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D78" w:rsidRDefault="002B2EA2" w:rsidP="009A68A5">
      <w:pPr>
        <w:spacing w:line="360" w:lineRule="auto"/>
        <w:ind w:firstLine="567"/>
        <w:jc w:val="both"/>
        <w:rPr>
          <w:b/>
          <w:bCs/>
          <w:sz w:val="32"/>
          <w:szCs w:val="32"/>
          <w:rtl/>
        </w:rPr>
      </w:pPr>
      <w:r>
        <w:rPr>
          <w:noProof/>
          <w:lang w:eastAsia="en-US"/>
        </w:rPr>
        <w:drawing>
          <wp:inline distT="0" distB="0" distL="0" distR="0" wp14:anchorId="56E106DE" wp14:editId="46A8D850">
            <wp:extent cx="4867275" cy="6905625"/>
            <wp:effectExtent l="0" t="0" r="9525" b="9525"/>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7275" cy="6905625"/>
                    </a:xfrm>
                    <a:prstGeom prst="rect">
                      <a:avLst/>
                    </a:prstGeom>
                  </pic:spPr>
                </pic:pic>
              </a:graphicData>
            </a:graphic>
          </wp:inline>
        </w:drawing>
      </w:r>
      <w:r w:rsidR="003E4D78">
        <w:rPr>
          <w:b/>
          <w:bCs/>
          <w:sz w:val="32"/>
          <w:szCs w:val="32"/>
          <w:rtl/>
        </w:rPr>
        <w:br w:type="page"/>
      </w:r>
    </w:p>
    <w:p w:rsidR="00F70EE6" w:rsidRDefault="00F70EE6" w:rsidP="009A68A5">
      <w:pPr>
        <w:spacing w:line="360" w:lineRule="auto"/>
        <w:ind w:firstLine="720"/>
        <w:jc w:val="both"/>
        <w:rPr>
          <w:b/>
          <w:bCs/>
          <w:sz w:val="96"/>
          <w:szCs w:val="96"/>
          <w:rtl/>
        </w:rPr>
      </w:pPr>
    </w:p>
    <w:p w:rsidR="00F70EE6" w:rsidRDefault="00F70EE6" w:rsidP="009A68A5">
      <w:pPr>
        <w:spacing w:line="360" w:lineRule="auto"/>
        <w:ind w:firstLine="720"/>
        <w:jc w:val="both"/>
        <w:rPr>
          <w:b/>
          <w:bCs/>
          <w:sz w:val="96"/>
          <w:szCs w:val="96"/>
          <w:rtl/>
        </w:rPr>
      </w:pPr>
    </w:p>
    <w:p w:rsidR="003E4D78" w:rsidRPr="00B37E61" w:rsidRDefault="003E4D78" w:rsidP="00B37E61">
      <w:pPr>
        <w:spacing w:line="360" w:lineRule="auto"/>
        <w:ind w:firstLine="720"/>
        <w:jc w:val="center"/>
        <w:rPr>
          <w:b/>
          <w:bCs/>
          <w:sz w:val="72"/>
          <w:szCs w:val="72"/>
          <w:rtl/>
        </w:rPr>
      </w:pPr>
      <w:r w:rsidRPr="00B37E61">
        <w:rPr>
          <w:rFonts w:hint="cs"/>
          <w:b/>
          <w:bCs/>
          <w:sz w:val="72"/>
          <w:szCs w:val="72"/>
          <w:rtl/>
        </w:rPr>
        <w:t>بسم الله الرحمن الرحيم</w:t>
      </w:r>
    </w:p>
    <w:p w:rsidR="00C74A2F" w:rsidRDefault="00C74A2F" w:rsidP="009A68A5">
      <w:pPr>
        <w:spacing w:line="360" w:lineRule="auto"/>
        <w:ind w:firstLine="720"/>
        <w:jc w:val="both"/>
        <w:rPr>
          <w:b/>
          <w:bCs/>
          <w:sz w:val="32"/>
          <w:szCs w:val="32"/>
          <w:rtl/>
        </w:rPr>
        <w:sectPr w:rsidR="00C74A2F">
          <w:pgSz w:w="12240" w:h="15840"/>
          <w:pgMar w:top="1440" w:right="1440" w:bottom="1440" w:left="1440" w:header="720" w:footer="720" w:gutter="0"/>
          <w:cols w:space="720"/>
          <w:docGrid w:linePitch="360"/>
        </w:sectPr>
      </w:pPr>
    </w:p>
    <w:p w:rsidR="00C74A2F" w:rsidRPr="00061C78" w:rsidRDefault="00C74A2F" w:rsidP="00B37E61">
      <w:pPr>
        <w:jc w:val="center"/>
        <w:rPr>
          <w:sz w:val="38"/>
          <w:szCs w:val="38"/>
          <w:rtl/>
        </w:rPr>
      </w:pPr>
      <w:r w:rsidRPr="00FD38D5">
        <w:rPr>
          <w:sz w:val="38"/>
          <w:szCs w:val="38"/>
        </w:rPr>
        <w:lastRenderedPageBreak/>
        <w:sym w:font="HQPB3" w:char="F069"/>
      </w:r>
      <w:r w:rsidRPr="00FD38D5">
        <w:rPr>
          <w:sz w:val="38"/>
          <w:szCs w:val="38"/>
        </w:rPr>
        <w:sym w:font="HQPB3" w:char="F06A"/>
      </w:r>
      <w:r w:rsidRPr="00FD38D5">
        <w:rPr>
          <w:sz w:val="38"/>
          <w:szCs w:val="38"/>
        </w:rPr>
        <w:sym w:font="HQPB3" w:char="F06B"/>
      </w:r>
    </w:p>
    <w:p w:rsidR="00C74A2F" w:rsidRPr="00295545" w:rsidRDefault="00C74A2F" w:rsidP="00B37E61">
      <w:pPr>
        <w:ind w:firstLine="26"/>
        <w:jc w:val="center"/>
        <w:rPr>
          <w:rFonts w:cs="Monotype Koufi"/>
          <w:sz w:val="24"/>
          <w:rtl/>
        </w:rPr>
      </w:pPr>
      <w:r w:rsidRPr="00295545">
        <w:rPr>
          <w:rFonts w:cs="Monotype Koufi" w:hint="cs"/>
          <w:sz w:val="24"/>
          <w:rtl/>
        </w:rPr>
        <w:t>تقديم</w:t>
      </w:r>
    </w:p>
    <w:p w:rsidR="00C74A2F" w:rsidRPr="007A6305" w:rsidRDefault="00C74A2F" w:rsidP="00B37E61">
      <w:pPr>
        <w:spacing w:before="240"/>
        <w:ind w:firstLine="26"/>
        <w:jc w:val="center"/>
        <w:rPr>
          <w:rFonts w:cs="Monotype Koufi"/>
          <w:rtl/>
        </w:rPr>
      </w:pPr>
      <w:r w:rsidRPr="007A6305">
        <w:rPr>
          <w:rFonts w:cs="Monotype Koufi" w:hint="cs"/>
          <w:rtl/>
        </w:rPr>
        <w:t>لسماحة الشيخ / عبدالله بن عبدالعزيز بن عقيل العقيل</w:t>
      </w:r>
    </w:p>
    <w:p w:rsidR="00C74A2F" w:rsidRPr="00E115C6" w:rsidRDefault="00C74A2F" w:rsidP="009A68A5">
      <w:pPr>
        <w:ind w:firstLine="26"/>
        <w:jc w:val="both"/>
        <w:rPr>
          <w:b/>
          <w:bCs/>
          <w:sz w:val="2"/>
          <w:szCs w:val="2"/>
          <w:rtl/>
        </w:rPr>
      </w:pPr>
      <w:r>
        <w:rPr>
          <w:rFonts w:hint="cs"/>
          <w:b/>
          <w:bCs/>
          <w:sz w:val="12"/>
          <w:szCs w:val="28"/>
          <w:rtl/>
        </w:rPr>
        <w:t>(</w:t>
      </w:r>
      <w:r w:rsidRPr="007A6305">
        <w:rPr>
          <w:rFonts w:hint="cs"/>
          <w:b/>
          <w:bCs/>
          <w:sz w:val="12"/>
          <w:szCs w:val="28"/>
          <w:rtl/>
        </w:rPr>
        <w:t>رئيس الهيئة الدائمة بمجلس القضاء الأعلى سابقاً</w:t>
      </w:r>
      <w:r>
        <w:rPr>
          <w:rFonts w:hint="cs"/>
          <w:b/>
          <w:bCs/>
          <w:sz w:val="12"/>
          <w:szCs w:val="28"/>
          <w:rtl/>
        </w:rPr>
        <w:t>،</w:t>
      </w:r>
      <w:r w:rsidRPr="007A6305">
        <w:rPr>
          <w:rFonts w:hint="cs"/>
          <w:b/>
          <w:bCs/>
          <w:sz w:val="12"/>
          <w:szCs w:val="28"/>
          <w:rtl/>
        </w:rPr>
        <w:t xml:space="preserve"> ورئيس الهيئة الشرعية في </w:t>
      </w:r>
      <w:r>
        <w:rPr>
          <w:rFonts w:hint="cs"/>
          <w:b/>
          <w:bCs/>
          <w:sz w:val="12"/>
          <w:szCs w:val="28"/>
          <w:rtl/>
        </w:rPr>
        <w:t>شركة الراجحي المصرفية للاستثمار)</w:t>
      </w:r>
    </w:p>
    <w:p w:rsidR="00C74A2F" w:rsidRPr="000F35C3" w:rsidRDefault="00C74A2F" w:rsidP="009A68A5">
      <w:pPr>
        <w:spacing w:before="240"/>
        <w:ind w:firstLine="26"/>
        <w:jc w:val="both"/>
        <w:rPr>
          <w:spacing w:val="-2"/>
          <w:sz w:val="36"/>
          <w:szCs w:val="36"/>
          <w:rtl/>
        </w:rPr>
      </w:pPr>
      <w:r w:rsidRPr="000F35C3">
        <w:rPr>
          <w:rFonts w:hint="cs"/>
          <w:spacing w:val="-2"/>
          <w:sz w:val="36"/>
          <w:szCs w:val="36"/>
          <w:rtl/>
        </w:rPr>
        <w:tab/>
        <w:t>الحمد لله رب العالمين وأصلي وأسلم على عبده ورسوله نبينا محمد وعلى آله وصحبه أجمعين.</w:t>
      </w:r>
    </w:p>
    <w:p w:rsidR="00C74A2F" w:rsidRPr="000F35C3" w:rsidRDefault="00C74A2F" w:rsidP="009A68A5">
      <w:pPr>
        <w:ind w:firstLine="26"/>
        <w:jc w:val="both"/>
        <w:rPr>
          <w:spacing w:val="-4"/>
          <w:sz w:val="36"/>
          <w:szCs w:val="36"/>
          <w:rtl/>
        </w:rPr>
      </w:pPr>
      <w:r w:rsidRPr="000F35C3">
        <w:rPr>
          <w:rFonts w:hint="cs"/>
          <w:sz w:val="36"/>
          <w:szCs w:val="36"/>
          <w:rtl/>
        </w:rPr>
        <w:tab/>
      </w:r>
      <w:r w:rsidRPr="000F35C3">
        <w:rPr>
          <w:rFonts w:hint="cs"/>
          <w:spacing w:val="-4"/>
          <w:sz w:val="36"/>
          <w:szCs w:val="36"/>
          <w:rtl/>
        </w:rPr>
        <w:t xml:space="preserve">وبعد: ففي هذا العصر كثرت النوازل وتنوعت المسائل بشكل لم يسبق له نظير، وأصبح من الواجب على طلبة العلم الاستفادة من كل ما يعين على استنباط الأحكام الشرعية لتلك النوازل، وينمي الملكة الفقهية لديهم، ومما يساعد على ذلك علم القواعد الفقهية. </w:t>
      </w:r>
    </w:p>
    <w:p w:rsidR="00C74A2F" w:rsidRPr="000F35C3" w:rsidRDefault="00C74A2F" w:rsidP="009A68A5">
      <w:pPr>
        <w:ind w:firstLine="26"/>
        <w:jc w:val="both"/>
        <w:rPr>
          <w:sz w:val="36"/>
          <w:szCs w:val="36"/>
          <w:rtl/>
        </w:rPr>
      </w:pPr>
      <w:r w:rsidRPr="000F35C3">
        <w:rPr>
          <w:rFonts w:hint="cs"/>
          <w:sz w:val="36"/>
          <w:szCs w:val="36"/>
          <w:rtl/>
        </w:rPr>
        <w:tab/>
        <w:t>والناظر في واقع القواعد الفقهية يجد أكثرها مستفاداً من تتبع المسائل الفقهية المتشابهة، وكلما كثر هذا التتبع للجزئيات المتماثلة زادت القاعدة قوة, وكلما قل ذلك وكثرت المستثنيات ضعفت الثقة بالقاعدة. مما يعني أن القواعد بحاجة إلى بيان ضوابطها وقيودها، ودراسة المسائل التي قيل إنها مستثناة منها، وبيان سبب تخلفها عنها؛ لتبقى القاعدة كلية متماسكة يمكن التعليل بها.</w:t>
      </w:r>
    </w:p>
    <w:p w:rsidR="00C74A2F" w:rsidRPr="000F35C3" w:rsidRDefault="00C74A2F" w:rsidP="009A68A5">
      <w:pPr>
        <w:ind w:firstLine="26"/>
        <w:jc w:val="both"/>
        <w:rPr>
          <w:sz w:val="36"/>
          <w:szCs w:val="36"/>
          <w:rtl/>
        </w:rPr>
      </w:pPr>
      <w:r w:rsidRPr="000F35C3">
        <w:rPr>
          <w:rFonts w:hint="cs"/>
          <w:sz w:val="36"/>
          <w:szCs w:val="36"/>
          <w:rtl/>
        </w:rPr>
        <w:tab/>
        <w:t>ومع أهمية ضبط القواعد ودراسة المستثنيات فإنها لم تنل حقها من الدراسة والبحث على حد علمي. ولكن بعد أن أطلعني الأستاذ / خالد بن عبدالعزيز سليمان آل سليمان على تحقيقه لكتاب (</w:t>
      </w:r>
      <w:r w:rsidRPr="000F35C3">
        <w:rPr>
          <w:rFonts w:hint="cs"/>
          <w:b/>
          <w:bCs/>
          <w:sz w:val="36"/>
          <w:szCs w:val="36"/>
          <w:rtl/>
        </w:rPr>
        <w:t>ترتيب اللآلي في سلك الأمالي</w:t>
      </w:r>
      <w:r w:rsidRPr="000F35C3">
        <w:rPr>
          <w:rFonts w:hint="cs"/>
          <w:sz w:val="36"/>
          <w:szCs w:val="36"/>
          <w:rtl/>
        </w:rPr>
        <w:t>) للشيخ محمد بن سليمان ناظر زاده لفت نظري تنبه مؤلفه إلى هذا الأمر، حيث جعله منهجاً له صرح به في المقدمة بقوله: "وأوردت علة تخلف بعض الأحكام عن هذه القواعد في بدء النظر لئلا يرد النقض على الاطراد ولا تخرج عن كونها دليلاً عند الإيراد".</w:t>
      </w:r>
    </w:p>
    <w:p w:rsidR="00C74A2F" w:rsidRPr="000F35C3" w:rsidRDefault="00C74A2F" w:rsidP="009A68A5">
      <w:pPr>
        <w:ind w:firstLine="26"/>
        <w:jc w:val="both"/>
        <w:rPr>
          <w:sz w:val="36"/>
          <w:szCs w:val="36"/>
          <w:rtl/>
        </w:rPr>
      </w:pPr>
      <w:r w:rsidRPr="000F35C3">
        <w:rPr>
          <w:rFonts w:hint="cs"/>
          <w:sz w:val="36"/>
          <w:szCs w:val="36"/>
          <w:rtl/>
        </w:rPr>
        <w:tab/>
        <w:t>ومما يميز هذا الكتاب أيضاً: حسن انتقائه لقواعد كتابه، وسهولة ترتيبه لها، حيث ذكر (266) قاعدة، رتبها على حروف الهجاء، وجعل كل حرف في باب مستقل، وضمنه القواعد التي تبدأ بذلك الحرف، كما تميزت هذه القواعد بالإيجاز في اللفظ والعموم في المعنى.</w:t>
      </w:r>
    </w:p>
    <w:p w:rsidR="00C74A2F" w:rsidRPr="000F35C3" w:rsidRDefault="00C74A2F" w:rsidP="009A68A5">
      <w:pPr>
        <w:ind w:firstLine="26"/>
        <w:jc w:val="both"/>
        <w:rPr>
          <w:sz w:val="36"/>
          <w:szCs w:val="36"/>
          <w:rtl/>
        </w:rPr>
      </w:pPr>
      <w:r w:rsidRPr="000F35C3">
        <w:rPr>
          <w:rFonts w:hint="cs"/>
          <w:sz w:val="36"/>
          <w:szCs w:val="36"/>
          <w:rtl/>
        </w:rPr>
        <w:lastRenderedPageBreak/>
        <w:tab/>
        <w:t xml:space="preserve">ولهذا استمد منه أبو سعيد الخادمي كثيراً من قواعده الأربعة والخمسين والمائة التي ختم بها كتابه مجامع الحقائق، الذي أصبح مصدراً لمجلة الأحكام العدلية، كما ذكر ذلك فضيلة الدكتور أحمد بن عبدالله بن حميد. </w:t>
      </w:r>
    </w:p>
    <w:p w:rsidR="00C74A2F" w:rsidRPr="000F35C3" w:rsidRDefault="00C74A2F" w:rsidP="009A68A5">
      <w:pPr>
        <w:ind w:firstLine="26"/>
        <w:jc w:val="both"/>
        <w:rPr>
          <w:sz w:val="36"/>
          <w:szCs w:val="36"/>
          <w:rtl/>
        </w:rPr>
      </w:pPr>
      <w:r w:rsidRPr="000F35C3">
        <w:rPr>
          <w:rFonts w:hint="cs"/>
          <w:sz w:val="36"/>
          <w:szCs w:val="36"/>
          <w:rtl/>
        </w:rPr>
        <w:tab/>
        <w:t>وقد ذكر المحقق أنه قام بالبحث عن أصول هذا الكتاب ومخطوطاته، حتى تحصلت له ست نسخ مخطوطة كاملة، فقام بمقابلة بعضها ببعض وتحقيقها ودراستها وفق منهج علمي، يتضمن التعريف بالمؤلف والكتاب، والتعريف بالكتب المشار إليها والأعلام والمصطلحات والألفاظ الغريبة، والتعليق على ما يحتاج إلى تعليق. ثم قام بفهرستها بحسب جذور الألفاظ المهمة في كل قاعدة، كما قام بتوثيق كل قاعدة وبحث عن مظانها فيما يزيد على خمسين كتاباً من كتب القواعد والأصول والفقه، وفي هذا تيسير لكل من يريد البحث في أي قاعدة من قواعد الكتاب، حيث يصل إليها بيسر عن طريق الفهرس المذكور.</w:t>
      </w:r>
    </w:p>
    <w:p w:rsidR="00C74A2F" w:rsidRPr="000F35C3" w:rsidRDefault="00C74A2F" w:rsidP="009A68A5">
      <w:pPr>
        <w:ind w:firstLine="26"/>
        <w:jc w:val="both"/>
        <w:rPr>
          <w:sz w:val="36"/>
          <w:szCs w:val="36"/>
          <w:rtl/>
        </w:rPr>
      </w:pPr>
      <w:r w:rsidRPr="000F35C3">
        <w:rPr>
          <w:rFonts w:hint="cs"/>
          <w:sz w:val="36"/>
          <w:szCs w:val="36"/>
          <w:rtl/>
        </w:rPr>
        <w:tab/>
        <w:t xml:space="preserve">فجزاه الله خيراً على جهوده المباركة وإني أهنئه بهذا التوفيق وأوصيه بطبع هذا الكتاب النفيس ونشره، لعل الله أن ينفع به، كما أوصي إخواني وأبنائي طلاب العلم الشريف خصوصاً طلاب القواعد الفقهية بأن يعتنوا بهذا الكتاب، فسيجدون فيه ما يسد حاجتهم ويوفر لهم مطلوبهم إن شاء الله تعالى. </w:t>
      </w:r>
    </w:p>
    <w:p w:rsidR="00C74A2F" w:rsidRPr="000F35C3" w:rsidRDefault="00C74A2F" w:rsidP="009A68A5">
      <w:pPr>
        <w:ind w:firstLine="26"/>
        <w:jc w:val="both"/>
        <w:rPr>
          <w:b/>
          <w:bCs/>
          <w:sz w:val="36"/>
          <w:szCs w:val="36"/>
          <w:rtl/>
        </w:rPr>
      </w:pPr>
      <w:r w:rsidRPr="000F35C3">
        <w:rPr>
          <w:rFonts w:hint="cs"/>
          <w:sz w:val="36"/>
          <w:szCs w:val="36"/>
          <w:rtl/>
        </w:rPr>
        <w:tab/>
        <w:t xml:space="preserve">قال ذلك الفقير إلى الله </w:t>
      </w:r>
      <w:r w:rsidRPr="000F35C3">
        <w:rPr>
          <w:rFonts w:hint="cs"/>
          <w:b/>
          <w:bCs/>
          <w:sz w:val="36"/>
          <w:szCs w:val="36"/>
          <w:rtl/>
        </w:rPr>
        <w:t>عبدالله بن عبدالعزيز بن عقيل رئيس الهيئة الدائمة بمجلس القضاء الأعلى سابقاً.</w:t>
      </w:r>
    </w:p>
    <w:p w:rsidR="00C74A2F" w:rsidRPr="000F35C3" w:rsidRDefault="00C74A2F" w:rsidP="009A68A5">
      <w:pPr>
        <w:ind w:firstLine="26"/>
        <w:jc w:val="both"/>
        <w:rPr>
          <w:sz w:val="36"/>
          <w:szCs w:val="36"/>
          <w:rtl/>
        </w:rPr>
      </w:pPr>
      <w:r w:rsidRPr="000F35C3">
        <w:rPr>
          <w:rFonts w:hint="cs"/>
          <w:sz w:val="36"/>
          <w:szCs w:val="36"/>
          <w:rtl/>
        </w:rPr>
        <w:t>وصلى الله على نبينا محمد وآله وصحبه وسلم.</w:t>
      </w:r>
    </w:p>
    <w:p w:rsidR="00C74A2F" w:rsidRPr="00560877" w:rsidRDefault="00C74A2F" w:rsidP="009A68A5">
      <w:pPr>
        <w:ind w:firstLine="26"/>
        <w:jc w:val="both"/>
        <w:rPr>
          <w:b/>
          <w:bCs/>
          <w:rtl/>
        </w:rPr>
      </w:pPr>
      <w:r w:rsidRPr="000F35C3">
        <w:rPr>
          <w:rFonts w:hint="cs"/>
          <w:sz w:val="36"/>
          <w:szCs w:val="36"/>
          <w:rtl/>
        </w:rPr>
        <w:t xml:space="preserve">22/2/1425هـ </w:t>
      </w:r>
    </w:p>
    <w:p w:rsidR="00C74A2F" w:rsidRDefault="00C74A2F" w:rsidP="009A68A5">
      <w:pPr>
        <w:ind w:hanging="1"/>
        <w:jc w:val="both"/>
        <w:rPr>
          <w:rtl/>
        </w:rPr>
      </w:pPr>
    </w:p>
    <w:p w:rsidR="00C74A2F" w:rsidRPr="009C6588" w:rsidRDefault="00C74A2F" w:rsidP="00B37E61">
      <w:pPr>
        <w:ind w:hanging="1"/>
        <w:jc w:val="center"/>
        <w:rPr>
          <w:rFonts w:cs="Monotype Koufi"/>
          <w:sz w:val="36"/>
          <w:rtl/>
        </w:rPr>
      </w:pPr>
      <w:r>
        <w:rPr>
          <w:rtl/>
        </w:rPr>
        <w:br w:type="page"/>
      </w:r>
      <w:r w:rsidRPr="009C6588">
        <w:rPr>
          <w:rFonts w:cs="Monotype Koufi" w:hint="cs"/>
          <w:sz w:val="36"/>
          <w:rtl/>
        </w:rPr>
        <w:lastRenderedPageBreak/>
        <w:t>تقديم</w:t>
      </w:r>
    </w:p>
    <w:p w:rsidR="00C74A2F" w:rsidRPr="00F162B9" w:rsidRDefault="00C74A2F" w:rsidP="00B37E61">
      <w:pPr>
        <w:ind w:hanging="1"/>
        <w:jc w:val="center"/>
        <w:rPr>
          <w:rFonts w:cs="Monotype Koufi"/>
          <w:sz w:val="34"/>
          <w:szCs w:val="34"/>
          <w:rtl/>
        </w:rPr>
      </w:pPr>
      <w:r w:rsidRPr="00F162B9">
        <w:rPr>
          <w:rFonts w:cs="Monotype Koufi" w:hint="cs"/>
          <w:sz w:val="34"/>
          <w:szCs w:val="34"/>
          <w:rtl/>
        </w:rPr>
        <w:t>أ</w:t>
      </w:r>
      <w:r w:rsidR="0048366D">
        <w:rPr>
          <w:rFonts w:cs="Monotype Koufi" w:hint="cs"/>
          <w:sz w:val="34"/>
          <w:szCs w:val="34"/>
          <w:rtl/>
        </w:rPr>
        <w:t>.</w:t>
      </w:r>
      <w:r w:rsidRPr="00F162B9">
        <w:rPr>
          <w:rFonts w:cs="Monotype Koufi" w:hint="cs"/>
          <w:sz w:val="34"/>
          <w:szCs w:val="34"/>
          <w:rtl/>
        </w:rPr>
        <w:t xml:space="preserve"> د</w:t>
      </w:r>
      <w:r w:rsidR="0048366D">
        <w:rPr>
          <w:rFonts w:cs="Monotype Koufi" w:hint="cs"/>
          <w:sz w:val="34"/>
          <w:szCs w:val="34"/>
          <w:rtl/>
        </w:rPr>
        <w:t>.</w:t>
      </w:r>
      <w:r w:rsidRPr="00F162B9">
        <w:rPr>
          <w:rFonts w:cs="Monotype Koufi" w:hint="cs"/>
          <w:sz w:val="34"/>
          <w:szCs w:val="34"/>
          <w:rtl/>
        </w:rPr>
        <w:t xml:space="preserve"> أحمد بن محمد العنقري</w:t>
      </w:r>
    </w:p>
    <w:p w:rsidR="00C74A2F" w:rsidRPr="00F162B9" w:rsidRDefault="00C74A2F" w:rsidP="00B37E61">
      <w:pPr>
        <w:ind w:hanging="1"/>
        <w:jc w:val="center"/>
        <w:rPr>
          <w:rFonts w:cs="Monotype Koufi"/>
          <w:sz w:val="34"/>
          <w:szCs w:val="34"/>
          <w:rtl/>
        </w:rPr>
      </w:pPr>
      <w:r w:rsidRPr="00F162B9">
        <w:rPr>
          <w:rFonts w:cs="Monotype Koufi" w:hint="cs"/>
          <w:sz w:val="34"/>
          <w:szCs w:val="34"/>
          <w:rtl/>
        </w:rPr>
        <w:t>(رئيس قسم أصول الفقه بكلية الشرعية في الرياض)</w:t>
      </w:r>
    </w:p>
    <w:p w:rsidR="00C74A2F" w:rsidRDefault="00C74A2F" w:rsidP="009A68A5">
      <w:pPr>
        <w:ind w:hanging="1"/>
        <w:jc w:val="both"/>
        <w:rPr>
          <w:rFonts w:cs="Simplified Arabic"/>
          <w:sz w:val="36"/>
          <w:rtl/>
        </w:rPr>
      </w:pPr>
    </w:p>
    <w:p w:rsidR="00C74A2F" w:rsidRPr="00B232A4" w:rsidRDefault="00C74A2F" w:rsidP="009A68A5">
      <w:pPr>
        <w:jc w:val="both"/>
        <w:rPr>
          <w:sz w:val="36"/>
          <w:rtl/>
        </w:rPr>
      </w:pPr>
      <w:r w:rsidRPr="00B232A4">
        <w:rPr>
          <w:rFonts w:cs="Simplified Arabic" w:hint="cs"/>
          <w:sz w:val="36"/>
          <w:rtl/>
        </w:rPr>
        <w:t xml:space="preserve">  </w:t>
      </w:r>
      <w:r w:rsidRPr="00B232A4">
        <w:rPr>
          <w:rFonts w:hint="cs"/>
          <w:sz w:val="36"/>
          <w:rtl/>
        </w:rPr>
        <w:t>الحمد لله حمداً كثيراً طيباً مباركاً فيه</w:t>
      </w:r>
      <w:r w:rsidR="0048366D">
        <w:rPr>
          <w:rFonts w:hint="cs"/>
          <w:sz w:val="36"/>
          <w:rtl/>
        </w:rPr>
        <w:t>،</w:t>
      </w:r>
      <w:r w:rsidRPr="00B232A4">
        <w:rPr>
          <w:rFonts w:hint="cs"/>
          <w:sz w:val="36"/>
          <w:rtl/>
        </w:rPr>
        <w:t xml:space="preserve"> وأصلي وأسلم على الرسول المبعوث رحمة </w:t>
      </w:r>
      <w:r>
        <w:rPr>
          <w:rFonts w:hint="cs"/>
          <w:sz w:val="36"/>
          <w:rtl/>
        </w:rPr>
        <w:t>للعالمين</w:t>
      </w:r>
      <w:r w:rsidRPr="00B232A4">
        <w:rPr>
          <w:rFonts w:hint="cs"/>
          <w:sz w:val="36"/>
          <w:rtl/>
        </w:rPr>
        <w:t>، نبينا محمد وعلى آله وأصحابه الطيبين الطاهرين</w:t>
      </w:r>
      <w:r w:rsidR="0048366D">
        <w:rPr>
          <w:rFonts w:hint="cs"/>
          <w:sz w:val="36"/>
          <w:rtl/>
        </w:rPr>
        <w:t>،</w:t>
      </w:r>
      <w:r w:rsidRPr="00B232A4">
        <w:rPr>
          <w:rFonts w:hint="cs"/>
          <w:sz w:val="36"/>
          <w:rtl/>
        </w:rPr>
        <w:t xml:space="preserve"> والتابعين لهم بإحسان إلى يوم الدين</w:t>
      </w:r>
      <w:r w:rsidR="0048366D">
        <w:rPr>
          <w:rFonts w:hint="cs"/>
          <w:sz w:val="36"/>
          <w:rtl/>
        </w:rPr>
        <w:t>،</w:t>
      </w:r>
      <w:r w:rsidRPr="00B232A4">
        <w:rPr>
          <w:rFonts w:hint="cs"/>
          <w:sz w:val="36"/>
          <w:rtl/>
        </w:rPr>
        <w:t xml:space="preserve">  أما بعد</w:t>
      </w:r>
      <w:r w:rsidR="0048366D">
        <w:rPr>
          <w:rFonts w:hint="cs"/>
          <w:sz w:val="36"/>
          <w:rtl/>
        </w:rPr>
        <w:t>:</w:t>
      </w:r>
    </w:p>
    <w:p w:rsidR="00C74A2F" w:rsidRDefault="00C74A2F" w:rsidP="009A68A5">
      <w:pPr>
        <w:ind w:left="480"/>
        <w:jc w:val="both"/>
        <w:rPr>
          <w:rFonts w:cs="Simplified Arabic"/>
          <w:sz w:val="32"/>
          <w:szCs w:val="32"/>
        </w:rPr>
      </w:pPr>
    </w:p>
    <w:p w:rsidR="00C74A2F" w:rsidRPr="00B232A4" w:rsidRDefault="00C74A2F" w:rsidP="007C7F13">
      <w:pPr>
        <w:widowControl/>
        <w:numPr>
          <w:ilvl w:val="0"/>
          <w:numId w:val="1"/>
        </w:numPr>
        <w:tabs>
          <w:tab w:val="clear" w:pos="840"/>
        </w:tabs>
        <w:ind w:left="707" w:hanging="416"/>
        <w:jc w:val="both"/>
        <w:rPr>
          <w:sz w:val="36"/>
        </w:rPr>
      </w:pPr>
      <w:r w:rsidRPr="00B232A4">
        <w:rPr>
          <w:rFonts w:hint="cs"/>
          <w:sz w:val="36"/>
          <w:rtl/>
        </w:rPr>
        <w:t>فإن مما يضبط أحكام الفقه وييسر فهمها</w:t>
      </w:r>
      <w:r w:rsidR="0048366D">
        <w:rPr>
          <w:rFonts w:hint="cs"/>
          <w:sz w:val="36"/>
          <w:rtl/>
        </w:rPr>
        <w:t>،</w:t>
      </w:r>
      <w:r w:rsidRPr="00B232A4">
        <w:rPr>
          <w:rFonts w:hint="cs"/>
          <w:sz w:val="36"/>
          <w:rtl/>
        </w:rPr>
        <w:t xml:space="preserve"> ويسهل استحضارها معرفة القواعد الفقهية والإحاطة بها</w:t>
      </w:r>
      <w:r w:rsidR="0048366D">
        <w:rPr>
          <w:rFonts w:hint="cs"/>
          <w:sz w:val="36"/>
          <w:rtl/>
        </w:rPr>
        <w:t>؛</w:t>
      </w:r>
      <w:r w:rsidRPr="00B232A4">
        <w:rPr>
          <w:rFonts w:hint="cs"/>
          <w:sz w:val="36"/>
          <w:rtl/>
        </w:rPr>
        <w:t xml:space="preserve"> إذ إن القاعدة الفقهية حكم كلي أو أغلبي ينطبق على جميع جزئياته</w:t>
      </w:r>
      <w:r w:rsidR="0048366D">
        <w:rPr>
          <w:rFonts w:hint="cs"/>
          <w:sz w:val="36"/>
          <w:rtl/>
        </w:rPr>
        <w:t>،</w:t>
      </w:r>
      <w:r w:rsidRPr="00B232A4">
        <w:rPr>
          <w:rFonts w:hint="cs"/>
          <w:sz w:val="36"/>
          <w:rtl/>
        </w:rPr>
        <w:t xml:space="preserve"> وحيث أمكن للفقيه معرفة هذا الحكم سهل عليه استحضار أحكام جميع الفروع التي تندرج تحته</w:t>
      </w:r>
      <w:r w:rsidR="0048366D">
        <w:rPr>
          <w:rFonts w:hint="cs"/>
          <w:sz w:val="36"/>
          <w:rtl/>
        </w:rPr>
        <w:t>،</w:t>
      </w:r>
      <w:r w:rsidRPr="00B232A4">
        <w:rPr>
          <w:rFonts w:hint="cs"/>
          <w:sz w:val="36"/>
          <w:rtl/>
        </w:rPr>
        <w:t xml:space="preserve"> وبذلك يتيسر فهم الشريعة</w:t>
      </w:r>
      <w:r w:rsidR="0048366D">
        <w:rPr>
          <w:rFonts w:hint="cs"/>
          <w:sz w:val="36"/>
          <w:rtl/>
        </w:rPr>
        <w:t>،</w:t>
      </w:r>
      <w:r w:rsidRPr="00B232A4">
        <w:rPr>
          <w:rFonts w:hint="cs"/>
          <w:sz w:val="36"/>
          <w:rtl/>
        </w:rPr>
        <w:t xml:space="preserve"> وضبط المسائل الفقهية</w:t>
      </w:r>
      <w:r w:rsidR="0048366D">
        <w:rPr>
          <w:rFonts w:hint="cs"/>
          <w:sz w:val="36"/>
          <w:rtl/>
        </w:rPr>
        <w:t>،</w:t>
      </w:r>
      <w:r w:rsidRPr="00B232A4">
        <w:rPr>
          <w:rFonts w:hint="cs"/>
          <w:sz w:val="36"/>
          <w:rtl/>
        </w:rPr>
        <w:t xml:space="preserve"> وربطها بأصولها وقواعدها</w:t>
      </w:r>
      <w:r w:rsidR="0048366D">
        <w:rPr>
          <w:rFonts w:hint="cs"/>
          <w:sz w:val="36"/>
          <w:rtl/>
        </w:rPr>
        <w:t>؛</w:t>
      </w:r>
      <w:r w:rsidRPr="00B232A4">
        <w:rPr>
          <w:rFonts w:hint="cs"/>
          <w:sz w:val="36"/>
          <w:rtl/>
        </w:rPr>
        <w:t xml:space="preserve"> فلا يقع ما يبدو أنه تعارض أو اضطراب</w:t>
      </w:r>
      <w:r w:rsidR="0048366D">
        <w:rPr>
          <w:rFonts w:hint="cs"/>
          <w:sz w:val="36"/>
          <w:rtl/>
        </w:rPr>
        <w:t>،</w:t>
      </w:r>
      <w:r w:rsidRPr="00B232A4">
        <w:rPr>
          <w:rFonts w:hint="cs"/>
          <w:sz w:val="36"/>
          <w:rtl/>
        </w:rPr>
        <w:t xml:space="preserve"> يقول الحافظ الفقيه الأصولي صلاح الدين العلائي (رحمه الله تعالى)</w:t>
      </w:r>
      <w:r w:rsidR="0048366D">
        <w:rPr>
          <w:rFonts w:hint="cs"/>
          <w:sz w:val="36"/>
          <w:rtl/>
        </w:rPr>
        <w:t>:</w:t>
      </w:r>
      <w:r w:rsidRPr="00B232A4">
        <w:rPr>
          <w:rFonts w:hint="cs"/>
          <w:sz w:val="36"/>
          <w:rtl/>
        </w:rPr>
        <w:t xml:space="preserve"> "وكان من أحسن ما يعانيه الفقيه المتقن والنبيه المحسن معرفة القواعد الكلية والمعاقد المرعية وما يتخرج من الفروع عليها</w:t>
      </w:r>
      <w:r w:rsidR="0048366D">
        <w:rPr>
          <w:rFonts w:hint="cs"/>
          <w:sz w:val="36"/>
          <w:rtl/>
        </w:rPr>
        <w:t>،</w:t>
      </w:r>
      <w:r w:rsidRPr="00B232A4">
        <w:rPr>
          <w:rFonts w:hint="cs"/>
          <w:sz w:val="36"/>
          <w:rtl/>
        </w:rPr>
        <w:t xml:space="preserve"> ويرجع من الشوارد المفرقة إليها</w:t>
      </w:r>
      <w:r w:rsidR="0048366D">
        <w:rPr>
          <w:rFonts w:hint="cs"/>
          <w:sz w:val="36"/>
          <w:rtl/>
        </w:rPr>
        <w:t>،</w:t>
      </w:r>
      <w:r w:rsidRPr="00B232A4">
        <w:rPr>
          <w:rFonts w:hint="cs"/>
          <w:sz w:val="36"/>
          <w:rtl/>
        </w:rPr>
        <w:t xml:space="preserve"> وهي الطريق التي خفيت مسالكها وصعبت مداركها</w:t>
      </w:r>
      <w:r w:rsidR="0048366D">
        <w:rPr>
          <w:rFonts w:hint="cs"/>
          <w:sz w:val="36"/>
          <w:rtl/>
        </w:rPr>
        <w:t>.</w:t>
      </w:r>
      <w:r w:rsidRPr="00B232A4">
        <w:rPr>
          <w:rFonts w:hint="cs"/>
          <w:sz w:val="36"/>
          <w:rtl/>
        </w:rPr>
        <w:t>..."</w:t>
      </w:r>
      <w:r w:rsidR="0048366D">
        <w:rPr>
          <w:rFonts w:hint="cs"/>
          <w:sz w:val="36"/>
          <w:rtl/>
        </w:rPr>
        <w:t>،</w:t>
      </w:r>
      <w:r w:rsidRPr="00B232A4">
        <w:rPr>
          <w:rFonts w:hint="cs"/>
          <w:sz w:val="36"/>
          <w:rtl/>
        </w:rPr>
        <w:t xml:space="preserve"> وحيث عرف طالب العلم هذه القواعد سهل عليه أيضاً إدراك مقاصد الشريعة وأصولها العامة</w:t>
      </w:r>
      <w:r w:rsidR="0048366D">
        <w:rPr>
          <w:rFonts w:hint="cs"/>
          <w:sz w:val="36"/>
          <w:rtl/>
        </w:rPr>
        <w:t>،</w:t>
      </w:r>
      <w:r w:rsidRPr="00B232A4">
        <w:rPr>
          <w:rFonts w:hint="cs"/>
          <w:sz w:val="36"/>
          <w:rtl/>
        </w:rPr>
        <w:t xml:space="preserve"> وتكونت لديه الملكة الفقهية التي يرتقي بها في النظر والاجتهاد</w:t>
      </w:r>
      <w:r w:rsidR="0048366D">
        <w:rPr>
          <w:rFonts w:hint="cs"/>
          <w:sz w:val="36"/>
          <w:rtl/>
        </w:rPr>
        <w:t>؛</w:t>
      </w:r>
      <w:r w:rsidRPr="00B232A4">
        <w:rPr>
          <w:rFonts w:hint="cs"/>
          <w:sz w:val="36"/>
          <w:rtl/>
        </w:rPr>
        <w:t xml:space="preserve"> وهي مرتبة عالية وغاية سامية يسعى للوصول إليها</w:t>
      </w:r>
      <w:r w:rsidR="0048366D">
        <w:rPr>
          <w:rFonts w:hint="cs"/>
          <w:sz w:val="36"/>
          <w:rtl/>
        </w:rPr>
        <w:t>.</w:t>
      </w:r>
      <w:r w:rsidRPr="00B232A4">
        <w:rPr>
          <w:rFonts w:hint="cs"/>
          <w:sz w:val="36"/>
          <w:rtl/>
        </w:rPr>
        <w:t xml:space="preserve"> </w:t>
      </w:r>
    </w:p>
    <w:p w:rsidR="00C74A2F" w:rsidRDefault="00C74A2F" w:rsidP="007C7F13">
      <w:pPr>
        <w:widowControl/>
        <w:numPr>
          <w:ilvl w:val="0"/>
          <w:numId w:val="1"/>
        </w:numPr>
        <w:tabs>
          <w:tab w:val="clear" w:pos="840"/>
        </w:tabs>
        <w:ind w:left="707" w:hanging="416"/>
        <w:jc w:val="both"/>
        <w:rPr>
          <w:sz w:val="36"/>
        </w:rPr>
      </w:pPr>
      <w:r w:rsidRPr="00B232A4">
        <w:rPr>
          <w:rFonts w:hint="cs"/>
          <w:sz w:val="36"/>
          <w:rtl/>
        </w:rPr>
        <w:t>ولأهمية هذه القواعد والحاجة إليها اعتنى بها العلماء</w:t>
      </w:r>
      <w:r w:rsidR="0048366D">
        <w:rPr>
          <w:rFonts w:hint="cs"/>
          <w:sz w:val="36"/>
          <w:rtl/>
        </w:rPr>
        <w:t>،</w:t>
      </w:r>
      <w:r w:rsidRPr="00B232A4">
        <w:rPr>
          <w:rFonts w:hint="cs"/>
          <w:sz w:val="36"/>
          <w:rtl/>
        </w:rPr>
        <w:t xml:space="preserve"> وألفوا فيها المؤلفات</w:t>
      </w:r>
      <w:r w:rsidR="0048366D">
        <w:rPr>
          <w:rFonts w:hint="cs"/>
          <w:sz w:val="36"/>
          <w:rtl/>
        </w:rPr>
        <w:t>،</w:t>
      </w:r>
      <w:r w:rsidRPr="00B232A4">
        <w:rPr>
          <w:rFonts w:hint="cs"/>
          <w:sz w:val="36"/>
          <w:rtl/>
        </w:rPr>
        <w:t xml:space="preserve"> وكتبوا فيها على مناهج متعددة</w:t>
      </w:r>
      <w:r w:rsidR="0048366D">
        <w:rPr>
          <w:rFonts w:hint="cs"/>
          <w:sz w:val="36"/>
          <w:rtl/>
        </w:rPr>
        <w:t>،</w:t>
      </w:r>
      <w:r w:rsidRPr="00B232A4">
        <w:rPr>
          <w:rFonts w:hint="cs"/>
          <w:sz w:val="36"/>
          <w:rtl/>
        </w:rPr>
        <w:t xml:space="preserve"> وكان كتاب ترتيب الآلي</w:t>
      </w:r>
      <w:r>
        <w:rPr>
          <w:rFonts w:hint="cs"/>
          <w:sz w:val="36"/>
          <w:rtl/>
        </w:rPr>
        <w:t xml:space="preserve"> في سلك الأمالي للشيخ </w:t>
      </w:r>
      <w:r>
        <w:rPr>
          <w:rFonts w:hint="cs"/>
          <w:sz w:val="36"/>
          <w:rtl/>
        </w:rPr>
        <w:lastRenderedPageBreak/>
        <w:t>محمد</w:t>
      </w:r>
      <w:r>
        <w:rPr>
          <w:rFonts w:hint="eastAsia"/>
          <w:sz w:val="36"/>
          <w:rtl/>
        </w:rPr>
        <w:t> </w:t>
      </w:r>
      <w:r w:rsidRPr="00B232A4">
        <w:rPr>
          <w:rFonts w:hint="cs"/>
          <w:sz w:val="36"/>
          <w:rtl/>
        </w:rPr>
        <w:t>بن سليمان الشهير بناظر زاده من علماء الحنفية في القرن الحادي عشر الهجري أحد المؤلفات التي تميزت بالدقة في اختيار القاعدة الفقهية مع الاهتمام بصياغتها حيث الإيجاز في العبارة والوفاء بالمعنى</w:t>
      </w:r>
      <w:r w:rsidR="0048366D">
        <w:rPr>
          <w:rFonts w:hint="cs"/>
          <w:sz w:val="36"/>
          <w:rtl/>
        </w:rPr>
        <w:t>،</w:t>
      </w:r>
      <w:r w:rsidRPr="00B232A4">
        <w:rPr>
          <w:rFonts w:hint="cs"/>
          <w:sz w:val="36"/>
          <w:rtl/>
        </w:rPr>
        <w:t xml:space="preserve"> وكان ذا ترتيب هجائي ييسر الرجوع إلى قواعده التي تجاوزت ستين قاعدة ومائتين</w:t>
      </w:r>
      <w:r w:rsidR="0048366D">
        <w:rPr>
          <w:rFonts w:hint="cs"/>
          <w:sz w:val="36"/>
          <w:rtl/>
        </w:rPr>
        <w:t>.</w:t>
      </w:r>
      <w:r w:rsidRPr="00B232A4">
        <w:rPr>
          <w:rFonts w:hint="cs"/>
          <w:sz w:val="36"/>
          <w:rtl/>
        </w:rPr>
        <w:t xml:space="preserve">                        </w:t>
      </w:r>
    </w:p>
    <w:p w:rsidR="00C74A2F" w:rsidRPr="00B232A4" w:rsidRDefault="00C74A2F" w:rsidP="009A68A5">
      <w:pPr>
        <w:jc w:val="both"/>
        <w:rPr>
          <w:sz w:val="36"/>
          <w:rtl/>
        </w:rPr>
      </w:pPr>
      <w:r>
        <w:rPr>
          <w:rFonts w:hint="cs"/>
          <w:sz w:val="36"/>
          <w:rtl/>
        </w:rPr>
        <w:tab/>
      </w:r>
      <w:r w:rsidRPr="00B232A4">
        <w:rPr>
          <w:rFonts w:hint="cs"/>
          <w:sz w:val="36"/>
          <w:rtl/>
        </w:rPr>
        <w:t xml:space="preserve">واكتسب ـ أيضاً ـ أهمية في علم القواعد الفقهية  لسبقه كتاب أبي سعيد الخادمي </w:t>
      </w:r>
      <w:r>
        <w:rPr>
          <w:rFonts w:hint="cs"/>
          <w:sz w:val="36"/>
          <w:rtl/>
        </w:rPr>
        <w:tab/>
      </w:r>
      <w:r w:rsidRPr="00B232A4">
        <w:rPr>
          <w:rFonts w:hint="cs"/>
          <w:sz w:val="36"/>
          <w:rtl/>
        </w:rPr>
        <w:t xml:space="preserve">المتوفى سنة 1176هـ المعروف بمجامع الحقائق والذي ضم "154" قاعدة، ذلك </w:t>
      </w:r>
      <w:r>
        <w:rPr>
          <w:rFonts w:hint="cs"/>
          <w:sz w:val="36"/>
          <w:rtl/>
        </w:rPr>
        <w:tab/>
      </w:r>
      <w:r w:rsidRPr="00B232A4">
        <w:rPr>
          <w:rFonts w:hint="cs"/>
          <w:sz w:val="36"/>
          <w:rtl/>
        </w:rPr>
        <w:t xml:space="preserve">الكتاب الذي أفاد منه علماء الدولة العثمانية في وضع القواعد الفقهية في مجلة </w:t>
      </w:r>
      <w:r>
        <w:rPr>
          <w:rFonts w:hint="cs"/>
          <w:sz w:val="36"/>
          <w:rtl/>
        </w:rPr>
        <w:tab/>
      </w:r>
      <w:r w:rsidRPr="00B232A4">
        <w:rPr>
          <w:rFonts w:hint="cs"/>
          <w:sz w:val="36"/>
          <w:rtl/>
        </w:rPr>
        <w:t>الأحكام العدلية</w:t>
      </w:r>
      <w:r w:rsidR="0048366D">
        <w:rPr>
          <w:rFonts w:hint="cs"/>
          <w:sz w:val="36"/>
          <w:rtl/>
        </w:rPr>
        <w:t>.</w:t>
      </w:r>
    </w:p>
    <w:p w:rsidR="00C74A2F" w:rsidRPr="00B232A4" w:rsidRDefault="00C74A2F" w:rsidP="007C7F13">
      <w:pPr>
        <w:widowControl/>
        <w:numPr>
          <w:ilvl w:val="0"/>
          <w:numId w:val="1"/>
        </w:numPr>
        <w:tabs>
          <w:tab w:val="clear" w:pos="840"/>
        </w:tabs>
        <w:ind w:left="707" w:hanging="416"/>
        <w:jc w:val="both"/>
        <w:rPr>
          <w:sz w:val="36"/>
        </w:rPr>
      </w:pPr>
      <w:r w:rsidRPr="00B232A4">
        <w:rPr>
          <w:rFonts w:hint="cs"/>
          <w:sz w:val="36"/>
          <w:rtl/>
        </w:rPr>
        <w:t>وقد بذل الشيخ خالد بن عبدالعزيز آل سليمان جهداً مباركاً في تحقيق ودراسة هذا الكتاب وإخراجه</w:t>
      </w:r>
      <w:r w:rsidR="0048366D">
        <w:rPr>
          <w:rFonts w:hint="cs"/>
          <w:sz w:val="36"/>
          <w:rtl/>
        </w:rPr>
        <w:t>،</w:t>
      </w:r>
      <w:r w:rsidRPr="00B232A4">
        <w:rPr>
          <w:rFonts w:hint="cs"/>
          <w:sz w:val="36"/>
          <w:rtl/>
        </w:rPr>
        <w:t xml:space="preserve"> وكانت له التعليقات النافعة والإضافات المتميزة</w:t>
      </w:r>
      <w:r w:rsidR="0048366D">
        <w:rPr>
          <w:rFonts w:hint="cs"/>
          <w:sz w:val="36"/>
          <w:rtl/>
        </w:rPr>
        <w:t>؛</w:t>
      </w:r>
      <w:r w:rsidRPr="00B232A4">
        <w:rPr>
          <w:rFonts w:hint="cs"/>
          <w:sz w:val="36"/>
          <w:rtl/>
        </w:rPr>
        <w:t xml:space="preserve"> مما سهل الرجوع إليه والإفادة منه</w:t>
      </w:r>
      <w:r w:rsidR="0048366D">
        <w:rPr>
          <w:rFonts w:hint="cs"/>
          <w:sz w:val="36"/>
          <w:rtl/>
        </w:rPr>
        <w:t>،</w:t>
      </w:r>
      <w:r w:rsidRPr="00B232A4">
        <w:rPr>
          <w:rFonts w:hint="cs"/>
          <w:sz w:val="36"/>
          <w:rtl/>
        </w:rPr>
        <w:t xml:space="preserve"> واسأل الله سبحانه وتعالى أن يبارك في جهده وأن ينفع به وأن يكتب له الأجر فيما قدم</w:t>
      </w:r>
      <w:r w:rsidR="0048366D">
        <w:rPr>
          <w:rFonts w:hint="cs"/>
          <w:sz w:val="36"/>
          <w:rtl/>
        </w:rPr>
        <w:t>،</w:t>
      </w:r>
      <w:r w:rsidRPr="00B232A4">
        <w:rPr>
          <w:rFonts w:hint="cs"/>
          <w:sz w:val="36"/>
          <w:rtl/>
        </w:rPr>
        <w:t xml:space="preserve"> وصلى وسلم على نبينا محمد وعلى آله وصحبه وسلم</w:t>
      </w:r>
      <w:r w:rsidR="0048366D">
        <w:rPr>
          <w:rFonts w:hint="cs"/>
          <w:sz w:val="36"/>
          <w:rtl/>
        </w:rPr>
        <w:t>،</w:t>
      </w:r>
      <w:r w:rsidRPr="00B232A4">
        <w:rPr>
          <w:rFonts w:hint="cs"/>
          <w:sz w:val="36"/>
          <w:rtl/>
        </w:rPr>
        <w:t xml:space="preserve"> والحمد لله رب العالمين</w:t>
      </w:r>
      <w:r w:rsidR="0048366D">
        <w:rPr>
          <w:rFonts w:hint="cs"/>
          <w:sz w:val="36"/>
          <w:rtl/>
        </w:rPr>
        <w:t>.</w:t>
      </w:r>
      <w:r w:rsidRPr="00B232A4">
        <w:rPr>
          <w:rFonts w:hint="cs"/>
          <w:sz w:val="36"/>
          <w:rtl/>
        </w:rPr>
        <w:t xml:space="preserve"> </w:t>
      </w:r>
    </w:p>
    <w:p w:rsidR="00C74A2F" w:rsidRDefault="00C74A2F" w:rsidP="009A68A5">
      <w:pPr>
        <w:ind w:left="1200"/>
        <w:jc w:val="both"/>
        <w:rPr>
          <w:rFonts w:cs="Simplified Arabic"/>
          <w:sz w:val="32"/>
          <w:szCs w:val="32"/>
          <w:rtl/>
        </w:rPr>
      </w:pPr>
    </w:p>
    <w:p w:rsidR="00C74A2F" w:rsidRPr="00275A73" w:rsidRDefault="00C74A2F" w:rsidP="00B37E61">
      <w:pPr>
        <w:ind w:left="1200" w:firstLine="3051"/>
        <w:jc w:val="center"/>
        <w:rPr>
          <w:b/>
          <w:bCs/>
          <w:sz w:val="32"/>
          <w:szCs w:val="32"/>
          <w:rtl/>
        </w:rPr>
      </w:pPr>
      <w:r w:rsidRPr="00275A73">
        <w:rPr>
          <w:rFonts w:hint="cs"/>
          <w:b/>
          <w:bCs/>
          <w:sz w:val="32"/>
          <w:szCs w:val="32"/>
          <w:rtl/>
        </w:rPr>
        <w:t>وكتبه</w:t>
      </w:r>
      <w:r w:rsidR="0048366D">
        <w:rPr>
          <w:rFonts w:hint="cs"/>
          <w:b/>
          <w:bCs/>
          <w:sz w:val="32"/>
          <w:szCs w:val="32"/>
          <w:rtl/>
        </w:rPr>
        <w:t>:</w:t>
      </w:r>
    </w:p>
    <w:p w:rsidR="00C74A2F" w:rsidRPr="00275A73" w:rsidRDefault="00C74A2F" w:rsidP="00B37E61">
      <w:pPr>
        <w:ind w:left="1200" w:firstLine="3051"/>
        <w:jc w:val="center"/>
        <w:rPr>
          <w:b/>
          <w:bCs/>
          <w:sz w:val="32"/>
          <w:szCs w:val="32"/>
          <w:rtl/>
        </w:rPr>
      </w:pPr>
      <w:r w:rsidRPr="00275A73">
        <w:rPr>
          <w:rFonts w:hint="cs"/>
          <w:b/>
          <w:bCs/>
          <w:sz w:val="32"/>
          <w:szCs w:val="32"/>
          <w:rtl/>
        </w:rPr>
        <w:t>د. أحمد بن محمد العنقري</w:t>
      </w:r>
    </w:p>
    <w:p w:rsidR="00C74A2F" w:rsidRPr="00275A73" w:rsidRDefault="00C74A2F" w:rsidP="00B37E61">
      <w:pPr>
        <w:ind w:left="1200" w:firstLine="3051"/>
        <w:jc w:val="center"/>
        <w:rPr>
          <w:b/>
          <w:bCs/>
          <w:sz w:val="32"/>
          <w:szCs w:val="32"/>
          <w:rtl/>
        </w:rPr>
      </w:pPr>
      <w:r w:rsidRPr="00275A73">
        <w:rPr>
          <w:rFonts w:hint="cs"/>
          <w:b/>
          <w:bCs/>
          <w:sz w:val="32"/>
          <w:szCs w:val="32"/>
          <w:rtl/>
        </w:rPr>
        <w:t>قسم أصول الفقه ـ كلية الشريعة بالرياض</w:t>
      </w:r>
    </w:p>
    <w:p w:rsidR="000F35C3" w:rsidRDefault="00C74A2F" w:rsidP="00B37E61">
      <w:pPr>
        <w:ind w:left="1200" w:firstLine="3051"/>
        <w:jc w:val="center"/>
        <w:rPr>
          <w:b/>
          <w:bCs/>
          <w:sz w:val="32"/>
          <w:szCs w:val="32"/>
          <w:rtl/>
        </w:rPr>
      </w:pPr>
      <w:r w:rsidRPr="00275A73">
        <w:rPr>
          <w:rFonts w:hint="cs"/>
          <w:b/>
          <w:bCs/>
          <w:sz w:val="32"/>
          <w:szCs w:val="32"/>
          <w:rtl/>
        </w:rPr>
        <w:t>26</w:t>
      </w:r>
      <w:r w:rsidRPr="00275A73">
        <w:rPr>
          <w:b/>
          <w:bCs/>
          <w:sz w:val="32"/>
          <w:szCs w:val="32"/>
          <w:rtl/>
        </w:rPr>
        <w:t>‏/07‏/1425</w:t>
      </w:r>
      <w:r w:rsidRPr="00275A73">
        <w:rPr>
          <w:rFonts w:hint="cs"/>
          <w:b/>
          <w:bCs/>
          <w:sz w:val="32"/>
          <w:szCs w:val="32"/>
          <w:rtl/>
        </w:rPr>
        <w:t>هـ</w:t>
      </w:r>
    </w:p>
    <w:p w:rsidR="000F35C3" w:rsidRDefault="000F35C3" w:rsidP="009A68A5">
      <w:pPr>
        <w:widowControl/>
        <w:bidi w:val="0"/>
        <w:spacing w:after="160" w:line="259" w:lineRule="auto"/>
        <w:ind w:firstLine="0"/>
        <w:jc w:val="both"/>
        <w:rPr>
          <w:b/>
          <w:bCs/>
          <w:sz w:val="32"/>
          <w:szCs w:val="32"/>
          <w:rtl/>
        </w:rPr>
      </w:pPr>
      <w:r>
        <w:rPr>
          <w:b/>
          <w:bCs/>
          <w:sz w:val="32"/>
          <w:szCs w:val="32"/>
          <w:rtl/>
        </w:rPr>
        <w:br w:type="page"/>
      </w:r>
    </w:p>
    <w:p w:rsidR="000F35C3" w:rsidRPr="00C2447F" w:rsidRDefault="000F35C3" w:rsidP="00B37E61">
      <w:pPr>
        <w:ind w:firstLine="26"/>
        <w:jc w:val="center"/>
        <w:rPr>
          <w:rFonts w:cs="Monotype Koufi"/>
          <w:rtl/>
        </w:rPr>
      </w:pPr>
      <w:r w:rsidRPr="00C2447F">
        <w:rPr>
          <w:rFonts w:cs="Monotype Koufi" w:hint="cs"/>
          <w:rtl/>
        </w:rPr>
        <w:lastRenderedPageBreak/>
        <w:t>تعريف بكتاب (ترتيب اللآلي في سلك الأمالي)</w:t>
      </w:r>
    </w:p>
    <w:p w:rsidR="000F35C3" w:rsidRPr="00C2447F" w:rsidRDefault="000F35C3" w:rsidP="00B37E61">
      <w:pPr>
        <w:ind w:firstLine="26"/>
        <w:jc w:val="center"/>
        <w:rPr>
          <w:rFonts w:cs="Monotype Koufi"/>
          <w:rtl/>
        </w:rPr>
      </w:pPr>
      <w:r w:rsidRPr="00C2447F">
        <w:rPr>
          <w:rFonts w:cs="Monotype Koufi" w:hint="cs"/>
          <w:rtl/>
        </w:rPr>
        <w:t>بقلم فضيلة الشيخ د. علي بن أحمد الندوي</w:t>
      </w:r>
    </w:p>
    <w:p w:rsidR="000F35C3" w:rsidRPr="00BC02F7" w:rsidRDefault="000F35C3" w:rsidP="009A68A5">
      <w:pPr>
        <w:spacing w:before="240"/>
        <w:ind w:firstLine="26"/>
        <w:jc w:val="both"/>
        <w:rPr>
          <w:rtl/>
        </w:rPr>
      </w:pPr>
      <w:r w:rsidRPr="00BC02F7">
        <w:rPr>
          <w:rFonts w:hint="cs"/>
          <w:rtl/>
        </w:rPr>
        <w:t>(رئيس مستشارين بالمجموعة الشرعية بشركة الراجحي المصرفية،</w:t>
      </w:r>
      <w:r>
        <w:rPr>
          <w:rFonts w:hint="cs"/>
          <w:rtl/>
        </w:rPr>
        <w:t xml:space="preserve"> وحاصل</w:t>
      </w:r>
      <w:r w:rsidRPr="00BC02F7">
        <w:rPr>
          <w:rFonts w:hint="cs"/>
          <w:rtl/>
        </w:rPr>
        <w:t> - بالاشتراك - على جائزة الملك فيصل للدراسات الإسلامية (</w:t>
      </w:r>
      <w:r>
        <w:rPr>
          <w:rFonts w:hint="cs"/>
          <w:rtl/>
        </w:rPr>
        <w:t xml:space="preserve">في </w:t>
      </w:r>
      <w:r w:rsidRPr="00BC02F7">
        <w:rPr>
          <w:rFonts w:hint="cs"/>
          <w:rtl/>
        </w:rPr>
        <w:t>القواعد الفقهية)</w:t>
      </w:r>
      <w:r>
        <w:rPr>
          <w:rFonts w:hint="cs"/>
          <w:rtl/>
        </w:rPr>
        <w:t>)</w:t>
      </w:r>
      <w:r w:rsidRPr="00BC02F7">
        <w:rPr>
          <w:rFonts w:hint="cs"/>
          <w:rtl/>
        </w:rPr>
        <w:t xml:space="preserve"> </w:t>
      </w:r>
    </w:p>
    <w:p w:rsidR="000F35C3" w:rsidRDefault="000F35C3" w:rsidP="009A68A5">
      <w:pPr>
        <w:spacing w:before="240"/>
        <w:ind w:firstLine="26"/>
        <w:jc w:val="both"/>
        <w:rPr>
          <w:rtl/>
        </w:rPr>
      </w:pPr>
      <w:r>
        <w:rPr>
          <w:rFonts w:hint="cs"/>
          <w:rtl/>
        </w:rPr>
        <w:tab/>
        <w:t xml:space="preserve">الحمد لله رب العالمين والصلاة والسلام على نبينا محمد وآله وصحبه أجمعين وبعد: </w:t>
      </w:r>
    </w:p>
    <w:p w:rsidR="000F35C3" w:rsidRDefault="000F35C3" w:rsidP="009A68A5">
      <w:pPr>
        <w:ind w:firstLine="26"/>
        <w:jc w:val="both"/>
        <w:rPr>
          <w:rtl/>
        </w:rPr>
      </w:pPr>
      <w:r>
        <w:rPr>
          <w:rFonts w:hint="cs"/>
          <w:rtl/>
        </w:rPr>
        <w:tab/>
        <w:t>فيعد هذا الكتاب المسمى بـ"</w:t>
      </w:r>
      <w:r>
        <w:rPr>
          <w:rFonts w:hint="cs"/>
          <w:b/>
          <w:bCs/>
          <w:rtl/>
        </w:rPr>
        <w:t>ترتيب اللآلي في سلك الأمالي</w:t>
      </w:r>
      <w:r w:rsidRPr="008E4B4C">
        <w:rPr>
          <w:rFonts w:hint="cs"/>
          <w:rtl/>
        </w:rPr>
        <w:t>"</w:t>
      </w:r>
      <w:r>
        <w:rPr>
          <w:rFonts w:hint="cs"/>
          <w:rtl/>
        </w:rPr>
        <w:t xml:space="preserve"> الذي ألفه العلامة ناظر زاده أحد علماء الدولة العثمانية من الكتب الجامعة بين قواعد الفقه وقواعد الأصول، ولكن الغالب عليه قواعد النوع الأول كما يتجلى ذلك بالنظر في فحوى القواعد الواردة فيه، وإن لم يتضح ذلك من عنوانه، ففيما يبدو أن المؤلف قد تراءى له أن هذه القواعد التي انتقاها من كتب المذهب عبارة عن لآل علمية، ولذا اختار هذه التسمية، وجعل موضوعات الكتاب تنطق بما حواه. </w:t>
      </w:r>
    </w:p>
    <w:p w:rsidR="000F35C3" w:rsidRDefault="000F35C3" w:rsidP="009A68A5">
      <w:pPr>
        <w:ind w:firstLine="26"/>
        <w:jc w:val="both"/>
        <w:rPr>
          <w:rtl/>
        </w:rPr>
      </w:pPr>
      <w:r>
        <w:rPr>
          <w:rFonts w:hint="cs"/>
          <w:rtl/>
        </w:rPr>
        <w:tab/>
        <w:t xml:space="preserve">وليس بخاف أن القواعد الفقهية منزلة منيفة بين العلوم الشرعية، فلا مندوحة لعامة المثقفين عنها، فضلاً عمن حرص على التضلع من الفقه، وقد اشتمل هذا الكتاب على طائفة من قواعد المذهب الحنفي ومنها عامة مشهورة متقبلة في المذهب الفقهية الثلاثة الأخرى، مثل "الأمور بمقاصدها" (ق/48)، و "الأشد يزال بالأخف" (ق/24)، و"الجهالة المفضية إلى النزاع مفسدة للعقد". (ق/104)، ومنها قواعد مذهبية قد تبناها المذهب الحنفي مثل "الأجر والضمان لا يجتمعان" (ق/7)، و"الاستصحاب حجة دافعة لا مثبتة" (ق/22)، ومنها مالا يرقى إلى درجة القواعد في حقيقة الأمر وذلك كقوله "البيع سالب للملك والشراء جالب" (ق/57)، فإنما هو مجرد حكم يعبر عن معنى البيع والشراء بأسلوب معين. وهكذا تضمن الكتاب قواعد </w:t>
      </w:r>
      <w:r>
        <w:rPr>
          <w:rFonts w:hint="cs"/>
          <w:rtl/>
        </w:rPr>
        <w:lastRenderedPageBreak/>
        <w:t xml:space="preserve">وضوابط فقهية ونبذة من قواعد أصول الفقه تتفاوت في قوتها من حيث تعليل الأحكام بها. </w:t>
      </w:r>
    </w:p>
    <w:p w:rsidR="000F35C3" w:rsidRDefault="000F35C3" w:rsidP="009A68A5">
      <w:pPr>
        <w:ind w:firstLine="26"/>
        <w:jc w:val="both"/>
        <w:rPr>
          <w:rtl/>
        </w:rPr>
      </w:pPr>
      <w:r>
        <w:rPr>
          <w:rFonts w:hint="cs"/>
          <w:rtl/>
        </w:rPr>
        <w:tab/>
        <w:t>ومن الجدير بالذكر أنه قد تبين بالنظر فيه أثره البالغ في قواعد "مجلة الأحكام العدلية"، بجانب أثر "الأشباه والنظائر" لابن نجيم فيها. وفي رأيي لا يستبعد أن يكون هذا الكتاب مرجعاً أساسياً مباشراً لدى اللجنة العلمية التي تولت تحرير "المجلة" ووضعت قواعد في بدايتها، حيث كان ناظر زاده من تلك الديار، وعلى أقل تقدير يعد مرجعاً غير مباشر من حيث رجوع "المجلة" إلى قواعد العلامة أبي سعيد الخادمي، المدرجة في خاتمة كتابه "مجامع الحقائق" في أصول الفقه، إذ الخادمي قد اقتبس معظم القواعد من كتاب العلامة ناظر زاده، كما نبه على ذلك محقق الكتاب بصدد دراسته لـ"ترتيب اللآلي".</w:t>
      </w:r>
    </w:p>
    <w:p w:rsidR="000F35C3" w:rsidRDefault="000F35C3" w:rsidP="009A68A5">
      <w:pPr>
        <w:ind w:firstLine="26"/>
        <w:jc w:val="both"/>
        <w:rPr>
          <w:rtl/>
        </w:rPr>
      </w:pPr>
      <w:r>
        <w:rPr>
          <w:rFonts w:hint="cs"/>
          <w:rtl/>
        </w:rPr>
        <w:tab/>
        <w:t xml:space="preserve">وبما أنه قد جاء ثريا في محتواه العلمي أجده حريا بأن ينال مكانته في زمرة مراجع القواعد الفقهية المعول عليها. </w:t>
      </w:r>
    </w:p>
    <w:p w:rsidR="000F35C3" w:rsidRDefault="000F35C3" w:rsidP="009A68A5">
      <w:pPr>
        <w:spacing w:before="240"/>
        <w:ind w:firstLine="26"/>
        <w:jc w:val="both"/>
        <w:rPr>
          <w:rtl/>
        </w:rPr>
      </w:pPr>
      <w:r>
        <w:rPr>
          <w:rFonts w:hint="cs"/>
          <w:rtl/>
        </w:rPr>
        <w:tab/>
        <w:t xml:space="preserve">وأسأل الله تعالى أن يجعله مباركاً نافعاً متقبلاً قبولاً حسناً. وآخر دعوانا أن الحمد لله رب العالمين. </w:t>
      </w:r>
    </w:p>
    <w:p w:rsidR="000F35C3" w:rsidRDefault="000F35C3" w:rsidP="009A68A5">
      <w:pPr>
        <w:ind w:firstLine="26"/>
        <w:jc w:val="both"/>
        <w:rPr>
          <w:rtl/>
        </w:rPr>
      </w:pPr>
    </w:p>
    <w:p w:rsidR="000F35C3" w:rsidRPr="00560877" w:rsidRDefault="000F35C3" w:rsidP="00B37E61">
      <w:pPr>
        <w:ind w:firstLine="5527"/>
        <w:jc w:val="center"/>
        <w:rPr>
          <w:b/>
          <w:bCs/>
          <w:rtl/>
        </w:rPr>
      </w:pPr>
      <w:r w:rsidRPr="00560877">
        <w:rPr>
          <w:rFonts w:hint="cs"/>
          <w:b/>
          <w:bCs/>
          <w:rtl/>
        </w:rPr>
        <w:t>كتبه: علي أحمد الندوي</w:t>
      </w:r>
    </w:p>
    <w:p w:rsidR="002C118C" w:rsidRDefault="000F35C3" w:rsidP="00B37E61">
      <w:pPr>
        <w:ind w:firstLine="5527"/>
        <w:jc w:val="center"/>
        <w:rPr>
          <w:b/>
          <w:bCs/>
          <w:rtl/>
        </w:rPr>
        <w:sectPr w:rsidR="002C118C" w:rsidSect="001A26B6">
          <w:headerReference w:type="even" r:id="rId9"/>
          <w:headerReference w:type="default" r:id="rId10"/>
          <w:footerReference w:type="even" r:id="rId11"/>
          <w:footerReference w:type="default" r:id="rId12"/>
          <w:footnotePr>
            <w:pos w:val="beneathText"/>
            <w:numRestart w:val="eachPage"/>
          </w:footnotePr>
          <w:endnotePr>
            <w:numFmt w:val="decimal"/>
          </w:endnotePr>
          <w:pgSz w:w="11906" w:h="16838" w:code="9"/>
          <w:pgMar w:top="2268" w:right="1559" w:bottom="1418" w:left="1559" w:header="680" w:footer="851" w:gutter="284"/>
          <w:pgNumType w:fmt="arabicAlpha" w:start="5"/>
          <w:cols w:space="720"/>
          <w:bidi/>
          <w:rtlGutter/>
        </w:sectPr>
      </w:pPr>
      <w:r w:rsidRPr="00560877">
        <w:rPr>
          <w:rFonts w:hint="cs"/>
          <w:b/>
          <w:bCs/>
          <w:rtl/>
        </w:rPr>
        <w:t>4/4/1425هـ</w:t>
      </w:r>
    </w:p>
    <w:p w:rsidR="00261DC8" w:rsidRPr="00320F58" w:rsidRDefault="00261DC8" w:rsidP="00B37E61">
      <w:pPr>
        <w:jc w:val="center"/>
        <w:rPr>
          <w:sz w:val="38"/>
          <w:szCs w:val="38"/>
          <w:rtl/>
        </w:rPr>
      </w:pPr>
      <w:r w:rsidRPr="00FD38D5">
        <w:rPr>
          <w:sz w:val="38"/>
          <w:szCs w:val="38"/>
        </w:rPr>
        <w:lastRenderedPageBreak/>
        <w:sym w:font="HQPB3" w:char="F069"/>
      </w:r>
      <w:r w:rsidRPr="00FD38D5">
        <w:rPr>
          <w:sz w:val="38"/>
          <w:szCs w:val="38"/>
        </w:rPr>
        <w:sym w:font="HQPB3" w:char="F06A"/>
      </w:r>
      <w:r w:rsidRPr="00FD38D5">
        <w:rPr>
          <w:sz w:val="38"/>
          <w:szCs w:val="38"/>
        </w:rPr>
        <w:sym w:font="HQPB3" w:char="F06B"/>
      </w:r>
    </w:p>
    <w:p w:rsidR="00261DC8" w:rsidRPr="004B6F54" w:rsidRDefault="00261DC8" w:rsidP="00B37E61">
      <w:pPr>
        <w:jc w:val="center"/>
        <w:rPr>
          <w:sz w:val="72"/>
          <w:szCs w:val="72"/>
          <w:rtl/>
        </w:rPr>
      </w:pPr>
      <w:r>
        <w:rPr>
          <w:rFonts w:ascii="AGA Arabesque" w:hAnsi="AGA Arabesque" w:cs="AGA Arabesque"/>
          <w:sz w:val="72"/>
          <w:szCs w:val="72"/>
        </w:rPr>
        <w:t></w:t>
      </w:r>
    </w:p>
    <w:p w:rsidR="00261DC8" w:rsidRDefault="00261DC8" w:rsidP="009A68A5">
      <w:pPr>
        <w:jc w:val="both"/>
        <w:rPr>
          <w:sz w:val="36"/>
          <w:rtl/>
        </w:rPr>
      </w:pPr>
    </w:p>
    <w:p w:rsidR="00261DC8" w:rsidRPr="0075621D" w:rsidRDefault="00261DC8" w:rsidP="009A68A5">
      <w:pPr>
        <w:jc w:val="both"/>
        <w:rPr>
          <w:spacing w:val="-6"/>
          <w:sz w:val="36"/>
          <w:rtl/>
        </w:rPr>
      </w:pPr>
      <w:r w:rsidRPr="0075621D">
        <w:rPr>
          <w:rFonts w:hint="cs"/>
          <w:spacing w:val="-6"/>
          <w:sz w:val="36"/>
          <w:rtl/>
        </w:rPr>
        <w:t xml:space="preserve">إن الحمد لله نحمده، ونستعينه، من يهده الله فلا مضل له، ومن يضلل فلا هادي له، وأشهد أن لا إله إلا الله وحده لا شريك له، وأشهد أنّ محمدًا عبده ورسوله، </w:t>
      </w:r>
      <w:r w:rsidRPr="0075621D">
        <w:rPr>
          <w:rFonts w:hint="cs"/>
          <w:b/>
          <w:bCs/>
          <w:spacing w:val="-6"/>
          <w:sz w:val="36"/>
          <w:rtl/>
        </w:rPr>
        <w:t>أما بعد</w:t>
      </w:r>
      <w:r w:rsidRPr="0075621D">
        <w:rPr>
          <w:rStyle w:val="a7"/>
          <w:spacing w:val="-6"/>
          <w:sz w:val="36"/>
          <w:rtl/>
        </w:rPr>
        <w:t>(</w:t>
      </w:r>
      <w:r w:rsidRPr="0075621D">
        <w:rPr>
          <w:rStyle w:val="a7"/>
          <w:spacing w:val="-6"/>
          <w:rtl/>
        </w:rPr>
        <w:footnoteReference w:id="1"/>
      </w:r>
      <w:r w:rsidRPr="0075621D">
        <w:rPr>
          <w:rStyle w:val="a7"/>
          <w:spacing w:val="-6"/>
          <w:sz w:val="36"/>
          <w:rtl/>
        </w:rPr>
        <w:t>)</w:t>
      </w:r>
      <w:r w:rsidR="0048366D">
        <w:rPr>
          <w:rFonts w:hint="cs"/>
          <w:spacing w:val="-6"/>
          <w:sz w:val="36"/>
          <w:rtl/>
        </w:rPr>
        <w:t>:</w:t>
      </w:r>
    </w:p>
    <w:p w:rsidR="00261DC8" w:rsidRPr="0075621D" w:rsidRDefault="00261DC8" w:rsidP="009A68A5">
      <w:pPr>
        <w:jc w:val="both"/>
        <w:rPr>
          <w:spacing w:val="-6"/>
          <w:sz w:val="36"/>
          <w:rtl/>
        </w:rPr>
      </w:pPr>
      <w:r w:rsidRPr="0075621D">
        <w:rPr>
          <w:rFonts w:hint="cs"/>
          <w:spacing w:val="-6"/>
          <w:sz w:val="36"/>
          <w:rtl/>
        </w:rPr>
        <w:t>فقد كتب الله جلّ وعلا أن تكون شريعة الإسلام خاتمة الشرائع السماوية وأكملها وأتمها، كما كتب أن تكون أعمها وأشملها، فأوجب على جميع البشر اتّباعها إلى أن يرث الأرض ومن عليها</w:t>
      </w:r>
      <w:r w:rsidR="0048366D">
        <w:rPr>
          <w:rFonts w:hint="cs"/>
          <w:spacing w:val="-6"/>
          <w:sz w:val="36"/>
          <w:rtl/>
        </w:rPr>
        <w:t>؛</w:t>
      </w:r>
      <w:r w:rsidRPr="0075621D">
        <w:rPr>
          <w:rFonts w:hint="cs"/>
          <w:spacing w:val="-6"/>
          <w:sz w:val="36"/>
          <w:rtl/>
        </w:rPr>
        <w:t xml:space="preserve"> لهذا جاءت أحكامها الفقهية مبنية على قواعد ثابتة لا تتغيّر بتغير المكان والزمان، وشاملة لجميع الحوادث والوقائع التي لا تنقضي على مرّ الزمان.</w:t>
      </w:r>
    </w:p>
    <w:p w:rsidR="00261DC8" w:rsidRPr="0075621D" w:rsidRDefault="00261DC8" w:rsidP="009A68A5">
      <w:pPr>
        <w:jc w:val="both"/>
        <w:rPr>
          <w:spacing w:val="-6"/>
          <w:sz w:val="36"/>
          <w:rtl/>
        </w:rPr>
      </w:pPr>
      <w:r w:rsidRPr="0075621D">
        <w:rPr>
          <w:rFonts w:hint="cs"/>
          <w:spacing w:val="-6"/>
          <w:sz w:val="36"/>
          <w:rtl/>
        </w:rPr>
        <w:t>ونظرًا لأهمية هذه القواعد فقد اعتنى بها العلماء غاية الاعتناء، وأفردوا لها مؤلفات كثيرة، ولهجوا بالإشادة بها، على اختلاف مذاهبهم ومشاربهم.</w:t>
      </w:r>
    </w:p>
    <w:p w:rsidR="00261DC8" w:rsidRPr="0075621D" w:rsidRDefault="00261DC8" w:rsidP="009A68A5">
      <w:pPr>
        <w:jc w:val="both"/>
        <w:rPr>
          <w:spacing w:val="-6"/>
          <w:sz w:val="36"/>
          <w:rtl/>
        </w:rPr>
      </w:pPr>
      <w:r w:rsidRPr="0075621D">
        <w:rPr>
          <w:rFonts w:hint="cs"/>
          <w:spacing w:val="-6"/>
          <w:sz w:val="36"/>
          <w:rtl/>
        </w:rPr>
        <w:t>قال شهاب الدين القرافي المالكي ( ت 684هـ)</w:t>
      </w:r>
      <w:r w:rsidR="0048366D">
        <w:rPr>
          <w:rFonts w:hint="cs"/>
          <w:spacing w:val="-6"/>
          <w:sz w:val="36"/>
          <w:rtl/>
        </w:rPr>
        <w:t>:</w:t>
      </w:r>
      <w:r w:rsidRPr="0075621D">
        <w:rPr>
          <w:rFonts w:hint="eastAsia"/>
          <w:spacing w:val="-6"/>
          <w:szCs w:val="20"/>
          <w:rtl/>
          <w:lang w:eastAsia="en-GB"/>
        </w:rPr>
        <w:t xml:space="preserve"> «</w:t>
      </w:r>
      <w:r w:rsidRPr="0075621D">
        <w:rPr>
          <w:rFonts w:hint="cs"/>
          <w:spacing w:val="-6"/>
          <w:sz w:val="36"/>
          <w:rtl/>
        </w:rPr>
        <w:t xml:space="preserve"> وهذه القواعد مهمّةٌ في الفقه، عظيمـة النفع، وبقدر الإحاطة بها يعظم قدر الفقيه ويشرف، ويظهر رونق الفقه ويُعرف، وتتّضح مناهج الفتوى وتُكشف،</w:t>
      </w:r>
      <w:r w:rsidR="0048366D">
        <w:rPr>
          <w:rFonts w:hint="cs"/>
          <w:spacing w:val="-6"/>
          <w:sz w:val="36"/>
          <w:rtl/>
        </w:rPr>
        <w:t>.</w:t>
      </w:r>
      <w:r w:rsidRPr="0075621D">
        <w:rPr>
          <w:rFonts w:hint="cs"/>
          <w:spacing w:val="-6"/>
          <w:sz w:val="36"/>
          <w:rtl/>
        </w:rPr>
        <w:t xml:space="preserve">.. ومن ضبط الفقه بقواعده استغنى عن حفظ أكثر الجزئيات؛ لاندراجها في الكليات، واتّحد عنده ما تناقض عند غيره، وتناسب </w:t>
      </w:r>
      <w:r w:rsidRPr="0075621D">
        <w:rPr>
          <w:rFonts w:hint="eastAsia"/>
          <w:spacing w:val="-6"/>
          <w:szCs w:val="20"/>
          <w:rtl/>
          <w:lang w:eastAsia="en-GB"/>
        </w:rPr>
        <w:t>»</w:t>
      </w:r>
      <w:r w:rsidRPr="0075621D">
        <w:rPr>
          <w:rFonts w:hint="cs"/>
          <w:spacing w:val="-6"/>
          <w:sz w:val="36"/>
          <w:rtl/>
        </w:rPr>
        <w:t>.</w:t>
      </w:r>
      <w:r w:rsidRPr="0075621D">
        <w:rPr>
          <w:rStyle w:val="a7"/>
          <w:spacing w:val="-6"/>
          <w:sz w:val="36"/>
          <w:rtl/>
        </w:rPr>
        <w:t>(</w:t>
      </w:r>
      <w:r w:rsidRPr="0075621D">
        <w:rPr>
          <w:rStyle w:val="a7"/>
          <w:spacing w:val="-6"/>
          <w:sz w:val="36"/>
          <w:rtl/>
        </w:rPr>
        <w:footnoteReference w:id="2"/>
      </w:r>
      <w:r w:rsidRPr="0075621D">
        <w:rPr>
          <w:rStyle w:val="a7"/>
          <w:spacing w:val="-6"/>
          <w:sz w:val="36"/>
          <w:rtl/>
        </w:rPr>
        <w:t>)</w:t>
      </w:r>
    </w:p>
    <w:p w:rsidR="00261DC8" w:rsidRPr="00E95206" w:rsidRDefault="00261DC8" w:rsidP="009A68A5">
      <w:pPr>
        <w:jc w:val="both"/>
        <w:rPr>
          <w:spacing w:val="-6"/>
          <w:sz w:val="36"/>
          <w:rtl/>
        </w:rPr>
      </w:pPr>
      <w:r w:rsidRPr="00E95206">
        <w:rPr>
          <w:rFonts w:hint="cs"/>
          <w:spacing w:val="-6"/>
          <w:sz w:val="36"/>
          <w:rtl/>
        </w:rPr>
        <w:t>وقال الحافظ ابن رجب الحنبلي (ت 795هـ)</w:t>
      </w:r>
      <w:r w:rsidR="0048366D">
        <w:rPr>
          <w:rFonts w:hint="cs"/>
          <w:spacing w:val="-6"/>
          <w:sz w:val="36"/>
          <w:rtl/>
        </w:rPr>
        <w:t>:</w:t>
      </w:r>
      <w:r w:rsidRPr="00E95206">
        <w:rPr>
          <w:rFonts w:hint="eastAsia"/>
          <w:spacing w:val="-6"/>
          <w:szCs w:val="20"/>
          <w:rtl/>
          <w:lang w:eastAsia="en-GB"/>
        </w:rPr>
        <w:t xml:space="preserve"> «</w:t>
      </w:r>
      <w:r w:rsidRPr="00E95206">
        <w:rPr>
          <w:rFonts w:hint="cs"/>
          <w:spacing w:val="-6"/>
          <w:szCs w:val="20"/>
          <w:rtl/>
          <w:lang w:eastAsia="en-GB"/>
        </w:rPr>
        <w:t xml:space="preserve"> </w:t>
      </w:r>
      <w:r w:rsidRPr="00E95206">
        <w:rPr>
          <w:rFonts w:hint="cs"/>
          <w:spacing w:val="-6"/>
          <w:sz w:val="36"/>
          <w:rtl/>
        </w:rPr>
        <w:t xml:space="preserve">فهذه قواعدُ مهمّةٌ، وفوائد جمّة، تضبط للفقيه أصول المذهب، وتطلعه من مآخذ الفقه على ما كان عنه قد تغيّب، وتنظم له منثور المسائل في سلك واحد، وتقيّد له الشوارد، وتقرّب عليه كل متباعد </w:t>
      </w:r>
      <w:r w:rsidRPr="00E95206">
        <w:rPr>
          <w:rFonts w:hint="eastAsia"/>
          <w:spacing w:val="-6"/>
          <w:szCs w:val="20"/>
          <w:rtl/>
          <w:lang w:eastAsia="en-GB"/>
        </w:rPr>
        <w:t>»</w:t>
      </w:r>
      <w:r w:rsidRPr="00E95206">
        <w:rPr>
          <w:rFonts w:hint="cs"/>
          <w:spacing w:val="-6"/>
          <w:sz w:val="36"/>
          <w:rtl/>
        </w:rPr>
        <w:t>.</w:t>
      </w:r>
      <w:r w:rsidRPr="00E95206">
        <w:rPr>
          <w:rStyle w:val="a7"/>
          <w:spacing w:val="-6"/>
          <w:sz w:val="36"/>
          <w:rtl/>
        </w:rPr>
        <w:t>(</w:t>
      </w:r>
      <w:r w:rsidRPr="00E95206">
        <w:rPr>
          <w:rStyle w:val="a7"/>
          <w:spacing w:val="-6"/>
          <w:sz w:val="36"/>
          <w:rtl/>
        </w:rPr>
        <w:footnoteReference w:id="3"/>
      </w:r>
      <w:r w:rsidRPr="00E95206">
        <w:rPr>
          <w:rStyle w:val="a7"/>
          <w:spacing w:val="-6"/>
          <w:sz w:val="36"/>
          <w:rtl/>
        </w:rPr>
        <w:t>)</w:t>
      </w:r>
      <w:r w:rsidRPr="00E95206">
        <w:rPr>
          <w:rFonts w:hint="cs"/>
          <w:spacing w:val="-6"/>
          <w:sz w:val="36"/>
          <w:rtl/>
        </w:rPr>
        <w:t xml:space="preserve"> </w:t>
      </w:r>
    </w:p>
    <w:p w:rsidR="00261DC8" w:rsidRPr="00E95206" w:rsidRDefault="00261DC8" w:rsidP="009A68A5">
      <w:pPr>
        <w:jc w:val="both"/>
        <w:rPr>
          <w:spacing w:val="-8"/>
          <w:sz w:val="36"/>
          <w:rtl/>
        </w:rPr>
      </w:pPr>
      <w:r w:rsidRPr="00E95206">
        <w:rPr>
          <w:rFonts w:hint="cs"/>
          <w:spacing w:val="-8"/>
          <w:sz w:val="36"/>
          <w:rtl/>
        </w:rPr>
        <w:lastRenderedPageBreak/>
        <w:t>وقال جلال الدين السّيوطي الشافعي (ت 911هـ)</w:t>
      </w:r>
      <w:r w:rsidR="0048366D">
        <w:rPr>
          <w:rFonts w:hint="cs"/>
          <w:spacing w:val="-8"/>
          <w:sz w:val="36"/>
          <w:rtl/>
        </w:rPr>
        <w:t>:</w:t>
      </w:r>
      <w:r w:rsidRPr="00E95206">
        <w:rPr>
          <w:rFonts w:hint="eastAsia"/>
          <w:spacing w:val="-8"/>
          <w:szCs w:val="20"/>
          <w:rtl/>
          <w:lang w:eastAsia="en-GB"/>
        </w:rPr>
        <w:t xml:space="preserve"> </w:t>
      </w:r>
      <w:r w:rsidRPr="00E95206">
        <w:rPr>
          <w:rFonts w:hint="eastAsia"/>
          <w:spacing w:val="-8"/>
          <w:rtl/>
        </w:rPr>
        <w:t>«</w:t>
      </w:r>
      <w:r w:rsidRPr="00E95206">
        <w:rPr>
          <w:rFonts w:hint="cs"/>
          <w:spacing w:val="-8"/>
          <w:sz w:val="36"/>
          <w:rtl/>
        </w:rPr>
        <w:t xml:space="preserve"> إن فنّ الأشباه والنظائر فنٌّ عظيم، به يُطّلع على حقائق الفقه ومداركه، ومآخذه وأسراره، ويُتمهّر في فهمه  واستحضاره، ويُقتدر على الإلحاق والتخريج، ومعرفة أحكام المسائل التي ليست بمسطورة، والحوادث والوقائع التي لا تنقضي على ممرّ الزمان؛ ولهذا قال بعض أصحابنا</w:t>
      </w:r>
      <w:r w:rsidR="0048366D">
        <w:rPr>
          <w:rFonts w:hint="cs"/>
          <w:spacing w:val="-8"/>
          <w:sz w:val="36"/>
          <w:rtl/>
        </w:rPr>
        <w:t>:</w:t>
      </w:r>
      <w:r w:rsidRPr="00E95206">
        <w:rPr>
          <w:rFonts w:hint="cs"/>
          <w:spacing w:val="-8"/>
          <w:sz w:val="36"/>
          <w:rtl/>
        </w:rPr>
        <w:t xml:space="preserve"> الفقه معرفة النظائر</w:t>
      </w:r>
      <w:r w:rsidRPr="00E95206">
        <w:rPr>
          <w:rFonts w:hint="eastAsia"/>
          <w:spacing w:val="-8"/>
          <w:rtl/>
        </w:rPr>
        <w:t>»</w:t>
      </w:r>
      <w:r w:rsidRPr="00E95206">
        <w:rPr>
          <w:rFonts w:hint="cs"/>
          <w:spacing w:val="-8"/>
          <w:sz w:val="36"/>
          <w:rtl/>
        </w:rPr>
        <w:t>.</w:t>
      </w:r>
      <w:r w:rsidRPr="00E95206">
        <w:rPr>
          <w:rStyle w:val="a7"/>
          <w:spacing w:val="-8"/>
          <w:sz w:val="36"/>
          <w:rtl/>
        </w:rPr>
        <w:t>(</w:t>
      </w:r>
      <w:r w:rsidRPr="00E95206">
        <w:rPr>
          <w:rStyle w:val="a7"/>
          <w:spacing w:val="-8"/>
          <w:sz w:val="36"/>
          <w:rtl/>
        </w:rPr>
        <w:footnoteReference w:id="4"/>
      </w:r>
      <w:r w:rsidRPr="00E95206">
        <w:rPr>
          <w:rStyle w:val="a7"/>
          <w:spacing w:val="-8"/>
          <w:sz w:val="36"/>
          <w:rtl/>
        </w:rPr>
        <w:t>)</w:t>
      </w:r>
    </w:p>
    <w:p w:rsidR="00261DC8" w:rsidRDefault="00261DC8" w:rsidP="009A68A5">
      <w:pPr>
        <w:jc w:val="both"/>
        <w:rPr>
          <w:sz w:val="36"/>
          <w:rtl/>
        </w:rPr>
      </w:pPr>
      <w:r>
        <w:rPr>
          <w:rFonts w:hint="cs"/>
          <w:sz w:val="36"/>
          <w:rtl/>
        </w:rPr>
        <w:t>وقال زين الدين ابن نجيم الحنفي ( ت 970هـ)</w:t>
      </w:r>
      <w:r w:rsidR="0048366D">
        <w:rPr>
          <w:rFonts w:hint="cs"/>
          <w:sz w:val="36"/>
          <w:rtl/>
        </w:rPr>
        <w:t>:</w:t>
      </w:r>
      <w:r>
        <w:rPr>
          <w:rFonts w:hint="eastAsia"/>
          <w:szCs w:val="20"/>
          <w:rtl/>
          <w:lang w:eastAsia="en-GB"/>
        </w:rPr>
        <w:t xml:space="preserve"> </w:t>
      </w:r>
      <w:r>
        <w:rPr>
          <w:rFonts w:hint="eastAsia"/>
          <w:rtl/>
        </w:rPr>
        <w:t>«</w:t>
      </w:r>
      <w:r>
        <w:rPr>
          <w:rFonts w:hint="cs"/>
          <w:sz w:val="36"/>
          <w:rtl/>
        </w:rPr>
        <w:t xml:space="preserve"> وهي أصول الفقه في الحقيقة، وبها يرتقي الفقيه إلى درجة الاجتهاد ولو في الفتوى</w:t>
      </w:r>
      <w:r>
        <w:rPr>
          <w:rFonts w:hint="eastAsia"/>
          <w:rtl/>
        </w:rPr>
        <w:t>»</w:t>
      </w:r>
      <w:r>
        <w:rPr>
          <w:rFonts w:hint="cs"/>
          <w:sz w:val="36"/>
          <w:rtl/>
        </w:rPr>
        <w:t>.</w:t>
      </w:r>
      <w:r>
        <w:rPr>
          <w:rStyle w:val="a7"/>
          <w:sz w:val="36"/>
          <w:rtl/>
        </w:rPr>
        <w:t>(</w:t>
      </w:r>
      <w:r>
        <w:rPr>
          <w:rStyle w:val="a7"/>
          <w:sz w:val="36"/>
          <w:rtl/>
        </w:rPr>
        <w:footnoteReference w:id="5"/>
      </w:r>
      <w:r>
        <w:rPr>
          <w:rStyle w:val="a7"/>
          <w:sz w:val="36"/>
          <w:rtl/>
        </w:rPr>
        <w:t>)</w:t>
      </w:r>
    </w:p>
    <w:p w:rsidR="00261DC8" w:rsidRDefault="00261DC8" w:rsidP="009A68A5">
      <w:pPr>
        <w:jc w:val="both"/>
        <w:rPr>
          <w:sz w:val="36"/>
          <w:rtl/>
        </w:rPr>
      </w:pPr>
      <w:r>
        <w:rPr>
          <w:rFonts w:hint="cs"/>
          <w:sz w:val="36"/>
          <w:rtl/>
        </w:rPr>
        <w:t>وكل عالم من العلماء المذكورين له كتاب في القواعد الفقهية يُعدّ من أهم ما ألف على مذهبه، ومن هذه الكتب</w:t>
      </w:r>
      <w:r w:rsidR="0048366D">
        <w:rPr>
          <w:rFonts w:hint="cs"/>
          <w:sz w:val="36"/>
          <w:rtl/>
        </w:rPr>
        <w:t>:</w:t>
      </w:r>
      <w:r>
        <w:rPr>
          <w:rFonts w:hint="cs"/>
          <w:sz w:val="36"/>
          <w:rtl/>
        </w:rPr>
        <w:t xml:space="preserve"> كتاب ( الأشباه والنظائر) لابن نجيم الحنفي</w:t>
      </w:r>
      <w:r w:rsidR="0048366D">
        <w:rPr>
          <w:rFonts w:hint="cs"/>
          <w:sz w:val="36"/>
          <w:rtl/>
        </w:rPr>
        <w:t>،</w:t>
      </w:r>
      <w:r>
        <w:rPr>
          <w:rFonts w:hint="cs"/>
          <w:sz w:val="36"/>
          <w:rtl/>
        </w:rPr>
        <w:t xml:space="preserve"> ولا أدلّ على كونه من أهم كتب القواعد عند الحنفية من انكباب علمائهم عليه، شرحًا وتعليقًا وترتيبًا ونظمًا، في مصنفات أربى عددها على أربعين مصنفًا.</w:t>
      </w:r>
      <w:r>
        <w:rPr>
          <w:rStyle w:val="a7"/>
          <w:sz w:val="36"/>
          <w:rtl/>
        </w:rPr>
        <w:t>(</w:t>
      </w:r>
      <w:r>
        <w:rPr>
          <w:rStyle w:val="a7"/>
          <w:sz w:val="36"/>
          <w:rtl/>
        </w:rPr>
        <w:footnoteReference w:id="6"/>
      </w:r>
      <w:r>
        <w:rPr>
          <w:rStyle w:val="a7"/>
          <w:sz w:val="36"/>
          <w:rtl/>
        </w:rPr>
        <w:t>)</w:t>
      </w:r>
    </w:p>
    <w:p w:rsidR="00261DC8" w:rsidRDefault="00261DC8" w:rsidP="009A68A5">
      <w:pPr>
        <w:jc w:val="both"/>
        <w:rPr>
          <w:sz w:val="36"/>
          <w:rtl/>
        </w:rPr>
      </w:pPr>
      <w:r>
        <w:rPr>
          <w:rFonts w:hint="cs"/>
          <w:sz w:val="36"/>
          <w:rtl/>
        </w:rPr>
        <w:t>ومما يدل على ذلك من جهة أخرى ثناء علمائهم العاطر عليه.</w:t>
      </w:r>
    </w:p>
    <w:p w:rsidR="00261DC8" w:rsidRDefault="00261DC8" w:rsidP="009A68A5">
      <w:pPr>
        <w:jc w:val="both"/>
        <w:rPr>
          <w:spacing w:val="-6"/>
          <w:sz w:val="36"/>
          <w:rtl/>
        </w:rPr>
      </w:pPr>
      <w:r>
        <w:rPr>
          <w:rFonts w:hint="cs"/>
          <w:spacing w:val="-6"/>
          <w:sz w:val="36"/>
          <w:rtl/>
        </w:rPr>
        <w:t>فعلى سبيل المثال يقول الحموي ( ت 1098هـ)</w:t>
      </w:r>
      <w:r w:rsidR="0048366D">
        <w:rPr>
          <w:rFonts w:hint="cs"/>
          <w:spacing w:val="-6"/>
          <w:sz w:val="36"/>
          <w:rtl/>
        </w:rPr>
        <w:t>:</w:t>
      </w:r>
      <w:r>
        <w:rPr>
          <w:rFonts w:hint="eastAsia"/>
          <w:spacing w:val="-6"/>
          <w:szCs w:val="20"/>
          <w:rtl/>
          <w:lang w:eastAsia="en-GB"/>
        </w:rPr>
        <w:t xml:space="preserve"> </w:t>
      </w:r>
      <w:r>
        <w:rPr>
          <w:spacing w:val="-6"/>
          <w:rtl/>
        </w:rPr>
        <w:t>«</w:t>
      </w:r>
      <w:r>
        <w:rPr>
          <w:rFonts w:hint="cs"/>
          <w:spacing w:val="-6"/>
          <w:sz w:val="36"/>
          <w:rtl/>
        </w:rPr>
        <w:t>فإن كتاب الأشباه والنظائر -لأفضل المتأخرين مـولانا زين الدين بن نجيم الحنفي- كتابٌ لم تكتحل عين الزمان له بثاني، ولم يوجد في كتب الحنفية ماله يوازي أو يداني</w:t>
      </w:r>
      <w:r w:rsidR="0048366D">
        <w:rPr>
          <w:rFonts w:hint="cs"/>
          <w:spacing w:val="-6"/>
          <w:sz w:val="36"/>
          <w:rtl/>
        </w:rPr>
        <w:t>.</w:t>
      </w:r>
      <w:r>
        <w:rPr>
          <w:rFonts w:hint="cs"/>
          <w:spacing w:val="-6"/>
          <w:sz w:val="36"/>
          <w:rtl/>
        </w:rPr>
        <w:t>..</w:t>
      </w:r>
      <w:r>
        <w:rPr>
          <w:spacing w:val="-6"/>
          <w:rtl/>
        </w:rPr>
        <w:t>»</w:t>
      </w:r>
      <w:r>
        <w:rPr>
          <w:rFonts w:hint="cs"/>
          <w:spacing w:val="-6"/>
          <w:rtl/>
        </w:rPr>
        <w:t>.</w:t>
      </w:r>
      <w:r>
        <w:rPr>
          <w:rStyle w:val="a7"/>
          <w:spacing w:val="-6"/>
          <w:sz w:val="36"/>
          <w:rtl/>
        </w:rPr>
        <w:t>(</w:t>
      </w:r>
      <w:r>
        <w:rPr>
          <w:rStyle w:val="a7"/>
          <w:spacing w:val="-6"/>
          <w:sz w:val="36"/>
          <w:rtl/>
        </w:rPr>
        <w:footnoteReference w:id="7"/>
      </w:r>
      <w:r>
        <w:rPr>
          <w:rStyle w:val="a7"/>
          <w:spacing w:val="-6"/>
          <w:sz w:val="36"/>
          <w:rtl/>
        </w:rPr>
        <w:t>)</w:t>
      </w:r>
    </w:p>
    <w:p w:rsidR="00261DC8" w:rsidRDefault="00261DC8" w:rsidP="009A68A5">
      <w:pPr>
        <w:jc w:val="both"/>
        <w:rPr>
          <w:sz w:val="36"/>
          <w:rtl/>
        </w:rPr>
      </w:pPr>
      <w:r>
        <w:rPr>
          <w:rFonts w:hint="cs"/>
          <w:sz w:val="36"/>
          <w:rtl/>
        </w:rPr>
        <w:t>ومع هذا فإنه يؤخذ عليه عدة مآخذ، منها</w:t>
      </w:r>
      <w:r w:rsidR="0048366D">
        <w:rPr>
          <w:rFonts w:hint="cs"/>
          <w:sz w:val="36"/>
          <w:rtl/>
        </w:rPr>
        <w:t>:</w:t>
      </w:r>
    </w:p>
    <w:p w:rsidR="00261DC8" w:rsidRDefault="00261DC8" w:rsidP="009A68A5">
      <w:pPr>
        <w:jc w:val="both"/>
        <w:rPr>
          <w:sz w:val="36"/>
          <w:rtl/>
        </w:rPr>
      </w:pPr>
      <w:r>
        <w:rPr>
          <w:rFonts w:hint="cs"/>
          <w:b/>
          <w:bCs/>
          <w:sz w:val="36"/>
          <w:rtl/>
        </w:rPr>
        <w:t>1</w:t>
      </w:r>
      <w:r>
        <w:rPr>
          <w:rFonts w:hint="cs"/>
          <w:sz w:val="36"/>
          <w:rtl/>
        </w:rPr>
        <w:t xml:space="preserve">- أنه لم يستقل في تأليفه لهذا الكتاب؛ بل ألفه محاكاة لكتاب (الأشباه والنظائر) </w:t>
      </w:r>
      <w:r>
        <w:rPr>
          <w:rFonts w:hint="cs"/>
          <w:sz w:val="36"/>
          <w:rtl/>
        </w:rPr>
        <w:lastRenderedPageBreak/>
        <w:t>لابن السبكي الشافعي ( ت 771هـ) -كما صرح بذلك في مقدمته-</w:t>
      </w:r>
      <w:r>
        <w:rPr>
          <w:rStyle w:val="a7"/>
          <w:sz w:val="36"/>
          <w:rtl/>
        </w:rPr>
        <w:t>(</w:t>
      </w:r>
      <w:r>
        <w:rPr>
          <w:rStyle w:val="a7"/>
          <w:sz w:val="36"/>
          <w:rtl/>
        </w:rPr>
        <w:footnoteReference w:id="8"/>
      </w:r>
      <w:r>
        <w:rPr>
          <w:rStyle w:val="a7"/>
          <w:sz w:val="36"/>
          <w:rtl/>
        </w:rPr>
        <w:t>)</w:t>
      </w:r>
      <w:r>
        <w:rPr>
          <w:rtl/>
        </w:rPr>
        <w:t>«</w:t>
      </w:r>
      <w:r>
        <w:rPr>
          <w:rFonts w:hint="cs"/>
          <w:sz w:val="36"/>
          <w:rtl/>
        </w:rPr>
        <w:t>فإن ابن نجيم التزم السير على منهج ابن السبكي، مع اختـلاف يسير في ترتيب المباحث وتنسيق القواعد</w:t>
      </w:r>
      <w:r>
        <w:rPr>
          <w:rtl/>
        </w:rPr>
        <w:t>»</w:t>
      </w:r>
      <w:r>
        <w:rPr>
          <w:rStyle w:val="a7"/>
          <w:sz w:val="36"/>
          <w:rtl/>
        </w:rPr>
        <w:t>(</w:t>
      </w:r>
      <w:r>
        <w:rPr>
          <w:rStyle w:val="a7"/>
          <w:sz w:val="36"/>
          <w:rtl/>
        </w:rPr>
        <w:footnoteReference w:id="9"/>
      </w:r>
      <w:r>
        <w:rPr>
          <w:rStyle w:val="a7"/>
          <w:sz w:val="36"/>
          <w:rtl/>
        </w:rPr>
        <w:t>)</w:t>
      </w:r>
      <w:r>
        <w:rPr>
          <w:rFonts w:hint="cs"/>
          <w:sz w:val="36"/>
          <w:rtl/>
        </w:rPr>
        <w:t>، ومن يقارن بينه وبين كتاب (الأشباه والنظائر) للسيوطي ( ت 911هـ) يجد أنه محاكٍ له أيضًا.</w:t>
      </w:r>
      <w:r>
        <w:rPr>
          <w:rStyle w:val="a7"/>
          <w:sz w:val="36"/>
          <w:rtl/>
        </w:rPr>
        <w:t>(</w:t>
      </w:r>
      <w:r>
        <w:rPr>
          <w:rStyle w:val="a7"/>
          <w:sz w:val="36"/>
          <w:rtl/>
        </w:rPr>
        <w:footnoteReference w:id="10"/>
      </w:r>
      <w:r>
        <w:rPr>
          <w:rStyle w:val="a7"/>
          <w:sz w:val="36"/>
          <w:rtl/>
        </w:rPr>
        <w:t>)</w:t>
      </w:r>
    </w:p>
    <w:p w:rsidR="0075621D" w:rsidRDefault="00261DC8" w:rsidP="009A68A5">
      <w:pPr>
        <w:jc w:val="both"/>
        <w:rPr>
          <w:spacing w:val="-4"/>
          <w:sz w:val="36"/>
          <w:rtl/>
        </w:rPr>
      </w:pPr>
      <w:r>
        <w:rPr>
          <w:rFonts w:hint="cs"/>
          <w:spacing w:val="-4"/>
          <w:sz w:val="36"/>
          <w:rtl/>
        </w:rPr>
        <w:t xml:space="preserve">يضاف إلى  ذلك أنه اختصر الفن الرابع من كتابه -وهو فنّ الألغاز- من (الذخائر الأشرفيّة) لعبدالبر بن الشَّحْنَة (ت921هـ)، كما جمع الفن السادس -وهو فن الفروق- </w:t>
      </w:r>
    </w:p>
    <w:p w:rsidR="00261DC8" w:rsidRDefault="00261DC8" w:rsidP="009A68A5">
      <w:pPr>
        <w:ind w:firstLine="0"/>
        <w:jc w:val="both"/>
        <w:rPr>
          <w:sz w:val="36"/>
          <w:rtl/>
        </w:rPr>
      </w:pPr>
      <w:r>
        <w:rPr>
          <w:rFonts w:hint="cs"/>
          <w:spacing w:val="-4"/>
          <w:sz w:val="36"/>
          <w:rtl/>
        </w:rPr>
        <w:t>من فروق الكرابيسي</w:t>
      </w:r>
      <w:r w:rsidR="0048366D">
        <w:rPr>
          <w:rFonts w:hint="cs"/>
          <w:spacing w:val="-4"/>
          <w:sz w:val="36"/>
          <w:rtl/>
        </w:rPr>
        <w:t>.</w:t>
      </w:r>
      <w:r>
        <w:rPr>
          <w:rFonts w:hint="cs"/>
          <w:spacing w:val="-4"/>
          <w:sz w:val="36"/>
          <w:rtl/>
        </w:rPr>
        <w:t>..</w:t>
      </w:r>
      <w:r>
        <w:rPr>
          <w:rStyle w:val="a7"/>
          <w:spacing w:val="-4"/>
          <w:sz w:val="36"/>
          <w:rtl/>
        </w:rPr>
        <w:t xml:space="preserve"> (</w:t>
      </w:r>
      <w:r>
        <w:rPr>
          <w:rStyle w:val="a7"/>
          <w:spacing w:val="-4"/>
          <w:sz w:val="36"/>
          <w:rtl/>
        </w:rPr>
        <w:footnoteReference w:id="11"/>
      </w:r>
      <w:r>
        <w:rPr>
          <w:rStyle w:val="a7"/>
          <w:spacing w:val="-4"/>
          <w:sz w:val="36"/>
          <w:rtl/>
        </w:rPr>
        <w:t>)</w:t>
      </w:r>
      <w:r>
        <w:rPr>
          <w:rFonts w:hint="cs"/>
          <w:spacing w:val="-4"/>
          <w:sz w:val="36"/>
          <w:rtl/>
        </w:rPr>
        <w:t>، وقد صرح هو بذلك في بداية حديثه عن الفنّين المذكورين.</w:t>
      </w:r>
      <w:r>
        <w:rPr>
          <w:rStyle w:val="a7"/>
          <w:spacing w:val="-4"/>
          <w:sz w:val="36"/>
          <w:rtl/>
        </w:rPr>
        <w:t>(</w:t>
      </w:r>
      <w:r>
        <w:rPr>
          <w:rStyle w:val="a7"/>
          <w:spacing w:val="-4"/>
          <w:sz w:val="36"/>
          <w:rtl/>
        </w:rPr>
        <w:footnoteReference w:id="12"/>
      </w:r>
      <w:r>
        <w:rPr>
          <w:rStyle w:val="a7"/>
          <w:spacing w:val="-4"/>
          <w:sz w:val="36"/>
          <w:rtl/>
        </w:rPr>
        <w:t>)</w:t>
      </w:r>
    </w:p>
    <w:p w:rsidR="00261DC8" w:rsidRDefault="00261DC8" w:rsidP="009A68A5">
      <w:pPr>
        <w:jc w:val="both"/>
        <w:rPr>
          <w:sz w:val="36"/>
          <w:rtl/>
        </w:rPr>
      </w:pPr>
      <w:r>
        <w:rPr>
          <w:rFonts w:hint="cs"/>
          <w:sz w:val="36"/>
          <w:rtl/>
        </w:rPr>
        <w:t xml:space="preserve">وأيضًا ذكر حاجّي خليفة أن ابن نجيم لم يتم الفن الثالث- وهو فن الجمع والفرق- </w:t>
      </w:r>
      <w:r>
        <w:rPr>
          <w:rFonts w:hint="cs"/>
          <w:sz w:val="36"/>
          <w:rtl/>
        </w:rPr>
        <w:lastRenderedPageBreak/>
        <w:t>فأتمه أخوه الشيخ عمر (ت 1004هـ).</w:t>
      </w:r>
      <w:r>
        <w:rPr>
          <w:rStyle w:val="a7"/>
          <w:sz w:val="36"/>
          <w:rtl/>
        </w:rPr>
        <w:t>(</w:t>
      </w:r>
      <w:r>
        <w:rPr>
          <w:rStyle w:val="a7"/>
          <w:sz w:val="36"/>
          <w:rtl/>
        </w:rPr>
        <w:footnoteReference w:id="13"/>
      </w:r>
      <w:r>
        <w:rPr>
          <w:rStyle w:val="a7"/>
          <w:sz w:val="36"/>
          <w:rtl/>
        </w:rPr>
        <w:t>)</w:t>
      </w:r>
    </w:p>
    <w:p w:rsidR="00261DC8" w:rsidRDefault="00261DC8" w:rsidP="009A68A5">
      <w:pPr>
        <w:jc w:val="both"/>
        <w:rPr>
          <w:sz w:val="36"/>
        </w:rPr>
      </w:pPr>
      <w:r>
        <w:rPr>
          <w:rFonts w:hint="cs"/>
          <w:b/>
          <w:bCs/>
          <w:sz w:val="36"/>
          <w:rtl/>
        </w:rPr>
        <w:t>2</w:t>
      </w:r>
      <w:r>
        <w:rPr>
          <w:rFonts w:hint="cs"/>
          <w:sz w:val="36"/>
          <w:rtl/>
        </w:rPr>
        <w:t xml:space="preserve">- قلة القواعد الفقهية التي صرح بها؛ فقد قسم كتابه إلى سبعة فنون، لم يتكلم فيه عن القواعد إلا في الفن الأول، حيث تكلم عن قاعدة </w:t>
      </w:r>
      <w:r>
        <w:rPr>
          <w:rFonts w:hint="eastAsia"/>
          <w:rtl/>
        </w:rPr>
        <w:t>«</w:t>
      </w:r>
      <w:r>
        <w:rPr>
          <w:rFonts w:hint="cs"/>
          <w:sz w:val="36"/>
          <w:rtl/>
        </w:rPr>
        <w:t xml:space="preserve"> لا ثواب إلا بالنية</w:t>
      </w:r>
      <w:r>
        <w:rPr>
          <w:rFonts w:hint="eastAsia"/>
          <w:rtl/>
        </w:rPr>
        <w:t>»</w:t>
      </w:r>
      <w:r>
        <w:rPr>
          <w:rFonts w:hint="cs"/>
          <w:sz w:val="36"/>
          <w:rtl/>
        </w:rPr>
        <w:t>، والقواعد الخمس بشيء من التفصيل، وفرّع منها بضعًا وعشرين قاعدة، ثم ألحق بذلك تسع عشرة قاعدة كلية أقل اتساعًا، فمجموع قواعده أقل من خمسين قاعدة، وهذا عدد قليل إذا ما قورن بكثير من كتب القواعد الأُخَر.</w:t>
      </w:r>
    </w:p>
    <w:p w:rsidR="00261DC8" w:rsidRDefault="00261DC8" w:rsidP="009A68A5">
      <w:pPr>
        <w:jc w:val="both"/>
        <w:rPr>
          <w:sz w:val="36"/>
        </w:rPr>
      </w:pPr>
      <w:r>
        <w:rPr>
          <w:rFonts w:hint="cs"/>
          <w:b/>
          <w:bCs/>
          <w:sz w:val="36"/>
          <w:rtl/>
        </w:rPr>
        <w:t>3</w:t>
      </w:r>
      <w:r>
        <w:rPr>
          <w:rFonts w:hint="cs"/>
          <w:sz w:val="36"/>
          <w:rtl/>
        </w:rPr>
        <w:t>- أن أكثر الكتاب - وهو ما يمثل الثلثين تقريبًا- تكلم فيه عن فنون أُخَرَ غير القواعد، كالألغاز والحيل والجمع والفرق والحكايات</w:t>
      </w:r>
      <w:r w:rsidR="0048366D">
        <w:rPr>
          <w:rFonts w:hint="cs"/>
          <w:sz w:val="36"/>
          <w:rtl/>
        </w:rPr>
        <w:t>.</w:t>
      </w:r>
      <w:r>
        <w:rPr>
          <w:rFonts w:hint="cs"/>
          <w:sz w:val="36"/>
          <w:rtl/>
        </w:rPr>
        <w:t>..</w:t>
      </w:r>
    </w:p>
    <w:p w:rsidR="00261DC8" w:rsidRDefault="00261DC8" w:rsidP="009A68A5">
      <w:pPr>
        <w:jc w:val="both"/>
        <w:rPr>
          <w:sz w:val="36"/>
          <w:rtl/>
        </w:rPr>
      </w:pPr>
      <w:r>
        <w:rPr>
          <w:rFonts w:hint="cs"/>
          <w:sz w:val="36"/>
          <w:rtl/>
        </w:rPr>
        <w:t>يضاف إلى هذه المآخذ مآخذ أخر، استفادها د. علي الندوي من مقدمات بعض الشراح</w:t>
      </w:r>
      <w:r w:rsidR="0048366D">
        <w:rPr>
          <w:rFonts w:hint="cs"/>
          <w:sz w:val="36"/>
          <w:rtl/>
        </w:rPr>
        <w:t>،</w:t>
      </w:r>
      <w:r>
        <w:rPr>
          <w:rFonts w:hint="cs"/>
          <w:sz w:val="36"/>
          <w:rtl/>
        </w:rPr>
        <w:t xml:space="preserve"> وهي</w:t>
      </w:r>
      <w:r w:rsidR="0048366D">
        <w:rPr>
          <w:rFonts w:hint="cs"/>
          <w:sz w:val="36"/>
          <w:rtl/>
        </w:rPr>
        <w:t>:</w:t>
      </w:r>
    </w:p>
    <w:p w:rsidR="00261DC8" w:rsidRDefault="00261DC8" w:rsidP="009A68A5">
      <w:pPr>
        <w:jc w:val="both"/>
        <w:rPr>
          <w:sz w:val="36"/>
          <w:rtl/>
        </w:rPr>
      </w:pPr>
      <w:r>
        <w:rPr>
          <w:rFonts w:hint="cs"/>
          <w:b/>
          <w:bCs/>
          <w:sz w:val="36"/>
          <w:rtl/>
        </w:rPr>
        <w:t>4</w:t>
      </w:r>
      <w:r>
        <w:rPr>
          <w:rFonts w:hint="cs"/>
          <w:sz w:val="36"/>
          <w:rtl/>
        </w:rPr>
        <w:t xml:space="preserve">- </w:t>
      </w:r>
      <w:r>
        <w:rPr>
          <w:rFonts w:hint="eastAsia"/>
          <w:szCs w:val="20"/>
          <w:rtl/>
          <w:lang w:eastAsia="en-GB"/>
        </w:rPr>
        <w:t>«</w:t>
      </w:r>
      <w:r>
        <w:rPr>
          <w:rFonts w:hint="cs"/>
          <w:sz w:val="36"/>
          <w:rtl/>
        </w:rPr>
        <w:t xml:space="preserve"> أنه أغفل في كثير من المواضع ذكر الاستثناءات تحت القواعد.</w:t>
      </w:r>
    </w:p>
    <w:p w:rsidR="00261DC8" w:rsidRDefault="00261DC8" w:rsidP="009A68A5">
      <w:pPr>
        <w:jc w:val="both"/>
        <w:rPr>
          <w:sz w:val="36"/>
        </w:rPr>
      </w:pPr>
      <w:r>
        <w:rPr>
          <w:rFonts w:hint="cs"/>
          <w:b/>
          <w:bCs/>
          <w:sz w:val="36"/>
          <w:rtl/>
        </w:rPr>
        <w:t>5</w:t>
      </w:r>
      <w:r>
        <w:rPr>
          <w:rFonts w:hint="cs"/>
          <w:sz w:val="36"/>
          <w:rtl/>
        </w:rPr>
        <w:t>- أوجز في ذكر بعض المسائل إيجازًا بالغًا أخلّ بالمقصود</w:t>
      </w:r>
      <w:r w:rsidR="0048366D">
        <w:rPr>
          <w:rFonts w:hint="cs"/>
          <w:sz w:val="36"/>
          <w:rtl/>
        </w:rPr>
        <w:t>؛</w:t>
      </w:r>
      <w:r>
        <w:rPr>
          <w:rFonts w:hint="cs"/>
          <w:sz w:val="36"/>
          <w:rtl/>
        </w:rPr>
        <w:t xml:space="preserve"> حتى صارت المسائل أشبه بالألغاز.</w:t>
      </w:r>
    </w:p>
    <w:p w:rsidR="00261DC8" w:rsidRDefault="00261DC8" w:rsidP="009A68A5">
      <w:pPr>
        <w:jc w:val="both"/>
        <w:rPr>
          <w:sz w:val="36"/>
        </w:rPr>
      </w:pPr>
      <w:r>
        <w:rPr>
          <w:rFonts w:hint="cs"/>
          <w:b/>
          <w:bCs/>
          <w:sz w:val="36"/>
          <w:rtl/>
        </w:rPr>
        <w:t>6</w:t>
      </w:r>
      <w:r>
        <w:rPr>
          <w:rFonts w:hint="cs"/>
          <w:sz w:val="36"/>
          <w:rtl/>
        </w:rPr>
        <w:t xml:space="preserve">- أورد فيـه بعض الروايات الضعيفة خلاف المذهب المختار عنـد الحنفية </w:t>
      </w:r>
      <w:r>
        <w:rPr>
          <w:rFonts w:hint="eastAsia"/>
          <w:szCs w:val="20"/>
          <w:rtl/>
          <w:lang w:eastAsia="en-GB"/>
        </w:rPr>
        <w:t>»</w:t>
      </w:r>
      <w:r>
        <w:rPr>
          <w:rFonts w:hint="cs"/>
          <w:sz w:val="36"/>
          <w:rtl/>
        </w:rPr>
        <w:t>.</w:t>
      </w:r>
      <w:r>
        <w:rPr>
          <w:rStyle w:val="a7"/>
          <w:sz w:val="36"/>
          <w:rtl/>
        </w:rPr>
        <w:t>(</w:t>
      </w:r>
      <w:r>
        <w:rPr>
          <w:rStyle w:val="a7"/>
          <w:sz w:val="36"/>
          <w:rtl/>
        </w:rPr>
        <w:footnoteReference w:id="14"/>
      </w:r>
      <w:r>
        <w:rPr>
          <w:rStyle w:val="a7"/>
          <w:sz w:val="36"/>
          <w:rtl/>
        </w:rPr>
        <w:t>)</w:t>
      </w:r>
    </w:p>
    <w:p w:rsidR="00261DC8" w:rsidRDefault="00261DC8" w:rsidP="009A68A5">
      <w:pPr>
        <w:jc w:val="both"/>
        <w:rPr>
          <w:sz w:val="36"/>
          <w:rtl/>
        </w:rPr>
      </w:pPr>
      <w:r>
        <w:rPr>
          <w:rFonts w:hint="cs"/>
          <w:sz w:val="36"/>
          <w:rtl/>
        </w:rPr>
        <w:t>وبسبب بعض تلك الثغرات التي وقعت في الكتاب تردد العلماء في الإفتاء بناء عليه، وإلى هذا ألمح العلامة ابن عابدين ( ت 1252هـ).</w:t>
      </w:r>
      <w:r>
        <w:rPr>
          <w:rStyle w:val="a7"/>
          <w:sz w:val="36"/>
          <w:rtl/>
        </w:rPr>
        <w:t xml:space="preserve"> (</w:t>
      </w:r>
      <w:r>
        <w:rPr>
          <w:rStyle w:val="a7"/>
          <w:sz w:val="36"/>
          <w:rtl/>
        </w:rPr>
        <w:footnoteReference w:id="15"/>
      </w:r>
      <w:r>
        <w:rPr>
          <w:rStyle w:val="a7"/>
          <w:sz w:val="36"/>
          <w:rtl/>
        </w:rPr>
        <w:t>)</w:t>
      </w:r>
    </w:p>
    <w:p w:rsidR="00261DC8" w:rsidRDefault="00261DC8" w:rsidP="009A68A5">
      <w:pPr>
        <w:jc w:val="both"/>
        <w:rPr>
          <w:sz w:val="36"/>
          <w:rtl/>
        </w:rPr>
      </w:pPr>
      <w:r>
        <w:rPr>
          <w:rFonts w:hint="cs"/>
          <w:sz w:val="36"/>
          <w:rtl/>
        </w:rPr>
        <w:t xml:space="preserve">ومما يثير الغرابة أن عكس المآخذ الأربع الأُول يعد محاسن لكتاب حنفي آخر، وهو </w:t>
      </w:r>
      <w:r>
        <w:rPr>
          <w:rFonts w:hint="cs"/>
          <w:b/>
          <w:bCs/>
          <w:sz w:val="36"/>
          <w:rtl/>
        </w:rPr>
        <w:t>(ترتيب اللآلي في سلك الأمالي)، لمحمد بن سليمان الشهير بناظر زاده</w:t>
      </w:r>
      <w:r>
        <w:rPr>
          <w:rFonts w:hint="cs"/>
          <w:sz w:val="36"/>
          <w:rtl/>
        </w:rPr>
        <w:t xml:space="preserve">، ومثار </w:t>
      </w:r>
      <w:r>
        <w:rPr>
          <w:rFonts w:hint="cs"/>
          <w:sz w:val="36"/>
          <w:rtl/>
        </w:rPr>
        <w:lastRenderedPageBreak/>
        <w:t>الاستغراب يكمن في عدم اشتهار هذا الكتاب، مع ما فيه من محاسن</w:t>
      </w:r>
      <w:r w:rsidR="0048366D">
        <w:rPr>
          <w:rFonts w:hint="cs"/>
          <w:sz w:val="36"/>
          <w:rtl/>
        </w:rPr>
        <w:t>!</w:t>
      </w:r>
      <w:r>
        <w:rPr>
          <w:rFonts w:hint="cs"/>
          <w:sz w:val="36"/>
          <w:rtl/>
        </w:rPr>
        <w:t>.</w:t>
      </w:r>
    </w:p>
    <w:p w:rsidR="00261DC8" w:rsidRDefault="00261DC8" w:rsidP="009A68A5">
      <w:pPr>
        <w:jc w:val="both"/>
        <w:rPr>
          <w:sz w:val="36"/>
          <w:rtl/>
        </w:rPr>
      </w:pPr>
      <w:r>
        <w:rPr>
          <w:rFonts w:hint="cs"/>
          <w:sz w:val="36"/>
          <w:rtl/>
        </w:rPr>
        <w:t>وتزول هذه الغرابة إذا نظرنا في كتب القواعد الفقهية المشهورة</w:t>
      </w:r>
      <w:r w:rsidR="0048366D">
        <w:rPr>
          <w:rFonts w:hint="cs"/>
          <w:sz w:val="36"/>
          <w:rtl/>
        </w:rPr>
        <w:t>؛</w:t>
      </w:r>
      <w:r>
        <w:rPr>
          <w:rFonts w:hint="cs"/>
          <w:sz w:val="36"/>
          <w:rtl/>
        </w:rPr>
        <w:t xml:space="preserve"> فإن أكثرها لم يشتهر إلا بعد طباعته وإخراجه للناس، أو إشارة بعض الكتب المطبوعة إليه.</w:t>
      </w:r>
    </w:p>
    <w:p w:rsidR="00261DC8" w:rsidRDefault="00261DC8" w:rsidP="009A68A5">
      <w:pPr>
        <w:jc w:val="both"/>
        <w:rPr>
          <w:sz w:val="36"/>
          <w:rtl/>
        </w:rPr>
      </w:pPr>
      <w:r>
        <w:rPr>
          <w:rFonts w:hint="cs"/>
          <w:sz w:val="36"/>
          <w:rtl/>
        </w:rPr>
        <w:t>هذا الكتاب-أعني ترتيب اللآلي- وجدتُ فيه بُغيتي، وتعرفت فيه على ضالّّتي التي كنت أنشدها الأيام والساعات الطوال بين أرفف المكتبات؛ وذلك لما احتوى عليه من مزايا أهمها ما يلي</w:t>
      </w:r>
      <w:r w:rsidR="0048366D">
        <w:rPr>
          <w:rFonts w:hint="cs"/>
          <w:sz w:val="36"/>
          <w:rtl/>
        </w:rPr>
        <w:t>:</w:t>
      </w:r>
    </w:p>
    <w:p w:rsidR="00261DC8" w:rsidRDefault="00261DC8" w:rsidP="009A68A5">
      <w:pPr>
        <w:jc w:val="both"/>
        <w:rPr>
          <w:sz w:val="36"/>
          <w:rtl/>
        </w:rPr>
      </w:pPr>
      <w:r>
        <w:rPr>
          <w:rFonts w:hint="cs"/>
          <w:b/>
          <w:bCs/>
          <w:sz w:val="36"/>
          <w:rtl/>
        </w:rPr>
        <w:t>1</w:t>
      </w:r>
      <w:r>
        <w:rPr>
          <w:rFonts w:hint="cs"/>
          <w:sz w:val="36"/>
          <w:rtl/>
        </w:rPr>
        <w:t>- حسن ترتيب المؤلف لمادّة كتابه، واستقلاله فيها، وإيضاحه لها وفق منهج علمي فريد قلّ أن تجد له نظيرًا في كتب القواعد</w:t>
      </w:r>
      <w:r>
        <w:rPr>
          <w:rStyle w:val="a7"/>
          <w:sz w:val="36"/>
          <w:rtl/>
        </w:rPr>
        <w:t>(</w:t>
      </w:r>
      <w:r>
        <w:rPr>
          <w:rStyle w:val="a7"/>
          <w:sz w:val="36"/>
          <w:rtl/>
        </w:rPr>
        <w:footnoteReference w:id="16"/>
      </w:r>
      <w:r>
        <w:rPr>
          <w:rStyle w:val="a7"/>
          <w:sz w:val="36"/>
          <w:rtl/>
        </w:rPr>
        <w:t>)</w:t>
      </w:r>
      <w:r w:rsidR="0048366D">
        <w:rPr>
          <w:rFonts w:hint="cs"/>
          <w:sz w:val="36"/>
          <w:rtl/>
        </w:rPr>
        <w:t>؛</w:t>
      </w:r>
      <w:r>
        <w:rPr>
          <w:rFonts w:hint="cs"/>
          <w:sz w:val="36"/>
          <w:rtl/>
        </w:rPr>
        <w:t xml:space="preserve"> فقد صاغ قواعده بألفاظ كلية محكمة، تؤدي المعنى العام بأخصر عبارة، وأوضح دلالة، وكانت شخصيته واضحة في كتابه أيما وضوح، سواء أكان ذلك في انتقاء قواعده، أم صياغتها، أم التعليق عليها</w:t>
      </w:r>
      <w:r w:rsidR="0048366D">
        <w:rPr>
          <w:rFonts w:hint="cs"/>
          <w:sz w:val="36"/>
          <w:rtl/>
        </w:rPr>
        <w:t>.</w:t>
      </w:r>
      <w:r>
        <w:rPr>
          <w:rFonts w:hint="cs"/>
          <w:sz w:val="36"/>
          <w:rtl/>
        </w:rPr>
        <w:t>..</w:t>
      </w:r>
    </w:p>
    <w:p w:rsidR="00261DC8" w:rsidRDefault="00261DC8" w:rsidP="009A68A5">
      <w:pPr>
        <w:jc w:val="both"/>
        <w:rPr>
          <w:sz w:val="36"/>
          <w:rtl/>
        </w:rPr>
      </w:pPr>
      <w:r>
        <w:rPr>
          <w:rFonts w:hint="cs"/>
          <w:sz w:val="36"/>
          <w:rtl/>
        </w:rPr>
        <w:t>كما رتب قواعد كتابه ترتيبًا هجائيًّا، فقسمه إلى أبواب، وجعل كل حرف من حروف الهجاء في باب مستقل، وجعل تحته القواعد التي تبدأ بذلك الحرف.</w:t>
      </w:r>
      <w:r>
        <w:rPr>
          <w:rStyle w:val="a7"/>
          <w:sz w:val="36"/>
          <w:rtl/>
        </w:rPr>
        <w:t xml:space="preserve"> (</w:t>
      </w:r>
      <w:r>
        <w:rPr>
          <w:rStyle w:val="a7"/>
          <w:sz w:val="36"/>
          <w:rtl/>
        </w:rPr>
        <w:footnoteReference w:id="17"/>
      </w:r>
      <w:r>
        <w:rPr>
          <w:rStyle w:val="a7"/>
          <w:sz w:val="36"/>
          <w:rtl/>
        </w:rPr>
        <w:t>)</w:t>
      </w:r>
      <w:r>
        <w:rPr>
          <w:rFonts w:hint="cs"/>
          <w:sz w:val="36"/>
          <w:rtl/>
        </w:rPr>
        <w:t xml:space="preserve"> </w:t>
      </w:r>
    </w:p>
    <w:p w:rsidR="00261DC8" w:rsidRDefault="00261DC8" w:rsidP="009A68A5">
      <w:pPr>
        <w:jc w:val="both"/>
        <w:rPr>
          <w:sz w:val="36"/>
          <w:rtl/>
        </w:rPr>
      </w:pPr>
      <w:r>
        <w:rPr>
          <w:rFonts w:hint="cs"/>
          <w:sz w:val="36"/>
          <w:rtl/>
        </w:rPr>
        <w:t>وهذه الطريقة من أحسن الطرق في جمع القواعد وترتيبها</w:t>
      </w:r>
      <w:r>
        <w:rPr>
          <w:rStyle w:val="a7"/>
          <w:sz w:val="36"/>
          <w:rtl/>
        </w:rPr>
        <w:t xml:space="preserve"> (</w:t>
      </w:r>
      <w:r>
        <w:rPr>
          <w:rStyle w:val="a7"/>
          <w:sz w:val="36"/>
          <w:rtl/>
        </w:rPr>
        <w:footnoteReference w:id="18"/>
      </w:r>
      <w:r>
        <w:rPr>
          <w:rStyle w:val="a7"/>
          <w:sz w:val="36"/>
          <w:rtl/>
        </w:rPr>
        <w:t>)</w:t>
      </w:r>
      <w:r>
        <w:rPr>
          <w:rFonts w:hint="cs"/>
          <w:sz w:val="36"/>
          <w:rtl/>
        </w:rPr>
        <w:t xml:space="preserve">؛ </w:t>
      </w:r>
      <w:r>
        <w:rPr>
          <w:rFonts w:hint="eastAsia"/>
          <w:szCs w:val="20"/>
          <w:rtl/>
          <w:lang w:eastAsia="en-GB"/>
        </w:rPr>
        <w:t>«</w:t>
      </w:r>
      <w:r>
        <w:rPr>
          <w:rFonts w:hint="cs"/>
          <w:sz w:val="36"/>
          <w:rtl/>
        </w:rPr>
        <w:t xml:space="preserve"> لأن من شأن القاعدة أن يندرج تحتها عدة مسائل من أبواب متعددة، فلو رتبها حسب الأبواب الفقهية للزم </w:t>
      </w:r>
      <w:r>
        <w:rPr>
          <w:rFonts w:hint="cs"/>
          <w:sz w:val="36"/>
          <w:rtl/>
        </w:rPr>
        <w:lastRenderedPageBreak/>
        <w:t xml:space="preserve">تكرارها مع كل باب لها علاقة به، أو ذكرها في باب واحد، وإغفال بقية الأبواب، وكلاهما غير مستحسن </w:t>
      </w:r>
      <w:r>
        <w:rPr>
          <w:rFonts w:hint="eastAsia"/>
          <w:szCs w:val="20"/>
          <w:rtl/>
          <w:lang w:eastAsia="en-GB"/>
        </w:rPr>
        <w:t>»</w:t>
      </w:r>
      <w:r>
        <w:rPr>
          <w:rFonts w:hint="cs"/>
          <w:sz w:val="36"/>
          <w:rtl/>
        </w:rPr>
        <w:t>.</w:t>
      </w:r>
      <w:r>
        <w:rPr>
          <w:rStyle w:val="a7"/>
          <w:sz w:val="36"/>
          <w:rtl/>
        </w:rPr>
        <w:t>(</w:t>
      </w:r>
      <w:r>
        <w:rPr>
          <w:rStyle w:val="a7"/>
          <w:sz w:val="36"/>
          <w:rtl/>
        </w:rPr>
        <w:footnoteReference w:id="19"/>
      </w:r>
      <w:r>
        <w:rPr>
          <w:rStyle w:val="a7"/>
          <w:sz w:val="36"/>
          <w:rtl/>
        </w:rPr>
        <w:t>)</w:t>
      </w:r>
      <w:r>
        <w:rPr>
          <w:rFonts w:hint="cs"/>
          <w:sz w:val="36"/>
          <w:rtl/>
        </w:rPr>
        <w:t xml:space="preserve"> </w:t>
      </w:r>
    </w:p>
    <w:p w:rsidR="00261DC8" w:rsidRDefault="00261DC8" w:rsidP="009A68A5">
      <w:pPr>
        <w:jc w:val="both"/>
        <w:rPr>
          <w:sz w:val="36"/>
          <w:rtl/>
        </w:rPr>
      </w:pPr>
      <w:r>
        <w:rPr>
          <w:rFonts w:hint="cs"/>
          <w:sz w:val="36"/>
          <w:rtl/>
        </w:rPr>
        <w:t>ثم إن هذه الطريقة تجعل الرجوع إلى القاعدة سهلاً وميسورًا؛ لهذا فإن أكثر من يؤلف في الموسوعات يختارها دون غيرها.</w:t>
      </w:r>
    </w:p>
    <w:p w:rsidR="00261DC8" w:rsidRDefault="00261DC8" w:rsidP="009A68A5">
      <w:pPr>
        <w:jc w:val="both"/>
        <w:rPr>
          <w:sz w:val="36"/>
          <w:rtl/>
        </w:rPr>
      </w:pPr>
      <w:r>
        <w:rPr>
          <w:rFonts w:hint="cs"/>
          <w:b/>
          <w:bCs/>
          <w:sz w:val="36"/>
          <w:rtl/>
        </w:rPr>
        <w:t>2</w:t>
      </w:r>
      <w:r>
        <w:rPr>
          <w:rFonts w:hint="cs"/>
          <w:sz w:val="36"/>
          <w:rtl/>
        </w:rPr>
        <w:t>- اعتناؤه بإثبات حجية القواعد التي يذكرها</w:t>
      </w:r>
      <w:r w:rsidR="0048366D">
        <w:rPr>
          <w:rFonts w:hint="cs"/>
          <w:sz w:val="36"/>
          <w:rtl/>
        </w:rPr>
        <w:t>؛</w:t>
      </w:r>
      <w:r>
        <w:rPr>
          <w:rFonts w:hint="cs"/>
          <w:sz w:val="36"/>
          <w:rtl/>
        </w:rPr>
        <w:t xml:space="preserve"> وذلك بتتبّع المسائل التي قيل إنها مستثناة من القاعدة، وبيان علّة تخلّفها عنها؛ لتبقى القاعدة كلية غير من</w:t>
      </w:r>
      <w:r>
        <w:rPr>
          <w:rFonts w:hint="cs"/>
          <w:sz w:val="36"/>
          <w:rtl/>
          <w:lang w:bidi="ar-AE"/>
        </w:rPr>
        <w:t>خ</w:t>
      </w:r>
      <w:r>
        <w:rPr>
          <w:rFonts w:hint="cs"/>
          <w:sz w:val="36"/>
          <w:rtl/>
        </w:rPr>
        <w:t>رمة.</w:t>
      </w:r>
    </w:p>
    <w:p w:rsidR="00261DC8" w:rsidRDefault="00261DC8" w:rsidP="009A68A5">
      <w:pPr>
        <w:jc w:val="both"/>
        <w:rPr>
          <w:sz w:val="36"/>
          <w:rtl/>
        </w:rPr>
      </w:pPr>
      <w:r>
        <w:rPr>
          <w:rFonts w:hint="cs"/>
          <w:b/>
          <w:bCs/>
          <w:sz w:val="36"/>
          <w:rtl/>
        </w:rPr>
        <w:t>3</w:t>
      </w:r>
      <w:r>
        <w:rPr>
          <w:rFonts w:hint="cs"/>
          <w:sz w:val="36"/>
          <w:rtl/>
        </w:rPr>
        <w:t>- كثرة قواعده</w:t>
      </w:r>
      <w:r w:rsidR="0048366D">
        <w:rPr>
          <w:rFonts w:hint="cs"/>
          <w:sz w:val="36"/>
          <w:rtl/>
        </w:rPr>
        <w:t>؛</w:t>
      </w:r>
      <w:r>
        <w:rPr>
          <w:rFonts w:hint="cs"/>
          <w:sz w:val="36"/>
          <w:rtl/>
        </w:rPr>
        <w:t xml:space="preserve"> حيث بلغ ما أفرده بالحديث منها (266) قاعدة، وقد كان لـه إسهـام كبير في استخراج كثير منها من عبارات الفقهاء والأصوليين التي ترد في مقام التعليل، ونحو ذلك، كما كان له إسهام أيضًا في استنتاج بعضها، وصياغتها على أنها قضايا كلية.</w:t>
      </w:r>
    </w:p>
    <w:p w:rsidR="00261DC8" w:rsidRDefault="00261DC8" w:rsidP="009A68A5">
      <w:pPr>
        <w:jc w:val="both"/>
        <w:rPr>
          <w:sz w:val="36"/>
          <w:rtl/>
        </w:rPr>
      </w:pPr>
      <w:r>
        <w:rPr>
          <w:rFonts w:hint="cs"/>
          <w:b/>
          <w:bCs/>
          <w:sz w:val="36"/>
          <w:rtl/>
        </w:rPr>
        <w:t>4</w:t>
      </w:r>
      <w:r>
        <w:rPr>
          <w:rFonts w:hint="cs"/>
          <w:sz w:val="36"/>
          <w:rtl/>
        </w:rPr>
        <w:t>- على الرغم من أن أكثر مراجعه فقهية إلا أنه كان موفّقًا في انتقاء مراجعه الرئيسة منها، كما كان بارعًا في حسن الاقتناص منها، وترتيبه وفق منهجه الفريد الذي رسمه لنفسه.</w:t>
      </w:r>
    </w:p>
    <w:p w:rsidR="00261DC8" w:rsidRDefault="00261DC8" w:rsidP="009A68A5">
      <w:pPr>
        <w:ind w:left="-2" w:right="-2"/>
        <w:jc w:val="both"/>
        <w:rPr>
          <w:sz w:val="36"/>
          <w:rtl/>
        </w:rPr>
      </w:pPr>
      <w:r>
        <w:rPr>
          <w:rFonts w:hint="cs"/>
          <w:b/>
          <w:bCs/>
          <w:sz w:val="36"/>
          <w:rtl/>
        </w:rPr>
        <w:t>5</w:t>
      </w:r>
      <w:r>
        <w:rPr>
          <w:rFonts w:hint="cs"/>
          <w:sz w:val="36"/>
          <w:rtl/>
        </w:rPr>
        <w:t>- أنه لم يخرج عن موضوع القواعد، فالكتاب جميعه في القواعد، من بعد المقدمة إلى آخر فقرة منه.</w:t>
      </w:r>
    </w:p>
    <w:p w:rsidR="00261DC8" w:rsidRDefault="00261DC8" w:rsidP="009A68A5">
      <w:pPr>
        <w:jc w:val="both"/>
        <w:rPr>
          <w:sz w:val="36"/>
          <w:rtl/>
        </w:rPr>
      </w:pPr>
      <w:r>
        <w:rPr>
          <w:rFonts w:hint="cs"/>
          <w:b/>
          <w:bCs/>
          <w:sz w:val="36"/>
          <w:rtl/>
        </w:rPr>
        <w:t>6</w:t>
      </w:r>
      <w:r>
        <w:rPr>
          <w:rFonts w:hint="cs"/>
          <w:sz w:val="36"/>
          <w:rtl/>
        </w:rPr>
        <w:t>- أنه يعدّ مصدرًا أصيلاً لأبي سعيد الخادمي (ت1176هـ) في قواعده الأربع والخمسين والمائة التي ختم بها كتابه (مجامع الحقائق). وليس من المبالغة القول بأن إسهام الخادمي في قواعده يكاد ينحصر في انتقائها من كتاب ناظر زاده، أو تنقيـح بعضها، أو اختصاره</w:t>
      </w:r>
      <w:r w:rsidR="0048366D">
        <w:rPr>
          <w:rFonts w:hint="cs"/>
          <w:sz w:val="36"/>
          <w:rtl/>
        </w:rPr>
        <w:t>.</w:t>
      </w:r>
      <w:r>
        <w:rPr>
          <w:rFonts w:hint="cs"/>
          <w:sz w:val="36"/>
          <w:rtl/>
        </w:rPr>
        <w:t>..، مع إضافة ثلاث عشرة قاعدة -فقط- لم يذكرها ناظر زاده.</w:t>
      </w:r>
    </w:p>
    <w:p w:rsidR="00261DC8" w:rsidRDefault="00261DC8" w:rsidP="009A68A5">
      <w:pPr>
        <w:jc w:val="both"/>
        <w:rPr>
          <w:sz w:val="36"/>
          <w:rtl/>
        </w:rPr>
      </w:pPr>
      <w:r>
        <w:rPr>
          <w:rFonts w:hint="cs"/>
          <w:sz w:val="36"/>
          <w:rtl/>
        </w:rPr>
        <w:t xml:space="preserve">وإذا كان مصدرًا مباشرًا لقواعد الخادمي، فهو مصدر غير مباشر لقواعد (مجلة </w:t>
      </w:r>
      <w:r>
        <w:rPr>
          <w:rFonts w:hint="cs"/>
          <w:sz w:val="36"/>
          <w:rtl/>
        </w:rPr>
        <w:lastRenderedPageBreak/>
        <w:t>الأحكام العدلية) التي ألفتها لجنة من علماء الدولة العثمانية؛ لأن قواعد المجلة لا تكاد تخرج عن قواعد الخادمي.</w:t>
      </w:r>
    </w:p>
    <w:p w:rsidR="00261DC8" w:rsidRDefault="00261DC8" w:rsidP="009A68A5">
      <w:pPr>
        <w:jc w:val="both"/>
        <w:rPr>
          <w:sz w:val="36"/>
          <w:rtl/>
        </w:rPr>
      </w:pPr>
      <w:r>
        <w:rPr>
          <w:rFonts w:hint="cs"/>
          <w:b/>
          <w:bCs/>
          <w:sz w:val="36"/>
          <w:rtl/>
        </w:rPr>
        <w:t>7</w:t>
      </w:r>
      <w:r>
        <w:rPr>
          <w:rFonts w:hint="cs"/>
          <w:sz w:val="36"/>
          <w:rtl/>
        </w:rPr>
        <w:t>- أن كثيرًا من القواعد الفقهية كان له السبق في اقتناصها من أعماق كتب الفقه، وإظهارها في كتـب القواعد الفقهية؛ حيث استفادها منه الخادمي، ثم انتقلت منه إلى (المجلة)، ثم اشتهرت وتداولها الناس.</w:t>
      </w:r>
    </w:p>
    <w:p w:rsidR="00261DC8" w:rsidRDefault="00261DC8" w:rsidP="009A68A5">
      <w:pPr>
        <w:pStyle w:val="20"/>
        <w:jc w:val="both"/>
        <w:rPr>
          <w:rtl/>
        </w:rPr>
      </w:pPr>
      <w:r>
        <w:rPr>
          <w:rFonts w:hint="cs"/>
          <w:rtl/>
        </w:rPr>
        <w:t xml:space="preserve">     ومن هذا المنطلق</w:t>
      </w:r>
      <w:r w:rsidR="0048366D">
        <w:rPr>
          <w:rFonts w:hint="cs"/>
          <w:rtl/>
        </w:rPr>
        <w:t>:</w:t>
      </w:r>
      <w:r>
        <w:rPr>
          <w:rFonts w:hint="cs"/>
          <w:rtl/>
        </w:rPr>
        <w:t xml:space="preserve"> اخترت أن يكون تحقيق هذا الكتاب ودراسته هو موضوع بحثي للماجستير؛ للأسباب الآتية</w:t>
      </w:r>
      <w:r w:rsidR="0048366D">
        <w:rPr>
          <w:rFonts w:hint="cs"/>
          <w:rtl/>
        </w:rPr>
        <w:t>:</w:t>
      </w:r>
    </w:p>
    <w:p w:rsidR="00261DC8" w:rsidRDefault="00261DC8" w:rsidP="009A68A5">
      <w:pPr>
        <w:jc w:val="both"/>
        <w:rPr>
          <w:sz w:val="36"/>
          <w:rtl/>
        </w:rPr>
      </w:pPr>
      <w:r>
        <w:rPr>
          <w:rFonts w:hint="cs"/>
          <w:b/>
          <w:bCs/>
          <w:sz w:val="36"/>
          <w:rtl/>
        </w:rPr>
        <w:t>1</w:t>
      </w:r>
      <w:r>
        <w:rPr>
          <w:rFonts w:hint="cs"/>
          <w:sz w:val="36"/>
          <w:rtl/>
        </w:rPr>
        <w:t>- قلّة  المؤلّفات المطبوعة في علم القواعد الفقهية، ولا سيما إذا ما قورنت بكتب العلوم الأُخَر.</w:t>
      </w:r>
    </w:p>
    <w:p w:rsidR="00261DC8" w:rsidRDefault="00261DC8" w:rsidP="009A68A5">
      <w:pPr>
        <w:ind w:left="-2" w:right="-2" w:firstLine="569"/>
        <w:jc w:val="both"/>
        <w:rPr>
          <w:sz w:val="36"/>
          <w:rtl/>
        </w:rPr>
      </w:pPr>
      <w:r>
        <w:rPr>
          <w:rFonts w:hint="cs"/>
          <w:b/>
          <w:bCs/>
          <w:sz w:val="36"/>
          <w:rtl/>
        </w:rPr>
        <w:t>2</w:t>
      </w:r>
      <w:r>
        <w:rPr>
          <w:rFonts w:hint="cs"/>
          <w:sz w:val="36"/>
          <w:rtl/>
        </w:rPr>
        <w:t>- رغبتي في دراسة القواعد الفقهية</w:t>
      </w:r>
      <w:r w:rsidR="0048366D">
        <w:rPr>
          <w:rFonts w:hint="cs"/>
          <w:sz w:val="36"/>
          <w:rtl/>
        </w:rPr>
        <w:t>؛</w:t>
      </w:r>
      <w:r>
        <w:rPr>
          <w:rFonts w:hint="cs"/>
          <w:sz w:val="36"/>
          <w:rtl/>
        </w:rPr>
        <w:t xml:space="preserve"> لما لها من أهمية بالغة -سبقت الإشارة إلى جوانب منها- ولوجود الميل الشخصي إليها.</w:t>
      </w:r>
    </w:p>
    <w:p w:rsidR="00261DC8" w:rsidRDefault="00261DC8" w:rsidP="009A68A5">
      <w:pPr>
        <w:ind w:left="-2" w:right="-2" w:firstLine="569"/>
        <w:jc w:val="both"/>
        <w:rPr>
          <w:sz w:val="36"/>
          <w:rtl/>
        </w:rPr>
      </w:pPr>
      <w:r>
        <w:rPr>
          <w:rFonts w:hint="cs"/>
          <w:b/>
          <w:bCs/>
          <w:sz w:val="36"/>
          <w:rtl/>
        </w:rPr>
        <w:t>3</w:t>
      </w:r>
      <w:r>
        <w:rPr>
          <w:rFonts w:hint="cs"/>
          <w:sz w:val="36"/>
          <w:rtl/>
        </w:rPr>
        <w:t>- وقد اخترت هذا الكتاب دون غيره من كتب القواعد</w:t>
      </w:r>
      <w:r w:rsidR="0048366D">
        <w:rPr>
          <w:rFonts w:hint="cs"/>
          <w:sz w:val="36"/>
          <w:rtl/>
        </w:rPr>
        <w:t>؛</w:t>
      </w:r>
      <w:r>
        <w:rPr>
          <w:rFonts w:hint="cs"/>
          <w:sz w:val="36"/>
          <w:rtl/>
        </w:rPr>
        <w:t xml:space="preserve"> لمزاياه الآنفة الذكر.</w:t>
      </w:r>
    </w:p>
    <w:p w:rsidR="00261DC8" w:rsidRDefault="00261DC8" w:rsidP="009A68A5">
      <w:pPr>
        <w:ind w:left="-2" w:right="-2" w:firstLine="569"/>
        <w:jc w:val="both"/>
        <w:rPr>
          <w:spacing w:val="-4"/>
          <w:sz w:val="36"/>
          <w:rtl/>
        </w:rPr>
      </w:pPr>
      <w:r>
        <w:rPr>
          <w:rFonts w:hint="cs"/>
          <w:b/>
          <w:bCs/>
          <w:spacing w:val="-4"/>
          <w:sz w:val="36"/>
          <w:rtl/>
        </w:rPr>
        <w:t>4</w:t>
      </w:r>
      <w:r>
        <w:rPr>
          <w:rFonts w:hint="cs"/>
          <w:spacing w:val="-4"/>
          <w:sz w:val="36"/>
          <w:rtl/>
        </w:rPr>
        <w:t>- ورغم كثـرة مزاياه ونسخه، إلا أنه لم يسبق أن طبع</w:t>
      </w:r>
      <w:r w:rsidR="0048366D">
        <w:rPr>
          <w:rFonts w:hint="cs"/>
          <w:spacing w:val="-4"/>
          <w:sz w:val="36"/>
          <w:rtl/>
        </w:rPr>
        <w:t>؛</w:t>
      </w:r>
      <w:r>
        <w:rPr>
          <w:rFonts w:hint="cs"/>
          <w:spacing w:val="-4"/>
          <w:sz w:val="36"/>
          <w:rtl/>
        </w:rPr>
        <w:t xml:space="preserve"> بل إنه يكاد يكون منسيًّا؛ لعدم اشتهاره، أو اشتهار مؤلفه، وهذا لا يجعل الكشف عن مجهول -له تلك الأهمية- وإظهاره للناس</w:t>
      </w:r>
      <w:r w:rsidR="0048366D">
        <w:rPr>
          <w:rFonts w:hint="cs"/>
          <w:spacing w:val="-4"/>
          <w:sz w:val="36"/>
          <w:rtl/>
        </w:rPr>
        <w:t>:</w:t>
      </w:r>
      <w:r>
        <w:rPr>
          <w:rFonts w:hint="cs"/>
          <w:spacing w:val="-4"/>
          <w:sz w:val="36"/>
          <w:rtl/>
        </w:rPr>
        <w:t xml:space="preserve"> أمرًا مرغوبًا فيه فحسب</w:t>
      </w:r>
      <w:r w:rsidR="0048366D">
        <w:rPr>
          <w:rFonts w:hint="cs"/>
          <w:spacing w:val="-4"/>
          <w:sz w:val="36"/>
          <w:rtl/>
        </w:rPr>
        <w:t>؛</w:t>
      </w:r>
      <w:r>
        <w:rPr>
          <w:rFonts w:hint="cs"/>
          <w:spacing w:val="-4"/>
          <w:sz w:val="36"/>
          <w:rtl/>
        </w:rPr>
        <w:t xml:space="preserve"> بل ضروريًّا أيضًا.</w:t>
      </w:r>
    </w:p>
    <w:p w:rsidR="00261DC8" w:rsidRDefault="00261DC8" w:rsidP="009A68A5">
      <w:pPr>
        <w:ind w:left="-2" w:right="-2" w:firstLine="569"/>
        <w:jc w:val="both"/>
        <w:rPr>
          <w:spacing w:val="-8"/>
          <w:sz w:val="36"/>
          <w:rtl/>
        </w:rPr>
      </w:pPr>
      <w:r>
        <w:rPr>
          <w:rFonts w:hint="cs"/>
          <w:b/>
          <w:bCs/>
          <w:spacing w:val="-8"/>
          <w:sz w:val="36"/>
          <w:rtl/>
        </w:rPr>
        <w:t>5</w:t>
      </w:r>
      <w:r>
        <w:rPr>
          <w:rFonts w:hint="cs"/>
          <w:spacing w:val="-8"/>
          <w:sz w:val="36"/>
          <w:rtl/>
        </w:rPr>
        <w:t>- وإذا كان من أسباب تحقيق بعض الكتب أنها تحفظ لنا آراء عدد من العلماء الذين اندثرت كتبهم ولم تصلنا، فإن تحقيق هذا الكتاب ذاته فيه حفظ كامل لإنتاج عالم من العلماء المغمورين تمامًا؛ لهذا لا غرو ولا عجب أن يرد على ورقة الغلاف لإحدى النسخ</w:t>
      </w:r>
      <w:r>
        <w:rPr>
          <w:rStyle w:val="a7"/>
          <w:spacing w:val="-8"/>
          <w:sz w:val="36"/>
          <w:rtl/>
        </w:rPr>
        <w:t>(</w:t>
      </w:r>
      <w:r>
        <w:rPr>
          <w:rStyle w:val="a7"/>
          <w:spacing w:val="-8"/>
          <w:sz w:val="36"/>
          <w:rtl/>
        </w:rPr>
        <w:footnoteReference w:id="20"/>
      </w:r>
      <w:r>
        <w:rPr>
          <w:rStyle w:val="a7"/>
          <w:spacing w:val="-8"/>
          <w:sz w:val="36"/>
          <w:rtl/>
        </w:rPr>
        <w:t>)</w:t>
      </w:r>
      <w:r w:rsidR="0048366D">
        <w:rPr>
          <w:rFonts w:hint="cs"/>
          <w:spacing w:val="-8"/>
          <w:sz w:val="36"/>
          <w:rtl/>
        </w:rPr>
        <w:t>:</w:t>
      </w:r>
    </w:p>
    <w:p w:rsidR="00261DC8" w:rsidRDefault="00261DC8" w:rsidP="009A68A5">
      <w:pPr>
        <w:pStyle w:val="3"/>
        <w:ind w:firstLine="423"/>
        <w:rPr>
          <w:spacing w:val="-2"/>
          <w:rtl/>
        </w:rPr>
      </w:pPr>
      <w:r>
        <w:rPr>
          <w:rFonts w:hint="cs"/>
          <w:spacing w:val="-2"/>
          <w:rtl/>
        </w:rPr>
        <w:t>فــي الــزوايــا خــبايـا          وفــي الـرجــال بـقـايـا</w:t>
      </w:r>
    </w:p>
    <w:p w:rsidR="00261DC8" w:rsidRDefault="00261DC8" w:rsidP="009A68A5">
      <w:pPr>
        <w:jc w:val="both"/>
        <w:rPr>
          <w:sz w:val="36"/>
          <w:rtl/>
        </w:rPr>
      </w:pPr>
      <w:r>
        <w:rPr>
          <w:rFonts w:hint="cs"/>
          <w:b/>
          <w:bCs/>
          <w:sz w:val="36"/>
          <w:rtl/>
        </w:rPr>
        <w:t>6</w:t>
      </w:r>
      <w:r>
        <w:rPr>
          <w:rFonts w:hint="cs"/>
          <w:sz w:val="36"/>
          <w:rtl/>
        </w:rPr>
        <w:t xml:space="preserve">- بالإضافة إلى ما سبق فإني أريد أن يكون لي شرف المشاركة في إخراج كتاب </w:t>
      </w:r>
      <w:r>
        <w:rPr>
          <w:rFonts w:hint="cs"/>
          <w:sz w:val="36"/>
          <w:rtl/>
        </w:rPr>
        <w:lastRenderedPageBreak/>
        <w:t>يعد من روائع ما خلّفه لنا علماؤنا السابقون</w:t>
      </w:r>
      <w:r w:rsidR="0048366D">
        <w:rPr>
          <w:rFonts w:hint="cs"/>
          <w:sz w:val="36"/>
          <w:rtl/>
        </w:rPr>
        <w:t>؛</w:t>
      </w:r>
      <w:r>
        <w:rPr>
          <w:rFonts w:hint="cs"/>
          <w:sz w:val="36"/>
          <w:rtl/>
        </w:rPr>
        <w:t xml:space="preserve"> لعلي بذلك أكون قد قمت ببعض الواجب؛ خدمة للعلم واستزادة منه، وقبل ذلك طلبًا للأجر والمثوبة من الله تعالى.</w:t>
      </w:r>
    </w:p>
    <w:p w:rsidR="00261DC8" w:rsidRDefault="00261DC8" w:rsidP="009A68A5">
      <w:pPr>
        <w:ind w:left="360" w:right="360" w:firstLine="346"/>
        <w:jc w:val="both"/>
        <w:rPr>
          <w:sz w:val="36"/>
          <w:rtl/>
        </w:rPr>
      </w:pPr>
      <w:r>
        <w:rPr>
          <w:rFonts w:hint="cs"/>
          <w:sz w:val="36"/>
          <w:rtl/>
        </w:rPr>
        <w:t>هذا وقد استدعى وضع البحث تقسيمه قسمين</w:t>
      </w:r>
      <w:r w:rsidR="0048366D">
        <w:rPr>
          <w:rFonts w:hint="cs"/>
          <w:sz w:val="36"/>
          <w:rtl/>
        </w:rPr>
        <w:t>:</w:t>
      </w:r>
    </w:p>
    <w:p w:rsidR="00261DC8" w:rsidRDefault="00261DC8" w:rsidP="009A68A5">
      <w:pPr>
        <w:ind w:left="706" w:right="706" w:firstLine="0"/>
        <w:jc w:val="both"/>
        <w:rPr>
          <w:b/>
          <w:bCs/>
          <w:sz w:val="36"/>
          <w:rtl/>
        </w:rPr>
      </w:pPr>
      <w:r>
        <w:rPr>
          <w:rFonts w:hint="cs"/>
          <w:b/>
          <w:bCs/>
          <w:sz w:val="36"/>
          <w:rtl/>
        </w:rPr>
        <w:t>-  الأول</w:t>
      </w:r>
      <w:r w:rsidR="0048366D">
        <w:rPr>
          <w:rFonts w:hint="cs"/>
          <w:b/>
          <w:bCs/>
          <w:sz w:val="36"/>
          <w:rtl/>
        </w:rPr>
        <w:t>:</w:t>
      </w:r>
      <w:r>
        <w:rPr>
          <w:rFonts w:hint="cs"/>
          <w:b/>
          <w:bCs/>
          <w:sz w:val="36"/>
          <w:rtl/>
        </w:rPr>
        <w:t xml:space="preserve"> القسم الدراسي.</w:t>
      </w:r>
    </w:p>
    <w:p w:rsidR="00261DC8" w:rsidRDefault="00261DC8" w:rsidP="009A68A5">
      <w:pPr>
        <w:ind w:left="706" w:right="706" w:firstLine="0"/>
        <w:jc w:val="both"/>
        <w:rPr>
          <w:b/>
          <w:bCs/>
          <w:sz w:val="36"/>
        </w:rPr>
      </w:pPr>
      <w:r>
        <w:rPr>
          <w:rFonts w:hint="cs"/>
          <w:b/>
          <w:bCs/>
          <w:sz w:val="36"/>
          <w:rtl/>
        </w:rPr>
        <w:t>-  الثاني</w:t>
      </w:r>
      <w:r w:rsidR="0048366D">
        <w:rPr>
          <w:rFonts w:hint="cs"/>
          <w:b/>
          <w:bCs/>
          <w:sz w:val="36"/>
          <w:rtl/>
        </w:rPr>
        <w:t>:</w:t>
      </w:r>
      <w:r>
        <w:rPr>
          <w:rFonts w:hint="cs"/>
          <w:b/>
          <w:bCs/>
          <w:sz w:val="36"/>
          <w:rtl/>
        </w:rPr>
        <w:t xml:space="preserve"> القسم التحقيقي.</w:t>
      </w:r>
    </w:p>
    <w:p w:rsidR="00261DC8" w:rsidRDefault="00261DC8" w:rsidP="009A68A5">
      <w:pPr>
        <w:ind w:left="706" w:right="706" w:firstLine="0"/>
        <w:jc w:val="both"/>
        <w:rPr>
          <w:rFonts w:ascii="Arial" w:hAnsi="Arial" w:cs="Monotype Koufi"/>
          <w:b/>
          <w:bCs/>
          <w:sz w:val="36"/>
          <w:rtl/>
        </w:rPr>
      </w:pPr>
      <w:r>
        <w:rPr>
          <w:rFonts w:ascii="Arial" w:hAnsi="Arial" w:cs="Monotype Koufi" w:hint="cs"/>
          <w:b/>
          <w:bCs/>
          <w:sz w:val="36"/>
          <w:rtl/>
        </w:rPr>
        <w:t>أولاً</w:t>
      </w:r>
      <w:r w:rsidR="0048366D">
        <w:rPr>
          <w:rFonts w:ascii="Arial" w:hAnsi="Arial" w:cs="Monotype Koufi" w:hint="cs"/>
          <w:b/>
          <w:bCs/>
          <w:sz w:val="36"/>
          <w:rtl/>
        </w:rPr>
        <w:t>:</w:t>
      </w:r>
      <w:r>
        <w:rPr>
          <w:rFonts w:ascii="Arial" w:hAnsi="Arial" w:cs="Monotype Koufi" w:hint="cs"/>
          <w:b/>
          <w:bCs/>
          <w:sz w:val="36"/>
          <w:rtl/>
        </w:rPr>
        <w:t xml:space="preserve"> القسم الدراسي</w:t>
      </w:r>
      <w:r w:rsidR="0048366D">
        <w:rPr>
          <w:rFonts w:ascii="Arial" w:hAnsi="Arial" w:cs="Monotype Koufi" w:hint="cs"/>
          <w:b/>
          <w:bCs/>
          <w:sz w:val="36"/>
          <w:rtl/>
        </w:rPr>
        <w:t>:</w:t>
      </w:r>
    </w:p>
    <w:p w:rsidR="00261DC8" w:rsidRDefault="00261DC8" w:rsidP="009A68A5">
      <w:pPr>
        <w:ind w:left="706" w:right="706" w:firstLine="0"/>
        <w:jc w:val="both"/>
        <w:rPr>
          <w:sz w:val="36"/>
          <w:rtl/>
        </w:rPr>
      </w:pPr>
      <w:r>
        <w:rPr>
          <w:rFonts w:hint="cs"/>
          <w:sz w:val="36"/>
          <w:rtl/>
        </w:rPr>
        <w:t>وفيه فصلان</w:t>
      </w:r>
      <w:r w:rsidR="0048366D">
        <w:rPr>
          <w:rFonts w:hint="cs"/>
          <w:sz w:val="36"/>
          <w:rtl/>
        </w:rPr>
        <w:t>:</w:t>
      </w:r>
    </w:p>
    <w:p w:rsidR="00261DC8" w:rsidRDefault="00261DC8" w:rsidP="009A68A5">
      <w:pPr>
        <w:ind w:left="706" w:right="706" w:firstLine="0"/>
        <w:jc w:val="both"/>
        <w:rPr>
          <w:rFonts w:cs="Monotype Koufi"/>
          <w:b/>
          <w:bCs/>
          <w:sz w:val="36"/>
          <w:rtl/>
        </w:rPr>
      </w:pPr>
      <w:r>
        <w:rPr>
          <w:rFonts w:cs="Monotype Koufi" w:hint="cs"/>
          <w:b/>
          <w:bCs/>
          <w:sz w:val="36"/>
          <w:rtl/>
        </w:rPr>
        <w:t>الفصل الأول</w:t>
      </w:r>
      <w:r w:rsidR="0048366D">
        <w:rPr>
          <w:rFonts w:cs="Monotype Koufi" w:hint="cs"/>
          <w:b/>
          <w:bCs/>
          <w:sz w:val="36"/>
          <w:rtl/>
        </w:rPr>
        <w:t>:</w:t>
      </w:r>
      <w:r>
        <w:rPr>
          <w:rFonts w:cs="Monotype Koufi" w:hint="cs"/>
          <w:b/>
          <w:bCs/>
          <w:sz w:val="36"/>
          <w:rtl/>
        </w:rPr>
        <w:t xml:space="preserve"> المؤلف</w:t>
      </w:r>
      <w:r w:rsidR="0048366D">
        <w:rPr>
          <w:rFonts w:cs="Monotype Koufi" w:hint="cs"/>
          <w:b/>
          <w:bCs/>
          <w:sz w:val="36"/>
          <w:rtl/>
        </w:rPr>
        <w:t>:</w:t>
      </w:r>
    </w:p>
    <w:p w:rsidR="00261DC8" w:rsidRDefault="00261DC8" w:rsidP="009A68A5">
      <w:pPr>
        <w:ind w:left="706" w:right="706" w:firstLine="0"/>
        <w:jc w:val="both"/>
        <w:rPr>
          <w:sz w:val="36"/>
          <w:rtl/>
        </w:rPr>
      </w:pPr>
      <w:r>
        <w:rPr>
          <w:rFonts w:hint="cs"/>
          <w:sz w:val="36"/>
          <w:rtl/>
        </w:rPr>
        <w:t>ويتضمن المباحث الآتية</w:t>
      </w:r>
      <w:r w:rsidR="0048366D">
        <w:rPr>
          <w:rFonts w:hint="cs"/>
          <w:sz w:val="36"/>
          <w:rtl/>
        </w:rPr>
        <w:t>:</w:t>
      </w:r>
    </w:p>
    <w:p w:rsidR="00261DC8" w:rsidRDefault="00261DC8" w:rsidP="009A68A5">
      <w:pPr>
        <w:ind w:left="706" w:right="706" w:firstLine="0"/>
        <w:jc w:val="both"/>
        <w:rPr>
          <w:sz w:val="36"/>
          <w:rtl/>
        </w:rPr>
      </w:pPr>
      <w:r>
        <w:rPr>
          <w:rFonts w:hint="cs"/>
          <w:b/>
          <w:bCs/>
          <w:sz w:val="36"/>
          <w:rtl/>
        </w:rPr>
        <w:t xml:space="preserve"> المبحث الأول</w:t>
      </w:r>
      <w:r w:rsidR="0048366D">
        <w:rPr>
          <w:rFonts w:hint="cs"/>
          <w:sz w:val="36"/>
          <w:rtl/>
        </w:rPr>
        <w:t>:</w:t>
      </w:r>
      <w:r>
        <w:rPr>
          <w:rFonts w:hint="cs"/>
          <w:sz w:val="36"/>
          <w:rtl/>
        </w:rPr>
        <w:t xml:space="preserve"> عصره.</w:t>
      </w:r>
    </w:p>
    <w:p w:rsidR="00261DC8" w:rsidRDefault="00261DC8" w:rsidP="009A68A5">
      <w:pPr>
        <w:ind w:left="706" w:right="706" w:firstLine="0"/>
        <w:jc w:val="both"/>
        <w:rPr>
          <w:sz w:val="36"/>
          <w:rtl/>
        </w:rPr>
      </w:pPr>
      <w:r>
        <w:rPr>
          <w:rFonts w:hint="cs"/>
          <w:sz w:val="36"/>
          <w:rtl/>
        </w:rPr>
        <w:t xml:space="preserve"> ا</w:t>
      </w:r>
      <w:r>
        <w:rPr>
          <w:rFonts w:hint="cs"/>
          <w:b/>
          <w:bCs/>
          <w:sz w:val="36"/>
          <w:rtl/>
        </w:rPr>
        <w:t>لمبحث الثاني</w:t>
      </w:r>
      <w:r>
        <w:rPr>
          <w:rFonts w:hint="cs"/>
          <w:sz w:val="36"/>
          <w:rtl/>
        </w:rPr>
        <w:t xml:space="preserve"> </w:t>
      </w:r>
      <w:r>
        <w:rPr>
          <w:rFonts w:hint="cs"/>
          <w:sz w:val="36"/>
          <w:rtl/>
        </w:rPr>
        <w:tab/>
        <w:t>: اسمه، ونسبه.</w:t>
      </w:r>
    </w:p>
    <w:p w:rsidR="00261DC8" w:rsidRDefault="00261DC8" w:rsidP="009A68A5">
      <w:pPr>
        <w:jc w:val="both"/>
        <w:rPr>
          <w:rtl/>
        </w:rPr>
      </w:pPr>
      <w:r>
        <w:rPr>
          <w:rFonts w:hint="cs"/>
          <w:b/>
          <w:bCs/>
          <w:rtl/>
        </w:rPr>
        <w:t>المبحث الثالث</w:t>
      </w:r>
      <w:r>
        <w:rPr>
          <w:rFonts w:hint="cs"/>
          <w:rtl/>
        </w:rPr>
        <w:t xml:space="preserve"> </w:t>
      </w:r>
      <w:r>
        <w:rPr>
          <w:rFonts w:hint="cs"/>
          <w:rtl/>
        </w:rPr>
        <w:tab/>
        <w:t>: مولده</w:t>
      </w:r>
      <w:r w:rsidR="0048366D">
        <w:rPr>
          <w:rFonts w:hint="cs"/>
          <w:rtl/>
        </w:rPr>
        <w:t>،</w:t>
      </w:r>
      <w:r>
        <w:rPr>
          <w:rFonts w:hint="cs"/>
          <w:rtl/>
        </w:rPr>
        <w:t xml:space="preserve"> ووفاته.</w:t>
      </w:r>
    </w:p>
    <w:p w:rsidR="00261DC8" w:rsidRDefault="00261DC8" w:rsidP="009A68A5">
      <w:pPr>
        <w:jc w:val="both"/>
        <w:rPr>
          <w:rtl/>
        </w:rPr>
      </w:pPr>
      <w:r>
        <w:rPr>
          <w:rFonts w:hint="cs"/>
          <w:b/>
          <w:bCs/>
          <w:rtl/>
        </w:rPr>
        <w:t>المبحث الرابع</w:t>
      </w:r>
      <w:r>
        <w:rPr>
          <w:rFonts w:hint="cs"/>
          <w:rtl/>
        </w:rPr>
        <w:t xml:space="preserve"> </w:t>
      </w:r>
      <w:r>
        <w:rPr>
          <w:rFonts w:hint="cs"/>
          <w:rtl/>
        </w:rPr>
        <w:tab/>
        <w:t>: نشأته، وحياته.</w:t>
      </w:r>
    </w:p>
    <w:p w:rsidR="00261DC8" w:rsidRDefault="00261DC8" w:rsidP="009A68A5">
      <w:pPr>
        <w:jc w:val="both"/>
        <w:rPr>
          <w:rtl/>
        </w:rPr>
      </w:pPr>
      <w:r>
        <w:rPr>
          <w:rFonts w:hint="cs"/>
          <w:b/>
          <w:bCs/>
          <w:rtl/>
        </w:rPr>
        <w:t>المبحث الخامس</w:t>
      </w:r>
      <w:r>
        <w:rPr>
          <w:rFonts w:hint="cs"/>
          <w:rtl/>
        </w:rPr>
        <w:t xml:space="preserve"> </w:t>
      </w:r>
      <w:r>
        <w:rPr>
          <w:rFonts w:hint="cs"/>
          <w:rtl/>
        </w:rPr>
        <w:tab/>
        <w:t>: طلبه العلم، وشيوخه.</w:t>
      </w:r>
    </w:p>
    <w:p w:rsidR="00261DC8" w:rsidRDefault="00261DC8" w:rsidP="009A68A5">
      <w:pPr>
        <w:jc w:val="both"/>
        <w:rPr>
          <w:rtl/>
        </w:rPr>
      </w:pPr>
      <w:r>
        <w:rPr>
          <w:rFonts w:hint="cs"/>
          <w:b/>
          <w:bCs/>
          <w:rtl/>
        </w:rPr>
        <w:t>المبحث السادس</w:t>
      </w:r>
      <w:r>
        <w:rPr>
          <w:rFonts w:hint="cs"/>
          <w:rtl/>
        </w:rPr>
        <w:tab/>
        <w:t>: تلاميذه.</w:t>
      </w:r>
    </w:p>
    <w:p w:rsidR="00261DC8" w:rsidRDefault="00261DC8" w:rsidP="009A68A5">
      <w:pPr>
        <w:jc w:val="both"/>
        <w:rPr>
          <w:rtl/>
        </w:rPr>
      </w:pPr>
      <w:r>
        <w:rPr>
          <w:rFonts w:hint="cs"/>
          <w:b/>
          <w:bCs/>
          <w:rtl/>
        </w:rPr>
        <w:t>المبحث السابع</w:t>
      </w:r>
      <w:r>
        <w:rPr>
          <w:rFonts w:hint="cs"/>
          <w:rtl/>
        </w:rPr>
        <w:t xml:space="preserve"> </w:t>
      </w:r>
      <w:r>
        <w:rPr>
          <w:rFonts w:hint="cs"/>
          <w:rtl/>
        </w:rPr>
        <w:tab/>
        <w:t>: مذهبه الفقهي، وعقيدته.</w:t>
      </w:r>
    </w:p>
    <w:p w:rsidR="00261DC8" w:rsidRDefault="00261DC8" w:rsidP="009A68A5">
      <w:pPr>
        <w:jc w:val="both"/>
        <w:rPr>
          <w:rtl/>
        </w:rPr>
      </w:pPr>
      <w:r>
        <w:rPr>
          <w:rFonts w:hint="cs"/>
          <w:b/>
          <w:bCs/>
          <w:rtl/>
        </w:rPr>
        <w:t>المبحث الثامن</w:t>
      </w:r>
      <w:r>
        <w:rPr>
          <w:rFonts w:hint="cs"/>
          <w:rtl/>
        </w:rPr>
        <w:t xml:space="preserve"> </w:t>
      </w:r>
      <w:r>
        <w:rPr>
          <w:rFonts w:hint="cs"/>
          <w:rtl/>
        </w:rPr>
        <w:tab/>
        <w:t>: مؤلّفاته.</w:t>
      </w:r>
    </w:p>
    <w:p w:rsidR="00261DC8" w:rsidRDefault="00261DC8" w:rsidP="009A68A5">
      <w:pPr>
        <w:jc w:val="both"/>
        <w:rPr>
          <w:rtl/>
        </w:rPr>
      </w:pPr>
      <w:r>
        <w:rPr>
          <w:rFonts w:hint="cs"/>
          <w:b/>
          <w:bCs/>
          <w:rtl/>
        </w:rPr>
        <w:t>المبحث التاسع</w:t>
      </w:r>
      <w:r>
        <w:rPr>
          <w:rFonts w:hint="cs"/>
          <w:rtl/>
        </w:rPr>
        <w:t xml:space="preserve"> </w:t>
      </w:r>
      <w:r>
        <w:rPr>
          <w:rFonts w:hint="cs"/>
          <w:rtl/>
        </w:rPr>
        <w:tab/>
        <w:t>: مكانته العلمية.</w:t>
      </w:r>
    </w:p>
    <w:p w:rsidR="00261DC8" w:rsidRDefault="00261DC8" w:rsidP="009A68A5">
      <w:pPr>
        <w:pStyle w:val="aa"/>
        <w:rPr>
          <w:rtl/>
        </w:rPr>
      </w:pPr>
      <w:r>
        <w:rPr>
          <w:rFonts w:hint="cs"/>
          <w:rtl/>
        </w:rPr>
        <w:t>الفصل الثاني</w:t>
      </w:r>
      <w:r w:rsidR="0048366D">
        <w:rPr>
          <w:rFonts w:hint="cs"/>
          <w:rtl/>
        </w:rPr>
        <w:t>:</w:t>
      </w:r>
      <w:r>
        <w:rPr>
          <w:rFonts w:hint="cs"/>
          <w:rtl/>
        </w:rPr>
        <w:t xml:space="preserve"> الكتاب</w:t>
      </w:r>
      <w:r w:rsidR="0048366D">
        <w:rPr>
          <w:rFonts w:hint="cs"/>
          <w:rtl/>
        </w:rPr>
        <w:t>:</w:t>
      </w:r>
    </w:p>
    <w:p w:rsidR="00261DC8" w:rsidRDefault="00261DC8" w:rsidP="009A68A5">
      <w:pPr>
        <w:ind w:left="565" w:right="565" w:firstLine="0"/>
        <w:jc w:val="both"/>
        <w:rPr>
          <w:sz w:val="36"/>
          <w:rtl/>
        </w:rPr>
      </w:pPr>
      <w:r>
        <w:rPr>
          <w:rFonts w:hint="cs"/>
          <w:sz w:val="36"/>
          <w:rtl/>
        </w:rPr>
        <w:t>ويتضمن المباحث الآتية</w:t>
      </w:r>
      <w:r w:rsidR="0048366D">
        <w:rPr>
          <w:rFonts w:hint="cs"/>
          <w:sz w:val="36"/>
          <w:rtl/>
        </w:rPr>
        <w:t>:</w:t>
      </w:r>
    </w:p>
    <w:p w:rsidR="00261DC8" w:rsidRDefault="00261DC8" w:rsidP="009A68A5">
      <w:pPr>
        <w:jc w:val="both"/>
        <w:rPr>
          <w:rtl/>
        </w:rPr>
      </w:pPr>
      <w:r>
        <w:rPr>
          <w:rFonts w:hint="cs"/>
          <w:b/>
          <w:bCs/>
          <w:rtl/>
        </w:rPr>
        <w:t>المبحث الأول</w:t>
      </w:r>
      <w:r>
        <w:rPr>
          <w:rFonts w:hint="cs"/>
          <w:rtl/>
        </w:rPr>
        <w:tab/>
        <w:t>: الغرض من تأليف الكتاب.</w:t>
      </w:r>
    </w:p>
    <w:p w:rsidR="00261DC8" w:rsidRDefault="00261DC8" w:rsidP="009A68A5">
      <w:pPr>
        <w:jc w:val="both"/>
        <w:rPr>
          <w:rtl/>
        </w:rPr>
      </w:pPr>
      <w:r>
        <w:rPr>
          <w:rFonts w:hint="cs"/>
          <w:b/>
          <w:bCs/>
          <w:rtl/>
        </w:rPr>
        <w:lastRenderedPageBreak/>
        <w:t>المبحث الثاني</w:t>
      </w:r>
      <w:r>
        <w:rPr>
          <w:rFonts w:hint="cs"/>
          <w:rtl/>
        </w:rPr>
        <w:tab/>
        <w:t>: موضوعات الكتاب.</w:t>
      </w:r>
    </w:p>
    <w:p w:rsidR="00261DC8" w:rsidRDefault="00261DC8" w:rsidP="009A68A5">
      <w:pPr>
        <w:jc w:val="both"/>
        <w:rPr>
          <w:rtl/>
        </w:rPr>
      </w:pPr>
      <w:r>
        <w:rPr>
          <w:rFonts w:hint="cs"/>
          <w:b/>
          <w:bCs/>
          <w:rtl/>
        </w:rPr>
        <w:t>المبحث الثالث</w:t>
      </w:r>
      <w:r>
        <w:rPr>
          <w:rFonts w:hint="cs"/>
          <w:b/>
          <w:bCs/>
          <w:rtl/>
        </w:rPr>
        <w:tab/>
      </w:r>
      <w:r>
        <w:rPr>
          <w:rFonts w:hint="cs"/>
          <w:rtl/>
        </w:rPr>
        <w:t>: منهج المؤلف في كتابه.</w:t>
      </w:r>
    </w:p>
    <w:p w:rsidR="00261DC8" w:rsidRDefault="00261DC8" w:rsidP="009A68A5">
      <w:pPr>
        <w:jc w:val="both"/>
        <w:rPr>
          <w:rtl/>
        </w:rPr>
      </w:pPr>
      <w:r>
        <w:rPr>
          <w:rFonts w:hint="cs"/>
          <w:b/>
          <w:bCs/>
          <w:rtl/>
        </w:rPr>
        <w:t>المبحث الرابع</w:t>
      </w:r>
      <w:r>
        <w:rPr>
          <w:rFonts w:hint="cs"/>
          <w:rtl/>
        </w:rPr>
        <w:tab/>
        <w:t>: مصادره، وطريقة استفادته منها.</w:t>
      </w:r>
    </w:p>
    <w:p w:rsidR="00261DC8" w:rsidRDefault="00261DC8" w:rsidP="009A68A5">
      <w:pPr>
        <w:jc w:val="both"/>
        <w:rPr>
          <w:rtl/>
        </w:rPr>
      </w:pPr>
      <w:r>
        <w:rPr>
          <w:rFonts w:hint="cs"/>
          <w:b/>
          <w:bCs/>
          <w:rtl/>
        </w:rPr>
        <w:t>المبحث الخامس</w:t>
      </w:r>
      <w:r>
        <w:rPr>
          <w:rFonts w:hint="cs"/>
          <w:rtl/>
        </w:rPr>
        <w:tab/>
        <w:t>: من استفاد منه.</w:t>
      </w:r>
    </w:p>
    <w:p w:rsidR="00261DC8" w:rsidRDefault="00261DC8" w:rsidP="009A68A5">
      <w:pPr>
        <w:jc w:val="both"/>
        <w:rPr>
          <w:rtl/>
        </w:rPr>
      </w:pPr>
      <w:r>
        <w:rPr>
          <w:rFonts w:hint="cs"/>
          <w:b/>
          <w:bCs/>
          <w:rtl/>
        </w:rPr>
        <w:t>المبحث السادس</w:t>
      </w:r>
      <w:r>
        <w:rPr>
          <w:rFonts w:hint="cs"/>
          <w:rtl/>
        </w:rPr>
        <w:tab/>
        <w:t>: تقويم الكتاب.</w:t>
      </w:r>
    </w:p>
    <w:p w:rsidR="00261DC8" w:rsidRDefault="00261DC8" w:rsidP="009A68A5">
      <w:pPr>
        <w:ind w:left="565" w:right="565" w:firstLine="0"/>
        <w:jc w:val="both"/>
        <w:rPr>
          <w:rFonts w:cs="Monotype Koufi"/>
          <w:b/>
          <w:bCs/>
          <w:sz w:val="36"/>
          <w:rtl/>
        </w:rPr>
      </w:pPr>
      <w:r>
        <w:rPr>
          <w:rFonts w:cs="Monotype Koufi" w:hint="cs"/>
          <w:bCs/>
          <w:rtl/>
        </w:rPr>
        <w:t>ثانيًا</w:t>
      </w:r>
      <w:r w:rsidR="0048366D">
        <w:rPr>
          <w:rFonts w:cs="Monotype Koufi" w:hint="cs"/>
          <w:bCs/>
          <w:rtl/>
        </w:rPr>
        <w:t>:</w:t>
      </w:r>
      <w:r>
        <w:rPr>
          <w:rFonts w:cs="Monotype Koufi" w:hint="cs"/>
          <w:bCs/>
          <w:rtl/>
        </w:rPr>
        <w:t xml:space="preserve"> القسم التحقيقي</w:t>
      </w:r>
      <w:r w:rsidR="0048366D">
        <w:rPr>
          <w:rFonts w:cs="Monotype Koufi" w:hint="cs"/>
          <w:bCs/>
          <w:rtl/>
        </w:rPr>
        <w:t>:</w:t>
      </w:r>
    </w:p>
    <w:p w:rsidR="00261DC8" w:rsidRDefault="00261DC8" w:rsidP="009A68A5">
      <w:pPr>
        <w:ind w:left="565" w:right="565" w:firstLine="0"/>
        <w:jc w:val="both"/>
        <w:rPr>
          <w:sz w:val="36"/>
          <w:rtl/>
        </w:rPr>
      </w:pPr>
      <w:r>
        <w:rPr>
          <w:rFonts w:hint="cs"/>
          <w:sz w:val="36"/>
          <w:rtl/>
        </w:rPr>
        <w:t>ويشمل ما يأتي</w:t>
      </w:r>
      <w:r w:rsidR="0048366D">
        <w:rPr>
          <w:rFonts w:hint="cs"/>
          <w:sz w:val="36"/>
          <w:rtl/>
        </w:rPr>
        <w:t>:</w:t>
      </w:r>
    </w:p>
    <w:p w:rsidR="00261DC8" w:rsidRDefault="00261DC8" w:rsidP="009A68A5">
      <w:pPr>
        <w:ind w:left="565" w:right="565" w:firstLine="0"/>
        <w:jc w:val="both"/>
        <w:rPr>
          <w:sz w:val="36"/>
          <w:rtl/>
        </w:rPr>
      </w:pPr>
      <w:r w:rsidRPr="00260C53">
        <w:rPr>
          <w:rFonts w:cs="AL-Mateen" w:hint="cs"/>
          <w:sz w:val="48"/>
          <w:rtl/>
        </w:rPr>
        <w:t>أولاً</w:t>
      </w:r>
      <w:r w:rsidR="0048366D">
        <w:rPr>
          <w:rFonts w:cs="AL-Mateen" w:hint="cs"/>
          <w:sz w:val="48"/>
          <w:rtl/>
        </w:rPr>
        <w:t>:</w:t>
      </w:r>
      <w:r w:rsidRPr="00260C53">
        <w:rPr>
          <w:rFonts w:cs="AL-Mateen" w:hint="cs"/>
          <w:sz w:val="48"/>
          <w:rtl/>
        </w:rPr>
        <w:t xml:space="preserve"> مقدمة التحقيق:</w:t>
      </w:r>
      <w:r>
        <w:rPr>
          <w:rFonts w:hint="cs"/>
          <w:sz w:val="36"/>
          <w:rtl/>
        </w:rPr>
        <w:t xml:space="preserve"> وتتضمن المطالب الآتية</w:t>
      </w:r>
      <w:r w:rsidR="0048366D">
        <w:rPr>
          <w:rFonts w:hint="cs"/>
          <w:sz w:val="36"/>
          <w:rtl/>
        </w:rPr>
        <w:t>:</w:t>
      </w:r>
    </w:p>
    <w:p w:rsidR="00261DC8" w:rsidRPr="0048366D" w:rsidRDefault="00261DC8" w:rsidP="009A68A5">
      <w:pPr>
        <w:jc w:val="both"/>
        <w:rPr>
          <w:spacing w:val="-10"/>
          <w:rtl/>
        </w:rPr>
      </w:pPr>
      <w:r w:rsidRPr="0048366D">
        <w:rPr>
          <w:rFonts w:hint="cs"/>
          <w:b/>
          <w:bCs/>
          <w:spacing w:val="-10"/>
          <w:rtl/>
        </w:rPr>
        <w:t>المطلب الأول</w:t>
      </w:r>
      <w:r w:rsidRPr="0048366D">
        <w:rPr>
          <w:rFonts w:hint="cs"/>
          <w:spacing w:val="-10"/>
          <w:rtl/>
        </w:rPr>
        <w:tab/>
        <w:t>: ذكر نسخ الكتاب المخطوطة، وبيان أوصافها، وعرض نماذج منها.</w:t>
      </w:r>
    </w:p>
    <w:p w:rsidR="00261DC8" w:rsidRDefault="00261DC8" w:rsidP="009A68A5">
      <w:pPr>
        <w:jc w:val="both"/>
        <w:rPr>
          <w:rtl/>
        </w:rPr>
      </w:pPr>
      <w:r>
        <w:rPr>
          <w:rFonts w:hint="cs"/>
          <w:b/>
          <w:bCs/>
          <w:rtl/>
        </w:rPr>
        <w:t>المطلب الثاني</w:t>
      </w:r>
      <w:r>
        <w:rPr>
          <w:rFonts w:hint="cs"/>
          <w:rtl/>
        </w:rPr>
        <w:tab/>
        <w:t>: تحقيق اسم الكتاب.</w:t>
      </w:r>
    </w:p>
    <w:p w:rsidR="00261DC8" w:rsidRDefault="00261DC8" w:rsidP="009A68A5">
      <w:pPr>
        <w:jc w:val="both"/>
        <w:rPr>
          <w:rtl/>
        </w:rPr>
      </w:pPr>
      <w:r>
        <w:rPr>
          <w:rFonts w:hint="cs"/>
          <w:b/>
          <w:bCs/>
          <w:rtl/>
        </w:rPr>
        <w:t>المطلب الثالث</w:t>
      </w:r>
      <w:r>
        <w:rPr>
          <w:rFonts w:hint="cs"/>
          <w:rtl/>
        </w:rPr>
        <w:tab/>
        <w:t>: تحقيق نسبة الكتاب لمؤلفه.</w:t>
      </w:r>
    </w:p>
    <w:p w:rsidR="00261DC8" w:rsidRPr="0048366D" w:rsidRDefault="00261DC8" w:rsidP="009A68A5">
      <w:pPr>
        <w:jc w:val="both"/>
        <w:rPr>
          <w:spacing w:val="-8"/>
          <w:rtl/>
        </w:rPr>
      </w:pPr>
      <w:r w:rsidRPr="0048366D">
        <w:rPr>
          <w:rFonts w:hint="cs"/>
          <w:b/>
          <w:bCs/>
          <w:spacing w:val="-8"/>
          <w:rtl/>
        </w:rPr>
        <w:t>المطلب الرابع</w:t>
      </w:r>
      <w:r w:rsidRPr="0048366D">
        <w:rPr>
          <w:rFonts w:hint="cs"/>
          <w:spacing w:val="-8"/>
          <w:rtl/>
        </w:rPr>
        <w:tab/>
        <w:t xml:space="preserve">: ذكر نسخ </w:t>
      </w:r>
      <w:r w:rsidRPr="0048366D">
        <w:rPr>
          <w:rFonts w:hint="cs"/>
          <w:b/>
          <w:bCs/>
          <w:spacing w:val="-8"/>
          <w:rtl/>
        </w:rPr>
        <w:t>الكتاب</w:t>
      </w:r>
      <w:r w:rsidRPr="0048366D">
        <w:rPr>
          <w:rFonts w:hint="cs"/>
          <w:spacing w:val="-8"/>
          <w:rtl/>
        </w:rPr>
        <w:t xml:space="preserve"> المعتمدة في التحقيق، وسبب الاقتصار عليها.</w:t>
      </w:r>
    </w:p>
    <w:p w:rsidR="00261DC8" w:rsidRDefault="00261DC8" w:rsidP="009A68A5">
      <w:pPr>
        <w:jc w:val="both"/>
        <w:rPr>
          <w:rtl/>
        </w:rPr>
      </w:pPr>
      <w:r>
        <w:rPr>
          <w:rFonts w:hint="cs"/>
          <w:b/>
          <w:bCs/>
          <w:rtl/>
        </w:rPr>
        <w:t>المطلب الخامس</w:t>
      </w:r>
      <w:r>
        <w:rPr>
          <w:rFonts w:hint="cs"/>
          <w:rtl/>
        </w:rPr>
        <w:tab/>
        <w:t>: منهج التحقيق والتعليق.</w:t>
      </w:r>
    </w:p>
    <w:p w:rsidR="00261DC8" w:rsidRPr="00C87B73" w:rsidRDefault="00261DC8" w:rsidP="009A68A5">
      <w:pPr>
        <w:pStyle w:val="ab"/>
        <w:rPr>
          <w:rFonts w:cs="AL-Mateen"/>
          <w:b/>
          <w:bCs/>
          <w:sz w:val="36"/>
          <w:rtl/>
          <w:lang w:bidi="ar-SA"/>
        </w:rPr>
      </w:pPr>
      <w:r w:rsidRPr="00C87B73">
        <w:rPr>
          <w:rFonts w:cs="AL-Mateen" w:hint="cs"/>
          <w:sz w:val="48"/>
          <w:rtl/>
          <w:lang w:val="en-GB" w:bidi="ar-SA"/>
        </w:rPr>
        <w:t>ثانيًا</w:t>
      </w:r>
      <w:r w:rsidR="0048366D">
        <w:rPr>
          <w:rFonts w:cs="AL-Mateen" w:hint="cs"/>
          <w:sz w:val="48"/>
          <w:rtl/>
          <w:lang w:val="en-GB" w:bidi="ar-SA"/>
        </w:rPr>
        <w:t>:</w:t>
      </w:r>
      <w:r w:rsidRPr="00C87B73">
        <w:rPr>
          <w:rFonts w:cs="AL-Mateen" w:hint="cs"/>
          <w:sz w:val="48"/>
          <w:rtl/>
          <w:lang w:val="en-GB" w:bidi="ar-SA"/>
        </w:rPr>
        <w:t xml:space="preserve"> النص المحقق.</w:t>
      </w:r>
    </w:p>
    <w:p w:rsidR="00261DC8" w:rsidRDefault="00261DC8" w:rsidP="009A68A5">
      <w:pPr>
        <w:ind w:left="360" w:right="360" w:firstLine="205"/>
        <w:jc w:val="both"/>
        <w:rPr>
          <w:b/>
          <w:bCs/>
          <w:sz w:val="36"/>
          <w:rtl/>
        </w:rPr>
      </w:pPr>
      <w:r>
        <w:rPr>
          <w:rFonts w:hint="cs"/>
          <w:b/>
          <w:bCs/>
          <w:sz w:val="36"/>
          <w:rtl/>
        </w:rPr>
        <w:t>ثم يأتي بيان المصادر والفهارس.</w:t>
      </w:r>
    </w:p>
    <w:p w:rsidR="00261DC8" w:rsidRDefault="00261DC8" w:rsidP="009A68A5">
      <w:pPr>
        <w:jc w:val="both"/>
        <w:rPr>
          <w:spacing w:val="-4"/>
          <w:sz w:val="36"/>
          <w:rtl/>
        </w:rPr>
      </w:pPr>
      <w:r>
        <w:rPr>
          <w:rFonts w:hint="cs"/>
          <w:spacing w:val="-4"/>
          <w:sz w:val="36"/>
          <w:rtl/>
        </w:rPr>
        <w:t>هذا وما من كتاب يحقق تحقيقًا علميًّا إلا وتعتريه صعوبات جمة، وهذا ما حصل طيلة عملي في هذه الرسالة، وقد منّ الله علي بتذليل هذه العقبات وتجاوزها، فله الحمد والمنة.</w:t>
      </w:r>
    </w:p>
    <w:p w:rsidR="00261DC8" w:rsidRPr="00C87B73" w:rsidRDefault="00261DC8" w:rsidP="009A68A5">
      <w:pPr>
        <w:pStyle w:val="a9"/>
        <w:jc w:val="both"/>
        <w:rPr>
          <w:rFonts w:cs="AL-Mateen"/>
          <w:rtl/>
        </w:rPr>
      </w:pPr>
      <w:r w:rsidRPr="00C87B73">
        <w:rPr>
          <w:rFonts w:cs="AL-Mateen" w:hint="cs"/>
          <w:rtl/>
        </w:rPr>
        <w:t>وأهم هذه الصعوبات ما يأتي</w:t>
      </w:r>
      <w:r w:rsidR="0048366D">
        <w:rPr>
          <w:rFonts w:cs="AL-Mateen" w:hint="cs"/>
          <w:rtl/>
        </w:rPr>
        <w:t>:</w:t>
      </w:r>
    </w:p>
    <w:p w:rsidR="00261DC8" w:rsidRDefault="00261DC8" w:rsidP="009A68A5">
      <w:pPr>
        <w:jc w:val="both"/>
        <w:rPr>
          <w:sz w:val="36"/>
          <w:rtl/>
        </w:rPr>
      </w:pPr>
      <w:r>
        <w:rPr>
          <w:rFonts w:hint="cs"/>
          <w:b/>
          <w:bCs/>
          <w:sz w:val="36"/>
          <w:rtl/>
        </w:rPr>
        <w:t>1-</w:t>
      </w:r>
      <w:r>
        <w:rPr>
          <w:rFonts w:hint="cs"/>
          <w:sz w:val="36"/>
          <w:rtl/>
        </w:rPr>
        <w:t xml:space="preserve"> عدم العثور على ترجمة وافية للمؤلف، وهذه أكثر الصعوبات التي أخذت من وقتي وجهدي، فبعد أن تعرّفت على هذا الكتاب، وأدركت قيمته العلمية، بدأت بالبحث عن ترجمة حياة المؤلف، فمضيت أطلبها شهرًا كاملاً، قضيت من أيامه </w:t>
      </w:r>
      <w:r>
        <w:rPr>
          <w:rFonts w:hint="cs"/>
          <w:sz w:val="36"/>
          <w:rtl/>
        </w:rPr>
        <w:lastRenderedPageBreak/>
        <w:t>الساعات الطوال في مكتبات الرياض العامرة دون طائل.</w:t>
      </w:r>
    </w:p>
    <w:p w:rsidR="00261DC8" w:rsidRDefault="00261DC8" w:rsidP="009A68A5">
      <w:pPr>
        <w:jc w:val="both"/>
        <w:rPr>
          <w:sz w:val="36"/>
          <w:rtl/>
        </w:rPr>
      </w:pPr>
      <w:r>
        <w:rPr>
          <w:rFonts w:hint="cs"/>
          <w:sz w:val="36"/>
          <w:rtl/>
        </w:rPr>
        <w:t>وبعد استشارة فضيلة رئيس قسم أصول الفقه -في ذلك الحين- شيخنا د. عبدالرحمن الشعلان أشار عليّ بعرض الموضوع على القسم، وترك الخيار له. وعقب أن يسّر الله تسجيله كان البحث عن الترجمة شغلي الشاغل طيلة الأشهر الأحد عشر الأُوَل من مدة الرسالة، سافرت خلالها إلى كل من مكة المكرمة، والمدينة المنورة، وتركيا، وفي أثناء ذلك ربطت جسورًا عدة مع جهات علمية، وباحثين مختصين، ومع ذلك لم أجد جديدًا.</w:t>
      </w:r>
    </w:p>
    <w:p w:rsidR="00261DC8" w:rsidRPr="00E10909" w:rsidRDefault="00261DC8" w:rsidP="009A68A5">
      <w:pPr>
        <w:jc w:val="both"/>
        <w:rPr>
          <w:spacing w:val="-4"/>
          <w:sz w:val="36"/>
          <w:rtl/>
        </w:rPr>
      </w:pPr>
      <w:r w:rsidRPr="00E10909">
        <w:rPr>
          <w:rFonts w:hint="cs"/>
          <w:spacing w:val="-4"/>
          <w:sz w:val="36"/>
          <w:rtl/>
        </w:rPr>
        <w:t>وبعد أن وصلت إلى هذه المرحلة كاد الأمر يثنيني عن إتمام الرسالة، ولا سيما أني لم أقطع شوطًا يذكر فيها، فعرضت هذه المشكلة على فضيلة المشرف على الرسالة، شيخـنا د. أحمد العنقري، فما كان منه إلا أن شجعني وخفّف عنّي وطأتها، وأفادني بأن قيمة الكتاب العلمية كافية في المضي قدمًا في تحقيقه، وإن لم يُعثر على ترجمة لحياة مؤلفه، وأن هذا الرأي هو ما استقر عليه مجلس القسم والكلية؛ لهذا لم يشترطا لتسجيله تقديم ترجمة لحياة مؤلفه، كما أفادني بذلك أيضًا فضيلة رئيس قسم أصول الفقه.</w:t>
      </w:r>
    </w:p>
    <w:p w:rsidR="00261DC8" w:rsidRDefault="00261DC8" w:rsidP="009A68A5">
      <w:pPr>
        <w:jc w:val="both"/>
        <w:rPr>
          <w:spacing w:val="-4"/>
          <w:sz w:val="36"/>
          <w:rtl/>
        </w:rPr>
      </w:pPr>
      <w:r>
        <w:rPr>
          <w:rFonts w:hint="cs"/>
          <w:spacing w:val="-4"/>
          <w:sz w:val="36"/>
          <w:rtl/>
        </w:rPr>
        <w:t>فاستعنت بالله ومضيت في تحقيقه، ولم أكن غافلاً عن الترجمة</w:t>
      </w:r>
      <w:r w:rsidR="0048366D">
        <w:rPr>
          <w:rFonts w:hint="cs"/>
          <w:spacing w:val="-4"/>
          <w:sz w:val="36"/>
          <w:rtl/>
        </w:rPr>
        <w:t>؛</w:t>
      </w:r>
      <w:r>
        <w:rPr>
          <w:rFonts w:hint="cs"/>
          <w:spacing w:val="-4"/>
          <w:sz w:val="36"/>
          <w:rtl/>
        </w:rPr>
        <w:t xml:space="preserve"> بل كنت على اتصال بها بين الحـين والآخر، كما قمت برحلة علمية إلى كل من تركيـا -مرة ثانية- ومصر وسوريا، كما بحثت عنها في الإمارات العربية المتحدة، ولكن لم أظفر بجديد، وكان مصدري الرئيس في التعريف به ما جاء في الكتاب ونسخه الخطية، وفهارس المخطوطات، وحسبي في ذلك أني بذلت غاية جهدي.</w:t>
      </w:r>
    </w:p>
    <w:p w:rsidR="00261DC8" w:rsidRDefault="00261DC8" w:rsidP="009A68A5">
      <w:pPr>
        <w:jc w:val="both"/>
        <w:rPr>
          <w:sz w:val="36"/>
          <w:rtl/>
        </w:rPr>
      </w:pPr>
      <w:r>
        <w:rPr>
          <w:rFonts w:hint="cs"/>
          <w:b/>
          <w:bCs/>
          <w:sz w:val="36"/>
          <w:rtl/>
        </w:rPr>
        <w:t xml:space="preserve">2- </w:t>
      </w:r>
      <w:r>
        <w:rPr>
          <w:rFonts w:hint="cs"/>
          <w:sz w:val="36"/>
          <w:rtl/>
        </w:rPr>
        <w:t>صعـوبة فـهم الكتاب، وغموض معانيه، وكثرة اختزاله للعبارات. وهذه الظاهرة تكاد تكون عامّة في جميع الكتاب؛ مما يتطلب من القارئ التأمل الشديد من أجل فهم المعنى المراد.</w:t>
      </w:r>
    </w:p>
    <w:p w:rsidR="00261DC8" w:rsidRDefault="00261DC8" w:rsidP="009A68A5">
      <w:pPr>
        <w:spacing w:line="228" w:lineRule="auto"/>
        <w:jc w:val="both"/>
        <w:rPr>
          <w:sz w:val="36"/>
          <w:rtl/>
        </w:rPr>
      </w:pPr>
      <w:r>
        <w:rPr>
          <w:rFonts w:hint="cs"/>
          <w:b/>
          <w:bCs/>
          <w:sz w:val="36"/>
          <w:rtl/>
        </w:rPr>
        <w:lastRenderedPageBreak/>
        <w:t>3-</w:t>
      </w:r>
      <w:r>
        <w:rPr>
          <w:rFonts w:hint="cs"/>
          <w:sz w:val="36"/>
          <w:rtl/>
        </w:rPr>
        <w:t xml:space="preserve"> ومما يزيد الأمر عسرًا</w:t>
      </w:r>
      <w:r w:rsidR="0048366D">
        <w:rPr>
          <w:rFonts w:hint="cs"/>
          <w:sz w:val="36"/>
          <w:rtl/>
        </w:rPr>
        <w:t>:</w:t>
      </w:r>
      <w:r>
        <w:rPr>
          <w:rFonts w:hint="cs"/>
          <w:sz w:val="36"/>
          <w:rtl/>
        </w:rPr>
        <w:t xml:space="preserve"> أن أثر العجمة كان واضحًا على الكتاب</w:t>
      </w:r>
      <w:r w:rsidR="0048366D">
        <w:rPr>
          <w:rFonts w:hint="cs"/>
          <w:sz w:val="36"/>
          <w:rtl/>
        </w:rPr>
        <w:t>؛</w:t>
      </w:r>
      <w:r>
        <w:rPr>
          <w:rFonts w:hint="cs"/>
          <w:sz w:val="36"/>
          <w:rtl/>
        </w:rPr>
        <w:t xml:space="preserve"> بسبب كون أكثر النسّاخ عجمًا، احترفوا مهنة النسخ، وربما كان سببه أحيانًا عجمة المؤلف نفسه، وإذا اجتمع مع صعوبة الألفاظ ركاكة الأسلوب زاد الأمر استفحالاً وإشكالاً.</w:t>
      </w:r>
    </w:p>
    <w:p w:rsidR="00261DC8" w:rsidRDefault="00261DC8" w:rsidP="009A68A5">
      <w:pPr>
        <w:spacing w:line="228" w:lineRule="auto"/>
        <w:jc w:val="both"/>
        <w:rPr>
          <w:sz w:val="36"/>
          <w:rtl/>
        </w:rPr>
      </w:pPr>
      <w:r>
        <w:rPr>
          <w:rFonts w:hint="cs"/>
          <w:sz w:val="36"/>
          <w:rtl/>
        </w:rPr>
        <w:t>ولعلاج هذه المشكلة كنت عند البدء في التعليق على أي قاعدة أبحث عن مصدر المؤلف فيها، ثم أقابل عليه القاعدة، وما جاء في شرحها</w:t>
      </w:r>
      <w:r w:rsidR="0048366D">
        <w:rPr>
          <w:rFonts w:hint="cs"/>
          <w:sz w:val="36"/>
          <w:rtl/>
        </w:rPr>
        <w:t>؛</w:t>
      </w:r>
      <w:r>
        <w:rPr>
          <w:rFonts w:hint="cs"/>
          <w:sz w:val="36"/>
          <w:rtl/>
        </w:rPr>
        <w:t xml:space="preserve"> لأنطلق من ذلك في التعليق عليها، وربما تطلب الأمر التوقف اليوم واليومين والثلاثة؛ بحثًا عن مصدر المؤلف في القاعدة.</w:t>
      </w:r>
    </w:p>
    <w:p w:rsidR="00261DC8" w:rsidRDefault="00261DC8" w:rsidP="009A68A5">
      <w:pPr>
        <w:spacing w:line="228" w:lineRule="auto"/>
        <w:jc w:val="both"/>
        <w:rPr>
          <w:sz w:val="36"/>
          <w:rtl/>
        </w:rPr>
      </w:pPr>
      <w:r>
        <w:rPr>
          <w:rFonts w:hint="cs"/>
          <w:b/>
          <w:bCs/>
          <w:sz w:val="36"/>
          <w:rtl/>
        </w:rPr>
        <w:t xml:space="preserve">4- </w:t>
      </w:r>
      <w:r>
        <w:rPr>
          <w:rFonts w:hint="cs"/>
          <w:sz w:val="36"/>
          <w:rtl/>
        </w:rPr>
        <w:t>طول الكتاب وكثرة لوحاته، فنسخه الخطية تتراوح ما بين 69-116 لوحة.</w:t>
      </w:r>
    </w:p>
    <w:p w:rsidR="00261DC8" w:rsidRDefault="00261DC8" w:rsidP="009A68A5">
      <w:pPr>
        <w:spacing w:line="228" w:lineRule="auto"/>
        <w:jc w:val="both"/>
        <w:rPr>
          <w:sz w:val="36"/>
          <w:rtl/>
        </w:rPr>
      </w:pPr>
      <w:r>
        <w:rPr>
          <w:rFonts w:hint="cs"/>
          <w:b/>
          <w:bCs/>
          <w:sz w:val="36"/>
          <w:rtl/>
        </w:rPr>
        <w:t>5-</w:t>
      </w:r>
      <w:r>
        <w:rPr>
          <w:rFonts w:hint="cs"/>
          <w:sz w:val="36"/>
          <w:rtl/>
        </w:rPr>
        <w:t xml:space="preserve"> كثرة قواعده</w:t>
      </w:r>
      <w:r w:rsidR="0048366D">
        <w:rPr>
          <w:rFonts w:hint="cs"/>
          <w:sz w:val="36"/>
          <w:rtl/>
        </w:rPr>
        <w:t>؛</w:t>
      </w:r>
      <w:r>
        <w:rPr>
          <w:rFonts w:hint="cs"/>
          <w:sz w:val="36"/>
          <w:rtl/>
        </w:rPr>
        <w:t xml:space="preserve"> حيث بلغ ما درسه منها (266) قاعدة.</w:t>
      </w:r>
    </w:p>
    <w:p w:rsidR="00261DC8" w:rsidRDefault="00261DC8" w:rsidP="009A68A5">
      <w:pPr>
        <w:spacing w:line="228" w:lineRule="auto"/>
        <w:jc w:val="both"/>
        <w:rPr>
          <w:sz w:val="36"/>
          <w:rtl/>
        </w:rPr>
      </w:pPr>
      <w:r>
        <w:rPr>
          <w:rFonts w:hint="cs"/>
          <w:sz w:val="36"/>
          <w:rtl/>
        </w:rPr>
        <w:t xml:space="preserve">وحيث إني التزمت في المنهج بـ </w:t>
      </w:r>
      <w:r>
        <w:rPr>
          <w:rFonts w:hint="eastAsia"/>
          <w:szCs w:val="20"/>
          <w:rtl/>
          <w:lang w:eastAsia="en-GB"/>
        </w:rPr>
        <w:t>«</w:t>
      </w:r>
      <w:r>
        <w:rPr>
          <w:rFonts w:hint="cs"/>
          <w:sz w:val="36"/>
          <w:rtl/>
        </w:rPr>
        <w:t xml:space="preserve"> توثيق القواعد الواردة في الكتاب المحقّق؛ ببيان أصل القاعدة من المصادر التي استفاد منها المؤلف، مع بيان أهم من أوردها من مؤلّفي القواعد الفقهية في كافة المذاهب </w:t>
      </w:r>
      <w:r>
        <w:rPr>
          <w:rFonts w:hint="eastAsia"/>
          <w:szCs w:val="20"/>
          <w:rtl/>
          <w:lang w:eastAsia="en-GB"/>
        </w:rPr>
        <w:t>»</w:t>
      </w:r>
      <w:r w:rsidR="0048366D">
        <w:rPr>
          <w:rFonts w:hint="cs"/>
          <w:sz w:val="36"/>
          <w:rtl/>
        </w:rPr>
        <w:t>:</w:t>
      </w:r>
      <w:r>
        <w:rPr>
          <w:rFonts w:hint="cs"/>
          <w:sz w:val="36"/>
          <w:rtl/>
        </w:rPr>
        <w:t xml:space="preserve"> وجدتُ مشقّة شديدة في البحث عن مصادره عند التعليق على كل قاعدة على حدة، ولاسيما أن لعلماء القواعد مناهج كثيرة في ترتيب قواعدهم، فالقاعدة التي تجدها في أول كتاب ما، تجدها في كتاب آخر في آخره</w:t>
      </w:r>
      <w:r w:rsidR="0048366D">
        <w:rPr>
          <w:rFonts w:hint="cs"/>
          <w:sz w:val="36"/>
          <w:rtl/>
        </w:rPr>
        <w:t>.</w:t>
      </w:r>
      <w:r>
        <w:rPr>
          <w:rFonts w:hint="cs"/>
          <w:sz w:val="36"/>
          <w:rtl/>
        </w:rPr>
        <w:t>.. وهكذا.</w:t>
      </w:r>
    </w:p>
    <w:p w:rsidR="00261DC8" w:rsidRDefault="00261DC8" w:rsidP="009A68A5">
      <w:pPr>
        <w:spacing w:line="228" w:lineRule="auto"/>
        <w:jc w:val="both"/>
        <w:rPr>
          <w:sz w:val="36"/>
          <w:rtl/>
        </w:rPr>
      </w:pPr>
      <w:r>
        <w:rPr>
          <w:rFonts w:hint="cs"/>
          <w:spacing w:val="-2"/>
          <w:sz w:val="36"/>
          <w:rtl/>
        </w:rPr>
        <w:t>ولمعالجة هذه الصعوبة كتبت جميع قواعد المؤلف، كل قاعدة في بطاقة مستقلة، ثم فهرستها فهرسة شاملة، حسب جذور جميع الألفاظ الرئيسة في كل قاعدة</w:t>
      </w:r>
      <w:r>
        <w:rPr>
          <w:rStyle w:val="a7"/>
          <w:spacing w:val="-2"/>
          <w:sz w:val="36"/>
          <w:rtl/>
        </w:rPr>
        <w:t>(</w:t>
      </w:r>
      <w:r>
        <w:rPr>
          <w:rStyle w:val="a7"/>
          <w:spacing w:val="-2"/>
          <w:sz w:val="36"/>
          <w:rtl/>
        </w:rPr>
        <w:footnoteReference w:id="21"/>
      </w:r>
      <w:r>
        <w:rPr>
          <w:rStyle w:val="a7"/>
          <w:spacing w:val="-2"/>
          <w:sz w:val="36"/>
          <w:rtl/>
        </w:rPr>
        <w:t>)</w:t>
      </w:r>
      <w:r>
        <w:rPr>
          <w:rFonts w:hint="cs"/>
          <w:spacing w:val="-2"/>
          <w:sz w:val="36"/>
          <w:rtl/>
        </w:rPr>
        <w:t xml:space="preserve">، ثم أعدت النظر في جميع القواعد، وحاولت استحضارها، ثم جمعت أكثر من خمسين مصدرًا من كتب القواعد الفقهية وغيرها، ورتّبتها حسب وفاة المؤلف، وبدأت بقراءة فهرس </w:t>
      </w:r>
      <w:r w:rsidRPr="00E10909">
        <w:rPr>
          <w:rFonts w:hint="cs"/>
          <w:sz w:val="36"/>
          <w:rtl/>
        </w:rPr>
        <w:t>الكتاب الأول؛</w:t>
      </w:r>
      <w:r>
        <w:rPr>
          <w:rFonts w:hint="cs"/>
          <w:sz w:val="36"/>
          <w:rtl/>
        </w:rPr>
        <w:t xml:space="preserve"> فإذا وجدت فيه قاعدة من قواعد المؤلف تحقّقت من وجودها ولفظها عند المؤلف من خلال الفهرس المذكور، ثم دونت اسم المرجع والصفحة في البطاقة الخاصة </w:t>
      </w:r>
      <w:r>
        <w:rPr>
          <w:rFonts w:hint="cs"/>
          <w:sz w:val="36"/>
          <w:rtl/>
        </w:rPr>
        <w:lastRenderedPageBreak/>
        <w:t>بتلك القاعدة، وهكذا الحال في بقية فهرس الكتاب، ثم انتقلت إلى الكتاب الثاني، فالثالث</w:t>
      </w:r>
      <w:r w:rsidR="0048366D">
        <w:rPr>
          <w:rFonts w:hint="cs"/>
          <w:sz w:val="36"/>
          <w:rtl/>
        </w:rPr>
        <w:t>.</w:t>
      </w:r>
      <w:r>
        <w:rPr>
          <w:rFonts w:hint="cs"/>
          <w:sz w:val="36"/>
          <w:rtl/>
        </w:rPr>
        <w:t>.. وهكذا.</w:t>
      </w:r>
    </w:p>
    <w:p w:rsidR="00261DC8" w:rsidRDefault="00261DC8" w:rsidP="009A68A5">
      <w:pPr>
        <w:jc w:val="both"/>
        <w:rPr>
          <w:sz w:val="36"/>
          <w:rtl/>
        </w:rPr>
      </w:pPr>
      <w:r>
        <w:rPr>
          <w:rFonts w:hint="cs"/>
          <w:sz w:val="36"/>
          <w:rtl/>
        </w:rPr>
        <w:t>وإذا كانت القواعد غير مفهرسة بالكتاب، فإني استعرضه كاملاً. كما أن مصادر المؤلف الرئيسة ليست مخدومة بفهرسة شاملة لجميع قواعدها؛ مما دفعني إلى استعراضها قدر الاستطاعة، وهذه المصادر -بالترتيب-</w:t>
      </w:r>
      <w:r w:rsidR="0048366D">
        <w:rPr>
          <w:rFonts w:hint="cs"/>
          <w:sz w:val="36"/>
          <w:rtl/>
        </w:rPr>
        <w:t>:</w:t>
      </w:r>
      <w:r>
        <w:rPr>
          <w:rFonts w:hint="cs"/>
          <w:sz w:val="36"/>
          <w:rtl/>
        </w:rPr>
        <w:t>(درر الحكام في شرح غرر الأحكام) لملا خسرو (ت885هـ)، و(العناية شرح الهداية) للبابرتي (ت786هـ)، و(الأشباه والنظائر) لابن نجيم (ت970هـ). فاستعرضت الأخير كاملاً مرتين صفحة صفحة، والجزء الثاني من (الدرر) (المتعلق بغير العبادات)، وكنت أنظر في الجزء الأول منه بين الحين والآخر، وكذلك الحال في الأجزاء العشرة لكتاب (العناية).</w:t>
      </w:r>
    </w:p>
    <w:p w:rsidR="00261DC8" w:rsidRDefault="00261DC8" w:rsidP="009A68A5">
      <w:pPr>
        <w:jc w:val="both"/>
        <w:rPr>
          <w:sz w:val="36"/>
          <w:rtl/>
        </w:rPr>
      </w:pPr>
      <w:r>
        <w:rPr>
          <w:rFonts w:hint="cs"/>
          <w:b/>
          <w:bCs/>
          <w:sz w:val="36"/>
          <w:rtl/>
        </w:rPr>
        <w:t>6-</w:t>
      </w:r>
      <w:r>
        <w:rPr>
          <w:rFonts w:hint="cs"/>
          <w:sz w:val="36"/>
          <w:rtl/>
        </w:rPr>
        <w:t xml:space="preserve"> أن أكثر مصادره لا يزال مخطوطًا، أو مطبوعًا طباعة قديمة لم تخدم بالفهرسة. مما يتطلب أن يكون البحث عن المعلومة داخل الكتاب مباشرة، وهذا يستدعي استعراض أبواب متعددة من كل مصدر.</w:t>
      </w:r>
    </w:p>
    <w:p w:rsidR="00261DC8" w:rsidRDefault="00261DC8" w:rsidP="009A68A5">
      <w:pPr>
        <w:jc w:val="both"/>
        <w:rPr>
          <w:spacing w:val="-6"/>
          <w:sz w:val="36"/>
          <w:rtl/>
        </w:rPr>
      </w:pPr>
      <w:r>
        <w:rPr>
          <w:rFonts w:hint="cs"/>
          <w:spacing w:val="-6"/>
          <w:sz w:val="36"/>
          <w:rtl/>
        </w:rPr>
        <w:t>وقبل ذلك</w:t>
      </w:r>
      <w:r w:rsidR="0048366D">
        <w:rPr>
          <w:rFonts w:hint="cs"/>
          <w:spacing w:val="-6"/>
          <w:sz w:val="36"/>
          <w:rtl/>
        </w:rPr>
        <w:t>:</w:t>
      </w:r>
      <w:r>
        <w:rPr>
          <w:rFonts w:hint="cs"/>
          <w:spacing w:val="-6"/>
          <w:sz w:val="36"/>
          <w:rtl/>
        </w:rPr>
        <w:t xml:space="preserve"> فإن بعض هذه المصادر تشترك في أسمائها كتب متعددة، ولا يميّز المؤلف المراد منها، فلتحديد الكتاب المراد</w:t>
      </w:r>
      <w:r w:rsidR="0048366D">
        <w:rPr>
          <w:rFonts w:hint="cs"/>
          <w:spacing w:val="-6"/>
          <w:sz w:val="36"/>
          <w:rtl/>
        </w:rPr>
        <w:t>،</w:t>
      </w:r>
      <w:r>
        <w:rPr>
          <w:rFonts w:hint="cs"/>
          <w:spacing w:val="-6"/>
          <w:sz w:val="36"/>
          <w:rtl/>
        </w:rPr>
        <w:t xml:space="preserve"> وتوثيق المعلومة</w:t>
      </w:r>
      <w:r w:rsidR="0048366D">
        <w:rPr>
          <w:rFonts w:hint="cs"/>
          <w:spacing w:val="-6"/>
          <w:sz w:val="36"/>
          <w:rtl/>
        </w:rPr>
        <w:t>:</w:t>
      </w:r>
      <w:r>
        <w:rPr>
          <w:rFonts w:hint="cs"/>
          <w:spacing w:val="-6"/>
          <w:sz w:val="36"/>
          <w:rtl/>
        </w:rPr>
        <w:t xml:space="preserve"> لابد من البحث عنها في كل كتاب محتمل. وللوصول إلى معلومة واحدة بأحد هذه الطرق من العناء الكثير، فكيف إذا كان هذا حال أكثر مصادر الكتاب</w:t>
      </w:r>
      <w:r w:rsidR="0048366D">
        <w:rPr>
          <w:rFonts w:hint="cs"/>
          <w:spacing w:val="-6"/>
          <w:sz w:val="36"/>
          <w:rtl/>
        </w:rPr>
        <w:t>؟</w:t>
      </w:r>
      <w:r>
        <w:rPr>
          <w:rFonts w:hint="cs"/>
          <w:spacing w:val="-6"/>
          <w:sz w:val="36"/>
          <w:rtl/>
        </w:rPr>
        <w:t>‍!.</w:t>
      </w:r>
    </w:p>
    <w:p w:rsidR="00261DC8" w:rsidRDefault="00261DC8" w:rsidP="009A68A5">
      <w:pPr>
        <w:jc w:val="both"/>
        <w:rPr>
          <w:sz w:val="36"/>
          <w:rtl/>
        </w:rPr>
      </w:pPr>
      <w:r>
        <w:rPr>
          <w:rFonts w:hint="cs"/>
          <w:b/>
          <w:bCs/>
          <w:sz w:val="36"/>
          <w:rtl/>
        </w:rPr>
        <w:t xml:space="preserve">7- </w:t>
      </w:r>
      <w:r>
        <w:rPr>
          <w:rFonts w:hint="cs"/>
          <w:sz w:val="36"/>
          <w:rtl/>
        </w:rPr>
        <w:t>أن بعض النقول والمسائل التي تحتاج إلى توثيق لا أجدها في مظانها، وربما استرشدت بمكانها من كتاب آخر، أو بحثت عن أمور أخرى فوجدت تلك المسألة معها من غير قصد مني.</w:t>
      </w:r>
    </w:p>
    <w:p w:rsidR="00261DC8" w:rsidRDefault="00261DC8" w:rsidP="009A68A5">
      <w:pPr>
        <w:jc w:val="both"/>
        <w:rPr>
          <w:spacing w:val="-4"/>
          <w:sz w:val="36"/>
          <w:rtl/>
        </w:rPr>
      </w:pPr>
      <w:r>
        <w:rPr>
          <w:rFonts w:hint="cs"/>
          <w:b/>
          <w:bCs/>
          <w:spacing w:val="-4"/>
          <w:sz w:val="36"/>
          <w:rtl/>
        </w:rPr>
        <w:t>وفي الختام</w:t>
      </w:r>
      <w:r w:rsidR="0048366D">
        <w:rPr>
          <w:rFonts w:hint="cs"/>
          <w:b/>
          <w:bCs/>
          <w:spacing w:val="-4"/>
          <w:sz w:val="36"/>
          <w:rtl/>
        </w:rPr>
        <w:t>:</w:t>
      </w:r>
      <w:r>
        <w:rPr>
          <w:rFonts w:hint="cs"/>
          <w:b/>
          <w:bCs/>
          <w:spacing w:val="-4"/>
          <w:sz w:val="36"/>
          <w:rtl/>
        </w:rPr>
        <w:t xml:space="preserve"> </w:t>
      </w:r>
      <w:r>
        <w:rPr>
          <w:rFonts w:hint="cs"/>
          <w:spacing w:val="-4"/>
          <w:sz w:val="36"/>
          <w:rtl/>
        </w:rPr>
        <w:t>أحـمد الله تعالى على ما يسره لي من تجاوز هذه العقبات، وإتمام الرسالة، وأشكره على نعمه التي لا نستطيع عدها وإحصاءها، فله الحمد وله الشكر كما ينبغي لجلال وجهه وعظيم سلطانه، زنة عرشه، ورضا نفسه، وعدد خلقه، ومداد كلماته.</w:t>
      </w:r>
    </w:p>
    <w:p w:rsidR="00261DC8" w:rsidRDefault="00261DC8" w:rsidP="009A68A5">
      <w:pPr>
        <w:spacing w:line="264" w:lineRule="auto"/>
        <w:jc w:val="both"/>
        <w:rPr>
          <w:sz w:val="36"/>
          <w:rtl/>
        </w:rPr>
      </w:pPr>
      <w:r>
        <w:rPr>
          <w:rFonts w:hint="cs"/>
          <w:sz w:val="36"/>
          <w:rtl/>
        </w:rPr>
        <w:lastRenderedPageBreak/>
        <w:t xml:space="preserve">وإن أحقّ من أوجّه إليه الشكر -بعد شكر الله تعالى- والدايَ الكريمان؛ امتثالاً لقوله تعالى </w:t>
      </w:r>
      <w:r>
        <w:rPr>
          <w:color w:val="000000"/>
          <w:sz w:val="28"/>
          <w:szCs w:val="28"/>
        </w:rPr>
        <w:sym w:font="HQPB2" w:char="F0E2"/>
      </w:r>
      <w:r>
        <w:rPr>
          <w:color w:val="000000"/>
          <w:sz w:val="28"/>
          <w:szCs w:val="28"/>
          <w:rtl/>
        </w:rPr>
        <w:t xml:space="preserve"> </w:t>
      </w:r>
      <w:r>
        <w:rPr>
          <w:color w:val="000000"/>
          <w:sz w:val="28"/>
          <w:szCs w:val="28"/>
        </w:rPr>
        <w:sym w:font="HQPB4" w:char="F0C8"/>
      </w:r>
      <w:r>
        <w:rPr>
          <w:color w:val="000000"/>
          <w:sz w:val="28"/>
          <w:szCs w:val="28"/>
        </w:rPr>
        <w:sym w:font="HQPB2" w:char="F062"/>
      </w:r>
      <w:r>
        <w:rPr>
          <w:color w:val="000000"/>
          <w:sz w:val="28"/>
          <w:szCs w:val="28"/>
        </w:rPr>
        <w:sym w:font="HQPB5" w:char="F072"/>
      </w:r>
      <w:r>
        <w:rPr>
          <w:color w:val="000000"/>
          <w:sz w:val="28"/>
          <w:szCs w:val="28"/>
        </w:rPr>
        <w:sym w:font="HQPB1" w:char="F026"/>
      </w:r>
      <w:r>
        <w:rPr>
          <w:color w:val="000000"/>
          <w:sz w:val="28"/>
          <w:szCs w:val="28"/>
          <w:rtl/>
        </w:rPr>
        <w:t xml:space="preserve"> </w:t>
      </w:r>
      <w:r>
        <w:rPr>
          <w:color w:val="000000"/>
          <w:sz w:val="28"/>
          <w:szCs w:val="28"/>
        </w:rPr>
        <w:sym w:font="HQPB4" w:char="F0F6"/>
      </w:r>
      <w:r>
        <w:rPr>
          <w:color w:val="000000"/>
          <w:sz w:val="28"/>
          <w:szCs w:val="28"/>
        </w:rPr>
        <w:sym w:font="HQPB1" w:char="F08D"/>
      </w:r>
      <w:r>
        <w:rPr>
          <w:color w:val="000000"/>
          <w:sz w:val="28"/>
          <w:szCs w:val="28"/>
        </w:rPr>
        <w:sym w:font="HQPB4" w:char="F0E0"/>
      </w:r>
      <w:r>
        <w:rPr>
          <w:color w:val="000000"/>
          <w:sz w:val="28"/>
          <w:szCs w:val="28"/>
        </w:rPr>
        <w:sym w:font="HQPB2" w:char="F036"/>
      </w:r>
      <w:r>
        <w:rPr>
          <w:color w:val="000000"/>
          <w:sz w:val="28"/>
          <w:szCs w:val="28"/>
        </w:rPr>
        <w:sym w:font="HQPB4" w:char="F0F4"/>
      </w:r>
      <w:r>
        <w:rPr>
          <w:color w:val="000000"/>
          <w:sz w:val="28"/>
          <w:szCs w:val="28"/>
        </w:rPr>
        <w:sym w:font="HQPB1" w:char="F0A9"/>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2" w:char="F092"/>
      </w:r>
      <w:r>
        <w:rPr>
          <w:color w:val="000000"/>
          <w:sz w:val="28"/>
          <w:szCs w:val="28"/>
        </w:rPr>
        <w:sym w:font="HQPB4" w:char="F0CD"/>
      </w:r>
      <w:r>
        <w:rPr>
          <w:color w:val="000000"/>
          <w:sz w:val="28"/>
          <w:szCs w:val="28"/>
        </w:rPr>
        <w:sym w:font="HQPB2" w:char="F03C"/>
      </w:r>
      <w:r>
        <w:rPr>
          <w:color w:val="000000"/>
          <w:sz w:val="28"/>
          <w:szCs w:val="28"/>
          <w:rtl/>
        </w:rPr>
        <w:t xml:space="preserve"> </w:t>
      </w:r>
      <w:r>
        <w:rPr>
          <w:color w:val="000000"/>
          <w:sz w:val="28"/>
          <w:szCs w:val="28"/>
        </w:rPr>
        <w:sym w:font="HQPB5" w:char="F079"/>
      </w:r>
      <w:r>
        <w:rPr>
          <w:color w:val="000000"/>
          <w:sz w:val="28"/>
          <w:szCs w:val="28"/>
        </w:rPr>
        <w:sym w:font="HQPB2" w:char="F037"/>
      </w:r>
      <w:r>
        <w:rPr>
          <w:color w:val="000000"/>
          <w:sz w:val="28"/>
          <w:szCs w:val="28"/>
        </w:rPr>
        <w:sym w:font="HQPB4" w:char="F0F7"/>
      </w:r>
      <w:r>
        <w:rPr>
          <w:color w:val="000000"/>
          <w:sz w:val="28"/>
          <w:szCs w:val="28"/>
        </w:rPr>
        <w:sym w:font="HQPB2" w:char="F083"/>
      </w:r>
      <w:r>
        <w:rPr>
          <w:color w:val="000000"/>
          <w:sz w:val="28"/>
          <w:szCs w:val="28"/>
        </w:rPr>
        <w:sym w:font="HQPB5" w:char="F079"/>
      </w:r>
      <w:r>
        <w:rPr>
          <w:color w:val="000000"/>
          <w:sz w:val="28"/>
          <w:szCs w:val="28"/>
        </w:rPr>
        <w:sym w:font="HQPB1" w:char="F089"/>
      </w:r>
      <w:r>
        <w:rPr>
          <w:color w:val="000000"/>
          <w:sz w:val="28"/>
          <w:szCs w:val="28"/>
        </w:rPr>
        <w:sym w:font="HQPB4" w:char="F0CF"/>
      </w:r>
      <w:r>
        <w:rPr>
          <w:color w:val="000000"/>
          <w:sz w:val="28"/>
          <w:szCs w:val="28"/>
        </w:rPr>
        <w:sym w:font="HQPB2" w:char="F039"/>
      </w:r>
      <w:r>
        <w:rPr>
          <w:color w:val="000000"/>
          <w:sz w:val="28"/>
          <w:szCs w:val="28"/>
        </w:rPr>
        <w:sym w:font="HQPB2" w:char="F0BA"/>
      </w:r>
      <w:r>
        <w:rPr>
          <w:color w:val="000000"/>
          <w:sz w:val="28"/>
          <w:szCs w:val="28"/>
        </w:rPr>
        <w:sym w:font="HQPB5" w:char="F075"/>
      </w:r>
      <w:r>
        <w:rPr>
          <w:color w:val="000000"/>
          <w:sz w:val="28"/>
          <w:szCs w:val="28"/>
        </w:rPr>
        <w:sym w:font="HQPB2" w:char="F071"/>
      </w:r>
      <w:r>
        <w:rPr>
          <w:color w:val="000000"/>
          <w:sz w:val="28"/>
          <w:szCs w:val="28"/>
        </w:rPr>
        <w:sym w:font="HQPB4" w:char="F0CE"/>
      </w:r>
      <w:r>
        <w:rPr>
          <w:color w:val="000000"/>
          <w:sz w:val="28"/>
          <w:szCs w:val="28"/>
        </w:rPr>
        <w:sym w:font="HQPB2" w:char="F039"/>
      </w:r>
      <w:r>
        <w:rPr>
          <w:color w:val="000000"/>
          <w:sz w:val="28"/>
          <w:szCs w:val="28"/>
        </w:rPr>
        <w:sym w:font="HQPB5" w:char="F075"/>
      </w:r>
      <w:r>
        <w:rPr>
          <w:color w:val="000000"/>
          <w:sz w:val="28"/>
          <w:szCs w:val="28"/>
        </w:rPr>
        <w:sym w:font="HQPB2" w:char="F072"/>
      </w:r>
      <w:r>
        <w:rPr>
          <w:color w:val="000000"/>
          <w:sz w:val="28"/>
          <w:szCs w:val="28"/>
          <w:rtl/>
        </w:rPr>
        <w:t xml:space="preserve"> </w:t>
      </w:r>
      <w:r>
        <w:rPr>
          <w:color w:val="000000"/>
          <w:sz w:val="28"/>
          <w:szCs w:val="28"/>
        </w:rPr>
        <w:sym w:font="HQPB4" w:char="F0A5"/>
      </w:r>
      <w:r>
        <w:rPr>
          <w:color w:val="000000"/>
          <w:sz w:val="28"/>
          <w:szCs w:val="28"/>
          <w:rtl/>
        </w:rPr>
        <w:t xml:space="preserve"> </w:t>
      </w:r>
      <w:r>
        <w:rPr>
          <w:color w:val="000000"/>
          <w:sz w:val="28"/>
          <w:szCs w:val="28"/>
        </w:rPr>
        <w:sym w:font="HQPB2" w:char="F0E1"/>
      </w:r>
      <w:r>
        <w:rPr>
          <w:color w:val="000000"/>
          <w:sz w:val="30"/>
          <w:szCs w:val="30"/>
          <w:rtl/>
        </w:rPr>
        <w:t xml:space="preserve"> </w:t>
      </w:r>
      <w:r>
        <w:rPr>
          <w:rStyle w:val="a7"/>
          <w:b/>
          <w:bCs w:val="0"/>
          <w:sz w:val="36"/>
          <w:rtl/>
        </w:rPr>
        <w:t>(</w:t>
      </w:r>
      <w:r>
        <w:rPr>
          <w:rStyle w:val="a7"/>
          <w:b/>
          <w:sz w:val="36"/>
          <w:rtl/>
        </w:rPr>
        <w:footnoteReference w:id="22"/>
      </w:r>
      <w:r>
        <w:rPr>
          <w:rStyle w:val="a7"/>
          <w:b/>
          <w:bCs w:val="0"/>
          <w:sz w:val="36"/>
          <w:rtl/>
        </w:rPr>
        <w:t>)</w:t>
      </w:r>
      <w:r>
        <w:rPr>
          <w:rFonts w:hint="cs"/>
          <w:b/>
          <w:bCs/>
          <w:sz w:val="36"/>
          <w:rtl/>
        </w:rPr>
        <w:t>.</w:t>
      </w:r>
      <w:r>
        <w:rPr>
          <w:rFonts w:hint="cs"/>
          <w:sz w:val="36"/>
          <w:rtl/>
        </w:rPr>
        <w:t xml:space="preserve"> وأرفع أكف الضراعة إلى الله تعالى، داعيًا بقوله</w:t>
      </w:r>
      <w:r w:rsidR="0048366D">
        <w:rPr>
          <w:rFonts w:hint="cs"/>
          <w:sz w:val="36"/>
          <w:rtl/>
        </w:rPr>
        <w:t>:</w:t>
      </w:r>
      <w:r>
        <w:rPr>
          <w:b/>
          <w:bCs/>
          <w:sz w:val="28"/>
          <w:szCs w:val="28"/>
        </w:rPr>
        <w:t xml:space="preserve"> </w:t>
      </w:r>
      <w:r>
        <w:rPr>
          <w:sz w:val="28"/>
          <w:szCs w:val="28"/>
        </w:rPr>
        <w:sym w:font="HQPB2" w:char="F0E2"/>
      </w:r>
      <w:r>
        <w:rPr>
          <w:sz w:val="28"/>
          <w:szCs w:val="28"/>
          <w:rtl/>
        </w:rPr>
        <w:t xml:space="preserve"> </w:t>
      </w:r>
      <w:r>
        <w:rPr>
          <w:sz w:val="28"/>
          <w:szCs w:val="28"/>
        </w:rPr>
        <w:sym w:font="HQPB4" w:char="F0C9"/>
      </w:r>
      <w:r>
        <w:rPr>
          <w:sz w:val="28"/>
          <w:szCs w:val="28"/>
        </w:rPr>
        <w:sym w:font="HQPB4" w:char="F062"/>
      </w:r>
      <w:r>
        <w:rPr>
          <w:sz w:val="28"/>
          <w:szCs w:val="28"/>
        </w:rPr>
        <w:sym w:font="HQPB1" w:char="F03E"/>
      </w:r>
      <w:r>
        <w:rPr>
          <w:sz w:val="28"/>
          <w:szCs w:val="28"/>
        </w:rPr>
        <w:sym w:font="HQPB4" w:char="F0A7"/>
      </w:r>
      <w:r>
        <w:rPr>
          <w:sz w:val="28"/>
          <w:szCs w:val="28"/>
        </w:rPr>
        <w:sym w:font="HQPB1" w:char="F091"/>
      </w:r>
      <w:r>
        <w:rPr>
          <w:sz w:val="28"/>
          <w:szCs w:val="28"/>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DF"/>
      </w:r>
      <w:r>
        <w:rPr>
          <w:sz w:val="28"/>
          <w:szCs w:val="28"/>
        </w:rPr>
        <w:sym w:font="HQPB2" w:char="F067"/>
      </w:r>
      <w:r>
        <w:rPr>
          <w:sz w:val="28"/>
          <w:szCs w:val="28"/>
        </w:rPr>
        <w:sym w:font="HQPB4" w:char="F0F7"/>
      </w:r>
      <w:r>
        <w:rPr>
          <w:sz w:val="28"/>
          <w:szCs w:val="28"/>
        </w:rPr>
        <w:sym w:font="HQPB2" w:char="F048"/>
      </w:r>
      <w:r>
        <w:rPr>
          <w:sz w:val="28"/>
          <w:szCs w:val="28"/>
        </w:rPr>
        <w:sym w:font="HQPB5" w:char="F078"/>
      </w:r>
      <w:r>
        <w:rPr>
          <w:sz w:val="28"/>
          <w:szCs w:val="28"/>
        </w:rPr>
        <w:sym w:font="HQPB1" w:char="F071"/>
      </w:r>
      <w:r>
        <w:rPr>
          <w:sz w:val="28"/>
          <w:szCs w:val="28"/>
        </w:rPr>
        <w:sym w:font="HQPB4" w:char="F0F6"/>
      </w:r>
      <w:r>
        <w:rPr>
          <w:sz w:val="28"/>
          <w:szCs w:val="28"/>
        </w:rPr>
        <w:sym w:font="HQPB1" w:char="F091"/>
      </w:r>
      <w:r>
        <w:rPr>
          <w:sz w:val="28"/>
          <w:szCs w:val="28"/>
        </w:rPr>
        <w:sym w:font="HQPB5" w:char="F024"/>
      </w:r>
      <w:r>
        <w:rPr>
          <w:sz w:val="28"/>
          <w:szCs w:val="28"/>
        </w:rPr>
        <w:sym w:font="HQPB1" w:char="F023"/>
      </w:r>
      <w:r>
        <w:rPr>
          <w:sz w:val="28"/>
          <w:szCs w:val="28"/>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5" w:char="F078"/>
      </w:r>
      <w:r>
        <w:rPr>
          <w:sz w:val="28"/>
          <w:szCs w:val="28"/>
        </w:rPr>
        <w:sym w:font="HQPB2" w:char="F02E"/>
      </w:r>
      <w:r>
        <w:rPr>
          <w:sz w:val="28"/>
          <w:szCs w:val="28"/>
          <w:rtl/>
        </w:rPr>
        <w:t xml:space="preserve"> </w:t>
      </w:r>
      <w:r>
        <w:rPr>
          <w:sz w:val="28"/>
          <w:szCs w:val="28"/>
        </w:rPr>
        <w:sym w:font="HQPB2" w:char="F092"/>
      </w:r>
      <w:r>
        <w:rPr>
          <w:sz w:val="28"/>
          <w:szCs w:val="28"/>
        </w:rPr>
        <w:sym w:font="HQPB4" w:char="F0CE"/>
      </w:r>
      <w:r>
        <w:rPr>
          <w:sz w:val="28"/>
          <w:szCs w:val="28"/>
        </w:rPr>
        <w:sym w:font="HQPB2" w:char="F054"/>
      </w:r>
      <w:r>
        <w:rPr>
          <w:sz w:val="28"/>
          <w:szCs w:val="28"/>
        </w:rPr>
        <w:sym w:font="HQPB1" w:char="F024"/>
      </w:r>
      <w:r>
        <w:rPr>
          <w:sz w:val="28"/>
          <w:szCs w:val="28"/>
        </w:rPr>
        <w:sym w:font="HQPB5" w:char="F075"/>
      </w:r>
      <w:r>
        <w:rPr>
          <w:sz w:val="28"/>
          <w:szCs w:val="28"/>
        </w:rPr>
        <w:sym w:font="HQPB2" w:char="F08B"/>
      </w:r>
      <w:r>
        <w:rPr>
          <w:sz w:val="28"/>
          <w:szCs w:val="28"/>
        </w:rPr>
        <w:sym w:font="HQPB4" w:char="F0AD"/>
      </w:r>
      <w:r>
        <w:rPr>
          <w:sz w:val="28"/>
          <w:szCs w:val="28"/>
        </w:rPr>
        <w:sym w:font="HQPB1" w:char="F02F"/>
      </w:r>
      <w:r>
        <w:rPr>
          <w:sz w:val="28"/>
          <w:szCs w:val="28"/>
        </w:rPr>
        <w:sym w:font="HQPB5" w:char="F075"/>
      </w:r>
      <w:r>
        <w:rPr>
          <w:sz w:val="28"/>
          <w:szCs w:val="28"/>
        </w:rPr>
        <w:sym w:font="HQPB1" w:char="F091"/>
      </w:r>
      <w:r>
        <w:rPr>
          <w:sz w:val="28"/>
          <w:szCs w:val="28"/>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9"/>
      </w:r>
      <w:r>
        <w:rPr>
          <w:sz w:val="28"/>
          <w:szCs w:val="28"/>
        </w:rPr>
        <w:sym w:font="HQPB1" w:char="F0F3"/>
      </w:r>
      <w:r>
        <w:rPr>
          <w:sz w:val="28"/>
          <w:szCs w:val="28"/>
        </w:rPr>
        <w:sym w:font="HQPB5" w:char="F07C"/>
      </w:r>
      <w:r>
        <w:rPr>
          <w:sz w:val="28"/>
          <w:szCs w:val="28"/>
        </w:rPr>
        <w:sym w:font="HQPB1" w:char="F0B9"/>
      </w:r>
      <w:r>
        <w:rPr>
          <w:sz w:val="28"/>
          <w:szCs w:val="28"/>
          <w:rtl/>
        </w:rPr>
        <w:t xml:space="preserve"> </w:t>
      </w:r>
      <w:r>
        <w:rPr>
          <w:sz w:val="28"/>
          <w:szCs w:val="28"/>
        </w:rPr>
        <w:sym w:font="HQPB2" w:char="F0E1"/>
      </w:r>
      <w:r>
        <w:rPr>
          <w:sz w:val="30"/>
          <w:szCs w:val="30"/>
          <w:rtl/>
        </w:rPr>
        <w:t xml:space="preserve"> </w:t>
      </w:r>
      <w:r>
        <w:rPr>
          <w:rStyle w:val="a7"/>
          <w:sz w:val="36"/>
          <w:rtl/>
        </w:rPr>
        <w:t>(</w:t>
      </w:r>
      <w:r>
        <w:rPr>
          <w:rStyle w:val="a7"/>
          <w:sz w:val="36"/>
          <w:rtl/>
        </w:rPr>
        <w:footnoteReference w:id="23"/>
      </w:r>
      <w:r>
        <w:rPr>
          <w:rStyle w:val="a7"/>
          <w:sz w:val="36"/>
          <w:rtl/>
        </w:rPr>
        <w:t>)</w:t>
      </w:r>
      <w:r>
        <w:rPr>
          <w:rFonts w:hint="cs"/>
          <w:sz w:val="36"/>
          <w:rtl/>
        </w:rPr>
        <w:t>.</w:t>
      </w:r>
    </w:p>
    <w:p w:rsidR="00261DC8" w:rsidRDefault="00261DC8" w:rsidP="009A68A5">
      <w:pPr>
        <w:spacing w:line="288" w:lineRule="auto"/>
        <w:jc w:val="both"/>
        <w:rPr>
          <w:sz w:val="36"/>
          <w:rtl/>
        </w:rPr>
      </w:pPr>
      <w:r>
        <w:rPr>
          <w:rFonts w:hint="cs"/>
          <w:sz w:val="36"/>
          <w:rtl/>
        </w:rPr>
        <w:t>كما أقدم شكري الجزيل إلى عمي الشيخ</w:t>
      </w:r>
      <w:r w:rsidR="0048366D">
        <w:rPr>
          <w:rFonts w:hint="cs"/>
          <w:sz w:val="36"/>
          <w:rtl/>
        </w:rPr>
        <w:t>:</w:t>
      </w:r>
      <w:r>
        <w:rPr>
          <w:rFonts w:hint="cs"/>
          <w:sz w:val="36"/>
          <w:rtl/>
        </w:rPr>
        <w:t xml:space="preserve"> محمد بن سليمان، الذي أعده أبًا ثانيًا لي، أجزل الله مثوبته، ونفع بجهوده، ومتّعنا بحياته.</w:t>
      </w:r>
    </w:p>
    <w:p w:rsidR="00261DC8" w:rsidRDefault="00261DC8" w:rsidP="009A68A5">
      <w:pPr>
        <w:spacing w:line="288" w:lineRule="auto"/>
        <w:jc w:val="both"/>
        <w:rPr>
          <w:spacing w:val="-4"/>
          <w:sz w:val="36"/>
          <w:rtl/>
        </w:rPr>
      </w:pPr>
      <w:r>
        <w:rPr>
          <w:rFonts w:hint="cs"/>
          <w:spacing w:val="-4"/>
          <w:sz w:val="36"/>
          <w:rtl/>
        </w:rPr>
        <w:t>وإن من دواعي سـروري وغبطتي إنعام الله علي بمشرف ناصح، وعالم فذّ، ومدقّق فاحص، وخلوق متواضع، ألا وهو شيخي وأستاذي، فضيلة الدكتور</w:t>
      </w:r>
      <w:r w:rsidR="0048366D">
        <w:rPr>
          <w:rFonts w:hint="cs"/>
          <w:spacing w:val="-4"/>
          <w:sz w:val="36"/>
          <w:rtl/>
        </w:rPr>
        <w:t>:</w:t>
      </w:r>
      <w:r>
        <w:rPr>
          <w:rFonts w:hint="cs"/>
          <w:spacing w:val="-4"/>
          <w:sz w:val="36"/>
          <w:rtl/>
        </w:rPr>
        <w:t xml:space="preserve"> أحمد بن محمد العنقري، نفع الله بعلمه، وأمد في عمره وأعماله الصالحة، وزاده رفعة ومكانة في الدنيا والآخرة، وله مني كل شكر ووفاء وتقدير.</w:t>
      </w:r>
    </w:p>
    <w:p w:rsidR="00261DC8" w:rsidRDefault="00261DC8" w:rsidP="009A68A5">
      <w:pPr>
        <w:spacing w:line="288" w:lineRule="auto"/>
        <w:jc w:val="both"/>
        <w:rPr>
          <w:sz w:val="36"/>
          <w:rtl/>
        </w:rPr>
      </w:pPr>
      <w:r>
        <w:rPr>
          <w:rFonts w:hint="cs"/>
          <w:sz w:val="36"/>
          <w:rtl/>
        </w:rPr>
        <w:t>والشكر لصاحبي الفضيلة، عضوي المناقشة د. صالح بن سليمان اليوسف، الأستاذ المشارك في كلية الشريعة وأصول الدين في القصيم، ود. سعد بن ناصرالشتري، الأستاذ المشارك في كلية الشريعة في الرياض، على قيامهما بمناقشة الرسالة وتقويمها، نفعني الله بعلومهما، ووفّقني للاستفادة من توجيهاتهما.</w:t>
      </w:r>
    </w:p>
    <w:p w:rsidR="00261DC8" w:rsidRDefault="00261DC8" w:rsidP="009A68A5">
      <w:pPr>
        <w:spacing w:line="288" w:lineRule="auto"/>
        <w:jc w:val="both"/>
        <w:rPr>
          <w:spacing w:val="-6"/>
          <w:sz w:val="36"/>
          <w:rtl/>
        </w:rPr>
      </w:pPr>
      <w:r>
        <w:rPr>
          <w:rFonts w:hint="cs"/>
          <w:spacing w:val="-6"/>
          <w:sz w:val="36"/>
          <w:rtl/>
        </w:rPr>
        <w:t xml:space="preserve">كما أتقدم بالشكر الجزيل، والعرفان بالجميل إلى جامعة الإمام محمد بن سعود الإسلامية، </w:t>
      </w:r>
      <w:r>
        <w:rPr>
          <w:rFonts w:hint="cs"/>
          <w:spacing w:val="-6"/>
          <w:sz w:val="36"/>
          <w:rtl/>
        </w:rPr>
        <w:lastRenderedPageBreak/>
        <w:t>متمثلة بجميع القائمين عليها، على ما يقدّمونه من خدمة للعلم وطلابه، وأخص بالذكر منها أول عقدها، وأعـرق كلياتها،  كلية الشريعة العامرة، جعلها الله منارة للعلم، ومقصدًا لطلابه، ورفعة لبلاد الحرمين الشريفين، وأخص بالذكر من تلك الكلية القائمين عليها، وجميع أساتذتها الأجلاء.</w:t>
      </w:r>
    </w:p>
    <w:p w:rsidR="00261DC8" w:rsidRDefault="00261DC8" w:rsidP="009A68A5">
      <w:pPr>
        <w:jc w:val="both"/>
        <w:rPr>
          <w:sz w:val="36"/>
          <w:rtl/>
        </w:rPr>
      </w:pPr>
      <w:r>
        <w:rPr>
          <w:rFonts w:hint="cs"/>
          <w:sz w:val="36"/>
          <w:rtl/>
        </w:rPr>
        <w:t>ولا يفوتني أن أشكر أهل بيتي وكل من أسدى إليّ عونًا في إتمام هذه الرسالة. شكر الله سعيهم</w:t>
      </w:r>
      <w:r w:rsidR="0048366D">
        <w:rPr>
          <w:rFonts w:hint="cs"/>
          <w:sz w:val="36"/>
          <w:rtl/>
        </w:rPr>
        <w:t>،</w:t>
      </w:r>
      <w:r>
        <w:rPr>
          <w:rFonts w:hint="cs"/>
          <w:sz w:val="36"/>
          <w:rtl/>
        </w:rPr>
        <w:t xml:space="preserve"> وجمعنا في جنات النعيم.</w:t>
      </w:r>
    </w:p>
    <w:p w:rsidR="00261DC8" w:rsidRDefault="00261DC8" w:rsidP="009A68A5">
      <w:pPr>
        <w:jc w:val="both"/>
        <w:rPr>
          <w:sz w:val="36"/>
          <w:rtl/>
        </w:rPr>
      </w:pPr>
      <w:r>
        <w:rPr>
          <w:rFonts w:hint="cs"/>
          <w:b/>
          <w:bCs/>
          <w:sz w:val="36"/>
          <w:rtl/>
        </w:rPr>
        <w:t>وبعد</w:t>
      </w:r>
      <w:r w:rsidR="0048366D">
        <w:rPr>
          <w:rFonts w:hint="cs"/>
          <w:b/>
          <w:bCs/>
          <w:sz w:val="36"/>
          <w:rtl/>
        </w:rPr>
        <w:t>:</w:t>
      </w:r>
      <w:r>
        <w:rPr>
          <w:rFonts w:hint="cs"/>
          <w:sz w:val="36"/>
          <w:rtl/>
        </w:rPr>
        <w:t xml:space="preserve"> فإن ما كتبته في هذه الرسالة كان في مدة -إذا جُمعت- تزيد على ثلاث سنوات ونصف، بذلت خلالها غاية جهدي، وهو جهد المقل، فما كان فيها من صواب فمن توفيق الله، وأحمده عليه، وما كان فيها من خطأ فمن نفسي، وأستغفر الله منه.</w:t>
      </w:r>
    </w:p>
    <w:p w:rsidR="00261DC8" w:rsidRDefault="00261DC8" w:rsidP="009A68A5">
      <w:pPr>
        <w:jc w:val="both"/>
        <w:rPr>
          <w:spacing w:val="-4"/>
          <w:sz w:val="36"/>
          <w:rtl/>
        </w:rPr>
      </w:pPr>
      <w:r>
        <w:rPr>
          <w:rFonts w:hint="cs"/>
          <w:spacing w:val="-4"/>
          <w:sz w:val="36"/>
          <w:rtl/>
        </w:rPr>
        <w:t>أسأل الله أن يخلص أعمالنا، ويعلمنا ما ينفعنا، وينفعنا بما علّمنا، ويزيـدنا علمًا وعملاً صالـحًا يرضيه عنا، ويرحمنا، ويختم بالصالحات آجالنا. وصلى الله وسلم على نبينا محمد، وعلى آله وصحبه، ومن تبعهم بإحسان إلى يوم الدين.</w:t>
      </w:r>
    </w:p>
    <w:p w:rsidR="00261DC8" w:rsidRDefault="00261DC8" w:rsidP="009A68A5">
      <w:pPr>
        <w:ind w:firstLine="0"/>
        <w:jc w:val="both"/>
        <w:rPr>
          <w:spacing w:val="-4"/>
          <w:sz w:val="36"/>
          <w:rtl/>
        </w:rPr>
      </w:pPr>
    </w:p>
    <w:p w:rsidR="00261DC8" w:rsidRPr="00BD4631" w:rsidRDefault="00261DC8" w:rsidP="00B37E61">
      <w:pPr>
        <w:ind w:left="2834" w:firstLine="0"/>
        <w:jc w:val="center"/>
        <w:rPr>
          <w:b/>
          <w:bCs/>
          <w:spacing w:val="-4"/>
          <w:sz w:val="36"/>
          <w:rtl/>
        </w:rPr>
      </w:pPr>
      <w:r w:rsidRPr="00BD4631">
        <w:rPr>
          <w:rFonts w:hint="cs"/>
          <w:b/>
          <w:bCs/>
          <w:spacing w:val="-4"/>
          <w:sz w:val="36"/>
          <w:rtl/>
        </w:rPr>
        <w:t>خالد بن عبدالعزيز بن سليمان آل سليمان</w:t>
      </w:r>
    </w:p>
    <w:p w:rsidR="00261DC8" w:rsidRPr="00BD4631" w:rsidRDefault="00261DC8" w:rsidP="00B37E61">
      <w:pPr>
        <w:ind w:left="2834" w:firstLine="0"/>
        <w:jc w:val="center"/>
        <w:rPr>
          <w:b/>
          <w:bCs/>
          <w:spacing w:val="-4"/>
          <w:sz w:val="36"/>
          <w:rtl/>
        </w:rPr>
      </w:pPr>
      <w:r w:rsidRPr="00BD4631">
        <w:rPr>
          <w:rFonts w:hint="cs"/>
          <w:b/>
          <w:bCs/>
          <w:spacing w:val="-4"/>
          <w:sz w:val="36"/>
          <w:rtl/>
        </w:rPr>
        <w:t>المحاضر في جامعة الإمام محمد بن سعود الإسلامية</w:t>
      </w:r>
    </w:p>
    <w:p w:rsidR="00261DC8" w:rsidRPr="00BD4631" w:rsidRDefault="00261DC8" w:rsidP="00B37E61">
      <w:pPr>
        <w:ind w:left="2834" w:firstLine="0"/>
        <w:jc w:val="center"/>
        <w:rPr>
          <w:b/>
          <w:bCs/>
          <w:spacing w:val="-4"/>
          <w:sz w:val="36"/>
          <w:rtl/>
        </w:rPr>
      </w:pPr>
      <w:r w:rsidRPr="00BD4631">
        <w:rPr>
          <w:rFonts w:hint="cs"/>
          <w:b/>
          <w:bCs/>
          <w:spacing w:val="-4"/>
          <w:sz w:val="36"/>
          <w:rtl/>
        </w:rPr>
        <w:t>كلية الشريعة في الرياض ـ قسم أصول الفقه</w:t>
      </w:r>
    </w:p>
    <w:p w:rsidR="00DB59CC" w:rsidRDefault="00261DC8" w:rsidP="00B37E61">
      <w:pPr>
        <w:ind w:left="2834" w:firstLine="0"/>
        <w:jc w:val="center"/>
        <w:rPr>
          <w:spacing w:val="-4"/>
          <w:sz w:val="36"/>
          <w:rtl/>
        </w:rPr>
        <w:sectPr w:rsidR="00DB59CC">
          <w:headerReference w:type="even" r:id="rId13"/>
          <w:headerReference w:type="default" r:id="rId14"/>
          <w:footerReference w:type="even" r:id="rId15"/>
          <w:footerReference w:type="default" r:id="rId16"/>
          <w:footnotePr>
            <w:pos w:val="beneathText"/>
            <w:numRestart w:val="eachPage"/>
          </w:footnotePr>
          <w:endnotePr>
            <w:numFmt w:val="decimal"/>
          </w:endnotePr>
          <w:pgSz w:w="11906" w:h="16838" w:code="9"/>
          <w:pgMar w:top="2268" w:right="1559" w:bottom="1418" w:left="1559" w:header="680" w:footer="851" w:gutter="284"/>
          <w:pgNumType w:start="1"/>
          <w:cols w:space="720"/>
          <w:bidi/>
          <w:rtlGutter/>
        </w:sectPr>
      </w:pPr>
      <w:r>
        <w:rPr>
          <w:rFonts w:hint="cs"/>
          <w:b/>
          <w:bCs/>
          <w:spacing w:val="-4"/>
          <w:sz w:val="36"/>
          <w:rtl/>
        </w:rPr>
        <w:t>البريد الإ</w:t>
      </w:r>
      <w:r w:rsidRPr="00BD4631">
        <w:rPr>
          <w:rFonts w:hint="cs"/>
          <w:b/>
          <w:bCs/>
          <w:spacing w:val="-4"/>
          <w:sz w:val="36"/>
          <w:rtl/>
        </w:rPr>
        <w:t>لكتروني/</w:t>
      </w:r>
      <w:r>
        <w:rPr>
          <w:rFonts w:hint="cs"/>
          <w:b/>
          <w:bCs/>
          <w:spacing w:val="-4"/>
          <w:sz w:val="36"/>
          <w:rtl/>
        </w:rPr>
        <w:t xml:space="preserve"> </w:t>
      </w:r>
      <w:r w:rsidRPr="00BD4631">
        <w:rPr>
          <w:rFonts w:hint="cs"/>
          <w:b/>
          <w:bCs/>
          <w:spacing w:val="-4"/>
          <w:sz w:val="36"/>
          <w:rtl/>
        </w:rPr>
        <w:t xml:space="preserve"> </w:t>
      </w:r>
      <w:hyperlink r:id="rId17" w:history="1">
        <w:r w:rsidR="00B37E61" w:rsidRPr="00E46FCA">
          <w:rPr>
            <w:rStyle w:val="Hyperlink"/>
            <w:b/>
            <w:bCs/>
            <w:spacing w:val="-4"/>
            <w:sz w:val="24"/>
            <w:szCs w:val="24"/>
          </w:rPr>
          <w:t>k44haled@hotmail.com</w:t>
        </w:r>
      </w:hyperlink>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keepNext/>
        <w:widowControl/>
        <w:ind w:firstLine="567"/>
        <w:jc w:val="both"/>
        <w:outlineLvl w:val="4"/>
        <w:rPr>
          <w:rFonts w:cs="Monotype Koufi"/>
          <w:bCs/>
          <w:sz w:val="64"/>
          <w:szCs w:val="64"/>
          <w:rtl/>
          <w:lang w:eastAsia="en-US"/>
        </w:rPr>
      </w:pPr>
      <w:r w:rsidRPr="00DB59CC">
        <w:rPr>
          <w:rFonts w:cs="Monotype Koufi"/>
          <w:bCs/>
          <w:noProof/>
          <w:sz w:val="64"/>
          <w:szCs w:val="64"/>
          <w:rtl/>
          <w:lang w:eastAsia="en-US"/>
        </w:rPr>
        <mc:AlternateContent>
          <mc:Choice Requires="wps">
            <w:drawing>
              <wp:anchor distT="0" distB="0" distL="114300" distR="114300" simplePos="0" relativeHeight="251659264" behindDoc="0" locked="0" layoutInCell="1" allowOverlap="1">
                <wp:simplePos x="0" y="0"/>
                <wp:positionH relativeFrom="column">
                  <wp:posOffset>-138430</wp:posOffset>
                </wp:positionH>
                <wp:positionV relativeFrom="paragraph">
                  <wp:posOffset>-1701165</wp:posOffset>
                </wp:positionV>
                <wp:extent cx="5755005" cy="651510"/>
                <wp:effectExtent l="4445" t="2540" r="3175" b="3175"/>
                <wp:wrapNone/>
                <wp:docPr id="101" name="مستطيل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9D735" id="مستطيل 101" o:spid="_x0000_s1026" style="position:absolute;margin-left:-10.9pt;margin-top:-133.95pt;width:453.15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" stroked="f"/>
            </w:pict>
          </mc:Fallback>
        </mc:AlternateContent>
      </w:r>
      <w:r w:rsidRPr="00DB59CC">
        <w:rPr>
          <w:rFonts w:cs="Monotype Koufi" w:hint="cs"/>
          <w:bCs/>
          <w:sz w:val="64"/>
          <w:szCs w:val="64"/>
          <w:rtl/>
          <w:lang w:eastAsia="en-US"/>
        </w:rPr>
        <w:t>أولاً</w:t>
      </w:r>
      <w:r w:rsidR="0048366D">
        <w:rPr>
          <w:rFonts w:cs="Monotype Koufi" w:hint="cs"/>
          <w:bCs/>
          <w:sz w:val="64"/>
          <w:szCs w:val="64"/>
          <w:rtl/>
          <w:lang w:eastAsia="en-US"/>
        </w:rPr>
        <w:t>:</w:t>
      </w:r>
      <w:r w:rsidRPr="00DB59CC">
        <w:rPr>
          <w:rFonts w:cs="Monotype Koufi" w:hint="cs"/>
          <w:bCs/>
          <w:sz w:val="64"/>
          <w:szCs w:val="64"/>
          <w:rtl/>
          <w:lang w:eastAsia="en-US"/>
        </w:rPr>
        <w:t xml:space="preserve"> القسم الدراسي</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وفيه فصلان</w:t>
      </w:r>
      <w:r w:rsidR="0048366D">
        <w:rPr>
          <w:rFonts w:hint="cs"/>
          <w:b/>
          <w:bCs/>
          <w:sz w:val="36"/>
          <w:szCs w:val="36"/>
          <w:rtl/>
          <w:lang w:val="en-GB" w:eastAsia="en-US"/>
        </w:rPr>
        <w:t>:</w:t>
      </w:r>
    </w:p>
    <w:p w:rsidR="00DB59CC" w:rsidRPr="00DB59CC" w:rsidRDefault="00DB59CC" w:rsidP="009A68A5">
      <w:pPr>
        <w:widowControl/>
        <w:ind w:firstLine="990"/>
        <w:jc w:val="both"/>
        <w:rPr>
          <w:b/>
          <w:bCs/>
          <w:sz w:val="36"/>
          <w:szCs w:val="36"/>
          <w:rtl/>
          <w:lang w:val="en-GB" w:eastAsia="en-US"/>
        </w:rPr>
      </w:pPr>
      <w:r w:rsidRPr="00DB59CC">
        <w:rPr>
          <w:rFonts w:hint="cs"/>
          <w:b/>
          <w:bCs/>
          <w:sz w:val="36"/>
          <w:szCs w:val="36"/>
          <w:rtl/>
          <w:lang w:val="en-GB" w:eastAsia="en-US"/>
        </w:rPr>
        <w:t>الفصل الأول</w:t>
      </w:r>
      <w:r w:rsidR="0048366D">
        <w:rPr>
          <w:rFonts w:hint="cs"/>
          <w:b/>
          <w:bCs/>
          <w:sz w:val="36"/>
          <w:szCs w:val="36"/>
          <w:rtl/>
          <w:lang w:val="en-GB" w:eastAsia="en-US"/>
        </w:rPr>
        <w:t>:</w:t>
      </w:r>
      <w:r w:rsidRPr="00DB59CC">
        <w:rPr>
          <w:rFonts w:hint="cs"/>
          <w:b/>
          <w:bCs/>
          <w:sz w:val="36"/>
          <w:szCs w:val="36"/>
          <w:rtl/>
          <w:lang w:val="en-GB" w:eastAsia="en-US"/>
        </w:rPr>
        <w:t xml:space="preserve"> المؤلف.</w:t>
      </w:r>
    </w:p>
    <w:p w:rsidR="00DB59CC" w:rsidRPr="00DB59CC" w:rsidRDefault="00DB59CC" w:rsidP="009A68A5">
      <w:pPr>
        <w:widowControl/>
        <w:ind w:firstLine="990"/>
        <w:jc w:val="both"/>
        <w:rPr>
          <w:b/>
          <w:bCs/>
          <w:sz w:val="36"/>
          <w:szCs w:val="36"/>
          <w:rtl/>
          <w:lang w:val="en-GB" w:eastAsia="en-US"/>
        </w:rPr>
      </w:pPr>
      <w:r w:rsidRPr="00DB59CC">
        <w:rPr>
          <w:rFonts w:hint="cs"/>
          <w:b/>
          <w:bCs/>
          <w:sz w:val="36"/>
          <w:szCs w:val="36"/>
          <w:rtl/>
          <w:lang w:val="en-GB" w:eastAsia="en-US"/>
        </w:rPr>
        <w:t>الفصل الثاني</w:t>
      </w:r>
      <w:r w:rsidR="0048366D">
        <w:rPr>
          <w:rFonts w:hint="cs"/>
          <w:b/>
          <w:bCs/>
          <w:sz w:val="36"/>
          <w:szCs w:val="36"/>
          <w:rtl/>
          <w:lang w:val="en-GB" w:eastAsia="en-US"/>
        </w:rPr>
        <w:t>:</w:t>
      </w:r>
      <w:r w:rsidRPr="00DB59CC">
        <w:rPr>
          <w:rFonts w:hint="cs"/>
          <w:b/>
          <w:bCs/>
          <w:sz w:val="36"/>
          <w:szCs w:val="36"/>
          <w:rtl/>
          <w:lang w:val="en-GB" w:eastAsia="en-US"/>
        </w:rPr>
        <w:t xml:space="preserve"> الكتاب. </w:t>
      </w: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rFonts w:cs="Monotype Koufi"/>
          <w:bCs/>
          <w:sz w:val="64"/>
          <w:szCs w:val="64"/>
          <w:rtl/>
          <w:lang w:eastAsia="en-US"/>
        </w:rPr>
      </w:pPr>
      <w:r w:rsidRPr="00DB59CC">
        <w:rPr>
          <w:rFonts w:cs="Monotype Koufi" w:hint="cs"/>
          <w:bCs/>
          <w:sz w:val="64"/>
          <w:szCs w:val="64"/>
          <w:rtl/>
          <w:lang w:eastAsia="en-US"/>
        </w:rPr>
        <w:t>الفصل الأول</w:t>
      </w:r>
      <w:r w:rsidR="0048366D">
        <w:rPr>
          <w:rFonts w:cs="Monotype Koufi" w:hint="cs"/>
          <w:bCs/>
          <w:sz w:val="64"/>
          <w:szCs w:val="64"/>
          <w:rtl/>
          <w:lang w:eastAsia="en-US"/>
        </w:rPr>
        <w:t>:</w:t>
      </w:r>
      <w:r w:rsidRPr="00DB59CC">
        <w:rPr>
          <w:rFonts w:cs="Monotype Koufi" w:hint="cs"/>
          <w:bCs/>
          <w:sz w:val="64"/>
          <w:szCs w:val="64"/>
          <w:rtl/>
          <w:lang w:eastAsia="en-US"/>
        </w:rPr>
        <w:t xml:space="preserve"> المؤلف</w:t>
      </w:r>
    </w:p>
    <w:p w:rsidR="00DB59CC" w:rsidRPr="00DB59CC" w:rsidRDefault="00DB59CC" w:rsidP="009A68A5">
      <w:pPr>
        <w:widowControl/>
        <w:ind w:firstLine="567"/>
        <w:jc w:val="both"/>
        <w:rPr>
          <w:b/>
          <w:bCs/>
          <w:rtl/>
          <w:lang w:val="en-GB" w:eastAsia="en-US"/>
        </w:rPr>
      </w:pP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ويتضمن المباحث الآتية</w:t>
      </w:r>
      <w:r w:rsidR="0048366D">
        <w:rPr>
          <w:rFonts w:hint="cs"/>
          <w:b/>
          <w:bCs/>
          <w:sz w:val="36"/>
          <w:szCs w:val="36"/>
          <w:rtl/>
          <w:lang w:val="en-GB" w:eastAsia="en-US"/>
        </w:rPr>
        <w:t>:</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 xml:space="preserve">المبحث الأول  </w:t>
      </w:r>
      <w:r w:rsidR="0048366D">
        <w:rPr>
          <w:rFonts w:hint="cs"/>
          <w:b/>
          <w:bCs/>
          <w:sz w:val="36"/>
          <w:szCs w:val="36"/>
          <w:rtl/>
          <w:lang w:val="en-GB" w:eastAsia="en-US"/>
        </w:rPr>
        <w:t>:</w:t>
      </w:r>
      <w:r w:rsidRPr="00DB59CC">
        <w:rPr>
          <w:rFonts w:hint="cs"/>
          <w:b/>
          <w:bCs/>
          <w:sz w:val="36"/>
          <w:szCs w:val="36"/>
          <w:rtl/>
          <w:lang w:val="en-GB" w:eastAsia="en-US"/>
        </w:rPr>
        <w:t xml:space="preserve"> عصره.</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 xml:space="preserve">المبحث الثاني   </w:t>
      </w:r>
      <w:r w:rsidR="0048366D">
        <w:rPr>
          <w:rFonts w:hint="cs"/>
          <w:b/>
          <w:bCs/>
          <w:sz w:val="36"/>
          <w:szCs w:val="36"/>
          <w:rtl/>
          <w:lang w:val="en-GB" w:eastAsia="en-US"/>
        </w:rPr>
        <w:t>:</w:t>
      </w:r>
      <w:r w:rsidRPr="00DB59CC">
        <w:rPr>
          <w:rFonts w:hint="cs"/>
          <w:b/>
          <w:bCs/>
          <w:sz w:val="36"/>
          <w:szCs w:val="36"/>
          <w:rtl/>
          <w:lang w:val="en-GB" w:eastAsia="en-US"/>
        </w:rPr>
        <w:t xml:space="preserve"> اسمه، ونسبه.</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 xml:space="preserve">المبحث الثالث </w:t>
      </w:r>
      <w:r w:rsidR="0048366D">
        <w:rPr>
          <w:rFonts w:hint="cs"/>
          <w:b/>
          <w:bCs/>
          <w:sz w:val="36"/>
          <w:szCs w:val="36"/>
          <w:rtl/>
          <w:lang w:val="en-GB" w:eastAsia="en-US"/>
        </w:rPr>
        <w:t>:</w:t>
      </w:r>
      <w:r w:rsidRPr="00DB59CC">
        <w:rPr>
          <w:rFonts w:hint="cs"/>
          <w:b/>
          <w:bCs/>
          <w:sz w:val="36"/>
          <w:szCs w:val="36"/>
          <w:rtl/>
          <w:lang w:val="en-GB" w:eastAsia="en-US"/>
        </w:rPr>
        <w:t xml:space="preserve"> مولده ووفاته.</w:t>
      </w:r>
    </w:p>
    <w:p w:rsidR="00DB59CC" w:rsidRPr="00DB59CC" w:rsidRDefault="00DB59CC" w:rsidP="009A68A5">
      <w:pPr>
        <w:widowControl/>
        <w:ind w:left="207" w:right="207" w:firstLine="720"/>
        <w:jc w:val="both"/>
        <w:rPr>
          <w:b/>
          <w:bCs/>
          <w:sz w:val="36"/>
          <w:szCs w:val="36"/>
          <w:rtl/>
          <w:lang w:eastAsia="en-US"/>
        </w:rPr>
      </w:pPr>
      <w:r w:rsidRPr="00DB59CC">
        <w:rPr>
          <w:rFonts w:hint="cs"/>
          <w:b/>
          <w:bCs/>
          <w:sz w:val="36"/>
          <w:szCs w:val="36"/>
          <w:rtl/>
          <w:lang w:eastAsia="en-US" w:bidi="ar-AE"/>
        </w:rPr>
        <w:t xml:space="preserve">المبحث الرابع  </w:t>
      </w:r>
      <w:r w:rsidR="0048366D">
        <w:rPr>
          <w:rFonts w:hint="cs"/>
          <w:b/>
          <w:bCs/>
          <w:sz w:val="36"/>
          <w:szCs w:val="36"/>
          <w:rtl/>
          <w:lang w:eastAsia="en-US" w:bidi="ar-AE"/>
        </w:rPr>
        <w:t>:</w:t>
      </w:r>
      <w:r w:rsidRPr="00DB59CC">
        <w:rPr>
          <w:rFonts w:hint="cs"/>
          <w:b/>
          <w:bCs/>
          <w:sz w:val="36"/>
          <w:szCs w:val="36"/>
          <w:rtl/>
          <w:lang w:eastAsia="en-US" w:bidi="ar-AE"/>
        </w:rPr>
        <w:t xml:space="preserve"> نشأته، وحياته.</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المبحث الخامس</w:t>
      </w:r>
      <w:r w:rsidR="0048366D">
        <w:rPr>
          <w:rFonts w:hint="cs"/>
          <w:b/>
          <w:bCs/>
          <w:sz w:val="36"/>
          <w:szCs w:val="36"/>
          <w:rtl/>
          <w:lang w:val="en-GB" w:eastAsia="en-US"/>
        </w:rPr>
        <w:t>:</w:t>
      </w:r>
      <w:r w:rsidRPr="00DB59CC">
        <w:rPr>
          <w:rFonts w:hint="cs"/>
          <w:b/>
          <w:bCs/>
          <w:sz w:val="36"/>
          <w:szCs w:val="36"/>
          <w:rtl/>
          <w:lang w:val="en-GB" w:eastAsia="en-US"/>
        </w:rPr>
        <w:t xml:space="preserve"> طلبه العلم، وشيوخه.</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المبحث السادس</w:t>
      </w:r>
      <w:r w:rsidR="0048366D">
        <w:rPr>
          <w:rFonts w:hint="cs"/>
          <w:b/>
          <w:bCs/>
          <w:sz w:val="36"/>
          <w:szCs w:val="36"/>
          <w:rtl/>
          <w:lang w:val="en-GB" w:eastAsia="en-US"/>
        </w:rPr>
        <w:t>:</w:t>
      </w:r>
      <w:r w:rsidRPr="00DB59CC">
        <w:rPr>
          <w:rFonts w:hint="cs"/>
          <w:b/>
          <w:bCs/>
          <w:sz w:val="36"/>
          <w:szCs w:val="36"/>
          <w:rtl/>
          <w:lang w:val="en-GB" w:eastAsia="en-US"/>
        </w:rPr>
        <w:t xml:space="preserve"> تلاميذه.</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 xml:space="preserve">المبحث السابع  </w:t>
      </w:r>
      <w:r w:rsidR="0048366D">
        <w:rPr>
          <w:rFonts w:hint="cs"/>
          <w:b/>
          <w:bCs/>
          <w:sz w:val="36"/>
          <w:szCs w:val="36"/>
          <w:rtl/>
          <w:lang w:val="en-GB" w:eastAsia="en-US"/>
        </w:rPr>
        <w:t>:</w:t>
      </w:r>
      <w:r w:rsidRPr="00DB59CC">
        <w:rPr>
          <w:rFonts w:hint="cs"/>
          <w:b/>
          <w:bCs/>
          <w:sz w:val="36"/>
          <w:szCs w:val="36"/>
          <w:rtl/>
          <w:lang w:val="en-GB" w:eastAsia="en-US"/>
        </w:rPr>
        <w:t xml:space="preserve"> مذهبه الفقهي، وعقيدته.</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 xml:space="preserve">المبحث الثامن   </w:t>
      </w:r>
      <w:r w:rsidR="0048366D">
        <w:rPr>
          <w:rFonts w:hint="cs"/>
          <w:b/>
          <w:bCs/>
          <w:sz w:val="36"/>
          <w:szCs w:val="36"/>
          <w:rtl/>
          <w:lang w:val="en-GB" w:eastAsia="en-US"/>
        </w:rPr>
        <w:t>:</w:t>
      </w:r>
      <w:r w:rsidRPr="00DB59CC">
        <w:rPr>
          <w:rFonts w:hint="cs"/>
          <w:b/>
          <w:bCs/>
          <w:sz w:val="36"/>
          <w:szCs w:val="36"/>
          <w:rtl/>
          <w:lang w:val="en-GB" w:eastAsia="en-US"/>
        </w:rPr>
        <w:t xml:space="preserve"> مؤلفاته.</w:t>
      </w:r>
    </w:p>
    <w:p w:rsidR="00DB59CC" w:rsidRPr="00DB59CC" w:rsidRDefault="00DB59CC" w:rsidP="009A68A5">
      <w:pPr>
        <w:widowControl/>
        <w:ind w:left="360" w:right="360" w:firstLine="567"/>
        <w:jc w:val="both"/>
        <w:rPr>
          <w:b/>
          <w:bCs/>
          <w:sz w:val="36"/>
          <w:szCs w:val="36"/>
          <w:rtl/>
          <w:lang w:val="en-GB" w:eastAsia="en-US"/>
        </w:rPr>
      </w:pPr>
      <w:r w:rsidRPr="00DB59CC">
        <w:rPr>
          <w:rFonts w:hint="cs"/>
          <w:b/>
          <w:bCs/>
          <w:sz w:val="36"/>
          <w:szCs w:val="36"/>
          <w:rtl/>
          <w:lang w:val="en-GB" w:eastAsia="en-US"/>
        </w:rPr>
        <w:t xml:space="preserve">المبحث التاسع  </w:t>
      </w:r>
      <w:r w:rsidR="0048366D">
        <w:rPr>
          <w:rFonts w:hint="cs"/>
          <w:b/>
          <w:bCs/>
          <w:sz w:val="36"/>
          <w:szCs w:val="36"/>
          <w:rtl/>
          <w:lang w:val="en-GB" w:eastAsia="en-US"/>
        </w:rPr>
        <w:t>:</w:t>
      </w:r>
      <w:r w:rsidRPr="00DB59CC">
        <w:rPr>
          <w:rFonts w:hint="cs"/>
          <w:b/>
          <w:bCs/>
          <w:sz w:val="36"/>
          <w:szCs w:val="36"/>
          <w:rtl/>
          <w:lang w:val="en-GB" w:eastAsia="en-US"/>
        </w:rPr>
        <w:t xml:space="preserve"> مكانته العلمية.</w:t>
      </w:r>
    </w:p>
    <w:p w:rsidR="00DB59CC" w:rsidRPr="00DB59CC" w:rsidRDefault="00DB59CC" w:rsidP="009A68A5">
      <w:pPr>
        <w:widowControl/>
        <w:ind w:left="360" w:right="360" w:firstLine="567"/>
        <w:jc w:val="both"/>
        <w:rPr>
          <w:b/>
          <w:bCs/>
          <w:sz w:val="36"/>
          <w:szCs w:val="36"/>
          <w:rtl/>
          <w:lang w:val="en-GB" w:eastAsia="en-US"/>
        </w:rPr>
      </w:pPr>
    </w:p>
    <w:p w:rsidR="00DB59CC" w:rsidRPr="00DB59CC" w:rsidRDefault="00DB59CC" w:rsidP="009A68A5">
      <w:pPr>
        <w:widowControl/>
        <w:ind w:firstLine="567"/>
        <w:jc w:val="both"/>
        <w:rPr>
          <w:rFonts w:cs="AL-Mateen"/>
          <w:sz w:val="48"/>
          <w:szCs w:val="36"/>
          <w:rtl/>
          <w:lang w:eastAsia="en-US"/>
        </w:rPr>
      </w:pPr>
      <w:r w:rsidRPr="00DB59CC">
        <w:rPr>
          <w:rFonts w:cs="AL-Mateen" w:hint="cs"/>
          <w:sz w:val="48"/>
          <w:szCs w:val="36"/>
          <w:rtl/>
          <w:lang w:eastAsia="en-US"/>
        </w:rPr>
        <w:t>توطـئـة</w:t>
      </w:r>
      <w:r w:rsidR="0048366D">
        <w:rPr>
          <w:rFonts w:cs="AL-Mateen" w:hint="cs"/>
          <w:sz w:val="48"/>
          <w:szCs w:val="36"/>
          <w:rtl/>
          <w:lang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إن أي إنسان يسمع عن كتاب لا يعرفه فأول سؤال يسأل عنه عادة</w:t>
      </w:r>
      <w:r w:rsidR="0048366D">
        <w:rPr>
          <w:rFonts w:hint="cs"/>
          <w:sz w:val="36"/>
          <w:szCs w:val="36"/>
          <w:rtl/>
          <w:lang w:val="en-GB" w:eastAsia="en-US"/>
        </w:rPr>
        <w:t>:</w:t>
      </w:r>
      <w:r w:rsidRPr="00DB59CC">
        <w:rPr>
          <w:rFonts w:hint="cs"/>
          <w:sz w:val="36"/>
          <w:szCs w:val="36"/>
          <w:rtl/>
          <w:lang w:val="en-GB" w:eastAsia="en-US"/>
        </w:rPr>
        <w:t xml:space="preserve"> من مؤلف هذا الكتاب</w:t>
      </w:r>
      <w:r w:rsidR="0048366D">
        <w:rPr>
          <w:rFonts w:hint="cs"/>
          <w:sz w:val="36"/>
          <w:szCs w:val="36"/>
          <w:rtl/>
          <w:lang w:val="en-GB" w:eastAsia="en-US"/>
        </w:rPr>
        <w:t>؟؛</w:t>
      </w:r>
      <w:r w:rsidRPr="00DB59CC">
        <w:rPr>
          <w:rFonts w:hint="cs"/>
          <w:sz w:val="36"/>
          <w:szCs w:val="36"/>
          <w:rtl/>
          <w:lang w:val="en-GB" w:eastAsia="en-US"/>
        </w:rPr>
        <w:t xml:space="preserve"> لهذا على من يقدم على تحقيق كتاب ما ودراسته أن يعنى عناية فائقة بالتعريف بالمؤلف؛ ليكون القارئ على ثقة بمضمون هذا الكتاب.</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ولما لهذا الأمر من أهمية قصوى</w:t>
      </w:r>
      <w:r w:rsidR="0048366D">
        <w:rPr>
          <w:rFonts w:hint="cs"/>
          <w:sz w:val="36"/>
          <w:szCs w:val="36"/>
          <w:rtl/>
          <w:lang w:val="en-GB" w:eastAsia="en-US"/>
        </w:rPr>
        <w:t>:</w:t>
      </w:r>
      <w:r w:rsidRPr="00DB59CC">
        <w:rPr>
          <w:rFonts w:hint="cs"/>
          <w:sz w:val="36"/>
          <w:szCs w:val="36"/>
          <w:rtl/>
          <w:lang w:val="en-GB" w:eastAsia="en-US"/>
        </w:rPr>
        <w:t xml:space="preserve"> قضيت السنة الأولى من البحث -تقريبًا- بحثًا عن ترجمة المؤلف، كما كنت على اتصال بها بين الحين والآخر إلى نهاية مدة الرسالة، ومع ذلك كله لم أجد إلا نتفًا يسيرة، جلّها مستنتج من الكتاب، وفهارس المخطوطات</w:t>
      </w:r>
      <w:r w:rsidRPr="00DB59CC">
        <w:rPr>
          <w:bCs/>
          <w:sz w:val="36"/>
          <w:szCs w:val="32"/>
          <w:vertAlign w:val="superscript"/>
          <w:rtl/>
          <w:lang w:val="en-GB" w:eastAsia="en-US"/>
        </w:rPr>
        <w:t>(</w:t>
      </w:r>
      <w:r w:rsidRPr="00DB59CC">
        <w:rPr>
          <w:bCs/>
          <w:sz w:val="20"/>
          <w:szCs w:val="32"/>
          <w:vertAlign w:val="superscript"/>
          <w:rtl/>
          <w:lang w:val="en-GB" w:eastAsia="en-US"/>
        </w:rPr>
        <w:footnoteReference w:id="24"/>
      </w:r>
      <w:r w:rsidRPr="00DB59CC">
        <w:rPr>
          <w:bCs/>
          <w:sz w:val="36"/>
          <w:szCs w:val="32"/>
          <w:vertAlign w:val="superscript"/>
          <w:rtl/>
          <w:lang w:val="en-GB" w:eastAsia="en-US"/>
        </w:rPr>
        <w:t>)</w:t>
      </w:r>
      <w:r w:rsidRPr="00DB59CC">
        <w:rPr>
          <w:rFonts w:hint="cs"/>
          <w:sz w:val="36"/>
          <w:szCs w:val="36"/>
          <w:rtl/>
          <w:lang w:val="en-GB" w:eastAsia="en-US"/>
        </w:rPr>
        <w:t>.</w:t>
      </w:r>
    </w:p>
    <w:p w:rsidR="00DB59CC" w:rsidRPr="00DB59CC" w:rsidRDefault="00DB59CC" w:rsidP="009A68A5">
      <w:pPr>
        <w:widowControl/>
        <w:ind w:firstLine="567"/>
        <w:jc w:val="both"/>
        <w:rPr>
          <w:rFonts w:cs="Al-Kharashi 62"/>
          <w:b/>
          <w:bCs/>
          <w:sz w:val="48"/>
          <w:szCs w:val="36"/>
          <w:rtl/>
          <w:lang w:val="en-GB" w:eastAsia="en-US"/>
        </w:rPr>
      </w:pPr>
      <w:r w:rsidRPr="00DB59CC">
        <w:rPr>
          <w:rFonts w:hint="cs"/>
          <w:b/>
          <w:bCs/>
          <w:sz w:val="36"/>
          <w:szCs w:val="36"/>
          <w:rtl/>
          <w:lang w:val="en-GB" w:eastAsia="en-US"/>
        </w:rPr>
        <w:lastRenderedPageBreak/>
        <w:t>أسباب عدم الاهتمام بتـرجمته</w:t>
      </w:r>
      <w:r w:rsidR="0048366D">
        <w:rPr>
          <w:rFonts w:hint="cs"/>
          <w:b/>
          <w:b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كنت قد تأملت في هذا الكتاب</w:t>
      </w:r>
      <w:r w:rsidR="0048366D">
        <w:rPr>
          <w:rFonts w:hint="cs"/>
          <w:sz w:val="36"/>
          <w:szCs w:val="36"/>
          <w:rtl/>
          <w:lang w:val="en-GB" w:eastAsia="en-US"/>
        </w:rPr>
        <w:t>؛</w:t>
      </w:r>
      <w:r w:rsidRPr="00DB59CC">
        <w:rPr>
          <w:rFonts w:hint="cs"/>
          <w:sz w:val="36"/>
          <w:szCs w:val="36"/>
          <w:rtl/>
          <w:lang w:val="en-GB" w:eastAsia="en-US"/>
        </w:rPr>
        <w:t xml:space="preserve"> بحثًا عن دلائل تميط اللثام عن نشأة المؤلف وحياته، وما يتعلق بترجمته فلم أعثر على مرادي</w:t>
      </w:r>
      <w:r w:rsidR="0048366D">
        <w:rPr>
          <w:rFonts w:hint="cs"/>
          <w:sz w:val="36"/>
          <w:szCs w:val="36"/>
          <w:rtl/>
          <w:lang w:val="en-GB" w:eastAsia="en-US"/>
        </w:rPr>
        <w:t>؛</w:t>
      </w:r>
      <w:r w:rsidRPr="00DB59CC">
        <w:rPr>
          <w:rFonts w:hint="cs"/>
          <w:sz w:val="36"/>
          <w:szCs w:val="36"/>
          <w:rtl/>
          <w:lang w:val="en-GB" w:eastAsia="en-US"/>
        </w:rPr>
        <w:t xml:space="preserve"> إذ لم يشر إلى نشأته وحياته، والأماكن التي زارها، و المدارس التي تعلّم أو علّم فيها، وشيوخه وتلاميذه وأقرانه، وحياته العملية،</w:t>
      </w:r>
      <w:r w:rsidR="0048366D">
        <w:rPr>
          <w:rFonts w:hint="cs"/>
          <w:sz w:val="36"/>
          <w:szCs w:val="36"/>
          <w:rtl/>
          <w:lang w:val="en-GB" w:eastAsia="en-US"/>
        </w:rPr>
        <w:t>.</w:t>
      </w:r>
      <w:r w:rsidRPr="00DB59CC">
        <w:rPr>
          <w:rFonts w:hint="cs"/>
          <w:sz w:val="36"/>
          <w:szCs w:val="36"/>
          <w:rtl/>
          <w:lang w:val="en-GB" w:eastAsia="en-US"/>
        </w:rPr>
        <w:t xml:space="preserve">.. </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ولعل عذره في عدم التعريف بنفسه</w:t>
      </w:r>
      <w:r w:rsidR="0048366D">
        <w:rPr>
          <w:rFonts w:hint="cs"/>
          <w:sz w:val="36"/>
          <w:szCs w:val="36"/>
          <w:rtl/>
          <w:lang w:val="en-GB" w:eastAsia="en-US"/>
        </w:rPr>
        <w:t>:</w:t>
      </w:r>
      <w:r w:rsidRPr="00DB59CC">
        <w:rPr>
          <w:rFonts w:hint="cs"/>
          <w:sz w:val="36"/>
          <w:szCs w:val="36"/>
          <w:rtl/>
          <w:lang w:val="en-GB" w:eastAsia="en-US"/>
        </w:rPr>
        <w:t xml:space="preserve"> البعد عن الإطالة، والاكتفاء بذكر ما يفيد في تحقيق الغرض من هذا الكتاب المختصر، وربما أنّ له حكمة -الله أعلم بها-.</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ومهما يكن من شيء</w:t>
      </w:r>
      <w:r w:rsidR="0048366D">
        <w:rPr>
          <w:rFonts w:hint="cs"/>
          <w:sz w:val="36"/>
          <w:szCs w:val="36"/>
          <w:rtl/>
          <w:lang w:val="en-GB" w:eastAsia="en-US"/>
        </w:rPr>
        <w:t>:</w:t>
      </w:r>
      <w:r w:rsidRPr="00DB59CC">
        <w:rPr>
          <w:rFonts w:hint="cs"/>
          <w:sz w:val="36"/>
          <w:szCs w:val="36"/>
          <w:rtl/>
          <w:lang w:val="en-GB" w:eastAsia="en-US"/>
        </w:rPr>
        <w:t xml:space="preserve"> فإنه مما لا ريب فيه أن عدم الاهتمام بترجمته -سواء كان ذلك من خلال كتابه، أم من خلال كتب التراجم- لا بد أن تكون له أسباب، لعل منها</w:t>
      </w:r>
      <w:r w:rsidR="0048366D">
        <w:rPr>
          <w:rFonts w:hint="cs"/>
          <w:sz w:val="36"/>
          <w:szCs w:val="36"/>
          <w:rtl/>
          <w:lang w:val="en-GB" w:eastAsia="en-US"/>
        </w:rPr>
        <w:t>:</w:t>
      </w:r>
    </w:p>
    <w:p w:rsidR="00DB59CC" w:rsidRPr="00DB59CC" w:rsidRDefault="00DB59CC" w:rsidP="009A68A5">
      <w:pPr>
        <w:widowControl/>
        <w:ind w:firstLine="567"/>
        <w:jc w:val="both"/>
        <w:rPr>
          <w:spacing w:val="-8"/>
          <w:sz w:val="36"/>
          <w:szCs w:val="36"/>
          <w:rtl/>
          <w:lang w:val="en-GB" w:eastAsia="en-US"/>
        </w:rPr>
      </w:pPr>
      <w:r w:rsidRPr="00DB59CC">
        <w:rPr>
          <w:rFonts w:hint="cs"/>
          <w:b/>
          <w:bCs/>
          <w:spacing w:val="-8"/>
          <w:sz w:val="36"/>
          <w:szCs w:val="36"/>
          <w:rtl/>
          <w:lang w:val="en-GB" w:eastAsia="en-US"/>
        </w:rPr>
        <w:t>1</w:t>
      </w:r>
      <w:r w:rsidRPr="00DB59CC">
        <w:rPr>
          <w:rFonts w:hint="cs"/>
          <w:spacing w:val="-8"/>
          <w:sz w:val="36"/>
          <w:szCs w:val="36"/>
          <w:rtl/>
          <w:lang w:val="en-GB" w:eastAsia="en-US"/>
        </w:rPr>
        <w:t>- أنه لم يعش طويلاً</w:t>
      </w:r>
      <w:r w:rsidR="0048366D">
        <w:rPr>
          <w:rFonts w:hint="cs"/>
          <w:spacing w:val="-8"/>
          <w:sz w:val="36"/>
          <w:szCs w:val="36"/>
          <w:rtl/>
          <w:lang w:val="en-GB" w:eastAsia="en-US"/>
        </w:rPr>
        <w:t>؛</w:t>
      </w:r>
      <w:r w:rsidRPr="00DB59CC">
        <w:rPr>
          <w:rFonts w:hint="cs"/>
          <w:spacing w:val="-8"/>
          <w:sz w:val="36"/>
          <w:szCs w:val="36"/>
          <w:rtl/>
          <w:lang w:val="en-GB" w:eastAsia="en-US"/>
        </w:rPr>
        <w:t xml:space="preserve"> حيث إن هذا الكتاب هو أول الكتب التي ألفها  وقد وعد في مقدمته أن يكتب في هامشه جميع ما يجده من القواعد والأصول بوجه يمكن -عند إعادة الاستنساخ- أن يكتب في الصلب،كما أكّد ذلك في الخاتمة، ولكنه مات قبل تحقيق هذا الوعد.</w:t>
      </w:r>
      <w:r w:rsidRPr="00DB59CC">
        <w:rPr>
          <w:bCs/>
          <w:spacing w:val="-8"/>
          <w:sz w:val="36"/>
          <w:szCs w:val="32"/>
          <w:vertAlign w:val="superscript"/>
          <w:rtl/>
          <w:lang w:val="en-GB" w:eastAsia="en-US"/>
        </w:rPr>
        <w:t xml:space="preserve"> (</w:t>
      </w:r>
      <w:r w:rsidRPr="00DB59CC">
        <w:rPr>
          <w:bCs/>
          <w:spacing w:val="-8"/>
          <w:sz w:val="36"/>
          <w:szCs w:val="32"/>
          <w:vertAlign w:val="superscript"/>
          <w:rtl/>
          <w:lang w:val="en-GB" w:eastAsia="en-US"/>
        </w:rPr>
        <w:footnoteReference w:id="25"/>
      </w:r>
      <w:r w:rsidRPr="00DB59CC">
        <w:rPr>
          <w:bCs/>
          <w:spacing w:val="-8"/>
          <w:sz w:val="36"/>
          <w:szCs w:val="32"/>
          <w:vertAlign w:val="superscript"/>
          <w:rtl/>
          <w:lang w:val="en-GB" w:eastAsia="en-US"/>
        </w:rPr>
        <w:t>)</w:t>
      </w:r>
      <w:r w:rsidRPr="00DB59CC">
        <w:rPr>
          <w:rFonts w:hint="cs"/>
          <w:spacing w:val="-8"/>
          <w:sz w:val="36"/>
          <w:szCs w:val="36"/>
          <w:rtl/>
          <w:lang w:val="en-GB" w:eastAsia="en-US"/>
        </w:rPr>
        <w:t xml:space="preserve"> </w:t>
      </w:r>
    </w:p>
    <w:p w:rsidR="00DB59CC" w:rsidRPr="00DB59CC" w:rsidRDefault="00DB59CC" w:rsidP="009A68A5">
      <w:pPr>
        <w:widowControl/>
        <w:ind w:firstLine="567"/>
        <w:jc w:val="both"/>
        <w:rPr>
          <w:spacing w:val="-20"/>
          <w:sz w:val="36"/>
          <w:szCs w:val="36"/>
          <w:rtl/>
          <w:lang w:val="en-GB" w:eastAsia="en-US"/>
        </w:rPr>
      </w:pPr>
      <w:r w:rsidRPr="00DB59CC">
        <w:rPr>
          <w:rFonts w:hint="cs"/>
          <w:b/>
          <w:bCs/>
          <w:spacing w:val="-20"/>
          <w:sz w:val="36"/>
          <w:szCs w:val="36"/>
          <w:rtl/>
          <w:lang w:val="en-GB" w:eastAsia="en-US"/>
        </w:rPr>
        <w:t>2</w:t>
      </w:r>
      <w:r w:rsidRPr="00DB59CC">
        <w:rPr>
          <w:rFonts w:hint="cs"/>
          <w:spacing w:val="-20"/>
          <w:sz w:val="36"/>
          <w:szCs w:val="36"/>
          <w:rtl/>
          <w:lang w:val="en-GB" w:eastAsia="en-US"/>
        </w:rPr>
        <w:t xml:space="preserve">- </w:t>
      </w:r>
      <w:r w:rsidRPr="00DB59CC">
        <w:rPr>
          <w:rFonts w:hint="cs"/>
          <w:spacing w:val="-20"/>
          <w:sz w:val="34"/>
          <w:szCs w:val="34"/>
          <w:rtl/>
          <w:lang w:val="en-GB" w:eastAsia="en-US"/>
        </w:rPr>
        <w:t>قد تكون له آراء عقدية أو سياسية لم تكن مقبولة في مجتمعه؛ مما جعل الناس يتعصبون ضده ويتجاهلونه.</w:t>
      </w:r>
      <w:r w:rsidRPr="00DB59CC">
        <w:rPr>
          <w:bCs/>
          <w:spacing w:val="-20"/>
          <w:sz w:val="34"/>
          <w:szCs w:val="34"/>
          <w:vertAlign w:val="superscript"/>
          <w:rtl/>
          <w:lang w:val="en-GB" w:eastAsia="en-US"/>
        </w:rPr>
        <w:t xml:space="preserve"> </w:t>
      </w:r>
      <w:r w:rsidRPr="00DB59CC">
        <w:rPr>
          <w:bCs/>
          <w:spacing w:val="-20"/>
          <w:sz w:val="36"/>
          <w:szCs w:val="32"/>
          <w:vertAlign w:val="superscript"/>
          <w:rtl/>
          <w:lang w:val="en-GB" w:eastAsia="en-US"/>
        </w:rPr>
        <w:t>(</w:t>
      </w:r>
      <w:r w:rsidRPr="00DB59CC">
        <w:rPr>
          <w:bCs/>
          <w:spacing w:val="-20"/>
          <w:sz w:val="36"/>
          <w:szCs w:val="32"/>
          <w:vertAlign w:val="superscript"/>
          <w:rtl/>
          <w:lang w:val="en-GB" w:eastAsia="en-US"/>
        </w:rPr>
        <w:footnoteReference w:id="26"/>
      </w:r>
      <w:r w:rsidRPr="00DB59CC">
        <w:rPr>
          <w:bCs/>
          <w:spacing w:val="-20"/>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3</w:t>
      </w:r>
      <w:r w:rsidRPr="00DB59CC">
        <w:rPr>
          <w:rFonts w:hint="cs"/>
          <w:sz w:val="36"/>
          <w:szCs w:val="36"/>
          <w:rtl/>
          <w:lang w:val="en-GB" w:eastAsia="en-US"/>
        </w:rPr>
        <w:t>- أن أسلوبه كان فيه حِدّة وغلظة على المخالف؛ مما نفّر الناس منه.</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27"/>
      </w:r>
      <w:r w:rsidRPr="00DB59CC">
        <w:rPr>
          <w:bCs/>
          <w:sz w:val="36"/>
          <w:szCs w:val="32"/>
          <w:vertAlign w:val="superscript"/>
          <w:rtl/>
          <w:lang w:val="en-GB" w:eastAsia="en-US"/>
        </w:rPr>
        <w:t>)</w:t>
      </w:r>
    </w:p>
    <w:p w:rsidR="00DB59CC" w:rsidRPr="00DB59CC" w:rsidRDefault="00DB59CC" w:rsidP="009A68A5">
      <w:pPr>
        <w:widowControl/>
        <w:ind w:firstLine="567"/>
        <w:jc w:val="both"/>
        <w:rPr>
          <w:spacing w:val="-10"/>
          <w:sz w:val="36"/>
          <w:szCs w:val="36"/>
          <w:rtl/>
          <w:lang w:val="en-GB" w:eastAsia="en-US"/>
        </w:rPr>
      </w:pPr>
      <w:r w:rsidRPr="00DB59CC">
        <w:rPr>
          <w:rFonts w:hint="cs"/>
          <w:b/>
          <w:bCs/>
          <w:spacing w:val="-10"/>
          <w:sz w:val="36"/>
          <w:szCs w:val="36"/>
          <w:rtl/>
          <w:lang w:val="en-GB" w:eastAsia="en-US"/>
        </w:rPr>
        <w:lastRenderedPageBreak/>
        <w:t>4</w:t>
      </w:r>
      <w:r w:rsidRPr="00DB59CC">
        <w:rPr>
          <w:rFonts w:hint="cs"/>
          <w:spacing w:val="-10"/>
          <w:sz w:val="36"/>
          <w:szCs w:val="36"/>
          <w:rtl/>
          <w:lang w:val="en-GB" w:eastAsia="en-US"/>
        </w:rPr>
        <w:t>- ربما أنه لم يكن منبسطًا على الناس؛ بل كان منطويًا على نفسه وعلمه وتفكيره</w:t>
      </w:r>
      <w:r w:rsidRPr="00DB59CC">
        <w:rPr>
          <w:bCs/>
          <w:spacing w:val="-10"/>
          <w:sz w:val="36"/>
          <w:szCs w:val="32"/>
          <w:vertAlign w:val="superscript"/>
          <w:rtl/>
          <w:lang w:val="en-GB" w:eastAsia="en-US"/>
        </w:rPr>
        <w:t>(</w:t>
      </w:r>
      <w:r w:rsidRPr="00DB59CC">
        <w:rPr>
          <w:bCs/>
          <w:spacing w:val="-10"/>
          <w:sz w:val="36"/>
          <w:szCs w:val="32"/>
          <w:vertAlign w:val="superscript"/>
          <w:rtl/>
          <w:lang w:val="en-GB" w:eastAsia="en-US"/>
        </w:rPr>
        <w:footnoteReference w:id="28"/>
      </w:r>
      <w:r w:rsidRPr="00DB59CC">
        <w:rPr>
          <w:bCs/>
          <w:spacing w:val="-10"/>
          <w:sz w:val="36"/>
          <w:szCs w:val="32"/>
          <w:vertAlign w:val="superscript"/>
          <w:rtl/>
          <w:lang w:val="en-GB" w:eastAsia="en-US"/>
        </w:rPr>
        <w:t>)</w:t>
      </w:r>
      <w:r w:rsidR="0048366D">
        <w:rPr>
          <w:rFonts w:hint="cs"/>
          <w:spacing w:val="-10"/>
          <w:sz w:val="36"/>
          <w:szCs w:val="36"/>
          <w:rtl/>
          <w:lang w:val="en-GB" w:eastAsia="en-US"/>
        </w:rPr>
        <w:t>؛</w:t>
      </w:r>
      <w:r w:rsidRPr="00DB59CC">
        <w:rPr>
          <w:rFonts w:hint="cs"/>
          <w:spacing w:val="-10"/>
          <w:sz w:val="36"/>
          <w:szCs w:val="36"/>
          <w:rtl/>
          <w:lang w:val="en-GB" w:eastAsia="en-US"/>
        </w:rPr>
        <w:t xml:space="preserve"> لهذا لم يتمكن كثير من الطلبة من الالتفاف حوله والاستفادة منه، ومن ثم نشر علمه وإظهاره للناس. </w:t>
      </w:r>
    </w:p>
    <w:p w:rsidR="00DB59CC" w:rsidRPr="00DB59CC" w:rsidRDefault="00DB59CC" w:rsidP="009A68A5">
      <w:pPr>
        <w:widowControl/>
        <w:ind w:firstLine="567"/>
        <w:jc w:val="both"/>
        <w:rPr>
          <w:rFonts w:cs="Al-Kharashi 62"/>
          <w:b/>
          <w:bCs/>
          <w:sz w:val="48"/>
          <w:szCs w:val="36"/>
          <w:rtl/>
          <w:lang w:val="en-GB" w:eastAsia="en-US"/>
        </w:rPr>
      </w:pPr>
      <w:r w:rsidRPr="00DB59CC">
        <w:rPr>
          <w:rFonts w:hint="cs"/>
          <w:b/>
          <w:bCs/>
          <w:spacing w:val="-10"/>
          <w:sz w:val="36"/>
          <w:szCs w:val="36"/>
          <w:rtl/>
          <w:lang w:val="en-GB" w:eastAsia="en-US"/>
        </w:rPr>
        <w:t>تـنـبـيـه</w:t>
      </w:r>
      <w:r w:rsidR="0048366D">
        <w:rPr>
          <w:rFonts w:hint="cs"/>
          <w:b/>
          <w:bCs/>
          <w:spacing w:val="-10"/>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مما ينبغي لفت النظر إليه</w:t>
      </w:r>
      <w:r w:rsidR="0048366D">
        <w:rPr>
          <w:rFonts w:hint="cs"/>
          <w:sz w:val="36"/>
          <w:szCs w:val="36"/>
          <w:rtl/>
          <w:lang w:val="en-GB" w:eastAsia="en-US"/>
        </w:rPr>
        <w:t>:</w:t>
      </w:r>
      <w:r w:rsidRPr="00DB59CC">
        <w:rPr>
          <w:rFonts w:hint="cs"/>
          <w:sz w:val="36"/>
          <w:szCs w:val="36"/>
          <w:rtl/>
          <w:lang w:val="en-GB" w:eastAsia="en-US"/>
        </w:rPr>
        <w:t xml:space="preserve"> أن التعرف على المؤلف وإن كانت لـه أهمية بالغة إلا أن عدم الوقوف على ترجمة وافية لـه لا يكون حجر عثرة في الثقة بالكتاب</w:t>
      </w:r>
      <w:r w:rsidR="0048366D">
        <w:rPr>
          <w:rFonts w:hint="cs"/>
          <w:sz w:val="36"/>
          <w:szCs w:val="36"/>
          <w:rtl/>
          <w:lang w:val="en-GB" w:eastAsia="en-US"/>
        </w:rPr>
        <w:t>؛</w:t>
      </w:r>
      <w:r w:rsidRPr="00DB59CC">
        <w:rPr>
          <w:rFonts w:hint="cs"/>
          <w:sz w:val="36"/>
          <w:szCs w:val="36"/>
          <w:rtl/>
          <w:lang w:val="en-GB" w:eastAsia="en-US"/>
        </w:rPr>
        <w:t xml:space="preserve"> لأن الرجال يعرفون بالحق، وليس العكس. فمن خلال ما في الكتاب من تحقيقات علمية واستنباطات مبرهنة يمكن التعرف على المؤلف</w:t>
      </w:r>
      <w:r w:rsidR="0048366D">
        <w:rPr>
          <w:rFonts w:hint="cs"/>
          <w:sz w:val="36"/>
          <w:szCs w:val="36"/>
          <w:rtl/>
          <w:lang w:val="en-GB" w:eastAsia="en-US"/>
        </w:rPr>
        <w:t>؛</w:t>
      </w:r>
      <w:r w:rsidRPr="00DB59CC">
        <w:rPr>
          <w:rFonts w:hint="cs"/>
          <w:sz w:val="36"/>
          <w:szCs w:val="36"/>
          <w:rtl/>
          <w:lang w:val="en-GB" w:eastAsia="en-US"/>
        </w:rPr>
        <w:t xml:space="preserve"> إذ قيمة الكتاب العلمية كفيلة بإبراز الكتاب ومؤلفه. أما الحكم على مضمون الكتاب بناءً على المؤلف فحسب فهو تعصب بعيد عن الموضوعيّة.</w:t>
      </w:r>
    </w:p>
    <w:p w:rsidR="00DB59CC" w:rsidRPr="00DB59CC" w:rsidRDefault="00DB59CC" w:rsidP="009A68A5">
      <w:pPr>
        <w:widowControl/>
        <w:ind w:firstLine="567"/>
        <w:jc w:val="both"/>
        <w:rPr>
          <w:spacing w:val="-2"/>
          <w:sz w:val="36"/>
          <w:szCs w:val="36"/>
          <w:rtl/>
          <w:lang w:val="en-GB" w:eastAsia="en-US"/>
        </w:rPr>
      </w:pPr>
      <w:r w:rsidRPr="00DB59CC">
        <w:rPr>
          <w:rFonts w:hint="cs"/>
          <w:spacing w:val="-2"/>
          <w:sz w:val="36"/>
          <w:szCs w:val="36"/>
          <w:rtl/>
          <w:lang w:val="en-GB" w:eastAsia="en-US"/>
        </w:rPr>
        <w:t>وهناك طائفة كثيرة من الكتب كانت لها قيمة علمية بارزة على الرغم من عدم التعرف على تراجم وافية لمؤلفيها؛ بل إن بعضها لم يُجزم بمؤلفيها، أو حصل اضطراب في تحديده</w:t>
      </w:r>
      <w:r w:rsidR="0048366D">
        <w:rPr>
          <w:rFonts w:hint="cs"/>
          <w:spacing w:val="-2"/>
          <w:sz w:val="36"/>
          <w:szCs w:val="36"/>
          <w:rtl/>
          <w:lang w:val="en-GB" w:eastAsia="en-US"/>
        </w:rPr>
        <w:t>!</w:t>
      </w:r>
      <w:r w:rsidRPr="00DB59CC">
        <w:rPr>
          <w:rFonts w:hint="cs"/>
          <w:spacing w:val="-2"/>
          <w:sz w:val="36"/>
          <w:szCs w:val="36"/>
          <w:rtl/>
          <w:lang w:val="en-GB" w:eastAsia="en-US"/>
        </w:rPr>
        <w:t xml:space="preserve"> ولا أدل على ذلك من كتاب (الوقاية) في الفقه الحنفي. فهذا الكتاب أحد المتون الثلاثة التي اعتمد عليها متأخرو الحنفية، وألّفوا حوله مصنفات كثيرة.</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وقد نال هذه المكانة المرموقة على الرغم من أن علماء الحنفية اختلفوا في المؤلف الحقيقي له، وفي تمام نسبه، ومما يثير الدهشة أن الخلاف في المؤلف خلاف قوي  يصعب معه ترجيح أحد الأقوال واطّراح غيره.</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 xml:space="preserve">وقد صرح بذلك علامة الهند عبدالحي اللكنوي (ت1304هـ) -الذي يعد من أكثر العلماء صلة بالكتاب- حيث وصف </w:t>
      </w:r>
      <w:r w:rsidRPr="00DB59CC">
        <w:rPr>
          <w:rFonts w:hint="eastAsia"/>
          <w:sz w:val="20"/>
          <w:szCs w:val="20"/>
          <w:rtl/>
          <w:lang w:val="en-GB" w:eastAsia="en-GB"/>
        </w:rPr>
        <w:t>«</w:t>
      </w:r>
      <w:r w:rsidRPr="00DB59CC">
        <w:rPr>
          <w:rFonts w:hint="cs"/>
          <w:sz w:val="20"/>
          <w:szCs w:val="20"/>
          <w:rtl/>
          <w:lang w:val="en-GB" w:eastAsia="en-GB"/>
        </w:rPr>
        <w:t xml:space="preserve"> </w:t>
      </w:r>
      <w:r w:rsidRPr="00DB59CC">
        <w:rPr>
          <w:rFonts w:hint="cs"/>
          <w:sz w:val="36"/>
          <w:szCs w:val="36"/>
          <w:rtl/>
          <w:lang w:val="en-GB" w:eastAsia="en-US"/>
        </w:rPr>
        <w:t xml:space="preserve">هذا المقام بأنه من مزالّ الأقدام </w:t>
      </w:r>
      <w:r w:rsidRPr="00DB59CC">
        <w:rPr>
          <w:rFonts w:hint="eastAsia"/>
          <w:sz w:val="20"/>
          <w:szCs w:val="20"/>
          <w:rtl/>
          <w:lang w:val="en-GB" w:eastAsia="en-GB"/>
        </w:rPr>
        <w:t>»</w:t>
      </w:r>
      <w:r w:rsidRPr="00DB59CC">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وسوف يأتي تفصيل ذلك عند ذكر المؤلف لكتاب (الوقاية).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29"/>
      </w:r>
      <w:r w:rsidRPr="00DB59CC">
        <w:rPr>
          <w:bCs/>
          <w:sz w:val="36"/>
          <w:szCs w:val="32"/>
          <w:vertAlign w:val="superscript"/>
          <w:rtl/>
          <w:lang w:val="en-GB" w:eastAsia="en-US"/>
        </w:rPr>
        <w:t>)</w:t>
      </w:r>
      <w:r w:rsidRPr="00DB59CC">
        <w:rPr>
          <w:rFonts w:hint="cs"/>
          <w:sz w:val="36"/>
          <w:szCs w:val="36"/>
          <w:rtl/>
          <w:lang w:val="en-GB" w:eastAsia="en-US"/>
        </w:rPr>
        <w:t xml:space="preserve"> </w:t>
      </w:r>
    </w:p>
    <w:p w:rsidR="00DB59CC" w:rsidRPr="00DB59CC" w:rsidRDefault="00DB59CC" w:rsidP="009A68A5">
      <w:pPr>
        <w:widowControl/>
        <w:ind w:firstLine="567"/>
        <w:jc w:val="both"/>
        <w:rPr>
          <w:spacing w:val="-10"/>
          <w:sz w:val="36"/>
          <w:szCs w:val="36"/>
          <w:rtl/>
          <w:lang w:val="en-GB" w:eastAsia="en-US"/>
        </w:rPr>
      </w:pPr>
      <w:r w:rsidRPr="00DB59CC">
        <w:rPr>
          <w:rFonts w:hint="cs"/>
          <w:spacing w:val="-10"/>
          <w:sz w:val="36"/>
          <w:szCs w:val="36"/>
          <w:rtl/>
          <w:lang w:val="en-GB" w:eastAsia="en-US"/>
        </w:rPr>
        <w:lastRenderedPageBreak/>
        <w:t>كما أن المؤلف سيذكر من مصادره أيضًا سبعة مصادر، كلها حصل فيها خلاف في اسم المؤلف.</w:t>
      </w:r>
      <w:r w:rsidRPr="00DB59CC">
        <w:rPr>
          <w:bCs/>
          <w:spacing w:val="-10"/>
          <w:sz w:val="36"/>
          <w:szCs w:val="32"/>
          <w:vertAlign w:val="superscript"/>
          <w:rtl/>
          <w:lang w:val="en-GB" w:eastAsia="en-US"/>
        </w:rPr>
        <w:t xml:space="preserve"> (</w:t>
      </w:r>
      <w:r w:rsidRPr="00DB59CC">
        <w:rPr>
          <w:bCs/>
          <w:spacing w:val="-10"/>
          <w:sz w:val="36"/>
          <w:szCs w:val="32"/>
          <w:vertAlign w:val="superscript"/>
          <w:rtl/>
          <w:lang w:val="en-GB" w:eastAsia="en-US"/>
        </w:rPr>
        <w:footnoteReference w:id="30"/>
      </w:r>
      <w:r w:rsidRPr="00DB59CC">
        <w:rPr>
          <w:bCs/>
          <w:spacing w:val="-10"/>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يضاف إلى ذلك أن هناك كتبًا كثيرة من هذا القبيل، وقد طبعت وتداولها الناس، كما أن طائفة منها حُقّق في رسائل علمية.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31"/>
      </w:r>
      <w:r w:rsidRPr="00DB59CC">
        <w:rPr>
          <w:bCs/>
          <w:sz w:val="36"/>
          <w:szCs w:val="32"/>
          <w:vertAlign w:val="superscript"/>
          <w:rtl/>
          <w:lang w:val="en-GB" w:eastAsia="en-US"/>
        </w:rPr>
        <w:t>)</w:t>
      </w:r>
    </w:p>
    <w:p w:rsidR="00C01149" w:rsidRDefault="00DB59CC" w:rsidP="009A68A5">
      <w:pPr>
        <w:widowControl/>
        <w:ind w:firstLine="567"/>
        <w:jc w:val="both"/>
        <w:rPr>
          <w:bCs/>
          <w:sz w:val="36"/>
          <w:szCs w:val="32"/>
          <w:vertAlign w:val="superscript"/>
          <w:rtl/>
          <w:lang w:val="en-GB" w:eastAsia="en-US"/>
        </w:rPr>
      </w:pPr>
      <w:r w:rsidRPr="00DB59CC">
        <w:rPr>
          <w:rFonts w:hint="cs"/>
          <w:sz w:val="36"/>
          <w:szCs w:val="36"/>
          <w:rtl/>
          <w:lang w:val="en-GB" w:eastAsia="en-US"/>
        </w:rPr>
        <w:lastRenderedPageBreak/>
        <w:t>وعلاوة على ذلك</w:t>
      </w:r>
      <w:r w:rsidR="0048366D">
        <w:rPr>
          <w:rFonts w:hint="cs"/>
          <w:sz w:val="36"/>
          <w:szCs w:val="36"/>
          <w:rtl/>
          <w:lang w:val="en-GB" w:eastAsia="en-US"/>
        </w:rPr>
        <w:t>:</w:t>
      </w:r>
      <w:r w:rsidRPr="00DB59CC">
        <w:rPr>
          <w:rFonts w:hint="cs"/>
          <w:sz w:val="36"/>
          <w:szCs w:val="36"/>
          <w:rtl/>
          <w:lang w:val="en-GB" w:eastAsia="en-US"/>
        </w:rPr>
        <w:t xml:space="preserve"> فإن هناك كتبًا كثيرة، فُقد جزء كبير منها، ومع ذلك حققت، وبعضها حقق كرسالة علمية.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32"/>
      </w:r>
      <w:r w:rsidRPr="00DB59CC">
        <w:rPr>
          <w:bCs/>
          <w:sz w:val="36"/>
          <w:szCs w:val="32"/>
          <w:vertAlign w:val="superscript"/>
          <w:rtl/>
          <w:lang w:val="en-GB" w:eastAsia="en-US"/>
        </w:rPr>
        <w:t>)</w:t>
      </w:r>
    </w:p>
    <w:p w:rsidR="00C01149" w:rsidRDefault="00C01149" w:rsidP="009A68A5">
      <w:pPr>
        <w:widowControl/>
        <w:bidi w:val="0"/>
        <w:spacing w:after="160" w:line="259" w:lineRule="auto"/>
        <w:ind w:firstLine="0"/>
        <w:jc w:val="both"/>
        <w:rPr>
          <w:bCs/>
          <w:sz w:val="36"/>
          <w:szCs w:val="32"/>
          <w:vertAlign w:val="superscript"/>
          <w:rtl/>
          <w:lang w:val="en-GB" w:eastAsia="en-US"/>
        </w:rPr>
      </w:pPr>
      <w:r>
        <w:rPr>
          <w:bCs/>
          <w:sz w:val="36"/>
          <w:szCs w:val="32"/>
          <w:vertAlign w:val="superscript"/>
          <w:rtl/>
          <w:lang w:val="en-GB" w:eastAsia="en-US"/>
        </w:rPr>
        <w:lastRenderedPageBreak/>
        <w:br w:type="page"/>
      </w:r>
    </w:p>
    <w:p w:rsidR="00DB59CC" w:rsidRPr="00DB59CC" w:rsidRDefault="00DB59CC" w:rsidP="009A68A5">
      <w:pPr>
        <w:widowControl/>
        <w:ind w:firstLine="567"/>
        <w:jc w:val="both"/>
        <w:rPr>
          <w:rFonts w:cs="Monotype Koufi"/>
          <w:bCs/>
          <w:sz w:val="20"/>
          <w:szCs w:val="36"/>
          <w:rtl/>
          <w:lang w:eastAsia="en-US"/>
        </w:rPr>
      </w:pPr>
      <w:r w:rsidRPr="00DB59CC">
        <w:rPr>
          <w:rFonts w:cs="Monotype Koufi" w:hint="cs"/>
          <w:bCs/>
          <w:sz w:val="20"/>
          <w:szCs w:val="36"/>
          <w:rtl/>
          <w:lang w:eastAsia="en-US"/>
        </w:rPr>
        <w:lastRenderedPageBreak/>
        <w:t>المبحث الأول</w:t>
      </w:r>
      <w:r w:rsidR="0048366D">
        <w:rPr>
          <w:rFonts w:cs="Monotype Koufi" w:hint="cs"/>
          <w:bCs/>
          <w:sz w:val="20"/>
          <w:szCs w:val="36"/>
          <w:rtl/>
          <w:lang w:eastAsia="en-US"/>
        </w:rPr>
        <w:t>:</w:t>
      </w:r>
      <w:r w:rsidRPr="00DB59CC">
        <w:rPr>
          <w:rFonts w:cs="Monotype Koufi" w:hint="cs"/>
          <w:bCs/>
          <w:sz w:val="20"/>
          <w:szCs w:val="36"/>
          <w:rtl/>
          <w:lang w:eastAsia="en-US"/>
        </w:rPr>
        <w:t xml:space="preserve"> عصره</w:t>
      </w:r>
      <w:r w:rsidR="0048366D">
        <w:rPr>
          <w:rFonts w:cs="Monotype Koufi" w:hint="cs"/>
          <w:bCs/>
          <w:sz w:val="20"/>
          <w:szCs w:val="36"/>
          <w:rtl/>
          <w:lang w:eastAsia="en-US"/>
        </w:rPr>
        <w:t>:</w:t>
      </w:r>
    </w:p>
    <w:p w:rsidR="00DB59CC" w:rsidRPr="00DB59CC" w:rsidRDefault="00DB59CC" w:rsidP="009A68A5">
      <w:pPr>
        <w:widowControl/>
        <w:ind w:firstLine="0"/>
        <w:jc w:val="both"/>
        <w:rPr>
          <w:sz w:val="36"/>
          <w:szCs w:val="36"/>
          <w:rtl/>
          <w:lang w:val="en-GB" w:eastAsia="en-US"/>
        </w:rPr>
      </w:pPr>
    </w:p>
    <w:p w:rsidR="00DB59CC" w:rsidRPr="00DB59CC" w:rsidRDefault="00DB59CC" w:rsidP="009A68A5">
      <w:pPr>
        <w:widowControl/>
        <w:spacing w:line="228" w:lineRule="auto"/>
        <w:ind w:firstLine="567"/>
        <w:jc w:val="both"/>
        <w:rPr>
          <w:sz w:val="20"/>
          <w:szCs w:val="36"/>
          <w:rtl/>
          <w:lang w:val="en-GB" w:eastAsia="en-US"/>
        </w:rPr>
      </w:pPr>
      <w:r w:rsidRPr="00DB59CC">
        <w:rPr>
          <w:rFonts w:hint="cs"/>
          <w:sz w:val="20"/>
          <w:szCs w:val="36"/>
          <w:rtl/>
          <w:lang w:val="en-GB" w:eastAsia="en-US"/>
        </w:rPr>
        <w:t>عاش المؤلف في القرن الحادي عشر الهجري، ومن المرجّح أن المكان الذي عاش فيه هو بلاد الروم (تركيا).</w:t>
      </w:r>
      <w:r w:rsidRPr="00DB59CC">
        <w:rPr>
          <w:bCs/>
          <w:sz w:val="36"/>
          <w:szCs w:val="32"/>
          <w:vertAlign w:val="superscript"/>
          <w:rtl/>
          <w:lang w:val="en-GB" w:eastAsia="en-US"/>
        </w:rPr>
        <w:t xml:space="preserve"> (</w:t>
      </w:r>
      <w:r w:rsidRPr="00DB59CC">
        <w:rPr>
          <w:bCs/>
          <w:sz w:val="20"/>
          <w:szCs w:val="32"/>
          <w:vertAlign w:val="superscript"/>
          <w:rtl/>
          <w:lang w:val="en-GB" w:eastAsia="en-US"/>
        </w:rPr>
        <w:footnoteReference w:id="33"/>
      </w:r>
      <w:r w:rsidRPr="00DB59CC">
        <w:rPr>
          <w:bCs/>
          <w:sz w:val="36"/>
          <w:szCs w:val="32"/>
          <w:vertAlign w:val="superscript"/>
          <w:rtl/>
          <w:lang w:val="en-GB" w:eastAsia="en-US"/>
        </w:rPr>
        <w:t>)</w:t>
      </w:r>
    </w:p>
    <w:p w:rsidR="00DB59CC" w:rsidRPr="00DB59CC" w:rsidRDefault="00DB59CC" w:rsidP="009A68A5">
      <w:pPr>
        <w:widowControl/>
        <w:spacing w:line="228" w:lineRule="auto"/>
        <w:ind w:firstLine="567"/>
        <w:jc w:val="both"/>
        <w:rPr>
          <w:sz w:val="36"/>
          <w:szCs w:val="36"/>
          <w:rtl/>
          <w:lang w:val="en-GB" w:eastAsia="en-US"/>
        </w:rPr>
      </w:pPr>
      <w:r w:rsidRPr="00DB59CC">
        <w:rPr>
          <w:rFonts w:hint="cs"/>
          <w:sz w:val="36"/>
          <w:szCs w:val="36"/>
          <w:rtl/>
          <w:lang w:val="en-GB" w:eastAsia="en-US"/>
        </w:rPr>
        <w:t>ولتصور مدى تأثر المؤلف بالعصر والمكان الذي عاش فيهما يناسب بيان الحالة السياسية والعلمية في عصره.</w:t>
      </w:r>
    </w:p>
    <w:p w:rsidR="00DB59CC" w:rsidRPr="00DB59CC" w:rsidRDefault="00DB59CC" w:rsidP="009A68A5">
      <w:pPr>
        <w:widowControl/>
        <w:ind w:firstLine="567"/>
        <w:jc w:val="both"/>
        <w:rPr>
          <w:rFonts w:cs="AL-Mateen"/>
          <w:sz w:val="48"/>
          <w:szCs w:val="36"/>
          <w:rtl/>
          <w:lang w:val="en-GB" w:eastAsia="en-US"/>
        </w:rPr>
      </w:pPr>
      <w:r w:rsidRPr="00DB59CC">
        <w:rPr>
          <w:rFonts w:cs="AL-Mateen" w:hint="cs"/>
          <w:sz w:val="48"/>
          <w:szCs w:val="36"/>
          <w:rtl/>
          <w:lang w:val="en-GB" w:eastAsia="en-US"/>
        </w:rPr>
        <w:t>المطلب الأول</w:t>
      </w:r>
      <w:r w:rsidR="0048366D">
        <w:rPr>
          <w:rFonts w:cs="AL-Mateen" w:hint="cs"/>
          <w:sz w:val="48"/>
          <w:szCs w:val="36"/>
          <w:rtl/>
          <w:lang w:val="en-GB" w:eastAsia="en-US"/>
        </w:rPr>
        <w:t>:</w:t>
      </w:r>
      <w:r w:rsidRPr="00DB59CC">
        <w:rPr>
          <w:rFonts w:cs="AL-Mateen" w:hint="cs"/>
          <w:sz w:val="48"/>
          <w:szCs w:val="36"/>
          <w:rtl/>
          <w:lang w:val="en-GB" w:eastAsia="en-US"/>
        </w:rPr>
        <w:t xml:space="preserve"> الحالة السياسية</w:t>
      </w:r>
      <w:r w:rsidR="0048366D">
        <w:rPr>
          <w:rFonts w:cs="AL-Mateen" w:hint="cs"/>
          <w:sz w:val="48"/>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 xml:space="preserve">عاش المؤلف في ظل الدولة العثمانية. وكان ظهورها عام 699هـ، على يد مؤسسها: عثمان بن غازي بن إرْطُغْرُل </w:t>
      </w:r>
      <w:r w:rsidRPr="00DB59CC">
        <w:rPr>
          <w:sz w:val="36"/>
          <w:szCs w:val="36"/>
          <w:rtl/>
          <w:lang w:val="en-GB" w:eastAsia="en-US"/>
        </w:rPr>
        <w:t>–</w:t>
      </w:r>
      <w:r w:rsidRPr="00DB59CC">
        <w:rPr>
          <w:rFonts w:hint="cs"/>
          <w:sz w:val="36"/>
          <w:szCs w:val="36"/>
          <w:rtl/>
          <w:lang w:val="en-GB" w:eastAsia="en-US"/>
        </w:rPr>
        <w:t>الذي تنسب إليه الدولة العثمانية- (656هـ-726هـ).</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34"/>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 xml:space="preserve">وبقيت الدولة العثمانية كسلطة مستقلة عن الخلافة، إلى عهد السلطان سليم بن بايزيد (ت 926هـ)، حيث كانت الخلافة العباسية في عهده صوريّة بيد المماليك في مصر. إلى أن </w:t>
      </w:r>
      <w:r w:rsidRPr="00DB59CC">
        <w:rPr>
          <w:rFonts w:hint="cs"/>
          <w:spacing w:val="-4"/>
          <w:sz w:val="36"/>
          <w:szCs w:val="36"/>
          <w:rtl/>
          <w:lang w:val="en-GB" w:eastAsia="en-US"/>
        </w:rPr>
        <w:t>دخل السلطان سليم القاهرة، عام 923هـ، حيث أسقـط دولة المماليك، ثم تنازل له الخليفة العباسي المتوكل على الله محمد بن يعقوب (ت 950هـ)، فانتقلت الخلافة إلى العثمانيين.</w:t>
      </w:r>
      <w:r w:rsidRPr="00DB59CC">
        <w:rPr>
          <w:bCs/>
          <w:spacing w:val="-4"/>
          <w:sz w:val="36"/>
          <w:szCs w:val="32"/>
          <w:vertAlign w:val="superscript"/>
          <w:rtl/>
          <w:lang w:val="en-GB" w:eastAsia="en-US"/>
        </w:rPr>
        <w:t xml:space="preserve"> (</w:t>
      </w:r>
      <w:r w:rsidRPr="00DB59CC">
        <w:rPr>
          <w:bCs/>
          <w:spacing w:val="-4"/>
          <w:sz w:val="36"/>
          <w:szCs w:val="32"/>
          <w:vertAlign w:val="superscript"/>
          <w:rtl/>
          <w:lang w:val="en-GB" w:eastAsia="en-US"/>
        </w:rPr>
        <w:footnoteReference w:id="35"/>
      </w:r>
      <w:r w:rsidRPr="00DB59CC">
        <w:rPr>
          <w:bCs/>
          <w:spacing w:val="-4"/>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واستمرت الخلافة العثمانية إلى أن ألغيت عام 1341هـ</w:t>
      </w:r>
      <w:r w:rsidR="0048366D">
        <w:rPr>
          <w:rFonts w:hint="cs"/>
          <w:sz w:val="36"/>
          <w:szCs w:val="36"/>
          <w:rtl/>
          <w:lang w:val="en-GB" w:eastAsia="en-US"/>
        </w:rPr>
        <w:t>؛</w:t>
      </w:r>
      <w:r w:rsidRPr="00DB59CC">
        <w:rPr>
          <w:rFonts w:hint="cs"/>
          <w:sz w:val="36"/>
          <w:szCs w:val="36"/>
          <w:rtl/>
          <w:lang w:val="en-GB" w:eastAsia="en-US"/>
        </w:rPr>
        <w:t xml:space="preserve"> حيث عُزل الخليفة عبدالمجيد الثاني بن عبدالعزيز، ومن ثمّ أُعلن إلغاء الخلافة، وقيام الجمهورية التركية.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36"/>
      </w:r>
      <w:r w:rsidRPr="00DB59CC">
        <w:rPr>
          <w:bCs/>
          <w:sz w:val="36"/>
          <w:szCs w:val="32"/>
          <w:vertAlign w:val="superscript"/>
          <w:rtl/>
          <w:lang w:val="en-GB" w:eastAsia="en-US"/>
        </w:rPr>
        <w:t>)</w:t>
      </w:r>
    </w:p>
    <w:p w:rsidR="00DB59CC" w:rsidRPr="00DB59CC" w:rsidRDefault="00DB59CC" w:rsidP="009A68A5">
      <w:pPr>
        <w:widowControl/>
        <w:ind w:firstLine="567"/>
        <w:jc w:val="both"/>
        <w:rPr>
          <w:spacing w:val="-6"/>
          <w:sz w:val="36"/>
          <w:szCs w:val="36"/>
          <w:rtl/>
          <w:lang w:val="en-GB" w:eastAsia="en-US"/>
        </w:rPr>
      </w:pPr>
      <w:r w:rsidRPr="00DB59CC">
        <w:rPr>
          <w:rFonts w:hint="cs"/>
          <w:spacing w:val="-6"/>
          <w:sz w:val="36"/>
          <w:szCs w:val="36"/>
          <w:rtl/>
          <w:lang w:val="en-GB" w:eastAsia="en-US"/>
        </w:rPr>
        <w:t>وكان السلطان عبدالمجيد الثاني هو السلطان السابـع والثلاثين من سلاطين بني عثمان.</w:t>
      </w:r>
      <w:r w:rsidRPr="00DB59CC">
        <w:rPr>
          <w:bCs/>
          <w:spacing w:val="-6"/>
          <w:sz w:val="36"/>
          <w:szCs w:val="32"/>
          <w:vertAlign w:val="superscript"/>
          <w:rtl/>
          <w:lang w:val="en-GB" w:eastAsia="en-US"/>
        </w:rPr>
        <w:t xml:space="preserve"> (</w:t>
      </w:r>
      <w:r w:rsidRPr="00DB59CC">
        <w:rPr>
          <w:bCs/>
          <w:spacing w:val="-6"/>
          <w:sz w:val="36"/>
          <w:szCs w:val="32"/>
          <w:vertAlign w:val="superscript"/>
          <w:rtl/>
          <w:lang w:val="en-GB" w:eastAsia="en-US"/>
        </w:rPr>
        <w:footnoteReference w:id="37"/>
      </w:r>
      <w:r w:rsidRPr="00DB59CC">
        <w:rPr>
          <w:bCs/>
          <w:spacing w:val="-6"/>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lastRenderedPageBreak/>
        <w:t>وقد امتد حكمهم قرابة ستة قرون ونصف، ومرّ بعدّة مراحل، منها مرحلة الضعف التي امتدت من موت السلطان سليمان الأول (القانوني) (ت 974هـ)، إلى موت عثمان الثالث، عام 1171هـ.</w:t>
      </w:r>
      <w:r w:rsidRPr="00DB59CC">
        <w:rPr>
          <w:bCs/>
          <w:sz w:val="36"/>
          <w:szCs w:val="32"/>
          <w:vertAlign w:val="superscript"/>
          <w:rtl/>
          <w:lang w:val="en-GB" w:eastAsia="en-US"/>
        </w:rPr>
        <w:t>(</w:t>
      </w:r>
      <w:r w:rsidRPr="00DB59CC">
        <w:rPr>
          <w:bCs/>
          <w:sz w:val="36"/>
          <w:szCs w:val="32"/>
          <w:vertAlign w:val="superscript"/>
          <w:rtl/>
          <w:lang w:val="en-GB" w:eastAsia="en-US"/>
        </w:rPr>
        <w:footnoteReference w:id="38"/>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وهذا يعني أن القرن الحادي عشر - الذي عاش فيه المؤلف- بداية مرحلة الضعف.</w:t>
      </w:r>
      <w:r w:rsidRPr="00DB59CC">
        <w:rPr>
          <w:bCs/>
          <w:sz w:val="36"/>
          <w:szCs w:val="32"/>
          <w:vertAlign w:val="superscript"/>
          <w:rtl/>
          <w:lang w:val="en-GB" w:eastAsia="en-US"/>
        </w:rPr>
        <w:t xml:space="preserve"> </w:t>
      </w:r>
    </w:p>
    <w:p w:rsidR="00DB59CC" w:rsidRPr="00DB59CC" w:rsidRDefault="00DB59CC" w:rsidP="009A68A5">
      <w:pPr>
        <w:widowControl/>
        <w:spacing w:line="500" w:lineRule="exact"/>
        <w:ind w:firstLine="567"/>
        <w:jc w:val="both"/>
        <w:rPr>
          <w:spacing w:val="-8"/>
          <w:sz w:val="36"/>
          <w:szCs w:val="36"/>
          <w:rtl/>
          <w:lang w:val="en-GB" w:eastAsia="en-US"/>
        </w:rPr>
      </w:pPr>
      <w:r w:rsidRPr="00DB59CC">
        <w:rPr>
          <w:rFonts w:hint="cs"/>
          <w:spacing w:val="-8"/>
          <w:sz w:val="36"/>
          <w:szCs w:val="36"/>
          <w:rtl/>
          <w:lang w:val="en-GB" w:eastAsia="en-US"/>
        </w:rPr>
        <w:t>فهذا القرن وإن حافظت الدولة فيه على الاستمرار والتماسك</w:t>
      </w:r>
      <w:r w:rsidR="0048366D">
        <w:rPr>
          <w:rFonts w:hint="cs"/>
          <w:spacing w:val="-8"/>
          <w:sz w:val="36"/>
          <w:szCs w:val="36"/>
          <w:rtl/>
          <w:lang w:val="en-GB" w:eastAsia="en-US"/>
        </w:rPr>
        <w:t>؛</w:t>
      </w:r>
      <w:r w:rsidRPr="00DB59CC">
        <w:rPr>
          <w:rFonts w:hint="cs"/>
          <w:spacing w:val="-8"/>
          <w:sz w:val="36"/>
          <w:szCs w:val="36"/>
          <w:rtl/>
          <w:lang w:val="en-GB" w:eastAsia="en-US"/>
        </w:rPr>
        <w:t xml:space="preserve"> إلا أنه بدأ بالتدهور التنازلي، ولا سيما بعد النصف الأول منه، وبلغ ذروته في هذا القرن سنة 1098هـ</w:t>
      </w:r>
      <w:r w:rsidR="0048366D">
        <w:rPr>
          <w:rFonts w:hint="cs"/>
          <w:spacing w:val="-8"/>
          <w:sz w:val="36"/>
          <w:szCs w:val="36"/>
          <w:rtl/>
          <w:lang w:val="en-GB" w:eastAsia="en-US"/>
        </w:rPr>
        <w:t>؛</w:t>
      </w:r>
      <w:r w:rsidRPr="00DB59CC">
        <w:rPr>
          <w:rFonts w:hint="cs"/>
          <w:spacing w:val="-8"/>
          <w:sz w:val="36"/>
          <w:szCs w:val="36"/>
          <w:rtl/>
          <w:lang w:val="en-GB" w:eastAsia="en-US"/>
        </w:rPr>
        <w:t xml:space="preserve"> حيث هُزموا في موقعة (موهاكز) عند (فيينا)، التي ترتب عليها خسارة العثمانيين للمجر وترانسلفانيا.</w:t>
      </w:r>
      <w:r w:rsidRPr="00DB59CC">
        <w:rPr>
          <w:bCs/>
          <w:spacing w:val="-8"/>
          <w:sz w:val="36"/>
          <w:szCs w:val="32"/>
          <w:vertAlign w:val="superscript"/>
          <w:rtl/>
          <w:lang w:val="en-GB" w:eastAsia="en-US"/>
        </w:rPr>
        <w:t xml:space="preserve"> (</w:t>
      </w:r>
      <w:r w:rsidRPr="00DB59CC">
        <w:rPr>
          <w:bCs/>
          <w:spacing w:val="-8"/>
          <w:sz w:val="36"/>
          <w:szCs w:val="32"/>
          <w:vertAlign w:val="superscript"/>
          <w:rtl/>
          <w:lang w:val="en-GB" w:eastAsia="en-US"/>
        </w:rPr>
        <w:footnoteReference w:id="39"/>
      </w:r>
      <w:r w:rsidRPr="00DB59CC">
        <w:rPr>
          <w:bCs/>
          <w:spacing w:val="-8"/>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وقد تتابع على الحكم في هذا القرن ثمانية سلاطين، وبيانهم واستعراض أهم الأحداث في عصرهم على النحو الآتي</w:t>
      </w:r>
      <w:r w:rsidR="0048366D">
        <w:rPr>
          <w:rFonts w:hint="cs"/>
          <w:sz w:val="36"/>
          <w:szCs w:val="36"/>
          <w:rtl/>
          <w:lang w:val="en-GB" w:eastAsia="en-US"/>
        </w:rPr>
        <w:t>:</w:t>
      </w:r>
      <w:r w:rsidRPr="00DB59CC">
        <w:rPr>
          <w:rFonts w:hint="cs"/>
          <w:sz w:val="36"/>
          <w:szCs w:val="36"/>
          <w:rtl/>
          <w:lang w:val="en-GB" w:eastAsia="en-US"/>
        </w:rPr>
        <w:t xml:space="preserve"> </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1- السلطان مراد الثالث بن السلطان سليم الثاني (953هـ-1003هـ)</w:t>
      </w:r>
      <w:r w:rsidR="0048366D">
        <w:rPr>
          <w:rFonts w:hint="cs"/>
          <w:b/>
          <w:bCs/>
          <w:sz w:val="36"/>
          <w:szCs w:val="36"/>
          <w:rtl/>
          <w:lang w:val="en-GB" w:eastAsia="en-US"/>
        </w:rPr>
        <w:t>:</w:t>
      </w:r>
    </w:p>
    <w:p w:rsidR="00DB59CC" w:rsidRPr="00DB59CC" w:rsidRDefault="00DB59CC" w:rsidP="009A68A5">
      <w:pPr>
        <w:widowControl/>
        <w:spacing w:line="500" w:lineRule="exact"/>
        <w:ind w:firstLine="567"/>
        <w:jc w:val="both"/>
        <w:rPr>
          <w:sz w:val="36"/>
          <w:szCs w:val="36"/>
          <w:rtl/>
          <w:lang w:val="en-GB" w:eastAsia="en-US"/>
        </w:rPr>
      </w:pPr>
      <w:r w:rsidRPr="00DB59CC">
        <w:rPr>
          <w:rFonts w:hint="cs"/>
          <w:sz w:val="36"/>
          <w:szCs w:val="36"/>
          <w:rtl/>
          <w:lang w:val="en-GB" w:eastAsia="en-US"/>
        </w:rPr>
        <w:t>لقد تولى الحكم بعد وفاة أبيه، عام 982هـ.</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0"/>
      </w:r>
      <w:r w:rsidRPr="00DB59CC">
        <w:rPr>
          <w:bCs/>
          <w:sz w:val="36"/>
          <w:szCs w:val="32"/>
          <w:vertAlign w:val="superscript"/>
          <w:rtl/>
          <w:lang w:val="en-GB" w:eastAsia="en-US"/>
        </w:rPr>
        <w:t>)</w:t>
      </w:r>
    </w:p>
    <w:p w:rsidR="00DB59CC" w:rsidRPr="00DB59CC" w:rsidRDefault="00DB59CC" w:rsidP="009A68A5">
      <w:pPr>
        <w:widowControl/>
        <w:spacing w:line="500" w:lineRule="exact"/>
        <w:ind w:firstLine="567"/>
        <w:jc w:val="both"/>
        <w:rPr>
          <w:sz w:val="36"/>
          <w:szCs w:val="36"/>
          <w:rtl/>
          <w:lang w:val="en-GB" w:eastAsia="en-US"/>
        </w:rPr>
      </w:pPr>
      <w:r w:rsidRPr="00DB59CC">
        <w:rPr>
          <w:rFonts w:hint="cs"/>
          <w:sz w:val="36"/>
          <w:szCs w:val="36"/>
          <w:rtl/>
          <w:lang w:val="en-GB" w:eastAsia="en-US"/>
        </w:rPr>
        <w:t>ومما فعله</w:t>
      </w:r>
      <w:r w:rsidR="0048366D">
        <w:rPr>
          <w:rFonts w:hint="cs"/>
          <w:sz w:val="36"/>
          <w:szCs w:val="36"/>
          <w:rtl/>
          <w:lang w:val="en-GB" w:eastAsia="en-US"/>
        </w:rPr>
        <w:t>:</w:t>
      </w:r>
      <w:r w:rsidRPr="00DB59CC">
        <w:rPr>
          <w:rFonts w:hint="cs"/>
          <w:sz w:val="36"/>
          <w:szCs w:val="36"/>
          <w:rtl/>
          <w:lang w:val="en-GB" w:eastAsia="en-US"/>
        </w:rPr>
        <w:t xml:space="preserve"> أنه أمر بمنع الخمور، غير أنّ رجال جيش الانكشارية أجبروه على التراجع عن هذا القرار.</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1"/>
      </w:r>
      <w:r w:rsidRPr="00DB59CC">
        <w:rPr>
          <w:bCs/>
          <w:sz w:val="36"/>
          <w:szCs w:val="32"/>
          <w:vertAlign w:val="superscript"/>
          <w:rtl/>
          <w:lang w:val="en-GB" w:eastAsia="en-US"/>
        </w:rPr>
        <w:t>)</w:t>
      </w:r>
    </w:p>
    <w:p w:rsidR="00DB59CC" w:rsidRPr="00DB59CC" w:rsidRDefault="00DB59CC" w:rsidP="009A68A5">
      <w:pPr>
        <w:widowControl/>
        <w:spacing w:line="500" w:lineRule="exact"/>
        <w:ind w:firstLine="567"/>
        <w:jc w:val="both"/>
        <w:rPr>
          <w:sz w:val="36"/>
          <w:szCs w:val="36"/>
          <w:rtl/>
          <w:lang w:val="en-GB" w:eastAsia="en-US"/>
        </w:rPr>
      </w:pPr>
      <w:r w:rsidRPr="00DB59CC">
        <w:rPr>
          <w:rFonts w:hint="cs"/>
          <w:sz w:val="36"/>
          <w:szCs w:val="36"/>
          <w:rtl/>
          <w:lang w:val="en-GB" w:eastAsia="en-US"/>
        </w:rPr>
        <w:t>ومن الأحداث البارزة في عهده</w:t>
      </w:r>
      <w:r w:rsidR="0048366D">
        <w:rPr>
          <w:rFonts w:hint="cs"/>
          <w:sz w:val="36"/>
          <w:szCs w:val="36"/>
          <w:rtl/>
          <w:lang w:val="en-GB" w:eastAsia="en-US"/>
        </w:rPr>
        <w:t>:</w:t>
      </w:r>
    </w:p>
    <w:p w:rsidR="00DB59CC" w:rsidRPr="00DB59CC" w:rsidRDefault="00DB59CC" w:rsidP="007C7F13">
      <w:pPr>
        <w:widowControl/>
        <w:numPr>
          <w:ilvl w:val="0"/>
          <w:numId w:val="6"/>
        </w:numPr>
        <w:spacing w:line="500" w:lineRule="exact"/>
        <w:ind w:left="281"/>
        <w:jc w:val="both"/>
        <w:rPr>
          <w:sz w:val="36"/>
          <w:szCs w:val="36"/>
          <w:rtl/>
          <w:lang w:val="en-GB" w:eastAsia="en-US"/>
        </w:rPr>
      </w:pPr>
      <w:r w:rsidRPr="00DB59CC">
        <w:rPr>
          <w:rFonts w:hint="cs"/>
          <w:sz w:val="36"/>
          <w:szCs w:val="36"/>
          <w:rtl/>
          <w:lang w:val="en-GB" w:eastAsia="en-US"/>
        </w:rPr>
        <w:t>قيام ثورة في مراكش، عام 985هـ، بمؤازرة البرتغاليين، فتصدى لها وضمّها إلى نفوذه، أسوة بسائر دول إفريقيا الشمالية.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2"/>
      </w:r>
      <w:r w:rsidRPr="00DB59CC">
        <w:rPr>
          <w:bCs/>
          <w:sz w:val="36"/>
          <w:szCs w:val="32"/>
          <w:vertAlign w:val="superscript"/>
          <w:rtl/>
          <w:lang w:val="en-GB" w:eastAsia="en-US"/>
        </w:rPr>
        <w:t>)</w:t>
      </w:r>
    </w:p>
    <w:p w:rsidR="00DB59CC" w:rsidRPr="00DB59CC" w:rsidRDefault="00DB59CC" w:rsidP="007C7F13">
      <w:pPr>
        <w:widowControl/>
        <w:numPr>
          <w:ilvl w:val="0"/>
          <w:numId w:val="6"/>
        </w:numPr>
        <w:spacing w:line="500" w:lineRule="exact"/>
        <w:ind w:left="281"/>
        <w:jc w:val="both"/>
        <w:rPr>
          <w:sz w:val="36"/>
          <w:szCs w:val="36"/>
          <w:lang w:val="en-GB" w:eastAsia="en-US"/>
        </w:rPr>
      </w:pPr>
      <w:r w:rsidRPr="00DB59CC">
        <w:rPr>
          <w:rFonts w:hint="cs"/>
          <w:sz w:val="36"/>
          <w:szCs w:val="36"/>
          <w:rtl/>
          <w:lang w:val="en-GB" w:eastAsia="en-US"/>
        </w:rPr>
        <w:t>عقب وفاة سلطان الدولة الصفوية، وتنازع أبنائه من بعده، أرسل إليهم جيشًا تمكّن من دخول (تبريز) عاصمة الفرس، وأجروا صلحًا معه.</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3"/>
      </w:r>
      <w:r w:rsidRPr="00DB59CC">
        <w:rPr>
          <w:bCs/>
          <w:sz w:val="36"/>
          <w:szCs w:val="32"/>
          <w:vertAlign w:val="superscript"/>
          <w:rtl/>
          <w:lang w:val="en-GB" w:eastAsia="en-US"/>
        </w:rPr>
        <w:t>)</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lastRenderedPageBreak/>
        <w:t>بلغت الدولة العثمانية في عهده ذروة حدودها</w:t>
      </w:r>
      <w:r w:rsidR="0048366D">
        <w:rPr>
          <w:rFonts w:hint="cs"/>
          <w:sz w:val="36"/>
          <w:szCs w:val="36"/>
          <w:rtl/>
          <w:lang w:val="en-GB" w:eastAsia="en-US"/>
        </w:rPr>
        <w:t>؛</w:t>
      </w:r>
      <w:r w:rsidRPr="00DB59CC">
        <w:rPr>
          <w:rFonts w:hint="cs"/>
          <w:sz w:val="36"/>
          <w:szCs w:val="36"/>
          <w:rtl/>
          <w:lang w:val="en-GB" w:eastAsia="en-US"/>
        </w:rPr>
        <w:t xml:space="preserve"> حيث أصبحت مساحتها عند وفاته قرابة (20) مليون كيلومتر مربع. وعلى الرغم من اتساع الدولة إلا أنه بدأ الضعف فيها من الداخل، في السنة أو السنتين الأخيرتين من عهده.</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4"/>
      </w:r>
      <w:r w:rsidRPr="00DB59CC">
        <w:rPr>
          <w:bCs/>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2- السلطان محمد الثالث بن مراد الثالث (974هـ-1012هـ)</w:t>
      </w:r>
      <w:r w:rsidR="0048366D">
        <w:rPr>
          <w:rFonts w:hint="cs"/>
          <w:b/>
          <w:bCs/>
          <w:sz w:val="36"/>
          <w:szCs w:val="36"/>
          <w:rtl/>
          <w:lang w:val="en-GB" w:eastAsia="en-US"/>
        </w:rPr>
        <w:t>:</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تولى الحكم بعد وفاة أبيه، عام 1003هـ.</w:t>
      </w:r>
    </w:p>
    <w:p w:rsidR="00DB59CC" w:rsidRPr="00DB59CC" w:rsidRDefault="00DB59CC" w:rsidP="007C7F13">
      <w:pPr>
        <w:widowControl/>
        <w:numPr>
          <w:ilvl w:val="0"/>
          <w:numId w:val="6"/>
        </w:numPr>
        <w:ind w:left="423"/>
        <w:jc w:val="both"/>
        <w:rPr>
          <w:spacing w:val="-2"/>
          <w:sz w:val="36"/>
          <w:szCs w:val="36"/>
          <w:lang w:val="en-GB" w:eastAsia="en-US"/>
        </w:rPr>
      </w:pPr>
      <w:r w:rsidRPr="00DB59CC">
        <w:rPr>
          <w:rFonts w:hint="cs"/>
          <w:sz w:val="36"/>
          <w:szCs w:val="36"/>
          <w:rtl/>
          <w:lang w:val="en-GB" w:eastAsia="en-US"/>
        </w:rPr>
        <w:t xml:space="preserve"> ترك </w:t>
      </w:r>
      <w:r w:rsidRPr="00DB59CC">
        <w:rPr>
          <w:rFonts w:hint="cs"/>
          <w:spacing w:val="-2"/>
          <w:sz w:val="36"/>
          <w:szCs w:val="36"/>
          <w:rtl/>
          <w:lang w:val="en-GB" w:eastAsia="en-US"/>
        </w:rPr>
        <w:t>شؤون الدولة بيد الصدر الأعظم (أي رئيس الوزراء)، فكثرت المفاسد، وخسرت الدولة كثيرًا من حروبها مع الأوربيين، وفقدت بعض الأقاليم.</w:t>
      </w:r>
    </w:p>
    <w:p w:rsidR="00DB59CC" w:rsidRPr="00DB59CC" w:rsidRDefault="00DB59CC" w:rsidP="007C7F13">
      <w:pPr>
        <w:widowControl/>
        <w:numPr>
          <w:ilvl w:val="0"/>
          <w:numId w:val="6"/>
        </w:numPr>
        <w:ind w:left="423"/>
        <w:jc w:val="both"/>
        <w:rPr>
          <w:spacing w:val="-2"/>
          <w:sz w:val="36"/>
          <w:szCs w:val="36"/>
          <w:lang w:val="en-GB" w:eastAsia="en-US"/>
        </w:rPr>
      </w:pPr>
      <w:r w:rsidRPr="00DB59CC">
        <w:rPr>
          <w:rFonts w:hint="cs"/>
          <w:spacing w:val="-2"/>
          <w:sz w:val="36"/>
          <w:szCs w:val="36"/>
          <w:rtl/>
          <w:lang w:val="en-GB" w:eastAsia="en-US"/>
        </w:rPr>
        <w:t>تنبّه السلطان لحاجة الجيش إلى من يرفع معنوياتهم، فقاده بنفسه وهزم جيوش المجر، والنمسا، في موقعة (كرزت)، عام 1005هـ، ثم استمرت المعارك بين الطرفين سجالاً.</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حدثت في عهده ثورات داخلية في الأناضول واستانبول، وتمكن من إخمادها.</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5"/>
      </w:r>
      <w:r w:rsidRPr="00DB59CC">
        <w:rPr>
          <w:bCs/>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3- السلطان أحمد الأول بن محمد الثالث (998هـ-1026هـ)</w:t>
      </w:r>
      <w:r w:rsidR="0048366D">
        <w:rPr>
          <w:rFonts w:hint="cs"/>
          <w:b/>
          <w:bCs/>
          <w:sz w:val="36"/>
          <w:szCs w:val="36"/>
          <w:rtl/>
          <w:lang w:val="en-GB" w:eastAsia="en-US"/>
        </w:rPr>
        <w:t>:</w:t>
      </w:r>
    </w:p>
    <w:p w:rsidR="00DB59CC" w:rsidRPr="00DB59CC" w:rsidRDefault="00DB59CC" w:rsidP="007C7F13">
      <w:pPr>
        <w:widowControl/>
        <w:numPr>
          <w:ilvl w:val="0"/>
          <w:numId w:val="6"/>
        </w:numPr>
        <w:ind w:left="423" w:hanging="425"/>
        <w:jc w:val="both"/>
        <w:rPr>
          <w:sz w:val="36"/>
          <w:szCs w:val="36"/>
          <w:rtl/>
          <w:lang w:val="en-GB" w:eastAsia="en-US"/>
        </w:rPr>
      </w:pPr>
      <w:r w:rsidRPr="00DB59CC">
        <w:rPr>
          <w:rFonts w:hint="cs"/>
          <w:sz w:val="36"/>
          <w:szCs w:val="36"/>
          <w:rtl/>
          <w:lang w:val="en-GB" w:eastAsia="en-US"/>
        </w:rPr>
        <w:t>جلس للحكم بعد وفاة أبيه، عام 1012هـ، وعمره 14 سنة.</w:t>
      </w:r>
    </w:p>
    <w:p w:rsidR="00DB59CC" w:rsidRPr="00DB59CC" w:rsidRDefault="00DB59CC" w:rsidP="007C7F13">
      <w:pPr>
        <w:widowControl/>
        <w:numPr>
          <w:ilvl w:val="0"/>
          <w:numId w:val="6"/>
        </w:numPr>
        <w:ind w:left="423" w:hanging="425"/>
        <w:jc w:val="both"/>
        <w:rPr>
          <w:spacing w:val="-6"/>
          <w:sz w:val="36"/>
          <w:szCs w:val="36"/>
          <w:lang w:val="en-GB" w:eastAsia="en-US"/>
        </w:rPr>
      </w:pPr>
      <w:r w:rsidRPr="00DB59CC">
        <w:rPr>
          <w:rFonts w:hint="cs"/>
          <w:spacing w:val="-6"/>
          <w:sz w:val="36"/>
          <w:szCs w:val="36"/>
          <w:rtl/>
          <w:lang w:val="en-GB" w:eastAsia="en-US"/>
        </w:rPr>
        <w:t>قامت في عهده عدة تمرّدات، منها</w:t>
      </w:r>
      <w:r w:rsidR="0048366D">
        <w:rPr>
          <w:rFonts w:hint="cs"/>
          <w:spacing w:val="-6"/>
          <w:sz w:val="36"/>
          <w:szCs w:val="36"/>
          <w:rtl/>
          <w:lang w:val="en-GB" w:eastAsia="en-US"/>
        </w:rPr>
        <w:t>:</w:t>
      </w:r>
      <w:r w:rsidRPr="00DB59CC">
        <w:rPr>
          <w:rFonts w:hint="cs"/>
          <w:spacing w:val="-6"/>
          <w:sz w:val="36"/>
          <w:szCs w:val="36"/>
          <w:rtl/>
          <w:lang w:val="en-GB" w:eastAsia="en-US"/>
        </w:rPr>
        <w:t xml:space="preserve"> حركة جان بولاد الكردي في حلب، وحركة والي أنقرة، وحركة فخر الدين المعني الثاني الدرزي في جبل لبنان. وكان الأخير أخطرهم</w:t>
      </w:r>
      <w:r w:rsidR="0048366D">
        <w:rPr>
          <w:rFonts w:hint="cs"/>
          <w:spacing w:val="-6"/>
          <w:sz w:val="36"/>
          <w:szCs w:val="36"/>
          <w:rtl/>
          <w:lang w:val="en-GB" w:eastAsia="en-US"/>
        </w:rPr>
        <w:t>؛</w:t>
      </w:r>
      <w:r w:rsidRPr="00DB59CC">
        <w:rPr>
          <w:rFonts w:hint="cs"/>
          <w:spacing w:val="-6"/>
          <w:sz w:val="36"/>
          <w:szCs w:val="36"/>
          <w:rtl/>
          <w:lang w:val="en-GB" w:eastAsia="en-US"/>
        </w:rPr>
        <w:t xml:space="preserve"> حيث كوّن لنفسه جيشًا زاد على 40 ألف مقاتل، وحصل على دعم الطليان في إيطاليا، ثم أعلن العصيان عام 1022هـ في لبنان وفلسطين وأجزاء من سوريا، غير أنه هُزم، وفرّ إلى إيطاليا.</w:t>
      </w:r>
    </w:p>
    <w:p w:rsidR="00DB59CC" w:rsidRPr="00DB59CC" w:rsidRDefault="00DB59CC" w:rsidP="007C7F13">
      <w:pPr>
        <w:widowControl/>
        <w:numPr>
          <w:ilvl w:val="0"/>
          <w:numId w:val="6"/>
        </w:numPr>
        <w:ind w:left="281" w:right="142" w:hanging="283"/>
        <w:jc w:val="both"/>
        <w:rPr>
          <w:spacing w:val="-6"/>
          <w:sz w:val="36"/>
          <w:szCs w:val="36"/>
          <w:lang w:val="en-GB" w:eastAsia="en-US"/>
        </w:rPr>
      </w:pPr>
      <w:r w:rsidRPr="00DB59CC">
        <w:rPr>
          <w:rFonts w:hint="cs"/>
          <w:spacing w:val="-6"/>
          <w:sz w:val="36"/>
          <w:szCs w:val="36"/>
          <w:rtl/>
          <w:lang w:val="en-GB" w:eastAsia="en-US"/>
        </w:rPr>
        <w:t>هاجم ملكُ الصفويين الشاه عباس الدولةَ العثمانية، فاسترجع شمال العراق وتبريز، إلى أن أبرم الصلح مع العثمانيين، وفقدوا بموجبه كل ما ضمّه سليمان القانوني من الدولة الصفوية.</w:t>
      </w:r>
    </w:p>
    <w:p w:rsidR="00DB59CC" w:rsidRPr="00DB59CC" w:rsidRDefault="00DB59CC" w:rsidP="007C7F13">
      <w:pPr>
        <w:widowControl/>
        <w:numPr>
          <w:ilvl w:val="0"/>
          <w:numId w:val="6"/>
        </w:numPr>
        <w:ind w:left="281" w:right="142" w:hanging="283"/>
        <w:jc w:val="both"/>
        <w:rPr>
          <w:sz w:val="36"/>
          <w:szCs w:val="36"/>
          <w:lang w:val="en-GB" w:eastAsia="en-US"/>
        </w:rPr>
      </w:pPr>
      <w:r w:rsidRPr="00DB59CC">
        <w:rPr>
          <w:rFonts w:hint="cs"/>
          <w:sz w:val="36"/>
          <w:szCs w:val="36"/>
          <w:rtl/>
          <w:lang w:val="en-GB" w:eastAsia="en-US"/>
        </w:rPr>
        <w:lastRenderedPageBreak/>
        <w:t>عقدت الدولة صلحًا مع النمسا، عام 1015هـ، تخلّصت فيه النمسا من الجزية السنوية، على أن تدفع مبلغًا مقطوعًا، دفعة واحدة.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6"/>
      </w:r>
      <w:r w:rsidRPr="00DB59CC">
        <w:rPr>
          <w:bCs/>
          <w:sz w:val="36"/>
          <w:szCs w:val="32"/>
          <w:vertAlign w:val="superscript"/>
          <w:rtl/>
          <w:lang w:val="en-GB" w:eastAsia="en-US"/>
        </w:rPr>
        <w:t>)</w:t>
      </w:r>
    </w:p>
    <w:p w:rsidR="00DB59CC" w:rsidRPr="00DB59CC" w:rsidRDefault="00DB59CC" w:rsidP="007C7F13">
      <w:pPr>
        <w:widowControl/>
        <w:numPr>
          <w:ilvl w:val="0"/>
          <w:numId w:val="6"/>
        </w:numPr>
        <w:ind w:left="281" w:right="142" w:hanging="283"/>
        <w:jc w:val="both"/>
        <w:rPr>
          <w:sz w:val="36"/>
          <w:szCs w:val="36"/>
          <w:lang w:val="en-GB" w:eastAsia="en-US"/>
        </w:rPr>
      </w:pPr>
      <w:r w:rsidRPr="00DB59CC">
        <w:rPr>
          <w:rFonts w:hint="cs"/>
          <w:sz w:val="36"/>
          <w:szCs w:val="36"/>
          <w:rtl/>
          <w:lang w:val="en-GB" w:eastAsia="en-US"/>
        </w:rPr>
        <w:t>جرت حروب بين السفن العثمانية والإيطالية والإسبانية، وغالبًا ما كان النصر حليفًا للنصارى.</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7"/>
      </w:r>
      <w:r w:rsidRPr="00DB59CC">
        <w:rPr>
          <w:bCs/>
          <w:sz w:val="36"/>
          <w:szCs w:val="32"/>
          <w:vertAlign w:val="superscript"/>
          <w:rtl/>
          <w:lang w:val="en-GB" w:eastAsia="en-US"/>
        </w:rPr>
        <w:t>)</w:t>
      </w:r>
    </w:p>
    <w:p w:rsidR="00DB59CC" w:rsidRPr="00DB59CC" w:rsidRDefault="00DB59CC" w:rsidP="007C7F13">
      <w:pPr>
        <w:widowControl/>
        <w:numPr>
          <w:ilvl w:val="0"/>
          <w:numId w:val="6"/>
        </w:numPr>
        <w:ind w:left="281" w:right="142" w:hanging="283"/>
        <w:jc w:val="both"/>
        <w:rPr>
          <w:sz w:val="36"/>
          <w:szCs w:val="36"/>
          <w:lang w:val="en-GB" w:eastAsia="en-US"/>
        </w:rPr>
      </w:pPr>
      <w:r w:rsidRPr="00DB59CC">
        <w:rPr>
          <w:rFonts w:hint="cs"/>
          <w:sz w:val="36"/>
          <w:szCs w:val="36"/>
          <w:rtl/>
          <w:lang w:val="en-GB" w:eastAsia="en-US"/>
        </w:rPr>
        <w:t>من أعماله الباقية إلى الآن</w:t>
      </w:r>
      <w:r w:rsidR="0048366D">
        <w:rPr>
          <w:rFonts w:hint="cs"/>
          <w:sz w:val="36"/>
          <w:szCs w:val="36"/>
          <w:rtl/>
          <w:lang w:val="en-GB" w:eastAsia="en-US"/>
        </w:rPr>
        <w:t>:</w:t>
      </w:r>
      <w:r w:rsidRPr="00DB59CC">
        <w:rPr>
          <w:rFonts w:hint="cs"/>
          <w:sz w:val="36"/>
          <w:szCs w:val="36"/>
          <w:rtl/>
          <w:lang w:val="en-GB" w:eastAsia="en-US"/>
        </w:rPr>
        <w:t xml:space="preserve"> إنشاء مسجده الضخم، ذي المنارات الستة، وهو من أجمل جوامع استانبول وأشهرها.</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8"/>
      </w:r>
      <w:r w:rsidRPr="00DB59CC">
        <w:rPr>
          <w:bCs/>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4- السلطان مصطفى الأول بن محمد الثالث (1001هـ-1066هـ)</w:t>
      </w:r>
      <w:r w:rsidR="0048366D">
        <w:rPr>
          <w:rFonts w:hint="cs"/>
          <w:b/>
          <w:bCs/>
          <w:sz w:val="36"/>
          <w:szCs w:val="36"/>
          <w:rtl/>
          <w:lang w:val="en-GB" w:eastAsia="en-US"/>
        </w:rPr>
        <w:t>:</w:t>
      </w:r>
    </w:p>
    <w:p w:rsidR="00DB59CC" w:rsidRPr="00DB59CC" w:rsidRDefault="00DB59CC" w:rsidP="007C7F13">
      <w:pPr>
        <w:widowControl/>
        <w:numPr>
          <w:ilvl w:val="0"/>
          <w:numId w:val="6"/>
        </w:numPr>
        <w:ind w:left="281" w:hanging="283"/>
        <w:jc w:val="both"/>
        <w:rPr>
          <w:sz w:val="36"/>
          <w:szCs w:val="36"/>
          <w:rtl/>
          <w:lang w:val="en-GB" w:eastAsia="en-US"/>
        </w:rPr>
      </w:pPr>
      <w:r w:rsidRPr="00DB59CC">
        <w:rPr>
          <w:rFonts w:hint="cs"/>
          <w:sz w:val="36"/>
          <w:szCs w:val="36"/>
          <w:rtl/>
          <w:lang w:val="en-GB" w:eastAsia="en-US"/>
        </w:rPr>
        <w:t>تولى الحكم مرتين، الأولى منهما بعد وفاة أخيه السلطان أحمد، عام 1026هـ.</w:t>
      </w:r>
    </w:p>
    <w:p w:rsidR="00DB59CC" w:rsidRPr="00DB59CC" w:rsidRDefault="00DB59CC" w:rsidP="007C7F13">
      <w:pPr>
        <w:widowControl/>
        <w:numPr>
          <w:ilvl w:val="0"/>
          <w:numId w:val="6"/>
        </w:numPr>
        <w:ind w:left="281" w:hanging="283"/>
        <w:jc w:val="both"/>
        <w:rPr>
          <w:sz w:val="36"/>
          <w:szCs w:val="36"/>
          <w:lang w:val="en-GB" w:eastAsia="en-US"/>
        </w:rPr>
      </w:pPr>
      <w:r w:rsidRPr="00DB59CC">
        <w:rPr>
          <w:rFonts w:hint="cs"/>
          <w:sz w:val="36"/>
          <w:szCs w:val="36"/>
          <w:rtl/>
          <w:lang w:val="en-GB" w:eastAsia="en-US"/>
        </w:rPr>
        <w:t>كان السلطان أحمد قد عهد بالخلافة إليه</w:t>
      </w:r>
      <w:r w:rsidR="0048366D">
        <w:rPr>
          <w:rFonts w:hint="cs"/>
          <w:sz w:val="36"/>
          <w:szCs w:val="36"/>
          <w:rtl/>
          <w:lang w:val="en-GB" w:eastAsia="en-US"/>
        </w:rPr>
        <w:t>؛</w:t>
      </w:r>
      <w:r w:rsidRPr="00DB59CC">
        <w:rPr>
          <w:rFonts w:hint="cs"/>
          <w:sz w:val="36"/>
          <w:szCs w:val="36"/>
          <w:rtl/>
          <w:lang w:val="en-GB" w:eastAsia="en-US"/>
        </w:rPr>
        <w:t xml:space="preserve"> لكون ابنه عثمان صغيرًا، إلا أن السلطان أحمد كان قد حجر أخاه مصطفى في القصر</w:t>
      </w:r>
      <w:r w:rsidR="0048366D">
        <w:rPr>
          <w:rFonts w:hint="cs"/>
          <w:sz w:val="36"/>
          <w:szCs w:val="36"/>
          <w:rtl/>
          <w:lang w:val="en-GB" w:eastAsia="en-US"/>
        </w:rPr>
        <w:t>؛</w:t>
      </w:r>
      <w:r w:rsidRPr="00DB59CC">
        <w:rPr>
          <w:rFonts w:hint="cs"/>
          <w:sz w:val="36"/>
          <w:szCs w:val="36"/>
          <w:rtl/>
          <w:lang w:val="en-GB" w:eastAsia="en-US"/>
        </w:rPr>
        <w:t xml:space="preserve"> لهذا لم يكن صالحًا للحكم</w:t>
      </w:r>
      <w:r w:rsidR="0048366D">
        <w:rPr>
          <w:rFonts w:hint="cs"/>
          <w:sz w:val="36"/>
          <w:szCs w:val="36"/>
          <w:rtl/>
          <w:lang w:val="en-GB" w:eastAsia="en-US"/>
        </w:rPr>
        <w:t>؛</w:t>
      </w:r>
      <w:r w:rsidRPr="00DB59CC">
        <w:rPr>
          <w:rFonts w:hint="cs"/>
          <w:sz w:val="36"/>
          <w:szCs w:val="36"/>
          <w:rtl/>
          <w:lang w:val="en-GB" w:eastAsia="en-US"/>
        </w:rPr>
        <w:t xml:space="preserve"> إذ لم يلبث سوى ثلاثة أشهر حتى عُزل، ونُصّب ابن أخيه</w:t>
      </w:r>
      <w:r w:rsidR="0048366D">
        <w:rPr>
          <w:rFonts w:hint="cs"/>
          <w:sz w:val="36"/>
          <w:szCs w:val="36"/>
          <w:rtl/>
          <w:lang w:val="en-GB" w:eastAsia="en-US"/>
        </w:rPr>
        <w:t>:</w:t>
      </w:r>
      <w:r w:rsidRPr="00DB59CC">
        <w:rPr>
          <w:rFonts w:hint="cs"/>
          <w:sz w:val="36"/>
          <w:szCs w:val="36"/>
          <w:rtl/>
          <w:lang w:val="en-GB" w:eastAsia="en-US"/>
        </w:rPr>
        <w:t xml:space="preserve"> عثمان.</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49"/>
      </w:r>
      <w:r w:rsidRPr="00DB59CC">
        <w:rPr>
          <w:bCs/>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5- السلطان عثمان الثاني بن أحمد الأول (1013هـ-1031هـ )</w:t>
      </w:r>
      <w:r w:rsidR="0048366D">
        <w:rPr>
          <w:rFonts w:hint="cs"/>
          <w:b/>
          <w:bCs/>
          <w:sz w:val="36"/>
          <w:szCs w:val="36"/>
          <w:rtl/>
          <w:lang w:val="en-GB" w:eastAsia="en-US"/>
        </w:rPr>
        <w:t>:</w:t>
      </w:r>
    </w:p>
    <w:p w:rsidR="00DB59CC" w:rsidRPr="00DB59CC" w:rsidRDefault="00DB59CC" w:rsidP="007C7F13">
      <w:pPr>
        <w:widowControl/>
        <w:numPr>
          <w:ilvl w:val="0"/>
          <w:numId w:val="6"/>
        </w:numPr>
        <w:ind w:left="281" w:hanging="283"/>
        <w:jc w:val="both"/>
        <w:rPr>
          <w:sz w:val="36"/>
          <w:szCs w:val="36"/>
          <w:rtl/>
          <w:lang w:val="en-GB" w:eastAsia="en-US"/>
        </w:rPr>
      </w:pPr>
      <w:r w:rsidRPr="00DB59CC">
        <w:rPr>
          <w:rFonts w:hint="cs"/>
          <w:sz w:val="36"/>
          <w:szCs w:val="36"/>
          <w:rtl/>
          <w:lang w:val="en-GB" w:eastAsia="en-US"/>
        </w:rPr>
        <w:t>تولى الحكم بعد عزل عمه، عام 1027 هـ، وكـان صـغـيـرًا لا يـتجاوز</w:t>
      </w:r>
      <w:r w:rsidRPr="00DB59CC">
        <w:rPr>
          <w:sz w:val="36"/>
          <w:szCs w:val="36"/>
          <w:rtl/>
          <w:lang w:val="en-GB" w:eastAsia="en-US"/>
        </w:rPr>
        <w:br/>
      </w:r>
      <w:r w:rsidRPr="00DB59CC">
        <w:rPr>
          <w:rFonts w:hint="cs"/>
          <w:sz w:val="36"/>
          <w:szCs w:val="36"/>
          <w:rtl/>
          <w:lang w:val="en-GB" w:eastAsia="en-US"/>
        </w:rPr>
        <w:t xml:space="preserve"> 13 عامًا</w:t>
      </w:r>
      <w:r w:rsidRPr="00DB59CC">
        <w:rPr>
          <w:bCs/>
          <w:sz w:val="36"/>
          <w:szCs w:val="32"/>
          <w:vertAlign w:val="superscript"/>
          <w:rtl/>
          <w:lang w:val="en-GB" w:eastAsia="en-US"/>
        </w:rPr>
        <w:t>(</w:t>
      </w:r>
      <w:r w:rsidRPr="00DB59CC">
        <w:rPr>
          <w:bCs/>
          <w:sz w:val="36"/>
          <w:szCs w:val="32"/>
          <w:vertAlign w:val="superscript"/>
          <w:rtl/>
          <w:lang w:val="en-GB" w:eastAsia="en-US"/>
        </w:rPr>
        <w:footnoteReference w:id="50"/>
      </w:r>
      <w:r w:rsidRPr="00DB59CC">
        <w:rPr>
          <w:bCs/>
          <w:sz w:val="36"/>
          <w:szCs w:val="32"/>
          <w:vertAlign w:val="superscript"/>
          <w:rtl/>
          <w:lang w:val="en-GB" w:eastAsia="en-US"/>
        </w:rPr>
        <w:t>)</w:t>
      </w:r>
      <w:r w:rsidRPr="00DB59CC">
        <w:rPr>
          <w:rFonts w:hint="cs"/>
          <w:sz w:val="36"/>
          <w:szCs w:val="36"/>
          <w:rtl/>
          <w:lang w:val="en-GB" w:eastAsia="en-US"/>
        </w:rPr>
        <w:t>.</w:t>
      </w:r>
    </w:p>
    <w:p w:rsidR="00DB59CC" w:rsidRPr="00DB59CC" w:rsidRDefault="00DB59CC" w:rsidP="007C7F13">
      <w:pPr>
        <w:widowControl/>
        <w:numPr>
          <w:ilvl w:val="0"/>
          <w:numId w:val="6"/>
        </w:numPr>
        <w:ind w:left="281" w:hanging="283"/>
        <w:jc w:val="both"/>
        <w:rPr>
          <w:sz w:val="36"/>
          <w:szCs w:val="36"/>
          <w:lang w:val="en-GB" w:eastAsia="en-US"/>
        </w:rPr>
      </w:pPr>
      <w:r w:rsidRPr="00DB59CC">
        <w:rPr>
          <w:rFonts w:hint="cs"/>
          <w:sz w:val="36"/>
          <w:szCs w:val="36"/>
          <w:rtl/>
          <w:lang w:val="en-GB" w:eastAsia="en-US"/>
        </w:rPr>
        <w:t>أعلن الحرب على مملكة بولونيا الأوربية، لكنه اضطر إلى الصلح بطلب من بولونيا، ومن الانكشارية، وكان ذلك عام 1029هـ.</w:t>
      </w:r>
    </w:p>
    <w:p w:rsidR="00DB59CC" w:rsidRPr="00DB59CC" w:rsidRDefault="00DB59CC" w:rsidP="007C7F13">
      <w:pPr>
        <w:widowControl/>
        <w:numPr>
          <w:ilvl w:val="0"/>
          <w:numId w:val="6"/>
        </w:numPr>
        <w:ind w:left="281" w:hanging="283"/>
        <w:jc w:val="both"/>
        <w:rPr>
          <w:sz w:val="36"/>
          <w:szCs w:val="36"/>
          <w:lang w:val="en-GB" w:eastAsia="en-US"/>
        </w:rPr>
      </w:pPr>
      <w:r w:rsidRPr="00DB59CC">
        <w:rPr>
          <w:rFonts w:hint="cs"/>
          <w:sz w:val="36"/>
          <w:szCs w:val="36"/>
          <w:rtl/>
          <w:lang w:val="en-GB" w:eastAsia="en-US"/>
        </w:rPr>
        <w:lastRenderedPageBreak/>
        <w:t>عفى عن فخر الدين المعني الثاني - الذي كان فر إلى إيطاليا، كما سبق بيانه آنفًا-، وسمح له بالعودة إلى جبل لبنان. ولكن الغدر كان ملازمًا له</w:t>
      </w:r>
      <w:r w:rsidR="0048366D">
        <w:rPr>
          <w:rFonts w:hint="cs"/>
          <w:sz w:val="36"/>
          <w:szCs w:val="36"/>
          <w:rtl/>
          <w:lang w:val="en-GB" w:eastAsia="en-US"/>
        </w:rPr>
        <w:t>؛</w:t>
      </w:r>
      <w:r w:rsidRPr="00DB59CC">
        <w:rPr>
          <w:rFonts w:hint="cs"/>
          <w:sz w:val="36"/>
          <w:szCs w:val="36"/>
          <w:rtl/>
          <w:lang w:val="en-GB" w:eastAsia="en-US"/>
        </w:rPr>
        <w:t xml:space="preserve"> لهذا بدأ من جديد بالتقوّي من أجل التحرك والتمرد على الدولة.</w:t>
      </w:r>
    </w:p>
    <w:p w:rsidR="00DB59CC" w:rsidRPr="00DB59CC" w:rsidRDefault="00DB59CC" w:rsidP="007C7F13">
      <w:pPr>
        <w:widowControl/>
        <w:numPr>
          <w:ilvl w:val="0"/>
          <w:numId w:val="6"/>
        </w:numPr>
        <w:ind w:left="281" w:hanging="283"/>
        <w:jc w:val="both"/>
        <w:rPr>
          <w:b/>
          <w:bCs/>
          <w:sz w:val="36"/>
          <w:szCs w:val="36"/>
          <w:lang w:val="en-GB" w:eastAsia="en-US"/>
        </w:rPr>
      </w:pPr>
      <w:r w:rsidRPr="00DB59CC">
        <w:rPr>
          <w:rFonts w:hint="cs"/>
          <w:sz w:val="36"/>
          <w:szCs w:val="36"/>
          <w:rtl/>
          <w:lang w:val="en-GB" w:eastAsia="en-US"/>
        </w:rPr>
        <w:t xml:space="preserve">كان قد درّب جيشًا خاصًّا ليستبدلهم بالانكشارية، لكنهم سبقوه، وتمكنوا من عزله، ومن ثمّ قتله، </w:t>
      </w:r>
      <w:r w:rsidRPr="00DB59CC">
        <w:rPr>
          <w:rFonts w:hint="cs"/>
          <w:b/>
          <w:bCs/>
          <w:sz w:val="36"/>
          <w:szCs w:val="36"/>
          <w:rtl/>
          <w:lang w:val="en-GB" w:eastAsia="en-US"/>
        </w:rPr>
        <w:t>وتولية عمه مصطفى الأول الحكم ثانية.</w:t>
      </w:r>
    </w:p>
    <w:p w:rsidR="00DB59CC" w:rsidRPr="00DB59CC" w:rsidRDefault="00DB59CC" w:rsidP="007C7F13">
      <w:pPr>
        <w:widowControl/>
        <w:numPr>
          <w:ilvl w:val="0"/>
          <w:numId w:val="6"/>
        </w:numPr>
        <w:ind w:left="281" w:hanging="283"/>
        <w:jc w:val="both"/>
        <w:rPr>
          <w:sz w:val="36"/>
          <w:szCs w:val="36"/>
          <w:lang w:val="en-GB" w:eastAsia="en-US"/>
        </w:rPr>
      </w:pPr>
      <w:r w:rsidRPr="00DB59CC">
        <w:rPr>
          <w:rFonts w:hint="cs"/>
          <w:spacing w:val="10"/>
          <w:sz w:val="36"/>
          <w:szCs w:val="36"/>
          <w:rtl/>
          <w:lang w:val="en-GB" w:eastAsia="en-US"/>
        </w:rPr>
        <w:t xml:space="preserve">عندما انتشر خبر قتله كثرت التمردات الداخلية، واستقلّت بعض الأقاليم </w:t>
      </w:r>
      <w:r w:rsidRPr="00DB59CC">
        <w:rPr>
          <w:rFonts w:hint="cs"/>
          <w:sz w:val="36"/>
          <w:szCs w:val="36"/>
          <w:rtl/>
          <w:lang w:val="en-GB" w:eastAsia="en-US"/>
        </w:rPr>
        <w:t>بالحكم.</w:t>
      </w:r>
    </w:p>
    <w:p w:rsidR="00DB59CC" w:rsidRPr="00DB59CC" w:rsidRDefault="00DB59CC" w:rsidP="007C7F13">
      <w:pPr>
        <w:widowControl/>
        <w:numPr>
          <w:ilvl w:val="0"/>
          <w:numId w:val="6"/>
        </w:numPr>
        <w:ind w:left="281" w:hanging="283"/>
        <w:jc w:val="both"/>
        <w:rPr>
          <w:sz w:val="36"/>
          <w:szCs w:val="36"/>
          <w:lang w:val="en-GB" w:eastAsia="en-US"/>
        </w:rPr>
      </w:pPr>
      <w:r w:rsidRPr="00DB59CC">
        <w:rPr>
          <w:rFonts w:hint="cs"/>
          <w:sz w:val="36"/>
          <w:szCs w:val="36"/>
          <w:rtl/>
          <w:lang w:val="en-GB" w:eastAsia="en-US"/>
        </w:rPr>
        <w:t>بعد أن أمضى السلطان مصطفى في حكمه الثاني ثمانية عشر شهرًا عزله الانكشارية وأقاموا مكانه ابن أخيه</w:t>
      </w:r>
      <w:r w:rsidR="0048366D">
        <w:rPr>
          <w:rFonts w:hint="cs"/>
          <w:sz w:val="36"/>
          <w:szCs w:val="36"/>
          <w:rtl/>
          <w:lang w:val="en-GB" w:eastAsia="en-US"/>
        </w:rPr>
        <w:t>:</w:t>
      </w:r>
      <w:r w:rsidRPr="00DB59CC">
        <w:rPr>
          <w:rFonts w:hint="cs"/>
          <w:sz w:val="36"/>
          <w:szCs w:val="36"/>
          <w:rtl/>
          <w:lang w:val="en-GB" w:eastAsia="en-US"/>
        </w:rPr>
        <w:t xml:space="preserve"> مراد الرابع.</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51"/>
      </w:r>
      <w:r w:rsidRPr="00DB59CC">
        <w:rPr>
          <w:bCs/>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6- السلطان مراد الرابع بن أحمد الأول (1018هـ-1049هـ)</w:t>
      </w:r>
      <w:r w:rsidR="0048366D">
        <w:rPr>
          <w:rFonts w:hint="cs"/>
          <w:b/>
          <w:bCs/>
          <w:sz w:val="36"/>
          <w:szCs w:val="36"/>
          <w:rtl/>
          <w:lang w:val="en-GB" w:eastAsia="en-US"/>
        </w:rPr>
        <w:t>:</w:t>
      </w:r>
    </w:p>
    <w:p w:rsidR="00DB59CC" w:rsidRPr="00DB59CC" w:rsidRDefault="00DB59CC" w:rsidP="007C7F13">
      <w:pPr>
        <w:widowControl/>
        <w:numPr>
          <w:ilvl w:val="0"/>
          <w:numId w:val="6"/>
        </w:numPr>
        <w:ind w:left="281" w:hanging="283"/>
        <w:jc w:val="both"/>
        <w:rPr>
          <w:spacing w:val="12"/>
          <w:sz w:val="36"/>
          <w:szCs w:val="36"/>
          <w:rtl/>
          <w:lang w:val="en-GB" w:eastAsia="en-US"/>
        </w:rPr>
      </w:pPr>
      <w:r w:rsidRPr="00DB59CC">
        <w:rPr>
          <w:rFonts w:hint="cs"/>
          <w:sz w:val="36"/>
          <w:szCs w:val="36"/>
          <w:rtl/>
          <w:lang w:val="en-GB" w:eastAsia="en-US"/>
        </w:rPr>
        <w:t xml:space="preserve">تولى الحكم عام 1032هـ، وهو لا يتجاوز الرابعة </w:t>
      </w:r>
      <w:r w:rsidRPr="00DB59CC">
        <w:rPr>
          <w:rFonts w:hint="cs"/>
          <w:spacing w:val="12"/>
          <w:sz w:val="36"/>
          <w:szCs w:val="36"/>
          <w:rtl/>
          <w:lang w:val="en-GB" w:eastAsia="en-US"/>
        </w:rPr>
        <w:t>عشر</w:t>
      </w:r>
      <w:r w:rsidR="0048366D">
        <w:rPr>
          <w:rFonts w:hint="cs"/>
          <w:spacing w:val="12"/>
          <w:sz w:val="36"/>
          <w:szCs w:val="36"/>
          <w:rtl/>
          <w:lang w:val="en-GB" w:eastAsia="en-US"/>
        </w:rPr>
        <w:t>؛</w:t>
      </w:r>
      <w:r w:rsidRPr="00DB59CC">
        <w:rPr>
          <w:rFonts w:hint="cs"/>
          <w:spacing w:val="12"/>
          <w:sz w:val="36"/>
          <w:szCs w:val="36"/>
          <w:rtl/>
          <w:lang w:val="en-GB" w:eastAsia="en-US"/>
        </w:rPr>
        <w:t xml:space="preserve"> لهذا سيطر عليه الانكشارية في البداية.</w:t>
      </w:r>
    </w:p>
    <w:p w:rsidR="00DB59CC" w:rsidRPr="00DB59CC" w:rsidRDefault="00DB59CC" w:rsidP="007C7F13">
      <w:pPr>
        <w:widowControl/>
        <w:numPr>
          <w:ilvl w:val="0"/>
          <w:numId w:val="6"/>
        </w:numPr>
        <w:ind w:left="281" w:hanging="283"/>
        <w:jc w:val="both"/>
        <w:rPr>
          <w:sz w:val="36"/>
          <w:szCs w:val="36"/>
          <w:lang w:val="en-GB" w:eastAsia="en-US"/>
        </w:rPr>
      </w:pPr>
      <w:r w:rsidRPr="00DB59CC">
        <w:rPr>
          <w:rFonts w:hint="cs"/>
          <w:sz w:val="36"/>
          <w:szCs w:val="36"/>
          <w:rtl/>
          <w:lang w:val="en-GB" w:eastAsia="en-US"/>
        </w:rPr>
        <w:t>ثار عليه قائد شرطة بغداد (بكير آغا)، فقتل الوالي ونصّب نفسه مكانه، فـأرسل له السلطان قوة حاصرت بغداد، فاتصل (بكير) بالشاه عباس حاكم الصفويين، وعرض عليه تسليمه بغداد، وفي الوقت نفسه اتصل بالقائد العثماني وعرض عليه تسليم المدينة، إلى أن انتهى الأمر بدخول الشاه بغداد، وقتله لبكير آغا وابنه معًا.</w:t>
      </w:r>
    </w:p>
    <w:p w:rsidR="00DB59CC" w:rsidRPr="00DB59CC" w:rsidRDefault="00DB59CC" w:rsidP="007C7F13">
      <w:pPr>
        <w:widowControl/>
        <w:numPr>
          <w:ilvl w:val="0"/>
          <w:numId w:val="6"/>
        </w:numPr>
        <w:ind w:left="281" w:hanging="283"/>
        <w:jc w:val="both"/>
        <w:rPr>
          <w:sz w:val="36"/>
          <w:szCs w:val="36"/>
          <w:lang w:val="en-GB" w:eastAsia="en-US"/>
        </w:rPr>
      </w:pPr>
      <w:r w:rsidRPr="00DB59CC">
        <w:rPr>
          <w:rFonts w:hint="cs"/>
          <w:sz w:val="36"/>
          <w:szCs w:val="36"/>
          <w:rtl/>
          <w:lang w:val="en-GB" w:eastAsia="en-US"/>
        </w:rPr>
        <w:t>ثار فخر الدين المعني الثاني في جبل لبنان، فتصدى لـه والي دمشق، وانتصر عليه، فأسره وولديه وأرسلهم إلى استانبول، فأكرمهم الخليفة. وهذا الإكرام شجع (قرقماز) (حفيد فخر الدين المعني) على التحرك</w:t>
      </w:r>
      <w:r w:rsidR="0048366D">
        <w:rPr>
          <w:rFonts w:hint="cs"/>
          <w:sz w:val="36"/>
          <w:szCs w:val="36"/>
          <w:rtl/>
          <w:lang w:val="en-GB" w:eastAsia="en-US"/>
        </w:rPr>
        <w:t>؛</w:t>
      </w:r>
      <w:r w:rsidRPr="00DB59CC">
        <w:rPr>
          <w:rFonts w:hint="cs"/>
          <w:sz w:val="36"/>
          <w:szCs w:val="36"/>
          <w:rtl/>
          <w:lang w:val="en-GB" w:eastAsia="en-US"/>
        </w:rPr>
        <w:t xml:space="preserve"> لهذا أعاد الخليفة النظر في فخر الدين فقتله وابنه الكبير، عام 1044هـ، وأرسل إلى (قرقماز) من أخضعه.</w:t>
      </w:r>
    </w:p>
    <w:p w:rsidR="00DB59CC" w:rsidRPr="00DB59CC" w:rsidRDefault="00DB59CC" w:rsidP="007C7F13">
      <w:pPr>
        <w:widowControl/>
        <w:numPr>
          <w:ilvl w:val="0"/>
          <w:numId w:val="6"/>
        </w:numPr>
        <w:spacing w:line="264" w:lineRule="auto"/>
        <w:ind w:left="284" w:hanging="284"/>
        <w:jc w:val="both"/>
        <w:rPr>
          <w:sz w:val="36"/>
          <w:szCs w:val="36"/>
          <w:lang w:val="en-GB" w:eastAsia="en-US"/>
        </w:rPr>
      </w:pPr>
      <w:r w:rsidRPr="00DB59CC">
        <w:rPr>
          <w:rFonts w:hint="cs"/>
          <w:sz w:val="36"/>
          <w:szCs w:val="36"/>
          <w:rtl/>
          <w:lang w:val="en-GB" w:eastAsia="en-US"/>
        </w:rPr>
        <w:t>بعد وفاة الشاه عباس، عام 1038هـ، استغلّ السلطان مراد الفرصة، ومما فعله</w:t>
      </w:r>
      <w:r w:rsidR="0048366D">
        <w:rPr>
          <w:rFonts w:hint="cs"/>
          <w:sz w:val="36"/>
          <w:szCs w:val="36"/>
          <w:rtl/>
          <w:lang w:val="en-GB" w:eastAsia="en-US"/>
        </w:rPr>
        <w:t>:</w:t>
      </w:r>
      <w:r w:rsidRPr="00DB59CC">
        <w:rPr>
          <w:rFonts w:hint="cs"/>
          <w:sz w:val="36"/>
          <w:szCs w:val="36"/>
          <w:rtl/>
          <w:lang w:val="en-GB" w:eastAsia="en-US"/>
        </w:rPr>
        <w:t xml:space="preserve"> أنه سار بنفسه إلى الصفويين، وفتح بعـض القلاع، ودخل (تـبريـز) عـنوة، عام 1045هـ، وعاد إلى استانبول. </w:t>
      </w:r>
      <w:r w:rsidRPr="00DB59CC">
        <w:rPr>
          <w:rFonts w:hint="cs"/>
          <w:sz w:val="36"/>
          <w:szCs w:val="36"/>
          <w:rtl/>
          <w:lang w:val="en-GB" w:eastAsia="en-US"/>
        </w:rPr>
        <w:lastRenderedPageBreak/>
        <w:t>ثم قويت شوكة الصفويين واسترجعوا بعض القلاع؛ فرجع الخليفة على رأس جيشه، وتمكن من دخول بغداد، عام 1048هـ، وتم الصلح بين الدولتين، عام 1049هـ. وتوفي مراد الـرابع فـي هذا العام وعمره 31 سنة.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52"/>
      </w:r>
      <w:r w:rsidRPr="00DB59CC">
        <w:rPr>
          <w:bCs/>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7- السلطان إبراهيم الأول بن أحمد الأول (1024هـ-1058هـ)</w:t>
      </w:r>
      <w:r w:rsidR="0048366D">
        <w:rPr>
          <w:rFonts w:hint="cs"/>
          <w:b/>
          <w:bCs/>
          <w:sz w:val="36"/>
          <w:szCs w:val="36"/>
          <w:rtl/>
          <w:lang w:val="en-GB" w:eastAsia="en-US"/>
        </w:rPr>
        <w:t>:</w:t>
      </w:r>
    </w:p>
    <w:p w:rsidR="00DB59CC" w:rsidRPr="00DB59CC" w:rsidRDefault="00DB59CC" w:rsidP="007C7F13">
      <w:pPr>
        <w:widowControl/>
        <w:numPr>
          <w:ilvl w:val="0"/>
          <w:numId w:val="6"/>
        </w:numPr>
        <w:ind w:left="423"/>
        <w:jc w:val="both"/>
        <w:rPr>
          <w:sz w:val="36"/>
          <w:szCs w:val="36"/>
          <w:rtl/>
          <w:lang w:val="en-GB" w:eastAsia="en-US"/>
        </w:rPr>
      </w:pPr>
      <w:r w:rsidRPr="00DB59CC">
        <w:rPr>
          <w:rFonts w:hint="cs"/>
          <w:sz w:val="36"/>
          <w:szCs w:val="36"/>
          <w:rtl/>
          <w:lang w:val="en-GB" w:eastAsia="en-US"/>
        </w:rPr>
        <w:t>تولى الحكم، عام 1049هـ، خلفًا لأخيه.</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احتل القازاق مدينة (آزاق)، وتمكن جيش الس</w:t>
      </w:r>
      <w:r w:rsidRPr="00DB59CC">
        <w:rPr>
          <w:rFonts w:hint="cs"/>
          <w:sz w:val="36"/>
          <w:szCs w:val="36"/>
          <w:rtl/>
          <w:lang w:val="en-GB" w:eastAsia="en-US" w:bidi="ar-AE"/>
        </w:rPr>
        <w:t>ـ</w:t>
      </w:r>
      <w:r w:rsidRPr="00DB59CC">
        <w:rPr>
          <w:rFonts w:hint="cs"/>
          <w:sz w:val="36"/>
          <w:szCs w:val="36"/>
          <w:rtl/>
          <w:lang w:val="en-GB" w:eastAsia="en-US"/>
        </w:rPr>
        <w:t xml:space="preserve">لطـان إبراهيم من اسـترجاعها </w:t>
      </w:r>
      <w:r w:rsidRPr="00DB59CC">
        <w:rPr>
          <w:sz w:val="36"/>
          <w:szCs w:val="36"/>
          <w:rtl/>
          <w:lang w:val="en-GB" w:eastAsia="en-US"/>
        </w:rPr>
        <w:br/>
      </w:r>
      <w:r w:rsidRPr="00DB59CC">
        <w:rPr>
          <w:rFonts w:hint="cs"/>
          <w:sz w:val="36"/>
          <w:szCs w:val="36"/>
          <w:rtl/>
          <w:lang w:val="en-GB" w:eastAsia="en-US"/>
        </w:rPr>
        <w:t>عام 1052هـ.</w:t>
      </w:r>
    </w:p>
    <w:p w:rsidR="00DB59CC" w:rsidRPr="00DB59CC" w:rsidRDefault="00DB59CC" w:rsidP="007C7F13">
      <w:pPr>
        <w:widowControl/>
        <w:numPr>
          <w:ilvl w:val="0"/>
          <w:numId w:val="6"/>
        </w:numPr>
        <w:ind w:left="423" w:hanging="358"/>
        <w:jc w:val="both"/>
        <w:rPr>
          <w:sz w:val="36"/>
          <w:szCs w:val="36"/>
          <w:lang w:val="en-GB" w:eastAsia="en-US"/>
        </w:rPr>
      </w:pPr>
      <w:r w:rsidRPr="00DB59CC">
        <w:rPr>
          <w:rFonts w:hint="cs"/>
          <w:sz w:val="36"/>
          <w:szCs w:val="36"/>
          <w:rtl/>
          <w:lang w:val="en-GB" w:eastAsia="en-US"/>
        </w:rPr>
        <w:t>فتح جزيرة (كريت)، عام 1055هـ. وكانت تتبع البندقية</w:t>
      </w:r>
      <w:r w:rsidR="0048366D">
        <w:rPr>
          <w:rFonts w:hint="cs"/>
          <w:sz w:val="36"/>
          <w:szCs w:val="36"/>
          <w:rtl/>
          <w:lang w:val="en-GB" w:eastAsia="en-US"/>
        </w:rPr>
        <w:t>؛</w:t>
      </w:r>
      <w:r w:rsidRPr="00DB59CC">
        <w:rPr>
          <w:rFonts w:hint="cs"/>
          <w:sz w:val="36"/>
          <w:szCs w:val="36"/>
          <w:rtl/>
          <w:lang w:val="en-GB" w:eastAsia="en-US"/>
        </w:rPr>
        <w:t xml:space="preserve"> فأحرق البنادقة عددًا من مرافئ المسلمين، وأراد الخليفة الرد على ذلك بقتل النصارى فمنعه المفتي من ذلك. </w:t>
      </w:r>
    </w:p>
    <w:p w:rsidR="00DB59CC" w:rsidRPr="00DB59CC" w:rsidRDefault="00DB59CC" w:rsidP="007C7F13">
      <w:pPr>
        <w:widowControl/>
        <w:numPr>
          <w:ilvl w:val="0"/>
          <w:numId w:val="6"/>
        </w:numPr>
        <w:ind w:left="423" w:hanging="358"/>
        <w:jc w:val="both"/>
        <w:rPr>
          <w:sz w:val="36"/>
          <w:szCs w:val="36"/>
          <w:lang w:val="en-GB" w:eastAsia="en-US"/>
        </w:rPr>
      </w:pPr>
      <w:r w:rsidRPr="00DB59CC">
        <w:rPr>
          <w:rFonts w:hint="cs"/>
          <w:sz w:val="36"/>
          <w:szCs w:val="36"/>
          <w:rtl/>
          <w:lang w:val="en-GB" w:eastAsia="en-US"/>
        </w:rPr>
        <w:t xml:space="preserve">كانت الانشكارية تعارضه، فأراد الفتك برؤوسهم، وعلموا بذلك، فعزلوه، ثم </w:t>
      </w:r>
      <w:r w:rsidRPr="00DB59CC">
        <w:rPr>
          <w:sz w:val="36"/>
          <w:szCs w:val="36"/>
          <w:rtl/>
          <w:lang w:val="en-GB" w:eastAsia="en-US"/>
        </w:rPr>
        <w:br/>
      </w:r>
      <w:r w:rsidRPr="00DB59CC">
        <w:rPr>
          <w:rFonts w:hint="cs"/>
          <w:sz w:val="36"/>
          <w:szCs w:val="36"/>
          <w:rtl/>
          <w:lang w:val="en-GB" w:eastAsia="en-US"/>
        </w:rPr>
        <w:t>قتلوه.</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53"/>
      </w:r>
      <w:r w:rsidRPr="00DB59CC">
        <w:rPr>
          <w:bCs/>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8- السلطان محمد الرابع بن إبراهيم الأول (1051هـ-1104هـ)</w:t>
      </w:r>
      <w:r w:rsidR="0048366D">
        <w:rPr>
          <w:rFonts w:hint="cs"/>
          <w:b/>
          <w:bCs/>
          <w:sz w:val="36"/>
          <w:szCs w:val="36"/>
          <w:rtl/>
          <w:lang w:val="en-GB" w:eastAsia="en-US"/>
        </w:rPr>
        <w:t>:</w:t>
      </w:r>
    </w:p>
    <w:p w:rsidR="00DB59CC" w:rsidRPr="00DB59CC" w:rsidRDefault="00DB59CC" w:rsidP="007C7F13">
      <w:pPr>
        <w:widowControl/>
        <w:numPr>
          <w:ilvl w:val="0"/>
          <w:numId w:val="6"/>
        </w:numPr>
        <w:ind w:left="423"/>
        <w:jc w:val="both"/>
        <w:rPr>
          <w:sz w:val="36"/>
          <w:szCs w:val="36"/>
          <w:rtl/>
          <w:lang w:val="en-GB" w:eastAsia="en-US"/>
        </w:rPr>
      </w:pPr>
      <w:r w:rsidRPr="00DB59CC">
        <w:rPr>
          <w:rFonts w:hint="cs"/>
          <w:sz w:val="36"/>
          <w:szCs w:val="36"/>
          <w:rtl/>
          <w:lang w:val="en-GB" w:eastAsia="en-US"/>
        </w:rPr>
        <w:t>تولى الحكم بعد أبيه، عام 1058هـ، وكان عمره لا يتجاوز سبع سنوات.</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كانت جدته (بيكر) تتدخل في شؤون الحكم، إلى أن قتلها العسكر، عام 1061هـ.</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لصغر سن السلطان عمّت الفوضى، وكثرت القلاقل والثورات الداخلية والحروب الخارجية</w:t>
      </w:r>
      <w:r w:rsidR="0048366D">
        <w:rPr>
          <w:rFonts w:hint="cs"/>
          <w:sz w:val="36"/>
          <w:szCs w:val="36"/>
          <w:rtl/>
          <w:lang w:val="en-GB" w:eastAsia="en-US"/>
        </w:rPr>
        <w:t>،</w:t>
      </w:r>
      <w:r w:rsidRPr="00DB59CC">
        <w:rPr>
          <w:rFonts w:hint="cs"/>
          <w:sz w:val="36"/>
          <w:szCs w:val="36"/>
          <w:rtl/>
          <w:lang w:val="en-GB" w:eastAsia="en-US"/>
        </w:rPr>
        <w:t xml:space="preserve"> إلى أن تولى الصدارة العظمى الوزيـر مـحمد باشـا كوبـريـلي، سنة</w:t>
      </w:r>
      <w:r w:rsidRPr="00DB59CC">
        <w:rPr>
          <w:rFonts w:hint="eastAsia"/>
          <w:sz w:val="36"/>
          <w:szCs w:val="36"/>
          <w:rtl/>
          <w:lang w:val="en-GB" w:eastAsia="en-US"/>
        </w:rPr>
        <w:t> </w:t>
      </w:r>
      <w:r w:rsidRPr="00DB59CC">
        <w:rPr>
          <w:rFonts w:hint="cs"/>
          <w:sz w:val="36"/>
          <w:szCs w:val="36"/>
          <w:rtl/>
          <w:lang w:val="en-GB" w:eastAsia="en-US"/>
        </w:rPr>
        <w:t xml:space="preserve">1067هـ؛ حيث بدأ أولاً بإصلاح الأوضاع الداخلية والاقتصادية، ثم تصدى للتحديات الخارجية، وأعاد للدولة هيبتها، وكانت جهوده مركزة على حرب </w:t>
      </w:r>
      <w:r w:rsidRPr="00DB59CC">
        <w:rPr>
          <w:sz w:val="36"/>
          <w:szCs w:val="36"/>
          <w:rtl/>
          <w:lang w:val="en-GB" w:eastAsia="en-US"/>
        </w:rPr>
        <w:br/>
      </w:r>
      <w:r w:rsidRPr="00DB59CC">
        <w:rPr>
          <w:rFonts w:hint="cs"/>
          <w:sz w:val="36"/>
          <w:szCs w:val="36"/>
          <w:rtl/>
          <w:lang w:val="en-GB" w:eastAsia="en-US"/>
        </w:rPr>
        <w:t>النصارى.</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توفي محمد باشا، عام 1072هـ، وخلفه في الصدارة ابنه أحمد. وكان كأبيه في القوة والوقوف في وجه الأطماع الأوربية.</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lastRenderedPageBreak/>
        <w:t>توفي الصدر الأعظم أحمد، وخلفه في الصدارة صهره قره مصطفى. وكان صاحب هوى ومصالح</w:t>
      </w:r>
      <w:r w:rsidR="0048366D">
        <w:rPr>
          <w:rFonts w:hint="cs"/>
          <w:sz w:val="36"/>
          <w:szCs w:val="36"/>
          <w:rtl/>
          <w:lang w:val="en-GB" w:eastAsia="en-US"/>
        </w:rPr>
        <w:t>؛</w:t>
      </w:r>
      <w:r w:rsidRPr="00DB59CC">
        <w:rPr>
          <w:rFonts w:hint="cs"/>
          <w:sz w:val="36"/>
          <w:szCs w:val="36"/>
          <w:rtl/>
          <w:lang w:val="en-GB" w:eastAsia="en-US"/>
        </w:rPr>
        <w:t xml:space="preserve"> فمنيت الدولة - في أثناء وزارته- بعدة هزائم مع الأوربيين، مما دفع</w:t>
      </w:r>
      <w:r w:rsidRPr="00DB59CC">
        <w:rPr>
          <w:rFonts w:hint="eastAsia"/>
          <w:sz w:val="36"/>
          <w:szCs w:val="36"/>
          <w:rtl/>
          <w:lang w:val="en-GB" w:eastAsia="en-US"/>
        </w:rPr>
        <w:t> </w:t>
      </w:r>
      <w:r w:rsidRPr="00DB59CC">
        <w:rPr>
          <w:rFonts w:hint="cs"/>
          <w:sz w:val="36"/>
          <w:szCs w:val="36"/>
          <w:rtl/>
          <w:lang w:val="en-GB" w:eastAsia="en-US"/>
        </w:rPr>
        <w:t>الخليفة إلى قتله، عام 1095هـ.</w:t>
      </w:r>
    </w:p>
    <w:p w:rsidR="00DB59CC" w:rsidRPr="00DB59CC" w:rsidRDefault="00DB59CC" w:rsidP="007C7F13">
      <w:pPr>
        <w:widowControl/>
        <w:numPr>
          <w:ilvl w:val="0"/>
          <w:numId w:val="6"/>
        </w:numPr>
        <w:ind w:left="423"/>
        <w:jc w:val="both"/>
        <w:rPr>
          <w:sz w:val="36"/>
          <w:szCs w:val="36"/>
          <w:rtl/>
          <w:lang w:val="en-GB" w:eastAsia="en-US"/>
        </w:rPr>
      </w:pPr>
      <w:r w:rsidRPr="00DB59CC">
        <w:rPr>
          <w:rFonts w:hint="cs"/>
          <w:sz w:val="36"/>
          <w:szCs w:val="36"/>
          <w:rtl/>
          <w:lang w:val="en-GB" w:eastAsia="en-US"/>
        </w:rPr>
        <w:t>استمرت سلسلة الهزائم والتي كان من أبرزها موقعة (موهاكز)، سنة 1098هـ. وفي</w:t>
      </w:r>
      <w:r w:rsidRPr="00DB59CC">
        <w:rPr>
          <w:rFonts w:hint="eastAsia"/>
          <w:sz w:val="36"/>
          <w:szCs w:val="36"/>
          <w:rtl/>
          <w:lang w:val="en-GB" w:eastAsia="en-US"/>
        </w:rPr>
        <w:t> </w:t>
      </w:r>
      <w:r w:rsidRPr="00DB59CC">
        <w:rPr>
          <w:rFonts w:hint="cs"/>
          <w:sz w:val="36"/>
          <w:szCs w:val="36"/>
          <w:rtl/>
          <w:lang w:val="en-GB" w:eastAsia="en-US"/>
        </w:rPr>
        <w:t>ظل هذه الظروف اتفق العلماء والوزير على عـزل السلطان</w:t>
      </w:r>
      <w:r w:rsidR="0048366D">
        <w:rPr>
          <w:rFonts w:hint="cs"/>
          <w:sz w:val="36"/>
          <w:szCs w:val="36"/>
          <w:rtl/>
          <w:lang w:val="en-GB" w:eastAsia="en-US"/>
        </w:rPr>
        <w:t>؛</w:t>
      </w:r>
      <w:r w:rsidRPr="00DB59CC">
        <w:rPr>
          <w:rFonts w:hint="cs"/>
          <w:sz w:val="36"/>
          <w:szCs w:val="36"/>
          <w:rtl/>
          <w:lang w:val="en-GB" w:eastAsia="en-US"/>
        </w:rPr>
        <w:t xml:space="preserve"> فعزل عام 1099هـ، وتولى مكانه أخوه سليمان.</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54"/>
      </w:r>
      <w:r w:rsidRPr="00DB59CC">
        <w:rPr>
          <w:bCs/>
          <w:sz w:val="36"/>
          <w:szCs w:val="32"/>
          <w:vertAlign w:val="superscript"/>
          <w:rtl/>
          <w:lang w:val="en-GB" w:eastAsia="en-US"/>
        </w:rPr>
        <w:t>)</w:t>
      </w:r>
    </w:p>
    <w:p w:rsidR="00DB59CC" w:rsidRPr="00DB59CC" w:rsidRDefault="00DB59CC" w:rsidP="009A68A5">
      <w:pPr>
        <w:widowControl/>
        <w:ind w:firstLine="567"/>
        <w:jc w:val="both"/>
        <w:rPr>
          <w:spacing w:val="-4"/>
          <w:sz w:val="36"/>
          <w:szCs w:val="36"/>
          <w:rtl/>
          <w:lang w:val="en-GB" w:eastAsia="en-US"/>
        </w:rPr>
      </w:pPr>
      <w:r w:rsidRPr="00DB59CC">
        <w:rPr>
          <w:rFonts w:hint="cs"/>
          <w:b/>
          <w:bCs/>
          <w:spacing w:val="-4"/>
          <w:sz w:val="36"/>
          <w:szCs w:val="36"/>
          <w:rtl/>
          <w:lang w:val="en-GB" w:eastAsia="en-US"/>
        </w:rPr>
        <w:t>هذه أبرز الأحداث التي حصلت في القرن الحادي عشر</w:t>
      </w:r>
      <w:r w:rsidRPr="00DB59CC">
        <w:rPr>
          <w:rFonts w:hint="cs"/>
          <w:spacing w:val="-4"/>
          <w:sz w:val="36"/>
          <w:szCs w:val="36"/>
          <w:rtl/>
          <w:lang w:val="en-GB" w:eastAsia="en-US"/>
        </w:rPr>
        <w:t xml:space="preserve">، فهو عصر كثرت فيه الاضطرابات، والتمردات، وبدأ المجد العثماني بالهبوط شيئًا فشيئًا. </w:t>
      </w:r>
      <w:r w:rsidRPr="00DB59CC">
        <w:rPr>
          <w:rFonts w:hint="cs"/>
          <w:b/>
          <w:bCs/>
          <w:spacing w:val="-4"/>
          <w:sz w:val="36"/>
          <w:szCs w:val="36"/>
          <w:rtl/>
          <w:lang w:val="en-GB" w:eastAsia="en-US"/>
        </w:rPr>
        <w:t>وكان لذلك أسباب، منها</w:t>
      </w:r>
      <w:r w:rsidR="0048366D">
        <w:rPr>
          <w:rFonts w:hint="cs"/>
          <w:spacing w:val="-4"/>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1-</w:t>
      </w:r>
      <w:r w:rsidRPr="00DB59CC">
        <w:rPr>
          <w:rFonts w:hint="cs"/>
          <w:sz w:val="36"/>
          <w:szCs w:val="36"/>
          <w:rtl/>
          <w:lang w:val="en-GB" w:eastAsia="en-US"/>
        </w:rPr>
        <w:t>سيطرة العقلية العسكرية التي تـنـزع إلى حل الأمور بالسيف، وتبتعد عن الدراسة، والتخطيط، والحوار.</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2-</w:t>
      </w:r>
      <w:r w:rsidRPr="00DB59CC">
        <w:rPr>
          <w:rFonts w:hint="cs"/>
          <w:sz w:val="36"/>
          <w:szCs w:val="36"/>
          <w:rtl/>
          <w:lang w:val="en-GB" w:eastAsia="en-US"/>
        </w:rPr>
        <w:t xml:space="preserve"> الترف والإسراف، والانشغال باللهو والملذات.</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 xml:space="preserve">3- </w:t>
      </w:r>
      <w:r w:rsidRPr="00DB59CC">
        <w:rPr>
          <w:rFonts w:hint="cs"/>
          <w:sz w:val="36"/>
          <w:szCs w:val="36"/>
          <w:rtl/>
          <w:lang w:val="en-GB" w:eastAsia="en-US"/>
        </w:rPr>
        <w:t>سعة رقعة الدولة العثمانية.</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 xml:space="preserve">4- </w:t>
      </w:r>
      <w:r w:rsidRPr="00DB59CC">
        <w:rPr>
          <w:rFonts w:hint="cs"/>
          <w:sz w:val="36"/>
          <w:szCs w:val="36"/>
          <w:rtl/>
          <w:lang w:val="en-GB" w:eastAsia="en-US"/>
        </w:rPr>
        <w:t>البقاء على الطرق التقليدية في القتال</w:t>
      </w:r>
      <w:r w:rsidR="0048366D">
        <w:rPr>
          <w:rFonts w:hint="cs"/>
          <w:sz w:val="36"/>
          <w:szCs w:val="36"/>
          <w:rtl/>
          <w:lang w:val="en-GB" w:eastAsia="en-US"/>
        </w:rPr>
        <w:t>،</w:t>
      </w:r>
      <w:r w:rsidRPr="00DB59CC">
        <w:rPr>
          <w:rFonts w:hint="cs"/>
          <w:sz w:val="36"/>
          <w:szCs w:val="36"/>
          <w:rtl/>
          <w:lang w:val="en-GB" w:eastAsia="en-US"/>
        </w:rPr>
        <w:t xml:space="preserve"> وشتّى شؤون الحياة</w:t>
      </w:r>
      <w:r w:rsidR="0048366D">
        <w:rPr>
          <w:rFonts w:hint="cs"/>
          <w:sz w:val="36"/>
          <w:szCs w:val="36"/>
          <w:rtl/>
          <w:lang w:val="en-GB" w:eastAsia="en-US"/>
        </w:rPr>
        <w:t>،</w:t>
      </w:r>
      <w:r w:rsidRPr="00DB59CC">
        <w:rPr>
          <w:rFonts w:hint="cs"/>
          <w:sz w:val="36"/>
          <w:szCs w:val="36"/>
          <w:rtl/>
          <w:lang w:val="en-GB" w:eastAsia="en-US"/>
        </w:rPr>
        <w:t xml:space="preserve"> وعدم الاهتمام بالبحث والتقدم</w:t>
      </w:r>
      <w:r w:rsidR="0048366D">
        <w:rPr>
          <w:rFonts w:hint="cs"/>
          <w:sz w:val="36"/>
          <w:szCs w:val="36"/>
          <w:rtl/>
          <w:lang w:val="en-GB" w:eastAsia="en-US"/>
        </w:rPr>
        <w:t>،</w:t>
      </w:r>
      <w:r w:rsidRPr="00DB59CC">
        <w:rPr>
          <w:rFonts w:hint="cs"/>
          <w:sz w:val="36"/>
          <w:szCs w:val="36"/>
          <w:rtl/>
          <w:lang w:val="en-GB" w:eastAsia="en-US"/>
        </w:rPr>
        <w:t xml:space="preserve"> ومواكبة التطور العلمي الذي تعيشه الدول الأوربية المجاورة.</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5</w:t>
      </w:r>
      <w:r w:rsidRPr="00DB59CC">
        <w:rPr>
          <w:rFonts w:hint="cs"/>
          <w:sz w:val="36"/>
          <w:szCs w:val="36"/>
          <w:rtl/>
          <w:lang w:val="en-GB" w:eastAsia="en-US"/>
        </w:rPr>
        <w:t>- وفوق كل هذا</w:t>
      </w:r>
      <w:r w:rsidR="0048366D">
        <w:rPr>
          <w:rFonts w:hint="cs"/>
          <w:sz w:val="36"/>
          <w:szCs w:val="36"/>
          <w:rtl/>
          <w:lang w:val="en-GB" w:eastAsia="en-US"/>
        </w:rPr>
        <w:t>:</w:t>
      </w:r>
      <w:r w:rsidRPr="00DB59CC">
        <w:rPr>
          <w:rFonts w:hint="cs"/>
          <w:sz w:val="36"/>
          <w:szCs w:val="36"/>
          <w:rtl/>
          <w:lang w:val="en-GB" w:eastAsia="en-US"/>
        </w:rPr>
        <w:t xml:space="preserve"> الابتعاد عن منهج الله تعالى؛ حيث ضعفت التربية الإسلامية، وكثرت المخالفات العقدية والمعاصي العلنية</w:t>
      </w:r>
      <w:r w:rsidR="0048366D">
        <w:rPr>
          <w:rFonts w:hint="cs"/>
          <w:sz w:val="36"/>
          <w:szCs w:val="36"/>
          <w:rtl/>
          <w:lang w:val="en-GB" w:eastAsia="en-US"/>
        </w:rPr>
        <w:t>،</w:t>
      </w:r>
      <w:r w:rsidRPr="00DB59CC">
        <w:rPr>
          <w:rFonts w:hint="cs"/>
          <w:sz w:val="36"/>
          <w:szCs w:val="36"/>
          <w:rtl/>
          <w:lang w:val="en-GB" w:eastAsia="en-US"/>
        </w:rPr>
        <w:t xml:space="preserve"> وبدأت أعمال السّلب عند الفتح، وفشى الظلم، وظهر العصيان لولاة الأمر، وكثرت الثورات، وعمت الفوضى </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55"/>
      </w:r>
      <w:r w:rsidRPr="00DB59CC">
        <w:rPr>
          <w:bCs/>
          <w:sz w:val="36"/>
          <w:szCs w:val="32"/>
          <w:vertAlign w:val="superscript"/>
          <w:rtl/>
          <w:lang w:val="en-GB" w:eastAsia="en-US"/>
        </w:rPr>
        <w:t>)</w:t>
      </w:r>
      <w:r w:rsidR="0048366D">
        <w:rPr>
          <w:rFonts w:hint="cs"/>
          <w:sz w:val="36"/>
          <w:szCs w:val="36"/>
          <w:rtl/>
          <w:lang w:val="en-GB" w:eastAsia="en-US"/>
        </w:rPr>
        <w:t>.</w:t>
      </w:r>
      <w:r w:rsidRPr="00DB59CC">
        <w:rPr>
          <w:rFonts w:hint="cs"/>
          <w:sz w:val="36"/>
          <w:szCs w:val="36"/>
          <w:rtl/>
          <w:lang w:val="en-GB" w:eastAsia="en-US"/>
        </w:rPr>
        <w:t>.</w:t>
      </w:r>
    </w:p>
    <w:p w:rsidR="00DB59CC" w:rsidRPr="00DB59CC" w:rsidRDefault="00DB59CC" w:rsidP="009A68A5">
      <w:pPr>
        <w:widowControl/>
        <w:jc w:val="both"/>
        <w:rPr>
          <w:rFonts w:cs="AL-Mateen"/>
          <w:sz w:val="48"/>
          <w:szCs w:val="36"/>
          <w:rtl/>
          <w:lang w:val="en-GB" w:eastAsia="en-US"/>
        </w:rPr>
      </w:pPr>
      <w:r w:rsidRPr="00DB59CC">
        <w:rPr>
          <w:rFonts w:cs="AL-Mateen" w:hint="cs"/>
          <w:sz w:val="48"/>
          <w:szCs w:val="36"/>
          <w:rtl/>
          <w:lang w:val="en-GB" w:eastAsia="en-US"/>
        </w:rPr>
        <w:t>المطلب الثاني</w:t>
      </w:r>
      <w:r w:rsidR="0048366D">
        <w:rPr>
          <w:rFonts w:cs="AL-Mateen" w:hint="cs"/>
          <w:sz w:val="48"/>
          <w:szCs w:val="36"/>
          <w:rtl/>
          <w:lang w:val="en-GB" w:eastAsia="en-US"/>
        </w:rPr>
        <w:t>:</w:t>
      </w:r>
      <w:r w:rsidRPr="00DB59CC">
        <w:rPr>
          <w:rFonts w:cs="AL-Mateen" w:hint="cs"/>
          <w:sz w:val="48"/>
          <w:szCs w:val="36"/>
          <w:rtl/>
          <w:lang w:val="en-GB" w:eastAsia="en-US"/>
        </w:rPr>
        <w:t xml:space="preserve"> الحالة العلمية</w:t>
      </w:r>
      <w:r w:rsidR="0048366D">
        <w:rPr>
          <w:rFonts w:cs="AL-Mateen" w:hint="cs"/>
          <w:sz w:val="48"/>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إن أي عملية تعليمية لا بد لها من أربعة أركان</w:t>
      </w:r>
      <w:r w:rsidR="0048366D">
        <w:rPr>
          <w:rFonts w:hint="cs"/>
          <w:sz w:val="36"/>
          <w:szCs w:val="36"/>
          <w:rtl/>
          <w:lang w:val="en-GB" w:eastAsia="en-US"/>
        </w:rPr>
        <w:t>:</w:t>
      </w:r>
      <w:r w:rsidRPr="00DB59CC">
        <w:rPr>
          <w:rFonts w:hint="cs"/>
          <w:sz w:val="36"/>
          <w:szCs w:val="36"/>
          <w:rtl/>
          <w:lang w:val="en-GB" w:eastAsia="en-US"/>
        </w:rPr>
        <w:t xml:space="preserve"> الطالب، والمعلم، والمادة العلمية، ومكان الدراسة. والطالب هو المقصود من هذه العملية، وبقدر الاهتمام به من جهة</w:t>
      </w:r>
      <w:r w:rsidR="0048366D">
        <w:rPr>
          <w:rFonts w:hint="cs"/>
          <w:sz w:val="36"/>
          <w:szCs w:val="36"/>
          <w:rtl/>
          <w:lang w:val="en-GB" w:eastAsia="en-US"/>
        </w:rPr>
        <w:t>:</w:t>
      </w:r>
      <w:r w:rsidRPr="00DB59CC">
        <w:rPr>
          <w:rFonts w:hint="cs"/>
          <w:sz w:val="36"/>
          <w:szCs w:val="36"/>
          <w:rtl/>
          <w:lang w:val="en-GB" w:eastAsia="en-US"/>
        </w:rPr>
        <w:t xml:space="preserve"> توفير المعلمين </w:t>
      </w:r>
      <w:r w:rsidRPr="00DB59CC">
        <w:rPr>
          <w:rFonts w:hint="cs"/>
          <w:sz w:val="36"/>
          <w:szCs w:val="36"/>
          <w:rtl/>
          <w:lang w:val="en-GB" w:eastAsia="en-US"/>
        </w:rPr>
        <w:lastRenderedPageBreak/>
        <w:t>الأكْفاء، والكتب المنتقاة، والمدارس المهيأة وما تحتاجه من أنظمة دقيقة</w:t>
      </w:r>
      <w:r w:rsidR="0048366D">
        <w:rPr>
          <w:rFonts w:hint="cs"/>
          <w:sz w:val="36"/>
          <w:szCs w:val="36"/>
          <w:rtl/>
          <w:lang w:val="en-GB" w:eastAsia="en-US"/>
        </w:rPr>
        <w:t>:</w:t>
      </w:r>
      <w:r w:rsidRPr="00DB59CC">
        <w:rPr>
          <w:rFonts w:hint="cs"/>
          <w:sz w:val="36"/>
          <w:szCs w:val="36"/>
          <w:rtl/>
          <w:lang w:val="en-GB" w:eastAsia="en-US"/>
        </w:rPr>
        <w:t xml:space="preserve"> يكون نضج الطالب واستفادته.</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وحيث إن هذه العوامل الثلاثة عوامل خارجية تختلف باختلاف المكان والزمان</w:t>
      </w:r>
      <w:r w:rsidR="0048366D">
        <w:rPr>
          <w:rFonts w:hint="cs"/>
          <w:sz w:val="36"/>
          <w:szCs w:val="36"/>
          <w:rtl/>
          <w:lang w:val="en-GB" w:eastAsia="en-US"/>
        </w:rPr>
        <w:t>:</w:t>
      </w:r>
      <w:r w:rsidRPr="00DB59CC">
        <w:rPr>
          <w:rFonts w:hint="cs"/>
          <w:sz w:val="36"/>
          <w:szCs w:val="36"/>
          <w:rtl/>
          <w:lang w:val="en-GB" w:eastAsia="en-US"/>
        </w:rPr>
        <w:t xml:space="preserve"> يناسب إبرازها في المكان والزمان الذي عاش فيهما المؤلف.</w:t>
      </w:r>
    </w:p>
    <w:p w:rsidR="00DB59CC" w:rsidRPr="00DB59CC" w:rsidRDefault="00DB59CC" w:rsidP="009A68A5">
      <w:pPr>
        <w:widowControl/>
        <w:ind w:firstLine="567"/>
        <w:jc w:val="both"/>
        <w:rPr>
          <w:rFonts w:cs="AL-Mateen"/>
          <w:sz w:val="48"/>
          <w:szCs w:val="36"/>
          <w:rtl/>
          <w:lang w:val="en-GB" w:eastAsia="en-US"/>
        </w:rPr>
      </w:pPr>
      <w:r w:rsidRPr="00DB59CC">
        <w:rPr>
          <w:rFonts w:cs="AL-Mateen" w:hint="cs"/>
          <w:sz w:val="48"/>
          <w:szCs w:val="36"/>
          <w:rtl/>
          <w:lang w:val="en-GB" w:eastAsia="en-US"/>
        </w:rPr>
        <w:t>أولاً</w:t>
      </w:r>
      <w:r w:rsidR="0048366D">
        <w:rPr>
          <w:rFonts w:cs="AL-Mateen" w:hint="cs"/>
          <w:sz w:val="48"/>
          <w:szCs w:val="36"/>
          <w:rtl/>
          <w:lang w:val="en-GB" w:eastAsia="en-US"/>
        </w:rPr>
        <w:t>:</w:t>
      </w:r>
      <w:r w:rsidRPr="00DB59CC">
        <w:rPr>
          <w:rFonts w:cs="AL-Mateen" w:hint="cs"/>
          <w:sz w:val="48"/>
          <w:szCs w:val="36"/>
          <w:rtl/>
          <w:lang w:val="en-GB" w:eastAsia="en-US"/>
        </w:rPr>
        <w:t xml:space="preserve"> المدارس ونظام التعليم فيها</w:t>
      </w:r>
      <w:r w:rsidR="0048366D">
        <w:rPr>
          <w:rFonts w:cs="AL-Mateen" w:hint="cs"/>
          <w:sz w:val="48"/>
          <w:szCs w:val="36"/>
          <w:rtl/>
          <w:lang w:val="en-GB" w:eastAsia="en-US"/>
        </w:rPr>
        <w:t>:</w:t>
      </w:r>
    </w:p>
    <w:p w:rsidR="00DB59CC" w:rsidRPr="00DB59CC" w:rsidRDefault="00DB59CC" w:rsidP="009A68A5">
      <w:pPr>
        <w:widowControl/>
        <w:spacing w:line="500" w:lineRule="exact"/>
        <w:ind w:firstLine="567"/>
        <w:jc w:val="both"/>
        <w:rPr>
          <w:spacing w:val="-8"/>
          <w:sz w:val="36"/>
          <w:szCs w:val="36"/>
          <w:rtl/>
          <w:lang w:val="en-GB" w:eastAsia="en-US"/>
        </w:rPr>
      </w:pPr>
      <w:r w:rsidRPr="00DB59CC">
        <w:rPr>
          <w:rFonts w:hint="eastAsia"/>
          <w:spacing w:val="-8"/>
          <w:sz w:val="20"/>
          <w:szCs w:val="20"/>
          <w:rtl/>
          <w:lang w:val="en-GB" w:eastAsia="en-GB"/>
        </w:rPr>
        <w:t>«</w:t>
      </w:r>
      <w:r w:rsidRPr="00DB59CC">
        <w:rPr>
          <w:rFonts w:hint="cs"/>
          <w:spacing w:val="-8"/>
          <w:sz w:val="36"/>
          <w:szCs w:val="36"/>
          <w:rtl/>
          <w:lang w:val="en-GB" w:eastAsia="en-US"/>
        </w:rPr>
        <w:t>كانت (استانبول) في القرن الحادي عشر للهجرة</w:t>
      </w:r>
      <w:r w:rsidR="0048366D">
        <w:rPr>
          <w:rFonts w:hint="cs"/>
          <w:spacing w:val="-8"/>
          <w:sz w:val="36"/>
          <w:szCs w:val="36"/>
          <w:rtl/>
          <w:lang w:val="en-GB" w:eastAsia="en-US"/>
        </w:rPr>
        <w:t>.</w:t>
      </w:r>
      <w:r w:rsidRPr="00DB59CC">
        <w:rPr>
          <w:rFonts w:hint="cs"/>
          <w:spacing w:val="-8"/>
          <w:sz w:val="36"/>
          <w:szCs w:val="36"/>
          <w:rtl/>
          <w:lang w:val="en-GB" w:eastAsia="en-US"/>
        </w:rPr>
        <w:t>.. تعج بالمدارس، ولقد زوّدها السلاطين المتتالون</w:t>
      </w:r>
      <w:r w:rsidR="0048366D">
        <w:rPr>
          <w:rFonts w:hint="cs"/>
          <w:spacing w:val="-8"/>
          <w:sz w:val="36"/>
          <w:szCs w:val="36"/>
          <w:rtl/>
          <w:lang w:val="en-GB" w:eastAsia="en-US"/>
        </w:rPr>
        <w:t>.</w:t>
      </w:r>
      <w:r w:rsidRPr="00DB59CC">
        <w:rPr>
          <w:rFonts w:hint="cs"/>
          <w:spacing w:val="-8"/>
          <w:sz w:val="36"/>
          <w:szCs w:val="36"/>
          <w:rtl/>
          <w:lang w:val="en-GB" w:eastAsia="en-US"/>
        </w:rPr>
        <w:t>.. بالكثير منها</w:t>
      </w:r>
      <w:r w:rsidR="0048366D">
        <w:rPr>
          <w:rFonts w:hint="cs"/>
          <w:spacing w:val="-8"/>
          <w:sz w:val="36"/>
          <w:szCs w:val="36"/>
          <w:rtl/>
          <w:lang w:val="en-GB" w:eastAsia="en-US"/>
        </w:rPr>
        <w:t>؛</w:t>
      </w:r>
      <w:r w:rsidRPr="00DB59CC">
        <w:rPr>
          <w:rFonts w:hint="cs"/>
          <w:spacing w:val="-8"/>
          <w:sz w:val="36"/>
          <w:szCs w:val="36"/>
          <w:rtl/>
          <w:lang w:val="en-GB" w:eastAsia="en-US"/>
        </w:rPr>
        <w:t xml:space="preserve"> بل إن عديدًا من الوزراء، وكبار رجال الدولة، وأميرات البيت السلطاني قد قلّدوا السلاطين في هذا المضمار، حتى ينسب إلى المعمار (سنان) أنه بنى ما لا يقل عن (55) مدرسة في (استانبول) أيام السلطان سليمان القانوني</w:t>
      </w:r>
      <w:r w:rsidR="0048366D">
        <w:rPr>
          <w:rFonts w:hint="cs"/>
          <w:spacing w:val="-8"/>
          <w:sz w:val="36"/>
          <w:szCs w:val="36"/>
          <w:rtl/>
          <w:lang w:val="en-GB" w:eastAsia="en-US"/>
        </w:rPr>
        <w:t>.</w:t>
      </w:r>
      <w:r w:rsidRPr="00DB59CC">
        <w:rPr>
          <w:rFonts w:hint="cs"/>
          <w:spacing w:val="-8"/>
          <w:sz w:val="36"/>
          <w:szCs w:val="36"/>
          <w:rtl/>
          <w:lang w:val="en-GB" w:eastAsia="en-US"/>
        </w:rPr>
        <w:t>.(ت974هـ)، وكان أغلبها لأفراد من غير السلاطين، إلا أن أهم هذه المدارس هي</w:t>
      </w:r>
      <w:r w:rsidR="0048366D">
        <w:rPr>
          <w:rFonts w:hint="cs"/>
          <w:spacing w:val="-8"/>
          <w:sz w:val="36"/>
          <w:szCs w:val="36"/>
          <w:rtl/>
          <w:lang w:val="en-GB" w:eastAsia="en-US"/>
        </w:rPr>
        <w:t>.</w:t>
      </w:r>
      <w:r w:rsidRPr="00DB59CC">
        <w:rPr>
          <w:rFonts w:hint="cs"/>
          <w:spacing w:val="-8"/>
          <w:sz w:val="36"/>
          <w:szCs w:val="36"/>
          <w:rtl/>
          <w:lang w:val="en-GB" w:eastAsia="en-US"/>
        </w:rPr>
        <w:t>. التي أنشأها السلطان محمد الفاتح</w:t>
      </w:r>
      <w:r w:rsidR="0048366D">
        <w:rPr>
          <w:rFonts w:hint="cs"/>
          <w:spacing w:val="-8"/>
          <w:sz w:val="36"/>
          <w:szCs w:val="36"/>
          <w:rtl/>
          <w:lang w:val="en-GB" w:eastAsia="en-US"/>
        </w:rPr>
        <w:t>.</w:t>
      </w:r>
      <w:r w:rsidRPr="00DB59CC">
        <w:rPr>
          <w:rFonts w:hint="cs"/>
          <w:spacing w:val="-8"/>
          <w:sz w:val="36"/>
          <w:szCs w:val="36"/>
          <w:rtl/>
          <w:lang w:val="en-GB" w:eastAsia="en-US"/>
        </w:rPr>
        <w:t>. (ت 885هـ)</w:t>
      </w:r>
      <w:r w:rsidR="0048366D">
        <w:rPr>
          <w:rFonts w:hint="cs"/>
          <w:spacing w:val="-8"/>
          <w:sz w:val="36"/>
          <w:szCs w:val="36"/>
          <w:rtl/>
          <w:lang w:val="en-GB" w:eastAsia="en-US"/>
        </w:rPr>
        <w:t>.</w:t>
      </w:r>
      <w:r w:rsidRPr="00DB59CC">
        <w:rPr>
          <w:rFonts w:hint="cs"/>
          <w:spacing w:val="-8"/>
          <w:sz w:val="36"/>
          <w:szCs w:val="36"/>
          <w:rtl/>
          <w:lang w:val="en-GB" w:eastAsia="en-US"/>
        </w:rPr>
        <w:t>.. وابنه</w:t>
      </w:r>
      <w:r w:rsidR="0048366D">
        <w:rPr>
          <w:rFonts w:hint="cs"/>
          <w:spacing w:val="-8"/>
          <w:sz w:val="36"/>
          <w:szCs w:val="36"/>
          <w:rtl/>
          <w:lang w:val="en-GB" w:eastAsia="en-US"/>
        </w:rPr>
        <w:t>.</w:t>
      </w:r>
      <w:r w:rsidRPr="00DB59CC">
        <w:rPr>
          <w:rFonts w:hint="cs"/>
          <w:spacing w:val="-8"/>
          <w:sz w:val="36"/>
          <w:szCs w:val="36"/>
          <w:rtl/>
          <w:lang w:val="en-GB" w:eastAsia="en-US"/>
        </w:rPr>
        <w:t>. بايزيد الثاني</w:t>
      </w:r>
      <w:r w:rsidR="0048366D">
        <w:rPr>
          <w:rFonts w:hint="cs"/>
          <w:spacing w:val="-8"/>
          <w:sz w:val="36"/>
          <w:szCs w:val="36"/>
          <w:rtl/>
          <w:lang w:val="en-GB" w:eastAsia="en-US"/>
        </w:rPr>
        <w:t>.</w:t>
      </w:r>
      <w:r w:rsidRPr="00DB59CC">
        <w:rPr>
          <w:rFonts w:hint="cs"/>
          <w:spacing w:val="-8"/>
          <w:sz w:val="36"/>
          <w:szCs w:val="36"/>
          <w:rtl/>
          <w:lang w:val="en-GB" w:eastAsia="en-US"/>
        </w:rPr>
        <w:t>.. (ت 918هـ)</w:t>
      </w:r>
      <w:r w:rsidR="0048366D">
        <w:rPr>
          <w:rFonts w:hint="cs"/>
          <w:spacing w:val="-8"/>
          <w:sz w:val="36"/>
          <w:szCs w:val="36"/>
          <w:rtl/>
          <w:lang w:val="en-GB" w:eastAsia="en-US"/>
        </w:rPr>
        <w:t>.</w:t>
      </w:r>
      <w:r w:rsidRPr="00DB59CC">
        <w:rPr>
          <w:rFonts w:hint="cs"/>
          <w:spacing w:val="-8"/>
          <w:sz w:val="36"/>
          <w:szCs w:val="36"/>
          <w:rtl/>
          <w:lang w:val="en-GB" w:eastAsia="en-US"/>
        </w:rPr>
        <w:t>.. ثم سليمان القانوني</w:t>
      </w:r>
      <w:r w:rsidR="0048366D">
        <w:rPr>
          <w:rFonts w:hint="cs"/>
          <w:spacing w:val="-8"/>
          <w:sz w:val="36"/>
          <w:szCs w:val="36"/>
          <w:rtl/>
          <w:lang w:val="en-GB" w:eastAsia="en-US"/>
        </w:rPr>
        <w:t>.</w:t>
      </w:r>
      <w:r w:rsidRPr="00DB59CC">
        <w:rPr>
          <w:rFonts w:hint="cs"/>
          <w:spacing w:val="-8"/>
          <w:sz w:val="36"/>
          <w:szCs w:val="36"/>
          <w:rtl/>
          <w:lang w:val="en-GB" w:eastAsia="en-US"/>
        </w:rPr>
        <w:t xml:space="preserve">. (ت 974هـ) </w:t>
      </w:r>
      <w:r w:rsidRPr="00DB59CC">
        <w:rPr>
          <w:rFonts w:hint="eastAsia"/>
          <w:spacing w:val="-8"/>
          <w:sz w:val="20"/>
          <w:szCs w:val="20"/>
          <w:rtl/>
          <w:lang w:val="en-GB" w:eastAsia="en-GB"/>
        </w:rPr>
        <w:t>»</w:t>
      </w:r>
      <w:r w:rsidRPr="00DB59CC">
        <w:rPr>
          <w:rFonts w:hint="cs"/>
          <w:spacing w:val="-8"/>
          <w:sz w:val="36"/>
          <w:szCs w:val="36"/>
          <w:rtl/>
          <w:lang w:val="en-GB" w:eastAsia="en-US"/>
        </w:rPr>
        <w:t>.</w:t>
      </w:r>
      <w:r w:rsidRPr="00DB59CC">
        <w:rPr>
          <w:bCs/>
          <w:spacing w:val="-8"/>
          <w:sz w:val="36"/>
          <w:szCs w:val="32"/>
          <w:vertAlign w:val="superscript"/>
          <w:rtl/>
          <w:lang w:val="en-GB" w:eastAsia="en-US"/>
        </w:rPr>
        <w:t>(</w:t>
      </w:r>
      <w:r w:rsidRPr="00DB59CC">
        <w:rPr>
          <w:bCs/>
          <w:spacing w:val="-8"/>
          <w:sz w:val="36"/>
          <w:szCs w:val="32"/>
          <w:vertAlign w:val="superscript"/>
          <w:rtl/>
          <w:lang w:val="en-GB" w:eastAsia="en-US"/>
        </w:rPr>
        <w:footnoteReference w:id="56"/>
      </w:r>
      <w:r w:rsidRPr="00DB59CC">
        <w:rPr>
          <w:bCs/>
          <w:spacing w:val="-8"/>
          <w:sz w:val="36"/>
          <w:szCs w:val="32"/>
          <w:vertAlign w:val="superscript"/>
          <w:rtl/>
          <w:lang w:val="en-GB" w:eastAsia="en-US"/>
        </w:rPr>
        <w:t>)</w:t>
      </w:r>
    </w:p>
    <w:p w:rsidR="00DB59CC" w:rsidRPr="00DB59CC" w:rsidRDefault="00DB59CC" w:rsidP="009A68A5">
      <w:pPr>
        <w:widowControl/>
        <w:spacing w:line="520" w:lineRule="exact"/>
        <w:ind w:firstLine="567"/>
        <w:jc w:val="both"/>
        <w:rPr>
          <w:spacing w:val="-8"/>
          <w:sz w:val="35"/>
          <w:szCs w:val="35"/>
          <w:rtl/>
          <w:lang w:val="en-GB" w:eastAsia="en-US"/>
        </w:rPr>
      </w:pPr>
      <w:r w:rsidRPr="00DB59CC">
        <w:rPr>
          <w:rFonts w:hint="cs"/>
          <w:spacing w:val="-8"/>
          <w:sz w:val="35"/>
          <w:szCs w:val="35"/>
          <w:rtl/>
          <w:lang w:val="en-GB" w:eastAsia="en-US"/>
        </w:rPr>
        <w:t>ولم تكن المدارس مجرد أماكن للدراسة، يأتيها من يريد، ويتعلم بالطريقة التي يراها؛ بل كانت تسير وفق أنظمة ثابتة، وتُعنى بالتدرّج في الدراسة</w:t>
      </w:r>
      <w:r w:rsidR="0048366D">
        <w:rPr>
          <w:rFonts w:hint="cs"/>
          <w:spacing w:val="-8"/>
          <w:sz w:val="35"/>
          <w:szCs w:val="35"/>
          <w:rtl/>
          <w:lang w:val="en-GB" w:eastAsia="en-US"/>
        </w:rPr>
        <w:t>؛</w:t>
      </w:r>
      <w:r w:rsidRPr="00DB59CC">
        <w:rPr>
          <w:rFonts w:hint="cs"/>
          <w:spacing w:val="-8"/>
          <w:sz w:val="35"/>
          <w:szCs w:val="35"/>
          <w:rtl/>
          <w:lang w:val="en-GB" w:eastAsia="en-US"/>
        </w:rPr>
        <w:t xml:space="preserve"> لهذا كانت تقصد من كافة أنحاء العالم الإسلامي.</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وهذا عرض لأهم المدارس في تركيا، ونظام التعليم فيها</w:t>
      </w:r>
      <w:r w:rsidR="0048366D">
        <w:rPr>
          <w:rFonts w:hint="cs"/>
          <w:sz w:val="36"/>
          <w:szCs w:val="36"/>
          <w:rtl/>
          <w:lang w:val="en-GB" w:eastAsia="en-US"/>
        </w:rPr>
        <w:t>:</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b/>
          <w:bCs/>
          <w:sz w:val="36"/>
          <w:szCs w:val="36"/>
          <w:rtl/>
          <w:lang w:val="en-GB" w:eastAsia="en-US"/>
        </w:rPr>
        <w:t>1</w:t>
      </w:r>
      <w:r w:rsidRPr="00DB59CC">
        <w:rPr>
          <w:rFonts w:hint="cs"/>
          <w:sz w:val="36"/>
          <w:szCs w:val="36"/>
          <w:rtl/>
          <w:lang w:val="en-GB" w:eastAsia="en-US"/>
        </w:rPr>
        <w:t>- مدرسة أيا صوفيا.</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2</w:t>
      </w:r>
      <w:r w:rsidRPr="00DB59CC">
        <w:rPr>
          <w:rFonts w:hint="cs"/>
          <w:sz w:val="36"/>
          <w:szCs w:val="36"/>
          <w:rtl/>
          <w:lang w:val="en-GB" w:eastAsia="en-US"/>
        </w:rPr>
        <w:t>- مدارس الصّحن (وهي ثمان مدارس).</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3</w:t>
      </w:r>
      <w:r w:rsidRPr="00DB59CC">
        <w:rPr>
          <w:rFonts w:hint="cs"/>
          <w:sz w:val="36"/>
          <w:szCs w:val="36"/>
          <w:rtl/>
          <w:lang w:val="en-GB" w:eastAsia="en-US"/>
        </w:rPr>
        <w:t>- المدارس الموّصلة إلى الصحن (وهي ثمان أيضًا).</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هذه المدارس أنشأها</w:t>
      </w:r>
      <w:r w:rsidR="0048366D">
        <w:rPr>
          <w:rFonts w:hint="cs"/>
          <w:sz w:val="36"/>
          <w:szCs w:val="36"/>
          <w:rtl/>
          <w:lang w:val="en-GB" w:eastAsia="en-US"/>
        </w:rPr>
        <w:t>:</w:t>
      </w:r>
      <w:r w:rsidRPr="00DB59CC">
        <w:rPr>
          <w:rFonts w:hint="cs"/>
          <w:sz w:val="36"/>
          <w:szCs w:val="36"/>
          <w:rtl/>
          <w:lang w:val="en-GB" w:eastAsia="en-US"/>
        </w:rPr>
        <w:t xml:space="preserve"> محمد الفاتح (ت 885هـ). حيث ربط الأولى منها بمسجد (أيا صوفيا)، وبنى الباقي بمسجده المسمى بـ (مسجد الفاتح) في استانبول، وكان بناؤه لها حول مسجده على مرحلتين</w:t>
      </w:r>
      <w:r w:rsidR="0048366D">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المرحلة الأولى</w:t>
      </w:r>
      <w:r w:rsidR="0048366D">
        <w:rPr>
          <w:rFonts w:hint="cs"/>
          <w:b/>
          <w:bCs/>
          <w:sz w:val="36"/>
          <w:szCs w:val="36"/>
          <w:rtl/>
          <w:lang w:val="en-GB" w:eastAsia="en-US"/>
        </w:rPr>
        <w:t>:</w:t>
      </w:r>
      <w:r w:rsidRPr="00DB59CC">
        <w:rPr>
          <w:rFonts w:hint="cs"/>
          <w:sz w:val="36"/>
          <w:szCs w:val="36"/>
          <w:rtl/>
          <w:lang w:val="en-GB" w:eastAsia="en-US"/>
        </w:rPr>
        <w:t xml:space="preserve"> بناؤه لمدارس الصحن، أربع منها إلى شمال المسجد، وأربع إلى جنوبه. وكانت هذه المدارس تتحلق حول ساحة كبيرة</w:t>
      </w:r>
      <w:r w:rsidR="0048366D">
        <w:rPr>
          <w:rFonts w:hint="cs"/>
          <w:sz w:val="36"/>
          <w:szCs w:val="36"/>
          <w:rtl/>
          <w:lang w:val="en-GB" w:eastAsia="en-US"/>
        </w:rPr>
        <w:t>؛</w:t>
      </w:r>
      <w:r w:rsidRPr="00DB59CC">
        <w:rPr>
          <w:rFonts w:hint="cs"/>
          <w:sz w:val="36"/>
          <w:szCs w:val="36"/>
          <w:rtl/>
          <w:lang w:val="en-GB" w:eastAsia="en-US"/>
        </w:rPr>
        <w:t xml:space="preserve"> لهذا سميت هذه الساحة بـ(صحن الثماني). </w:t>
      </w:r>
      <w:r w:rsidRPr="00DB59CC">
        <w:rPr>
          <w:rFonts w:hint="cs"/>
          <w:sz w:val="36"/>
          <w:szCs w:val="36"/>
          <w:rtl/>
          <w:lang w:val="en-GB" w:eastAsia="en-US"/>
        </w:rPr>
        <w:lastRenderedPageBreak/>
        <w:t>وكانت كل مدرسة تحوي قاعة رئيسة، يجري فيها التدريس، وخمس عشرة غرفة مقبّبة للطلاب، وغرفتين للأساتذة المساعدين، وغرفتين لحراس الباب، والخدم.</w:t>
      </w:r>
    </w:p>
    <w:p w:rsidR="00DB59CC" w:rsidRPr="00DB59CC" w:rsidRDefault="00DB59CC" w:rsidP="009A68A5">
      <w:pPr>
        <w:widowControl/>
        <w:spacing w:line="520" w:lineRule="atLeast"/>
        <w:ind w:firstLine="567"/>
        <w:jc w:val="both"/>
        <w:rPr>
          <w:sz w:val="36"/>
          <w:szCs w:val="36"/>
          <w:rtl/>
          <w:lang w:val="en-GB" w:eastAsia="en-US"/>
        </w:rPr>
      </w:pPr>
      <w:r w:rsidRPr="00DB59CC">
        <w:rPr>
          <w:rFonts w:hint="cs"/>
          <w:b/>
          <w:bCs/>
          <w:sz w:val="36"/>
          <w:szCs w:val="36"/>
          <w:rtl/>
          <w:lang w:val="en-GB" w:eastAsia="en-US"/>
        </w:rPr>
        <w:t>المرحلة الثانية</w:t>
      </w:r>
      <w:r w:rsidR="0048366D">
        <w:rPr>
          <w:rFonts w:hint="cs"/>
          <w:b/>
          <w:bCs/>
          <w:sz w:val="36"/>
          <w:szCs w:val="36"/>
          <w:rtl/>
          <w:lang w:val="en-GB" w:eastAsia="en-US"/>
        </w:rPr>
        <w:t>:</w:t>
      </w:r>
      <w:r w:rsidRPr="00DB59CC">
        <w:rPr>
          <w:rFonts w:hint="cs"/>
          <w:sz w:val="36"/>
          <w:szCs w:val="36"/>
          <w:rtl/>
          <w:lang w:val="en-GB" w:eastAsia="en-US"/>
        </w:rPr>
        <w:t xml:space="preserve"> بناؤه للمدارس الموصّلة للصحن، وتسمّى أيضًا (تتمة)</w:t>
      </w:r>
      <w:r w:rsidR="0048366D">
        <w:rPr>
          <w:rFonts w:hint="cs"/>
          <w:sz w:val="36"/>
          <w:szCs w:val="36"/>
          <w:rtl/>
          <w:lang w:val="en-GB" w:eastAsia="en-US"/>
        </w:rPr>
        <w:t>؛</w:t>
      </w:r>
      <w:r w:rsidRPr="00DB59CC">
        <w:rPr>
          <w:rFonts w:hint="cs"/>
          <w:sz w:val="36"/>
          <w:szCs w:val="36"/>
          <w:rtl/>
          <w:lang w:val="en-GB" w:eastAsia="en-US"/>
        </w:rPr>
        <w:t xml:space="preserve"> لأنها خُصّصت للدراسات الأولية الإعدادية التي تؤهل للوصول إلى مدارس الصحن الثماني، وكانت التجهيزات في هذه المدارس أدنى مستوى من مدارس الصحن، حيث زودت كل مدرسة بثمان غرف غير مقببة، وتتسع كل واحدة لثلاثة طلاب.</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وكان الطلاب في هذه المدارس الستة عشرة يدرسون عشرة علوم</w:t>
      </w:r>
      <w:r w:rsidR="0048366D">
        <w:rPr>
          <w:rFonts w:hint="cs"/>
          <w:sz w:val="36"/>
          <w:szCs w:val="36"/>
          <w:rtl/>
          <w:lang w:val="en-GB" w:eastAsia="en-US"/>
        </w:rPr>
        <w:t>:</w:t>
      </w:r>
      <w:r w:rsidRPr="00DB59CC">
        <w:rPr>
          <w:rFonts w:hint="cs"/>
          <w:sz w:val="36"/>
          <w:szCs w:val="36"/>
          <w:rtl/>
          <w:lang w:val="en-GB" w:eastAsia="en-US"/>
        </w:rPr>
        <w:t xml:space="preserve"> القواعد، والنحو والمنطق، وعلوم الدين، وفقه اللغة، وعلم البيان، والمعاني، والإنشاء، والهندسة، والفلك.</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وإذا أتم الطالب الدراسة في هذه المدارس، وأتقن علومها، يلقّب بـ (دانشمند) (أي</w:t>
      </w:r>
      <w:r w:rsidR="0048366D">
        <w:rPr>
          <w:rFonts w:hint="cs"/>
          <w:sz w:val="36"/>
          <w:szCs w:val="36"/>
          <w:rtl/>
          <w:lang w:val="en-GB" w:eastAsia="en-US"/>
        </w:rPr>
        <w:t>:</w:t>
      </w:r>
      <w:r w:rsidRPr="00DB59CC">
        <w:rPr>
          <w:rFonts w:hint="cs"/>
          <w:sz w:val="36"/>
          <w:szCs w:val="36"/>
          <w:rtl/>
          <w:lang w:val="en-GB" w:eastAsia="en-US"/>
        </w:rPr>
        <w:t xml:space="preserve"> الحاصل على المعرفة)، وكان قبل ذلك يلقب بـ(صوفتا) (أي: المحترق في العلم). وبعد أن يصبح (دانشمند) يحق له أن يعلّم الطلبة، كما أنّ له المطالبة بتولّي مدرسة من المدارس الصغيرة العامة. لكنه إذا أراد أن يرتقي إلى فئة العلماء كان من الضروري أن يقوم بدراسة متعمقة للشريعة والفقه، وأن يجتاز عدّة فحوص.</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57"/>
      </w:r>
      <w:r w:rsidRPr="00DB59CC">
        <w:rPr>
          <w:bCs/>
          <w:sz w:val="36"/>
          <w:szCs w:val="32"/>
          <w:vertAlign w:val="superscript"/>
          <w:rtl/>
          <w:lang w:val="en-GB" w:eastAsia="en-US"/>
        </w:rPr>
        <w:t>)</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b/>
          <w:bCs/>
          <w:sz w:val="36"/>
          <w:szCs w:val="36"/>
          <w:rtl/>
          <w:lang w:val="en-GB" w:eastAsia="en-US"/>
        </w:rPr>
        <w:t>4</w:t>
      </w:r>
      <w:r w:rsidRPr="00DB59CC">
        <w:rPr>
          <w:rFonts w:hint="cs"/>
          <w:sz w:val="36"/>
          <w:szCs w:val="36"/>
          <w:rtl/>
          <w:lang w:val="en-GB" w:eastAsia="en-US"/>
        </w:rPr>
        <w:t>- مدارس السليمانية</w:t>
      </w:r>
      <w:r w:rsidR="0048366D">
        <w:rPr>
          <w:rFonts w:hint="cs"/>
          <w:sz w:val="36"/>
          <w:szCs w:val="36"/>
          <w:rtl/>
          <w:lang w:val="en-GB" w:eastAsia="en-US"/>
        </w:rPr>
        <w:t>:</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هذه المدارس أنشأها سليمان القانوني (ت 974هـ) حول مسجده في استانبول، المعروف بـ (مسجد السليمانية).</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وقد تميزت هذه المدارس عن مدارس محمد الفاتح بأنها أكثر تنظيمًا وتكاملاً</w:t>
      </w:r>
      <w:r w:rsidR="0048366D">
        <w:rPr>
          <w:rFonts w:hint="cs"/>
          <w:sz w:val="36"/>
          <w:szCs w:val="36"/>
          <w:rtl/>
          <w:lang w:val="en-GB" w:eastAsia="en-US"/>
        </w:rPr>
        <w:t>؛</w:t>
      </w:r>
      <w:r w:rsidRPr="00DB59CC">
        <w:rPr>
          <w:rFonts w:hint="cs"/>
          <w:sz w:val="36"/>
          <w:szCs w:val="36"/>
          <w:rtl/>
          <w:lang w:val="en-GB" w:eastAsia="en-US"/>
        </w:rPr>
        <w:t xml:space="preserve"> حيث جُعل التعليم فيها يمرّ عبر مراحل تعليمية تصل إلى اثنتي عشرة درجة. وهي</w:t>
      </w:r>
      <w:r w:rsidR="0048366D">
        <w:rPr>
          <w:rFonts w:hint="cs"/>
          <w:sz w:val="36"/>
          <w:szCs w:val="36"/>
          <w:rtl/>
          <w:lang w:val="en-GB" w:eastAsia="en-US"/>
        </w:rPr>
        <w:t>:</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b/>
          <w:bCs/>
          <w:sz w:val="36"/>
          <w:szCs w:val="36"/>
          <w:rtl/>
          <w:lang w:val="en-GB" w:eastAsia="en-US"/>
        </w:rPr>
        <w:t>1-</w:t>
      </w:r>
      <w:r w:rsidRPr="00DB59CC">
        <w:rPr>
          <w:rFonts w:hint="cs"/>
          <w:sz w:val="36"/>
          <w:szCs w:val="36"/>
          <w:rtl/>
          <w:lang w:val="en-GB" w:eastAsia="en-US"/>
        </w:rPr>
        <w:t xml:space="preserve"> ابتدائي خارج.</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2</w:t>
      </w:r>
      <w:r w:rsidRPr="00DB59CC">
        <w:rPr>
          <w:rFonts w:hint="cs"/>
          <w:sz w:val="36"/>
          <w:szCs w:val="36"/>
          <w:rtl/>
          <w:lang w:val="en-GB" w:eastAsia="en-US"/>
        </w:rPr>
        <w:t>-حركتي خارج.</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3-</w:t>
      </w:r>
      <w:r w:rsidRPr="00DB59CC">
        <w:rPr>
          <w:rFonts w:hint="cs"/>
          <w:sz w:val="36"/>
          <w:szCs w:val="36"/>
          <w:rtl/>
          <w:lang w:val="en-GB" w:eastAsia="en-US"/>
        </w:rPr>
        <w:t xml:space="preserve"> ابتدائي داخل.</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4-</w:t>
      </w:r>
      <w:r w:rsidRPr="00DB59CC">
        <w:rPr>
          <w:rFonts w:hint="cs"/>
          <w:sz w:val="36"/>
          <w:szCs w:val="36"/>
          <w:rtl/>
          <w:lang w:val="en-GB" w:eastAsia="en-US"/>
        </w:rPr>
        <w:t xml:space="preserve"> حركتي داخل.</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5-</w:t>
      </w:r>
      <w:r w:rsidRPr="00DB59CC">
        <w:rPr>
          <w:rFonts w:hint="cs"/>
          <w:sz w:val="36"/>
          <w:szCs w:val="36"/>
          <w:rtl/>
          <w:lang w:val="en-GB" w:eastAsia="en-US"/>
        </w:rPr>
        <w:t xml:space="preserve"> الموصلة للصحن.</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lastRenderedPageBreak/>
        <w:t>6-</w:t>
      </w:r>
      <w:r w:rsidRPr="00DB59CC">
        <w:rPr>
          <w:rFonts w:hint="cs"/>
          <w:sz w:val="36"/>
          <w:szCs w:val="36"/>
          <w:rtl/>
          <w:lang w:val="en-GB" w:eastAsia="en-US"/>
        </w:rPr>
        <w:t xml:space="preserve"> صحن الثمان.</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7-</w:t>
      </w:r>
      <w:r w:rsidRPr="00DB59CC">
        <w:rPr>
          <w:rFonts w:hint="cs"/>
          <w:sz w:val="36"/>
          <w:szCs w:val="36"/>
          <w:rtl/>
          <w:lang w:val="en-GB" w:eastAsia="en-US"/>
        </w:rPr>
        <w:t xml:space="preserve"> ابتدائي ألطميشلي.</w:t>
      </w:r>
    </w:p>
    <w:p w:rsidR="00DB59CC" w:rsidRPr="00DB59CC" w:rsidRDefault="00DB59CC" w:rsidP="009A68A5">
      <w:pPr>
        <w:widowControl/>
        <w:spacing w:line="520" w:lineRule="exact"/>
        <w:ind w:firstLine="567"/>
        <w:jc w:val="both"/>
        <w:rPr>
          <w:sz w:val="36"/>
          <w:szCs w:val="36"/>
          <w:lang w:val="en-GB" w:eastAsia="en-US"/>
        </w:rPr>
      </w:pPr>
      <w:r w:rsidRPr="00DB59CC">
        <w:rPr>
          <w:rFonts w:hint="cs"/>
          <w:b/>
          <w:bCs/>
          <w:sz w:val="36"/>
          <w:szCs w:val="36"/>
          <w:rtl/>
          <w:lang w:val="en-GB" w:eastAsia="en-US"/>
        </w:rPr>
        <w:t xml:space="preserve">8- </w:t>
      </w:r>
      <w:r w:rsidRPr="00DB59CC">
        <w:rPr>
          <w:rFonts w:hint="cs"/>
          <w:sz w:val="36"/>
          <w:szCs w:val="36"/>
          <w:rtl/>
          <w:lang w:val="en-GB" w:eastAsia="en-US"/>
        </w:rPr>
        <w:t>حركة ألطميشلي.</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 xml:space="preserve">9- </w:t>
      </w:r>
      <w:r w:rsidRPr="00DB59CC">
        <w:rPr>
          <w:rFonts w:hint="cs"/>
          <w:sz w:val="36"/>
          <w:szCs w:val="36"/>
          <w:rtl/>
          <w:lang w:val="en-GB" w:eastAsia="en-US"/>
        </w:rPr>
        <w:t>الموصلة للسليمانية.</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10-</w:t>
      </w:r>
      <w:r w:rsidRPr="00DB59CC">
        <w:rPr>
          <w:rFonts w:hint="cs"/>
          <w:sz w:val="36"/>
          <w:szCs w:val="36"/>
          <w:rtl/>
          <w:lang w:val="en-GB" w:eastAsia="en-US"/>
        </w:rPr>
        <w:t xml:space="preserve"> خوامس السليمانية.</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11-</w:t>
      </w:r>
      <w:r w:rsidRPr="00DB59CC">
        <w:rPr>
          <w:rFonts w:hint="cs"/>
          <w:sz w:val="36"/>
          <w:szCs w:val="36"/>
          <w:rtl/>
          <w:lang w:val="en-GB" w:eastAsia="en-US"/>
        </w:rPr>
        <w:t xml:space="preserve"> السليمانية.</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12-</w:t>
      </w:r>
      <w:r w:rsidRPr="00DB59CC">
        <w:rPr>
          <w:rFonts w:hint="cs"/>
          <w:sz w:val="36"/>
          <w:szCs w:val="36"/>
          <w:rtl/>
          <w:lang w:val="en-GB" w:eastAsia="en-US"/>
        </w:rPr>
        <w:t xml:space="preserve"> دار الحديث.</w:t>
      </w:r>
    </w:p>
    <w:p w:rsidR="00DB59CC" w:rsidRPr="00DB59CC" w:rsidRDefault="00DB59CC" w:rsidP="009A68A5">
      <w:pPr>
        <w:widowControl/>
        <w:ind w:firstLine="567"/>
        <w:jc w:val="both"/>
        <w:rPr>
          <w:spacing w:val="-6"/>
          <w:sz w:val="36"/>
          <w:szCs w:val="36"/>
          <w:rtl/>
          <w:lang w:val="en-GB" w:eastAsia="en-US"/>
        </w:rPr>
      </w:pPr>
      <w:r w:rsidRPr="00DB59CC">
        <w:rPr>
          <w:rFonts w:hint="cs"/>
          <w:spacing w:val="-6"/>
          <w:sz w:val="36"/>
          <w:szCs w:val="36"/>
          <w:rtl/>
          <w:lang w:val="en-GB" w:eastAsia="en-US"/>
        </w:rPr>
        <w:t xml:space="preserve">وكان على كل طالب أن ينال في كل مرحلة (إجازة) تشهد له بإتقانه لما درسه، وتسمح له </w:t>
      </w:r>
      <w:r w:rsidRPr="00DB59CC">
        <w:rPr>
          <w:rFonts w:hint="cs"/>
          <w:spacing w:val="-4"/>
          <w:sz w:val="36"/>
          <w:szCs w:val="36"/>
          <w:rtl/>
          <w:lang w:val="en-GB" w:eastAsia="en-US"/>
        </w:rPr>
        <w:t>بالانتقال إلى الدرجة التي تليها. وعندما يصل إلى الدرجة السادسة يُطلق عليه (دانشمند)، ويُسمح له بمتابعة دراسته في المدارس الأعلى، وأن يعمل في الوقت نفسه مدرسًا مساعدًا في الدرجات الأدنى، ويسمى بـ( المعيد). وإذا واصل دراسته في المراحل العليا يصبح (مدرسًا). وإذا أراد أن يترقّى</w:t>
      </w:r>
      <w:r w:rsidR="0048366D">
        <w:rPr>
          <w:rFonts w:hint="cs"/>
          <w:spacing w:val="-4"/>
          <w:sz w:val="36"/>
          <w:szCs w:val="36"/>
          <w:rtl/>
          <w:lang w:val="en-GB" w:eastAsia="en-US"/>
        </w:rPr>
        <w:t>:</w:t>
      </w:r>
      <w:r w:rsidRPr="00DB59CC">
        <w:rPr>
          <w:rFonts w:hint="cs"/>
          <w:spacing w:val="-4"/>
          <w:sz w:val="36"/>
          <w:szCs w:val="36"/>
          <w:rtl/>
          <w:lang w:val="en-GB" w:eastAsia="en-US"/>
        </w:rPr>
        <w:t xml:space="preserve"> عليه أن يبدأ بالتدريس في المرحلة الدنيا، ثم يرتقي تدريجـيًّا، فإذا وصل في التدريس إلى الدرجة التاسعة يصبح مرشحًا لم</w:t>
      </w:r>
      <w:r w:rsidRPr="00DB59CC">
        <w:rPr>
          <w:rFonts w:hint="cs"/>
          <w:spacing w:val="-6"/>
          <w:sz w:val="36"/>
          <w:szCs w:val="36"/>
          <w:rtl/>
          <w:lang w:val="en-GB" w:eastAsia="en-US"/>
        </w:rPr>
        <w:t>نصب (الملا) أو (القاضي الكبير).</w:t>
      </w:r>
      <w:r w:rsidRPr="00DB59CC">
        <w:rPr>
          <w:bCs/>
          <w:spacing w:val="-6"/>
          <w:sz w:val="36"/>
          <w:szCs w:val="32"/>
          <w:vertAlign w:val="superscript"/>
          <w:rtl/>
          <w:lang w:val="en-GB" w:eastAsia="en-US"/>
        </w:rPr>
        <w:t xml:space="preserve"> (</w:t>
      </w:r>
      <w:r w:rsidRPr="00DB59CC">
        <w:rPr>
          <w:bCs/>
          <w:spacing w:val="-6"/>
          <w:sz w:val="36"/>
          <w:szCs w:val="32"/>
          <w:vertAlign w:val="superscript"/>
          <w:rtl/>
          <w:lang w:val="en-GB" w:eastAsia="en-US"/>
        </w:rPr>
        <w:footnoteReference w:id="58"/>
      </w:r>
      <w:r w:rsidRPr="00DB59CC">
        <w:rPr>
          <w:bCs/>
          <w:spacing w:val="-6"/>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5-</w:t>
      </w:r>
      <w:r w:rsidRPr="00DB59CC">
        <w:rPr>
          <w:rFonts w:hint="cs"/>
          <w:sz w:val="36"/>
          <w:szCs w:val="36"/>
          <w:rtl/>
          <w:lang w:val="en-GB" w:eastAsia="en-US"/>
        </w:rPr>
        <w:t xml:space="preserve"> مدارس مسجد السلطان بايزيد</w:t>
      </w:r>
      <w:r w:rsidR="0048366D">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وقد بناها السلطان بايزيد الثاني بن محمد الفاتح (ت 918هـ) بجوار مسجده المشهور في استانبول. وهي مختصّة بدراسة الفقه. وهذه المدارس يتجه إليها غالبًا من حصل على لقب (الدانشمند) ولا يرغب في متابعة التحصيل في السليمانية، فيدرس في هذه المدارس ويتخرج منها بدرجة</w:t>
      </w:r>
      <w:r w:rsidR="0048366D">
        <w:rPr>
          <w:rFonts w:hint="cs"/>
          <w:sz w:val="36"/>
          <w:szCs w:val="36"/>
          <w:rtl/>
          <w:lang w:val="en-GB" w:eastAsia="en-US"/>
        </w:rPr>
        <w:t>:</w:t>
      </w:r>
      <w:r w:rsidRPr="00DB59CC">
        <w:rPr>
          <w:rFonts w:hint="cs"/>
          <w:sz w:val="36"/>
          <w:szCs w:val="36"/>
          <w:rtl/>
          <w:lang w:val="en-GB" w:eastAsia="en-US"/>
        </w:rPr>
        <w:t>(ملازم).</w:t>
      </w:r>
    </w:p>
    <w:p w:rsidR="00DB59CC" w:rsidRPr="00DB59CC" w:rsidRDefault="00DB59CC" w:rsidP="009A68A5">
      <w:pPr>
        <w:widowControl/>
        <w:ind w:firstLine="567"/>
        <w:jc w:val="both"/>
        <w:rPr>
          <w:spacing w:val="-6"/>
          <w:sz w:val="36"/>
          <w:szCs w:val="36"/>
          <w:rtl/>
          <w:lang w:val="en-GB" w:eastAsia="en-US"/>
        </w:rPr>
      </w:pPr>
      <w:r w:rsidRPr="00DB59CC">
        <w:rPr>
          <w:rFonts w:hint="cs"/>
          <w:spacing w:val="-6"/>
          <w:sz w:val="36"/>
          <w:szCs w:val="36"/>
          <w:rtl/>
          <w:lang w:val="en-GB" w:eastAsia="en-US"/>
        </w:rPr>
        <w:lastRenderedPageBreak/>
        <w:t>وهذه المدارس تشترك مع المدارس الأخر في غير مدينة استانبول من جهة التأهيل لشغل وظائف: نواب القضاة، أو القضاة العاديين، أو المفتين في الأقاليم. وإذا رغب الخريجون من هذه المدارس المتابعة ليصبحوا مدرسين</w:t>
      </w:r>
      <w:r w:rsidR="0048366D">
        <w:rPr>
          <w:rFonts w:hint="cs"/>
          <w:spacing w:val="-6"/>
          <w:sz w:val="36"/>
          <w:szCs w:val="36"/>
          <w:rtl/>
          <w:lang w:val="en-GB" w:eastAsia="en-US"/>
        </w:rPr>
        <w:t>:</w:t>
      </w:r>
      <w:r w:rsidRPr="00DB59CC">
        <w:rPr>
          <w:rFonts w:hint="cs"/>
          <w:spacing w:val="-6"/>
          <w:sz w:val="36"/>
          <w:szCs w:val="36"/>
          <w:rtl/>
          <w:lang w:val="en-GB" w:eastAsia="en-US"/>
        </w:rPr>
        <w:t xml:space="preserve"> فإنه كان أمامهم سبع سنوات أخر في المدارس العليا.</w:t>
      </w:r>
      <w:r w:rsidRPr="00DB59CC">
        <w:rPr>
          <w:bCs/>
          <w:spacing w:val="-6"/>
          <w:sz w:val="36"/>
          <w:szCs w:val="32"/>
          <w:vertAlign w:val="superscript"/>
          <w:rtl/>
          <w:lang w:val="en-GB" w:eastAsia="en-US"/>
        </w:rPr>
        <w:t>(</w:t>
      </w:r>
      <w:r w:rsidRPr="00DB59CC">
        <w:rPr>
          <w:bCs/>
          <w:spacing w:val="-6"/>
          <w:sz w:val="36"/>
          <w:szCs w:val="32"/>
          <w:vertAlign w:val="superscript"/>
          <w:rtl/>
          <w:lang w:val="en-GB" w:eastAsia="en-US"/>
        </w:rPr>
        <w:footnoteReference w:id="59"/>
      </w:r>
      <w:r w:rsidRPr="00DB59CC">
        <w:rPr>
          <w:bCs/>
          <w:spacing w:val="-6"/>
          <w:sz w:val="36"/>
          <w:szCs w:val="32"/>
          <w:vertAlign w:val="superscript"/>
          <w:rtl/>
          <w:lang w:val="en-GB" w:eastAsia="en-US"/>
        </w:rPr>
        <w:t>)</w:t>
      </w:r>
    </w:p>
    <w:p w:rsidR="00DB59CC" w:rsidRPr="00DB59CC" w:rsidRDefault="00DB59CC" w:rsidP="009A68A5">
      <w:pPr>
        <w:widowControl/>
        <w:ind w:firstLine="567"/>
        <w:jc w:val="both"/>
        <w:rPr>
          <w:sz w:val="35"/>
          <w:szCs w:val="35"/>
          <w:rtl/>
          <w:lang w:val="en-GB" w:eastAsia="en-US"/>
        </w:rPr>
      </w:pPr>
      <w:r w:rsidRPr="00DB59CC">
        <w:rPr>
          <w:rFonts w:hint="cs"/>
          <w:sz w:val="35"/>
          <w:szCs w:val="35"/>
          <w:rtl/>
          <w:lang w:val="en-GB" w:eastAsia="en-US"/>
        </w:rPr>
        <w:t>هذه أبرز المدارس في تركيا، والتي درس فيها أبرز علماء الدولة، وقضاتها، والمفتون فيها.</w:t>
      </w:r>
    </w:p>
    <w:p w:rsidR="00DB59CC" w:rsidRPr="00DB59CC" w:rsidRDefault="00DB59CC" w:rsidP="009A68A5">
      <w:pPr>
        <w:widowControl/>
        <w:ind w:firstLine="567"/>
        <w:jc w:val="both"/>
        <w:rPr>
          <w:rFonts w:cs="AL-Mateen"/>
          <w:sz w:val="36"/>
          <w:szCs w:val="36"/>
          <w:rtl/>
          <w:lang w:val="en-GB" w:eastAsia="en-US"/>
        </w:rPr>
      </w:pPr>
      <w:r w:rsidRPr="00DB59CC">
        <w:rPr>
          <w:rFonts w:cs="AL-Mateen" w:hint="cs"/>
          <w:sz w:val="48"/>
          <w:szCs w:val="36"/>
          <w:rtl/>
          <w:lang w:val="en-GB" w:eastAsia="en-US"/>
        </w:rPr>
        <w:t>ثانيًا</w:t>
      </w:r>
      <w:r w:rsidR="0048366D">
        <w:rPr>
          <w:rFonts w:cs="AL-Mateen" w:hint="cs"/>
          <w:sz w:val="48"/>
          <w:szCs w:val="36"/>
          <w:rtl/>
          <w:lang w:val="en-GB" w:eastAsia="en-US"/>
        </w:rPr>
        <w:t>:</w:t>
      </w:r>
      <w:r w:rsidRPr="00DB59CC">
        <w:rPr>
          <w:rFonts w:cs="AL-Mateen" w:hint="cs"/>
          <w:sz w:val="48"/>
          <w:szCs w:val="36"/>
          <w:rtl/>
          <w:lang w:val="en-GB" w:eastAsia="en-US"/>
        </w:rPr>
        <w:t xml:space="preserve"> المعلّمون</w:t>
      </w:r>
      <w:r w:rsidR="0048366D">
        <w:rPr>
          <w:rFonts w:cs="AL-Mateen" w:hint="cs"/>
          <w:sz w:val="48"/>
          <w:szCs w:val="36"/>
          <w:rtl/>
          <w:lang w:val="en-GB" w:eastAsia="en-US"/>
        </w:rPr>
        <w:t>:</w:t>
      </w:r>
      <w:r w:rsidRPr="00DB59CC">
        <w:rPr>
          <w:rFonts w:cs="AL-Mateen" w:hint="cs"/>
          <w:sz w:val="36"/>
          <w:szCs w:val="36"/>
          <w:rtl/>
          <w:lang w:val="en-GB" w:eastAsia="en-US"/>
        </w:rPr>
        <w:t xml:space="preserve"> </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لقد تبين من خلال العرض السابق أن القيام بالتعليم في المدارس لا يوكل إلا لمن تأهّل لذلك تأهلاً كافيًا.</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فلا بدّ من الانتهاء من المراحل الدنيا في الدراسة والوصول إلى رتبة (دانشمند)، سواء أكان ذلك في مدارس الصحن الثماني، أم المراحل الست الأول من مدارس السليمانية، أم أي مدرسة تؤهل إلى ذلك. وبعد ذلك يترقّى في التدريس والتعليم، إذ للمعلم عدة مراحل</w:t>
      </w:r>
      <w:r w:rsidR="0048366D">
        <w:rPr>
          <w:rFonts w:hint="cs"/>
          <w:sz w:val="36"/>
          <w:szCs w:val="36"/>
          <w:rtl/>
          <w:lang w:val="en-GB" w:eastAsia="en-US"/>
        </w:rPr>
        <w:t>:</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b/>
          <w:bCs/>
          <w:sz w:val="36"/>
          <w:szCs w:val="36"/>
          <w:rtl/>
          <w:lang w:val="en-GB" w:eastAsia="en-US"/>
        </w:rPr>
        <w:t>1- المعيد</w:t>
      </w:r>
      <w:r w:rsidR="0048366D">
        <w:rPr>
          <w:rFonts w:hint="cs"/>
          <w:b/>
          <w:bCs/>
          <w:sz w:val="36"/>
          <w:szCs w:val="36"/>
          <w:rtl/>
          <w:lang w:val="en-GB" w:eastAsia="en-US"/>
        </w:rPr>
        <w:t>:</w:t>
      </w:r>
      <w:r w:rsidRPr="00DB59CC">
        <w:rPr>
          <w:rFonts w:hint="cs"/>
          <w:sz w:val="36"/>
          <w:szCs w:val="36"/>
          <w:rtl/>
          <w:lang w:val="en-GB" w:eastAsia="en-US"/>
        </w:rPr>
        <w:t xml:space="preserve"> وهو المدرس المساعد في الدرجات الدنيا، بحيث يستمع إلى الطلاب، ويعيد عليهم ما كانوا قد درسوه على أساتذتهم.</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b/>
          <w:bCs/>
          <w:sz w:val="36"/>
          <w:szCs w:val="36"/>
          <w:rtl/>
          <w:lang w:val="en-GB" w:eastAsia="en-US"/>
        </w:rPr>
        <w:t>2- المدرس</w:t>
      </w:r>
      <w:r w:rsidR="0048366D">
        <w:rPr>
          <w:rFonts w:hint="cs"/>
          <w:b/>
          <w:bCs/>
          <w:sz w:val="36"/>
          <w:szCs w:val="36"/>
          <w:rtl/>
          <w:lang w:val="en-GB" w:eastAsia="en-US"/>
        </w:rPr>
        <w:t>:</w:t>
      </w:r>
      <w:r w:rsidRPr="00DB59CC">
        <w:rPr>
          <w:rFonts w:hint="cs"/>
          <w:sz w:val="36"/>
          <w:szCs w:val="36"/>
          <w:rtl/>
          <w:lang w:val="en-GB" w:eastAsia="en-US"/>
        </w:rPr>
        <w:t xml:space="preserve"> وهو الذي يواصل دراسته في المراحل الست المتبقية في مدارس السليمانية، وينال منها أكبر عدد من الإجازات.</w:t>
      </w:r>
    </w:p>
    <w:p w:rsidR="00DB59CC" w:rsidRPr="00DB59CC" w:rsidRDefault="00DB59CC" w:rsidP="009A68A5">
      <w:pPr>
        <w:widowControl/>
        <w:spacing w:line="520" w:lineRule="exact"/>
        <w:ind w:firstLine="567"/>
        <w:jc w:val="both"/>
        <w:rPr>
          <w:spacing w:val="-6"/>
          <w:sz w:val="36"/>
          <w:szCs w:val="36"/>
          <w:rtl/>
          <w:lang w:val="en-GB" w:eastAsia="en-US"/>
        </w:rPr>
      </w:pPr>
      <w:r w:rsidRPr="00DB59CC">
        <w:rPr>
          <w:rFonts w:hint="cs"/>
          <w:b/>
          <w:bCs/>
          <w:spacing w:val="-6"/>
          <w:sz w:val="36"/>
          <w:szCs w:val="36"/>
          <w:rtl/>
          <w:lang w:val="en-GB" w:eastAsia="en-US"/>
        </w:rPr>
        <w:t>3- (الملا) أو (القاضي الكبير)</w:t>
      </w:r>
      <w:r w:rsidR="0048366D">
        <w:rPr>
          <w:rFonts w:hint="cs"/>
          <w:b/>
          <w:bCs/>
          <w:spacing w:val="-6"/>
          <w:sz w:val="36"/>
          <w:szCs w:val="36"/>
          <w:rtl/>
          <w:lang w:val="en-GB" w:eastAsia="en-US"/>
        </w:rPr>
        <w:t>:</w:t>
      </w:r>
      <w:r w:rsidRPr="00DB59CC">
        <w:rPr>
          <w:rFonts w:hint="cs"/>
          <w:b/>
          <w:bCs/>
          <w:spacing w:val="-6"/>
          <w:sz w:val="36"/>
          <w:szCs w:val="36"/>
          <w:rtl/>
          <w:lang w:val="en-GB" w:eastAsia="en-US"/>
        </w:rPr>
        <w:t xml:space="preserve"> </w:t>
      </w:r>
      <w:r w:rsidRPr="00DB59CC">
        <w:rPr>
          <w:rFonts w:hint="cs"/>
          <w:spacing w:val="-6"/>
          <w:sz w:val="36"/>
          <w:szCs w:val="36"/>
          <w:rtl/>
          <w:lang w:val="en-GB" w:eastAsia="en-US"/>
        </w:rPr>
        <w:t>وهذا منصب لا يترشّح إليه إلا من درّس في المراحل الدنيا، ثم ترقى فيها تدريجيًّا نحو العليا إلى أن يصل إلى الدرجة التاسعة من التدريس على الأقل.</w:t>
      </w:r>
    </w:p>
    <w:p w:rsidR="00DB59CC" w:rsidRPr="00DB59CC" w:rsidRDefault="00DB59CC" w:rsidP="009A68A5">
      <w:pPr>
        <w:widowControl/>
        <w:spacing w:line="520" w:lineRule="exact"/>
        <w:ind w:firstLine="567"/>
        <w:jc w:val="both"/>
        <w:rPr>
          <w:sz w:val="36"/>
          <w:szCs w:val="36"/>
          <w:rtl/>
          <w:lang w:val="en-GB" w:eastAsia="en-US"/>
        </w:rPr>
      </w:pPr>
      <w:r w:rsidRPr="00DB59CC">
        <w:rPr>
          <w:rFonts w:hint="cs"/>
          <w:sz w:val="36"/>
          <w:szCs w:val="36"/>
          <w:rtl/>
          <w:lang w:val="en-GB" w:eastAsia="en-US"/>
        </w:rPr>
        <w:t>ومن يترقى في التدريس تصبح له مكانة عالية في المجتمع، ويصير مرشّحًا لتولّي أعلى المناصب الدينية، ومن أشهر هذه المناصب</w:t>
      </w:r>
      <w:r w:rsidR="0048366D">
        <w:rPr>
          <w:rFonts w:hint="cs"/>
          <w:sz w:val="36"/>
          <w:szCs w:val="36"/>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أ- شيخ الإسلام</w:t>
      </w:r>
      <w:r w:rsidR="0048366D">
        <w:rPr>
          <w:rFonts w:hint="cs"/>
          <w:b/>
          <w:bCs/>
          <w:sz w:val="36"/>
          <w:szCs w:val="36"/>
          <w:rtl/>
          <w:lang w:val="en-GB" w:eastAsia="en-US"/>
        </w:rPr>
        <w:t>:</w:t>
      </w:r>
    </w:p>
    <w:p w:rsidR="00DB59CC" w:rsidRPr="00DB59CC" w:rsidRDefault="00DB59CC" w:rsidP="009A68A5">
      <w:pPr>
        <w:widowControl/>
        <w:ind w:firstLine="567"/>
        <w:jc w:val="both"/>
        <w:rPr>
          <w:spacing w:val="-8"/>
          <w:sz w:val="36"/>
          <w:szCs w:val="36"/>
          <w:rtl/>
          <w:lang w:val="en-GB" w:eastAsia="en-US"/>
        </w:rPr>
      </w:pPr>
      <w:r w:rsidRPr="00DB59CC">
        <w:rPr>
          <w:rFonts w:hint="cs"/>
          <w:spacing w:val="-8"/>
          <w:sz w:val="36"/>
          <w:szCs w:val="36"/>
          <w:rtl/>
          <w:lang w:val="en-GB" w:eastAsia="en-US"/>
        </w:rPr>
        <w:lastRenderedPageBreak/>
        <w:t>لقد استُحدث هذا المنصب في عهد السلطان سليمان القانوني (ت 974هـ)، حيث اعتبر مفتي استانبول أعلى الموظفين الدينيين ورئيس العلماء، وكان يحقّ له إصدار فتوى بعزل السلطان نفسه، كما أنه هو الذي يعين المفتين في مراكز الولايات الكبيرة، وكذلك القضاة الحنفيين الكبار.</w:t>
      </w:r>
    </w:p>
    <w:p w:rsidR="00DB59CC" w:rsidRPr="00DB59CC" w:rsidRDefault="00DB59CC" w:rsidP="009A68A5">
      <w:pPr>
        <w:widowControl/>
        <w:ind w:firstLine="423"/>
        <w:jc w:val="both"/>
        <w:rPr>
          <w:spacing w:val="-12"/>
          <w:sz w:val="36"/>
          <w:szCs w:val="36"/>
          <w:rtl/>
          <w:lang w:val="en-GB" w:eastAsia="en-US"/>
        </w:rPr>
      </w:pPr>
      <w:r w:rsidRPr="00DB59CC">
        <w:rPr>
          <w:rFonts w:hint="cs"/>
          <w:spacing w:val="-12"/>
          <w:sz w:val="34"/>
          <w:szCs w:val="34"/>
          <w:rtl/>
          <w:lang w:val="en-GB" w:eastAsia="en-US"/>
        </w:rPr>
        <w:t>ومثل مفتي استانبول ساهم المفتون في مراكز الولايات في مختلف المجالات وأثّروا على سير الأحداث.</w:t>
      </w:r>
      <w:r w:rsidRPr="00DB59CC">
        <w:rPr>
          <w:bCs/>
          <w:spacing w:val="-12"/>
          <w:sz w:val="34"/>
          <w:szCs w:val="34"/>
          <w:vertAlign w:val="superscript"/>
          <w:rtl/>
          <w:lang w:val="en-GB" w:eastAsia="en-US"/>
        </w:rPr>
        <w:t xml:space="preserve"> </w:t>
      </w:r>
      <w:r w:rsidRPr="00DB59CC">
        <w:rPr>
          <w:bCs/>
          <w:spacing w:val="-12"/>
          <w:sz w:val="36"/>
          <w:szCs w:val="32"/>
          <w:vertAlign w:val="superscript"/>
          <w:rtl/>
          <w:lang w:val="en-GB" w:eastAsia="en-US"/>
        </w:rPr>
        <w:t>(</w:t>
      </w:r>
      <w:r w:rsidRPr="00DB59CC">
        <w:rPr>
          <w:bCs/>
          <w:spacing w:val="-12"/>
          <w:sz w:val="36"/>
          <w:szCs w:val="32"/>
          <w:vertAlign w:val="superscript"/>
          <w:rtl/>
          <w:lang w:val="en-GB" w:eastAsia="en-US"/>
        </w:rPr>
        <w:footnoteReference w:id="60"/>
      </w:r>
      <w:r w:rsidRPr="00DB59CC">
        <w:rPr>
          <w:bCs/>
          <w:spacing w:val="-12"/>
          <w:sz w:val="36"/>
          <w:szCs w:val="32"/>
          <w:vertAlign w:val="superscript"/>
          <w:rtl/>
          <w:lang w:val="en-GB" w:eastAsia="en-US"/>
        </w:rPr>
        <w:t>)</w:t>
      </w:r>
    </w:p>
    <w:p w:rsidR="00DB59CC" w:rsidRPr="00DB59CC" w:rsidRDefault="00DB59CC" w:rsidP="009A68A5">
      <w:pPr>
        <w:widowControl/>
        <w:ind w:firstLine="567"/>
        <w:jc w:val="both"/>
        <w:rPr>
          <w:b/>
          <w:bCs/>
          <w:sz w:val="36"/>
          <w:szCs w:val="36"/>
          <w:rtl/>
          <w:lang w:val="en-GB" w:eastAsia="en-US"/>
        </w:rPr>
      </w:pPr>
      <w:r w:rsidRPr="00DB59CC">
        <w:rPr>
          <w:rFonts w:hint="cs"/>
          <w:b/>
          <w:bCs/>
          <w:sz w:val="36"/>
          <w:szCs w:val="36"/>
          <w:rtl/>
          <w:lang w:val="en-GB" w:eastAsia="en-US"/>
        </w:rPr>
        <w:t>ب- القاضي</w:t>
      </w:r>
      <w:r w:rsidR="0048366D">
        <w:rPr>
          <w:rFonts w:hint="cs"/>
          <w:b/>
          <w:bCs/>
          <w:sz w:val="36"/>
          <w:szCs w:val="36"/>
          <w:rtl/>
          <w:lang w:val="en-GB" w:eastAsia="en-US"/>
        </w:rPr>
        <w:t>:</w:t>
      </w:r>
    </w:p>
    <w:p w:rsidR="009A6E4B" w:rsidRDefault="00DB59CC" w:rsidP="009A68A5">
      <w:pPr>
        <w:widowControl/>
        <w:ind w:firstLine="567"/>
        <w:jc w:val="both"/>
        <w:rPr>
          <w:sz w:val="36"/>
          <w:szCs w:val="36"/>
          <w:rtl/>
          <w:lang w:val="en-GB" w:eastAsia="en-US"/>
        </w:rPr>
      </w:pPr>
      <w:r w:rsidRPr="00DB59CC">
        <w:rPr>
          <w:rFonts w:hint="cs"/>
          <w:sz w:val="36"/>
          <w:szCs w:val="36"/>
          <w:rtl/>
          <w:lang w:val="en-GB" w:eastAsia="en-US"/>
        </w:rPr>
        <w:t>يلي شيخ الإسلام في الرتبة كل من</w:t>
      </w:r>
      <w:r w:rsidR="0048366D">
        <w:rPr>
          <w:rFonts w:hint="cs"/>
          <w:sz w:val="36"/>
          <w:szCs w:val="36"/>
          <w:rtl/>
          <w:lang w:val="en-GB" w:eastAsia="en-US"/>
        </w:rPr>
        <w:t>:</w:t>
      </w:r>
      <w:r w:rsidRPr="00DB59CC">
        <w:rPr>
          <w:rFonts w:hint="cs"/>
          <w:sz w:val="36"/>
          <w:szCs w:val="36"/>
          <w:rtl/>
          <w:lang w:val="en-GB" w:eastAsia="en-US"/>
        </w:rPr>
        <w:t xml:space="preserve"> قاضي عسكر روميلية، وقاضي عسكر الأناضول. ثم يأتي بعد ذلك عدد من القضاة الكبار في بعض مراكز الولايات، ويلقب كل هؤلاء القضاة بلقب (ملاّ) أو (منلا).</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ورغم وجود قضاة معترف بهم لمختلف المذاهب</w:t>
      </w:r>
      <w:r w:rsidR="0048366D">
        <w:rPr>
          <w:rFonts w:hint="cs"/>
          <w:sz w:val="36"/>
          <w:szCs w:val="36"/>
          <w:rtl/>
          <w:lang w:val="en-GB" w:eastAsia="en-US"/>
        </w:rPr>
        <w:t>:</w:t>
      </w:r>
      <w:r w:rsidRPr="00DB59CC">
        <w:rPr>
          <w:rFonts w:hint="cs"/>
          <w:sz w:val="36"/>
          <w:szCs w:val="36"/>
          <w:rtl/>
          <w:lang w:val="en-GB" w:eastAsia="en-US"/>
        </w:rPr>
        <w:t xml:space="preserve"> كان القاضي الرسمي في الدولة هو القاضي الحنفي، وأغلبهم من أصل رومي. وكانوا يعيّنون عادة لمدة سنة، تمدّد أحيانًا. وكان لهم نواب ينوبون عنهم عند غيابهم.</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61"/>
      </w:r>
      <w:r w:rsidRPr="00DB59CC">
        <w:rPr>
          <w:bCs/>
          <w:sz w:val="36"/>
          <w:szCs w:val="32"/>
          <w:vertAlign w:val="superscript"/>
          <w:rtl/>
          <w:lang w:val="en-GB" w:eastAsia="en-US"/>
        </w:rPr>
        <w:t>)</w:t>
      </w:r>
    </w:p>
    <w:p w:rsidR="00DB59CC" w:rsidRPr="00DB59CC" w:rsidRDefault="00DB59CC" w:rsidP="009A68A5">
      <w:pPr>
        <w:widowControl/>
        <w:ind w:firstLine="567"/>
        <w:jc w:val="both"/>
        <w:rPr>
          <w:rFonts w:cs="AL-Mateen"/>
          <w:sz w:val="48"/>
          <w:szCs w:val="36"/>
          <w:rtl/>
          <w:lang w:val="en-GB" w:eastAsia="en-US"/>
        </w:rPr>
      </w:pPr>
      <w:r w:rsidRPr="00DB59CC">
        <w:rPr>
          <w:rFonts w:cs="AL-Mateen" w:hint="cs"/>
          <w:sz w:val="48"/>
          <w:szCs w:val="36"/>
          <w:rtl/>
          <w:lang w:val="en-GB" w:eastAsia="en-US"/>
        </w:rPr>
        <w:t>ثالثًا</w:t>
      </w:r>
      <w:r w:rsidR="0048366D">
        <w:rPr>
          <w:rFonts w:cs="AL-Mateen" w:hint="cs"/>
          <w:sz w:val="48"/>
          <w:szCs w:val="36"/>
          <w:rtl/>
          <w:lang w:val="en-GB" w:eastAsia="en-US"/>
        </w:rPr>
        <w:t>:</w:t>
      </w:r>
      <w:r w:rsidRPr="00DB59CC">
        <w:rPr>
          <w:rFonts w:cs="AL-Mateen" w:hint="cs"/>
          <w:sz w:val="48"/>
          <w:szCs w:val="36"/>
          <w:rtl/>
          <w:lang w:val="en-GB" w:eastAsia="en-US"/>
        </w:rPr>
        <w:t xml:space="preserve"> المكتبات</w:t>
      </w:r>
      <w:r w:rsidR="0048366D">
        <w:rPr>
          <w:rFonts w:cs="AL-Mateen" w:hint="cs"/>
          <w:sz w:val="48"/>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كانت المكتبات محل اهتمام كثير من السلاطين والأمراء وأهل الخير، وكانوا يلحقونها بالمدارس والجوامع، وكانت عاصمة الخلافة تزخر بعدد كبير من المكتبات، كذلك الحال في بقية الولايات. ومن أشهر هذه المكتبات</w:t>
      </w:r>
      <w:r w:rsidR="0048366D">
        <w:rPr>
          <w:rFonts w:hint="cs"/>
          <w:sz w:val="36"/>
          <w:szCs w:val="36"/>
          <w:rtl/>
          <w:lang w:val="en-GB" w:eastAsia="en-US"/>
        </w:rPr>
        <w:t>:</w:t>
      </w:r>
    </w:p>
    <w:p w:rsidR="00DB59CC" w:rsidRPr="00DB59CC" w:rsidRDefault="00DB59CC" w:rsidP="009A68A5">
      <w:pPr>
        <w:widowControl/>
        <w:ind w:firstLine="567"/>
        <w:jc w:val="both"/>
        <w:rPr>
          <w:spacing w:val="-6"/>
          <w:sz w:val="36"/>
          <w:szCs w:val="36"/>
          <w:rtl/>
          <w:lang w:val="en-GB" w:eastAsia="en-US"/>
        </w:rPr>
      </w:pPr>
      <w:r w:rsidRPr="00DB59CC">
        <w:rPr>
          <w:rFonts w:hint="cs"/>
          <w:b/>
          <w:bCs/>
          <w:spacing w:val="-6"/>
          <w:sz w:val="36"/>
          <w:szCs w:val="36"/>
          <w:rtl/>
          <w:lang w:val="en-GB" w:eastAsia="en-US"/>
        </w:rPr>
        <w:t xml:space="preserve">1- </w:t>
      </w:r>
      <w:r w:rsidRPr="00DB59CC">
        <w:rPr>
          <w:rFonts w:hint="cs"/>
          <w:spacing w:val="-6"/>
          <w:sz w:val="36"/>
          <w:szCs w:val="36"/>
          <w:rtl/>
          <w:lang w:val="en-GB" w:eastAsia="en-US"/>
        </w:rPr>
        <w:t>مكتبة السليمانية</w:t>
      </w:r>
      <w:r w:rsidR="0048366D">
        <w:rPr>
          <w:rFonts w:hint="cs"/>
          <w:spacing w:val="-6"/>
          <w:sz w:val="36"/>
          <w:szCs w:val="36"/>
          <w:rtl/>
          <w:lang w:val="en-GB" w:eastAsia="en-US"/>
        </w:rPr>
        <w:t>:</w:t>
      </w:r>
      <w:r w:rsidRPr="00DB59CC">
        <w:rPr>
          <w:rFonts w:hint="cs"/>
          <w:spacing w:val="-6"/>
          <w:sz w:val="36"/>
          <w:szCs w:val="36"/>
          <w:rtl/>
          <w:lang w:val="en-GB" w:eastAsia="en-US"/>
        </w:rPr>
        <w:t xml:space="preserve"> وهي موجودة في جامع السليمانية باستانبول، وقد أُلحق بها مؤخرًا أكثر المكتبات الوقفية في استانبول، ممّا جعلها تحتلّ مكانة مرموقة في عدد المخطوطات على مستوى العالم.</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 xml:space="preserve">2- </w:t>
      </w:r>
      <w:r w:rsidRPr="00DB59CC">
        <w:rPr>
          <w:rFonts w:hint="cs"/>
          <w:sz w:val="36"/>
          <w:szCs w:val="36"/>
          <w:rtl/>
          <w:lang w:val="en-GB" w:eastAsia="en-US"/>
        </w:rPr>
        <w:t>المكتبة العمومية</w:t>
      </w:r>
      <w:r w:rsidR="0048366D">
        <w:rPr>
          <w:rFonts w:hint="cs"/>
          <w:sz w:val="36"/>
          <w:szCs w:val="36"/>
          <w:rtl/>
          <w:lang w:val="en-GB" w:eastAsia="en-US"/>
        </w:rPr>
        <w:t>:</w:t>
      </w:r>
      <w:r w:rsidRPr="00DB59CC">
        <w:rPr>
          <w:rFonts w:hint="cs"/>
          <w:sz w:val="36"/>
          <w:szCs w:val="36"/>
          <w:rtl/>
          <w:lang w:val="en-GB" w:eastAsia="en-US"/>
        </w:rPr>
        <w:t xml:space="preserve"> وهي ملحقة بجامع بايزيد باستانبول.</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 xml:space="preserve">3- </w:t>
      </w:r>
      <w:r w:rsidRPr="00DB59CC">
        <w:rPr>
          <w:rFonts w:hint="cs"/>
          <w:sz w:val="36"/>
          <w:szCs w:val="36"/>
          <w:rtl/>
          <w:lang w:val="en-GB" w:eastAsia="en-US"/>
        </w:rPr>
        <w:t>مكتبة الفاتح</w:t>
      </w:r>
      <w:r w:rsidR="0048366D">
        <w:rPr>
          <w:rFonts w:hint="cs"/>
          <w:sz w:val="36"/>
          <w:szCs w:val="36"/>
          <w:rtl/>
          <w:lang w:val="en-GB" w:eastAsia="en-US"/>
        </w:rPr>
        <w:t>:</w:t>
      </w:r>
      <w:r w:rsidRPr="00DB59CC">
        <w:rPr>
          <w:rFonts w:hint="cs"/>
          <w:sz w:val="36"/>
          <w:szCs w:val="36"/>
          <w:rtl/>
          <w:lang w:val="en-GB" w:eastAsia="en-US"/>
        </w:rPr>
        <w:t xml:space="preserve"> وكانت موجودة في مسجد الفاتح في استانبول، إلا أنها ضُمّت مؤخّرًا إلى السليمانية.</w:t>
      </w:r>
      <w:r w:rsidRPr="00DB59CC">
        <w:rPr>
          <w:bCs/>
          <w:sz w:val="36"/>
          <w:szCs w:val="32"/>
          <w:vertAlign w:val="superscript"/>
          <w:rtl/>
          <w:lang w:val="en-GB" w:eastAsia="en-US"/>
        </w:rPr>
        <w:t>(</w:t>
      </w:r>
      <w:r w:rsidRPr="00DB59CC">
        <w:rPr>
          <w:bCs/>
          <w:sz w:val="36"/>
          <w:szCs w:val="32"/>
          <w:vertAlign w:val="superscript"/>
          <w:rtl/>
          <w:lang w:val="en-GB" w:eastAsia="en-US"/>
        </w:rPr>
        <w:footnoteReference w:id="62"/>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lastRenderedPageBreak/>
        <w:t>ومن خلال هذا العرض يتّضح أنه على الرغم من الضعف السياسي إلا أنّ عصر المؤلف كان مزدهرًا من الناحية العلمية</w:t>
      </w:r>
      <w:r w:rsidR="0048366D">
        <w:rPr>
          <w:rFonts w:hint="cs"/>
          <w:sz w:val="36"/>
          <w:szCs w:val="36"/>
          <w:rtl/>
          <w:lang w:val="en-GB" w:eastAsia="en-US"/>
        </w:rPr>
        <w:t>،</w:t>
      </w:r>
      <w:r w:rsidRPr="00DB59CC">
        <w:rPr>
          <w:rFonts w:hint="cs"/>
          <w:sz w:val="36"/>
          <w:szCs w:val="36"/>
          <w:rtl/>
          <w:lang w:val="en-GB" w:eastAsia="en-US"/>
        </w:rPr>
        <w:t xml:space="preserve"> ولا سيّما في عاصمة الخلافة</w:t>
      </w:r>
      <w:r w:rsidR="0048366D">
        <w:rPr>
          <w:rFonts w:hint="cs"/>
          <w:sz w:val="36"/>
          <w:szCs w:val="36"/>
          <w:rtl/>
          <w:lang w:val="en-GB" w:eastAsia="en-US"/>
        </w:rPr>
        <w:t>،</w:t>
      </w:r>
      <w:r w:rsidRPr="00DB59CC">
        <w:rPr>
          <w:rFonts w:hint="cs"/>
          <w:sz w:val="36"/>
          <w:szCs w:val="36"/>
          <w:rtl/>
          <w:lang w:val="en-GB" w:eastAsia="en-US"/>
        </w:rPr>
        <w:t xml:space="preserve"> فقد كانت تزخر بالعلماء والطلاب والمدارس النظامية والمكتبات.</w:t>
      </w:r>
    </w:p>
    <w:p w:rsidR="00DB59CC" w:rsidRPr="00DB59CC" w:rsidRDefault="00DB59CC" w:rsidP="009A68A5">
      <w:pPr>
        <w:widowControl/>
        <w:ind w:firstLine="567"/>
        <w:jc w:val="both"/>
        <w:rPr>
          <w:sz w:val="36"/>
          <w:szCs w:val="36"/>
          <w:rtl/>
          <w:lang w:val="en-GB" w:eastAsia="en-US"/>
        </w:rPr>
      </w:pPr>
    </w:p>
    <w:p w:rsidR="009A6E4B" w:rsidRDefault="009A6E4B" w:rsidP="009A68A5">
      <w:pPr>
        <w:widowControl/>
        <w:bidi w:val="0"/>
        <w:spacing w:after="160" w:line="259" w:lineRule="auto"/>
        <w:ind w:firstLine="0"/>
        <w:jc w:val="both"/>
        <w:rPr>
          <w:rFonts w:cs="Monotype Koufi"/>
          <w:bCs/>
          <w:sz w:val="20"/>
          <w:szCs w:val="36"/>
          <w:rtl/>
          <w:lang w:eastAsia="en-US"/>
        </w:rPr>
      </w:pPr>
      <w:r>
        <w:rPr>
          <w:rFonts w:cs="Monotype Koufi"/>
          <w:bCs/>
          <w:sz w:val="20"/>
          <w:szCs w:val="36"/>
          <w:rtl/>
          <w:lang w:eastAsia="en-US"/>
        </w:rPr>
        <w:br w:type="page"/>
      </w:r>
    </w:p>
    <w:p w:rsidR="00DB59CC" w:rsidRPr="00DB59CC" w:rsidRDefault="00DB59CC" w:rsidP="009A68A5">
      <w:pPr>
        <w:widowControl/>
        <w:ind w:firstLine="567"/>
        <w:jc w:val="both"/>
        <w:rPr>
          <w:rFonts w:cs="Monotype Koufi"/>
          <w:bCs/>
          <w:sz w:val="20"/>
          <w:szCs w:val="36"/>
          <w:rtl/>
          <w:lang w:eastAsia="en-US"/>
        </w:rPr>
      </w:pPr>
      <w:r w:rsidRPr="00DB59CC">
        <w:rPr>
          <w:rFonts w:cs="Monotype Koufi" w:hint="cs"/>
          <w:bCs/>
          <w:sz w:val="20"/>
          <w:szCs w:val="36"/>
          <w:rtl/>
          <w:lang w:eastAsia="en-US"/>
        </w:rPr>
        <w:lastRenderedPageBreak/>
        <w:t>المبحث الثاني</w:t>
      </w:r>
      <w:r w:rsidR="0048366D">
        <w:rPr>
          <w:rFonts w:cs="Monotype Koufi" w:hint="cs"/>
          <w:bCs/>
          <w:sz w:val="20"/>
          <w:szCs w:val="36"/>
          <w:rtl/>
          <w:lang w:eastAsia="en-US"/>
        </w:rPr>
        <w:t>:</w:t>
      </w:r>
      <w:r w:rsidRPr="00DB59CC">
        <w:rPr>
          <w:rFonts w:cs="Monotype Koufi" w:hint="cs"/>
          <w:bCs/>
          <w:sz w:val="20"/>
          <w:szCs w:val="36"/>
          <w:rtl/>
          <w:lang w:eastAsia="en-US"/>
        </w:rPr>
        <w:t xml:space="preserve"> اسمه ونسبه</w:t>
      </w:r>
      <w:r w:rsidR="0048366D">
        <w:rPr>
          <w:rFonts w:cs="Monotype Koufi" w:hint="cs"/>
          <w:bCs/>
          <w:sz w:val="20"/>
          <w:szCs w:val="36"/>
          <w:rtl/>
          <w:lang w:eastAsia="en-US"/>
        </w:rPr>
        <w:t>:</w:t>
      </w: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 xml:space="preserve">هو </w:t>
      </w:r>
      <w:r w:rsidRPr="00DB59CC">
        <w:rPr>
          <w:rFonts w:hint="eastAsia"/>
          <w:sz w:val="20"/>
          <w:szCs w:val="20"/>
          <w:rtl/>
          <w:lang w:val="en-GB" w:eastAsia="en-GB"/>
        </w:rPr>
        <w:t>«</w:t>
      </w:r>
      <w:r w:rsidRPr="00DB59CC">
        <w:rPr>
          <w:rFonts w:hint="cs"/>
          <w:sz w:val="36"/>
          <w:szCs w:val="36"/>
          <w:rtl/>
          <w:lang w:val="en-GB" w:eastAsia="en-US"/>
        </w:rPr>
        <w:t xml:space="preserve"> الشيخ الإمام العالم العلامة البحر الفهامة الفقير</w:t>
      </w:r>
      <w:r w:rsidR="0048366D">
        <w:rPr>
          <w:rFonts w:hint="cs"/>
          <w:sz w:val="36"/>
          <w:szCs w:val="36"/>
          <w:rtl/>
          <w:lang w:val="en-GB" w:eastAsia="en-US"/>
        </w:rPr>
        <w:t>:</w:t>
      </w:r>
      <w:r w:rsidRPr="00DB59CC">
        <w:rPr>
          <w:rFonts w:hint="cs"/>
          <w:sz w:val="36"/>
          <w:szCs w:val="36"/>
          <w:rtl/>
          <w:lang w:val="en-GB" w:eastAsia="en-US"/>
        </w:rPr>
        <w:t xml:space="preserve"> محمد بن سليمان الشهير بناظر زاده </w:t>
      </w:r>
      <w:r w:rsidRPr="00DB59CC">
        <w:rPr>
          <w:rFonts w:hint="eastAsia"/>
          <w:sz w:val="20"/>
          <w:szCs w:val="20"/>
          <w:rtl/>
          <w:lang w:val="en-GB" w:eastAsia="en-GB"/>
        </w:rPr>
        <w:t>»</w:t>
      </w:r>
      <w:r w:rsidRPr="00DB59CC">
        <w:rPr>
          <w:rFonts w:hint="cs"/>
          <w:sz w:val="36"/>
          <w:szCs w:val="36"/>
          <w:rtl/>
          <w:lang w:val="en-GB" w:eastAsia="en-US"/>
        </w:rPr>
        <w:t xml:space="preserve"> كذا ورد اسمه على غلاف نسخة مكتبة بايزيد (د). كما ورد اسمه واسم أبيه ولقبه في مقدمة الكتاب، وفي تسع فهارس لمخطوطات المكتبات التي احتوت عليه</w:t>
      </w:r>
      <w:r w:rsidRPr="00DB59CC">
        <w:rPr>
          <w:bCs/>
          <w:sz w:val="36"/>
          <w:szCs w:val="32"/>
          <w:vertAlign w:val="superscript"/>
          <w:rtl/>
          <w:lang w:val="en-GB" w:eastAsia="en-US"/>
        </w:rPr>
        <w:t>(</w:t>
      </w:r>
      <w:r w:rsidRPr="00DB59CC">
        <w:rPr>
          <w:bCs/>
          <w:sz w:val="36"/>
          <w:szCs w:val="32"/>
          <w:vertAlign w:val="superscript"/>
          <w:rtl/>
          <w:lang w:val="en-GB" w:eastAsia="en-US"/>
        </w:rPr>
        <w:footnoteReference w:id="63"/>
      </w:r>
      <w:r w:rsidRPr="00DB59CC">
        <w:rPr>
          <w:bCs/>
          <w:sz w:val="36"/>
          <w:szCs w:val="32"/>
          <w:vertAlign w:val="superscript"/>
          <w:rtl/>
          <w:lang w:val="en-GB" w:eastAsia="en-US"/>
        </w:rPr>
        <w:t>)</w:t>
      </w:r>
      <w:r w:rsidRPr="00DB59CC">
        <w:rPr>
          <w:rFonts w:hint="cs"/>
          <w:sz w:val="36"/>
          <w:szCs w:val="36"/>
          <w:rtl/>
          <w:lang w:val="en-GB" w:eastAsia="en-US"/>
        </w:rPr>
        <w:t>. وأيضًا على غلاف نسخة شهيـد علي باشا. كمـا ورد لقبه -فقط- على غلاف نسخة (تيره) بلفظ:</w:t>
      </w:r>
      <w:r w:rsidRPr="00DB59CC">
        <w:rPr>
          <w:rFonts w:hint="eastAsia"/>
          <w:sz w:val="20"/>
          <w:szCs w:val="20"/>
          <w:rtl/>
          <w:lang w:val="en-GB" w:eastAsia="en-GB"/>
        </w:rPr>
        <w:t xml:space="preserve"> «</w:t>
      </w:r>
      <w:r w:rsidRPr="00DB59CC">
        <w:rPr>
          <w:rFonts w:hint="cs"/>
          <w:sz w:val="36"/>
          <w:szCs w:val="36"/>
          <w:rtl/>
          <w:lang w:val="en-GB" w:eastAsia="en-US"/>
        </w:rPr>
        <w:t xml:space="preserve"> للفقيه الفاضل العريف بناظر زاده </w:t>
      </w:r>
      <w:r w:rsidRPr="00DB59CC">
        <w:rPr>
          <w:rFonts w:hint="eastAsia"/>
          <w:sz w:val="20"/>
          <w:szCs w:val="20"/>
          <w:rtl/>
          <w:lang w:val="en-GB" w:eastAsia="en-GB"/>
        </w:rPr>
        <w:t>»</w:t>
      </w:r>
      <w:r w:rsidRPr="00DB59CC">
        <w:rPr>
          <w:rFonts w:hint="cs"/>
          <w:sz w:val="36"/>
          <w:szCs w:val="36"/>
          <w:rtl/>
          <w:lang w:val="en-GB" w:eastAsia="en-US"/>
        </w:rPr>
        <w:t>.</w:t>
      </w:r>
      <w:r w:rsidRPr="00DB59CC">
        <w:rPr>
          <w:bCs/>
          <w:sz w:val="36"/>
          <w:szCs w:val="32"/>
          <w:vertAlign w:val="superscript"/>
          <w:rtl/>
          <w:lang w:val="en-GB" w:eastAsia="en-US"/>
        </w:rPr>
        <w:t>(</w:t>
      </w:r>
      <w:r w:rsidRPr="00DB59CC">
        <w:rPr>
          <w:bCs/>
          <w:sz w:val="36"/>
          <w:szCs w:val="32"/>
          <w:vertAlign w:val="superscript"/>
          <w:rtl/>
          <w:lang w:val="en-GB" w:eastAsia="en-US"/>
        </w:rPr>
        <w:footnoteReference w:id="64"/>
      </w:r>
      <w:r w:rsidRPr="00DB59CC">
        <w:rPr>
          <w:bCs/>
          <w:sz w:val="36"/>
          <w:szCs w:val="32"/>
          <w:vertAlign w:val="superscript"/>
          <w:rtl/>
          <w:lang w:val="en-GB" w:eastAsia="en-US"/>
        </w:rPr>
        <w:t>)</w:t>
      </w:r>
    </w:p>
    <w:p w:rsidR="00DB59CC" w:rsidRPr="00DB59CC" w:rsidRDefault="00DB59CC" w:rsidP="009A68A5">
      <w:pPr>
        <w:widowControl/>
        <w:ind w:firstLine="567"/>
        <w:jc w:val="both"/>
        <w:rPr>
          <w:spacing w:val="6"/>
          <w:sz w:val="20"/>
          <w:szCs w:val="36"/>
          <w:rtl/>
          <w:lang w:val="en-GB" w:eastAsia="en-US"/>
        </w:rPr>
      </w:pPr>
      <w:r w:rsidRPr="00DB59CC">
        <w:rPr>
          <w:rFonts w:hint="cs"/>
          <w:spacing w:val="6"/>
          <w:sz w:val="20"/>
          <w:szCs w:val="36"/>
          <w:rtl/>
          <w:lang w:val="en-GB" w:eastAsia="en-US"/>
        </w:rPr>
        <w:t>ولم أجد ما يخالف ذلك إلا ما ورد على غلاف نسخة متحف توبقابي (ب) في زاوية من زوايا الغلاف، حيث ورد فيها ما نصه:</w:t>
      </w:r>
      <w:r w:rsidRPr="00DB59CC">
        <w:rPr>
          <w:rFonts w:hint="eastAsia"/>
          <w:spacing w:val="6"/>
          <w:sz w:val="20"/>
          <w:szCs w:val="20"/>
          <w:rtl/>
          <w:lang w:val="en-GB" w:eastAsia="en-GB"/>
        </w:rPr>
        <w:t xml:space="preserve"> «</w:t>
      </w:r>
      <w:r w:rsidRPr="00DB59CC">
        <w:rPr>
          <w:rFonts w:hint="cs"/>
          <w:spacing w:val="6"/>
          <w:sz w:val="20"/>
          <w:szCs w:val="36"/>
          <w:rtl/>
          <w:lang w:val="en-GB" w:eastAsia="en-US"/>
        </w:rPr>
        <w:t xml:space="preserve"> هذا كتاب ترتيب اللآلي </w:t>
      </w:r>
      <w:r w:rsidRPr="00DB59CC">
        <w:rPr>
          <w:rFonts w:hint="cs"/>
          <w:b/>
          <w:bCs/>
          <w:spacing w:val="6"/>
          <w:sz w:val="20"/>
          <w:szCs w:val="36"/>
          <w:rtl/>
          <w:lang w:val="en-GB" w:eastAsia="en-US"/>
        </w:rPr>
        <w:t>لنظم</w:t>
      </w:r>
      <w:r w:rsidRPr="00DB59CC">
        <w:rPr>
          <w:rFonts w:hint="cs"/>
          <w:spacing w:val="6"/>
          <w:sz w:val="20"/>
          <w:szCs w:val="36"/>
          <w:rtl/>
          <w:lang w:val="en-GB" w:eastAsia="en-US"/>
        </w:rPr>
        <w:t xml:space="preserve"> زاده. سطر 21 </w:t>
      </w:r>
      <w:r w:rsidRPr="00DB59CC">
        <w:rPr>
          <w:rFonts w:hint="eastAsia"/>
          <w:spacing w:val="6"/>
          <w:sz w:val="20"/>
          <w:szCs w:val="20"/>
          <w:rtl/>
          <w:lang w:val="en-GB" w:eastAsia="en-GB"/>
        </w:rPr>
        <w:t>»</w:t>
      </w:r>
      <w:r w:rsidRPr="00DB59CC">
        <w:rPr>
          <w:rFonts w:hint="cs"/>
          <w:spacing w:val="6"/>
          <w:sz w:val="20"/>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والذي يظهر أن إثبات (نظم) بدل (ناظر) لا يعدو كونه اجتهادًا من صنيع أحد المفهرسين لهذه النسخة، وليس من صميمها. والذي يدل على ذلك أمور، منها</w:t>
      </w:r>
      <w:r w:rsidR="0048366D">
        <w:rPr>
          <w:rFonts w:hint="cs"/>
          <w:sz w:val="36"/>
          <w:szCs w:val="36"/>
          <w:rtl/>
          <w:lang w:val="en-GB" w:eastAsia="en-US"/>
        </w:rPr>
        <w:t>:</w:t>
      </w:r>
    </w:p>
    <w:p w:rsidR="00DB59CC" w:rsidRPr="00DB59CC" w:rsidRDefault="00DB59CC" w:rsidP="009A68A5">
      <w:pPr>
        <w:widowControl/>
        <w:ind w:firstLine="0"/>
        <w:jc w:val="both"/>
        <w:rPr>
          <w:sz w:val="36"/>
          <w:szCs w:val="36"/>
          <w:rtl/>
          <w:lang w:val="en-GB" w:eastAsia="en-US"/>
        </w:rPr>
      </w:pPr>
      <w:r w:rsidRPr="00DB59CC">
        <w:rPr>
          <w:rFonts w:hint="cs"/>
          <w:b/>
          <w:bCs/>
          <w:sz w:val="36"/>
          <w:szCs w:val="36"/>
          <w:rtl/>
          <w:lang w:val="en-GB" w:eastAsia="en-US"/>
        </w:rPr>
        <w:t xml:space="preserve">     1- </w:t>
      </w:r>
      <w:r w:rsidRPr="00DB59CC">
        <w:rPr>
          <w:rFonts w:hint="cs"/>
          <w:sz w:val="36"/>
          <w:szCs w:val="36"/>
          <w:rtl/>
          <w:lang w:val="en-GB" w:eastAsia="en-US"/>
        </w:rPr>
        <w:t>كُتب عقب الاسم</w:t>
      </w:r>
      <w:r w:rsidR="0048366D">
        <w:rPr>
          <w:rFonts w:hint="cs"/>
          <w:sz w:val="36"/>
          <w:szCs w:val="36"/>
          <w:rtl/>
          <w:lang w:val="en-GB" w:eastAsia="en-US"/>
        </w:rPr>
        <w:t>:</w:t>
      </w:r>
      <w:r w:rsidRPr="00DB59CC">
        <w:rPr>
          <w:rFonts w:hint="eastAsia"/>
          <w:sz w:val="38"/>
          <w:szCs w:val="20"/>
          <w:rtl/>
          <w:lang w:val="en-GB" w:eastAsia="en-GB"/>
        </w:rPr>
        <w:t>«</w:t>
      </w:r>
      <w:r w:rsidRPr="00DB59CC">
        <w:rPr>
          <w:rFonts w:hint="cs"/>
          <w:sz w:val="36"/>
          <w:szCs w:val="36"/>
          <w:rtl/>
          <w:lang w:val="en-GB" w:eastAsia="en-US"/>
        </w:rPr>
        <w:t xml:space="preserve"> سطر 21</w:t>
      </w:r>
      <w:r w:rsidRPr="00DB59CC">
        <w:rPr>
          <w:rFonts w:hint="eastAsia"/>
          <w:sz w:val="38"/>
          <w:szCs w:val="20"/>
          <w:rtl/>
          <w:lang w:val="en-GB" w:eastAsia="en-GB"/>
        </w:rPr>
        <w:t>»</w:t>
      </w:r>
      <w:r w:rsidRPr="00DB59CC">
        <w:rPr>
          <w:rFonts w:hint="cs"/>
          <w:sz w:val="36"/>
          <w:szCs w:val="36"/>
          <w:rtl/>
          <w:lang w:val="en-GB" w:eastAsia="en-US"/>
        </w:rPr>
        <w:t>.</w:t>
      </w:r>
    </w:p>
    <w:p w:rsidR="00DB59CC" w:rsidRPr="00DB59CC" w:rsidRDefault="00DB59CC" w:rsidP="009A68A5">
      <w:pPr>
        <w:widowControl/>
        <w:ind w:left="565" w:right="565" w:firstLine="0"/>
        <w:jc w:val="both"/>
        <w:rPr>
          <w:sz w:val="36"/>
          <w:szCs w:val="36"/>
          <w:rtl/>
          <w:lang w:val="en-GB" w:eastAsia="en-US"/>
        </w:rPr>
      </w:pPr>
      <w:r w:rsidRPr="00DB59CC">
        <w:rPr>
          <w:rFonts w:hint="cs"/>
          <w:sz w:val="36"/>
          <w:szCs w:val="36"/>
          <w:rtl/>
          <w:lang w:val="en-GB" w:eastAsia="en-US"/>
        </w:rPr>
        <w:t>وهذا وصف لأسطر كل صفحة من صفحات هذه النسخة، والذي يعنى ببيان الأسطر عادة هو المفهرس.</w:t>
      </w:r>
    </w:p>
    <w:p w:rsidR="00DB59CC" w:rsidRPr="00DB59CC" w:rsidRDefault="00DB59CC" w:rsidP="009A68A5">
      <w:pPr>
        <w:widowControl/>
        <w:ind w:firstLine="0"/>
        <w:jc w:val="both"/>
        <w:rPr>
          <w:sz w:val="36"/>
          <w:szCs w:val="36"/>
          <w:rtl/>
          <w:lang w:val="en-GB" w:eastAsia="en-US"/>
        </w:rPr>
      </w:pPr>
      <w:r w:rsidRPr="00DB59CC">
        <w:rPr>
          <w:rFonts w:hint="cs"/>
          <w:b/>
          <w:bCs/>
          <w:sz w:val="36"/>
          <w:szCs w:val="36"/>
          <w:rtl/>
          <w:lang w:val="en-GB" w:eastAsia="en-US"/>
        </w:rPr>
        <w:t xml:space="preserve">     2- </w:t>
      </w:r>
      <w:r w:rsidRPr="00DB59CC">
        <w:rPr>
          <w:rFonts w:hint="cs"/>
          <w:sz w:val="36"/>
          <w:szCs w:val="36"/>
          <w:rtl/>
          <w:lang w:val="en-GB" w:eastAsia="en-US"/>
        </w:rPr>
        <w:t>الخط الذي كتبت به هذه العبارة مختلف عن الخط الذي كتبت به بقية المخطوطة، في نوع الخط وحجمه</w:t>
      </w:r>
      <w:r w:rsidR="0048366D">
        <w:rPr>
          <w:rFonts w:hint="cs"/>
          <w:sz w:val="36"/>
          <w:szCs w:val="36"/>
          <w:rtl/>
          <w:lang w:val="en-GB" w:eastAsia="en-US"/>
        </w:rPr>
        <w:t>؛</w:t>
      </w:r>
      <w:r w:rsidRPr="00DB59CC">
        <w:rPr>
          <w:rFonts w:hint="cs"/>
          <w:sz w:val="36"/>
          <w:szCs w:val="36"/>
          <w:rtl/>
          <w:lang w:val="en-GB" w:eastAsia="en-US"/>
        </w:rPr>
        <w:t xml:space="preserve"> مما يعني أنها ليست من صنيع الناسخ.</w:t>
      </w:r>
    </w:p>
    <w:p w:rsidR="00DB59CC" w:rsidRPr="00DB59CC" w:rsidRDefault="00DB59CC" w:rsidP="009A68A5">
      <w:pPr>
        <w:widowControl/>
        <w:ind w:firstLine="0"/>
        <w:jc w:val="both"/>
        <w:rPr>
          <w:sz w:val="36"/>
          <w:szCs w:val="36"/>
          <w:rtl/>
          <w:lang w:val="en-GB" w:eastAsia="en-US"/>
        </w:rPr>
      </w:pPr>
      <w:r w:rsidRPr="00DB59CC">
        <w:rPr>
          <w:rFonts w:hint="cs"/>
          <w:b/>
          <w:bCs/>
          <w:sz w:val="36"/>
          <w:szCs w:val="36"/>
          <w:rtl/>
          <w:lang w:val="en-GB" w:eastAsia="en-US"/>
        </w:rPr>
        <w:t xml:space="preserve">     3- </w:t>
      </w:r>
      <w:r w:rsidRPr="00DB59CC">
        <w:rPr>
          <w:rFonts w:hint="cs"/>
          <w:sz w:val="36"/>
          <w:szCs w:val="36"/>
          <w:rtl/>
          <w:lang w:val="en-GB" w:eastAsia="en-US"/>
        </w:rPr>
        <w:t>جرت العادة</w:t>
      </w:r>
      <w:r w:rsidR="0048366D">
        <w:rPr>
          <w:rFonts w:hint="cs"/>
          <w:sz w:val="36"/>
          <w:szCs w:val="36"/>
          <w:rtl/>
          <w:lang w:val="en-GB" w:eastAsia="en-US"/>
        </w:rPr>
        <w:t>:</w:t>
      </w:r>
      <w:r w:rsidRPr="00DB59CC">
        <w:rPr>
          <w:rFonts w:hint="cs"/>
          <w:sz w:val="36"/>
          <w:szCs w:val="36"/>
          <w:rtl/>
          <w:lang w:val="en-GB" w:eastAsia="en-US"/>
        </w:rPr>
        <w:t xml:space="preserve"> أن الناسخ إذا أراد كتابة عنوان الكتاب فإنه يكتبه في مكان بارز من ورقة الغلاف، وهذا لم يحصل في هذه النسخة؛ فلعل هذا هو الذي دفع المفهرس إلى تمييزها بكتابة </w:t>
      </w:r>
      <w:r w:rsidRPr="00DB59CC">
        <w:rPr>
          <w:rFonts w:hint="cs"/>
          <w:sz w:val="36"/>
          <w:szCs w:val="36"/>
          <w:rtl/>
          <w:lang w:val="en-GB" w:eastAsia="en-US"/>
        </w:rPr>
        <w:lastRenderedPageBreak/>
        <w:t>اسم الكتاب والمؤلف باختصار، ولكي لا يتوهم أن هذا من صميم النسخة اختار إثباته في زاوية من زوايا الغلاف، إلا أنه جانبه الصواب في كتابة لقب المؤلف.</w:t>
      </w:r>
    </w:p>
    <w:p w:rsidR="00DB59CC" w:rsidRPr="00DB59CC" w:rsidRDefault="00DB59CC" w:rsidP="009A68A5">
      <w:pPr>
        <w:widowControl/>
        <w:ind w:firstLine="0"/>
        <w:jc w:val="both"/>
        <w:rPr>
          <w:sz w:val="36"/>
          <w:szCs w:val="36"/>
          <w:rtl/>
          <w:lang w:val="en-GB" w:eastAsia="en-US"/>
        </w:rPr>
      </w:pPr>
      <w:r w:rsidRPr="00DB59CC">
        <w:rPr>
          <w:rFonts w:hint="cs"/>
          <w:b/>
          <w:bCs/>
          <w:sz w:val="36"/>
          <w:szCs w:val="36"/>
          <w:rtl/>
          <w:lang w:val="en-GB" w:eastAsia="en-US"/>
        </w:rPr>
        <w:t xml:space="preserve">     4- </w:t>
      </w:r>
      <w:r w:rsidRPr="00DB59CC">
        <w:rPr>
          <w:rFonts w:hint="cs"/>
          <w:sz w:val="36"/>
          <w:szCs w:val="36"/>
          <w:rtl/>
          <w:lang w:val="en-GB" w:eastAsia="en-US"/>
        </w:rPr>
        <w:t xml:space="preserve">أن الفهرس الذي طُبع لبيان الكتب المحفوظة في المتحف صُرّح فيه بأن اسم المؤلف هو </w:t>
      </w:r>
      <w:r w:rsidRPr="00DB59CC">
        <w:rPr>
          <w:rFonts w:hint="eastAsia"/>
          <w:sz w:val="38"/>
          <w:szCs w:val="20"/>
          <w:rtl/>
          <w:lang w:val="en-GB" w:eastAsia="en-GB"/>
        </w:rPr>
        <w:t>«</w:t>
      </w:r>
      <w:r w:rsidRPr="00DB59CC">
        <w:rPr>
          <w:rFonts w:hint="cs"/>
          <w:sz w:val="36"/>
          <w:szCs w:val="36"/>
          <w:rtl/>
          <w:lang w:val="en-GB" w:eastAsia="en-US"/>
        </w:rPr>
        <w:t xml:space="preserve"> ناظر زاده</w:t>
      </w:r>
      <w:r w:rsidR="0048366D">
        <w:rPr>
          <w:rFonts w:hint="cs"/>
          <w:sz w:val="36"/>
          <w:szCs w:val="36"/>
          <w:rtl/>
          <w:lang w:val="en-GB" w:eastAsia="en-US"/>
        </w:rPr>
        <w:t>:</w:t>
      </w:r>
      <w:r w:rsidRPr="00DB59CC">
        <w:rPr>
          <w:rFonts w:hint="cs"/>
          <w:sz w:val="36"/>
          <w:szCs w:val="36"/>
          <w:rtl/>
          <w:lang w:val="en-GB" w:eastAsia="en-US"/>
        </w:rPr>
        <w:t xml:space="preserve"> محمد بن سليمان </w:t>
      </w:r>
      <w:r w:rsidRPr="00DB59CC">
        <w:rPr>
          <w:rFonts w:hint="eastAsia"/>
          <w:sz w:val="38"/>
          <w:szCs w:val="20"/>
          <w:rtl/>
          <w:lang w:val="en-GB" w:eastAsia="en-GB"/>
        </w:rPr>
        <w:t>»</w:t>
      </w:r>
      <w:r w:rsidRPr="00DB59CC">
        <w:rPr>
          <w:rFonts w:hint="cs"/>
          <w:sz w:val="36"/>
          <w:szCs w:val="36"/>
          <w:rtl/>
          <w:lang w:val="en-GB" w:eastAsia="en-US"/>
        </w:rPr>
        <w:t>.</w:t>
      </w:r>
      <w:r w:rsidRPr="00DB59CC">
        <w:rPr>
          <w:bCs/>
          <w:sz w:val="36"/>
          <w:szCs w:val="36"/>
          <w:vertAlign w:val="superscript"/>
          <w:rtl/>
          <w:lang w:val="en-GB" w:eastAsia="en-US"/>
        </w:rPr>
        <w:t>(</w:t>
      </w:r>
      <w:r w:rsidRPr="00DB59CC">
        <w:rPr>
          <w:bCs/>
          <w:sz w:val="30"/>
          <w:szCs w:val="30"/>
          <w:vertAlign w:val="superscript"/>
          <w:rtl/>
          <w:lang w:val="en-GB" w:eastAsia="en-US"/>
        </w:rPr>
        <w:footnoteReference w:id="65"/>
      </w:r>
      <w:r w:rsidRPr="00DB59CC">
        <w:rPr>
          <w:bCs/>
          <w:sz w:val="36"/>
          <w:szCs w:val="36"/>
          <w:vertAlign w:val="superscript"/>
          <w:rtl/>
          <w:lang w:val="en-GB" w:eastAsia="en-US"/>
        </w:rPr>
        <w:t>)</w:t>
      </w:r>
    </w:p>
    <w:p w:rsidR="00DB59CC" w:rsidRPr="00DB59CC" w:rsidRDefault="00DB59CC" w:rsidP="009A68A5">
      <w:pPr>
        <w:widowControl/>
        <w:ind w:firstLine="0"/>
        <w:jc w:val="both"/>
        <w:rPr>
          <w:sz w:val="36"/>
          <w:szCs w:val="36"/>
          <w:rtl/>
          <w:lang w:val="en-GB" w:eastAsia="en-US"/>
        </w:rPr>
      </w:pPr>
      <w:r w:rsidRPr="00DB59CC">
        <w:rPr>
          <w:rFonts w:hint="cs"/>
          <w:b/>
          <w:bCs/>
          <w:sz w:val="36"/>
          <w:szCs w:val="36"/>
          <w:rtl/>
          <w:lang w:val="en-GB" w:eastAsia="en-US"/>
        </w:rPr>
        <w:t xml:space="preserve">     5- </w:t>
      </w:r>
      <w:r w:rsidRPr="00DB59CC">
        <w:rPr>
          <w:rFonts w:hint="cs"/>
          <w:sz w:val="36"/>
          <w:szCs w:val="36"/>
          <w:rtl/>
          <w:lang w:val="en-GB" w:eastAsia="en-US"/>
        </w:rPr>
        <w:t>أن مقدمة هذه النسخة ورد التصريح فيها بـ (ناظر زاده) وليس (نظم زاده).</w:t>
      </w:r>
    </w:p>
    <w:p w:rsidR="00DB59CC" w:rsidRPr="00DB59CC" w:rsidRDefault="00DB59CC" w:rsidP="009A68A5">
      <w:pPr>
        <w:widowControl/>
        <w:ind w:firstLine="565"/>
        <w:jc w:val="both"/>
        <w:rPr>
          <w:b/>
          <w:bCs/>
          <w:sz w:val="36"/>
          <w:szCs w:val="36"/>
          <w:rtl/>
          <w:lang w:val="en-GB" w:eastAsia="en-US"/>
        </w:rPr>
      </w:pPr>
      <w:r w:rsidRPr="00DB59CC">
        <w:rPr>
          <w:rFonts w:hint="cs"/>
          <w:b/>
          <w:bCs/>
          <w:sz w:val="36"/>
          <w:szCs w:val="36"/>
          <w:rtl/>
          <w:lang w:val="en-GB" w:eastAsia="en-US"/>
        </w:rPr>
        <w:t xml:space="preserve"> ولبيان معنى (ناظر زاده) يقال</w:t>
      </w:r>
      <w:r w:rsidR="0048366D">
        <w:rPr>
          <w:rFonts w:hint="cs"/>
          <w:b/>
          <w:bCs/>
          <w:sz w:val="36"/>
          <w:szCs w:val="36"/>
          <w:rtl/>
          <w:lang w:val="en-GB" w:eastAsia="en-US"/>
        </w:rPr>
        <w:t>:</w:t>
      </w:r>
    </w:p>
    <w:p w:rsidR="00DB59CC" w:rsidRPr="00DB59CC" w:rsidRDefault="00DB59CC" w:rsidP="009A68A5">
      <w:pPr>
        <w:widowControl/>
        <w:ind w:firstLine="567"/>
        <w:jc w:val="both"/>
        <w:rPr>
          <w:sz w:val="20"/>
          <w:szCs w:val="36"/>
          <w:rtl/>
          <w:lang w:val="en-GB" w:eastAsia="en-US"/>
        </w:rPr>
      </w:pPr>
      <w:r w:rsidRPr="00DB59CC">
        <w:rPr>
          <w:rFonts w:hint="cs"/>
          <w:sz w:val="20"/>
          <w:szCs w:val="36"/>
          <w:rtl/>
          <w:lang w:val="en-GB" w:eastAsia="en-US"/>
        </w:rPr>
        <w:t>كلمة (زاده) من الكلمات التي ترد بكثرة في رجالات الدولة العثمانية، من علماء وأمراء وأفراد، وأصلها فارسي، بمعنى (ابن).</w:t>
      </w:r>
      <w:r w:rsidRPr="00DB59CC">
        <w:rPr>
          <w:bCs/>
          <w:sz w:val="36"/>
          <w:szCs w:val="32"/>
          <w:vertAlign w:val="superscript"/>
          <w:rtl/>
          <w:lang w:val="en-GB" w:eastAsia="en-US"/>
        </w:rPr>
        <w:t xml:space="preserve"> (</w:t>
      </w:r>
      <w:r w:rsidRPr="00DB59CC">
        <w:rPr>
          <w:bCs/>
          <w:sz w:val="30"/>
          <w:szCs w:val="30"/>
          <w:vertAlign w:val="superscript"/>
          <w:rtl/>
          <w:lang w:val="en-GB" w:eastAsia="en-US"/>
        </w:rPr>
        <w:footnoteReference w:id="66"/>
      </w:r>
      <w:r w:rsidRPr="00DB59CC">
        <w:rPr>
          <w:bCs/>
          <w:sz w:val="36"/>
          <w:szCs w:val="32"/>
          <w:vertAlign w:val="superscript"/>
          <w:rtl/>
          <w:lang w:val="en-GB" w:eastAsia="en-US"/>
        </w:rPr>
        <w:t>)</w:t>
      </w:r>
      <w:r w:rsidRPr="00DB59CC">
        <w:rPr>
          <w:rFonts w:hint="cs"/>
          <w:sz w:val="20"/>
          <w:szCs w:val="36"/>
          <w:rtl/>
          <w:lang w:val="en-GB" w:eastAsia="en-US"/>
        </w:rPr>
        <w:t xml:space="preserve"> </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أما كلمة (ناظر) فهي عربية الأصل، بمعنى</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الحافظ </w:t>
      </w:r>
      <w:r w:rsidRPr="00DB59CC">
        <w:rPr>
          <w:rFonts w:hint="eastAsia"/>
          <w:sz w:val="20"/>
          <w:szCs w:val="20"/>
          <w:rtl/>
          <w:lang w:val="en-GB" w:eastAsia="en-GB"/>
        </w:rPr>
        <w:t>»</w:t>
      </w:r>
      <w:r w:rsidRPr="00DB59CC">
        <w:rPr>
          <w:rFonts w:hint="cs"/>
          <w:sz w:val="36"/>
          <w:szCs w:val="36"/>
          <w:rtl/>
          <w:lang w:val="en-GB" w:eastAsia="en-US"/>
        </w:rPr>
        <w:t xml:space="preserve"> </w:t>
      </w:r>
      <w:r w:rsidRPr="00DB59CC">
        <w:rPr>
          <w:bCs/>
          <w:sz w:val="36"/>
          <w:szCs w:val="32"/>
          <w:vertAlign w:val="superscript"/>
          <w:rtl/>
          <w:lang w:val="en-GB" w:eastAsia="en-US"/>
        </w:rPr>
        <w:t>(</w:t>
      </w:r>
      <w:r w:rsidRPr="00DB59CC">
        <w:rPr>
          <w:bCs/>
          <w:sz w:val="30"/>
          <w:szCs w:val="30"/>
          <w:vertAlign w:val="superscript"/>
          <w:rtl/>
          <w:lang w:val="en-GB" w:eastAsia="en-US"/>
        </w:rPr>
        <w:footnoteReference w:id="67"/>
      </w:r>
      <w:r w:rsidRPr="00DB59CC">
        <w:rPr>
          <w:bCs/>
          <w:sz w:val="36"/>
          <w:szCs w:val="32"/>
          <w:vertAlign w:val="superscript"/>
          <w:rtl/>
          <w:lang w:val="en-GB" w:eastAsia="en-US"/>
        </w:rPr>
        <w:t>)</w:t>
      </w:r>
      <w:r w:rsidRPr="00DB59CC">
        <w:rPr>
          <w:rFonts w:hint="cs"/>
          <w:sz w:val="36"/>
          <w:szCs w:val="36"/>
          <w:rtl/>
          <w:lang w:val="en-GB" w:eastAsia="en-US"/>
        </w:rPr>
        <w:t xml:space="preserve"> أو بمعنى أوضح</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المتولّي إدارة أمر، يقال</w:t>
      </w:r>
      <w:r w:rsidR="0048366D">
        <w:rPr>
          <w:rFonts w:hint="cs"/>
          <w:sz w:val="36"/>
          <w:szCs w:val="36"/>
          <w:rtl/>
          <w:lang w:val="en-GB" w:eastAsia="en-US"/>
        </w:rPr>
        <w:t>:</w:t>
      </w:r>
      <w:r w:rsidRPr="00DB59CC">
        <w:rPr>
          <w:rFonts w:hint="cs"/>
          <w:sz w:val="36"/>
          <w:szCs w:val="36"/>
          <w:rtl/>
          <w:lang w:val="en-GB" w:eastAsia="en-US"/>
        </w:rPr>
        <w:t xml:space="preserve"> ناظر المدرسة، وناظر الضيعة </w:t>
      </w:r>
      <w:r w:rsidRPr="00DB59CC">
        <w:rPr>
          <w:rFonts w:hint="eastAsia"/>
          <w:sz w:val="20"/>
          <w:szCs w:val="20"/>
          <w:rtl/>
          <w:lang w:val="en-GB" w:eastAsia="en-GB"/>
        </w:rPr>
        <w:t>»</w:t>
      </w:r>
      <w:r w:rsidRPr="00DB59CC">
        <w:rPr>
          <w:rFonts w:hint="cs"/>
          <w:sz w:val="36"/>
          <w:szCs w:val="36"/>
          <w:rtl/>
          <w:lang w:val="en-GB" w:eastAsia="en-US"/>
        </w:rPr>
        <w:t>.</w:t>
      </w:r>
      <w:r w:rsidRPr="00DB59CC">
        <w:rPr>
          <w:bCs/>
          <w:sz w:val="36"/>
          <w:szCs w:val="32"/>
          <w:vertAlign w:val="superscript"/>
          <w:rtl/>
          <w:lang w:val="en-GB" w:eastAsia="en-US"/>
        </w:rPr>
        <w:t>(</w:t>
      </w:r>
      <w:r w:rsidRPr="00DB59CC">
        <w:rPr>
          <w:bCs/>
          <w:sz w:val="28"/>
          <w:szCs w:val="28"/>
          <w:vertAlign w:val="superscript"/>
          <w:rtl/>
          <w:lang w:val="en-GB" w:eastAsia="en-US"/>
        </w:rPr>
        <w:footnoteReference w:id="68"/>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 xml:space="preserve">وفي عهد الدولة العثمانية أصبح مصطلحًا </w:t>
      </w:r>
      <w:r w:rsidRPr="00DB59CC">
        <w:rPr>
          <w:rFonts w:hint="eastAsia"/>
          <w:sz w:val="20"/>
          <w:szCs w:val="20"/>
          <w:rtl/>
          <w:lang w:val="en-GB" w:eastAsia="en-GB"/>
        </w:rPr>
        <w:t>«</w:t>
      </w:r>
      <w:r w:rsidRPr="00DB59CC">
        <w:rPr>
          <w:rFonts w:hint="cs"/>
          <w:sz w:val="36"/>
          <w:szCs w:val="36"/>
          <w:rtl/>
          <w:lang w:val="en-GB" w:eastAsia="en-US"/>
        </w:rPr>
        <w:t xml:space="preserve"> بمعنى الوزير، وفي القديم كانت تطلق على من يتولى تدبيـر شئون الوقف. ولكن اعتبارًا من عهد السلطان محمود الثاني[ 1108هـ-1168هـ] أطلق هذا الاسم على من يتولى الوزارة </w:t>
      </w:r>
      <w:r w:rsidRPr="00DB59CC">
        <w:rPr>
          <w:rFonts w:hint="eastAsia"/>
          <w:sz w:val="20"/>
          <w:szCs w:val="20"/>
          <w:rtl/>
          <w:lang w:val="en-GB" w:eastAsia="en-GB"/>
        </w:rPr>
        <w:t>»</w:t>
      </w:r>
      <w:r w:rsidRPr="00DB59CC">
        <w:rPr>
          <w:rFonts w:hint="cs"/>
          <w:sz w:val="36"/>
          <w:szCs w:val="36"/>
          <w:rtl/>
          <w:lang w:val="en-GB" w:eastAsia="en-US"/>
        </w:rPr>
        <w:t>.</w:t>
      </w:r>
      <w:r w:rsidRPr="00DB59CC">
        <w:rPr>
          <w:bCs/>
          <w:sz w:val="36"/>
          <w:szCs w:val="32"/>
          <w:vertAlign w:val="superscript"/>
          <w:rtl/>
          <w:lang w:val="en-GB" w:eastAsia="en-US"/>
        </w:rPr>
        <w:t>(</w:t>
      </w:r>
      <w:r w:rsidRPr="00DB59CC">
        <w:rPr>
          <w:bCs/>
          <w:sz w:val="28"/>
          <w:szCs w:val="28"/>
          <w:vertAlign w:val="superscript"/>
          <w:rtl/>
          <w:lang w:val="en-GB" w:eastAsia="en-US"/>
        </w:rPr>
        <w:footnoteReference w:id="69"/>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هذا ما يتعلق باسمه.</w:t>
      </w:r>
    </w:p>
    <w:p w:rsidR="00DB59CC" w:rsidRPr="00DB59CC" w:rsidRDefault="00DB59CC" w:rsidP="009A68A5">
      <w:pPr>
        <w:widowControl/>
        <w:ind w:firstLine="567"/>
        <w:jc w:val="both"/>
        <w:rPr>
          <w:spacing w:val="4"/>
          <w:sz w:val="36"/>
          <w:szCs w:val="36"/>
          <w:rtl/>
          <w:lang w:val="en-GB" w:eastAsia="en-US"/>
        </w:rPr>
      </w:pPr>
      <w:r w:rsidRPr="00DB59CC">
        <w:rPr>
          <w:rFonts w:hint="cs"/>
          <w:b/>
          <w:bCs/>
          <w:spacing w:val="4"/>
          <w:sz w:val="36"/>
          <w:szCs w:val="36"/>
          <w:rtl/>
          <w:lang w:val="en-GB" w:eastAsia="en-US"/>
        </w:rPr>
        <w:t>أما نسبه</w:t>
      </w:r>
      <w:r w:rsidR="0048366D">
        <w:rPr>
          <w:rFonts w:hint="cs"/>
          <w:b/>
          <w:bCs/>
          <w:spacing w:val="4"/>
          <w:sz w:val="36"/>
          <w:szCs w:val="36"/>
          <w:rtl/>
          <w:lang w:val="en-GB" w:eastAsia="en-US"/>
        </w:rPr>
        <w:t>:</w:t>
      </w:r>
      <w:r w:rsidRPr="00DB59CC">
        <w:rPr>
          <w:rFonts w:hint="cs"/>
          <w:spacing w:val="4"/>
          <w:sz w:val="36"/>
          <w:szCs w:val="36"/>
          <w:rtl/>
          <w:lang w:val="en-GB" w:eastAsia="en-US"/>
        </w:rPr>
        <w:t xml:space="preserve"> فلم أقف عليه. إلا أن الغالب على الظن أنه روميّ الأصل (من تركيا) فهذا الذي يظهر من اسمه</w:t>
      </w:r>
      <w:r w:rsidRPr="00DB59CC">
        <w:rPr>
          <w:bCs/>
          <w:spacing w:val="4"/>
          <w:sz w:val="36"/>
          <w:szCs w:val="32"/>
          <w:vertAlign w:val="superscript"/>
          <w:rtl/>
          <w:lang w:val="en-GB" w:eastAsia="en-US"/>
        </w:rPr>
        <w:t>(</w:t>
      </w:r>
      <w:r w:rsidRPr="00DB59CC">
        <w:rPr>
          <w:bCs/>
          <w:spacing w:val="4"/>
          <w:sz w:val="36"/>
          <w:szCs w:val="32"/>
          <w:vertAlign w:val="superscript"/>
          <w:rtl/>
          <w:lang w:val="en-GB" w:eastAsia="en-US"/>
        </w:rPr>
        <w:footnoteReference w:id="70"/>
      </w:r>
      <w:r w:rsidRPr="00DB59CC">
        <w:rPr>
          <w:bCs/>
          <w:spacing w:val="4"/>
          <w:sz w:val="36"/>
          <w:szCs w:val="32"/>
          <w:vertAlign w:val="superscript"/>
          <w:rtl/>
          <w:lang w:val="en-GB" w:eastAsia="en-US"/>
        </w:rPr>
        <w:t>)</w:t>
      </w:r>
      <w:r w:rsidRPr="00DB59CC">
        <w:rPr>
          <w:rFonts w:hint="cs"/>
          <w:spacing w:val="4"/>
          <w:sz w:val="36"/>
          <w:szCs w:val="36"/>
          <w:rtl/>
          <w:lang w:val="en-GB" w:eastAsia="en-US"/>
        </w:rPr>
        <w:t>، وأيضًا من أثر عجمة المؤلف في الكتاب، كما أنّ أكثر نسخ الكتاب الخطية محفوظة في تركيا</w:t>
      </w:r>
      <w:r w:rsidR="0048366D">
        <w:rPr>
          <w:rFonts w:hint="cs"/>
          <w:spacing w:val="4"/>
          <w:sz w:val="36"/>
          <w:szCs w:val="36"/>
          <w:rtl/>
          <w:lang w:val="en-GB" w:eastAsia="en-US"/>
        </w:rPr>
        <w:t>؛</w:t>
      </w:r>
      <w:r w:rsidRPr="00DB59CC">
        <w:rPr>
          <w:rFonts w:hint="cs"/>
          <w:spacing w:val="4"/>
          <w:sz w:val="36"/>
          <w:szCs w:val="36"/>
          <w:rtl/>
          <w:lang w:val="en-GB" w:eastAsia="en-US"/>
        </w:rPr>
        <w:t xml:space="preserve"> إذ للكتاب عشر نسخ، سبع منها في تركيا، وثلاث منها في المملكة </w:t>
      </w:r>
      <w:r w:rsidRPr="00DB59CC">
        <w:rPr>
          <w:rFonts w:hint="cs"/>
          <w:spacing w:val="4"/>
          <w:sz w:val="36"/>
          <w:szCs w:val="36"/>
          <w:rtl/>
          <w:lang w:val="en-GB" w:eastAsia="en-US"/>
        </w:rPr>
        <w:lastRenderedPageBreak/>
        <w:t xml:space="preserve">العربية السعودية، وهذه الثلاث يبدو أنها مجلوبة من تركيا؛ بل إن إحدى هذه النسخ الثلاث منسوخة في القسطنطينية، وهـذه النسخة هي نسخة جامعة الملك عبدالعزيز (أ)، </w:t>
      </w:r>
      <w:r w:rsidRPr="00DB59CC">
        <w:rPr>
          <w:rFonts w:hint="cs"/>
          <w:b/>
          <w:bCs/>
          <w:spacing w:val="4"/>
          <w:sz w:val="36"/>
          <w:szCs w:val="36"/>
          <w:rtl/>
          <w:lang w:val="en-GB" w:eastAsia="en-US"/>
        </w:rPr>
        <w:t>وهي أقدم النسخ تأريخيًّا</w:t>
      </w:r>
      <w:r w:rsidRPr="00DB59CC">
        <w:rPr>
          <w:rFonts w:hint="cs"/>
          <w:spacing w:val="4"/>
          <w:sz w:val="36"/>
          <w:szCs w:val="36"/>
          <w:rtl/>
          <w:lang w:val="en-GB" w:eastAsia="en-US"/>
        </w:rPr>
        <w:t>، حيث كتبت عام 1065هـ، ويترجّح أنها كتبت في عصر المؤلف.</w:t>
      </w:r>
      <w:r w:rsidRPr="00DB59CC">
        <w:rPr>
          <w:bCs/>
          <w:spacing w:val="4"/>
          <w:sz w:val="36"/>
          <w:szCs w:val="32"/>
          <w:vertAlign w:val="superscript"/>
          <w:rtl/>
          <w:lang w:val="en-GB" w:eastAsia="en-US"/>
        </w:rPr>
        <w:t xml:space="preserve"> (</w:t>
      </w:r>
      <w:r w:rsidRPr="00DB59CC">
        <w:rPr>
          <w:bCs/>
          <w:spacing w:val="4"/>
          <w:sz w:val="36"/>
          <w:szCs w:val="32"/>
          <w:vertAlign w:val="superscript"/>
          <w:rtl/>
          <w:lang w:val="en-GB" w:eastAsia="en-US"/>
        </w:rPr>
        <w:footnoteReference w:id="71"/>
      </w:r>
      <w:r w:rsidRPr="00DB59CC">
        <w:rPr>
          <w:bCs/>
          <w:spacing w:val="4"/>
          <w:sz w:val="36"/>
          <w:szCs w:val="32"/>
          <w:vertAlign w:val="superscript"/>
          <w:rtl/>
          <w:lang w:val="en-GB" w:eastAsia="en-US"/>
        </w:rPr>
        <w:t>)</w:t>
      </w: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p>
    <w:p w:rsidR="00783D87" w:rsidRDefault="00783D87">
      <w:pPr>
        <w:widowControl/>
        <w:bidi w:val="0"/>
        <w:spacing w:after="160" w:line="259" w:lineRule="auto"/>
        <w:ind w:firstLine="0"/>
        <w:rPr>
          <w:rFonts w:cs="Monotype Koufi"/>
          <w:bCs/>
          <w:sz w:val="20"/>
          <w:szCs w:val="36"/>
          <w:rtl/>
          <w:lang w:eastAsia="en-US"/>
        </w:rPr>
      </w:pPr>
      <w:r>
        <w:rPr>
          <w:rFonts w:cs="Monotype Koufi"/>
          <w:bCs/>
          <w:sz w:val="20"/>
          <w:szCs w:val="36"/>
          <w:rtl/>
          <w:lang w:eastAsia="en-US"/>
        </w:rPr>
        <w:br w:type="page"/>
      </w:r>
    </w:p>
    <w:p w:rsidR="00DB59CC" w:rsidRPr="00DB59CC" w:rsidRDefault="00DB59CC" w:rsidP="009A68A5">
      <w:pPr>
        <w:widowControl/>
        <w:ind w:firstLine="567"/>
        <w:jc w:val="both"/>
        <w:rPr>
          <w:rFonts w:cs="Monotype Koufi"/>
          <w:bCs/>
          <w:sz w:val="20"/>
          <w:szCs w:val="36"/>
          <w:rtl/>
          <w:lang w:eastAsia="en-US"/>
        </w:rPr>
      </w:pPr>
      <w:r w:rsidRPr="00DB59CC">
        <w:rPr>
          <w:rFonts w:cs="Monotype Koufi" w:hint="cs"/>
          <w:bCs/>
          <w:sz w:val="20"/>
          <w:szCs w:val="36"/>
          <w:rtl/>
          <w:lang w:eastAsia="en-US"/>
        </w:rPr>
        <w:lastRenderedPageBreak/>
        <w:t>المبحث الثالث</w:t>
      </w:r>
      <w:r w:rsidR="0048366D">
        <w:rPr>
          <w:rFonts w:cs="Monotype Koufi" w:hint="cs"/>
          <w:bCs/>
          <w:sz w:val="20"/>
          <w:szCs w:val="36"/>
          <w:rtl/>
          <w:lang w:eastAsia="en-US"/>
        </w:rPr>
        <w:t>:</w:t>
      </w:r>
      <w:r w:rsidRPr="00DB59CC">
        <w:rPr>
          <w:rFonts w:cs="Monotype Koufi" w:hint="cs"/>
          <w:bCs/>
          <w:sz w:val="20"/>
          <w:szCs w:val="36"/>
          <w:rtl/>
          <w:lang w:eastAsia="en-US"/>
        </w:rPr>
        <w:t xml:space="preserve"> مولده ووفاته</w:t>
      </w:r>
      <w:r w:rsidR="0048366D">
        <w:rPr>
          <w:rFonts w:cs="Monotype Koufi" w:hint="cs"/>
          <w:bCs/>
          <w:sz w:val="20"/>
          <w:szCs w:val="36"/>
          <w:rtl/>
          <w:lang w:eastAsia="en-US"/>
        </w:rPr>
        <w:t>:</w:t>
      </w: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pacing w:val="-4"/>
          <w:sz w:val="36"/>
          <w:szCs w:val="36"/>
          <w:rtl/>
          <w:lang w:val="en-GB" w:eastAsia="en-US"/>
        </w:rPr>
      </w:pPr>
      <w:r w:rsidRPr="00DB59CC">
        <w:rPr>
          <w:rFonts w:hint="cs"/>
          <w:spacing w:val="-4"/>
          <w:sz w:val="36"/>
          <w:szCs w:val="36"/>
          <w:rtl/>
          <w:lang w:val="en-GB" w:eastAsia="en-US"/>
        </w:rPr>
        <w:t>ممّا لا شك فيه</w:t>
      </w:r>
      <w:r w:rsidR="0048366D">
        <w:rPr>
          <w:rFonts w:hint="cs"/>
          <w:spacing w:val="-4"/>
          <w:sz w:val="36"/>
          <w:szCs w:val="36"/>
          <w:rtl/>
          <w:lang w:val="en-GB" w:eastAsia="en-US"/>
        </w:rPr>
        <w:t>:</w:t>
      </w:r>
      <w:r w:rsidRPr="00DB59CC">
        <w:rPr>
          <w:rFonts w:hint="cs"/>
          <w:spacing w:val="-4"/>
          <w:sz w:val="36"/>
          <w:szCs w:val="36"/>
          <w:rtl/>
          <w:lang w:val="en-GB" w:eastAsia="en-US"/>
        </w:rPr>
        <w:t xml:space="preserve"> </w:t>
      </w:r>
      <w:r w:rsidRPr="00DB59CC">
        <w:rPr>
          <w:rFonts w:hint="cs"/>
          <w:b/>
          <w:bCs/>
          <w:spacing w:val="-4"/>
          <w:sz w:val="36"/>
          <w:szCs w:val="36"/>
          <w:rtl/>
          <w:lang w:val="en-GB" w:eastAsia="en-US"/>
        </w:rPr>
        <w:t>أنه عاش في القرن الحادي عشر الهجري</w:t>
      </w:r>
      <w:r w:rsidRPr="00DB59CC">
        <w:rPr>
          <w:rFonts w:hint="cs"/>
          <w:spacing w:val="-4"/>
          <w:sz w:val="36"/>
          <w:szCs w:val="36"/>
          <w:rtl/>
          <w:lang w:val="en-GB" w:eastAsia="en-US"/>
        </w:rPr>
        <w:t>. ويدل على ذلك أمور</w:t>
      </w:r>
      <w:r w:rsidR="0048366D">
        <w:rPr>
          <w:rFonts w:hint="cs"/>
          <w:spacing w:val="-4"/>
          <w:sz w:val="36"/>
          <w:szCs w:val="36"/>
          <w:rtl/>
          <w:lang w:val="en-GB" w:eastAsia="en-US"/>
        </w:rPr>
        <w:t>:</w:t>
      </w:r>
    </w:p>
    <w:p w:rsidR="00DB59CC" w:rsidRPr="00DB59CC" w:rsidRDefault="00DB59CC" w:rsidP="009A68A5">
      <w:pPr>
        <w:widowControl/>
        <w:ind w:firstLine="567"/>
        <w:jc w:val="both"/>
        <w:rPr>
          <w:spacing w:val="-6"/>
          <w:sz w:val="36"/>
          <w:szCs w:val="36"/>
          <w:rtl/>
          <w:lang w:val="en-GB" w:eastAsia="en-US"/>
        </w:rPr>
      </w:pPr>
      <w:r w:rsidRPr="00DB59CC">
        <w:rPr>
          <w:rFonts w:hint="cs"/>
          <w:b/>
          <w:bCs/>
          <w:spacing w:val="-6"/>
          <w:sz w:val="36"/>
          <w:szCs w:val="36"/>
          <w:rtl/>
          <w:lang w:val="en-GB" w:eastAsia="en-US"/>
        </w:rPr>
        <w:t>1</w:t>
      </w:r>
      <w:r w:rsidRPr="00DB59CC">
        <w:rPr>
          <w:rFonts w:hint="cs"/>
          <w:spacing w:val="-6"/>
          <w:sz w:val="36"/>
          <w:szCs w:val="36"/>
          <w:rtl/>
          <w:lang w:val="en-GB" w:eastAsia="en-US"/>
        </w:rPr>
        <w:t>- أن أقدم النسخ الخطّية كتبت في تأريخ</w:t>
      </w:r>
      <w:r w:rsidR="0048366D">
        <w:rPr>
          <w:rFonts w:hint="cs"/>
          <w:spacing w:val="-6"/>
          <w:sz w:val="36"/>
          <w:szCs w:val="36"/>
          <w:rtl/>
          <w:lang w:val="en-GB" w:eastAsia="en-US"/>
        </w:rPr>
        <w:t>:</w:t>
      </w:r>
      <w:r w:rsidRPr="00DB59CC">
        <w:rPr>
          <w:rFonts w:hint="cs"/>
          <w:spacing w:val="-6"/>
          <w:sz w:val="36"/>
          <w:szCs w:val="36"/>
          <w:rtl/>
          <w:lang w:val="en-GB" w:eastAsia="en-US"/>
        </w:rPr>
        <w:t xml:space="preserve">  12 من شهر محرم، سنة 1065هـ. والتي تليها كتبت سنة 1069هـ.</w:t>
      </w:r>
      <w:r w:rsidRPr="00DB59CC">
        <w:rPr>
          <w:bCs/>
          <w:spacing w:val="-6"/>
          <w:sz w:val="36"/>
          <w:szCs w:val="32"/>
          <w:vertAlign w:val="superscript"/>
          <w:rtl/>
          <w:lang w:val="en-GB" w:eastAsia="en-US"/>
        </w:rPr>
        <w:t>(</w:t>
      </w:r>
      <w:r w:rsidRPr="00DB59CC">
        <w:rPr>
          <w:bCs/>
          <w:spacing w:val="-6"/>
          <w:sz w:val="36"/>
          <w:szCs w:val="32"/>
          <w:vertAlign w:val="superscript"/>
          <w:rtl/>
          <w:lang w:val="en-GB" w:eastAsia="en-US"/>
        </w:rPr>
        <w:footnoteReference w:id="72"/>
      </w:r>
      <w:r w:rsidRPr="00DB59CC">
        <w:rPr>
          <w:bCs/>
          <w:spacing w:val="-6"/>
          <w:sz w:val="36"/>
          <w:szCs w:val="32"/>
          <w:vertAlign w:val="superscript"/>
          <w:rtl/>
          <w:lang w:val="en-GB" w:eastAsia="en-US"/>
        </w:rPr>
        <w:t>)</w:t>
      </w:r>
      <w:r w:rsidRPr="00DB59CC">
        <w:rPr>
          <w:rFonts w:hint="cs"/>
          <w:spacing w:val="-6"/>
          <w:sz w:val="36"/>
          <w:szCs w:val="36"/>
          <w:rtl/>
          <w:lang w:val="en-GB" w:eastAsia="en-US"/>
        </w:rPr>
        <w:t>وفي هاتين النسختين دليل على أنه كان حيًّا قبل هذين التأريخين.</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2</w:t>
      </w:r>
      <w:r w:rsidRPr="00DB59CC">
        <w:rPr>
          <w:rFonts w:hint="cs"/>
          <w:sz w:val="36"/>
          <w:szCs w:val="36"/>
          <w:rtl/>
          <w:lang w:val="en-GB" w:eastAsia="en-US"/>
        </w:rPr>
        <w:t>- أنه يريد عرض كتابه على المفتي</w:t>
      </w:r>
      <w:r w:rsidR="0048366D">
        <w:rPr>
          <w:rFonts w:hint="cs"/>
          <w:sz w:val="36"/>
          <w:szCs w:val="36"/>
          <w:rtl/>
          <w:lang w:val="en-GB" w:eastAsia="en-US"/>
        </w:rPr>
        <w:t>:</w:t>
      </w:r>
      <w:r w:rsidRPr="00DB59CC">
        <w:rPr>
          <w:rFonts w:hint="cs"/>
          <w:sz w:val="36"/>
          <w:szCs w:val="36"/>
          <w:rtl/>
          <w:lang w:val="en-GB" w:eastAsia="en-US"/>
        </w:rPr>
        <w:t xml:space="preserve"> أبي سعيد بن أسعد أفندي</w:t>
      </w:r>
      <w:r w:rsidRPr="00DB59CC">
        <w:rPr>
          <w:bCs/>
          <w:sz w:val="36"/>
          <w:szCs w:val="32"/>
          <w:vertAlign w:val="superscript"/>
          <w:rtl/>
          <w:lang w:val="en-GB" w:eastAsia="en-US"/>
        </w:rPr>
        <w:t>(</w:t>
      </w:r>
      <w:r w:rsidRPr="00DB59CC">
        <w:rPr>
          <w:bCs/>
          <w:sz w:val="36"/>
          <w:szCs w:val="32"/>
          <w:vertAlign w:val="superscript"/>
          <w:rtl/>
          <w:lang w:val="en-GB" w:eastAsia="en-US"/>
        </w:rPr>
        <w:footnoteReference w:id="73"/>
      </w:r>
      <w:r w:rsidRPr="00DB59CC">
        <w:rPr>
          <w:bCs/>
          <w:sz w:val="36"/>
          <w:szCs w:val="32"/>
          <w:vertAlign w:val="superscript"/>
          <w:rtl/>
          <w:lang w:val="en-GB" w:eastAsia="en-US"/>
        </w:rPr>
        <w:t>)</w:t>
      </w:r>
      <w:r w:rsidRPr="00DB59CC">
        <w:rPr>
          <w:rFonts w:hint="cs"/>
          <w:sz w:val="36"/>
          <w:szCs w:val="36"/>
          <w:rtl/>
          <w:lang w:val="en-GB" w:eastAsia="en-US"/>
        </w:rPr>
        <w:t>،  وقد ولد أبو سعيد عام 1003هـ،وتوفي عام 1072هـ.</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74"/>
      </w:r>
      <w:r w:rsidRPr="00DB59CC">
        <w:rPr>
          <w:bCs/>
          <w:sz w:val="36"/>
          <w:szCs w:val="32"/>
          <w:vertAlign w:val="superscript"/>
          <w:rtl/>
          <w:lang w:val="en-GB" w:eastAsia="en-US"/>
        </w:rPr>
        <w:t>)</w:t>
      </w:r>
      <w:r w:rsidRPr="00DB59CC">
        <w:rPr>
          <w:rFonts w:hint="cs"/>
          <w:sz w:val="36"/>
          <w:szCs w:val="36"/>
          <w:rtl/>
          <w:lang w:val="en-GB" w:eastAsia="en-US"/>
        </w:rPr>
        <w:t xml:space="preserve"> وفي هذا دلالة أن ناظر زاده كان حيًّا بعد عام 1003هـ يقينًا.</w:t>
      </w:r>
    </w:p>
    <w:p w:rsidR="00DB59CC" w:rsidRPr="00DB59CC" w:rsidRDefault="00DB59CC" w:rsidP="009A68A5">
      <w:pPr>
        <w:widowControl/>
        <w:ind w:firstLine="567"/>
        <w:jc w:val="both"/>
        <w:rPr>
          <w:spacing w:val="-4"/>
          <w:sz w:val="36"/>
          <w:szCs w:val="36"/>
          <w:lang w:val="en-GB" w:eastAsia="en-US"/>
        </w:rPr>
      </w:pPr>
      <w:r w:rsidRPr="00DB59CC">
        <w:rPr>
          <w:rFonts w:hint="cs"/>
          <w:b/>
          <w:bCs/>
          <w:spacing w:val="-4"/>
          <w:sz w:val="36"/>
          <w:szCs w:val="36"/>
          <w:rtl/>
          <w:lang w:val="en-GB" w:eastAsia="en-US"/>
        </w:rPr>
        <w:t>3</w:t>
      </w:r>
      <w:r w:rsidRPr="00DB59CC">
        <w:rPr>
          <w:rFonts w:hint="cs"/>
          <w:spacing w:val="-4"/>
          <w:sz w:val="36"/>
          <w:szCs w:val="36"/>
          <w:rtl/>
          <w:lang w:val="en-GB" w:eastAsia="en-US"/>
        </w:rPr>
        <w:t>- أن آخر مراجِعِه (تأليفًا) هو</w:t>
      </w:r>
      <w:r w:rsidR="0048366D">
        <w:rPr>
          <w:rFonts w:hint="cs"/>
          <w:spacing w:val="-4"/>
          <w:sz w:val="36"/>
          <w:szCs w:val="36"/>
          <w:rtl/>
          <w:lang w:val="en-GB" w:eastAsia="en-US"/>
        </w:rPr>
        <w:t>:</w:t>
      </w:r>
      <w:r w:rsidRPr="00DB59CC">
        <w:rPr>
          <w:rFonts w:hint="cs"/>
          <w:spacing w:val="-4"/>
          <w:sz w:val="36"/>
          <w:szCs w:val="36"/>
          <w:rtl/>
          <w:lang w:val="en-GB" w:eastAsia="en-US"/>
        </w:rPr>
        <w:t xml:space="preserve"> الأشباه والنظائر لابن نجيم (ت970هـ)، وقد صرح ابن نجيم في نهاية أشباهه بأنه</w:t>
      </w:r>
      <w:r w:rsidR="0048366D">
        <w:rPr>
          <w:rFonts w:hint="cs"/>
          <w:spacing w:val="-4"/>
          <w:sz w:val="36"/>
          <w:szCs w:val="36"/>
          <w:rtl/>
          <w:lang w:val="en-GB" w:eastAsia="en-US"/>
        </w:rPr>
        <w:t>:</w:t>
      </w:r>
      <w:r w:rsidRPr="00DB59CC">
        <w:rPr>
          <w:rFonts w:hint="cs"/>
          <w:spacing w:val="-4"/>
          <w:sz w:val="36"/>
          <w:szCs w:val="36"/>
          <w:rtl/>
          <w:lang w:val="en-GB" w:eastAsia="en-US"/>
        </w:rPr>
        <w:t xml:space="preserve"> </w:t>
      </w:r>
      <w:r w:rsidRPr="00DB59CC">
        <w:rPr>
          <w:rFonts w:hint="eastAsia"/>
          <w:spacing w:val="-4"/>
          <w:sz w:val="20"/>
          <w:szCs w:val="20"/>
          <w:rtl/>
          <w:lang w:val="en-GB" w:eastAsia="en-GB"/>
        </w:rPr>
        <w:t>«</w:t>
      </w:r>
      <w:r w:rsidRPr="00DB59CC">
        <w:rPr>
          <w:rFonts w:hint="cs"/>
          <w:spacing w:val="-4"/>
          <w:sz w:val="20"/>
          <w:szCs w:val="20"/>
          <w:rtl/>
          <w:lang w:val="en-GB" w:eastAsia="en-GB"/>
        </w:rPr>
        <w:t xml:space="preserve"> </w:t>
      </w:r>
      <w:r w:rsidRPr="00DB59CC">
        <w:rPr>
          <w:rFonts w:hint="cs"/>
          <w:spacing w:val="-4"/>
          <w:sz w:val="36"/>
          <w:szCs w:val="36"/>
          <w:rtl/>
          <w:lang w:val="en-GB" w:eastAsia="en-US"/>
        </w:rPr>
        <w:t xml:space="preserve">كان الفـراغ منه في السابع والعشرين من جمادى الآخر، سنة تسع وستين وتسعمائة </w:t>
      </w:r>
      <w:r w:rsidRPr="00DB59CC">
        <w:rPr>
          <w:rFonts w:hint="eastAsia"/>
          <w:spacing w:val="-4"/>
          <w:sz w:val="20"/>
          <w:szCs w:val="20"/>
          <w:rtl/>
          <w:lang w:val="en-GB" w:eastAsia="en-GB"/>
        </w:rPr>
        <w:t>»</w:t>
      </w:r>
      <w:r w:rsidRPr="00DB59CC">
        <w:rPr>
          <w:rFonts w:hint="cs"/>
          <w:spacing w:val="-4"/>
          <w:sz w:val="36"/>
          <w:szCs w:val="36"/>
          <w:rtl/>
          <w:lang w:val="en-GB" w:eastAsia="en-US"/>
        </w:rPr>
        <w:t xml:space="preserve"> </w:t>
      </w:r>
      <w:r w:rsidRPr="00DB59CC">
        <w:rPr>
          <w:bCs/>
          <w:spacing w:val="-4"/>
          <w:sz w:val="36"/>
          <w:szCs w:val="32"/>
          <w:vertAlign w:val="superscript"/>
          <w:rtl/>
          <w:lang w:val="en-GB" w:eastAsia="en-US"/>
        </w:rPr>
        <w:t>(</w:t>
      </w:r>
      <w:r w:rsidRPr="00DB59CC">
        <w:rPr>
          <w:bCs/>
          <w:spacing w:val="-4"/>
          <w:sz w:val="36"/>
          <w:szCs w:val="32"/>
          <w:vertAlign w:val="superscript"/>
          <w:rtl/>
          <w:lang w:val="en-GB" w:eastAsia="en-US"/>
        </w:rPr>
        <w:footnoteReference w:id="75"/>
      </w:r>
      <w:r w:rsidRPr="00DB59CC">
        <w:rPr>
          <w:bCs/>
          <w:spacing w:val="-4"/>
          <w:sz w:val="36"/>
          <w:szCs w:val="32"/>
          <w:vertAlign w:val="superscript"/>
          <w:rtl/>
          <w:lang w:val="en-GB" w:eastAsia="en-US"/>
        </w:rPr>
        <w:t>)</w:t>
      </w:r>
      <w:r w:rsidRPr="00DB59CC">
        <w:rPr>
          <w:rFonts w:hint="cs"/>
          <w:spacing w:val="-4"/>
          <w:sz w:val="36"/>
          <w:szCs w:val="36"/>
          <w:rtl/>
          <w:lang w:val="en-GB" w:eastAsia="en-US"/>
        </w:rPr>
        <w:t>، وفي هذا دليل على أنه كان حيًّا بعد هذا التاريخ يقينًا.</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فكونه كان حيًّا</w:t>
      </w:r>
      <w:r w:rsidR="0048366D">
        <w:rPr>
          <w:rFonts w:hint="cs"/>
          <w:sz w:val="36"/>
          <w:szCs w:val="36"/>
          <w:rtl/>
          <w:lang w:val="en-GB" w:eastAsia="en-US"/>
        </w:rPr>
        <w:t>،</w:t>
      </w:r>
      <w:r w:rsidRPr="00DB59CC">
        <w:rPr>
          <w:rFonts w:hint="cs"/>
          <w:sz w:val="36"/>
          <w:szCs w:val="36"/>
          <w:rtl/>
          <w:lang w:val="en-GB" w:eastAsia="en-US"/>
        </w:rPr>
        <w:t xml:space="preserve"> بعـد عامي 969 هـ و 1003هـ</w:t>
      </w:r>
      <w:r w:rsidR="0048366D">
        <w:rPr>
          <w:rFonts w:hint="cs"/>
          <w:sz w:val="36"/>
          <w:szCs w:val="36"/>
          <w:rtl/>
          <w:lang w:val="en-GB" w:eastAsia="en-US"/>
        </w:rPr>
        <w:t>،</w:t>
      </w:r>
      <w:r w:rsidRPr="00DB59CC">
        <w:rPr>
          <w:rFonts w:hint="cs"/>
          <w:sz w:val="36"/>
          <w:szCs w:val="36"/>
          <w:rtl/>
          <w:lang w:val="en-GB" w:eastAsia="en-US"/>
        </w:rPr>
        <w:t xml:space="preserve"> وقبل عـامي 1065هـ و1069هـ فيه دلالة قاطعة بأنه عاش في القرن الحادي عشر الهجري.</w:t>
      </w:r>
    </w:p>
    <w:p w:rsidR="00DB59CC" w:rsidRPr="00DB59CC" w:rsidRDefault="00DB59CC" w:rsidP="009A68A5">
      <w:pPr>
        <w:widowControl/>
        <w:spacing w:line="560" w:lineRule="exact"/>
        <w:ind w:firstLine="567"/>
        <w:jc w:val="both"/>
        <w:rPr>
          <w:b/>
          <w:bCs/>
          <w:sz w:val="36"/>
          <w:szCs w:val="36"/>
          <w:rtl/>
          <w:lang w:val="en-GB" w:eastAsia="en-US"/>
        </w:rPr>
      </w:pPr>
      <w:r w:rsidRPr="00DB59CC">
        <w:rPr>
          <w:rFonts w:hint="cs"/>
          <w:b/>
          <w:bCs/>
          <w:sz w:val="36"/>
          <w:szCs w:val="36"/>
          <w:rtl/>
          <w:lang w:val="en-GB" w:eastAsia="en-US"/>
        </w:rPr>
        <w:t>إضافة إلى ذلك</w:t>
      </w:r>
      <w:r w:rsidR="0048366D">
        <w:rPr>
          <w:rFonts w:hint="cs"/>
          <w:b/>
          <w:bCs/>
          <w:sz w:val="36"/>
          <w:szCs w:val="36"/>
          <w:rtl/>
          <w:lang w:val="en-GB" w:eastAsia="en-US"/>
        </w:rPr>
        <w:t>:</w:t>
      </w:r>
      <w:r w:rsidRPr="00DB59CC">
        <w:rPr>
          <w:rFonts w:hint="cs"/>
          <w:b/>
          <w:bCs/>
          <w:sz w:val="36"/>
          <w:szCs w:val="36"/>
          <w:rtl/>
          <w:lang w:val="en-GB" w:eastAsia="en-US"/>
        </w:rPr>
        <w:t xml:space="preserve"> فإنه يغلب على الظن أنه كان حيًّا عام1061هـ</w:t>
      </w:r>
      <w:r w:rsidR="0048366D">
        <w:rPr>
          <w:rFonts w:hint="cs"/>
          <w:sz w:val="36"/>
          <w:szCs w:val="36"/>
          <w:rtl/>
          <w:lang w:val="en-GB" w:eastAsia="en-US"/>
        </w:rPr>
        <w:t>؛</w:t>
      </w:r>
      <w:r w:rsidRPr="00DB59CC">
        <w:rPr>
          <w:rFonts w:hint="cs"/>
          <w:sz w:val="36"/>
          <w:szCs w:val="36"/>
          <w:rtl/>
          <w:lang w:val="en-GB" w:eastAsia="en-US"/>
        </w:rPr>
        <w:t xml:space="preserve"> لأنه عندما ذكر المفتي</w:t>
      </w:r>
      <w:r w:rsidR="0048366D">
        <w:rPr>
          <w:rFonts w:hint="cs"/>
          <w:sz w:val="36"/>
          <w:szCs w:val="36"/>
          <w:rtl/>
          <w:lang w:val="en-GB" w:eastAsia="en-US"/>
        </w:rPr>
        <w:t>:</w:t>
      </w:r>
      <w:r w:rsidRPr="00DB59CC">
        <w:rPr>
          <w:rFonts w:hint="cs"/>
          <w:sz w:val="36"/>
          <w:szCs w:val="36"/>
          <w:rtl/>
          <w:lang w:val="en-GB" w:eastAsia="en-US"/>
        </w:rPr>
        <w:t xml:space="preserve"> أبا سعيد بن أسعد: وصفه بأنه</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مفتي الأنام في هذه الأيام </w:t>
      </w:r>
      <w:r w:rsidRPr="00DB59CC">
        <w:rPr>
          <w:rFonts w:hint="eastAsia"/>
          <w:sz w:val="20"/>
          <w:szCs w:val="20"/>
          <w:rtl/>
          <w:lang w:val="en-GB" w:eastAsia="en-GB"/>
        </w:rPr>
        <w:t>»</w:t>
      </w:r>
      <w:r w:rsidRPr="00DB59CC">
        <w:rPr>
          <w:rFonts w:hint="cs"/>
          <w:sz w:val="36"/>
          <w:szCs w:val="36"/>
          <w:rtl/>
          <w:lang w:val="en-GB" w:eastAsia="en-US"/>
        </w:rPr>
        <w:t>.</w:t>
      </w:r>
      <w:r w:rsidRPr="00DB59CC">
        <w:rPr>
          <w:bCs/>
          <w:sz w:val="36"/>
          <w:szCs w:val="32"/>
          <w:vertAlign w:val="superscript"/>
          <w:rtl/>
          <w:lang w:val="en-GB" w:eastAsia="en-US"/>
        </w:rPr>
        <w:t>(</w:t>
      </w:r>
      <w:r w:rsidRPr="00DB59CC">
        <w:rPr>
          <w:bCs/>
          <w:sz w:val="36"/>
          <w:szCs w:val="32"/>
          <w:vertAlign w:val="superscript"/>
          <w:rtl/>
          <w:lang w:val="en-GB" w:eastAsia="en-US"/>
        </w:rPr>
        <w:footnoteReference w:id="76"/>
      </w:r>
      <w:r w:rsidRPr="00DB59CC">
        <w:rPr>
          <w:bCs/>
          <w:sz w:val="36"/>
          <w:szCs w:val="32"/>
          <w:vertAlign w:val="superscript"/>
          <w:rtl/>
          <w:lang w:val="en-GB" w:eastAsia="en-US"/>
        </w:rPr>
        <w:t>)</w:t>
      </w:r>
      <w:r w:rsidRPr="00DB59CC">
        <w:rPr>
          <w:rFonts w:hint="cs"/>
          <w:sz w:val="36"/>
          <w:szCs w:val="36"/>
          <w:rtl/>
          <w:lang w:val="en-GB" w:eastAsia="en-US"/>
        </w:rPr>
        <w:t xml:space="preserve"> وقد </w:t>
      </w:r>
      <w:r w:rsidRPr="00DB59CC">
        <w:rPr>
          <w:rFonts w:hint="eastAsia"/>
          <w:sz w:val="20"/>
          <w:szCs w:val="20"/>
          <w:rtl/>
          <w:lang w:val="en-GB" w:eastAsia="en-GB"/>
        </w:rPr>
        <w:t>«</w:t>
      </w:r>
      <w:r w:rsidRPr="00DB59CC">
        <w:rPr>
          <w:rFonts w:hint="cs"/>
          <w:sz w:val="20"/>
          <w:szCs w:val="20"/>
          <w:rtl/>
          <w:lang w:val="en-GB" w:eastAsia="en-GB"/>
        </w:rPr>
        <w:t xml:space="preserve"> </w:t>
      </w:r>
      <w:r w:rsidRPr="00DB59CC">
        <w:rPr>
          <w:rFonts w:hint="cs"/>
          <w:sz w:val="36"/>
          <w:szCs w:val="36"/>
          <w:rtl/>
          <w:lang w:val="en-GB" w:eastAsia="en-US"/>
        </w:rPr>
        <w:t xml:space="preserve">تولى الإفتاء سنة 1061هـ، ثم عزل سنة 1066هـ </w:t>
      </w:r>
      <w:r w:rsidRPr="00DB59CC">
        <w:rPr>
          <w:rFonts w:hint="eastAsia"/>
          <w:sz w:val="20"/>
          <w:szCs w:val="20"/>
          <w:rtl/>
          <w:lang w:val="en-GB" w:eastAsia="en-GB"/>
        </w:rPr>
        <w:t>»</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77"/>
      </w:r>
      <w:r w:rsidRPr="00DB59CC">
        <w:rPr>
          <w:bCs/>
          <w:sz w:val="36"/>
          <w:szCs w:val="32"/>
          <w:vertAlign w:val="superscript"/>
          <w:rtl/>
          <w:lang w:val="en-GB" w:eastAsia="en-US"/>
        </w:rPr>
        <w:t>)</w:t>
      </w:r>
      <w:r w:rsidRPr="00DB59CC">
        <w:rPr>
          <w:rFonts w:hint="cs"/>
          <w:sz w:val="36"/>
          <w:szCs w:val="36"/>
          <w:rtl/>
          <w:lang w:val="en-GB" w:eastAsia="en-US"/>
        </w:rPr>
        <w:t>. مما يعني أنه أراد عرضه عليه -على أقل تقدير- عام 1061هـ.</w:t>
      </w:r>
      <w:r w:rsidRPr="00DB59CC">
        <w:rPr>
          <w:rFonts w:hint="cs"/>
          <w:b/>
          <w:bCs/>
          <w:sz w:val="36"/>
          <w:szCs w:val="36"/>
          <w:rtl/>
          <w:lang w:val="en-GB" w:eastAsia="en-US"/>
        </w:rPr>
        <w:t xml:space="preserve"> </w:t>
      </w:r>
    </w:p>
    <w:p w:rsidR="00DB59CC" w:rsidRPr="00DB59CC" w:rsidRDefault="00DB59CC" w:rsidP="009A68A5">
      <w:pPr>
        <w:widowControl/>
        <w:ind w:firstLine="567"/>
        <w:jc w:val="both"/>
        <w:rPr>
          <w:spacing w:val="4"/>
          <w:sz w:val="36"/>
          <w:szCs w:val="36"/>
          <w:rtl/>
          <w:lang w:val="en-GB" w:eastAsia="en-US"/>
        </w:rPr>
      </w:pPr>
      <w:r w:rsidRPr="00DB59CC">
        <w:rPr>
          <w:rFonts w:hint="cs"/>
          <w:spacing w:val="4"/>
          <w:sz w:val="36"/>
          <w:szCs w:val="36"/>
          <w:rtl/>
          <w:lang w:val="en-GB" w:eastAsia="en-US"/>
        </w:rPr>
        <w:lastRenderedPageBreak/>
        <w:t>وأغلب الظن أنه لم يعش بعد ذلك كثيرًا</w:t>
      </w:r>
      <w:r w:rsidR="0048366D">
        <w:rPr>
          <w:rFonts w:hint="cs"/>
          <w:spacing w:val="4"/>
          <w:sz w:val="36"/>
          <w:szCs w:val="36"/>
          <w:rtl/>
          <w:lang w:val="en-GB" w:eastAsia="en-US"/>
        </w:rPr>
        <w:t>؛</w:t>
      </w:r>
      <w:r w:rsidRPr="00DB59CC">
        <w:rPr>
          <w:rFonts w:hint="cs"/>
          <w:spacing w:val="4"/>
          <w:sz w:val="36"/>
          <w:szCs w:val="36"/>
          <w:rtl/>
          <w:lang w:val="en-GB" w:eastAsia="en-US"/>
        </w:rPr>
        <w:t xml:space="preserve"> لأن المؤلف ذكر في المقدمة</w:t>
      </w:r>
      <w:r w:rsidRPr="00DB59CC">
        <w:rPr>
          <w:bCs/>
          <w:spacing w:val="4"/>
          <w:sz w:val="36"/>
          <w:szCs w:val="32"/>
          <w:vertAlign w:val="superscript"/>
          <w:rtl/>
          <w:lang w:val="en-GB" w:eastAsia="en-US"/>
        </w:rPr>
        <w:t>(</w:t>
      </w:r>
      <w:r w:rsidRPr="00DB59CC">
        <w:rPr>
          <w:bCs/>
          <w:spacing w:val="4"/>
          <w:sz w:val="36"/>
          <w:szCs w:val="32"/>
          <w:vertAlign w:val="superscript"/>
          <w:rtl/>
          <w:lang w:val="en-GB" w:eastAsia="en-US"/>
        </w:rPr>
        <w:footnoteReference w:id="78"/>
      </w:r>
      <w:r w:rsidRPr="00DB59CC">
        <w:rPr>
          <w:bCs/>
          <w:spacing w:val="4"/>
          <w:sz w:val="36"/>
          <w:szCs w:val="32"/>
          <w:vertAlign w:val="superscript"/>
          <w:rtl/>
          <w:lang w:val="en-GB" w:eastAsia="en-US"/>
        </w:rPr>
        <w:t>)</w:t>
      </w:r>
      <w:r w:rsidRPr="00DB59CC">
        <w:rPr>
          <w:rFonts w:hint="cs"/>
          <w:spacing w:val="4"/>
          <w:sz w:val="36"/>
          <w:szCs w:val="36"/>
          <w:rtl/>
          <w:lang w:val="en-GB" w:eastAsia="en-US"/>
        </w:rPr>
        <w:t xml:space="preserve"> أن قصده واختياره أن يزيد إلى آخر عمره ما وجد من القواعد، ويكتبها في حاشية هذا الكتاب بوجه يمكن عند الاستنساخ أن تكتب في الصلب، كما نبه في الخاتمة</w:t>
      </w:r>
      <w:r w:rsidRPr="00DB59CC">
        <w:rPr>
          <w:bCs/>
          <w:spacing w:val="4"/>
          <w:sz w:val="36"/>
          <w:szCs w:val="32"/>
          <w:vertAlign w:val="superscript"/>
          <w:rtl/>
          <w:lang w:val="en-GB" w:eastAsia="en-US"/>
        </w:rPr>
        <w:t>(</w:t>
      </w:r>
      <w:r w:rsidRPr="00DB59CC">
        <w:rPr>
          <w:bCs/>
          <w:spacing w:val="4"/>
          <w:sz w:val="36"/>
          <w:szCs w:val="32"/>
          <w:vertAlign w:val="superscript"/>
          <w:rtl/>
          <w:lang w:val="en-GB" w:eastAsia="en-US"/>
        </w:rPr>
        <w:footnoteReference w:id="79"/>
      </w:r>
      <w:r w:rsidRPr="00DB59CC">
        <w:rPr>
          <w:bCs/>
          <w:spacing w:val="4"/>
          <w:sz w:val="36"/>
          <w:szCs w:val="32"/>
          <w:vertAlign w:val="superscript"/>
          <w:rtl/>
          <w:lang w:val="en-GB" w:eastAsia="en-US"/>
        </w:rPr>
        <w:t>)</w:t>
      </w:r>
      <w:r w:rsidRPr="00DB59CC">
        <w:rPr>
          <w:rFonts w:hint="cs"/>
          <w:spacing w:val="4"/>
          <w:sz w:val="36"/>
          <w:szCs w:val="36"/>
          <w:rtl/>
          <w:lang w:val="en-GB" w:eastAsia="en-US"/>
        </w:rPr>
        <w:t xml:space="preserve"> بأن تمام الكتاب حقيقة يكون بإنجاز ذلك الوعد. وقد بذلت غاية جهدي في استقراء ما أمكن الاطلاع عليه من فهارس المخطوطات؛ بحثًا عن نسخة حقق فيها ناظر زاده هذا الوعد، فتم العثور على عشر نسخ خطية للكتاب، لكنها جميعًا خالية من تحقيق هذه الرغبة؛ بل لم أجد له مؤلفات أخر إطلاقًا.</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 xml:space="preserve">وفي العثور على عشر نسخ خطية للكتاب، وبعضها كتب بعد وفاة المؤلف يقينًا </w:t>
      </w:r>
      <w:r w:rsidRPr="00DB59CC">
        <w:rPr>
          <w:bCs/>
          <w:sz w:val="36"/>
          <w:szCs w:val="32"/>
          <w:vertAlign w:val="superscript"/>
          <w:rtl/>
          <w:lang w:val="en-GB" w:eastAsia="en-US"/>
        </w:rPr>
        <w:t>(</w:t>
      </w:r>
      <w:r w:rsidRPr="00DB59CC">
        <w:rPr>
          <w:bCs/>
          <w:sz w:val="36"/>
          <w:szCs w:val="32"/>
          <w:vertAlign w:val="superscript"/>
          <w:rtl/>
          <w:lang w:val="en-GB" w:eastAsia="en-US"/>
        </w:rPr>
        <w:footnoteReference w:id="80"/>
      </w:r>
      <w:r w:rsidRPr="00DB59CC">
        <w:rPr>
          <w:bCs/>
          <w:sz w:val="36"/>
          <w:szCs w:val="32"/>
          <w:vertAlign w:val="superscript"/>
          <w:rtl/>
          <w:lang w:val="en-GB" w:eastAsia="en-US"/>
        </w:rPr>
        <w:t>)</w:t>
      </w:r>
      <w:r w:rsidRPr="00DB59CC">
        <w:rPr>
          <w:rFonts w:hint="cs"/>
          <w:sz w:val="36"/>
          <w:szCs w:val="36"/>
          <w:rtl/>
          <w:lang w:val="en-GB" w:eastAsia="en-US"/>
        </w:rPr>
        <w:t>، في هذا دلالة على أن ناظر زاده لم يحقق ذلك الوعد</w:t>
      </w:r>
      <w:r w:rsidR="0048366D">
        <w:rPr>
          <w:rFonts w:hint="cs"/>
          <w:sz w:val="36"/>
          <w:szCs w:val="36"/>
          <w:rtl/>
          <w:lang w:val="en-GB" w:eastAsia="en-US"/>
        </w:rPr>
        <w:t>؛</w:t>
      </w:r>
      <w:r w:rsidRPr="00DB59CC">
        <w:rPr>
          <w:rFonts w:hint="cs"/>
          <w:sz w:val="36"/>
          <w:szCs w:val="36"/>
          <w:rtl/>
          <w:lang w:val="en-GB" w:eastAsia="en-US"/>
        </w:rPr>
        <w:t xml:space="preserve"> لأنه لو كانت هناك نسخة حقق فيها ذلك الوعد لكانت هي المتداولة</w:t>
      </w:r>
      <w:r w:rsidR="0048366D">
        <w:rPr>
          <w:rFonts w:hint="cs"/>
          <w:sz w:val="36"/>
          <w:szCs w:val="36"/>
          <w:rtl/>
          <w:lang w:val="en-GB" w:eastAsia="en-US"/>
        </w:rPr>
        <w:t>؛</w:t>
      </w:r>
      <w:r w:rsidRPr="00DB59CC">
        <w:rPr>
          <w:rFonts w:hint="cs"/>
          <w:sz w:val="36"/>
          <w:szCs w:val="36"/>
          <w:rtl/>
          <w:lang w:val="en-GB" w:eastAsia="en-US"/>
        </w:rPr>
        <w:t xml:space="preserve"> لأنها آخر ما كتب المؤلف.</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والذي يظهر أن عذره في عدم تحقيق ذلك الوعد</w:t>
      </w:r>
      <w:r w:rsidR="0048366D">
        <w:rPr>
          <w:rFonts w:hint="cs"/>
          <w:sz w:val="36"/>
          <w:szCs w:val="36"/>
          <w:rtl/>
          <w:lang w:val="en-GB" w:eastAsia="en-US"/>
        </w:rPr>
        <w:t>:</w:t>
      </w:r>
      <w:r w:rsidRPr="00DB59CC">
        <w:rPr>
          <w:rFonts w:hint="cs"/>
          <w:sz w:val="36"/>
          <w:szCs w:val="36"/>
          <w:rtl/>
          <w:lang w:val="en-GB" w:eastAsia="en-US"/>
        </w:rPr>
        <w:t xml:space="preserve"> أنه وافته المنيّة قبل التمكن من تحقيقه -والله أعلم-.</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أما مكان ولادته ووفاته</w:t>
      </w:r>
      <w:r w:rsidR="0048366D">
        <w:rPr>
          <w:rFonts w:hint="cs"/>
          <w:sz w:val="36"/>
          <w:szCs w:val="36"/>
          <w:rtl/>
          <w:lang w:val="en-GB" w:eastAsia="en-US"/>
        </w:rPr>
        <w:t>:</w:t>
      </w:r>
      <w:r w:rsidRPr="00DB59CC">
        <w:rPr>
          <w:rFonts w:hint="cs"/>
          <w:sz w:val="36"/>
          <w:szCs w:val="36"/>
          <w:rtl/>
          <w:lang w:val="en-GB" w:eastAsia="en-US"/>
        </w:rPr>
        <w:t xml:space="preserve"> فلم أعثر على ما يمكن أن يعتمد عليه في تقـديرهما، لكن الغالب على الظن أن مكانهما لا يخرج عن تركيا.</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81"/>
      </w:r>
      <w:r w:rsidRPr="00DB59CC">
        <w:rPr>
          <w:bCs/>
          <w:sz w:val="36"/>
          <w:szCs w:val="32"/>
          <w:vertAlign w:val="superscript"/>
          <w:rtl/>
          <w:lang w:val="en-GB" w:eastAsia="en-US"/>
        </w:rPr>
        <w:t>)</w:t>
      </w: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firstLine="567"/>
        <w:jc w:val="both"/>
        <w:rPr>
          <w:rFonts w:cs="Monotype Koufi"/>
          <w:sz w:val="20"/>
          <w:szCs w:val="36"/>
          <w:rtl/>
          <w:lang w:eastAsia="en-US"/>
        </w:rPr>
      </w:pPr>
    </w:p>
    <w:p w:rsidR="00DB59CC" w:rsidRPr="00DB59CC" w:rsidRDefault="00DB59CC" w:rsidP="009A68A5">
      <w:pPr>
        <w:widowControl/>
        <w:ind w:firstLine="567"/>
        <w:jc w:val="both"/>
        <w:rPr>
          <w:rFonts w:cs="Monotype Koufi"/>
          <w:sz w:val="20"/>
          <w:szCs w:val="36"/>
          <w:rtl/>
          <w:lang w:eastAsia="en-US"/>
        </w:rPr>
      </w:pPr>
      <w:r w:rsidRPr="00DB59CC">
        <w:rPr>
          <w:rFonts w:cs="Monotype Koufi" w:hint="cs"/>
          <w:sz w:val="20"/>
          <w:szCs w:val="36"/>
          <w:rtl/>
          <w:lang w:eastAsia="en-US"/>
        </w:rPr>
        <w:lastRenderedPageBreak/>
        <w:t>المبحث الرابع</w:t>
      </w:r>
      <w:r w:rsidR="0048366D">
        <w:rPr>
          <w:rFonts w:cs="Monotype Koufi" w:hint="cs"/>
          <w:sz w:val="20"/>
          <w:szCs w:val="36"/>
          <w:rtl/>
          <w:lang w:eastAsia="en-US"/>
        </w:rPr>
        <w:t>:</w:t>
      </w:r>
      <w:r w:rsidRPr="00DB59CC">
        <w:rPr>
          <w:rFonts w:cs="Monotype Koufi" w:hint="cs"/>
          <w:sz w:val="20"/>
          <w:szCs w:val="36"/>
          <w:rtl/>
          <w:lang w:eastAsia="en-US"/>
        </w:rPr>
        <w:t xml:space="preserve"> نشأته وحياته</w:t>
      </w:r>
      <w:r w:rsidR="0048366D">
        <w:rPr>
          <w:rFonts w:cs="Monotype Koufi" w:hint="cs"/>
          <w:sz w:val="20"/>
          <w:szCs w:val="36"/>
          <w:rtl/>
          <w:lang w:eastAsia="en-US"/>
        </w:rPr>
        <w:t>:</w:t>
      </w: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يغلب على الظن أنه نشأ وعاش في تركيا.</w:t>
      </w:r>
      <w:r w:rsidRPr="00DB59CC">
        <w:rPr>
          <w:bCs/>
          <w:sz w:val="36"/>
          <w:szCs w:val="32"/>
          <w:vertAlign w:val="superscript"/>
          <w:rtl/>
          <w:lang w:val="en-GB" w:eastAsia="en-US"/>
        </w:rPr>
        <w:t>(</w:t>
      </w:r>
      <w:r w:rsidRPr="00DB59CC">
        <w:rPr>
          <w:bCs/>
          <w:sz w:val="36"/>
          <w:szCs w:val="32"/>
          <w:vertAlign w:val="superscript"/>
          <w:rtl/>
          <w:lang w:val="en-GB" w:eastAsia="en-US"/>
        </w:rPr>
        <w:footnoteReference w:id="82"/>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 xml:space="preserve">وإذا كان هناك مجال للاجتهاد في تحديد مكان </w:t>
      </w:r>
      <w:r w:rsidRPr="00DB59CC">
        <w:rPr>
          <w:rFonts w:hint="cs"/>
          <w:b/>
          <w:bCs/>
          <w:sz w:val="36"/>
          <w:szCs w:val="36"/>
          <w:rtl/>
          <w:lang w:val="en-GB" w:eastAsia="en-US"/>
        </w:rPr>
        <w:t>نشأته</w:t>
      </w:r>
      <w:r w:rsidR="0048366D">
        <w:rPr>
          <w:rFonts w:hint="cs"/>
          <w:sz w:val="36"/>
          <w:szCs w:val="36"/>
          <w:rtl/>
          <w:lang w:val="en-GB" w:eastAsia="en-US"/>
        </w:rPr>
        <w:t>:</w:t>
      </w:r>
      <w:r w:rsidRPr="00DB59CC">
        <w:rPr>
          <w:rFonts w:hint="cs"/>
          <w:sz w:val="36"/>
          <w:szCs w:val="36"/>
          <w:rtl/>
          <w:lang w:val="en-GB" w:eastAsia="en-US"/>
        </w:rPr>
        <w:t xml:space="preserve"> فيمكن أن يقال</w:t>
      </w:r>
      <w:r w:rsidR="0048366D">
        <w:rPr>
          <w:rFonts w:hint="cs"/>
          <w:sz w:val="36"/>
          <w:szCs w:val="36"/>
          <w:rtl/>
          <w:lang w:val="en-GB" w:eastAsia="en-US"/>
        </w:rPr>
        <w:t>:</w:t>
      </w:r>
      <w:r w:rsidRPr="00DB59CC">
        <w:rPr>
          <w:rFonts w:hint="cs"/>
          <w:sz w:val="36"/>
          <w:szCs w:val="36"/>
          <w:rtl/>
          <w:lang w:val="en-GB" w:eastAsia="en-US"/>
        </w:rPr>
        <w:t xml:space="preserve"> يحتمل أنه بلدة (كليبولي) بتركيا</w:t>
      </w:r>
      <w:r w:rsidR="0048366D">
        <w:rPr>
          <w:rFonts w:hint="cs"/>
          <w:sz w:val="36"/>
          <w:szCs w:val="36"/>
          <w:rtl/>
          <w:lang w:val="en-GB" w:eastAsia="en-US"/>
        </w:rPr>
        <w:t>؛</w:t>
      </w:r>
      <w:r w:rsidRPr="00DB59CC">
        <w:rPr>
          <w:rFonts w:hint="cs"/>
          <w:sz w:val="36"/>
          <w:szCs w:val="36"/>
          <w:rtl/>
          <w:lang w:val="en-GB" w:eastAsia="en-US"/>
        </w:rPr>
        <w:t xml:space="preserve"> لأن هناك عالمًا يحتمل أن يكون ابنًا لمحمد بن سليمان ناظر زاده، وهو عبدالرحمن بن الشيخ محمد بن سليمان، المعروف بشيخي زاده (ت1078هـ)، صاحب كتاب (مجمع الأنهر في شرح ملتقى الأبحر).</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وقد ورد في كتب التراجم أن هذا العالم من أهل (كليبولي) بتركيا.</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83"/>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أما حياته</w:t>
      </w:r>
      <w:r w:rsidR="0048366D">
        <w:rPr>
          <w:rFonts w:hint="cs"/>
          <w:b/>
          <w:bCs/>
          <w:sz w:val="36"/>
          <w:szCs w:val="36"/>
          <w:rtl/>
          <w:lang w:val="en-GB" w:eastAsia="en-US"/>
        </w:rPr>
        <w:t>:</w:t>
      </w:r>
      <w:r w:rsidRPr="00DB59CC">
        <w:rPr>
          <w:rFonts w:hint="cs"/>
          <w:sz w:val="36"/>
          <w:szCs w:val="36"/>
          <w:rtl/>
          <w:lang w:val="en-GB" w:eastAsia="en-US"/>
        </w:rPr>
        <w:t xml:space="preserve"> فيبدو أنه عاش في القسطنطينية فترة من الزمن؛ لأنه أراد عرض كتابه على مفتي الأنام في تلك الأيام (وهو من يلقب بشيخ الإسلام)، ومن يزاول هذا العمل يكون مقيمًا في القسطنطينية تبعًا للسلطان،</w:t>
      </w:r>
      <w:r w:rsidRPr="00DB59CC">
        <w:rPr>
          <w:bCs/>
          <w:sz w:val="36"/>
          <w:szCs w:val="32"/>
          <w:vertAlign w:val="superscript"/>
          <w:rtl/>
          <w:lang w:val="en-GB" w:eastAsia="en-US"/>
        </w:rPr>
        <w:t>(</w:t>
      </w:r>
      <w:r w:rsidRPr="00DB59CC">
        <w:rPr>
          <w:bCs/>
          <w:sz w:val="36"/>
          <w:szCs w:val="32"/>
          <w:vertAlign w:val="superscript"/>
          <w:rtl/>
          <w:lang w:val="en-GB" w:eastAsia="en-US"/>
        </w:rPr>
        <w:footnoteReference w:id="84"/>
      </w:r>
      <w:r w:rsidRPr="00DB59CC">
        <w:rPr>
          <w:bCs/>
          <w:sz w:val="36"/>
          <w:szCs w:val="32"/>
          <w:vertAlign w:val="superscript"/>
          <w:rtl/>
          <w:lang w:val="en-GB" w:eastAsia="en-US"/>
        </w:rPr>
        <w:t>)</w:t>
      </w:r>
      <w:r w:rsidRPr="00DB59CC">
        <w:rPr>
          <w:rFonts w:hint="cs"/>
          <w:sz w:val="36"/>
          <w:szCs w:val="36"/>
          <w:rtl/>
          <w:lang w:val="en-GB" w:eastAsia="en-US"/>
        </w:rPr>
        <w:t xml:space="preserve"> كما أنّ أقدم النسخ  -والتي يرجّح أنها كتبت في عصر المؤلف- </w:t>
      </w:r>
      <w:r w:rsidRPr="00DB59CC">
        <w:rPr>
          <w:rFonts w:hint="cs"/>
          <w:sz w:val="36"/>
          <w:szCs w:val="36"/>
          <w:rtl/>
          <w:lang w:val="en-GB" w:eastAsia="en-US"/>
        </w:rPr>
        <w:lastRenderedPageBreak/>
        <w:t>كتبت في القسطنطينية.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85"/>
      </w:r>
      <w:r w:rsidRPr="00DB59CC">
        <w:rPr>
          <w:bCs/>
          <w:sz w:val="36"/>
          <w:szCs w:val="32"/>
          <w:vertAlign w:val="superscript"/>
          <w:rtl/>
          <w:lang w:val="en-GB" w:eastAsia="en-US"/>
        </w:rPr>
        <w:t>)</w:t>
      </w:r>
      <w:r w:rsidRPr="00DB59CC">
        <w:rPr>
          <w:rFonts w:hint="cs"/>
          <w:sz w:val="36"/>
          <w:szCs w:val="36"/>
          <w:rtl/>
          <w:lang w:val="en-GB" w:eastAsia="en-US"/>
        </w:rPr>
        <w:t xml:space="preserve"> ثم إنها كانت عاصمة الدولة العثمانية سياسيًّا وعلميًّا وبها أرقى المدارس العثمانية التي تخرج العلماء والقضاة والأساتذة والمفتين</w:t>
      </w:r>
      <w:r w:rsidR="0048366D">
        <w:rPr>
          <w:rFonts w:hint="cs"/>
          <w:sz w:val="36"/>
          <w:szCs w:val="36"/>
          <w:rtl/>
          <w:lang w:val="en-GB" w:eastAsia="en-US"/>
        </w:rPr>
        <w:t>،</w:t>
      </w:r>
      <w:r w:rsidRPr="00DB59CC">
        <w:rPr>
          <w:rFonts w:hint="cs"/>
          <w:sz w:val="36"/>
          <w:szCs w:val="36"/>
          <w:rtl/>
          <w:lang w:val="en-GB" w:eastAsia="en-US"/>
        </w:rPr>
        <w:t xml:space="preserve"> ويقصدها الطلبة من شتّى البقاع.</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86"/>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ولكي تتضح للقارئ معالم أُخَر من شخصية ناظر زاده يمكن إيراد ترجمة مختصرة لشيخي زاده بالنظر إلى احتمال كونه ابنه، أو على أقل تقدير قرينًا له</w:t>
      </w:r>
      <w:r w:rsidR="0048366D">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هو عبدالرحمن بن الشيخ محمد بن سليمان المدعو بشيخي زاده، ويعرف بداماد شيخ الإسلام (ت1078هـ)، من أهل (كليبولى) (بتركيا)، وكان قاضيًا بعسكر روم إيلي، من آثاره</w:t>
      </w:r>
      <w:r w:rsidR="0048366D">
        <w:rPr>
          <w:rFonts w:hint="cs"/>
          <w:sz w:val="36"/>
          <w:szCs w:val="36"/>
          <w:rtl/>
          <w:lang w:val="en-GB" w:eastAsia="en-US"/>
        </w:rPr>
        <w:t>:</w:t>
      </w:r>
      <w:r w:rsidRPr="00DB59CC">
        <w:rPr>
          <w:rFonts w:hint="cs"/>
          <w:sz w:val="36"/>
          <w:szCs w:val="36"/>
          <w:rtl/>
          <w:lang w:val="en-GB" w:eastAsia="en-US"/>
        </w:rPr>
        <w:t xml:space="preserve"> مجمع الأنهر في شرح ملتقى الأبحر (فرغ من تأليفه ببلدة أدرنة بتركيا)، ونظم الفوائد في مسائل الخلاف بين الماتريدية والأشعرية.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87"/>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0"/>
        <w:jc w:val="both"/>
        <w:rPr>
          <w:rFonts w:cs="Monotype Koufi"/>
          <w:sz w:val="20"/>
          <w:szCs w:val="36"/>
          <w:rtl/>
          <w:lang w:eastAsia="en-US"/>
        </w:rPr>
      </w:pPr>
      <w:r w:rsidRPr="00DB59CC">
        <w:rPr>
          <w:rFonts w:cs="Monotype Koufi"/>
          <w:bCs/>
          <w:sz w:val="36"/>
          <w:szCs w:val="36"/>
          <w:rtl/>
          <w:lang w:eastAsia="en-US"/>
        </w:rPr>
        <w:br w:type="page"/>
      </w:r>
      <w:r w:rsidRPr="00DB59CC">
        <w:rPr>
          <w:rFonts w:cs="Monotype Koufi" w:hint="cs"/>
          <w:sz w:val="20"/>
          <w:szCs w:val="36"/>
          <w:rtl/>
          <w:lang w:eastAsia="en-US"/>
        </w:rPr>
        <w:lastRenderedPageBreak/>
        <w:t>المبحث الخامس</w:t>
      </w:r>
      <w:r w:rsidR="0048366D">
        <w:rPr>
          <w:rFonts w:cs="Monotype Koufi" w:hint="cs"/>
          <w:sz w:val="20"/>
          <w:szCs w:val="36"/>
          <w:rtl/>
          <w:lang w:eastAsia="en-US"/>
        </w:rPr>
        <w:t>:</w:t>
      </w:r>
      <w:r w:rsidRPr="00DB59CC">
        <w:rPr>
          <w:rFonts w:cs="Monotype Koufi" w:hint="cs"/>
          <w:sz w:val="20"/>
          <w:szCs w:val="36"/>
          <w:rtl/>
          <w:lang w:eastAsia="en-US"/>
        </w:rPr>
        <w:t xml:space="preserve"> طلبه العلم وشيوخه</w:t>
      </w:r>
      <w:r w:rsidR="0048366D">
        <w:rPr>
          <w:rFonts w:cs="Monotype Koufi" w:hint="cs"/>
          <w:sz w:val="20"/>
          <w:szCs w:val="36"/>
          <w:rtl/>
          <w:lang w:eastAsia="en-US"/>
        </w:rPr>
        <w:t>:</w:t>
      </w: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لقد تدرّج في طلب العلم، والذي يظهر أنه بدأ بالقرآن الكريم -شأنه شأن جل العلماء في تلك العصور وغيرها-، كما يبدو أنه تعلم علوم الشريعة والنحو والبلاغة، وبرع في علم الفقه وأصوله وقواعده- وهذا بالنظر إلى كون الكتاب مرآة له تحكي إتقانه لهذه العلوم الثلاثة ودراسته للعلوم الأخر-.</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وكان أثناء طلبه العلم قد درس في العتبة العلية ولازم فيها، وله فيها بعض المحاولات في تأليف الرسائل إلى أن بلغ منزلة مرموقة في طلب العلم</w:t>
      </w:r>
      <w:r w:rsidR="0048366D">
        <w:rPr>
          <w:rFonts w:hint="cs"/>
          <w:sz w:val="36"/>
          <w:szCs w:val="36"/>
          <w:rtl/>
          <w:lang w:val="en-GB" w:eastAsia="en-US"/>
        </w:rPr>
        <w:t>؛</w:t>
      </w:r>
      <w:r w:rsidRPr="00DB59CC">
        <w:rPr>
          <w:rFonts w:hint="cs"/>
          <w:sz w:val="36"/>
          <w:szCs w:val="36"/>
          <w:rtl/>
          <w:lang w:val="en-GB" w:eastAsia="en-US"/>
        </w:rPr>
        <w:t xml:space="preserve"> فأُذن له بالإفتاء، وأُمر بالتأليف؛ فألف هذا الكتاب.</w:t>
      </w:r>
    </w:p>
    <w:p w:rsidR="00DB59CC" w:rsidRPr="00DB59CC" w:rsidRDefault="00DB59CC" w:rsidP="009A68A5">
      <w:pPr>
        <w:widowControl/>
        <w:ind w:firstLine="567"/>
        <w:jc w:val="both"/>
        <w:rPr>
          <w:sz w:val="20"/>
          <w:szCs w:val="36"/>
          <w:rtl/>
          <w:lang w:val="en-GB" w:eastAsia="en-US"/>
        </w:rPr>
      </w:pPr>
      <w:r w:rsidRPr="00DB59CC">
        <w:rPr>
          <w:rFonts w:hint="cs"/>
          <w:sz w:val="20"/>
          <w:szCs w:val="36"/>
          <w:rtl/>
          <w:lang w:val="en-GB" w:eastAsia="en-US"/>
        </w:rPr>
        <w:t>وبعد أن ألّف هذا الكتاب أراد عرضه على شيخ الإسلام المفتي العام للدولة العثمانية، أبي سعيد بن أسعد أفندي (ت1072هـ)</w:t>
      </w:r>
      <w:r w:rsidR="0048366D">
        <w:rPr>
          <w:rFonts w:hint="cs"/>
          <w:sz w:val="20"/>
          <w:szCs w:val="36"/>
          <w:rtl/>
          <w:lang w:val="en-GB" w:eastAsia="en-US"/>
        </w:rPr>
        <w:t>،</w:t>
      </w:r>
      <w:r w:rsidRPr="00DB59CC">
        <w:rPr>
          <w:rFonts w:hint="cs"/>
          <w:sz w:val="20"/>
          <w:szCs w:val="36"/>
          <w:rtl/>
          <w:lang w:val="en-GB" w:eastAsia="en-US"/>
        </w:rPr>
        <w:t xml:space="preserve"> وكان يُجِلّ هذا العالم ويقدره، وقد أثنى عليه كثيرًا في مقدمة الكتاب، ومما ذكره</w:t>
      </w:r>
      <w:r w:rsidR="0048366D">
        <w:rPr>
          <w:rFonts w:hint="cs"/>
          <w:sz w:val="20"/>
          <w:szCs w:val="36"/>
          <w:rtl/>
          <w:lang w:val="en-GB" w:eastAsia="en-US"/>
        </w:rPr>
        <w:t>:</w:t>
      </w:r>
      <w:r w:rsidRPr="00DB59CC">
        <w:rPr>
          <w:rFonts w:hint="cs"/>
          <w:sz w:val="20"/>
          <w:szCs w:val="36"/>
          <w:rtl/>
          <w:lang w:val="en-GB" w:eastAsia="en-US"/>
        </w:rPr>
        <w:t xml:space="preserve"> أن طلبة العلم يحبون لقياه والاستفادة منه أكـثر من حب صاحب الجمـال للنظر في الـمرآة</w:t>
      </w:r>
      <w:r w:rsidR="0048366D">
        <w:rPr>
          <w:rFonts w:hint="cs"/>
          <w:sz w:val="20"/>
          <w:szCs w:val="36"/>
          <w:rtl/>
          <w:lang w:val="en-GB" w:eastAsia="en-US"/>
        </w:rPr>
        <w:t>.</w:t>
      </w:r>
      <w:r w:rsidRPr="00DB59CC">
        <w:rPr>
          <w:rFonts w:hint="cs"/>
          <w:sz w:val="20"/>
          <w:szCs w:val="36"/>
          <w:rtl/>
          <w:lang w:val="en-GB" w:eastAsia="en-US"/>
        </w:rPr>
        <w:t>فـربما أنه من طلبة العلم الذين التـقـوا به، وتتلمذوا عليه.</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88"/>
      </w:r>
      <w:r w:rsidRPr="00DB59CC">
        <w:rPr>
          <w:bCs/>
          <w:sz w:val="36"/>
          <w:szCs w:val="32"/>
          <w:vertAlign w:val="superscript"/>
          <w:rtl/>
          <w:lang w:val="en-GB" w:eastAsia="en-US"/>
        </w:rPr>
        <w:t>)</w:t>
      </w:r>
    </w:p>
    <w:p w:rsidR="00DB59CC" w:rsidRPr="00DB59CC" w:rsidRDefault="00DB59CC" w:rsidP="009A68A5">
      <w:pPr>
        <w:widowControl/>
        <w:ind w:firstLine="567"/>
        <w:jc w:val="both"/>
        <w:rPr>
          <w:sz w:val="20"/>
          <w:szCs w:val="36"/>
          <w:rtl/>
          <w:lang w:val="en-GB" w:eastAsia="en-US"/>
        </w:rPr>
      </w:pPr>
      <w:r w:rsidRPr="00DB59CC">
        <w:rPr>
          <w:sz w:val="20"/>
          <w:szCs w:val="36"/>
          <w:rtl/>
          <w:lang w:val="en-GB" w:eastAsia="en-US"/>
        </w:rPr>
        <w:br w:type="page"/>
      </w:r>
      <w:r w:rsidRPr="00DB59CC">
        <w:rPr>
          <w:rFonts w:cs="Monotype Koufi" w:hint="cs"/>
          <w:bCs/>
          <w:sz w:val="20"/>
          <w:szCs w:val="36"/>
          <w:rtl/>
          <w:lang w:eastAsia="en-US"/>
        </w:rPr>
        <w:lastRenderedPageBreak/>
        <w:t>المبحث السادس</w:t>
      </w:r>
      <w:r w:rsidR="0048366D">
        <w:rPr>
          <w:rFonts w:cs="Monotype Koufi" w:hint="cs"/>
          <w:bCs/>
          <w:sz w:val="20"/>
          <w:szCs w:val="36"/>
          <w:rtl/>
          <w:lang w:eastAsia="en-US"/>
        </w:rPr>
        <w:t>:</w:t>
      </w:r>
      <w:r w:rsidRPr="00DB59CC">
        <w:rPr>
          <w:rFonts w:cs="Monotype Koufi" w:hint="cs"/>
          <w:bCs/>
          <w:sz w:val="20"/>
          <w:szCs w:val="36"/>
          <w:rtl/>
          <w:lang w:eastAsia="en-US"/>
        </w:rPr>
        <w:t xml:space="preserve"> تلاميذه</w:t>
      </w:r>
      <w:r w:rsidR="0048366D">
        <w:rPr>
          <w:rFonts w:cs="Monotype Koufi" w:hint="cs"/>
          <w:bCs/>
          <w:sz w:val="20"/>
          <w:szCs w:val="36"/>
          <w:rtl/>
          <w:lang w:eastAsia="en-US"/>
        </w:rPr>
        <w:t>:</w:t>
      </w:r>
    </w:p>
    <w:p w:rsidR="00DB59CC" w:rsidRPr="00DB59CC" w:rsidRDefault="00DB59CC" w:rsidP="009A68A5">
      <w:pPr>
        <w:widowControl/>
        <w:ind w:firstLine="567"/>
        <w:jc w:val="both"/>
        <w:rPr>
          <w:rFonts w:cs="Monotype Koufi"/>
          <w:rtl/>
          <w:lang w:val="en-GB" w:eastAsia="en-US"/>
        </w:rPr>
      </w:pP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مما لا شك فيه</w:t>
      </w:r>
      <w:r w:rsidR="0048366D">
        <w:rPr>
          <w:rFonts w:hint="cs"/>
          <w:sz w:val="36"/>
          <w:szCs w:val="36"/>
          <w:rtl/>
          <w:lang w:val="en-GB" w:eastAsia="en-US"/>
        </w:rPr>
        <w:t>:</w:t>
      </w:r>
      <w:r w:rsidRPr="00DB59CC">
        <w:rPr>
          <w:rFonts w:hint="cs"/>
          <w:sz w:val="36"/>
          <w:szCs w:val="36"/>
          <w:rtl/>
          <w:lang w:val="en-GB" w:eastAsia="en-US"/>
        </w:rPr>
        <w:t xml:space="preserve"> أنه لا يكاد يوجد عالم من غير تلاميذ، سواء قلوا أم كثروا.</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وقد حاولت أن استشفّ تلاميذ المؤلف من خلال قراءة الكتاب، فتمّ العثور على ما يدل على وجودهم، دون تحديد أسمائهم، وما يفيد في معرفة أعيانهم</w:t>
      </w:r>
      <w:r w:rsidR="0048366D">
        <w:rPr>
          <w:rFonts w:hint="cs"/>
          <w:sz w:val="36"/>
          <w:szCs w:val="36"/>
          <w:rtl/>
          <w:lang w:val="en-GB" w:eastAsia="en-US"/>
        </w:rPr>
        <w:t>؛</w:t>
      </w:r>
      <w:r w:rsidRPr="00DB59CC">
        <w:rPr>
          <w:rFonts w:hint="cs"/>
          <w:sz w:val="36"/>
          <w:szCs w:val="36"/>
          <w:rtl/>
          <w:lang w:val="en-GB" w:eastAsia="en-US"/>
        </w:rPr>
        <w:t xml:space="preserve"> إذ هناك عدة مظاهر تدل على أنه كان يملي كتابه على تلاميذه، ومن هذه المظاهر</w:t>
      </w:r>
      <w:r w:rsidR="0048366D">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1</w:t>
      </w:r>
      <w:r w:rsidRPr="00DB59CC">
        <w:rPr>
          <w:rFonts w:hint="cs"/>
          <w:sz w:val="36"/>
          <w:szCs w:val="36"/>
          <w:rtl/>
          <w:lang w:val="en-GB" w:eastAsia="en-US"/>
        </w:rPr>
        <w:t>- اسم الكتاب</w:t>
      </w:r>
      <w:r w:rsidR="0048366D">
        <w:rPr>
          <w:rFonts w:hint="cs"/>
          <w:sz w:val="36"/>
          <w:szCs w:val="36"/>
          <w:rtl/>
          <w:lang w:val="en-GB" w:eastAsia="en-US"/>
        </w:rPr>
        <w:t>؛</w:t>
      </w:r>
      <w:r w:rsidRPr="00DB59CC">
        <w:rPr>
          <w:rFonts w:hint="cs"/>
          <w:sz w:val="36"/>
          <w:szCs w:val="36"/>
          <w:rtl/>
          <w:lang w:val="en-GB" w:eastAsia="en-US"/>
        </w:rPr>
        <w:t xml:space="preserve"> فهو (ترتيب اللآلي في سلك </w:t>
      </w:r>
      <w:r w:rsidRPr="00DB59CC">
        <w:rPr>
          <w:rFonts w:hint="cs"/>
          <w:b/>
          <w:bCs/>
          <w:sz w:val="36"/>
          <w:szCs w:val="36"/>
          <w:rtl/>
          <w:lang w:val="en-GB" w:eastAsia="en-US"/>
        </w:rPr>
        <w:t>الأمالي</w:t>
      </w:r>
      <w:r w:rsidRPr="00DB59CC">
        <w:rPr>
          <w:rFonts w:hint="cs"/>
          <w:sz w:val="36"/>
          <w:szCs w:val="36"/>
          <w:rtl/>
          <w:lang w:val="en-GB" w:eastAsia="en-US"/>
        </w:rPr>
        <w:t>)</w:t>
      </w:r>
      <w:r w:rsidR="0048366D">
        <w:rPr>
          <w:rFonts w:hint="cs"/>
          <w:sz w:val="36"/>
          <w:szCs w:val="36"/>
          <w:rtl/>
          <w:lang w:val="en-GB" w:eastAsia="en-US"/>
        </w:rPr>
        <w:t>:</w:t>
      </w:r>
      <w:r w:rsidRPr="00DB59CC">
        <w:rPr>
          <w:rFonts w:hint="cs"/>
          <w:sz w:val="36"/>
          <w:szCs w:val="36"/>
          <w:rtl/>
          <w:lang w:val="en-GB" w:eastAsia="en-US"/>
        </w:rPr>
        <w:t xml:space="preserve"> فكلمة الأمالي جمع (الإملاء)، ويفهم منها أنه كان يملي كتابه على تلاميذه.</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89"/>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2</w:t>
      </w:r>
      <w:r w:rsidRPr="00DB59CC">
        <w:rPr>
          <w:rFonts w:hint="cs"/>
          <w:sz w:val="36"/>
          <w:szCs w:val="36"/>
          <w:rtl/>
          <w:lang w:val="en-GB" w:eastAsia="en-US"/>
        </w:rPr>
        <w:t>- قوله</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ثم سنح في خلدي بعدما انتهى </w:t>
      </w:r>
      <w:r w:rsidRPr="00DB59CC">
        <w:rPr>
          <w:rFonts w:hint="cs"/>
          <w:b/>
          <w:bCs/>
          <w:sz w:val="36"/>
          <w:szCs w:val="36"/>
          <w:rtl/>
          <w:lang w:val="en-GB" w:eastAsia="en-US"/>
        </w:rPr>
        <w:t>الإملاء</w:t>
      </w:r>
      <w:r w:rsidRPr="00DB59CC">
        <w:rPr>
          <w:rFonts w:hint="cs"/>
          <w:sz w:val="36"/>
          <w:szCs w:val="36"/>
          <w:rtl/>
          <w:lang w:val="en-GB" w:eastAsia="en-US"/>
        </w:rPr>
        <w:t xml:space="preserve"> إلى باب الياء</w:t>
      </w:r>
      <w:r w:rsidR="0048366D">
        <w:rPr>
          <w:rFonts w:hint="cs"/>
          <w:sz w:val="36"/>
          <w:szCs w:val="36"/>
          <w:rtl/>
          <w:lang w:val="en-GB" w:eastAsia="en-US"/>
        </w:rPr>
        <w:t>.</w:t>
      </w:r>
      <w:r w:rsidRPr="00DB59CC">
        <w:rPr>
          <w:rFonts w:hint="cs"/>
          <w:sz w:val="36"/>
          <w:szCs w:val="36"/>
          <w:rtl/>
          <w:lang w:val="en-GB" w:eastAsia="en-US"/>
        </w:rPr>
        <w:t>..</w:t>
      </w:r>
      <w:r w:rsidRPr="00DB59CC">
        <w:rPr>
          <w:rFonts w:hint="eastAsia"/>
          <w:sz w:val="20"/>
          <w:szCs w:val="20"/>
          <w:rtl/>
          <w:lang w:val="en-GB" w:eastAsia="en-GB"/>
        </w:rPr>
        <w:t xml:space="preserve"> »</w:t>
      </w:r>
      <w:r w:rsidR="0048366D">
        <w:rPr>
          <w:bCs/>
          <w:sz w:val="36"/>
          <w:szCs w:val="32"/>
          <w:vertAlign w:val="superscript"/>
          <w:rtl/>
          <w:lang w:val="en-GB" w:eastAsia="en-US"/>
        </w:rPr>
        <w:t>.</w:t>
      </w:r>
      <w:r w:rsidRPr="00DB59CC">
        <w:rPr>
          <w:bCs/>
          <w:sz w:val="36"/>
          <w:szCs w:val="32"/>
          <w:vertAlign w:val="superscript"/>
          <w:rtl/>
          <w:lang w:val="en-GB" w:eastAsia="en-US"/>
        </w:rPr>
        <w:t>(</w:t>
      </w:r>
      <w:r w:rsidRPr="00DB59CC">
        <w:rPr>
          <w:bCs/>
          <w:sz w:val="36"/>
          <w:szCs w:val="32"/>
          <w:vertAlign w:val="superscript"/>
          <w:rtl/>
          <w:lang w:val="en-GB" w:eastAsia="en-US"/>
        </w:rPr>
        <w:footnoteReference w:id="90"/>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3</w:t>
      </w:r>
      <w:r w:rsidRPr="00DB59CC">
        <w:rPr>
          <w:rFonts w:hint="cs"/>
          <w:sz w:val="36"/>
          <w:szCs w:val="36"/>
          <w:rtl/>
          <w:lang w:val="en-GB" w:eastAsia="en-US"/>
        </w:rPr>
        <w:t>- قوله</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ولهذه المسائل نظائر، تركت ذكرها</w:t>
      </w:r>
      <w:r w:rsidR="0048366D">
        <w:rPr>
          <w:rFonts w:hint="cs"/>
          <w:sz w:val="36"/>
          <w:szCs w:val="36"/>
          <w:rtl/>
          <w:lang w:val="en-GB" w:eastAsia="en-US"/>
        </w:rPr>
        <w:t>؛</w:t>
      </w:r>
      <w:r w:rsidRPr="00DB59CC">
        <w:rPr>
          <w:rFonts w:hint="cs"/>
          <w:sz w:val="36"/>
          <w:szCs w:val="36"/>
          <w:rtl/>
          <w:lang w:val="en-GB" w:eastAsia="en-US"/>
        </w:rPr>
        <w:t xml:space="preserve"> لظهور جوابها عن التخلف بأدنى تأمل، بعدما </w:t>
      </w:r>
      <w:r w:rsidRPr="00DB59CC">
        <w:rPr>
          <w:rFonts w:hint="cs"/>
          <w:b/>
          <w:bCs/>
          <w:sz w:val="36"/>
          <w:szCs w:val="36"/>
          <w:rtl/>
          <w:lang w:val="en-GB" w:eastAsia="en-US"/>
        </w:rPr>
        <w:t xml:space="preserve">سمعنا </w:t>
      </w:r>
      <w:r w:rsidRPr="00DB59CC">
        <w:rPr>
          <w:rFonts w:hint="cs"/>
          <w:sz w:val="36"/>
          <w:szCs w:val="36"/>
          <w:rtl/>
          <w:lang w:val="en-GB" w:eastAsia="en-US"/>
        </w:rPr>
        <w:t xml:space="preserve">هذه الأجوبة </w:t>
      </w:r>
      <w:r w:rsidRPr="00DB59CC">
        <w:rPr>
          <w:rFonts w:hint="eastAsia"/>
          <w:sz w:val="20"/>
          <w:szCs w:val="20"/>
          <w:rtl/>
          <w:lang w:val="en-GB" w:eastAsia="en-GB"/>
        </w:rPr>
        <w:t>»</w:t>
      </w:r>
      <w:r w:rsidRPr="00DB59CC">
        <w:rPr>
          <w:rFonts w:hint="cs"/>
          <w:sz w:val="36"/>
          <w:szCs w:val="36"/>
          <w:rtl/>
          <w:lang w:val="en-GB" w:eastAsia="en-US"/>
        </w:rPr>
        <w:t>.</w:t>
      </w:r>
      <w:r w:rsidRPr="00DB59CC">
        <w:rPr>
          <w:bCs/>
          <w:sz w:val="36"/>
          <w:szCs w:val="32"/>
          <w:vertAlign w:val="superscript"/>
          <w:rtl/>
          <w:lang w:val="en-GB" w:eastAsia="en-US"/>
        </w:rPr>
        <w:t>(</w:t>
      </w:r>
      <w:r w:rsidRPr="00DB59CC">
        <w:rPr>
          <w:bCs/>
          <w:sz w:val="36"/>
          <w:szCs w:val="32"/>
          <w:vertAlign w:val="superscript"/>
          <w:rtl/>
          <w:lang w:val="en-GB" w:eastAsia="en-US"/>
        </w:rPr>
        <w:footnoteReference w:id="91"/>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sz w:val="36"/>
          <w:szCs w:val="36"/>
          <w:rtl/>
          <w:lang w:val="en-GB" w:eastAsia="en-US"/>
        </w:rPr>
      </w:pPr>
    </w:p>
    <w:p w:rsidR="00DB59CC" w:rsidRPr="00DB59CC" w:rsidRDefault="00DB59CC" w:rsidP="009A68A5">
      <w:pPr>
        <w:widowControl/>
        <w:ind w:firstLine="567"/>
        <w:jc w:val="both"/>
        <w:rPr>
          <w:rFonts w:cs="Monotype Koufi"/>
          <w:sz w:val="36"/>
          <w:szCs w:val="36"/>
          <w:rtl/>
          <w:lang w:eastAsia="en-US"/>
        </w:rPr>
      </w:pPr>
      <w:r w:rsidRPr="00DB59CC">
        <w:rPr>
          <w:rFonts w:cs="Monotype Koufi" w:hint="cs"/>
          <w:sz w:val="20"/>
          <w:szCs w:val="36"/>
          <w:rtl/>
          <w:lang w:eastAsia="en-US"/>
        </w:rPr>
        <w:lastRenderedPageBreak/>
        <w:t>المبحث السابع</w:t>
      </w:r>
      <w:r w:rsidR="0048366D">
        <w:rPr>
          <w:rFonts w:cs="Monotype Koufi" w:hint="cs"/>
          <w:sz w:val="20"/>
          <w:szCs w:val="36"/>
          <w:rtl/>
          <w:lang w:eastAsia="en-US"/>
        </w:rPr>
        <w:t>:</w:t>
      </w:r>
      <w:r w:rsidRPr="00DB59CC">
        <w:rPr>
          <w:rFonts w:cs="Monotype Koufi" w:hint="cs"/>
          <w:sz w:val="20"/>
          <w:szCs w:val="36"/>
          <w:rtl/>
          <w:lang w:eastAsia="en-US"/>
        </w:rPr>
        <w:t xml:space="preserve"> مذهبه الفقهي وعقيدته</w:t>
      </w:r>
      <w:r w:rsidR="0048366D">
        <w:rPr>
          <w:rFonts w:cs="Monotype Koufi" w:hint="cs"/>
          <w:sz w:val="20"/>
          <w:szCs w:val="36"/>
          <w:rtl/>
          <w:lang w:eastAsia="en-US"/>
        </w:rPr>
        <w:t>:</w:t>
      </w:r>
    </w:p>
    <w:p w:rsidR="00DB59CC" w:rsidRPr="00DB59CC" w:rsidRDefault="00DB59CC" w:rsidP="009A68A5">
      <w:pPr>
        <w:widowControl/>
        <w:ind w:firstLine="567"/>
        <w:jc w:val="both"/>
        <w:rPr>
          <w:rFonts w:cs="AL-Mateen"/>
          <w:sz w:val="48"/>
          <w:szCs w:val="36"/>
          <w:rtl/>
          <w:lang w:val="en-GB" w:eastAsia="en-US"/>
        </w:rPr>
      </w:pPr>
      <w:r w:rsidRPr="00DB59CC">
        <w:rPr>
          <w:rFonts w:cs="AL-Mateen" w:hint="cs"/>
          <w:sz w:val="48"/>
          <w:szCs w:val="36"/>
          <w:rtl/>
          <w:lang w:val="en-GB" w:eastAsia="en-US"/>
        </w:rPr>
        <w:t>أولاًَ</w:t>
      </w:r>
      <w:r w:rsidR="0048366D">
        <w:rPr>
          <w:rFonts w:cs="AL-Mateen" w:hint="cs"/>
          <w:sz w:val="48"/>
          <w:szCs w:val="36"/>
          <w:rtl/>
          <w:lang w:val="en-GB" w:eastAsia="en-US"/>
        </w:rPr>
        <w:t>:</w:t>
      </w:r>
      <w:r w:rsidRPr="00DB59CC">
        <w:rPr>
          <w:rFonts w:cs="AL-Mateen" w:hint="cs"/>
          <w:sz w:val="48"/>
          <w:szCs w:val="36"/>
          <w:rtl/>
          <w:lang w:val="en-GB" w:eastAsia="en-US"/>
        </w:rPr>
        <w:t xml:space="preserve"> مذهبه الفقهي</w:t>
      </w:r>
      <w:r w:rsidR="0048366D">
        <w:rPr>
          <w:rFonts w:cs="AL-Mateen" w:hint="cs"/>
          <w:sz w:val="48"/>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من المقطوع به أن المذهب الحنفي هو مذهبه الفقهي</w:t>
      </w:r>
      <w:r w:rsidR="0048366D">
        <w:rPr>
          <w:rFonts w:hint="cs"/>
          <w:sz w:val="36"/>
          <w:szCs w:val="36"/>
          <w:rtl/>
          <w:lang w:val="en-GB" w:eastAsia="en-US"/>
        </w:rPr>
        <w:t>؛</w:t>
      </w:r>
      <w:r w:rsidRPr="00DB59CC">
        <w:rPr>
          <w:rFonts w:hint="cs"/>
          <w:sz w:val="36"/>
          <w:szCs w:val="36"/>
          <w:rtl/>
          <w:lang w:val="en-GB" w:eastAsia="en-US"/>
        </w:rPr>
        <w:t xml:space="preserve"> للأدلة الآتية</w:t>
      </w:r>
      <w:r w:rsidR="0048366D">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1</w:t>
      </w:r>
      <w:r w:rsidRPr="00DB59CC">
        <w:rPr>
          <w:rFonts w:hint="cs"/>
          <w:sz w:val="36"/>
          <w:szCs w:val="36"/>
          <w:rtl/>
          <w:lang w:val="en-GB" w:eastAsia="en-US"/>
        </w:rPr>
        <w:t>- الكتاب جميعه في تقرير المذهب الحنفي ونصرته، وذلك في قواعده الفقهية والأصولية ومسائله الفقهية</w:t>
      </w:r>
      <w:r w:rsidR="0048366D">
        <w:rPr>
          <w:rFonts w:hint="cs"/>
          <w:sz w:val="36"/>
          <w:szCs w:val="36"/>
          <w:rtl/>
          <w:lang w:val="en-GB" w:eastAsia="en-US"/>
        </w:rPr>
        <w:t>؛</w:t>
      </w:r>
      <w:r w:rsidRPr="00DB59CC">
        <w:rPr>
          <w:rFonts w:hint="cs"/>
          <w:sz w:val="36"/>
          <w:szCs w:val="36"/>
          <w:rtl/>
          <w:lang w:val="en-GB" w:eastAsia="en-US"/>
        </w:rPr>
        <w:t>بل لم يصرح بمخالفته المذهب الحنفي مطلقًا.</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2</w:t>
      </w:r>
      <w:r w:rsidRPr="00DB59CC">
        <w:rPr>
          <w:rFonts w:hint="cs"/>
          <w:sz w:val="36"/>
          <w:szCs w:val="36"/>
          <w:rtl/>
          <w:lang w:val="en-GB" w:eastAsia="en-US"/>
        </w:rPr>
        <w:t>- عندما يذكر المذهب الحنفي أو علماءه، يذكره مقرونًا بـ (نا) الفاعلين</w:t>
      </w:r>
      <w:r w:rsidR="0048366D">
        <w:rPr>
          <w:rFonts w:hint="cs"/>
          <w:sz w:val="36"/>
          <w:szCs w:val="36"/>
          <w:rtl/>
          <w:lang w:val="en-GB" w:eastAsia="en-US"/>
        </w:rPr>
        <w:t>؛</w:t>
      </w:r>
      <w:r w:rsidRPr="00DB59CC">
        <w:rPr>
          <w:rFonts w:hint="cs"/>
          <w:sz w:val="36"/>
          <w:szCs w:val="36"/>
          <w:rtl/>
          <w:lang w:val="en-GB" w:eastAsia="en-US"/>
        </w:rPr>
        <w:t xml:space="preserve"> مما يعني أنه من جملة المنتمين إلى هذا المذهب. ومن ذلك: الرمز للمذهب أو علمائه بقوله</w:t>
      </w:r>
      <w:r w:rsidR="0048366D">
        <w:rPr>
          <w:rFonts w:hint="cs"/>
          <w:sz w:val="36"/>
          <w:szCs w:val="36"/>
          <w:rtl/>
          <w:lang w:val="en-GB" w:eastAsia="en-US"/>
        </w:rPr>
        <w:t>:</w:t>
      </w:r>
      <w:r w:rsidRPr="00DB59CC">
        <w:rPr>
          <w:rFonts w:hint="cs"/>
          <w:sz w:val="36"/>
          <w:szCs w:val="36"/>
          <w:rtl/>
          <w:lang w:val="en-GB" w:eastAsia="en-US"/>
        </w:rPr>
        <w:t xml:space="preserve"> (عندنا)، أو (أئمتنا)، أو (علمائنا) أو (أصحابنا).</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92"/>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3</w:t>
      </w:r>
      <w:r w:rsidRPr="00DB59CC">
        <w:rPr>
          <w:rFonts w:hint="cs"/>
          <w:sz w:val="36"/>
          <w:szCs w:val="36"/>
          <w:rtl/>
          <w:lang w:val="en-GB" w:eastAsia="en-US"/>
        </w:rPr>
        <w:t>- جميع المصادر التي صرّح بها لا تخرج عن كتب المذهب الحنفي، وهي خمسة وأربعون كتابًا.</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93"/>
      </w:r>
      <w:r w:rsidRPr="00DB59CC">
        <w:rPr>
          <w:bCs/>
          <w:sz w:val="36"/>
          <w:szCs w:val="32"/>
          <w:vertAlign w:val="superscript"/>
          <w:rtl/>
          <w:lang w:val="en-GB" w:eastAsia="en-US"/>
        </w:rPr>
        <w:t>)</w:t>
      </w:r>
      <w:r w:rsidRPr="00DB59CC">
        <w:rPr>
          <w:rFonts w:hint="cs"/>
          <w:sz w:val="36"/>
          <w:szCs w:val="36"/>
          <w:rtl/>
          <w:lang w:val="en-GB" w:eastAsia="en-US"/>
        </w:rPr>
        <w:t xml:space="preserve"> </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4</w:t>
      </w:r>
      <w:r w:rsidRPr="00DB59CC">
        <w:rPr>
          <w:rFonts w:hint="cs"/>
          <w:sz w:val="36"/>
          <w:szCs w:val="36"/>
          <w:rtl/>
          <w:lang w:val="en-GB" w:eastAsia="en-US"/>
        </w:rPr>
        <w:t>- كثرة ذكره لأئمة الحنفية وعلمائهم، وقلّة ذكره لغيرهم.</w:t>
      </w:r>
    </w:p>
    <w:p w:rsidR="00DB59CC" w:rsidRPr="00DB59CC" w:rsidRDefault="00DB59CC" w:rsidP="007C7F13">
      <w:pPr>
        <w:widowControl/>
        <w:numPr>
          <w:ilvl w:val="0"/>
          <w:numId w:val="2"/>
        </w:numPr>
        <w:ind w:left="565" w:right="720"/>
        <w:jc w:val="both"/>
        <w:rPr>
          <w:sz w:val="36"/>
          <w:szCs w:val="36"/>
          <w:lang w:val="en-GB" w:eastAsia="en-US"/>
        </w:rPr>
      </w:pPr>
      <w:r w:rsidRPr="00DB59CC">
        <w:rPr>
          <w:rFonts w:hint="cs"/>
          <w:sz w:val="36"/>
          <w:szCs w:val="36"/>
          <w:rtl/>
          <w:lang w:val="en-GB" w:eastAsia="en-US"/>
        </w:rPr>
        <w:t>فقد ذكر الإمام أبا حنيفة إحدى وأربعين مرة.</w:t>
      </w:r>
    </w:p>
    <w:p w:rsidR="00DB59CC" w:rsidRPr="00DB59CC" w:rsidRDefault="00DB59CC" w:rsidP="007C7F13">
      <w:pPr>
        <w:widowControl/>
        <w:numPr>
          <w:ilvl w:val="0"/>
          <w:numId w:val="2"/>
        </w:numPr>
        <w:ind w:left="565" w:right="720"/>
        <w:jc w:val="both"/>
        <w:rPr>
          <w:sz w:val="36"/>
          <w:szCs w:val="36"/>
          <w:lang w:val="en-GB" w:eastAsia="en-US"/>
        </w:rPr>
      </w:pPr>
      <w:r w:rsidRPr="00DB59CC">
        <w:rPr>
          <w:rFonts w:hint="cs"/>
          <w:sz w:val="36"/>
          <w:szCs w:val="36"/>
          <w:rtl/>
          <w:lang w:val="en-GB" w:eastAsia="en-US"/>
        </w:rPr>
        <w:t xml:space="preserve"> وذكر أبا يوسف أربعين مرة.</w:t>
      </w:r>
    </w:p>
    <w:p w:rsidR="00DB59CC" w:rsidRPr="00DB59CC" w:rsidRDefault="00DB59CC" w:rsidP="007C7F13">
      <w:pPr>
        <w:widowControl/>
        <w:numPr>
          <w:ilvl w:val="0"/>
          <w:numId w:val="2"/>
        </w:numPr>
        <w:ind w:left="565" w:right="720"/>
        <w:jc w:val="both"/>
        <w:rPr>
          <w:sz w:val="36"/>
          <w:szCs w:val="36"/>
          <w:lang w:val="en-GB" w:eastAsia="en-US"/>
        </w:rPr>
      </w:pPr>
      <w:r w:rsidRPr="00DB59CC">
        <w:rPr>
          <w:rFonts w:hint="cs"/>
          <w:sz w:val="36"/>
          <w:szCs w:val="36"/>
          <w:rtl/>
          <w:lang w:val="en-GB" w:eastAsia="en-US"/>
        </w:rPr>
        <w:t>وذكر محمد بن الحسن أربعًا وأربعين مرة.</w:t>
      </w:r>
    </w:p>
    <w:p w:rsidR="00DB59CC" w:rsidRPr="00DB59CC" w:rsidRDefault="00DB59CC" w:rsidP="007C7F13">
      <w:pPr>
        <w:widowControl/>
        <w:numPr>
          <w:ilvl w:val="0"/>
          <w:numId w:val="2"/>
        </w:numPr>
        <w:ind w:left="565" w:right="720"/>
        <w:jc w:val="both"/>
        <w:rPr>
          <w:sz w:val="36"/>
          <w:szCs w:val="36"/>
          <w:lang w:val="en-GB" w:eastAsia="en-US"/>
        </w:rPr>
      </w:pPr>
      <w:r w:rsidRPr="00DB59CC">
        <w:rPr>
          <w:rFonts w:hint="cs"/>
          <w:sz w:val="36"/>
          <w:szCs w:val="36"/>
          <w:rtl/>
          <w:lang w:val="en-GB" w:eastAsia="en-US"/>
        </w:rPr>
        <w:t>بينما ذكر الإمامَ مالكًا مرة واحدة فقط.</w:t>
      </w:r>
    </w:p>
    <w:p w:rsidR="00DB59CC" w:rsidRPr="00DB59CC" w:rsidRDefault="00DB59CC" w:rsidP="007C7F13">
      <w:pPr>
        <w:widowControl/>
        <w:numPr>
          <w:ilvl w:val="0"/>
          <w:numId w:val="2"/>
        </w:numPr>
        <w:ind w:left="565" w:right="720"/>
        <w:jc w:val="both"/>
        <w:rPr>
          <w:sz w:val="36"/>
          <w:szCs w:val="36"/>
          <w:lang w:val="en-GB" w:eastAsia="en-US"/>
        </w:rPr>
      </w:pPr>
      <w:r w:rsidRPr="00DB59CC">
        <w:rPr>
          <w:rFonts w:hint="cs"/>
          <w:sz w:val="36"/>
          <w:szCs w:val="36"/>
          <w:rtl/>
          <w:lang w:val="en-GB" w:eastAsia="en-US"/>
        </w:rPr>
        <w:t>والإمام الشافعي ثلاث عشرة مرة.</w:t>
      </w:r>
    </w:p>
    <w:p w:rsidR="00DB59CC" w:rsidRPr="00DB59CC" w:rsidRDefault="00DB59CC" w:rsidP="007C7F13">
      <w:pPr>
        <w:widowControl/>
        <w:numPr>
          <w:ilvl w:val="0"/>
          <w:numId w:val="2"/>
        </w:numPr>
        <w:ind w:left="565" w:right="720"/>
        <w:jc w:val="both"/>
        <w:rPr>
          <w:sz w:val="36"/>
          <w:szCs w:val="36"/>
          <w:rtl/>
          <w:lang w:val="en-GB" w:eastAsia="en-US"/>
        </w:rPr>
      </w:pPr>
      <w:r w:rsidRPr="00DB59CC">
        <w:rPr>
          <w:rFonts w:hint="cs"/>
          <w:sz w:val="36"/>
          <w:szCs w:val="36"/>
          <w:rtl/>
          <w:lang w:val="en-GB" w:eastAsia="en-US"/>
        </w:rPr>
        <w:t>والإمام أحمد مرة واحدة فقط.</w:t>
      </w:r>
    </w:p>
    <w:p w:rsidR="00DB59CC" w:rsidRPr="00DB59CC" w:rsidRDefault="00DB59CC" w:rsidP="009A68A5">
      <w:pPr>
        <w:widowControl/>
        <w:ind w:firstLine="567"/>
        <w:jc w:val="both"/>
        <w:rPr>
          <w:rFonts w:cs="AL-Mateen"/>
          <w:sz w:val="48"/>
          <w:szCs w:val="36"/>
          <w:rtl/>
          <w:lang w:val="en-GB" w:eastAsia="en-US"/>
        </w:rPr>
      </w:pPr>
      <w:r w:rsidRPr="00DB59CC">
        <w:rPr>
          <w:rFonts w:cs="AL-Mateen" w:hint="cs"/>
          <w:sz w:val="48"/>
          <w:szCs w:val="36"/>
          <w:rtl/>
          <w:lang w:val="en-GB" w:eastAsia="en-US"/>
        </w:rPr>
        <w:t>ثانيًا</w:t>
      </w:r>
      <w:r w:rsidR="0048366D">
        <w:rPr>
          <w:rFonts w:cs="AL-Mateen" w:hint="cs"/>
          <w:sz w:val="48"/>
          <w:szCs w:val="36"/>
          <w:rtl/>
          <w:lang w:val="en-GB" w:eastAsia="en-US"/>
        </w:rPr>
        <w:t>:</w:t>
      </w:r>
      <w:r w:rsidRPr="00DB59CC">
        <w:rPr>
          <w:rFonts w:cs="AL-Mateen" w:hint="cs"/>
          <w:sz w:val="48"/>
          <w:szCs w:val="36"/>
          <w:rtl/>
          <w:lang w:val="en-GB" w:eastAsia="en-US"/>
        </w:rPr>
        <w:t xml:space="preserve"> عقيدته</w:t>
      </w:r>
      <w:r w:rsidR="0048366D">
        <w:rPr>
          <w:rFonts w:cs="AL-Mateen" w:hint="cs"/>
          <w:sz w:val="48"/>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لم يصرح المؤلف بعقيدته، كما لم يذكر ما يفيد في الجزم بعقيدته، لكن هناك بعض القرائن التي تفيد بمجموعها في ترجيح كونه سلفي المعتقد في الجملة، منها</w:t>
      </w:r>
      <w:r w:rsidR="0048366D">
        <w:rPr>
          <w:rFonts w:hint="cs"/>
          <w:sz w:val="36"/>
          <w:szCs w:val="36"/>
          <w:rtl/>
          <w:lang w:val="en-GB" w:eastAsia="en-US"/>
        </w:rPr>
        <w:t>:</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lastRenderedPageBreak/>
        <w:t>1</w:t>
      </w:r>
      <w:r w:rsidRPr="00DB59CC">
        <w:rPr>
          <w:rFonts w:hint="cs"/>
          <w:sz w:val="36"/>
          <w:szCs w:val="36"/>
          <w:rtl/>
          <w:lang w:val="en-GB" w:eastAsia="en-US"/>
        </w:rPr>
        <w:t>- لم أجد في الكتاب ما يدل على خروجه عن عقيدة السلف الصالح، ولا تعرّضًا لها ولأئمتها بالتجريح والتنقيص. وبالجانب المقابل لم أجده يثني على عقيدة مخالفة لهم أو يشيد بأئمتها.</w:t>
      </w:r>
    </w:p>
    <w:p w:rsidR="00DB59CC" w:rsidRPr="00DB59CC" w:rsidRDefault="00DB59CC" w:rsidP="009A68A5">
      <w:pPr>
        <w:widowControl/>
        <w:ind w:firstLine="567"/>
        <w:jc w:val="both"/>
        <w:rPr>
          <w:sz w:val="20"/>
          <w:szCs w:val="36"/>
          <w:rtl/>
          <w:lang w:val="en-GB" w:eastAsia="en-US"/>
        </w:rPr>
      </w:pPr>
      <w:r w:rsidRPr="00DB59CC">
        <w:rPr>
          <w:rFonts w:hint="cs"/>
          <w:sz w:val="20"/>
          <w:szCs w:val="36"/>
          <w:rtl/>
          <w:lang w:val="en-GB" w:eastAsia="en-US"/>
        </w:rPr>
        <w:t>والأصل في المسلم</w:t>
      </w:r>
      <w:r w:rsidR="0048366D">
        <w:rPr>
          <w:rFonts w:hint="cs"/>
          <w:sz w:val="20"/>
          <w:szCs w:val="36"/>
          <w:rtl/>
          <w:lang w:val="en-GB" w:eastAsia="en-US"/>
        </w:rPr>
        <w:t>:</w:t>
      </w:r>
      <w:r w:rsidRPr="00DB59CC">
        <w:rPr>
          <w:rFonts w:hint="cs"/>
          <w:sz w:val="20"/>
          <w:szCs w:val="36"/>
          <w:rtl/>
          <w:lang w:val="en-GB" w:eastAsia="en-US"/>
        </w:rPr>
        <w:t xml:space="preserve"> أنه على ما كان عليه الرسول </w:t>
      </w:r>
      <w:r w:rsidRPr="00DB59CC">
        <w:rPr>
          <w:rFonts w:ascii="AGA Arabesque" w:hAnsi="AGA Arabesque" w:cs="AGA Arabesque"/>
          <w:lang w:eastAsia="en-US"/>
        </w:rPr>
        <w:t></w:t>
      </w:r>
      <w:r w:rsidRPr="00DB59CC">
        <w:rPr>
          <w:rFonts w:hint="cs"/>
          <w:sz w:val="20"/>
          <w:szCs w:val="36"/>
          <w:rtl/>
          <w:lang w:val="en-GB" w:eastAsia="en-US"/>
        </w:rPr>
        <w:t xml:space="preserve"> وأصحابه والسلف الصالح، حتى يثبت خلاف ذلك.</w:t>
      </w:r>
    </w:p>
    <w:p w:rsidR="00DB59CC" w:rsidRPr="00DB59CC" w:rsidRDefault="00DB59CC" w:rsidP="009A68A5">
      <w:pPr>
        <w:widowControl/>
        <w:ind w:firstLine="567"/>
        <w:jc w:val="both"/>
        <w:rPr>
          <w:sz w:val="20"/>
          <w:szCs w:val="36"/>
          <w:rtl/>
          <w:lang w:val="en-GB" w:eastAsia="en-US"/>
        </w:rPr>
      </w:pPr>
      <w:r w:rsidRPr="00DB59CC">
        <w:rPr>
          <w:rFonts w:hint="cs"/>
          <w:b/>
          <w:bCs/>
          <w:sz w:val="20"/>
          <w:szCs w:val="36"/>
          <w:rtl/>
          <w:lang w:val="en-GB" w:eastAsia="en-US"/>
        </w:rPr>
        <w:t>2</w:t>
      </w:r>
      <w:r w:rsidRPr="00DB59CC">
        <w:rPr>
          <w:rFonts w:hint="cs"/>
          <w:sz w:val="20"/>
          <w:szCs w:val="36"/>
          <w:rtl/>
          <w:lang w:val="en-GB" w:eastAsia="en-US"/>
        </w:rPr>
        <w:t>- أن العصر والمكان الذي عاش فيه المؤلف كان فيه تيار من علماء الحنفية يتبنّى عقيدة السلف، ويدعو إلى توحيد الألوهية، ومحاربة القبور، والبدع</w:t>
      </w:r>
      <w:r w:rsidR="0048366D">
        <w:rPr>
          <w:rFonts w:hint="cs"/>
          <w:sz w:val="20"/>
          <w:szCs w:val="36"/>
          <w:rtl/>
          <w:lang w:val="en-GB" w:eastAsia="en-US"/>
        </w:rPr>
        <w:t>؛</w:t>
      </w:r>
      <w:r w:rsidRPr="00DB59CC">
        <w:rPr>
          <w:rFonts w:hint="cs"/>
          <w:sz w:val="20"/>
          <w:szCs w:val="36"/>
          <w:rtl/>
          <w:lang w:val="en-GB" w:eastAsia="en-US"/>
        </w:rPr>
        <w:t xml:space="preserve"> فلعل المؤلف من علماء هذا التيار.</w:t>
      </w:r>
    </w:p>
    <w:p w:rsidR="00DB59CC" w:rsidRPr="00DB59CC" w:rsidRDefault="00DB59CC" w:rsidP="009A68A5">
      <w:pPr>
        <w:widowControl/>
        <w:ind w:firstLine="567"/>
        <w:jc w:val="both"/>
        <w:rPr>
          <w:sz w:val="20"/>
          <w:szCs w:val="36"/>
          <w:rtl/>
          <w:lang w:val="en-GB" w:eastAsia="en-US"/>
        </w:rPr>
      </w:pPr>
      <w:r w:rsidRPr="00DB59CC">
        <w:rPr>
          <w:rFonts w:hint="cs"/>
          <w:sz w:val="20"/>
          <w:szCs w:val="36"/>
          <w:rtl/>
          <w:lang w:val="en-GB" w:eastAsia="en-US"/>
        </w:rPr>
        <w:t>فمن علماء الحنفية الذين يمثلون هذا التيار</w:t>
      </w:r>
      <w:r w:rsidR="0048366D">
        <w:rPr>
          <w:rFonts w:hint="cs"/>
          <w:sz w:val="20"/>
          <w:szCs w:val="36"/>
          <w:rtl/>
          <w:lang w:val="en-GB" w:eastAsia="en-US"/>
        </w:rPr>
        <w:t>:</w:t>
      </w:r>
    </w:p>
    <w:p w:rsidR="00DB59CC" w:rsidRPr="00DB59CC" w:rsidRDefault="00DB59CC" w:rsidP="007C7F13">
      <w:pPr>
        <w:widowControl/>
        <w:numPr>
          <w:ilvl w:val="0"/>
          <w:numId w:val="6"/>
        </w:numPr>
        <w:ind w:left="565" w:right="765"/>
        <w:jc w:val="both"/>
        <w:rPr>
          <w:sz w:val="36"/>
          <w:szCs w:val="36"/>
          <w:rtl/>
          <w:lang w:val="en-GB" w:eastAsia="en-US"/>
        </w:rPr>
      </w:pPr>
      <w:r w:rsidRPr="00DB59CC">
        <w:rPr>
          <w:rFonts w:hint="cs"/>
          <w:sz w:val="36"/>
          <w:szCs w:val="36"/>
          <w:rtl/>
          <w:lang w:val="en-GB" w:eastAsia="en-US"/>
        </w:rPr>
        <w:t>محيي الدين محمد البركوي الرومي (ت 981هـ)، صاحب كتاب (زيارة القبور الشرعية والشركية).</w:t>
      </w:r>
    </w:p>
    <w:p w:rsidR="00DB59CC" w:rsidRPr="00DB59CC" w:rsidRDefault="00DB59CC" w:rsidP="007C7F13">
      <w:pPr>
        <w:widowControl/>
        <w:numPr>
          <w:ilvl w:val="0"/>
          <w:numId w:val="6"/>
        </w:numPr>
        <w:ind w:left="565" w:right="765"/>
        <w:jc w:val="both"/>
        <w:rPr>
          <w:sz w:val="36"/>
          <w:szCs w:val="36"/>
          <w:lang w:val="en-GB" w:eastAsia="en-US"/>
        </w:rPr>
      </w:pPr>
      <w:r w:rsidRPr="00DB59CC">
        <w:rPr>
          <w:rFonts w:hint="cs"/>
          <w:sz w:val="36"/>
          <w:szCs w:val="36"/>
          <w:rtl/>
          <w:lang w:val="en-GB" w:eastAsia="en-US"/>
        </w:rPr>
        <w:t>أحمد بن محمد الأقْحُصاري الرومي (ت 1043هـ)، صاحب كتاب (مجالس الأبرار ومسالك الأخيار في شرح مائة حديث من المصابيح).</w:t>
      </w:r>
    </w:p>
    <w:p w:rsidR="00DB59CC" w:rsidRPr="00DB59CC" w:rsidRDefault="00DB59CC" w:rsidP="007C7F13">
      <w:pPr>
        <w:widowControl/>
        <w:numPr>
          <w:ilvl w:val="0"/>
          <w:numId w:val="6"/>
        </w:numPr>
        <w:ind w:left="565" w:right="765"/>
        <w:jc w:val="both"/>
        <w:rPr>
          <w:sz w:val="36"/>
          <w:szCs w:val="36"/>
          <w:lang w:val="en-GB" w:eastAsia="en-US"/>
        </w:rPr>
      </w:pPr>
      <w:r w:rsidRPr="00DB59CC">
        <w:rPr>
          <w:rFonts w:hint="cs"/>
          <w:sz w:val="36"/>
          <w:szCs w:val="36"/>
          <w:rtl/>
          <w:lang w:val="en-GB" w:eastAsia="en-US"/>
        </w:rPr>
        <w:t>صنع الله بن صنع الله الحلبي الحنفي المكي (ت 1120هـ)، صاحب كتاب (سيف الله على من كذب على أولياء الله).</w:t>
      </w:r>
    </w:p>
    <w:p w:rsidR="00DB59CC" w:rsidRPr="00DB59CC" w:rsidRDefault="00DB59CC" w:rsidP="009A68A5">
      <w:pPr>
        <w:widowControl/>
        <w:ind w:left="405" w:right="405" w:firstLine="18"/>
        <w:jc w:val="both"/>
        <w:rPr>
          <w:sz w:val="36"/>
          <w:szCs w:val="36"/>
          <w:rtl/>
          <w:lang w:val="en-GB" w:eastAsia="en-US"/>
        </w:rPr>
      </w:pPr>
      <w:r w:rsidRPr="00DB59CC">
        <w:rPr>
          <w:rFonts w:hint="cs"/>
          <w:sz w:val="36"/>
          <w:szCs w:val="36"/>
          <w:rtl/>
          <w:lang w:val="en-GB" w:eastAsia="en-US"/>
        </w:rPr>
        <w:t>والكتب الثلاثة المذكورة مطبوعة ومحققة، وفي مقدمة تحقيق كل منها ترجمة لحياة المؤلف، ومما يلفت النظر في هذه التراجم أنها موجزة، وفيها شح في المصادر‍‍!.</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94"/>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lastRenderedPageBreak/>
        <w:t>3</w:t>
      </w:r>
      <w:r w:rsidRPr="00DB59CC">
        <w:rPr>
          <w:rFonts w:hint="cs"/>
          <w:sz w:val="36"/>
          <w:szCs w:val="36"/>
          <w:rtl/>
          <w:lang w:val="en-GB" w:eastAsia="en-US"/>
        </w:rPr>
        <w:t>- أن المؤلف أثبت للمؤمنين رؤية الله تعالى يوم القيامة. وهذا المعتقد وإن كانت الأشاعرة والماتريدية يقولون به إلا أنهم يقيدون الرؤية بنفي الجهة. وقد أطلق المؤلف الرؤية ولم يقيدها بهذا القيد. وإطلاق الرؤية يتضمن إثبات الجهة.</w:t>
      </w:r>
      <w:r w:rsidRPr="00DB59CC">
        <w:rPr>
          <w:bCs/>
          <w:sz w:val="36"/>
          <w:szCs w:val="32"/>
          <w:vertAlign w:val="superscript"/>
          <w:rtl/>
          <w:lang w:val="en-GB" w:eastAsia="en-US"/>
        </w:rPr>
        <w:t>(</w:t>
      </w:r>
      <w:r w:rsidRPr="00DB59CC">
        <w:rPr>
          <w:bCs/>
          <w:sz w:val="36"/>
          <w:szCs w:val="32"/>
          <w:vertAlign w:val="superscript"/>
          <w:rtl/>
          <w:lang w:val="en-GB" w:eastAsia="en-US"/>
        </w:rPr>
        <w:footnoteReference w:id="95"/>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4</w:t>
      </w:r>
      <w:r w:rsidRPr="00DB59CC">
        <w:rPr>
          <w:rFonts w:hint="cs"/>
          <w:sz w:val="36"/>
          <w:szCs w:val="36"/>
          <w:rtl/>
          <w:lang w:val="en-GB" w:eastAsia="en-US"/>
        </w:rPr>
        <w:t>- أنه كان يثني على السلف الصالح، ويستدل بفهمهم للنصوص، ويشدّد النكير على أهل البدع، ويحذر منهم. ومن ذلك</w:t>
      </w:r>
      <w:r w:rsidR="0048366D">
        <w:rPr>
          <w:rFonts w:hint="cs"/>
          <w:sz w:val="36"/>
          <w:szCs w:val="36"/>
          <w:rtl/>
          <w:lang w:val="en-GB" w:eastAsia="en-US"/>
        </w:rPr>
        <w:t>:</w:t>
      </w:r>
    </w:p>
    <w:p w:rsidR="00DB59CC" w:rsidRPr="00DB59CC" w:rsidRDefault="00DB59CC" w:rsidP="007C7F13">
      <w:pPr>
        <w:widowControl/>
        <w:numPr>
          <w:ilvl w:val="0"/>
          <w:numId w:val="6"/>
        </w:numPr>
        <w:ind w:left="423"/>
        <w:jc w:val="both"/>
        <w:rPr>
          <w:sz w:val="36"/>
          <w:szCs w:val="36"/>
          <w:rtl/>
          <w:lang w:val="en-GB" w:eastAsia="en-US"/>
        </w:rPr>
      </w:pPr>
      <w:r w:rsidRPr="00DB59CC">
        <w:rPr>
          <w:rFonts w:hint="cs"/>
          <w:sz w:val="36"/>
          <w:szCs w:val="36"/>
          <w:rtl/>
          <w:lang w:val="en-GB" w:eastAsia="en-US"/>
        </w:rPr>
        <w:t>قوله</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والدليل على ما يبقي العمومات المخصوصات حجة</w:t>
      </w:r>
      <w:r w:rsidR="0048366D">
        <w:rPr>
          <w:rFonts w:hint="cs"/>
          <w:sz w:val="36"/>
          <w:szCs w:val="36"/>
          <w:rtl/>
          <w:lang w:val="en-GB" w:eastAsia="en-US"/>
        </w:rPr>
        <w:t>:</w:t>
      </w:r>
      <w:r w:rsidRPr="00DB59CC">
        <w:rPr>
          <w:rFonts w:hint="cs"/>
          <w:sz w:val="36"/>
          <w:szCs w:val="36"/>
          <w:rtl/>
          <w:lang w:val="en-GB" w:eastAsia="en-US"/>
        </w:rPr>
        <w:t xml:space="preserve"> أنّا توارثنا الاحتجاح بالعمومات المخصوصة من السلف من غير نكير</w:t>
      </w:r>
      <w:r w:rsidR="0048366D">
        <w:rPr>
          <w:rFonts w:hint="cs"/>
          <w:sz w:val="36"/>
          <w:szCs w:val="36"/>
          <w:rtl/>
          <w:lang w:val="en-GB" w:eastAsia="en-US"/>
        </w:rPr>
        <w:t>؛</w:t>
      </w:r>
      <w:r w:rsidRPr="00DB59CC">
        <w:rPr>
          <w:rFonts w:hint="cs"/>
          <w:sz w:val="36"/>
          <w:szCs w:val="36"/>
          <w:rtl/>
          <w:lang w:val="en-GB" w:eastAsia="en-US"/>
        </w:rPr>
        <w:t xml:space="preserve"> فذلك </w:t>
      </w:r>
      <w:r w:rsidRPr="00DB59CC">
        <w:rPr>
          <w:rFonts w:hint="cs"/>
          <w:b/>
          <w:bCs/>
          <w:sz w:val="36"/>
          <w:szCs w:val="36"/>
          <w:rtl/>
          <w:lang w:val="en-GB" w:eastAsia="en-US"/>
        </w:rPr>
        <w:t>آية</w:t>
      </w:r>
      <w:r w:rsidRPr="00DB59CC">
        <w:rPr>
          <w:rFonts w:hint="cs"/>
          <w:sz w:val="36"/>
          <w:szCs w:val="36"/>
          <w:rtl/>
          <w:lang w:val="en-GB" w:eastAsia="en-US"/>
        </w:rPr>
        <w:t xml:space="preserve"> كونها حجة بعد التخصيص </w:t>
      </w:r>
      <w:r w:rsidRPr="00DB59CC">
        <w:rPr>
          <w:rFonts w:hint="eastAsia"/>
          <w:sz w:val="20"/>
          <w:szCs w:val="20"/>
          <w:rtl/>
          <w:lang w:val="en-GB" w:eastAsia="en-GB"/>
        </w:rPr>
        <w:t>»</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96"/>
      </w:r>
      <w:r w:rsidRPr="00DB59CC">
        <w:rPr>
          <w:bCs/>
          <w:sz w:val="36"/>
          <w:szCs w:val="32"/>
          <w:vertAlign w:val="superscript"/>
          <w:rtl/>
          <w:lang w:val="en-GB" w:eastAsia="en-US"/>
        </w:rPr>
        <w:t>)</w:t>
      </w:r>
      <w:r w:rsidRPr="00DB59CC">
        <w:rPr>
          <w:rFonts w:hint="cs"/>
          <w:sz w:val="36"/>
          <w:szCs w:val="36"/>
          <w:rtl/>
          <w:lang w:val="en-GB" w:eastAsia="en-US"/>
        </w:rPr>
        <w:t>.</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قوله</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وإياكم والمبتدعين الضالين المضلين، وإنا شاهدنا في زماننا كثيرًا من العوام أصغوا إلى مقالتهم المزخرفة، وغيروا بدلائلهم الباطلة الضعيفة، فوقعوا في ورطة </w:t>
      </w:r>
      <w:r w:rsidRPr="00DB59CC">
        <w:rPr>
          <w:sz w:val="36"/>
          <w:szCs w:val="36"/>
          <w:rtl/>
          <w:lang w:val="en-GB" w:eastAsia="en-US"/>
        </w:rPr>
        <w:br/>
      </w:r>
      <w:r w:rsidRPr="00DB59CC">
        <w:rPr>
          <w:rFonts w:hint="cs"/>
          <w:sz w:val="36"/>
          <w:szCs w:val="36"/>
          <w:rtl/>
          <w:lang w:val="en-GB" w:eastAsia="en-US"/>
        </w:rPr>
        <w:t xml:space="preserve">الغواية حائرين، وسلكوا في طريق الضلالة سامرين </w:t>
      </w:r>
      <w:r w:rsidRPr="00DB59CC">
        <w:rPr>
          <w:rFonts w:hint="eastAsia"/>
          <w:sz w:val="20"/>
          <w:szCs w:val="20"/>
          <w:rtl/>
          <w:lang w:val="en-GB" w:eastAsia="en-GB"/>
        </w:rPr>
        <w:t>»</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97"/>
      </w:r>
      <w:r w:rsidRPr="00DB59CC">
        <w:rPr>
          <w:bCs/>
          <w:sz w:val="36"/>
          <w:szCs w:val="32"/>
          <w:vertAlign w:val="superscript"/>
          <w:rtl/>
          <w:lang w:val="en-GB" w:eastAsia="en-US"/>
        </w:rPr>
        <w:t>)</w:t>
      </w:r>
      <w:r w:rsidRPr="00DB59CC">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5</w:t>
      </w:r>
      <w:r w:rsidRPr="00DB59CC">
        <w:rPr>
          <w:rFonts w:hint="cs"/>
          <w:sz w:val="36"/>
          <w:szCs w:val="36"/>
          <w:rtl/>
          <w:lang w:val="en-GB" w:eastAsia="en-US"/>
        </w:rPr>
        <w:t>- أنه عندما ذكر إمام أهل السنة والجماعة أحمد بن حنبل (ت240هـ) استقل عن المصدر الذي نقل منه السياق بوصف أحمد بـ (الإمام)</w:t>
      </w:r>
      <w:r w:rsidRPr="00DB59CC">
        <w:rPr>
          <w:rFonts w:hint="cs"/>
          <w:sz w:val="36"/>
          <w:szCs w:val="36"/>
          <w:vertAlign w:val="superscript"/>
          <w:rtl/>
          <w:lang w:val="en-GB" w:eastAsia="en-US"/>
        </w:rPr>
        <w:t>(</w:t>
      </w:r>
      <w:r w:rsidRPr="00DB59CC">
        <w:rPr>
          <w:bCs/>
          <w:sz w:val="36"/>
          <w:szCs w:val="32"/>
          <w:vertAlign w:val="superscript"/>
          <w:lang w:val="en-GB" w:eastAsia="en-US"/>
        </w:rPr>
        <w:footnoteReference w:id="98"/>
      </w:r>
      <w:r w:rsidRPr="00DB59CC">
        <w:rPr>
          <w:rFonts w:hint="cs"/>
          <w:sz w:val="36"/>
          <w:szCs w:val="36"/>
          <w:vertAlign w:val="superscript"/>
          <w:rtl/>
          <w:lang w:val="en-GB" w:eastAsia="en-US"/>
        </w:rPr>
        <w:t>)</w:t>
      </w:r>
      <w:r w:rsidRPr="00DB59CC">
        <w:rPr>
          <w:rFonts w:hint="cs"/>
          <w:sz w:val="36"/>
          <w:szCs w:val="36"/>
          <w:rtl/>
          <w:lang w:val="en-GB" w:eastAsia="en-US"/>
        </w:rPr>
        <w:t>. وهذا الوصف يندر ذكره لـه وإطلاقه على أحد، حتى على أئمة الحنفية -رحمهم الله-</w:t>
      </w:r>
      <w:r w:rsidR="0048366D">
        <w:rPr>
          <w:rFonts w:hint="cs"/>
          <w:sz w:val="36"/>
          <w:szCs w:val="36"/>
          <w:rtl/>
          <w:lang w:val="en-GB" w:eastAsia="en-US"/>
        </w:rPr>
        <w:t>!</w:t>
      </w:r>
      <w:r w:rsidRPr="00DB59CC">
        <w:rPr>
          <w:rFonts w:hint="cs"/>
          <w:sz w:val="36"/>
          <w:szCs w:val="36"/>
          <w:rtl/>
          <w:lang w:val="en-GB" w:eastAsia="en-US"/>
        </w:rPr>
        <w:t>.</w:t>
      </w:r>
    </w:p>
    <w:p w:rsidR="00DB59CC" w:rsidRPr="00DB59CC" w:rsidRDefault="00DB59CC" w:rsidP="007C7F13">
      <w:pPr>
        <w:widowControl/>
        <w:numPr>
          <w:ilvl w:val="0"/>
          <w:numId w:val="6"/>
        </w:numPr>
        <w:ind w:left="423"/>
        <w:jc w:val="both"/>
        <w:rPr>
          <w:spacing w:val="-4"/>
          <w:sz w:val="36"/>
          <w:szCs w:val="36"/>
          <w:rtl/>
          <w:lang w:val="en-GB" w:eastAsia="en-US"/>
        </w:rPr>
      </w:pPr>
      <w:r w:rsidRPr="00DB59CC">
        <w:rPr>
          <w:rFonts w:hint="cs"/>
          <w:spacing w:val="-4"/>
          <w:sz w:val="36"/>
          <w:szCs w:val="36"/>
          <w:rtl/>
          <w:lang w:val="en-GB" w:eastAsia="en-US"/>
        </w:rPr>
        <w:lastRenderedPageBreak/>
        <w:t>فقد ذكر الإمام أبا حنيفة</w:t>
      </w:r>
      <w:r w:rsidR="0048366D">
        <w:rPr>
          <w:rFonts w:hint="cs"/>
          <w:spacing w:val="-4"/>
          <w:sz w:val="36"/>
          <w:szCs w:val="36"/>
          <w:rtl/>
          <w:lang w:val="en-GB" w:eastAsia="en-US"/>
        </w:rPr>
        <w:t>:</w:t>
      </w:r>
      <w:r w:rsidRPr="00DB59CC">
        <w:rPr>
          <w:rFonts w:hint="cs"/>
          <w:spacing w:val="-4"/>
          <w:sz w:val="36"/>
          <w:szCs w:val="36"/>
          <w:rtl/>
          <w:lang w:val="en-GB" w:eastAsia="en-US"/>
        </w:rPr>
        <w:t xml:space="preserve"> إحدى وأربعين مرة، ولم يصفه بالإمام إلا ثلاث مرات.</w:t>
      </w:r>
      <w:r w:rsidRPr="00DB59CC">
        <w:rPr>
          <w:bCs/>
          <w:spacing w:val="-4"/>
          <w:sz w:val="36"/>
          <w:szCs w:val="32"/>
          <w:vertAlign w:val="superscript"/>
          <w:rtl/>
          <w:lang w:val="en-GB" w:eastAsia="en-US"/>
        </w:rPr>
        <w:t>(</w:t>
      </w:r>
      <w:r w:rsidRPr="00DB59CC">
        <w:rPr>
          <w:bCs/>
          <w:spacing w:val="-4"/>
          <w:sz w:val="36"/>
          <w:szCs w:val="32"/>
          <w:vertAlign w:val="superscript"/>
          <w:rtl/>
          <w:lang w:val="en-GB" w:eastAsia="en-US"/>
        </w:rPr>
        <w:footnoteReference w:id="99"/>
      </w:r>
      <w:r w:rsidRPr="00DB59CC">
        <w:rPr>
          <w:bCs/>
          <w:spacing w:val="-4"/>
          <w:sz w:val="36"/>
          <w:szCs w:val="32"/>
          <w:vertAlign w:val="superscript"/>
          <w:rtl/>
          <w:lang w:val="en-GB" w:eastAsia="en-US"/>
        </w:rPr>
        <w:t>)</w:t>
      </w:r>
    </w:p>
    <w:p w:rsidR="00DB59CC" w:rsidRPr="00DB59CC" w:rsidRDefault="00DB59CC" w:rsidP="007C7F13">
      <w:pPr>
        <w:widowControl/>
        <w:numPr>
          <w:ilvl w:val="0"/>
          <w:numId w:val="6"/>
        </w:numPr>
        <w:ind w:left="423"/>
        <w:jc w:val="both"/>
        <w:rPr>
          <w:spacing w:val="-6"/>
          <w:sz w:val="36"/>
          <w:szCs w:val="36"/>
          <w:lang w:val="en-GB" w:eastAsia="en-US"/>
        </w:rPr>
      </w:pPr>
      <w:r w:rsidRPr="00DB59CC">
        <w:rPr>
          <w:rFonts w:hint="cs"/>
          <w:spacing w:val="-6"/>
          <w:sz w:val="36"/>
          <w:szCs w:val="36"/>
          <w:rtl/>
          <w:lang w:val="en-GB" w:eastAsia="en-US"/>
        </w:rPr>
        <w:t>وذكـر أبا يوسف</w:t>
      </w:r>
      <w:r w:rsidR="0048366D">
        <w:rPr>
          <w:rFonts w:hint="cs"/>
          <w:spacing w:val="-6"/>
          <w:sz w:val="36"/>
          <w:szCs w:val="36"/>
          <w:rtl/>
          <w:lang w:val="en-GB" w:eastAsia="en-US"/>
        </w:rPr>
        <w:t>:</w:t>
      </w:r>
      <w:r w:rsidRPr="00DB59CC">
        <w:rPr>
          <w:rFonts w:hint="cs"/>
          <w:spacing w:val="-6"/>
          <w:sz w:val="36"/>
          <w:szCs w:val="36"/>
          <w:rtl/>
          <w:lang w:val="en-GB" w:eastAsia="en-US"/>
        </w:rPr>
        <w:t xml:space="preserve"> أربعين مرّة، ومحمـد بن الحسن</w:t>
      </w:r>
      <w:r w:rsidR="0048366D">
        <w:rPr>
          <w:rFonts w:hint="cs"/>
          <w:spacing w:val="-6"/>
          <w:sz w:val="36"/>
          <w:szCs w:val="36"/>
          <w:rtl/>
          <w:lang w:val="en-GB" w:eastAsia="en-US"/>
        </w:rPr>
        <w:t>:</w:t>
      </w:r>
      <w:r w:rsidRPr="00DB59CC">
        <w:rPr>
          <w:rFonts w:hint="cs"/>
          <w:spacing w:val="-6"/>
          <w:sz w:val="36"/>
          <w:szCs w:val="36"/>
          <w:rtl/>
          <w:lang w:val="en-GB" w:eastAsia="en-US"/>
        </w:rPr>
        <w:t xml:space="preserve"> أربعًا وأربعين مرة وقد رمز لهما مرتين بقوله</w:t>
      </w:r>
      <w:r w:rsidR="0048366D">
        <w:rPr>
          <w:rFonts w:hint="cs"/>
          <w:spacing w:val="-6"/>
          <w:sz w:val="36"/>
          <w:szCs w:val="36"/>
          <w:rtl/>
          <w:lang w:val="en-GB" w:eastAsia="en-US"/>
        </w:rPr>
        <w:t>:</w:t>
      </w:r>
      <w:r w:rsidRPr="00DB59CC">
        <w:rPr>
          <w:rFonts w:hint="cs"/>
          <w:spacing w:val="-6"/>
          <w:sz w:val="36"/>
          <w:szCs w:val="36"/>
          <w:rtl/>
          <w:lang w:val="en-GB" w:eastAsia="en-US"/>
        </w:rPr>
        <w:t xml:space="preserve"> (الإمامان) وذلك في معرض تمييزهما عن الإمام أبي حنيفة.</w:t>
      </w:r>
      <w:r w:rsidRPr="00DB59CC">
        <w:rPr>
          <w:bCs/>
          <w:spacing w:val="-6"/>
          <w:sz w:val="36"/>
          <w:szCs w:val="32"/>
          <w:vertAlign w:val="superscript"/>
          <w:rtl/>
          <w:lang w:val="en-GB" w:eastAsia="en-US"/>
        </w:rPr>
        <w:t xml:space="preserve"> (</w:t>
      </w:r>
      <w:r w:rsidRPr="00DB59CC">
        <w:rPr>
          <w:bCs/>
          <w:spacing w:val="-6"/>
          <w:sz w:val="36"/>
          <w:szCs w:val="32"/>
          <w:vertAlign w:val="superscript"/>
          <w:rtl/>
          <w:lang w:val="en-GB" w:eastAsia="en-US"/>
        </w:rPr>
        <w:footnoteReference w:id="100"/>
      </w:r>
      <w:r w:rsidRPr="00DB59CC">
        <w:rPr>
          <w:bCs/>
          <w:spacing w:val="-6"/>
          <w:sz w:val="36"/>
          <w:szCs w:val="32"/>
          <w:vertAlign w:val="superscript"/>
          <w:rtl/>
          <w:lang w:val="en-GB" w:eastAsia="en-US"/>
        </w:rPr>
        <w:t>)</w:t>
      </w:r>
    </w:p>
    <w:p w:rsidR="00DB59CC" w:rsidRPr="00DB59CC" w:rsidRDefault="00DB59CC" w:rsidP="007C7F13">
      <w:pPr>
        <w:widowControl/>
        <w:numPr>
          <w:ilvl w:val="0"/>
          <w:numId w:val="6"/>
        </w:numPr>
        <w:ind w:left="423"/>
        <w:jc w:val="both"/>
        <w:rPr>
          <w:sz w:val="36"/>
          <w:szCs w:val="36"/>
          <w:lang w:val="en-GB" w:eastAsia="en-US"/>
        </w:rPr>
      </w:pPr>
      <w:r w:rsidRPr="00DB59CC">
        <w:rPr>
          <w:rFonts w:hint="cs"/>
          <w:sz w:val="36"/>
          <w:szCs w:val="36"/>
          <w:rtl/>
          <w:lang w:val="en-GB" w:eastAsia="en-US"/>
        </w:rPr>
        <w:t>وذكر الإمام الشافعي</w:t>
      </w:r>
      <w:r w:rsidR="0048366D">
        <w:rPr>
          <w:rFonts w:hint="cs"/>
          <w:sz w:val="36"/>
          <w:szCs w:val="36"/>
          <w:rtl/>
          <w:lang w:val="en-GB" w:eastAsia="en-US"/>
        </w:rPr>
        <w:t>:</w:t>
      </w:r>
      <w:r w:rsidRPr="00DB59CC">
        <w:rPr>
          <w:rFonts w:hint="cs"/>
          <w:sz w:val="36"/>
          <w:szCs w:val="36"/>
          <w:rtl/>
          <w:lang w:val="en-GB" w:eastAsia="en-US"/>
        </w:rPr>
        <w:t xml:space="preserve"> ثلاث عشرة مرة، والإمام مالكًا</w:t>
      </w:r>
      <w:r w:rsidR="0048366D">
        <w:rPr>
          <w:rFonts w:hint="cs"/>
          <w:sz w:val="36"/>
          <w:szCs w:val="36"/>
          <w:rtl/>
          <w:lang w:val="en-GB" w:eastAsia="en-US"/>
        </w:rPr>
        <w:t>:</w:t>
      </w:r>
      <w:r w:rsidRPr="00DB59CC">
        <w:rPr>
          <w:rFonts w:hint="cs"/>
          <w:sz w:val="36"/>
          <w:szCs w:val="36"/>
          <w:rtl/>
          <w:lang w:val="en-GB" w:eastAsia="en-US"/>
        </w:rPr>
        <w:t xml:space="preserve"> مرة واحدة، ولم يصفهما بـ (الإمام)</w:t>
      </w:r>
      <w:r w:rsidRPr="00DB59CC">
        <w:rPr>
          <w:rFonts w:hint="cs"/>
          <w:sz w:val="36"/>
          <w:szCs w:val="36"/>
          <w:vertAlign w:val="superscript"/>
          <w:rtl/>
          <w:lang w:val="en-GB" w:eastAsia="en-US"/>
        </w:rPr>
        <w:t>(</w:t>
      </w:r>
      <w:r w:rsidRPr="00DB59CC">
        <w:rPr>
          <w:bCs/>
          <w:sz w:val="36"/>
          <w:szCs w:val="32"/>
          <w:vertAlign w:val="superscript"/>
          <w:lang w:val="en-GB" w:eastAsia="en-US"/>
        </w:rPr>
        <w:footnoteReference w:id="101"/>
      </w:r>
      <w:r w:rsidRPr="00DB59CC">
        <w:rPr>
          <w:rFonts w:hint="cs"/>
          <w:sz w:val="36"/>
          <w:szCs w:val="36"/>
          <w:vertAlign w:val="superscript"/>
          <w:rtl/>
          <w:lang w:val="en-GB" w:eastAsia="en-US"/>
        </w:rPr>
        <w:t>)</w:t>
      </w:r>
      <w:r w:rsidRPr="00DB59CC">
        <w:rPr>
          <w:rFonts w:hint="cs"/>
          <w:sz w:val="36"/>
          <w:szCs w:val="36"/>
          <w:rtl/>
          <w:lang w:val="en-GB" w:eastAsia="en-US"/>
        </w:rPr>
        <w:t>.</w:t>
      </w:r>
    </w:p>
    <w:p w:rsidR="00DB59CC" w:rsidRPr="00DB59CC" w:rsidRDefault="00DB59CC" w:rsidP="009A68A5">
      <w:pPr>
        <w:widowControl/>
        <w:ind w:firstLine="567"/>
        <w:jc w:val="both"/>
        <w:rPr>
          <w:sz w:val="36"/>
          <w:szCs w:val="36"/>
          <w:rtl/>
          <w:lang w:val="en-GB" w:eastAsia="en-US"/>
        </w:rPr>
      </w:pPr>
      <w:r w:rsidRPr="00DB59CC">
        <w:rPr>
          <w:rFonts w:hint="cs"/>
          <w:sz w:val="36"/>
          <w:szCs w:val="36"/>
          <w:rtl/>
          <w:lang w:val="en-GB" w:eastAsia="en-US"/>
        </w:rPr>
        <w:t>وهذا ليس تنقيصًا لهؤلاء، فهم جميعًا من أئمة أهل السنة والجماعة،ولكن لما كان الإمام أحمد أكثرهم نصرة للسنة، وتحملاً للابتلاء في سبيل ذلك خصّه بوصف الإمام -هذا والله أعلم-.</w:t>
      </w: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left="1080" w:right="1080" w:firstLine="567"/>
        <w:jc w:val="both"/>
        <w:rPr>
          <w:sz w:val="36"/>
          <w:szCs w:val="36"/>
          <w:rtl/>
          <w:lang w:val="en-GB" w:eastAsia="en-US"/>
        </w:rPr>
      </w:pPr>
    </w:p>
    <w:p w:rsidR="00DB59CC" w:rsidRPr="00DB59CC" w:rsidRDefault="00DB59CC" w:rsidP="009A68A5">
      <w:pPr>
        <w:widowControl/>
        <w:ind w:firstLine="567"/>
        <w:jc w:val="both"/>
        <w:rPr>
          <w:rFonts w:cs="Monotype Koufi"/>
          <w:bCs/>
          <w:sz w:val="20"/>
          <w:szCs w:val="36"/>
          <w:rtl/>
          <w:lang w:eastAsia="en-US"/>
        </w:rPr>
      </w:pPr>
      <w:r w:rsidRPr="00DB59CC">
        <w:rPr>
          <w:rFonts w:cs="Monotype Koufi" w:hint="cs"/>
          <w:bCs/>
          <w:sz w:val="20"/>
          <w:szCs w:val="36"/>
          <w:rtl/>
          <w:lang w:eastAsia="en-US"/>
        </w:rPr>
        <w:lastRenderedPageBreak/>
        <w:t>المبحث الثامن</w:t>
      </w:r>
      <w:r w:rsidR="0048366D">
        <w:rPr>
          <w:rFonts w:cs="Monotype Koufi" w:hint="cs"/>
          <w:bCs/>
          <w:sz w:val="20"/>
          <w:szCs w:val="36"/>
          <w:rtl/>
          <w:lang w:eastAsia="en-US"/>
        </w:rPr>
        <w:t>:</w:t>
      </w:r>
      <w:r w:rsidRPr="00DB59CC">
        <w:rPr>
          <w:rFonts w:cs="Monotype Koufi" w:hint="cs"/>
          <w:bCs/>
          <w:sz w:val="20"/>
          <w:szCs w:val="36"/>
          <w:rtl/>
          <w:lang w:eastAsia="en-US"/>
        </w:rPr>
        <w:t xml:space="preserve"> مؤلفاته</w:t>
      </w:r>
      <w:r w:rsidR="0048366D">
        <w:rPr>
          <w:rFonts w:cs="Monotype Koufi" w:hint="cs"/>
          <w:bCs/>
          <w:sz w:val="20"/>
          <w:szCs w:val="36"/>
          <w:rtl/>
          <w:lang w:eastAsia="en-US"/>
        </w:rPr>
        <w:t>:</w:t>
      </w:r>
    </w:p>
    <w:p w:rsidR="00DB59CC" w:rsidRPr="00DB59CC" w:rsidRDefault="00DB59CC" w:rsidP="009A68A5">
      <w:pPr>
        <w:widowControl/>
        <w:ind w:firstLine="567"/>
        <w:jc w:val="both"/>
        <w:rPr>
          <w:rFonts w:cs="Monotype Koufi"/>
          <w:rtl/>
          <w:lang w:val="en-GB" w:eastAsia="en-US"/>
        </w:rPr>
      </w:pPr>
    </w:p>
    <w:p w:rsidR="00DB59CC" w:rsidRPr="00DB59CC" w:rsidRDefault="00DB59CC" w:rsidP="009A68A5">
      <w:pPr>
        <w:widowControl/>
        <w:ind w:firstLine="567"/>
        <w:jc w:val="both"/>
        <w:rPr>
          <w:sz w:val="36"/>
          <w:szCs w:val="36"/>
          <w:rtl/>
          <w:lang w:val="en-GB" w:eastAsia="en-US"/>
        </w:rPr>
      </w:pPr>
      <w:r w:rsidRPr="00DB59CC">
        <w:rPr>
          <w:rFonts w:hint="cs"/>
          <w:b/>
          <w:bCs/>
          <w:sz w:val="36"/>
          <w:szCs w:val="36"/>
          <w:rtl/>
          <w:lang w:val="en-GB" w:eastAsia="en-US"/>
        </w:rPr>
        <w:t>1</w:t>
      </w:r>
      <w:r w:rsidRPr="00DB59CC">
        <w:rPr>
          <w:rFonts w:hint="cs"/>
          <w:sz w:val="36"/>
          <w:szCs w:val="36"/>
          <w:rtl/>
          <w:lang w:val="en-GB" w:eastAsia="en-US"/>
        </w:rPr>
        <w:t xml:space="preserve">- ترتيب اللآلي في سلك الأمالي </w:t>
      </w:r>
      <w:r w:rsidRPr="00DB59CC">
        <w:rPr>
          <w:sz w:val="36"/>
          <w:szCs w:val="36"/>
          <w:rtl/>
          <w:lang w:val="en-GB" w:eastAsia="en-US"/>
        </w:rPr>
        <w:t>–</w:t>
      </w:r>
      <w:r w:rsidRPr="00DB59CC">
        <w:rPr>
          <w:rFonts w:hint="cs"/>
          <w:sz w:val="36"/>
          <w:szCs w:val="36"/>
          <w:rtl/>
          <w:lang w:val="en-GB" w:eastAsia="en-US"/>
        </w:rPr>
        <w:t>وهو هذا الكتاب الذي بين يديك-.</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2</w:t>
      </w:r>
      <w:r w:rsidRPr="00DB59CC">
        <w:rPr>
          <w:rFonts w:hint="cs"/>
          <w:sz w:val="36"/>
          <w:szCs w:val="36"/>
          <w:rtl/>
          <w:lang w:val="en-GB" w:eastAsia="en-US"/>
        </w:rPr>
        <w:t>- رسالة تتعلق بالتحليف على فعل الآخرين.</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102"/>
      </w:r>
      <w:r w:rsidRPr="00DB59CC">
        <w:rPr>
          <w:bCs/>
          <w:sz w:val="36"/>
          <w:szCs w:val="32"/>
          <w:vertAlign w:val="superscript"/>
          <w:rtl/>
          <w:lang w:val="en-GB" w:eastAsia="en-US"/>
        </w:rPr>
        <w:t>)</w:t>
      </w:r>
    </w:p>
    <w:p w:rsidR="00DB59CC" w:rsidRPr="00DB59CC" w:rsidRDefault="00DB59CC" w:rsidP="009A68A5">
      <w:pPr>
        <w:widowControl/>
        <w:ind w:firstLine="567"/>
        <w:jc w:val="both"/>
        <w:rPr>
          <w:sz w:val="36"/>
          <w:szCs w:val="36"/>
          <w:lang w:val="en-GB" w:eastAsia="en-US"/>
        </w:rPr>
      </w:pPr>
      <w:r w:rsidRPr="00DB59CC">
        <w:rPr>
          <w:rFonts w:hint="cs"/>
          <w:b/>
          <w:bCs/>
          <w:sz w:val="36"/>
          <w:szCs w:val="36"/>
          <w:rtl/>
          <w:lang w:val="en-GB" w:eastAsia="en-US"/>
        </w:rPr>
        <w:t>3</w:t>
      </w:r>
      <w:r w:rsidRPr="00DB59CC">
        <w:rPr>
          <w:rFonts w:hint="cs"/>
          <w:sz w:val="36"/>
          <w:szCs w:val="36"/>
          <w:rtl/>
          <w:lang w:val="en-GB" w:eastAsia="en-US"/>
        </w:rPr>
        <w:t>- رسالة تتعلق بطلب الفائدة في قيد ذكره صاحب (الهداية)، واضطرب شراحها في بيان هذه الفائدة.</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103"/>
      </w:r>
      <w:r w:rsidRPr="00DB59CC">
        <w:rPr>
          <w:bCs/>
          <w:sz w:val="36"/>
          <w:szCs w:val="32"/>
          <w:vertAlign w:val="superscript"/>
          <w:rtl/>
          <w:lang w:val="en-GB" w:eastAsia="en-US"/>
        </w:rPr>
        <w:t>)</w:t>
      </w:r>
    </w:p>
    <w:p w:rsidR="00DB59CC" w:rsidRPr="00DB59CC" w:rsidRDefault="00DB59CC" w:rsidP="009A68A5">
      <w:pPr>
        <w:widowControl/>
        <w:ind w:left="360" w:firstLine="567"/>
        <w:jc w:val="both"/>
        <w:rPr>
          <w:sz w:val="36"/>
          <w:szCs w:val="36"/>
          <w:rtl/>
          <w:lang w:val="en-GB" w:eastAsia="en-US"/>
        </w:rPr>
      </w:pPr>
      <w:r w:rsidRPr="00DB59CC">
        <w:rPr>
          <w:rFonts w:hint="cs"/>
          <w:sz w:val="36"/>
          <w:szCs w:val="36"/>
          <w:rtl/>
          <w:lang w:val="en-GB" w:eastAsia="en-US"/>
        </w:rPr>
        <w:t xml:space="preserve">هذا غاية ما أمكن الوقوف عليه من مؤلفاته، على الرغم من البحث الطويل في فهارس المخطوطات والكتب. </w:t>
      </w: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left="360" w:right="360" w:firstLine="567"/>
        <w:jc w:val="both"/>
        <w:rPr>
          <w:sz w:val="36"/>
          <w:szCs w:val="36"/>
          <w:rtl/>
          <w:lang w:val="en-GB" w:eastAsia="en-US"/>
        </w:rPr>
      </w:pPr>
    </w:p>
    <w:p w:rsidR="00DB59CC" w:rsidRPr="00DB59CC" w:rsidRDefault="00DB59CC" w:rsidP="009A68A5">
      <w:pPr>
        <w:widowControl/>
        <w:ind w:firstLine="567"/>
        <w:jc w:val="both"/>
        <w:rPr>
          <w:rFonts w:cs="Monotype Koufi"/>
          <w:bCs/>
          <w:sz w:val="20"/>
          <w:szCs w:val="36"/>
          <w:rtl/>
          <w:lang w:eastAsia="en-US"/>
        </w:rPr>
      </w:pPr>
      <w:r w:rsidRPr="00DB59CC">
        <w:rPr>
          <w:rFonts w:cs="Monotype Koufi" w:hint="cs"/>
          <w:bCs/>
          <w:sz w:val="20"/>
          <w:szCs w:val="36"/>
          <w:rtl/>
          <w:lang w:eastAsia="en-US"/>
        </w:rPr>
        <w:lastRenderedPageBreak/>
        <w:t>المبحث التاسع</w:t>
      </w:r>
      <w:r w:rsidR="0048366D">
        <w:rPr>
          <w:rFonts w:cs="Monotype Koufi" w:hint="cs"/>
          <w:bCs/>
          <w:sz w:val="20"/>
          <w:szCs w:val="36"/>
          <w:rtl/>
          <w:lang w:eastAsia="en-US"/>
        </w:rPr>
        <w:t>:</w:t>
      </w:r>
      <w:r w:rsidRPr="00DB59CC">
        <w:rPr>
          <w:rFonts w:cs="Monotype Koufi" w:hint="cs"/>
          <w:bCs/>
          <w:sz w:val="20"/>
          <w:szCs w:val="36"/>
          <w:rtl/>
          <w:lang w:eastAsia="en-US"/>
        </w:rPr>
        <w:t xml:space="preserve"> مكانته العلمية</w:t>
      </w:r>
      <w:r w:rsidR="0048366D">
        <w:rPr>
          <w:rFonts w:cs="Monotype Koufi" w:hint="cs"/>
          <w:bCs/>
          <w:sz w:val="20"/>
          <w:szCs w:val="36"/>
          <w:rtl/>
          <w:lang w:eastAsia="en-US"/>
        </w:rPr>
        <w:t>:</w:t>
      </w:r>
    </w:p>
    <w:p w:rsidR="00DB59CC" w:rsidRPr="00DB59CC" w:rsidRDefault="00DB59CC" w:rsidP="009A68A5">
      <w:pPr>
        <w:widowControl/>
        <w:ind w:left="360" w:right="360" w:firstLine="567"/>
        <w:jc w:val="both"/>
        <w:rPr>
          <w:rFonts w:cs="Monotype Koufi"/>
          <w:rtl/>
          <w:lang w:val="en-GB" w:eastAsia="en-US"/>
        </w:rPr>
      </w:pPr>
    </w:p>
    <w:p w:rsidR="00DB59CC" w:rsidRPr="00DB59CC" w:rsidRDefault="00DB59CC" w:rsidP="009A68A5">
      <w:pPr>
        <w:widowControl/>
        <w:ind w:left="360" w:firstLine="567"/>
        <w:jc w:val="both"/>
        <w:rPr>
          <w:sz w:val="36"/>
          <w:szCs w:val="36"/>
          <w:rtl/>
          <w:lang w:val="en-GB" w:eastAsia="en-US"/>
        </w:rPr>
      </w:pPr>
      <w:r w:rsidRPr="00DB59CC">
        <w:rPr>
          <w:rFonts w:hint="cs"/>
          <w:sz w:val="36"/>
          <w:szCs w:val="36"/>
          <w:rtl/>
          <w:lang w:val="en-GB" w:eastAsia="en-US"/>
        </w:rPr>
        <w:t>إن خير ما يحكي مكانة أي عالم</w:t>
      </w:r>
      <w:r w:rsidR="0048366D">
        <w:rPr>
          <w:rFonts w:hint="cs"/>
          <w:sz w:val="36"/>
          <w:szCs w:val="36"/>
          <w:rtl/>
          <w:lang w:val="en-GB" w:eastAsia="en-US"/>
        </w:rPr>
        <w:t>:</w:t>
      </w:r>
      <w:r w:rsidRPr="00DB59CC">
        <w:rPr>
          <w:rFonts w:hint="cs"/>
          <w:sz w:val="36"/>
          <w:szCs w:val="36"/>
          <w:rtl/>
          <w:lang w:val="en-GB" w:eastAsia="en-US"/>
        </w:rPr>
        <w:t xml:space="preserve"> آثاره العلمية، من مؤلفات ودروس وأعمال علمية ونحو ذلك. وهذا ما يمكن أن يدركه القارئ من خلال قراءة هذا الكتاب.</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104"/>
      </w:r>
      <w:r w:rsidRPr="00DB59CC">
        <w:rPr>
          <w:bCs/>
          <w:sz w:val="36"/>
          <w:szCs w:val="32"/>
          <w:vertAlign w:val="superscript"/>
          <w:rtl/>
          <w:lang w:val="en-GB" w:eastAsia="en-US"/>
        </w:rPr>
        <w:t>)</w:t>
      </w:r>
    </w:p>
    <w:p w:rsidR="00DB59CC" w:rsidRPr="00DB59CC" w:rsidRDefault="00DB59CC" w:rsidP="009A68A5">
      <w:pPr>
        <w:widowControl/>
        <w:ind w:left="423" w:firstLine="425"/>
        <w:jc w:val="both"/>
        <w:rPr>
          <w:sz w:val="36"/>
          <w:szCs w:val="36"/>
          <w:rtl/>
          <w:lang w:val="en-GB" w:eastAsia="en-US"/>
        </w:rPr>
      </w:pPr>
      <w:r w:rsidRPr="00DB59CC">
        <w:rPr>
          <w:rFonts w:hint="cs"/>
          <w:sz w:val="36"/>
          <w:szCs w:val="36"/>
          <w:rtl/>
          <w:lang w:val="en-GB" w:eastAsia="en-US"/>
        </w:rPr>
        <w:t>وقد أدرك بعض العلماء والمهتمين قيمة هذا الكتاب</w:t>
      </w:r>
      <w:r w:rsidR="0048366D">
        <w:rPr>
          <w:rFonts w:hint="cs"/>
          <w:sz w:val="36"/>
          <w:szCs w:val="36"/>
          <w:rtl/>
          <w:lang w:val="en-GB" w:eastAsia="en-US"/>
        </w:rPr>
        <w:t>،</w:t>
      </w:r>
      <w:r w:rsidRPr="00DB59CC">
        <w:rPr>
          <w:rFonts w:hint="cs"/>
          <w:sz w:val="36"/>
          <w:szCs w:val="36"/>
          <w:rtl/>
          <w:lang w:val="en-GB" w:eastAsia="en-US"/>
        </w:rPr>
        <w:t xml:space="preserve"> ومكانة مؤلفه، فمنهم من ترجم ذلك عمليًّا واستفاد منه كثيرًا، ومنهم من دوّن انطباعه عنه وعن مؤلفه</w:t>
      </w:r>
      <w:r w:rsidR="0048366D">
        <w:rPr>
          <w:rFonts w:hint="cs"/>
          <w:sz w:val="36"/>
          <w:szCs w:val="36"/>
          <w:rtl/>
          <w:lang w:val="en-GB" w:eastAsia="en-US"/>
        </w:rPr>
        <w:t>:</w:t>
      </w:r>
    </w:p>
    <w:p w:rsidR="00DB59CC" w:rsidRPr="00DB59CC" w:rsidRDefault="00DB59CC" w:rsidP="007C7F13">
      <w:pPr>
        <w:widowControl/>
        <w:numPr>
          <w:ilvl w:val="0"/>
          <w:numId w:val="6"/>
        </w:numPr>
        <w:ind w:left="848" w:hanging="284"/>
        <w:jc w:val="both"/>
        <w:rPr>
          <w:sz w:val="36"/>
          <w:szCs w:val="36"/>
          <w:lang w:val="en-GB" w:eastAsia="en-US"/>
        </w:rPr>
      </w:pPr>
      <w:r w:rsidRPr="00DB59CC">
        <w:rPr>
          <w:rFonts w:hint="cs"/>
          <w:sz w:val="36"/>
          <w:szCs w:val="36"/>
          <w:rtl/>
          <w:lang w:val="en-GB" w:eastAsia="en-US"/>
        </w:rPr>
        <w:t>فممن استفاد منه</w:t>
      </w:r>
      <w:r w:rsidR="0048366D">
        <w:rPr>
          <w:rFonts w:hint="cs"/>
          <w:sz w:val="36"/>
          <w:szCs w:val="36"/>
          <w:rtl/>
          <w:lang w:val="en-GB" w:eastAsia="en-US"/>
        </w:rPr>
        <w:t>:</w:t>
      </w:r>
      <w:r w:rsidRPr="00DB59CC">
        <w:rPr>
          <w:rFonts w:hint="cs"/>
          <w:sz w:val="36"/>
          <w:szCs w:val="36"/>
          <w:rtl/>
          <w:lang w:val="en-GB" w:eastAsia="en-US"/>
        </w:rPr>
        <w:t xml:space="preserve"> أبو سعيد الخادمي (ت1176هـ) في قواعده التي ختم بها كتـابه: (مجامع الحقائق)</w:t>
      </w:r>
      <w:r w:rsidR="0048366D">
        <w:rPr>
          <w:rFonts w:hint="cs"/>
          <w:sz w:val="36"/>
          <w:szCs w:val="36"/>
          <w:rtl/>
          <w:lang w:val="en-GB" w:eastAsia="en-US"/>
        </w:rPr>
        <w:t>؛</w:t>
      </w:r>
      <w:r w:rsidRPr="00DB59CC">
        <w:rPr>
          <w:rFonts w:hint="cs"/>
          <w:sz w:val="36"/>
          <w:szCs w:val="36"/>
          <w:rtl/>
          <w:lang w:val="en-GB" w:eastAsia="en-US"/>
        </w:rPr>
        <w:t xml:space="preserve"> إذ لم يكد يخرج عن قواعد ناظر زاده.</w:t>
      </w:r>
      <w:r w:rsidRPr="00DB59CC">
        <w:rPr>
          <w:bCs/>
          <w:sz w:val="36"/>
          <w:szCs w:val="32"/>
          <w:vertAlign w:val="superscript"/>
          <w:rtl/>
          <w:lang w:val="en-GB" w:eastAsia="en-US"/>
        </w:rPr>
        <w:t xml:space="preserve"> (</w:t>
      </w:r>
      <w:r w:rsidRPr="00DB59CC">
        <w:rPr>
          <w:bCs/>
          <w:sz w:val="36"/>
          <w:szCs w:val="32"/>
          <w:vertAlign w:val="superscript"/>
          <w:rtl/>
          <w:lang w:val="en-GB" w:eastAsia="en-US"/>
        </w:rPr>
        <w:footnoteReference w:id="105"/>
      </w:r>
      <w:r w:rsidRPr="00DB59CC">
        <w:rPr>
          <w:bCs/>
          <w:sz w:val="36"/>
          <w:szCs w:val="32"/>
          <w:vertAlign w:val="superscript"/>
          <w:rtl/>
          <w:lang w:val="en-GB" w:eastAsia="en-US"/>
        </w:rPr>
        <w:t>)</w:t>
      </w:r>
    </w:p>
    <w:p w:rsidR="00DB59CC" w:rsidRPr="00DB59CC" w:rsidRDefault="00DB59CC" w:rsidP="007C7F13">
      <w:pPr>
        <w:widowControl/>
        <w:numPr>
          <w:ilvl w:val="0"/>
          <w:numId w:val="6"/>
        </w:numPr>
        <w:ind w:left="848" w:right="1132" w:hanging="284"/>
        <w:jc w:val="both"/>
        <w:rPr>
          <w:sz w:val="36"/>
          <w:szCs w:val="36"/>
          <w:lang w:val="en-GB" w:eastAsia="en-US"/>
        </w:rPr>
      </w:pPr>
      <w:r w:rsidRPr="00DB59CC">
        <w:rPr>
          <w:rFonts w:hint="cs"/>
          <w:sz w:val="36"/>
          <w:szCs w:val="36"/>
          <w:rtl/>
          <w:lang w:val="en-GB" w:eastAsia="en-US"/>
        </w:rPr>
        <w:t>وممن دون انطباعه</w:t>
      </w:r>
      <w:r w:rsidR="0048366D">
        <w:rPr>
          <w:rFonts w:hint="cs"/>
          <w:sz w:val="36"/>
          <w:szCs w:val="36"/>
          <w:rtl/>
          <w:lang w:val="en-GB" w:eastAsia="en-US"/>
        </w:rPr>
        <w:t>:</w:t>
      </w:r>
      <w:r w:rsidRPr="00DB59CC">
        <w:rPr>
          <w:rFonts w:hint="cs"/>
          <w:sz w:val="36"/>
          <w:szCs w:val="36"/>
          <w:rtl/>
          <w:lang w:val="en-GB" w:eastAsia="en-US"/>
        </w:rPr>
        <w:t xml:space="preserve"> </w:t>
      </w:r>
    </w:p>
    <w:p w:rsidR="00DB59CC" w:rsidRPr="00DB59CC" w:rsidRDefault="00DB59CC" w:rsidP="007C7F13">
      <w:pPr>
        <w:widowControl/>
        <w:numPr>
          <w:ilvl w:val="0"/>
          <w:numId w:val="2"/>
        </w:numPr>
        <w:tabs>
          <w:tab w:val="num" w:pos="1132"/>
        </w:tabs>
        <w:ind w:left="1132" w:right="1132" w:hanging="426"/>
        <w:jc w:val="both"/>
        <w:rPr>
          <w:sz w:val="36"/>
          <w:szCs w:val="36"/>
          <w:lang w:val="en-GB" w:eastAsia="en-US"/>
        </w:rPr>
      </w:pPr>
      <w:r w:rsidRPr="00DB59CC">
        <w:rPr>
          <w:rFonts w:hint="cs"/>
          <w:sz w:val="36"/>
          <w:szCs w:val="36"/>
          <w:rtl/>
          <w:lang w:val="en-GB" w:eastAsia="en-US"/>
        </w:rPr>
        <w:t>أحد المطلعين على نسخة (هـ)؛ حيث دون انطباعه عن الكتاب والمؤلف ببيت شعر قال فيه</w:t>
      </w:r>
      <w:r w:rsidR="0048366D">
        <w:rPr>
          <w:rFonts w:hint="cs"/>
          <w:sz w:val="36"/>
          <w:szCs w:val="36"/>
          <w:rtl/>
          <w:lang w:val="en-GB" w:eastAsia="en-US"/>
        </w:rPr>
        <w:t>:</w:t>
      </w:r>
    </w:p>
    <w:p w:rsidR="00DB59CC" w:rsidRPr="00DB59CC" w:rsidRDefault="00DB59CC" w:rsidP="009A68A5">
      <w:pPr>
        <w:keepNext/>
        <w:widowControl/>
        <w:ind w:right="720" w:firstLine="0"/>
        <w:jc w:val="both"/>
        <w:outlineLvl w:val="3"/>
        <w:rPr>
          <w:b/>
          <w:bCs/>
          <w:sz w:val="36"/>
          <w:szCs w:val="36"/>
          <w:rtl/>
        </w:rPr>
      </w:pPr>
      <w:r w:rsidRPr="00DB59CC">
        <w:rPr>
          <w:rFonts w:hint="cs"/>
          <w:b/>
          <w:bCs/>
          <w:sz w:val="36"/>
          <w:szCs w:val="36"/>
          <w:rtl/>
        </w:rPr>
        <w:t xml:space="preserve"> فــي الـزوايــا خـبـايـا        وفــي الـرجــال بــقـايـا</w:t>
      </w:r>
    </w:p>
    <w:p w:rsidR="00EB5FFB" w:rsidRDefault="00DB59CC" w:rsidP="007C7F13">
      <w:pPr>
        <w:widowControl/>
        <w:numPr>
          <w:ilvl w:val="0"/>
          <w:numId w:val="2"/>
        </w:numPr>
        <w:ind w:left="565" w:hanging="426"/>
        <w:jc w:val="both"/>
        <w:rPr>
          <w:bCs/>
          <w:sz w:val="36"/>
          <w:szCs w:val="32"/>
          <w:vertAlign w:val="superscript"/>
          <w:rtl/>
          <w:lang w:val="en-GB" w:eastAsia="en-US"/>
        </w:rPr>
        <w:sectPr w:rsidR="00EB5FFB" w:rsidSect="00FB00A9">
          <w:headerReference w:type="default" r:id="rId18"/>
          <w:footnotePr>
            <w:pos w:val="beneathText"/>
            <w:numRestart w:val="eachPage"/>
          </w:footnotePr>
          <w:endnotePr>
            <w:numFmt w:val="decimal"/>
          </w:endnotePr>
          <w:pgSz w:w="11906" w:h="16838" w:code="9"/>
          <w:pgMar w:top="2268" w:right="1559" w:bottom="1418" w:left="1559" w:header="680" w:footer="851" w:gutter="284"/>
          <w:cols w:space="720"/>
          <w:bidi/>
          <w:rtlGutter/>
        </w:sectPr>
      </w:pPr>
      <w:r w:rsidRPr="00DB59CC">
        <w:rPr>
          <w:rFonts w:hint="cs"/>
          <w:sz w:val="36"/>
          <w:szCs w:val="36"/>
          <w:rtl/>
          <w:lang w:val="en-GB" w:eastAsia="en-US"/>
        </w:rPr>
        <w:t>د. محمد بن عبدالغفار الشريف، حيث قال</w:t>
      </w:r>
      <w:r w:rsidR="0048366D">
        <w:rPr>
          <w:rFonts w:hint="cs"/>
          <w:sz w:val="36"/>
          <w:szCs w:val="36"/>
          <w:rtl/>
          <w:lang w:val="en-GB" w:eastAsia="en-US"/>
        </w:rPr>
        <w:t>:</w:t>
      </w:r>
      <w:r w:rsidRPr="00DB59CC">
        <w:rPr>
          <w:rFonts w:hint="eastAsia"/>
          <w:sz w:val="20"/>
          <w:szCs w:val="20"/>
          <w:rtl/>
          <w:lang w:val="en-GB" w:eastAsia="en-GB"/>
        </w:rPr>
        <w:t xml:space="preserve"> «</w:t>
      </w:r>
      <w:r w:rsidRPr="00DB59CC">
        <w:rPr>
          <w:rFonts w:hint="cs"/>
          <w:sz w:val="36"/>
          <w:szCs w:val="36"/>
          <w:rtl/>
          <w:lang w:val="en-GB" w:eastAsia="en-US"/>
        </w:rPr>
        <w:t xml:space="preserve"> والكتاب يجمع القواعد الفقهية، والأصولية، والضوابط الفقهية، مع ذكر الفروع المخرّجة عليها. وهـو من الكتب النادرة، ويدل على سعة علم مصنّفه، ودقّة نظره </w:t>
      </w:r>
      <w:r w:rsidRPr="00DB59CC">
        <w:rPr>
          <w:rFonts w:hint="eastAsia"/>
          <w:sz w:val="20"/>
          <w:szCs w:val="20"/>
          <w:rtl/>
          <w:lang w:val="en-GB" w:eastAsia="en-GB"/>
        </w:rPr>
        <w:t>»</w:t>
      </w:r>
      <w:r w:rsidRPr="00DB59CC">
        <w:rPr>
          <w:rFonts w:hint="cs"/>
          <w:sz w:val="36"/>
          <w:szCs w:val="36"/>
          <w:rtl/>
          <w:lang w:val="en-GB" w:eastAsia="en-US"/>
        </w:rPr>
        <w:t>.</w:t>
      </w:r>
      <w:r w:rsidRPr="00DB59CC">
        <w:rPr>
          <w:bCs/>
          <w:sz w:val="36"/>
          <w:szCs w:val="32"/>
          <w:vertAlign w:val="superscript"/>
          <w:rtl/>
          <w:lang w:val="en-GB" w:eastAsia="en-US"/>
        </w:rPr>
        <w:t>(</w:t>
      </w:r>
      <w:r w:rsidRPr="00DB59CC">
        <w:rPr>
          <w:bCs/>
          <w:sz w:val="36"/>
          <w:szCs w:val="32"/>
          <w:vertAlign w:val="superscript"/>
          <w:rtl/>
          <w:lang w:val="en-GB" w:eastAsia="en-US"/>
        </w:rPr>
        <w:footnoteReference w:id="106"/>
      </w:r>
      <w:r w:rsidRPr="00DB59CC">
        <w:rPr>
          <w:bCs/>
          <w:sz w:val="36"/>
          <w:szCs w:val="32"/>
          <w:vertAlign w:val="superscript"/>
          <w:rtl/>
          <w:lang w:val="en-GB" w:eastAsia="en-US"/>
        </w:rPr>
        <w:t>)</w:t>
      </w:r>
    </w:p>
    <w:p w:rsidR="00EB5FFB" w:rsidRPr="00EB5FFB" w:rsidRDefault="00EB5FFB" w:rsidP="009A68A5">
      <w:pPr>
        <w:widowControl/>
        <w:ind w:firstLine="567"/>
        <w:jc w:val="both"/>
        <w:rPr>
          <w:rFonts w:cs="Times New Roman"/>
          <w:bCs/>
          <w:sz w:val="20"/>
          <w:szCs w:val="36"/>
          <w:rtl/>
          <w:lang w:eastAsia="en-US"/>
        </w:rPr>
      </w:pPr>
      <w:r w:rsidRPr="00EB5FFB">
        <w:rPr>
          <w:rFonts w:cs="Times New Roman"/>
          <w:bCs/>
          <w:noProof/>
          <w:sz w:val="20"/>
          <w:szCs w:val="36"/>
          <w:rtl/>
          <w:lang w:eastAsia="en-US"/>
        </w:rPr>
        <w:lastRenderedPageBreak/>
        <mc:AlternateContent>
          <mc:Choice Requires="wps">
            <w:drawing>
              <wp:anchor distT="0" distB="0" distL="114300" distR="114300" simplePos="0" relativeHeight="251661312" behindDoc="0" locked="0" layoutInCell="1" allowOverlap="1">
                <wp:simplePos x="0" y="0"/>
                <wp:positionH relativeFrom="column">
                  <wp:posOffset>-101600</wp:posOffset>
                </wp:positionH>
                <wp:positionV relativeFrom="paragraph">
                  <wp:posOffset>-1122045</wp:posOffset>
                </wp:positionV>
                <wp:extent cx="5537835" cy="796290"/>
                <wp:effectExtent l="3175" t="1905" r="2540" b="1905"/>
                <wp:wrapNone/>
                <wp:docPr id="111" name="مستطيل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8B01F" id="مستطيل 111" o:spid="_x0000_s1026" style="position:absolute;margin-left:-8pt;margin-top:-88.35pt;width:436.0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" stroked="f"/>
            </w:pict>
          </mc:Fallback>
        </mc:AlternateContent>
      </w:r>
    </w:p>
    <w:p w:rsidR="00EB5FFB" w:rsidRPr="00EB5FFB" w:rsidRDefault="00EB5FFB" w:rsidP="009A68A5">
      <w:pPr>
        <w:widowControl/>
        <w:ind w:firstLine="567"/>
        <w:jc w:val="both"/>
        <w:rPr>
          <w:rFonts w:cs="Times New Roman"/>
          <w:bCs/>
          <w:sz w:val="20"/>
          <w:szCs w:val="36"/>
          <w:rtl/>
          <w:lang w:eastAsia="en-US" w:bidi="ar-AE"/>
        </w:rPr>
      </w:pPr>
    </w:p>
    <w:p w:rsidR="00EB5FFB" w:rsidRPr="00EB5FFB" w:rsidRDefault="00EB5FFB" w:rsidP="009A68A5">
      <w:pPr>
        <w:widowControl/>
        <w:ind w:firstLine="567"/>
        <w:jc w:val="both"/>
        <w:rPr>
          <w:rFonts w:cs="Times New Roman"/>
          <w:bCs/>
          <w:sz w:val="20"/>
          <w:szCs w:val="36"/>
          <w:rtl/>
          <w:lang w:eastAsia="en-US" w:bidi="ar-AE"/>
        </w:rPr>
      </w:pPr>
    </w:p>
    <w:p w:rsidR="00EB5FFB" w:rsidRPr="00EB5FFB" w:rsidRDefault="00EB5FFB" w:rsidP="009A68A5">
      <w:pPr>
        <w:widowControl/>
        <w:ind w:firstLine="567"/>
        <w:jc w:val="both"/>
        <w:rPr>
          <w:rFonts w:cs="Times New Roman"/>
          <w:bCs/>
          <w:sz w:val="20"/>
          <w:szCs w:val="36"/>
          <w:rtl/>
          <w:lang w:eastAsia="en-US"/>
        </w:rPr>
      </w:pPr>
    </w:p>
    <w:p w:rsidR="00EB5FFB" w:rsidRPr="00EB5FFB" w:rsidRDefault="00EB5FFB" w:rsidP="009A68A5">
      <w:pPr>
        <w:widowControl/>
        <w:ind w:firstLine="567"/>
        <w:jc w:val="both"/>
        <w:rPr>
          <w:rFonts w:cs="Times New Roman"/>
          <w:bCs/>
          <w:sz w:val="20"/>
          <w:szCs w:val="36"/>
          <w:rtl/>
          <w:lang w:eastAsia="en-US" w:bidi="ar-AE"/>
        </w:rPr>
      </w:pPr>
    </w:p>
    <w:p w:rsidR="00EB5FFB" w:rsidRPr="00EB5FFB" w:rsidRDefault="00EB5FFB" w:rsidP="009A68A5">
      <w:pPr>
        <w:widowControl/>
        <w:ind w:firstLine="567"/>
        <w:jc w:val="both"/>
        <w:rPr>
          <w:rFonts w:cs="Times New Roman"/>
          <w:bCs/>
          <w:sz w:val="20"/>
          <w:szCs w:val="36"/>
          <w:rtl/>
          <w:lang w:eastAsia="en-US" w:bidi="ar-AE"/>
        </w:rPr>
      </w:pPr>
    </w:p>
    <w:p w:rsidR="00EB5FFB" w:rsidRPr="00EB5FFB" w:rsidRDefault="00EB5FFB" w:rsidP="009A68A5">
      <w:pPr>
        <w:widowControl/>
        <w:ind w:firstLine="567"/>
        <w:jc w:val="both"/>
        <w:rPr>
          <w:rFonts w:cs="Times New Roman"/>
          <w:bCs/>
          <w:sz w:val="20"/>
          <w:szCs w:val="36"/>
          <w:rtl/>
          <w:lang w:eastAsia="en-US" w:bidi="ar-AE"/>
        </w:rPr>
      </w:pPr>
    </w:p>
    <w:p w:rsidR="00EB5FFB" w:rsidRPr="00EB5FFB" w:rsidRDefault="00EB5FFB" w:rsidP="009A68A5">
      <w:pPr>
        <w:widowControl/>
        <w:ind w:firstLine="567"/>
        <w:jc w:val="both"/>
        <w:rPr>
          <w:rFonts w:cs="Monotype Koufi"/>
          <w:bCs/>
          <w:sz w:val="64"/>
          <w:szCs w:val="64"/>
          <w:rtl/>
          <w:lang w:eastAsia="en-US"/>
        </w:rPr>
      </w:pPr>
      <w:r w:rsidRPr="00EB5FFB">
        <w:rPr>
          <w:rFonts w:cs="Monotype Koufi" w:hint="cs"/>
          <w:bCs/>
          <w:sz w:val="64"/>
          <w:szCs w:val="64"/>
          <w:rtl/>
          <w:lang w:eastAsia="en-US"/>
        </w:rPr>
        <w:t>الفصل الثاني</w:t>
      </w:r>
      <w:r w:rsidR="0048366D">
        <w:rPr>
          <w:rFonts w:cs="Monotype Koufi" w:hint="cs"/>
          <w:bCs/>
          <w:sz w:val="64"/>
          <w:szCs w:val="64"/>
          <w:rtl/>
          <w:lang w:eastAsia="en-US"/>
        </w:rPr>
        <w:t>:</w:t>
      </w:r>
      <w:r w:rsidRPr="00EB5FFB">
        <w:rPr>
          <w:rFonts w:cs="Monotype Koufi" w:hint="cs"/>
          <w:bCs/>
          <w:sz w:val="64"/>
          <w:szCs w:val="64"/>
          <w:rtl/>
          <w:lang w:eastAsia="en-US"/>
        </w:rPr>
        <w:t xml:space="preserve"> الكتاب</w:t>
      </w:r>
      <w:r w:rsidR="0048366D">
        <w:rPr>
          <w:rFonts w:cs="Monotype Koufi" w:hint="cs"/>
          <w:bCs/>
          <w:sz w:val="64"/>
          <w:szCs w:val="64"/>
          <w:rtl/>
          <w:lang w:eastAsia="en-US"/>
        </w:rPr>
        <w:t>:</w:t>
      </w:r>
    </w:p>
    <w:p w:rsidR="00EB5FFB" w:rsidRPr="00EB5FFB" w:rsidRDefault="00EB5FFB" w:rsidP="009A68A5">
      <w:pPr>
        <w:widowControl/>
        <w:ind w:left="360" w:firstLine="567"/>
        <w:jc w:val="both"/>
        <w:rPr>
          <w:sz w:val="36"/>
          <w:szCs w:val="36"/>
          <w:rtl/>
          <w:lang w:val="en-GB" w:eastAsia="en-US"/>
        </w:rPr>
      </w:pPr>
    </w:p>
    <w:p w:rsidR="00EB5FFB" w:rsidRPr="00EB5FFB" w:rsidRDefault="00EB5FFB" w:rsidP="009A68A5">
      <w:pPr>
        <w:widowControl/>
        <w:ind w:left="360" w:firstLine="205"/>
        <w:jc w:val="both"/>
        <w:rPr>
          <w:b/>
          <w:bCs/>
          <w:sz w:val="36"/>
          <w:szCs w:val="36"/>
          <w:rtl/>
          <w:lang w:val="en-GB" w:eastAsia="en-US"/>
        </w:rPr>
      </w:pPr>
      <w:r w:rsidRPr="00EB5FFB">
        <w:rPr>
          <w:rFonts w:hint="cs"/>
          <w:b/>
          <w:bCs/>
          <w:sz w:val="36"/>
          <w:szCs w:val="36"/>
          <w:rtl/>
          <w:lang w:val="en-GB" w:eastAsia="en-US"/>
        </w:rPr>
        <w:t>ويتضمن المباحث الآتية</w:t>
      </w:r>
      <w:r w:rsidR="0048366D">
        <w:rPr>
          <w:rFonts w:hint="cs"/>
          <w:b/>
          <w:bCs/>
          <w:sz w:val="36"/>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المبحث الأول</w:t>
      </w:r>
      <w:r w:rsidRPr="00EB5FFB">
        <w:rPr>
          <w:rFonts w:hint="cs"/>
          <w:sz w:val="20"/>
          <w:szCs w:val="36"/>
          <w:rtl/>
          <w:lang w:val="en-GB" w:eastAsia="en-US"/>
        </w:rPr>
        <w:tab/>
        <w:t>: الغرض من تأليف الكتاب.</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المبحث الثاني</w:t>
      </w:r>
      <w:r w:rsidRPr="00EB5FFB">
        <w:rPr>
          <w:rFonts w:hint="cs"/>
          <w:sz w:val="20"/>
          <w:szCs w:val="36"/>
          <w:rtl/>
          <w:lang w:val="en-GB" w:eastAsia="en-US"/>
        </w:rPr>
        <w:tab/>
        <w:t>: موضوعات الكتاب.</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المبحث الثالث</w:t>
      </w:r>
      <w:r w:rsidRPr="00EB5FFB">
        <w:rPr>
          <w:rFonts w:hint="cs"/>
          <w:b/>
          <w:bCs/>
          <w:sz w:val="20"/>
          <w:szCs w:val="36"/>
          <w:rtl/>
          <w:lang w:val="en-GB" w:eastAsia="en-US"/>
        </w:rPr>
        <w:tab/>
      </w:r>
      <w:r w:rsidRPr="00EB5FFB">
        <w:rPr>
          <w:rFonts w:hint="cs"/>
          <w:sz w:val="20"/>
          <w:szCs w:val="36"/>
          <w:rtl/>
          <w:lang w:val="en-GB" w:eastAsia="en-US"/>
        </w:rPr>
        <w:t>: منهج المؤلف في كتابه.</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المبحث الرابع</w:t>
      </w:r>
      <w:r w:rsidRPr="00EB5FFB">
        <w:rPr>
          <w:rFonts w:hint="cs"/>
          <w:sz w:val="20"/>
          <w:szCs w:val="36"/>
          <w:rtl/>
          <w:lang w:val="en-GB" w:eastAsia="en-US"/>
        </w:rPr>
        <w:tab/>
        <w:t>: مصادره، وطريقة استفادته منها.</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المبحث الخامس</w:t>
      </w:r>
      <w:r w:rsidRPr="00EB5FFB">
        <w:rPr>
          <w:rFonts w:hint="cs"/>
          <w:sz w:val="20"/>
          <w:szCs w:val="36"/>
          <w:rtl/>
          <w:lang w:val="en-GB" w:eastAsia="en-US"/>
        </w:rPr>
        <w:tab/>
        <w:t>: من استفاد منه.</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المبحث السادس</w:t>
      </w:r>
      <w:r w:rsidRPr="00EB5FFB">
        <w:rPr>
          <w:rFonts w:hint="cs"/>
          <w:sz w:val="20"/>
          <w:szCs w:val="36"/>
          <w:rtl/>
          <w:lang w:val="en-GB" w:eastAsia="en-US"/>
        </w:rPr>
        <w:tab/>
        <w:t>: تقويم الكتاب.</w:t>
      </w:r>
    </w:p>
    <w:p w:rsidR="00EB5FFB" w:rsidRPr="00EB5FFB" w:rsidRDefault="00EB5FFB" w:rsidP="009A68A5">
      <w:pPr>
        <w:widowControl/>
        <w:ind w:firstLine="567"/>
        <w:jc w:val="both"/>
        <w:rPr>
          <w:rFonts w:cs="Times New Roman"/>
          <w:bCs/>
          <w:sz w:val="20"/>
          <w:szCs w:val="36"/>
          <w:rtl/>
          <w:lang w:eastAsia="en-US"/>
        </w:rPr>
      </w:pPr>
    </w:p>
    <w:p w:rsidR="00EB5FFB" w:rsidRPr="00EB5FFB" w:rsidRDefault="00EB5FFB" w:rsidP="009A68A5">
      <w:pPr>
        <w:widowControl/>
        <w:ind w:firstLine="567"/>
        <w:jc w:val="both"/>
        <w:rPr>
          <w:rFonts w:cs="Monotype Koufi"/>
          <w:bCs/>
          <w:sz w:val="20"/>
          <w:szCs w:val="36"/>
          <w:rtl/>
          <w:lang w:eastAsia="en-US" w:bidi="ar-AE"/>
        </w:rPr>
      </w:pPr>
      <w:r w:rsidRPr="00EB5FFB">
        <w:rPr>
          <w:rFonts w:cs="Times New Roman"/>
          <w:bCs/>
          <w:sz w:val="20"/>
          <w:szCs w:val="36"/>
          <w:rtl/>
          <w:lang w:eastAsia="en-US" w:bidi="ar-AE"/>
        </w:rPr>
        <w:br w:type="page"/>
      </w:r>
      <w:r w:rsidRPr="00EB5FFB">
        <w:rPr>
          <w:rFonts w:cs="Monotype Koufi" w:hint="cs"/>
          <w:bCs/>
          <w:sz w:val="20"/>
          <w:szCs w:val="36"/>
          <w:rtl/>
          <w:lang w:eastAsia="en-US" w:bidi="ar-AE"/>
        </w:rPr>
        <w:lastRenderedPageBreak/>
        <w:t>المبحث الأول</w:t>
      </w:r>
      <w:r w:rsidR="0048366D">
        <w:rPr>
          <w:rFonts w:cs="Monotype Koufi" w:hint="cs"/>
          <w:bCs/>
          <w:sz w:val="20"/>
          <w:szCs w:val="36"/>
          <w:rtl/>
          <w:lang w:eastAsia="en-US" w:bidi="ar-AE"/>
        </w:rPr>
        <w:t>:</w:t>
      </w:r>
      <w:r w:rsidRPr="00EB5FFB">
        <w:rPr>
          <w:rFonts w:cs="Monotype Koufi" w:hint="cs"/>
          <w:bCs/>
          <w:sz w:val="20"/>
          <w:szCs w:val="36"/>
          <w:rtl/>
          <w:lang w:eastAsia="en-US" w:bidi="ar-AE"/>
        </w:rPr>
        <w:t xml:space="preserve"> الغـرض من تأليف الكتاب</w:t>
      </w:r>
      <w:r w:rsidR="0048366D">
        <w:rPr>
          <w:rFonts w:cs="Monotype Koufi" w:hint="cs"/>
          <w:bCs/>
          <w:sz w:val="20"/>
          <w:szCs w:val="36"/>
          <w:rtl/>
          <w:lang w:eastAsia="en-US" w:bidi="ar-AE"/>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eastAsia="en-US" w:bidi="ar-AE"/>
        </w:rPr>
        <w:t>ألمح المؤلف إلى الغرض الذي دفعه إلى تأليف هذا الكتاب في بداية شروعه فيه، حيث قال -بعد الديباجة-</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لمّا أُذِنتُ بالإفتاء، وأمرت بنقل المسائل؛ لتطمئن القلوب عند جواب السائل، فتصفحتُ كتبَ الأئمة المهتدين من علماء الدين</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0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فهذه العبارة تدل على أن الغرض الذي من أجله ألّف هذا الكتاب ابتداءً هو: كونه عندما أُذن له بالإفتاء أُمر بتأليف كتابٍ يجمع فيه مآخذ المسائل الفقهية، والقواعد التي ترجع إليها؛ لكي يعلِّل المسائلَ التي يُستفتَى عنها بهذه القواعد، فيحصل اطمئنان في قلوب المستفتين؛ فاستجابة لذلك الطلب كانت فكرة الكتاب، وتحقيقًا للهدف المذكور بذل المؤلف غاية جهده في إثبات دليليّة القواعد؛ وذلك بصياغتها على أنها قضايا كلية، وبيان علّة تخلّف بعض الأحكام التي قد يُتوهّم أنّها تخرُمُ كليَّةَ تلك القواعد، وتمنع اطّرادها.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وبعد انتهاء المؤلف من هذا الكتاب ظهر له غرض آخر، وهو أن يَلقَى كتابُه قبولاً عند مفتي الدولة العثمانية - في ذلك الوقت- أبي سعيد مـحمد بن أسـعد أفـنـدي (ت1072هـ).</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وقد صرّح بذلك في نهاية المقدمة، فقال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ثم سنح في خلدي بعدما انتهى الإملاء إلى باب الياء</w:t>
      </w:r>
      <w:r w:rsidR="0048366D">
        <w:rPr>
          <w:rFonts w:hint="cs"/>
          <w:sz w:val="20"/>
          <w:szCs w:val="36"/>
          <w:rtl/>
          <w:lang w:val="en-GB" w:eastAsia="en-US"/>
        </w:rPr>
        <w:t>.</w:t>
      </w:r>
      <w:r w:rsidRPr="00EB5FFB">
        <w:rPr>
          <w:rFonts w:hint="cs"/>
          <w:sz w:val="20"/>
          <w:szCs w:val="36"/>
          <w:rtl/>
          <w:lang w:val="en-GB" w:eastAsia="en-US"/>
        </w:rPr>
        <w:t>.. أنْ أعرضه إلى</w:t>
      </w:r>
      <w:r w:rsidR="0048366D">
        <w:rPr>
          <w:rFonts w:hint="cs"/>
          <w:sz w:val="20"/>
          <w:szCs w:val="36"/>
          <w:rtl/>
          <w:lang w:val="en-GB" w:eastAsia="en-US"/>
        </w:rPr>
        <w:t>.</w:t>
      </w:r>
      <w:r w:rsidRPr="00EB5FFB">
        <w:rPr>
          <w:rFonts w:hint="cs"/>
          <w:sz w:val="20"/>
          <w:szCs w:val="36"/>
          <w:rtl/>
          <w:lang w:val="en-GB" w:eastAsia="en-US"/>
        </w:rPr>
        <w:t>.. مفتي الأنام في هذه الأيام، أبو سعيد بن أسعد</w:t>
      </w:r>
      <w:r w:rsidR="0048366D">
        <w:rPr>
          <w:rFonts w:hint="cs"/>
          <w:sz w:val="20"/>
          <w:szCs w:val="36"/>
          <w:rtl/>
          <w:lang w:val="en-GB" w:eastAsia="en-US"/>
        </w:rPr>
        <w:t>.</w:t>
      </w:r>
      <w:r w:rsidRPr="00EB5FFB">
        <w:rPr>
          <w:rFonts w:hint="cs"/>
          <w:sz w:val="20"/>
          <w:szCs w:val="36"/>
          <w:rtl/>
          <w:lang w:val="en-GB" w:eastAsia="en-US"/>
        </w:rPr>
        <w:t>..، فالارتجاء من نائلكم المأمول الإجراء عليه قلم القبول، فطوبى لي إن أوتيت سؤالي، وإلا خاب ظنّي وأملي</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0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rPr>
      </w:pPr>
    </w:p>
    <w:p w:rsidR="00F70EE6" w:rsidRDefault="00F70EE6" w:rsidP="009A68A5">
      <w:pPr>
        <w:widowControl/>
        <w:bidi w:val="0"/>
        <w:spacing w:after="160" w:line="259" w:lineRule="auto"/>
        <w:ind w:firstLine="0"/>
        <w:jc w:val="both"/>
        <w:rPr>
          <w:rFonts w:cs="Monotype Koufi"/>
          <w:bCs/>
          <w:sz w:val="20"/>
          <w:szCs w:val="36"/>
          <w:rtl/>
          <w:lang w:eastAsia="en-US"/>
        </w:rPr>
      </w:pPr>
      <w:r>
        <w:rPr>
          <w:rFonts w:cs="Monotype Koufi"/>
          <w:bCs/>
          <w:sz w:val="20"/>
          <w:szCs w:val="36"/>
          <w:rtl/>
          <w:lang w:eastAsia="en-US"/>
        </w:rPr>
        <w:br w:type="page"/>
      </w:r>
    </w:p>
    <w:p w:rsidR="00EB5FFB" w:rsidRPr="00EB5FFB" w:rsidRDefault="00EB5FFB" w:rsidP="009A68A5">
      <w:pPr>
        <w:widowControl/>
        <w:ind w:firstLine="567"/>
        <w:jc w:val="both"/>
        <w:rPr>
          <w:rFonts w:cs="Monotype Koufi"/>
          <w:bCs/>
          <w:sz w:val="20"/>
          <w:szCs w:val="36"/>
          <w:rtl/>
          <w:lang w:eastAsia="en-US"/>
        </w:rPr>
      </w:pPr>
      <w:r w:rsidRPr="00EB5FFB">
        <w:rPr>
          <w:rFonts w:cs="Monotype Koufi" w:hint="cs"/>
          <w:bCs/>
          <w:sz w:val="20"/>
          <w:szCs w:val="36"/>
          <w:rtl/>
          <w:lang w:eastAsia="en-US"/>
        </w:rPr>
        <w:lastRenderedPageBreak/>
        <w:t>المبحث الثاني</w:t>
      </w:r>
      <w:r w:rsidR="0048366D">
        <w:rPr>
          <w:rFonts w:cs="Monotype Koufi" w:hint="cs"/>
          <w:bCs/>
          <w:sz w:val="20"/>
          <w:szCs w:val="36"/>
          <w:rtl/>
          <w:lang w:eastAsia="en-US"/>
        </w:rPr>
        <w:t>:</w:t>
      </w:r>
      <w:r w:rsidRPr="00EB5FFB">
        <w:rPr>
          <w:rFonts w:cs="Monotype Koufi" w:hint="cs"/>
          <w:bCs/>
          <w:sz w:val="20"/>
          <w:szCs w:val="36"/>
          <w:rtl/>
          <w:lang w:eastAsia="en-US"/>
        </w:rPr>
        <w:t xml:space="preserve"> موضوعات الكتاب</w:t>
      </w:r>
      <w:r w:rsidR="0048366D">
        <w:rPr>
          <w:rFonts w:cs="Monotype Koufi" w:hint="cs"/>
          <w:bCs/>
          <w:sz w:val="20"/>
          <w:szCs w:val="36"/>
          <w:rtl/>
          <w:lang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هذا الكتاب يُصنَّف ضمن كتب القواعد الفقهية؛ إذْ جلّ قواعدِه قواعدُ فقهية، فيكون موضوعه هو موضوع علم القواعد الفقهية.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وإذا كان </w:t>
      </w:r>
      <w:r w:rsidRPr="00EB5FFB">
        <w:rPr>
          <w:rFonts w:hint="eastAsia"/>
          <w:sz w:val="20"/>
          <w:szCs w:val="36"/>
          <w:rtl/>
          <w:lang w:val="en-GB" w:eastAsia="en-US"/>
        </w:rPr>
        <w:t>«</w:t>
      </w:r>
      <w:r w:rsidRPr="00EB5FFB">
        <w:rPr>
          <w:rFonts w:hint="cs"/>
          <w:sz w:val="20"/>
          <w:szCs w:val="36"/>
          <w:rtl/>
          <w:lang w:val="en-GB" w:eastAsia="en-US"/>
        </w:rPr>
        <w:t>موضوع كل علم</w:t>
      </w:r>
      <w:r w:rsidR="0048366D">
        <w:rPr>
          <w:rFonts w:hint="cs"/>
          <w:sz w:val="20"/>
          <w:szCs w:val="36"/>
          <w:rtl/>
          <w:lang w:val="en-GB" w:eastAsia="en-US"/>
        </w:rPr>
        <w:t>:</w:t>
      </w:r>
      <w:r w:rsidRPr="00EB5FFB">
        <w:rPr>
          <w:rFonts w:hint="cs"/>
          <w:sz w:val="20"/>
          <w:szCs w:val="36"/>
          <w:rtl/>
          <w:lang w:val="en-GB" w:eastAsia="en-US"/>
        </w:rPr>
        <w:t xml:space="preserve"> ما يبحث في ذلك العلم عن عوارضه الذّاتيّة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09"/>
      </w:r>
      <w:r w:rsidRPr="00EB5FFB">
        <w:rPr>
          <w:rFonts w:hint="cs"/>
          <w:sz w:val="20"/>
          <w:szCs w:val="36"/>
          <w:vertAlign w:val="superscript"/>
          <w:rtl/>
          <w:lang w:val="en-GB" w:eastAsia="en-US"/>
        </w:rPr>
        <w:t>)</w:t>
      </w:r>
      <w:r w:rsidRPr="00EB5FFB">
        <w:rPr>
          <w:rFonts w:hint="cs"/>
          <w:sz w:val="20"/>
          <w:szCs w:val="36"/>
          <w:rtl/>
          <w:lang w:val="en-GB" w:eastAsia="en-US"/>
        </w:rPr>
        <w:t>، فإن موضوع علم القواعد الفقهية هو</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فعل المكلّف</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0"/>
      </w:r>
      <w:r w:rsidRPr="00EB5FFB">
        <w:rPr>
          <w:rFonts w:hint="cs"/>
          <w:sz w:val="20"/>
          <w:szCs w:val="36"/>
          <w:vertAlign w:val="superscript"/>
          <w:rtl/>
          <w:lang w:val="en-GB" w:eastAsia="en-US"/>
        </w:rPr>
        <w:t>)</w:t>
      </w:r>
      <w:r w:rsidRPr="00EB5FFB">
        <w:rPr>
          <w:rFonts w:hint="cs"/>
          <w:sz w:val="20"/>
          <w:szCs w:val="36"/>
          <w:rtl/>
          <w:lang w:val="en-GB" w:eastAsia="en-US"/>
        </w:rPr>
        <w:t>، أو بعبارة أكثر شمولاً ودقّةً</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هو القضايا الفقهية الكلية، من حيث دلالتها على حكم الفروع الفقهية المتشابهة المنضبطة بها، والفروع الدّاخلة في تلك القضايا، وما استثني منها لأسباب خاصّة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bidi="ar-AE"/>
        </w:rPr>
        <w:t>هذا ما اختاره شيخنا د. يعقوب الباحسين، وقد استفاده من معنى القواعد الفقهية ومراد العلماء بالأشباه والنظائر فيها...</w:t>
      </w:r>
    </w:p>
    <w:p w:rsidR="00EB5FFB" w:rsidRPr="00EB5FFB" w:rsidRDefault="00EB5FFB" w:rsidP="009A68A5">
      <w:pPr>
        <w:widowControl/>
        <w:ind w:firstLine="567"/>
        <w:jc w:val="both"/>
        <w:rPr>
          <w:spacing w:val="-6"/>
          <w:sz w:val="20"/>
          <w:szCs w:val="36"/>
          <w:rtl/>
          <w:lang w:eastAsia="en-US" w:bidi="ar-AE"/>
        </w:rPr>
      </w:pPr>
      <w:r w:rsidRPr="00EB5FFB">
        <w:rPr>
          <w:rFonts w:hint="cs"/>
          <w:spacing w:val="-6"/>
          <w:sz w:val="20"/>
          <w:szCs w:val="36"/>
          <w:rtl/>
          <w:lang w:eastAsia="en-US" w:bidi="ar-AE"/>
        </w:rPr>
        <w:t xml:space="preserve">إلاّ أنه - حفظه الله </w:t>
      </w:r>
      <w:r w:rsidRPr="00EB5FFB">
        <w:rPr>
          <w:spacing w:val="-6"/>
          <w:sz w:val="20"/>
          <w:szCs w:val="36"/>
          <w:rtl/>
          <w:lang w:eastAsia="en-US" w:bidi="ar-AE"/>
        </w:rPr>
        <w:t>–</w:t>
      </w:r>
      <w:r w:rsidRPr="00EB5FFB">
        <w:rPr>
          <w:rFonts w:hint="cs"/>
          <w:spacing w:val="-6"/>
          <w:sz w:val="20"/>
          <w:szCs w:val="36"/>
          <w:rtl/>
          <w:lang w:eastAsia="en-US" w:bidi="ar-AE"/>
        </w:rPr>
        <w:t xml:space="preserve"> لفت النظر إلى أنّ الواقع التطبيقي (المتمثل في مؤلفات هذا العلم) لم يُلتزم فيه بهذا الموضوع، حيث وُجد أن كثيرًا من الكتب فيها تساهل في هذا الشأن، وإقحام لطائفة من الموضوعات، والفوائد التي لا ينطبق عليها المصطلح الدقيق لهذا العلم.</w:t>
      </w:r>
    </w:p>
    <w:p w:rsidR="00EB5FFB" w:rsidRPr="00EB5FFB" w:rsidRDefault="00EB5FFB" w:rsidP="009A68A5">
      <w:pPr>
        <w:widowControl/>
        <w:ind w:firstLine="567"/>
        <w:jc w:val="both"/>
        <w:rPr>
          <w:spacing w:val="6"/>
          <w:sz w:val="20"/>
          <w:szCs w:val="36"/>
          <w:rtl/>
          <w:lang w:val="en-GB" w:eastAsia="en-US"/>
        </w:rPr>
      </w:pPr>
      <w:r w:rsidRPr="00EB5FFB">
        <w:rPr>
          <w:rFonts w:hint="cs"/>
          <w:spacing w:val="6"/>
          <w:sz w:val="20"/>
          <w:szCs w:val="36"/>
          <w:rtl/>
          <w:lang w:eastAsia="en-US" w:bidi="ar-AE"/>
        </w:rPr>
        <w:t xml:space="preserve">بخلاف هذا الكتاب، فإن من يستقرئ قواعده ومباحثه يجد أنّها لا تكاد تخرج عن الموضوع المذكور، وإذا خرجت عنه ظاهرًا فإنّما يكون ذلك </w:t>
      </w:r>
      <w:r w:rsidRPr="00EB5FFB">
        <w:rPr>
          <w:rFonts w:hint="eastAsia"/>
          <w:spacing w:val="6"/>
          <w:sz w:val="20"/>
          <w:szCs w:val="36"/>
          <w:rtl/>
          <w:lang w:val="en-GB" w:eastAsia="en-US"/>
        </w:rPr>
        <w:t>«</w:t>
      </w:r>
      <w:r w:rsidRPr="00EB5FFB">
        <w:rPr>
          <w:rFonts w:hint="cs"/>
          <w:spacing w:val="6"/>
          <w:sz w:val="20"/>
          <w:szCs w:val="36"/>
          <w:rtl/>
          <w:lang w:val="en-GB" w:eastAsia="en-US"/>
        </w:rPr>
        <w:t>بذكر بعض القواعد التي هي أصولية في الواقع، وبَحَثَهَا علماءُ الأصول في كتبهم، ولكن لكثرة استعمال الفقهاء لها في كتب الفقه، والانتفاع بها في تخريج بعض الأحكام، وجمع الفروع تحتها، أو لِما تحمل من سمة القاعدة الفقهية، باعتبار أن موضوعها يصلح أن يكون فعل المكلف</w:t>
      </w:r>
      <w:r w:rsidR="0048366D">
        <w:rPr>
          <w:rFonts w:hint="cs"/>
          <w:spacing w:val="6"/>
          <w:sz w:val="20"/>
          <w:szCs w:val="36"/>
          <w:rtl/>
          <w:lang w:val="en-GB" w:eastAsia="en-US"/>
        </w:rPr>
        <w:t>:</w:t>
      </w:r>
      <w:r w:rsidRPr="00EB5FFB">
        <w:rPr>
          <w:rFonts w:hint="cs"/>
          <w:spacing w:val="6"/>
          <w:sz w:val="20"/>
          <w:szCs w:val="36"/>
          <w:rtl/>
          <w:lang w:val="en-GB" w:eastAsia="en-US"/>
        </w:rPr>
        <w:t xml:space="preserve"> عُرفت باسم </w:t>
      </w:r>
      <w:r w:rsidRPr="00EB5FFB">
        <w:rPr>
          <w:rFonts w:hint="cs"/>
          <w:spacing w:val="6"/>
          <w:sz w:val="20"/>
          <w:szCs w:val="36"/>
          <w:rtl/>
          <w:lang w:val="en-GB" w:eastAsia="en-US"/>
        </w:rPr>
        <w:lastRenderedPageBreak/>
        <w:t>القواعد الفقهية وجرت مجراها</w:t>
      </w:r>
      <w:r w:rsidRPr="00EB5FFB">
        <w:rPr>
          <w:rFonts w:hint="eastAsia"/>
          <w:spacing w:val="6"/>
          <w:sz w:val="20"/>
          <w:szCs w:val="36"/>
          <w:rtl/>
          <w:lang w:val="en-GB" w:eastAsia="en-US"/>
        </w:rPr>
        <w:t>»</w:t>
      </w:r>
      <w:r w:rsidRPr="00EB5FFB">
        <w:rPr>
          <w:rFonts w:hint="cs"/>
          <w:spacing w:val="6"/>
          <w:sz w:val="20"/>
          <w:szCs w:val="36"/>
          <w:vertAlign w:val="superscript"/>
          <w:rtl/>
          <w:lang w:val="en-GB" w:eastAsia="en-US"/>
        </w:rPr>
        <w:t>(</w:t>
      </w:r>
      <w:r w:rsidRPr="00EB5FFB">
        <w:rPr>
          <w:bCs/>
          <w:spacing w:val="6"/>
          <w:sz w:val="20"/>
          <w:szCs w:val="32"/>
          <w:vertAlign w:val="superscript"/>
          <w:rtl/>
          <w:lang w:val="en-GB" w:eastAsia="en-US"/>
        </w:rPr>
        <w:footnoteReference w:id="112"/>
      </w:r>
      <w:r w:rsidRPr="00EB5FFB">
        <w:rPr>
          <w:rFonts w:hint="cs"/>
          <w:spacing w:val="6"/>
          <w:sz w:val="20"/>
          <w:szCs w:val="36"/>
          <w:vertAlign w:val="superscript"/>
          <w:rtl/>
          <w:lang w:val="en-GB" w:eastAsia="en-US"/>
        </w:rPr>
        <w:t>)</w:t>
      </w:r>
      <w:r w:rsidRPr="00EB5FFB">
        <w:rPr>
          <w:rFonts w:hint="cs"/>
          <w:spacing w:val="6"/>
          <w:sz w:val="20"/>
          <w:szCs w:val="36"/>
          <w:rtl/>
          <w:lang w:val="en-GB" w:eastAsia="en-US"/>
        </w:rPr>
        <w:t>، فهي وإن كانت أصولية في الظاهر إلا أنها يمكن أن تـكون فـقهية من جهة أخـرى، فـتكون داخلة تحت موضوع القواعد الفقهية.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ولو عدتَ إلى الموضوع المذكور للقواعد الفقهية، فإن الجانب الأخير منه (وهو بيان ما استثني من القواعد لأسباب خاصة) يخدم الغرض من تأليف هذا الكتاب</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3"/>
      </w:r>
      <w:r w:rsidRPr="00EB5FFB">
        <w:rPr>
          <w:rFonts w:hint="cs"/>
          <w:sz w:val="20"/>
          <w:szCs w:val="36"/>
          <w:vertAlign w:val="superscript"/>
          <w:rtl/>
          <w:lang w:val="en-GB" w:eastAsia="en-US"/>
        </w:rPr>
        <w:t>)</w:t>
      </w:r>
      <w:r w:rsidRPr="00EB5FFB">
        <w:rPr>
          <w:rFonts w:hint="cs"/>
          <w:sz w:val="20"/>
          <w:szCs w:val="36"/>
          <w:rtl/>
          <w:lang w:val="en-GB" w:eastAsia="en-US"/>
        </w:rPr>
        <w:t>؛ من حيث إنّ بيان علّة تخلّف بـعض الأحكام عن القاعدة يُبقي القاعدة كلّية مطّردة، تصلح أن تكون أدلّة للأحكام.</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وبما أن هذا الجانب له هذه المزية اعتنى به المؤلف عناية فائقة، وليس من المبالغة القول بأنه يكاد يكون هو الدائرة التي يتحرّك فيها هذا الكتاب؛ إذ إن الكتاب بمجموعه يشكّل دراسة للمسائل التي قيل إنها مستثناة من القواعد، وبيانٌ لكونها لم تدخل تحت القاعدة أصلاً؛ لتخلّف شرط أو وجود مانع.</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وتتجلى هذه الأمور - إن شاء الله </w:t>
      </w:r>
      <w:r w:rsidRPr="00EB5FFB">
        <w:rPr>
          <w:sz w:val="20"/>
          <w:szCs w:val="36"/>
          <w:rtl/>
          <w:lang w:val="en-GB" w:eastAsia="en-US"/>
        </w:rPr>
        <w:t>–</w:t>
      </w:r>
      <w:r w:rsidRPr="00EB5FFB">
        <w:rPr>
          <w:rFonts w:hint="cs"/>
          <w:sz w:val="20"/>
          <w:szCs w:val="36"/>
          <w:rtl/>
          <w:lang w:val="en-GB" w:eastAsia="en-US"/>
        </w:rPr>
        <w:t xml:space="preserve"> بعرضٍ شامل ومختصر لما احتواه هذا الكتاب من قواعد وموضوعات، على النحو الآتي</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1-</w:t>
      </w:r>
      <w:r w:rsidRPr="00EB5FFB">
        <w:rPr>
          <w:rFonts w:hint="cs"/>
          <w:sz w:val="20"/>
          <w:szCs w:val="36"/>
          <w:rtl/>
          <w:lang w:val="en-GB" w:eastAsia="en-US"/>
        </w:rPr>
        <w:t xml:space="preserve"> الكتاب جميعه في القواعد، فقد قسّمه مـؤلفه - بعد المقدّمة - إلى سبعة وعشرين بابًا، تتضمّن حروف الهجاء عدا حرف (الظاء). وجعل تحت كل حرف القواعد التي تبدأ بذلك الحرف.</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bidi="ar-AE"/>
        </w:rPr>
        <w:t>2-</w:t>
      </w:r>
      <w:r w:rsidRPr="00EB5FFB">
        <w:rPr>
          <w:rFonts w:hint="cs"/>
          <w:sz w:val="20"/>
          <w:szCs w:val="36"/>
          <w:rtl/>
          <w:lang w:eastAsia="en-US" w:bidi="ar-AE"/>
        </w:rPr>
        <w:t xml:space="preserve"> تضمّنت </w:t>
      </w:r>
      <w:r w:rsidRPr="00EB5FFB">
        <w:rPr>
          <w:rFonts w:hint="cs"/>
          <w:b/>
          <w:bCs/>
          <w:sz w:val="20"/>
          <w:szCs w:val="36"/>
          <w:rtl/>
          <w:lang w:eastAsia="en-US" w:bidi="ar-AE"/>
        </w:rPr>
        <w:t>المقدمة</w:t>
      </w:r>
      <w:r w:rsidRPr="00EB5FFB">
        <w:rPr>
          <w:rFonts w:hint="cs"/>
          <w:sz w:val="20"/>
          <w:szCs w:val="36"/>
          <w:rtl/>
          <w:lang w:eastAsia="en-US" w:bidi="ar-AE"/>
        </w:rPr>
        <w:t xml:space="preserve"> ما يأتي</w:t>
      </w:r>
      <w:r w:rsidR="0048366D">
        <w:rPr>
          <w:rFonts w:hint="cs"/>
          <w:sz w:val="20"/>
          <w:szCs w:val="36"/>
          <w:rtl/>
          <w:lang w:eastAsia="en-US" w:bidi="ar-AE"/>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bidi="ar-AE"/>
        </w:rPr>
        <w:t>أ-</w:t>
      </w:r>
      <w:r w:rsidRPr="00EB5FFB">
        <w:rPr>
          <w:rFonts w:hint="cs"/>
          <w:sz w:val="20"/>
          <w:szCs w:val="36"/>
          <w:rtl/>
          <w:lang w:eastAsia="en-US" w:bidi="ar-AE"/>
        </w:rPr>
        <w:t xml:space="preserve"> الخطبة.</w:t>
      </w:r>
    </w:p>
    <w:p w:rsidR="00EB5FFB" w:rsidRPr="00EB5FFB" w:rsidRDefault="00EB5FFB" w:rsidP="009A68A5">
      <w:pPr>
        <w:widowControl/>
        <w:ind w:firstLine="567"/>
        <w:jc w:val="both"/>
        <w:rPr>
          <w:sz w:val="20"/>
          <w:szCs w:val="36"/>
          <w:rtl/>
          <w:lang w:eastAsia="en-US" w:bidi="ar-AE"/>
        </w:rPr>
      </w:pPr>
      <w:r w:rsidRPr="00EB5FFB">
        <w:rPr>
          <w:rFonts w:hint="cs"/>
          <w:b/>
          <w:bCs/>
          <w:sz w:val="20"/>
          <w:szCs w:val="36"/>
          <w:rtl/>
          <w:lang w:eastAsia="en-US" w:bidi="ar-AE"/>
        </w:rPr>
        <w:t>ب-</w:t>
      </w:r>
      <w:r w:rsidRPr="00EB5FFB">
        <w:rPr>
          <w:rFonts w:hint="cs"/>
          <w:sz w:val="20"/>
          <w:szCs w:val="36"/>
          <w:rtl/>
          <w:lang w:eastAsia="en-US" w:bidi="ar-AE"/>
        </w:rPr>
        <w:t xml:space="preserve"> اسم المؤلف واسم الكتاب.</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eastAsia="en-US" w:bidi="ar-AE"/>
        </w:rPr>
        <w:t>جـ-</w:t>
      </w:r>
      <w:r w:rsidRPr="00EB5FFB">
        <w:rPr>
          <w:rFonts w:hint="cs"/>
          <w:sz w:val="20"/>
          <w:szCs w:val="36"/>
          <w:rtl/>
          <w:lang w:eastAsia="en-US" w:bidi="ar-AE"/>
        </w:rPr>
        <w:t xml:space="preserve"> الغرض من التأليف، وهو </w:t>
      </w:r>
      <w:r w:rsidRPr="00EB5FFB">
        <w:rPr>
          <w:rFonts w:hint="eastAsia"/>
          <w:sz w:val="20"/>
          <w:szCs w:val="36"/>
          <w:rtl/>
          <w:lang w:val="en-GB" w:eastAsia="en-US"/>
        </w:rPr>
        <w:t>كونه</w:t>
      </w:r>
      <w:r w:rsidRPr="00EB5FFB">
        <w:rPr>
          <w:sz w:val="20"/>
          <w:szCs w:val="36"/>
          <w:rtl/>
          <w:lang w:val="en-GB" w:eastAsia="en-US"/>
        </w:rPr>
        <w:t xml:space="preserve"> عندما أُذن له بالإفتاء أُمر بتأليف كتابٍ </w:t>
      </w:r>
      <w:r w:rsidRPr="00EB5FFB">
        <w:rPr>
          <w:rFonts w:hint="cs"/>
          <w:sz w:val="20"/>
          <w:szCs w:val="36"/>
          <w:rtl/>
          <w:lang w:val="en-GB" w:eastAsia="en-US"/>
        </w:rPr>
        <w:t>ي</w:t>
      </w:r>
      <w:r w:rsidRPr="00EB5FFB">
        <w:rPr>
          <w:sz w:val="20"/>
          <w:szCs w:val="36"/>
          <w:rtl/>
          <w:lang w:val="en-GB" w:eastAsia="en-US"/>
        </w:rPr>
        <w:t xml:space="preserve">جمع فيه </w:t>
      </w:r>
      <w:r w:rsidRPr="00EB5FFB">
        <w:rPr>
          <w:rFonts w:hint="eastAsia"/>
          <w:sz w:val="20"/>
          <w:szCs w:val="36"/>
          <w:rtl/>
          <w:lang w:val="en-GB" w:eastAsia="en-US"/>
        </w:rPr>
        <w:t>مآخذ</w:t>
      </w:r>
      <w:r w:rsidRPr="00EB5FFB">
        <w:rPr>
          <w:sz w:val="20"/>
          <w:szCs w:val="36"/>
          <w:rtl/>
          <w:lang w:val="en-GB" w:eastAsia="en-US"/>
        </w:rPr>
        <w:t xml:space="preserve"> المسائل الفقهية، والقواعد التي ترجع إليها؛ لكي يعلِّل المسائلَ التي </w:t>
      </w:r>
      <w:r w:rsidRPr="00EB5FFB">
        <w:rPr>
          <w:rFonts w:hint="eastAsia"/>
          <w:sz w:val="20"/>
          <w:szCs w:val="36"/>
          <w:rtl/>
          <w:lang w:val="en-GB" w:eastAsia="en-US"/>
        </w:rPr>
        <w:t>يُستفتَى</w:t>
      </w:r>
      <w:r w:rsidRPr="00EB5FFB">
        <w:rPr>
          <w:sz w:val="20"/>
          <w:szCs w:val="36"/>
          <w:rtl/>
          <w:lang w:val="en-GB" w:eastAsia="en-US"/>
        </w:rPr>
        <w:t xml:space="preserve"> عنها بهذه القواعد، فيحصل اطمئنان في قلوب المستفتين؛ فاستجابة لذلك </w:t>
      </w:r>
      <w:r w:rsidRPr="00EB5FFB">
        <w:rPr>
          <w:rFonts w:hint="eastAsia"/>
          <w:sz w:val="20"/>
          <w:szCs w:val="36"/>
          <w:rtl/>
          <w:lang w:val="en-GB" w:eastAsia="en-US"/>
        </w:rPr>
        <w:t>الطلب</w:t>
      </w:r>
      <w:r w:rsidRPr="00EB5FFB">
        <w:rPr>
          <w:sz w:val="20"/>
          <w:szCs w:val="36"/>
          <w:rtl/>
          <w:lang w:val="en-GB" w:eastAsia="en-US"/>
        </w:rPr>
        <w:t xml:space="preserve"> كانت فكرة الكتاب، وتحقيقًا</w:t>
      </w:r>
      <w:r w:rsidRPr="00EB5FFB">
        <w:rPr>
          <w:rFonts w:hint="cs"/>
          <w:sz w:val="20"/>
          <w:szCs w:val="36"/>
          <w:rtl/>
          <w:lang w:val="en-GB" w:eastAsia="en-US"/>
        </w:rPr>
        <w:t xml:space="preserve"> لهذا الغرض كانت مادّة هذا الكتاب.</w:t>
      </w:r>
    </w:p>
    <w:p w:rsidR="00EB5FFB" w:rsidRPr="00EB5FFB" w:rsidRDefault="00EB5FFB" w:rsidP="009A68A5">
      <w:pPr>
        <w:widowControl/>
        <w:ind w:firstLine="567"/>
        <w:jc w:val="both"/>
        <w:rPr>
          <w:sz w:val="20"/>
          <w:szCs w:val="36"/>
          <w:rtl/>
          <w:lang w:eastAsia="en-US" w:bidi="ar-AE"/>
        </w:rPr>
      </w:pPr>
      <w:r w:rsidRPr="00EB5FFB">
        <w:rPr>
          <w:rFonts w:hint="cs"/>
          <w:b/>
          <w:bCs/>
          <w:sz w:val="20"/>
          <w:szCs w:val="36"/>
          <w:rtl/>
          <w:lang w:eastAsia="en-US"/>
        </w:rPr>
        <w:lastRenderedPageBreak/>
        <w:t>د</w:t>
      </w:r>
      <w:r w:rsidRPr="00EB5FFB">
        <w:rPr>
          <w:rFonts w:hint="cs"/>
          <w:sz w:val="20"/>
          <w:szCs w:val="36"/>
          <w:rtl/>
          <w:lang w:eastAsia="en-US"/>
        </w:rPr>
        <w:t>-</w:t>
      </w:r>
      <w:r w:rsidRPr="00EB5FFB">
        <w:rPr>
          <w:rFonts w:hint="cs"/>
          <w:sz w:val="20"/>
          <w:szCs w:val="36"/>
          <w:rtl/>
          <w:lang w:eastAsia="en-US" w:bidi="ar-AE"/>
        </w:rPr>
        <w:t xml:space="preserve"> منهجه في التأليف، ويتلخّص في كونه انتقى من القواعد ما يصلح أن يكون دليلاً للأحكام، ورتبها على حروف الهجاء، واعتنى ببيان سبب تخلّف بعض الأحكام عن القواعد، إما بالتصريح بالسبب، أو الإشارة إليه.</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bidi="ar-AE"/>
        </w:rPr>
        <w:t>هـ</w:t>
      </w:r>
      <w:r w:rsidRPr="00EB5FFB">
        <w:rPr>
          <w:rFonts w:hint="cs"/>
          <w:sz w:val="20"/>
          <w:szCs w:val="36"/>
          <w:rtl/>
          <w:lang w:eastAsia="en-US" w:bidi="ar-AE"/>
        </w:rPr>
        <w:t>- كما تضمنت</w:t>
      </w:r>
      <w:r w:rsidR="0048366D">
        <w:rPr>
          <w:rFonts w:hint="cs"/>
          <w:sz w:val="20"/>
          <w:szCs w:val="36"/>
          <w:rtl/>
          <w:lang w:eastAsia="en-US" w:bidi="ar-AE"/>
        </w:rPr>
        <w:t>:</w:t>
      </w:r>
      <w:r w:rsidRPr="00EB5FFB">
        <w:rPr>
          <w:rFonts w:hint="cs"/>
          <w:sz w:val="20"/>
          <w:szCs w:val="36"/>
          <w:rtl/>
          <w:lang w:eastAsia="en-US" w:bidi="ar-AE"/>
        </w:rPr>
        <w:t xml:space="preserve"> أنه بعد انتهائه من الكتاب ظهر له أن يعرضه على مفتي الدولة العثمانية  -في ذلك الوقت- أبي سعيد محمد بن أسعد أفندي (ت1072هـ)؛ لعلّ الكتاب يلقى قبولاً منه.</w:t>
      </w:r>
    </w:p>
    <w:p w:rsidR="00EB5FFB" w:rsidRPr="00EB5FFB" w:rsidRDefault="00EB5FFB" w:rsidP="009A68A5">
      <w:pPr>
        <w:widowControl/>
        <w:ind w:firstLine="567"/>
        <w:jc w:val="both"/>
        <w:rPr>
          <w:sz w:val="20"/>
          <w:szCs w:val="36"/>
          <w:rtl/>
          <w:lang w:eastAsia="en-US" w:bidi="ar-AE"/>
        </w:rPr>
      </w:pPr>
      <w:r w:rsidRPr="00EB5FFB">
        <w:rPr>
          <w:rFonts w:hint="cs"/>
          <w:b/>
          <w:bCs/>
          <w:sz w:val="20"/>
          <w:szCs w:val="36"/>
          <w:rtl/>
          <w:lang w:eastAsia="en-US" w:bidi="ar-AE"/>
        </w:rPr>
        <w:t>3</w:t>
      </w:r>
      <w:r w:rsidRPr="00EB5FFB">
        <w:rPr>
          <w:rFonts w:hint="cs"/>
          <w:sz w:val="20"/>
          <w:szCs w:val="36"/>
          <w:rtl/>
          <w:lang w:eastAsia="en-US" w:bidi="ar-AE"/>
        </w:rPr>
        <w:t>- ثم أورد بعد ذلك سبعة وعشرين بابًا، بيانها على النحو الآتي</w:t>
      </w:r>
      <w:r w:rsidR="0048366D">
        <w:rPr>
          <w:rFonts w:hint="cs"/>
          <w:sz w:val="20"/>
          <w:szCs w:val="36"/>
          <w:rtl/>
          <w:lang w:eastAsia="en-US" w:bidi="ar-AE"/>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bidi="ar-AE"/>
        </w:rPr>
        <w:t>باب الألف</w:t>
      </w:r>
      <w:r w:rsidR="0048366D">
        <w:rPr>
          <w:rFonts w:hint="cs"/>
          <w:b/>
          <w:bCs/>
          <w:sz w:val="20"/>
          <w:szCs w:val="36"/>
          <w:rtl/>
          <w:lang w:eastAsia="en-US" w:bidi="ar-AE"/>
        </w:rPr>
        <w:t>:</w:t>
      </w:r>
    </w:p>
    <w:p w:rsidR="00EB5FFB" w:rsidRPr="00EB5FFB" w:rsidRDefault="00EB5FFB" w:rsidP="009A68A5">
      <w:pPr>
        <w:widowControl/>
        <w:ind w:firstLine="567"/>
        <w:jc w:val="both"/>
        <w:rPr>
          <w:spacing w:val="-6"/>
          <w:sz w:val="20"/>
          <w:szCs w:val="36"/>
          <w:rtl/>
          <w:lang w:val="en-GB" w:eastAsia="en-US"/>
        </w:rPr>
      </w:pPr>
      <w:r w:rsidRPr="00EB5FFB">
        <w:rPr>
          <w:rFonts w:hint="cs"/>
          <w:spacing w:val="-6"/>
          <w:sz w:val="20"/>
          <w:szCs w:val="36"/>
          <w:rtl/>
          <w:lang w:eastAsia="en-US" w:bidi="ar-AE"/>
        </w:rPr>
        <w:t xml:space="preserve">وهو أكبر الأبواب حجمًا؛ إذ يشكّل سدس الكتاب تقريبًا، ويتكوّن من (50) قاعدة، </w:t>
      </w:r>
      <w:r w:rsidRPr="00EB5FFB">
        <w:rPr>
          <w:rFonts w:hint="cs"/>
          <w:b/>
          <w:bCs/>
          <w:spacing w:val="-6"/>
          <w:sz w:val="20"/>
          <w:szCs w:val="36"/>
          <w:rtl/>
          <w:lang w:eastAsia="en-US" w:bidi="ar-AE"/>
        </w:rPr>
        <w:t>أولها</w:t>
      </w:r>
      <w:r w:rsidR="0048366D">
        <w:rPr>
          <w:rFonts w:hint="cs"/>
          <w:spacing w:val="-6"/>
          <w:sz w:val="20"/>
          <w:szCs w:val="36"/>
          <w:rtl/>
          <w:lang w:eastAsia="en-US" w:bidi="ar-AE"/>
        </w:rPr>
        <w:t>:</w:t>
      </w:r>
      <w:r w:rsidRPr="00EB5FFB">
        <w:rPr>
          <w:rFonts w:hint="cs"/>
          <w:spacing w:val="-6"/>
          <w:sz w:val="20"/>
          <w:szCs w:val="36"/>
          <w:rtl/>
          <w:lang w:eastAsia="en-US" w:bidi="ar-AE"/>
        </w:rPr>
        <w:t xml:space="preserve"> </w:t>
      </w:r>
      <w:r w:rsidRPr="00EB5FFB">
        <w:rPr>
          <w:rFonts w:hint="eastAsia"/>
          <w:spacing w:val="-6"/>
          <w:sz w:val="20"/>
          <w:szCs w:val="36"/>
          <w:rtl/>
          <w:lang w:val="en-GB" w:eastAsia="en-US"/>
        </w:rPr>
        <w:t>«</w:t>
      </w:r>
      <w:r w:rsidRPr="00EB5FFB">
        <w:rPr>
          <w:rFonts w:hint="cs"/>
          <w:spacing w:val="-6"/>
          <w:sz w:val="20"/>
          <w:szCs w:val="36"/>
          <w:rtl/>
          <w:lang w:val="en-GB" w:eastAsia="en-US"/>
        </w:rPr>
        <w:t>الآمرُ لا يَضْمَنُ بالأمرِ</w:t>
      </w:r>
      <w:r w:rsidRPr="00EB5FFB">
        <w:rPr>
          <w:rFonts w:hint="eastAsia"/>
          <w:spacing w:val="-6"/>
          <w:sz w:val="20"/>
          <w:szCs w:val="36"/>
          <w:rtl/>
          <w:lang w:val="en-GB" w:eastAsia="en-US"/>
        </w:rPr>
        <w:t>»</w:t>
      </w:r>
      <w:r w:rsidRPr="00EB5FFB">
        <w:rPr>
          <w:rFonts w:hint="cs"/>
          <w:spacing w:val="-6"/>
          <w:sz w:val="20"/>
          <w:szCs w:val="36"/>
          <w:rtl/>
          <w:lang w:val="en-GB" w:eastAsia="en-US"/>
        </w:rPr>
        <w:t xml:space="preserve">، </w:t>
      </w:r>
      <w:r w:rsidRPr="00EB5FFB">
        <w:rPr>
          <w:rFonts w:hint="cs"/>
          <w:b/>
          <w:bCs/>
          <w:spacing w:val="-6"/>
          <w:sz w:val="20"/>
          <w:szCs w:val="36"/>
          <w:rtl/>
          <w:lang w:val="en-GB" w:eastAsia="en-US"/>
        </w:rPr>
        <w:t>وآخرها</w:t>
      </w:r>
      <w:r w:rsidR="0048366D">
        <w:rPr>
          <w:rFonts w:hint="cs"/>
          <w:spacing w:val="-6"/>
          <w:sz w:val="20"/>
          <w:szCs w:val="36"/>
          <w:rtl/>
          <w:lang w:val="en-GB" w:eastAsia="en-US"/>
        </w:rPr>
        <w:t>:</w:t>
      </w:r>
      <w:r w:rsidRPr="00EB5FFB">
        <w:rPr>
          <w:rFonts w:hint="cs"/>
          <w:spacing w:val="-6"/>
          <w:sz w:val="20"/>
          <w:szCs w:val="36"/>
          <w:rtl/>
          <w:lang w:val="en-GB" w:eastAsia="en-US"/>
        </w:rPr>
        <w:t xml:space="preserve"> </w:t>
      </w:r>
      <w:r w:rsidRPr="00EB5FFB">
        <w:rPr>
          <w:rFonts w:hint="eastAsia"/>
          <w:spacing w:val="-6"/>
          <w:sz w:val="20"/>
          <w:szCs w:val="36"/>
          <w:rtl/>
          <w:lang w:val="en-GB" w:eastAsia="en-US"/>
        </w:rPr>
        <w:t>«</w:t>
      </w:r>
      <w:r w:rsidRPr="00EB5FFB">
        <w:rPr>
          <w:rFonts w:hint="cs"/>
          <w:spacing w:val="-6"/>
          <w:sz w:val="20"/>
          <w:szCs w:val="36"/>
          <w:rtl/>
          <w:lang w:val="en-GB" w:eastAsia="en-US"/>
        </w:rPr>
        <w:t>إيجابُ العبد معتبرٌ بإيجابِ اللهِ تعالى</w:t>
      </w:r>
      <w:r w:rsidRPr="00EB5FFB">
        <w:rPr>
          <w:rFonts w:hint="eastAsia"/>
          <w:spacing w:val="-6"/>
          <w:sz w:val="20"/>
          <w:szCs w:val="36"/>
          <w:rtl/>
          <w:lang w:val="en-GB" w:eastAsia="en-US"/>
        </w:rPr>
        <w:t>»</w:t>
      </w:r>
      <w:r w:rsidRPr="00EB5FFB">
        <w:rPr>
          <w:rFonts w:hint="cs"/>
          <w:spacing w:val="-6"/>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وبعض قواعد هذا الباب يمكن أن يجمعها موضوع واحد، كالقاعدة 18 و19 و20، يجمعها موضوع الاستثناء، والقاعدة 22 و25-31، يجمعها موضوع الاستصحاب، والقواعد من 38 إلى 45، يجمعها موضوع الإقرار.</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وحيث إن قواعد الكتاب مرتبة على حروف الهجاء فإن هذا لم يكن مقصودًا، إنما كان عفويًّا بسبب اشتراك بعضها بالبدء بكلمة الاستثناء، أو الأصل، أو الإقرار.</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bidi="ar-AE"/>
        </w:rPr>
        <w:t>باب الباء</w:t>
      </w:r>
      <w:r w:rsidR="0048366D">
        <w:rPr>
          <w:rFonts w:hint="cs"/>
          <w:b/>
          <w:b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xml:space="preserve">وقد تضمّن اثنتي عشرة قاعدة، </w:t>
      </w:r>
      <w:r w:rsidRPr="00EB5FFB">
        <w:rPr>
          <w:rFonts w:hint="cs"/>
          <w:b/>
          <w:bCs/>
          <w:sz w:val="20"/>
          <w:szCs w:val="36"/>
          <w:rtl/>
          <w:lang w:eastAsia="en-US" w:bidi="ar-AE"/>
        </w:rPr>
        <w:t>أولها</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cs"/>
          <w:sz w:val="38"/>
          <w:szCs w:val="36"/>
          <w:rtl/>
          <w:lang w:eastAsia="en-US" w:bidi="ar-AE"/>
        </w:rPr>
        <w:t>ق51</w:t>
      </w:r>
      <w:r w:rsidR="0048366D">
        <w:rPr>
          <w:rFonts w:hint="cs"/>
          <w:sz w:val="38"/>
          <w:szCs w:val="36"/>
          <w:rtl/>
          <w:lang w:eastAsia="en-US" w:bidi="ar-AE"/>
        </w:rPr>
        <w:t>:</w:t>
      </w:r>
      <w:r w:rsidRPr="00EB5FFB">
        <w:rPr>
          <w:rFonts w:hint="cs"/>
          <w:sz w:val="38"/>
          <w:szCs w:val="36"/>
          <w:rtl/>
          <w:lang w:eastAsia="en-US" w:bidi="ar-AE"/>
        </w:rPr>
        <w:t xml:space="preserve"> </w:t>
      </w:r>
      <w:r w:rsidRPr="00EB5FFB">
        <w:rPr>
          <w:rFonts w:hint="eastAsia"/>
          <w:sz w:val="20"/>
          <w:szCs w:val="36"/>
          <w:rtl/>
          <w:lang w:val="en-GB" w:eastAsia="en-US"/>
        </w:rPr>
        <w:t>«</w:t>
      </w:r>
      <w:r w:rsidRPr="00EB5FFB">
        <w:rPr>
          <w:rFonts w:hint="eastAsia"/>
          <w:sz w:val="38"/>
          <w:szCs w:val="36"/>
          <w:rtl/>
          <w:lang w:eastAsia="en-US" w:bidi="ar-AE"/>
        </w:rPr>
        <w:t>الب</w:t>
      </w:r>
      <w:r w:rsidRPr="00EB5FFB">
        <w:rPr>
          <w:rFonts w:hint="cs"/>
          <w:sz w:val="38"/>
          <w:szCs w:val="36"/>
          <w:rtl/>
          <w:lang w:eastAsia="en-US" w:bidi="ar-AE"/>
        </w:rPr>
        <w:t>َ</w:t>
      </w:r>
      <w:r w:rsidRPr="00EB5FFB">
        <w:rPr>
          <w:rFonts w:hint="eastAsia"/>
          <w:sz w:val="38"/>
          <w:szCs w:val="36"/>
          <w:rtl/>
          <w:lang w:eastAsia="en-US" w:bidi="ar-AE"/>
        </w:rPr>
        <w:t>ع</w:t>
      </w:r>
      <w:r w:rsidRPr="00EB5FFB">
        <w:rPr>
          <w:rFonts w:hint="cs"/>
          <w:sz w:val="38"/>
          <w:szCs w:val="36"/>
          <w:rtl/>
          <w:lang w:eastAsia="en-US" w:bidi="ar-AE"/>
        </w:rPr>
        <w:t>ْ</w:t>
      </w:r>
      <w:r w:rsidRPr="00EB5FFB">
        <w:rPr>
          <w:rFonts w:hint="eastAsia"/>
          <w:sz w:val="38"/>
          <w:szCs w:val="36"/>
          <w:rtl/>
          <w:lang w:eastAsia="en-US" w:bidi="ar-AE"/>
        </w:rPr>
        <w:t>ض</w:t>
      </w:r>
      <w:r w:rsidRPr="00EB5FFB">
        <w:rPr>
          <w:rFonts w:hint="cs"/>
          <w:sz w:val="38"/>
          <w:szCs w:val="36"/>
          <w:rtl/>
          <w:lang w:eastAsia="en-US" w:bidi="ar-AE"/>
        </w:rPr>
        <w:t xml:space="preserve">ُ </w:t>
      </w:r>
      <w:r w:rsidRPr="00EB5FFB">
        <w:rPr>
          <w:sz w:val="38"/>
          <w:szCs w:val="36"/>
          <w:rtl/>
          <w:lang w:eastAsia="en-US" w:bidi="ar-AE"/>
        </w:rPr>
        <w:t>لا</w:t>
      </w:r>
      <w:r w:rsidRPr="00EB5FFB">
        <w:rPr>
          <w:rFonts w:hint="cs"/>
          <w:sz w:val="38"/>
          <w:szCs w:val="36"/>
          <w:rtl/>
          <w:lang w:eastAsia="en-US" w:bidi="ar-AE"/>
        </w:rPr>
        <w:t>َ</w:t>
      </w:r>
      <w:r w:rsidRPr="00EB5FFB">
        <w:rPr>
          <w:sz w:val="38"/>
          <w:szCs w:val="36"/>
          <w:rtl/>
          <w:lang w:eastAsia="en-US" w:bidi="ar-AE"/>
        </w:rPr>
        <w:t xml:space="preserve"> ي</w:t>
      </w:r>
      <w:r w:rsidRPr="00EB5FFB">
        <w:rPr>
          <w:rFonts w:hint="cs"/>
          <w:sz w:val="38"/>
          <w:szCs w:val="36"/>
          <w:rtl/>
          <w:lang w:eastAsia="en-US" w:bidi="ar-AE"/>
        </w:rPr>
        <w:t>َ</w:t>
      </w:r>
      <w:r w:rsidRPr="00EB5FFB">
        <w:rPr>
          <w:sz w:val="38"/>
          <w:szCs w:val="36"/>
          <w:rtl/>
          <w:lang w:eastAsia="en-US" w:bidi="ar-AE"/>
        </w:rPr>
        <w:t>ز</w:t>
      </w:r>
      <w:r w:rsidRPr="00EB5FFB">
        <w:rPr>
          <w:rFonts w:hint="cs"/>
          <w:sz w:val="38"/>
          <w:szCs w:val="36"/>
          <w:rtl/>
          <w:lang w:eastAsia="en-US" w:bidi="ar-AE"/>
        </w:rPr>
        <w:t>ِ</w:t>
      </w:r>
      <w:r w:rsidRPr="00EB5FFB">
        <w:rPr>
          <w:sz w:val="38"/>
          <w:szCs w:val="36"/>
          <w:rtl/>
          <w:lang w:eastAsia="en-US" w:bidi="ar-AE"/>
        </w:rPr>
        <w:t>ي</w:t>
      </w:r>
      <w:r w:rsidRPr="00EB5FFB">
        <w:rPr>
          <w:rFonts w:hint="cs"/>
          <w:sz w:val="38"/>
          <w:szCs w:val="36"/>
          <w:rtl/>
          <w:lang w:eastAsia="en-US" w:bidi="ar-AE"/>
        </w:rPr>
        <w:t>ْ</w:t>
      </w:r>
      <w:r w:rsidRPr="00EB5FFB">
        <w:rPr>
          <w:sz w:val="38"/>
          <w:szCs w:val="36"/>
          <w:rtl/>
          <w:lang w:eastAsia="en-US" w:bidi="ar-AE"/>
        </w:rPr>
        <w:t>د</w:t>
      </w:r>
      <w:r w:rsidRPr="00EB5FFB">
        <w:rPr>
          <w:rFonts w:hint="cs"/>
          <w:sz w:val="38"/>
          <w:szCs w:val="36"/>
          <w:rtl/>
          <w:lang w:eastAsia="en-US" w:bidi="ar-AE"/>
        </w:rPr>
        <w:t>ُ</w:t>
      </w:r>
      <w:r w:rsidRPr="00EB5FFB">
        <w:rPr>
          <w:sz w:val="38"/>
          <w:szCs w:val="36"/>
          <w:rtl/>
          <w:lang w:eastAsia="en-US" w:bidi="ar-AE"/>
        </w:rPr>
        <w:t xml:space="preserve"> </w:t>
      </w:r>
      <w:r w:rsidRPr="00EB5FFB">
        <w:rPr>
          <w:rFonts w:hint="eastAsia"/>
          <w:sz w:val="38"/>
          <w:szCs w:val="36"/>
          <w:rtl/>
          <w:lang w:eastAsia="en-US" w:bidi="ar-AE"/>
        </w:rPr>
        <w:t>ع</w:t>
      </w:r>
      <w:r w:rsidRPr="00EB5FFB">
        <w:rPr>
          <w:rFonts w:hint="cs"/>
          <w:sz w:val="38"/>
          <w:szCs w:val="36"/>
          <w:rtl/>
          <w:lang w:eastAsia="en-US" w:bidi="ar-AE"/>
        </w:rPr>
        <w:t>َ</w:t>
      </w:r>
      <w:r w:rsidRPr="00EB5FFB">
        <w:rPr>
          <w:rFonts w:hint="eastAsia"/>
          <w:sz w:val="38"/>
          <w:szCs w:val="36"/>
          <w:rtl/>
          <w:lang w:eastAsia="en-US" w:bidi="ar-AE"/>
        </w:rPr>
        <w:t>ل</w:t>
      </w:r>
      <w:r w:rsidRPr="00EB5FFB">
        <w:rPr>
          <w:rFonts w:hint="cs"/>
          <w:sz w:val="38"/>
          <w:szCs w:val="36"/>
          <w:rtl/>
          <w:lang w:eastAsia="en-US" w:bidi="ar-AE"/>
        </w:rPr>
        <w:t>َ</w:t>
      </w:r>
      <w:r w:rsidRPr="00EB5FFB">
        <w:rPr>
          <w:rFonts w:hint="eastAsia"/>
          <w:sz w:val="38"/>
          <w:szCs w:val="36"/>
          <w:rtl/>
          <w:lang w:eastAsia="en-US" w:bidi="ar-AE"/>
        </w:rPr>
        <w:t>ى</w:t>
      </w:r>
      <w:r w:rsidRPr="00EB5FFB">
        <w:rPr>
          <w:sz w:val="38"/>
          <w:szCs w:val="36"/>
          <w:rtl/>
          <w:lang w:eastAsia="en-US" w:bidi="ar-AE"/>
        </w:rPr>
        <w:t xml:space="preserve"> الك</w:t>
      </w:r>
      <w:r w:rsidRPr="00EB5FFB">
        <w:rPr>
          <w:rFonts w:hint="cs"/>
          <w:sz w:val="38"/>
          <w:szCs w:val="36"/>
          <w:rtl/>
          <w:lang w:eastAsia="en-US" w:bidi="ar-AE"/>
        </w:rPr>
        <w:t>ُ</w:t>
      </w:r>
      <w:r w:rsidRPr="00EB5FFB">
        <w:rPr>
          <w:sz w:val="38"/>
          <w:szCs w:val="36"/>
          <w:rtl/>
          <w:lang w:eastAsia="en-US" w:bidi="ar-AE"/>
        </w:rPr>
        <w:t>ل</w:t>
      </w:r>
      <w:r w:rsidRPr="00EB5FFB">
        <w:rPr>
          <w:rFonts w:hint="cs"/>
          <w:sz w:val="38"/>
          <w:szCs w:val="36"/>
          <w:rtl/>
          <w:lang w:eastAsia="en-US" w:bidi="ar-AE"/>
        </w:rPr>
        <w:t>ِّ</w:t>
      </w:r>
      <w:r w:rsidRPr="00EB5FFB">
        <w:rPr>
          <w:sz w:val="38"/>
          <w:szCs w:val="36"/>
          <w:rtl/>
          <w:lang w:eastAsia="en-US" w:bidi="ar-AE"/>
        </w:rPr>
        <w:t xml:space="preserve"> إلا</w:t>
      </w:r>
      <w:r w:rsidRPr="00EB5FFB">
        <w:rPr>
          <w:rFonts w:hint="cs"/>
          <w:sz w:val="38"/>
          <w:szCs w:val="36"/>
          <w:rtl/>
          <w:lang w:eastAsia="en-US" w:bidi="ar-AE"/>
        </w:rPr>
        <w:t>َّ</w:t>
      </w:r>
      <w:r w:rsidRPr="00EB5FFB">
        <w:rPr>
          <w:sz w:val="38"/>
          <w:szCs w:val="36"/>
          <w:rtl/>
          <w:lang w:eastAsia="en-US" w:bidi="ar-AE"/>
        </w:rPr>
        <w:t xml:space="preserve"> ف</w:t>
      </w:r>
      <w:r w:rsidRPr="00EB5FFB">
        <w:rPr>
          <w:rFonts w:hint="cs"/>
          <w:sz w:val="38"/>
          <w:szCs w:val="36"/>
          <w:rtl/>
          <w:lang w:eastAsia="en-US" w:bidi="ar-AE"/>
        </w:rPr>
        <w:t>ِ</w:t>
      </w:r>
      <w:r w:rsidRPr="00EB5FFB">
        <w:rPr>
          <w:sz w:val="38"/>
          <w:szCs w:val="36"/>
          <w:rtl/>
          <w:lang w:eastAsia="en-US" w:bidi="ar-AE"/>
        </w:rPr>
        <w:t>ي م</w:t>
      </w:r>
      <w:r w:rsidRPr="00EB5FFB">
        <w:rPr>
          <w:rFonts w:hint="cs"/>
          <w:sz w:val="38"/>
          <w:szCs w:val="36"/>
          <w:rtl/>
          <w:lang w:eastAsia="en-US" w:bidi="ar-AE"/>
        </w:rPr>
        <w:t>َ</w:t>
      </w:r>
      <w:r w:rsidRPr="00EB5FFB">
        <w:rPr>
          <w:sz w:val="38"/>
          <w:szCs w:val="36"/>
          <w:rtl/>
          <w:lang w:eastAsia="en-US" w:bidi="ar-AE"/>
        </w:rPr>
        <w:t>س</w:t>
      </w:r>
      <w:r w:rsidRPr="00EB5FFB">
        <w:rPr>
          <w:rFonts w:hint="cs"/>
          <w:sz w:val="38"/>
          <w:szCs w:val="36"/>
          <w:rtl/>
          <w:lang w:eastAsia="en-US" w:bidi="ar-AE"/>
        </w:rPr>
        <w:t>ْ</w:t>
      </w:r>
      <w:r w:rsidRPr="00EB5FFB">
        <w:rPr>
          <w:sz w:val="38"/>
          <w:szCs w:val="36"/>
          <w:rtl/>
          <w:lang w:eastAsia="en-US" w:bidi="ar-AE"/>
        </w:rPr>
        <w:t>أ</w:t>
      </w:r>
      <w:r w:rsidRPr="00EB5FFB">
        <w:rPr>
          <w:rFonts w:hint="cs"/>
          <w:sz w:val="38"/>
          <w:szCs w:val="36"/>
          <w:rtl/>
          <w:lang w:eastAsia="en-US" w:bidi="ar-AE"/>
        </w:rPr>
        <w:t>َ</w:t>
      </w:r>
      <w:r w:rsidRPr="00EB5FFB">
        <w:rPr>
          <w:sz w:val="38"/>
          <w:szCs w:val="36"/>
          <w:rtl/>
          <w:lang w:eastAsia="en-US" w:bidi="ar-AE"/>
        </w:rPr>
        <w:t>لة</w:t>
      </w:r>
      <w:r w:rsidRPr="00EB5FFB">
        <w:rPr>
          <w:rFonts w:hint="cs"/>
          <w:sz w:val="38"/>
          <w:szCs w:val="36"/>
          <w:rtl/>
          <w:lang w:eastAsia="en-US" w:bidi="ar-AE"/>
        </w:rPr>
        <w:t>ٍ</w:t>
      </w:r>
      <w:r w:rsidRPr="00EB5FFB">
        <w:rPr>
          <w:sz w:val="38"/>
          <w:szCs w:val="36"/>
          <w:rtl/>
          <w:lang w:eastAsia="en-US" w:bidi="ar-AE"/>
        </w:rPr>
        <w:t xml:space="preserve"> و</w:t>
      </w:r>
      <w:r w:rsidRPr="00EB5FFB">
        <w:rPr>
          <w:rFonts w:hint="cs"/>
          <w:sz w:val="38"/>
          <w:szCs w:val="36"/>
          <w:rtl/>
          <w:lang w:eastAsia="en-US" w:bidi="ar-AE"/>
        </w:rPr>
        <w:t>َ</w:t>
      </w:r>
      <w:r w:rsidRPr="00EB5FFB">
        <w:rPr>
          <w:sz w:val="38"/>
          <w:szCs w:val="36"/>
          <w:rtl/>
          <w:lang w:eastAsia="en-US" w:bidi="ar-AE"/>
        </w:rPr>
        <w:t>اح</w:t>
      </w:r>
      <w:r w:rsidRPr="00EB5FFB">
        <w:rPr>
          <w:rFonts w:hint="cs"/>
          <w:sz w:val="38"/>
          <w:szCs w:val="36"/>
          <w:rtl/>
          <w:lang w:eastAsia="en-US" w:bidi="ar-AE"/>
        </w:rPr>
        <w:t>ِ</w:t>
      </w:r>
      <w:r w:rsidRPr="00EB5FFB">
        <w:rPr>
          <w:sz w:val="38"/>
          <w:szCs w:val="36"/>
          <w:rtl/>
          <w:lang w:eastAsia="en-US" w:bidi="ar-AE"/>
        </w:rPr>
        <w:t>د</w:t>
      </w:r>
      <w:r w:rsidRPr="00EB5FFB">
        <w:rPr>
          <w:rFonts w:hint="cs"/>
          <w:sz w:val="38"/>
          <w:szCs w:val="36"/>
          <w:rtl/>
          <w:lang w:eastAsia="en-US" w:bidi="ar-AE"/>
        </w:rPr>
        <w:t>َ</w:t>
      </w:r>
      <w:r w:rsidRPr="00EB5FFB">
        <w:rPr>
          <w:sz w:val="38"/>
          <w:szCs w:val="36"/>
          <w:rtl/>
          <w:lang w:eastAsia="en-US" w:bidi="ar-AE"/>
        </w:rPr>
        <w:t>ة</w:t>
      </w:r>
      <w:r w:rsidRPr="00EB5FFB">
        <w:rPr>
          <w:rFonts w:hint="cs"/>
          <w:sz w:val="38"/>
          <w:szCs w:val="36"/>
          <w:rtl/>
          <w:lang w:eastAsia="en-US" w:bidi="ar-AE"/>
        </w:rPr>
        <w:t>ٍ</w:t>
      </w:r>
      <w:r w:rsidRPr="00EB5FFB">
        <w:rPr>
          <w:sz w:val="38"/>
          <w:szCs w:val="36"/>
          <w:rtl/>
          <w:lang w:eastAsia="en-US" w:bidi="ar-AE"/>
        </w:rPr>
        <w:t>، و</w:t>
      </w:r>
      <w:r w:rsidRPr="00EB5FFB">
        <w:rPr>
          <w:rFonts w:hint="cs"/>
          <w:sz w:val="38"/>
          <w:szCs w:val="36"/>
          <w:rtl/>
          <w:lang w:eastAsia="en-US" w:bidi="ar-AE"/>
        </w:rPr>
        <w:t>َ</w:t>
      </w:r>
      <w:r w:rsidRPr="00EB5FFB">
        <w:rPr>
          <w:sz w:val="38"/>
          <w:szCs w:val="36"/>
          <w:rtl/>
          <w:lang w:eastAsia="en-US" w:bidi="ar-AE"/>
        </w:rPr>
        <w:t>ه</w:t>
      </w:r>
      <w:r w:rsidRPr="00EB5FFB">
        <w:rPr>
          <w:rFonts w:hint="cs"/>
          <w:sz w:val="38"/>
          <w:szCs w:val="36"/>
          <w:rtl/>
          <w:lang w:eastAsia="en-US" w:bidi="ar-AE"/>
        </w:rPr>
        <w:t>ِ</w:t>
      </w:r>
      <w:r w:rsidRPr="00EB5FFB">
        <w:rPr>
          <w:sz w:val="38"/>
          <w:szCs w:val="36"/>
          <w:rtl/>
          <w:lang w:eastAsia="en-US" w:bidi="ar-AE"/>
        </w:rPr>
        <w:t>ي</w:t>
      </w:r>
      <w:r w:rsidRPr="00EB5FFB">
        <w:rPr>
          <w:rFonts w:hint="cs"/>
          <w:sz w:val="38"/>
          <w:szCs w:val="36"/>
          <w:rtl/>
          <w:lang w:eastAsia="en-US" w:bidi="ar-AE"/>
        </w:rPr>
        <w:t>َ</w:t>
      </w:r>
      <w:r w:rsidRPr="00EB5FFB">
        <w:rPr>
          <w:sz w:val="38"/>
          <w:szCs w:val="36"/>
          <w:rtl/>
          <w:lang w:eastAsia="en-US" w:bidi="ar-AE"/>
        </w:rPr>
        <w:t xml:space="preserve"> إذ</w:t>
      </w:r>
      <w:r w:rsidRPr="00EB5FFB">
        <w:rPr>
          <w:rFonts w:hint="cs"/>
          <w:sz w:val="38"/>
          <w:szCs w:val="36"/>
          <w:rtl/>
          <w:lang w:eastAsia="en-US" w:bidi="ar-AE"/>
        </w:rPr>
        <w:t>َ</w:t>
      </w:r>
      <w:r w:rsidRPr="00EB5FFB">
        <w:rPr>
          <w:sz w:val="38"/>
          <w:szCs w:val="36"/>
          <w:rtl/>
          <w:lang w:eastAsia="en-US" w:bidi="ar-AE"/>
        </w:rPr>
        <w:t>ا ق</w:t>
      </w:r>
      <w:r w:rsidRPr="00EB5FFB">
        <w:rPr>
          <w:rFonts w:hint="cs"/>
          <w:sz w:val="38"/>
          <w:szCs w:val="36"/>
          <w:rtl/>
          <w:lang w:eastAsia="en-US" w:bidi="ar-AE"/>
        </w:rPr>
        <w:t>َ</w:t>
      </w:r>
      <w:r w:rsidRPr="00EB5FFB">
        <w:rPr>
          <w:sz w:val="38"/>
          <w:szCs w:val="36"/>
          <w:rtl/>
          <w:lang w:eastAsia="en-US" w:bidi="ar-AE"/>
        </w:rPr>
        <w:t>ال</w:t>
      </w:r>
      <w:r w:rsidRPr="00EB5FFB">
        <w:rPr>
          <w:rFonts w:hint="cs"/>
          <w:sz w:val="38"/>
          <w:szCs w:val="36"/>
          <w:rtl/>
          <w:lang w:eastAsia="en-US" w:bidi="ar-AE"/>
        </w:rPr>
        <w:t>َ</w:t>
      </w:r>
      <w:r w:rsidRPr="00EB5FFB">
        <w:rPr>
          <w:sz w:val="38"/>
          <w:szCs w:val="36"/>
          <w:rtl/>
          <w:lang w:eastAsia="en-US" w:bidi="ar-AE"/>
        </w:rPr>
        <w:t xml:space="preserve"> الر</w:t>
      </w:r>
      <w:r w:rsidRPr="00EB5FFB">
        <w:rPr>
          <w:rFonts w:hint="cs"/>
          <w:sz w:val="38"/>
          <w:szCs w:val="36"/>
          <w:rtl/>
          <w:lang w:eastAsia="en-US" w:bidi="ar-AE"/>
        </w:rPr>
        <w:t>َّ</w:t>
      </w:r>
      <w:r w:rsidRPr="00EB5FFB">
        <w:rPr>
          <w:sz w:val="38"/>
          <w:szCs w:val="36"/>
          <w:rtl/>
          <w:lang w:eastAsia="en-US" w:bidi="ar-AE"/>
        </w:rPr>
        <w:t>ج</w:t>
      </w:r>
      <w:r w:rsidRPr="00EB5FFB">
        <w:rPr>
          <w:rFonts w:hint="cs"/>
          <w:sz w:val="38"/>
          <w:szCs w:val="36"/>
          <w:rtl/>
          <w:lang w:eastAsia="en-US" w:bidi="ar-AE"/>
        </w:rPr>
        <w:t>ُ</w:t>
      </w:r>
      <w:r w:rsidRPr="00EB5FFB">
        <w:rPr>
          <w:sz w:val="38"/>
          <w:szCs w:val="36"/>
          <w:rtl/>
          <w:lang w:eastAsia="en-US" w:bidi="ar-AE"/>
        </w:rPr>
        <w:t>ل</w:t>
      </w:r>
      <w:r w:rsidRPr="00EB5FFB">
        <w:rPr>
          <w:rFonts w:hint="cs"/>
          <w:sz w:val="38"/>
          <w:szCs w:val="36"/>
          <w:rtl/>
          <w:lang w:eastAsia="en-US" w:bidi="ar-AE"/>
        </w:rPr>
        <w:t>ُ</w:t>
      </w:r>
      <w:r w:rsidRPr="00EB5FFB">
        <w:rPr>
          <w:sz w:val="38"/>
          <w:szCs w:val="36"/>
          <w:rtl/>
          <w:lang w:eastAsia="en-US" w:bidi="ar-AE"/>
        </w:rPr>
        <w:t xml:space="preserve"> لامرأت</w:t>
      </w:r>
      <w:r w:rsidRPr="00EB5FFB">
        <w:rPr>
          <w:rFonts w:hint="cs"/>
          <w:sz w:val="38"/>
          <w:szCs w:val="36"/>
          <w:rtl/>
          <w:lang w:eastAsia="en-US" w:bidi="ar-AE"/>
        </w:rPr>
        <w:t>ِ</w:t>
      </w:r>
      <w:r w:rsidRPr="00EB5FFB">
        <w:rPr>
          <w:sz w:val="38"/>
          <w:szCs w:val="36"/>
          <w:rtl/>
          <w:lang w:eastAsia="en-US" w:bidi="ar-AE"/>
        </w:rPr>
        <w:t>ه</w:t>
      </w:r>
      <w:r w:rsidRPr="00EB5FFB">
        <w:rPr>
          <w:rFonts w:hint="cs"/>
          <w:sz w:val="38"/>
          <w:szCs w:val="36"/>
          <w:rtl/>
          <w:lang w:eastAsia="en-US" w:bidi="ar-AE"/>
        </w:rPr>
        <w:t>ِ</w:t>
      </w:r>
      <w:r w:rsidR="0048366D">
        <w:rPr>
          <w:sz w:val="38"/>
          <w:szCs w:val="36"/>
          <w:rtl/>
          <w:lang w:eastAsia="en-US" w:bidi="ar-AE"/>
        </w:rPr>
        <w:t>:</w:t>
      </w:r>
      <w:r w:rsidRPr="00EB5FFB">
        <w:rPr>
          <w:sz w:val="38"/>
          <w:szCs w:val="36"/>
          <w:rtl/>
          <w:lang w:eastAsia="en-US" w:bidi="ar-AE"/>
        </w:rPr>
        <w:t xml:space="preserve"> أ</w:t>
      </w:r>
      <w:r w:rsidRPr="00EB5FFB">
        <w:rPr>
          <w:rFonts w:hint="cs"/>
          <w:sz w:val="38"/>
          <w:szCs w:val="36"/>
          <w:rtl/>
          <w:lang w:eastAsia="en-US" w:bidi="ar-AE"/>
        </w:rPr>
        <w:t>َ</w:t>
      </w:r>
      <w:r w:rsidRPr="00EB5FFB">
        <w:rPr>
          <w:sz w:val="38"/>
          <w:szCs w:val="36"/>
          <w:rtl/>
          <w:lang w:eastAsia="en-US" w:bidi="ar-AE"/>
        </w:rPr>
        <w:t>ن</w:t>
      </w:r>
      <w:r w:rsidRPr="00EB5FFB">
        <w:rPr>
          <w:rFonts w:hint="cs"/>
          <w:sz w:val="38"/>
          <w:szCs w:val="36"/>
          <w:rtl/>
          <w:lang w:eastAsia="en-US" w:bidi="ar-AE"/>
        </w:rPr>
        <w:t>ْ</w:t>
      </w:r>
      <w:r w:rsidRPr="00EB5FFB">
        <w:rPr>
          <w:sz w:val="38"/>
          <w:szCs w:val="36"/>
          <w:rtl/>
          <w:lang w:eastAsia="en-US" w:bidi="ar-AE"/>
        </w:rPr>
        <w:t>ت</w:t>
      </w:r>
      <w:r w:rsidRPr="00EB5FFB">
        <w:rPr>
          <w:rFonts w:hint="cs"/>
          <w:sz w:val="38"/>
          <w:szCs w:val="36"/>
          <w:rtl/>
          <w:lang w:eastAsia="en-US" w:bidi="ar-AE"/>
        </w:rPr>
        <w:t>ِ</w:t>
      </w:r>
      <w:r w:rsidRPr="00EB5FFB">
        <w:rPr>
          <w:sz w:val="38"/>
          <w:szCs w:val="36"/>
          <w:rtl/>
          <w:lang w:eastAsia="en-US" w:bidi="ar-AE"/>
        </w:rPr>
        <w:t xml:space="preserve"> عليَّ ك</w:t>
      </w:r>
      <w:r w:rsidRPr="00EB5FFB">
        <w:rPr>
          <w:rFonts w:hint="cs"/>
          <w:sz w:val="38"/>
          <w:szCs w:val="36"/>
          <w:rtl/>
          <w:lang w:eastAsia="en-US" w:bidi="ar-AE"/>
        </w:rPr>
        <w:t>َ</w:t>
      </w:r>
      <w:r w:rsidRPr="00EB5FFB">
        <w:rPr>
          <w:sz w:val="38"/>
          <w:szCs w:val="36"/>
          <w:rtl/>
          <w:lang w:eastAsia="en-US" w:bidi="ar-AE"/>
        </w:rPr>
        <w:t>ظ</w:t>
      </w:r>
      <w:r w:rsidRPr="00EB5FFB">
        <w:rPr>
          <w:rFonts w:hint="cs"/>
          <w:sz w:val="38"/>
          <w:szCs w:val="36"/>
          <w:rtl/>
          <w:lang w:eastAsia="en-US" w:bidi="ar-AE"/>
        </w:rPr>
        <w:t>َ</w:t>
      </w:r>
      <w:r w:rsidRPr="00EB5FFB">
        <w:rPr>
          <w:sz w:val="38"/>
          <w:szCs w:val="36"/>
          <w:rtl/>
          <w:lang w:eastAsia="en-US" w:bidi="ar-AE"/>
        </w:rPr>
        <w:t>ه</w:t>
      </w:r>
      <w:r w:rsidRPr="00EB5FFB">
        <w:rPr>
          <w:rFonts w:hint="cs"/>
          <w:sz w:val="38"/>
          <w:szCs w:val="36"/>
          <w:rtl/>
          <w:lang w:eastAsia="en-US" w:bidi="ar-AE"/>
        </w:rPr>
        <w:t>ْ</w:t>
      </w:r>
      <w:r w:rsidRPr="00EB5FFB">
        <w:rPr>
          <w:sz w:val="38"/>
          <w:szCs w:val="36"/>
          <w:rtl/>
          <w:lang w:eastAsia="en-US" w:bidi="ar-AE"/>
        </w:rPr>
        <w:t>ر</w:t>
      </w:r>
      <w:r w:rsidRPr="00EB5FFB">
        <w:rPr>
          <w:rFonts w:hint="cs"/>
          <w:sz w:val="38"/>
          <w:szCs w:val="36"/>
          <w:rtl/>
          <w:lang w:eastAsia="en-US" w:bidi="ar-AE"/>
        </w:rPr>
        <w:t>ِ</w:t>
      </w:r>
      <w:r w:rsidRPr="00EB5FFB">
        <w:rPr>
          <w:sz w:val="38"/>
          <w:szCs w:val="36"/>
          <w:rtl/>
          <w:lang w:eastAsia="en-US" w:bidi="ar-AE"/>
        </w:rPr>
        <w:t xml:space="preserve"> أ</w:t>
      </w:r>
      <w:r w:rsidRPr="00EB5FFB">
        <w:rPr>
          <w:rFonts w:hint="cs"/>
          <w:sz w:val="38"/>
          <w:szCs w:val="36"/>
          <w:rtl/>
          <w:lang w:eastAsia="en-US" w:bidi="ar-AE"/>
        </w:rPr>
        <w:t>ُ</w:t>
      </w:r>
      <w:r w:rsidRPr="00EB5FFB">
        <w:rPr>
          <w:sz w:val="38"/>
          <w:szCs w:val="36"/>
          <w:rtl/>
          <w:lang w:eastAsia="en-US" w:bidi="ar-AE"/>
        </w:rPr>
        <w:t>مّ</w:t>
      </w:r>
      <w:r w:rsidRPr="00EB5FFB">
        <w:rPr>
          <w:rFonts w:hint="eastAsia"/>
          <w:sz w:val="38"/>
          <w:szCs w:val="36"/>
          <w:rtl/>
          <w:lang w:eastAsia="en-US" w:bidi="ar-AE"/>
        </w:rPr>
        <w:t>ِي</w:t>
      </w:r>
      <w:r w:rsidRPr="00EB5FFB">
        <w:rPr>
          <w:rFonts w:hint="eastAsia"/>
          <w:sz w:val="20"/>
          <w:szCs w:val="36"/>
          <w:rtl/>
          <w:lang w:val="en-GB" w:eastAsia="en-US"/>
        </w:rPr>
        <w:t>»</w:t>
      </w:r>
      <w:r w:rsidRPr="00EB5FFB">
        <w:rPr>
          <w:rFonts w:hint="cs"/>
          <w:sz w:val="38"/>
          <w:szCs w:val="36"/>
          <w:rtl/>
          <w:lang w:eastAsia="en-US" w:bidi="ar-AE"/>
        </w:rPr>
        <w:t>.</w:t>
      </w:r>
      <w:r w:rsidRPr="00EB5FFB">
        <w:rPr>
          <w:rFonts w:hint="cs"/>
          <w:sz w:val="20"/>
          <w:szCs w:val="36"/>
          <w:rtl/>
          <w:lang w:eastAsia="en-US" w:bidi="ar-AE"/>
        </w:rPr>
        <w:t xml:space="preserve"> </w:t>
      </w:r>
      <w:r w:rsidRPr="00EB5FFB">
        <w:rPr>
          <w:rFonts w:hint="cs"/>
          <w:b/>
          <w:bCs/>
          <w:sz w:val="20"/>
          <w:szCs w:val="36"/>
          <w:rtl/>
          <w:lang w:eastAsia="en-US" w:bidi="ar-AE"/>
        </w:rPr>
        <w:t>وآخرها</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cs"/>
          <w:sz w:val="38"/>
          <w:szCs w:val="36"/>
          <w:rtl/>
          <w:lang w:eastAsia="en-US" w:bidi="ar-AE"/>
        </w:rPr>
        <w:t>ق62</w:t>
      </w:r>
      <w:r w:rsidR="0048366D">
        <w:rPr>
          <w:rFonts w:hint="cs"/>
          <w:sz w:val="38"/>
          <w:szCs w:val="36"/>
          <w:rtl/>
          <w:lang w:eastAsia="en-US" w:bidi="ar-AE"/>
        </w:rPr>
        <w:t>:</w:t>
      </w:r>
      <w:r w:rsidRPr="00EB5FFB">
        <w:rPr>
          <w:rFonts w:hint="cs"/>
          <w:sz w:val="38"/>
          <w:szCs w:val="36"/>
          <w:rtl/>
          <w:lang w:eastAsia="en-US" w:bidi="ar-AE"/>
        </w:rPr>
        <w:t xml:space="preserve"> </w:t>
      </w:r>
      <w:r w:rsidRPr="00EB5FFB">
        <w:rPr>
          <w:rFonts w:hint="eastAsia"/>
          <w:sz w:val="20"/>
          <w:szCs w:val="36"/>
          <w:rtl/>
          <w:lang w:val="en-GB" w:eastAsia="en-US"/>
        </w:rPr>
        <w:t>«</w:t>
      </w:r>
      <w:r w:rsidRPr="00EB5FFB">
        <w:rPr>
          <w:rFonts w:hint="eastAsia"/>
          <w:sz w:val="38"/>
          <w:szCs w:val="36"/>
          <w:rtl/>
          <w:lang w:eastAsia="en-US" w:bidi="ar-AE"/>
        </w:rPr>
        <w:t>البيع</w:t>
      </w:r>
      <w:r w:rsidRPr="00EB5FFB">
        <w:rPr>
          <w:rFonts w:hint="cs"/>
          <w:sz w:val="38"/>
          <w:szCs w:val="36"/>
          <w:rtl/>
          <w:lang w:eastAsia="en-US" w:bidi="ar-AE"/>
        </w:rPr>
        <w:t>ُ</w:t>
      </w:r>
      <w:r w:rsidRPr="00EB5FFB">
        <w:rPr>
          <w:sz w:val="38"/>
          <w:szCs w:val="36"/>
          <w:rtl/>
          <w:lang w:eastAsia="en-US" w:bidi="ar-AE"/>
        </w:rPr>
        <w:t xml:space="preserve"> لا ي</w:t>
      </w:r>
      <w:r w:rsidRPr="00EB5FFB">
        <w:rPr>
          <w:rFonts w:hint="cs"/>
          <w:sz w:val="38"/>
          <w:szCs w:val="36"/>
          <w:rtl/>
          <w:lang w:eastAsia="en-US" w:bidi="ar-AE"/>
        </w:rPr>
        <w:t>ُ</w:t>
      </w:r>
      <w:r w:rsidRPr="00EB5FFB">
        <w:rPr>
          <w:sz w:val="38"/>
          <w:szCs w:val="36"/>
          <w:rtl/>
          <w:lang w:eastAsia="en-US" w:bidi="ar-AE"/>
        </w:rPr>
        <w:t>ز</w:t>
      </w:r>
      <w:r w:rsidRPr="00EB5FFB">
        <w:rPr>
          <w:rFonts w:hint="cs"/>
          <w:sz w:val="38"/>
          <w:szCs w:val="36"/>
          <w:rtl/>
          <w:lang w:eastAsia="en-US" w:bidi="ar-AE"/>
        </w:rPr>
        <w:t>ِ</w:t>
      </w:r>
      <w:r w:rsidRPr="00EB5FFB">
        <w:rPr>
          <w:sz w:val="38"/>
          <w:szCs w:val="36"/>
          <w:rtl/>
          <w:lang w:eastAsia="en-US" w:bidi="ar-AE"/>
        </w:rPr>
        <w:t>يل</w:t>
      </w:r>
      <w:r w:rsidRPr="00EB5FFB">
        <w:rPr>
          <w:rFonts w:hint="cs"/>
          <w:sz w:val="38"/>
          <w:szCs w:val="36"/>
          <w:rtl/>
          <w:lang w:eastAsia="en-US" w:bidi="ar-AE"/>
        </w:rPr>
        <w:t>ُ</w:t>
      </w:r>
      <w:r w:rsidRPr="00EB5FFB">
        <w:rPr>
          <w:sz w:val="38"/>
          <w:szCs w:val="36"/>
          <w:rtl/>
          <w:lang w:eastAsia="en-US" w:bidi="ar-AE"/>
        </w:rPr>
        <w:t xml:space="preserve"> م</w:t>
      </w:r>
      <w:r w:rsidRPr="00EB5FFB">
        <w:rPr>
          <w:rFonts w:hint="cs"/>
          <w:sz w:val="38"/>
          <w:szCs w:val="36"/>
          <w:rtl/>
          <w:lang w:eastAsia="en-US" w:bidi="ar-AE"/>
        </w:rPr>
        <w:t>ِ</w:t>
      </w:r>
      <w:r w:rsidRPr="00EB5FFB">
        <w:rPr>
          <w:sz w:val="38"/>
          <w:szCs w:val="36"/>
          <w:rtl/>
          <w:lang w:eastAsia="en-US" w:bidi="ar-AE"/>
        </w:rPr>
        <w:t>ل</w:t>
      </w:r>
      <w:r w:rsidRPr="00EB5FFB">
        <w:rPr>
          <w:rFonts w:hint="cs"/>
          <w:sz w:val="38"/>
          <w:szCs w:val="36"/>
          <w:rtl/>
          <w:lang w:eastAsia="en-US" w:bidi="ar-AE"/>
        </w:rPr>
        <w:t>ْ</w:t>
      </w:r>
      <w:r w:rsidRPr="00EB5FFB">
        <w:rPr>
          <w:sz w:val="38"/>
          <w:szCs w:val="36"/>
          <w:rtl/>
          <w:lang w:eastAsia="en-US" w:bidi="ar-AE"/>
        </w:rPr>
        <w:t>ك</w:t>
      </w:r>
      <w:r w:rsidRPr="00EB5FFB">
        <w:rPr>
          <w:rFonts w:hint="cs"/>
          <w:sz w:val="38"/>
          <w:szCs w:val="36"/>
          <w:rtl/>
          <w:lang w:eastAsia="en-US" w:bidi="ar-AE"/>
        </w:rPr>
        <w:t>َ</w:t>
      </w:r>
      <w:r w:rsidRPr="00EB5FFB">
        <w:rPr>
          <w:sz w:val="38"/>
          <w:szCs w:val="36"/>
          <w:rtl/>
          <w:lang w:eastAsia="en-US" w:bidi="ar-AE"/>
        </w:rPr>
        <w:t xml:space="preserve"> </w:t>
      </w:r>
      <w:r w:rsidRPr="00EB5FFB">
        <w:rPr>
          <w:rFonts w:hint="eastAsia"/>
          <w:sz w:val="38"/>
          <w:szCs w:val="36"/>
          <w:rtl/>
          <w:lang w:eastAsia="en-US" w:bidi="ar-AE"/>
        </w:rPr>
        <w:t>اليد</w:t>
      </w:r>
      <w:r w:rsidRPr="00EB5FFB">
        <w:rPr>
          <w:rFonts w:hint="cs"/>
          <w:sz w:val="38"/>
          <w:szCs w:val="36"/>
          <w:rtl/>
          <w:lang w:eastAsia="en-US" w:bidi="ar-AE"/>
        </w:rPr>
        <w:t>ِ</w:t>
      </w:r>
      <w:r w:rsidRPr="00EB5FFB">
        <w:rPr>
          <w:sz w:val="38"/>
          <w:szCs w:val="36"/>
          <w:rtl/>
          <w:lang w:eastAsia="en-US" w:bidi="ar-AE"/>
        </w:rPr>
        <w:t xml:space="preserve"> م</w:t>
      </w:r>
      <w:r w:rsidRPr="00EB5FFB">
        <w:rPr>
          <w:rFonts w:hint="cs"/>
          <w:sz w:val="38"/>
          <w:szCs w:val="36"/>
          <w:rtl/>
          <w:lang w:eastAsia="en-US" w:bidi="ar-AE"/>
        </w:rPr>
        <w:t>َ</w:t>
      </w:r>
      <w:r w:rsidRPr="00EB5FFB">
        <w:rPr>
          <w:sz w:val="38"/>
          <w:szCs w:val="36"/>
          <w:rtl/>
          <w:lang w:eastAsia="en-US" w:bidi="ar-AE"/>
        </w:rPr>
        <w:t>ا ل</w:t>
      </w:r>
      <w:r w:rsidRPr="00EB5FFB">
        <w:rPr>
          <w:rFonts w:hint="cs"/>
          <w:sz w:val="38"/>
          <w:szCs w:val="36"/>
          <w:rtl/>
          <w:lang w:eastAsia="en-US" w:bidi="ar-AE"/>
        </w:rPr>
        <w:t>َ</w:t>
      </w:r>
      <w:r w:rsidRPr="00EB5FFB">
        <w:rPr>
          <w:sz w:val="38"/>
          <w:szCs w:val="36"/>
          <w:rtl/>
          <w:lang w:eastAsia="en-US" w:bidi="ar-AE"/>
        </w:rPr>
        <w:t>م</w:t>
      </w:r>
      <w:r w:rsidRPr="00EB5FFB">
        <w:rPr>
          <w:rFonts w:hint="cs"/>
          <w:sz w:val="38"/>
          <w:szCs w:val="36"/>
          <w:rtl/>
          <w:lang w:eastAsia="en-US" w:bidi="ar-AE"/>
        </w:rPr>
        <w:t>ْ</w:t>
      </w:r>
      <w:r w:rsidRPr="00EB5FFB">
        <w:rPr>
          <w:sz w:val="38"/>
          <w:szCs w:val="36"/>
          <w:rtl/>
          <w:lang w:eastAsia="en-US" w:bidi="ar-AE"/>
        </w:rPr>
        <w:t xml:space="preserve"> يت</w:t>
      </w:r>
      <w:r w:rsidRPr="00EB5FFB">
        <w:rPr>
          <w:rFonts w:hint="cs"/>
          <w:sz w:val="38"/>
          <w:szCs w:val="36"/>
          <w:rtl/>
          <w:lang w:eastAsia="en-US" w:bidi="ar-AE"/>
        </w:rPr>
        <w:t>َّ</w:t>
      </w:r>
      <w:r w:rsidRPr="00EB5FFB">
        <w:rPr>
          <w:sz w:val="38"/>
          <w:szCs w:val="36"/>
          <w:rtl/>
          <w:lang w:eastAsia="en-US" w:bidi="ar-AE"/>
        </w:rPr>
        <w:t>صل</w:t>
      </w:r>
      <w:r w:rsidRPr="00EB5FFB">
        <w:rPr>
          <w:rFonts w:hint="cs"/>
          <w:sz w:val="38"/>
          <w:szCs w:val="36"/>
          <w:rtl/>
          <w:lang w:eastAsia="en-US" w:bidi="ar-AE"/>
        </w:rPr>
        <w:t>ْ</w:t>
      </w:r>
      <w:r w:rsidRPr="00EB5FFB">
        <w:rPr>
          <w:sz w:val="38"/>
          <w:szCs w:val="36"/>
          <w:rtl/>
          <w:lang w:eastAsia="en-US" w:bidi="ar-AE"/>
        </w:rPr>
        <w:t xml:space="preserve"> </w:t>
      </w:r>
      <w:r w:rsidRPr="00EB5FFB">
        <w:rPr>
          <w:rFonts w:hint="eastAsia"/>
          <w:sz w:val="38"/>
          <w:szCs w:val="36"/>
          <w:rtl/>
          <w:lang w:eastAsia="en-US" w:bidi="ar-AE"/>
        </w:rPr>
        <w:t>إليه</w:t>
      </w:r>
      <w:r w:rsidRPr="00EB5FFB">
        <w:rPr>
          <w:rFonts w:hint="cs"/>
          <w:sz w:val="38"/>
          <w:szCs w:val="36"/>
          <w:rtl/>
          <w:lang w:eastAsia="en-US" w:bidi="ar-AE"/>
        </w:rPr>
        <w:t>ِ</w:t>
      </w:r>
      <w:r w:rsidRPr="00EB5FFB">
        <w:rPr>
          <w:sz w:val="38"/>
          <w:szCs w:val="36"/>
          <w:rtl/>
          <w:lang w:eastAsia="en-US" w:bidi="ar-AE"/>
        </w:rPr>
        <w:t xml:space="preserve"> الث</w:t>
      </w:r>
      <w:r w:rsidRPr="00EB5FFB">
        <w:rPr>
          <w:rFonts w:hint="cs"/>
          <w:sz w:val="38"/>
          <w:szCs w:val="36"/>
          <w:rtl/>
          <w:lang w:eastAsia="en-US" w:bidi="ar-AE"/>
        </w:rPr>
        <w:t>َّ</w:t>
      </w:r>
      <w:r w:rsidRPr="00EB5FFB">
        <w:rPr>
          <w:sz w:val="38"/>
          <w:szCs w:val="36"/>
          <w:rtl/>
          <w:lang w:eastAsia="en-US" w:bidi="ar-AE"/>
        </w:rPr>
        <w:t>م</w:t>
      </w:r>
      <w:r w:rsidRPr="00EB5FFB">
        <w:rPr>
          <w:rFonts w:hint="cs"/>
          <w:sz w:val="38"/>
          <w:szCs w:val="36"/>
          <w:rtl/>
          <w:lang w:eastAsia="en-US" w:bidi="ar-AE"/>
        </w:rPr>
        <w:t>َ</w:t>
      </w:r>
      <w:r w:rsidRPr="00EB5FFB">
        <w:rPr>
          <w:sz w:val="38"/>
          <w:szCs w:val="36"/>
          <w:rtl/>
          <w:lang w:eastAsia="en-US" w:bidi="ar-AE"/>
        </w:rPr>
        <w:t>ن</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38"/>
          <w:szCs w:val="36"/>
          <w:rtl/>
          <w:lang w:eastAsia="en-US" w:bidi="ar-AE"/>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bidi="ar-AE"/>
        </w:rPr>
        <w:t>باب التاء</w:t>
      </w:r>
      <w:r w:rsidR="0048366D">
        <w:rPr>
          <w:rFonts w:hint="cs"/>
          <w:b/>
          <w:bCs/>
          <w:sz w:val="20"/>
          <w:szCs w:val="36"/>
          <w:rtl/>
          <w:lang w:eastAsia="en-US" w:bidi="ar-AE"/>
        </w:rPr>
        <w:t>:</w:t>
      </w:r>
      <w:r w:rsidRPr="00EB5FFB">
        <w:rPr>
          <w:rFonts w:hint="cs"/>
          <w:b/>
          <w:bCs/>
          <w:sz w:val="20"/>
          <w:szCs w:val="36"/>
          <w:rtl/>
          <w:lang w:eastAsia="en-US" w:bidi="ar-AE"/>
        </w:rPr>
        <w:t xml:space="preserve"> </w:t>
      </w:r>
    </w:p>
    <w:p w:rsidR="00EB5FFB" w:rsidRPr="00EB5FFB" w:rsidRDefault="00EB5FFB" w:rsidP="009A68A5">
      <w:pPr>
        <w:widowControl/>
        <w:ind w:firstLine="567"/>
        <w:jc w:val="both"/>
        <w:rPr>
          <w:sz w:val="38"/>
          <w:szCs w:val="36"/>
          <w:rtl/>
          <w:lang w:eastAsia="en-US" w:bidi="ar-AE"/>
        </w:rPr>
      </w:pPr>
      <w:r w:rsidRPr="00EB5FFB">
        <w:rPr>
          <w:rFonts w:hint="cs"/>
          <w:sz w:val="20"/>
          <w:szCs w:val="36"/>
          <w:rtl/>
          <w:lang w:eastAsia="en-US" w:bidi="ar-AE"/>
        </w:rPr>
        <w:t xml:space="preserve">ويأتي في الدرجة الثالثة، بعد باب الألف والميم، من جهة عدد القواعد، حيث تضمّن تسعًا وعشرين قاعدة، </w:t>
      </w:r>
      <w:r w:rsidRPr="00EB5FFB">
        <w:rPr>
          <w:rFonts w:hint="cs"/>
          <w:b/>
          <w:bCs/>
          <w:sz w:val="20"/>
          <w:szCs w:val="36"/>
          <w:rtl/>
          <w:lang w:eastAsia="en-US" w:bidi="ar-AE"/>
        </w:rPr>
        <w:t>أوّلها</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cs"/>
          <w:sz w:val="38"/>
          <w:szCs w:val="36"/>
          <w:rtl/>
          <w:lang w:eastAsia="en-US" w:bidi="ar-AE"/>
        </w:rPr>
        <w:t>ق63</w:t>
      </w:r>
      <w:r w:rsidR="0048366D">
        <w:rPr>
          <w:rFonts w:hint="cs"/>
          <w:sz w:val="38"/>
          <w:szCs w:val="36"/>
          <w:rtl/>
          <w:lang w:eastAsia="en-US" w:bidi="ar-AE"/>
        </w:rPr>
        <w:t>:</w:t>
      </w:r>
      <w:r w:rsidRPr="00EB5FFB">
        <w:rPr>
          <w:rFonts w:hint="cs"/>
          <w:sz w:val="38"/>
          <w:szCs w:val="36"/>
          <w:rtl/>
          <w:lang w:eastAsia="en-US" w:bidi="ar-AE"/>
        </w:rPr>
        <w:t xml:space="preserve"> </w:t>
      </w:r>
      <w:r w:rsidRPr="00EB5FFB">
        <w:rPr>
          <w:rFonts w:hint="eastAsia"/>
          <w:sz w:val="20"/>
          <w:szCs w:val="36"/>
          <w:rtl/>
          <w:lang w:val="en-GB" w:eastAsia="en-US"/>
        </w:rPr>
        <w:t>«</w:t>
      </w:r>
      <w:r w:rsidRPr="00EB5FFB">
        <w:rPr>
          <w:rFonts w:hint="cs"/>
          <w:sz w:val="38"/>
          <w:szCs w:val="36"/>
          <w:rtl/>
          <w:lang w:eastAsia="en-US" w:bidi="ar-AE"/>
        </w:rPr>
        <w:t>التَّابعُ لا يُفْرَدُ بالحُكْمِ</w:t>
      </w:r>
      <w:r w:rsidRPr="00EB5FFB">
        <w:rPr>
          <w:rFonts w:hint="eastAsia"/>
          <w:sz w:val="20"/>
          <w:szCs w:val="36"/>
          <w:rtl/>
          <w:lang w:val="en-GB" w:eastAsia="en-US"/>
        </w:rPr>
        <w:t>»</w:t>
      </w:r>
      <w:r w:rsidRPr="00EB5FFB">
        <w:rPr>
          <w:rFonts w:hint="cs"/>
          <w:sz w:val="38"/>
          <w:szCs w:val="36"/>
          <w:rtl/>
          <w:lang w:eastAsia="en-US" w:bidi="ar-AE"/>
        </w:rPr>
        <w:t xml:space="preserve">، </w:t>
      </w:r>
      <w:r w:rsidRPr="00EB5FFB">
        <w:rPr>
          <w:rFonts w:hint="cs"/>
          <w:b/>
          <w:bCs/>
          <w:sz w:val="38"/>
          <w:szCs w:val="36"/>
          <w:rtl/>
          <w:lang w:eastAsia="en-US" w:bidi="ar-AE"/>
        </w:rPr>
        <w:t>وآخرها</w:t>
      </w:r>
      <w:r w:rsidRPr="00EB5FFB">
        <w:rPr>
          <w:rFonts w:hint="cs"/>
          <w:sz w:val="38"/>
          <w:szCs w:val="36"/>
          <w:rtl/>
          <w:lang w:eastAsia="en-US" w:bidi="ar-AE"/>
        </w:rPr>
        <w:t xml:space="preserve">: ق91: </w:t>
      </w:r>
      <w:r w:rsidRPr="00EB5FFB">
        <w:rPr>
          <w:rFonts w:hint="eastAsia"/>
          <w:sz w:val="20"/>
          <w:szCs w:val="36"/>
          <w:rtl/>
          <w:lang w:val="en-GB" w:eastAsia="en-US"/>
        </w:rPr>
        <w:t>«</w:t>
      </w:r>
      <w:r w:rsidRPr="00EB5FFB">
        <w:rPr>
          <w:rFonts w:hint="cs"/>
          <w:sz w:val="38"/>
          <w:szCs w:val="36"/>
          <w:rtl/>
          <w:lang w:eastAsia="en-US" w:bidi="ar-AE"/>
        </w:rPr>
        <w:t>التَّوْبَةُ علىَ حَسَبِ الجِنَايَةِ</w:t>
      </w:r>
      <w:r w:rsidRPr="00EB5FFB">
        <w:rPr>
          <w:rFonts w:hint="eastAsia"/>
          <w:sz w:val="20"/>
          <w:szCs w:val="36"/>
          <w:rtl/>
          <w:lang w:val="en-GB" w:eastAsia="en-US"/>
        </w:rPr>
        <w:t>»</w:t>
      </w:r>
      <w:r w:rsidRPr="00EB5FFB">
        <w:rPr>
          <w:rFonts w:hint="cs"/>
          <w:sz w:val="38"/>
          <w:szCs w:val="36"/>
          <w:rtl/>
          <w:lang w:eastAsia="en-US" w:bidi="ar-AE"/>
        </w:rPr>
        <w:t xml:space="preserve">. </w:t>
      </w:r>
    </w:p>
    <w:p w:rsidR="00EB5FFB" w:rsidRPr="00EB5FFB" w:rsidRDefault="00EB5FFB" w:rsidP="009A68A5">
      <w:pPr>
        <w:widowControl/>
        <w:ind w:firstLine="567"/>
        <w:jc w:val="both"/>
        <w:rPr>
          <w:sz w:val="38"/>
          <w:szCs w:val="36"/>
          <w:rtl/>
          <w:lang w:eastAsia="en-US"/>
        </w:rPr>
      </w:pPr>
    </w:p>
    <w:p w:rsidR="00EB5FFB" w:rsidRPr="00EB5FFB" w:rsidRDefault="00EB5FFB" w:rsidP="009A68A5">
      <w:pPr>
        <w:widowControl/>
        <w:ind w:firstLine="567"/>
        <w:jc w:val="both"/>
        <w:rPr>
          <w:b/>
          <w:bCs/>
          <w:sz w:val="38"/>
          <w:szCs w:val="36"/>
          <w:rtl/>
          <w:lang w:eastAsia="en-US"/>
        </w:rPr>
      </w:pPr>
      <w:r w:rsidRPr="00EB5FFB">
        <w:rPr>
          <w:rFonts w:hint="cs"/>
          <w:b/>
          <w:bCs/>
          <w:sz w:val="38"/>
          <w:szCs w:val="36"/>
          <w:rtl/>
          <w:lang w:eastAsia="en-US" w:bidi="ar-AE"/>
        </w:rPr>
        <w:lastRenderedPageBreak/>
        <w:t>باب الثاء</w:t>
      </w:r>
      <w:r w:rsidR="0048366D">
        <w:rPr>
          <w:rFonts w:hint="cs"/>
          <w:b/>
          <w:bCs/>
          <w:sz w:val="38"/>
          <w:szCs w:val="36"/>
          <w:rtl/>
          <w:lang w:eastAsia="en-US" w:bidi="ar-AE"/>
        </w:rPr>
        <w:t>:</w:t>
      </w:r>
    </w:p>
    <w:p w:rsidR="00EB5FFB" w:rsidRPr="00EB5FFB" w:rsidRDefault="00EB5FFB" w:rsidP="009A68A5">
      <w:pPr>
        <w:widowControl/>
        <w:ind w:firstLine="567"/>
        <w:jc w:val="both"/>
        <w:rPr>
          <w:sz w:val="38"/>
          <w:szCs w:val="36"/>
          <w:rtl/>
          <w:lang w:val="en-GB" w:eastAsia="en-US"/>
        </w:rPr>
      </w:pPr>
      <w:r w:rsidRPr="00EB5FFB">
        <w:rPr>
          <w:rFonts w:hint="cs"/>
          <w:sz w:val="20"/>
          <w:szCs w:val="36"/>
          <w:rtl/>
          <w:lang w:eastAsia="en-US" w:bidi="ar-AE"/>
        </w:rPr>
        <w:t xml:space="preserve">وقد تضمن سبع قواعد، </w:t>
      </w:r>
      <w:r w:rsidRPr="00EB5FFB">
        <w:rPr>
          <w:rFonts w:hint="cs"/>
          <w:b/>
          <w:bCs/>
          <w:sz w:val="20"/>
          <w:szCs w:val="36"/>
          <w:rtl/>
          <w:lang w:eastAsia="en-US" w:bidi="ar-AE"/>
        </w:rPr>
        <w:t>أوّلها</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cs"/>
          <w:sz w:val="38"/>
          <w:szCs w:val="36"/>
          <w:rtl/>
          <w:lang w:eastAsia="en-US" w:bidi="ar-AE"/>
        </w:rPr>
        <w:t>ق92</w:t>
      </w:r>
      <w:r w:rsidR="0048366D">
        <w:rPr>
          <w:rFonts w:hint="cs"/>
          <w:sz w:val="38"/>
          <w:szCs w:val="36"/>
          <w:rtl/>
          <w:lang w:eastAsia="en-US" w:bidi="ar-AE"/>
        </w:rPr>
        <w:t>:</w:t>
      </w:r>
      <w:r w:rsidRPr="00EB5FFB">
        <w:rPr>
          <w:rFonts w:hint="cs"/>
          <w:sz w:val="38"/>
          <w:szCs w:val="36"/>
          <w:rtl/>
          <w:lang w:eastAsia="en-US" w:bidi="ar-AE"/>
        </w:rPr>
        <w:t xml:space="preserve"> </w:t>
      </w:r>
      <w:r w:rsidRPr="00EB5FFB">
        <w:rPr>
          <w:rFonts w:hint="eastAsia"/>
          <w:sz w:val="20"/>
          <w:szCs w:val="36"/>
          <w:rtl/>
          <w:lang w:val="en-GB" w:eastAsia="en-US"/>
        </w:rPr>
        <w:t>«</w:t>
      </w:r>
      <w:r w:rsidRPr="00EB5FFB">
        <w:rPr>
          <w:rFonts w:hint="cs"/>
          <w:sz w:val="38"/>
          <w:szCs w:val="36"/>
          <w:rtl/>
          <w:lang w:eastAsia="en-US" w:bidi="ar-AE"/>
        </w:rPr>
        <w:t>الثَّابتُ اقتـضاءً كالثابتِ نصًّا</w:t>
      </w:r>
      <w:r w:rsidRPr="00EB5FFB">
        <w:rPr>
          <w:rFonts w:hint="eastAsia"/>
          <w:sz w:val="20"/>
          <w:szCs w:val="36"/>
          <w:rtl/>
          <w:lang w:val="en-GB" w:eastAsia="en-US"/>
        </w:rPr>
        <w:t>»</w:t>
      </w:r>
      <w:r w:rsidRPr="00EB5FFB">
        <w:rPr>
          <w:rFonts w:hint="cs"/>
          <w:sz w:val="38"/>
          <w:szCs w:val="36"/>
          <w:rtl/>
          <w:lang w:eastAsia="en-US" w:bidi="ar-AE"/>
        </w:rPr>
        <w:t xml:space="preserve">، </w:t>
      </w:r>
      <w:r w:rsidRPr="00EB5FFB">
        <w:rPr>
          <w:rFonts w:hint="cs"/>
          <w:b/>
          <w:bCs/>
          <w:sz w:val="38"/>
          <w:szCs w:val="36"/>
          <w:rtl/>
          <w:lang w:eastAsia="en-US" w:bidi="ar-AE"/>
        </w:rPr>
        <w:t>وآخرها</w:t>
      </w:r>
      <w:r w:rsidRPr="00EB5FFB">
        <w:rPr>
          <w:rFonts w:hint="cs"/>
          <w:sz w:val="38"/>
          <w:szCs w:val="36"/>
          <w:rtl/>
          <w:lang w:eastAsia="en-US" w:bidi="ar-AE"/>
        </w:rPr>
        <w:t xml:space="preserve">: </w:t>
      </w:r>
      <w:r w:rsidRPr="00EB5FFB">
        <w:rPr>
          <w:rFonts w:hint="cs"/>
          <w:sz w:val="38"/>
          <w:szCs w:val="36"/>
          <w:rtl/>
          <w:lang w:val="en-GB" w:eastAsia="en-US"/>
        </w:rPr>
        <w:t>ق98</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الثَّابِتُ قَطْعًا أو ظَاهِرًا لا يُؤَخَّرُ لموهومٍ</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eastAsia="en-US" w:bidi="ar-AE"/>
        </w:rPr>
      </w:pPr>
      <w:r w:rsidRPr="00EB5FFB">
        <w:rPr>
          <w:rFonts w:hint="cs"/>
          <w:b/>
          <w:bCs/>
          <w:sz w:val="38"/>
          <w:szCs w:val="36"/>
          <w:rtl/>
          <w:lang w:eastAsia="en-US" w:bidi="ar-AE"/>
        </w:rPr>
        <w:t>باب الجيم</w:t>
      </w:r>
      <w:r w:rsidR="0048366D">
        <w:rPr>
          <w:rFonts w:hint="cs"/>
          <w:b/>
          <w:bCs/>
          <w:sz w:val="38"/>
          <w:szCs w:val="36"/>
          <w:rtl/>
          <w:lang w:eastAsia="en-US" w:bidi="ar-AE"/>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eastAsia="en-US" w:bidi="ar-AE"/>
        </w:rPr>
        <w:t xml:space="preserve">وقد تضمن تسع قواعد، </w:t>
      </w:r>
      <w:r w:rsidRPr="00EB5FFB">
        <w:rPr>
          <w:rFonts w:hint="cs"/>
          <w:b/>
          <w:bCs/>
          <w:sz w:val="38"/>
          <w:szCs w:val="36"/>
          <w:rtl/>
          <w:lang w:eastAsia="en-US" w:bidi="ar-AE"/>
        </w:rPr>
        <w:t>أوّلها</w:t>
      </w:r>
      <w:r w:rsidR="0048366D">
        <w:rPr>
          <w:rFonts w:hint="cs"/>
          <w:sz w:val="38"/>
          <w:szCs w:val="36"/>
          <w:rtl/>
          <w:lang w:eastAsia="en-US" w:bidi="ar-AE"/>
        </w:rPr>
        <w:t>:</w:t>
      </w:r>
      <w:r w:rsidRPr="00EB5FFB">
        <w:rPr>
          <w:rFonts w:hint="cs"/>
          <w:sz w:val="38"/>
          <w:szCs w:val="36"/>
          <w:rtl/>
          <w:lang w:eastAsia="en-US" w:bidi="ar-AE"/>
        </w:rPr>
        <w:t xml:space="preserve"> </w:t>
      </w:r>
      <w:r w:rsidRPr="00EB5FFB">
        <w:rPr>
          <w:rFonts w:hint="cs"/>
          <w:sz w:val="38"/>
          <w:szCs w:val="36"/>
          <w:rtl/>
          <w:lang w:val="en-GB" w:eastAsia="en-US"/>
        </w:rPr>
        <w:t>ق99</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جَازَ إقامةُ البَّيِنَةِ مَعَ الإقرارِ في كلِّ موضعٍ يُتوقَّعُ الضررُ مِنْ غيرِالمُقِرِّ لولاها</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وآخرها</w:t>
      </w:r>
      <w:r w:rsidR="0048366D">
        <w:rPr>
          <w:rFonts w:hint="cs"/>
          <w:sz w:val="38"/>
          <w:szCs w:val="36"/>
          <w:rtl/>
          <w:lang w:val="en-GB" w:eastAsia="en-US"/>
        </w:rPr>
        <w:t>:</w:t>
      </w:r>
      <w:r w:rsidRPr="00EB5FFB">
        <w:rPr>
          <w:rFonts w:hint="cs"/>
          <w:sz w:val="38"/>
          <w:szCs w:val="36"/>
          <w:rtl/>
          <w:lang w:val="en-GB" w:eastAsia="en-US"/>
        </w:rPr>
        <w:t xml:space="preserve"> ق107</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جَهَالَةُ المَكْفُولِ لَهُ تُبطِلُ الكفالةَ، وكذا جهالةُ المكفولِ عنهُ</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الحاء</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 xml:space="preserve">وقد تضمن إحدى عشرة قاعدة، </w:t>
      </w:r>
      <w:r w:rsidRPr="00EB5FFB">
        <w:rPr>
          <w:rFonts w:hint="cs"/>
          <w:b/>
          <w:bCs/>
          <w:sz w:val="38"/>
          <w:szCs w:val="36"/>
          <w:rtl/>
          <w:lang w:val="en-GB" w:eastAsia="en-US"/>
        </w:rPr>
        <w:t>أوّلها</w:t>
      </w:r>
      <w:r w:rsidR="0048366D">
        <w:rPr>
          <w:rFonts w:hint="cs"/>
          <w:sz w:val="38"/>
          <w:szCs w:val="36"/>
          <w:rtl/>
          <w:lang w:val="en-GB" w:eastAsia="en-US"/>
        </w:rPr>
        <w:t>:</w:t>
      </w:r>
      <w:r w:rsidRPr="00EB5FFB">
        <w:rPr>
          <w:rFonts w:hint="cs"/>
          <w:sz w:val="38"/>
          <w:szCs w:val="36"/>
          <w:rtl/>
          <w:lang w:val="en-GB" w:eastAsia="en-US"/>
        </w:rPr>
        <w:t xml:space="preserve"> ق108</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الحاجةُ تُنَزَّلُ منزلةَ الضَّرورةِ، عامَّةً كانتْ أو خاصَّةً</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وآخرها:</w:t>
      </w:r>
      <w:r w:rsidRPr="00EB5FFB">
        <w:rPr>
          <w:rFonts w:hint="cs"/>
          <w:sz w:val="38"/>
          <w:szCs w:val="36"/>
          <w:rtl/>
          <w:lang w:val="en-GB" w:eastAsia="en-US"/>
        </w:rPr>
        <w:t xml:space="preserve"> ق118</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الحيلةُ لدفعِ الضَّرَرِ عَنْ نفـسِهِ جائزةٌ، وإنْ تضَرَّرَ الغيرُ في ضِمْنِهِ</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الخاء</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وقد تضمّن قاعدتين، وهما</w:t>
      </w:r>
      <w:r w:rsidR="0048366D">
        <w:rPr>
          <w:rFonts w:hint="cs"/>
          <w:sz w:val="38"/>
          <w:szCs w:val="36"/>
          <w:rtl/>
          <w:lang w:val="en-GB" w:eastAsia="en-US"/>
        </w:rPr>
        <w:t>:</w:t>
      </w:r>
      <w:r w:rsidRPr="00EB5FFB">
        <w:rPr>
          <w:rFonts w:hint="cs"/>
          <w:sz w:val="38"/>
          <w:szCs w:val="36"/>
          <w:rtl/>
          <w:lang w:val="en-GB" w:eastAsia="en-US"/>
        </w:rPr>
        <w:t xml:space="preserve"> ق119</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الخاصُّ يتناولُ المخصوصَ قطعًا</w:t>
      </w:r>
      <w:r w:rsidRPr="00EB5FFB">
        <w:rPr>
          <w:rFonts w:hint="eastAsia"/>
          <w:sz w:val="20"/>
          <w:szCs w:val="36"/>
          <w:rtl/>
          <w:lang w:val="en-GB" w:eastAsia="en-US"/>
        </w:rPr>
        <w:t>»</w:t>
      </w:r>
      <w:r w:rsidRPr="00EB5FFB">
        <w:rPr>
          <w:rFonts w:hint="cs"/>
          <w:sz w:val="38"/>
          <w:szCs w:val="36"/>
          <w:rtl/>
          <w:lang w:val="en-GB" w:eastAsia="en-US"/>
        </w:rPr>
        <w:t>، وق120</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eastAsia"/>
          <w:sz w:val="38"/>
          <w:szCs w:val="36"/>
          <w:rtl/>
          <w:lang w:val="en-GB" w:eastAsia="en-US"/>
        </w:rPr>
        <w:t>الخراج</w:t>
      </w:r>
      <w:r w:rsidRPr="00EB5FFB">
        <w:rPr>
          <w:rFonts w:hint="cs"/>
          <w:sz w:val="38"/>
          <w:szCs w:val="36"/>
          <w:rtl/>
          <w:lang w:val="en-GB" w:eastAsia="en-US"/>
        </w:rPr>
        <w:t>ُ</w:t>
      </w:r>
      <w:r w:rsidRPr="00EB5FFB">
        <w:rPr>
          <w:sz w:val="38"/>
          <w:szCs w:val="36"/>
          <w:rtl/>
          <w:lang w:val="en-GB" w:eastAsia="en-US"/>
        </w:rPr>
        <w:t xml:space="preserve"> بالضمَان</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الدال</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 xml:space="preserve">وقد تضمّن ثماني قواعد، </w:t>
      </w:r>
      <w:r w:rsidRPr="00EB5FFB">
        <w:rPr>
          <w:rFonts w:hint="cs"/>
          <w:b/>
          <w:bCs/>
          <w:sz w:val="38"/>
          <w:szCs w:val="36"/>
          <w:rtl/>
          <w:lang w:val="en-GB" w:eastAsia="en-US"/>
        </w:rPr>
        <w:t>أولها</w:t>
      </w:r>
      <w:r w:rsidR="0048366D">
        <w:rPr>
          <w:rFonts w:hint="cs"/>
          <w:sz w:val="38"/>
          <w:szCs w:val="36"/>
          <w:rtl/>
          <w:lang w:val="en-GB" w:eastAsia="en-US"/>
        </w:rPr>
        <w:t>:</w:t>
      </w:r>
      <w:r w:rsidRPr="00EB5FFB">
        <w:rPr>
          <w:rFonts w:hint="cs"/>
          <w:sz w:val="38"/>
          <w:szCs w:val="36"/>
          <w:rtl/>
          <w:lang w:val="en-GB" w:eastAsia="en-US"/>
        </w:rPr>
        <w:t xml:space="preserve"> ق121</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الدَّاخلُ تَحْتَ العَقْدِ عملٌ سليمٌ، والمُفْسَدُ غيرُ داخلٍ</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وآخرها</w:t>
      </w:r>
      <w:r w:rsidR="0048366D">
        <w:rPr>
          <w:rFonts w:hint="cs"/>
          <w:sz w:val="38"/>
          <w:szCs w:val="36"/>
          <w:rtl/>
          <w:lang w:val="en-GB" w:eastAsia="en-US"/>
        </w:rPr>
        <w:t>:</w:t>
      </w:r>
      <w:r w:rsidRPr="00EB5FFB">
        <w:rPr>
          <w:rFonts w:hint="cs"/>
          <w:sz w:val="38"/>
          <w:szCs w:val="36"/>
          <w:rtl/>
          <w:lang w:val="en-GB" w:eastAsia="en-US"/>
        </w:rPr>
        <w:t xml:space="preserve"> ق128</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الدُّيُونُ تُقْضَى بأَمثَالِهَا</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الذال</w:t>
      </w:r>
      <w:r w:rsidR="0048366D">
        <w:rPr>
          <w:rFonts w:hint="cs"/>
          <w:b/>
          <w:bCs/>
          <w:sz w:val="38"/>
          <w:szCs w:val="36"/>
          <w:rtl/>
          <w:lang w:val="en-GB" w:eastAsia="en-US"/>
        </w:rPr>
        <w:t>:</w:t>
      </w:r>
    </w:p>
    <w:p w:rsidR="00EB5FFB" w:rsidRPr="00EB5FFB" w:rsidRDefault="00EB5FFB" w:rsidP="009A68A5">
      <w:pPr>
        <w:widowControl/>
        <w:ind w:firstLine="567"/>
        <w:jc w:val="both"/>
        <w:rPr>
          <w:spacing w:val="8"/>
          <w:sz w:val="38"/>
          <w:szCs w:val="36"/>
          <w:rtl/>
          <w:lang w:val="en-GB" w:eastAsia="en-US"/>
        </w:rPr>
      </w:pPr>
      <w:r w:rsidRPr="00EB5FFB">
        <w:rPr>
          <w:rFonts w:hint="cs"/>
          <w:spacing w:val="8"/>
          <w:sz w:val="38"/>
          <w:szCs w:val="36"/>
          <w:rtl/>
          <w:lang w:val="en-GB" w:eastAsia="en-US"/>
        </w:rPr>
        <w:t>وقـد تضمن قاعدة واحـدة، وهي</w:t>
      </w:r>
      <w:r w:rsidR="0048366D">
        <w:rPr>
          <w:rFonts w:hint="cs"/>
          <w:spacing w:val="8"/>
          <w:sz w:val="38"/>
          <w:szCs w:val="36"/>
          <w:rtl/>
          <w:lang w:val="en-GB" w:eastAsia="en-US"/>
        </w:rPr>
        <w:t>:</w:t>
      </w:r>
      <w:r w:rsidRPr="00EB5FFB">
        <w:rPr>
          <w:rFonts w:hint="cs"/>
          <w:spacing w:val="8"/>
          <w:sz w:val="38"/>
          <w:szCs w:val="36"/>
          <w:rtl/>
          <w:lang w:val="en-GB" w:eastAsia="en-US"/>
        </w:rPr>
        <w:t xml:space="preserve"> ق129</w:t>
      </w:r>
      <w:r w:rsidR="0048366D">
        <w:rPr>
          <w:rFonts w:hint="cs"/>
          <w:spacing w:val="8"/>
          <w:sz w:val="38"/>
          <w:szCs w:val="36"/>
          <w:rtl/>
          <w:lang w:val="en-GB" w:eastAsia="en-US"/>
        </w:rPr>
        <w:t>:</w:t>
      </w:r>
      <w:r w:rsidRPr="00EB5FFB">
        <w:rPr>
          <w:rFonts w:hint="cs"/>
          <w:spacing w:val="8"/>
          <w:sz w:val="38"/>
          <w:szCs w:val="36"/>
          <w:rtl/>
          <w:lang w:val="en-GB" w:eastAsia="en-US"/>
        </w:rPr>
        <w:t xml:space="preserve"> </w:t>
      </w:r>
      <w:r w:rsidRPr="00EB5FFB">
        <w:rPr>
          <w:rFonts w:hint="eastAsia"/>
          <w:spacing w:val="8"/>
          <w:sz w:val="20"/>
          <w:szCs w:val="36"/>
          <w:rtl/>
          <w:lang w:val="en-GB" w:eastAsia="en-US"/>
        </w:rPr>
        <w:t>«</w:t>
      </w:r>
      <w:r w:rsidRPr="00EB5FFB">
        <w:rPr>
          <w:rFonts w:hint="cs"/>
          <w:spacing w:val="8"/>
          <w:sz w:val="38"/>
          <w:szCs w:val="36"/>
          <w:rtl/>
          <w:lang w:val="en-GB" w:eastAsia="en-US"/>
        </w:rPr>
        <w:t>ذِكْرُ بَعْضِ مَا لاَ يَتَجَزَّأُ كَذِكْرِ كُلِّهِ</w:t>
      </w:r>
      <w:r w:rsidRPr="00EB5FFB">
        <w:rPr>
          <w:rFonts w:hint="eastAsia"/>
          <w:spacing w:val="8"/>
          <w:sz w:val="20"/>
          <w:szCs w:val="36"/>
          <w:rtl/>
          <w:lang w:val="en-GB" w:eastAsia="en-US"/>
        </w:rPr>
        <w:t>»</w:t>
      </w:r>
      <w:r w:rsidRPr="00EB5FFB">
        <w:rPr>
          <w:rFonts w:hint="cs"/>
          <w:spacing w:val="8"/>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الراء</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 xml:space="preserve">وهو يتضمّن ستّ قواعد، </w:t>
      </w:r>
      <w:r w:rsidRPr="00EB5FFB">
        <w:rPr>
          <w:rFonts w:hint="cs"/>
          <w:b/>
          <w:bCs/>
          <w:sz w:val="38"/>
          <w:szCs w:val="36"/>
          <w:rtl/>
          <w:lang w:val="en-GB" w:eastAsia="en-US"/>
        </w:rPr>
        <w:t>أولها</w:t>
      </w:r>
      <w:r w:rsidR="0048366D">
        <w:rPr>
          <w:rFonts w:hint="cs"/>
          <w:sz w:val="38"/>
          <w:szCs w:val="36"/>
          <w:rtl/>
          <w:lang w:val="en-GB" w:eastAsia="en-US"/>
        </w:rPr>
        <w:t>:</w:t>
      </w:r>
      <w:r w:rsidRPr="00EB5FFB">
        <w:rPr>
          <w:rFonts w:hint="cs"/>
          <w:sz w:val="38"/>
          <w:szCs w:val="36"/>
          <w:rtl/>
          <w:lang w:val="en-GB" w:eastAsia="en-US"/>
        </w:rPr>
        <w:t xml:space="preserve"> ق130</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الرُّؤْيَةُ مِنَ الزُّجَاجِ رُؤْيَةٌ حقيقةً</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وآخرها</w:t>
      </w:r>
      <w:r w:rsidR="0048366D">
        <w:rPr>
          <w:rFonts w:hint="cs"/>
          <w:sz w:val="38"/>
          <w:szCs w:val="36"/>
          <w:rtl/>
          <w:lang w:val="en-GB" w:eastAsia="en-US"/>
        </w:rPr>
        <w:t>:</w:t>
      </w:r>
      <w:r w:rsidRPr="00EB5FFB">
        <w:rPr>
          <w:rFonts w:hint="cs"/>
          <w:sz w:val="38"/>
          <w:szCs w:val="36"/>
          <w:rtl/>
          <w:lang w:val="en-GB" w:eastAsia="en-US"/>
        </w:rPr>
        <w:t xml:space="preserve"> ق135</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الرَّسُولُ مُعبّرٌ وسَفيرٌ، فَكَلاَمُهُ كَكَلاَمِ المُرْسِلِ</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sz w:val="38"/>
          <w:szCs w:val="36"/>
          <w:rtl/>
          <w:lang w:val="en-GB" w:eastAsia="en-US"/>
        </w:rPr>
      </w:pP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الزاء</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lastRenderedPageBreak/>
        <w:t>ويتضمّن قاعدة واحدة، وهي</w:t>
      </w:r>
      <w:r w:rsidR="0048366D">
        <w:rPr>
          <w:rFonts w:hint="cs"/>
          <w:sz w:val="38"/>
          <w:szCs w:val="36"/>
          <w:rtl/>
          <w:lang w:val="en-GB" w:eastAsia="en-US"/>
        </w:rPr>
        <w:t>:</w:t>
      </w:r>
      <w:r w:rsidRPr="00EB5FFB">
        <w:rPr>
          <w:rFonts w:hint="cs"/>
          <w:sz w:val="38"/>
          <w:szCs w:val="36"/>
          <w:rtl/>
          <w:lang w:val="en-GB" w:eastAsia="en-US"/>
        </w:rPr>
        <w:t xml:space="preserve"> ق136</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الزِّيَادَةُ المُنفَصِلَةُ غَيْرُ المُتَوَلِّدَةِ مِنَ الأصْلِ لاَ تَمْنَعُ الرَّدَّ بالعَيْبِ</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السين</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 xml:space="preserve">ويتضمن ثماني قواعد، </w:t>
      </w:r>
      <w:r w:rsidRPr="00EB5FFB">
        <w:rPr>
          <w:rFonts w:hint="cs"/>
          <w:b/>
          <w:bCs/>
          <w:sz w:val="38"/>
          <w:szCs w:val="36"/>
          <w:rtl/>
          <w:lang w:val="en-GB" w:eastAsia="en-US"/>
        </w:rPr>
        <w:t>أوّلها</w:t>
      </w:r>
      <w:r w:rsidRPr="00EB5FFB">
        <w:rPr>
          <w:rFonts w:hint="cs"/>
          <w:sz w:val="38"/>
          <w:szCs w:val="36"/>
          <w:rtl/>
          <w:lang w:val="en-GB" w:eastAsia="en-US"/>
        </w:rPr>
        <w:t xml:space="preserve">: ق137: </w:t>
      </w:r>
      <w:r w:rsidRPr="00EB5FFB">
        <w:rPr>
          <w:rFonts w:hint="eastAsia"/>
          <w:sz w:val="20"/>
          <w:szCs w:val="36"/>
          <w:rtl/>
          <w:lang w:val="en-GB" w:eastAsia="en-US"/>
        </w:rPr>
        <w:t>«</w:t>
      </w:r>
      <w:r w:rsidRPr="00EB5FFB">
        <w:rPr>
          <w:rFonts w:hint="cs"/>
          <w:sz w:val="38"/>
          <w:szCs w:val="36"/>
          <w:rtl/>
          <w:lang w:val="en-GB" w:eastAsia="en-US"/>
        </w:rPr>
        <w:t>السَّاقِطُ لاَ يَعُوْدُ</w:t>
      </w:r>
      <w:r w:rsidRPr="00EB5FFB">
        <w:rPr>
          <w:rFonts w:hint="eastAsia"/>
          <w:sz w:val="20"/>
          <w:szCs w:val="36"/>
          <w:rtl/>
          <w:lang w:val="en-GB" w:eastAsia="en-US"/>
        </w:rPr>
        <w:t>»</w:t>
      </w:r>
      <w:r w:rsidRPr="00EB5FFB">
        <w:rPr>
          <w:rFonts w:hint="cs"/>
          <w:sz w:val="38"/>
          <w:szCs w:val="36"/>
          <w:rtl/>
          <w:lang w:val="en-GB" w:eastAsia="en-US"/>
        </w:rPr>
        <w:t>.</w:t>
      </w:r>
      <w:r w:rsidRPr="00EB5FFB">
        <w:rPr>
          <w:rFonts w:hint="eastAsia"/>
          <w:sz w:val="20"/>
          <w:szCs w:val="36"/>
          <w:rtl/>
          <w:lang w:val="en-GB" w:eastAsia="en-US"/>
        </w:rPr>
        <w:t xml:space="preserve"> </w:t>
      </w:r>
      <w:r w:rsidRPr="00EB5FFB">
        <w:rPr>
          <w:rFonts w:hint="cs"/>
          <w:b/>
          <w:bCs/>
          <w:sz w:val="20"/>
          <w:szCs w:val="36"/>
          <w:rtl/>
          <w:lang w:val="en-GB" w:eastAsia="en-US"/>
        </w:rPr>
        <w:t>وآخرها</w:t>
      </w:r>
      <w:r w:rsidRPr="00EB5FFB">
        <w:rPr>
          <w:rFonts w:hint="cs"/>
          <w:sz w:val="20"/>
          <w:szCs w:val="36"/>
          <w:rtl/>
          <w:lang w:val="en-GB" w:eastAsia="en-US"/>
        </w:rPr>
        <w:t xml:space="preserve">: </w:t>
      </w:r>
      <w:r w:rsidRPr="00EB5FFB">
        <w:rPr>
          <w:rFonts w:hint="cs"/>
          <w:sz w:val="38"/>
          <w:szCs w:val="36"/>
          <w:rtl/>
          <w:lang w:val="en-GB" w:eastAsia="en-US"/>
        </w:rPr>
        <w:t xml:space="preserve">ق144: </w:t>
      </w:r>
      <w:r w:rsidRPr="00EB5FFB">
        <w:rPr>
          <w:rFonts w:hint="eastAsia"/>
          <w:sz w:val="20"/>
          <w:szCs w:val="36"/>
          <w:rtl/>
          <w:lang w:val="en-GB" w:eastAsia="en-US"/>
        </w:rPr>
        <w:t>«</w:t>
      </w:r>
      <w:r w:rsidRPr="00EB5FFB">
        <w:rPr>
          <w:rFonts w:hint="cs"/>
          <w:sz w:val="38"/>
          <w:szCs w:val="36"/>
          <w:rtl/>
          <w:lang w:val="en-GB" w:eastAsia="en-US"/>
        </w:rPr>
        <w:t>السُّلْطَانُ وَلِيُّ مَنْ لاَ وَلِيَّ لَهُ</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باب الشين</w:t>
      </w:r>
      <w:r w:rsidR="0048366D">
        <w:rPr>
          <w:rFonts w:hint="cs"/>
          <w:b/>
          <w:bCs/>
          <w:sz w:val="20"/>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20"/>
          <w:szCs w:val="36"/>
          <w:rtl/>
          <w:lang w:val="en-GB" w:eastAsia="en-US"/>
        </w:rPr>
        <w:t xml:space="preserve">ويتضمن ثماني قواعد، </w:t>
      </w:r>
      <w:r w:rsidRPr="00EB5FFB">
        <w:rPr>
          <w:rFonts w:hint="cs"/>
          <w:b/>
          <w:bCs/>
          <w:sz w:val="20"/>
          <w:szCs w:val="36"/>
          <w:rtl/>
          <w:lang w:val="en-GB" w:eastAsia="en-US"/>
        </w:rPr>
        <w:t>أوّلها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sz w:val="38"/>
          <w:szCs w:val="36"/>
          <w:rtl/>
          <w:lang w:val="en-GB" w:eastAsia="en-US"/>
        </w:rPr>
        <w:t>ق145</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الشَّرْطُ يُقَابِلُ المَشْرُوطَ جُمْلَةً وَلاَ يُقَابِلُهُ أَجْزَاءً</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وآخرها</w:t>
      </w:r>
      <w:r w:rsidR="0048366D">
        <w:rPr>
          <w:rFonts w:hint="cs"/>
          <w:sz w:val="38"/>
          <w:szCs w:val="36"/>
          <w:rtl/>
          <w:lang w:val="en-GB" w:eastAsia="en-US"/>
        </w:rPr>
        <w:t>:</w:t>
      </w:r>
      <w:r w:rsidRPr="00EB5FFB">
        <w:rPr>
          <w:rFonts w:hint="cs"/>
          <w:sz w:val="38"/>
          <w:szCs w:val="36"/>
          <w:rtl/>
          <w:lang w:val="en-GB" w:eastAsia="en-US"/>
        </w:rPr>
        <w:t xml:space="preserve"> ق152</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الشَّيءُ إِنَّمَا يُلْحَقُ بِغَيْرِهِ إِذَا تَسَاوَيَا مِنْ جَمِيعِ الوُجُوهِ</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الصاد</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 xml:space="preserve">ويتضمّن قاعدتين، </w:t>
      </w:r>
      <w:r w:rsidRPr="00EB5FFB">
        <w:rPr>
          <w:rFonts w:hint="cs"/>
          <w:b/>
          <w:bCs/>
          <w:sz w:val="38"/>
          <w:szCs w:val="36"/>
          <w:rtl/>
          <w:lang w:val="en-GB" w:eastAsia="en-US"/>
        </w:rPr>
        <w:t>إحداهما</w:t>
      </w:r>
      <w:r w:rsidR="0048366D">
        <w:rPr>
          <w:rFonts w:hint="cs"/>
          <w:sz w:val="38"/>
          <w:szCs w:val="36"/>
          <w:rtl/>
          <w:lang w:val="en-GB" w:eastAsia="en-US"/>
        </w:rPr>
        <w:t>:</w:t>
      </w:r>
      <w:r w:rsidRPr="00EB5FFB">
        <w:rPr>
          <w:rFonts w:hint="cs"/>
          <w:sz w:val="38"/>
          <w:szCs w:val="36"/>
          <w:rtl/>
          <w:lang w:val="en-GB" w:eastAsia="en-US"/>
        </w:rPr>
        <w:t xml:space="preserve"> ق153</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الصَّرِيْحُ يُفَوِّتُ الدَّلاَلَةَ</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والثانية</w:t>
      </w:r>
      <w:r w:rsidR="0048366D">
        <w:rPr>
          <w:rFonts w:hint="cs"/>
          <w:sz w:val="38"/>
          <w:szCs w:val="36"/>
          <w:rtl/>
          <w:lang w:val="en-GB" w:eastAsia="en-US"/>
        </w:rPr>
        <w:t>:</w:t>
      </w:r>
      <w:r w:rsidRPr="00EB5FFB">
        <w:rPr>
          <w:rFonts w:hint="cs"/>
          <w:sz w:val="38"/>
          <w:szCs w:val="36"/>
          <w:rtl/>
          <w:lang w:val="en-GB" w:eastAsia="en-US"/>
        </w:rPr>
        <w:t xml:space="preserve"> ق154: </w:t>
      </w:r>
      <w:r w:rsidRPr="00EB5FFB">
        <w:rPr>
          <w:rFonts w:hint="eastAsia"/>
          <w:sz w:val="20"/>
          <w:szCs w:val="36"/>
          <w:rtl/>
          <w:lang w:val="en-GB" w:eastAsia="en-US"/>
        </w:rPr>
        <w:t>«</w:t>
      </w:r>
      <w:r w:rsidRPr="00EB5FFB">
        <w:rPr>
          <w:rFonts w:hint="cs"/>
          <w:sz w:val="38"/>
          <w:szCs w:val="36"/>
          <w:rtl/>
          <w:lang w:val="en-GB" w:eastAsia="en-US"/>
        </w:rPr>
        <w:t>صِحَّةُ الحَلِفِ غَيْرُ مُفَارِقَةٍ عَنْ صِحَّةِ الإِقْرَارِ، وَعَدَمُهَا عَنْ عَدَمِهَا</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الضاد</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 xml:space="preserve">ويتضمن خمس قواعد، </w:t>
      </w:r>
      <w:r w:rsidRPr="00EB5FFB">
        <w:rPr>
          <w:rFonts w:hint="cs"/>
          <w:b/>
          <w:bCs/>
          <w:sz w:val="38"/>
          <w:szCs w:val="36"/>
          <w:rtl/>
          <w:lang w:val="en-GB" w:eastAsia="en-US"/>
        </w:rPr>
        <w:t>الأولى</w:t>
      </w:r>
      <w:r w:rsidRPr="00EB5FFB">
        <w:rPr>
          <w:rFonts w:hint="cs"/>
          <w:sz w:val="38"/>
          <w:szCs w:val="36"/>
          <w:rtl/>
          <w:lang w:val="en-GB" w:eastAsia="en-US"/>
        </w:rPr>
        <w:t xml:space="preserve"> منها</w:t>
      </w:r>
      <w:r w:rsidR="0048366D">
        <w:rPr>
          <w:rFonts w:hint="cs"/>
          <w:sz w:val="38"/>
          <w:szCs w:val="36"/>
          <w:rtl/>
          <w:lang w:val="en-GB" w:eastAsia="en-US"/>
        </w:rPr>
        <w:t>:</w:t>
      </w:r>
      <w:r w:rsidRPr="00EB5FFB">
        <w:rPr>
          <w:rFonts w:hint="cs"/>
          <w:sz w:val="38"/>
          <w:szCs w:val="36"/>
          <w:rtl/>
          <w:lang w:val="en-GB" w:eastAsia="en-US"/>
        </w:rPr>
        <w:t xml:space="preserve"> ق155</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الضَّـرَرُ يُزَالُ</w:t>
      </w:r>
      <w:r w:rsidRPr="00EB5FFB">
        <w:rPr>
          <w:rFonts w:hint="eastAsia"/>
          <w:sz w:val="20"/>
          <w:szCs w:val="36"/>
          <w:rtl/>
          <w:lang w:val="en-GB" w:eastAsia="en-US"/>
        </w:rPr>
        <w:t>»</w:t>
      </w:r>
      <w:r w:rsidRPr="00EB5FFB">
        <w:rPr>
          <w:rFonts w:hint="cs"/>
          <w:sz w:val="38"/>
          <w:szCs w:val="36"/>
          <w:rtl/>
          <w:lang w:val="en-GB" w:eastAsia="en-US"/>
        </w:rPr>
        <w:t>. و</w:t>
      </w:r>
      <w:r w:rsidRPr="00EB5FFB">
        <w:rPr>
          <w:rFonts w:hint="cs"/>
          <w:b/>
          <w:bCs/>
          <w:sz w:val="38"/>
          <w:szCs w:val="36"/>
          <w:rtl/>
          <w:lang w:val="en-GB" w:eastAsia="en-US"/>
        </w:rPr>
        <w:t>الأخـيرة</w:t>
      </w:r>
      <w:r w:rsidRPr="00EB5FFB">
        <w:rPr>
          <w:rFonts w:hint="cs"/>
          <w:sz w:val="38"/>
          <w:szCs w:val="36"/>
          <w:rtl/>
          <w:lang w:val="en-GB" w:eastAsia="en-US"/>
        </w:rPr>
        <w:t xml:space="preserve"> منها</w:t>
      </w:r>
      <w:r w:rsidR="0048366D">
        <w:rPr>
          <w:rFonts w:hint="cs"/>
          <w:sz w:val="38"/>
          <w:szCs w:val="36"/>
          <w:rtl/>
          <w:lang w:val="en-GB" w:eastAsia="en-US"/>
        </w:rPr>
        <w:t>:</w:t>
      </w:r>
      <w:r w:rsidRPr="00EB5FFB">
        <w:rPr>
          <w:rFonts w:hint="cs"/>
          <w:sz w:val="38"/>
          <w:szCs w:val="36"/>
          <w:rtl/>
          <w:lang w:val="en-GB" w:eastAsia="en-US"/>
        </w:rPr>
        <w:t xml:space="preserve"> ق159</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الضَّمَانُ بالتَغْريرِ مَخْصُوصٌ بِالمُعَاوَضَاتِ</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الطاء</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ويتضمّن قاعدة واحدة، وهي</w:t>
      </w:r>
      <w:r w:rsidR="0048366D">
        <w:rPr>
          <w:rFonts w:hint="cs"/>
          <w:sz w:val="38"/>
          <w:szCs w:val="36"/>
          <w:rtl/>
          <w:lang w:val="en-GB" w:eastAsia="en-US"/>
        </w:rPr>
        <w:t>:</w:t>
      </w:r>
      <w:r w:rsidRPr="00EB5FFB">
        <w:rPr>
          <w:rFonts w:hint="cs"/>
          <w:sz w:val="38"/>
          <w:szCs w:val="36"/>
          <w:rtl/>
          <w:lang w:val="en-GB" w:eastAsia="en-US"/>
        </w:rPr>
        <w:t xml:space="preserve"> ق160</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طَرَفَي التَّرْجِيحِ إذا تَعَارَضَا كانَ الرُّجْحَانُ في الذَّاتِ أَحَقَّ مِنْهُ في الحالِ</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العين</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 xml:space="preserve">ويشمل إحدى عشرة قاعدة، </w:t>
      </w:r>
      <w:r w:rsidRPr="00EB5FFB">
        <w:rPr>
          <w:rFonts w:hint="cs"/>
          <w:b/>
          <w:bCs/>
          <w:sz w:val="38"/>
          <w:szCs w:val="36"/>
          <w:rtl/>
          <w:lang w:val="en-GB" w:eastAsia="en-US"/>
        </w:rPr>
        <w:t>أوّلها</w:t>
      </w:r>
      <w:r w:rsidR="0048366D">
        <w:rPr>
          <w:rFonts w:hint="cs"/>
          <w:sz w:val="38"/>
          <w:szCs w:val="36"/>
          <w:rtl/>
          <w:lang w:val="en-GB" w:eastAsia="en-US"/>
        </w:rPr>
        <w:t>:</w:t>
      </w:r>
      <w:r w:rsidRPr="00EB5FFB">
        <w:rPr>
          <w:rFonts w:hint="cs"/>
          <w:sz w:val="38"/>
          <w:szCs w:val="36"/>
          <w:rtl/>
          <w:lang w:val="en-GB" w:eastAsia="en-US"/>
        </w:rPr>
        <w:t xml:space="preserve"> ق161</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العَادَةُ مُحَكَّمَةٌ</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وآخرها</w:t>
      </w:r>
      <w:r w:rsidRPr="00EB5FFB">
        <w:rPr>
          <w:rFonts w:hint="cs"/>
          <w:sz w:val="38"/>
          <w:szCs w:val="36"/>
          <w:rtl/>
          <w:lang w:val="en-GB" w:eastAsia="en-US"/>
        </w:rPr>
        <w:t xml:space="preserve">: ق171: </w:t>
      </w:r>
      <w:r w:rsidRPr="00EB5FFB">
        <w:rPr>
          <w:rFonts w:hint="eastAsia"/>
          <w:sz w:val="20"/>
          <w:szCs w:val="36"/>
          <w:rtl/>
          <w:lang w:val="en-GB" w:eastAsia="en-US"/>
        </w:rPr>
        <w:t>«</w:t>
      </w:r>
      <w:r w:rsidRPr="00EB5FFB">
        <w:rPr>
          <w:rFonts w:hint="cs"/>
          <w:sz w:val="38"/>
          <w:szCs w:val="36"/>
          <w:rtl/>
          <w:lang w:val="en-GB" w:eastAsia="en-US"/>
        </w:rPr>
        <w:t>العِوَضُ يُوَزَّعُ عَلَى المُعَوَّضِ أَجْزَاءً</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الغين</w:t>
      </w:r>
      <w:r w:rsidR="0048366D">
        <w:rPr>
          <w:rFonts w:hint="cs"/>
          <w:b/>
          <w:bCs/>
          <w:sz w:val="38"/>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ويتضمن قاعدة واحدة، وهي</w:t>
      </w:r>
      <w:r w:rsidR="0048366D">
        <w:rPr>
          <w:rFonts w:hint="cs"/>
          <w:sz w:val="38"/>
          <w:szCs w:val="36"/>
          <w:rtl/>
          <w:lang w:val="en-GB" w:eastAsia="en-US"/>
        </w:rPr>
        <w:t>:</w:t>
      </w:r>
      <w:r w:rsidRPr="00EB5FFB">
        <w:rPr>
          <w:rFonts w:hint="cs"/>
          <w:sz w:val="38"/>
          <w:szCs w:val="36"/>
          <w:rtl/>
          <w:lang w:val="en-GB" w:eastAsia="en-US"/>
        </w:rPr>
        <w:t xml:space="preserve"> ق172</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الغُرْمُ بِالغُنْمِ</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sz w:val="38"/>
          <w:szCs w:val="36"/>
          <w:rtl/>
          <w:lang w:val="en-GB" w:eastAsia="en-US"/>
        </w:rPr>
      </w:pP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باب الفاء</w:t>
      </w:r>
      <w:r w:rsidR="0048366D">
        <w:rPr>
          <w:rFonts w:hint="cs"/>
          <w:b/>
          <w:bCs/>
          <w:sz w:val="20"/>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sz w:val="20"/>
          <w:szCs w:val="36"/>
          <w:rtl/>
          <w:lang w:val="en-GB" w:eastAsia="en-US"/>
        </w:rPr>
        <w:lastRenderedPageBreak/>
        <w:t xml:space="preserve"> ويشمل ثلاث قواعد، </w:t>
      </w:r>
      <w:r w:rsidRPr="00EB5FFB">
        <w:rPr>
          <w:rFonts w:hint="cs"/>
          <w:b/>
          <w:bCs/>
          <w:sz w:val="20"/>
          <w:szCs w:val="36"/>
          <w:rtl/>
          <w:lang w:val="en-GB" w:eastAsia="en-US"/>
        </w:rPr>
        <w:t>أوّلها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sz w:val="38"/>
          <w:szCs w:val="36"/>
          <w:rtl/>
          <w:lang w:val="en-GB" w:eastAsia="en-US"/>
        </w:rPr>
        <w:t>ق173</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الفَتْوَى فِي حَقِّ الجَاهِلِ كالاجتهادِ فِي حقِّ المُجْتَهِدِ</w:t>
      </w:r>
      <w:r w:rsidRPr="00EB5FFB">
        <w:rPr>
          <w:rFonts w:hint="eastAsia"/>
          <w:sz w:val="20"/>
          <w:szCs w:val="36"/>
          <w:rtl/>
          <w:lang w:val="en-GB" w:eastAsia="en-US"/>
        </w:rPr>
        <w:t>»</w:t>
      </w:r>
      <w:r w:rsidRPr="00EB5FFB">
        <w:rPr>
          <w:rFonts w:hint="cs"/>
          <w:sz w:val="38"/>
          <w:szCs w:val="36"/>
          <w:rtl/>
          <w:lang w:val="en-GB" w:eastAsia="en-US"/>
        </w:rPr>
        <w:t xml:space="preserve">. </w:t>
      </w:r>
      <w:r w:rsidRPr="00EB5FFB">
        <w:rPr>
          <w:rFonts w:hint="cs"/>
          <w:b/>
          <w:bCs/>
          <w:sz w:val="38"/>
          <w:szCs w:val="36"/>
          <w:rtl/>
          <w:lang w:val="en-GB" w:eastAsia="en-US"/>
        </w:rPr>
        <w:t>وآخرها</w:t>
      </w:r>
      <w:r w:rsidR="0048366D">
        <w:rPr>
          <w:rFonts w:hint="cs"/>
          <w:sz w:val="38"/>
          <w:szCs w:val="36"/>
          <w:rtl/>
          <w:lang w:val="en-GB" w:eastAsia="en-US"/>
        </w:rPr>
        <w:t>:</w:t>
      </w:r>
      <w:r w:rsidRPr="00EB5FFB">
        <w:rPr>
          <w:rFonts w:hint="cs"/>
          <w:sz w:val="38"/>
          <w:szCs w:val="36"/>
          <w:rtl/>
          <w:lang w:val="en-GB" w:eastAsia="en-US"/>
        </w:rPr>
        <w:t xml:space="preserve"> ق175</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38"/>
          <w:szCs w:val="36"/>
          <w:rtl/>
          <w:lang w:val="en-GB" w:eastAsia="en-US"/>
        </w:rPr>
        <w:t>الفَرْعُ المُخْتَصُّ بأصلِ وُجُودِهِ يَدُلَّ على وُجُودِ أصْلِهِ</w:t>
      </w:r>
      <w:r w:rsidRPr="00EB5FFB">
        <w:rPr>
          <w:rFonts w:hint="eastAsia"/>
          <w:sz w:val="20"/>
          <w:szCs w:val="36"/>
          <w:rtl/>
          <w:lang w:val="en-GB" w:eastAsia="en-US"/>
        </w:rPr>
        <w:t>»</w:t>
      </w:r>
      <w:r w:rsidRPr="00EB5FFB">
        <w:rPr>
          <w:rFonts w:hint="cs"/>
          <w:sz w:val="38"/>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القاف</w:t>
      </w:r>
      <w:r w:rsidR="0048366D">
        <w:rPr>
          <w:rFonts w:hint="cs"/>
          <w:b/>
          <w:bCs/>
          <w:sz w:val="38"/>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bidi="ar-AE"/>
        </w:rPr>
        <w:t xml:space="preserve">ويشمل ثماني قواعد، </w:t>
      </w:r>
      <w:r w:rsidRPr="00EB5FFB">
        <w:rPr>
          <w:rFonts w:hint="cs"/>
          <w:b/>
          <w:bCs/>
          <w:sz w:val="36"/>
          <w:szCs w:val="36"/>
          <w:rtl/>
          <w:lang w:val="en-GB" w:eastAsia="en-US" w:bidi="ar-AE"/>
        </w:rPr>
        <w:t>أوّلها</w:t>
      </w:r>
      <w:r w:rsidR="0048366D">
        <w:rPr>
          <w:rFonts w:hint="cs"/>
          <w:sz w:val="36"/>
          <w:szCs w:val="36"/>
          <w:rtl/>
          <w:lang w:val="en-GB" w:eastAsia="en-US" w:bidi="ar-AE"/>
        </w:rPr>
        <w:t>:</w:t>
      </w:r>
      <w:r w:rsidRPr="00EB5FFB">
        <w:rPr>
          <w:rFonts w:hint="cs"/>
          <w:sz w:val="36"/>
          <w:szCs w:val="36"/>
          <w:rtl/>
          <w:lang w:val="en-GB" w:eastAsia="en-US" w:bidi="ar-AE"/>
        </w:rPr>
        <w:t xml:space="preserve"> </w:t>
      </w:r>
      <w:r w:rsidRPr="00EB5FFB">
        <w:rPr>
          <w:rFonts w:hint="cs"/>
          <w:sz w:val="36"/>
          <w:szCs w:val="36"/>
          <w:rtl/>
          <w:lang w:val="en-GB" w:eastAsia="en-US"/>
        </w:rPr>
        <w:t>ق176</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القَدِيمُ يُتْرَكُ عَلَى قِدَمِهِ</w:t>
      </w:r>
      <w:r w:rsidRPr="00EB5FFB">
        <w:rPr>
          <w:rFonts w:hint="eastAsia"/>
          <w:sz w:val="36"/>
          <w:szCs w:val="36"/>
          <w:rtl/>
          <w:lang w:val="en-GB" w:eastAsia="en-US"/>
        </w:rPr>
        <w:t>»</w:t>
      </w:r>
      <w:r w:rsidRPr="00EB5FFB">
        <w:rPr>
          <w:rFonts w:hint="cs"/>
          <w:sz w:val="36"/>
          <w:szCs w:val="36"/>
          <w:rtl/>
          <w:lang w:val="en-GB" w:eastAsia="en-US"/>
        </w:rPr>
        <w:t xml:space="preserve">. </w:t>
      </w:r>
      <w:r w:rsidRPr="00EB5FFB">
        <w:rPr>
          <w:rFonts w:hint="cs"/>
          <w:b/>
          <w:bCs/>
          <w:sz w:val="36"/>
          <w:szCs w:val="36"/>
          <w:rtl/>
          <w:lang w:val="en-GB" w:eastAsia="en-US"/>
        </w:rPr>
        <w:t>وآخرها</w:t>
      </w:r>
      <w:r w:rsidR="0048366D">
        <w:rPr>
          <w:rFonts w:hint="cs"/>
          <w:sz w:val="36"/>
          <w:szCs w:val="36"/>
          <w:rtl/>
          <w:lang w:val="en-GB" w:eastAsia="en-US"/>
        </w:rPr>
        <w:t>:</w:t>
      </w:r>
      <w:r w:rsidRPr="00EB5FFB">
        <w:rPr>
          <w:rFonts w:hint="cs"/>
          <w:sz w:val="36"/>
          <w:szCs w:val="36"/>
          <w:rtl/>
          <w:lang w:val="en-GB" w:eastAsia="en-US"/>
        </w:rPr>
        <w:t xml:space="preserve"> ق183: </w:t>
      </w:r>
      <w:r w:rsidRPr="00EB5FFB">
        <w:rPr>
          <w:rFonts w:hint="eastAsia"/>
          <w:sz w:val="36"/>
          <w:szCs w:val="36"/>
          <w:rtl/>
          <w:lang w:val="en-GB" w:eastAsia="en-US"/>
        </w:rPr>
        <w:t>«</w:t>
      </w:r>
      <w:r w:rsidRPr="00EB5FFB">
        <w:rPr>
          <w:rFonts w:hint="cs"/>
          <w:sz w:val="36"/>
          <w:szCs w:val="36"/>
          <w:rtl/>
          <w:lang w:val="en-GB" w:eastAsia="en-US"/>
        </w:rPr>
        <w:t>القَوْلُ قَوْلُ القَابِضِ</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الكاف</w:t>
      </w:r>
      <w:r w:rsidR="0048366D">
        <w:rPr>
          <w:rFonts w:hint="cs"/>
          <w:b/>
          <w:bCs/>
          <w:sz w:val="38"/>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ويتضمن تسع قواعد، </w:t>
      </w:r>
      <w:r w:rsidRPr="00EB5FFB">
        <w:rPr>
          <w:rFonts w:hint="cs"/>
          <w:b/>
          <w:bCs/>
          <w:sz w:val="36"/>
          <w:szCs w:val="36"/>
          <w:rtl/>
          <w:lang w:val="en-GB" w:eastAsia="en-US"/>
        </w:rPr>
        <w:t>أوّلها</w:t>
      </w:r>
      <w:r w:rsidR="0048366D">
        <w:rPr>
          <w:rFonts w:hint="cs"/>
          <w:sz w:val="36"/>
          <w:szCs w:val="36"/>
          <w:rtl/>
          <w:lang w:val="en-GB" w:eastAsia="en-US"/>
        </w:rPr>
        <w:t>:</w:t>
      </w:r>
      <w:r w:rsidRPr="00EB5FFB">
        <w:rPr>
          <w:rFonts w:hint="cs"/>
          <w:sz w:val="36"/>
          <w:szCs w:val="36"/>
          <w:rtl/>
          <w:lang w:val="en-GB" w:eastAsia="en-US"/>
        </w:rPr>
        <w:t xml:space="preserve"> ق184</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الكِتَابُ مِنَ الغَائِبِ كَالخِطَابِ مِنَ الحَاضِرِ</w:t>
      </w:r>
      <w:r w:rsidRPr="00EB5FFB">
        <w:rPr>
          <w:rFonts w:hint="eastAsia"/>
          <w:sz w:val="36"/>
          <w:szCs w:val="36"/>
          <w:rtl/>
          <w:lang w:val="en-GB" w:eastAsia="en-US"/>
        </w:rPr>
        <w:t>»</w:t>
      </w:r>
      <w:r w:rsidRPr="00EB5FFB">
        <w:rPr>
          <w:rFonts w:hint="cs"/>
          <w:sz w:val="36"/>
          <w:szCs w:val="36"/>
          <w:rtl/>
          <w:lang w:val="en-GB" w:eastAsia="en-US"/>
        </w:rPr>
        <w:t xml:space="preserve">. </w:t>
      </w:r>
      <w:r w:rsidRPr="00EB5FFB">
        <w:rPr>
          <w:rFonts w:hint="cs"/>
          <w:b/>
          <w:bCs/>
          <w:sz w:val="36"/>
          <w:szCs w:val="36"/>
          <w:rtl/>
          <w:lang w:val="en-GB" w:eastAsia="en-US"/>
        </w:rPr>
        <w:t>وآخرها</w:t>
      </w:r>
      <w:r w:rsidR="0048366D">
        <w:rPr>
          <w:rFonts w:hint="cs"/>
          <w:sz w:val="36"/>
          <w:szCs w:val="36"/>
          <w:rtl/>
          <w:lang w:val="en-GB" w:eastAsia="en-US"/>
        </w:rPr>
        <w:t>:</w:t>
      </w:r>
      <w:r w:rsidRPr="00EB5FFB">
        <w:rPr>
          <w:rFonts w:hint="cs"/>
          <w:sz w:val="36"/>
          <w:szCs w:val="36"/>
          <w:rtl/>
          <w:lang w:val="en-GB" w:eastAsia="en-US"/>
        </w:rPr>
        <w:t xml:space="preserve"> ق192</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الكَيْلِيُّ و الوَزْنِيُّ مَبِيعٌ بِأعيَانِهِمَا، ثمنٌ بأَوْصَافِهِمَا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اللام</w:t>
      </w:r>
      <w:r w:rsidR="0048366D">
        <w:rPr>
          <w:rFonts w:hint="cs"/>
          <w:b/>
          <w:bCs/>
          <w:sz w:val="38"/>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ويتضمن اثنتين وعشرين قاعدة، </w:t>
      </w:r>
      <w:r w:rsidRPr="00EB5FFB">
        <w:rPr>
          <w:rFonts w:hint="cs"/>
          <w:b/>
          <w:bCs/>
          <w:sz w:val="36"/>
          <w:szCs w:val="36"/>
          <w:rtl/>
          <w:lang w:val="en-GB" w:eastAsia="en-US"/>
        </w:rPr>
        <w:t>أوّلها</w:t>
      </w:r>
      <w:r w:rsidR="0048366D">
        <w:rPr>
          <w:rFonts w:hint="cs"/>
          <w:sz w:val="36"/>
          <w:szCs w:val="36"/>
          <w:rtl/>
          <w:lang w:val="en-GB" w:eastAsia="en-US"/>
        </w:rPr>
        <w:t>:</w:t>
      </w:r>
      <w:r w:rsidRPr="00EB5FFB">
        <w:rPr>
          <w:rFonts w:hint="cs"/>
          <w:sz w:val="36"/>
          <w:szCs w:val="36"/>
          <w:rtl/>
          <w:lang w:val="en-GB" w:eastAsia="en-US"/>
        </w:rPr>
        <w:t xml:space="preserve"> ق193</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لا يُبَالَى باختلافِ الأَسْبَابِ عندَ سَلاَمَةِ المَقْصُودِ</w:t>
      </w:r>
      <w:r w:rsidRPr="00EB5FFB">
        <w:rPr>
          <w:rFonts w:hint="eastAsia"/>
          <w:sz w:val="36"/>
          <w:szCs w:val="36"/>
          <w:rtl/>
          <w:lang w:val="en-GB" w:eastAsia="en-US"/>
        </w:rPr>
        <w:t>»</w:t>
      </w:r>
      <w:r w:rsidRPr="00EB5FFB">
        <w:rPr>
          <w:rFonts w:hint="cs"/>
          <w:sz w:val="36"/>
          <w:szCs w:val="36"/>
          <w:rtl/>
          <w:lang w:val="en-GB" w:eastAsia="en-US"/>
        </w:rPr>
        <w:t xml:space="preserve">. </w:t>
      </w:r>
      <w:r w:rsidRPr="00EB5FFB">
        <w:rPr>
          <w:rFonts w:hint="cs"/>
          <w:b/>
          <w:bCs/>
          <w:sz w:val="36"/>
          <w:szCs w:val="36"/>
          <w:rtl/>
          <w:lang w:val="en-GB" w:eastAsia="en-US"/>
        </w:rPr>
        <w:t>وآخرها</w:t>
      </w:r>
      <w:r w:rsidR="0048366D">
        <w:rPr>
          <w:rFonts w:hint="cs"/>
          <w:sz w:val="36"/>
          <w:szCs w:val="36"/>
          <w:rtl/>
          <w:lang w:val="en-GB" w:eastAsia="en-US"/>
        </w:rPr>
        <w:t>:</w:t>
      </w:r>
      <w:r w:rsidRPr="00EB5FFB">
        <w:rPr>
          <w:rFonts w:hint="cs"/>
          <w:sz w:val="36"/>
          <w:szCs w:val="36"/>
          <w:rtl/>
          <w:lang w:val="en-GB" w:eastAsia="en-US"/>
        </w:rPr>
        <w:t xml:space="preserve"> ق214</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لَوْ حَكَى مَا لاَ يَمْلِكُ استئنافَهُ للحالِ لا يصدَّقُ فيمَا حَكَى بِلاَ بَيِّنَةٍ</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الميم</w:t>
      </w:r>
      <w:r w:rsidR="0048366D">
        <w:rPr>
          <w:rFonts w:hint="cs"/>
          <w:b/>
          <w:bCs/>
          <w:sz w:val="38"/>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وهو يأتي بالدرجة الثانية بعد بـاب الألف مـن جـهـة عـدد الـقـواعـد؛ إذ يشتمل على اثنتين وثلاثـين قاعدة، </w:t>
      </w:r>
      <w:r w:rsidRPr="00EB5FFB">
        <w:rPr>
          <w:rFonts w:hint="cs"/>
          <w:b/>
          <w:bCs/>
          <w:sz w:val="36"/>
          <w:szCs w:val="36"/>
          <w:rtl/>
          <w:lang w:val="en-GB" w:eastAsia="en-US"/>
        </w:rPr>
        <w:t>أوّلها</w:t>
      </w:r>
      <w:r w:rsidR="0048366D">
        <w:rPr>
          <w:rFonts w:hint="cs"/>
          <w:sz w:val="36"/>
          <w:szCs w:val="36"/>
          <w:rtl/>
          <w:lang w:val="en-GB" w:eastAsia="en-US"/>
        </w:rPr>
        <w:t>:</w:t>
      </w:r>
      <w:r w:rsidRPr="00EB5FFB">
        <w:rPr>
          <w:rFonts w:hint="cs"/>
          <w:sz w:val="36"/>
          <w:szCs w:val="36"/>
          <w:rtl/>
          <w:lang w:val="en-GB" w:eastAsia="en-US"/>
        </w:rPr>
        <w:t xml:space="preserve"> ق215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مَا لاَ يَكُونُ لاِزَمًا مِنَ التَّصَرُّفَاتِ يَكُونُ لِدَوَامِهِ حُكْمُ الابتدَاءِ</w:t>
      </w:r>
      <w:r w:rsidRPr="00EB5FFB">
        <w:rPr>
          <w:rFonts w:hint="eastAsia"/>
          <w:sz w:val="36"/>
          <w:szCs w:val="36"/>
          <w:rtl/>
          <w:lang w:val="en-GB" w:eastAsia="en-US"/>
        </w:rPr>
        <w:t>»</w:t>
      </w:r>
      <w:r w:rsidRPr="00EB5FFB">
        <w:rPr>
          <w:rFonts w:hint="cs"/>
          <w:sz w:val="36"/>
          <w:szCs w:val="36"/>
          <w:rtl/>
          <w:lang w:val="en-GB" w:eastAsia="en-US"/>
        </w:rPr>
        <w:t xml:space="preserve">. </w:t>
      </w:r>
      <w:r w:rsidRPr="00EB5FFB">
        <w:rPr>
          <w:rFonts w:hint="cs"/>
          <w:b/>
          <w:bCs/>
          <w:sz w:val="36"/>
          <w:szCs w:val="36"/>
          <w:rtl/>
          <w:lang w:val="en-GB" w:eastAsia="en-US"/>
        </w:rPr>
        <w:t>وآخرها</w:t>
      </w:r>
      <w:r w:rsidR="0048366D">
        <w:rPr>
          <w:rFonts w:hint="cs"/>
          <w:sz w:val="36"/>
          <w:szCs w:val="36"/>
          <w:rtl/>
          <w:lang w:val="en-GB" w:eastAsia="en-US"/>
        </w:rPr>
        <w:t>:</w:t>
      </w:r>
      <w:r w:rsidRPr="00EB5FFB">
        <w:rPr>
          <w:rFonts w:hint="cs"/>
          <w:sz w:val="36"/>
          <w:szCs w:val="36"/>
          <w:rtl/>
          <w:lang w:val="en-GB" w:eastAsia="en-US"/>
        </w:rPr>
        <w:t xml:space="preserve"> ق246</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الموتُ يُنَافِي المُوجِبَ لاَ المُبْطِلَ</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النون</w:t>
      </w:r>
      <w:r w:rsidR="0048366D">
        <w:rPr>
          <w:rFonts w:hint="cs"/>
          <w:b/>
          <w:bCs/>
          <w:sz w:val="38"/>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ويتضمن خمس قواعد، </w:t>
      </w:r>
      <w:r w:rsidRPr="00EB5FFB">
        <w:rPr>
          <w:rFonts w:hint="cs"/>
          <w:b/>
          <w:bCs/>
          <w:sz w:val="36"/>
          <w:szCs w:val="36"/>
          <w:rtl/>
          <w:lang w:val="en-GB" w:eastAsia="en-US"/>
        </w:rPr>
        <w:t>أوّلها</w:t>
      </w:r>
      <w:r w:rsidR="0048366D">
        <w:rPr>
          <w:rFonts w:hint="cs"/>
          <w:sz w:val="36"/>
          <w:szCs w:val="36"/>
          <w:rtl/>
          <w:lang w:val="en-GB" w:eastAsia="en-US"/>
        </w:rPr>
        <w:t>:</w:t>
      </w:r>
      <w:r w:rsidRPr="00EB5FFB">
        <w:rPr>
          <w:rFonts w:hint="cs"/>
          <w:sz w:val="36"/>
          <w:szCs w:val="36"/>
          <w:rtl/>
          <w:lang w:val="en-GB" w:eastAsia="en-US"/>
        </w:rPr>
        <w:t xml:space="preserve"> ق247</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النَصُّ</w:t>
      </w:r>
      <w:r w:rsidR="0048366D">
        <w:rPr>
          <w:rFonts w:hint="cs"/>
          <w:sz w:val="36"/>
          <w:szCs w:val="36"/>
          <w:rtl/>
          <w:lang w:val="en-GB" w:eastAsia="en-US"/>
        </w:rPr>
        <w:t>:</w:t>
      </w:r>
      <w:r w:rsidRPr="00EB5FFB">
        <w:rPr>
          <w:rFonts w:hint="cs"/>
          <w:sz w:val="36"/>
          <w:szCs w:val="36"/>
          <w:rtl/>
          <w:lang w:val="en-GB" w:eastAsia="en-US"/>
        </w:rPr>
        <w:t xml:space="preserve"> مِنْ وُجُوهِ البَيَانِ، يَتَرَجَّحُ عَلَى الظَّاهِرِ، والمفسَّرُ عليهما، والمُحْكَمُ على الكُلِّ</w:t>
      </w:r>
      <w:r w:rsidRPr="00EB5FFB">
        <w:rPr>
          <w:rFonts w:hint="eastAsia"/>
          <w:sz w:val="36"/>
          <w:szCs w:val="36"/>
          <w:rtl/>
          <w:lang w:val="en-GB" w:eastAsia="en-US"/>
        </w:rPr>
        <w:t>»</w:t>
      </w:r>
      <w:r w:rsidRPr="00EB5FFB">
        <w:rPr>
          <w:rFonts w:hint="cs"/>
          <w:sz w:val="36"/>
          <w:szCs w:val="36"/>
          <w:rtl/>
          <w:lang w:val="en-GB" w:eastAsia="en-US"/>
        </w:rPr>
        <w:t xml:space="preserve">. </w:t>
      </w:r>
      <w:r w:rsidRPr="00EB5FFB">
        <w:rPr>
          <w:rFonts w:hint="cs"/>
          <w:b/>
          <w:bCs/>
          <w:sz w:val="36"/>
          <w:szCs w:val="36"/>
          <w:rtl/>
          <w:lang w:val="en-GB" w:eastAsia="en-US"/>
        </w:rPr>
        <w:t>وآخرها</w:t>
      </w:r>
      <w:r w:rsidR="0048366D">
        <w:rPr>
          <w:rFonts w:hint="cs"/>
          <w:sz w:val="36"/>
          <w:szCs w:val="36"/>
          <w:rtl/>
          <w:lang w:val="en-GB" w:eastAsia="en-US"/>
        </w:rPr>
        <w:t>:</w:t>
      </w:r>
      <w:r w:rsidRPr="00EB5FFB">
        <w:rPr>
          <w:rFonts w:hint="cs"/>
          <w:sz w:val="36"/>
          <w:szCs w:val="36"/>
          <w:rtl/>
          <w:lang w:val="en-GB" w:eastAsia="en-US"/>
        </w:rPr>
        <w:t xml:space="preserve"> ق251</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النِّيَابَةُ تَجْرِي فِي الاستِحْلاَفِ، لاَ الحَلِفِ</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b/>
          <w:bCs/>
          <w:sz w:val="38"/>
          <w:szCs w:val="38"/>
          <w:rtl/>
          <w:lang w:val="en-GB" w:eastAsia="en-US"/>
        </w:rPr>
      </w:pPr>
      <w:r w:rsidRPr="00EB5FFB">
        <w:rPr>
          <w:rFonts w:hint="cs"/>
          <w:b/>
          <w:bCs/>
          <w:sz w:val="38"/>
          <w:szCs w:val="36"/>
          <w:rtl/>
          <w:lang w:val="en-GB" w:eastAsia="en-US"/>
        </w:rPr>
        <w:t>باب الواو</w:t>
      </w:r>
      <w:r w:rsidR="0048366D">
        <w:rPr>
          <w:rFonts w:hint="cs"/>
          <w:b/>
          <w:bCs/>
          <w:sz w:val="38"/>
          <w:szCs w:val="36"/>
          <w:rtl/>
          <w:lang w:val="en-GB" w:eastAsia="en-US"/>
        </w:rPr>
        <w:t>:</w:t>
      </w:r>
      <w:r w:rsidRPr="00EB5FFB">
        <w:rPr>
          <w:rFonts w:hint="cs"/>
          <w:b/>
          <w:bCs/>
          <w:sz w:val="38"/>
          <w:szCs w:val="36"/>
          <w:rtl/>
          <w:lang w:val="en-GB" w:eastAsia="en-US"/>
        </w:rPr>
        <w:t xml:space="preserve"> </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ويتضمّن ست قواعد، </w:t>
      </w:r>
      <w:r w:rsidRPr="00EB5FFB">
        <w:rPr>
          <w:rFonts w:hint="cs"/>
          <w:b/>
          <w:bCs/>
          <w:sz w:val="36"/>
          <w:szCs w:val="36"/>
          <w:rtl/>
          <w:lang w:val="en-GB" w:eastAsia="en-US"/>
        </w:rPr>
        <w:t>أوّلها</w:t>
      </w:r>
      <w:r w:rsidR="0048366D">
        <w:rPr>
          <w:rFonts w:hint="cs"/>
          <w:sz w:val="36"/>
          <w:szCs w:val="36"/>
          <w:rtl/>
          <w:lang w:val="en-GB" w:eastAsia="en-US"/>
        </w:rPr>
        <w:t>:</w:t>
      </w:r>
      <w:r w:rsidRPr="00EB5FFB">
        <w:rPr>
          <w:rFonts w:hint="cs"/>
          <w:sz w:val="36"/>
          <w:szCs w:val="36"/>
          <w:rtl/>
          <w:lang w:val="en-GB" w:eastAsia="en-US"/>
        </w:rPr>
        <w:t xml:space="preserve"> ق252</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الوَاجِبُ شَرْعًا لا يَحْتَاجُ إلى قَضَاءٍ</w:t>
      </w:r>
      <w:r w:rsidRPr="00EB5FFB">
        <w:rPr>
          <w:rFonts w:hint="eastAsia"/>
          <w:sz w:val="36"/>
          <w:szCs w:val="36"/>
          <w:rtl/>
          <w:lang w:val="en-GB" w:eastAsia="en-US"/>
        </w:rPr>
        <w:t>»</w:t>
      </w:r>
      <w:r w:rsidRPr="00EB5FFB">
        <w:rPr>
          <w:rFonts w:hint="cs"/>
          <w:sz w:val="36"/>
          <w:szCs w:val="36"/>
          <w:rtl/>
          <w:lang w:val="en-GB" w:eastAsia="en-US"/>
        </w:rPr>
        <w:t xml:space="preserve">. </w:t>
      </w:r>
      <w:r w:rsidRPr="00EB5FFB">
        <w:rPr>
          <w:rFonts w:hint="cs"/>
          <w:b/>
          <w:bCs/>
          <w:sz w:val="36"/>
          <w:szCs w:val="36"/>
          <w:rtl/>
          <w:lang w:val="en-GB" w:eastAsia="en-US"/>
        </w:rPr>
        <w:t>وآخرها</w:t>
      </w:r>
      <w:r w:rsidR="0048366D">
        <w:rPr>
          <w:rFonts w:hint="cs"/>
          <w:sz w:val="36"/>
          <w:szCs w:val="36"/>
          <w:rtl/>
          <w:lang w:val="en-GB" w:eastAsia="en-US"/>
        </w:rPr>
        <w:t>:</w:t>
      </w:r>
      <w:r w:rsidRPr="00EB5FFB">
        <w:rPr>
          <w:rFonts w:hint="cs"/>
          <w:sz w:val="36"/>
          <w:szCs w:val="36"/>
          <w:rtl/>
          <w:lang w:val="en-GB" w:eastAsia="en-US"/>
        </w:rPr>
        <w:t xml:space="preserve"> ق257</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ومن أحكام المجاز</w:t>
      </w:r>
      <w:r w:rsidR="0048366D">
        <w:rPr>
          <w:rFonts w:hint="cs"/>
          <w:sz w:val="36"/>
          <w:szCs w:val="36"/>
          <w:rtl/>
          <w:lang w:val="en-GB" w:eastAsia="en-US"/>
        </w:rPr>
        <w:t>:</w:t>
      </w:r>
      <w:r w:rsidRPr="00EB5FFB">
        <w:rPr>
          <w:rFonts w:hint="cs"/>
          <w:sz w:val="36"/>
          <w:szCs w:val="36"/>
          <w:rtl/>
          <w:lang w:val="en-GB" w:eastAsia="en-US"/>
        </w:rPr>
        <w:t xml:space="preserve"> وُجودُ ما أُرِيدَ به، خاصًّا كان أو عامًّا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lastRenderedPageBreak/>
        <w:t>باب الهاء</w:t>
      </w:r>
      <w:r w:rsidR="0048366D">
        <w:rPr>
          <w:rFonts w:hint="cs"/>
          <w:b/>
          <w:bCs/>
          <w:sz w:val="38"/>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ويتضمن قاعدة واحدة، وهي</w:t>
      </w:r>
      <w:r w:rsidR="0048366D">
        <w:rPr>
          <w:rFonts w:hint="cs"/>
          <w:sz w:val="36"/>
          <w:szCs w:val="36"/>
          <w:rtl/>
          <w:lang w:val="en-GB" w:eastAsia="en-US"/>
        </w:rPr>
        <w:t>:</w:t>
      </w:r>
      <w:r w:rsidRPr="00EB5FFB">
        <w:rPr>
          <w:rFonts w:hint="cs"/>
          <w:sz w:val="36"/>
          <w:szCs w:val="36"/>
          <w:rtl/>
          <w:lang w:val="en-GB" w:eastAsia="en-US"/>
        </w:rPr>
        <w:t xml:space="preserve"> ق258</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هَلاَكُ المَبِيعِ فِي يَدِ المُشْتَرِي بِشِرَاءٍ بَاطِلٍ لَيْسَ بِمَضْمُونٍ</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b/>
          <w:bCs/>
          <w:sz w:val="38"/>
          <w:szCs w:val="36"/>
          <w:rtl/>
          <w:lang w:val="en-GB" w:eastAsia="en-US"/>
        </w:rPr>
      </w:pPr>
      <w:r w:rsidRPr="00EB5FFB">
        <w:rPr>
          <w:rFonts w:hint="cs"/>
          <w:b/>
          <w:bCs/>
          <w:sz w:val="38"/>
          <w:szCs w:val="36"/>
          <w:rtl/>
          <w:lang w:val="en-GB" w:eastAsia="en-US"/>
        </w:rPr>
        <w:t>باب الياء</w:t>
      </w:r>
      <w:r w:rsidR="0048366D">
        <w:rPr>
          <w:rFonts w:hint="cs"/>
          <w:b/>
          <w:bCs/>
          <w:sz w:val="38"/>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ويتضمن ثماني قواعد، </w:t>
      </w:r>
      <w:r w:rsidRPr="00EB5FFB">
        <w:rPr>
          <w:rFonts w:hint="cs"/>
          <w:b/>
          <w:bCs/>
          <w:sz w:val="36"/>
          <w:szCs w:val="36"/>
          <w:rtl/>
          <w:lang w:val="en-GB" w:eastAsia="en-US"/>
        </w:rPr>
        <w:t>أوّلها</w:t>
      </w:r>
      <w:r w:rsidR="0048366D">
        <w:rPr>
          <w:rFonts w:hint="cs"/>
          <w:sz w:val="36"/>
          <w:szCs w:val="36"/>
          <w:rtl/>
          <w:lang w:val="en-GB" w:eastAsia="en-US"/>
        </w:rPr>
        <w:t>:</w:t>
      </w:r>
      <w:r w:rsidRPr="00EB5FFB">
        <w:rPr>
          <w:rFonts w:hint="cs"/>
          <w:sz w:val="36"/>
          <w:szCs w:val="36"/>
          <w:rtl/>
          <w:lang w:val="en-GB" w:eastAsia="en-US"/>
        </w:rPr>
        <w:t xml:space="preserve"> ق259</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يُتحمَّلُ الضَّرَرُ الخَاصُّ لأجلِ دَفْعِ ضَرَرٍ عَامٍّ</w:t>
      </w:r>
      <w:r w:rsidRPr="00EB5FFB">
        <w:rPr>
          <w:rFonts w:hint="eastAsia"/>
          <w:sz w:val="36"/>
          <w:szCs w:val="36"/>
          <w:rtl/>
          <w:lang w:val="en-GB" w:eastAsia="en-US"/>
        </w:rPr>
        <w:t>»</w:t>
      </w:r>
      <w:r w:rsidRPr="00EB5FFB">
        <w:rPr>
          <w:rFonts w:hint="cs"/>
          <w:sz w:val="36"/>
          <w:szCs w:val="36"/>
          <w:rtl/>
          <w:lang w:val="en-GB" w:eastAsia="en-US"/>
        </w:rPr>
        <w:t xml:space="preserve">. </w:t>
      </w:r>
      <w:r w:rsidRPr="00EB5FFB">
        <w:rPr>
          <w:rFonts w:hint="cs"/>
          <w:b/>
          <w:bCs/>
          <w:sz w:val="36"/>
          <w:szCs w:val="36"/>
          <w:rtl/>
          <w:lang w:val="en-GB" w:eastAsia="en-US"/>
        </w:rPr>
        <w:t>وآخرها</w:t>
      </w:r>
      <w:r w:rsidR="0048366D">
        <w:rPr>
          <w:rFonts w:hint="cs"/>
          <w:sz w:val="36"/>
          <w:szCs w:val="36"/>
          <w:rtl/>
          <w:lang w:val="en-GB" w:eastAsia="en-US"/>
        </w:rPr>
        <w:t>:</w:t>
      </w:r>
      <w:r w:rsidRPr="00EB5FFB">
        <w:rPr>
          <w:rFonts w:hint="cs"/>
          <w:sz w:val="36"/>
          <w:szCs w:val="36"/>
          <w:rtl/>
          <w:lang w:val="en-GB" w:eastAsia="en-US"/>
        </w:rPr>
        <w:t xml:space="preserve"> ق266</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يَوْمُ المَوْتِ لاَ يَدْخُلُ تَحْتَ القَضَاءِ، بِخِلاَفِ يَوْمِ القَتْلِ</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8"/>
          <w:szCs w:val="36"/>
          <w:rtl/>
          <w:lang w:val="en-GB" w:eastAsia="en-US"/>
        </w:rPr>
      </w:pPr>
      <w:r w:rsidRPr="00EB5FFB">
        <w:rPr>
          <w:rFonts w:hint="cs"/>
          <w:b/>
          <w:bCs/>
          <w:sz w:val="38"/>
          <w:szCs w:val="36"/>
          <w:rtl/>
          <w:lang w:val="en-GB" w:eastAsia="en-US"/>
        </w:rPr>
        <w:t>4</w:t>
      </w:r>
      <w:r w:rsidRPr="00EB5FFB">
        <w:rPr>
          <w:rFonts w:hint="cs"/>
          <w:sz w:val="38"/>
          <w:szCs w:val="36"/>
          <w:rtl/>
          <w:lang w:val="en-GB" w:eastAsia="en-US"/>
        </w:rPr>
        <w:t>- في أثناء شرح المؤلف للقواعد كان يُعنى بتضمين الشرح المسائلَ التي قيل إنها مستثناة من القاعدة، ويبيّن علّة تخلّفها عنها؛ وذلك لإثبات كون القواعد أحكامًا كلّية، لا أكثرية؛ ليصلح الاستدلال بها.</w:t>
      </w:r>
    </w:p>
    <w:p w:rsidR="00EB5FFB" w:rsidRPr="00EB5FFB" w:rsidRDefault="00EB5FFB" w:rsidP="009A68A5">
      <w:pPr>
        <w:widowControl/>
        <w:ind w:firstLine="567"/>
        <w:jc w:val="both"/>
        <w:rPr>
          <w:sz w:val="38"/>
          <w:szCs w:val="36"/>
          <w:rtl/>
          <w:lang w:val="en-GB" w:eastAsia="en-US"/>
        </w:rPr>
      </w:pPr>
      <w:r w:rsidRPr="00EB5FFB">
        <w:rPr>
          <w:rFonts w:hint="cs"/>
          <w:sz w:val="38"/>
          <w:szCs w:val="36"/>
          <w:rtl/>
          <w:lang w:val="en-GB" w:eastAsia="en-US"/>
        </w:rPr>
        <w:t>وربّما اكتفى في شرح القاعدة بذكر المسائل التي قيل إنها خارجة عن القاعدة مع الجواب عنها.</w:t>
      </w:r>
    </w:p>
    <w:p w:rsidR="00EB5FFB" w:rsidRPr="00EB5FFB" w:rsidRDefault="00EB5FFB" w:rsidP="009A68A5">
      <w:pPr>
        <w:widowControl/>
        <w:ind w:firstLine="567"/>
        <w:jc w:val="both"/>
        <w:rPr>
          <w:sz w:val="38"/>
          <w:szCs w:val="38"/>
          <w:rtl/>
          <w:lang w:val="en-GB" w:eastAsia="en-US"/>
        </w:rPr>
      </w:pPr>
      <w:r w:rsidRPr="00EB5FFB">
        <w:rPr>
          <w:rFonts w:hint="cs"/>
          <w:sz w:val="38"/>
          <w:szCs w:val="36"/>
          <w:rtl/>
          <w:lang w:val="en-GB" w:eastAsia="en-US"/>
        </w:rPr>
        <w:t>فمثلاً القاعدة الأولى بدأ شرحها بقوله</w:t>
      </w:r>
      <w:r w:rsidR="0048366D">
        <w:rPr>
          <w:rFonts w:hint="cs"/>
          <w:sz w:val="38"/>
          <w:szCs w:val="36"/>
          <w:rtl/>
          <w:lang w:val="en-GB" w:eastAsia="en-US"/>
        </w:rPr>
        <w:t>:</w:t>
      </w:r>
      <w:r w:rsidRPr="00EB5FFB">
        <w:rPr>
          <w:rFonts w:hint="cs"/>
          <w:sz w:val="38"/>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وخـرج عـن هـذا الأصـل مسائل، منها</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4"/>
      </w:r>
      <w:r w:rsidRPr="00EB5FFB">
        <w:rPr>
          <w:rFonts w:hint="cs"/>
          <w:sz w:val="20"/>
          <w:szCs w:val="36"/>
          <w:vertAlign w:val="superscript"/>
          <w:rtl/>
          <w:lang w:val="en-GB" w:eastAsia="en-US"/>
        </w:rPr>
        <w:t>)</w:t>
      </w:r>
      <w:r w:rsidRPr="00EB5FFB">
        <w:rPr>
          <w:rFonts w:hint="cs"/>
          <w:sz w:val="20"/>
          <w:szCs w:val="36"/>
          <w:rtl/>
          <w:lang w:val="en-GB" w:eastAsia="en-US"/>
        </w:rPr>
        <w:t>، والقاعدة قبل الأخيرة بدأ شرحها باللفظ السابق أيضًا</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38"/>
          <w:szCs w:val="36"/>
          <w:rtl/>
          <w:lang w:eastAsia="en-US" w:bidi="ar-AE"/>
        </w:rPr>
      </w:pPr>
      <w:r w:rsidRPr="00EB5FFB">
        <w:rPr>
          <w:rFonts w:hint="cs"/>
          <w:sz w:val="38"/>
          <w:szCs w:val="36"/>
          <w:rtl/>
          <w:lang w:eastAsia="en-US" w:bidi="ar-AE"/>
        </w:rPr>
        <w:t>كما أنّ أكبر الأبواب (من جهة عدد القواعد) هو باب الألف، ثم الميم، ثم التاء، وقد تضمن باب الألف (50) قاعدة، وورد في (19) منها تقريبًا بيانٌ لعدد من المسائل التي قد يُتوهَّم كونها مستثناة من القاعدة. وتضمن باب الـميم (32) قاعـدة، وورد في (19) منها تقريبًا بيان لعدد من المسائل التي قد يتوهم كونها خارجة عن القاعدة. كما تضمن باب التاء (29) قاعدة، وقد ورد في (16) منها تقريبًا بيان مجموعة من الـمسائل المسـتثناة التي قد يتوهم كونها خارجة عن القاعدة. وربما أضاف في شرح هذه القواعد بعض القيود المهمة التي تضيّق نطاقها وتجعلها أكثر إحكامًا.</w:t>
      </w:r>
    </w:p>
    <w:p w:rsidR="00EB5FFB" w:rsidRPr="00EB5FFB" w:rsidRDefault="00EB5FFB" w:rsidP="009A68A5">
      <w:pPr>
        <w:widowControl/>
        <w:ind w:firstLine="567"/>
        <w:jc w:val="both"/>
        <w:rPr>
          <w:sz w:val="20"/>
          <w:szCs w:val="36"/>
          <w:rtl/>
          <w:lang w:val="en-GB" w:eastAsia="en-US"/>
        </w:rPr>
      </w:pPr>
      <w:r w:rsidRPr="00EB5FFB">
        <w:rPr>
          <w:rFonts w:hint="cs"/>
          <w:b/>
          <w:bCs/>
          <w:sz w:val="38"/>
          <w:szCs w:val="36"/>
          <w:rtl/>
          <w:lang w:eastAsia="en-US" w:bidi="ar-AE"/>
        </w:rPr>
        <w:lastRenderedPageBreak/>
        <w:t>5</w:t>
      </w:r>
      <w:r w:rsidRPr="00EB5FFB">
        <w:rPr>
          <w:rFonts w:hint="cs"/>
          <w:sz w:val="38"/>
          <w:szCs w:val="36"/>
          <w:rtl/>
          <w:lang w:eastAsia="en-US" w:bidi="ar-AE"/>
        </w:rPr>
        <w:t>- وممّا احتواه شرح القواعد</w:t>
      </w:r>
      <w:r w:rsidR="0048366D">
        <w:rPr>
          <w:rFonts w:hint="cs"/>
          <w:sz w:val="38"/>
          <w:szCs w:val="36"/>
          <w:rtl/>
          <w:lang w:eastAsia="en-US" w:bidi="ar-AE"/>
        </w:rPr>
        <w:t>:</w:t>
      </w:r>
      <w:r w:rsidRPr="00EB5FFB">
        <w:rPr>
          <w:rFonts w:hint="cs"/>
          <w:sz w:val="38"/>
          <w:szCs w:val="36"/>
          <w:rtl/>
          <w:lang w:eastAsia="en-US" w:bidi="ar-AE"/>
        </w:rPr>
        <w:t xml:space="preserve"> طائفة من الفروع الفقهية التي كان يذكرها لإيضاح القاعدة وتجلية معناها. إلا أنّ اعتناءه بها كان أقل من اعتنائه بالمسائل المستثناة؛ إذ كثيرًا ما كان يعرض صفحًا عن الاستطراد في الفروع، فيكتفي، بفرع أو فرعين، وربّما قال عقب ذلك</w:t>
      </w:r>
      <w:r w:rsidR="0048366D">
        <w:rPr>
          <w:rFonts w:hint="cs"/>
          <w:sz w:val="38"/>
          <w:szCs w:val="36"/>
          <w:rtl/>
          <w:lang w:eastAsia="en-US" w:bidi="ar-AE"/>
        </w:rPr>
        <w:t>:</w:t>
      </w:r>
      <w:r w:rsidRPr="00EB5FFB">
        <w:rPr>
          <w:rFonts w:hint="cs"/>
          <w:sz w:val="38"/>
          <w:szCs w:val="36"/>
          <w:rtl/>
          <w:lang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وفروع هذه القاعدة كثيرة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38"/>
          <w:szCs w:val="36"/>
          <w:rtl/>
          <w:lang w:eastAsia="en-US" w:bidi="ar-AE"/>
        </w:rPr>
      </w:pPr>
      <w:r w:rsidRPr="00EB5FFB">
        <w:rPr>
          <w:rFonts w:hint="cs"/>
          <w:sz w:val="38"/>
          <w:szCs w:val="36"/>
          <w:rtl/>
          <w:lang w:eastAsia="en-US" w:bidi="ar-AE"/>
        </w:rPr>
        <w:t>وممّا يؤكد عدم اعتنائه بالفروع أنه في شرحه لقواعد باب الألف اكتفى بمثال واحدٍ فقط لعشرين قاعدة من قواعده الخمسين</w:t>
      </w:r>
      <w:r w:rsidRPr="00EB5FFB">
        <w:rPr>
          <w:rFonts w:hint="cs"/>
          <w:sz w:val="38"/>
          <w:szCs w:val="36"/>
          <w:vertAlign w:val="superscript"/>
          <w:rtl/>
          <w:lang w:eastAsia="en-US" w:bidi="ar-AE"/>
        </w:rPr>
        <w:t>(</w:t>
      </w:r>
      <w:r w:rsidRPr="00EB5FFB">
        <w:rPr>
          <w:bCs/>
          <w:sz w:val="38"/>
          <w:szCs w:val="32"/>
          <w:vertAlign w:val="superscript"/>
          <w:rtl/>
          <w:lang w:eastAsia="en-US" w:bidi="ar-AE"/>
        </w:rPr>
        <w:footnoteReference w:id="117"/>
      </w:r>
      <w:r w:rsidRPr="00EB5FFB">
        <w:rPr>
          <w:rFonts w:hint="cs"/>
          <w:sz w:val="38"/>
          <w:szCs w:val="36"/>
          <w:vertAlign w:val="superscript"/>
          <w:rtl/>
          <w:lang w:eastAsia="en-US" w:bidi="ar-AE"/>
        </w:rPr>
        <w:t>)</w:t>
      </w:r>
      <w:r w:rsidRPr="00EB5FFB">
        <w:rPr>
          <w:rFonts w:hint="cs"/>
          <w:sz w:val="38"/>
          <w:szCs w:val="36"/>
          <w:rtl/>
          <w:lang w:eastAsia="en-US" w:bidi="ar-AE"/>
        </w:rPr>
        <w:t>، هذا على الرغم من كونه هو الباب الأول، والشأن في الباب الأول أن يكون نَفَسُ المؤلف فيه أطول من أيّ باب بعده!.</w:t>
      </w:r>
    </w:p>
    <w:p w:rsidR="00EB5FFB" w:rsidRPr="00EB5FFB" w:rsidRDefault="00EB5FFB" w:rsidP="009A68A5">
      <w:pPr>
        <w:widowControl/>
        <w:ind w:firstLine="567"/>
        <w:jc w:val="both"/>
        <w:rPr>
          <w:sz w:val="38"/>
          <w:szCs w:val="36"/>
          <w:rtl/>
          <w:lang w:eastAsia="en-US" w:bidi="ar-AE"/>
        </w:rPr>
      </w:pPr>
      <w:r w:rsidRPr="00EB5FFB">
        <w:rPr>
          <w:rFonts w:hint="cs"/>
          <w:b/>
          <w:bCs/>
          <w:sz w:val="38"/>
          <w:szCs w:val="36"/>
          <w:rtl/>
          <w:lang w:eastAsia="en-US" w:bidi="ar-AE"/>
        </w:rPr>
        <w:t>6</w:t>
      </w:r>
      <w:r w:rsidRPr="00EB5FFB">
        <w:rPr>
          <w:rFonts w:hint="cs"/>
          <w:sz w:val="38"/>
          <w:szCs w:val="36"/>
          <w:rtl/>
          <w:lang w:eastAsia="en-US" w:bidi="ar-AE"/>
        </w:rPr>
        <w:t>- كما احتوى الكتاب طائفة من نصوص الكتاب والسنّة، والأغلب من هذه النصوص يُذكر استدلالاً على الفروع الفقهية، وليس على القواعد.</w:t>
      </w:r>
    </w:p>
    <w:p w:rsidR="00EB5FFB" w:rsidRPr="00EB5FFB" w:rsidRDefault="00EB5FFB" w:rsidP="009A68A5">
      <w:pPr>
        <w:widowControl/>
        <w:ind w:firstLine="567"/>
        <w:jc w:val="both"/>
        <w:rPr>
          <w:sz w:val="20"/>
          <w:szCs w:val="36"/>
          <w:rtl/>
          <w:lang w:eastAsia="en-US" w:bidi="ar-AE"/>
        </w:rPr>
      </w:pPr>
      <w:r w:rsidRPr="00EB5FFB">
        <w:rPr>
          <w:rFonts w:hint="cs"/>
          <w:b/>
          <w:bCs/>
          <w:sz w:val="20"/>
          <w:szCs w:val="36"/>
          <w:rtl/>
          <w:lang w:eastAsia="en-US" w:bidi="ar-AE"/>
        </w:rPr>
        <w:t>7</w:t>
      </w:r>
      <w:r w:rsidRPr="00EB5FFB">
        <w:rPr>
          <w:rFonts w:hint="cs"/>
          <w:sz w:val="20"/>
          <w:szCs w:val="36"/>
          <w:rtl/>
          <w:lang w:eastAsia="en-US" w:bidi="ar-AE"/>
        </w:rPr>
        <w:t>- وأيضًا احتوى بعض الآثار عن الصحابة والتابعين، وكثيرًا من أقوال أئمة الحنفية وعلمائهم، كالإمام أبي حنيفة، وصاحبيه، والمرغيناني (ت593هـ) (صاحب الهداية)، والبابرتي (ت786هـ) (صاحب العناية)، والملا خسرو (ت885هـ)(صاحب الدّرر)، وابن نجيم (ت970هـ)(صاحب الأشباه)، وأيضًا الخبّازي (ت691هـ) (صاحب المغني)، وغيرهم.</w:t>
      </w:r>
    </w:p>
    <w:p w:rsidR="00EB5FFB" w:rsidRPr="00EB5FFB" w:rsidRDefault="00EB5FFB" w:rsidP="009A68A5">
      <w:pPr>
        <w:widowControl/>
        <w:ind w:firstLine="567"/>
        <w:jc w:val="both"/>
        <w:rPr>
          <w:sz w:val="20"/>
          <w:szCs w:val="36"/>
          <w:rtl/>
          <w:lang w:eastAsia="en-US"/>
        </w:rPr>
      </w:pPr>
    </w:p>
    <w:p w:rsidR="00EB5FFB" w:rsidRPr="00EB5FFB" w:rsidRDefault="00EB5FFB" w:rsidP="009A68A5">
      <w:pPr>
        <w:widowControl/>
        <w:ind w:firstLine="567"/>
        <w:jc w:val="both"/>
        <w:rPr>
          <w:sz w:val="20"/>
          <w:szCs w:val="36"/>
          <w:rtl/>
          <w:lang w:eastAsia="en-US"/>
        </w:rPr>
      </w:pPr>
    </w:p>
    <w:p w:rsidR="00EB5FFB" w:rsidRPr="00EB5FFB" w:rsidRDefault="00EB5FFB" w:rsidP="009A68A5">
      <w:pPr>
        <w:widowControl/>
        <w:ind w:firstLine="567"/>
        <w:jc w:val="both"/>
        <w:rPr>
          <w:sz w:val="20"/>
          <w:szCs w:val="36"/>
          <w:rtl/>
          <w:lang w:eastAsia="en-US" w:bidi="ar-AE"/>
        </w:rPr>
      </w:pPr>
    </w:p>
    <w:p w:rsidR="00EB5FFB" w:rsidRPr="00EB5FFB" w:rsidRDefault="00EB5FFB" w:rsidP="009A68A5">
      <w:pPr>
        <w:widowControl/>
        <w:ind w:firstLine="567"/>
        <w:jc w:val="both"/>
        <w:rPr>
          <w:sz w:val="20"/>
          <w:szCs w:val="36"/>
          <w:rtl/>
          <w:lang w:eastAsia="en-US" w:bidi="ar-AE"/>
        </w:rPr>
      </w:pPr>
    </w:p>
    <w:p w:rsidR="00EB5FFB" w:rsidRPr="00EB5FFB" w:rsidRDefault="00EB5FFB" w:rsidP="009A68A5">
      <w:pPr>
        <w:widowControl/>
        <w:ind w:firstLine="567"/>
        <w:jc w:val="both"/>
        <w:rPr>
          <w:sz w:val="20"/>
          <w:szCs w:val="36"/>
          <w:rtl/>
          <w:lang w:eastAsia="en-US" w:bidi="ar-AE"/>
        </w:rPr>
      </w:pPr>
    </w:p>
    <w:p w:rsidR="00F70EE6" w:rsidRDefault="00F70EE6" w:rsidP="009A68A5">
      <w:pPr>
        <w:widowControl/>
        <w:bidi w:val="0"/>
        <w:spacing w:after="160" w:line="259" w:lineRule="auto"/>
        <w:ind w:firstLine="0"/>
        <w:jc w:val="both"/>
        <w:rPr>
          <w:rFonts w:cs="Monotype Koufi"/>
          <w:bCs/>
          <w:sz w:val="20"/>
          <w:szCs w:val="36"/>
          <w:rtl/>
          <w:lang w:eastAsia="en-US" w:bidi="ar-AE"/>
        </w:rPr>
      </w:pPr>
      <w:r>
        <w:rPr>
          <w:rFonts w:cs="Monotype Koufi"/>
          <w:bCs/>
          <w:sz w:val="20"/>
          <w:szCs w:val="36"/>
          <w:rtl/>
          <w:lang w:eastAsia="en-US" w:bidi="ar-AE"/>
        </w:rPr>
        <w:br w:type="page"/>
      </w:r>
    </w:p>
    <w:p w:rsidR="00EB5FFB" w:rsidRPr="00EB5FFB" w:rsidRDefault="00EB5FFB" w:rsidP="009A68A5">
      <w:pPr>
        <w:widowControl/>
        <w:ind w:firstLine="567"/>
        <w:jc w:val="both"/>
        <w:rPr>
          <w:rFonts w:cs="Monotype Koufi"/>
          <w:bCs/>
          <w:sz w:val="20"/>
          <w:szCs w:val="36"/>
          <w:rtl/>
          <w:lang w:eastAsia="en-US" w:bidi="ar-AE"/>
        </w:rPr>
      </w:pPr>
      <w:r w:rsidRPr="00EB5FFB">
        <w:rPr>
          <w:rFonts w:cs="Monotype Koufi" w:hint="cs"/>
          <w:bCs/>
          <w:sz w:val="20"/>
          <w:szCs w:val="36"/>
          <w:rtl/>
          <w:lang w:eastAsia="en-US" w:bidi="ar-AE"/>
        </w:rPr>
        <w:lastRenderedPageBreak/>
        <w:t>المبحث الثالث</w:t>
      </w:r>
      <w:r w:rsidR="0048366D">
        <w:rPr>
          <w:rFonts w:cs="Monotype Koufi" w:hint="cs"/>
          <w:bCs/>
          <w:sz w:val="20"/>
          <w:szCs w:val="36"/>
          <w:rtl/>
          <w:lang w:eastAsia="en-US" w:bidi="ar-AE"/>
        </w:rPr>
        <w:t>:</w:t>
      </w:r>
      <w:r w:rsidRPr="00EB5FFB">
        <w:rPr>
          <w:rFonts w:cs="Monotype Koufi" w:hint="cs"/>
          <w:bCs/>
          <w:sz w:val="20"/>
          <w:szCs w:val="36"/>
          <w:rtl/>
          <w:lang w:eastAsia="en-US" w:bidi="ar-AE"/>
        </w:rPr>
        <w:t xml:space="preserve"> منهج المؤلف في كتابه</w:t>
      </w:r>
      <w:r w:rsidR="0048366D">
        <w:rPr>
          <w:rFonts w:cs="Monotype Koufi" w:hint="cs"/>
          <w:b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إنّ أيّ كتاب يؤلَّف لابد أن تكون له خطَّةٌ تتضمّن موضوعاته الرئيسة، ومنهجٌ يُسار عليه في تطبيق هذه الخطة.</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وإذا كانت خطة الكتاب وموضوعاته يمكن أن يعرفها القارئ بأدنى نظر إلى الكتاب، فإنّ المنهج بخلاف ذلك؛ إذْ يصعب على القارئ معرفته إلاّ بعد تأمّلٍ دقيقٍ، واستقراء وافٍ</w:t>
      </w:r>
      <w:r w:rsidRPr="00EB5FFB">
        <w:rPr>
          <w:sz w:val="20"/>
          <w:szCs w:val="36"/>
          <w:lang w:eastAsia="en-US"/>
        </w:rPr>
        <w:t xml:space="preserve"> </w:t>
      </w:r>
      <w:r w:rsidRPr="00EB5FFB">
        <w:rPr>
          <w:rFonts w:hint="cs"/>
          <w:sz w:val="20"/>
          <w:szCs w:val="36"/>
          <w:rtl/>
          <w:lang w:eastAsia="en-US" w:bidi="ar-AE"/>
        </w:rPr>
        <w:t>لمحتوى الكتاب</w:t>
      </w:r>
      <w:r w:rsidRPr="00EB5FFB">
        <w:rPr>
          <w:rFonts w:hint="cs"/>
          <w:sz w:val="20"/>
          <w:szCs w:val="36"/>
          <w:rtl/>
          <w:lang w:eastAsia="en-US"/>
        </w:rPr>
        <w:t>؛</w:t>
      </w:r>
      <w:r w:rsidRPr="00EB5FFB">
        <w:rPr>
          <w:rFonts w:hint="cs"/>
          <w:sz w:val="20"/>
          <w:szCs w:val="36"/>
          <w:rtl/>
          <w:lang w:eastAsia="en-US" w:bidi="ar-AE"/>
        </w:rPr>
        <w:t xml:space="preserve"> لهذا فإن المؤلفين قديمًا وحديثًا اعتنوا ببيان الجوانب المهمة للمنهج في مقدمات كتبهم؛ لِما في ذلك من أثرٍ بالغ في فهم الكتاب، وتصوّره.</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bidi="ar-AE"/>
        </w:rPr>
        <w:t>ومن هؤلاء المؤلفين</w:t>
      </w:r>
      <w:r w:rsidR="0048366D">
        <w:rPr>
          <w:rFonts w:hint="cs"/>
          <w:sz w:val="20"/>
          <w:szCs w:val="36"/>
          <w:rtl/>
          <w:lang w:eastAsia="en-US" w:bidi="ar-AE"/>
        </w:rPr>
        <w:t>:</w:t>
      </w:r>
      <w:r w:rsidRPr="00EB5FFB">
        <w:rPr>
          <w:rFonts w:hint="cs"/>
          <w:sz w:val="20"/>
          <w:szCs w:val="36"/>
          <w:rtl/>
          <w:lang w:eastAsia="en-US" w:bidi="ar-AE"/>
        </w:rPr>
        <w:t xml:space="preserve"> ناظر زاده </w:t>
      </w:r>
      <w:r w:rsidRPr="00EB5FFB">
        <w:rPr>
          <w:sz w:val="20"/>
          <w:szCs w:val="36"/>
          <w:rtl/>
          <w:lang w:eastAsia="en-US" w:bidi="ar-AE"/>
        </w:rPr>
        <w:t>–</w:t>
      </w:r>
      <w:r w:rsidRPr="00EB5FFB">
        <w:rPr>
          <w:rFonts w:hint="cs"/>
          <w:sz w:val="20"/>
          <w:szCs w:val="36"/>
          <w:rtl/>
          <w:lang w:eastAsia="en-US" w:bidi="ar-AE"/>
        </w:rPr>
        <w:t xml:space="preserve"> رحمه الله-، حيث صرّح بالجوانب المهمّة لمنهجه بقوله</w:t>
      </w:r>
      <w:r w:rsidR="0048366D">
        <w:rPr>
          <w:rFonts w:hint="cs"/>
          <w:sz w:val="20"/>
          <w:szCs w:val="36"/>
          <w:rtl/>
          <w:lang w:eastAsia="en-US" w:bidi="ar-AE"/>
        </w:rPr>
        <w:t>:</w:t>
      </w:r>
    </w:p>
    <w:p w:rsidR="00EB5FFB" w:rsidRPr="00EB5FFB" w:rsidRDefault="00EB5FFB" w:rsidP="009A68A5">
      <w:pPr>
        <w:widowControl/>
        <w:ind w:firstLine="567"/>
        <w:jc w:val="both"/>
        <w:rPr>
          <w:spacing w:val="-8"/>
          <w:sz w:val="20"/>
          <w:szCs w:val="36"/>
          <w:rtl/>
          <w:lang w:val="en-GB" w:eastAsia="en-US"/>
        </w:rPr>
      </w:pPr>
      <w:r w:rsidRPr="00EB5FFB">
        <w:rPr>
          <w:rFonts w:hint="eastAsia"/>
          <w:sz w:val="20"/>
          <w:szCs w:val="36"/>
          <w:rtl/>
          <w:lang w:val="en-GB" w:eastAsia="en-US"/>
        </w:rPr>
        <w:t>«</w:t>
      </w:r>
      <w:r w:rsidRPr="00EB5FFB">
        <w:rPr>
          <w:rFonts w:hint="eastAsia"/>
          <w:spacing w:val="-8"/>
          <w:sz w:val="20"/>
          <w:szCs w:val="36"/>
          <w:rtl/>
          <w:lang w:val="en-GB" w:eastAsia="en-US"/>
        </w:rPr>
        <w:t>لمّا</w:t>
      </w:r>
      <w:r w:rsidRPr="00EB5FFB">
        <w:rPr>
          <w:spacing w:val="-8"/>
          <w:sz w:val="20"/>
          <w:szCs w:val="36"/>
          <w:rtl/>
          <w:lang w:val="en-GB" w:eastAsia="en-US"/>
        </w:rPr>
        <w:t xml:space="preserve"> أُذِنتُ بالإفتاء، وأُمرتُ بنقل المسائل؛</w:t>
      </w:r>
      <w:r w:rsidRPr="00EB5FFB">
        <w:rPr>
          <w:rFonts w:hint="cs"/>
          <w:spacing w:val="-8"/>
          <w:sz w:val="20"/>
          <w:szCs w:val="36"/>
          <w:rtl/>
          <w:lang w:val="en-GB" w:eastAsia="en-US"/>
        </w:rPr>
        <w:t xml:space="preserve"> </w:t>
      </w:r>
      <w:r w:rsidRPr="00EB5FFB">
        <w:rPr>
          <w:spacing w:val="-8"/>
          <w:sz w:val="20"/>
          <w:szCs w:val="36"/>
          <w:rtl/>
          <w:lang w:val="en-GB" w:eastAsia="en-US"/>
        </w:rPr>
        <w:t>لتطمئ</w:t>
      </w:r>
      <w:r w:rsidRPr="00EB5FFB">
        <w:rPr>
          <w:rFonts w:hint="cs"/>
          <w:spacing w:val="-8"/>
          <w:sz w:val="20"/>
          <w:szCs w:val="36"/>
          <w:rtl/>
          <w:lang w:val="en-GB" w:eastAsia="en-US"/>
        </w:rPr>
        <w:t xml:space="preserve">ن </w:t>
      </w:r>
      <w:r w:rsidRPr="00EB5FFB">
        <w:rPr>
          <w:rFonts w:hint="eastAsia"/>
          <w:spacing w:val="-4"/>
          <w:sz w:val="20"/>
          <w:szCs w:val="36"/>
          <w:rtl/>
          <w:lang w:val="en-GB" w:eastAsia="en-US"/>
        </w:rPr>
        <w:t>القلوب</w:t>
      </w:r>
      <w:r w:rsidRPr="00EB5FFB">
        <w:rPr>
          <w:spacing w:val="-4"/>
          <w:sz w:val="20"/>
          <w:szCs w:val="36"/>
          <w:rtl/>
          <w:lang w:val="en-GB" w:eastAsia="en-US"/>
        </w:rPr>
        <w:t xml:space="preserve"> عند جواب السائل</w:t>
      </w:r>
      <w:r w:rsidRPr="00EB5FFB">
        <w:rPr>
          <w:rFonts w:hint="cs"/>
          <w:spacing w:val="-4"/>
          <w:sz w:val="20"/>
          <w:szCs w:val="36"/>
          <w:rtl/>
          <w:lang w:val="en-GB" w:eastAsia="en-US"/>
        </w:rPr>
        <w:t xml:space="preserve">، </w:t>
      </w:r>
      <w:r w:rsidRPr="00EB5FFB">
        <w:rPr>
          <w:rFonts w:hint="eastAsia"/>
          <w:spacing w:val="-6"/>
          <w:sz w:val="20"/>
          <w:szCs w:val="36"/>
          <w:rtl/>
          <w:lang w:val="en-GB" w:eastAsia="en-US"/>
        </w:rPr>
        <w:t>فتصفحت</w:t>
      </w:r>
      <w:r w:rsidRPr="00EB5FFB">
        <w:rPr>
          <w:rFonts w:hint="cs"/>
          <w:spacing w:val="-6"/>
          <w:sz w:val="20"/>
          <w:szCs w:val="36"/>
          <w:rtl/>
          <w:lang w:val="en-GB" w:eastAsia="en-US"/>
        </w:rPr>
        <w:t xml:space="preserve"> </w:t>
      </w:r>
      <w:r w:rsidRPr="00EB5FFB">
        <w:rPr>
          <w:rFonts w:hint="eastAsia"/>
          <w:spacing w:val="-6"/>
          <w:sz w:val="20"/>
          <w:szCs w:val="36"/>
          <w:rtl/>
          <w:lang w:val="en-GB" w:eastAsia="en-US"/>
        </w:rPr>
        <w:t>كتب</w:t>
      </w:r>
      <w:r w:rsidRPr="00EB5FFB">
        <w:rPr>
          <w:spacing w:val="-6"/>
          <w:sz w:val="20"/>
          <w:szCs w:val="36"/>
          <w:rtl/>
          <w:lang w:val="en-GB" w:eastAsia="en-US"/>
        </w:rPr>
        <w:t xml:space="preserve"> الأئمة</w:t>
      </w:r>
      <w:r w:rsidRPr="00EB5FFB">
        <w:rPr>
          <w:rFonts w:hint="cs"/>
          <w:spacing w:val="-6"/>
          <w:sz w:val="20"/>
          <w:szCs w:val="36"/>
          <w:rtl/>
          <w:lang w:val="en-GB" w:eastAsia="en-US"/>
        </w:rPr>
        <w:t xml:space="preserve"> </w:t>
      </w:r>
      <w:r w:rsidRPr="00EB5FFB">
        <w:rPr>
          <w:rFonts w:hint="eastAsia"/>
          <w:spacing w:val="-6"/>
          <w:sz w:val="20"/>
          <w:szCs w:val="36"/>
          <w:rtl/>
          <w:lang w:val="en-GB" w:eastAsia="en-US"/>
        </w:rPr>
        <w:t>المهتدين</w:t>
      </w:r>
      <w:r w:rsidRPr="00EB5FFB">
        <w:rPr>
          <w:spacing w:val="-6"/>
          <w:sz w:val="20"/>
          <w:szCs w:val="36"/>
          <w:rtl/>
          <w:lang w:val="en-GB" w:eastAsia="en-US"/>
        </w:rPr>
        <w:t xml:space="preserve"> من علماء الدين، ووجدت قواعد وأصولاً</w:t>
      </w:r>
      <w:r w:rsidRPr="00EB5FFB">
        <w:rPr>
          <w:spacing w:val="-6"/>
          <w:sz w:val="20"/>
          <w:szCs w:val="36"/>
          <w:lang w:val="en-GB" w:eastAsia="en-US"/>
        </w:rPr>
        <w:t xml:space="preserve"> </w:t>
      </w:r>
      <w:r w:rsidRPr="00EB5FFB">
        <w:rPr>
          <w:spacing w:val="-6"/>
          <w:sz w:val="20"/>
          <w:szCs w:val="36"/>
          <w:rtl/>
          <w:lang w:val="en-GB" w:eastAsia="en-US"/>
        </w:rPr>
        <w:t xml:space="preserve">تصلح </w:t>
      </w:r>
      <w:r w:rsidRPr="00EB5FFB">
        <w:rPr>
          <w:rFonts w:hint="eastAsia"/>
          <w:spacing w:val="-6"/>
          <w:sz w:val="20"/>
          <w:szCs w:val="36"/>
          <w:rtl/>
          <w:lang w:val="en-GB" w:eastAsia="en-US"/>
        </w:rPr>
        <w:t>أن</w:t>
      </w:r>
      <w:r w:rsidRPr="00EB5FFB">
        <w:rPr>
          <w:spacing w:val="-6"/>
          <w:sz w:val="20"/>
          <w:szCs w:val="36"/>
          <w:rtl/>
          <w:lang w:val="en-GB" w:eastAsia="en-US"/>
        </w:rPr>
        <w:t xml:space="preserve"> تكون</w:t>
      </w:r>
      <w:r w:rsidRPr="00EB5FFB">
        <w:rPr>
          <w:rFonts w:hint="cs"/>
          <w:spacing w:val="-6"/>
          <w:sz w:val="20"/>
          <w:szCs w:val="36"/>
          <w:rtl/>
          <w:lang w:val="en-GB" w:eastAsia="en-US"/>
        </w:rPr>
        <w:t xml:space="preserve"> </w:t>
      </w:r>
      <w:r w:rsidRPr="00EB5FFB">
        <w:rPr>
          <w:rFonts w:hint="eastAsia"/>
          <w:spacing w:val="-6"/>
          <w:sz w:val="20"/>
          <w:szCs w:val="36"/>
          <w:rtl/>
          <w:lang w:val="en-GB" w:eastAsia="en-US"/>
        </w:rPr>
        <w:t>للجواب</w:t>
      </w:r>
      <w:r w:rsidRPr="00EB5FFB">
        <w:rPr>
          <w:spacing w:val="-6"/>
          <w:sz w:val="20"/>
          <w:szCs w:val="36"/>
          <w:rtl/>
          <w:lang w:val="en-GB" w:eastAsia="en-US"/>
        </w:rPr>
        <w:t xml:space="preserve"> دليلاً</w:t>
      </w:r>
      <w:r w:rsidRPr="00EB5FFB">
        <w:rPr>
          <w:rFonts w:hint="eastAsia"/>
          <w:spacing w:val="-6"/>
          <w:sz w:val="20"/>
          <w:szCs w:val="36"/>
          <w:rtl/>
          <w:lang w:val="en-GB" w:eastAsia="en-US"/>
        </w:rPr>
        <w:t>،</w:t>
      </w:r>
      <w:r w:rsidRPr="00EB5FFB">
        <w:rPr>
          <w:spacing w:val="-6"/>
          <w:sz w:val="20"/>
          <w:szCs w:val="36"/>
          <w:rtl/>
          <w:lang w:val="en-GB" w:eastAsia="en-US"/>
        </w:rPr>
        <w:t xml:space="preserve"> </w:t>
      </w:r>
      <w:r w:rsidRPr="00EB5FFB">
        <w:rPr>
          <w:rFonts w:hint="eastAsia"/>
          <w:spacing w:val="-6"/>
          <w:sz w:val="20"/>
          <w:szCs w:val="36"/>
          <w:rtl/>
          <w:lang w:val="en-GB" w:eastAsia="en-US"/>
        </w:rPr>
        <w:t>ورتبتها</w:t>
      </w:r>
      <w:r w:rsidRPr="00EB5FFB">
        <w:rPr>
          <w:spacing w:val="-6"/>
          <w:sz w:val="20"/>
          <w:szCs w:val="36"/>
          <w:rtl/>
          <w:lang w:val="en-GB" w:eastAsia="en-US"/>
        </w:rPr>
        <w:t xml:space="preserve"> في هذه الجريدة</w:t>
      </w:r>
      <w:r w:rsidRPr="00EB5FFB">
        <w:rPr>
          <w:rFonts w:hint="cs"/>
          <w:spacing w:val="-6"/>
          <w:sz w:val="20"/>
          <w:szCs w:val="36"/>
          <w:rtl/>
          <w:lang w:val="en-GB" w:eastAsia="en-US"/>
        </w:rPr>
        <w:t xml:space="preserve"> </w:t>
      </w:r>
      <w:r w:rsidRPr="00EB5FFB">
        <w:rPr>
          <w:rFonts w:hint="eastAsia"/>
          <w:spacing w:val="-6"/>
          <w:sz w:val="20"/>
          <w:szCs w:val="36"/>
          <w:rtl/>
          <w:lang w:val="en-GB" w:eastAsia="en-US"/>
        </w:rPr>
        <w:t>على</w:t>
      </w:r>
      <w:r w:rsidRPr="00EB5FFB">
        <w:rPr>
          <w:spacing w:val="-6"/>
          <w:sz w:val="20"/>
          <w:szCs w:val="36"/>
          <w:rtl/>
          <w:lang w:val="en-GB" w:eastAsia="en-US"/>
        </w:rPr>
        <w:t xml:space="preserve"> حروف الهجاء</w:t>
      </w:r>
      <w:r w:rsidRPr="00EB5FFB">
        <w:rPr>
          <w:rFonts w:hint="cs"/>
          <w:spacing w:val="-6"/>
          <w:sz w:val="20"/>
          <w:szCs w:val="36"/>
          <w:rtl/>
          <w:lang w:val="en-GB" w:eastAsia="en-US"/>
        </w:rPr>
        <w:t xml:space="preserve">، </w:t>
      </w:r>
      <w:r w:rsidRPr="00EB5FFB">
        <w:rPr>
          <w:rFonts w:hint="eastAsia"/>
          <w:spacing w:val="-8"/>
          <w:sz w:val="20"/>
          <w:szCs w:val="36"/>
          <w:rtl/>
          <w:lang w:val="en-GB" w:eastAsia="en-US"/>
        </w:rPr>
        <w:t>من</w:t>
      </w:r>
      <w:r w:rsidRPr="00EB5FFB">
        <w:rPr>
          <w:spacing w:val="-8"/>
          <w:sz w:val="20"/>
          <w:szCs w:val="36"/>
          <w:rtl/>
          <w:lang w:val="en-GB" w:eastAsia="en-US"/>
        </w:rPr>
        <w:t xml:space="preserve"> الألف والباء إلى الياء؛ تسهيلاً لإحضارها</w:t>
      </w:r>
      <w:r w:rsidRPr="00EB5FFB">
        <w:rPr>
          <w:rFonts w:hint="cs"/>
          <w:spacing w:val="-8"/>
          <w:sz w:val="20"/>
          <w:szCs w:val="36"/>
          <w:rtl/>
          <w:lang w:val="en-GB" w:eastAsia="en-US"/>
        </w:rPr>
        <w:t xml:space="preserve"> </w:t>
      </w:r>
      <w:r w:rsidRPr="00EB5FFB">
        <w:rPr>
          <w:rFonts w:hint="eastAsia"/>
          <w:spacing w:val="-8"/>
          <w:sz w:val="20"/>
          <w:szCs w:val="36"/>
          <w:rtl/>
          <w:lang w:val="en-GB" w:eastAsia="en-US"/>
        </w:rPr>
        <w:t>في</w:t>
      </w:r>
      <w:r w:rsidRPr="00EB5FFB">
        <w:rPr>
          <w:spacing w:val="-8"/>
          <w:sz w:val="20"/>
          <w:szCs w:val="36"/>
          <w:rtl/>
          <w:lang w:val="en-GB" w:eastAsia="en-US"/>
        </w:rPr>
        <w:t xml:space="preserve"> البال</w:t>
      </w:r>
      <w:r w:rsidRPr="00EB5FFB">
        <w:rPr>
          <w:rFonts w:hint="eastAsia"/>
          <w:spacing w:val="-8"/>
          <w:sz w:val="20"/>
          <w:szCs w:val="36"/>
          <w:rtl/>
          <w:lang w:val="en-GB" w:eastAsia="en-US" w:bidi="ar-AE"/>
        </w:rPr>
        <w:t>،</w:t>
      </w:r>
      <w:r w:rsidRPr="00EB5FFB">
        <w:rPr>
          <w:spacing w:val="-8"/>
          <w:sz w:val="20"/>
          <w:szCs w:val="36"/>
          <w:rtl/>
          <w:lang w:val="en-GB" w:eastAsia="en-US"/>
        </w:rPr>
        <w:t xml:space="preserve"> </w:t>
      </w:r>
      <w:r w:rsidRPr="00EB5FFB">
        <w:rPr>
          <w:rFonts w:hint="eastAsia"/>
          <w:spacing w:val="-8"/>
          <w:sz w:val="20"/>
          <w:szCs w:val="36"/>
          <w:rtl/>
          <w:lang w:val="en-GB" w:eastAsia="en-US"/>
        </w:rPr>
        <w:t>وإحصارها</w:t>
      </w:r>
      <w:r w:rsidRPr="00EB5FFB">
        <w:rPr>
          <w:rFonts w:hint="cs"/>
          <w:spacing w:val="-8"/>
          <w:sz w:val="20"/>
          <w:szCs w:val="36"/>
          <w:rtl/>
          <w:lang w:val="en-GB" w:eastAsia="en-US" w:bidi="ar-AE"/>
        </w:rPr>
        <w:t xml:space="preserve"> </w:t>
      </w:r>
      <w:r w:rsidRPr="00EB5FFB">
        <w:rPr>
          <w:rFonts w:hint="eastAsia"/>
          <w:spacing w:val="-8"/>
          <w:sz w:val="20"/>
          <w:szCs w:val="36"/>
          <w:rtl/>
          <w:lang w:val="en-GB" w:eastAsia="en-US"/>
        </w:rPr>
        <w:t>لدى</w:t>
      </w:r>
      <w:r w:rsidRPr="00EB5FFB">
        <w:rPr>
          <w:spacing w:val="-8"/>
          <w:sz w:val="20"/>
          <w:szCs w:val="36"/>
          <w:lang w:val="en-GB" w:eastAsia="en-US"/>
        </w:rPr>
        <w:t xml:space="preserve"> </w:t>
      </w:r>
      <w:r w:rsidRPr="00EB5FFB">
        <w:rPr>
          <w:rFonts w:hint="eastAsia"/>
          <w:spacing w:val="-8"/>
          <w:sz w:val="20"/>
          <w:szCs w:val="36"/>
          <w:rtl/>
          <w:lang w:val="en-GB" w:eastAsia="en-US"/>
        </w:rPr>
        <w:t>السؤال</w:t>
      </w:r>
      <w:r w:rsidRPr="00EB5FFB">
        <w:rPr>
          <w:spacing w:val="-8"/>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spacing w:val="-8"/>
          <w:sz w:val="20"/>
          <w:szCs w:val="36"/>
          <w:lang w:val="en-GB" w:eastAsia="en-US"/>
        </w:rPr>
        <w:t xml:space="preserve"> </w:t>
      </w:r>
      <w:r w:rsidRPr="00EB5FFB">
        <w:rPr>
          <w:rFonts w:hint="eastAsia"/>
          <w:sz w:val="20"/>
          <w:szCs w:val="36"/>
          <w:rtl/>
          <w:lang w:val="en-GB" w:eastAsia="en-US"/>
        </w:rPr>
        <w:t>وأوردت</w:t>
      </w:r>
      <w:r w:rsidRPr="00EB5FFB">
        <w:rPr>
          <w:sz w:val="20"/>
          <w:szCs w:val="36"/>
          <w:rtl/>
          <w:lang w:val="en-GB" w:eastAsia="en-US"/>
        </w:rPr>
        <w:t xml:space="preserve"> علّة تخلُّفِ بعض الأحكام</w:t>
      </w:r>
      <w:r w:rsidRPr="00EB5FFB">
        <w:rPr>
          <w:rFonts w:hint="cs"/>
          <w:sz w:val="20"/>
          <w:szCs w:val="36"/>
          <w:rtl/>
          <w:lang w:val="en-GB" w:eastAsia="en-US"/>
        </w:rPr>
        <w:t xml:space="preserve"> </w:t>
      </w:r>
      <w:r w:rsidRPr="00EB5FFB">
        <w:rPr>
          <w:rFonts w:hint="eastAsia"/>
          <w:sz w:val="20"/>
          <w:szCs w:val="36"/>
          <w:rtl/>
          <w:lang w:val="en-GB" w:eastAsia="en-US"/>
        </w:rPr>
        <w:t>عن</w:t>
      </w:r>
      <w:r w:rsidRPr="00EB5FFB">
        <w:rPr>
          <w:sz w:val="20"/>
          <w:szCs w:val="36"/>
          <w:rtl/>
          <w:lang w:val="en-GB" w:eastAsia="en-US"/>
        </w:rPr>
        <w:t xml:space="preserve"> هذه القواعد في بدء النظر، وتبادر الأوهام</w:t>
      </w:r>
      <w:r w:rsidRPr="00EB5FFB">
        <w:rPr>
          <w:rFonts w:hint="eastAsia"/>
          <w:sz w:val="20"/>
          <w:szCs w:val="36"/>
          <w:rtl/>
          <w:lang w:val="en-GB" w:eastAsia="en-US"/>
        </w:rPr>
        <w:t>،</w:t>
      </w:r>
      <w:r w:rsidRPr="00EB5FFB">
        <w:rPr>
          <w:sz w:val="20"/>
          <w:szCs w:val="36"/>
          <w:rtl/>
          <w:lang w:val="en-GB" w:eastAsia="en-US"/>
        </w:rPr>
        <w:t xml:space="preserve"> بعضها بالصُّرَاحِ، وبعضها </w:t>
      </w:r>
      <w:r w:rsidRPr="00EB5FFB">
        <w:rPr>
          <w:rFonts w:hint="eastAsia"/>
          <w:sz w:val="20"/>
          <w:szCs w:val="36"/>
          <w:rtl/>
          <w:lang w:val="en-GB" w:eastAsia="en-US"/>
        </w:rPr>
        <w:t>بالإشارة</w:t>
      </w:r>
      <w:r w:rsidRPr="00EB5FFB">
        <w:rPr>
          <w:sz w:val="20"/>
          <w:szCs w:val="36"/>
          <w:rtl/>
          <w:lang w:val="en-GB" w:eastAsia="en-US"/>
        </w:rPr>
        <w:t xml:space="preserve"> في سياق الكلام؛ لئلا يرد النّقض على الاطراد</w:t>
      </w:r>
      <w:r w:rsidRPr="00EB5FFB">
        <w:rPr>
          <w:rFonts w:hint="cs"/>
          <w:sz w:val="20"/>
          <w:szCs w:val="36"/>
          <w:rtl/>
          <w:lang w:val="en-GB" w:eastAsia="en-US"/>
        </w:rPr>
        <w:t xml:space="preserve"> </w:t>
      </w:r>
      <w:r w:rsidRPr="00EB5FFB">
        <w:rPr>
          <w:rFonts w:hint="eastAsia"/>
          <w:sz w:val="20"/>
          <w:szCs w:val="36"/>
          <w:rtl/>
          <w:lang w:val="en-GB" w:eastAsia="en-US"/>
        </w:rPr>
        <w:t>ولا</w:t>
      </w:r>
      <w:r w:rsidRPr="00EB5FFB">
        <w:rPr>
          <w:sz w:val="20"/>
          <w:szCs w:val="36"/>
          <w:rtl/>
          <w:lang w:val="en-GB" w:eastAsia="en-US"/>
        </w:rPr>
        <w:t xml:space="preserve"> تخرج</w:t>
      </w:r>
      <w:r w:rsidRPr="00EB5FFB">
        <w:rPr>
          <w:rFonts w:hint="cs"/>
          <w:sz w:val="20"/>
          <w:szCs w:val="36"/>
          <w:rtl/>
          <w:lang w:val="en-GB" w:eastAsia="en-US"/>
        </w:rPr>
        <w:t xml:space="preserve"> </w:t>
      </w:r>
      <w:r w:rsidRPr="00EB5FFB">
        <w:rPr>
          <w:rFonts w:hint="eastAsia"/>
          <w:sz w:val="20"/>
          <w:szCs w:val="36"/>
          <w:rtl/>
          <w:lang w:val="en-GB" w:eastAsia="en-US"/>
        </w:rPr>
        <w:t>عن</w:t>
      </w:r>
      <w:r w:rsidRPr="00EB5FFB">
        <w:rPr>
          <w:sz w:val="20"/>
          <w:szCs w:val="36"/>
          <w:rtl/>
          <w:lang w:val="en-GB" w:eastAsia="en-US"/>
        </w:rPr>
        <w:t xml:space="preserve"> كونها دليلا</w:t>
      </w:r>
      <w:r w:rsidRPr="00EB5FFB">
        <w:rPr>
          <w:rFonts w:hint="cs"/>
          <w:sz w:val="20"/>
          <w:szCs w:val="36"/>
          <w:rtl/>
          <w:lang w:val="en-GB" w:eastAsia="en-US"/>
        </w:rPr>
        <w:t xml:space="preserve"> </w:t>
      </w:r>
      <w:r w:rsidRPr="00EB5FFB">
        <w:rPr>
          <w:rFonts w:hint="eastAsia"/>
          <w:sz w:val="20"/>
          <w:szCs w:val="36"/>
          <w:rtl/>
          <w:lang w:val="en-GB" w:eastAsia="en-US"/>
        </w:rPr>
        <w:t>عند</w:t>
      </w:r>
      <w:r w:rsidRPr="00EB5FFB">
        <w:rPr>
          <w:sz w:val="20"/>
          <w:szCs w:val="36"/>
          <w:rtl/>
          <w:lang w:val="en-GB" w:eastAsia="en-US"/>
        </w:rPr>
        <w:t xml:space="preserve"> الإيراد</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 xml:space="preserve"> »</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وعلى ضوء هذه الخلاصة الدّقيقة للجوانب المهمة في منهج ناظر زاده، ومن خلال العمل في التحقيق، وما نتج عنه من استقراء لمحتويات الكتاب</w:t>
      </w:r>
      <w:r w:rsidR="0048366D">
        <w:rPr>
          <w:rFonts w:hint="cs"/>
          <w:sz w:val="20"/>
          <w:szCs w:val="36"/>
          <w:rtl/>
          <w:lang w:val="en-GB" w:eastAsia="en-US"/>
        </w:rPr>
        <w:t>:</w:t>
      </w:r>
      <w:r w:rsidRPr="00EB5FFB">
        <w:rPr>
          <w:rFonts w:hint="cs"/>
          <w:sz w:val="20"/>
          <w:szCs w:val="36"/>
          <w:rtl/>
          <w:lang w:val="en-GB" w:eastAsia="en-US"/>
        </w:rPr>
        <w:t xml:space="preserve"> يمكن إيضاح منهجه في قواعده، ومنهجه في التعليق عليها على النحو الآتي</w:t>
      </w:r>
      <w:r w:rsidR="0048366D">
        <w:rPr>
          <w:rFonts w:hint="cs"/>
          <w:sz w:val="20"/>
          <w:szCs w:val="36"/>
          <w:rtl/>
          <w:lang w:val="en-GB" w:eastAsia="en-US"/>
        </w:rPr>
        <w:t>:</w:t>
      </w:r>
    </w:p>
    <w:p w:rsidR="00EB5FFB" w:rsidRPr="00EB5FFB" w:rsidRDefault="00EB5FFB" w:rsidP="009A68A5">
      <w:pPr>
        <w:widowControl/>
        <w:ind w:firstLine="567"/>
        <w:jc w:val="both"/>
        <w:rPr>
          <w:rFonts w:cs="AL-Mateen"/>
          <w:sz w:val="48"/>
          <w:szCs w:val="36"/>
          <w:rtl/>
          <w:lang w:val="en-GB" w:eastAsia="en-US"/>
        </w:rPr>
      </w:pPr>
      <w:r w:rsidRPr="00EB5FFB">
        <w:rPr>
          <w:rFonts w:cs="AL-Mateen" w:hint="cs"/>
          <w:sz w:val="48"/>
          <w:szCs w:val="36"/>
          <w:rtl/>
          <w:lang w:val="en-GB" w:eastAsia="en-US"/>
        </w:rPr>
        <w:t>أولاً</w:t>
      </w:r>
      <w:r w:rsidR="0048366D">
        <w:rPr>
          <w:rFonts w:cs="AL-Mateen" w:hint="cs"/>
          <w:sz w:val="48"/>
          <w:szCs w:val="36"/>
          <w:rtl/>
          <w:lang w:val="en-GB" w:eastAsia="en-US"/>
        </w:rPr>
        <w:t>:</w:t>
      </w:r>
      <w:r w:rsidRPr="00EB5FFB">
        <w:rPr>
          <w:rFonts w:cs="AL-Mateen" w:hint="cs"/>
          <w:sz w:val="48"/>
          <w:szCs w:val="36"/>
          <w:rtl/>
          <w:lang w:val="en-GB" w:eastAsia="en-US"/>
        </w:rPr>
        <w:t xml:space="preserve"> منهجه في القواعد</w:t>
      </w:r>
      <w:r w:rsidR="0048366D">
        <w:rPr>
          <w:rFonts w:cs="AL-Mateen" w:hint="cs"/>
          <w:sz w:val="48"/>
          <w:szCs w:val="36"/>
          <w:rtl/>
          <w:lang w:val="en-GB" w:eastAsia="en-US"/>
        </w:rPr>
        <w:t>:</w:t>
      </w:r>
    </w:p>
    <w:p w:rsidR="00EB5FFB" w:rsidRPr="00EB5FFB" w:rsidRDefault="00EB5FFB" w:rsidP="009A68A5">
      <w:pPr>
        <w:widowControl/>
        <w:ind w:firstLine="567"/>
        <w:jc w:val="both"/>
        <w:rPr>
          <w:spacing w:val="-8"/>
          <w:sz w:val="20"/>
          <w:szCs w:val="36"/>
          <w:rtl/>
          <w:lang w:eastAsia="en-US" w:bidi="ar-AE"/>
        </w:rPr>
      </w:pPr>
      <w:r w:rsidRPr="00EB5FFB">
        <w:rPr>
          <w:rFonts w:hint="cs"/>
          <w:b/>
          <w:bCs/>
          <w:sz w:val="20"/>
          <w:szCs w:val="36"/>
          <w:rtl/>
          <w:lang w:eastAsia="en-US" w:bidi="ar-AE"/>
        </w:rPr>
        <w:t>1-</w:t>
      </w:r>
      <w:r w:rsidRPr="00EB5FFB">
        <w:rPr>
          <w:rFonts w:hint="cs"/>
          <w:sz w:val="20"/>
          <w:szCs w:val="36"/>
          <w:rtl/>
          <w:lang w:eastAsia="en-US" w:bidi="ar-AE"/>
        </w:rPr>
        <w:t xml:space="preserve"> رتب قواعده على حروف الهجاء، من الألف والباء إلى الياء، وجعل كل حرف في باب مستقل، وسمّاه باسم ذلك الحرف، وضمّنه القواعد التي تبدأ بذلك الحرف، ولم يترك من حروف الهجاء إلا حرفًا واحدًا، وهو الظاد؛ لعدم وجود قواعد عنده تبدأ بهذا الحرف، </w:t>
      </w:r>
      <w:r w:rsidRPr="00EB5FFB">
        <w:rPr>
          <w:rFonts w:hint="cs"/>
          <w:spacing w:val="-8"/>
          <w:sz w:val="20"/>
          <w:szCs w:val="36"/>
          <w:rtl/>
          <w:lang w:eastAsia="en-US" w:bidi="ar-AE"/>
        </w:rPr>
        <w:t xml:space="preserve">كما أنه </w:t>
      </w:r>
      <w:r w:rsidRPr="00EB5FFB">
        <w:rPr>
          <w:rFonts w:hint="cs"/>
          <w:spacing w:val="-8"/>
          <w:sz w:val="20"/>
          <w:szCs w:val="36"/>
          <w:rtl/>
          <w:lang w:eastAsia="en-US" w:bidi="ar-AE"/>
        </w:rPr>
        <w:lastRenderedPageBreak/>
        <w:t>قدّم حرف (الواو) على (الهاء)، وهذا التقديم مستعمل في بعض الكتب؛ كـ(الصحاح) للجوهري، و(كشف الظنون) لحاجي خليفة، إلا أنه خلاف السائد.</w:t>
      </w:r>
    </w:p>
    <w:p w:rsidR="00EB5FFB" w:rsidRPr="00EB5FFB" w:rsidRDefault="00EB5FFB" w:rsidP="009A68A5">
      <w:pPr>
        <w:widowControl/>
        <w:ind w:firstLine="567"/>
        <w:jc w:val="both"/>
        <w:rPr>
          <w:spacing w:val="6"/>
          <w:sz w:val="20"/>
          <w:szCs w:val="36"/>
          <w:rtl/>
          <w:lang w:eastAsia="en-US" w:bidi="ar-AE"/>
        </w:rPr>
      </w:pPr>
      <w:r w:rsidRPr="00EB5FFB">
        <w:rPr>
          <w:rFonts w:hint="cs"/>
          <w:spacing w:val="6"/>
          <w:sz w:val="20"/>
          <w:szCs w:val="36"/>
          <w:rtl/>
          <w:lang w:eastAsia="en-US" w:bidi="ar-AE"/>
        </w:rPr>
        <w:t>وإذا كان هذا منهجه في تصنيف قواعده إلى سبعة وعشرين بابًا، تمثّل جلّ حروف الهجاء، فإنه لم يكن له منهج مطّرد في ترتيب قواعد الباب الواحد؛ إذ لم يرتبها بحسب الحرف الثاني والذي يليه من حروف القاعدة، كما لم يرتبها حسب موضوع القاعدة</w:t>
      </w:r>
      <w:r w:rsidR="0048366D">
        <w:rPr>
          <w:rFonts w:hint="cs"/>
          <w:spacing w:val="6"/>
          <w:sz w:val="20"/>
          <w:szCs w:val="36"/>
          <w:rtl/>
          <w:lang w:eastAsia="en-US" w:bidi="ar-AE"/>
        </w:rPr>
        <w:t>.</w:t>
      </w:r>
      <w:r w:rsidRPr="00EB5FFB">
        <w:rPr>
          <w:rFonts w:hint="cs"/>
          <w:spacing w:val="6"/>
          <w:sz w:val="20"/>
          <w:szCs w:val="36"/>
          <w:rtl/>
          <w:lang w:eastAsia="en-US" w:bidi="ar-AE"/>
        </w:rPr>
        <w:t>.، إلاّ أنه كان يحرص على جعل القواعد التي تبدأ بكلماتٍ متقاربةٍ في اللفظ متتالية في الذكر، كالقواعد التي تبدأ بِـ (إذا) و(الاستثناء) و(الأصل) و(الإقرار) و(بقاء) و(التابع) و(الضرر) و(الوصف) وهكذا</w:t>
      </w:r>
      <w:r w:rsidR="0048366D">
        <w:rPr>
          <w:rFonts w:hint="cs"/>
          <w:spacing w:val="6"/>
          <w:sz w:val="20"/>
          <w:szCs w:val="36"/>
          <w:rtl/>
          <w:lang w:eastAsia="en-US" w:bidi="ar-AE"/>
        </w:rPr>
        <w:t>.</w:t>
      </w:r>
      <w:r w:rsidRPr="00EB5FFB">
        <w:rPr>
          <w:rFonts w:hint="cs"/>
          <w:spacing w:val="6"/>
          <w:sz w:val="20"/>
          <w:szCs w:val="36"/>
          <w:rtl/>
          <w:lang w:eastAsia="en-US" w:bidi="ar-AE"/>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eastAsia="en-US" w:bidi="ar-AE"/>
        </w:rPr>
        <w:t>2-</w:t>
      </w:r>
      <w:r w:rsidRPr="00EB5FFB">
        <w:rPr>
          <w:rFonts w:hint="cs"/>
          <w:sz w:val="20"/>
          <w:szCs w:val="36"/>
          <w:rtl/>
          <w:lang w:eastAsia="en-US" w:bidi="ar-AE"/>
        </w:rPr>
        <w:t xml:space="preserve"> اختار صياغة قواعده بألفاظ محكمة ودقيقة، تصدق عليها حقيقة القواعد التي قرّرها كثير من العلماء، وهي أنها</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قضايا كلية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19"/>
      </w:r>
      <w:r w:rsidRPr="00EB5FFB">
        <w:rPr>
          <w:rFonts w:hint="cs"/>
          <w:sz w:val="20"/>
          <w:szCs w:val="36"/>
          <w:vertAlign w:val="superscript"/>
          <w:rtl/>
          <w:lang w:val="en-GB" w:eastAsia="en-US"/>
        </w:rPr>
        <w:t>)</w:t>
      </w:r>
      <w:r w:rsidRPr="00EB5FFB">
        <w:rPr>
          <w:rFonts w:hint="cs"/>
          <w:sz w:val="20"/>
          <w:szCs w:val="36"/>
          <w:rtl/>
          <w:lang w:val="en-GB" w:eastAsia="en-US"/>
        </w:rPr>
        <w:t>، أي</w:t>
      </w:r>
      <w:r w:rsidR="0048366D">
        <w:rPr>
          <w:rFonts w:hint="cs"/>
          <w:sz w:val="20"/>
          <w:szCs w:val="36"/>
          <w:rtl/>
          <w:lang w:val="en-GB" w:eastAsia="en-US"/>
        </w:rPr>
        <w:t>:</w:t>
      </w:r>
      <w:r w:rsidRPr="00EB5FFB">
        <w:rPr>
          <w:rFonts w:hint="cs"/>
          <w:sz w:val="20"/>
          <w:szCs w:val="36"/>
          <w:rtl/>
          <w:lang w:val="en-GB" w:eastAsia="en-US"/>
        </w:rPr>
        <w:t xml:space="preserve"> جُمَلٌ خبرية، تحتمل الصدق والكذب لذاتها؛ إذ فيها نسبة أمر لأمر، أو نفيه عنه، وهذه القضايا تنطبق على جميع أفرادها.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eastAsia="en-US" w:bidi="ar-AE"/>
        </w:rPr>
        <w:t>ولم يخالف هذا المنهج إلا في قاعدة واحدة، وهي</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cs"/>
          <w:sz w:val="38"/>
          <w:szCs w:val="38"/>
          <w:rtl/>
          <w:lang w:eastAsia="en-US" w:bidi="ar-AE"/>
        </w:rPr>
        <w:t>ق36</w:t>
      </w:r>
      <w:r w:rsidR="0048366D">
        <w:rPr>
          <w:rFonts w:hint="cs"/>
          <w:sz w:val="38"/>
          <w:szCs w:val="38"/>
          <w:rtl/>
          <w:lang w:eastAsia="en-US" w:bidi="ar-AE"/>
        </w:rPr>
        <w:t>:</w:t>
      </w:r>
      <w:r w:rsidRPr="00EB5FFB">
        <w:rPr>
          <w:rFonts w:hint="cs"/>
          <w:sz w:val="38"/>
          <w:szCs w:val="38"/>
          <w:rtl/>
          <w:lang w:eastAsia="en-US" w:bidi="ar-AE"/>
        </w:rPr>
        <w:t xml:space="preserve"> </w:t>
      </w:r>
      <w:r w:rsidRPr="00EB5FFB">
        <w:rPr>
          <w:rFonts w:hint="eastAsia"/>
          <w:sz w:val="20"/>
          <w:szCs w:val="36"/>
          <w:rtl/>
          <w:lang w:val="en-GB" w:eastAsia="en-US"/>
        </w:rPr>
        <w:t>«</w:t>
      </w:r>
      <w:r w:rsidRPr="00EB5FFB">
        <w:rPr>
          <w:rFonts w:hint="cs"/>
          <w:sz w:val="38"/>
          <w:szCs w:val="38"/>
          <w:rtl/>
          <w:lang w:eastAsia="en-US" w:bidi="ar-AE"/>
        </w:rPr>
        <w:t>الأَعْيَانُ المَضْمُونَةُ بِنَفْسِهَا</w:t>
      </w:r>
      <w:r w:rsidRPr="00EB5FFB">
        <w:rPr>
          <w:rFonts w:hint="eastAsia"/>
          <w:sz w:val="20"/>
          <w:szCs w:val="36"/>
          <w:rtl/>
          <w:lang w:val="en-GB" w:eastAsia="en-US"/>
        </w:rPr>
        <w:t>»</w:t>
      </w:r>
      <w:r w:rsidRPr="00EB5FFB">
        <w:rPr>
          <w:rFonts w:hint="cs"/>
          <w:sz w:val="38"/>
          <w:szCs w:val="38"/>
          <w:rtl/>
          <w:lang w:eastAsia="en-US" w:bidi="ar-AE"/>
        </w:rPr>
        <w:t>؛ فهذه العبارة أشبه ما تكون بالعنوان؛ إذْ عند تعليق المؤلف عليها بيّن أقسام الأعيان من حيث الضمان وعدمه، واختار أحد هذه الأقسام (وهو</w:t>
      </w:r>
      <w:r w:rsidR="0048366D">
        <w:rPr>
          <w:rFonts w:hint="cs"/>
          <w:sz w:val="38"/>
          <w:szCs w:val="38"/>
          <w:rtl/>
          <w:lang w:eastAsia="en-US" w:bidi="ar-AE"/>
        </w:rPr>
        <w:t>:</w:t>
      </w:r>
      <w:r w:rsidRPr="00EB5FFB">
        <w:rPr>
          <w:rFonts w:hint="cs"/>
          <w:sz w:val="38"/>
          <w:szCs w:val="38"/>
          <w:rtl/>
          <w:lang w:eastAsia="en-US" w:bidi="ar-AE"/>
        </w:rPr>
        <w:t xml:space="preserve"> </w:t>
      </w:r>
      <w:r w:rsidRPr="00EB5FFB">
        <w:rPr>
          <w:rFonts w:hint="eastAsia"/>
          <w:sz w:val="20"/>
          <w:szCs w:val="36"/>
          <w:rtl/>
          <w:lang w:val="en-GB" w:eastAsia="en-US"/>
        </w:rPr>
        <w:t>«</w:t>
      </w:r>
      <w:r w:rsidRPr="00EB5FFB">
        <w:rPr>
          <w:rFonts w:hint="cs"/>
          <w:sz w:val="38"/>
          <w:szCs w:val="38"/>
          <w:rtl/>
          <w:lang w:eastAsia="en-US" w:bidi="ar-AE"/>
        </w:rPr>
        <w:t>الأَعْيَانُ المَضْمُونَةُ بِنَفْسِهَا</w:t>
      </w:r>
      <w:r w:rsidRPr="00EB5FFB">
        <w:rPr>
          <w:rFonts w:hint="eastAsia"/>
          <w:sz w:val="20"/>
          <w:szCs w:val="36"/>
          <w:rtl/>
          <w:lang w:val="en-GB" w:eastAsia="en-US"/>
        </w:rPr>
        <w:t>»</w:t>
      </w:r>
      <w:r w:rsidRPr="00EB5FFB">
        <w:rPr>
          <w:rFonts w:hint="cs"/>
          <w:sz w:val="20"/>
          <w:szCs w:val="36"/>
          <w:rtl/>
          <w:lang w:val="en-GB" w:eastAsia="en-US"/>
        </w:rPr>
        <w:t>) وجعله كالعنوان لما تحته.</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ووجه مخالفة هذه العبارة لمنهج المؤلف هو عدم انطباق حدّ القاعدة عليها؛ لأن هذه العبارة لا تمثّل أبسط أنواع القضية عند المناطقة، فضلاً عن كونها ليست كلية.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إذْ إن القضية - عندهم - منها ما هو بسيط (وهي القضية الحملية)، ومنها ما هو مركّب (وهي القضية الشرطية المركبة من أكثر من قضية حملية).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w:t>
      </w:r>
      <w:r w:rsidRPr="00EB5FFB">
        <w:rPr>
          <w:rFonts w:hint="eastAsia"/>
          <w:sz w:val="20"/>
          <w:szCs w:val="36"/>
          <w:rtl/>
          <w:lang w:val="en-GB" w:eastAsia="en-US"/>
        </w:rPr>
        <w:t>«</w:t>
      </w:r>
      <w:r w:rsidRPr="00EB5FFB">
        <w:rPr>
          <w:rFonts w:hint="cs"/>
          <w:sz w:val="20"/>
          <w:szCs w:val="36"/>
          <w:rtl/>
          <w:lang w:val="en-GB" w:eastAsia="en-US"/>
        </w:rPr>
        <w:t>الحملية إنما تتحقق بأجزاء ثلاثة</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محكوم عليه، ويسمّى موضوعًا.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ومحكوم به، ويسمّى محمولاً.</w:t>
      </w:r>
    </w:p>
    <w:p w:rsidR="00EB5FFB" w:rsidRPr="00EB5FFB" w:rsidRDefault="00EB5FFB" w:rsidP="009A68A5">
      <w:pPr>
        <w:widowControl/>
        <w:ind w:left="849" w:hanging="282"/>
        <w:jc w:val="both"/>
        <w:rPr>
          <w:sz w:val="20"/>
          <w:szCs w:val="36"/>
          <w:rtl/>
          <w:lang w:val="en-GB" w:eastAsia="en-US"/>
        </w:rPr>
      </w:pPr>
      <w:r w:rsidRPr="00EB5FFB">
        <w:rPr>
          <w:rFonts w:hint="cs"/>
          <w:sz w:val="20"/>
          <w:szCs w:val="36"/>
          <w:rtl/>
          <w:lang w:val="en-GB" w:eastAsia="en-US"/>
        </w:rPr>
        <w:lastRenderedPageBreak/>
        <w:t>- ونسبة بينهما، بها يرتبط المحمول بالموضوع</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20"/>
      </w:r>
      <w:r w:rsidRPr="00EB5FFB">
        <w:rPr>
          <w:rFonts w:hint="cs"/>
          <w:sz w:val="20"/>
          <w:szCs w:val="36"/>
          <w:vertAlign w:val="superscript"/>
          <w:rtl/>
          <w:lang w:val="en-GB" w:eastAsia="en-US"/>
        </w:rPr>
        <w:t>)</w:t>
      </w:r>
      <w:r w:rsidRPr="00EB5FFB">
        <w:rPr>
          <w:rFonts w:hint="cs"/>
          <w:sz w:val="20"/>
          <w:szCs w:val="36"/>
          <w:rtl/>
          <w:lang w:val="en-GB" w:eastAsia="en-US"/>
        </w:rPr>
        <w:t xml:space="preserve">، وهذه النسبة ينتج عنها </w:t>
      </w:r>
      <w:r w:rsidRPr="00EB5FFB">
        <w:rPr>
          <w:rFonts w:hint="eastAsia"/>
          <w:sz w:val="20"/>
          <w:szCs w:val="36"/>
          <w:rtl/>
          <w:lang w:val="en-GB" w:eastAsia="en-US"/>
        </w:rPr>
        <w:t>«</w:t>
      </w:r>
      <w:r w:rsidRPr="00EB5FFB">
        <w:rPr>
          <w:rFonts w:hint="cs"/>
          <w:sz w:val="20"/>
          <w:szCs w:val="36"/>
          <w:rtl/>
          <w:lang w:val="en-GB" w:eastAsia="en-US"/>
        </w:rPr>
        <w:t>حكم، وهو إدراك أن النسـبة واقعة إن كانت القضية مـوجبة، وليست بواقعة إن كانت سالبة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2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eastAsia="en-US" w:bidi="ar-AE"/>
        </w:rPr>
        <w:t>وإذا كانت أبسط أنواع القضايا تحتاج إلى هذه الأجزاء الثلاثة، فإن العبارة المذكورة ليس فيها إلاّ جزء واحد، وهو المحكوم عليه؛ إذْ ورد فيها</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eastAsia"/>
          <w:sz w:val="20"/>
          <w:szCs w:val="36"/>
          <w:rtl/>
          <w:lang w:val="en-GB" w:eastAsia="en-US"/>
        </w:rPr>
        <w:t>«</w:t>
      </w:r>
      <w:r w:rsidRPr="00EB5FFB">
        <w:rPr>
          <w:rFonts w:hint="eastAsia"/>
          <w:sz w:val="38"/>
          <w:szCs w:val="38"/>
          <w:rtl/>
          <w:lang w:eastAsia="en-US" w:bidi="ar-AE"/>
        </w:rPr>
        <w:t>الأَعْيَانُ</w:t>
      </w:r>
      <w:r w:rsidRPr="00EB5FFB">
        <w:rPr>
          <w:sz w:val="38"/>
          <w:szCs w:val="38"/>
          <w:rtl/>
          <w:lang w:eastAsia="en-US" w:bidi="ar-AE"/>
        </w:rPr>
        <w:t xml:space="preserve"> المَضْمُونَةُ بِنَفْسِهَا</w:t>
      </w:r>
      <w:r w:rsidRPr="00EB5FFB">
        <w:rPr>
          <w:rFonts w:hint="eastAsia"/>
          <w:sz w:val="20"/>
          <w:szCs w:val="36"/>
          <w:rtl/>
          <w:lang w:val="en-GB" w:eastAsia="en-US"/>
        </w:rPr>
        <w:t>»</w:t>
      </w:r>
      <w:r w:rsidRPr="00EB5FFB">
        <w:rPr>
          <w:rFonts w:hint="cs"/>
          <w:sz w:val="20"/>
          <w:szCs w:val="36"/>
          <w:rtl/>
          <w:lang w:val="en-GB" w:eastAsia="en-US"/>
        </w:rPr>
        <w:t xml:space="preserve"> (وهو المحكوم عليه)، ولم يرد فيها ما حكم به على هذه الأعيان المضمونة بنفسها، ومن باب أولى لا يمكن إدراك النّسبة الحكمية، والحكم بوقوعها.</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3-</w:t>
      </w:r>
      <w:r w:rsidRPr="00EB5FFB">
        <w:rPr>
          <w:rFonts w:hint="cs"/>
          <w:sz w:val="20"/>
          <w:szCs w:val="36"/>
          <w:rtl/>
          <w:lang w:val="en-GB" w:eastAsia="en-US"/>
        </w:rPr>
        <w:t xml:space="preserve"> عند صياغة ناظرزاده لقواعده كان يصوغها وفق المذهب الحنفي، سواء وافقهم غيرُهم من العلماء أم لا؛ بل إن بعض القواعد تكون مخالفة لما عليه الجمهور، وعند التعليق عليها لا يبين الخلاف فيها، وإن تطرّق إليه يكون بإشارة مقتضبة.</w:t>
      </w:r>
    </w:p>
    <w:p w:rsidR="00EB5FFB" w:rsidRPr="00EB5FFB" w:rsidRDefault="00EB5FFB" w:rsidP="009A68A5">
      <w:pPr>
        <w:widowControl/>
        <w:ind w:firstLine="567"/>
        <w:jc w:val="both"/>
        <w:rPr>
          <w:b/>
          <w:bCs/>
          <w:sz w:val="20"/>
          <w:szCs w:val="36"/>
          <w:rtl/>
          <w:lang w:eastAsia="en-US" w:bidi="ar-AE"/>
        </w:rPr>
      </w:pPr>
      <w:r w:rsidRPr="00EB5FFB">
        <w:rPr>
          <w:rFonts w:hint="cs"/>
          <w:b/>
          <w:bCs/>
          <w:sz w:val="20"/>
          <w:szCs w:val="36"/>
          <w:rtl/>
          <w:lang w:eastAsia="en-US" w:bidi="ar-AE"/>
        </w:rPr>
        <w:t>فمن القواعد الخلافية التي لم يبيّن الخلاف فيها</w:t>
      </w:r>
      <w:r w:rsidR="0048366D">
        <w:rPr>
          <w:rFonts w:hint="cs"/>
          <w:b/>
          <w:bCs/>
          <w:sz w:val="20"/>
          <w:szCs w:val="36"/>
          <w:rtl/>
          <w:lang w:eastAsia="en-US" w:bidi="ar-AE"/>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 ق7     </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الأجرُ والضَّمَانُ لا يَجْتَمِعَانِ</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ق22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الاسْتِصْحَابُ حُجَّةٌ دَافِعَةٌ لا مُثْـبِتَةٌ</w:t>
      </w:r>
      <w:r w:rsidRPr="00EB5FFB">
        <w:rPr>
          <w:rFonts w:hint="eastAsia"/>
          <w:sz w:val="36"/>
          <w:szCs w:val="36"/>
          <w:rtl/>
          <w:lang w:val="en-GB" w:eastAsia="en-US"/>
        </w:rPr>
        <w:t>»</w:t>
      </w:r>
      <w:r w:rsidRPr="00EB5FFB">
        <w:rPr>
          <w:rFonts w:hint="cs"/>
          <w:sz w:val="36"/>
          <w:szCs w:val="36"/>
          <w:rtl/>
          <w:lang w:eastAsia="en-US"/>
        </w:rPr>
        <w:t>.</w:t>
      </w:r>
    </w:p>
    <w:p w:rsidR="00EB5FFB" w:rsidRPr="00EB5FFB" w:rsidRDefault="00EB5FFB" w:rsidP="009A68A5">
      <w:pPr>
        <w:widowControl/>
        <w:ind w:left="565" w:firstLine="2"/>
        <w:jc w:val="both"/>
        <w:rPr>
          <w:spacing w:val="4"/>
          <w:sz w:val="36"/>
          <w:szCs w:val="36"/>
          <w:rtl/>
          <w:lang w:val="en-GB" w:eastAsia="en-US"/>
        </w:rPr>
      </w:pPr>
      <w:r w:rsidRPr="00EB5FFB">
        <w:rPr>
          <w:rFonts w:hint="cs"/>
          <w:spacing w:val="4"/>
          <w:sz w:val="36"/>
          <w:szCs w:val="36"/>
          <w:rtl/>
          <w:lang w:val="en-GB" w:eastAsia="en-US"/>
        </w:rPr>
        <w:t>- ق160</w:t>
      </w:r>
      <w:r w:rsidR="0048366D">
        <w:rPr>
          <w:rFonts w:hint="cs"/>
          <w:spacing w:val="4"/>
          <w:sz w:val="36"/>
          <w:szCs w:val="36"/>
          <w:rtl/>
          <w:lang w:val="en-GB" w:eastAsia="en-US"/>
        </w:rPr>
        <w:t>:</w:t>
      </w:r>
      <w:r w:rsidRPr="00EB5FFB">
        <w:rPr>
          <w:rFonts w:hint="cs"/>
          <w:spacing w:val="4"/>
          <w:sz w:val="36"/>
          <w:szCs w:val="36"/>
          <w:rtl/>
          <w:lang w:val="en-GB" w:eastAsia="en-US"/>
        </w:rPr>
        <w:t xml:space="preserve"> </w:t>
      </w:r>
      <w:r w:rsidRPr="00EB5FFB">
        <w:rPr>
          <w:rFonts w:hint="eastAsia"/>
          <w:spacing w:val="4"/>
          <w:sz w:val="36"/>
          <w:szCs w:val="36"/>
          <w:rtl/>
          <w:lang w:val="en-GB" w:eastAsia="en-US"/>
        </w:rPr>
        <w:t>«</w:t>
      </w:r>
      <w:r w:rsidRPr="00EB5FFB">
        <w:rPr>
          <w:rFonts w:hint="cs"/>
          <w:spacing w:val="4"/>
          <w:sz w:val="36"/>
          <w:szCs w:val="36"/>
          <w:rtl/>
          <w:lang w:val="en-GB" w:eastAsia="en-US"/>
        </w:rPr>
        <w:t>طَرَفَي التَّرْجِيحِ إذا تَعَارَضَا كانَ الرُّجْحَانُ في الذَّاتِ أَحَقُّ مِنْهُ في الحالِ</w:t>
      </w:r>
      <w:r w:rsidRPr="00EB5FFB">
        <w:rPr>
          <w:rFonts w:hint="eastAsia"/>
          <w:spacing w:val="4"/>
          <w:sz w:val="36"/>
          <w:szCs w:val="36"/>
          <w:rtl/>
          <w:lang w:val="en-GB" w:eastAsia="en-US"/>
        </w:rPr>
        <w:t>»</w:t>
      </w:r>
      <w:r w:rsidRPr="00EB5FFB">
        <w:rPr>
          <w:rFonts w:hint="cs"/>
          <w:spacing w:val="4"/>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 xml:space="preserve">ق162 </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العامُّ يوجبُ الحكمَ فِيما يتناوَلُهُ يقينًا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ق221</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مَا ثَبَتَ عَلَى خِلاَفِ القِيَاسِ فَغَيْرُهُ لاَ يُقَاسُ عَلَيْهِ</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وبمعناها القاعدة رقم (248).</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ومن القواعد التي أشار فيها إلى الخلاف</w:t>
      </w:r>
      <w:r w:rsidR="0048366D">
        <w:rPr>
          <w:rFonts w:hint="cs"/>
          <w:b/>
          <w:bCs/>
          <w:sz w:val="20"/>
          <w:szCs w:val="36"/>
          <w:rtl/>
          <w:lang w:eastAsia="en-US"/>
        </w:rPr>
        <w:t>:</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ق47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الأَمْرُ يُفِيدُ وُجُوبَ إِيْقَاعِ الفِعْلِ مَرَّةً</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ق71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التَّخصيصُ بالذِّكْرِ لا يدلُّ علَى الحَصْرِ</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ق73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التَّرجِيحُ لا يقعُ بِكَثْرةِ العِلَلِ</w:t>
      </w:r>
      <w:r w:rsidRPr="00EB5FFB">
        <w:rPr>
          <w:rFonts w:hint="eastAsia"/>
          <w:sz w:val="36"/>
          <w:szCs w:val="36"/>
          <w:rtl/>
          <w:lang w:val="en-GB" w:eastAsia="en-US"/>
        </w:rPr>
        <w:t>»</w:t>
      </w:r>
      <w:r w:rsidRPr="00EB5FFB">
        <w:rPr>
          <w:rFonts w:hint="cs"/>
          <w:sz w:val="36"/>
          <w:szCs w:val="36"/>
          <w:rtl/>
          <w:lang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 ق134 </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رَدُّ عَيْنِ المَغْصُوبِ هُوَ المُوجَبُ الأصْلِيُّ</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lastRenderedPageBreak/>
        <w:t xml:space="preserve">- </w:t>
      </w:r>
      <w:r w:rsidRPr="00EB5FFB">
        <w:rPr>
          <w:rFonts w:hint="cs"/>
          <w:sz w:val="36"/>
          <w:szCs w:val="36"/>
          <w:rtl/>
          <w:lang w:val="en-GB" w:eastAsia="en-US"/>
        </w:rPr>
        <w:t xml:space="preserve">ق249 </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النَّهْيُ يُقرِّرُ المَشْرُوعِيَّةَ عِنْدَنَا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4-</w:t>
      </w:r>
      <w:r w:rsidRPr="00EB5FFB">
        <w:rPr>
          <w:rFonts w:hint="cs"/>
          <w:sz w:val="20"/>
          <w:szCs w:val="36"/>
          <w:rtl/>
          <w:lang w:eastAsia="en-US"/>
        </w:rPr>
        <w:t xml:space="preserve"> حِرْصُ ناظرزاده على أن تكون صياغة القواعد بألفاظ كلية، تتمشى مع مذهب الحنفيةلم يمنعه من ذكر القواعد التي حصل فيها خلاف بين علماء الحنفية أنفسهم، إلا أنه كان يتجنّب صياغتها بالألفاظ الإنشائية؛ كألفاظ الاستفهام ونحوها، وكان منهجه هو اختيار أحد الأقوال في القاعدة، وجعله لفظًا لها. وقد يكون الخلاف قويًّا بين أئمة الحنفية؛ فيضطر إلى التصريح بأقوالهم في لفظ القاعدة؛ لتبقى القاعدة كلية، يصحّ التعليل بها لكل فرع يمكن تخريجه على رأي الإمام في القاعدة.</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فمن القواعد الخلافية التي ذكر خلاف الحنفية فيها عند شرحها</w:t>
      </w:r>
      <w:r w:rsidR="0048366D">
        <w:rPr>
          <w:rFonts w:hint="cs"/>
          <w:b/>
          <w:bCs/>
          <w:sz w:val="20"/>
          <w:szCs w:val="36"/>
          <w:rtl/>
          <w:lang w:eastAsia="en-US"/>
        </w:rPr>
        <w:t>:</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ق3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الإجْمَاعُ اللاحِقُ لا يَرْفَعُ الاخْتِلافَ السَّابِقَ</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ق58</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eastAsia"/>
          <w:sz w:val="36"/>
          <w:szCs w:val="36"/>
          <w:rtl/>
          <w:lang w:eastAsia="en-US"/>
        </w:rPr>
        <w:t>بَـيِّـنةُ</w:t>
      </w:r>
      <w:r w:rsidRPr="00EB5FFB">
        <w:rPr>
          <w:sz w:val="36"/>
          <w:szCs w:val="36"/>
          <w:rtl/>
          <w:lang w:eastAsia="en-US"/>
        </w:rPr>
        <w:t xml:space="preserve"> الن</w:t>
      </w:r>
      <w:r w:rsidRPr="00EB5FFB">
        <w:rPr>
          <w:rFonts w:hint="cs"/>
          <w:sz w:val="36"/>
          <w:szCs w:val="36"/>
          <w:rtl/>
          <w:lang w:eastAsia="en-US"/>
        </w:rPr>
        <w:t>َّ</w:t>
      </w:r>
      <w:r w:rsidRPr="00EB5FFB">
        <w:rPr>
          <w:sz w:val="36"/>
          <w:szCs w:val="36"/>
          <w:rtl/>
          <w:lang w:eastAsia="en-US"/>
        </w:rPr>
        <w:t>ف</w:t>
      </w:r>
      <w:r w:rsidRPr="00EB5FFB">
        <w:rPr>
          <w:rFonts w:hint="cs"/>
          <w:sz w:val="36"/>
          <w:szCs w:val="36"/>
          <w:rtl/>
          <w:lang w:eastAsia="en-US"/>
        </w:rPr>
        <w:t>ْ</w:t>
      </w:r>
      <w:r w:rsidRPr="00EB5FFB">
        <w:rPr>
          <w:sz w:val="36"/>
          <w:szCs w:val="36"/>
          <w:rtl/>
          <w:lang w:eastAsia="en-US"/>
        </w:rPr>
        <w:t>ي</w:t>
      </w:r>
      <w:r w:rsidRPr="00EB5FFB">
        <w:rPr>
          <w:rFonts w:hint="cs"/>
          <w:sz w:val="36"/>
          <w:szCs w:val="36"/>
          <w:rtl/>
          <w:lang w:eastAsia="en-US"/>
        </w:rPr>
        <w:t>ِ</w:t>
      </w:r>
      <w:r w:rsidRPr="00EB5FFB">
        <w:rPr>
          <w:sz w:val="36"/>
          <w:szCs w:val="36"/>
          <w:rtl/>
          <w:lang w:eastAsia="en-US"/>
        </w:rPr>
        <w:t xml:space="preserve"> </w:t>
      </w:r>
      <w:r w:rsidRPr="00EB5FFB">
        <w:rPr>
          <w:rFonts w:hint="eastAsia"/>
          <w:sz w:val="36"/>
          <w:szCs w:val="36"/>
          <w:rtl/>
          <w:lang w:eastAsia="en-US"/>
        </w:rPr>
        <w:t>غ</w:t>
      </w:r>
      <w:r w:rsidRPr="00EB5FFB">
        <w:rPr>
          <w:rFonts w:hint="cs"/>
          <w:sz w:val="36"/>
          <w:szCs w:val="36"/>
          <w:rtl/>
          <w:lang w:eastAsia="en-US"/>
        </w:rPr>
        <w:t>َ</w:t>
      </w:r>
      <w:r w:rsidRPr="00EB5FFB">
        <w:rPr>
          <w:rFonts w:hint="eastAsia"/>
          <w:sz w:val="36"/>
          <w:szCs w:val="36"/>
          <w:rtl/>
          <w:lang w:eastAsia="en-US"/>
        </w:rPr>
        <w:t>ي</w:t>
      </w:r>
      <w:r w:rsidRPr="00EB5FFB">
        <w:rPr>
          <w:rFonts w:hint="cs"/>
          <w:sz w:val="36"/>
          <w:szCs w:val="36"/>
          <w:rtl/>
          <w:lang w:eastAsia="en-US"/>
        </w:rPr>
        <w:t>ْ</w:t>
      </w:r>
      <w:r w:rsidRPr="00EB5FFB">
        <w:rPr>
          <w:rFonts w:hint="eastAsia"/>
          <w:sz w:val="36"/>
          <w:szCs w:val="36"/>
          <w:rtl/>
          <w:lang w:eastAsia="en-US"/>
        </w:rPr>
        <w:t>ر</w:t>
      </w:r>
      <w:r w:rsidRPr="00EB5FFB">
        <w:rPr>
          <w:rFonts w:hint="cs"/>
          <w:sz w:val="36"/>
          <w:szCs w:val="36"/>
          <w:rtl/>
          <w:lang w:eastAsia="en-US"/>
        </w:rPr>
        <w:t>ُ</w:t>
      </w:r>
      <w:r w:rsidRPr="00EB5FFB">
        <w:rPr>
          <w:sz w:val="36"/>
          <w:szCs w:val="36"/>
          <w:rtl/>
          <w:lang w:eastAsia="en-US"/>
        </w:rPr>
        <w:t xml:space="preserve"> م</w:t>
      </w:r>
      <w:r w:rsidRPr="00EB5FFB">
        <w:rPr>
          <w:rFonts w:hint="cs"/>
          <w:sz w:val="36"/>
          <w:szCs w:val="36"/>
          <w:rtl/>
          <w:lang w:eastAsia="en-US"/>
        </w:rPr>
        <w:t>َ</w:t>
      </w:r>
      <w:r w:rsidRPr="00EB5FFB">
        <w:rPr>
          <w:sz w:val="36"/>
          <w:szCs w:val="36"/>
          <w:rtl/>
          <w:lang w:eastAsia="en-US"/>
        </w:rPr>
        <w:t>ق</w:t>
      </w:r>
      <w:r w:rsidRPr="00EB5FFB">
        <w:rPr>
          <w:rFonts w:hint="cs"/>
          <w:sz w:val="36"/>
          <w:szCs w:val="36"/>
          <w:rtl/>
          <w:lang w:eastAsia="en-US"/>
        </w:rPr>
        <w:t>ْ</w:t>
      </w:r>
      <w:r w:rsidRPr="00EB5FFB">
        <w:rPr>
          <w:sz w:val="36"/>
          <w:szCs w:val="36"/>
          <w:rtl/>
          <w:lang w:eastAsia="en-US"/>
        </w:rPr>
        <w:t>ب</w:t>
      </w:r>
      <w:r w:rsidRPr="00EB5FFB">
        <w:rPr>
          <w:rFonts w:hint="cs"/>
          <w:sz w:val="36"/>
          <w:szCs w:val="36"/>
          <w:rtl/>
          <w:lang w:eastAsia="en-US"/>
        </w:rPr>
        <w:t>ُ</w:t>
      </w:r>
      <w:r w:rsidRPr="00EB5FFB">
        <w:rPr>
          <w:sz w:val="36"/>
          <w:szCs w:val="36"/>
          <w:rtl/>
          <w:lang w:eastAsia="en-US"/>
        </w:rPr>
        <w:t>ول</w:t>
      </w:r>
      <w:r w:rsidRPr="00EB5FFB">
        <w:rPr>
          <w:rFonts w:hint="cs"/>
          <w:sz w:val="36"/>
          <w:szCs w:val="36"/>
          <w:rtl/>
          <w:lang w:eastAsia="en-US"/>
        </w:rPr>
        <w:t>َـ</w:t>
      </w:r>
      <w:r w:rsidRPr="00EB5FFB">
        <w:rPr>
          <w:sz w:val="36"/>
          <w:szCs w:val="36"/>
          <w:rtl/>
          <w:lang w:eastAsia="en-US"/>
        </w:rPr>
        <w:t>ةٍ</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left="565" w:firstLine="2"/>
        <w:jc w:val="both"/>
        <w:rPr>
          <w:sz w:val="36"/>
          <w:szCs w:val="36"/>
          <w:rtl/>
          <w:lang w:eastAsia="en-US"/>
        </w:rPr>
      </w:pPr>
      <w:r w:rsidRPr="00EB5FFB">
        <w:rPr>
          <w:rFonts w:hint="cs"/>
          <w:sz w:val="36"/>
          <w:szCs w:val="36"/>
          <w:rtl/>
          <w:lang w:eastAsia="en-US"/>
        </w:rPr>
        <w:t>- ق70</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التَّحليفُ على فعلِ نفـسِهِ عَلَى البَتَاتِ، وعلَى فعلِ غيرِهِ علَى العِلْمِ</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والقاعدة الوحيدة التي صرّح المؤلف بأقوالهم ضمن لفظها هي</w:t>
      </w:r>
      <w:r w:rsidR="0048366D">
        <w:rPr>
          <w:rFonts w:hint="cs"/>
          <w:b/>
          <w:bCs/>
          <w:sz w:val="20"/>
          <w:szCs w:val="36"/>
          <w:rtl/>
          <w:lang w:eastAsia="en-US"/>
        </w:rPr>
        <w:t>:</w:t>
      </w:r>
    </w:p>
    <w:p w:rsidR="00EB5FFB" w:rsidRPr="00EB5FFB" w:rsidRDefault="00EB5FFB" w:rsidP="009A68A5">
      <w:pPr>
        <w:widowControl/>
        <w:ind w:left="565" w:firstLine="2"/>
        <w:jc w:val="both"/>
        <w:rPr>
          <w:spacing w:val="-4"/>
          <w:sz w:val="36"/>
          <w:szCs w:val="36"/>
          <w:rtl/>
          <w:lang w:val="en-GB" w:eastAsia="en-US"/>
        </w:rPr>
      </w:pPr>
      <w:r w:rsidRPr="00EB5FFB">
        <w:rPr>
          <w:rFonts w:hint="cs"/>
          <w:spacing w:val="-4"/>
          <w:sz w:val="36"/>
          <w:szCs w:val="36"/>
          <w:rtl/>
          <w:lang w:val="en-GB" w:eastAsia="en-US"/>
        </w:rPr>
        <w:t>- ق213</w:t>
      </w:r>
      <w:r w:rsidR="0048366D">
        <w:rPr>
          <w:rFonts w:hint="cs"/>
          <w:spacing w:val="-4"/>
          <w:sz w:val="36"/>
          <w:szCs w:val="36"/>
          <w:rtl/>
          <w:lang w:val="en-GB" w:eastAsia="en-US"/>
        </w:rPr>
        <w:t>:</w:t>
      </w:r>
      <w:r w:rsidRPr="00EB5FFB">
        <w:rPr>
          <w:rFonts w:hint="cs"/>
          <w:spacing w:val="-4"/>
          <w:sz w:val="36"/>
          <w:szCs w:val="36"/>
          <w:rtl/>
          <w:lang w:val="en-GB" w:eastAsia="en-US"/>
        </w:rPr>
        <w:t xml:space="preserve"> </w:t>
      </w:r>
      <w:r w:rsidRPr="00EB5FFB">
        <w:rPr>
          <w:rFonts w:hint="eastAsia"/>
          <w:spacing w:val="-4"/>
          <w:sz w:val="36"/>
          <w:szCs w:val="36"/>
          <w:rtl/>
          <w:lang w:val="en-GB" w:eastAsia="en-US"/>
        </w:rPr>
        <w:t>«</w:t>
      </w:r>
      <w:r w:rsidRPr="00EB5FFB">
        <w:rPr>
          <w:rFonts w:hint="cs"/>
          <w:spacing w:val="-4"/>
          <w:sz w:val="36"/>
          <w:szCs w:val="36"/>
          <w:rtl/>
          <w:lang w:val="en-GB" w:eastAsia="en-US"/>
        </w:rPr>
        <w:t>اللَّفْظُ إِذَا كَانَ لَهُ مَعْنًى حَقِيقِيٌّ مُسْتَعْمَلٌ، وَمَعْنًى مَجَازِيٌّ مُتَعَارَفٌ</w:t>
      </w:r>
      <w:r w:rsidR="0048366D">
        <w:rPr>
          <w:rFonts w:hint="cs"/>
          <w:spacing w:val="-4"/>
          <w:sz w:val="36"/>
          <w:szCs w:val="36"/>
          <w:rtl/>
          <w:lang w:val="en-GB" w:eastAsia="en-US"/>
        </w:rPr>
        <w:t>:</w:t>
      </w:r>
      <w:r w:rsidRPr="00EB5FFB">
        <w:rPr>
          <w:rFonts w:hint="cs"/>
          <w:spacing w:val="-4"/>
          <w:sz w:val="36"/>
          <w:szCs w:val="36"/>
          <w:rtl/>
          <w:lang w:val="en-GB" w:eastAsia="en-US"/>
        </w:rPr>
        <w:t xml:space="preserve"> يُرَجَّحُ المَعْنَى الحَقِيقِيُّ عندَ أَبِي حنيفةَ -رَحِمَهُ اللَّهُ- وعندَهُمَا -رَحِمَهُمَا اللَّهُ-: المَجَازِيُّ</w:t>
      </w:r>
      <w:r w:rsidRPr="00EB5FFB">
        <w:rPr>
          <w:rFonts w:hint="eastAsia"/>
          <w:spacing w:val="-4"/>
          <w:sz w:val="36"/>
          <w:szCs w:val="36"/>
          <w:rtl/>
          <w:lang w:val="en-GB" w:eastAsia="en-US"/>
        </w:rPr>
        <w:t>»</w:t>
      </w:r>
      <w:r w:rsidRPr="00EB5FFB">
        <w:rPr>
          <w:rFonts w:hint="cs"/>
          <w:spacing w:val="-4"/>
          <w:sz w:val="36"/>
          <w:szCs w:val="36"/>
          <w:rtl/>
          <w:lang w:val="en-GB" w:eastAsia="en-US"/>
        </w:rPr>
        <w:t>.</w:t>
      </w:r>
    </w:p>
    <w:p w:rsidR="00EB5FFB" w:rsidRPr="00EB5FFB" w:rsidRDefault="00EB5FFB" w:rsidP="009A68A5">
      <w:pPr>
        <w:widowControl/>
        <w:ind w:firstLine="567"/>
        <w:jc w:val="both"/>
        <w:rPr>
          <w:spacing w:val="-4"/>
          <w:sz w:val="36"/>
          <w:szCs w:val="36"/>
          <w:rtl/>
          <w:lang w:val="en-GB" w:eastAsia="en-US"/>
        </w:rPr>
      </w:pPr>
      <w:r w:rsidRPr="00EB5FFB">
        <w:rPr>
          <w:rFonts w:hint="cs"/>
          <w:b/>
          <w:bCs/>
          <w:spacing w:val="-4"/>
          <w:sz w:val="36"/>
          <w:szCs w:val="36"/>
          <w:rtl/>
          <w:lang w:val="en-GB" w:eastAsia="en-US"/>
        </w:rPr>
        <w:t>5-</w:t>
      </w:r>
      <w:r w:rsidRPr="00EB5FFB">
        <w:rPr>
          <w:rFonts w:hint="cs"/>
          <w:spacing w:val="-4"/>
          <w:sz w:val="36"/>
          <w:szCs w:val="36"/>
          <w:rtl/>
          <w:lang w:val="en-GB" w:eastAsia="en-US"/>
        </w:rPr>
        <w:t xml:space="preserve"> من منهجه في إيراد القواعد: اختيار القواعد التي يكثر التعليل بها للأحكام الفقهية، وهذا جعل السّمة العامة لقواعده كونها قواعد فقهية شاملة لكثير من الجزيئات الفقهية.</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إلاّ أن هناك طائفة من قواعده مجال تطبيقها ضيّق، وقد تنحصر في باب معيّن من أبواب الفقه، ممّا يعني أنها ضوابط فقهية في الواقع.</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كما أنّ هناك طائفة أخرى ذات صبغة أصولية؛ إلا أنه يمكن التعليل بها ولو بطريقة غير مباشرة؛ كأن يستفاد منها في فهم ألفاظ المكلفين، وكيفية بناء الأحكام عليها، كألفاظهم في البيع والطلاق والوصية والوقف</w:t>
      </w:r>
      <w:r w:rsidR="0048366D">
        <w:rPr>
          <w:rFonts w:hint="cs"/>
          <w:sz w:val="36"/>
          <w:szCs w:val="36"/>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val="en-GB" w:eastAsia="en-US"/>
        </w:rPr>
        <w:t>ولكونه يمكن التعليل بالضوابط، وبالقواعد الأصولية ذكرها ناظرزاده في كتابه. ولم يكن له منهج مطّرد في ترتيب كلٍّ منها استقلالاً؛ بل عاملها معاملة بقية القواعد، حيث رتبها جميعًا حسب حروف الهجاء.</w:t>
      </w:r>
    </w:p>
    <w:p w:rsidR="00EB5FFB" w:rsidRPr="00EB5FFB" w:rsidRDefault="00EB5FFB" w:rsidP="009A68A5">
      <w:pPr>
        <w:widowControl/>
        <w:spacing w:line="228" w:lineRule="auto"/>
        <w:ind w:firstLine="567"/>
        <w:jc w:val="both"/>
        <w:rPr>
          <w:b/>
          <w:bCs/>
          <w:sz w:val="36"/>
          <w:szCs w:val="36"/>
          <w:rtl/>
          <w:lang w:val="en-GB" w:eastAsia="en-US"/>
        </w:rPr>
      </w:pPr>
      <w:r w:rsidRPr="00EB5FFB">
        <w:rPr>
          <w:rFonts w:hint="cs"/>
          <w:b/>
          <w:bCs/>
          <w:sz w:val="36"/>
          <w:szCs w:val="36"/>
          <w:rtl/>
          <w:lang w:val="en-GB" w:eastAsia="en-US"/>
        </w:rPr>
        <w:lastRenderedPageBreak/>
        <w:t>فمن الضوابط الفقهية</w:t>
      </w:r>
      <w:r w:rsidR="0048366D">
        <w:rPr>
          <w:rFonts w:hint="cs"/>
          <w:b/>
          <w:b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val="en-GB" w:eastAsia="en-US"/>
        </w:rPr>
        <w:t xml:space="preserve">- ق30  </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الأَصْلُ فِي الوَكَالَةِ الخُصُوصُ، وفِي المُضَارَبَةِ العُمُومُ</w:t>
      </w:r>
      <w:r w:rsidRPr="00EB5FFB">
        <w:rPr>
          <w:rFonts w:hint="eastAsia"/>
          <w:sz w:val="36"/>
          <w:szCs w:val="36"/>
          <w:rtl/>
          <w:lang w:val="en-GB" w:eastAsia="en-US"/>
        </w:rPr>
        <w:t>»</w:t>
      </w:r>
      <w:r w:rsidRPr="00EB5FFB">
        <w:rPr>
          <w:rFonts w:hint="cs"/>
          <w:sz w:val="36"/>
          <w:szCs w:val="36"/>
          <w:rtl/>
          <w:lang w:val="en-GB" w:eastAsia="en-US"/>
        </w:rPr>
        <w:t xml:space="preserve">. </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val="en-GB" w:eastAsia="en-US"/>
        </w:rPr>
        <w:t>- ق107</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جَهَالَةُ المَكْفُولِ لَهُ تُبطِلُ الكفالةَ، وكذا جهالةُ المكفولِ عنهُ</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val="en-GB" w:eastAsia="en-US"/>
        </w:rPr>
        <w:t>- ق169</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عَقْدُ الرّهنِ تبرُّعٌ مِنْ جَانِبِ الرَّاهِنِ</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val="en-GB" w:eastAsia="en-US"/>
        </w:rPr>
        <w:t>- ق185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كُلُّ كفالةٍ تَنْعَقِدُ غَيْرُ موجِبةٍ للرّدِ لا تَنْقَلِبُ مُوجِبَةً أبدًا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val="en-GB" w:eastAsia="en-US"/>
        </w:rPr>
        <w:t>- ق255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 الوَصِيَّةُ اسْتخْلاَفٌ بَعْدَ انقطَاعِ ولايةِ المُوصِي</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22"/>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b/>
          <w:bCs/>
          <w:sz w:val="36"/>
          <w:szCs w:val="36"/>
          <w:rtl/>
          <w:lang w:val="en-GB" w:eastAsia="en-US"/>
        </w:rPr>
      </w:pPr>
      <w:r w:rsidRPr="00EB5FFB">
        <w:rPr>
          <w:rFonts w:hint="cs"/>
          <w:b/>
          <w:bCs/>
          <w:sz w:val="36"/>
          <w:szCs w:val="36"/>
          <w:rtl/>
          <w:lang w:val="en-GB" w:eastAsia="en-US"/>
        </w:rPr>
        <w:t xml:space="preserve"> ومن القواعد التي هي أصولية في الواقع</w:t>
      </w:r>
      <w:r w:rsidR="0048366D">
        <w:rPr>
          <w:rFonts w:hint="cs"/>
          <w:b/>
          <w:bCs/>
          <w:sz w:val="36"/>
          <w:szCs w:val="36"/>
          <w:rtl/>
          <w:lang w:val="en-GB" w:eastAsia="en-US"/>
        </w:rPr>
        <w:t>:</w:t>
      </w:r>
    </w:p>
    <w:p w:rsidR="00EB5FFB" w:rsidRPr="00EB5FFB" w:rsidRDefault="00EB5FFB" w:rsidP="009A68A5">
      <w:pPr>
        <w:widowControl/>
        <w:spacing w:line="228" w:lineRule="auto"/>
        <w:ind w:firstLine="567"/>
        <w:jc w:val="both"/>
        <w:rPr>
          <w:sz w:val="36"/>
          <w:szCs w:val="36"/>
          <w:rtl/>
          <w:lang w:eastAsia="en-US"/>
        </w:rPr>
      </w:pPr>
      <w:r w:rsidRPr="00EB5FFB">
        <w:rPr>
          <w:rFonts w:hint="cs"/>
          <w:sz w:val="36"/>
          <w:szCs w:val="36"/>
          <w:rtl/>
          <w:lang w:eastAsia="en-US"/>
        </w:rPr>
        <w:t xml:space="preserve">- ق3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الإجْمَاعُ اللاحِقُ لا يَرْفَعُ الاخْتِلافَ السَّابِقَ</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spacing w:line="228" w:lineRule="auto"/>
        <w:ind w:firstLine="567"/>
        <w:jc w:val="both"/>
        <w:rPr>
          <w:sz w:val="36"/>
          <w:szCs w:val="36"/>
          <w:rtl/>
          <w:lang w:eastAsia="en-US"/>
        </w:rPr>
      </w:pPr>
      <w:r w:rsidRPr="00EB5FFB">
        <w:rPr>
          <w:rFonts w:hint="cs"/>
          <w:sz w:val="36"/>
          <w:szCs w:val="36"/>
          <w:rtl/>
          <w:lang w:eastAsia="en-US"/>
        </w:rPr>
        <w:t xml:space="preserve">- ق73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التَّرجِيحُ لا يقعُ بِكَثْرةِ العِلَلِ</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val="en-GB" w:eastAsia="en-US"/>
        </w:rPr>
        <w:t>- ق115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الحكمُ يَنْتَهِي بانتهاءِ علَّتِهِ</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ق162</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العامُّ يوجبُ الحكمَ فِيما يتناوَلُهُ يقينًا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ق260</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يُرَجَّحُ بَعْضُ وُجُوهِ المُشْتَرَكِ بِغَالِبِ الرَّأْيِ</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20"/>
          <w:szCs w:val="32"/>
          <w:vertAlign w:val="superscript"/>
          <w:rtl/>
          <w:lang w:val="en-GB" w:eastAsia="en-US"/>
        </w:rPr>
        <w:footnoteReference w:id="123"/>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36"/>
          <w:szCs w:val="36"/>
          <w:rtl/>
          <w:lang w:val="en-GB" w:eastAsia="en-US"/>
        </w:rPr>
      </w:pPr>
      <w:r w:rsidRPr="00EB5FFB">
        <w:rPr>
          <w:rFonts w:hint="cs"/>
          <w:b/>
          <w:bCs/>
          <w:sz w:val="36"/>
          <w:szCs w:val="36"/>
          <w:rtl/>
          <w:lang w:eastAsia="en-US"/>
        </w:rPr>
        <w:t>6-</w:t>
      </w:r>
      <w:r w:rsidRPr="00EB5FFB">
        <w:rPr>
          <w:rFonts w:hint="cs"/>
          <w:sz w:val="36"/>
          <w:szCs w:val="36"/>
          <w:rtl/>
          <w:lang w:eastAsia="en-US"/>
        </w:rPr>
        <w:t xml:space="preserve"> ممّا ذكره العلماء في مزايا القواعد الفقهية</w:t>
      </w:r>
      <w:r w:rsidR="0048366D">
        <w:rPr>
          <w:rFonts w:hint="cs"/>
          <w:sz w:val="36"/>
          <w:szCs w:val="36"/>
          <w:rtl/>
          <w:lang w:eastAsia="en-US"/>
        </w:rPr>
        <w:t>:</w:t>
      </w:r>
      <w:r w:rsidRPr="00EB5FFB">
        <w:rPr>
          <w:rFonts w:hint="cs"/>
          <w:sz w:val="36"/>
          <w:szCs w:val="36"/>
          <w:rtl/>
          <w:lang w:eastAsia="en-US"/>
        </w:rPr>
        <w:t xml:space="preserve"> أنها </w:t>
      </w:r>
      <w:r w:rsidRPr="00EB5FFB">
        <w:rPr>
          <w:rFonts w:hint="eastAsia"/>
          <w:sz w:val="36"/>
          <w:szCs w:val="36"/>
          <w:rtl/>
          <w:lang w:val="en-GB" w:eastAsia="en-US"/>
        </w:rPr>
        <w:t>«</w:t>
      </w:r>
      <w:r w:rsidRPr="00EB5FFB">
        <w:rPr>
          <w:rFonts w:hint="cs"/>
          <w:sz w:val="36"/>
          <w:szCs w:val="36"/>
          <w:rtl/>
          <w:lang w:val="en-GB" w:eastAsia="en-US"/>
        </w:rPr>
        <w:t>تمتاز بمزيد الإيجاز في صياغتها، على عموم معناها وسعة استيعابه للفروع الجزئية. فتصاغ القاعدة بكلمتين، أو ببضع كلمات محكمة، من ألفاظ العموم</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20"/>
          <w:szCs w:val="32"/>
          <w:vertAlign w:val="superscript"/>
          <w:rtl/>
          <w:lang w:val="en-GB" w:eastAsia="en-US"/>
        </w:rPr>
        <w:footnoteReference w:id="124"/>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spacing w:line="228" w:lineRule="auto"/>
        <w:ind w:firstLine="567"/>
        <w:jc w:val="both"/>
        <w:rPr>
          <w:sz w:val="20"/>
          <w:szCs w:val="36"/>
          <w:rtl/>
          <w:lang w:val="en-GB" w:eastAsia="en-US"/>
        </w:rPr>
      </w:pPr>
      <w:r w:rsidRPr="00EB5FFB">
        <w:rPr>
          <w:rFonts w:hint="cs"/>
          <w:sz w:val="36"/>
          <w:szCs w:val="36"/>
          <w:rtl/>
          <w:lang w:val="en-GB" w:eastAsia="en-US"/>
        </w:rPr>
        <w:t xml:space="preserve">وهذا </w:t>
      </w:r>
      <w:r w:rsidRPr="00EB5FFB">
        <w:rPr>
          <w:rFonts w:hint="eastAsia"/>
          <w:sz w:val="36"/>
          <w:szCs w:val="36"/>
          <w:rtl/>
          <w:lang w:val="en-GB" w:eastAsia="en-US"/>
        </w:rPr>
        <w:t>«</w:t>
      </w:r>
      <w:r w:rsidRPr="00EB5FFB">
        <w:rPr>
          <w:rFonts w:hint="cs"/>
          <w:sz w:val="36"/>
          <w:szCs w:val="36"/>
          <w:rtl/>
          <w:lang w:val="en-GB" w:eastAsia="en-US"/>
        </w:rPr>
        <w:t xml:space="preserve">لم يتوافر في جميع القواعد، ولم يتوافر في جميع كتب القواعد؛ فإن بعض كتب القواعد صياغة قواعدها </w:t>
      </w:r>
      <w:r w:rsidRPr="00EB5FFB">
        <w:rPr>
          <w:sz w:val="36"/>
          <w:szCs w:val="36"/>
          <w:rtl/>
          <w:lang w:val="en-GB" w:eastAsia="en-US"/>
        </w:rPr>
        <w:t>–</w:t>
      </w:r>
      <w:r w:rsidRPr="00EB5FFB">
        <w:rPr>
          <w:rFonts w:hint="cs"/>
          <w:sz w:val="36"/>
          <w:szCs w:val="36"/>
          <w:rtl/>
          <w:lang w:val="en-GB" w:eastAsia="en-US"/>
        </w:rPr>
        <w:t>غالبًا- طويلة، وقد تصل إلى عدة أسطر</w:t>
      </w:r>
      <w:r w:rsidRPr="00EB5FFB">
        <w:rPr>
          <w:rFonts w:hint="eastAsia"/>
          <w:sz w:val="36"/>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2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إلاّ أن المزيّة المذكورة تكاد تكون شاملة لجميع قواعد ناظرزاده، حيث كان يتوخّى فيها الاختصار؛ إذ إن عدد قواعده (266) قاعدة</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lastRenderedPageBreak/>
        <w:t>وأطول قاعدة فيها</w:t>
      </w:r>
      <w:r w:rsidR="0048366D">
        <w:rPr>
          <w:rFonts w:hint="cs"/>
          <w:sz w:val="20"/>
          <w:szCs w:val="36"/>
          <w:rtl/>
          <w:lang w:val="en-GB" w:eastAsia="en-US"/>
        </w:rPr>
        <w:t>:</w:t>
      </w:r>
      <w:r w:rsidRPr="00EB5FFB">
        <w:rPr>
          <w:rFonts w:hint="cs"/>
          <w:sz w:val="20"/>
          <w:szCs w:val="36"/>
          <w:rtl/>
          <w:lang w:val="en-GB" w:eastAsia="en-US"/>
        </w:rPr>
        <w:t xml:space="preserve"> هي قاعدة (213) الآنف ذكرها، وهي</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اللفظ إذا كان له معنى حقيقي</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pacing w:val="6"/>
          <w:sz w:val="20"/>
          <w:szCs w:val="36"/>
          <w:rtl/>
          <w:lang w:val="en-GB" w:eastAsia="en-US"/>
        </w:rPr>
      </w:pPr>
      <w:r w:rsidRPr="00EB5FFB">
        <w:rPr>
          <w:rFonts w:hint="cs"/>
          <w:spacing w:val="6"/>
          <w:sz w:val="20"/>
          <w:szCs w:val="36"/>
          <w:rtl/>
          <w:lang w:val="en-GB" w:eastAsia="en-US"/>
        </w:rPr>
        <w:t>- فهذه القاعدة اثنتان وعشرون كلمة، وعذر المؤلف في طولها النسبي هو اشتمالها على قولي العلماء فيها، فكأنها كُرِّرت بلفظين مختلفين. ثم إن إحدى النسخ (وهي (هـ)) لم ترد فيها جملتا الدّعاء، مما يجعل عدد كلماتها</w:t>
      </w:r>
      <w:r w:rsidR="0048366D">
        <w:rPr>
          <w:rFonts w:hint="cs"/>
          <w:spacing w:val="6"/>
          <w:sz w:val="20"/>
          <w:szCs w:val="36"/>
          <w:rtl/>
          <w:lang w:val="en-GB" w:eastAsia="en-US"/>
        </w:rPr>
        <w:t>:</w:t>
      </w:r>
      <w:r w:rsidRPr="00EB5FFB">
        <w:rPr>
          <w:rFonts w:hint="cs"/>
          <w:spacing w:val="6"/>
          <w:sz w:val="20"/>
          <w:szCs w:val="36"/>
          <w:rtl/>
          <w:lang w:val="en-GB" w:eastAsia="en-US"/>
        </w:rPr>
        <w:t xml:space="preserve"> ثماني عشرة كلمة فقط.</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والقواعد التي لا تزيد كلماتها عن عشر كلمات عددها (246) قاعدة، وهذا يشكل أغلب قواعد الكتاب.</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ومن هذه القواعد</w:t>
      </w:r>
      <w:r w:rsidR="0048366D">
        <w:rPr>
          <w:rFonts w:hint="cs"/>
          <w:b/>
          <w:bCs/>
          <w:sz w:val="20"/>
          <w:szCs w:val="36"/>
          <w:rtl/>
          <w:lang w:eastAsia="en-US"/>
        </w:rPr>
        <w:t>:</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ق20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الاستثناءُ تكلُّمٌ بالبَاقِي</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ق24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الأشـدُّ يُزالُ بالأخفِّ</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ق26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الأَصْلُ بَرَاءَةُ الذِّمَّةِ</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ق39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8"/>
          <w:szCs w:val="38"/>
          <w:rtl/>
          <w:lang w:val="en-GB" w:eastAsia="en-US"/>
        </w:rPr>
        <w:t xml:space="preserve"> الإقْرارُ لا يحتملُ التَّعليقَ</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ق48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الأُمُورُ بمقاصِدِهَا</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ق52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eastAsia"/>
          <w:sz w:val="36"/>
          <w:szCs w:val="36"/>
          <w:rtl/>
          <w:lang w:eastAsia="en-US"/>
        </w:rPr>
        <w:t>الب</w:t>
      </w:r>
      <w:r w:rsidRPr="00EB5FFB">
        <w:rPr>
          <w:rFonts w:hint="cs"/>
          <w:sz w:val="36"/>
          <w:szCs w:val="36"/>
          <w:rtl/>
          <w:lang w:eastAsia="en-US"/>
        </w:rPr>
        <w:t>َ</w:t>
      </w:r>
      <w:r w:rsidRPr="00EB5FFB">
        <w:rPr>
          <w:rFonts w:hint="eastAsia"/>
          <w:sz w:val="36"/>
          <w:szCs w:val="36"/>
          <w:rtl/>
          <w:lang w:eastAsia="en-US"/>
        </w:rPr>
        <w:t>ق</w:t>
      </w:r>
      <w:r w:rsidRPr="00EB5FFB">
        <w:rPr>
          <w:rFonts w:hint="cs"/>
          <w:sz w:val="36"/>
          <w:szCs w:val="36"/>
          <w:rtl/>
          <w:lang w:eastAsia="en-US"/>
        </w:rPr>
        <w:t>َ</w:t>
      </w:r>
      <w:r w:rsidRPr="00EB5FFB">
        <w:rPr>
          <w:rFonts w:hint="eastAsia"/>
          <w:sz w:val="36"/>
          <w:szCs w:val="36"/>
          <w:rtl/>
          <w:lang w:eastAsia="en-US"/>
        </w:rPr>
        <w:t>اء</w:t>
      </w:r>
      <w:r w:rsidRPr="00EB5FFB">
        <w:rPr>
          <w:rFonts w:hint="cs"/>
          <w:sz w:val="36"/>
          <w:szCs w:val="36"/>
          <w:rtl/>
          <w:lang w:eastAsia="en-US"/>
        </w:rPr>
        <w:t>ُ</w:t>
      </w:r>
      <w:r w:rsidRPr="00EB5FFB">
        <w:rPr>
          <w:sz w:val="36"/>
          <w:szCs w:val="36"/>
          <w:rtl/>
          <w:lang w:eastAsia="en-US"/>
        </w:rPr>
        <w:t xml:space="preserve"> ع</w:t>
      </w:r>
      <w:r w:rsidRPr="00EB5FFB">
        <w:rPr>
          <w:rFonts w:hint="cs"/>
          <w:sz w:val="36"/>
          <w:szCs w:val="36"/>
          <w:rtl/>
          <w:lang w:eastAsia="en-US"/>
        </w:rPr>
        <w:t>َ</w:t>
      </w:r>
      <w:r w:rsidRPr="00EB5FFB">
        <w:rPr>
          <w:sz w:val="36"/>
          <w:szCs w:val="36"/>
          <w:rtl/>
          <w:lang w:eastAsia="en-US"/>
        </w:rPr>
        <w:t>ل</w:t>
      </w:r>
      <w:r w:rsidRPr="00EB5FFB">
        <w:rPr>
          <w:rFonts w:hint="cs"/>
          <w:sz w:val="36"/>
          <w:szCs w:val="36"/>
          <w:rtl/>
          <w:lang w:eastAsia="en-US"/>
        </w:rPr>
        <w:t>َ</w:t>
      </w:r>
      <w:r w:rsidRPr="00EB5FFB">
        <w:rPr>
          <w:sz w:val="36"/>
          <w:szCs w:val="36"/>
          <w:rtl/>
          <w:lang w:eastAsia="en-US"/>
        </w:rPr>
        <w:t>ى و</w:t>
      </w:r>
      <w:r w:rsidRPr="00EB5FFB">
        <w:rPr>
          <w:rFonts w:hint="cs"/>
          <w:sz w:val="36"/>
          <w:szCs w:val="36"/>
          <w:rtl/>
          <w:lang w:eastAsia="en-US"/>
        </w:rPr>
        <w:t>ِ</w:t>
      </w:r>
      <w:r w:rsidRPr="00EB5FFB">
        <w:rPr>
          <w:sz w:val="36"/>
          <w:szCs w:val="36"/>
          <w:rtl/>
          <w:lang w:eastAsia="en-US"/>
        </w:rPr>
        <w:t>ف</w:t>
      </w:r>
      <w:r w:rsidRPr="00EB5FFB">
        <w:rPr>
          <w:rFonts w:hint="cs"/>
          <w:sz w:val="36"/>
          <w:szCs w:val="36"/>
          <w:rtl/>
          <w:lang w:eastAsia="en-US"/>
        </w:rPr>
        <w:t>ْ</w:t>
      </w:r>
      <w:r w:rsidRPr="00EB5FFB">
        <w:rPr>
          <w:sz w:val="36"/>
          <w:szCs w:val="36"/>
          <w:rtl/>
          <w:lang w:eastAsia="en-US"/>
        </w:rPr>
        <w:t>ق</w:t>
      </w:r>
      <w:r w:rsidRPr="00EB5FFB">
        <w:rPr>
          <w:rFonts w:hint="cs"/>
          <w:sz w:val="36"/>
          <w:szCs w:val="36"/>
          <w:rtl/>
          <w:lang w:eastAsia="en-US"/>
        </w:rPr>
        <w:t>ِ</w:t>
      </w:r>
      <w:r w:rsidRPr="00EB5FFB">
        <w:rPr>
          <w:sz w:val="36"/>
          <w:szCs w:val="36"/>
          <w:rtl/>
          <w:lang w:eastAsia="en-US"/>
        </w:rPr>
        <w:t xml:space="preserve"> </w:t>
      </w:r>
      <w:r w:rsidRPr="00EB5FFB">
        <w:rPr>
          <w:rFonts w:hint="eastAsia"/>
          <w:sz w:val="36"/>
          <w:szCs w:val="36"/>
          <w:rtl/>
          <w:lang w:eastAsia="en-US"/>
        </w:rPr>
        <w:t>الث</w:t>
      </w:r>
      <w:r w:rsidRPr="00EB5FFB">
        <w:rPr>
          <w:rFonts w:hint="cs"/>
          <w:sz w:val="36"/>
          <w:szCs w:val="36"/>
          <w:rtl/>
          <w:lang w:eastAsia="en-US"/>
        </w:rPr>
        <w:t>ُّ</w:t>
      </w:r>
      <w:r w:rsidRPr="00EB5FFB">
        <w:rPr>
          <w:rFonts w:hint="eastAsia"/>
          <w:sz w:val="36"/>
          <w:szCs w:val="36"/>
          <w:rtl/>
          <w:lang w:eastAsia="en-US"/>
        </w:rPr>
        <w:t>ب</w:t>
      </w:r>
      <w:r w:rsidRPr="00EB5FFB">
        <w:rPr>
          <w:rFonts w:hint="cs"/>
          <w:sz w:val="36"/>
          <w:szCs w:val="36"/>
          <w:rtl/>
          <w:lang w:eastAsia="en-US"/>
        </w:rPr>
        <w:t>ُ</w:t>
      </w:r>
      <w:r w:rsidRPr="00EB5FFB">
        <w:rPr>
          <w:rFonts w:hint="eastAsia"/>
          <w:sz w:val="36"/>
          <w:szCs w:val="36"/>
          <w:rtl/>
          <w:lang w:eastAsia="en-US"/>
        </w:rPr>
        <w:t>وت</w:t>
      </w:r>
      <w:r w:rsidRPr="00EB5FFB">
        <w:rPr>
          <w:rFonts w:hint="cs"/>
          <w:sz w:val="36"/>
          <w:szCs w:val="36"/>
          <w:rtl/>
          <w:lang w:eastAsia="en-US"/>
        </w:rPr>
        <w:t>ِ</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ق54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eastAsia"/>
          <w:sz w:val="36"/>
          <w:szCs w:val="36"/>
          <w:rtl/>
          <w:lang w:eastAsia="en-US"/>
        </w:rPr>
        <w:t>الب</w:t>
      </w:r>
      <w:r w:rsidRPr="00EB5FFB">
        <w:rPr>
          <w:rFonts w:hint="cs"/>
          <w:sz w:val="36"/>
          <w:szCs w:val="36"/>
          <w:rtl/>
          <w:lang w:eastAsia="en-US"/>
        </w:rPr>
        <w:t>َ</w:t>
      </w:r>
      <w:r w:rsidRPr="00EB5FFB">
        <w:rPr>
          <w:rFonts w:hint="eastAsia"/>
          <w:sz w:val="36"/>
          <w:szCs w:val="36"/>
          <w:rtl/>
          <w:lang w:eastAsia="en-US"/>
        </w:rPr>
        <w:t>ق</w:t>
      </w:r>
      <w:r w:rsidRPr="00EB5FFB">
        <w:rPr>
          <w:rFonts w:hint="cs"/>
          <w:sz w:val="36"/>
          <w:szCs w:val="36"/>
          <w:rtl/>
          <w:lang w:eastAsia="en-US"/>
        </w:rPr>
        <w:t>َ</w:t>
      </w:r>
      <w:r w:rsidRPr="00EB5FFB">
        <w:rPr>
          <w:rFonts w:hint="eastAsia"/>
          <w:sz w:val="36"/>
          <w:szCs w:val="36"/>
          <w:rtl/>
          <w:lang w:eastAsia="en-US"/>
        </w:rPr>
        <w:t>اء</w:t>
      </w:r>
      <w:r w:rsidRPr="00EB5FFB">
        <w:rPr>
          <w:rFonts w:hint="cs"/>
          <w:sz w:val="36"/>
          <w:szCs w:val="36"/>
          <w:rtl/>
          <w:lang w:eastAsia="en-US"/>
        </w:rPr>
        <w:t>ُ</w:t>
      </w:r>
      <w:r w:rsidRPr="00EB5FFB">
        <w:rPr>
          <w:sz w:val="36"/>
          <w:szCs w:val="36"/>
          <w:rtl/>
          <w:lang w:eastAsia="en-US"/>
        </w:rPr>
        <w:t xml:space="preserve"> أ</w:t>
      </w:r>
      <w:r w:rsidRPr="00EB5FFB">
        <w:rPr>
          <w:rFonts w:hint="cs"/>
          <w:sz w:val="36"/>
          <w:szCs w:val="36"/>
          <w:rtl/>
          <w:lang w:eastAsia="en-US"/>
        </w:rPr>
        <w:t>َ</w:t>
      </w:r>
      <w:r w:rsidRPr="00EB5FFB">
        <w:rPr>
          <w:sz w:val="36"/>
          <w:szCs w:val="36"/>
          <w:rtl/>
          <w:lang w:eastAsia="en-US"/>
        </w:rPr>
        <w:t>س</w:t>
      </w:r>
      <w:r w:rsidRPr="00EB5FFB">
        <w:rPr>
          <w:rFonts w:hint="cs"/>
          <w:sz w:val="36"/>
          <w:szCs w:val="36"/>
          <w:rtl/>
          <w:lang w:eastAsia="en-US"/>
        </w:rPr>
        <w:t>ْ</w:t>
      </w:r>
      <w:r w:rsidRPr="00EB5FFB">
        <w:rPr>
          <w:sz w:val="36"/>
          <w:szCs w:val="36"/>
          <w:rtl/>
          <w:lang w:eastAsia="en-US"/>
        </w:rPr>
        <w:t>ه</w:t>
      </w:r>
      <w:r w:rsidRPr="00EB5FFB">
        <w:rPr>
          <w:rFonts w:hint="cs"/>
          <w:sz w:val="36"/>
          <w:szCs w:val="36"/>
          <w:rtl/>
          <w:lang w:eastAsia="en-US"/>
        </w:rPr>
        <w:t>َ</w:t>
      </w:r>
      <w:r w:rsidRPr="00EB5FFB">
        <w:rPr>
          <w:sz w:val="36"/>
          <w:szCs w:val="36"/>
          <w:rtl/>
          <w:lang w:eastAsia="en-US"/>
        </w:rPr>
        <w:t>ل</w:t>
      </w:r>
      <w:r w:rsidRPr="00EB5FFB">
        <w:rPr>
          <w:rFonts w:hint="cs"/>
          <w:sz w:val="36"/>
          <w:szCs w:val="36"/>
          <w:rtl/>
          <w:lang w:eastAsia="en-US"/>
        </w:rPr>
        <w:t>ُ</w:t>
      </w:r>
      <w:r w:rsidRPr="00EB5FFB">
        <w:rPr>
          <w:sz w:val="36"/>
          <w:szCs w:val="36"/>
          <w:rtl/>
          <w:lang w:eastAsia="en-US"/>
        </w:rPr>
        <w:t xml:space="preserve"> م</w:t>
      </w:r>
      <w:r w:rsidRPr="00EB5FFB">
        <w:rPr>
          <w:rFonts w:hint="cs"/>
          <w:sz w:val="36"/>
          <w:szCs w:val="36"/>
          <w:rtl/>
          <w:lang w:eastAsia="en-US"/>
        </w:rPr>
        <w:t>ِ</w:t>
      </w:r>
      <w:r w:rsidRPr="00EB5FFB">
        <w:rPr>
          <w:sz w:val="36"/>
          <w:szCs w:val="36"/>
          <w:rtl/>
          <w:lang w:eastAsia="en-US"/>
        </w:rPr>
        <w:t>ن</w:t>
      </w:r>
      <w:r w:rsidRPr="00EB5FFB">
        <w:rPr>
          <w:rFonts w:hint="cs"/>
          <w:sz w:val="36"/>
          <w:szCs w:val="36"/>
          <w:rtl/>
          <w:lang w:eastAsia="en-US"/>
        </w:rPr>
        <w:t>َ</w:t>
      </w:r>
      <w:r w:rsidRPr="00EB5FFB">
        <w:rPr>
          <w:sz w:val="36"/>
          <w:szCs w:val="36"/>
          <w:rtl/>
          <w:lang w:eastAsia="en-US"/>
        </w:rPr>
        <w:t xml:space="preserve"> </w:t>
      </w:r>
      <w:r w:rsidRPr="00EB5FFB">
        <w:rPr>
          <w:rFonts w:hint="eastAsia"/>
          <w:sz w:val="36"/>
          <w:szCs w:val="36"/>
          <w:rtl/>
          <w:lang w:eastAsia="en-US"/>
        </w:rPr>
        <w:t>الاب</w:t>
      </w:r>
      <w:r w:rsidRPr="00EB5FFB">
        <w:rPr>
          <w:rFonts w:hint="cs"/>
          <w:sz w:val="36"/>
          <w:szCs w:val="36"/>
          <w:rtl/>
          <w:lang w:eastAsia="en-US"/>
        </w:rPr>
        <w:t>ْ</w:t>
      </w:r>
      <w:r w:rsidRPr="00EB5FFB">
        <w:rPr>
          <w:rFonts w:hint="eastAsia"/>
          <w:sz w:val="36"/>
          <w:szCs w:val="36"/>
          <w:rtl/>
          <w:lang w:eastAsia="en-US"/>
        </w:rPr>
        <w:t>ت</w:t>
      </w:r>
      <w:r w:rsidRPr="00EB5FFB">
        <w:rPr>
          <w:rFonts w:hint="cs"/>
          <w:sz w:val="36"/>
          <w:szCs w:val="36"/>
          <w:rtl/>
          <w:lang w:eastAsia="en-US"/>
        </w:rPr>
        <w:t>ِ</w:t>
      </w:r>
      <w:r w:rsidRPr="00EB5FFB">
        <w:rPr>
          <w:rFonts w:hint="eastAsia"/>
          <w:sz w:val="36"/>
          <w:szCs w:val="36"/>
          <w:rtl/>
          <w:lang w:eastAsia="en-US"/>
        </w:rPr>
        <w:t>د</w:t>
      </w:r>
      <w:r w:rsidRPr="00EB5FFB">
        <w:rPr>
          <w:rFonts w:hint="cs"/>
          <w:sz w:val="36"/>
          <w:szCs w:val="36"/>
          <w:rtl/>
          <w:lang w:eastAsia="en-US"/>
        </w:rPr>
        <w:t>َ</w:t>
      </w:r>
      <w:r w:rsidRPr="00EB5FFB">
        <w:rPr>
          <w:rFonts w:hint="eastAsia"/>
          <w:sz w:val="36"/>
          <w:szCs w:val="36"/>
          <w:rtl/>
          <w:lang w:eastAsia="en-US"/>
        </w:rPr>
        <w:t>اء</w:t>
      </w:r>
      <w:r w:rsidRPr="00EB5FFB">
        <w:rPr>
          <w:rFonts w:hint="cs"/>
          <w:sz w:val="36"/>
          <w:szCs w:val="36"/>
          <w:rtl/>
          <w:lang w:eastAsia="en-US"/>
        </w:rPr>
        <w:t>ِ</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ق63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التَّابعُ لا يُفْرَدُ بالحُكْمِ</w:t>
      </w:r>
      <w:r w:rsidRPr="00EB5FFB">
        <w:rPr>
          <w:rFonts w:hint="eastAsia"/>
          <w:sz w:val="36"/>
          <w:szCs w:val="36"/>
          <w:rtl/>
          <w:lang w:val="en-GB" w:eastAsia="en-US"/>
        </w:rPr>
        <w:t>»</w:t>
      </w:r>
      <w:r w:rsidRPr="00EB5FFB">
        <w:rPr>
          <w:rFonts w:hint="cs"/>
          <w:sz w:val="36"/>
          <w:szCs w:val="36"/>
          <w:rtl/>
          <w:lang w:eastAsia="en-US"/>
        </w:rPr>
        <w:t>.</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ق78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تَغْيِيرُ المشرُوعِ بَاطِلٌ</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ق85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التَّكليفُ بِحسبِ الوُسْعِ</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ق87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التَّنَاقُضُ يُفسدُ الدّعوَى</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 ق90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التَّنْصِيصُ لاَ يوجِبُ التَّخْصِيصَ</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 ق100 </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جُرْحُ الـعَجْماءِ جُبَارٌ</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ق120</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«الخراج</w:t>
      </w:r>
      <w:r w:rsidRPr="00EB5FFB">
        <w:rPr>
          <w:rFonts w:hint="cs"/>
          <w:sz w:val="36"/>
          <w:szCs w:val="36"/>
          <w:rtl/>
          <w:lang w:val="en-GB" w:eastAsia="en-US"/>
        </w:rPr>
        <w:t>ُ</w:t>
      </w:r>
      <w:r w:rsidRPr="00EB5FFB">
        <w:rPr>
          <w:sz w:val="36"/>
          <w:szCs w:val="36"/>
          <w:rtl/>
          <w:lang w:val="en-GB" w:eastAsia="en-US"/>
        </w:rPr>
        <w:t xml:space="preserve"> بالضمَان</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ق128</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الدُّيُونُ تُقْضَى بأَمثَالِهَا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ق137</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السَّاقِطُ لاَ يَعُوْدُ</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lastRenderedPageBreak/>
        <w:t xml:space="preserve">- </w:t>
      </w:r>
      <w:r w:rsidRPr="00EB5FFB">
        <w:rPr>
          <w:rFonts w:hint="cs"/>
          <w:sz w:val="36"/>
          <w:szCs w:val="36"/>
          <w:rtl/>
          <w:lang w:val="en-GB" w:eastAsia="en-US"/>
        </w:rPr>
        <w:t>ق153</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الصَّرِيْحُ يُفَوِّتُ الدَّلاَلَةَ</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ق155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الضَّرَرُ يُزَالُ</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ق161</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العَادَةُ مُحَكَّمَةٌ</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xml:space="preserve">- ق172 </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الغُرْمُ بِالغُنْمِ</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ق183</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القَوْلُ قَوْلُ القَابِضِ</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ق195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لاَ ثَوَابَ إلا بالنِّيَّةِ</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ق198</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لا يصحُّ تَأْجِيلُ الأَعْيَانِ</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ق211</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لاَ عِبْرَةَ لِتَارِيخِ الغَيْبَةِ</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 </w:t>
      </w:r>
      <w:r w:rsidRPr="00EB5FFB">
        <w:rPr>
          <w:rFonts w:hint="cs"/>
          <w:sz w:val="36"/>
          <w:szCs w:val="36"/>
          <w:rtl/>
          <w:lang w:val="en-GB" w:eastAsia="en-US"/>
        </w:rPr>
        <w:t>ق245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 المَنْصُوصُ لاَ يَنُوْبُ أَخَاهُ.</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pacing w:val="4"/>
          <w:sz w:val="36"/>
          <w:szCs w:val="36"/>
          <w:rtl/>
          <w:lang w:val="en-GB" w:eastAsia="en-US"/>
        </w:rPr>
      </w:pPr>
      <w:r w:rsidRPr="00EB5FFB">
        <w:rPr>
          <w:rFonts w:hint="cs"/>
          <w:b/>
          <w:bCs/>
          <w:spacing w:val="4"/>
          <w:sz w:val="36"/>
          <w:szCs w:val="36"/>
          <w:rtl/>
          <w:lang w:val="en-GB" w:eastAsia="en-US"/>
        </w:rPr>
        <w:t>7-</w:t>
      </w:r>
      <w:r w:rsidRPr="00EB5FFB">
        <w:rPr>
          <w:rFonts w:hint="cs"/>
          <w:spacing w:val="4"/>
          <w:sz w:val="36"/>
          <w:szCs w:val="36"/>
          <w:rtl/>
          <w:lang w:val="en-GB" w:eastAsia="en-US"/>
        </w:rPr>
        <w:t xml:space="preserve"> إذا كان للقاعدة لفظان متّحدان في المعنى (أو أكثر من لفظين)، وكان أحدهما يبدأ بحرف، والآخر يبدأ بحرف آخر مثلاً</w:t>
      </w:r>
      <w:r w:rsidR="0048366D">
        <w:rPr>
          <w:rFonts w:hint="cs"/>
          <w:spacing w:val="4"/>
          <w:sz w:val="36"/>
          <w:szCs w:val="36"/>
          <w:rtl/>
          <w:lang w:val="en-GB" w:eastAsia="en-US"/>
        </w:rPr>
        <w:t>:</w:t>
      </w:r>
      <w:r w:rsidRPr="00EB5FFB">
        <w:rPr>
          <w:rFonts w:hint="cs"/>
          <w:spacing w:val="4"/>
          <w:sz w:val="36"/>
          <w:szCs w:val="36"/>
          <w:rtl/>
          <w:lang w:val="en-GB" w:eastAsia="en-US"/>
        </w:rPr>
        <w:t xml:space="preserve"> فإنه يذكر كلاًّ منهما في موضعه المناسب. وهذا أسلم من الاكتفاء بذكر الثاني مقترنًا بالأول؛ لأن القارئ قد يعرف القاعدة بلفظها الثاني دون الأول، فإذا لم يجدها في الموضع الثاني قد يتوهم أنها غير موجودة.</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ونظرًا لكون هذا التوهّم يزول إذا كانت بداية اللفظين بحرف واحد</w:t>
      </w:r>
      <w:r w:rsidR="0048366D">
        <w:rPr>
          <w:rFonts w:hint="cs"/>
          <w:sz w:val="36"/>
          <w:szCs w:val="36"/>
          <w:rtl/>
          <w:lang w:val="en-GB" w:eastAsia="en-US"/>
        </w:rPr>
        <w:t>:</w:t>
      </w:r>
      <w:r w:rsidRPr="00EB5FFB">
        <w:rPr>
          <w:rFonts w:hint="cs"/>
          <w:sz w:val="36"/>
          <w:szCs w:val="36"/>
          <w:rtl/>
          <w:lang w:val="en-GB" w:eastAsia="en-US"/>
        </w:rPr>
        <w:t xml:space="preserve"> فإن المؤلف في هذه الحالة يذكر اللفظ الثاني مقرونًا بالأول</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26"/>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8"/>
          <w:szCs w:val="38"/>
          <w:rtl/>
          <w:lang w:eastAsia="en-US"/>
        </w:rPr>
      </w:pPr>
      <w:r w:rsidRPr="00EB5FFB">
        <w:rPr>
          <w:rFonts w:hint="cs"/>
          <w:sz w:val="38"/>
          <w:szCs w:val="38"/>
          <w:rtl/>
          <w:lang w:eastAsia="en-US"/>
        </w:rPr>
        <w:t>ثم إنّ المؤلف إذا ذكر لفظي القاعدة في موضعيهما المناسبين قد يربط بين اللفظين ويصرح بأنهما بمعنى واحد، وقد لا يربط بينهما، وهذا الأغلب.</w:t>
      </w:r>
    </w:p>
    <w:p w:rsidR="00EB5FFB" w:rsidRPr="00EB5FFB" w:rsidRDefault="00EB5FFB" w:rsidP="009A68A5">
      <w:pPr>
        <w:widowControl/>
        <w:ind w:firstLine="567"/>
        <w:jc w:val="both"/>
        <w:rPr>
          <w:b/>
          <w:bCs/>
          <w:sz w:val="38"/>
          <w:szCs w:val="38"/>
          <w:rtl/>
          <w:lang w:eastAsia="en-US"/>
        </w:rPr>
      </w:pPr>
      <w:r w:rsidRPr="00EB5FFB">
        <w:rPr>
          <w:rFonts w:hint="cs"/>
          <w:b/>
          <w:bCs/>
          <w:sz w:val="38"/>
          <w:szCs w:val="38"/>
          <w:rtl/>
          <w:lang w:eastAsia="en-US"/>
        </w:rPr>
        <w:t>فمن الألفاظ التي ربط بينها المؤلف</w:t>
      </w:r>
      <w:r w:rsidR="0048366D">
        <w:rPr>
          <w:rFonts w:hint="cs"/>
          <w:b/>
          <w:bCs/>
          <w:sz w:val="38"/>
          <w:szCs w:val="38"/>
          <w:rtl/>
          <w:lang w:eastAsia="en-US"/>
        </w:rPr>
        <w:t>:</w:t>
      </w:r>
    </w:p>
    <w:p w:rsidR="00EB5FFB" w:rsidRPr="00EB5FFB" w:rsidRDefault="00EB5FFB" w:rsidP="009A68A5">
      <w:pPr>
        <w:widowControl/>
        <w:ind w:firstLine="567"/>
        <w:jc w:val="both"/>
        <w:rPr>
          <w:sz w:val="20"/>
          <w:szCs w:val="36"/>
          <w:rtl/>
          <w:lang w:eastAsia="en-US"/>
        </w:rPr>
      </w:pPr>
      <w:r w:rsidRPr="00EB5FFB">
        <w:rPr>
          <w:rFonts w:ascii="Wingdings" w:hAnsi="Wingdings" w:cs="Wingdings"/>
          <w:sz w:val="20"/>
          <w:szCs w:val="20"/>
          <w:lang w:eastAsia="en-US"/>
        </w:rPr>
        <w:t></w:t>
      </w:r>
      <w:r w:rsidRPr="00EB5FFB">
        <w:rPr>
          <w:rFonts w:hint="cs"/>
          <w:sz w:val="38"/>
          <w:szCs w:val="38"/>
          <w:rtl/>
          <w:lang w:eastAsia="en-US"/>
        </w:rPr>
        <w:t xml:space="preserve"> </w:t>
      </w:r>
      <w:r w:rsidRPr="00EB5FFB">
        <w:rPr>
          <w:rFonts w:hint="cs"/>
          <w:sz w:val="20"/>
          <w:szCs w:val="36"/>
          <w:rtl/>
          <w:lang w:eastAsia="en-US"/>
        </w:rPr>
        <w:t xml:space="preserve"> </w:t>
      </w:r>
      <w:r w:rsidRPr="00EB5FFB">
        <w:rPr>
          <w:rFonts w:hint="cs"/>
          <w:sz w:val="36"/>
          <w:szCs w:val="36"/>
          <w:rtl/>
          <w:lang w:eastAsia="en-US"/>
        </w:rPr>
        <w:t xml:space="preserve">ق29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الأَصْلُ إِضَافَةُ الحَادِثِ إلى أقرَبِ أوْقَاتِهِ</w:t>
      </w:r>
      <w:r w:rsidRPr="00EB5FFB">
        <w:rPr>
          <w:rFonts w:hint="eastAsia"/>
          <w:sz w:val="36"/>
          <w:szCs w:val="36"/>
          <w:rtl/>
          <w:lang w:val="en-GB" w:eastAsia="en-US"/>
        </w:rPr>
        <w:t>»</w:t>
      </w:r>
      <w:r w:rsidRPr="00EB5FFB">
        <w:rPr>
          <w:rFonts w:hint="cs"/>
          <w:sz w:val="36"/>
          <w:szCs w:val="36"/>
          <w:rtl/>
          <w:lang w:eastAsia="en-US"/>
        </w:rPr>
        <w:t>.</w:t>
      </w:r>
      <w:r w:rsidRPr="00EB5FFB">
        <w:rPr>
          <w:rFonts w:hint="cs"/>
          <w:sz w:val="20"/>
          <w:szCs w:val="36"/>
          <w:rtl/>
          <w:lang w:eastAsia="en-US"/>
        </w:rPr>
        <w:t xml:space="preserve"> </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مع </w:t>
      </w:r>
      <w:r w:rsidRPr="00EB5FFB">
        <w:rPr>
          <w:rFonts w:hint="cs"/>
          <w:sz w:val="36"/>
          <w:szCs w:val="36"/>
          <w:rtl/>
          <w:lang w:val="en-GB" w:eastAsia="en-US"/>
        </w:rPr>
        <w:t>ق109</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الحادثُ يُضَافُ إلى أقربِ الأوقَاتِ</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left="565" w:firstLine="2"/>
        <w:jc w:val="both"/>
        <w:rPr>
          <w:sz w:val="20"/>
          <w:szCs w:val="36"/>
          <w:rtl/>
          <w:lang w:eastAsia="en-US"/>
        </w:rPr>
      </w:pPr>
      <w:r w:rsidRPr="00EB5FFB">
        <w:rPr>
          <w:rFonts w:hint="cs"/>
          <w:sz w:val="36"/>
          <w:szCs w:val="36"/>
          <w:rtl/>
          <w:lang w:eastAsia="en-US"/>
        </w:rPr>
        <w:lastRenderedPageBreak/>
        <w:t xml:space="preserve">فعند شرح اللفظ الثاني اكتفى بالتصريح بأنه </w:t>
      </w:r>
      <w:r w:rsidRPr="00EB5FFB">
        <w:rPr>
          <w:rFonts w:hint="eastAsia"/>
          <w:sz w:val="36"/>
          <w:szCs w:val="36"/>
          <w:rtl/>
          <w:lang w:val="en-GB" w:eastAsia="en-US"/>
        </w:rPr>
        <w:t>«</w:t>
      </w:r>
      <w:r w:rsidRPr="00EB5FFB">
        <w:rPr>
          <w:rFonts w:hint="cs"/>
          <w:sz w:val="36"/>
          <w:szCs w:val="36"/>
          <w:rtl/>
          <w:lang w:val="en-GB" w:eastAsia="en-US"/>
        </w:rPr>
        <w:t>مذكور في باب الألف بعبارة أخرى، وهي</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الأصل إضافة الحادث إلى أقرب أوقاته</w:t>
      </w:r>
      <w:r w:rsidRPr="00EB5FFB">
        <w:rPr>
          <w:rFonts w:hint="eastAsia"/>
          <w:sz w:val="36"/>
          <w:szCs w:val="36"/>
          <w:rtl/>
          <w:lang w:val="en-GB" w:eastAsia="en-US"/>
        </w:rPr>
        <w:t>»</w:t>
      </w:r>
      <w:r w:rsidRPr="00EB5FFB">
        <w:rPr>
          <w:rFonts w:hint="cs"/>
          <w:sz w:val="36"/>
          <w:szCs w:val="36"/>
          <w:rtl/>
          <w:lang w:val="en-GB" w:eastAsia="en-US"/>
        </w:rPr>
        <w:t>، فيكتفى بما ذكر فيها من الفروع والأحكام</w:t>
      </w:r>
      <w:r w:rsidR="0048366D">
        <w:rPr>
          <w:rFonts w:hint="cs"/>
          <w:sz w:val="36"/>
          <w:szCs w:val="36"/>
          <w:rtl/>
          <w:lang w:val="en-GB" w:eastAsia="en-US"/>
        </w:rPr>
        <w:t>.</w:t>
      </w:r>
      <w:r w:rsidRPr="00EB5FFB">
        <w:rPr>
          <w:rFonts w:hint="cs"/>
          <w:sz w:val="36"/>
          <w:szCs w:val="36"/>
          <w:rtl/>
          <w:lang w:val="en-GB" w:eastAsia="en-US"/>
        </w:rPr>
        <w:t>..</w:t>
      </w:r>
      <w:r w:rsidRPr="00EB5FFB">
        <w:rPr>
          <w:rFonts w:hint="eastAsia"/>
          <w:sz w:val="36"/>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27"/>
      </w:r>
      <w:r w:rsidRPr="00EB5FFB">
        <w:rPr>
          <w:rFonts w:hint="cs"/>
          <w:sz w:val="20"/>
          <w:szCs w:val="36"/>
          <w:vertAlign w:val="superscript"/>
          <w:rtl/>
          <w:lang w:val="en-GB" w:eastAsia="en-US"/>
        </w:rPr>
        <w:t>)</w:t>
      </w:r>
      <w:r w:rsidRPr="00EB5FFB">
        <w:rPr>
          <w:rFonts w:hint="cs"/>
          <w:sz w:val="20"/>
          <w:szCs w:val="36"/>
          <w:rtl/>
          <w:lang w:val="en-GB" w:eastAsia="en-US"/>
        </w:rPr>
        <w:t>.</w:t>
      </w:r>
      <w:r w:rsidRPr="00EB5FFB">
        <w:rPr>
          <w:rFonts w:hint="cs"/>
          <w:sz w:val="20"/>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ascii="Wingdings" w:hAnsi="Wingdings" w:cs="Wingdings"/>
          <w:sz w:val="20"/>
          <w:szCs w:val="20"/>
          <w:lang w:eastAsia="en-US"/>
        </w:rPr>
        <w:t></w:t>
      </w:r>
      <w:r w:rsidRPr="00EB5FFB">
        <w:rPr>
          <w:rFonts w:hint="cs"/>
          <w:sz w:val="20"/>
          <w:szCs w:val="36"/>
          <w:rtl/>
          <w:lang w:eastAsia="en-US"/>
        </w:rPr>
        <w:t xml:space="preserve"> </w:t>
      </w:r>
      <w:r w:rsidRPr="00EB5FFB">
        <w:rPr>
          <w:rFonts w:hint="cs"/>
          <w:sz w:val="36"/>
          <w:szCs w:val="36"/>
          <w:rtl/>
          <w:lang w:eastAsia="en-US"/>
        </w:rPr>
        <w:t xml:space="preserve">ق81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تَفريقُ الصَّفقَة قبل القبْض لاَ يجُوز</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مع </w:t>
      </w:r>
      <w:r w:rsidRPr="00EB5FFB">
        <w:rPr>
          <w:rFonts w:hint="cs"/>
          <w:sz w:val="36"/>
          <w:szCs w:val="36"/>
          <w:rtl/>
          <w:lang w:val="en-GB" w:eastAsia="en-US"/>
        </w:rPr>
        <w:t>ق212</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لاَ يَجُوزُ تَفْرِيقُ الصَّفْقَةِ قَبْلَ التَّمَامِ</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left="565" w:firstLine="2"/>
        <w:jc w:val="both"/>
        <w:rPr>
          <w:sz w:val="36"/>
          <w:szCs w:val="36"/>
          <w:rtl/>
          <w:lang w:eastAsia="en-US"/>
        </w:rPr>
      </w:pPr>
      <w:r w:rsidRPr="00EB5FFB">
        <w:rPr>
          <w:rFonts w:hint="cs"/>
          <w:sz w:val="36"/>
          <w:szCs w:val="36"/>
          <w:rtl/>
          <w:lang w:eastAsia="en-US"/>
        </w:rPr>
        <w:t>حيث إنـه في نهاية شرحه للأولى قال</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val="en-GB" w:eastAsia="en-US"/>
        </w:rPr>
        <w:t>وسيـأتي زيـادة تفـصيل في باب اللام -إن شاء الله تعالى-</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28"/>
      </w:r>
      <w:r w:rsidRPr="00EB5FFB">
        <w:rPr>
          <w:rFonts w:hint="cs"/>
          <w:sz w:val="36"/>
          <w:szCs w:val="36"/>
          <w:vertAlign w:val="superscript"/>
          <w:rtl/>
          <w:lang w:val="en-GB" w:eastAsia="en-US"/>
        </w:rPr>
        <w:t>)</w:t>
      </w:r>
      <w:r w:rsidRPr="00EB5FFB">
        <w:rPr>
          <w:rFonts w:hint="cs"/>
          <w:sz w:val="36"/>
          <w:szCs w:val="36"/>
          <w:rtl/>
          <w:lang w:val="en-GB" w:eastAsia="en-US"/>
        </w:rPr>
        <w:t>.</w:t>
      </w:r>
      <w:r w:rsidRPr="00EB5FFB">
        <w:rPr>
          <w:rFonts w:hint="cs"/>
          <w:sz w:val="36"/>
          <w:szCs w:val="36"/>
          <w:vertAlign w:val="superscript"/>
          <w:rtl/>
          <w:lang w:val="en-GB" w:eastAsia="en-US"/>
        </w:rPr>
        <w:t xml:space="preserve"> </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ومن القواعد التي لم يربط بينها</w:t>
      </w:r>
      <w:r w:rsidR="0048366D">
        <w:rPr>
          <w:rFonts w:hint="cs"/>
          <w:b/>
          <w:b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ascii="Wingdings" w:hAnsi="Wingdings" w:cs="Wingdings"/>
          <w:sz w:val="20"/>
          <w:szCs w:val="20"/>
          <w:lang w:eastAsia="en-US"/>
        </w:rPr>
        <w:t></w:t>
      </w:r>
      <w:r w:rsidRPr="00EB5FFB">
        <w:rPr>
          <w:rFonts w:hint="cs"/>
          <w:sz w:val="38"/>
          <w:szCs w:val="38"/>
          <w:rtl/>
          <w:lang w:eastAsia="en-US"/>
        </w:rPr>
        <w:t xml:space="preserve"> </w:t>
      </w:r>
      <w:r w:rsidRPr="00EB5FFB">
        <w:rPr>
          <w:rFonts w:hint="cs"/>
          <w:sz w:val="36"/>
          <w:szCs w:val="36"/>
          <w:rtl/>
          <w:lang w:eastAsia="en-US"/>
        </w:rPr>
        <w:t xml:space="preserve">ق8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اخِْتلافُ الأسْبابِ بِمَنْزِلَةِ اختلافِ الأعْيانِ</w:t>
      </w:r>
      <w:r w:rsidRPr="00EB5FFB">
        <w:rPr>
          <w:rFonts w:hint="eastAsia"/>
          <w:sz w:val="36"/>
          <w:szCs w:val="36"/>
          <w:rtl/>
          <w:lang w:val="en-GB" w:eastAsia="en-US"/>
        </w:rPr>
        <w:t>»</w:t>
      </w:r>
      <w:r w:rsidRPr="00EB5FFB">
        <w:rPr>
          <w:rFonts w:hint="cs"/>
          <w:sz w:val="36"/>
          <w:szCs w:val="36"/>
          <w:rtl/>
          <w:lang w:eastAsia="en-US"/>
        </w:rPr>
        <w:t>.</w:t>
      </w:r>
      <w:r w:rsidRPr="00EB5FFB">
        <w:rPr>
          <w:rFonts w:hint="cs"/>
          <w:sz w:val="20"/>
          <w:szCs w:val="36"/>
          <w:rtl/>
          <w:lang w:eastAsia="en-US"/>
        </w:rPr>
        <w:t xml:space="preserve"> </w:t>
      </w:r>
    </w:p>
    <w:p w:rsidR="00EB5FFB" w:rsidRPr="00EB5FFB" w:rsidRDefault="00EB5FFB" w:rsidP="009A68A5">
      <w:pPr>
        <w:widowControl/>
        <w:ind w:firstLine="567"/>
        <w:jc w:val="both"/>
        <w:rPr>
          <w:sz w:val="36"/>
          <w:szCs w:val="36"/>
          <w:rtl/>
          <w:lang w:eastAsia="en-US"/>
        </w:rPr>
      </w:pPr>
      <w:r w:rsidRPr="00EB5FFB">
        <w:rPr>
          <w:rFonts w:hint="cs"/>
          <w:sz w:val="36"/>
          <w:szCs w:val="36"/>
          <w:rtl/>
          <w:lang w:eastAsia="en-US"/>
        </w:rPr>
        <w:t xml:space="preserve">مع ق68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تَبَدُّلُ سببِ المِلْكِ قائمٌ مقامَ تبدُّلِ الذَّاتِ</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20"/>
          <w:szCs w:val="36"/>
          <w:rtl/>
          <w:lang w:eastAsia="en-US"/>
        </w:rPr>
      </w:pPr>
      <w:r w:rsidRPr="00EB5FFB">
        <w:rPr>
          <w:rFonts w:ascii="Wingdings" w:hAnsi="Wingdings" w:cs="Wingdings"/>
          <w:sz w:val="20"/>
          <w:szCs w:val="20"/>
          <w:lang w:eastAsia="en-US"/>
        </w:rPr>
        <w:t></w:t>
      </w:r>
      <w:r w:rsidRPr="00EB5FFB">
        <w:rPr>
          <w:rFonts w:hint="cs"/>
          <w:sz w:val="20"/>
          <w:szCs w:val="36"/>
          <w:rtl/>
          <w:lang w:eastAsia="en-US"/>
        </w:rPr>
        <w:t xml:space="preserve"> </w:t>
      </w:r>
      <w:r w:rsidRPr="00EB5FFB">
        <w:rPr>
          <w:rFonts w:hint="cs"/>
          <w:sz w:val="36"/>
          <w:szCs w:val="36"/>
          <w:rtl/>
          <w:lang w:eastAsia="en-US"/>
        </w:rPr>
        <w:t xml:space="preserve">ق86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eastAsia="en-US"/>
        </w:rPr>
        <w:t>تمليكُ الدَّينِ مِنْ غَيْرِ مَنْ عليهِ الدّينُ لا يجوزُ</w:t>
      </w:r>
      <w:r w:rsidRPr="00EB5FFB">
        <w:rPr>
          <w:rFonts w:hint="eastAsia"/>
          <w:sz w:val="36"/>
          <w:szCs w:val="36"/>
          <w:rtl/>
          <w:lang w:val="en-GB" w:eastAsia="en-US"/>
        </w:rPr>
        <w:t>»</w:t>
      </w:r>
      <w:r w:rsidRPr="00EB5FFB">
        <w:rPr>
          <w:rFonts w:hint="cs"/>
          <w:sz w:val="36"/>
          <w:szCs w:val="36"/>
          <w:rtl/>
          <w:lang w:eastAsia="en-US"/>
        </w:rPr>
        <w:t>.</w:t>
      </w:r>
      <w:r w:rsidRPr="00EB5FFB">
        <w:rPr>
          <w:rFonts w:hint="cs"/>
          <w:sz w:val="20"/>
          <w:szCs w:val="36"/>
          <w:rtl/>
          <w:lang w:eastAsia="en-US"/>
        </w:rPr>
        <w:t xml:space="preserve"> </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مع </w:t>
      </w:r>
      <w:r w:rsidRPr="00EB5FFB">
        <w:rPr>
          <w:rFonts w:hint="cs"/>
          <w:sz w:val="36"/>
          <w:szCs w:val="36"/>
          <w:rtl/>
          <w:lang w:val="en-GB" w:eastAsia="en-US"/>
        </w:rPr>
        <w:t>ق199</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لاَ يَصِحُّ تَمْلِيكُ الدَّيْنِ مِنْ غَيْرِ مَنْ عَلَيْهِ الدّينُ</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eastAsia="en-US"/>
        </w:rPr>
      </w:pPr>
      <w:r w:rsidRPr="00EB5FFB">
        <w:rPr>
          <w:rFonts w:ascii="Wingdings" w:hAnsi="Wingdings" w:cs="Wingdings"/>
          <w:sz w:val="20"/>
          <w:szCs w:val="20"/>
          <w:lang w:eastAsia="en-US"/>
        </w:rPr>
        <w:t></w:t>
      </w:r>
      <w:r w:rsidRPr="00EB5FFB">
        <w:rPr>
          <w:rFonts w:hint="cs"/>
          <w:sz w:val="20"/>
          <w:szCs w:val="36"/>
          <w:rtl/>
          <w:lang w:eastAsia="en-US"/>
        </w:rPr>
        <w:t xml:space="preserve"> </w:t>
      </w:r>
      <w:r w:rsidRPr="00EB5FFB">
        <w:rPr>
          <w:rFonts w:hint="cs"/>
          <w:sz w:val="36"/>
          <w:szCs w:val="36"/>
          <w:rtl/>
          <w:lang w:eastAsia="en-US"/>
        </w:rPr>
        <w:t xml:space="preserve">ق54   </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eastAsia"/>
          <w:sz w:val="36"/>
          <w:szCs w:val="36"/>
          <w:rtl/>
          <w:lang w:eastAsia="en-US"/>
        </w:rPr>
        <w:t>الب</w:t>
      </w:r>
      <w:r w:rsidRPr="00EB5FFB">
        <w:rPr>
          <w:rFonts w:hint="cs"/>
          <w:sz w:val="36"/>
          <w:szCs w:val="36"/>
          <w:rtl/>
          <w:lang w:eastAsia="en-US"/>
        </w:rPr>
        <w:t>َ</w:t>
      </w:r>
      <w:r w:rsidRPr="00EB5FFB">
        <w:rPr>
          <w:rFonts w:hint="eastAsia"/>
          <w:sz w:val="36"/>
          <w:szCs w:val="36"/>
          <w:rtl/>
          <w:lang w:eastAsia="en-US"/>
        </w:rPr>
        <w:t>ق</w:t>
      </w:r>
      <w:r w:rsidRPr="00EB5FFB">
        <w:rPr>
          <w:rFonts w:hint="cs"/>
          <w:sz w:val="36"/>
          <w:szCs w:val="36"/>
          <w:rtl/>
          <w:lang w:eastAsia="en-US"/>
        </w:rPr>
        <w:t>َ</w:t>
      </w:r>
      <w:r w:rsidRPr="00EB5FFB">
        <w:rPr>
          <w:rFonts w:hint="eastAsia"/>
          <w:sz w:val="36"/>
          <w:szCs w:val="36"/>
          <w:rtl/>
          <w:lang w:eastAsia="en-US"/>
        </w:rPr>
        <w:t>اء</w:t>
      </w:r>
      <w:r w:rsidRPr="00EB5FFB">
        <w:rPr>
          <w:rFonts w:hint="cs"/>
          <w:sz w:val="36"/>
          <w:szCs w:val="36"/>
          <w:rtl/>
          <w:lang w:eastAsia="en-US"/>
        </w:rPr>
        <w:t>ُ</w:t>
      </w:r>
      <w:r w:rsidRPr="00EB5FFB">
        <w:rPr>
          <w:sz w:val="36"/>
          <w:szCs w:val="36"/>
          <w:rtl/>
          <w:lang w:eastAsia="en-US"/>
        </w:rPr>
        <w:t xml:space="preserve"> أ</w:t>
      </w:r>
      <w:r w:rsidRPr="00EB5FFB">
        <w:rPr>
          <w:rFonts w:hint="cs"/>
          <w:sz w:val="36"/>
          <w:szCs w:val="36"/>
          <w:rtl/>
          <w:lang w:eastAsia="en-US"/>
        </w:rPr>
        <w:t>َ</w:t>
      </w:r>
      <w:r w:rsidRPr="00EB5FFB">
        <w:rPr>
          <w:sz w:val="36"/>
          <w:szCs w:val="36"/>
          <w:rtl/>
          <w:lang w:eastAsia="en-US"/>
        </w:rPr>
        <w:t>س</w:t>
      </w:r>
      <w:r w:rsidRPr="00EB5FFB">
        <w:rPr>
          <w:rFonts w:hint="cs"/>
          <w:sz w:val="36"/>
          <w:szCs w:val="36"/>
          <w:rtl/>
          <w:lang w:eastAsia="en-US"/>
        </w:rPr>
        <w:t>ْ</w:t>
      </w:r>
      <w:r w:rsidRPr="00EB5FFB">
        <w:rPr>
          <w:sz w:val="36"/>
          <w:szCs w:val="36"/>
          <w:rtl/>
          <w:lang w:eastAsia="en-US"/>
        </w:rPr>
        <w:t>ه</w:t>
      </w:r>
      <w:r w:rsidRPr="00EB5FFB">
        <w:rPr>
          <w:rFonts w:hint="cs"/>
          <w:sz w:val="36"/>
          <w:szCs w:val="36"/>
          <w:rtl/>
          <w:lang w:eastAsia="en-US"/>
        </w:rPr>
        <w:t>َ</w:t>
      </w:r>
      <w:r w:rsidRPr="00EB5FFB">
        <w:rPr>
          <w:sz w:val="36"/>
          <w:szCs w:val="36"/>
          <w:rtl/>
          <w:lang w:eastAsia="en-US"/>
        </w:rPr>
        <w:t>ل</w:t>
      </w:r>
      <w:r w:rsidRPr="00EB5FFB">
        <w:rPr>
          <w:rFonts w:hint="cs"/>
          <w:sz w:val="36"/>
          <w:szCs w:val="36"/>
          <w:rtl/>
          <w:lang w:eastAsia="en-US"/>
        </w:rPr>
        <w:t>ُ</w:t>
      </w:r>
      <w:r w:rsidRPr="00EB5FFB">
        <w:rPr>
          <w:sz w:val="36"/>
          <w:szCs w:val="36"/>
          <w:rtl/>
          <w:lang w:eastAsia="en-US"/>
        </w:rPr>
        <w:t xml:space="preserve"> م</w:t>
      </w:r>
      <w:r w:rsidRPr="00EB5FFB">
        <w:rPr>
          <w:rFonts w:hint="cs"/>
          <w:sz w:val="36"/>
          <w:szCs w:val="36"/>
          <w:rtl/>
          <w:lang w:eastAsia="en-US"/>
        </w:rPr>
        <w:t>ِ</w:t>
      </w:r>
      <w:r w:rsidRPr="00EB5FFB">
        <w:rPr>
          <w:sz w:val="36"/>
          <w:szCs w:val="36"/>
          <w:rtl/>
          <w:lang w:eastAsia="en-US"/>
        </w:rPr>
        <w:t>ن</w:t>
      </w:r>
      <w:r w:rsidRPr="00EB5FFB">
        <w:rPr>
          <w:rFonts w:hint="cs"/>
          <w:sz w:val="36"/>
          <w:szCs w:val="36"/>
          <w:rtl/>
          <w:lang w:eastAsia="en-US"/>
        </w:rPr>
        <w:t>َ</w:t>
      </w:r>
      <w:r w:rsidRPr="00EB5FFB">
        <w:rPr>
          <w:sz w:val="36"/>
          <w:szCs w:val="36"/>
          <w:rtl/>
          <w:lang w:eastAsia="en-US"/>
        </w:rPr>
        <w:t xml:space="preserve"> </w:t>
      </w:r>
      <w:r w:rsidRPr="00EB5FFB">
        <w:rPr>
          <w:rFonts w:hint="eastAsia"/>
          <w:sz w:val="36"/>
          <w:szCs w:val="36"/>
          <w:rtl/>
          <w:lang w:eastAsia="en-US"/>
        </w:rPr>
        <w:t>الاب</w:t>
      </w:r>
      <w:r w:rsidRPr="00EB5FFB">
        <w:rPr>
          <w:rFonts w:hint="cs"/>
          <w:sz w:val="36"/>
          <w:szCs w:val="36"/>
          <w:rtl/>
          <w:lang w:eastAsia="en-US"/>
        </w:rPr>
        <w:t>ْ</w:t>
      </w:r>
      <w:r w:rsidRPr="00EB5FFB">
        <w:rPr>
          <w:rFonts w:hint="eastAsia"/>
          <w:sz w:val="36"/>
          <w:szCs w:val="36"/>
          <w:rtl/>
          <w:lang w:eastAsia="en-US"/>
        </w:rPr>
        <w:t>ت</w:t>
      </w:r>
      <w:r w:rsidRPr="00EB5FFB">
        <w:rPr>
          <w:rFonts w:hint="cs"/>
          <w:sz w:val="36"/>
          <w:szCs w:val="36"/>
          <w:rtl/>
          <w:lang w:eastAsia="en-US"/>
        </w:rPr>
        <w:t>ِ</w:t>
      </w:r>
      <w:r w:rsidRPr="00EB5FFB">
        <w:rPr>
          <w:rFonts w:hint="eastAsia"/>
          <w:sz w:val="36"/>
          <w:szCs w:val="36"/>
          <w:rtl/>
          <w:lang w:eastAsia="en-US"/>
        </w:rPr>
        <w:t>د</w:t>
      </w:r>
      <w:r w:rsidRPr="00EB5FFB">
        <w:rPr>
          <w:rFonts w:hint="cs"/>
          <w:sz w:val="36"/>
          <w:szCs w:val="36"/>
          <w:rtl/>
          <w:lang w:eastAsia="en-US"/>
        </w:rPr>
        <w:t>َ</w:t>
      </w:r>
      <w:r w:rsidRPr="00EB5FFB">
        <w:rPr>
          <w:rFonts w:hint="eastAsia"/>
          <w:sz w:val="36"/>
          <w:szCs w:val="36"/>
          <w:rtl/>
          <w:lang w:eastAsia="en-US"/>
        </w:rPr>
        <w:t>اء</w:t>
      </w:r>
      <w:r w:rsidRPr="00EB5FFB">
        <w:rPr>
          <w:rFonts w:hint="eastAsia"/>
          <w:sz w:val="36"/>
          <w:szCs w:val="36"/>
          <w:rtl/>
          <w:lang w:val="en-GB" w:eastAsia="en-US"/>
        </w:rPr>
        <w:t>»</w:t>
      </w:r>
      <w:r w:rsidRPr="00EB5FFB">
        <w:rPr>
          <w:rFonts w:hint="cs"/>
          <w:sz w:val="36"/>
          <w:szCs w:val="36"/>
          <w:rtl/>
          <w:lang w:eastAsia="en-US"/>
        </w:rPr>
        <w:t xml:space="preserve">ِ. </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rPr>
        <w:t xml:space="preserve">مع </w:t>
      </w:r>
      <w:r w:rsidRPr="00EB5FFB">
        <w:rPr>
          <w:rFonts w:hint="cs"/>
          <w:sz w:val="36"/>
          <w:szCs w:val="36"/>
          <w:rtl/>
          <w:lang w:val="en-GB" w:eastAsia="en-US"/>
        </w:rPr>
        <w:t>ق263</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يُغْتَفَرُ فِي الانْتِهَاءِ مَا لاَ يُغْتَفَرُ فِي الابتدَاءِ</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29"/>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b/>
          <w:bCs/>
          <w:sz w:val="36"/>
          <w:szCs w:val="36"/>
          <w:rtl/>
          <w:lang w:eastAsia="en-US"/>
        </w:rPr>
        <w:t>8 -</w:t>
      </w:r>
      <w:r w:rsidRPr="00EB5FFB">
        <w:rPr>
          <w:rFonts w:hint="cs"/>
          <w:sz w:val="36"/>
          <w:szCs w:val="36"/>
          <w:rtl/>
          <w:lang w:eastAsia="en-US"/>
        </w:rPr>
        <w:t xml:space="preserve"> كان يسمي قواعده بالأصول وتارة يسميها بالقواعد، وقد صرّح بذلك في المقدمة حيث قال</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val="en-GB" w:eastAsia="en-US"/>
        </w:rPr>
        <w:t>ووجدت قواعد وأصولاً تصلح أن تكون للجواب دليلاً</w:t>
      </w:r>
      <w:r w:rsidR="0048366D">
        <w:rPr>
          <w:rFonts w:hint="cs"/>
          <w:sz w:val="36"/>
          <w:szCs w:val="36"/>
          <w:rtl/>
          <w:lang w:val="en-GB" w:eastAsia="en-US"/>
        </w:rPr>
        <w:t>.</w:t>
      </w:r>
      <w:r w:rsidRPr="00EB5FFB">
        <w:rPr>
          <w:rFonts w:hint="cs"/>
          <w:sz w:val="36"/>
          <w:szCs w:val="36"/>
          <w:rtl/>
          <w:lang w:val="en-GB" w:eastAsia="en-US"/>
        </w:rPr>
        <w:t>..</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30"/>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lastRenderedPageBreak/>
        <w:t>والاستعمال الأكثر منهما هو (الأصل)؛ إذْ كثيراً ما يقول</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وخرج عن هذا الأصل</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31"/>
      </w:r>
      <w:r w:rsidRPr="00EB5FFB">
        <w:rPr>
          <w:rFonts w:hint="cs"/>
          <w:sz w:val="36"/>
          <w:szCs w:val="36"/>
          <w:vertAlign w:val="superscript"/>
          <w:rtl/>
          <w:lang w:val="en-GB" w:eastAsia="en-US"/>
        </w:rPr>
        <w:t>)</w:t>
      </w:r>
      <w:r w:rsidRPr="00EB5FFB">
        <w:rPr>
          <w:rFonts w:hint="cs"/>
          <w:sz w:val="36"/>
          <w:szCs w:val="36"/>
          <w:rtl/>
          <w:lang w:val="en-GB" w:eastAsia="en-US"/>
        </w:rPr>
        <w:t>، أو يقول</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وفروع هذا الأصل</w:t>
      </w:r>
      <w:r w:rsidRPr="00EB5FFB">
        <w:rPr>
          <w:rFonts w:hint="eastAsia"/>
          <w:sz w:val="36"/>
          <w:szCs w:val="36"/>
          <w:rtl/>
          <w:lang w:val="en-GB" w:eastAsia="en-US"/>
        </w:rPr>
        <w:t>»</w:t>
      </w:r>
      <w:r w:rsidRPr="00EB5FFB">
        <w:rPr>
          <w:rFonts w:hint="cs"/>
          <w:sz w:val="36"/>
          <w:szCs w:val="36"/>
          <w:rtl/>
          <w:lang w:val="en-GB" w:eastAsia="en-US"/>
        </w:rPr>
        <w:t>، ونحو ذلك</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32"/>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rFonts w:cs="AL-Mateen"/>
          <w:sz w:val="48"/>
          <w:szCs w:val="36"/>
          <w:rtl/>
          <w:lang w:val="en-GB" w:eastAsia="en-US"/>
        </w:rPr>
      </w:pPr>
      <w:r w:rsidRPr="00EB5FFB">
        <w:rPr>
          <w:rFonts w:cs="AL-Mateen" w:hint="cs"/>
          <w:sz w:val="48"/>
          <w:szCs w:val="36"/>
          <w:rtl/>
          <w:lang w:val="en-GB" w:eastAsia="en-US"/>
        </w:rPr>
        <w:t>ثانيًا</w:t>
      </w:r>
      <w:r w:rsidR="0048366D">
        <w:rPr>
          <w:rFonts w:cs="AL-Mateen" w:hint="cs"/>
          <w:sz w:val="48"/>
          <w:szCs w:val="36"/>
          <w:rtl/>
          <w:lang w:val="en-GB" w:eastAsia="en-US"/>
        </w:rPr>
        <w:t>:</w:t>
      </w:r>
      <w:r w:rsidRPr="00EB5FFB">
        <w:rPr>
          <w:rFonts w:cs="AL-Mateen" w:hint="cs"/>
          <w:sz w:val="48"/>
          <w:szCs w:val="36"/>
          <w:rtl/>
          <w:lang w:val="en-GB" w:eastAsia="en-US"/>
        </w:rPr>
        <w:t xml:space="preserve"> منهجه في التعليق على القواعد</w:t>
      </w:r>
      <w:r w:rsidR="0048366D">
        <w:rPr>
          <w:rFonts w:cs="AL-Mateen" w:hint="cs"/>
          <w:sz w:val="48"/>
          <w:szCs w:val="36"/>
          <w:rtl/>
          <w:lang w:val="en-GB" w:eastAsia="en-US"/>
        </w:rPr>
        <w:t>:</w:t>
      </w:r>
    </w:p>
    <w:p w:rsidR="00EB5FFB" w:rsidRPr="00EB5FFB" w:rsidRDefault="00EB5FFB" w:rsidP="009A68A5">
      <w:pPr>
        <w:widowControl/>
        <w:ind w:firstLine="567"/>
        <w:jc w:val="both"/>
        <w:rPr>
          <w:spacing w:val="6"/>
          <w:sz w:val="20"/>
          <w:szCs w:val="36"/>
          <w:rtl/>
          <w:lang w:val="en-GB" w:eastAsia="en-US"/>
        </w:rPr>
      </w:pPr>
      <w:r w:rsidRPr="00EB5FFB">
        <w:rPr>
          <w:rFonts w:hint="cs"/>
          <w:spacing w:val="6"/>
          <w:sz w:val="20"/>
          <w:szCs w:val="36"/>
          <w:rtl/>
          <w:lang w:eastAsia="en-US"/>
        </w:rPr>
        <w:t>السّمة العامة لتعليقه على القواعد هي الاختصار؛ لأن هذا يخدم غرضه من الكتاب؛ وبيان ذلك</w:t>
      </w:r>
      <w:r w:rsidR="0048366D">
        <w:rPr>
          <w:rFonts w:hint="cs"/>
          <w:spacing w:val="6"/>
          <w:sz w:val="20"/>
          <w:szCs w:val="36"/>
          <w:rtl/>
          <w:lang w:eastAsia="en-US"/>
        </w:rPr>
        <w:t>:</w:t>
      </w:r>
      <w:r w:rsidRPr="00EB5FFB">
        <w:rPr>
          <w:rFonts w:hint="cs"/>
          <w:spacing w:val="6"/>
          <w:sz w:val="20"/>
          <w:szCs w:val="36"/>
          <w:rtl/>
          <w:lang w:eastAsia="en-US"/>
        </w:rPr>
        <w:t xml:space="preserve"> أن غرضه إعانة المفتي على ضبط الفتاوى التي يصدرها، ويحصل ذلك بتعلّم القواعد الفقهية الكلية التي يصح الاستدلال بها؛ لأن </w:t>
      </w:r>
      <w:r w:rsidRPr="00EB5FFB">
        <w:rPr>
          <w:rFonts w:hint="eastAsia"/>
          <w:spacing w:val="6"/>
          <w:sz w:val="20"/>
          <w:szCs w:val="36"/>
          <w:rtl/>
          <w:lang w:val="en-GB" w:eastAsia="en-US"/>
        </w:rPr>
        <w:t>«</w:t>
      </w:r>
      <w:r w:rsidRPr="00EB5FFB">
        <w:rPr>
          <w:rFonts w:hint="cs"/>
          <w:spacing w:val="6"/>
          <w:sz w:val="20"/>
          <w:szCs w:val="36"/>
          <w:rtl/>
          <w:lang w:val="en-GB" w:eastAsia="en-US"/>
        </w:rPr>
        <w:t>من ضبط الفقه بقواعده استغنى عن حفظ أكثر الجزيئات؛ لاندراجها في الكليات، واتحّد عنده ما تناقض عند غيره، وتناسب</w:t>
      </w:r>
      <w:r w:rsidR="0048366D">
        <w:rPr>
          <w:rFonts w:hint="cs"/>
          <w:spacing w:val="6"/>
          <w:sz w:val="20"/>
          <w:szCs w:val="36"/>
          <w:rtl/>
          <w:lang w:val="en-GB" w:eastAsia="en-US"/>
        </w:rPr>
        <w:t>.</w:t>
      </w:r>
      <w:r w:rsidRPr="00EB5FFB">
        <w:rPr>
          <w:rFonts w:hint="cs"/>
          <w:spacing w:val="6"/>
          <w:sz w:val="20"/>
          <w:szCs w:val="36"/>
          <w:rtl/>
          <w:lang w:val="en-GB" w:eastAsia="en-US"/>
        </w:rPr>
        <w:t>..</w:t>
      </w:r>
      <w:r w:rsidRPr="00EB5FFB">
        <w:rPr>
          <w:rFonts w:hint="eastAsia"/>
          <w:spacing w:val="6"/>
          <w:sz w:val="20"/>
          <w:szCs w:val="36"/>
          <w:rtl/>
          <w:lang w:val="en-GB" w:eastAsia="en-US"/>
        </w:rPr>
        <w:t>»</w:t>
      </w:r>
      <w:r w:rsidRPr="00EB5FFB">
        <w:rPr>
          <w:rFonts w:hint="cs"/>
          <w:spacing w:val="6"/>
          <w:sz w:val="20"/>
          <w:szCs w:val="36"/>
          <w:vertAlign w:val="superscript"/>
          <w:rtl/>
          <w:lang w:val="en-GB" w:eastAsia="en-US"/>
        </w:rPr>
        <w:t>(</w:t>
      </w:r>
      <w:r w:rsidRPr="00EB5FFB">
        <w:rPr>
          <w:bCs/>
          <w:spacing w:val="6"/>
          <w:sz w:val="20"/>
          <w:szCs w:val="32"/>
          <w:vertAlign w:val="superscript"/>
          <w:rtl/>
          <w:lang w:val="en-GB" w:eastAsia="en-US"/>
        </w:rPr>
        <w:footnoteReference w:id="133"/>
      </w:r>
      <w:r w:rsidRPr="00EB5FFB">
        <w:rPr>
          <w:rFonts w:hint="cs"/>
          <w:spacing w:val="6"/>
          <w:sz w:val="20"/>
          <w:szCs w:val="36"/>
          <w:vertAlign w:val="superscript"/>
          <w:rtl/>
          <w:lang w:val="en-GB" w:eastAsia="en-US"/>
        </w:rPr>
        <w:t>)</w:t>
      </w:r>
      <w:r w:rsidRPr="00EB5FFB">
        <w:rPr>
          <w:rFonts w:hint="cs"/>
          <w:spacing w:val="6"/>
          <w:sz w:val="20"/>
          <w:szCs w:val="36"/>
          <w:rtl/>
          <w:lang w:val="en-GB" w:eastAsia="en-US"/>
        </w:rPr>
        <w:t>.</w:t>
      </w:r>
    </w:p>
    <w:p w:rsidR="00EB5FFB" w:rsidRPr="00EB5FFB" w:rsidRDefault="00EB5FFB" w:rsidP="009A68A5">
      <w:pPr>
        <w:widowControl/>
        <w:ind w:firstLine="567"/>
        <w:jc w:val="both"/>
        <w:rPr>
          <w:spacing w:val="-10"/>
          <w:sz w:val="35"/>
          <w:szCs w:val="35"/>
          <w:rtl/>
          <w:lang w:eastAsia="en-US"/>
        </w:rPr>
      </w:pPr>
      <w:r w:rsidRPr="00EB5FFB">
        <w:rPr>
          <w:rFonts w:hint="cs"/>
          <w:spacing w:val="-10"/>
          <w:sz w:val="35"/>
          <w:szCs w:val="35"/>
          <w:rtl/>
          <w:lang w:eastAsia="en-US"/>
        </w:rPr>
        <w:t>وليتسنى ذلك للمفتي لابّد من ضبطه لكتابٍ يُعنى بكثرة القواعد الفقهية، مع حسن الترتيب، والاختصار؛ ليتمكن من الرجوع إلى القاعدة المرادة بأقصر طريق، وليسهل عليه ضبط الكتاب.</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ولكي تتحقق هذه المزايا في كتاب ناظرزاده رتّبه على حروف الهجاء، واعتنى بالاختصار في الشرح قدر الإمكان، وقد صرّح بذلك في مواضع متفرقة من كتابه، كما طبّقه عمليًّا في أثناء الكتاب.</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ومن عباراته التي تدلّ على ذلك</w:t>
      </w:r>
      <w:r w:rsidR="0048366D">
        <w:rPr>
          <w:rFonts w:hint="cs"/>
          <w:sz w:val="20"/>
          <w:szCs w:val="36"/>
          <w:rtl/>
          <w:lang w:eastAsia="en-US"/>
        </w:rPr>
        <w:t>:</w:t>
      </w:r>
    </w:p>
    <w:p w:rsidR="00EB5FFB" w:rsidRPr="00EB5FFB" w:rsidRDefault="00EB5FFB" w:rsidP="009A68A5">
      <w:pPr>
        <w:widowControl/>
        <w:ind w:firstLine="567"/>
        <w:jc w:val="both"/>
        <w:rPr>
          <w:sz w:val="20"/>
          <w:szCs w:val="36"/>
          <w:rtl/>
          <w:lang w:val="en-GB" w:eastAsia="en-US"/>
        </w:rPr>
      </w:pPr>
      <w:r w:rsidRPr="00EB5FFB">
        <w:rPr>
          <w:rFonts w:ascii="Wingdings" w:hAnsi="Wingdings" w:cs="Wingdings"/>
          <w:sz w:val="20"/>
          <w:szCs w:val="20"/>
          <w:lang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ومن أراد التفصيل فليرجع إلى كتب الأصول</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3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ascii="Wingdings" w:hAnsi="Wingdings" w:cs="Wingdings"/>
          <w:sz w:val="20"/>
          <w:szCs w:val="20"/>
          <w:lang w:eastAsia="en-US"/>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وأنالم ألتزم التفـصيل في هذه الجريدة؛ بل المراد الترتيب؛ لتسهيل الضبط، والتفصيل مانع</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3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ascii="Wingdings" w:hAnsi="Wingdings" w:cs="Wingdings"/>
          <w:sz w:val="20"/>
          <w:szCs w:val="20"/>
          <w:lang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ولا حاجة إلى التفصيل عند من احترز عن التطويل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3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ascii="Wingdings" w:hAnsi="Wingdings" w:cs="Wingdings"/>
          <w:sz w:val="20"/>
          <w:szCs w:val="20"/>
          <w:lang w:eastAsia="en-US"/>
        </w:rPr>
        <w:lastRenderedPageBreak/>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وفيها نظائر تُركتْ؛ احترازًا عن التطويل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3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ascii="Wingdings" w:hAnsi="Wingdings" w:cs="Wingdings"/>
          <w:sz w:val="20"/>
          <w:szCs w:val="20"/>
          <w:lang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وفيه بحث طويل الذيل، لا يليق بهذا المختصر</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3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pacing w:val="-4"/>
          <w:sz w:val="20"/>
          <w:szCs w:val="36"/>
          <w:rtl/>
          <w:lang w:val="en-GB" w:eastAsia="en-US"/>
        </w:rPr>
      </w:pPr>
      <w:r w:rsidRPr="00EB5FFB">
        <w:rPr>
          <w:rFonts w:hint="cs"/>
          <w:spacing w:val="-4"/>
          <w:sz w:val="20"/>
          <w:szCs w:val="36"/>
          <w:rtl/>
          <w:lang w:val="en-GB" w:eastAsia="en-US"/>
        </w:rPr>
        <w:t>وهذا الاختصار ظهر  على جوانب متعدّدة من الكتاب، منها الجوانب الآتية:</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الأول</w:t>
      </w:r>
      <w:r w:rsidR="0048366D">
        <w:rPr>
          <w:rFonts w:hint="cs"/>
          <w:b/>
          <w:bCs/>
          <w:sz w:val="20"/>
          <w:szCs w:val="36"/>
          <w:rtl/>
          <w:lang w:val="en-GB" w:eastAsia="en-US"/>
        </w:rPr>
        <w:t>:</w:t>
      </w:r>
      <w:r w:rsidRPr="00EB5FFB">
        <w:rPr>
          <w:rFonts w:hint="cs"/>
          <w:b/>
          <w:bCs/>
          <w:sz w:val="20"/>
          <w:szCs w:val="36"/>
          <w:rtl/>
          <w:lang w:val="en-GB" w:eastAsia="en-US"/>
        </w:rPr>
        <w:t xml:space="preserve"> منهجه الإجمالي في التعليق على القاعدة</w:t>
      </w:r>
      <w:r w:rsidR="0048366D">
        <w:rPr>
          <w:rFonts w:hint="cs"/>
          <w:b/>
          <w:bCs/>
          <w:sz w:val="20"/>
          <w:szCs w:val="36"/>
          <w:rtl/>
          <w:lang w:val="en-GB"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w:t>
      </w:r>
      <w:r w:rsidRPr="00EB5FFB">
        <w:rPr>
          <w:rFonts w:hint="cs"/>
          <w:sz w:val="20"/>
          <w:szCs w:val="36"/>
          <w:rtl/>
          <w:lang w:eastAsia="en-US"/>
        </w:rPr>
        <w:t xml:space="preserve"> يبدأ تعليقه غالبًا بكلمة (ولذا)، أو بالفاء السببية، أو نحوهما، ثم يتبع ذلك  ببعـض فـروع القـاعدة. وفـي هذا إشارة إلى أن القاعدة دليل على الأحكام المذكورة في الفروع.</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w:t>
      </w:r>
      <w:r w:rsidRPr="00EB5FFB">
        <w:rPr>
          <w:rFonts w:hint="cs"/>
          <w:sz w:val="20"/>
          <w:szCs w:val="36"/>
          <w:rtl/>
          <w:lang w:eastAsia="en-US"/>
        </w:rPr>
        <w:t xml:space="preserve"> وإذا كان للقاعدة مسائل يتوهم استثناؤها من القاعدة يذكرها بعد الفروع غالبًا، ويبيّن علة تخلفها عن القاعدة بالتصريح أو الإشارة في سياق الكلام.</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w:t>
      </w:r>
      <w:r w:rsidRPr="00EB5FFB">
        <w:rPr>
          <w:rFonts w:hint="cs"/>
          <w:sz w:val="20"/>
          <w:szCs w:val="36"/>
          <w:rtl/>
          <w:lang w:eastAsia="en-US"/>
        </w:rPr>
        <w:t xml:space="preserve"> وقد لا يذكر الفروع؛ بل يشرع بالمسائل المستثناة مباشرة؛ بناء على أن القاعدة لا تحتاج إلى إيضاحها بالأمثلة</w:t>
      </w:r>
      <w:r w:rsidRPr="00EB5FFB">
        <w:rPr>
          <w:rFonts w:hint="cs"/>
          <w:sz w:val="20"/>
          <w:szCs w:val="36"/>
          <w:vertAlign w:val="superscript"/>
          <w:rtl/>
          <w:lang w:eastAsia="en-US"/>
        </w:rPr>
        <w:t>(</w:t>
      </w:r>
      <w:r w:rsidRPr="00EB5FFB">
        <w:rPr>
          <w:bCs/>
          <w:sz w:val="20"/>
          <w:szCs w:val="32"/>
          <w:vertAlign w:val="superscript"/>
          <w:rtl/>
          <w:lang w:eastAsia="en-US"/>
        </w:rPr>
        <w:footnoteReference w:id="139"/>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4-</w:t>
      </w:r>
      <w:r w:rsidRPr="00EB5FFB">
        <w:rPr>
          <w:rFonts w:hint="cs"/>
          <w:sz w:val="20"/>
          <w:szCs w:val="36"/>
          <w:rtl/>
          <w:lang w:eastAsia="en-US"/>
        </w:rPr>
        <w:t xml:space="preserve"> وإذا كان في القاعدة خلاف قوي ذكره إجمالاً في بداية شرحها غالبًا</w:t>
      </w:r>
      <w:r w:rsidRPr="00EB5FFB">
        <w:rPr>
          <w:rFonts w:hint="cs"/>
          <w:sz w:val="20"/>
          <w:szCs w:val="36"/>
          <w:vertAlign w:val="superscript"/>
          <w:rtl/>
          <w:lang w:eastAsia="en-US"/>
        </w:rPr>
        <w:t>(</w:t>
      </w:r>
      <w:r w:rsidRPr="00EB5FFB">
        <w:rPr>
          <w:bCs/>
          <w:sz w:val="20"/>
          <w:szCs w:val="32"/>
          <w:vertAlign w:val="superscript"/>
          <w:rtl/>
          <w:lang w:eastAsia="en-US"/>
        </w:rPr>
        <w:footnoteReference w:id="140"/>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5-</w:t>
      </w:r>
      <w:r w:rsidRPr="00EB5FFB">
        <w:rPr>
          <w:rFonts w:hint="cs"/>
          <w:sz w:val="20"/>
          <w:szCs w:val="36"/>
          <w:rtl/>
          <w:lang w:eastAsia="en-US"/>
        </w:rPr>
        <w:t xml:space="preserve"> كما أنه إذا رأى حاجة للاستدلال المباشر على القاعدة يذكره مختصرًا في بداية الشرح أيضًا</w:t>
      </w:r>
      <w:r w:rsidRPr="00EB5FFB">
        <w:rPr>
          <w:rFonts w:hint="cs"/>
          <w:sz w:val="20"/>
          <w:szCs w:val="36"/>
          <w:vertAlign w:val="superscript"/>
          <w:rtl/>
          <w:lang w:eastAsia="en-US"/>
        </w:rPr>
        <w:t>(</w:t>
      </w:r>
      <w:r w:rsidRPr="00EB5FFB">
        <w:rPr>
          <w:bCs/>
          <w:sz w:val="20"/>
          <w:szCs w:val="32"/>
          <w:vertAlign w:val="superscript"/>
          <w:rtl/>
          <w:lang w:eastAsia="en-US"/>
        </w:rPr>
        <w:footnoteReference w:id="141"/>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pacing w:val="-4"/>
          <w:sz w:val="20"/>
          <w:szCs w:val="36"/>
          <w:rtl/>
          <w:lang w:eastAsia="en-US"/>
        </w:rPr>
      </w:pPr>
      <w:r w:rsidRPr="00EB5FFB">
        <w:rPr>
          <w:rFonts w:hint="cs"/>
          <w:spacing w:val="-4"/>
          <w:sz w:val="20"/>
          <w:szCs w:val="36"/>
          <w:rtl/>
          <w:lang w:eastAsia="en-US"/>
        </w:rPr>
        <w:t>والأغلب من استدلاله على القواعد يكون بمسلك غير مباشر، حيث يثبت كلّيّة القاعدة بالجواب عمّا قد يتوهم كونه مستثنى منها، فتبقى القاعدة مطّرده، يصح التعليل بها.</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الثاني</w:t>
      </w:r>
      <w:r w:rsidR="0048366D">
        <w:rPr>
          <w:rFonts w:hint="cs"/>
          <w:b/>
          <w:bCs/>
          <w:sz w:val="20"/>
          <w:szCs w:val="36"/>
          <w:rtl/>
          <w:lang w:eastAsia="en-US"/>
        </w:rPr>
        <w:t>:</w:t>
      </w:r>
      <w:r w:rsidRPr="00EB5FFB">
        <w:rPr>
          <w:rFonts w:hint="cs"/>
          <w:b/>
          <w:bCs/>
          <w:sz w:val="20"/>
          <w:szCs w:val="36"/>
          <w:rtl/>
          <w:lang w:eastAsia="en-US"/>
        </w:rPr>
        <w:t xml:space="preserve"> منهجه في بيان معنى القاعدة</w:t>
      </w:r>
      <w:r w:rsidR="0048366D">
        <w:rPr>
          <w:rFonts w:hint="cs"/>
          <w:b/>
          <w:b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 يكن لناظرزاده منهجٌ مطّرد في بيان معنى القاعدة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ascii="Wingdings" w:hAnsi="Wingdings"/>
          <w:sz w:val="20"/>
          <w:szCs w:val="36"/>
          <w:lang w:eastAsia="en-US"/>
        </w:rPr>
        <w:t></w:t>
      </w:r>
      <w:r w:rsidRPr="00EB5FFB">
        <w:rPr>
          <w:rFonts w:hint="cs"/>
          <w:sz w:val="20"/>
          <w:szCs w:val="36"/>
          <w:rtl/>
          <w:lang w:eastAsia="en-US"/>
        </w:rPr>
        <w:t xml:space="preserve"> فقد يذكر المعنى الإجمالي للقاعدة في بداية تعليقه عليها، وهذا نادر. ومن أمثلته</w:t>
      </w:r>
      <w:r w:rsidR="0048366D">
        <w:rPr>
          <w:rFonts w:hint="cs"/>
          <w:sz w:val="20"/>
          <w:szCs w:val="36"/>
          <w:rtl/>
          <w:lang w:eastAsia="en-US"/>
        </w:rPr>
        <w:t>:</w:t>
      </w:r>
      <w:r w:rsidRPr="00EB5FFB">
        <w:rPr>
          <w:rFonts w:hint="cs"/>
          <w:sz w:val="20"/>
          <w:szCs w:val="36"/>
          <w:rtl/>
          <w:lang w:eastAsia="en-US"/>
        </w:rPr>
        <w:t xml:space="preserve"> </w:t>
      </w:r>
    </w:p>
    <w:p w:rsidR="00EB5FFB" w:rsidRPr="00EB5FFB" w:rsidRDefault="00EB5FFB" w:rsidP="009A68A5">
      <w:pPr>
        <w:widowControl/>
        <w:ind w:left="565" w:firstLine="2"/>
        <w:jc w:val="both"/>
        <w:rPr>
          <w:sz w:val="36"/>
          <w:szCs w:val="36"/>
          <w:rtl/>
          <w:lang w:val="en-GB" w:eastAsia="en-US"/>
        </w:rPr>
      </w:pPr>
      <w:r w:rsidRPr="00EB5FFB">
        <w:rPr>
          <w:rFonts w:hint="cs"/>
          <w:sz w:val="36"/>
          <w:szCs w:val="36"/>
          <w:rtl/>
          <w:lang w:eastAsia="en-US"/>
        </w:rPr>
        <w:lastRenderedPageBreak/>
        <w:t xml:space="preserve">- </w:t>
      </w:r>
      <w:r w:rsidRPr="00EB5FFB">
        <w:rPr>
          <w:rFonts w:hint="cs"/>
          <w:sz w:val="36"/>
          <w:szCs w:val="36"/>
          <w:rtl/>
          <w:lang w:val="en-GB" w:eastAsia="en-US"/>
        </w:rPr>
        <w:t>ق154</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صِحَّةُ الحَلِفِ غَيْرُ مُفَارِقَةٍ عَنْ صِحَّةِ الإِقْرَارِ، وَعَدَمُهَا عَنْ عَدَمِهَا</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left="565" w:firstLine="2"/>
        <w:jc w:val="both"/>
        <w:rPr>
          <w:sz w:val="36"/>
          <w:szCs w:val="36"/>
          <w:rtl/>
          <w:lang w:val="en-GB" w:eastAsia="en-US"/>
        </w:rPr>
      </w:pPr>
      <w:r w:rsidRPr="00EB5FFB">
        <w:rPr>
          <w:rFonts w:hint="cs"/>
          <w:sz w:val="36"/>
          <w:szCs w:val="36"/>
          <w:rtl/>
          <w:lang w:val="en-GB" w:eastAsia="en-US"/>
        </w:rPr>
        <w:t>حيث قال في بداية التعليق عليها</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وحاصله</w:t>
      </w:r>
      <w:r w:rsidR="0048366D">
        <w:rPr>
          <w:rFonts w:hint="cs"/>
          <w:sz w:val="36"/>
          <w:szCs w:val="36"/>
          <w:rtl/>
          <w:lang w:val="en-GB" w:eastAsia="en-US"/>
        </w:rPr>
        <w:t>:</w:t>
      </w:r>
      <w:r w:rsidRPr="00EB5FFB">
        <w:rPr>
          <w:rFonts w:hint="cs"/>
          <w:sz w:val="36"/>
          <w:szCs w:val="36"/>
          <w:rtl/>
          <w:lang w:val="en-GB" w:eastAsia="en-US"/>
        </w:rPr>
        <w:t xml:space="preserve"> أن من يصح إقراره </w:t>
      </w:r>
      <w:r w:rsidRPr="00EB5FFB">
        <w:rPr>
          <w:sz w:val="36"/>
          <w:szCs w:val="36"/>
          <w:rtl/>
          <w:lang w:val="en-GB" w:eastAsia="en-US"/>
        </w:rPr>
        <w:t>–</w:t>
      </w:r>
      <w:r w:rsidRPr="00EB5FFB">
        <w:rPr>
          <w:rFonts w:hint="cs"/>
          <w:sz w:val="36"/>
          <w:szCs w:val="36"/>
          <w:rtl/>
          <w:lang w:val="en-GB" w:eastAsia="en-US"/>
        </w:rPr>
        <w:t>كالوكيل- يصح استحلافه</w:t>
      </w:r>
      <w:r w:rsidR="0048366D">
        <w:rPr>
          <w:rFonts w:hint="cs"/>
          <w:sz w:val="36"/>
          <w:szCs w:val="36"/>
          <w:rtl/>
          <w:lang w:val="en-GB" w:eastAsia="en-US"/>
        </w:rPr>
        <w:t>.</w:t>
      </w:r>
      <w:r w:rsidRPr="00EB5FFB">
        <w:rPr>
          <w:rFonts w:hint="cs"/>
          <w:sz w:val="36"/>
          <w:szCs w:val="36"/>
          <w:rtl/>
          <w:lang w:val="en-GB" w:eastAsia="en-US"/>
        </w:rPr>
        <w:t>.. ومن لا يصحّ إقراره؛ كالوصي إذا خوصم في عيبِ عين باعه للصغير: لا يصح استحلافه</w:t>
      </w:r>
      <w:r w:rsidR="0048366D">
        <w:rPr>
          <w:rFonts w:hint="cs"/>
          <w:sz w:val="36"/>
          <w:szCs w:val="36"/>
          <w:rtl/>
          <w:lang w:val="en-GB" w:eastAsia="en-US"/>
        </w:rPr>
        <w:t>.</w:t>
      </w:r>
      <w:r w:rsidRPr="00EB5FFB">
        <w:rPr>
          <w:rFonts w:hint="cs"/>
          <w:sz w:val="36"/>
          <w:szCs w:val="36"/>
          <w:rtl/>
          <w:lang w:val="en-GB" w:eastAsia="en-US"/>
        </w:rPr>
        <w:t>..</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ق245</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المَنْصُوصُ لاَ يَنُوْبُ أَخَاهُ</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حيث قال في بداية التعليق عليها</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أي</w:t>
      </w:r>
      <w:r w:rsidR="0048366D">
        <w:rPr>
          <w:rFonts w:hint="cs"/>
          <w:sz w:val="36"/>
          <w:szCs w:val="36"/>
          <w:rtl/>
          <w:lang w:val="en-GB" w:eastAsia="en-US"/>
        </w:rPr>
        <w:t>:</w:t>
      </w:r>
      <w:r w:rsidRPr="00EB5FFB">
        <w:rPr>
          <w:rFonts w:hint="cs"/>
          <w:sz w:val="36"/>
          <w:szCs w:val="36"/>
          <w:rtl/>
          <w:lang w:val="en-GB" w:eastAsia="en-US"/>
        </w:rPr>
        <w:t xml:space="preserve"> جنسه في كونه منصوصًا</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42"/>
      </w:r>
      <w:r w:rsidRPr="00EB5FFB">
        <w:rPr>
          <w:rFonts w:hint="cs"/>
          <w:sz w:val="36"/>
          <w:szCs w:val="36"/>
          <w:vertAlign w:val="superscript"/>
          <w:rtl/>
          <w:lang w:val="en-GB" w:eastAsia="en-US"/>
        </w:rPr>
        <w:t>)</w:t>
      </w:r>
      <w:r w:rsidRPr="00EB5FFB">
        <w:rPr>
          <w:rFonts w:hint="cs"/>
          <w:sz w:val="36"/>
          <w:szCs w:val="36"/>
          <w:rtl/>
          <w:lang w:val="en-GB" w:eastAsia="en-US"/>
        </w:rPr>
        <w:t xml:space="preserve">. </w:t>
      </w:r>
    </w:p>
    <w:p w:rsidR="00EB5FFB" w:rsidRPr="00EB5FFB" w:rsidRDefault="00EB5FFB" w:rsidP="009A68A5">
      <w:pPr>
        <w:widowControl/>
        <w:ind w:firstLine="567"/>
        <w:jc w:val="both"/>
        <w:rPr>
          <w:sz w:val="20"/>
          <w:szCs w:val="36"/>
          <w:rtl/>
          <w:lang w:eastAsia="en-US" w:bidi="ar-AE"/>
        </w:rPr>
      </w:pPr>
      <w:r w:rsidRPr="00EB5FFB">
        <w:rPr>
          <w:rFonts w:ascii="Wingdings" w:hAnsi="Wingdings"/>
          <w:sz w:val="20"/>
          <w:szCs w:val="36"/>
          <w:lang w:eastAsia="en-US"/>
        </w:rPr>
        <w:t></w:t>
      </w:r>
      <w:r w:rsidRPr="00EB5FFB">
        <w:rPr>
          <w:rFonts w:hint="cs"/>
          <w:sz w:val="20"/>
          <w:szCs w:val="36"/>
          <w:rtl/>
          <w:lang w:eastAsia="en-US"/>
        </w:rPr>
        <w:t xml:space="preserve"> </w:t>
      </w:r>
      <w:r w:rsidRPr="00EB5FFB">
        <w:rPr>
          <w:rFonts w:hint="cs"/>
          <w:sz w:val="20"/>
          <w:szCs w:val="36"/>
          <w:rtl/>
          <w:lang w:eastAsia="en-US" w:bidi="ar-AE"/>
        </w:rPr>
        <w:t>وقد يكتفي بإيضاحها بالأمثلة، وهذا الغالب في قواعده. ومن أمثلته</w:t>
      </w:r>
      <w:r w:rsidR="0048366D">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جميع قواعد باب الباء الاثنتي عشرة سوى القاعدة 61.</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جميع قواعد باب الجيم التسعة سوى القاعدة 104.</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جميع قواعد باب الراء السّتة.</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bidi="ar-AE"/>
        </w:rPr>
        <w:t>- جميع قواعد باب الواو السّتة.</w:t>
      </w:r>
    </w:p>
    <w:p w:rsidR="00EB5FFB" w:rsidRPr="00EB5FFB" w:rsidRDefault="00EB5FFB" w:rsidP="009A68A5">
      <w:pPr>
        <w:widowControl/>
        <w:ind w:left="565" w:firstLine="2"/>
        <w:jc w:val="both"/>
        <w:rPr>
          <w:sz w:val="20"/>
          <w:szCs w:val="36"/>
          <w:rtl/>
          <w:lang w:eastAsia="en-US" w:bidi="ar-AE"/>
        </w:rPr>
      </w:pPr>
      <w:r w:rsidRPr="00EB5FFB">
        <w:rPr>
          <w:rFonts w:hint="cs"/>
          <w:sz w:val="20"/>
          <w:szCs w:val="36"/>
          <w:rtl/>
          <w:lang w:eastAsia="en-US" w:bidi="ar-AE"/>
        </w:rPr>
        <w:t>وهذا المنهج هو منهج أكثر علماء القواعد؛ ولعل ذلك لتحقيق غرضين في آن واحد، هما</w:t>
      </w:r>
      <w:r w:rsidR="0048366D">
        <w:rPr>
          <w:rFonts w:hint="cs"/>
          <w:sz w:val="20"/>
          <w:szCs w:val="36"/>
          <w:rtl/>
          <w:lang w:eastAsia="en-US" w:bidi="ar-AE"/>
        </w:rPr>
        <w:t>:</w:t>
      </w:r>
      <w:r w:rsidRPr="00EB5FFB">
        <w:rPr>
          <w:rFonts w:hint="cs"/>
          <w:sz w:val="20"/>
          <w:szCs w:val="36"/>
          <w:rtl/>
          <w:lang w:eastAsia="en-US" w:bidi="ar-AE"/>
        </w:rPr>
        <w:t xml:space="preserve"> تصوير القاعدة، وبيان أهم فروعها.</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ثم إنّ التعريفَ بالمثالِ نوع من أنواع المعرِّفات المعتدّ بها عند المناطقة</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43"/>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left="565" w:firstLine="2"/>
        <w:jc w:val="both"/>
        <w:rPr>
          <w:sz w:val="20"/>
          <w:szCs w:val="36"/>
          <w:rtl/>
          <w:lang w:eastAsia="en-US" w:bidi="ar-AE"/>
        </w:rPr>
      </w:pPr>
      <w:r w:rsidRPr="00EB5FFB">
        <w:rPr>
          <w:rFonts w:ascii="Wingdings" w:hAnsi="Wingdings"/>
          <w:sz w:val="20"/>
          <w:szCs w:val="36"/>
          <w:lang w:eastAsia="en-US"/>
        </w:rPr>
        <w:t></w:t>
      </w:r>
      <w:r w:rsidRPr="00EB5FFB">
        <w:rPr>
          <w:rFonts w:hint="cs"/>
          <w:sz w:val="20"/>
          <w:szCs w:val="36"/>
          <w:rtl/>
          <w:lang w:eastAsia="en-US" w:bidi="ar-AE"/>
        </w:rPr>
        <w:t xml:space="preserve"> وقد يرى أنّ القاعدة لا تحتاج إلى إيضاح؛ فيبادر -اختصارًا- بذكر المسائل التي قد يتوهم خروجها من القاعدة، أو نحو ذلك</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44"/>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bidi="ar-AE"/>
        </w:rPr>
        <w:t>الثالث</w:t>
      </w:r>
      <w:r w:rsidR="0048366D">
        <w:rPr>
          <w:rFonts w:hint="cs"/>
          <w:b/>
          <w:bCs/>
          <w:sz w:val="20"/>
          <w:szCs w:val="36"/>
          <w:rtl/>
          <w:lang w:eastAsia="en-US" w:bidi="ar-AE"/>
        </w:rPr>
        <w:t>:</w:t>
      </w:r>
      <w:r w:rsidRPr="00EB5FFB">
        <w:rPr>
          <w:rFonts w:hint="cs"/>
          <w:b/>
          <w:bCs/>
          <w:sz w:val="20"/>
          <w:szCs w:val="36"/>
          <w:rtl/>
          <w:lang w:eastAsia="en-US" w:bidi="ar-AE"/>
        </w:rPr>
        <w:t xml:space="preserve"> منهجه في ذكـر الفـروع الفقهية</w:t>
      </w:r>
      <w:r w:rsidR="0048366D">
        <w:rPr>
          <w:rFonts w:hint="cs"/>
          <w:b/>
          <w:bCs/>
          <w:sz w:val="20"/>
          <w:szCs w:val="36"/>
          <w:rtl/>
          <w:lang w:eastAsia="en-US" w:bidi="ar-AE"/>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bidi="ar-AE"/>
        </w:rPr>
        <w:t>الفروع الفقهية التي ترد في كتب القواعد يُقصد منها توضيح القاعدة، وبيان إمكانيّة تخريج الفرع عليها. أما تقرير الحكم الشرعي للفرع الفقهي، وجمع أدلته ومآخذه: فمحلّه كتب الفقه.</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lastRenderedPageBreak/>
        <w:t>لهذا فإن السّمة العامة للفروع التي تذكر في كتب القواعد هي الإيجاز، وبيان محل الشاهد فقط. وقد وُجدت هذه السّمة في فروع كتاب ناظرزاده. فمن مظاهر ذلك</w:t>
      </w:r>
      <w:r w:rsidR="0048366D">
        <w:rPr>
          <w:rFonts w:hint="cs"/>
          <w:sz w:val="20"/>
          <w:szCs w:val="36"/>
          <w:rtl/>
          <w:lang w:eastAsia="en-US" w:bidi="ar-AE"/>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bidi="ar-AE"/>
        </w:rPr>
        <w:t>1</w:t>
      </w:r>
      <w:r w:rsidRPr="00EB5FFB">
        <w:rPr>
          <w:rFonts w:hint="cs"/>
          <w:sz w:val="20"/>
          <w:szCs w:val="36"/>
          <w:rtl/>
          <w:lang w:eastAsia="en-US" w:bidi="ar-AE"/>
        </w:rPr>
        <w:t xml:space="preserve"> </w:t>
      </w:r>
      <w:r w:rsidRPr="00EB5FFB">
        <w:rPr>
          <w:rFonts w:hint="cs"/>
          <w:b/>
          <w:bCs/>
          <w:sz w:val="20"/>
          <w:szCs w:val="36"/>
          <w:rtl/>
          <w:lang w:eastAsia="en-US" w:bidi="ar-AE"/>
        </w:rPr>
        <w:t>-</w:t>
      </w:r>
      <w:r w:rsidRPr="00EB5FFB">
        <w:rPr>
          <w:rFonts w:hint="cs"/>
          <w:sz w:val="20"/>
          <w:szCs w:val="36"/>
          <w:rtl/>
          <w:lang w:eastAsia="en-US" w:bidi="ar-AE"/>
        </w:rPr>
        <w:t xml:space="preserve"> عدم الاستطراد في تعداد الفروع الفقهية، فيذكر ما يراه كافيًا في إيضاح القاعدة، وربما اكتفى بمثال أو مثالين؛ بل قد يُعرض صفحًا عن ذكر الأمثلة؛ لوضوح القاعدة في نظره، ويتطرّق إلى جوانب أخر، تخدم غرضه من الكتاب، كالمسائل المستثناة ونحوها</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45"/>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b/>
          <w:bCs/>
          <w:sz w:val="20"/>
          <w:szCs w:val="36"/>
          <w:rtl/>
          <w:lang w:eastAsia="en-US" w:bidi="ar-AE"/>
        </w:rPr>
        <w:t>2</w:t>
      </w:r>
      <w:r w:rsidRPr="00EB5FFB">
        <w:rPr>
          <w:rFonts w:hint="cs"/>
          <w:sz w:val="20"/>
          <w:szCs w:val="36"/>
          <w:rtl/>
          <w:lang w:eastAsia="en-US" w:bidi="ar-AE"/>
        </w:rPr>
        <w:t xml:space="preserve"> </w:t>
      </w:r>
      <w:r w:rsidRPr="00EB5FFB">
        <w:rPr>
          <w:rFonts w:hint="cs"/>
          <w:b/>
          <w:bCs/>
          <w:sz w:val="20"/>
          <w:szCs w:val="36"/>
          <w:rtl/>
          <w:lang w:eastAsia="en-US" w:bidi="ar-AE"/>
        </w:rPr>
        <w:t>-</w:t>
      </w:r>
      <w:r w:rsidRPr="00EB5FFB">
        <w:rPr>
          <w:rFonts w:hint="cs"/>
          <w:sz w:val="20"/>
          <w:szCs w:val="36"/>
          <w:rtl/>
          <w:lang w:eastAsia="en-US" w:bidi="ar-AE"/>
        </w:rPr>
        <w:t xml:space="preserve"> إذا ذكر الفرع الفقهي يذكره بإيجاز، وهذا الإيجاز قد يكون مخلاًّ أحيانًا؛ بحيث يجعل الفرع محاطًا بهالة من الغموض</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46"/>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b/>
          <w:bCs/>
          <w:sz w:val="20"/>
          <w:szCs w:val="36"/>
          <w:rtl/>
          <w:lang w:eastAsia="en-US" w:bidi="ar-AE"/>
        </w:rPr>
        <w:t>3</w:t>
      </w:r>
      <w:r w:rsidRPr="00EB5FFB">
        <w:rPr>
          <w:rFonts w:hint="cs"/>
          <w:sz w:val="20"/>
          <w:szCs w:val="36"/>
          <w:rtl/>
          <w:lang w:eastAsia="en-US" w:bidi="ar-AE"/>
        </w:rPr>
        <w:t xml:space="preserve"> </w:t>
      </w:r>
      <w:r w:rsidRPr="00EB5FFB">
        <w:rPr>
          <w:rFonts w:hint="cs"/>
          <w:b/>
          <w:bCs/>
          <w:sz w:val="20"/>
          <w:szCs w:val="36"/>
          <w:rtl/>
          <w:lang w:eastAsia="en-US" w:bidi="ar-AE"/>
        </w:rPr>
        <w:t>-</w:t>
      </w:r>
      <w:r w:rsidRPr="00EB5FFB">
        <w:rPr>
          <w:rFonts w:hint="cs"/>
          <w:sz w:val="20"/>
          <w:szCs w:val="36"/>
          <w:rtl/>
          <w:lang w:eastAsia="en-US" w:bidi="ar-AE"/>
        </w:rPr>
        <w:t xml:space="preserve"> إذا ذكر للقاعدة عدّة فروع فقهية</w:t>
      </w:r>
      <w:r w:rsidR="0048366D">
        <w:rPr>
          <w:rFonts w:hint="cs"/>
          <w:sz w:val="20"/>
          <w:szCs w:val="36"/>
          <w:rtl/>
          <w:lang w:eastAsia="en-US" w:bidi="ar-AE"/>
        </w:rPr>
        <w:t>:</w:t>
      </w:r>
      <w:r w:rsidRPr="00EB5FFB">
        <w:rPr>
          <w:rFonts w:hint="cs"/>
          <w:sz w:val="20"/>
          <w:szCs w:val="36"/>
          <w:rtl/>
          <w:lang w:eastAsia="en-US" w:bidi="ar-AE"/>
        </w:rPr>
        <w:t xml:space="preserve"> فإنّه يحرص على حسن انتقائها؛ دفعًا للإطالة، بحيث تكون من أبواب متعدّدة غالبًا</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47"/>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b/>
          <w:bCs/>
          <w:sz w:val="20"/>
          <w:szCs w:val="36"/>
          <w:rtl/>
          <w:lang w:eastAsia="en-US" w:bidi="ar-AE"/>
        </w:rPr>
      </w:pPr>
      <w:r w:rsidRPr="00EB5FFB">
        <w:rPr>
          <w:rFonts w:hint="cs"/>
          <w:b/>
          <w:bCs/>
          <w:sz w:val="20"/>
          <w:szCs w:val="36"/>
          <w:rtl/>
          <w:lang w:eastAsia="en-US" w:bidi="ar-AE"/>
        </w:rPr>
        <w:t>الـرابع</w:t>
      </w:r>
      <w:r w:rsidR="0048366D">
        <w:rPr>
          <w:rFonts w:hint="cs"/>
          <w:b/>
          <w:bCs/>
          <w:sz w:val="20"/>
          <w:szCs w:val="36"/>
          <w:rtl/>
          <w:lang w:eastAsia="en-US" w:bidi="ar-AE"/>
        </w:rPr>
        <w:t>:</w:t>
      </w:r>
      <w:r w:rsidRPr="00EB5FFB">
        <w:rPr>
          <w:rFonts w:hint="cs"/>
          <w:b/>
          <w:bCs/>
          <w:sz w:val="20"/>
          <w:szCs w:val="36"/>
          <w:rtl/>
          <w:lang w:eastAsia="en-US" w:bidi="ar-AE"/>
        </w:rPr>
        <w:t xml:space="preserve"> منهجه في ذكـر الخلاف في الفـروع ونحوها</w:t>
      </w:r>
      <w:r w:rsidR="0048366D">
        <w:rPr>
          <w:rFonts w:hint="cs"/>
          <w:b/>
          <w:b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من الأمور التي سبق ذكرها</w:t>
      </w:r>
      <w:r w:rsidR="0048366D">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أن من منهج المؤلف</w:t>
      </w:r>
      <w:r w:rsidR="0048366D">
        <w:rPr>
          <w:rFonts w:hint="cs"/>
          <w:sz w:val="20"/>
          <w:szCs w:val="36"/>
          <w:rtl/>
          <w:lang w:eastAsia="en-US" w:bidi="ar-AE"/>
        </w:rPr>
        <w:t>:</w:t>
      </w:r>
      <w:r w:rsidRPr="00EB5FFB">
        <w:rPr>
          <w:rFonts w:hint="cs"/>
          <w:sz w:val="20"/>
          <w:szCs w:val="36"/>
          <w:rtl/>
          <w:lang w:eastAsia="en-US" w:bidi="ar-AE"/>
        </w:rPr>
        <w:t xml:space="preserve"> تقرير القواعد التي تتمشى مع مذهب الحنفية</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48"/>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كما أن السّمة العامة لفروع الكتاب هي الإيجاز</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49"/>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وقد كان لهذين العاملين أثر في منهج المؤلف في ذكر الخلاف</w:t>
      </w:r>
      <w:r w:rsidR="0048366D">
        <w:rPr>
          <w:rFonts w:hint="cs"/>
          <w:sz w:val="20"/>
          <w:szCs w:val="36"/>
          <w:rtl/>
          <w:lang w:eastAsia="en-US" w:bidi="ar-AE"/>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bidi="ar-AE"/>
        </w:rPr>
        <w:t>1</w:t>
      </w:r>
      <w:r w:rsidRPr="00EB5FFB">
        <w:rPr>
          <w:rFonts w:hint="cs"/>
          <w:sz w:val="20"/>
          <w:szCs w:val="36"/>
          <w:rtl/>
          <w:lang w:eastAsia="en-US" w:bidi="ar-AE"/>
        </w:rPr>
        <w:t>- فتارة يكتفي بالقول الراجح عنده، ولا يذكر الخلاف مطلقًا -وهذا الأغلب- مع أن الخلاف قد يكون بين علماء الحنفية!</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50"/>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bidi="ar-AE"/>
        </w:rPr>
        <w:lastRenderedPageBreak/>
        <w:t>2</w:t>
      </w:r>
      <w:r w:rsidRPr="00EB5FFB">
        <w:rPr>
          <w:rFonts w:hint="cs"/>
          <w:sz w:val="20"/>
          <w:szCs w:val="36"/>
          <w:rtl/>
          <w:lang w:eastAsia="en-US" w:bidi="ar-AE"/>
        </w:rPr>
        <w:t>- وتارة يكون الخلاف قويًا بين أئمة الحنفية؛ كالإمام أبي حنيفة وصاحبيه، فيذكره باقتضاب</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51"/>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bidi="ar-AE"/>
        </w:rPr>
        <w:t>3</w:t>
      </w:r>
      <w:r w:rsidRPr="00EB5FFB">
        <w:rPr>
          <w:rFonts w:hint="cs"/>
          <w:sz w:val="20"/>
          <w:szCs w:val="36"/>
          <w:rtl/>
          <w:lang w:eastAsia="en-US" w:bidi="ar-AE"/>
        </w:rPr>
        <w:t>- وتارة يكون الخلاف قويًّا بين الحنفية والجمهور، فيشير إلى رأي الشافعية من بين الجمهور، وتندر إشارته إلى رأي غيرهم</w:t>
      </w:r>
      <w:r w:rsidR="0048366D">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فقد ذكر رأي الشافعية أربع عشرة مرة</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52"/>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ولم يذكر رأي المالكية إلا مرتين</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53"/>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 أما علماء الحنابلة فلم يذكر أحدًا منهم إلا الإمام أحمد، حيث ذكره مرّة واحدة، وفي معرض تخريج حديث نبوي فحسب</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54"/>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b/>
          <w:bCs/>
          <w:sz w:val="20"/>
          <w:szCs w:val="36"/>
          <w:rtl/>
          <w:lang w:val="en-GB" w:eastAsia="en-US" w:bidi="ar-AE"/>
        </w:rPr>
      </w:pPr>
      <w:r w:rsidRPr="00EB5FFB">
        <w:rPr>
          <w:rFonts w:hint="cs"/>
          <w:b/>
          <w:bCs/>
          <w:sz w:val="20"/>
          <w:szCs w:val="36"/>
          <w:rtl/>
          <w:lang w:val="en-GB" w:eastAsia="en-US" w:bidi="ar-AE"/>
        </w:rPr>
        <w:t>الخامس</w:t>
      </w:r>
      <w:r w:rsidR="0048366D">
        <w:rPr>
          <w:rFonts w:hint="cs"/>
          <w:b/>
          <w:bCs/>
          <w:sz w:val="20"/>
          <w:szCs w:val="36"/>
          <w:rtl/>
          <w:lang w:val="en-GB" w:eastAsia="en-US" w:bidi="ar-AE"/>
        </w:rPr>
        <w:t>:</w:t>
      </w:r>
      <w:r w:rsidRPr="00EB5FFB">
        <w:rPr>
          <w:rFonts w:hint="cs"/>
          <w:b/>
          <w:bCs/>
          <w:sz w:val="20"/>
          <w:szCs w:val="36"/>
          <w:rtl/>
          <w:lang w:val="en-GB" w:eastAsia="en-US" w:bidi="ar-AE"/>
        </w:rPr>
        <w:t xml:space="preserve"> منهجه في الاستدلال على القواعد والفـروع</w:t>
      </w:r>
      <w:r w:rsidR="0048366D">
        <w:rPr>
          <w:rFonts w:hint="cs"/>
          <w:b/>
          <w:bCs/>
          <w:sz w:val="20"/>
          <w:szCs w:val="36"/>
          <w:rtl/>
          <w:lang w:val="en-GB" w:eastAsia="en-US" w:bidi="ar-AE"/>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bidi="ar-AE"/>
        </w:rPr>
        <w:t>أ- منهجه في الاستدلال على القواعد</w:t>
      </w:r>
      <w:r w:rsidR="0048366D">
        <w:rPr>
          <w:rFonts w:hint="cs"/>
          <w:b/>
          <w:bCs/>
          <w:sz w:val="20"/>
          <w:szCs w:val="36"/>
          <w:rtl/>
          <w:lang w:eastAsia="en-US" w:bidi="ar-AE"/>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bidi="ar-AE"/>
        </w:rPr>
        <w:t>لقد أولى المؤلف أدّلة القواعد عناية كبيرة؛ لأنها تخدم غرضه من الكتاب، وهو إثبات حجية القواعد التي يذكرها.</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bidi="ar-AE"/>
        </w:rPr>
        <w:t>وحيث إن أكثر القواعد الفقهية مستقاة من الفروع الفقهية المتشابهة في أحكامها</w:t>
      </w:r>
      <w:r w:rsidR="0048366D">
        <w:rPr>
          <w:rFonts w:hint="cs"/>
          <w:sz w:val="20"/>
          <w:szCs w:val="36"/>
          <w:rtl/>
          <w:lang w:eastAsia="en-US" w:bidi="ar-AE"/>
        </w:rPr>
        <w:t>:</w:t>
      </w:r>
      <w:r w:rsidRPr="00EB5FFB">
        <w:rPr>
          <w:rFonts w:hint="cs"/>
          <w:sz w:val="20"/>
          <w:szCs w:val="36"/>
          <w:rtl/>
          <w:lang w:eastAsia="en-US" w:bidi="ar-AE"/>
        </w:rPr>
        <w:t xml:space="preserve"> فإنّه يصعب الاستدلال على كل قاعدة بدليل جزئي يخصّها؛ لهذا كان سبيله الرئيس إلى ذلك هو إثبات انطبـاق القـاعدة على جـميع فروعها، وبيان علة تخلف بعض الفروع عنها ظاهرًا.</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lastRenderedPageBreak/>
        <w:t>وهذا ما يمكن أن يدخل تحت الاستقراء الناقص؛ إذْ إنّ إثبات عدم وجود فروع فقهية مستثناة من القاعدة يأتي بعد استقراء ما يمكن انطباق القاعدة عليه من الفروع. (والاستقراء الناقص من طرق الاستدلال غير المباشر المعتدّ بها)</w:t>
      </w:r>
      <w:r w:rsidRPr="00EB5FFB">
        <w:rPr>
          <w:rFonts w:hint="cs"/>
          <w:sz w:val="20"/>
          <w:szCs w:val="36"/>
          <w:vertAlign w:val="superscript"/>
          <w:rtl/>
          <w:lang w:eastAsia="en-US" w:bidi="ar-AE"/>
        </w:rPr>
        <w:t>(</w:t>
      </w:r>
      <w:r w:rsidRPr="00EB5FFB">
        <w:rPr>
          <w:bCs/>
          <w:sz w:val="20"/>
          <w:szCs w:val="32"/>
          <w:vertAlign w:val="superscript"/>
          <w:lang w:eastAsia="en-US" w:bidi="ar-AE"/>
        </w:rPr>
        <w:footnoteReference w:id="155"/>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ويضاف إلى هذا المسلك مسلك آخر خصّ به بعض القواعد، وهو إثبات حجيتها أيضًا بأدلة جزئية تخصها</w:t>
      </w:r>
      <w:r w:rsidRPr="00EB5FFB">
        <w:rPr>
          <w:rFonts w:hint="cs"/>
          <w:sz w:val="20"/>
          <w:szCs w:val="36"/>
          <w:vertAlign w:val="superscript"/>
          <w:rtl/>
          <w:lang w:eastAsia="en-US" w:bidi="ar-AE"/>
        </w:rPr>
        <w:t>(</w:t>
      </w:r>
      <w:r w:rsidRPr="00EB5FFB">
        <w:rPr>
          <w:bCs/>
          <w:sz w:val="20"/>
          <w:szCs w:val="32"/>
          <w:vertAlign w:val="superscript"/>
          <w:rtl/>
          <w:lang w:eastAsia="en-US" w:bidi="ar-AE"/>
        </w:rPr>
        <w:footnoteReference w:id="156"/>
      </w:r>
      <w:r w:rsidRPr="00EB5FFB">
        <w:rPr>
          <w:rFonts w:hint="cs"/>
          <w:sz w:val="20"/>
          <w:szCs w:val="36"/>
          <w:vertAlign w:val="superscript"/>
          <w:rtl/>
          <w:lang w:eastAsia="en-US" w:bidi="ar-AE"/>
        </w:rPr>
        <w:t>)</w:t>
      </w:r>
      <w:r w:rsidRPr="00EB5FFB">
        <w:rPr>
          <w:rFonts w:hint="cs"/>
          <w:sz w:val="20"/>
          <w:szCs w:val="36"/>
          <w:rtl/>
          <w:lang w:eastAsia="en-US" w:bidi="ar-AE"/>
        </w:rPr>
        <w:t>.</w:t>
      </w:r>
    </w:p>
    <w:p w:rsidR="00EB5FFB" w:rsidRPr="00EB5FFB" w:rsidRDefault="00EB5FFB" w:rsidP="009A68A5">
      <w:pPr>
        <w:widowControl/>
        <w:ind w:firstLine="567"/>
        <w:jc w:val="both"/>
        <w:rPr>
          <w:b/>
          <w:bCs/>
          <w:sz w:val="20"/>
          <w:szCs w:val="36"/>
          <w:rtl/>
          <w:lang w:eastAsia="en-US" w:bidi="ar-AE"/>
        </w:rPr>
      </w:pPr>
      <w:r w:rsidRPr="00EB5FFB">
        <w:rPr>
          <w:rFonts w:hint="cs"/>
          <w:b/>
          <w:bCs/>
          <w:sz w:val="20"/>
          <w:szCs w:val="36"/>
          <w:rtl/>
          <w:lang w:eastAsia="en-US" w:bidi="ar-AE"/>
        </w:rPr>
        <w:t>ب- منهجه في الاستدلال على الفروع</w:t>
      </w:r>
      <w:r w:rsidR="0048366D">
        <w:rPr>
          <w:rFonts w:hint="cs"/>
          <w:b/>
          <w:bCs/>
          <w:sz w:val="20"/>
          <w:szCs w:val="36"/>
          <w:rtl/>
          <w:lang w:eastAsia="en-US" w:bidi="ar-AE"/>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eastAsia="en-US" w:bidi="ar-AE"/>
        </w:rPr>
        <w:t>لم يكن المؤلف يُعنى ببيان الأدلة التفصيلية للفروع الفقهية؛ لأن هذا من اختصاص كتب الفقه، وإنما كان سبيله الرئيس إلى ذلك هو الاستدلال عليها بالقواعد الفقهية؛ لهذا غالبًا ما يربط بين القاعدة والفرع الأول بما يدلّ على أن القاعدة تعليل للفرع، كأنْ يقول عقب القاعدة وقبل الفرع الأول</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لهذا</w:t>
      </w:r>
      <w:r w:rsidRPr="00EB5FFB">
        <w:rPr>
          <w:rFonts w:hint="eastAsia"/>
          <w:sz w:val="20"/>
          <w:szCs w:val="36"/>
          <w:rtl/>
          <w:lang w:val="en-GB" w:eastAsia="en-US"/>
        </w:rPr>
        <w:t>»</w:t>
      </w:r>
      <w:r w:rsidRPr="00EB5FFB">
        <w:rPr>
          <w:rFonts w:hint="cs"/>
          <w:sz w:val="20"/>
          <w:szCs w:val="36"/>
          <w:rtl/>
          <w:lang w:val="en-GB" w:eastAsia="en-US"/>
        </w:rPr>
        <w:t xml:space="preserve"> أو: </w:t>
      </w:r>
      <w:r w:rsidRPr="00EB5FFB">
        <w:rPr>
          <w:rFonts w:hint="eastAsia"/>
          <w:sz w:val="20"/>
          <w:szCs w:val="36"/>
          <w:rtl/>
          <w:lang w:val="en-GB" w:eastAsia="en-US"/>
        </w:rPr>
        <w:t>«</w:t>
      </w:r>
      <w:r w:rsidRPr="00EB5FFB">
        <w:rPr>
          <w:rFonts w:hint="cs"/>
          <w:sz w:val="20"/>
          <w:szCs w:val="36"/>
          <w:rtl/>
          <w:lang w:val="en-GB" w:eastAsia="en-US"/>
        </w:rPr>
        <w:t>ولذا</w:t>
      </w:r>
      <w:r w:rsidRPr="00EB5FFB">
        <w:rPr>
          <w:rFonts w:hint="eastAsia"/>
          <w:sz w:val="20"/>
          <w:szCs w:val="36"/>
          <w:rtl/>
          <w:lang w:val="en-GB" w:eastAsia="en-US"/>
        </w:rPr>
        <w:t>»</w:t>
      </w:r>
      <w:r w:rsidRPr="00EB5FFB">
        <w:rPr>
          <w:rFonts w:hint="cs"/>
          <w:sz w:val="20"/>
          <w:szCs w:val="36"/>
          <w:rtl/>
          <w:lang w:val="en-GB" w:eastAsia="en-US"/>
        </w:rPr>
        <w:t xml:space="preserve"> أو (الفاء السببية) أو نحو ذلك، ثم يعطف على الفرع الأول بقيّة الفروع.</w:t>
      </w:r>
    </w:p>
    <w:p w:rsidR="00EB5FFB" w:rsidRPr="00EB5FFB" w:rsidRDefault="00EB5FFB" w:rsidP="009A68A5">
      <w:pPr>
        <w:widowControl/>
        <w:ind w:firstLine="567"/>
        <w:jc w:val="both"/>
        <w:rPr>
          <w:spacing w:val="-6"/>
          <w:sz w:val="36"/>
          <w:szCs w:val="36"/>
          <w:rtl/>
          <w:lang w:val="en-GB" w:eastAsia="en-US"/>
        </w:rPr>
      </w:pPr>
      <w:r w:rsidRPr="00EB5FFB">
        <w:rPr>
          <w:rFonts w:hint="cs"/>
          <w:spacing w:val="-6"/>
          <w:sz w:val="36"/>
          <w:szCs w:val="36"/>
          <w:rtl/>
          <w:lang w:val="en-GB" w:eastAsia="en-US"/>
        </w:rPr>
        <w:t>وهذا لا يمنع تخصيص بعض الفروع بأدلة جزئية تخصّها لسبب ما، كأن يكون في الفرع خلاف، ويحتاج إلى أن يعضد الاستدلال بالقاعدة عليه بدليل آخر يقوّيه، ونحو ذلك</w:t>
      </w:r>
      <w:r w:rsidRPr="00EB5FFB">
        <w:rPr>
          <w:rFonts w:hint="cs"/>
          <w:spacing w:val="-6"/>
          <w:sz w:val="36"/>
          <w:szCs w:val="36"/>
          <w:vertAlign w:val="superscript"/>
          <w:rtl/>
          <w:lang w:val="en-GB" w:eastAsia="en-US"/>
        </w:rPr>
        <w:t>(</w:t>
      </w:r>
      <w:r w:rsidRPr="00EB5FFB">
        <w:rPr>
          <w:bCs/>
          <w:spacing w:val="-6"/>
          <w:sz w:val="36"/>
          <w:szCs w:val="32"/>
          <w:vertAlign w:val="superscript"/>
          <w:rtl/>
          <w:lang w:val="en-GB" w:eastAsia="en-US"/>
        </w:rPr>
        <w:footnoteReference w:id="157"/>
      </w:r>
      <w:r w:rsidRPr="00EB5FFB">
        <w:rPr>
          <w:rFonts w:hint="cs"/>
          <w:spacing w:val="-6"/>
          <w:sz w:val="36"/>
          <w:szCs w:val="36"/>
          <w:vertAlign w:val="superscript"/>
          <w:rtl/>
          <w:lang w:val="en-GB" w:eastAsia="en-US"/>
        </w:rPr>
        <w:t>)</w:t>
      </w:r>
      <w:r w:rsidRPr="00EB5FFB">
        <w:rPr>
          <w:rFonts w:hint="cs"/>
          <w:spacing w:val="-6"/>
          <w:sz w:val="36"/>
          <w:szCs w:val="36"/>
          <w:rtl/>
          <w:lang w:val="en-GB" w:eastAsia="en-US"/>
        </w:rPr>
        <w:t>.</w:t>
      </w:r>
    </w:p>
    <w:p w:rsidR="00EB5FFB" w:rsidRPr="00EB5FFB" w:rsidRDefault="00EB5FFB" w:rsidP="009A68A5">
      <w:pPr>
        <w:widowControl/>
        <w:ind w:firstLine="567"/>
        <w:jc w:val="both"/>
        <w:rPr>
          <w:b/>
          <w:bCs/>
          <w:sz w:val="20"/>
          <w:szCs w:val="36"/>
          <w:rtl/>
          <w:lang w:eastAsia="en-US" w:bidi="ar-AE"/>
        </w:rPr>
      </w:pPr>
      <w:r w:rsidRPr="00EB5FFB">
        <w:rPr>
          <w:rFonts w:hint="cs"/>
          <w:b/>
          <w:bCs/>
          <w:sz w:val="20"/>
          <w:szCs w:val="36"/>
          <w:rtl/>
          <w:lang w:eastAsia="en-US" w:bidi="ar-AE"/>
        </w:rPr>
        <w:t>جـ- منهجه في عرض الأدلة</w:t>
      </w:r>
      <w:r w:rsidR="0048366D">
        <w:rPr>
          <w:rFonts w:hint="cs"/>
          <w:b/>
          <w:bCs/>
          <w:sz w:val="20"/>
          <w:szCs w:val="36"/>
          <w:rtl/>
          <w:lang w:eastAsia="en-US" w:bidi="ar-AE"/>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eastAsia="en-US" w:bidi="ar-AE"/>
        </w:rPr>
        <w:t>1</w:t>
      </w:r>
      <w:r w:rsidRPr="00EB5FFB">
        <w:rPr>
          <w:rFonts w:hint="cs"/>
          <w:sz w:val="20"/>
          <w:szCs w:val="36"/>
          <w:rtl/>
          <w:lang w:eastAsia="en-US" w:bidi="ar-AE"/>
        </w:rPr>
        <w:t>- إذا كان الدليل من القرآن الكريم فإنه كثيرًا ما يقتصر على محلّ الشاهد من الآية، وقد لا يذكر إلا كلمة أو ثلاث كلمات، وربما يذكر طرفًا من الآية، ثم يقول عقبها</w:t>
      </w:r>
      <w:r w:rsidR="0048366D">
        <w:rPr>
          <w:rFonts w:hint="cs"/>
          <w:sz w:val="20"/>
          <w:szCs w:val="36"/>
          <w:rtl/>
          <w:lang w:eastAsia="en-US" w:bidi="ar-AE"/>
        </w:rPr>
        <w:t>:</w:t>
      </w:r>
      <w:r w:rsidRPr="00EB5FFB">
        <w:rPr>
          <w:rFonts w:hint="cs"/>
          <w:sz w:val="20"/>
          <w:szCs w:val="36"/>
          <w:rtl/>
          <w:lang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الآية</w:t>
      </w:r>
      <w:r w:rsidRPr="00EB5FFB">
        <w:rPr>
          <w:rFonts w:hint="eastAsia"/>
          <w:sz w:val="20"/>
          <w:szCs w:val="36"/>
          <w:rtl/>
          <w:lang w:val="en-GB" w:eastAsia="en-US"/>
        </w:rPr>
        <w:t>»</w:t>
      </w:r>
      <w:r w:rsidRPr="00EB5FFB">
        <w:rPr>
          <w:rFonts w:hint="cs"/>
          <w:sz w:val="20"/>
          <w:szCs w:val="36"/>
          <w:rtl/>
          <w:lang w:val="en-GB" w:eastAsia="en-US"/>
        </w:rPr>
        <w:t>. (أي</w:t>
      </w:r>
      <w:r w:rsidR="0048366D">
        <w:rPr>
          <w:rFonts w:hint="cs"/>
          <w:sz w:val="20"/>
          <w:szCs w:val="36"/>
          <w:rtl/>
          <w:lang w:val="en-GB" w:eastAsia="en-US"/>
        </w:rPr>
        <w:t>:</w:t>
      </w:r>
      <w:r w:rsidRPr="00EB5FFB">
        <w:rPr>
          <w:rFonts w:hint="cs"/>
          <w:sz w:val="20"/>
          <w:szCs w:val="36"/>
          <w:rtl/>
          <w:lang w:val="en-GB" w:eastAsia="en-US"/>
        </w:rPr>
        <w:t xml:space="preserve"> إلى نهاية الآية).</w:t>
      </w:r>
    </w:p>
    <w:p w:rsidR="00EB5FFB" w:rsidRPr="00EB5FFB" w:rsidRDefault="00EB5FFB" w:rsidP="009A68A5">
      <w:pPr>
        <w:widowControl/>
        <w:ind w:firstLine="567"/>
        <w:jc w:val="both"/>
        <w:rPr>
          <w:sz w:val="20"/>
          <w:szCs w:val="36"/>
          <w:rtl/>
          <w:lang w:eastAsia="en-US" w:bidi="ar-AE"/>
        </w:rPr>
      </w:pPr>
      <w:r w:rsidRPr="00EB5FFB">
        <w:rPr>
          <w:rFonts w:hint="cs"/>
          <w:sz w:val="20"/>
          <w:szCs w:val="36"/>
          <w:rtl/>
          <w:lang w:eastAsia="en-US" w:bidi="ar-AE"/>
        </w:rPr>
        <w:t>وإذا ذكر الآية فإنه لا يقرنها بوجه الاستشهاد منها؛ وقد يكون ذلك طلبًا للاختصار، وتوسيعًا لأفق القارئ، بالتأمل في الدليل، واستنتاج وجه الدلالة منه.</w:t>
      </w:r>
    </w:p>
    <w:p w:rsidR="00EB5FFB" w:rsidRPr="00EB5FFB" w:rsidRDefault="00EB5FFB" w:rsidP="009A68A5">
      <w:pPr>
        <w:widowControl/>
        <w:ind w:firstLine="567"/>
        <w:jc w:val="both"/>
        <w:rPr>
          <w:spacing w:val="-6"/>
          <w:sz w:val="20"/>
          <w:szCs w:val="36"/>
          <w:rtl/>
          <w:lang w:eastAsia="en-US" w:bidi="ar-AE"/>
        </w:rPr>
      </w:pPr>
      <w:r w:rsidRPr="00EB5FFB">
        <w:rPr>
          <w:rFonts w:hint="cs"/>
          <w:spacing w:val="-6"/>
          <w:sz w:val="20"/>
          <w:szCs w:val="36"/>
          <w:rtl/>
          <w:lang w:eastAsia="en-US" w:bidi="ar-AE"/>
        </w:rPr>
        <w:lastRenderedPageBreak/>
        <w:t>كما أنه لا يعزو الآية إلى السّورة التي وردت فيها، ولا يذكر رقم الآية من باب أولى.</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eastAsia="en-US" w:bidi="ar-AE"/>
        </w:rPr>
        <w:t xml:space="preserve">وعدد الآيات التي ذكرها إحدى وعشـرون آية أو جزءًا من آية، وأطولها هي قوله تعالى: </w:t>
      </w:r>
      <w:r w:rsidRPr="00EB5FFB">
        <w:rPr>
          <w:color w:val="000000"/>
          <w:sz w:val="28"/>
          <w:szCs w:val="28"/>
          <w:lang w:val="en-GB" w:eastAsia="en-US"/>
        </w:rPr>
        <w:sym w:font="HQPB2" w:char="F060"/>
      </w:r>
      <w:r w:rsidRPr="00EB5FFB">
        <w:rPr>
          <w:color w:val="000000"/>
          <w:sz w:val="28"/>
          <w:szCs w:val="28"/>
          <w:lang w:val="en-GB" w:eastAsia="en-US"/>
        </w:rPr>
        <w:sym w:font="HQPB5" w:char="F074"/>
      </w:r>
      <w:r w:rsidRPr="00EB5FFB">
        <w:rPr>
          <w:color w:val="000000"/>
          <w:sz w:val="28"/>
          <w:szCs w:val="28"/>
          <w:lang w:val="en-GB" w:eastAsia="en-US"/>
        </w:rPr>
        <w:sym w:font="HQPB2" w:char="F042"/>
      </w:r>
      <w:r w:rsidRPr="00EB5FFB">
        <w:rPr>
          <w:color w:val="000000"/>
          <w:sz w:val="28"/>
          <w:szCs w:val="28"/>
          <w:lang w:val="en-GB" w:eastAsia="en-US"/>
        </w:rPr>
        <w:sym w:font="HQPB5" w:char="F075"/>
      </w:r>
      <w:r w:rsidRPr="00EB5FFB">
        <w:rPr>
          <w:color w:val="000000"/>
          <w:sz w:val="28"/>
          <w:szCs w:val="28"/>
          <w:lang w:val="en-GB" w:eastAsia="en-US"/>
        </w:rPr>
        <w:sym w:font="HQPB2" w:char="F072"/>
      </w:r>
      <w:r w:rsidRPr="00EB5FFB">
        <w:rPr>
          <w:color w:val="000000"/>
          <w:sz w:val="28"/>
          <w:szCs w:val="28"/>
          <w:lang w:val="en-GB" w:eastAsia="en-US"/>
        </w:rPr>
        <w:sym w:font="HQPB2" w:char="F0E2"/>
      </w:r>
      <w:r w:rsidRPr="00EB5FFB">
        <w:rPr>
          <w:color w:val="000000"/>
          <w:sz w:val="28"/>
          <w:szCs w:val="28"/>
          <w:rtl/>
          <w:lang w:val="en-GB" w:eastAsia="en-US"/>
        </w:rPr>
        <w:t xml:space="preserve"> </w:t>
      </w:r>
      <w:r w:rsidRPr="00EB5FFB">
        <w:rPr>
          <w:color w:val="000000"/>
          <w:sz w:val="28"/>
          <w:szCs w:val="28"/>
          <w:lang w:val="en-GB" w:eastAsia="en-US"/>
        </w:rPr>
        <w:sym w:font="HQPB5" w:char="F074"/>
      </w:r>
      <w:r w:rsidRPr="00EB5FFB">
        <w:rPr>
          <w:color w:val="000000"/>
          <w:sz w:val="28"/>
          <w:szCs w:val="28"/>
          <w:lang w:val="en-GB" w:eastAsia="en-US"/>
        </w:rPr>
        <w:sym w:font="HQPB2" w:char="F062"/>
      </w:r>
      <w:r w:rsidRPr="00EB5FFB">
        <w:rPr>
          <w:color w:val="000000"/>
          <w:sz w:val="28"/>
          <w:szCs w:val="28"/>
          <w:lang w:val="en-GB" w:eastAsia="en-US"/>
        </w:rPr>
        <w:sym w:font="HQPB1" w:char="F025"/>
      </w:r>
      <w:r w:rsidRPr="00EB5FFB">
        <w:rPr>
          <w:color w:val="000000"/>
          <w:sz w:val="28"/>
          <w:szCs w:val="28"/>
          <w:lang w:val="en-GB" w:eastAsia="en-US"/>
        </w:rPr>
        <w:sym w:font="HQPB5" w:char="F078"/>
      </w:r>
      <w:r w:rsidRPr="00EB5FFB">
        <w:rPr>
          <w:color w:val="000000"/>
          <w:sz w:val="28"/>
          <w:szCs w:val="28"/>
          <w:lang w:val="en-GB" w:eastAsia="en-US"/>
        </w:rPr>
        <w:sym w:font="HQPB2" w:char="F02E"/>
      </w:r>
      <w:r w:rsidRPr="00EB5FFB">
        <w:rPr>
          <w:color w:val="000000"/>
          <w:sz w:val="28"/>
          <w:szCs w:val="28"/>
          <w:rtl/>
          <w:lang w:val="en-GB" w:eastAsia="en-US"/>
        </w:rPr>
        <w:t xml:space="preserve"> </w:t>
      </w:r>
      <w:r w:rsidRPr="00EB5FFB">
        <w:rPr>
          <w:color w:val="000000"/>
          <w:sz w:val="28"/>
          <w:szCs w:val="28"/>
          <w:lang w:val="en-GB" w:eastAsia="en-US"/>
        </w:rPr>
        <w:sym w:font="HQPB1" w:char="F024"/>
      </w:r>
      <w:r w:rsidRPr="00EB5FFB">
        <w:rPr>
          <w:color w:val="000000"/>
          <w:sz w:val="28"/>
          <w:szCs w:val="28"/>
          <w:lang w:val="en-GB" w:eastAsia="en-US"/>
        </w:rPr>
        <w:sym w:font="HQPB4" w:char="F07C"/>
      </w:r>
      <w:r w:rsidRPr="00EB5FFB">
        <w:rPr>
          <w:color w:val="000000"/>
          <w:sz w:val="28"/>
          <w:szCs w:val="28"/>
          <w:lang w:val="en-GB" w:eastAsia="en-US"/>
        </w:rPr>
        <w:sym w:font="HQPB2" w:char="F08B"/>
      </w:r>
      <w:r w:rsidRPr="00EB5FFB">
        <w:rPr>
          <w:color w:val="000000"/>
          <w:sz w:val="28"/>
          <w:szCs w:val="28"/>
          <w:lang w:val="en-GB" w:eastAsia="en-US"/>
        </w:rPr>
        <w:sym w:font="HQPB4" w:char="F0CF"/>
      </w:r>
      <w:r w:rsidRPr="00EB5FFB">
        <w:rPr>
          <w:color w:val="000000"/>
          <w:sz w:val="28"/>
          <w:szCs w:val="28"/>
          <w:lang w:val="en-GB" w:eastAsia="en-US"/>
        </w:rPr>
        <w:sym w:font="HQPB2" w:char="F059"/>
      </w:r>
      <w:r w:rsidRPr="00EB5FFB">
        <w:rPr>
          <w:color w:val="000000"/>
          <w:sz w:val="28"/>
          <w:szCs w:val="28"/>
          <w:lang w:val="en-GB" w:eastAsia="en-US"/>
        </w:rPr>
        <w:sym w:font="HQPB5" w:char="F078"/>
      </w:r>
      <w:r w:rsidRPr="00EB5FFB">
        <w:rPr>
          <w:color w:val="000000"/>
          <w:sz w:val="28"/>
          <w:szCs w:val="28"/>
          <w:lang w:val="en-GB" w:eastAsia="en-US"/>
        </w:rPr>
        <w:sym w:font="HQPB1" w:char="F0EE"/>
      </w:r>
      <w:r w:rsidRPr="00EB5FFB">
        <w:rPr>
          <w:color w:val="000000"/>
          <w:sz w:val="28"/>
          <w:szCs w:val="28"/>
          <w:rtl/>
          <w:lang w:val="en-GB" w:eastAsia="en-US"/>
        </w:rPr>
        <w:t xml:space="preserve"> </w:t>
      </w:r>
      <w:r w:rsidRPr="00EB5FFB">
        <w:rPr>
          <w:color w:val="000000"/>
          <w:sz w:val="28"/>
          <w:szCs w:val="28"/>
          <w:lang w:val="en-GB" w:eastAsia="en-US"/>
        </w:rPr>
        <w:sym w:font="HQPB4" w:char="F0F4"/>
      </w:r>
      <w:r w:rsidRPr="00EB5FFB">
        <w:rPr>
          <w:color w:val="000000"/>
          <w:sz w:val="28"/>
          <w:szCs w:val="28"/>
          <w:lang w:val="en-GB" w:eastAsia="en-US"/>
        </w:rPr>
        <w:sym w:font="HQPB2" w:char="F023"/>
      </w:r>
      <w:r w:rsidRPr="00EB5FFB">
        <w:rPr>
          <w:color w:val="000000"/>
          <w:sz w:val="28"/>
          <w:szCs w:val="28"/>
          <w:lang w:val="en-GB" w:eastAsia="en-US"/>
        </w:rPr>
        <w:sym w:font="HQPB4" w:char="F0CF"/>
      </w:r>
      <w:r w:rsidRPr="00EB5FFB">
        <w:rPr>
          <w:color w:val="000000"/>
          <w:sz w:val="28"/>
          <w:szCs w:val="28"/>
          <w:lang w:val="en-GB" w:eastAsia="en-US"/>
        </w:rPr>
        <w:sym w:font="HQPB1" w:char="F0FF"/>
      </w:r>
      <w:r w:rsidRPr="00EB5FFB">
        <w:rPr>
          <w:color w:val="000000"/>
          <w:sz w:val="28"/>
          <w:szCs w:val="28"/>
          <w:lang w:val="en-GB" w:eastAsia="en-US"/>
        </w:rPr>
        <w:sym w:font="HQPB4" w:char="F0F7"/>
      </w:r>
      <w:r w:rsidRPr="00EB5FFB">
        <w:rPr>
          <w:color w:val="000000"/>
          <w:sz w:val="28"/>
          <w:szCs w:val="28"/>
          <w:lang w:val="en-GB" w:eastAsia="en-US"/>
        </w:rPr>
        <w:sym w:font="HQPB1" w:char="F0E8"/>
      </w:r>
      <w:r w:rsidRPr="00EB5FFB">
        <w:rPr>
          <w:color w:val="000000"/>
          <w:sz w:val="28"/>
          <w:szCs w:val="28"/>
          <w:lang w:val="en-GB" w:eastAsia="en-US"/>
        </w:rPr>
        <w:sym w:font="HQPB5" w:char="F074"/>
      </w:r>
      <w:r w:rsidRPr="00EB5FFB">
        <w:rPr>
          <w:color w:val="000000"/>
          <w:sz w:val="28"/>
          <w:szCs w:val="28"/>
          <w:lang w:val="en-GB" w:eastAsia="en-US"/>
        </w:rPr>
        <w:sym w:font="HQPB1" w:char="F047"/>
      </w:r>
      <w:r w:rsidRPr="00EB5FFB">
        <w:rPr>
          <w:color w:val="000000"/>
          <w:sz w:val="28"/>
          <w:szCs w:val="28"/>
          <w:lang w:val="en-GB" w:eastAsia="en-US"/>
        </w:rPr>
        <w:sym w:font="HQPB4" w:char="F0F3"/>
      </w:r>
      <w:r w:rsidRPr="00EB5FFB">
        <w:rPr>
          <w:color w:val="000000"/>
          <w:sz w:val="28"/>
          <w:szCs w:val="28"/>
          <w:lang w:val="en-GB" w:eastAsia="en-US"/>
        </w:rPr>
        <w:sym w:font="HQPB1" w:char="F0A1"/>
      </w:r>
      <w:r w:rsidRPr="00EB5FFB">
        <w:rPr>
          <w:color w:val="000000"/>
          <w:sz w:val="28"/>
          <w:szCs w:val="28"/>
          <w:lang w:val="en-GB" w:eastAsia="en-US"/>
        </w:rPr>
        <w:sym w:font="HQPB5" w:char="F075"/>
      </w:r>
      <w:r w:rsidRPr="00EB5FFB">
        <w:rPr>
          <w:color w:val="000000"/>
          <w:sz w:val="28"/>
          <w:szCs w:val="28"/>
          <w:lang w:val="en-GB" w:eastAsia="en-US"/>
        </w:rPr>
        <w:sym w:font="HQPB2" w:char="F08A"/>
      </w:r>
      <w:r w:rsidRPr="00EB5FFB">
        <w:rPr>
          <w:color w:val="000000"/>
          <w:sz w:val="28"/>
          <w:szCs w:val="28"/>
          <w:lang w:val="en-GB" w:eastAsia="en-US"/>
        </w:rPr>
        <w:sym w:font="HQPB4" w:char="F0F9"/>
      </w:r>
      <w:r w:rsidRPr="00EB5FFB">
        <w:rPr>
          <w:color w:val="000000"/>
          <w:sz w:val="28"/>
          <w:szCs w:val="28"/>
          <w:lang w:val="en-GB" w:eastAsia="en-US"/>
        </w:rPr>
        <w:sym w:font="HQPB2" w:char="F03D"/>
      </w:r>
      <w:r w:rsidRPr="00EB5FFB">
        <w:rPr>
          <w:color w:val="000000"/>
          <w:sz w:val="28"/>
          <w:szCs w:val="28"/>
          <w:lang w:val="en-GB" w:eastAsia="en-US"/>
        </w:rPr>
        <w:sym w:font="HQPB5" w:char="F073"/>
      </w:r>
      <w:r w:rsidRPr="00EB5FFB">
        <w:rPr>
          <w:color w:val="000000"/>
          <w:sz w:val="28"/>
          <w:szCs w:val="28"/>
          <w:lang w:val="en-GB" w:eastAsia="en-US"/>
        </w:rPr>
        <w:sym w:font="HQPB1" w:char="F0F9"/>
      </w:r>
      <w:r w:rsidRPr="00EB5FFB">
        <w:rPr>
          <w:color w:val="000000"/>
          <w:sz w:val="28"/>
          <w:szCs w:val="28"/>
          <w:rtl/>
          <w:lang w:val="en-GB" w:eastAsia="en-US"/>
        </w:rPr>
        <w:t xml:space="preserve"> </w:t>
      </w:r>
      <w:r w:rsidRPr="00EB5FFB">
        <w:rPr>
          <w:color w:val="000000"/>
          <w:sz w:val="28"/>
          <w:szCs w:val="28"/>
          <w:lang w:val="en-GB" w:eastAsia="en-US"/>
        </w:rPr>
        <w:sym w:font="HQPB4" w:char="F028"/>
      </w:r>
      <w:r w:rsidRPr="00EB5FFB">
        <w:rPr>
          <w:color w:val="000000"/>
          <w:sz w:val="28"/>
          <w:szCs w:val="28"/>
          <w:rtl/>
          <w:lang w:val="en-GB" w:eastAsia="en-US"/>
        </w:rPr>
        <w:t xml:space="preserve"> </w:t>
      </w:r>
      <w:r w:rsidRPr="00EB5FFB">
        <w:rPr>
          <w:color w:val="000000"/>
          <w:sz w:val="28"/>
          <w:szCs w:val="28"/>
          <w:lang w:val="en-GB" w:eastAsia="en-US"/>
        </w:rPr>
        <w:sym w:font="HQPB2" w:char="F060"/>
      </w:r>
      <w:r w:rsidRPr="00EB5FFB">
        <w:rPr>
          <w:color w:val="000000"/>
          <w:sz w:val="28"/>
          <w:szCs w:val="28"/>
          <w:lang w:val="en-GB" w:eastAsia="en-US"/>
        </w:rPr>
        <w:sym w:font="HQPB5" w:char="F074"/>
      </w:r>
      <w:r w:rsidRPr="00EB5FFB">
        <w:rPr>
          <w:color w:val="000000"/>
          <w:sz w:val="28"/>
          <w:szCs w:val="28"/>
          <w:lang w:val="en-GB" w:eastAsia="en-US"/>
        </w:rPr>
        <w:sym w:font="HQPB2" w:char="F042"/>
      </w:r>
      <w:r w:rsidRPr="00EB5FFB">
        <w:rPr>
          <w:color w:val="000000"/>
          <w:sz w:val="28"/>
          <w:szCs w:val="28"/>
          <w:lang w:val="en-GB" w:eastAsia="en-US"/>
        </w:rPr>
        <w:sym w:font="HQPB5" w:char="F075"/>
      </w:r>
      <w:r w:rsidRPr="00EB5FFB">
        <w:rPr>
          <w:color w:val="000000"/>
          <w:sz w:val="28"/>
          <w:szCs w:val="28"/>
          <w:lang w:val="en-GB" w:eastAsia="en-US"/>
        </w:rPr>
        <w:sym w:font="HQPB2" w:char="F072"/>
      </w:r>
      <w:r w:rsidRPr="00EB5FFB">
        <w:rPr>
          <w:color w:val="000000"/>
          <w:sz w:val="28"/>
          <w:szCs w:val="28"/>
          <w:rtl/>
          <w:lang w:val="en-GB" w:eastAsia="en-US"/>
        </w:rPr>
        <w:t xml:space="preserve"> </w:t>
      </w:r>
      <w:r w:rsidRPr="00EB5FFB">
        <w:rPr>
          <w:color w:val="000000"/>
          <w:sz w:val="28"/>
          <w:szCs w:val="28"/>
          <w:lang w:val="en-GB" w:eastAsia="en-US"/>
        </w:rPr>
        <w:sym w:font="HQPB5" w:char="F074"/>
      </w:r>
      <w:r w:rsidRPr="00EB5FFB">
        <w:rPr>
          <w:color w:val="000000"/>
          <w:sz w:val="28"/>
          <w:szCs w:val="28"/>
          <w:lang w:val="en-GB" w:eastAsia="en-US"/>
        </w:rPr>
        <w:sym w:font="HQPB2" w:char="F062"/>
      </w:r>
      <w:r w:rsidRPr="00EB5FFB">
        <w:rPr>
          <w:color w:val="000000"/>
          <w:sz w:val="28"/>
          <w:szCs w:val="28"/>
          <w:lang w:val="en-GB" w:eastAsia="en-US"/>
        </w:rPr>
        <w:sym w:font="HQPB1" w:char="F025"/>
      </w:r>
      <w:r w:rsidRPr="00EB5FFB">
        <w:rPr>
          <w:color w:val="000000"/>
          <w:sz w:val="28"/>
          <w:szCs w:val="28"/>
          <w:lang w:val="en-GB" w:eastAsia="en-US"/>
        </w:rPr>
        <w:sym w:font="HQPB5" w:char="F078"/>
      </w:r>
      <w:r w:rsidRPr="00EB5FFB">
        <w:rPr>
          <w:color w:val="000000"/>
          <w:sz w:val="28"/>
          <w:szCs w:val="28"/>
          <w:lang w:val="en-GB" w:eastAsia="en-US"/>
        </w:rPr>
        <w:sym w:font="HQPB2" w:char="F02E"/>
      </w:r>
      <w:r w:rsidRPr="00EB5FFB">
        <w:rPr>
          <w:color w:val="000000"/>
          <w:sz w:val="28"/>
          <w:szCs w:val="28"/>
          <w:rtl/>
          <w:lang w:val="en-GB" w:eastAsia="en-US"/>
        </w:rPr>
        <w:t xml:space="preserve"> </w:t>
      </w:r>
      <w:r w:rsidRPr="00EB5FFB">
        <w:rPr>
          <w:color w:val="000000"/>
          <w:sz w:val="28"/>
          <w:szCs w:val="28"/>
          <w:lang w:val="en-GB" w:eastAsia="en-US"/>
        </w:rPr>
        <w:sym w:font="HQPB1" w:char="F023"/>
      </w:r>
      <w:r w:rsidRPr="00EB5FFB">
        <w:rPr>
          <w:color w:val="000000"/>
          <w:sz w:val="28"/>
          <w:szCs w:val="28"/>
          <w:lang w:val="en-GB" w:eastAsia="en-US"/>
        </w:rPr>
        <w:sym w:font="HQPB4" w:char="F05A"/>
      </w:r>
      <w:r w:rsidRPr="00EB5FFB">
        <w:rPr>
          <w:color w:val="000000"/>
          <w:sz w:val="28"/>
          <w:szCs w:val="28"/>
          <w:lang w:val="en-GB" w:eastAsia="en-US"/>
        </w:rPr>
        <w:sym w:font="HQPB1" w:char="F08E"/>
      </w:r>
      <w:r w:rsidRPr="00EB5FFB">
        <w:rPr>
          <w:color w:val="000000"/>
          <w:sz w:val="28"/>
          <w:szCs w:val="28"/>
          <w:lang w:val="en-GB" w:eastAsia="en-US"/>
        </w:rPr>
        <w:sym w:font="HQPB2" w:char="F08D"/>
      </w:r>
      <w:r w:rsidRPr="00EB5FFB">
        <w:rPr>
          <w:color w:val="000000"/>
          <w:sz w:val="28"/>
          <w:szCs w:val="28"/>
          <w:lang w:val="en-GB" w:eastAsia="en-US"/>
        </w:rPr>
        <w:sym w:font="HQPB4" w:char="F0C9"/>
      </w:r>
      <w:r w:rsidRPr="00EB5FFB">
        <w:rPr>
          <w:color w:val="000000"/>
          <w:sz w:val="28"/>
          <w:szCs w:val="28"/>
          <w:lang w:val="en-GB" w:eastAsia="en-US"/>
        </w:rPr>
        <w:sym w:font="HQPB2" w:char="F029"/>
      </w:r>
      <w:r w:rsidRPr="00EB5FFB">
        <w:rPr>
          <w:color w:val="000000"/>
          <w:sz w:val="28"/>
          <w:szCs w:val="28"/>
          <w:lang w:val="en-GB" w:eastAsia="en-US"/>
        </w:rPr>
        <w:sym w:font="HQPB5" w:char="F073"/>
      </w:r>
      <w:r w:rsidRPr="00EB5FFB">
        <w:rPr>
          <w:color w:val="000000"/>
          <w:sz w:val="28"/>
          <w:szCs w:val="28"/>
          <w:lang w:val="en-GB" w:eastAsia="en-US"/>
        </w:rPr>
        <w:sym w:font="HQPB1" w:char="F0F9"/>
      </w:r>
      <w:r w:rsidRPr="00EB5FFB">
        <w:rPr>
          <w:color w:val="000000"/>
          <w:sz w:val="28"/>
          <w:szCs w:val="28"/>
          <w:rtl/>
          <w:lang w:val="en-GB" w:eastAsia="en-US"/>
        </w:rPr>
        <w:t xml:space="preserve"> </w:t>
      </w:r>
      <w:r w:rsidRPr="00EB5FFB">
        <w:rPr>
          <w:color w:val="000000"/>
          <w:sz w:val="28"/>
          <w:szCs w:val="28"/>
          <w:lang w:val="en-GB" w:eastAsia="en-US"/>
        </w:rPr>
        <w:sym w:font="HQPB4" w:char="F0F6"/>
      </w:r>
      <w:r w:rsidRPr="00EB5FFB">
        <w:rPr>
          <w:color w:val="000000"/>
          <w:sz w:val="28"/>
          <w:szCs w:val="28"/>
          <w:lang w:val="en-GB" w:eastAsia="en-US"/>
        </w:rPr>
        <w:sym w:font="HQPB2" w:char="F040"/>
      </w:r>
      <w:r w:rsidRPr="00EB5FFB">
        <w:rPr>
          <w:color w:val="000000"/>
          <w:sz w:val="28"/>
          <w:szCs w:val="28"/>
          <w:lang w:val="en-GB" w:eastAsia="en-US"/>
        </w:rPr>
        <w:sym w:font="HQPB4" w:char="F0E4"/>
      </w:r>
      <w:r w:rsidRPr="00EB5FFB">
        <w:rPr>
          <w:color w:val="000000"/>
          <w:sz w:val="28"/>
          <w:szCs w:val="28"/>
          <w:lang w:val="en-GB" w:eastAsia="en-US"/>
        </w:rPr>
        <w:sym w:font="HQPB2" w:char="F02E"/>
      </w:r>
      <w:r w:rsidRPr="00EB5FFB">
        <w:rPr>
          <w:color w:val="000000"/>
          <w:sz w:val="28"/>
          <w:szCs w:val="28"/>
          <w:lang w:val="en-GB" w:eastAsia="en-US"/>
        </w:rPr>
        <w:sym w:font="HQPB4" w:char="F0F9"/>
      </w:r>
      <w:r w:rsidRPr="00EB5FFB">
        <w:rPr>
          <w:color w:val="000000"/>
          <w:sz w:val="28"/>
          <w:szCs w:val="28"/>
          <w:lang w:val="en-GB" w:eastAsia="en-US"/>
        </w:rPr>
        <w:sym w:font="HQPB1" w:char="F027"/>
      </w:r>
      <w:r w:rsidRPr="00EB5FFB">
        <w:rPr>
          <w:color w:val="000000"/>
          <w:sz w:val="28"/>
          <w:szCs w:val="28"/>
          <w:lang w:val="en-GB" w:eastAsia="en-US"/>
        </w:rPr>
        <w:sym w:font="HQPB5" w:char="F075"/>
      </w:r>
      <w:r w:rsidRPr="00EB5FFB">
        <w:rPr>
          <w:color w:val="000000"/>
          <w:sz w:val="28"/>
          <w:szCs w:val="28"/>
          <w:lang w:val="en-GB" w:eastAsia="en-US"/>
        </w:rPr>
        <w:sym w:font="HQPB2" w:char="F08A"/>
      </w:r>
      <w:r w:rsidRPr="00EB5FFB">
        <w:rPr>
          <w:color w:val="000000"/>
          <w:sz w:val="28"/>
          <w:szCs w:val="28"/>
          <w:lang w:val="en-GB" w:eastAsia="en-US"/>
        </w:rPr>
        <w:sym w:font="HQPB4" w:char="F0F9"/>
      </w:r>
      <w:r w:rsidRPr="00EB5FFB">
        <w:rPr>
          <w:color w:val="000000"/>
          <w:sz w:val="28"/>
          <w:szCs w:val="28"/>
          <w:lang w:val="en-GB" w:eastAsia="en-US"/>
        </w:rPr>
        <w:sym w:font="HQPB2" w:char="F03D"/>
      </w:r>
      <w:r w:rsidRPr="00EB5FFB">
        <w:rPr>
          <w:color w:val="000000"/>
          <w:sz w:val="28"/>
          <w:szCs w:val="28"/>
          <w:lang w:val="en-GB" w:eastAsia="en-US"/>
        </w:rPr>
        <w:sym w:font="HQPB5" w:char="F073"/>
      </w:r>
      <w:r w:rsidRPr="00EB5FFB">
        <w:rPr>
          <w:color w:val="000000"/>
          <w:sz w:val="28"/>
          <w:szCs w:val="28"/>
          <w:lang w:val="en-GB" w:eastAsia="en-US"/>
        </w:rPr>
        <w:sym w:font="HQPB1" w:char="F0F9"/>
      </w:r>
      <w:r w:rsidRPr="00EB5FFB">
        <w:rPr>
          <w:color w:val="000000"/>
          <w:sz w:val="28"/>
          <w:szCs w:val="28"/>
          <w:rtl/>
          <w:lang w:val="en-GB" w:eastAsia="en-US"/>
        </w:rPr>
        <w:t xml:space="preserve"> </w:t>
      </w:r>
      <w:r w:rsidRPr="00EB5FFB">
        <w:rPr>
          <w:color w:val="000000"/>
          <w:sz w:val="28"/>
          <w:szCs w:val="28"/>
          <w:lang w:val="en-GB" w:eastAsia="en-US"/>
        </w:rPr>
        <w:sym w:font="HQPB4" w:char="F0C5"/>
      </w:r>
      <w:r w:rsidRPr="00EB5FFB">
        <w:rPr>
          <w:color w:val="000000"/>
          <w:sz w:val="28"/>
          <w:szCs w:val="28"/>
          <w:lang w:val="en-GB" w:eastAsia="en-US"/>
        </w:rPr>
        <w:sym w:font="HQPB2" w:char="F024"/>
      </w:r>
      <w:r w:rsidRPr="00EB5FFB">
        <w:rPr>
          <w:color w:val="000000"/>
          <w:sz w:val="28"/>
          <w:szCs w:val="28"/>
          <w:lang w:val="en-GB" w:eastAsia="en-US"/>
        </w:rPr>
        <w:sym w:font="HQPB2" w:char="F072"/>
      </w:r>
      <w:r w:rsidRPr="00EB5FFB">
        <w:rPr>
          <w:color w:val="000000"/>
          <w:sz w:val="28"/>
          <w:szCs w:val="28"/>
          <w:lang w:val="en-GB" w:eastAsia="en-US"/>
        </w:rPr>
        <w:sym w:font="HQPB4" w:char="F0E1"/>
      </w:r>
      <w:r w:rsidRPr="00EB5FFB">
        <w:rPr>
          <w:color w:val="000000"/>
          <w:sz w:val="28"/>
          <w:szCs w:val="28"/>
          <w:lang w:val="en-GB" w:eastAsia="en-US"/>
        </w:rPr>
        <w:sym w:font="HQPB1" w:char="F08F"/>
      </w:r>
      <w:r w:rsidRPr="00EB5FFB">
        <w:rPr>
          <w:color w:val="000000"/>
          <w:sz w:val="28"/>
          <w:szCs w:val="28"/>
          <w:lang w:val="en-GB" w:eastAsia="en-US"/>
        </w:rPr>
        <w:sym w:font="HQPB4" w:char="F0F7"/>
      </w:r>
      <w:r w:rsidRPr="00EB5FFB">
        <w:rPr>
          <w:color w:val="000000"/>
          <w:sz w:val="28"/>
          <w:szCs w:val="28"/>
          <w:lang w:val="en-GB" w:eastAsia="en-US"/>
        </w:rPr>
        <w:sym w:font="HQPB1" w:char="F0E8"/>
      </w:r>
      <w:r w:rsidRPr="00EB5FFB">
        <w:rPr>
          <w:color w:val="000000"/>
          <w:sz w:val="28"/>
          <w:szCs w:val="28"/>
          <w:lang w:val="en-GB" w:eastAsia="en-US"/>
        </w:rPr>
        <w:sym w:font="HQPB5" w:char="F079"/>
      </w:r>
      <w:r w:rsidRPr="00EB5FFB">
        <w:rPr>
          <w:color w:val="000000"/>
          <w:sz w:val="28"/>
          <w:szCs w:val="28"/>
          <w:lang w:val="en-GB" w:eastAsia="en-US"/>
        </w:rPr>
        <w:sym w:font="HQPB2" w:char="F04A"/>
      </w:r>
      <w:r w:rsidRPr="00EB5FFB">
        <w:rPr>
          <w:color w:val="000000"/>
          <w:sz w:val="28"/>
          <w:szCs w:val="28"/>
          <w:lang w:val="en-GB" w:eastAsia="en-US"/>
        </w:rPr>
        <w:sym w:font="HQPB4" w:char="F0F8"/>
      </w:r>
      <w:r w:rsidRPr="00EB5FFB">
        <w:rPr>
          <w:color w:val="000000"/>
          <w:sz w:val="28"/>
          <w:szCs w:val="28"/>
          <w:lang w:val="en-GB" w:eastAsia="en-US"/>
        </w:rPr>
        <w:sym w:font="HQPB2" w:char="F039"/>
      </w:r>
      <w:r w:rsidRPr="00EB5FFB">
        <w:rPr>
          <w:color w:val="000000"/>
          <w:sz w:val="28"/>
          <w:szCs w:val="28"/>
          <w:lang w:val="en-GB" w:eastAsia="en-US"/>
        </w:rPr>
        <w:sym w:font="HQPB5" w:char="F024"/>
      </w:r>
      <w:r w:rsidRPr="00EB5FFB">
        <w:rPr>
          <w:color w:val="000000"/>
          <w:sz w:val="28"/>
          <w:szCs w:val="28"/>
          <w:lang w:val="en-GB" w:eastAsia="en-US"/>
        </w:rPr>
        <w:sym w:font="HQPB1" w:char="F024"/>
      </w:r>
      <w:r w:rsidRPr="00EB5FFB">
        <w:rPr>
          <w:color w:val="000000"/>
          <w:sz w:val="28"/>
          <w:szCs w:val="28"/>
          <w:lang w:val="en-GB" w:eastAsia="en-US"/>
        </w:rPr>
        <w:sym w:font="HQPB4" w:char="F0CE"/>
      </w:r>
      <w:r w:rsidRPr="00EB5FFB">
        <w:rPr>
          <w:color w:val="000000"/>
          <w:sz w:val="28"/>
          <w:szCs w:val="28"/>
          <w:lang w:val="en-GB" w:eastAsia="en-US"/>
        </w:rPr>
        <w:sym w:font="HQPB1" w:char="F02F"/>
      </w:r>
      <w:r w:rsidRPr="00EB5FFB">
        <w:rPr>
          <w:color w:val="000000"/>
          <w:sz w:val="28"/>
          <w:szCs w:val="28"/>
          <w:rtl/>
          <w:lang w:val="en-GB" w:eastAsia="en-US"/>
        </w:rPr>
        <w:t xml:space="preserve"> </w:t>
      </w:r>
      <w:r w:rsidRPr="00EB5FFB">
        <w:rPr>
          <w:color w:val="000000"/>
          <w:sz w:val="28"/>
          <w:szCs w:val="28"/>
          <w:lang w:val="en-GB" w:eastAsia="en-US"/>
        </w:rPr>
        <w:sym w:font="HQPB4" w:char="F034"/>
      </w:r>
      <w:r w:rsidRPr="00EB5FFB">
        <w:rPr>
          <w:color w:val="000000"/>
          <w:sz w:val="28"/>
          <w:szCs w:val="28"/>
          <w:rtl/>
          <w:lang w:val="en-GB" w:eastAsia="en-US"/>
        </w:rPr>
        <w:t xml:space="preserve">  </w:t>
      </w:r>
      <w:r w:rsidRPr="00EB5FFB">
        <w:rPr>
          <w:color w:val="000000"/>
          <w:sz w:val="28"/>
          <w:szCs w:val="28"/>
          <w:lang w:val="en-GB" w:eastAsia="en-US"/>
        </w:rPr>
        <w:sym w:font="HQPB2" w:char="F0E1"/>
      </w:r>
      <w:r w:rsidRPr="00EB5FFB">
        <w:rPr>
          <w:rFonts w:hint="cs"/>
          <w:sz w:val="28"/>
          <w:szCs w:val="28"/>
          <w:vertAlign w:val="superscript"/>
          <w:rtl/>
          <w:lang w:val="en-GB" w:eastAsia="en-US"/>
        </w:rPr>
        <w:t xml:space="preserve"> </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58"/>
      </w:r>
      <w:r w:rsidRPr="00EB5FFB">
        <w:rPr>
          <w:rFonts w:hint="cs"/>
          <w:sz w:val="36"/>
          <w:szCs w:val="36"/>
          <w:vertAlign w:val="superscript"/>
          <w:rtl/>
          <w:lang w:val="en-GB" w:eastAsia="en-US"/>
        </w:rPr>
        <w:t>)</w:t>
      </w:r>
      <w:r w:rsidRPr="00EB5FFB">
        <w:rPr>
          <w:rFonts w:hint="cs"/>
          <w:sz w:val="36"/>
          <w:szCs w:val="36"/>
          <w:rtl/>
          <w:lang w:val="en-GB" w:eastAsia="en-US"/>
        </w:rPr>
        <w:t xml:space="preserve"> فعـدد كلـماتها - كما ترى - تسع كلمات فقط.</w:t>
      </w:r>
    </w:p>
    <w:p w:rsidR="00EB5FFB" w:rsidRPr="00EB5FFB" w:rsidRDefault="00EB5FFB" w:rsidP="009A68A5">
      <w:pPr>
        <w:widowControl/>
        <w:ind w:firstLine="567"/>
        <w:jc w:val="both"/>
        <w:rPr>
          <w:sz w:val="20"/>
          <w:szCs w:val="36"/>
          <w:rtl/>
          <w:lang w:val="en-GB" w:eastAsia="en-US"/>
        </w:rPr>
      </w:pPr>
      <w:r w:rsidRPr="00EB5FFB">
        <w:rPr>
          <w:rFonts w:ascii="Wingdings" w:hAnsi="Wingdings"/>
          <w:sz w:val="20"/>
          <w:szCs w:val="36"/>
          <w:lang w:val="en-GB" w:eastAsia="en-US"/>
        </w:rPr>
        <w:t></w:t>
      </w:r>
      <w:r w:rsidRPr="00EB5FFB">
        <w:rPr>
          <w:rFonts w:hint="cs"/>
          <w:sz w:val="20"/>
          <w:szCs w:val="36"/>
          <w:rtl/>
          <w:lang w:val="en-GB" w:eastAsia="en-US"/>
        </w:rPr>
        <w:t xml:space="preserve"> ومن الآيات التي ذكر منها كلمة فقط</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color w:val="000000"/>
          <w:sz w:val="30"/>
          <w:szCs w:val="30"/>
          <w:lang w:val="en-GB" w:eastAsia="en-US"/>
        </w:rPr>
        <w:sym w:font="HQPB2" w:char="F0E2"/>
      </w:r>
      <w:r w:rsidRPr="00EB5FFB">
        <w:rPr>
          <w:color w:val="000000"/>
          <w:sz w:val="30"/>
          <w:szCs w:val="30"/>
          <w:rtl/>
          <w:lang w:val="en-GB" w:eastAsia="en-US"/>
        </w:rPr>
        <w:t xml:space="preserve"> </w:t>
      </w:r>
      <w:r w:rsidRPr="00EB5FFB">
        <w:rPr>
          <w:color w:val="000000"/>
          <w:sz w:val="30"/>
          <w:szCs w:val="30"/>
          <w:lang w:val="en-GB" w:eastAsia="en-US"/>
        </w:rPr>
        <w:sym w:font="HQPB5" w:char="F028"/>
      </w:r>
      <w:r w:rsidRPr="00EB5FFB">
        <w:rPr>
          <w:color w:val="000000"/>
          <w:sz w:val="30"/>
          <w:szCs w:val="30"/>
          <w:lang w:val="en-GB" w:eastAsia="en-US"/>
        </w:rPr>
        <w:sym w:font="HQPB1" w:char="F023"/>
      </w:r>
      <w:r w:rsidRPr="00EB5FFB">
        <w:rPr>
          <w:color w:val="000000"/>
          <w:sz w:val="30"/>
          <w:szCs w:val="30"/>
          <w:lang w:val="en-GB" w:eastAsia="en-US"/>
        </w:rPr>
        <w:sym w:font="HQPB2" w:char="F072"/>
      </w:r>
      <w:r w:rsidRPr="00EB5FFB">
        <w:rPr>
          <w:color w:val="000000"/>
          <w:sz w:val="30"/>
          <w:szCs w:val="30"/>
          <w:lang w:val="en-GB" w:eastAsia="en-US"/>
        </w:rPr>
        <w:sym w:font="HQPB4" w:char="F0DF"/>
      </w:r>
      <w:r w:rsidRPr="00EB5FFB">
        <w:rPr>
          <w:color w:val="000000"/>
          <w:sz w:val="30"/>
          <w:szCs w:val="30"/>
          <w:lang w:val="en-GB" w:eastAsia="en-US"/>
        </w:rPr>
        <w:sym w:font="HQPB1" w:char="F089"/>
      </w:r>
      <w:r w:rsidRPr="00EB5FFB">
        <w:rPr>
          <w:color w:val="000000"/>
          <w:sz w:val="30"/>
          <w:szCs w:val="30"/>
          <w:lang w:val="en-GB" w:eastAsia="en-US"/>
        </w:rPr>
        <w:sym w:font="HQPB4" w:char="F0E0"/>
      </w:r>
      <w:r w:rsidRPr="00EB5FFB">
        <w:rPr>
          <w:color w:val="000000"/>
          <w:sz w:val="30"/>
          <w:szCs w:val="30"/>
          <w:lang w:val="en-GB" w:eastAsia="en-US"/>
        </w:rPr>
        <w:sym w:font="HQPB1" w:char="F066"/>
      </w:r>
      <w:r w:rsidRPr="00EB5FFB">
        <w:rPr>
          <w:color w:val="000000"/>
          <w:sz w:val="30"/>
          <w:szCs w:val="30"/>
          <w:lang w:val="en-GB" w:eastAsia="en-US"/>
        </w:rPr>
        <w:sym w:font="HQPB4" w:char="F0F3"/>
      </w:r>
      <w:r w:rsidRPr="00EB5FFB">
        <w:rPr>
          <w:color w:val="000000"/>
          <w:sz w:val="30"/>
          <w:szCs w:val="30"/>
          <w:lang w:val="en-GB" w:eastAsia="en-US"/>
        </w:rPr>
        <w:sym w:font="HQPB1" w:char="F099"/>
      </w:r>
      <w:r w:rsidRPr="00EB5FFB">
        <w:rPr>
          <w:color w:val="000000"/>
          <w:sz w:val="30"/>
          <w:szCs w:val="30"/>
          <w:lang w:val="en-GB" w:eastAsia="en-US"/>
        </w:rPr>
        <w:sym w:font="HQPB5" w:char="F024"/>
      </w:r>
      <w:r w:rsidRPr="00EB5FFB">
        <w:rPr>
          <w:color w:val="000000"/>
          <w:sz w:val="30"/>
          <w:szCs w:val="30"/>
          <w:lang w:val="en-GB" w:eastAsia="en-US"/>
        </w:rPr>
        <w:sym w:font="HQPB1" w:char="F023"/>
      </w:r>
      <w:r w:rsidRPr="00EB5FFB">
        <w:rPr>
          <w:color w:val="000000"/>
          <w:sz w:val="30"/>
          <w:szCs w:val="30"/>
          <w:rtl/>
          <w:lang w:val="en-GB" w:eastAsia="en-US"/>
        </w:rPr>
        <w:t xml:space="preserve"> </w:t>
      </w:r>
      <w:r w:rsidRPr="00EB5FFB">
        <w:rPr>
          <w:color w:val="000000"/>
          <w:sz w:val="30"/>
          <w:szCs w:val="30"/>
          <w:lang w:val="en-GB" w:eastAsia="en-US"/>
        </w:rPr>
        <w:sym w:font="HQPB2" w:char="F0E1"/>
      </w:r>
      <w:r w:rsidRPr="00EB5FFB">
        <w:rPr>
          <w:rFonts w:hint="cs"/>
          <w:sz w:val="20"/>
          <w:szCs w:val="36"/>
          <w:vertAlign w:val="superscript"/>
          <w:rtl/>
          <w:lang w:val="en-GB" w:eastAsia="en-US"/>
        </w:rPr>
        <w:t xml:space="preserve"> (</w:t>
      </w:r>
      <w:r w:rsidRPr="00EB5FFB">
        <w:rPr>
          <w:bCs/>
          <w:sz w:val="20"/>
          <w:szCs w:val="32"/>
          <w:vertAlign w:val="superscript"/>
          <w:rtl/>
          <w:lang w:val="en-GB" w:eastAsia="en-US"/>
        </w:rPr>
        <w:footnoteReference w:id="15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color w:val="000000"/>
          <w:sz w:val="30"/>
          <w:szCs w:val="30"/>
          <w:lang w:val="en-GB" w:eastAsia="en-US"/>
        </w:rPr>
        <w:sym w:font="HQPB2" w:char="F0E2"/>
      </w:r>
      <w:r w:rsidRPr="00EB5FFB">
        <w:rPr>
          <w:color w:val="000000"/>
          <w:sz w:val="30"/>
          <w:szCs w:val="30"/>
          <w:rtl/>
          <w:lang w:val="en-GB" w:eastAsia="en-US"/>
        </w:rPr>
        <w:t xml:space="preserve"> </w:t>
      </w:r>
      <w:r w:rsidRPr="00EB5FFB">
        <w:rPr>
          <w:color w:val="000000"/>
          <w:sz w:val="30"/>
          <w:szCs w:val="30"/>
          <w:lang w:val="en-GB" w:eastAsia="en-US"/>
        </w:rPr>
        <w:sym w:font="HQPB5" w:char="F028"/>
      </w:r>
      <w:r w:rsidRPr="00EB5FFB">
        <w:rPr>
          <w:color w:val="000000"/>
          <w:sz w:val="30"/>
          <w:szCs w:val="30"/>
          <w:lang w:val="en-GB" w:eastAsia="en-US"/>
        </w:rPr>
        <w:sym w:font="HQPB1" w:char="F023"/>
      </w:r>
      <w:r w:rsidRPr="00EB5FFB">
        <w:rPr>
          <w:color w:val="000000"/>
          <w:sz w:val="30"/>
          <w:szCs w:val="30"/>
          <w:lang w:val="en-GB" w:eastAsia="en-US"/>
        </w:rPr>
        <w:sym w:font="HQPB2" w:char="F072"/>
      </w:r>
      <w:r w:rsidRPr="00EB5FFB">
        <w:rPr>
          <w:color w:val="000000"/>
          <w:sz w:val="30"/>
          <w:szCs w:val="30"/>
          <w:lang w:val="en-GB" w:eastAsia="en-US"/>
        </w:rPr>
        <w:sym w:font="HQPB4" w:char="F0E0"/>
      </w:r>
      <w:r w:rsidRPr="00EB5FFB">
        <w:rPr>
          <w:color w:val="000000"/>
          <w:sz w:val="30"/>
          <w:szCs w:val="30"/>
          <w:lang w:val="en-GB" w:eastAsia="en-US"/>
        </w:rPr>
        <w:sym w:font="HQPB3" w:char="F024"/>
      </w:r>
      <w:r w:rsidRPr="00EB5FFB">
        <w:rPr>
          <w:color w:val="000000"/>
          <w:sz w:val="30"/>
          <w:szCs w:val="30"/>
          <w:lang w:val="en-GB" w:eastAsia="en-US"/>
        </w:rPr>
        <w:sym w:font="HQPB4" w:char="F0CE"/>
      </w:r>
      <w:r w:rsidRPr="00EB5FFB">
        <w:rPr>
          <w:color w:val="000000"/>
          <w:sz w:val="30"/>
          <w:szCs w:val="30"/>
          <w:lang w:val="en-GB" w:eastAsia="en-US"/>
        </w:rPr>
        <w:sym w:font="HQPB3" w:char="F023"/>
      </w:r>
      <w:r w:rsidRPr="00EB5FFB">
        <w:rPr>
          <w:color w:val="000000"/>
          <w:sz w:val="30"/>
          <w:szCs w:val="30"/>
          <w:lang w:val="en-GB" w:eastAsia="en-US"/>
        </w:rPr>
        <w:sym w:font="HQPB4" w:char="F0F4"/>
      </w:r>
      <w:r w:rsidRPr="00EB5FFB">
        <w:rPr>
          <w:color w:val="000000"/>
          <w:sz w:val="30"/>
          <w:szCs w:val="30"/>
          <w:lang w:val="en-GB" w:eastAsia="en-US"/>
        </w:rPr>
        <w:sym w:font="HQPB1" w:char="F05F"/>
      </w:r>
      <w:r w:rsidRPr="00EB5FFB">
        <w:rPr>
          <w:color w:val="000000"/>
          <w:sz w:val="30"/>
          <w:szCs w:val="30"/>
          <w:lang w:val="en-GB" w:eastAsia="en-US"/>
        </w:rPr>
        <w:sym w:font="HQPB5" w:char="F024"/>
      </w:r>
      <w:r w:rsidRPr="00EB5FFB">
        <w:rPr>
          <w:color w:val="000000"/>
          <w:sz w:val="30"/>
          <w:szCs w:val="30"/>
          <w:lang w:val="en-GB" w:eastAsia="en-US"/>
        </w:rPr>
        <w:sym w:font="HQPB1" w:char="F024"/>
      </w:r>
      <w:r w:rsidRPr="00EB5FFB">
        <w:rPr>
          <w:color w:val="000000"/>
          <w:sz w:val="30"/>
          <w:szCs w:val="30"/>
          <w:lang w:val="en-GB" w:eastAsia="en-US"/>
        </w:rPr>
        <w:sym w:font="HQPB5" w:char="F073"/>
      </w:r>
      <w:r w:rsidRPr="00EB5FFB">
        <w:rPr>
          <w:color w:val="000000"/>
          <w:sz w:val="30"/>
          <w:szCs w:val="30"/>
          <w:lang w:val="en-GB" w:eastAsia="en-US"/>
        </w:rPr>
        <w:sym w:font="HQPB1" w:char="F0F9"/>
      </w:r>
      <w:r w:rsidRPr="00EB5FFB">
        <w:rPr>
          <w:color w:val="000000"/>
          <w:sz w:val="30"/>
          <w:szCs w:val="30"/>
          <w:rtl/>
          <w:lang w:val="en-GB" w:eastAsia="en-US"/>
        </w:rPr>
        <w:t xml:space="preserve"> </w:t>
      </w:r>
      <w:r w:rsidRPr="00EB5FFB">
        <w:rPr>
          <w:color w:val="000000"/>
          <w:sz w:val="30"/>
          <w:szCs w:val="30"/>
          <w:lang w:val="en-GB" w:eastAsia="en-US"/>
        </w:rPr>
        <w:sym w:font="HQPB2" w:char="F0E1"/>
      </w:r>
      <w:r w:rsidRPr="00EB5FFB">
        <w:rPr>
          <w:rFonts w:hint="cs"/>
          <w:sz w:val="20"/>
          <w:szCs w:val="36"/>
          <w:vertAlign w:val="superscript"/>
          <w:rtl/>
          <w:lang w:val="en-GB" w:eastAsia="en-US"/>
        </w:rPr>
        <w:t xml:space="preserve"> (</w:t>
      </w:r>
      <w:r w:rsidRPr="00EB5FFB">
        <w:rPr>
          <w:bCs/>
          <w:sz w:val="20"/>
          <w:szCs w:val="32"/>
          <w:vertAlign w:val="superscript"/>
          <w:rtl/>
          <w:lang w:val="en-GB" w:eastAsia="en-US"/>
        </w:rPr>
        <w:footnoteReference w:id="16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ascii="Wingdings" w:hAnsi="Wingdings"/>
          <w:sz w:val="20"/>
          <w:szCs w:val="36"/>
          <w:lang w:val="en-GB" w:eastAsia="en-US"/>
        </w:rPr>
        <w:t></w:t>
      </w:r>
      <w:r w:rsidRPr="00EB5FFB">
        <w:rPr>
          <w:rFonts w:hint="cs"/>
          <w:sz w:val="20"/>
          <w:szCs w:val="36"/>
          <w:rtl/>
          <w:lang w:val="en-GB" w:eastAsia="en-US" w:bidi="ar-AE"/>
        </w:rPr>
        <w:t xml:space="preserve"> </w:t>
      </w:r>
      <w:r w:rsidRPr="00EB5FFB">
        <w:rPr>
          <w:rFonts w:hint="cs"/>
          <w:sz w:val="20"/>
          <w:szCs w:val="36"/>
          <w:rtl/>
          <w:lang w:val="en-GB" w:eastAsia="en-US"/>
        </w:rPr>
        <w:t>ومن الآيات التي ذكر منها ثلاث كلمات</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color w:val="000000"/>
          <w:sz w:val="30"/>
          <w:szCs w:val="30"/>
          <w:lang w:val="en-GB" w:eastAsia="en-US"/>
        </w:rPr>
        <w:sym w:font="HQPB2" w:char="F0E2"/>
      </w:r>
      <w:r w:rsidRPr="00EB5FFB">
        <w:rPr>
          <w:color w:val="000000"/>
          <w:sz w:val="30"/>
          <w:szCs w:val="30"/>
          <w:rtl/>
          <w:lang w:val="en-GB" w:eastAsia="en-US"/>
        </w:rPr>
        <w:t xml:space="preserve"> </w:t>
      </w:r>
      <w:r w:rsidRPr="00EB5FFB">
        <w:rPr>
          <w:color w:val="000000"/>
          <w:sz w:val="30"/>
          <w:szCs w:val="30"/>
          <w:lang w:val="en-GB" w:eastAsia="en-US"/>
        </w:rPr>
        <w:sym w:font="HQPB4" w:char="F0DF"/>
      </w:r>
      <w:r w:rsidRPr="00EB5FFB">
        <w:rPr>
          <w:color w:val="000000"/>
          <w:sz w:val="30"/>
          <w:szCs w:val="30"/>
          <w:lang w:val="en-GB" w:eastAsia="en-US"/>
        </w:rPr>
        <w:sym w:font="HQPB1" w:char="F078"/>
      </w:r>
      <w:r w:rsidRPr="00EB5FFB">
        <w:rPr>
          <w:color w:val="000000"/>
          <w:sz w:val="30"/>
          <w:szCs w:val="30"/>
          <w:lang w:val="en-GB" w:eastAsia="en-US"/>
        </w:rPr>
        <w:sym w:font="HQPB2" w:char="F08A"/>
      </w:r>
      <w:r w:rsidRPr="00EB5FFB">
        <w:rPr>
          <w:color w:val="000000"/>
          <w:sz w:val="30"/>
          <w:szCs w:val="30"/>
          <w:lang w:val="en-GB" w:eastAsia="en-US"/>
        </w:rPr>
        <w:sym w:font="HQPB4" w:char="F0C5"/>
      </w:r>
      <w:r w:rsidRPr="00EB5FFB">
        <w:rPr>
          <w:color w:val="000000"/>
          <w:sz w:val="30"/>
          <w:szCs w:val="30"/>
          <w:lang w:val="en-GB" w:eastAsia="en-US"/>
        </w:rPr>
        <w:sym w:font="HQPB1" w:char="F0A1"/>
      </w:r>
      <w:r w:rsidRPr="00EB5FFB">
        <w:rPr>
          <w:color w:val="000000"/>
          <w:sz w:val="30"/>
          <w:szCs w:val="30"/>
          <w:lang w:val="en-GB" w:eastAsia="en-US"/>
        </w:rPr>
        <w:sym w:font="HQPB5" w:char="F079"/>
      </w:r>
      <w:r w:rsidRPr="00EB5FFB">
        <w:rPr>
          <w:color w:val="000000"/>
          <w:sz w:val="30"/>
          <w:szCs w:val="30"/>
          <w:lang w:val="en-GB" w:eastAsia="en-US"/>
        </w:rPr>
        <w:sym w:font="HQPB2" w:char="F04A"/>
      </w:r>
      <w:r w:rsidRPr="00EB5FFB">
        <w:rPr>
          <w:color w:val="000000"/>
          <w:sz w:val="30"/>
          <w:szCs w:val="30"/>
          <w:lang w:val="en-GB" w:eastAsia="en-US"/>
        </w:rPr>
        <w:sym w:font="HQPB4" w:char="F0F8"/>
      </w:r>
      <w:r w:rsidRPr="00EB5FFB">
        <w:rPr>
          <w:color w:val="000000"/>
          <w:sz w:val="30"/>
          <w:szCs w:val="30"/>
          <w:lang w:val="en-GB" w:eastAsia="en-US"/>
        </w:rPr>
        <w:sym w:font="HQPB2" w:char="F039"/>
      </w:r>
      <w:r w:rsidRPr="00EB5FFB">
        <w:rPr>
          <w:color w:val="000000"/>
          <w:sz w:val="30"/>
          <w:szCs w:val="30"/>
          <w:lang w:val="en-GB" w:eastAsia="en-US"/>
        </w:rPr>
        <w:sym w:font="HQPB5" w:char="F024"/>
      </w:r>
      <w:r w:rsidRPr="00EB5FFB">
        <w:rPr>
          <w:color w:val="000000"/>
          <w:sz w:val="30"/>
          <w:szCs w:val="30"/>
          <w:lang w:val="en-GB" w:eastAsia="en-US"/>
        </w:rPr>
        <w:sym w:font="HQPB1" w:char="F023"/>
      </w:r>
      <w:r w:rsidRPr="00EB5FFB">
        <w:rPr>
          <w:color w:val="000000"/>
          <w:sz w:val="30"/>
          <w:szCs w:val="30"/>
          <w:rtl/>
          <w:lang w:val="en-GB" w:eastAsia="en-US"/>
        </w:rPr>
        <w:t xml:space="preserve"> </w:t>
      </w:r>
      <w:r w:rsidRPr="00EB5FFB">
        <w:rPr>
          <w:color w:val="000000"/>
          <w:sz w:val="30"/>
          <w:szCs w:val="30"/>
          <w:lang w:val="en-GB" w:eastAsia="en-US"/>
        </w:rPr>
        <w:sym w:font="HQPB4" w:char="F0DA"/>
      </w:r>
      <w:r w:rsidRPr="00EB5FFB">
        <w:rPr>
          <w:color w:val="000000"/>
          <w:sz w:val="30"/>
          <w:szCs w:val="30"/>
          <w:lang w:val="en-GB" w:eastAsia="en-US"/>
        </w:rPr>
        <w:sym w:font="HQPB2" w:char="F0C6"/>
      </w:r>
      <w:r w:rsidRPr="00EB5FFB">
        <w:rPr>
          <w:color w:val="000000"/>
          <w:sz w:val="30"/>
          <w:szCs w:val="30"/>
          <w:lang w:val="en-GB" w:eastAsia="en-US"/>
        </w:rPr>
        <w:sym w:font="HQPB4" w:char="F0F6"/>
      </w:r>
      <w:r w:rsidRPr="00EB5FFB">
        <w:rPr>
          <w:color w:val="000000"/>
          <w:sz w:val="30"/>
          <w:szCs w:val="30"/>
          <w:lang w:val="en-GB" w:eastAsia="en-US"/>
        </w:rPr>
        <w:sym w:font="HQPB1" w:char="F02F"/>
      </w:r>
      <w:r w:rsidRPr="00EB5FFB">
        <w:rPr>
          <w:color w:val="000000"/>
          <w:sz w:val="30"/>
          <w:szCs w:val="30"/>
          <w:lang w:val="en-GB" w:eastAsia="en-US"/>
        </w:rPr>
        <w:sym w:font="HQPB5" w:char="F024"/>
      </w:r>
      <w:r w:rsidRPr="00EB5FFB">
        <w:rPr>
          <w:color w:val="000000"/>
          <w:sz w:val="30"/>
          <w:szCs w:val="30"/>
          <w:lang w:val="en-GB" w:eastAsia="en-US"/>
        </w:rPr>
        <w:sym w:font="HQPB1" w:char="F023"/>
      </w:r>
      <w:r w:rsidRPr="00EB5FFB">
        <w:rPr>
          <w:color w:val="000000"/>
          <w:sz w:val="30"/>
          <w:szCs w:val="30"/>
          <w:rtl/>
          <w:lang w:val="en-GB" w:eastAsia="en-US"/>
        </w:rPr>
        <w:t xml:space="preserve"> </w:t>
      </w:r>
      <w:r w:rsidRPr="00EB5FFB">
        <w:rPr>
          <w:color w:val="000000"/>
          <w:sz w:val="30"/>
          <w:szCs w:val="30"/>
          <w:lang w:val="en-GB" w:eastAsia="en-US"/>
        </w:rPr>
        <w:sym w:font="HQPB5" w:char="F0AB"/>
      </w:r>
      <w:r w:rsidRPr="00EB5FFB">
        <w:rPr>
          <w:color w:val="000000"/>
          <w:sz w:val="30"/>
          <w:szCs w:val="30"/>
          <w:lang w:val="en-GB" w:eastAsia="en-US"/>
        </w:rPr>
        <w:sym w:font="HQPB1" w:char="F021"/>
      </w:r>
      <w:r w:rsidRPr="00EB5FFB">
        <w:rPr>
          <w:color w:val="000000"/>
          <w:sz w:val="30"/>
          <w:szCs w:val="30"/>
          <w:lang w:val="en-GB" w:eastAsia="en-US"/>
        </w:rPr>
        <w:sym w:font="HQPB5" w:char="F024"/>
      </w:r>
      <w:r w:rsidRPr="00EB5FFB">
        <w:rPr>
          <w:color w:val="000000"/>
          <w:sz w:val="30"/>
          <w:szCs w:val="30"/>
          <w:lang w:val="en-GB" w:eastAsia="en-US"/>
        </w:rPr>
        <w:sym w:font="HQPB1" w:char="F023"/>
      </w:r>
      <w:r w:rsidRPr="00EB5FFB">
        <w:rPr>
          <w:color w:val="000000"/>
          <w:sz w:val="30"/>
          <w:szCs w:val="30"/>
          <w:rtl/>
          <w:lang w:val="en-GB" w:eastAsia="en-US"/>
        </w:rPr>
        <w:t xml:space="preserve"> </w:t>
      </w:r>
      <w:r w:rsidRPr="00EB5FFB">
        <w:rPr>
          <w:color w:val="000000"/>
          <w:sz w:val="30"/>
          <w:szCs w:val="30"/>
          <w:lang w:val="en-GB" w:eastAsia="en-US"/>
        </w:rPr>
        <w:sym w:font="HQPB4" w:char="F028"/>
      </w:r>
      <w:r w:rsidRPr="00EB5FFB">
        <w:rPr>
          <w:color w:val="000000"/>
          <w:sz w:val="30"/>
          <w:szCs w:val="30"/>
          <w:rtl/>
          <w:lang w:val="en-GB" w:eastAsia="en-US"/>
        </w:rPr>
        <w:t xml:space="preserve"> </w:t>
      </w:r>
      <w:r w:rsidRPr="00EB5FFB">
        <w:rPr>
          <w:color w:val="000000"/>
          <w:sz w:val="30"/>
          <w:szCs w:val="30"/>
          <w:lang w:val="en-GB" w:eastAsia="en-US"/>
        </w:rPr>
        <w:sym w:font="HQPB2" w:char="F0E1"/>
      </w:r>
      <w:r w:rsidRPr="00EB5FFB">
        <w:rPr>
          <w:rFonts w:hint="cs"/>
          <w:sz w:val="20"/>
          <w:szCs w:val="36"/>
          <w:vertAlign w:val="superscript"/>
          <w:rtl/>
          <w:lang w:val="en-GB" w:eastAsia="en-US"/>
        </w:rPr>
        <w:t xml:space="preserve"> (</w:t>
      </w:r>
      <w:r w:rsidRPr="00EB5FFB">
        <w:rPr>
          <w:bCs/>
          <w:sz w:val="20"/>
          <w:szCs w:val="32"/>
          <w:vertAlign w:val="superscript"/>
          <w:rtl/>
          <w:lang w:val="en-GB" w:eastAsia="en-US"/>
        </w:rPr>
        <w:footnoteReference w:id="16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color w:val="000000"/>
          <w:sz w:val="30"/>
          <w:szCs w:val="30"/>
          <w:lang w:val="en-GB" w:eastAsia="en-US"/>
        </w:rPr>
        <w:sym w:font="HQPB2" w:char="F0E2"/>
      </w:r>
      <w:r w:rsidRPr="00EB5FFB">
        <w:rPr>
          <w:color w:val="000000"/>
          <w:sz w:val="30"/>
          <w:szCs w:val="30"/>
          <w:rtl/>
          <w:lang w:val="en-GB" w:eastAsia="en-US"/>
        </w:rPr>
        <w:t xml:space="preserve"> </w:t>
      </w:r>
      <w:r w:rsidRPr="00EB5FFB">
        <w:rPr>
          <w:color w:val="000000"/>
          <w:sz w:val="30"/>
          <w:szCs w:val="30"/>
          <w:lang w:val="en-GB" w:eastAsia="en-US"/>
        </w:rPr>
        <w:sym w:font="HQPB4" w:char="F04C"/>
      </w:r>
      <w:r w:rsidRPr="00EB5FFB">
        <w:rPr>
          <w:color w:val="000000"/>
          <w:sz w:val="30"/>
          <w:szCs w:val="30"/>
          <w:lang w:val="en-GB" w:eastAsia="en-US"/>
        </w:rPr>
        <w:sym w:font="HQPB2" w:char="F0E4"/>
      </w:r>
      <w:r w:rsidRPr="00EB5FFB">
        <w:rPr>
          <w:color w:val="000000"/>
          <w:sz w:val="30"/>
          <w:szCs w:val="30"/>
          <w:lang w:val="en-GB" w:eastAsia="en-US"/>
        </w:rPr>
        <w:sym w:font="HQPB5" w:char="F021"/>
      </w:r>
      <w:r w:rsidRPr="00EB5FFB">
        <w:rPr>
          <w:color w:val="000000"/>
          <w:sz w:val="30"/>
          <w:szCs w:val="30"/>
          <w:lang w:val="en-GB" w:eastAsia="en-US"/>
        </w:rPr>
        <w:sym w:font="HQPB1" w:char="F023"/>
      </w:r>
      <w:r w:rsidRPr="00EB5FFB">
        <w:rPr>
          <w:color w:val="000000"/>
          <w:sz w:val="30"/>
          <w:szCs w:val="30"/>
          <w:lang w:val="en-GB" w:eastAsia="en-US"/>
        </w:rPr>
        <w:sym w:font="HQPB5" w:char="F074"/>
      </w:r>
      <w:r w:rsidRPr="00EB5FFB">
        <w:rPr>
          <w:color w:val="000000"/>
          <w:sz w:val="30"/>
          <w:szCs w:val="30"/>
          <w:lang w:val="en-GB" w:eastAsia="en-US"/>
        </w:rPr>
        <w:sym w:font="HQPB1" w:char="F093"/>
      </w:r>
      <w:r w:rsidRPr="00EB5FFB">
        <w:rPr>
          <w:color w:val="000000"/>
          <w:sz w:val="30"/>
          <w:szCs w:val="30"/>
          <w:lang w:val="en-GB" w:eastAsia="en-US"/>
        </w:rPr>
        <w:sym w:font="HQPB5" w:char="F079"/>
      </w:r>
      <w:r w:rsidRPr="00EB5FFB">
        <w:rPr>
          <w:color w:val="000000"/>
          <w:sz w:val="30"/>
          <w:szCs w:val="30"/>
          <w:lang w:val="en-GB" w:eastAsia="en-US"/>
        </w:rPr>
        <w:sym w:font="HQPB1" w:char="F05F"/>
      </w:r>
      <w:r w:rsidRPr="00EB5FFB">
        <w:rPr>
          <w:color w:val="000000"/>
          <w:sz w:val="30"/>
          <w:szCs w:val="30"/>
          <w:rtl/>
          <w:lang w:val="en-GB" w:eastAsia="en-US"/>
        </w:rPr>
        <w:t xml:space="preserve"> </w:t>
      </w:r>
      <w:r w:rsidRPr="00EB5FFB">
        <w:rPr>
          <w:color w:val="000000"/>
          <w:sz w:val="30"/>
          <w:szCs w:val="30"/>
          <w:lang w:val="en-GB" w:eastAsia="en-US"/>
        </w:rPr>
        <w:sym w:font="HQPB1" w:char="F024"/>
      </w:r>
      <w:r w:rsidRPr="00EB5FFB">
        <w:rPr>
          <w:color w:val="000000"/>
          <w:sz w:val="30"/>
          <w:szCs w:val="30"/>
          <w:lang w:val="en-GB" w:eastAsia="en-US"/>
        </w:rPr>
        <w:sym w:font="HQPB5" w:char="F079"/>
      </w:r>
      <w:r w:rsidRPr="00EB5FFB">
        <w:rPr>
          <w:color w:val="000000"/>
          <w:sz w:val="30"/>
          <w:szCs w:val="30"/>
          <w:lang w:val="en-GB" w:eastAsia="en-US"/>
        </w:rPr>
        <w:sym w:font="HQPB2" w:char="F04A"/>
      </w:r>
      <w:r w:rsidRPr="00EB5FFB">
        <w:rPr>
          <w:color w:val="000000"/>
          <w:sz w:val="30"/>
          <w:szCs w:val="30"/>
          <w:lang w:val="en-GB" w:eastAsia="en-US"/>
        </w:rPr>
        <w:sym w:font="HQPB4" w:char="F0CE"/>
      </w:r>
      <w:r w:rsidRPr="00EB5FFB">
        <w:rPr>
          <w:color w:val="000000"/>
          <w:sz w:val="30"/>
          <w:szCs w:val="30"/>
          <w:lang w:val="en-GB" w:eastAsia="en-US"/>
        </w:rPr>
        <w:sym w:font="HQPB1" w:char="F02F"/>
      </w:r>
      <w:r w:rsidRPr="00EB5FFB">
        <w:rPr>
          <w:color w:val="000000"/>
          <w:sz w:val="30"/>
          <w:szCs w:val="30"/>
          <w:rtl/>
          <w:lang w:val="en-GB" w:eastAsia="en-US"/>
        </w:rPr>
        <w:t xml:space="preserve"> </w:t>
      </w:r>
      <w:r w:rsidRPr="00EB5FFB">
        <w:rPr>
          <w:color w:val="000000"/>
          <w:sz w:val="30"/>
          <w:szCs w:val="30"/>
          <w:lang w:val="en-GB" w:eastAsia="en-US"/>
        </w:rPr>
        <w:sym w:font="HQPB1" w:char="F024"/>
      </w:r>
      <w:r w:rsidRPr="00EB5FFB">
        <w:rPr>
          <w:color w:val="000000"/>
          <w:sz w:val="30"/>
          <w:szCs w:val="30"/>
          <w:lang w:val="en-GB" w:eastAsia="en-US"/>
        </w:rPr>
        <w:sym w:font="HQPB5" w:char="F074"/>
      </w:r>
      <w:r w:rsidRPr="00EB5FFB">
        <w:rPr>
          <w:color w:val="000000"/>
          <w:sz w:val="30"/>
          <w:szCs w:val="30"/>
          <w:lang w:val="en-GB" w:eastAsia="en-US"/>
        </w:rPr>
        <w:sym w:font="HQPB1" w:char="F037"/>
      </w:r>
      <w:r w:rsidRPr="00EB5FFB">
        <w:rPr>
          <w:color w:val="000000"/>
          <w:sz w:val="30"/>
          <w:szCs w:val="30"/>
          <w:lang w:val="en-GB" w:eastAsia="en-US"/>
        </w:rPr>
        <w:sym w:font="HQPB5" w:char="F07C"/>
      </w:r>
      <w:r w:rsidRPr="00EB5FFB">
        <w:rPr>
          <w:color w:val="000000"/>
          <w:sz w:val="30"/>
          <w:szCs w:val="30"/>
          <w:lang w:val="en-GB" w:eastAsia="en-US"/>
        </w:rPr>
        <w:sym w:font="HQPB1" w:char="F0A1"/>
      </w:r>
      <w:r w:rsidRPr="00EB5FFB">
        <w:rPr>
          <w:color w:val="000000"/>
          <w:sz w:val="30"/>
          <w:szCs w:val="30"/>
          <w:lang w:val="en-GB" w:eastAsia="en-US"/>
        </w:rPr>
        <w:sym w:font="HQPB5" w:char="F078"/>
      </w:r>
      <w:r w:rsidRPr="00EB5FFB">
        <w:rPr>
          <w:color w:val="000000"/>
          <w:sz w:val="30"/>
          <w:szCs w:val="30"/>
          <w:lang w:val="en-GB" w:eastAsia="en-US"/>
        </w:rPr>
        <w:sym w:font="HQPB2" w:char="F02E"/>
      </w:r>
      <w:r w:rsidRPr="00EB5FFB">
        <w:rPr>
          <w:color w:val="000000"/>
          <w:sz w:val="30"/>
          <w:szCs w:val="30"/>
          <w:rtl/>
          <w:lang w:val="en-GB" w:eastAsia="en-US"/>
        </w:rPr>
        <w:t xml:space="preserve"> </w:t>
      </w:r>
      <w:r w:rsidRPr="00EB5FFB">
        <w:rPr>
          <w:color w:val="000000"/>
          <w:sz w:val="30"/>
          <w:szCs w:val="30"/>
          <w:lang w:val="en-GB" w:eastAsia="en-US"/>
        </w:rPr>
        <w:sym w:font="HQPB2" w:char="F0E1"/>
      </w:r>
      <w:r w:rsidRPr="00EB5FFB">
        <w:rPr>
          <w:rFonts w:hint="cs"/>
          <w:sz w:val="20"/>
          <w:szCs w:val="36"/>
          <w:vertAlign w:val="superscript"/>
          <w:rtl/>
          <w:lang w:val="en-GB" w:eastAsia="en-US"/>
        </w:rPr>
        <w:t xml:space="preserve"> (</w:t>
      </w:r>
      <w:r w:rsidRPr="00EB5FFB">
        <w:rPr>
          <w:bCs/>
          <w:sz w:val="20"/>
          <w:szCs w:val="32"/>
          <w:vertAlign w:val="superscript"/>
          <w:rtl/>
          <w:lang w:val="en-GB" w:eastAsia="en-US"/>
        </w:rPr>
        <w:footnoteReference w:id="16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color w:val="000000"/>
          <w:sz w:val="30"/>
          <w:szCs w:val="30"/>
          <w:lang w:val="en-GB" w:eastAsia="en-US"/>
        </w:rPr>
        <w:sym w:font="HQPB2" w:char="F0E2"/>
      </w:r>
      <w:r w:rsidRPr="00EB5FFB">
        <w:rPr>
          <w:color w:val="000000"/>
          <w:sz w:val="30"/>
          <w:szCs w:val="30"/>
          <w:rtl/>
          <w:lang w:val="en-GB" w:eastAsia="en-US"/>
        </w:rPr>
        <w:t xml:space="preserve"> </w:t>
      </w:r>
      <w:r w:rsidRPr="00EB5FFB">
        <w:rPr>
          <w:color w:val="000000"/>
          <w:sz w:val="30"/>
          <w:szCs w:val="30"/>
          <w:lang w:val="en-GB" w:eastAsia="en-US"/>
        </w:rPr>
        <w:sym w:font="HQPB4" w:char="F0E3"/>
      </w:r>
      <w:r w:rsidRPr="00EB5FFB">
        <w:rPr>
          <w:color w:val="000000"/>
          <w:sz w:val="30"/>
          <w:szCs w:val="30"/>
          <w:lang w:val="en-GB" w:eastAsia="en-US"/>
        </w:rPr>
        <w:sym w:font="HQPB2" w:char="F04E"/>
      </w:r>
      <w:r w:rsidRPr="00EB5FFB">
        <w:rPr>
          <w:color w:val="000000"/>
          <w:sz w:val="30"/>
          <w:szCs w:val="30"/>
          <w:lang w:val="en-GB" w:eastAsia="en-US"/>
        </w:rPr>
        <w:sym w:font="HQPB4" w:char="F0E0"/>
      </w:r>
      <w:r w:rsidRPr="00EB5FFB">
        <w:rPr>
          <w:color w:val="000000"/>
          <w:sz w:val="30"/>
          <w:szCs w:val="30"/>
          <w:lang w:val="en-GB" w:eastAsia="en-US"/>
        </w:rPr>
        <w:sym w:font="HQPB2" w:char="F036"/>
      </w:r>
      <w:r w:rsidRPr="00EB5FFB">
        <w:rPr>
          <w:color w:val="000000"/>
          <w:sz w:val="30"/>
          <w:szCs w:val="30"/>
          <w:lang w:val="en-GB" w:eastAsia="en-US"/>
        </w:rPr>
        <w:sym w:font="HQPB4" w:char="F0E7"/>
      </w:r>
      <w:r w:rsidRPr="00EB5FFB">
        <w:rPr>
          <w:color w:val="000000"/>
          <w:sz w:val="30"/>
          <w:szCs w:val="30"/>
          <w:lang w:val="en-GB" w:eastAsia="en-US"/>
        </w:rPr>
        <w:sym w:font="HQPB1" w:char="F046"/>
      </w:r>
      <w:r w:rsidRPr="00EB5FFB">
        <w:rPr>
          <w:color w:val="000000"/>
          <w:sz w:val="30"/>
          <w:szCs w:val="30"/>
          <w:lang w:val="en-GB" w:eastAsia="en-US"/>
        </w:rPr>
        <w:sym w:font="HQPB2" w:char="F0BB"/>
      </w:r>
      <w:r w:rsidRPr="00EB5FFB">
        <w:rPr>
          <w:color w:val="000000"/>
          <w:sz w:val="30"/>
          <w:szCs w:val="30"/>
          <w:lang w:val="en-GB" w:eastAsia="en-US"/>
        </w:rPr>
        <w:sym w:font="HQPB5" w:char="F079"/>
      </w:r>
      <w:r w:rsidRPr="00EB5FFB">
        <w:rPr>
          <w:color w:val="000000"/>
          <w:sz w:val="30"/>
          <w:szCs w:val="30"/>
          <w:lang w:val="en-GB" w:eastAsia="en-US"/>
        </w:rPr>
        <w:sym w:font="HQPB2" w:char="F067"/>
      </w:r>
      <w:r w:rsidRPr="00EB5FFB">
        <w:rPr>
          <w:color w:val="000000"/>
          <w:sz w:val="30"/>
          <w:szCs w:val="30"/>
          <w:lang w:val="en-GB" w:eastAsia="en-US"/>
        </w:rPr>
        <w:sym w:font="HQPB4" w:char="F0A8"/>
      </w:r>
      <w:r w:rsidRPr="00EB5FFB">
        <w:rPr>
          <w:color w:val="000000"/>
          <w:sz w:val="30"/>
          <w:szCs w:val="30"/>
          <w:lang w:val="en-GB" w:eastAsia="en-US"/>
        </w:rPr>
        <w:sym w:font="HQPB2" w:char="F042"/>
      </w:r>
      <w:r w:rsidRPr="00EB5FFB">
        <w:rPr>
          <w:color w:val="000000"/>
          <w:sz w:val="30"/>
          <w:szCs w:val="30"/>
          <w:lang w:val="en-GB" w:eastAsia="en-US"/>
        </w:rPr>
        <w:sym w:font="HQPB4" w:char="F0E9"/>
      </w:r>
      <w:r w:rsidRPr="00EB5FFB">
        <w:rPr>
          <w:color w:val="000000"/>
          <w:sz w:val="30"/>
          <w:szCs w:val="30"/>
          <w:lang w:val="en-GB" w:eastAsia="en-US"/>
        </w:rPr>
        <w:sym w:font="HQPB1" w:char="F026"/>
      </w:r>
      <w:r w:rsidRPr="00EB5FFB">
        <w:rPr>
          <w:color w:val="000000"/>
          <w:sz w:val="30"/>
          <w:szCs w:val="30"/>
          <w:lang w:val="en-GB" w:eastAsia="en-US"/>
        </w:rPr>
        <w:sym w:font="HQPB5" w:char="F075"/>
      </w:r>
      <w:r w:rsidRPr="00EB5FFB">
        <w:rPr>
          <w:color w:val="000000"/>
          <w:sz w:val="30"/>
          <w:szCs w:val="30"/>
          <w:lang w:val="en-GB" w:eastAsia="en-US"/>
        </w:rPr>
        <w:sym w:font="HQPB2" w:char="F072"/>
      </w:r>
      <w:r w:rsidRPr="00EB5FFB">
        <w:rPr>
          <w:color w:val="000000"/>
          <w:sz w:val="30"/>
          <w:szCs w:val="30"/>
          <w:rtl/>
          <w:lang w:val="en-GB" w:eastAsia="en-US"/>
        </w:rPr>
        <w:t xml:space="preserve"> </w:t>
      </w:r>
      <w:r w:rsidRPr="00EB5FFB">
        <w:rPr>
          <w:color w:val="000000"/>
          <w:sz w:val="30"/>
          <w:szCs w:val="30"/>
          <w:lang w:val="en-GB" w:eastAsia="en-US"/>
        </w:rPr>
        <w:sym w:font="HQPB4" w:char="F0FB"/>
      </w:r>
      <w:r w:rsidRPr="00EB5FFB">
        <w:rPr>
          <w:color w:val="000000"/>
          <w:sz w:val="30"/>
          <w:szCs w:val="30"/>
          <w:lang w:val="en-GB" w:eastAsia="en-US"/>
        </w:rPr>
        <w:sym w:font="HQPB2" w:char="F0D3"/>
      </w:r>
      <w:r w:rsidRPr="00EB5FFB">
        <w:rPr>
          <w:color w:val="000000"/>
          <w:sz w:val="30"/>
          <w:szCs w:val="30"/>
          <w:lang w:val="en-GB" w:eastAsia="en-US"/>
        </w:rPr>
        <w:sym w:font="HQPB4" w:char="F0C9"/>
      </w:r>
      <w:r w:rsidRPr="00EB5FFB">
        <w:rPr>
          <w:color w:val="000000"/>
          <w:sz w:val="30"/>
          <w:szCs w:val="30"/>
          <w:lang w:val="en-GB" w:eastAsia="en-US"/>
        </w:rPr>
        <w:sym w:font="HQPB1" w:char="F04C"/>
      </w:r>
      <w:r w:rsidRPr="00EB5FFB">
        <w:rPr>
          <w:color w:val="000000"/>
          <w:sz w:val="30"/>
          <w:szCs w:val="30"/>
          <w:lang w:val="en-GB" w:eastAsia="en-US"/>
        </w:rPr>
        <w:sym w:font="HQPB2" w:char="F0BB"/>
      </w:r>
      <w:r w:rsidRPr="00EB5FFB">
        <w:rPr>
          <w:color w:val="000000"/>
          <w:sz w:val="30"/>
          <w:szCs w:val="30"/>
          <w:lang w:val="en-GB" w:eastAsia="en-US"/>
        </w:rPr>
        <w:sym w:font="HQPB4" w:char="F0A9"/>
      </w:r>
      <w:r w:rsidRPr="00EB5FFB">
        <w:rPr>
          <w:color w:val="000000"/>
          <w:sz w:val="30"/>
          <w:szCs w:val="30"/>
          <w:lang w:val="en-GB" w:eastAsia="en-US"/>
        </w:rPr>
        <w:sym w:font="HQPB2" w:char="F039"/>
      </w:r>
      <w:r w:rsidRPr="00EB5FFB">
        <w:rPr>
          <w:color w:val="000000"/>
          <w:sz w:val="30"/>
          <w:szCs w:val="30"/>
          <w:lang w:val="en-GB" w:eastAsia="en-US"/>
        </w:rPr>
        <w:sym w:font="HQPB5" w:char="F024"/>
      </w:r>
      <w:r w:rsidRPr="00EB5FFB">
        <w:rPr>
          <w:color w:val="000000"/>
          <w:sz w:val="30"/>
          <w:szCs w:val="30"/>
          <w:lang w:val="en-GB" w:eastAsia="en-US"/>
        </w:rPr>
        <w:sym w:font="HQPB1" w:char="F023"/>
      </w:r>
      <w:r w:rsidRPr="00EB5FFB">
        <w:rPr>
          <w:color w:val="000000"/>
          <w:sz w:val="30"/>
          <w:szCs w:val="30"/>
          <w:rtl/>
          <w:lang w:val="en-GB" w:eastAsia="en-US"/>
        </w:rPr>
        <w:t xml:space="preserve"> </w:t>
      </w:r>
      <w:r w:rsidRPr="00EB5FFB">
        <w:rPr>
          <w:color w:val="000000"/>
          <w:sz w:val="30"/>
          <w:szCs w:val="30"/>
          <w:lang w:val="en-GB" w:eastAsia="en-US"/>
        </w:rPr>
        <w:sym w:font="HQPB4" w:char="F0F6"/>
      </w:r>
      <w:r w:rsidRPr="00EB5FFB">
        <w:rPr>
          <w:color w:val="000000"/>
          <w:sz w:val="30"/>
          <w:szCs w:val="30"/>
          <w:lang w:val="en-GB" w:eastAsia="en-US"/>
        </w:rPr>
        <w:sym w:font="HQPB2" w:char="F04E"/>
      </w:r>
      <w:r w:rsidRPr="00EB5FFB">
        <w:rPr>
          <w:color w:val="000000"/>
          <w:sz w:val="30"/>
          <w:szCs w:val="30"/>
          <w:lang w:val="en-GB" w:eastAsia="en-US"/>
        </w:rPr>
        <w:sym w:font="HQPB4" w:char="F0E4"/>
      </w:r>
      <w:r w:rsidRPr="00EB5FFB">
        <w:rPr>
          <w:color w:val="000000"/>
          <w:sz w:val="30"/>
          <w:szCs w:val="30"/>
          <w:lang w:val="en-GB" w:eastAsia="en-US"/>
        </w:rPr>
        <w:sym w:font="HQPB2" w:char="F033"/>
      </w:r>
      <w:r w:rsidRPr="00EB5FFB">
        <w:rPr>
          <w:color w:val="000000"/>
          <w:sz w:val="30"/>
          <w:szCs w:val="30"/>
          <w:lang w:val="en-GB" w:eastAsia="en-US"/>
        </w:rPr>
        <w:sym w:font="HQPB5" w:char="F06F"/>
      </w:r>
      <w:r w:rsidRPr="00EB5FFB">
        <w:rPr>
          <w:color w:val="000000"/>
          <w:sz w:val="30"/>
          <w:szCs w:val="30"/>
          <w:lang w:val="en-GB" w:eastAsia="en-US"/>
        </w:rPr>
        <w:sym w:font="HQPB2" w:char="F059"/>
      </w:r>
      <w:r w:rsidRPr="00EB5FFB">
        <w:rPr>
          <w:color w:val="000000"/>
          <w:sz w:val="30"/>
          <w:szCs w:val="30"/>
          <w:lang w:val="en-GB" w:eastAsia="en-US"/>
        </w:rPr>
        <w:sym w:font="HQPB4" w:char="F0F7"/>
      </w:r>
      <w:r w:rsidRPr="00EB5FFB">
        <w:rPr>
          <w:color w:val="000000"/>
          <w:sz w:val="30"/>
          <w:szCs w:val="30"/>
          <w:lang w:val="en-GB" w:eastAsia="en-US"/>
        </w:rPr>
        <w:sym w:font="HQPB1" w:char="F0E8"/>
      </w:r>
      <w:r w:rsidRPr="00EB5FFB">
        <w:rPr>
          <w:color w:val="000000"/>
          <w:sz w:val="30"/>
          <w:szCs w:val="30"/>
          <w:lang w:val="en-GB" w:eastAsia="en-US"/>
        </w:rPr>
        <w:sym w:font="HQPB5" w:char="F07C"/>
      </w:r>
      <w:r w:rsidRPr="00EB5FFB">
        <w:rPr>
          <w:color w:val="000000"/>
          <w:sz w:val="30"/>
          <w:szCs w:val="30"/>
          <w:lang w:val="en-GB" w:eastAsia="en-US"/>
        </w:rPr>
        <w:sym w:font="HQPB1" w:char="F0CA"/>
      </w:r>
      <w:r w:rsidRPr="00EB5FFB">
        <w:rPr>
          <w:color w:val="000000"/>
          <w:sz w:val="30"/>
          <w:szCs w:val="30"/>
          <w:lang w:val="en-GB" w:eastAsia="en-US"/>
        </w:rPr>
        <w:sym w:font="HQPB4" w:char="F0F6"/>
      </w:r>
      <w:r w:rsidRPr="00EB5FFB">
        <w:rPr>
          <w:color w:val="000000"/>
          <w:sz w:val="30"/>
          <w:szCs w:val="30"/>
          <w:lang w:val="en-GB" w:eastAsia="en-US"/>
        </w:rPr>
        <w:sym w:font="HQPB1" w:char="F091"/>
      </w:r>
      <w:r w:rsidRPr="00EB5FFB">
        <w:rPr>
          <w:color w:val="000000"/>
          <w:sz w:val="30"/>
          <w:szCs w:val="30"/>
          <w:lang w:val="en-GB" w:eastAsia="en-US"/>
        </w:rPr>
        <w:sym w:font="HQPB5" w:char="F072"/>
      </w:r>
      <w:r w:rsidRPr="00EB5FFB">
        <w:rPr>
          <w:color w:val="000000"/>
          <w:sz w:val="30"/>
          <w:szCs w:val="30"/>
          <w:lang w:val="en-GB" w:eastAsia="en-US"/>
        </w:rPr>
        <w:sym w:font="HQPB1" w:char="F026"/>
      </w:r>
      <w:r w:rsidRPr="00EB5FFB">
        <w:rPr>
          <w:color w:val="000000"/>
          <w:sz w:val="30"/>
          <w:szCs w:val="30"/>
          <w:rtl/>
          <w:lang w:val="en-GB" w:eastAsia="en-US"/>
        </w:rPr>
        <w:t xml:space="preserve"> </w:t>
      </w:r>
      <w:r w:rsidRPr="00EB5FFB">
        <w:rPr>
          <w:color w:val="000000"/>
          <w:sz w:val="30"/>
          <w:szCs w:val="30"/>
          <w:lang w:val="en-GB" w:eastAsia="en-US"/>
        </w:rPr>
        <w:sym w:font="HQPB2" w:char="F0E1"/>
      </w:r>
      <w:r w:rsidRPr="00EB5FFB">
        <w:rPr>
          <w:rFonts w:hint="cs"/>
          <w:sz w:val="20"/>
          <w:szCs w:val="36"/>
          <w:vertAlign w:val="superscript"/>
          <w:rtl/>
          <w:lang w:val="en-GB" w:eastAsia="en-US"/>
        </w:rPr>
        <w:t xml:space="preserve"> (</w:t>
      </w:r>
      <w:r w:rsidRPr="00EB5FFB">
        <w:rPr>
          <w:bCs/>
          <w:sz w:val="20"/>
          <w:szCs w:val="32"/>
          <w:vertAlign w:val="superscript"/>
          <w:rtl/>
          <w:lang w:val="en-GB" w:eastAsia="en-US"/>
        </w:rPr>
        <w:footnoteReference w:id="16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ascii="Wingdings" w:hAnsi="Wingdings"/>
          <w:sz w:val="20"/>
          <w:szCs w:val="36"/>
          <w:lang w:val="en-GB" w:eastAsia="en-US"/>
        </w:rPr>
        <w:t></w:t>
      </w:r>
      <w:r w:rsidRPr="00EB5FFB">
        <w:rPr>
          <w:rFonts w:hint="cs"/>
          <w:sz w:val="20"/>
          <w:szCs w:val="36"/>
          <w:rtl/>
          <w:lang w:val="en-GB" w:eastAsia="en-US"/>
        </w:rPr>
        <w:t xml:space="preserve"> ومن الآيات التي ذكر طرفًا منها</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lastRenderedPageBreak/>
        <w:t xml:space="preserve">- </w:t>
      </w:r>
      <w:r w:rsidRPr="00EB5FFB">
        <w:rPr>
          <w:color w:val="000000"/>
          <w:sz w:val="30"/>
          <w:szCs w:val="30"/>
          <w:lang w:val="en-GB" w:eastAsia="en-US"/>
        </w:rPr>
        <w:sym w:font="HQPB2" w:char="F0E2"/>
      </w:r>
      <w:r w:rsidRPr="00EB5FFB">
        <w:rPr>
          <w:color w:val="000000"/>
          <w:sz w:val="30"/>
          <w:szCs w:val="30"/>
          <w:rtl/>
          <w:lang w:val="en-GB" w:eastAsia="en-US"/>
        </w:rPr>
        <w:t xml:space="preserve"> </w:t>
      </w:r>
      <w:r w:rsidRPr="00EB5FFB">
        <w:rPr>
          <w:color w:val="000000"/>
          <w:sz w:val="30"/>
          <w:szCs w:val="30"/>
          <w:lang w:val="en-GB" w:eastAsia="en-US"/>
        </w:rPr>
        <w:sym w:font="HQPB4" w:char="F0E4"/>
      </w:r>
      <w:r w:rsidRPr="00EB5FFB">
        <w:rPr>
          <w:color w:val="000000"/>
          <w:sz w:val="30"/>
          <w:szCs w:val="30"/>
          <w:lang w:val="en-GB" w:eastAsia="en-US"/>
        </w:rPr>
        <w:sym w:font="HQPB2" w:char="F02D"/>
      </w:r>
      <w:r w:rsidRPr="00EB5FFB">
        <w:rPr>
          <w:color w:val="000000"/>
          <w:sz w:val="30"/>
          <w:szCs w:val="30"/>
          <w:lang w:val="en-GB" w:eastAsia="en-US"/>
        </w:rPr>
        <w:sym w:font="HQPB4" w:char="F0CD"/>
      </w:r>
      <w:r w:rsidRPr="00EB5FFB">
        <w:rPr>
          <w:color w:val="000000"/>
          <w:sz w:val="30"/>
          <w:szCs w:val="30"/>
          <w:lang w:val="en-GB" w:eastAsia="en-US"/>
        </w:rPr>
        <w:sym w:font="HQPB1" w:char="F091"/>
      </w:r>
      <w:r w:rsidRPr="00EB5FFB">
        <w:rPr>
          <w:color w:val="000000"/>
          <w:sz w:val="30"/>
          <w:szCs w:val="30"/>
          <w:lang w:val="en-GB" w:eastAsia="en-US"/>
        </w:rPr>
        <w:sym w:font="HQPB1" w:char="F024"/>
      </w:r>
      <w:r w:rsidRPr="00EB5FFB">
        <w:rPr>
          <w:color w:val="000000"/>
          <w:sz w:val="30"/>
          <w:szCs w:val="30"/>
          <w:lang w:val="en-GB" w:eastAsia="en-US"/>
        </w:rPr>
        <w:sym w:font="HQPB4" w:char="F0A1"/>
      </w:r>
      <w:r w:rsidRPr="00EB5FFB">
        <w:rPr>
          <w:color w:val="000000"/>
          <w:sz w:val="30"/>
          <w:szCs w:val="30"/>
          <w:lang w:val="en-GB" w:eastAsia="en-US"/>
        </w:rPr>
        <w:sym w:font="HQPB1" w:char="F0A1"/>
      </w:r>
      <w:r w:rsidRPr="00EB5FFB">
        <w:rPr>
          <w:color w:val="000000"/>
          <w:sz w:val="30"/>
          <w:szCs w:val="30"/>
          <w:lang w:val="en-GB" w:eastAsia="en-US"/>
        </w:rPr>
        <w:sym w:font="HQPB2" w:char="F039"/>
      </w:r>
      <w:r w:rsidRPr="00EB5FFB">
        <w:rPr>
          <w:color w:val="000000"/>
          <w:sz w:val="30"/>
          <w:szCs w:val="30"/>
          <w:lang w:val="en-GB" w:eastAsia="en-US"/>
        </w:rPr>
        <w:sym w:font="HQPB5" w:char="F024"/>
      </w:r>
      <w:r w:rsidRPr="00EB5FFB">
        <w:rPr>
          <w:color w:val="000000"/>
          <w:sz w:val="30"/>
          <w:szCs w:val="30"/>
          <w:lang w:val="en-GB" w:eastAsia="en-US"/>
        </w:rPr>
        <w:sym w:font="HQPB1" w:char="F023"/>
      </w:r>
      <w:r w:rsidRPr="00EB5FFB">
        <w:rPr>
          <w:color w:val="000000"/>
          <w:sz w:val="30"/>
          <w:szCs w:val="30"/>
          <w:lang w:val="en-GB" w:eastAsia="en-US"/>
        </w:rPr>
        <w:sym w:font="HQPB5" w:char="F075"/>
      </w:r>
      <w:r w:rsidRPr="00EB5FFB">
        <w:rPr>
          <w:color w:val="000000"/>
          <w:sz w:val="30"/>
          <w:szCs w:val="30"/>
          <w:lang w:val="en-GB" w:eastAsia="en-US"/>
        </w:rPr>
        <w:sym w:font="HQPB2" w:char="F072"/>
      </w:r>
      <w:r w:rsidRPr="00EB5FFB">
        <w:rPr>
          <w:color w:val="000000"/>
          <w:sz w:val="30"/>
          <w:szCs w:val="30"/>
          <w:rtl/>
          <w:lang w:val="en-GB" w:eastAsia="en-US"/>
        </w:rPr>
        <w:t xml:space="preserve"> </w:t>
      </w:r>
      <w:r w:rsidRPr="00EB5FFB">
        <w:rPr>
          <w:color w:val="000000"/>
          <w:sz w:val="30"/>
          <w:szCs w:val="30"/>
          <w:lang w:val="en-GB" w:eastAsia="en-US"/>
        </w:rPr>
        <w:sym w:font="HQPB4" w:char="F0E8"/>
      </w:r>
      <w:r w:rsidRPr="00EB5FFB">
        <w:rPr>
          <w:color w:val="000000"/>
          <w:sz w:val="30"/>
          <w:szCs w:val="30"/>
          <w:lang w:val="en-GB" w:eastAsia="en-US"/>
        </w:rPr>
        <w:sym w:font="HQPB2" w:char="F070"/>
      </w:r>
      <w:r w:rsidRPr="00EB5FFB">
        <w:rPr>
          <w:color w:val="000000"/>
          <w:sz w:val="30"/>
          <w:szCs w:val="30"/>
          <w:lang w:val="en-GB" w:eastAsia="en-US"/>
        </w:rPr>
        <w:sym w:font="HQPB5" w:char="F073"/>
      </w:r>
      <w:r w:rsidRPr="00EB5FFB">
        <w:rPr>
          <w:color w:val="000000"/>
          <w:sz w:val="30"/>
          <w:szCs w:val="30"/>
          <w:lang w:val="en-GB" w:eastAsia="en-US"/>
        </w:rPr>
        <w:sym w:font="HQPB2" w:char="F025"/>
      </w:r>
      <w:r w:rsidRPr="00EB5FFB">
        <w:rPr>
          <w:color w:val="000000"/>
          <w:sz w:val="30"/>
          <w:szCs w:val="30"/>
          <w:lang w:val="en-GB" w:eastAsia="en-US"/>
        </w:rPr>
        <w:sym w:font="HQPB4" w:char="F0CD"/>
      </w:r>
      <w:r w:rsidRPr="00EB5FFB">
        <w:rPr>
          <w:color w:val="000000"/>
          <w:sz w:val="30"/>
          <w:szCs w:val="30"/>
          <w:lang w:val="en-GB" w:eastAsia="en-US"/>
        </w:rPr>
        <w:sym w:font="HQPB1" w:char="F091"/>
      </w:r>
      <w:r w:rsidRPr="00EB5FFB">
        <w:rPr>
          <w:color w:val="000000"/>
          <w:sz w:val="30"/>
          <w:szCs w:val="30"/>
          <w:lang w:val="en-GB" w:eastAsia="en-US"/>
        </w:rPr>
        <w:sym w:font="HQPB1" w:char="F024"/>
      </w:r>
      <w:r w:rsidRPr="00EB5FFB">
        <w:rPr>
          <w:color w:val="000000"/>
          <w:sz w:val="30"/>
          <w:szCs w:val="30"/>
          <w:lang w:val="en-GB" w:eastAsia="en-US"/>
        </w:rPr>
        <w:sym w:font="HQPB4" w:char="F0A1"/>
      </w:r>
      <w:r w:rsidRPr="00EB5FFB">
        <w:rPr>
          <w:color w:val="000000"/>
          <w:sz w:val="30"/>
          <w:szCs w:val="30"/>
          <w:lang w:val="en-GB" w:eastAsia="en-US"/>
        </w:rPr>
        <w:sym w:font="HQPB1" w:char="F0A1"/>
      </w:r>
      <w:r w:rsidRPr="00EB5FFB">
        <w:rPr>
          <w:color w:val="000000"/>
          <w:sz w:val="30"/>
          <w:szCs w:val="30"/>
          <w:lang w:val="en-GB" w:eastAsia="en-US"/>
        </w:rPr>
        <w:sym w:font="HQPB2" w:char="F039"/>
      </w:r>
      <w:r w:rsidRPr="00EB5FFB">
        <w:rPr>
          <w:color w:val="000000"/>
          <w:sz w:val="30"/>
          <w:szCs w:val="30"/>
          <w:lang w:val="en-GB" w:eastAsia="en-US"/>
        </w:rPr>
        <w:sym w:font="HQPB5" w:char="F024"/>
      </w:r>
      <w:r w:rsidRPr="00EB5FFB">
        <w:rPr>
          <w:color w:val="000000"/>
          <w:sz w:val="30"/>
          <w:szCs w:val="30"/>
          <w:lang w:val="en-GB" w:eastAsia="en-US"/>
        </w:rPr>
        <w:sym w:font="HQPB1" w:char="F023"/>
      </w:r>
      <w:r w:rsidRPr="00EB5FFB">
        <w:rPr>
          <w:color w:val="000000"/>
          <w:sz w:val="30"/>
          <w:szCs w:val="30"/>
          <w:lang w:val="en-GB" w:eastAsia="en-US"/>
        </w:rPr>
        <w:sym w:font="HQPB5" w:char="F075"/>
      </w:r>
      <w:r w:rsidRPr="00EB5FFB">
        <w:rPr>
          <w:color w:val="000000"/>
          <w:sz w:val="30"/>
          <w:szCs w:val="30"/>
          <w:lang w:val="en-GB" w:eastAsia="en-US"/>
        </w:rPr>
        <w:sym w:font="HQPB2" w:char="F072"/>
      </w:r>
      <w:r w:rsidRPr="00EB5FFB">
        <w:rPr>
          <w:color w:val="000000"/>
          <w:sz w:val="30"/>
          <w:szCs w:val="30"/>
          <w:rtl/>
          <w:lang w:val="en-GB" w:eastAsia="en-US"/>
        </w:rPr>
        <w:t xml:space="preserve"> </w:t>
      </w:r>
      <w:r w:rsidRPr="00EB5FFB">
        <w:rPr>
          <w:color w:val="000000"/>
          <w:sz w:val="30"/>
          <w:szCs w:val="30"/>
          <w:lang w:val="en-GB" w:eastAsia="en-US"/>
        </w:rPr>
        <w:sym w:font="HQPB5" w:char="F028"/>
      </w:r>
      <w:r w:rsidRPr="00EB5FFB">
        <w:rPr>
          <w:color w:val="000000"/>
          <w:sz w:val="30"/>
          <w:szCs w:val="30"/>
          <w:lang w:val="en-GB" w:eastAsia="en-US"/>
        </w:rPr>
        <w:sym w:font="HQPB1" w:char="F023"/>
      </w:r>
      <w:r w:rsidRPr="00EB5FFB">
        <w:rPr>
          <w:color w:val="000000"/>
          <w:sz w:val="30"/>
          <w:szCs w:val="30"/>
          <w:lang w:val="en-GB" w:eastAsia="en-US"/>
        </w:rPr>
        <w:sym w:font="HQPB4" w:char="F0FE"/>
      </w:r>
      <w:r w:rsidRPr="00EB5FFB">
        <w:rPr>
          <w:color w:val="000000"/>
          <w:sz w:val="30"/>
          <w:szCs w:val="30"/>
          <w:lang w:val="en-GB" w:eastAsia="en-US"/>
        </w:rPr>
        <w:sym w:font="HQPB2" w:char="F071"/>
      </w:r>
      <w:r w:rsidRPr="00EB5FFB">
        <w:rPr>
          <w:color w:val="000000"/>
          <w:sz w:val="30"/>
          <w:szCs w:val="30"/>
          <w:lang w:val="en-GB" w:eastAsia="en-US"/>
        </w:rPr>
        <w:sym w:font="HQPB4" w:char="F0E3"/>
      </w:r>
      <w:r w:rsidRPr="00EB5FFB">
        <w:rPr>
          <w:color w:val="000000"/>
          <w:sz w:val="30"/>
          <w:szCs w:val="30"/>
          <w:lang w:val="en-GB" w:eastAsia="en-US"/>
        </w:rPr>
        <w:sym w:font="HQPB1" w:char="F0E8"/>
      </w:r>
      <w:r w:rsidRPr="00EB5FFB">
        <w:rPr>
          <w:color w:val="000000"/>
          <w:sz w:val="30"/>
          <w:szCs w:val="30"/>
          <w:lang w:val="en-GB" w:eastAsia="en-US"/>
        </w:rPr>
        <w:sym w:font="HQPB5" w:char="F073"/>
      </w:r>
      <w:r w:rsidRPr="00EB5FFB">
        <w:rPr>
          <w:color w:val="000000"/>
          <w:sz w:val="30"/>
          <w:szCs w:val="30"/>
          <w:lang w:val="en-GB" w:eastAsia="en-US"/>
        </w:rPr>
        <w:sym w:font="HQPB1" w:char="F0DC"/>
      </w:r>
      <w:r w:rsidRPr="00EB5FFB">
        <w:rPr>
          <w:color w:val="000000"/>
          <w:sz w:val="30"/>
          <w:szCs w:val="30"/>
          <w:lang w:val="en-GB" w:eastAsia="en-US"/>
        </w:rPr>
        <w:sym w:font="HQPB4" w:char="F0F8"/>
      </w:r>
      <w:r w:rsidRPr="00EB5FFB">
        <w:rPr>
          <w:color w:val="000000"/>
          <w:sz w:val="30"/>
          <w:szCs w:val="30"/>
          <w:lang w:val="en-GB" w:eastAsia="en-US"/>
        </w:rPr>
        <w:sym w:font="HQPB2" w:char="F025"/>
      </w:r>
      <w:r w:rsidRPr="00EB5FFB">
        <w:rPr>
          <w:color w:val="000000"/>
          <w:sz w:val="30"/>
          <w:szCs w:val="30"/>
          <w:lang w:val="en-GB" w:eastAsia="en-US"/>
        </w:rPr>
        <w:sym w:font="HQPB5" w:char="F024"/>
      </w:r>
      <w:r w:rsidRPr="00EB5FFB">
        <w:rPr>
          <w:color w:val="000000"/>
          <w:sz w:val="30"/>
          <w:szCs w:val="30"/>
          <w:lang w:val="en-GB" w:eastAsia="en-US"/>
        </w:rPr>
        <w:sym w:font="HQPB1" w:char="F024"/>
      </w:r>
      <w:r w:rsidRPr="00EB5FFB">
        <w:rPr>
          <w:color w:val="000000"/>
          <w:sz w:val="30"/>
          <w:szCs w:val="30"/>
          <w:lang w:val="en-GB" w:eastAsia="en-US"/>
        </w:rPr>
        <w:sym w:font="HQPB5" w:char="F073"/>
      </w:r>
      <w:r w:rsidRPr="00EB5FFB">
        <w:rPr>
          <w:color w:val="000000"/>
          <w:sz w:val="30"/>
          <w:szCs w:val="30"/>
          <w:lang w:val="en-GB" w:eastAsia="en-US"/>
        </w:rPr>
        <w:sym w:font="HQPB1" w:char="F0F9"/>
      </w:r>
      <w:r w:rsidR="0048366D">
        <w:rPr>
          <w:color w:val="000000"/>
          <w:sz w:val="30"/>
          <w:szCs w:val="30"/>
          <w:rtl/>
          <w:lang w:val="en-GB" w:eastAsia="en-US"/>
        </w:rPr>
        <w:t>.</w:t>
      </w:r>
      <w:r w:rsidRPr="00EB5FFB">
        <w:rPr>
          <w:rFonts w:hint="cs"/>
          <w:color w:val="000000"/>
          <w:sz w:val="30"/>
          <w:szCs w:val="30"/>
          <w:rtl/>
          <w:lang w:val="en-GB" w:eastAsia="en-US"/>
        </w:rPr>
        <w:t>..</w:t>
      </w:r>
      <w:r w:rsidRPr="00EB5FFB">
        <w:rPr>
          <w:color w:val="000000"/>
          <w:sz w:val="30"/>
          <w:szCs w:val="30"/>
          <w:lang w:val="en-GB" w:eastAsia="en-US"/>
        </w:rPr>
        <w:sym w:font="HQPB2" w:char="F0E1"/>
      </w:r>
      <w:r w:rsidRPr="00EB5FFB">
        <w:rPr>
          <w:rFonts w:hint="cs"/>
          <w:sz w:val="20"/>
          <w:szCs w:val="36"/>
          <w:vertAlign w:val="superscript"/>
          <w:rtl/>
          <w:lang w:val="en-GB" w:eastAsia="en-US"/>
        </w:rPr>
        <w:t xml:space="preserve"> (</w:t>
      </w:r>
      <w:r w:rsidRPr="00EB5FFB">
        <w:rPr>
          <w:bCs/>
          <w:sz w:val="20"/>
          <w:szCs w:val="32"/>
          <w:vertAlign w:val="superscript"/>
          <w:rtl/>
          <w:lang w:val="en-GB" w:eastAsia="en-US"/>
        </w:rPr>
        <w:footnoteReference w:id="16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2-</w:t>
      </w:r>
      <w:r w:rsidRPr="00EB5FFB">
        <w:rPr>
          <w:rFonts w:hint="cs"/>
          <w:sz w:val="20"/>
          <w:szCs w:val="36"/>
          <w:rtl/>
          <w:lang w:val="en-GB" w:eastAsia="en-US"/>
        </w:rPr>
        <w:t xml:space="preserve"> إذا كان الدليل حديثًا نبويًّا أو أثرًا</w:t>
      </w:r>
      <w:r w:rsidR="0048366D">
        <w:rPr>
          <w:rFonts w:hint="cs"/>
          <w:sz w:val="20"/>
          <w:szCs w:val="36"/>
          <w:rtl/>
          <w:lang w:val="en-GB" w:eastAsia="en-US"/>
        </w:rPr>
        <w:t>:</w:t>
      </w:r>
      <w:r w:rsidRPr="00EB5FFB">
        <w:rPr>
          <w:rFonts w:hint="cs"/>
          <w:sz w:val="20"/>
          <w:szCs w:val="36"/>
          <w:rtl/>
          <w:lang w:val="en-GB" w:eastAsia="en-US"/>
        </w:rPr>
        <w:t xml:space="preserve"> فإنه يكتفي بمحلّ الشاهد منه أيضًا، ولا يبيّن وجه الاستشهاد.</w:t>
      </w:r>
    </w:p>
    <w:p w:rsidR="00EB5FFB" w:rsidRPr="00EB5FFB" w:rsidRDefault="00EB5FFB" w:rsidP="009A68A5">
      <w:pPr>
        <w:widowControl/>
        <w:ind w:firstLine="567"/>
        <w:jc w:val="both"/>
        <w:rPr>
          <w:spacing w:val="-2"/>
          <w:sz w:val="20"/>
          <w:szCs w:val="36"/>
          <w:rtl/>
          <w:lang w:val="en-GB" w:eastAsia="en-US"/>
        </w:rPr>
      </w:pPr>
      <w:r w:rsidRPr="00EB5FFB">
        <w:rPr>
          <w:rFonts w:hint="cs"/>
          <w:spacing w:val="-2"/>
          <w:sz w:val="20"/>
          <w:szCs w:val="36"/>
          <w:rtl/>
          <w:lang w:val="en-GB" w:eastAsia="en-US"/>
        </w:rPr>
        <w:t>كما أنه لم يكن من منهجه الاعتناء بالصنعة الحديثية، من جهة التحقّق من كون لفظ الحديث مطابقًا لأحد كتب الحديث المسندة، وبيان من خرجه، وما قاله المحدثون فيه...</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ومن مظاهر ذلك</w:t>
      </w:r>
      <w:r w:rsidR="0048366D">
        <w:rPr>
          <w:rFonts w:hint="cs"/>
          <w:b/>
          <w:bCs/>
          <w:sz w:val="20"/>
          <w:szCs w:val="36"/>
          <w:rtl/>
          <w:lang w:val="en-GB" w:eastAsia="en-US"/>
        </w:rPr>
        <w:t>:</w:t>
      </w:r>
    </w:p>
    <w:p w:rsidR="00EB5FFB" w:rsidRPr="00EB5FFB" w:rsidRDefault="00EB5FFB" w:rsidP="007C7F13">
      <w:pPr>
        <w:widowControl/>
        <w:numPr>
          <w:ilvl w:val="0"/>
          <w:numId w:val="10"/>
        </w:numPr>
        <w:tabs>
          <w:tab w:val="num" w:pos="849"/>
        </w:tabs>
        <w:ind w:left="849" w:hanging="284"/>
        <w:jc w:val="both"/>
        <w:rPr>
          <w:sz w:val="20"/>
          <w:szCs w:val="36"/>
          <w:rtl/>
          <w:lang w:val="en-GB" w:eastAsia="en-US"/>
        </w:rPr>
      </w:pPr>
      <w:r w:rsidRPr="00EB5FFB">
        <w:rPr>
          <w:rFonts w:hint="cs"/>
          <w:sz w:val="20"/>
          <w:szCs w:val="36"/>
          <w:rtl/>
          <w:lang w:val="en-GB" w:eastAsia="en-US"/>
        </w:rPr>
        <w:t>أن الأحاديث التي يذكرها لم يبين فيها اسم الصحابي الذي روى الحديث إلا حديثين فقط</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6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7C7F13">
      <w:pPr>
        <w:widowControl/>
        <w:numPr>
          <w:ilvl w:val="0"/>
          <w:numId w:val="10"/>
        </w:numPr>
        <w:tabs>
          <w:tab w:val="num" w:pos="849"/>
        </w:tabs>
        <w:ind w:left="849" w:hanging="284"/>
        <w:jc w:val="both"/>
        <w:rPr>
          <w:sz w:val="20"/>
          <w:szCs w:val="36"/>
          <w:rtl/>
          <w:lang w:val="en-GB" w:eastAsia="en-US"/>
        </w:rPr>
      </w:pPr>
      <w:r w:rsidRPr="00EB5FFB">
        <w:rPr>
          <w:rFonts w:hint="cs"/>
          <w:sz w:val="20"/>
          <w:szCs w:val="36"/>
          <w:rtl/>
          <w:lang w:val="en-GB" w:eastAsia="en-US"/>
        </w:rPr>
        <w:t>أن كثيرًا من الأحاديث التي يوردها لا تكون موافقة للفظ كتب الحديث، ممّا يعني أنها مذكورة بالمعنى</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6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ومن هذه الأحاديث</w:t>
      </w:r>
      <w:r w:rsidR="0048366D">
        <w:rPr>
          <w:rFonts w:hint="cs"/>
          <w:b/>
          <w:b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cs="DecoType Naskh" w:hint="cs"/>
          <w:sz w:val="34"/>
          <w:szCs w:val="34"/>
          <w:rtl/>
          <w:lang w:val="en-GB" w:eastAsia="en-US"/>
        </w:rPr>
        <w:t>هِيَ لَكِ صدقةٌ، ولنا هديةٌ</w:t>
      </w:r>
      <w:r w:rsidRPr="00EB5FFB">
        <w:rPr>
          <w:rFonts w:hint="eastAsia"/>
          <w:sz w:val="20"/>
          <w:szCs w:val="36"/>
          <w:rtl/>
          <w:lang w:val="en-GB" w:eastAsia="en-US"/>
        </w:rPr>
        <w:t>»</w:t>
      </w:r>
      <w:r w:rsidRPr="00EB5FFB">
        <w:rPr>
          <w:rFonts w:hint="cs"/>
          <w:sz w:val="20"/>
          <w:szCs w:val="36"/>
          <w:rtl/>
          <w:lang w:val="en-GB" w:eastAsia="en-US"/>
        </w:rPr>
        <w:t>. فهذا الحديث لم أجده بهذا اللفظ في كتب الحديث، وإنما ورد بألفاظ أخر، منها</w:t>
      </w:r>
      <w:r w:rsidR="0048366D">
        <w:rPr>
          <w:rFonts w:hint="cs"/>
          <w:sz w:val="20"/>
          <w:szCs w:val="36"/>
          <w:rtl/>
          <w:lang w:val="en-GB" w:eastAsia="en-US"/>
        </w:rPr>
        <w:t>:</w:t>
      </w:r>
      <w:r w:rsidRPr="00EB5FFB">
        <w:rPr>
          <w:rFonts w:hint="cs"/>
          <w:sz w:val="20"/>
          <w:szCs w:val="36"/>
          <w:rtl/>
          <w:lang w:val="en-GB" w:eastAsia="en-US"/>
        </w:rPr>
        <w:t xml:space="preserve"> لفظ البخاري</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cs="DecoType Naskh" w:hint="cs"/>
          <w:sz w:val="34"/>
          <w:szCs w:val="34"/>
          <w:rtl/>
          <w:lang w:val="en-GB" w:eastAsia="en-US"/>
        </w:rPr>
        <w:t>هُوَ لها صدقةٌ ولنا هديةٌ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6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cs="DecoType Naskh" w:hint="cs"/>
          <w:sz w:val="34"/>
          <w:szCs w:val="34"/>
          <w:rtl/>
          <w:lang w:val="en-GB" w:eastAsia="en-US"/>
        </w:rPr>
        <w:t>إذا اختلف المتبايعان، والسلعة قائمة بعينها</w:t>
      </w:r>
      <w:r w:rsidR="0048366D">
        <w:rPr>
          <w:rFonts w:cs="DecoType Naskh" w:hint="cs"/>
          <w:sz w:val="34"/>
          <w:szCs w:val="34"/>
          <w:rtl/>
          <w:lang w:val="en-GB" w:eastAsia="en-US"/>
        </w:rPr>
        <w:t>:</w:t>
      </w:r>
      <w:r w:rsidRPr="00EB5FFB">
        <w:rPr>
          <w:rFonts w:cs="DecoType Naskh" w:hint="cs"/>
          <w:sz w:val="34"/>
          <w:szCs w:val="34"/>
          <w:rtl/>
          <w:lang w:val="en-GB" w:eastAsia="en-US"/>
        </w:rPr>
        <w:t xml:space="preserve"> تحالفا، وترادّا</w:t>
      </w:r>
      <w:r w:rsidRPr="00EB5FFB">
        <w:rPr>
          <w:rFonts w:hint="eastAsia"/>
          <w:sz w:val="20"/>
          <w:szCs w:val="36"/>
          <w:rtl/>
          <w:lang w:val="en-GB" w:eastAsia="en-US"/>
        </w:rPr>
        <w:t>»</w:t>
      </w:r>
      <w:r w:rsidRPr="00EB5FFB">
        <w:rPr>
          <w:rFonts w:hint="cs"/>
          <w:sz w:val="20"/>
          <w:szCs w:val="36"/>
          <w:rtl/>
          <w:lang w:val="en-GB" w:eastAsia="en-US"/>
        </w:rPr>
        <w:t>. والرواية المتداولة في كتب الحديث بدون لفظ</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تحالفا</w:t>
      </w:r>
      <w:r w:rsidRPr="00EB5FFB">
        <w:rPr>
          <w:rFonts w:hint="eastAsia"/>
          <w:sz w:val="20"/>
          <w:szCs w:val="36"/>
          <w:rtl/>
          <w:lang w:val="en-GB" w:eastAsia="en-US"/>
        </w:rPr>
        <w:t>»</w:t>
      </w:r>
      <w:r w:rsidRPr="00EB5FFB">
        <w:rPr>
          <w:rFonts w:hint="cs"/>
          <w:sz w:val="20"/>
          <w:szCs w:val="36"/>
          <w:rtl/>
          <w:lang w:val="en-GB" w:eastAsia="en-US"/>
        </w:rPr>
        <w:t>؛ بل بتحليف البائع فقط، أو كون القول للبائع أو يترادّان، أو نحو ذلك</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6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7C7F13">
      <w:pPr>
        <w:widowControl/>
        <w:numPr>
          <w:ilvl w:val="0"/>
          <w:numId w:val="12"/>
        </w:numPr>
        <w:tabs>
          <w:tab w:val="num" w:pos="848"/>
        </w:tabs>
        <w:ind w:left="848" w:hanging="283"/>
        <w:jc w:val="both"/>
        <w:rPr>
          <w:sz w:val="20"/>
          <w:szCs w:val="36"/>
          <w:rtl/>
          <w:lang w:val="en-GB" w:eastAsia="en-US"/>
        </w:rPr>
      </w:pPr>
      <w:r w:rsidRPr="00EB5FFB">
        <w:rPr>
          <w:rFonts w:hint="cs"/>
          <w:sz w:val="20"/>
          <w:szCs w:val="36"/>
          <w:rtl/>
          <w:lang w:val="en-GB" w:eastAsia="en-US"/>
        </w:rPr>
        <w:lastRenderedPageBreak/>
        <w:t>بل إنّ بعض الأحاديث والآثار التي يوردها لا تكون معروفة في كتب الحديث أصلاً، أو وردت بأسانيد ضعيفة.</w:t>
      </w:r>
    </w:p>
    <w:p w:rsidR="00EB5FFB" w:rsidRPr="00EB5FFB" w:rsidRDefault="00EB5FFB" w:rsidP="009A68A5">
      <w:pPr>
        <w:widowControl/>
        <w:ind w:left="565" w:firstLine="2"/>
        <w:jc w:val="both"/>
        <w:rPr>
          <w:b/>
          <w:bCs/>
          <w:sz w:val="20"/>
          <w:szCs w:val="36"/>
          <w:rtl/>
          <w:lang w:val="en-GB" w:eastAsia="en-US"/>
        </w:rPr>
      </w:pPr>
      <w:r w:rsidRPr="00EB5FFB">
        <w:rPr>
          <w:rFonts w:hint="cs"/>
          <w:b/>
          <w:bCs/>
          <w:sz w:val="20"/>
          <w:szCs w:val="36"/>
          <w:rtl/>
          <w:lang w:val="en-GB" w:eastAsia="en-US"/>
        </w:rPr>
        <w:t>فمن الأحاديث التي صرّح المحدّثون بأنها غير معروفة</w:t>
      </w:r>
      <w:r w:rsidR="0048366D">
        <w:rPr>
          <w:rFonts w:hint="cs"/>
          <w:b/>
          <w:b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cs="DecoType Naskh" w:hint="cs"/>
          <w:sz w:val="20"/>
          <w:szCs w:val="36"/>
          <w:rtl/>
          <w:lang w:val="en-GB" w:eastAsia="en-US"/>
        </w:rPr>
        <w:t>القراءةُ في الأولَيين قراءةٌ في الأخرَيين</w:t>
      </w:r>
      <w:r w:rsidRPr="00EB5FFB">
        <w:rPr>
          <w:rFonts w:hint="eastAsia"/>
          <w:sz w:val="20"/>
          <w:szCs w:val="36"/>
          <w:rtl/>
          <w:lang w:val="en-GB" w:eastAsia="en-US"/>
        </w:rPr>
        <w:t>»</w:t>
      </w:r>
      <w:r w:rsidRPr="00EB5FFB">
        <w:rPr>
          <w:rFonts w:hint="cs"/>
          <w:sz w:val="20"/>
          <w:szCs w:val="36"/>
          <w:rtl/>
          <w:lang w:val="en-GB" w:eastAsia="en-US"/>
        </w:rPr>
        <w:t>. فهذا الحديث أورده ابن الجوزي في كتاب: التحقيق وذلك ضمن عدّة أحاديث، ووصفها بأنها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لا تعرف</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lang w:val="en-GB" w:eastAsia="en-US"/>
        </w:rPr>
        <w:footnoteReference w:id="16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560" w:lineRule="exact"/>
        <w:ind w:left="567" w:firstLine="0"/>
        <w:jc w:val="both"/>
        <w:rPr>
          <w:sz w:val="20"/>
          <w:szCs w:val="36"/>
          <w:rtl/>
          <w:lang w:val="en-GB" w:eastAsia="en-US"/>
        </w:rPr>
      </w:pP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cs="DecoType Naskh" w:hint="cs"/>
          <w:sz w:val="20"/>
          <w:szCs w:val="36"/>
          <w:rtl/>
          <w:lang w:val="en-GB" w:eastAsia="en-US"/>
        </w:rPr>
        <w:t>أن النبي</w:t>
      </w:r>
      <w:r w:rsidRPr="00EB5FFB">
        <w:rPr>
          <w:rFonts w:hint="cs"/>
          <w:sz w:val="20"/>
          <w:szCs w:val="36"/>
          <w:rtl/>
          <w:lang w:val="en-GB" w:eastAsia="en-US"/>
        </w:rPr>
        <w:t xml:space="preserve"> </w:t>
      </w:r>
      <w:r w:rsidRPr="00EB5FFB">
        <w:rPr>
          <w:rFonts w:ascii="AGA Arabesque" w:hAnsi="AGA Arabesque"/>
          <w:sz w:val="36"/>
          <w:szCs w:val="36"/>
          <w:lang w:eastAsia="en-US"/>
        </w:rPr>
        <w:t></w:t>
      </w:r>
      <w:r w:rsidRPr="00EB5FFB">
        <w:rPr>
          <w:rFonts w:hint="cs"/>
          <w:sz w:val="20"/>
          <w:szCs w:val="36"/>
          <w:rtl/>
          <w:lang w:eastAsia="en-US" w:bidi="ar-AE"/>
        </w:rPr>
        <w:t xml:space="preserve"> </w:t>
      </w:r>
      <w:r w:rsidRPr="00EB5FFB">
        <w:rPr>
          <w:rFonts w:cs="DecoType Naskh" w:hint="cs"/>
          <w:sz w:val="20"/>
          <w:szCs w:val="36"/>
          <w:rtl/>
          <w:lang w:val="en-GB" w:eastAsia="en-US"/>
        </w:rPr>
        <w:t>أجازَ الخيارَ إلى شهرَينِ</w:t>
      </w:r>
      <w:r w:rsidRPr="00EB5FFB">
        <w:rPr>
          <w:rFonts w:hint="eastAsia"/>
          <w:sz w:val="20"/>
          <w:szCs w:val="36"/>
          <w:rtl/>
          <w:lang w:val="en-GB" w:eastAsia="en-US"/>
        </w:rPr>
        <w:t>»</w:t>
      </w:r>
      <w:r w:rsidRPr="00EB5FFB">
        <w:rPr>
          <w:rFonts w:hint="cs"/>
          <w:sz w:val="20"/>
          <w:szCs w:val="36"/>
          <w:rtl/>
          <w:lang w:val="en-GB" w:eastAsia="en-US"/>
        </w:rPr>
        <w:t xml:space="preserve">. فهذا الحديث قال عنه صاحب (نصب الراية): </w:t>
      </w:r>
      <w:r w:rsidRPr="00EB5FFB">
        <w:rPr>
          <w:rFonts w:hint="eastAsia"/>
          <w:sz w:val="20"/>
          <w:szCs w:val="36"/>
          <w:rtl/>
          <w:lang w:val="en-GB" w:eastAsia="en-US"/>
        </w:rPr>
        <w:t>«</w:t>
      </w:r>
      <w:r w:rsidRPr="00EB5FFB">
        <w:rPr>
          <w:rFonts w:hint="cs"/>
          <w:sz w:val="20"/>
          <w:szCs w:val="36"/>
          <w:rtl/>
          <w:lang w:val="en-GB" w:eastAsia="en-US"/>
        </w:rPr>
        <w:t>روي عن ابن عمر أنه أجاز الخيار إلى شهرين. قلت</w:t>
      </w:r>
      <w:r w:rsidR="0048366D">
        <w:rPr>
          <w:rFonts w:hint="cs"/>
          <w:sz w:val="20"/>
          <w:szCs w:val="36"/>
          <w:rtl/>
          <w:lang w:val="en-GB" w:eastAsia="en-US"/>
        </w:rPr>
        <w:t>:</w:t>
      </w:r>
      <w:r w:rsidRPr="00EB5FFB">
        <w:rPr>
          <w:rFonts w:hint="cs"/>
          <w:sz w:val="20"/>
          <w:szCs w:val="36"/>
          <w:rtl/>
          <w:lang w:val="en-GB" w:eastAsia="en-US"/>
        </w:rPr>
        <w:t xml:space="preserve"> غريب جدًّا</w:t>
      </w:r>
      <w:r w:rsidRPr="00EB5FFB">
        <w:rPr>
          <w:rFonts w:hint="eastAsia"/>
          <w:sz w:val="20"/>
          <w:szCs w:val="36"/>
          <w:rtl/>
          <w:lang w:val="en-GB" w:eastAsia="en-US"/>
        </w:rPr>
        <w:t>»</w:t>
      </w:r>
      <w:r w:rsidRPr="00EB5FFB">
        <w:rPr>
          <w:rFonts w:hint="cs"/>
          <w:sz w:val="20"/>
          <w:szCs w:val="36"/>
          <w:rtl/>
          <w:lang w:val="en-GB" w:eastAsia="en-US"/>
        </w:rPr>
        <w:t>. وقال عنه صاحب (فتح القدير)</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وأما ما استدلوا من حديث ابن عمر المذكور في الكتاب: فلا يعرف في شيء من كتب الحديث والآثار</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lang w:val="en-GB" w:eastAsia="en-US"/>
        </w:rPr>
        <w:footnoteReference w:id="17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560" w:lineRule="exact"/>
        <w:ind w:left="567" w:firstLine="0"/>
        <w:jc w:val="both"/>
        <w:rPr>
          <w:b/>
          <w:bCs/>
          <w:sz w:val="20"/>
          <w:szCs w:val="36"/>
          <w:rtl/>
          <w:lang w:val="en-GB" w:eastAsia="en-US"/>
        </w:rPr>
      </w:pPr>
      <w:r w:rsidRPr="00EB5FFB">
        <w:rPr>
          <w:rFonts w:hint="cs"/>
          <w:b/>
          <w:bCs/>
          <w:sz w:val="20"/>
          <w:szCs w:val="36"/>
          <w:rtl/>
          <w:lang w:val="en-GB" w:eastAsia="en-US"/>
        </w:rPr>
        <w:t>ومن الأحاديث التي حكموا عليها بالضعف</w:t>
      </w:r>
      <w:r w:rsidR="0048366D">
        <w:rPr>
          <w:rFonts w:hint="cs"/>
          <w:b/>
          <w:b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eastAsia"/>
          <w:sz w:val="20"/>
          <w:szCs w:val="36"/>
          <w:rtl/>
          <w:lang w:val="en-GB" w:eastAsia="en-US"/>
        </w:rPr>
        <w:t>«</w:t>
      </w:r>
      <w:r w:rsidRPr="00EB5FFB">
        <w:rPr>
          <w:rFonts w:cs="DecoType Naskh" w:hint="cs"/>
          <w:sz w:val="20"/>
          <w:szCs w:val="36"/>
          <w:rtl/>
          <w:lang w:val="en-GB" w:eastAsia="en-US"/>
        </w:rPr>
        <w:t>ما رآهُ المسلمون حسنًا فهو عندَ اللهِ حسنٌ</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lang w:val="en-GB" w:eastAsia="en-US"/>
        </w:rPr>
        <w:footnoteReference w:id="17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ascii="Wingdings" w:hAnsi="Wingdings"/>
          <w:sz w:val="20"/>
          <w:szCs w:val="36"/>
          <w:lang w:val="en-GB" w:eastAsia="en-US"/>
        </w:rPr>
        <w:t></w:t>
      </w:r>
      <w:r w:rsidRPr="00EB5FFB">
        <w:rPr>
          <w:rFonts w:hint="cs"/>
          <w:sz w:val="20"/>
          <w:szCs w:val="36"/>
          <w:rtl/>
          <w:lang w:val="en-GB" w:eastAsia="en-US"/>
        </w:rPr>
        <w:t xml:space="preserve"> قد يشير إلى الحـديـث دون ذكـر لفظه، ولاسيما إذا كان الحديث مشهورًا. ومن ذلك: </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كقضاء سنة الفجر في ليلة التعريس قبل الزوال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وقوله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أن الرسول </w:t>
      </w:r>
      <w:r w:rsidRPr="00EB5FFB">
        <w:rPr>
          <w:rFonts w:ascii="AGA Arabesque" w:hAnsi="AGA Arabesque"/>
          <w:sz w:val="36"/>
          <w:szCs w:val="36"/>
          <w:lang w:eastAsia="en-US"/>
        </w:rPr>
        <w:t></w:t>
      </w:r>
      <w:r w:rsidRPr="00EB5FFB">
        <w:rPr>
          <w:rFonts w:hint="cs"/>
          <w:sz w:val="20"/>
          <w:szCs w:val="36"/>
          <w:rtl/>
          <w:lang w:eastAsia="en-US" w:bidi="ar-AE"/>
        </w:rPr>
        <w:t xml:space="preserve"> في حديث معروف جمع بين الصبي والمجنون والنائم، في كونهم مرفوعيّ القلم</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ascii="Wingdings" w:hAnsi="Wingdings"/>
          <w:sz w:val="20"/>
          <w:szCs w:val="36"/>
          <w:lang w:val="en-GB" w:eastAsia="en-US"/>
        </w:rPr>
        <w:t></w:t>
      </w:r>
      <w:r w:rsidRPr="00EB5FFB">
        <w:rPr>
          <w:rFonts w:hint="cs"/>
          <w:sz w:val="20"/>
          <w:szCs w:val="36"/>
          <w:rtl/>
          <w:lang w:val="en-GB" w:eastAsia="en-US"/>
        </w:rPr>
        <w:t xml:space="preserve"> لا يبيّن من خرّج الحديث أو الأثر، والحكم عليهما إلا نادرًا، حيث ذكر ذلك في ثلاثة مواضع هي</w:t>
      </w:r>
      <w:r w:rsidR="0048366D">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lastRenderedPageBreak/>
        <w:t>-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وذكر الإمام أبو يوسف في كتاب الخراج، حيث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بعث عمر بن الخطاب عمار بن ياسر على الصلاة</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وعند تعليقه على حديث</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cs="DecoType Naskh" w:hint="cs"/>
          <w:sz w:val="34"/>
          <w:szCs w:val="34"/>
          <w:rtl/>
          <w:lang w:val="en-GB" w:eastAsia="en-US"/>
        </w:rPr>
        <w:t>قضى بشاهدٍ ويمينٍ</w:t>
      </w:r>
      <w:r w:rsidRPr="00EB5FFB">
        <w:rPr>
          <w:rFonts w:hint="eastAsia"/>
          <w:sz w:val="20"/>
          <w:szCs w:val="36"/>
          <w:rtl/>
          <w:lang w:val="en-GB" w:eastAsia="en-US"/>
        </w:rPr>
        <w:t>»</w:t>
      </w:r>
      <w:r w:rsidRPr="00EB5FFB">
        <w:rPr>
          <w:rFonts w:hint="cs"/>
          <w:sz w:val="20"/>
          <w:szCs w:val="36"/>
          <w:rtl/>
          <w:lang w:val="en-GB" w:eastAsia="en-US"/>
        </w:rPr>
        <w:t xml:space="preserve">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إنه غريب</w:t>
      </w:r>
      <w:r w:rsidR="0048366D">
        <w:rPr>
          <w:rFonts w:hint="cs"/>
          <w:sz w:val="20"/>
          <w:szCs w:val="36"/>
          <w:rtl/>
          <w:lang w:val="en-GB" w:eastAsia="en-US"/>
        </w:rPr>
        <w:t>.</w:t>
      </w:r>
      <w:r w:rsidRPr="00EB5FFB">
        <w:rPr>
          <w:rFonts w:hint="cs"/>
          <w:sz w:val="20"/>
          <w:szCs w:val="36"/>
          <w:rtl/>
          <w:lang w:val="en-GB" w:eastAsia="en-US"/>
        </w:rPr>
        <w:t>.. على أن يحيى بن معين قد ردّه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وعند تعليقه على حديث</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cs="DecoType Naskh" w:hint="cs"/>
          <w:sz w:val="34"/>
          <w:szCs w:val="34"/>
          <w:rtl/>
          <w:lang w:val="en-GB" w:eastAsia="en-US"/>
        </w:rPr>
        <w:t>الخراجُ بالضَّمَانِ</w:t>
      </w:r>
      <w:r w:rsidRPr="00EB5FFB">
        <w:rPr>
          <w:rFonts w:hint="eastAsia"/>
          <w:sz w:val="20"/>
          <w:szCs w:val="36"/>
          <w:rtl/>
          <w:lang w:val="en-GB" w:eastAsia="en-US"/>
        </w:rPr>
        <w:t>»</w:t>
      </w:r>
      <w:r w:rsidRPr="00EB5FFB">
        <w:rPr>
          <w:rFonts w:hint="cs"/>
          <w:sz w:val="20"/>
          <w:szCs w:val="36"/>
          <w:rtl/>
          <w:lang w:val="en-GB" w:eastAsia="en-US"/>
        </w:rPr>
        <w:t xml:space="preserve">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هو حديث صحيح، رواه أحمد عن ابن داود وغيره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3-</w:t>
      </w:r>
      <w:r w:rsidRPr="00EB5FFB">
        <w:rPr>
          <w:rFonts w:hint="cs"/>
          <w:sz w:val="20"/>
          <w:szCs w:val="36"/>
          <w:rtl/>
          <w:lang w:val="en-GB" w:eastAsia="en-US"/>
        </w:rPr>
        <w:t xml:space="preserve"> إذا لم يكن الدليل نقليًّا</w:t>
      </w:r>
      <w:r w:rsidR="0048366D">
        <w:rPr>
          <w:rFonts w:hint="cs"/>
          <w:sz w:val="20"/>
          <w:szCs w:val="36"/>
          <w:rtl/>
          <w:lang w:val="en-GB" w:eastAsia="en-US"/>
        </w:rPr>
        <w:t>:</w:t>
      </w:r>
      <w:r w:rsidRPr="00EB5FFB">
        <w:rPr>
          <w:rFonts w:hint="cs"/>
          <w:sz w:val="20"/>
          <w:szCs w:val="36"/>
          <w:rtl/>
          <w:lang w:val="en-GB" w:eastAsia="en-US"/>
        </w:rPr>
        <w:t xml:space="preserve"> فإنّه يذكره باختصار، ولا يتوسع في ذكر ما يمكن أن يرد عليه من اعتراضات إلاّ نادرًا</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eastAsia="en-US"/>
        </w:rPr>
        <w:t>وأحيانًا يبيّن مصدر الدليل بتعيينه؛ كقوله</w:t>
      </w:r>
      <w:r w:rsidR="0048366D">
        <w:rPr>
          <w:rFonts w:hint="cs"/>
          <w:sz w:val="20"/>
          <w:szCs w:val="36"/>
          <w:rtl/>
          <w:lang w:eastAsia="en-US"/>
        </w:rPr>
        <w:t>:</w:t>
      </w:r>
      <w:r w:rsidRPr="00EB5FFB">
        <w:rPr>
          <w:rFonts w:hint="cs"/>
          <w:sz w:val="20"/>
          <w:szCs w:val="36"/>
          <w:rtl/>
          <w:lang w:eastAsia="en-US"/>
        </w:rPr>
        <w:t xml:space="preserve"> </w:t>
      </w:r>
      <w:r w:rsidRPr="00EB5FFB">
        <w:rPr>
          <w:rFonts w:hint="eastAsia"/>
          <w:sz w:val="20"/>
          <w:szCs w:val="36"/>
          <w:rtl/>
          <w:lang w:val="en-GB" w:eastAsia="en-US"/>
        </w:rPr>
        <w:t>«</w:t>
      </w:r>
      <w:r w:rsidRPr="00EB5FFB">
        <w:rPr>
          <w:rFonts w:hint="cs"/>
          <w:sz w:val="20"/>
          <w:szCs w:val="36"/>
          <w:rtl/>
          <w:lang w:val="en-GB" w:eastAsia="en-US"/>
        </w:rPr>
        <w:t>... كما ذكر في (غرر الأحكام)</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8"/>
      </w:r>
      <w:r w:rsidRPr="00EB5FFB">
        <w:rPr>
          <w:rFonts w:hint="cs"/>
          <w:sz w:val="20"/>
          <w:szCs w:val="36"/>
          <w:vertAlign w:val="superscript"/>
          <w:rtl/>
          <w:lang w:val="en-GB" w:eastAsia="en-US"/>
        </w:rPr>
        <w:t>)</w:t>
      </w:r>
      <w:r w:rsidRPr="00EB5FFB">
        <w:rPr>
          <w:rFonts w:hint="cs"/>
          <w:sz w:val="20"/>
          <w:szCs w:val="36"/>
          <w:rtl/>
          <w:lang w:val="en-GB" w:eastAsia="en-US"/>
        </w:rPr>
        <w:t xml:space="preserve">، أو بلفظ عامٍّ؛ كقوله: </w:t>
      </w:r>
      <w:r w:rsidRPr="00EB5FFB">
        <w:rPr>
          <w:rFonts w:hint="eastAsia"/>
          <w:sz w:val="20"/>
          <w:szCs w:val="36"/>
          <w:rtl/>
          <w:lang w:val="en-GB" w:eastAsia="en-US"/>
        </w:rPr>
        <w:t>«</w:t>
      </w:r>
      <w:r w:rsidRPr="00EB5FFB">
        <w:rPr>
          <w:rFonts w:hint="cs"/>
          <w:sz w:val="20"/>
          <w:szCs w:val="36"/>
          <w:rtl/>
          <w:lang w:val="en-GB" w:eastAsia="en-US"/>
        </w:rPr>
        <w:t>وعلّلوه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79"/>
      </w:r>
      <w:r w:rsidRPr="00EB5FFB">
        <w:rPr>
          <w:rFonts w:hint="cs"/>
          <w:sz w:val="20"/>
          <w:szCs w:val="36"/>
          <w:vertAlign w:val="superscript"/>
          <w:rtl/>
          <w:lang w:val="en-GB" w:eastAsia="en-US"/>
        </w:rPr>
        <w:t>)</w:t>
      </w:r>
      <w:r w:rsidRPr="00EB5FFB">
        <w:rPr>
          <w:rFonts w:hint="cs"/>
          <w:sz w:val="20"/>
          <w:szCs w:val="36"/>
          <w:rtl/>
          <w:lang w:val="en-GB" w:eastAsia="en-US"/>
        </w:rPr>
        <w:t>، أو</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وعللّه الأصوليّون</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8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وأكثر هذا النوع من الأدلة تعليلات عقلية، غير منسوبة لقائل</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8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السادس</w:t>
      </w:r>
      <w:r w:rsidR="0048366D">
        <w:rPr>
          <w:rFonts w:hint="cs"/>
          <w:b/>
          <w:bCs/>
          <w:sz w:val="20"/>
          <w:szCs w:val="36"/>
          <w:rtl/>
          <w:lang w:eastAsia="en-US"/>
        </w:rPr>
        <w:t>:</w:t>
      </w:r>
      <w:r w:rsidRPr="00EB5FFB">
        <w:rPr>
          <w:rFonts w:hint="cs"/>
          <w:b/>
          <w:bCs/>
          <w:sz w:val="20"/>
          <w:szCs w:val="36"/>
          <w:rtl/>
          <w:lang w:eastAsia="en-US"/>
        </w:rPr>
        <w:t xml:space="preserve"> منهجه في بيان المسائل المستثناة</w:t>
      </w:r>
      <w:r w:rsidR="0048366D">
        <w:rPr>
          <w:rFonts w:hint="cs"/>
          <w:b/>
          <w:b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بيان المسائل التي قيل إنها مستثناة من القاعدة، وعلّة تخلّفها عنها كان له النصيب الأوفر من اهتمام المؤلف؛ لأن ذلك من أهم ما يخدم غرضه من الكتاب، وهو صحة تعليل الأحكام بقواعد الكتاب.</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lastRenderedPageBreak/>
        <w:t xml:space="preserve">وممّا يؤكد حرصه على المسائل المستثناة أنه </w:t>
      </w:r>
      <w:r w:rsidRPr="00EB5FFB">
        <w:rPr>
          <w:sz w:val="20"/>
          <w:szCs w:val="36"/>
          <w:rtl/>
          <w:lang w:eastAsia="en-US"/>
        </w:rPr>
        <w:t>–</w:t>
      </w:r>
      <w:r w:rsidRPr="00EB5FFB">
        <w:rPr>
          <w:rFonts w:hint="cs"/>
          <w:sz w:val="20"/>
          <w:szCs w:val="36"/>
          <w:rtl/>
          <w:lang w:eastAsia="en-US"/>
        </w:rPr>
        <w:t xml:space="preserve"> بالإضافة إلى بيانه علة تخلّفها عن القاعدة </w:t>
      </w:r>
      <w:r w:rsidRPr="00EB5FFB">
        <w:rPr>
          <w:sz w:val="20"/>
          <w:szCs w:val="36"/>
          <w:rtl/>
          <w:lang w:eastAsia="en-US"/>
        </w:rPr>
        <w:t>–</w:t>
      </w:r>
      <w:r w:rsidRPr="00EB5FFB">
        <w:rPr>
          <w:rFonts w:hint="cs"/>
          <w:sz w:val="20"/>
          <w:szCs w:val="36"/>
          <w:rtl/>
          <w:lang w:eastAsia="en-US"/>
        </w:rPr>
        <w:t xml:space="preserve"> قد يضطر أحيانًا إلى إضافة قيد للقاعدة يمنع دخول المسألة المستثناة؛ بل قد يغير لفظ القاعدة بتضمينها المسألة المستثناة. وإذا لم يجد طريقًا لإثبات اطراد القاعدة </w:t>
      </w:r>
      <w:r w:rsidRPr="00EB5FFB">
        <w:rPr>
          <w:sz w:val="20"/>
          <w:szCs w:val="36"/>
          <w:rtl/>
          <w:lang w:eastAsia="en-US"/>
        </w:rPr>
        <w:t>–</w:t>
      </w:r>
      <w:r w:rsidRPr="00EB5FFB">
        <w:rPr>
          <w:rFonts w:hint="cs"/>
          <w:sz w:val="20"/>
          <w:szCs w:val="36"/>
          <w:rtl/>
          <w:lang w:eastAsia="en-US"/>
        </w:rPr>
        <w:t xml:space="preserve"> وهذا نادر </w:t>
      </w:r>
      <w:r w:rsidRPr="00EB5FFB">
        <w:rPr>
          <w:sz w:val="20"/>
          <w:szCs w:val="36"/>
          <w:rtl/>
          <w:lang w:eastAsia="en-US"/>
        </w:rPr>
        <w:t>–</w:t>
      </w:r>
      <w:r w:rsidRPr="00EB5FFB">
        <w:rPr>
          <w:rFonts w:hint="cs"/>
          <w:sz w:val="20"/>
          <w:szCs w:val="36"/>
          <w:rtl/>
          <w:lang w:eastAsia="en-US"/>
        </w:rPr>
        <w:t xml:space="preserve"> فإنه يحكم بأنها غير معتدٍّ بها</w:t>
      </w:r>
      <w:r w:rsidR="0048366D">
        <w:rPr>
          <w:rFonts w:hint="cs"/>
          <w:sz w:val="20"/>
          <w:szCs w:val="36"/>
          <w:rtl/>
          <w:lang w:eastAsia="en-US"/>
        </w:rPr>
        <w:t>:</w:t>
      </w:r>
    </w:p>
    <w:p w:rsidR="00EB5FFB" w:rsidRPr="00EB5FFB" w:rsidRDefault="00EB5FFB" w:rsidP="009A68A5">
      <w:pPr>
        <w:widowControl/>
        <w:spacing w:line="520" w:lineRule="exact"/>
        <w:ind w:firstLine="567"/>
        <w:jc w:val="both"/>
        <w:rPr>
          <w:sz w:val="20"/>
          <w:szCs w:val="36"/>
          <w:rtl/>
          <w:lang w:eastAsia="en-US"/>
        </w:rPr>
      </w:pPr>
      <w:r w:rsidRPr="00EB5FFB">
        <w:rPr>
          <w:rFonts w:ascii="Wingdings" w:hAnsi="Wingdings"/>
          <w:sz w:val="20"/>
          <w:szCs w:val="36"/>
          <w:lang w:val="en-GB" w:eastAsia="en-US"/>
        </w:rPr>
        <w:t></w:t>
      </w:r>
      <w:r w:rsidRPr="00EB5FFB">
        <w:rPr>
          <w:rFonts w:hint="cs"/>
          <w:sz w:val="20"/>
          <w:szCs w:val="36"/>
          <w:rtl/>
          <w:lang w:eastAsia="en-US"/>
        </w:rPr>
        <w:t xml:space="preserve"> فمن القواعد التي قيّدها بشرط</w:t>
      </w:r>
      <w:r w:rsidR="0048366D">
        <w:rPr>
          <w:rFonts w:hint="cs"/>
          <w:sz w:val="20"/>
          <w:szCs w:val="36"/>
          <w:rtl/>
          <w:lang w:eastAsia="en-US"/>
        </w:rPr>
        <w:t>:</w:t>
      </w:r>
    </w:p>
    <w:p w:rsidR="00EB5FFB" w:rsidRPr="00EB5FFB" w:rsidRDefault="00EB5FFB" w:rsidP="009A68A5">
      <w:pPr>
        <w:widowControl/>
        <w:spacing w:line="520" w:lineRule="exact"/>
        <w:ind w:firstLine="567"/>
        <w:jc w:val="both"/>
        <w:rPr>
          <w:sz w:val="36"/>
          <w:szCs w:val="36"/>
          <w:rtl/>
          <w:lang w:val="en-GB" w:eastAsia="en-US"/>
        </w:rPr>
      </w:pPr>
      <w:r w:rsidRPr="00EB5FFB">
        <w:rPr>
          <w:rFonts w:hint="cs"/>
          <w:sz w:val="36"/>
          <w:szCs w:val="36"/>
          <w:rtl/>
          <w:lang w:eastAsia="en-US"/>
        </w:rPr>
        <w:t>- ق68</w:t>
      </w:r>
      <w:r w:rsidR="0048366D">
        <w:rPr>
          <w:rFonts w:hint="cs"/>
          <w:sz w:val="36"/>
          <w:szCs w:val="36"/>
          <w:rtl/>
          <w:lang w:eastAsia="en-US"/>
        </w:rPr>
        <w:t>:</w:t>
      </w: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 تَبَدُّلُ سببِ المِلْكِ قائمٌ مقامَ تبدُّلِ الذَّاتِ</w:t>
      </w:r>
      <w:r w:rsidRPr="00EB5FFB">
        <w:rPr>
          <w:rFonts w:hint="eastAsia"/>
          <w:sz w:val="36"/>
          <w:szCs w:val="36"/>
          <w:rtl/>
          <w:lang w:val="en-GB" w:eastAsia="en-US"/>
        </w:rPr>
        <w:t xml:space="preserve"> »</w:t>
      </w:r>
      <w:r w:rsidRPr="00EB5FFB">
        <w:rPr>
          <w:rFonts w:hint="cs"/>
          <w:sz w:val="36"/>
          <w:szCs w:val="36"/>
          <w:rtl/>
          <w:lang w:val="en-GB" w:eastAsia="en-US"/>
        </w:rPr>
        <w:t>.</w:t>
      </w:r>
    </w:p>
    <w:p w:rsidR="00EB5FFB" w:rsidRPr="00EB5FFB" w:rsidRDefault="00EB5FFB" w:rsidP="009A68A5">
      <w:pPr>
        <w:widowControl/>
        <w:spacing w:line="520" w:lineRule="exact"/>
        <w:ind w:left="565" w:firstLine="2"/>
        <w:jc w:val="both"/>
        <w:rPr>
          <w:sz w:val="20"/>
          <w:szCs w:val="36"/>
          <w:rtl/>
          <w:lang w:val="en-GB" w:eastAsia="en-US"/>
        </w:rPr>
      </w:pPr>
      <w:r w:rsidRPr="00EB5FFB">
        <w:rPr>
          <w:rFonts w:hint="cs"/>
          <w:sz w:val="20"/>
          <w:szCs w:val="36"/>
          <w:rtl/>
          <w:lang w:val="en-GB" w:eastAsia="en-US"/>
        </w:rPr>
        <w:t>حيث قيدها في نهاية التعليق عليها بقوله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واعلم أن هذا بالنظر إلى غير العاقدين. وأما بالنظر إليهما</w:t>
      </w:r>
      <w:r w:rsidR="0048366D">
        <w:rPr>
          <w:rFonts w:hint="cs"/>
          <w:sz w:val="20"/>
          <w:szCs w:val="36"/>
          <w:rtl/>
          <w:lang w:val="en-GB" w:eastAsia="en-US"/>
        </w:rPr>
        <w:t>:</w:t>
      </w:r>
      <w:r w:rsidRPr="00EB5FFB">
        <w:rPr>
          <w:rFonts w:hint="cs"/>
          <w:sz w:val="20"/>
          <w:szCs w:val="36"/>
          <w:rtl/>
          <w:lang w:val="en-GB" w:eastAsia="en-US"/>
        </w:rPr>
        <w:t xml:space="preserve"> فإذا حصل المقصود لا يبالى باختلاف سببٍ</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spacing w:line="520" w:lineRule="exact"/>
        <w:ind w:firstLine="567"/>
        <w:jc w:val="both"/>
        <w:rPr>
          <w:sz w:val="20"/>
          <w:szCs w:val="36"/>
          <w:rtl/>
          <w:lang w:val="en-GB" w:eastAsia="en-US"/>
        </w:rPr>
      </w:pPr>
      <w:r w:rsidRPr="00EB5FFB">
        <w:rPr>
          <w:rFonts w:hint="cs"/>
          <w:sz w:val="20"/>
          <w:szCs w:val="36"/>
          <w:rtl/>
          <w:lang w:val="en-GB" w:eastAsia="en-US"/>
        </w:rPr>
        <w:t>- ق151</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 الشَّيُء إِذَا ثَبَتَ ثَبَتَ بِجَميعِ لَوَازِمِهِ</w:t>
      </w:r>
      <w:r w:rsidRPr="00EB5FFB">
        <w:rPr>
          <w:rFonts w:hint="eastAsia"/>
          <w:sz w:val="36"/>
          <w:szCs w:val="36"/>
          <w:rtl/>
          <w:lang w:val="en-GB" w:eastAsia="en-US"/>
        </w:rPr>
        <w:t xml:space="preserve"> »</w:t>
      </w:r>
      <w:r w:rsidRPr="00EB5FFB">
        <w:rPr>
          <w:rFonts w:hint="cs"/>
          <w:sz w:val="36"/>
          <w:szCs w:val="36"/>
          <w:rtl/>
          <w:lang w:val="en-GB" w:eastAsia="en-US"/>
        </w:rPr>
        <w:t>.</w:t>
      </w:r>
    </w:p>
    <w:p w:rsidR="00EB5FFB" w:rsidRPr="00EB5FFB" w:rsidRDefault="00EB5FFB" w:rsidP="009A68A5">
      <w:pPr>
        <w:widowControl/>
        <w:spacing w:line="520" w:lineRule="exact"/>
        <w:ind w:left="565" w:firstLine="2"/>
        <w:jc w:val="both"/>
        <w:rPr>
          <w:sz w:val="20"/>
          <w:szCs w:val="36"/>
          <w:rtl/>
          <w:lang w:val="en-GB" w:eastAsia="en-US"/>
        </w:rPr>
      </w:pPr>
      <w:r w:rsidRPr="00EB5FFB">
        <w:rPr>
          <w:rFonts w:hint="cs"/>
          <w:sz w:val="20"/>
          <w:szCs w:val="36"/>
          <w:rtl/>
          <w:lang w:val="en-GB" w:eastAsia="en-US"/>
        </w:rPr>
        <w:t>حيث قال في بداية التعليق عليها</w:t>
      </w:r>
      <w:r w:rsidR="0048366D">
        <w:rPr>
          <w:rFonts w:hint="cs"/>
          <w:sz w:val="20"/>
          <w:szCs w:val="36"/>
          <w:rtl/>
          <w:lang w:val="en-GB" w:eastAsia="en-US"/>
        </w:rPr>
        <w:t>:</w:t>
      </w:r>
      <w:r w:rsidRPr="00EB5FFB">
        <w:rPr>
          <w:rFonts w:hint="eastAsia"/>
          <w:sz w:val="20"/>
          <w:szCs w:val="36"/>
          <w:rtl/>
          <w:lang w:val="en-GB" w:eastAsia="en-US"/>
        </w:rPr>
        <w:t xml:space="preserve"> «</w:t>
      </w:r>
      <w:r w:rsidRPr="00EB5FFB">
        <w:rPr>
          <w:rFonts w:hint="cs"/>
          <w:sz w:val="20"/>
          <w:szCs w:val="36"/>
          <w:rtl/>
          <w:lang w:val="en-GB" w:eastAsia="en-US"/>
        </w:rPr>
        <w:t>... هذا ليس على اطلاقه؛ بل هو في موضع لا يتصوّر الانفكاك بين اللازم والملزوم</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sz w:val="36"/>
          <w:szCs w:val="36"/>
          <w:rtl/>
          <w:lang w:val="en-GB" w:eastAsia="en-US"/>
        </w:rPr>
        <w:t>- ق199</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 لاَ يَصِحُّ تَمْلِيكُ الدَّيْنِ مِنْ غَيْرِ مَنْ عَلَيْهِ الدّينُ</w:t>
      </w:r>
      <w:r w:rsidRPr="00EB5FFB">
        <w:rPr>
          <w:rFonts w:hint="eastAsia"/>
          <w:sz w:val="36"/>
          <w:szCs w:val="36"/>
          <w:rtl/>
          <w:lang w:val="en-GB" w:eastAsia="en-US"/>
        </w:rPr>
        <w:t xml:space="preserve"> »</w:t>
      </w:r>
      <w:r w:rsidRPr="00EB5FFB">
        <w:rPr>
          <w:rFonts w:hint="cs"/>
          <w:sz w:val="36"/>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حيث قال في بداية التعليق عليها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واعلم أن عدم صحة تمليكه</w:t>
      </w:r>
      <w:r w:rsidR="0048366D">
        <w:rPr>
          <w:rFonts w:hint="cs"/>
          <w:sz w:val="20"/>
          <w:szCs w:val="36"/>
          <w:rtl/>
          <w:lang w:val="en-GB" w:eastAsia="en-US"/>
        </w:rPr>
        <w:t>:</w:t>
      </w:r>
      <w:r w:rsidRPr="00EB5FFB">
        <w:rPr>
          <w:rFonts w:hint="cs"/>
          <w:sz w:val="20"/>
          <w:szCs w:val="36"/>
          <w:rtl/>
          <w:lang w:val="en-GB" w:eastAsia="en-US"/>
        </w:rPr>
        <w:t xml:space="preserve"> إذا لم يسلّطه على قبضه. وأما إذا سلطه</w:t>
      </w:r>
      <w:r w:rsidR="0048366D">
        <w:rPr>
          <w:rFonts w:hint="cs"/>
          <w:sz w:val="20"/>
          <w:szCs w:val="36"/>
          <w:rtl/>
          <w:lang w:val="en-GB" w:eastAsia="en-US"/>
        </w:rPr>
        <w:t>:</w:t>
      </w:r>
      <w:r w:rsidRPr="00EB5FFB">
        <w:rPr>
          <w:rFonts w:hint="cs"/>
          <w:sz w:val="20"/>
          <w:szCs w:val="36"/>
          <w:rtl/>
          <w:lang w:val="en-GB" w:eastAsia="en-US"/>
        </w:rPr>
        <w:t xml:space="preserve"> يكون وكيلاً قابضًا للموكّل، ثم لنفسه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8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540" w:lineRule="exact"/>
        <w:ind w:firstLine="567"/>
        <w:jc w:val="both"/>
        <w:rPr>
          <w:sz w:val="20"/>
          <w:szCs w:val="36"/>
          <w:rtl/>
          <w:lang w:eastAsia="en-US"/>
        </w:rPr>
      </w:pPr>
      <w:r w:rsidRPr="00EB5FFB">
        <w:rPr>
          <w:rFonts w:ascii="Wingdings" w:hAnsi="Wingdings"/>
          <w:sz w:val="20"/>
          <w:szCs w:val="36"/>
          <w:lang w:val="en-GB" w:eastAsia="en-US"/>
        </w:rPr>
        <w:t></w:t>
      </w:r>
      <w:r w:rsidRPr="00EB5FFB">
        <w:rPr>
          <w:rFonts w:hint="cs"/>
          <w:sz w:val="20"/>
          <w:szCs w:val="36"/>
          <w:rtl/>
          <w:lang w:eastAsia="en-US"/>
        </w:rPr>
        <w:t xml:space="preserve"> ومن القواعد التي ضمّن لفظها المسألة المستثناة</w:t>
      </w:r>
      <w:r w:rsidR="0048366D">
        <w:rPr>
          <w:rFonts w:hint="cs"/>
          <w:sz w:val="20"/>
          <w:szCs w:val="36"/>
          <w:rtl/>
          <w:lang w:eastAsia="en-US"/>
        </w:rPr>
        <w:t>:</w:t>
      </w:r>
    </w:p>
    <w:p w:rsidR="00EB5FFB" w:rsidRPr="00EB5FFB" w:rsidRDefault="00EB5FFB" w:rsidP="009A68A5">
      <w:pPr>
        <w:widowControl/>
        <w:spacing w:line="540" w:lineRule="exact"/>
        <w:ind w:left="565" w:firstLine="2"/>
        <w:jc w:val="both"/>
        <w:rPr>
          <w:sz w:val="20"/>
          <w:szCs w:val="36"/>
          <w:rtl/>
          <w:lang w:eastAsia="en-US"/>
        </w:rPr>
      </w:pPr>
      <w:r w:rsidRPr="00EB5FFB">
        <w:rPr>
          <w:rFonts w:hint="cs"/>
          <w:sz w:val="38"/>
          <w:szCs w:val="38"/>
          <w:rtl/>
          <w:lang w:eastAsia="en-US"/>
        </w:rPr>
        <w:t>- ق51</w:t>
      </w:r>
      <w:r w:rsidR="0048366D">
        <w:rPr>
          <w:rFonts w:hint="cs"/>
          <w:sz w:val="38"/>
          <w:szCs w:val="38"/>
          <w:rtl/>
          <w:lang w:eastAsia="en-US"/>
        </w:rPr>
        <w:t>:</w:t>
      </w:r>
      <w:r w:rsidRPr="00EB5FFB">
        <w:rPr>
          <w:rFonts w:hint="cs"/>
          <w:sz w:val="38"/>
          <w:szCs w:val="38"/>
          <w:rtl/>
          <w:lang w:eastAsia="en-US"/>
        </w:rPr>
        <w:t xml:space="preserve"> </w:t>
      </w:r>
      <w:r w:rsidRPr="00EB5FFB">
        <w:rPr>
          <w:rFonts w:hint="eastAsia"/>
          <w:sz w:val="20"/>
          <w:szCs w:val="36"/>
          <w:rtl/>
          <w:lang w:val="en-GB" w:eastAsia="en-US"/>
        </w:rPr>
        <w:t>«</w:t>
      </w:r>
      <w:r w:rsidRPr="00EB5FFB">
        <w:rPr>
          <w:rFonts w:hint="eastAsia"/>
          <w:sz w:val="38"/>
          <w:szCs w:val="38"/>
          <w:rtl/>
          <w:lang w:eastAsia="en-US"/>
        </w:rPr>
        <w:t>الب</w:t>
      </w:r>
      <w:r w:rsidRPr="00EB5FFB">
        <w:rPr>
          <w:rFonts w:hint="cs"/>
          <w:sz w:val="38"/>
          <w:szCs w:val="38"/>
          <w:rtl/>
          <w:lang w:eastAsia="en-US"/>
        </w:rPr>
        <w:t>َ</w:t>
      </w:r>
      <w:r w:rsidRPr="00EB5FFB">
        <w:rPr>
          <w:rFonts w:hint="eastAsia"/>
          <w:sz w:val="38"/>
          <w:szCs w:val="38"/>
          <w:rtl/>
          <w:lang w:eastAsia="en-US"/>
        </w:rPr>
        <w:t>ع</w:t>
      </w:r>
      <w:r w:rsidRPr="00EB5FFB">
        <w:rPr>
          <w:rFonts w:hint="cs"/>
          <w:sz w:val="38"/>
          <w:szCs w:val="38"/>
          <w:rtl/>
          <w:lang w:eastAsia="en-US"/>
        </w:rPr>
        <w:t>ْ</w:t>
      </w:r>
      <w:r w:rsidRPr="00EB5FFB">
        <w:rPr>
          <w:rFonts w:hint="eastAsia"/>
          <w:sz w:val="38"/>
          <w:szCs w:val="38"/>
          <w:rtl/>
          <w:lang w:eastAsia="en-US"/>
        </w:rPr>
        <w:t>ض</w:t>
      </w:r>
      <w:r w:rsidRPr="00EB5FFB">
        <w:rPr>
          <w:rFonts w:hint="cs"/>
          <w:sz w:val="38"/>
          <w:szCs w:val="38"/>
          <w:rtl/>
          <w:lang w:eastAsia="en-US"/>
        </w:rPr>
        <w:t xml:space="preserve">ُ </w:t>
      </w:r>
      <w:r w:rsidRPr="00EB5FFB">
        <w:rPr>
          <w:sz w:val="38"/>
          <w:szCs w:val="38"/>
          <w:rtl/>
          <w:lang w:eastAsia="en-US"/>
        </w:rPr>
        <w:t>لا</w:t>
      </w:r>
      <w:r w:rsidRPr="00EB5FFB">
        <w:rPr>
          <w:rFonts w:hint="cs"/>
          <w:sz w:val="38"/>
          <w:szCs w:val="38"/>
          <w:rtl/>
          <w:lang w:eastAsia="en-US"/>
        </w:rPr>
        <w:t>َ</w:t>
      </w:r>
      <w:r w:rsidRPr="00EB5FFB">
        <w:rPr>
          <w:sz w:val="38"/>
          <w:szCs w:val="38"/>
          <w:rtl/>
          <w:lang w:eastAsia="en-US"/>
        </w:rPr>
        <w:t xml:space="preserve"> ي</w:t>
      </w:r>
      <w:r w:rsidRPr="00EB5FFB">
        <w:rPr>
          <w:rFonts w:hint="cs"/>
          <w:sz w:val="38"/>
          <w:szCs w:val="38"/>
          <w:rtl/>
          <w:lang w:eastAsia="en-US"/>
        </w:rPr>
        <w:t>َ</w:t>
      </w:r>
      <w:r w:rsidRPr="00EB5FFB">
        <w:rPr>
          <w:sz w:val="38"/>
          <w:szCs w:val="38"/>
          <w:rtl/>
          <w:lang w:eastAsia="en-US"/>
        </w:rPr>
        <w:t>ز</w:t>
      </w:r>
      <w:r w:rsidRPr="00EB5FFB">
        <w:rPr>
          <w:rFonts w:hint="cs"/>
          <w:sz w:val="38"/>
          <w:szCs w:val="38"/>
          <w:rtl/>
          <w:lang w:eastAsia="en-US"/>
        </w:rPr>
        <w:t>ِ</w:t>
      </w:r>
      <w:r w:rsidRPr="00EB5FFB">
        <w:rPr>
          <w:sz w:val="38"/>
          <w:szCs w:val="38"/>
          <w:rtl/>
          <w:lang w:eastAsia="en-US"/>
        </w:rPr>
        <w:t>ي</w:t>
      </w:r>
      <w:r w:rsidRPr="00EB5FFB">
        <w:rPr>
          <w:rFonts w:hint="cs"/>
          <w:sz w:val="38"/>
          <w:szCs w:val="38"/>
          <w:rtl/>
          <w:lang w:eastAsia="en-US"/>
        </w:rPr>
        <w:t>ْ</w:t>
      </w:r>
      <w:r w:rsidRPr="00EB5FFB">
        <w:rPr>
          <w:sz w:val="38"/>
          <w:szCs w:val="38"/>
          <w:rtl/>
          <w:lang w:eastAsia="en-US"/>
        </w:rPr>
        <w:t>د</w:t>
      </w:r>
      <w:r w:rsidRPr="00EB5FFB">
        <w:rPr>
          <w:rFonts w:hint="cs"/>
          <w:sz w:val="38"/>
          <w:szCs w:val="38"/>
          <w:rtl/>
          <w:lang w:eastAsia="en-US"/>
        </w:rPr>
        <w:t>ُ</w:t>
      </w:r>
      <w:r w:rsidRPr="00EB5FFB">
        <w:rPr>
          <w:sz w:val="38"/>
          <w:szCs w:val="38"/>
          <w:rtl/>
          <w:lang w:eastAsia="en-US"/>
        </w:rPr>
        <w:t xml:space="preserve"> </w:t>
      </w:r>
      <w:r w:rsidRPr="00EB5FFB">
        <w:rPr>
          <w:rFonts w:hint="eastAsia"/>
          <w:sz w:val="38"/>
          <w:szCs w:val="38"/>
          <w:rtl/>
          <w:lang w:eastAsia="en-US"/>
        </w:rPr>
        <w:t>ع</w:t>
      </w:r>
      <w:r w:rsidRPr="00EB5FFB">
        <w:rPr>
          <w:rFonts w:hint="cs"/>
          <w:sz w:val="38"/>
          <w:szCs w:val="38"/>
          <w:rtl/>
          <w:lang w:eastAsia="en-US"/>
        </w:rPr>
        <w:t>َ</w:t>
      </w:r>
      <w:r w:rsidRPr="00EB5FFB">
        <w:rPr>
          <w:rFonts w:hint="eastAsia"/>
          <w:sz w:val="38"/>
          <w:szCs w:val="38"/>
          <w:rtl/>
          <w:lang w:eastAsia="en-US"/>
        </w:rPr>
        <w:t>ل</w:t>
      </w:r>
      <w:r w:rsidRPr="00EB5FFB">
        <w:rPr>
          <w:rFonts w:hint="cs"/>
          <w:sz w:val="38"/>
          <w:szCs w:val="38"/>
          <w:rtl/>
          <w:lang w:eastAsia="en-US"/>
        </w:rPr>
        <w:t>َ</w:t>
      </w:r>
      <w:r w:rsidRPr="00EB5FFB">
        <w:rPr>
          <w:rFonts w:hint="eastAsia"/>
          <w:sz w:val="38"/>
          <w:szCs w:val="38"/>
          <w:rtl/>
          <w:lang w:eastAsia="en-US"/>
        </w:rPr>
        <w:t>ى</w:t>
      </w:r>
      <w:r w:rsidRPr="00EB5FFB">
        <w:rPr>
          <w:sz w:val="38"/>
          <w:szCs w:val="38"/>
          <w:rtl/>
          <w:lang w:eastAsia="en-US"/>
        </w:rPr>
        <w:t xml:space="preserve"> الك</w:t>
      </w:r>
      <w:r w:rsidRPr="00EB5FFB">
        <w:rPr>
          <w:rFonts w:hint="cs"/>
          <w:sz w:val="38"/>
          <w:szCs w:val="38"/>
          <w:rtl/>
          <w:lang w:eastAsia="en-US"/>
        </w:rPr>
        <w:t>ُ</w:t>
      </w:r>
      <w:r w:rsidRPr="00EB5FFB">
        <w:rPr>
          <w:sz w:val="38"/>
          <w:szCs w:val="38"/>
          <w:rtl/>
          <w:lang w:eastAsia="en-US"/>
        </w:rPr>
        <w:t>ل</w:t>
      </w:r>
      <w:r w:rsidRPr="00EB5FFB">
        <w:rPr>
          <w:rFonts w:hint="cs"/>
          <w:sz w:val="38"/>
          <w:szCs w:val="38"/>
          <w:rtl/>
          <w:lang w:eastAsia="en-US"/>
        </w:rPr>
        <w:t>ِّ</w:t>
      </w:r>
      <w:r w:rsidRPr="00EB5FFB">
        <w:rPr>
          <w:sz w:val="38"/>
          <w:szCs w:val="38"/>
          <w:rtl/>
          <w:lang w:eastAsia="en-US"/>
        </w:rPr>
        <w:t xml:space="preserve"> إلا</w:t>
      </w:r>
      <w:r w:rsidRPr="00EB5FFB">
        <w:rPr>
          <w:rFonts w:hint="cs"/>
          <w:sz w:val="38"/>
          <w:szCs w:val="38"/>
          <w:rtl/>
          <w:lang w:eastAsia="en-US"/>
        </w:rPr>
        <w:t>َّ</w:t>
      </w:r>
      <w:r w:rsidRPr="00EB5FFB">
        <w:rPr>
          <w:sz w:val="38"/>
          <w:szCs w:val="38"/>
          <w:rtl/>
          <w:lang w:eastAsia="en-US"/>
        </w:rPr>
        <w:t xml:space="preserve"> ف</w:t>
      </w:r>
      <w:r w:rsidRPr="00EB5FFB">
        <w:rPr>
          <w:rFonts w:hint="cs"/>
          <w:sz w:val="38"/>
          <w:szCs w:val="38"/>
          <w:rtl/>
          <w:lang w:eastAsia="en-US"/>
        </w:rPr>
        <w:t>ِ</w:t>
      </w:r>
      <w:r w:rsidRPr="00EB5FFB">
        <w:rPr>
          <w:sz w:val="38"/>
          <w:szCs w:val="38"/>
          <w:rtl/>
          <w:lang w:eastAsia="en-US"/>
        </w:rPr>
        <w:t>ي م</w:t>
      </w:r>
      <w:r w:rsidRPr="00EB5FFB">
        <w:rPr>
          <w:rFonts w:hint="cs"/>
          <w:sz w:val="38"/>
          <w:szCs w:val="38"/>
          <w:rtl/>
          <w:lang w:eastAsia="en-US"/>
        </w:rPr>
        <w:t>َ</w:t>
      </w:r>
      <w:r w:rsidRPr="00EB5FFB">
        <w:rPr>
          <w:sz w:val="38"/>
          <w:szCs w:val="38"/>
          <w:rtl/>
          <w:lang w:eastAsia="en-US"/>
        </w:rPr>
        <w:t>س</w:t>
      </w:r>
      <w:r w:rsidRPr="00EB5FFB">
        <w:rPr>
          <w:rFonts w:hint="cs"/>
          <w:sz w:val="38"/>
          <w:szCs w:val="38"/>
          <w:rtl/>
          <w:lang w:eastAsia="en-US"/>
        </w:rPr>
        <w:t>ْ</w:t>
      </w:r>
      <w:r w:rsidRPr="00EB5FFB">
        <w:rPr>
          <w:sz w:val="38"/>
          <w:szCs w:val="38"/>
          <w:rtl/>
          <w:lang w:eastAsia="en-US"/>
        </w:rPr>
        <w:t>أ</w:t>
      </w:r>
      <w:r w:rsidRPr="00EB5FFB">
        <w:rPr>
          <w:rFonts w:hint="cs"/>
          <w:sz w:val="38"/>
          <w:szCs w:val="38"/>
          <w:rtl/>
          <w:lang w:eastAsia="en-US"/>
        </w:rPr>
        <w:t>َ</w:t>
      </w:r>
      <w:r w:rsidRPr="00EB5FFB">
        <w:rPr>
          <w:sz w:val="38"/>
          <w:szCs w:val="38"/>
          <w:rtl/>
          <w:lang w:eastAsia="en-US"/>
        </w:rPr>
        <w:t>لة</w:t>
      </w:r>
      <w:r w:rsidRPr="00EB5FFB">
        <w:rPr>
          <w:rFonts w:hint="cs"/>
          <w:sz w:val="38"/>
          <w:szCs w:val="38"/>
          <w:rtl/>
          <w:lang w:eastAsia="en-US"/>
        </w:rPr>
        <w:t>ٍ</w:t>
      </w:r>
      <w:r w:rsidRPr="00EB5FFB">
        <w:rPr>
          <w:sz w:val="38"/>
          <w:szCs w:val="38"/>
          <w:rtl/>
          <w:lang w:eastAsia="en-US"/>
        </w:rPr>
        <w:t xml:space="preserve"> و</w:t>
      </w:r>
      <w:r w:rsidRPr="00EB5FFB">
        <w:rPr>
          <w:rFonts w:hint="cs"/>
          <w:sz w:val="38"/>
          <w:szCs w:val="38"/>
          <w:rtl/>
          <w:lang w:eastAsia="en-US"/>
        </w:rPr>
        <w:t>َ</w:t>
      </w:r>
      <w:r w:rsidRPr="00EB5FFB">
        <w:rPr>
          <w:sz w:val="38"/>
          <w:szCs w:val="38"/>
          <w:rtl/>
          <w:lang w:eastAsia="en-US"/>
        </w:rPr>
        <w:t>اح</w:t>
      </w:r>
      <w:r w:rsidRPr="00EB5FFB">
        <w:rPr>
          <w:rFonts w:hint="cs"/>
          <w:sz w:val="38"/>
          <w:szCs w:val="38"/>
          <w:rtl/>
          <w:lang w:eastAsia="en-US"/>
        </w:rPr>
        <w:t>ِ</w:t>
      </w:r>
      <w:r w:rsidRPr="00EB5FFB">
        <w:rPr>
          <w:sz w:val="38"/>
          <w:szCs w:val="38"/>
          <w:rtl/>
          <w:lang w:eastAsia="en-US"/>
        </w:rPr>
        <w:t>د</w:t>
      </w:r>
      <w:r w:rsidRPr="00EB5FFB">
        <w:rPr>
          <w:rFonts w:hint="cs"/>
          <w:sz w:val="38"/>
          <w:szCs w:val="38"/>
          <w:rtl/>
          <w:lang w:eastAsia="en-US"/>
        </w:rPr>
        <w:t>َ</w:t>
      </w:r>
      <w:r w:rsidRPr="00EB5FFB">
        <w:rPr>
          <w:sz w:val="38"/>
          <w:szCs w:val="38"/>
          <w:rtl/>
          <w:lang w:eastAsia="en-US"/>
        </w:rPr>
        <w:t>ة</w:t>
      </w:r>
      <w:r w:rsidRPr="00EB5FFB">
        <w:rPr>
          <w:rFonts w:hint="cs"/>
          <w:sz w:val="38"/>
          <w:szCs w:val="38"/>
          <w:rtl/>
          <w:lang w:eastAsia="en-US"/>
        </w:rPr>
        <w:t>ٍ</w:t>
      </w:r>
      <w:r w:rsidRPr="00EB5FFB">
        <w:rPr>
          <w:sz w:val="38"/>
          <w:szCs w:val="38"/>
          <w:rtl/>
          <w:lang w:eastAsia="en-US"/>
        </w:rPr>
        <w:t>، و</w:t>
      </w:r>
      <w:r w:rsidRPr="00EB5FFB">
        <w:rPr>
          <w:rFonts w:hint="cs"/>
          <w:sz w:val="38"/>
          <w:szCs w:val="38"/>
          <w:rtl/>
          <w:lang w:eastAsia="en-US"/>
        </w:rPr>
        <w:t>َ</w:t>
      </w:r>
      <w:r w:rsidRPr="00EB5FFB">
        <w:rPr>
          <w:sz w:val="38"/>
          <w:szCs w:val="38"/>
          <w:rtl/>
          <w:lang w:eastAsia="en-US"/>
        </w:rPr>
        <w:t>ه</w:t>
      </w:r>
      <w:r w:rsidRPr="00EB5FFB">
        <w:rPr>
          <w:rFonts w:hint="cs"/>
          <w:sz w:val="38"/>
          <w:szCs w:val="38"/>
          <w:rtl/>
          <w:lang w:eastAsia="en-US"/>
        </w:rPr>
        <w:t>ِ</w:t>
      </w:r>
      <w:r w:rsidRPr="00EB5FFB">
        <w:rPr>
          <w:sz w:val="38"/>
          <w:szCs w:val="38"/>
          <w:rtl/>
          <w:lang w:eastAsia="en-US"/>
        </w:rPr>
        <w:t>ي</w:t>
      </w:r>
      <w:r w:rsidRPr="00EB5FFB">
        <w:rPr>
          <w:rFonts w:hint="cs"/>
          <w:sz w:val="38"/>
          <w:szCs w:val="38"/>
          <w:rtl/>
          <w:lang w:eastAsia="en-US"/>
        </w:rPr>
        <w:t>َ</w:t>
      </w:r>
      <w:r w:rsidRPr="00EB5FFB">
        <w:rPr>
          <w:sz w:val="38"/>
          <w:szCs w:val="38"/>
          <w:rtl/>
          <w:lang w:eastAsia="en-US"/>
        </w:rPr>
        <w:t xml:space="preserve"> إذ</w:t>
      </w:r>
      <w:r w:rsidRPr="00EB5FFB">
        <w:rPr>
          <w:rFonts w:hint="cs"/>
          <w:sz w:val="38"/>
          <w:szCs w:val="38"/>
          <w:rtl/>
          <w:lang w:eastAsia="en-US"/>
        </w:rPr>
        <w:t>َ</w:t>
      </w:r>
      <w:r w:rsidRPr="00EB5FFB">
        <w:rPr>
          <w:sz w:val="38"/>
          <w:szCs w:val="38"/>
          <w:rtl/>
          <w:lang w:eastAsia="en-US"/>
        </w:rPr>
        <w:t>ا ق</w:t>
      </w:r>
      <w:r w:rsidRPr="00EB5FFB">
        <w:rPr>
          <w:rFonts w:hint="cs"/>
          <w:sz w:val="38"/>
          <w:szCs w:val="38"/>
          <w:rtl/>
          <w:lang w:eastAsia="en-US"/>
        </w:rPr>
        <w:t>َ</w:t>
      </w:r>
      <w:r w:rsidRPr="00EB5FFB">
        <w:rPr>
          <w:sz w:val="38"/>
          <w:szCs w:val="38"/>
          <w:rtl/>
          <w:lang w:eastAsia="en-US"/>
        </w:rPr>
        <w:t>ال</w:t>
      </w:r>
      <w:r w:rsidRPr="00EB5FFB">
        <w:rPr>
          <w:rFonts w:hint="cs"/>
          <w:sz w:val="38"/>
          <w:szCs w:val="38"/>
          <w:rtl/>
          <w:lang w:eastAsia="en-US"/>
        </w:rPr>
        <w:t>َ</w:t>
      </w:r>
      <w:r w:rsidRPr="00EB5FFB">
        <w:rPr>
          <w:sz w:val="38"/>
          <w:szCs w:val="38"/>
          <w:rtl/>
          <w:lang w:eastAsia="en-US"/>
        </w:rPr>
        <w:t xml:space="preserve"> الر</w:t>
      </w:r>
      <w:r w:rsidRPr="00EB5FFB">
        <w:rPr>
          <w:rFonts w:hint="cs"/>
          <w:sz w:val="38"/>
          <w:szCs w:val="38"/>
          <w:rtl/>
          <w:lang w:eastAsia="en-US"/>
        </w:rPr>
        <w:t>َّ</w:t>
      </w:r>
      <w:r w:rsidRPr="00EB5FFB">
        <w:rPr>
          <w:sz w:val="38"/>
          <w:szCs w:val="38"/>
          <w:rtl/>
          <w:lang w:eastAsia="en-US"/>
        </w:rPr>
        <w:t>ج</w:t>
      </w:r>
      <w:r w:rsidRPr="00EB5FFB">
        <w:rPr>
          <w:rFonts w:hint="cs"/>
          <w:sz w:val="38"/>
          <w:szCs w:val="38"/>
          <w:rtl/>
          <w:lang w:eastAsia="en-US"/>
        </w:rPr>
        <w:t>ُ</w:t>
      </w:r>
      <w:r w:rsidRPr="00EB5FFB">
        <w:rPr>
          <w:sz w:val="38"/>
          <w:szCs w:val="38"/>
          <w:rtl/>
          <w:lang w:eastAsia="en-US"/>
        </w:rPr>
        <w:t>ل</w:t>
      </w:r>
      <w:r w:rsidRPr="00EB5FFB">
        <w:rPr>
          <w:rFonts w:hint="cs"/>
          <w:sz w:val="38"/>
          <w:szCs w:val="38"/>
          <w:rtl/>
          <w:lang w:eastAsia="en-US"/>
        </w:rPr>
        <w:t>ُ</w:t>
      </w:r>
      <w:r w:rsidRPr="00EB5FFB">
        <w:rPr>
          <w:sz w:val="38"/>
          <w:szCs w:val="38"/>
          <w:rtl/>
          <w:lang w:eastAsia="en-US"/>
        </w:rPr>
        <w:t xml:space="preserve"> لامرأت</w:t>
      </w:r>
      <w:r w:rsidRPr="00EB5FFB">
        <w:rPr>
          <w:rFonts w:hint="cs"/>
          <w:sz w:val="38"/>
          <w:szCs w:val="38"/>
          <w:rtl/>
          <w:lang w:eastAsia="en-US"/>
        </w:rPr>
        <w:t>ِ</w:t>
      </w:r>
      <w:r w:rsidRPr="00EB5FFB">
        <w:rPr>
          <w:sz w:val="38"/>
          <w:szCs w:val="38"/>
          <w:rtl/>
          <w:lang w:eastAsia="en-US"/>
        </w:rPr>
        <w:t>ه</w:t>
      </w:r>
      <w:r w:rsidRPr="00EB5FFB">
        <w:rPr>
          <w:rFonts w:hint="cs"/>
          <w:sz w:val="38"/>
          <w:szCs w:val="38"/>
          <w:rtl/>
          <w:lang w:eastAsia="en-US"/>
        </w:rPr>
        <w:t>ِ</w:t>
      </w:r>
      <w:r w:rsidR="0048366D">
        <w:rPr>
          <w:sz w:val="38"/>
          <w:szCs w:val="38"/>
          <w:rtl/>
          <w:lang w:eastAsia="en-US"/>
        </w:rPr>
        <w:t>:</w:t>
      </w:r>
      <w:r w:rsidRPr="00EB5FFB">
        <w:rPr>
          <w:sz w:val="38"/>
          <w:szCs w:val="38"/>
          <w:rtl/>
          <w:lang w:eastAsia="en-US"/>
        </w:rPr>
        <w:t xml:space="preserve"> أ</w:t>
      </w:r>
      <w:r w:rsidRPr="00EB5FFB">
        <w:rPr>
          <w:rFonts w:hint="cs"/>
          <w:sz w:val="38"/>
          <w:szCs w:val="38"/>
          <w:rtl/>
          <w:lang w:eastAsia="en-US"/>
        </w:rPr>
        <w:t>َ</w:t>
      </w:r>
      <w:r w:rsidRPr="00EB5FFB">
        <w:rPr>
          <w:sz w:val="38"/>
          <w:szCs w:val="38"/>
          <w:rtl/>
          <w:lang w:eastAsia="en-US"/>
        </w:rPr>
        <w:t>ن</w:t>
      </w:r>
      <w:r w:rsidRPr="00EB5FFB">
        <w:rPr>
          <w:rFonts w:hint="cs"/>
          <w:sz w:val="38"/>
          <w:szCs w:val="38"/>
          <w:rtl/>
          <w:lang w:eastAsia="en-US"/>
        </w:rPr>
        <w:t>ْ</w:t>
      </w:r>
      <w:r w:rsidRPr="00EB5FFB">
        <w:rPr>
          <w:sz w:val="38"/>
          <w:szCs w:val="38"/>
          <w:rtl/>
          <w:lang w:eastAsia="en-US"/>
        </w:rPr>
        <w:t>ت</w:t>
      </w:r>
      <w:r w:rsidRPr="00EB5FFB">
        <w:rPr>
          <w:rFonts w:hint="cs"/>
          <w:sz w:val="38"/>
          <w:szCs w:val="38"/>
          <w:rtl/>
          <w:lang w:eastAsia="en-US"/>
        </w:rPr>
        <w:t>ِ</w:t>
      </w:r>
      <w:r w:rsidRPr="00EB5FFB">
        <w:rPr>
          <w:sz w:val="38"/>
          <w:szCs w:val="38"/>
          <w:rtl/>
          <w:lang w:eastAsia="en-US"/>
        </w:rPr>
        <w:t xml:space="preserve"> عليَّ ك</w:t>
      </w:r>
      <w:r w:rsidRPr="00EB5FFB">
        <w:rPr>
          <w:rFonts w:hint="cs"/>
          <w:sz w:val="38"/>
          <w:szCs w:val="38"/>
          <w:rtl/>
          <w:lang w:eastAsia="en-US"/>
        </w:rPr>
        <w:t>َ</w:t>
      </w:r>
      <w:r w:rsidRPr="00EB5FFB">
        <w:rPr>
          <w:sz w:val="38"/>
          <w:szCs w:val="38"/>
          <w:rtl/>
          <w:lang w:eastAsia="en-US"/>
        </w:rPr>
        <w:t>ظ</w:t>
      </w:r>
      <w:r w:rsidRPr="00EB5FFB">
        <w:rPr>
          <w:rFonts w:hint="cs"/>
          <w:sz w:val="38"/>
          <w:szCs w:val="38"/>
          <w:rtl/>
          <w:lang w:eastAsia="en-US"/>
        </w:rPr>
        <w:t>َ</w:t>
      </w:r>
      <w:r w:rsidRPr="00EB5FFB">
        <w:rPr>
          <w:sz w:val="38"/>
          <w:szCs w:val="38"/>
          <w:rtl/>
          <w:lang w:eastAsia="en-US"/>
        </w:rPr>
        <w:t>ه</w:t>
      </w:r>
      <w:r w:rsidRPr="00EB5FFB">
        <w:rPr>
          <w:rFonts w:hint="cs"/>
          <w:sz w:val="38"/>
          <w:szCs w:val="38"/>
          <w:rtl/>
          <w:lang w:eastAsia="en-US"/>
        </w:rPr>
        <w:t>ْ</w:t>
      </w:r>
      <w:r w:rsidRPr="00EB5FFB">
        <w:rPr>
          <w:sz w:val="38"/>
          <w:szCs w:val="38"/>
          <w:rtl/>
          <w:lang w:eastAsia="en-US"/>
        </w:rPr>
        <w:t>ر</w:t>
      </w:r>
      <w:r w:rsidRPr="00EB5FFB">
        <w:rPr>
          <w:rFonts w:hint="cs"/>
          <w:sz w:val="38"/>
          <w:szCs w:val="38"/>
          <w:rtl/>
          <w:lang w:eastAsia="en-US"/>
        </w:rPr>
        <w:t>ِ</w:t>
      </w:r>
      <w:r w:rsidRPr="00EB5FFB">
        <w:rPr>
          <w:sz w:val="38"/>
          <w:szCs w:val="38"/>
          <w:rtl/>
          <w:lang w:eastAsia="en-US"/>
        </w:rPr>
        <w:t xml:space="preserve"> أ</w:t>
      </w:r>
      <w:r w:rsidRPr="00EB5FFB">
        <w:rPr>
          <w:rFonts w:hint="cs"/>
          <w:sz w:val="38"/>
          <w:szCs w:val="38"/>
          <w:rtl/>
          <w:lang w:eastAsia="en-US"/>
        </w:rPr>
        <w:t>ُ</w:t>
      </w:r>
      <w:r w:rsidRPr="00EB5FFB">
        <w:rPr>
          <w:sz w:val="38"/>
          <w:szCs w:val="38"/>
          <w:rtl/>
          <w:lang w:eastAsia="en-US"/>
        </w:rPr>
        <w:t>مّ</w:t>
      </w:r>
      <w:r w:rsidRPr="00EB5FFB">
        <w:rPr>
          <w:rFonts w:hint="eastAsia"/>
          <w:sz w:val="38"/>
          <w:szCs w:val="38"/>
          <w:rtl/>
          <w:lang w:eastAsia="en-US"/>
        </w:rPr>
        <w:t>ِي</w:t>
      </w:r>
      <w:r w:rsidRPr="00EB5FFB">
        <w:rPr>
          <w:rFonts w:hint="eastAsia"/>
          <w:sz w:val="20"/>
          <w:szCs w:val="36"/>
          <w:rtl/>
          <w:lang w:val="en-GB" w:eastAsia="en-US"/>
        </w:rPr>
        <w:t>»</w:t>
      </w:r>
      <w:r w:rsidRPr="00EB5FFB">
        <w:rPr>
          <w:rFonts w:hint="cs"/>
          <w:sz w:val="38"/>
          <w:szCs w:val="38"/>
          <w:rtl/>
          <w:lang w:eastAsia="en-US"/>
        </w:rPr>
        <w:t>.</w:t>
      </w:r>
      <w:r w:rsidRPr="00EB5FFB">
        <w:rPr>
          <w:rFonts w:hint="cs"/>
          <w:sz w:val="20"/>
          <w:szCs w:val="36"/>
          <w:rtl/>
          <w:lang w:eastAsia="en-US"/>
        </w:rPr>
        <w:t xml:space="preserve"> </w:t>
      </w:r>
    </w:p>
    <w:p w:rsidR="00EB5FFB" w:rsidRPr="00EB5FFB" w:rsidRDefault="00EB5FFB" w:rsidP="009A68A5">
      <w:pPr>
        <w:widowControl/>
        <w:spacing w:line="540" w:lineRule="exact"/>
        <w:ind w:left="565" w:firstLine="2"/>
        <w:jc w:val="both"/>
        <w:rPr>
          <w:sz w:val="20"/>
          <w:szCs w:val="36"/>
          <w:rtl/>
          <w:lang w:val="en-GB" w:eastAsia="en-US"/>
        </w:rPr>
      </w:pPr>
      <w:r w:rsidRPr="00EB5FFB">
        <w:rPr>
          <w:rFonts w:hint="cs"/>
          <w:sz w:val="38"/>
          <w:szCs w:val="38"/>
          <w:rtl/>
          <w:lang w:val="en-GB" w:eastAsia="en-US"/>
        </w:rPr>
        <w:t>- ق112</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الحرُّ لا يدخلُ تحتَ اليدِ</w:t>
      </w:r>
      <w:r w:rsidRPr="00EB5FFB">
        <w:rPr>
          <w:rFonts w:hint="eastAsia"/>
          <w:sz w:val="20"/>
          <w:szCs w:val="36"/>
          <w:rtl/>
          <w:lang w:val="en-GB" w:eastAsia="en-US"/>
        </w:rPr>
        <w:t>»</w:t>
      </w:r>
      <w:r w:rsidRPr="00EB5FFB">
        <w:rPr>
          <w:rFonts w:hint="cs"/>
          <w:sz w:val="38"/>
          <w:szCs w:val="38"/>
          <w:rtl/>
          <w:lang w:val="en-GB" w:eastAsia="en-US"/>
        </w:rPr>
        <w:t>. حيث قال في نهاية تعليقه عليها</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فالأولى أن يقال</w:t>
      </w:r>
      <w:r w:rsidR="0048366D">
        <w:rPr>
          <w:rFonts w:hint="cs"/>
          <w:sz w:val="20"/>
          <w:szCs w:val="36"/>
          <w:rtl/>
          <w:lang w:val="en-GB" w:eastAsia="en-US"/>
        </w:rPr>
        <w:t>:</w:t>
      </w:r>
      <w:r w:rsidRPr="00EB5FFB">
        <w:rPr>
          <w:rFonts w:hint="cs"/>
          <w:sz w:val="20"/>
          <w:szCs w:val="36"/>
          <w:rtl/>
          <w:lang w:val="en-GB" w:eastAsia="en-US"/>
        </w:rPr>
        <w:t xml:space="preserve"> الحرّ لا يدخل تحت اليد إلا الزوجة، فإنها في يد زوجها</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spacing w:line="540" w:lineRule="exact"/>
        <w:ind w:firstLine="567"/>
        <w:jc w:val="both"/>
        <w:rPr>
          <w:sz w:val="36"/>
          <w:szCs w:val="36"/>
          <w:rtl/>
          <w:lang w:val="en-GB" w:eastAsia="en-US"/>
        </w:rPr>
      </w:pPr>
      <w:r w:rsidRPr="00EB5FFB">
        <w:rPr>
          <w:rFonts w:ascii="Wingdings" w:hAnsi="Wingdings"/>
          <w:sz w:val="20"/>
          <w:szCs w:val="36"/>
          <w:lang w:val="en-GB" w:eastAsia="en-US"/>
        </w:rPr>
        <w:t></w:t>
      </w:r>
      <w:r w:rsidRPr="00EB5FFB">
        <w:rPr>
          <w:rFonts w:hint="cs"/>
          <w:sz w:val="38"/>
          <w:szCs w:val="38"/>
          <w:rtl/>
          <w:lang w:val="en-GB" w:eastAsia="en-US"/>
        </w:rPr>
        <w:t xml:space="preserve"> </w:t>
      </w:r>
      <w:r w:rsidRPr="00EB5FFB">
        <w:rPr>
          <w:rFonts w:hint="cs"/>
          <w:sz w:val="36"/>
          <w:szCs w:val="36"/>
          <w:rtl/>
          <w:lang w:val="en-GB" w:eastAsia="en-US"/>
        </w:rPr>
        <w:t>ومن القواعد التي نفى صحة الاحتجاج بها؛ لعدم اطرادها</w:t>
      </w:r>
      <w:r w:rsidR="0048366D">
        <w:rPr>
          <w:rFonts w:hint="cs"/>
          <w:sz w:val="36"/>
          <w:szCs w:val="36"/>
          <w:rtl/>
          <w:lang w:val="en-GB" w:eastAsia="en-US"/>
        </w:rPr>
        <w:t>:</w:t>
      </w:r>
    </w:p>
    <w:p w:rsidR="00EB5FFB" w:rsidRPr="00EB5FFB" w:rsidRDefault="00EB5FFB" w:rsidP="007C7F13">
      <w:pPr>
        <w:widowControl/>
        <w:numPr>
          <w:ilvl w:val="0"/>
          <w:numId w:val="11"/>
        </w:numPr>
        <w:spacing w:line="540" w:lineRule="exact"/>
        <w:jc w:val="both"/>
        <w:rPr>
          <w:sz w:val="36"/>
          <w:szCs w:val="36"/>
          <w:rtl/>
          <w:lang w:val="en-GB" w:eastAsia="en-US"/>
        </w:rPr>
      </w:pPr>
      <w:r w:rsidRPr="00EB5FFB">
        <w:rPr>
          <w:rFonts w:hint="cs"/>
          <w:sz w:val="36"/>
          <w:szCs w:val="36"/>
          <w:rtl/>
          <w:lang w:val="en-GB" w:eastAsia="en-US"/>
        </w:rPr>
        <w:t>ق63</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التَّابعُ لا يُفْرَدُ بالحُكْمِ</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7C7F13">
      <w:pPr>
        <w:widowControl/>
        <w:numPr>
          <w:ilvl w:val="0"/>
          <w:numId w:val="11"/>
        </w:numPr>
        <w:spacing w:line="540" w:lineRule="exact"/>
        <w:jc w:val="both"/>
        <w:rPr>
          <w:sz w:val="36"/>
          <w:szCs w:val="36"/>
          <w:rtl/>
          <w:lang w:val="en-GB" w:eastAsia="en-US"/>
        </w:rPr>
      </w:pPr>
      <w:r w:rsidRPr="00EB5FFB">
        <w:rPr>
          <w:rFonts w:hint="cs"/>
          <w:sz w:val="36"/>
          <w:szCs w:val="36"/>
          <w:rtl/>
          <w:lang w:val="en-GB" w:eastAsia="en-US"/>
        </w:rPr>
        <w:t>ق177</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 قَدْ يَثْبُتُ الفَرْعُ و إِنْ لَمْ يَثْبُتِ الأَصْلُ.</w:t>
      </w:r>
      <w:r w:rsidRPr="00EB5FFB">
        <w:rPr>
          <w:rFonts w:hint="eastAsia"/>
          <w:sz w:val="36"/>
          <w:szCs w:val="36"/>
          <w:rtl/>
          <w:lang w:val="en-GB" w:eastAsia="en-US"/>
        </w:rPr>
        <w:t>»</w:t>
      </w:r>
      <w:r w:rsidRPr="00EB5FFB">
        <w:rPr>
          <w:rFonts w:hint="cs"/>
          <w:sz w:val="36"/>
          <w:szCs w:val="36"/>
          <w:rtl/>
          <w:lang w:val="en-GB" w:eastAsia="en-US"/>
        </w:rPr>
        <w:t xml:space="preserve">. </w:t>
      </w:r>
    </w:p>
    <w:p w:rsidR="00EB5FFB" w:rsidRPr="00EB5FFB" w:rsidRDefault="00EB5FFB" w:rsidP="009A68A5">
      <w:pPr>
        <w:widowControl/>
        <w:spacing w:line="520" w:lineRule="exact"/>
        <w:ind w:firstLine="567"/>
        <w:jc w:val="both"/>
        <w:rPr>
          <w:spacing w:val="-6"/>
          <w:sz w:val="36"/>
          <w:szCs w:val="36"/>
          <w:rtl/>
          <w:lang w:val="en-GB" w:eastAsia="en-US"/>
        </w:rPr>
      </w:pPr>
      <w:r w:rsidRPr="00EB5FFB">
        <w:rPr>
          <w:rFonts w:hint="cs"/>
          <w:spacing w:val="-6"/>
          <w:sz w:val="36"/>
          <w:szCs w:val="36"/>
          <w:rtl/>
          <w:lang w:val="en-GB" w:eastAsia="en-US"/>
        </w:rPr>
        <w:lastRenderedPageBreak/>
        <w:t>إضافة إلى ما سبق فإن المؤلف نفسه صرح بأهمية بيان المسائل المستثناة من القواعد ظاهرًا وعلة استثنائها منها؛ حتى تبقى القاعدة كلية يصح الاستدلال بها فقال</w:t>
      </w:r>
      <w:r w:rsidR="0048366D">
        <w:rPr>
          <w:rFonts w:hint="cs"/>
          <w:spacing w:val="-6"/>
          <w:sz w:val="36"/>
          <w:szCs w:val="36"/>
          <w:rtl/>
          <w:lang w:val="en-GB" w:eastAsia="en-US"/>
        </w:rPr>
        <w:t>:</w:t>
      </w:r>
      <w:r w:rsidRPr="00EB5FFB">
        <w:rPr>
          <w:rFonts w:hint="cs"/>
          <w:spacing w:val="-6"/>
          <w:sz w:val="36"/>
          <w:szCs w:val="36"/>
          <w:rtl/>
          <w:lang w:val="en-GB" w:eastAsia="en-US"/>
        </w:rPr>
        <w:t xml:space="preserve"> </w:t>
      </w:r>
      <w:r w:rsidRPr="00EB5FFB">
        <w:rPr>
          <w:rFonts w:hint="eastAsia"/>
          <w:spacing w:val="-6"/>
          <w:sz w:val="36"/>
          <w:szCs w:val="36"/>
          <w:rtl/>
          <w:lang w:val="en-GB" w:eastAsia="en-US"/>
        </w:rPr>
        <w:t>«</w:t>
      </w:r>
      <w:r w:rsidRPr="00EB5FFB">
        <w:rPr>
          <w:rFonts w:hint="cs"/>
          <w:spacing w:val="-6"/>
          <w:sz w:val="36"/>
          <w:szCs w:val="36"/>
          <w:rtl/>
          <w:lang w:val="en-GB" w:eastAsia="en-US"/>
        </w:rPr>
        <w:t>فأنت تحتاج إلى نظر دقيق في سائر المسائل الخارجة عن الأصل في بدء النظر؛ ليتّضح لك أسباب خروجها عن الأصل؛</w:t>
      </w:r>
    </w:p>
    <w:p w:rsidR="00EB5FFB" w:rsidRPr="00EB5FFB" w:rsidRDefault="00EB5FFB" w:rsidP="009A68A5">
      <w:pPr>
        <w:widowControl/>
        <w:spacing w:line="520" w:lineRule="exact"/>
        <w:ind w:firstLine="567"/>
        <w:jc w:val="both"/>
        <w:rPr>
          <w:sz w:val="36"/>
          <w:szCs w:val="36"/>
          <w:rtl/>
          <w:lang w:val="en-GB" w:eastAsia="en-US"/>
        </w:rPr>
      </w:pPr>
      <w:r w:rsidRPr="00EB5FFB">
        <w:rPr>
          <w:rFonts w:hint="cs"/>
          <w:sz w:val="36"/>
          <w:szCs w:val="36"/>
          <w:rtl/>
          <w:lang w:val="en-GB" w:eastAsia="en-US"/>
        </w:rPr>
        <w:t xml:space="preserve"> لأن القواعد والأصول إذا لم تكن مطّردة لا يصح الاستدلال بها...</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83"/>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hint="cs"/>
          <w:b/>
          <w:bCs/>
          <w:sz w:val="36"/>
          <w:szCs w:val="36"/>
          <w:rtl/>
          <w:lang w:val="en-GB" w:eastAsia="en-US"/>
        </w:rPr>
        <w:t>أما منهجه في عرض المسائل التي قيل إنها مستثناة</w:t>
      </w:r>
      <w:r w:rsidR="0048366D">
        <w:rPr>
          <w:rFonts w:hint="cs"/>
          <w:b/>
          <w:bCs/>
          <w:sz w:val="36"/>
          <w:szCs w:val="36"/>
          <w:rtl/>
          <w:lang w:val="en-GB" w:eastAsia="en-US"/>
        </w:rPr>
        <w:t>:</w:t>
      </w:r>
      <w:r w:rsidRPr="00EB5FFB">
        <w:rPr>
          <w:rFonts w:hint="cs"/>
          <w:sz w:val="36"/>
          <w:szCs w:val="36"/>
          <w:rtl/>
          <w:lang w:val="en-GB" w:eastAsia="en-US"/>
        </w:rPr>
        <w:t xml:space="preserve"> فيتلخص فيما يأتي</w:t>
      </w:r>
      <w:r w:rsidR="0048366D">
        <w:rPr>
          <w:rFonts w:hint="cs"/>
          <w:sz w:val="36"/>
          <w:szCs w:val="36"/>
          <w:rtl/>
          <w:lang w:val="en-GB" w:eastAsia="en-US"/>
        </w:rPr>
        <w:t>:</w:t>
      </w:r>
    </w:p>
    <w:p w:rsidR="00EB5FFB" w:rsidRPr="00EB5FFB" w:rsidRDefault="00EB5FFB" w:rsidP="009A68A5">
      <w:pPr>
        <w:widowControl/>
        <w:ind w:firstLine="567"/>
        <w:jc w:val="both"/>
        <w:rPr>
          <w:sz w:val="36"/>
          <w:szCs w:val="36"/>
          <w:rtl/>
          <w:lang w:val="en-GB" w:eastAsia="en-US"/>
        </w:rPr>
      </w:pPr>
      <w:r w:rsidRPr="00EB5FFB">
        <w:rPr>
          <w:rFonts w:ascii="Wingdings" w:hAnsi="Wingdings"/>
          <w:sz w:val="20"/>
          <w:szCs w:val="36"/>
          <w:lang w:val="en-GB" w:eastAsia="en-US"/>
        </w:rPr>
        <w:t></w:t>
      </w:r>
      <w:r w:rsidRPr="00EB5FFB">
        <w:rPr>
          <w:rFonts w:hint="cs"/>
          <w:sz w:val="38"/>
          <w:szCs w:val="38"/>
          <w:rtl/>
          <w:lang w:val="en-GB" w:eastAsia="en-US"/>
        </w:rPr>
        <w:t xml:space="preserve"> </w:t>
      </w:r>
      <w:r w:rsidRPr="00EB5FFB">
        <w:rPr>
          <w:rFonts w:hint="cs"/>
          <w:sz w:val="36"/>
          <w:szCs w:val="36"/>
          <w:rtl/>
          <w:lang w:val="en-GB" w:eastAsia="en-US"/>
        </w:rPr>
        <w:t>يبدأ الحديث عنها بلفظ يبرزها، ويميزها عن غيرها، ومن هذه الألفاظ</w:t>
      </w:r>
      <w:r w:rsidR="0048366D">
        <w:rPr>
          <w:rFonts w:hint="cs"/>
          <w:sz w:val="36"/>
          <w:szCs w:val="36"/>
          <w:rtl/>
          <w:lang w:val="en-GB" w:eastAsia="en-US"/>
        </w:rPr>
        <w:t>:</w:t>
      </w:r>
    </w:p>
    <w:p w:rsidR="00EB5FFB" w:rsidRPr="00EB5FFB" w:rsidRDefault="00EB5FFB" w:rsidP="009A68A5">
      <w:pPr>
        <w:widowControl/>
        <w:spacing w:line="520" w:lineRule="exact"/>
        <w:ind w:firstLine="567"/>
        <w:jc w:val="both"/>
        <w:rPr>
          <w:sz w:val="36"/>
          <w:szCs w:val="36"/>
          <w:rtl/>
          <w:lang w:val="en-GB" w:eastAsia="en-US"/>
        </w:rPr>
      </w:pP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وخرج عن هذا الأصل</w:t>
      </w:r>
      <w:r w:rsidR="0048366D">
        <w:rPr>
          <w:rFonts w:hint="cs"/>
          <w:sz w:val="36"/>
          <w:szCs w:val="36"/>
          <w:rtl/>
          <w:lang w:val="en-GB" w:eastAsia="en-US"/>
        </w:rPr>
        <w:t>.</w:t>
      </w:r>
      <w:r w:rsidRPr="00EB5FFB">
        <w:rPr>
          <w:rFonts w:hint="cs"/>
          <w:sz w:val="36"/>
          <w:szCs w:val="36"/>
          <w:rtl/>
          <w:lang w:val="en-GB" w:eastAsia="en-US"/>
        </w:rPr>
        <w:t>..</w:t>
      </w:r>
      <w:r w:rsidRPr="00EB5FFB">
        <w:rPr>
          <w:rFonts w:hint="eastAsia"/>
          <w:sz w:val="36"/>
          <w:szCs w:val="36"/>
          <w:rtl/>
          <w:lang w:val="en-GB" w:eastAsia="en-US"/>
        </w:rPr>
        <w:t>»</w:t>
      </w:r>
      <w:r w:rsidRPr="00EB5FFB">
        <w:rPr>
          <w:rFonts w:hint="cs"/>
          <w:sz w:val="36"/>
          <w:szCs w:val="36"/>
          <w:rtl/>
          <w:lang w:val="en-GB" w:eastAsia="en-US"/>
        </w:rPr>
        <w:t xml:space="preserve"> (وهذا التعبير هو الغالب)</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84"/>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spacing w:line="520" w:lineRule="exact"/>
        <w:ind w:firstLine="567"/>
        <w:jc w:val="both"/>
        <w:rPr>
          <w:sz w:val="36"/>
          <w:szCs w:val="36"/>
          <w:rtl/>
          <w:lang w:val="en-GB" w:eastAsia="en-US"/>
        </w:rPr>
      </w:pPr>
      <w:r w:rsidRPr="00EB5FFB">
        <w:rPr>
          <w:rFonts w:hint="cs"/>
          <w:sz w:val="36"/>
          <w:szCs w:val="36"/>
          <w:rtl/>
          <w:lang w:eastAsia="en-US"/>
        </w:rPr>
        <w:t xml:space="preserve">- </w:t>
      </w:r>
      <w:r w:rsidRPr="00EB5FFB">
        <w:rPr>
          <w:rFonts w:hint="eastAsia"/>
          <w:sz w:val="36"/>
          <w:szCs w:val="36"/>
          <w:rtl/>
          <w:lang w:val="en-GB" w:eastAsia="en-US"/>
        </w:rPr>
        <w:t>«</w:t>
      </w:r>
      <w:r w:rsidRPr="00EB5FFB">
        <w:rPr>
          <w:rFonts w:hint="cs"/>
          <w:sz w:val="36"/>
          <w:szCs w:val="36"/>
          <w:rtl/>
          <w:lang w:val="en-GB" w:eastAsia="en-US"/>
        </w:rPr>
        <w:t>وخرج عن هذا الأصل في بدء النظر</w:t>
      </w:r>
      <w:r w:rsidR="0048366D">
        <w:rPr>
          <w:rFonts w:hint="cs"/>
          <w:sz w:val="36"/>
          <w:szCs w:val="36"/>
          <w:rtl/>
          <w:lang w:val="en-GB" w:eastAsia="en-US"/>
        </w:rPr>
        <w:t>.</w:t>
      </w:r>
      <w:r w:rsidRPr="00EB5FFB">
        <w:rPr>
          <w:rFonts w:hint="cs"/>
          <w:sz w:val="36"/>
          <w:szCs w:val="36"/>
          <w:rtl/>
          <w:lang w:val="en-GB" w:eastAsia="en-US"/>
        </w:rPr>
        <w:t>..</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85"/>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spacing w:line="520" w:lineRule="exact"/>
        <w:ind w:firstLine="567"/>
        <w:jc w:val="both"/>
        <w:rPr>
          <w:sz w:val="36"/>
          <w:szCs w:val="36"/>
          <w:rtl/>
          <w:lang w:val="en-GB" w:eastAsia="en-US"/>
        </w:rPr>
      </w:pP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وبعضهم استثنى من هذه القاعدة</w:t>
      </w:r>
      <w:r w:rsidR="0048366D">
        <w:rPr>
          <w:rFonts w:hint="cs"/>
          <w:sz w:val="36"/>
          <w:szCs w:val="36"/>
          <w:rtl/>
          <w:lang w:val="en-GB" w:eastAsia="en-US"/>
        </w:rPr>
        <w:t>.</w:t>
      </w:r>
      <w:r w:rsidRPr="00EB5FFB">
        <w:rPr>
          <w:rFonts w:hint="cs"/>
          <w:sz w:val="36"/>
          <w:szCs w:val="36"/>
          <w:rtl/>
          <w:lang w:val="en-GB" w:eastAsia="en-US"/>
        </w:rPr>
        <w:t>..</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186"/>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spacing w:line="520" w:lineRule="exact"/>
        <w:ind w:left="565" w:firstLine="2"/>
        <w:jc w:val="both"/>
        <w:rPr>
          <w:spacing w:val="-6"/>
          <w:sz w:val="20"/>
          <w:szCs w:val="36"/>
          <w:rtl/>
          <w:lang w:val="en-GB" w:eastAsia="en-US"/>
        </w:rPr>
      </w:pPr>
      <w:r w:rsidRPr="00EB5FFB">
        <w:rPr>
          <w:rFonts w:ascii="Wingdings" w:hAnsi="Wingdings"/>
          <w:spacing w:val="-6"/>
          <w:sz w:val="20"/>
          <w:szCs w:val="36"/>
          <w:lang w:val="en-GB" w:eastAsia="en-US"/>
        </w:rPr>
        <w:t></w:t>
      </w:r>
      <w:r w:rsidRPr="00EB5FFB">
        <w:rPr>
          <w:rFonts w:hint="cs"/>
          <w:spacing w:val="-6"/>
          <w:sz w:val="20"/>
          <w:szCs w:val="36"/>
          <w:rtl/>
          <w:lang w:eastAsia="en-US"/>
        </w:rPr>
        <w:t xml:space="preserve"> إذا كانت المسائل التي قيل </w:t>
      </w:r>
      <w:r w:rsidRPr="00EB5FFB">
        <w:rPr>
          <w:rFonts w:hint="cs"/>
          <w:spacing w:val="-6"/>
          <w:sz w:val="20"/>
          <w:szCs w:val="36"/>
          <w:rtl/>
          <w:lang w:val="en-GB" w:eastAsia="en-US"/>
        </w:rPr>
        <w:t>إنها مستثناة متعدّدة فإنه يسلك في عرضها أحد المناهج الآتية</w:t>
      </w:r>
      <w:r w:rsidR="0048366D">
        <w:rPr>
          <w:rFonts w:hint="cs"/>
          <w:spacing w:val="-6"/>
          <w:sz w:val="20"/>
          <w:szCs w:val="36"/>
          <w:rtl/>
          <w:lang w:val="en-GB" w:eastAsia="en-US"/>
        </w:rPr>
        <w:t>:</w:t>
      </w:r>
    </w:p>
    <w:p w:rsidR="00EB5FFB" w:rsidRPr="00EB5FFB" w:rsidRDefault="00EB5FFB" w:rsidP="009A68A5">
      <w:pPr>
        <w:widowControl/>
        <w:spacing w:line="520" w:lineRule="exact"/>
        <w:ind w:left="565" w:firstLine="2"/>
        <w:jc w:val="both"/>
        <w:rPr>
          <w:sz w:val="20"/>
          <w:szCs w:val="36"/>
          <w:rtl/>
          <w:lang w:val="en-GB" w:eastAsia="en-US"/>
        </w:rPr>
      </w:pPr>
      <w:r w:rsidRPr="00EB5FFB">
        <w:rPr>
          <w:rFonts w:hint="cs"/>
          <w:sz w:val="20"/>
          <w:szCs w:val="36"/>
          <w:rtl/>
          <w:lang w:val="en-GB" w:eastAsia="en-US"/>
        </w:rPr>
        <w:t>- يسرد المسائل التي قيل إنها مستثناة جميعًا، ثم يجيب عنها بتخصيص كل مسألة بجواب مستقل</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8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520" w:lineRule="exact"/>
        <w:ind w:firstLine="567"/>
        <w:jc w:val="both"/>
        <w:rPr>
          <w:sz w:val="20"/>
          <w:szCs w:val="36"/>
          <w:rtl/>
          <w:lang w:eastAsia="en-US"/>
        </w:rPr>
      </w:pPr>
      <w:r w:rsidRPr="00EB5FFB">
        <w:rPr>
          <w:rFonts w:hint="cs"/>
          <w:sz w:val="20"/>
          <w:szCs w:val="36"/>
          <w:rtl/>
          <w:lang w:eastAsia="en-US"/>
        </w:rPr>
        <w:t>- وقد يكون الجواب واحدًا شاملاً لجميع المسائل</w:t>
      </w:r>
      <w:r w:rsidRPr="00EB5FFB">
        <w:rPr>
          <w:rFonts w:hint="cs"/>
          <w:sz w:val="20"/>
          <w:szCs w:val="36"/>
          <w:vertAlign w:val="superscript"/>
          <w:rtl/>
          <w:lang w:eastAsia="en-US"/>
        </w:rPr>
        <w:t>(</w:t>
      </w:r>
      <w:r w:rsidRPr="00EB5FFB">
        <w:rPr>
          <w:bCs/>
          <w:sz w:val="20"/>
          <w:szCs w:val="32"/>
          <w:vertAlign w:val="superscript"/>
          <w:rtl/>
          <w:lang w:eastAsia="en-US"/>
        </w:rPr>
        <w:footnoteReference w:id="188"/>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spacing w:line="520" w:lineRule="exact"/>
        <w:ind w:firstLine="567"/>
        <w:jc w:val="both"/>
        <w:rPr>
          <w:sz w:val="20"/>
          <w:szCs w:val="36"/>
          <w:rtl/>
          <w:lang w:eastAsia="en-US"/>
        </w:rPr>
      </w:pPr>
      <w:r w:rsidRPr="00EB5FFB">
        <w:rPr>
          <w:rFonts w:hint="cs"/>
          <w:sz w:val="20"/>
          <w:szCs w:val="36"/>
          <w:rtl/>
          <w:lang w:eastAsia="en-US"/>
        </w:rPr>
        <w:t>- وربما جمع الجواب عن بعض المستثنيات في جواب واحد</w:t>
      </w:r>
      <w:r w:rsidRPr="00EB5FFB">
        <w:rPr>
          <w:rFonts w:hint="cs"/>
          <w:sz w:val="20"/>
          <w:szCs w:val="36"/>
          <w:vertAlign w:val="superscript"/>
          <w:rtl/>
          <w:lang w:eastAsia="en-US"/>
        </w:rPr>
        <w:t>(</w:t>
      </w:r>
      <w:r w:rsidRPr="00EB5FFB">
        <w:rPr>
          <w:bCs/>
          <w:sz w:val="20"/>
          <w:szCs w:val="32"/>
          <w:vertAlign w:val="superscript"/>
          <w:rtl/>
          <w:lang w:eastAsia="en-US"/>
        </w:rPr>
        <w:footnoteReference w:id="189"/>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spacing w:line="520" w:lineRule="exact"/>
        <w:ind w:firstLine="567"/>
        <w:jc w:val="both"/>
        <w:rPr>
          <w:sz w:val="20"/>
          <w:szCs w:val="36"/>
          <w:rtl/>
          <w:lang w:eastAsia="en-US"/>
        </w:rPr>
      </w:pPr>
      <w:r w:rsidRPr="00EB5FFB">
        <w:rPr>
          <w:rFonts w:hint="cs"/>
          <w:sz w:val="20"/>
          <w:szCs w:val="36"/>
          <w:rtl/>
          <w:lang w:eastAsia="en-US"/>
        </w:rPr>
        <w:t>- وأحيانًا يجيب عن كل مسألة عقبها مباشرة</w:t>
      </w:r>
      <w:r w:rsidRPr="00EB5FFB">
        <w:rPr>
          <w:rFonts w:hint="cs"/>
          <w:sz w:val="20"/>
          <w:szCs w:val="36"/>
          <w:vertAlign w:val="superscript"/>
          <w:rtl/>
          <w:lang w:eastAsia="en-US"/>
        </w:rPr>
        <w:t>(</w:t>
      </w:r>
      <w:r w:rsidRPr="00EB5FFB">
        <w:rPr>
          <w:bCs/>
          <w:sz w:val="20"/>
          <w:szCs w:val="32"/>
          <w:vertAlign w:val="superscript"/>
          <w:rtl/>
          <w:lang w:eastAsia="en-US"/>
        </w:rPr>
        <w:footnoteReference w:id="190"/>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spacing w:line="520" w:lineRule="exact"/>
        <w:ind w:firstLine="567"/>
        <w:jc w:val="both"/>
        <w:rPr>
          <w:sz w:val="20"/>
          <w:szCs w:val="36"/>
          <w:rtl/>
          <w:lang w:eastAsia="en-US"/>
        </w:rPr>
      </w:pPr>
      <w:r w:rsidRPr="00EB5FFB">
        <w:rPr>
          <w:rFonts w:hint="cs"/>
          <w:sz w:val="20"/>
          <w:szCs w:val="36"/>
          <w:rtl/>
          <w:lang w:eastAsia="en-US"/>
        </w:rPr>
        <w:t>- كما أنه قد يحيل الجواب على موضع آخر</w:t>
      </w:r>
      <w:r w:rsidRPr="00EB5FFB">
        <w:rPr>
          <w:rFonts w:hint="cs"/>
          <w:sz w:val="20"/>
          <w:szCs w:val="36"/>
          <w:vertAlign w:val="superscript"/>
          <w:rtl/>
          <w:lang w:eastAsia="en-US"/>
        </w:rPr>
        <w:t>(</w:t>
      </w:r>
      <w:r w:rsidRPr="00EB5FFB">
        <w:rPr>
          <w:bCs/>
          <w:sz w:val="20"/>
          <w:szCs w:val="32"/>
          <w:vertAlign w:val="superscript"/>
          <w:rtl/>
          <w:lang w:eastAsia="en-US"/>
        </w:rPr>
        <w:footnoteReference w:id="191"/>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6"/>
        <w:jc w:val="both"/>
        <w:rPr>
          <w:sz w:val="20"/>
          <w:szCs w:val="36"/>
          <w:rtl/>
          <w:lang w:eastAsia="en-US"/>
        </w:rPr>
      </w:pPr>
      <w:r w:rsidRPr="00EB5FFB">
        <w:rPr>
          <w:sz w:val="22"/>
          <w:szCs w:val="38"/>
          <w:rtl/>
          <w:lang w:eastAsia="en-US"/>
        </w:rPr>
        <w:lastRenderedPageBreak/>
        <w:t>•</w:t>
      </w:r>
      <w:r w:rsidRPr="00EB5FFB">
        <w:rPr>
          <w:rFonts w:hint="cs"/>
          <w:sz w:val="20"/>
          <w:szCs w:val="36"/>
          <w:rtl/>
          <w:lang w:eastAsia="en-US"/>
        </w:rPr>
        <w:t xml:space="preserve"> وبالنظر إلى طبيعة الأجوبة فإن هناك سمات مشتركة لكثير منها</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فتارة تكون الأجوبة ببيان أن المسألة لم يتحقق فيها شرط القاعدة</w:t>
      </w:r>
      <w:r w:rsidRPr="00EB5FFB">
        <w:rPr>
          <w:rFonts w:hint="cs"/>
          <w:sz w:val="20"/>
          <w:szCs w:val="36"/>
          <w:vertAlign w:val="superscript"/>
          <w:rtl/>
          <w:lang w:eastAsia="en-US"/>
        </w:rPr>
        <w:t>(</w:t>
      </w:r>
      <w:r w:rsidRPr="00EB5FFB">
        <w:rPr>
          <w:bCs/>
          <w:sz w:val="20"/>
          <w:szCs w:val="32"/>
          <w:vertAlign w:val="superscript"/>
          <w:rtl/>
          <w:lang w:eastAsia="en-US"/>
        </w:rPr>
        <w:footnoteReference w:id="192"/>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أو وُجد فيها مانع</w:t>
      </w:r>
      <w:r w:rsidRPr="00EB5FFB">
        <w:rPr>
          <w:rFonts w:hint="cs"/>
          <w:sz w:val="20"/>
          <w:szCs w:val="36"/>
          <w:vertAlign w:val="superscript"/>
          <w:rtl/>
          <w:lang w:eastAsia="en-US"/>
        </w:rPr>
        <w:t>(</w:t>
      </w:r>
      <w:r w:rsidRPr="00EB5FFB">
        <w:rPr>
          <w:bCs/>
          <w:sz w:val="20"/>
          <w:szCs w:val="32"/>
          <w:vertAlign w:val="superscript"/>
          <w:rtl/>
          <w:lang w:eastAsia="en-US"/>
        </w:rPr>
        <w:footnoteReference w:id="193"/>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أو أنها تدخل تحت قاعدة أخرى هي أليق بها</w:t>
      </w:r>
      <w:r w:rsidRPr="00EB5FFB">
        <w:rPr>
          <w:rFonts w:hint="cs"/>
          <w:sz w:val="20"/>
          <w:szCs w:val="36"/>
          <w:vertAlign w:val="superscript"/>
          <w:rtl/>
          <w:lang w:eastAsia="en-US"/>
        </w:rPr>
        <w:t>(</w:t>
      </w:r>
      <w:r w:rsidRPr="00EB5FFB">
        <w:rPr>
          <w:bCs/>
          <w:sz w:val="20"/>
          <w:szCs w:val="32"/>
          <w:vertAlign w:val="superscript"/>
          <w:rtl/>
          <w:lang w:eastAsia="en-US"/>
        </w:rPr>
        <w:footnoteReference w:id="194"/>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السابع</w:t>
      </w:r>
      <w:r w:rsidR="0048366D">
        <w:rPr>
          <w:rFonts w:hint="cs"/>
          <w:b/>
          <w:bCs/>
          <w:sz w:val="20"/>
          <w:szCs w:val="36"/>
          <w:rtl/>
          <w:lang w:eastAsia="en-US"/>
        </w:rPr>
        <w:t>:</w:t>
      </w:r>
      <w:r w:rsidRPr="00EB5FFB">
        <w:rPr>
          <w:rFonts w:hint="cs"/>
          <w:b/>
          <w:bCs/>
          <w:sz w:val="20"/>
          <w:szCs w:val="36"/>
          <w:rtl/>
          <w:lang w:eastAsia="en-US"/>
        </w:rPr>
        <w:t xml:space="preserve"> منهجه في إيضاح المصطلحات والألفاظ الغريبة</w:t>
      </w:r>
      <w:r w:rsidR="0048366D">
        <w:rPr>
          <w:rFonts w:hint="cs"/>
          <w:b/>
          <w:bCs/>
          <w:sz w:val="20"/>
          <w:szCs w:val="36"/>
          <w:rtl/>
          <w:lang w:eastAsia="en-US"/>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منهجه في إيضاح المصطلحات</w:t>
      </w:r>
      <w:r w:rsidR="0048366D">
        <w:rPr>
          <w:rFonts w:hint="cs"/>
          <w:b/>
          <w:b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 يكن من منهج المؤلف الاعتناء بإيضاح المصطلحات التي ترد في كتابه؛ لهذا قلّت المصطلحات الموضّحة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وإذا كانت هناك حاجة لإيضاح مصطلح ما فإنه قد يكتفي ببيان المراد منه، دون عناية بالتعريف الدقيق له، وقد يذكر تعريفًا دقيقًا له. وإذا عرّفه فإنه لا يتعرّض مطلقاً لشرحه، وبيان محترزاته، وما يمكن أن يرد عليه من اعتراضات.</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أما الألفاظ الغريبة</w:t>
      </w:r>
      <w:r w:rsidR="0048366D">
        <w:rPr>
          <w:rFonts w:hint="cs"/>
          <w:b/>
          <w:bCs/>
          <w:sz w:val="20"/>
          <w:szCs w:val="36"/>
          <w:rtl/>
          <w:lang w:eastAsia="en-US"/>
        </w:rPr>
        <w:t>:</w:t>
      </w:r>
      <w:r w:rsidRPr="00EB5FFB">
        <w:rPr>
          <w:rFonts w:hint="cs"/>
          <w:b/>
          <w:bCs/>
          <w:sz w:val="20"/>
          <w:szCs w:val="36"/>
          <w:rtl/>
          <w:lang w:eastAsia="en-US"/>
        </w:rPr>
        <w:t xml:space="preserve"> </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فلم يكن يتعرّض لبيان المعنى اللغوي لها. ولعلّ السبب في ذلك كلّه هو حرصه على اختصار كتابه؛ ليسهل ضبطه.</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ولكي يحصل تصوّر عمليّ لمنهج المؤلف في إيضاح المصطلحات فهذه نماذج لذلك:</w:t>
      </w:r>
    </w:p>
    <w:p w:rsidR="00EB5FFB" w:rsidRPr="00EB5FFB" w:rsidRDefault="00EB5FFB" w:rsidP="009A68A5">
      <w:pPr>
        <w:widowControl/>
        <w:ind w:left="567" w:firstLine="0"/>
        <w:jc w:val="both"/>
        <w:rPr>
          <w:sz w:val="20"/>
          <w:szCs w:val="36"/>
          <w:rtl/>
          <w:lang w:eastAsia="en-US"/>
        </w:rPr>
      </w:pPr>
      <w:r w:rsidRPr="00EB5FFB">
        <w:rPr>
          <w:sz w:val="22"/>
          <w:szCs w:val="38"/>
          <w:rtl/>
          <w:lang w:eastAsia="en-US"/>
        </w:rPr>
        <w:t>•</w:t>
      </w:r>
      <w:r w:rsidRPr="00EB5FFB">
        <w:rPr>
          <w:rFonts w:hint="cs"/>
          <w:sz w:val="20"/>
          <w:szCs w:val="36"/>
          <w:rtl/>
          <w:lang w:eastAsia="en-US"/>
        </w:rPr>
        <w:t xml:space="preserve"> فمن العبارات التي بيّن فيها المراد من بعض المصطلحات</w:t>
      </w:r>
      <w:r w:rsidR="0048366D">
        <w:rPr>
          <w:rFonts w:hint="cs"/>
          <w:sz w:val="20"/>
          <w:szCs w:val="36"/>
          <w:rtl/>
          <w:lang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المراد بالسقوط</w:t>
      </w:r>
      <w:r w:rsidR="0048366D">
        <w:rPr>
          <w:rFonts w:hint="cs"/>
          <w:sz w:val="20"/>
          <w:szCs w:val="36"/>
          <w:rtl/>
          <w:lang w:val="en-GB" w:eastAsia="en-US"/>
        </w:rPr>
        <w:t>:</w:t>
      </w:r>
      <w:r w:rsidRPr="00EB5FFB">
        <w:rPr>
          <w:rFonts w:hint="cs"/>
          <w:sz w:val="20"/>
          <w:szCs w:val="36"/>
          <w:rtl/>
          <w:lang w:val="en-GB" w:eastAsia="en-US"/>
        </w:rPr>
        <w:t xml:space="preserve"> انعدام مقتضي الحكم، لا عدم عمله لمانع</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9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والمراد باليقين</w:t>
      </w:r>
      <w:r w:rsidR="0048366D">
        <w:rPr>
          <w:rFonts w:hint="cs"/>
          <w:sz w:val="20"/>
          <w:szCs w:val="36"/>
          <w:rtl/>
          <w:lang w:val="en-GB" w:eastAsia="en-US"/>
        </w:rPr>
        <w:t>:</w:t>
      </w:r>
      <w:r w:rsidRPr="00EB5FFB">
        <w:rPr>
          <w:rFonts w:hint="cs"/>
          <w:sz w:val="20"/>
          <w:szCs w:val="36"/>
          <w:rtl/>
          <w:lang w:val="en-GB" w:eastAsia="en-US"/>
        </w:rPr>
        <w:t xml:space="preserve"> غالب الظن</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9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lastRenderedPageBreak/>
        <w:t>•</w:t>
      </w:r>
      <w:r w:rsidRPr="00EB5FFB">
        <w:rPr>
          <w:rFonts w:hint="cs"/>
          <w:sz w:val="20"/>
          <w:szCs w:val="36"/>
          <w:rtl/>
          <w:lang w:val="en-GB" w:eastAsia="en-US"/>
        </w:rPr>
        <w:t xml:space="preserve"> ومن العبارات التي عرّف فيها بعض المصطلحات</w:t>
      </w:r>
      <w:r w:rsidR="0048366D">
        <w:rPr>
          <w:rFonts w:hint="cs"/>
          <w:sz w:val="20"/>
          <w:szCs w:val="36"/>
          <w:rtl/>
          <w:lang w:val="en-GB" w:eastAsia="en-US"/>
        </w:rPr>
        <w:t>:</w:t>
      </w:r>
    </w:p>
    <w:p w:rsidR="00EB5FFB" w:rsidRPr="00EB5FFB" w:rsidRDefault="00EB5FFB" w:rsidP="009A68A5">
      <w:pPr>
        <w:widowControl/>
        <w:ind w:left="990" w:hanging="141"/>
        <w:jc w:val="both"/>
        <w:rPr>
          <w:spacing w:val="-6"/>
          <w:sz w:val="20"/>
          <w:szCs w:val="36"/>
          <w:rtl/>
          <w:lang w:val="en-GB" w:eastAsia="en-US"/>
        </w:rPr>
      </w:pPr>
      <w:r w:rsidRPr="00EB5FFB">
        <w:rPr>
          <w:rFonts w:hint="cs"/>
          <w:spacing w:val="-6"/>
          <w:sz w:val="20"/>
          <w:szCs w:val="36"/>
          <w:rtl/>
          <w:lang w:val="en-GB" w:eastAsia="en-US"/>
        </w:rPr>
        <w:t xml:space="preserve">- </w:t>
      </w:r>
      <w:r w:rsidRPr="00EB5FFB">
        <w:rPr>
          <w:rFonts w:hint="eastAsia"/>
          <w:spacing w:val="-6"/>
          <w:sz w:val="20"/>
          <w:szCs w:val="36"/>
          <w:rtl/>
          <w:lang w:val="en-GB" w:eastAsia="en-US"/>
        </w:rPr>
        <w:t>«</w:t>
      </w:r>
      <w:r w:rsidRPr="00EB5FFB">
        <w:rPr>
          <w:rFonts w:hint="cs"/>
          <w:spacing w:val="-6"/>
          <w:sz w:val="20"/>
          <w:szCs w:val="36"/>
          <w:rtl/>
          <w:lang w:val="en-GB" w:eastAsia="en-US"/>
        </w:rPr>
        <w:t>فإن الضمان عبارة عن</w:t>
      </w:r>
      <w:r w:rsidR="0048366D">
        <w:rPr>
          <w:rFonts w:hint="cs"/>
          <w:spacing w:val="-6"/>
          <w:sz w:val="20"/>
          <w:szCs w:val="36"/>
          <w:rtl/>
          <w:lang w:val="en-GB" w:eastAsia="en-US"/>
        </w:rPr>
        <w:t>:</w:t>
      </w:r>
      <w:r w:rsidRPr="00EB5FFB">
        <w:rPr>
          <w:rFonts w:hint="cs"/>
          <w:spacing w:val="-6"/>
          <w:sz w:val="20"/>
          <w:szCs w:val="36"/>
          <w:rtl/>
          <w:lang w:val="en-GB" w:eastAsia="en-US"/>
        </w:rPr>
        <w:t xml:space="preserve"> ردّ مثل الهالك إن كان مثليًّا، أو قيمته إن كان قيميًّا</w:t>
      </w:r>
      <w:r w:rsidRPr="00EB5FFB">
        <w:rPr>
          <w:rFonts w:hint="eastAsia"/>
          <w:spacing w:val="-6"/>
          <w:sz w:val="20"/>
          <w:szCs w:val="36"/>
          <w:rtl/>
          <w:lang w:val="en-GB" w:eastAsia="en-US"/>
        </w:rPr>
        <w:t>»</w:t>
      </w:r>
      <w:r w:rsidRPr="00EB5FFB">
        <w:rPr>
          <w:rFonts w:hint="cs"/>
          <w:spacing w:val="-6"/>
          <w:sz w:val="20"/>
          <w:szCs w:val="36"/>
          <w:vertAlign w:val="superscript"/>
          <w:rtl/>
          <w:lang w:val="en-GB" w:eastAsia="en-US"/>
        </w:rPr>
        <w:t>(</w:t>
      </w:r>
      <w:r w:rsidRPr="00EB5FFB">
        <w:rPr>
          <w:bCs/>
          <w:spacing w:val="-6"/>
          <w:sz w:val="20"/>
          <w:szCs w:val="32"/>
          <w:vertAlign w:val="superscript"/>
          <w:rtl/>
          <w:lang w:val="en-GB" w:eastAsia="en-US"/>
        </w:rPr>
        <w:footnoteReference w:id="197"/>
      </w:r>
      <w:r w:rsidRPr="00EB5FFB">
        <w:rPr>
          <w:rFonts w:hint="cs"/>
          <w:spacing w:val="-6"/>
          <w:sz w:val="20"/>
          <w:szCs w:val="36"/>
          <w:vertAlign w:val="superscript"/>
          <w:rtl/>
          <w:lang w:val="en-GB" w:eastAsia="en-US"/>
        </w:rPr>
        <w:t>)</w:t>
      </w:r>
      <w:r w:rsidRPr="00EB5FFB">
        <w:rPr>
          <w:rFonts w:hint="cs"/>
          <w:spacing w:val="-6"/>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عُرِّف الدّين في (الحاوي القدسي) بأنه عبارة عن</w:t>
      </w:r>
      <w:r w:rsidR="0048366D">
        <w:rPr>
          <w:rFonts w:hint="cs"/>
          <w:sz w:val="20"/>
          <w:szCs w:val="36"/>
          <w:rtl/>
          <w:lang w:val="en-GB" w:eastAsia="en-US"/>
        </w:rPr>
        <w:t>:</w:t>
      </w:r>
      <w:r w:rsidRPr="00EB5FFB">
        <w:rPr>
          <w:rFonts w:hint="cs"/>
          <w:sz w:val="20"/>
          <w:szCs w:val="36"/>
          <w:rtl/>
          <w:lang w:val="en-GB" w:eastAsia="en-US"/>
        </w:rPr>
        <w:t xml:space="preserve"> مال حكميّ يحدث في الذمة ببيع أو استهلاك أو غيرهما</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19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b/>
          <w:bCs/>
          <w:sz w:val="20"/>
          <w:szCs w:val="36"/>
          <w:rtl/>
          <w:lang w:eastAsia="en-US"/>
        </w:rPr>
      </w:pPr>
      <w:r w:rsidRPr="00EB5FFB">
        <w:rPr>
          <w:rFonts w:hint="cs"/>
          <w:b/>
          <w:bCs/>
          <w:sz w:val="20"/>
          <w:szCs w:val="36"/>
          <w:rtl/>
          <w:lang w:eastAsia="en-US"/>
        </w:rPr>
        <w:t>الثامن</w:t>
      </w:r>
      <w:r w:rsidR="0048366D">
        <w:rPr>
          <w:rFonts w:hint="cs"/>
          <w:b/>
          <w:bCs/>
          <w:sz w:val="20"/>
          <w:szCs w:val="36"/>
          <w:rtl/>
          <w:lang w:eastAsia="en-US"/>
        </w:rPr>
        <w:t>:</w:t>
      </w:r>
      <w:r w:rsidRPr="00EB5FFB">
        <w:rPr>
          <w:rFonts w:hint="cs"/>
          <w:b/>
          <w:bCs/>
          <w:sz w:val="20"/>
          <w:szCs w:val="36"/>
          <w:rtl/>
          <w:lang w:eastAsia="en-US"/>
        </w:rPr>
        <w:t xml:space="preserve"> منهجه في النقل من المصادر</w:t>
      </w:r>
      <w:r w:rsidR="0048366D">
        <w:rPr>
          <w:rFonts w:hint="cs"/>
          <w:b/>
          <w:b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إنّ السّمة العامة لجلّ ما يُؤلّف من كتب علمية هي الاستفادة ممّا توصل إليه الآخرون من نتائج في العلم نفسه، على تفاوت بينها في مقدار هذه الاستفادة، وكيفيتها.</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وكلّما كانت المصادر متنوّعة، والنقل منها بقدر الحاجة دون استرسال، مع ظهور شخصية الناقل، في حسن الترتيب، والربط بين النقول، وفيما يفيضه عليها من اجتهادات دقيقة، واستنتاجات مبتكرة</w:t>
      </w:r>
      <w:r w:rsidR="0048366D">
        <w:rPr>
          <w:rFonts w:hint="cs"/>
          <w:sz w:val="20"/>
          <w:szCs w:val="36"/>
          <w:rtl/>
          <w:lang w:eastAsia="en-US"/>
        </w:rPr>
        <w:t>.</w:t>
      </w:r>
      <w:r w:rsidRPr="00EB5FFB">
        <w:rPr>
          <w:rFonts w:hint="cs"/>
          <w:sz w:val="20"/>
          <w:szCs w:val="36"/>
          <w:rtl/>
          <w:lang w:eastAsia="en-US"/>
        </w:rPr>
        <w:t>..، كان لذلك أكبر الأثر في قيمة الكتاب العلمية.</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وهذا ما يمكن أن يُقال عن كتاب ناظر زاده.</w:t>
      </w:r>
    </w:p>
    <w:p w:rsidR="00EB5FFB" w:rsidRPr="00EB5FFB" w:rsidRDefault="00EB5FFB" w:rsidP="009A68A5">
      <w:pPr>
        <w:widowControl/>
        <w:ind w:firstLine="567"/>
        <w:jc w:val="both"/>
        <w:rPr>
          <w:spacing w:val="-8"/>
          <w:sz w:val="20"/>
          <w:szCs w:val="36"/>
          <w:rtl/>
          <w:lang w:eastAsia="en-US"/>
        </w:rPr>
      </w:pPr>
      <w:r w:rsidRPr="00EB5FFB">
        <w:rPr>
          <w:rFonts w:hint="cs"/>
          <w:spacing w:val="-8"/>
          <w:sz w:val="20"/>
          <w:szCs w:val="36"/>
          <w:rtl/>
          <w:lang w:eastAsia="en-US"/>
        </w:rPr>
        <w:t>فقد كثرت مصادره وتنوعت، بين الفقه وقواعده وأصوله وغيرها. وكان ينقل منها بقدر الحاجة من غير استرسال، مع حسن الترتيب والربط بينها. بالإضافة إلى ما يستقلّ به من زيادات.</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كما أن لمذهب المؤلف الفقهيّ النّصيب الأوفر في تحديد هويّة هذه المصادر؛ إذْ لا يكاد يخرج عن كتب الحنفية في مصادره.</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وقد اختلف منهجه في كيفية النقل عن المصادر، والعزو إليها</w:t>
      </w:r>
      <w:r w:rsidR="0048366D">
        <w:rPr>
          <w:rFonts w:hint="cs"/>
          <w:sz w:val="20"/>
          <w:szCs w:val="36"/>
          <w:rtl/>
          <w:lang w:eastAsia="en-US"/>
        </w:rPr>
        <w:t>:</w:t>
      </w:r>
    </w:p>
    <w:p w:rsidR="00EB5FFB" w:rsidRPr="00EB5FFB" w:rsidRDefault="00EB5FFB" w:rsidP="009A68A5">
      <w:pPr>
        <w:widowControl/>
        <w:tabs>
          <w:tab w:val="num" w:pos="566"/>
        </w:tabs>
        <w:ind w:left="205" w:firstLine="0"/>
        <w:jc w:val="both"/>
        <w:rPr>
          <w:sz w:val="20"/>
          <w:szCs w:val="36"/>
          <w:rtl/>
          <w:lang w:eastAsia="en-US"/>
        </w:rPr>
      </w:pPr>
      <w:r w:rsidRPr="00EB5FFB">
        <w:rPr>
          <w:rFonts w:hint="cs"/>
          <w:sz w:val="22"/>
          <w:szCs w:val="38"/>
          <w:rtl/>
          <w:lang w:eastAsia="en-US"/>
        </w:rPr>
        <w:tab/>
      </w:r>
      <w:r w:rsidRPr="00EB5FFB">
        <w:rPr>
          <w:sz w:val="22"/>
          <w:szCs w:val="38"/>
          <w:rtl/>
          <w:lang w:eastAsia="en-US"/>
        </w:rPr>
        <w:t>•</w:t>
      </w:r>
      <w:r w:rsidRPr="00EB5FFB">
        <w:rPr>
          <w:rFonts w:hint="cs"/>
          <w:b/>
          <w:bCs/>
          <w:sz w:val="20"/>
          <w:szCs w:val="36"/>
          <w:rtl/>
          <w:lang w:eastAsia="en-US"/>
        </w:rPr>
        <w:t xml:space="preserve"> أما كيفية النقل عنها</w:t>
      </w:r>
      <w:r w:rsidR="0048366D">
        <w:rPr>
          <w:rFonts w:hint="cs"/>
          <w:b/>
          <w:bCs/>
          <w:sz w:val="20"/>
          <w:szCs w:val="36"/>
          <w:rtl/>
          <w:lang w:eastAsia="en-US"/>
        </w:rPr>
        <w:t>:</w:t>
      </w:r>
      <w:r w:rsidRPr="00EB5FFB">
        <w:rPr>
          <w:rFonts w:hint="cs"/>
          <w:sz w:val="20"/>
          <w:szCs w:val="36"/>
          <w:rtl/>
          <w:lang w:eastAsia="en-US"/>
        </w:rPr>
        <w:t xml:space="preserve"> فيمكن إيضاحه في النقاط الآتية</w:t>
      </w:r>
      <w:r w:rsidR="0048366D">
        <w:rPr>
          <w:rFonts w:hint="cs"/>
          <w:sz w:val="20"/>
          <w:szCs w:val="36"/>
          <w:rtl/>
          <w:lang w:eastAsia="en-US"/>
        </w:rPr>
        <w:t>:</w:t>
      </w:r>
    </w:p>
    <w:p w:rsidR="00EB5FFB" w:rsidRPr="00EB5FFB" w:rsidRDefault="00EB5FFB" w:rsidP="009A68A5">
      <w:pPr>
        <w:widowControl/>
        <w:spacing w:line="540" w:lineRule="exact"/>
        <w:ind w:firstLine="567"/>
        <w:jc w:val="both"/>
        <w:rPr>
          <w:sz w:val="20"/>
          <w:szCs w:val="36"/>
          <w:rtl/>
          <w:lang w:eastAsia="en-US"/>
        </w:rPr>
      </w:pPr>
      <w:r w:rsidRPr="00EB5FFB">
        <w:rPr>
          <w:rFonts w:hint="cs"/>
          <w:b/>
          <w:bCs/>
          <w:sz w:val="20"/>
          <w:szCs w:val="36"/>
          <w:rtl/>
          <w:lang w:eastAsia="en-US"/>
        </w:rPr>
        <w:t>1</w:t>
      </w:r>
      <w:r w:rsidRPr="00EB5FFB">
        <w:rPr>
          <w:rFonts w:hint="cs"/>
          <w:sz w:val="20"/>
          <w:szCs w:val="36"/>
          <w:rtl/>
          <w:lang w:eastAsia="en-US"/>
        </w:rPr>
        <w:t>- قد ينقل عنها باللفظ نفسه</w:t>
      </w:r>
      <w:r w:rsidRPr="00EB5FFB">
        <w:rPr>
          <w:rFonts w:hint="cs"/>
          <w:sz w:val="20"/>
          <w:szCs w:val="36"/>
          <w:vertAlign w:val="superscript"/>
          <w:rtl/>
          <w:lang w:eastAsia="en-US"/>
        </w:rPr>
        <w:t>(</w:t>
      </w:r>
      <w:r w:rsidRPr="00EB5FFB">
        <w:rPr>
          <w:bCs/>
          <w:sz w:val="20"/>
          <w:szCs w:val="32"/>
          <w:vertAlign w:val="superscript"/>
          <w:rtl/>
          <w:lang w:eastAsia="en-US"/>
        </w:rPr>
        <w:footnoteReference w:id="199"/>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spacing w:line="540" w:lineRule="exact"/>
        <w:ind w:left="990" w:hanging="423"/>
        <w:jc w:val="both"/>
        <w:rPr>
          <w:sz w:val="20"/>
          <w:szCs w:val="36"/>
          <w:rtl/>
          <w:lang w:eastAsia="en-US"/>
        </w:rPr>
      </w:pPr>
      <w:r w:rsidRPr="00EB5FFB">
        <w:rPr>
          <w:rFonts w:hint="cs"/>
          <w:b/>
          <w:bCs/>
          <w:sz w:val="20"/>
          <w:szCs w:val="36"/>
          <w:rtl/>
          <w:lang w:eastAsia="en-US"/>
        </w:rPr>
        <w:lastRenderedPageBreak/>
        <w:t>2</w:t>
      </w:r>
      <w:r w:rsidRPr="00EB5FFB">
        <w:rPr>
          <w:rFonts w:hint="cs"/>
          <w:sz w:val="20"/>
          <w:szCs w:val="36"/>
          <w:rtl/>
          <w:lang w:eastAsia="en-US"/>
        </w:rPr>
        <w:t>- وقد ينقل عنها مع تصرّف يسير، يكون بالتقديم والتأخير، أو الزيادة والحذف، أو تغيير بعض الألفاظ، ونحو ذلك. وكان غالبًا لا يصرح بهذا التصرّف</w:t>
      </w:r>
      <w:r w:rsidRPr="00EB5FFB">
        <w:rPr>
          <w:rFonts w:hint="cs"/>
          <w:sz w:val="20"/>
          <w:szCs w:val="36"/>
          <w:vertAlign w:val="superscript"/>
          <w:rtl/>
          <w:lang w:eastAsia="en-US"/>
        </w:rPr>
        <w:t>(</w:t>
      </w:r>
      <w:r w:rsidRPr="00EB5FFB">
        <w:rPr>
          <w:bCs/>
          <w:sz w:val="20"/>
          <w:szCs w:val="32"/>
          <w:vertAlign w:val="superscript"/>
          <w:rtl/>
          <w:lang w:eastAsia="en-US"/>
        </w:rPr>
        <w:footnoteReference w:id="200"/>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spacing w:line="540" w:lineRule="exact"/>
        <w:ind w:firstLine="567"/>
        <w:jc w:val="both"/>
        <w:rPr>
          <w:sz w:val="20"/>
          <w:szCs w:val="36"/>
          <w:rtl/>
          <w:lang w:eastAsia="en-US"/>
        </w:rPr>
      </w:pPr>
      <w:r w:rsidRPr="00EB5FFB">
        <w:rPr>
          <w:rFonts w:hint="cs"/>
          <w:b/>
          <w:bCs/>
          <w:sz w:val="20"/>
          <w:szCs w:val="36"/>
          <w:rtl/>
          <w:lang w:eastAsia="en-US"/>
        </w:rPr>
        <w:t>3</w:t>
      </w:r>
      <w:r w:rsidRPr="00EB5FFB">
        <w:rPr>
          <w:rFonts w:hint="cs"/>
          <w:sz w:val="20"/>
          <w:szCs w:val="36"/>
          <w:rtl/>
          <w:lang w:eastAsia="en-US"/>
        </w:rPr>
        <w:t>- وربّما نقل عنها بالمعنى</w:t>
      </w:r>
      <w:r w:rsidRPr="00EB5FFB">
        <w:rPr>
          <w:rFonts w:hint="cs"/>
          <w:sz w:val="20"/>
          <w:szCs w:val="36"/>
          <w:vertAlign w:val="superscript"/>
          <w:rtl/>
          <w:lang w:eastAsia="en-US"/>
        </w:rPr>
        <w:t>(</w:t>
      </w:r>
      <w:r w:rsidRPr="00EB5FFB">
        <w:rPr>
          <w:bCs/>
          <w:sz w:val="20"/>
          <w:szCs w:val="32"/>
          <w:vertAlign w:val="superscript"/>
          <w:rtl/>
          <w:lang w:eastAsia="en-US"/>
        </w:rPr>
        <w:footnoteReference w:id="201"/>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tabs>
          <w:tab w:val="num" w:pos="990"/>
        </w:tabs>
        <w:ind w:left="205" w:firstLine="0"/>
        <w:jc w:val="both"/>
        <w:rPr>
          <w:sz w:val="20"/>
          <w:szCs w:val="36"/>
          <w:rtl/>
          <w:lang w:eastAsia="en-US"/>
        </w:rPr>
      </w:pPr>
      <w:r w:rsidRPr="00EB5FFB">
        <w:rPr>
          <w:rFonts w:hint="cs"/>
          <w:sz w:val="22"/>
          <w:szCs w:val="38"/>
          <w:rtl/>
          <w:lang w:eastAsia="en-US"/>
        </w:rPr>
        <w:t xml:space="preserve">    </w:t>
      </w:r>
      <w:r w:rsidRPr="00EB5FFB">
        <w:rPr>
          <w:sz w:val="22"/>
          <w:szCs w:val="38"/>
          <w:rtl/>
          <w:lang w:eastAsia="en-US"/>
        </w:rPr>
        <w:t>•</w:t>
      </w:r>
      <w:r w:rsidRPr="00EB5FFB">
        <w:rPr>
          <w:rFonts w:hint="cs"/>
          <w:b/>
          <w:bCs/>
          <w:sz w:val="20"/>
          <w:szCs w:val="36"/>
          <w:rtl/>
          <w:lang w:eastAsia="en-US"/>
        </w:rPr>
        <w:t xml:space="preserve"> أما كيفية العزو إليها</w:t>
      </w:r>
      <w:r w:rsidR="0048366D">
        <w:rPr>
          <w:rFonts w:hint="cs"/>
          <w:sz w:val="20"/>
          <w:szCs w:val="36"/>
          <w:rtl/>
          <w:lang w:eastAsia="en-US"/>
        </w:rPr>
        <w:t>:</w:t>
      </w:r>
      <w:r w:rsidRPr="00EB5FFB">
        <w:rPr>
          <w:rFonts w:hint="cs"/>
          <w:sz w:val="20"/>
          <w:szCs w:val="36"/>
          <w:rtl/>
          <w:lang w:eastAsia="en-US"/>
        </w:rPr>
        <w:t xml:space="preserve"> فيمكن إيضاحه في النقاط الآتية</w:t>
      </w:r>
      <w:r w:rsidR="0048366D">
        <w:rPr>
          <w:rFonts w:hint="cs"/>
          <w:sz w:val="20"/>
          <w:szCs w:val="36"/>
          <w:rtl/>
          <w:lang w:eastAsia="en-US"/>
        </w:rPr>
        <w:t>:</w:t>
      </w:r>
    </w:p>
    <w:p w:rsidR="00EB5FFB" w:rsidRPr="00EB5FFB" w:rsidRDefault="00EB5FFB" w:rsidP="009A68A5">
      <w:pPr>
        <w:widowControl/>
        <w:ind w:left="565" w:firstLine="2"/>
        <w:jc w:val="both"/>
        <w:rPr>
          <w:spacing w:val="-2"/>
          <w:sz w:val="20"/>
          <w:szCs w:val="36"/>
          <w:rtl/>
          <w:lang w:val="en-GB" w:eastAsia="en-US"/>
        </w:rPr>
      </w:pPr>
      <w:r w:rsidRPr="00EB5FFB">
        <w:rPr>
          <w:rFonts w:hint="cs"/>
          <w:b/>
          <w:bCs/>
          <w:spacing w:val="-2"/>
          <w:sz w:val="20"/>
          <w:szCs w:val="36"/>
          <w:rtl/>
          <w:lang w:eastAsia="en-US"/>
        </w:rPr>
        <w:t>1-</w:t>
      </w:r>
      <w:r w:rsidRPr="00EB5FFB">
        <w:rPr>
          <w:rFonts w:hint="cs"/>
          <w:spacing w:val="-2"/>
          <w:sz w:val="20"/>
          <w:szCs w:val="36"/>
          <w:rtl/>
          <w:lang w:eastAsia="en-US"/>
        </w:rPr>
        <w:t xml:space="preserve"> قد يذكر اسم المؤلف واسم كتابه أولاً، ثم يورد النقل عقب ذلك مباشرة؛ كقوله: </w:t>
      </w:r>
      <w:r w:rsidRPr="00EB5FFB">
        <w:rPr>
          <w:rFonts w:hint="eastAsia"/>
          <w:spacing w:val="-2"/>
          <w:sz w:val="20"/>
          <w:szCs w:val="36"/>
          <w:rtl/>
          <w:lang w:val="en-GB" w:eastAsia="en-US"/>
        </w:rPr>
        <w:t>«</w:t>
      </w:r>
      <w:r w:rsidRPr="00EB5FFB">
        <w:rPr>
          <w:rFonts w:hint="cs"/>
          <w:spacing w:val="-2"/>
          <w:sz w:val="20"/>
          <w:szCs w:val="36"/>
          <w:rtl/>
          <w:lang w:val="en-GB" w:eastAsia="en-US"/>
        </w:rPr>
        <w:t>ولكن صرّح حافظ الدين النسفي في كتابه المسمى بِـ (المنار) بقوله</w:t>
      </w:r>
      <w:r w:rsidR="0048366D">
        <w:rPr>
          <w:rFonts w:hint="cs"/>
          <w:spacing w:val="-2"/>
          <w:sz w:val="20"/>
          <w:szCs w:val="36"/>
          <w:rtl/>
          <w:lang w:val="en-GB" w:eastAsia="en-US"/>
        </w:rPr>
        <w:t>:.</w:t>
      </w:r>
      <w:r w:rsidRPr="00EB5FFB">
        <w:rPr>
          <w:rFonts w:hint="cs"/>
          <w:spacing w:val="-2"/>
          <w:sz w:val="20"/>
          <w:szCs w:val="36"/>
          <w:rtl/>
          <w:lang w:val="en-GB" w:eastAsia="en-US"/>
        </w:rPr>
        <w:t>..</w:t>
      </w:r>
      <w:r w:rsidRPr="00EB5FFB">
        <w:rPr>
          <w:rFonts w:hint="eastAsia"/>
          <w:spacing w:val="-2"/>
          <w:sz w:val="20"/>
          <w:szCs w:val="36"/>
          <w:rtl/>
          <w:lang w:val="en-GB" w:eastAsia="en-US"/>
        </w:rPr>
        <w:t>»</w:t>
      </w:r>
      <w:r w:rsidRPr="00EB5FFB">
        <w:rPr>
          <w:rFonts w:hint="cs"/>
          <w:spacing w:val="-2"/>
          <w:sz w:val="20"/>
          <w:szCs w:val="36"/>
          <w:vertAlign w:val="superscript"/>
          <w:rtl/>
          <w:lang w:val="en-GB" w:eastAsia="en-US"/>
        </w:rPr>
        <w:t>(</w:t>
      </w:r>
      <w:r w:rsidRPr="00EB5FFB">
        <w:rPr>
          <w:bCs/>
          <w:spacing w:val="-2"/>
          <w:sz w:val="20"/>
          <w:szCs w:val="32"/>
          <w:vertAlign w:val="superscript"/>
          <w:rtl/>
          <w:lang w:val="en-GB" w:eastAsia="en-US"/>
        </w:rPr>
        <w:footnoteReference w:id="202"/>
      </w:r>
      <w:r w:rsidRPr="00EB5FFB">
        <w:rPr>
          <w:rFonts w:hint="cs"/>
          <w:spacing w:val="-2"/>
          <w:sz w:val="20"/>
          <w:szCs w:val="36"/>
          <w:vertAlign w:val="superscript"/>
          <w:rtl/>
          <w:lang w:val="en-GB" w:eastAsia="en-US"/>
        </w:rPr>
        <w:t>)</w:t>
      </w:r>
      <w:r w:rsidRPr="00EB5FFB">
        <w:rPr>
          <w:rFonts w:hint="cs"/>
          <w:spacing w:val="-2"/>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2</w:t>
      </w:r>
      <w:r w:rsidRPr="00EB5FFB">
        <w:rPr>
          <w:rFonts w:hint="cs"/>
          <w:sz w:val="20"/>
          <w:szCs w:val="36"/>
          <w:rtl/>
          <w:lang w:val="en-GB" w:eastAsia="en-US"/>
        </w:rPr>
        <w:t>- وقد يرمز لهما؛ كقوله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وأجاب عنه صاحب (العناية) بأن</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0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b/>
          <w:bCs/>
          <w:sz w:val="20"/>
          <w:szCs w:val="36"/>
          <w:rtl/>
          <w:lang w:val="en-GB" w:eastAsia="en-US"/>
        </w:rPr>
        <w:t>3</w:t>
      </w:r>
      <w:r w:rsidRPr="00EB5FFB">
        <w:rPr>
          <w:rFonts w:hint="cs"/>
          <w:sz w:val="20"/>
          <w:szCs w:val="36"/>
          <w:rtl/>
          <w:lang w:val="en-GB" w:eastAsia="en-US"/>
        </w:rPr>
        <w:t>- وقد يكتفي باسم الكتاب؛ كقوله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وقد استثنى في (القنية) مسألتين</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0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pacing w:val="-10"/>
          <w:sz w:val="20"/>
          <w:szCs w:val="36"/>
          <w:rtl/>
          <w:lang w:val="en-GB" w:eastAsia="en-US"/>
        </w:rPr>
      </w:pPr>
      <w:r w:rsidRPr="00EB5FFB">
        <w:rPr>
          <w:rFonts w:hint="cs"/>
          <w:b/>
          <w:bCs/>
          <w:spacing w:val="-10"/>
          <w:sz w:val="20"/>
          <w:szCs w:val="36"/>
          <w:rtl/>
          <w:lang w:val="en-GB" w:eastAsia="en-US"/>
        </w:rPr>
        <w:t>4</w:t>
      </w:r>
      <w:r w:rsidRPr="00EB5FFB">
        <w:rPr>
          <w:rFonts w:hint="cs"/>
          <w:spacing w:val="-10"/>
          <w:sz w:val="35"/>
          <w:szCs w:val="35"/>
          <w:rtl/>
          <w:lang w:val="en-GB" w:eastAsia="en-US"/>
        </w:rPr>
        <w:t>- وأحيانًا يضيف إلى أحد الأمور السابقة</w:t>
      </w:r>
      <w:r w:rsidR="0048366D">
        <w:rPr>
          <w:rFonts w:hint="cs"/>
          <w:spacing w:val="-10"/>
          <w:sz w:val="35"/>
          <w:szCs w:val="35"/>
          <w:rtl/>
          <w:lang w:val="en-GB" w:eastAsia="en-US"/>
        </w:rPr>
        <w:t>:</w:t>
      </w:r>
      <w:r w:rsidRPr="00EB5FFB">
        <w:rPr>
          <w:rFonts w:hint="cs"/>
          <w:spacing w:val="-10"/>
          <w:sz w:val="35"/>
          <w:szCs w:val="35"/>
          <w:rtl/>
          <w:lang w:val="en-GB" w:eastAsia="en-US"/>
        </w:rPr>
        <w:t xml:space="preserve"> تحديد اسم الكتاب، أو الباب، أو الفصل؛ كقوله</w:t>
      </w:r>
      <w:r w:rsidR="0048366D">
        <w:rPr>
          <w:rFonts w:hint="cs"/>
          <w:spacing w:val="-10"/>
          <w:sz w:val="35"/>
          <w:szCs w:val="35"/>
          <w:rtl/>
          <w:lang w:val="en-GB" w:eastAsia="en-US"/>
        </w:rPr>
        <w:t>:</w:t>
      </w:r>
      <w:r w:rsidRPr="00EB5FFB">
        <w:rPr>
          <w:rFonts w:hint="cs"/>
          <w:spacing w:val="-10"/>
          <w:sz w:val="35"/>
          <w:szCs w:val="35"/>
          <w:rtl/>
          <w:lang w:val="en-GB" w:eastAsia="en-US"/>
        </w:rPr>
        <w:t xml:space="preserve"> </w:t>
      </w:r>
      <w:r w:rsidRPr="00EB5FFB">
        <w:rPr>
          <w:rFonts w:hint="eastAsia"/>
          <w:spacing w:val="-10"/>
          <w:sz w:val="35"/>
          <w:szCs w:val="35"/>
          <w:rtl/>
          <w:lang w:val="en-GB" w:eastAsia="en-US"/>
        </w:rPr>
        <w:t>«</w:t>
      </w:r>
      <w:r w:rsidRPr="00EB5FFB">
        <w:rPr>
          <w:rFonts w:hint="cs"/>
          <w:spacing w:val="-10"/>
          <w:sz w:val="35"/>
          <w:szCs w:val="35"/>
          <w:rtl/>
          <w:lang w:val="en-GB" w:eastAsia="en-US"/>
        </w:rPr>
        <w:t>وعلى هذا ظهر سهو ابن نجيم في (أشباهه)، حيث قال في كتاب (الغصب)</w:t>
      </w:r>
      <w:r w:rsidR="0048366D">
        <w:rPr>
          <w:rFonts w:hint="cs"/>
          <w:spacing w:val="-10"/>
          <w:sz w:val="35"/>
          <w:szCs w:val="35"/>
          <w:rtl/>
          <w:lang w:val="en-GB" w:eastAsia="en-US"/>
        </w:rPr>
        <w:t>:.</w:t>
      </w:r>
      <w:r w:rsidRPr="00EB5FFB">
        <w:rPr>
          <w:rFonts w:hint="cs"/>
          <w:spacing w:val="-10"/>
          <w:sz w:val="35"/>
          <w:szCs w:val="35"/>
          <w:rtl/>
          <w:lang w:val="en-GB" w:eastAsia="en-US"/>
        </w:rPr>
        <w:t>..</w:t>
      </w:r>
      <w:r w:rsidRPr="00EB5FFB">
        <w:rPr>
          <w:rFonts w:hint="eastAsia"/>
          <w:spacing w:val="-10"/>
          <w:sz w:val="35"/>
          <w:szCs w:val="35"/>
          <w:rtl/>
          <w:lang w:val="en-GB" w:eastAsia="en-US"/>
        </w:rPr>
        <w:t>»</w:t>
      </w:r>
      <w:r w:rsidRPr="00EB5FFB">
        <w:rPr>
          <w:rFonts w:hint="cs"/>
          <w:spacing w:val="-10"/>
          <w:sz w:val="20"/>
          <w:szCs w:val="36"/>
          <w:vertAlign w:val="superscript"/>
          <w:rtl/>
          <w:lang w:val="en-GB" w:eastAsia="en-US"/>
        </w:rPr>
        <w:t>(</w:t>
      </w:r>
      <w:r w:rsidRPr="00EB5FFB">
        <w:rPr>
          <w:bCs/>
          <w:spacing w:val="-10"/>
          <w:sz w:val="20"/>
          <w:szCs w:val="32"/>
          <w:vertAlign w:val="superscript"/>
          <w:rtl/>
          <w:lang w:val="en-GB" w:eastAsia="en-US"/>
        </w:rPr>
        <w:footnoteReference w:id="205"/>
      </w:r>
      <w:r w:rsidRPr="00EB5FFB">
        <w:rPr>
          <w:rFonts w:hint="cs"/>
          <w:spacing w:val="-10"/>
          <w:sz w:val="20"/>
          <w:szCs w:val="36"/>
          <w:vertAlign w:val="superscript"/>
          <w:rtl/>
          <w:lang w:val="en-GB" w:eastAsia="en-US"/>
        </w:rPr>
        <w:t>)</w:t>
      </w:r>
      <w:r w:rsidRPr="00EB5FFB">
        <w:rPr>
          <w:rFonts w:hint="cs"/>
          <w:spacing w:val="-10"/>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eastAsia="en-US"/>
        </w:rPr>
        <w:t xml:space="preserve">وكقوله: </w:t>
      </w:r>
      <w:r w:rsidRPr="00EB5FFB">
        <w:rPr>
          <w:rFonts w:hint="eastAsia"/>
          <w:sz w:val="20"/>
          <w:szCs w:val="36"/>
          <w:rtl/>
          <w:lang w:val="en-GB" w:eastAsia="en-US"/>
        </w:rPr>
        <w:t>«</w:t>
      </w:r>
      <w:r w:rsidRPr="00EB5FFB">
        <w:rPr>
          <w:rFonts w:hint="cs"/>
          <w:sz w:val="20"/>
          <w:szCs w:val="36"/>
          <w:rtl/>
          <w:lang w:val="en-GB" w:eastAsia="en-US"/>
        </w:rPr>
        <w:t>حيث قال صاحب (المغني) في فصل (المعارضة): والأصل في ذلك</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0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b/>
          <w:bCs/>
          <w:sz w:val="20"/>
          <w:szCs w:val="36"/>
          <w:rtl/>
          <w:lang w:eastAsia="en-US"/>
        </w:rPr>
        <w:t>5</w:t>
      </w:r>
      <w:r w:rsidRPr="00EB5FFB">
        <w:rPr>
          <w:rFonts w:hint="cs"/>
          <w:sz w:val="20"/>
          <w:szCs w:val="36"/>
          <w:rtl/>
          <w:lang w:eastAsia="en-US"/>
        </w:rPr>
        <w:t>- كما أنه قد يكتفي باسم القائل فقط؛ كقوله</w:t>
      </w:r>
      <w:r w:rsidR="0048366D">
        <w:rPr>
          <w:rFonts w:hint="cs"/>
          <w:sz w:val="20"/>
          <w:szCs w:val="36"/>
          <w:rtl/>
          <w:lang w:eastAsia="en-US"/>
        </w:rPr>
        <w:t>:</w:t>
      </w:r>
      <w:r w:rsidRPr="00EB5FFB">
        <w:rPr>
          <w:rFonts w:hint="cs"/>
          <w:sz w:val="20"/>
          <w:szCs w:val="36"/>
          <w:rtl/>
          <w:lang w:eastAsia="en-US"/>
        </w:rPr>
        <w:t xml:space="preserve"> </w:t>
      </w:r>
      <w:r w:rsidRPr="00EB5FFB">
        <w:rPr>
          <w:rFonts w:hint="eastAsia"/>
          <w:sz w:val="20"/>
          <w:szCs w:val="36"/>
          <w:rtl/>
          <w:lang w:val="en-GB" w:eastAsia="en-US"/>
        </w:rPr>
        <w:t>«</w:t>
      </w:r>
      <w:r w:rsidRPr="00EB5FFB">
        <w:rPr>
          <w:rFonts w:hint="cs"/>
          <w:sz w:val="20"/>
          <w:szCs w:val="36"/>
          <w:rtl/>
          <w:lang w:val="en-GB" w:eastAsia="en-US"/>
        </w:rPr>
        <w:t>وذكر القدوري</w:t>
      </w:r>
      <w:r w:rsidR="0048366D">
        <w:rPr>
          <w:rFonts w:hint="cs"/>
          <w:sz w:val="20"/>
          <w:szCs w:val="36"/>
          <w:rtl/>
          <w:lang w:val="en-GB" w:eastAsia="en-US"/>
        </w:rPr>
        <w:t>:</w:t>
      </w:r>
      <w:r w:rsidRPr="00EB5FFB">
        <w:rPr>
          <w:rFonts w:hint="cs"/>
          <w:sz w:val="20"/>
          <w:szCs w:val="36"/>
          <w:rtl/>
          <w:lang w:val="en-GB" w:eastAsia="en-US"/>
        </w:rPr>
        <w:t xml:space="preserve"> أن على المستأجر</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0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eastAsia="en-US"/>
        </w:rPr>
      </w:pPr>
      <w:r w:rsidRPr="00EB5FFB">
        <w:rPr>
          <w:rFonts w:hint="cs"/>
          <w:b/>
          <w:bCs/>
          <w:sz w:val="20"/>
          <w:szCs w:val="36"/>
          <w:rtl/>
          <w:lang w:eastAsia="en-US"/>
        </w:rPr>
        <w:t>6</w:t>
      </w:r>
      <w:r w:rsidRPr="00EB5FFB">
        <w:rPr>
          <w:rFonts w:hint="cs"/>
          <w:sz w:val="20"/>
          <w:szCs w:val="36"/>
          <w:rtl/>
          <w:lang w:eastAsia="en-US"/>
        </w:rPr>
        <w:t xml:space="preserve">- وهذه الأمور الخمسة السابقة كما أنه قد يذكرها قبل النقل، كذلك قد يوردها بعد النقل </w:t>
      </w:r>
      <w:r w:rsidRPr="00EB5FFB">
        <w:rPr>
          <w:sz w:val="20"/>
          <w:szCs w:val="36"/>
          <w:rtl/>
          <w:lang w:eastAsia="en-US"/>
        </w:rPr>
        <w:t>–</w:t>
      </w:r>
      <w:r w:rsidRPr="00EB5FFB">
        <w:rPr>
          <w:rFonts w:hint="cs"/>
          <w:sz w:val="20"/>
          <w:szCs w:val="36"/>
          <w:rtl/>
          <w:lang w:eastAsia="en-US"/>
        </w:rPr>
        <w:t>وهذا الغالب-</w:t>
      </w:r>
      <w:r w:rsidR="0048366D">
        <w:rPr>
          <w:rFonts w:hint="cs"/>
          <w:sz w:val="20"/>
          <w:szCs w:val="36"/>
          <w:rtl/>
          <w:lang w:eastAsia="en-US"/>
        </w:rPr>
        <w:t>.</w:t>
      </w:r>
      <w:r w:rsidRPr="00EB5FFB">
        <w:rPr>
          <w:rFonts w:hint="cs"/>
          <w:sz w:val="20"/>
          <w:szCs w:val="36"/>
          <w:rtl/>
          <w:lang w:eastAsia="en-US"/>
        </w:rPr>
        <w:t xml:space="preserve"> ومن أمثلة ذلك</w:t>
      </w:r>
      <w:r w:rsidR="0048366D">
        <w:rPr>
          <w:rFonts w:hint="cs"/>
          <w:sz w:val="20"/>
          <w:szCs w:val="36"/>
          <w:rtl/>
          <w:lang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أ</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كذا قال الإتقاني في (شرح المغني)، ولم يجب</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0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lastRenderedPageBreak/>
        <w:t>ب</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كذا يفهم من عبارة صاحب (الدرر)</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0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جـ-</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كذا في (العناية)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0"/>
      </w:r>
      <w:r w:rsidRPr="00EB5FFB">
        <w:rPr>
          <w:rFonts w:hint="cs"/>
          <w:sz w:val="20"/>
          <w:szCs w:val="36"/>
          <w:vertAlign w:val="superscript"/>
          <w:rtl/>
          <w:lang w:val="en-GB" w:eastAsia="en-US"/>
        </w:rPr>
        <w:t>)</w:t>
      </w:r>
      <w:r w:rsidRPr="00EB5FFB">
        <w:rPr>
          <w:rFonts w:hint="cs"/>
          <w:sz w:val="20"/>
          <w:szCs w:val="36"/>
          <w:rtl/>
          <w:lang w:val="en-GB" w:eastAsia="en-US"/>
        </w:rPr>
        <w:t>، و</w:t>
      </w:r>
      <w:r w:rsidRPr="00EB5FFB">
        <w:rPr>
          <w:rFonts w:hint="eastAsia"/>
          <w:sz w:val="20"/>
          <w:szCs w:val="36"/>
          <w:rtl/>
          <w:lang w:val="en-GB" w:eastAsia="en-US"/>
        </w:rPr>
        <w:t>«</w:t>
      </w:r>
      <w:r w:rsidRPr="00EB5FFB">
        <w:rPr>
          <w:rFonts w:hint="cs"/>
          <w:sz w:val="20"/>
          <w:szCs w:val="36"/>
          <w:rtl/>
          <w:lang w:val="en-GB" w:eastAsia="en-US"/>
        </w:rPr>
        <w:t>كما في (الخانية)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د</w:t>
      </w:r>
      <w:r w:rsidRPr="00EB5FFB">
        <w:rPr>
          <w:rFonts w:hint="cs"/>
          <w:sz w:val="20"/>
          <w:szCs w:val="36"/>
          <w:rtl/>
          <w:lang w:val="en-GB" w:eastAsia="en-US"/>
        </w:rPr>
        <w:t xml:space="preserve"> - </w:t>
      </w:r>
      <w:r w:rsidRPr="00EB5FFB">
        <w:rPr>
          <w:rFonts w:hint="eastAsia"/>
          <w:sz w:val="20"/>
          <w:szCs w:val="36"/>
          <w:rtl/>
          <w:lang w:val="en-GB" w:eastAsia="en-US"/>
        </w:rPr>
        <w:t>«</w:t>
      </w:r>
      <w:r w:rsidRPr="00EB5FFB">
        <w:rPr>
          <w:rFonts w:hint="cs"/>
          <w:sz w:val="20"/>
          <w:szCs w:val="36"/>
          <w:rtl/>
          <w:lang w:val="en-GB" w:eastAsia="en-US"/>
        </w:rPr>
        <w:t>... ذكره قاضي خان في أوائل</w:t>
      </w:r>
      <w:r w:rsidR="0048366D">
        <w:rPr>
          <w:rFonts w:hint="cs"/>
          <w:sz w:val="20"/>
          <w:szCs w:val="36"/>
          <w:rtl/>
          <w:lang w:val="en-GB" w:eastAsia="en-US"/>
        </w:rPr>
        <w:t>:</w:t>
      </w:r>
      <w:r w:rsidRPr="00EB5FFB">
        <w:rPr>
          <w:rFonts w:hint="cs"/>
          <w:sz w:val="20"/>
          <w:szCs w:val="36"/>
          <w:rtl/>
          <w:lang w:val="en-GB" w:eastAsia="en-US"/>
        </w:rPr>
        <w:t xml:space="preserve"> فصل فيما يجب الأجر على المستأجر</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هـ</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ذكره الزيلعي</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7</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إضافة إلى ما سبق</w:t>
      </w:r>
      <w:r w:rsidR="0048366D">
        <w:rPr>
          <w:rFonts w:hint="cs"/>
          <w:sz w:val="20"/>
          <w:szCs w:val="36"/>
          <w:rtl/>
          <w:lang w:val="en-GB" w:eastAsia="en-US"/>
        </w:rPr>
        <w:t>:</w:t>
      </w:r>
      <w:r w:rsidRPr="00EB5FFB">
        <w:rPr>
          <w:rFonts w:hint="cs"/>
          <w:sz w:val="20"/>
          <w:szCs w:val="36"/>
          <w:rtl/>
          <w:lang w:val="en-GB" w:eastAsia="en-US"/>
        </w:rPr>
        <w:t xml:space="preserve"> فإنه قد ينقل العبارة من كتاب معيّن دون عزوها إليه، وقد تتضمّن هذه العبارة نقولاً من كتب أُخَر، فيذكر النقول دون ذكر الواسطة التي توصّل بها إلى تلك النقول!.</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وهذه السمة موجودة في كثير من الكتب. ومن أوضح الأمثلة على ذلك</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أن ناظرزاده في أثناء تعليقه على حديث </w:t>
      </w:r>
      <w:r w:rsidRPr="00EB5FFB">
        <w:rPr>
          <w:rFonts w:hint="eastAsia"/>
          <w:sz w:val="20"/>
          <w:szCs w:val="36"/>
          <w:rtl/>
          <w:lang w:val="en-GB" w:eastAsia="en-US"/>
        </w:rPr>
        <w:t>«</w:t>
      </w:r>
      <w:r w:rsidRPr="00EB5FFB">
        <w:rPr>
          <w:rFonts w:cs="DecoType Naskh" w:hint="cs"/>
          <w:sz w:val="20"/>
          <w:szCs w:val="36"/>
          <w:rtl/>
          <w:lang w:val="en-GB" w:eastAsia="en-US"/>
        </w:rPr>
        <w:t>الخراج بالضمان</w:t>
      </w:r>
      <w:r w:rsidRPr="00EB5FFB">
        <w:rPr>
          <w:rFonts w:hint="eastAsia"/>
          <w:sz w:val="20"/>
          <w:szCs w:val="36"/>
          <w:rtl/>
          <w:lang w:val="en-GB" w:eastAsia="en-US"/>
        </w:rPr>
        <w:t>»</w:t>
      </w:r>
      <w:r w:rsidRPr="00EB5FFB">
        <w:rPr>
          <w:rFonts w:hint="cs"/>
          <w:sz w:val="20"/>
          <w:szCs w:val="36"/>
          <w:rtl/>
          <w:lang w:val="en-GB" w:eastAsia="en-US"/>
        </w:rPr>
        <w:t xml:space="preserve">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قال أبو عبيد الله: الخراج في هذا الحديث</w:t>
      </w:r>
      <w:r w:rsidR="0048366D">
        <w:rPr>
          <w:rFonts w:hint="cs"/>
          <w:sz w:val="20"/>
          <w:szCs w:val="36"/>
          <w:rtl/>
          <w:lang w:val="en-GB" w:eastAsia="en-US"/>
        </w:rPr>
        <w:t>:</w:t>
      </w:r>
      <w:r w:rsidRPr="00EB5FFB">
        <w:rPr>
          <w:rFonts w:hint="cs"/>
          <w:sz w:val="20"/>
          <w:szCs w:val="36"/>
          <w:rtl/>
          <w:lang w:val="en-GB" w:eastAsia="en-US"/>
        </w:rPr>
        <w:t xml:space="preserve"> غلّة عبد يشتريه الرجل فيستغلّه</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pacing w:val="-6"/>
          <w:sz w:val="20"/>
          <w:szCs w:val="36"/>
          <w:rtl/>
          <w:lang w:eastAsia="en-US"/>
        </w:rPr>
      </w:pPr>
      <w:r w:rsidRPr="00EB5FFB">
        <w:rPr>
          <w:rFonts w:hint="cs"/>
          <w:spacing w:val="-6"/>
          <w:sz w:val="20"/>
          <w:szCs w:val="36"/>
          <w:rtl/>
          <w:lang w:eastAsia="en-US"/>
        </w:rPr>
        <w:t>وبالرجوع إلى آكد مظانّها من كتب أبي عبيد بن سلام</w:t>
      </w:r>
      <w:r w:rsidR="0048366D">
        <w:rPr>
          <w:rFonts w:hint="cs"/>
          <w:spacing w:val="-6"/>
          <w:sz w:val="20"/>
          <w:szCs w:val="36"/>
          <w:rtl/>
          <w:lang w:eastAsia="en-US"/>
        </w:rPr>
        <w:t>:</w:t>
      </w:r>
      <w:r w:rsidRPr="00EB5FFB">
        <w:rPr>
          <w:rFonts w:hint="cs"/>
          <w:spacing w:val="-6"/>
          <w:sz w:val="20"/>
          <w:szCs w:val="36"/>
          <w:rtl/>
          <w:lang w:eastAsia="en-US"/>
        </w:rPr>
        <w:t xml:space="preserve"> وُجد أن العبارة مذكورة عنده بمعناها. أما لفظها عند ناظرزاده فيكاد يكون مطابقًا للفظ ابن نجيم، ومع ذلك لم يَعزُها ناظرزاده إليه. كما أنّ لفظ ابن نجيم كلفظ السيوطي، ولم يعزها إليه أيضًا</w:t>
      </w:r>
      <w:r w:rsidR="0048366D">
        <w:rPr>
          <w:rFonts w:hint="cs"/>
          <w:spacing w:val="-6"/>
          <w:sz w:val="20"/>
          <w:szCs w:val="36"/>
          <w:rtl/>
          <w:lang w:eastAsia="en-US"/>
        </w:rPr>
        <w:t>!</w:t>
      </w:r>
      <w:r w:rsidRPr="00EB5FFB">
        <w:rPr>
          <w:rFonts w:hint="cs"/>
          <w:spacing w:val="-6"/>
          <w:sz w:val="20"/>
          <w:szCs w:val="36"/>
          <w:rtl/>
          <w:lang w:eastAsia="en-US"/>
        </w:rPr>
        <w:t xml:space="preserve"> وربّما أن السيوطي استفادها أيضًا بواسطة، ولم يعزها إليها، ولاسيما أن لفظ السيوطي ليس قريبًا من لفظ أبي عبيد!.</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وممّا يؤكد أن ناظرزاده استفادها من أشباه ابن نجيم</w:t>
      </w:r>
      <w:r w:rsidR="0048366D">
        <w:rPr>
          <w:rFonts w:hint="cs"/>
          <w:sz w:val="20"/>
          <w:szCs w:val="36"/>
          <w:rtl/>
          <w:lang w:eastAsia="en-US"/>
        </w:rPr>
        <w:t>:</w:t>
      </w:r>
      <w:r w:rsidRPr="00EB5FFB">
        <w:rPr>
          <w:rFonts w:hint="cs"/>
          <w:sz w:val="20"/>
          <w:szCs w:val="36"/>
          <w:rtl/>
          <w:lang w:eastAsia="en-US"/>
        </w:rPr>
        <w:t xml:space="preserve"> أن أشباهه هي المرجع الرئيس لناظرزاده في تعليقه على القاعدة التي ورد فيها الحديث المذكور، كما أن التعليق تضمّن نقلين آخرين عن </w:t>
      </w:r>
      <w:r w:rsidRPr="00EB5FFB">
        <w:rPr>
          <w:rFonts w:hint="cs"/>
          <w:sz w:val="20"/>
          <w:szCs w:val="36"/>
          <w:rtl/>
          <w:lang w:eastAsia="en-US"/>
        </w:rPr>
        <w:lastRenderedPageBreak/>
        <w:t>الفخر البزدوي، والأصحاب من الحنفية، وكلا النقلين مذكوران بلفظهما في أشباه ابن نجيم. ومع ذلك كله لم يذكره في تعليقه على القاعدة مطلقًا</w:t>
      </w:r>
      <w:r w:rsidRPr="00EB5FFB">
        <w:rPr>
          <w:rFonts w:hint="cs"/>
          <w:sz w:val="20"/>
          <w:szCs w:val="36"/>
          <w:vertAlign w:val="superscript"/>
          <w:rtl/>
          <w:lang w:eastAsia="en-US"/>
        </w:rPr>
        <w:t>(</w:t>
      </w:r>
      <w:r w:rsidRPr="00EB5FFB">
        <w:rPr>
          <w:bCs/>
          <w:spacing w:val="-4"/>
          <w:sz w:val="20"/>
          <w:szCs w:val="32"/>
          <w:vertAlign w:val="superscript"/>
          <w:rtl/>
          <w:lang w:eastAsia="en-US"/>
        </w:rPr>
        <w:footnoteReference w:id="215"/>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8</w:t>
      </w:r>
      <w:r w:rsidRPr="00EB5FFB">
        <w:rPr>
          <w:rFonts w:hint="cs"/>
          <w:sz w:val="20"/>
          <w:szCs w:val="36"/>
          <w:rtl/>
          <w:lang w:eastAsia="en-US"/>
        </w:rPr>
        <w:t>- كما أنه قد يشير إلى مصدر العبارة لكن بإحالات مبهمة أو مجملة</w:t>
      </w:r>
      <w:r w:rsidR="0048366D">
        <w:rPr>
          <w:rFonts w:hint="cs"/>
          <w:sz w:val="20"/>
          <w:szCs w:val="36"/>
          <w:rtl/>
          <w:lang w:eastAsia="en-US"/>
        </w:rPr>
        <w:t>:</w:t>
      </w:r>
    </w:p>
    <w:p w:rsidR="00EB5FFB" w:rsidRPr="00EB5FFB" w:rsidRDefault="00EB5FFB" w:rsidP="009A68A5">
      <w:pPr>
        <w:widowControl/>
        <w:tabs>
          <w:tab w:val="num" w:pos="990"/>
        </w:tabs>
        <w:ind w:left="567" w:firstLine="0"/>
        <w:jc w:val="both"/>
        <w:rPr>
          <w:sz w:val="20"/>
          <w:szCs w:val="36"/>
          <w:rtl/>
          <w:lang w:eastAsia="en-US"/>
        </w:rPr>
      </w:pPr>
      <w:r w:rsidRPr="00EB5FFB">
        <w:rPr>
          <w:sz w:val="22"/>
          <w:szCs w:val="38"/>
          <w:rtl/>
          <w:lang w:eastAsia="en-US"/>
        </w:rPr>
        <w:t>•</w:t>
      </w:r>
      <w:r w:rsidRPr="00EB5FFB">
        <w:rPr>
          <w:rFonts w:hint="cs"/>
          <w:sz w:val="20"/>
          <w:szCs w:val="36"/>
          <w:rtl/>
          <w:lang w:eastAsia="en-US"/>
        </w:rPr>
        <w:t xml:space="preserve"> فمن الإحالة المبهمة</w:t>
      </w:r>
      <w:r w:rsidR="0048366D">
        <w:rPr>
          <w:rFonts w:hint="cs"/>
          <w:sz w:val="20"/>
          <w:szCs w:val="36"/>
          <w:rtl/>
          <w:lang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الاجتهاد لا ينقض بمثله</w:t>
      </w:r>
      <w:r w:rsidR="0048366D">
        <w:rPr>
          <w:rFonts w:hint="cs"/>
          <w:sz w:val="20"/>
          <w:szCs w:val="36"/>
          <w:rtl/>
          <w:lang w:val="en-GB" w:eastAsia="en-US"/>
        </w:rPr>
        <w:t>:</w:t>
      </w:r>
      <w:r w:rsidRPr="00EB5FFB">
        <w:rPr>
          <w:rFonts w:hint="cs"/>
          <w:sz w:val="20"/>
          <w:szCs w:val="36"/>
          <w:rtl/>
          <w:lang w:val="en-GB" w:eastAsia="en-US"/>
        </w:rPr>
        <w:t xml:space="preserve"> و</w:t>
      </w:r>
      <w:r w:rsidRPr="00EB5FFB">
        <w:rPr>
          <w:rFonts w:hint="cs"/>
          <w:b/>
          <w:bCs/>
          <w:sz w:val="20"/>
          <w:szCs w:val="36"/>
          <w:rtl/>
          <w:lang w:val="en-GB" w:eastAsia="en-US"/>
        </w:rPr>
        <w:t>عللوه</w:t>
      </w:r>
      <w:r w:rsidRPr="00EB5FFB">
        <w:rPr>
          <w:rFonts w:hint="cs"/>
          <w:sz w:val="20"/>
          <w:szCs w:val="36"/>
          <w:rtl/>
          <w:lang w:val="en-GB" w:eastAsia="en-US"/>
        </w:rPr>
        <w:t xml:space="preserve"> بأن الاجتهاد الثاني</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وعلل </w:t>
      </w:r>
      <w:r w:rsidRPr="00EB5FFB">
        <w:rPr>
          <w:rFonts w:hint="cs"/>
          <w:b/>
          <w:bCs/>
          <w:sz w:val="20"/>
          <w:szCs w:val="36"/>
          <w:rtl/>
          <w:lang w:val="en-GB" w:eastAsia="en-US"/>
        </w:rPr>
        <w:t>البعض</w:t>
      </w:r>
      <w:r w:rsidR="0048366D">
        <w:rPr>
          <w:rFonts w:hint="cs"/>
          <w:sz w:val="20"/>
          <w:szCs w:val="36"/>
          <w:rtl/>
          <w:lang w:val="en-GB" w:eastAsia="en-US"/>
        </w:rPr>
        <w:t>:</w:t>
      </w:r>
      <w:r w:rsidRPr="00EB5FFB">
        <w:rPr>
          <w:rFonts w:hint="cs"/>
          <w:sz w:val="20"/>
          <w:szCs w:val="36"/>
          <w:rtl/>
          <w:lang w:val="en-GB" w:eastAsia="en-US"/>
        </w:rPr>
        <w:t xml:space="preserve"> بأن قبول شهادته</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w:t>
      </w:r>
      <w:r w:rsidRPr="00EB5FFB">
        <w:rPr>
          <w:rFonts w:hint="cs"/>
          <w:b/>
          <w:bCs/>
          <w:sz w:val="20"/>
          <w:szCs w:val="36"/>
          <w:rtl/>
          <w:lang w:val="en-GB" w:eastAsia="en-US"/>
        </w:rPr>
        <w:t>بعضهم</w:t>
      </w:r>
      <w:r w:rsidRPr="00EB5FFB">
        <w:rPr>
          <w:rFonts w:hint="cs"/>
          <w:sz w:val="20"/>
          <w:szCs w:val="36"/>
          <w:rtl/>
          <w:lang w:val="en-GB" w:eastAsia="en-US"/>
        </w:rPr>
        <w:t xml:space="preserve"> استثنى من هذه القاعدة</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تفويض التصرف في ملك الغير لا يجوز</w:t>
      </w:r>
      <w:r w:rsidR="0048366D">
        <w:rPr>
          <w:rFonts w:hint="cs"/>
          <w:sz w:val="20"/>
          <w:szCs w:val="36"/>
          <w:rtl/>
          <w:lang w:val="en-GB" w:eastAsia="en-US"/>
        </w:rPr>
        <w:t>:</w:t>
      </w:r>
      <w:r w:rsidRPr="00EB5FFB">
        <w:rPr>
          <w:rFonts w:hint="cs"/>
          <w:sz w:val="20"/>
          <w:szCs w:val="36"/>
          <w:rtl/>
          <w:lang w:val="en-GB" w:eastAsia="en-US"/>
        </w:rPr>
        <w:t xml:space="preserve"> ولذا </w:t>
      </w:r>
      <w:r w:rsidRPr="00EB5FFB">
        <w:rPr>
          <w:rFonts w:hint="cs"/>
          <w:b/>
          <w:bCs/>
          <w:sz w:val="20"/>
          <w:szCs w:val="36"/>
          <w:rtl/>
          <w:lang w:val="en-GB" w:eastAsia="en-US"/>
        </w:rPr>
        <w:t>قالوا</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lang w:val="en-GB" w:eastAsia="en-US"/>
        </w:rPr>
      </w:pPr>
      <w:r w:rsidRPr="00EB5FFB">
        <w:rPr>
          <w:sz w:val="22"/>
          <w:szCs w:val="38"/>
          <w:rtl/>
          <w:lang w:eastAsia="en-US"/>
        </w:rPr>
        <w:t>•</w:t>
      </w:r>
      <w:r w:rsidRPr="00EB5FFB">
        <w:rPr>
          <w:rFonts w:hint="cs"/>
          <w:sz w:val="20"/>
          <w:szCs w:val="36"/>
          <w:rtl/>
          <w:lang w:val="en-GB" w:eastAsia="en-US"/>
        </w:rPr>
        <w:t xml:space="preserve"> ومن الإحالات المجملة</w:t>
      </w:r>
      <w:r w:rsidR="0048366D">
        <w:rPr>
          <w:rFonts w:hint="cs"/>
          <w:sz w:val="20"/>
          <w:szCs w:val="36"/>
          <w:rtl/>
          <w:lang w:val="en-GB" w:eastAsia="en-US"/>
        </w:rPr>
        <w:t>:</w:t>
      </w:r>
      <w:r w:rsidRPr="00EB5FFB">
        <w:rPr>
          <w:rFonts w:hint="cs"/>
          <w:sz w:val="20"/>
          <w:szCs w:val="36"/>
          <w:rtl/>
          <w:lang w:val="en-GB" w:eastAsia="en-US"/>
        </w:rPr>
        <w:t xml:space="preserve"> </w:t>
      </w:r>
    </w:p>
    <w:p w:rsidR="00EB5FFB" w:rsidRPr="00EB5FFB" w:rsidRDefault="00EB5FFB" w:rsidP="009A68A5">
      <w:pPr>
        <w:widowControl/>
        <w:ind w:left="567" w:firstLine="0"/>
        <w:jc w:val="both"/>
        <w:rPr>
          <w:sz w:val="20"/>
          <w:szCs w:val="36"/>
          <w:rtl/>
          <w:lang w:val="en-GB" w:eastAsia="en-US"/>
        </w:rPr>
      </w:pPr>
      <w:r w:rsidRPr="00EB5FFB">
        <w:rPr>
          <w:rFonts w:hint="cs"/>
          <w:sz w:val="20"/>
          <w:szCs w:val="36"/>
          <w:rtl/>
          <w:lang w:val="en-GB" w:eastAsia="en-US"/>
        </w:rPr>
        <w:t>إحالته إلى كتب تشترك مع غيرها في الاسم دون أن يميّز أيها المراد. ومن هذه الكتب: (الإرشاد)، (الحاوي)، (شرح الطحاوي)، (شرح منظومة ابن وهبان)، (الكافي)، (الكفاية)، (المبسوط)، (النهاية)، (الوجيز)</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8"/>
      </w:r>
      <w:r w:rsidRPr="00EB5FFB">
        <w:rPr>
          <w:rFonts w:hint="cs"/>
          <w:sz w:val="20"/>
          <w:szCs w:val="36"/>
          <w:vertAlign w:val="superscript"/>
          <w:rtl/>
          <w:lang w:val="en-GB" w:eastAsia="en-US"/>
        </w:rPr>
        <w:t>)</w:t>
      </w:r>
      <w:r w:rsidRPr="00EB5FFB">
        <w:rPr>
          <w:rFonts w:hint="cs"/>
          <w:sz w:val="20"/>
          <w:szCs w:val="36"/>
          <w:rtl/>
          <w:lang w:val="en-GB" w:eastAsia="en-US"/>
        </w:rPr>
        <w:t>. فهذه الأسماء وغيرها يشترك في كل واحد منها عدّة كتب من كتب الحنفية، ويصعب على القارئ تمييز المراد من كل واحد منها؛ لأنه يحتاج حينئذ إلى البحث عن النقل في مظانّه من كل كتاب يشترك في ذلك الاسم</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التاسع</w:t>
      </w:r>
      <w:r w:rsidR="0048366D">
        <w:rPr>
          <w:rFonts w:hint="cs"/>
          <w:b/>
          <w:bCs/>
          <w:sz w:val="20"/>
          <w:szCs w:val="36"/>
          <w:rtl/>
          <w:lang w:val="en-GB" w:eastAsia="en-US"/>
        </w:rPr>
        <w:t>:</w:t>
      </w:r>
      <w:r w:rsidRPr="00EB5FFB">
        <w:rPr>
          <w:rFonts w:hint="cs"/>
          <w:b/>
          <w:bCs/>
          <w:sz w:val="20"/>
          <w:szCs w:val="36"/>
          <w:rtl/>
          <w:lang w:val="en-GB" w:eastAsia="en-US"/>
        </w:rPr>
        <w:t xml:space="preserve"> منهجه في ذكر الأعلام</w:t>
      </w:r>
      <w:r w:rsidR="0048366D">
        <w:rPr>
          <w:rFonts w:hint="cs"/>
          <w:b/>
          <w:bCs/>
          <w:sz w:val="20"/>
          <w:szCs w:val="36"/>
          <w:rtl/>
          <w:lang w:val="en-GB"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 يكن من منهج المؤلف الاعتناء بذكر الأعلام والتعريف بها، وإذا ذكرها يكون ذلك بالاكتفاء بما تشتهر به، ويحصل به تمييز لها، دون مزيد تفصيل</w:t>
      </w:r>
      <w:r w:rsidR="0048366D">
        <w:rPr>
          <w:rFonts w:hint="cs"/>
          <w:sz w:val="20"/>
          <w:szCs w:val="36"/>
          <w:rtl/>
          <w:lang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eastAsia="en-US"/>
        </w:rPr>
        <w:lastRenderedPageBreak/>
        <w:t>فإذا كان له اسم يشتهر به أو كنية أو لقب اكتفى به؛ كقوله</w:t>
      </w:r>
      <w:r w:rsidR="0048366D">
        <w:rPr>
          <w:rFonts w:hint="cs"/>
          <w:sz w:val="20"/>
          <w:szCs w:val="36"/>
          <w:rtl/>
          <w:lang w:eastAsia="en-US"/>
        </w:rPr>
        <w:t>:</w:t>
      </w:r>
      <w:r w:rsidRPr="00EB5FFB">
        <w:rPr>
          <w:rFonts w:hint="cs"/>
          <w:sz w:val="20"/>
          <w:szCs w:val="36"/>
          <w:rtl/>
          <w:lang w:eastAsia="en-US"/>
        </w:rPr>
        <w:t xml:space="preserve"> </w:t>
      </w:r>
      <w:r w:rsidRPr="00EB5FFB">
        <w:rPr>
          <w:rFonts w:hint="eastAsia"/>
          <w:sz w:val="20"/>
          <w:szCs w:val="36"/>
          <w:rtl/>
          <w:lang w:val="en-GB" w:eastAsia="en-US"/>
        </w:rPr>
        <w:t>«</w:t>
      </w:r>
      <w:r w:rsidRPr="00EB5FFB">
        <w:rPr>
          <w:rFonts w:hint="cs"/>
          <w:sz w:val="20"/>
          <w:szCs w:val="36"/>
          <w:rtl/>
          <w:lang w:val="en-GB" w:eastAsia="en-US"/>
        </w:rPr>
        <w:t>أحمد</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بريرة</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حبان</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زفر</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محمد</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أبو حنيفة</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أبو الشجاع</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أبو يوسف</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البزدوي</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الزيلعي</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السرخسي</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الشافعي</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وإذا لم يحصل تميزه بذلك ذكر  لفظًا آخر يميزه؛ كقوله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محمد بن الفضل</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أبو سعيد بن أسعد</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شمس الأئمة الحلواني</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ولم يزد على لفظين إلا فـي ذكره لاسمه حيث قال </w:t>
      </w:r>
      <w:r w:rsidRPr="00EB5FFB">
        <w:rPr>
          <w:rFonts w:hint="eastAsia"/>
          <w:sz w:val="20"/>
          <w:szCs w:val="36"/>
          <w:rtl/>
          <w:lang w:val="en-GB" w:eastAsia="en-US"/>
        </w:rPr>
        <w:t>«</w:t>
      </w:r>
      <w:r w:rsidRPr="00EB5FFB">
        <w:rPr>
          <w:rFonts w:hint="cs"/>
          <w:sz w:val="20"/>
          <w:szCs w:val="36"/>
          <w:rtl/>
          <w:lang w:val="en-GB" w:eastAsia="en-US"/>
        </w:rPr>
        <w:t>محمد بن سليمان الشهير بناظرزاده</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وأكثر ما كان يذكر الأعلام بالرمز لها بربطها بأحد الكتب؛ كقوله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صاحب (الدرر)</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صاحب (العناية)</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صاحب (الهداية)</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وممّا يؤكد أن هذا هو أكثر صنيعه</w:t>
      </w:r>
      <w:r w:rsidR="0048366D">
        <w:rPr>
          <w:rFonts w:hint="cs"/>
          <w:sz w:val="20"/>
          <w:szCs w:val="36"/>
          <w:rtl/>
          <w:lang w:val="en-GB" w:eastAsia="en-US"/>
        </w:rPr>
        <w:t>:</w:t>
      </w:r>
      <w:r w:rsidRPr="00EB5FFB">
        <w:rPr>
          <w:rFonts w:hint="cs"/>
          <w:sz w:val="20"/>
          <w:szCs w:val="36"/>
          <w:rtl/>
          <w:lang w:val="en-GB" w:eastAsia="en-US"/>
        </w:rPr>
        <w:t xml:space="preserve"> أن الكتب الثلاثة السابقة هي أبرز مصادره ومع ذلك لم يصّرح باسم المؤلف إلا في كتاب واحد، ومرة واحدة فقط، حيث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وجعل المولى خسرو في درره، في آخر كتاب القضاء</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1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ومن مظاهر عدم اعتنائه بالأعلام</w:t>
      </w:r>
      <w:r w:rsidR="0048366D">
        <w:rPr>
          <w:rFonts w:hint="cs"/>
          <w:sz w:val="20"/>
          <w:szCs w:val="36"/>
          <w:rtl/>
          <w:lang w:val="en-GB" w:eastAsia="en-US"/>
        </w:rPr>
        <w:t>:</w:t>
      </w:r>
      <w:r w:rsidRPr="00EB5FFB">
        <w:rPr>
          <w:rFonts w:hint="cs"/>
          <w:sz w:val="20"/>
          <w:szCs w:val="36"/>
          <w:rtl/>
          <w:lang w:val="en-GB" w:eastAsia="en-US"/>
        </w:rPr>
        <w:t xml:space="preserve"> أنه لم يصرّح باسم أحد من مشايخه أو تلاميذه أو معاصريه إلا في موضع واحد فقط، وفي مقدمة الكتاب، حيث صرّح باسم العالم الذي أراد عرض كتابه عليه، وهو أبو سعيد بن أسعد</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العاشر</w:t>
      </w:r>
      <w:r w:rsidR="0048366D">
        <w:rPr>
          <w:rFonts w:hint="cs"/>
          <w:b/>
          <w:bCs/>
          <w:sz w:val="20"/>
          <w:szCs w:val="36"/>
          <w:rtl/>
          <w:lang w:val="en-GB" w:eastAsia="en-US"/>
        </w:rPr>
        <w:t>:</w:t>
      </w:r>
      <w:r w:rsidRPr="00EB5FFB">
        <w:rPr>
          <w:rFonts w:hint="cs"/>
          <w:b/>
          <w:bCs/>
          <w:sz w:val="20"/>
          <w:szCs w:val="36"/>
          <w:rtl/>
          <w:lang w:val="en-GB" w:eastAsia="en-US"/>
        </w:rPr>
        <w:t xml:space="preserve"> منهجه في الربط بين مباحث الكتاب</w:t>
      </w:r>
      <w:r w:rsidR="0048366D">
        <w:rPr>
          <w:rFonts w:hint="cs"/>
          <w:b/>
          <w:bCs/>
          <w:sz w:val="20"/>
          <w:szCs w:val="36"/>
          <w:rtl/>
          <w:lang w:val="en-GB"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كان المؤلف يتجنّب التكرار في أكثر مباحث الكتاب ومسائله، ويكون سبيله إلى ذلك هو الرّبط بينها، بإحالة الموضع المتأخر إلى المتقدّم، أو العكس.</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وقد يقرنُ ذلك بتحديد الباب المحال إليه والقاعدة أو أحدهما، وقد لا يقرنه بشيء من هذا التحديد.</w:t>
      </w:r>
    </w:p>
    <w:p w:rsidR="00EB5FFB" w:rsidRPr="00EB5FFB" w:rsidRDefault="00EB5FFB" w:rsidP="009A68A5">
      <w:pPr>
        <w:widowControl/>
        <w:ind w:left="567" w:firstLine="0"/>
        <w:jc w:val="both"/>
        <w:rPr>
          <w:b/>
          <w:bCs/>
          <w:sz w:val="20"/>
          <w:szCs w:val="36"/>
          <w:rtl/>
          <w:lang w:eastAsia="en-US"/>
        </w:rPr>
      </w:pPr>
      <w:r w:rsidRPr="00EB5FFB">
        <w:rPr>
          <w:sz w:val="22"/>
          <w:szCs w:val="38"/>
          <w:rtl/>
          <w:lang w:eastAsia="en-US"/>
        </w:rPr>
        <w:t>•</w:t>
      </w:r>
      <w:r w:rsidRPr="00EB5FFB">
        <w:rPr>
          <w:rFonts w:hint="cs"/>
          <w:b/>
          <w:bCs/>
          <w:sz w:val="20"/>
          <w:szCs w:val="36"/>
          <w:rtl/>
          <w:lang w:eastAsia="en-US"/>
        </w:rPr>
        <w:t xml:space="preserve"> فمن أمثلة الإحالة على متأخر</w:t>
      </w:r>
      <w:r w:rsidR="0048366D">
        <w:rPr>
          <w:rFonts w:hint="cs"/>
          <w:b/>
          <w:bCs/>
          <w:sz w:val="20"/>
          <w:szCs w:val="36"/>
          <w:rtl/>
          <w:lang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lastRenderedPageBreak/>
        <w:t xml:space="preserve">- </w:t>
      </w:r>
      <w:r w:rsidRPr="00EB5FFB">
        <w:rPr>
          <w:rFonts w:hint="eastAsia"/>
          <w:sz w:val="20"/>
          <w:szCs w:val="36"/>
          <w:rtl/>
          <w:lang w:val="en-GB" w:eastAsia="en-US"/>
        </w:rPr>
        <w:t>«</w:t>
      </w:r>
      <w:r w:rsidRPr="00EB5FFB">
        <w:rPr>
          <w:rFonts w:hint="cs"/>
          <w:sz w:val="20"/>
          <w:szCs w:val="36"/>
          <w:rtl/>
          <w:lang w:val="en-GB" w:eastAsia="en-US"/>
        </w:rPr>
        <w:t>وسيجئ تفصيله في باب الباء -إن شاء الله تعالى- في قولهم</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بقاء الشيء مستغنٍ عن بقاء السبب</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وسيأتي زيادة تفصيل في باب السين -إن شاء الله-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وسيأتي جوابه -إن شاء الله-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tabs>
          <w:tab w:val="num" w:pos="849"/>
        </w:tabs>
        <w:ind w:left="205" w:firstLine="0"/>
        <w:jc w:val="both"/>
        <w:rPr>
          <w:b/>
          <w:bCs/>
          <w:sz w:val="20"/>
          <w:szCs w:val="36"/>
          <w:rtl/>
          <w:lang w:val="en-GB" w:eastAsia="en-US"/>
        </w:rPr>
      </w:pPr>
      <w:r w:rsidRPr="00EB5FFB">
        <w:rPr>
          <w:rFonts w:hint="cs"/>
          <w:sz w:val="22"/>
          <w:szCs w:val="38"/>
          <w:rtl/>
          <w:lang w:eastAsia="en-US"/>
        </w:rPr>
        <w:t xml:space="preserve">    </w:t>
      </w:r>
      <w:r w:rsidRPr="00EB5FFB">
        <w:rPr>
          <w:sz w:val="22"/>
          <w:szCs w:val="38"/>
          <w:rtl/>
          <w:lang w:eastAsia="en-US"/>
        </w:rPr>
        <w:t>•</w:t>
      </w:r>
      <w:r w:rsidRPr="00EB5FFB">
        <w:rPr>
          <w:rFonts w:hint="cs"/>
          <w:sz w:val="22"/>
          <w:szCs w:val="38"/>
          <w:rtl/>
          <w:lang w:eastAsia="en-US"/>
        </w:rPr>
        <w:t xml:space="preserve"> </w:t>
      </w:r>
      <w:r w:rsidRPr="00EB5FFB">
        <w:rPr>
          <w:rFonts w:hint="cs"/>
          <w:b/>
          <w:bCs/>
          <w:sz w:val="20"/>
          <w:szCs w:val="36"/>
          <w:rtl/>
          <w:lang w:val="en-GB" w:eastAsia="en-US"/>
        </w:rPr>
        <w:t>ومن أمثلة الإحالة على متقدّم</w:t>
      </w:r>
      <w:r w:rsidR="0048366D">
        <w:rPr>
          <w:rFonts w:hint="cs"/>
          <w:b/>
          <w:b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وهذا من باب الحيل. وقد ذُكر في باب الحاء</w:t>
      </w:r>
      <w:r w:rsidR="0048366D">
        <w:rPr>
          <w:rFonts w:hint="cs"/>
          <w:sz w:val="20"/>
          <w:szCs w:val="36"/>
          <w:rtl/>
          <w:lang w:val="en-GB" w:eastAsia="en-US"/>
        </w:rPr>
        <w:t>:</w:t>
      </w:r>
      <w:r w:rsidRPr="00EB5FFB">
        <w:rPr>
          <w:rFonts w:hint="cs"/>
          <w:sz w:val="20"/>
          <w:szCs w:val="36"/>
          <w:rtl/>
          <w:lang w:val="en-GB" w:eastAsia="en-US"/>
        </w:rPr>
        <w:t xml:space="preserve"> الحيلة لدفع الضرر عن نفسه جائز، وإن تضرر الغير في ضمنه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فيسترده، كما مرّ في باب الدال</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والأصل فيه</w:t>
      </w:r>
      <w:r w:rsidR="0048366D">
        <w:rPr>
          <w:rFonts w:hint="cs"/>
          <w:sz w:val="20"/>
          <w:szCs w:val="36"/>
          <w:rtl/>
          <w:lang w:val="en-GB" w:eastAsia="en-US"/>
        </w:rPr>
        <w:t>:</w:t>
      </w:r>
      <w:r w:rsidRPr="00EB5FFB">
        <w:rPr>
          <w:rFonts w:hint="cs"/>
          <w:sz w:val="20"/>
          <w:szCs w:val="36"/>
          <w:rtl/>
          <w:lang w:val="en-GB" w:eastAsia="en-US"/>
        </w:rPr>
        <w:t xml:space="preserve"> ما أبيح للضرورة يتقدر بقدرها - كما مرّ -</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7C7F13">
      <w:pPr>
        <w:widowControl/>
        <w:numPr>
          <w:ilvl w:val="0"/>
          <w:numId w:val="11"/>
        </w:numPr>
        <w:jc w:val="both"/>
        <w:rPr>
          <w:sz w:val="20"/>
          <w:szCs w:val="36"/>
          <w:rtl/>
          <w:lang w:val="en-GB" w:eastAsia="en-US"/>
        </w:rPr>
      </w:pPr>
      <w:r w:rsidRPr="00EB5FFB">
        <w:rPr>
          <w:rFonts w:hint="eastAsia"/>
          <w:sz w:val="20"/>
          <w:szCs w:val="36"/>
          <w:rtl/>
          <w:lang w:val="en-GB" w:eastAsia="en-US"/>
        </w:rPr>
        <w:t>«</w:t>
      </w:r>
      <w:r w:rsidRPr="00EB5FFB">
        <w:rPr>
          <w:rFonts w:hint="cs"/>
          <w:sz w:val="20"/>
          <w:szCs w:val="36"/>
          <w:rtl/>
          <w:lang w:val="en-GB" w:eastAsia="en-US"/>
        </w:rPr>
        <w:t>والجواب</w:t>
      </w:r>
      <w:r w:rsidR="0048366D">
        <w:rPr>
          <w:rFonts w:hint="cs"/>
          <w:sz w:val="20"/>
          <w:szCs w:val="36"/>
          <w:rtl/>
          <w:lang w:val="en-GB" w:eastAsia="en-US"/>
        </w:rPr>
        <w:t>:</w:t>
      </w:r>
      <w:r w:rsidRPr="00EB5FFB">
        <w:rPr>
          <w:rFonts w:hint="cs"/>
          <w:sz w:val="20"/>
          <w:szCs w:val="36"/>
          <w:rtl/>
          <w:lang w:val="en-GB" w:eastAsia="en-US"/>
        </w:rPr>
        <w:t xml:space="preserve"> أنها من باب الدفع، وقد مرّ أنّ الدفع بواحد مما ذكر صحيح قبل القضاء</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2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rFonts w:cs="Monotype Koufi"/>
          <w:bCs/>
          <w:sz w:val="20"/>
          <w:szCs w:val="36"/>
          <w:rtl/>
          <w:lang w:eastAsia="en-US"/>
        </w:rPr>
      </w:pPr>
    </w:p>
    <w:p w:rsidR="00EB5FFB" w:rsidRPr="00EB5FFB" w:rsidRDefault="00EB5FFB" w:rsidP="009A68A5">
      <w:pPr>
        <w:widowControl/>
        <w:ind w:firstLine="567"/>
        <w:jc w:val="both"/>
        <w:rPr>
          <w:rFonts w:cs="Monotype Koufi"/>
          <w:bCs/>
          <w:sz w:val="20"/>
          <w:szCs w:val="36"/>
          <w:rtl/>
          <w:lang w:eastAsia="en-US"/>
        </w:rPr>
      </w:pPr>
    </w:p>
    <w:p w:rsidR="00F70EE6" w:rsidRDefault="00F70EE6" w:rsidP="009A68A5">
      <w:pPr>
        <w:widowControl/>
        <w:bidi w:val="0"/>
        <w:spacing w:after="160" w:line="259" w:lineRule="auto"/>
        <w:ind w:firstLine="0"/>
        <w:jc w:val="both"/>
        <w:rPr>
          <w:rFonts w:cs="Monotype Koufi"/>
          <w:sz w:val="20"/>
          <w:szCs w:val="36"/>
          <w:rtl/>
          <w:lang w:eastAsia="en-US"/>
        </w:rPr>
      </w:pPr>
      <w:r>
        <w:rPr>
          <w:rFonts w:cs="Monotype Koufi"/>
          <w:sz w:val="20"/>
          <w:szCs w:val="36"/>
          <w:rtl/>
          <w:lang w:eastAsia="en-US"/>
        </w:rPr>
        <w:br w:type="page"/>
      </w:r>
    </w:p>
    <w:p w:rsidR="00EB5FFB" w:rsidRPr="00EB5FFB" w:rsidRDefault="00EB5FFB" w:rsidP="009A68A5">
      <w:pPr>
        <w:widowControl/>
        <w:ind w:firstLine="567"/>
        <w:jc w:val="both"/>
        <w:rPr>
          <w:rFonts w:cs="Monotype Koufi"/>
          <w:sz w:val="20"/>
          <w:szCs w:val="36"/>
          <w:rtl/>
          <w:lang w:eastAsia="en-US"/>
        </w:rPr>
      </w:pPr>
      <w:r w:rsidRPr="00EB5FFB">
        <w:rPr>
          <w:rFonts w:cs="Monotype Koufi" w:hint="cs"/>
          <w:sz w:val="20"/>
          <w:szCs w:val="36"/>
          <w:rtl/>
          <w:lang w:eastAsia="en-US"/>
        </w:rPr>
        <w:lastRenderedPageBreak/>
        <w:t>المبحث الرابع</w:t>
      </w:r>
      <w:r w:rsidR="0048366D">
        <w:rPr>
          <w:rFonts w:cs="Monotype Koufi" w:hint="cs"/>
          <w:sz w:val="20"/>
          <w:szCs w:val="36"/>
          <w:rtl/>
          <w:lang w:eastAsia="en-US"/>
        </w:rPr>
        <w:t>:</w:t>
      </w:r>
      <w:r w:rsidRPr="00EB5FFB">
        <w:rPr>
          <w:rFonts w:cs="Monotype Koufi" w:hint="cs"/>
          <w:sz w:val="20"/>
          <w:szCs w:val="36"/>
          <w:rtl/>
          <w:lang w:eastAsia="en-US"/>
        </w:rPr>
        <w:t xml:space="preserve"> مصادره وطرق الاستفادة منها</w:t>
      </w:r>
      <w:r w:rsidR="0048366D">
        <w:rPr>
          <w:rFonts w:cs="Monotype Koufi" w:hint="cs"/>
          <w:sz w:val="20"/>
          <w:szCs w:val="36"/>
          <w:rtl/>
          <w:lang w:eastAsia="en-US"/>
        </w:rPr>
        <w:t>:</w:t>
      </w:r>
    </w:p>
    <w:p w:rsidR="00EB5FFB" w:rsidRPr="00EB5FFB" w:rsidRDefault="00EB5FFB" w:rsidP="009A68A5">
      <w:pPr>
        <w:widowControl/>
        <w:ind w:firstLine="567"/>
        <w:jc w:val="both"/>
        <w:rPr>
          <w:sz w:val="20"/>
          <w:szCs w:val="36"/>
          <w:rtl/>
          <w:lang w:eastAsia="en-US"/>
        </w:rPr>
      </w:pP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مصادر أيّ كتاب تعدّ مرآة مهمة لجوانب متعدّدة منه؛ لهذا فإن من يقوم بتحقيق كتاب ما ودراسته يُعنى بخدمة مصادره من عدّة جهات، منها</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xml:space="preserve">- من جهة إبرازها استقلالاً، وتصنيفها، وبيان طرق استفادة المؤلف منها. </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ومن جهة بيان منهج المؤلف في النقل منها.</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xml:space="preserve">- ومن جهة التعريف بها. </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ومن جهة فهرستها.</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أما منهج المؤلف في النقل منها</w:t>
      </w:r>
      <w:r w:rsidR="0048366D">
        <w:rPr>
          <w:rFonts w:hint="cs"/>
          <w:b/>
          <w:bCs/>
          <w:sz w:val="20"/>
          <w:szCs w:val="36"/>
          <w:rtl/>
          <w:lang w:eastAsia="en-US"/>
        </w:rPr>
        <w:t>:</w:t>
      </w:r>
      <w:r w:rsidRPr="00EB5FFB">
        <w:rPr>
          <w:rFonts w:hint="cs"/>
          <w:sz w:val="20"/>
          <w:szCs w:val="36"/>
          <w:rtl/>
          <w:lang w:eastAsia="en-US"/>
        </w:rPr>
        <w:t xml:space="preserve"> فقد سبق بيان ذلك في المبحث السابق، عند الحديث عن منهج المؤلف في النقل من المصادر</w:t>
      </w:r>
      <w:r w:rsidRPr="00EB5FFB">
        <w:rPr>
          <w:rFonts w:hint="cs"/>
          <w:sz w:val="20"/>
          <w:szCs w:val="36"/>
          <w:vertAlign w:val="superscript"/>
          <w:rtl/>
          <w:lang w:eastAsia="en-US"/>
        </w:rPr>
        <w:t>(</w:t>
      </w:r>
      <w:r w:rsidRPr="00EB5FFB">
        <w:rPr>
          <w:bCs/>
          <w:sz w:val="20"/>
          <w:szCs w:val="32"/>
          <w:vertAlign w:val="superscript"/>
          <w:rtl/>
          <w:lang w:eastAsia="en-US"/>
        </w:rPr>
        <w:footnoteReference w:id="228"/>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أما التعريف بها</w:t>
      </w:r>
      <w:r w:rsidR="0048366D">
        <w:rPr>
          <w:rFonts w:hint="cs"/>
          <w:sz w:val="20"/>
          <w:szCs w:val="36"/>
          <w:rtl/>
          <w:lang w:eastAsia="en-US"/>
        </w:rPr>
        <w:t>:</w:t>
      </w:r>
      <w:r w:rsidRPr="00EB5FFB">
        <w:rPr>
          <w:rFonts w:hint="cs"/>
          <w:sz w:val="20"/>
          <w:szCs w:val="36"/>
          <w:rtl/>
          <w:lang w:eastAsia="en-US"/>
        </w:rPr>
        <w:t xml:space="preserve"> فسيأتي التعريف بكل كتاب منها عند ذكر المؤلف له لأول مرّة؛ لأن الكتب شأنها شأن الأعلام والمصطلحات والألفاظ الغريبة</w:t>
      </w:r>
      <w:r w:rsidR="0048366D">
        <w:rPr>
          <w:rFonts w:hint="cs"/>
          <w:sz w:val="20"/>
          <w:szCs w:val="36"/>
          <w:rtl/>
          <w:lang w:eastAsia="en-US"/>
        </w:rPr>
        <w:t>.</w:t>
      </w:r>
      <w:r w:rsidRPr="00EB5FFB">
        <w:rPr>
          <w:rFonts w:hint="cs"/>
          <w:sz w:val="20"/>
          <w:szCs w:val="36"/>
          <w:rtl/>
          <w:lang w:eastAsia="en-US"/>
        </w:rPr>
        <w:t>..، حيث إن القارئ يحتاج إلى التعّرف عليها عندما ترد عليه لأوّل مرّة في الكتاب المحقّق.</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أما فهرستها</w:t>
      </w:r>
      <w:r w:rsidR="0048366D">
        <w:rPr>
          <w:rFonts w:hint="cs"/>
          <w:b/>
          <w:bCs/>
          <w:sz w:val="20"/>
          <w:szCs w:val="36"/>
          <w:rtl/>
          <w:lang w:eastAsia="en-US"/>
        </w:rPr>
        <w:t>:</w:t>
      </w:r>
      <w:r w:rsidRPr="00EB5FFB">
        <w:rPr>
          <w:rFonts w:hint="cs"/>
          <w:sz w:val="20"/>
          <w:szCs w:val="36"/>
          <w:rtl/>
          <w:lang w:eastAsia="en-US"/>
        </w:rPr>
        <w:t xml:space="preserve"> فسيأتي حصرها، وترتيبها على حروف الهجاء، وذكر المواضع التي وردت فيها، وذلك في نهاية الرسالة، ضمن قائمة الفهارس.</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أما إبرازها وتصنيفها</w:t>
      </w:r>
      <w:r w:rsidRPr="00EB5FFB">
        <w:rPr>
          <w:rFonts w:hint="cs"/>
          <w:sz w:val="20"/>
          <w:szCs w:val="36"/>
          <w:rtl/>
          <w:lang w:eastAsia="en-US"/>
        </w:rPr>
        <w:t xml:space="preserve"> </w:t>
      </w:r>
      <w:r w:rsidRPr="00EB5FFB">
        <w:rPr>
          <w:rFonts w:hint="cs"/>
          <w:b/>
          <w:bCs/>
          <w:sz w:val="20"/>
          <w:szCs w:val="36"/>
          <w:rtl/>
          <w:lang w:eastAsia="en-US"/>
        </w:rPr>
        <w:t>وبيان طرق استفادة المؤلف منها</w:t>
      </w:r>
      <w:r w:rsidR="0048366D">
        <w:rPr>
          <w:rFonts w:hint="cs"/>
          <w:sz w:val="20"/>
          <w:szCs w:val="36"/>
          <w:rtl/>
          <w:lang w:eastAsia="en-US"/>
        </w:rPr>
        <w:t>:</w:t>
      </w:r>
      <w:r w:rsidRPr="00EB5FFB">
        <w:rPr>
          <w:rFonts w:hint="cs"/>
          <w:sz w:val="20"/>
          <w:szCs w:val="36"/>
          <w:rtl/>
          <w:lang w:eastAsia="en-US"/>
        </w:rPr>
        <w:t xml:space="preserve"> فهو على النحو الآتي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أ</w:t>
      </w:r>
      <w:r w:rsidRPr="00EB5FFB">
        <w:rPr>
          <w:rFonts w:hint="cs"/>
          <w:sz w:val="20"/>
          <w:szCs w:val="36"/>
          <w:rtl/>
          <w:lang w:eastAsia="en-US"/>
        </w:rPr>
        <w:t xml:space="preserve"> </w:t>
      </w:r>
      <w:r w:rsidRPr="00EB5FFB">
        <w:rPr>
          <w:rFonts w:hint="cs"/>
          <w:b/>
          <w:bCs/>
          <w:sz w:val="20"/>
          <w:szCs w:val="36"/>
          <w:rtl/>
          <w:lang w:eastAsia="en-US"/>
        </w:rPr>
        <w:t>-</w:t>
      </w:r>
      <w:r w:rsidRPr="00EB5FFB">
        <w:rPr>
          <w:rFonts w:hint="cs"/>
          <w:sz w:val="20"/>
          <w:szCs w:val="36"/>
          <w:rtl/>
          <w:lang w:eastAsia="en-US"/>
        </w:rPr>
        <w:t xml:space="preserve"> لقد رجع المؤلف إلى مصادر كثيرة في كتابه، وهذه المصادر منها ما صرّح باسمه عند النقل عنه، ومنها ما لم يـصرّح بـه، وعدد الـمصادر التي صرّح بها</w:t>
      </w:r>
      <w:r w:rsidR="0048366D">
        <w:rPr>
          <w:rFonts w:hint="cs"/>
          <w:sz w:val="20"/>
          <w:szCs w:val="36"/>
          <w:rtl/>
          <w:lang w:eastAsia="en-US"/>
        </w:rPr>
        <w:t>:</w:t>
      </w:r>
      <w:r w:rsidRPr="00EB5FFB">
        <w:rPr>
          <w:rFonts w:hint="cs"/>
          <w:sz w:val="20"/>
          <w:szCs w:val="36"/>
          <w:rtl/>
          <w:lang w:eastAsia="en-US"/>
        </w:rPr>
        <w:t xml:space="preserve"> خمسة وأربعون مصدرًا.</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ب</w:t>
      </w:r>
      <w:r w:rsidRPr="00EB5FFB">
        <w:rPr>
          <w:rFonts w:hint="cs"/>
          <w:sz w:val="20"/>
          <w:szCs w:val="36"/>
          <w:rtl/>
          <w:lang w:eastAsia="en-US"/>
        </w:rPr>
        <w:t xml:space="preserve"> </w:t>
      </w:r>
      <w:r w:rsidRPr="00EB5FFB">
        <w:rPr>
          <w:sz w:val="20"/>
          <w:szCs w:val="36"/>
          <w:rtl/>
          <w:lang w:eastAsia="en-US"/>
        </w:rPr>
        <w:t>–</w:t>
      </w:r>
      <w:r w:rsidRPr="00EB5FFB">
        <w:rPr>
          <w:rFonts w:hint="cs"/>
          <w:sz w:val="20"/>
          <w:szCs w:val="36"/>
          <w:rtl/>
          <w:lang w:eastAsia="en-US"/>
        </w:rPr>
        <w:t xml:space="preserve"> جميع المراجع التي صرّح بها لا تخرج عن ثلاثة علوم</w:t>
      </w:r>
      <w:r w:rsidR="0048366D">
        <w:rPr>
          <w:rFonts w:hint="cs"/>
          <w:sz w:val="20"/>
          <w:szCs w:val="36"/>
          <w:rtl/>
          <w:lang w:eastAsia="en-US"/>
        </w:rPr>
        <w:t>:</w:t>
      </w:r>
      <w:r w:rsidRPr="00EB5FFB">
        <w:rPr>
          <w:rFonts w:hint="cs"/>
          <w:sz w:val="20"/>
          <w:szCs w:val="36"/>
          <w:rtl/>
          <w:lang w:eastAsia="en-US"/>
        </w:rPr>
        <w:t xml:space="preserve"> الفقه، وأصول الفقه، والقواعد الفقهية. وقد نال علم الفقه النصيب الأوفر منها، حيث بلغت مصادره</w:t>
      </w:r>
      <w:r w:rsidR="0048366D">
        <w:rPr>
          <w:rFonts w:hint="cs"/>
          <w:sz w:val="20"/>
          <w:szCs w:val="36"/>
          <w:rtl/>
          <w:lang w:eastAsia="en-US"/>
        </w:rPr>
        <w:t>:</w:t>
      </w:r>
      <w:r w:rsidRPr="00EB5FFB">
        <w:rPr>
          <w:rFonts w:hint="cs"/>
          <w:sz w:val="20"/>
          <w:szCs w:val="36"/>
          <w:rtl/>
          <w:lang w:eastAsia="en-US"/>
        </w:rPr>
        <w:t xml:space="preserve"> تسعة وثلاثين مصدرًا، ثم أصول الفقه بخمسة مصادر، ثم القواعد بمصدر واحد.</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lastRenderedPageBreak/>
        <w:t>وسوف يتم تصنيف هذه المصادر حسب العلوم الثلاثة المذكورة، ثم ترتيب مصادر كل علمٍ حسب تاريخ وفاة المؤلف؛ لأن المتقدم له سبق التأليف، فكان حقّه التقديم. وإذا كان المؤلف أورد الكتاب بلفظ مختصر (غير اسم الكتاب الذي سيُذكر ابتداء) فإنه سيُميّز بوضعه بين هلالين:</w:t>
      </w:r>
    </w:p>
    <w:p w:rsidR="00EB5FFB" w:rsidRPr="00EB5FFB" w:rsidRDefault="00EB5FFB" w:rsidP="009A68A5">
      <w:pPr>
        <w:widowControl/>
        <w:ind w:firstLine="567"/>
        <w:jc w:val="both"/>
        <w:rPr>
          <w:rFonts w:cs="Al-Kharashi 62"/>
          <w:sz w:val="48"/>
          <w:szCs w:val="36"/>
          <w:rtl/>
          <w:lang w:eastAsia="en-US"/>
        </w:rPr>
      </w:pPr>
      <w:r w:rsidRPr="00EB5FFB">
        <w:rPr>
          <w:rFonts w:cs="AL-Mateen" w:hint="cs"/>
          <w:sz w:val="48"/>
          <w:szCs w:val="36"/>
          <w:rtl/>
          <w:lang w:eastAsia="en-US"/>
        </w:rPr>
        <w:t>أولاً</w:t>
      </w:r>
      <w:r w:rsidR="0048366D">
        <w:rPr>
          <w:rFonts w:cs="AL-Mateen" w:hint="cs"/>
          <w:sz w:val="48"/>
          <w:szCs w:val="36"/>
          <w:rtl/>
          <w:lang w:eastAsia="en-US"/>
        </w:rPr>
        <w:t>:</w:t>
      </w:r>
      <w:r w:rsidRPr="00EB5FFB">
        <w:rPr>
          <w:rFonts w:cs="AL-Mateen" w:hint="cs"/>
          <w:sz w:val="48"/>
          <w:szCs w:val="36"/>
          <w:rtl/>
          <w:lang w:eastAsia="en-US"/>
        </w:rPr>
        <w:t xml:space="preserve"> مصادره الفقهية</w:t>
      </w:r>
      <w:r w:rsidR="0048366D">
        <w:rPr>
          <w:rFonts w:cs="Al-Kharashi 62" w:hint="cs"/>
          <w:sz w:val="48"/>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w:t>
      </w:r>
      <w:r w:rsidRPr="00EB5FFB">
        <w:rPr>
          <w:rFonts w:hint="cs"/>
          <w:sz w:val="20"/>
          <w:szCs w:val="36"/>
          <w:rtl/>
          <w:lang w:eastAsia="en-US"/>
        </w:rPr>
        <w:t xml:space="preserve"> الخراج</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ليعقوب بن إبراهيم، أبي يوسف الأنصاري (ت182هـ).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w:t>
      </w:r>
      <w:r w:rsidRPr="00EB5FFB">
        <w:rPr>
          <w:rFonts w:hint="cs"/>
          <w:sz w:val="20"/>
          <w:szCs w:val="36"/>
          <w:rtl/>
          <w:lang w:eastAsia="en-US"/>
        </w:rPr>
        <w:t xml:space="preserve"> الجامع الكبير (الجامع)</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الحسن الشيباني (ت189هـ).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w:t>
      </w:r>
      <w:r w:rsidRPr="00EB5FFB">
        <w:rPr>
          <w:rFonts w:hint="cs"/>
          <w:sz w:val="20"/>
          <w:szCs w:val="36"/>
          <w:rtl/>
          <w:lang w:eastAsia="en-US"/>
        </w:rPr>
        <w:t xml:space="preserve"> الاستحسان</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الحسن أيضًا. وهو أحد كتب الأصل المعروف بالمبسوط؛ إذْ إنّ محمد بن الحسن ألف أبواب الأصل مفردة، ثم جُمعت فصارت مبسوطًا.</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4-</w:t>
      </w:r>
      <w:r w:rsidRPr="00EB5FFB">
        <w:rPr>
          <w:rFonts w:hint="cs"/>
          <w:sz w:val="20"/>
          <w:szCs w:val="36"/>
          <w:rtl/>
          <w:lang w:eastAsia="en-US"/>
        </w:rPr>
        <w:t xml:space="preserve"> الزيادات</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الحسن كذلك.</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5-</w:t>
      </w:r>
      <w:r w:rsidRPr="00EB5FFB">
        <w:rPr>
          <w:rFonts w:hint="cs"/>
          <w:sz w:val="20"/>
          <w:szCs w:val="36"/>
          <w:rtl/>
          <w:lang w:eastAsia="en-US"/>
        </w:rPr>
        <w:t xml:space="preserve"> النوازل</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لنصر بن محمد، أبي الليث السمرقندي (ت373هـ).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6-</w:t>
      </w:r>
      <w:r w:rsidRPr="00EB5FFB">
        <w:rPr>
          <w:rFonts w:hint="cs"/>
          <w:sz w:val="20"/>
          <w:szCs w:val="36"/>
          <w:rtl/>
          <w:lang w:eastAsia="en-US"/>
        </w:rPr>
        <w:t xml:space="preserve"> الكتاب، المشهور بمختصر القُدُوري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لأحمد بن محمد المعروف بالقُدُوري (ت428هـ).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7-</w:t>
      </w:r>
      <w:r w:rsidRPr="00EB5FFB">
        <w:rPr>
          <w:rFonts w:hint="cs"/>
          <w:sz w:val="20"/>
          <w:szCs w:val="36"/>
          <w:rtl/>
          <w:lang w:eastAsia="en-US"/>
        </w:rPr>
        <w:t xml:space="preserve"> التجريد</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لعلّه للقُدُوري أيضًا.</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8-</w:t>
      </w:r>
      <w:r w:rsidRPr="00EB5FFB">
        <w:rPr>
          <w:rFonts w:hint="cs"/>
          <w:sz w:val="20"/>
          <w:szCs w:val="36"/>
          <w:rtl/>
          <w:lang w:eastAsia="en-US"/>
        </w:rPr>
        <w:t xml:space="preserve"> شرح مختصر القُدُوري (شرح الأقطع)</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لأحمد بن محمد، أبي نصر المعروف بالأقطع (ت474هـ).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9-</w:t>
      </w:r>
      <w:r w:rsidRPr="00EB5FFB">
        <w:rPr>
          <w:rFonts w:hint="cs"/>
          <w:sz w:val="20"/>
          <w:szCs w:val="36"/>
          <w:rtl/>
          <w:lang w:eastAsia="en-US"/>
        </w:rPr>
        <w:t xml:space="preserve"> غناء الفقهاء (عناء الفقهاء </w:t>
      </w:r>
      <w:r w:rsidRPr="00EB5FFB">
        <w:rPr>
          <w:sz w:val="20"/>
          <w:szCs w:val="36"/>
          <w:rtl/>
          <w:lang w:eastAsia="en-US"/>
        </w:rPr>
        <w:t>–</w:t>
      </w:r>
      <w:r w:rsidRPr="00EB5FFB">
        <w:rPr>
          <w:rFonts w:hint="cs"/>
          <w:sz w:val="20"/>
          <w:szCs w:val="36"/>
          <w:rtl/>
          <w:lang w:eastAsia="en-US"/>
        </w:rPr>
        <w:t xml:space="preserve"> هكذا ورد عند المؤلف بالعين المهملة!-):</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لعلي بن محمد، أبي الحسن الفخر البزدوي (ت482هـ).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10-</w:t>
      </w:r>
      <w:r w:rsidRPr="00EB5FFB">
        <w:rPr>
          <w:rFonts w:hint="cs"/>
          <w:sz w:val="20"/>
          <w:szCs w:val="36"/>
          <w:rtl/>
          <w:lang w:eastAsia="en-US"/>
        </w:rPr>
        <w:t xml:space="preserve"> المبسوط</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lastRenderedPageBreak/>
        <w:t>لمحمد بن أحمد، أبي بكر الشمس السَّرْخسي (ت483هـ).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11-</w:t>
      </w:r>
      <w:r w:rsidRPr="00EB5FFB">
        <w:rPr>
          <w:rFonts w:hint="cs"/>
          <w:sz w:val="20"/>
          <w:szCs w:val="36"/>
          <w:rtl/>
          <w:lang w:eastAsia="en-US"/>
        </w:rPr>
        <w:t xml:space="preserve"> شرح مختصر الطحاوي (شرح الطحاوي)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لعلي بن محمد الأسْبِيجابي (ت535هـ).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12-</w:t>
      </w:r>
      <w:r w:rsidRPr="00EB5FFB">
        <w:rPr>
          <w:rFonts w:hint="cs"/>
          <w:sz w:val="20"/>
          <w:szCs w:val="36"/>
          <w:rtl/>
          <w:lang w:eastAsia="en-US"/>
        </w:rPr>
        <w:t xml:space="preserve"> الفتاوى الكبرى (الكبرى)</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لعمر بن عبد العزيز، المعروف بالصدر الشهيد (ت536هـ).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13</w:t>
      </w:r>
      <w:r w:rsidRPr="00EB5FFB">
        <w:rPr>
          <w:rFonts w:hint="cs"/>
          <w:sz w:val="20"/>
          <w:szCs w:val="36"/>
          <w:rtl/>
          <w:lang w:eastAsia="en-US"/>
        </w:rPr>
        <w:t xml:space="preserve"> </w:t>
      </w:r>
      <w:r w:rsidRPr="00EB5FFB">
        <w:rPr>
          <w:rFonts w:hint="cs"/>
          <w:b/>
          <w:bCs/>
          <w:sz w:val="20"/>
          <w:szCs w:val="36"/>
          <w:rtl/>
          <w:lang w:eastAsia="en-US"/>
        </w:rPr>
        <w:t>-</w:t>
      </w:r>
      <w:r w:rsidRPr="00EB5FFB">
        <w:rPr>
          <w:rFonts w:hint="cs"/>
          <w:sz w:val="20"/>
          <w:szCs w:val="36"/>
          <w:rtl/>
          <w:lang w:eastAsia="en-US"/>
        </w:rPr>
        <w:t xml:space="preserve"> تحفة الفقهاء</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أحمد السمرقندي (ت540هـ).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14-</w:t>
      </w:r>
      <w:r w:rsidRPr="00EB5FFB">
        <w:rPr>
          <w:rFonts w:hint="cs"/>
          <w:sz w:val="20"/>
          <w:szCs w:val="36"/>
          <w:rtl/>
          <w:lang w:eastAsia="en-US"/>
        </w:rPr>
        <w:t xml:space="preserve"> الخلاصة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لطاهر بن أحمد بن عبد الرشيد البخاري (ت542هـ).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15-</w:t>
      </w:r>
      <w:r w:rsidRPr="00EB5FFB">
        <w:rPr>
          <w:rFonts w:hint="cs"/>
          <w:sz w:val="20"/>
          <w:szCs w:val="36"/>
          <w:rtl/>
          <w:lang w:eastAsia="en-US"/>
        </w:rPr>
        <w:t xml:space="preserve"> مجموع النوازل</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والصحيح أن مؤلفه هو أحمد بن موسى الكتبي (توفي في حدود سنة 550هـ).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16-</w:t>
      </w:r>
      <w:r w:rsidRPr="00EB5FFB">
        <w:rPr>
          <w:rFonts w:hint="cs"/>
          <w:sz w:val="20"/>
          <w:szCs w:val="36"/>
          <w:rtl/>
          <w:lang w:eastAsia="en-US"/>
        </w:rPr>
        <w:t xml:space="preserve"> فتاوى قاضي خان (الخانية)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لحسن بن منصور، المعروف بقاضي خان (ت592هـ).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17-</w:t>
      </w:r>
      <w:r w:rsidRPr="00EB5FFB">
        <w:rPr>
          <w:rFonts w:hint="cs"/>
          <w:sz w:val="20"/>
          <w:szCs w:val="36"/>
          <w:rtl/>
          <w:lang w:eastAsia="en-US"/>
        </w:rPr>
        <w:t xml:space="preserve"> الهداية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لعلي بن أبي بكر، أبي الحسن الفرغاني المرغيناني (ت593هـ).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18-</w:t>
      </w:r>
      <w:r w:rsidRPr="00EB5FFB">
        <w:rPr>
          <w:rFonts w:hint="cs"/>
          <w:sz w:val="20"/>
          <w:szCs w:val="36"/>
          <w:rtl/>
          <w:lang w:eastAsia="en-US"/>
        </w:rPr>
        <w:t xml:space="preserve"> الحاوي القدسي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والراجح -والله أعلم- أنَّ مؤلفه</w:t>
      </w:r>
      <w:r w:rsidR="0048366D">
        <w:rPr>
          <w:rFonts w:hint="cs"/>
          <w:sz w:val="20"/>
          <w:szCs w:val="36"/>
          <w:rtl/>
          <w:lang w:eastAsia="en-US"/>
        </w:rPr>
        <w:t>:</w:t>
      </w:r>
      <w:r w:rsidRPr="00EB5FFB">
        <w:rPr>
          <w:rFonts w:hint="cs"/>
          <w:sz w:val="20"/>
          <w:szCs w:val="36"/>
          <w:rtl/>
          <w:lang w:eastAsia="en-US"/>
        </w:rPr>
        <w:t xml:space="preserve"> أحـمد بن محمـد الغـزنوي (المتوفى في حدود سنة 600هـ).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19-</w:t>
      </w:r>
      <w:r w:rsidRPr="00EB5FFB">
        <w:rPr>
          <w:rFonts w:hint="cs"/>
          <w:sz w:val="20"/>
          <w:szCs w:val="36"/>
          <w:rtl/>
          <w:lang w:eastAsia="en-US"/>
        </w:rPr>
        <w:t xml:space="preserve"> المحيط البرهاني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والصحيح أنه لمحمود بن أحمد، ابن مازه البرهان البخاري (ت616هـ).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20-</w:t>
      </w:r>
      <w:r w:rsidRPr="00EB5FFB">
        <w:rPr>
          <w:rFonts w:hint="cs"/>
          <w:sz w:val="20"/>
          <w:szCs w:val="36"/>
          <w:rtl/>
          <w:lang w:eastAsia="en-US"/>
        </w:rPr>
        <w:t xml:space="preserve"> الفتاوي الظهيرية (الظهيرية)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والراجح أن مؤلفها</w:t>
      </w:r>
      <w:r w:rsidR="0048366D">
        <w:rPr>
          <w:rFonts w:hint="cs"/>
          <w:sz w:val="20"/>
          <w:szCs w:val="36"/>
          <w:rtl/>
          <w:lang w:eastAsia="en-US"/>
        </w:rPr>
        <w:t>:</w:t>
      </w:r>
      <w:r w:rsidRPr="00EB5FFB">
        <w:rPr>
          <w:rFonts w:hint="cs"/>
          <w:sz w:val="20"/>
          <w:szCs w:val="36"/>
          <w:rtl/>
          <w:lang w:eastAsia="en-US"/>
        </w:rPr>
        <w:t xml:space="preserve"> محمد بن أحمد، أبو بكر ظهير الدين البخاري (ت619هـ).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21-</w:t>
      </w:r>
      <w:r w:rsidRPr="00EB5FFB">
        <w:rPr>
          <w:rFonts w:hint="cs"/>
          <w:sz w:val="20"/>
          <w:szCs w:val="36"/>
          <w:rtl/>
          <w:lang w:eastAsia="en-US"/>
        </w:rPr>
        <w:t xml:space="preserve"> الوجيز</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لمحمود بن أحمد، أبي المحامد البخاري المعروف بالحصيري (ت636هـ).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22-</w:t>
      </w:r>
      <w:r w:rsidRPr="00EB5FFB">
        <w:rPr>
          <w:rFonts w:hint="cs"/>
          <w:sz w:val="20"/>
          <w:szCs w:val="36"/>
          <w:rtl/>
          <w:lang w:eastAsia="en-US"/>
        </w:rPr>
        <w:t xml:space="preserve"> قنية المنية لتتميم الغنية (القنية)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lastRenderedPageBreak/>
        <w:t>لمختار بن محمود، أبي الرجا الزاهدي (ت658هـ).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23-</w:t>
      </w:r>
      <w:r w:rsidRPr="00EB5FFB">
        <w:rPr>
          <w:rFonts w:hint="cs"/>
          <w:sz w:val="20"/>
          <w:szCs w:val="36"/>
          <w:rtl/>
          <w:lang w:eastAsia="en-US"/>
        </w:rPr>
        <w:t xml:space="preserve"> حاوي مسائل المنية (الحاوي):</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لمختار الزاهدي أيضًا.</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24-</w:t>
      </w:r>
      <w:r w:rsidRPr="00EB5FFB">
        <w:rPr>
          <w:rFonts w:hint="cs"/>
          <w:sz w:val="20"/>
          <w:szCs w:val="36"/>
          <w:rtl/>
          <w:lang w:eastAsia="en-US"/>
        </w:rPr>
        <w:t xml:space="preserve"> فصول الأحكام لأصول الأحكام، المشهور بالفصول العمادية (العمادية)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والراجح أن مؤلفه</w:t>
      </w:r>
      <w:r w:rsidR="0048366D">
        <w:rPr>
          <w:rFonts w:hint="cs"/>
          <w:sz w:val="20"/>
          <w:szCs w:val="36"/>
          <w:rtl/>
          <w:lang w:eastAsia="en-US"/>
        </w:rPr>
        <w:t>:</w:t>
      </w:r>
      <w:r w:rsidRPr="00EB5FFB">
        <w:rPr>
          <w:rFonts w:hint="cs"/>
          <w:sz w:val="20"/>
          <w:szCs w:val="36"/>
          <w:rtl/>
          <w:lang w:eastAsia="en-US"/>
        </w:rPr>
        <w:t xml:space="preserve"> عبد الرحيم بن أبـي بكر عـماد الدين بن (علي صاحب الهداية)، المرغيناني (توفي نحو عام 670هـ).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25-</w:t>
      </w:r>
      <w:r w:rsidRPr="00EB5FFB">
        <w:rPr>
          <w:rFonts w:hint="cs"/>
          <w:sz w:val="20"/>
          <w:szCs w:val="36"/>
          <w:rtl/>
          <w:lang w:eastAsia="en-US"/>
        </w:rPr>
        <w:t xml:space="preserve"> الوقاية</w:t>
      </w:r>
      <w:r w:rsidR="0048366D">
        <w:rPr>
          <w:rFonts w:hint="cs"/>
          <w:sz w:val="20"/>
          <w:szCs w:val="36"/>
          <w:rtl/>
          <w:lang w:eastAsia="en-US"/>
        </w:rPr>
        <w:t>:</w:t>
      </w:r>
      <w:r w:rsidRPr="00EB5FFB">
        <w:rPr>
          <w:rFonts w:hint="cs"/>
          <w:sz w:val="20"/>
          <w:szCs w:val="36"/>
          <w:rtl/>
          <w:lang w:eastAsia="en-US"/>
        </w:rPr>
        <w:t xml:space="preserve"> </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لبرهان الشريعة محمود بن صدر الشريعة الأكبر أحمد. (جدّ صدر الشريعة الأصغر لأمه) وقيل</w:t>
      </w:r>
      <w:r w:rsidR="0048366D">
        <w:rPr>
          <w:rFonts w:hint="cs"/>
          <w:sz w:val="20"/>
          <w:szCs w:val="36"/>
          <w:rtl/>
          <w:lang w:eastAsia="en-US"/>
        </w:rPr>
        <w:t>:</w:t>
      </w:r>
      <w:r w:rsidRPr="00EB5FFB">
        <w:rPr>
          <w:rFonts w:hint="cs"/>
          <w:sz w:val="20"/>
          <w:szCs w:val="36"/>
          <w:rtl/>
          <w:lang w:eastAsia="en-US"/>
        </w:rPr>
        <w:t xml:space="preserve"> لأخـيه تـاج الشريعـة مـحمود بـن صدر الشريعة الأكبر. (جد صدر الشريعة لأبيه).</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26</w:t>
      </w:r>
      <w:r w:rsidRPr="00EB5FFB">
        <w:rPr>
          <w:rFonts w:hint="cs"/>
          <w:sz w:val="20"/>
          <w:szCs w:val="36"/>
          <w:rtl/>
          <w:lang w:eastAsia="en-US"/>
        </w:rPr>
        <w:t>- الكافي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لعبد الله بن أحمد، أبي البركات النسفي (ت710هـ).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27-</w:t>
      </w:r>
      <w:r w:rsidRPr="00EB5FFB">
        <w:rPr>
          <w:rFonts w:hint="cs"/>
          <w:sz w:val="20"/>
          <w:szCs w:val="36"/>
          <w:rtl/>
          <w:lang w:eastAsia="en-US"/>
        </w:rPr>
        <w:t xml:space="preserve"> كنـز الدقائق (الكنـز)</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لعبد الله النسفي أيضًا.</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28-</w:t>
      </w:r>
      <w:r w:rsidRPr="00EB5FFB">
        <w:rPr>
          <w:rFonts w:hint="cs"/>
          <w:sz w:val="20"/>
          <w:szCs w:val="36"/>
          <w:rtl/>
          <w:lang w:eastAsia="en-US"/>
        </w:rPr>
        <w:t xml:space="preserve"> الفتاوي الوَلْوَالجيّة (الولوالجيّة).</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والراجح أن مؤلفه</w:t>
      </w:r>
      <w:r w:rsidR="0048366D">
        <w:rPr>
          <w:rFonts w:hint="cs"/>
          <w:sz w:val="20"/>
          <w:szCs w:val="36"/>
          <w:rtl/>
          <w:lang w:eastAsia="en-US"/>
        </w:rPr>
        <w:t>:</w:t>
      </w:r>
      <w:r w:rsidRPr="00EB5FFB">
        <w:rPr>
          <w:rFonts w:hint="cs"/>
          <w:sz w:val="20"/>
          <w:szCs w:val="36"/>
          <w:rtl/>
          <w:lang w:eastAsia="en-US"/>
        </w:rPr>
        <w:t xml:space="preserve"> إسحاق بن أبي بكر، أبو المكارم الولوالجي (ت710هـ).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29-</w:t>
      </w:r>
      <w:r w:rsidRPr="00EB5FFB">
        <w:rPr>
          <w:rFonts w:hint="cs"/>
          <w:sz w:val="20"/>
          <w:szCs w:val="36"/>
          <w:rtl/>
          <w:lang w:eastAsia="en-US"/>
        </w:rPr>
        <w:t xml:space="preserve"> النهاية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للحسن بن علي، الحسام السِّـغـناقي (ت711هـ).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30</w:t>
      </w:r>
      <w:r w:rsidRPr="00EB5FFB">
        <w:rPr>
          <w:rFonts w:hint="cs"/>
          <w:sz w:val="20"/>
          <w:szCs w:val="36"/>
          <w:rtl/>
          <w:lang w:eastAsia="en-US"/>
        </w:rPr>
        <w:t>- الكفاية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والراجح أن مؤلفها</w:t>
      </w:r>
      <w:r w:rsidR="0048366D">
        <w:rPr>
          <w:rFonts w:hint="cs"/>
          <w:sz w:val="20"/>
          <w:szCs w:val="36"/>
          <w:rtl/>
          <w:lang w:eastAsia="en-US"/>
        </w:rPr>
        <w:t>:</w:t>
      </w:r>
      <w:r w:rsidRPr="00EB5FFB">
        <w:rPr>
          <w:rFonts w:hint="cs"/>
          <w:sz w:val="20"/>
          <w:szCs w:val="36"/>
          <w:rtl/>
          <w:lang w:eastAsia="en-US"/>
        </w:rPr>
        <w:t xml:space="preserve"> جلال الدين بن شمس الديـن الكـرلاني (كان حيًّا في حدود عام 711هـ).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31-</w:t>
      </w:r>
      <w:r w:rsidRPr="00EB5FFB">
        <w:rPr>
          <w:rFonts w:hint="cs"/>
          <w:sz w:val="20"/>
          <w:szCs w:val="36"/>
          <w:rtl/>
          <w:lang w:eastAsia="en-US"/>
        </w:rPr>
        <w:t xml:space="preserve"> خزانة المفتين</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لحسن بن محمد السَّمنْقَاني (ت746هـ)</w:t>
      </w:r>
    </w:p>
    <w:p w:rsidR="00EB5FFB" w:rsidRPr="00EB5FFB" w:rsidRDefault="00EB5FFB" w:rsidP="009A68A5">
      <w:pPr>
        <w:widowControl/>
        <w:ind w:firstLine="567"/>
        <w:jc w:val="both"/>
        <w:rPr>
          <w:spacing w:val="-4"/>
          <w:sz w:val="20"/>
          <w:szCs w:val="36"/>
          <w:rtl/>
          <w:lang w:eastAsia="en-US"/>
        </w:rPr>
      </w:pPr>
      <w:r w:rsidRPr="00EB5FFB">
        <w:rPr>
          <w:rFonts w:hint="cs"/>
          <w:b/>
          <w:bCs/>
          <w:spacing w:val="-4"/>
          <w:sz w:val="20"/>
          <w:szCs w:val="36"/>
          <w:rtl/>
          <w:lang w:eastAsia="en-US"/>
        </w:rPr>
        <w:t>32-</w:t>
      </w:r>
      <w:r w:rsidRPr="00EB5FFB">
        <w:rPr>
          <w:rFonts w:hint="cs"/>
          <w:spacing w:val="-4"/>
          <w:sz w:val="20"/>
          <w:szCs w:val="36"/>
          <w:rtl/>
          <w:lang w:eastAsia="en-US"/>
        </w:rPr>
        <w:t xml:space="preserve"> (شرح منظومة ابن وهبان)، لعل المقصود به</w:t>
      </w:r>
      <w:r w:rsidR="0048366D">
        <w:rPr>
          <w:rFonts w:hint="cs"/>
          <w:spacing w:val="-4"/>
          <w:sz w:val="20"/>
          <w:szCs w:val="36"/>
          <w:rtl/>
          <w:lang w:eastAsia="en-US"/>
        </w:rPr>
        <w:t>:</w:t>
      </w:r>
      <w:r w:rsidRPr="00EB5FFB">
        <w:rPr>
          <w:rFonts w:hint="cs"/>
          <w:spacing w:val="-4"/>
          <w:sz w:val="20"/>
          <w:szCs w:val="36"/>
          <w:rtl/>
          <w:lang w:eastAsia="en-US"/>
        </w:rPr>
        <w:t xml:space="preserve"> عقد القلائد في حلّ قيد الشرائد</w:t>
      </w:r>
      <w:r w:rsidR="0048366D">
        <w:rPr>
          <w:rFonts w:hint="cs"/>
          <w:spacing w:val="-4"/>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لعبد الوهاب بن أحمد بن وهبان (ت768هـ).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lastRenderedPageBreak/>
        <w:t>33-</w:t>
      </w:r>
      <w:r w:rsidRPr="00EB5FFB">
        <w:rPr>
          <w:rFonts w:hint="cs"/>
          <w:sz w:val="20"/>
          <w:szCs w:val="36"/>
          <w:rtl/>
          <w:lang w:eastAsia="en-US"/>
        </w:rPr>
        <w:t xml:space="preserve"> العناية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محمد، أبي عبد الله أكمل الدين البابرتي (ت786هـ).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34-</w:t>
      </w:r>
      <w:r w:rsidRPr="00EB5FFB">
        <w:rPr>
          <w:rFonts w:hint="cs"/>
          <w:sz w:val="20"/>
          <w:szCs w:val="36"/>
          <w:rtl/>
          <w:lang w:eastAsia="en-US"/>
        </w:rPr>
        <w:t xml:space="preserve"> جامع الفصولين</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لمحمود بن إسرائيل، الشهير بابن قاضي سماو (ت823هـ).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35-</w:t>
      </w:r>
      <w:r w:rsidRPr="00EB5FFB">
        <w:rPr>
          <w:rFonts w:hint="cs"/>
          <w:sz w:val="20"/>
          <w:szCs w:val="36"/>
          <w:rtl/>
          <w:lang w:eastAsia="en-US"/>
        </w:rPr>
        <w:t xml:space="preserve"> الجامع الوجيز المشهور بالفتاوي البزازية (البزازية)</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محمد الشهير بالبزازي (ت827هـ).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36-</w:t>
      </w:r>
      <w:r w:rsidRPr="00EB5FFB">
        <w:rPr>
          <w:rFonts w:hint="cs"/>
          <w:sz w:val="20"/>
          <w:szCs w:val="36"/>
          <w:rtl/>
          <w:lang w:eastAsia="en-US"/>
        </w:rPr>
        <w:t xml:space="preserve"> فتح القدير</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عبد الواحد، الكمال المعروف بابن الهمام (ت861هـ).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37-</w:t>
      </w:r>
      <w:r w:rsidRPr="00EB5FFB">
        <w:rPr>
          <w:rFonts w:hint="cs"/>
          <w:sz w:val="20"/>
          <w:szCs w:val="36"/>
          <w:rtl/>
          <w:lang w:eastAsia="en-US"/>
        </w:rPr>
        <w:t xml:space="preserve"> غرر الأحكام</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فراموز، الشهير بملا خسرو (ت885هـ).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38-</w:t>
      </w:r>
      <w:r w:rsidRPr="00EB5FFB">
        <w:rPr>
          <w:rFonts w:hint="cs"/>
          <w:sz w:val="20"/>
          <w:szCs w:val="36"/>
          <w:rtl/>
          <w:lang w:eastAsia="en-US"/>
        </w:rPr>
        <w:t xml:space="preserve"> درر الحكام شرح غرر الأحكام (درر الحكام، أو الدّرر)</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لمحمد بن فراموز أيضًا.</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39-</w:t>
      </w:r>
      <w:r w:rsidRPr="00EB5FFB">
        <w:rPr>
          <w:rFonts w:hint="cs"/>
          <w:sz w:val="20"/>
          <w:szCs w:val="36"/>
          <w:rtl/>
          <w:lang w:eastAsia="en-US"/>
        </w:rPr>
        <w:t xml:space="preserve"> الإرشاد</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دلّ السياق الذي أورد المؤلف فيه هذا الكتاب على أنه في الفقه، وهناك عدّة كتب في الفقه الحنفي تعرف بالإرشاد، لكن لم يظهر لي أيها المراد</w:t>
      </w:r>
      <w:r w:rsidRPr="00EB5FFB">
        <w:rPr>
          <w:rFonts w:hint="cs"/>
          <w:sz w:val="20"/>
          <w:szCs w:val="36"/>
          <w:vertAlign w:val="superscript"/>
          <w:rtl/>
          <w:lang w:eastAsia="en-US"/>
        </w:rPr>
        <w:t>(</w:t>
      </w:r>
      <w:r w:rsidRPr="00EB5FFB">
        <w:rPr>
          <w:bCs/>
          <w:sz w:val="20"/>
          <w:szCs w:val="32"/>
          <w:vertAlign w:val="superscript"/>
          <w:rtl/>
          <w:lang w:eastAsia="en-US"/>
        </w:rPr>
        <w:footnoteReference w:id="229"/>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rFonts w:cs="AL-Mateen"/>
          <w:sz w:val="48"/>
          <w:szCs w:val="36"/>
          <w:rtl/>
          <w:lang w:eastAsia="en-US"/>
        </w:rPr>
      </w:pPr>
      <w:r w:rsidRPr="00EB5FFB">
        <w:rPr>
          <w:rFonts w:cs="AL-Mateen" w:hint="cs"/>
          <w:sz w:val="48"/>
          <w:szCs w:val="36"/>
          <w:rtl/>
          <w:lang w:eastAsia="en-US"/>
        </w:rPr>
        <w:t>ثانيًا</w:t>
      </w:r>
      <w:r w:rsidR="0048366D">
        <w:rPr>
          <w:rFonts w:cs="AL-Mateen" w:hint="cs"/>
          <w:sz w:val="48"/>
          <w:szCs w:val="36"/>
          <w:rtl/>
          <w:lang w:eastAsia="en-US"/>
        </w:rPr>
        <w:t>:</w:t>
      </w:r>
      <w:r w:rsidRPr="00EB5FFB">
        <w:rPr>
          <w:rFonts w:cs="AL-Mateen" w:hint="cs"/>
          <w:sz w:val="48"/>
          <w:szCs w:val="36"/>
          <w:rtl/>
          <w:lang w:eastAsia="en-US"/>
        </w:rPr>
        <w:t xml:space="preserve"> مصادره الأصولية</w:t>
      </w:r>
      <w:r w:rsidR="0048366D">
        <w:rPr>
          <w:rFonts w:cs="AL-Mateen" w:hint="cs"/>
          <w:sz w:val="48"/>
          <w:szCs w:val="36"/>
          <w:rtl/>
          <w:lang w:eastAsia="en-US"/>
        </w:rPr>
        <w:t>:</w:t>
      </w:r>
    </w:p>
    <w:p w:rsidR="00EB5FFB" w:rsidRPr="00EB5FFB" w:rsidRDefault="00EB5FFB" w:rsidP="009A68A5">
      <w:pPr>
        <w:widowControl/>
        <w:ind w:firstLine="567"/>
        <w:jc w:val="both"/>
        <w:rPr>
          <w:spacing w:val="6"/>
          <w:sz w:val="20"/>
          <w:szCs w:val="36"/>
          <w:rtl/>
          <w:lang w:eastAsia="en-US"/>
        </w:rPr>
      </w:pPr>
      <w:r w:rsidRPr="00EB5FFB">
        <w:rPr>
          <w:rFonts w:hint="cs"/>
          <w:b/>
          <w:bCs/>
          <w:spacing w:val="6"/>
          <w:sz w:val="20"/>
          <w:szCs w:val="36"/>
          <w:rtl/>
          <w:lang w:eastAsia="en-US"/>
        </w:rPr>
        <w:t>1</w:t>
      </w:r>
      <w:r w:rsidRPr="00EB5FFB">
        <w:rPr>
          <w:rFonts w:hint="cs"/>
          <w:spacing w:val="6"/>
          <w:sz w:val="20"/>
          <w:szCs w:val="36"/>
          <w:rtl/>
          <w:lang w:eastAsia="en-US"/>
        </w:rPr>
        <w:t>- كنـز الوصـول إلى معرفـة الأصول، المشهور بأصول البزدوي (أصول فخر الإسلام).</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لعلي بن محمد، الفخر البزدوي (ت482هـ).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2</w:t>
      </w:r>
      <w:r w:rsidRPr="00EB5FFB">
        <w:rPr>
          <w:rFonts w:hint="cs"/>
          <w:sz w:val="20"/>
          <w:szCs w:val="36"/>
          <w:rtl/>
          <w:lang w:eastAsia="en-US"/>
        </w:rPr>
        <w:t xml:space="preserve"> - المغني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لعمر بن محمد، أبي محمد الخبّازي (ت691هـ).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3</w:t>
      </w:r>
      <w:r w:rsidRPr="00EB5FFB">
        <w:rPr>
          <w:rFonts w:hint="cs"/>
          <w:sz w:val="20"/>
          <w:szCs w:val="36"/>
          <w:rtl/>
          <w:lang w:eastAsia="en-US"/>
        </w:rPr>
        <w:t xml:space="preserve"> - منار الأنوار (المنار).</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لعبد الله بن أحمد، أبي البركات النسفي (ت710هـ).</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lastRenderedPageBreak/>
        <w:t>4</w:t>
      </w:r>
      <w:r w:rsidRPr="00EB5FFB">
        <w:rPr>
          <w:rFonts w:hint="cs"/>
          <w:sz w:val="20"/>
          <w:szCs w:val="36"/>
          <w:rtl/>
          <w:lang w:eastAsia="en-US"/>
        </w:rPr>
        <w:t xml:space="preserve"> </w:t>
      </w:r>
      <w:r w:rsidRPr="00EB5FFB">
        <w:rPr>
          <w:rFonts w:hint="cs"/>
          <w:b/>
          <w:bCs/>
          <w:sz w:val="20"/>
          <w:szCs w:val="36"/>
          <w:rtl/>
          <w:lang w:eastAsia="en-US"/>
        </w:rPr>
        <w:t>-</w:t>
      </w:r>
      <w:r w:rsidRPr="00EB5FFB">
        <w:rPr>
          <w:rFonts w:hint="cs"/>
          <w:sz w:val="20"/>
          <w:szCs w:val="36"/>
          <w:rtl/>
          <w:lang w:eastAsia="en-US"/>
        </w:rPr>
        <w:t xml:space="preserve"> شرح المغني</w:t>
      </w:r>
      <w:r w:rsidR="0048366D">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لمنصور بن أحمد، أبي محمد القاءاني (ت775هـ).</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وهذا الكتاب يُعدّ المرجع الرئيس للقواعد الأصولية التي ذكرها المؤلف، ومع ذلك لم يصرّح المؤلف به إلا مرة واحدة، ونُسب فيها إلى الإتقاني (وليس القاءاني)! ولعلّ هذا تحريف من النّاسخ الأول وتابعه مَنْ بعده مِنَ النّساخ</w:t>
      </w:r>
      <w:r w:rsidR="0048366D">
        <w:rPr>
          <w:rFonts w:hint="cs"/>
          <w:sz w:val="20"/>
          <w:szCs w:val="36"/>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5-</w:t>
      </w:r>
      <w:r w:rsidRPr="00EB5FFB">
        <w:rPr>
          <w:rFonts w:hint="cs"/>
          <w:sz w:val="20"/>
          <w:szCs w:val="36"/>
          <w:rtl/>
          <w:lang w:eastAsia="en-US"/>
        </w:rPr>
        <w:t xml:space="preserve"> كشف الأسرار عن أصول فخر الإسلام البزدوي (الكشف).</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 xml:space="preserve">لعبد العزيز بن أحمد البخاري (ت730هـ). </w:t>
      </w:r>
    </w:p>
    <w:p w:rsidR="00EB5FFB" w:rsidRPr="00EB5FFB" w:rsidRDefault="00EB5FFB" w:rsidP="009A68A5">
      <w:pPr>
        <w:widowControl/>
        <w:ind w:firstLine="567"/>
        <w:jc w:val="both"/>
        <w:rPr>
          <w:rFonts w:cs="AL-Mateen"/>
          <w:sz w:val="48"/>
          <w:szCs w:val="36"/>
          <w:rtl/>
          <w:lang w:eastAsia="en-US"/>
        </w:rPr>
      </w:pPr>
      <w:r w:rsidRPr="00EB5FFB">
        <w:rPr>
          <w:rFonts w:cs="AL-Mateen" w:hint="cs"/>
          <w:sz w:val="48"/>
          <w:szCs w:val="36"/>
          <w:rtl/>
          <w:lang w:eastAsia="en-US"/>
        </w:rPr>
        <w:t>ثالثًا</w:t>
      </w:r>
      <w:r w:rsidR="0048366D">
        <w:rPr>
          <w:rFonts w:cs="AL-Mateen" w:hint="cs"/>
          <w:sz w:val="48"/>
          <w:szCs w:val="36"/>
          <w:rtl/>
          <w:lang w:eastAsia="en-US"/>
        </w:rPr>
        <w:t>:</w:t>
      </w:r>
      <w:r w:rsidRPr="00EB5FFB">
        <w:rPr>
          <w:rFonts w:cs="AL-Mateen" w:hint="cs"/>
          <w:sz w:val="48"/>
          <w:szCs w:val="36"/>
          <w:rtl/>
          <w:lang w:eastAsia="en-US"/>
        </w:rPr>
        <w:t xml:space="preserve"> ما رجع إليه من كتب القواعد الفقهية</w:t>
      </w:r>
      <w:r w:rsidR="0048366D">
        <w:rPr>
          <w:rFonts w:cs="AL-Mateen" w:hint="cs"/>
          <w:sz w:val="48"/>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رجع المؤلف إلى كتاب واحد في القواعد الفقهية، وهو الأشباه والنظائر لزين الدين ابن إبراهيم بن نجيم المصري (ت970هـ).</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وقلّة مصادر المؤلف من كتب القواعد الفقهية يُعدُّ مزيّة له لا عليه</w:t>
      </w:r>
      <w:r w:rsidR="0048366D">
        <w:rPr>
          <w:rFonts w:hint="cs"/>
          <w:sz w:val="20"/>
          <w:szCs w:val="36"/>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وذلك أن الحنفية وإن كان لهم سبق التأليف في القواعد الفقهية، إلا أنه بعد تأليف أبي زيد الدّبوسي (ت430هـ) لكتابه</w:t>
      </w:r>
      <w:r w:rsidR="0048366D">
        <w:rPr>
          <w:rFonts w:hint="cs"/>
          <w:sz w:val="20"/>
          <w:szCs w:val="36"/>
          <w:rtl/>
          <w:lang w:eastAsia="en-US"/>
        </w:rPr>
        <w:t>:</w:t>
      </w:r>
      <w:r w:rsidRPr="00EB5FFB">
        <w:rPr>
          <w:rFonts w:hint="cs"/>
          <w:sz w:val="20"/>
          <w:szCs w:val="36"/>
          <w:rtl/>
          <w:lang w:eastAsia="en-US"/>
        </w:rPr>
        <w:t xml:space="preserve"> (تأسيس النظر) شهد التأليف لديهم ركودًا واضحًا، امتدّ إلى القرن العـاشر الهجـري. وكـان الميدان في هـذه الفـترة بالدرجة الأولى لعلماء الشافعية</w:t>
      </w:r>
      <w:r w:rsidRPr="00EB5FFB">
        <w:rPr>
          <w:rFonts w:hint="cs"/>
          <w:sz w:val="20"/>
          <w:szCs w:val="36"/>
          <w:vertAlign w:val="superscript"/>
          <w:rtl/>
          <w:lang w:eastAsia="en-US"/>
        </w:rPr>
        <w:t>(</w:t>
      </w:r>
      <w:r w:rsidRPr="00EB5FFB">
        <w:rPr>
          <w:bCs/>
          <w:sz w:val="20"/>
          <w:szCs w:val="32"/>
          <w:vertAlign w:val="superscript"/>
          <w:rtl/>
          <w:lang w:eastAsia="en-US"/>
        </w:rPr>
        <w:footnoteReference w:id="230"/>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وقد أدرك ذلك ابن نجيم (ت971هـ)، حيث قال</w:t>
      </w:r>
      <w:r w:rsidR="0048366D">
        <w:rPr>
          <w:rFonts w:hint="cs"/>
          <w:sz w:val="20"/>
          <w:szCs w:val="36"/>
          <w:rtl/>
          <w:lang w:eastAsia="en-US"/>
        </w:rPr>
        <w:t>:</w:t>
      </w:r>
    </w:p>
    <w:p w:rsidR="00EB5FFB" w:rsidRPr="00EB5FFB" w:rsidRDefault="00EB5FFB" w:rsidP="009A68A5">
      <w:pPr>
        <w:widowControl/>
        <w:ind w:firstLine="567"/>
        <w:jc w:val="both"/>
        <w:rPr>
          <w:sz w:val="20"/>
          <w:szCs w:val="36"/>
          <w:rtl/>
          <w:lang w:val="en-GB" w:eastAsia="en-US"/>
        </w:rPr>
      </w:pPr>
      <w:r w:rsidRPr="00EB5FFB">
        <w:rPr>
          <w:rFonts w:hint="eastAsia"/>
          <w:sz w:val="20"/>
          <w:szCs w:val="36"/>
          <w:rtl/>
          <w:lang w:val="en-GB" w:eastAsia="en-US"/>
        </w:rPr>
        <w:t>«</w:t>
      </w:r>
      <w:r w:rsidRPr="00EB5FFB">
        <w:rPr>
          <w:rFonts w:hint="cs"/>
          <w:sz w:val="20"/>
          <w:szCs w:val="36"/>
          <w:rtl/>
          <w:lang w:val="en-GB" w:eastAsia="en-US"/>
        </w:rPr>
        <w:t xml:space="preserve">وإن المشايخ الكرام قد ألّفوا لنا ما بين مختصر ومطوّل، من متون وشروح وفتاوى، واجتهدوا في المذاهب والفتوى، وحرّروا ونقَّحوا </w:t>
      </w:r>
      <w:r w:rsidRPr="00EB5FFB">
        <w:rPr>
          <w:sz w:val="20"/>
          <w:szCs w:val="36"/>
          <w:rtl/>
          <w:lang w:val="en-GB" w:eastAsia="en-US"/>
        </w:rPr>
        <w:t>–</w:t>
      </w:r>
      <w:r w:rsidRPr="00EB5FFB">
        <w:rPr>
          <w:rFonts w:hint="cs"/>
          <w:sz w:val="20"/>
          <w:szCs w:val="36"/>
          <w:rtl/>
          <w:lang w:val="en-GB" w:eastAsia="en-US"/>
        </w:rPr>
        <w:t xml:space="preserve"> شكر الله سعيهم </w:t>
      </w:r>
      <w:r w:rsidRPr="00EB5FFB">
        <w:rPr>
          <w:sz w:val="20"/>
          <w:szCs w:val="36"/>
          <w:rtl/>
          <w:lang w:val="en-GB" w:eastAsia="en-US"/>
        </w:rPr>
        <w:t>–</w:t>
      </w:r>
      <w:r w:rsidRPr="00EB5FFB">
        <w:rPr>
          <w:rFonts w:hint="cs"/>
          <w:sz w:val="20"/>
          <w:szCs w:val="36"/>
          <w:rtl/>
          <w:lang w:val="en-GB" w:eastAsia="en-US"/>
        </w:rPr>
        <w:t>إلا أني لم أر لهم كتابًا يحاكي كتاب الشيخ تاج الدين السبكي الشافعي</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3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lastRenderedPageBreak/>
        <w:t>ولربط ما توصّل إليه الشافعية في علم القواعد الفقهية بفروع الحنفية، وللاستفادة من منهجهم في التأليف</w:t>
      </w:r>
      <w:r w:rsidR="0048366D">
        <w:rPr>
          <w:rFonts w:hint="cs"/>
          <w:sz w:val="20"/>
          <w:szCs w:val="36"/>
          <w:rtl/>
          <w:lang w:eastAsia="en-US"/>
        </w:rPr>
        <w:t>:</w:t>
      </w:r>
      <w:r w:rsidRPr="00EB5FFB">
        <w:rPr>
          <w:rFonts w:hint="cs"/>
          <w:sz w:val="20"/>
          <w:szCs w:val="36"/>
          <w:rtl/>
          <w:lang w:eastAsia="en-US"/>
        </w:rPr>
        <w:t xml:space="preserve"> ألّف ابن نجيم (ت970هـ) أشباهه؛ محاكاة لأشباه ابن السـبكي (ت771هـ)، وكذلك أشباه السيوطي (ت911هـ).</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وقد أجاد ابن نجيم في أشباهه وأفاد، وأحدث نقلة نوعية للتأليف لدى الحنفية، وصار كتابه عمدة المتأخرين منهم؛ حيث انكبّوا عليه شرحًا وتعليقًا ونظمًا</w:t>
      </w:r>
      <w:r w:rsidR="0048366D">
        <w:rPr>
          <w:rFonts w:hint="cs"/>
          <w:sz w:val="20"/>
          <w:szCs w:val="36"/>
          <w:rtl/>
          <w:lang w:eastAsia="en-US"/>
        </w:rPr>
        <w:t>.</w:t>
      </w:r>
      <w:r w:rsidRPr="00EB5FFB">
        <w:rPr>
          <w:rFonts w:hint="cs"/>
          <w:sz w:val="20"/>
          <w:szCs w:val="36"/>
          <w:rtl/>
          <w:lang w:eastAsia="en-US"/>
        </w:rPr>
        <w:t>.. حتى بلغت مصنّفاتهم حوله أكثر من أربعين مصنّفًا</w:t>
      </w:r>
      <w:r w:rsidRPr="00EB5FFB">
        <w:rPr>
          <w:rFonts w:hint="cs"/>
          <w:sz w:val="20"/>
          <w:szCs w:val="36"/>
          <w:vertAlign w:val="superscript"/>
          <w:rtl/>
          <w:lang w:eastAsia="en-US"/>
        </w:rPr>
        <w:t>(</w:t>
      </w:r>
      <w:r w:rsidRPr="00EB5FFB">
        <w:rPr>
          <w:bCs/>
          <w:sz w:val="20"/>
          <w:szCs w:val="32"/>
          <w:vertAlign w:val="superscript"/>
          <w:rtl/>
          <w:lang w:eastAsia="en-US"/>
        </w:rPr>
        <w:footnoteReference w:id="232"/>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firstLine="567"/>
        <w:jc w:val="both"/>
        <w:rPr>
          <w:sz w:val="20"/>
          <w:szCs w:val="36"/>
          <w:rtl/>
          <w:lang w:eastAsia="en-US"/>
        </w:rPr>
      </w:pPr>
      <w:r w:rsidRPr="00EB5FFB">
        <w:rPr>
          <w:rFonts w:hint="cs"/>
          <w:sz w:val="20"/>
          <w:szCs w:val="36"/>
          <w:rtl/>
          <w:lang w:eastAsia="en-US"/>
        </w:rPr>
        <w:t>ولا يعني هذا أن علماء الحنفية لم تكن لهم عناية بالقواعد الفقهية قبل ابن نجيم، فقد كانت كتبهم الفقهية حافلة بها؛ تعليلاً وتوضيحًا وربطًا بين الفروع المتشابهة بتلك القواعد.</w:t>
      </w:r>
    </w:p>
    <w:p w:rsidR="00EB5FFB" w:rsidRPr="00EB5FFB" w:rsidRDefault="00EB5FFB" w:rsidP="009A68A5">
      <w:pPr>
        <w:widowControl/>
        <w:spacing w:line="480" w:lineRule="exact"/>
        <w:ind w:firstLine="567"/>
        <w:jc w:val="both"/>
        <w:rPr>
          <w:sz w:val="20"/>
          <w:szCs w:val="36"/>
          <w:rtl/>
          <w:lang w:eastAsia="en-US"/>
        </w:rPr>
      </w:pPr>
      <w:r w:rsidRPr="00EB5FFB">
        <w:rPr>
          <w:rFonts w:hint="cs"/>
          <w:sz w:val="20"/>
          <w:szCs w:val="36"/>
          <w:rtl/>
          <w:lang w:eastAsia="en-US"/>
        </w:rPr>
        <w:t>وقد تنبّه المؤلف إلى هذا؛ فانتقى ممّا أودعه ابن نـجيم في أشباهه من القـواعد المتداولة في كتب هذا الفن، كما انكبّ على كتب الفقه الحنفي؛ لينقب فيها عن قواعد الحنفية، وكانت عنايته مركّزة على كتابين غنيّين بالقـواعد، هما (العـناية) للبـابرتـي (ت786هـ)، و(الدرر) لملاّ خسرو (ت885هـ). وكانت استفادته منهما أكثر من استفادته من أشباه ابن نجيم. وقد وفّق في حسن الانتقاء والترتيب، واستطاع أن يوظّف هذه المصادر لبحث قواعده استقلالاً وفق المنهج الفريد الذي رسمه لنفسه في هذا الكتاب.</w:t>
      </w:r>
    </w:p>
    <w:p w:rsidR="00EB5FFB" w:rsidRPr="00EB5FFB" w:rsidRDefault="00EB5FFB" w:rsidP="009A68A5">
      <w:pPr>
        <w:widowControl/>
        <w:ind w:firstLine="567"/>
        <w:jc w:val="both"/>
        <w:rPr>
          <w:sz w:val="20"/>
          <w:szCs w:val="36"/>
          <w:rtl/>
          <w:lang w:eastAsia="en-US"/>
        </w:rPr>
      </w:pPr>
      <w:r w:rsidRPr="00EB5FFB">
        <w:rPr>
          <w:rFonts w:hint="cs"/>
          <w:b/>
          <w:bCs/>
          <w:sz w:val="20"/>
          <w:szCs w:val="36"/>
          <w:rtl/>
          <w:lang w:eastAsia="en-US"/>
        </w:rPr>
        <w:t>جـ</w:t>
      </w:r>
      <w:r w:rsidRPr="00EB5FFB">
        <w:rPr>
          <w:rFonts w:hint="cs"/>
          <w:sz w:val="20"/>
          <w:szCs w:val="36"/>
          <w:rtl/>
          <w:lang w:eastAsia="en-US"/>
        </w:rPr>
        <w:t>- بالإضافة إلى المصادر التي صرّح المؤلف باسمها كانت له مصادر أخر اكتفى المؤلف بذكر مؤلفيها، منها</w:t>
      </w:r>
      <w:r w:rsidR="0048366D">
        <w:rPr>
          <w:rFonts w:hint="cs"/>
          <w:sz w:val="20"/>
          <w:szCs w:val="36"/>
          <w:rtl/>
          <w:lang w:eastAsia="en-US"/>
        </w:rPr>
        <w:t>:</w:t>
      </w:r>
    </w:p>
    <w:p w:rsidR="00EB5FFB" w:rsidRPr="00EB5FFB" w:rsidRDefault="00EB5FFB" w:rsidP="009A68A5">
      <w:pPr>
        <w:widowControl/>
        <w:ind w:firstLine="0"/>
        <w:jc w:val="both"/>
        <w:rPr>
          <w:sz w:val="20"/>
          <w:szCs w:val="36"/>
          <w:rtl/>
          <w:lang w:eastAsia="en-US"/>
        </w:rPr>
      </w:pPr>
      <w:r w:rsidRPr="00EB5FFB">
        <w:rPr>
          <w:rFonts w:hint="cs"/>
          <w:sz w:val="20"/>
          <w:szCs w:val="36"/>
          <w:rtl/>
          <w:lang w:eastAsia="en-US"/>
        </w:rPr>
        <w:t xml:space="preserve">       تبيـين الحقائق</w:t>
      </w:r>
      <w:r w:rsidR="0048366D">
        <w:rPr>
          <w:rFonts w:hint="cs"/>
          <w:sz w:val="20"/>
          <w:szCs w:val="36"/>
          <w:rtl/>
          <w:lang w:eastAsia="en-US"/>
        </w:rPr>
        <w:t>:</w:t>
      </w:r>
    </w:p>
    <w:p w:rsidR="00EB5FFB" w:rsidRPr="00EB5FFB" w:rsidRDefault="00EB5FFB" w:rsidP="009A68A5">
      <w:pPr>
        <w:widowControl/>
        <w:ind w:left="567" w:firstLine="0"/>
        <w:jc w:val="both"/>
        <w:rPr>
          <w:sz w:val="20"/>
          <w:szCs w:val="36"/>
          <w:lang w:eastAsia="en-US"/>
        </w:rPr>
      </w:pPr>
      <w:r w:rsidRPr="00EB5FFB">
        <w:rPr>
          <w:rFonts w:hint="cs"/>
          <w:sz w:val="20"/>
          <w:szCs w:val="36"/>
          <w:rtl/>
          <w:lang w:eastAsia="en-US"/>
        </w:rPr>
        <w:t>لعثمان بن علي الزيلعي (ت743هـ)</w:t>
      </w:r>
      <w:r w:rsidRPr="00EB5FFB">
        <w:rPr>
          <w:rFonts w:hint="cs"/>
          <w:sz w:val="20"/>
          <w:szCs w:val="36"/>
          <w:vertAlign w:val="superscript"/>
          <w:rtl/>
          <w:lang w:eastAsia="en-US"/>
        </w:rPr>
        <w:t>(</w:t>
      </w:r>
      <w:r w:rsidRPr="00EB5FFB">
        <w:rPr>
          <w:bCs/>
          <w:sz w:val="20"/>
          <w:szCs w:val="32"/>
          <w:vertAlign w:val="superscript"/>
          <w:rtl/>
          <w:lang w:eastAsia="en-US"/>
        </w:rPr>
        <w:footnoteReference w:id="233"/>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left="567" w:firstLine="0"/>
        <w:jc w:val="both"/>
        <w:rPr>
          <w:sz w:val="20"/>
          <w:szCs w:val="36"/>
          <w:rtl/>
          <w:lang w:eastAsia="en-US"/>
        </w:rPr>
      </w:pPr>
      <w:r w:rsidRPr="00EB5FFB">
        <w:rPr>
          <w:rFonts w:hint="cs"/>
          <w:b/>
          <w:bCs/>
          <w:sz w:val="20"/>
          <w:szCs w:val="36"/>
          <w:rtl/>
          <w:lang w:eastAsia="en-US"/>
        </w:rPr>
        <w:t>د</w:t>
      </w:r>
      <w:r w:rsidRPr="00EB5FFB">
        <w:rPr>
          <w:rFonts w:hint="cs"/>
          <w:sz w:val="20"/>
          <w:szCs w:val="36"/>
          <w:rtl/>
          <w:lang w:eastAsia="en-US"/>
        </w:rPr>
        <w:t xml:space="preserve"> </w:t>
      </w:r>
      <w:r w:rsidRPr="00EB5FFB">
        <w:rPr>
          <w:rFonts w:hint="cs"/>
          <w:b/>
          <w:bCs/>
          <w:sz w:val="20"/>
          <w:szCs w:val="36"/>
          <w:rtl/>
          <w:lang w:eastAsia="en-US"/>
        </w:rPr>
        <w:t>-</w:t>
      </w:r>
      <w:r w:rsidRPr="00EB5FFB">
        <w:rPr>
          <w:rFonts w:hint="cs"/>
          <w:sz w:val="20"/>
          <w:szCs w:val="36"/>
          <w:rtl/>
          <w:lang w:eastAsia="en-US"/>
        </w:rPr>
        <w:t xml:space="preserve"> بعد أن تمّ بيان مصادر المؤلف يناسب إيضاح </w:t>
      </w:r>
      <w:r w:rsidRPr="00EB5FFB">
        <w:rPr>
          <w:rFonts w:hint="cs"/>
          <w:b/>
          <w:bCs/>
          <w:sz w:val="20"/>
          <w:szCs w:val="36"/>
          <w:rtl/>
          <w:lang w:eastAsia="en-US"/>
        </w:rPr>
        <w:t>طرق استفادته منها</w:t>
      </w:r>
      <w:r w:rsidR="0048366D">
        <w:rPr>
          <w:rFonts w:hint="cs"/>
          <w:sz w:val="20"/>
          <w:szCs w:val="36"/>
          <w:rtl/>
          <w:lang w:eastAsia="en-US"/>
        </w:rPr>
        <w:t>:</w:t>
      </w:r>
    </w:p>
    <w:p w:rsidR="00EB5FFB" w:rsidRPr="00EB5FFB" w:rsidRDefault="00EB5FFB" w:rsidP="009A68A5">
      <w:pPr>
        <w:widowControl/>
        <w:ind w:left="567" w:firstLine="0"/>
        <w:jc w:val="both"/>
        <w:rPr>
          <w:sz w:val="20"/>
          <w:szCs w:val="36"/>
          <w:rtl/>
          <w:lang w:eastAsia="en-US"/>
        </w:rPr>
      </w:pPr>
      <w:r w:rsidRPr="00EB5FFB">
        <w:rPr>
          <w:rFonts w:hint="cs"/>
          <w:sz w:val="20"/>
          <w:szCs w:val="36"/>
          <w:rtl/>
          <w:lang w:eastAsia="en-US"/>
        </w:rPr>
        <w:t>لقد تنوّعت طرق استفادته منها بعدّة اعتبارات</w:t>
      </w:r>
      <w:r w:rsidR="0048366D">
        <w:rPr>
          <w:rFonts w:hint="cs"/>
          <w:sz w:val="20"/>
          <w:szCs w:val="36"/>
          <w:rtl/>
          <w:lang w:eastAsia="en-US"/>
        </w:rPr>
        <w:t>:</w:t>
      </w:r>
    </w:p>
    <w:p w:rsidR="00EB5FFB" w:rsidRPr="00EB5FFB" w:rsidRDefault="00EB5FFB" w:rsidP="009A68A5">
      <w:pPr>
        <w:widowControl/>
        <w:ind w:left="567" w:firstLine="0"/>
        <w:jc w:val="both"/>
        <w:rPr>
          <w:sz w:val="20"/>
          <w:szCs w:val="36"/>
          <w:rtl/>
          <w:lang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eastAsia="en-US"/>
        </w:rPr>
        <w:t>فباعتبار مقدار استفادته منها</w:t>
      </w:r>
      <w:r w:rsidR="0048366D">
        <w:rPr>
          <w:rFonts w:hint="cs"/>
          <w:sz w:val="20"/>
          <w:szCs w:val="36"/>
          <w:rtl/>
          <w:lang w:eastAsia="en-US"/>
        </w:rPr>
        <w:t>:</w:t>
      </w:r>
      <w:r w:rsidRPr="00EB5FFB">
        <w:rPr>
          <w:rFonts w:hint="cs"/>
          <w:sz w:val="20"/>
          <w:szCs w:val="36"/>
          <w:rtl/>
          <w:lang w:eastAsia="en-US"/>
        </w:rPr>
        <w:t xml:space="preserve"> فإن مصادره على مرتبتين</w:t>
      </w:r>
      <w:r w:rsidR="0048366D">
        <w:rPr>
          <w:rFonts w:hint="cs"/>
          <w:sz w:val="20"/>
          <w:szCs w:val="36"/>
          <w:rtl/>
          <w:lang w:eastAsia="en-US"/>
        </w:rPr>
        <w:t>:</w:t>
      </w:r>
      <w:r w:rsidRPr="00EB5FFB">
        <w:rPr>
          <w:rFonts w:hint="cs"/>
          <w:sz w:val="20"/>
          <w:szCs w:val="36"/>
          <w:rtl/>
          <w:lang w:eastAsia="en-US"/>
        </w:rPr>
        <w:t xml:space="preserve"> </w:t>
      </w:r>
    </w:p>
    <w:p w:rsidR="00EB5FFB" w:rsidRPr="00EB5FFB" w:rsidRDefault="00EB5FFB" w:rsidP="009A68A5">
      <w:pPr>
        <w:widowControl/>
        <w:ind w:left="567" w:firstLine="0"/>
        <w:jc w:val="both"/>
        <w:rPr>
          <w:sz w:val="20"/>
          <w:szCs w:val="36"/>
          <w:rtl/>
          <w:lang w:eastAsia="en-US"/>
        </w:rPr>
      </w:pPr>
      <w:r w:rsidRPr="00EB5FFB">
        <w:rPr>
          <w:rFonts w:hint="cs"/>
          <w:b/>
          <w:bCs/>
          <w:sz w:val="20"/>
          <w:szCs w:val="36"/>
          <w:rtl/>
          <w:lang w:eastAsia="en-US"/>
        </w:rPr>
        <w:t>الأولى</w:t>
      </w:r>
      <w:r w:rsidR="0048366D">
        <w:rPr>
          <w:rFonts w:hint="cs"/>
          <w:sz w:val="20"/>
          <w:szCs w:val="36"/>
          <w:rtl/>
          <w:lang w:eastAsia="en-US"/>
        </w:rPr>
        <w:t>:</w:t>
      </w:r>
      <w:r w:rsidRPr="00EB5FFB">
        <w:rPr>
          <w:rFonts w:hint="cs"/>
          <w:sz w:val="20"/>
          <w:szCs w:val="36"/>
          <w:rtl/>
          <w:lang w:eastAsia="en-US"/>
        </w:rPr>
        <w:t xml:space="preserve"> المصادر الرئيسة</w:t>
      </w:r>
      <w:r w:rsidR="0048366D">
        <w:rPr>
          <w:rFonts w:hint="cs"/>
          <w:sz w:val="20"/>
          <w:szCs w:val="36"/>
          <w:rtl/>
          <w:lang w:eastAsia="en-US"/>
        </w:rPr>
        <w:t>:</w:t>
      </w:r>
    </w:p>
    <w:p w:rsidR="00EB5FFB" w:rsidRPr="00EB5FFB" w:rsidRDefault="00EB5FFB" w:rsidP="009A68A5">
      <w:pPr>
        <w:widowControl/>
        <w:ind w:left="567" w:firstLine="0"/>
        <w:jc w:val="both"/>
        <w:rPr>
          <w:sz w:val="20"/>
          <w:szCs w:val="36"/>
          <w:rtl/>
          <w:lang w:eastAsia="en-US"/>
        </w:rPr>
      </w:pPr>
      <w:r w:rsidRPr="00EB5FFB">
        <w:rPr>
          <w:rFonts w:hint="cs"/>
          <w:sz w:val="20"/>
          <w:szCs w:val="36"/>
          <w:rtl/>
          <w:lang w:eastAsia="en-US"/>
        </w:rPr>
        <w:lastRenderedPageBreak/>
        <w:t>وهي مرتبة على حسب استفادته منها على النحو الآتي</w:t>
      </w:r>
      <w:r w:rsidR="0048366D">
        <w:rPr>
          <w:rFonts w:hint="cs"/>
          <w:sz w:val="20"/>
          <w:szCs w:val="36"/>
          <w:rtl/>
          <w:lang w:eastAsia="en-US"/>
        </w:rPr>
        <w:t>:</w:t>
      </w:r>
    </w:p>
    <w:p w:rsidR="00EB5FFB" w:rsidRPr="00EB5FFB" w:rsidRDefault="00EB5FFB" w:rsidP="009A68A5">
      <w:pPr>
        <w:widowControl/>
        <w:ind w:left="567" w:firstLine="0"/>
        <w:jc w:val="both"/>
        <w:rPr>
          <w:spacing w:val="-4"/>
          <w:sz w:val="20"/>
          <w:szCs w:val="36"/>
          <w:rtl/>
          <w:lang w:eastAsia="en-US"/>
        </w:rPr>
      </w:pPr>
      <w:r w:rsidRPr="00EB5FFB">
        <w:rPr>
          <w:rFonts w:hint="cs"/>
          <w:b/>
          <w:bCs/>
          <w:spacing w:val="-4"/>
          <w:sz w:val="20"/>
          <w:szCs w:val="36"/>
          <w:rtl/>
          <w:lang w:eastAsia="en-US"/>
        </w:rPr>
        <w:t>1</w:t>
      </w:r>
      <w:r w:rsidRPr="00EB5FFB">
        <w:rPr>
          <w:rFonts w:hint="cs"/>
          <w:spacing w:val="-4"/>
          <w:sz w:val="20"/>
          <w:szCs w:val="36"/>
          <w:rtl/>
          <w:lang w:eastAsia="en-US"/>
        </w:rPr>
        <w:t xml:space="preserve">- </w:t>
      </w:r>
      <w:r w:rsidRPr="00EB5FFB">
        <w:rPr>
          <w:rFonts w:hint="cs"/>
          <w:b/>
          <w:bCs/>
          <w:spacing w:val="-4"/>
          <w:sz w:val="20"/>
          <w:szCs w:val="36"/>
          <w:rtl/>
          <w:lang w:eastAsia="en-US"/>
        </w:rPr>
        <w:t>2</w:t>
      </w:r>
      <w:r w:rsidRPr="00EB5FFB">
        <w:rPr>
          <w:rFonts w:hint="cs"/>
          <w:spacing w:val="-4"/>
          <w:sz w:val="20"/>
          <w:szCs w:val="36"/>
          <w:rtl/>
          <w:lang w:eastAsia="en-US"/>
        </w:rPr>
        <w:t>- غرر الأحكام وشرحه: درر الحكام. كلاهما لملاّ خسرو (ت885هـ).</w:t>
      </w:r>
    </w:p>
    <w:p w:rsidR="00EB5FFB" w:rsidRPr="00EB5FFB" w:rsidRDefault="00EB5FFB" w:rsidP="009A68A5">
      <w:pPr>
        <w:widowControl/>
        <w:ind w:left="567" w:firstLine="0"/>
        <w:jc w:val="both"/>
        <w:rPr>
          <w:spacing w:val="-6"/>
          <w:sz w:val="20"/>
          <w:szCs w:val="36"/>
          <w:rtl/>
          <w:lang w:eastAsia="en-US"/>
        </w:rPr>
      </w:pPr>
      <w:r w:rsidRPr="00EB5FFB">
        <w:rPr>
          <w:rFonts w:hint="cs"/>
          <w:b/>
          <w:bCs/>
          <w:spacing w:val="-6"/>
          <w:sz w:val="20"/>
          <w:szCs w:val="36"/>
          <w:rtl/>
          <w:lang w:eastAsia="en-US"/>
        </w:rPr>
        <w:t>3</w:t>
      </w:r>
      <w:r w:rsidRPr="00EB5FFB">
        <w:rPr>
          <w:rFonts w:hint="cs"/>
          <w:spacing w:val="-6"/>
          <w:sz w:val="20"/>
          <w:szCs w:val="36"/>
          <w:rtl/>
          <w:lang w:eastAsia="en-US"/>
        </w:rPr>
        <w:t xml:space="preserve">- </w:t>
      </w:r>
      <w:r w:rsidRPr="00EB5FFB">
        <w:rPr>
          <w:rFonts w:hint="cs"/>
          <w:b/>
          <w:bCs/>
          <w:spacing w:val="-6"/>
          <w:sz w:val="20"/>
          <w:szCs w:val="36"/>
          <w:rtl/>
          <w:lang w:eastAsia="en-US"/>
        </w:rPr>
        <w:t>4</w:t>
      </w:r>
      <w:r w:rsidRPr="00EB5FFB">
        <w:rPr>
          <w:rFonts w:hint="cs"/>
          <w:spacing w:val="-6"/>
          <w:sz w:val="20"/>
          <w:szCs w:val="36"/>
          <w:rtl/>
          <w:lang w:eastAsia="en-US"/>
        </w:rPr>
        <w:t>- الهداية للمرغيناني (ت593هـ)، وشرحها</w:t>
      </w:r>
      <w:r w:rsidR="0048366D">
        <w:rPr>
          <w:rFonts w:hint="cs"/>
          <w:spacing w:val="-6"/>
          <w:sz w:val="20"/>
          <w:szCs w:val="36"/>
          <w:rtl/>
          <w:lang w:eastAsia="en-US"/>
        </w:rPr>
        <w:t>:</w:t>
      </w:r>
      <w:r w:rsidRPr="00EB5FFB">
        <w:rPr>
          <w:rFonts w:hint="cs"/>
          <w:spacing w:val="-6"/>
          <w:sz w:val="20"/>
          <w:szCs w:val="36"/>
          <w:rtl/>
          <w:lang w:eastAsia="en-US"/>
        </w:rPr>
        <w:t xml:space="preserve"> العناية للبَابَرْتي (ت786هـ).</w:t>
      </w:r>
    </w:p>
    <w:p w:rsidR="00EB5FFB" w:rsidRPr="00EB5FFB" w:rsidRDefault="00EB5FFB" w:rsidP="009A68A5">
      <w:pPr>
        <w:widowControl/>
        <w:ind w:left="567" w:firstLine="0"/>
        <w:jc w:val="both"/>
        <w:rPr>
          <w:sz w:val="20"/>
          <w:szCs w:val="36"/>
          <w:rtl/>
          <w:lang w:eastAsia="en-US"/>
        </w:rPr>
      </w:pPr>
      <w:r w:rsidRPr="00EB5FFB">
        <w:rPr>
          <w:rFonts w:hint="cs"/>
          <w:b/>
          <w:bCs/>
          <w:sz w:val="20"/>
          <w:szCs w:val="36"/>
          <w:rtl/>
          <w:lang w:eastAsia="en-US"/>
        </w:rPr>
        <w:t>5</w:t>
      </w:r>
      <w:r w:rsidRPr="00EB5FFB">
        <w:rPr>
          <w:rFonts w:hint="cs"/>
          <w:sz w:val="20"/>
          <w:szCs w:val="36"/>
          <w:rtl/>
          <w:lang w:eastAsia="en-US"/>
        </w:rPr>
        <w:t xml:space="preserve"> - الأشباه والنظائر لابن نجيم (ت911هـ).</w:t>
      </w:r>
    </w:p>
    <w:p w:rsidR="00EB5FFB" w:rsidRPr="00EB5FFB" w:rsidRDefault="00EB5FFB" w:rsidP="009A68A5">
      <w:pPr>
        <w:widowControl/>
        <w:ind w:left="567" w:firstLine="0"/>
        <w:jc w:val="both"/>
        <w:rPr>
          <w:sz w:val="20"/>
          <w:szCs w:val="36"/>
          <w:rtl/>
          <w:lang w:eastAsia="en-US"/>
        </w:rPr>
      </w:pPr>
      <w:r w:rsidRPr="00EB5FFB">
        <w:rPr>
          <w:rFonts w:hint="cs"/>
          <w:b/>
          <w:bCs/>
          <w:sz w:val="20"/>
          <w:szCs w:val="36"/>
          <w:rtl/>
          <w:lang w:eastAsia="en-US"/>
        </w:rPr>
        <w:t>6</w:t>
      </w:r>
      <w:r w:rsidRPr="00EB5FFB">
        <w:rPr>
          <w:rFonts w:hint="cs"/>
          <w:sz w:val="20"/>
          <w:szCs w:val="36"/>
          <w:rtl/>
          <w:lang w:eastAsia="en-US"/>
        </w:rPr>
        <w:t xml:space="preserve">- </w:t>
      </w:r>
      <w:r w:rsidRPr="00EB5FFB">
        <w:rPr>
          <w:rFonts w:hint="cs"/>
          <w:b/>
          <w:bCs/>
          <w:sz w:val="20"/>
          <w:szCs w:val="36"/>
          <w:rtl/>
          <w:lang w:eastAsia="en-US"/>
        </w:rPr>
        <w:t>7</w:t>
      </w:r>
      <w:r w:rsidRPr="00EB5FFB">
        <w:rPr>
          <w:rFonts w:hint="cs"/>
          <w:sz w:val="20"/>
          <w:szCs w:val="36"/>
          <w:rtl/>
          <w:lang w:eastAsia="en-US"/>
        </w:rPr>
        <w:t>- المغني للخبازي (ت691هـ)، وشرحه للقاءاني (ت775هـ).</w:t>
      </w:r>
    </w:p>
    <w:p w:rsidR="00EB5FFB" w:rsidRPr="00EB5FFB" w:rsidRDefault="00EB5FFB" w:rsidP="009A68A5">
      <w:pPr>
        <w:widowControl/>
        <w:ind w:left="567" w:firstLine="0"/>
        <w:jc w:val="both"/>
        <w:rPr>
          <w:sz w:val="20"/>
          <w:szCs w:val="36"/>
          <w:rtl/>
          <w:lang w:eastAsia="en-US"/>
        </w:rPr>
      </w:pPr>
      <w:r w:rsidRPr="00EB5FFB">
        <w:rPr>
          <w:rFonts w:hint="cs"/>
          <w:b/>
          <w:bCs/>
          <w:sz w:val="20"/>
          <w:szCs w:val="36"/>
          <w:rtl/>
          <w:lang w:eastAsia="en-US"/>
        </w:rPr>
        <w:t>الثانية</w:t>
      </w:r>
      <w:r w:rsidR="0048366D">
        <w:rPr>
          <w:rFonts w:hint="cs"/>
          <w:sz w:val="20"/>
          <w:szCs w:val="36"/>
          <w:rtl/>
          <w:lang w:eastAsia="en-US"/>
        </w:rPr>
        <w:t>:</w:t>
      </w:r>
      <w:r w:rsidRPr="00EB5FFB">
        <w:rPr>
          <w:rFonts w:hint="cs"/>
          <w:sz w:val="20"/>
          <w:szCs w:val="36"/>
          <w:rtl/>
          <w:lang w:eastAsia="en-US"/>
        </w:rPr>
        <w:t xml:space="preserve"> المصادر الثانوية</w:t>
      </w:r>
      <w:r w:rsidR="0048366D">
        <w:rPr>
          <w:rFonts w:hint="cs"/>
          <w:sz w:val="20"/>
          <w:szCs w:val="36"/>
          <w:rtl/>
          <w:lang w:eastAsia="en-US"/>
        </w:rPr>
        <w:t>:</w:t>
      </w:r>
    </w:p>
    <w:p w:rsidR="00EB5FFB" w:rsidRPr="00EB5FFB" w:rsidRDefault="00EB5FFB" w:rsidP="009A68A5">
      <w:pPr>
        <w:widowControl/>
        <w:ind w:left="567" w:firstLine="0"/>
        <w:jc w:val="both"/>
        <w:rPr>
          <w:sz w:val="20"/>
          <w:szCs w:val="36"/>
          <w:rtl/>
          <w:lang w:eastAsia="en-US"/>
        </w:rPr>
      </w:pPr>
      <w:r w:rsidRPr="00EB5FFB">
        <w:rPr>
          <w:rFonts w:hint="cs"/>
          <w:sz w:val="20"/>
          <w:szCs w:val="36"/>
          <w:rtl/>
          <w:lang w:eastAsia="en-US"/>
        </w:rPr>
        <w:t>وهي بقية المصادر الآنف ذكرها</w:t>
      </w:r>
      <w:r w:rsidRPr="00EB5FFB">
        <w:rPr>
          <w:rFonts w:hint="cs"/>
          <w:sz w:val="20"/>
          <w:szCs w:val="36"/>
          <w:vertAlign w:val="superscript"/>
          <w:rtl/>
          <w:lang w:eastAsia="en-US"/>
        </w:rPr>
        <w:t>(</w:t>
      </w:r>
      <w:r w:rsidRPr="00EB5FFB">
        <w:rPr>
          <w:bCs/>
          <w:sz w:val="20"/>
          <w:szCs w:val="32"/>
          <w:vertAlign w:val="superscript"/>
          <w:rtl/>
          <w:lang w:eastAsia="en-US"/>
        </w:rPr>
        <w:footnoteReference w:id="234"/>
      </w:r>
      <w:r w:rsidRPr="00EB5FFB">
        <w:rPr>
          <w:rFonts w:hint="cs"/>
          <w:sz w:val="20"/>
          <w:szCs w:val="36"/>
          <w:vertAlign w:val="superscript"/>
          <w:rtl/>
          <w:lang w:eastAsia="en-US"/>
        </w:rPr>
        <w:t>)</w:t>
      </w:r>
      <w:r w:rsidRPr="00EB5FFB">
        <w:rPr>
          <w:rFonts w:hint="cs"/>
          <w:sz w:val="20"/>
          <w:szCs w:val="36"/>
          <w:rtl/>
          <w:lang w:eastAsia="en-US"/>
        </w:rPr>
        <w:t>.</w:t>
      </w:r>
    </w:p>
    <w:p w:rsidR="00EB5FFB" w:rsidRPr="00EB5FFB" w:rsidRDefault="00EB5FFB" w:rsidP="009A68A5">
      <w:pPr>
        <w:widowControl/>
        <w:ind w:left="567" w:firstLine="0"/>
        <w:jc w:val="both"/>
        <w:rPr>
          <w:sz w:val="20"/>
          <w:szCs w:val="36"/>
          <w:rtl/>
          <w:lang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eastAsia="en-US"/>
        </w:rPr>
        <w:t>وباعتبار المسلك الذي توصّل به إليها</w:t>
      </w:r>
      <w:r w:rsidR="0048366D">
        <w:rPr>
          <w:rFonts w:hint="cs"/>
          <w:sz w:val="20"/>
          <w:szCs w:val="36"/>
          <w:rtl/>
          <w:lang w:eastAsia="en-US"/>
        </w:rPr>
        <w:t>:</w:t>
      </w:r>
      <w:r w:rsidRPr="00EB5FFB">
        <w:rPr>
          <w:rFonts w:hint="cs"/>
          <w:sz w:val="20"/>
          <w:szCs w:val="36"/>
          <w:rtl/>
          <w:lang w:eastAsia="en-US"/>
        </w:rPr>
        <w:t xml:space="preserve"> فإن له في الوصول إليها مسلكين</w:t>
      </w:r>
      <w:r w:rsidR="0048366D">
        <w:rPr>
          <w:rFonts w:hint="cs"/>
          <w:sz w:val="20"/>
          <w:szCs w:val="36"/>
          <w:rtl/>
          <w:lang w:eastAsia="en-US"/>
        </w:rPr>
        <w:t>:</w:t>
      </w:r>
    </w:p>
    <w:p w:rsidR="00EB5FFB" w:rsidRPr="00EB5FFB" w:rsidRDefault="00EB5FFB" w:rsidP="009A68A5">
      <w:pPr>
        <w:widowControl/>
        <w:ind w:left="567" w:firstLine="0"/>
        <w:jc w:val="both"/>
        <w:rPr>
          <w:sz w:val="20"/>
          <w:szCs w:val="36"/>
          <w:rtl/>
          <w:lang w:eastAsia="en-US"/>
        </w:rPr>
      </w:pPr>
      <w:r w:rsidRPr="00EB5FFB">
        <w:rPr>
          <w:rFonts w:hint="cs"/>
          <w:b/>
          <w:bCs/>
          <w:sz w:val="20"/>
          <w:szCs w:val="36"/>
          <w:rtl/>
          <w:lang w:eastAsia="en-US"/>
        </w:rPr>
        <w:t>الأول</w:t>
      </w:r>
      <w:r w:rsidR="0048366D">
        <w:rPr>
          <w:rFonts w:hint="cs"/>
          <w:sz w:val="20"/>
          <w:szCs w:val="36"/>
          <w:rtl/>
          <w:lang w:eastAsia="en-US"/>
        </w:rPr>
        <w:t>:</w:t>
      </w:r>
      <w:r w:rsidRPr="00EB5FFB">
        <w:rPr>
          <w:rFonts w:hint="cs"/>
          <w:sz w:val="20"/>
          <w:szCs w:val="36"/>
          <w:rtl/>
          <w:lang w:eastAsia="en-US"/>
        </w:rPr>
        <w:t xml:space="preserve"> المصادر التي نقل منها بطريق مباشر.</w:t>
      </w:r>
    </w:p>
    <w:p w:rsidR="00EB5FFB" w:rsidRPr="00EB5FFB" w:rsidRDefault="00EB5FFB" w:rsidP="009A68A5">
      <w:pPr>
        <w:widowControl/>
        <w:ind w:left="567" w:firstLine="0"/>
        <w:jc w:val="both"/>
        <w:rPr>
          <w:sz w:val="20"/>
          <w:szCs w:val="36"/>
          <w:rtl/>
          <w:lang w:eastAsia="en-US"/>
        </w:rPr>
      </w:pPr>
      <w:r w:rsidRPr="00EB5FFB">
        <w:rPr>
          <w:rFonts w:hint="cs"/>
          <w:b/>
          <w:bCs/>
          <w:sz w:val="20"/>
          <w:szCs w:val="36"/>
          <w:rtl/>
          <w:lang w:eastAsia="en-US"/>
        </w:rPr>
        <w:t>الثاني</w:t>
      </w:r>
      <w:r w:rsidR="0048366D">
        <w:rPr>
          <w:rFonts w:hint="cs"/>
          <w:sz w:val="20"/>
          <w:szCs w:val="36"/>
          <w:rtl/>
          <w:lang w:eastAsia="en-US"/>
        </w:rPr>
        <w:t>:</w:t>
      </w:r>
      <w:r w:rsidRPr="00EB5FFB">
        <w:rPr>
          <w:rFonts w:hint="cs"/>
          <w:sz w:val="20"/>
          <w:szCs w:val="36"/>
          <w:rtl/>
          <w:lang w:eastAsia="en-US"/>
        </w:rPr>
        <w:t xml:space="preserve"> المصادر التي نقل منها بواسطة كتاب آخر.</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ويصعب حصر مصادره في كل نوع منهما، لكن يمكن أن يقال</w:t>
      </w:r>
      <w:r w:rsidR="0048366D">
        <w:rPr>
          <w:rFonts w:hint="cs"/>
          <w:sz w:val="20"/>
          <w:szCs w:val="36"/>
          <w:rtl/>
          <w:lang w:val="en-GB" w:eastAsia="en-US"/>
        </w:rPr>
        <w:t>:</w:t>
      </w:r>
      <w:r w:rsidRPr="00EB5FFB">
        <w:rPr>
          <w:rFonts w:hint="cs"/>
          <w:sz w:val="20"/>
          <w:szCs w:val="36"/>
          <w:rtl/>
          <w:lang w:val="en-GB" w:eastAsia="en-US"/>
        </w:rPr>
        <w:t xml:space="preserve"> إن مصادره الرئيسة غالبًا ما كان يستفيد منها مباشرة، كما أن المصادر الأخر غالبًا ما كان يستفيد منها بواسطة أحد المصادر الرئيسة.</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وهذا ليس بمطّرد؛ لأن (العناية) مثلاً من مصادره الرئيسة، ومع ذلك فإنه في حالات قليلة كان يستفيد منها بواسطة (الدّرر)، أو أشباه ابن نجيم</w:t>
      </w:r>
      <w:r w:rsidRPr="00EB5FFB">
        <w:rPr>
          <w:rFonts w:hint="cs"/>
          <w:sz w:val="20"/>
          <w:szCs w:val="36"/>
          <w:vertAlign w:val="superscript"/>
          <w:rtl/>
          <w:lang w:val="en-GB" w:eastAsia="en-US"/>
        </w:rPr>
        <w:t>(</w:t>
      </w:r>
      <w:r w:rsidRPr="00EB5FFB">
        <w:rPr>
          <w:bCs/>
          <w:sz w:val="20"/>
          <w:szCs w:val="32"/>
          <w:vertAlign w:val="superscript"/>
          <w:lang w:val="en-GB" w:eastAsia="en-US"/>
        </w:rPr>
        <w:footnoteReference w:id="23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pacing w:val="-4"/>
          <w:sz w:val="20"/>
          <w:szCs w:val="36"/>
          <w:rtl/>
          <w:lang w:val="en-GB" w:eastAsia="en-US"/>
        </w:rPr>
      </w:pPr>
      <w:r w:rsidRPr="00EB5FFB">
        <w:rPr>
          <w:rFonts w:hint="cs"/>
          <w:spacing w:val="-4"/>
          <w:sz w:val="20"/>
          <w:szCs w:val="36"/>
          <w:rtl/>
          <w:lang w:val="en-GB" w:eastAsia="en-US"/>
        </w:rPr>
        <w:t>كما أن (الكافي) مثلاً: من مصادره الثانوية، واستفاد منه مباشرة في القاعدة رقم 82، وما جاء في التعليق عليها. وكذلك (الكفاية) استفاد منها مباشرة في القاعدة رقم 193.</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وباعتبار التصريح بها</w:t>
      </w:r>
      <w:r w:rsidR="0048366D">
        <w:rPr>
          <w:rFonts w:hint="cs"/>
          <w:sz w:val="20"/>
          <w:szCs w:val="36"/>
          <w:rtl/>
          <w:lang w:val="en-GB" w:eastAsia="en-US"/>
        </w:rPr>
        <w:t>:</w:t>
      </w:r>
      <w:r w:rsidRPr="00EB5FFB">
        <w:rPr>
          <w:rFonts w:hint="cs"/>
          <w:sz w:val="20"/>
          <w:szCs w:val="36"/>
          <w:rtl/>
          <w:lang w:val="en-GB" w:eastAsia="en-US"/>
        </w:rPr>
        <w:t xml:space="preserve"> فإن له في ذلك مسلكين</w:t>
      </w:r>
      <w:r w:rsidR="0048366D">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rFonts w:hint="cs"/>
          <w:b/>
          <w:bCs/>
          <w:sz w:val="20"/>
          <w:szCs w:val="36"/>
          <w:rtl/>
          <w:lang w:val="en-GB" w:eastAsia="en-US"/>
        </w:rPr>
        <w:t>الأول</w:t>
      </w:r>
      <w:r w:rsidR="0048366D">
        <w:rPr>
          <w:rFonts w:hint="cs"/>
          <w:sz w:val="20"/>
          <w:szCs w:val="36"/>
          <w:rtl/>
          <w:lang w:val="en-GB" w:eastAsia="en-US"/>
        </w:rPr>
        <w:t>:</w:t>
      </w:r>
      <w:r w:rsidRPr="00EB5FFB">
        <w:rPr>
          <w:rFonts w:hint="cs"/>
          <w:sz w:val="20"/>
          <w:szCs w:val="36"/>
          <w:rtl/>
          <w:lang w:val="en-GB" w:eastAsia="en-US"/>
        </w:rPr>
        <w:t xml:space="preserve"> التصريح بالمصدر الذي استفاد منه.</w:t>
      </w:r>
    </w:p>
    <w:p w:rsidR="00EB5FFB" w:rsidRPr="00EB5FFB" w:rsidRDefault="00EB5FFB" w:rsidP="009A68A5">
      <w:pPr>
        <w:widowControl/>
        <w:ind w:left="567" w:firstLine="0"/>
        <w:jc w:val="both"/>
        <w:rPr>
          <w:sz w:val="20"/>
          <w:szCs w:val="36"/>
          <w:rtl/>
          <w:lang w:val="en-GB" w:eastAsia="en-US"/>
        </w:rPr>
      </w:pPr>
      <w:r w:rsidRPr="00EB5FFB">
        <w:rPr>
          <w:rFonts w:hint="cs"/>
          <w:b/>
          <w:bCs/>
          <w:sz w:val="20"/>
          <w:szCs w:val="36"/>
          <w:rtl/>
          <w:lang w:val="en-GB" w:eastAsia="en-US"/>
        </w:rPr>
        <w:t>الثاني</w:t>
      </w:r>
      <w:r w:rsidR="0048366D">
        <w:rPr>
          <w:rFonts w:hint="cs"/>
          <w:sz w:val="20"/>
          <w:szCs w:val="36"/>
          <w:rtl/>
          <w:lang w:val="en-GB" w:eastAsia="en-US"/>
        </w:rPr>
        <w:t>:</w:t>
      </w:r>
      <w:r w:rsidRPr="00EB5FFB">
        <w:rPr>
          <w:rFonts w:hint="cs"/>
          <w:sz w:val="20"/>
          <w:szCs w:val="36"/>
          <w:rtl/>
          <w:lang w:val="en-GB" w:eastAsia="en-US"/>
        </w:rPr>
        <w:t xml:space="preserve"> عدم العزو إلى المصدر مطلقًا، مع تطابق اللفظ بينه وبين المصادر، أو التّقارب الشديد بينهما.</w:t>
      </w:r>
    </w:p>
    <w:p w:rsidR="00EB5FFB" w:rsidRPr="00EB5FFB" w:rsidRDefault="00EB5FFB" w:rsidP="009A68A5">
      <w:pPr>
        <w:widowControl/>
        <w:ind w:left="567" w:firstLine="0"/>
        <w:jc w:val="both"/>
        <w:rPr>
          <w:spacing w:val="-4"/>
          <w:sz w:val="20"/>
          <w:szCs w:val="36"/>
          <w:rtl/>
          <w:lang w:val="en-GB" w:eastAsia="en-US"/>
        </w:rPr>
      </w:pPr>
      <w:r w:rsidRPr="00EB5FFB">
        <w:rPr>
          <w:rFonts w:hint="cs"/>
          <w:spacing w:val="-4"/>
          <w:sz w:val="20"/>
          <w:szCs w:val="36"/>
          <w:rtl/>
          <w:lang w:val="en-GB" w:eastAsia="en-US"/>
        </w:rPr>
        <w:lastRenderedPageBreak/>
        <w:t>وهذان المسلكان ينسحبان على أكثر مصادره</w:t>
      </w:r>
      <w:r w:rsidR="0048366D">
        <w:rPr>
          <w:rFonts w:hint="cs"/>
          <w:spacing w:val="-4"/>
          <w:sz w:val="20"/>
          <w:szCs w:val="36"/>
          <w:rtl/>
          <w:lang w:val="en-GB" w:eastAsia="en-US"/>
        </w:rPr>
        <w:t>:</w:t>
      </w:r>
      <w:r w:rsidRPr="00EB5FFB">
        <w:rPr>
          <w:rFonts w:hint="cs"/>
          <w:spacing w:val="-4"/>
          <w:sz w:val="20"/>
          <w:szCs w:val="36"/>
          <w:rtl/>
          <w:lang w:val="en-GB" w:eastAsia="en-US"/>
        </w:rPr>
        <w:t xml:space="preserve"> فمصادره الرئيسة مثلاً</w:t>
      </w:r>
      <w:r w:rsidR="0048366D">
        <w:rPr>
          <w:rFonts w:hint="cs"/>
          <w:spacing w:val="-4"/>
          <w:sz w:val="20"/>
          <w:szCs w:val="36"/>
          <w:rtl/>
          <w:lang w:val="en-GB" w:eastAsia="en-US"/>
        </w:rPr>
        <w:t>:</w:t>
      </w:r>
      <w:r w:rsidRPr="00EB5FFB">
        <w:rPr>
          <w:rFonts w:hint="cs"/>
          <w:spacing w:val="-4"/>
          <w:sz w:val="20"/>
          <w:szCs w:val="36"/>
          <w:rtl/>
          <w:lang w:val="en-GB" w:eastAsia="en-US"/>
        </w:rPr>
        <w:t xml:space="preserve"> تارة ينقل منها ويعزو إليها، وتارة لا يعزو إليها على الرغم من استفادته منها؛ بل إن (شرح المغني) يعّد مصدره الرئيس في قواعده الأصوليّة، ومع ذلك لم يصّرح به إلا مرة واحدة!.</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وباعتبار طريقته في كيفية النقل منها</w:t>
      </w:r>
      <w:r w:rsidR="0048366D">
        <w:rPr>
          <w:rFonts w:hint="cs"/>
          <w:sz w:val="20"/>
          <w:szCs w:val="36"/>
          <w:rtl/>
          <w:lang w:val="en-GB" w:eastAsia="en-US"/>
        </w:rPr>
        <w:t>:</w:t>
      </w:r>
      <w:r w:rsidRPr="00EB5FFB">
        <w:rPr>
          <w:rFonts w:hint="cs"/>
          <w:sz w:val="20"/>
          <w:szCs w:val="36"/>
          <w:rtl/>
          <w:lang w:val="en-GB" w:eastAsia="en-US"/>
        </w:rPr>
        <w:t xml:space="preserve"> فتارة ينقل منها باللفظ نفسه، وتارة بنحوه، وتارة بمعناه.</w:t>
      </w:r>
    </w:p>
    <w:p w:rsidR="00EB5FFB" w:rsidRPr="00EB5FFB" w:rsidRDefault="00EB5FFB" w:rsidP="009A68A5">
      <w:pPr>
        <w:widowControl/>
        <w:ind w:left="567" w:firstLine="0"/>
        <w:jc w:val="both"/>
        <w:rPr>
          <w:sz w:val="20"/>
          <w:szCs w:val="36"/>
          <w:rtl/>
          <w:lang w:val="en-GB" w:eastAsia="en-US"/>
        </w:rPr>
      </w:pPr>
      <w:r w:rsidRPr="00EB5FFB">
        <w:rPr>
          <w:rFonts w:hint="cs"/>
          <w:sz w:val="20"/>
          <w:szCs w:val="36"/>
          <w:rtl/>
          <w:lang w:val="en-GB" w:eastAsia="en-US"/>
        </w:rPr>
        <w:t>وقد سبق بيان ذلك مفصلاً في منهج المؤلف، كما تمّ بيان طريقته في العزو إليها</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3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EB5FFB" w:rsidRPr="00EB5FFB" w:rsidRDefault="00EB5FFB" w:rsidP="009A68A5">
      <w:pPr>
        <w:widowControl/>
        <w:ind w:left="567" w:firstLine="0"/>
        <w:jc w:val="both"/>
        <w:rPr>
          <w:sz w:val="20"/>
          <w:szCs w:val="36"/>
          <w:rtl/>
          <w:lang w:val="en-GB" w:eastAsia="en-US"/>
        </w:rPr>
      </w:pPr>
    </w:p>
    <w:p w:rsidR="007A484A" w:rsidRDefault="007A484A" w:rsidP="009A68A5">
      <w:pPr>
        <w:widowControl/>
        <w:bidi w:val="0"/>
        <w:spacing w:after="160" w:line="259" w:lineRule="auto"/>
        <w:ind w:firstLine="0"/>
        <w:jc w:val="both"/>
        <w:rPr>
          <w:rFonts w:cs="Monotype Koufi"/>
          <w:sz w:val="20"/>
          <w:szCs w:val="36"/>
          <w:rtl/>
          <w:lang w:eastAsia="en-US"/>
        </w:rPr>
      </w:pPr>
      <w:r>
        <w:rPr>
          <w:rFonts w:cs="Monotype Koufi"/>
          <w:sz w:val="20"/>
          <w:szCs w:val="36"/>
          <w:rtl/>
          <w:lang w:eastAsia="en-US"/>
        </w:rPr>
        <w:br w:type="page"/>
      </w:r>
    </w:p>
    <w:p w:rsidR="00EB5FFB" w:rsidRPr="00EB5FFB" w:rsidRDefault="00EB5FFB" w:rsidP="009A68A5">
      <w:pPr>
        <w:widowControl/>
        <w:ind w:firstLine="567"/>
        <w:jc w:val="both"/>
        <w:rPr>
          <w:rFonts w:cs="Monotype Koufi"/>
          <w:sz w:val="20"/>
          <w:szCs w:val="36"/>
          <w:rtl/>
          <w:lang w:eastAsia="en-US"/>
        </w:rPr>
      </w:pPr>
      <w:r w:rsidRPr="00EB5FFB">
        <w:rPr>
          <w:rFonts w:cs="Monotype Koufi" w:hint="cs"/>
          <w:sz w:val="20"/>
          <w:szCs w:val="36"/>
          <w:rtl/>
          <w:lang w:eastAsia="en-US"/>
        </w:rPr>
        <w:lastRenderedPageBreak/>
        <w:t>المبحث الخامس</w:t>
      </w:r>
      <w:r w:rsidR="0048366D">
        <w:rPr>
          <w:rFonts w:cs="Monotype Koufi" w:hint="cs"/>
          <w:sz w:val="20"/>
          <w:szCs w:val="36"/>
          <w:rtl/>
          <w:lang w:eastAsia="en-US"/>
        </w:rPr>
        <w:t>:</w:t>
      </w:r>
      <w:r w:rsidRPr="00EB5FFB">
        <w:rPr>
          <w:rFonts w:cs="Monotype Koufi" w:hint="cs"/>
          <w:sz w:val="20"/>
          <w:szCs w:val="36"/>
          <w:rtl/>
          <w:lang w:eastAsia="en-US"/>
        </w:rPr>
        <w:t xml:space="preserve"> من استفاد منه</w:t>
      </w:r>
      <w:r w:rsidR="0048366D">
        <w:rPr>
          <w:rFonts w:cs="Monotype Koufi" w:hint="cs"/>
          <w:sz w:val="20"/>
          <w:szCs w:val="36"/>
          <w:rtl/>
          <w:lang w:eastAsia="en-US"/>
        </w:rPr>
        <w:t>:</w:t>
      </w:r>
    </w:p>
    <w:p w:rsidR="00EB5FFB" w:rsidRPr="00EB5FFB" w:rsidRDefault="00EB5FFB" w:rsidP="009A68A5">
      <w:pPr>
        <w:keepNext/>
        <w:widowControl/>
        <w:ind w:firstLine="567"/>
        <w:jc w:val="both"/>
        <w:outlineLvl w:val="0"/>
        <w:rPr>
          <w:b/>
          <w:bCs/>
          <w:sz w:val="20"/>
          <w:szCs w:val="36"/>
          <w:rtl/>
          <w:lang w:val="en-GB" w:eastAsia="en-US"/>
        </w:rPr>
      </w:pPr>
      <w:r w:rsidRPr="00EB5FFB">
        <w:rPr>
          <w:rFonts w:hint="cs"/>
          <w:b/>
          <w:bCs/>
          <w:sz w:val="20"/>
          <w:szCs w:val="36"/>
          <w:rtl/>
          <w:lang w:val="en-GB" w:eastAsia="en-US"/>
        </w:rPr>
        <w:t xml:space="preserve">فـي الـزوايـا خـبـايـا          </w:t>
      </w:r>
      <w:r w:rsidRPr="00EB5FFB">
        <w:rPr>
          <w:rFonts w:hint="cs"/>
          <w:b/>
          <w:bCs/>
          <w:sz w:val="20"/>
          <w:szCs w:val="36"/>
          <w:rtl/>
          <w:lang w:val="en-GB" w:eastAsia="en-US"/>
        </w:rPr>
        <w:tab/>
        <w:t>وفـي الـرجـال بـقـايـا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هذا البيت ورد على غلاف إحدى النسخ الخطية للكتاب - وهي نسخة (هـ) -، وكأنّ المقصود من إيراده وصفُ حال الكتاب</w:t>
      </w:r>
      <w:r w:rsidR="0048366D">
        <w:rPr>
          <w:rFonts w:hint="cs"/>
          <w:sz w:val="20"/>
          <w:szCs w:val="36"/>
          <w:rtl/>
          <w:lang w:val="en-GB" w:eastAsia="en-US"/>
        </w:rPr>
        <w:t>:</w:t>
      </w:r>
      <w:r w:rsidRPr="00EB5FFB">
        <w:rPr>
          <w:rFonts w:hint="cs"/>
          <w:sz w:val="20"/>
          <w:szCs w:val="36"/>
          <w:rtl/>
          <w:lang w:val="en-GB" w:eastAsia="en-US"/>
        </w:rPr>
        <w:t xml:space="preserve"> فهو كالكنز المنسيّ في زاوية من زوايا البيت المتروكة التي لا يُظنُّ أنّ فيها شيئًا، ومؤلفه يُعدّ من بقية العلماء المغمورين الذين لم ينالوا حظًّا من الشهرة.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وهذا المعنى مطابق لواقع</w:t>
      </w:r>
      <w:r w:rsidRPr="00EB5FFB">
        <w:rPr>
          <w:rFonts w:hint="cs"/>
          <w:sz w:val="20"/>
          <w:szCs w:val="36"/>
          <w:rtl/>
          <w:lang w:val="en-GB" w:eastAsia="en-US" w:bidi="ar-AE"/>
        </w:rPr>
        <w:t xml:space="preserve"> الكتاب ومؤلفه؛ فعلى الرغم من قيمة الكتاب العلمية إلاّ أنّي لم أجد له ذكرًا في الكتب المتأخرة عن المؤلف، حيث بذلت جهدي في البحث عنه في كثير من كتب الفقه الحنفي وقواعده وأصوله المتأخرة عن المؤلف إلا أني لم اهتدِ إلى التصريح به والعزو إليه.</w:t>
      </w:r>
    </w:p>
    <w:p w:rsidR="00EB5FFB" w:rsidRPr="00EB5FFB" w:rsidRDefault="00EB5FFB" w:rsidP="009A68A5">
      <w:pPr>
        <w:widowControl/>
        <w:ind w:firstLine="567"/>
        <w:jc w:val="both"/>
        <w:rPr>
          <w:b/>
          <w:bCs/>
          <w:spacing w:val="-10"/>
          <w:sz w:val="34"/>
          <w:szCs w:val="34"/>
          <w:rtl/>
          <w:lang w:val="en-GB" w:eastAsia="en-US" w:bidi="ar-AE"/>
        </w:rPr>
      </w:pPr>
      <w:r w:rsidRPr="00EB5FFB">
        <w:rPr>
          <w:rFonts w:hint="cs"/>
          <w:b/>
          <w:bCs/>
          <w:spacing w:val="-10"/>
          <w:sz w:val="34"/>
          <w:szCs w:val="34"/>
          <w:rtl/>
          <w:lang w:val="en-GB" w:eastAsia="en-US" w:bidi="ar-AE"/>
        </w:rPr>
        <w:t>لكن بالمقارنة بينه وبين أحد أهم كتب قواعد الحنفية المتأخرة عنه تبيّن أنه استفاد من ناظرزاده استفادة لاشك فيها. وهذا الكتاب هو</w:t>
      </w:r>
      <w:r w:rsidR="0048366D">
        <w:rPr>
          <w:rFonts w:hint="cs"/>
          <w:b/>
          <w:bCs/>
          <w:spacing w:val="-10"/>
          <w:sz w:val="34"/>
          <w:szCs w:val="34"/>
          <w:rtl/>
          <w:lang w:val="en-GB" w:eastAsia="en-US" w:bidi="ar-AE"/>
        </w:rPr>
        <w:t>:</w:t>
      </w:r>
      <w:r w:rsidRPr="00EB5FFB">
        <w:rPr>
          <w:rFonts w:hint="cs"/>
          <w:b/>
          <w:bCs/>
          <w:spacing w:val="-10"/>
          <w:sz w:val="34"/>
          <w:szCs w:val="34"/>
          <w:rtl/>
          <w:lang w:val="en-GB" w:eastAsia="en-US" w:bidi="ar-AE"/>
        </w:rPr>
        <w:t xml:space="preserve"> (مجامع الحقائق) لأبي سعيد الخادمي (ت1176هـ).</w:t>
      </w:r>
    </w:p>
    <w:p w:rsidR="00EB5FFB" w:rsidRPr="00EB5FFB" w:rsidRDefault="00EB5FFB" w:rsidP="009A68A5">
      <w:pPr>
        <w:widowControl/>
        <w:ind w:firstLine="567"/>
        <w:jc w:val="both"/>
        <w:rPr>
          <w:spacing w:val="-6"/>
          <w:sz w:val="20"/>
          <w:szCs w:val="36"/>
          <w:rtl/>
          <w:lang w:val="en-GB" w:eastAsia="en-US" w:bidi="ar-AE"/>
        </w:rPr>
      </w:pPr>
      <w:r w:rsidRPr="00EB5FFB">
        <w:rPr>
          <w:rFonts w:hint="cs"/>
          <w:spacing w:val="-6"/>
          <w:sz w:val="20"/>
          <w:szCs w:val="36"/>
          <w:rtl/>
          <w:lang w:val="en-GB" w:eastAsia="en-US" w:bidi="ar-AE"/>
        </w:rPr>
        <w:t xml:space="preserve">وكتاب الخادمي </w:t>
      </w:r>
      <w:r w:rsidRPr="00EB5FFB">
        <w:rPr>
          <w:spacing w:val="-6"/>
          <w:sz w:val="20"/>
          <w:szCs w:val="36"/>
          <w:rtl/>
          <w:lang w:val="en-GB" w:eastAsia="en-US" w:bidi="ar-AE"/>
        </w:rPr>
        <w:t>–</w:t>
      </w:r>
      <w:r w:rsidRPr="00EB5FFB">
        <w:rPr>
          <w:rFonts w:hint="cs"/>
          <w:spacing w:val="-6"/>
          <w:sz w:val="20"/>
          <w:szCs w:val="36"/>
          <w:rtl/>
          <w:lang w:val="en-GB" w:eastAsia="en-US" w:bidi="ar-AE"/>
        </w:rPr>
        <w:t xml:space="preserve"> وإن كان متنًا في أصول الفقه، إلا أنه ختمه بقواعد فقهية مهمّة بـلغت (154) قاعدة، وبالمقارنة بين قواعد الخادمي وما نقل عنه من تعليق على بعضها من جهة، وكتاب (ترتيب اللآلي)، وما أضيف إليه من قواعد في نسخة (هـ) من جهة أخرى</w:t>
      </w:r>
      <w:r w:rsidR="0048366D">
        <w:rPr>
          <w:rFonts w:hint="cs"/>
          <w:spacing w:val="-6"/>
          <w:sz w:val="20"/>
          <w:szCs w:val="36"/>
          <w:rtl/>
          <w:lang w:val="en-GB" w:eastAsia="en-US" w:bidi="ar-AE"/>
        </w:rPr>
        <w:t>:</w:t>
      </w:r>
      <w:r w:rsidRPr="00EB5FFB">
        <w:rPr>
          <w:rFonts w:hint="cs"/>
          <w:spacing w:val="-6"/>
          <w:sz w:val="20"/>
          <w:szCs w:val="36"/>
          <w:rtl/>
          <w:lang w:val="en-GB" w:eastAsia="en-US" w:bidi="ar-AE"/>
        </w:rPr>
        <w:t xml:space="preserve"> يُلحظ أنه المصدر الرئيس لقواعد الخادمي؛ بل إن إسهام الخادمي في قواعده يكاد ينحصر في انتقائها من كتاب ناظرزاده، وتنقيح كثير منها من القواعد الأصولية والضوابط الفقهية، واختصار ألفاظ بعضها، مع إضافة بعض القواعد التي لم يذكرها ناظرزاده.</w:t>
      </w:r>
    </w:p>
    <w:p w:rsidR="00EB5FFB" w:rsidRPr="00EB5FFB" w:rsidRDefault="00EB5FFB" w:rsidP="009A68A5">
      <w:pPr>
        <w:widowControl/>
        <w:ind w:firstLine="567"/>
        <w:jc w:val="both"/>
        <w:rPr>
          <w:b/>
          <w:bCs/>
          <w:sz w:val="20"/>
          <w:szCs w:val="36"/>
          <w:rtl/>
          <w:lang w:val="en-GB" w:eastAsia="en-US" w:bidi="ar-AE"/>
        </w:rPr>
      </w:pPr>
      <w:r w:rsidRPr="00EB5FFB">
        <w:rPr>
          <w:rFonts w:hint="cs"/>
          <w:b/>
          <w:bCs/>
          <w:sz w:val="20"/>
          <w:szCs w:val="36"/>
          <w:rtl/>
          <w:lang w:val="en-GB" w:eastAsia="en-US" w:bidi="ar-AE"/>
        </w:rPr>
        <w:t>ويدّل على هذا أمور، منها</w:t>
      </w:r>
      <w:r w:rsidR="0048366D">
        <w:rPr>
          <w:rFonts w:hint="cs"/>
          <w:b/>
          <w:bCs/>
          <w:sz w:val="20"/>
          <w:szCs w:val="36"/>
          <w:rtl/>
          <w:lang w:val="en-GB" w:eastAsia="en-US" w:bidi="ar-AE"/>
        </w:rPr>
        <w:t>:</w:t>
      </w:r>
    </w:p>
    <w:p w:rsidR="00EB5FFB" w:rsidRPr="00EB5FFB" w:rsidRDefault="00EB5FFB" w:rsidP="009A68A5">
      <w:pPr>
        <w:widowControl/>
        <w:ind w:firstLine="567"/>
        <w:jc w:val="both"/>
        <w:rPr>
          <w:spacing w:val="-6"/>
          <w:sz w:val="20"/>
          <w:szCs w:val="36"/>
          <w:rtl/>
          <w:lang w:val="en-GB" w:eastAsia="en-US" w:bidi="ar-AE"/>
        </w:rPr>
      </w:pPr>
      <w:r w:rsidRPr="00EB5FFB">
        <w:rPr>
          <w:rFonts w:hint="cs"/>
          <w:b/>
          <w:bCs/>
          <w:spacing w:val="-6"/>
          <w:sz w:val="20"/>
          <w:szCs w:val="36"/>
          <w:rtl/>
          <w:lang w:val="en-GB" w:eastAsia="en-US" w:bidi="ar-AE"/>
        </w:rPr>
        <w:t>أ</w:t>
      </w:r>
      <w:r w:rsidRPr="00EB5FFB">
        <w:rPr>
          <w:rFonts w:hint="cs"/>
          <w:spacing w:val="-6"/>
          <w:sz w:val="20"/>
          <w:szCs w:val="36"/>
          <w:rtl/>
          <w:lang w:val="en-GB" w:eastAsia="en-US" w:bidi="ar-AE"/>
        </w:rPr>
        <w:t xml:space="preserve"> </w:t>
      </w:r>
      <w:r w:rsidRPr="00EB5FFB">
        <w:rPr>
          <w:rFonts w:hint="cs"/>
          <w:b/>
          <w:bCs/>
          <w:spacing w:val="-6"/>
          <w:sz w:val="20"/>
          <w:szCs w:val="36"/>
          <w:rtl/>
          <w:lang w:val="en-GB" w:eastAsia="en-US" w:bidi="ar-AE"/>
        </w:rPr>
        <w:t>-</w:t>
      </w:r>
      <w:r w:rsidRPr="00EB5FFB">
        <w:rPr>
          <w:rFonts w:hint="cs"/>
          <w:spacing w:val="-6"/>
          <w:sz w:val="20"/>
          <w:szCs w:val="36"/>
          <w:rtl/>
          <w:lang w:val="en-GB" w:eastAsia="en-US" w:bidi="ar-AE"/>
        </w:rPr>
        <w:t xml:space="preserve"> موافقة الخادمي لناظرزاده في ترتيب قواعده، حيث بدأ قواعده بحرف (الألف)، وذكر تحته القواعد التي تبدأ بهذا الحرف، ثم انتقل إلى الباء</w:t>
      </w:r>
      <w:r w:rsidR="0048366D">
        <w:rPr>
          <w:rFonts w:hint="cs"/>
          <w:spacing w:val="-6"/>
          <w:sz w:val="20"/>
          <w:szCs w:val="36"/>
          <w:rtl/>
          <w:lang w:val="en-GB" w:eastAsia="en-US" w:bidi="ar-AE"/>
        </w:rPr>
        <w:t>.</w:t>
      </w:r>
      <w:r w:rsidRPr="00EB5FFB">
        <w:rPr>
          <w:rFonts w:hint="cs"/>
          <w:spacing w:val="-6"/>
          <w:sz w:val="20"/>
          <w:szCs w:val="36"/>
          <w:rtl/>
          <w:lang w:val="en-GB" w:eastAsia="en-US" w:bidi="ar-AE"/>
        </w:rPr>
        <w:t>.. وهكذا</w:t>
      </w:r>
      <w:r w:rsidR="0048366D">
        <w:rPr>
          <w:rFonts w:hint="cs"/>
          <w:spacing w:val="-6"/>
          <w:sz w:val="20"/>
          <w:szCs w:val="36"/>
          <w:rtl/>
          <w:lang w:val="en-GB" w:eastAsia="en-US" w:bidi="ar-AE"/>
        </w:rPr>
        <w:t>.</w:t>
      </w:r>
      <w:r w:rsidRPr="00EB5FFB">
        <w:rPr>
          <w:rFonts w:hint="cs"/>
          <w:spacing w:val="-6"/>
          <w:sz w:val="20"/>
          <w:szCs w:val="36"/>
          <w:rtl/>
          <w:lang w:val="en-GB" w:eastAsia="en-US" w:bidi="ar-AE"/>
        </w:rPr>
        <w:t xml:space="preserve"> كما فعل ناظرزاده.</w:t>
      </w:r>
    </w:p>
    <w:p w:rsidR="00EB5FFB" w:rsidRPr="00EB5FFB" w:rsidRDefault="00EB5FFB" w:rsidP="009A68A5">
      <w:pPr>
        <w:widowControl/>
        <w:ind w:firstLine="567"/>
        <w:jc w:val="both"/>
        <w:rPr>
          <w:b/>
          <w:bCs/>
          <w:sz w:val="20"/>
          <w:szCs w:val="36"/>
          <w:rtl/>
          <w:lang w:val="en-GB" w:eastAsia="en-US" w:bidi="ar-AE"/>
        </w:rPr>
      </w:pPr>
      <w:r w:rsidRPr="00EB5FFB">
        <w:rPr>
          <w:rFonts w:hint="cs"/>
          <w:b/>
          <w:bCs/>
          <w:sz w:val="20"/>
          <w:szCs w:val="36"/>
          <w:rtl/>
          <w:lang w:val="en-GB" w:eastAsia="en-US" w:bidi="ar-AE"/>
        </w:rPr>
        <w:t>ب - أن ثلثي قواعد الخادمي (تقريبًا ) مطابق لقواعد ناظرزاده</w:t>
      </w:r>
      <w:r w:rsidR="0048366D">
        <w:rPr>
          <w:rFonts w:hint="cs"/>
          <w:b/>
          <w:bCs/>
          <w:sz w:val="20"/>
          <w:szCs w:val="36"/>
          <w:rtl/>
          <w:lang w:val="en-GB" w:eastAsia="en-US" w:bidi="ar-AE"/>
        </w:rPr>
        <w:t>!</w:t>
      </w:r>
      <w:r w:rsidRPr="00EB5FFB">
        <w:rPr>
          <w:rFonts w:hint="cs"/>
          <w:b/>
          <w:bCs/>
          <w:sz w:val="20"/>
          <w:szCs w:val="36"/>
          <w:rtl/>
          <w:lang w:val="en-GB" w:eastAsia="en-US" w:bidi="ar-AE"/>
        </w:rPr>
        <w:t>!.</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فقد ذكر الخادمي خمسًا وتسعين قاعدة بلفظ ناظرزاده، أو مثله. وهذه القواعد المتطابقة يمكن إيضاحها وفق الجدول الآتي</w:t>
      </w:r>
      <w:r w:rsidR="0048366D">
        <w:rPr>
          <w:rFonts w:hint="cs"/>
          <w:sz w:val="20"/>
          <w:szCs w:val="36"/>
          <w:rtl/>
          <w:lang w:val="en-GB" w:eastAsia="en-US" w:bidi="ar-AE"/>
        </w:rPr>
        <w:t>:</w:t>
      </w:r>
    </w:p>
    <w:p w:rsidR="00EB5FFB" w:rsidRPr="00EB5FFB" w:rsidRDefault="00EB5FFB" w:rsidP="009A68A5">
      <w:pPr>
        <w:widowControl/>
        <w:ind w:firstLine="567"/>
        <w:jc w:val="both"/>
        <w:rPr>
          <w:sz w:val="20"/>
          <w:szCs w:val="36"/>
          <w:rtl/>
          <w:lang w:val="en-GB" w:eastAsia="en-US"/>
        </w:rPr>
      </w:pPr>
      <w:r w:rsidRPr="00EB5FFB">
        <w:rPr>
          <w:sz w:val="20"/>
          <w:szCs w:val="36"/>
          <w:rtl/>
          <w:lang w:val="en-GB" w:eastAsia="en-US" w:bidi="ar-AE"/>
        </w:rPr>
        <w:br w:type="page"/>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5"/>
        <w:gridCol w:w="879"/>
        <w:gridCol w:w="781"/>
        <w:gridCol w:w="504"/>
        <w:gridCol w:w="826"/>
        <w:gridCol w:w="781"/>
        <w:gridCol w:w="504"/>
        <w:gridCol w:w="826"/>
        <w:gridCol w:w="781"/>
        <w:gridCol w:w="504"/>
        <w:gridCol w:w="826"/>
        <w:gridCol w:w="781"/>
      </w:tblGrid>
      <w:tr w:rsidR="00EB5FFB" w:rsidRPr="00EB5FFB" w:rsidTr="00EB5FFB">
        <w:trPr>
          <w:cantSplit/>
        </w:trPr>
        <w:tc>
          <w:tcPr>
            <w:tcW w:w="495" w:type="dxa"/>
            <w:vMerge w:val="restart"/>
          </w:tcPr>
          <w:p w:rsidR="00EB5FFB" w:rsidRPr="00EB5FFB" w:rsidRDefault="00EB5FFB" w:rsidP="009A68A5">
            <w:pPr>
              <w:widowControl/>
              <w:ind w:firstLine="0"/>
              <w:jc w:val="both"/>
              <w:rPr>
                <w:sz w:val="28"/>
                <w:szCs w:val="28"/>
                <w:rtl/>
                <w:lang w:val="en-GB" w:eastAsia="en-US" w:bidi="ar-AE"/>
              </w:rPr>
            </w:pPr>
          </w:p>
          <w:p w:rsidR="00EB5FFB" w:rsidRPr="00EB5FFB" w:rsidRDefault="00EB5FFB" w:rsidP="009A68A5">
            <w:pPr>
              <w:widowControl/>
              <w:ind w:firstLine="0"/>
              <w:jc w:val="both"/>
              <w:rPr>
                <w:sz w:val="28"/>
                <w:szCs w:val="28"/>
                <w:rtl/>
                <w:lang w:val="en-GB" w:eastAsia="en-US" w:bidi="ar-AE"/>
              </w:rPr>
            </w:pPr>
            <w:r w:rsidRPr="00EB5FFB">
              <w:rPr>
                <w:rFonts w:hint="cs"/>
                <w:sz w:val="28"/>
                <w:szCs w:val="28"/>
                <w:rtl/>
                <w:lang w:val="en-GB" w:eastAsia="en-US" w:bidi="ar-AE"/>
              </w:rPr>
              <w:t>م</w:t>
            </w:r>
          </w:p>
          <w:p w:rsidR="00EB5FFB" w:rsidRPr="00EB5FFB" w:rsidRDefault="00EB5FFB" w:rsidP="009A68A5">
            <w:pPr>
              <w:widowControl/>
              <w:ind w:firstLine="0"/>
              <w:jc w:val="both"/>
              <w:rPr>
                <w:sz w:val="28"/>
                <w:szCs w:val="28"/>
                <w:lang w:val="en-GB" w:eastAsia="en-US" w:bidi="ar-AE"/>
              </w:rPr>
            </w:pPr>
          </w:p>
        </w:tc>
        <w:tc>
          <w:tcPr>
            <w:tcW w:w="1646" w:type="dxa"/>
            <w:gridSpan w:val="2"/>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 القاعدة</w:t>
            </w:r>
          </w:p>
        </w:tc>
        <w:tc>
          <w:tcPr>
            <w:tcW w:w="506" w:type="dxa"/>
            <w:vMerge w:val="restart"/>
          </w:tcPr>
          <w:p w:rsidR="00EB5FFB" w:rsidRPr="00EB5FFB" w:rsidRDefault="00EB5FFB" w:rsidP="009A68A5">
            <w:pPr>
              <w:widowControl/>
              <w:ind w:firstLine="0"/>
              <w:jc w:val="both"/>
              <w:rPr>
                <w:b/>
                <w:bCs/>
                <w:sz w:val="28"/>
                <w:szCs w:val="28"/>
                <w:rtl/>
                <w:lang w:val="en-GB" w:eastAsia="en-US" w:bidi="ar-AE"/>
              </w:rPr>
            </w:pPr>
          </w:p>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م</w:t>
            </w:r>
          </w:p>
        </w:tc>
        <w:tc>
          <w:tcPr>
            <w:tcW w:w="1592" w:type="dxa"/>
            <w:gridSpan w:val="2"/>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 القاعدة</w:t>
            </w:r>
          </w:p>
        </w:tc>
        <w:tc>
          <w:tcPr>
            <w:tcW w:w="506" w:type="dxa"/>
            <w:vMerge w:val="restart"/>
          </w:tcPr>
          <w:p w:rsidR="00EB5FFB" w:rsidRPr="00EB5FFB" w:rsidRDefault="00EB5FFB" w:rsidP="009A68A5">
            <w:pPr>
              <w:widowControl/>
              <w:ind w:firstLine="0"/>
              <w:jc w:val="both"/>
              <w:rPr>
                <w:b/>
                <w:bCs/>
                <w:sz w:val="28"/>
                <w:szCs w:val="28"/>
                <w:rtl/>
                <w:lang w:val="en-GB" w:eastAsia="en-US" w:bidi="ar-AE"/>
              </w:rPr>
            </w:pPr>
          </w:p>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م</w:t>
            </w:r>
          </w:p>
        </w:tc>
        <w:tc>
          <w:tcPr>
            <w:tcW w:w="1592" w:type="dxa"/>
            <w:gridSpan w:val="2"/>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 القاعدة</w:t>
            </w:r>
          </w:p>
        </w:tc>
        <w:tc>
          <w:tcPr>
            <w:tcW w:w="506" w:type="dxa"/>
            <w:vMerge w:val="restart"/>
          </w:tcPr>
          <w:p w:rsidR="00EB5FFB" w:rsidRPr="00EB5FFB" w:rsidRDefault="00EB5FFB" w:rsidP="009A68A5">
            <w:pPr>
              <w:widowControl/>
              <w:ind w:firstLine="0"/>
              <w:jc w:val="both"/>
              <w:rPr>
                <w:b/>
                <w:bCs/>
                <w:sz w:val="28"/>
                <w:szCs w:val="28"/>
                <w:rtl/>
                <w:lang w:val="en-GB" w:eastAsia="en-US"/>
              </w:rPr>
            </w:pPr>
          </w:p>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rPr>
              <w:t>م</w:t>
            </w:r>
          </w:p>
        </w:tc>
        <w:tc>
          <w:tcPr>
            <w:tcW w:w="1593" w:type="dxa"/>
            <w:gridSpan w:val="2"/>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 القاعدة</w:t>
            </w:r>
          </w:p>
        </w:tc>
      </w:tr>
      <w:tr w:rsidR="00EB5FFB" w:rsidRPr="00EB5FFB" w:rsidTr="00EB5FFB">
        <w:trPr>
          <w:cantSplit/>
        </w:trPr>
        <w:tc>
          <w:tcPr>
            <w:tcW w:w="495" w:type="dxa"/>
            <w:vMerge/>
          </w:tcPr>
          <w:p w:rsidR="00EB5FFB" w:rsidRPr="00EB5FFB" w:rsidRDefault="00EB5FFB" w:rsidP="009A68A5">
            <w:pPr>
              <w:widowControl/>
              <w:ind w:firstLine="0"/>
              <w:jc w:val="both"/>
              <w:rPr>
                <w:sz w:val="28"/>
                <w:szCs w:val="28"/>
                <w:lang w:val="en-GB" w:eastAsia="en-US"/>
              </w:rPr>
            </w:pPr>
          </w:p>
        </w:tc>
        <w:tc>
          <w:tcPr>
            <w:tcW w:w="881"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عند ناظرزاده</w:t>
            </w:r>
          </w:p>
        </w:tc>
        <w:tc>
          <w:tcPr>
            <w:tcW w:w="765"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عند الخادمي</w:t>
            </w:r>
          </w:p>
        </w:tc>
        <w:tc>
          <w:tcPr>
            <w:tcW w:w="506" w:type="dxa"/>
            <w:vMerge/>
          </w:tcPr>
          <w:p w:rsidR="00EB5FFB" w:rsidRPr="00EB5FFB" w:rsidRDefault="00EB5FFB" w:rsidP="009A68A5">
            <w:pPr>
              <w:widowControl/>
              <w:ind w:firstLine="0"/>
              <w:jc w:val="both"/>
              <w:rPr>
                <w:b/>
                <w:bCs/>
                <w:sz w:val="28"/>
                <w:szCs w:val="28"/>
                <w:lang w:val="en-GB" w:eastAsia="en-US" w:bidi="ar-AE"/>
              </w:rPr>
            </w:pPr>
          </w:p>
        </w:tc>
        <w:tc>
          <w:tcPr>
            <w:tcW w:w="827"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عند ناظرزاده</w:t>
            </w:r>
          </w:p>
        </w:tc>
        <w:tc>
          <w:tcPr>
            <w:tcW w:w="765"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عند الخادمي</w:t>
            </w:r>
          </w:p>
        </w:tc>
        <w:tc>
          <w:tcPr>
            <w:tcW w:w="506" w:type="dxa"/>
            <w:vMerge/>
          </w:tcPr>
          <w:p w:rsidR="00EB5FFB" w:rsidRPr="00EB5FFB" w:rsidRDefault="00EB5FFB" w:rsidP="009A68A5">
            <w:pPr>
              <w:widowControl/>
              <w:ind w:firstLine="0"/>
              <w:jc w:val="both"/>
              <w:rPr>
                <w:b/>
                <w:bCs/>
                <w:sz w:val="28"/>
                <w:szCs w:val="28"/>
                <w:lang w:val="en-GB" w:eastAsia="en-US"/>
              </w:rPr>
            </w:pPr>
          </w:p>
        </w:tc>
        <w:tc>
          <w:tcPr>
            <w:tcW w:w="827"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عند ناظرزاده</w:t>
            </w:r>
          </w:p>
        </w:tc>
        <w:tc>
          <w:tcPr>
            <w:tcW w:w="765"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عند الخادمي</w:t>
            </w:r>
          </w:p>
        </w:tc>
        <w:tc>
          <w:tcPr>
            <w:tcW w:w="506" w:type="dxa"/>
            <w:vMerge/>
          </w:tcPr>
          <w:p w:rsidR="00EB5FFB" w:rsidRPr="00EB5FFB" w:rsidRDefault="00EB5FFB" w:rsidP="009A68A5">
            <w:pPr>
              <w:widowControl/>
              <w:ind w:firstLine="0"/>
              <w:jc w:val="both"/>
              <w:rPr>
                <w:b/>
                <w:bCs/>
                <w:sz w:val="28"/>
                <w:szCs w:val="28"/>
                <w:lang w:val="en-GB" w:eastAsia="en-US"/>
              </w:rPr>
            </w:pPr>
          </w:p>
        </w:tc>
        <w:tc>
          <w:tcPr>
            <w:tcW w:w="827"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عند ناظرزاده</w:t>
            </w:r>
          </w:p>
        </w:tc>
        <w:tc>
          <w:tcPr>
            <w:tcW w:w="766" w:type="dxa"/>
          </w:tcPr>
          <w:p w:rsidR="00EB5FFB" w:rsidRPr="00EB5FFB" w:rsidRDefault="00EB5FFB" w:rsidP="009A68A5">
            <w:pPr>
              <w:widowControl/>
              <w:ind w:right="-248" w:firstLine="0"/>
              <w:jc w:val="both"/>
              <w:rPr>
                <w:b/>
                <w:bCs/>
                <w:sz w:val="28"/>
                <w:szCs w:val="28"/>
                <w:lang w:val="en-GB" w:eastAsia="en-US"/>
              </w:rPr>
            </w:pPr>
            <w:r w:rsidRPr="00EB5FFB">
              <w:rPr>
                <w:rFonts w:hint="cs"/>
                <w:b/>
                <w:bCs/>
                <w:sz w:val="28"/>
                <w:szCs w:val="28"/>
                <w:rtl/>
                <w:lang w:val="en-GB" w:eastAsia="en-US" w:bidi="ar-AE"/>
              </w:rPr>
              <w:t>عند الخادمي</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w:t>
            </w:r>
          </w:p>
        </w:tc>
        <w:tc>
          <w:tcPr>
            <w:tcW w:w="88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w:t>
            </w:r>
          </w:p>
        </w:tc>
        <w:tc>
          <w:tcPr>
            <w:tcW w:w="50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25</w:t>
            </w:r>
          </w:p>
        </w:tc>
        <w:tc>
          <w:tcPr>
            <w:tcW w:w="82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64</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38</w:t>
            </w:r>
          </w:p>
        </w:tc>
        <w:tc>
          <w:tcPr>
            <w:tcW w:w="50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49</w:t>
            </w:r>
          </w:p>
        </w:tc>
        <w:tc>
          <w:tcPr>
            <w:tcW w:w="82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129</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67</w:t>
            </w:r>
          </w:p>
        </w:tc>
        <w:tc>
          <w:tcPr>
            <w:tcW w:w="50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73</w:t>
            </w:r>
          </w:p>
        </w:tc>
        <w:tc>
          <w:tcPr>
            <w:tcW w:w="82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204</w:t>
            </w:r>
          </w:p>
        </w:tc>
        <w:tc>
          <w:tcPr>
            <w:tcW w:w="76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115</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10</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26</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65</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39</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50</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131</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68</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74</w:t>
            </w:r>
          </w:p>
        </w:tc>
        <w:tc>
          <w:tcPr>
            <w:tcW w:w="82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207</w:t>
            </w:r>
          </w:p>
        </w:tc>
        <w:tc>
          <w:tcPr>
            <w:tcW w:w="76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104</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w:t>
            </w:r>
          </w:p>
        </w:tc>
        <w:tc>
          <w:tcPr>
            <w:tcW w:w="88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8</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11</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27</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68</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40</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51</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137</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69</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75</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209</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118</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28</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69</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41</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52</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140</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70</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76</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216</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126</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29</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73</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42</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53</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73</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77</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218</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127</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30</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75</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43</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54</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152</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74</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78</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220</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128</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16</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31</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44</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55</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155</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76</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79</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221</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129</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16</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32</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46</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56</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80</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222</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130</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21</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33</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88</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57</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157</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78</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81</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226</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135</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w:t>
            </w:r>
          </w:p>
        </w:tc>
        <w:tc>
          <w:tcPr>
            <w:tcW w:w="88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25</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18</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34</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89</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48</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58</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158</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81</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82</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232</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139</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11</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20</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35</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90</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49</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59</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161</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84</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83</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234</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140</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27</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21</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36</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94</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50</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60</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164</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85</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84</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241</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136</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13</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32</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22</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37</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51</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61</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165</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85</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244</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141</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44</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38</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97</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52</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62</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166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88</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86</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248</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142</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29</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39</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100</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53</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63</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170</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94</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87</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249</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143</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16</w:t>
            </w:r>
          </w:p>
        </w:tc>
        <w:tc>
          <w:tcPr>
            <w:tcW w:w="88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48</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40</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103</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54</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64</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172</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95</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88</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252</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144</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49</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25</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41</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114</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65</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173</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96</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89</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253</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146</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18</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53</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31</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42</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115</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58</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66</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175</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90</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256</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147</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19</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54</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32</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43</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116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59</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67</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176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98</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91</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260</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149</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20</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56</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33</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44</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122</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61</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68</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196</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105</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92</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261</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150</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21</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59</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34</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45</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124</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62</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69</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197</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106</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93</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262</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151</w:t>
            </w:r>
          </w:p>
        </w:tc>
      </w:tr>
      <w:tr w:rsidR="00EB5FFB" w:rsidRPr="00EB5FFB" w:rsidTr="00EB5FFB">
        <w:tc>
          <w:tcPr>
            <w:tcW w:w="495" w:type="dxa"/>
          </w:tcPr>
          <w:p w:rsidR="00EB5FFB" w:rsidRPr="00EB5FFB" w:rsidRDefault="00EB5FFB" w:rsidP="009A68A5">
            <w:pPr>
              <w:widowControl/>
              <w:ind w:firstLine="0"/>
              <w:jc w:val="both"/>
              <w:rPr>
                <w:sz w:val="28"/>
                <w:szCs w:val="28"/>
                <w:rtl/>
                <w:lang w:val="en-GB" w:eastAsia="en-US" w:bidi="ar-AE"/>
              </w:rPr>
            </w:pPr>
            <w:r w:rsidRPr="00EB5FFB">
              <w:rPr>
                <w:rFonts w:hint="cs"/>
                <w:sz w:val="28"/>
                <w:szCs w:val="28"/>
                <w:rtl/>
                <w:lang w:val="en-GB" w:eastAsia="en-US" w:bidi="ar-AE"/>
              </w:rPr>
              <w:t>22</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60</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35</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46</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125</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63</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70</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198</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94</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264</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153</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23</w:t>
            </w:r>
          </w:p>
        </w:tc>
        <w:tc>
          <w:tcPr>
            <w:tcW w:w="88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61</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36</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47</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127</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65</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71</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200</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109</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95</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265</w:t>
            </w:r>
          </w:p>
        </w:tc>
        <w:tc>
          <w:tcPr>
            <w:tcW w:w="76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154</w:t>
            </w:r>
          </w:p>
        </w:tc>
      </w:tr>
      <w:tr w:rsidR="00EB5FFB" w:rsidRPr="00EB5FFB" w:rsidTr="00EB5FFB">
        <w:tc>
          <w:tcPr>
            <w:tcW w:w="49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24</w:t>
            </w:r>
          </w:p>
        </w:tc>
        <w:tc>
          <w:tcPr>
            <w:tcW w:w="881"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63</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37</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48</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128</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66</w:t>
            </w:r>
          </w:p>
        </w:tc>
        <w:tc>
          <w:tcPr>
            <w:tcW w:w="506"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72</w:t>
            </w:r>
          </w:p>
        </w:tc>
        <w:tc>
          <w:tcPr>
            <w:tcW w:w="827"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202</w:t>
            </w:r>
          </w:p>
        </w:tc>
        <w:tc>
          <w:tcPr>
            <w:tcW w:w="765" w:type="dxa"/>
          </w:tcPr>
          <w:p w:rsidR="00EB5FFB" w:rsidRPr="00EB5FFB" w:rsidRDefault="00EB5FFB" w:rsidP="009A68A5">
            <w:pPr>
              <w:widowControl/>
              <w:ind w:firstLine="0"/>
              <w:jc w:val="both"/>
              <w:rPr>
                <w:sz w:val="28"/>
                <w:szCs w:val="28"/>
                <w:lang w:val="en-GB" w:eastAsia="en-US" w:bidi="ar-AE"/>
              </w:rPr>
            </w:pPr>
            <w:r w:rsidRPr="00EB5FFB">
              <w:rPr>
                <w:rFonts w:hint="cs"/>
                <w:sz w:val="28"/>
                <w:szCs w:val="28"/>
                <w:rtl/>
                <w:lang w:val="en-GB" w:eastAsia="en-US" w:bidi="ar-AE"/>
              </w:rPr>
              <w:t>114</w:t>
            </w:r>
          </w:p>
        </w:tc>
        <w:tc>
          <w:tcPr>
            <w:tcW w:w="506" w:type="dxa"/>
          </w:tcPr>
          <w:p w:rsidR="00EB5FFB" w:rsidRPr="00EB5FFB" w:rsidRDefault="00EB5FFB" w:rsidP="009A68A5">
            <w:pPr>
              <w:widowControl/>
              <w:ind w:firstLine="0"/>
              <w:jc w:val="both"/>
              <w:rPr>
                <w:sz w:val="28"/>
                <w:szCs w:val="28"/>
                <w:lang w:val="en-GB" w:eastAsia="en-US" w:bidi="ar-AE"/>
              </w:rPr>
            </w:pPr>
          </w:p>
        </w:tc>
        <w:tc>
          <w:tcPr>
            <w:tcW w:w="827" w:type="dxa"/>
          </w:tcPr>
          <w:p w:rsidR="00EB5FFB" w:rsidRPr="00EB5FFB" w:rsidRDefault="00EB5FFB" w:rsidP="009A68A5">
            <w:pPr>
              <w:widowControl/>
              <w:ind w:firstLine="0"/>
              <w:jc w:val="both"/>
              <w:rPr>
                <w:sz w:val="28"/>
                <w:szCs w:val="28"/>
                <w:lang w:val="en-GB" w:eastAsia="en-US" w:bidi="ar-AE"/>
              </w:rPr>
            </w:pPr>
          </w:p>
        </w:tc>
        <w:tc>
          <w:tcPr>
            <w:tcW w:w="766" w:type="dxa"/>
          </w:tcPr>
          <w:p w:rsidR="00EB5FFB" w:rsidRPr="00EB5FFB" w:rsidRDefault="00EB5FFB" w:rsidP="009A68A5">
            <w:pPr>
              <w:widowControl/>
              <w:ind w:firstLine="0"/>
              <w:jc w:val="both"/>
              <w:rPr>
                <w:sz w:val="28"/>
                <w:szCs w:val="28"/>
                <w:lang w:val="en-GB" w:eastAsia="en-US" w:bidi="ar-AE"/>
              </w:rPr>
            </w:pPr>
          </w:p>
        </w:tc>
      </w:tr>
    </w:tbl>
    <w:p w:rsidR="00EB5FFB" w:rsidRPr="00EB5FFB" w:rsidRDefault="00EB5FFB" w:rsidP="009A68A5">
      <w:pPr>
        <w:widowControl/>
        <w:ind w:firstLine="567"/>
        <w:jc w:val="both"/>
        <w:rPr>
          <w:sz w:val="20"/>
          <w:szCs w:val="36"/>
          <w:rtl/>
          <w:lang w:val="en-GB" w:eastAsia="en-US" w:bidi="ar-AE"/>
        </w:rPr>
      </w:pPr>
    </w:p>
    <w:p w:rsidR="00EB5FFB" w:rsidRPr="00EB5FFB" w:rsidRDefault="00EB5FFB" w:rsidP="009A68A5">
      <w:pPr>
        <w:widowControl/>
        <w:ind w:firstLine="567"/>
        <w:jc w:val="both"/>
        <w:rPr>
          <w:sz w:val="20"/>
          <w:szCs w:val="36"/>
          <w:rtl/>
          <w:lang w:val="en-GB" w:eastAsia="en-US" w:bidi="ar-AE"/>
        </w:rPr>
      </w:pPr>
      <w:r w:rsidRPr="00EB5FFB">
        <w:rPr>
          <w:sz w:val="20"/>
          <w:szCs w:val="36"/>
          <w:rtl/>
          <w:lang w:val="en-GB" w:eastAsia="en-US" w:bidi="ar-AE"/>
        </w:rPr>
        <w:br w:type="page"/>
      </w:r>
      <w:r w:rsidRPr="00EB5FFB">
        <w:rPr>
          <w:rFonts w:hint="cs"/>
          <w:b/>
          <w:bCs/>
          <w:sz w:val="20"/>
          <w:szCs w:val="36"/>
          <w:rtl/>
          <w:lang w:val="en-GB" w:eastAsia="en-US" w:bidi="ar-AE"/>
        </w:rPr>
        <w:lastRenderedPageBreak/>
        <w:t>جـ -</w:t>
      </w:r>
      <w:r w:rsidRPr="00EB5FFB">
        <w:rPr>
          <w:rFonts w:hint="cs"/>
          <w:sz w:val="20"/>
          <w:szCs w:val="36"/>
          <w:rtl/>
          <w:lang w:val="en-GB" w:eastAsia="en-US" w:bidi="ar-AE"/>
        </w:rPr>
        <w:t xml:space="preserve"> وممّا يؤكد أن الخادمي استفاد تلك القواعد الخمس والتسعين من ناظرزاده: أن بعضها اشتهر بلفظ آخر، ومع ذلك فإن الخادمي ترك المشهور وأخذ بنص القاعدة التي عند ناظرزاده. ومن ذلك قواعد ناظرزاده الآتية:</w:t>
      </w:r>
    </w:p>
    <w:p w:rsidR="00EB5FFB" w:rsidRPr="00EB5FFB" w:rsidRDefault="00EB5FFB" w:rsidP="009A68A5">
      <w:pPr>
        <w:widowControl/>
        <w:ind w:left="567" w:firstLine="0"/>
        <w:jc w:val="both"/>
        <w:rPr>
          <w:sz w:val="20"/>
          <w:szCs w:val="36"/>
          <w:rtl/>
          <w:lang w:val="en-GB" w:eastAsia="en-US" w:bidi="ar-AE"/>
        </w:rPr>
      </w:pPr>
      <w:r w:rsidRPr="00EB5FFB">
        <w:rPr>
          <w:rFonts w:hint="cs"/>
          <w:b/>
          <w:bCs/>
          <w:sz w:val="38"/>
          <w:szCs w:val="38"/>
          <w:rtl/>
          <w:lang w:val="en-GB" w:eastAsia="en-US" w:bidi="ar-AE"/>
        </w:rPr>
        <w:t>1-</w:t>
      </w:r>
      <w:r w:rsidRPr="00EB5FFB">
        <w:rPr>
          <w:rFonts w:hint="cs"/>
          <w:sz w:val="38"/>
          <w:szCs w:val="38"/>
          <w:rtl/>
          <w:lang w:val="en-GB" w:eastAsia="en-US" w:bidi="ar-AE"/>
        </w:rPr>
        <w:t xml:space="preserve"> ق27</w:t>
      </w:r>
      <w:r w:rsidR="0048366D">
        <w:rPr>
          <w:rFonts w:hint="cs"/>
          <w:sz w:val="38"/>
          <w:szCs w:val="38"/>
          <w:rtl/>
          <w:lang w:val="en-GB" w:eastAsia="en-US" w:bidi="ar-AE"/>
        </w:rPr>
        <w:t>:</w:t>
      </w:r>
      <w:r w:rsidRPr="00EB5FFB">
        <w:rPr>
          <w:rFonts w:hint="cs"/>
          <w:sz w:val="38"/>
          <w:szCs w:val="38"/>
          <w:rtl/>
          <w:lang w:val="en-GB" w:eastAsia="en-US" w:bidi="ar-AE"/>
        </w:rPr>
        <w:t xml:space="preserve"> </w:t>
      </w:r>
      <w:r w:rsidRPr="00EB5FFB">
        <w:rPr>
          <w:rFonts w:hint="eastAsia"/>
          <w:sz w:val="20"/>
          <w:szCs w:val="36"/>
          <w:rtl/>
          <w:lang w:val="en-GB" w:eastAsia="en-US"/>
        </w:rPr>
        <w:t>«</w:t>
      </w:r>
      <w:r w:rsidRPr="00EB5FFB">
        <w:rPr>
          <w:rFonts w:hint="cs"/>
          <w:sz w:val="38"/>
          <w:szCs w:val="38"/>
          <w:rtl/>
          <w:lang w:val="en-GB" w:eastAsia="en-US" w:bidi="ar-AE"/>
        </w:rPr>
        <w:t>الأَصْلُ العَدَمُ فِي الصِّفَاتِ العَارِضَةِ</w:t>
      </w:r>
      <w:r w:rsidRPr="00EB5FFB">
        <w:rPr>
          <w:rFonts w:hint="eastAsia"/>
          <w:sz w:val="20"/>
          <w:szCs w:val="36"/>
          <w:rtl/>
          <w:lang w:val="en-GB" w:eastAsia="en-US"/>
        </w:rPr>
        <w:t>»</w:t>
      </w:r>
      <w:r w:rsidRPr="00EB5FFB">
        <w:rPr>
          <w:rFonts w:hint="cs"/>
          <w:sz w:val="38"/>
          <w:szCs w:val="38"/>
          <w:rtl/>
          <w:lang w:val="en-GB" w:eastAsia="en-US" w:bidi="ar-AE"/>
        </w:rPr>
        <w:t>.</w:t>
      </w:r>
      <w:r w:rsidRPr="00EB5FFB">
        <w:rPr>
          <w:rFonts w:hint="cs"/>
          <w:sz w:val="20"/>
          <w:szCs w:val="36"/>
          <w:rtl/>
          <w:lang w:val="en-GB" w:eastAsia="en-US" w:bidi="ar-AE"/>
        </w:rPr>
        <w:t xml:space="preserve"> </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bidi="ar-AE"/>
        </w:rPr>
        <w:t>هذا لفظ ناظرزاده. وقد عبر به الخادمي وترك اللفظ المشهور، وهو</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الأصل العدم</w:t>
      </w:r>
      <w:r w:rsidRPr="00EB5FFB">
        <w:rPr>
          <w:rFonts w:hint="eastAsia"/>
          <w:sz w:val="20"/>
          <w:szCs w:val="36"/>
          <w:rtl/>
          <w:lang w:val="en-GB" w:eastAsia="en-US"/>
        </w:rPr>
        <w:t>»</w:t>
      </w:r>
      <w:r w:rsidRPr="00EB5FFB">
        <w:rPr>
          <w:rFonts w:hint="cs"/>
          <w:sz w:val="20"/>
          <w:szCs w:val="36"/>
          <w:rtl/>
          <w:lang w:val="en-GB" w:eastAsia="en-US"/>
        </w:rPr>
        <w:t xml:space="preserve"> أو</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الأصل في الصفات العارضة العدم</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3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bidi="ar-AE"/>
        </w:rPr>
        <w:t>2-</w:t>
      </w:r>
      <w:r w:rsidRPr="00EB5FFB">
        <w:rPr>
          <w:rFonts w:hint="cs"/>
          <w:sz w:val="20"/>
          <w:szCs w:val="36"/>
          <w:rtl/>
          <w:lang w:val="en-GB" w:eastAsia="en-US" w:bidi="ar-AE"/>
        </w:rPr>
        <w:t xml:space="preserve"> </w:t>
      </w:r>
      <w:r w:rsidRPr="00EB5FFB">
        <w:rPr>
          <w:rFonts w:hint="cs"/>
          <w:sz w:val="38"/>
          <w:szCs w:val="38"/>
          <w:rtl/>
          <w:lang w:val="en-GB" w:eastAsia="en-US"/>
        </w:rPr>
        <w:t>ق103</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جوازُ الشَّرعِ يُنَافِي الضَّمَانَ</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فهذا اللفظ لم أجده إلا في قواعد الخادمي وشروحها، أما اللفظ المشهور فهو</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الجواز الشرعي ينافي الضمان</w:t>
      </w:r>
      <w:r w:rsidRPr="00EB5FFB">
        <w:rPr>
          <w:rFonts w:hint="eastAsia"/>
          <w:sz w:val="20"/>
          <w:szCs w:val="36"/>
          <w:rtl/>
          <w:lang w:val="en-GB" w:eastAsia="en-US"/>
        </w:rPr>
        <w:t>»</w:t>
      </w:r>
      <w:r w:rsidRPr="00EB5FFB">
        <w:rPr>
          <w:rFonts w:hint="cs"/>
          <w:sz w:val="20"/>
          <w:szCs w:val="36"/>
          <w:rtl/>
          <w:lang w:val="en-GB" w:eastAsia="en-US" w:bidi="ar-AE"/>
        </w:rPr>
        <w:t xml:space="preserve"> </w:t>
      </w:r>
      <w:r w:rsidR="0048366D">
        <w:rPr>
          <w:rFonts w:hint="cs"/>
          <w:sz w:val="20"/>
          <w:szCs w:val="36"/>
          <w:rtl/>
          <w:lang w:val="en-GB" w:eastAsia="en-US" w:bidi="ar-AE"/>
        </w:rPr>
        <w:t>:</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bidi="ar-AE"/>
        </w:rPr>
        <w:t>3-</w:t>
      </w:r>
      <w:r w:rsidRPr="00EB5FFB">
        <w:rPr>
          <w:rFonts w:hint="cs"/>
          <w:sz w:val="20"/>
          <w:szCs w:val="36"/>
          <w:rtl/>
          <w:lang w:val="en-GB" w:eastAsia="en-US" w:bidi="ar-AE"/>
        </w:rPr>
        <w:t xml:space="preserve"> </w:t>
      </w:r>
      <w:r w:rsidRPr="00EB5FFB">
        <w:rPr>
          <w:rFonts w:hint="cs"/>
          <w:sz w:val="38"/>
          <w:szCs w:val="38"/>
          <w:rtl/>
          <w:lang w:val="en-GB" w:eastAsia="en-US"/>
        </w:rPr>
        <w:t>ق170</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العَمَلُ بالظَّاهِرِ هُوَ الأَصْلُ؛ لِدَفْعِ الضَّرَرِ عَنِ النَّاسِ</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فهذا اللفظ ورد في أكثر مصادر القاعدة بإضافة قيد</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 في المعاملات</w:t>
      </w:r>
      <w:r w:rsidRPr="00EB5FFB">
        <w:rPr>
          <w:rFonts w:hint="eastAsia"/>
          <w:sz w:val="20"/>
          <w:szCs w:val="36"/>
          <w:rtl/>
          <w:lang w:val="en-GB" w:eastAsia="en-US"/>
        </w:rPr>
        <w:t>»</w:t>
      </w:r>
      <w:r w:rsidRPr="00EB5FFB">
        <w:rPr>
          <w:rFonts w:hint="cs"/>
          <w:sz w:val="20"/>
          <w:szCs w:val="36"/>
          <w:rtl/>
          <w:lang w:val="en-GB" w:eastAsia="en-US" w:bidi="ar-AE"/>
        </w:rPr>
        <w:t>. إلا أن الخادمي ترك هذا القيد؛ وفاقًا لناظرزاده.</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bidi="ar-AE"/>
        </w:rPr>
        <w:t>4-</w:t>
      </w:r>
      <w:r w:rsidRPr="00EB5FFB">
        <w:rPr>
          <w:rFonts w:hint="cs"/>
          <w:sz w:val="20"/>
          <w:szCs w:val="36"/>
          <w:rtl/>
          <w:lang w:val="en-GB" w:eastAsia="en-US" w:bidi="ar-AE"/>
        </w:rPr>
        <w:t xml:space="preserve"> </w:t>
      </w:r>
      <w:r w:rsidRPr="00EB5FFB">
        <w:rPr>
          <w:rFonts w:hint="cs"/>
          <w:sz w:val="38"/>
          <w:szCs w:val="38"/>
          <w:rtl/>
          <w:lang w:val="en-GB" w:eastAsia="en-US"/>
        </w:rPr>
        <w:t>ق256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الولايةُ الخاصَّةُ أَوْلَى مِنَ الولايةِ العامَّةِ</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pacing w:val="-8"/>
          <w:sz w:val="20"/>
          <w:szCs w:val="36"/>
          <w:rtl/>
          <w:lang w:val="en-GB" w:eastAsia="en-US"/>
        </w:rPr>
      </w:pPr>
      <w:r w:rsidRPr="00EB5FFB">
        <w:rPr>
          <w:rFonts w:hint="cs"/>
          <w:spacing w:val="-8"/>
          <w:sz w:val="20"/>
          <w:szCs w:val="36"/>
          <w:rtl/>
          <w:lang w:val="en-GB" w:eastAsia="en-US" w:bidi="ar-AE"/>
        </w:rPr>
        <w:t xml:space="preserve"> فهذه القاعدة وردت في جميع مصادرها </w:t>
      </w:r>
      <w:r w:rsidRPr="00EB5FFB">
        <w:rPr>
          <w:spacing w:val="-8"/>
          <w:sz w:val="20"/>
          <w:szCs w:val="36"/>
          <w:rtl/>
          <w:lang w:val="en-GB" w:eastAsia="en-US" w:bidi="ar-AE"/>
        </w:rPr>
        <w:t>–</w:t>
      </w:r>
      <w:r w:rsidRPr="00EB5FFB">
        <w:rPr>
          <w:rFonts w:hint="cs"/>
          <w:spacing w:val="-8"/>
          <w:sz w:val="20"/>
          <w:szCs w:val="36"/>
          <w:rtl/>
          <w:lang w:val="en-GB" w:eastAsia="en-US" w:bidi="ar-AE"/>
        </w:rPr>
        <w:t xml:space="preserve"> التي تمّ الوقوف عليها- بلفظ</w:t>
      </w:r>
      <w:r w:rsidR="0048366D">
        <w:rPr>
          <w:rFonts w:hint="cs"/>
          <w:spacing w:val="-8"/>
          <w:sz w:val="20"/>
          <w:szCs w:val="36"/>
          <w:rtl/>
          <w:lang w:val="en-GB" w:eastAsia="en-US" w:bidi="ar-AE"/>
        </w:rPr>
        <w:t>:</w:t>
      </w:r>
      <w:r w:rsidRPr="00EB5FFB">
        <w:rPr>
          <w:rFonts w:hint="cs"/>
          <w:spacing w:val="-8"/>
          <w:sz w:val="20"/>
          <w:szCs w:val="36"/>
          <w:rtl/>
          <w:lang w:val="en-GB" w:eastAsia="en-US" w:bidi="ar-AE"/>
        </w:rPr>
        <w:t xml:space="preserve"> </w:t>
      </w:r>
      <w:r w:rsidRPr="00EB5FFB">
        <w:rPr>
          <w:rFonts w:hint="eastAsia"/>
          <w:spacing w:val="-8"/>
          <w:sz w:val="20"/>
          <w:szCs w:val="36"/>
          <w:rtl/>
          <w:lang w:val="en-GB" w:eastAsia="en-US"/>
        </w:rPr>
        <w:t>«</w:t>
      </w:r>
      <w:r w:rsidRPr="00EB5FFB">
        <w:rPr>
          <w:rFonts w:hint="cs"/>
          <w:spacing w:val="-8"/>
          <w:sz w:val="20"/>
          <w:szCs w:val="36"/>
          <w:rtl/>
          <w:lang w:val="en-GB" w:eastAsia="en-US"/>
        </w:rPr>
        <w:t>أقوى</w:t>
      </w:r>
      <w:r w:rsidRPr="00EB5FFB">
        <w:rPr>
          <w:rFonts w:hint="eastAsia"/>
          <w:spacing w:val="-8"/>
          <w:sz w:val="20"/>
          <w:szCs w:val="36"/>
          <w:rtl/>
          <w:lang w:val="en-GB" w:eastAsia="en-US"/>
        </w:rPr>
        <w:t>»</w:t>
      </w:r>
      <w:r w:rsidRPr="00EB5FFB">
        <w:rPr>
          <w:rFonts w:hint="cs"/>
          <w:spacing w:val="-8"/>
          <w:sz w:val="20"/>
          <w:szCs w:val="36"/>
          <w:rtl/>
          <w:lang w:val="en-GB" w:eastAsia="en-US"/>
        </w:rPr>
        <w:t xml:space="preserve">، وليس </w:t>
      </w:r>
      <w:r w:rsidRPr="00EB5FFB">
        <w:rPr>
          <w:rFonts w:hint="eastAsia"/>
          <w:spacing w:val="-8"/>
          <w:sz w:val="20"/>
          <w:szCs w:val="36"/>
          <w:rtl/>
          <w:lang w:val="en-GB" w:eastAsia="en-US"/>
        </w:rPr>
        <w:t>«</w:t>
      </w:r>
      <w:r w:rsidRPr="00EB5FFB">
        <w:rPr>
          <w:rFonts w:hint="cs"/>
          <w:spacing w:val="-8"/>
          <w:sz w:val="20"/>
          <w:szCs w:val="36"/>
          <w:rtl/>
          <w:lang w:val="en-GB" w:eastAsia="en-US"/>
        </w:rPr>
        <w:t>أولى</w:t>
      </w:r>
      <w:r w:rsidRPr="00EB5FFB">
        <w:rPr>
          <w:rFonts w:hint="eastAsia"/>
          <w:spacing w:val="-8"/>
          <w:sz w:val="20"/>
          <w:szCs w:val="36"/>
          <w:rtl/>
          <w:lang w:val="en-GB" w:eastAsia="en-US"/>
        </w:rPr>
        <w:t>»</w:t>
      </w:r>
      <w:r w:rsidRPr="00EB5FFB">
        <w:rPr>
          <w:rFonts w:hint="cs"/>
          <w:spacing w:val="-8"/>
          <w:sz w:val="20"/>
          <w:szCs w:val="36"/>
          <w:rtl/>
          <w:lang w:val="en-GB" w:eastAsia="en-US"/>
        </w:rPr>
        <w:t>. ومع ذلك فإن الخادمي ترك لفظ (أقوى) وأخذ بلفظ (أولى)؛ وفاقًا لناظرزاده.</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rPr>
        <w:t>5-</w:t>
      </w:r>
      <w:r w:rsidRPr="00EB5FFB">
        <w:rPr>
          <w:rFonts w:hint="cs"/>
          <w:sz w:val="20"/>
          <w:szCs w:val="36"/>
          <w:rtl/>
          <w:lang w:val="en-GB" w:eastAsia="en-US"/>
        </w:rPr>
        <w:t xml:space="preserve"> </w:t>
      </w:r>
      <w:r w:rsidRPr="00EB5FFB">
        <w:rPr>
          <w:rFonts w:hint="cs"/>
          <w:sz w:val="38"/>
          <w:szCs w:val="38"/>
          <w:rtl/>
          <w:lang w:val="en-GB" w:eastAsia="en-US"/>
        </w:rPr>
        <w:t>ق260</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يُرَجَّحُ بَعْضُ وُجُوهِ المُشْتَرَكِ بِغَالِبِ الرَّأْيِ</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فهذه القاعدة يشير إليها كثير من أصوليّي الحنفية عند تعريفهم للمؤوّل، ومن ذلك قول صاحب (المغني)</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والمؤوّل</w:t>
      </w:r>
      <w:r w:rsidR="0048366D">
        <w:rPr>
          <w:rFonts w:hint="cs"/>
          <w:sz w:val="20"/>
          <w:szCs w:val="36"/>
          <w:rtl/>
          <w:lang w:val="en-GB" w:eastAsia="en-US"/>
        </w:rPr>
        <w:t>:</w:t>
      </w:r>
      <w:r w:rsidRPr="00EB5FFB">
        <w:rPr>
          <w:rFonts w:hint="cs"/>
          <w:sz w:val="20"/>
          <w:szCs w:val="36"/>
          <w:rtl/>
          <w:lang w:val="en-GB" w:eastAsia="en-US"/>
        </w:rPr>
        <w:t xml:space="preserve"> ما يرجّح من المشترك بعض وجوهه بغالب الرأي</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38"/>
      </w:r>
      <w:r w:rsidRPr="00EB5FFB">
        <w:rPr>
          <w:rFonts w:hint="cs"/>
          <w:sz w:val="20"/>
          <w:szCs w:val="36"/>
          <w:vertAlign w:val="superscript"/>
          <w:rtl/>
          <w:lang w:val="en-GB" w:eastAsia="en-US"/>
        </w:rPr>
        <w:t>)</w:t>
      </w:r>
      <w:r w:rsidRPr="00EB5FFB">
        <w:rPr>
          <w:rFonts w:hint="cs"/>
          <w:sz w:val="20"/>
          <w:szCs w:val="36"/>
          <w:rtl/>
          <w:lang w:val="en-GB" w:eastAsia="en-US"/>
        </w:rPr>
        <w:t>. وقد اقتبسها المؤلف من هذا التعريف، دون إشارة إلى أنها تمثّل تعريف المؤول. وتابعه الخادمي في لفظها، ولم يشر إلى تعلقها بتعريف المؤوّل.</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rPr>
        <w:lastRenderedPageBreak/>
        <w:t>6</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cs"/>
          <w:sz w:val="38"/>
          <w:szCs w:val="38"/>
          <w:rtl/>
          <w:lang w:val="en-GB" w:eastAsia="en-US"/>
        </w:rPr>
        <w:t>ق261</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يَدْخُلُ فِي التَّصَرُّفِ تَبَعًا مَا لاَ يَجُوْزُ أَنْ يَكُونَ مَقْصُودًا</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فهذه القاعدة اشتهرت بإضافة كلمة </w:t>
      </w:r>
      <w:r w:rsidRPr="00EB5FFB">
        <w:rPr>
          <w:rFonts w:hint="eastAsia"/>
          <w:sz w:val="20"/>
          <w:szCs w:val="36"/>
          <w:rtl/>
          <w:lang w:val="en-GB" w:eastAsia="en-US"/>
        </w:rPr>
        <w:t>«</w:t>
      </w:r>
      <w:r w:rsidRPr="00EB5FFB">
        <w:rPr>
          <w:rFonts w:hint="cs"/>
          <w:sz w:val="20"/>
          <w:szCs w:val="36"/>
          <w:rtl/>
          <w:lang w:val="en-GB" w:eastAsia="en-US"/>
        </w:rPr>
        <w:t>قد</w:t>
      </w:r>
      <w:r w:rsidRPr="00EB5FFB">
        <w:rPr>
          <w:rFonts w:hint="eastAsia"/>
          <w:sz w:val="20"/>
          <w:szCs w:val="36"/>
          <w:rtl/>
          <w:lang w:val="en-GB" w:eastAsia="en-US"/>
        </w:rPr>
        <w:t>»</w:t>
      </w:r>
      <w:r w:rsidRPr="00EB5FFB">
        <w:rPr>
          <w:rFonts w:hint="cs"/>
          <w:sz w:val="20"/>
          <w:szCs w:val="36"/>
          <w:rtl/>
          <w:lang w:val="en-GB" w:eastAsia="en-US"/>
        </w:rPr>
        <w:t xml:space="preserve"> في أولها. إلا أن الخادمي ترك هذا اللفظ المهم؛ وفاقًا لناظرزاده.</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rPr>
        <w:t>7</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cs"/>
          <w:sz w:val="38"/>
          <w:szCs w:val="38"/>
          <w:rtl/>
          <w:lang w:val="en-GB" w:eastAsia="en-US"/>
        </w:rPr>
        <w:t>ق265</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اليَمِينُ أَبَدًا يَكُونُ عَلَى النَّفْيِ</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pacing w:val="-10"/>
          <w:sz w:val="20"/>
          <w:szCs w:val="36"/>
          <w:rtl/>
          <w:lang w:val="en-GB" w:eastAsia="en-US"/>
        </w:rPr>
      </w:pPr>
      <w:r w:rsidRPr="00EB5FFB">
        <w:rPr>
          <w:rFonts w:hint="cs"/>
          <w:spacing w:val="-10"/>
          <w:sz w:val="20"/>
          <w:szCs w:val="36"/>
          <w:rtl/>
          <w:lang w:val="en-GB" w:eastAsia="en-US"/>
        </w:rPr>
        <w:t xml:space="preserve"> وقد عبّر الخادمي بهذا اللفظ وترك اللفظ المشهور، وهو</w:t>
      </w:r>
      <w:r w:rsidR="0048366D">
        <w:rPr>
          <w:rFonts w:hint="cs"/>
          <w:spacing w:val="-10"/>
          <w:sz w:val="20"/>
          <w:szCs w:val="36"/>
          <w:rtl/>
          <w:lang w:val="en-GB" w:eastAsia="en-US"/>
        </w:rPr>
        <w:t>:</w:t>
      </w:r>
      <w:r w:rsidRPr="00EB5FFB">
        <w:rPr>
          <w:rFonts w:hint="cs"/>
          <w:spacing w:val="-10"/>
          <w:sz w:val="20"/>
          <w:szCs w:val="36"/>
          <w:rtl/>
          <w:lang w:val="en-GB" w:eastAsia="en-US"/>
        </w:rPr>
        <w:t xml:space="preserve"> </w:t>
      </w:r>
      <w:r w:rsidRPr="00EB5FFB">
        <w:rPr>
          <w:rFonts w:hint="eastAsia"/>
          <w:spacing w:val="-10"/>
          <w:sz w:val="20"/>
          <w:szCs w:val="36"/>
          <w:rtl/>
          <w:lang w:val="en-GB" w:eastAsia="en-US"/>
        </w:rPr>
        <w:t>«</w:t>
      </w:r>
      <w:r w:rsidRPr="00EB5FFB">
        <w:rPr>
          <w:rFonts w:hint="cs"/>
          <w:spacing w:val="-10"/>
          <w:sz w:val="20"/>
          <w:szCs w:val="36"/>
          <w:rtl/>
          <w:lang w:val="en-GB" w:eastAsia="en-US"/>
        </w:rPr>
        <w:t xml:space="preserve">اليمين أبدًا </w:t>
      </w:r>
      <w:r w:rsidRPr="00EB5FFB">
        <w:rPr>
          <w:rFonts w:hint="cs"/>
          <w:b/>
          <w:bCs/>
          <w:spacing w:val="-10"/>
          <w:sz w:val="20"/>
          <w:szCs w:val="36"/>
          <w:rtl/>
          <w:lang w:val="en-GB" w:eastAsia="en-US"/>
        </w:rPr>
        <w:t>تكون</w:t>
      </w:r>
      <w:r w:rsidRPr="00EB5FFB">
        <w:rPr>
          <w:rFonts w:hint="cs"/>
          <w:spacing w:val="-10"/>
          <w:sz w:val="20"/>
          <w:szCs w:val="36"/>
          <w:rtl/>
          <w:lang w:val="en-GB" w:eastAsia="en-US"/>
        </w:rPr>
        <w:t xml:space="preserve"> على النفي</w:t>
      </w:r>
      <w:r w:rsidRPr="00EB5FFB">
        <w:rPr>
          <w:rFonts w:hint="eastAsia"/>
          <w:spacing w:val="-10"/>
          <w:sz w:val="20"/>
          <w:szCs w:val="36"/>
          <w:rtl/>
          <w:lang w:val="en-GB" w:eastAsia="en-US"/>
        </w:rPr>
        <w:t>»</w:t>
      </w:r>
      <w:r w:rsidRPr="00EB5FFB">
        <w:rPr>
          <w:rFonts w:hint="cs"/>
          <w:spacing w:val="-10"/>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د</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أن الخادمي ذكر خمس قواعد بنحو لفظ ناظرزاده.</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ويمكن إيضاحها في الجدول الآتي</w:t>
      </w:r>
      <w:r w:rsidR="0048366D">
        <w:rPr>
          <w:rFonts w:hint="cs"/>
          <w:sz w:val="20"/>
          <w:szCs w:val="36"/>
          <w:rtl/>
          <w:lang w:val="en-GB" w:eastAsia="en-US"/>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1134"/>
        <w:gridCol w:w="2977"/>
        <w:gridCol w:w="1276"/>
        <w:gridCol w:w="2518"/>
      </w:tblGrid>
      <w:tr w:rsidR="00EB5FFB" w:rsidRPr="00EB5FFB" w:rsidTr="00EB5FFB">
        <w:tc>
          <w:tcPr>
            <w:tcW w:w="531"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م</w:t>
            </w:r>
          </w:p>
        </w:tc>
        <w:tc>
          <w:tcPr>
            <w:tcW w:w="1134"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الرقم عند ناظرزاده</w:t>
            </w:r>
          </w:p>
        </w:tc>
        <w:tc>
          <w:tcPr>
            <w:tcW w:w="2977" w:type="dxa"/>
          </w:tcPr>
          <w:p w:rsidR="00EB5FFB" w:rsidRPr="00EB5FFB" w:rsidRDefault="00EB5FFB" w:rsidP="009A68A5">
            <w:pPr>
              <w:keepNext/>
              <w:widowControl/>
              <w:ind w:firstLine="0"/>
              <w:jc w:val="both"/>
              <w:outlineLvl w:val="2"/>
              <w:rPr>
                <w:b/>
                <w:bCs/>
                <w:sz w:val="28"/>
                <w:szCs w:val="28"/>
                <w:lang w:val="en-GB" w:eastAsia="en-US" w:bidi="ar-AE"/>
              </w:rPr>
            </w:pPr>
            <w:r w:rsidRPr="00EB5FFB">
              <w:rPr>
                <w:rFonts w:hint="cs"/>
                <w:b/>
                <w:bCs/>
                <w:sz w:val="28"/>
                <w:szCs w:val="28"/>
                <w:rtl/>
                <w:lang w:val="en-GB" w:eastAsia="en-US" w:bidi="ar-AE"/>
              </w:rPr>
              <w:t>لفظ القاعدة عند ناظرزاده</w:t>
            </w:r>
          </w:p>
        </w:tc>
        <w:tc>
          <w:tcPr>
            <w:tcW w:w="1276"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الرقم عند الخادمي</w:t>
            </w:r>
          </w:p>
        </w:tc>
        <w:tc>
          <w:tcPr>
            <w:tcW w:w="2518"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لفظ القاعدة عند الخادمي</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w:t>
            </w:r>
          </w:p>
        </w:tc>
        <w:tc>
          <w:tcPr>
            <w:tcW w:w="1134"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11</w:t>
            </w:r>
          </w:p>
        </w:tc>
        <w:tc>
          <w:tcPr>
            <w:tcW w:w="2977" w:type="dxa"/>
          </w:tcPr>
          <w:p w:rsidR="00EB5FFB" w:rsidRPr="00EB5FFB" w:rsidRDefault="00EB5FFB" w:rsidP="009A68A5">
            <w:pPr>
              <w:widowControl/>
              <w:ind w:firstLine="0"/>
              <w:jc w:val="both"/>
              <w:rPr>
                <w:sz w:val="28"/>
                <w:szCs w:val="28"/>
                <w:lang w:val="en-GB" w:eastAsia="en-US"/>
              </w:rPr>
            </w:pPr>
            <w:r w:rsidRPr="00EB5FFB">
              <w:rPr>
                <w:rFonts w:hint="eastAsia"/>
                <w:sz w:val="28"/>
                <w:szCs w:val="28"/>
                <w:rtl/>
                <w:lang w:val="en-GB" w:eastAsia="en-US"/>
              </w:rPr>
              <w:t>إذا</w:t>
            </w:r>
            <w:r w:rsidRPr="00EB5FFB">
              <w:rPr>
                <w:sz w:val="28"/>
                <w:szCs w:val="28"/>
                <w:rtl/>
                <w:lang w:val="en-GB" w:eastAsia="en-US"/>
              </w:rPr>
              <w:t xml:space="preserve"> تعذَّرَ الأصلُ يُصَارُ إلى البَدَلِ</w:t>
            </w:r>
            <w:r w:rsidRPr="00EB5FFB">
              <w:rPr>
                <w:rFonts w:hint="cs"/>
                <w:sz w:val="28"/>
                <w:szCs w:val="28"/>
                <w:rtl/>
                <w:lang w:val="en-GB" w:eastAsia="en-US"/>
              </w:rPr>
              <w:t>.</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13</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 xml:space="preserve">إذا </w:t>
            </w:r>
            <w:r w:rsidRPr="00EB5FFB">
              <w:rPr>
                <w:rFonts w:hint="cs"/>
                <w:b/>
                <w:bCs/>
                <w:sz w:val="28"/>
                <w:szCs w:val="28"/>
                <w:rtl/>
                <w:lang w:val="en-GB" w:eastAsia="en-US"/>
              </w:rPr>
              <w:t>بطل</w:t>
            </w:r>
            <w:r w:rsidRPr="00EB5FFB">
              <w:rPr>
                <w:rFonts w:hint="cs"/>
                <w:sz w:val="28"/>
                <w:szCs w:val="28"/>
                <w:rtl/>
                <w:lang w:val="en-GB" w:eastAsia="en-US"/>
              </w:rPr>
              <w:t xml:space="preserve"> الأصل يصار إلى البدل.</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w:t>
            </w:r>
          </w:p>
        </w:tc>
        <w:tc>
          <w:tcPr>
            <w:tcW w:w="1134"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15 (في نسخة (جـ))</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إذَا تَعَارَضَ المَفَسَدَتَانِ</w:t>
            </w:r>
            <w:r w:rsidR="0048366D">
              <w:rPr>
                <w:rFonts w:hint="cs"/>
                <w:sz w:val="28"/>
                <w:szCs w:val="28"/>
                <w:rtl/>
                <w:lang w:val="en-GB" w:eastAsia="en-US"/>
              </w:rPr>
              <w:t>:</w:t>
            </w:r>
            <w:r w:rsidRPr="00EB5FFB">
              <w:rPr>
                <w:rFonts w:hint="cs"/>
                <w:sz w:val="28"/>
                <w:szCs w:val="28"/>
                <w:rtl/>
                <w:lang w:val="en-GB" w:eastAsia="en-US"/>
              </w:rPr>
              <w:t xml:space="preserve"> رُوعِيَ أعظَمُهُمَا ضررًا بارْتِكَابِ أخفِّهِمَا.</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15</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 xml:space="preserve">إذا تعارض مفسدتان روعي </w:t>
            </w:r>
            <w:r w:rsidRPr="00EB5FFB">
              <w:rPr>
                <w:rFonts w:hint="cs"/>
                <w:b/>
                <w:bCs/>
                <w:sz w:val="28"/>
                <w:szCs w:val="28"/>
                <w:rtl/>
                <w:lang w:val="en-GB" w:eastAsia="en-US"/>
              </w:rPr>
              <w:t>أقلهما</w:t>
            </w:r>
            <w:r w:rsidRPr="00EB5FFB">
              <w:rPr>
                <w:rFonts w:hint="cs"/>
                <w:sz w:val="28"/>
                <w:szCs w:val="28"/>
                <w:rtl/>
                <w:lang w:val="en-GB" w:eastAsia="en-US"/>
              </w:rPr>
              <w:t xml:space="preserve"> ضررًا بارتكاب أخفهما.</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w:t>
            </w:r>
          </w:p>
        </w:tc>
        <w:tc>
          <w:tcPr>
            <w:tcW w:w="1134"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159</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الضَّمَانُ بالتَغْريرِ مَخْصُوصٌ بِالمُعَاوَضَاتِ.</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82</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 xml:space="preserve">الضمان </w:t>
            </w:r>
            <w:r w:rsidRPr="00EB5FFB">
              <w:rPr>
                <w:rFonts w:hint="cs"/>
                <w:b/>
                <w:bCs/>
                <w:sz w:val="28"/>
                <w:szCs w:val="28"/>
                <w:rtl/>
                <w:lang w:val="en-GB" w:eastAsia="en-US"/>
              </w:rPr>
              <w:t>بالتعدّي</w:t>
            </w:r>
            <w:r w:rsidRPr="00EB5FFB">
              <w:rPr>
                <w:rFonts w:hint="cs"/>
                <w:sz w:val="28"/>
                <w:szCs w:val="28"/>
                <w:rtl/>
                <w:lang w:val="en-GB" w:eastAsia="en-US"/>
              </w:rPr>
              <w:t xml:space="preserve"> مخصوص بالمعاوضات.</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4</w:t>
            </w:r>
          </w:p>
        </w:tc>
        <w:tc>
          <w:tcPr>
            <w:tcW w:w="1134"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177</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قَدْ يَثْبُتُ الفَرْعُ و إِنْ لَمْ يَثْبُتِ الأَصْلُ.</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99</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 xml:space="preserve">قد يثبت الفرع </w:t>
            </w:r>
            <w:r w:rsidRPr="00EB5FFB">
              <w:rPr>
                <w:rFonts w:hint="cs"/>
                <w:b/>
                <w:bCs/>
                <w:sz w:val="28"/>
                <w:szCs w:val="28"/>
                <w:rtl/>
                <w:lang w:val="en-GB" w:eastAsia="en-US"/>
              </w:rPr>
              <w:t>مع عدم ثبوت</w:t>
            </w:r>
            <w:r w:rsidRPr="00EB5FFB">
              <w:rPr>
                <w:rFonts w:hint="cs"/>
                <w:sz w:val="28"/>
                <w:szCs w:val="28"/>
                <w:rtl/>
                <w:lang w:val="en-GB" w:eastAsia="en-US"/>
              </w:rPr>
              <w:t xml:space="preserve"> الأصل.</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5</w:t>
            </w:r>
          </w:p>
        </w:tc>
        <w:tc>
          <w:tcPr>
            <w:tcW w:w="1134"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188</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كُلُّ شرطٍ يغيِّرُ حكمَ الشَّرْعِ يَكُونُ باطِلاً.</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100</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 xml:space="preserve">كل شرط يغيّر حكم </w:t>
            </w:r>
            <w:r w:rsidRPr="00EB5FFB">
              <w:rPr>
                <w:rFonts w:hint="cs"/>
                <w:b/>
                <w:bCs/>
                <w:sz w:val="28"/>
                <w:szCs w:val="28"/>
                <w:rtl/>
                <w:lang w:val="en-GB" w:eastAsia="en-US"/>
              </w:rPr>
              <w:t>شرع</w:t>
            </w:r>
            <w:r w:rsidRPr="00EB5FFB">
              <w:rPr>
                <w:rFonts w:hint="cs"/>
                <w:sz w:val="28"/>
                <w:szCs w:val="28"/>
                <w:rtl/>
                <w:lang w:val="en-GB" w:eastAsia="en-US"/>
              </w:rPr>
              <w:t xml:space="preserve"> يكون باطلاً.</w:t>
            </w:r>
          </w:p>
        </w:tc>
      </w:tr>
    </w:tbl>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bidi="ar-AE"/>
        </w:rPr>
        <w:t>هـ</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أن هناك عشر قواعد عند الخادمي تعدّ مختصرة من قواعد ناظرزاده، ويمكن إيضاحها في الجدول الآتي</w:t>
      </w:r>
      <w:r w:rsidR="0048366D">
        <w:rPr>
          <w:rFonts w:hint="cs"/>
          <w:sz w:val="20"/>
          <w:szCs w:val="36"/>
          <w:rtl/>
          <w:lang w:val="en-GB" w:eastAsia="en-US" w:bidi="ar-AE"/>
        </w:rPr>
        <w:t>:</w:t>
      </w:r>
    </w:p>
    <w:p w:rsidR="00EB5FFB" w:rsidRPr="00EB5FFB" w:rsidRDefault="00EB5FFB" w:rsidP="009A68A5">
      <w:pPr>
        <w:widowControl/>
        <w:ind w:firstLine="567"/>
        <w:jc w:val="both"/>
        <w:rPr>
          <w:sz w:val="6"/>
          <w:szCs w:val="22"/>
          <w:rtl/>
          <w:lang w:val="en-GB"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
        <w:gridCol w:w="1116"/>
        <w:gridCol w:w="3396"/>
        <w:gridCol w:w="999"/>
        <w:gridCol w:w="2376"/>
      </w:tblGrid>
      <w:tr w:rsidR="00EB5FFB" w:rsidRPr="00EB5FFB" w:rsidTr="00EB5FFB">
        <w:tc>
          <w:tcPr>
            <w:tcW w:w="549"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م</w:t>
            </w:r>
          </w:p>
        </w:tc>
        <w:tc>
          <w:tcPr>
            <w:tcW w:w="1116"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الرقم عند ناظرزاده</w:t>
            </w:r>
          </w:p>
        </w:tc>
        <w:tc>
          <w:tcPr>
            <w:tcW w:w="3396"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لفظ القاعدة عند ناظرزاده</w:t>
            </w:r>
          </w:p>
        </w:tc>
        <w:tc>
          <w:tcPr>
            <w:tcW w:w="999"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الرقم عند الخادمي</w:t>
            </w:r>
          </w:p>
        </w:tc>
        <w:tc>
          <w:tcPr>
            <w:tcW w:w="2376"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لفظ القاعدة عند الخادمي</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w:t>
            </w:r>
          </w:p>
        </w:tc>
        <w:tc>
          <w:tcPr>
            <w:tcW w:w="339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 xml:space="preserve">الإِبْرَاءُ عَنِ الأَعْيَانِ لاَ يَجُوزُ، وعنْ دعوَاهَا يجوزُ. </w:t>
            </w:r>
          </w:p>
        </w:tc>
        <w:tc>
          <w:tcPr>
            <w:tcW w:w="99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8</w:t>
            </w:r>
          </w:p>
        </w:tc>
        <w:tc>
          <w:tcPr>
            <w:tcW w:w="23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الإبراء عن الأعيان ليس بجائز، دون دعواها.</w:t>
            </w:r>
          </w:p>
        </w:tc>
      </w:tr>
    </w:tbl>
    <w:p w:rsidR="00EB5FFB" w:rsidRPr="00EB5FFB" w:rsidRDefault="00EB5FFB" w:rsidP="009A68A5">
      <w:pPr>
        <w:widowControl/>
        <w:ind w:firstLine="567"/>
        <w:jc w:val="both"/>
        <w:rPr>
          <w:sz w:val="2"/>
          <w:szCs w:val="6"/>
          <w:lang w:val="en-GB" w:eastAsia="en-US"/>
        </w:rPr>
      </w:pPr>
      <w:r w:rsidRPr="00EB5FFB">
        <w:rPr>
          <w:sz w:val="20"/>
          <w:szCs w:val="36"/>
          <w:lang w:val="en-GB" w:eastAsia="en-US"/>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
        <w:gridCol w:w="1116"/>
        <w:gridCol w:w="3396"/>
        <w:gridCol w:w="857"/>
        <w:gridCol w:w="2518"/>
      </w:tblGrid>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lastRenderedPageBreak/>
              <w:t>2</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4</w:t>
            </w:r>
          </w:p>
        </w:tc>
        <w:tc>
          <w:tcPr>
            <w:tcW w:w="339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أَجْزاءُ العِوَضِ تَنْقَسِمُ على أجزاءِ المعوَّضِ، وأجزاءُ الشَّرطِ لا تَنْقَسِمُ على أَجزاءِ المشروطِ</w:t>
            </w:r>
            <w:r w:rsidRPr="00EB5FFB">
              <w:rPr>
                <w:rFonts w:hint="cs"/>
                <w:sz w:val="28"/>
                <w:szCs w:val="28"/>
                <w:rtl/>
                <w:lang w:val="en-GB" w:eastAsia="en-US" w:bidi="ar-AE"/>
              </w:rPr>
              <w:t>.</w:t>
            </w:r>
            <w:r w:rsidRPr="00EB5FFB">
              <w:rPr>
                <w:rFonts w:hint="cs"/>
                <w:sz w:val="28"/>
                <w:szCs w:val="28"/>
                <w:rtl/>
                <w:lang w:val="en-GB" w:eastAsia="en-US"/>
              </w:rPr>
              <w:t xml:space="preserve"> </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9</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أجزاء العوض ينقسم على أجزاء المعوض، بخلاف أجزاء الشرط مع أجزاء المشروط</w:t>
            </w:r>
            <w:r w:rsidRPr="00EB5FFB">
              <w:rPr>
                <w:rFonts w:hint="cs"/>
                <w:sz w:val="28"/>
                <w:szCs w:val="28"/>
                <w:vertAlign w:val="superscript"/>
                <w:rtl/>
                <w:lang w:val="en-GB" w:eastAsia="en-US"/>
              </w:rPr>
              <w:t>(</w:t>
            </w:r>
            <w:r w:rsidRPr="00EB5FFB">
              <w:rPr>
                <w:bCs/>
                <w:sz w:val="28"/>
                <w:szCs w:val="28"/>
                <w:vertAlign w:val="superscript"/>
                <w:rtl/>
                <w:lang w:val="en-GB" w:eastAsia="en-US"/>
              </w:rPr>
              <w:footnoteReference w:id="239"/>
            </w:r>
            <w:r w:rsidRPr="00EB5FFB">
              <w:rPr>
                <w:rFonts w:hint="cs"/>
                <w:sz w:val="28"/>
                <w:szCs w:val="28"/>
                <w:vertAlign w:val="superscript"/>
                <w:rtl/>
                <w:lang w:val="en-GB" w:eastAsia="en-US"/>
              </w:rPr>
              <w:t>)</w:t>
            </w:r>
            <w:r w:rsidRPr="00EB5FFB">
              <w:rPr>
                <w:rFonts w:hint="cs"/>
                <w:sz w:val="28"/>
                <w:szCs w:val="28"/>
                <w:rtl/>
                <w:lang w:val="en-GB" w:eastAsia="en-US"/>
              </w:rPr>
              <w:t>.</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33</w:t>
            </w:r>
          </w:p>
        </w:tc>
        <w:tc>
          <w:tcPr>
            <w:tcW w:w="339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إِعْمَالُ الكَلاَمِ أَوْلَى مِنْ إهمالِهِ متَى أَمْكَنَ، وإذَا لمْ يمكِنْ أُهْمِلَ.</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23</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إعمال الكلام أولى من إهماله؛ إلا أن لا يمكن.</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4</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34</w:t>
            </w:r>
          </w:p>
        </w:tc>
        <w:tc>
          <w:tcPr>
            <w:tcW w:w="339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الاعْتِبَارُ لِلْمَقَاصِدِ والمَعَانِيْ لا للأَلْفاظِ والمَبَانِيْ.</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24</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الاعتبار بالمقاصد لا بالألفاظ</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5</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37</w:t>
            </w:r>
          </w:p>
        </w:tc>
        <w:tc>
          <w:tcPr>
            <w:tcW w:w="339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الأَفْعَالُ المُبَاحَةُ لا يَجُوزُ مُبَاشَرَتُهَا إلاَّ بِشَرْطِ أَنْ لاَ يُؤذِي أَحَدًا.</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26</w:t>
            </w:r>
          </w:p>
        </w:tc>
        <w:tc>
          <w:tcPr>
            <w:tcW w:w="2518" w:type="dxa"/>
          </w:tcPr>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 xml:space="preserve">الأفعال المباحة إنما تجوز بشرط عدم إذاء [هكذا في المجامع </w:t>
            </w:r>
          </w:p>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ومع شرحيه!] أحد</w:t>
            </w:r>
            <w:r w:rsidRPr="00EB5FFB">
              <w:rPr>
                <w:rFonts w:hint="cs"/>
                <w:sz w:val="28"/>
                <w:szCs w:val="28"/>
                <w:vertAlign w:val="superscript"/>
                <w:rtl/>
                <w:lang w:val="en-GB" w:eastAsia="en-US"/>
              </w:rPr>
              <w:t>(</w:t>
            </w:r>
            <w:r w:rsidRPr="00EB5FFB">
              <w:rPr>
                <w:bCs/>
                <w:sz w:val="28"/>
                <w:szCs w:val="32"/>
                <w:vertAlign w:val="superscript"/>
                <w:lang w:val="en-GB" w:eastAsia="en-US"/>
              </w:rPr>
              <w:footnoteReference w:id="240"/>
            </w:r>
            <w:r w:rsidRPr="00EB5FFB">
              <w:rPr>
                <w:rFonts w:hint="cs"/>
                <w:sz w:val="28"/>
                <w:szCs w:val="28"/>
                <w:vertAlign w:val="superscript"/>
                <w:rtl/>
                <w:lang w:val="en-GB" w:eastAsia="en-US"/>
              </w:rPr>
              <w:t>)</w:t>
            </w:r>
            <w:r w:rsidRPr="00EB5FFB">
              <w:rPr>
                <w:rFonts w:hint="cs"/>
                <w:sz w:val="28"/>
                <w:szCs w:val="28"/>
                <w:rtl/>
                <w:lang w:val="en-GB" w:eastAsia="en-US"/>
              </w:rPr>
              <w:t>.</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6</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143</w:t>
            </w:r>
          </w:p>
        </w:tc>
        <w:tc>
          <w:tcPr>
            <w:tcW w:w="339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السُّكُوتُ فِي مَوْضِعِ الحَاجَةِ إلى البَيَانِ تَمَامُ البَيَانِ.</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71</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السكوت في معرض الحاجة بيان</w:t>
            </w:r>
            <w:r w:rsidRPr="00EB5FFB">
              <w:rPr>
                <w:rFonts w:hint="cs"/>
                <w:sz w:val="28"/>
                <w:szCs w:val="28"/>
                <w:vertAlign w:val="superscript"/>
                <w:rtl/>
                <w:lang w:val="en-GB" w:eastAsia="en-US"/>
              </w:rPr>
              <w:t>(</w:t>
            </w:r>
            <w:r w:rsidRPr="00EB5FFB">
              <w:rPr>
                <w:bCs/>
                <w:sz w:val="28"/>
                <w:szCs w:val="32"/>
                <w:vertAlign w:val="superscript"/>
                <w:lang w:val="en-GB" w:eastAsia="en-US"/>
              </w:rPr>
              <w:footnoteReference w:id="241"/>
            </w:r>
            <w:r w:rsidRPr="00EB5FFB">
              <w:rPr>
                <w:rFonts w:hint="cs"/>
                <w:sz w:val="28"/>
                <w:szCs w:val="28"/>
                <w:vertAlign w:val="superscript"/>
                <w:rtl/>
                <w:lang w:val="en-GB" w:eastAsia="en-US"/>
              </w:rPr>
              <w:t>)</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7</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166</w:t>
            </w:r>
          </w:p>
        </w:tc>
        <w:tc>
          <w:tcPr>
            <w:tcW w:w="3396" w:type="dxa"/>
          </w:tcPr>
          <w:p w:rsidR="00EB5FFB" w:rsidRPr="00EB5FFB" w:rsidRDefault="00EB5FFB" w:rsidP="009A68A5">
            <w:pPr>
              <w:widowControl/>
              <w:ind w:firstLine="34"/>
              <w:jc w:val="both"/>
              <w:rPr>
                <w:sz w:val="28"/>
                <w:szCs w:val="28"/>
                <w:lang w:val="en-GB" w:eastAsia="en-US"/>
              </w:rPr>
            </w:pPr>
            <w:r w:rsidRPr="00EB5FFB">
              <w:rPr>
                <w:rFonts w:hint="cs"/>
                <w:sz w:val="28"/>
                <w:szCs w:val="28"/>
                <w:rtl/>
                <w:lang w:val="en-GB" w:eastAsia="en-US"/>
              </w:rPr>
              <w:t>العِبْرَةُ للملفُوظِ نَصًّا دُونَ المَقْصُودِ.</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89</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العبرة للملفوظ.</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8</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206</w:t>
            </w:r>
          </w:p>
        </w:tc>
        <w:tc>
          <w:tcPr>
            <w:tcW w:w="339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يَنْتَصِبُ أَحَدٌ خَصْمًا عَنْ أَحَدٍ بغيرِ إِذْنِهِ قَصْدًا، وَكَالَةً ونِيَابَةً وَوِلايَةً.</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113</w:t>
            </w:r>
          </w:p>
        </w:tc>
        <w:tc>
          <w:tcPr>
            <w:tcW w:w="2518" w:type="dxa"/>
          </w:tcPr>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 xml:space="preserve">لا ينتصب أحد خصمًا عن أحد بلا نيابة ولا وكالة ولا </w:t>
            </w:r>
          </w:p>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ولاية.</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9</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208</w:t>
            </w:r>
          </w:p>
        </w:tc>
        <w:tc>
          <w:tcPr>
            <w:tcW w:w="3396" w:type="dxa"/>
          </w:tcPr>
          <w:p w:rsidR="00EB5FFB" w:rsidRPr="00EB5FFB" w:rsidRDefault="00EB5FFB" w:rsidP="009A68A5">
            <w:pPr>
              <w:widowControl/>
              <w:ind w:firstLine="34"/>
              <w:jc w:val="both"/>
              <w:rPr>
                <w:sz w:val="28"/>
                <w:szCs w:val="28"/>
                <w:rtl/>
                <w:lang w:val="en-GB" w:eastAsia="en-US"/>
              </w:rPr>
            </w:pPr>
            <w:r w:rsidRPr="00EB5FFB">
              <w:rPr>
                <w:rFonts w:hint="cs"/>
                <w:sz w:val="28"/>
                <w:szCs w:val="28"/>
                <w:rtl/>
                <w:lang w:val="en-GB" w:eastAsia="en-US"/>
              </w:rPr>
              <w:t>لاَ تُقَوَّمُ المنافِعُ في أنفُسِهَا، وإنَّمَا تَتَقَوَّمُ؛ لدَفْعِ ضرورةِ الحاجةِ.</w:t>
            </w:r>
          </w:p>
          <w:p w:rsidR="00EB5FFB" w:rsidRPr="00EB5FFB" w:rsidRDefault="00EB5FFB" w:rsidP="009A68A5">
            <w:pPr>
              <w:widowControl/>
              <w:ind w:firstLine="34"/>
              <w:jc w:val="both"/>
              <w:rPr>
                <w:sz w:val="28"/>
                <w:szCs w:val="28"/>
                <w:lang w:val="en-GB" w:eastAsia="en-US"/>
              </w:rPr>
            </w:pPr>
            <w:r w:rsidRPr="00EB5FFB">
              <w:rPr>
                <w:rFonts w:hint="cs"/>
                <w:sz w:val="28"/>
                <w:szCs w:val="28"/>
                <w:rtl/>
                <w:lang w:val="en-GB" w:eastAsia="en-US"/>
              </w:rPr>
              <w:t xml:space="preserve"> </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117</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يقوم المنافع في أنفسها</w:t>
            </w:r>
          </w:p>
        </w:tc>
      </w:tr>
      <w:tr w:rsidR="00EB5FFB" w:rsidRPr="00EB5FFB" w:rsidTr="00EB5FFB">
        <w:tc>
          <w:tcPr>
            <w:tcW w:w="549"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10</w:t>
            </w:r>
          </w:p>
        </w:tc>
        <w:tc>
          <w:tcPr>
            <w:tcW w:w="111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225</w:t>
            </w:r>
          </w:p>
        </w:tc>
        <w:tc>
          <w:tcPr>
            <w:tcW w:w="3396" w:type="dxa"/>
          </w:tcPr>
          <w:p w:rsidR="00EB5FFB" w:rsidRPr="00EB5FFB" w:rsidRDefault="00EB5FFB" w:rsidP="009A68A5">
            <w:pPr>
              <w:widowControl/>
              <w:ind w:firstLine="34"/>
              <w:jc w:val="both"/>
              <w:rPr>
                <w:sz w:val="28"/>
                <w:szCs w:val="28"/>
                <w:lang w:val="en-GB" w:eastAsia="en-US"/>
              </w:rPr>
            </w:pPr>
            <w:r w:rsidRPr="00EB5FFB">
              <w:rPr>
                <w:rFonts w:hint="cs"/>
                <w:sz w:val="28"/>
                <w:szCs w:val="28"/>
                <w:rtl/>
                <w:lang w:val="en-GB" w:eastAsia="en-US"/>
              </w:rPr>
              <w:t>المُبَاشِرُ ضَامِنٌ وإِنْ لَمْ يَتَعَمَّدْ, والمُسَبِّبُ لا إلاّ إذَا كَانَ مُتَعَمِّدًا.</w:t>
            </w:r>
          </w:p>
        </w:tc>
        <w:tc>
          <w:tcPr>
            <w:tcW w:w="85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bidi="ar-AE"/>
              </w:rPr>
              <w:t>131</w:t>
            </w:r>
          </w:p>
        </w:tc>
        <w:tc>
          <w:tcPr>
            <w:tcW w:w="251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المباشر ضامن وإن لم يتعمد، والمسبب لا إلا بالتعمد.</w:t>
            </w:r>
          </w:p>
        </w:tc>
      </w:tr>
    </w:tbl>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و</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أن بعض قواعد الخادمي استفادها من قواعد ناظرزاده، ومن القواعد الثماني والسبعين المضافة إلى نسخة (هـ) معًا، أو أن معناها موجود عند ناظرزاده.</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ويمكن إيضاح هذه القواعد وفق الجدول الآتي</w:t>
      </w:r>
      <w:r w:rsidR="0048366D">
        <w:rPr>
          <w:rFonts w:hint="cs"/>
          <w:sz w:val="20"/>
          <w:szCs w:val="36"/>
          <w:rtl/>
          <w:lang w:val="en-GB" w:eastAsia="en-US" w:bidi="ar-AE"/>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851"/>
        <w:gridCol w:w="1985"/>
        <w:gridCol w:w="1276"/>
        <w:gridCol w:w="1275"/>
        <w:gridCol w:w="851"/>
        <w:gridCol w:w="1668"/>
      </w:tblGrid>
      <w:tr w:rsidR="00EB5FFB" w:rsidRPr="00EB5FFB" w:rsidTr="00EB5FFB">
        <w:tc>
          <w:tcPr>
            <w:tcW w:w="531"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rPr>
              <w:lastRenderedPageBreak/>
              <w:t>م</w:t>
            </w:r>
          </w:p>
        </w:tc>
        <w:tc>
          <w:tcPr>
            <w:tcW w:w="851"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رقمها عند ناظرزاده</w:t>
            </w:r>
          </w:p>
        </w:tc>
        <w:tc>
          <w:tcPr>
            <w:tcW w:w="1985"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لفظ القاعدة عند ناظرزاده</w:t>
            </w:r>
          </w:p>
        </w:tc>
        <w:tc>
          <w:tcPr>
            <w:tcW w:w="1276" w:type="dxa"/>
          </w:tcPr>
          <w:p w:rsidR="00EB5FFB" w:rsidRPr="00EB5FFB" w:rsidRDefault="00EB5FFB" w:rsidP="009A68A5">
            <w:pPr>
              <w:widowControl/>
              <w:ind w:firstLine="0"/>
              <w:jc w:val="both"/>
              <w:rPr>
                <w:b/>
                <w:bCs/>
                <w:spacing w:val="-10"/>
                <w:sz w:val="28"/>
                <w:szCs w:val="28"/>
                <w:lang w:val="en-GB" w:eastAsia="en-US"/>
              </w:rPr>
            </w:pPr>
            <w:r w:rsidRPr="00EB5FFB">
              <w:rPr>
                <w:rFonts w:hint="cs"/>
                <w:b/>
                <w:bCs/>
                <w:spacing w:val="-10"/>
                <w:sz w:val="28"/>
                <w:szCs w:val="28"/>
                <w:rtl/>
                <w:lang w:val="en-GB" w:eastAsia="en-US" w:bidi="ar-AE"/>
              </w:rPr>
              <w:t>رقمها  في القواعد المضافة إلى النسخة (هـ)</w:t>
            </w:r>
          </w:p>
        </w:tc>
        <w:tc>
          <w:tcPr>
            <w:tcW w:w="1275"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rPr>
              <w:t>لفظها في القواعد المضافة إلى النسخة (هـ)</w:t>
            </w:r>
          </w:p>
        </w:tc>
        <w:tc>
          <w:tcPr>
            <w:tcW w:w="851"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رقمها عند الخادمي</w:t>
            </w:r>
          </w:p>
        </w:tc>
        <w:tc>
          <w:tcPr>
            <w:tcW w:w="1668" w:type="dxa"/>
          </w:tcPr>
          <w:p w:rsidR="00EB5FFB" w:rsidRPr="00EB5FFB" w:rsidRDefault="00EB5FFB" w:rsidP="009A68A5">
            <w:pPr>
              <w:widowControl/>
              <w:ind w:firstLine="0"/>
              <w:jc w:val="both"/>
              <w:rPr>
                <w:b/>
                <w:bCs/>
                <w:sz w:val="20"/>
                <w:szCs w:val="36"/>
                <w:lang w:val="en-GB" w:eastAsia="en-US"/>
              </w:rPr>
            </w:pPr>
            <w:r w:rsidRPr="00EB5FFB">
              <w:rPr>
                <w:rFonts w:hint="cs"/>
                <w:b/>
                <w:bCs/>
                <w:sz w:val="28"/>
                <w:szCs w:val="28"/>
                <w:rtl/>
                <w:lang w:val="en-GB" w:eastAsia="en-US" w:bidi="ar-AE"/>
              </w:rPr>
              <w:t>لفظها عند الخادمي</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16</w:t>
            </w:r>
          </w:p>
        </w:tc>
        <w:tc>
          <w:tcPr>
            <w:tcW w:w="198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إذَا اجتَمَعَ الحلالُ والحَرَامُ غُلِّبَ الحَرَامُ.</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w:t>
            </w:r>
          </w:p>
        </w:tc>
        <w:tc>
          <w:tcPr>
            <w:tcW w:w="127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w:t>
            </w:r>
          </w:p>
        </w:tc>
        <w:tc>
          <w:tcPr>
            <w:tcW w:w="166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إذا اجتمع المحرم والمبيح غلب المحرم</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24</w:t>
            </w:r>
          </w:p>
        </w:tc>
        <w:tc>
          <w:tcPr>
            <w:tcW w:w="198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الأشـدُّ يُزالُ بالأخفِّ. (علمًا بأن ناظرزاده عند شرح القاعدة أضاف</w:t>
            </w:r>
            <w:r w:rsidR="0048366D">
              <w:rPr>
                <w:rFonts w:hint="cs"/>
                <w:sz w:val="28"/>
                <w:szCs w:val="28"/>
                <w:rtl/>
                <w:lang w:val="en-GB" w:eastAsia="en-US"/>
              </w:rPr>
              <w:t>:</w:t>
            </w:r>
            <w:r w:rsidRPr="00EB5FFB">
              <w:rPr>
                <w:rFonts w:hint="cs"/>
                <w:sz w:val="28"/>
                <w:szCs w:val="28"/>
                <w:rtl/>
                <w:lang w:val="en-GB" w:eastAsia="en-US"/>
              </w:rPr>
              <w:t xml:space="preserve"> (الضرر)).</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62</w:t>
            </w:r>
          </w:p>
        </w:tc>
        <w:tc>
          <w:tcPr>
            <w:tcW w:w="127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الضرر الأشد يزال بالأخف</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79</w:t>
            </w:r>
          </w:p>
        </w:tc>
        <w:tc>
          <w:tcPr>
            <w:tcW w:w="1668" w:type="dxa"/>
          </w:tcPr>
          <w:p w:rsidR="00EB5FFB" w:rsidRPr="00EB5FFB" w:rsidRDefault="00EB5FFB" w:rsidP="009A68A5">
            <w:pPr>
              <w:widowControl/>
              <w:bidi w:val="0"/>
              <w:ind w:firstLine="0"/>
              <w:jc w:val="both"/>
              <w:rPr>
                <w:sz w:val="28"/>
                <w:szCs w:val="28"/>
                <w:lang w:eastAsia="en-US"/>
              </w:rPr>
            </w:pPr>
            <w:r w:rsidRPr="00EB5FFB">
              <w:rPr>
                <w:rFonts w:hint="cs"/>
                <w:sz w:val="28"/>
                <w:szCs w:val="28"/>
                <w:rtl/>
                <w:lang w:val="en-GB" w:eastAsia="en-US"/>
              </w:rPr>
              <w:t>الضرر الأشد يزال بالأخف</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3</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41</w:t>
            </w:r>
          </w:p>
        </w:tc>
        <w:tc>
          <w:tcPr>
            <w:tcW w:w="198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إِقْرَارُ الإِنْسَانِ لَيْسَ بِحُجَّةٍ عَلَى غَيْرِهِ.</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w:t>
            </w:r>
          </w:p>
        </w:tc>
        <w:tc>
          <w:tcPr>
            <w:tcW w:w="127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28</w:t>
            </w:r>
          </w:p>
        </w:tc>
        <w:tc>
          <w:tcPr>
            <w:tcW w:w="166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الإقرار على الغير ليس بجائز.</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229</w:t>
            </w:r>
          </w:p>
        </w:tc>
        <w:tc>
          <w:tcPr>
            <w:tcW w:w="1985" w:type="dxa"/>
          </w:tcPr>
          <w:p w:rsidR="00EB5FFB" w:rsidRPr="00EB5FFB" w:rsidRDefault="00EB5FFB" w:rsidP="009A68A5">
            <w:pPr>
              <w:widowControl/>
              <w:ind w:firstLine="34"/>
              <w:jc w:val="both"/>
              <w:rPr>
                <w:sz w:val="28"/>
                <w:szCs w:val="28"/>
                <w:rtl/>
                <w:lang w:val="en-GB" w:eastAsia="en-US"/>
              </w:rPr>
            </w:pPr>
            <w:r w:rsidRPr="00EB5FFB">
              <w:rPr>
                <w:rFonts w:hint="cs"/>
                <w:sz w:val="28"/>
                <w:szCs w:val="28"/>
                <w:rtl/>
                <w:lang w:val="en-GB" w:eastAsia="en-US"/>
              </w:rPr>
              <w:t>المُعَلَّقُ بالشَّرْط معدومٌ قَبْلَهُ.</w:t>
            </w:r>
          </w:p>
          <w:p w:rsidR="00EB5FFB" w:rsidRPr="00EB5FFB" w:rsidRDefault="00EB5FFB" w:rsidP="009A68A5">
            <w:pPr>
              <w:widowControl/>
              <w:ind w:firstLine="34"/>
              <w:jc w:val="both"/>
              <w:rPr>
                <w:sz w:val="28"/>
                <w:szCs w:val="28"/>
                <w:lang w:val="en-GB" w:eastAsia="en-US"/>
              </w:rPr>
            </w:pP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76</w:t>
            </w:r>
          </w:p>
        </w:tc>
        <w:tc>
          <w:tcPr>
            <w:tcW w:w="127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المعلق بالشرط يجب ثبوته عند ثبوته.</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138</w:t>
            </w:r>
          </w:p>
        </w:tc>
        <w:tc>
          <w:tcPr>
            <w:tcW w:w="166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المعلق بالشرط يجب ثبوته عند ثبوته، ومعدوم قبل ثبوت شرطه.</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5</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ضمن ق244</w:t>
            </w:r>
          </w:p>
        </w:tc>
        <w:tc>
          <w:tcPr>
            <w:tcW w:w="1985" w:type="dxa"/>
          </w:tcPr>
          <w:p w:rsidR="00EB5FFB" w:rsidRPr="00EB5FFB" w:rsidRDefault="00EB5FFB" w:rsidP="009A68A5">
            <w:pPr>
              <w:widowControl/>
              <w:ind w:firstLine="0"/>
              <w:jc w:val="both"/>
              <w:rPr>
                <w:spacing w:val="-6"/>
                <w:position w:val="-4"/>
                <w:sz w:val="28"/>
                <w:szCs w:val="28"/>
                <w:lang w:val="en-GB" w:eastAsia="en-US"/>
              </w:rPr>
            </w:pPr>
            <w:r w:rsidRPr="00EB5FFB">
              <w:rPr>
                <w:rFonts w:hint="cs"/>
                <w:spacing w:val="-6"/>
                <w:position w:val="-4"/>
                <w:sz w:val="28"/>
                <w:szCs w:val="28"/>
                <w:rtl/>
                <w:lang w:val="en-GB" w:eastAsia="en-US"/>
              </w:rPr>
              <w:t>وفيها قاعدة أخرى</w:t>
            </w:r>
            <w:r w:rsidR="0048366D">
              <w:rPr>
                <w:rFonts w:hint="cs"/>
                <w:spacing w:val="-6"/>
                <w:position w:val="-4"/>
                <w:sz w:val="28"/>
                <w:szCs w:val="28"/>
                <w:rtl/>
                <w:lang w:val="en-GB" w:eastAsia="en-US"/>
              </w:rPr>
              <w:t>:</w:t>
            </w:r>
            <w:r w:rsidRPr="00EB5FFB">
              <w:rPr>
                <w:rFonts w:hint="cs"/>
                <w:spacing w:val="-6"/>
                <w:position w:val="-4"/>
                <w:sz w:val="28"/>
                <w:szCs w:val="28"/>
                <w:rtl/>
                <w:lang w:val="en-GB" w:eastAsia="en-US"/>
              </w:rPr>
              <w:t xml:space="preserve"> ما ثبت بيقين لا يرتفع إلا بيقين. فمن تيّقن بالوضوء وشك في نقضه: فهو على وضوئه.</w:t>
            </w: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w:t>
            </w:r>
          </w:p>
        </w:tc>
        <w:tc>
          <w:tcPr>
            <w:tcW w:w="127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30</w:t>
            </w:r>
          </w:p>
        </w:tc>
        <w:tc>
          <w:tcPr>
            <w:tcW w:w="166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إذا ثبت أصل في الحل والحرمة أو الطهارة أو النجاسة فلا يزال إلا باليقين.</w:t>
            </w:r>
          </w:p>
        </w:tc>
      </w:tr>
      <w:tr w:rsidR="00EB5FFB" w:rsidRPr="00EB5FFB" w:rsidTr="00EB5FFB">
        <w:tc>
          <w:tcPr>
            <w:tcW w:w="53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259</w:t>
            </w:r>
          </w:p>
        </w:tc>
        <w:tc>
          <w:tcPr>
            <w:tcW w:w="1985" w:type="dxa"/>
          </w:tcPr>
          <w:p w:rsidR="00EB5FFB" w:rsidRPr="00EB5FFB" w:rsidRDefault="00EB5FFB" w:rsidP="009A68A5">
            <w:pPr>
              <w:widowControl/>
              <w:ind w:firstLine="34"/>
              <w:jc w:val="both"/>
              <w:rPr>
                <w:sz w:val="28"/>
                <w:szCs w:val="28"/>
                <w:rtl/>
                <w:lang w:val="en-GB" w:eastAsia="en-US"/>
              </w:rPr>
            </w:pPr>
            <w:r w:rsidRPr="00EB5FFB">
              <w:rPr>
                <w:rFonts w:hint="cs"/>
                <w:sz w:val="28"/>
                <w:szCs w:val="28"/>
                <w:rtl/>
                <w:lang w:val="en-GB" w:eastAsia="en-US"/>
              </w:rPr>
              <w:t>يُتحمَّلُ الضَّرَرُ الخَاصُّ لأجلِ دَفْعِ ضَرَرٍ عَامٍّ.</w:t>
            </w:r>
          </w:p>
          <w:p w:rsidR="00EB5FFB" w:rsidRPr="00EB5FFB" w:rsidRDefault="00EB5FFB" w:rsidP="009A68A5">
            <w:pPr>
              <w:widowControl/>
              <w:ind w:firstLine="34"/>
              <w:jc w:val="both"/>
              <w:rPr>
                <w:sz w:val="28"/>
                <w:szCs w:val="28"/>
                <w:lang w:val="en-GB" w:eastAsia="en-US"/>
              </w:rPr>
            </w:pPr>
          </w:p>
        </w:tc>
        <w:tc>
          <w:tcPr>
            <w:tcW w:w="1276"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63</w:t>
            </w:r>
          </w:p>
        </w:tc>
        <w:tc>
          <w:tcPr>
            <w:tcW w:w="127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الضرر الخاص يتحمل لدفع ضرر عام.</w:t>
            </w:r>
          </w:p>
        </w:tc>
        <w:tc>
          <w:tcPr>
            <w:tcW w:w="851"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80</w:t>
            </w:r>
          </w:p>
        </w:tc>
        <w:tc>
          <w:tcPr>
            <w:tcW w:w="1668"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الضرر الخاص يتحمل لدفع ضرر عام.</w:t>
            </w:r>
          </w:p>
        </w:tc>
      </w:tr>
    </w:tbl>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ز</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بقى من قواعد الخادمي ثمان وثلاثون قاعدة.</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 xml:space="preserve">وبالمقارنة بين هذه القواعد المتبقية والقواعد الثماني والسبعون المضافة إلى نسخة (هـ) تبين أنّ خمسًا وعشرين قاعدة منها مستفادة بلفظها أو نحوه أو مختصرة من القواعد المضافة!. </w:t>
      </w:r>
      <w:r w:rsidRPr="00EB5FFB">
        <w:rPr>
          <w:rFonts w:hint="cs"/>
          <w:sz w:val="20"/>
          <w:szCs w:val="36"/>
          <w:rtl/>
          <w:lang w:val="en-GB" w:eastAsia="en-US" w:bidi="ar-AE"/>
        </w:rPr>
        <w:tab/>
        <w:t xml:space="preserve">فلم يبق من قواعد الخادمي التي استقل بها سـوى ثلاث عشرة قاعدة. وهذا العدد يشـكّل (8.4 </w:t>
      </w:r>
      <w:r w:rsidRPr="00EB5FFB">
        <w:rPr>
          <w:rFonts w:hint="cs"/>
          <w:sz w:val="32"/>
          <w:szCs w:val="32"/>
          <w:rtl/>
          <w:lang w:val="en-GB" w:eastAsia="en-US" w:bidi="ar-AE"/>
        </w:rPr>
        <w:t>%</w:t>
      </w:r>
      <w:r w:rsidRPr="00EB5FFB">
        <w:rPr>
          <w:rFonts w:hint="cs"/>
          <w:sz w:val="20"/>
          <w:szCs w:val="36"/>
          <w:rtl/>
          <w:lang w:val="en-GB" w:eastAsia="en-US" w:bidi="ar-AE"/>
        </w:rPr>
        <w:t>) فقط من قواعده.</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lastRenderedPageBreak/>
        <w:t>وهذه القواعد التي استقل بها أرقامها هي</w:t>
      </w:r>
      <w:r w:rsidR="0048366D">
        <w:rPr>
          <w:rFonts w:hint="cs"/>
          <w:sz w:val="20"/>
          <w:szCs w:val="36"/>
          <w:rtl/>
          <w:lang w:val="en-GB" w:eastAsia="en-US" w:bidi="ar-AE"/>
        </w:rPr>
        <w:t>:</w:t>
      </w:r>
      <w:r w:rsidRPr="00EB5FFB">
        <w:rPr>
          <w:rFonts w:hint="cs"/>
          <w:sz w:val="20"/>
          <w:szCs w:val="36"/>
          <w:rtl/>
          <w:lang w:val="en-GB" w:eastAsia="en-US" w:bidi="ar-AE"/>
        </w:rPr>
        <w:t xml:space="preserve"> 1، 45، 60، 64، 75، 83، 86، 119، 120، 121، 122، 148، 152.</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أما القواعد الخمس والعشرون فيمكن إيضاح وجه استفادتها من القواعد المضافة إلى نسخة (هـ) وفق الجدول الآتي</w:t>
      </w:r>
      <w:r w:rsidR="0048366D">
        <w:rPr>
          <w:rFonts w:hint="cs"/>
          <w:sz w:val="20"/>
          <w:szCs w:val="36"/>
          <w:rtl/>
          <w:lang w:val="en-GB" w:eastAsia="en-US" w:bidi="ar-AE"/>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992"/>
        <w:gridCol w:w="2977"/>
        <w:gridCol w:w="781"/>
        <w:gridCol w:w="2887"/>
      </w:tblGrid>
      <w:tr w:rsidR="00EB5FFB" w:rsidRPr="00EB5FFB" w:rsidTr="00EB5FFB">
        <w:tc>
          <w:tcPr>
            <w:tcW w:w="815"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م</w:t>
            </w:r>
          </w:p>
        </w:tc>
        <w:tc>
          <w:tcPr>
            <w:tcW w:w="992"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رقمها في القواعد المضافة</w:t>
            </w:r>
          </w:p>
        </w:tc>
        <w:tc>
          <w:tcPr>
            <w:tcW w:w="2977"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لفظ القاعدة في القواعد المضافة لنسخة (هـ)</w:t>
            </w:r>
          </w:p>
        </w:tc>
        <w:tc>
          <w:tcPr>
            <w:tcW w:w="765"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رقمها عند الخادمي</w:t>
            </w:r>
          </w:p>
        </w:tc>
        <w:tc>
          <w:tcPr>
            <w:tcW w:w="2887" w:type="dxa"/>
          </w:tcPr>
          <w:p w:rsidR="00EB5FFB" w:rsidRPr="00EB5FFB" w:rsidRDefault="00EB5FFB" w:rsidP="009A68A5">
            <w:pPr>
              <w:widowControl/>
              <w:ind w:firstLine="0"/>
              <w:jc w:val="both"/>
              <w:rPr>
                <w:b/>
                <w:bCs/>
                <w:sz w:val="28"/>
                <w:szCs w:val="28"/>
                <w:lang w:val="en-GB" w:eastAsia="en-US"/>
              </w:rPr>
            </w:pPr>
            <w:r w:rsidRPr="00EB5FFB">
              <w:rPr>
                <w:rFonts w:hint="cs"/>
                <w:b/>
                <w:bCs/>
                <w:sz w:val="28"/>
                <w:szCs w:val="28"/>
                <w:rtl/>
                <w:lang w:val="en-GB" w:eastAsia="en-US" w:bidi="ar-AE"/>
              </w:rPr>
              <w:t>لفظها عند الخادمي</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يوصف الصبي قبل البلوغ بالكراهة.</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112</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 لفظ القاعدة السابقة</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ما يتردّد بين الفرض والبدعة: فإثباته أولى. وبين السنة والبدعة: فتركه أولى على الأكثر المختار. وبين الواجب والبدعة: فإثباته أولى عند الأكثر.</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133</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ما يتردّد بين الفرض والبدعة: فإثباته أولى. وما بين السنة والبدعة: فتركه أولى. وما بين الواجب والبدعة: فإثباته أولى.</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3</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8+13</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العبرة للغالب الشائع لا النادر.</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91</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10</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عبرة بالظّنيّات في باب الاعتقادات.</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110</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5</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12</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المطلق إنما يجري على إطلاقه إذا لم يقم دليل التقييد نصّا أو دلالة.</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134</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14</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إخبار المجتهد عن فعل يقتضي وجوبه كإخبار الشرع. فإنه أوكد من الأمر به، كما في (الكافي). وما في (الهداية): الأولوية لا الوجوب.</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19</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إخبار المجتهد عن فعل للوجوب، كما في (الكافي). وللندب، كما في (الهداية).</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7+8</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16</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الجهل بالأحكام في دار الإسلام ليس بعذر، كما في نكاح الفقهية [هكذا! ولعله يرمز إلى كتاب معين]. لكن في (الذّخيرة): الجهل إنما يكون عذرًا إذا لم يقع حاجة إليها.</w:t>
            </w:r>
          </w:p>
        </w:tc>
        <w:tc>
          <w:tcPr>
            <w:tcW w:w="765" w:type="dxa"/>
          </w:tcPr>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55</w:t>
            </w:r>
          </w:p>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w:t>
            </w:r>
          </w:p>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56</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الجهل بالأحكام في دار الإسلام ليس بعذر. والجهل إنما يكون عذرًا إذا لم يقع حاجة إليها.</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9</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26</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ننكر تغيّر الاحكام بتغيّر الأزمان؛ كغلق باب المسجد.</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111</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ينكر تغيّر الأحكام بتغيّر الأزمان.</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lastRenderedPageBreak/>
              <w:t>10</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40</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العبرة للمعاني. (درر)</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90</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العبرة للمعاني. (تحقيقها قبيل شفعة الدرر)</w:t>
            </w:r>
            <w:r w:rsidRPr="00EB5FFB">
              <w:rPr>
                <w:rFonts w:hint="cs"/>
                <w:sz w:val="28"/>
                <w:szCs w:val="28"/>
                <w:vertAlign w:val="superscript"/>
                <w:rtl/>
                <w:lang w:val="en-GB" w:eastAsia="en-US"/>
              </w:rPr>
              <w:t>(</w:t>
            </w:r>
            <w:r w:rsidRPr="00EB5FFB">
              <w:rPr>
                <w:bCs/>
                <w:sz w:val="28"/>
                <w:szCs w:val="32"/>
                <w:vertAlign w:val="superscript"/>
                <w:lang w:val="en-GB" w:eastAsia="en-US"/>
              </w:rPr>
              <w:footnoteReference w:id="242"/>
            </w:r>
            <w:r w:rsidRPr="00EB5FFB">
              <w:rPr>
                <w:rFonts w:hint="cs"/>
                <w:sz w:val="28"/>
                <w:szCs w:val="28"/>
                <w:vertAlign w:val="superscript"/>
                <w:rtl/>
                <w:lang w:val="en-GB" w:eastAsia="en-US"/>
              </w:rPr>
              <w:t>)</w:t>
            </w:r>
            <w:r w:rsidRPr="00EB5FFB">
              <w:rPr>
                <w:rFonts w:hint="cs"/>
                <w:sz w:val="28"/>
                <w:szCs w:val="28"/>
                <w:rtl/>
                <w:lang w:val="en-GB" w:eastAsia="en-US"/>
              </w:rPr>
              <w:t>.</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11</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44</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للوسائل أحكام المقاصد.</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101</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12</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47+59</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استعمال الناس حجة يجب العمل بها.</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13</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49</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العلة لا ترجّح بزيادة من جنسها.</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92</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العلة ترجّح بزيادة من جنسها.</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14</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51</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عبرة للدلالة بمقابلة التصريح.</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108</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عبرة للدلالة في مقابلة التصريح.</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15</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52</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ليس كل ما فيه معنى الشيء حكمه حكم ذلك الشيء.</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102</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16</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61</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الشبهة تكفي لإثبات العبادات.</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72</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17</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66</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عدم ثبوت حكم الشيء لعدم ثبوت شرائطه ليس رفعًا له.</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93</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 xml:space="preserve">نفسه. </w:t>
            </w:r>
            <w:r w:rsidRPr="00EB5FFB">
              <w:rPr>
                <w:rFonts w:hint="cs"/>
                <w:sz w:val="28"/>
                <w:szCs w:val="28"/>
                <w:vertAlign w:val="superscript"/>
                <w:rtl/>
                <w:lang w:val="en-GB" w:eastAsia="en-US"/>
              </w:rPr>
              <w:t>(</w:t>
            </w:r>
            <w:r w:rsidRPr="00EB5FFB">
              <w:rPr>
                <w:rFonts w:hint="cs"/>
                <w:b/>
                <w:bCs/>
                <w:sz w:val="28"/>
                <w:szCs w:val="28"/>
                <w:vertAlign w:val="superscript"/>
                <w:rtl/>
                <w:lang w:val="en-GB" w:eastAsia="en-US"/>
              </w:rPr>
              <w:t>1</w:t>
            </w:r>
            <w:r w:rsidRPr="00EB5FFB">
              <w:rPr>
                <w:rFonts w:hint="cs"/>
                <w:sz w:val="28"/>
                <w:szCs w:val="28"/>
                <w:vertAlign w:val="superscript"/>
                <w:rtl/>
                <w:lang w:val="en-GB" w:eastAsia="en-US"/>
              </w:rPr>
              <w:t>)</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18</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69</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إلزام إلا بمجمع ما لم يثبت بدليل.</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103</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19</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70</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حجة مع الاحتمال.</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116</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حجة مع الاحتمال الناشئ عن دليل.</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20</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72</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ما جاز بعذر بطل بزواله.</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124</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 xml:space="preserve">21 </w:t>
            </w:r>
          </w:p>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w:t>
            </w:r>
          </w:p>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22</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73</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ما ثبت حكمًا أصليًّا لا يسقط بالعوارض؛ كالنية لا تسقط بعارض تأخير الصلاة إلى آخر وقت لا يسع إلا الفرض.</w:t>
            </w:r>
          </w:p>
        </w:tc>
        <w:tc>
          <w:tcPr>
            <w:tcW w:w="765" w:type="dxa"/>
          </w:tcPr>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123</w:t>
            </w:r>
          </w:p>
          <w:p w:rsidR="00EB5FFB" w:rsidRPr="00EB5FFB" w:rsidRDefault="00EB5FFB" w:rsidP="009A68A5">
            <w:pPr>
              <w:widowControl/>
              <w:ind w:firstLine="0"/>
              <w:jc w:val="both"/>
              <w:rPr>
                <w:sz w:val="28"/>
                <w:szCs w:val="28"/>
                <w:rtl/>
                <w:lang w:val="en-GB" w:eastAsia="en-US"/>
              </w:rPr>
            </w:pPr>
            <w:r w:rsidRPr="00EB5FFB">
              <w:rPr>
                <w:rFonts w:hint="cs"/>
                <w:sz w:val="28"/>
                <w:szCs w:val="28"/>
                <w:rtl/>
                <w:lang w:val="en-GB" w:eastAsia="en-US"/>
              </w:rPr>
              <w:t>+</w:t>
            </w:r>
          </w:p>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125</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لا يسقط الحكم الأصلي بالعوارض الجزئية. ما ثبت حكمًا أصليًّا لا يسقط بالعوارض.</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23</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74</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المرء مؤاخذ بإقراره.</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132</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24</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75</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المثال الجزئي لا يصحّح القاعدة الكلية.</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137</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r w:rsidR="00EB5FFB" w:rsidRPr="00EB5FFB" w:rsidTr="00EB5FFB">
        <w:tc>
          <w:tcPr>
            <w:tcW w:w="81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25</w:t>
            </w:r>
          </w:p>
        </w:tc>
        <w:tc>
          <w:tcPr>
            <w:tcW w:w="992"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78</w:t>
            </w:r>
          </w:p>
        </w:tc>
        <w:tc>
          <w:tcPr>
            <w:tcW w:w="297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الواجب لا يتقيّد بوصف السلامة، والمباح يتقيّد به.</w:t>
            </w:r>
          </w:p>
        </w:tc>
        <w:tc>
          <w:tcPr>
            <w:tcW w:w="765"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145</w:t>
            </w:r>
          </w:p>
        </w:tc>
        <w:tc>
          <w:tcPr>
            <w:tcW w:w="2887" w:type="dxa"/>
          </w:tcPr>
          <w:p w:rsidR="00EB5FFB" w:rsidRPr="00EB5FFB" w:rsidRDefault="00EB5FFB" w:rsidP="009A68A5">
            <w:pPr>
              <w:widowControl/>
              <w:ind w:firstLine="0"/>
              <w:jc w:val="both"/>
              <w:rPr>
                <w:sz w:val="28"/>
                <w:szCs w:val="28"/>
                <w:lang w:val="en-GB" w:eastAsia="en-US"/>
              </w:rPr>
            </w:pPr>
            <w:r w:rsidRPr="00EB5FFB">
              <w:rPr>
                <w:rFonts w:hint="cs"/>
                <w:sz w:val="28"/>
                <w:szCs w:val="28"/>
                <w:rtl/>
                <w:lang w:val="en-GB" w:eastAsia="en-US"/>
              </w:rPr>
              <w:t>نفسه.</w:t>
            </w:r>
          </w:p>
        </w:tc>
      </w:tr>
    </w:tbl>
    <w:p w:rsidR="00EB5FFB" w:rsidRPr="00EB5FFB" w:rsidRDefault="00EB5FFB" w:rsidP="009A68A5">
      <w:pPr>
        <w:widowControl/>
        <w:ind w:firstLine="567"/>
        <w:jc w:val="both"/>
        <w:rPr>
          <w:sz w:val="20"/>
          <w:szCs w:val="36"/>
          <w:rtl/>
          <w:lang w:val="en-GB" w:eastAsia="en-US" w:bidi="ar-AE"/>
        </w:rPr>
      </w:pP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ح - ومن أقوى الأدلة على أن الخادمي استفاد من ناظرزاده</w:t>
      </w:r>
      <w:r w:rsidR="0048366D">
        <w:rPr>
          <w:rFonts w:hint="cs"/>
          <w:sz w:val="20"/>
          <w:szCs w:val="36"/>
          <w:rtl/>
          <w:lang w:val="en-GB" w:eastAsia="en-US" w:bidi="ar-AE"/>
        </w:rPr>
        <w:t>:</w:t>
      </w:r>
      <w:r w:rsidRPr="00EB5FFB">
        <w:rPr>
          <w:rFonts w:hint="cs"/>
          <w:sz w:val="20"/>
          <w:szCs w:val="36"/>
          <w:rtl/>
          <w:lang w:val="en-GB" w:eastAsia="en-US" w:bidi="ar-AE"/>
        </w:rPr>
        <w:t xml:space="preserve"> أن العلائي والحصاري عند شرحهما للقواعد ينقلان أحيانًا نصوصًا عن الخادمي. وبالمقارنة بين هذه النصوص، وما </w:t>
      </w:r>
      <w:r w:rsidRPr="00EB5FFB">
        <w:rPr>
          <w:rFonts w:hint="cs"/>
          <w:sz w:val="20"/>
          <w:szCs w:val="36"/>
          <w:rtl/>
          <w:lang w:val="en-GB" w:eastAsia="en-US" w:bidi="ar-AE"/>
        </w:rPr>
        <w:lastRenderedPageBreak/>
        <w:t>جاء في شرح ناظرزاده لقواعده يلفت النظر التقارب الشديد بينهما، وهذا التقارب يصل غالبًا إلى التطابق اللفظي!.</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وتكرُّر هذا التطابق يدّل دلالة واضحة على أنّ ناظرزاده هو مصدر هذه النصوص.</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ومن أمثلة ذلك</w:t>
      </w:r>
      <w:r w:rsidR="0048366D">
        <w:rPr>
          <w:rFonts w:hint="cs"/>
          <w:sz w:val="20"/>
          <w:szCs w:val="36"/>
          <w:rtl/>
          <w:lang w:val="en-GB" w:eastAsia="en-US" w:bidi="ar-AE"/>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bidi="ar-AE"/>
        </w:rPr>
        <w:t>1-</w:t>
      </w:r>
      <w:r w:rsidRPr="00EB5FFB">
        <w:rPr>
          <w:rFonts w:hint="cs"/>
          <w:sz w:val="20"/>
          <w:szCs w:val="36"/>
          <w:rtl/>
          <w:lang w:val="en-GB" w:eastAsia="en-US" w:bidi="ar-AE"/>
        </w:rPr>
        <w:t xml:space="preserve"> ما جاء في شرح العلائي لقواعد الخادمي ومنافع الدقائق للحصاري</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43"/>
      </w:r>
      <w:r w:rsidRPr="00EB5FFB">
        <w:rPr>
          <w:rFonts w:hint="cs"/>
          <w:sz w:val="20"/>
          <w:szCs w:val="36"/>
          <w:vertAlign w:val="superscript"/>
          <w:rtl/>
          <w:lang w:val="en-GB" w:eastAsia="en-US"/>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قوله: الأجر والضمان</w:t>
      </w:r>
      <w:r w:rsidR="0048366D">
        <w:rPr>
          <w:rFonts w:hint="cs"/>
          <w:sz w:val="20"/>
          <w:szCs w:val="36"/>
          <w:rtl/>
          <w:lang w:val="en-GB" w:eastAsia="en-US"/>
        </w:rPr>
        <w:t>:</w:t>
      </w:r>
      <w:r w:rsidRPr="00EB5FFB">
        <w:rPr>
          <w:rFonts w:hint="cs"/>
          <w:sz w:val="20"/>
          <w:szCs w:val="36"/>
          <w:rtl/>
          <w:lang w:val="en-GB" w:eastAsia="en-US"/>
        </w:rPr>
        <w:t xml:space="preserve"> نُقل عنه [أي</w:t>
      </w:r>
      <w:r w:rsidR="0048366D">
        <w:rPr>
          <w:rFonts w:hint="cs"/>
          <w:sz w:val="20"/>
          <w:szCs w:val="36"/>
          <w:rtl/>
          <w:lang w:val="en-GB" w:eastAsia="en-US"/>
        </w:rPr>
        <w:t>:</w:t>
      </w:r>
      <w:r w:rsidRPr="00EB5FFB">
        <w:rPr>
          <w:rFonts w:hint="cs"/>
          <w:sz w:val="20"/>
          <w:szCs w:val="36"/>
          <w:rtl/>
          <w:lang w:val="en-GB" w:eastAsia="en-US"/>
        </w:rPr>
        <w:t xml:space="preserve"> عن الخادمي]</w:t>
      </w:r>
      <w:r w:rsidR="0048366D">
        <w:rPr>
          <w:rFonts w:hint="cs"/>
          <w:sz w:val="20"/>
          <w:szCs w:val="36"/>
          <w:rtl/>
          <w:lang w:val="en-GB" w:eastAsia="en-US"/>
        </w:rPr>
        <w:t>:</w:t>
      </w:r>
      <w:r w:rsidRPr="00EB5FFB">
        <w:rPr>
          <w:rFonts w:hint="cs"/>
          <w:sz w:val="20"/>
          <w:szCs w:val="36"/>
          <w:rtl/>
          <w:lang w:val="en-GB" w:eastAsia="en-US"/>
        </w:rPr>
        <w:t xml:space="preserve"> فلو غصب دابة، أو دارًا واستعمل</w:t>
      </w:r>
      <w:r w:rsidR="0048366D">
        <w:rPr>
          <w:rFonts w:hint="cs"/>
          <w:sz w:val="20"/>
          <w:szCs w:val="36"/>
          <w:rtl/>
          <w:lang w:val="en-GB" w:eastAsia="en-US"/>
        </w:rPr>
        <w:t>:</w:t>
      </w:r>
      <w:r w:rsidRPr="00EB5FFB">
        <w:rPr>
          <w:rFonts w:hint="cs"/>
          <w:sz w:val="20"/>
          <w:szCs w:val="36"/>
          <w:rtl/>
          <w:lang w:val="en-GB" w:eastAsia="en-US"/>
        </w:rPr>
        <w:t xml:space="preserve"> لا يضمن منافعهما، بعد ضمان أنفسهما. انتهى</w:t>
      </w:r>
      <w:r w:rsidRPr="00EB5FFB">
        <w:rPr>
          <w:rFonts w:hint="eastAsia"/>
          <w:sz w:val="20"/>
          <w:szCs w:val="36"/>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ولفظ ناظرزاده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الأجر والضمان لا يجتمعان</w:t>
      </w:r>
      <w:r w:rsidR="0048366D">
        <w:rPr>
          <w:rFonts w:hint="cs"/>
          <w:sz w:val="20"/>
          <w:szCs w:val="36"/>
          <w:rtl/>
          <w:lang w:val="en-GB" w:eastAsia="en-US"/>
        </w:rPr>
        <w:t>:</w:t>
      </w:r>
      <w:r w:rsidRPr="00EB5FFB">
        <w:rPr>
          <w:rFonts w:hint="cs"/>
          <w:sz w:val="20"/>
          <w:szCs w:val="36"/>
          <w:rtl/>
          <w:lang w:val="en-GB" w:eastAsia="en-US"/>
        </w:rPr>
        <w:t xml:space="preserve"> ولذا</w:t>
      </w:r>
      <w:r w:rsidR="0048366D">
        <w:rPr>
          <w:rFonts w:hint="cs"/>
          <w:sz w:val="20"/>
          <w:szCs w:val="36"/>
          <w:rtl/>
          <w:lang w:val="en-GB" w:eastAsia="en-US"/>
        </w:rPr>
        <w:t>.</w:t>
      </w:r>
      <w:r w:rsidRPr="00EB5FFB">
        <w:rPr>
          <w:rFonts w:hint="cs"/>
          <w:sz w:val="20"/>
          <w:szCs w:val="36"/>
          <w:rtl/>
          <w:lang w:val="en-GB" w:eastAsia="en-US"/>
        </w:rPr>
        <w:t>.. وكذا إذا غصب دابة أو دارًا واستعمل</w:t>
      </w:r>
      <w:r w:rsidR="0048366D">
        <w:rPr>
          <w:rFonts w:hint="cs"/>
          <w:sz w:val="20"/>
          <w:szCs w:val="36"/>
          <w:rtl/>
          <w:lang w:val="en-GB" w:eastAsia="en-US"/>
        </w:rPr>
        <w:t>:</w:t>
      </w:r>
      <w:r w:rsidRPr="00EB5FFB">
        <w:rPr>
          <w:rFonts w:hint="cs"/>
          <w:sz w:val="20"/>
          <w:szCs w:val="36"/>
          <w:rtl/>
          <w:lang w:val="en-GB" w:eastAsia="en-US"/>
        </w:rPr>
        <w:t xml:space="preserve"> لا يضمن منافعهما؛ لأن</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4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وهذه المسألة قد تم توثيق معناها من تسعة كتب، ولم ترد المسألة في واحد منها بهذا اللفظ. وهذا يؤكد أن هذا اللفظ من تعبير ناظرزاده.</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2</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وما جاء في الشرحين السابقين</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45"/>
      </w:r>
      <w:r w:rsidRPr="00EB5FFB">
        <w:rPr>
          <w:rFonts w:hint="cs"/>
          <w:sz w:val="20"/>
          <w:szCs w:val="36"/>
          <w:vertAlign w:val="superscript"/>
          <w:rtl/>
          <w:lang w:val="en-GB" w:eastAsia="en-US"/>
        </w:rPr>
        <w:t>)</w:t>
      </w:r>
      <w:r w:rsidR="0048366D">
        <w:rPr>
          <w:rFonts w:hint="cs"/>
          <w:sz w:val="20"/>
          <w:szCs w:val="36"/>
          <w:vertAlign w:val="superscript"/>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eastAsia"/>
          <w:sz w:val="20"/>
          <w:szCs w:val="36"/>
          <w:rtl/>
          <w:lang w:val="en-GB" w:eastAsia="en-US"/>
        </w:rPr>
        <w:t>«</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اختلاف الأسباب بمنزلة اختلاف الأعيان</w:t>
      </w:r>
      <w:r w:rsidR="0048366D">
        <w:rPr>
          <w:rFonts w:hint="cs"/>
          <w:sz w:val="20"/>
          <w:szCs w:val="36"/>
          <w:rtl/>
          <w:lang w:val="en-GB" w:eastAsia="en-US"/>
        </w:rPr>
        <w:t>:</w:t>
      </w:r>
      <w:r w:rsidRPr="00EB5FFB">
        <w:rPr>
          <w:rFonts w:hint="cs"/>
          <w:sz w:val="20"/>
          <w:szCs w:val="36"/>
          <w:rtl/>
          <w:lang w:val="en-GB" w:eastAsia="en-US"/>
        </w:rPr>
        <w:t xml:space="preserve"> نُقل عنه - رحمه الله -</w:t>
      </w:r>
      <w:r w:rsidR="0048366D">
        <w:rPr>
          <w:rFonts w:hint="cs"/>
          <w:sz w:val="20"/>
          <w:szCs w:val="36"/>
          <w:rtl/>
          <w:lang w:val="en-GB" w:eastAsia="en-US"/>
        </w:rPr>
        <w:t>:</w:t>
      </w:r>
      <w:r w:rsidRPr="00EB5FFB">
        <w:rPr>
          <w:rFonts w:hint="cs"/>
          <w:sz w:val="20"/>
          <w:szCs w:val="36"/>
          <w:rtl/>
          <w:lang w:val="en-GB" w:eastAsia="en-US"/>
        </w:rPr>
        <w:t xml:space="preserve"> فلو اشترى البائع المبيع قبل قبض الثمن من مشتريه بلا واسطة مـشتر آخر بأقل ممّا باعه لم يجز، وبواسطة مشـترٍ آخر يجوز؛ لأن اختلاف السبب (وهو العقد) بمـنـزلة اختلاف العين. انتـهـى</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ولفظ الخادمي هذا مطابق للفظ ناظرزاده مع حذف الخادمي لكلمة واحدة في آخر العبارة وهي</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...(وهو العقد) </w:t>
      </w:r>
      <w:r w:rsidRPr="00EB5FFB">
        <w:rPr>
          <w:rFonts w:hint="cs"/>
          <w:b/>
          <w:bCs/>
          <w:sz w:val="20"/>
          <w:szCs w:val="36"/>
          <w:rtl/>
          <w:lang w:val="en-GB" w:eastAsia="en-US"/>
        </w:rPr>
        <w:t>ينـزل</w:t>
      </w:r>
      <w:r w:rsidRPr="00EB5FFB">
        <w:rPr>
          <w:rFonts w:hint="cs"/>
          <w:sz w:val="20"/>
          <w:szCs w:val="36"/>
          <w:rtl/>
          <w:lang w:val="en-GB" w:eastAsia="en-US"/>
        </w:rPr>
        <w:t xml:space="preserve"> منـزلة اختلاف العين</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4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pacing w:val="-4"/>
          <w:sz w:val="35"/>
          <w:szCs w:val="36"/>
          <w:rtl/>
          <w:lang w:val="en-GB" w:eastAsia="en-US"/>
        </w:rPr>
      </w:pPr>
      <w:r w:rsidRPr="00EB5FFB">
        <w:rPr>
          <w:rFonts w:hint="cs"/>
          <w:spacing w:val="-4"/>
          <w:sz w:val="35"/>
          <w:szCs w:val="36"/>
          <w:rtl/>
          <w:lang w:val="en-GB" w:eastAsia="en-US"/>
        </w:rPr>
        <w:lastRenderedPageBreak/>
        <w:t>وعند توثيق هذه المسألة عند ناظرزاده تـمَّ توثيق معناها من ثلاثة كتب متقدمة على المؤلف، وليس لفظها في واحد منها. بل إن ناظرزاده أعاد هذه المسألة - في موضع لاحق - وصرح بعزوها إلى (العناية)، ولفظ العناية مخالف للفظ ناظرزاده. وهذا يعني أن ناظرزاده مستقلٌّ بهذا اللفظ.</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3-</w:t>
      </w:r>
      <w:r w:rsidRPr="00EB5FFB">
        <w:rPr>
          <w:rFonts w:hint="cs"/>
          <w:sz w:val="20"/>
          <w:szCs w:val="36"/>
          <w:rtl/>
          <w:lang w:val="en-GB" w:eastAsia="en-US"/>
        </w:rPr>
        <w:t xml:space="preserve"> وما جاء في الشرحين المذكورين</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47"/>
      </w:r>
      <w:r w:rsidRPr="00EB5FFB">
        <w:rPr>
          <w:rFonts w:hint="cs"/>
          <w:sz w:val="20"/>
          <w:szCs w:val="36"/>
          <w:vertAlign w:val="superscript"/>
          <w:rtl/>
          <w:lang w:val="en-GB" w:eastAsia="en-US"/>
        </w:rPr>
        <w:t>)</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eastAsia"/>
          <w:sz w:val="20"/>
          <w:szCs w:val="36"/>
          <w:rtl/>
          <w:lang w:val="en-GB" w:eastAsia="en-US"/>
        </w:rPr>
        <w:t>«</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الممتنع عادة كالممتنع حقيقة. ولهذا لزم على المقرّ ما أقرّ به للمقرّ له؛ لأن إقراره للغير كاذبًا ممتنع عادة. انتهى</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وقد اكتفى الشارحان بنقل هذا المثال دون تعليق عليه. وهو بلفظه مذكور في قواعد ناظرزاده</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4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4-</w:t>
      </w:r>
      <w:r w:rsidRPr="00EB5FFB">
        <w:rPr>
          <w:rFonts w:hint="cs"/>
          <w:sz w:val="20"/>
          <w:szCs w:val="36"/>
          <w:rtl/>
          <w:lang w:val="en-GB" w:eastAsia="en-US"/>
        </w:rPr>
        <w:t xml:space="preserve"> وما جاء في الشرحين المذكورين</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49"/>
      </w:r>
      <w:r w:rsidRPr="00EB5FFB">
        <w:rPr>
          <w:rFonts w:hint="cs"/>
          <w:sz w:val="20"/>
          <w:szCs w:val="36"/>
          <w:vertAlign w:val="superscript"/>
          <w:rtl/>
          <w:lang w:val="en-GB" w:eastAsia="en-US"/>
        </w:rPr>
        <w:t>)</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eastAsia"/>
          <w:sz w:val="20"/>
          <w:szCs w:val="36"/>
          <w:rtl/>
          <w:lang w:val="en-GB" w:eastAsia="en-US"/>
        </w:rPr>
        <w:t>«</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من شك هل فعل شيئًا أولا فالأصل أنه لم يفعل</w:t>
      </w:r>
      <w:r w:rsidR="0048366D">
        <w:rPr>
          <w:rFonts w:hint="cs"/>
          <w:sz w:val="20"/>
          <w:szCs w:val="36"/>
          <w:rtl/>
          <w:lang w:val="en-GB" w:eastAsia="en-US"/>
        </w:rPr>
        <w:t>:</w:t>
      </w:r>
      <w:r w:rsidRPr="00EB5FFB">
        <w:rPr>
          <w:rFonts w:hint="cs"/>
          <w:sz w:val="20"/>
          <w:szCs w:val="36"/>
          <w:rtl/>
          <w:lang w:val="en-GB" w:eastAsia="en-US"/>
        </w:rPr>
        <w:t xml:space="preserve"> كمن شك أنه متوضئ أم لا</w:t>
      </w:r>
      <w:r w:rsidR="0048366D">
        <w:rPr>
          <w:rFonts w:hint="cs"/>
          <w:sz w:val="20"/>
          <w:szCs w:val="36"/>
          <w:rtl/>
          <w:lang w:val="en-GB" w:eastAsia="en-US"/>
        </w:rPr>
        <w:t>:</w:t>
      </w:r>
      <w:r w:rsidRPr="00EB5FFB">
        <w:rPr>
          <w:rFonts w:hint="cs"/>
          <w:sz w:val="20"/>
          <w:szCs w:val="36"/>
          <w:rtl/>
          <w:lang w:val="en-GB" w:eastAsia="en-US"/>
        </w:rPr>
        <w:t xml:space="preserve"> فهو محدث. انتهى</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فهذه القاعدة وهذا المثال وردا بلفظهما في قواعد ناظرزاده</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5</w:t>
      </w:r>
      <w:r w:rsidRPr="00EB5FFB">
        <w:rPr>
          <w:b/>
          <w:bCs/>
          <w:sz w:val="20"/>
          <w:szCs w:val="36"/>
          <w:rtl/>
          <w:lang w:val="en-GB" w:eastAsia="en-US"/>
        </w:rPr>
        <w:t>–</w:t>
      </w:r>
      <w:r w:rsidRPr="00EB5FFB">
        <w:rPr>
          <w:rFonts w:hint="cs"/>
          <w:sz w:val="20"/>
          <w:szCs w:val="36"/>
          <w:rtl/>
          <w:lang w:val="en-GB" w:eastAsia="en-US"/>
        </w:rPr>
        <w:t xml:space="preserve"> ومن أقوى ما يدلّ على أن هذه النصوص مستفادة من ناظرزاده</w:t>
      </w:r>
      <w:r w:rsidR="0048366D">
        <w:rPr>
          <w:rFonts w:hint="cs"/>
          <w:sz w:val="20"/>
          <w:szCs w:val="36"/>
          <w:rtl/>
          <w:lang w:val="en-GB" w:eastAsia="en-US"/>
        </w:rPr>
        <w:t>:</w:t>
      </w:r>
      <w:r w:rsidRPr="00EB5FFB">
        <w:rPr>
          <w:rFonts w:hint="cs"/>
          <w:sz w:val="20"/>
          <w:szCs w:val="36"/>
          <w:rtl/>
          <w:lang w:val="en-GB" w:eastAsia="en-US"/>
        </w:rPr>
        <w:t xml:space="preserve"> أنه قد يرد في بعضها أخطاء جوهرية ظاهرة</w:t>
      </w:r>
      <w:r w:rsidR="0048366D">
        <w:rPr>
          <w:rFonts w:hint="cs"/>
          <w:sz w:val="20"/>
          <w:szCs w:val="36"/>
          <w:rtl/>
          <w:lang w:val="en-GB" w:eastAsia="en-US"/>
        </w:rPr>
        <w:t>:</w:t>
      </w:r>
      <w:r w:rsidRPr="00EB5FFB">
        <w:rPr>
          <w:rFonts w:hint="cs"/>
          <w:sz w:val="20"/>
          <w:szCs w:val="36"/>
          <w:rtl/>
          <w:lang w:val="en-GB" w:eastAsia="en-US"/>
        </w:rPr>
        <w:t xml:space="preserve"> وهذه الأخطاء موجودة أيضًا في بعض نسخ (ترتيب اللآلي)؛ ممّا يعني أنها نقلت من أحد نسخ (ترتيب اللآلي) من غير تمحيص.</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ومن أهم ذلك</w:t>
      </w:r>
      <w:r w:rsidR="0048366D">
        <w:rPr>
          <w:rFonts w:hint="cs"/>
          <w:sz w:val="20"/>
          <w:szCs w:val="36"/>
          <w:rtl/>
          <w:lang w:val="en-GB" w:eastAsia="en-US"/>
        </w:rPr>
        <w:t>:</w:t>
      </w:r>
      <w:r w:rsidRPr="00EB5FFB">
        <w:rPr>
          <w:rFonts w:hint="cs"/>
          <w:sz w:val="20"/>
          <w:szCs w:val="36"/>
          <w:rtl/>
          <w:lang w:val="en-GB" w:eastAsia="en-US"/>
        </w:rPr>
        <w:t xml:space="preserve"> ما جاء في الشرحين المذكورين</w:t>
      </w:r>
      <w:r w:rsidRPr="00EB5FFB">
        <w:rPr>
          <w:rFonts w:hint="cs"/>
          <w:sz w:val="20"/>
          <w:szCs w:val="36"/>
          <w:vertAlign w:val="superscript"/>
          <w:rtl/>
          <w:lang w:val="en-GB" w:eastAsia="en-US"/>
        </w:rPr>
        <w:t>(</w:t>
      </w:r>
      <w:r w:rsidRPr="00EB5FFB">
        <w:rPr>
          <w:bCs/>
          <w:sz w:val="20"/>
          <w:szCs w:val="32"/>
          <w:vertAlign w:val="superscript"/>
          <w:lang w:val="en-GB" w:eastAsia="en-US"/>
        </w:rPr>
        <w:footnoteReference w:id="251"/>
      </w:r>
      <w:r w:rsidRPr="00EB5FFB">
        <w:rPr>
          <w:rFonts w:hint="cs"/>
          <w:sz w:val="20"/>
          <w:szCs w:val="36"/>
          <w:vertAlign w:val="superscript"/>
          <w:rtl/>
          <w:lang w:val="en-GB" w:eastAsia="en-US"/>
        </w:rPr>
        <w:t>)</w:t>
      </w:r>
      <w:r w:rsidR="0048366D">
        <w:rPr>
          <w:rFonts w:hint="cs"/>
          <w:sz w:val="20"/>
          <w:szCs w:val="36"/>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20"/>
          <w:szCs w:val="36"/>
          <w:rtl/>
          <w:lang w:val="en-GB" w:eastAsia="en-US"/>
        </w:rPr>
      </w:pPr>
      <w:r w:rsidRPr="00EB5FFB">
        <w:rPr>
          <w:rFonts w:hint="eastAsia"/>
          <w:sz w:val="20"/>
          <w:szCs w:val="36"/>
          <w:rtl/>
          <w:lang w:val="en-GB" w:eastAsia="en-US"/>
        </w:rPr>
        <w:t>«</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والتنصيص يوجب التخصيص</w:t>
      </w:r>
      <w:r w:rsidR="0048366D">
        <w:rPr>
          <w:rFonts w:hint="cs"/>
          <w:sz w:val="20"/>
          <w:szCs w:val="36"/>
          <w:rtl/>
          <w:lang w:val="en-GB" w:eastAsia="en-US"/>
        </w:rPr>
        <w:t>:</w:t>
      </w:r>
      <w:r w:rsidRPr="00EB5FFB">
        <w:rPr>
          <w:rFonts w:hint="cs"/>
          <w:sz w:val="20"/>
          <w:szCs w:val="36"/>
          <w:rtl/>
          <w:lang w:val="en-GB" w:eastAsia="en-US"/>
        </w:rPr>
        <w:t xml:space="preserve"> وإلا يلزم ترجيح القياس على النص في باب الربا. انتهى</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lastRenderedPageBreak/>
        <w:t xml:space="preserve">فالدليل المذكور عقب القاعدة يناقضها؛ لأنه يدل على أن التنصيص </w:t>
      </w:r>
      <w:r w:rsidRPr="00EB5FFB">
        <w:rPr>
          <w:rFonts w:hint="cs"/>
          <w:b/>
          <w:bCs/>
          <w:sz w:val="20"/>
          <w:szCs w:val="36"/>
          <w:rtl/>
          <w:lang w:val="en-GB" w:eastAsia="en-US"/>
        </w:rPr>
        <w:t>لا</w:t>
      </w:r>
      <w:r w:rsidRPr="00EB5FFB">
        <w:rPr>
          <w:rFonts w:hint="cs"/>
          <w:sz w:val="20"/>
          <w:szCs w:val="36"/>
          <w:rtl/>
          <w:lang w:val="en-GB" w:eastAsia="en-US"/>
        </w:rPr>
        <w:t xml:space="preserve"> يوجب التخصيص!</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فالذي يظهر أنه لا بّد من إثبات (لا) النافية في القاعدة ليحصل الانسجام بينها وبين دليلها. وهذا ما حصل في نسخة (ب)، خلافًا لباقي النسخ. وقد تابع الخادمي أحد النسخ الأُخر وأسقط (لا) النافية؛ فانقلب الدليل على القاعدة.</w:t>
      </w:r>
    </w:p>
    <w:p w:rsidR="00EB5FFB" w:rsidRPr="00EB5FFB" w:rsidRDefault="00EB5FFB" w:rsidP="009A68A5">
      <w:pPr>
        <w:widowControl/>
        <w:ind w:firstLine="567"/>
        <w:jc w:val="both"/>
        <w:rPr>
          <w:spacing w:val="-4"/>
          <w:sz w:val="20"/>
          <w:szCs w:val="36"/>
          <w:rtl/>
          <w:lang w:val="en-GB" w:eastAsia="en-US"/>
        </w:rPr>
      </w:pPr>
      <w:r w:rsidRPr="00EB5FFB">
        <w:rPr>
          <w:rFonts w:hint="cs"/>
          <w:spacing w:val="-4"/>
          <w:sz w:val="20"/>
          <w:szCs w:val="36"/>
          <w:rtl/>
          <w:lang w:val="en-GB" w:eastAsia="en-US"/>
        </w:rPr>
        <w:t>ولعل هذا الإشكال في لفظ الخادمي هو الذي حدا بالعلائي والحصاري إلى التردد في شرح القاعدة، بقولهما في بداية تعليقهما</w:t>
      </w:r>
      <w:r w:rsidR="0048366D">
        <w:rPr>
          <w:rFonts w:hint="cs"/>
          <w:spacing w:val="-4"/>
          <w:sz w:val="20"/>
          <w:szCs w:val="36"/>
          <w:rtl/>
          <w:lang w:val="en-GB" w:eastAsia="en-US"/>
        </w:rPr>
        <w:t>:</w:t>
      </w:r>
      <w:r w:rsidRPr="00EB5FFB">
        <w:rPr>
          <w:rFonts w:hint="cs"/>
          <w:spacing w:val="-4"/>
          <w:sz w:val="20"/>
          <w:szCs w:val="36"/>
          <w:rtl/>
          <w:lang w:val="en-GB" w:eastAsia="en-US"/>
        </w:rPr>
        <w:t xml:space="preserve"> </w:t>
      </w:r>
      <w:r w:rsidRPr="00EB5FFB">
        <w:rPr>
          <w:rFonts w:hint="eastAsia"/>
          <w:spacing w:val="-4"/>
          <w:sz w:val="20"/>
          <w:szCs w:val="36"/>
          <w:rtl/>
          <w:lang w:val="en-GB" w:eastAsia="en-US"/>
        </w:rPr>
        <w:t>«</w:t>
      </w:r>
      <w:r w:rsidRPr="00EB5FFB">
        <w:rPr>
          <w:rFonts w:hint="cs"/>
          <w:spacing w:val="-4"/>
          <w:sz w:val="20"/>
          <w:szCs w:val="36"/>
          <w:rtl/>
          <w:lang w:val="en-GB" w:eastAsia="en-US"/>
        </w:rPr>
        <w:t>لعله أراد</w:t>
      </w:r>
      <w:r w:rsidR="0048366D">
        <w:rPr>
          <w:rFonts w:hint="cs"/>
          <w:spacing w:val="-4"/>
          <w:sz w:val="20"/>
          <w:szCs w:val="36"/>
          <w:rtl/>
          <w:lang w:val="en-GB" w:eastAsia="en-US"/>
        </w:rPr>
        <w:t>.</w:t>
      </w:r>
      <w:r w:rsidRPr="00EB5FFB">
        <w:rPr>
          <w:rFonts w:hint="cs"/>
          <w:spacing w:val="-4"/>
          <w:sz w:val="20"/>
          <w:szCs w:val="36"/>
          <w:rtl/>
          <w:lang w:val="en-GB" w:eastAsia="en-US"/>
        </w:rPr>
        <w:t>..</w:t>
      </w:r>
      <w:r w:rsidRPr="00EB5FFB">
        <w:rPr>
          <w:rFonts w:hint="eastAsia"/>
          <w:spacing w:val="-4"/>
          <w:sz w:val="20"/>
          <w:szCs w:val="36"/>
          <w:rtl/>
          <w:lang w:val="en-GB" w:eastAsia="en-US"/>
        </w:rPr>
        <w:t>»</w:t>
      </w:r>
      <w:r w:rsidRPr="00EB5FFB">
        <w:rPr>
          <w:rFonts w:hint="cs"/>
          <w:spacing w:val="-4"/>
          <w:sz w:val="20"/>
          <w:szCs w:val="36"/>
          <w:rtl/>
          <w:lang w:val="en-GB" w:eastAsia="en-US"/>
        </w:rPr>
        <w:t>، ثم اجتهدا في شرحها بأنها تحكي رأي المخالفين القائلين بحجيّة مفهوم المخالفة، وناقشا هذا الرأي - والله أعلم-.</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فهذه خمسة نماذج تدل دلالة واضحة على أن الخادمي استفادها من ناظرزاده</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hanging="1"/>
        <w:jc w:val="both"/>
        <w:rPr>
          <w:b/>
          <w:bCs/>
          <w:sz w:val="20"/>
          <w:szCs w:val="36"/>
          <w:rtl/>
          <w:lang w:val="en-GB" w:eastAsia="en-US"/>
        </w:rPr>
      </w:pPr>
      <w:r w:rsidRPr="00EB5FFB">
        <w:rPr>
          <w:rFonts w:hint="cs"/>
          <w:b/>
          <w:bCs/>
          <w:sz w:val="20"/>
          <w:szCs w:val="36"/>
          <w:rtl/>
          <w:lang w:val="en-GB" w:eastAsia="en-US"/>
        </w:rPr>
        <w:t>* * *</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وإذا كانت قواعد ناظرزاده مصدرًا مباشرًا لقواعد الخادمي فهي مصدر غير مباشر لقواعد (مجلة الأحكام العدلية)</w:t>
      </w:r>
      <w:r w:rsidRPr="00EB5FFB">
        <w:rPr>
          <w:rFonts w:hint="cs"/>
          <w:sz w:val="20"/>
          <w:szCs w:val="36"/>
          <w:rtl/>
          <w:lang w:val="en-GB" w:eastAsia="en-US"/>
        </w:rPr>
        <w:t>، التي ألفتها لجنة من علماء الدولة العثمانية، وصدر أمر العمل بها سنة 1293هـ؛ وذلك لأن قواعد المجلة لا تكاد تخرج عن قواعد الـخادمي. يقول د. أحمد بن حميد عن قواعد المجلة</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وإذا تأمّل الباحث هذه القواعد وجد أنها لا تخرج عمّا جمعه أبو سعيد الخادمي في (مجامع الحقائق)</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rFonts w:cs="Monotype Koufi"/>
          <w:sz w:val="20"/>
          <w:szCs w:val="36"/>
          <w:rtl/>
          <w:lang w:eastAsia="en-US"/>
        </w:rPr>
      </w:pPr>
      <w:r w:rsidRPr="00EB5FFB">
        <w:rPr>
          <w:rFonts w:cs="Monotype Koufi" w:hint="cs"/>
          <w:sz w:val="20"/>
          <w:szCs w:val="36"/>
          <w:rtl/>
          <w:lang w:eastAsia="en-US"/>
        </w:rPr>
        <w:lastRenderedPageBreak/>
        <w:t>المبحث السادس</w:t>
      </w:r>
      <w:r w:rsidR="0048366D">
        <w:rPr>
          <w:rFonts w:cs="Monotype Koufi" w:hint="cs"/>
          <w:sz w:val="20"/>
          <w:szCs w:val="36"/>
          <w:rtl/>
          <w:lang w:eastAsia="en-US"/>
        </w:rPr>
        <w:t>:</w:t>
      </w:r>
      <w:r w:rsidRPr="00EB5FFB">
        <w:rPr>
          <w:rFonts w:cs="Monotype Koufi" w:hint="cs"/>
          <w:sz w:val="20"/>
          <w:szCs w:val="36"/>
          <w:rtl/>
          <w:lang w:eastAsia="en-US"/>
        </w:rPr>
        <w:t xml:space="preserve"> تقويم الكتاب</w:t>
      </w:r>
      <w:r w:rsidR="0048366D">
        <w:rPr>
          <w:rFonts w:cs="Monotype Koufi" w:hint="cs"/>
          <w:sz w:val="20"/>
          <w:szCs w:val="36"/>
          <w:rtl/>
          <w:lang w:eastAsia="en-US"/>
        </w:rPr>
        <w:t>:</w:t>
      </w:r>
    </w:p>
    <w:p w:rsidR="00EB5FFB" w:rsidRPr="00EB5FFB" w:rsidRDefault="00EB5FFB" w:rsidP="009A68A5">
      <w:pPr>
        <w:widowControl/>
        <w:ind w:firstLine="567"/>
        <w:jc w:val="both"/>
        <w:rPr>
          <w:sz w:val="20"/>
          <w:szCs w:val="36"/>
          <w:rtl/>
          <w:lang w:val="en-GB" w:eastAsia="en-US"/>
        </w:rPr>
      </w:pP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لقد استوقفني هذا العنوان كثيرًا!.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إذْ كم هو صعب على الإنسان أن يقوّم عمل الآخرين، ويتحرّى في ذلك الدّقة والإنصاف، ولاسيما إذا كان هذا العمل إنتاجًا علميًّا عميقًا، والذي يُطلبُ منه تقويم هذا العمل من أكثر الناس استفادة منه، وتتلمذا عليه، حيث صاحبه رَدْحًا من الزمان، وغاص في أعماقه، وفتّش عن أصدافه وقنص منها ما فيها من لآلئ وجواهر علمية، ورتّبها في ذهنه، وأثرى بها معلوماته وفهمه، فحصل له بذلك مراد المؤلف الذي سطّره في عنوان كتابه (ترتيب اللآلي في سلك الأمالي)</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فهل بعد هذا يسهل على التلميذ أن يمسك القلم، ويبدأ بتتبّع عثرات من أسدى إليه هذا المعروف، وعلّمه هذا العلم؟!.</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وعلى الرغم من هذا الشعور الذي خالج أحاسيسي لم أجد مفرًّا من السير قدمًا في تقويم الكتاب. وعذري في ذلك أن المنهج المتّبع في تحقيق الكُتب العلمية يقتضي ذلك، كما أن ما أذكره من مآخذ لا يعدو كونه وجهات نظر، قد تُسلّم وقد لا تُسلّم، واختلاف وجهات النظر من سمات البشر، ولا تفسد للودّ قضيّة.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وإذا كان لسان حال أيِّ مصنّفٍ ينطبق عليه ما قيل</w:t>
      </w:r>
      <w:r w:rsidR="0048366D">
        <w:rPr>
          <w:rFonts w:hint="cs"/>
          <w:sz w:val="20"/>
          <w:szCs w:val="36"/>
          <w:rtl/>
          <w:lang w:val="en-GB" w:eastAsia="en-US"/>
        </w:rPr>
        <w:t>:</w:t>
      </w:r>
    </w:p>
    <w:p w:rsidR="00EB5FFB" w:rsidRPr="00EB5FFB" w:rsidRDefault="00EB5FFB" w:rsidP="009A68A5">
      <w:pPr>
        <w:keepNext/>
        <w:widowControl/>
        <w:spacing w:line="600" w:lineRule="exact"/>
        <w:ind w:firstLine="567"/>
        <w:jc w:val="both"/>
        <w:outlineLvl w:val="1"/>
        <w:rPr>
          <w:b/>
          <w:bCs/>
          <w:sz w:val="20"/>
          <w:szCs w:val="36"/>
          <w:rtl/>
          <w:lang w:val="en-GB" w:eastAsia="en-US"/>
        </w:rPr>
      </w:pPr>
      <w:r w:rsidRPr="00EB5FFB">
        <w:rPr>
          <w:rFonts w:hint="cs"/>
          <w:b/>
          <w:bCs/>
          <w:sz w:val="20"/>
          <w:szCs w:val="36"/>
          <w:rtl/>
          <w:lang w:val="en-GB" w:eastAsia="en-US"/>
        </w:rPr>
        <w:t>ما خـطّ كفُّ امـرئ شـيئًا وراجعه      إلا وعـنّ له تبـديلُ مـا فيـه</w:t>
      </w:r>
    </w:p>
    <w:p w:rsidR="00EB5FFB" w:rsidRPr="00EB5FFB" w:rsidRDefault="00EB5FFB" w:rsidP="009A68A5">
      <w:pPr>
        <w:widowControl/>
        <w:spacing w:line="600" w:lineRule="exact"/>
        <w:ind w:firstLine="567"/>
        <w:jc w:val="both"/>
        <w:rPr>
          <w:sz w:val="20"/>
          <w:szCs w:val="36"/>
          <w:rtl/>
          <w:lang w:val="en-GB" w:eastAsia="en-US"/>
        </w:rPr>
      </w:pPr>
      <w:r w:rsidRPr="00EB5FFB">
        <w:rPr>
          <w:rFonts w:hint="cs"/>
          <w:b/>
          <w:bCs/>
          <w:sz w:val="20"/>
          <w:szCs w:val="36"/>
          <w:rtl/>
          <w:lang w:val="en-GB" w:eastAsia="en-US"/>
        </w:rPr>
        <w:t>وقـالَ</w:t>
      </w:r>
      <w:r w:rsidR="0048366D">
        <w:rPr>
          <w:rFonts w:hint="cs"/>
          <w:b/>
          <w:bCs/>
          <w:sz w:val="20"/>
          <w:szCs w:val="36"/>
          <w:rtl/>
          <w:lang w:val="en-GB" w:eastAsia="en-US"/>
        </w:rPr>
        <w:t>:</w:t>
      </w:r>
      <w:r w:rsidRPr="00EB5FFB">
        <w:rPr>
          <w:rFonts w:hint="cs"/>
          <w:b/>
          <w:bCs/>
          <w:sz w:val="20"/>
          <w:szCs w:val="36"/>
          <w:rtl/>
          <w:lang w:val="en-GB" w:eastAsia="en-US"/>
        </w:rPr>
        <w:t xml:space="preserve"> ذاك كـذا أولى، وذاك كذا      وإن يكنْ هكذا تسمو مـعانيه</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فإذا كان الكاتب عند إعادة نظره في كتابه تختلف وجهة نظره فيه، فمن باب أولى إذا كان الناظر في هذا الكتاب شخصًا آخر، أيًّا كان هذا الشخص.</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lastRenderedPageBreak/>
        <w:t>وممّا يخفّف هول الموقف ومصاعبه أن المآخذ والملحوظات التي تُذكر لا تعدوكونها هَنَاتٍ هيِّنات، تضيع في بحر حسنات الكتاب، وكما قال الحافظ ابن رجب</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والمنْصِفُ من اغتفر قليل خطأ المرء في كثير صوابه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pacing w:val="-6"/>
          <w:sz w:val="20"/>
          <w:szCs w:val="36"/>
          <w:rtl/>
          <w:lang w:val="en-GB" w:eastAsia="en-US"/>
        </w:rPr>
      </w:pPr>
      <w:r w:rsidRPr="00EB5FFB">
        <w:rPr>
          <w:rFonts w:hint="cs"/>
          <w:spacing w:val="-6"/>
          <w:sz w:val="20"/>
          <w:szCs w:val="36"/>
          <w:rtl/>
          <w:lang w:val="en-GB" w:eastAsia="en-US"/>
        </w:rPr>
        <w:t>وليحصل هذا التوازن ناسب البدء بأهم المحاسن، ثم إلحاقها بما تمتّ ملاحظته من مآخذ.</w:t>
      </w:r>
    </w:p>
    <w:p w:rsidR="00EB5FFB" w:rsidRPr="00EB5FFB" w:rsidRDefault="00EB5FFB" w:rsidP="009A68A5">
      <w:pPr>
        <w:widowControl/>
        <w:ind w:firstLine="567"/>
        <w:jc w:val="both"/>
        <w:rPr>
          <w:rFonts w:cs="AL-Mateen"/>
          <w:sz w:val="48"/>
          <w:szCs w:val="36"/>
          <w:rtl/>
          <w:lang w:val="en-GB" w:eastAsia="en-US"/>
        </w:rPr>
      </w:pPr>
      <w:r w:rsidRPr="00EB5FFB">
        <w:rPr>
          <w:rFonts w:cs="AL-Mateen" w:hint="cs"/>
          <w:sz w:val="48"/>
          <w:szCs w:val="36"/>
          <w:rtl/>
          <w:lang w:val="en-GB" w:eastAsia="en-US"/>
        </w:rPr>
        <w:t>أولاً</w:t>
      </w:r>
      <w:r w:rsidR="0048366D">
        <w:rPr>
          <w:rFonts w:cs="AL-Mateen" w:hint="cs"/>
          <w:sz w:val="48"/>
          <w:szCs w:val="36"/>
          <w:rtl/>
          <w:lang w:val="en-GB" w:eastAsia="en-US"/>
        </w:rPr>
        <w:t>:</w:t>
      </w:r>
      <w:r w:rsidRPr="00EB5FFB">
        <w:rPr>
          <w:rFonts w:cs="AL-Mateen" w:hint="cs"/>
          <w:sz w:val="48"/>
          <w:szCs w:val="36"/>
          <w:rtl/>
          <w:lang w:val="en-GB" w:eastAsia="en-US"/>
        </w:rPr>
        <w:t xml:space="preserve"> أهم الـمحاسـن</w:t>
      </w:r>
      <w:r w:rsidR="0048366D">
        <w:rPr>
          <w:rFonts w:cs="AL-Mateen" w:hint="cs"/>
          <w:sz w:val="48"/>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1</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إن هذا الكتاب تميّز بمنهج فريد، قلّ أن تجد له نظيرًا في أيّ كتاب آخر من كتب القواعد الفقهية - ولاسيما في اعتنائه بحجيّة القواعد التي يذكرها</w:t>
      </w:r>
      <w:r w:rsidRPr="00EB5FFB">
        <w:rPr>
          <w:rFonts w:hint="cs"/>
          <w:sz w:val="20"/>
          <w:szCs w:val="36"/>
          <w:rtl/>
          <w:lang w:val="en-GB" w:eastAsia="en-US"/>
        </w:rPr>
        <w:t xml:space="preserve"> -</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ويمكن بيان أهم مزايا منهجه في النقاط الآتية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8"/>
      </w:r>
      <w:r w:rsidRPr="00EB5FFB">
        <w:rPr>
          <w:rFonts w:hint="cs"/>
          <w:sz w:val="20"/>
          <w:szCs w:val="36"/>
          <w:vertAlign w:val="superscript"/>
          <w:rtl/>
          <w:lang w:val="en-GB" w:eastAsia="en-US"/>
        </w:rPr>
        <w:t>)</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أ</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حسن ترتيب المؤلف لمادة كتابه، واستقلاله فيها، وإيضاحه لها بأسلوب علمّي رصين؛ إذْ رتّب قواعد كتابه ترتيبًا هجائيًّا، فقسّمه إلى أبواب، وجعل كل حرف من حروف الهجاء في باب مستقل، وجعل تحته القواعد التي تبدأ بذلك الحرف.</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وهذه الطريقة من أسدّ الطرق في جمع القواعد وترتيبها</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59"/>
      </w:r>
      <w:r w:rsidRPr="00EB5FFB">
        <w:rPr>
          <w:rFonts w:hint="cs"/>
          <w:sz w:val="20"/>
          <w:szCs w:val="36"/>
          <w:vertAlign w:val="superscript"/>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لأن من شأن القاعدة أن يندرج تحتها عدة مسائل من أبواب فقهية متعدّدة، فلو رتبها حسب الأبواب الفقهية للزم تكرارها مع كل باب لها علاقة به، أو ذكرها في باب واحد، وإغفال بقية الأبواب. وكلاهما غير مستحسن</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ثم إن الترتيب الهجائي للقواعد يجعل الرجوع إليها سهلاً وميسورًا؛ لهذا فإن أكثر من يؤلّف في الموسوعات والفهارس يختارها دون غيرها.</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lastRenderedPageBreak/>
        <w:t>ب</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دقتّه في اختيار القواعد، وإحكامه لها، بحيث يصدق عليها حدُّ القواعد الذي قرّره كثير من العلماء، وهو أنها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قضايا كلّيّة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فهذا الحدّ ينطبق على جميع قواعد ناظرزاده سوى قاعدة واحدة، وهي</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sz w:val="38"/>
          <w:szCs w:val="38"/>
          <w:rtl/>
          <w:lang w:val="en-GB" w:eastAsia="en-US"/>
        </w:rPr>
        <w:t>ق36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الأَعْيَانُ المَضْمُونَةُ بِنَفْسِهَا</w:t>
      </w:r>
      <w:r w:rsidRPr="00EB5FFB">
        <w:rPr>
          <w:rFonts w:hint="eastAsia"/>
          <w:sz w:val="20"/>
          <w:szCs w:val="36"/>
          <w:rtl/>
          <w:lang w:val="en-GB" w:eastAsia="en-US"/>
        </w:rPr>
        <w:t>»</w:t>
      </w:r>
      <w:r w:rsidRPr="00EB5FFB">
        <w:rPr>
          <w:rFonts w:hint="cs"/>
          <w:sz w:val="38"/>
          <w:szCs w:val="38"/>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وممّا يؤكد حرصه على كلّيّة القواعد</w:t>
      </w:r>
      <w:r w:rsidR="0048366D">
        <w:rPr>
          <w:rFonts w:hint="cs"/>
          <w:sz w:val="20"/>
          <w:szCs w:val="36"/>
          <w:rtl/>
          <w:lang w:val="en-GB" w:eastAsia="en-US"/>
        </w:rPr>
        <w:t>:</w:t>
      </w:r>
      <w:r w:rsidRPr="00EB5FFB">
        <w:rPr>
          <w:rFonts w:hint="cs"/>
          <w:sz w:val="20"/>
          <w:szCs w:val="36"/>
          <w:rtl/>
          <w:lang w:val="en-GB" w:eastAsia="en-US"/>
        </w:rPr>
        <w:t xml:space="preserve"> أن القواعد الخلافية لم يوردها بصيغة الاستفهام، وإنما كان يختار أحد الأقوال، ويجعله لفظًا لها، ثمّ يذكر الأقوال الأُخر في الشرح. وإذا كان الخلاف بين أئمة الحنفية قويًّا فإنه يضطرّ إلى التصريح بالقولين معًا في لفظ القاعدة؛ لتبقي القـاعـدة كلـيّة، يصحّ التعليل بها لكلّ فرع يمكن تخريجه على رأي الإمام في القاعدة.</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rPr>
        <w:t>جـ</w:t>
      </w:r>
      <w:r w:rsidRPr="00EB5FFB">
        <w:rPr>
          <w:rFonts w:hint="cs"/>
          <w:sz w:val="20"/>
          <w:szCs w:val="36"/>
          <w:rtl/>
          <w:lang w:val="en-GB" w:eastAsia="en-US"/>
        </w:rPr>
        <w:t>- وممّا تميّزت به صياغته للقواعد</w:t>
      </w:r>
      <w:r w:rsidR="0048366D">
        <w:rPr>
          <w:rFonts w:hint="cs"/>
          <w:sz w:val="20"/>
          <w:szCs w:val="36"/>
          <w:rtl/>
          <w:lang w:val="en-GB" w:eastAsia="en-US"/>
        </w:rPr>
        <w:t>:</w:t>
      </w:r>
      <w:r w:rsidRPr="00EB5FFB">
        <w:rPr>
          <w:rFonts w:hint="cs"/>
          <w:sz w:val="20"/>
          <w:szCs w:val="36"/>
          <w:rtl/>
          <w:lang w:val="en-GB" w:eastAsia="en-US"/>
        </w:rPr>
        <w:t xml:space="preserve"> الإيجاز، مع عموم المعنى، ووضوح الدلالة في الجملة. فأطول قاعدة عنده عدد كلماتها (22) كلمة، وهي</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sz w:val="38"/>
          <w:szCs w:val="38"/>
          <w:rtl/>
          <w:lang w:val="en-GB" w:eastAsia="en-US"/>
        </w:rPr>
        <w:t>ق213</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اللَّفْظُ إِذَا كَانَ لَهُ مَعْنًى حَقِيقِيٌّ مُسْتَعْمَلٌ، وَمَعْنًى مَجَازِيٌّ مُتَعَارَفٌ</w:t>
      </w:r>
      <w:r w:rsidR="0048366D">
        <w:rPr>
          <w:rFonts w:hint="cs"/>
          <w:sz w:val="38"/>
          <w:szCs w:val="38"/>
          <w:rtl/>
          <w:lang w:val="en-GB" w:eastAsia="en-US"/>
        </w:rPr>
        <w:t>:</w:t>
      </w:r>
      <w:r w:rsidRPr="00EB5FFB">
        <w:rPr>
          <w:rFonts w:hint="cs"/>
          <w:sz w:val="38"/>
          <w:szCs w:val="38"/>
          <w:rtl/>
          <w:lang w:val="en-GB" w:eastAsia="en-US"/>
        </w:rPr>
        <w:t xml:space="preserve"> يُرَجَّحُ المَعْنَى الحَقِيقِيُّ عندَ أَبِي حنيفةَ </w:t>
      </w:r>
      <w:r w:rsidRPr="00EB5FFB">
        <w:rPr>
          <w:sz w:val="38"/>
          <w:szCs w:val="38"/>
          <w:rtl/>
          <w:lang w:val="en-GB" w:eastAsia="en-US"/>
        </w:rPr>
        <w:t>–</w:t>
      </w:r>
      <w:r w:rsidRPr="00EB5FFB">
        <w:rPr>
          <w:rFonts w:hint="cs"/>
          <w:sz w:val="38"/>
          <w:szCs w:val="38"/>
          <w:rtl/>
          <w:lang w:val="en-GB" w:eastAsia="en-US"/>
        </w:rPr>
        <w:t xml:space="preserve">رَحِمَهُ اللَّهُ- وعندَهُمَا </w:t>
      </w:r>
      <w:r w:rsidRPr="00EB5FFB">
        <w:rPr>
          <w:sz w:val="38"/>
          <w:szCs w:val="38"/>
          <w:rtl/>
          <w:lang w:val="en-GB" w:eastAsia="en-US"/>
        </w:rPr>
        <w:t>–</w:t>
      </w:r>
      <w:r w:rsidRPr="00EB5FFB">
        <w:rPr>
          <w:rFonts w:hint="cs"/>
          <w:sz w:val="38"/>
          <w:szCs w:val="38"/>
          <w:rtl/>
          <w:lang w:val="en-GB" w:eastAsia="en-US"/>
        </w:rPr>
        <w:t xml:space="preserve"> رَحِمَهُمَا اللَّهُ-</w:t>
      </w:r>
      <w:r w:rsidR="0048366D">
        <w:rPr>
          <w:rFonts w:hint="cs"/>
          <w:sz w:val="38"/>
          <w:szCs w:val="38"/>
          <w:rtl/>
          <w:lang w:val="en-GB" w:eastAsia="en-US"/>
        </w:rPr>
        <w:t>:</w:t>
      </w:r>
      <w:r w:rsidRPr="00EB5FFB">
        <w:rPr>
          <w:rFonts w:hint="cs"/>
          <w:sz w:val="38"/>
          <w:szCs w:val="38"/>
          <w:rtl/>
          <w:lang w:val="en-GB" w:eastAsia="en-US"/>
        </w:rPr>
        <w:t xml:space="preserve"> المَجَازِيُّ</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وعذر المؤلف في طولها هو اشتمالها - كما ترى -  على قولي أئمة الحنفية فيها، مع ذكرهم والتّرحم عليهم، فكأنّها كرّرت بلفظين مختلفين.</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ثم إن هذا الطول يعدّ طولاً نسبيًّا؛ لأنه بالنظر إلى بقية قواعد ناظرزاده </w:t>
      </w:r>
      <w:r w:rsidRPr="00EB5FFB">
        <w:rPr>
          <w:sz w:val="20"/>
          <w:szCs w:val="36"/>
          <w:rtl/>
          <w:lang w:val="en-GB" w:eastAsia="en-US"/>
        </w:rPr>
        <w:t>–</w:t>
      </w:r>
      <w:r w:rsidRPr="00EB5FFB">
        <w:rPr>
          <w:rFonts w:hint="cs"/>
          <w:sz w:val="20"/>
          <w:szCs w:val="36"/>
          <w:rtl/>
          <w:lang w:val="en-GB" w:eastAsia="en-US"/>
        </w:rPr>
        <w:t xml:space="preserve"> دون النظر إلى قواعد كثير من الكتب الأُخر -؛ إذ إن قواعد ناظرزاده (266) قاعدة، والقواعد التي لا تزيد على عشر كلمات</w:t>
      </w:r>
      <w:r w:rsidR="0048366D">
        <w:rPr>
          <w:rFonts w:hint="cs"/>
          <w:sz w:val="20"/>
          <w:szCs w:val="36"/>
          <w:rtl/>
          <w:lang w:val="en-GB" w:eastAsia="en-US"/>
        </w:rPr>
        <w:t>:</w:t>
      </w:r>
      <w:r w:rsidRPr="00EB5FFB">
        <w:rPr>
          <w:rFonts w:hint="cs"/>
          <w:sz w:val="20"/>
          <w:szCs w:val="36"/>
          <w:rtl/>
          <w:lang w:val="en-GB" w:eastAsia="en-US"/>
        </w:rPr>
        <w:t xml:space="preserve"> (246) قاعدة. وهذا يشكّل أغلب قواعد الكتاب، فإذا قورنت تلك القاعدة بهذه القواعد تكون طويلة.</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 xml:space="preserve">د </w:t>
      </w:r>
      <w:r w:rsidRPr="00EB5FFB">
        <w:rPr>
          <w:b/>
          <w:bCs/>
          <w:sz w:val="20"/>
          <w:szCs w:val="36"/>
          <w:rtl/>
          <w:lang w:val="en-GB" w:eastAsia="en-US"/>
        </w:rPr>
        <w:t>–</w:t>
      </w:r>
      <w:r w:rsidRPr="00EB5FFB">
        <w:rPr>
          <w:rFonts w:hint="cs"/>
          <w:sz w:val="20"/>
          <w:szCs w:val="36"/>
          <w:rtl/>
          <w:lang w:val="en-GB" w:eastAsia="en-US"/>
        </w:rPr>
        <w:t xml:space="preserve"> حرصه على تيسير وصول القارئ إلى القاعدة التي يبحث عنها بأقصر طريق.</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فبالإضافة إلى ترتيبه لقواعده ترتيبًا هجائيًّا</w:t>
      </w:r>
      <w:r w:rsidR="0048366D">
        <w:rPr>
          <w:rFonts w:hint="cs"/>
          <w:sz w:val="20"/>
          <w:szCs w:val="36"/>
          <w:rtl/>
          <w:lang w:val="en-GB" w:eastAsia="en-US"/>
        </w:rPr>
        <w:t>:</w:t>
      </w:r>
      <w:r w:rsidRPr="00EB5FFB">
        <w:rPr>
          <w:rFonts w:hint="cs"/>
          <w:sz w:val="20"/>
          <w:szCs w:val="36"/>
          <w:rtl/>
          <w:lang w:val="en-GB" w:eastAsia="en-US"/>
        </w:rPr>
        <w:t xml:space="preserve"> فإن القاعدة إذا كان لها لفظان متّحدان في المعنى، وكان أحدهما يبدأ بحرف، والآخر يبدأ بحرف آخر</w:t>
      </w:r>
      <w:r w:rsidR="0048366D">
        <w:rPr>
          <w:rFonts w:hint="cs"/>
          <w:sz w:val="20"/>
          <w:szCs w:val="36"/>
          <w:rtl/>
          <w:lang w:val="en-GB" w:eastAsia="en-US"/>
        </w:rPr>
        <w:t>:</w:t>
      </w:r>
      <w:r w:rsidRPr="00EB5FFB">
        <w:rPr>
          <w:rFonts w:hint="cs"/>
          <w:sz w:val="20"/>
          <w:szCs w:val="36"/>
          <w:rtl/>
          <w:lang w:val="en-GB" w:eastAsia="en-US"/>
        </w:rPr>
        <w:t xml:space="preserve"> فإنه يذكر كلّ لفظ تبعًا للحرف الذي </w:t>
      </w:r>
      <w:r w:rsidRPr="00EB5FFB">
        <w:rPr>
          <w:rFonts w:hint="cs"/>
          <w:sz w:val="20"/>
          <w:szCs w:val="36"/>
          <w:rtl/>
          <w:lang w:val="en-GB" w:eastAsia="en-US"/>
        </w:rPr>
        <w:lastRenderedPageBreak/>
        <w:t>يبدأ به. وهذا أولى من الاكتفاء بذكر الثاني مقترنًا بالأول؛ لأن القارئ قد يعرف القاعدة بلـفظها الـثـاني دون الأول، فإذا لم يجدها في الموضع الثاني قد يتوهم أنها غير مذكورة.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إلا أن هذا التوهم يزول فيما إذا كان اللفظان يشتركان في الحرف الأول؛ لهذا فإنه حينئذ يقرن الثاني بالأول.</w:t>
      </w:r>
    </w:p>
    <w:p w:rsidR="00EB5FFB" w:rsidRPr="00EB5FFB" w:rsidRDefault="00EB5FFB" w:rsidP="009A68A5">
      <w:pPr>
        <w:widowControl/>
        <w:ind w:firstLine="567"/>
        <w:jc w:val="both"/>
        <w:rPr>
          <w:spacing w:val="-8"/>
          <w:sz w:val="20"/>
          <w:szCs w:val="36"/>
          <w:rtl/>
          <w:lang w:val="en-GB" w:eastAsia="en-US"/>
        </w:rPr>
      </w:pPr>
      <w:r w:rsidRPr="00EB5FFB">
        <w:rPr>
          <w:rFonts w:hint="cs"/>
          <w:b/>
          <w:bCs/>
          <w:spacing w:val="-8"/>
          <w:sz w:val="20"/>
          <w:szCs w:val="36"/>
          <w:rtl/>
          <w:lang w:val="en-GB" w:eastAsia="en-US"/>
        </w:rPr>
        <w:t>هـ-</w:t>
      </w:r>
      <w:r w:rsidRPr="00EB5FFB">
        <w:rPr>
          <w:rFonts w:hint="cs"/>
          <w:spacing w:val="-8"/>
          <w:sz w:val="20"/>
          <w:szCs w:val="36"/>
          <w:rtl/>
          <w:lang w:val="en-GB" w:eastAsia="en-US"/>
        </w:rPr>
        <w:t xml:space="preserve"> وحرصه على تيسير ضبط الكتاب، عن طريق الإيجار في التعليق، وعدم الإطناب.</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إذْ غرضه من الكتاب إعانة المفتي على ضبط الفتاوى التي يُصدرها بربطها بالقواعد الفقهية التي يصحّ الاستدلال بها؛ ولكي يتحقق هذا في كتابه</w:t>
      </w:r>
      <w:r w:rsidR="0048366D">
        <w:rPr>
          <w:rFonts w:hint="cs"/>
          <w:sz w:val="20"/>
          <w:szCs w:val="36"/>
          <w:rtl/>
          <w:lang w:val="en-GB" w:eastAsia="en-US"/>
        </w:rPr>
        <w:t>:</w:t>
      </w:r>
      <w:r w:rsidRPr="00EB5FFB">
        <w:rPr>
          <w:rFonts w:hint="cs"/>
          <w:sz w:val="20"/>
          <w:szCs w:val="36"/>
          <w:rtl/>
          <w:lang w:val="en-GB" w:eastAsia="en-US"/>
        </w:rPr>
        <w:t xml:space="preserve"> اعتنى بكثرة القواعد الفقهية المحكمة، مع حسن الترتيب، والاختصار في التعليق؛ ليتمكّن المفتي من الرجوع إلى القاعدة المرادة بأقصر طريق، وليسهل عليه ضبط الكتاب.</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يقول المؤلف</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وأنا لم التزم التفصيل في هذه الجريدة؛ بل المراد الترتيب؛ لتسهيل الضبط، والتفصيل مانع</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و-</w:t>
      </w:r>
      <w:r w:rsidRPr="00EB5FFB">
        <w:rPr>
          <w:rFonts w:hint="cs"/>
          <w:sz w:val="20"/>
          <w:szCs w:val="36"/>
          <w:rtl/>
          <w:lang w:val="en-GB" w:eastAsia="en-US"/>
        </w:rPr>
        <w:t xml:space="preserve"> كما كان المؤلف يتجنّب التكرار في أكثر مباحث الكتاب، وذلك بالرّبط بينهما، بإحالة المتأخر على المتقدم، أو العكس.</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ز-</w:t>
      </w:r>
      <w:r w:rsidRPr="00EB5FFB">
        <w:rPr>
          <w:rFonts w:hint="cs"/>
          <w:sz w:val="20"/>
          <w:szCs w:val="36"/>
          <w:rtl/>
          <w:lang w:val="en-GB" w:eastAsia="en-US"/>
        </w:rPr>
        <w:t xml:space="preserve"> </w:t>
      </w:r>
      <w:r w:rsidRPr="00EB5FFB">
        <w:rPr>
          <w:rFonts w:hint="cs"/>
          <w:b/>
          <w:bCs/>
          <w:sz w:val="20"/>
          <w:szCs w:val="36"/>
          <w:rtl/>
          <w:lang w:val="en-GB" w:eastAsia="en-US"/>
        </w:rPr>
        <w:t>وجماع المزايا وأهمها</w:t>
      </w:r>
      <w:r w:rsidR="0048366D">
        <w:rPr>
          <w:rFonts w:hint="cs"/>
          <w:b/>
          <w:bCs/>
          <w:sz w:val="20"/>
          <w:szCs w:val="36"/>
          <w:rtl/>
          <w:lang w:val="en-GB" w:eastAsia="en-US"/>
        </w:rPr>
        <w:t>:</w:t>
      </w:r>
      <w:r w:rsidRPr="00EB5FFB">
        <w:rPr>
          <w:rFonts w:hint="cs"/>
          <w:b/>
          <w:bCs/>
          <w:sz w:val="20"/>
          <w:szCs w:val="36"/>
          <w:rtl/>
          <w:lang w:val="en-GB" w:eastAsia="en-US"/>
        </w:rPr>
        <w:t xml:space="preserve"> هو اعتناء المؤلف بإثبات حجية القواعد التي يذكرها، وذلك عن طريق تتبّع المسائل التي قد يُتوهّم تخلّفها عن القاعدة، وبيان علّة تخلّفها عنها.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فقد جعل هذا هدفًا له، ذكره في المقدمة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3"/>
      </w:r>
      <w:r w:rsidRPr="00EB5FFB">
        <w:rPr>
          <w:rFonts w:hint="cs"/>
          <w:sz w:val="20"/>
          <w:szCs w:val="36"/>
          <w:vertAlign w:val="superscript"/>
          <w:rtl/>
          <w:lang w:val="en-GB" w:eastAsia="en-US"/>
        </w:rPr>
        <w:t>)</w:t>
      </w:r>
      <w:r w:rsidRPr="00EB5FFB">
        <w:rPr>
          <w:rFonts w:hint="cs"/>
          <w:sz w:val="20"/>
          <w:szCs w:val="36"/>
          <w:rtl/>
          <w:lang w:val="en-GB" w:eastAsia="en-US"/>
        </w:rPr>
        <w:t>، وأكّد عليه في مواضع متفرّقة من كتابه، كما طبّقه عمليًّا من خلال الكتاب.</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ومن عباراته التي تدل على اعتنائه بدليليّة القواعد</w:t>
      </w:r>
      <w:r w:rsidR="0048366D">
        <w:rPr>
          <w:rFonts w:hint="cs"/>
          <w:sz w:val="20"/>
          <w:szCs w:val="36"/>
          <w:rtl/>
          <w:lang w:val="en-GB" w:eastAsia="en-US"/>
        </w:rPr>
        <w:t>:</w:t>
      </w:r>
    </w:p>
    <w:p w:rsidR="00EB5FFB" w:rsidRPr="00EB5FFB" w:rsidRDefault="00EB5FFB" w:rsidP="009A68A5">
      <w:pPr>
        <w:widowControl/>
        <w:ind w:left="849" w:hanging="282"/>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فتصفحت كتب الأئمة المهتدين من علماء الدّين، ووجدت قواعدَ وأصولاً </w:t>
      </w:r>
      <w:r w:rsidRPr="00EB5FFB">
        <w:rPr>
          <w:sz w:val="20"/>
          <w:szCs w:val="36"/>
          <w:rtl/>
          <w:lang w:val="en-GB" w:eastAsia="en-US"/>
        </w:rPr>
        <w:br/>
      </w:r>
      <w:r w:rsidRPr="00EB5FFB">
        <w:rPr>
          <w:rFonts w:hint="cs"/>
          <w:sz w:val="20"/>
          <w:szCs w:val="36"/>
          <w:rtl/>
          <w:lang w:val="en-GB" w:eastAsia="en-US"/>
        </w:rPr>
        <w:t>تصلح أن تكون للجواب دليلاً</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lastRenderedPageBreak/>
        <w:t>وأوردت علّة تخلّف بعض الأحكام عن هذه القواعد في بدء النظر</w:t>
      </w:r>
      <w:r w:rsidR="0048366D">
        <w:rPr>
          <w:rFonts w:hint="cs"/>
          <w:sz w:val="20"/>
          <w:szCs w:val="36"/>
          <w:rtl/>
          <w:lang w:val="en-GB" w:eastAsia="en-US"/>
        </w:rPr>
        <w:t>.</w:t>
      </w:r>
      <w:r w:rsidRPr="00EB5FFB">
        <w:rPr>
          <w:rFonts w:hint="cs"/>
          <w:sz w:val="20"/>
          <w:szCs w:val="36"/>
          <w:rtl/>
          <w:lang w:val="en-GB" w:eastAsia="en-US"/>
        </w:rPr>
        <w:t>..؛ لئلا يرد النقض على الاطراد، ولا تخرج عن كونها دليلاً عند الإيراد</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وبهذا التقرير بقي الأصل مطّردًا</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وكان له في إثبات حجّية القواعد مسلكان.</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أحدهما</w:t>
      </w:r>
      <w:r w:rsidR="0048366D">
        <w:rPr>
          <w:rFonts w:hint="cs"/>
          <w:sz w:val="20"/>
          <w:szCs w:val="36"/>
          <w:rtl/>
          <w:lang w:val="en-GB" w:eastAsia="en-US"/>
        </w:rPr>
        <w:t>:</w:t>
      </w:r>
      <w:r w:rsidRPr="00EB5FFB">
        <w:rPr>
          <w:rFonts w:hint="cs"/>
          <w:sz w:val="20"/>
          <w:szCs w:val="36"/>
          <w:rtl/>
          <w:lang w:val="en-GB" w:eastAsia="en-US"/>
        </w:rPr>
        <w:t xml:space="preserve"> الاستدلال للقاعدة بدليل جزئي يخصّها.</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الثاني</w:t>
      </w:r>
      <w:r w:rsidR="0048366D">
        <w:rPr>
          <w:rFonts w:hint="cs"/>
          <w:sz w:val="20"/>
          <w:szCs w:val="36"/>
          <w:rtl/>
          <w:lang w:val="en-GB" w:eastAsia="en-US"/>
        </w:rPr>
        <w:t>:</w:t>
      </w:r>
      <w:r w:rsidRPr="00EB5FFB">
        <w:rPr>
          <w:rFonts w:hint="cs"/>
          <w:sz w:val="20"/>
          <w:szCs w:val="36"/>
          <w:rtl/>
          <w:lang w:val="en-GB" w:eastAsia="en-US"/>
        </w:rPr>
        <w:t xml:space="preserve"> إثبات كـليّة القاعدة وانطباقها على جميع فروعها. وهذا يدخل تحت الاستقراء الناقص.</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وحيث إن أكثر القواعد مستمدّة من الفروع الفقهية المتشابهة في أحكامها، فإنه يصعب الاستدلال على كل قاعدة بدليل جزئيٍّ خاصٍّ بها؛ لهذا كان يسلك المسلك الثاني في إثبات حجية أكثر القواعد التي يوردها.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ويكون ذلك وفق الخطوات الآتية</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يتتبّع المسائل التي قيل إنها مستثناة عن القاعدة.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يبيّن علة تخلفها عن القاعدة.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قد يضطرّ أحيانًا إلى إضافة قيد للقاعدة يمنع دخول المسألة المستثناة.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وقد يحوّر لفظ القاعدة؛ لتتضمن المسألة المستثناة.</w:t>
      </w:r>
    </w:p>
    <w:p w:rsidR="00EB5FFB" w:rsidRPr="00EB5FFB" w:rsidRDefault="00EB5FFB" w:rsidP="009A68A5">
      <w:pPr>
        <w:widowControl/>
        <w:ind w:left="849" w:hanging="282"/>
        <w:jc w:val="both"/>
        <w:rPr>
          <w:sz w:val="20"/>
          <w:szCs w:val="36"/>
          <w:rtl/>
          <w:lang w:val="en-GB" w:eastAsia="en-US"/>
        </w:rPr>
      </w:pPr>
      <w:r w:rsidRPr="00EB5FFB">
        <w:rPr>
          <w:rFonts w:hint="cs"/>
          <w:sz w:val="20"/>
          <w:szCs w:val="36"/>
          <w:rtl/>
          <w:lang w:val="en-GB" w:eastAsia="en-US"/>
        </w:rPr>
        <w:t xml:space="preserve">- وإذا لم يجد طريقًا لإثبات اطّراد القاعدة </w:t>
      </w:r>
      <w:r w:rsidRPr="00EB5FFB">
        <w:rPr>
          <w:sz w:val="20"/>
          <w:szCs w:val="36"/>
          <w:rtl/>
          <w:lang w:val="en-GB" w:eastAsia="en-US"/>
        </w:rPr>
        <w:t>–</w:t>
      </w:r>
      <w:r w:rsidRPr="00EB5FFB">
        <w:rPr>
          <w:rFonts w:hint="cs"/>
          <w:sz w:val="20"/>
          <w:szCs w:val="36"/>
          <w:rtl/>
          <w:lang w:val="en-GB" w:eastAsia="en-US"/>
        </w:rPr>
        <w:t xml:space="preserve"> وهذا نادر جدًّا </w:t>
      </w:r>
      <w:r w:rsidRPr="00EB5FFB">
        <w:rPr>
          <w:sz w:val="20"/>
          <w:szCs w:val="36"/>
          <w:rtl/>
          <w:lang w:val="en-GB" w:eastAsia="en-US"/>
        </w:rPr>
        <w:t>–</w:t>
      </w:r>
      <w:r w:rsidRPr="00EB5FFB">
        <w:rPr>
          <w:rFonts w:hint="cs"/>
          <w:sz w:val="20"/>
          <w:szCs w:val="36"/>
          <w:rtl/>
          <w:lang w:val="en-GB" w:eastAsia="en-US"/>
        </w:rPr>
        <w:t xml:space="preserve"> فإنه يحكم بأنّها غير معتدٍّ بها.</w:t>
      </w:r>
    </w:p>
    <w:p w:rsidR="00EB5FFB" w:rsidRPr="00EB5FFB" w:rsidRDefault="00EB5FFB" w:rsidP="009A68A5">
      <w:pPr>
        <w:widowControl/>
        <w:ind w:left="849" w:hanging="282"/>
        <w:jc w:val="both"/>
        <w:rPr>
          <w:sz w:val="20"/>
          <w:szCs w:val="36"/>
          <w:rtl/>
          <w:lang w:val="en-GB" w:eastAsia="en-US"/>
        </w:rPr>
      </w:pPr>
      <w:r w:rsidRPr="00EB5FFB">
        <w:rPr>
          <w:rFonts w:hint="cs"/>
          <w:sz w:val="20"/>
          <w:szCs w:val="36"/>
          <w:rtl/>
          <w:lang w:val="en-GB" w:eastAsia="en-US"/>
        </w:rPr>
        <w:t xml:space="preserve">- وبما أن المسائل التي قيل إنها مستثناة يصعب حصرها، ويضيق الكتاب المختصر عن الاسترسال فيها، كان يلفت نظر القارئ إلى الاهتمام بتكوين دربة لديه </w:t>
      </w:r>
      <w:r w:rsidRPr="00EB5FFB">
        <w:rPr>
          <w:sz w:val="20"/>
          <w:szCs w:val="36"/>
          <w:rtl/>
          <w:lang w:val="en-GB" w:eastAsia="en-US"/>
        </w:rPr>
        <w:t>–</w:t>
      </w:r>
      <w:r w:rsidRPr="00EB5FFB">
        <w:rPr>
          <w:rFonts w:hint="cs"/>
          <w:sz w:val="20"/>
          <w:szCs w:val="36"/>
          <w:rtl/>
          <w:lang w:val="en-GB" w:eastAsia="en-US"/>
        </w:rPr>
        <w:t xml:space="preserve"> من خلال قراءة هذا الكتاب </w:t>
      </w:r>
      <w:r w:rsidRPr="00EB5FFB">
        <w:rPr>
          <w:sz w:val="20"/>
          <w:szCs w:val="36"/>
          <w:rtl/>
          <w:lang w:val="en-GB" w:eastAsia="en-US"/>
        </w:rPr>
        <w:t>–</w:t>
      </w:r>
      <w:r w:rsidRPr="00EB5FFB">
        <w:rPr>
          <w:rFonts w:hint="cs"/>
          <w:sz w:val="20"/>
          <w:szCs w:val="36"/>
          <w:rtl/>
          <w:lang w:val="en-GB" w:eastAsia="en-US"/>
        </w:rPr>
        <w:t xml:space="preserve"> تمكّنه من الجواب عن أيّ مسألة جديدة يقال إنها مستثناة من القاعدة. ومن ذلك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فأنت تحتاج إلى نظر دقيق في سائر المسائل الخارجة عن </w:t>
      </w:r>
      <w:r w:rsidRPr="00EB5FFB">
        <w:rPr>
          <w:rFonts w:hint="cs"/>
          <w:sz w:val="20"/>
          <w:szCs w:val="36"/>
          <w:rtl/>
          <w:lang w:val="en-GB" w:eastAsia="en-US"/>
        </w:rPr>
        <w:lastRenderedPageBreak/>
        <w:t>الأصل في بدء النظر؛ ليتضح لك أسباب خروجها عن الأصل؛ لأن القواعد والأصول إذا لم تكن مطّردة لا يصح الاستدلال بها، مع أن القوم يستدلون بها في كثير من المسائل. وأنا لم ألتزم التفصيل في هذه الجريدة؛ بل المراد الترتيب؛ لتسهيل الضّبط، والتفصيل مانع</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وبقيام المؤلف بهذه الدراسة يكون قد أبطل أهم مسوِّغات القائلين بعدم حجية القواعد الفقهية، وهو كثرة المستثنيات فيها.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وممّا يؤكد أن هذه الدراسة كافية في إبطال ذلك المسوّغ أن شيخنا د. يعقوب الباحسين عندما ناقش ذلك المسوّغ طالب بمثل هذه الدّراسة، فممّا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إن العلماء</w:t>
      </w:r>
      <w:r w:rsidR="0048366D">
        <w:rPr>
          <w:rFonts w:hint="cs"/>
          <w:sz w:val="20"/>
          <w:szCs w:val="36"/>
          <w:rtl/>
          <w:lang w:val="en-GB" w:eastAsia="en-US"/>
        </w:rPr>
        <w:t>.</w:t>
      </w:r>
      <w:r w:rsidRPr="00EB5FFB">
        <w:rPr>
          <w:rFonts w:hint="cs"/>
          <w:sz w:val="20"/>
          <w:szCs w:val="36"/>
          <w:rtl/>
          <w:lang w:val="en-GB" w:eastAsia="en-US"/>
        </w:rPr>
        <w:t>.. لم يدرسوا المستثنيات التي ذكروها، ليبيّنوا مدى انطباق شروط القاعدة عليها، وهل كانت مستثناة لافتقاد شرط فيها، أو لقيام مانع، أو كانت استثناءً من غير سبب</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إن قيام مثل هذه الدراسة سيبيّن أن كثيرًا من تلك الجزئيات المستثناة لم تكن داخلة تحت القاعدة أصلاً</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وما فعله المؤلف في كتابه يعدّ استجابة مبكرّة لهذه الحاجة، قبل هذا الطلب بأربعة قرون تقريبًا، وهذا سبقٌ وتميّزٌ يحفظ لناظرزاده، بشهادة ضمنيّة من أحد كبار علماء القواعد المعاصرين؛ فإخباره </w:t>
      </w:r>
      <w:r w:rsidRPr="00EB5FFB">
        <w:rPr>
          <w:sz w:val="20"/>
          <w:szCs w:val="36"/>
          <w:rtl/>
          <w:lang w:val="en-GB" w:eastAsia="en-US"/>
        </w:rPr>
        <w:t>–</w:t>
      </w:r>
      <w:r w:rsidRPr="00EB5FFB">
        <w:rPr>
          <w:rFonts w:hint="cs"/>
          <w:sz w:val="20"/>
          <w:szCs w:val="36"/>
          <w:rtl/>
          <w:lang w:val="en-GB" w:eastAsia="en-US"/>
        </w:rPr>
        <w:t xml:space="preserve"> حفظه الله </w:t>
      </w:r>
      <w:r w:rsidRPr="00EB5FFB">
        <w:rPr>
          <w:sz w:val="20"/>
          <w:szCs w:val="36"/>
          <w:rtl/>
          <w:lang w:val="en-GB" w:eastAsia="en-US"/>
        </w:rPr>
        <w:t>–</w:t>
      </w:r>
      <w:r w:rsidRPr="00EB5FFB">
        <w:rPr>
          <w:rFonts w:hint="cs"/>
          <w:sz w:val="20"/>
          <w:szCs w:val="36"/>
          <w:rtl/>
          <w:lang w:val="en-GB" w:eastAsia="en-US"/>
        </w:rPr>
        <w:t xml:space="preserve"> بأن </w:t>
      </w:r>
      <w:r w:rsidRPr="00EB5FFB">
        <w:rPr>
          <w:rFonts w:hint="eastAsia"/>
          <w:sz w:val="20"/>
          <w:szCs w:val="36"/>
          <w:rtl/>
          <w:lang w:val="en-GB" w:eastAsia="en-US"/>
        </w:rPr>
        <w:t>«</w:t>
      </w:r>
      <w:r w:rsidRPr="00EB5FFB">
        <w:rPr>
          <w:rFonts w:hint="cs"/>
          <w:sz w:val="20"/>
          <w:szCs w:val="36"/>
          <w:rtl/>
          <w:lang w:val="en-GB" w:eastAsia="en-US"/>
        </w:rPr>
        <w:t>العلماء لم يدرسوا المستثنيات</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rtl/>
          <w:lang w:val="en-GB" w:eastAsia="en-US"/>
        </w:rPr>
        <w:t xml:space="preserve"> دليل على خلوّ ذهنه من أيّ دراسة مستفيضة للمستثنيات، ولاسيما أنه يعدّ من أكثر من استقصى كتب القواعد في موسوعته</w:t>
      </w:r>
      <w:r w:rsidRPr="00EB5FFB">
        <w:rPr>
          <w:rFonts w:hint="cs"/>
          <w:spacing w:val="-2"/>
          <w:sz w:val="20"/>
          <w:szCs w:val="36"/>
          <w:rtl/>
          <w:lang w:val="en-GB" w:eastAsia="en-US"/>
        </w:rPr>
        <w:t xml:space="preserve"> التأصيلية التأريخية، الموسومة بـ(القواعد الفقهية، المبادئ - المقومات -</w:t>
      </w:r>
      <w:r w:rsidRPr="00EB5FFB">
        <w:rPr>
          <w:rFonts w:hint="cs"/>
          <w:sz w:val="20"/>
          <w:szCs w:val="36"/>
          <w:rtl/>
          <w:lang w:val="en-GB" w:eastAsia="en-US"/>
        </w:rPr>
        <w:t xml:space="preserve"> المصادر - الدليلية</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وهذا لا يعني الجزم بأن ناظرزاده هو الوحيد الذي قام بذلك، لكن ممّا لاشك فيه أنّ له سبقًا في هذا المجال.</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lastRenderedPageBreak/>
        <w:t>2</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ومن المحاسن الأخر - بالإضافة إلى التميّز بالمنهج -</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كثرة قواعده</w:t>
      </w:r>
      <w:r w:rsidRPr="00EB5FFB">
        <w:rPr>
          <w:rFonts w:hint="cs"/>
          <w:sz w:val="20"/>
          <w:szCs w:val="36"/>
          <w:rtl/>
          <w:lang w:val="en-GB" w:eastAsia="en-US"/>
        </w:rPr>
        <w:t>، حيث بلغت قواعده التي أفردها بالحديث (266) قاعدة. وهذا العدد يُعدّ كثيرًا إذا قورن بكثير من كتب القواعد الحنفية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ونظرًا لكثرة هذه القواعد فإنه كان له إسهامٌ كبير في استخراج كثير منها من عبارات الفقهاء والأصوليين التي ترد في مقام تعليل الأحكام، ونحو ذلك. كما كان له إسهام أيضًا في استنتاج بعضها، وصياغتها على أنها قضايا كلية.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وبهذا ظهر التميّز في كتاب ناظرزاده، في وقت وجد فيه كثير من مؤلّفي القواعد الفقهية يستفيدون من كتب القواعد الفقهية التي سبقتهم في صياغة قواعدهم.</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3</w:t>
      </w:r>
      <w:r w:rsidRPr="00EB5FFB">
        <w:rPr>
          <w:rFonts w:hint="cs"/>
          <w:sz w:val="20"/>
          <w:szCs w:val="36"/>
          <w:rtl/>
          <w:lang w:val="en-GB" w:eastAsia="en-US"/>
        </w:rPr>
        <w:t xml:space="preserve"> </w:t>
      </w:r>
      <w:r w:rsidRPr="00EB5FFB">
        <w:rPr>
          <w:b/>
          <w:bCs/>
          <w:sz w:val="20"/>
          <w:szCs w:val="36"/>
          <w:rtl/>
          <w:lang w:val="en-GB" w:eastAsia="en-US"/>
        </w:rPr>
        <w:t>–</w:t>
      </w:r>
      <w:r w:rsidRPr="00EB5FFB">
        <w:rPr>
          <w:rFonts w:hint="cs"/>
          <w:sz w:val="20"/>
          <w:szCs w:val="36"/>
          <w:rtl/>
          <w:lang w:val="en-GB" w:eastAsia="en-US"/>
        </w:rPr>
        <w:t xml:space="preserve"> وعلى الرغم من أنّ أكثر مراجعه فقهية إلاّ أنه </w:t>
      </w:r>
      <w:r w:rsidRPr="00EB5FFB">
        <w:rPr>
          <w:rFonts w:hint="cs"/>
          <w:b/>
          <w:bCs/>
          <w:sz w:val="20"/>
          <w:szCs w:val="36"/>
          <w:rtl/>
          <w:lang w:val="en-GB" w:eastAsia="en-US"/>
        </w:rPr>
        <w:t>كان موفّقًا في انتقاء مراجعه</w:t>
      </w:r>
      <w:r w:rsidRPr="00EB5FFB">
        <w:rPr>
          <w:rFonts w:hint="cs"/>
          <w:sz w:val="20"/>
          <w:szCs w:val="36"/>
          <w:rtl/>
          <w:lang w:val="en-GB" w:eastAsia="en-US"/>
        </w:rPr>
        <w:t xml:space="preserve"> الرئيسة منها، </w:t>
      </w:r>
      <w:r w:rsidRPr="00EB5FFB">
        <w:rPr>
          <w:rFonts w:hint="cs"/>
          <w:b/>
          <w:bCs/>
          <w:sz w:val="20"/>
          <w:szCs w:val="36"/>
          <w:rtl/>
          <w:lang w:val="en-GB" w:eastAsia="en-US"/>
        </w:rPr>
        <w:t>كما كان بارعًا في حسن الاقتناص منها</w:t>
      </w:r>
      <w:r w:rsidRPr="00EB5FFB">
        <w:rPr>
          <w:rFonts w:hint="cs"/>
          <w:sz w:val="20"/>
          <w:szCs w:val="36"/>
          <w:rtl/>
          <w:lang w:val="en-GB" w:eastAsia="en-US"/>
        </w:rPr>
        <w:t>، وترتيبه بما يخدم منهجه الفريد الذي رسمه لنفسه.</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فأهم مراجعه مرجعان، هما</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أ-</w:t>
      </w:r>
      <w:r w:rsidRPr="00EB5FFB">
        <w:rPr>
          <w:rFonts w:hint="cs"/>
          <w:sz w:val="20"/>
          <w:szCs w:val="36"/>
          <w:rtl/>
          <w:lang w:val="en-GB" w:eastAsia="en-US"/>
        </w:rPr>
        <w:t xml:space="preserve">  (الدرر شرح الغرر) لملاّ خسرو (ت885هـ)، صاحب (مرقاة الوصول في علم الأصول)، وشرحها</w:t>
      </w:r>
      <w:r w:rsidR="0048366D">
        <w:rPr>
          <w:rFonts w:hint="cs"/>
          <w:sz w:val="20"/>
          <w:szCs w:val="36"/>
          <w:rtl/>
          <w:lang w:val="en-GB" w:eastAsia="en-US"/>
        </w:rPr>
        <w:t>:</w:t>
      </w:r>
      <w:r w:rsidRPr="00EB5FFB">
        <w:rPr>
          <w:rFonts w:hint="cs"/>
          <w:sz w:val="20"/>
          <w:szCs w:val="36"/>
          <w:rtl/>
          <w:lang w:val="en-GB" w:eastAsia="en-US"/>
        </w:rPr>
        <w:t xml:space="preserve"> (مرآة الأصول).</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ب</w:t>
      </w:r>
      <w:r w:rsidRPr="00EB5FFB">
        <w:rPr>
          <w:b/>
          <w:bCs/>
          <w:sz w:val="20"/>
          <w:szCs w:val="36"/>
          <w:rtl/>
          <w:lang w:val="en-GB" w:eastAsia="en-US"/>
        </w:rPr>
        <w:t>–</w:t>
      </w:r>
      <w:r w:rsidRPr="00EB5FFB">
        <w:rPr>
          <w:rFonts w:hint="cs"/>
          <w:sz w:val="20"/>
          <w:szCs w:val="36"/>
          <w:rtl/>
          <w:lang w:val="en-GB" w:eastAsia="en-US"/>
        </w:rPr>
        <w:t xml:space="preserve"> (العناية شرح الهداية) للبابرتي (ت786هـ)، صاحب (التقرير في شرح أصول البزدوي) و(الأنوار في شرح المنار).</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وهما من الأصوليين الفقهاء الذين لهم عناية بالتأصيل، والتعليل بالقواعد الفقهية.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lastRenderedPageBreak/>
        <w:t>كما أنّه ممّا لا يخفى أن القواعد التي ترد في كتب الفقه ترد غالبًا عرضًا في مقام التعليل. ومع ذلك استطاع المؤلف أن يحوّر السياق الذي ترد فيه في تلك الكتب الفقهية، ويرتّبه بما يتفق ومنهجه في دراسة القواعد.</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4 -</w:t>
      </w:r>
      <w:r w:rsidRPr="00EB5FFB">
        <w:rPr>
          <w:rFonts w:hint="cs"/>
          <w:sz w:val="20"/>
          <w:szCs w:val="36"/>
          <w:rtl/>
          <w:lang w:val="en-GB" w:eastAsia="en-US"/>
        </w:rPr>
        <w:t xml:space="preserve"> ومن مزايا الكتاب</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ظهور شخصية المؤلف ظهورًا واضحًا</w:t>
      </w:r>
      <w:r w:rsidRPr="00EB5FFB">
        <w:rPr>
          <w:rFonts w:hint="cs"/>
          <w:sz w:val="20"/>
          <w:szCs w:val="36"/>
          <w:rtl/>
          <w:lang w:val="en-GB" w:eastAsia="en-US"/>
        </w:rPr>
        <w:t>. ومن مظاهر ذلك:</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 xml:space="preserve">أ </w:t>
      </w:r>
      <w:r w:rsidRPr="00EB5FFB">
        <w:rPr>
          <w:b/>
          <w:bCs/>
          <w:sz w:val="20"/>
          <w:szCs w:val="36"/>
          <w:rtl/>
          <w:lang w:val="en-GB" w:eastAsia="en-US"/>
        </w:rPr>
        <w:t>–</w:t>
      </w:r>
      <w:r w:rsidRPr="00EB5FFB">
        <w:rPr>
          <w:rFonts w:hint="cs"/>
          <w:sz w:val="20"/>
          <w:szCs w:val="36"/>
          <w:rtl/>
          <w:lang w:val="en-GB" w:eastAsia="en-US"/>
        </w:rPr>
        <w:t xml:space="preserve"> براعة المؤلف في تحوير بعض القواعد؛ لكي تندرج تحتها جميع الفروع.</w:t>
      </w:r>
    </w:p>
    <w:p w:rsidR="00EB5FFB" w:rsidRPr="00EB5FFB" w:rsidRDefault="00EB5FFB" w:rsidP="009A68A5">
      <w:pPr>
        <w:widowControl/>
        <w:ind w:firstLine="567"/>
        <w:jc w:val="both"/>
        <w:rPr>
          <w:sz w:val="38"/>
          <w:szCs w:val="38"/>
          <w:rtl/>
          <w:lang w:val="en-GB" w:eastAsia="en-US"/>
        </w:rPr>
      </w:pPr>
      <w:r w:rsidRPr="00EB5FFB">
        <w:rPr>
          <w:rFonts w:hint="cs"/>
          <w:sz w:val="20"/>
          <w:szCs w:val="36"/>
          <w:rtl/>
          <w:lang w:val="en-GB" w:eastAsia="en-US"/>
        </w:rPr>
        <w:t>ومن ذلك</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sz w:val="38"/>
          <w:szCs w:val="38"/>
          <w:rtl/>
          <w:lang w:val="en-GB" w:eastAsia="en-US"/>
        </w:rPr>
        <w:t>ق189</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كُلُّ ما يَتَرَتَّبُ عليها البيِّنَةُ يترتَّبُ عَلَيْهَا التَّحْلِيفُ، سِوَى بيّنةٍ أُقِيمَتْ لإثباتِ الخُصُومَةِ</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فمصدر المؤلف الرئيس في هذه القاعدة هو (العناية)، وقد ردّ صاحب (العناية) هذه القاعدة فقال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ولا نسلّم أن كل ما يترتب عليه البينّة يترتب عليه التحليف؛ فإن دعوى الوكالة يترتب عليها البينة دون التحليف</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6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والذي فعله ناظرزاده هو أنه أضاف القيد الأخير (وهو</w:t>
      </w:r>
      <w:r w:rsidR="0048366D">
        <w:rPr>
          <w:rFonts w:hint="cs"/>
          <w:sz w:val="20"/>
          <w:szCs w:val="36"/>
          <w:rtl/>
          <w:lang w:val="en-GB" w:eastAsia="en-US"/>
        </w:rPr>
        <w:t>:</w:t>
      </w:r>
      <w:r w:rsidRPr="00EB5FFB">
        <w:rPr>
          <w:rFonts w:hint="cs"/>
          <w:sz w:val="20"/>
          <w:szCs w:val="36"/>
          <w:rtl/>
          <w:lang w:val="en-GB" w:eastAsia="en-US"/>
        </w:rPr>
        <w:t xml:space="preserve"> سوى بيّنة أقيمت لإثبات الخصومة)، وأخرج به الفرع الذي اعترض به صاحب (العناية) على القاعدة. فأصبحت القاعدة مثبتة لا منفيّة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7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ب</w:t>
      </w:r>
      <w:r w:rsidRPr="00EB5FFB">
        <w:rPr>
          <w:rFonts w:hint="cs"/>
          <w:sz w:val="20"/>
          <w:szCs w:val="36"/>
          <w:rtl/>
          <w:lang w:val="en-GB" w:eastAsia="en-US"/>
        </w:rPr>
        <w:t xml:space="preserve"> </w:t>
      </w:r>
      <w:r w:rsidRPr="00EB5FFB">
        <w:rPr>
          <w:sz w:val="20"/>
          <w:szCs w:val="36"/>
          <w:rtl/>
          <w:lang w:val="en-GB" w:eastAsia="en-US"/>
        </w:rPr>
        <w:t>–</w:t>
      </w:r>
      <w:r w:rsidRPr="00EB5FFB">
        <w:rPr>
          <w:rFonts w:hint="cs"/>
          <w:sz w:val="20"/>
          <w:szCs w:val="36"/>
          <w:rtl/>
          <w:lang w:val="en-GB" w:eastAsia="en-US"/>
        </w:rPr>
        <w:t xml:space="preserve"> أنه عند حديثه عن</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sz w:val="38"/>
          <w:szCs w:val="38"/>
          <w:rtl/>
          <w:lang w:val="en-GB" w:eastAsia="en-US"/>
        </w:rPr>
        <w:t>ق157</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الضَّرَرُ لا يُزالُ بالضَّرَرِ</w:t>
      </w:r>
      <w:r w:rsidRPr="00EB5FFB">
        <w:rPr>
          <w:rFonts w:hint="eastAsia"/>
          <w:sz w:val="20"/>
          <w:szCs w:val="36"/>
          <w:rtl/>
          <w:lang w:val="en-GB" w:eastAsia="en-US"/>
        </w:rPr>
        <w:t>»</w:t>
      </w:r>
      <w:r w:rsidR="0048366D">
        <w:rPr>
          <w:rFonts w:hint="cs"/>
          <w:sz w:val="38"/>
          <w:szCs w:val="38"/>
          <w:rtl/>
          <w:lang w:val="en-GB" w:eastAsia="en-US"/>
        </w:rPr>
        <w:t>:</w:t>
      </w:r>
      <w:r w:rsidRPr="00EB5FFB">
        <w:rPr>
          <w:rFonts w:hint="cs"/>
          <w:sz w:val="38"/>
          <w:szCs w:val="38"/>
          <w:rtl/>
          <w:lang w:val="en-GB" w:eastAsia="en-US"/>
        </w:rPr>
        <w:t xml:space="preserve"> اعترض عليها بوجود مسائل خارجة عنها، وبتعارضها مع قواعد أُخرَ، ثم ارتضى تعديل لفظها بما يرفع تلك الاعتراضات. فممّا قال</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ويعلم بهذا أنّ هذا الأصل ليس بمطلق، مع أنّ </w:t>
      </w:r>
      <w:r w:rsidRPr="00EB5FFB">
        <w:rPr>
          <w:rFonts w:hint="eastAsia"/>
          <w:sz w:val="20"/>
          <w:szCs w:val="36"/>
          <w:rtl/>
          <w:lang w:val="en-GB" w:eastAsia="en-US"/>
        </w:rPr>
        <w:t>«</w:t>
      </w:r>
      <w:r w:rsidRPr="00EB5FFB">
        <w:rPr>
          <w:rFonts w:hint="cs"/>
          <w:sz w:val="20"/>
          <w:szCs w:val="36"/>
          <w:rtl/>
          <w:lang w:val="en-GB" w:eastAsia="en-US"/>
        </w:rPr>
        <w:t>الضرر الخاص يُتحمّل لأجل دفع الضرر العام</w:t>
      </w:r>
      <w:r w:rsidRPr="00EB5FFB">
        <w:rPr>
          <w:rFonts w:hint="eastAsia"/>
          <w:sz w:val="20"/>
          <w:szCs w:val="36"/>
          <w:rtl/>
          <w:lang w:val="en-GB" w:eastAsia="en-US"/>
        </w:rPr>
        <w:t>»</w:t>
      </w:r>
      <w:r w:rsidRPr="00EB5FFB">
        <w:rPr>
          <w:rFonts w:hint="cs"/>
          <w:sz w:val="20"/>
          <w:szCs w:val="36"/>
          <w:rtl/>
          <w:lang w:val="en-GB" w:eastAsia="en-US"/>
        </w:rPr>
        <w:t>، و</w:t>
      </w:r>
      <w:r w:rsidRPr="00EB5FFB">
        <w:rPr>
          <w:rFonts w:hint="eastAsia"/>
          <w:sz w:val="20"/>
          <w:szCs w:val="36"/>
          <w:rtl/>
          <w:lang w:val="en-GB" w:eastAsia="en-US"/>
        </w:rPr>
        <w:t>«</w:t>
      </w:r>
      <w:r w:rsidRPr="00EB5FFB">
        <w:rPr>
          <w:rFonts w:hint="cs"/>
          <w:sz w:val="20"/>
          <w:szCs w:val="36"/>
          <w:rtl/>
          <w:lang w:val="en-GB" w:eastAsia="en-US"/>
        </w:rPr>
        <w:t>إذا كان أحد الضّررين أعظم ضررًا فإن الأشد يزال بالأخف</w:t>
      </w:r>
      <w:r w:rsidRPr="00EB5FFB">
        <w:rPr>
          <w:rFonts w:hint="eastAsia"/>
          <w:sz w:val="20"/>
          <w:szCs w:val="36"/>
          <w:rtl/>
          <w:lang w:val="en-GB" w:eastAsia="en-US"/>
        </w:rPr>
        <w:t>»</w:t>
      </w:r>
      <w:r w:rsidRPr="00EB5FFB">
        <w:rPr>
          <w:rFonts w:hint="cs"/>
          <w:sz w:val="20"/>
          <w:szCs w:val="36"/>
          <w:rtl/>
          <w:lang w:val="en-GB" w:eastAsia="en-US"/>
        </w:rPr>
        <w:t>... فالأقرب إلى الصحة أن يقال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الضرر لا يزال بمثله</w:t>
      </w:r>
      <w:r w:rsidRPr="00EB5FFB">
        <w:rPr>
          <w:rFonts w:hint="eastAsia"/>
          <w:sz w:val="20"/>
          <w:szCs w:val="36"/>
          <w:rtl/>
          <w:lang w:val="en-GB" w:eastAsia="en-US"/>
        </w:rPr>
        <w:t>»</w:t>
      </w:r>
      <w:r w:rsidRPr="00EB5FFB">
        <w:rPr>
          <w:rFonts w:hint="cs"/>
          <w:sz w:val="20"/>
          <w:szCs w:val="36"/>
          <w:rtl/>
          <w:lang w:val="en-GB" w:eastAsia="en-US"/>
        </w:rPr>
        <w:t>، وبه يعلم حال الأشد</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sz w:val="20"/>
          <w:szCs w:val="36"/>
          <w:rtl/>
          <w:lang w:val="en-GB" w:eastAsia="en-US"/>
        </w:rPr>
        <w:t>فتَجدُ هنا أنَّ المؤلف ترك لفظ القاعدة الأول وارتضى الثاني. وهذا لم يردْ التصريح به في مصدر المؤلف في هذه القاعدة (وهو أشباه ابن نجيم)، كما لم أجده في كتب القواعد المتقدمة على المؤلف إلا كإشارة مقتضبة من الكَـتَّاني الشافعي (ت738هـ)، وقد ذكرها الزركشي فقال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lastRenderedPageBreak/>
        <w:t>«</w:t>
      </w:r>
      <w:r w:rsidRPr="00EB5FFB">
        <w:rPr>
          <w:rFonts w:hint="cs"/>
          <w:sz w:val="20"/>
          <w:szCs w:val="36"/>
          <w:rtl/>
          <w:lang w:val="en-GB" w:eastAsia="en-US"/>
        </w:rPr>
        <w:t>الضرر لا يزال بالضرر</w:t>
      </w:r>
      <w:r w:rsidR="0048366D">
        <w:rPr>
          <w:rFonts w:hint="cs"/>
          <w:sz w:val="20"/>
          <w:szCs w:val="36"/>
          <w:rtl/>
          <w:lang w:val="en-GB" w:eastAsia="en-US"/>
        </w:rPr>
        <w:t>:</w:t>
      </w:r>
      <w:r w:rsidRPr="00EB5FFB">
        <w:rPr>
          <w:rFonts w:hint="cs"/>
          <w:sz w:val="20"/>
          <w:szCs w:val="36"/>
          <w:rtl/>
          <w:lang w:val="en-GB" w:eastAsia="en-US"/>
        </w:rPr>
        <w:t xml:space="preserve"> كذا أطلقوه. واستدرك الشيخ زين الدين الكتاني فقال</w:t>
      </w:r>
      <w:r w:rsidR="0048366D">
        <w:rPr>
          <w:rFonts w:hint="cs"/>
          <w:sz w:val="20"/>
          <w:szCs w:val="36"/>
          <w:rtl/>
          <w:lang w:val="en-GB" w:eastAsia="en-US"/>
        </w:rPr>
        <w:t>:</w:t>
      </w:r>
      <w:r w:rsidRPr="00EB5FFB">
        <w:rPr>
          <w:rFonts w:hint="cs"/>
          <w:sz w:val="20"/>
          <w:szCs w:val="36"/>
          <w:rtl/>
          <w:lang w:val="en-GB" w:eastAsia="en-US"/>
        </w:rPr>
        <w:t xml:space="preserve"> لابّد من النظر لأخفهما وأغلظهما. انتهى</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7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ثم إن القـاعدة لم تشتهر باللفظ الذي ارتضاه المؤلف إلا بعد أن اختارته (مجلة الأحكام العدلية)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7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جـ -</w:t>
      </w:r>
      <w:r w:rsidRPr="00EB5FFB">
        <w:rPr>
          <w:rFonts w:hint="cs"/>
          <w:sz w:val="20"/>
          <w:szCs w:val="36"/>
          <w:rtl/>
          <w:lang w:val="en-GB" w:eastAsia="en-US"/>
        </w:rPr>
        <w:t xml:space="preserve"> أنه عند استفادته من المراجع كان ناقلاً بصيرًا، فيتعقبها في المواضع التي تحتاج إلى تعقّب. ومن أمثلة ذلك</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وعلى هذا ظهر سهو ابن نجيم في أشباهه، حيث قال في كتاب (الغصب)</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إنّ الضّمان الذي يغرمه الآمر يرجع به على سيّده</w:t>
      </w:r>
      <w:r w:rsidRPr="00EB5FFB">
        <w:rPr>
          <w:rFonts w:hint="eastAsia"/>
          <w:sz w:val="20"/>
          <w:szCs w:val="36"/>
          <w:rtl/>
          <w:lang w:val="en-GB" w:eastAsia="en-US"/>
        </w:rPr>
        <w:t>»</w:t>
      </w:r>
      <w:r w:rsidRPr="00EB5FFB">
        <w:rPr>
          <w:rFonts w:hint="cs"/>
          <w:sz w:val="20"/>
          <w:szCs w:val="36"/>
          <w:rtl/>
          <w:lang w:val="en-GB" w:eastAsia="en-US"/>
        </w:rPr>
        <w:t>. و</w:t>
      </w:r>
      <w:r w:rsidRPr="00EB5FFB">
        <w:rPr>
          <w:rFonts w:hint="cs"/>
          <w:b/>
          <w:bCs/>
          <w:sz w:val="20"/>
          <w:szCs w:val="36"/>
          <w:rtl/>
          <w:lang w:val="en-GB" w:eastAsia="en-US"/>
        </w:rPr>
        <w:t>الصواب</w:t>
      </w:r>
      <w:r w:rsidR="0048366D">
        <w:rPr>
          <w:rFonts w:hint="cs"/>
          <w:sz w:val="20"/>
          <w:szCs w:val="36"/>
          <w:rtl/>
          <w:lang w:val="en-GB" w:eastAsia="en-US"/>
        </w:rPr>
        <w:t>:</w:t>
      </w:r>
      <w:r w:rsidRPr="00EB5FFB">
        <w:rPr>
          <w:rFonts w:hint="cs"/>
          <w:sz w:val="20"/>
          <w:szCs w:val="36"/>
          <w:rtl/>
          <w:lang w:val="en-GB" w:eastAsia="en-US"/>
        </w:rPr>
        <w:t xml:space="preserve"> إن الضمان الذي يغرمه السيّد يرجع به على الآمر</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73"/>
      </w:r>
      <w:r w:rsidRPr="00EB5FFB">
        <w:rPr>
          <w:rFonts w:hint="cs"/>
          <w:sz w:val="20"/>
          <w:szCs w:val="36"/>
          <w:vertAlign w:val="superscript"/>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واستثنى البعض من هذا الأصل</w:t>
      </w:r>
      <w:r w:rsidR="0048366D">
        <w:rPr>
          <w:rFonts w:hint="cs"/>
          <w:sz w:val="20"/>
          <w:szCs w:val="36"/>
          <w:rtl/>
          <w:lang w:val="en-GB" w:eastAsia="en-US"/>
        </w:rPr>
        <w:t>:</w:t>
      </w:r>
      <w:r w:rsidRPr="00EB5FFB">
        <w:rPr>
          <w:rFonts w:hint="cs"/>
          <w:sz w:val="20"/>
          <w:szCs w:val="36"/>
          <w:rtl/>
          <w:lang w:val="en-GB" w:eastAsia="en-US"/>
        </w:rPr>
        <w:t xml:space="preserve"> أن رؤية المشتري الدهن من وراء الزجاج لا يسقط خياره.</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وعلّل صـاحب (الـدرر) عند ذكر هذه المسألة بأنها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لا تكون رؤية حقيقة؛ لوجود الحائل</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pacing w:val="-4"/>
          <w:sz w:val="20"/>
          <w:szCs w:val="36"/>
          <w:rtl/>
          <w:lang w:val="en-GB" w:eastAsia="en-US"/>
        </w:rPr>
      </w:pPr>
      <w:r w:rsidRPr="00EB5FFB">
        <w:rPr>
          <w:rFonts w:hint="cs"/>
          <w:b/>
          <w:bCs/>
          <w:spacing w:val="-4"/>
          <w:sz w:val="20"/>
          <w:szCs w:val="36"/>
          <w:rtl/>
          <w:lang w:val="en-GB" w:eastAsia="en-US"/>
        </w:rPr>
        <w:t>ولم يصبْ</w:t>
      </w:r>
      <w:r w:rsidRPr="00EB5FFB">
        <w:rPr>
          <w:rFonts w:hint="cs"/>
          <w:spacing w:val="-4"/>
          <w:sz w:val="20"/>
          <w:szCs w:val="36"/>
          <w:rtl/>
          <w:lang w:val="en-GB" w:eastAsia="en-US"/>
        </w:rPr>
        <w:t>؛ بل العلة التامة</w:t>
      </w:r>
      <w:r w:rsidR="0048366D">
        <w:rPr>
          <w:rFonts w:hint="cs"/>
          <w:spacing w:val="-4"/>
          <w:sz w:val="20"/>
          <w:szCs w:val="36"/>
          <w:rtl/>
          <w:lang w:val="en-GB" w:eastAsia="en-US"/>
        </w:rPr>
        <w:t>:</w:t>
      </w:r>
      <w:r w:rsidRPr="00EB5FFB">
        <w:rPr>
          <w:rFonts w:hint="cs"/>
          <w:spacing w:val="-4"/>
          <w:sz w:val="20"/>
          <w:szCs w:val="36"/>
          <w:rtl/>
          <w:lang w:val="en-GB" w:eastAsia="en-US"/>
        </w:rPr>
        <w:t xml:space="preserve"> أنّ الدّهن ممّا يُطعم، فيشترط لسقوط خيار الرؤية وخيار العيب منه الذّوق</w:t>
      </w:r>
      <w:r w:rsidR="0048366D">
        <w:rPr>
          <w:rFonts w:hint="cs"/>
          <w:spacing w:val="-4"/>
          <w:sz w:val="20"/>
          <w:szCs w:val="36"/>
          <w:rtl/>
          <w:lang w:val="en-GB" w:eastAsia="en-US"/>
        </w:rPr>
        <w:t>.</w:t>
      </w:r>
      <w:r w:rsidRPr="00EB5FFB">
        <w:rPr>
          <w:rFonts w:hint="cs"/>
          <w:spacing w:val="-4"/>
          <w:sz w:val="20"/>
          <w:szCs w:val="36"/>
          <w:rtl/>
          <w:lang w:val="en-GB" w:eastAsia="en-US"/>
        </w:rPr>
        <w:t>.. ولا يكفي الرؤية ولو في الخارج، فإن المراد من الرؤية</w:t>
      </w:r>
      <w:r w:rsidR="0048366D">
        <w:rPr>
          <w:rFonts w:hint="cs"/>
          <w:spacing w:val="-4"/>
          <w:sz w:val="20"/>
          <w:szCs w:val="36"/>
          <w:rtl/>
          <w:lang w:val="en-GB" w:eastAsia="en-US"/>
        </w:rPr>
        <w:t>:</w:t>
      </w:r>
      <w:r w:rsidRPr="00EB5FFB">
        <w:rPr>
          <w:rFonts w:hint="cs"/>
          <w:spacing w:val="-4"/>
          <w:sz w:val="20"/>
          <w:szCs w:val="36"/>
          <w:rtl/>
          <w:lang w:val="en-GB" w:eastAsia="en-US"/>
        </w:rPr>
        <w:t xml:space="preserve"> العلم بالمقصود - على ما صرّحوا به</w:t>
      </w:r>
      <w:r w:rsidR="0048366D">
        <w:rPr>
          <w:rFonts w:hint="cs"/>
          <w:spacing w:val="-4"/>
          <w:sz w:val="20"/>
          <w:szCs w:val="36"/>
          <w:rtl/>
          <w:lang w:val="en-GB" w:eastAsia="en-US"/>
        </w:rPr>
        <w:t>.</w:t>
      </w:r>
      <w:r w:rsidRPr="00EB5FFB">
        <w:rPr>
          <w:rFonts w:hint="cs"/>
          <w:spacing w:val="-4"/>
          <w:sz w:val="20"/>
          <w:szCs w:val="36"/>
          <w:rtl/>
          <w:lang w:val="en-GB" w:eastAsia="en-US"/>
        </w:rPr>
        <w:t>..</w:t>
      </w:r>
      <w:r w:rsidRPr="00EB5FFB">
        <w:rPr>
          <w:rFonts w:hint="eastAsia"/>
          <w:spacing w:val="-4"/>
          <w:sz w:val="20"/>
          <w:szCs w:val="36"/>
          <w:rtl/>
          <w:lang w:val="en-GB" w:eastAsia="en-US"/>
        </w:rPr>
        <w:t>»</w:t>
      </w:r>
      <w:r w:rsidRPr="00EB5FFB">
        <w:rPr>
          <w:rFonts w:hint="cs"/>
          <w:spacing w:val="-4"/>
          <w:sz w:val="20"/>
          <w:szCs w:val="36"/>
          <w:vertAlign w:val="superscript"/>
          <w:rtl/>
          <w:lang w:val="en-GB" w:eastAsia="en-US"/>
        </w:rPr>
        <w:t>(</w:t>
      </w:r>
      <w:r w:rsidRPr="00EB5FFB">
        <w:rPr>
          <w:bCs/>
          <w:spacing w:val="-4"/>
          <w:sz w:val="20"/>
          <w:szCs w:val="32"/>
          <w:vertAlign w:val="superscript"/>
          <w:rtl/>
          <w:lang w:val="en-GB" w:eastAsia="en-US"/>
        </w:rPr>
        <w:footnoteReference w:id="274"/>
      </w:r>
      <w:r w:rsidRPr="00EB5FFB">
        <w:rPr>
          <w:rFonts w:hint="cs"/>
          <w:spacing w:val="-4"/>
          <w:sz w:val="20"/>
          <w:szCs w:val="36"/>
          <w:vertAlign w:val="superscript"/>
          <w:rtl/>
          <w:lang w:val="en-GB" w:eastAsia="en-US"/>
        </w:rPr>
        <w:t>)</w:t>
      </w:r>
      <w:r w:rsidRPr="00EB5FFB">
        <w:rPr>
          <w:rFonts w:hint="cs"/>
          <w:spacing w:val="-4"/>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عند تعليقه على </w:t>
      </w:r>
      <w:r w:rsidRPr="00EB5FFB">
        <w:rPr>
          <w:rFonts w:hint="cs"/>
          <w:sz w:val="38"/>
          <w:szCs w:val="38"/>
          <w:rtl/>
          <w:lang w:val="en-GB" w:eastAsia="en-US"/>
        </w:rPr>
        <w:t>ق266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يَوْمُ المَوْتِ لاَ يَدْخُلُ تَحْتَ القَضَاءِ، بِخِلاَفِ يَوْمِ القَتْلِ</w:t>
      </w:r>
      <w:r w:rsidRPr="00EB5FFB">
        <w:rPr>
          <w:rFonts w:hint="eastAsia"/>
          <w:sz w:val="20"/>
          <w:szCs w:val="36"/>
          <w:rtl/>
          <w:lang w:val="en-GB" w:eastAsia="en-US"/>
        </w:rPr>
        <w:t>»</w:t>
      </w:r>
      <w:r w:rsidRPr="00EB5FFB">
        <w:rPr>
          <w:rFonts w:hint="cs"/>
          <w:sz w:val="38"/>
          <w:szCs w:val="38"/>
          <w:rtl/>
          <w:lang w:val="en-GB" w:eastAsia="en-US"/>
        </w:rPr>
        <w:t xml:space="preserve"> قال</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وفسّره صاحب (الدرر)</w:t>
      </w:r>
      <w:r w:rsidR="0048366D">
        <w:rPr>
          <w:rFonts w:hint="cs"/>
          <w:sz w:val="20"/>
          <w:szCs w:val="36"/>
          <w:rtl/>
          <w:lang w:val="en-GB" w:eastAsia="en-US"/>
        </w:rPr>
        <w:t>:</w:t>
      </w:r>
      <w:r w:rsidRPr="00EB5FFB">
        <w:rPr>
          <w:rFonts w:hint="cs"/>
          <w:sz w:val="20"/>
          <w:szCs w:val="36"/>
          <w:rtl/>
          <w:lang w:val="en-GB" w:eastAsia="en-US"/>
        </w:rPr>
        <w:t xml:space="preserve"> بأن الرجل إذا ادّعى أن أباه مات يوم كذا، وقضى به، فادّعت </w:t>
      </w:r>
      <w:r w:rsidRPr="00EB5FFB">
        <w:rPr>
          <w:rFonts w:hint="cs"/>
          <w:sz w:val="20"/>
          <w:szCs w:val="36"/>
          <w:rtl/>
          <w:lang w:val="en-GB" w:eastAsia="en-US"/>
        </w:rPr>
        <w:lastRenderedPageBreak/>
        <w:t>المرأة أنّ الميت تزوّجها بعد ذلك اليوم</w:t>
      </w:r>
      <w:r w:rsidR="0048366D">
        <w:rPr>
          <w:rFonts w:hint="cs"/>
          <w:sz w:val="20"/>
          <w:szCs w:val="36"/>
          <w:rtl/>
          <w:lang w:val="en-GB" w:eastAsia="en-US"/>
        </w:rPr>
        <w:t>:</w:t>
      </w:r>
      <w:r w:rsidRPr="00EB5FFB">
        <w:rPr>
          <w:rFonts w:hint="cs"/>
          <w:sz w:val="20"/>
          <w:szCs w:val="36"/>
          <w:rtl/>
          <w:lang w:val="en-GB" w:eastAsia="en-US"/>
        </w:rPr>
        <w:t xml:space="preserve"> تُسمع ويُقضى بالنكاح. ولو ادّعت قتله فيه، وقُضي به</w:t>
      </w:r>
      <w:r w:rsidR="0048366D">
        <w:rPr>
          <w:rFonts w:hint="cs"/>
          <w:sz w:val="20"/>
          <w:szCs w:val="36"/>
          <w:rtl/>
          <w:lang w:val="en-GB" w:eastAsia="en-US"/>
        </w:rPr>
        <w:t>:</w:t>
      </w:r>
      <w:r w:rsidRPr="00EB5FFB">
        <w:rPr>
          <w:rFonts w:hint="cs"/>
          <w:sz w:val="20"/>
          <w:szCs w:val="36"/>
          <w:rtl/>
          <w:lang w:val="en-GB" w:eastAsia="en-US"/>
        </w:rPr>
        <w:t xml:space="preserve"> لم تُسمع دعواها النكاح بعده.</w:t>
      </w:r>
    </w:p>
    <w:p w:rsidR="00EB5FFB" w:rsidRPr="00EB5FFB" w:rsidRDefault="00EB5FFB" w:rsidP="009A68A5">
      <w:pPr>
        <w:widowControl/>
        <w:ind w:firstLine="567"/>
        <w:jc w:val="both"/>
        <w:rPr>
          <w:sz w:val="38"/>
          <w:szCs w:val="38"/>
          <w:rtl/>
          <w:lang w:val="en-GB" w:eastAsia="en-US"/>
        </w:rPr>
      </w:pPr>
      <w:r w:rsidRPr="00EB5FFB">
        <w:rPr>
          <w:rFonts w:hint="cs"/>
          <w:b/>
          <w:bCs/>
          <w:sz w:val="20"/>
          <w:szCs w:val="36"/>
          <w:rtl/>
          <w:lang w:val="en-GB" w:eastAsia="en-US"/>
        </w:rPr>
        <w:t>أقول</w:t>
      </w:r>
      <w:r w:rsidR="0048366D">
        <w:rPr>
          <w:rFonts w:hint="cs"/>
          <w:b/>
          <w:bCs/>
          <w:sz w:val="20"/>
          <w:szCs w:val="36"/>
          <w:rtl/>
          <w:lang w:val="en-GB" w:eastAsia="en-US"/>
        </w:rPr>
        <w:t>:</w:t>
      </w:r>
      <w:r w:rsidRPr="00EB5FFB">
        <w:rPr>
          <w:rFonts w:hint="cs"/>
          <w:sz w:val="20"/>
          <w:szCs w:val="36"/>
          <w:rtl/>
          <w:lang w:val="en-GB" w:eastAsia="en-US"/>
        </w:rPr>
        <w:t xml:space="preserve"> الحقّ أن يقدّم دعوى المرأة على دعوى الرجل؛ لأَنْ لا يرد عليه: أن دعوى الرجل بلا خصم لا يعتبر، وبينته لا تسمع</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7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د</w:t>
      </w:r>
      <w:r w:rsidRPr="00EB5FFB">
        <w:rPr>
          <w:rFonts w:hint="cs"/>
          <w:sz w:val="20"/>
          <w:szCs w:val="36"/>
          <w:rtl/>
          <w:lang w:val="en-GB" w:eastAsia="en-US"/>
        </w:rPr>
        <w:t xml:space="preserve"> </w:t>
      </w:r>
      <w:r w:rsidRPr="00EB5FFB">
        <w:rPr>
          <w:b/>
          <w:bCs/>
          <w:sz w:val="20"/>
          <w:szCs w:val="36"/>
          <w:rtl/>
          <w:lang w:val="en-GB" w:eastAsia="en-US"/>
        </w:rPr>
        <w:t>–</w:t>
      </w:r>
      <w:r w:rsidRPr="00EB5FFB">
        <w:rPr>
          <w:rFonts w:hint="cs"/>
          <w:sz w:val="20"/>
          <w:szCs w:val="36"/>
          <w:rtl/>
          <w:lang w:val="en-GB" w:eastAsia="en-US"/>
        </w:rPr>
        <w:t xml:space="preserve"> دقّته في الجمع بين القواعد، وأيضًا بين المسائل التي ظاهرها التعارض</w:t>
      </w:r>
      <w:r w:rsidR="0048366D">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فمن أمثلة جمعه بين القواعد</w:t>
      </w:r>
      <w:r w:rsidR="0048366D">
        <w:rPr>
          <w:rFonts w:hint="cs"/>
          <w:sz w:val="20"/>
          <w:szCs w:val="36"/>
          <w:rtl/>
          <w:lang w:val="en-GB" w:eastAsia="en-US"/>
        </w:rPr>
        <w:t>:</w:t>
      </w:r>
    </w:p>
    <w:p w:rsidR="00EB5FFB" w:rsidRPr="00EB5FFB" w:rsidRDefault="00EB5FFB" w:rsidP="007C7F13">
      <w:pPr>
        <w:widowControl/>
        <w:numPr>
          <w:ilvl w:val="0"/>
          <w:numId w:val="8"/>
        </w:numPr>
        <w:jc w:val="both"/>
        <w:rPr>
          <w:sz w:val="20"/>
          <w:szCs w:val="36"/>
          <w:lang w:val="en-GB" w:eastAsia="en-US"/>
        </w:rPr>
      </w:pPr>
      <w:r w:rsidRPr="00EB5FFB">
        <w:rPr>
          <w:rFonts w:hint="cs"/>
          <w:sz w:val="38"/>
          <w:szCs w:val="38"/>
          <w:rtl/>
          <w:lang w:val="en-GB" w:eastAsia="en-US"/>
        </w:rPr>
        <w:t xml:space="preserve">ق34    </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الاعْتِبَارُ لِلْمَقَاصِدِ والمَعَانِيْ لا للأَلْفاظِ والمَبَانِيْ</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sz w:val="20"/>
          <w:szCs w:val="36"/>
          <w:rtl/>
          <w:lang w:val="en-GB" w:eastAsia="en-US"/>
        </w:rPr>
        <w:t xml:space="preserve">- مع </w:t>
      </w:r>
      <w:r w:rsidRPr="00EB5FFB">
        <w:rPr>
          <w:rFonts w:hint="cs"/>
          <w:sz w:val="38"/>
          <w:szCs w:val="38"/>
          <w:rtl/>
          <w:lang w:val="en-GB" w:eastAsia="en-US"/>
        </w:rPr>
        <w:t>ق166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العِبْرَةُ للملفُوظِ نَصًّا دُونَ المَقْصُودِ</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ففي نهاية تعليقه على القاعدة الثانية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أقول</w:t>
      </w:r>
      <w:r w:rsidR="0048366D">
        <w:rPr>
          <w:rFonts w:hint="cs"/>
          <w:sz w:val="20"/>
          <w:szCs w:val="36"/>
          <w:rtl/>
          <w:lang w:val="en-GB" w:eastAsia="en-US"/>
        </w:rPr>
        <w:t>:</w:t>
      </w:r>
      <w:r w:rsidRPr="00EB5FFB">
        <w:rPr>
          <w:rFonts w:hint="cs"/>
          <w:sz w:val="20"/>
          <w:szCs w:val="36"/>
          <w:rtl/>
          <w:lang w:val="en-GB" w:eastAsia="en-US"/>
        </w:rPr>
        <w:t xml:space="preserve"> يتوهّم أن هذا الأصل مخالف لما قال القوم</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إن العبرة في التصرّفات للمقاصد والمعاني، لا للألفاظ والمباني</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b/>
          <w:bCs/>
          <w:sz w:val="20"/>
          <w:szCs w:val="36"/>
          <w:rtl/>
          <w:lang w:val="en-GB" w:eastAsia="en-US"/>
        </w:rPr>
        <w:t>والجواب</w:t>
      </w:r>
      <w:r w:rsidR="0048366D">
        <w:rPr>
          <w:rFonts w:hint="cs"/>
          <w:sz w:val="20"/>
          <w:szCs w:val="36"/>
          <w:rtl/>
          <w:lang w:val="en-GB" w:eastAsia="en-US"/>
        </w:rPr>
        <w:t>:</w:t>
      </w:r>
      <w:r w:rsidRPr="00EB5FFB">
        <w:rPr>
          <w:rFonts w:hint="cs"/>
          <w:sz w:val="20"/>
          <w:szCs w:val="36"/>
          <w:rtl/>
          <w:lang w:val="en-GB" w:eastAsia="en-US"/>
        </w:rPr>
        <w:t xml:space="preserve"> الاعتبار للمعاني عند قرينة صارفة عن إرادة اللفظ، كما إذا شرطا براءة الأصيل في الكفالة تكون حوالة بقرينة براءة الأصيل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7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ومن أمثلة التوفيق بين المسائل</w:t>
      </w:r>
      <w:r w:rsidR="0048366D">
        <w:rPr>
          <w:rFonts w:hint="cs"/>
          <w:sz w:val="20"/>
          <w:szCs w:val="36"/>
          <w:rtl/>
          <w:lang w:val="en-GB" w:eastAsia="en-US"/>
        </w:rPr>
        <w:t>:</w:t>
      </w:r>
      <w:r w:rsidRPr="00EB5FFB">
        <w:rPr>
          <w:rFonts w:hint="cs"/>
          <w:sz w:val="20"/>
          <w:szCs w:val="36"/>
          <w:rtl/>
          <w:lang w:val="en-GB" w:eastAsia="en-US"/>
        </w:rPr>
        <w:t xml:space="preserve"> أنه في معرض حديثه عن ق27</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الأصل العدم في الصفات العارضة</w:t>
      </w:r>
      <w:r w:rsidRPr="00EB5FFB">
        <w:rPr>
          <w:rFonts w:hint="eastAsia"/>
          <w:sz w:val="20"/>
          <w:szCs w:val="36"/>
          <w:rtl/>
          <w:lang w:val="en-GB" w:eastAsia="en-US"/>
        </w:rPr>
        <w:t>»</w:t>
      </w:r>
      <w:r w:rsidRPr="00EB5FFB">
        <w:rPr>
          <w:rFonts w:hint="cs"/>
          <w:sz w:val="20"/>
          <w:szCs w:val="36"/>
          <w:rtl/>
          <w:lang w:val="en-GB" w:eastAsia="en-US"/>
        </w:rPr>
        <w:t xml:space="preserve">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قال صاحب (الأشباه)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لو ادّعت المرأة النفقة على الزوج بعد فرضها، فادّعى الوصول إليها، فأنكرت</w:t>
      </w:r>
      <w:r w:rsidR="0048366D">
        <w:rPr>
          <w:rFonts w:hint="cs"/>
          <w:sz w:val="20"/>
          <w:szCs w:val="36"/>
          <w:rtl/>
          <w:lang w:val="en-GB" w:eastAsia="en-US"/>
        </w:rPr>
        <w:t>:</w:t>
      </w:r>
      <w:r w:rsidRPr="00EB5FFB">
        <w:rPr>
          <w:rFonts w:hint="cs"/>
          <w:sz w:val="20"/>
          <w:szCs w:val="36"/>
          <w:rtl/>
          <w:lang w:val="en-GB" w:eastAsia="en-US"/>
        </w:rPr>
        <w:t xml:space="preserve"> فالقول لها</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pacing w:val="-8"/>
          <w:sz w:val="20"/>
          <w:szCs w:val="36"/>
          <w:rtl/>
          <w:lang w:val="en-GB" w:eastAsia="en-US"/>
        </w:rPr>
      </w:pPr>
      <w:r w:rsidRPr="00EB5FFB">
        <w:rPr>
          <w:rFonts w:hint="cs"/>
          <w:spacing w:val="-8"/>
          <w:sz w:val="20"/>
          <w:szCs w:val="36"/>
          <w:rtl/>
          <w:lang w:val="en-GB" w:eastAsia="en-US"/>
        </w:rPr>
        <w:t>ولو ادّعت المرأة نفقة أولادها الصغار بعد فرضها، وادّعى الأب الإنفاق</w:t>
      </w:r>
      <w:r w:rsidR="0048366D">
        <w:rPr>
          <w:rFonts w:hint="cs"/>
          <w:spacing w:val="-8"/>
          <w:sz w:val="20"/>
          <w:szCs w:val="36"/>
          <w:rtl/>
          <w:lang w:val="en-GB" w:eastAsia="en-US"/>
        </w:rPr>
        <w:t>:</w:t>
      </w:r>
      <w:r w:rsidRPr="00EB5FFB">
        <w:rPr>
          <w:rFonts w:hint="cs"/>
          <w:spacing w:val="-8"/>
          <w:sz w:val="20"/>
          <w:szCs w:val="36"/>
          <w:rtl/>
          <w:lang w:val="en-GB" w:eastAsia="en-US"/>
        </w:rPr>
        <w:t xml:space="preserve"> فالقول له.</w:t>
      </w:r>
    </w:p>
    <w:p w:rsidR="00EB5FFB" w:rsidRPr="00EB5FFB" w:rsidRDefault="00EB5FFB" w:rsidP="009A68A5">
      <w:pPr>
        <w:widowControl/>
        <w:ind w:left="567" w:firstLine="0"/>
        <w:jc w:val="both"/>
        <w:rPr>
          <w:sz w:val="20"/>
          <w:szCs w:val="36"/>
          <w:rtl/>
          <w:lang w:val="en-GB" w:eastAsia="en-US"/>
        </w:rPr>
      </w:pPr>
      <w:r w:rsidRPr="00EB5FFB">
        <w:rPr>
          <w:rFonts w:hint="cs"/>
          <w:sz w:val="20"/>
          <w:szCs w:val="36"/>
          <w:rtl/>
          <w:lang w:val="en-GB" w:eastAsia="en-US"/>
        </w:rPr>
        <w:t>والثانية خرجت عن القاعدة. فليتأمل</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rFonts w:hint="cs"/>
          <w:b/>
          <w:bCs/>
          <w:sz w:val="20"/>
          <w:szCs w:val="36"/>
          <w:rtl/>
          <w:lang w:val="en-GB" w:eastAsia="en-US"/>
        </w:rPr>
        <w:t>أقول</w:t>
      </w:r>
      <w:r w:rsidR="0048366D">
        <w:rPr>
          <w:rFonts w:hint="cs"/>
          <w:sz w:val="20"/>
          <w:szCs w:val="36"/>
          <w:rtl/>
          <w:lang w:val="en-GB" w:eastAsia="en-US"/>
        </w:rPr>
        <w:t>:</w:t>
      </w:r>
      <w:r w:rsidRPr="00EB5FFB">
        <w:rPr>
          <w:rFonts w:hint="cs"/>
          <w:sz w:val="20"/>
          <w:szCs w:val="36"/>
          <w:rtl/>
          <w:lang w:val="en-GB" w:eastAsia="en-US"/>
        </w:rPr>
        <w:t xml:space="preserve"> الفرق بين المسألتين</w:t>
      </w:r>
      <w:r w:rsidR="0048366D">
        <w:rPr>
          <w:rFonts w:hint="cs"/>
          <w:sz w:val="20"/>
          <w:szCs w:val="36"/>
          <w:rtl/>
          <w:lang w:val="en-GB" w:eastAsia="en-US"/>
        </w:rPr>
        <w:t>:</w:t>
      </w:r>
      <w:r w:rsidRPr="00EB5FFB">
        <w:rPr>
          <w:rFonts w:hint="cs"/>
          <w:sz w:val="20"/>
          <w:szCs w:val="36"/>
          <w:rtl/>
          <w:lang w:val="en-GB" w:eastAsia="en-US"/>
        </w:rPr>
        <w:t xml:space="preserve"> أن المرأة في </w:t>
      </w:r>
      <w:r w:rsidRPr="00EB5FFB">
        <w:rPr>
          <w:rFonts w:hint="cs"/>
          <w:b/>
          <w:bCs/>
          <w:sz w:val="20"/>
          <w:szCs w:val="36"/>
          <w:rtl/>
          <w:lang w:val="en-GB" w:eastAsia="en-US"/>
        </w:rPr>
        <w:t>المسألة الأولى</w:t>
      </w:r>
      <w:r w:rsidR="0048366D">
        <w:rPr>
          <w:rFonts w:hint="cs"/>
          <w:sz w:val="20"/>
          <w:szCs w:val="36"/>
          <w:rtl/>
          <w:lang w:val="en-GB" w:eastAsia="en-US"/>
        </w:rPr>
        <w:t>:</w:t>
      </w:r>
      <w:r w:rsidRPr="00EB5FFB">
        <w:rPr>
          <w:rFonts w:hint="cs"/>
          <w:sz w:val="20"/>
          <w:szCs w:val="36"/>
          <w:rtl/>
          <w:lang w:val="en-GB" w:eastAsia="en-US"/>
        </w:rPr>
        <w:t xml:space="preserve"> أنكرت وصول النفقة إليها: فالقول لها مع اليمين، وهو ظاهر؛ لأن الأصل في المكلف أن يعيش من كسبه، ووجوب نفقة المرأة على الزوج بسبب عارض (وهو الزوجية)، فالزوج في هذه المسألة ادّعى الإنفاق على المرأة، وهو خلاف الظاهر؛ لأن الأصل عدمه</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rFonts w:hint="cs"/>
          <w:sz w:val="20"/>
          <w:szCs w:val="36"/>
          <w:rtl/>
          <w:lang w:val="en-GB" w:eastAsia="en-US"/>
        </w:rPr>
        <w:lastRenderedPageBreak/>
        <w:t xml:space="preserve">وأما في </w:t>
      </w:r>
      <w:r w:rsidRPr="00EB5FFB">
        <w:rPr>
          <w:rFonts w:hint="cs"/>
          <w:b/>
          <w:bCs/>
          <w:sz w:val="20"/>
          <w:szCs w:val="36"/>
          <w:rtl/>
          <w:lang w:val="en-GB" w:eastAsia="en-US"/>
        </w:rPr>
        <w:t>المسألة الثانية</w:t>
      </w:r>
      <w:r w:rsidR="0048366D">
        <w:rPr>
          <w:rFonts w:hint="cs"/>
          <w:sz w:val="20"/>
          <w:szCs w:val="36"/>
          <w:rtl/>
          <w:lang w:val="en-GB" w:eastAsia="en-US"/>
        </w:rPr>
        <w:t>:</w:t>
      </w:r>
      <w:r w:rsidRPr="00EB5FFB">
        <w:rPr>
          <w:rFonts w:hint="cs"/>
          <w:sz w:val="20"/>
          <w:szCs w:val="36"/>
          <w:rtl/>
          <w:lang w:val="en-GB" w:eastAsia="en-US"/>
        </w:rPr>
        <w:t xml:space="preserve"> المرأة ادّعت على الأب ترك الإنفاق، والأب ينكره</w:t>
      </w:r>
      <w:r w:rsidR="0048366D">
        <w:rPr>
          <w:rFonts w:hint="cs"/>
          <w:sz w:val="20"/>
          <w:szCs w:val="36"/>
          <w:rtl/>
          <w:lang w:val="en-GB" w:eastAsia="en-US"/>
        </w:rPr>
        <w:t>:</w:t>
      </w:r>
      <w:r w:rsidRPr="00EB5FFB">
        <w:rPr>
          <w:rFonts w:hint="cs"/>
          <w:sz w:val="20"/>
          <w:szCs w:val="36"/>
          <w:rtl/>
          <w:lang w:val="en-GB" w:eastAsia="en-US"/>
        </w:rPr>
        <w:t xml:space="preserve"> فالقول قوله مع اليمين؛ وذلك لأن الأصل في الصغير أن لا يعيش بلا إنفاق أحد؛ لأنه لا كسب له، فالظاهر أنّ ذلك الواحد</w:t>
      </w:r>
      <w:r w:rsidR="0048366D">
        <w:rPr>
          <w:rFonts w:hint="cs"/>
          <w:sz w:val="20"/>
          <w:szCs w:val="36"/>
          <w:rtl/>
          <w:lang w:val="en-GB" w:eastAsia="en-US"/>
        </w:rPr>
        <w:t>:</w:t>
      </w:r>
      <w:r w:rsidRPr="00EB5FFB">
        <w:rPr>
          <w:rFonts w:hint="cs"/>
          <w:sz w:val="20"/>
          <w:szCs w:val="36"/>
          <w:rtl/>
          <w:lang w:val="en-GB" w:eastAsia="en-US"/>
        </w:rPr>
        <w:t xml:space="preserve"> الأب</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7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هـ -</w:t>
      </w:r>
      <w:r w:rsidRPr="00EB5FFB">
        <w:rPr>
          <w:rFonts w:hint="cs"/>
          <w:sz w:val="20"/>
          <w:szCs w:val="36"/>
          <w:rtl/>
          <w:lang w:val="en-GB" w:eastAsia="en-US"/>
        </w:rPr>
        <w:t xml:space="preserve"> إضافة إلى ما سبق فقد كانت له استنتاجات مهمة، تدل على دقّة فهمه، وسعة علمه. ويمكن الإشارة إلى بعضها على النحو الآتي</w:t>
      </w:r>
      <w:r w:rsidR="0048366D">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xml:space="preserve">- عند استدلاله على قاعدة </w:t>
      </w:r>
      <w:r w:rsidRPr="00EB5FFB">
        <w:rPr>
          <w:rFonts w:hint="cs"/>
          <w:sz w:val="38"/>
          <w:szCs w:val="38"/>
          <w:rtl/>
          <w:lang w:val="en-GB" w:eastAsia="en-US"/>
        </w:rPr>
        <w:t>16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إذَا اجتَمَعَ الحلالُ والحَرَامُ غُلِّبَ الحَرَامُ</w:t>
      </w:r>
      <w:r w:rsidRPr="00EB5FFB">
        <w:rPr>
          <w:rFonts w:hint="eastAsia"/>
          <w:sz w:val="20"/>
          <w:szCs w:val="36"/>
          <w:rtl/>
          <w:lang w:val="en-GB" w:eastAsia="en-US"/>
        </w:rPr>
        <w:t>»</w:t>
      </w:r>
      <w:r w:rsidRPr="00EB5FFB">
        <w:rPr>
          <w:rFonts w:hint="cs"/>
          <w:sz w:val="38"/>
          <w:szCs w:val="38"/>
          <w:rtl/>
          <w:lang w:val="en-GB" w:eastAsia="en-US"/>
        </w:rPr>
        <w:t xml:space="preserve"> ذكر تعليل الأصوليين لها، ثم ذكر أن عبارتهم توهم خلاف المقصود</w:t>
      </w:r>
      <w:r w:rsidR="0048366D">
        <w:rPr>
          <w:rFonts w:hint="cs"/>
          <w:sz w:val="38"/>
          <w:szCs w:val="38"/>
          <w:rtl/>
          <w:lang w:val="en-GB" w:eastAsia="en-US"/>
        </w:rPr>
        <w:t>:</w:t>
      </w:r>
      <w:r w:rsidRPr="00EB5FFB">
        <w:rPr>
          <w:rFonts w:hint="cs"/>
          <w:sz w:val="38"/>
          <w:szCs w:val="38"/>
          <w:rtl/>
          <w:lang w:val="en-GB" w:eastAsia="en-US"/>
        </w:rPr>
        <w:t xml:space="preserve"> وعلّل لذلك، ثم أبدى رأيه في العبارة المناسبة</w:t>
      </w:r>
      <w:r w:rsidRPr="00EB5FFB">
        <w:rPr>
          <w:rFonts w:hint="cs"/>
          <w:sz w:val="38"/>
          <w:szCs w:val="38"/>
          <w:vertAlign w:val="superscript"/>
          <w:rtl/>
          <w:lang w:val="en-GB" w:eastAsia="en-US"/>
        </w:rPr>
        <w:t>(</w:t>
      </w:r>
      <w:r w:rsidRPr="00EB5FFB">
        <w:rPr>
          <w:bCs/>
          <w:sz w:val="38"/>
          <w:szCs w:val="32"/>
          <w:vertAlign w:val="superscript"/>
          <w:rtl/>
          <w:lang w:val="en-GB" w:eastAsia="en-US"/>
        </w:rPr>
        <w:footnoteReference w:id="278"/>
      </w:r>
      <w:r w:rsidRPr="00EB5FFB">
        <w:rPr>
          <w:rFonts w:hint="cs"/>
          <w:sz w:val="38"/>
          <w:szCs w:val="38"/>
          <w:vertAlign w:val="superscript"/>
          <w:rtl/>
          <w:lang w:val="en-GB" w:eastAsia="en-US"/>
        </w:rPr>
        <w:t>)</w:t>
      </w:r>
      <w:r w:rsidRPr="00EB5FFB">
        <w:rPr>
          <w:rFonts w:hint="cs"/>
          <w:sz w:val="38"/>
          <w:szCs w:val="38"/>
          <w:rtl/>
          <w:lang w:val="en-GB" w:eastAsia="en-US"/>
        </w:rPr>
        <w:t>.</w:t>
      </w:r>
      <w:r w:rsidRPr="00EB5FFB">
        <w:rPr>
          <w:rFonts w:hint="cs"/>
          <w:sz w:val="20"/>
          <w:szCs w:val="36"/>
          <w:rtl/>
          <w:lang w:val="en-GB" w:eastAsia="en-US"/>
        </w:rPr>
        <w:t xml:space="preserve"> </w:t>
      </w:r>
    </w:p>
    <w:p w:rsidR="00EB5FFB" w:rsidRPr="00EB5FFB" w:rsidRDefault="00EB5FFB" w:rsidP="009A68A5">
      <w:pPr>
        <w:widowControl/>
        <w:ind w:left="565" w:firstLine="2"/>
        <w:jc w:val="both"/>
        <w:rPr>
          <w:sz w:val="38"/>
          <w:szCs w:val="38"/>
          <w:rtl/>
          <w:lang w:val="en-GB" w:eastAsia="en-US"/>
        </w:rPr>
      </w:pPr>
      <w:r w:rsidRPr="00EB5FFB">
        <w:rPr>
          <w:rFonts w:hint="cs"/>
          <w:sz w:val="20"/>
          <w:szCs w:val="36"/>
          <w:rtl/>
          <w:lang w:val="en-GB" w:eastAsia="en-US"/>
        </w:rPr>
        <w:t xml:space="preserve">- عند حديثه عن </w:t>
      </w:r>
      <w:r w:rsidRPr="00EB5FFB">
        <w:rPr>
          <w:rFonts w:hint="cs"/>
          <w:sz w:val="38"/>
          <w:szCs w:val="38"/>
          <w:rtl/>
          <w:lang w:val="en-GB" w:eastAsia="en-US"/>
        </w:rPr>
        <w:t>ق34</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الاعْتِبَارُ لِلْمَقَاصِدِ والمَعَانِيْ لا للأَلْفاظِ والمَبَانِيْ</w:t>
      </w:r>
      <w:r w:rsidRPr="00EB5FFB">
        <w:rPr>
          <w:rFonts w:hint="eastAsia"/>
          <w:sz w:val="20"/>
          <w:szCs w:val="36"/>
          <w:rtl/>
          <w:lang w:val="en-GB" w:eastAsia="en-US"/>
        </w:rPr>
        <w:t>»</w:t>
      </w:r>
      <w:r w:rsidRPr="00EB5FFB">
        <w:rPr>
          <w:rFonts w:hint="cs"/>
          <w:sz w:val="38"/>
          <w:szCs w:val="38"/>
          <w:rtl/>
          <w:lang w:val="en-GB" w:eastAsia="en-US"/>
        </w:rPr>
        <w:t xml:space="preserve"> ربط بين هذه القاعدة وبين قيد ورد في عبارة في كتاب (الهداية) اضطرب شرّاحها في إيجاد فائدة ذلك القيد</w:t>
      </w:r>
      <w:r w:rsidRPr="00EB5FFB">
        <w:rPr>
          <w:rFonts w:hint="cs"/>
          <w:sz w:val="38"/>
          <w:szCs w:val="38"/>
          <w:vertAlign w:val="superscript"/>
          <w:rtl/>
          <w:lang w:val="en-GB" w:eastAsia="en-US"/>
        </w:rPr>
        <w:t>(</w:t>
      </w:r>
      <w:r w:rsidRPr="00EB5FFB">
        <w:rPr>
          <w:bCs/>
          <w:sz w:val="38"/>
          <w:szCs w:val="32"/>
          <w:vertAlign w:val="superscript"/>
          <w:rtl/>
          <w:lang w:val="en-GB" w:eastAsia="en-US"/>
        </w:rPr>
        <w:footnoteReference w:id="279"/>
      </w:r>
      <w:r w:rsidRPr="00EB5FFB">
        <w:rPr>
          <w:rFonts w:hint="cs"/>
          <w:sz w:val="38"/>
          <w:szCs w:val="38"/>
          <w:vertAlign w:val="superscript"/>
          <w:rtl/>
          <w:lang w:val="en-GB" w:eastAsia="en-US"/>
        </w:rPr>
        <w:t>)</w:t>
      </w:r>
      <w:r w:rsidRPr="00EB5FFB">
        <w:rPr>
          <w:rFonts w:hint="cs"/>
          <w:sz w:val="38"/>
          <w:szCs w:val="38"/>
          <w:rtl/>
          <w:lang w:val="en-GB" w:eastAsia="en-US"/>
        </w:rPr>
        <w:t>.</w:t>
      </w:r>
    </w:p>
    <w:p w:rsidR="00EB5FFB" w:rsidRPr="00EB5FFB" w:rsidRDefault="00EB5FFB" w:rsidP="009A68A5">
      <w:pPr>
        <w:widowControl/>
        <w:ind w:left="565" w:firstLine="2"/>
        <w:jc w:val="both"/>
        <w:rPr>
          <w:sz w:val="38"/>
          <w:szCs w:val="38"/>
          <w:rtl/>
          <w:lang w:val="en-GB" w:eastAsia="en-US"/>
        </w:rPr>
      </w:pPr>
      <w:r w:rsidRPr="00EB5FFB">
        <w:rPr>
          <w:rFonts w:hint="cs"/>
          <w:sz w:val="20"/>
          <w:szCs w:val="36"/>
          <w:rtl/>
          <w:lang w:val="en-GB" w:eastAsia="en-US"/>
        </w:rPr>
        <w:t xml:space="preserve">- عند تمثيله لقاعدة </w:t>
      </w:r>
      <w:r w:rsidRPr="00EB5FFB">
        <w:rPr>
          <w:rFonts w:hint="cs"/>
          <w:sz w:val="38"/>
          <w:szCs w:val="38"/>
          <w:rtl/>
          <w:lang w:val="en-GB" w:eastAsia="en-US"/>
        </w:rPr>
        <w:t>72</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التَّخصِيصُ فِي الرِّوايَاتِ يُوجِبُ نَفْيَ الحكمِ عمَّا عدا المَذْكُورِ</w:t>
      </w:r>
      <w:r w:rsidRPr="00EB5FFB">
        <w:rPr>
          <w:rFonts w:hint="eastAsia"/>
          <w:sz w:val="20"/>
          <w:szCs w:val="36"/>
          <w:rtl/>
          <w:lang w:val="en-GB" w:eastAsia="en-US"/>
        </w:rPr>
        <w:t>»</w:t>
      </w:r>
      <w:r w:rsidRPr="00EB5FFB">
        <w:rPr>
          <w:rFonts w:hint="cs"/>
          <w:sz w:val="38"/>
          <w:szCs w:val="38"/>
          <w:rtl/>
          <w:lang w:val="en-GB" w:eastAsia="en-US"/>
        </w:rPr>
        <w:t xml:space="preserve"> ممّا مثّل به من عبارات المتون الفقهية عبارتان</w:t>
      </w:r>
      <w:r w:rsidR="0048366D">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b/>
          <w:bCs/>
          <w:sz w:val="38"/>
          <w:szCs w:val="38"/>
          <w:rtl/>
          <w:lang w:val="en-GB" w:eastAsia="en-US"/>
        </w:rPr>
        <w:t>إحداهما</w:t>
      </w:r>
      <w:r w:rsidR="0048366D">
        <w:rPr>
          <w:rFonts w:hint="cs"/>
          <w:sz w:val="38"/>
          <w:szCs w:val="38"/>
          <w:rtl/>
          <w:lang w:val="en-GB" w:eastAsia="en-US"/>
        </w:rPr>
        <w:t>:</w:t>
      </w:r>
      <w:r w:rsidRPr="00EB5FFB">
        <w:rPr>
          <w:rFonts w:hint="cs"/>
          <w:sz w:val="38"/>
          <w:szCs w:val="38"/>
          <w:rtl/>
          <w:lang w:val="en-GB" w:eastAsia="en-US"/>
        </w:rPr>
        <w:t xml:space="preserve"> لصاحب (الهداية) وقد ورد فيها قيد اضطرب الشّراح في طلب الفائدة منه، وقد اجتهد المؤلف في إيضاح فائدة ذلك القيد</w:t>
      </w:r>
      <w:r w:rsidRPr="00EB5FFB">
        <w:rPr>
          <w:rFonts w:hint="cs"/>
          <w:sz w:val="38"/>
          <w:szCs w:val="38"/>
          <w:vertAlign w:val="superscript"/>
          <w:rtl/>
          <w:lang w:val="en-GB" w:eastAsia="en-US"/>
        </w:rPr>
        <w:t>(</w:t>
      </w:r>
      <w:r w:rsidRPr="00EB5FFB">
        <w:rPr>
          <w:bCs/>
          <w:sz w:val="38"/>
          <w:szCs w:val="32"/>
          <w:vertAlign w:val="superscript"/>
          <w:rtl/>
          <w:lang w:val="en-GB" w:eastAsia="en-US"/>
        </w:rPr>
        <w:footnoteReference w:id="280"/>
      </w:r>
      <w:r w:rsidRPr="00EB5FFB">
        <w:rPr>
          <w:rFonts w:hint="cs"/>
          <w:sz w:val="38"/>
          <w:szCs w:val="38"/>
          <w:vertAlign w:val="superscript"/>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b/>
          <w:bCs/>
          <w:sz w:val="38"/>
          <w:szCs w:val="38"/>
          <w:rtl/>
          <w:lang w:val="en-GB" w:eastAsia="en-US"/>
        </w:rPr>
        <w:t>الثانية</w:t>
      </w:r>
      <w:r w:rsidR="0048366D">
        <w:rPr>
          <w:rFonts w:hint="cs"/>
          <w:sz w:val="38"/>
          <w:szCs w:val="38"/>
          <w:rtl/>
          <w:lang w:val="en-GB" w:eastAsia="en-US"/>
        </w:rPr>
        <w:t>:</w:t>
      </w:r>
      <w:r w:rsidRPr="00EB5FFB">
        <w:rPr>
          <w:rFonts w:hint="cs"/>
          <w:sz w:val="38"/>
          <w:szCs w:val="38"/>
          <w:rtl/>
          <w:lang w:val="en-GB" w:eastAsia="en-US"/>
        </w:rPr>
        <w:t xml:space="preserve"> لصاحب (الوقاية) حيث إنه عند تعريفه للّقطة أعاد الضمير إليها مذكرًا وليس مؤنثًا، خلافًا لأكثر كتب الفقه.</w:t>
      </w:r>
    </w:p>
    <w:p w:rsidR="00EB5FFB" w:rsidRPr="00EB5FFB" w:rsidRDefault="00EB5FFB" w:rsidP="009A68A5">
      <w:pPr>
        <w:widowControl/>
        <w:ind w:firstLine="567"/>
        <w:jc w:val="both"/>
        <w:rPr>
          <w:sz w:val="38"/>
          <w:szCs w:val="38"/>
          <w:rtl/>
          <w:lang w:val="en-GB" w:eastAsia="en-US"/>
        </w:rPr>
      </w:pPr>
      <w:r w:rsidRPr="00EB5FFB">
        <w:rPr>
          <w:rFonts w:hint="cs"/>
          <w:sz w:val="38"/>
          <w:szCs w:val="38"/>
          <w:rtl/>
          <w:lang w:val="en-GB" w:eastAsia="en-US"/>
        </w:rPr>
        <w:lastRenderedPageBreak/>
        <w:t>وبحثًا من المؤلف عن النكتة التي لأجلها صار الضمير مذكَّرا ربط ذلك بأحد مباحث البلاغة الدقيقة (وهو المجاز العقلي)، وهذا يدلّ على سعة علم ناظرزاده، وحرصه على الاعتذار للعلماء، وحمل كلامهم على أحسن المحامل</w:t>
      </w:r>
      <w:r w:rsidRPr="00EB5FFB">
        <w:rPr>
          <w:rFonts w:hint="cs"/>
          <w:sz w:val="38"/>
          <w:szCs w:val="38"/>
          <w:vertAlign w:val="superscript"/>
          <w:rtl/>
          <w:lang w:val="en-GB" w:eastAsia="en-US"/>
        </w:rPr>
        <w:t>(</w:t>
      </w:r>
      <w:r w:rsidRPr="00EB5FFB">
        <w:rPr>
          <w:bCs/>
          <w:sz w:val="38"/>
          <w:szCs w:val="32"/>
          <w:vertAlign w:val="superscript"/>
          <w:rtl/>
          <w:lang w:val="en-GB" w:eastAsia="en-US"/>
        </w:rPr>
        <w:footnoteReference w:id="281"/>
      </w:r>
      <w:r w:rsidRPr="00EB5FFB">
        <w:rPr>
          <w:rFonts w:hint="cs"/>
          <w:sz w:val="38"/>
          <w:szCs w:val="38"/>
          <w:vertAlign w:val="superscript"/>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b/>
          <w:bCs/>
          <w:sz w:val="38"/>
          <w:szCs w:val="38"/>
          <w:rtl/>
          <w:lang w:val="en-GB" w:eastAsia="en-US"/>
        </w:rPr>
        <w:t>و-</w:t>
      </w:r>
      <w:r w:rsidRPr="00EB5FFB">
        <w:rPr>
          <w:rFonts w:hint="cs"/>
          <w:sz w:val="38"/>
          <w:szCs w:val="38"/>
          <w:rtl/>
          <w:lang w:val="en-GB" w:eastAsia="en-US"/>
        </w:rPr>
        <w:t xml:space="preserve"> أنه في الأعم الأغلب لا يترك مسألة خلافية بلا ترجيح، أو اعتراضًا بغير جواب عنه.</w:t>
      </w:r>
    </w:p>
    <w:p w:rsidR="00EB5FFB" w:rsidRPr="00EB5FFB" w:rsidRDefault="00EB5FFB" w:rsidP="009A68A5">
      <w:pPr>
        <w:widowControl/>
        <w:ind w:firstLine="567"/>
        <w:jc w:val="both"/>
        <w:rPr>
          <w:sz w:val="38"/>
          <w:szCs w:val="38"/>
          <w:rtl/>
          <w:lang w:val="en-GB" w:eastAsia="en-US"/>
        </w:rPr>
      </w:pPr>
      <w:r w:rsidRPr="00EB5FFB">
        <w:rPr>
          <w:rFonts w:hint="cs"/>
          <w:b/>
          <w:bCs/>
          <w:sz w:val="38"/>
          <w:szCs w:val="38"/>
          <w:rtl/>
          <w:lang w:val="en-GB" w:eastAsia="en-US"/>
        </w:rPr>
        <w:t>5</w:t>
      </w:r>
      <w:r w:rsidRPr="00EB5FFB">
        <w:rPr>
          <w:rFonts w:hint="cs"/>
          <w:sz w:val="38"/>
          <w:szCs w:val="38"/>
          <w:rtl/>
          <w:lang w:val="en-GB" w:eastAsia="en-US"/>
        </w:rPr>
        <w:t xml:space="preserve"> </w:t>
      </w:r>
      <w:r w:rsidRPr="00EB5FFB">
        <w:rPr>
          <w:b/>
          <w:bCs/>
          <w:sz w:val="38"/>
          <w:szCs w:val="38"/>
          <w:rtl/>
          <w:lang w:val="en-GB" w:eastAsia="en-US"/>
        </w:rPr>
        <w:t>–</w:t>
      </w:r>
      <w:r w:rsidRPr="00EB5FFB">
        <w:rPr>
          <w:rFonts w:hint="cs"/>
          <w:sz w:val="38"/>
          <w:szCs w:val="38"/>
          <w:rtl/>
          <w:lang w:val="en-GB" w:eastAsia="en-US"/>
        </w:rPr>
        <w:t xml:space="preserve"> ومن محاسنه</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cs"/>
          <w:b/>
          <w:bCs/>
          <w:sz w:val="38"/>
          <w:szCs w:val="38"/>
          <w:rtl/>
          <w:lang w:val="en-GB" w:eastAsia="en-US"/>
        </w:rPr>
        <w:t>أنه لم يخرج عن موضوع القواعد</w:t>
      </w:r>
      <w:r w:rsidRPr="00EB5FFB">
        <w:rPr>
          <w:rFonts w:hint="cs"/>
          <w:sz w:val="38"/>
          <w:szCs w:val="38"/>
          <w:rtl/>
          <w:lang w:val="en-GB" w:eastAsia="en-US"/>
        </w:rPr>
        <w:t>، فالكتاب جميعه في القواعد من بعد المقدمة إلى آخر فقرة فيه.</w:t>
      </w:r>
    </w:p>
    <w:p w:rsidR="00EB5FFB" w:rsidRPr="00EB5FFB" w:rsidRDefault="00EB5FFB" w:rsidP="009A68A5">
      <w:pPr>
        <w:widowControl/>
        <w:ind w:firstLine="567"/>
        <w:jc w:val="both"/>
        <w:rPr>
          <w:sz w:val="38"/>
          <w:szCs w:val="38"/>
          <w:rtl/>
          <w:lang w:val="en-GB" w:eastAsia="en-US"/>
        </w:rPr>
      </w:pPr>
      <w:r w:rsidRPr="00EB5FFB">
        <w:rPr>
          <w:rFonts w:hint="cs"/>
          <w:sz w:val="38"/>
          <w:szCs w:val="38"/>
          <w:rtl/>
          <w:lang w:val="en-GB" w:eastAsia="en-US"/>
        </w:rPr>
        <w:t>وهذه مزية قلّ أن توجد في كثير من كتب القواعد.</w:t>
      </w:r>
    </w:p>
    <w:p w:rsidR="00EB5FFB" w:rsidRPr="00EB5FFB" w:rsidRDefault="00EB5FFB" w:rsidP="009A68A5">
      <w:pPr>
        <w:widowControl/>
        <w:ind w:firstLine="567"/>
        <w:jc w:val="both"/>
        <w:rPr>
          <w:spacing w:val="-10"/>
          <w:sz w:val="20"/>
          <w:szCs w:val="36"/>
          <w:rtl/>
          <w:lang w:val="en-GB" w:eastAsia="en-US"/>
        </w:rPr>
      </w:pPr>
      <w:r w:rsidRPr="00EB5FFB">
        <w:rPr>
          <w:rFonts w:hint="cs"/>
          <w:spacing w:val="-10"/>
          <w:sz w:val="38"/>
          <w:szCs w:val="38"/>
          <w:rtl/>
          <w:lang w:val="en-GB" w:eastAsia="en-US"/>
        </w:rPr>
        <w:t xml:space="preserve">وقد صرّح بذلك شيخنا د. يعقوب الباحسين، فبعد أن بيّن موضوع القواعد الفقهية قال: </w:t>
      </w:r>
      <w:r w:rsidRPr="00EB5FFB">
        <w:rPr>
          <w:rFonts w:hint="eastAsia"/>
          <w:spacing w:val="-10"/>
          <w:sz w:val="20"/>
          <w:szCs w:val="36"/>
          <w:rtl/>
          <w:lang w:val="en-GB" w:eastAsia="en-US"/>
        </w:rPr>
        <w:t>«</w:t>
      </w:r>
      <w:r w:rsidRPr="00EB5FFB">
        <w:rPr>
          <w:rFonts w:hint="cs"/>
          <w:spacing w:val="-10"/>
          <w:sz w:val="20"/>
          <w:szCs w:val="36"/>
          <w:rtl/>
          <w:lang w:val="en-GB" w:eastAsia="en-US"/>
        </w:rPr>
        <w:t xml:space="preserve">وموضوع القواعد الفقهية هذا هو ما يتّضح لنا من معنى القواعد الفقهية، وما هو مرادهم بالأشباه والنظائر فيها. </w:t>
      </w:r>
      <w:r w:rsidRPr="00EB5FFB">
        <w:rPr>
          <w:rFonts w:hint="cs"/>
          <w:b/>
          <w:bCs/>
          <w:spacing w:val="-10"/>
          <w:sz w:val="20"/>
          <w:szCs w:val="36"/>
          <w:rtl/>
          <w:lang w:val="en-GB" w:eastAsia="en-US"/>
        </w:rPr>
        <w:t>ولكنّنا إذا نظرنا في الكتب المؤلّفة فيها اضطرب علينا هذا الأمر</w:t>
      </w:r>
      <w:r w:rsidRPr="00EB5FFB">
        <w:rPr>
          <w:rFonts w:hint="cs"/>
          <w:spacing w:val="-10"/>
          <w:sz w:val="20"/>
          <w:szCs w:val="36"/>
          <w:rtl/>
          <w:lang w:val="en-GB" w:eastAsia="en-US"/>
        </w:rPr>
        <w:t xml:space="preserve">، واتّسع نطاقه، وتداخلت العلوم فيما بينها؛ </w:t>
      </w:r>
      <w:r w:rsidRPr="00EB5FFB">
        <w:rPr>
          <w:rFonts w:hint="cs"/>
          <w:b/>
          <w:bCs/>
          <w:spacing w:val="-10"/>
          <w:sz w:val="20"/>
          <w:szCs w:val="36"/>
          <w:rtl/>
          <w:lang w:val="en-GB" w:eastAsia="en-US"/>
        </w:rPr>
        <w:t xml:space="preserve">نظرًا لما في كثير من هذه الكتب من تساهل في هذا الشأن، </w:t>
      </w:r>
      <w:r w:rsidRPr="00EB5FFB">
        <w:rPr>
          <w:rFonts w:hint="cs"/>
          <w:spacing w:val="-10"/>
          <w:sz w:val="20"/>
          <w:szCs w:val="36"/>
          <w:rtl/>
          <w:lang w:val="en-GB" w:eastAsia="en-US"/>
        </w:rPr>
        <w:t>وإقحام لطائفة من الموضوعات، والفوائد التي لا ينطبق عليها المصطلح الدقيق لهذا العلم</w:t>
      </w:r>
      <w:r w:rsidRPr="00EB5FFB">
        <w:rPr>
          <w:rFonts w:hint="eastAsia"/>
          <w:spacing w:val="-10"/>
          <w:sz w:val="20"/>
          <w:szCs w:val="36"/>
          <w:rtl/>
          <w:lang w:val="en-GB" w:eastAsia="en-US"/>
        </w:rPr>
        <w:t>»</w:t>
      </w:r>
      <w:r w:rsidRPr="00EB5FFB">
        <w:rPr>
          <w:rFonts w:hint="cs"/>
          <w:spacing w:val="-10"/>
          <w:sz w:val="20"/>
          <w:szCs w:val="36"/>
          <w:vertAlign w:val="superscript"/>
          <w:rtl/>
          <w:lang w:val="en-GB" w:eastAsia="en-US"/>
        </w:rPr>
        <w:t>(</w:t>
      </w:r>
      <w:r w:rsidRPr="00EB5FFB">
        <w:rPr>
          <w:bCs/>
          <w:spacing w:val="-10"/>
          <w:sz w:val="20"/>
          <w:szCs w:val="32"/>
          <w:vertAlign w:val="superscript"/>
          <w:rtl/>
          <w:lang w:val="en-GB" w:eastAsia="en-US"/>
        </w:rPr>
        <w:footnoteReference w:id="282"/>
      </w:r>
      <w:r w:rsidRPr="00EB5FFB">
        <w:rPr>
          <w:rFonts w:hint="cs"/>
          <w:spacing w:val="-10"/>
          <w:sz w:val="20"/>
          <w:szCs w:val="36"/>
          <w:vertAlign w:val="superscript"/>
          <w:rtl/>
          <w:lang w:val="en-GB" w:eastAsia="en-US"/>
        </w:rPr>
        <w:t>)</w:t>
      </w:r>
      <w:r w:rsidRPr="00EB5FFB">
        <w:rPr>
          <w:rFonts w:hint="cs"/>
          <w:spacing w:val="-10"/>
          <w:sz w:val="20"/>
          <w:szCs w:val="36"/>
          <w:rtl/>
          <w:lang w:val="en-GB" w:eastAsia="en-US"/>
        </w:rPr>
        <w:t>.</w:t>
      </w:r>
    </w:p>
    <w:p w:rsidR="00EB5FFB" w:rsidRPr="00EB5FFB" w:rsidRDefault="00EB5FFB" w:rsidP="009A68A5">
      <w:pPr>
        <w:widowControl/>
        <w:spacing w:line="580" w:lineRule="exact"/>
        <w:ind w:firstLine="567"/>
        <w:jc w:val="both"/>
        <w:rPr>
          <w:spacing w:val="-8"/>
          <w:sz w:val="20"/>
          <w:szCs w:val="36"/>
          <w:rtl/>
          <w:lang w:val="en-GB" w:eastAsia="en-US"/>
        </w:rPr>
      </w:pPr>
      <w:r w:rsidRPr="00EB5FFB">
        <w:rPr>
          <w:rFonts w:hint="cs"/>
          <w:b/>
          <w:bCs/>
          <w:spacing w:val="-8"/>
          <w:sz w:val="20"/>
          <w:szCs w:val="36"/>
          <w:rtl/>
          <w:lang w:val="en-GB" w:eastAsia="en-US"/>
        </w:rPr>
        <w:t>6</w:t>
      </w:r>
      <w:r w:rsidRPr="00EB5FFB">
        <w:rPr>
          <w:rFonts w:hint="cs"/>
          <w:spacing w:val="-8"/>
          <w:sz w:val="20"/>
          <w:szCs w:val="36"/>
          <w:rtl/>
          <w:lang w:val="en-GB" w:eastAsia="en-US"/>
        </w:rPr>
        <w:t xml:space="preserve"> </w:t>
      </w:r>
      <w:r w:rsidRPr="00EB5FFB">
        <w:rPr>
          <w:b/>
          <w:bCs/>
          <w:spacing w:val="-8"/>
          <w:sz w:val="20"/>
          <w:szCs w:val="36"/>
          <w:rtl/>
          <w:lang w:val="en-GB" w:eastAsia="en-US"/>
        </w:rPr>
        <w:t>–</w:t>
      </w:r>
      <w:r w:rsidRPr="00EB5FFB">
        <w:rPr>
          <w:rFonts w:hint="cs"/>
          <w:spacing w:val="-8"/>
          <w:sz w:val="20"/>
          <w:szCs w:val="36"/>
          <w:rtl/>
          <w:lang w:val="en-GB" w:eastAsia="en-US"/>
        </w:rPr>
        <w:t xml:space="preserve"> وممّا يميّز الكتاب، ويوضّح قيمته العلمية</w:t>
      </w:r>
      <w:r w:rsidR="0048366D">
        <w:rPr>
          <w:rFonts w:hint="cs"/>
          <w:spacing w:val="-8"/>
          <w:sz w:val="20"/>
          <w:szCs w:val="36"/>
          <w:rtl/>
          <w:lang w:val="en-GB" w:eastAsia="en-US"/>
        </w:rPr>
        <w:t>:</w:t>
      </w:r>
      <w:r w:rsidRPr="00EB5FFB">
        <w:rPr>
          <w:rFonts w:hint="cs"/>
          <w:spacing w:val="-8"/>
          <w:sz w:val="20"/>
          <w:szCs w:val="36"/>
          <w:rtl/>
          <w:lang w:val="en-GB" w:eastAsia="en-US"/>
        </w:rPr>
        <w:t xml:space="preserve"> </w:t>
      </w:r>
      <w:r w:rsidRPr="00EB5FFB">
        <w:rPr>
          <w:rFonts w:hint="cs"/>
          <w:b/>
          <w:bCs/>
          <w:spacing w:val="-8"/>
          <w:sz w:val="20"/>
          <w:szCs w:val="36"/>
          <w:rtl/>
          <w:lang w:val="en-GB" w:eastAsia="en-US"/>
        </w:rPr>
        <w:t>أنه يعدّ مصدرًا أصيلاً لأبي سعيد الخادمي (ت1176هـ) في قواعده</w:t>
      </w:r>
      <w:r w:rsidRPr="00EB5FFB">
        <w:rPr>
          <w:rFonts w:hint="cs"/>
          <w:spacing w:val="-8"/>
          <w:sz w:val="20"/>
          <w:szCs w:val="36"/>
          <w:rtl/>
          <w:lang w:val="en-GB" w:eastAsia="en-US"/>
        </w:rPr>
        <w:t xml:space="preserve"> الأربع والخمسين والمائة، التي ختم بها كتابه</w:t>
      </w:r>
      <w:r w:rsidR="0048366D">
        <w:rPr>
          <w:rFonts w:hint="cs"/>
          <w:spacing w:val="-8"/>
          <w:sz w:val="20"/>
          <w:szCs w:val="36"/>
          <w:rtl/>
          <w:lang w:val="en-GB" w:eastAsia="en-US"/>
        </w:rPr>
        <w:t>:</w:t>
      </w:r>
      <w:r w:rsidRPr="00EB5FFB">
        <w:rPr>
          <w:rFonts w:hint="cs"/>
          <w:spacing w:val="-8"/>
          <w:sz w:val="20"/>
          <w:szCs w:val="36"/>
          <w:rtl/>
          <w:lang w:val="en-GB" w:eastAsia="en-US"/>
        </w:rPr>
        <w:t xml:space="preserve"> (مجامع الحقائق). وليس من المبالغة القول بأن إسهام الخادمي في قواعده يكاد ينحصر في انتقائها من كتاب ناظرزاده، أو تنقيح بعضها، أو اختصاره، مع إضافة ثلاث عشرة قاعدة - فقط - لم يذكرها ناظرزاده.</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وإذا كان مصدرًا لقواعد الخادمي، فهو مصدر غير مباشر لقواعد (مجلة الأحكام العدلية) التي ألفتها لجنة من علماء الدولة العثمانية، وصدر أمر العمل بها سنة 1293هـ، والتي لقيت </w:t>
      </w:r>
      <w:r w:rsidRPr="00EB5FFB">
        <w:rPr>
          <w:rFonts w:hint="cs"/>
          <w:sz w:val="20"/>
          <w:szCs w:val="36"/>
          <w:rtl/>
          <w:lang w:val="en-GB" w:eastAsia="en-US"/>
        </w:rPr>
        <w:lastRenderedPageBreak/>
        <w:t>قبولاً في الأوساط القضائية والعلمية، واستقرت بها ألفاظ كثير من القواعد الفقهية. وكونه مصدرًا للمجلة؛ لأن قواعد المجلة لا تكاد تخرج عن قواعد الخادمي</w:t>
      </w:r>
      <w:r w:rsidRPr="00EB5FFB">
        <w:rPr>
          <w:rFonts w:hint="cs"/>
          <w:sz w:val="20"/>
          <w:szCs w:val="36"/>
          <w:vertAlign w:val="superscript"/>
          <w:rtl/>
          <w:lang w:val="en-GB" w:eastAsia="en-US"/>
        </w:rPr>
        <w:t>(</w:t>
      </w:r>
      <w:r w:rsidRPr="00EB5FFB">
        <w:rPr>
          <w:bCs/>
          <w:sz w:val="20"/>
          <w:szCs w:val="32"/>
          <w:vertAlign w:val="superscript"/>
          <w:lang w:val="en-GB" w:eastAsia="en-US"/>
        </w:rPr>
        <w:footnoteReference w:id="28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7</w:t>
      </w:r>
      <w:r w:rsidRPr="00EB5FFB">
        <w:rPr>
          <w:rFonts w:hint="cs"/>
          <w:sz w:val="20"/>
          <w:szCs w:val="36"/>
          <w:rtl/>
          <w:lang w:val="en-GB" w:eastAsia="en-US"/>
        </w:rPr>
        <w:t xml:space="preserve"> </w:t>
      </w:r>
      <w:r w:rsidRPr="00EB5FFB">
        <w:rPr>
          <w:b/>
          <w:bCs/>
          <w:sz w:val="20"/>
          <w:szCs w:val="36"/>
          <w:rtl/>
          <w:lang w:val="en-GB" w:eastAsia="en-US"/>
        </w:rPr>
        <w:t>–</w:t>
      </w:r>
      <w:r w:rsidRPr="00EB5FFB">
        <w:rPr>
          <w:rFonts w:hint="cs"/>
          <w:sz w:val="20"/>
          <w:szCs w:val="36"/>
          <w:rtl/>
          <w:lang w:val="en-GB" w:eastAsia="en-US"/>
        </w:rPr>
        <w:t xml:space="preserve"> وممّا يؤكد قيمته العلمية</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أن كثيرًا من القواعد الفقهية كان له السبق في اقتناصها من أعماق كتب الفقه، وإظهارها في كتب القواعد الفقهية</w:t>
      </w:r>
      <w:r w:rsidRPr="00EB5FFB">
        <w:rPr>
          <w:rFonts w:hint="cs"/>
          <w:sz w:val="20"/>
          <w:szCs w:val="36"/>
          <w:rtl/>
          <w:lang w:val="en-GB" w:eastAsia="en-US"/>
        </w:rPr>
        <w:t>. حيث استفادها منه صاحب (المجامع)، ثم انتقلت منه إلى (المجلة)، ثم اشتهرت وتداولها العلماء.</w:t>
      </w:r>
    </w:p>
    <w:p w:rsidR="00EB5FFB" w:rsidRPr="00EB5FFB" w:rsidRDefault="00EB5FFB" w:rsidP="009A68A5">
      <w:pPr>
        <w:widowControl/>
        <w:ind w:firstLine="567"/>
        <w:jc w:val="both"/>
        <w:rPr>
          <w:spacing w:val="-4"/>
          <w:sz w:val="20"/>
          <w:szCs w:val="36"/>
          <w:rtl/>
          <w:lang w:val="en-GB" w:eastAsia="en-US"/>
        </w:rPr>
      </w:pPr>
      <w:r w:rsidRPr="00EB5FFB">
        <w:rPr>
          <w:rFonts w:hint="cs"/>
          <w:spacing w:val="-4"/>
          <w:sz w:val="20"/>
          <w:szCs w:val="36"/>
          <w:rtl/>
          <w:lang w:val="en-GB" w:eastAsia="en-US"/>
        </w:rPr>
        <w:t>ومن هذه القواعد التي يغلب على الظنّ أن له السَّبق في اشتهارها في كتب هذا الفن</w:t>
      </w:r>
      <w:r w:rsidR="0048366D">
        <w:rPr>
          <w:rFonts w:hint="cs"/>
          <w:spacing w:val="-4"/>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ق7 </w:t>
      </w:r>
      <w:r w:rsidRPr="00EB5FFB">
        <w:rPr>
          <w:rFonts w:hint="cs"/>
          <w:sz w:val="20"/>
          <w:szCs w:val="36"/>
          <w:rtl/>
          <w:lang w:val="en-GB" w:eastAsia="en-US"/>
        </w:rPr>
        <w:tab/>
        <w:t xml:space="preserve"> </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الأجرُ والضَّمَانُ لا يَجْتَمِعَان</w:t>
      </w:r>
      <w:r w:rsidRPr="00EB5FFB">
        <w:rPr>
          <w:rFonts w:hint="eastAsia"/>
          <w:sz w:val="20"/>
          <w:szCs w:val="36"/>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20"/>
          <w:szCs w:val="36"/>
          <w:rtl/>
          <w:lang w:val="en-GB" w:eastAsia="en-US"/>
        </w:rPr>
      </w:pPr>
      <w:r w:rsidRPr="00EB5FFB">
        <w:rPr>
          <w:rFonts w:hint="cs"/>
          <w:sz w:val="38"/>
          <w:szCs w:val="38"/>
          <w:rtl/>
          <w:lang w:val="en-GB" w:eastAsia="en-US"/>
        </w:rPr>
        <w:t xml:space="preserve">- ق32  </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الاضطِرارُ لا يُـبْطِلُ حَقَّ غَيْرِهِ</w:t>
      </w:r>
      <w:r w:rsidRPr="00EB5FFB">
        <w:rPr>
          <w:rFonts w:hint="eastAsia"/>
          <w:sz w:val="20"/>
          <w:szCs w:val="36"/>
          <w:rtl/>
          <w:lang w:val="en-GB" w:eastAsia="en-US"/>
        </w:rPr>
        <w:t>»</w:t>
      </w:r>
      <w:r w:rsidRPr="00EB5FFB">
        <w:rPr>
          <w:rFonts w:hint="cs"/>
          <w:sz w:val="38"/>
          <w:szCs w:val="38"/>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20"/>
          <w:szCs w:val="36"/>
          <w:rtl/>
          <w:lang w:val="en-GB" w:eastAsia="en-US"/>
        </w:rPr>
      </w:pPr>
      <w:r w:rsidRPr="00EB5FFB">
        <w:rPr>
          <w:rFonts w:hint="cs"/>
          <w:sz w:val="38"/>
          <w:szCs w:val="38"/>
          <w:rtl/>
          <w:lang w:val="en-GB" w:eastAsia="en-US"/>
        </w:rPr>
        <w:t xml:space="preserve">- ق46  </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الأَمْرُ بالتَّصَرُّفِ فِي مِلْكِ الغَيْرِ بَاطِلٌ</w:t>
      </w:r>
      <w:r w:rsidRPr="00EB5FFB">
        <w:rPr>
          <w:rFonts w:hint="eastAsia"/>
          <w:sz w:val="20"/>
          <w:szCs w:val="36"/>
          <w:rtl/>
          <w:lang w:val="en-GB" w:eastAsia="en-US"/>
        </w:rPr>
        <w:t>»</w:t>
      </w:r>
      <w:r w:rsidRPr="00EB5FFB">
        <w:rPr>
          <w:rFonts w:hint="cs"/>
          <w:sz w:val="38"/>
          <w:szCs w:val="38"/>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38"/>
          <w:szCs w:val="38"/>
          <w:rtl/>
          <w:lang w:val="en-GB" w:eastAsia="en-US"/>
        </w:rPr>
      </w:pPr>
      <w:r w:rsidRPr="00EB5FFB">
        <w:rPr>
          <w:rFonts w:hint="cs"/>
          <w:sz w:val="38"/>
          <w:szCs w:val="38"/>
          <w:rtl/>
          <w:lang w:val="en-GB" w:eastAsia="en-US"/>
        </w:rPr>
        <w:t>- ق131</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الرّجُوعُ مِنَ الإقْرَارِ بَاطِلٌ</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sz w:val="20"/>
          <w:szCs w:val="36"/>
          <w:rtl/>
          <w:lang w:val="en-GB" w:eastAsia="en-US"/>
        </w:rPr>
        <w:t xml:space="preserve">- </w:t>
      </w:r>
      <w:r w:rsidRPr="00EB5FFB">
        <w:rPr>
          <w:rFonts w:hint="cs"/>
          <w:sz w:val="38"/>
          <w:szCs w:val="38"/>
          <w:rtl/>
          <w:lang w:val="en-GB" w:eastAsia="en-US"/>
        </w:rPr>
        <w:t>ق216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مَا ثَبَتَ في زمانٍ يُحْكَمُ بِبَقَائِهِ مَا لَمْ يُوجَدِ المُزِيلُ</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sz w:val="20"/>
          <w:szCs w:val="36"/>
          <w:rtl/>
          <w:lang w:val="en-GB" w:eastAsia="en-US"/>
        </w:rPr>
        <w:t xml:space="preserve">- </w:t>
      </w:r>
      <w:r w:rsidRPr="00EB5FFB">
        <w:rPr>
          <w:rFonts w:hint="cs"/>
          <w:sz w:val="38"/>
          <w:szCs w:val="38"/>
          <w:rtl/>
          <w:lang w:val="en-GB" w:eastAsia="en-US"/>
        </w:rPr>
        <w:t>ق226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المَظْلُومُ لاَ يَظْلِمُ غَيْرَه</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sz w:val="20"/>
          <w:szCs w:val="36"/>
          <w:rtl/>
          <w:lang w:val="en-GB" w:eastAsia="en-US"/>
        </w:rPr>
        <w:t xml:space="preserve">- </w:t>
      </w:r>
      <w:r w:rsidRPr="00EB5FFB">
        <w:rPr>
          <w:rFonts w:hint="cs"/>
          <w:sz w:val="38"/>
          <w:szCs w:val="38"/>
          <w:rtl/>
          <w:lang w:val="en-GB" w:eastAsia="en-US"/>
        </w:rPr>
        <w:t>ق234</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المُمتَنِعُ عَادَةً كَالمُمْتَنِعِ حَقِيقَةً</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sz w:val="20"/>
          <w:szCs w:val="36"/>
          <w:rtl/>
          <w:lang w:val="en-GB" w:eastAsia="en-US"/>
        </w:rPr>
        <w:t xml:space="preserve">- </w:t>
      </w:r>
      <w:r w:rsidRPr="00EB5FFB">
        <w:rPr>
          <w:rFonts w:hint="cs"/>
          <w:sz w:val="38"/>
          <w:szCs w:val="38"/>
          <w:rtl/>
          <w:lang w:val="en-GB" w:eastAsia="en-US"/>
        </w:rPr>
        <w:t>ق264</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يلْزَمُ مُرَاعَاةُ الشَّرْطِ بِقَدْرِ الإمْكَانِ</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 فهذه ثماني قواعد منتقاة من أربعة أبواب متباعدة، وهي (الألف) و(الراء) و(الميم) و(الياء). وأمثالها كثير في هذه الأبواب وبقية أبواب الكتاب</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8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وممّا يلفت النظر في القواعد الثماني المذكورة أنّها موجودة في (المجامع) و(المجلة)، ممّا يعني أنّ منشأ انتقالها إلى كتب القواعد هو (ترتيب اللآلي).</w:t>
      </w:r>
    </w:p>
    <w:p w:rsidR="00EB5FFB" w:rsidRPr="00EB5FFB" w:rsidRDefault="00EB5FFB" w:rsidP="009A68A5">
      <w:pPr>
        <w:widowControl/>
        <w:ind w:firstLine="567"/>
        <w:jc w:val="both"/>
        <w:rPr>
          <w:sz w:val="20"/>
          <w:szCs w:val="36"/>
          <w:lang w:val="en-GB" w:eastAsia="en-US"/>
        </w:rPr>
      </w:pPr>
    </w:p>
    <w:p w:rsidR="00EB5FFB" w:rsidRPr="00EB5FFB" w:rsidRDefault="00EB5FFB" w:rsidP="009A68A5">
      <w:pPr>
        <w:widowControl/>
        <w:ind w:firstLine="567"/>
        <w:jc w:val="both"/>
        <w:rPr>
          <w:rFonts w:cs="Monotype Koufi"/>
          <w:sz w:val="20"/>
          <w:szCs w:val="36"/>
          <w:rtl/>
          <w:lang w:eastAsia="en-US" w:bidi="ar-AE"/>
        </w:rPr>
      </w:pPr>
      <w:r w:rsidRPr="00EB5FFB">
        <w:rPr>
          <w:rFonts w:cs="Monotype Koufi"/>
          <w:bCs/>
          <w:sz w:val="20"/>
          <w:szCs w:val="36"/>
          <w:rtl/>
          <w:lang w:eastAsia="en-US" w:bidi="ar-AE"/>
        </w:rPr>
        <w:br w:type="page"/>
      </w:r>
      <w:r w:rsidRPr="00EB5FFB">
        <w:rPr>
          <w:rFonts w:cs="Monotype Koufi" w:hint="cs"/>
          <w:sz w:val="20"/>
          <w:szCs w:val="36"/>
          <w:rtl/>
          <w:lang w:eastAsia="en-US" w:bidi="ar-AE"/>
        </w:rPr>
        <w:lastRenderedPageBreak/>
        <w:t>ثانيًا</w:t>
      </w:r>
      <w:r w:rsidR="0048366D">
        <w:rPr>
          <w:rFonts w:cs="Monotype Koufi" w:hint="cs"/>
          <w:sz w:val="20"/>
          <w:szCs w:val="36"/>
          <w:rtl/>
          <w:lang w:eastAsia="en-US" w:bidi="ar-AE"/>
        </w:rPr>
        <w:t>:</w:t>
      </w:r>
      <w:r w:rsidRPr="00EB5FFB">
        <w:rPr>
          <w:rFonts w:cs="Monotype Koufi" w:hint="cs"/>
          <w:sz w:val="20"/>
          <w:szCs w:val="36"/>
          <w:rtl/>
          <w:lang w:eastAsia="en-US" w:bidi="ar-AE"/>
        </w:rPr>
        <w:t xml:space="preserve"> المآخذ</w:t>
      </w:r>
      <w:r w:rsidR="0048366D">
        <w:rPr>
          <w:rFonts w:cs="Monotype Koufi" w:hint="cs"/>
          <w:sz w:val="20"/>
          <w:szCs w:val="36"/>
          <w:rtl/>
          <w:lang w:eastAsia="en-US" w:bidi="ar-AE"/>
        </w:rPr>
        <w:t>:</w:t>
      </w:r>
    </w:p>
    <w:p w:rsidR="00EB5FFB" w:rsidRPr="00EB5FFB" w:rsidRDefault="00EB5FFB" w:rsidP="009A68A5">
      <w:pPr>
        <w:widowControl/>
        <w:ind w:firstLine="567"/>
        <w:jc w:val="both"/>
        <w:rPr>
          <w:b/>
          <w:bCs/>
          <w:sz w:val="20"/>
          <w:szCs w:val="36"/>
          <w:rtl/>
          <w:lang w:val="en-GB" w:eastAsia="en-US" w:bidi="ar-AE"/>
        </w:rPr>
      </w:pP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1</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w:t>
      </w:r>
      <w:r w:rsidRPr="00EB5FFB">
        <w:rPr>
          <w:rFonts w:hint="cs"/>
          <w:b/>
          <w:bCs/>
          <w:sz w:val="20"/>
          <w:szCs w:val="36"/>
          <w:rtl/>
          <w:lang w:val="en-GB" w:eastAsia="en-US" w:bidi="ar-AE"/>
        </w:rPr>
        <w:t>أنّ عُجمةَ المؤلف كان لها أثر سلبي على لغة الكتاب وأسلوبه</w:t>
      </w:r>
      <w:r w:rsidRPr="00EB5FFB">
        <w:rPr>
          <w:rFonts w:hint="cs"/>
          <w:sz w:val="20"/>
          <w:szCs w:val="36"/>
          <w:rtl/>
          <w:lang w:val="en-GB" w:eastAsia="en-US" w:bidi="ar-AE"/>
        </w:rPr>
        <w:t xml:space="preserve">؛ فالكتاب </w:t>
      </w:r>
      <w:r w:rsidRPr="00EB5FFB">
        <w:rPr>
          <w:sz w:val="20"/>
          <w:szCs w:val="36"/>
          <w:rtl/>
          <w:lang w:val="en-GB" w:eastAsia="en-US" w:bidi="ar-AE"/>
        </w:rPr>
        <w:t>–</w:t>
      </w:r>
      <w:r w:rsidRPr="00EB5FFB">
        <w:rPr>
          <w:rFonts w:hint="cs"/>
          <w:sz w:val="20"/>
          <w:szCs w:val="36"/>
          <w:rtl/>
          <w:lang w:val="en-GB" w:eastAsia="en-US" w:bidi="ar-AE"/>
        </w:rPr>
        <w:t xml:space="preserve"> وإن كان قد كُتب في الجملة بلغة عربية فصيحة إلا إنّه بقيت فيه بعض الألفاظ والجمل التي يعتريها اللحن، والركاكة، والمخالفة للمشهور عند أهل اللغة. وهذه الألفاظ </w:t>
      </w:r>
      <w:r w:rsidRPr="00EB5FFB">
        <w:rPr>
          <w:sz w:val="20"/>
          <w:szCs w:val="36"/>
          <w:rtl/>
          <w:lang w:val="en-GB" w:eastAsia="en-US" w:bidi="ar-AE"/>
        </w:rPr>
        <w:t>–</w:t>
      </w:r>
      <w:r w:rsidRPr="00EB5FFB">
        <w:rPr>
          <w:rFonts w:hint="cs"/>
          <w:sz w:val="20"/>
          <w:szCs w:val="36"/>
          <w:rtl/>
          <w:lang w:val="en-GB" w:eastAsia="en-US" w:bidi="ar-AE"/>
        </w:rPr>
        <w:t xml:space="preserve"> على قلّتها إذا قُورنت ببقيّة الكتاب </w:t>
      </w:r>
      <w:r w:rsidRPr="00EB5FFB">
        <w:rPr>
          <w:sz w:val="20"/>
          <w:szCs w:val="36"/>
          <w:rtl/>
          <w:lang w:val="en-GB" w:eastAsia="en-US" w:bidi="ar-AE"/>
        </w:rPr>
        <w:t>–</w:t>
      </w:r>
      <w:r w:rsidRPr="00EB5FFB">
        <w:rPr>
          <w:rFonts w:hint="cs"/>
          <w:sz w:val="20"/>
          <w:szCs w:val="36"/>
          <w:rtl/>
          <w:lang w:val="en-GB" w:eastAsia="en-US" w:bidi="ar-AE"/>
        </w:rPr>
        <w:t xml:space="preserve"> متكرّرة بشكل ينغّص صفاء الكتاب.</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وقد أقلقني ذلك منذ بدأت في تحقيق الكتاب، لكنّ هذا القلق بدأ يتلاشى شيئًا فشيئًا بعد توارد النسخ الخطية إليّ، وبعد معرفة مصادر المؤلف الرئيسة في كتابه. حيث تبيّن لي أن أكثر الـهَنَات والمآخذ اللغوية سببها عجمة النسّاخ، فما يقع فيه بعضهم من خطأ قد لا يقع فيه الآخر، ثم إن ما بقي من عوالق اتفقت عليه جميع نسخ الكتاب (الستّ) يمكن تقويمه -غالبًا- عن طريق المصادر التي نقل عنها المؤلف.</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وهذا لا يقلّل من قيمة الكتاب، ولا يغضّ من قدره؛ فإنّ هذا المأخذ متكرّر في كثير من كتب العلماء، ممّن بَعُدَ أصلهم ومنشؤهم عن اللغة العربية، وإنما تعلموا العربية لاحقًا، ومع ذلك بقيت كتبهم تحتلّ مكانةً رفيعة في العلوم التي ألِّفت فيها</w:t>
      </w:r>
      <w:r w:rsidRPr="00EB5FFB">
        <w:rPr>
          <w:rFonts w:hint="cs"/>
          <w:sz w:val="20"/>
          <w:szCs w:val="36"/>
          <w:vertAlign w:val="superscript"/>
          <w:rtl/>
          <w:lang w:val="en-GB" w:eastAsia="en-US" w:bidi="ar-AE"/>
        </w:rPr>
        <w:t>(</w:t>
      </w:r>
      <w:r w:rsidRPr="00EB5FFB">
        <w:rPr>
          <w:bCs/>
          <w:sz w:val="20"/>
          <w:szCs w:val="32"/>
          <w:vertAlign w:val="superscript"/>
          <w:rtl/>
          <w:lang w:val="en-GB" w:eastAsia="en-US" w:bidi="ar-AE"/>
        </w:rPr>
        <w:footnoteReference w:id="285"/>
      </w:r>
      <w:r w:rsidRPr="00EB5FFB">
        <w:rPr>
          <w:rFonts w:hint="cs"/>
          <w:sz w:val="20"/>
          <w:szCs w:val="36"/>
          <w:vertAlign w:val="superscript"/>
          <w:rtl/>
          <w:lang w:val="en-GB" w:eastAsia="en-US" w:bidi="ar-AE"/>
        </w:rPr>
        <w:t>)</w:t>
      </w:r>
      <w:r w:rsidRPr="00EB5FFB">
        <w:rPr>
          <w:rFonts w:hint="cs"/>
          <w:sz w:val="20"/>
          <w:szCs w:val="36"/>
          <w:rtl/>
          <w:lang w:val="en-GB" w:eastAsia="en-US" w:bidi="ar-AE"/>
        </w:rPr>
        <w:t xml:space="preserve">. بل إن من يمعن النظر في كتب الحنفية الفقهية والأصولية </w:t>
      </w:r>
      <w:r w:rsidRPr="00EB5FFB">
        <w:rPr>
          <w:sz w:val="20"/>
          <w:szCs w:val="36"/>
          <w:rtl/>
          <w:lang w:val="en-GB" w:eastAsia="en-US" w:bidi="ar-AE"/>
        </w:rPr>
        <w:t>–</w:t>
      </w:r>
      <w:r w:rsidRPr="00EB5FFB">
        <w:rPr>
          <w:rFonts w:hint="cs"/>
          <w:sz w:val="20"/>
          <w:szCs w:val="36"/>
          <w:rtl/>
          <w:lang w:val="en-GB" w:eastAsia="en-US" w:bidi="ar-AE"/>
        </w:rPr>
        <w:t xml:space="preserve"> مثلاً </w:t>
      </w:r>
      <w:r w:rsidRPr="00EB5FFB">
        <w:rPr>
          <w:sz w:val="20"/>
          <w:szCs w:val="36"/>
          <w:rtl/>
          <w:lang w:val="en-GB" w:eastAsia="en-US" w:bidi="ar-AE"/>
        </w:rPr>
        <w:t>–</w:t>
      </w:r>
      <w:r w:rsidRPr="00EB5FFB">
        <w:rPr>
          <w:rFonts w:hint="cs"/>
          <w:sz w:val="20"/>
          <w:szCs w:val="36"/>
          <w:rtl/>
          <w:lang w:val="en-GB" w:eastAsia="en-US" w:bidi="ar-AE"/>
        </w:rPr>
        <w:t xml:space="preserve"> يجد أنّ لغة بعض هذه الكتب قد تأثرت باللغة الأصلية لمؤلفيها، إمّا قصدًا؛ كالتمثيل لألفاظ العقود والنكاح والطلاق</w:t>
      </w:r>
      <w:r w:rsidR="0048366D">
        <w:rPr>
          <w:rFonts w:hint="cs"/>
          <w:sz w:val="20"/>
          <w:szCs w:val="36"/>
          <w:rtl/>
          <w:lang w:val="en-GB" w:eastAsia="en-US" w:bidi="ar-AE"/>
        </w:rPr>
        <w:t>.</w:t>
      </w:r>
      <w:r w:rsidRPr="00EB5FFB">
        <w:rPr>
          <w:rFonts w:hint="cs"/>
          <w:sz w:val="20"/>
          <w:szCs w:val="36"/>
          <w:rtl/>
          <w:lang w:val="en-GB" w:eastAsia="en-US" w:bidi="ar-AE"/>
        </w:rPr>
        <w:t>.. بألفاظ فارسية ونحوها. أو بغير قصد؛ كتذكير الفعل الذي حقه التأنيث، أو العكس</w:t>
      </w:r>
      <w:r w:rsidRPr="00EB5FFB">
        <w:rPr>
          <w:rFonts w:hint="cs"/>
          <w:sz w:val="20"/>
          <w:szCs w:val="36"/>
          <w:vertAlign w:val="superscript"/>
          <w:rtl/>
          <w:lang w:val="en-GB" w:eastAsia="en-US" w:bidi="ar-AE"/>
        </w:rPr>
        <w:t>(</w:t>
      </w:r>
      <w:r w:rsidRPr="00EB5FFB">
        <w:rPr>
          <w:bCs/>
          <w:sz w:val="20"/>
          <w:szCs w:val="32"/>
          <w:vertAlign w:val="superscript"/>
          <w:rtl/>
          <w:lang w:val="en-GB" w:eastAsia="en-US" w:bidi="ar-AE"/>
        </w:rPr>
        <w:footnoteReference w:id="286"/>
      </w:r>
      <w:r w:rsidRPr="00EB5FFB">
        <w:rPr>
          <w:rFonts w:hint="cs"/>
          <w:sz w:val="20"/>
          <w:szCs w:val="36"/>
          <w:vertAlign w:val="superscript"/>
          <w:rtl/>
          <w:lang w:val="en-GB" w:eastAsia="en-US" w:bidi="ar-AE"/>
        </w:rPr>
        <w:t>)</w:t>
      </w:r>
      <w:r w:rsidRPr="00EB5FFB">
        <w:rPr>
          <w:rFonts w:hint="cs"/>
          <w:sz w:val="20"/>
          <w:szCs w:val="36"/>
          <w:rtl/>
          <w:lang w:val="en-GB" w:eastAsia="en-US" w:bidi="ar-AE"/>
        </w:rPr>
        <w:t>. هذا فضلاً عن الكتب التي يؤلفها أصحابها ابتداء بلغاتهم الأصلية</w:t>
      </w:r>
      <w:r w:rsidRPr="00EB5FFB">
        <w:rPr>
          <w:rFonts w:hint="cs"/>
          <w:sz w:val="20"/>
          <w:szCs w:val="36"/>
          <w:vertAlign w:val="superscript"/>
          <w:rtl/>
          <w:lang w:val="en-GB" w:eastAsia="en-US" w:bidi="ar-AE"/>
        </w:rPr>
        <w:t>(</w:t>
      </w:r>
      <w:r w:rsidRPr="00EB5FFB">
        <w:rPr>
          <w:bCs/>
          <w:sz w:val="20"/>
          <w:szCs w:val="32"/>
          <w:vertAlign w:val="superscript"/>
          <w:rtl/>
          <w:lang w:val="en-GB" w:eastAsia="en-US" w:bidi="ar-AE"/>
        </w:rPr>
        <w:footnoteReference w:id="287"/>
      </w:r>
      <w:r w:rsidRPr="00EB5FFB">
        <w:rPr>
          <w:rFonts w:hint="cs"/>
          <w:sz w:val="20"/>
          <w:szCs w:val="36"/>
          <w:vertAlign w:val="superscript"/>
          <w:rtl/>
          <w:lang w:val="en-GB" w:eastAsia="en-US" w:bidi="ar-AE"/>
        </w:rPr>
        <w:t>)</w:t>
      </w:r>
      <w:r w:rsidRPr="00EB5FFB">
        <w:rPr>
          <w:rFonts w:hint="cs"/>
          <w:sz w:val="20"/>
          <w:szCs w:val="36"/>
          <w:rtl/>
          <w:lang w:val="en-GB" w:eastAsia="en-US" w:bidi="ar-AE"/>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bidi="ar-AE"/>
        </w:rPr>
        <w:lastRenderedPageBreak/>
        <w:t>وأهم هذه المآخذ اللغوية ما يأتي</w:t>
      </w:r>
      <w:r w:rsidR="0048366D">
        <w:rPr>
          <w:rFonts w:hint="cs"/>
          <w:b/>
          <w:bCs/>
          <w:sz w:val="20"/>
          <w:szCs w:val="36"/>
          <w:rtl/>
          <w:lang w:val="en-GB" w:eastAsia="en-US" w:bidi="ar-AE"/>
        </w:rPr>
        <w:t>:</w:t>
      </w: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أ</w:t>
      </w:r>
      <w:r w:rsidRPr="00EB5FFB">
        <w:rPr>
          <w:rFonts w:hint="cs"/>
          <w:sz w:val="20"/>
          <w:szCs w:val="36"/>
          <w:rtl/>
          <w:lang w:val="en-GB" w:eastAsia="en-US" w:bidi="ar-AE"/>
        </w:rPr>
        <w:t xml:space="preserve"> </w:t>
      </w:r>
      <w:r w:rsidRPr="00EB5FFB">
        <w:rPr>
          <w:b/>
          <w:bCs/>
          <w:sz w:val="20"/>
          <w:szCs w:val="36"/>
          <w:rtl/>
          <w:lang w:val="en-GB" w:eastAsia="en-US" w:bidi="ar-AE"/>
        </w:rPr>
        <w:t>–</w:t>
      </w:r>
      <w:r w:rsidRPr="00EB5FFB">
        <w:rPr>
          <w:rFonts w:hint="cs"/>
          <w:sz w:val="20"/>
          <w:szCs w:val="36"/>
          <w:rtl/>
          <w:lang w:val="en-GB" w:eastAsia="en-US" w:bidi="ar-AE"/>
        </w:rPr>
        <w:t xml:space="preserve"> تذكير الكلمة التي حقها التأنيث، أو الأولى فيها ذلك، والعكس.</w:t>
      </w:r>
    </w:p>
    <w:p w:rsidR="00EB5FFB" w:rsidRPr="00EB5FFB" w:rsidRDefault="00EB5FFB" w:rsidP="009A68A5">
      <w:pPr>
        <w:widowControl/>
        <w:ind w:firstLine="567"/>
        <w:jc w:val="both"/>
        <w:rPr>
          <w:spacing w:val="-4"/>
          <w:sz w:val="20"/>
          <w:szCs w:val="36"/>
          <w:rtl/>
          <w:lang w:val="en-GB" w:eastAsia="en-US" w:bidi="ar-AE"/>
        </w:rPr>
      </w:pPr>
      <w:r w:rsidRPr="00EB5FFB">
        <w:rPr>
          <w:rFonts w:hint="cs"/>
          <w:spacing w:val="-4"/>
          <w:sz w:val="20"/>
          <w:szCs w:val="36"/>
          <w:rtl/>
          <w:lang w:val="en-GB" w:eastAsia="en-US" w:bidi="ar-AE"/>
        </w:rPr>
        <w:t xml:space="preserve">وهذا من الأمور التي ظهر الاختلاف فيها بين النسخ الخطية، وكان أكثره بسبب عجمة النساخ. إلا أنه بقيت كلمات اتفقت عليها جميع النسخ، وهي لا تتّفق وفصيح اللغة. </w:t>
      </w:r>
    </w:p>
    <w:p w:rsidR="00EB5FFB" w:rsidRPr="00EB5FFB" w:rsidRDefault="00EB5FFB" w:rsidP="009A68A5">
      <w:pPr>
        <w:widowControl/>
        <w:ind w:firstLine="567"/>
        <w:jc w:val="both"/>
        <w:rPr>
          <w:b/>
          <w:bCs/>
          <w:sz w:val="20"/>
          <w:szCs w:val="36"/>
          <w:rtl/>
          <w:lang w:val="en-GB" w:eastAsia="en-US" w:bidi="ar-AE"/>
        </w:rPr>
      </w:pPr>
      <w:r w:rsidRPr="00EB5FFB">
        <w:rPr>
          <w:rFonts w:hint="cs"/>
          <w:b/>
          <w:bCs/>
          <w:sz w:val="20"/>
          <w:szCs w:val="36"/>
          <w:rtl/>
          <w:lang w:val="en-GB" w:eastAsia="en-US" w:bidi="ar-AE"/>
        </w:rPr>
        <w:t>فمن أمثلة ذلك</w:t>
      </w:r>
      <w:r w:rsidR="0048366D">
        <w:rPr>
          <w:rFonts w:hint="cs"/>
          <w:b/>
          <w:bCs/>
          <w:sz w:val="20"/>
          <w:szCs w:val="36"/>
          <w:rtl/>
          <w:lang w:val="en-GB" w:eastAsia="en-US" w:bidi="ar-AE"/>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bidi="ar-AE"/>
        </w:rPr>
        <w:t xml:space="preserve"> قوله</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 xml:space="preserve">... أبو سعيد بن أسعد، </w:t>
      </w:r>
      <w:r w:rsidRPr="00EB5FFB">
        <w:rPr>
          <w:rFonts w:hint="cs"/>
          <w:b/>
          <w:bCs/>
          <w:sz w:val="20"/>
          <w:szCs w:val="36"/>
          <w:rtl/>
          <w:lang w:val="en-GB" w:eastAsia="en-US"/>
        </w:rPr>
        <w:t>سَعَدَ</w:t>
      </w:r>
      <w:r w:rsidRPr="00EB5FFB">
        <w:rPr>
          <w:rFonts w:hint="cs"/>
          <w:sz w:val="20"/>
          <w:szCs w:val="36"/>
          <w:rtl/>
          <w:lang w:val="en-GB" w:eastAsia="en-US"/>
        </w:rPr>
        <w:t xml:space="preserve"> الدنيا به كما </w:t>
      </w:r>
      <w:r w:rsidRPr="00EB5FFB">
        <w:rPr>
          <w:rFonts w:hint="cs"/>
          <w:b/>
          <w:bCs/>
          <w:sz w:val="20"/>
          <w:szCs w:val="36"/>
          <w:rtl/>
          <w:lang w:val="en-GB" w:eastAsia="en-US"/>
        </w:rPr>
        <w:t>سَعَدَ</w:t>
      </w:r>
      <w:r w:rsidRPr="00EB5FFB">
        <w:rPr>
          <w:rFonts w:hint="cs"/>
          <w:sz w:val="20"/>
          <w:szCs w:val="36"/>
          <w:rtl/>
          <w:lang w:val="en-GB" w:eastAsia="en-US"/>
        </w:rPr>
        <w:t xml:space="preserve"> بأبه الأمجد</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8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فالفعل (سعد) الأوّل فاعله</w:t>
      </w:r>
      <w:r w:rsidR="0048366D">
        <w:rPr>
          <w:rFonts w:hint="cs"/>
          <w:sz w:val="20"/>
          <w:szCs w:val="36"/>
          <w:rtl/>
          <w:lang w:val="en-GB" w:eastAsia="en-US"/>
        </w:rPr>
        <w:t>:</w:t>
      </w:r>
      <w:r w:rsidRPr="00EB5FFB">
        <w:rPr>
          <w:rFonts w:hint="cs"/>
          <w:sz w:val="20"/>
          <w:szCs w:val="36"/>
          <w:rtl/>
          <w:lang w:val="en-GB" w:eastAsia="en-US"/>
        </w:rPr>
        <w:t xml:space="preserve"> الدنيا، وهو مؤنث مجازي ظاهر، فكان الأفصح</w:t>
      </w:r>
      <w:r w:rsidR="0048366D">
        <w:rPr>
          <w:rFonts w:hint="cs"/>
          <w:sz w:val="20"/>
          <w:szCs w:val="36"/>
          <w:rtl/>
          <w:lang w:val="en-GB" w:eastAsia="en-US"/>
        </w:rPr>
        <w:t>:</w:t>
      </w:r>
      <w:r w:rsidRPr="00EB5FFB">
        <w:rPr>
          <w:rFonts w:hint="cs"/>
          <w:sz w:val="20"/>
          <w:szCs w:val="36"/>
          <w:rtl/>
          <w:lang w:val="en-GB" w:eastAsia="en-US"/>
        </w:rPr>
        <w:t xml:space="preserve"> تأنيث عامله، فيقال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سَعَدَتِ</w:t>
      </w:r>
      <w:r w:rsidRPr="00EB5FFB">
        <w:rPr>
          <w:rFonts w:hint="cs"/>
          <w:sz w:val="20"/>
          <w:szCs w:val="36"/>
          <w:rtl/>
          <w:lang w:val="en-GB" w:eastAsia="en-US"/>
        </w:rPr>
        <w:t xml:space="preserve"> الدّنيا</w:t>
      </w:r>
      <w:r w:rsidR="0048366D">
        <w:rPr>
          <w:rFonts w:hint="cs"/>
          <w:sz w:val="20"/>
          <w:szCs w:val="36"/>
          <w:rtl/>
          <w:lang w:val="en-GB" w:eastAsia="en-US"/>
        </w:rPr>
        <w:t>.</w:t>
      </w:r>
      <w:r w:rsidRPr="00EB5FFB">
        <w:rPr>
          <w:rFonts w:hint="cs"/>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8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 والفعل (سعد) الثاني فاعله</w:t>
      </w:r>
      <w:r w:rsidR="0048366D">
        <w:rPr>
          <w:rFonts w:hint="cs"/>
          <w:sz w:val="20"/>
          <w:szCs w:val="36"/>
          <w:rtl/>
          <w:lang w:val="en-GB" w:eastAsia="en-US" w:bidi="ar-AE"/>
        </w:rPr>
        <w:t>:</w:t>
      </w:r>
      <w:r w:rsidRPr="00EB5FFB">
        <w:rPr>
          <w:rFonts w:hint="cs"/>
          <w:sz w:val="20"/>
          <w:szCs w:val="36"/>
          <w:rtl/>
          <w:lang w:val="en-GB" w:eastAsia="en-US" w:bidi="ar-AE"/>
        </w:rPr>
        <w:t xml:space="preserve"> ضميرٌ متّصل عائد على مؤنث مجازي (وهو الدنيا) فكان الواجب تذكير عامله، فيقال</w:t>
      </w:r>
      <w:r w:rsidR="0048366D">
        <w:rPr>
          <w:rFonts w:hint="cs"/>
          <w:sz w:val="20"/>
          <w:szCs w:val="36"/>
          <w:rtl/>
          <w:lang w:val="en-GB" w:eastAsia="en-US" w:bidi="ar-AE"/>
        </w:rPr>
        <w:t>:</w:t>
      </w:r>
      <w:r w:rsidRPr="00EB5FFB">
        <w:rPr>
          <w:rFonts w:hint="cs"/>
          <w:sz w:val="20"/>
          <w:szCs w:val="36"/>
          <w:rtl/>
          <w:lang w:val="en-GB" w:eastAsia="en-US" w:bidi="ar-AE"/>
        </w:rPr>
        <w:t xml:space="preserve"> (كما </w:t>
      </w:r>
      <w:r w:rsidRPr="00EB5FFB">
        <w:rPr>
          <w:rFonts w:hint="cs"/>
          <w:b/>
          <w:bCs/>
          <w:sz w:val="20"/>
          <w:szCs w:val="36"/>
          <w:rtl/>
          <w:lang w:val="en-GB" w:eastAsia="en-US" w:bidi="ar-AE"/>
        </w:rPr>
        <w:t>سَعَدَتْ</w:t>
      </w:r>
      <w:r w:rsidRPr="00EB5FFB">
        <w:rPr>
          <w:rFonts w:hint="cs"/>
          <w:sz w:val="20"/>
          <w:szCs w:val="36"/>
          <w:rtl/>
          <w:lang w:val="en-GB" w:eastAsia="en-US" w:bidi="ar-AE"/>
        </w:rPr>
        <w:t xml:space="preserve"> بأبيه الأمجد).</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bidi="ar-AE"/>
        </w:rPr>
        <w:t xml:space="preserve"> قوله</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 xml:space="preserve">ودخول الحمام، مع جهالة مكثه </w:t>
      </w:r>
      <w:r w:rsidRPr="00EB5FFB">
        <w:rPr>
          <w:rFonts w:hint="cs"/>
          <w:b/>
          <w:bCs/>
          <w:sz w:val="20"/>
          <w:szCs w:val="36"/>
          <w:rtl/>
          <w:lang w:val="en-GB" w:eastAsia="en-US"/>
        </w:rPr>
        <w:t>فيها</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فالظاهر أن الضمير (فيها) يعود إلى (الحمام)، وهو </w:t>
      </w:r>
      <w:r w:rsidRPr="00EB5FFB">
        <w:rPr>
          <w:rFonts w:hint="eastAsia"/>
          <w:sz w:val="20"/>
          <w:szCs w:val="36"/>
          <w:rtl/>
          <w:lang w:val="en-GB" w:eastAsia="en-US"/>
        </w:rPr>
        <w:t>«</w:t>
      </w:r>
      <w:r w:rsidRPr="00EB5FFB">
        <w:rPr>
          <w:rFonts w:hint="cs"/>
          <w:sz w:val="20"/>
          <w:szCs w:val="36"/>
          <w:rtl/>
          <w:lang w:val="en-GB" w:eastAsia="en-US"/>
        </w:rPr>
        <w:t>مذكّر تذكّره العرب</w:t>
      </w:r>
      <w:r w:rsidRPr="00EB5FFB">
        <w:rPr>
          <w:rFonts w:hint="eastAsia"/>
          <w:sz w:val="20"/>
          <w:szCs w:val="36"/>
          <w:rtl/>
          <w:lang w:val="en-GB" w:eastAsia="en-US"/>
        </w:rPr>
        <w:t>»</w:t>
      </w:r>
      <w:r w:rsidRPr="00EB5FFB">
        <w:rPr>
          <w:rFonts w:hint="cs"/>
          <w:sz w:val="20"/>
          <w:szCs w:val="36"/>
          <w:rtl/>
          <w:lang w:val="en-GB" w:eastAsia="en-US"/>
        </w:rPr>
        <w:t>، فكان حقه أن يكون الضمير العائد إليه مذكّرًا أيضًا، فيقال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مكثه فيه</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فيفوز بغلّته </w:t>
      </w:r>
      <w:r w:rsidRPr="00EB5FFB">
        <w:rPr>
          <w:rFonts w:hint="cs"/>
          <w:b/>
          <w:bCs/>
          <w:sz w:val="20"/>
          <w:szCs w:val="36"/>
          <w:rtl/>
          <w:lang w:val="en-GB" w:eastAsia="en-US"/>
        </w:rPr>
        <w:t>كلّه</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bidi="ar-AE"/>
        </w:rPr>
        <w:t>فالضمير هنا يعود إلى (الغلّة)، وهي كلمة مؤنثة، فكان حقها أن يعود الضمير إليها مؤنّثًا، فيقال</w:t>
      </w:r>
      <w:r w:rsidR="0048366D">
        <w:rPr>
          <w:rFonts w:hint="cs"/>
          <w:sz w:val="20"/>
          <w:szCs w:val="36"/>
          <w:rtl/>
          <w:lang w:val="en-GB" w:eastAsia="en-US" w:bidi="ar-AE"/>
        </w:rPr>
        <w:t>:</w:t>
      </w:r>
      <w:r w:rsidRPr="00EB5FFB">
        <w:rPr>
          <w:rFonts w:hint="cs"/>
          <w:sz w:val="20"/>
          <w:szCs w:val="36"/>
          <w:rtl/>
          <w:lang w:val="en-GB" w:eastAsia="en-US" w:bidi="ar-AE"/>
        </w:rPr>
        <w:t xml:space="preserve"> (بغلّته </w:t>
      </w:r>
      <w:r w:rsidRPr="00EB5FFB">
        <w:rPr>
          <w:rFonts w:hint="cs"/>
          <w:b/>
          <w:bCs/>
          <w:sz w:val="20"/>
          <w:szCs w:val="36"/>
          <w:rtl/>
          <w:lang w:val="en-GB" w:eastAsia="en-US" w:bidi="ar-AE"/>
        </w:rPr>
        <w:t>كلّها</w:t>
      </w:r>
      <w:r w:rsidRPr="00EB5FFB">
        <w:rPr>
          <w:rFonts w:hint="cs"/>
          <w:sz w:val="20"/>
          <w:szCs w:val="36"/>
          <w:rtl/>
          <w:lang w:val="en-GB" w:eastAsia="en-US" w:bidi="ar-AE"/>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bidi="ar-AE"/>
        </w:rPr>
        <w:t>والأمثلة على هذا كثيرة</w:t>
      </w:r>
      <w:r w:rsidRPr="00EB5FFB">
        <w:rPr>
          <w:rFonts w:hint="cs"/>
          <w:sz w:val="20"/>
          <w:szCs w:val="36"/>
          <w:vertAlign w:val="superscript"/>
          <w:rtl/>
          <w:lang w:val="en-GB" w:eastAsia="en-US" w:bidi="ar-AE"/>
        </w:rPr>
        <w:t>(</w:t>
      </w:r>
      <w:r w:rsidRPr="00EB5FFB">
        <w:rPr>
          <w:bCs/>
          <w:sz w:val="20"/>
          <w:szCs w:val="32"/>
          <w:vertAlign w:val="superscript"/>
          <w:rtl/>
          <w:lang w:val="en-GB" w:eastAsia="en-US" w:bidi="ar-AE"/>
        </w:rPr>
        <w:footnoteReference w:id="292"/>
      </w:r>
      <w:r w:rsidRPr="00EB5FFB">
        <w:rPr>
          <w:rFonts w:hint="cs"/>
          <w:sz w:val="20"/>
          <w:szCs w:val="36"/>
          <w:vertAlign w:val="superscript"/>
          <w:rtl/>
          <w:lang w:val="en-GB" w:eastAsia="en-US" w:bidi="ar-AE"/>
        </w:rPr>
        <w:t>)</w:t>
      </w:r>
      <w:r w:rsidRPr="00EB5FFB">
        <w:rPr>
          <w:rFonts w:hint="cs"/>
          <w:sz w:val="20"/>
          <w:szCs w:val="36"/>
          <w:rtl/>
          <w:lang w:val="en-GB" w:eastAsia="en-US" w:bidi="ar-AE"/>
        </w:rPr>
        <w:t>.</w:t>
      </w: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ب</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ركاكة الأسلوب في مواضع كثيرة.</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bidi="ar-AE"/>
        </w:rPr>
        <w:lastRenderedPageBreak/>
        <w:t>فمن أمثلة ذلك</w:t>
      </w:r>
      <w:r w:rsidR="0048366D">
        <w:rPr>
          <w:rFonts w:hint="cs"/>
          <w:b/>
          <w:bCs/>
          <w:sz w:val="20"/>
          <w:szCs w:val="36"/>
          <w:rtl/>
          <w:lang w:val="en-GB" w:eastAsia="en-US" w:bidi="ar-AE"/>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bidi="ar-AE"/>
        </w:rPr>
        <w:t xml:space="preserve"> قوله</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 xml:space="preserve">إن المسألة التي </w:t>
      </w:r>
      <w:r w:rsidRPr="00EB5FFB">
        <w:rPr>
          <w:rFonts w:hint="cs"/>
          <w:b/>
          <w:bCs/>
          <w:sz w:val="20"/>
          <w:szCs w:val="36"/>
          <w:rtl/>
          <w:lang w:val="en-GB" w:eastAsia="en-US"/>
        </w:rPr>
        <w:t>استفتي عنِّي ليس</w:t>
      </w:r>
      <w:r w:rsidRPr="00EB5FFB">
        <w:rPr>
          <w:rFonts w:hint="cs"/>
          <w:sz w:val="20"/>
          <w:szCs w:val="36"/>
          <w:rtl/>
          <w:lang w:val="en-GB" w:eastAsia="en-US"/>
        </w:rPr>
        <w:t xml:space="preserve"> من هذا الجنس</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ولعل هذا القول يسلم من الركاكة لو كان لفظه</w:t>
      </w:r>
      <w:r w:rsidR="0048366D">
        <w:rPr>
          <w:rFonts w:hint="cs"/>
          <w:sz w:val="20"/>
          <w:szCs w:val="36"/>
          <w:rtl/>
          <w:lang w:val="en-GB" w:eastAsia="en-US"/>
        </w:rPr>
        <w:t>:</w:t>
      </w:r>
      <w:r w:rsidRPr="00EB5FFB">
        <w:rPr>
          <w:rFonts w:hint="cs"/>
          <w:sz w:val="20"/>
          <w:szCs w:val="36"/>
          <w:rtl/>
          <w:lang w:val="en-GB" w:eastAsia="en-US"/>
        </w:rPr>
        <w:t xml:space="preserve"> (إن المسألة التي </w:t>
      </w:r>
      <w:r w:rsidRPr="00EB5FFB">
        <w:rPr>
          <w:rFonts w:hint="cs"/>
          <w:b/>
          <w:bCs/>
          <w:sz w:val="20"/>
          <w:szCs w:val="36"/>
          <w:rtl/>
          <w:lang w:val="en-GB" w:eastAsia="en-US"/>
        </w:rPr>
        <w:t>استُفيتُ عنها ليست</w:t>
      </w:r>
      <w:r w:rsidRPr="00EB5FFB">
        <w:rPr>
          <w:rFonts w:hint="cs"/>
          <w:sz w:val="20"/>
          <w:szCs w:val="36"/>
          <w:rtl/>
          <w:lang w:val="en-GB" w:eastAsia="en-US"/>
        </w:rPr>
        <w:t xml:space="preserve"> من هذا الجنس).</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ويتحرّز عن </w:t>
      </w:r>
      <w:r w:rsidRPr="00EB5FFB">
        <w:rPr>
          <w:rFonts w:hint="cs"/>
          <w:b/>
          <w:bCs/>
          <w:sz w:val="20"/>
          <w:szCs w:val="36"/>
          <w:rtl/>
          <w:lang w:val="en-GB" w:eastAsia="en-US"/>
        </w:rPr>
        <w:t>الإيقاع</w:t>
      </w:r>
      <w:r w:rsidRPr="00EB5FFB">
        <w:rPr>
          <w:rFonts w:hint="cs"/>
          <w:sz w:val="20"/>
          <w:szCs w:val="36"/>
          <w:rtl/>
          <w:lang w:val="en-GB" w:eastAsia="en-US"/>
        </w:rPr>
        <w:t xml:space="preserve"> على أخيه ما لا يرضى به</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على مقتضى </w:t>
      </w:r>
      <w:r w:rsidRPr="00EB5FFB">
        <w:rPr>
          <w:rFonts w:hint="cs"/>
          <w:b/>
          <w:bCs/>
          <w:sz w:val="20"/>
          <w:szCs w:val="36"/>
          <w:rtl/>
          <w:lang w:val="en-GB" w:eastAsia="en-US"/>
        </w:rPr>
        <w:t>أصل</w:t>
      </w:r>
      <w:r w:rsidRPr="00EB5FFB">
        <w:rPr>
          <w:rFonts w:hint="cs"/>
          <w:sz w:val="20"/>
          <w:szCs w:val="36"/>
          <w:rtl/>
          <w:lang w:val="en-GB" w:eastAsia="en-US"/>
        </w:rPr>
        <w:t xml:space="preserve"> المتقدم</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xml:space="preserve">ألا يُرى أن الخَلَفَ قد يَسْتفيدُ من كلامه [أي كلام النبي </w:t>
      </w:r>
      <w:r w:rsidRPr="00EB5FFB">
        <w:rPr>
          <w:rFonts w:ascii="AGA Arabesque" w:hAnsi="AGA Arabesque"/>
          <w:sz w:val="36"/>
          <w:szCs w:val="36"/>
          <w:lang w:eastAsia="en-US"/>
        </w:rPr>
        <w:t></w:t>
      </w:r>
      <w:r w:rsidRPr="00EB5FFB">
        <w:rPr>
          <w:rFonts w:ascii="AGA Arabesque" w:hAnsi="AGA Arabesque" w:hint="cs"/>
          <w:sz w:val="36"/>
          <w:szCs w:val="36"/>
          <w:rtl/>
          <w:lang w:eastAsia="en-US"/>
        </w:rPr>
        <w:t>] أحكامًا و</w:t>
      </w:r>
      <w:r w:rsidRPr="00EB5FFB">
        <w:rPr>
          <w:rFonts w:ascii="AGA Arabesque" w:hAnsi="AGA Arabesque" w:hint="cs"/>
          <w:b/>
          <w:bCs/>
          <w:sz w:val="36"/>
          <w:szCs w:val="36"/>
          <w:rtl/>
          <w:lang w:eastAsia="en-US"/>
        </w:rPr>
        <w:t>فائدة</w:t>
      </w:r>
      <w:r w:rsidRPr="00EB5FFB">
        <w:rPr>
          <w:rFonts w:ascii="AGA Arabesque" w:hAnsi="AGA Arabesque" w:hint="cs"/>
          <w:sz w:val="36"/>
          <w:szCs w:val="36"/>
          <w:rtl/>
          <w:lang w:eastAsia="en-US"/>
        </w:rPr>
        <w:t xml:space="preserve"> لم يبلغها السلف</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فهذه ثلاثة تراكيب متقاربة، فيها شيء من الركاكة. ويمكن أن تزول هذه الركاكة لو قيل</w:t>
      </w:r>
      <w:r w:rsidR="0048366D">
        <w:rPr>
          <w:rFonts w:hint="cs"/>
          <w:sz w:val="20"/>
          <w:szCs w:val="36"/>
          <w:rtl/>
          <w:lang w:val="en-GB" w:eastAsia="en-US"/>
        </w:rPr>
        <w:t>:</w:t>
      </w:r>
      <w:r w:rsidRPr="00EB5FFB">
        <w:rPr>
          <w:rFonts w:hint="cs"/>
          <w:sz w:val="20"/>
          <w:szCs w:val="36"/>
          <w:rtl/>
          <w:lang w:val="en-GB" w:eastAsia="en-US"/>
        </w:rPr>
        <w:t xml:space="preserve"> (ويتحرّز عن أن </w:t>
      </w:r>
      <w:r w:rsidRPr="00EB5FFB">
        <w:rPr>
          <w:rFonts w:hint="cs"/>
          <w:b/>
          <w:bCs/>
          <w:sz w:val="20"/>
          <w:szCs w:val="36"/>
          <w:rtl/>
          <w:lang w:val="en-GB" w:eastAsia="en-US"/>
        </w:rPr>
        <w:t>يوقع</w:t>
      </w:r>
      <w:r w:rsidRPr="00EB5FFB">
        <w:rPr>
          <w:rFonts w:hint="cs"/>
          <w:sz w:val="20"/>
          <w:szCs w:val="36"/>
          <w:rtl/>
          <w:lang w:val="en-GB" w:eastAsia="en-US"/>
        </w:rPr>
        <w:t xml:space="preserve"> على أخيه ما لا يرضى به</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على مقتضى </w:t>
      </w:r>
      <w:r w:rsidRPr="00EB5FFB">
        <w:rPr>
          <w:rFonts w:hint="cs"/>
          <w:b/>
          <w:bCs/>
          <w:sz w:val="20"/>
          <w:szCs w:val="36"/>
          <w:rtl/>
          <w:lang w:val="en-GB" w:eastAsia="en-US"/>
        </w:rPr>
        <w:t>الأصل</w:t>
      </w:r>
      <w:r w:rsidRPr="00EB5FFB">
        <w:rPr>
          <w:rFonts w:hint="cs"/>
          <w:sz w:val="20"/>
          <w:szCs w:val="36"/>
          <w:rtl/>
          <w:lang w:val="en-GB" w:eastAsia="en-US"/>
        </w:rPr>
        <w:t xml:space="preserve"> المتقدم</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ألا يُرى أن الخلف قد يستفيد من كلامه أحكامًا و</w:t>
      </w:r>
      <w:r w:rsidRPr="00EB5FFB">
        <w:rPr>
          <w:rFonts w:hint="cs"/>
          <w:b/>
          <w:bCs/>
          <w:sz w:val="20"/>
          <w:szCs w:val="36"/>
          <w:rtl/>
          <w:lang w:val="en-GB" w:eastAsia="en-US"/>
        </w:rPr>
        <w:t>فوائد</w:t>
      </w:r>
      <w:r w:rsidRPr="00EB5FFB">
        <w:rPr>
          <w:rFonts w:hint="cs"/>
          <w:sz w:val="20"/>
          <w:szCs w:val="36"/>
          <w:rtl/>
          <w:lang w:val="en-GB" w:eastAsia="en-US"/>
        </w:rPr>
        <w:t xml:space="preserve"> لم يبلغها السلف).</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وإلا</w:t>
      </w:r>
      <w:r w:rsidR="0048366D">
        <w:rPr>
          <w:rFonts w:hint="cs"/>
          <w:sz w:val="20"/>
          <w:szCs w:val="36"/>
          <w:rtl/>
          <w:lang w:val="en-GB" w:eastAsia="en-US"/>
        </w:rPr>
        <w:t>:</w:t>
      </w:r>
      <w:r w:rsidRPr="00EB5FFB">
        <w:rPr>
          <w:rFonts w:hint="cs"/>
          <w:sz w:val="20"/>
          <w:szCs w:val="36"/>
          <w:rtl/>
          <w:lang w:val="en-GB" w:eastAsia="en-US"/>
        </w:rPr>
        <w:t xml:space="preserve"> يلزم ترجيح القياس على النصّ </w:t>
      </w:r>
      <w:r w:rsidRPr="00EB5FFB">
        <w:rPr>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بين</w:t>
      </w:r>
      <w:r w:rsidRPr="00EB5FFB">
        <w:rPr>
          <w:rFonts w:hint="cs"/>
          <w:sz w:val="20"/>
          <w:szCs w:val="36"/>
          <w:rtl/>
          <w:lang w:val="en-GB" w:eastAsia="en-US"/>
        </w:rPr>
        <w:t xml:space="preserve"> الربّا في </w:t>
      </w:r>
      <w:r w:rsidRPr="00EB5FFB">
        <w:rPr>
          <w:rFonts w:hint="cs"/>
          <w:b/>
          <w:bCs/>
          <w:sz w:val="20"/>
          <w:szCs w:val="36"/>
          <w:rtl/>
          <w:lang w:val="en-GB" w:eastAsia="en-US"/>
        </w:rPr>
        <w:t>الحديث</w:t>
      </w:r>
      <w:r w:rsidR="0048366D">
        <w:rPr>
          <w:rFonts w:hint="cs"/>
          <w:sz w:val="20"/>
          <w:szCs w:val="36"/>
          <w:rtl/>
          <w:lang w:val="en-GB" w:eastAsia="en-US"/>
        </w:rPr>
        <w:t>:</w:t>
      </w:r>
      <w:r w:rsidRPr="00EB5FFB">
        <w:rPr>
          <w:rFonts w:hint="cs"/>
          <w:sz w:val="20"/>
          <w:szCs w:val="36"/>
          <w:rtl/>
          <w:lang w:val="en-GB" w:eastAsia="en-US"/>
        </w:rPr>
        <w:t xml:space="preserve"> الأشياء الستة </w:t>
      </w:r>
      <w:r w:rsidRPr="00EB5FFB">
        <w:rPr>
          <w:sz w:val="20"/>
          <w:szCs w:val="36"/>
          <w:rtl/>
          <w:lang w:val="en-GB" w:eastAsia="en-US"/>
        </w:rPr>
        <w:t>–</w:t>
      </w:r>
      <w:r w:rsidRPr="00EB5FFB">
        <w:rPr>
          <w:rFonts w:hint="cs"/>
          <w:sz w:val="20"/>
          <w:szCs w:val="36"/>
          <w:rtl/>
          <w:lang w:val="en-GB" w:eastAsia="en-US"/>
        </w:rPr>
        <w:t xml:space="preserve"> بأسماء الأعلام</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2"/>
        <w:jc w:val="both"/>
        <w:rPr>
          <w:spacing w:val="-8"/>
          <w:sz w:val="35"/>
          <w:szCs w:val="35"/>
          <w:rtl/>
          <w:lang w:val="en-GB" w:eastAsia="en-US"/>
        </w:rPr>
      </w:pPr>
      <w:r w:rsidRPr="00EB5FFB">
        <w:rPr>
          <w:rFonts w:hint="cs"/>
          <w:spacing w:val="-8"/>
          <w:sz w:val="35"/>
          <w:szCs w:val="35"/>
          <w:rtl/>
          <w:lang w:val="en-GB" w:eastAsia="en-US"/>
        </w:rPr>
        <w:t>ويمكن أن تزول الركاكة لو قيل</w:t>
      </w:r>
      <w:r w:rsidR="0048366D">
        <w:rPr>
          <w:rFonts w:hint="cs"/>
          <w:spacing w:val="-8"/>
          <w:sz w:val="35"/>
          <w:szCs w:val="35"/>
          <w:rtl/>
          <w:lang w:val="en-GB" w:eastAsia="en-US"/>
        </w:rPr>
        <w:t>:</w:t>
      </w:r>
      <w:r w:rsidRPr="00EB5FFB">
        <w:rPr>
          <w:rFonts w:hint="cs"/>
          <w:spacing w:val="-8"/>
          <w:sz w:val="35"/>
          <w:szCs w:val="35"/>
          <w:rtl/>
          <w:lang w:val="en-GB" w:eastAsia="en-US"/>
        </w:rPr>
        <w:t xml:space="preserve">(.. على النصّ </w:t>
      </w:r>
      <w:r w:rsidRPr="00EB5FFB">
        <w:rPr>
          <w:rFonts w:hint="cs"/>
          <w:b/>
          <w:bCs/>
          <w:spacing w:val="-8"/>
          <w:sz w:val="35"/>
          <w:szCs w:val="35"/>
          <w:rtl/>
          <w:lang w:val="en-GB" w:eastAsia="en-US"/>
        </w:rPr>
        <w:t>في</w:t>
      </w:r>
      <w:r w:rsidRPr="00EB5FFB">
        <w:rPr>
          <w:rFonts w:hint="cs"/>
          <w:spacing w:val="-8"/>
          <w:sz w:val="35"/>
          <w:szCs w:val="35"/>
          <w:rtl/>
          <w:lang w:val="en-GB" w:eastAsia="en-US"/>
        </w:rPr>
        <w:t xml:space="preserve"> باب الربّا في </w:t>
      </w:r>
      <w:r w:rsidRPr="00EB5FFB">
        <w:rPr>
          <w:rFonts w:hint="cs"/>
          <w:b/>
          <w:bCs/>
          <w:spacing w:val="-8"/>
          <w:sz w:val="35"/>
          <w:szCs w:val="35"/>
          <w:rtl/>
          <w:lang w:val="en-GB" w:eastAsia="en-US"/>
        </w:rPr>
        <w:t>حديث</w:t>
      </w:r>
      <w:r w:rsidRPr="00EB5FFB">
        <w:rPr>
          <w:rFonts w:hint="cs"/>
          <w:spacing w:val="-8"/>
          <w:sz w:val="35"/>
          <w:szCs w:val="35"/>
          <w:rtl/>
          <w:lang w:val="en-GB" w:eastAsia="en-US"/>
        </w:rPr>
        <w:t xml:space="preserve"> الأشياء السّتة</w:t>
      </w:r>
      <w:r w:rsidR="0048366D">
        <w:rPr>
          <w:rFonts w:hint="cs"/>
          <w:spacing w:val="-8"/>
          <w:sz w:val="35"/>
          <w:szCs w:val="35"/>
          <w:rtl/>
          <w:lang w:val="en-GB" w:eastAsia="en-US"/>
        </w:rPr>
        <w:t>.</w:t>
      </w:r>
      <w:r w:rsidRPr="00EB5FFB">
        <w:rPr>
          <w:rFonts w:hint="cs"/>
          <w:spacing w:val="-8"/>
          <w:sz w:val="35"/>
          <w:szCs w:val="35"/>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كمن تزوّج امرأة وقصده أن يطلّقها بعدما </w:t>
      </w:r>
      <w:r w:rsidRPr="00EB5FFB">
        <w:rPr>
          <w:rFonts w:hint="cs"/>
          <w:b/>
          <w:bCs/>
          <w:sz w:val="20"/>
          <w:szCs w:val="36"/>
          <w:rtl/>
          <w:lang w:val="en-GB" w:eastAsia="en-US"/>
        </w:rPr>
        <w:t>جامعها</w:t>
      </w:r>
      <w:r w:rsidR="0048366D">
        <w:rPr>
          <w:rFonts w:hint="cs"/>
          <w:sz w:val="20"/>
          <w:szCs w:val="36"/>
          <w:rtl/>
          <w:lang w:val="en-GB" w:eastAsia="en-US"/>
        </w:rPr>
        <w:t>:</w:t>
      </w:r>
      <w:r w:rsidRPr="00EB5FFB">
        <w:rPr>
          <w:rFonts w:hint="cs"/>
          <w:sz w:val="20"/>
          <w:szCs w:val="36"/>
          <w:rtl/>
          <w:lang w:val="en-GB" w:eastAsia="en-US"/>
        </w:rPr>
        <w:t xml:space="preserve"> صح العقد</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pacing w:val="-6"/>
          <w:sz w:val="20"/>
          <w:szCs w:val="36"/>
          <w:rtl/>
          <w:lang w:val="en-GB" w:eastAsia="en-US"/>
        </w:rPr>
        <w:lastRenderedPageBreak/>
        <w:t xml:space="preserve">ويمكن أن تزول الركاكة لو قيل: (..أن يطلقها بعدما </w:t>
      </w:r>
      <w:r w:rsidRPr="00EB5FFB">
        <w:rPr>
          <w:rFonts w:hint="cs"/>
          <w:b/>
          <w:bCs/>
          <w:spacing w:val="-6"/>
          <w:sz w:val="20"/>
          <w:szCs w:val="36"/>
          <w:rtl/>
          <w:lang w:val="en-GB" w:eastAsia="en-US"/>
        </w:rPr>
        <w:t>يجامعها</w:t>
      </w:r>
      <w:r w:rsidRPr="00EB5FFB">
        <w:rPr>
          <w:rFonts w:hint="cs"/>
          <w:spacing w:val="-6"/>
          <w:sz w:val="20"/>
          <w:szCs w:val="36"/>
          <w:rtl/>
          <w:lang w:val="en-GB" w:eastAsia="en-US"/>
        </w:rPr>
        <w:t xml:space="preserve">..) أو(..بعد </w:t>
      </w:r>
      <w:r w:rsidRPr="00EB5FFB">
        <w:rPr>
          <w:rFonts w:hint="cs"/>
          <w:b/>
          <w:bCs/>
          <w:spacing w:val="-6"/>
          <w:sz w:val="20"/>
          <w:szCs w:val="36"/>
          <w:rtl/>
          <w:lang w:val="en-GB" w:eastAsia="en-US"/>
        </w:rPr>
        <w:t>جماعها</w:t>
      </w:r>
      <w:r w:rsidR="0048366D">
        <w:rPr>
          <w:rFonts w:hint="cs"/>
          <w:spacing w:val="-6"/>
          <w:sz w:val="20"/>
          <w:szCs w:val="36"/>
          <w:rtl/>
          <w:lang w:val="en-GB" w:eastAsia="en-US"/>
        </w:rPr>
        <w:t>.</w:t>
      </w:r>
      <w:r w:rsidRPr="00EB5FFB">
        <w:rPr>
          <w:rFonts w:hint="cs"/>
          <w:spacing w:val="-6"/>
          <w:sz w:val="20"/>
          <w:szCs w:val="36"/>
          <w:rtl/>
          <w:lang w:val="en-GB" w:eastAsia="en-US"/>
        </w:rPr>
        <w:t xml:space="preserve">.). </w:t>
      </w:r>
      <w:r w:rsidRPr="00EB5FFB">
        <w:rPr>
          <w:rFonts w:hint="cs"/>
          <w:sz w:val="20"/>
          <w:szCs w:val="36"/>
          <w:rtl/>
          <w:lang w:val="en-GB" w:eastAsia="en-US"/>
        </w:rPr>
        <w:t>هذه أربعة نماذج تعدّ من أكثر تراكيب الكتاب ركاكة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pacing w:val="-4"/>
          <w:sz w:val="20"/>
          <w:szCs w:val="36"/>
          <w:rtl/>
          <w:lang w:val="en-GB" w:eastAsia="en-US"/>
        </w:rPr>
      </w:pPr>
      <w:r w:rsidRPr="00EB5FFB">
        <w:rPr>
          <w:rFonts w:hint="cs"/>
          <w:b/>
          <w:bCs/>
          <w:spacing w:val="-4"/>
          <w:sz w:val="20"/>
          <w:szCs w:val="36"/>
          <w:rtl/>
          <w:lang w:val="en-GB" w:eastAsia="en-US"/>
        </w:rPr>
        <w:t>جـ</w:t>
      </w:r>
      <w:r w:rsidRPr="00EB5FFB">
        <w:rPr>
          <w:rFonts w:hint="cs"/>
          <w:spacing w:val="-4"/>
          <w:sz w:val="20"/>
          <w:szCs w:val="36"/>
          <w:rtl/>
          <w:lang w:val="en-GB" w:eastAsia="en-US"/>
        </w:rPr>
        <w:t xml:space="preserve"> </w:t>
      </w:r>
      <w:r w:rsidRPr="00EB5FFB">
        <w:rPr>
          <w:rFonts w:hint="cs"/>
          <w:b/>
          <w:bCs/>
          <w:spacing w:val="-4"/>
          <w:sz w:val="20"/>
          <w:szCs w:val="36"/>
          <w:rtl/>
          <w:lang w:val="en-GB" w:eastAsia="en-US"/>
        </w:rPr>
        <w:t>-</w:t>
      </w:r>
      <w:r w:rsidRPr="00EB5FFB">
        <w:rPr>
          <w:rFonts w:hint="cs"/>
          <w:spacing w:val="-4"/>
          <w:sz w:val="20"/>
          <w:szCs w:val="36"/>
          <w:rtl/>
          <w:lang w:val="en-GB" w:eastAsia="en-US"/>
        </w:rPr>
        <w:t xml:space="preserve"> إدخال (أل) على كلمة (غير). وهذا وإن أجازه بعض العلماء إلا أنه خلاف المشهور عند أهل اللغة؛ لأنها </w:t>
      </w:r>
      <w:r w:rsidRPr="00EB5FFB">
        <w:rPr>
          <w:rFonts w:hint="eastAsia"/>
          <w:spacing w:val="-4"/>
          <w:sz w:val="20"/>
          <w:szCs w:val="36"/>
          <w:rtl/>
          <w:lang w:val="en-GB" w:eastAsia="en-US"/>
        </w:rPr>
        <w:t>«</w:t>
      </w:r>
      <w:r w:rsidRPr="00EB5FFB">
        <w:rPr>
          <w:rFonts w:hint="cs"/>
          <w:spacing w:val="-4"/>
          <w:sz w:val="20"/>
          <w:szCs w:val="36"/>
          <w:rtl/>
          <w:lang w:val="en-GB" w:eastAsia="en-US"/>
        </w:rPr>
        <w:t>من الألفاظ المتوغّلة في الإبهام</w:t>
      </w:r>
      <w:r w:rsidRPr="00EB5FFB">
        <w:rPr>
          <w:rFonts w:hint="eastAsia"/>
          <w:spacing w:val="-4"/>
          <w:sz w:val="20"/>
          <w:szCs w:val="36"/>
          <w:rtl/>
          <w:lang w:val="en-GB" w:eastAsia="en-US"/>
        </w:rPr>
        <w:t>»</w:t>
      </w:r>
      <w:r w:rsidRPr="00EB5FFB">
        <w:rPr>
          <w:rFonts w:hint="cs"/>
          <w:spacing w:val="-4"/>
          <w:sz w:val="20"/>
          <w:szCs w:val="36"/>
          <w:rtl/>
          <w:lang w:val="en-GB" w:eastAsia="en-US"/>
        </w:rPr>
        <w:t>؛ لهذا ذكر بعض علماء اللغة</w:t>
      </w:r>
      <w:r w:rsidR="0048366D">
        <w:rPr>
          <w:rFonts w:hint="cs"/>
          <w:spacing w:val="-4"/>
          <w:sz w:val="20"/>
          <w:szCs w:val="36"/>
          <w:rtl/>
          <w:lang w:val="en-GB" w:eastAsia="en-US"/>
        </w:rPr>
        <w:t>:</w:t>
      </w:r>
      <w:r w:rsidRPr="00EB5FFB">
        <w:rPr>
          <w:rFonts w:hint="cs"/>
          <w:spacing w:val="-4"/>
          <w:sz w:val="20"/>
          <w:szCs w:val="36"/>
          <w:rtl/>
          <w:lang w:val="en-GB" w:eastAsia="en-US"/>
        </w:rPr>
        <w:t xml:space="preserve"> بأن (غير) لا تدخل عليها (أل) إلا في كلام المولّدين (أي الذين أصولهم غير عربية)</w:t>
      </w:r>
      <w:r w:rsidRPr="00EB5FFB">
        <w:rPr>
          <w:rFonts w:hint="cs"/>
          <w:spacing w:val="-4"/>
          <w:sz w:val="20"/>
          <w:szCs w:val="36"/>
          <w:vertAlign w:val="superscript"/>
          <w:rtl/>
          <w:lang w:val="en-GB" w:eastAsia="en-US"/>
        </w:rPr>
        <w:t>(</w:t>
      </w:r>
      <w:r w:rsidRPr="00EB5FFB">
        <w:rPr>
          <w:bCs/>
          <w:spacing w:val="-4"/>
          <w:sz w:val="20"/>
          <w:szCs w:val="32"/>
          <w:vertAlign w:val="superscript"/>
          <w:rtl/>
          <w:lang w:val="en-GB" w:eastAsia="en-US"/>
        </w:rPr>
        <w:footnoteReference w:id="298"/>
      </w:r>
      <w:r w:rsidRPr="00EB5FFB">
        <w:rPr>
          <w:rFonts w:hint="cs"/>
          <w:spacing w:val="-4"/>
          <w:sz w:val="20"/>
          <w:szCs w:val="36"/>
          <w:vertAlign w:val="superscript"/>
          <w:rtl/>
          <w:lang w:val="en-GB" w:eastAsia="en-US"/>
        </w:rPr>
        <w:t>)</w:t>
      </w:r>
      <w:r w:rsidRPr="00EB5FFB">
        <w:rPr>
          <w:rFonts w:hint="cs"/>
          <w:spacing w:val="-4"/>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وأمثلة ذلك كثيرة، منها</w:t>
      </w:r>
      <w:r w:rsidR="0048366D">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إذا كان المأمور عبد </w:t>
      </w:r>
      <w:r w:rsidRPr="00EB5FFB">
        <w:rPr>
          <w:rFonts w:hint="cs"/>
          <w:b/>
          <w:bCs/>
          <w:sz w:val="20"/>
          <w:szCs w:val="36"/>
          <w:rtl/>
          <w:lang w:val="en-GB" w:eastAsia="en-US"/>
        </w:rPr>
        <w:t>الغير،</w:t>
      </w:r>
      <w:r w:rsidRPr="00EB5FFB">
        <w:rPr>
          <w:rFonts w:hint="cs"/>
          <w:sz w:val="20"/>
          <w:szCs w:val="36"/>
          <w:rtl/>
          <w:lang w:val="en-GB" w:eastAsia="en-US"/>
        </w:rPr>
        <w:t xml:space="preserve"> فأمره بالإباق</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29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849" w:hanging="282"/>
        <w:jc w:val="both"/>
        <w:rPr>
          <w:sz w:val="36"/>
          <w:szCs w:val="36"/>
          <w:rtl/>
          <w:lang w:val="en-GB" w:eastAsia="en-US"/>
        </w:rPr>
      </w:pPr>
      <w:r w:rsidRPr="00EB5FFB">
        <w:rPr>
          <w:sz w:val="22"/>
          <w:szCs w:val="38"/>
          <w:rtl/>
          <w:lang w:eastAsia="en-US"/>
        </w:rPr>
        <w:t>•</w:t>
      </w:r>
      <w:r w:rsidRPr="00EB5FFB">
        <w:rPr>
          <w:rFonts w:hint="cs"/>
          <w:sz w:val="36"/>
          <w:szCs w:val="36"/>
          <w:rtl/>
          <w:lang w:val="en-GB" w:eastAsia="en-US"/>
        </w:rPr>
        <w:t xml:space="preserve"> قوله</w:t>
      </w:r>
      <w:r w:rsidR="0048366D">
        <w:rPr>
          <w:rFonts w:hint="cs"/>
          <w:sz w:val="36"/>
          <w:szCs w:val="36"/>
          <w:rtl/>
          <w:lang w:val="en-GB" w:eastAsia="en-US"/>
        </w:rPr>
        <w:t>:</w:t>
      </w:r>
      <w:r w:rsidRPr="00EB5FFB">
        <w:rPr>
          <w:rFonts w:hint="cs"/>
          <w:sz w:val="36"/>
          <w:szCs w:val="36"/>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إذا كان المأمور صبيًّا، كما إذا أمر صبيًّا بإتلاف مال </w:t>
      </w:r>
      <w:r w:rsidRPr="00EB5FFB">
        <w:rPr>
          <w:rFonts w:hint="cs"/>
          <w:b/>
          <w:bCs/>
          <w:sz w:val="36"/>
          <w:szCs w:val="36"/>
          <w:rtl/>
          <w:lang w:val="en-GB" w:eastAsia="en-US"/>
        </w:rPr>
        <w:t>الغير</w:t>
      </w:r>
      <w:r w:rsidRPr="00EB5FFB">
        <w:rPr>
          <w:rFonts w:hint="cs"/>
          <w:sz w:val="36"/>
          <w:szCs w:val="36"/>
          <w:rtl/>
          <w:lang w:val="en-GB" w:eastAsia="en-US"/>
        </w:rPr>
        <w:t>، فأتلفه</w:t>
      </w:r>
      <w:r w:rsidR="0048366D">
        <w:rPr>
          <w:rFonts w:hint="cs"/>
          <w:sz w:val="36"/>
          <w:szCs w:val="36"/>
          <w:rtl/>
          <w:lang w:val="en-GB" w:eastAsia="en-US"/>
        </w:rPr>
        <w:t>:</w:t>
      </w:r>
      <w:r w:rsidRPr="00EB5FFB">
        <w:rPr>
          <w:rFonts w:hint="cs"/>
          <w:sz w:val="36"/>
          <w:szCs w:val="36"/>
          <w:rtl/>
          <w:lang w:val="en-GB" w:eastAsia="en-US"/>
        </w:rPr>
        <w:t xml:space="preserve"> ضمن الصبي</w:t>
      </w:r>
      <w:r w:rsidR="0048366D">
        <w:rPr>
          <w:rFonts w:hint="cs"/>
          <w:sz w:val="36"/>
          <w:szCs w:val="36"/>
          <w:rtl/>
          <w:lang w:val="en-GB" w:eastAsia="en-US"/>
        </w:rPr>
        <w:t>.</w:t>
      </w:r>
      <w:r w:rsidRPr="00EB5FFB">
        <w:rPr>
          <w:rFonts w:hint="cs"/>
          <w:sz w:val="36"/>
          <w:szCs w:val="36"/>
          <w:rtl/>
          <w:lang w:val="en-GB" w:eastAsia="en-US"/>
        </w:rPr>
        <w:t>..</w:t>
      </w:r>
      <w:r w:rsidRPr="00EB5FFB">
        <w:rPr>
          <w:rFonts w:hint="eastAsia"/>
          <w:sz w:val="36"/>
          <w:szCs w:val="36"/>
          <w:rtl/>
          <w:lang w:val="en-GB" w:eastAsia="en-US"/>
        </w:rPr>
        <w:t>»</w:t>
      </w:r>
      <w:r w:rsidRPr="00EB5FFB">
        <w:rPr>
          <w:rFonts w:hint="cs"/>
          <w:sz w:val="36"/>
          <w:szCs w:val="36"/>
          <w:vertAlign w:val="superscript"/>
          <w:rtl/>
          <w:lang w:val="en-GB" w:eastAsia="en-US"/>
        </w:rPr>
        <w:t>(</w:t>
      </w:r>
      <w:r w:rsidRPr="00EB5FFB">
        <w:rPr>
          <w:bCs/>
          <w:sz w:val="36"/>
          <w:szCs w:val="32"/>
          <w:vertAlign w:val="superscript"/>
          <w:rtl/>
          <w:lang w:val="en-GB" w:eastAsia="en-US"/>
        </w:rPr>
        <w:footnoteReference w:id="300"/>
      </w:r>
      <w:r w:rsidRPr="00EB5FFB">
        <w:rPr>
          <w:rFonts w:hint="cs"/>
          <w:sz w:val="36"/>
          <w:szCs w:val="36"/>
          <w:vertAlign w:val="superscript"/>
          <w:rtl/>
          <w:lang w:val="en-GB" w:eastAsia="en-US"/>
        </w:rPr>
        <w:t>)</w:t>
      </w:r>
      <w:r w:rsidRPr="00EB5FFB">
        <w:rPr>
          <w:rFonts w:hint="cs"/>
          <w:sz w:val="36"/>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وعقوق الوالدين أشدّ شرًّا من الجناية في مال </w:t>
      </w:r>
      <w:r w:rsidRPr="00EB5FFB">
        <w:rPr>
          <w:rFonts w:hint="cs"/>
          <w:b/>
          <w:bCs/>
          <w:sz w:val="20"/>
          <w:szCs w:val="36"/>
          <w:rtl/>
          <w:lang w:val="en-GB" w:eastAsia="en-US"/>
        </w:rPr>
        <w:t>الغير</w:t>
      </w:r>
      <w:r w:rsidRPr="00EB5FFB">
        <w:rPr>
          <w:rFonts w:hint="cs"/>
          <w:sz w:val="20"/>
          <w:szCs w:val="36"/>
          <w:rtl/>
          <w:lang w:val="en-GB" w:eastAsia="en-US"/>
        </w:rPr>
        <w:t>؛ لأن</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0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38"/>
          <w:szCs w:val="38"/>
          <w:rtl/>
          <w:lang w:val="en-GB" w:eastAsia="en-US"/>
        </w:rPr>
        <w:t xml:space="preserve"> ق45</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الإِقْرَارُ غيرُ معتبرٍ إذا تَضَمَّنَ إبْطَالَ حَقِّ </w:t>
      </w:r>
      <w:r w:rsidRPr="00EB5FFB">
        <w:rPr>
          <w:rFonts w:hint="cs"/>
          <w:b/>
          <w:bCs/>
          <w:sz w:val="36"/>
          <w:szCs w:val="36"/>
          <w:rtl/>
          <w:lang w:val="en-GB" w:eastAsia="en-US"/>
        </w:rPr>
        <w:t>الغَيْر</w:t>
      </w:r>
      <w:r w:rsidRPr="00EB5FFB">
        <w:rPr>
          <w:rFonts w:hint="eastAsia"/>
          <w:sz w:val="36"/>
          <w:szCs w:val="36"/>
          <w:rtl/>
          <w:lang w:val="en-GB" w:eastAsia="en-US"/>
        </w:rPr>
        <w:t>»</w:t>
      </w:r>
      <w:r w:rsidRPr="00EB5FFB">
        <w:rPr>
          <w:rFonts w:hint="cs"/>
          <w:sz w:val="36"/>
          <w:szCs w:val="36"/>
          <w:rtl/>
          <w:lang w:val="en-GB" w:eastAsia="en-US"/>
        </w:rPr>
        <w:t>.</w:t>
      </w:r>
      <w:r w:rsidRPr="00EB5FFB">
        <w:rPr>
          <w:rFonts w:hint="cs"/>
          <w:sz w:val="20"/>
          <w:szCs w:val="36"/>
          <w:rtl/>
          <w:lang w:val="en-GB" w:eastAsia="en-US"/>
        </w:rPr>
        <w:t xml:space="preserve"> </w:t>
      </w:r>
    </w:p>
    <w:p w:rsidR="00EB5FFB" w:rsidRPr="00EB5FFB" w:rsidRDefault="00EB5FFB" w:rsidP="009A68A5">
      <w:pPr>
        <w:widowControl/>
        <w:ind w:left="567" w:firstLine="0"/>
        <w:jc w:val="both"/>
        <w:rPr>
          <w:sz w:val="38"/>
          <w:szCs w:val="38"/>
          <w:rtl/>
          <w:lang w:val="en-GB" w:eastAsia="en-US"/>
        </w:rPr>
      </w:pPr>
      <w:r w:rsidRPr="00EB5FFB">
        <w:rPr>
          <w:sz w:val="22"/>
          <w:szCs w:val="38"/>
          <w:rtl/>
          <w:lang w:eastAsia="en-US"/>
        </w:rPr>
        <w:t>•</w:t>
      </w:r>
      <w:r w:rsidRPr="00EB5FFB">
        <w:rPr>
          <w:rFonts w:hint="cs"/>
          <w:sz w:val="38"/>
          <w:szCs w:val="38"/>
          <w:rtl/>
          <w:lang w:val="en-GB" w:eastAsia="en-US"/>
        </w:rPr>
        <w:t xml:space="preserve"> ق46</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الأَمْرُ بالتَّصَرُّفِ فِي مِلْكِ </w:t>
      </w:r>
      <w:r w:rsidRPr="00EB5FFB">
        <w:rPr>
          <w:rFonts w:hint="cs"/>
          <w:b/>
          <w:bCs/>
          <w:sz w:val="36"/>
          <w:szCs w:val="36"/>
          <w:rtl/>
          <w:lang w:val="en-GB" w:eastAsia="en-US"/>
        </w:rPr>
        <w:t>الغَيْرِ</w:t>
      </w:r>
      <w:r w:rsidRPr="00EB5FFB">
        <w:rPr>
          <w:rFonts w:hint="cs"/>
          <w:sz w:val="36"/>
          <w:szCs w:val="36"/>
          <w:rtl/>
          <w:lang w:val="en-GB" w:eastAsia="en-US"/>
        </w:rPr>
        <w:t xml:space="preserve"> بَاطِلٌ</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left="567" w:firstLine="0"/>
        <w:jc w:val="both"/>
        <w:rPr>
          <w:sz w:val="38"/>
          <w:szCs w:val="38"/>
          <w:rtl/>
          <w:lang w:val="en-GB" w:eastAsia="en-US"/>
        </w:rPr>
      </w:pPr>
      <w:r w:rsidRPr="00EB5FFB">
        <w:rPr>
          <w:sz w:val="22"/>
          <w:szCs w:val="38"/>
          <w:rtl/>
          <w:lang w:eastAsia="en-US"/>
        </w:rPr>
        <w:t>•</w:t>
      </w:r>
      <w:r w:rsidRPr="00EB5FFB">
        <w:rPr>
          <w:rFonts w:hint="cs"/>
          <w:sz w:val="38"/>
          <w:szCs w:val="38"/>
          <w:rtl/>
          <w:lang w:val="en-GB" w:eastAsia="en-US"/>
        </w:rPr>
        <w:t xml:space="preserve"> ق118</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36"/>
          <w:szCs w:val="36"/>
          <w:rtl/>
          <w:lang w:val="en-GB" w:eastAsia="en-US"/>
        </w:rPr>
        <w:t>«</w:t>
      </w:r>
      <w:r w:rsidRPr="00EB5FFB">
        <w:rPr>
          <w:rFonts w:hint="cs"/>
          <w:sz w:val="36"/>
          <w:szCs w:val="36"/>
          <w:rtl/>
          <w:lang w:val="en-GB" w:eastAsia="en-US"/>
        </w:rPr>
        <w:t xml:space="preserve">الحيلةُ لدفعِ الضَّرَرِ عَنْ نفسِهِ جائزةٌ، وإنْ تضَرَّرَ </w:t>
      </w:r>
      <w:r w:rsidRPr="00EB5FFB">
        <w:rPr>
          <w:rFonts w:hint="cs"/>
          <w:b/>
          <w:bCs/>
          <w:sz w:val="36"/>
          <w:szCs w:val="36"/>
          <w:rtl/>
          <w:lang w:val="en-GB" w:eastAsia="en-US"/>
        </w:rPr>
        <w:t>الغيرُ</w:t>
      </w:r>
      <w:r w:rsidRPr="00EB5FFB">
        <w:rPr>
          <w:rFonts w:hint="cs"/>
          <w:sz w:val="36"/>
          <w:szCs w:val="36"/>
          <w:rtl/>
          <w:lang w:val="en-GB" w:eastAsia="en-US"/>
        </w:rPr>
        <w:t xml:space="preserve"> في ضِمْنِهِ</w:t>
      </w:r>
      <w:r w:rsidRPr="00EB5FFB">
        <w:rPr>
          <w:rFonts w:hint="eastAsia"/>
          <w:sz w:val="36"/>
          <w:szCs w:val="36"/>
          <w:rtl/>
          <w:lang w:val="en-GB" w:eastAsia="en-US"/>
        </w:rPr>
        <w:t>»</w:t>
      </w:r>
      <w:r w:rsidRPr="00EB5FFB">
        <w:rPr>
          <w:rFonts w:hint="cs"/>
          <w:sz w:val="36"/>
          <w:szCs w:val="36"/>
          <w:rtl/>
          <w:lang w:val="en-GB" w:eastAsia="en-US"/>
        </w:rPr>
        <w:t>.</w:t>
      </w:r>
    </w:p>
    <w:p w:rsidR="00EB5FFB" w:rsidRPr="00EB5FFB" w:rsidRDefault="00EB5FFB" w:rsidP="009A68A5">
      <w:pPr>
        <w:widowControl/>
        <w:ind w:left="567" w:firstLine="0"/>
        <w:jc w:val="both"/>
        <w:rPr>
          <w:sz w:val="38"/>
          <w:szCs w:val="38"/>
          <w:rtl/>
          <w:lang w:val="en-GB" w:eastAsia="en-US"/>
        </w:rPr>
      </w:pPr>
      <w:r w:rsidRPr="00EB5FFB">
        <w:rPr>
          <w:sz w:val="22"/>
          <w:szCs w:val="38"/>
          <w:rtl/>
          <w:lang w:eastAsia="en-US"/>
        </w:rPr>
        <w:t>•</w:t>
      </w:r>
      <w:r w:rsidRPr="00EB5FFB">
        <w:rPr>
          <w:rFonts w:hint="cs"/>
          <w:sz w:val="38"/>
          <w:szCs w:val="38"/>
          <w:rtl/>
          <w:lang w:val="en-GB" w:eastAsia="en-US"/>
        </w:rPr>
        <w:t xml:space="preserve"> قوله</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ولا يتجاوز إقرارهم إلى </w:t>
      </w:r>
      <w:r w:rsidRPr="00EB5FFB">
        <w:rPr>
          <w:rFonts w:hint="cs"/>
          <w:b/>
          <w:bCs/>
          <w:sz w:val="20"/>
          <w:szCs w:val="36"/>
          <w:rtl/>
          <w:lang w:val="en-GB" w:eastAsia="en-US"/>
        </w:rPr>
        <w:t>الغير</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0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38"/>
          <w:szCs w:val="38"/>
          <w:rtl/>
          <w:lang w:val="en-GB" w:eastAsia="en-US"/>
        </w:rPr>
        <w:t xml:space="preserve"> قوله</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لأن بيّنته قد قامت على إيقاع </w:t>
      </w:r>
      <w:r w:rsidRPr="00EB5FFB">
        <w:rPr>
          <w:rFonts w:hint="cs"/>
          <w:b/>
          <w:bCs/>
          <w:sz w:val="20"/>
          <w:szCs w:val="36"/>
          <w:rtl/>
          <w:lang w:val="en-GB" w:eastAsia="en-US"/>
        </w:rPr>
        <w:t>الغير</w:t>
      </w:r>
      <w:r w:rsidRPr="00EB5FFB">
        <w:rPr>
          <w:rFonts w:hint="cs"/>
          <w:sz w:val="20"/>
          <w:szCs w:val="36"/>
          <w:rtl/>
          <w:lang w:val="en-GB" w:eastAsia="en-US"/>
        </w:rPr>
        <w:t xml:space="preserve"> الفعل على أبيه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03"/>
      </w:r>
      <w:r w:rsidRPr="00EB5FFB">
        <w:rPr>
          <w:rFonts w:hint="cs"/>
          <w:sz w:val="20"/>
          <w:szCs w:val="36"/>
          <w:vertAlign w:val="superscript"/>
          <w:rtl/>
          <w:lang w:val="en-GB" w:eastAsia="en-US"/>
        </w:rPr>
        <w:t>)</w:t>
      </w:r>
      <w:r w:rsidRPr="00EB5FFB">
        <w:rPr>
          <w:rFonts w:hint="cs"/>
          <w:sz w:val="20"/>
          <w:szCs w:val="36"/>
          <w:rtl/>
          <w:lang w:val="en-GB" w:eastAsia="en-US"/>
        </w:rPr>
        <w:t>.</w:t>
      </w:r>
      <w:r w:rsidRPr="00EB5FFB">
        <w:rPr>
          <w:rFonts w:hint="cs"/>
          <w:sz w:val="38"/>
          <w:szCs w:val="38"/>
          <w:rtl/>
          <w:lang w:val="en-GB" w:eastAsia="en-US"/>
        </w:rPr>
        <w:t xml:space="preserve"> </w:t>
      </w:r>
      <w:r w:rsidRPr="00EB5FFB">
        <w:rPr>
          <w:rFonts w:hint="cs"/>
          <w:sz w:val="20"/>
          <w:szCs w:val="36"/>
          <w:rtl/>
          <w:lang w:val="en-GB" w:eastAsia="en-US"/>
        </w:rPr>
        <w:t xml:space="preserve"> </w:t>
      </w:r>
    </w:p>
    <w:p w:rsidR="00EB5FFB" w:rsidRPr="00EB5FFB" w:rsidRDefault="00EB5FFB" w:rsidP="009A68A5">
      <w:pPr>
        <w:widowControl/>
        <w:ind w:firstLine="567"/>
        <w:jc w:val="both"/>
        <w:rPr>
          <w:spacing w:val="-10"/>
          <w:sz w:val="34"/>
          <w:szCs w:val="34"/>
          <w:rtl/>
          <w:lang w:val="en-GB" w:eastAsia="en-US"/>
        </w:rPr>
      </w:pPr>
      <w:r w:rsidRPr="00EB5FFB">
        <w:rPr>
          <w:rFonts w:hint="cs"/>
          <w:b/>
          <w:bCs/>
          <w:spacing w:val="-10"/>
          <w:sz w:val="34"/>
          <w:szCs w:val="34"/>
          <w:rtl/>
          <w:lang w:val="en-GB" w:eastAsia="en-US"/>
        </w:rPr>
        <w:lastRenderedPageBreak/>
        <w:t>د -</w:t>
      </w:r>
      <w:r w:rsidRPr="00EB5FFB">
        <w:rPr>
          <w:rFonts w:hint="cs"/>
          <w:spacing w:val="-10"/>
          <w:sz w:val="34"/>
          <w:szCs w:val="34"/>
          <w:rtl/>
          <w:lang w:val="en-GB" w:eastAsia="en-US"/>
        </w:rPr>
        <w:t xml:space="preserve"> إتيانه -أحيانًا- بعلامة تدلّ على التثنية أو الجمع إذا أُسند الفعل إلى اسم ظاهر، مثنى أو مجموع.</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وهذه اللغة هي ما تُعرف عند النّحاة بلغة (أَكَلُوني البراغيث). وهي لغة فصيحة إلا أنها مخالفة للشائع الذي عليه جمهور العرب</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0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فمن أمثلة ذلك</w:t>
      </w:r>
      <w:r w:rsidR="0048366D">
        <w:rPr>
          <w:rFonts w:hint="cs"/>
          <w:b/>
          <w:b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 xml:space="preserve">قوله </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ويسمّونه</w:t>
      </w:r>
      <w:r w:rsidRPr="00EB5FFB">
        <w:rPr>
          <w:rFonts w:hint="cs"/>
          <w:sz w:val="20"/>
          <w:szCs w:val="36"/>
          <w:rtl/>
          <w:lang w:val="en-GB" w:eastAsia="en-US"/>
        </w:rPr>
        <w:t xml:space="preserve"> أصحاب الشافعي</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0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واضطربوا</w:t>
      </w:r>
      <w:r w:rsidRPr="00EB5FFB">
        <w:rPr>
          <w:rFonts w:hint="cs"/>
          <w:sz w:val="20"/>
          <w:szCs w:val="36"/>
          <w:rtl/>
          <w:lang w:val="en-GB" w:eastAsia="en-US"/>
        </w:rPr>
        <w:t xml:space="preserve"> الشراح في طلب الفائدة</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lang w:val="en-GB" w:eastAsia="en-US"/>
        </w:rPr>
        <w:footnoteReference w:id="30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فشهدا</w:t>
      </w:r>
      <w:r w:rsidRPr="00EB5FFB">
        <w:rPr>
          <w:rFonts w:hint="cs"/>
          <w:sz w:val="20"/>
          <w:szCs w:val="36"/>
          <w:rtl/>
          <w:lang w:val="en-GB" w:eastAsia="en-US"/>
        </w:rPr>
        <w:t xml:space="preserve"> آخران أنه المسمّى بهذا الاسم</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0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هـ</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وقوع (أو) بعد همزة التسوية في مواضع متفرّقة من الكتاب. </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وهذا خلاف الفصيح عند أهل اللغة؛ بل إن كثيرًا من أهل اللغة منعوا جوازه قياسًا، وعابوه على الفقهاء وغيرهم</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0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فمن أمثلة ذلك</w:t>
      </w:r>
      <w:r w:rsidR="0048366D">
        <w:rPr>
          <w:rFonts w:hint="cs"/>
          <w:b/>
          <w:bCs/>
          <w:sz w:val="20"/>
          <w:szCs w:val="36"/>
          <w:rtl/>
          <w:lang w:val="en-GB" w:eastAsia="en-US"/>
        </w:rPr>
        <w:t>:</w:t>
      </w:r>
    </w:p>
    <w:p w:rsidR="00EB5FFB" w:rsidRPr="00EB5FFB" w:rsidRDefault="00EB5FFB" w:rsidP="009A68A5">
      <w:pPr>
        <w:widowControl/>
        <w:ind w:left="567" w:firstLine="0"/>
        <w:jc w:val="both"/>
        <w:rPr>
          <w:spacing w:val="-6"/>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pacing w:val="-6"/>
          <w:sz w:val="34"/>
          <w:szCs w:val="34"/>
          <w:rtl/>
          <w:lang w:val="en-GB" w:eastAsia="en-US"/>
        </w:rPr>
        <w:t xml:space="preserve">قوله: </w:t>
      </w:r>
      <w:r w:rsidRPr="00EB5FFB">
        <w:rPr>
          <w:rFonts w:hint="eastAsia"/>
          <w:spacing w:val="-6"/>
          <w:sz w:val="34"/>
          <w:szCs w:val="34"/>
          <w:rtl/>
          <w:lang w:val="en-GB" w:eastAsia="en-US"/>
        </w:rPr>
        <w:t>«</w:t>
      </w:r>
      <w:r w:rsidRPr="00EB5FFB">
        <w:rPr>
          <w:rFonts w:hint="cs"/>
          <w:spacing w:val="-6"/>
          <w:sz w:val="34"/>
          <w:szCs w:val="34"/>
          <w:rtl/>
          <w:lang w:val="en-GB" w:eastAsia="en-US"/>
        </w:rPr>
        <w:t xml:space="preserve">... حنث بدخوله مطلقًا، </w:t>
      </w:r>
      <w:r w:rsidRPr="00EB5FFB">
        <w:rPr>
          <w:rFonts w:hint="cs"/>
          <w:b/>
          <w:bCs/>
          <w:spacing w:val="-6"/>
          <w:sz w:val="34"/>
          <w:szCs w:val="34"/>
          <w:rtl/>
          <w:lang w:val="en-GB" w:eastAsia="en-US"/>
        </w:rPr>
        <w:t>سواء</w:t>
      </w:r>
      <w:r w:rsidRPr="00EB5FFB">
        <w:rPr>
          <w:rFonts w:hint="cs"/>
          <w:spacing w:val="-6"/>
          <w:sz w:val="34"/>
          <w:szCs w:val="34"/>
          <w:rtl/>
          <w:lang w:val="en-GB" w:eastAsia="en-US"/>
        </w:rPr>
        <w:t xml:space="preserve"> دخل راكبًا </w:t>
      </w:r>
      <w:r w:rsidRPr="00EB5FFB">
        <w:rPr>
          <w:rFonts w:hint="cs"/>
          <w:b/>
          <w:bCs/>
          <w:spacing w:val="-6"/>
          <w:sz w:val="34"/>
          <w:szCs w:val="34"/>
          <w:rtl/>
          <w:lang w:val="en-GB" w:eastAsia="en-US"/>
        </w:rPr>
        <w:t>أو</w:t>
      </w:r>
      <w:r w:rsidRPr="00EB5FFB">
        <w:rPr>
          <w:rFonts w:hint="cs"/>
          <w:spacing w:val="-6"/>
          <w:sz w:val="34"/>
          <w:szCs w:val="34"/>
          <w:rtl/>
          <w:lang w:val="en-GB" w:eastAsia="en-US"/>
        </w:rPr>
        <w:t xml:space="preserve"> ماشيًا، حافيًا </w:t>
      </w:r>
      <w:r w:rsidRPr="00EB5FFB">
        <w:rPr>
          <w:rFonts w:hint="cs"/>
          <w:b/>
          <w:bCs/>
          <w:spacing w:val="-6"/>
          <w:sz w:val="34"/>
          <w:szCs w:val="34"/>
          <w:rtl/>
          <w:lang w:val="en-GB" w:eastAsia="en-US"/>
        </w:rPr>
        <w:t>أو</w:t>
      </w:r>
      <w:r w:rsidRPr="00EB5FFB">
        <w:rPr>
          <w:rFonts w:hint="cs"/>
          <w:spacing w:val="-6"/>
          <w:sz w:val="34"/>
          <w:szCs w:val="34"/>
          <w:rtl/>
          <w:lang w:val="en-GB" w:eastAsia="en-US"/>
        </w:rPr>
        <w:t xml:space="preserve"> متنعّلاً</w:t>
      </w:r>
      <w:r w:rsidRPr="00EB5FFB">
        <w:rPr>
          <w:rFonts w:hint="eastAsia"/>
          <w:spacing w:val="-6"/>
          <w:sz w:val="34"/>
          <w:szCs w:val="34"/>
          <w:rtl/>
          <w:lang w:val="en-GB" w:eastAsia="en-US"/>
        </w:rPr>
        <w:t>»</w:t>
      </w:r>
      <w:r w:rsidRPr="00EB5FFB">
        <w:rPr>
          <w:rFonts w:hint="cs"/>
          <w:spacing w:val="-6"/>
          <w:sz w:val="20"/>
          <w:szCs w:val="36"/>
          <w:vertAlign w:val="superscript"/>
          <w:rtl/>
          <w:lang w:val="en-GB" w:eastAsia="en-US"/>
        </w:rPr>
        <w:t>(</w:t>
      </w:r>
      <w:r w:rsidRPr="00EB5FFB">
        <w:rPr>
          <w:bCs/>
          <w:spacing w:val="-6"/>
          <w:sz w:val="20"/>
          <w:szCs w:val="32"/>
          <w:vertAlign w:val="superscript"/>
          <w:rtl/>
          <w:lang w:val="en-GB" w:eastAsia="en-US"/>
        </w:rPr>
        <w:footnoteReference w:id="309"/>
      </w:r>
      <w:r w:rsidRPr="00EB5FFB">
        <w:rPr>
          <w:rFonts w:hint="cs"/>
          <w:spacing w:val="-6"/>
          <w:sz w:val="20"/>
          <w:szCs w:val="36"/>
          <w:vertAlign w:val="superscript"/>
          <w:rtl/>
          <w:lang w:val="en-GB" w:eastAsia="en-US"/>
        </w:rPr>
        <w:t>)</w:t>
      </w:r>
      <w:r w:rsidRPr="00EB5FFB">
        <w:rPr>
          <w:rFonts w:hint="cs"/>
          <w:spacing w:val="-6"/>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سواء</w:t>
      </w:r>
      <w:r w:rsidRPr="00EB5FFB">
        <w:rPr>
          <w:rFonts w:hint="cs"/>
          <w:sz w:val="20"/>
          <w:szCs w:val="36"/>
          <w:rtl/>
          <w:lang w:val="en-GB" w:eastAsia="en-US"/>
        </w:rPr>
        <w:t xml:space="preserve"> كان بالولاية </w:t>
      </w:r>
      <w:r w:rsidRPr="00EB5FFB">
        <w:rPr>
          <w:rFonts w:hint="cs"/>
          <w:b/>
          <w:bCs/>
          <w:sz w:val="20"/>
          <w:szCs w:val="36"/>
          <w:rtl/>
          <w:lang w:val="en-GB" w:eastAsia="en-US"/>
        </w:rPr>
        <w:t>أو</w:t>
      </w:r>
      <w:r w:rsidRPr="00EB5FFB">
        <w:rPr>
          <w:rFonts w:hint="cs"/>
          <w:sz w:val="20"/>
          <w:szCs w:val="36"/>
          <w:rtl/>
          <w:lang w:val="en-GB" w:eastAsia="en-US"/>
        </w:rPr>
        <w:t xml:space="preserve"> بالإرث</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سواءً</w:t>
      </w:r>
      <w:r w:rsidRPr="00EB5FFB">
        <w:rPr>
          <w:rFonts w:hint="cs"/>
          <w:sz w:val="20"/>
          <w:szCs w:val="36"/>
          <w:rtl/>
          <w:lang w:val="en-GB" w:eastAsia="en-US"/>
        </w:rPr>
        <w:t xml:space="preserve"> كان تصرّفًا لا يحتمل النقض - كالإعتاق والتدبير - أو يحتمل - كالبيع والهبة -</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و-</w:t>
      </w:r>
      <w:r w:rsidRPr="00EB5FFB">
        <w:rPr>
          <w:rFonts w:hint="cs"/>
          <w:sz w:val="20"/>
          <w:szCs w:val="36"/>
          <w:rtl/>
          <w:lang w:val="en-GB" w:eastAsia="en-US"/>
        </w:rPr>
        <w:t xml:space="preserve"> إيراده -أحيانًا- لِـ (أم) بعد (هل).</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lastRenderedPageBreak/>
        <w:t xml:space="preserve">وهذا لم يرتضه كثيرٌ من أهل اللغة؛ لأن معنى (أم) مع الاستفهام هو تعيين أحد الشيئين أو الأشياء وتصوّره، وهذا لا يحصل بـ (هل)؛ لأنها </w:t>
      </w:r>
      <w:r w:rsidRPr="00EB5FFB">
        <w:rPr>
          <w:sz w:val="20"/>
          <w:szCs w:val="36"/>
          <w:rtl/>
          <w:lang w:val="en-GB" w:eastAsia="en-US"/>
        </w:rPr>
        <w:t>–</w:t>
      </w:r>
      <w:r w:rsidRPr="00EB5FFB">
        <w:rPr>
          <w:rFonts w:hint="cs"/>
          <w:sz w:val="20"/>
          <w:szCs w:val="36"/>
          <w:rtl/>
          <w:lang w:val="en-GB" w:eastAsia="en-US"/>
        </w:rPr>
        <w:t xml:space="preserve"> كما يقول ابن هشام -</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حرف موضوع لطلب التّصديق الإيجابي، دون التصوّر، ودون التصديق السّلبي</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pacing w:val="-6"/>
          <w:sz w:val="20"/>
          <w:szCs w:val="36"/>
          <w:rtl/>
          <w:lang w:val="en-GB" w:eastAsia="en-US"/>
        </w:rPr>
      </w:pPr>
      <w:r w:rsidRPr="00EB5FFB">
        <w:rPr>
          <w:rFonts w:hint="cs"/>
          <w:spacing w:val="-10"/>
          <w:sz w:val="34"/>
          <w:szCs w:val="34"/>
          <w:rtl/>
          <w:lang w:val="en-GB" w:eastAsia="en-US"/>
        </w:rPr>
        <w:t xml:space="preserve">والذي يمكن أن يُطلب به التصور هو (الهمزة)؛ فناسب مجئ (أم) بعدها؛ فإن (الهمزة) </w:t>
      </w:r>
      <w:r w:rsidRPr="00EB5FFB">
        <w:rPr>
          <w:spacing w:val="-10"/>
          <w:sz w:val="34"/>
          <w:szCs w:val="34"/>
          <w:rtl/>
          <w:lang w:val="en-GB" w:eastAsia="en-US"/>
        </w:rPr>
        <w:t>–</w:t>
      </w:r>
      <w:r w:rsidRPr="00EB5FFB">
        <w:rPr>
          <w:rFonts w:hint="cs"/>
          <w:spacing w:val="-10"/>
          <w:sz w:val="34"/>
          <w:szCs w:val="34"/>
          <w:rtl/>
          <w:lang w:val="en-GB" w:eastAsia="en-US"/>
        </w:rPr>
        <w:t xml:space="preserve"> كما يقول ابن هشام</w:t>
      </w:r>
      <w:r w:rsidR="0048366D">
        <w:rPr>
          <w:rFonts w:hint="cs"/>
          <w:spacing w:val="-10"/>
          <w:sz w:val="34"/>
          <w:szCs w:val="34"/>
          <w:rtl/>
          <w:lang w:val="en-GB" w:eastAsia="en-US"/>
        </w:rPr>
        <w:t>:</w:t>
      </w:r>
      <w:r w:rsidRPr="00EB5FFB">
        <w:rPr>
          <w:rFonts w:hint="cs"/>
          <w:spacing w:val="-10"/>
          <w:sz w:val="34"/>
          <w:szCs w:val="34"/>
          <w:rtl/>
          <w:lang w:val="en-GB" w:eastAsia="en-US"/>
        </w:rPr>
        <w:t xml:space="preserve"> </w:t>
      </w:r>
      <w:r w:rsidRPr="00EB5FFB">
        <w:rPr>
          <w:rFonts w:hint="eastAsia"/>
          <w:spacing w:val="-10"/>
          <w:sz w:val="34"/>
          <w:szCs w:val="34"/>
          <w:rtl/>
          <w:lang w:val="en-GB" w:eastAsia="en-US"/>
        </w:rPr>
        <w:t>«</w:t>
      </w:r>
      <w:r w:rsidRPr="00EB5FFB">
        <w:rPr>
          <w:rFonts w:hint="cs"/>
          <w:spacing w:val="-10"/>
          <w:sz w:val="34"/>
          <w:szCs w:val="34"/>
          <w:rtl/>
          <w:lang w:val="en-GB" w:eastAsia="en-US"/>
        </w:rPr>
        <w:t>ترد لطلب التصوّر، نحو</w:t>
      </w:r>
      <w:r w:rsidR="0048366D">
        <w:rPr>
          <w:rFonts w:hint="cs"/>
          <w:spacing w:val="-10"/>
          <w:sz w:val="34"/>
          <w:szCs w:val="34"/>
          <w:rtl/>
          <w:lang w:val="en-GB" w:eastAsia="en-US"/>
        </w:rPr>
        <w:t>:</w:t>
      </w:r>
      <w:r w:rsidRPr="00EB5FFB">
        <w:rPr>
          <w:rFonts w:hint="cs"/>
          <w:spacing w:val="-10"/>
          <w:sz w:val="34"/>
          <w:szCs w:val="34"/>
          <w:rtl/>
          <w:lang w:val="en-GB" w:eastAsia="en-US"/>
        </w:rPr>
        <w:t xml:space="preserve"> أزيد قائم أم عمرو؟. ولطلب التصديق نحو</w:t>
      </w:r>
      <w:r w:rsidR="0048366D">
        <w:rPr>
          <w:rFonts w:hint="cs"/>
          <w:spacing w:val="-10"/>
          <w:sz w:val="34"/>
          <w:szCs w:val="34"/>
          <w:rtl/>
          <w:lang w:val="en-GB" w:eastAsia="en-US"/>
        </w:rPr>
        <w:t>:</w:t>
      </w:r>
      <w:r w:rsidRPr="00EB5FFB">
        <w:rPr>
          <w:rFonts w:hint="cs"/>
          <w:spacing w:val="-10"/>
          <w:sz w:val="34"/>
          <w:szCs w:val="34"/>
          <w:rtl/>
          <w:lang w:val="en-GB" w:eastAsia="en-US"/>
        </w:rPr>
        <w:t xml:space="preserve"> أزيد قائم؟</w:t>
      </w:r>
      <w:r w:rsidRPr="00EB5FFB">
        <w:rPr>
          <w:rFonts w:hint="eastAsia"/>
          <w:spacing w:val="-10"/>
          <w:sz w:val="34"/>
          <w:szCs w:val="34"/>
          <w:rtl/>
          <w:lang w:val="en-GB" w:eastAsia="en-US"/>
        </w:rPr>
        <w:t>»</w:t>
      </w:r>
      <w:r w:rsidRPr="00EB5FFB">
        <w:rPr>
          <w:rFonts w:hint="cs"/>
          <w:spacing w:val="-6"/>
          <w:sz w:val="20"/>
          <w:szCs w:val="36"/>
          <w:vertAlign w:val="superscript"/>
          <w:rtl/>
          <w:lang w:val="en-GB" w:eastAsia="en-US"/>
        </w:rPr>
        <w:t>(</w:t>
      </w:r>
      <w:r w:rsidRPr="00EB5FFB">
        <w:rPr>
          <w:bCs/>
          <w:spacing w:val="-6"/>
          <w:sz w:val="20"/>
          <w:szCs w:val="32"/>
          <w:vertAlign w:val="superscript"/>
          <w:rtl/>
          <w:lang w:val="en-GB" w:eastAsia="en-US"/>
        </w:rPr>
        <w:footnoteReference w:id="313"/>
      </w:r>
      <w:r w:rsidRPr="00EB5FFB">
        <w:rPr>
          <w:rFonts w:hint="cs"/>
          <w:spacing w:val="-6"/>
          <w:sz w:val="20"/>
          <w:szCs w:val="36"/>
          <w:vertAlign w:val="superscript"/>
          <w:rtl/>
          <w:lang w:val="en-GB" w:eastAsia="en-US"/>
        </w:rPr>
        <w:t>)</w:t>
      </w:r>
      <w:r w:rsidRPr="00EB5FFB">
        <w:rPr>
          <w:rFonts w:hint="cs"/>
          <w:spacing w:val="-6"/>
          <w:sz w:val="20"/>
          <w:szCs w:val="36"/>
          <w:rtl/>
          <w:lang w:val="en-GB" w:eastAsia="en-US"/>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rPr>
        <w:t>فمن أمثلة ورود (أم) بعد (هل)</w:t>
      </w:r>
      <w:r w:rsidR="0048366D">
        <w:rPr>
          <w:rFonts w:hint="cs"/>
          <w:b/>
          <w:bCs/>
          <w:sz w:val="20"/>
          <w:szCs w:val="36"/>
          <w:rtl/>
          <w:lang w:val="en-GB" w:eastAsia="en-US"/>
        </w:rPr>
        <w:t>:</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هل</w:t>
      </w:r>
      <w:r w:rsidRPr="00EB5FFB">
        <w:rPr>
          <w:rFonts w:hint="cs"/>
          <w:sz w:val="20"/>
          <w:szCs w:val="36"/>
          <w:rtl/>
          <w:lang w:val="en-GB" w:eastAsia="en-US"/>
        </w:rPr>
        <w:t xml:space="preserve"> تُقبل بيّنته </w:t>
      </w:r>
      <w:r w:rsidRPr="00EB5FFB">
        <w:rPr>
          <w:rFonts w:hint="cs"/>
          <w:b/>
          <w:bCs/>
          <w:sz w:val="20"/>
          <w:szCs w:val="36"/>
          <w:rtl/>
          <w:lang w:val="en-GB" w:eastAsia="en-US"/>
        </w:rPr>
        <w:t>أم</w:t>
      </w:r>
      <w:r w:rsidRPr="00EB5FFB">
        <w:rPr>
          <w:rFonts w:hint="cs"/>
          <w:sz w:val="20"/>
          <w:szCs w:val="36"/>
          <w:rtl/>
          <w:lang w:val="en-GB" w:eastAsia="en-US"/>
        </w:rPr>
        <w:t xml:space="preserve"> لا</w:t>
      </w:r>
      <w:r w:rsidR="0048366D">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1133" w:hanging="206"/>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وإذا قضى لهما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فهل</w:t>
      </w:r>
      <w:r w:rsidRPr="00EB5FFB">
        <w:rPr>
          <w:rFonts w:hint="cs"/>
          <w:sz w:val="20"/>
          <w:szCs w:val="36"/>
          <w:rtl/>
          <w:lang w:val="en-GB" w:eastAsia="en-US"/>
        </w:rPr>
        <w:t xml:space="preserve"> يؤخذ منها حصّة الغائب </w:t>
      </w:r>
      <w:r w:rsidRPr="00EB5FFB">
        <w:rPr>
          <w:rFonts w:hint="cs"/>
          <w:b/>
          <w:bCs/>
          <w:sz w:val="20"/>
          <w:szCs w:val="36"/>
          <w:rtl/>
          <w:lang w:val="en-GB" w:eastAsia="en-US"/>
        </w:rPr>
        <w:t>أم</w:t>
      </w:r>
      <w:r w:rsidRPr="00EB5FFB">
        <w:rPr>
          <w:rFonts w:hint="cs"/>
          <w:sz w:val="20"/>
          <w:szCs w:val="36"/>
          <w:rtl/>
          <w:lang w:val="en-GB" w:eastAsia="en-US"/>
        </w:rPr>
        <w:t xml:space="preserve"> يترك في يد المدّعى عليه؟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...مبني على أنّ العشرة</w:t>
      </w:r>
      <w:r w:rsidR="0048366D">
        <w:rPr>
          <w:rFonts w:hint="cs"/>
          <w:sz w:val="20"/>
          <w:szCs w:val="36"/>
          <w:rtl/>
          <w:lang w:val="en-GB" w:eastAsia="en-US"/>
        </w:rPr>
        <w:t>:</w:t>
      </w:r>
      <w:r w:rsidRPr="00EB5FFB">
        <w:rPr>
          <w:rFonts w:hint="cs"/>
          <w:b/>
          <w:bCs/>
          <w:sz w:val="20"/>
          <w:szCs w:val="36"/>
          <w:rtl/>
          <w:lang w:val="en-GB" w:eastAsia="en-US"/>
        </w:rPr>
        <w:t>هل</w:t>
      </w:r>
      <w:r w:rsidRPr="00EB5FFB">
        <w:rPr>
          <w:rFonts w:hint="cs"/>
          <w:sz w:val="20"/>
          <w:szCs w:val="36"/>
          <w:rtl/>
          <w:lang w:val="en-GB" w:eastAsia="en-US"/>
        </w:rPr>
        <w:t xml:space="preserve"> تكون ظرفًا للواحد عادة </w:t>
      </w:r>
      <w:r w:rsidRPr="00EB5FFB">
        <w:rPr>
          <w:rFonts w:hint="cs"/>
          <w:b/>
          <w:bCs/>
          <w:sz w:val="20"/>
          <w:szCs w:val="36"/>
          <w:rtl/>
          <w:lang w:val="en-GB" w:eastAsia="en-US"/>
        </w:rPr>
        <w:t>أم</w:t>
      </w:r>
      <w:r w:rsidRPr="00EB5FFB">
        <w:rPr>
          <w:rFonts w:hint="cs"/>
          <w:sz w:val="20"/>
          <w:szCs w:val="36"/>
          <w:rtl/>
          <w:lang w:val="en-GB" w:eastAsia="en-US"/>
        </w:rPr>
        <w:t xml:space="preserve"> لا؟</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ز-</w:t>
      </w:r>
      <w:r w:rsidRPr="00EB5FFB">
        <w:rPr>
          <w:rFonts w:hint="cs"/>
          <w:sz w:val="20"/>
          <w:szCs w:val="36"/>
          <w:rtl/>
          <w:lang w:val="en-GB" w:eastAsia="en-US"/>
        </w:rPr>
        <w:t xml:space="preserve"> استعماله إحدى اللغات النادرة في كلمة (أب)، وهي لغة النقص. والمشهور في (أب) و(أخ) و(حم) هو أن تكون بالواو والألف والياء</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وقد ورد ذلك في موضعين هما</w:t>
      </w:r>
      <w:r w:rsidR="0048366D">
        <w:rPr>
          <w:rFonts w:hint="cs"/>
          <w:sz w:val="20"/>
          <w:szCs w:val="36"/>
          <w:rtl/>
          <w:lang w:val="en-GB" w:eastAsia="en-US"/>
        </w:rPr>
        <w:t>:</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سعد الدنيا به كما سعد </w:t>
      </w:r>
      <w:r w:rsidRPr="00EB5FFB">
        <w:rPr>
          <w:rFonts w:hint="cs"/>
          <w:b/>
          <w:bCs/>
          <w:sz w:val="20"/>
          <w:szCs w:val="36"/>
          <w:rtl/>
          <w:lang w:val="en-GB" w:eastAsia="en-US"/>
        </w:rPr>
        <w:t>بأبه</w:t>
      </w:r>
      <w:r w:rsidRPr="00EB5FFB">
        <w:rPr>
          <w:rFonts w:hint="cs"/>
          <w:sz w:val="20"/>
          <w:szCs w:val="36"/>
          <w:rtl/>
          <w:lang w:val="en-GB" w:eastAsia="en-US"/>
        </w:rPr>
        <w:t xml:space="preserve"> الأمجد</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0"/>
          <w:szCs w:val="36"/>
          <w:rtl/>
          <w:lang w:val="en-GB" w:eastAsia="en-US"/>
        </w:rPr>
        <w:t xml:space="preserve"> وقوله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ولذا</w:t>
      </w:r>
      <w:r w:rsidR="0048366D">
        <w:rPr>
          <w:rFonts w:hint="cs"/>
          <w:sz w:val="20"/>
          <w:szCs w:val="36"/>
          <w:rtl/>
          <w:lang w:val="en-GB" w:eastAsia="en-US"/>
        </w:rPr>
        <w:t>:</w:t>
      </w:r>
      <w:r w:rsidRPr="00EB5FFB">
        <w:rPr>
          <w:rFonts w:hint="cs"/>
          <w:sz w:val="20"/>
          <w:szCs w:val="36"/>
          <w:rtl/>
          <w:lang w:val="en-GB" w:eastAsia="en-US"/>
        </w:rPr>
        <w:t xml:space="preserve"> لا يملك </w:t>
      </w:r>
      <w:r w:rsidRPr="00EB5FFB">
        <w:rPr>
          <w:rFonts w:hint="cs"/>
          <w:b/>
          <w:bCs/>
          <w:sz w:val="20"/>
          <w:szCs w:val="36"/>
          <w:rtl/>
          <w:lang w:val="en-GB" w:eastAsia="en-US"/>
        </w:rPr>
        <w:t>أب</w:t>
      </w:r>
      <w:r w:rsidRPr="00EB5FFB">
        <w:rPr>
          <w:rFonts w:hint="cs"/>
          <w:sz w:val="20"/>
          <w:szCs w:val="36"/>
          <w:rtl/>
          <w:lang w:val="en-GB" w:eastAsia="en-US"/>
        </w:rPr>
        <w:t xml:space="preserve"> المعتوه العفو بقتل ولي المعتوه</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1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lastRenderedPageBreak/>
        <w:t xml:space="preserve">ح </w:t>
      </w:r>
      <w:r w:rsidRPr="00EB5FFB">
        <w:rPr>
          <w:sz w:val="20"/>
          <w:szCs w:val="36"/>
          <w:rtl/>
          <w:lang w:val="en-GB" w:eastAsia="en-US"/>
        </w:rPr>
        <w:t>–</w:t>
      </w:r>
      <w:r w:rsidRPr="00EB5FFB">
        <w:rPr>
          <w:rFonts w:hint="cs"/>
          <w:sz w:val="20"/>
          <w:szCs w:val="36"/>
          <w:rtl/>
          <w:lang w:val="en-GB" w:eastAsia="en-US"/>
        </w:rPr>
        <w:t xml:space="preserve"> وهناك مآخذ لغوية أخرى متفرقة، تمّ التّعليق عليها في حينها. ويمكن الإشارة إلى أهمها، على النحو الآتي</w:t>
      </w:r>
      <w:r w:rsidR="0048366D">
        <w:rPr>
          <w:rFonts w:hint="cs"/>
          <w:sz w:val="20"/>
          <w:szCs w:val="36"/>
          <w:rtl/>
          <w:lang w:val="en-GB" w:eastAsia="en-US"/>
        </w:rPr>
        <w:t>:</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أما</w:t>
      </w:r>
      <w:r w:rsidRPr="00EB5FFB">
        <w:rPr>
          <w:rFonts w:hint="cs"/>
          <w:sz w:val="20"/>
          <w:szCs w:val="36"/>
          <w:rtl/>
          <w:lang w:val="en-GB" w:eastAsia="en-US"/>
        </w:rPr>
        <w:t xml:space="preserve"> بعد</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يقول</w:t>
      </w:r>
      <w:r w:rsidRPr="00EB5FFB">
        <w:rPr>
          <w:rFonts w:hint="cs"/>
          <w:sz w:val="20"/>
          <w:szCs w:val="36"/>
          <w:rtl/>
          <w:lang w:val="en-GB" w:eastAsia="en-US"/>
        </w:rPr>
        <w:t xml:space="preserve"> العبد الضعيف</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pacing w:val="8"/>
          <w:sz w:val="20"/>
          <w:szCs w:val="36"/>
          <w:rtl/>
          <w:lang w:val="en-GB" w:eastAsia="en-US"/>
        </w:rPr>
      </w:pPr>
      <w:r w:rsidRPr="00EB5FFB">
        <w:rPr>
          <w:rFonts w:hint="cs"/>
          <w:spacing w:val="8"/>
          <w:sz w:val="20"/>
          <w:szCs w:val="36"/>
          <w:rtl/>
          <w:lang w:val="en-GB" w:eastAsia="en-US"/>
        </w:rPr>
        <w:t>- فتلحَظُ أنه حذف الفاء في جـواب أمّـا، وهذا خلاف المشهور عند أهل اللغة.</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لمّا</w:t>
      </w:r>
      <w:r w:rsidRPr="00EB5FFB">
        <w:rPr>
          <w:rFonts w:hint="cs"/>
          <w:sz w:val="20"/>
          <w:szCs w:val="36"/>
          <w:rtl/>
          <w:lang w:val="en-GB" w:eastAsia="en-US"/>
        </w:rPr>
        <w:t xml:space="preserve"> أُذنتُ بالإفتاء</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فتصفّحتُ</w:t>
      </w:r>
      <w:r w:rsidRPr="00EB5FFB">
        <w:rPr>
          <w:rFonts w:hint="cs"/>
          <w:sz w:val="20"/>
          <w:szCs w:val="36"/>
          <w:rtl/>
          <w:lang w:val="en-GB" w:eastAsia="en-US"/>
        </w:rPr>
        <w:t xml:space="preserve"> كتب الأئمة المهتدين</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فالفعل الماضي (فتصفحت) وقع جوابًا لِـ (لمّا) التعليقية، مقترنًا بالفاء، واقترانه بالفاء لم يرتضه كثير من أهل اللغة كأبي حيان وغيره.</w:t>
      </w:r>
    </w:p>
    <w:p w:rsidR="00EB5FFB" w:rsidRPr="00EB5FFB" w:rsidRDefault="00EB5FFB" w:rsidP="009A68A5">
      <w:pPr>
        <w:widowControl/>
        <w:ind w:left="1133" w:hanging="206"/>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وتقريره</w:t>
      </w:r>
      <w:r w:rsidR="0048366D">
        <w:rPr>
          <w:rFonts w:hint="cs"/>
          <w:sz w:val="20"/>
          <w:szCs w:val="36"/>
          <w:rtl/>
          <w:lang w:val="en-GB" w:eastAsia="en-US"/>
        </w:rPr>
        <w:t>:</w:t>
      </w:r>
      <w:r w:rsidRPr="00EB5FFB">
        <w:rPr>
          <w:rFonts w:hint="cs"/>
          <w:sz w:val="20"/>
          <w:szCs w:val="36"/>
          <w:rtl/>
          <w:lang w:val="en-GB" w:eastAsia="en-US"/>
        </w:rPr>
        <w:t xml:space="preserve"> أنَّ كثيرًا من العلماء ذهبوا </w:t>
      </w:r>
      <w:r w:rsidRPr="00EB5FFB">
        <w:rPr>
          <w:rFonts w:hint="cs"/>
          <w:b/>
          <w:bCs/>
          <w:sz w:val="20"/>
          <w:szCs w:val="36"/>
          <w:rtl/>
          <w:lang w:val="en-GB" w:eastAsia="en-US"/>
        </w:rPr>
        <w:t>على</w:t>
      </w:r>
      <w:r w:rsidRPr="00EB5FFB">
        <w:rPr>
          <w:rFonts w:hint="cs"/>
          <w:sz w:val="20"/>
          <w:szCs w:val="36"/>
          <w:rtl/>
          <w:lang w:val="en-GB" w:eastAsia="en-US"/>
        </w:rPr>
        <w:t xml:space="preserve"> أنّ الاختلاف السابق يمنع الإجماع اللاحق</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فالسياق يدلّ على أنّ معنى (على)</w:t>
      </w:r>
      <w:r w:rsidR="0048366D">
        <w:rPr>
          <w:rFonts w:hint="cs"/>
          <w:sz w:val="20"/>
          <w:szCs w:val="36"/>
          <w:rtl/>
          <w:lang w:val="en-GB" w:eastAsia="en-US"/>
        </w:rPr>
        <w:t>:</w:t>
      </w:r>
      <w:r w:rsidRPr="00EB5FFB">
        <w:rPr>
          <w:rFonts w:hint="cs"/>
          <w:sz w:val="20"/>
          <w:szCs w:val="36"/>
          <w:rtl/>
          <w:lang w:val="en-GB" w:eastAsia="en-US"/>
        </w:rPr>
        <w:t xml:space="preserve"> انتهاء الغاية، وحرف الجرّ الذي يدل على هذا المعنى حقيقة هو (إلى)، وليس (على).</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أقول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هاتين</w:t>
      </w:r>
      <w:r w:rsidRPr="00EB5FFB">
        <w:rPr>
          <w:rFonts w:hint="cs"/>
          <w:sz w:val="20"/>
          <w:szCs w:val="36"/>
          <w:rtl/>
          <w:lang w:val="en-GB" w:eastAsia="en-US"/>
        </w:rPr>
        <w:t xml:space="preserve"> المسألتين ليستا من هذا الأصل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فَنَصْبُ (هاتين) بالفعل (أقول) خلاف المشهور الذي عليه عامة العرب؛ لأن القول شأنه إذا وقعت بعده جملة أن تُحكى وتكون جميعها في محل نصب على المفعولية. ولم يجر (القول) مجرى (الظن) في نصب المفعولين مطلقًا إلا على لغة (سليم) فقط.</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 مع كونه </w:t>
      </w:r>
      <w:r w:rsidRPr="00EB5FFB">
        <w:rPr>
          <w:rFonts w:hint="cs"/>
          <w:b/>
          <w:bCs/>
          <w:sz w:val="20"/>
          <w:szCs w:val="36"/>
          <w:rtl/>
          <w:lang w:val="en-GB" w:eastAsia="en-US"/>
        </w:rPr>
        <w:t>مسلّم</w:t>
      </w:r>
      <w:r w:rsidRPr="00EB5FFB">
        <w:rPr>
          <w:rFonts w:hint="cs"/>
          <w:sz w:val="20"/>
          <w:szCs w:val="36"/>
          <w:rtl/>
          <w:lang w:val="en-GB" w:eastAsia="en-US"/>
        </w:rPr>
        <w:t xml:space="preserve"> بين القوم</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فَـ (مسلّم) خبر (كون)، فكان حقه النصب (مسلّمًا).</w:t>
      </w:r>
    </w:p>
    <w:p w:rsidR="00EB5FFB" w:rsidRPr="00EB5FFB" w:rsidRDefault="00EB5FFB" w:rsidP="009A68A5">
      <w:pPr>
        <w:widowControl/>
        <w:ind w:left="1133" w:hanging="206"/>
        <w:jc w:val="both"/>
        <w:rPr>
          <w:sz w:val="20"/>
          <w:szCs w:val="36"/>
          <w:rtl/>
          <w:lang w:val="en-GB" w:eastAsia="en-US"/>
        </w:rPr>
      </w:pPr>
      <w:r w:rsidRPr="00EB5FFB">
        <w:rPr>
          <w:sz w:val="22"/>
          <w:szCs w:val="38"/>
          <w:rtl/>
          <w:lang w:eastAsia="en-US"/>
        </w:rPr>
        <w:lastRenderedPageBreak/>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لأنّهما [أي</w:t>
      </w:r>
      <w:r w:rsidR="0048366D">
        <w:rPr>
          <w:rFonts w:hint="cs"/>
          <w:sz w:val="20"/>
          <w:szCs w:val="36"/>
          <w:rtl/>
          <w:lang w:val="en-GB" w:eastAsia="en-US"/>
        </w:rPr>
        <w:t>:</w:t>
      </w:r>
      <w:r w:rsidRPr="00EB5FFB">
        <w:rPr>
          <w:rFonts w:hint="cs"/>
          <w:sz w:val="20"/>
          <w:szCs w:val="36"/>
          <w:rtl/>
          <w:lang w:val="en-GB" w:eastAsia="en-US"/>
        </w:rPr>
        <w:t xml:space="preserve"> الألف واللام] آلة التعريف؛ ولهذا لا يُجمع مع التنوين </w:t>
      </w:r>
      <w:r w:rsidRPr="00EB5FFB">
        <w:rPr>
          <w:rFonts w:hint="cs"/>
          <w:b/>
          <w:bCs/>
          <w:sz w:val="20"/>
          <w:szCs w:val="36"/>
          <w:rtl/>
          <w:lang w:val="en-GB" w:eastAsia="en-US"/>
        </w:rPr>
        <w:t>الذي هو للتنكير</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فتخصيص التنوين الذي لا يجتمع مع (أل) بتنوين التنكير فيه تساهل؛ لأن أنواع التنوين الأخر لا تجتمع مع (أل) أيضًا.</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واعلم أنّ في قول أبي حنيفة </w:t>
      </w:r>
      <w:r w:rsidRPr="00EB5FFB">
        <w:rPr>
          <w:rFonts w:hint="cs"/>
          <w:b/>
          <w:bCs/>
          <w:sz w:val="20"/>
          <w:szCs w:val="36"/>
          <w:rtl/>
          <w:lang w:val="en-GB" w:eastAsia="en-US"/>
        </w:rPr>
        <w:t>بحث</w:t>
      </w:r>
      <w:r w:rsidRPr="00EB5FFB">
        <w:rPr>
          <w:rFonts w:hint="cs"/>
          <w:sz w:val="20"/>
          <w:szCs w:val="36"/>
          <w:rtl/>
          <w:lang w:val="en-GB" w:eastAsia="en-US"/>
        </w:rPr>
        <w:t>، فإنه قال</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فـ (بحث) لم يتم نصبُها، على الرغم من كونها اسم (أنّ)</w:t>
      </w:r>
      <w:r w:rsidR="0048366D">
        <w:rPr>
          <w:rFonts w:hint="cs"/>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لأنه يجب التربّص </w:t>
      </w:r>
      <w:r w:rsidRPr="00EB5FFB">
        <w:rPr>
          <w:rFonts w:hint="cs"/>
          <w:b/>
          <w:bCs/>
          <w:sz w:val="20"/>
          <w:szCs w:val="36"/>
          <w:rtl/>
          <w:lang w:val="en-GB" w:eastAsia="en-US"/>
        </w:rPr>
        <w:t>بثلاث</w:t>
      </w:r>
      <w:r w:rsidRPr="00EB5FFB">
        <w:rPr>
          <w:rFonts w:hint="cs"/>
          <w:sz w:val="20"/>
          <w:szCs w:val="36"/>
          <w:rtl/>
          <w:lang w:val="en-GB" w:eastAsia="en-US"/>
        </w:rPr>
        <w:t xml:space="preserve"> قروء كوامل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pacing w:val="-6"/>
          <w:sz w:val="20"/>
          <w:szCs w:val="36"/>
          <w:rtl/>
          <w:lang w:val="en-GB" w:eastAsia="en-US"/>
        </w:rPr>
      </w:pPr>
      <w:r w:rsidRPr="00EB5FFB">
        <w:rPr>
          <w:rFonts w:hint="cs"/>
          <w:spacing w:val="-6"/>
          <w:sz w:val="20"/>
          <w:szCs w:val="36"/>
          <w:rtl/>
          <w:lang w:val="en-GB" w:eastAsia="en-US"/>
        </w:rPr>
        <w:t>- فكلمة (ثلاث) لم يتم تأنيثها، مع أن معدودها جمع تكسير لكلمة مذكّرة وهي (قرء)، والأعداد من (ثلاثة) إلى (تسعة) تخالف المعدود في التذكير والتأنيث!.</w:t>
      </w:r>
    </w:p>
    <w:p w:rsidR="00EB5FFB" w:rsidRPr="00EB5FFB" w:rsidRDefault="00EB5FFB" w:rsidP="009A68A5">
      <w:pPr>
        <w:widowControl/>
        <w:ind w:left="927" w:firstLine="0"/>
        <w:jc w:val="both"/>
        <w:rPr>
          <w:spacing w:val="-6"/>
          <w:sz w:val="20"/>
          <w:szCs w:val="36"/>
          <w:rtl/>
          <w:lang w:val="en-GB" w:eastAsia="en-US"/>
        </w:rPr>
      </w:pPr>
      <w:r w:rsidRPr="00EB5FFB">
        <w:rPr>
          <w:sz w:val="22"/>
          <w:szCs w:val="38"/>
          <w:rtl/>
          <w:lang w:eastAsia="en-US"/>
        </w:rPr>
        <w:t>•</w:t>
      </w:r>
      <w:r w:rsidRPr="00EB5FFB">
        <w:rPr>
          <w:rFonts w:hint="cs"/>
          <w:spacing w:val="-6"/>
          <w:sz w:val="20"/>
          <w:szCs w:val="36"/>
          <w:rtl/>
          <w:lang w:val="en-GB" w:eastAsia="en-US"/>
        </w:rPr>
        <w:t xml:space="preserve"> قوله:</w:t>
      </w:r>
      <w:r w:rsidRPr="00EB5FFB">
        <w:rPr>
          <w:rFonts w:hint="eastAsia"/>
          <w:spacing w:val="-6"/>
          <w:sz w:val="20"/>
          <w:szCs w:val="36"/>
          <w:rtl/>
          <w:lang w:val="en-GB" w:eastAsia="en-US"/>
        </w:rPr>
        <w:t>«</w:t>
      </w:r>
      <w:r w:rsidRPr="00EB5FFB">
        <w:rPr>
          <w:rFonts w:hint="cs"/>
          <w:spacing w:val="-6"/>
          <w:sz w:val="20"/>
          <w:szCs w:val="36"/>
          <w:rtl/>
          <w:lang w:val="en-GB" w:eastAsia="en-US"/>
        </w:rPr>
        <w:t xml:space="preserve">لأن الغسل والمسح في آية الوضوء لفظان </w:t>
      </w:r>
      <w:r w:rsidRPr="00EB5FFB">
        <w:rPr>
          <w:rFonts w:hint="cs"/>
          <w:b/>
          <w:bCs/>
          <w:spacing w:val="-6"/>
          <w:sz w:val="20"/>
          <w:szCs w:val="36"/>
          <w:rtl/>
          <w:lang w:val="en-GB" w:eastAsia="en-US"/>
        </w:rPr>
        <w:t>خاصين</w:t>
      </w:r>
      <w:r w:rsidRPr="00EB5FFB">
        <w:rPr>
          <w:rFonts w:hint="cs"/>
          <w:spacing w:val="-6"/>
          <w:sz w:val="20"/>
          <w:szCs w:val="36"/>
          <w:rtl/>
          <w:lang w:val="en-GB" w:eastAsia="en-US"/>
        </w:rPr>
        <w:t xml:space="preserve"> بفعل معلوم</w:t>
      </w:r>
      <w:r w:rsidR="0048366D">
        <w:rPr>
          <w:rFonts w:hint="cs"/>
          <w:spacing w:val="-6"/>
          <w:sz w:val="20"/>
          <w:szCs w:val="36"/>
          <w:rtl/>
          <w:lang w:val="en-GB" w:eastAsia="en-US"/>
        </w:rPr>
        <w:t>.</w:t>
      </w:r>
      <w:r w:rsidRPr="00EB5FFB">
        <w:rPr>
          <w:rFonts w:hint="cs"/>
          <w:spacing w:val="-6"/>
          <w:sz w:val="20"/>
          <w:szCs w:val="36"/>
          <w:rtl/>
          <w:lang w:val="en-GB" w:eastAsia="en-US"/>
        </w:rPr>
        <w:t>.</w:t>
      </w:r>
      <w:r w:rsidRPr="00EB5FFB">
        <w:rPr>
          <w:rFonts w:hint="eastAsia"/>
          <w:spacing w:val="-6"/>
          <w:sz w:val="20"/>
          <w:szCs w:val="36"/>
          <w:rtl/>
          <w:lang w:val="en-GB" w:eastAsia="en-US"/>
        </w:rPr>
        <w:t>»</w:t>
      </w:r>
      <w:r w:rsidRPr="00EB5FFB">
        <w:rPr>
          <w:rFonts w:hint="cs"/>
          <w:spacing w:val="-6"/>
          <w:sz w:val="20"/>
          <w:szCs w:val="36"/>
          <w:vertAlign w:val="superscript"/>
          <w:rtl/>
          <w:lang w:val="en-GB" w:eastAsia="en-US"/>
        </w:rPr>
        <w:t>(</w:t>
      </w:r>
      <w:r w:rsidRPr="00EB5FFB">
        <w:rPr>
          <w:bCs/>
          <w:spacing w:val="-6"/>
          <w:sz w:val="20"/>
          <w:szCs w:val="32"/>
          <w:vertAlign w:val="superscript"/>
          <w:rtl/>
          <w:lang w:val="en-GB" w:eastAsia="en-US"/>
        </w:rPr>
        <w:footnoteReference w:id="328"/>
      </w:r>
      <w:r w:rsidRPr="00EB5FFB">
        <w:rPr>
          <w:rFonts w:hint="cs"/>
          <w:spacing w:val="-6"/>
          <w:sz w:val="20"/>
          <w:szCs w:val="36"/>
          <w:vertAlign w:val="superscript"/>
          <w:rtl/>
          <w:lang w:val="en-GB" w:eastAsia="en-US"/>
        </w:rPr>
        <w:t>)</w:t>
      </w:r>
      <w:r w:rsidRPr="00EB5FFB">
        <w:rPr>
          <w:rFonts w:hint="cs"/>
          <w:spacing w:val="-6"/>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 فكلمة (خاصين) صفة لِـ (لفظان)، والصفة تتبع الموصوف في الإعراب، فكان حقَّها الرفع بالألف.</w:t>
      </w:r>
    </w:p>
    <w:p w:rsidR="00EB5FFB" w:rsidRPr="00EB5FFB" w:rsidRDefault="00EB5FFB" w:rsidP="009A68A5">
      <w:pPr>
        <w:widowControl/>
        <w:ind w:left="1133" w:hanging="206"/>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نصّ القاعدة 160</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b/>
          <w:bCs/>
          <w:sz w:val="20"/>
          <w:szCs w:val="36"/>
          <w:rtl/>
          <w:lang w:val="en-GB" w:eastAsia="en-US"/>
        </w:rPr>
        <w:t>طَرَفيّ</w:t>
      </w:r>
      <w:r w:rsidRPr="00EB5FFB">
        <w:rPr>
          <w:rFonts w:hint="cs"/>
          <w:sz w:val="20"/>
          <w:szCs w:val="36"/>
          <w:rtl/>
          <w:lang w:val="en-GB" w:eastAsia="en-US"/>
        </w:rPr>
        <w:t xml:space="preserve"> التَّرجِيحِ إذا تعارَضا كانَ الرُجحان في الذّاتِ أحقُّ منهُ في الحال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2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5" w:firstLine="425"/>
        <w:jc w:val="both"/>
        <w:rPr>
          <w:sz w:val="20"/>
          <w:szCs w:val="36"/>
          <w:rtl/>
          <w:lang w:val="en-GB" w:eastAsia="en-US"/>
        </w:rPr>
      </w:pPr>
      <w:r w:rsidRPr="00EB5FFB">
        <w:rPr>
          <w:rFonts w:hint="cs"/>
          <w:sz w:val="20"/>
          <w:szCs w:val="36"/>
          <w:rtl/>
          <w:lang w:val="en-GB" w:eastAsia="en-US"/>
        </w:rPr>
        <w:t>فالظاهر أن كلمة (طرفي) حقها الرفع؛ لأنها مبتدأ.</w:t>
      </w:r>
    </w:p>
    <w:p w:rsidR="00EB5FFB" w:rsidRPr="00EB5FFB" w:rsidRDefault="00EB5FFB" w:rsidP="007C7F13">
      <w:pPr>
        <w:widowControl/>
        <w:numPr>
          <w:ilvl w:val="1"/>
          <w:numId w:val="9"/>
        </w:numPr>
        <w:tabs>
          <w:tab w:val="num" w:pos="1132"/>
        </w:tabs>
        <w:ind w:left="1132" w:hanging="283"/>
        <w:jc w:val="both"/>
        <w:rPr>
          <w:sz w:val="20"/>
          <w:szCs w:val="36"/>
          <w:rtl/>
          <w:lang w:val="en-GB" w:eastAsia="en-US" w:bidi="ar-AE"/>
        </w:rPr>
      </w:pP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xml:space="preserve">أنّ لموصّل العبد الآبق إلى مولاه من مدّة سفرٍ أو أكثر </w:t>
      </w:r>
      <w:r w:rsidRPr="00EB5FFB">
        <w:rPr>
          <w:rFonts w:hint="cs"/>
          <w:b/>
          <w:bCs/>
          <w:sz w:val="20"/>
          <w:szCs w:val="36"/>
          <w:rtl/>
          <w:lang w:val="en-GB" w:eastAsia="en-US"/>
        </w:rPr>
        <w:t>أربعون</w:t>
      </w:r>
      <w:r w:rsidRPr="00EB5FFB">
        <w:rPr>
          <w:rFonts w:hint="cs"/>
          <w:sz w:val="20"/>
          <w:szCs w:val="36"/>
          <w:rtl/>
          <w:lang w:val="en-GB" w:eastAsia="en-US"/>
        </w:rPr>
        <w:t xml:space="preserve"> درهمًا</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849" w:firstLine="0"/>
        <w:jc w:val="both"/>
        <w:rPr>
          <w:sz w:val="20"/>
          <w:szCs w:val="36"/>
          <w:rtl/>
          <w:lang w:val="en-GB" w:eastAsia="en-US" w:bidi="ar-AE"/>
        </w:rPr>
      </w:pPr>
      <w:r w:rsidRPr="00EB5FFB">
        <w:rPr>
          <w:rFonts w:hint="cs"/>
          <w:sz w:val="20"/>
          <w:szCs w:val="36"/>
          <w:rtl/>
          <w:lang w:val="en-GB" w:eastAsia="en-US" w:bidi="ar-AE"/>
        </w:rPr>
        <w:t>- فـ (أربعون) وقعت مرفوعة، والصواب</w:t>
      </w:r>
      <w:r w:rsidR="0048366D">
        <w:rPr>
          <w:rFonts w:hint="cs"/>
          <w:sz w:val="20"/>
          <w:szCs w:val="36"/>
          <w:rtl/>
          <w:lang w:val="en-GB" w:eastAsia="en-US" w:bidi="ar-AE"/>
        </w:rPr>
        <w:t>:</w:t>
      </w:r>
      <w:r w:rsidRPr="00EB5FFB">
        <w:rPr>
          <w:rFonts w:hint="cs"/>
          <w:sz w:val="20"/>
          <w:szCs w:val="36"/>
          <w:rtl/>
          <w:lang w:val="en-GB" w:eastAsia="en-US" w:bidi="ar-AE"/>
        </w:rPr>
        <w:t xml:space="preserve"> نصبها؛ لأنها اسم (أنّ).</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lastRenderedPageBreak/>
        <w:t>•</w:t>
      </w:r>
      <w:r w:rsidRPr="00EB5FFB">
        <w:rPr>
          <w:rFonts w:hint="cs"/>
          <w:sz w:val="20"/>
          <w:szCs w:val="36"/>
          <w:rtl/>
          <w:lang w:val="en-GB" w:eastAsia="en-US" w:bidi="ar-AE"/>
        </w:rPr>
        <w:t xml:space="preserve"> قوله</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فإذا استثنى وزنيًّا، أو كيليًّا من دراهم</w:t>
      </w:r>
      <w:r w:rsidR="0048366D">
        <w:rPr>
          <w:rFonts w:hint="cs"/>
          <w:sz w:val="20"/>
          <w:szCs w:val="36"/>
          <w:rtl/>
          <w:lang w:val="en-GB" w:eastAsia="en-US"/>
        </w:rPr>
        <w:t>:</w:t>
      </w:r>
      <w:r w:rsidRPr="00EB5FFB">
        <w:rPr>
          <w:rFonts w:hint="cs"/>
          <w:sz w:val="20"/>
          <w:szCs w:val="36"/>
          <w:rtl/>
          <w:lang w:val="en-GB" w:eastAsia="en-US"/>
        </w:rPr>
        <w:t xml:space="preserve"> صحّ </w:t>
      </w:r>
      <w:r w:rsidRPr="00EB5FFB">
        <w:rPr>
          <w:rFonts w:hint="cs"/>
          <w:b/>
          <w:bCs/>
          <w:sz w:val="20"/>
          <w:szCs w:val="36"/>
          <w:rtl/>
          <w:lang w:val="en-GB" w:eastAsia="en-US"/>
        </w:rPr>
        <w:t>قيمته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pacing w:val="-6"/>
          <w:sz w:val="20"/>
          <w:szCs w:val="36"/>
          <w:rtl/>
          <w:lang w:val="en-GB" w:eastAsia="en-US"/>
        </w:rPr>
      </w:pPr>
      <w:r w:rsidRPr="00EB5FFB">
        <w:rPr>
          <w:rFonts w:hint="cs"/>
          <w:spacing w:val="-6"/>
          <w:sz w:val="20"/>
          <w:szCs w:val="36"/>
          <w:rtl/>
          <w:lang w:val="en-GB" w:eastAsia="en-US"/>
        </w:rPr>
        <w:t>والذي يدل عليه السياق أن (قيمته) تمييز، فكان من المناسب أن يقال</w:t>
      </w:r>
      <w:r w:rsidR="0048366D">
        <w:rPr>
          <w:rFonts w:hint="cs"/>
          <w:spacing w:val="-6"/>
          <w:sz w:val="20"/>
          <w:szCs w:val="36"/>
          <w:rtl/>
          <w:lang w:val="en-GB" w:eastAsia="en-US"/>
        </w:rPr>
        <w:t>:</w:t>
      </w:r>
      <w:r w:rsidRPr="00EB5FFB">
        <w:rPr>
          <w:rFonts w:hint="cs"/>
          <w:spacing w:val="-6"/>
          <w:sz w:val="20"/>
          <w:szCs w:val="36"/>
          <w:rtl/>
          <w:lang w:val="en-GB" w:eastAsia="en-US"/>
        </w:rPr>
        <w:t xml:space="preserve"> (قيمةً).</w:t>
      </w:r>
    </w:p>
    <w:p w:rsidR="00EB5FFB" w:rsidRPr="00EB5FFB" w:rsidRDefault="00EB5FFB" w:rsidP="009A68A5">
      <w:pPr>
        <w:widowControl/>
        <w:ind w:left="1133" w:hanging="206"/>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والجواب</w:t>
      </w:r>
      <w:r w:rsidR="0048366D">
        <w:rPr>
          <w:rFonts w:hint="cs"/>
          <w:sz w:val="20"/>
          <w:szCs w:val="36"/>
          <w:rtl/>
          <w:lang w:val="en-GB" w:eastAsia="en-US"/>
        </w:rPr>
        <w:t>:</w:t>
      </w:r>
      <w:r w:rsidRPr="00EB5FFB">
        <w:rPr>
          <w:rFonts w:hint="cs"/>
          <w:sz w:val="20"/>
          <w:szCs w:val="36"/>
          <w:rtl/>
          <w:lang w:val="en-GB" w:eastAsia="en-US"/>
        </w:rPr>
        <w:t xml:space="preserve"> إنكار البائع لأنْ يقيم المشتري البينة إنما يجوز ليتمكن </w:t>
      </w:r>
      <w:r w:rsidRPr="00EB5FFB">
        <w:rPr>
          <w:rFonts w:hint="cs"/>
          <w:b/>
          <w:bCs/>
          <w:sz w:val="20"/>
          <w:szCs w:val="36"/>
          <w:rtl/>
          <w:lang w:val="en-GB" w:eastAsia="en-US"/>
        </w:rPr>
        <w:t>عن</w:t>
      </w:r>
      <w:r w:rsidRPr="00EB5FFB">
        <w:rPr>
          <w:rFonts w:hint="cs"/>
          <w:sz w:val="20"/>
          <w:szCs w:val="36"/>
          <w:rtl/>
          <w:lang w:val="en-GB" w:eastAsia="en-US"/>
        </w:rPr>
        <w:t xml:space="preserve"> الرّد على بائعه</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فالسياق يدل على أن معنى (عن) هو</w:t>
      </w:r>
      <w:r w:rsidR="0048366D">
        <w:rPr>
          <w:rFonts w:hint="cs"/>
          <w:sz w:val="20"/>
          <w:szCs w:val="36"/>
          <w:rtl/>
          <w:lang w:val="en-GB" w:eastAsia="en-US"/>
        </w:rPr>
        <w:t>:</w:t>
      </w:r>
      <w:r w:rsidRPr="00EB5FFB">
        <w:rPr>
          <w:rFonts w:hint="cs"/>
          <w:sz w:val="20"/>
          <w:szCs w:val="36"/>
          <w:rtl/>
          <w:lang w:val="en-GB" w:eastAsia="en-US"/>
        </w:rPr>
        <w:t xml:space="preserve"> بيان الجنس، وحرف الجرّ الذي يدل على ذلك هو (من) وليس (عن).</w:t>
      </w:r>
    </w:p>
    <w:p w:rsidR="00EB5FFB" w:rsidRPr="00EB5FFB" w:rsidRDefault="00EB5FFB" w:rsidP="009A68A5">
      <w:pPr>
        <w:widowControl/>
        <w:ind w:left="92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 xml:space="preserve">قوله: </w:t>
      </w:r>
      <w:r w:rsidRPr="00EB5FFB">
        <w:rPr>
          <w:rFonts w:hint="eastAsia"/>
          <w:sz w:val="20"/>
          <w:szCs w:val="36"/>
          <w:rtl/>
          <w:lang w:val="en-GB" w:eastAsia="en-US"/>
        </w:rPr>
        <w:t>«</w:t>
      </w:r>
      <w:r w:rsidRPr="00EB5FFB">
        <w:rPr>
          <w:rFonts w:hint="cs"/>
          <w:sz w:val="20"/>
          <w:szCs w:val="36"/>
          <w:rtl/>
          <w:lang w:val="en-GB" w:eastAsia="en-US"/>
        </w:rPr>
        <w:t>وفرّق البعض في البعر بين آبار الفلوات وبين آبار الأمصار</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فتكرار (بين) هنا قد يتوهم منه: كونُ المعنى</w:t>
      </w:r>
      <w:r w:rsidR="0048366D">
        <w:rPr>
          <w:rFonts w:hint="cs"/>
          <w:sz w:val="20"/>
          <w:szCs w:val="36"/>
          <w:rtl/>
          <w:lang w:val="en-GB" w:eastAsia="en-US"/>
        </w:rPr>
        <w:t>:</w:t>
      </w:r>
      <w:r w:rsidRPr="00EB5FFB">
        <w:rPr>
          <w:rFonts w:hint="cs"/>
          <w:sz w:val="20"/>
          <w:szCs w:val="36"/>
          <w:rtl/>
          <w:lang w:val="en-GB" w:eastAsia="en-US"/>
        </w:rPr>
        <w:t xml:space="preserve"> أنّ بعض العلماء يفرّق في البعر (وهو رجيع الدّواب) بين بعض آبار الفلوات وبعضها الآخر، وأيضًا بين بعض أبار الأمصار وبعضها الآخر!.</w:t>
      </w:r>
    </w:p>
    <w:p w:rsidR="00EB5FFB" w:rsidRPr="00EB5FFB" w:rsidRDefault="00EB5FFB" w:rsidP="009A68A5">
      <w:pPr>
        <w:widowControl/>
        <w:ind w:left="990" w:firstLine="0"/>
        <w:jc w:val="both"/>
        <w:rPr>
          <w:sz w:val="20"/>
          <w:szCs w:val="36"/>
          <w:rtl/>
          <w:lang w:val="en-GB" w:eastAsia="en-US"/>
        </w:rPr>
      </w:pPr>
      <w:r w:rsidRPr="00EB5FFB">
        <w:rPr>
          <w:rFonts w:hint="cs"/>
          <w:sz w:val="20"/>
          <w:szCs w:val="36"/>
          <w:rtl/>
          <w:lang w:val="en-GB" w:eastAsia="en-US"/>
        </w:rPr>
        <w:t>وهذا المعنى غير مراد، وإنما المراد التفريق بين آبار الفلوات من جهة، وآبار الأمصار من جهة أخرى.</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ولدفع المعنى الأول</w:t>
      </w:r>
      <w:r w:rsidR="0048366D">
        <w:rPr>
          <w:rFonts w:hint="cs"/>
          <w:sz w:val="20"/>
          <w:szCs w:val="36"/>
          <w:rtl/>
          <w:lang w:val="en-GB" w:eastAsia="en-US"/>
        </w:rPr>
        <w:t>:</w:t>
      </w:r>
      <w:r w:rsidRPr="00EB5FFB">
        <w:rPr>
          <w:rFonts w:hint="cs"/>
          <w:sz w:val="20"/>
          <w:szCs w:val="36"/>
          <w:rtl/>
          <w:lang w:val="en-GB" w:eastAsia="en-US"/>
        </w:rPr>
        <w:t xml:space="preserve"> منع بعض العلماء تكرارها بين المتعاطفين الظاهرين.</w:t>
      </w:r>
    </w:p>
    <w:p w:rsidR="00EB5FFB" w:rsidRPr="00EB5FFB" w:rsidRDefault="00EB5FFB" w:rsidP="009A68A5">
      <w:pPr>
        <w:widowControl/>
        <w:ind w:left="565" w:firstLine="2"/>
        <w:jc w:val="both"/>
        <w:rPr>
          <w:sz w:val="20"/>
          <w:szCs w:val="36"/>
          <w:rtl/>
          <w:lang w:val="en-GB" w:eastAsia="en-US"/>
        </w:rPr>
      </w:pPr>
      <w:r w:rsidRPr="00EB5FFB">
        <w:rPr>
          <w:rFonts w:hint="cs"/>
          <w:sz w:val="20"/>
          <w:szCs w:val="36"/>
          <w:rtl/>
          <w:lang w:val="en-GB" w:eastAsia="en-US"/>
        </w:rPr>
        <w:t>- وهناك من أجازوه، وحملوه على أن (بين) الثانية تأكيد للأولى وليست مؤسسة لمعنى جديد، إلاّ أنهم ذكروا أن الأكثر استعمالاً هو عدم تكرارها.</w:t>
      </w:r>
    </w:p>
    <w:p w:rsidR="00EB5FFB" w:rsidRPr="00EB5FFB" w:rsidRDefault="00EB5FFB" w:rsidP="007C7F13">
      <w:pPr>
        <w:widowControl/>
        <w:numPr>
          <w:ilvl w:val="0"/>
          <w:numId w:val="8"/>
        </w:numPr>
        <w:jc w:val="both"/>
        <w:rPr>
          <w:sz w:val="20"/>
          <w:szCs w:val="36"/>
          <w:rtl/>
          <w:lang w:val="en-GB" w:eastAsia="en-US"/>
        </w:rPr>
      </w:pPr>
      <w:r w:rsidRPr="00EB5FFB">
        <w:rPr>
          <w:rFonts w:hint="cs"/>
          <w:sz w:val="20"/>
          <w:szCs w:val="36"/>
          <w:rtl/>
          <w:lang w:val="en-GB" w:eastAsia="en-US"/>
        </w:rPr>
        <w:t>فإذن</w:t>
      </w:r>
      <w:r w:rsidR="0048366D">
        <w:rPr>
          <w:rFonts w:hint="cs"/>
          <w:sz w:val="20"/>
          <w:szCs w:val="36"/>
          <w:rtl/>
          <w:lang w:val="en-GB" w:eastAsia="en-US"/>
        </w:rPr>
        <w:t>:</w:t>
      </w:r>
      <w:r w:rsidRPr="00EB5FFB">
        <w:rPr>
          <w:rFonts w:hint="cs"/>
          <w:sz w:val="20"/>
          <w:szCs w:val="36"/>
          <w:rtl/>
          <w:lang w:val="en-GB" w:eastAsia="en-US"/>
        </w:rPr>
        <w:t xml:space="preserve"> أقل ما يقال في تكرارها</w:t>
      </w:r>
      <w:r w:rsidR="0048366D">
        <w:rPr>
          <w:rFonts w:hint="cs"/>
          <w:sz w:val="20"/>
          <w:szCs w:val="36"/>
          <w:rtl/>
          <w:lang w:val="en-GB" w:eastAsia="en-US"/>
        </w:rPr>
        <w:t>:</w:t>
      </w:r>
      <w:r w:rsidRPr="00EB5FFB">
        <w:rPr>
          <w:rFonts w:hint="cs"/>
          <w:sz w:val="20"/>
          <w:szCs w:val="36"/>
          <w:rtl/>
          <w:lang w:val="en-GB" w:eastAsia="en-US"/>
        </w:rPr>
        <w:t xml:space="preserve"> كونه خلاف المشهور في استعمال العرب.</w:t>
      </w:r>
    </w:p>
    <w:p w:rsidR="00EB5FFB" w:rsidRPr="00EB5FFB" w:rsidRDefault="00EB5FFB" w:rsidP="009A68A5">
      <w:pPr>
        <w:widowControl/>
        <w:ind w:left="567" w:firstLine="0"/>
        <w:jc w:val="both"/>
        <w:rPr>
          <w:sz w:val="20"/>
          <w:szCs w:val="36"/>
          <w:rtl/>
          <w:lang w:val="en-GB" w:eastAsia="en-US"/>
        </w:rPr>
      </w:pPr>
      <w:r w:rsidRPr="00EB5FFB">
        <w:rPr>
          <w:rFonts w:hint="cs"/>
          <w:b/>
          <w:bCs/>
          <w:sz w:val="20"/>
          <w:szCs w:val="36"/>
          <w:rtl/>
          <w:lang w:val="en-GB" w:eastAsia="en-US"/>
        </w:rPr>
        <w:t>2</w:t>
      </w:r>
      <w:r w:rsidRPr="00EB5FFB">
        <w:rPr>
          <w:rFonts w:hint="cs"/>
          <w:sz w:val="20"/>
          <w:szCs w:val="36"/>
          <w:rtl/>
          <w:lang w:val="en-GB" w:eastAsia="en-US"/>
        </w:rPr>
        <w:t xml:space="preserve"> </w:t>
      </w:r>
      <w:r w:rsidRPr="00EB5FFB">
        <w:rPr>
          <w:b/>
          <w:bCs/>
          <w:sz w:val="20"/>
          <w:szCs w:val="36"/>
          <w:rtl/>
          <w:lang w:val="en-GB" w:eastAsia="en-US"/>
        </w:rPr>
        <w:t>–</w:t>
      </w:r>
      <w:r w:rsidRPr="00EB5FFB">
        <w:rPr>
          <w:rFonts w:hint="cs"/>
          <w:b/>
          <w:bCs/>
          <w:sz w:val="20"/>
          <w:szCs w:val="36"/>
          <w:rtl/>
          <w:lang w:val="en-GB" w:eastAsia="en-US"/>
        </w:rPr>
        <w:t xml:space="preserve"> ومن المآخذ أيضًا</w:t>
      </w:r>
      <w:r w:rsidR="0048366D">
        <w:rPr>
          <w:rFonts w:hint="cs"/>
          <w:b/>
          <w:b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أنّ الكتاب يتّسم بصعوبة الفهم، وغموض المعنى، وكثرة اختزال العبارات؛</w:t>
      </w:r>
      <w:r w:rsidRPr="00EB5FFB">
        <w:rPr>
          <w:rFonts w:hint="cs"/>
          <w:sz w:val="20"/>
          <w:szCs w:val="36"/>
          <w:rtl/>
          <w:lang w:val="en-GB" w:eastAsia="en-US"/>
        </w:rPr>
        <w:t xml:space="preserve"> ممّا يدفع القارئ إلى التأمل الشديد من أجل فهم المعنى المراد. ثم إنّ هذا الاختصار قد يكون مخلاًّ بالمعنى</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lastRenderedPageBreak/>
        <w:t>3 -</w:t>
      </w:r>
      <w:r w:rsidRPr="00EB5FFB">
        <w:rPr>
          <w:rFonts w:hint="cs"/>
          <w:sz w:val="20"/>
          <w:szCs w:val="36"/>
          <w:rtl/>
          <w:lang w:val="en-GB" w:eastAsia="en-US"/>
        </w:rPr>
        <w:t xml:space="preserve"> </w:t>
      </w:r>
      <w:r w:rsidRPr="00EB5FFB">
        <w:rPr>
          <w:rFonts w:hint="cs"/>
          <w:b/>
          <w:bCs/>
          <w:sz w:val="20"/>
          <w:szCs w:val="36"/>
          <w:rtl/>
          <w:lang w:val="en-GB" w:eastAsia="en-US"/>
        </w:rPr>
        <w:t>أن بضاعته في الحديث قليلة</w:t>
      </w:r>
      <w:r w:rsidRPr="00EB5FFB">
        <w:rPr>
          <w:rFonts w:hint="cs"/>
          <w:sz w:val="20"/>
          <w:szCs w:val="36"/>
          <w:rtl/>
          <w:lang w:val="en-GB" w:eastAsia="en-US"/>
        </w:rPr>
        <w:t>. فقد أورد في كتابه بعض الأحاديث والآثار التي ضعّفها المحدّثون، أو حكموا عليها بأنها غير معروفة!.</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كما أن كثيرًا من الأحاديث التي يذكرها يتابع فيها المصادر الفقهية أو الأصولية التي يستفيد منها، دون التحقّق من كون لفظ الحديث مطابقًا لأحد كتب الحديث، وبيان من خرّجه، وما قاله المحدّثون فيه؛ لهذا تعدّدت الأحاديث التي يوردها بالمعنى دون أن يكون للفظها ذكر في كتب الحديث</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rFonts w:hint="cs"/>
          <w:b/>
          <w:bCs/>
          <w:sz w:val="20"/>
          <w:szCs w:val="36"/>
          <w:rtl/>
          <w:lang w:val="en-GB" w:eastAsia="en-US"/>
        </w:rPr>
        <w:t>4</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قلّة اهتمامه بالقواعد الخمس الكلية الكبرى</w:t>
      </w:r>
      <w:r w:rsidRPr="00EB5FFB">
        <w:rPr>
          <w:rFonts w:hint="cs"/>
          <w:sz w:val="20"/>
          <w:szCs w:val="36"/>
          <w:rtl/>
          <w:lang w:val="en-GB" w:eastAsia="en-US"/>
        </w:rPr>
        <w:t xml:space="preserve">. </w:t>
      </w:r>
      <w:r w:rsidRPr="00EB5FFB">
        <w:rPr>
          <w:rFonts w:hint="cs"/>
          <w:b/>
          <w:bCs/>
          <w:sz w:val="20"/>
          <w:szCs w:val="36"/>
          <w:rtl/>
          <w:lang w:val="en-GB" w:eastAsia="en-US"/>
        </w:rPr>
        <w:t>فمن مظاهر ذلك</w:t>
      </w:r>
      <w:r w:rsidR="0048366D">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أنه أهمل قاعدة</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المشقة تجلب التيسير</w:t>
      </w:r>
      <w:r w:rsidRPr="00EB5FFB">
        <w:rPr>
          <w:rFonts w:hint="eastAsia"/>
          <w:sz w:val="20"/>
          <w:szCs w:val="36"/>
          <w:rtl/>
          <w:lang w:val="en-GB" w:eastAsia="en-US"/>
        </w:rPr>
        <w:t>»</w:t>
      </w:r>
      <w:r w:rsidRPr="00EB5FFB">
        <w:rPr>
          <w:rFonts w:hint="cs"/>
          <w:sz w:val="20"/>
          <w:szCs w:val="36"/>
          <w:rtl/>
          <w:lang w:val="en-GB" w:eastAsia="en-US"/>
        </w:rPr>
        <w:t>، ولم يتعرض لها إطلاقًا.</w:t>
      </w:r>
    </w:p>
    <w:p w:rsidR="00EB5FFB" w:rsidRPr="00EB5FFB" w:rsidRDefault="00EB5FFB" w:rsidP="009A68A5">
      <w:pPr>
        <w:widowControl/>
        <w:ind w:left="567" w:firstLine="0"/>
        <w:jc w:val="both"/>
        <w:rPr>
          <w:sz w:val="20"/>
          <w:szCs w:val="36"/>
          <w:rtl/>
          <w:lang w:val="en-GB" w:eastAsia="en-US"/>
        </w:rPr>
      </w:pPr>
      <w:r w:rsidRPr="00EB5FFB">
        <w:rPr>
          <w:rFonts w:hint="cs"/>
          <w:sz w:val="20"/>
          <w:szCs w:val="36"/>
          <w:rtl/>
          <w:lang w:val="en-GB" w:eastAsia="en-US"/>
        </w:rPr>
        <w:t xml:space="preserve">وإغفالُ أيّ قاعدةٍ من القواعد الخمس يُعدّ من المآخذ التي تؤخذ على كتب القواعد الفقهية؛ لهذا فإن الزركشي (ت794هـ) عندما ترك قاعدة ٍ </w:t>
      </w:r>
      <w:r w:rsidRPr="00EB5FFB">
        <w:rPr>
          <w:rFonts w:hint="eastAsia"/>
          <w:sz w:val="20"/>
          <w:szCs w:val="36"/>
          <w:rtl/>
          <w:lang w:val="en-GB" w:eastAsia="en-US"/>
        </w:rPr>
        <w:t>«</w:t>
      </w:r>
      <w:r w:rsidRPr="00EB5FFB">
        <w:rPr>
          <w:rFonts w:hint="cs"/>
          <w:sz w:val="20"/>
          <w:szCs w:val="36"/>
          <w:rtl/>
          <w:lang w:val="en-GB" w:eastAsia="en-US"/>
        </w:rPr>
        <w:t>الضّرر يزال</w:t>
      </w:r>
      <w:r w:rsidRPr="00EB5FFB">
        <w:rPr>
          <w:rFonts w:hint="eastAsia"/>
          <w:sz w:val="20"/>
          <w:szCs w:val="36"/>
          <w:rtl/>
          <w:lang w:val="en-GB" w:eastAsia="en-US"/>
        </w:rPr>
        <w:t>»</w:t>
      </w:r>
      <w:r w:rsidRPr="00EB5FFB">
        <w:rPr>
          <w:rFonts w:hint="cs"/>
          <w:sz w:val="20"/>
          <w:szCs w:val="36"/>
          <w:rtl/>
          <w:lang w:val="en-GB" w:eastAsia="en-US"/>
        </w:rPr>
        <w:t xml:space="preserve"> تعقّبه السّراج العبادي (ت947هـ) في تعليقه عـلى قـواعد الزركشي وقال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قاعدة أهملها المصنّف الضّرر يزال...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كما أنّه ذكر بقيّة القواعد الخمس إلا أنّه لم يخصّها بمزيد عناية؛ فمجموع ما تكلم به عنها جميعًا لا يزيد عن ورقة واحدة من المخطوط</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7"/>
      </w:r>
      <w:r w:rsidRPr="00EB5FFB">
        <w:rPr>
          <w:rFonts w:hint="cs"/>
          <w:sz w:val="20"/>
          <w:szCs w:val="36"/>
          <w:vertAlign w:val="superscript"/>
          <w:rtl/>
          <w:lang w:val="en-GB" w:eastAsia="en-US"/>
        </w:rPr>
        <w:t>)</w:t>
      </w:r>
      <w:r w:rsidRPr="00EB5FFB">
        <w:rPr>
          <w:rFonts w:hint="cs"/>
          <w:sz w:val="20"/>
          <w:szCs w:val="36"/>
          <w:rtl/>
          <w:lang w:val="en-GB" w:eastAsia="en-US"/>
        </w:rPr>
        <w:t>! بينما بعض القواعد الفرعية المندرجة تحت بعضها تكلّم عنها بما يزيد على الورقة</w:t>
      </w:r>
      <w:r w:rsidR="0048366D">
        <w:rPr>
          <w:rFonts w:hint="cs"/>
          <w:sz w:val="20"/>
          <w:szCs w:val="36"/>
          <w:rtl/>
          <w:lang w:val="en-GB" w:eastAsia="en-US"/>
        </w:rPr>
        <w:t>!</w:t>
      </w:r>
      <w:r w:rsidRPr="00EB5FFB">
        <w:rPr>
          <w:rFonts w:hint="cs"/>
          <w:sz w:val="20"/>
          <w:szCs w:val="36"/>
          <w:rtl/>
          <w:lang w:val="en-GB" w:eastAsia="en-US"/>
        </w:rPr>
        <w:t xml:space="preserve"> فمن ذلك</w:t>
      </w:r>
      <w:r w:rsidR="0048366D">
        <w:rPr>
          <w:rFonts w:hint="cs"/>
          <w:sz w:val="20"/>
          <w:szCs w:val="36"/>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rFonts w:hint="cs"/>
          <w:sz w:val="38"/>
          <w:szCs w:val="38"/>
          <w:rtl/>
          <w:lang w:val="en-GB" w:eastAsia="en-US"/>
        </w:rPr>
        <w:t>- ق34</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الاعْتِبَارُ لِلْمَقَاصِدِ والمَعَانِيْ لا للأَلْفاظِ والمَبَانِيْ</w:t>
      </w:r>
      <w:r w:rsidRPr="00EB5FFB">
        <w:rPr>
          <w:rFonts w:hint="eastAsia"/>
          <w:sz w:val="20"/>
          <w:szCs w:val="36"/>
          <w:rtl/>
          <w:lang w:val="en-GB" w:eastAsia="en-US"/>
        </w:rPr>
        <w:t>»</w:t>
      </w:r>
      <w:r w:rsidRPr="00EB5FFB">
        <w:rPr>
          <w:rFonts w:hint="cs"/>
          <w:sz w:val="38"/>
          <w:szCs w:val="38"/>
          <w:rtl/>
          <w:lang w:val="en-GB" w:eastAsia="en-US"/>
        </w:rPr>
        <w:t>.</w:t>
      </w:r>
      <w:r w:rsidRPr="00EB5FFB">
        <w:rPr>
          <w:rFonts w:hint="cs"/>
          <w:sz w:val="20"/>
          <w:szCs w:val="36"/>
          <w:rtl/>
          <w:lang w:val="en-GB" w:eastAsia="en-US"/>
        </w:rPr>
        <w:t xml:space="preserve"> </w:t>
      </w:r>
    </w:p>
    <w:p w:rsidR="00EB5FFB" w:rsidRPr="00EB5FFB" w:rsidRDefault="00EB5FFB" w:rsidP="009A68A5">
      <w:pPr>
        <w:widowControl/>
        <w:ind w:left="567" w:firstLine="0"/>
        <w:jc w:val="both"/>
        <w:rPr>
          <w:sz w:val="20"/>
          <w:szCs w:val="36"/>
          <w:rtl/>
          <w:lang w:val="en-GB" w:eastAsia="en-US"/>
        </w:rPr>
      </w:pPr>
      <w:r w:rsidRPr="00EB5FFB">
        <w:rPr>
          <w:rFonts w:hint="cs"/>
          <w:sz w:val="20"/>
          <w:szCs w:val="36"/>
          <w:rtl/>
          <w:lang w:val="en-GB" w:eastAsia="en-US"/>
        </w:rPr>
        <w:t>تكلم عنها في ورقة ونصف، وهي مندرجة تحت قاعدة</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الأمورُ بمقاصدها</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38"/>
          <w:szCs w:val="38"/>
          <w:rtl/>
          <w:lang w:val="en-GB" w:eastAsia="en-US"/>
        </w:rPr>
      </w:pPr>
      <w:r w:rsidRPr="00EB5FFB">
        <w:rPr>
          <w:rFonts w:hint="cs"/>
          <w:sz w:val="38"/>
          <w:szCs w:val="38"/>
          <w:rtl/>
          <w:lang w:val="en-GB" w:eastAsia="en-US"/>
        </w:rPr>
        <w:t>- ق164</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العادَةُ المُطَّرِدَةُ تُنَزَّلُ منـزِلَةَ الشَّرْطِ</w:t>
      </w:r>
      <w:r w:rsidRPr="00EB5FFB">
        <w:rPr>
          <w:rFonts w:hint="eastAsia"/>
          <w:sz w:val="20"/>
          <w:szCs w:val="36"/>
          <w:rtl/>
          <w:lang w:val="en-GB" w:eastAsia="en-US"/>
        </w:rPr>
        <w:t>»</w:t>
      </w:r>
      <w:r w:rsidRPr="00EB5FFB">
        <w:rPr>
          <w:rFonts w:hint="cs"/>
          <w:sz w:val="38"/>
          <w:szCs w:val="38"/>
          <w:rtl/>
          <w:lang w:val="en-GB" w:eastAsia="en-US"/>
        </w:rPr>
        <w:t>.</w:t>
      </w:r>
    </w:p>
    <w:p w:rsidR="00EB5FFB" w:rsidRPr="00EB5FFB" w:rsidRDefault="00EB5FFB" w:rsidP="009A68A5">
      <w:pPr>
        <w:widowControl/>
        <w:ind w:left="567" w:firstLine="0"/>
        <w:jc w:val="both"/>
        <w:rPr>
          <w:sz w:val="20"/>
          <w:szCs w:val="36"/>
          <w:rtl/>
          <w:lang w:val="en-GB" w:eastAsia="en-US"/>
        </w:rPr>
      </w:pPr>
      <w:r w:rsidRPr="00EB5FFB">
        <w:rPr>
          <w:rFonts w:hint="cs"/>
          <w:sz w:val="20"/>
          <w:szCs w:val="36"/>
          <w:rtl/>
          <w:lang w:val="en-GB" w:eastAsia="en-US"/>
        </w:rPr>
        <w:t>تكلم عنها في ورقة وربع، وهي مندرجة تحت قاعدة</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العادةُ محكَّمةٌ</w:t>
      </w:r>
      <w:r w:rsidRPr="00EB5FFB">
        <w:rPr>
          <w:rFonts w:hint="eastAsia"/>
          <w:sz w:val="20"/>
          <w:szCs w:val="36"/>
          <w:rtl/>
          <w:lang w:val="en-GB" w:eastAsia="en-US"/>
        </w:rPr>
        <w:t>»</w:t>
      </w:r>
      <w:r w:rsidRPr="00EB5FFB">
        <w:rPr>
          <w:rFonts w:hint="cs"/>
          <w:sz w:val="20"/>
          <w:szCs w:val="36"/>
          <w:rtl/>
          <w:lang w:val="en-GB" w:eastAsia="en-US"/>
        </w:rPr>
        <w:t>.</w:t>
      </w:r>
    </w:p>
    <w:p w:rsidR="00EB5FFB" w:rsidRPr="00EB5FFB" w:rsidRDefault="00EB5FFB" w:rsidP="009A68A5">
      <w:pPr>
        <w:widowControl/>
        <w:ind w:left="567" w:firstLine="0"/>
        <w:jc w:val="both"/>
        <w:rPr>
          <w:spacing w:val="-2"/>
          <w:sz w:val="38"/>
          <w:szCs w:val="38"/>
          <w:rtl/>
          <w:lang w:val="en-GB" w:eastAsia="en-US"/>
        </w:rPr>
      </w:pPr>
      <w:r w:rsidRPr="00EB5FFB">
        <w:rPr>
          <w:sz w:val="22"/>
          <w:szCs w:val="38"/>
          <w:rtl/>
          <w:lang w:eastAsia="en-US"/>
        </w:rPr>
        <w:lastRenderedPageBreak/>
        <w:t>•</w:t>
      </w:r>
      <w:r w:rsidRPr="00EB5FFB">
        <w:rPr>
          <w:rFonts w:hint="cs"/>
          <w:sz w:val="22"/>
          <w:szCs w:val="38"/>
          <w:rtl/>
          <w:lang w:eastAsia="en-US"/>
        </w:rPr>
        <w:t xml:space="preserve"> </w:t>
      </w:r>
      <w:r w:rsidRPr="00EB5FFB">
        <w:rPr>
          <w:rFonts w:hint="cs"/>
          <w:spacing w:val="-2"/>
          <w:sz w:val="20"/>
          <w:szCs w:val="36"/>
          <w:rtl/>
          <w:lang w:val="en-GB" w:eastAsia="en-US"/>
        </w:rPr>
        <w:t>بل الأغرب من ذلك أن قاعدة</w:t>
      </w:r>
      <w:r w:rsidR="0048366D">
        <w:rPr>
          <w:rFonts w:hint="cs"/>
          <w:spacing w:val="-2"/>
          <w:sz w:val="20"/>
          <w:szCs w:val="36"/>
          <w:rtl/>
          <w:lang w:val="en-GB" w:eastAsia="en-US"/>
        </w:rPr>
        <w:t>:</w:t>
      </w:r>
      <w:r w:rsidRPr="00EB5FFB">
        <w:rPr>
          <w:rFonts w:hint="cs"/>
          <w:spacing w:val="-2"/>
          <w:sz w:val="20"/>
          <w:szCs w:val="36"/>
          <w:rtl/>
          <w:lang w:val="en-GB" w:eastAsia="en-US"/>
        </w:rPr>
        <w:t xml:space="preserve"> </w:t>
      </w:r>
      <w:r w:rsidRPr="00EB5FFB">
        <w:rPr>
          <w:rFonts w:hint="eastAsia"/>
          <w:spacing w:val="-2"/>
          <w:sz w:val="20"/>
          <w:szCs w:val="36"/>
          <w:rtl/>
          <w:lang w:val="en-GB" w:eastAsia="en-US"/>
        </w:rPr>
        <w:t>«</w:t>
      </w:r>
      <w:r w:rsidRPr="00EB5FFB">
        <w:rPr>
          <w:rFonts w:hint="cs"/>
          <w:spacing w:val="-2"/>
          <w:sz w:val="20"/>
          <w:szCs w:val="36"/>
          <w:rtl/>
          <w:lang w:val="en-GB" w:eastAsia="en-US"/>
        </w:rPr>
        <w:t>اليقين لا يزول بالشك</w:t>
      </w:r>
      <w:r w:rsidRPr="00EB5FFB">
        <w:rPr>
          <w:rFonts w:hint="eastAsia"/>
          <w:spacing w:val="-2"/>
          <w:sz w:val="20"/>
          <w:szCs w:val="36"/>
          <w:rtl/>
          <w:lang w:val="en-GB" w:eastAsia="en-US"/>
        </w:rPr>
        <w:t>»</w:t>
      </w:r>
      <w:r w:rsidRPr="00EB5FFB">
        <w:rPr>
          <w:rFonts w:hint="cs"/>
          <w:spacing w:val="-2"/>
          <w:sz w:val="20"/>
          <w:szCs w:val="36"/>
          <w:rtl/>
          <w:lang w:val="en-GB" w:eastAsia="en-US"/>
        </w:rPr>
        <w:t xml:space="preserve"> لم يفردها بالحديث، وإنما أشار إليها عرضًا عند حديثه عن قاعدة فرعية مندرجة تحتها، وهي: ق</w:t>
      </w:r>
      <w:r w:rsidRPr="00EB5FFB">
        <w:rPr>
          <w:rFonts w:hint="cs"/>
          <w:spacing w:val="-2"/>
          <w:sz w:val="38"/>
          <w:szCs w:val="38"/>
          <w:rtl/>
          <w:lang w:val="en-GB" w:eastAsia="en-US"/>
        </w:rPr>
        <w:t xml:space="preserve">244: </w:t>
      </w:r>
      <w:r w:rsidRPr="00EB5FFB">
        <w:rPr>
          <w:rFonts w:hint="eastAsia"/>
          <w:spacing w:val="-2"/>
          <w:sz w:val="20"/>
          <w:szCs w:val="36"/>
          <w:rtl/>
          <w:lang w:val="en-GB" w:eastAsia="en-US"/>
        </w:rPr>
        <w:t>«</w:t>
      </w:r>
      <w:r w:rsidRPr="00EB5FFB">
        <w:rPr>
          <w:rFonts w:hint="cs"/>
          <w:spacing w:val="-2"/>
          <w:sz w:val="38"/>
          <w:szCs w:val="38"/>
          <w:rtl/>
          <w:lang w:val="en-GB" w:eastAsia="en-US"/>
        </w:rPr>
        <w:t>مَنْ شَكّ هَلْ فَعَلَ شيئًا أوْ لا</w:t>
      </w:r>
      <w:r w:rsidR="0048366D">
        <w:rPr>
          <w:rFonts w:hint="cs"/>
          <w:spacing w:val="-2"/>
          <w:sz w:val="38"/>
          <w:szCs w:val="38"/>
          <w:rtl/>
          <w:lang w:val="en-GB" w:eastAsia="en-US"/>
        </w:rPr>
        <w:t>؟</w:t>
      </w:r>
      <w:r w:rsidRPr="00EB5FFB">
        <w:rPr>
          <w:rFonts w:hint="cs"/>
          <w:spacing w:val="-2"/>
          <w:sz w:val="38"/>
          <w:szCs w:val="38"/>
          <w:rtl/>
          <w:lang w:val="en-GB" w:eastAsia="en-US"/>
        </w:rPr>
        <w:t>:  فالأصلُ أنَّهُ لَمْ يَفْعَلْ</w:t>
      </w:r>
      <w:r w:rsidRPr="00EB5FFB">
        <w:rPr>
          <w:rFonts w:hint="eastAsia"/>
          <w:spacing w:val="-2"/>
          <w:sz w:val="20"/>
          <w:szCs w:val="36"/>
          <w:rtl/>
          <w:lang w:val="en-GB" w:eastAsia="en-US"/>
        </w:rPr>
        <w:t>»</w:t>
      </w:r>
      <w:r w:rsidRPr="00EB5FFB">
        <w:rPr>
          <w:rFonts w:hint="cs"/>
          <w:spacing w:val="-2"/>
          <w:sz w:val="38"/>
          <w:szCs w:val="38"/>
          <w:rtl/>
          <w:lang w:val="en-GB" w:eastAsia="en-US"/>
        </w:rPr>
        <w:t>. حيث قال في نهاية شرح هذه القاعدة</w:t>
      </w:r>
      <w:r w:rsidR="0048366D">
        <w:rPr>
          <w:rFonts w:hint="cs"/>
          <w:spacing w:val="-2"/>
          <w:sz w:val="38"/>
          <w:szCs w:val="38"/>
          <w:rtl/>
          <w:lang w:val="en-GB" w:eastAsia="en-US"/>
        </w:rPr>
        <w:t>:</w:t>
      </w:r>
      <w:r w:rsidRPr="00EB5FFB">
        <w:rPr>
          <w:rFonts w:hint="cs"/>
          <w:spacing w:val="-2"/>
          <w:sz w:val="38"/>
          <w:szCs w:val="38"/>
          <w:rtl/>
          <w:lang w:val="en-GB" w:eastAsia="en-US"/>
        </w:rPr>
        <w:t xml:space="preserve"> </w:t>
      </w:r>
      <w:r w:rsidRPr="00EB5FFB">
        <w:rPr>
          <w:rFonts w:hint="eastAsia"/>
          <w:spacing w:val="-2"/>
          <w:sz w:val="20"/>
          <w:szCs w:val="36"/>
          <w:rtl/>
          <w:lang w:val="en-GB" w:eastAsia="en-US"/>
        </w:rPr>
        <w:t>«</w:t>
      </w:r>
      <w:r w:rsidRPr="00EB5FFB">
        <w:rPr>
          <w:rFonts w:hint="cs"/>
          <w:spacing w:val="-2"/>
          <w:sz w:val="20"/>
          <w:szCs w:val="36"/>
          <w:rtl/>
          <w:lang w:val="en-GB" w:eastAsia="en-US"/>
        </w:rPr>
        <w:t>... والأصل المشهور فيه</w:t>
      </w:r>
      <w:r w:rsidR="0048366D">
        <w:rPr>
          <w:rFonts w:hint="cs"/>
          <w:spacing w:val="-2"/>
          <w:sz w:val="20"/>
          <w:szCs w:val="36"/>
          <w:rtl/>
          <w:lang w:val="en-GB" w:eastAsia="en-US"/>
        </w:rPr>
        <w:t>:</w:t>
      </w:r>
      <w:r w:rsidRPr="00EB5FFB">
        <w:rPr>
          <w:rFonts w:hint="cs"/>
          <w:spacing w:val="-2"/>
          <w:sz w:val="20"/>
          <w:szCs w:val="36"/>
          <w:rtl/>
          <w:lang w:val="en-GB" w:eastAsia="en-US"/>
        </w:rPr>
        <w:t xml:space="preserve"> اليقين لا يزول بالشك</w:t>
      </w:r>
      <w:r w:rsidRPr="00EB5FFB">
        <w:rPr>
          <w:rFonts w:hint="eastAsia"/>
          <w:spacing w:val="-2"/>
          <w:sz w:val="20"/>
          <w:szCs w:val="36"/>
          <w:rtl/>
          <w:lang w:val="en-GB" w:eastAsia="en-US"/>
        </w:rPr>
        <w:t>»</w:t>
      </w:r>
      <w:r w:rsidRPr="00EB5FFB">
        <w:rPr>
          <w:rFonts w:hint="cs"/>
          <w:spacing w:val="-2"/>
          <w:sz w:val="20"/>
          <w:szCs w:val="36"/>
          <w:vertAlign w:val="superscript"/>
          <w:rtl/>
          <w:lang w:val="en-GB" w:eastAsia="en-US"/>
        </w:rPr>
        <w:t>(</w:t>
      </w:r>
      <w:r w:rsidRPr="00EB5FFB">
        <w:rPr>
          <w:bCs/>
          <w:spacing w:val="-2"/>
          <w:sz w:val="20"/>
          <w:szCs w:val="32"/>
          <w:vertAlign w:val="superscript"/>
          <w:rtl/>
          <w:lang w:val="en-GB" w:eastAsia="en-US"/>
        </w:rPr>
        <w:footnoteReference w:id="338"/>
      </w:r>
      <w:r w:rsidRPr="00EB5FFB">
        <w:rPr>
          <w:rFonts w:hint="cs"/>
          <w:spacing w:val="-2"/>
          <w:sz w:val="20"/>
          <w:szCs w:val="36"/>
          <w:vertAlign w:val="superscript"/>
          <w:rtl/>
          <w:lang w:val="en-GB" w:eastAsia="en-US"/>
        </w:rPr>
        <w:t>)</w:t>
      </w:r>
      <w:r w:rsidRPr="00EB5FFB">
        <w:rPr>
          <w:rFonts w:hint="cs"/>
          <w:spacing w:val="-2"/>
          <w:sz w:val="20"/>
          <w:szCs w:val="36"/>
          <w:rtl/>
          <w:lang w:val="en-GB" w:eastAsia="en-US"/>
        </w:rPr>
        <w:t>.</w:t>
      </w:r>
    </w:p>
    <w:p w:rsidR="00EB5FFB" w:rsidRPr="00EB5FFB" w:rsidRDefault="00EB5FFB" w:rsidP="009A68A5">
      <w:pPr>
        <w:widowControl/>
        <w:ind w:left="565" w:firstLine="2"/>
        <w:jc w:val="both"/>
        <w:rPr>
          <w:sz w:val="20"/>
          <w:szCs w:val="36"/>
          <w:rtl/>
          <w:lang w:val="en-GB" w:eastAsia="en-US"/>
        </w:rPr>
      </w:pPr>
      <w:r w:rsidRPr="00EB5FFB">
        <w:rPr>
          <w:rFonts w:hint="cs"/>
          <w:b/>
          <w:bCs/>
          <w:sz w:val="20"/>
          <w:szCs w:val="36"/>
          <w:rtl/>
          <w:lang w:val="en-GB" w:eastAsia="en-US"/>
        </w:rPr>
        <w:t>5</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نَقَلَ كثيرًا من العبارات دون عزوها إلى مصادرها</w:t>
      </w:r>
      <w:r w:rsidRPr="00EB5FFB">
        <w:rPr>
          <w:rFonts w:hint="cs"/>
          <w:sz w:val="20"/>
          <w:szCs w:val="36"/>
          <w:rtl/>
          <w:lang w:val="en-GB" w:eastAsia="en-US"/>
        </w:rPr>
        <w:t>، وربّما تضمنت العبارة نقولاً من كتب أخرى، فيصرّح بتلك الكتب، وما نُقل منها، دون ذكر الواسطة التي توصل بها إلى تلك النقول</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39"/>
      </w:r>
      <w:r w:rsidRPr="00EB5FFB">
        <w:rPr>
          <w:rFonts w:hint="cs"/>
          <w:sz w:val="20"/>
          <w:szCs w:val="36"/>
          <w:vertAlign w:val="superscript"/>
          <w:rtl/>
          <w:lang w:val="en-GB" w:eastAsia="en-US"/>
        </w:rPr>
        <w:t>)</w:t>
      </w:r>
      <w:r w:rsidRPr="00EB5FFB">
        <w:rPr>
          <w:rFonts w:hint="cs"/>
          <w:sz w:val="20"/>
          <w:szCs w:val="36"/>
          <w:rtl/>
          <w:lang w:val="en-GB" w:eastAsia="en-US"/>
        </w:rPr>
        <w:t xml:space="preserve">. </w:t>
      </w: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6</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w:t>
      </w:r>
      <w:r w:rsidRPr="00EB5FFB">
        <w:rPr>
          <w:rFonts w:hint="cs"/>
          <w:b/>
          <w:bCs/>
          <w:sz w:val="20"/>
          <w:szCs w:val="36"/>
          <w:rtl/>
          <w:lang w:val="en-GB" w:eastAsia="en-US" w:bidi="ar-AE"/>
        </w:rPr>
        <w:t>الإبهام أو الإجمال في بعض المصادر التي يوردها</w:t>
      </w:r>
      <w:r w:rsidRPr="00EB5FFB">
        <w:rPr>
          <w:rFonts w:hint="cs"/>
          <w:sz w:val="20"/>
          <w:szCs w:val="36"/>
          <w:vertAlign w:val="superscript"/>
          <w:rtl/>
          <w:lang w:val="en-GB" w:eastAsia="en-US" w:bidi="ar-AE"/>
        </w:rPr>
        <w:t>(</w:t>
      </w:r>
      <w:r w:rsidRPr="00EB5FFB">
        <w:rPr>
          <w:bCs/>
          <w:sz w:val="20"/>
          <w:szCs w:val="32"/>
          <w:vertAlign w:val="superscript"/>
          <w:rtl/>
          <w:lang w:val="en-GB" w:eastAsia="en-US" w:bidi="ar-AE"/>
        </w:rPr>
        <w:footnoteReference w:id="340"/>
      </w:r>
      <w:r w:rsidRPr="00EB5FFB">
        <w:rPr>
          <w:rFonts w:hint="cs"/>
          <w:sz w:val="20"/>
          <w:szCs w:val="36"/>
          <w:vertAlign w:val="superscript"/>
          <w:rtl/>
          <w:lang w:val="en-GB" w:eastAsia="en-US" w:bidi="ar-AE"/>
        </w:rPr>
        <w:t>)</w:t>
      </w:r>
      <w:r w:rsidRPr="00EB5FFB">
        <w:rPr>
          <w:rFonts w:hint="cs"/>
          <w:sz w:val="20"/>
          <w:szCs w:val="36"/>
          <w:rtl/>
          <w:lang w:val="en-GB" w:eastAsia="en-US" w:bidi="ar-AE"/>
        </w:rPr>
        <w:t>.</w:t>
      </w:r>
    </w:p>
    <w:p w:rsidR="00EB5FFB" w:rsidRPr="00EB5FFB" w:rsidRDefault="00EB5FFB" w:rsidP="009A68A5">
      <w:pPr>
        <w:widowControl/>
        <w:ind w:firstLine="567"/>
        <w:jc w:val="both"/>
        <w:rPr>
          <w:b/>
          <w:bCs/>
          <w:sz w:val="20"/>
          <w:szCs w:val="36"/>
          <w:rtl/>
          <w:lang w:val="en-GB" w:eastAsia="en-US"/>
        </w:rPr>
      </w:pPr>
      <w:r w:rsidRPr="00EB5FFB">
        <w:rPr>
          <w:rFonts w:hint="cs"/>
          <w:b/>
          <w:bCs/>
          <w:sz w:val="20"/>
          <w:szCs w:val="36"/>
          <w:rtl/>
          <w:lang w:val="en-GB" w:eastAsia="en-US" w:bidi="ar-AE"/>
        </w:rPr>
        <w:t>7</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w:t>
      </w:r>
      <w:r w:rsidRPr="00EB5FFB">
        <w:rPr>
          <w:rFonts w:hint="cs"/>
          <w:b/>
          <w:bCs/>
          <w:sz w:val="20"/>
          <w:szCs w:val="36"/>
          <w:rtl/>
          <w:lang w:val="en-GB" w:eastAsia="en-US"/>
        </w:rPr>
        <w:t>الوهم في بعض المصادر التي يصرّح بها</w:t>
      </w:r>
      <w:r w:rsidRPr="00EB5FFB">
        <w:rPr>
          <w:rFonts w:hint="cs"/>
          <w:sz w:val="20"/>
          <w:szCs w:val="36"/>
          <w:rtl/>
          <w:lang w:val="en-GB" w:eastAsia="en-US"/>
        </w:rPr>
        <w:t xml:space="preserve">. </w:t>
      </w:r>
      <w:r w:rsidRPr="00EB5FFB">
        <w:rPr>
          <w:rFonts w:hint="cs"/>
          <w:b/>
          <w:bCs/>
          <w:sz w:val="20"/>
          <w:szCs w:val="36"/>
          <w:rtl/>
          <w:lang w:val="en-GB" w:eastAsia="en-US"/>
        </w:rPr>
        <w:t>ومن أمثلة ذلك</w:t>
      </w:r>
      <w:r w:rsidR="0048366D">
        <w:rPr>
          <w:rFonts w:hint="cs"/>
          <w:b/>
          <w:bCs/>
          <w:sz w:val="20"/>
          <w:szCs w:val="36"/>
          <w:rtl/>
          <w:lang w:val="en-GB" w:eastAsia="en-US"/>
        </w:rPr>
        <w:t>:</w:t>
      </w:r>
    </w:p>
    <w:p w:rsidR="00EB5FFB" w:rsidRPr="00EB5FFB" w:rsidRDefault="00EB5FFB" w:rsidP="009A68A5">
      <w:pPr>
        <w:widowControl/>
        <w:ind w:left="567" w:firstLine="0"/>
        <w:jc w:val="both"/>
        <w:rPr>
          <w:sz w:val="20"/>
          <w:szCs w:val="36"/>
          <w:rtl/>
          <w:lang w:val="en-GB" w:eastAsia="en-US" w:bidi="ar-AE"/>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في نهاية شرحه لقاعدة 21 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كذا في (العناية)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1"/>
      </w:r>
      <w:r w:rsidRPr="00EB5FFB">
        <w:rPr>
          <w:rFonts w:hint="cs"/>
          <w:sz w:val="20"/>
          <w:szCs w:val="36"/>
          <w:vertAlign w:val="superscript"/>
          <w:rtl/>
          <w:lang w:val="en-GB" w:eastAsia="en-US"/>
        </w:rPr>
        <w:t>)</w:t>
      </w:r>
      <w:r w:rsidRPr="00EB5FFB">
        <w:rPr>
          <w:rFonts w:hint="cs"/>
          <w:sz w:val="20"/>
          <w:szCs w:val="36"/>
          <w:rtl/>
          <w:lang w:val="en-GB" w:eastAsia="en-US"/>
        </w:rPr>
        <w:t>.</w:t>
      </w:r>
      <w:r w:rsidRPr="00EB5FFB">
        <w:rPr>
          <w:rFonts w:hint="cs"/>
          <w:sz w:val="20"/>
          <w:szCs w:val="36"/>
          <w:rtl/>
          <w:lang w:val="en-GB" w:eastAsia="en-US" w:bidi="ar-AE"/>
        </w:rPr>
        <w:t xml:space="preserve"> </w:t>
      </w:r>
    </w:p>
    <w:p w:rsidR="00EB5FFB" w:rsidRPr="00EB5FFB" w:rsidRDefault="00EB5FFB" w:rsidP="009A68A5">
      <w:pPr>
        <w:widowControl/>
        <w:ind w:firstLine="567"/>
        <w:jc w:val="both"/>
        <w:rPr>
          <w:sz w:val="20"/>
          <w:szCs w:val="36"/>
          <w:rtl/>
          <w:lang w:val="en-GB" w:eastAsia="en-US" w:bidi="ar-AE"/>
        </w:rPr>
      </w:pPr>
      <w:r w:rsidRPr="00EB5FFB">
        <w:rPr>
          <w:rFonts w:hint="cs"/>
          <w:sz w:val="20"/>
          <w:szCs w:val="36"/>
          <w:rtl/>
          <w:lang w:val="en-GB" w:eastAsia="en-US" w:bidi="ar-AE"/>
        </w:rPr>
        <w:t>والواقع</w:t>
      </w:r>
      <w:r w:rsidR="0048366D">
        <w:rPr>
          <w:rFonts w:hint="cs"/>
          <w:sz w:val="20"/>
          <w:szCs w:val="36"/>
          <w:rtl/>
          <w:lang w:val="en-GB" w:eastAsia="en-US" w:bidi="ar-AE"/>
        </w:rPr>
        <w:t>:</w:t>
      </w:r>
      <w:r w:rsidRPr="00EB5FFB">
        <w:rPr>
          <w:rFonts w:hint="cs"/>
          <w:sz w:val="20"/>
          <w:szCs w:val="36"/>
          <w:rtl/>
          <w:lang w:val="en-GB" w:eastAsia="en-US" w:bidi="ar-AE"/>
        </w:rPr>
        <w:t xml:space="preserve"> أن الألفاظ تكاد تكون مطابقة لِـ(الدرر)، وهي بعيدة عن (العناية).</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bidi="ar-AE"/>
        </w:rPr>
        <w:t>وفي نهاية شرحه لقاعدة 60 قال</w:t>
      </w:r>
      <w:r w:rsidR="0048366D">
        <w:rPr>
          <w:rFonts w:hint="cs"/>
          <w:sz w:val="20"/>
          <w:szCs w:val="36"/>
          <w:rtl/>
          <w:lang w:val="en-GB" w:eastAsia="en-US" w:bidi="ar-AE"/>
        </w:rPr>
        <w:t>:</w:t>
      </w:r>
      <w:r w:rsidRPr="00EB5FFB">
        <w:rPr>
          <w:rFonts w:hint="cs"/>
          <w:sz w:val="20"/>
          <w:szCs w:val="36"/>
          <w:rtl/>
          <w:lang w:val="en-GB" w:eastAsia="en-US" w:bidi="ar-AE"/>
        </w:rPr>
        <w:t xml:space="preserve"> </w:t>
      </w:r>
      <w:r w:rsidRPr="00EB5FFB">
        <w:rPr>
          <w:rFonts w:hint="eastAsia"/>
          <w:sz w:val="20"/>
          <w:szCs w:val="36"/>
          <w:rtl/>
          <w:lang w:val="en-GB" w:eastAsia="en-US"/>
        </w:rPr>
        <w:t>«</w:t>
      </w:r>
      <w:r w:rsidRPr="00EB5FFB">
        <w:rPr>
          <w:rFonts w:hint="cs"/>
          <w:sz w:val="20"/>
          <w:szCs w:val="36"/>
          <w:rtl/>
          <w:lang w:val="en-GB" w:eastAsia="en-US"/>
        </w:rPr>
        <w:t>... كذا في (العناية)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والواقع</w:t>
      </w:r>
      <w:r w:rsidR="0048366D">
        <w:rPr>
          <w:rFonts w:hint="cs"/>
          <w:sz w:val="20"/>
          <w:szCs w:val="36"/>
          <w:rtl/>
          <w:lang w:val="en-GB" w:eastAsia="en-US"/>
        </w:rPr>
        <w:t>:</w:t>
      </w:r>
      <w:r w:rsidRPr="00EB5FFB">
        <w:rPr>
          <w:rFonts w:hint="cs"/>
          <w:sz w:val="20"/>
          <w:szCs w:val="36"/>
          <w:rtl/>
          <w:lang w:val="en-GB" w:eastAsia="en-US"/>
        </w:rPr>
        <w:t xml:space="preserve"> أن الألفاظ </w:t>
      </w:r>
      <w:r w:rsidRPr="00EB5FFB">
        <w:rPr>
          <w:rFonts w:hint="cs"/>
          <w:sz w:val="20"/>
          <w:szCs w:val="36"/>
          <w:rtl/>
          <w:lang w:val="en-GB" w:eastAsia="en-US" w:bidi="ar-AE"/>
        </w:rPr>
        <w:t>تكاد تكون مطابقة لِـ(الدرر)، ولم أجدها في (العناية).</w:t>
      </w:r>
    </w:p>
    <w:p w:rsidR="00EB5FFB" w:rsidRPr="00EB5FFB" w:rsidRDefault="00EB5FFB" w:rsidP="009A68A5">
      <w:pPr>
        <w:widowControl/>
        <w:ind w:left="567" w:firstLine="0"/>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 xml:space="preserve">وفي بداية شرحه لقاعدة 175 قال </w:t>
      </w:r>
      <w:r w:rsidRPr="00EB5FFB">
        <w:rPr>
          <w:rFonts w:hint="eastAsia"/>
          <w:sz w:val="20"/>
          <w:szCs w:val="36"/>
          <w:rtl/>
          <w:lang w:val="en-GB" w:eastAsia="en-US"/>
        </w:rPr>
        <w:t>«</w:t>
      </w:r>
      <w:r w:rsidRPr="00EB5FFB">
        <w:rPr>
          <w:rFonts w:hint="cs"/>
          <w:sz w:val="20"/>
          <w:szCs w:val="36"/>
          <w:rtl/>
          <w:lang w:val="en-GB" w:eastAsia="en-US"/>
        </w:rPr>
        <w:t>قال صاحب (الهداية)</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3"/>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 xml:space="preserve">والواقع أن الألفاظ </w:t>
      </w:r>
      <w:r w:rsidRPr="00EB5FFB">
        <w:rPr>
          <w:rFonts w:hint="cs"/>
          <w:sz w:val="20"/>
          <w:szCs w:val="36"/>
          <w:rtl/>
          <w:lang w:val="en-GB" w:eastAsia="en-US" w:bidi="ar-AE"/>
        </w:rPr>
        <w:t>تكاد تكون مطابقة لِـ(العناية)، وهي بعيدة عن (الهداية)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bidi="ar-AE"/>
        </w:rPr>
      </w:pPr>
      <w:r w:rsidRPr="00EB5FFB">
        <w:rPr>
          <w:rFonts w:hint="cs"/>
          <w:b/>
          <w:bCs/>
          <w:sz w:val="20"/>
          <w:szCs w:val="36"/>
          <w:rtl/>
          <w:lang w:val="en-GB" w:eastAsia="en-US" w:bidi="ar-AE"/>
        </w:rPr>
        <w:t>8</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أنه في مواضع -قليلة- </w:t>
      </w:r>
      <w:r w:rsidRPr="00EB5FFB">
        <w:rPr>
          <w:rFonts w:hint="cs"/>
          <w:b/>
          <w:bCs/>
          <w:sz w:val="20"/>
          <w:szCs w:val="36"/>
          <w:rtl/>
          <w:lang w:val="en-GB" w:eastAsia="en-US" w:bidi="ar-AE"/>
        </w:rPr>
        <w:t>لم يكن دقيقًا في نسبة الأقوال إلى أصحابها</w:t>
      </w:r>
      <w:r w:rsidRPr="00EB5FFB">
        <w:rPr>
          <w:rFonts w:hint="cs"/>
          <w:sz w:val="20"/>
          <w:szCs w:val="36"/>
          <w:rtl/>
          <w:lang w:val="en-GB" w:eastAsia="en-US" w:bidi="ar-AE"/>
        </w:rPr>
        <w:t xml:space="preserve">. ومن ذلك: </w:t>
      </w:r>
    </w:p>
    <w:p w:rsidR="00EB5FFB" w:rsidRPr="00EB5FFB" w:rsidRDefault="00EB5FFB" w:rsidP="009A68A5">
      <w:pPr>
        <w:widowControl/>
        <w:spacing w:line="228" w:lineRule="auto"/>
        <w:ind w:left="565" w:firstLine="0"/>
        <w:jc w:val="both"/>
        <w:rPr>
          <w:sz w:val="20"/>
          <w:szCs w:val="36"/>
          <w:rtl/>
          <w:lang w:val="en-GB" w:eastAsia="en-US"/>
        </w:rPr>
      </w:pPr>
      <w:r w:rsidRPr="00EB5FFB">
        <w:rPr>
          <w:sz w:val="22"/>
          <w:szCs w:val="38"/>
          <w:rtl/>
          <w:lang w:eastAsia="en-US"/>
        </w:rPr>
        <w:lastRenderedPageBreak/>
        <w:t>•</w:t>
      </w:r>
      <w:r w:rsidRPr="00EB5FFB">
        <w:rPr>
          <w:rFonts w:hint="cs"/>
          <w:sz w:val="22"/>
          <w:szCs w:val="38"/>
          <w:rtl/>
          <w:lang w:eastAsia="en-US"/>
        </w:rPr>
        <w:t xml:space="preserve"> </w:t>
      </w:r>
      <w:r w:rsidRPr="00EB5FFB">
        <w:rPr>
          <w:rFonts w:hint="cs"/>
          <w:sz w:val="20"/>
          <w:szCs w:val="36"/>
          <w:rtl/>
          <w:lang w:val="en-GB" w:eastAsia="en-US" w:bidi="ar-AE"/>
        </w:rPr>
        <w:t xml:space="preserve">عند حديثه عن </w:t>
      </w:r>
      <w:r w:rsidRPr="00EB5FFB">
        <w:rPr>
          <w:rFonts w:hint="cs"/>
          <w:sz w:val="38"/>
          <w:szCs w:val="38"/>
          <w:rtl/>
          <w:lang w:val="en-GB" w:eastAsia="en-US" w:bidi="ar-AE"/>
        </w:rPr>
        <w:t>ق47</w:t>
      </w:r>
      <w:r w:rsidR="0048366D">
        <w:rPr>
          <w:rFonts w:hint="cs"/>
          <w:sz w:val="38"/>
          <w:szCs w:val="38"/>
          <w:rtl/>
          <w:lang w:val="en-GB" w:eastAsia="en-US" w:bidi="ar-AE"/>
        </w:rPr>
        <w:t>:</w:t>
      </w:r>
      <w:r w:rsidRPr="00EB5FFB">
        <w:rPr>
          <w:rFonts w:hint="cs"/>
          <w:sz w:val="38"/>
          <w:szCs w:val="38"/>
          <w:rtl/>
          <w:lang w:val="en-GB" w:eastAsia="en-US" w:bidi="ar-AE"/>
        </w:rPr>
        <w:t xml:space="preserve"> </w:t>
      </w:r>
      <w:r w:rsidRPr="00EB5FFB">
        <w:rPr>
          <w:rFonts w:hint="eastAsia"/>
          <w:sz w:val="20"/>
          <w:szCs w:val="36"/>
          <w:rtl/>
          <w:lang w:val="en-GB" w:eastAsia="en-US"/>
        </w:rPr>
        <w:t>«</w:t>
      </w:r>
      <w:r w:rsidRPr="00EB5FFB">
        <w:rPr>
          <w:rFonts w:hint="cs"/>
          <w:sz w:val="38"/>
          <w:szCs w:val="38"/>
          <w:rtl/>
          <w:lang w:val="en-GB" w:eastAsia="en-US" w:bidi="ar-AE"/>
        </w:rPr>
        <w:t>الأَمْرُ يُفِيدُ وُجُوبَ إِيْقَاعِ الفِعْلِ مَرَّةً</w:t>
      </w:r>
      <w:r w:rsidRPr="00EB5FFB">
        <w:rPr>
          <w:rFonts w:hint="eastAsia"/>
          <w:sz w:val="20"/>
          <w:szCs w:val="36"/>
          <w:rtl/>
          <w:lang w:val="en-GB" w:eastAsia="en-US"/>
        </w:rPr>
        <w:t>»</w:t>
      </w:r>
      <w:r w:rsidR="0048366D">
        <w:rPr>
          <w:rFonts w:hint="cs"/>
          <w:sz w:val="20"/>
          <w:szCs w:val="36"/>
          <w:rtl/>
          <w:lang w:val="en-GB" w:eastAsia="en-US"/>
        </w:rPr>
        <w:t>:</w:t>
      </w:r>
      <w:r w:rsidRPr="00EB5FFB">
        <w:rPr>
          <w:rFonts w:hint="cs"/>
          <w:sz w:val="20"/>
          <w:szCs w:val="36"/>
          <w:rtl/>
          <w:lang w:val="en-GB" w:eastAsia="en-US"/>
        </w:rPr>
        <w:t xml:space="preserve"> نسب إلى الإمام</w:t>
      </w:r>
      <w:r w:rsidRPr="00EB5FFB">
        <w:rPr>
          <w:rFonts w:hint="eastAsia"/>
          <w:sz w:val="20"/>
          <w:szCs w:val="36"/>
          <w:rtl/>
          <w:lang w:val="en-GB" w:eastAsia="en-US"/>
        </w:rPr>
        <w:t> </w:t>
      </w:r>
      <w:r w:rsidRPr="00EB5FFB">
        <w:rPr>
          <w:rFonts w:hint="cs"/>
          <w:sz w:val="20"/>
          <w:szCs w:val="36"/>
          <w:rtl/>
          <w:lang w:val="en-GB" w:eastAsia="en-US"/>
        </w:rPr>
        <w:t>الشافعي أنه يرى أن الأمر يحتمل التكرار، ويحمل عليه عند النيّة. والقول المنسوب إلى الإمام الشافعي في كتب الشافعية</w:t>
      </w:r>
      <w:r w:rsidR="0048366D">
        <w:rPr>
          <w:rFonts w:hint="cs"/>
          <w:sz w:val="20"/>
          <w:szCs w:val="36"/>
          <w:rtl/>
          <w:lang w:val="en-GB" w:eastAsia="en-US"/>
        </w:rPr>
        <w:t>:</w:t>
      </w:r>
      <w:r w:rsidRPr="00EB5FFB">
        <w:rPr>
          <w:rFonts w:hint="cs"/>
          <w:sz w:val="20"/>
          <w:szCs w:val="36"/>
          <w:rtl/>
          <w:lang w:val="en-GB" w:eastAsia="en-US"/>
        </w:rPr>
        <w:t xml:space="preserve"> أن الأمر </w:t>
      </w:r>
      <w:r w:rsidRPr="00EB5FFB">
        <w:rPr>
          <w:rFonts w:hint="eastAsia"/>
          <w:sz w:val="20"/>
          <w:szCs w:val="36"/>
          <w:rtl/>
          <w:lang w:val="en-GB" w:eastAsia="en-US"/>
        </w:rPr>
        <w:t>«</w:t>
      </w:r>
      <w:r w:rsidRPr="00EB5FFB">
        <w:rPr>
          <w:rFonts w:hint="cs"/>
          <w:sz w:val="20"/>
          <w:szCs w:val="36"/>
          <w:rtl/>
          <w:lang w:val="en-GB" w:eastAsia="en-US"/>
        </w:rPr>
        <w:t>نصٌّ في المرّة الواحدة فقط، ولا يحتمل التكرار، وإنما يحمل عليه بدليل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228" w:lineRule="auto"/>
        <w:ind w:left="848" w:hanging="283"/>
        <w:jc w:val="both"/>
        <w:rPr>
          <w:sz w:val="20"/>
          <w:szCs w:val="36"/>
          <w:lang w:val="en-GB" w:eastAsia="en-US"/>
        </w:rPr>
      </w:pPr>
      <w:r w:rsidRPr="00EB5FFB">
        <w:rPr>
          <w:rFonts w:ascii="Wingdings" w:hAnsi="Wingdings" w:cs="Wingdings"/>
          <w:sz w:val="22"/>
          <w:szCs w:val="22"/>
          <w:lang w:eastAsia="en-US"/>
        </w:rPr>
        <w:t></w:t>
      </w:r>
      <w:r w:rsidRPr="00EB5FFB">
        <w:rPr>
          <w:rFonts w:hint="cs"/>
          <w:sz w:val="20"/>
          <w:szCs w:val="36"/>
          <w:rtl/>
          <w:lang w:val="en-GB" w:eastAsia="en-US"/>
        </w:rPr>
        <w:t xml:space="preserve"> نسب إلى مذهب الإمام مالك أنه يرى براءة الأصيل بنفس الكفالة. والواقع في كتب المالكية أن هذا إنما يكون إذا كان العقد عقد حوالة، أما الكفالة فلا</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228" w:lineRule="auto"/>
        <w:ind w:firstLine="567"/>
        <w:jc w:val="both"/>
        <w:rPr>
          <w:sz w:val="20"/>
          <w:szCs w:val="36"/>
          <w:rtl/>
          <w:lang w:val="en-GB" w:eastAsia="en-US" w:bidi="ar-AE"/>
        </w:rPr>
      </w:pPr>
      <w:r w:rsidRPr="00EB5FFB">
        <w:rPr>
          <w:rFonts w:hint="cs"/>
          <w:b/>
          <w:bCs/>
          <w:sz w:val="20"/>
          <w:szCs w:val="36"/>
          <w:rtl/>
          <w:lang w:val="en-GB" w:eastAsia="en-US" w:bidi="ar-AE"/>
        </w:rPr>
        <w:t>9</w:t>
      </w:r>
      <w:r w:rsidRPr="00EB5FFB">
        <w:rPr>
          <w:rFonts w:hint="cs"/>
          <w:sz w:val="20"/>
          <w:szCs w:val="36"/>
          <w:rtl/>
          <w:lang w:val="en-GB" w:eastAsia="en-US" w:bidi="ar-AE"/>
        </w:rPr>
        <w:t xml:space="preserve"> </w:t>
      </w:r>
      <w:r w:rsidRPr="00EB5FFB">
        <w:rPr>
          <w:rFonts w:hint="cs"/>
          <w:b/>
          <w:bCs/>
          <w:sz w:val="20"/>
          <w:szCs w:val="36"/>
          <w:rtl/>
          <w:lang w:val="en-GB" w:eastAsia="en-US" w:bidi="ar-AE"/>
        </w:rPr>
        <w:t>-</w:t>
      </w:r>
      <w:r w:rsidRPr="00EB5FFB">
        <w:rPr>
          <w:rFonts w:hint="cs"/>
          <w:sz w:val="20"/>
          <w:szCs w:val="36"/>
          <w:rtl/>
          <w:lang w:val="en-GB" w:eastAsia="en-US" w:bidi="ar-AE"/>
        </w:rPr>
        <w:t xml:space="preserve"> </w:t>
      </w:r>
      <w:r w:rsidRPr="00EB5FFB">
        <w:rPr>
          <w:rFonts w:hint="cs"/>
          <w:b/>
          <w:bCs/>
          <w:sz w:val="20"/>
          <w:szCs w:val="36"/>
          <w:rtl/>
          <w:lang w:val="en-GB" w:eastAsia="en-US" w:bidi="ar-AE"/>
        </w:rPr>
        <w:t>تزكيته لكتابه، والتباهي به، وأن فيه فوائد لا توجد في غيره.</w:t>
      </w:r>
    </w:p>
    <w:p w:rsidR="00EB5FFB" w:rsidRPr="00EB5FFB" w:rsidRDefault="00EB5FFB" w:rsidP="009A68A5">
      <w:pPr>
        <w:widowControl/>
        <w:spacing w:line="228" w:lineRule="auto"/>
        <w:ind w:firstLine="567"/>
        <w:jc w:val="both"/>
        <w:rPr>
          <w:b/>
          <w:bCs/>
          <w:sz w:val="20"/>
          <w:szCs w:val="36"/>
          <w:rtl/>
          <w:lang w:val="en-GB" w:eastAsia="en-US"/>
        </w:rPr>
      </w:pPr>
      <w:r w:rsidRPr="00EB5FFB">
        <w:rPr>
          <w:rFonts w:hint="cs"/>
          <w:b/>
          <w:bCs/>
          <w:sz w:val="20"/>
          <w:szCs w:val="36"/>
          <w:rtl/>
          <w:lang w:val="en-GB" w:eastAsia="en-US" w:bidi="ar-AE"/>
        </w:rPr>
        <w:t>فمن عباراته التي يظهر فيها التزكية لكتابه</w:t>
      </w:r>
      <w:r w:rsidR="0048366D">
        <w:rPr>
          <w:rFonts w:hint="cs"/>
          <w:b/>
          <w:bCs/>
          <w:sz w:val="20"/>
          <w:szCs w:val="36"/>
          <w:rtl/>
          <w:lang w:val="en-GB" w:eastAsia="en-US" w:bidi="ar-AE"/>
        </w:rPr>
        <w:t>:</w:t>
      </w:r>
    </w:p>
    <w:p w:rsidR="00EB5FFB" w:rsidRPr="00EB5FFB" w:rsidRDefault="00EB5FFB" w:rsidP="009A68A5">
      <w:pPr>
        <w:widowControl/>
        <w:spacing w:line="228" w:lineRule="auto"/>
        <w:ind w:left="849" w:hanging="282"/>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eastAsia"/>
          <w:sz w:val="20"/>
          <w:szCs w:val="36"/>
          <w:rtl/>
          <w:lang w:val="en-GB" w:eastAsia="en-US"/>
        </w:rPr>
        <w:t>«</w:t>
      </w:r>
      <w:r w:rsidRPr="00EB5FFB">
        <w:rPr>
          <w:rFonts w:hint="cs"/>
          <w:sz w:val="20"/>
          <w:szCs w:val="36"/>
          <w:rtl/>
          <w:lang w:val="en-GB" w:eastAsia="en-US"/>
        </w:rPr>
        <w:t>... ولم يذكر شراح (الهداية) هذا الوجه السالم عن النظر، مع وضوحه، فكأنّهم غفلوا عنه. وهذا ممّا ترك الأوّلون للآخرين، والحمد لله رب العالمين</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228" w:lineRule="auto"/>
        <w:ind w:left="849" w:hanging="282"/>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eastAsia"/>
          <w:sz w:val="20"/>
          <w:szCs w:val="36"/>
          <w:rtl/>
          <w:lang w:val="en-GB" w:eastAsia="en-US"/>
        </w:rPr>
        <w:t>«</w:t>
      </w:r>
      <w:r w:rsidRPr="00EB5FFB">
        <w:rPr>
          <w:rFonts w:hint="cs"/>
          <w:sz w:val="20"/>
          <w:szCs w:val="36"/>
          <w:rtl/>
          <w:lang w:val="en-GB" w:eastAsia="en-US"/>
        </w:rPr>
        <w:t>خُذْ هذا واغتنم، واحفظْ ولا تَهمْ، فإن ما استُفيد من هذا القليل لا يستفاد من المطوّلات مع التفصيل</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228" w:lineRule="auto"/>
        <w:ind w:left="849" w:hanging="282"/>
        <w:jc w:val="both"/>
        <w:rPr>
          <w:sz w:val="20"/>
          <w:szCs w:val="36"/>
          <w:rtl/>
          <w:lang w:val="en-GB" w:eastAsia="en-US" w:bidi="ar-AE"/>
        </w:rPr>
      </w:pPr>
      <w:r w:rsidRPr="00EB5FFB">
        <w:rPr>
          <w:sz w:val="22"/>
          <w:szCs w:val="38"/>
          <w:rtl/>
          <w:lang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واضطربوا الشراح في طلب الفائدة في هذا القيد</w:t>
      </w:r>
      <w:r w:rsidR="0048366D">
        <w:rPr>
          <w:rFonts w:hint="cs"/>
          <w:sz w:val="20"/>
          <w:szCs w:val="36"/>
          <w:rtl/>
          <w:lang w:val="en-GB" w:eastAsia="en-US"/>
        </w:rPr>
        <w:t>.</w:t>
      </w:r>
      <w:r w:rsidRPr="00EB5FFB">
        <w:rPr>
          <w:rFonts w:hint="cs"/>
          <w:sz w:val="20"/>
          <w:szCs w:val="36"/>
          <w:rtl/>
          <w:lang w:val="en-GB" w:eastAsia="en-US"/>
        </w:rPr>
        <w:t>.. فالفائدة التي تفرّدت على اطلاعها</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49"/>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spacing w:line="228" w:lineRule="auto"/>
        <w:ind w:firstLine="567"/>
        <w:jc w:val="both"/>
        <w:rPr>
          <w:sz w:val="20"/>
          <w:szCs w:val="36"/>
          <w:rtl/>
          <w:lang w:val="en-GB" w:eastAsia="en-US"/>
        </w:rPr>
      </w:pPr>
      <w:r w:rsidRPr="00EB5FFB">
        <w:rPr>
          <w:rFonts w:hint="cs"/>
          <w:b/>
          <w:bCs/>
          <w:sz w:val="20"/>
          <w:szCs w:val="36"/>
          <w:rtl/>
          <w:lang w:val="en-GB" w:eastAsia="en-US"/>
        </w:rPr>
        <w:t>10</w:t>
      </w:r>
      <w:r w:rsidRPr="00EB5FFB">
        <w:rPr>
          <w:rFonts w:hint="cs"/>
          <w:sz w:val="20"/>
          <w:szCs w:val="36"/>
          <w:rtl/>
          <w:lang w:val="en-GB" w:eastAsia="en-US"/>
        </w:rPr>
        <w:t xml:space="preserve"> </w:t>
      </w:r>
      <w:r w:rsidRPr="00EB5FFB">
        <w:rPr>
          <w:sz w:val="20"/>
          <w:szCs w:val="36"/>
          <w:rtl/>
          <w:lang w:val="en-GB" w:eastAsia="en-US"/>
        </w:rPr>
        <w:t>–</w:t>
      </w:r>
      <w:r w:rsidRPr="00EB5FFB">
        <w:rPr>
          <w:rFonts w:hint="cs"/>
          <w:sz w:val="20"/>
          <w:szCs w:val="36"/>
          <w:rtl/>
          <w:lang w:val="en-GB" w:eastAsia="en-US"/>
        </w:rPr>
        <w:t xml:space="preserve"> إيراده بعض العبارات التي قد يُفهم منها </w:t>
      </w:r>
      <w:r w:rsidRPr="00EB5FFB">
        <w:rPr>
          <w:rFonts w:hint="cs"/>
          <w:b/>
          <w:bCs/>
          <w:sz w:val="20"/>
          <w:szCs w:val="36"/>
          <w:rtl/>
          <w:lang w:val="en-GB" w:eastAsia="en-US"/>
        </w:rPr>
        <w:t>عدم كمال الأدب مع العلماء</w:t>
      </w:r>
      <w:r w:rsidRPr="00EB5FFB">
        <w:rPr>
          <w:rFonts w:hint="cs"/>
          <w:sz w:val="20"/>
          <w:szCs w:val="36"/>
          <w:rtl/>
          <w:lang w:val="en-GB" w:eastAsia="en-US"/>
        </w:rPr>
        <w:t>.</w:t>
      </w:r>
    </w:p>
    <w:p w:rsidR="00EB5FFB" w:rsidRPr="00EB5FFB" w:rsidRDefault="00EB5FFB" w:rsidP="009A68A5">
      <w:pPr>
        <w:widowControl/>
        <w:spacing w:line="228" w:lineRule="auto"/>
        <w:ind w:firstLine="567"/>
        <w:jc w:val="both"/>
        <w:rPr>
          <w:b/>
          <w:bCs/>
          <w:sz w:val="20"/>
          <w:szCs w:val="36"/>
          <w:rtl/>
          <w:lang w:val="en-GB" w:eastAsia="en-US"/>
        </w:rPr>
      </w:pPr>
      <w:r w:rsidRPr="00EB5FFB">
        <w:rPr>
          <w:rFonts w:hint="cs"/>
          <w:b/>
          <w:bCs/>
          <w:sz w:val="20"/>
          <w:szCs w:val="36"/>
          <w:rtl/>
          <w:lang w:val="en-GB" w:eastAsia="en-US"/>
        </w:rPr>
        <w:t>فمن ذلك</w:t>
      </w:r>
      <w:r w:rsidR="0048366D">
        <w:rPr>
          <w:rFonts w:hint="cs"/>
          <w:b/>
          <w:bCs/>
          <w:sz w:val="20"/>
          <w:szCs w:val="36"/>
          <w:rtl/>
          <w:lang w:val="en-GB" w:eastAsia="en-US"/>
        </w:rPr>
        <w:t>:</w:t>
      </w:r>
    </w:p>
    <w:p w:rsidR="00EB5FFB" w:rsidRPr="00EB5FFB" w:rsidRDefault="00EB5FFB" w:rsidP="009A68A5">
      <w:pPr>
        <w:widowControl/>
        <w:spacing w:line="228" w:lineRule="auto"/>
        <w:ind w:left="849" w:hanging="284"/>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 xml:space="preserve">أنه عُرِضتْ عليه مسألة فأفتى فيها، ثم عُرضت المسألة على القاضي، فاعترض على الفتوى بأنها مخالفة لما في (المحيط البرهاني)، فوصف المؤلف صنيع القاضي بأنه من قلة </w:t>
      </w:r>
      <w:r w:rsidRPr="00EB5FFB">
        <w:rPr>
          <w:rFonts w:hint="cs"/>
          <w:sz w:val="20"/>
          <w:szCs w:val="36"/>
          <w:rtl/>
          <w:lang w:val="en-GB" w:eastAsia="en-US"/>
        </w:rPr>
        <w:lastRenderedPageBreak/>
        <w:t>التدبير، فقال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فالاعتراض فيها من قلة التدبير فيما أراد صاحب (المحيط). فإن أردت التفصيل في هذا المقام فاستمع ما ألقي إليك من الكلام...</w:t>
      </w:r>
      <w:r w:rsidRPr="00EB5FFB">
        <w:rPr>
          <w:rFonts w:hint="eastAsia"/>
          <w:sz w:val="20"/>
          <w:szCs w:val="36"/>
          <w:rtl/>
          <w:lang w:val="en-GB" w:eastAsia="en-US"/>
        </w:rPr>
        <w:t>»</w:t>
      </w:r>
      <w:r w:rsidRPr="00EB5FFB">
        <w:rPr>
          <w:rFonts w:hint="cs"/>
          <w:sz w:val="20"/>
          <w:szCs w:val="36"/>
          <w:rtl/>
          <w:lang w:val="en-GB" w:eastAsia="en-US"/>
        </w:rPr>
        <w:t xml:space="preserve"> </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0"/>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left="849" w:hanging="284"/>
        <w:jc w:val="both"/>
        <w:rPr>
          <w:sz w:val="20"/>
          <w:szCs w:val="36"/>
          <w:rtl/>
          <w:lang w:val="en-GB" w:eastAsia="en-US"/>
        </w:rPr>
      </w:pPr>
      <w:r w:rsidRPr="00EB5FFB">
        <w:rPr>
          <w:sz w:val="22"/>
          <w:szCs w:val="38"/>
          <w:rtl/>
          <w:lang w:eastAsia="en-US"/>
        </w:rPr>
        <w:t>•</w:t>
      </w:r>
      <w:r w:rsidRPr="00EB5FFB">
        <w:rPr>
          <w:rFonts w:hint="cs"/>
          <w:sz w:val="22"/>
          <w:szCs w:val="38"/>
          <w:rtl/>
          <w:lang w:eastAsia="en-US"/>
        </w:rPr>
        <w:t xml:space="preserve"> </w:t>
      </w:r>
      <w:r w:rsidRPr="00EB5FFB">
        <w:rPr>
          <w:rFonts w:hint="cs"/>
          <w:sz w:val="20"/>
          <w:szCs w:val="36"/>
          <w:rtl/>
          <w:lang w:val="en-GB" w:eastAsia="en-US"/>
        </w:rPr>
        <w:t>أنه عند حديثه عن القاعدة (147) نقل فرعًا عن صاحب (الدرر) معلِّلاً بهذه القاعدة. فتعقبه المؤلف بقوله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أقول</w:t>
      </w:r>
      <w:r w:rsidR="0048366D">
        <w:rPr>
          <w:rFonts w:hint="cs"/>
          <w:sz w:val="20"/>
          <w:szCs w:val="36"/>
          <w:rtl/>
          <w:lang w:val="en-GB" w:eastAsia="en-US"/>
        </w:rPr>
        <w:t>:</w:t>
      </w:r>
      <w:r w:rsidRPr="00EB5FFB">
        <w:rPr>
          <w:rFonts w:hint="cs"/>
          <w:sz w:val="20"/>
          <w:szCs w:val="36"/>
          <w:rtl/>
          <w:lang w:val="en-GB" w:eastAsia="en-US"/>
        </w:rPr>
        <w:t xml:space="preserve"> لا يخفى على من له ذوق سليم أن هذا الأصل يكون دليلاً على خلاف مراده. وتقريره</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1"/>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فهذه العبارة مفهومها</w:t>
      </w:r>
      <w:r w:rsidR="0048366D">
        <w:rPr>
          <w:rFonts w:hint="cs"/>
          <w:sz w:val="20"/>
          <w:szCs w:val="36"/>
          <w:rtl/>
          <w:lang w:val="en-GB" w:eastAsia="en-US"/>
        </w:rPr>
        <w:t>:</w:t>
      </w:r>
      <w:r w:rsidRPr="00EB5FFB">
        <w:rPr>
          <w:rFonts w:hint="cs"/>
          <w:sz w:val="20"/>
          <w:szCs w:val="36"/>
          <w:rtl/>
          <w:lang w:val="en-GB" w:eastAsia="en-US"/>
        </w:rPr>
        <w:t xml:space="preserve"> أن صاحب (الدرر) ليس له ذوق سليم؛ لأن (مَنْ) اسم موصول والاسم الموصول من ألفاظ العموم، وحيث إن هذا قد خفي على صاحب (الدرر) فليس داخلاً تحت هذا العموم، فمفهوم المخالفة</w:t>
      </w:r>
      <w:r w:rsidR="0048366D">
        <w:rPr>
          <w:rFonts w:hint="cs"/>
          <w:sz w:val="20"/>
          <w:szCs w:val="36"/>
          <w:rtl/>
          <w:lang w:val="en-GB" w:eastAsia="en-US"/>
        </w:rPr>
        <w:t>:</w:t>
      </w:r>
      <w:r w:rsidRPr="00EB5FFB">
        <w:rPr>
          <w:rFonts w:hint="cs"/>
          <w:sz w:val="20"/>
          <w:szCs w:val="36"/>
          <w:rtl/>
          <w:lang w:val="en-GB" w:eastAsia="en-US"/>
        </w:rPr>
        <w:t xml:space="preserve"> أنه ليس له ذوق سليم!</w:t>
      </w:r>
      <w:r w:rsidRPr="00EB5FFB">
        <w:rPr>
          <w:rFonts w:hint="cs"/>
          <w:sz w:val="20"/>
          <w:szCs w:val="36"/>
          <w:vertAlign w:val="superscript"/>
          <w:rtl/>
          <w:lang w:val="en-GB" w:eastAsia="en-US"/>
        </w:rPr>
        <w:t xml:space="preserve"> (</w:t>
      </w:r>
      <w:r w:rsidRPr="00EB5FFB">
        <w:rPr>
          <w:bCs/>
          <w:sz w:val="20"/>
          <w:szCs w:val="32"/>
          <w:vertAlign w:val="superscript"/>
          <w:rtl/>
          <w:lang w:val="en-GB" w:eastAsia="en-US"/>
        </w:rPr>
        <w:footnoteReference w:id="352"/>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11</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أنه عند ذكر المسائل التي قيل</w:t>
      </w:r>
      <w:r w:rsidR="0048366D">
        <w:rPr>
          <w:rFonts w:hint="cs"/>
          <w:sz w:val="20"/>
          <w:szCs w:val="36"/>
          <w:rtl/>
          <w:lang w:val="en-GB" w:eastAsia="en-US"/>
        </w:rPr>
        <w:t>:</w:t>
      </w:r>
      <w:r w:rsidRPr="00EB5FFB">
        <w:rPr>
          <w:rFonts w:hint="cs"/>
          <w:sz w:val="20"/>
          <w:szCs w:val="36"/>
          <w:rtl/>
          <w:lang w:val="en-GB" w:eastAsia="en-US"/>
        </w:rPr>
        <w:t xml:space="preserve"> إنها مستثناة عن القاعدة يقول غالبًا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وخرج عن هذا الأصل</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3"/>
      </w:r>
      <w:r w:rsidRPr="00EB5FFB">
        <w:rPr>
          <w:rFonts w:hint="cs"/>
          <w:sz w:val="20"/>
          <w:szCs w:val="36"/>
          <w:vertAlign w:val="superscript"/>
          <w:rtl/>
          <w:lang w:val="en-GB" w:eastAsia="en-US"/>
        </w:rPr>
        <w:t>)</w:t>
      </w:r>
      <w:r w:rsidRPr="00EB5FFB">
        <w:rPr>
          <w:rFonts w:hint="cs"/>
          <w:sz w:val="20"/>
          <w:szCs w:val="36"/>
          <w:rtl/>
          <w:lang w:val="en-GB" w:eastAsia="en-US"/>
        </w:rPr>
        <w:t>، ثم بعد ذلك يبيّن أنّ هذه المسائل لم تدخل تحت القاعدة أصلاً.</w:t>
      </w:r>
    </w:p>
    <w:p w:rsidR="00EB5FFB" w:rsidRPr="00EB5FFB" w:rsidRDefault="00EB5FFB" w:rsidP="009A68A5">
      <w:pPr>
        <w:widowControl/>
        <w:ind w:firstLine="567"/>
        <w:jc w:val="both"/>
        <w:rPr>
          <w:spacing w:val="-10"/>
          <w:sz w:val="20"/>
          <w:szCs w:val="36"/>
          <w:rtl/>
          <w:lang w:val="en-GB" w:eastAsia="en-US"/>
        </w:rPr>
      </w:pPr>
      <w:r w:rsidRPr="00EB5FFB">
        <w:rPr>
          <w:rFonts w:hint="cs"/>
          <w:b/>
          <w:bCs/>
          <w:spacing w:val="-10"/>
          <w:sz w:val="20"/>
          <w:szCs w:val="36"/>
          <w:rtl/>
          <w:lang w:val="en-GB" w:eastAsia="en-US"/>
        </w:rPr>
        <w:t>وهذا التعبير فيه تجوّز</w:t>
      </w:r>
      <w:r w:rsidRPr="00EB5FFB">
        <w:rPr>
          <w:rFonts w:hint="cs"/>
          <w:spacing w:val="-10"/>
          <w:sz w:val="20"/>
          <w:szCs w:val="36"/>
          <w:rtl/>
          <w:lang w:val="en-GB" w:eastAsia="en-US"/>
        </w:rPr>
        <w:t>؛ لأنه إذا كانت المسألة غير داخلة تحت القاعدة فكيف تخرج عنها؟!.</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ويبدو أنّ هذا الأمر هو الذي يدفعه في مواضع أخرى إلى التعبير بقوله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وخرج عن هذا الأصل في بدء النظر</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rtl/>
          <w:lang w:val="en-GB" w:eastAsia="en-US"/>
        </w:rPr>
        <w:t>. أو</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وبعضهم استثنى من هذه القاعدة...</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4"/>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12</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أنه - في مواضع قليلة </w:t>
      </w:r>
      <w:r w:rsidRPr="00EB5FFB">
        <w:rPr>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لم يكن دقيقًا في المصطلحات العلمية</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ومثال ذلك</w:t>
      </w:r>
      <w:r w:rsidR="0048366D">
        <w:rPr>
          <w:rFonts w:hint="cs"/>
          <w:sz w:val="20"/>
          <w:szCs w:val="36"/>
          <w:rtl/>
          <w:lang w:val="en-GB" w:eastAsia="en-US"/>
        </w:rPr>
        <w:t>:</w:t>
      </w:r>
      <w:r w:rsidRPr="00EB5FFB">
        <w:rPr>
          <w:rFonts w:hint="cs"/>
          <w:sz w:val="20"/>
          <w:szCs w:val="36"/>
          <w:rtl/>
          <w:lang w:val="en-GB" w:eastAsia="en-US"/>
        </w:rPr>
        <w:t xml:space="preserve"> أنه جمع بين (العام) و(المطلق)، وبين (الخاص) و(المقيد)، وذلك عند حديثه عن </w:t>
      </w:r>
      <w:r w:rsidRPr="00EB5FFB">
        <w:rPr>
          <w:rFonts w:hint="cs"/>
          <w:sz w:val="38"/>
          <w:szCs w:val="38"/>
          <w:rtl/>
          <w:lang w:val="en-GB" w:eastAsia="en-US"/>
        </w:rPr>
        <w:t>ق30</w:t>
      </w:r>
      <w:r w:rsidR="0048366D">
        <w:rPr>
          <w:rFonts w:hint="cs"/>
          <w:sz w:val="38"/>
          <w:szCs w:val="38"/>
          <w:rtl/>
          <w:lang w:val="en-GB" w:eastAsia="en-US"/>
        </w:rPr>
        <w:t>:</w:t>
      </w:r>
      <w:r w:rsidRPr="00EB5FFB">
        <w:rPr>
          <w:rFonts w:hint="cs"/>
          <w:sz w:val="38"/>
          <w:szCs w:val="38"/>
          <w:rtl/>
          <w:lang w:val="en-GB" w:eastAsia="en-US"/>
        </w:rPr>
        <w:t xml:space="preserve"> </w:t>
      </w:r>
      <w:r w:rsidRPr="00EB5FFB">
        <w:rPr>
          <w:rFonts w:hint="eastAsia"/>
          <w:sz w:val="20"/>
          <w:szCs w:val="36"/>
          <w:rtl/>
          <w:lang w:val="en-GB" w:eastAsia="en-US"/>
        </w:rPr>
        <w:t>«</w:t>
      </w:r>
      <w:r w:rsidRPr="00EB5FFB">
        <w:rPr>
          <w:rFonts w:hint="cs"/>
          <w:sz w:val="38"/>
          <w:szCs w:val="38"/>
          <w:rtl/>
          <w:lang w:val="en-GB" w:eastAsia="en-US"/>
        </w:rPr>
        <w:t>الأَصْلُ فِي الوَكَالَةِ الخُصُوصُ، وفِي المُضَارَبَةِ العُمُومُ</w:t>
      </w:r>
      <w:r w:rsidRPr="00EB5FFB">
        <w:rPr>
          <w:rFonts w:hint="eastAsia"/>
          <w:sz w:val="20"/>
          <w:szCs w:val="36"/>
          <w:rtl/>
          <w:lang w:val="en-GB" w:eastAsia="en-US"/>
        </w:rPr>
        <w:t>»</w:t>
      </w:r>
      <w:r w:rsidRPr="00EB5FFB">
        <w:rPr>
          <w:rFonts w:hint="cs"/>
          <w:sz w:val="20"/>
          <w:szCs w:val="36"/>
          <w:rtl/>
          <w:lang w:val="en-GB" w:eastAsia="en-US"/>
        </w:rPr>
        <w:t>. حيث قال معلِّقًا</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فإن باع الوكيل نساءً، فقال الموكِّل</w:t>
      </w:r>
      <w:r w:rsidR="0048366D">
        <w:rPr>
          <w:rFonts w:hint="cs"/>
          <w:sz w:val="20"/>
          <w:szCs w:val="36"/>
          <w:rtl/>
          <w:lang w:val="en-GB" w:eastAsia="en-US"/>
        </w:rPr>
        <w:t>:</w:t>
      </w:r>
      <w:r w:rsidRPr="00EB5FFB">
        <w:rPr>
          <w:rFonts w:hint="cs"/>
          <w:sz w:val="20"/>
          <w:szCs w:val="36"/>
          <w:rtl/>
          <w:lang w:val="en-GB" w:eastAsia="en-US"/>
        </w:rPr>
        <w:t xml:space="preserve"> أمرتك بنقد. وقال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أطلقت</w:t>
      </w:r>
      <w:r w:rsidR="0048366D">
        <w:rPr>
          <w:rFonts w:hint="cs"/>
          <w:sz w:val="20"/>
          <w:szCs w:val="36"/>
          <w:rtl/>
          <w:lang w:val="en-GB" w:eastAsia="en-US"/>
        </w:rPr>
        <w:t>:</w:t>
      </w:r>
      <w:r w:rsidRPr="00EB5FFB">
        <w:rPr>
          <w:rFonts w:hint="cs"/>
          <w:sz w:val="20"/>
          <w:szCs w:val="36"/>
          <w:rtl/>
          <w:lang w:val="en-GB" w:eastAsia="en-US"/>
        </w:rPr>
        <w:t xml:space="preserve"> صُدِّق الموكّل؛ بناء على أن </w:t>
      </w:r>
      <w:r w:rsidRPr="00EB5FFB">
        <w:rPr>
          <w:rFonts w:hint="cs"/>
          <w:b/>
          <w:bCs/>
          <w:sz w:val="20"/>
          <w:szCs w:val="36"/>
          <w:rtl/>
          <w:lang w:val="en-GB" w:eastAsia="en-US"/>
        </w:rPr>
        <w:t>الخصوص</w:t>
      </w:r>
      <w:r w:rsidRPr="00EB5FFB">
        <w:rPr>
          <w:rFonts w:hint="cs"/>
          <w:sz w:val="20"/>
          <w:szCs w:val="36"/>
          <w:rtl/>
          <w:lang w:val="en-GB" w:eastAsia="en-US"/>
        </w:rPr>
        <w:t xml:space="preserve"> أصل في الوكالة، فالقول لمن يتمسك بالأصل.</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lastRenderedPageBreak/>
        <w:t>وفي المضاربة</w:t>
      </w:r>
      <w:r w:rsidR="0048366D">
        <w:rPr>
          <w:rFonts w:hint="cs"/>
          <w:sz w:val="20"/>
          <w:szCs w:val="36"/>
          <w:rtl/>
          <w:lang w:val="en-GB" w:eastAsia="en-US"/>
        </w:rPr>
        <w:t>:</w:t>
      </w:r>
      <w:r w:rsidRPr="00EB5FFB">
        <w:rPr>
          <w:rFonts w:hint="cs"/>
          <w:sz w:val="20"/>
          <w:szCs w:val="36"/>
          <w:rtl/>
          <w:lang w:val="en-GB" w:eastAsia="en-US"/>
        </w:rPr>
        <w:t xml:space="preserve"> ادعى المضارب </w:t>
      </w:r>
      <w:r w:rsidRPr="00EB5FFB">
        <w:rPr>
          <w:rFonts w:hint="cs"/>
          <w:b/>
          <w:bCs/>
          <w:sz w:val="20"/>
          <w:szCs w:val="36"/>
          <w:rtl/>
          <w:lang w:val="en-GB" w:eastAsia="en-US"/>
        </w:rPr>
        <w:t>العموم</w:t>
      </w:r>
      <w:r w:rsidRPr="00EB5FFB">
        <w:rPr>
          <w:rFonts w:hint="cs"/>
          <w:sz w:val="20"/>
          <w:szCs w:val="36"/>
          <w:rtl/>
          <w:lang w:val="en-GB" w:eastAsia="en-US"/>
        </w:rPr>
        <w:t xml:space="preserve"> فقال</w:t>
      </w:r>
      <w:r w:rsidR="0048366D">
        <w:rPr>
          <w:rFonts w:hint="cs"/>
          <w:sz w:val="20"/>
          <w:szCs w:val="36"/>
          <w:rtl/>
          <w:lang w:val="en-GB" w:eastAsia="en-US"/>
        </w:rPr>
        <w:t>:</w:t>
      </w:r>
      <w:r w:rsidRPr="00EB5FFB">
        <w:rPr>
          <w:rFonts w:hint="cs"/>
          <w:sz w:val="20"/>
          <w:szCs w:val="36"/>
          <w:rtl/>
          <w:lang w:val="en-GB" w:eastAsia="en-US"/>
        </w:rPr>
        <w:t xml:space="preserve"> ما عينتَ لي تجارة. والمالك ادّعى </w:t>
      </w:r>
      <w:r w:rsidRPr="00EB5FFB">
        <w:rPr>
          <w:rFonts w:hint="cs"/>
          <w:b/>
          <w:bCs/>
          <w:sz w:val="20"/>
          <w:szCs w:val="36"/>
          <w:rtl/>
          <w:lang w:val="en-GB" w:eastAsia="en-US"/>
        </w:rPr>
        <w:t>الخصوص</w:t>
      </w:r>
      <w:r w:rsidR="0048366D">
        <w:rPr>
          <w:rFonts w:hint="cs"/>
          <w:sz w:val="20"/>
          <w:szCs w:val="36"/>
          <w:rtl/>
          <w:lang w:val="en-GB" w:eastAsia="en-US"/>
        </w:rPr>
        <w:t>:</w:t>
      </w:r>
      <w:r w:rsidRPr="00EB5FFB">
        <w:rPr>
          <w:rFonts w:hint="cs"/>
          <w:sz w:val="20"/>
          <w:szCs w:val="36"/>
          <w:rtl/>
          <w:lang w:val="en-GB" w:eastAsia="en-US"/>
        </w:rPr>
        <w:t xml:space="preserve"> فالقول للمضارب</w:t>
      </w:r>
      <w:r w:rsidR="0048366D">
        <w:rPr>
          <w:rFonts w:hint="cs"/>
          <w:sz w:val="20"/>
          <w:szCs w:val="36"/>
          <w:rtl/>
          <w:lang w:val="en-GB" w:eastAsia="en-US"/>
        </w:rPr>
        <w:t>.</w:t>
      </w:r>
      <w:r w:rsidRPr="00EB5FFB">
        <w:rPr>
          <w:rFonts w:hint="cs"/>
          <w:sz w:val="20"/>
          <w:szCs w:val="36"/>
          <w:rtl/>
          <w:lang w:val="en-GB" w:eastAsia="en-US"/>
        </w:rPr>
        <w:t>..</w:t>
      </w:r>
      <w:r w:rsidRPr="00EB5FFB">
        <w:rPr>
          <w:rFonts w:hint="eastAsia"/>
          <w:sz w:val="20"/>
          <w:szCs w:val="36"/>
          <w:rtl/>
          <w:lang w:val="en-GB" w:eastAsia="en-US"/>
        </w:rPr>
        <w:t>»</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5"/>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فقوله</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eastAsia"/>
          <w:sz w:val="20"/>
          <w:szCs w:val="36"/>
          <w:rtl/>
          <w:lang w:val="en-GB" w:eastAsia="en-US"/>
        </w:rPr>
        <w:t>«</w:t>
      </w:r>
      <w:r w:rsidRPr="00EB5FFB">
        <w:rPr>
          <w:rFonts w:hint="cs"/>
          <w:sz w:val="20"/>
          <w:szCs w:val="36"/>
          <w:rtl/>
          <w:lang w:val="en-GB" w:eastAsia="en-US"/>
        </w:rPr>
        <w:t>... وقال</w:t>
      </w:r>
      <w:r w:rsidR="0048366D">
        <w:rPr>
          <w:rFonts w:hint="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أطلقت</w:t>
      </w:r>
      <w:r w:rsidR="0048366D">
        <w:rPr>
          <w:rFonts w:hint="cs"/>
          <w:sz w:val="20"/>
          <w:szCs w:val="36"/>
          <w:rtl/>
          <w:lang w:val="en-GB" w:eastAsia="en-US"/>
        </w:rPr>
        <w:t>:</w:t>
      </w:r>
      <w:r w:rsidRPr="00EB5FFB">
        <w:rPr>
          <w:rFonts w:hint="cs"/>
          <w:sz w:val="20"/>
          <w:szCs w:val="36"/>
          <w:rtl/>
          <w:lang w:val="en-GB" w:eastAsia="en-US"/>
        </w:rPr>
        <w:t xml:space="preserve"> صدق الموكل بناء على أن </w:t>
      </w:r>
      <w:r w:rsidRPr="00EB5FFB">
        <w:rPr>
          <w:rFonts w:hint="cs"/>
          <w:b/>
          <w:bCs/>
          <w:sz w:val="20"/>
          <w:szCs w:val="36"/>
          <w:rtl/>
          <w:lang w:val="en-GB" w:eastAsia="en-US"/>
        </w:rPr>
        <w:t>الخصوص</w:t>
      </w:r>
      <w:r w:rsidRPr="00EB5FFB">
        <w:rPr>
          <w:rFonts w:hint="cs"/>
          <w:sz w:val="20"/>
          <w:szCs w:val="36"/>
          <w:rtl/>
          <w:lang w:val="en-GB" w:eastAsia="en-US"/>
        </w:rPr>
        <w:t xml:space="preserve"> أصل في الوكالة</w:t>
      </w:r>
      <w:r w:rsidRPr="00EB5FFB">
        <w:rPr>
          <w:rFonts w:hint="eastAsia"/>
          <w:sz w:val="20"/>
          <w:szCs w:val="36"/>
          <w:rtl/>
          <w:lang w:val="en-GB" w:eastAsia="en-US"/>
        </w:rPr>
        <w:t>»</w:t>
      </w:r>
      <w:r w:rsidRPr="00EB5FFB">
        <w:rPr>
          <w:rFonts w:hint="cs"/>
          <w:sz w:val="20"/>
          <w:szCs w:val="36"/>
          <w:rtl/>
          <w:lang w:val="en-GB" w:eastAsia="en-US"/>
        </w:rPr>
        <w:t xml:space="preserve"> جعل فيه (الخصوص) مقابلاً لِـ(الإطلاق)، والذي يقابل الإطلاق هو التقييد.</w:t>
      </w:r>
    </w:p>
    <w:p w:rsidR="00EB5FFB" w:rsidRPr="00EB5FFB" w:rsidRDefault="00EB5FFB" w:rsidP="009A68A5">
      <w:pPr>
        <w:widowControl/>
        <w:ind w:firstLine="567"/>
        <w:jc w:val="both"/>
        <w:rPr>
          <w:sz w:val="20"/>
          <w:szCs w:val="36"/>
          <w:rtl/>
          <w:lang w:val="en-GB" w:eastAsia="en-US"/>
        </w:rPr>
      </w:pPr>
      <w:r w:rsidRPr="00EB5FFB">
        <w:rPr>
          <w:rFonts w:hint="cs"/>
          <w:sz w:val="20"/>
          <w:szCs w:val="36"/>
          <w:rtl/>
          <w:lang w:val="en-GB" w:eastAsia="en-US"/>
        </w:rPr>
        <w:t>ثم إن الواقع</w:t>
      </w:r>
      <w:r w:rsidR="0048366D">
        <w:rPr>
          <w:rFonts w:hint="cs"/>
          <w:sz w:val="20"/>
          <w:szCs w:val="36"/>
          <w:rtl/>
          <w:lang w:val="en-GB" w:eastAsia="en-US"/>
        </w:rPr>
        <w:t>:</w:t>
      </w:r>
      <w:r w:rsidRPr="00EB5FFB">
        <w:rPr>
          <w:rFonts w:hint="cs"/>
          <w:sz w:val="20"/>
          <w:szCs w:val="36"/>
          <w:rtl/>
          <w:lang w:val="en-GB" w:eastAsia="en-US"/>
        </w:rPr>
        <w:t xml:space="preserve"> أن الوكيل والمضارب يدّعيان الإطلاق، لا العموم، وخصمُهما يريان التقييد لا الخصوص. لهذا جاء في بعض المصادر إضافة التقييد والإطلاق إلى لفظ القاعدة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6"/>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13</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لم يكن له منهج مطّرد في ترتيب قواعد الباب الواحد</w:t>
      </w:r>
      <w:r w:rsidRPr="00EB5FFB">
        <w:rPr>
          <w:rFonts w:hint="cs"/>
          <w:sz w:val="20"/>
          <w:szCs w:val="36"/>
          <w:rtl/>
          <w:lang w:val="en-GB" w:eastAsia="en-US"/>
        </w:rPr>
        <w:t>، مع أنه من اليسير ترتيبها بحسب الحرف الثاني من القاعدة، والثالث</w:t>
      </w:r>
      <w:r w:rsidR="0048366D">
        <w:rPr>
          <w:rFonts w:hint="cs"/>
          <w:sz w:val="20"/>
          <w:szCs w:val="36"/>
          <w:rtl/>
          <w:lang w:val="en-GB" w:eastAsia="en-US"/>
        </w:rPr>
        <w:t>.</w:t>
      </w:r>
      <w:r w:rsidRPr="00EB5FFB">
        <w:rPr>
          <w:rFonts w:hint="cs"/>
          <w:sz w:val="20"/>
          <w:szCs w:val="36"/>
          <w:rtl/>
          <w:lang w:val="en-GB" w:eastAsia="en-US"/>
        </w:rPr>
        <w:t>.. وهكذا. وهذا ما يتَّفق مع منهجه في ترتيبها حسب الحرف الأول.</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14</w:t>
      </w:r>
      <w:r w:rsidRPr="00EB5FFB">
        <w:rPr>
          <w:rFonts w:hint="cs"/>
          <w:sz w:val="20"/>
          <w:szCs w:val="36"/>
          <w:rtl/>
          <w:lang w:val="en-GB" w:eastAsia="en-US"/>
        </w:rPr>
        <w:t xml:space="preserve"> </w:t>
      </w:r>
      <w:r w:rsidRPr="00EB5FFB">
        <w:rPr>
          <w:rFonts w:hint="cs"/>
          <w:b/>
          <w:bCs/>
          <w:sz w:val="20"/>
          <w:szCs w:val="36"/>
          <w:rtl/>
          <w:lang w:val="en-GB" w:eastAsia="en-US"/>
        </w:rPr>
        <w:t>-</w:t>
      </w:r>
      <w:r w:rsidRPr="00EB5FFB">
        <w:rPr>
          <w:rFonts w:hint="cs"/>
          <w:sz w:val="20"/>
          <w:szCs w:val="36"/>
          <w:rtl/>
          <w:lang w:val="en-GB" w:eastAsia="en-US"/>
        </w:rPr>
        <w:t xml:space="preserve"> </w:t>
      </w:r>
      <w:r w:rsidRPr="00EB5FFB">
        <w:rPr>
          <w:rFonts w:hint="cs"/>
          <w:b/>
          <w:bCs/>
          <w:sz w:val="20"/>
          <w:szCs w:val="36"/>
          <w:rtl/>
          <w:lang w:val="en-GB" w:eastAsia="en-US"/>
        </w:rPr>
        <w:t>وهناك أمور أخرى منهجية</w:t>
      </w:r>
      <w:r w:rsidRPr="00EB5FFB">
        <w:rPr>
          <w:rFonts w:hint="cs"/>
          <w:sz w:val="20"/>
          <w:szCs w:val="36"/>
          <w:rtl/>
          <w:lang w:val="en-GB" w:eastAsia="en-US"/>
        </w:rPr>
        <w:t>، قد يكون عذر المؤلف فيها طلب الاختصار، لكنها تبقى محلّ نظر للقارئ. ويمكن سردها على النحو الآتي</w:t>
      </w:r>
      <w:r w:rsidR="0048366D">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أ</w:t>
      </w:r>
      <w:r w:rsidRPr="00EB5FFB">
        <w:rPr>
          <w:rFonts w:hint="cs"/>
          <w:sz w:val="20"/>
          <w:szCs w:val="36"/>
          <w:rtl/>
          <w:lang w:val="en-GB" w:eastAsia="en-US"/>
        </w:rPr>
        <w:t xml:space="preserve"> - أنه قد يذكر قاعدتين معناهما مُتّحد أو متقارب دون الإشارة إلى ذلك</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7"/>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ب</w:t>
      </w:r>
      <w:r w:rsidRPr="00EB5FFB">
        <w:rPr>
          <w:rFonts w:hint="cs"/>
          <w:sz w:val="20"/>
          <w:szCs w:val="36"/>
          <w:rtl/>
          <w:lang w:val="en-GB" w:eastAsia="en-US"/>
        </w:rPr>
        <w:t xml:space="preserve"> - قلة الاعتناء ببيان المعنى الإجمالي للقاعدة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8"/>
      </w:r>
      <w:r w:rsidRPr="00EB5FFB">
        <w:rPr>
          <w:rFonts w:hint="cs"/>
          <w:sz w:val="20"/>
          <w:szCs w:val="36"/>
          <w:vertAlign w:val="superscript"/>
          <w:rtl/>
          <w:lang w:val="en-GB" w:eastAsia="en-US"/>
        </w:rPr>
        <w:t>)</w:t>
      </w:r>
      <w:r w:rsidRPr="00EB5FFB">
        <w:rPr>
          <w:rFonts w:hint="cs"/>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t>جـ</w:t>
      </w:r>
      <w:r w:rsidRPr="00EB5FFB">
        <w:rPr>
          <w:rFonts w:hint="cs"/>
          <w:sz w:val="20"/>
          <w:szCs w:val="36"/>
          <w:rtl/>
          <w:lang w:val="en-GB" w:eastAsia="en-US"/>
        </w:rPr>
        <w:t xml:space="preserve"> - قلة اعتنائه ببيان معاني المصطلحات والألفاظ الغريبة</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59"/>
      </w:r>
      <w:r w:rsidRPr="00EB5FFB">
        <w:rPr>
          <w:rFonts w:hint="cs"/>
          <w:sz w:val="20"/>
          <w:szCs w:val="36"/>
          <w:vertAlign w:val="superscript"/>
          <w:rtl/>
          <w:lang w:val="en-GB" w:eastAsia="en-US"/>
        </w:rPr>
        <w:t>)</w:t>
      </w:r>
      <w:r w:rsidRPr="00EB5FFB">
        <w:rPr>
          <w:rFonts w:hint="cs"/>
          <w:sz w:val="20"/>
          <w:szCs w:val="36"/>
          <w:rtl/>
          <w:lang w:val="en-GB" w:eastAsia="en-US"/>
        </w:rPr>
        <w:t>.</w:t>
      </w:r>
    </w:p>
    <w:p w:rsidR="007A484A" w:rsidRDefault="00EB5FFB" w:rsidP="009A68A5">
      <w:pPr>
        <w:widowControl/>
        <w:ind w:firstLine="567"/>
        <w:jc w:val="both"/>
        <w:rPr>
          <w:spacing w:val="-6"/>
          <w:sz w:val="20"/>
          <w:szCs w:val="36"/>
          <w:rtl/>
          <w:lang w:val="en-GB" w:eastAsia="en-US"/>
        </w:rPr>
      </w:pPr>
      <w:r w:rsidRPr="00EB5FFB">
        <w:rPr>
          <w:rFonts w:hint="cs"/>
          <w:b/>
          <w:bCs/>
          <w:spacing w:val="-6"/>
          <w:sz w:val="20"/>
          <w:szCs w:val="36"/>
          <w:rtl/>
          <w:lang w:val="en-GB" w:eastAsia="en-US"/>
        </w:rPr>
        <w:t>د</w:t>
      </w:r>
      <w:r w:rsidRPr="00EB5FFB">
        <w:rPr>
          <w:rFonts w:hint="cs"/>
          <w:spacing w:val="-6"/>
          <w:sz w:val="20"/>
          <w:szCs w:val="36"/>
          <w:rtl/>
          <w:lang w:val="en-GB" w:eastAsia="en-US"/>
        </w:rPr>
        <w:t xml:space="preserve"> - قلة الفروع الفقهية التي يخرّجها على القواعد. وأحيانًا لا يمثل للقاعدة أصلاً</w:t>
      </w:r>
      <w:r w:rsidRPr="00EB5FFB">
        <w:rPr>
          <w:rFonts w:hint="cs"/>
          <w:spacing w:val="-6"/>
          <w:sz w:val="20"/>
          <w:szCs w:val="36"/>
          <w:vertAlign w:val="superscript"/>
          <w:rtl/>
          <w:lang w:val="en-GB" w:eastAsia="en-US"/>
        </w:rPr>
        <w:t>(</w:t>
      </w:r>
      <w:r w:rsidRPr="00EB5FFB">
        <w:rPr>
          <w:bCs/>
          <w:spacing w:val="-6"/>
          <w:sz w:val="20"/>
          <w:szCs w:val="32"/>
          <w:vertAlign w:val="superscript"/>
          <w:rtl/>
          <w:lang w:val="en-GB" w:eastAsia="en-US"/>
        </w:rPr>
        <w:footnoteReference w:id="360"/>
      </w:r>
      <w:r w:rsidRPr="00EB5FFB">
        <w:rPr>
          <w:rFonts w:hint="cs"/>
          <w:spacing w:val="-6"/>
          <w:sz w:val="20"/>
          <w:szCs w:val="36"/>
          <w:vertAlign w:val="superscript"/>
          <w:rtl/>
          <w:lang w:val="en-GB" w:eastAsia="en-US"/>
        </w:rPr>
        <w:t>)</w:t>
      </w:r>
      <w:r w:rsidRPr="00EB5FFB">
        <w:rPr>
          <w:rFonts w:hint="cs"/>
          <w:spacing w:val="-6"/>
          <w:sz w:val="20"/>
          <w:szCs w:val="36"/>
          <w:rtl/>
          <w:lang w:val="en-GB" w:eastAsia="en-US"/>
        </w:rPr>
        <w:t>.</w:t>
      </w:r>
    </w:p>
    <w:p w:rsidR="00EB5FFB" w:rsidRPr="00EB5FFB" w:rsidRDefault="00EB5FFB" w:rsidP="009A68A5">
      <w:pPr>
        <w:widowControl/>
        <w:ind w:firstLine="567"/>
        <w:jc w:val="both"/>
        <w:rPr>
          <w:sz w:val="20"/>
          <w:szCs w:val="36"/>
          <w:rtl/>
          <w:lang w:val="en-GB" w:eastAsia="en-US"/>
        </w:rPr>
      </w:pPr>
      <w:r w:rsidRPr="00EB5FFB">
        <w:rPr>
          <w:rFonts w:hint="cs"/>
          <w:b/>
          <w:bCs/>
          <w:sz w:val="20"/>
          <w:szCs w:val="36"/>
          <w:rtl/>
          <w:lang w:val="en-GB" w:eastAsia="en-US"/>
        </w:rPr>
        <w:lastRenderedPageBreak/>
        <w:t>هـ</w:t>
      </w:r>
      <w:r w:rsidRPr="00EB5FFB">
        <w:rPr>
          <w:rFonts w:hint="cs"/>
          <w:sz w:val="20"/>
          <w:szCs w:val="36"/>
          <w:rtl/>
          <w:lang w:val="en-GB" w:eastAsia="en-US"/>
        </w:rPr>
        <w:t xml:space="preserve"> - أن الكـتاب يكاد يكون محصورًا في المذهب الحنفي، لهذا قلّ التعرض للمذاهب الأخر</w:t>
      </w:r>
      <w:r w:rsidRPr="00EB5FFB">
        <w:rPr>
          <w:rFonts w:hint="cs"/>
          <w:sz w:val="20"/>
          <w:szCs w:val="36"/>
          <w:vertAlign w:val="superscript"/>
          <w:rtl/>
          <w:lang w:val="en-GB" w:eastAsia="en-US"/>
        </w:rPr>
        <w:t>(</w:t>
      </w:r>
      <w:r w:rsidRPr="00EB5FFB">
        <w:rPr>
          <w:bCs/>
          <w:sz w:val="20"/>
          <w:szCs w:val="32"/>
          <w:vertAlign w:val="superscript"/>
          <w:rtl/>
          <w:lang w:val="en-GB" w:eastAsia="en-US"/>
        </w:rPr>
        <w:footnoteReference w:id="361"/>
      </w:r>
      <w:r w:rsidRPr="00EB5FFB">
        <w:rPr>
          <w:rFonts w:hint="cs"/>
          <w:sz w:val="20"/>
          <w:szCs w:val="36"/>
          <w:vertAlign w:val="superscript"/>
          <w:rtl/>
          <w:lang w:val="en-GB" w:eastAsia="en-US"/>
        </w:rPr>
        <w:t>)</w:t>
      </w:r>
      <w:r w:rsidRPr="00EB5FFB">
        <w:rPr>
          <w:rFonts w:hint="cs"/>
          <w:sz w:val="20"/>
          <w:szCs w:val="36"/>
          <w:rtl/>
          <w:lang w:val="en-GB" w:eastAsia="en-US"/>
        </w:rPr>
        <w:t>.</w:t>
      </w:r>
    </w:p>
    <w:p w:rsidR="00171049" w:rsidRDefault="00EB5FFB" w:rsidP="009A68A5">
      <w:pPr>
        <w:widowControl/>
        <w:ind w:firstLine="567"/>
        <w:jc w:val="both"/>
        <w:rPr>
          <w:sz w:val="20"/>
          <w:szCs w:val="36"/>
          <w:rtl/>
          <w:lang w:val="en-GB" w:eastAsia="en-US"/>
        </w:rPr>
        <w:sectPr w:rsidR="00171049" w:rsidSect="00FB00A9">
          <w:headerReference w:type="default" r:id="rId19"/>
          <w:footnotePr>
            <w:pos w:val="beneathText"/>
            <w:numRestart w:val="eachPage"/>
          </w:footnotePr>
          <w:endnotePr>
            <w:numFmt w:val="decimal"/>
          </w:endnotePr>
          <w:pgSz w:w="11906" w:h="16838" w:code="9"/>
          <w:pgMar w:top="2268" w:right="1559" w:bottom="1418" w:left="1559" w:header="680" w:footer="851" w:gutter="284"/>
          <w:cols w:space="720"/>
          <w:bidi/>
          <w:rtlGutter/>
        </w:sectPr>
      </w:pPr>
      <w:r w:rsidRPr="00EB5FFB">
        <w:rPr>
          <w:rFonts w:hint="cs"/>
          <w:b/>
          <w:bCs/>
          <w:sz w:val="20"/>
          <w:szCs w:val="36"/>
          <w:rtl/>
          <w:lang w:val="en-GB" w:eastAsia="en-US"/>
        </w:rPr>
        <w:t>و</w:t>
      </w:r>
      <w:r w:rsidRPr="00EB5FFB">
        <w:rPr>
          <w:rFonts w:hint="cs"/>
          <w:sz w:val="20"/>
          <w:szCs w:val="36"/>
          <w:rtl/>
          <w:lang w:val="en-GB" w:eastAsia="en-US"/>
        </w:rPr>
        <w:t xml:space="preserve"> - انحصار مصادره في الفقه وأصوله وقواعده، وعدم الرجوع إلى مصادر العلوم الأُخَرِ التي لا غنى عنها في كتب القواعد الفقهية، ككتب التفسير والحديث واللغة.</w:t>
      </w:r>
    </w:p>
    <w:p w:rsidR="00BF08C1" w:rsidRDefault="00BF08C1" w:rsidP="009A68A5">
      <w:pPr>
        <w:pStyle w:val="aa"/>
        <w:rPr>
          <w:rtl/>
        </w:rPr>
      </w:pPr>
      <w:r>
        <w:rPr>
          <w:noProof/>
          <w:rtl/>
        </w:rPr>
        <w:lastRenderedPageBreak/>
        <mc:AlternateContent>
          <mc:Choice Requires="wps">
            <w:drawing>
              <wp:anchor distT="0" distB="0" distL="114300" distR="114300" simplePos="0" relativeHeight="251663360" behindDoc="0" locked="0" layoutInCell="1" allowOverlap="1">
                <wp:simplePos x="0" y="0"/>
                <wp:positionH relativeFrom="column">
                  <wp:posOffset>-66040</wp:posOffset>
                </wp:positionH>
                <wp:positionV relativeFrom="paragraph">
                  <wp:posOffset>-1013460</wp:posOffset>
                </wp:positionV>
                <wp:extent cx="5537835" cy="651510"/>
                <wp:effectExtent l="635" t="0" r="0" b="0"/>
                <wp:wrapNone/>
                <wp:docPr id="117" name="مستطيل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2401B" id="مستطيل 117" o:spid="_x0000_s1026" style="position:absolute;margin-left:-5.2pt;margin-top:-79.8pt;width:436.05pt;height: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" stroked="f"/>
            </w:pict>
          </mc:Fallback>
        </mc:AlternateContent>
      </w:r>
    </w:p>
    <w:p w:rsidR="00BF08C1" w:rsidRDefault="00BF08C1" w:rsidP="009A68A5">
      <w:pPr>
        <w:pStyle w:val="aa"/>
        <w:rPr>
          <w:rtl/>
        </w:rPr>
      </w:pPr>
    </w:p>
    <w:p w:rsidR="00BF08C1" w:rsidRDefault="00BF08C1" w:rsidP="009A68A5">
      <w:pPr>
        <w:pStyle w:val="aa"/>
        <w:rPr>
          <w:rtl/>
        </w:rPr>
      </w:pPr>
    </w:p>
    <w:p w:rsidR="00BF08C1" w:rsidRDefault="00BF08C1" w:rsidP="009A68A5">
      <w:pPr>
        <w:pStyle w:val="aa"/>
        <w:rPr>
          <w:sz w:val="56"/>
          <w:szCs w:val="56"/>
          <w:rtl/>
        </w:rPr>
      </w:pPr>
      <w:r>
        <w:rPr>
          <w:rFonts w:hint="cs"/>
          <w:sz w:val="56"/>
          <w:szCs w:val="56"/>
          <w:rtl/>
        </w:rPr>
        <w:t>ثانياً</w:t>
      </w:r>
      <w:r w:rsidR="0048366D">
        <w:rPr>
          <w:rFonts w:hint="cs"/>
          <w:sz w:val="56"/>
          <w:szCs w:val="56"/>
          <w:rtl/>
        </w:rPr>
        <w:t>:</w:t>
      </w:r>
      <w:r>
        <w:rPr>
          <w:rFonts w:hint="cs"/>
          <w:sz w:val="56"/>
          <w:szCs w:val="56"/>
          <w:rtl/>
        </w:rPr>
        <w:t xml:space="preserve"> القسم التحقيقي</w:t>
      </w:r>
    </w:p>
    <w:p w:rsidR="00BF08C1" w:rsidRDefault="00BF08C1" w:rsidP="009A68A5">
      <w:pPr>
        <w:jc w:val="both"/>
        <w:rPr>
          <w:b/>
          <w:bCs/>
          <w:rtl/>
        </w:rPr>
      </w:pPr>
    </w:p>
    <w:p w:rsidR="00BF08C1" w:rsidRDefault="00BF08C1" w:rsidP="009A68A5">
      <w:pPr>
        <w:jc w:val="both"/>
        <w:rPr>
          <w:b/>
          <w:bCs/>
          <w:rtl/>
        </w:rPr>
      </w:pPr>
      <w:r>
        <w:rPr>
          <w:rFonts w:hint="cs"/>
          <w:b/>
          <w:bCs/>
          <w:rtl/>
        </w:rPr>
        <w:t>ويشمل ما يأتي</w:t>
      </w:r>
      <w:r w:rsidR="0048366D">
        <w:rPr>
          <w:rFonts w:hint="cs"/>
          <w:b/>
          <w:bCs/>
          <w:rtl/>
        </w:rPr>
        <w:t>:</w:t>
      </w:r>
    </w:p>
    <w:p w:rsidR="00BF08C1" w:rsidRDefault="00BF08C1" w:rsidP="009A68A5">
      <w:pPr>
        <w:jc w:val="both"/>
        <w:rPr>
          <w:b/>
          <w:bCs/>
          <w:rtl/>
        </w:rPr>
      </w:pPr>
      <w:r>
        <w:rPr>
          <w:rFonts w:hint="cs"/>
          <w:b/>
          <w:bCs/>
          <w:rtl/>
        </w:rPr>
        <w:t>أولاً</w:t>
      </w:r>
      <w:r w:rsidR="0048366D">
        <w:rPr>
          <w:rFonts w:hint="cs"/>
          <w:b/>
          <w:bCs/>
          <w:rtl/>
        </w:rPr>
        <w:t>:</w:t>
      </w:r>
      <w:r>
        <w:rPr>
          <w:rFonts w:hint="cs"/>
          <w:b/>
          <w:bCs/>
          <w:rtl/>
        </w:rPr>
        <w:t xml:space="preserve"> مقدمة التحقيق.</w:t>
      </w:r>
    </w:p>
    <w:p w:rsidR="00BF08C1" w:rsidRDefault="00BF08C1" w:rsidP="009A68A5">
      <w:pPr>
        <w:jc w:val="both"/>
        <w:rPr>
          <w:b/>
          <w:bCs/>
          <w:rtl/>
        </w:rPr>
      </w:pPr>
      <w:r>
        <w:rPr>
          <w:rFonts w:hint="cs"/>
          <w:b/>
          <w:bCs/>
          <w:rtl/>
        </w:rPr>
        <w:t>ويتضمّن المطالب الآتية</w:t>
      </w:r>
      <w:r w:rsidR="0048366D">
        <w:rPr>
          <w:rFonts w:hint="cs"/>
          <w:b/>
          <w:bCs/>
          <w:rtl/>
        </w:rPr>
        <w:t>:</w:t>
      </w:r>
    </w:p>
    <w:p w:rsidR="00BF08C1" w:rsidRDefault="00BF08C1" w:rsidP="009A68A5">
      <w:pPr>
        <w:jc w:val="both"/>
        <w:rPr>
          <w:b/>
          <w:bCs/>
          <w:rtl/>
        </w:rPr>
      </w:pPr>
      <w:r>
        <w:rPr>
          <w:rFonts w:hint="cs"/>
          <w:b/>
          <w:bCs/>
          <w:rtl/>
        </w:rPr>
        <w:t>المطلب الأول</w:t>
      </w:r>
      <w:r w:rsidR="0048366D">
        <w:rPr>
          <w:rFonts w:hint="cs"/>
          <w:b/>
          <w:bCs/>
          <w:rtl/>
        </w:rPr>
        <w:t>:</w:t>
      </w:r>
      <w:r>
        <w:rPr>
          <w:rFonts w:hint="cs"/>
          <w:b/>
          <w:bCs/>
          <w:rtl/>
        </w:rPr>
        <w:t xml:space="preserve"> ذكر نسخ الكتاب المخطوطة، وبيان أوصافها وعرض نماذج منها.</w:t>
      </w:r>
    </w:p>
    <w:p w:rsidR="00BF08C1" w:rsidRDefault="00BF08C1" w:rsidP="009A68A5">
      <w:pPr>
        <w:jc w:val="both"/>
        <w:rPr>
          <w:b/>
          <w:bCs/>
          <w:rtl/>
        </w:rPr>
      </w:pPr>
      <w:r>
        <w:rPr>
          <w:rFonts w:hint="cs"/>
          <w:b/>
          <w:bCs/>
          <w:rtl/>
        </w:rPr>
        <w:t>المطلب الثاني</w:t>
      </w:r>
      <w:r w:rsidR="0048366D">
        <w:rPr>
          <w:rFonts w:hint="cs"/>
          <w:b/>
          <w:bCs/>
          <w:rtl/>
        </w:rPr>
        <w:t>:</w:t>
      </w:r>
      <w:r>
        <w:rPr>
          <w:rFonts w:hint="cs"/>
          <w:b/>
          <w:bCs/>
          <w:rtl/>
        </w:rPr>
        <w:t xml:space="preserve"> تحقيق اسم الكتاب.</w:t>
      </w:r>
    </w:p>
    <w:p w:rsidR="00BF08C1" w:rsidRDefault="00BF08C1" w:rsidP="009A68A5">
      <w:pPr>
        <w:jc w:val="both"/>
        <w:rPr>
          <w:b/>
          <w:bCs/>
          <w:rtl/>
        </w:rPr>
      </w:pPr>
      <w:r>
        <w:rPr>
          <w:rFonts w:hint="cs"/>
          <w:b/>
          <w:bCs/>
          <w:rtl/>
        </w:rPr>
        <w:t>المطلب الثالث</w:t>
      </w:r>
      <w:r w:rsidR="0048366D">
        <w:rPr>
          <w:rFonts w:hint="cs"/>
          <w:b/>
          <w:bCs/>
          <w:rtl/>
        </w:rPr>
        <w:t>:</w:t>
      </w:r>
      <w:r>
        <w:rPr>
          <w:rFonts w:hint="cs"/>
          <w:b/>
          <w:bCs/>
          <w:rtl/>
        </w:rPr>
        <w:t xml:space="preserve"> تحقيق نسبة الكتاب لمؤلفه.</w:t>
      </w:r>
    </w:p>
    <w:p w:rsidR="00BF08C1" w:rsidRDefault="00BF08C1" w:rsidP="009A68A5">
      <w:pPr>
        <w:jc w:val="both"/>
        <w:rPr>
          <w:b/>
          <w:bCs/>
          <w:rtl/>
        </w:rPr>
      </w:pPr>
      <w:r>
        <w:rPr>
          <w:rFonts w:hint="cs"/>
          <w:b/>
          <w:bCs/>
          <w:rtl/>
        </w:rPr>
        <w:t>المطلب الرابع</w:t>
      </w:r>
      <w:r w:rsidR="0048366D">
        <w:rPr>
          <w:rFonts w:hint="cs"/>
          <w:b/>
          <w:bCs/>
          <w:rtl/>
        </w:rPr>
        <w:t>:</w:t>
      </w:r>
      <w:r>
        <w:rPr>
          <w:rFonts w:hint="cs"/>
          <w:b/>
          <w:bCs/>
          <w:rtl/>
        </w:rPr>
        <w:t xml:space="preserve"> ذكر نسخ الكتاب المعتمدة في التحقيق، وسبب الاقتصار عليها.</w:t>
      </w:r>
    </w:p>
    <w:p w:rsidR="00BF08C1" w:rsidRDefault="00BF08C1" w:rsidP="009A68A5">
      <w:pPr>
        <w:jc w:val="both"/>
        <w:rPr>
          <w:b/>
          <w:bCs/>
          <w:rtl/>
        </w:rPr>
      </w:pPr>
      <w:r>
        <w:rPr>
          <w:rFonts w:hint="cs"/>
          <w:b/>
          <w:bCs/>
          <w:rtl/>
        </w:rPr>
        <w:t>المطلب الخامس</w:t>
      </w:r>
      <w:r w:rsidR="0048366D">
        <w:rPr>
          <w:rFonts w:hint="cs"/>
          <w:b/>
          <w:bCs/>
          <w:rtl/>
        </w:rPr>
        <w:t>:</w:t>
      </w:r>
      <w:r>
        <w:rPr>
          <w:rFonts w:hint="cs"/>
          <w:b/>
          <w:bCs/>
          <w:rtl/>
        </w:rPr>
        <w:t xml:space="preserve"> منهج التحقيق </w:t>
      </w:r>
      <w:r>
        <w:rPr>
          <w:rFonts w:hint="cs"/>
          <w:b/>
          <w:bCs/>
          <w:rtl/>
          <w:lang w:bidi="ar-AE"/>
        </w:rPr>
        <w:t>و</w:t>
      </w:r>
      <w:r>
        <w:rPr>
          <w:rFonts w:hint="cs"/>
          <w:b/>
          <w:bCs/>
          <w:rtl/>
        </w:rPr>
        <w:t>التعليق.</w:t>
      </w:r>
    </w:p>
    <w:p w:rsidR="00BF08C1" w:rsidRDefault="00BF08C1" w:rsidP="009A68A5">
      <w:pPr>
        <w:jc w:val="both"/>
        <w:rPr>
          <w:b/>
          <w:bCs/>
          <w:rtl/>
        </w:rPr>
      </w:pPr>
      <w:r>
        <w:rPr>
          <w:rFonts w:hint="cs"/>
          <w:b/>
          <w:bCs/>
          <w:rtl/>
        </w:rPr>
        <w:t>ثانيًا</w:t>
      </w:r>
      <w:r w:rsidR="0048366D">
        <w:rPr>
          <w:rFonts w:hint="cs"/>
          <w:b/>
          <w:bCs/>
          <w:rtl/>
        </w:rPr>
        <w:t>:</w:t>
      </w:r>
      <w:r>
        <w:rPr>
          <w:rFonts w:hint="cs"/>
          <w:b/>
          <w:bCs/>
          <w:rtl/>
        </w:rPr>
        <w:t xml:space="preserve"> النصّ المحقق.</w:t>
      </w:r>
    </w:p>
    <w:p w:rsidR="00BF08C1" w:rsidRDefault="00BF08C1" w:rsidP="009A68A5">
      <w:pPr>
        <w:jc w:val="both"/>
        <w:rPr>
          <w:rtl/>
        </w:rPr>
      </w:pPr>
    </w:p>
    <w:p w:rsidR="00BF08C1" w:rsidRPr="00036B77" w:rsidRDefault="00BF08C1" w:rsidP="009A68A5">
      <w:pPr>
        <w:pStyle w:val="a9"/>
        <w:jc w:val="both"/>
        <w:rPr>
          <w:rFonts w:cs="AL-Mateen"/>
          <w:rtl/>
        </w:rPr>
      </w:pPr>
      <w:r>
        <w:rPr>
          <w:rtl/>
        </w:rPr>
        <w:br w:type="page"/>
      </w:r>
      <w:r w:rsidRPr="00036B77">
        <w:rPr>
          <w:rFonts w:cs="AL-Mateen" w:hint="cs"/>
          <w:rtl/>
        </w:rPr>
        <w:lastRenderedPageBreak/>
        <w:t>أولاً</w:t>
      </w:r>
      <w:r w:rsidR="0048366D">
        <w:rPr>
          <w:rFonts w:cs="AL-Mateen" w:hint="cs"/>
          <w:rtl/>
        </w:rPr>
        <w:t>:</w:t>
      </w:r>
      <w:r w:rsidRPr="00036B77">
        <w:rPr>
          <w:rFonts w:cs="AL-Mateen" w:hint="cs"/>
          <w:rtl/>
        </w:rPr>
        <w:t xml:space="preserve"> مقدمة التحقيق</w:t>
      </w:r>
      <w:r w:rsidR="0048366D">
        <w:rPr>
          <w:rFonts w:cs="AL-Mateen" w:hint="cs"/>
          <w:rtl/>
        </w:rPr>
        <w:t>:</w:t>
      </w:r>
    </w:p>
    <w:p w:rsidR="00BF08C1" w:rsidRDefault="00BF08C1" w:rsidP="009A68A5">
      <w:pPr>
        <w:jc w:val="both"/>
        <w:rPr>
          <w:b/>
          <w:bCs/>
          <w:rtl/>
        </w:rPr>
      </w:pPr>
    </w:p>
    <w:p w:rsidR="00BF08C1" w:rsidRDefault="00BF08C1" w:rsidP="009A68A5">
      <w:pPr>
        <w:jc w:val="both"/>
        <w:rPr>
          <w:b/>
          <w:bCs/>
          <w:rtl/>
        </w:rPr>
      </w:pPr>
      <w:r>
        <w:rPr>
          <w:rFonts w:hint="cs"/>
          <w:b/>
          <w:bCs/>
          <w:rtl/>
        </w:rPr>
        <w:t>المطلب الأول: ذكر نسخ الكتاب المخطوطة، وبيان أوصافها، وعرض نماذج منها:</w:t>
      </w:r>
    </w:p>
    <w:p w:rsidR="00BF08C1" w:rsidRDefault="00BF08C1" w:rsidP="009A68A5">
      <w:pPr>
        <w:jc w:val="both"/>
        <w:rPr>
          <w:rtl/>
        </w:rPr>
      </w:pPr>
      <w:r>
        <w:rPr>
          <w:rFonts w:hint="cs"/>
          <w:rtl/>
        </w:rPr>
        <w:t>بعد البحث الطويل في فهارس المخطوطات، وسؤال أهل الخبرة اتّضح لي أن للكتاب عشر نسخ خطية</w:t>
      </w:r>
      <w:r>
        <w:rPr>
          <w:rFonts w:hint="cs"/>
          <w:vertAlign w:val="superscript"/>
          <w:rtl/>
        </w:rPr>
        <w:t>(</w:t>
      </w:r>
      <w:r>
        <w:rPr>
          <w:rStyle w:val="a7"/>
        </w:rPr>
        <w:footnoteReference w:id="362"/>
      </w:r>
      <w:r>
        <w:rPr>
          <w:rFonts w:hint="cs"/>
          <w:vertAlign w:val="superscript"/>
          <w:rtl/>
        </w:rPr>
        <w:t>)</w:t>
      </w:r>
      <w:r>
        <w:rPr>
          <w:rFonts w:hint="cs"/>
          <w:rtl/>
        </w:rPr>
        <w:t>، وبيانها على النحو الآتي</w:t>
      </w:r>
      <w:r w:rsidR="0048366D">
        <w:rPr>
          <w:rFonts w:hint="cs"/>
          <w:rtl/>
        </w:rPr>
        <w:t>:</w:t>
      </w:r>
    </w:p>
    <w:p w:rsidR="00BF08C1" w:rsidRDefault="00BF08C1" w:rsidP="009A68A5">
      <w:pPr>
        <w:jc w:val="both"/>
        <w:rPr>
          <w:rtl/>
        </w:rPr>
      </w:pPr>
      <w:r>
        <w:rPr>
          <w:rFonts w:hint="cs"/>
          <w:b/>
          <w:bCs/>
          <w:rtl/>
        </w:rPr>
        <w:t>1</w:t>
      </w:r>
      <w:r>
        <w:rPr>
          <w:rFonts w:hint="cs"/>
          <w:rtl/>
        </w:rPr>
        <w:t xml:space="preserve"> </w:t>
      </w:r>
      <w:r>
        <w:rPr>
          <w:rFonts w:hint="cs"/>
          <w:b/>
          <w:bCs/>
          <w:rtl/>
        </w:rPr>
        <w:t>-</w:t>
      </w:r>
      <w:r>
        <w:rPr>
          <w:rFonts w:hint="cs"/>
          <w:rtl/>
        </w:rPr>
        <w:t xml:space="preserve"> </w:t>
      </w:r>
      <w:r>
        <w:rPr>
          <w:rFonts w:hint="cs"/>
          <w:b/>
          <w:bCs/>
          <w:rtl/>
        </w:rPr>
        <w:t>نسخة جامعة الملك عبد العزيز (أ)</w:t>
      </w:r>
      <w:r w:rsidR="0048366D">
        <w:rPr>
          <w:rFonts w:hint="cs"/>
          <w:b/>
          <w:bCs/>
          <w:rtl/>
        </w:rPr>
        <w:t>:</w:t>
      </w:r>
    </w:p>
    <w:p w:rsidR="00BF08C1" w:rsidRDefault="00BF08C1" w:rsidP="009A68A5">
      <w:pPr>
        <w:jc w:val="both"/>
        <w:rPr>
          <w:rtl/>
        </w:rPr>
      </w:pPr>
      <w:r>
        <w:rPr>
          <w:rFonts w:hint="cs"/>
          <w:rtl/>
        </w:rPr>
        <w:t>هذه النسخة محفوظة في مكتبة جامعة الملك عبد العزيز بجدة، وتحمل الرقم (487).</w:t>
      </w:r>
    </w:p>
    <w:p w:rsidR="00BF08C1" w:rsidRDefault="00BF08C1" w:rsidP="009A68A5">
      <w:pPr>
        <w:jc w:val="both"/>
        <w:rPr>
          <w:rtl/>
        </w:rPr>
      </w:pPr>
      <w:r>
        <w:rPr>
          <w:rFonts w:hint="cs"/>
          <w:rtl/>
        </w:rPr>
        <w:t>ووصفها كالآتي</w:t>
      </w:r>
      <w:r w:rsidR="0048366D">
        <w:rPr>
          <w:rFonts w:hint="cs"/>
          <w:rtl/>
        </w:rPr>
        <w:t>:</w:t>
      </w:r>
    </w:p>
    <w:p w:rsidR="00BF08C1" w:rsidRDefault="00BF08C1" w:rsidP="009A68A5">
      <w:pPr>
        <w:ind w:firstLine="423"/>
        <w:jc w:val="both"/>
        <w:rPr>
          <w:rtl/>
        </w:rPr>
      </w:pPr>
      <w:r w:rsidRPr="00CB598F">
        <w:rPr>
          <w:sz w:val="22"/>
          <w:szCs w:val="38"/>
          <w:rtl/>
        </w:rPr>
        <w:t>•</w:t>
      </w:r>
      <w:r>
        <w:rPr>
          <w:rFonts w:hint="cs"/>
          <w:sz w:val="22"/>
          <w:szCs w:val="38"/>
          <w:rtl/>
        </w:rPr>
        <w:t xml:space="preserve"> </w:t>
      </w:r>
      <w:r>
        <w:rPr>
          <w:rFonts w:hint="cs"/>
          <w:rtl/>
        </w:rPr>
        <w:t>ناسخها هو</w:t>
      </w:r>
      <w:r w:rsidR="0048366D">
        <w:rPr>
          <w:rFonts w:hint="cs"/>
          <w:rtl/>
        </w:rPr>
        <w:t>:</w:t>
      </w:r>
      <w:r>
        <w:rPr>
          <w:rFonts w:hint="cs"/>
          <w:rtl/>
        </w:rPr>
        <w:t xml:space="preserve"> عبد الكريم بن عبد الرحمن الشهير بشيخ عجم.</w:t>
      </w:r>
    </w:p>
    <w:p w:rsidR="00BF08C1" w:rsidRDefault="00BF08C1" w:rsidP="009A68A5">
      <w:pPr>
        <w:ind w:firstLine="423"/>
        <w:jc w:val="both"/>
        <w:rPr>
          <w:rtl/>
        </w:rPr>
      </w:pPr>
      <w:r w:rsidRPr="00CB598F">
        <w:rPr>
          <w:sz w:val="22"/>
          <w:szCs w:val="38"/>
          <w:rtl/>
        </w:rPr>
        <w:t>•</w:t>
      </w:r>
      <w:r>
        <w:rPr>
          <w:rFonts w:hint="cs"/>
          <w:rtl/>
        </w:rPr>
        <w:t xml:space="preserve"> تاريخ انتهائه من نسخها</w:t>
      </w:r>
      <w:r w:rsidR="0048366D">
        <w:rPr>
          <w:rFonts w:hint="cs"/>
          <w:rtl/>
        </w:rPr>
        <w:t>:</w:t>
      </w:r>
      <w:r>
        <w:rPr>
          <w:rFonts w:hint="cs"/>
          <w:rtl/>
        </w:rPr>
        <w:t xml:space="preserve"> هو</w:t>
      </w:r>
      <w:r w:rsidR="0048366D">
        <w:rPr>
          <w:rFonts w:hint="cs"/>
          <w:rtl/>
        </w:rPr>
        <w:t>:</w:t>
      </w:r>
      <w:r>
        <w:rPr>
          <w:rFonts w:hint="cs"/>
          <w:rtl/>
        </w:rPr>
        <w:t xml:space="preserve"> 21/1/1065هـ.</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نسخ.</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116 لوحة، تمثّل 232 صفحة.</w:t>
      </w:r>
    </w:p>
    <w:p w:rsidR="00BF08C1" w:rsidRDefault="00BF08C1" w:rsidP="009A68A5">
      <w:pPr>
        <w:ind w:firstLine="423"/>
        <w:jc w:val="both"/>
        <w:rPr>
          <w:rtl/>
        </w:rPr>
      </w:pPr>
      <w:r w:rsidRPr="00CB598F">
        <w:rPr>
          <w:sz w:val="22"/>
          <w:szCs w:val="38"/>
          <w:rtl/>
        </w:rPr>
        <w:t>•</w:t>
      </w:r>
      <w:r>
        <w:rPr>
          <w:rFonts w:hint="cs"/>
          <w:rtl/>
        </w:rPr>
        <w:t xml:space="preserve"> عدد الأسطر في كل صفحة</w:t>
      </w:r>
      <w:r w:rsidR="0048366D">
        <w:rPr>
          <w:rFonts w:hint="cs"/>
          <w:rtl/>
        </w:rPr>
        <w:t>:</w:t>
      </w:r>
      <w:r>
        <w:rPr>
          <w:rFonts w:hint="cs"/>
          <w:rtl/>
        </w:rPr>
        <w:t xml:space="preserve"> 19 سطرًا.</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9 كلمات.</w:t>
      </w:r>
    </w:p>
    <w:p w:rsidR="00BF08C1" w:rsidRDefault="00BF08C1" w:rsidP="009A68A5">
      <w:pPr>
        <w:ind w:firstLine="423"/>
        <w:jc w:val="both"/>
        <w:rPr>
          <w:rtl/>
        </w:rPr>
      </w:pPr>
      <w:r w:rsidRPr="00CB598F">
        <w:rPr>
          <w:sz w:val="22"/>
          <w:szCs w:val="38"/>
          <w:rtl/>
        </w:rPr>
        <w:t>•</w:t>
      </w:r>
      <w:r>
        <w:rPr>
          <w:rFonts w:hint="cs"/>
          <w:rtl/>
        </w:rPr>
        <w:t xml:space="preserve"> الملحوظات</w:t>
      </w:r>
      <w:r w:rsidR="0048366D">
        <w:rPr>
          <w:rFonts w:hint="cs"/>
          <w:rtl/>
        </w:rPr>
        <w:t>:</w:t>
      </w:r>
    </w:p>
    <w:p w:rsidR="00BF08C1" w:rsidRDefault="00BF08C1" w:rsidP="009A68A5">
      <w:pPr>
        <w:ind w:left="849" w:hanging="282"/>
        <w:jc w:val="both"/>
        <w:rPr>
          <w:rtl/>
        </w:rPr>
      </w:pPr>
      <w:r>
        <w:rPr>
          <w:rFonts w:hint="cs"/>
          <w:rtl/>
        </w:rPr>
        <w:lastRenderedPageBreak/>
        <w:t>- كُتب اسم الكتاب (بتمامه) على الغلاف، كما كتب في اللوحة الأولى منها اسم المؤلف والكتاب.</w:t>
      </w:r>
    </w:p>
    <w:p w:rsidR="00BF08C1" w:rsidRDefault="00BF08C1" w:rsidP="009A68A5">
      <w:pPr>
        <w:ind w:left="423" w:hanging="425"/>
        <w:jc w:val="both"/>
        <w:rPr>
          <w:spacing w:val="-4"/>
          <w:rtl/>
        </w:rPr>
      </w:pPr>
      <w:r>
        <w:rPr>
          <w:rFonts w:hint="cs"/>
          <w:spacing w:val="-4"/>
          <w:rtl/>
        </w:rPr>
        <w:t>- عليها تملك</w:t>
      </w:r>
      <w:r w:rsidR="0048366D">
        <w:rPr>
          <w:rFonts w:hint="cs"/>
          <w:spacing w:val="-4"/>
          <w:rtl/>
        </w:rPr>
        <w:t>:</w:t>
      </w:r>
      <w:r>
        <w:rPr>
          <w:rFonts w:hint="cs"/>
          <w:spacing w:val="-4"/>
          <w:rtl/>
        </w:rPr>
        <w:t xml:space="preserve"> عبد القادر بن يوسف، ثم ابنه</w:t>
      </w:r>
      <w:r w:rsidR="0048366D">
        <w:rPr>
          <w:rFonts w:hint="cs"/>
          <w:spacing w:val="-4"/>
          <w:rtl/>
        </w:rPr>
        <w:t>:</w:t>
      </w:r>
      <w:r>
        <w:rPr>
          <w:rFonts w:hint="cs"/>
          <w:spacing w:val="-4"/>
          <w:rtl/>
        </w:rPr>
        <w:t xml:space="preserve"> أحمد بن عبد القادر، ثم شخص يبدو أنّ اسمه (شمدى ديو إبراهيم)، عام 1149هـ، ثم حسن بن أحمد، عام 1154هـ، وكانت جامعة الملك عبد العزيز قد اشترتها عام 1399هـ.</w:t>
      </w:r>
    </w:p>
    <w:p w:rsidR="00BF08C1" w:rsidRDefault="00BF08C1" w:rsidP="009A68A5">
      <w:pPr>
        <w:ind w:left="423" w:hanging="425"/>
        <w:jc w:val="both"/>
        <w:rPr>
          <w:rtl/>
        </w:rPr>
      </w:pPr>
      <w:r>
        <w:rPr>
          <w:rFonts w:hint="cs"/>
          <w:rtl/>
        </w:rPr>
        <w:t>- في أولها فهرس مفصّل لأبواب الكتاب، وأهم ما تضمّنه من قواعد ومسائل.</w:t>
      </w:r>
    </w:p>
    <w:p w:rsidR="00BF08C1" w:rsidRDefault="00BF08C1" w:rsidP="009A68A5">
      <w:pPr>
        <w:ind w:left="423" w:hanging="425"/>
        <w:jc w:val="both"/>
        <w:rPr>
          <w:rtl/>
        </w:rPr>
      </w:pPr>
      <w:r>
        <w:rPr>
          <w:rFonts w:hint="cs"/>
          <w:rtl/>
        </w:rPr>
        <w:t>- عليها تصويبات قليلة في الهامش. وأحد هذه التصويبات كان مستفادًا من نسخة المصنف نفسه</w:t>
      </w:r>
      <w:r>
        <w:rPr>
          <w:rFonts w:hint="cs"/>
          <w:vertAlign w:val="superscript"/>
          <w:rtl/>
        </w:rPr>
        <w:t>(</w:t>
      </w:r>
      <w:r>
        <w:rPr>
          <w:rStyle w:val="a7"/>
        </w:rPr>
        <w:footnoteReference w:id="363"/>
      </w:r>
      <w:r>
        <w:rPr>
          <w:rFonts w:hint="cs"/>
          <w:vertAlign w:val="superscript"/>
          <w:rtl/>
        </w:rPr>
        <w:t>)</w:t>
      </w:r>
      <w:r>
        <w:rPr>
          <w:rFonts w:hint="cs"/>
          <w:rtl/>
        </w:rPr>
        <w:t>.</w:t>
      </w:r>
    </w:p>
    <w:p w:rsidR="00BF08C1" w:rsidRDefault="00BF08C1" w:rsidP="009A68A5">
      <w:pPr>
        <w:ind w:left="423" w:hanging="425"/>
        <w:jc w:val="both"/>
        <w:rPr>
          <w:rtl/>
        </w:rPr>
      </w:pPr>
      <w:r>
        <w:rPr>
          <w:rFonts w:hint="cs"/>
          <w:rtl/>
        </w:rPr>
        <w:t>- عليها تعليقات مختصرة وكثيرة</w:t>
      </w:r>
      <w:r w:rsidR="0048366D">
        <w:rPr>
          <w:rFonts w:hint="cs"/>
          <w:rtl/>
        </w:rPr>
        <w:t>:</w:t>
      </w:r>
      <w:r>
        <w:rPr>
          <w:rFonts w:hint="cs"/>
          <w:rtl/>
        </w:rPr>
        <w:t xml:space="preserve"> وبعضها باللغة العربية أو العثمانية، كما أن نوع الخط ولونه والقلم مختلف، ممّا يعني أنّ مصدر التعليق متعدّد.</w:t>
      </w:r>
    </w:p>
    <w:p w:rsidR="00BF08C1" w:rsidRDefault="00BF08C1" w:rsidP="009A68A5">
      <w:pPr>
        <w:ind w:left="423" w:hanging="425"/>
        <w:jc w:val="both"/>
        <w:rPr>
          <w:rtl/>
        </w:rPr>
      </w:pPr>
      <w:r>
        <w:rPr>
          <w:rFonts w:hint="cs"/>
          <w:rtl/>
        </w:rPr>
        <w:t>- في آخرها أبيات شعرية بلغة فارسية، وقد كتبت بالخط الذي كتب به باقي المخطوطة. وبعد الانتهاء من المخطوطة كتبت مجموعة من الفتاوى ونحوها (في لوحتين)، باللغة العثمانية، وبخط مغاير.</w:t>
      </w:r>
    </w:p>
    <w:p w:rsidR="00BF08C1" w:rsidRDefault="00BF08C1" w:rsidP="009A68A5">
      <w:pPr>
        <w:ind w:left="423" w:hanging="425"/>
        <w:jc w:val="both"/>
        <w:rPr>
          <w:rtl/>
        </w:rPr>
      </w:pPr>
      <w:r>
        <w:rPr>
          <w:rFonts w:hint="cs"/>
          <w:rtl/>
        </w:rPr>
        <w:t>- كتبت قواعدها وبعض التعليقات عليها باللون الأحمر.</w:t>
      </w:r>
    </w:p>
    <w:p w:rsidR="00BF08C1" w:rsidRDefault="00BF08C1" w:rsidP="009A68A5">
      <w:pPr>
        <w:ind w:left="423" w:hanging="425"/>
        <w:jc w:val="both"/>
        <w:rPr>
          <w:rtl/>
        </w:rPr>
      </w:pPr>
      <w:r>
        <w:rPr>
          <w:rFonts w:hint="cs"/>
          <w:rtl/>
        </w:rPr>
        <w:t>- ضبطت بعض كلماتها بالشّكل، كما أحيلتْ بعض الضمائر إلى ما ترجع إليه، وذلك بوضع علامات متماثلة على الضمير وما يعود إليه. وكان هذا كثيرًا في بداية المخطوطة ولاسيما في اللوحات العشر الأُوَل.</w:t>
      </w:r>
    </w:p>
    <w:p w:rsidR="00BF08C1" w:rsidRDefault="00BF08C1" w:rsidP="009A68A5">
      <w:pPr>
        <w:ind w:left="423" w:hanging="425"/>
        <w:jc w:val="both"/>
        <w:rPr>
          <w:rtl/>
        </w:rPr>
      </w:pPr>
      <w:r>
        <w:rPr>
          <w:rFonts w:hint="cs"/>
          <w:rtl/>
        </w:rPr>
        <w:t>- والذي يظهر أن هذا من تصرفات المعلّقين؛ لعدم وجوده في النسخ الأُخَر، ولعدم اطراده في جميع المخطوطة، ولكثرة الأخطاء في ذلك.</w:t>
      </w:r>
    </w:p>
    <w:p w:rsidR="00BF08C1" w:rsidRDefault="00BF08C1" w:rsidP="009A68A5">
      <w:pPr>
        <w:ind w:left="423" w:hanging="425"/>
        <w:jc w:val="both"/>
        <w:rPr>
          <w:rtl/>
        </w:rPr>
      </w:pPr>
      <w:r>
        <w:rPr>
          <w:rFonts w:hint="cs"/>
          <w:rtl/>
        </w:rPr>
        <w:t>- بها ترميم وآثار أرضة وثقوب قليلة لم تؤثر في نص الكتاب.</w:t>
      </w:r>
    </w:p>
    <w:p w:rsidR="00BF08C1" w:rsidRDefault="00BF08C1" w:rsidP="009A68A5">
      <w:pPr>
        <w:ind w:left="423" w:hanging="425"/>
        <w:jc w:val="both"/>
        <w:rPr>
          <w:rtl/>
        </w:rPr>
      </w:pPr>
      <w:r>
        <w:rPr>
          <w:rFonts w:hint="cs"/>
          <w:rtl/>
        </w:rPr>
        <w:lastRenderedPageBreak/>
        <w:t>- سقطت منها قاعدتان، هما قاعدة 207 و208. وهما يمثلان صفحة واحدة من المخطوط تقديرًا.</w:t>
      </w:r>
    </w:p>
    <w:p w:rsidR="00BF08C1" w:rsidRDefault="00BF08C1" w:rsidP="009A68A5">
      <w:pPr>
        <w:ind w:left="281" w:hanging="282"/>
        <w:jc w:val="both"/>
        <w:rPr>
          <w:spacing w:val="-8"/>
          <w:rtl/>
        </w:rPr>
      </w:pPr>
      <w:r>
        <w:rPr>
          <w:rFonts w:hint="cs"/>
          <w:spacing w:val="-8"/>
          <w:rtl/>
        </w:rPr>
        <w:t>- يبدو أن الناسخ ورّاق أعجمي وليس بطالب علم؛ لكثرة الأخطاء، ولا سيما التي تحصل بسبب العجمة غالبًا، كتذكير الكلمة التي حقها التأنيث، أو الأفصح فيها ذلك.</w:t>
      </w:r>
    </w:p>
    <w:p w:rsidR="00BF08C1" w:rsidRDefault="00BF08C1" w:rsidP="009A68A5">
      <w:pPr>
        <w:ind w:left="281"/>
        <w:jc w:val="both"/>
        <w:rPr>
          <w:b/>
          <w:bCs/>
          <w:rtl/>
        </w:rPr>
      </w:pPr>
      <w:r>
        <w:rPr>
          <w:rFonts w:hint="cs"/>
          <w:b/>
          <w:bCs/>
          <w:rtl/>
        </w:rPr>
        <w:t>2 - نسخة متحف توبقابي (ب)</w:t>
      </w:r>
      <w:r w:rsidR="0048366D">
        <w:rPr>
          <w:rFonts w:hint="cs"/>
          <w:b/>
          <w:bCs/>
          <w:rtl/>
        </w:rPr>
        <w:t>:</w:t>
      </w:r>
    </w:p>
    <w:p w:rsidR="00BF08C1" w:rsidRDefault="00BF08C1" w:rsidP="009A68A5">
      <w:pPr>
        <w:jc w:val="both"/>
        <w:rPr>
          <w:rtl/>
        </w:rPr>
      </w:pPr>
      <w:r>
        <w:rPr>
          <w:rFonts w:hint="cs"/>
          <w:rtl/>
        </w:rPr>
        <w:t>هذه النسخة في مكتبة متحف توبقابي باستانبول</w:t>
      </w:r>
      <w:r>
        <w:rPr>
          <w:rFonts w:hint="cs"/>
          <w:vertAlign w:val="superscript"/>
          <w:rtl/>
        </w:rPr>
        <w:t>(</w:t>
      </w:r>
      <w:r>
        <w:rPr>
          <w:rStyle w:val="a7"/>
        </w:rPr>
        <w:footnoteReference w:id="364"/>
      </w:r>
      <w:r>
        <w:rPr>
          <w:rFonts w:hint="cs"/>
          <w:vertAlign w:val="superscript"/>
          <w:rtl/>
        </w:rPr>
        <w:t>)</w:t>
      </w:r>
      <w:r>
        <w:rPr>
          <w:rFonts w:hint="cs"/>
          <w:rtl/>
        </w:rPr>
        <w:t>، وتحمل الرقم (4223)</w:t>
      </w:r>
      <w:r>
        <w:rPr>
          <w:rFonts w:hint="cs"/>
          <w:vertAlign w:val="superscript"/>
          <w:rtl/>
        </w:rPr>
        <w:t>(</w:t>
      </w:r>
      <w:r>
        <w:rPr>
          <w:rStyle w:val="a7"/>
        </w:rPr>
        <w:footnoteReference w:id="365"/>
      </w:r>
      <w:r>
        <w:rPr>
          <w:rFonts w:hint="cs"/>
          <w:vertAlign w:val="superscript"/>
          <w:rtl/>
        </w:rPr>
        <w:t>)</w:t>
      </w:r>
      <w:r>
        <w:rPr>
          <w:rFonts w:hint="cs"/>
          <w:rtl/>
        </w:rPr>
        <w:t>.</w:t>
      </w:r>
    </w:p>
    <w:p w:rsidR="00BF08C1" w:rsidRDefault="00BF08C1" w:rsidP="009A68A5">
      <w:pPr>
        <w:jc w:val="both"/>
        <w:rPr>
          <w:rtl/>
        </w:rPr>
      </w:pPr>
      <w:r>
        <w:rPr>
          <w:rFonts w:hint="cs"/>
          <w:rtl/>
        </w:rPr>
        <w:t>ووصفها كالآتي</w:t>
      </w:r>
      <w:r w:rsidR="0048366D">
        <w:rPr>
          <w:rFonts w:hint="cs"/>
          <w:rtl/>
        </w:rPr>
        <w:t>:</w:t>
      </w:r>
    </w:p>
    <w:p w:rsidR="00BF08C1" w:rsidRDefault="00BF08C1" w:rsidP="009A68A5">
      <w:pPr>
        <w:ind w:left="-2" w:firstLine="569"/>
        <w:jc w:val="both"/>
        <w:rPr>
          <w:rtl/>
        </w:rPr>
      </w:pPr>
      <w:r w:rsidRPr="00CB598F">
        <w:rPr>
          <w:sz w:val="22"/>
          <w:szCs w:val="38"/>
          <w:rtl/>
        </w:rPr>
        <w:t>•</w:t>
      </w:r>
      <w:r>
        <w:rPr>
          <w:rFonts w:hint="cs"/>
          <w:sz w:val="22"/>
          <w:szCs w:val="38"/>
          <w:rtl/>
        </w:rPr>
        <w:t xml:space="preserve"> </w:t>
      </w:r>
      <w:r>
        <w:rPr>
          <w:rFonts w:hint="cs"/>
          <w:rtl/>
        </w:rPr>
        <w:t>ناسخها هو</w:t>
      </w:r>
      <w:r w:rsidR="0048366D">
        <w:rPr>
          <w:rFonts w:hint="cs"/>
          <w:rtl/>
        </w:rPr>
        <w:t>:</w:t>
      </w:r>
      <w:r>
        <w:rPr>
          <w:rFonts w:hint="cs"/>
          <w:rtl/>
        </w:rPr>
        <w:t xml:space="preserve"> الشيخ محمد بن الشيخ عبد الله بن الشيخ زكريا القدسي.</w:t>
      </w:r>
    </w:p>
    <w:p w:rsidR="00BF08C1" w:rsidRDefault="00BF08C1" w:rsidP="009A68A5">
      <w:pPr>
        <w:ind w:left="-2" w:firstLine="569"/>
        <w:jc w:val="both"/>
        <w:rPr>
          <w:rtl/>
        </w:rPr>
      </w:pPr>
      <w:r w:rsidRPr="00CB598F">
        <w:rPr>
          <w:sz w:val="22"/>
          <w:szCs w:val="38"/>
          <w:rtl/>
        </w:rPr>
        <w:t>•</w:t>
      </w:r>
      <w:r>
        <w:rPr>
          <w:rFonts w:hint="cs"/>
          <w:sz w:val="22"/>
          <w:szCs w:val="38"/>
          <w:rtl/>
        </w:rPr>
        <w:t xml:space="preserve"> </w:t>
      </w:r>
      <w:r>
        <w:rPr>
          <w:rFonts w:hint="cs"/>
          <w:rtl/>
        </w:rPr>
        <w:t>تاريخ انتهائه من نسخها</w:t>
      </w:r>
      <w:r w:rsidR="0048366D">
        <w:rPr>
          <w:rFonts w:hint="cs"/>
          <w:rtl/>
        </w:rPr>
        <w:t>:</w:t>
      </w:r>
      <w:r>
        <w:rPr>
          <w:rFonts w:hint="cs"/>
          <w:rtl/>
        </w:rPr>
        <w:t xml:space="preserve"> 8/7/1168هـ.</w:t>
      </w:r>
    </w:p>
    <w:p w:rsidR="00BF08C1" w:rsidRDefault="00BF08C1" w:rsidP="009A68A5">
      <w:pPr>
        <w:ind w:left="-2" w:firstLine="569"/>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نسخ جيد.</w:t>
      </w:r>
    </w:p>
    <w:p w:rsidR="00BF08C1" w:rsidRDefault="00BF08C1" w:rsidP="009A68A5">
      <w:pPr>
        <w:ind w:left="-2" w:firstLine="0"/>
        <w:jc w:val="both"/>
        <w:rPr>
          <w:rtl/>
        </w:rPr>
      </w:pPr>
      <w:r>
        <w:rPr>
          <w:rFonts w:hint="cs"/>
          <w:sz w:val="22"/>
          <w:szCs w:val="38"/>
          <w:rtl/>
        </w:rPr>
        <w:tab/>
        <w:t xml:space="preserve">      </w:t>
      </w: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73 لوحة، تمثل 145 صفحة.</w:t>
      </w:r>
    </w:p>
    <w:p w:rsidR="00BF08C1" w:rsidRDefault="00BF08C1" w:rsidP="009A68A5">
      <w:pPr>
        <w:ind w:left="-2" w:firstLine="283"/>
        <w:jc w:val="both"/>
        <w:rPr>
          <w:rtl/>
        </w:rPr>
      </w:pPr>
      <w:r>
        <w:rPr>
          <w:rFonts w:hint="cs"/>
          <w:sz w:val="22"/>
          <w:szCs w:val="38"/>
          <w:rtl/>
        </w:rPr>
        <w:t xml:space="preserve">   </w:t>
      </w: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21 سطرًا.</w:t>
      </w:r>
    </w:p>
    <w:p w:rsidR="00BF08C1" w:rsidRDefault="00BF08C1" w:rsidP="009A68A5">
      <w:pPr>
        <w:ind w:firstLine="281"/>
        <w:jc w:val="both"/>
        <w:rPr>
          <w:rtl/>
        </w:rPr>
      </w:pPr>
      <w:r>
        <w:rPr>
          <w:rFonts w:hint="cs"/>
          <w:sz w:val="22"/>
          <w:szCs w:val="38"/>
          <w:rtl/>
        </w:rPr>
        <w:t xml:space="preserve">  </w:t>
      </w: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12 كلمة.</w:t>
      </w:r>
    </w:p>
    <w:p w:rsidR="00BF08C1" w:rsidRDefault="00BF08C1" w:rsidP="009A68A5">
      <w:pPr>
        <w:ind w:left="-2" w:firstLine="283"/>
        <w:jc w:val="both"/>
        <w:rPr>
          <w:rtl/>
        </w:rPr>
      </w:pPr>
      <w:r>
        <w:rPr>
          <w:rFonts w:hint="cs"/>
          <w:sz w:val="22"/>
          <w:szCs w:val="38"/>
          <w:rtl/>
        </w:rPr>
        <w:t xml:space="preserve">  </w:t>
      </w: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ind w:left="281" w:hanging="282"/>
        <w:jc w:val="both"/>
        <w:rPr>
          <w:rtl/>
        </w:rPr>
      </w:pPr>
      <w:r>
        <w:rPr>
          <w:rFonts w:hint="cs"/>
          <w:rtl/>
        </w:rPr>
        <w:t>- كُتب اسم الكتاب والمؤلف على اللوحة الأولى، كما رمز لهما بخطٍّ مغاير على غلاف الكتاب، في ركنٍ من أركانه.</w:t>
      </w:r>
    </w:p>
    <w:p w:rsidR="00BF08C1" w:rsidRDefault="00BF08C1" w:rsidP="009A68A5">
      <w:pPr>
        <w:ind w:left="281" w:hanging="282"/>
        <w:jc w:val="both"/>
        <w:rPr>
          <w:rtl/>
        </w:rPr>
      </w:pPr>
      <w:r>
        <w:rPr>
          <w:rFonts w:hint="cs"/>
          <w:rtl/>
        </w:rPr>
        <w:t>- عليها تصويبات معدودة في الهامش.</w:t>
      </w:r>
    </w:p>
    <w:p w:rsidR="00BF08C1" w:rsidRDefault="00BF08C1" w:rsidP="009A68A5">
      <w:pPr>
        <w:ind w:left="281" w:hanging="282"/>
        <w:jc w:val="both"/>
        <w:rPr>
          <w:rtl/>
        </w:rPr>
      </w:pPr>
      <w:r>
        <w:rPr>
          <w:rFonts w:hint="cs"/>
          <w:rtl/>
        </w:rPr>
        <w:t>- ليس عليها</w:t>
      </w:r>
      <w:r w:rsidR="0048366D">
        <w:rPr>
          <w:rFonts w:hint="cs"/>
          <w:rtl/>
        </w:rPr>
        <w:t>:</w:t>
      </w:r>
      <w:r>
        <w:rPr>
          <w:rFonts w:hint="cs"/>
          <w:rtl/>
        </w:rPr>
        <w:t xml:space="preserve"> تعليقات علمية.</w:t>
      </w:r>
    </w:p>
    <w:p w:rsidR="00BF08C1" w:rsidRDefault="00BF08C1" w:rsidP="009A68A5">
      <w:pPr>
        <w:ind w:left="281" w:hanging="282"/>
        <w:jc w:val="both"/>
        <w:rPr>
          <w:rtl/>
        </w:rPr>
      </w:pPr>
      <w:r>
        <w:rPr>
          <w:rFonts w:hint="cs"/>
          <w:rtl/>
        </w:rPr>
        <w:lastRenderedPageBreak/>
        <w:t>- كتبت قواعدها باللون الأحمر.</w:t>
      </w:r>
    </w:p>
    <w:p w:rsidR="00BF08C1" w:rsidRDefault="00BF08C1" w:rsidP="009A68A5">
      <w:pPr>
        <w:ind w:left="281" w:hanging="282"/>
        <w:jc w:val="both"/>
        <w:rPr>
          <w:rtl/>
        </w:rPr>
      </w:pPr>
      <w:r>
        <w:rPr>
          <w:rFonts w:hint="cs"/>
          <w:rtl/>
        </w:rPr>
        <w:t>- سقطت منها قاعدتان، هما 207 و208.</w:t>
      </w:r>
    </w:p>
    <w:p w:rsidR="00BF08C1" w:rsidRDefault="00BF08C1" w:rsidP="009A68A5">
      <w:pPr>
        <w:ind w:left="281" w:hanging="282"/>
        <w:jc w:val="both"/>
        <w:rPr>
          <w:rtl/>
        </w:rPr>
      </w:pPr>
      <w:r>
        <w:rPr>
          <w:rFonts w:hint="cs"/>
          <w:rtl/>
        </w:rPr>
        <w:t>- يبدو أنّ ناسخها طالب علم، ويتّضح هذا من تلقيبه بالشيخ، ومن قلّة الأخطاء فيها نسبيًّا.</w:t>
      </w:r>
    </w:p>
    <w:p w:rsidR="00BF08C1" w:rsidRDefault="00BF08C1" w:rsidP="009A68A5">
      <w:pPr>
        <w:jc w:val="both"/>
        <w:rPr>
          <w:b/>
          <w:bCs/>
          <w:rtl/>
        </w:rPr>
      </w:pPr>
      <w:r>
        <w:rPr>
          <w:rFonts w:hint="cs"/>
          <w:b/>
          <w:bCs/>
          <w:rtl/>
        </w:rPr>
        <w:t xml:space="preserve">3 </w:t>
      </w:r>
      <w:r>
        <w:rPr>
          <w:b/>
          <w:bCs/>
          <w:rtl/>
        </w:rPr>
        <w:t>–</w:t>
      </w:r>
      <w:r>
        <w:rPr>
          <w:rFonts w:hint="cs"/>
          <w:b/>
          <w:bCs/>
          <w:rtl/>
        </w:rPr>
        <w:t xml:space="preserve"> نسخة سيواس (جـ)</w:t>
      </w:r>
      <w:r w:rsidR="0048366D">
        <w:rPr>
          <w:rFonts w:hint="cs"/>
          <w:b/>
          <w:bCs/>
          <w:rtl/>
        </w:rPr>
        <w:t>:</w:t>
      </w:r>
    </w:p>
    <w:p w:rsidR="00BF08C1" w:rsidRDefault="00BF08C1" w:rsidP="009A68A5">
      <w:pPr>
        <w:jc w:val="both"/>
        <w:rPr>
          <w:rtl/>
        </w:rPr>
      </w:pPr>
      <w:r>
        <w:rPr>
          <w:rFonts w:hint="cs"/>
          <w:rtl/>
        </w:rPr>
        <w:t>وهي محفوظة في متحف أتاتورك بمدينة سيواس بتركيا، برقم (414/84).</w:t>
      </w:r>
    </w:p>
    <w:p w:rsidR="00BF08C1" w:rsidRDefault="00BF08C1" w:rsidP="009A68A5">
      <w:pPr>
        <w:jc w:val="both"/>
        <w:rPr>
          <w:rtl/>
        </w:rPr>
      </w:pPr>
      <w:r>
        <w:rPr>
          <w:rFonts w:hint="cs"/>
          <w:rtl/>
        </w:rPr>
        <w:t>ووصفها كالآتي</w:t>
      </w:r>
      <w:r w:rsidR="0048366D">
        <w:rPr>
          <w:rFonts w:hint="cs"/>
          <w:rtl/>
        </w:rPr>
        <w:t>:</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لم يُذكر فيها اسم الناسخ ولا تاريخ النسخ.</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تعليق جميل.</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84 لوحة، تمثّل 167 صفحة.</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17 سطرًا.</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13 كلمة.</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ind w:left="423" w:hanging="423"/>
        <w:jc w:val="both"/>
        <w:rPr>
          <w:rtl/>
        </w:rPr>
      </w:pPr>
      <w:r>
        <w:rPr>
          <w:rFonts w:hint="cs"/>
          <w:rtl/>
        </w:rPr>
        <w:t>- كتب في اللوحة الأولى منها اسم الكتاب والمؤلف، كما ذكر اسم الكتاب على الغلاف تبعًا لذكر المالك.</w:t>
      </w:r>
    </w:p>
    <w:p w:rsidR="00BF08C1" w:rsidRDefault="00BF08C1" w:rsidP="009A68A5">
      <w:pPr>
        <w:ind w:left="423" w:hanging="423"/>
        <w:jc w:val="both"/>
        <w:rPr>
          <w:spacing w:val="-4"/>
          <w:rtl/>
        </w:rPr>
      </w:pPr>
      <w:r>
        <w:rPr>
          <w:rFonts w:hint="cs"/>
          <w:spacing w:val="-4"/>
          <w:rtl/>
        </w:rPr>
        <w:t>- كتب على غلافها ثلاث تملكات، لكل من</w:t>
      </w:r>
      <w:r w:rsidR="0048366D">
        <w:rPr>
          <w:rFonts w:hint="cs"/>
          <w:spacing w:val="-4"/>
          <w:rtl/>
        </w:rPr>
        <w:t>:</w:t>
      </w:r>
      <w:r>
        <w:rPr>
          <w:rFonts w:hint="cs"/>
          <w:spacing w:val="-4"/>
          <w:rtl/>
        </w:rPr>
        <w:t xml:space="preserve"> السيد حسين من السيد أحمد سعيد، والشيخ محمد بن إبراهيم</w:t>
      </w:r>
      <w:r w:rsidR="0048366D">
        <w:rPr>
          <w:rFonts w:hint="cs"/>
          <w:spacing w:val="-4"/>
          <w:rtl/>
        </w:rPr>
        <w:t>.</w:t>
      </w:r>
      <w:r>
        <w:rPr>
          <w:rFonts w:hint="cs"/>
          <w:spacing w:val="-4"/>
          <w:rtl/>
        </w:rPr>
        <w:t>.. بلعلي زاده، والسيد محمد معصوم بلعلي زاده.</w:t>
      </w:r>
    </w:p>
    <w:p w:rsidR="00BF08C1" w:rsidRDefault="00BF08C1" w:rsidP="009A68A5">
      <w:pPr>
        <w:ind w:left="423" w:hanging="423"/>
        <w:jc w:val="both"/>
        <w:rPr>
          <w:rtl/>
        </w:rPr>
      </w:pPr>
      <w:r>
        <w:rPr>
          <w:rFonts w:hint="cs"/>
          <w:rtl/>
        </w:rPr>
        <w:t>- عليها تصويبات معدودة في الهامش.</w:t>
      </w:r>
    </w:p>
    <w:p w:rsidR="00BF08C1" w:rsidRDefault="00BF08C1" w:rsidP="009A68A5">
      <w:pPr>
        <w:ind w:left="423" w:hanging="423"/>
        <w:jc w:val="both"/>
        <w:rPr>
          <w:rtl/>
        </w:rPr>
      </w:pPr>
      <w:r>
        <w:rPr>
          <w:rFonts w:hint="cs"/>
          <w:rtl/>
        </w:rPr>
        <w:t>- عليها تعليقات علمية قليلة، كما أن جانبًا من هذه التعليقات فيه إبراز لمسألة أو قاعدة</w:t>
      </w:r>
      <w:r>
        <w:rPr>
          <w:rFonts w:hint="eastAsia"/>
          <w:rtl/>
        </w:rPr>
        <w:t> </w:t>
      </w:r>
      <w:r>
        <w:rPr>
          <w:rFonts w:hint="cs"/>
          <w:rtl/>
        </w:rPr>
        <w:t>فقط.</w:t>
      </w:r>
    </w:p>
    <w:p w:rsidR="00BF08C1" w:rsidRDefault="00BF08C1" w:rsidP="009A68A5">
      <w:pPr>
        <w:ind w:left="423" w:hanging="423"/>
        <w:jc w:val="both"/>
        <w:rPr>
          <w:rtl/>
        </w:rPr>
      </w:pPr>
      <w:r>
        <w:rPr>
          <w:rFonts w:hint="cs"/>
          <w:rtl/>
        </w:rPr>
        <w:t>- كُتبتْ قواعدها باللون الأحمر.</w:t>
      </w:r>
    </w:p>
    <w:p w:rsidR="00BF08C1" w:rsidRDefault="00BF08C1" w:rsidP="009A68A5">
      <w:pPr>
        <w:spacing w:line="264" w:lineRule="auto"/>
        <w:ind w:left="423" w:hanging="423"/>
        <w:jc w:val="both"/>
        <w:rPr>
          <w:rtl/>
        </w:rPr>
      </w:pPr>
      <w:r>
        <w:rPr>
          <w:rFonts w:hint="cs"/>
          <w:rtl/>
        </w:rPr>
        <w:lastRenderedPageBreak/>
        <w:t>- يبدو أن الناسخ لا يعدو كونه ورّاقًا أعجميًّا؛ لكثرة الأخطاء البدهية التي يبعد صدورها ممّن يحسن اللغة التي كُتبت بها. وممّا يلفت النظر</w:t>
      </w:r>
      <w:r w:rsidR="0048366D">
        <w:rPr>
          <w:rFonts w:hint="cs"/>
          <w:rtl/>
        </w:rPr>
        <w:t>:</w:t>
      </w:r>
      <w:r>
        <w:rPr>
          <w:rFonts w:hint="cs"/>
          <w:rtl/>
        </w:rPr>
        <w:t xml:space="preserve"> أن الناسخ كثيرًا ما كان يخلط بين (الخاء) و(الحاء)، فتارة يُعجم الحرف في سياقٍ يستدعي إهماله، وتارة العكس!.</w:t>
      </w:r>
    </w:p>
    <w:p w:rsidR="00BF08C1" w:rsidRDefault="00BF08C1" w:rsidP="009A68A5">
      <w:pPr>
        <w:spacing w:line="264" w:lineRule="auto"/>
        <w:jc w:val="both"/>
        <w:rPr>
          <w:b/>
          <w:bCs/>
          <w:rtl/>
        </w:rPr>
      </w:pPr>
      <w:r>
        <w:rPr>
          <w:rFonts w:hint="cs"/>
          <w:b/>
          <w:bCs/>
          <w:rtl/>
        </w:rPr>
        <w:t>4 - نسخة بايزيد (د)</w:t>
      </w:r>
      <w:r w:rsidR="0048366D">
        <w:rPr>
          <w:rFonts w:hint="cs"/>
          <w:b/>
          <w:bCs/>
          <w:rtl/>
        </w:rPr>
        <w:t>:</w:t>
      </w:r>
    </w:p>
    <w:p w:rsidR="00BF08C1" w:rsidRDefault="00BF08C1" w:rsidP="009A68A5">
      <w:pPr>
        <w:spacing w:line="264" w:lineRule="auto"/>
        <w:jc w:val="both"/>
        <w:rPr>
          <w:rtl/>
        </w:rPr>
      </w:pPr>
      <w:r>
        <w:rPr>
          <w:rFonts w:hint="cs"/>
          <w:rtl/>
        </w:rPr>
        <w:t>وهي محفوظة في مكتبة بايزيد عمومي، برقم (2551)</w:t>
      </w:r>
      <w:r>
        <w:rPr>
          <w:rFonts w:hint="cs"/>
          <w:vertAlign w:val="superscript"/>
          <w:rtl/>
        </w:rPr>
        <w:t>(</w:t>
      </w:r>
      <w:r>
        <w:rPr>
          <w:rStyle w:val="a7"/>
        </w:rPr>
        <w:footnoteReference w:id="366"/>
      </w:r>
      <w:r>
        <w:rPr>
          <w:rFonts w:hint="cs"/>
          <w:vertAlign w:val="superscript"/>
          <w:rtl/>
        </w:rPr>
        <w:t>)</w:t>
      </w:r>
      <w:r>
        <w:rPr>
          <w:rFonts w:hint="cs"/>
          <w:rtl/>
        </w:rPr>
        <w:t>.</w:t>
      </w:r>
    </w:p>
    <w:p w:rsidR="00BF08C1" w:rsidRDefault="00BF08C1" w:rsidP="009A68A5">
      <w:pPr>
        <w:spacing w:line="264" w:lineRule="auto"/>
        <w:jc w:val="both"/>
        <w:rPr>
          <w:rtl/>
        </w:rPr>
      </w:pPr>
      <w:r>
        <w:rPr>
          <w:rFonts w:hint="cs"/>
          <w:rtl/>
        </w:rPr>
        <w:t>ووصفها كالآتي</w:t>
      </w:r>
      <w:r w:rsidR="0048366D">
        <w:rPr>
          <w:rFonts w:hint="cs"/>
          <w:rtl/>
        </w:rPr>
        <w:t>:</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لم يُذكر فيها اسم الناسخ ولا تاريخ النسخ.</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نسخ.</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69 لوحة، تمثّل 137 صفحة.</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23 سطرًا.</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13 كلمة.</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ind w:left="423" w:hanging="423"/>
        <w:jc w:val="both"/>
        <w:rPr>
          <w:rtl/>
        </w:rPr>
      </w:pPr>
      <w:r>
        <w:rPr>
          <w:rFonts w:hint="cs"/>
          <w:rtl/>
        </w:rPr>
        <w:t>- كتب اسم الكتاب والمؤلف على اللوحة الأولى، كما كُتبا على الغلاف، بالنص الآتي</w:t>
      </w:r>
      <w:r w:rsidR="0048366D">
        <w:rPr>
          <w:rFonts w:hint="cs"/>
          <w:rtl/>
        </w:rPr>
        <w:t>:</w:t>
      </w:r>
      <w:r>
        <w:rPr>
          <w:rFonts w:hint="cs"/>
          <w:rtl/>
        </w:rPr>
        <w:t xml:space="preserve"> </w:t>
      </w:r>
      <w:r>
        <w:rPr>
          <w:rFonts w:hint="eastAsia"/>
          <w:rtl/>
        </w:rPr>
        <w:t>«</w:t>
      </w:r>
      <w:r>
        <w:rPr>
          <w:rFonts w:hint="cs"/>
          <w:rtl/>
        </w:rPr>
        <w:t>كتاب ترتيب اللآلي في سلك الآمالي. تأليف الشيخ الإمام العالم العلامة، البحر الفهامة، الفقير</w:t>
      </w:r>
      <w:r w:rsidR="0048366D">
        <w:rPr>
          <w:rFonts w:hint="cs"/>
          <w:rtl/>
        </w:rPr>
        <w:t>:</w:t>
      </w:r>
      <w:r>
        <w:rPr>
          <w:rFonts w:hint="cs"/>
          <w:rtl/>
        </w:rPr>
        <w:t xml:space="preserve"> محمد بن سليمان الشهير بناظرزاده، غفر الله له ولوالديه، ولكل المسلمين أجمعين، آمين يا رب العالمين، آمين</w:t>
      </w:r>
      <w:r>
        <w:rPr>
          <w:rFonts w:hint="eastAsia"/>
          <w:rtl/>
        </w:rPr>
        <w:t>»</w:t>
      </w:r>
      <w:r>
        <w:rPr>
          <w:rFonts w:hint="cs"/>
          <w:rtl/>
        </w:rPr>
        <w:t>.</w:t>
      </w:r>
    </w:p>
    <w:p w:rsidR="00BF08C1" w:rsidRDefault="00BF08C1" w:rsidP="009A68A5">
      <w:pPr>
        <w:ind w:left="423" w:hanging="423"/>
        <w:jc w:val="both"/>
        <w:rPr>
          <w:rtl/>
        </w:rPr>
      </w:pPr>
      <w:r>
        <w:rPr>
          <w:rFonts w:hint="cs"/>
          <w:rtl/>
        </w:rPr>
        <w:t>- لم تُثبت عليها تمّلكات، إلاّ أن سجلاّت المكتبة تُثبت أن الذي وقفها فيها هو</w:t>
      </w:r>
      <w:r w:rsidR="0048366D">
        <w:rPr>
          <w:rFonts w:hint="cs"/>
          <w:rtl/>
        </w:rPr>
        <w:t>:</w:t>
      </w:r>
      <w:r>
        <w:rPr>
          <w:rFonts w:hint="cs"/>
          <w:rtl/>
        </w:rPr>
        <w:t xml:space="preserve"> ودين محافظي إدريس باشا.</w:t>
      </w:r>
    </w:p>
    <w:p w:rsidR="00BF08C1" w:rsidRDefault="00BF08C1" w:rsidP="009A68A5">
      <w:pPr>
        <w:ind w:left="423" w:hanging="423"/>
        <w:jc w:val="both"/>
        <w:rPr>
          <w:rtl/>
        </w:rPr>
      </w:pPr>
      <w:r>
        <w:rPr>
          <w:rFonts w:hint="cs"/>
          <w:rtl/>
        </w:rPr>
        <w:lastRenderedPageBreak/>
        <w:t>- التصويبات والتعليقات نادرة جدًّا.</w:t>
      </w:r>
    </w:p>
    <w:p w:rsidR="00BF08C1" w:rsidRDefault="00BF08C1" w:rsidP="009A68A5">
      <w:pPr>
        <w:ind w:left="423" w:hanging="423"/>
        <w:jc w:val="both"/>
        <w:rPr>
          <w:rtl/>
        </w:rPr>
      </w:pPr>
      <w:r>
        <w:rPr>
          <w:rFonts w:hint="cs"/>
          <w:rtl/>
        </w:rPr>
        <w:t>- كتبت قواعدها باللون الأحمر.</w:t>
      </w:r>
    </w:p>
    <w:p w:rsidR="00BF08C1" w:rsidRDefault="00BF08C1" w:rsidP="009A68A5">
      <w:pPr>
        <w:ind w:left="423" w:hanging="423"/>
        <w:jc w:val="both"/>
        <w:rPr>
          <w:rtl/>
        </w:rPr>
      </w:pPr>
      <w:r>
        <w:rPr>
          <w:rFonts w:hint="cs"/>
          <w:rtl/>
        </w:rPr>
        <w:t>- سقطت منها قاعدتان، هما 207 و208.</w:t>
      </w:r>
    </w:p>
    <w:p w:rsidR="00BF08C1" w:rsidRDefault="00BF08C1" w:rsidP="009A68A5">
      <w:pPr>
        <w:ind w:left="423" w:hanging="423"/>
        <w:jc w:val="both"/>
        <w:rPr>
          <w:rtl/>
        </w:rPr>
      </w:pPr>
      <w:r>
        <w:rPr>
          <w:rFonts w:hint="cs"/>
          <w:rtl/>
        </w:rPr>
        <w:t>- الأخطاء فيها كثيرة.</w:t>
      </w:r>
    </w:p>
    <w:p w:rsidR="00BF08C1" w:rsidRDefault="00BF08C1" w:rsidP="009A68A5">
      <w:pPr>
        <w:ind w:left="423" w:hanging="423"/>
        <w:jc w:val="both"/>
        <w:rPr>
          <w:rtl/>
        </w:rPr>
      </w:pPr>
      <w:r>
        <w:rPr>
          <w:rFonts w:hint="cs"/>
          <w:rtl/>
        </w:rPr>
        <w:t>- أحيانًا يهمل النقاط في بعض الحروف، وأحيانًا يثبت النقاط فوق الحرف وتحته معًا، كأن يقرأ الحرف بِـ (الياء) و(التاء) معًا.</w:t>
      </w:r>
    </w:p>
    <w:p w:rsidR="00BF08C1" w:rsidRDefault="00BF08C1" w:rsidP="009A68A5">
      <w:pPr>
        <w:jc w:val="both"/>
        <w:rPr>
          <w:b/>
          <w:bCs/>
          <w:rtl/>
        </w:rPr>
      </w:pPr>
      <w:r>
        <w:rPr>
          <w:rFonts w:hint="cs"/>
          <w:b/>
          <w:bCs/>
          <w:rtl/>
        </w:rPr>
        <w:t>5 - نسخة مكتبة الملك عبد العزيز (هـ)</w:t>
      </w:r>
      <w:r w:rsidR="0048366D">
        <w:rPr>
          <w:rFonts w:hint="cs"/>
          <w:b/>
          <w:bCs/>
          <w:rtl/>
        </w:rPr>
        <w:t>:</w:t>
      </w:r>
    </w:p>
    <w:p w:rsidR="00BF08C1" w:rsidRDefault="00BF08C1" w:rsidP="009A68A5">
      <w:pPr>
        <w:jc w:val="both"/>
        <w:rPr>
          <w:spacing w:val="-4"/>
          <w:rtl/>
        </w:rPr>
      </w:pPr>
      <w:r>
        <w:rPr>
          <w:rFonts w:hint="cs"/>
          <w:spacing w:val="-4"/>
          <w:rtl/>
        </w:rPr>
        <w:t>هذه النسخة محفوظة في مكتبة الملك عبد العزيز، بالمدينة المنورة، مجموعة بشـير أغا، برقم (673/23). ولها صورة في مكتبة الجامعة الإسلامية بالمدينة المنورة، برقم (8918)</w:t>
      </w:r>
      <w:r>
        <w:rPr>
          <w:rFonts w:hint="cs"/>
          <w:spacing w:val="-4"/>
          <w:vertAlign w:val="superscript"/>
          <w:rtl/>
        </w:rPr>
        <w:t>(</w:t>
      </w:r>
      <w:r>
        <w:rPr>
          <w:rStyle w:val="a7"/>
          <w:spacing w:val="-4"/>
        </w:rPr>
        <w:footnoteReference w:id="367"/>
      </w:r>
      <w:r>
        <w:rPr>
          <w:rFonts w:hint="cs"/>
          <w:spacing w:val="-4"/>
          <w:vertAlign w:val="superscript"/>
          <w:rtl/>
        </w:rPr>
        <w:t>)</w:t>
      </w:r>
      <w:r>
        <w:rPr>
          <w:rFonts w:hint="cs"/>
          <w:spacing w:val="-4"/>
          <w:rtl/>
        </w:rPr>
        <w:t>.</w:t>
      </w:r>
    </w:p>
    <w:p w:rsidR="00BF08C1" w:rsidRDefault="00BF08C1" w:rsidP="009A68A5">
      <w:pPr>
        <w:jc w:val="both"/>
        <w:rPr>
          <w:rtl/>
        </w:rPr>
      </w:pPr>
      <w:r>
        <w:rPr>
          <w:rFonts w:hint="cs"/>
          <w:rtl/>
        </w:rPr>
        <w:t>ووصفها كالآتي</w:t>
      </w:r>
      <w:r w:rsidR="0048366D">
        <w:rPr>
          <w:rFonts w:hint="cs"/>
          <w:rtl/>
        </w:rPr>
        <w:t>:</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ليس عليها اسم الناسخ ولا تاريخ النسخ.</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نسخ جيّد.</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94 لوحة، تمثّل (188) صفحة.</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17 سطرًا.</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11 كلمة.</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ind w:left="423" w:hanging="423"/>
        <w:jc w:val="both"/>
        <w:rPr>
          <w:rtl/>
        </w:rPr>
      </w:pPr>
      <w:r>
        <w:rPr>
          <w:rFonts w:hint="cs"/>
          <w:rtl/>
        </w:rPr>
        <w:t>- كُتب اسم الكتاب والمؤلف على اللوحة الأولى. كما كتب اسم الكتاب على الغلاف باللفظ الآتي</w:t>
      </w:r>
      <w:r w:rsidR="0048366D">
        <w:rPr>
          <w:rFonts w:hint="cs"/>
          <w:rtl/>
        </w:rPr>
        <w:t>:</w:t>
      </w:r>
      <w:r>
        <w:rPr>
          <w:rFonts w:hint="cs"/>
          <w:rtl/>
        </w:rPr>
        <w:t xml:space="preserve"> </w:t>
      </w:r>
      <w:r>
        <w:rPr>
          <w:rFonts w:hint="eastAsia"/>
          <w:rtl/>
        </w:rPr>
        <w:t>«</w:t>
      </w:r>
      <w:r>
        <w:rPr>
          <w:rFonts w:hint="cs"/>
          <w:rtl/>
        </w:rPr>
        <w:t>كتاب ترتيب اللآلي في علم أصول الفقه</w:t>
      </w:r>
      <w:r>
        <w:rPr>
          <w:rFonts w:hint="eastAsia"/>
          <w:rtl/>
        </w:rPr>
        <w:t>»</w:t>
      </w:r>
      <w:r>
        <w:rPr>
          <w:rFonts w:hint="cs"/>
          <w:rtl/>
        </w:rPr>
        <w:t>.</w:t>
      </w:r>
    </w:p>
    <w:p w:rsidR="00BF08C1" w:rsidRDefault="00BF08C1" w:rsidP="009A68A5">
      <w:pPr>
        <w:ind w:left="423" w:hanging="423"/>
        <w:jc w:val="both"/>
        <w:rPr>
          <w:rtl/>
        </w:rPr>
      </w:pPr>
      <w:r>
        <w:rPr>
          <w:rFonts w:hint="cs"/>
          <w:rtl/>
        </w:rPr>
        <w:t xml:space="preserve">- أضيفِ إلى الكتاب (78) قاعدة، سُردت بلا تعليق، وذلك في هوامش المخطوطة </w:t>
      </w:r>
      <w:r>
        <w:rPr>
          <w:rFonts w:hint="cs"/>
          <w:rtl/>
        </w:rPr>
        <w:lastRenderedPageBreak/>
        <w:t>وبعد</w:t>
      </w:r>
      <w:r>
        <w:rPr>
          <w:rFonts w:hint="eastAsia"/>
          <w:rtl/>
        </w:rPr>
        <w:t> </w:t>
      </w:r>
      <w:r>
        <w:rPr>
          <w:rFonts w:hint="cs"/>
          <w:rtl/>
        </w:rPr>
        <w:t>الانتهاء من نَسـخ الـكتـاب، وقـد كتـبت بخط مغاير للخط الذي نسخ به الكتاب.</w:t>
      </w:r>
    </w:p>
    <w:p w:rsidR="00BF08C1" w:rsidRDefault="00BF08C1" w:rsidP="009A68A5">
      <w:pPr>
        <w:ind w:left="423" w:hanging="423"/>
        <w:jc w:val="both"/>
        <w:rPr>
          <w:rtl/>
        </w:rPr>
      </w:pPr>
      <w:r>
        <w:rPr>
          <w:rFonts w:hint="cs"/>
          <w:rtl/>
        </w:rPr>
        <w:t>- ليس عليها تصويبات مطلقًا، كما أن التعليقات عليها نادرة، حيث لم يثبت على الهوامش سوى القواعد الملحقة، وتعليقين فقط.</w:t>
      </w:r>
    </w:p>
    <w:p w:rsidR="00BF08C1" w:rsidRDefault="00BF08C1" w:rsidP="009A68A5">
      <w:pPr>
        <w:ind w:left="423" w:hanging="423"/>
        <w:jc w:val="both"/>
        <w:rPr>
          <w:rtl/>
        </w:rPr>
      </w:pPr>
      <w:r>
        <w:rPr>
          <w:rFonts w:hint="cs"/>
          <w:rtl/>
        </w:rPr>
        <w:t>- كانت تميّز ألفاظ القواعد عن شرحها بإثبات خط أفقي فوق ألفاظ القواعد.</w:t>
      </w:r>
    </w:p>
    <w:p w:rsidR="00BF08C1" w:rsidRDefault="00BF08C1" w:rsidP="009A68A5">
      <w:pPr>
        <w:ind w:left="423" w:hanging="423"/>
        <w:jc w:val="both"/>
        <w:rPr>
          <w:rtl/>
        </w:rPr>
      </w:pPr>
      <w:r>
        <w:rPr>
          <w:rFonts w:hint="cs"/>
          <w:rtl/>
        </w:rPr>
        <w:t>- سقطت منها ورقة كاملة، وهي ورقة 22، وبالتحديد</w:t>
      </w:r>
      <w:r w:rsidR="0048366D">
        <w:rPr>
          <w:rFonts w:hint="cs"/>
          <w:rtl/>
        </w:rPr>
        <w:t>:</w:t>
      </w:r>
      <w:r>
        <w:rPr>
          <w:rFonts w:hint="cs"/>
          <w:rtl/>
        </w:rPr>
        <w:t xml:space="preserve"> من بداية التعليق على القاعدة 56، إلى منتصف التعليق على قاعدة 58 تقريبًا.</w:t>
      </w:r>
    </w:p>
    <w:p w:rsidR="00BF08C1" w:rsidRDefault="00BF08C1" w:rsidP="009A68A5">
      <w:pPr>
        <w:spacing w:line="228" w:lineRule="auto"/>
        <w:ind w:left="423" w:hanging="423"/>
        <w:jc w:val="both"/>
        <w:rPr>
          <w:rtl/>
        </w:rPr>
      </w:pPr>
      <w:r>
        <w:rPr>
          <w:rFonts w:hint="cs"/>
          <w:rtl/>
        </w:rPr>
        <w:t>- يظهر أن الناسخ لا يعدو كونه ورّاقًا أعجميًّا؛ لأن الأخطاء كثيرة جدًّا، فلا تكاد تخلو فقرة من أخطاء، وكثير من هذه الأخطاء بدهيّة يبعد صدورها من شخص يحسن اللغة العربية ويفهمها.</w:t>
      </w:r>
    </w:p>
    <w:p w:rsidR="00BF08C1" w:rsidRDefault="00BF08C1" w:rsidP="009A68A5">
      <w:pPr>
        <w:spacing w:line="228" w:lineRule="auto"/>
        <w:jc w:val="both"/>
        <w:rPr>
          <w:b/>
          <w:bCs/>
          <w:rtl/>
        </w:rPr>
      </w:pPr>
      <w:r>
        <w:rPr>
          <w:rFonts w:hint="cs"/>
          <w:b/>
          <w:bCs/>
          <w:rtl/>
        </w:rPr>
        <w:t>6 - نسخة أسعد أفندي (و)</w:t>
      </w:r>
      <w:r w:rsidR="0048366D">
        <w:rPr>
          <w:rFonts w:hint="cs"/>
          <w:b/>
          <w:bCs/>
          <w:rtl/>
        </w:rPr>
        <w:t>:</w:t>
      </w:r>
    </w:p>
    <w:p w:rsidR="00BF08C1" w:rsidRDefault="00BF08C1" w:rsidP="009A68A5">
      <w:pPr>
        <w:spacing w:line="228" w:lineRule="auto"/>
        <w:jc w:val="both"/>
        <w:rPr>
          <w:rtl/>
        </w:rPr>
      </w:pPr>
      <w:r>
        <w:rPr>
          <w:rFonts w:hint="cs"/>
          <w:rtl/>
        </w:rPr>
        <w:t>وهي محفوظة في مكتبة السليمانية باستانبول، مجموعة أسعد أفندي، برقم (568).</w:t>
      </w:r>
    </w:p>
    <w:p w:rsidR="00BF08C1" w:rsidRDefault="00BF08C1" w:rsidP="009A68A5">
      <w:pPr>
        <w:spacing w:line="228" w:lineRule="auto"/>
        <w:jc w:val="both"/>
        <w:rPr>
          <w:rtl/>
        </w:rPr>
      </w:pPr>
      <w:r>
        <w:rPr>
          <w:rFonts w:hint="cs"/>
          <w:rtl/>
        </w:rPr>
        <w:t>ووصفها كالآتي</w:t>
      </w:r>
      <w:r w:rsidR="0048366D">
        <w:rPr>
          <w:rFonts w:hint="cs"/>
          <w:rtl/>
        </w:rPr>
        <w:t>:</w:t>
      </w:r>
    </w:p>
    <w:p w:rsidR="00BF08C1" w:rsidRDefault="00BF08C1" w:rsidP="009A68A5">
      <w:pPr>
        <w:spacing w:line="228" w:lineRule="auto"/>
        <w:ind w:left="63" w:firstLine="360"/>
        <w:jc w:val="both"/>
        <w:rPr>
          <w:rtl/>
        </w:rPr>
      </w:pPr>
      <w:r w:rsidRPr="00CB598F">
        <w:rPr>
          <w:sz w:val="22"/>
          <w:szCs w:val="38"/>
          <w:rtl/>
        </w:rPr>
        <w:t>•</w:t>
      </w:r>
      <w:r>
        <w:rPr>
          <w:rFonts w:hint="cs"/>
          <w:sz w:val="22"/>
          <w:szCs w:val="38"/>
          <w:rtl/>
        </w:rPr>
        <w:t xml:space="preserve"> </w:t>
      </w:r>
      <w:r>
        <w:rPr>
          <w:rFonts w:hint="cs"/>
          <w:rtl/>
        </w:rPr>
        <w:t>ناسخها هو</w:t>
      </w:r>
      <w:r w:rsidR="0048366D">
        <w:rPr>
          <w:rFonts w:hint="cs"/>
          <w:rtl/>
        </w:rPr>
        <w:t>:</w:t>
      </w:r>
      <w:r>
        <w:rPr>
          <w:rFonts w:hint="cs"/>
          <w:rtl/>
        </w:rPr>
        <w:t xml:space="preserve"> درويش يوسف نسيب المولوي.</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تاريخ انتهائه من نسخها</w:t>
      </w:r>
      <w:r w:rsidR="0048366D">
        <w:rPr>
          <w:rFonts w:hint="cs"/>
          <w:rtl/>
        </w:rPr>
        <w:t>:</w:t>
      </w:r>
      <w:r>
        <w:rPr>
          <w:rFonts w:hint="cs"/>
          <w:rtl/>
        </w:rPr>
        <w:t xml:space="preserve"> يوم الجمعة، 19/1/1119هـ.</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تعليق جميل.</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89 لوحة، تمثل 178 صفحة.</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19 سطرًا.</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11 كلمة.</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ind w:left="849" w:right="849" w:hanging="282"/>
        <w:jc w:val="both"/>
        <w:rPr>
          <w:rtl/>
        </w:rPr>
      </w:pPr>
      <w:r>
        <w:rPr>
          <w:rFonts w:hint="cs"/>
          <w:rtl/>
        </w:rPr>
        <w:t>- كتب اسم الكتاب والمؤلف في اللوحة الأولى، كما ذكر اسم الكتاب تبعًا لاسم أحد الملاّك.</w:t>
      </w:r>
    </w:p>
    <w:p w:rsidR="00BF08C1" w:rsidRDefault="00BF08C1" w:rsidP="009A68A5">
      <w:pPr>
        <w:ind w:left="849" w:right="849" w:hanging="282"/>
        <w:jc w:val="both"/>
        <w:rPr>
          <w:rtl/>
        </w:rPr>
      </w:pPr>
      <w:r>
        <w:rPr>
          <w:rFonts w:hint="cs"/>
          <w:rtl/>
        </w:rPr>
        <w:lastRenderedPageBreak/>
        <w:t>- كتب عليها ثلاث تملكات، لكل من</w:t>
      </w:r>
      <w:r w:rsidR="0048366D">
        <w:rPr>
          <w:rFonts w:hint="cs"/>
          <w:rtl/>
        </w:rPr>
        <w:t>:</w:t>
      </w:r>
      <w:r>
        <w:rPr>
          <w:rFonts w:hint="cs"/>
          <w:rtl/>
        </w:rPr>
        <w:t xml:space="preserve"> محمد ياسر، وشيخ لطف الله بن محمد المدعو بكبوه لي زاده، ومحمد عبد الله موسى.</w:t>
      </w:r>
    </w:p>
    <w:p w:rsidR="00BF08C1" w:rsidRDefault="00BF08C1" w:rsidP="009A68A5">
      <w:pPr>
        <w:jc w:val="both"/>
        <w:rPr>
          <w:rtl/>
        </w:rPr>
      </w:pPr>
      <w:r>
        <w:rPr>
          <w:rFonts w:hint="cs"/>
          <w:rtl/>
        </w:rPr>
        <w:t>- في أولها فهرس مختصر لأسماء الأبواب.</w:t>
      </w:r>
    </w:p>
    <w:p w:rsidR="00BF08C1" w:rsidRDefault="00BF08C1" w:rsidP="009A68A5">
      <w:pPr>
        <w:jc w:val="both"/>
        <w:rPr>
          <w:rtl/>
        </w:rPr>
      </w:pPr>
      <w:r>
        <w:rPr>
          <w:rFonts w:hint="cs"/>
          <w:rtl/>
        </w:rPr>
        <w:t>- عليها تصويبات كثيرة.</w:t>
      </w:r>
    </w:p>
    <w:p w:rsidR="00BF08C1" w:rsidRDefault="00BF08C1" w:rsidP="009A68A5">
      <w:pPr>
        <w:jc w:val="both"/>
        <w:rPr>
          <w:rtl/>
        </w:rPr>
      </w:pPr>
      <w:r>
        <w:rPr>
          <w:rFonts w:hint="cs"/>
          <w:rtl/>
        </w:rPr>
        <w:t>- عليها تعليقات مختصرة وكثيرة.</w:t>
      </w:r>
    </w:p>
    <w:p w:rsidR="00BF08C1" w:rsidRDefault="00BF08C1" w:rsidP="009A68A5">
      <w:pPr>
        <w:jc w:val="both"/>
        <w:rPr>
          <w:rtl/>
        </w:rPr>
      </w:pPr>
      <w:r>
        <w:rPr>
          <w:rFonts w:hint="cs"/>
          <w:rtl/>
        </w:rPr>
        <w:t>- تُميّز ألفاظ القواعد بإثبات خطٍّ أفقي فوقها.</w:t>
      </w:r>
    </w:p>
    <w:p w:rsidR="00BF08C1" w:rsidRDefault="00BF08C1" w:rsidP="009A68A5">
      <w:pPr>
        <w:jc w:val="both"/>
        <w:rPr>
          <w:rtl/>
        </w:rPr>
      </w:pPr>
      <w:r>
        <w:rPr>
          <w:rFonts w:hint="cs"/>
          <w:rtl/>
        </w:rPr>
        <w:t>- أخطاؤها كثيرة.</w:t>
      </w:r>
    </w:p>
    <w:p w:rsidR="00BF08C1" w:rsidRDefault="00BF08C1" w:rsidP="009A68A5">
      <w:pPr>
        <w:jc w:val="both"/>
        <w:rPr>
          <w:b/>
          <w:bCs/>
          <w:rtl/>
        </w:rPr>
      </w:pPr>
      <w:r>
        <w:rPr>
          <w:rFonts w:hint="cs"/>
          <w:b/>
          <w:bCs/>
          <w:rtl/>
        </w:rPr>
        <w:t>7 - نسخة تيره</w:t>
      </w:r>
      <w:r w:rsidR="0048366D">
        <w:rPr>
          <w:rFonts w:hint="cs"/>
          <w:b/>
          <w:bCs/>
          <w:rtl/>
        </w:rPr>
        <w:t>:</w:t>
      </w:r>
    </w:p>
    <w:p w:rsidR="00BF08C1" w:rsidRDefault="00BF08C1" w:rsidP="009A68A5">
      <w:pPr>
        <w:jc w:val="both"/>
        <w:rPr>
          <w:rtl/>
        </w:rPr>
      </w:pPr>
      <w:r>
        <w:rPr>
          <w:rFonts w:hint="cs"/>
          <w:rtl/>
        </w:rPr>
        <w:t>وهي محفوظة في مكتبة رجب باشا بمدينة تيره بتركيا (قرب مدينة إزمير)، وتحمل الرقم (1471).</w:t>
      </w:r>
    </w:p>
    <w:p w:rsidR="00BF08C1" w:rsidRDefault="00BF08C1" w:rsidP="009A68A5">
      <w:pPr>
        <w:spacing w:line="228" w:lineRule="auto"/>
        <w:jc w:val="both"/>
        <w:rPr>
          <w:rtl/>
        </w:rPr>
      </w:pPr>
      <w:r>
        <w:rPr>
          <w:rFonts w:hint="cs"/>
          <w:rtl/>
        </w:rPr>
        <w:t>ووصفها كالآتي</w:t>
      </w:r>
      <w:r w:rsidR="0048366D">
        <w:rPr>
          <w:rFonts w:hint="cs"/>
          <w:rtl/>
        </w:rPr>
        <w:t>:</w:t>
      </w:r>
    </w:p>
    <w:p w:rsidR="00BF08C1" w:rsidRDefault="00BF08C1" w:rsidP="009A68A5">
      <w:pPr>
        <w:spacing w:line="228" w:lineRule="auto"/>
        <w:ind w:left="65" w:firstLine="358"/>
        <w:jc w:val="both"/>
        <w:rPr>
          <w:rtl/>
        </w:rPr>
      </w:pPr>
      <w:r w:rsidRPr="00CB598F">
        <w:rPr>
          <w:sz w:val="22"/>
          <w:szCs w:val="38"/>
          <w:rtl/>
        </w:rPr>
        <w:t>•</w:t>
      </w:r>
      <w:r>
        <w:rPr>
          <w:rFonts w:hint="cs"/>
          <w:sz w:val="22"/>
          <w:szCs w:val="38"/>
          <w:rtl/>
        </w:rPr>
        <w:t xml:space="preserve"> </w:t>
      </w:r>
      <w:r>
        <w:rPr>
          <w:rFonts w:hint="cs"/>
          <w:rtl/>
        </w:rPr>
        <w:t>ناسخها</w:t>
      </w:r>
      <w:r w:rsidR="0048366D">
        <w:rPr>
          <w:rFonts w:hint="cs"/>
          <w:rtl/>
        </w:rPr>
        <w:t>:</w:t>
      </w:r>
      <w:r>
        <w:rPr>
          <w:rFonts w:hint="cs"/>
          <w:rtl/>
        </w:rPr>
        <w:t xml:space="preserve"> السيد الشيخ محمد المدعو برجب زاده.</w:t>
      </w:r>
    </w:p>
    <w:p w:rsidR="00BF08C1" w:rsidRDefault="00BF08C1" w:rsidP="009A68A5">
      <w:pPr>
        <w:spacing w:line="228" w:lineRule="auto"/>
        <w:ind w:left="65" w:firstLine="358"/>
        <w:jc w:val="both"/>
        <w:rPr>
          <w:rtl/>
        </w:rPr>
      </w:pPr>
      <w:r w:rsidRPr="00CB598F">
        <w:rPr>
          <w:sz w:val="22"/>
          <w:szCs w:val="38"/>
          <w:rtl/>
        </w:rPr>
        <w:t>•</w:t>
      </w:r>
      <w:r>
        <w:rPr>
          <w:rFonts w:hint="cs"/>
          <w:sz w:val="22"/>
          <w:szCs w:val="38"/>
          <w:rtl/>
        </w:rPr>
        <w:t xml:space="preserve"> </w:t>
      </w:r>
      <w:r>
        <w:rPr>
          <w:rFonts w:hint="cs"/>
          <w:rtl/>
        </w:rPr>
        <w:t>تاريخ انتهائه من نسخها</w:t>
      </w:r>
      <w:r w:rsidR="0048366D">
        <w:rPr>
          <w:rFonts w:hint="cs"/>
          <w:rtl/>
        </w:rPr>
        <w:t>:</w:t>
      </w:r>
      <w:r>
        <w:rPr>
          <w:rFonts w:hint="cs"/>
          <w:rtl/>
        </w:rPr>
        <w:t xml:space="preserve"> 1069هـ.</w:t>
      </w:r>
    </w:p>
    <w:p w:rsidR="00BF08C1" w:rsidRDefault="00BF08C1" w:rsidP="009A68A5">
      <w:pPr>
        <w:spacing w:line="228" w:lineRule="auto"/>
        <w:ind w:left="65" w:firstLine="358"/>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تعليق جميل.</w:t>
      </w:r>
    </w:p>
    <w:p w:rsidR="00BF08C1" w:rsidRDefault="00BF08C1" w:rsidP="009A68A5">
      <w:pPr>
        <w:spacing w:line="228" w:lineRule="auto"/>
        <w:ind w:left="65" w:firstLine="358"/>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117، تمثّل 234 صفحة.</w:t>
      </w:r>
    </w:p>
    <w:p w:rsidR="00BF08C1" w:rsidRDefault="00BF08C1" w:rsidP="009A68A5">
      <w:pPr>
        <w:spacing w:line="228" w:lineRule="auto"/>
        <w:ind w:left="65" w:firstLine="358"/>
        <w:jc w:val="both"/>
        <w:rPr>
          <w:rtl/>
        </w:rPr>
      </w:pP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21 سطرًا.</w:t>
      </w:r>
    </w:p>
    <w:p w:rsidR="00BF08C1" w:rsidRDefault="00BF08C1" w:rsidP="009A68A5">
      <w:pPr>
        <w:ind w:left="65" w:firstLine="358"/>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ind w:left="848" w:hanging="281"/>
        <w:jc w:val="both"/>
        <w:rPr>
          <w:rtl/>
        </w:rPr>
      </w:pPr>
      <w:r>
        <w:rPr>
          <w:rFonts w:hint="cs"/>
          <w:rtl/>
        </w:rPr>
        <w:t>- كتب اسم الكتاب والمؤلف في اللوحة الأولى، كما كُـتبا على ورقة الغلاف بالنصّ الآتي</w:t>
      </w:r>
      <w:r w:rsidR="0048366D">
        <w:rPr>
          <w:rFonts w:hint="cs"/>
          <w:rtl/>
        </w:rPr>
        <w:t>:</w:t>
      </w:r>
      <w:r>
        <w:rPr>
          <w:rFonts w:hint="cs"/>
          <w:rtl/>
        </w:rPr>
        <w:t xml:space="preserve"> </w:t>
      </w:r>
      <w:r>
        <w:rPr>
          <w:rFonts w:hint="eastAsia"/>
          <w:rtl/>
        </w:rPr>
        <w:t>«</w:t>
      </w:r>
      <w:r>
        <w:rPr>
          <w:rFonts w:hint="cs"/>
          <w:rtl/>
        </w:rPr>
        <w:t>ترتيب اللآلي في سلك الأمالي، للفقيه الفاضل العريف بناظرزاده</w:t>
      </w:r>
      <w:r>
        <w:rPr>
          <w:rFonts w:hint="eastAsia"/>
          <w:rtl/>
        </w:rPr>
        <w:t>»</w:t>
      </w:r>
      <w:r>
        <w:rPr>
          <w:rFonts w:hint="cs"/>
          <w:rtl/>
        </w:rPr>
        <w:t>.</w:t>
      </w:r>
    </w:p>
    <w:p w:rsidR="00BF08C1" w:rsidRDefault="00BF08C1" w:rsidP="009A68A5">
      <w:pPr>
        <w:ind w:left="848" w:hanging="281"/>
        <w:jc w:val="both"/>
        <w:rPr>
          <w:rtl/>
        </w:rPr>
      </w:pPr>
      <w:r>
        <w:rPr>
          <w:rFonts w:hint="cs"/>
          <w:rtl/>
        </w:rPr>
        <w:t>- جاء في اللوحة الأولى منه</w:t>
      </w:r>
      <w:r w:rsidR="0048366D">
        <w:rPr>
          <w:rFonts w:hint="cs"/>
          <w:rtl/>
        </w:rPr>
        <w:t>:</w:t>
      </w:r>
      <w:r>
        <w:rPr>
          <w:rFonts w:hint="cs"/>
          <w:rtl/>
        </w:rPr>
        <w:t xml:space="preserve"> </w:t>
      </w:r>
      <w:r>
        <w:rPr>
          <w:rFonts w:hint="eastAsia"/>
          <w:rtl/>
        </w:rPr>
        <w:t>«</w:t>
      </w:r>
      <w:r>
        <w:rPr>
          <w:rFonts w:hint="cs"/>
          <w:rtl/>
        </w:rPr>
        <w:t>هو لشرف استصحابه الفقير</w:t>
      </w:r>
      <w:r w:rsidR="0048366D">
        <w:rPr>
          <w:rFonts w:hint="cs"/>
          <w:rtl/>
        </w:rPr>
        <w:t>:</w:t>
      </w:r>
      <w:r>
        <w:rPr>
          <w:rFonts w:hint="cs"/>
          <w:rtl/>
        </w:rPr>
        <w:t xml:space="preserve"> السيد شكر الله المدعو بين أقرانه بنعمت أفندي زاده، خصّهما الله بالفوز والسعادة</w:t>
      </w:r>
      <w:r>
        <w:rPr>
          <w:rFonts w:hint="eastAsia"/>
          <w:rtl/>
        </w:rPr>
        <w:t>»</w:t>
      </w:r>
      <w:r>
        <w:rPr>
          <w:rFonts w:hint="cs"/>
          <w:rtl/>
        </w:rPr>
        <w:t>.</w:t>
      </w:r>
    </w:p>
    <w:p w:rsidR="00BF08C1" w:rsidRDefault="00BF08C1" w:rsidP="009A68A5">
      <w:pPr>
        <w:ind w:left="848" w:hanging="281"/>
        <w:jc w:val="both"/>
        <w:rPr>
          <w:rtl/>
        </w:rPr>
      </w:pPr>
      <w:r>
        <w:rPr>
          <w:rFonts w:hint="cs"/>
          <w:rtl/>
        </w:rPr>
        <w:lastRenderedPageBreak/>
        <w:t>- في اللوحة الثانية والثالثة تعليقات كثيرة، وقد ذيّل التعليق الأول منها بِـ</w:t>
      </w:r>
      <w:r w:rsidR="0048366D">
        <w:rPr>
          <w:rFonts w:hint="cs"/>
          <w:rtl/>
        </w:rPr>
        <w:t>:</w:t>
      </w:r>
      <w:r>
        <w:rPr>
          <w:rFonts w:hint="cs"/>
          <w:rtl/>
        </w:rPr>
        <w:t xml:space="preserve"> </w:t>
      </w:r>
      <w:r>
        <w:rPr>
          <w:rFonts w:hint="eastAsia"/>
          <w:rtl/>
        </w:rPr>
        <w:t>«</w:t>
      </w:r>
      <w:r>
        <w:rPr>
          <w:rFonts w:hint="cs"/>
          <w:rtl/>
        </w:rPr>
        <w:t>لمحرّره الفقير السيد شيخ محمد الحقير، عُفي عنه</w:t>
      </w:r>
      <w:r>
        <w:rPr>
          <w:rFonts w:hint="eastAsia"/>
          <w:rtl/>
        </w:rPr>
        <w:t>»</w:t>
      </w:r>
      <w:r>
        <w:rPr>
          <w:rFonts w:hint="cs"/>
          <w:rtl/>
        </w:rPr>
        <w:t>.</w:t>
      </w:r>
    </w:p>
    <w:p w:rsidR="00BF08C1" w:rsidRDefault="00BF08C1" w:rsidP="009A68A5">
      <w:pPr>
        <w:ind w:left="848" w:hanging="281"/>
        <w:jc w:val="both"/>
        <w:rPr>
          <w:rtl/>
        </w:rPr>
      </w:pPr>
      <w:r>
        <w:rPr>
          <w:rFonts w:hint="cs"/>
          <w:rtl/>
        </w:rPr>
        <w:t>- سقطت منها قاعدتان، هما قاعدة 207 و208.</w:t>
      </w:r>
    </w:p>
    <w:p w:rsidR="00BF08C1" w:rsidRDefault="00BF08C1" w:rsidP="009A68A5">
      <w:pPr>
        <w:ind w:left="848" w:hanging="281"/>
        <w:jc w:val="both"/>
        <w:rPr>
          <w:rtl/>
        </w:rPr>
      </w:pPr>
      <w:r>
        <w:rPr>
          <w:rFonts w:hint="cs"/>
          <w:rtl/>
        </w:rPr>
        <w:t>- عجمة الناسخ كان لها أثر ظاهر على المخطوطة؛ لكثرة الأخطاء التي تحصل عادة بسبب العجمة.</w:t>
      </w:r>
    </w:p>
    <w:p w:rsidR="00BF08C1" w:rsidRDefault="00BF08C1" w:rsidP="009A68A5">
      <w:pPr>
        <w:jc w:val="both"/>
        <w:rPr>
          <w:b/>
          <w:bCs/>
          <w:rtl/>
        </w:rPr>
      </w:pPr>
      <w:r>
        <w:rPr>
          <w:rFonts w:hint="cs"/>
          <w:b/>
          <w:bCs/>
          <w:rtl/>
        </w:rPr>
        <w:t>8 - نسخة قاصيد جيزاده</w:t>
      </w:r>
      <w:r w:rsidR="0048366D">
        <w:rPr>
          <w:rFonts w:hint="cs"/>
          <w:b/>
          <w:bCs/>
          <w:rtl/>
        </w:rPr>
        <w:t>:</w:t>
      </w:r>
    </w:p>
    <w:p w:rsidR="00BF08C1" w:rsidRDefault="00BF08C1" w:rsidP="009A68A5">
      <w:pPr>
        <w:jc w:val="both"/>
        <w:rPr>
          <w:spacing w:val="-8"/>
          <w:sz w:val="35"/>
          <w:szCs w:val="35"/>
          <w:rtl/>
        </w:rPr>
      </w:pPr>
      <w:r>
        <w:rPr>
          <w:rFonts w:hint="cs"/>
          <w:spacing w:val="-8"/>
          <w:sz w:val="35"/>
          <w:szCs w:val="35"/>
          <w:rtl/>
        </w:rPr>
        <w:t>وهي محفوظة في مكتبة السليمانية باستانبول، مجموعة قاصيد جيزاده، وتحمل الرقم (178).</w:t>
      </w:r>
    </w:p>
    <w:p w:rsidR="00BF08C1" w:rsidRDefault="00BF08C1" w:rsidP="009A68A5">
      <w:pPr>
        <w:jc w:val="both"/>
        <w:rPr>
          <w:rtl/>
        </w:rPr>
      </w:pPr>
      <w:r>
        <w:rPr>
          <w:rFonts w:hint="cs"/>
          <w:rtl/>
        </w:rPr>
        <w:t>ووصفها كالآتي</w:t>
      </w:r>
      <w:r w:rsidR="0048366D">
        <w:rPr>
          <w:rFonts w:hint="cs"/>
          <w:rtl/>
        </w:rPr>
        <w:t>:</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ناسخها هو</w:t>
      </w:r>
      <w:r w:rsidR="0048366D">
        <w:rPr>
          <w:rFonts w:hint="cs"/>
          <w:rtl/>
        </w:rPr>
        <w:t>:</w:t>
      </w:r>
      <w:r>
        <w:rPr>
          <w:rFonts w:hint="cs"/>
          <w:rtl/>
        </w:rPr>
        <w:t xml:space="preserve"> عثمان خليل بن مصطفى.</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تاريخ انتهائه من نسخها</w:t>
      </w:r>
      <w:r w:rsidR="0048366D">
        <w:rPr>
          <w:rFonts w:hint="cs"/>
          <w:rtl/>
        </w:rPr>
        <w:t>:</w:t>
      </w:r>
      <w:r>
        <w:rPr>
          <w:rFonts w:hint="cs"/>
          <w:rtl/>
        </w:rPr>
        <w:t xml:space="preserve"> نهاية الشباط، في سنة 1162هـ.</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تعليق.</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99 لوحة، تمثل 198 صفحة.</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jc w:val="both"/>
        <w:rPr>
          <w:rtl/>
        </w:rPr>
      </w:pPr>
      <w:r>
        <w:rPr>
          <w:rFonts w:hint="cs"/>
          <w:rtl/>
        </w:rPr>
        <w:t>- كتب اسم الكتاب والمؤلف في اللوحة الأولى.</w:t>
      </w:r>
    </w:p>
    <w:p w:rsidR="00BF08C1" w:rsidRDefault="00BF08C1" w:rsidP="009A68A5">
      <w:pPr>
        <w:jc w:val="both"/>
        <w:rPr>
          <w:rtl/>
        </w:rPr>
      </w:pPr>
      <w:r>
        <w:rPr>
          <w:rFonts w:hint="cs"/>
          <w:rtl/>
        </w:rPr>
        <w:t>- عليها تصويبات وتعليقات قليلة.</w:t>
      </w:r>
    </w:p>
    <w:p w:rsidR="00BF08C1" w:rsidRDefault="00BF08C1" w:rsidP="009A68A5">
      <w:pPr>
        <w:jc w:val="both"/>
        <w:rPr>
          <w:rtl/>
        </w:rPr>
      </w:pPr>
      <w:r>
        <w:rPr>
          <w:rFonts w:hint="cs"/>
          <w:rtl/>
        </w:rPr>
        <w:t>- أخطاؤها كثيرة.</w:t>
      </w:r>
    </w:p>
    <w:p w:rsidR="00BF08C1" w:rsidRDefault="00BF08C1" w:rsidP="009A68A5">
      <w:pPr>
        <w:jc w:val="both"/>
        <w:rPr>
          <w:b/>
          <w:bCs/>
          <w:rtl/>
        </w:rPr>
      </w:pPr>
      <w:r>
        <w:rPr>
          <w:rFonts w:hint="cs"/>
          <w:b/>
          <w:bCs/>
          <w:rtl/>
        </w:rPr>
        <w:t>9 - نسخة شهيد علي باشا</w:t>
      </w:r>
      <w:r w:rsidR="0048366D">
        <w:rPr>
          <w:rFonts w:hint="cs"/>
          <w:b/>
          <w:bCs/>
          <w:rtl/>
        </w:rPr>
        <w:t>:</w:t>
      </w:r>
    </w:p>
    <w:p w:rsidR="00BF08C1" w:rsidRDefault="00BF08C1" w:rsidP="009A68A5">
      <w:pPr>
        <w:jc w:val="both"/>
        <w:rPr>
          <w:rtl/>
        </w:rPr>
      </w:pPr>
      <w:r>
        <w:rPr>
          <w:rFonts w:hint="cs"/>
          <w:rtl/>
        </w:rPr>
        <w:t>وهي محفوظة في مكتبة السليمانية باستانبول، مجموعة شهيد علي باشا، وقد نُسخت ضمن مجموعة من الكتب وكانت أولها. وهذه المجموعة رقمها (944).</w:t>
      </w:r>
    </w:p>
    <w:p w:rsidR="00BF08C1" w:rsidRDefault="00BF08C1" w:rsidP="009A68A5">
      <w:pPr>
        <w:jc w:val="both"/>
        <w:rPr>
          <w:rtl/>
        </w:rPr>
      </w:pPr>
      <w:r>
        <w:rPr>
          <w:rFonts w:hint="cs"/>
          <w:rtl/>
        </w:rPr>
        <w:t>ووصفها كالآتي</w:t>
      </w:r>
      <w:r w:rsidR="0048366D">
        <w:rPr>
          <w:rFonts w:hint="cs"/>
          <w:rtl/>
        </w:rPr>
        <w:t>:</w:t>
      </w:r>
    </w:p>
    <w:p w:rsidR="00BF08C1" w:rsidRDefault="00BF08C1" w:rsidP="009A68A5">
      <w:pPr>
        <w:spacing w:line="640" w:lineRule="exact"/>
        <w:ind w:left="63" w:right="1287" w:firstLine="360"/>
        <w:jc w:val="both"/>
        <w:rPr>
          <w:rtl/>
        </w:rPr>
      </w:pPr>
      <w:r w:rsidRPr="00CB598F">
        <w:rPr>
          <w:sz w:val="22"/>
          <w:szCs w:val="38"/>
          <w:rtl/>
        </w:rPr>
        <w:t>•</w:t>
      </w:r>
      <w:r>
        <w:rPr>
          <w:rFonts w:hint="cs"/>
          <w:sz w:val="22"/>
          <w:szCs w:val="38"/>
          <w:rtl/>
        </w:rPr>
        <w:t xml:space="preserve"> </w:t>
      </w:r>
      <w:r>
        <w:rPr>
          <w:rFonts w:hint="cs"/>
          <w:rtl/>
        </w:rPr>
        <w:t>لم يذكر فيها اسم الناسخ، ولا تاريخ النسخ.</w:t>
      </w:r>
    </w:p>
    <w:p w:rsidR="00BF08C1" w:rsidRDefault="00BF08C1" w:rsidP="009A68A5">
      <w:pPr>
        <w:spacing w:line="640" w:lineRule="exact"/>
        <w:ind w:left="63" w:right="1287" w:firstLine="360"/>
        <w:jc w:val="both"/>
        <w:rPr>
          <w:rtl/>
        </w:rPr>
      </w:pPr>
      <w:r w:rsidRPr="00CB598F">
        <w:rPr>
          <w:sz w:val="22"/>
          <w:szCs w:val="38"/>
          <w:rtl/>
        </w:rPr>
        <w:lastRenderedPageBreak/>
        <w:t>•</w:t>
      </w:r>
      <w:r>
        <w:rPr>
          <w:rFonts w:hint="cs"/>
          <w:sz w:val="22"/>
          <w:szCs w:val="38"/>
          <w:rtl/>
        </w:rPr>
        <w:t xml:space="preserve"> </w:t>
      </w:r>
      <w:r>
        <w:rPr>
          <w:rFonts w:hint="cs"/>
          <w:rtl/>
        </w:rPr>
        <w:t>عدد اللوحات</w:t>
      </w:r>
      <w:r w:rsidR="0048366D">
        <w:rPr>
          <w:rFonts w:hint="cs"/>
          <w:rtl/>
        </w:rPr>
        <w:t>:</w:t>
      </w:r>
      <w:r>
        <w:rPr>
          <w:rFonts w:hint="cs"/>
          <w:rtl/>
        </w:rPr>
        <w:t xml:space="preserve"> 89 لوحة، تمثّل 178 صفحة.</w:t>
      </w:r>
    </w:p>
    <w:p w:rsidR="00BF08C1" w:rsidRDefault="00BF08C1" w:rsidP="009A68A5">
      <w:pPr>
        <w:spacing w:line="640" w:lineRule="exact"/>
        <w:ind w:left="63" w:right="1287" w:firstLine="360"/>
        <w:jc w:val="both"/>
        <w:rPr>
          <w:rtl/>
        </w:rPr>
      </w:pP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17 سطرًا.</w:t>
      </w:r>
    </w:p>
    <w:p w:rsidR="00BF08C1" w:rsidRDefault="00BF08C1" w:rsidP="009A68A5">
      <w:pPr>
        <w:spacing w:line="640" w:lineRule="exact"/>
        <w:ind w:left="63" w:right="1287" w:firstLine="360"/>
        <w:jc w:val="both"/>
        <w:rPr>
          <w:rtl/>
        </w:rPr>
      </w:pP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10 كلمات.</w:t>
      </w:r>
    </w:p>
    <w:p w:rsidR="00BF08C1" w:rsidRDefault="00BF08C1" w:rsidP="009A68A5">
      <w:pPr>
        <w:spacing w:line="640" w:lineRule="exact"/>
        <w:ind w:left="63" w:right="1287" w:firstLine="360"/>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spacing w:line="640" w:lineRule="exact"/>
        <w:ind w:left="849" w:hanging="282"/>
        <w:jc w:val="both"/>
        <w:rPr>
          <w:rtl/>
        </w:rPr>
      </w:pPr>
      <w:r>
        <w:rPr>
          <w:rFonts w:hint="cs"/>
          <w:rtl/>
        </w:rPr>
        <w:t>- كتب اسم الكتاب والمؤلف في اللوحة الأولى، كما وردا باللفظ نفسه على ورقة الغلاف.</w:t>
      </w:r>
    </w:p>
    <w:p w:rsidR="00BF08C1" w:rsidRDefault="00BF08C1" w:rsidP="009A68A5">
      <w:pPr>
        <w:spacing w:line="640" w:lineRule="exact"/>
        <w:ind w:left="849" w:hanging="282"/>
        <w:jc w:val="both"/>
        <w:rPr>
          <w:rtl/>
        </w:rPr>
      </w:pPr>
      <w:r>
        <w:rPr>
          <w:rFonts w:hint="cs"/>
          <w:rtl/>
        </w:rPr>
        <w:t>- عليها تصويبات وتعليقات قليلة.</w:t>
      </w:r>
    </w:p>
    <w:p w:rsidR="00BF08C1" w:rsidRDefault="00BF08C1" w:rsidP="009A68A5">
      <w:pPr>
        <w:spacing w:line="640" w:lineRule="exact"/>
        <w:ind w:left="849" w:hanging="282"/>
        <w:jc w:val="both"/>
        <w:rPr>
          <w:rtl/>
        </w:rPr>
      </w:pPr>
      <w:r>
        <w:rPr>
          <w:rFonts w:hint="cs"/>
          <w:rtl/>
        </w:rPr>
        <w:t>- أخطاؤها كثيرة.</w:t>
      </w:r>
    </w:p>
    <w:p w:rsidR="00BF08C1" w:rsidRDefault="00BF08C1" w:rsidP="009A68A5">
      <w:pPr>
        <w:jc w:val="both"/>
        <w:rPr>
          <w:b/>
          <w:bCs/>
          <w:rtl/>
        </w:rPr>
      </w:pPr>
      <w:r>
        <w:rPr>
          <w:rFonts w:hint="cs"/>
          <w:b/>
          <w:bCs/>
          <w:rtl/>
        </w:rPr>
        <w:t>10 - نسخة مكتبة الملك فهد الوطنية</w:t>
      </w:r>
      <w:r w:rsidR="0048366D">
        <w:rPr>
          <w:rFonts w:hint="cs"/>
          <w:b/>
          <w:bCs/>
          <w:rtl/>
        </w:rPr>
        <w:t>:</w:t>
      </w:r>
    </w:p>
    <w:p w:rsidR="00BF08C1" w:rsidRDefault="00BF08C1" w:rsidP="009A68A5">
      <w:pPr>
        <w:jc w:val="both"/>
        <w:rPr>
          <w:rtl/>
        </w:rPr>
      </w:pPr>
      <w:r>
        <w:rPr>
          <w:rFonts w:hint="cs"/>
          <w:rtl/>
        </w:rPr>
        <w:t>وهي محفوظة في مكتبة الملك فهد الوطنية بالرياض، برقم (133).</w:t>
      </w:r>
    </w:p>
    <w:p w:rsidR="00BF08C1" w:rsidRDefault="00BF08C1" w:rsidP="009A68A5">
      <w:pPr>
        <w:jc w:val="both"/>
        <w:rPr>
          <w:rtl/>
        </w:rPr>
      </w:pPr>
      <w:r>
        <w:rPr>
          <w:rFonts w:hint="cs"/>
          <w:rtl/>
        </w:rPr>
        <w:t>ووصفها كالآتي</w:t>
      </w:r>
      <w:r w:rsidR="0048366D">
        <w:rPr>
          <w:rFonts w:hint="cs"/>
          <w:rtl/>
        </w:rPr>
        <w:t>:</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لم يكتب فيها اسم الناسخ.</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تمَّ الانتهاء من نسخها عام 1179هـ.</w:t>
      </w:r>
    </w:p>
    <w:p w:rsidR="00BF08C1" w:rsidRDefault="00BF08C1" w:rsidP="009A68A5">
      <w:pPr>
        <w:ind w:left="706" w:hanging="283"/>
        <w:jc w:val="both"/>
        <w:rPr>
          <w:rtl/>
        </w:rPr>
      </w:pPr>
      <w:r w:rsidRPr="00CB598F">
        <w:rPr>
          <w:sz w:val="22"/>
          <w:szCs w:val="38"/>
          <w:rtl/>
        </w:rPr>
        <w:t>•</w:t>
      </w:r>
      <w:r>
        <w:rPr>
          <w:rFonts w:hint="cs"/>
          <w:sz w:val="22"/>
          <w:szCs w:val="38"/>
          <w:rtl/>
        </w:rPr>
        <w:t xml:space="preserve"> </w:t>
      </w:r>
      <w:r>
        <w:rPr>
          <w:rFonts w:hint="cs"/>
          <w:rtl/>
        </w:rPr>
        <w:t>نوع الخطّ</w:t>
      </w:r>
      <w:r w:rsidR="0048366D">
        <w:rPr>
          <w:rFonts w:hint="cs"/>
          <w:rtl/>
        </w:rPr>
        <w:t>:</w:t>
      </w:r>
      <w:r>
        <w:rPr>
          <w:rFonts w:hint="cs"/>
          <w:rtl/>
        </w:rPr>
        <w:t xml:space="preserve"> كتبت حتى نهاية القاعدة 61 بخط التعليق، وباقيها بخط تعليق يميل إلى</w:t>
      </w:r>
      <w:r>
        <w:rPr>
          <w:rFonts w:hint="eastAsia"/>
          <w:rtl/>
        </w:rPr>
        <w:t> </w:t>
      </w:r>
      <w:r>
        <w:rPr>
          <w:rFonts w:hint="cs"/>
          <w:rtl/>
        </w:rPr>
        <w:t>النّسخ</w:t>
      </w:r>
      <w:r>
        <w:rPr>
          <w:rFonts w:hint="cs"/>
          <w:vertAlign w:val="superscript"/>
          <w:rtl/>
        </w:rPr>
        <w:t>(</w:t>
      </w:r>
      <w:r>
        <w:rPr>
          <w:rStyle w:val="a7"/>
        </w:rPr>
        <w:footnoteReference w:id="368"/>
      </w:r>
      <w:r>
        <w:rPr>
          <w:rFonts w:hint="cs"/>
          <w:vertAlign w:val="superscript"/>
          <w:rtl/>
        </w:rPr>
        <w:t>)</w:t>
      </w:r>
      <w:r>
        <w:rPr>
          <w:rFonts w:hint="cs"/>
          <w:rtl/>
        </w:rPr>
        <w:t>.</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اللوحات</w:t>
      </w:r>
      <w:r w:rsidR="0048366D">
        <w:rPr>
          <w:rFonts w:hint="cs"/>
          <w:rtl/>
        </w:rPr>
        <w:t>:</w:t>
      </w:r>
      <w:r>
        <w:rPr>
          <w:rFonts w:hint="cs"/>
          <w:rtl/>
        </w:rPr>
        <w:t xml:space="preserve"> 63 لوحة، تمثّل 126 صفحة.</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عدد الأسطر في كل صفحة</w:t>
      </w:r>
      <w:r w:rsidR="0048366D">
        <w:rPr>
          <w:rFonts w:hint="cs"/>
          <w:rtl/>
        </w:rPr>
        <w:t>:</w:t>
      </w:r>
      <w:r>
        <w:rPr>
          <w:rFonts w:hint="cs"/>
          <w:rtl/>
        </w:rPr>
        <w:t xml:space="preserve"> 23 سطرًا.</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متوسط عدد الكلمات في كل سطر</w:t>
      </w:r>
      <w:r w:rsidR="0048366D">
        <w:rPr>
          <w:rFonts w:hint="cs"/>
          <w:rtl/>
        </w:rPr>
        <w:t>:</w:t>
      </w:r>
      <w:r>
        <w:rPr>
          <w:rFonts w:hint="cs"/>
          <w:rtl/>
        </w:rPr>
        <w:t xml:space="preserve"> 13 كلمة.</w:t>
      </w:r>
    </w:p>
    <w:p w:rsidR="00BF08C1" w:rsidRDefault="00BF08C1" w:rsidP="009A68A5">
      <w:pPr>
        <w:ind w:left="63" w:firstLine="360"/>
        <w:jc w:val="both"/>
        <w:rPr>
          <w:rtl/>
        </w:rPr>
      </w:pPr>
      <w:r w:rsidRPr="00CB598F">
        <w:rPr>
          <w:sz w:val="22"/>
          <w:szCs w:val="38"/>
          <w:rtl/>
        </w:rPr>
        <w:t>•</w:t>
      </w:r>
      <w:r>
        <w:rPr>
          <w:rFonts w:hint="cs"/>
          <w:sz w:val="22"/>
          <w:szCs w:val="38"/>
          <w:rtl/>
        </w:rPr>
        <w:t xml:space="preserve"> </w:t>
      </w:r>
      <w:r>
        <w:rPr>
          <w:rFonts w:hint="cs"/>
          <w:rtl/>
        </w:rPr>
        <w:t>الملحوظات</w:t>
      </w:r>
      <w:r w:rsidR="0048366D">
        <w:rPr>
          <w:rFonts w:hint="cs"/>
          <w:rtl/>
        </w:rPr>
        <w:t>:</w:t>
      </w:r>
    </w:p>
    <w:p w:rsidR="00BF08C1" w:rsidRDefault="00BF08C1" w:rsidP="009A68A5">
      <w:pPr>
        <w:ind w:left="849" w:right="-142" w:hanging="282"/>
        <w:jc w:val="both"/>
        <w:rPr>
          <w:spacing w:val="8"/>
          <w:rtl/>
        </w:rPr>
      </w:pPr>
      <w:r>
        <w:rPr>
          <w:rFonts w:hint="cs"/>
          <w:spacing w:val="8"/>
          <w:rtl/>
        </w:rPr>
        <w:lastRenderedPageBreak/>
        <w:t>- كتب اسم الكتاب على اللوحـة الأولى، كـما كتب عليها اسم المؤلف، إلا أن هذه النسخة انفردت بنـسـبته إلى (أحمد بن عبد الرحمن البَشِكْطَاشِي!!)</w:t>
      </w:r>
      <w:r>
        <w:rPr>
          <w:rFonts w:hint="cs"/>
          <w:spacing w:val="8"/>
          <w:vertAlign w:val="superscript"/>
          <w:rtl/>
        </w:rPr>
        <w:t>(</w:t>
      </w:r>
      <w:r>
        <w:rPr>
          <w:rStyle w:val="a7"/>
          <w:spacing w:val="8"/>
        </w:rPr>
        <w:footnoteReference w:id="369"/>
      </w:r>
      <w:r>
        <w:rPr>
          <w:rFonts w:hint="cs"/>
          <w:spacing w:val="8"/>
          <w:vertAlign w:val="superscript"/>
          <w:rtl/>
        </w:rPr>
        <w:t>)</w:t>
      </w:r>
      <w:r>
        <w:rPr>
          <w:rFonts w:hint="cs"/>
          <w:spacing w:val="8"/>
          <w:rtl/>
        </w:rPr>
        <w:t>.</w:t>
      </w:r>
    </w:p>
    <w:p w:rsidR="00BF08C1" w:rsidRDefault="00BF08C1" w:rsidP="009A68A5">
      <w:pPr>
        <w:ind w:left="849" w:right="-142" w:hanging="282"/>
        <w:jc w:val="both"/>
        <w:rPr>
          <w:rtl/>
        </w:rPr>
      </w:pPr>
      <w:r>
        <w:rPr>
          <w:rFonts w:hint="cs"/>
          <w:rtl/>
        </w:rPr>
        <w:t>- عليها تملك لِـ وصل الله بن حامد العتـيـبي، الطائف، 25/1/1408هـ.</w:t>
      </w:r>
    </w:p>
    <w:p w:rsidR="00BF08C1" w:rsidRDefault="00BF08C1" w:rsidP="009A68A5">
      <w:pPr>
        <w:ind w:left="849" w:right="-142" w:hanging="282"/>
        <w:jc w:val="both"/>
        <w:rPr>
          <w:spacing w:val="-6"/>
          <w:rtl/>
        </w:rPr>
      </w:pPr>
      <w:r>
        <w:rPr>
          <w:rFonts w:hint="cs"/>
          <w:spacing w:val="-6"/>
          <w:rtl/>
        </w:rPr>
        <w:t>- أعيدت كتابة الأبواب والقواعد في الهامش، وأحيانًا يترك مكانها بياض في الصلب.</w:t>
      </w:r>
    </w:p>
    <w:p w:rsidR="00BF08C1" w:rsidRDefault="00BF08C1" w:rsidP="009A68A5">
      <w:pPr>
        <w:ind w:left="849" w:hanging="282"/>
        <w:jc w:val="both"/>
        <w:rPr>
          <w:rtl/>
        </w:rPr>
      </w:pPr>
      <w:r>
        <w:rPr>
          <w:rFonts w:hint="cs"/>
          <w:rtl/>
        </w:rPr>
        <w:t>- ليس عليها تصحيحات أو تعليقات.</w:t>
      </w:r>
    </w:p>
    <w:p w:rsidR="00BF08C1" w:rsidRDefault="00BF08C1" w:rsidP="009A68A5">
      <w:pPr>
        <w:ind w:left="849" w:hanging="282"/>
        <w:jc w:val="both"/>
        <w:rPr>
          <w:rtl/>
        </w:rPr>
      </w:pPr>
      <w:r>
        <w:rPr>
          <w:rFonts w:hint="cs"/>
          <w:rtl/>
        </w:rPr>
        <w:t>- في آخرها بيت شعر فارسي.</w:t>
      </w:r>
    </w:p>
    <w:p w:rsidR="00BF08C1" w:rsidRDefault="00BF08C1" w:rsidP="007C7F13">
      <w:pPr>
        <w:widowControl/>
        <w:numPr>
          <w:ilvl w:val="0"/>
          <w:numId w:val="8"/>
        </w:numPr>
        <w:tabs>
          <w:tab w:val="clear" w:pos="927"/>
        </w:tabs>
        <w:ind w:left="848"/>
        <w:jc w:val="both"/>
        <w:rPr>
          <w:rtl/>
        </w:rPr>
      </w:pPr>
      <w:r>
        <w:rPr>
          <w:rFonts w:hint="cs"/>
          <w:rtl/>
        </w:rPr>
        <w:t>هذه النسـخة كـتبها اثنان، ويظهر أنهما مجرّدُ ورّاقان أعجمّيان بعيدان على العلم الشـرعـي؛ لأن أخطاءهما كـثيرة جدًّا، ولاسيما الأخطاء التي تحصل بسبب العجمة غالبًا.</w:t>
      </w:r>
    </w:p>
    <w:p w:rsidR="00BF08C1" w:rsidRDefault="00BF08C1" w:rsidP="009A68A5">
      <w:pPr>
        <w:jc w:val="both"/>
        <w:rPr>
          <w:rtl/>
        </w:rPr>
      </w:pPr>
      <w:r>
        <w:rPr>
          <w:rFonts w:hint="cs"/>
          <w:rtl/>
        </w:rPr>
        <w:t>وبعد ذكر النسخ وبيان أوصافها يناسب عرض نماذج منها على النحو الآتي</w:t>
      </w:r>
      <w:r w:rsidR="0048366D">
        <w:rPr>
          <w:rFonts w:hint="cs"/>
          <w:rtl/>
        </w:rPr>
        <w:t>:</w:t>
      </w:r>
    </w:p>
    <w:p w:rsidR="00BF08C1" w:rsidRDefault="00BF08C1" w:rsidP="009A68A5">
      <w:pPr>
        <w:jc w:val="both"/>
        <w:rPr>
          <w:rtl/>
        </w:rPr>
      </w:pPr>
    </w:p>
    <w:p w:rsidR="00BF08C1" w:rsidRDefault="00BF08C1" w:rsidP="009A68A5">
      <w:pPr>
        <w:jc w:val="both"/>
        <w:rPr>
          <w:rtl/>
        </w:rPr>
      </w:pPr>
    </w:p>
    <w:p w:rsidR="00BF08C1" w:rsidRDefault="00BF08C1" w:rsidP="009A68A5">
      <w:pPr>
        <w:jc w:val="both"/>
        <w:rPr>
          <w:rtl/>
        </w:rPr>
      </w:pPr>
    </w:p>
    <w:p w:rsidR="00BF08C1" w:rsidRDefault="00BF08C1" w:rsidP="009A68A5">
      <w:pPr>
        <w:jc w:val="both"/>
        <w:rPr>
          <w:rtl/>
        </w:rPr>
      </w:pPr>
    </w:p>
    <w:p w:rsidR="00BF08C1" w:rsidRDefault="00BF08C1" w:rsidP="009A68A5">
      <w:pPr>
        <w:jc w:val="both"/>
        <w:rPr>
          <w:rtl/>
        </w:rPr>
      </w:pPr>
    </w:p>
    <w:p w:rsidR="00BF08C1" w:rsidRDefault="00BF08C1" w:rsidP="009A68A5">
      <w:pPr>
        <w:jc w:val="both"/>
        <w:rPr>
          <w:rtl/>
        </w:rPr>
      </w:pPr>
    </w:p>
    <w:p w:rsidR="00BF08C1" w:rsidRDefault="00BF08C1" w:rsidP="009A68A5">
      <w:pPr>
        <w:jc w:val="both"/>
        <w:rPr>
          <w:rtl/>
        </w:rPr>
      </w:pPr>
    </w:p>
    <w:p w:rsidR="00BF08C1" w:rsidRDefault="00BF08C1" w:rsidP="009A68A5">
      <w:pPr>
        <w:jc w:val="both"/>
        <w:rPr>
          <w:rtl/>
        </w:rPr>
      </w:pPr>
    </w:p>
    <w:p w:rsidR="00BF08C1" w:rsidRDefault="00BF08C1" w:rsidP="009A68A5">
      <w:pPr>
        <w:jc w:val="both"/>
        <w:rPr>
          <w:rtl/>
        </w:rPr>
      </w:pPr>
    </w:p>
    <w:p w:rsidR="00BF08C1" w:rsidRPr="000A00F1" w:rsidRDefault="000A00F1" w:rsidP="00EA65AC">
      <w:pPr>
        <w:widowControl/>
        <w:bidi w:val="0"/>
        <w:spacing w:after="160" w:line="259" w:lineRule="auto"/>
        <w:ind w:firstLine="0"/>
        <w:jc w:val="both"/>
        <w:rPr>
          <w:color w:val="000000" w:themeColor="text1"/>
          <w:rtl/>
        </w:rPr>
      </w:pPr>
      <w:r>
        <w:rPr>
          <w:rFonts w:cs="Thick Naskh"/>
          <w:color w:val="000000" w:themeColor="text1"/>
          <w:sz w:val="28"/>
          <w:szCs w:val="28"/>
          <w:rtl/>
        </w:rPr>
        <w:br w:type="page"/>
      </w:r>
      <w:r>
        <w:rPr>
          <w:noProof/>
          <w:lang w:eastAsia="en-US"/>
        </w:rPr>
        <w:lastRenderedPageBreak/>
        <w:drawing>
          <wp:inline distT="0" distB="0" distL="0" distR="0" wp14:anchorId="545BB6EF" wp14:editId="5D85D0FB">
            <wp:extent cx="5281449" cy="8575858"/>
            <wp:effectExtent l="0" t="0" r="0" b="0"/>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8861" cy="8652845"/>
                    </a:xfrm>
                    <a:prstGeom prst="rect">
                      <a:avLst/>
                    </a:prstGeom>
                  </pic:spPr>
                </pic:pic>
              </a:graphicData>
            </a:graphic>
          </wp:inline>
        </w:drawing>
      </w:r>
    </w:p>
    <w:p w:rsidR="005226A8" w:rsidRDefault="005226A8" w:rsidP="00EA65AC">
      <w:pPr>
        <w:widowControl/>
        <w:ind w:firstLine="567"/>
        <w:jc w:val="center"/>
        <w:rPr>
          <w:rFonts w:cs="Thick Naskh"/>
          <w:color w:val="000000" w:themeColor="text1"/>
          <w:sz w:val="28"/>
          <w:szCs w:val="28"/>
          <w:rtl/>
          <w:lang w:val="en-GB" w:eastAsia="en-US"/>
        </w:rPr>
      </w:pPr>
      <w:r>
        <w:rPr>
          <w:rFonts w:cs="Thick Naskh" w:hint="cs"/>
          <w:color w:val="000000" w:themeColor="text1"/>
          <w:sz w:val="28"/>
          <w:szCs w:val="28"/>
          <w:rtl/>
          <w:lang w:val="en-GB" w:eastAsia="en-US"/>
        </w:rPr>
        <w:lastRenderedPageBreak/>
        <w:t>بداية الفهرس الموجود في أول نسخة جامعة الملك عبد العزيز (أ)</w:t>
      </w:r>
    </w:p>
    <w:p w:rsidR="005226A8" w:rsidRDefault="005226A8">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اللوحة الأولى من نسخة مكتبة جامعة الملك عبد العزيز (أ)</w:t>
      </w:r>
    </w:p>
    <w:p w:rsidR="00EA65AC" w:rsidRPr="00EA65AC" w:rsidRDefault="00EA65AC" w:rsidP="00EA65AC">
      <w:pPr>
        <w:widowControl/>
        <w:ind w:firstLine="567"/>
        <w:jc w:val="center"/>
        <w:rPr>
          <w:rFonts w:cs="Thick Naskh"/>
          <w:color w:val="000000" w:themeColor="text1"/>
          <w:sz w:val="28"/>
          <w:szCs w:val="28"/>
          <w:rtl/>
          <w:lang w:val="en-GB" w:eastAsia="en-US"/>
        </w:rPr>
      </w:pPr>
    </w:p>
    <w:p w:rsidR="005226A8" w:rsidRDefault="005226A8">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اللوحة الأخيـرة من نسخة مكتبة جامعة الملك عبد العزيز (أ).</w:t>
      </w:r>
    </w:p>
    <w:p w:rsidR="00EA65AC" w:rsidRPr="00EA65AC" w:rsidRDefault="00EA65AC" w:rsidP="00EA65AC">
      <w:pPr>
        <w:widowControl/>
        <w:ind w:firstLine="567"/>
        <w:jc w:val="center"/>
        <w:rPr>
          <w:rFonts w:cs="Thick Naskh"/>
          <w:color w:val="000000" w:themeColor="text1"/>
          <w:sz w:val="28"/>
          <w:szCs w:val="28"/>
          <w:rtl/>
          <w:lang w:val="en-GB" w:eastAsia="en-US"/>
        </w:rPr>
      </w:pPr>
    </w:p>
    <w:p w:rsidR="005226A8" w:rsidRDefault="005226A8">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صفحة العنوان من نسخة متحف توبقابي (ب)</w:t>
      </w:r>
      <w:r w:rsidR="005226A8">
        <w:rPr>
          <w:rFonts w:cs="Thick Naskh" w:hint="cs"/>
          <w:color w:val="000000" w:themeColor="text1"/>
          <w:sz w:val="28"/>
          <w:szCs w:val="28"/>
          <w:rtl/>
          <w:lang w:val="en-GB" w:eastAsia="en-US"/>
        </w:rPr>
        <w:t xml:space="preserve"> واللوحة الأولى منها</w:t>
      </w:r>
      <w:r w:rsidRPr="00EA65AC">
        <w:rPr>
          <w:rFonts w:cs="Thick Naskh" w:hint="cs"/>
          <w:color w:val="000000" w:themeColor="text1"/>
          <w:sz w:val="28"/>
          <w:szCs w:val="28"/>
          <w:rtl/>
          <w:lang w:val="en-GB" w:eastAsia="en-US"/>
        </w:rPr>
        <w:t>.</w:t>
      </w:r>
    </w:p>
    <w:p w:rsidR="00EA65AC" w:rsidRPr="00EA65AC" w:rsidRDefault="00EA65AC" w:rsidP="00EA65AC">
      <w:pPr>
        <w:widowControl/>
        <w:ind w:firstLine="567"/>
        <w:jc w:val="center"/>
        <w:rPr>
          <w:rFonts w:cs="Thick Naskh"/>
          <w:color w:val="000000" w:themeColor="text1"/>
          <w:sz w:val="28"/>
          <w:szCs w:val="28"/>
          <w:rtl/>
          <w:lang w:val="en-GB" w:eastAsia="en-US"/>
        </w:rPr>
      </w:pPr>
    </w:p>
    <w:p w:rsidR="005226A8" w:rsidRDefault="005226A8">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الصفحة الأخيـرة من نسخة متحف توبقابي (ب).</w:t>
      </w:r>
    </w:p>
    <w:p w:rsidR="00EA65AC" w:rsidRPr="00EA65AC" w:rsidRDefault="00EA65AC" w:rsidP="00EA65AC">
      <w:pPr>
        <w:widowControl/>
        <w:ind w:firstLine="567"/>
        <w:jc w:val="center"/>
        <w:rPr>
          <w:rFonts w:cs="Thick Naskh"/>
          <w:color w:val="000000" w:themeColor="text1"/>
          <w:sz w:val="28"/>
          <w:szCs w:val="28"/>
          <w:rtl/>
          <w:lang w:val="en-GB" w:eastAsia="en-US"/>
        </w:rPr>
      </w:pPr>
    </w:p>
    <w:p w:rsidR="005226A8" w:rsidRDefault="005226A8">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اللوحة الأولى من نسخة متحف سيواس (جـ).</w:t>
      </w:r>
    </w:p>
    <w:p w:rsidR="00EA65AC" w:rsidRPr="00EA65AC" w:rsidRDefault="00EA65AC" w:rsidP="00EA65AC">
      <w:pPr>
        <w:widowControl/>
        <w:ind w:firstLine="567"/>
        <w:jc w:val="center"/>
        <w:rPr>
          <w:rFonts w:cs="Thick Naskh"/>
          <w:color w:val="000000" w:themeColor="text1"/>
          <w:sz w:val="28"/>
          <w:szCs w:val="28"/>
          <w:rtl/>
          <w:lang w:val="en-GB" w:eastAsia="en-US"/>
        </w:rPr>
      </w:pPr>
    </w:p>
    <w:p w:rsidR="006D01F3" w:rsidRDefault="006D01F3">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6D01F3" w:rsidRPr="00EA65AC" w:rsidRDefault="006D01F3" w:rsidP="006D01F3">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 xml:space="preserve">اللوحة </w:t>
      </w:r>
      <w:r>
        <w:rPr>
          <w:rFonts w:cs="Thick Naskh" w:hint="cs"/>
          <w:color w:val="000000" w:themeColor="text1"/>
          <w:sz w:val="28"/>
          <w:szCs w:val="28"/>
          <w:rtl/>
          <w:lang w:val="en-GB" w:eastAsia="en-US"/>
        </w:rPr>
        <w:t>الأخيرة</w:t>
      </w:r>
      <w:r w:rsidRPr="00EA65AC">
        <w:rPr>
          <w:rFonts w:cs="Thick Naskh" w:hint="cs"/>
          <w:color w:val="000000" w:themeColor="text1"/>
          <w:sz w:val="28"/>
          <w:szCs w:val="28"/>
          <w:rtl/>
          <w:lang w:val="en-GB" w:eastAsia="en-US"/>
        </w:rPr>
        <w:t xml:space="preserve"> من نسخة متحف سيواس (جـ).</w:t>
      </w:r>
    </w:p>
    <w:p w:rsidR="006D01F3" w:rsidRDefault="006D01F3">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6D01F3" w:rsidRDefault="00EA65AC" w:rsidP="006D01F3">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صفحة العنوان من نسخة مكتبة بايزيد (د)</w:t>
      </w:r>
      <w:r w:rsidR="006D01F3">
        <w:rPr>
          <w:rFonts w:cs="Thick Naskh" w:hint="cs"/>
          <w:color w:val="000000" w:themeColor="text1"/>
          <w:sz w:val="28"/>
          <w:szCs w:val="28"/>
          <w:rtl/>
          <w:lang w:val="en-GB" w:eastAsia="en-US"/>
        </w:rPr>
        <w:t xml:space="preserve">، </w:t>
      </w:r>
      <w:r w:rsidRPr="00EA65AC">
        <w:rPr>
          <w:rFonts w:cs="Thick Naskh" w:hint="cs"/>
          <w:color w:val="000000" w:themeColor="text1"/>
          <w:sz w:val="28"/>
          <w:szCs w:val="28"/>
          <w:rtl/>
          <w:lang w:val="en-GB" w:eastAsia="en-US"/>
        </w:rPr>
        <w:t xml:space="preserve">الصفحة الأولى </w:t>
      </w:r>
      <w:r w:rsidR="006D01F3">
        <w:rPr>
          <w:rFonts w:cs="Thick Naskh" w:hint="cs"/>
          <w:color w:val="000000" w:themeColor="text1"/>
          <w:sz w:val="28"/>
          <w:szCs w:val="28"/>
          <w:rtl/>
          <w:lang w:val="en-GB" w:eastAsia="en-US"/>
        </w:rPr>
        <w:t>منها</w:t>
      </w:r>
    </w:p>
    <w:p w:rsidR="006D01F3" w:rsidRDefault="006D01F3">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6D01F3" w:rsidP="006D01F3">
      <w:pPr>
        <w:widowControl/>
        <w:ind w:firstLine="567"/>
        <w:jc w:val="center"/>
        <w:rPr>
          <w:rFonts w:cs="Thick Naskh"/>
          <w:color w:val="000000" w:themeColor="text1"/>
          <w:sz w:val="28"/>
          <w:szCs w:val="28"/>
          <w:rtl/>
          <w:lang w:val="en-GB" w:eastAsia="en-US"/>
        </w:rPr>
      </w:pPr>
      <w:r>
        <w:rPr>
          <w:rFonts w:cs="Thick Naskh" w:hint="cs"/>
          <w:color w:val="000000" w:themeColor="text1"/>
          <w:sz w:val="28"/>
          <w:szCs w:val="28"/>
          <w:rtl/>
          <w:lang w:val="en-GB" w:eastAsia="en-US"/>
        </w:rPr>
        <w:lastRenderedPageBreak/>
        <w:t>اللوحة الأخيرة</w:t>
      </w:r>
      <w:r w:rsidRPr="00EA65AC">
        <w:rPr>
          <w:rFonts w:cs="Thick Naskh" w:hint="cs"/>
          <w:color w:val="000000" w:themeColor="text1"/>
          <w:sz w:val="28"/>
          <w:szCs w:val="28"/>
          <w:rtl/>
          <w:lang w:val="en-GB" w:eastAsia="en-US"/>
        </w:rPr>
        <w:t xml:space="preserve"> من نسخة مكتبة بايزيد (د)</w:t>
      </w:r>
      <w:r>
        <w:rPr>
          <w:rFonts w:cs="Thick Naskh" w:hint="cs"/>
          <w:color w:val="000000" w:themeColor="text1"/>
          <w:sz w:val="28"/>
          <w:szCs w:val="28"/>
          <w:rtl/>
          <w:lang w:val="en-GB" w:eastAsia="en-US"/>
        </w:rPr>
        <w:t>.</w:t>
      </w:r>
    </w:p>
    <w:p w:rsidR="006D01F3" w:rsidRDefault="006D01F3">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اللوحة الأولى من نسخة مكتبة الملك عبد العزيز بالمدينة المنورة (هـ).</w:t>
      </w:r>
    </w:p>
    <w:p w:rsidR="00EA65AC" w:rsidRPr="00EA65AC" w:rsidRDefault="00EA65AC" w:rsidP="00EA65AC">
      <w:pPr>
        <w:widowControl/>
        <w:ind w:firstLine="567"/>
        <w:jc w:val="center"/>
        <w:rPr>
          <w:rFonts w:cs="Thick Naskh"/>
          <w:color w:val="000000" w:themeColor="text1"/>
          <w:sz w:val="28"/>
          <w:szCs w:val="28"/>
          <w:rtl/>
          <w:lang w:val="en-GB" w:eastAsia="en-US"/>
        </w:rPr>
      </w:pPr>
    </w:p>
    <w:p w:rsidR="006D01F3" w:rsidRDefault="006D01F3">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اللوحة الأخيـرة  من نسخة مكتبة الملك عبد العزيز بالمدينة المنورة (هـ).</w:t>
      </w:r>
    </w:p>
    <w:p w:rsidR="00EA65AC" w:rsidRPr="00EA65AC" w:rsidRDefault="00EA65AC" w:rsidP="00EA65AC">
      <w:pPr>
        <w:widowControl/>
        <w:ind w:firstLine="567"/>
        <w:jc w:val="center"/>
        <w:rPr>
          <w:rFonts w:cs="Thick Naskh"/>
          <w:color w:val="000000" w:themeColor="text1"/>
          <w:sz w:val="28"/>
          <w:szCs w:val="28"/>
          <w:rtl/>
          <w:lang w:val="en-GB" w:eastAsia="en-US"/>
        </w:rPr>
      </w:pPr>
    </w:p>
    <w:p w:rsidR="0002023B" w:rsidRDefault="0002023B">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EA65AC" w:rsidRPr="00EA65AC" w:rsidRDefault="00EA65AC" w:rsidP="00EA65AC">
      <w:pPr>
        <w:widowControl/>
        <w:ind w:firstLine="567"/>
        <w:jc w:val="center"/>
        <w:rPr>
          <w:rFonts w:cs="Thick Naskh"/>
          <w:color w:val="000000" w:themeColor="text1"/>
          <w:sz w:val="28"/>
          <w:szCs w:val="28"/>
          <w:rtl/>
          <w:lang w:val="en-GB" w:eastAsia="en-US"/>
        </w:rPr>
      </w:pPr>
      <w:r w:rsidRPr="00EA65AC">
        <w:rPr>
          <w:rFonts w:cs="Thick Naskh" w:hint="cs"/>
          <w:color w:val="000000" w:themeColor="text1"/>
          <w:sz w:val="28"/>
          <w:szCs w:val="28"/>
          <w:rtl/>
          <w:lang w:val="en-GB" w:eastAsia="en-US"/>
        </w:rPr>
        <w:lastRenderedPageBreak/>
        <w:t>صفحة العنوان من نسخة مكتبة أسعد أفندي (و) (وفيها فهـرس مختصـر)</w:t>
      </w:r>
      <w:r w:rsidR="006D01F3">
        <w:rPr>
          <w:rFonts w:cs="Thick Naskh" w:hint="cs"/>
          <w:color w:val="000000" w:themeColor="text1"/>
          <w:sz w:val="28"/>
          <w:szCs w:val="28"/>
          <w:rtl/>
          <w:lang w:val="en-GB" w:eastAsia="en-US"/>
        </w:rPr>
        <w:t>، واللوحة الأولى منها</w:t>
      </w:r>
      <w:r w:rsidRPr="00EA65AC">
        <w:rPr>
          <w:rFonts w:cs="Thick Naskh" w:hint="cs"/>
          <w:color w:val="000000" w:themeColor="text1"/>
          <w:sz w:val="28"/>
          <w:szCs w:val="28"/>
          <w:rtl/>
          <w:lang w:val="en-GB" w:eastAsia="en-US"/>
        </w:rPr>
        <w:t>.</w:t>
      </w:r>
    </w:p>
    <w:p w:rsidR="00EA65AC" w:rsidRPr="00EA65AC" w:rsidRDefault="00EA65AC" w:rsidP="00EA65AC">
      <w:pPr>
        <w:widowControl/>
        <w:ind w:firstLine="567"/>
        <w:jc w:val="center"/>
        <w:rPr>
          <w:rFonts w:cs="Thick Naskh"/>
          <w:color w:val="000000" w:themeColor="text1"/>
          <w:sz w:val="28"/>
          <w:szCs w:val="28"/>
          <w:rtl/>
          <w:lang w:val="en-GB" w:eastAsia="en-US"/>
        </w:rPr>
      </w:pPr>
    </w:p>
    <w:p w:rsidR="006D01F3" w:rsidRDefault="006D01F3">
      <w:pPr>
        <w:widowControl/>
        <w:bidi w:val="0"/>
        <w:spacing w:after="160" w:line="259" w:lineRule="auto"/>
        <w:ind w:firstLine="0"/>
        <w:rPr>
          <w:rFonts w:cs="Thick Naskh"/>
          <w:color w:val="000000" w:themeColor="text1"/>
          <w:sz w:val="28"/>
          <w:szCs w:val="28"/>
          <w:rtl/>
          <w:lang w:val="en-GB" w:eastAsia="en-US"/>
        </w:rPr>
      </w:pPr>
      <w:r>
        <w:rPr>
          <w:rFonts w:cs="Thick Naskh"/>
          <w:color w:val="000000" w:themeColor="text1"/>
          <w:sz w:val="28"/>
          <w:szCs w:val="28"/>
          <w:rtl/>
          <w:lang w:val="en-GB" w:eastAsia="en-US"/>
        </w:rPr>
        <w:br w:type="page"/>
      </w:r>
    </w:p>
    <w:p w:rsidR="006D01F3" w:rsidRPr="00F615F7" w:rsidRDefault="00EA65AC" w:rsidP="006D01F3">
      <w:pPr>
        <w:widowControl/>
        <w:ind w:firstLine="567"/>
        <w:jc w:val="center"/>
        <w:rPr>
          <w:rFonts w:cs="AL-Mateen"/>
        </w:rPr>
      </w:pPr>
      <w:r w:rsidRPr="00EA65AC">
        <w:rPr>
          <w:rFonts w:cs="Thick Naskh" w:hint="cs"/>
          <w:color w:val="000000" w:themeColor="text1"/>
          <w:sz w:val="28"/>
          <w:szCs w:val="28"/>
          <w:rtl/>
          <w:lang w:val="en-GB" w:eastAsia="en-US"/>
        </w:rPr>
        <w:lastRenderedPageBreak/>
        <w:t>اللوحة الأخيـرة من نسخة مكتبة أسعد أفندي (و).</w:t>
      </w:r>
      <w:r w:rsidRPr="00EA65AC">
        <w:rPr>
          <w:color w:val="000000" w:themeColor="text1"/>
          <w:sz w:val="20"/>
          <w:szCs w:val="36"/>
          <w:rtl/>
        </w:rPr>
        <w:br w:type="page"/>
      </w:r>
    </w:p>
    <w:p w:rsidR="00BF08C1" w:rsidRPr="00F615F7" w:rsidRDefault="00BF08C1" w:rsidP="009A68A5">
      <w:pPr>
        <w:pStyle w:val="a9"/>
        <w:jc w:val="both"/>
        <w:rPr>
          <w:rFonts w:cs="AL-Mateen"/>
          <w:rtl/>
        </w:rPr>
      </w:pPr>
      <w:r w:rsidRPr="00F615F7">
        <w:rPr>
          <w:rFonts w:cs="AL-Mateen" w:hint="cs"/>
          <w:rtl/>
        </w:rPr>
        <w:lastRenderedPageBreak/>
        <w:t>المطلب الثاني</w:t>
      </w:r>
      <w:r w:rsidR="0048366D">
        <w:rPr>
          <w:rFonts w:cs="AL-Mateen" w:hint="cs"/>
          <w:rtl/>
        </w:rPr>
        <w:t>:</w:t>
      </w:r>
      <w:r w:rsidRPr="00F615F7">
        <w:rPr>
          <w:rFonts w:cs="AL-Mateen" w:hint="cs"/>
          <w:rtl/>
        </w:rPr>
        <w:t xml:space="preserve"> تحقيق اسم الكتاب</w:t>
      </w:r>
      <w:r w:rsidR="0048366D">
        <w:rPr>
          <w:rFonts w:cs="AL-Mateen" w:hint="cs"/>
          <w:rtl/>
        </w:rPr>
        <w:t>:</w:t>
      </w:r>
    </w:p>
    <w:p w:rsidR="00BF08C1" w:rsidRDefault="00BF08C1" w:rsidP="009A68A5">
      <w:pPr>
        <w:jc w:val="both"/>
        <w:rPr>
          <w:rtl/>
        </w:rPr>
      </w:pPr>
      <w:r>
        <w:rPr>
          <w:rFonts w:hint="cs"/>
          <w:rtl/>
        </w:rPr>
        <w:t>اسم الكتاب هو</w:t>
      </w:r>
      <w:r w:rsidR="0048366D">
        <w:rPr>
          <w:rFonts w:hint="cs"/>
          <w:rtl/>
        </w:rPr>
        <w:t>:</w:t>
      </w:r>
      <w:r>
        <w:rPr>
          <w:rFonts w:hint="cs"/>
          <w:rtl/>
        </w:rPr>
        <w:t xml:space="preserve"> (</w:t>
      </w:r>
      <w:r>
        <w:rPr>
          <w:rFonts w:hint="cs"/>
          <w:b/>
          <w:bCs/>
          <w:rtl/>
        </w:rPr>
        <w:t>ترتيب اللآلي في سلك الأمالي</w:t>
      </w:r>
      <w:r>
        <w:rPr>
          <w:rFonts w:hint="cs"/>
          <w:rtl/>
        </w:rPr>
        <w:t>).</w:t>
      </w:r>
    </w:p>
    <w:p w:rsidR="00BF08C1" w:rsidRDefault="00BF08C1" w:rsidP="009A68A5">
      <w:pPr>
        <w:jc w:val="both"/>
        <w:rPr>
          <w:rtl/>
        </w:rPr>
      </w:pPr>
      <w:r>
        <w:rPr>
          <w:rFonts w:hint="cs"/>
          <w:rtl/>
        </w:rPr>
        <w:t>وهذا واضح من خلال ما جاء في المطلب السابق من وصف النسخ الخطية. وبيان ذلك على النحو الآتي</w:t>
      </w:r>
      <w:r w:rsidR="0048366D">
        <w:rPr>
          <w:rFonts w:hint="cs"/>
          <w:rtl/>
        </w:rPr>
        <w:t>:</w:t>
      </w:r>
    </w:p>
    <w:p w:rsidR="00BF08C1" w:rsidRDefault="00BF08C1" w:rsidP="009A68A5">
      <w:pPr>
        <w:ind w:left="1132" w:hanging="565"/>
        <w:jc w:val="both"/>
        <w:rPr>
          <w:rtl/>
        </w:rPr>
      </w:pPr>
      <w:r>
        <w:rPr>
          <w:rFonts w:hint="cs"/>
          <w:b/>
          <w:bCs/>
          <w:rtl/>
        </w:rPr>
        <w:t>1</w:t>
      </w:r>
      <w:r>
        <w:rPr>
          <w:rFonts w:hint="cs"/>
          <w:rtl/>
        </w:rPr>
        <w:t xml:space="preserve"> </w:t>
      </w:r>
      <w:r>
        <w:rPr>
          <w:rFonts w:hint="cs"/>
          <w:b/>
          <w:bCs/>
          <w:spacing w:val="-2"/>
          <w:rtl/>
        </w:rPr>
        <w:t>-</w:t>
      </w:r>
      <w:r>
        <w:rPr>
          <w:rFonts w:hint="cs"/>
          <w:rtl/>
        </w:rPr>
        <w:t xml:space="preserve"> أن المؤلف صرّح بتسميته لكتابه بهذا الاسم في المقدمة، حيث قال عن قواعده: </w:t>
      </w:r>
      <w:r>
        <w:rPr>
          <w:rFonts w:hint="eastAsia"/>
          <w:rtl/>
        </w:rPr>
        <w:t>«</w:t>
      </w:r>
      <w:r>
        <w:rPr>
          <w:rFonts w:hint="cs"/>
          <w:rtl/>
        </w:rPr>
        <w:t>وسمّيتها بِـ (ترتيب اللآلي في سلك الأمالي)</w:t>
      </w:r>
      <w:r>
        <w:rPr>
          <w:rFonts w:hint="eastAsia"/>
          <w:rtl/>
        </w:rPr>
        <w:t>»</w:t>
      </w:r>
      <w:r>
        <w:rPr>
          <w:rFonts w:hint="cs"/>
          <w:vertAlign w:val="superscript"/>
          <w:rtl/>
        </w:rPr>
        <w:t>(</w:t>
      </w:r>
      <w:r>
        <w:rPr>
          <w:rStyle w:val="a7"/>
        </w:rPr>
        <w:footnoteReference w:id="370"/>
      </w:r>
      <w:r>
        <w:rPr>
          <w:rFonts w:hint="cs"/>
          <w:vertAlign w:val="superscript"/>
          <w:rtl/>
        </w:rPr>
        <w:t>)</w:t>
      </w:r>
      <w:r>
        <w:rPr>
          <w:rFonts w:hint="cs"/>
          <w:rtl/>
        </w:rPr>
        <w:t>. وقد اتفقت على ذلك جميع النسخ العشر.</w:t>
      </w:r>
    </w:p>
    <w:p w:rsidR="00BF08C1" w:rsidRDefault="00BF08C1" w:rsidP="009A68A5">
      <w:pPr>
        <w:ind w:left="1132" w:hanging="565"/>
        <w:jc w:val="both"/>
        <w:rPr>
          <w:spacing w:val="-4"/>
          <w:rtl/>
        </w:rPr>
      </w:pPr>
      <w:r>
        <w:rPr>
          <w:rFonts w:hint="cs"/>
          <w:b/>
          <w:bCs/>
          <w:spacing w:val="-4"/>
          <w:rtl/>
        </w:rPr>
        <w:t>2</w:t>
      </w:r>
      <w:r>
        <w:rPr>
          <w:rFonts w:hint="cs"/>
          <w:spacing w:val="-4"/>
          <w:rtl/>
        </w:rPr>
        <w:t xml:space="preserve"> </w:t>
      </w:r>
      <w:r>
        <w:rPr>
          <w:rFonts w:hint="cs"/>
          <w:b/>
          <w:bCs/>
          <w:spacing w:val="-4"/>
          <w:rtl/>
        </w:rPr>
        <w:t>-</w:t>
      </w:r>
      <w:r>
        <w:rPr>
          <w:rFonts w:hint="cs"/>
          <w:spacing w:val="-4"/>
          <w:rtl/>
        </w:rPr>
        <w:t xml:space="preserve"> أن المؤلف أعاد اسم الكتاب مختصرًا في الخاتمة، حيث قال</w:t>
      </w:r>
      <w:r w:rsidR="0048366D">
        <w:rPr>
          <w:rFonts w:hint="cs"/>
          <w:spacing w:val="-4"/>
          <w:rtl/>
        </w:rPr>
        <w:t>:</w:t>
      </w:r>
      <w:r>
        <w:rPr>
          <w:rFonts w:hint="cs"/>
          <w:spacing w:val="-4"/>
          <w:rtl/>
        </w:rPr>
        <w:t xml:space="preserve"> </w:t>
      </w:r>
      <w:r>
        <w:rPr>
          <w:rFonts w:hint="eastAsia"/>
          <w:spacing w:val="-4"/>
          <w:rtl/>
        </w:rPr>
        <w:t>«</w:t>
      </w:r>
      <w:r>
        <w:rPr>
          <w:rFonts w:hint="cs"/>
          <w:spacing w:val="-4"/>
          <w:rtl/>
        </w:rPr>
        <w:t>... إلى هنا تمّ مقالي في ترتيب اللآلي</w:t>
      </w:r>
      <w:r w:rsidR="0048366D">
        <w:rPr>
          <w:rFonts w:hint="cs"/>
          <w:spacing w:val="-4"/>
          <w:rtl/>
        </w:rPr>
        <w:t>.</w:t>
      </w:r>
      <w:r>
        <w:rPr>
          <w:rFonts w:hint="cs"/>
          <w:spacing w:val="-4"/>
          <w:rtl/>
        </w:rPr>
        <w:t>..</w:t>
      </w:r>
      <w:r>
        <w:rPr>
          <w:rFonts w:hint="eastAsia"/>
          <w:spacing w:val="-4"/>
          <w:rtl/>
        </w:rPr>
        <w:t>»</w:t>
      </w:r>
      <w:r>
        <w:rPr>
          <w:rFonts w:hint="cs"/>
          <w:spacing w:val="-4"/>
          <w:vertAlign w:val="superscript"/>
          <w:rtl/>
        </w:rPr>
        <w:t>(</w:t>
      </w:r>
      <w:r>
        <w:rPr>
          <w:rStyle w:val="a7"/>
          <w:spacing w:val="-4"/>
        </w:rPr>
        <w:footnoteReference w:id="371"/>
      </w:r>
      <w:r>
        <w:rPr>
          <w:rFonts w:hint="cs"/>
          <w:spacing w:val="-4"/>
          <w:vertAlign w:val="superscript"/>
          <w:rtl/>
        </w:rPr>
        <w:t>)</w:t>
      </w:r>
      <w:r>
        <w:rPr>
          <w:rFonts w:hint="cs"/>
          <w:spacing w:val="-4"/>
          <w:rtl/>
        </w:rPr>
        <w:t>. وقد اتفقت على ذلك جميع النسخ العشر أيضًا.</w:t>
      </w:r>
    </w:p>
    <w:p w:rsidR="00BF08C1" w:rsidRDefault="00BF08C1" w:rsidP="009A68A5">
      <w:pPr>
        <w:jc w:val="both"/>
        <w:rPr>
          <w:rtl/>
        </w:rPr>
      </w:pPr>
      <w:r>
        <w:rPr>
          <w:rFonts w:hint="cs"/>
          <w:b/>
          <w:bCs/>
          <w:rtl/>
        </w:rPr>
        <w:t>3</w:t>
      </w:r>
      <w:r>
        <w:rPr>
          <w:rFonts w:hint="cs"/>
          <w:rtl/>
        </w:rPr>
        <w:t xml:space="preserve"> </w:t>
      </w:r>
      <w:r>
        <w:rPr>
          <w:rFonts w:hint="cs"/>
          <w:b/>
          <w:bCs/>
          <w:spacing w:val="-2"/>
          <w:rtl/>
        </w:rPr>
        <w:t>-</w:t>
      </w:r>
      <w:r>
        <w:rPr>
          <w:rFonts w:hint="cs"/>
          <w:rtl/>
        </w:rPr>
        <w:t xml:space="preserve"> ورد الاسم بتمامه على غلاف النسخ الآتية</w:t>
      </w:r>
      <w:r w:rsidR="0048366D">
        <w:rPr>
          <w:rFonts w:hint="cs"/>
          <w:rtl/>
        </w:rPr>
        <w:t>:</w:t>
      </w:r>
    </w:p>
    <w:p w:rsidR="00BF08C1" w:rsidRDefault="00BF08C1" w:rsidP="009A68A5">
      <w:pPr>
        <w:ind w:left="565" w:right="565"/>
        <w:jc w:val="both"/>
        <w:rPr>
          <w:rtl/>
        </w:rPr>
      </w:pPr>
      <w:r>
        <w:rPr>
          <w:rFonts w:hint="cs"/>
          <w:rtl/>
        </w:rPr>
        <w:t xml:space="preserve">أ </w:t>
      </w:r>
      <w:r>
        <w:rPr>
          <w:rtl/>
        </w:rPr>
        <w:t>–</w:t>
      </w:r>
      <w:r>
        <w:rPr>
          <w:rFonts w:hint="cs"/>
          <w:rtl/>
        </w:rPr>
        <w:t xml:space="preserve"> نسخة جامعة الملك عبد العزيز.</w:t>
      </w:r>
    </w:p>
    <w:p w:rsidR="00BF08C1" w:rsidRDefault="00BF08C1" w:rsidP="009A68A5">
      <w:pPr>
        <w:ind w:left="565" w:right="565"/>
        <w:jc w:val="both"/>
        <w:rPr>
          <w:rtl/>
        </w:rPr>
      </w:pPr>
      <w:r>
        <w:rPr>
          <w:rFonts w:hint="cs"/>
          <w:rtl/>
        </w:rPr>
        <w:t xml:space="preserve">ب </w:t>
      </w:r>
      <w:r>
        <w:rPr>
          <w:rtl/>
        </w:rPr>
        <w:t>–</w:t>
      </w:r>
      <w:r>
        <w:rPr>
          <w:rFonts w:hint="cs"/>
          <w:rtl/>
        </w:rPr>
        <w:t xml:space="preserve"> نسخة سيواس.</w:t>
      </w:r>
    </w:p>
    <w:p w:rsidR="00BF08C1" w:rsidRDefault="00BF08C1" w:rsidP="009A68A5">
      <w:pPr>
        <w:ind w:left="565" w:right="565"/>
        <w:jc w:val="both"/>
        <w:rPr>
          <w:rtl/>
        </w:rPr>
      </w:pPr>
      <w:r>
        <w:rPr>
          <w:rFonts w:hint="cs"/>
          <w:rtl/>
        </w:rPr>
        <w:t>جـ - نسخة بايزيد.</w:t>
      </w:r>
    </w:p>
    <w:p w:rsidR="00BF08C1" w:rsidRDefault="00BF08C1" w:rsidP="009A68A5">
      <w:pPr>
        <w:ind w:left="565" w:right="565"/>
        <w:jc w:val="both"/>
        <w:rPr>
          <w:rtl/>
        </w:rPr>
      </w:pPr>
      <w:r>
        <w:rPr>
          <w:rFonts w:hint="cs"/>
          <w:rtl/>
        </w:rPr>
        <w:t xml:space="preserve">د </w:t>
      </w:r>
      <w:r>
        <w:rPr>
          <w:rtl/>
        </w:rPr>
        <w:t>–</w:t>
      </w:r>
      <w:r>
        <w:rPr>
          <w:rFonts w:hint="cs"/>
          <w:rtl/>
        </w:rPr>
        <w:t xml:space="preserve"> نسخة أسعد أفندي.</w:t>
      </w:r>
    </w:p>
    <w:p w:rsidR="00BF08C1" w:rsidRDefault="00BF08C1" w:rsidP="009A68A5">
      <w:pPr>
        <w:ind w:left="565" w:right="565"/>
        <w:jc w:val="both"/>
        <w:rPr>
          <w:rtl/>
        </w:rPr>
      </w:pPr>
      <w:r>
        <w:rPr>
          <w:rFonts w:hint="cs"/>
          <w:rtl/>
        </w:rPr>
        <w:t>هـ - نسخة تيره.</w:t>
      </w:r>
    </w:p>
    <w:p w:rsidR="00BF08C1" w:rsidRDefault="00BF08C1" w:rsidP="009A68A5">
      <w:pPr>
        <w:ind w:left="565" w:right="565"/>
        <w:jc w:val="both"/>
        <w:rPr>
          <w:rtl/>
        </w:rPr>
      </w:pPr>
      <w:r>
        <w:rPr>
          <w:rFonts w:hint="cs"/>
          <w:rtl/>
        </w:rPr>
        <w:t xml:space="preserve">و </w:t>
      </w:r>
      <w:r>
        <w:rPr>
          <w:rtl/>
        </w:rPr>
        <w:t>–</w:t>
      </w:r>
      <w:r>
        <w:rPr>
          <w:rFonts w:hint="cs"/>
          <w:rtl/>
        </w:rPr>
        <w:t xml:space="preserve"> نسخة شهيد علي باشا.</w:t>
      </w:r>
    </w:p>
    <w:p w:rsidR="00BF08C1" w:rsidRDefault="00BF08C1" w:rsidP="009A68A5">
      <w:pPr>
        <w:ind w:left="1132" w:hanging="565"/>
        <w:jc w:val="both"/>
        <w:rPr>
          <w:rtl/>
        </w:rPr>
      </w:pPr>
      <w:r>
        <w:rPr>
          <w:rFonts w:hint="cs"/>
          <w:b/>
          <w:bCs/>
          <w:rtl/>
        </w:rPr>
        <w:t>4</w:t>
      </w:r>
      <w:r>
        <w:rPr>
          <w:rFonts w:hint="cs"/>
          <w:rtl/>
        </w:rPr>
        <w:t xml:space="preserve"> </w:t>
      </w:r>
      <w:r>
        <w:rPr>
          <w:rFonts w:hint="cs"/>
          <w:b/>
          <w:bCs/>
          <w:spacing w:val="-2"/>
          <w:rtl/>
        </w:rPr>
        <w:t>-</w:t>
      </w:r>
      <w:r>
        <w:rPr>
          <w:rFonts w:hint="cs"/>
          <w:rtl/>
        </w:rPr>
        <w:t xml:space="preserve"> ورد الاسم مختصرًا على غلاف نـسخـة مـتحف توبقابي، بلفظ</w:t>
      </w:r>
      <w:r w:rsidR="0048366D">
        <w:rPr>
          <w:rFonts w:hint="cs"/>
          <w:rtl/>
        </w:rPr>
        <w:t>:</w:t>
      </w:r>
      <w:r>
        <w:rPr>
          <w:rFonts w:hint="cs"/>
          <w:rtl/>
        </w:rPr>
        <w:t xml:space="preserve"> (ترتيب اللآلي).</w:t>
      </w:r>
    </w:p>
    <w:p w:rsidR="00BF08C1" w:rsidRDefault="00BF08C1" w:rsidP="009A68A5">
      <w:pPr>
        <w:ind w:left="1132" w:hanging="565"/>
        <w:jc w:val="both"/>
        <w:rPr>
          <w:rtl/>
        </w:rPr>
      </w:pPr>
      <w:r>
        <w:rPr>
          <w:rFonts w:hint="cs"/>
          <w:b/>
          <w:bCs/>
          <w:rtl/>
        </w:rPr>
        <w:lastRenderedPageBreak/>
        <w:t>5</w:t>
      </w:r>
      <w:r>
        <w:rPr>
          <w:rFonts w:hint="cs"/>
          <w:rtl/>
        </w:rPr>
        <w:t xml:space="preserve"> </w:t>
      </w:r>
      <w:r>
        <w:rPr>
          <w:rFonts w:hint="cs"/>
          <w:b/>
          <w:bCs/>
          <w:rtl/>
        </w:rPr>
        <w:t>-</w:t>
      </w:r>
      <w:r>
        <w:rPr>
          <w:rFonts w:hint="cs"/>
          <w:rtl/>
        </w:rPr>
        <w:t xml:space="preserve"> النسخة الوحيدة التي انفردت بزيادةٍ (على غلافها) لم ترد في بقية النسخ هي نسخة مكتبة الملك عبد العزيز بالمدينة المنورة، حيث ورد على غلافها</w:t>
      </w:r>
      <w:r w:rsidR="0048366D">
        <w:rPr>
          <w:rFonts w:hint="cs"/>
          <w:rtl/>
        </w:rPr>
        <w:t>:</w:t>
      </w:r>
      <w:r>
        <w:rPr>
          <w:rFonts w:hint="cs"/>
          <w:rtl/>
        </w:rPr>
        <w:t xml:space="preserve"> </w:t>
      </w:r>
      <w:r>
        <w:rPr>
          <w:rFonts w:hint="eastAsia"/>
          <w:rtl/>
        </w:rPr>
        <w:t>«</w:t>
      </w:r>
      <w:r>
        <w:rPr>
          <w:rFonts w:hint="cs"/>
          <w:rtl/>
        </w:rPr>
        <w:t xml:space="preserve">كتاب ترتيب اللآلي </w:t>
      </w:r>
      <w:r>
        <w:rPr>
          <w:rFonts w:hint="cs"/>
          <w:b/>
          <w:bCs/>
          <w:rtl/>
        </w:rPr>
        <w:t>في أصول الفقه</w:t>
      </w:r>
      <w:r>
        <w:rPr>
          <w:rFonts w:hint="eastAsia"/>
          <w:rtl/>
        </w:rPr>
        <w:t>»</w:t>
      </w:r>
      <w:r>
        <w:rPr>
          <w:rFonts w:hint="cs"/>
          <w:rtl/>
        </w:rPr>
        <w:t>.</w:t>
      </w:r>
    </w:p>
    <w:p w:rsidR="00BF08C1" w:rsidRDefault="00BF08C1" w:rsidP="009A68A5">
      <w:pPr>
        <w:ind w:left="1132" w:firstLine="0"/>
        <w:jc w:val="both"/>
        <w:rPr>
          <w:spacing w:val="-2"/>
          <w:rtl/>
        </w:rPr>
      </w:pPr>
      <w:r>
        <w:rPr>
          <w:rFonts w:hint="cs"/>
          <w:spacing w:val="-2"/>
          <w:rtl/>
        </w:rPr>
        <w:t>والذي يظهر -والله أعلم- أن هذه الكلمات زيادة من كاتبها، لبيان العِلْم الذي يبحث فيه الكتاب، وقد احتاج إلى إضافتها لكون عنوان الكتاب لا يدل على مضمونه</w:t>
      </w:r>
      <w:r>
        <w:rPr>
          <w:rFonts w:hint="cs"/>
          <w:spacing w:val="-2"/>
          <w:vertAlign w:val="superscript"/>
          <w:rtl/>
        </w:rPr>
        <w:t>(</w:t>
      </w:r>
      <w:r>
        <w:rPr>
          <w:rStyle w:val="a7"/>
          <w:spacing w:val="-2"/>
        </w:rPr>
        <w:footnoteReference w:id="372"/>
      </w:r>
      <w:r>
        <w:rPr>
          <w:rFonts w:hint="cs"/>
          <w:spacing w:val="-2"/>
          <w:vertAlign w:val="superscript"/>
          <w:rtl/>
        </w:rPr>
        <w:t>)</w:t>
      </w:r>
      <w:r>
        <w:rPr>
          <w:rFonts w:hint="cs"/>
          <w:spacing w:val="-2"/>
          <w:rtl/>
        </w:rPr>
        <w:t>.</w:t>
      </w:r>
    </w:p>
    <w:p w:rsidR="00BF08C1" w:rsidRDefault="00BF08C1" w:rsidP="009A68A5">
      <w:pPr>
        <w:ind w:left="1132" w:hanging="565"/>
        <w:jc w:val="both"/>
        <w:rPr>
          <w:rtl/>
        </w:rPr>
      </w:pPr>
      <w:r>
        <w:rPr>
          <w:rFonts w:hint="cs"/>
          <w:b/>
          <w:bCs/>
          <w:rtl/>
        </w:rPr>
        <w:t>6</w:t>
      </w:r>
      <w:r>
        <w:rPr>
          <w:rFonts w:hint="cs"/>
          <w:rtl/>
        </w:rPr>
        <w:t xml:space="preserve"> </w:t>
      </w:r>
      <w:r>
        <w:rPr>
          <w:rFonts w:hint="cs"/>
          <w:b/>
          <w:bCs/>
          <w:rtl/>
        </w:rPr>
        <w:t>-</w:t>
      </w:r>
      <w:r>
        <w:rPr>
          <w:rFonts w:hint="cs"/>
          <w:rtl/>
        </w:rPr>
        <w:t xml:space="preserve"> إضافة إلى ما سبق فإنّ اسم الكتاب ورد بتمامه في فهارس المكتبات التي وُجد فيها الكتاب، سواء كانت هذه الفهارس مطبوعة استقلالاً، أم على شكل بطاقات محفوظة في المكتبة.</w:t>
      </w: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BF08C1" w:rsidRDefault="00BF08C1" w:rsidP="009A68A5">
      <w:pPr>
        <w:ind w:left="1132" w:right="1132" w:hanging="565"/>
        <w:jc w:val="both"/>
        <w:rPr>
          <w:rtl/>
        </w:rPr>
      </w:pPr>
    </w:p>
    <w:p w:rsidR="000A00F1" w:rsidRDefault="000A00F1" w:rsidP="009A68A5">
      <w:pPr>
        <w:widowControl/>
        <w:bidi w:val="0"/>
        <w:spacing w:after="160" w:line="259" w:lineRule="auto"/>
        <w:ind w:firstLine="0"/>
        <w:jc w:val="both"/>
        <w:rPr>
          <w:rFonts w:cs="AL-Mateen"/>
          <w:sz w:val="48"/>
          <w:szCs w:val="36"/>
          <w:rtl/>
          <w:lang w:val="en-GB" w:eastAsia="en-US"/>
        </w:rPr>
      </w:pPr>
      <w:r>
        <w:rPr>
          <w:rFonts w:cs="AL-Mateen"/>
          <w:rtl/>
        </w:rPr>
        <w:br w:type="page"/>
      </w:r>
    </w:p>
    <w:p w:rsidR="00BF08C1" w:rsidRPr="002C5F8D" w:rsidRDefault="00BF08C1" w:rsidP="009A68A5">
      <w:pPr>
        <w:pStyle w:val="a9"/>
        <w:jc w:val="both"/>
        <w:rPr>
          <w:rFonts w:cs="AL-Mateen"/>
          <w:rtl/>
        </w:rPr>
      </w:pPr>
      <w:r w:rsidRPr="002C5F8D">
        <w:rPr>
          <w:rFonts w:cs="AL-Mateen" w:hint="cs"/>
          <w:rtl/>
        </w:rPr>
        <w:lastRenderedPageBreak/>
        <w:t>المطلب الثالث</w:t>
      </w:r>
      <w:r w:rsidR="0048366D">
        <w:rPr>
          <w:rFonts w:cs="AL-Mateen" w:hint="cs"/>
          <w:rtl/>
        </w:rPr>
        <w:t>:</w:t>
      </w:r>
      <w:r w:rsidRPr="002C5F8D">
        <w:rPr>
          <w:rFonts w:cs="AL-Mateen" w:hint="cs"/>
          <w:rtl/>
        </w:rPr>
        <w:t xml:space="preserve"> تحقيق نسبة الكتاب لمؤلفه.</w:t>
      </w:r>
    </w:p>
    <w:p w:rsidR="00BF08C1" w:rsidRDefault="00BF08C1" w:rsidP="009A68A5">
      <w:pPr>
        <w:jc w:val="both"/>
        <w:rPr>
          <w:rtl/>
        </w:rPr>
      </w:pPr>
      <w:r>
        <w:rPr>
          <w:rFonts w:hint="cs"/>
          <w:b/>
          <w:bCs/>
          <w:rtl/>
        </w:rPr>
        <w:t>*</w:t>
      </w:r>
      <w:r>
        <w:rPr>
          <w:rFonts w:hint="cs"/>
          <w:rtl/>
        </w:rPr>
        <w:t xml:space="preserve"> هذا الكتاب صحيح النسبة إلى (</w:t>
      </w:r>
      <w:r>
        <w:rPr>
          <w:rFonts w:hint="cs"/>
          <w:b/>
          <w:bCs/>
          <w:rtl/>
        </w:rPr>
        <w:t>محمد بن سليمان الشهير بناظرزاده</w:t>
      </w:r>
      <w:r>
        <w:rPr>
          <w:rFonts w:hint="cs"/>
          <w:rtl/>
        </w:rPr>
        <w:t>).</w:t>
      </w:r>
    </w:p>
    <w:p w:rsidR="00BF08C1" w:rsidRDefault="00BF08C1" w:rsidP="009A68A5">
      <w:pPr>
        <w:jc w:val="both"/>
        <w:rPr>
          <w:rtl/>
        </w:rPr>
      </w:pPr>
      <w:r>
        <w:rPr>
          <w:rFonts w:hint="cs"/>
          <w:rtl/>
        </w:rPr>
        <w:t>ويدل على ذلك ما يأتي</w:t>
      </w:r>
      <w:r w:rsidR="0048366D">
        <w:rPr>
          <w:rFonts w:hint="cs"/>
          <w:rtl/>
        </w:rPr>
        <w:t>:</w:t>
      </w:r>
    </w:p>
    <w:p w:rsidR="00BF08C1" w:rsidRDefault="00BF08C1" w:rsidP="009A68A5">
      <w:pPr>
        <w:jc w:val="both"/>
        <w:rPr>
          <w:rtl/>
        </w:rPr>
      </w:pPr>
      <w:r>
        <w:rPr>
          <w:rFonts w:hint="cs"/>
          <w:b/>
          <w:bCs/>
          <w:rtl/>
        </w:rPr>
        <w:t>1</w:t>
      </w:r>
      <w:r>
        <w:rPr>
          <w:rFonts w:hint="cs"/>
          <w:rtl/>
        </w:rPr>
        <w:t xml:space="preserve"> </w:t>
      </w:r>
      <w:r>
        <w:rPr>
          <w:rFonts w:hint="cs"/>
          <w:b/>
          <w:bCs/>
          <w:spacing w:val="-2"/>
          <w:rtl/>
        </w:rPr>
        <w:t>-</w:t>
      </w:r>
      <w:r>
        <w:rPr>
          <w:rFonts w:hint="cs"/>
          <w:rtl/>
        </w:rPr>
        <w:t xml:space="preserve"> أن هذه النسبة ثبتت بتمامها على غلاف نسختين خطيّتين، هما</w:t>
      </w:r>
      <w:r w:rsidR="0048366D">
        <w:rPr>
          <w:rFonts w:hint="cs"/>
          <w:rtl/>
        </w:rPr>
        <w:t>:</w:t>
      </w:r>
      <w:r>
        <w:rPr>
          <w:rFonts w:hint="cs"/>
          <w:rtl/>
        </w:rPr>
        <w:t xml:space="preserve"> نسخة بايزيد، وشهيد علي باشا</w:t>
      </w:r>
      <w:r>
        <w:rPr>
          <w:rFonts w:hint="cs"/>
          <w:vertAlign w:val="superscript"/>
          <w:rtl/>
        </w:rPr>
        <w:t>(</w:t>
      </w:r>
      <w:r>
        <w:rPr>
          <w:rStyle w:val="a7"/>
        </w:rPr>
        <w:footnoteReference w:id="373"/>
      </w:r>
      <w:r>
        <w:rPr>
          <w:rFonts w:hint="cs"/>
          <w:vertAlign w:val="superscript"/>
          <w:rtl/>
        </w:rPr>
        <w:t>)</w:t>
      </w:r>
      <w:r>
        <w:rPr>
          <w:rFonts w:hint="cs"/>
          <w:rtl/>
        </w:rPr>
        <w:t>.</w:t>
      </w:r>
    </w:p>
    <w:p w:rsidR="00BF08C1" w:rsidRDefault="00BF08C1" w:rsidP="009A68A5">
      <w:pPr>
        <w:jc w:val="both"/>
        <w:rPr>
          <w:rtl/>
        </w:rPr>
      </w:pPr>
      <w:r>
        <w:rPr>
          <w:rFonts w:hint="cs"/>
          <w:b/>
          <w:bCs/>
          <w:rtl/>
        </w:rPr>
        <w:t>2</w:t>
      </w:r>
      <w:r>
        <w:rPr>
          <w:rFonts w:hint="cs"/>
          <w:rtl/>
        </w:rPr>
        <w:t xml:space="preserve"> </w:t>
      </w:r>
      <w:r>
        <w:rPr>
          <w:rFonts w:hint="cs"/>
          <w:b/>
          <w:bCs/>
          <w:spacing w:val="-2"/>
          <w:rtl/>
        </w:rPr>
        <w:t>-</w:t>
      </w:r>
      <w:r>
        <w:rPr>
          <w:rFonts w:hint="cs"/>
          <w:rtl/>
        </w:rPr>
        <w:t xml:space="preserve"> كما وردت نسبته اختصارًا إلى (ناظرزاده) على غلاف نسختين، هما</w:t>
      </w:r>
      <w:r w:rsidR="0048366D">
        <w:rPr>
          <w:rFonts w:hint="cs"/>
          <w:rtl/>
        </w:rPr>
        <w:t>:</w:t>
      </w:r>
      <w:r>
        <w:rPr>
          <w:rFonts w:hint="cs"/>
          <w:rtl/>
        </w:rPr>
        <w:t xml:space="preserve"> نسخة متحف توبقابي، وتيره</w:t>
      </w:r>
      <w:r>
        <w:rPr>
          <w:rFonts w:hint="cs"/>
          <w:vertAlign w:val="superscript"/>
          <w:rtl/>
        </w:rPr>
        <w:t>(</w:t>
      </w:r>
      <w:r>
        <w:rPr>
          <w:rStyle w:val="a7"/>
        </w:rPr>
        <w:footnoteReference w:id="374"/>
      </w:r>
      <w:r>
        <w:rPr>
          <w:rFonts w:hint="cs"/>
          <w:vertAlign w:val="superscript"/>
          <w:rtl/>
        </w:rPr>
        <w:t>)</w:t>
      </w:r>
      <w:r>
        <w:rPr>
          <w:rFonts w:hint="cs"/>
          <w:rtl/>
        </w:rPr>
        <w:t>.</w:t>
      </w:r>
    </w:p>
    <w:p w:rsidR="00BF08C1" w:rsidRDefault="00BF08C1" w:rsidP="009A68A5">
      <w:pPr>
        <w:jc w:val="both"/>
        <w:rPr>
          <w:spacing w:val="-2"/>
          <w:rtl/>
        </w:rPr>
      </w:pPr>
      <w:r>
        <w:rPr>
          <w:rFonts w:hint="cs"/>
          <w:b/>
          <w:bCs/>
          <w:spacing w:val="-2"/>
          <w:rtl/>
        </w:rPr>
        <w:t>3</w:t>
      </w:r>
      <w:r>
        <w:rPr>
          <w:rFonts w:hint="cs"/>
          <w:spacing w:val="-2"/>
          <w:rtl/>
        </w:rPr>
        <w:t xml:space="preserve"> </w:t>
      </w:r>
      <w:r>
        <w:rPr>
          <w:rFonts w:hint="cs"/>
          <w:b/>
          <w:bCs/>
          <w:spacing w:val="-2"/>
          <w:rtl/>
        </w:rPr>
        <w:t>-</w:t>
      </w:r>
      <w:r>
        <w:rPr>
          <w:rFonts w:hint="cs"/>
          <w:spacing w:val="-2"/>
          <w:rtl/>
        </w:rPr>
        <w:t xml:space="preserve"> أنه ورد التصريح بنسبته إليه في مقدمة الكتاب، حيث جاء فيها</w:t>
      </w:r>
      <w:r w:rsidR="0048366D">
        <w:rPr>
          <w:rFonts w:hint="cs"/>
          <w:spacing w:val="-2"/>
          <w:rtl/>
        </w:rPr>
        <w:t>:</w:t>
      </w:r>
      <w:r>
        <w:rPr>
          <w:rFonts w:hint="cs"/>
          <w:spacing w:val="-2"/>
          <w:rtl/>
        </w:rPr>
        <w:t xml:space="preserve"> </w:t>
      </w:r>
      <w:r>
        <w:rPr>
          <w:rFonts w:hint="eastAsia"/>
          <w:spacing w:val="-2"/>
          <w:rtl/>
        </w:rPr>
        <w:t>«</w:t>
      </w:r>
      <w:r>
        <w:rPr>
          <w:rFonts w:hint="cs"/>
          <w:spacing w:val="-2"/>
          <w:rtl/>
        </w:rPr>
        <w:t>أما بعد</w:t>
      </w:r>
      <w:r w:rsidR="0048366D">
        <w:rPr>
          <w:rFonts w:hint="cs"/>
          <w:spacing w:val="-2"/>
          <w:rtl/>
        </w:rPr>
        <w:t>:</w:t>
      </w:r>
      <w:r>
        <w:rPr>
          <w:rFonts w:hint="cs"/>
          <w:spacing w:val="-2"/>
          <w:rtl/>
        </w:rPr>
        <w:t xml:space="preserve"> يقول العبد الضعيف، محمد بن سليمان الشهير بناظرزاده </w:t>
      </w:r>
      <w:r>
        <w:rPr>
          <w:spacing w:val="-2"/>
          <w:rtl/>
        </w:rPr>
        <w:t>–</w:t>
      </w:r>
      <w:r>
        <w:rPr>
          <w:rFonts w:hint="cs"/>
          <w:spacing w:val="-2"/>
          <w:rtl/>
        </w:rPr>
        <w:t xml:space="preserve"> جعل الله التقوى زاده</w:t>
      </w:r>
      <w:r w:rsidR="0048366D">
        <w:rPr>
          <w:rFonts w:hint="cs"/>
          <w:spacing w:val="-2"/>
          <w:rtl/>
        </w:rPr>
        <w:t>.</w:t>
      </w:r>
      <w:r>
        <w:rPr>
          <w:rFonts w:hint="cs"/>
          <w:spacing w:val="-2"/>
          <w:rtl/>
        </w:rPr>
        <w:t>..</w:t>
      </w:r>
      <w:r>
        <w:rPr>
          <w:rFonts w:hint="eastAsia"/>
          <w:spacing w:val="-2"/>
          <w:rtl/>
        </w:rPr>
        <w:t>»</w:t>
      </w:r>
      <w:r>
        <w:rPr>
          <w:rFonts w:hint="cs"/>
          <w:spacing w:val="-2"/>
          <w:vertAlign w:val="superscript"/>
          <w:rtl/>
        </w:rPr>
        <w:t>(</w:t>
      </w:r>
      <w:r>
        <w:rPr>
          <w:rStyle w:val="a7"/>
          <w:spacing w:val="-2"/>
        </w:rPr>
        <w:footnoteReference w:id="375"/>
      </w:r>
      <w:r>
        <w:rPr>
          <w:rFonts w:hint="cs"/>
          <w:spacing w:val="-2"/>
          <w:vertAlign w:val="superscript"/>
          <w:rtl/>
        </w:rPr>
        <w:t>)</w:t>
      </w:r>
      <w:r>
        <w:rPr>
          <w:rFonts w:hint="cs"/>
          <w:spacing w:val="-2"/>
          <w:rtl/>
        </w:rPr>
        <w:t>.</w:t>
      </w:r>
    </w:p>
    <w:p w:rsidR="00BF08C1" w:rsidRDefault="00BF08C1" w:rsidP="009A68A5">
      <w:pPr>
        <w:jc w:val="both"/>
        <w:rPr>
          <w:spacing w:val="-2"/>
          <w:rtl/>
        </w:rPr>
      </w:pPr>
      <w:r>
        <w:rPr>
          <w:rFonts w:hint="cs"/>
          <w:b/>
          <w:bCs/>
          <w:spacing w:val="-2"/>
          <w:rtl/>
        </w:rPr>
        <w:t>4</w:t>
      </w:r>
      <w:r>
        <w:rPr>
          <w:rFonts w:hint="cs"/>
          <w:spacing w:val="-2"/>
          <w:rtl/>
        </w:rPr>
        <w:t xml:space="preserve"> </w:t>
      </w:r>
      <w:r>
        <w:rPr>
          <w:rFonts w:hint="cs"/>
          <w:b/>
          <w:bCs/>
          <w:spacing w:val="-2"/>
          <w:rtl/>
        </w:rPr>
        <w:t>-</w:t>
      </w:r>
      <w:r>
        <w:rPr>
          <w:rFonts w:hint="cs"/>
          <w:spacing w:val="-2"/>
          <w:rtl/>
        </w:rPr>
        <w:t xml:space="preserve"> أن هذه النسبة وردت في مقدمة تسع نسخ خطية</w:t>
      </w:r>
      <w:r>
        <w:rPr>
          <w:rFonts w:hint="cs"/>
          <w:spacing w:val="-2"/>
          <w:vertAlign w:val="superscript"/>
          <w:rtl/>
        </w:rPr>
        <w:t>(</w:t>
      </w:r>
      <w:r>
        <w:rPr>
          <w:rStyle w:val="a7"/>
          <w:spacing w:val="-2"/>
        </w:rPr>
        <w:footnoteReference w:id="376"/>
      </w:r>
      <w:r>
        <w:rPr>
          <w:rFonts w:hint="cs"/>
          <w:spacing w:val="-2"/>
          <w:vertAlign w:val="superscript"/>
          <w:rtl/>
        </w:rPr>
        <w:t>)</w:t>
      </w:r>
      <w:r>
        <w:rPr>
          <w:rFonts w:hint="cs"/>
          <w:spacing w:val="-2"/>
          <w:rtl/>
        </w:rPr>
        <w:t>.</w:t>
      </w:r>
    </w:p>
    <w:p w:rsidR="00BF08C1" w:rsidRDefault="00BF08C1" w:rsidP="009A68A5">
      <w:pPr>
        <w:jc w:val="both"/>
        <w:rPr>
          <w:spacing w:val="-2"/>
          <w:rtl/>
        </w:rPr>
      </w:pPr>
      <w:r>
        <w:rPr>
          <w:rFonts w:hint="cs"/>
          <w:b/>
          <w:bCs/>
          <w:spacing w:val="-2"/>
          <w:rtl/>
        </w:rPr>
        <w:t>5</w:t>
      </w:r>
      <w:r>
        <w:rPr>
          <w:rFonts w:hint="cs"/>
          <w:spacing w:val="-2"/>
          <w:rtl/>
        </w:rPr>
        <w:t xml:space="preserve"> </w:t>
      </w:r>
      <w:r>
        <w:rPr>
          <w:rFonts w:hint="cs"/>
          <w:b/>
          <w:bCs/>
          <w:spacing w:val="-2"/>
          <w:rtl/>
        </w:rPr>
        <w:t>-</w:t>
      </w:r>
      <w:r>
        <w:rPr>
          <w:rFonts w:hint="cs"/>
          <w:spacing w:val="-2"/>
          <w:rtl/>
        </w:rPr>
        <w:t xml:space="preserve"> كما وردت في فهارس المكتبات التي وجدت فيها هذه النسخ التسع، سواء كانت هذه الفهارس مطبوعة استقلالاً، أم على شكل بطاقات محفوظة في المكتبة، أم مخزّنة في الحاسوب. وبعض هذه الفهارس طبعت في زمن متقدّم، كفهرس مكتبة أسعد أفندي، ص36 (الموسوم بِـ دفتر كتبخانه أسعد أفندي)، فقد طبع في استانبول، مطبعة محمود بك، عام 1262هـ، وفهرس مكتبة بايزيد العمومية، ص124 (الموسوم بِـ كتبخانه عمومي دفتري)، طبع في استانبول، مطبعة محمود بك، عام 1300هـ.</w:t>
      </w:r>
    </w:p>
    <w:p w:rsidR="00BF08C1" w:rsidRDefault="00BF08C1" w:rsidP="009A68A5">
      <w:pPr>
        <w:jc w:val="both"/>
        <w:rPr>
          <w:spacing w:val="-2"/>
          <w:rtl/>
        </w:rPr>
      </w:pPr>
      <w:r>
        <w:rPr>
          <w:rFonts w:hint="cs"/>
          <w:b/>
          <w:bCs/>
          <w:spacing w:val="-2"/>
          <w:rtl/>
        </w:rPr>
        <w:t>6</w:t>
      </w:r>
      <w:r>
        <w:rPr>
          <w:rFonts w:hint="cs"/>
          <w:spacing w:val="-2"/>
          <w:rtl/>
        </w:rPr>
        <w:t xml:space="preserve"> </w:t>
      </w:r>
      <w:r>
        <w:rPr>
          <w:rFonts w:hint="cs"/>
          <w:b/>
          <w:bCs/>
          <w:spacing w:val="-2"/>
          <w:rtl/>
        </w:rPr>
        <w:t>-</w:t>
      </w:r>
      <w:r>
        <w:rPr>
          <w:rFonts w:hint="cs"/>
          <w:spacing w:val="-2"/>
          <w:rtl/>
        </w:rPr>
        <w:t xml:space="preserve"> أن الدكتور محمد بن عبد الغفار الشريف نسب هذا الكتاب إلى ناظرزاده، وعدّ </w:t>
      </w:r>
      <w:r>
        <w:rPr>
          <w:rFonts w:hint="cs"/>
          <w:spacing w:val="-2"/>
          <w:rtl/>
        </w:rPr>
        <w:lastRenderedPageBreak/>
        <w:t>الكتاب من كتب الحنفية المهملة في القواعد، وذلك في مقدمة رسالته للدكتوراه التي حقق بها كـتـاب (المجموع الـمذهَـب في قـواعـد الـمـذهَب) لأبي سـعـيد العـلائي (ت761هـ)</w:t>
      </w:r>
      <w:r>
        <w:rPr>
          <w:rFonts w:hint="cs"/>
          <w:spacing w:val="-2"/>
          <w:vertAlign w:val="superscript"/>
          <w:rtl/>
        </w:rPr>
        <w:t>(</w:t>
      </w:r>
      <w:r>
        <w:rPr>
          <w:rStyle w:val="a7"/>
          <w:spacing w:val="-2"/>
        </w:rPr>
        <w:footnoteReference w:id="377"/>
      </w:r>
      <w:r>
        <w:rPr>
          <w:rFonts w:hint="cs"/>
          <w:spacing w:val="-2"/>
          <w:vertAlign w:val="superscript"/>
          <w:rtl/>
        </w:rPr>
        <w:t>)</w:t>
      </w:r>
      <w:r>
        <w:rPr>
          <w:rFonts w:hint="cs"/>
          <w:spacing w:val="-2"/>
          <w:rtl/>
        </w:rPr>
        <w:t>.</w:t>
      </w:r>
    </w:p>
    <w:p w:rsidR="00BF08C1" w:rsidRDefault="00BF08C1" w:rsidP="009A68A5">
      <w:pPr>
        <w:jc w:val="both"/>
        <w:rPr>
          <w:spacing w:val="-2"/>
          <w:rtl/>
        </w:rPr>
      </w:pPr>
      <w:r>
        <w:rPr>
          <w:rFonts w:hint="cs"/>
          <w:spacing w:val="-2"/>
          <w:rtl/>
        </w:rPr>
        <w:t>فهذه ستّة أدلّة تدل بمجموعها دلالة واضحة لا غبش فيها على أنّ المؤلف هو</w:t>
      </w:r>
      <w:r w:rsidR="0048366D">
        <w:rPr>
          <w:rFonts w:hint="cs"/>
          <w:spacing w:val="-2"/>
          <w:rtl/>
        </w:rPr>
        <w:t>:</w:t>
      </w:r>
      <w:r>
        <w:rPr>
          <w:rFonts w:hint="cs"/>
          <w:spacing w:val="-2"/>
          <w:rtl/>
        </w:rPr>
        <w:t xml:space="preserve"> محمد ابن سليمان الشهير بناظرزاده.</w:t>
      </w:r>
    </w:p>
    <w:p w:rsidR="00BF08C1" w:rsidRDefault="00BF08C1" w:rsidP="009A68A5">
      <w:pPr>
        <w:jc w:val="both"/>
        <w:rPr>
          <w:spacing w:val="-2"/>
          <w:rtl/>
        </w:rPr>
      </w:pPr>
      <w:r>
        <w:rPr>
          <w:rFonts w:hint="cs"/>
          <w:b/>
          <w:bCs/>
          <w:spacing w:val="-2"/>
          <w:rtl/>
        </w:rPr>
        <w:t>*</w:t>
      </w:r>
      <w:r>
        <w:rPr>
          <w:rFonts w:hint="cs"/>
          <w:spacing w:val="-2"/>
          <w:rtl/>
        </w:rPr>
        <w:t xml:space="preserve"> </w:t>
      </w:r>
      <w:r>
        <w:rPr>
          <w:rFonts w:hint="cs"/>
          <w:b/>
          <w:bCs/>
          <w:spacing w:val="-2"/>
          <w:rtl/>
        </w:rPr>
        <w:t>وعلى الرّغم من قوة هذه الأدلة (بتعاضدها) إلاّ أن هناك من التبس عليه اسم المؤلف فتوهّم أنه</w:t>
      </w:r>
      <w:r w:rsidR="0048366D">
        <w:rPr>
          <w:rFonts w:hint="cs"/>
          <w:b/>
          <w:bCs/>
          <w:spacing w:val="-2"/>
          <w:rtl/>
        </w:rPr>
        <w:t>:</w:t>
      </w:r>
      <w:r>
        <w:rPr>
          <w:rFonts w:hint="cs"/>
          <w:b/>
          <w:bCs/>
          <w:spacing w:val="-2"/>
          <w:rtl/>
        </w:rPr>
        <w:t xml:space="preserve"> أحمد بن عبد الرحمن البَشِكْطَاشي (ت1136هـ)!.</w:t>
      </w:r>
    </w:p>
    <w:p w:rsidR="00BF08C1" w:rsidRDefault="00BF08C1" w:rsidP="009A68A5">
      <w:pPr>
        <w:jc w:val="both"/>
        <w:rPr>
          <w:rtl/>
        </w:rPr>
      </w:pPr>
      <w:r>
        <w:rPr>
          <w:rFonts w:hint="cs"/>
          <w:spacing w:val="-2"/>
          <w:rtl/>
        </w:rPr>
        <w:t>فقد التبس ذلك على صاحبي (هدية العارفين) (ت1339هـ) و(معجم المؤلفين)، حيث قال الأول ما نصه</w:t>
      </w:r>
      <w:r w:rsidR="0048366D">
        <w:rPr>
          <w:rFonts w:hint="cs"/>
          <w:spacing w:val="-2"/>
          <w:rtl/>
        </w:rPr>
        <w:t>:</w:t>
      </w:r>
      <w:r>
        <w:rPr>
          <w:rFonts w:hint="cs"/>
          <w:spacing w:val="-2"/>
          <w:rtl/>
        </w:rPr>
        <w:t xml:space="preserve"> </w:t>
      </w:r>
      <w:r>
        <w:rPr>
          <w:rFonts w:hint="eastAsia"/>
          <w:rtl/>
        </w:rPr>
        <w:t>«</w:t>
      </w:r>
      <w:r>
        <w:rPr>
          <w:rFonts w:hint="cs"/>
          <w:rtl/>
        </w:rPr>
        <w:t>البَشِكْطَاشي</w:t>
      </w:r>
      <w:r w:rsidR="0048366D">
        <w:rPr>
          <w:rFonts w:hint="cs"/>
          <w:rtl/>
        </w:rPr>
        <w:t>:</w:t>
      </w:r>
      <w:r>
        <w:rPr>
          <w:rFonts w:hint="cs"/>
          <w:rtl/>
        </w:rPr>
        <w:t xml:space="preserve"> أحمد بن عبد الرحمن القسطنطيني الرومي الحنفي المعروف بالبَشِكْطَاشي، توفي سنة 1136 (ست وثلاثين ومائة وألف). له ترتيب اللآلي في سلك الأمالي</w:t>
      </w:r>
      <w:r>
        <w:rPr>
          <w:rFonts w:hint="eastAsia"/>
          <w:rtl/>
        </w:rPr>
        <w:t>»</w:t>
      </w:r>
      <w:r>
        <w:rPr>
          <w:rFonts w:hint="cs"/>
          <w:vertAlign w:val="superscript"/>
          <w:rtl/>
        </w:rPr>
        <w:t>(</w:t>
      </w:r>
      <w:r>
        <w:rPr>
          <w:rStyle w:val="a7"/>
        </w:rPr>
        <w:footnoteReference w:id="378"/>
      </w:r>
      <w:r>
        <w:rPr>
          <w:rFonts w:hint="cs"/>
          <w:vertAlign w:val="superscript"/>
          <w:rtl/>
        </w:rPr>
        <w:t>)</w:t>
      </w:r>
      <w:r>
        <w:rPr>
          <w:rFonts w:hint="cs"/>
          <w:rtl/>
        </w:rPr>
        <w:t>.</w:t>
      </w:r>
    </w:p>
    <w:p w:rsidR="00BF08C1" w:rsidRDefault="00BF08C1" w:rsidP="009A68A5">
      <w:pPr>
        <w:jc w:val="both"/>
        <w:rPr>
          <w:rtl/>
        </w:rPr>
      </w:pPr>
      <w:r>
        <w:rPr>
          <w:rFonts w:hint="cs"/>
          <w:rtl/>
        </w:rPr>
        <w:t>وهذه الترجمة نقلها الثاني بحروفها، وعزاها إلى الأول</w:t>
      </w:r>
      <w:r>
        <w:rPr>
          <w:rFonts w:hint="cs"/>
          <w:vertAlign w:val="superscript"/>
          <w:rtl/>
        </w:rPr>
        <w:t>(</w:t>
      </w:r>
      <w:r>
        <w:rPr>
          <w:rStyle w:val="a7"/>
        </w:rPr>
        <w:footnoteReference w:id="379"/>
      </w:r>
      <w:r>
        <w:rPr>
          <w:rFonts w:hint="cs"/>
          <w:vertAlign w:val="superscript"/>
          <w:rtl/>
        </w:rPr>
        <w:t>)</w:t>
      </w:r>
      <w:r>
        <w:rPr>
          <w:rFonts w:hint="cs"/>
          <w:rtl/>
        </w:rPr>
        <w:t>.</w:t>
      </w:r>
    </w:p>
    <w:p w:rsidR="00BF08C1" w:rsidRDefault="00BF08C1" w:rsidP="009A68A5">
      <w:pPr>
        <w:jc w:val="both"/>
        <w:rPr>
          <w:rtl/>
        </w:rPr>
      </w:pPr>
      <w:r>
        <w:rPr>
          <w:rFonts w:hint="cs"/>
          <w:rtl/>
        </w:rPr>
        <w:t>ولعلّ مستند الأول في هذه النسبة</w:t>
      </w:r>
      <w:r w:rsidR="0048366D">
        <w:rPr>
          <w:rFonts w:hint="cs"/>
          <w:rtl/>
        </w:rPr>
        <w:t>:</w:t>
      </w:r>
      <w:r>
        <w:rPr>
          <w:rFonts w:hint="cs"/>
          <w:rtl/>
        </w:rPr>
        <w:t xml:space="preserve"> هو اطّلاعه على نسخة خطية للكتاب انفردت عن النسخ التسع الأُخر بنسبته إلى البَشِكْطَاشي. حيث حُذف من مقدمتها</w:t>
      </w:r>
      <w:r w:rsidR="0048366D">
        <w:rPr>
          <w:rFonts w:hint="cs"/>
          <w:rtl/>
        </w:rPr>
        <w:t>:</w:t>
      </w:r>
      <w:r>
        <w:rPr>
          <w:rFonts w:hint="cs"/>
          <w:rtl/>
        </w:rPr>
        <w:t xml:space="preserve"> </w:t>
      </w:r>
      <w:r>
        <w:rPr>
          <w:rFonts w:hint="eastAsia"/>
          <w:rtl/>
        </w:rPr>
        <w:t>«</w:t>
      </w:r>
      <w:r>
        <w:rPr>
          <w:rFonts w:hint="cs"/>
          <w:rtl/>
        </w:rPr>
        <w:t>... محمد بن سليمان الشهير بناظرزاده، جعل الله التقوى زاده</w:t>
      </w:r>
      <w:r>
        <w:rPr>
          <w:rFonts w:hint="eastAsia"/>
          <w:rtl/>
        </w:rPr>
        <w:t>»</w:t>
      </w:r>
      <w:r>
        <w:rPr>
          <w:rFonts w:hint="cs"/>
          <w:rtl/>
        </w:rPr>
        <w:t>، وكُتب مكانه</w:t>
      </w:r>
      <w:r w:rsidR="0048366D">
        <w:rPr>
          <w:rFonts w:hint="cs"/>
          <w:rtl/>
        </w:rPr>
        <w:t>:</w:t>
      </w:r>
      <w:r>
        <w:rPr>
          <w:rFonts w:hint="cs"/>
          <w:rtl/>
        </w:rPr>
        <w:t xml:space="preserve"> </w:t>
      </w:r>
      <w:r>
        <w:rPr>
          <w:rFonts w:hint="eastAsia"/>
          <w:rtl/>
        </w:rPr>
        <w:t>«</w:t>
      </w:r>
      <w:r>
        <w:rPr>
          <w:rFonts w:hint="cs"/>
          <w:rtl/>
        </w:rPr>
        <w:t>أحمد بن عبد الرحمن البَشِكْطاشي</w:t>
      </w:r>
      <w:r>
        <w:rPr>
          <w:rFonts w:hint="eastAsia"/>
          <w:rtl/>
        </w:rPr>
        <w:t>»</w:t>
      </w:r>
      <w:r>
        <w:rPr>
          <w:rFonts w:hint="cs"/>
          <w:rtl/>
        </w:rPr>
        <w:t>.</w:t>
      </w:r>
    </w:p>
    <w:p w:rsidR="00BF08C1" w:rsidRDefault="00BF08C1" w:rsidP="009A68A5">
      <w:pPr>
        <w:jc w:val="both"/>
        <w:rPr>
          <w:rtl/>
        </w:rPr>
      </w:pPr>
      <w:r>
        <w:rPr>
          <w:rFonts w:hint="cs"/>
          <w:rtl/>
        </w:rPr>
        <w:lastRenderedPageBreak/>
        <w:t>وبعد التأمل في هذه النسخة لفت نظري فيها أمور، منها</w:t>
      </w:r>
      <w:r w:rsidR="0048366D">
        <w:rPr>
          <w:rFonts w:hint="cs"/>
          <w:rtl/>
        </w:rPr>
        <w:t>:</w:t>
      </w:r>
    </w:p>
    <w:p w:rsidR="00BF08C1" w:rsidRDefault="00BF08C1" w:rsidP="009A68A5">
      <w:pPr>
        <w:jc w:val="both"/>
        <w:rPr>
          <w:rtl/>
        </w:rPr>
      </w:pPr>
      <w:r>
        <w:rPr>
          <w:rFonts w:hint="cs"/>
          <w:b/>
          <w:bCs/>
          <w:rtl/>
        </w:rPr>
        <w:t>1</w:t>
      </w:r>
      <w:r>
        <w:rPr>
          <w:rFonts w:hint="cs"/>
          <w:rtl/>
        </w:rPr>
        <w:t xml:space="preserve"> </w:t>
      </w:r>
      <w:r>
        <w:rPr>
          <w:rFonts w:hint="cs"/>
          <w:b/>
          <w:bCs/>
          <w:rtl/>
        </w:rPr>
        <w:t>-</w:t>
      </w:r>
      <w:r>
        <w:rPr>
          <w:rFonts w:hint="cs"/>
          <w:rtl/>
        </w:rPr>
        <w:t xml:space="preserve"> أنه عندما حُذف منها اسم</w:t>
      </w:r>
      <w:r w:rsidR="0048366D">
        <w:rPr>
          <w:rFonts w:hint="cs"/>
          <w:rtl/>
        </w:rPr>
        <w:t>:</w:t>
      </w:r>
      <w:r>
        <w:rPr>
          <w:rFonts w:hint="cs"/>
          <w:rtl/>
        </w:rPr>
        <w:t xml:space="preserve"> </w:t>
      </w:r>
      <w:r>
        <w:rPr>
          <w:rFonts w:hint="eastAsia"/>
          <w:rtl/>
        </w:rPr>
        <w:t>«</w:t>
      </w:r>
      <w:r>
        <w:rPr>
          <w:rFonts w:hint="cs"/>
          <w:rtl/>
        </w:rPr>
        <w:t>محمد بن سليمان ناظرزاده</w:t>
      </w:r>
      <w:r>
        <w:rPr>
          <w:rFonts w:hint="eastAsia"/>
          <w:rtl/>
        </w:rPr>
        <w:t>»</w:t>
      </w:r>
      <w:r>
        <w:rPr>
          <w:rFonts w:hint="cs"/>
          <w:rtl/>
        </w:rPr>
        <w:t xml:space="preserve">، حذفت عقبه عبارة مسجوعة تتناسب معه، ولا تتناسب مع (أحمد بن عبد الرحمن البـشكطاشي)، وهي: </w:t>
      </w:r>
      <w:r>
        <w:rPr>
          <w:rFonts w:hint="eastAsia"/>
          <w:rtl/>
        </w:rPr>
        <w:t>«</w:t>
      </w:r>
      <w:r>
        <w:rPr>
          <w:rFonts w:hint="cs"/>
          <w:rtl/>
        </w:rPr>
        <w:t>جعل الله التقوى زاده</w:t>
      </w:r>
      <w:r>
        <w:rPr>
          <w:rFonts w:hint="eastAsia"/>
          <w:rtl/>
        </w:rPr>
        <w:t>»</w:t>
      </w:r>
      <w:r>
        <w:rPr>
          <w:rFonts w:hint="cs"/>
          <w:rtl/>
        </w:rPr>
        <w:t>.</w:t>
      </w:r>
    </w:p>
    <w:p w:rsidR="00BF08C1" w:rsidRDefault="00BF08C1" w:rsidP="009A68A5">
      <w:pPr>
        <w:jc w:val="both"/>
        <w:rPr>
          <w:rtl/>
        </w:rPr>
      </w:pPr>
      <w:r>
        <w:rPr>
          <w:rFonts w:hint="cs"/>
          <w:b/>
          <w:bCs/>
          <w:rtl/>
        </w:rPr>
        <w:t>2</w:t>
      </w:r>
      <w:r>
        <w:rPr>
          <w:rFonts w:hint="cs"/>
          <w:rtl/>
        </w:rPr>
        <w:t xml:space="preserve"> </w:t>
      </w:r>
      <w:r>
        <w:rPr>
          <w:rFonts w:hint="cs"/>
          <w:b/>
          <w:bCs/>
          <w:rtl/>
        </w:rPr>
        <w:t>-</w:t>
      </w:r>
      <w:r>
        <w:rPr>
          <w:rFonts w:hint="cs"/>
          <w:rtl/>
        </w:rPr>
        <w:t xml:space="preserve"> أنها تعاقب عليها ناسخان؛ فقد كتبت من بدايتها إلى نهاية شرح القاعدة الحادية والستين (نهاية اللوحة الخامسة عشرة تقريبًا) بخط تعليق جميل، ثم كُتب باقيها بخط تعليق يميل إلى النسخ. ويبدو أن الثاني حاول عند إتمامه للّوحة الخامسة عشرة أن يقترب من خط الأول، ثم بعد أن انتقل إلى لوحة جديدة تميّز خطه المعتاد. وكان القلم الذي كتب بـه الأول أرفع من القلم الذي كتب به الثاني.</w:t>
      </w:r>
    </w:p>
    <w:p w:rsidR="00BF08C1" w:rsidRDefault="00BF08C1" w:rsidP="009A68A5">
      <w:pPr>
        <w:jc w:val="both"/>
        <w:rPr>
          <w:rtl/>
        </w:rPr>
      </w:pPr>
      <w:r>
        <w:rPr>
          <w:rFonts w:hint="cs"/>
          <w:b/>
          <w:bCs/>
          <w:rtl/>
        </w:rPr>
        <w:t>3</w:t>
      </w:r>
      <w:r>
        <w:rPr>
          <w:rFonts w:hint="cs"/>
          <w:rtl/>
        </w:rPr>
        <w:t xml:space="preserve"> </w:t>
      </w:r>
      <w:r>
        <w:rPr>
          <w:rFonts w:hint="cs"/>
          <w:b/>
          <w:bCs/>
          <w:rtl/>
        </w:rPr>
        <w:t>-</w:t>
      </w:r>
      <w:r>
        <w:rPr>
          <w:rFonts w:hint="cs"/>
          <w:rtl/>
        </w:rPr>
        <w:t xml:space="preserve"> أنه في نهاية هذه النسخة</w:t>
      </w:r>
      <w:r w:rsidR="0048366D">
        <w:rPr>
          <w:rFonts w:hint="cs"/>
          <w:rtl/>
        </w:rPr>
        <w:t>:</w:t>
      </w:r>
      <w:r>
        <w:rPr>
          <w:rFonts w:hint="cs"/>
          <w:rtl/>
        </w:rPr>
        <w:t xml:space="preserve"> كُـتب عام النسخ (وهو عام 1179هـ)، ولم يقترن التاريخ باسم الناسخ.</w:t>
      </w:r>
    </w:p>
    <w:p w:rsidR="00BF08C1" w:rsidRDefault="00BF08C1" w:rsidP="009A68A5">
      <w:pPr>
        <w:jc w:val="both"/>
        <w:rPr>
          <w:rtl/>
        </w:rPr>
      </w:pPr>
      <w:r>
        <w:rPr>
          <w:rFonts w:hint="cs"/>
          <w:b/>
          <w:bCs/>
          <w:rtl/>
        </w:rPr>
        <w:t>4</w:t>
      </w:r>
      <w:r>
        <w:rPr>
          <w:rFonts w:hint="cs"/>
          <w:rtl/>
        </w:rPr>
        <w:t xml:space="preserve"> </w:t>
      </w:r>
      <w:r>
        <w:rPr>
          <w:rFonts w:hint="cs"/>
          <w:b/>
          <w:bCs/>
          <w:rtl/>
        </w:rPr>
        <w:t>-</w:t>
      </w:r>
      <w:r>
        <w:rPr>
          <w:rFonts w:hint="cs"/>
          <w:rtl/>
        </w:rPr>
        <w:t xml:space="preserve"> هذه النسخة ليس فيها ما يميّزها عن بقية النسخ؛ بل إنها من أكثرها أخطاء، ويغلب على ناسخيها أنهما ورّاقان أعجميان فحسب.</w:t>
      </w:r>
    </w:p>
    <w:p w:rsidR="00BF08C1" w:rsidRDefault="00BF08C1" w:rsidP="009A68A5">
      <w:pPr>
        <w:jc w:val="both"/>
        <w:rPr>
          <w:rtl/>
        </w:rPr>
      </w:pPr>
      <w:r>
        <w:rPr>
          <w:rFonts w:hint="cs"/>
          <w:rtl/>
        </w:rPr>
        <w:t>هذه الأمور تثير احتمالاً ليس بعيدًا، وهو أن أحد المتعاطفين مع الشيخ أحمد البَشِكْطَاشي وجد كتابًا قيّمًا، غير معروفٍ، فأحبّ أن ينسبه إلى البَشِكْطاشي، فدفع نسخةً منه إلى الورّاق لنسخها، وكانت هذه النسخة منسوبة لِـ (محمد بن سليمان الشهير بناظرزاده)، وبعد أن كتب خمس عشرة ورقة (تقريبًا) منسوبة إلى البشكطاشي تردّد في إتمامها، ثم تركها. فَدُفعت إلى ناسخ آخر، فأتمّها.</w:t>
      </w:r>
    </w:p>
    <w:p w:rsidR="00BF08C1" w:rsidRDefault="00BF08C1" w:rsidP="009A68A5">
      <w:pPr>
        <w:jc w:val="both"/>
        <w:rPr>
          <w:rtl/>
        </w:rPr>
      </w:pPr>
      <w:r>
        <w:rPr>
          <w:rFonts w:hint="cs"/>
          <w:rtl/>
        </w:rPr>
        <w:t xml:space="preserve">هذا مجرّد احتمال، لكنه احتمال متصوّر في تفسير هذا التصرف، وممّا يعضده أنه كُتب في آخر هذه النسخة وقت الفراغ من نسخها، ولم يُذكر اسم الناسخ، والشأن أن يقترن اسم الناسخ مع التأريخ، أو يتركان معًا؛ فلعلّ الناسخ آثر عدم إثبات اسمه، هربًا </w:t>
      </w:r>
      <w:r>
        <w:rPr>
          <w:rFonts w:hint="cs"/>
          <w:rtl/>
        </w:rPr>
        <w:lastRenderedPageBreak/>
        <w:t>من أن يُتّهم بتزوير اسم المؤلف -والله أعلم-.</w:t>
      </w:r>
    </w:p>
    <w:p w:rsidR="00BF08C1" w:rsidRDefault="00BF08C1" w:rsidP="009A68A5">
      <w:pPr>
        <w:jc w:val="both"/>
        <w:rPr>
          <w:rtl/>
        </w:rPr>
      </w:pPr>
      <w:r>
        <w:rPr>
          <w:rFonts w:hint="cs"/>
          <w:b/>
          <w:bCs/>
          <w:rtl/>
        </w:rPr>
        <w:t>5</w:t>
      </w:r>
      <w:r>
        <w:rPr>
          <w:rFonts w:hint="cs"/>
          <w:rtl/>
        </w:rPr>
        <w:t xml:space="preserve"> </w:t>
      </w:r>
      <w:r>
        <w:rPr>
          <w:rFonts w:hint="cs"/>
          <w:b/>
          <w:bCs/>
          <w:rtl/>
        </w:rPr>
        <w:t>-</w:t>
      </w:r>
      <w:r>
        <w:rPr>
          <w:rFonts w:hint="cs"/>
          <w:rtl/>
        </w:rPr>
        <w:t xml:space="preserve"> </w:t>
      </w:r>
      <w:r>
        <w:rPr>
          <w:rFonts w:hint="cs"/>
          <w:b/>
          <w:bCs/>
          <w:rtl/>
        </w:rPr>
        <w:t>وإضافة إلى ما سبق فإن البَشِكْطاشي توفي عام 1136هـ. وهذا تأريخ متأخّر يمنع كونه مؤلّفًا للكتاب.</w:t>
      </w:r>
    </w:p>
    <w:p w:rsidR="00BF08C1" w:rsidRDefault="00BF08C1" w:rsidP="009A68A5">
      <w:pPr>
        <w:jc w:val="both"/>
        <w:rPr>
          <w:rtl/>
        </w:rPr>
      </w:pPr>
      <w:r>
        <w:rPr>
          <w:rFonts w:hint="cs"/>
          <w:rtl/>
        </w:rPr>
        <w:t>ويتَّضح هذا من خلال النقاط الآتية</w:t>
      </w:r>
      <w:r w:rsidR="0048366D">
        <w:rPr>
          <w:rFonts w:hint="cs"/>
          <w:rtl/>
        </w:rPr>
        <w:t>:</w:t>
      </w:r>
    </w:p>
    <w:p w:rsidR="00BF08C1" w:rsidRDefault="00BF08C1" w:rsidP="009A68A5">
      <w:pPr>
        <w:ind w:left="281" w:firstLine="286"/>
        <w:jc w:val="both"/>
        <w:rPr>
          <w:rtl/>
        </w:rPr>
      </w:pPr>
      <w:r>
        <w:rPr>
          <w:rFonts w:hint="cs"/>
          <w:b/>
          <w:bCs/>
          <w:rtl/>
        </w:rPr>
        <w:t>أ</w:t>
      </w:r>
      <w:r>
        <w:rPr>
          <w:rFonts w:hint="cs"/>
          <w:rtl/>
        </w:rPr>
        <w:t xml:space="preserve"> </w:t>
      </w:r>
      <w:r>
        <w:rPr>
          <w:rFonts w:hint="cs"/>
          <w:b/>
          <w:bCs/>
          <w:rtl/>
        </w:rPr>
        <w:t>-</w:t>
      </w:r>
      <w:r>
        <w:rPr>
          <w:rFonts w:hint="cs"/>
          <w:rtl/>
        </w:rPr>
        <w:t xml:space="preserve">  أن المؤلف صرّح في المقدمة بأنه ألّف هذا الكتاب بعد أن أُذِن له بالإفتاء وأُمر بالتأليف</w:t>
      </w:r>
      <w:r>
        <w:rPr>
          <w:rFonts w:hint="cs"/>
          <w:vertAlign w:val="superscript"/>
          <w:rtl/>
        </w:rPr>
        <w:t>(</w:t>
      </w:r>
      <w:r>
        <w:rPr>
          <w:rStyle w:val="a7"/>
        </w:rPr>
        <w:footnoteReference w:id="380"/>
      </w:r>
      <w:r>
        <w:rPr>
          <w:rFonts w:hint="cs"/>
          <w:vertAlign w:val="superscript"/>
          <w:rtl/>
        </w:rPr>
        <w:t>)</w:t>
      </w:r>
      <w:r>
        <w:rPr>
          <w:rFonts w:hint="cs"/>
          <w:rtl/>
        </w:rPr>
        <w:t>.</w:t>
      </w:r>
    </w:p>
    <w:p w:rsidR="00BF08C1" w:rsidRDefault="00BF08C1" w:rsidP="009A68A5">
      <w:pPr>
        <w:ind w:left="281" w:firstLine="286"/>
        <w:jc w:val="both"/>
        <w:rPr>
          <w:spacing w:val="6"/>
          <w:rtl/>
        </w:rPr>
      </w:pPr>
      <w:r>
        <w:rPr>
          <w:rFonts w:hint="cs"/>
          <w:b/>
          <w:bCs/>
          <w:spacing w:val="6"/>
          <w:rtl/>
        </w:rPr>
        <w:t>ب</w:t>
      </w:r>
      <w:r>
        <w:rPr>
          <w:rFonts w:hint="cs"/>
          <w:spacing w:val="6"/>
          <w:rtl/>
        </w:rPr>
        <w:t xml:space="preserve"> </w:t>
      </w:r>
      <w:r>
        <w:rPr>
          <w:rFonts w:hint="cs"/>
          <w:b/>
          <w:bCs/>
          <w:spacing w:val="6"/>
          <w:rtl/>
        </w:rPr>
        <w:t>-</w:t>
      </w:r>
      <w:r>
        <w:rPr>
          <w:rFonts w:hint="cs"/>
          <w:spacing w:val="6"/>
          <w:rtl/>
        </w:rPr>
        <w:t xml:space="preserve"> كما صرّح في المقدمة بأنه سيكتب على هذا الكتاب المختصر حاشية، فقال: </w:t>
      </w:r>
      <w:r>
        <w:rPr>
          <w:rFonts w:hint="eastAsia"/>
          <w:spacing w:val="6"/>
          <w:rtl/>
        </w:rPr>
        <w:t>«</w:t>
      </w:r>
      <w:r>
        <w:rPr>
          <w:rFonts w:hint="cs"/>
          <w:spacing w:val="6"/>
          <w:rtl/>
        </w:rPr>
        <w:t>وإن كان قصدي واختياري أن أزيد إلى آخر عمري ما وجدت من القواعد والأصول، من كتب العلماء الفحول، وأكتب في حاشيته هذا المختصر بوجه يمكن عند الاستنساخ أن يُكتب في متن المسطّر</w:t>
      </w:r>
      <w:r>
        <w:rPr>
          <w:rFonts w:hint="eastAsia"/>
          <w:spacing w:val="6"/>
          <w:rtl/>
        </w:rPr>
        <w:t>»</w:t>
      </w:r>
      <w:r>
        <w:rPr>
          <w:rFonts w:hint="cs"/>
          <w:spacing w:val="6"/>
          <w:vertAlign w:val="superscript"/>
          <w:rtl/>
        </w:rPr>
        <w:t>(</w:t>
      </w:r>
      <w:r>
        <w:rPr>
          <w:rStyle w:val="a7"/>
          <w:spacing w:val="6"/>
        </w:rPr>
        <w:footnoteReference w:id="381"/>
      </w:r>
      <w:r>
        <w:rPr>
          <w:rFonts w:hint="cs"/>
          <w:spacing w:val="6"/>
          <w:vertAlign w:val="superscript"/>
          <w:rtl/>
        </w:rPr>
        <w:t>)</w:t>
      </w:r>
      <w:r>
        <w:rPr>
          <w:rFonts w:hint="cs"/>
          <w:spacing w:val="6"/>
          <w:rtl/>
        </w:rPr>
        <w:t>.</w:t>
      </w:r>
    </w:p>
    <w:p w:rsidR="00BF08C1" w:rsidRDefault="00BF08C1" w:rsidP="009A68A5">
      <w:pPr>
        <w:ind w:left="281"/>
        <w:jc w:val="both"/>
        <w:rPr>
          <w:rtl/>
        </w:rPr>
      </w:pPr>
      <w:r>
        <w:rPr>
          <w:rFonts w:hint="cs"/>
          <w:rtl/>
        </w:rPr>
        <w:t>وأكّد هذا في الخاتمة بقوله</w:t>
      </w:r>
      <w:r w:rsidR="0048366D">
        <w:rPr>
          <w:rFonts w:hint="cs"/>
          <w:rtl/>
        </w:rPr>
        <w:t>:</w:t>
      </w:r>
      <w:r>
        <w:rPr>
          <w:rFonts w:hint="cs"/>
          <w:rtl/>
        </w:rPr>
        <w:t xml:space="preserve"> </w:t>
      </w:r>
      <w:r>
        <w:rPr>
          <w:rFonts w:hint="eastAsia"/>
          <w:rtl/>
        </w:rPr>
        <w:t>«</w:t>
      </w:r>
      <w:r>
        <w:rPr>
          <w:rFonts w:hint="cs"/>
          <w:rtl/>
        </w:rPr>
        <w:t>إلى هنا تمّ مقالي في (ترتيب اللآلي)، والتّمام بحقيقته عند إنجاز ما وعدتُ في ديباجته</w:t>
      </w:r>
      <w:r>
        <w:rPr>
          <w:rFonts w:hint="eastAsia"/>
          <w:rtl/>
        </w:rPr>
        <w:t>»</w:t>
      </w:r>
      <w:r>
        <w:rPr>
          <w:rFonts w:hint="cs"/>
          <w:vertAlign w:val="superscript"/>
          <w:rtl/>
        </w:rPr>
        <w:t>(</w:t>
      </w:r>
      <w:r>
        <w:rPr>
          <w:rStyle w:val="a7"/>
        </w:rPr>
        <w:footnoteReference w:id="382"/>
      </w:r>
      <w:r>
        <w:rPr>
          <w:rFonts w:hint="cs"/>
          <w:vertAlign w:val="superscript"/>
          <w:rtl/>
        </w:rPr>
        <w:t>)</w:t>
      </w:r>
      <w:r>
        <w:rPr>
          <w:rFonts w:hint="cs"/>
          <w:rtl/>
        </w:rPr>
        <w:t>.</w:t>
      </w:r>
    </w:p>
    <w:p w:rsidR="00BF08C1" w:rsidRDefault="00BF08C1" w:rsidP="009A68A5">
      <w:pPr>
        <w:ind w:left="281" w:firstLine="286"/>
        <w:jc w:val="both"/>
        <w:rPr>
          <w:rtl/>
        </w:rPr>
      </w:pPr>
      <w:r>
        <w:rPr>
          <w:rFonts w:hint="cs"/>
          <w:b/>
          <w:bCs/>
          <w:rtl/>
        </w:rPr>
        <w:t>جـ</w:t>
      </w:r>
      <w:r>
        <w:rPr>
          <w:rFonts w:hint="cs"/>
          <w:rtl/>
        </w:rPr>
        <w:t xml:space="preserve"> </w:t>
      </w:r>
      <w:r>
        <w:rPr>
          <w:rFonts w:hint="cs"/>
          <w:b/>
          <w:bCs/>
          <w:rtl/>
        </w:rPr>
        <w:t>-</w:t>
      </w:r>
      <w:r>
        <w:rPr>
          <w:rFonts w:hint="cs"/>
          <w:rtl/>
        </w:rPr>
        <w:t xml:space="preserve"> أنه كان معاصرًا للمفتي أبي سعيد بن أسعد أفندي (ت1072هـ)، وقد صرح في المقدمة بأنه يرغب عرض الكتاب عليه</w:t>
      </w:r>
      <w:r>
        <w:rPr>
          <w:rFonts w:hint="cs"/>
          <w:vertAlign w:val="superscript"/>
          <w:rtl/>
        </w:rPr>
        <w:t>(</w:t>
      </w:r>
      <w:r>
        <w:rPr>
          <w:rStyle w:val="a7"/>
        </w:rPr>
        <w:footnoteReference w:id="383"/>
      </w:r>
      <w:r>
        <w:rPr>
          <w:rFonts w:hint="cs"/>
          <w:vertAlign w:val="superscript"/>
          <w:rtl/>
        </w:rPr>
        <w:t>)</w:t>
      </w:r>
      <w:r>
        <w:rPr>
          <w:rFonts w:hint="cs"/>
          <w:rtl/>
        </w:rPr>
        <w:t>.</w:t>
      </w:r>
    </w:p>
    <w:p w:rsidR="00BF08C1" w:rsidRDefault="00BF08C1" w:rsidP="009A68A5">
      <w:pPr>
        <w:ind w:left="1274" w:hanging="707"/>
        <w:jc w:val="both"/>
        <w:rPr>
          <w:rtl/>
        </w:rPr>
      </w:pPr>
      <w:r>
        <w:rPr>
          <w:rFonts w:hint="cs"/>
          <w:b/>
          <w:bCs/>
          <w:rtl/>
        </w:rPr>
        <w:t>د</w:t>
      </w:r>
      <w:r>
        <w:rPr>
          <w:rFonts w:hint="cs"/>
          <w:rtl/>
        </w:rPr>
        <w:t xml:space="preserve"> </w:t>
      </w:r>
      <w:r>
        <w:rPr>
          <w:rFonts w:hint="cs"/>
          <w:b/>
          <w:bCs/>
          <w:rtl/>
        </w:rPr>
        <w:t>-</w:t>
      </w:r>
      <w:r>
        <w:rPr>
          <w:rFonts w:hint="cs"/>
          <w:rtl/>
        </w:rPr>
        <w:t xml:space="preserve">    أن نسخة (تيره) تمّ الفراغ منها عام 1069هـ.</w:t>
      </w:r>
    </w:p>
    <w:p w:rsidR="00BF08C1" w:rsidRDefault="00BF08C1" w:rsidP="009A68A5">
      <w:pPr>
        <w:ind w:left="281" w:firstLine="286"/>
        <w:jc w:val="both"/>
        <w:rPr>
          <w:rtl/>
        </w:rPr>
      </w:pPr>
      <w:r>
        <w:rPr>
          <w:rFonts w:hint="cs"/>
          <w:b/>
          <w:bCs/>
          <w:rtl/>
        </w:rPr>
        <w:t>هـ</w:t>
      </w:r>
      <w:r>
        <w:rPr>
          <w:rFonts w:hint="cs"/>
          <w:rtl/>
        </w:rPr>
        <w:t xml:space="preserve"> </w:t>
      </w:r>
      <w:r>
        <w:rPr>
          <w:rFonts w:hint="cs"/>
          <w:b/>
          <w:bCs/>
          <w:rtl/>
        </w:rPr>
        <w:t>-</w:t>
      </w:r>
      <w:r>
        <w:rPr>
          <w:rFonts w:hint="cs"/>
          <w:rtl/>
        </w:rPr>
        <w:t xml:space="preserve">  أن نسخة مكتبة الملك عبد العزيز (أ) تم الفراغ منها في 21 من شهر محرم سنة 1065هـ.</w:t>
      </w:r>
    </w:p>
    <w:p w:rsidR="00BF08C1" w:rsidRDefault="00BF08C1" w:rsidP="009A68A5">
      <w:pPr>
        <w:jc w:val="both"/>
        <w:rPr>
          <w:rtl/>
        </w:rPr>
      </w:pPr>
      <w:r>
        <w:rPr>
          <w:rFonts w:hint="cs"/>
          <w:rtl/>
        </w:rPr>
        <w:lastRenderedPageBreak/>
        <w:t>وبناء على هذه المعطيات يمكن أن يقال</w:t>
      </w:r>
      <w:r w:rsidR="0048366D">
        <w:rPr>
          <w:rFonts w:hint="cs"/>
          <w:rtl/>
        </w:rPr>
        <w:t>:</w:t>
      </w:r>
    </w:p>
    <w:p w:rsidR="00BF08C1" w:rsidRDefault="00BF08C1" w:rsidP="009A68A5">
      <w:pPr>
        <w:ind w:left="848" w:hanging="283"/>
        <w:jc w:val="both"/>
        <w:rPr>
          <w:rtl/>
        </w:rPr>
      </w:pPr>
      <w:r w:rsidRPr="00CB598F">
        <w:rPr>
          <w:sz w:val="22"/>
          <w:szCs w:val="38"/>
          <w:rtl/>
        </w:rPr>
        <w:t>•</w:t>
      </w:r>
      <w:r>
        <w:rPr>
          <w:rFonts w:hint="cs"/>
          <w:sz w:val="22"/>
          <w:szCs w:val="38"/>
          <w:rtl/>
        </w:rPr>
        <w:t xml:space="preserve"> </w:t>
      </w:r>
      <w:r>
        <w:rPr>
          <w:rFonts w:hint="cs"/>
          <w:rtl/>
        </w:rPr>
        <w:t>لو سُلّم بأنّ البَشِكْطاشي (ت1136هـ) هو المؤلف</w:t>
      </w:r>
      <w:r w:rsidR="0048366D">
        <w:rPr>
          <w:rFonts w:hint="cs"/>
          <w:rtl/>
        </w:rPr>
        <w:t>:</w:t>
      </w:r>
      <w:r>
        <w:rPr>
          <w:rFonts w:hint="cs"/>
          <w:rtl/>
        </w:rPr>
        <w:t xml:space="preserve"> لترتّب على هذا أنه عاش بعد المفتي أبي سعيد بن أسعد (ت1072هـ) أربعة وستين عامًا، ويندر أن يعيش إنسان أربعًا وستين سنة بعد أن أُذن له بالإفتاء، وأمر بالتأليف، وتمكّن من كتابة هذا الكتاب!.</w:t>
      </w:r>
    </w:p>
    <w:p w:rsidR="00BF08C1" w:rsidRDefault="00BF08C1" w:rsidP="009A68A5">
      <w:pPr>
        <w:ind w:left="706" w:hanging="141"/>
        <w:jc w:val="both"/>
        <w:rPr>
          <w:rtl/>
        </w:rPr>
      </w:pPr>
      <w:r w:rsidRPr="00CB598F">
        <w:rPr>
          <w:sz w:val="22"/>
          <w:szCs w:val="38"/>
          <w:rtl/>
        </w:rPr>
        <w:t>•</w:t>
      </w:r>
      <w:r>
        <w:rPr>
          <w:rFonts w:hint="cs"/>
          <w:sz w:val="22"/>
          <w:szCs w:val="38"/>
          <w:rtl/>
        </w:rPr>
        <w:t xml:space="preserve"> </w:t>
      </w:r>
      <w:r>
        <w:rPr>
          <w:rFonts w:hint="cs"/>
          <w:rtl/>
        </w:rPr>
        <w:t>وممّا يزيد هذا الاحتمال ضعفًا وندرة</w:t>
      </w:r>
      <w:r w:rsidR="0048366D">
        <w:rPr>
          <w:rFonts w:hint="cs"/>
          <w:rtl/>
        </w:rPr>
        <w:t>:</w:t>
      </w:r>
      <w:r>
        <w:rPr>
          <w:rFonts w:hint="cs"/>
          <w:rtl/>
        </w:rPr>
        <w:t xml:space="preserve"> أن نسخة (تيره) كُتبت عام 1069هـ؛ بل إن نسخة جامعة الملك عبد العزيز (أ) كتبت في بداية عام 1065هـ، أي بينها وبين وفاة البَشِكْطاشي إحدى وسبعون سنة!.</w:t>
      </w:r>
    </w:p>
    <w:p w:rsidR="00BF08C1" w:rsidRDefault="00BF08C1" w:rsidP="009A68A5">
      <w:pPr>
        <w:ind w:left="706" w:hanging="141"/>
        <w:jc w:val="both"/>
        <w:rPr>
          <w:rtl/>
        </w:rPr>
      </w:pPr>
      <w:r w:rsidRPr="00CB598F">
        <w:rPr>
          <w:sz w:val="22"/>
          <w:szCs w:val="38"/>
          <w:rtl/>
        </w:rPr>
        <w:t>•</w:t>
      </w:r>
      <w:r>
        <w:rPr>
          <w:rFonts w:hint="cs"/>
          <w:sz w:val="22"/>
          <w:szCs w:val="38"/>
          <w:rtl/>
        </w:rPr>
        <w:t xml:space="preserve"> </w:t>
      </w:r>
      <w:r>
        <w:rPr>
          <w:rFonts w:hint="cs"/>
          <w:rtl/>
        </w:rPr>
        <w:t xml:space="preserve">ولو افتُرض -جدلاً- أنه أُذن له بالإفتاء، وأمر بالتأليف وهو صغير، وتمكّن من تأليف هذا الكتاب، ثم أمّد الله في عمره بعد ذلك إحدى وسبعين سنة </w:t>
      </w:r>
      <w:r>
        <w:rPr>
          <w:rtl/>
        </w:rPr>
        <w:t>–</w:t>
      </w:r>
      <w:r>
        <w:rPr>
          <w:rFonts w:hint="cs"/>
          <w:rtl/>
        </w:rPr>
        <w:t xml:space="preserve"> على أقل تقدير!- فمن المتصوّر بداهة أن يؤلف بعد ذلك مؤلفات أُخر، فلماذا لم تُنقل إلينا هذه المؤلفات؟!.</w:t>
      </w:r>
    </w:p>
    <w:p w:rsidR="00BF08C1" w:rsidRDefault="00BF08C1" w:rsidP="009A68A5">
      <w:pPr>
        <w:ind w:left="849" w:firstLine="0"/>
        <w:jc w:val="both"/>
        <w:rPr>
          <w:rtl/>
        </w:rPr>
      </w:pPr>
      <w:r>
        <w:rPr>
          <w:rFonts w:hint="cs"/>
          <w:rtl/>
        </w:rPr>
        <w:t>وقبل ذلك</w:t>
      </w:r>
      <w:r w:rsidR="0048366D">
        <w:rPr>
          <w:rFonts w:hint="cs"/>
          <w:rtl/>
        </w:rPr>
        <w:t>:</w:t>
      </w:r>
      <w:r>
        <w:rPr>
          <w:rFonts w:hint="cs"/>
          <w:rtl/>
        </w:rPr>
        <w:t xml:space="preserve"> لماذا لم يتمكن من إنجاز ما وعد به في المقدّمة، وهو وضع حاشية لهذا الكتاب يمكن عند إعادة نسخ الكتاب أن تكتب في الصلب؟!.</w:t>
      </w:r>
    </w:p>
    <w:p w:rsidR="00BF08C1" w:rsidRDefault="00BF08C1" w:rsidP="009A68A5">
      <w:pPr>
        <w:ind w:left="848" w:hanging="296"/>
        <w:jc w:val="both"/>
        <w:rPr>
          <w:rtl/>
        </w:rPr>
      </w:pPr>
      <w:r w:rsidRPr="00CB598F">
        <w:rPr>
          <w:sz w:val="22"/>
          <w:szCs w:val="38"/>
          <w:rtl/>
        </w:rPr>
        <w:t>•</w:t>
      </w:r>
      <w:r>
        <w:rPr>
          <w:rFonts w:hint="cs"/>
          <w:sz w:val="22"/>
          <w:szCs w:val="38"/>
          <w:rtl/>
        </w:rPr>
        <w:t xml:space="preserve"> </w:t>
      </w:r>
      <w:r>
        <w:rPr>
          <w:rFonts w:hint="cs"/>
          <w:rtl/>
        </w:rPr>
        <w:t>وعودًا على بدء</w:t>
      </w:r>
      <w:r w:rsidR="0048366D">
        <w:rPr>
          <w:rFonts w:hint="cs"/>
          <w:rtl/>
        </w:rPr>
        <w:t>:</w:t>
      </w:r>
      <w:r>
        <w:rPr>
          <w:rFonts w:hint="cs"/>
          <w:rtl/>
        </w:rPr>
        <w:t xml:space="preserve"> فإن هناك تسع نسخ أُخر، وفهارسها، جميعها نَسَبَتِ الكتابَ إلى ناظرزاده. وليس هناك أدنى شك في أنّ صـدق تسـعة احتمالات من عـشـرة (9/10) أقوى من صدق احتمال واحد من عشرة (1/10)</w:t>
      </w:r>
      <w:r w:rsidR="0048366D">
        <w:rPr>
          <w:rFonts w:hint="cs"/>
          <w:rtl/>
        </w:rPr>
        <w:t>.</w:t>
      </w:r>
      <w:r>
        <w:rPr>
          <w:rFonts w:hint="cs"/>
          <w:rtl/>
        </w:rPr>
        <w:t>..</w:t>
      </w:r>
    </w:p>
    <w:p w:rsidR="00BF08C1" w:rsidRPr="00761744" w:rsidRDefault="00BF08C1" w:rsidP="009A68A5">
      <w:pPr>
        <w:ind w:left="567" w:firstLine="0"/>
        <w:jc w:val="both"/>
        <w:rPr>
          <w:spacing w:val="-8"/>
          <w:rtl/>
        </w:rPr>
      </w:pPr>
      <w:r w:rsidRPr="00761744">
        <w:rPr>
          <w:rFonts w:hint="cs"/>
          <w:b/>
          <w:bCs/>
          <w:spacing w:val="-8"/>
          <w:rtl/>
        </w:rPr>
        <w:t>*</w:t>
      </w:r>
      <w:r w:rsidRPr="00761744">
        <w:rPr>
          <w:rFonts w:hint="cs"/>
          <w:spacing w:val="-8"/>
          <w:rtl/>
        </w:rPr>
        <w:t xml:space="preserve"> </w:t>
      </w:r>
      <w:r w:rsidRPr="00761744">
        <w:rPr>
          <w:rFonts w:hint="cs"/>
          <w:b/>
          <w:bCs/>
          <w:spacing w:val="-8"/>
          <w:rtl/>
        </w:rPr>
        <w:t>وممّا يدل على أن نسبة الكتاب إلى البَشِكْطاشي لم يُتحقّق منها مطلقًا</w:t>
      </w:r>
      <w:r w:rsidR="0048366D" w:rsidRPr="00761744">
        <w:rPr>
          <w:rFonts w:hint="cs"/>
          <w:b/>
          <w:bCs/>
          <w:spacing w:val="-8"/>
          <w:rtl/>
        </w:rPr>
        <w:t>:</w:t>
      </w:r>
      <w:r w:rsidRPr="00761744">
        <w:rPr>
          <w:rFonts w:hint="cs"/>
          <w:b/>
          <w:bCs/>
          <w:spacing w:val="-8"/>
          <w:rtl/>
        </w:rPr>
        <w:t xml:space="preserve"> أنه نُسب في مرجعين آخرين إلى</w:t>
      </w:r>
      <w:r w:rsidR="0048366D" w:rsidRPr="00761744">
        <w:rPr>
          <w:rFonts w:hint="cs"/>
          <w:b/>
          <w:bCs/>
          <w:spacing w:val="-8"/>
          <w:rtl/>
        </w:rPr>
        <w:t>:</w:t>
      </w:r>
      <w:r w:rsidRPr="00761744">
        <w:rPr>
          <w:rFonts w:hint="cs"/>
          <w:b/>
          <w:bCs/>
          <w:spacing w:val="-8"/>
          <w:rtl/>
        </w:rPr>
        <w:t xml:space="preserve"> (عبد الرحمن بن أحمد البَشِكْطاشي)</w:t>
      </w:r>
      <w:r w:rsidR="00761744" w:rsidRPr="00761744">
        <w:rPr>
          <w:rFonts w:hint="cs"/>
          <w:b/>
          <w:bCs/>
          <w:spacing w:val="-8"/>
          <w:rtl/>
        </w:rPr>
        <w:t xml:space="preserve"> </w:t>
      </w:r>
      <w:r w:rsidRPr="00761744">
        <w:rPr>
          <w:rFonts w:hint="cs"/>
          <w:b/>
          <w:bCs/>
          <w:spacing w:val="-8"/>
          <w:rtl/>
        </w:rPr>
        <w:t>(ت1170هـ)!!.</w:t>
      </w:r>
    </w:p>
    <w:p w:rsidR="00BF08C1" w:rsidRDefault="00BF08C1" w:rsidP="009A68A5">
      <w:pPr>
        <w:ind w:left="567" w:right="567" w:firstLine="0"/>
        <w:jc w:val="both"/>
        <w:rPr>
          <w:spacing w:val="-2"/>
        </w:rPr>
      </w:pPr>
      <w:r>
        <w:rPr>
          <w:rFonts w:hint="cs"/>
          <w:b/>
          <w:bCs/>
          <w:rtl/>
        </w:rPr>
        <w:t>وهذان المرجعان هما</w:t>
      </w:r>
      <w:r w:rsidR="0048366D">
        <w:rPr>
          <w:rFonts w:hint="cs"/>
          <w:rtl/>
        </w:rPr>
        <w:t>:</w:t>
      </w:r>
    </w:p>
    <w:p w:rsidR="00BF08C1" w:rsidRDefault="00BF08C1" w:rsidP="009A68A5">
      <w:pPr>
        <w:ind w:left="849" w:hanging="282"/>
        <w:jc w:val="both"/>
        <w:rPr>
          <w:rtl/>
        </w:rPr>
      </w:pPr>
      <w:r>
        <w:rPr>
          <w:rFonts w:hint="cs"/>
          <w:rtl/>
        </w:rPr>
        <w:t xml:space="preserve">- المؤلفون العثمانيون، 1/368 (وقد كتب باللغة العثمانية ولفظ العنوان: </w:t>
      </w:r>
      <w:r>
        <w:rPr>
          <w:rFonts w:hint="cs"/>
          <w:rtl/>
        </w:rPr>
        <w:lastRenderedPageBreak/>
        <w:t>(عثمانلي مؤلفلري)).</w:t>
      </w:r>
    </w:p>
    <w:p w:rsidR="00BF08C1" w:rsidRDefault="00BF08C1" w:rsidP="007C7F13">
      <w:pPr>
        <w:widowControl/>
        <w:numPr>
          <w:ilvl w:val="0"/>
          <w:numId w:val="8"/>
        </w:numPr>
        <w:tabs>
          <w:tab w:val="clear" w:pos="927"/>
        </w:tabs>
        <w:ind w:left="848" w:hanging="358"/>
        <w:jc w:val="both"/>
        <w:rPr>
          <w:rtl/>
        </w:rPr>
      </w:pPr>
      <w:r>
        <w:rPr>
          <w:rFonts w:hint="cs"/>
          <w:rtl/>
        </w:rPr>
        <w:t xml:space="preserve">مفتاح الكتب وفهرس أسماء المؤلفين، ص30 (وقد كتب باللغة العثمانية أيضًا). </w:t>
      </w:r>
    </w:p>
    <w:p w:rsidR="00BF08C1" w:rsidRDefault="00BF08C1" w:rsidP="009A68A5">
      <w:pPr>
        <w:jc w:val="both"/>
        <w:rPr>
          <w:rtl/>
        </w:rPr>
      </w:pPr>
      <w:r>
        <w:rPr>
          <w:rFonts w:hint="cs"/>
          <w:rtl/>
        </w:rPr>
        <w:t>ومضمون الكتابين واحد، وترجمة ما جاء في الكتاب الأول هي</w:t>
      </w:r>
      <w:r w:rsidR="0048366D">
        <w:rPr>
          <w:rFonts w:hint="cs"/>
          <w:rtl/>
        </w:rPr>
        <w:t>:</w:t>
      </w:r>
      <w:r>
        <w:rPr>
          <w:rFonts w:hint="cs"/>
          <w:rtl/>
        </w:rPr>
        <w:t xml:space="preserve"> </w:t>
      </w:r>
      <w:r>
        <w:rPr>
          <w:rFonts w:hint="eastAsia"/>
          <w:rtl/>
        </w:rPr>
        <w:t>«</w:t>
      </w:r>
      <w:r>
        <w:rPr>
          <w:rFonts w:hint="cs"/>
          <w:rtl/>
        </w:rPr>
        <w:t>عبد الرحمن بن أحمد أفندي. كان عالمًا فاضلاً تقيًّا صالحًا، ولد في محلّة بشكطاش، رحل إلى مكة وجاور بها إلى أن توفي عام 1170هـ.</w:t>
      </w:r>
    </w:p>
    <w:p w:rsidR="00BF08C1" w:rsidRDefault="00BF08C1" w:rsidP="009A68A5">
      <w:pPr>
        <w:ind w:left="567" w:right="567" w:firstLine="0"/>
        <w:jc w:val="both"/>
        <w:rPr>
          <w:rtl/>
        </w:rPr>
      </w:pPr>
      <w:r>
        <w:rPr>
          <w:rFonts w:hint="cs"/>
          <w:rtl/>
        </w:rPr>
        <w:t>آثاره</w:t>
      </w:r>
      <w:r w:rsidR="0048366D">
        <w:rPr>
          <w:rFonts w:hint="cs"/>
          <w:rtl/>
        </w:rPr>
        <w:t>:</w:t>
      </w:r>
      <w:r>
        <w:rPr>
          <w:rFonts w:hint="cs"/>
          <w:rtl/>
        </w:rPr>
        <w:t xml:space="preserve"> </w:t>
      </w:r>
      <w:r>
        <w:rPr>
          <w:rFonts w:hint="cs"/>
          <w:rtl/>
        </w:rPr>
        <w:tab/>
        <w:t>الرسالة الهادية إلى جادة الفرقة الناجية.</w:t>
      </w:r>
    </w:p>
    <w:p w:rsidR="00BF08C1" w:rsidRDefault="00BF08C1" w:rsidP="009A68A5">
      <w:pPr>
        <w:ind w:left="1287" w:right="1287" w:firstLine="153"/>
        <w:jc w:val="both"/>
        <w:rPr>
          <w:rtl/>
        </w:rPr>
      </w:pPr>
      <w:r>
        <w:rPr>
          <w:rFonts w:hint="cs"/>
          <w:rtl/>
        </w:rPr>
        <w:t>ترتيب اللآلي في سلك الأمالي.</w:t>
      </w:r>
    </w:p>
    <w:p w:rsidR="00BF08C1" w:rsidRDefault="00BF08C1" w:rsidP="009A68A5">
      <w:pPr>
        <w:ind w:left="1134" w:right="1134" w:firstLine="306"/>
        <w:jc w:val="both"/>
        <w:rPr>
          <w:rtl/>
        </w:rPr>
      </w:pPr>
      <w:r>
        <w:rPr>
          <w:rFonts w:hint="cs"/>
          <w:rtl/>
        </w:rPr>
        <w:t>قصيدة حديقة الأسرار</w:t>
      </w:r>
      <w:r>
        <w:rPr>
          <w:rFonts w:hint="eastAsia"/>
          <w:rtl/>
        </w:rPr>
        <w:t>»</w:t>
      </w:r>
      <w:r>
        <w:rPr>
          <w:rFonts w:hint="cs"/>
          <w:vertAlign w:val="superscript"/>
          <w:rtl/>
        </w:rPr>
        <w:t>(</w:t>
      </w:r>
      <w:r>
        <w:rPr>
          <w:rStyle w:val="a7"/>
        </w:rPr>
        <w:footnoteReference w:id="384"/>
      </w:r>
      <w:r>
        <w:rPr>
          <w:rFonts w:hint="cs"/>
          <w:vertAlign w:val="superscript"/>
          <w:rtl/>
        </w:rPr>
        <w:t>)</w:t>
      </w:r>
      <w:r>
        <w:rPr>
          <w:rFonts w:hint="cs"/>
          <w:rtl/>
        </w:rPr>
        <w:t>.</w:t>
      </w:r>
    </w:p>
    <w:p w:rsidR="00BF08C1" w:rsidRDefault="00BF08C1" w:rsidP="009A68A5">
      <w:pPr>
        <w:ind w:left="567" w:right="567" w:firstLine="0"/>
        <w:jc w:val="both"/>
        <w:rPr>
          <w:rtl/>
        </w:rPr>
      </w:pPr>
      <w:r>
        <w:rPr>
          <w:rFonts w:hint="cs"/>
          <w:rtl/>
        </w:rPr>
        <w:t>وهذه الترجمة هي مضمون ما جاء في الكتاب الثاني أيضًا</w:t>
      </w:r>
      <w:r>
        <w:rPr>
          <w:rFonts w:hint="cs"/>
          <w:vertAlign w:val="superscript"/>
          <w:rtl/>
        </w:rPr>
        <w:t>(</w:t>
      </w:r>
      <w:r>
        <w:rPr>
          <w:rStyle w:val="a7"/>
        </w:rPr>
        <w:footnoteReference w:id="385"/>
      </w:r>
      <w:r>
        <w:rPr>
          <w:rFonts w:hint="cs"/>
          <w:vertAlign w:val="superscript"/>
          <w:rtl/>
        </w:rPr>
        <w:t>)</w:t>
      </w:r>
      <w:r>
        <w:rPr>
          <w:rFonts w:hint="cs"/>
          <w:rtl/>
        </w:rPr>
        <w:t>.</w:t>
      </w:r>
    </w:p>
    <w:p w:rsidR="00BF08C1" w:rsidRDefault="00BF08C1" w:rsidP="009A68A5">
      <w:pPr>
        <w:jc w:val="both"/>
        <w:rPr>
          <w:rtl/>
        </w:rPr>
      </w:pPr>
      <w:r>
        <w:rPr>
          <w:rFonts w:hint="cs"/>
          <w:rtl/>
        </w:rPr>
        <w:t>وبالنظر في تاريخ وفاته يتبين أنه كان حيًّا بعد الانتهاء من نسخة مكتبة جامعة الملك عبد العزيز بمائة وخمس سنوات (105)!!.</w:t>
      </w:r>
    </w:p>
    <w:p w:rsidR="00BF08C1" w:rsidRPr="009A68A5" w:rsidRDefault="00BF08C1" w:rsidP="009A68A5">
      <w:pPr>
        <w:jc w:val="both"/>
        <w:rPr>
          <w:spacing w:val="-4"/>
          <w:rtl/>
        </w:rPr>
      </w:pPr>
      <w:r w:rsidRPr="009A68A5">
        <w:rPr>
          <w:rFonts w:hint="cs"/>
          <w:spacing w:val="-4"/>
          <w:rtl/>
        </w:rPr>
        <w:t xml:space="preserve">ومضمون هذه الترجمة مذكور </w:t>
      </w:r>
      <w:r w:rsidRPr="009A68A5">
        <w:rPr>
          <w:spacing w:val="-4"/>
          <w:rtl/>
        </w:rPr>
        <w:t>–</w:t>
      </w:r>
      <w:r w:rsidRPr="009A68A5">
        <w:rPr>
          <w:rFonts w:hint="cs"/>
          <w:spacing w:val="-4"/>
          <w:rtl/>
        </w:rPr>
        <w:t xml:space="preserve"> في جملته </w:t>
      </w:r>
      <w:r w:rsidRPr="009A68A5">
        <w:rPr>
          <w:spacing w:val="-4"/>
          <w:rtl/>
        </w:rPr>
        <w:t>–</w:t>
      </w:r>
      <w:r w:rsidRPr="009A68A5">
        <w:rPr>
          <w:rFonts w:hint="cs"/>
          <w:spacing w:val="-4"/>
          <w:rtl/>
        </w:rPr>
        <w:t xml:space="preserve"> في (هدية العارفين)</w:t>
      </w:r>
      <w:r w:rsidRPr="009A68A5">
        <w:rPr>
          <w:rFonts w:hint="cs"/>
          <w:spacing w:val="-4"/>
          <w:vertAlign w:val="superscript"/>
          <w:rtl/>
        </w:rPr>
        <w:t>(</w:t>
      </w:r>
      <w:r w:rsidRPr="009A68A5">
        <w:rPr>
          <w:rStyle w:val="a7"/>
          <w:spacing w:val="-4"/>
        </w:rPr>
        <w:footnoteReference w:id="386"/>
      </w:r>
      <w:r w:rsidRPr="009A68A5">
        <w:rPr>
          <w:rFonts w:hint="cs"/>
          <w:spacing w:val="-4"/>
          <w:vertAlign w:val="superscript"/>
          <w:rtl/>
        </w:rPr>
        <w:t>)</w:t>
      </w:r>
      <w:r w:rsidRPr="009A68A5">
        <w:rPr>
          <w:rFonts w:hint="cs"/>
          <w:spacing w:val="-4"/>
          <w:rtl/>
        </w:rPr>
        <w:t xml:space="preserve"> و(معجم المؤلفين)</w:t>
      </w:r>
      <w:r w:rsidRPr="009A68A5">
        <w:rPr>
          <w:rFonts w:hint="cs"/>
          <w:spacing w:val="-4"/>
          <w:vertAlign w:val="superscript"/>
          <w:rtl/>
        </w:rPr>
        <w:t>(</w:t>
      </w:r>
      <w:r w:rsidRPr="009A68A5">
        <w:rPr>
          <w:rStyle w:val="a7"/>
          <w:spacing w:val="-4"/>
        </w:rPr>
        <w:footnoteReference w:id="387"/>
      </w:r>
      <w:r w:rsidRPr="009A68A5">
        <w:rPr>
          <w:rFonts w:hint="cs"/>
          <w:spacing w:val="-4"/>
          <w:vertAlign w:val="superscript"/>
          <w:rtl/>
        </w:rPr>
        <w:t>)</w:t>
      </w:r>
      <w:r w:rsidRPr="009A68A5">
        <w:rPr>
          <w:rFonts w:hint="cs"/>
          <w:spacing w:val="-4"/>
          <w:rtl/>
        </w:rPr>
        <w:t>، إلا أنهما سبق أن نسبا كتاب (ترتيب اللآلي) إلى أحمد البَشِكْطاشي؛ لهذا جرّدا ترجمة عبد الرحمن البَشِكْطاشي من نسبة كتاب (ترتيب اللآلي) إليه، وذكرا الكتابين الآخرين.</w:t>
      </w:r>
    </w:p>
    <w:p w:rsidR="009A68A5" w:rsidRDefault="00BF08C1" w:rsidP="009A68A5">
      <w:pPr>
        <w:jc w:val="both"/>
        <w:rPr>
          <w:rtl/>
        </w:rPr>
      </w:pPr>
      <w:r>
        <w:rPr>
          <w:rFonts w:hint="cs"/>
          <w:rtl/>
        </w:rPr>
        <w:t>ومن خلال جميع ما سبق تثبت نسبة كتاب (ترتيب اللآلي) إلى محمد بن سليمان الشهير بناظرزاده -والله أعلم-.</w:t>
      </w:r>
      <w:r w:rsidR="009A68A5">
        <w:rPr>
          <w:rtl/>
        </w:rPr>
        <w:br w:type="page"/>
      </w:r>
    </w:p>
    <w:p w:rsidR="00BF08C1" w:rsidRPr="00ED5AF5" w:rsidRDefault="00BF08C1" w:rsidP="009A68A5">
      <w:pPr>
        <w:jc w:val="both"/>
        <w:rPr>
          <w:rFonts w:cs="AL-Mateen"/>
          <w:rtl/>
        </w:rPr>
      </w:pPr>
      <w:r w:rsidRPr="00ED5AF5">
        <w:rPr>
          <w:rFonts w:cs="AL-Mateen" w:hint="cs"/>
          <w:rtl/>
        </w:rPr>
        <w:lastRenderedPageBreak/>
        <w:t>المطلب الـرابع</w:t>
      </w:r>
      <w:r w:rsidR="0048366D">
        <w:rPr>
          <w:rFonts w:cs="AL-Mateen" w:hint="cs"/>
          <w:rtl/>
        </w:rPr>
        <w:t>:</w:t>
      </w:r>
      <w:r w:rsidRPr="00ED5AF5">
        <w:rPr>
          <w:rFonts w:cs="AL-Mateen" w:hint="cs"/>
          <w:rtl/>
        </w:rPr>
        <w:t xml:space="preserve"> ذكـر نسخ الكتاب المعتمدة في التحقيق، وسبب الاقتصار عليها:</w:t>
      </w:r>
    </w:p>
    <w:p w:rsidR="00BF08C1" w:rsidRDefault="00BF08C1" w:rsidP="009A68A5">
      <w:pPr>
        <w:jc w:val="both"/>
        <w:rPr>
          <w:rtl/>
        </w:rPr>
      </w:pPr>
      <w:r>
        <w:rPr>
          <w:rFonts w:hint="cs"/>
          <w:rtl/>
        </w:rPr>
        <w:t>بعد فحص نسخ الكتاب، والمقارنة بينها اعتمدت منها النسخ الأربع الآتية</w:t>
      </w:r>
      <w:r w:rsidR="0048366D">
        <w:rPr>
          <w:rFonts w:hint="cs"/>
          <w:rtl/>
        </w:rPr>
        <w:t>:</w:t>
      </w:r>
    </w:p>
    <w:p w:rsidR="00BF08C1" w:rsidRDefault="00BF08C1" w:rsidP="009A68A5">
      <w:pPr>
        <w:jc w:val="both"/>
        <w:rPr>
          <w:spacing w:val="-2"/>
          <w:rtl/>
        </w:rPr>
      </w:pPr>
      <w:r>
        <w:rPr>
          <w:rFonts w:hint="cs"/>
          <w:b/>
          <w:bCs/>
          <w:spacing w:val="-2"/>
          <w:rtl/>
        </w:rPr>
        <w:t>1</w:t>
      </w:r>
      <w:r>
        <w:rPr>
          <w:rFonts w:hint="cs"/>
          <w:spacing w:val="-2"/>
          <w:rtl/>
        </w:rPr>
        <w:t xml:space="preserve"> </w:t>
      </w:r>
      <w:r>
        <w:rPr>
          <w:rFonts w:hint="cs"/>
          <w:b/>
          <w:bCs/>
          <w:spacing w:val="-2"/>
          <w:rtl/>
        </w:rPr>
        <w:t>-</w:t>
      </w:r>
      <w:r>
        <w:rPr>
          <w:rFonts w:hint="cs"/>
          <w:spacing w:val="-2"/>
          <w:rtl/>
        </w:rPr>
        <w:t xml:space="preserve"> نسخة جامعة الملك عبد العزيز.</w:t>
      </w:r>
    </w:p>
    <w:p w:rsidR="00BF08C1" w:rsidRDefault="00BF08C1" w:rsidP="009A68A5">
      <w:pPr>
        <w:jc w:val="both"/>
        <w:rPr>
          <w:spacing w:val="-2"/>
          <w:rtl/>
        </w:rPr>
      </w:pPr>
      <w:r>
        <w:rPr>
          <w:rFonts w:hint="cs"/>
          <w:spacing w:val="-2"/>
          <w:rtl/>
        </w:rPr>
        <w:t>وقد جعلتها</w:t>
      </w:r>
      <w:r w:rsidR="0048366D">
        <w:rPr>
          <w:rFonts w:hint="cs"/>
          <w:spacing w:val="-2"/>
          <w:rtl/>
        </w:rPr>
        <w:t>:</w:t>
      </w:r>
      <w:r>
        <w:rPr>
          <w:rFonts w:hint="cs"/>
          <w:spacing w:val="-2"/>
          <w:rtl/>
        </w:rPr>
        <w:t xml:space="preserve"> </w:t>
      </w:r>
      <w:r>
        <w:rPr>
          <w:rFonts w:hint="cs"/>
          <w:b/>
          <w:bCs/>
          <w:spacing w:val="-2"/>
          <w:rtl/>
        </w:rPr>
        <w:t>النسخة الأصلية</w:t>
      </w:r>
      <w:r>
        <w:rPr>
          <w:rFonts w:hint="cs"/>
          <w:spacing w:val="-2"/>
          <w:rtl/>
        </w:rPr>
        <w:t>؛ للأسباب الآتية</w:t>
      </w:r>
      <w:r w:rsidR="0048366D">
        <w:rPr>
          <w:rFonts w:hint="cs"/>
          <w:spacing w:val="-2"/>
          <w:rtl/>
        </w:rPr>
        <w:t>:</w:t>
      </w:r>
    </w:p>
    <w:p w:rsidR="00BF08C1" w:rsidRDefault="00BF08C1" w:rsidP="009A68A5">
      <w:pPr>
        <w:ind w:left="849" w:hanging="282"/>
        <w:jc w:val="both"/>
        <w:rPr>
          <w:rtl/>
        </w:rPr>
      </w:pPr>
      <w:r>
        <w:rPr>
          <w:rFonts w:hint="cs"/>
          <w:spacing w:val="-2"/>
          <w:rtl/>
        </w:rPr>
        <w:t>- كونها أقدم النسخ الخطية، ويُرجّح أنّها كُتبت في عصر المؤلف؛ لأنها كتبت في شهر محرم عام 1065هـ، وقد ذكر المؤلف في المقدمة</w:t>
      </w:r>
      <w:r>
        <w:rPr>
          <w:rFonts w:hint="cs"/>
          <w:spacing w:val="-2"/>
          <w:vertAlign w:val="superscript"/>
          <w:rtl/>
        </w:rPr>
        <w:t>(</w:t>
      </w:r>
      <w:r>
        <w:rPr>
          <w:rStyle w:val="a7"/>
          <w:spacing w:val="-2"/>
        </w:rPr>
        <w:footnoteReference w:id="388"/>
      </w:r>
      <w:r>
        <w:rPr>
          <w:rFonts w:hint="cs"/>
          <w:spacing w:val="-2"/>
          <w:vertAlign w:val="superscript"/>
          <w:rtl/>
        </w:rPr>
        <w:t>)</w:t>
      </w:r>
      <w:r>
        <w:rPr>
          <w:rFonts w:hint="cs"/>
          <w:spacing w:val="-2"/>
          <w:rtl/>
        </w:rPr>
        <w:t xml:space="preserve"> أنه أراد عرضه على أبي سعيد ابن أسعد </w:t>
      </w:r>
      <w:r>
        <w:rPr>
          <w:spacing w:val="-2"/>
          <w:rtl/>
        </w:rPr>
        <w:t>–</w:t>
      </w:r>
      <w:r>
        <w:rPr>
          <w:rFonts w:hint="cs"/>
          <w:spacing w:val="-2"/>
          <w:rtl/>
        </w:rPr>
        <w:t xml:space="preserve"> ووصفه بأنه</w:t>
      </w:r>
      <w:r w:rsidR="0048366D">
        <w:rPr>
          <w:rFonts w:hint="cs"/>
          <w:spacing w:val="-2"/>
          <w:rtl/>
        </w:rPr>
        <w:t>:</w:t>
      </w:r>
      <w:r>
        <w:rPr>
          <w:rFonts w:hint="cs"/>
          <w:spacing w:val="-2"/>
          <w:rtl/>
        </w:rPr>
        <w:t xml:space="preserve"> </w:t>
      </w:r>
      <w:r>
        <w:rPr>
          <w:rFonts w:hint="eastAsia"/>
          <w:rtl/>
        </w:rPr>
        <w:t>«</w:t>
      </w:r>
      <w:r>
        <w:rPr>
          <w:rFonts w:hint="cs"/>
          <w:rtl/>
        </w:rPr>
        <w:t>مفتي الأنام في هذه الأيام</w:t>
      </w:r>
      <w:r>
        <w:rPr>
          <w:rFonts w:hint="eastAsia"/>
          <w:rtl/>
        </w:rPr>
        <w:t>»</w:t>
      </w:r>
      <w:r>
        <w:rPr>
          <w:rFonts w:hint="cs"/>
          <w:rtl/>
        </w:rPr>
        <w:t>، وكان قد تولى الإفتاء عام 1061هـ إلى عام 1065هـ</w:t>
      </w:r>
      <w:r>
        <w:rPr>
          <w:rFonts w:hint="cs"/>
          <w:vertAlign w:val="superscript"/>
          <w:rtl/>
        </w:rPr>
        <w:t>(</w:t>
      </w:r>
      <w:r>
        <w:rPr>
          <w:rStyle w:val="a7"/>
        </w:rPr>
        <w:footnoteReference w:id="389"/>
      </w:r>
      <w:r>
        <w:rPr>
          <w:rFonts w:hint="cs"/>
          <w:vertAlign w:val="superscript"/>
          <w:rtl/>
        </w:rPr>
        <w:t>)</w:t>
      </w:r>
      <w:r>
        <w:rPr>
          <w:rFonts w:hint="cs"/>
          <w:rtl/>
        </w:rPr>
        <w:t>.</w:t>
      </w:r>
    </w:p>
    <w:p w:rsidR="00BF08C1" w:rsidRDefault="00BF08C1" w:rsidP="009A68A5">
      <w:pPr>
        <w:ind w:left="849" w:hanging="282"/>
        <w:jc w:val="both"/>
        <w:rPr>
          <w:rtl/>
        </w:rPr>
      </w:pPr>
      <w:r>
        <w:rPr>
          <w:rFonts w:hint="cs"/>
          <w:rtl/>
        </w:rPr>
        <w:t>- ورد في أحد هوامشها تصحيح مستمدٌّ من نسخة المصنف، ممّا يعني أنّ نسخة المؤلف قريبة من متناول المصحح.</w:t>
      </w:r>
    </w:p>
    <w:p w:rsidR="00BF08C1" w:rsidRDefault="00BF08C1" w:rsidP="009A68A5">
      <w:pPr>
        <w:ind w:left="849" w:hanging="282"/>
        <w:jc w:val="both"/>
        <w:rPr>
          <w:spacing w:val="-2"/>
          <w:rtl/>
        </w:rPr>
      </w:pPr>
      <w:r>
        <w:rPr>
          <w:rFonts w:hint="cs"/>
          <w:spacing w:val="-2"/>
          <w:rtl/>
        </w:rPr>
        <w:t xml:space="preserve">- كونها تعدّ أكثر النسخ توثيقًا واهتمامًا؛ إذ تعاقب على تملّكها أربعة أشخاص، إلى أن آلت ملكيتها إلى جامعة الملك عبد العزيز بجدّة، عام 1399هـ. كما أن عليها تعليقات كثيرة بلُغاتٍ وهيئات مختلفة، ممّا يعني أن مصدر التعليق متعدّد، كما انفردت بفهرس مفصّل </w:t>
      </w:r>
      <w:r>
        <w:rPr>
          <w:spacing w:val="-2"/>
          <w:rtl/>
        </w:rPr>
        <w:t>–</w:t>
      </w:r>
      <w:r>
        <w:rPr>
          <w:rFonts w:hint="cs"/>
          <w:spacing w:val="-2"/>
          <w:rtl/>
        </w:rPr>
        <w:t xml:space="preserve"> نسبيًّا-.</w:t>
      </w:r>
    </w:p>
    <w:p w:rsidR="00BF08C1" w:rsidRDefault="00BF08C1" w:rsidP="009A68A5">
      <w:pPr>
        <w:ind w:left="849" w:hanging="282"/>
        <w:jc w:val="both"/>
        <w:rPr>
          <w:spacing w:val="-2"/>
          <w:rtl/>
        </w:rPr>
      </w:pPr>
      <w:r>
        <w:rPr>
          <w:rFonts w:hint="cs"/>
          <w:spacing w:val="-2"/>
          <w:rtl/>
        </w:rPr>
        <w:t>- كونها أصلاً لنسخة أخرى تعدّ ثاني النسخ الخطية قربًا من عصر المؤلف، وهي نسخة تيرة، حيث كتبت عام 1069هـ.</w:t>
      </w:r>
    </w:p>
    <w:p w:rsidR="00BF08C1" w:rsidRDefault="00BF08C1" w:rsidP="009A68A5">
      <w:pPr>
        <w:jc w:val="both"/>
        <w:rPr>
          <w:spacing w:val="-2"/>
          <w:rtl/>
        </w:rPr>
      </w:pPr>
      <w:r>
        <w:rPr>
          <w:rFonts w:hint="cs"/>
          <w:b/>
          <w:bCs/>
          <w:spacing w:val="-2"/>
          <w:rtl/>
        </w:rPr>
        <w:t>2</w:t>
      </w:r>
      <w:r>
        <w:rPr>
          <w:rFonts w:hint="cs"/>
          <w:spacing w:val="-2"/>
          <w:rtl/>
        </w:rPr>
        <w:t xml:space="preserve"> </w:t>
      </w:r>
      <w:r>
        <w:rPr>
          <w:b/>
          <w:bCs/>
          <w:spacing w:val="-2"/>
          <w:rtl/>
        </w:rPr>
        <w:t>–</w:t>
      </w:r>
      <w:r>
        <w:rPr>
          <w:rFonts w:hint="cs"/>
          <w:spacing w:val="-2"/>
          <w:rtl/>
        </w:rPr>
        <w:t xml:space="preserve"> نسخة متحف توبقابي.</w:t>
      </w:r>
    </w:p>
    <w:p w:rsidR="00BF08C1" w:rsidRDefault="00BF08C1" w:rsidP="009A68A5">
      <w:pPr>
        <w:jc w:val="both"/>
        <w:rPr>
          <w:spacing w:val="-2"/>
          <w:rtl/>
        </w:rPr>
      </w:pPr>
      <w:r>
        <w:rPr>
          <w:rFonts w:hint="cs"/>
          <w:spacing w:val="-2"/>
          <w:rtl/>
        </w:rPr>
        <w:t xml:space="preserve">وقد اعتمدتها؛ لكونهاتمثّل أصلاً مستقلاً، ولكونها أقل النسخ أخطاءً، حيث كتبها </w:t>
      </w:r>
      <w:r>
        <w:rPr>
          <w:rFonts w:hint="cs"/>
          <w:spacing w:val="-2"/>
          <w:rtl/>
        </w:rPr>
        <w:lastRenderedPageBreak/>
        <w:t>طالب علم. لكن لم أقدِّمها على النسخة السابقة؛ لتأخّر كتابتها عن عصر المؤلف - حيث كُتبت عام 1168هـ-، ولقلّة الاعتناء بها من جهة التصحيح والتعليق والتملّكات.</w:t>
      </w:r>
    </w:p>
    <w:p w:rsidR="00BF08C1" w:rsidRDefault="00BF08C1" w:rsidP="009A68A5">
      <w:pPr>
        <w:jc w:val="both"/>
        <w:rPr>
          <w:spacing w:val="-2"/>
          <w:rtl/>
        </w:rPr>
      </w:pPr>
      <w:r>
        <w:rPr>
          <w:rFonts w:hint="cs"/>
          <w:b/>
          <w:bCs/>
          <w:spacing w:val="-2"/>
          <w:rtl/>
        </w:rPr>
        <w:t>3</w:t>
      </w:r>
      <w:r>
        <w:rPr>
          <w:rFonts w:hint="cs"/>
          <w:spacing w:val="-2"/>
          <w:rtl/>
        </w:rPr>
        <w:t xml:space="preserve"> </w:t>
      </w:r>
      <w:r>
        <w:rPr>
          <w:rFonts w:hint="cs"/>
          <w:b/>
          <w:bCs/>
          <w:spacing w:val="-2"/>
          <w:rtl/>
        </w:rPr>
        <w:t>-</w:t>
      </w:r>
      <w:r>
        <w:rPr>
          <w:rFonts w:hint="cs"/>
          <w:spacing w:val="-2"/>
          <w:rtl/>
        </w:rPr>
        <w:t xml:space="preserve"> نسخة سيواس.</w:t>
      </w:r>
    </w:p>
    <w:p w:rsidR="00BF08C1" w:rsidRDefault="00BF08C1" w:rsidP="009A68A5">
      <w:pPr>
        <w:jc w:val="both"/>
        <w:rPr>
          <w:spacing w:val="-2"/>
          <w:rtl/>
        </w:rPr>
      </w:pPr>
      <w:r>
        <w:rPr>
          <w:rFonts w:hint="cs"/>
          <w:spacing w:val="-2"/>
          <w:rtl/>
        </w:rPr>
        <w:t>وقد اعتمدتها؛ لكونها تمثّل أصلاً تؤول إليه نسختان غيرها، هما نسختا (قاصد جيزاده) و(شهيد علي باشا). كما أنها مؤثّـقة من جهة وجود ثلاث تملكات عليها، وحِفظها في متحف يُعنى بحفظ التراث ومصداقيّته.</w:t>
      </w:r>
    </w:p>
    <w:p w:rsidR="00BF08C1" w:rsidRDefault="00BF08C1" w:rsidP="009A68A5">
      <w:pPr>
        <w:jc w:val="both"/>
        <w:rPr>
          <w:spacing w:val="-2"/>
          <w:rtl/>
        </w:rPr>
      </w:pPr>
      <w:r>
        <w:rPr>
          <w:rFonts w:hint="cs"/>
          <w:b/>
          <w:bCs/>
          <w:spacing w:val="-2"/>
          <w:rtl/>
        </w:rPr>
        <w:t>4</w:t>
      </w:r>
      <w:r>
        <w:rPr>
          <w:rFonts w:hint="cs"/>
          <w:spacing w:val="-2"/>
          <w:rtl/>
        </w:rPr>
        <w:t xml:space="preserve"> </w:t>
      </w:r>
      <w:r>
        <w:rPr>
          <w:rFonts w:hint="cs"/>
          <w:b/>
          <w:bCs/>
          <w:spacing w:val="-2"/>
          <w:rtl/>
        </w:rPr>
        <w:t>-</w:t>
      </w:r>
      <w:r>
        <w:rPr>
          <w:rFonts w:hint="cs"/>
          <w:spacing w:val="-2"/>
          <w:rtl/>
        </w:rPr>
        <w:t xml:space="preserve"> نسخة بايزيد.</w:t>
      </w:r>
    </w:p>
    <w:p w:rsidR="00BF08C1" w:rsidRDefault="00BF08C1" w:rsidP="009A68A5">
      <w:pPr>
        <w:jc w:val="both"/>
        <w:rPr>
          <w:spacing w:val="-2"/>
          <w:rtl/>
        </w:rPr>
      </w:pPr>
      <w:r>
        <w:rPr>
          <w:rFonts w:hint="cs"/>
          <w:spacing w:val="-2"/>
          <w:rtl/>
        </w:rPr>
        <w:t>وقد اعتمدتها لكونها تمثّل أصلاً مستقلاًّ.</w:t>
      </w:r>
    </w:p>
    <w:p w:rsidR="00BF08C1" w:rsidRDefault="00BF08C1" w:rsidP="009A68A5">
      <w:pPr>
        <w:jc w:val="both"/>
        <w:rPr>
          <w:spacing w:val="-2"/>
          <w:rtl/>
        </w:rPr>
      </w:pPr>
      <w:r>
        <w:rPr>
          <w:rFonts w:hint="cs"/>
          <w:spacing w:val="-2"/>
          <w:rtl/>
        </w:rPr>
        <w:t xml:space="preserve">وهذه النسخ الأربع </w:t>
      </w:r>
      <w:r>
        <w:rPr>
          <w:spacing w:val="-2"/>
          <w:rtl/>
        </w:rPr>
        <w:t>–</w:t>
      </w:r>
      <w:r>
        <w:rPr>
          <w:rFonts w:hint="cs"/>
          <w:spacing w:val="-2"/>
          <w:rtl/>
        </w:rPr>
        <w:t xml:space="preserve"> كما تلاحظ </w:t>
      </w:r>
      <w:r>
        <w:rPr>
          <w:spacing w:val="-2"/>
          <w:rtl/>
        </w:rPr>
        <w:t>–</w:t>
      </w:r>
      <w:r>
        <w:rPr>
          <w:rFonts w:hint="cs"/>
          <w:spacing w:val="-2"/>
          <w:rtl/>
        </w:rPr>
        <w:t xml:space="preserve"> تمثّل سبع نسخٍ خطية، وقد بقيت ثلاث نسخ، وهي تؤول أيضًا إلى أصل واحد</w:t>
      </w:r>
      <w:r w:rsidR="0048366D">
        <w:rPr>
          <w:rFonts w:hint="cs"/>
          <w:spacing w:val="-2"/>
          <w:rtl/>
        </w:rPr>
        <w:t>:</w:t>
      </w:r>
    </w:p>
    <w:p w:rsidR="00BF08C1" w:rsidRDefault="00BF08C1" w:rsidP="009A68A5">
      <w:pPr>
        <w:jc w:val="both"/>
        <w:rPr>
          <w:spacing w:val="-2"/>
          <w:rtl/>
        </w:rPr>
      </w:pPr>
      <w:r>
        <w:rPr>
          <w:rFonts w:hint="cs"/>
          <w:b/>
          <w:bCs/>
          <w:spacing w:val="-2"/>
          <w:rtl/>
        </w:rPr>
        <w:t>إحداها</w:t>
      </w:r>
      <w:r w:rsidR="0048366D">
        <w:rPr>
          <w:rFonts w:hint="cs"/>
          <w:b/>
          <w:bCs/>
          <w:spacing w:val="-2"/>
          <w:rtl/>
        </w:rPr>
        <w:t>:</w:t>
      </w:r>
      <w:r>
        <w:rPr>
          <w:rFonts w:hint="cs"/>
          <w:spacing w:val="-2"/>
          <w:rtl/>
        </w:rPr>
        <w:t xml:space="preserve"> نسخة مكتبة الملك عبد العزيز</w:t>
      </w:r>
      <w:r w:rsidR="0048366D">
        <w:rPr>
          <w:rFonts w:hint="cs"/>
          <w:spacing w:val="-2"/>
          <w:rtl/>
        </w:rPr>
        <w:t>:</w:t>
      </w:r>
    </w:p>
    <w:p w:rsidR="00BF08C1" w:rsidRDefault="00BF08C1" w:rsidP="009A68A5">
      <w:pPr>
        <w:jc w:val="both"/>
        <w:rPr>
          <w:spacing w:val="-2"/>
          <w:rtl/>
        </w:rPr>
      </w:pPr>
      <w:r>
        <w:rPr>
          <w:rFonts w:hint="cs"/>
          <w:spacing w:val="-2"/>
          <w:rtl/>
        </w:rPr>
        <w:t>وكانت هذه النسخة من أوائل النّسخ التي وصلتني؛ لهذا بدأت بمقابلتها على نسخة (أ)، فألفيتها ذات أخطاء كثيرة جدًّا، إذْ لا تكاد تخلو فقرة من خطأ، كما أن كثيرًا من هذه الأخطاء بدهيّة، لا يُتصوّر صدورها من شخص يفهم اللغة التي يكتب بها.</w:t>
      </w:r>
    </w:p>
    <w:p w:rsidR="00BF08C1" w:rsidRDefault="00BF08C1" w:rsidP="009A68A5">
      <w:pPr>
        <w:jc w:val="both"/>
        <w:rPr>
          <w:spacing w:val="-2"/>
          <w:rtl/>
        </w:rPr>
      </w:pPr>
      <w:r>
        <w:rPr>
          <w:rFonts w:hint="cs"/>
          <w:spacing w:val="-2"/>
          <w:rtl/>
        </w:rPr>
        <w:t xml:space="preserve">وبعد أن وجدتُ </w:t>
      </w:r>
      <w:r>
        <w:rPr>
          <w:spacing w:val="-2"/>
          <w:rtl/>
        </w:rPr>
        <w:t>–</w:t>
      </w:r>
      <w:r>
        <w:rPr>
          <w:rFonts w:hint="cs"/>
          <w:spacing w:val="-2"/>
          <w:rtl/>
        </w:rPr>
        <w:t xml:space="preserve"> بفضل الله </w:t>
      </w:r>
      <w:r>
        <w:rPr>
          <w:spacing w:val="-2"/>
          <w:rtl/>
        </w:rPr>
        <w:t>–</w:t>
      </w:r>
      <w:r>
        <w:rPr>
          <w:rFonts w:hint="cs"/>
          <w:spacing w:val="-2"/>
          <w:rtl/>
        </w:rPr>
        <w:t xml:space="preserve"> سبع نسخ غيرها آثرت الاكتفاء بأربع نسخ خطية (تؤول إليها تلك السبع)، مع جعل هذه النسخة نسخةً خامسة يُرجع إليها عند الحاجة؛ وذلك لكون النسخ الأربع كافية في ضبط النصّ </w:t>
      </w:r>
      <w:r>
        <w:rPr>
          <w:spacing w:val="-2"/>
          <w:rtl/>
        </w:rPr>
        <w:t>–</w:t>
      </w:r>
      <w:r>
        <w:rPr>
          <w:rFonts w:hint="cs"/>
          <w:spacing w:val="-2"/>
          <w:rtl/>
        </w:rPr>
        <w:t xml:space="preserve"> غالبًا-، وتحريرًا للهوامش من أن تملأ بتهميشات لا طائل من ورائها.</w:t>
      </w:r>
    </w:p>
    <w:p w:rsidR="00BF08C1" w:rsidRDefault="00BF08C1" w:rsidP="009A68A5">
      <w:pPr>
        <w:jc w:val="both"/>
        <w:rPr>
          <w:spacing w:val="-2"/>
          <w:rtl/>
        </w:rPr>
      </w:pPr>
      <w:r>
        <w:rPr>
          <w:rFonts w:hint="cs"/>
          <w:b/>
          <w:bCs/>
          <w:spacing w:val="-2"/>
          <w:rtl/>
        </w:rPr>
        <w:t>الثانية</w:t>
      </w:r>
      <w:r w:rsidR="0048366D">
        <w:rPr>
          <w:rFonts w:hint="cs"/>
          <w:b/>
          <w:bCs/>
          <w:spacing w:val="-2"/>
          <w:rtl/>
        </w:rPr>
        <w:t>:</w:t>
      </w:r>
      <w:r>
        <w:rPr>
          <w:rFonts w:hint="cs"/>
          <w:spacing w:val="-2"/>
          <w:rtl/>
        </w:rPr>
        <w:t xml:space="preserve"> نسخة أسعد أفندي</w:t>
      </w:r>
      <w:r w:rsidR="0048366D">
        <w:rPr>
          <w:rFonts w:hint="cs"/>
          <w:spacing w:val="-2"/>
          <w:rtl/>
        </w:rPr>
        <w:t>:</w:t>
      </w:r>
    </w:p>
    <w:p w:rsidR="00BF08C1" w:rsidRDefault="00BF08C1" w:rsidP="009A68A5">
      <w:pPr>
        <w:jc w:val="both"/>
        <w:rPr>
          <w:spacing w:val="-2"/>
          <w:rtl/>
        </w:rPr>
      </w:pPr>
      <w:r>
        <w:rPr>
          <w:rFonts w:hint="cs"/>
          <w:spacing w:val="-2"/>
          <w:rtl/>
        </w:rPr>
        <w:t>وهذه النسخة هي آخر نسخة وصلتني، حيث وصلتني وأنا في المراحل الأخيرة من التحقيق والتعليق على الكتاب.</w:t>
      </w:r>
    </w:p>
    <w:p w:rsidR="00BF08C1" w:rsidRDefault="00BF08C1" w:rsidP="009A68A5">
      <w:pPr>
        <w:jc w:val="both"/>
        <w:rPr>
          <w:spacing w:val="-2"/>
          <w:rtl/>
        </w:rPr>
      </w:pPr>
      <w:r>
        <w:rPr>
          <w:rFonts w:hint="cs"/>
          <w:spacing w:val="-2"/>
          <w:rtl/>
        </w:rPr>
        <w:lastRenderedPageBreak/>
        <w:t xml:space="preserve">وبعد فحصها وجدتها تأتي في المرحلة الثالثة في الأهمية، بعد نسختي (أ) و(ب)؛ لقربها من عصر المؤلف </w:t>
      </w:r>
      <w:r>
        <w:rPr>
          <w:spacing w:val="-2"/>
          <w:rtl/>
        </w:rPr>
        <w:t>–</w:t>
      </w:r>
      <w:r>
        <w:rPr>
          <w:rFonts w:hint="cs"/>
          <w:spacing w:val="-2"/>
          <w:rtl/>
        </w:rPr>
        <w:t xml:space="preserve"> حيث كُتبت عام 1119هـ، ولقلّة أخطائها -إذا قورنت ببقية النسخ- وللاهتمام بها من جهة التعليق والفهرسة والتملّكات، ولكونها أصلاً تؤول إليه النسخة السابقة، ويمكن أن تؤول إليه نسخة مكتبة الملك فهد الوطنية. فبدأت بالمقابلة بينها وبين ما كتبته من النسخ الأخر، إلا أني لم أجد ما يستدعي الاستمرار على ذلك؛ لأن ما كان فيها من صواب غالبًا ما يكون موجودًا في أحد النسخ الأخر -و</w:t>
      </w:r>
      <w:r>
        <w:rPr>
          <w:rFonts w:hint="cs"/>
          <w:b/>
          <w:bCs/>
          <w:spacing w:val="-2"/>
          <w:rtl/>
        </w:rPr>
        <w:t>لاسيما أني سبق أن قابلت بين أربع</w:t>
      </w:r>
      <w:r>
        <w:rPr>
          <w:rFonts w:hint="cs"/>
          <w:spacing w:val="-2"/>
          <w:rtl/>
        </w:rPr>
        <w:t xml:space="preserve"> </w:t>
      </w:r>
      <w:r>
        <w:rPr>
          <w:rFonts w:hint="cs"/>
          <w:b/>
          <w:bCs/>
          <w:spacing w:val="-2"/>
          <w:rtl/>
        </w:rPr>
        <w:t>نسخ مرّتين</w:t>
      </w:r>
      <w:r>
        <w:rPr>
          <w:rFonts w:hint="cs"/>
          <w:spacing w:val="-2"/>
          <w:rtl/>
        </w:rPr>
        <w:t>-؛ لهذا عاملت هذه النسخة معاملة النسخة السابقة من جهة الرجوع إليها عند الحاجة، فاستعرضت الكتاب كاملاً، وعند وجود أدنى حاجة للتأكّد من لفظ أو نحو ذلك رجعت إليها.</w:t>
      </w:r>
    </w:p>
    <w:p w:rsidR="00BF08C1" w:rsidRDefault="00BF08C1" w:rsidP="009A68A5">
      <w:pPr>
        <w:jc w:val="both"/>
        <w:rPr>
          <w:spacing w:val="-2"/>
          <w:rtl/>
        </w:rPr>
      </w:pPr>
      <w:r>
        <w:rPr>
          <w:rFonts w:hint="cs"/>
          <w:b/>
          <w:bCs/>
          <w:spacing w:val="-2"/>
          <w:rtl/>
        </w:rPr>
        <w:t>الثالثة</w:t>
      </w:r>
      <w:r w:rsidR="0048366D">
        <w:rPr>
          <w:rFonts w:hint="cs"/>
          <w:b/>
          <w:bCs/>
          <w:spacing w:val="-2"/>
          <w:rtl/>
        </w:rPr>
        <w:t>:</w:t>
      </w:r>
      <w:r>
        <w:rPr>
          <w:rFonts w:hint="cs"/>
          <w:spacing w:val="-2"/>
          <w:rtl/>
        </w:rPr>
        <w:t xml:space="preserve"> نسخة مكتبة الملك فهد الوطنية</w:t>
      </w:r>
      <w:r w:rsidR="0048366D">
        <w:rPr>
          <w:rFonts w:hint="cs"/>
          <w:spacing w:val="-2"/>
          <w:rtl/>
        </w:rPr>
        <w:t>:</w:t>
      </w:r>
    </w:p>
    <w:p w:rsidR="00BF08C1" w:rsidRDefault="00BF08C1" w:rsidP="009A68A5">
      <w:pPr>
        <w:jc w:val="both"/>
        <w:rPr>
          <w:spacing w:val="-2"/>
          <w:rtl/>
        </w:rPr>
      </w:pPr>
      <w:r>
        <w:rPr>
          <w:rFonts w:hint="cs"/>
          <w:spacing w:val="-2"/>
          <w:rtl/>
        </w:rPr>
        <w:t>وهذه النسخة يؤخذ عليها أنها شذّت عن بقيّة النسخ، وذلك بنسبة الكتاب إلى (أحمد ابن عبد الرحمن البَشِكْطاشي)، وهذه النسبة مجانبة للصواب. كما أنها مشحونة بكثير من الأخطاء اللغوية.</w:t>
      </w:r>
    </w:p>
    <w:p w:rsidR="00BF08C1" w:rsidRDefault="00BF08C1" w:rsidP="009A68A5">
      <w:pPr>
        <w:jc w:val="both"/>
        <w:rPr>
          <w:spacing w:val="-2"/>
          <w:rtl/>
        </w:rPr>
      </w:pPr>
      <w:r>
        <w:rPr>
          <w:rFonts w:hint="cs"/>
          <w:spacing w:val="-2"/>
          <w:rtl/>
        </w:rPr>
        <w:t>ثم إنه بالمقارنة بينها وبين بقية النسخ اتّضح كونها قريبة من النسختين السابقتين، ممّا يعني أن الثلاث تؤول إلى أصل واحد؛ لهذه الأسباب لم أرَ حاجة في المقابلة عليها.</w:t>
      </w:r>
    </w:p>
    <w:p w:rsidR="00BF08C1" w:rsidRDefault="00BF08C1" w:rsidP="009A68A5">
      <w:pPr>
        <w:ind w:left="-79" w:firstLine="646"/>
        <w:jc w:val="both"/>
        <w:rPr>
          <w:b/>
          <w:bCs/>
          <w:spacing w:val="-2"/>
          <w:rtl/>
        </w:rPr>
      </w:pPr>
      <w:r>
        <w:rPr>
          <w:rFonts w:hint="cs"/>
          <w:sz w:val="22"/>
          <w:szCs w:val="38"/>
          <w:rtl/>
        </w:rPr>
        <w:t xml:space="preserve">  </w:t>
      </w:r>
      <w:r w:rsidRPr="00CB598F">
        <w:rPr>
          <w:sz w:val="22"/>
          <w:szCs w:val="38"/>
          <w:rtl/>
        </w:rPr>
        <w:t>•</w:t>
      </w:r>
      <w:r>
        <w:rPr>
          <w:rFonts w:hint="cs"/>
          <w:sz w:val="22"/>
          <w:szCs w:val="38"/>
          <w:rtl/>
        </w:rPr>
        <w:t xml:space="preserve"> </w:t>
      </w:r>
      <w:r>
        <w:rPr>
          <w:rFonts w:hint="cs"/>
          <w:b/>
          <w:bCs/>
          <w:spacing w:val="-2"/>
          <w:rtl/>
        </w:rPr>
        <w:t>والحاصل ممّا سبق أن النسخ المعتمدة في المقابلة أربع نسخ، هي:</w:t>
      </w:r>
    </w:p>
    <w:p w:rsidR="00BF08C1" w:rsidRDefault="00BF08C1" w:rsidP="009A68A5">
      <w:pPr>
        <w:ind w:left="1699" w:hanging="425"/>
        <w:jc w:val="both"/>
        <w:rPr>
          <w:spacing w:val="-2"/>
          <w:rtl/>
        </w:rPr>
      </w:pPr>
      <w:r>
        <w:rPr>
          <w:rFonts w:hint="cs"/>
          <w:b/>
          <w:bCs/>
          <w:spacing w:val="-2"/>
          <w:rtl/>
        </w:rPr>
        <w:t>1</w:t>
      </w:r>
      <w:r>
        <w:rPr>
          <w:rFonts w:hint="cs"/>
          <w:spacing w:val="-2"/>
          <w:rtl/>
        </w:rPr>
        <w:t xml:space="preserve"> </w:t>
      </w:r>
      <w:r>
        <w:rPr>
          <w:rFonts w:hint="cs"/>
          <w:b/>
          <w:bCs/>
          <w:spacing w:val="-2"/>
          <w:rtl/>
        </w:rPr>
        <w:t>-</w:t>
      </w:r>
      <w:r>
        <w:rPr>
          <w:rFonts w:hint="cs"/>
          <w:spacing w:val="-2"/>
          <w:rtl/>
        </w:rPr>
        <w:t xml:space="preserve"> نسخة جامعة الملك عبد العزيز، وهي النسخة التي جعلتها أصلاً، ورمزت لها بالحرف (أ).</w:t>
      </w:r>
    </w:p>
    <w:p w:rsidR="00BF08C1" w:rsidRDefault="00BF08C1" w:rsidP="009A68A5">
      <w:pPr>
        <w:ind w:left="1699" w:hanging="425"/>
        <w:jc w:val="both"/>
        <w:rPr>
          <w:spacing w:val="-2"/>
          <w:rtl/>
        </w:rPr>
      </w:pPr>
      <w:r>
        <w:rPr>
          <w:rFonts w:hint="cs"/>
          <w:b/>
          <w:bCs/>
          <w:spacing w:val="-2"/>
          <w:rtl/>
        </w:rPr>
        <w:t>2</w:t>
      </w:r>
      <w:r>
        <w:rPr>
          <w:rFonts w:hint="cs"/>
          <w:spacing w:val="-2"/>
          <w:rtl/>
        </w:rPr>
        <w:t xml:space="preserve"> </w:t>
      </w:r>
      <w:r>
        <w:rPr>
          <w:rFonts w:hint="cs"/>
          <w:b/>
          <w:bCs/>
          <w:spacing w:val="-2"/>
          <w:rtl/>
        </w:rPr>
        <w:t>-</w:t>
      </w:r>
      <w:r>
        <w:rPr>
          <w:rFonts w:hint="cs"/>
          <w:spacing w:val="-2"/>
          <w:rtl/>
        </w:rPr>
        <w:t xml:space="preserve"> نسخة متحف توبقابي، ورمزت لها بالحرف (ب).</w:t>
      </w:r>
    </w:p>
    <w:p w:rsidR="00BF08C1" w:rsidRDefault="00BF08C1" w:rsidP="009A68A5">
      <w:pPr>
        <w:ind w:left="1699" w:hanging="425"/>
        <w:jc w:val="both"/>
        <w:rPr>
          <w:spacing w:val="-2"/>
          <w:rtl/>
        </w:rPr>
      </w:pPr>
      <w:r>
        <w:rPr>
          <w:rFonts w:hint="cs"/>
          <w:b/>
          <w:bCs/>
          <w:spacing w:val="-2"/>
          <w:rtl/>
        </w:rPr>
        <w:t>3</w:t>
      </w:r>
      <w:r>
        <w:rPr>
          <w:rFonts w:hint="cs"/>
          <w:spacing w:val="-2"/>
          <w:rtl/>
        </w:rPr>
        <w:t xml:space="preserve"> </w:t>
      </w:r>
      <w:r>
        <w:rPr>
          <w:rFonts w:hint="cs"/>
          <w:b/>
          <w:bCs/>
          <w:spacing w:val="-2"/>
          <w:rtl/>
        </w:rPr>
        <w:t>-</w:t>
      </w:r>
      <w:r>
        <w:rPr>
          <w:rFonts w:hint="cs"/>
          <w:spacing w:val="-2"/>
          <w:rtl/>
        </w:rPr>
        <w:t xml:space="preserve"> نسخة سيواس، ورمزت لها بالحرف (جـ).</w:t>
      </w:r>
    </w:p>
    <w:p w:rsidR="00BF08C1" w:rsidRDefault="00BF08C1" w:rsidP="009A68A5">
      <w:pPr>
        <w:ind w:left="1699" w:hanging="425"/>
        <w:jc w:val="both"/>
        <w:rPr>
          <w:spacing w:val="-2"/>
          <w:rtl/>
        </w:rPr>
      </w:pPr>
      <w:r>
        <w:rPr>
          <w:rFonts w:hint="cs"/>
          <w:b/>
          <w:bCs/>
          <w:spacing w:val="-2"/>
          <w:rtl/>
        </w:rPr>
        <w:t>4</w:t>
      </w:r>
      <w:r>
        <w:rPr>
          <w:rFonts w:hint="cs"/>
          <w:spacing w:val="-2"/>
          <w:rtl/>
        </w:rPr>
        <w:t xml:space="preserve"> </w:t>
      </w:r>
      <w:r>
        <w:rPr>
          <w:rFonts w:hint="cs"/>
          <w:b/>
          <w:bCs/>
          <w:spacing w:val="-2"/>
          <w:rtl/>
        </w:rPr>
        <w:t>-</w:t>
      </w:r>
      <w:r>
        <w:rPr>
          <w:rFonts w:hint="cs"/>
          <w:spacing w:val="-2"/>
          <w:rtl/>
        </w:rPr>
        <w:t xml:space="preserve"> نسخة بايزيد، ورمزت لها بالحرف (د).</w:t>
      </w:r>
    </w:p>
    <w:p w:rsidR="00BF08C1" w:rsidRDefault="00BF08C1" w:rsidP="009A68A5">
      <w:pPr>
        <w:ind w:left="65" w:firstLine="655"/>
        <w:jc w:val="both"/>
        <w:rPr>
          <w:b/>
          <w:bCs/>
          <w:spacing w:val="-2"/>
          <w:rtl/>
        </w:rPr>
      </w:pPr>
      <w:r w:rsidRPr="00CB598F">
        <w:rPr>
          <w:sz w:val="22"/>
          <w:szCs w:val="38"/>
          <w:rtl/>
        </w:rPr>
        <w:lastRenderedPageBreak/>
        <w:t>•</w:t>
      </w:r>
      <w:r>
        <w:rPr>
          <w:rFonts w:hint="cs"/>
          <w:sz w:val="22"/>
          <w:szCs w:val="38"/>
          <w:rtl/>
        </w:rPr>
        <w:t xml:space="preserve"> </w:t>
      </w:r>
      <w:r>
        <w:rPr>
          <w:rFonts w:hint="cs"/>
          <w:b/>
          <w:bCs/>
          <w:spacing w:val="-2"/>
          <w:rtl/>
        </w:rPr>
        <w:t>ويضاف إليها عند الحاجة نسختان، هما</w:t>
      </w:r>
      <w:r w:rsidR="0048366D">
        <w:rPr>
          <w:rFonts w:hint="cs"/>
          <w:b/>
          <w:bCs/>
          <w:spacing w:val="-2"/>
          <w:rtl/>
        </w:rPr>
        <w:t>:</w:t>
      </w:r>
    </w:p>
    <w:p w:rsidR="00BF08C1" w:rsidRDefault="00BF08C1" w:rsidP="009A68A5">
      <w:pPr>
        <w:ind w:left="1274" w:firstLine="0"/>
        <w:jc w:val="both"/>
        <w:rPr>
          <w:spacing w:val="-2"/>
          <w:rtl/>
        </w:rPr>
      </w:pPr>
      <w:r>
        <w:rPr>
          <w:rFonts w:hint="cs"/>
          <w:b/>
          <w:bCs/>
          <w:spacing w:val="-2"/>
          <w:rtl/>
        </w:rPr>
        <w:t>5</w:t>
      </w:r>
      <w:r>
        <w:rPr>
          <w:rFonts w:hint="cs"/>
          <w:spacing w:val="-2"/>
          <w:rtl/>
        </w:rPr>
        <w:t xml:space="preserve"> </w:t>
      </w:r>
      <w:r>
        <w:rPr>
          <w:rFonts w:hint="cs"/>
          <w:b/>
          <w:bCs/>
          <w:spacing w:val="-2"/>
          <w:rtl/>
        </w:rPr>
        <w:t>-</w:t>
      </w:r>
      <w:r>
        <w:rPr>
          <w:rFonts w:hint="cs"/>
          <w:spacing w:val="-2"/>
          <w:rtl/>
        </w:rPr>
        <w:t xml:space="preserve"> نسخة مكتبة الملك عبد العزيز، ورمزت لها بالحرف (هـ).</w:t>
      </w:r>
    </w:p>
    <w:p w:rsidR="00BF08C1" w:rsidRDefault="00BF08C1" w:rsidP="009A68A5">
      <w:pPr>
        <w:ind w:left="1274" w:firstLine="0"/>
        <w:jc w:val="both"/>
        <w:rPr>
          <w:spacing w:val="-2"/>
          <w:rtl/>
        </w:rPr>
      </w:pPr>
      <w:r>
        <w:rPr>
          <w:rFonts w:hint="cs"/>
          <w:b/>
          <w:bCs/>
          <w:spacing w:val="-2"/>
          <w:rtl/>
        </w:rPr>
        <w:t>6</w:t>
      </w:r>
      <w:r>
        <w:rPr>
          <w:rFonts w:hint="cs"/>
          <w:spacing w:val="-2"/>
          <w:rtl/>
        </w:rPr>
        <w:t xml:space="preserve"> </w:t>
      </w:r>
      <w:r>
        <w:rPr>
          <w:rFonts w:hint="cs"/>
          <w:b/>
          <w:bCs/>
          <w:spacing w:val="-2"/>
          <w:rtl/>
        </w:rPr>
        <w:t>-</w:t>
      </w:r>
      <w:r>
        <w:rPr>
          <w:rFonts w:hint="cs"/>
          <w:spacing w:val="-2"/>
          <w:rtl/>
        </w:rPr>
        <w:t xml:space="preserve"> نسخة أسعد أفندي، ورمزت لها بالحرف (و).</w:t>
      </w:r>
    </w:p>
    <w:p w:rsidR="00BF08C1" w:rsidRDefault="00BF08C1" w:rsidP="009A68A5">
      <w:pPr>
        <w:ind w:left="990" w:hanging="270"/>
        <w:jc w:val="both"/>
        <w:rPr>
          <w:spacing w:val="-2"/>
          <w:rtl/>
        </w:rPr>
      </w:pPr>
      <w:r w:rsidRPr="00CB598F">
        <w:rPr>
          <w:sz w:val="22"/>
          <w:szCs w:val="38"/>
          <w:rtl/>
        </w:rPr>
        <w:t>•</w:t>
      </w:r>
      <w:r>
        <w:rPr>
          <w:rFonts w:hint="cs"/>
          <w:sz w:val="22"/>
          <w:szCs w:val="38"/>
          <w:rtl/>
        </w:rPr>
        <w:t xml:space="preserve"> </w:t>
      </w:r>
      <w:r>
        <w:rPr>
          <w:rFonts w:hint="cs"/>
          <w:spacing w:val="-2"/>
          <w:rtl/>
        </w:rPr>
        <w:t>وفي حالات نادرة احتجت إلى الرجوع إلى أحد النسخ الأُخَر، وعند الرجوع إليها أسميها باسمها.</w:t>
      </w:r>
    </w:p>
    <w:p w:rsidR="00BF08C1" w:rsidRDefault="00BF08C1" w:rsidP="009A68A5">
      <w:pPr>
        <w:ind w:left="990" w:hanging="270"/>
        <w:jc w:val="both"/>
        <w:rPr>
          <w:spacing w:val="-6"/>
          <w:rtl/>
        </w:rPr>
      </w:pPr>
      <w:r w:rsidRPr="00CB598F">
        <w:rPr>
          <w:sz w:val="22"/>
          <w:szCs w:val="38"/>
          <w:rtl/>
        </w:rPr>
        <w:t>•</w:t>
      </w:r>
      <w:r>
        <w:rPr>
          <w:rFonts w:hint="cs"/>
          <w:sz w:val="22"/>
          <w:szCs w:val="38"/>
          <w:rtl/>
        </w:rPr>
        <w:t xml:space="preserve"> </w:t>
      </w:r>
      <w:r>
        <w:rPr>
          <w:rFonts w:hint="cs"/>
          <w:spacing w:val="-6"/>
          <w:rtl/>
        </w:rPr>
        <w:t>وبناء على أن جميع النسخ أخطاؤها كثيرة، ولم أجد نسخة يمكن أن يوثق بها ثقة تامة</w:t>
      </w:r>
      <w:r>
        <w:rPr>
          <w:rFonts w:hint="eastAsia"/>
          <w:spacing w:val="-6"/>
          <w:rtl/>
        </w:rPr>
        <w:t> </w:t>
      </w:r>
      <w:r>
        <w:rPr>
          <w:spacing w:val="-6"/>
          <w:rtl/>
        </w:rPr>
        <w:t>–</w:t>
      </w:r>
      <w:r>
        <w:rPr>
          <w:rFonts w:hint="cs"/>
          <w:spacing w:val="-6"/>
          <w:rtl/>
        </w:rPr>
        <w:t>كنسخة المؤلف نفسها؛ أو نسخة أجازها، أو نُقلت عن نسخته</w:t>
      </w:r>
      <w:r w:rsidR="0048366D">
        <w:rPr>
          <w:rFonts w:hint="cs"/>
          <w:spacing w:val="-6"/>
          <w:rtl/>
        </w:rPr>
        <w:t>.</w:t>
      </w:r>
      <w:r>
        <w:rPr>
          <w:rFonts w:hint="cs"/>
          <w:spacing w:val="-6"/>
          <w:rtl/>
        </w:rPr>
        <w:t>..-، وحرصًا على ضبط النصّ</w:t>
      </w:r>
      <w:r w:rsidR="0048366D">
        <w:rPr>
          <w:rFonts w:hint="cs"/>
          <w:spacing w:val="-6"/>
          <w:rtl/>
        </w:rPr>
        <w:t>:</w:t>
      </w:r>
      <w:r>
        <w:rPr>
          <w:rFonts w:hint="cs"/>
          <w:spacing w:val="-6"/>
          <w:rtl/>
        </w:rPr>
        <w:t xml:space="preserve"> كنت إذا جزمت بالمصدر الذي نقل منه المؤلف أقابل عليه،</w:t>
      </w:r>
      <w:r>
        <w:rPr>
          <w:rFonts w:hint="eastAsia"/>
          <w:spacing w:val="-6"/>
          <w:rtl/>
        </w:rPr>
        <w:t> </w:t>
      </w:r>
      <w:r>
        <w:rPr>
          <w:rFonts w:hint="cs"/>
          <w:spacing w:val="-6"/>
          <w:rtl/>
        </w:rPr>
        <w:t>وأعامله معاملة نسخة ثانوية.</w:t>
      </w:r>
    </w:p>
    <w:p w:rsidR="00BF08C1" w:rsidRPr="00A37C0A" w:rsidRDefault="00BF08C1" w:rsidP="009A68A5">
      <w:pPr>
        <w:pStyle w:val="a9"/>
        <w:jc w:val="both"/>
        <w:rPr>
          <w:rFonts w:cs="AL-Mateen"/>
          <w:rtl/>
          <w:lang w:bidi="ar-AE"/>
        </w:rPr>
      </w:pPr>
      <w:r>
        <w:rPr>
          <w:rtl/>
          <w:lang w:bidi="ar-AE"/>
        </w:rPr>
        <w:br w:type="page"/>
      </w:r>
      <w:r w:rsidRPr="00A37C0A">
        <w:rPr>
          <w:rFonts w:cs="AL-Mateen" w:hint="cs"/>
          <w:rtl/>
          <w:lang w:bidi="ar-AE"/>
        </w:rPr>
        <w:lastRenderedPageBreak/>
        <w:t>المطلب الخامس</w:t>
      </w:r>
      <w:r w:rsidR="0048366D">
        <w:rPr>
          <w:rFonts w:cs="AL-Mateen" w:hint="cs"/>
          <w:rtl/>
          <w:lang w:bidi="ar-AE"/>
        </w:rPr>
        <w:t>:</w:t>
      </w:r>
      <w:r w:rsidRPr="00A37C0A">
        <w:rPr>
          <w:rFonts w:cs="AL-Mateen" w:hint="cs"/>
          <w:rtl/>
          <w:lang w:bidi="ar-AE"/>
        </w:rPr>
        <w:t xml:space="preserve"> منهج التحقيق والتعليق</w:t>
      </w:r>
      <w:r w:rsidR="0048366D">
        <w:rPr>
          <w:rFonts w:cs="AL-Mateen" w:hint="cs"/>
          <w:rtl/>
          <w:lang w:bidi="ar-AE"/>
        </w:rPr>
        <w:t>:</w:t>
      </w:r>
    </w:p>
    <w:p w:rsidR="00BF08C1" w:rsidRDefault="00BF08C1" w:rsidP="009A68A5">
      <w:pPr>
        <w:jc w:val="both"/>
        <w:rPr>
          <w:b/>
          <w:bCs/>
          <w:spacing w:val="-2"/>
          <w:rtl/>
        </w:rPr>
      </w:pPr>
      <w:r>
        <w:rPr>
          <w:rFonts w:hint="cs"/>
          <w:b/>
          <w:bCs/>
          <w:spacing w:val="-2"/>
          <w:rtl/>
          <w:lang w:bidi="ar-AE"/>
        </w:rPr>
        <w:t>الفرع الأول</w:t>
      </w:r>
      <w:r w:rsidR="0048366D">
        <w:rPr>
          <w:rFonts w:hint="cs"/>
          <w:b/>
          <w:bCs/>
          <w:spacing w:val="-2"/>
          <w:rtl/>
          <w:lang w:bidi="ar-AE"/>
        </w:rPr>
        <w:t>:</w:t>
      </w:r>
      <w:r>
        <w:rPr>
          <w:rFonts w:hint="cs"/>
          <w:b/>
          <w:bCs/>
          <w:spacing w:val="-2"/>
          <w:rtl/>
          <w:lang w:bidi="ar-AE"/>
        </w:rPr>
        <w:t xml:space="preserve"> منهج التحقيق</w:t>
      </w:r>
      <w:r w:rsidR="0048366D">
        <w:rPr>
          <w:rFonts w:hint="cs"/>
          <w:b/>
          <w:bCs/>
          <w:spacing w:val="-2"/>
          <w:rtl/>
          <w:lang w:bidi="ar-AE"/>
        </w:rPr>
        <w:t>:</w:t>
      </w:r>
    </w:p>
    <w:p w:rsidR="00BF08C1" w:rsidRDefault="00BF08C1" w:rsidP="009A68A5">
      <w:pPr>
        <w:jc w:val="both"/>
        <w:rPr>
          <w:spacing w:val="-2"/>
          <w:rtl/>
          <w:lang w:bidi="ar-AE"/>
        </w:rPr>
      </w:pPr>
      <w:r>
        <w:rPr>
          <w:rFonts w:hint="cs"/>
          <w:b/>
          <w:bCs/>
          <w:spacing w:val="-2"/>
          <w:rtl/>
          <w:lang w:bidi="ar-AE"/>
        </w:rPr>
        <w:t>1</w:t>
      </w:r>
      <w:r>
        <w:rPr>
          <w:rFonts w:hint="cs"/>
          <w:spacing w:val="-2"/>
          <w:rtl/>
          <w:lang w:bidi="ar-AE"/>
        </w:rPr>
        <w:t xml:space="preserve"> </w:t>
      </w:r>
      <w:r>
        <w:rPr>
          <w:rFonts w:hint="cs"/>
          <w:b/>
          <w:bCs/>
          <w:spacing w:val="-2"/>
          <w:rtl/>
          <w:lang w:bidi="ar-AE"/>
        </w:rPr>
        <w:t>-</w:t>
      </w:r>
      <w:r>
        <w:rPr>
          <w:rFonts w:hint="cs"/>
          <w:spacing w:val="-2"/>
          <w:rtl/>
          <w:lang w:bidi="ar-AE"/>
        </w:rPr>
        <w:t xml:space="preserve"> إخراج نص الكتاب على أقرب صورة وضعه المؤلف عليها، مع مراعاة الصحة والضبط قدر الإمكان، ولتحقيق ذلك اتخذت الخطوات الآتية</w:t>
      </w:r>
      <w:r w:rsidR="0048366D">
        <w:rPr>
          <w:rFonts w:hint="cs"/>
          <w:spacing w:val="-2"/>
          <w:rtl/>
          <w:lang w:bidi="ar-AE"/>
        </w:rPr>
        <w:t>:</w:t>
      </w:r>
      <w:r>
        <w:rPr>
          <w:rFonts w:hint="cs"/>
          <w:spacing w:val="-2"/>
          <w:rtl/>
          <w:lang w:bidi="ar-AE"/>
        </w:rPr>
        <w:t xml:space="preserve"> -</w:t>
      </w:r>
    </w:p>
    <w:p w:rsidR="00BF08C1" w:rsidRDefault="00BF08C1" w:rsidP="009A68A5">
      <w:pPr>
        <w:jc w:val="both"/>
        <w:rPr>
          <w:spacing w:val="8"/>
          <w:rtl/>
          <w:lang w:bidi="ar-AE"/>
        </w:rPr>
      </w:pPr>
      <w:r>
        <w:rPr>
          <w:rFonts w:hint="cs"/>
          <w:b/>
          <w:bCs/>
          <w:spacing w:val="8"/>
          <w:rtl/>
          <w:lang w:bidi="ar-AE"/>
        </w:rPr>
        <w:t>أ-</w:t>
      </w:r>
      <w:r>
        <w:rPr>
          <w:rFonts w:hint="cs"/>
          <w:spacing w:val="8"/>
          <w:rtl/>
          <w:lang w:bidi="ar-AE"/>
        </w:rPr>
        <w:t xml:space="preserve"> اعتماد نسخة جامعة الملك عبد العزيز (المرموز لها بالحرف (أ)) أصلاً للتحقيق</w:t>
      </w:r>
      <w:r>
        <w:rPr>
          <w:rFonts w:hint="cs"/>
          <w:spacing w:val="8"/>
          <w:vertAlign w:val="superscript"/>
          <w:rtl/>
          <w:lang w:bidi="ar-AE"/>
        </w:rPr>
        <w:t>(</w:t>
      </w:r>
      <w:r>
        <w:rPr>
          <w:rStyle w:val="a7"/>
          <w:spacing w:val="8"/>
          <w:lang w:bidi="ar-AE"/>
        </w:rPr>
        <w:footnoteReference w:id="390"/>
      </w:r>
      <w:r>
        <w:rPr>
          <w:rFonts w:hint="cs"/>
          <w:spacing w:val="8"/>
          <w:vertAlign w:val="superscript"/>
          <w:rtl/>
          <w:lang w:bidi="ar-AE"/>
        </w:rPr>
        <w:t>)</w:t>
      </w:r>
      <w:r>
        <w:rPr>
          <w:rFonts w:hint="cs"/>
          <w:spacing w:val="8"/>
          <w:rtl/>
          <w:lang w:bidi="ar-AE"/>
        </w:rPr>
        <w:t>، ونقل النصّ منها كاملاً، ثم مقابلة المنقول على المخطوط للتّحقّق من عدم وجود خلل عند النقل.</w:t>
      </w:r>
    </w:p>
    <w:p w:rsidR="00BF08C1" w:rsidRDefault="00BF08C1" w:rsidP="009A68A5">
      <w:pPr>
        <w:jc w:val="both"/>
        <w:rPr>
          <w:spacing w:val="-2"/>
          <w:rtl/>
        </w:rPr>
      </w:pPr>
      <w:r>
        <w:rPr>
          <w:rFonts w:hint="cs"/>
          <w:b/>
          <w:bCs/>
          <w:spacing w:val="-2"/>
          <w:rtl/>
          <w:lang w:bidi="ar-AE"/>
        </w:rPr>
        <w:t>ب</w:t>
      </w:r>
      <w:r>
        <w:rPr>
          <w:rFonts w:hint="cs"/>
          <w:spacing w:val="-2"/>
          <w:rtl/>
          <w:lang w:bidi="ar-AE"/>
        </w:rPr>
        <w:t xml:space="preserve"> </w:t>
      </w:r>
      <w:r>
        <w:rPr>
          <w:rFonts w:hint="cs"/>
          <w:b/>
          <w:bCs/>
          <w:spacing w:val="-2"/>
          <w:rtl/>
          <w:lang w:bidi="ar-AE"/>
        </w:rPr>
        <w:t>-</w:t>
      </w:r>
      <w:r>
        <w:rPr>
          <w:rFonts w:hint="cs"/>
          <w:spacing w:val="-2"/>
          <w:rtl/>
          <w:lang w:bidi="ar-AE"/>
        </w:rPr>
        <w:t xml:space="preserve"> مقابلة ما تم نقله من النسخة الأصل على بقية النسخ المعتمدة في التحقيق مع مراعاة ما يلي</w:t>
      </w:r>
      <w:r w:rsidR="0048366D">
        <w:rPr>
          <w:rFonts w:hint="cs"/>
          <w:spacing w:val="-2"/>
          <w:rtl/>
          <w:lang w:bidi="ar-AE"/>
        </w:rPr>
        <w:t>:</w:t>
      </w:r>
    </w:p>
    <w:p w:rsidR="00BF08C1" w:rsidRDefault="00BF08C1" w:rsidP="009A68A5">
      <w:pPr>
        <w:ind w:left="706" w:hanging="139"/>
        <w:jc w:val="both"/>
        <w:rPr>
          <w:spacing w:val="-2"/>
          <w:rtl/>
          <w:lang w:bidi="ar-AE"/>
        </w:rPr>
      </w:pPr>
      <w:r w:rsidRPr="00CB598F">
        <w:rPr>
          <w:sz w:val="22"/>
          <w:szCs w:val="38"/>
          <w:rtl/>
        </w:rPr>
        <w:t>•</w:t>
      </w:r>
      <w:r>
        <w:rPr>
          <w:rFonts w:hint="cs"/>
          <w:sz w:val="22"/>
          <w:szCs w:val="38"/>
          <w:rtl/>
        </w:rPr>
        <w:t xml:space="preserve"> </w:t>
      </w:r>
      <w:r>
        <w:rPr>
          <w:rFonts w:hint="cs"/>
          <w:spacing w:val="-2"/>
          <w:rtl/>
          <w:lang w:bidi="ar-AE"/>
        </w:rPr>
        <w:t>ما اتفقت عليه النسخ كان هو المثبت (وإن كان لي رأي حوله أثبته في الهامش)، ما لم تتفق على خطأ في الآيات القرآنية، فإني أثبت الآية صحيحة في النص، وأشير في الهامش إلى الخطأ الموجود في النسخ.</w:t>
      </w:r>
    </w:p>
    <w:p w:rsidR="00BF08C1" w:rsidRDefault="00BF08C1" w:rsidP="009A68A5">
      <w:pPr>
        <w:ind w:left="706" w:hanging="283"/>
        <w:jc w:val="both"/>
        <w:rPr>
          <w:spacing w:val="-2"/>
          <w:rtl/>
          <w:lang w:bidi="ar-AE"/>
        </w:rPr>
      </w:pPr>
      <w:r w:rsidRPr="00CB598F">
        <w:rPr>
          <w:sz w:val="22"/>
          <w:szCs w:val="38"/>
          <w:rtl/>
        </w:rPr>
        <w:t>•</w:t>
      </w:r>
      <w:r>
        <w:rPr>
          <w:rFonts w:hint="cs"/>
          <w:sz w:val="22"/>
          <w:szCs w:val="38"/>
          <w:rtl/>
        </w:rPr>
        <w:t xml:space="preserve"> </w:t>
      </w:r>
      <w:r>
        <w:rPr>
          <w:rFonts w:hint="cs"/>
          <w:spacing w:val="-2"/>
          <w:rtl/>
          <w:lang w:bidi="ar-AE"/>
        </w:rPr>
        <w:t>إذا كان هناك فرق بين النسخ، وكان ما في نسخة الأصل صحيحًا، فإني أثبت ما في الأصل وإن كان ما في النسخ الأُخَر أولى منه، وأثبت ما في النسخ الأخر في الهامش، إلاّ إذا كان ما في النسخ الأخر أو بعضها أولى من نسخة الأصل؛ بسبب عجمة الناسخ للأصل، وتأثيرها الواضح على ما كتبه؛ كتذكير كلمة كان الأفصح تأنيثها</w:t>
      </w:r>
      <w:r w:rsidR="0048366D">
        <w:rPr>
          <w:rFonts w:hint="cs"/>
          <w:spacing w:val="-2"/>
          <w:rtl/>
          <w:lang w:bidi="ar-AE"/>
        </w:rPr>
        <w:t>:</w:t>
      </w:r>
      <w:r>
        <w:rPr>
          <w:rFonts w:hint="cs"/>
          <w:spacing w:val="-2"/>
          <w:rtl/>
          <w:lang w:bidi="ar-AE"/>
        </w:rPr>
        <w:t xml:space="preserve"> فإني حينئذ أثبت الأفصح في الصلب؛ وذلك لكون هذا المأخذ متكرّرًا في الأصل حتى أصبح سمة بارزة فيه، بخلاف نسخة (ب) و(د).</w:t>
      </w:r>
    </w:p>
    <w:p w:rsidR="00BF08C1" w:rsidRDefault="00BF08C1" w:rsidP="009A68A5">
      <w:pPr>
        <w:ind w:left="706" w:hanging="283"/>
        <w:jc w:val="both"/>
        <w:rPr>
          <w:spacing w:val="-2"/>
          <w:rtl/>
        </w:rPr>
      </w:pPr>
      <w:r w:rsidRPr="00CB598F">
        <w:rPr>
          <w:sz w:val="22"/>
          <w:szCs w:val="38"/>
          <w:rtl/>
        </w:rPr>
        <w:t>•</w:t>
      </w:r>
      <w:r>
        <w:rPr>
          <w:rFonts w:hint="cs"/>
          <w:sz w:val="22"/>
          <w:szCs w:val="38"/>
          <w:rtl/>
        </w:rPr>
        <w:t xml:space="preserve"> </w:t>
      </w:r>
      <w:r>
        <w:rPr>
          <w:rFonts w:hint="cs"/>
          <w:spacing w:val="-2"/>
          <w:rtl/>
          <w:lang w:bidi="ar-AE"/>
        </w:rPr>
        <w:t xml:space="preserve">إذا كان هناك فرق بين النسخ وكان ما في نسخة الأصل خطأ، فإني أثبت العبارة الصحيحة من النسخ الأخر إن وجدت فيها، أو في إحداها بين معقوفتين </w:t>
      </w:r>
      <w:r>
        <w:rPr>
          <w:rFonts w:hint="cs"/>
          <w:spacing w:val="-2"/>
          <w:rtl/>
          <w:lang w:bidi="ar-AE"/>
        </w:rPr>
        <w:lastRenderedPageBreak/>
        <w:t>[...]؛</w:t>
      </w:r>
      <w:r>
        <w:rPr>
          <w:rFonts w:hint="eastAsia"/>
          <w:spacing w:val="-2"/>
          <w:rtl/>
        </w:rPr>
        <w:t> </w:t>
      </w:r>
      <w:r>
        <w:rPr>
          <w:rFonts w:hint="cs"/>
          <w:spacing w:val="-2"/>
          <w:rtl/>
          <w:lang w:bidi="ar-AE"/>
        </w:rPr>
        <w:t>وذلك لأنه ليس كل قارئ يقرأ الهامش، فلا يؤمن على من لا يرجع إلى الهامش من اعتقاد الخطأ، وفي ذلك كله أشير في الهامش إلى الاختلاف الواقع بين</w:t>
      </w:r>
      <w:r>
        <w:rPr>
          <w:rFonts w:hint="eastAsia"/>
          <w:spacing w:val="-2"/>
          <w:rtl/>
        </w:rPr>
        <w:t> </w:t>
      </w:r>
      <w:r>
        <w:rPr>
          <w:rFonts w:hint="cs"/>
          <w:spacing w:val="-2"/>
          <w:rtl/>
          <w:lang w:bidi="ar-AE"/>
        </w:rPr>
        <w:t>النسخ.</w:t>
      </w:r>
    </w:p>
    <w:p w:rsidR="00BF08C1" w:rsidRDefault="00BF08C1" w:rsidP="009A68A5">
      <w:pPr>
        <w:ind w:left="706" w:hanging="283"/>
        <w:jc w:val="both"/>
        <w:rPr>
          <w:spacing w:val="-8"/>
          <w:rtl/>
          <w:lang w:bidi="ar-AE"/>
        </w:rPr>
      </w:pPr>
      <w:r w:rsidRPr="00CB598F">
        <w:rPr>
          <w:sz w:val="22"/>
          <w:szCs w:val="38"/>
          <w:rtl/>
        </w:rPr>
        <w:t>•</w:t>
      </w:r>
      <w:r>
        <w:rPr>
          <w:rFonts w:hint="cs"/>
          <w:sz w:val="22"/>
          <w:szCs w:val="38"/>
          <w:rtl/>
        </w:rPr>
        <w:t xml:space="preserve"> </w:t>
      </w:r>
      <w:r>
        <w:rPr>
          <w:rFonts w:hint="cs"/>
          <w:spacing w:val="-8"/>
          <w:rtl/>
          <w:lang w:bidi="ar-AE"/>
        </w:rPr>
        <w:t>إذا حصل في النسخ الأخر، أو في إحداها زيادة على ما في نسخة الأصل: فإن كان المعنى يختل بدونها أضفت الزيادة إلى الأصل محصورة بين معقوفتين، وأشير في الهامش إلى مصدرها، وإلا أكتفي بإثباتها في الهامش، مع التنبيه على مصدرها.</w:t>
      </w:r>
    </w:p>
    <w:p w:rsidR="00BF08C1" w:rsidRDefault="00BF08C1" w:rsidP="009A68A5">
      <w:pPr>
        <w:ind w:left="706" w:hanging="283"/>
        <w:jc w:val="both"/>
        <w:rPr>
          <w:spacing w:val="-6"/>
          <w:rtl/>
          <w:lang w:bidi="ar-AE"/>
        </w:rPr>
      </w:pPr>
      <w:r w:rsidRPr="00CB598F">
        <w:rPr>
          <w:sz w:val="22"/>
          <w:szCs w:val="38"/>
          <w:rtl/>
        </w:rPr>
        <w:t>•</w:t>
      </w:r>
      <w:r>
        <w:rPr>
          <w:rFonts w:hint="cs"/>
          <w:sz w:val="22"/>
          <w:szCs w:val="38"/>
          <w:rtl/>
        </w:rPr>
        <w:t xml:space="preserve"> </w:t>
      </w:r>
      <w:r>
        <w:rPr>
          <w:rFonts w:hint="cs"/>
          <w:spacing w:val="-6"/>
          <w:rtl/>
          <w:lang w:bidi="ar-AE"/>
        </w:rPr>
        <w:t xml:space="preserve">إذا كانت الفروق في عبارات الدعاء ونحوها؛ كالصلاة على النبي </w:t>
      </w:r>
      <w:r>
        <w:rPr>
          <w:rFonts w:ascii="AGA Arabesque" w:hAnsi="AGA Arabesque"/>
          <w:spacing w:val="-6"/>
          <w:sz w:val="36"/>
        </w:rPr>
        <w:t></w:t>
      </w:r>
      <w:r>
        <w:rPr>
          <w:rFonts w:hint="cs"/>
          <w:spacing w:val="-6"/>
          <w:rtl/>
          <w:lang w:bidi="ar-AE"/>
        </w:rPr>
        <w:t>، والترضّي والترحّم</w:t>
      </w:r>
      <w:r w:rsidR="0048366D">
        <w:rPr>
          <w:rFonts w:hint="eastAsia"/>
          <w:spacing w:val="-6"/>
          <w:rtl/>
        </w:rPr>
        <w:t>.</w:t>
      </w:r>
      <w:r>
        <w:rPr>
          <w:rFonts w:hint="cs"/>
          <w:spacing w:val="-6"/>
          <w:rtl/>
          <w:lang w:bidi="ar-AE"/>
        </w:rPr>
        <w:t>..</w:t>
      </w:r>
      <w:r w:rsidR="0048366D">
        <w:rPr>
          <w:rFonts w:hint="cs"/>
          <w:spacing w:val="-6"/>
          <w:rtl/>
          <w:lang w:bidi="ar-AE"/>
        </w:rPr>
        <w:t>:</w:t>
      </w:r>
      <w:r>
        <w:rPr>
          <w:rFonts w:hint="cs"/>
          <w:spacing w:val="-6"/>
          <w:rtl/>
          <w:lang w:bidi="ar-AE"/>
        </w:rPr>
        <w:t xml:space="preserve"> فإني أثبت ما في الأصل دون الإشارة إلى ما في بقية النسخ.</w:t>
      </w:r>
    </w:p>
    <w:p w:rsidR="00BF08C1" w:rsidRDefault="00BF08C1" w:rsidP="009A68A5">
      <w:pPr>
        <w:ind w:firstLine="423"/>
        <w:jc w:val="both"/>
        <w:rPr>
          <w:spacing w:val="-2"/>
          <w:rtl/>
          <w:lang w:bidi="ar-AE"/>
        </w:rPr>
      </w:pPr>
      <w:r>
        <w:rPr>
          <w:rFonts w:hint="cs"/>
          <w:b/>
          <w:bCs/>
          <w:spacing w:val="-2"/>
          <w:rtl/>
          <w:lang w:bidi="ar-AE"/>
        </w:rPr>
        <w:t>2</w:t>
      </w:r>
      <w:r>
        <w:rPr>
          <w:rFonts w:hint="cs"/>
          <w:spacing w:val="-2"/>
          <w:rtl/>
          <w:lang w:bidi="ar-AE"/>
        </w:rPr>
        <w:t xml:space="preserve"> - ما يتعلق بالناحية الشكلية للنص، اتخذت الخطوات الآتية</w:t>
      </w:r>
      <w:r w:rsidR="0048366D">
        <w:rPr>
          <w:rFonts w:hint="cs"/>
          <w:spacing w:val="-2"/>
          <w:rtl/>
          <w:lang w:bidi="ar-AE"/>
        </w:rPr>
        <w:t>:</w:t>
      </w:r>
    </w:p>
    <w:p w:rsidR="00BF08C1" w:rsidRDefault="00BF08C1" w:rsidP="009A68A5">
      <w:pPr>
        <w:ind w:firstLine="0"/>
        <w:jc w:val="both"/>
        <w:rPr>
          <w:spacing w:val="-2"/>
          <w:rtl/>
          <w:lang w:bidi="ar-AE"/>
        </w:rPr>
      </w:pPr>
      <w:r>
        <w:rPr>
          <w:rFonts w:hint="cs"/>
          <w:b/>
          <w:bCs/>
          <w:spacing w:val="-2"/>
          <w:rtl/>
        </w:rPr>
        <w:t xml:space="preserve"> </w:t>
      </w:r>
      <w:r>
        <w:rPr>
          <w:rFonts w:hint="cs"/>
          <w:b/>
          <w:bCs/>
          <w:spacing w:val="-2"/>
          <w:rtl/>
        </w:rPr>
        <w:tab/>
      </w:r>
      <w:r>
        <w:rPr>
          <w:rFonts w:hint="cs"/>
          <w:b/>
          <w:bCs/>
          <w:spacing w:val="-2"/>
          <w:rtl/>
          <w:lang w:bidi="ar-AE"/>
        </w:rPr>
        <w:t>أ</w:t>
      </w:r>
      <w:r>
        <w:rPr>
          <w:rFonts w:hint="cs"/>
          <w:spacing w:val="-2"/>
          <w:rtl/>
          <w:lang w:bidi="ar-AE"/>
        </w:rPr>
        <w:t xml:space="preserve"> - رسم الكتابة بالرسم المعاصر، مراعيًا القواعد الإملائية الحديثة.</w:t>
      </w:r>
    </w:p>
    <w:p w:rsidR="00BF08C1" w:rsidRDefault="00BF08C1" w:rsidP="009A68A5">
      <w:pPr>
        <w:ind w:firstLine="720"/>
        <w:jc w:val="both"/>
        <w:rPr>
          <w:spacing w:val="-2"/>
          <w:rtl/>
          <w:lang w:bidi="ar-AE"/>
        </w:rPr>
      </w:pPr>
      <w:r>
        <w:rPr>
          <w:rFonts w:hint="cs"/>
          <w:b/>
          <w:bCs/>
          <w:spacing w:val="-2"/>
          <w:rtl/>
          <w:lang w:bidi="ar-AE"/>
        </w:rPr>
        <w:t xml:space="preserve"> ب</w:t>
      </w:r>
      <w:r>
        <w:rPr>
          <w:rFonts w:hint="cs"/>
          <w:spacing w:val="-2"/>
          <w:rtl/>
          <w:lang w:bidi="ar-AE"/>
        </w:rPr>
        <w:t xml:space="preserve"> - كتابة الآيات القرآنية بالرسم العثماني.</w:t>
      </w:r>
    </w:p>
    <w:p w:rsidR="00BF08C1" w:rsidRDefault="00BF08C1" w:rsidP="009A68A5">
      <w:pPr>
        <w:ind w:firstLine="720"/>
        <w:jc w:val="both"/>
        <w:rPr>
          <w:spacing w:val="-6"/>
          <w:rtl/>
          <w:lang w:bidi="ar-AE"/>
        </w:rPr>
      </w:pPr>
      <w:r>
        <w:rPr>
          <w:rFonts w:hint="cs"/>
          <w:b/>
          <w:bCs/>
          <w:spacing w:val="-6"/>
          <w:rtl/>
          <w:lang w:bidi="ar-AE"/>
        </w:rPr>
        <w:t xml:space="preserve"> جـ</w:t>
      </w:r>
      <w:r>
        <w:rPr>
          <w:rFonts w:hint="cs"/>
          <w:spacing w:val="-6"/>
          <w:rtl/>
          <w:lang w:bidi="ar-AE"/>
        </w:rPr>
        <w:t xml:space="preserve"> - وضع كل حرف من حروف الهجاء في باب مستقل، تمشيًا مع منهج المؤلف.</w:t>
      </w:r>
    </w:p>
    <w:p w:rsidR="00BF08C1" w:rsidRDefault="00BF08C1" w:rsidP="009A68A5">
      <w:pPr>
        <w:ind w:firstLine="0"/>
        <w:jc w:val="both"/>
        <w:rPr>
          <w:spacing w:val="-2"/>
          <w:rtl/>
          <w:lang w:bidi="ar-AE"/>
        </w:rPr>
      </w:pPr>
      <w:r>
        <w:rPr>
          <w:rFonts w:hint="cs"/>
          <w:b/>
          <w:bCs/>
          <w:spacing w:val="-2"/>
          <w:rtl/>
          <w:lang w:bidi="ar-AE"/>
        </w:rPr>
        <w:t xml:space="preserve"> </w:t>
      </w:r>
      <w:r>
        <w:rPr>
          <w:rFonts w:hint="cs"/>
          <w:b/>
          <w:bCs/>
          <w:spacing w:val="-2"/>
          <w:rtl/>
        </w:rPr>
        <w:tab/>
      </w:r>
      <w:r>
        <w:rPr>
          <w:rFonts w:hint="cs"/>
          <w:b/>
          <w:bCs/>
          <w:spacing w:val="-2"/>
          <w:rtl/>
          <w:lang w:bidi="ar-AE"/>
        </w:rPr>
        <w:t>د-</w:t>
      </w:r>
      <w:r>
        <w:rPr>
          <w:rFonts w:hint="cs"/>
          <w:spacing w:val="-2"/>
          <w:rtl/>
          <w:lang w:bidi="ar-AE"/>
        </w:rPr>
        <w:t xml:space="preserve"> ترقيم القواعد ترقيمًا تسلسليًّا كتابةً.</w:t>
      </w:r>
    </w:p>
    <w:p w:rsidR="00BF08C1" w:rsidRDefault="00BF08C1" w:rsidP="009A68A5">
      <w:pPr>
        <w:ind w:firstLine="720"/>
        <w:jc w:val="both"/>
        <w:rPr>
          <w:spacing w:val="-2"/>
          <w:rtl/>
          <w:lang w:bidi="ar-AE"/>
        </w:rPr>
      </w:pPr>
      <w:r>
        <w:rPr>
          <w:rFonts w:hint="cs"/>
          <w:b/>
          <w:bCs/>
          <w:spacing w:val="-2"/>
          <w:rtl/>
          <w:lang w:bidi="ar-AE"/>
        </w:rPr>
        <w:t>هـ-</w:t>
      </w:r>
      <w:r>
        <w:rPr>
          <w:rFonts w:hint="cs"/>
          <w:spacing w:val="-2"/>
          <w:rtl/>
          <w:lang w:bidi="ar-AE"/>
        </w:rPr>
        <w:t xml:space="preserve"> كتابة نص القاعدة كتابة واضحة مُسوّدة مضبوطة بالشّكل. وكذلك تسويد العبارات</w:t>
      </w:r>
      <w:r>
        <w:rPr>
          <w:rFonts w:hint="eastAsia"/>
          <w:spacing w:val="-2"/>
          <w:rtl/>
        </w:rPr>
        <w:t> </w:t>
      </w:r>
      <w:r>
        <w:rPr>
          <w:rFonts w:hint="cs"/>
          <w:spacing w:val="-2"/>
          <w:rtl/>
          <w:lang w:bidi="ar-AE"/>
        </w:rPr>
        <w:t>التي تحتاج إلى إبراز ولفت نظر القارئ إليها.</w:t>
      </w:r>
    </w:p>
    <w:p w:rsidR="00BF08C1" w:rsidRDefault="00BF08C1" w:rsidP="009A68A5">
      <w:pPr>
        <w:jc w:val="both"/>
        <w:rPr>
          <w:spacing w:val="-2"/>
          <w:rtl/>
          <w:lang w:bidi="ar-AE"/>
        </w:rPr>
      </w:pPr>
      <w:r>
        <w:rPr>
          <w:rFonts w:hint="cs"/>
          <w:b/>
          <w:bCs/>
          <w:spacing w:val="-2"/>
          <w:rtl/>
          <w:lang w:bidi="ar-AE"/>
        </w:rPr>
        <w:t>و-</w:t>
      </w:r>
      <w:r>
        <w:rPr>
          <w:rFonts w:hint="cs"/>
          <w:spacing w:val="-2"/>
          <w:rtl/>
          <w:lang w:bidi="ar-AE"/>
        </w:rPr>
        <w:t xml:space="preserve"> تكون الإحالة إلى الهوامش في الأصل بطريقتين</w:t>
      </w:r>
      <w:r w:rsidR="0048366D">
        <w:rPr>
          <w:rFonts w:hint="cs"/>
          <w:spacing w:val="-2"/>
          <w:rtl/>
          <w:lang w:bidi="ar-AE"/>
        </w:rPr>
        <w:t>:</w:t>
      </w:r>
    </w:p>
    <w:p w:rsidR="00BF08C1" w:rsidRDefault="00BF08C1" w:rsidP="009A68A5">
      <w:pPr>
        <w:jc w:val="both"/>
        <w:rPr>
          <w:spacing w:val="-2"/>
          <w:rtl/>
          <w:lang w:bidi="ar-AE"/>
        </w:rPr>
      </w:pPr>
      <w:r>
        <w:rPr>
          <w:rFonts w:hint="cs"/>
          <w:b/>
          <w:bCs/>
          <w:spacing w:val="-2"/>
          <w:rtl/>
          <w:lang w:bidi="ar-AE"/>
        </w:rPr>
        <w:t>1-</w:t>
      </w:r>
      <w:r>
        <w:rPr>
          <w:rFonts w:hint="cs"/>
          <w:spacing w:val="-2"/>
          <w:rtl/>
          <w:lang w:bidi="ar-AE"/>
        </w:rPr>
        <w:t xml:space="preserve"> الإحالة إليها في الأصل بأرقام مجردة عن الأقواس؛ وذلك عندما تكون الإحالة متعلقة باختلاف النسخ أو نهاية لوحاتها.</w:t>
      </w:r>
    </w:p>
    <w:p w:rsidR="00BF08C1" w:rsidRDefault="00BF08C1" w:rsidP="009A68A5">
      <w:pPr>
        <w:jc w:val="both"/>
        <w:rPr>
          <w:spacing w:val="-10"/>
          <w:sz w:val="34"/>
          <w:szCs w:val="34"/>
          <w:rtl/>
          <w:lang w:bidi="ar-AE"/>
        </w:rPr>
      </w:pPr>
      <w:r>
        <w:rPr>
          <w:rFonts w:hint="cs"/>
          <w:b/>
          <w:bCs/>
          <w:spacing w:val="-10"/>
          <w:sz w:val="34"/>
          <w:szCs w:val="34"/>
          <w:rtl/>
          <w:lang w:bidi="ar-AE"/>
        </w:rPr>
        <w:t>2-</w:t>
      </w:r>
      <w:r>
        <w:rPr>
          <w:rFonts w:hint="cs"/>
          <w:spacing w:val="-10"/>
          <w:sz w:val="34"/>
          <w:szCs w:val="34"/>
          <w:rtl/>
          <w:lang w:bidi="ar-AE"/>
        </w:rPr>
        <w:t xml:space="preserve"> الإحالة إليها في الأصل بأرقام محاطة بالأقواس؛ وذلك عندما تكون الإحالة فيما سوى ذلك. </w:t>
      </w:r>
    </w:p>
    <w:p w:rsidR="00BF08C1" w:rsidRDefault="00BF08C1" w:rsidP="009A68A5">
      <w:pPr>
        <w:jc w:val="both"/>
        <w:rPr>
          <w:spacing w:val="-2"/>
          <w:rtl/>
          <w:lang w:bidi="ar-AE"/>
        </w:rPr>
      </w:pPr>
      <w:r>
        <w:rPr>
          <w:rFonts w:hint="cs"/>
          <w:b/>
          <w:bCs/>
          <w:spacing w:val="-2"/>
          <w:rtl/>
          <w:lang w:bidi="ar-AE"/>
        </w:rPr>
        <w:t>والدافع لهذا</w:t>
      </w:r>
      <w:r w:rsidR="0048366D">
        <w:rPr>
          <w:rFonts w:hint="cs"/>
          <w:b/>
          <w:bCs/>
          <w:spacing w:val="-2"/>
          <w:rtl/>
          <w:lang w:bidi="ar-AE"/>
        </w:rPr>
        <w:t>:</w:t>
      </w:r>
      <w:r>
        <w:rPr>
          <w:rFonts w:hint="cs"/>
          <w:spacing w:val="-2"/>
          <w:rtl/>
          <w:lang w:bidi="ar-AE"/>
        </w:rPr>
        <w:t xml:space="preserve"> أن كثرة الإحالة إلى الهامش بسبب اختلاف النسخ تقطع تسلسل أفكار القارئ وتزعجه، فله حينما يمر بأرقام لا تحيط بها أقواس أن يعتمد على ما أثبتّه </w:t>
      </w:r>
      <w:r>
        <w:rPr>
          <w:rFonts w:hint="cs"/>
          <w:spacing w:val="-2"/>
          <w:rtl/>
          <w:lang w:bidi="ar-AE"/>
        </w:rPr>
        <w:lastRenderedPageBreak/>
        <w:t>في الصلب ويستمرّ في القراءة، وله أن يرجع إلى الهامش إن احتاج إلى ذلك</w:t>
      </w:r>
      <w:r>
        <w:rPr>
          <w:rFonts w:hint="cs"/>
          <w:spacing w:val="-2"/>
          <w:vertAlign w:val="superscript"/>
          <w:rtl/>
          <w:lang w:bidi="ar-AE"/>
        </w:rPr>
        <w:t>(</w:t>
      </w:r>
      <w:r>
        <w:rPr>
          <w:rStyle w:val="a7"/>
          <w:spacing w:val="-2"/>
          <w:lang w:bidi="ar-AE"/>
        </w:rPr>
        <w:footnoteReference w:id="391"/>
      </w:r>
      <w:r>
        <w:rPr>
          <w:rFonts w:hint="cs"/>
          <w:spacing w:val="-2"/>
          <w:vertAlign w:val="superscript"/>
          <w:rtl/>
          <w:lang w:bidi="ar-AE"/>
        </w:rPr>
        <w:t>)</w:t>
      </w:r>
      <w:r>
        <w:rPr>
          <w:rFonts w:hint="cs"/>
          <w:spacing w:val="-2"/>
          <w:rtl/>
          <w:lang w:bidi="ar-AE"/>
        </w:rPr>
        <w:t>.</w:t>
      </w:r>
    </w:p>
    <w:p w:rsidR="00BF08C1" w:rsidRDefault="00BF08C1" w:rsidP="009A68A5">
      <w:pPr>
        <w:jc w:val="both"/>
        <w:rPr>
          <w:b/>
          <w:bCs/>
          <w:spacing w:val="-2"/>
          <w:rtl/>
          <w:lang w:bidi="ar-AE"/>
        </w:rPr>
      </w:pPr>
      <w:r>
        <w:rPr>
          <w:rFonts w:hint="cs"/>
          <w:b/>
          <w:bCs/>
          <w:spacing w:val="-2"/>
          <w:rtl/>
          <w:lang w:bidi="ar-AE"/>
        </w:rPr>
        <w:t>الفرع الثاني</w:t>
      </w:r>
      <w:r w:rsidR="0048366D">
        <w:rPr>
          <w:rFonts w:hint="cs"/>
          <w:b/>
          <w:bCs/>
          <w:spacing w:val="-2"/>
          <w:rtl/>
          <w:lang w:bidi="ar-AE"/>
        </w:rPr>
        <w:t>:</w:t>
      </w:r>
      <w:r>
        <w:rPr>
          <w:rFonts w:hint="cs"/>
          <w:b/>
          <w:bCs/>
          <w:spacing w:val="-2"/>
          <w:rtl/>
          <w:lang w:bidi="ar-AE"/>
        </w:rPr>
        <w:t xml:space="preserve"> منهج التعليق والتهميش</w:t>
      </w:r>
      <w:r w:rsidR="0048366D">
        <w:rPr>
          <w:rFonts w:hint="cs"/>
          <w:b/>
          <w:bCs/>
          <w:spacing w:val="-2"/>
          <w:rtl/>
          <w:lang w:bidi="ar-AE"/>
        </w:rPr>
        <w:t>:</w:t>
      </w:r>
    </w:p>
    <w:p w:rsidR="00BF08C1" w:rsidRDefault="00BF08C1" w:rsidP="009A68A5">
      <w:pPr>
        <w:jc w:val="both"/>
        <w:rPr>
          <w:spacing w:val="-2"/>
          <w:rtl/>
        </w:rPr>
      </w:pPr>
      <w:r>
        <w:rPr>
          <w:rFonts w:hint="cs"/>
          <w:b/>
          <w:bCs/>
          <w:spacing w:val="-2"/>
          <w:rtl/>
          <w:lang w:bidi="ar-AE"/>
        </w:rPr>
        <w:t>1-</w:t>
      </w:r>
      <w:r>
        <w:rPr>
          <w:rFonts w:hint="cs"/>
          <w:spacing w:val="-2"/>
          <w:rtl/>
          <w:lang w:bidi="ar-AE"/>
        </w:rPr>
        <w:t xml:space="preserve"> بيان أرقام الآيات، وعزوها لسورها؛ فإن كانت آية كاملة، قلت</w:t>
      </w:r>
      <w:r w:rsidR="0048366D">
        <w:rPr>
          <w:rFonts w:hint="cs"/>
          <w:spacing w:val="-2"/>
          <w:rtl/>
          <w:lang w:bidi="ar-AE"/>
        </w:rPr>
        <w:t>:</w:t>
      </w:r>
      <w:r>
        <w:rPr>
          <w:rFonts w:hint="cs"/>
          <w:spacing w:val="-2"/>
          <w:rtl/>
          <w:lang w:bidi="ar-AE"/>
        </w:rPr>
        <w:t xml:space="preserve"> الآية رقم  (....) من سورة (كذا)، وإن كانت جزءًا من آية، قلت</w:t>
      </w:r>
      <w:r w:rsidR="0048366D">
        <w:rPr>
          <w:rFonts w:hint="cs"/>
          <w:spacing w:val="-2"/>
          <w:rtl/>
          <w:lang w:bidi="ar-AE"/>
        </w:rPr>
        <w:t>:</w:t>
      </w:r>
      <w:r>
        <w:rPr>
          <w:rFonts w:hint="cs"/>
          <w:spacing w:val="-2"/>
          <w:rtl/>
          <w:lang w:bidi="ar-AE"/>
        </w:rPr>
        <w:t xml:space="preserve"> من الآية رقم  (.....) من سورة (كذا).</w:t>
      </w:r>
    </w:p>
    <w:p w:rsidR="00BF08C1" w:rsidRDefault="00BF08C1" w:rsidP="009A68A5">
      <w:pPr>
        <w:jc w:val="both"/>
        <w:rPr>
          <w:spacing w:val="-2"/>
          <w:rtl/>
          <w:lang w:bidi="ar-AE"/>
        </w:rPr>
      </w:pPr>
      <w:r>
        <w:rPr>
          <w:rFonts w:hint="cs"/>
          <w:b/>
          <w:bCs/>
          <w:spacing w:val="-2"/>
          <w:rtl/>
          <w:lang w:bidi="ar-AE"/>
        </w:rPr>
        <w:t>2</w:t>
      </w:r>
      <w:r>
        <w:rPr>
          <w:rFonts w:hint="cs"/>
          <w:spacing w:val="-2"/>
          <w:rtl/>
          <w:lang w:bidi="ar-AE"/>
        </w:rPr>
        <w:t>- تخريج الأحاديث والآثار، واتبعت في ذلك المنهج الآتي</w:t>
      </w:r>
      <w:r w:rsidR="0048366D">
        <w:rPr>
          <w:rFonts w:hint="cs"/>
          <w:spacing w:val="-2"/>
          <w:rtl/>
          <w:lang w:bidi="ar-AE"/>
        </w:rPr>
        <w:t>:</w:t>
      </w:r>
    </w:p>
    <w:p w:rsidR="00BF08C1" w:rsidRDefault="00BF08C1" w:rsidP="009A68A5">
      <w:pPr>
        <w:jc w:val="both"/>
        <w:rPr>
          <w:spacing w:val="-2"/>
          <w:rtl/>
          <w:lang w:bidi="ar-AE"/>
        </w:rPr>
      </w:pPr>
      <w:r>
        <w:rPr>
          <w:rFonts w:hint="cs"/>
          <w:b/>
          <w:bCs/>
          <w:spacing w:val="-2"/>
          <w:rtl/>
          <w:lang w:bidi="ar-AE"/>
        </w:rPr>
        <w:t>أ-</w:t>
      </w:r>
      <w:r>
        <w:rPr>
          <w:rFonts w:hint="cs"/>
          <w:spacing w:val="-2"/>
          <w:rtl/>
          <w:lang w:bidi="ar-AE"/>
        </w:rPr>
        <w:t xml:space="preserve"> بيان من أخرج الحديث، أو الأثر بلفظه الوارد في الكتاب.</w:t>
      </w:r>
    </w:p>
    <w:p w:rsidR="00BF08C1" w:rsidRDefault="00BF08C1" w:rsidP="009A68A5">
      <w:pPr>
        <w:jc w:val="both"/>
        <w:rPr>
          <w:spacing w:val="-2"/>
          <w:rtl/>
          <w:lang w:bidi="ar-AE"/>
        </w:rPr>
      </w:pPr>
      <w:r>
        <w:rPr>
          <w:rFonts w:hint="cs"/>
          <w:b/>
          <w:bCs/>
          <w:spacing w:val="-2"/>
          <w:rtl/>
          <w:lang w:bidi="ar-AE"/>
        </w:rPr>
        <w:t>ب-</w:t>
      </w:r>
      <w:r>
        <w:rPr>
          <w:rFonts w:hint="cs"/>
          <w:spacing w:val="-2"/>
          <w:rtl/>
          <w:lang w:bidi="ar-AE"/>
        </w:rPr>
        <w:t xml:space="preserve"> بيان من أخرج الحديث، أو الأثر بنحو اللفظ الوارد في الكتاب.</w:t>
      </w:r>
    </w:p>
    <w:p w:rsidR="00BF08C1" w:rsidRDefault="00BF08C1" w:rsidP="009A68A5">
      <w:pPr>
        <w:jc w:val="both"/>
        <w:rPr>
          <w:spacing w:val="-6"/>
          <w:rtl/>
          <w:lang w:bidi="ar-AE"/>
        </w:rPr>
      </w:pPr>
      <w:r>
        <w:rPr>
          <w:rFonts w:hint="cs"/>
          <w:b/>
          <w:bCs/>
          <w:spacing w:val="-6"/>
          <w:rtl/>
          <w:lang w:bidi="ar-AE"/>
        </w:rPr>
        <w:t>جـ-</w:t>
      </w:r>
      <w:r>
        <w:rPr>
          <w:rFonts w:hint="cs"/>
          <w:spacing w:val="-6"/>
          <w:rtl/>
          <w:lang w:bidi="ar-AE"/>
        </w:rPr>
        <w:t xml:space="preserve"> بيان من أخرج الحديث، أو الأثر بمعناه، مع مراعاة ما سيأتي في الفقرة (هـ).</w:t>
      </w:r>
    </w:p>
    <w:p w:rsidR="00BF08C1" w:rsidRDefault="00BF08C1" w:rsidP="009A68A5">
      <w:pPr>
        <w:jc w:val="both"/>
        <w:rPr>
          <w:spacing w:val="-2"/>
          <w:rtl/>
          <w:lang w:bidi="ar-AE"/>
        </w:rPr>
      </w:pPr>
      <w:r>
        <w:rPr>
          <w:rFonts w:hint="cs"/>
          <w:b/>
          <w:bCs/>
          <w:spacing w:val="-2"/>
          <w:rtl/>
          <w:lang w:bidi="ar-AE"/>
        </w:rPr>
        <w:t>د-</w:t>
      </w:r>
      <w:r>
        <w:rPr>
          <w:rFonts w:hint="cs"/>
          <w:spacing w:val="-2"/>
          <w:rtl/>
          <w:lang w:bidi="ar-AE"/>
        </w:rPr>
        <w:t xml:space="preserve"> الإحالة على مصدر الحديث أو الأثر بذكر الكتاب والباب، ثم بذكر الجزء والصفحة، ورقم الحديث أو الأثر إن كان مذكورًا في المصدر.</w:t>
      </w:r>
    </w:p>
    <w:p w:rsidR="00BF08C1" w:rsidRDefault="00BF08C1" w:rsidP="009A68A5">
      <w:pPr>
        <w:jc w:val="both"/>
        <w:rPr>
          <w:spacing w:val="-2"/>
          <w:rtl/>
          <w:lang w:bidi="ar-AE"/>
        </w:rPr>
      </w:pPr>
      <w:r>
        <w:rPr>
          <w:rFonts w:hint="cs"/>
          <w:b/>
          <w:bCs/>
          <w:spacing w:val="-2"/>
          <w:rtl/>
          <w:lang w:bidi="ar-AE"/>
        </w:rPr>
        <w:t>هـ</w:t>
      </w:r>
      <w:r>
        <w:rPr>
          <w:rFonts w:hint="cs"/>
          <w:spacing w:val="-2"/>
          <w:rtl/>
          <w:lang w:bidi="ar-AE"/>
        </w:rPr>
        <w:t xml:space="preserve"> </w:t>
      </w:r>
      <w:r>
        <w:rPr>
          <w:rFonts w:hint="cs"/>
          <w:b/>
          <w:bCs/>
          <w:spacing w:val="-2"/>
          <w:rtl/>
          <w:lang w:bidi="ar-AE"/>
        </w:rPr>
        <w:t>-</w:t>
      </w:r>
      <w:r>
        <w:rPr>
          <w:rFonts w:hint="cs"/>
          <w:spacing w:val="-2"/>
          <w:rtl/>
          <w:lang w:bidi="ar-AE"/>
        </w:rPr>
        <w:t xml:space="preserve"> إن كان الحديث في الصحيحين أو أحدهما</w:t>
      </w:r>
      <w:r w:rsidR="0048366D">
        <w:rPr>
          <w:rFonts w:hint="cs"/>
          <w:spacing w:val="-2"/>
          <w:rtl/>
          <w:lang w:bidi="ar-AE"/>
        </w:rPr>
        <w:t>:</w:t>
      </w:r>
      <w:r>
        <w:rPr>
          <w:rFonts w:hint="cs"/>
          <w:spacing w:val="-2"/>
          <w:rtl/>
          <w:lang w:bidi="ar-AE"/>
        </w:rPr>
        <w:t xml:space="preserve"> فأكتفي بتخريجه منهما.</w:t>
      </w:r>
    </w:p>
    <w:p w:rsidR="00BF08C1" w:rsidRDefault="00BF08C1" w:rsidP="009A68A5">
      <w:pPr>
        <w:jc w:val="both"/>
        <w:rPr>
          <w:spacing w:val="-2"/>
          <w:rtl/>
          <w:lang w:bidi="ar-AE"/>
        </w:rPr>
      </w:pPr>
      <w:r>
        <w:rPr>
          <w:rFonts w:hint="cs"/>
          <w:b/>
          <w:bCs/>
          <w:spacing w:val="-2"/>
          <w:rtl/>
          <w:lang w:bidi="ar-AE"/>
        </w:rPr>
        <w:t>و-</w:t>
      </w:r>
      <w:r>
        <w:rPr>
          <w:rFonts w:hint="cs"/>
          <w:spacing w:val="-2"/>
          <w:rtl/>
          <w:lang w:bidi="ar-AE"/>
        </w:rPr>
        <w:t xml:space="preserve"> إن لم يكن في أيٍّ منهما</w:t>
      </w:r>
      <w:r w:rsidR="0048366D">
        <w:rPr>
          <w:rFonts w:hint="cs"/>
          <w:spacing w:val="-2"/>
          <w:rtl/>
          <w:lang w:bidi="ar-AE"/>
        </w:rPr>
        <w:t>:</w:t>
      </w:r>
      <w:r>
        <w:rPr>
          <w:rFonts w:hint="cs"/>
          <w:spacing w:val="-2"/>
          <w:rtl/>
          <w:lang w:bidi="ar-AE"/>
        </w:rPr>
        <w:t xml:space="preserve"> خرّجته من المصادر الأُخَرِ المعتمدة، مع ذكر ما قاله أهل الحديث فيه.</w:t>
      </w:r>
    </w:p>
    <w:p w:rsidR="00BF08C1" w:rsidRDefault="00BF08C1" w:rsidP="009A68A5">
      <w:pPr>
        <w:jc w:val="both"/>
        <w:rPr>
          <w:spacing w:val="-2"/>
          <w:rtl/>
          <w:lang w:bidi="ar-AE"/>
        </w:rPr>
      </w:pPr>
      <w:r>
        <w:rPr>
          <w:rFonts w:hint="cs"/>
          <w:b/>
          <w:bCs/>
          <w:spacing w:val="-2"/>
          <w:rtl/>
          <w:lang w:bidi="ar-AE"/>
        </w:rPr>
        <w:t>3-</w:t>
      </w:r>
      <w:r>
        <w:rPr>
          <w:rFonts w:hint="cs"/>
          <w:spacing w:val="-2"/>
          <w:rtl/>
          <w:lang w:bidi="ar-AE"/>
        </w:rPr>
        <w:t xml:space="preserve"> عزو الأشعار إلى مصادرها، وأتبع في ذلك المنهج الآتي</w:t>
      </w:r>
      <w:r w:rsidR="0048366D">
        <w:rPr>
          <w:rFonts w:hint="cs"/>
          <w:spacing w:val="-2"/>
          <w:rtl/>
          <w:lang w:bidi="ar-AE"/>
        </w:rPr>
        <w:t>:</w:t>
      </w:r>
      <w:r>
        <w:rPr>
          <w:rFonts w:hint="cs"/>
          <w:spacing w:val="-2"/>
          <w:rtl/>
          <w:lang w:bidi="ar-AE"/>
        </w:rPr>
        <w:t xml:space="preserve"> -</w:t>
      </w:r>
    </w:p>
    <w:p w:rsidR="00BF08C1" w:rsidRDefault="00BF08C1" w:rsidP="009A68A5">
      <w:pPr>
        <w:jc w:val="both"/>
        <w:rPr>
          <w:spacing w:val="-2"/>
          <w:rtl/>
          <w:lang w:bidi="ar-AE"/>
        </w:rPr>
      </w:pPr>
      <w:r>
        <w:rPr>
          <w:rFonts w:hint="cs"/>
          <w:b/>
          <w:bCs/>
          <w:spacing w:val="-2"/>
          <w:rtl/>
          <w:lang w:bidi="ar-AE"/>
        </w:rPr>
        <w:t>أ</w:t>
      </w:r>
      <w:r>
        <w:rPr>
          <w:rFonts w:hint="cs"/>
          <w:spacing w:val="-2"/>
          <w:rtl/>
          <w:lang w:bidi="ar-AE"/>
        </w:rPr>
        <w:t xml:space="preserve"> </w:t>
      </w:r>
      <w:r>
        <w:rPr>
          <w:rFonts w:hint="cs"/>
          <w:b/>
          <w:bCs/>
          <w:spacing w:val="-2"/>
          <w:rtl/>
          <w:lang w:bidi="ar-AE"/>
        </w:rPr>
        <w:t>-</w:t>
      </w:r>
      <w:r>
        <w:rPr>
          <w:rFonts w:hint="cs"/>
          <w:spacing w:val="-2"/>
          <w:rtl/>
          <w:lang w:bidi="ar-AE"/>
        </w:rPr>
        <w:t xml:space="preserve"> إن كان لصاحب الشعر ديوان</w:t>
      </w:r>
      <w:r w:rsidR="0048366D">
        <w:rPr>
          <w:rFonts w:hint="cs"/>
          <w:spacing w:val="-2"/>
          <w:rtl/>
          <w:lang w:bidi="ar-AE"/>
        </w:rPr>
        <w:t>:</w:t>
      </w:r>
      <w:r>
        <w:rPr>
          <w:rFonts w:hint="cs"/>
          <w:spacing w:val="-2"/>
          <w:rtl/>
          <w:lang w:bidi="ar-AE"/>
        </w:rPr>
        <w:t xml:space="preserve"> وثّقت شعره من ديوانه.</w:t>
      </w:r>
    </w:p>
    <w:p w:rsidR="00BF08C1" w:rsidRDefault="00BF08C1" w:rsidP="009A68A5">
      <w:pPr>
        <w:jc w:val="both"/>
        <w:rPr>
          <w:spacing w:val="-2"/>
          <w:rtl/>
          <w:lang w:bidi="ar-AE"/>
        </w:rPr>
      </w:pPr>
      <w:r>
        <w:rPr>
          <w:rFonts w:hint="cs"/>
          <w:b/>
          <w:bCs/>
          <w:spacing w:val="-2"/>
          <w:rtl/>
          <w:lang w:bidi="ar-AE"/>
        </w:rPr>
        <w:t>ب</w:t>
      </w:r>
      <w:r>
        <w:rPr>
          <w:rFonts w:hint="cs"/>
          <w:spacing w:val="-2"/>
          <w:rtl/>
          <w:lang w:bidi="ar-AE"/>
        </w:rPr>
        <w:t xml:space="preserve"> </w:t>
      </w:r>
      <w:r>
        <w:rPr>
          <w:rFonts w:hint="cs"/>
          <w:b/>
          <w:bCs/>
          <w:spacing w:val="-2"/>
          <w:rtl/>
          <w:lang w:bidi="ar-AE"/>
        </w:rPr>
        <w:t>-</w:t>
      </w:r>
      <w:r>
        <w:rPr>
          <w:rFonts w:hint="cs"/>
          <w:spacing w:val="-2"/>
          <w:rtl/>
          <w:lang w:bidi="ar-AE"/>
        </w:rPr>
        <w:t xml:space="preserve"> إن لم يكن له ديوان</w:t>
      </w:r>
      <w:r w:rsidR="0048366D">
        <w:rPr>
          <w:rFonts w:hint="cs"/>
          <w:spacing w:val="-2"/>
          <w:rtl/>
          <w:lang w:bidi="ar-AE"/>
        </w:rPr>
        <w:t>:</w:t>
      </w:r>
      <w:r>
        <w:rPr>
          <w:rFonts w:hint="cs"/>
          <w:spacing w:val="-2"/>
          <w:rtl/>
          <w:lang w:bidi="ar-AE"/>
        </w:rPr>
        <w:t xml:space="preserve"> وثّقت الشعر مما تيسر من دواوين الأدب واللغة.</w:t>
      </w:r>
    </w:p>
    <w:p w:rsidR="00BF08C1" w:rsidRDefault="00BF08C1" w:rsidP="009A68A5">
      <w:pPr>
        <w:jc w:val="both"/>
        <w:rPr>
          <w:spacing w:val="-2"/>
          <w:rtl/>
          <w:lang w:bidi="ar-AE"/>
        </w:rPr>
      </w:pPr>
      <w:r>
        <w:rPr>
          <w:rFonts w:hint="cs"/>
          <w:b/>
          <w:bCs/>
          <w:spacing w:val="-2"/>
          <w:rtl/>
          <w:lang w:bidi="ar-AE"/>
        </w:rPr>
        <w:t>4-</w:t>
      </w:r>
      <w:r>
        <w:rPr>
          <w:rFonts w:hint="cs"/>
          <w:spacing w:val="-2"/>
          <w:rtl/>
          <w:lang w:bidi="ar-AE"/>
        </w:rPr>
        <w:t xml:space="preserve"> توثيق القواعد الواردة في الكتاب المحقّق؛ ببيان أصل القاعدة من المصادر التي استفاد منها المؤلف، مع بيان أهم من أوردها من مؤلفي القواعد الفقهية في كافّة المذاهب.</w:t>
      </w:r>
    </w:p>
    <w:p w:rsidR="00BF08C1" w:rsidRDefault="00BF08C1" w:rsidP="009A68A5">
      <w:pPr>
        <w:jc w:val="both"/>
        <w:rPr>
          <w:spacing w:val="-2"/>
          <w:rtl/>
        </w:rPr>
      </w:pPr>
      <w:r>
        <w:rPr>
          <w:rFonts w:hint="cs"/>
          <w:b/>
          <w:bCs/>
          <w:spacing w:val="-2"/>
          <w:rtl/>
          <w:lang w:bidi="ar-AE"/>
        </w:rPr>
        <w:lastRenderedPageBreak/>
        <w:t>5-</w:t>
      </w:r>
      <w:r>
        <w:rPr>
          <w:rFonts w:hint="cs"/>
          <w:spacing w:val="-2"/>
          <w:rtl/>
          <w:lang w:bidi="ar-AE"/>
        </w:rPr>
        <w:t xml:space="preserve"> توثيق النصوص المنقولة في الكتاب المحقّق من مصادرها الأصيلة، فإن تعذّر ذلك  وثّقت المسألة من أقرب المصادر إلى مصدرها الأصلي، مع مراعاة صحّة نقلها وما اعتراها من تغيير، أو نحوه.</w:t>
      </w:r>
    </w:p>
    <w:p w:rsidR="00BF08C1" w:rsidRDefault="00BF08C1" w:rsidP="009A68A5">
      <w:pPr>
        <w:jc w:val="both"/>
        <w:rPr>
          <w:spacing w:val="-2"/>
          <w:rtl/>
          <w:lang w:bidi="ar-AE"/>
        </w:rPr>
      </w:pPr>
      <w:r>
        <w:rPr>
          <w:rFonts w:hint="cs"/>
          <w:b/>
          <w:bCs/>
          <w:spacing w:val="-2"/>
          <w:rtl/>
          <w:lang w:bidi="ar-AE"/>
        </w:rPr>
        <w:t>6-</w:t>
      </w:r>
      <w:r>
        <w:rPr>
          <w:rFonts w:hint="cs"/>
          <w:spacing w:val="-2"/>
          <w:rtl/>
          <w:lang w:bidi="ar-AE"/>
        </w:rPr>
        <w:t xml:space="preserve"> توثيق آراء العلماء، ومذاهبهم، التي يرد لها ذكر في النص، على أن يكون ذلك من كتبهم مباشرة، ولا ألجأ إلى العزو بالواسطة إلاّ عند تعذر الوصول إلى الأصل، وفي هذه الحالة أذكر أقدم المصادر عند أصحاب الرأي أو المذهب.</w:t>
      </w:r>
    </w:p>
    <w:p w:rsidR="00BF08C1" w:rsidRDefault="00BF08C1" w:rsidP="009A68A5">
      <w:pPr>
        <w:jc w:val="both"/>
        <w:rPr>
          <w:spacing w:val="-2"/>
          <w:rtl/>
          <w:lang w:bidi="ar-AE"/>
        </w:rPr>
      </w:pPr>
      <w:r>
        <w:rPr>
          <w:rFonts w:hint="cs"/>
          <w:b/>
          <w:bCs/>
          <w:spacing w:val="-2"/>
          <w:rtl/>
          <w:lang w:bidi="ar-AE"/>
        </w:rPr>
        <w:t>7-</w:t>
      </w:r>
      <w:r>
        <w:rPr>
          <w:rFonts w:hint="cs"/>
          <w:spacing w:val="-2"/>
          <w:rtl/>
          <w:lang w:bidi="ar-AE"/>
        </w:rPr>
        <w:t xml:space="preserve"> توثيق المعاني اللغوية من معجمات اللغة المعتمدة.</w:t>
      </w:r>
    </w:p>
    <w:p w:rsidR="00BF08C1" w:rsidRDefault="00BF08C1" w:rsidP="009A68A5">
      <w:pPr>
        <w:jc w:val="both"/>
        <w:rPr>
          <w:spacing w:val="-2"/>
          <w:rtl/>
          <w:lang w:bidi="ar-AE"/>
        </w:rPr>
      </w:pPr>
      <w:r>
        <w:rPr>
          <w:rFonts w:hint="cs"/>
          <w:spacing w:val="-2"/>
          <w:rtl/>
          <w:lang w:bidi="ar-AE"/>
        </w:rPr>
        <w:t>وتكون الإحالة على معجمات اللغة، بالمادة، والجزء والصفحة.</w:t>
      </w:r>
    </w:p>
    <w:p w:rsidR="00BF08C1" w:rsidRDefault="00BF08C1" w:rsidP="009A68A5">
      <w:pPr>
        <w:jc w:val="both"/>
        <w:rPr>
          <w:spacing w:val="-2"/>
          <w:rtl/>
          <w:lang w:bidi="ar-AE"/>
        </w:rPr>
      </w:pPr>
      <w:r>
        <w:rPr>
          <w:rFonts w:hint="cs"/>
          <w:b/>
          <w:bCs/>
          <w:spacing w:val="-2"/>
          <w:rtl/>
          <w:lang w:bidi="ar-AE"/>
        </w:rPr>
        <w:t>8-</w:t>
      </w:r>
      <w:r>
        <w:rPr>
          <w:rFonts w:hint="cs"/>
          <w:spacing w:val="-2"/>
          <w:rtl/>
          <w:lang w:bidi="ar-AE"/>
        </w:rPr>
        <w:t xml:space="preserve"> توثيق المعاني الاصطلاحية الواردة في الكتاب من كتب المصطلحات المختصة بها، أو من كتب أهل الفنّ الذي يتبعه هذا المصطلح.</w:t>
      </w:r>
    </w:p>
    <w:p w:rsidR="00BF08C1" w:rsidRDefault="00BF08C1" w:rsidP="009A68A5">
      <w:pPr>
        <w:jc w:val="both"/>
        <w:rPr>
          <w:spacing w:val="-4"/>
          <w:rtl/>
          <w:lang w:bidi="ar-AE"/>
        </w:rPr>
      </w:pPr>
      <w:r>
        <w:rPr>
          <w:rFonts w:hint="cs"/>
          <w:b/>
          <w:bCs/>
          <w:spacing w:val="-4"/>
          <w:rtl/>
          <w:lang w:bidi="ar-AE"/>
        </w:rPr>
        <w:t>9-</w:t>
      </w:r>
      <w:r>
        <w:rPr>
          <w:rFonts w:hint="cs"/>
          <w:spacing w:val="-4"/>
          <w:rtl/>
          <w:lang w:bidi="ar-AE"/>
        </w:rPr>
        <w:t xml:space="preserve"> البيان اللغوي لما يرد في الكتاب من ألفاظ غريبة، والبيان الاصطلاحي لما يرد فيه من اصطلاحات تحتاج إلى بيان، ويراعى في توثيق هذين الأمرين ما سبق في فقرة 7، 8.</w:t>
      </w:r>
    </w:p>
    <w:p w:rsidR="00BF08C1" w:rsidRDefault="00BF08C1" w:rsidP="009A68A5">
      <w:pPr>
        <w:jc w:val="both"/>
        <w:rPr>
          <w:spacing w:val="-2"/>
          <w:rtl/>
          <w:lang w:bidi="ar-AE"/>
        </w:rPr>
      </w:pPr>
      <w:r>
        <w:rPr>
          <w:rFonts w:hint="cs"/>
          <w:b/>
          <w:bCs/>
          <w:spacing w:val="-2"/>
          <w:rtl/>
          <w:lang w:bidi="ar-AE"/>
        </w:rPr>
        <w:t>10-</w:t>
      </w:r>
      <w:r>
        <w:rPr>
          <w:rFonts w:hint="cs"/>
          <w:spacing w:val="-2"/>
          <w:rtl/>
          <w:lang w:bidi="ar-AE"/>
        </w:rPr>
        <w:t xml:space="preserve"> ترجمة الأعلام الواردة في الكتاب ما عدا الأنبياء والخلفاء الراشدين والأئمة الأربعة، واتبعت في ذلك المنهج الآتي</w:t>
      </w:r>
      <w:r w:rsidR="0048366D">
        <w:rPr>
          <w:rFonts w:hint="cs"/>
          <w:spacing w:val="-2"/>
          <w:rtl/>
          <w:lang w:bidi="ar-AE"/>
        </w:rPr>
        <w:t>:</w:t>
      </w:r>
    </w:p>
    <w:p w:rsidR="00BF08C1" w:rsidRDefault="00BF08C1" w:rsidP="009A68A5">
      <w:pPr>
        <w:jc w:val="both"/>
        <w:rPr>
          <w:spacing w:val="-2"/>
          <w:rtl/>
          <w:lang w:bidi="ar-AE"/>
        </w:rPr>
      </w:pPr>
      <w:r>
        <w:rPr>
          <w:rFonts w:hint="cs"/>
          <w:b/>
          <w:bCs/>
          <w:spacing w:val="-2"/>
          <w:rtl/>
          <w:lang w:bidi="ar-AE"/>
        </w:rPr>
        <w:t>أ-</w:t>
      </w:r>
      <w:r>
        <w:rPr>
          <w:rFonts w:hint="cs"/>
          <w:spacing w:val="-2"/>
          <w:rtl/>
          <w:lang w:bidi="ar-AE"/>
        </w:rPr>
        <w:t xml:space="preserve"> أن تتضمن الترجمة</w:t>
      </w:r>
      <w:r w:rsidR="0048366D">
        <w:rPr>
          <w:rFonts w:hint="cs"/>
          <w:spacing w:val="-2"/>
          <w:rtl/>
          <w:lang w:bidi="ar-AE"/>
        </w:rPr>
        <w:t>:</w:t>
      </w:r>
    </w:p>
    <w:p w:rsidR="00BF08C1" w:rsidRDefault="00BF08C1" w:rsidP="009A68A5">
      <w:pPr>
        <w:jc w:val="both"/>
        <w:rPr>
          <w:spacing w:val="-2"/>
          <w:rtl/>
          <w:lang w:bidi="ar-AE"/>
        </w:rPr>
      </w:pPr>
      <w:r>
        <w:rPr>
          <w:rFonts w:hint="cs"/>
          <w:spacing w:val="-2"/>
          <w:rtl/>
          <w:lang w:bidi="ar-AE"/>
        </w:rPr>
        <w:t>اسم العلم، ونسبه، مع ضبط ما يشكل من ذلك.</w:t>
      </w:r>
    </w:p>
    <w:p w:rsidR="00BF08C1" w:rsidRDefault="00BF08C1" w:rsidP="009A68A5">
      <w:pPr>
        <w:jc w:val="both"/>
        <w:rPr>
          <w:spacing w:val="-2"/>
          <w:rtl/>
          <w:lang w:bidi="ar-AE"/>
        </w:rPr>
      </w:pPr>
      <w:r>
        <w:rPr>
          <w:rFonts w:hint="cs"/>
          <w:spacing w:val="-2"/>
          <w:rtl/>
          <w:lang w:bidi="ar-AE"/>
        </w:rPr>
        <w:t>تأريخ مولده، ووفاته.</w:t>
      </w:r>
    </w:p>
    <w:p w:rsidR="00BF08C1" w:rsidRDefault="00BF08C1" w:rsidP="009A68A5">
      <w:pPr>
        <w:jc w:val="both"/>
        <w:rPr>
          <w:spacing w:val="-2"/>
          <w:rtl/>
          <w:lang w:bidi="ar-AE"/>
        </w:rPr>
      </w:pPr>
      <w:r>
        <w:rPr>
          <w:rFonts w:hint="cs"/>
          <w:spacing w:val="-2"/>
          <w:rtl/>
          <w:lang w:bidi="ar-AE"/>
        </w:rPr>
        <w:t>شهرته؛ ككونه محدثًا، أو فقيهًا، أو لغويًّا.</w:t>
      </w:r>
    </w:p>
    <w:p w:rsidR="00BF08C1" w:rsidRDefault="00BF08C1" w:rsidP="009A68A5">
      <w:pPr>
        <w:jc w:val="both"/>
        <w:rPr>
          <w:spacing w:val="-2"/>
          <w:rtl/>
        </w:rPr>
      </w:pPr>
      <w:r>
        <w:rPr>
          <w:rFonts w:hint="cs"/>
          <w:spacing w:val="-2"/>
          <w:rtl/>
          <w:lang w:bidi="ar-AE"/>
        </w:rPr>
        <w:t>أهم مؤلفاته.</w:t>
      </w:r>
    </w:p>
    <w:p w:rsidR="00BF08C1" w:rsidRDefault="00BF08C1" w:rsidP="009A68A5">
      <w:pPr>
        <w:jc w:val="both"/>
        <w:rPr>
          <w:spacing w:val="-2"/>
          <w:rtl/>
          <w:lang w:bidi="ar-AE"/>
        </w:rPr>
      </w:pPr>
      <w:r>
        <w:rPr>
          <w:rFonts w:hint="cs"/>
          <w:spacing w:val="-2"/>
          <w:rtl/>
          <w:lang w:bidi="ar-AE"/>
        </w:rPr>
        <w:t>مصادر ترجمته.</w:t>
      </w:r>
    </w:p>
    <w:p w:rsidR="00BF08C1" w:rsidRDefault="00BF08C1" w:rsidP="009A68A5">
      <w:pPr>
        <w:jc w:val="both"/>
        <w:rPr>
          <w:spacing w:val="-2"/>
          <w:rtl/>
          <w:lang w:bidi="ar-AE"/>
        </w:rPr>
      </w:pPr>
      <w:r>
        <w:rPr>
          <w:rFonts w:hint="cs"/>
          <w:b/>
          <w:bCs/>
          <w:spacing w:val="-2"/>
          <w:rtl/>
          <w:lang w:bidi="ar-AE"/>
        </w:rPr>
        <w:t>ب-</w:t>
      </w:r>
      <w:r>
        <w:rPr>
          <w:rFonts w:hint="cs"/>
          <w:spacing w:val="-2"/>
          <w:rtl/>
          <w:lang w:bidi="ar-AE"/>
        </w:rPr>
        <w:t xml:space="preserve"> أن تتسم الترجمة بالاختصار، مع وفائها بما سبق ذكره في فقرة (أ).</w:t>
      </w:r>
    </w:p>
    <w:p w:rsidR="00BF08C1" w:rsidRDefault="00BF08C1" w:rsidP="009A68A5">
      <w:pPr>
        <w:jc w:val="both"/>
        <w:rPr>
          <w:spacing w:val="-2"/>
          <w:rtl/>
          <w:lang w:bidi="ar-AE"/>
        </w:rPr>
      </w:pPr>
      <w:r>
        <w:rPr>
          <w:rFonts w:hint="cs"/>
          <w:b/>
          <w:bCs/>
          <w:spacing w:val="-2"/>
          <w:rtl/>
          <w:lang w:bidi="ar-AE"/>
        </w:rPr>
        <w:lastRenderedPageBreak/>
        <w:t>جـ-</w:t>
      </w:r>
      <w:r>
        <w:rPr>
          <w:rFonts w:hint="cs"/>
          <w:spacing w:val="-2"/>
          <w:rtl/>
          <w:lang w:bidi="ar-AE"/>
        </w:rPr>
        <w:t xml:space="preserve"> أن تكون مصادر الترجمة في نوعها متناسبة مع الجانب الذي برز فيه العالم؛ فإن كان فقيهًا</w:t>
      </w:r>
      <w:r w:rsidR="0048366D">
        <w:rPr>
          <w:rFonts w:hint="cs"/>
          <w:spacing w:val="-2"/>
          <w:rtl/>
          <w:lang w:bidi="ar-AE"/>
        </w:rPr>
        <w:t>:</w:t>
      </w:r>
      <w:r>
        <w:rPr>
          <w:rFonts w:hint="cs"/>
          <w:spacing w:val="-2"/>
          <w:rtl/>
          <w:lang w:bidi="ar-AE"/>
        </w:rPr>
        <w:t xml:space="preserve"> فأركّـز في ترجمته على كتب تراجم الفقهاء، وهي قد تكون مذهبية فأراعي فيها ذلك، وإن كان محدّثًا</w:t>
      </w:r>
      <w:r w:rsidR="0048366D">
        <w:rPr>
          <w:rFonts w:hint="cs"/>
          <w:spacing w:val="-2"/>
          <w:rtl/>
          <w:lang w:bidi="ar-AE"/>
        </w:rPr>
        <w:t>:</w:t>
      </w:r>
      <w:r>
        <w:rPr>
          <w:rFonts w:hint="cs"/>
          <w:spacing w:val="-2"/>
          <w:rtl/>
          <w:lang w:bidi="ar-AE"/>
        </w:rPr>
        <w:t xml:space="preserve"> فأركز على كتب تراجم المحدثين، وهكذا.</w:t>
      </w:r>
    </w:p>
    <w:p w:rsidR="00BF08C1" w:rsidRDefault="00BF08C1" w:rsidP="009A68A5">
      <w:pPr>
        <w:jc w:val="both"/>
        <w:rPr>
          <w:spacing w:val="-2"/>
          <w:rtl/>
          <w:lang w:bidi="ar-AE"/>
        </w:rPr>
      </w:pPr>
      <w:r>
        <w:rPr>
          <w:rFonts w:hint="cs"/>
          <w:b/>
          <w:bCs/>
          <w:spacing w:val="-2"/>
          <w:rtl/>
          <w:lang w:bidi="ar-AE"/>
        </w:rPr>
        <w:t>11-</w:t>
      </w:r>
      <w:r>
        <w:rPr>
          <w:rFonts w:hint="cs"/>
          <w:spacing w:val="-2"/>
          <w:rtl/>
          <w:lang w:bidi="ar-AE"/>
        </w:rPr>
        <w:t xml:space="preserve"> التعريف بالكتب الواردة في النص، وذلك حسب المنهج الآتي</w:t>
      </w:r>
      <w:r w:rsidR="0048366D">
        <w:rPr>
          <w:rFonts w:hint="cs"/>
          <w:spacing w:val="-2"/>
          <w:rtl/>
          <w:lang w:bidi="ar-AE"/>
        </w:rPr>
        <w:t>:</w:t>
      </w:r>
    </w:p>
    <w:p w:rsidR="00BF08C1" w:rsidRDefault="00BF08C1" w:rsidP="009A68A5">
      <w:pPr>
        <w:jc w:val="both"/>
        <w:rPr>
          <w:spacing w:val="-2"/>
          <w:rtl/>
          <w:lang w:bidi="ar-AE"/>
        </w:rPr>
      </w:pPr>
      <w:r>
        <w:rPr>
          <w:rFonts w:hint="cs"/>
          <w:b/>
          <w:bCs/>
          <w:spacing w:val="-2"/>
          <w:rtl/>
          <w:lang w:bidi="ar-AE"/>
        </w:rPr>
        <w:t>أ-</w:t>
      </w:r>
      <w:r>
        <w:rPr>
          <w:rFonts w:hint="cs"/>
          <w:spacing w:val="-2"/>
          <w:rtl/>
          <w:lang w:bidi="ar-AE"/>
        </w:rPr>
        <w:t xml:space="preserve"> ذكر صاحب الكتاب.</w:t>
      </w:r>
    </w:p>
    <w:p w:rsidR="00BF08C1" w:rsidRDefault="00BF08C1" w:rsidP="009A68A5">
      <w:pPr>
        <w:jc w:val="both"/>
        <w:rPr>
          <w:spacing w:val="-2"/>
          <w:rtl/>
          <w:lang w:bidi="ar-AE"/>
        </w:rPr>
      </w:pPr>
      <w:r>
        <w:rPr>
          <w:rFonts w:hint="cs"/>
          <w:b/>
          <w:bCs/>
          <w:spacing w:val="-2"/>
          <w:rtl/>
          <w:lang w:bidi="ar-AE"/>
        </w:rPr>
        <w:t>ب-</w:t>
      </w:r>
      <w:r>
        <w:rPr>
          <w:rFonts w:hint="cs"/>
          <w:spacing w:val="-2"/>
          <w:rtl/>
          <w:lang w:bidi="ar-AE"/>
        </w:rPr>
        <w:t xml:space="preserve"> ذكر موضوع الكتاب.</w:t>
      </w:r>
    </w:p>
    <w:p w:rsidR="00BF08C1" w:rsidRDefault="00BF08C1" w:rsidP="009A68A5">
      <w:pPr>
        <w:jc w:val="both"/>
        <w:rPr>
          <w:spacing w:val="-2"/>
          <w:rtl/>
          <w:lang w:bidi="ar-AE"/>
        </w:rPr>
      </w:pPr>
      <w:r>
        <w:rPr>
          <w:rFonts w:hint="cs"/>
          <w:b/>
          <w:bCs/>
          <w:spacing w:val="-2"/>
          <w:rtl/>
          <w:lang w:bidi="ar-AE"/>
        </w:rPr>
        <w:t>جـ-</w:t>
      </w:r>
      <w:r>
        <w:rPr>
          <w:rFonts w:hint="cs"/>
          <w:spacing w:val="-2"/>
          <w:rtl/>
          <w:lang w:bidi="ar-AE"/>
        </w:rPr>
        <w:t xml:space="preserve"> بيان حالته التي هو عليها (من كونه مخطوطًا، أو مطبوعًا، أو مفقودًا).</w:t>
      </w:r>
    </w:p>
    <w:p w:rsidR="00BF08C1" w:rsidRDefault="00BF08C1" w:rsidP="009A68A5">
      <w:pPr>
        <w:jc w:val="both"/>
        <w:rPr>
          <w:spacing w:val="-2"/>
          <w:rtl/>
          <w:lang w:bidi="ar-AE"/>
        </w:rPr>
      </w:pPr>
      <w:r>
        <w:rPr>
          <w:rFonts w:hint="cs"/>
          <w:b/>
          <w:bCs/>
          <w:spacing w:val="-2"/>
          <w:rtl/>
          <w:lang w:bidi="ar-AE"/>
        </w:rPr>
        <w:t>12-</w:t>
      </w:r>
      <w:r>
        <w:rPr>
          <w:rFonts w:hint="cs"/>
          <w:spacing w:val="-2"/>
          <w:rtl/>
          <w:lang w:bidi="ar-AE"/>
        </w:rPr>
        <w:t xml:space="preserve"> التعريف بالفرق، وأتبع في ذلك المنهج الآتي</w:t>
      </w:r>
      <w:r w:rsidR="0048366D">
        <w:rPr>
          <w:rFonts w:hint="cs"/>
          <w:spacing w:val="-2"/>
          <w:rtl/>
          <w:lang w:bidi="ar-AE"/>
        </w:rPr>
        <w:t>:</w:t>
      </w:r>
    </w:p>
    <w:p w:rsidR="00BF08C1" w:rsidRDefault="00BF08C1" w:rsidP="009A68A5">
      <w:pPr>
        <w:jc w:val="both"/>
        <w:rPr>
          <w:spacing w:val="-2"/>
          <w:rtl/>
          <w:lang w:bidi="ar-AE"/>
        </w:rPr>
      </w:pPr>
      <w:r>
        <w:rPr>
          <w:rFonts w:hint="cs"/>
          <w:b/>
          <w:bCs/>
          <w:spacing w:val="-2"/>
          <w:rtl/>
          <w:lang w:bidi="ar-AE"/>
        </w:rPr>
        <w:t>أ</w:t>
      </w:r>
      <w:r>
        <w:rPr>
          <w:rFonts w:hint="cs"/>
          <w:spacing w:val="-2"/>
          <w:rtl/>
          <w:lang w:bidi="ar-AE"/>
        </w:rPr>
        <w:t xml:space="preserve"> </w:t>
      </w:r>
      <w:r>
        <w:rPr>
          <w:rFonts w:hint="cs"/>
          <w:b/>
          <w:bCs/>
          <w:spacing w:val="-2"/>
          <w:rtl/>
          <w:lang w:bidi="ar-AE"/>
        </w:rPr>
        <w:t>-</w:t>
      </w:r>
      <w:r>
        <w:rPr>
          <w:rFonts w:hint="cs"/>
          <w:spacing w:val="-2"/>
          <w:rtl/>
          <w:lang w:bidi="ar-AE"/>
        </w:rPr>
        <w:t xml:space="preserve"> ذكر الاسم المشهور للفرقة، والأسماء المرادفة له.</w:t>
      </w:r>
    </w:p>
    <w:p w:rsidR="00BF08C1" w:rsidRDefault="00BF08C1" w:rsidP="009A68A5">
      <w:pPr>
        <w:jc w:val="both"/>
        <w:rPr>
          <w:spacing w:val="-2"/>
          <w:rtl/>
          <w:lang w:bidi="ar-AE"/>
        </w:rPr>
      </w:pPr>
      <w:r>
        <w:rPr>
          <w:rFonts w:hint="cs"/>
          <w:b/>
          <w:bCs/>
          <w:spacing w:val="-2"/>
          <w:rtl/>
          <w:lang w:bidi="ar-AE"/>
        </w:rPr>
        <w:t>ب-</w:t>
      </w:r>
      <w:r>
        <w:rPr>
          <w:rFonts w:hint="cs"/>
          <w:spacing w:val="-2"/>
          <w:rtl/>
          <w:lang w:bidi="ar-AE"/>
        </w:rPr>
        <w:t xml:space="preserve"> نشأة الفرقة، وأشهر رجالها.</w:t>
      </w:r>
    </w:p>
    <w:p w:rsidR="00BF08C1" w:rsidRDefault="00BF08C1" w:rsidP="009A68A5">
      <w:pPr>
        <w:jc w:val="both"/>
        <w:rPr>
          <w:spacing w:val="-2"/>
          <w:rtl/>
          <w:lang w:bidi="ar-AE"/>
        </w:rPr>
      </w:pPr>
      <w:r>
        <w:rPr>
          <w:rFonts w:hint="cs"/>
          <w:b/>
          <w:bCs/>
          <w:spacing w:val="-2"/>
          <w:rtl/>
          <w:lang w:bidi="ar-AE"/>
        </w:rPr>
        <w:t>جـ-</w:t>
      </w:r>
      <w:r>
        <w:rPr>
          <w:rFonts w:hint="cs"/>
          <w:spacing w:val="-2"/>
          <w:rtl/>
          <w:lang w:bidi="ar-AE"/>
        </w:rPr>
        <w:t xml:space="preserve"> آراؤها التي تميزها، معتمدًا في ذلك على كتب أصحابها ما أمكن ذلك. </w:t>
      </w:r>
    </w:p>
    <w:p w:rsidR="00BF08C1" w:rsidRDefault="00BF08C1" w:rsidP="009A68A5">
      <w:pPr>
        <w:jc w:val="both"/>
        <w:rPr>
          <w:spacing w:val="-8"/>
          <w:rtl/>
          <w:lang w:bidi="ar-AE"/>
        </w:rPr>
      </w:pPr>
      <w:r>
        <w:rPr>
          <w:rFonts w:hint="cs"/>
          <w:b/>
          <w:bCs/>
          <w:spacing w:val="-8"/>
          <w:rtl/>
          <w:lang w:bidi="ar-AE"/>
        </w:rPr>
        <w:t>13-</w:t>
      </w:r>
      <w:r>
        <w:rPr>
          <w:rFonts w:hint="cs"/>
          <w:spacing w:val="-8"/>
          <w:rtl/>
          <w:lang w:bidi="ar-AE"/>
        </w:rPr>
        <w:t xml:space="preserve"> التعليق بذكر ما يستدعيه المقام من: إيضاح، أو إزالة اشتباه، أو مناقشة، أو إضافة.</w:t>
      </w:r>
    </w:p>
    <w:p w:rsidR="00BF08C1" w:rsidRDefault="00BF08C1" w:rsidP="009A68A5">
      <w:pPr>
        <w:jc w:val="both"/>
        <w:rPr>
          <w:spacing w:val="-2"/>
          <w:rtl/>
          <w:lang w:bidi="ar-AE"/>
        </w:rPr>
      </w:pPr>
      <w:r>
        <w:rPr>
          <w:rFonts w:hint="cs"/>
          <w:b/>
          <w:bCs/>
          <w:spacing w:val="-2"/>
          <w:rtl/>
          <w:lang w:bidi="ar-AE"/>
        </w:rPr>
        <w:t>14-</w:t>
      </w:r>
      <w:r>
        <w:rPr>
          <w:rFonts w:hint="cs"/>
          <w:spacing w:val="-2"/>
          <w:rtl/>
          <w:lang w:bidi="ar-AE"/>
        </w:rPr>
        <w:t xml:space="preserve"> المعلومات المتعلقة بالمراجع (الناشر، ورقم الطباعة، ومكانها، وت</w:t>
      </w:r>
      <w:r>
        <w:rPr>
          <w:rFonts w:hint="cs"/>
          <w:spacing w:val="-2"/>
          <w:rtl/>
        </w:rPr>
        <w:t>أ</w:t>
      </w:r>
      <w:r>
        <w:rPr>
          <w:rFonts w:hint="cs"/>
          <w:spacing w:val="-2"/>
          <w:rtl/>
          <w:lang w:bidi="ar-AE"/>
        </w:rPr>
        <w:t>ريخها</w:t>
      </w:r>
      <w:r w:rsidR="0048366D">
        <w:rPr>
          <w:rFonts w:hint="cs"/>
          <w:spacing w:val="-2"/>
          <w:rtl/>
          <w:lang w:bidi="ar-AE"/>
        </w:rPr>
        <w:t>.</w:t>
      </w:r>
      <w:r>
        <w:rPr>
          <w:rFonts w:hint="cs"/>
          <w:spacing w:val="-2"/>
          <w:rtl/>
          <w:lang w:bidi="ar-AE"/>
        </w:rPr>
        <w:t>.. الخ) أكتفي بذكرها في قائمة المصادر والمراجع، ولا أذكر شيئًا من ذلك في هامش البحث.</w:t>
      </w:r>
    </w:p>
    <w:p w:rsidR="00BF08C1" w:rsidRDefault="00BF08C1" w:rsidP="009A68A5">
      <w:pPr>
        <w:jc w:val="both"/>
        <w:rPr>
          <w:spacing w:val="-2"/>
          <w:rtl/>
          <w:lang w:bidi="ar-AE"/>
        </w:rPr>
      </w:pPr>
      <w:r>
        <w:rPr>
          <w:rFonts w:hint="cs"/>
          <w:b/>
          <w:bCs/>
          <w:spacing w:val="-2"/>
          <w:rtl/>
          <w:lang w:bidi="ar-AE"/>
        </w:rPr>
        <w:t>15-</w:t>
      </w:r>
      <w:r>
        <w:rPr>
          <w:rFonts w:hint="cs"/>
          <w:spacing w:val="-2"/>
          <w:rtl/>
          <w:lang w:bidi="ar-AE"/>
        </w:rPr>
        <w:t xml:space="preserve"> عند ترتيب المراجع المتعدّدة في الهامش الواحد</w:t>
      </w:r>
      <w:r w:rsidR="0048366D">
        <w:rPr>
          <w:rFonts w:hint="cs"/>
          <w:spacing w:val="-2"/>
          <w:rtl/>
          <w:lang w:bidi="ar-AE"/>
        </w:rPr>
        <w:t>:</w:t>
      </w:r>
      <w:r>
        <w:rPr>
          <w:rFonts w:hint="cs"/>
          <w:spacing w:val="-2"/>
          <w:rtl/>
          <w:lang w:bidi="ar-AE"/>
        </w:rPr>
        <w:t xml:space="preserve"> فإني أرتبها وفق المنهج الآتي</w:t>
      </w:r>
      <w:r w:rsidR="0048366D">
        <w:rPr>
          <w:rFonts w:hint="cs"/>
          <w:spacing w:val="-2"/>
          <w:rtl/>
          <w:lang w:bidi="ar-AE"/>
        </w:rPr>
        <w:t>:</w:t>
      </w:r>
    </w:p>
    <w:p w:rsidR="00BF08C1" w:rsidRDefault="00BF08C1" w:rsidP="009A68A5">
      <w:pPr>
        <w:jc w:val="both"/>
        <w:rPr>
          <w:spacing w:val="-2"/>
          <w:rtl/>
        </w:rPr>
      </w:pPr>
      <w:r>
        <w:rPr>
          <w:rFonts w:hint="cs"/>
          <w:b/>
          <w:bCs/>
          <w:spacing w:val="-2"/>
          <w:rtl/>
          <w:lang w:bidi="ar-AE"/>
        </w:rPr>
        <w:t>أ-</w:t>
      </w:r>
      <w:r>
        <w:rPr>
          <w:rFonts w:hint="cs"/>
          <w:spacing w:val="-2"/>
          <w:rtl/>
          <w:lang w:bidi="ar-AE"/>
        </w:rPr>
        <w:t xml:space="preserve"> إذا تميّز أحدها بكون النص منقولاً منه</w:t>
      </w:r>
      <w:r w:rsidR="0048366D">
        <w:rPr>
          <w:rFonts w:hint="cs"/>
          <w:spacing w:val="-2"/>
          <w:rtl/>
          <w:lang w:bidi="ar-AE"/>
        </w:rPr>
        <w:t>:</w:t>
      </w:r>
      <w:r>
        <w:rPr>
          <w:rFonts w:hint="cs"/>
          <w:spacing w:val="-2"/>
          <w:rtl/>
          <w:lang w:bidi="ar-AE"/>
        </w:rPr>
        <w:t xml:space="preserve"> فإني أذكره ابتداء باسمه مباشرة، ثم أقول عقبه</w:t>
      </w:r>
      <w:r w:rsidR="0048366D">
        <w:rPr>
          <w:rFonts w:hint="cs"/>
          <w:spacing w:val="-2"/>
          <w:rtl/>
          <w:lang w:bidi="ar-AE"/>
        </w:rPr>
        <w:t>:</w:t>
      </w:r>
      <w:r>
        <w:rPr>
          <w:rFonts w:hint="cs"/>
          <w:spacing w:val="-2"/>
          <w:rtl/>
          <w:lang w:bidi="ar-AE"/>
        </w:rPr>
        <w:t xml:space="preserve"> (وانظر</w:t>
      </w:r>
      <w:r w:rsidR="0048366D">
        <w:rPr>
          <w:rFonts w:hint="cs"/>
          <w:spacing w:val="-2"/>
          <w:rtl/>
          <w:lang w:bidi="ar-AE"/>
        </w:rPr>
        <w:t>:.</w:t>
      </w:r>
      <w:r>
        <w:rPr>
          <w:rFonts w:hint="cs"/>
          <w:spacing w:val="-2"/>
          <w:rtl/>
          <w:lang w:bidi="ar-AE"/>
        </w:rPr>
        <w:t>..) فأذكر المراجع الأُخر مرتّبة حسب سنة وفاة المؤلف.</w:t>
      </w:r>
    </w:p>
    <w:p w:rsidR="00BF08C1" w:rsidRDefault="00BF08C1" w:rsidP="009A68A5">
      <w:pPr>
        <w:jc w:val="both"/>
        <w:rPr>
          <w:spacing w:val="-2"/>
          <w:rtl/>
        </w:rPr>
      </w:pPr>
      <w:r>
        <w:rPr>
          <w:rFonts w:hint="cs"/>
          <w:b/>
          <w:bCs/>
          <w:spacing w:val="-2"/>
          <w:rtl/>
          <w:lang w:bidi="ar-AE"/>
        </w:rPr>
        <w:t>ب-</w:t>
      </w:r>
      <w:r>
        <w:rPr>
          <w:rFonts w:hint="cs"/>
          <w:spacing w:val="-2"/>
          <w:rtl/>
          <w:lang w:bidi="ar-AE"/>
        </w:rPr>
        <w:t xml:space="preserve"> إذا لم يُنقل النصّ من بعضها إلا أنها هي الأقرب إليه أو الألصق صلة به</w:t>
      </w:r>
      <w:r w:rsidR="0048366D">
        <w:rPr>
          <w:rFonts w:hint="cs"/>
          <w:spacing w:val="-2"/>
          <w:rtl/>
          <w:lang w:bidi="ar-AE"/>
        </w:rPr>
        <w:t>:</w:t>
      </w:r>
      <w:r>
        <w:rPr>
          <w:rFonts w:hint="cs"/>
          <w:spacing w:val="-2"/>
          <w:rtl/>
          <w:lang w:bidi="ar-AE"/>
        </w:rPr>
        <w:t xml:space="preserve"> فإني أذكرها ابتداء مصدّرة بكلمة</w:t>
      </w:r>
      <w:r w:rsidR="0048366D">
        <w:rPr>
          <w:rFonts w:hint="cs"/>
          <w:spacing w:val="-2"/>
          <w:rtl/>
          <w:lang w:bidi="ar-AE"/>
        </w:rPr>
        <w:t>:</w:t>
      </w:r>
      <w:r>
        <w:rPr>
          <w:rFonts w:hint="cs"/>
          <w:spacing w:val="-2"/>
          <w:rtl/>
          <w:lang w:bidi="ar-AE"/>
        </w:rPr>
        <w:t xml:space="preserve"> (انظر)، ثم أعطف عليها بقية المراجع الأخر مرتبة حسب وفاة المؤلف، مسبوقة بكلمة</w:t>
      </w:r>
      <w:r w:rsidR="0048366D">
        <w:rPr>
          <w:rFonts w:hint="cs"/>
          <w:spacing w:val="-2"/>
          <w:rtl/>
          <w:lang w:bidi="ar-AE"/>
        </w:rPr>
        <w:t>:</w:t>
      </w:r>
      <w:r>
        <w:rPr>
          <w:rFonts w:hint="cs"/>
          <w:spacing w:val="-2"/>
          <w:rtl/>
          <w:lang w:bidi="ar-AE"/>
        </w:rPr>
        <w:t xml:space="preserve"> (وانظر</w:t>
      </w:r>
      <w:r w:rsidR="0048366D">
        <w:rPr>
          <w:rFonts w:hint="cs"/>
          <w:spacing w:val="-2"/>
          <w:rtl/>
          <w:lang w:bidi="ar-AE"/>
        </w:rPr>
        <w:t>.</w:t>
      </w:r>
      <w:r>
        <w:rPr>
          <w:rFonts w:hint="cs"/>
          <w:spacing w:val="-2"/>
          <w:rtl/>
          <w:lang w:bidi="ar-AE"/>
        </w:rPr>
        <w:t>..).</w:t>
      </w:r>
    </w:p>
    <w:p w:rsidR="00BF08C1" w:rsidRDefault="00BF08C1" w:rsidP="009A68A5">
      <w:pPr>
        <w:jc w:val="both"/>
        <w:rPr>
          <w:spacing w:val="-2"/>
          <w:rtl/>
        </w:rPr>
      </w:pPr>
      <w:r>
        <w:rPr>
          <w:rFonts w:hint="cs"/>
          <w:b/>
          <w:bCs/>
          <w:spacing w:val="-2"/>
          <w:rtl/>
          <w:lang w:bidi="ar-AE"/>
        </w:rPr>
        <w:t>جـ-</w:t>
      </w:r>
      <w:r>
        <w:rPr>
          <w:rFonts w:hint="cs"/>
          <w:spacing w:val="-2"/>
          <w:rtl/>
          <w:lang w:bidi="ar-AE"/>
        </w:rPr>
        <w:t xml:space="preserve"> إذا لم يتميّز بعضها تميّزًا واضحًا</w:t>
      </w:r>
      <w:r w:rsidR="0048366D">
        <w:rPr>
          <w:rFonts w:hint="cs"/>
          <w:spacing w:val="-2"/>
          <w:rtl/>
          <w:lang w:bidi="ar-AE"/>
        </w:rPr>
        <w:t>:</w:t>
      </w:r>
      <w:r>
        <w:rPr>
          <w:rFonts w:hint="cs"/>
          <w:spacing w:val="-2"/>
          <w:rtl/>
          <w:lang w:bidi="ar-AE"/>
        </w:rPr>
        <w:t xml:space="preserve"> فإني أرتبّها جميعًا بحسب وفاة المؤلف، وأسبقها </w:t>
      </w:r>
      <w:r>
        <w:rPr>
          <w:rFonts w:hint="cs"/>
          <w:spacing w:val="-2"/>
          <w:rtl/>
          <w:lang w:bidi="ar-AE"/>
        </w:rPr>
        <w:lastRenderedPageBreak/>
        <w:t>بكلمة (انظر).</w:t>
      </w:r>
    </w:p>
    <w:p w:rsidR="00BF08C1" w:rsidRDefault="00BF08C1" w:rsidP="009A68A5">
      <w:pPr>
        <w:jc w:val="both"/>
        <w:rPr>
          <w:spacing w:val="-2"/>
          <w:rtl/>
          <w:lang w:bidi="ar-AE"/>
        </w:rPr>
      </w:pPr>
      <w:r>
        <w:rPr>
          <w:rFonts w:hint="cs"/>
          <w:b/>
          <w:bCs/>
          <w:spacing w:val="-2"/>
          <w:rtl/>
          <w:lang w:bidi="ar-AE"/>
        </w:rPr>
        <w:t>د-</w:t>
      </w:r>
      <w:r>
        <w:rPr>
          <w:rFonts w:hint="cs"/>
          <w:spacing w:val="-2"/>
          <w:rtl/>
          <w:lang w:bidi="ar-AE"/>
        </w:rPr>
        <w:t xml:space="preserve"> في حالة ما إذا كانت المراجع كثيرة، ومن علوم متعدّدة، ودعت الحاجة إلى تصنيفها وفق العلوم</w:t>
      </w:r>
      <w:r w:rsidR="0048366D">
        <w:rPr>
          <w:rFonts w:hint="cs"/>
          <w:spacing w:val="-2"/>
          <w:rtl/>
          <w:lang w:bidi="ar-AE"/>
        </w:rPr>
        <w:t>:</w:t>
      </w:r>
      <w:r>
        <w:rPr>
          <w:rFonts w:hint="cs"/>
          <w:spacing w:val="-2"/>
          <w:rtl/>
          <w:lang w:bidi="ar-AE"/>
        </w:rPr>
        <w:t xml:space="preserve"> فإني أصنفها أولاً وفق العلوم، ثم أرتّب مراجع كل علم على حدة بحسب وفاة المؤلف.</w:t>
      </w:r>
    </w:p>
    <w:p w:rsidR="00BF08C1" w:rsidRDefault="00BF08C1" w:rsidP="009A68A5">
      <w:pPr>
        <w:jc w:val="both"/>
        <w:rPr>
          <w:spacing w:val="-2"/>
          <w:rtl/>
          <w:lang w:bidi="ar-AE"/>
        </w:rPr>
      </w:pPr>
      <w:r>
        <w:rPr>
          <w:rFonts w:hint="cs"/>
          <w:b/>
          <w:bCs/>
          <w:spacing w:val="-2"/>
          <w:rtl/>
          <w:lang w:bidi="ar-AE"/>
        </w:rPr>
        <w:t>16-</w:t>
      </w:r>
      <w:r>
        <w:rPr>
          <w:rFonts w:hint="cs"/>
          <w:spacing w:val="-2"/>
          <w:rtl/>
          <w:lang w:bidi="ar-AE"/>
        </w:rPr>
        <w:t xml:space="preserve"> ربط مباحث الكتاب؛ وذلك بتعيين مواضع الإشارات التي يذكرها المؤلف بقوله: سيأتي ذكر كذا، أو سبق ذكر كذا.</w:t>
      </w:r>
    </w:p>
    <w:p w:rsidR="00BF08C1" w:rsidRDefault="00BF08C1" w:rsidP="009A68A5">
      <w:pPr>
        <w:jc w:val="both"/>
        <w:rPr>
          <w:spacing w:val="-2"/>
          <w:rtl/>
          <w:lang w:bidi="ar-AE"/>
        </w:rPr>
      </w:pPr>
      <w:r>
        <w:rPr>
          <w:rFonts w:hint="cs"/>
          <w:b/>
          <w:bCs/>
          <w:spacing w:val="-2"/>
          <w:rtl/>
          <w:lang w:bidi="ar-AE"/>
        </w:rPr>
        <w:t>17-</w:t>
      </w:r>
      <w:r>
        <w:rPr>
          <w:rFonts w:hint="cs"/>
          <w:spacing w:val="-2"/>
          <w:rtl/>
          <w:lang w:bidi="ar-AE"/>
        </w:rPr>
        <w:t xml:space="preserve"> وضع الفهارس الفنية التي تعين على الاستفادة من الكتاب، وهي</w:t>
      </w:r>
      <w:r w:rsidR="0048366D">
        <w:rPr>
          <w:rFonts w:hint="cs"/>
          <w:spacing w:val="-2"/>
          <w:rtl/>
          <w:lang w:bidi="ar-AE"/>
        </w:rPr>
        <w:t>:</w:t>
      </w:r>
    </w:p>
    <w:p w:rsidR="00BF08C1" w:rsidRDefault="00BF08C1" w:rsidP="009A68A5">
      <w:pPr>
        <w:jc w:val="both"/>
        <w:rPr>
          <w:spacing w:val="-2"/>
          <w:rtl/>
          <w:lang w:bidi="ar-AE"/>
        </w:rPr>
      </w:pPr>
      <w:r>
        <w:rPr>
          <w:rFonts w:hint="cs"/>
          <w:b/>
          <w:bCs/>
          <w:spacing w:val="-2"/>
          <w:rtl/>
          <w:lang w:bidi="ar-AE"/>
        </w:rPr>
        <w:t>أ-</w:t>
      </w:r>
      <w:r>
        <w:rPr>
          <w:rFonts w:hint="cs"/>
          <w:spacing w:val="-2"/>
          <w:rtl/>
          <w:lang w:bidi="ar-AE"/>
        </w:rPr>
        <w:t xml:space="preserve"> فهرس الآيات القرآنية.</w:t>
      </w:r>
    </w:p>
    <w:p w:rsidR="00BF08C1" w:rsidRDefault="00BF08C1" w:rsidP="009A68A5">
      <w:pPr>
        <w:jc w:val="both"/>
        <w:rPr>
          <w:spacing w:val="-2"/>
          <w:rtl/>
          <w:lang w:bidi="ar-AE"/>
        </w:rPr>
      </w:pPr>
      <w:r>
        <w:rPr>
          <w:rFonts w:hint="cs"/>
          <w:b/>
          <w:bCs/>
          <w:spacing w:val="-2"/>
          <w:rtl/>
          <w:lang w:bidi="ar-AE"/>
        </w:rPr>
        <w:t>ب-</w:t>
      </w:r>
      <w:r>
        <w:rPr>
          <w:rFonts w:hint="cs"/>
          <w:spacing w:val="-2"/>
          <w:rtl/>
          <w:lang w:bidi="ar-AE"/>
        </w:rPr>
        <w:t xml:space="preserve"> فهرس الأحاديث النبوية.</w:t>
      </w:r>
    </w:p>
    <w:p w:rsidR="00BF08C1" w:rsidRDefault="00BF08C1" w:rsidP="009A68A5">
      <w:pPr>
        <w:jc w:val="both"/>
        <w:rPr>
          <w:spacing w:val="-2"/>
          <w:rtl/>
          <w:lang w:bidi="ar-AE"/>
        </w:rPr>
      </w:pPr>
      <w:r>
        <w:rPr>
          <w:rFonts w:hint="cs"/>
          <w:b/>
          <w:bCs/>
          <w:spacing w:val="-2"/>
          <w:rtl/>
          <w:lang w:bidi="ar-AE"/>
        </w:rPr>
        <w:t>جـ-</w:t>
      </w:r>
      <w:r>
        <w:rPr>
          <w:rFonts w:hint="cs"/>
          <w:spacing w:val="-2"/>
          <w:rtl/>
          <w:lang w:bidi="ar-AE"/>
        </w:rPr>
        <w:t xml:space="preserve"> فهرس الآثار.</w:t>
      </w:r>
    </w:p>
    <w:p w:rsidR="00BF08C1" w:rsidRDefault="00BF08C1" w:rsidP="009A68A5">
      <w:pPr>
        <w:jc w:val="both"/>
        <w:rPr>
          <w:spacing w:val="-2"/>
          <w:rtl/>
          <w:lang w:bidi="ar-AE"/>
        </w:rPr>
      </w:pPr>
      <w:r>
        <w:rPr>
          <w:rFonts w:hint="cs"/>
          <w:b/>
          <w:bCs/>
          <w:spacing w:val="-2"/>
          <w:rtl/>
          <w:lang w:bidi="ar-AE"/>
        </w:rPr>
        <w:t xml:space="preserve">د- </w:t>
      </w:r>
      <w:r>
        <w:rPr>
          <w:rFonts w:hint="cs"/>
          <w:spacing w:val="-2"/>
          <w:rtl/>
          <w:lang w:bidi="ar-AE"/>
        </w:rPr>
        <w:t>فهرس القواعد.</w:t>
      </w:r>
    </w:p>
    <w:p w:rsidR="00BF08C1" w:rsidRDefault="00BF08C1" w:rsidP="009A68A5">
      <w:pPr>
        <w:jc w:val="both"/>
        <w:rPr>
          <w:spacing w:val="-2"/>
          <w:rtl/>
          <w:lang w:bidi="ar-AE"/>
        </w:rPr>
      </w:pPr>
      <w:r>
        <w:rPr>
          <w:rFonts w:hint="cs"/>
          <w:b/>
          <w:bCs/>
          <w:spacing w:val="-2"/>
          <w:rtl/>
          <w:lang w:bidi="ar-AE"/>
        </w:rPr>
        <w:t>هـ-</w:t>
      </w:r>
      <w:r>
        <w:rPr>
          <w:rFonts w:hint="cs"/>
          <w:spacing w:val="-2"/>
          <w:rtl/>
          <w:lang w:bidi="ar-AE"/>
        </w:rPr>
        <w:t xml:space="preserve"> فهرس الأشعار.</w:t>
      </w:r>
    </w:p>
    <w:p w:rsidR="00BF08C1" w:rsidRDefault="00BF08C1" w:rsidP="009A68A5">
      <w:pPr>
        <w:jc w:val="both"/>
        <w:rPr>
          <w:spacing w:val="-2"/>
          <w:rtl/>
          <w:lang w:bidi="ar-AE"/>
        </w:rPr>
      </w:pPr>
      <w:r>
        <w:rPr>
          <w:rFonts w:hint="cs"/>
          <w:b/>
          <w:bCs/>
          <w:spacing w:val="-2"/>
          <w:rtl/>
          <w:lang w:bidi="ar-AE"/>
        </w:rPr>
        <w:t>و-</w:t>
      </w:r>
      <w:r>
        <w:rPr>
          <w:rFonts w:hint="cs"/>
          <w:spacing w:val="-2"/>
          <w:rtl/>
          <w:lang w:bidi="ar-AE"/>
        </w:rPr>
        <w:t xml:space="preserve"> فهرس الغريب من الألفاظ.</w:t>
      </w:r>
    </w:p>
    <w:p w:rsidR="00BF08C1" w:rsidRDefault="00BF08C1" w:rsidP="009A68A5">
      <w:pPr>
        <w:jc w:val="both"/>
        <w:rPr>
          <w:spacing w:val="-2"/>
          <w:rtl/>
          <w:lang w:bidi="ar-AE"/>
        </w:rPr>
      </w:pPr>
      <w:r>
        <w:rPr>
          <w:rFonts w:hint="cs"/>
          <w:b/>
          <w:bCs/>
          <w:spacing w:val="-2"/>
          <w:rtl/>
          <w:lang w:bidi="ar-AE"/>
        </w:rPr>
        <w:t>ز-</w:t>
      </w:r>
      <w:r>
        <w:rPr>
          <w:rFonts w:hint="cs"/>
          <w:spacing w:val="-2"/>
          <w:rtl/>
          <w:lang w:bidi="ar-AE"/>
        </w:rPr>
        <w:t xml:space="preserve"> فهرس الحدود والمصطلحات.</w:t>
      </w:r>
    </w:p>
    <w:p w:rsidR="00BF08C1" w:rsidRDefault="00BF08C1" w:rsidP="009A68A5">
      <w:pPr>
        <w:jc w:val="both"/>
        <w:rPr>
          <w:spacing w:val="-2"/>
          <w:rtl/>
          <w:lang w:bidi="ar-AE"/>
        </w:rPr>
      </w:pPr>
      <w:r>
        <w:rPr>
          <w:rFonts w:hint="cs"/>
          <w:b/>
          <w:bCs/>
          <w:spacing w:val="-2"/>
          <w:rtl/>
          <w:lang w:bidi="ar-AE"/>
        </w:rPr>
        <w:t>ح-</w:t>
      </w:r>
      <w:r>
        <w:rPr>
          <w:rFonts w:hint="cs"/>
          <w:spacing w:val="-2"/>
          <w:rtl/>
          <w:lang w:bidi="ar-AE"/>
        </w:rPr>
        <w:t xml:space="preserve"> فهرس الأعلام.</w:t>
      </w:r>
    </w:p>
    <w:p w:rsidR="00BF08C1" w:rsidRDefault="00BF08C1" w:rsidP="009A68A5">
      <w:pPr>
        <w:jc w:val="both"/>
        <w:rPr>
          <w:spacing w:val="-2"/>
          <w:rtl/>
          <w:lang w:bidi="ar-AE"/>
        </w:rPr>
      </w:pPr>
      <w:r>
        <w:rPr>
          <w:rFonts w:hint="cs"/>
          <w:b/>
          <w:bCs/>
          <w:spacing w:val="-2"/>
          <w:rtl/>
          <w:lang w:bidi="ar-AE"/>
        </w:rPr>
        <w:t>ط-</w:t>
      </w:r>
      <w:r>
        <w:rPr>
          <w:rFonts w:hint="cs"/>
          <w:spacing w:val="-2"/>
          <w:rtl/>
          <w:lang w:bidi="ar-AE"/>
        </w:rPr>
        <w:t xml:space="preserve"> فهرس الفرق والمذاهب.</w:t>
      </w:r>
    </w:p>
    <w:p w:rsidR="00BF08C1" w:rsidRDefault="00BF08C1" w:rsidP="009A68A5">
      <w:pPr>
        <w:jc w:val="both"/>
        <w:rPr>
          <w:spacing w:val="-2"/>
          <w:rtl/>
          <w:lang w:bidi="ar-AE"/>
        </w:rPr>
      </w:pPr>
      <w:r>
        <w:rPr>
          <w:rFonts w:hint="cs"/>
          <w:b/>
          <w:bCs/>
          <w:spacing w:val="-2"/>
          <w:rtl/>
          <w:lang w:bidi="ar-AE"/>
        </w:rPr>
        <w:t>ي-</w:t>
      </w:r>
      <w:r>
        <w:rPr>
          <w:rFonts w:hint="cs"/>
          <w:spacing w:val="-2"/>
          <w:rtl/>
          <w:lang w:bidi="ar-AE"/>
        </w:rPr>
        <w:t xml:space="preserve"> فهرس الكتب الواردة في النص.</w:t>
      </w:r>
    </w:p>
    <w:p w:rsidR="00BF08C1" w:rsidRDefault="00BF08C1" w:rsidP="009A68A5">
      <w:pPr>
        <w:jc w:val="both"/>
        <w:rPr>
          <w:spacing w:val="-2"/>
          <w:rtl/>
          <w:lang w:bidi="ar-AE"/>
        </w:rPr>
      </w:pPr>
      <w:r>
        <w:rPr>
          <w:rFonts w:hint="cs"/>
          <w:b/>
          <w:bCs/>
          <w:spacing w:val="-2"/>
          <w:rtl/>
          <w:lang w:bidi="ar-AE"/>
        </w:rPr>
        <w:t>ك-</w:t>
      </w:r>
      <w:r>
        <w:rPr>
          <w:rFonts w:hint="cs"/>
          <w:spacing w:val="-2"/>
          <w:rtl/>
          <w:lang w:bidi="ar-AE"/>
        </w:rPr>
        <w:t xml:space="preserve"> فهرس الموضوعات.</w:t>
      </w:r>
    </w:p>
    <w:p w:rsidR="00BF08C1" w:rsidRDefault="0002023B" w:rsidP="009A68A5">
      <w:pPr>
        <w:jc w:val="both"/>
        <w:rPr>
          <w:spacing w:val="-2"/>
          <w:rtl/>
        </w:rPr>
      </w:pPr>
      <w:r>
        <w:rPr>
          <w:spacing w:val="-2"/>
        </w:rPr>
        <w:softHyphen/>
      </w:r>
      <w:r>
        <w:rPr>
          <w:spacing w:val="-2"/>
        </w:rPr>
        <w:softHyphen/>
      </w:r>
      <w:r>
        <w:rPr>
          <w:spacing w:val="-2"/>
        </w:rPr>
        <w:softHyphen/>
      </w:r>
      <w:r>
        <w:rPr>
          <w:spacing w:val="-2"/>
        </w:rPr>
        <w:softHyphen/>
      </w:r>
      <w:r>
        <w:rPr>
          <w:spacing w:val="-2"/>
        </w:rPr>
        <w:softHyphen/>
      </w:r>
      <w:r>
        <w:rPr>
          <w:spacing w:val="-2"/>
        </w:rPr>
        <w:softHyphen/>
      </w:r>
      <w:r>
        <w:rPr>
          <w:spacing w:val="-2"/>
        </w:rPr>
        <w:softHyphen/>
      </w:r>
      <w:r>
        <w:rPr>
          <w:spacing w:val="-2"/>
        </w:rPr>
        <w:softHyphen/>
      </w:r>
    </w:p>
    <w:p w:rsidR="00783D87" w:rsidRDefault="00BF08C1" w:rsidP="00D91C38">
      <w:pPr>
        <w:jc w:val="both"/>
        <w:rPr>
          <w:b/>
          <w:bCs/>
          <w:spacing w:val="-2"/>
          <w:sz w:val="38"/>
          <w:szCs w:val="38"/>
          <w:rtl/>
          <w:lang w:bidi="ar-AE"/>
        </w:rPr>
        <w:sectPr w:rsidR="00783D87" w:rsidSect="0048366D">
          <w:headerReference w:type="default" r:id="rId21"/>
          <w:footnotePr>
            <w:pos w:val="beneathText"/>
            <w:numRestart w:val="eachPage"/>
          </w:footnotePr>
          <w:endnotePr>
            <w:numFmt w:val="decimal"/>
          </w:endnotePr>
          <w:pgSz w:w="11906" w:h="16838" w:code="9"/>
          <w:pgMar w:top="2268" w:right="1559" w:bottom="1418" w:left="1559" w:header="680" w:footer="851" w:gutter="284"/>
          <w:pgNumType w:start="185"/>
          <w:cols w:space="720"/>
          <w:bidi/>
          <w:rtlGutter/>
        </w:sectPr>
      </w:pPr>
      <w:r>
        <w:rPr>
          <w:rFonts w:hint="cs"/>
          <w:b/>
          <w:bCs/>
          <w:spacing w:val="-2"/>
          <w:sz w:val="38"/>
          <w:szCs w:val="38"/>
          <w:rtl/>
          <w:lang w:bidi="ar-AE"/>
        </w:rPr>
        <w:t>وصلى الله وسلم على نبينا محمد، وعلى آله وصحبه،</w:t>
      </w:r>
      <w:r w:rsidR="00735E88">
        <w:rPr>
          <w:rFonts w:hint="cs"/>
          <w:b/>
          <w:bCs/>
          <w:spacing w:val="-2"/>
          <w:sz w:val="38"/>
          <w:szCs w:val="38"/>
          <w:rtl/>
          <w:lang w:bidi="ar-AE"/>
        </w:rPr>
        <w:t xml:space="preserve"> ومن تبعهم بإحسان إلى يوم الدين</w:t>
      </w:r>
      <w:r w:rsidR="00D91C38">
        <w:rPr>
          <w:rFonts w:hint="cs"/>
          <w:b/>
          <w:bCs/>
          <w:spacing w:val="-2"/>
          <w:sz w:val="38"/>
          <w:szCs w:val="38"/>
          <w:rtl/>
          <w:lang w:bidi="ar-AE"/>
        </w:rPr>
        <w:t>.</w:t>
      </w:r>
    </w:p>
    <w:p w:rsidR="00C10469" w:rsidRDefault="00C10469" w:rsidP="00C10469">
      <w:pPr>
        <w:ind w:hanging="3"/>
        <w:jc w:val="center"/>
        <w:rPr>
          <w:sz w:val="38"/>
          <w:szCs w:val="38"/>
          <w:rtl/>
        </w:rPr>
      </w:pPr>
    </w:p>
    <w:p w:rsidR="00C10469" w:rsidRPr="0080450C" w:rsidRDefault="00C10469" w:rsidP="00C10469">
      <w:pPr>
        <w:rPr>
          <w:sz w:val="38"/>
          <w:szCs w:val="38"/>
          <w:rtl/>
        </w:rPr>
      </w:pPr>
    </w:p>
    <w:p w:rsidR="00C10469" w:rsidRPr="0080450C" w:rsidRDefault="00C10469" w:rsidP="00C10469">
      <w:pPr>
        <w:rPr>
          <w:sz w:val="38"/>
          <w:szCs w:val="38"/>
          <w:rtl/>
        </w:rPr>
      </w:pPr>
    </w:p>
    <w:p w:rsidR="00C10469" w:rsidRPr="0080450C" w:rsidRDefault="00C10469" w:rsidP="00C10469">
      <w:pPr>
        <w:rPr>
          <w:sz w:val="38"/>
          <w:szCs w:val="38"/>
          <w:rtl/>
        </w:rPr>
      </w:pPr>
    </w:p>
    <w:p w:rsidR="00C10469" w:rsidRPr="0080450C" w:rsidRDefault="00C10469" w:rsidP="00C10469">
      <w:pPr>
        <w:rPr>
          <w:sz w:val="38"/>
          <w:szCs w:val="38"/>
          <w:rtl/>
        </w:rPr>
      </w:pPr>
    </w:p>
    <w:p w:rsidR="00C10469" w:rsidRPr="0080450C" w:rsidRDefault="00C10469" w:rsidP="00C10469">
      <w:pPr>
        <w:rPr>
          <w:sz w:val="38"/>
          <w:szCs w:val="38"/>
          <w:rtl/>
        </w:rPr>
      </w:pPr>
    </w:p>
    <w:p w:rsidR="00C10469" w:rsidRPr="0080450C" w:rsidRDefault="00C10469" w:rsidP="00C10469">
      <w:pPr>
        <w:rPr>
          <w:sz w:val="38"/>
          <w:szCs w:val="38"/>
          <w:rtl/>
        </w:rPr>
      </w:pPr>
    </w:p>
    <w:p w:rsidR="00C10469" w:rsidRDefault="00C10469" w:rsidP="00C10469">
      <w:pPr>
        <w:ind w:hanging="3"/>
        <w:jc w:val="center"/>
        <w:rPr>
          <w:sz w:val="38"/>
          <w:szCs w:val="38"/>
          <w:rtl/>
        </w:rPr>
      </w:pPr>
    </w:p>
    <w:p w:rsidR="00C10469" w:rsidRDefault="00C10469" w:rsidP="00C10469">
      <w:pPr>
        <w:ind w:hanging="3"/>
        <w:jc w:val="center"/>
        <w:rPr>
          <w:sz w:val="38"/>
          <w:szCs w:val="38"/>
          <w:rtl/>
        </w:rPr>
      </w:pPr>
    </w:p>
    <w:p w:rsidR="00C10469" w:rsidRDefault="00C10469" w:rsidP="00C10469">
      <w:pPr>
        <w:ind w:hanging="3"/>
        <w:jc w:val="center"/>
        <w:rPr>
          <w:sz w:val="38"/>
          <w:szCs w:val="38"/>
          <w:rtl/>
        </w:rPr>
      </w:pPr>
    </w:p>
    <w:p w:rsidR="00C10469" w:rsidRPr="0080450C" w:rsidRDefault="00C10469" w:rsidP="00C10469">
      <w:pPr>
        <w:ind w:hanging="3"/>
        <w:jc w:val="center"/>
        <w:rPr>
          <w:b/>
          <w:bCs/>
          <w:sz w:val="38"/>
          <w:szCs w:val="38"/>
          <w:rtl/>
        </w:rPr>
      </w:pPr>
      <w:r>
        <w:rPr>
          <w:rFonts w:cs="Monotype Koufi" w:hint="cs"/>
          <w:sz w:val="64"/>
          <w:szCs w:val="64"/>
          <w:rtl/>
        </w:rPr>
        <w:t>ثـانيـًا : النـص الـمـحــقـق</w:t>
      </w:r>
    </w:p>
    <w:p w:rsidR="00C10469" w:rsidRPr="00AB6D9C" w:rsidRDefault="00C10469" w:rsidP="00C10469">
      <w:pPr>
        <w:ind w:hanging="3"/>
        <w:jc w:val="center"/>
        <w:rPr>
          <w:sz w:val="38"/>
          <w:szCs w:val="38"/>
          <w:rtl/>
        </w:rPr>
      </w:pPr>
      <w:r w:rsidRPr="0080450C">
        <w:rPr>
          <w:sz w:val="38"/>
          <w:szCs w:val="38"/>
          <w:rtl/>
        </w:rPr>
        <w:br w:type="page"/>
      </w:r>
      <w:r>
        <w:rPr>
          <w:rFonts w:hint="cs"/>
          <w:sz w:val="38"/>
          <w:szCs w:val="38"/>
          <w:rtl/>
        </w:rPr>
        <w:lastRenderedPageBreak/>
        <w:t>بسم الله الرحمن الرحيم</w:t>
      </w:r>
    </w:p>
    <w:p w:rsidR="00C10469" w:rsidRDefault="00C10469">
      <w:pPr>
        <w:rPr>
          <w:rtl/>
        </w:rPr>
      </w:pPr>
      <w:r>
        <w:rPr>
          <w:rFonts w:hint="cs"/>
          <w:rtl/>
        </w:rPr>
        <w:t xml:space="preserve">الـحـمـد لله الـذي هـدانـا إلـى </w:t>
      </w:r>
      <w:r>
        <w:rPr>
          <w:rStyle w:val="a5"/>
          <w:rFonts w:hint="cs"/>
          <w:rtl/>
        </w:rPr>
        <w:t>مـنـاهـج</w:t>
      </w:r>
      <w:r>
        <w:rPr>
          <w:rStyle w:val="a7"/>
          <w:sz w:val="32"/>
          <w:rtl/>
        </w:rPr>
        <w:footnoteReference w:id="392"/>
      </w:r>
      <w:r>
        <w:rPr>
          <w:rFonts w:hint="cs"/>
          <w:rtl/>
        </w:rPr>
        <w:t xml:space="preserve"> مـعـرفـة دلائـل</w:t>
      </w:r>
      <w:r>
        <w:rPr>
          <w:rFonts w:hint="cs"/>
          <w:vertAlign w:val="superscript"/>
          <w:rtl/>
        </w:rPr>
        <w:t>(</w:t>
      </w:r>
      <w:r>
        <w:rPr>
          <w:rStyle w:val="a7"/>
          <w:sz w:val="32"/>
          <w:rtl/>
        </w:rPr>
        <w:footnoteReference w:id="393"/>
      </w:r>
      <w:r>
        <w:rPr>
          <w:rFonts w:hint="cs"/>
          <w:vertAlign w:val="superscript"/>
          <w:rtl/>
        </w:rPr>
        <w:t>)</w:t>
      </w:r>
      <w:r>
        <w:rPr>
          <w:rFonts w:hint="cs"/>
          <w:rtl/>
        </w:rPr>
        <w:t xml:space="preserve"> </w:t>
      </w:r>
    </w:p>
    <w:p w:rsidR="00C10469" w:rsidRDefault="00C10469">
      <w:pPr>
        <w:rPr>
          <w:rtl/>
        </w:rPr>
      </w:pPr>
      <w:r>
        <w:rPr>
          <w:rFonts w:hint="cs"/>
          <w:rtl/>
        </w:rPr>
        <w:lastRenderedPageBreak/>
        <w:t>الأحـــكـــــام</w:t>
      </w:r>
      <w:r>
        <w:rPr>
          <w:rFonts w:hint="cs"/>
          <w:vertAlign w:val="superscript"/>
          <w:rtl/>
        </w:rPr>
        <w:t>(</w:t>
      </w:r>
      <w:r>
        <w:rPr>
          <w:rStyle w:val="a7"/>
          <w:sz w:val="32"/>
          <w:rtl/>
        </w:rPr>
        <w:footnoteReference w:id="394"/>
      </w:r>
      <w:r>
        <w:rPr>
          <w:rFonts w:hint="cs"/>
          <w:vertAlign w:val="superscript"/>
          <w:rtl/>
        </w:rPr>
        <w:t>)</w:t>
      </w:r>
      <w:r>
        <w:rPr>
          <w:rFonts w:hint="cs"/>
          <w:rtl/>
        </w:rPr>
        <w:t xml:space="preserve"> بـــالــبــــراهـــيــــن</w:t>
      </w:r>
      <w:r>
        <w:rPr>
          <w:rFonts w:hint="cs"/>
          <w:vertAlign w:val="superscript"/>
          <w:rtl/>
        </w:rPr>
        <w:t>(</w:t>
      </w:r>
      <w:r>
        <w:rPr>
          <w:rStyle w:val="a7"/>
          <w:sz w:val="32"/>
          <w:rtl/>
        </w:rPr>
        <w:footnoteReference w:id="395"/>
      </w:r>
      <w:r>
        <w:rPr>
          <w:rFonts w:hint="cs"/>
          <w:vertAlign w:val="superscript"/>
          <w:rtl/>
        </w:rPr>
        <w:t>)</w:t>
      </w:r>
      <w:r>
        <w:rPr>
          <w:rFonts w:hint="cs"/>
          <w:rtl/>
        </w:rPr>
        <w:t xml:space="preserve"> </w:t>
      </w:r>
    </w:p>
    <w:p w:rsidR="00C10469" w:rsidRDefault="00C10469">
      <w:pPr>
        <w:ind w:firstLine="0"/>
        <w:rPr>
          <w:rtl/>
        </w:rPr>
      </w:pPr>
      <w:r>
        <w:rPr>
          <w:rFonts w:hint="cs"/>
          <w:rtl/>
        </w:rPr>
        <w:lastRenderedPageBreak/>
        <w:t>والشواهد</w:t>
      </w:r>
      <w:r>
        <w:rPr>
          <w:rFonts w:hint="cs"/>
          <w:vertAlign w:val="superscript"/>
          <w:rtl/>
        </w:rPr>
        <w:t>(</w:t>
      </w:r>
      <w:r>
        <w:rPr>
          <w:rStyle w:val="a7"/>
          <w:sz w:val="32"/>
          <w:rtl/>
        </w:rPr>
        <w:footnoteReference w:id="396"/>
      </w:r>
      <w:r>
        <w:rPr>
          <w:rFonts w:hint="cs"/>
          <w:vertAlign w:val="superscript"/>
          <w:rtl/>
        </w:rPr>
        <w:t>)</w:t>
      </w:r>
      <w:r>
        <w:rPr>
          <w:rFonts w:hint="cs"/>
          <w:rtl/>
        </w:rPr>
        <w:t xml:space="preserve"> والأعلام, وشرَّفنا باستطاعة مطالعة كتب العلماء الفِخَام</w:t>
      </w:r>
      <w:r>
        <w:rPr>
          <w:rFonts w:hint="cs"/>
          <w:vertAlign w:val="superscript"/>
          <w:rtl/>
        </w:rPr>
        <w:t>(</w:t>
      </w:r>
      <w:r>
        <w:rPr>
          <w:rStyle w:val="a7"/>
          <w:rtl/>
        </w:rPr>
        <w:footnoteReference w:id="397"/>
      </w:r>
      <w:r>
        <w:rPr>
          <w:rFonts w:hint="cs"/>
          <w:vertAlign w:val="superscript"/>
          <w:rtl/>
        </w:rPr>
        <w:t>)</w:t>
      </w:r>
      <w:r>
        <w:rPr>
          <w:rFonts w:hint="cs"/>
          <w:rtl/>
        </w:rPr>
        <w:t xml:space="preserve"> من أئمة الإسلام، </w:t>
      </w:r>
      <w:r>
        <w:rPr>
          <w:rFonts w:hint="cs"/>
          <w:spacing w:val="2"/>
          <w:rtl/>
        </w:rPr>
        <w:t>والصـلاة والسـلام عـلى خـيـر الأنام، محمد وآله وصحبه الكرام،</w:t>
      </w:r>
      <w:r>
        <w:rPr>
          <w:rFonts w:hint="cs"/>
          <w:rtl/>
        </w:rPr>
        <w:t xml:space="preserve"> إلى يوم الحشر والقيام. أما</w:t>
      </w:r>
      <w:r>
        <w:rPr>
          <w:rFonts w:hint="cs"/>
          <w:vertAlign w:val="superscript"/>
          <w:rtl/>
        </w:rPr>
        <w:t>(</w:t>
      </w:r>
      <w:r>
        <w:rPr>
          <w:rStyle w:val="a7"/>
          <w:rtl/>
        </w:rPr>
        <w:footnoteReference w:id="398"/>
      </w:r>
      <w:r>
        <w:rPr>
          <w:rFonts w:hint="cs"/>
          <w:vertAlign w:val="superscript"/>
          <w:rtl/>
        </w:rPr>
        <w:t>)</w:t>
      </w:r>
      <w:r>
        <w:rPr>
          <w:rFonts w:hint="cs"/>
          <w:rtl/>
        </w:rPr>
        <w:t xml:space="preserve"> بعد :</w:t>
      </w:r>
    </w:p>
    <w:p w:rsidR="00C10469" w:rsidRDefault="00C10469">
      <w:pPr>
        <w:rPr>
          <w:spacing w:val="-8"/>
          <w:rtl/>
        </w:rPr>
      </w:pPr>
      <w:r>
        <w:rPr>
          <w:rFonts w:hint="cs"/>
          <w:spacing w:val="-10"/>
          <w:rtl/>
        </w:rPr>
        <w:lastRenderedPageBreak/>
        <w:t xml:space="preserve">يقول العبد الضعيف، </w:t>
      </w:r>
      <w:r>
        <w:rPr>
          <w:rFonts w:hint="cs"/>
          <w:b/>
          <w:bCs/>
          <w:spacing w:val="-10"/>
          <w:rtl/>
        </w:rPr>
        <w:t>محمدُ بنُ سليمانَ الشهيرُ بِنَاظِرِ زَادَهْ</w:t>
      </w:r>
      <w:r>
        <w:rPr>
          <w:rFonts w:hint="cs"/>
          <w:spacing w:val="-8"/>
          <w:rtl/>
        </w:rPr>
        <w:t xml:space="preserve"> </w:t>
      </w:r>
      <w:r>
        <w:rPr>
          <w:rFonts w:hint="cs"/>
          <w:spacing w:val="-12"/>
          <w:rtl/>
        </w:rPr>
        <w:t>-جعل الله التقوى زاده-:</w:t>
      </w:r>
      <w:r>
        <w:rPr>
          <w:rFonts w:hint="cs"/>
          <w:spacing w:val="-8"/>
          <w:rtl/>
        </w:rPr>
        <w:t xml:space="preserve"> لمّا </w:t>
      </w:r>
      <w:r>
        <w:rPr>
          <w:spacing w:val="-8"/>
          <w:rtl/>
        </w:rPr>
        <w:br/>
      </w:r>
      <w:r>
        <w:rPr>
          <w:rFonts w:hint="cs"/>
          <w:spacing w:val="-8"/>
          <w:rtl/>
        </w:rPr>
        <w:t>أُذِنتُ بالإفتاء، وأُمـرتُ بنقل الـمسائل؛ [لتطمئن]</w:t>
      </w:r>
      <w:r>
        <w:rPr>
          <w:rStyle w:val="a7"/>
          <w:spacing w:val="-8"/>
          <w:rtl/>
        </w:rPr>
        <w:footnoteReference w:id="399"/>
      </w:r>
      <w:r>
        <w:rPr>
          <w:rFonts w:hint="cs"/>
          <w:spacing w:val="-8"/>
          <w:rtl/>
        </w:rPr>
        <w:t xml:space="preserve"> </w:t>
      </w:r>
      <w:r>
        <w:rPr>
          <w:rFonts w:hint="cs"/>
          <w:spacing w:val="-4"/>
          <w:rtl/>
        </w:rPr>
        <w:t xml:space="preserve">القـلوب عند جواب </w:t>
      </w:r>
      <w:r>
        <w:rPr>
          <w:rFonts w:hint="cs"/>
          <w:spacing w:val="-8"/>
          <w:sz w:val="36"/>
          <w:rtl/>
        </w:rPr>
        <w:t>السائل</w:t>
      </w:r>
      <w:r>
        <w:rPr>
          <w:rFonts w:hint="cs"/>
          <w:spacing w:val="-8"/>
          <w:vertAlign w:val="superscript"/>
          <w:rtl/>
        </w:rPr>
        <w:t>(</w:t>
      </w:r>
      <w:r>
        <w:rPr>
          <w:rStyle w:val="a7"/>
          <w:spacing w:val="-8"/>
          <w:rtl/>
        </w:rPr>
        <w:footnoteReference w:id="400"/>
      </w:r>
      <w:r>
        <w:rPr>
          <w:rFonts w:hint="cs"/>
          <w:spacing w:val="-8"/>
          <w:vertAlign w:val="superscript"/>
          <w:rtl/>
        </w:rPr>
        <w:t>)</w:t>
      </w:r>
      <w:r>
        <w:rPr>
          <w:rFonts w:hint="cs"/>
          <w:spacing w:val="-8"/>
          <w:rtl/>
        </w:rPr>
        <w:t xml:space="preserve">، </w:t>
      </w:r>
      <w:r>
        <w:rPr>
          <w:rFonts w:hint="cs"/>
          <w:spacing w:val="-8"/>
          <w:sz w:val="36"/>
          <w:rtl/>
        </w:rPr>
        <w:lastRenderedPageBreak/>
        <w:t>فتصفحت</w:t>
      </w:r>
      <w:r>
        <w:rPr>
          <w:rFonts w:hint="cs"/>
          <w:spacing w:val="-8"/>
          <w:vertAlign w:val="superscript"/>
          <w:rtl/>
        </w:rPr>
        <w:t>(</w:t>
      </w:r>
      <w:r>
        <w:rPr>
          <w:rStyle w:val="a7"/>
          <w:spacing w:val="-8"/>
          <w:rtl/>
        </w:rPr>
        <w:footnoteReference w:id="401"/>
      </w:r>
      <w:r>
        <w:rPr>
          <w:rFonts w:hint="cs"/>
          <w:spacing w:val="-8"/>
          <w:vertAlign w:val="superscript"/>
          <w:rtl/>
        </w:rPr>
        <w:t>)</w:t>
      </w:r>
      <w:r>
        <w:rPr>
          <w:rFonts w:hint="cs"/>
          <w:spacing w:val="-8"/>
          <w:rtl/>
        </w:rPr>
        <w:t xml:space="preserve"> </w:t>
      </w:r>
      <w:r>
        <w:rPr>
          <w:rFonts w:hint="cs"/>
          <w:spacing w:val="-8"/>
          <w:sz w:val="36"/>
          <w:rtl/>
        </w:rPr>
        <w:t>كتب [الأئمة]</w:t>
      </w:r>
      <w:r>
        <w:rPr>
          <w:rStyle w:val="a7"/>
          <w:spacing w:val="-8"/>
          <w:rtl/>
        </w:rPr>
        <w:footnoteReference w:id="402"/>
      </w:r>
      <w:r>
        <w:rPr>
          <w:rFonts w:hint="cs"/>
          <w:spacing w:val="-8"/>
          <w:rtl/>
        </w:rPr>
        <w:t xml:space="preserve"> </w:t>
      </w:r>
      <w:r>
        <w:rPr>
          <w:rFonts w:hint="cs"/>
          <w:spacing w:val="-8"/>
          <w:sz w:val="36"/>
          <w:rtl/>
        </w:rPr>
        <w:t>المهتدين من علماء الدين، ووجدت قواعد وأصولاً</w:t>
      </w:r>
      <w:r>
        <w:rPr>
          <w:rFonts w:hint="cs"/>
          <w:spacing w:val="-8"/>
          <w:vertAlign w:val="superscript"/>
          <w:rtl/>
        </w:rPr>
        <w:t>(</w:t>
      </w:r>
      <w:r>
        <w:rPr>
          <w:rStyle w:val="a7"/>
          <w:spacing w:val="-8"/>
          <w:rtl/>
        </w:rPr>
        <w:footnoteReference w:id="403"/>
      </w:r>
      <w:r>
        <w:rPr>
          <w:rFonts w:hint="cs"/>
          <w:spacing w:val="-8"/>
          <w:vertAlign w:val="superscript"/>
          <w:rtl/>
        </w:rPr>
        <w:t>)</w:t>
      </w:r>
      <w:r>
        <w:rPr>
          <w:rFonts w:hint="cs"/>
          <w:spacing w:val="-8"/>
          <w:rtl/>
        </w:rPr>
        <w:t xml:space="preserve"> </w:t>
      </w:r>
      <w:r>
        <w:rPr>
          <w:rFonts w:hint="cs"/>
          <w:spacing w:val="-8"/>
          <w:sz w:val="36"/>
          <w:rtl/>
        </w:rPr>
        <w:t>[تصلح أن تكون]</w:t>
      </w:r>
      <w:r>
        <w:rPr>
          <w:rStyle w:val="a7"/>
          <w:spacing w:val="-8"/>
          <w:rtl/>
        </w:rPr>
        <w:footnoteReference w:id="404"/>
      </w:r>
      <w:r>
        <w:rPr>
          <w:rFonts w:hint="cs"/>
          <w:spacing w:val="-8"/>
          <w:rtl/>
        </w:rPr>
        <w:t xml:space="preserve"> </w:t>
      </w:r>
      <w:r>
        <w:rPr>
          <w:rFonts w:hint="cs"/>
          <w:spacing w:val="-8"/>
          <w:sz w:val="36"/>
          <w:rtl/>
        </w:rPr>
        <w:t>للجواب دليلاً</w:t>
      </w:r>
      <w:r>
        <w:rPr>
          <w:rFonts w:hint="cs"/>
          <w:spacing w:val="-8"/>
          <w:vertAlign w:val="superscript"/>
          <w:rtl/>
        </w:rPr>
        <w:t>(</w:t>
      </w:r>
      <w:r>
        <w:rPr>
          <w:rStyle w:val="a7"/>
          <w:spacing w:val="-8"/>
          <w:rtl/>
        </w:rPr>
        <w:footnoteReference w:id="405"/>
      </w:r>
      <w:r>
        <w:rPr>
          <w:rFonts w:hint="cs"/>
          <w:spacing w:val="-8"/>
          <w:vertAlign w:val="superscript"/>
          <w:rtl/>
        </w:rPr>
        <w:t>)</w:t>
      </w:r>
      <w:r>
        <w:rPr>
          <w:rFonts w:hint="cs"/>
          <w:spacing w:val="-8"/>
          <w:rtl/>
        </w:rPr>
        <w:t xml:space="preserve">، </w:t>
      </w:r>
      <w:r>
        <w:rPr>
          <w:rFonts w:hint="cs"/>
          <w:spacing w:val="-8"/>
          <w:sz w:val="36"/>
          <w:rtl/>
        </w:rPr>
        <w:t>ورتبتها في هـذه الـجريدة</w:t>
      </w:r>
      <w:r>
        <w:rPr>
          <w:rFonts w:hint="cs"/>
          <w:spacing w:val="-8"/>
          <w:vertAlign w:val="superscript"/>
          <w:rtl/>
        </w:rPr>
        <w:t>(</w:t>
      </w:r>
      <w:r>
        <w:rPr>
          <w:rStyle w:val="a7"/>
          <w:spacing w:val="-8"/>
          <w:rtl/>
        </w:rPr>
        <w:footnoteReference w:id="406"/>
      </w:r>
      <w:r>
        <w:rPr>
          <w:rFonts w:hint="cs"/>
          <w:spacing w:val="-8"/>
          <w:vertAlign w:val="superscript"/>
          <w:rtl/>
        </w:rPr>
        <w:t>)</w:t>
      </w:r>
      <w:r>
        <w:rPr>
          <w:rFonts w:hint="cs"/>
          <w:spacing w:val="-8"/>
          <w:rtl/>
        </w:rPr>
        <w:t xml:space="preserve"> </w:t>
      </w:r>
      <w:r>
        <w:rPr>
          <w:rFonts w:hint="cs"/>
          <w:spacing w:val="-8"/>
          <w:sz w:val="36"/>
          <w:rtl/>
        </w:rPr>
        <w:t>على حروف  الهجاء</w:t>
      </w:r>
      <w:r>
        <w:rPr>
          <w:rFonts w:hint="cs"/>
          <w:spacing w:val="-8"/>
          <w:vertAlign w:val="superscript"/>
          <w:rtl/>
        </w:rPr>
        <w:t>(</w:t>
      </w:r>
      <w:r>
        <w:rPr>
          <w:rStyle w:val="a7"/>
          <w:spacing w:val="-8"/>
          <w:rtl/>
        </w:rPr>
        <w:footnoteReference w:id="407"/>
      </w:r>
      <w:r>
        <w:rPr>
          <w:rFonts w:hint="cs"/>
          <w:spacing w:val="-8"/>
          <w:vertAlign w:val="superscript"/>
          <w:rtl/>
        </w:rPr>
        <w:t>)</w:t>
      </w:r>
      <w:r>
        <w:rPr>
          <w:rFonts w:hint="cs"/>
          <w:spacing w:val="-8"/>
          <w:rtl/>
        </w:rPr>
        <w:t xml:space="preserve">، </w:t>
      </w:r>
      <w:r>
        <w:rPr>
          <w:rFonts w:hint="cs"/>
          <w:spacing w:val="-12"/>
          <w:rtl/>
        </w:rPr>
        <w:t xml:space="preserve"> </w:t>
      </w:r>
      <w:r>
        <w:rPr>
          <w:rFonts w:hint="cs"/>
          <w:spacing w:val="-8"/>
          <w:rtl/>
        </w:rPr>
        <w:t xml:space="preserve">من </w:t>
      </w:r>
      <w:r>
        <w:rPr>
          <w:rFonts w:hint="cs"/>
          <w:spacing w:val="-8"/>
          <w:rtl/>
        </w:rPr>
        <w:lastRenderedPageBreak/>
        <w:t>الألف</w:t>
      </w:r>
    </w:p>
    <w:p w:rsidR="00C10469" w:rsidRDefault="00C10469">
      <w:pPr>
        <w:ind w:firstLine="0"/>
        <w:rPr>
          <w:spacing w:val="-8"/>
          <w:rtl/>
        </w:rPr>
      </w:pPr>
      <w:r>
        <w:rPr>
          <w:rFonts w:hint="cs"/>
          <w:spacing w:val="-8"/>
          <w:rtl/>
        </w:rPr>
        <w:t>والبـاء إلى اليـاء؛ تسهيـلاً لإحضارها</w:t>
      </w:r>
      <w:r>
        <w:rPr>
          <w:rFonts w:hint="cs"/>
          <w:b/>
          <w:bCs/>
          <w:spacing w:val="-8"/>
          <w:vertAlign w:val="superscript"/>
          <w:rtl/>
        </w:rPr>
        <w:t>1</w:t>
      </w:r>
      <w:r>
        <w:rPr>
          <w:rFonts w:hint="cs"/>
          <w:spacing w:val="-8"/>
          <w:rtl/>
        </w:rPr>
        <w:t xml:space="preserve"> في البال</w:t>
      </w:r>
      <w:r>
        <w:rPr>
          <w:rFonts w:hint="cs"/>
          <w:spacing w:val="-8"/>
          <w:rtl/>
          <w:lang w:bidi="ar-AE"/>
        </w:rPr>
        <w:t>،</w:t>
      </w:r>
      <w:r>
        <w:rPr>
          <w:rFonts w:hint="cs"/>
          <w:spacing w:val="-8"/>
          <w:rtl/>
        </w:rPr>
        <w:t xml:space="preserve"> وإحصارها</w:t>
      </w:r>
      <w:r>
        <w:rPr>
          <w:rStyle w:val="a7"/>
          <w:spacing w:val="-8"/>
          <w:rtl/>
        </w:rPr>
        <w:footnoteReference w:id="408"/>
      </w:r>
      <w:r>
        <w:rPr>
          <w:rFonts w:hint="cs"/>
          <w:spacing w:val="-8"/>
          <w:rtl/>
        </w:rPr>
        <w:t xml:space="preserve"> لدى</w:t>
      </w:r>
      <w:r>
        <w:rPr>
          <w:rStyle w:val="a7"/>
          <w:spacing w:val="-8"/>
          <w:rtl/>
        </w:rPr>
        <w:footnoteReference w:id="409"/>
      </w:r>
      <w:r>
        <w:rPr>
          <w:rFonts w:hint="cs"/>
          <w:spacing w:val="-8"/>
          <w:rtl/>
        </w:rPr>
        <w:t xml:space="preserve"> السؤال.</w:t>
      </w:r>
      <w:r>
        <w:rPr>
          <w:spacing w:val="-8"/>
        </w:rPr>
        <w:t></w:t>
      </w:r>
    </w:p>
    <w:p w:rsidR="00C10469" w:rsidRPr="00897E97" w:rsidRDefault="00C10469">
      <w:pPr>
        <w:rPr>
          <w:spacing w:val="2"/>
          <w:rtl/>
        </w:rPr>
      </w:pPr>
      <w:r w:rsidRPr="00897E97">
        <w:rPr>
          <w:rFonts w:hint="cs"/>
          <w:spacing w:val="2"/>
          <w:rtl/>
        </w:rPr>
        <w:t>وأوردت علّة تخلُّفِ بعض الأحكام</w:t>
      </w:r>
      <w:r w:rsidRPr="00897E97">
        <w:rPr>
          <w:rStyle w:val="a7"/>
          <w:spacing w:val="2"/>
          <w:rtl/>
        </w:rPr>
        <w:footnoteReference w:id="410"/>
      </w:r>
      <w:r w:rsidRPr="00897E97">
        <w:rPr>
          <w:rFonts w:hint="cs"/>
          <w:spacing w:val="2"/>
          <w:rtl/>
        </w:rPr>
        <w:t xml:space="preserve"> عن هذه القواعد في بدء النظر، وتبادر الأوهام</w:t>
      </w:r>
      <w:r w:rsidRPr="00897E97">
        <w:rPr>
          <w:rStyle w:val="a7"/>
          <w:spacing w:val="2"/>
          <w:rtl/>
        </w:rPr>
        <w:footnoteReference w:id="411"/>
      </w:r>
      <w:r w:rsidRPr="00897E97">
        <w:rPr>
          <w:rFonts w:hint="cs"/>
          <w:spacing w:val="2"/>
          <w:rtl/>
        </w:rPr>
        <w:t>، بعضها بالصُّرَاحِ، وبعضها بالإشارة في سياق الكلام؛ لئلا يرد النّقض على الاطراد</w:t>
      </w:r>
      <w:r w:rsidRPr="00897E97">
        <w:rPr>
          <w:rStyle w:val="a7"/>
          <w:spacing w:val="2"/>
          <w:rtl/>
        </w:rPr>
        <w:footnoteReference w:id="412"/>
      </w:r>
      <w:r w:rsidRPr="00897E97">
        <w:rPr>
          <w:rFonts w:hint="cs"/>
          <w:spacing w:val="2"/>
          <w:rtl/>
        </w:rPr>
        <w:t>، ولا [تخرج]</w:t>
      </w:r>
      <w:r w:rsidRPr="00897E97">
        <w:rPr>
          <w:rStyle w:val="a7"/>
          <w:spacing w:val="2"/>
          <w:rtl/>
        </w:rPr>
        <w:footnoteReference w:id="413"/>
      </w:r>
      <w:r w:rsidRPr="00897E97">
        <w:rPr>
          <w:rFonts w:hint="cs"/>
          <w:spacing w:val="2"/>
          <w:rtl/>
        </w:rPr>
        <w:t xml:space="preserve"> عن كونها دليلا</w:t>
      </w:r>
      <w:r w:rsidRPr="00897E97">
        <w:rPr>
          <w:rStyle w:val="a7"/>
          <w:spacing w:val="2"/>
          <w:rtl/>
        </w:rPr>
        <w:footnoteReference w:id="414"/>
      </w:r>
      <w:r w:rsidRPr="00897E97">
        <w:rPr>
          <w:rFonts w:hint="cs"/>
          <w:spacing w:val="2"/>
          <w:rtl/>
        </w:rPr>
        <w:t xml:space="preserve"> عند الإيراد</w:t>
      </w:r>
      <w:r w:rsidRPr="00897E97">
        <w:rPr>
          <w:rFonts w:hint="cs"/>
          <w:spacing w:val="2"/>
          <w:vertAlign w:val="superscript"/>
          <w:rtl/>
        </w:rPr>
        <w:t>(</w:t>
      </w:r>
      <w:r w:rsidRPr="00897E97">
        <w:rPr>
          <w:rStyle w:val="a7"/>
          <w:spacing w:val="2"/>
          <w:rtl/>
        </w:rPr>
        <w:footnoteReference w:id="415"/>
      </w:r>
      <w:r w:rsidRPr="00897E97">
        <w:rPr>
          <w:rFonts w:hint="cs"/>
          <w:spacing w:val="2"/>
          <w:vertAlign w:val="superscript"/>
          <w:rtl/>
        </w:rPr>
        <w:t>)</w:t>
      </w:r>
      <w:r w:rsidRPr="00897E97">
        <w:rPr>
          <w:rFonts w:hint="cs"/>
          <w:spacing w:val="2"/>
          <w:rtl/>
        </w:rPr>
        <w:t>.</w:t>
      </w:r>
    </w:p>
    <w:p w:rsidR="00C10469" w:rsidRDefault="00C10469">
      <w:pPr>
        <w:spacing w:line="540" w:lineRule="exact"/>
        <w:rPr>
          <w:spacing w:val="-4"/>
          <w:sz w:val="36"/>
          <w:rtl/>
        </w:rPr>
      </w:pPr>
      <w:r>
        <w:rPr>
          <w:rFonts w:hint="cs"/>
          <w:spacing w:val="-4"/>
          <w:sz w:val="36"/>
          <w:rtl/>
        </w:rPr>
        <w:lastRenderedPageBreak/>
        <w:t>فمن وُفِّقَ على وقوف دقائقها: حلَّ له إليها رجوعه، وإلا فجهد المقلّ</w:t>
      </w:r>
      <w:r>
        <w:rPr>
          <w:rFonts w:hint="cs"/>
          <w:spacing w:val="-4"/>
          <w:vertAlign w:val="superscript"/>
          <w:rtl/>
        </w:rPr>
        <w:t>(</w:t>
      </w:r>
      <w:r>
        <w:rPr>
          <w:rStyle w:val="a7"/>
          <w:spacing w:val="-4"/>
          <w:rtl/>
        </w:rPr>
        <w:footnoteReference w:id="416"/>
      </w:r>
      <w:r>
        <w:rPr>
          <w:rFonts w:hint="cs"/>
          <w:spacing w:val="-4"/>
          <w:vertAlign w:val="superscript"/>
          <w:rtl/>
        </w:rPr>
        <w:t>)</w:t>
      </w:r>
      <w:r>
        <w:rPr>
          <w:rFonts w:hint="cs"/>
          <w:spacing w:val="-4"/>
          <w:rtl/>
        </w:rPr>
        <w:t xml:space="preserve"> </w:t>
      </w:r>
      <w:r>
        <w:rPr>
          <w:rFonts w:hint="cs"/>
          <w:spacing w:val="-4"/>
          <w:sz w:val="36"/>
          <w:rtl/>
        </w:rPr>
        <w:t>دمـوعـه.</w:t>
      </w:r>
    </w:p>
    <w:p w:rsidR="00C10469" w:rsidRDefault="00C10469">
      <w:pPr>
        <w:spacing w:line="560" w:lineRule="exact"/>
        <w:rPr>
          <w:b/>
          <w:bCs/>
          <w:spacing w:val="-2"/>
          <w:vertAlign w:val="superscript"/>
          <w:rtl/>
        </w:rPr>
      </w:pPr>
      <w:r>
        <w:rPr>
          <w:rFonts w:hint="cs"/>
          <w:spacing w:val="-2"/>
          <w:rtl/>
        </w:rPr>
        <w:t xml:space="preserve">وسـمـيـتـهـا بِـ : ( </w:t>
      </w:r>
      <w:r>
        <w:rPr>
          <w:rFonts w:hint="cs"/>
          <w:b/>
          <w:bCs/>
          <w:spacing w:val="-2"/>
          <w:rtl/>
        </w:rPr>
        <w:t>تَـرْتِــيــبِ الـلآلِـي</w:t>
      </w:r>
      <w:r>
        <w:rPr>
          <w:rFonts w:hint="cs"/>
          <w:b/>
          <w:bCs/>
          <w:spacing w:val="-2"/>
          <w:vertAlign w:val="superscript"/>
          <w:rtl/>
        </w:rPr>
        <w:t>(</w:t>
      </w:r>
      <w:r>
        <w:rPr>
          <w:rStyle w:val="a7"/>
          <w:b/>
          <w:spacing w:val="-2"/>
        </w:rPr>
        <w:footnoteReference w:id="417"/>
      </w:r>
      <w:r>
        <w:rPr>
          <w:rFonts w:hint="cs"/>
          <w:b/>
          <w:bCs/>
          <w:spacing w:val="-2"/>
          <w:vertAlign w:val="superscript"/>
          <w:rtl/>
        </w:rPr>
        <w:t>)</w:t>
      </w:r>
      <w:r>
        <w:rPr>
          <w:rFonts w:hint="cs"/>
          <w:b/>
          <w:bCs/>
          <w:spacing w:val="-2"/>
          <w:rtl/>
        </w:rPr>
        <w:t xml:space="preserve"> فِـي سِـلْـكِ</w:t>
      </w:r>
      <w:r>
        <w:rPr>
          <w:rFonts w:hint="cs"/>
          <w:b/>
          <w:bCs/>
          <w:spacing w:val="-2"/>
          <w:vertAlign w:val="superscript"/>
          <w:rtl/>
        </w:rPr>
        <w:t>(</w:t>
      </w:r>
      <w:r>
        <w:rPr>
          <w:rStyle w:val="a7"/>
          <w:b/>
          <w:spacing w:val="-2"/>
          <w:rtl/>
        </w:rPr>
        <w:footnoteReference w:id="418"/>
      </w:r>
      <w:r>
        <w:rPr>
          <w:rFonts w:hint="cs"/>
          <w:b/>
          <w:bCs/>
          <w:spacing w:val="-2"/>
          <w:vertAlign w:val="superscript"/>
          <w:rtl/>
        </w:rPr>
        <w:t>)</w:t>
      </w:r>
    </w:p>
    <w:p w:rsidR="00C10469" w:rsidRDefault="00C10469">
      <w:pPr>
        <w:ind w:firstLine="0"/>
        <w:rPr>
          <w:rtl/>
        </w:rPr>
      </w:pPr>
      <w:r>
        <w:rPr>
          <w:b/>
          <w:bCs/>
          <w:rtl/>
        </w:rPr>
        <w:br w:type="page"/>
      </w:r>
      <w:r>
        <w:rPr>
          <w:rFonts w:hint="cs"/>
          <w:b/>
          <w:bCs/>
          <w:rtl/>
        </w:rPr>
        <w:lastRenderedPageBreak/>
        <w:t>الأمـالي</w:t>
      </w:r>
      <w:r>
        <w:rPr>
          <w:rFonts w:hint="cs"/>
          <w:vertAlign w:val="superscript"/>
          <w:rtl/>
        </w:rPr>
        <w:t>(</w:t>
      </w:r>
      <w:r>
        <w:rPr>
          <w:rStyle w:val="a7"/>
          <w:rtl/>
        </w:rPr>
        <w:footnoteReference w:id="419"/>
      </w:r>
      <w:r>
        <w:rPr>
          <w:rFonts w:hint="cs"/>
          <w:vertAlign w:val="superscript"/>
          <w:rtl/>
        </w:rPr>
        <w:t>)</w:t>
      </w:r>
      <w:r>
        <w:rPr>
          <w:rFonts w:hint="cs"/>
          <w:rtl/>
        </w:rPr>
        <w:t>)</w:t>
      </w:r>
      <w:r>
        <w:rPr>
          <w:rFonts w:hint="cs"/>
          <w:vertAlign w:val="superscript"/>
          <w:rtl/>
        </w:rPr>
        <w:t>(</w:t>
      </w:r>
      <w:r>
        <w:rPr>
          <w:rStyle w:val="a7"/>
          <w:rtl/>
        </w:rPr>
        <w:footnoteReference w:id="420"/>
      </w:r>
      <w:r>
        <w:rPr>
          <w:rFonts w:hint="cs"/>
          <w:vertAlign w:val="superscript"/>
          <w:rtl/>
        </w:rPr>
        <w:t>)</w:t>
      </w:r>
      <w:r>
        <w:rPr>
          <w:rFonts w:hint="cs"/>
          <w:rtl/>
        </w:rPr>
        <w:t>. والله الهادي، وعليه اعتمادي في مبدئي ومعادي.</w:t>
      </w:r>
    </w:p>
    <w:p w:rsidR="00C10469" w:rsidRDefault="00C10469">
      <w:pPr>
        <w:spacing w:line="600" w:lineRule="exact"/>
        <w:rPr>
          <w:spacing w:val="-4"/>
          <w:rtl/>
        </w:rPr>
      </w:pPr>
      <w:r>
        <w:rPr>
          <w:rFonts w:hint="cs"/>
          <w:rtl/>
        </w:rPr>
        <w:t>ثم سنح</w:t>
      </w:r>
      <w:r>
        <w:rPr>
          <w:rFonts w:hint="cs"/>
          <w:vertAlign w:val="superscript"/>
          <w:rtl/>
        </w:rPr>
        <w:t>(</w:t>
      </w:r>
      <w:r>
        <w:rPr>
          <w:rStyle w:val="a7"/>
          <w:rtl/>
        </w:rPr>
        <w:footnoteReference w:id="421"/>
      </w:r>
      <w:r>
        <w:rPr>
          <w:rFonts w:hint="cs"/>
          <w:vertAlign w:val="superscript"/>
          <w:rtl/>
        </w:rPr>
        <w:t>)</w:t>
      </w:r>
      <w:r>
        <w:rPr>
          <w:rFonts w:hint="cs"/>
          <w:rtl/>
        </w:rPr>
        <w:t xml:space="preserve"> في خلدي بعدما انتهى الإملاء إلى باب الياء - وإن كان قصدي واختياري أن أزيد إلى آخر عمري ما وجدتُ من القواعد والأصول [من]</w:t>
      </w:r>
      <w:r>
        <w:rPr>
          <w:rStyle w:val="a7"/>
          <w:rtl/>
        </w:rPr>
        <w:footnoteReference w:id="422"/>
      </w:r>
      <w:r>
        <w:rPr>
          <w:rFonts w:hint="cs"/>
          <w:rtl/>
        </w:rPr>
        <w:t xml:space="preserve"> كتب العلماء </w:t>
      </w:r>
      <w:r>
        <w:rPr>
          <w:rtl/>
        </w:rPr>
        <w:br/>
      </w:r>
      <w:r>
        <w:rPr>
          <w:rFonts w:hint="cs"/>
          <w:rtl/>
        </w:rPr>
        <w:t>الفحول، وأكتب في حـاشـيـة هـذا الـمختـصر بـوجه يمكن عند الاستنساخ أن</w:t>
      </w:r>
      <w:r>
        <w:rPr>
          <w:rFonts w:hint="eastAsia"/>
          <w:rtl/>
        </w:rPr>
        <w:t> </w:t>
      </w:r>
      <w:r>
        <w:rPr>
          <w:rFonts w:hint="cs"/>
          <w:rtl/>
        </w:rPr>
        <w:t xml:space="preserve">يكتب </w:t>
      </w:r>
      <w:r>
        <w:rPr>
          <w:rFonts w:hint="cs"/>
          <w:spacing w:val="-4"/>
          <w:rtl/>
        </w:rPr>
        <w:lastRenderedPageBreak/>
        <w:t>في مـتن  المسطّر؛  تكثيرًا</w:t>
      </w:r>
      <w:r>
        <w:rPr>
          <w:rFonts w:hint="cs"/>
          <w:spacing w:val="-4"/>
          <w:vertAlign w:val="superscript"/>
          <w:rtl/>
        </w:rPr>
        <w:t>(</w:t>
      </w:r>
      <w:r>
        <w:rPr>
          <w:rStyle w:val="a7"/>
          <w:spacing w:val="-4"/>
          <w:rtl/>
        </w:rPr>
        <w:footnoteReference w:id="423"/>
      </w:r>
      <w:r>
        <w:rPr>
          <w:rFonts w:hint="cs"/>
          <w:spacing w:val="-4"/>
          <w:vertAlign w:val="superscript"/>
          <w:rtl/>
        </w:rPr>
        <w:t>)</w:t>
      </w:r>
      <w:r>
        <w:rPr>
          <w:rFonts w:hint="cs"/>
          <w:spacing w:val="-4"/>
          <w:rtl/>
        </w:rPr>
        <w:t xml:space="preserve"> للقواعد وتوفـيرًا للفـوائد - أن أعـرضــه</w:t>
      </w:r>
      <w:r>
        <w:rPr>
          <w:rFonts w:hint="cs"/>
          <w:spacing w:val="-4"/>
          <w:vertAlign w:val="superscript"/>
          <w:rtl/>
        </w:rPr>
        <w:t>(</w:t>
      </w:r>
      <w:r>
        <w:rPr>
          <w:rStyle w:val="a7"/>
          <w:spacing w:val="-4"/>
          <w:rtl/>
        </w:rPr>
        <w:footnoteReference w:id="424"/>
      </w:r>
      <w:r>
        <w:rPr>
          <w:rFonts w:hint="cs"/>
          <w:spacing w:val="-4"/>
          <w:vertAlign w:val="superscript"/>
          <w:rtl/>
        </w:rPr>
        <w:t>)</w:t>
      </w:r>
      <w:r>
        <w:rPr>
          <w:rFonts w:hint="cs"/>
          <w:spacing w:val="-4"/>
          <w:rtl/>
        </w:rPr>
        <w:t xml:space="preserve"> </w:t>
      </w:r>
    </w:p>
    <w:p w:rsidR="00C10469" w:rsidRPr="00190A32" w:rsidRDefault="00C10469">
      <w:pPr>
        <w:spacing w:line="540" w:lineRule="exact"/>
        <w:ind w:firstLine="0"/>
        <w:rPr>
          <w:spacing w:val="4"/>
          <w:rtl/>
        </w:rPr>
      </w:pPr>
      <w:r>
        <w:rPr>
          <w:rFonts w:hint="cs"/>
          <w:spacing w:val="-4"/>
          <w:rtl/>
        </w:rPr>
        <w:t>إلى سـدّةٍ</w:t>
      </w:r>
      <w:r>
        <w:rPr>
          <w:rFonts w:hint="cs"/>
          <w:spacing w:val="-4"/>
          <w:vertAlign w:val="superscript"/>
          <w:rtl/>
        </w:rPr>
        <w:t>(</w:t>
      </w:r>
      <w:r>
        <w:rPr>
          <w:rStyle w:val="a7"/>
          <w:spacing w:val="-4"/>
          <w:rtl/>
        </w:rPr>
        <w:footnoteReference w:id="425"/>
      </w:r>
      <w:r>
        <w:rPr>
          <w:rFonts w:hint="cs"/>
          <w:spacing w:val="-4"/>
          <w:vertAlign w:val="superscript"/>
          <w:rtl/>
        </w:rPr>
        <w:t>)</w:t>
      </w:r>
      <w:r>
        <w:rPr>
          <w:rFonts w:hint="cs"/>
          <w:spacing w:val="-4"/>
          <w:rtl/>
        </w:rPr>
        <w:t xml:space="preserve"> سَـنـِيَّـةٍ</w:t>
      </w:r>
      <w:r>
        <w:rPr>
          <w:rFonts w:hint="cs"/>
          <w:spacing w:val="-4"/>
          <w:vertAlign w:val="superscript"/>
          <w:rtl/>
        </w:rPr>
        <w:t>(</w:t>
      </w:r>
      <w:r>
        <w:rPr>
          <w:rStyle w:val="a7"/>
          <w:spacing w:val="-4"/>
          <w:rtl/>
        </w:rPr>
        <w:footnoteReference w:id="426"/>
      </w:r>
      <w:r>
        <w:rPr>
          <w:rFonts w:hint="cs"/>
          <w:spacing w:val="-4"/>
          <w:vertAlign w:val="superscript"/>
          <w:rtl/>
        </w:rPr>
        <w:t>)</w:t>
      </w:r>
      <w:r>
        <w:rPr>
          <w:rFonts w:hint="cs"/>
          <w:spacing w:val="-4"/>
          <w:rtl/>
        </w:rPr>
        <w:t xml:space="preserve"> لـمـن</w:t>
      </w:r>
      <w:r>
        <w:rPr>
          <w:rStyle w:val="a7"/>
          <w:spacing w:val="-4"/>
          <w:rtl/>
        </w:rPr>
        <w:footnoteReference w:id="427"/>
      </w:r>
      <w:r>
        <w:rPr>
          <w:rFonts w:hint="cs"/>
          <w:spacing w:val="-4"/>
          <w:rtl/>
        </w:rPr>
        <w:t xml:space="preserve"> هـو صـاحب الفـضل والكمـال، سـاحب</w:t>
      </w:r>
      <w:r>
        <w:rPr>
          <w:rStyle w:val="a7"/>
          <w:spacing w:val="-4"/>
          <w:rtl/>
        </w:rPr>
        <w:footnoteReference w:id="428"/>
      </w:r>
      <w:r>
        <w:rPr>
          <w:rFonts w:hint="cs"/>
          <w:spacing w:val="-4"/>
          <w:rtl/>
        </w:rPr>
        <w:t xml:space="preserve"> </w:t>
      </w:r>
      <w:r w:rsidRPr="00190A32">
        <w:rPr>
          <w:rFonts w:hint="cs"/>
          <w:spacing w:val="4"/>
          <w:rtl/>
        </w:rPr>
        <w:t>أذيال الـمجـد والإجـلال، الـذي [تـرجى]</w:t>
      </w:r>
      <w:r w:rsidRPr="00190A32">
        <w:rPr>
          <w:rStyle w:val="a7"/>
          <w:spacing w:val="4"/>
          <w:rtl/>
        </w:rPr>
        <w:footnoteReference w:id="429"/>
      </w:r>
      <w:r w:rsidRPr="00190A32">
        <w:rPr>
          <w:rFonts w:hint="cs"/>
          <w:spacing w:val="4"/>
          <w:rtl/>
        </w:rPr>
        <w:t xml:space="preserve"> مـنه الـمطالب، [وتـزجى]</w:t>
      </w:r>
      <w:r w:rsidRPr="00190A32">
        <w:rPr>
          <w:rStyle w:val="a7"/>
          <w:spacing w:val="4"/>
          <w:rtl/>
        </w:rPr>
        <w:footnoteReference w:id="430"/>
      </w:r>
      <w:r w:rsidRPr="00190A32">
        <w:rPr>
          <w:rFonts w:hint="cs"/>
          <w:spacing w:val="4"/>
          <w:vertAlign w:val="superscript"/>
          <w:rtl/>
        </w:rPr>
        <w:t>(</w:t>
      </w:r>
      <w:r w:rsidRPr="00190A32">
        <w:rPr>
          <w:rStyle w:val="a7"/>
          <w:spacing w:val="4"/>
          <w:rtl/>
        </w:rPr>
        <w:footnoteReference w:id="431"/>
      </w:r>
      <w:r w:rsidRPr="00190A32">
        <w:rPr>
          <w:rFonts w:hint="cs"/>
          <w:spacing w:val="4"/>
          <w:vertAlign w:val="superscript"/>
          <w:rtl/>
        </w:rPr>
        <w:t>)</w:t>
      </w:r>
      <w:r w:rsidRPr="00190A32">
        <w:rPr>
          <w:rFonts w:hint="cs"/>
          <w:spacing w:val="4"/>
          <w:rtl/>
        </w:rPr>
        <w:t xml:space="preserve"> </w:t>
      </w:r>
    </w:p>
    <w:p w:rsidR="00C10469" w:rsidRDefault="00C10469">
      <w:pPr>
        <w:spacing w:line="600" w:lineRule="exact"/>
        <w:ind w:firstLine="0"/>
        <w:rPr>
          <w:spacing w:val="-2"/>
          <w:rtl/>
        </w:rPr>
      </w:pPr>
      <w:r>
        <w:rPr>
          <w:rFonts w:hint="cs"/>
          <w:spacing w:val="-2"/>
          <w:rtl/>
        </w:rPr>
        <w:lastRenderedPageBreak/>
        <w:t>إلـيـه الـمآرب</w:t>
      </w:r>
      <w:r>
        <w:rPr>
          <w:rFonts w:hint="cs"/>
          <w:spacing w:val="-2"/>
          <w:vertAlign w:val="superscript"/>
          <w:rtl/>
        </w:rPr>
        <w:t>(</w:t>
      </w:r>
      <w:r>
        <w:rPr>
          <w:rStyle w:val="a7"/>
          <w:spacing w:val="-2"/>
          <w:rtl/>
        </w:rPr>
        <w:footnoteReference w:id="432"/>
      </w:r>
      <w:r>
        <w:rPr>
          <w:rFonts w:hint="cs"/>
          <w:spacing w:val="-2"/>
          <w:vertAlign w:val="superscript"/>
          <w:rtl/>
        </w:rPr>
        <w:t>) (</w:t>
      </w:r>
      <w:r>
        <w:rPr>
          <w:rStyle w:val="a7"/>
          <w:spacing w:val="-2"/>
          <w:rtl/>
        </w:rPr>
        <w:footnoteReference w:id="433"/>
      </w:r>
      <w:r>
        <w:rPr>
          <w:rFonts w:hint="cs"/>
          <w:spacing w:val="-2"/>
          <w:vertAlign w:val="superscript"/>
          <w:rtl/>
        </w:rPr>
        <w:t>)</w:t>
      </w:r>
      <w:r>
        <w:rPr>
          <w:rFonts w:hint="cs"/>
          <w:spacing w:val="-2"/>
          <w:rtl/>
        </w:rPr>
        <w:t>، ألا  وهـو مـفـتي  الأنـام فــي هــذه الأيـام :</w:t>
      </w:r>
    </w:p>
    <w:p w:rsidR="00C10469" w:rsidRDefault="00C10469">
      <w:pPr>
        <w:rPr>
          <w:rtl/>
        </w:rPr>
      </w:pPr>
      <w:r>
        <w:rPr>
          <w:rFonts w:hint="cs"/>
          <w:rtl/>
        </w:rPr>
        <w:lastRenderedPageBreak/>
        <w:t xml:space="preserve"> أبـــو ســــعــيـــدِ</w:t>
      </w:r>
      <w:r>
        <w:rPr>
          <w:rStyle w:val="a7"/>
          <w:rtl/>
        </w:rPr>
        <w:footnoteReference w:id="434"/>
      </w:r>
      <w:r>
        <w:rPr>
          <w:rFonts w:hint="cs"/>
          <w:rtl/>
        </w:rPr>
        <w:t xml:space="preserve"> بـــنُ أســــعــــدَ</w:t>
      </w:r>
      <w:r>
        <w:rPr>
          <w:rFonts w:hint="cs"/>
          <w:vertAlign w:val="superscript"/>
          <w:rtl/>
        </w:rPr>
        <w:t>(</w:t>
      </w:r>
      <w:r>
        <w:rPr>
          <w:rStyle w:val="a7"/>
          <w:rtl/>
        </w:rPr>
        <w:footnoteReference w:id="435"/>
      </w:r>
      <w:r>
        <w:rPr>
          <w:rFonts w:hint="cs"/>
          <w:vertAlign w:val="superscript"/>
          <w:rtl/>
        </w:rPr>
        <w:t>)</w:t>
      </w:r>
      <w:r>
        <w:rPr>
          <w:rFonts w:hint="cs"/>
          <w:rtl/>
        </w:rPr>
        <w:t>،</w:t>
      </w:r>
    </w:p>
    <w:p w:rsidR="00C10469" w:rsidRDefault="00C10469">
      <w:pPr>
        <w:ind w:firstLine="0"/>
        <w:rPr>
          <w:spacing w:val="-4"/>
          <w:rtl/>
        </w:rPr>
      </w:pPr>
      <w:r>
        <w:rPr>
          <w:rFonts w:hint="cs"/>
          <w:rtl/>
        </w:rPr>
        <w:lastRenderedPageBreak/>
        <w:t>سَــع</w:t>
      </w:r>
      <w:r>
        <w:rPr>
          <w:rFonts w:hint="cs"/>
          <w:rtl/>
          <w:lang w:bidi="ar-AE"/>
        </w:rPr>
        <w:t>َ</w:t>
      </w:r>
      <w:r>
        <w:rPr>
          <w:rFonts w:hint="cs"/>
          <w:rtl/>
        </w:rPr>
        <w:t>ــدَ</w:t>
      </w:r>
      <w:r>
        <w:rPr>
          <w:rFonts w:hint="cs"/>
          <w:vertAlign w:val="superscript"/>
          <w:rtl/>
        </w:rPr>
        <w:t>(</w:t>
      </w:r>
      <w:r>
        <w:rPr>
          <w:rStyle w:val="a7"/>
          <w:rtl/>
        </w:rPr>
        <w:footnoteReference w:id="436"/>
      </w:r>
      <w:r>
        <w:rPr>
          <w:rFonts w:hint="cs"/>
          <w:vertAlign w:val="superscript"/>
          <w:rtl/>
        </w:rPr>
        <w:t>)</w:t>
      </w:r>
      <w:r>
        <w:rPr>
          <w:rFonts w:hint="cs"/>
          <w:rtl/>
        </w:rPr>
        <w:t xml:space="preserve"> الـدنـيـا بــه، كــمـا سَـع</w:t>
      </w:r>
      <w:r>
        <w:rPr>
          <w:rFonts w:hint="cs"/>
          <w:rtl/>
          <w:lang w:bidi="ar-AE"/>
        </w:rPr>
        <w:t>َ</w:t>
      </w:r>
      <w:r>
        <w:rPr>
          <w:rFonts w:hint="cs"/>
          <w:rtl/>
        </w:rPr>
        <w:t>ـدَ</w:t>
      </w:r>
      <w:r>
        <w:rPr>
          <w:rFonts w:hint="cs"/>
          <w:vertAlign w:val="superscript"/>
          <w:rtl/>
        </w:rPr>
        <w:t>(</w:t>
      </w:r>
      <w:r>
        <w:rPr>
          <w:rStyle w:val="a7"/>
          <w:b/>
          <w:sz w:val="34"/>
        </w:rPr>
        <w:footnoteReference w:id="437"/>
      </w:r>
      <w:r>
        <w:rPr>
          <w:rFonts w:hint="cs"/>
          <w:b/>
          <w:bCs/>
          <w:sz w:val="34"/>
          <w:szCs w:val="34"/>
          <w:vertAlign w:val="superscript"/>
          <w:rtl/>
        </w:rPr>
        <w:t>)</w:t>
      </w:r>
      <w:r>
        <w:rPr>
          <w:rFonts w:hint="cs"/>
          <w:rtl/>
        </w:rPr>
        <w:t xml:space="preserve"> بِــأَبِــهِ</w:t>
      </w:r>
      <w:r>
        <w:rPr>
          <w:rFonts w:hint="cs"/>
          <w:vertAlign w:val="superscript"/>
          <w:rtl/>
        </w:rPr>
        <w:t>(</w:t>
      </w:r>
      <w:r>
        <w:rPr>
          <w:rStyle w:val="a7"/>
          <w:rtl/>
        </w:rPr>
        <w:footnoteReference w:id="438"/>
      </w:r>
      <w:r>
        <w:rPr>
          <w:rFonts w:hint="cs"/>
          <w:vertAlign w:val="superscript"/>
          <w:rtl/>
        </w:rPr>
        <w:t>)(</w:t>
      </w:r>
      <w:r>
        <w:rPr>
          <w:rStyle w:val="a7"/>
          <w:rtl/>
        </w:rPr>
        <w:footnoteReference w:id="439"/>
      </w:r>
      <w:r>
        <w:rPr>
          <w:rFonts w:hint="cs"/>
          <w:vertAlign w:val="superscript"/>
          <w:rtl/>
        </w:rPr>
        <w:t>)</w:t>
      </w:r>
      <w:r>
        <w:rPr>
          <w:rFonts w:hint="cs"/>
          <w:rtl/>
        </w:rPr>
        <w:t xml:space="preserve"> </w:t>
      </w:r>
      <w:r>
        <w:rPr>
          <w:rtl/>
        </w:rPr>
        <w:br/>
      </w:r>
      <w:r>
        <w:rPr>
          <w:rFonts w:hint="cs"/>
          <w:spacing w:val="-4"/>
          <w:rtl/>
        </w:rPr>
        <w:t>الأمجد</w:t>
      </w:r>
      <w:r>
        <w:rPr>
          <w:rStyle w:val="a7"/>
          <w:spacing w:val="-4"/>
          <w:rtl/>
        </w:rPr>
        <w:footnoteReference w:id="440"/>
      </w:r>
      <w:r>
        <w:rPr>
          <w:rFonts w:hint="cs"/>
          <w:spacing w:val="-4"/>
          <w:rtl/>
        </w:rPr>
        <w:t>، صار لديه كل من له العلم والكمال أحبّ من</w:t>
      </w:r>
      <w:r>
        <w:rPr>
          <w:rStyle w:val="a7"/>
          <w:spacing w:val="-4"/>
          <w:rtl/>
        </w:rPr>
        <w:footnoteReference w:id="441"/>
      </w:r>
      <w:r>
        <w:rPr>
          <w:rFonts w:hint="cs"/>
          <w:spacing w:val="-4"/>
          <w:rtl/>
        </w:rPr>
        <w:t xml:space="preserve"> السَّجَنْجَلِ</w:t>
      </w:r>
      <w:r>
        <w:rPr>
          <w:rFonts w:hint="cs"/>
          <w:spacing w:val="-4"/>
          <w:vertAlign w:val="superscript"/>
          <w:rtl/>
        </w:rPr>
        <w:t>(</w:t>
      </w:r>
      <w:r>
        <w:rPr>
          <w:rStyle w:val="a7"/>
          <w:spacing w:val="-4"/>
          <w:rtl/>
        </w:rPr>
        <w:footnoteReference w:id="442"/>
      </w:r>
      <w:r>
        <w:rPr>
          <w:rFonts w:hint="cs"/>
          <w:spacing w:val="-4"/>
          <w:vertAlign w:val="superscript"/>
          <w:rtl/>
        </w:rPr>
        <w:t>)</w:t>
      </w:r>
      <w:r>
        <w:rPr>
          <w:rFonts w:hint="cs"/>
          <w:spacing w:val="-4"/>
          <w:rtl/>
        </w:rPr>
        <w:t xml:space="preserve"> عند صاحب </w:t>
      </w:r>
      <w:r>
        <w:rPr>
          <w:rFonts w:hint="cs"/>
          <w:spacing w:val="-4"/>
          <w:rtl/>
        </w:rPr>
        <w:lastRenderedPageBreak/>
        <w:t>الجمال، عاجزًا عن إحصاء ثنائه، مكتفيًا بدعاء دوام بقائه</w:t>
      </w:r>
      <w:r>
        <w:rPr>
          <w:rStyle w:val="a7"/>
          <w:spacing w:val="-4"/>
        </w:rPr>
        <w:footnoteReference w:id="443"/>
      </w:r>
      <w:r>
        <w:rPr>
          <w:rFonts w:hint="cs"/>
          <w:spacing w:val="-4"/>
          <w:rtl/>
        </w:rPr>
        <w:t>، لايزال</w:t>
      </w:r>
      <w:r>
        <w:rPr>
          <w:rStyle w:val="a7"/>
          <w:spacing w:val="-4"/>
          <w:rtl/>
        </w:rPr>
        <w:footnoteReference w:id="444"/>
      </w:r>
      <w:r>
        <w:rPr>
          <w:rFonts w:hint="cs"/>
          <w:spacing w:val="-4"/>
          <w:rtl/>
        </w:rPr>
        <w:t xml:space="preserve"> العطاء من يده لشفاه الكرام مستلمًا</w:t>
      </w:r>
      <w:r>
        <w:rPr>
          <w:rFonts w:hint="eastAsia"/>
          <w:spacing w:val="-4"/>
          <w:rtl/>
        </w:rPr>
        <w:t> </w:t>
      </w:r>
      <w:r>
        <w:rPr>
          <w:rFonts w:hint="cs"/>
          <w:spacing w:val="-4"/>
          <w:rtl/>
        </w:rPr>
        <w:t>هـكـذا، لازال</w:t>
      </w:r>
      <w:r>
        <w:rPr>
          <w:rStyle w:val="a7"/>
          <w:spacing w:val="-4"/>
          <w:rtl/>
        </w:rPr>
        <w:footnoteReference w:id="445"/>
      </w:r>
      <w:r>
        <w:rPr>
          <w:rFonts w:hint="cs"/>
          <w:spacing w:val="-4"/>
          <w:rtl/>
        </w:rPr>
        <w:t xml:space="preserve"> سدّته</w:t>
      </w:r>
      <w:r>
        <w:rPr>
          <w:rFonts w:hint="cs"/>
          <w:spacing w:val="-4"/>
          <w:vertAlign w:val="superscript"/>
          <w:rtl/>
        </w:rPr>
        <w:t>(</w:t>
      </w:r>
      <w:r>
        <w:rPr>
          <w:rStyle w:val="a7"/>
          <w:spacing w:val="-4"/>
          <w:rtl/>
        </w:rPr>
        <w:footnoteReference w:id="446"/>
      </w:r>
      <w:r>
        <w:rPr>
          <w:rFonts w:hint="cs"/>
          <w:spacing w:val="-4"/>
          <w:vertAlign w:val="superscript"/>
          <w:rtl/>
        </w:rPr>
        <w:t>)</w:t>
      </w:r>
      <w:r>
        <w:rPr>
          <w:rFonts w:hint="cs"/>
          <w:spacing w:val="-4"/>
          <w:rtl/>
        </w:rPr>
        <w:t xml:space="preserve"> من جب</w:t>
      </w:r>
      <w:r>
        <w:rPr>
          <w:rFonts w:hint="cs"/>
          <w:spacing w:val="-4"/>
          <w:rtl/>
          <w:lang w:bidi="ar-AE"/>
        </w:rPr>
        <w:t>ـ</w:t>
      </w:r>
      <w:r>
        <w:rPr>
          <w:rFonts w:hint="cs"/>
          <w:spacing w:val="-4"/>
          <w:rtl/>
        </w:rPr>
        <w:t>اه</w:t>
      </w:r>
      <w:r>
        <w:rPr>
          <w:rStyle w:val="a7"/>
          <w:spacing w:val="-4"/>
          <w:rtl/>
        </w:rPr>
        <w:footnoteReference w:id="447"/>
      </w:r>
      <w:r>
        <w:rPr>
          <w:rFonts w:hint="cs"/>
          <w:spacing w:val="-4"/>
          <w:rtl/>
        </w:rPr>
        <w:t xml:space="preserve"> العظ</w:t>
      </w:r>
      <w:r>
        <w:rPr>
          <w:rFonts w:hint="cs"/>
          <w:spacing w:val="-4"/>
          <w:rtl/>
          <w:lang w:bidi="ar-AE"/>
        </w:rPr>
        <w:t>ـ</w:t>
      </w:r>
      <w:r>
        <w:rPr>
          <w:rFonts w:hint="cs"/>
          <w:spacing w:val="-4"/>
          <w:rtl/>
        </w:rPr>
        <w:t>ام مزدحمًا، فالارتج</w:t>
      </w:r>
      <w:r>
        <w:rPr>
          <w:rFonts w:hint="cs"/>
          <w:spacing w:val="-4"/>
          <w:rtl/>
          <w:lang w:bidi="ar-AE"/>
        </w:rPr>
        <w:t>ـ</w:t>
      </w:r>
      <w:r>
        <w:rPr>
          <w:rFonts w:hint="cs"/>
          <w:spacing w:val="-4"/>
          <w:rtl/>
        </w:rPr>
        <w:t>اء من نـائـلـكم</w:t>
      </w:r>
      <w:r>
        <w:rPr>
          <w:rStyle w:val="a7"/>
          <w:spacing w:val="-4"/>
          <w:rtl/>
        </w:rPr>
        <w:footnoteReference w:id="448"/>
      </w:r>
      <w:r>
        <w:rPr>
          <w:rFonts w:hint="cs"/>
          <w:spacing w:val="-4"/>
          <w:rtl/>
        </w:rPr>
        <w:t xml:space="preserve"> المأمول الإجراء عليه</w:t>
      </w:r>
      <w:r>
        <w:rPr>
          <w:rStyle w:val="a7"/>
          <w:spacing w:val="-4"/>
          <w:rtl/>
        </w:rPr>
        <w:footnoteReference w:id="449"/>
      </w:r>
      <w:r>
        <w:rPr>
          <w:rFonts w:hint="cs"/>
          <w:spacing w:val="-4"/>
          <w:rtl/>
        </w:rPr>
        <w:t xml:space="preserve"> قلم القبول، فطوبى لي إنْ أوتيتُ</w:t>
      </w:r>
      <w:r>
        <w:rPr>
          <w:rStyle w:val="a7"/>
          <w:spacing w:val="-4"/>
          <w:rtl/>
        </w:rPr>
        <w:footnoteReference w:id="450"/>
      </w:r>
      <w:r>
        <w:rPr>
          <w:rFonts w:hint="cs"/>
          <w:spacing w:val="-4"/>
          <w:rtl/>
        </w:rPr>
        <w:t xml:space="preserve"> سؤالي</w:t>
      </w:r>
      <w:r>
        <w:rPr>
          <w:rStyle w:val="a7"/>
          <w:spacing w:val="-4"/>
          <w:rtl/>
        </w:rPr>
        <w:footnoteReference w:id="451"/>
      </w:r>
      <w:r>
        <w:rPr>
          <w:rFonts w:hint="cs"/>
          <w:spacing w:val="-4"/>
          <w:rtl/>
        </w:rPr>
        <w:t>، وإلاَّ خـاب</w:t>
      </w:r>
      <w:r>
        <w:rPr>
          <w:rFonts w:hint="eastAsia"/>
          <w:spacing w:val="-4"/>
          <w:rtl/>
        </w:rPr>
        <w:t> </w:t>
      </w:r>
      <w:r>
        <w:rPr>
          <w:rFonts w:hint="cs"/>
          <w:spacing w:val="-4"/>
          <w:rtl/>
        </w:rPr>
        <w:t>ظـني وأملي</w:t>
      </w:r>
      <w:r>
        <w:rPr>
          <w:rStyle w:val="a7"/>
          <w:spacing w:val="-4"/>
          <w:rtl/>
        </w:rPr>
        <w:footnoteReference w:id="452"/>
      </w:r>
      <w:r>
        <w:rPr>
          <w:rFonts w:hint="cs"/>
          <w:spacing w:val="-4"/>
          <w:rtl/>
        </w:rPr>
        <w:t>.</w:t>
      </w:r>
    </w:p>
    <w:p w:rsidR="00C10469" w:rsidRDefault="00C10469" w:rsidP="00C10469">
      <w:pPr>
        <w:pBdr>
          <w:bottom w:val="single" w:sz="2" w:space="7" w:color="auto"/>
        </w:pBdr>
        <w:rPr>
          <w:rtl/>
        </w:rPr>
      </w:pPr>
      <w:r>
        <w:rPr>
          <w:rFonts w:hint="cs"/>
          <w:rtl/>
        </w:rPr>
        <w:t xml:space="preserve">والله الهادي، وعليه اعتمادي في مبدئي ومعادي. </w:t>
      </w:r>
    </w:p>
    <w:p w:rsidR="00C10469" w:rsidRDefault="00C10469" w:rsidP="00C10469">
      <w:pPr>
        <w:pBdr>
          <w:bottom w:val="single" w:sz="2" w:space="7" w:color="auto"/>
        </w:pBdr>
        <w:jc w:val="center"/>
        <w:rPr>
          <w:rtl/>
        </w:rPr>
      </w:pPr>
    </w:p>
    <w:p w:rsidR="00C10469" w:rsidRDefault="00C10469" w:rsidP="00C10469">
      <w:pPr>
        <w:pBdr>
          <w:bottom w:val="single" w:sz="2" w:space="7" w:color="auto"/>
        </w:pBdr>
        <w:jc w:val="center"/>
        <w:rPr>
          <w:rtl/>
        </w:rPr>
      </w:pPr>
    </w:p>
    <w:p w:rsidR="00C10469" w:rsidRDefault="00C10469" w:rsidP="00C10469">
      <w:pPr>
        <w:pBdr>
          <w:bottom w:val="single" w:sz="2" w:space="7" w:color="auto"/>
        </w:pBdr>
        <w:jc w:val="center"/>
        <w:rPr>
          <w:rtl/>
        </w:rPr>
      </w:pPr>
    </w:p>
    <w:p w:rsidR="00C10469" w:rsidRPr="00042077" w:rsidRDefault="0022714B" w:rsidP="00C10469">
      <w:pPr>
        <w:pBdr>
          <w:bottom w:val="single" w:sz="2" w:space="7" w:color="auto"/>
        </w:pBdr>
        <w:jc w:val="center"/>
        <w:rPr>
          <w:color w:val="FFFFFF"/>
          <w:sz w:val="48"/>
          <w:szCs w:val="48"/>
          <w:rtl/>
        </w:rPr>
      </w:pPr>
      <w:r>
        <w:rPr>
          <w:noProof/>
          <w:rtl/>
        </w:rPr>
        <w:pict>
          <v:rect id="_x0000_s1027" style="position:absolute;left:0;text-align:left;margin-left:-7.15pt;margin-top:31.4pt;width:453.15pt;height:11.4pt;z-index:251665408" stroked="f">
            <w10:wrap anchorx="page"/>
          </v:rect>
        </w:pict>
      </w:r>
      <w:r w:rsidR="00C10469">
        <w:rPr>
          <w:rFonts w:ascii="AGA Arabesque" w:hAnsi="AGA Arabesque"/>
          <w:sz w:val="48"/>
          <w:szCs w:val="48"/>
        </w:rPr>
        <w:t></w:t>
      </w:r>
      <w:r w:rsidR="00C10469">
        <w:rPr>
          <w:rFonts w:ascii="AGA Arabesque" w:hAnsi="AGA Arabesque"/>
          <w:sz w:val="48"/>
          <w:szCs w:val="48"/>
        </w:rPr>
        <w:t></w:t>
      </w:r>
      <w:r w:rsidR="00C10469">
        <w:rPr>
          <w:rFonts w:ascii="AGA Arabesque" w:hAnsi="AGA Arabesque"/>
          <w:sz w:val="48"/>
          <w:szCs w:val="48"/>
        </w:rPr>
        <w:t></w:t>
      </w:r>
    </w:p>
    <w:p w:rsidR="00C10469" w:rsidRDefault="00C10469" w:rsidP="00C10469">
      <w:pPr>
        <w:pStyle w:val="ae"/>
        <w:ind w:firstLine="0"/>
        <w:rPr>
          <w:rFonts w:cs="Traditional Arabic"/>
          <w:sz w:val="14"/>
          <w:szCs w:val="30"/>
          <w:rtl/>
          <w:lang w:val="en-US"/>
        </w:rPr>
        <w:sectPr w:rsidR="00C10469" w:rsidSect="00C10469">
          <w:headerReference w:type="even" r:id="rId22"/>
          <w:headerReference w:type="default" r:id="rId23"/>
          <w:footerReference w:type="even" r:id="rId24"/>
          <w:footerReference w:type="default" r:id="rId25"/>
          <w:footnotePr>
            <w:pos w:val="beneathText"/>
            <w:numRestart w:val="eachPage"/>
          </w:footnotePr>
          <w:endnotePr>
            <w:numFmt w:val="decimal"/>
          </w:endnotePr>
          <w:pgSz w:w="11906" w:h="16838" w:code="9"/>
          <w:pgMar w:top="2268" w:right="1559" w:bottom="1418" w:left="1559" w:header="680" w:footer="851" w:gutter="284"/>
          <w:pgNumType w:start="185"/>
          <w:cols w:space="720"/>
          <w:bidi/>
          <w:rtlGutter/>
        </w:sectPr>
      </w:pPr>
    </w:p>
    <w:p w:rsidR="00C10469" w:rsidRPr="00062246" w:rsidRDefault="00C10469" w:rsidP="00C10469">
      <w:pPr>
        <w:pStyle w:val="a9"/>
        <w:rPr>
          <w:rFonts w:cs="AL-Mateen"/>
          <w:rtl/>
        </w:rPr>
      </w:pPr>
      <w:r w:rsidRPr="00062246">
        <w:rPr>
          <w:rFonts w:cs="AL-Mateen" w:hint="cs"/>
          <w:rtl/>
        </w:rPr>
        <w:lastRenderedPageBreak/>
        <w:t xml:space="preserve"> [</w:t>
      </w:r>
      <w:r w:rsidRPr="00062246">
        <w:rPr>
          <w:rFonts w:cs="AL-Mateen"/>
        </w:rPr>
        <w:t xml:space="preserve"> </w:t>
      </w:r>
      <w:r w:rsidRPr="00062246">
        <w:rPr>
          <w:rFonts w:cs="AL-Mateen" w:hint="cs"/>
          <w:rtl/>
        </w:rPr>
        <w:t>القـاعـدة الأولـى</w:t>
      </w:r>
      <w:r w:rsidRPr="00062246">
        <w:rPr>
          <w:rFonts w:cs="AL-Mateen"/>
        </w:rPr>
        <w:t xml:space="preserve"> </w:t>
      </w:r>
      <w:r w:rsidRPr="00062246">
        <w:rPr>
          <w:rFonts w:cs="AL-Mateen" w:hint="cs"/>
          <w:rtl/>
        </w:rPr>
        <w:t>]</w:t>
      </w:r>
    </w:p>
    <w:p w:rsidR="00C10469" w:rsidRDefault="00C10469" w:rsidP="00C10469">
      <w:pPr>
        <w:rPr>
          <w:rtl/>
        </w:rPr>
      </w:pPr>
      <w:r>
        <w:rPr>
          <w:rFonts w:cs="Monotype Koufi" w:hint="cs"/>
          <w:rtl/>
        </w:rPr>
        <w:t>الآمرُ لاَ يضمنُ بالأمرِ</w:t>
      </w:r>
      <w:r>
        <w:rPr>
          <w:rStyle w:val="a7"/>
          <w:rtl/>
        </w:rPr>
        <w:footnoteReference w:id="453"/>
      </w:r>
      <w:r>
        <w:rPr>
          <w:rFonts w:hint="cs"/>
          <w:vertAlign w:val="superscript"/>
          <w:rtl/>
        </w:rPr>
        <w:t>(</w:t>
      </w:r>
      <w:r>
        <w:rPr>
          <w:rStyle w:val="a7"/>
          <w:rtl/>
        </w:rPr>
        <w:footnoteReference w:id="454"/>
      </w:r>
      <w:r>
        <w:rPr>
          <w:rFonts w:hint="cs"/>
          <w:vertAlign w:val="superscript"/>
          <w:rtl/>
        </w:rPr>
        <w:t>)</w:t>
      </w:r>
      <w:r>
        <w:rPr>
          <w:rFonts w:hint="cs"/>
          <w:rtl/>
        </w:rPr>
        <w:t>:</w:t>
      </w:r>
    </w:p>
    <w:p w:rsidR="00C10469" w:rsidRDefault="00C10469" w:rsidP="00C10469">
      <w:pPr>
        <w:spacing w:line="600" w:lineRule="exact"/>
        <w:rPr>
          <w:rtl/>
        </w:rPr>
      </w:pPr>
      <w:r>
        <w:rPr>
          <w:rFonts w:hint="cs"/>
          <w:b/>
          <w:bCs/>
          <w:rtl/>
        </w:rPr>
        <w:lastRenderedPageBreak/>
        <w:t>وخرج</w:t>
      </w:r>
      <w:r>
        <w:rPr>
          <w:rFonts w:hint="cs"/>
          <w:rtl/>
        </w:rPr>
        <w:t xml:space="preserve"> عن</w:t>
      </w:r>
      <w:r>
        <w:rPr>
          <w:rStyle w:val="a7"/>
          <w:rtl/>
        </w:rPr>
        <w:footnoteReference w:id="455"/>
      </w:r>
      <w:r>
        <w:rPr>
          <w:rFonts w:hint="cs"/>
          <w:rtl/>
        </w:rPr>
        <w:t xml:space="preserve"> هذا الأصل</w:t>
      </w:r>
      <w:r>
        <w:rPr>
          <w:rStyle w:val="a7"/>
          <w:rtl/>
        </w:rPr>
        <w:footnoteReference w:id="456"/>
      </w:r>
      <w:r>
        <w:rPr>
          <w:rFonts w:hint="cs"/>
          <w:rtl/>
        </w:rPr>
        <w:t xml:space="preserve"> مسائل</w:t>
      </w:r>
      <w:r>
        <w:rPr>
          <w:rFonts w:hint="cs"/>
          <w:vertAlign w:val="superscript"/>
          <w:rtl/>
        </w:rPr>
        <w:t>(</w:t>
      </w:r>
      <w:r>
        <w:rPr>
          <w:rStyle w:val="a7"/>
          <w:rtl/>
        </w:rPr>
        <w:footnoteReference w:id="457"/>
      </w:r>
      <w:r>
        <w:rPr>
          <w:rFonts w:hint="cs"/>
          <w:vertAlign w:val="superscript"/>
          <w:rtl/>
        </w:rPr>
        <w:t>)</w:t>
      </w:r>
      <w:r>
        <w:rPr>
          <w:rFonts w:hint="cs"/>
          <w:rtl/>
        </w:rPr>
        <w:t>:</w:t>
      </w:r>
    </w:p>
    <w:p w:rsidR="00C10469" w:rsidRDefault="00C10469" w:rsidP="00C10469">
      <w:pPr>
        <w:spacing w:line="600" w:lineRule="exact"/>
        <w:ind w:right="1287"/>
      </w:pPr>
      <w:r>
        <w:rPr>
          <w:b/>
          <w:bCs/>
          <w:rtl/>
        </w:rPr>
        <w:t>•</w:t>
      </w:r>
      <w:r>
        <w:rPr>
          <w:rFonts w:hint="cs"/>
          <w:b/>
          <w:bCs/>
          <w:rtl/>
        </w:rPr>
        <w:t xml:space="preserve"> منها </w:t>
      </w:r>
      <w:r w:rsidRPr="00EE4759">
        <w:rPr>
          <w:rFonts w:hint="cs"/>
          <w:b/>
          <w:bCs/>
          <w:rtl/>
        </w:rPr>
        <w:t>: إذا</w:t>
      </w:r>
      <w:r>
        <w:rPr>
          <w:rFonts w:hint="cs"/>
          <w:rtl/>
        </w:rPr>
        <w:t xml:space="preserve"> كان الآمر سلطانًا</w:t>
      </w:r>
      <w:r>
        <w:rPr>
          <w:rFonts w:hint="cs"/>
          <w:vertAlign w:val="superscript"/>
          <w:rtl/>
        </w:rPr>
        <w:t>(</w:t>
      </w:r>
      <w:r>
        <w:rPr>
          <w:rStyle w:val="a7"/>
          <w:rtl/>
        </w:rPr>
        <w:footnoteReference w:id="458"/>
      </w:r>
      <w:r>
        <w:rPr>
          <w:rFonts w:hint="cs"/>
          <w:vertAlign w:val="superscript"/>
          <w:rtl/>
        </w:rPr>
        <w:t>)</w:t>
      </w:r>
      <w:r>
        <w:rPr>
          <w:rFonts w:hint="cs"/>
          <w:rtl/>
        </w:rPr>
        <w:t>.</w:t>
      </w:r>
    </w:p>
    <w:p w:rsidR="00C10469" w:rsidRDefault="00C10469" w:rsidP="00C10469">
      <w:pPr>
        <w:spacing w:line="600" w:lineRule="exact"/>
        <w:ind w:left="849" w:hanging="282"/>
      </w:pPr>
      <w:r>
        <w:rPr>
          <w:b/>
          <w:bCs/>
          <w:rtl/>
        </w:rPr>
        <w:t>•</w:t>
      </w:r>
      <w:r>
        <w:rPr>
          <w:rFonts w:hint="cs"/>
          <w:b/>
          <w:bCs/>
          <w:rtl/>
        </w:rPr>
        <w:t xml:space="preserve"> </w:t>
      </w:r>
      <w:r>
        <w:rPr>
          <w:rFonts w:hint="cs"/>
          <w:b/>
          <w:bCs/>
          <w:spacing w:val="-10"/>
          <w:rtl/>
        </w:rPr>
        <w:t>أو</w:t>
      </w:r>
      <w:r>
        <w:rPr>
          <w:rFonts w:hint="cs"/>
          <w:spacing w:val="-10"/>
          <w:rtl/>
        </w:rPr>
        <w:t xml:space="preserve"> كان الآمر</w:t>
      </w:r>
      <w:r>
        <w:rPr>
          <w:rStyle w:val="a7"/>
          <w:spacing w:val="-10"/>
          <w:rtl/>
        </w:rPr>
        <w:footnoteReference w:id="459"/>
      </w:r>
      <w:r>
        <w:rPr>
          <w:rFonts w:hint="cs"/>
          <w:spacing w:val="-10"/>
          <w:rtl/>
        </w:rPr>
        <w:t xml:space="preserve"> مولى المأمور</w:t>
      </w:r>
      <w:r>
        <w:rPr>
          <w:rStyle w:val="a7"/>
          <w:spacing w:val="-10"/>
          <w:rtl/>
        </w:rPr>
        <w:footnoteReference w:id="460"/>
      </w:r>
      <w:r>
        <w:rPr>
          <w:rFonts w:hint="cs"/>
          <w:spacing w:val="-10"/>
          <w:rtl/>
        </w:rPr>
        <w:t>؛ [لأنّ]</w:t>
      </w:r>
      <w:r>
        <w:rPr>
          <w:rStyle w:val="a7"/>
          <w:spacing w:val="-10"/>
          <w:rtl/>
        </w:rPr>
        <w:footnoteReference w:id="461"/>
      </w:r>
      <w:r>
        <w:rPr>
          <w:rFonts w:hint="cs"/>
          <w:spacing w:val="-10"/>
          <w:rtl/>
        </w:rPr>
        <w:t xml:space="preserve"> أمْرَهُما إكراهٌ، والضمان على المكرِهِ؛ </w:t>
      </w:r>
      <w:r>
        <w:rPr>
          <w:spacing w:val="-10"/>
          <w:rtl/>
        </w:rPr>
        <w:br/>
      </w:r>
      <w:r>
        <w:rPr>
          <w:rFonts w:hint="cs"/>
          <w:rtl/>
        </w:rPr>
        <w:t>لأنه حاملُه</w:t>
      </w:r>
      <w:r>
        <w:rPr>
          <w:rStyle w:val="a7"/>
          <w:rtl/>
        </w:rPr>
        <w:footnoteReference w:id="462"/>
      </w:r>
      <w:r>
        <w:rPr>
          <w:rFonts w:hint="cs"/>
          <w:rtl/>
        </w:rPr>
        <w:t>، والمحمول آلة. كما إذا ألقاه على شيء فأتلفه</w:t>
      </w:r>
      <w:r>
        <w:rPr>
          <w:rFonts w:hint="cs"/>
          <w:vertAlign w:val="superscript"/>
          <w:rtl/>
        </w:rPr>
        <w:t>(</w:t>
      </w:r>
      <w:r>
        <w:rPr>
          <w:rStyle w:val="a7"/>
          <w:rtl/>
        </w:rPr>
        <w:footnoteReference w:id="463"/>
      </w:r>
      <w:r>
        <w:rPr>
          <w:rFonts w:hint="cs"/>
          <w:vertAlign w:val="superscript"/>
          <w:rtl/>
        </w:rPr>
        <w:t>)</w:t>
      </w:r>
      <w:r>
        <w:rPr>
          <w:rFonts w:hint="cs"/>
          <w:rtl/>
        </w:rPr>
        <w:t>.</w:t>
      </w:r>
    </w:p>
    <w:p w:rsidR="00C10469" w:rsidRDefault="00C10469" w:rsidP="00C10469">
      <w:pPr>
        <w:ind w:left="990" w:firstLine="0"/>
      </w:pPr>
      <w:r>
        <w:rPr>
          <w:b/>
          <w:bCs/>
          <w:rtl/>
        </w:rPr>
        <w:lastRenderedPageBreak/>
        <w:t>•</w:t>
      </w:r>
      <w:r>
        <w:rPr>
          <w:rFonts w:hint="cs"/>
          <w:b/>
          <w:bCs/>
          <w:rtl/>
        </w:rPr>
        <w:t xml:space="preserve"> ومنها</w:t>
      </w:r>
      <w:r>
        <w:rPr>
          <w:b/>
          <w:bCs/>
        </w:rPr>
        <w:t xml:space="preserve"> </w:t>
      </w:r>
      <w:r>
        <w:rPr>
          <w:rFonts w:hint="cs"/>
          <w:rtl/>
        </w:rPr>
        <w:t>: إذا كان المأمورُ عبدَ الغيرِ</w:t>
      </w:r>
      <w:r>
        <w:rPr>
          <w:rFonts w:hint="cs"/>
          <w:vertAlign w:val="superscript"/>
          <w:rtl/>
          <w:lang w:bidi="ar-AE"/>
        </w:rPr>
        <w:t>(</w:t>
      </w:r>
      <w:r>
        <w:rPr>
          <w:rStyle w:val="a7"/>
          <w:lang w:bidi="ar-AE"/>
        </w:rPr>
        <w:footnoteReference w:id="464"/>
      </w:r>
      <w:r>
        <w:rPr>
          <w:rFonts w:hint="cs"/>
          <w:vertAlign w:val="superscript"/>
          <w:rtl/>
          <w:lang w:bidi="ar-AE"/>
        </w:rPr>
        <w:t>)</w:t>
      </w:r>
      <w:r>
        <w:rPr>
          <w:rFonts w:hint="cs"/>
          <w:rtl/>
        </w:rPr>
        <w:t>، فأمَرَهُ بالإباق</w:t>
      </w:r>
      <w:r>
        <w:rPr>
          <w:rStyle w:val="a7"/>
          <w:rtl/>
        </w:rPr>
        <w:footnoteReference w:id="465"/>
      </w:r>
      <w:r>
        <w:rPr>
          <w:rFonts w:hint="cs"/>
          <w:rtl/>
        </w:rPr>
        <w:t>، أو بقتل نفسه:</w:t>
      </w:r>
    </w:p>
    <w:p w:rsidR="00C10469" w:rsidRDefault="00C10469" w:rsidP="00C10469">
      <w:pPr>
        <w:ind w:left="567" w:right="567" w:firstLine="720"/>
      </w:pPr>
      <w:r>
        <w:rPr>
          <w:rFonts w:hint="cs"/>
          <w:rtl/>
        </w:rPr>
        <w:t>فإن الآمر يضمن؛ لكونه غاصبًا بالاستعمال، فإذا أتلف</w:t>
      </w:r>
      <w:r>
        <w:rPr>
          <w:rStyle w:val="a7"/>
          <w:rtl/>
        </w:rPr>
        <w:footnoteReference w:id="466"/>
      </w:r>
      <w:r>
        <w:rPr>
          <w:rFonts w:hint="cs"/>
          <w:rtl/>
        </w:rPr>
        <w:t xml:space="preserve"> يضمن.</w:t>
      </w:r>
    </w:p>
    <w:p w:rsidR="00C10469" w:rsidRDefault="00C10469" w:rsidP="00C10469">
      <w:pPr>
        <w:pStyle w:val="Normal1"/>
        <w:spacing w:line="500" w:lineRule="exact"/>
        <w:ind w:left="1287"/>
        <w:rPr>
          <w:rtl/>
        </w:rPr>
      </w:pPr>
      <w:r>
        <w:rPr>
          <w:rFonts w:hint="cs"/>
          <w:rtl/>
        </w:rPr>
        <w:lastRenderedPageBreak/>
        <w:t>وأما إذا أمره بإتلاف مال الغير: يضمن سيد العبد، ويرجع إلى</w:t>
      </w:r>
      <w:r>
        <w:rPr>
          <w:rStyle w:val="a7"/>
          <w:rtl/>
        </w:rPr>
        <w:footnoteReference w:id="467"/>
      </w:r>
      <w:r>
        <w:rPr>
          <w:rFonts w:hint="cs"/>
          <w:rtl/>
        </w:rPr>
        <w:t xml:space="preserve"> آمره؛ لأنه</w:t>
      </w:r>
      <w:r>
        <w:rPr>
          <w:rFonts w:hint="eastAsia"/>
          <w:rtl/>
        </w:rPr>
        <w:t> </w:t>
      </w:r>
      <w:r>
        <w:rPr>
          <w:rFonts w:hint="cs"/>
          <w:rtl/>
        </w:rPr>
        <w:t>باستعمال عبد الغير [كان]</w:t>
      </w:r>
      <w:r>
        <w:rPr>
          <w:rStyle w:val="a7"/>
          <w:rtl/>
        </w:rPr>
        <w:footnoteReference w:id="468"/>
      </w:r>
      <w:r>
        <w:rPr>
          <w:rFonts w:hint="cs"/>
          <w:rtl/>
        </w:rPr>
        <w:t xml:space="preserve"> الآمر غاصبًا، وجناية المغصوب على الغاصب في حق السيِّد، ولكن المجني عليه يعتمد على حقيقة الملك، ويُضمِّنُ سيِّدَهُ، ويرجع السيّدُ على المسَبِّب</w:t>
      </w:r>
      <w:r>
        <w:rPr>
          <w:rFonts w:hint="cs"/>
          <w:vertAlign w:val="superscript"/>
          <w:rtl/>
        </w:rPr>
        <w:t>(</w:t>
      </w:r>
      <w:r>
        <w:rPr>
          <w:rStyle w:val="a7"/>
          <w:rtl/>
        </w:rPr>
        <w:footnoteReference w:id="469"/>
      </w:r>
      <w:r>
        <w:rPr>
          <w:rFonts w:hint="cs"/>
          <w:vertAlign w:val="superscript"/>
          <w:rtl/>
        </w:rPr>
        <w:t>)</w:t>
      </w:r>
      <w:r>
        <w:rPr>
          <w:rFonts w:hint="cs"/>
          <w:rtl/>
        </w:rPr>
        <w:t>.</w:t>
      </w:r>
    </w:p>
    <w:p w:rsidR="00C10469" w:rsidRDefault="00C10469" w:rsidP="00C10469">
      <w:pPr>
        <w:pStyle w:val="Normal1"/>
        <w:ind w:left="1287"/>
        <w:jc w:val="lowKashida"/>
      </w:pPr>
      <w:r>
        <w:rPr>
          <w:rFonts w:hint="cs"/>
          <w:rtl/>
        </w:rPr>
        <w:t>وأما إذا أمره بإتلاف مال سيّده: فلا يرجع السيّد على الآمر؛ لأنّ السيّد لا</w:t>
      </w:r>
      <w:r>
        <w:rPr>
          <w:rFonts w:hint="eastAsia"/>
          <w:rtl/>
        </w:rPr>
        <w:t>  </w:t>
      </w:r>
      <w:r>
        <w:rPr>
          <w:rFonts w:hint="cs"/>
          <w:rtl/>
        </w:rPr>
        <w:t>يضمن شيئًا حتى يرجع إلى</w:t>
      </w:r>
      <w:r>
        <w:rPr>
          <w:rStyle w:val="a7"/>
          <w:rtl/>
        </w:rPr>
        <w:footnoteReference w:id="470"/>
      </w:r>
      <w:r>
        <w:rPr>
          <w:rFonts w:hint="cs"/>
          <w:rtl/>
        </w:rPr>
        <w:t xml:space="preserve"> الآمر.</w:t>
      </w:r>
    </w:p>
    <w:p w:rsidR="00C10469" w:rsidRDefault="00C10469" w:rsidP="00C10469">
      <w:pPr>
        <w:ind w:left="1274" w:firstLine="0"/>
        <w:rPr>
          <w:spacing w:val="-10"/>
          <w:rtl/>
        </w:rPr>
      </w:pPr>
      <w:r>
        <w:rPr>
          <w:rFonts w:hint="cs"/>
          <w:spacing w:val="-10"/>
          <w:sz w:val="35"/>
          <w:szCs w:val="35"/>
          <w:rtl/>
        </w:rPr>
        <w:lastRenderedPageBreak/>
        <w:t>وعلى هذا ظهر سَهْوُ ابنِ [نجيمٍ]</w:t>
      </w:r>
      <w:r>
        <w:rPr>
          <w:rFonts w:hint="cs"/>
          <w:spacing w:val="-10"/>
          <w:vertAlign w:val="superscript"/>
          <w:rtl/>
        </w:rPr>
        <w:t>(</w:t>
      </w:r>
      <w:r>
        <w:rPr>
          <w:rStyle w:val="a7"/>
          <w:spacing w:val="-10"/>
          <w:rtl/>
        </w:rPr>
        <w:footnoteReference w:id="471"/>
      </w:r>
      <w:r>
        <w:rPr>
          <w:rFonts w:hint="cs"/>
          <w:spacing w:val="-10"/>
          <w:vertAlign w:val="superscript"/>
          <w:rtl/>
        </w:rPr>
        <w:t>)</w:t>
      </w:r>
      <w:r>
        <w:rPr>
          <w:rFonts w:hint="cs"/>
          <w:spacing w:val="-10"/>
          <w:rtl/>
        </w:rPr>
        <w:t xml:space="preserve"> </w:t>
      </w:r>
      <w:r>
        <w:rPr>
          <w:rFonts w:hint="cs"/>
          <w:spacing w:val="-10"/>
          <w:sz w:val="34"/>
          <w:szCs w:val="34"/>
          <w:rtl/>
        </w:rPr>
        <w:t>في (أشباهِهِ)</w:t>
      </w:r>
      <w:r>
        <w:rPr>
          <w:rFonts w:hint="cs"/>
          <w:spacing w:val="-10"/>
          <w:vertAlign w:val="superscript"/>
          <w:rtl/>
        </w:rPr>
        <w:t>(</w:t>
      </w:r>
      <w:r>
        <w:rPr>
          <w:rStyle w:val="a7"/>
          <w:spacing w:val="-10"/>
          <w:rtl/>
        </w:rPr>
        <w:footnoteReference w:id="472"/>
      </w:r>
      <w:r>
        <w:rPr>
          <w:rFonts w:hint="cs"/>
          <w:spacing w:val="-10"/>
          <w:vertAlign w:val="superscript"/>
          <w:rtl/>
        </w:rPr>
        <w:t>)</w:t>
      </w:r>
      <w:r>
        <w:rPr>
          <w:rFonts w:hint="cs"/>
          <w:spacing w:val="-10"/>
          <w:rtl/>
        </w:rPr>
        <w:t xml:space="preserve">، </w:t>
      </w:r>
      <w:r>
        <w:rPr>
          <w:rFonts w:hint="cs"/>
          <w:spacing w:val="-10"/>
          <w:sz w:val="34"/>
          <w:szCs w:val="34"/>
          <w:rtl/>
        </w:rPr>
        <w:t>حيث قال في كتاب (الغصب):</w:t>
      </w:r>
      <w:r>
        <w:rPr>
          <w:rFonts w:hint="cs"/>
          <w:spacing w:val="-10"/>
          <w:rtl/>
        </w:rPr>
        <w:t xml:space="preserve"> </w:t>
      </w:r>
    </w:p>
    <w:p w:rsidR="00C10469" w:rsidRDefault="00C10469" w:rsidP="00C10469">
      <w:pPr>
        <w:spacing w:line="560" w:lineRule="exact"/>
        <w:ind w:left="1287" w:firstLine="0"/>
        <w:rPr>
          <w:rtl/>
        </w:rPr>
      </w:pPr>
      <w:r>
        <w:rPr>
          <w:rFonts w:hint="cs"/>
          <w:rtl/>
        </w:rPr>
        <w:lastRenderedPageBreak/>
        <w:t>«إن الضمان الذي يغرمه الآمر يرجع [به]</w:t>
      </w:r>
      <w:r>
        <w:rPr>
          <w:rStyle w:val="a7"/>
          <w:b/>
          <w:rtl/>
        </w:rPr>
        <w:footnoteReference w:id="473"/>
      </w:r>
      <w:r>
        <w:rPr>
          <w:rFonts w:hint="cs"/>
          <w:b/>
          <w:bCs/>
          <w:rtl/>
        </w:rPr>
        <w:t xml:space="preserve"> </w:t>
      </w:r>
      <w:r>
        <w:rPr>
          <w:rFonts w:hint="cs"/>
          <w:rtl/>
        </w:rPr>
        <w:t>على سيّده»</w:t>
      </w:r>
      <w:r>
        <w:rPr>
          <w:rFonts w:hint="cs"/>
          <w:vertAlign w:val="superscript"/>
          <w:rtl/>
        </w:rPr>
        <w:t>(</w:t>
      </w:r>
      <w:r>
        <w:rPr>
          <w:rStyle w:val="a7"/>
          <w:rtl/>
        </w:rPr>
        <w:footnoteReference w:id="474"/>
      </w:r>
      <w:r>
        <w:rPr>
          <w:rFonts w:hint="cs"/>
          <w:vertAlign w:val="superscript"/>
          <w:rtl/>
        </w:rPr>
        <w:t>)</w:t>
      </w:r>
      <w:r>
        <w:rPr>
          <w:rFonts w:hint="cs"/>
          <w:rtl/>
        </w:rPr>
        <w:t>. والصواب: إن</w:t>
      </w:r>
      <w:r>
        <w:rPr>
          <w:rFonts w:hint="eastAsia"/>
          <w:rtl/>
        </w:rPr>
        <w:t> </w:t>
      </w:r>
      <w:r>
        <w:rPr>
          <w:rFonts w:hint="cs"/>
          <w:rtl/>
        </w:rPr>
        <w:t>الضمان الذي يغرمه السيد يرجع به على الآمر</w:t>
      </w:r>
      <w:r>
        <w:rPr>
          <w:rFonts w:hint="cs"/>
          <w:vertAlign w:val="superscript"/>
          <w:rtl/>
        </w:rPr>
        <w:t>(</w:t>
      </w:r>
      <w:r>
        <w:rPr>
          <w:rStyle w:val="a7"/>
          <w:rtl/>
        </w:rPr>
        <w:footnoteReference w:id="475"/>
      </w:r>
      <w:r>
        <w:rPr>
          <w:rFonts w:hint="cs"/>
          <w:vertAlign w:val="superscript"/>
          <w:rtl/>
        </w:rPr>
        <w:t>)</w:t>
      </w:r>
      <w:r>
        <w:rPr>
          <w:rFonts w:hint="cs"/>
          <w:rtl/>
        </w:rPr>
        <w:t>.</w:t>
      </w:r>
    </w:p>
    <w:p w:rsidR="00C10469" w:rsidRDefault="00C10469" w:rsidP="00C10469">
      <w:pPr>
        <w:tabs>
          <w:tab w:val="right" w:pos="8219"/>
        </w:tabs>
        <w:spacing w:line="560" w:lineRule="exact"/>
        <w:ind w:left="1133" w:hanging="282"/>
      </w:pPr>
      <w:r>
        <w:rPr>
          <w:b/>
          <w:bCs/>
          <w:rtl/>
        </w:rPr>
        <w:t>•</w:t>
      </w:r>
      <w:r>
        <w:rPr>
          <w:rFonts w:hint="cs"/>
          <w:b/>
          <w:bCs/>
          <w:rtl/>
        </w:rPr>
        <w:t xml:space="preserve"> ومنها  </w:t>
      </w:r>
      <w:r>
        <w:rPr>
          <w:rFonts w:hint="cs"/>
          <w:rtl/>
        </w:rPr>
        <w:t>:  إذا كان الـمأمور</w:t>
      </w:r>
      <w:r>
        <w:rPr>
          <w:rStyle w:val="a7"/>
          <w:rtl/>
        </w:rPr>
        <w:footnoteReference w:id="476"/>
      </w:r>
      <w:r>
        <w:rPr>
          <w:rFonts w:hint="cs"/>
          <w:rtl/>
        </w:rPr>
        <w:t xml:space="preserve"> صبـيًّـا، [كما إذا أمر صبيًّا]</w:t>
      </w:r>
      <w:r>
        <w:rPr>
          <w:rStyle w:val="a7"/>
          <w:rtl/>
        </w:rPr>
        <w:footnoteReference w:id="477"/>
      </w:r>
      <w:r>
        <w:rPr>
          <w:rFonts w:hint="cs"/>
          <w:rtl/>
        </w:rPr>
        <w:t xml:space="preserve"> بإتلاف مال الغير، فأتلفه: ضمِن الصبيُّ، ويرجع به على الآمر؛ كما في العبد</w:t>
      </w:r>
      <w:r>
        <w:rPr>
          <w:rFonts w:hint="cs"/>
          <w:vertAlign w:val="superscript"/>
          <w:rtl/>
        </w:rPr>
        <w:t>(</w:t>
      </w:r>
      <w:r>
        <w:rPr>
          <w:rStyle w:val="a7"/>
          <w:rtl/>
        </w:rPr>
        <w:footnoteReference w:id="478"/>
      </w:r>
      <w:r>
        <w:rPr>
          <w:rFonts w:hint="cs"/>
          <w:vertAlign w:val="superscript"/>
          <w:rtl/>
        </w:rPr>
        <w:t>)</w:t>
      </w:r>
      <w:r>
        <w:rPr>
          <w:rFonts w:hint="cs"/>
          <w:rtl/>
        </w:rPr>
        <w:t>.</w:t>
      </w:r>
    </w:p>
    <w:p w:rsidR="00C10469" w:rsidRDefault="00C10469" w:rsidP="00C10469">
      <w:pPr>
        <w:tabs>
          <w:tab w:val="right" w:pos="8219"/>
        </w:tabs>
        <w:spacing w:line="560" w:lineRule="exact"/>
        <w:ind w:left="1133" w:hanging="282"/>
      </w:pPr>
      <w:r>
        <w:rPr>
          <w:b/>
          <w:bCs/>
          <w:rtl/>
        </w:rPr>
        <w:t>•</w:t>
      </w:r>
      <w:r>
        <w:rPr>
          <w:rFonts w:hint="cs"/>
          <w:b/>
          <w:bCs/>
          <w:rtl/>
        </w:rPr>
        <w:t xml:space="preserve"> ومنها</w:t>
      </w:r>
      <w:r>
        <w:rPr>
          <w:rFonts w:hint="cs"/>
          <w:rtl/>
        </w:rPr>
        <w:t xml:space="preserve">: إذا أمره بحفر باب في حائط الغير، ففعل: فالضمان على الحافر، </w:t>
      </w:r>
      <w:r>
        <w:rPr>
          <w:rFonts w:hint="cs"/>
          <w:rtl/>
        </w:rPr>
        <w:lastRenderedPageBreak/>
        <w:t>ويرجع به على الآمر؛ لأن الآمر ألقاه في هذه الورطة</w:t>
      </w:r>
      <w:r>
        <w:rPr>
          <w:rFonts w:hint="cs"/>
          <w:vertAlign w:val="superscript"/>
          <w:rtl/>
        </w:rPr>
        <w:t>(</w:t>
      </w:r>
      <w:r>
        <w:rPr>
          <w:rStyle w:val="a7"/>
          <w:rtl/>
        </w:rPr>
        <w:footnoteReference w:id="479"/>
      </w:r>
      <w:r>
        <w:rPr>
          <w:rFonts w:hint="cs"/>
          <w:vertAlign w:val="superscript"/>
          <w:rtl/>
        </w:rPr>
        <w:t>)</w:t>
      </w:r>
      <w:r>
        <w:rPr>
          <w:rFonts w:hint="cs"/>
          <w:rtl/>
        </w:rPr>
        <w:t>.</w:t>
      </w:r>
    </w:p>
    <w:p w:rsidR="00C10469" w:rsidRDefault="00C10469" w:rsidP="00C10469">
      <w:pPr>
        <w:spacing w:line="560" w:lineRule="exact"/>
        <w:ind w:left="1133" w:hanging="282"/>
      </w:pPr>
      <w:r>
        <w:rPr>
          <w:b/>
          <w:bCs/>
          <w:rtl/>
        </w:rPr>
        <w:t>•</w:t>
      </w:r>
      <w:r>
        <w:rPr>
          <w:rFonts w:hint="cs"/>
          <w:b/>
          <w:bCs/>
          <w:rtl/>
        </w:rPr>
        <w:t xml:space="preserve"> ومنها</w:t>
      </w:r>
      <w:r>
        <w:rPr>
          <w:rFonts w:hint="cs"/>
          <w:rtl/>
        </w:rPr>
        <w:t>: ما أورد صاحب (القنية)</w:t>
      </w:r>
      <w:r>
        <w:rPr>
          <w:rFonts w:hint="cs"/>
          <w:vertAlign w:val="superscript"/>
          <w:rtl/>
        </w:rPr>
        <w:t>(</w:t>
      </w:r>
      <w:r>
        <w:rPr>
          <w:rStyle w:val="a7"/>
          <w:rtl/>
        </w:rPr>
        <w:footnoteReference w:id="480"/>
      </w:r>
      <w:r>
        <w:rPr>
          <w:rFonts w:hint="cs"/>
          <w:vertAlign w:val="superscript"/>
          <w:rtl/>
        </w:rPr>
        <w:t>)</w:t>
      </w:r>
      <w:r>
        <w:rPr>
          <w:rFonts w:hint="cs"/>
          <w:rtl/>
        </w:rPr>
        <w:t xml:space="preserve">، حيث قال: إذا أمر الأب ابنه: </w:t>
      </w:r>
      <w:r>
        <w:rPr>
          <w:rFonts w:hint="cs"/>
          <w:rtl/>
        </w:rPr>
        <w:lastRenderedPageBreak/>
        <w:t xml:space="preserve">يضمَن الأبُ ما أتلف الابن؛ لأن الابنَ لاحقٌ بالعبيـد فـي بـعض  الأحــكام </w:t>
      </w:r>
    </w:p>
    <w:p w:rsidR="00C10469" w:rsidRDefault="00C10469" w:rsidP="00C10469">
      <w:r>
        <w:rPr>
          <w:rFonts w:hint="cs"/>
          <w:rtl/>
        </w:rPr>
        <w:lastRenderedPageBreak/>
        <w:t xml:space="preserve">بقوله </w:t>
      </w:r>
      <w:r>
        <w:rPr>
          <w:rFonts w:ascii="AGA Arabesque" w:hAnsi="AGA Arabesque"/>
          <w:sz w:val="36"/>
        </w:rPr>
        <w:t></w:t>
      </w:r>
      <w:r>
        <w:rPr>
          <w:rFonts w:hint="cs"/>
          <w:rtl/>
        </w:rPr>
        <w:t xml:space="preserve"> : « </w:t>
      </w:r>
      <w:r>
        <w:rPr>
          <w:rFonts w:cs="DecoType Naskh" w:hint="cs"/>
          <w:sz w:val="36"/>
          <w:rtl/>
        </w:rPr>
        <w:t>أنـتَ ومَـالُـكَ لأَبِـيـكَ</w:t>
      </w:r>
      <w:r>
        <w:rPr>
          <w:rFonts w:hint="cs"/>
          <w:sz w:val="36"/>
          <w:rtl/>
        </w:rPr>
        <w:t xml:space="preserve"> </w:t>
      </w:r>
      <w:r>
        <w:rPr>
          <w:rFonts w:hint="cs"/>
          <w:rtl/>
        </w:rPr>
        <w:t>»</w:t>
      </w:r>
      <w:r>
        <w:rPr>
          <w:rFonts w:hint="cs"/>
          <w:vertAlign w:val="superscript"/>
          <w:rtl/>
        </w:rPr>
        <w:t>(</w:t>
      </w:r>
      <w:r>
        <w:rPr>
          <w:rStyle w:val="a7"/>
          <w:rtl/>
        </w:rPr>
        <w:footnoteReference w:id="481"/>
      </w:r>
      <w:r>
        <w:rPr>
          <w:rFonts w:hint="cs"/>
          <w:vertAlign w:val="superscript"/>
          <w:rtl/>
        </w:rPr>
        <w:t>)</w:t>
      </w:r>
      <w:r>
        <w:rPr>
          <w:rFonts w:hint="cs"/>
          <w:rtl/>
        </w:rPr>
        <w:t xml:space="preserve">. </w:t>
      </w:r>
    </w:p>
    <w:p w:rsidR="00C10469" w:rsidRDefault="00C10469" w:rsidP="00C10469">
      <w:pPr>
        <w:ind w:left="927" w:right="284" w:firstLine="0"/>
        <w:rPr>
          <w:rtl/>
        </w:rPr>
      </w:pPr>
      <w:r>
        <w:rPr>
          <w:rFonts w:hint="cs"/>
          <w:rtl/>
        </w:rPr>
        <w:lastRenderedPageBreak/>
        <w:t>وهـذا راجـع إلـى الإِعـمـال بــأهــون الــشَّـريـن</w:t>
      </w:r>
      <w:r>
        <w:rPr>
          <w:rFonts w:hint="cs"/>
          <w:vertAlign w:val="superscript"/>
          <w:rtl/>
        </w:rPr>
        <w:t>(</w:t>
      </w:r>
      <w:r>
        <w:rPr>
          <w:rStyle w:val="a7"/>
          <w:rtl/>
        </w:rPr>
        <w:footnoteReference w:id="482"/>
      </w:r>
      <w:r>
        <w:rPr>
          <w:rFonts w:hint="cs"/>
          <w:vertAlign w:val="superscript"/>
          <w:rtl/>
        </w:rPr>
        <w:t>)</w:t>
      </w:r>
      <w:r>
        <w:rPr>
          <w:rFonts w:hint="cs"/>
          <w:rtl/>
        </w:rPr>
        <w:t>،</w:t>
      </w:r>
    </w:p>
    <w:p w:rsidR="00C10469" w:rsidRDefault="00C10469" w:rsidP="00C10469">
      <w:pPr>
        <w:ind w:left="927" w:firstLine="0"/>
        <w:rPr>
          <w:rtl/>
        </w:rPr>
      </w:pPr>
      <w:r>
        <w:rPr>
          <w:rFonts w:hint="cs"/>
          <w:rtl/>
        </w:rPr>
        <w:lastRenderedPageBreak/>
        <w:t>وعقوق الوالدين أشد شرًّا من الجناية</w:t>
      </w:r>
      <w:r>
        <w:rPr>
          <w:rStyle w:val="a7"/>
          <w:rtl/>
        </w:rPr>
        <w:footnoteReference w:id="483"/>
      </w:r>
      <w:r>
        <w:rPr>
          <w:rFonts w:hint="cs"/>
          <w:rtl/>
        </w:rPr>
        <w:t xml:space="preserve"> في مال الغير؛ لأن في الجناية </w:t>
      </w:r>
      <w:r>
        <w:rPr>
          <w:rtl/>
        </w:rPr>
        <w:br/>
      </w:r>
      <w:r>
        <w:rPr>
          <w:rFonts w:hint="cs"/>
          <w:rtl/>
        </w:rPr>
        <w:t>يمكن التدارك</w:t>
      </w:r>
      <w:r>
        <w:rPr>
          <w:rStyle w:val="a7"/>
          <w:rtl/>
        </w:rPr>
        <w:footnoteReference w:id="484"/>
      </w:r>
      <w:r>
        <w:rPr>
          <w:rFonts w:hint="cs"/>
          <w:rtl/>
        </w:rPr>
        <w:t xml:space="preserve"> بالضمان، وفي العقوق</w:t>
      </w:r>
      <w:r>
        <w:rPr>
          <w:rStyle w:val="a7"/>
          <w:rtl/>
        </w:rPr>
        <w:footnoteReference w:id="485"/>
      </w:r>
      <w:r>
        <w:rPr>
          <w:rFonts w:hint="cs"/>
          <w:rtl/>
        </w:rPr>
        <w:t xml:space="preserve"> لا يمكن</w:t>
      </w:r>
      <w:r>
        <w:rPr>
          <w:rFonts w:hint="cs"/>
          <w:vertAlign w:val="superscript"/>
          <w:rtl/>
        </w:rPr>
        <w:t>(</w:t>
      </w:r>
      <w:r>
        <w:rPr>
          <w:rStyle w:val="a7"/>
          <w:rtl/>
        </w:rPr>
        <w:footnoteReference w:id="486"/>
      </w:r>
      <w:r>
        <w:rPr>
          <w:rFonts w:hint="cs"/>
          <w:vertAlign w:val="superscript"/>
          <w:rtl/>
        </w:rPr>
        <w:t>)</w:t>
      </w:r>
      <w:r>
        <w:rPr>
          <w:rFonts w:hint="cs"/>
          <w:rtl/>
        </w:rPr>
        <w:t>.</w:t>
      </w:r>
    </w:p>
    <w:p w:rsidR="00C10469" w:rsidRDefault="00C10469" w:rsidP="00C10469">
      <w:pPr>
        <w:ind w:left="927" w:right="927" w:firstLine="0"/>
        <w:rPr>
          <w:rtl/>
        </w:rPr>
      </w:pPr>
    </w:p>
    <w:p w:rsidR="00C10469" w:rsidRPr="00776D07" w:rsidRDefault="00C10469" w:rsidP="00C10469">
      <w:pPr>
        <w:ind w:left="927" w:right="927" w:firstLine="0"/>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rsidP="00C10469">
      <w:pPr>
        <w:ind w:left="927" w:right="927" w:firstLine="0"/>
        <w:jc w:val="center"/>
        <w:rPr>
          <w:rFonts w:ascii="AGA Arabesque" w:hAnsi="AGA Arabesque"/>
          <w:sz w:val="34"/>
          <w:szCs w:val="34"/>
          <w:rtl/>
        </w:rPr>
      </w:pPr>
    </w:p>
    <w:p w:rsidR="00C10469" w:rsidRDefault="00C10469" w:rsidP="00C10469">
      <w:pPr>
        <w:ind w:left="927" w:right="927" w:firstLine="0"/>
        <w:jc w:val="center"/>
        <w:rPr>
          <w:rFonts w:ascii="AGA Arabesque" w:hAnsi="AGA Arabesque"/>
          <w:sz w:val="34"/>
          <w:szCs w:val="34"/>
          <w:rtl/>
        </w:rPr>
      </w:pPr>
    </w:p>
    <w:p w:rsidR="00C10469" w:rsidRDefault="00C10469" w:rsidP="00C10469">
      <w:pPr>
        <w:ind w:left="927" w:right="927" w:firstLine="0"/>
        <w:jc w:val="center"/>
        <w:rPr>
          <w:rFonts w:ascii="AGA Arabesque" w:hAnsi="AGA Arabesque"/>
          <w:sz w:val="34"/>
          <w:szCs w:val="34"/>
          <w:rtl/>
        </w:rPr>
        <w:sectPr w:rsidR="00C10469" w:rsidSect="00C10469">
          <w:headerReference w:type="even" r:id="rId26"/>
          <w:headerReference w:type="default" r:id="rId27"/>
          <w:footerReference w:type="even" r:id="rId28"/>
          <w:footerReference w:type="default" r:id="rId29"/>
          <w:footnotePr>
            <w:pos w:val="beneathText"/>
            <w:numRestart w:val="eachPage"/>
          </w:footnotePr>
          <w:endnotePr>
            <w:numFmt w:val="decimal"/>
          </w:endnotePr>
          <w:pgSz w:w="11906" w:h="16838" w:code="9"/>
          <w:pgMar w:top="2268" w:right="1985" w:bottom="1418" w:left="1418" w:header="680" w:footer="851" w:gutter="284"/>
          <w:pgNumType w:start="201"/>
          <w:cols w:space="720"/>
          <w:bidi/>
          <w:rtlGutter/>
        </w:sectPr>
      </w:pPr>
    </w:p>
    <w:p w:rsidR="00C10469" w:rsidRPr="009207DA" w:rsidRDefault="00C10469" w:rsidP="00C10469">
      <w:pPr>
        <w:pStyle w:val="af3"/>
        <w:rPr>
          <w:rFonts w:cs="AL-Mateen"/>
          <w:sz w:val="36"/>
          <w:szCs w:val="36"/>
        </w:rPr>
      </w:pPr>
      <w:r w:rsidRPr="009207DA">
        <w:rPr>
          <w:rFonts w:cs="AL-Mateen" w:hint="cs"/>
          <w:sz w:val="36"/>
          <w:szCs w:val="36"/>
          <w:rtl/>
        </w:rPr>
        <w:lastRenderedPageBreak/>
        <w:t>[</w:t>
      </w:r>
      <w:r w:rsidRPr="009207DA">
        <w:rPr>
          <w:rFonts w:cs="AL-Mateen"/>
          <w:sz w:val="36"/>
          <w:szCs w:val="36"/>
        </w:rPr>
        <w:t xml:space="preserve"> </w:t>
      </w:r>
      <w:r w:rsidRPr="009207DA">
        <w:rPr>
          <w:rFonts w:cs="AL-Mateen" w:hint="cs"/>
          <w:sz w:val="36"/>
          <w:szCs w:val="36"/>
          <w:rtl/>
        </w:rPr>
        <w:t>القـــاعـــدة  الثـــانـيــة</w:t>
      </w:r>
      <w:r w:rsidRPr="009207DA">
        <w:rPr>
          <w:rFonts w:cs="AL-Mateen"/>
          <w:sz w:val="36"/>
          <w:szCs w:val="36"/>
        </w:rPr>
        <w:t xml:space="preserve"> </w:t>
      </w:r>
      <w:r w:rsidRPr="009207DA">
        <w:rPr>
          <w:rFonts w:cs="AL-Mateen" w:hint="cs"/>
          <w:sz w:val="36"/>
          <w:szCs w:val="36"/>
          <w:rtl/>
        </w:rPr>
        <w:t>]</w:t>
      </w:r>
    </w:p>
    <w:p w:rsidR="00C10469" w:rsidRDefault="00C10469" w:rsidP="00C10469">
      <w:pPr>
        <w:rPr>
          <w:b/>
          <w:bCs/>
          <w:rtl/>
        </w:rPr>
      </w:pPr>
      <w:r>
        <w:rPr>
          <w:rFonts w:cs="Monotype Koufi" w:hint="cs"/>
          <w:rtl/>
        </w:rPr>
        <w:t>الإِبْـرَاءُ عَـنِ الأَعْـيَـانِ لاَ يَـجُـوزُ، وعـنْ دعـوَاهَـا يـجـوزُ</w:t>
      </w:r>
      <w:r>
        <w:rPr>
          <w:rFonts w:hint="cs"/>
          <w:vertAlign w:val="superscript"/>
          <w:rtl/>
        </w:rPr>
        <w:t>(</w:t>
      </w:r>
      <w:r>
        <w:rPr>
          <w:rStyle w:val="a7"/>
          <w:b/>
        </w:rPr>
        <w:footnoteReference w:id="487"/>
      </w:r>
      <w:r>
        <w:rPr>
          <w:rFonts w:hint="cs"/>
          <w:vertAlign w:val="superscript"/>
          <w:rtl/>
        </w:rPr>
        <w:t xml:space="preserve">) </w:t>
      </w:r>
      <w:r>
        <w:rPr>
          <w:rFonts w:hint="cs"/>
          <w:rtl/>
        </w:rPr>
        <w:t>:</w:t>
      </w:r>
    </w:p>
    <w:p w:rsidR="00C10469" w:rsidRDefault="00C10469" w:rsidP="00C10469">
      <w:pPr>
        <w:ind w:left="1131" w:hanging="204"/>
        <w:rPr>
          <w:rtl/>
        </w:rPr>
      </w:pPr>
      <w:r>
        <w:rPr>
          <w:b/>
          <w:bCs/>
          <w:rtl/>
        </w:rPr>
        <w:lastRenderedPageBreak/>
        <w:t>•</w:t>
      </w:r>
      <w:r>
        <w:rPr>
          <w:rFonts w:hint="cs"/>
          <w:b/>
          <w:bCs/>
          <w:rtl/>
        </w:rPr>
        <w:t xml:space="preserve"> ولذا</w:t>
      </w:r>
      <w:r>
        <w:rPr>
          <w:rFonts w:hint="cs"/>
          <w:rtl/>
        </w:rPr>
        <w:t>: «لو ادعى دارًا فصالح على قطعة منها: لا</w:t>
      </w:r>
      <w:r>
        <w:rPr>
          <w:rStyle w:val="a7"/>
          <w:rtl/>
        </w:rPr>
        <w:footnoteReference w:id="488"/>
      </w:r>
      <w:r>
        <w:rPr>
          <w:rFonts w:hint="cs"/>
          <w:rtl/>
        </w:rPr>
        <w:t xml:space="preserve"> يصح؛ لأنه استوفى بعض حقه، وأبرأ عن الباقي، والإبراء عن العـين باطل، فـكان وجـودُه وعدمه</w:t>
      </w:r>
      <w:r>
        <w:rPr>
          <w:rFonts w:hint="eastAsia"/>
          <w:rtl/>
        </w:rPr>
        <w:t> </w:t>
      </w:r>
      <w:r>
        <w:rPr>
          <w:rFonts w:hint="cs"/>
          <w:rtl/>
        </w:rPr>
        <w:t>سواءً»</w:t>
      </w:r>
      <w:r>
        <w:rPr>
          <w:rFonts w:hint="cs"/>
          <w:vertAlign w:val="superscript"/>
          <w:rtl/>
        </w:rPr>
        <w:t>(</w:t>
      </w:r>
      <w:r>
        <w:rPr>
          <w:rStyle w:val="a7"/>
          <w:rtl/>
        </w:rPr>
        <w:footnoteReference w:id="489"/>
      </w:r>
      <w:r>
        <w:rPr>
          <w:rFonts w:hint="cs"/>
          <w:vertAlign w:val="superscript"/>
          <w:rtl/>
        </w:rPr>
        <w:t>)</w:t>
      </w:r>
      <w:r>
        <w:rPr>
          <w:rFonts w:hint="cs"/>
          <w:rtl/>
        </w:rPr>
        <w:t>.</w:t>
      </w:r>
    </w:p>
    <w:p w:rsidR="00C10469" w:rsidRDefault="00C10469" w:rsidP="00C10469">
      <w:pPr>
        <w:ind w:left="1287" w:firstLine="0"/>
        <w:rPr>
          <w:rtl/>
        </w:rPr>
      </w:pPr>
      <w:r>
        <w:rPr>
          <w:rFonts w:hint="cs"/>
          <w:rtl/>
        </w:rPr>
        <w:t>ولو قال : «برأتُ</w:t>
      </w:r>
      <w:r>
        <w:rPr>
          <w:rStyle w:val="a7"/>
          <w:rtl/>
        </w:rPr>
        <w:footnoteReference w:id="490"/>
      </w:r>
      <w:r>
        <w:rPr>
          <w:rFonts w:hint="cs"/>
          <w:rtl/>
        </w:rPr>
        <w:t xml:space="preserve"> من دعواي في هذه الدار (بإضافة البراءة إلى نفسه): فإنه يصح؛ لمصادفة البراءة الدعوى وهو صحيحٌ، حتى لو ادّعى بعد ذلك، وجاء بالبينة: لم تُقبل»</w:t>
      </w:r>
      <w:r>
        <w:rPr>
          <w:rFonts w:hint="cs"/>
          <w:vertAlign w:val="superscript"/>
          <w:rtl/>
        </w:rPr>
        <w:t>(</w:t>
      </w:r>
      <w:r>
        <w:rPr>
          <w:rStyle w:val="a7"/>
          <w:rtl/>
        </w:rPr>
        <w:footnoteReference w:id="491"/>
      </w:r>
      <w:r>
        <w:rPr>
          <w:rFonts w:hint="cs"/>
          <w:vertAlign w:val="superscript"/>
          <w:rtl/>
        </w:rPr>
        <w:t>)</w:t>
      </w:r>
      <w:r>
        <w:rPr>
          <w:rFonts w:hint="cs"/>
          <w:rtl/>
        </w:rPr>
        <w:t>.</w:t>
      </w:r>
    </w:p>
    <w:p w:rsidR="00C10469" w:rsidRDefault="00C10469" w:rsidP="00C10469">
      <w:pPr>
        <w:ind w:left="1274" w:firstLine="0"/>
        <w:rPr>
          <w:rtl/>
        </w:rPr>
      </w:pPr>
      <w:r>
        <w:rPr>
          <w:rFonts w:hint="cs"/>
          <w:b/>
          <w:bCs/>
          <w:rtl/>
        </w:rPr>
        <w:t>ويرد</w:t>
      </w:r>
      <w:r>
        <w:rPr>
          <w:rFonts w:hint="cs"/>
          <w:rtl/>
        </w:rPr>
        <w:t xml:space="preserve"> على هذا ما قالوا : «إنـه لـو قـال : أبـرأتـك عـن دعـوايَ و</w:t>
      </w:r>
      <w:r>
        <w:rPr>
          <w:rStyle w:val="a7"/>
          <w:rtl/>
        </w:rPr>
        <w:footnoteReference w:id="492"/>
      </w:r>
      <w:r>
        <w:rPr>
          <w:rFonts w:hint="cs"/>
          <w:rtl/>
        </w:rPr>
        <w:t>خصومـتي</w:t>
      </w:r>
      <w:r>
        <w:rPr>
          <w:rStyle w:val="a7"/>
          <w:rtl/>
        </w:rPr>
        <w:footnoteReference w:id="493"/>
      </w:r>
      <w:r>
        <w:rPr>
          <w:rFonts w:hint="cs"/>
          <w:rtl/>
        </w:rPr>
        <w:t xml:space="preserve">  في هذه  الدار: كان باطلاً، وله  أن  [يخاصم]</w:t>
      </w:r>
      <w:r>
        <w:rPr>
          <w:rStyle w:val="a7"/>
          <w:rtl/>
        </w:rPr>
        <w:footnoteReference w:id="494"/>
      </w:r>
    </w:p>
    <w:p w:rsidR="00C10469" w:rsidRDefault="00C10469" w:rsidP="00C10469">
      <w:pPr>
        <w:ind w:left="1440" w:firstLine="0"/>
        <w:rPr>
          <w:rtl/>
        </w:rPr>
      </w:pPr>
      <w:r>
        <w:rPr>
          <w:rFonts w:hint="cs"/>
          <w:rtl/>
        </w:rPr>
        <w:lastRenderedPageBreak/>
        <w:t>فيها بعد ذلك»</w:t>
      </w:r>
      <w:r>
        <w:rPr>
          <w:rFonts w:hint="cs"/>
          <w:vertAlign w:val="superscript"/>
          <w:rtl/>
        </w:rPr>
        <w:t>(</w:t>
      </w:r>
      <w:r>
        <w:rPr>
          <w:rStyle w:val="a7"/>
          <w:rtl/>
        </w:rPr>
        <w:footnoteReference w:id="495"/>
      </w:r>
      <w:r>
        <w:rPr>
          <w:rFonts w:hint="cs"/>
          <w:vertAlign w:val="superscript"/>
          <w:rtl/>
        </w:rPr>
        <w:t>)</w:t>
      </w:r>
      <w:r>
        <w:rPr>
          <w:rFonts w:hint="cs"/>
          <w:rtl/>
        </w:rPr>
        <w:t>. انتهى.</w:t>
      </w:r>
    </w:p>
    <w:p w:rsidR="00C10469" w:rsidRDefault="00C10469" w:rsidP="00C10469">
      <w:pPr>
        <w:ind w:left="1440" w:firstLine="0"/>
        <w:rPr>
          <w:rtl/>
        </w:rPr>
      </w:pPr>
      <w:r>
        <w:rPr>
          <w:rFonts w:hint="cs"/>
          <w:rtl/>
        </w:rPr>
        <w:t xml:space="preserve">وهـذِهِ الـمسـألةُ </w:t>
      </w:r>
      <w:r>
        <w:rPr>
          <w:rFonts w:hint="cs"/>
          <w:b/>
          <w:bCs/>
          <w:rtl/>
        </w:rPr>
        <w:t>مـخالفةٌ</w:t>
      </w:r>
      <w:r>
        <w:rPr>
          <w:rFonts w:hint="cs"/>
          <w:rtl/>
        </w:rPr>
        <w:t xml:space="preserve"> للمسألة الأولى</w:t>
      </w:r>
      <w:r>
        <w:rPr>
          <w:rFonts w:hint="cs"/>
          <w:vertAlign w:val="superscript"/>
          <w:rtl/>
        </w:rPr>
        <w:t>(</w:t>
      </w:r>
      <w:r>
        <w:rPr>
          <w:rStyle w:val="a7"/>
        </w:rPr>
        <w:footnoteReference w:id="496"/>
      </w:r>
      <w:r>
        <w:rPr>
          <w:rFonts w:hint="cs"/>
          <w:vertAlign w:val="superscript"/>
          <w:rtl/>
        </w:rPr>
        <w:t>)</w:t>
      </w:r>
      <w:r>
        <w:rPr>
          <w:rFonts w:hint="cs"/>
          <w:rtl/>
        </w:rPr>
        <w:t>، مع أنَّ الإبراء</w:t>
      </w:r>
      <w:r>
        <w:rPr>
          <w:rStyle w:val="a7"/>
          <w:rtl/>
        </w:rPr>
        <w:footnoteReference w:id="497"/>
      </w:r>
      <w:r>
        <w:rPr>
          <w:rFonts w:hint="cs"/>
          <w:rtl/>
        </w:rPr>
        <w:t xml:space="preserve"> صادف الدعوى فيهما</w:t>
      </w:r>
      <w:r>
        <w:rPr>
          <w:rStyle w:val="a7"/>
          <w:rtl/>
        </w:rPr>
        <w:footnoteReference w:id="498"/>
      </w:r>
      <w:r>
        <w:rPr>
          <w:rFonts w:hint="cs"/>
          <w:rtl/>
        </w:rPr>
        <w:t>.</w:t>
      </w:r>
    </w:p>
    <w:p w:rsidR="00C10469" w:rsidRDefault="00C10469" w:rsidP="00C10469">
      <w:pPr>
        <w:ind w:left="1437" w:firstLine="3"/>
        <w:rPr>
          <w:rtl/>
        </w:rPr>
      </w:pPr>
      <w:r>
        <w:rPr>
          <w:rFonts w:hint="cs"/>
          <w:b/>
          <w:bCs/>
          <w:rtl/>
        </w:rPr>
        <w:t>وأجـاب</w:t>
      </w:r>
      <w:r>
        <w:rPr>
          <w:rFonts w:hint="cs"/>
          <w:rtl/>
        </w:rPr>
        <w:t xml:space="preserve"> عنه صاحبُ (العنـاية)</w:t>
      </w:r>
      <w:r>
        <w:rPr>
          <w:rFonts w:hint="cs"/>
          <w:vertAlign w:val="superscript"/>
          <w:rtl/>
        </w:rPr>
        <w:t>(</w:t>
      </w:r>
      <w:r>
        <w:rPr>
          <w:rStyle w:val="a7"/>
          <w:rtl/>
        </w:rPr>
        <w:footnoteReference w:id="499"/>
      </w:r>
      <w:r>
        <w:rPr>
          <w:rFonts w:hint="cs"/>
          <w:vertAlign w:val="superscript"/>
          <w:rtl/>
        </w:rPr>
        <w:t>)</w:t>
      </w:r>
      <w:r>
        <w:rPr>
          <w:rFonts w:hint="cs"/>
          <w:rtl/>
        </w:rPr>
        <w:t xml:space="preserve">: بـأن البـراءة في هذه المسألة </w:t>
      </w:r>
      <w:r>
        <w:rPr>
          <w:rFonts w:hint="cs"/>
          <w:rtl/>
        </w:rPr>
        <w:lastRenderedPageBreak/>
        <w:t>مضافة إلى المخاطَب.</w:t>
      </w:r>
    </w:p>
    <w:p w:rsidR="00C10469" w:rsidRDefault="00C10469" w:rsidP="00C10469">
      <w:pPr>
        <w:ind w:left="1287" w:firstLine="0"/>
        <w:rPr>
          <w:rtl/>
        </w:rPr>
      </w:pPr>
      <w:r>
        <w:rPr>
          <w:rFonts w:hint="cs"/>
          <w:rtl/>
        </w:rPr>
        <w:t>فـ «قوله : أبرأتك : خطاب للواحد</w:t>
      </w:r>
      <w:r>
        <w:rPr>
          <w:rStyle w:val="a7"/>
          <w:rtl/>
        </w:rPr>
        <w:footnoteReference w:id="500"/>
      </w:r>
      <w:r>
        <w:rPr>
          <w:rFonts w:hint="cs"/>
          <w:rtl/>
        </w:rPr>
        <w:t>، فله أن يخاصم غيره في ذلك، بخلاف قـوله: [بـرأت]</w:t>
      </w:r>
      <w:r>
        <w:rPr>
          <w:rStyle w:val="a7"/>
          <w:rtl/>
        </w:rPr>
        <w:footnoteReference w:id="501"/>
      </w:r>
      <w:r>
        <w:rPr>
          <w:rFonts w:hint="cs"/>
          <w:rtl/>
        </w:rPr>
        <w:t>؛ لأنه أضـاف البراءة إلى نفسه مطلقًا، فيكون هو بريئًا.</w:t>
      </w:r>
    </w:p>
    <w:p w:rsidR="00C10469" w:rsidRDefault="00C10469" w:rsidP="00C10469">
      <w:pPr>
        <w:ind w:left="1287" w:firstLine="0"/>
        <w:rPr>
          <w:rtl/>
        </w:rPr>
      </w:pPr>
      <w:r>
        <w:rPr>
          <w:rFonts w:hint="cs"/>
          <w:rtl/>
        </w:rPr>
        <w:t>ويُعلم بهذا التعليل : أنّ قولهم : «وله أن يخاصم فيها بعد ذلك» معناه: على غير المخاطب. وهو ظاهر»</w:t>
      </w:r>
      <w:r>
        <w:rPr>
          <w:rFonts w:hint="cs"/>
          <w:vertAlign w:val="superscript"/>
          <w:rtl/>
        </w:rPr>
        <w:t>(</w:t>
      </w:r>
      <w:r>
        <w:rPr>
          <w:rStyle w:val="a7"/>
          <w:rtl/>
        </w:rPr>
        <w:footnoteReference w:id="502"/>
      </w:r>
      <w:r>
        <w:rPr>
          <w:rFonts w:hint="cs"/>
          <w:vertAlign w:val="superscript"/>
          <w:rtl/>
        </w:rPr>
        <w:t>)</w:t>
      </w:r>
      <w:r>
        <w:rPr>
          <w:rFonts w:hint="cs"/>
          <w:rtl/>
        </w:rPr>
        <w:t>. كذا في (العناية)</w:t>
      </w:r>
      <w:r>
        <w:rPr>
          <w:rFonts w:hint="cs"/>
          <w:vertAlign w:val="superscript"/>
          <w:rtl/>
        </w:rPr>
        <w:t>(</w:t>
      </w:r>
      <w:r>
        <w:rPr>
          <w:rStyle w:val="a7"/>
          <w:rtl/>
        </w:rPr>
        <w:footnoteReference w:id="503"/>
      </w:r>
      <w:r>
        <w:rPr>
          <w:rFonts w:hint="cs"/>
          <w:vertAlign w:val="superscript"/>
          <w:rtl/>
        </w:rPr>
        <w:t>)</w:t>
      </w:r>
      <w:r>
        <w:rPr>
          <w:rFonts w:hint="cs"/>
          <w:rtl/>
        </w:rPr>
        <w:t>.</w:t>
      </w:r>
    </w:p>
    <w:p w:rsidR="00C10469" w:rsidRDefault="00C10469" w:rsidP="00C10469">
      <w:pPr>
        <w:ind w:left="1287" w:firstLine="0"/>
        <w:rPr>
          <w:rtl/>
        </w:rPr>
      </w:pPr>
      <w:r>
        <w:rPr>
          <w:b/>
          <w:bCs/>
          <w:rtl/>
        </w:rPr>
        <w:t>•</w:t>
      </w:r>
      <w:r>
        <w:rPr>
          <w:rFonts w:hint="cs"/>
          <w:b/>
          <w:bCs/>
          <w:rtl/>
        </w:rPr>
        <w:t xml:space="preserve"> </w:t>
      </w:r>
      <w:r>
        <w:rPr>
          <w:rFonts w:hint="cs"/>
          <w:rtl/>
        </w:rPr>
        <w:t>ومن فروع هذا الأصل : لو أُخرِجَ[أَحَدُ]</w:t>
      </w:r>
      <w:r>
        <w:rPr>
          <w:rStyle w:val="a7"/>
          <w:rtl/>
        </w:rPr>
        <w:footnoteReference w:id="504"/>
      </w:r>
      <w:r>
        <w:rPr>
          <w:rFonts w:hint="cs"/>
          <w:rtl/>
        </w:rPr>
        <w:t xml:space="preserve"> الورثة عن النقد</w:t>
      </w:r>
      <w:r>
        <w:rPr>
          <w:rFonts w:hint="cs"/>
          <w:vertAlign w:val="superscript"/>
          <w:rtl/>
        </w:rPr>
        <w:t>(</w:t>
      </w:r>
      <w:r>
        <w:rPr>
          <w:rStyle w:val="a7"/>
          <w:rtl/>
        </w:rPr>
        <w:footnoteReference w:id="505"/>
      </w:r>
      <w:r>
        <w:rPr>
          <w:rFonts w:hint="cs"/>
          <w:vertAlign w:val="superscript"/>
          <w:rtl/>
        </w:rPr>
        <w:t>)</w:t>
      </w:r>
      <w:r>
        <w:rPr>
          <w:rFonts w:hint="cs"/>
          <w:rtl/>
        </w:rPr>
        <w:t xml:space="preserve"> بأقل من حصَّته : لا يصح؛ لأنه إبراء عن الباقي، والتركة أعيان، والإبراء عن الأعيان</w:t>
      </w:r>
      <w:r>
        <w:rPr>
          <w:rFonts w:hint="eastAsia"/>
          <w:rtl/>
        </w:rPr>
        <w:t> </w:t>
      </w:r>
      <w:r>
        <w:rPr>
          <w:rFonts w:hint="cs"/>
          <w:rtl/>
        </w:rPr>
        <w:t>لا يصح.</w:t>
      </w:r>
    </w:p>
    <w:p w:rsidR="00C10469" w:rsidRDefault="00C10469" w:rsidP="00C10469">
      <w:pPr>
        <w:ind w:left="567" w:firstLine="720"/>
        <w:rPr>
          <w:rtl/>
        </w:rPr>
      </w:pPr>
      <w:r>
        <w:rPr>
          <w:rFonts w:hint="cs"/>
          <w:rtl/>
        </w:rPr>
        <w:t>وهذا في حال التصديق.</w:t>
      </w:r>
    </w:p>
    <w:p w:rsidR="00C10469" w:rsidRDefault="00C10469" w:rsidP="00C10469">
      <w:pPr>
        <w:ind w:left="1287" w:firstLine="0"/>
        <w:rPr>
          <w:rtl/>
        </w:rPr>
      </w:pPr>
      <w:r>
        <w:rPr>
          <w:rFonts w:hint="cs"/>
          <w:rtl/>
        </w:rPr>
        <w:lastRenderedPageBreak/>
        <w:t>وأما إذا ادّعت ميراث زوجها [وأنكر الورثة الزوجية فصالحوها على أقل من نصيبها من المهر والميراث]</w:t>
      </w:r>
      <w:r>
        <w:rPr>
          <w:rStyle w:val="a7"/>
          <w:rtl/>
        </w:rPr>
        <w:footnoteReference w:id="506"/>
      </w:r>
      <w:r>
        <w:rPr>
          <w:rFonts w:hint="cs"/>
          <w:rtl/>
        </w:rPr>
        <w:t>: جاز؛ لأن المدفوع إليها لقطع المنازعة، وليس في ذلك براءة</w:t>
      </w:r>
      <w:r>
        <w:rPr>
          <w:rFonts w:hint="cs"/>
          <w:vertAlign w:val="superscript"/>
          <w:rtl/>
        </w:rPr>
        <w:t>(</w:t>
      </w:r>
      <w:r>
        <w:rPr>
          <w:rStyle w:val="a7"/>
          <w:rtl/>
        </w:rPr>
        <w:footnoteReference w:id="507"/>
      </w:r>
      <w:r>
        <w:rPr>
          <w:rFonts w:hint="cs"/>
          <w:vertAlign w:val="superscript"/>
          <w:rtl/>
        </w:rPr>
        <w:t>)</w:t>
      </w:r>
      <w:r>
        <w:rPr>
          <w:rFonts w:hint="cs"/>
          <w:rtl/>
        </w:rPr>
        <w:t>.</w:t>
      </w: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left="1287" w:firstLine="0"/>
        <w:rPr>
          <w:rtl/>
        </w:rPr>
      </w:pPr>
    </w:p>
    <w:p w:rsidR="00C10469" w:rsidRPr="00477AFC" w:rsidRDefault="00C10469" w:rsidP="00C10469">
      <w:pPr>
        <w:ind w:left="1287" w:firstLine="0"/>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left="1287" w:firstLine="0"/>
        <w:rPr>
          <w:rtl/>
        </w:rPr>
      </w:pPr>
    </w:p>
    <w:p w:rsidR="00C10469" w:rsidRDefault="00C10469" w:rsidP="00C10469">
      <w:pPr>
        <w:ind w:firstLine="0"/>
        <w:rPr>
          <w:rtl/>
        </w:rPr>
      </w:pPr>
    </w:p>
    <w:p w:rsidR="00C10469" w:rsidRDefault="00C10469" w:rsidP="00C10469">
      <w:pPr>
        <w:ind w:right="927" w:firstLine="0"/>
        <w:rPr>
          <w:rtl/>
        </w:rPr>
      </w:pPr>
    </w:p>
    <w:p w:rsidR="00C10469" w:rsidRDefault="00C10469" w:rsidP="00C10469">
      <w:pPr>
        <w:ind w:right="927" w:firstLine="0"/>
        <w:rPr>
          <w:rtl/>
        </w:rPr>
      </w:pPr>
    </w:p>
    <w:p w:rsidR="00C10469" w:rsidRDefault="00C10469" w:rsidP="00C10469">
      <w:pPr>
        <w:ind w:right="927" w:firstLine="0"/>
        <w:rPr>
          <w:rtl/>
        </w:rPr>
        <w:sectPr w:rsidR="00C10469" w:rsidSect="00C10469">
          <w:headerReference w:type="default" r:id="rId3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B0C77" w:rsidRDefault="00C10469" w:rsidP="00C10469">
      <w:pPr>
        <w:pStyle w:val="a9"/>
        <w:rPr>
          <w:rFonts w:cs="AL-Mateen"/>
        </w:rPr>
      </w:pPr>
      <w:r w:rsidRPr="001B0C77">
        <w:rPr>
          <w:rFonts w:cs="AL-Mateen" w:hint="cs"/>
          <w:rtl/>
        </w:rPr>
        <w:lastRenderedPageBreak/>
        <w:t>[</w:t>
      </w:r>
      <w:r w:rsidRPr="001B0C77">
        <w:rPr>
          <w:rFonts w:cs="AL-Mateen"/>
        </w:rPr>
        <w:t xml:space="preserve"> </w:t>
      </w:r>
      <w:r w:rsidRPr="001B0C77">
        <w:rPr>
          <w:rFonts w:cs="AL-Mateen" w:hint="cs"/>
          <w:rtl/>
        </w:rPr>
        <w:t>القاعدة الثالثة</w:t>
      </w:r>
      <w:r w:rsidRPr="001B0C77">
        <w:rPr>
          <w:rFonts w:cs="AL-Mateen"/>
        </w:rPr>
        <w:t xml:space="preserve"> </w:t>
      </w:r>
      <w:r w:rsidRPr="001B0C77">
        <w:rPr>
          <w:rFonts w:cs="AL-Mateen" w:hint="cs"/>
          <w:rtl/>
        </w:rPr>
        <w:t>]</w:t>
      </w:r>
    </w:p>
    <w:p w:rsidR="00C10469" w:rsidRDefault="00C10469" w:rsidP="00C10469">
      <w:pPr>
        <w:rPr>
          <w:b/>
          <w:bCs/>
          <w:rtl/>
        </w:rPr>
      </w:pPr>
      <w:r>
        <w:rPr>
          <w:rFonts w:cs="Monotype Koufi" w:hint="cs"/>
          <w:rtl/>
        </w:rPr>
        <w:t>الإجْمَاعُ اللاحِقُ لا يَرْفَعُ الاخْتِلافَ السَّابِقَ</w:t>
      </w:r>
      <w:r>
        <w:rPr>
          <w:rFonts w:hint="cs"/>
          <w:b/>
          <w:bCs/>
          <w:vertAlign w:val="superscript"/>
          <w:rtl/>
        </w:rPr>
        <w:t>(</w:t>
      </w:r>
      <w:r>
        <w:rPr>
          <w:rStyle w:val="a7"/>
          <w:b/>
          <w:rtl/>
        </w:rPr>
        <w:footnoteReference w:id="508"/>
      </w:r>
      <w:r>
        <w:rPr>
          <w:rFonts w:hint="cs"/>
          <w:b/>
          <w:bCs/>
          <w:vertAlign w:val="superscript"/>
          <w:rtl/>
        </w:rPr>
        <w:t>)</w:t>
      </w:r>
      <w:r>
        <w:rPr>
          <w:rFonts w:hint="cs"/>
          <w:b/>
          <w:bCs/>
          <w:rtl/>
        </w:rPr>
        <w:t xml:space="preserve"> :</w:t>
      </w:r>
    </w:p>
    <w:p w:rsidR="00C10469" w:rsidRDefault="00C10469" w:rsidP="00C10469">
      <w:pPr>
        <w:ind w:left="564" w:right="1004" w:firstLine="0"/>
      </w:pPr>
      <w:r>
        <w:rPr>
          <w:b/>
          <w:bCs/>
          <w:rtl/>
        </w:rPr>
        <w:lastRenderedPageBreak/>
        <w:t>•</w:t>
      </w:r>
      <w:r>
        <w:rPr>
          <w:rFonts w:hint="cs"/>
          <w:b/>
          <w:bCs/>
          <w:rtl/>
        </w:rPr>
        <w:t xml:space="preserve"> </w:t>
      </w:r>
      <w:r>
        <w:rPr>
          <w:rFonts w:hint="cs"/>
          <w:rtl/>
        </w:rPr>
        <w:t>هذا عند أبي حنيفةَ وأبي يوسفَ</w:t>
      </w:r>
      <w:r>
        <w:rPr>
          <w:rStyle w:val="a7"/>
          <w:rtl/>
        </w:rPr>
        <w:t xml:space="preserve"> </w:t>
      </w:r>
      <w:r>
        <w:rPr>
          <w:rFonts w:hint="cs"/>
          <w:vertAlign w:val="superscript"/>
          <w:rtl/>
        </w:rPr>
        <w:t>(</w:t>
      </w:r>
      <w:r>
        <w:rPr>
          <w:rStyle w:val="a7"/>
          <w:rtl/>
        </w:rPr>
        <w:footnoteReference w:id="509"/>
      </w:r>
      <w:r>
        <w:rPr>
          <w:rFonts w:hint="cs"/>
          <w:vertAlign w:val="superscript"/>
          <w:rtl/>
        </w:rPr>
        <w:t>)</w:t>
      </w:r>
      <w:r>
        <w:rPr>
          <w:rFonts w:hint="cs"/>
          <w:rtl/>
        </w:rPr>
        <w:t>.</w:t>
      </w:r>
    </w:p>
    <w:p w:rsidR="00C10469" w:rsidRDefault="00C10469" w:rsidP="00C10469">
      <w:pPr>
        <w:ind w:left="564" w:right="1004" w:firstLine="0"/>
      </w:pPr>
      <w:r>
        <w:rPr>
          <w:b/>
          <w:bCs/>
          <w:rtl/>
        </w:rPr>
        <w:t>•</w:t>
      </w:r>
      <w:r>
        <w:rPr>
          <w:rFonts w:hint="cs"/>
          <w:b/>
          <w:bCs/>
          <w:rtl/>
        </w:rPr>
        <w:t xml:space="preserve"> </w:t>
      </w:r>
      <w:r>
        <w:rPr>
          <w:rFonts w:hint="cs"/>
          <w:rtl/>
        </w:rPr>
        <w:t>خلافًا لمحمدٍ</w:t>
      </w:r>
      <w:r>
        <w:rPr>
          <w:rFonts w:hint="cs"/>
          <w:vertAlign w:val="superscript"/>
          <w:rtl/>
        </w:rPr>
        <w:t>(</w:t>
      </w:r>
      <w:r>
        <w:rPr>
          <w:rStyle w:val="a7"/>
          <w:rtl/>
        </w:rPr>
        <w:footnoteReference w:id="510"/>
      </w:r>
      <w:r>
        <w:rPr>
          <w:rFonts w:hint="cs"/>
          <w:vertAlign w:val="superscript"/>
          <w:rtl/>
        </w:rPr>
        <w:t>)</w:t>
      </w:r>
      <w:r>
        <w:rPr>
          <w:rFonts w:hint="cs"/>
          <w:rtl/>
        </w:rPr>
        <w:t>.</w:t>
      </w:r>
    </w:p>
    <w:p w:rsidR="00C10469" w:rsidRDefault="00C10469" w:rsidP="00C10469">
      <w:pPr>
        <w:rPr>
          <w:rtl/>
        </w:rPr>
      </w:pPr>
      <w:r>
        <w:rPr>
          <w:rFonts w:hint="cs"/>
          <w:rtl/>
        </w:rPr>
        <w:lastRenderedPageBreak/>
        <w:t xml:space="preserve">فــإذا </w:t>
      </w:r>
      <w:r w:rsidRPr="00E77BB9">
        <w:rPr>
          <w:rFonts w:hint="cs"/>
          <w:spacing w:val="2"/>
          <w:rtl/>
        </w:rPr>
        <w:t>قـــضـى الــقـاضـي</w:t>
      </w:r>
      <w:r>
        <w:rPr>
          <w:rFonts w:hint="cs"/>
          <w:rtl/>
        </w:rPr>
        <w:t xml:space="preserve"> </w:t>
      </w:r>
      <w:r w:rsidRPr="001C4910">
        <w:rPr>
          <w:rFonts w:hint="cs"/>
          <w:spacing w:val="2"/>
          <w:rtl/>
        </w:rPr>
        <w:t>بـبــيـــع الـمـدبِّــر</w:t>
      </w:r>
      <w:r>
        <w:rPr>
          <w:rFonts w:hint="cs"/>
          <w:vertAlign w:val="superscript"/>
          <w:rtl/>
        </w:rPr>
        <w:t>(</w:t>
      </w:r>
      <w:r>
        <w:rPr>
          <w:rStyle w:val="a7"/>
          <w:rtl/>
        </w:rPr>
        <w:footnoteReference w:id="511"/>
      </w:r>
      <w:r>
        <w:rPr>
          <w:rFonts w:hint="cs"/>
          <w:vertAlign w:val="superscript"/>
          <w:rtl/>
        </w:rPr>
        <w:t>)</w:t>
      </w:r>
      <w:r>
        <w:rPr>
          <w:rFonts w:hint="cs"/>
          <w:rtl/>
        </w:rPr>
        <w:t xml:space="preserve"> </w:t>
      </w:r>
    </w:p>
    <w:p w:rsidR="00C10469" w:rsidRDefault="00C10469" w:rsidP="00C10469">
      <w:pPr>
        <w:ind w:firstLine="0"/>
        <w:rPr>
          <w:rtl/>
        </w:rPr>
      </w:pPr>
      <w:r>
        <w:rPr>
          <w:rFonts w:hint="cs"/>
          <w:rtl/>
        </w:rPr>
        <w:lastRenderedPageBreak/>
        <w:t>وأم الولد</w:t>
      </w:r>
      <w:r>
        <w:rPr>
          <w:rFonts w:hint="cs"/>
          <w:vertAlign w:val="superscript"/>
          <w:rtl/>
        </w:rPr>
        <w:t>(</w:t>
      </w:r>
      <w:r>
        <w:rPr>
          <w:rStyle w:val="a7"/>
          <w:rtl/>
        </w:rPr>
        <w:footnoteReference w:id="512"/>
      </w:r>
      <w:r>
        <w:rPr>
          <w:rFonts w:hint="cs"/>
          <w:vertAlign w:val="superscript"/>
          <w:rtl/>
        </w:rPr>
        <w:t>)</w:t>
      </w:r>
      <w:r>
        <w:rPr>
          <w:rFonts w:hint="cs"/>
          <w:rtl/>
        </w:rPr>
        <w:t xml:space="preserve"> : نفذ عندهما على مقتضى</w:t>
      </w:r>
      <w:r>
        <w:rPr>
          <w:rStyle w:val="a7"/>
          <w:rtl/>
        </w:rPr>
        <w:footnoteReference w:id="513"/>
      </w:r>
      <w:r>
        <w:rPr>
          <w:rFonts w:hint="cs"/>
          <w:rtl/>
        </w:rPr>
        <w:t xml:space="preserve"> هذا الأصل؛ فإنّ بيع المدبـّر وأمّ الولـد مختـلف فيه بين الصحـابة، فنفاذ</w:t>
      </w:r>
      <w:r>
        <w:rPr>
          <w:rStyle w:val="a7"/>
          <w:rtl/>
        </w:rPr>
        <w:footnoteReference w:id="514"/>
      </w:r>
      <w:r>
        <w:rPr>
          <w:rFonts w:hint="cs"/>
          <w:rtl/>
        </w:rPr>
        <w:t xml:space="preserve"> قضاء القاضـي عندهما يـدل على أن</w:t>
      </w:r>
      <w:r>
        <w:rPr>
          <w:rStyle w:val="a7"/>
        </w:rPr>
        <w:footnoteReference w:id="515"/>
      </w:r>
      <w:r>
        <w:rPr>
          <w:rFonts w:hint="cs"/>
          <w:rtl/>
        </w:rPr>
        <w:t xml:space="preserve"> اجتماع التابعين على عدم جواز بيع المدبر وأم الولد لا يرفع [الاختلاف]</w:t>
      </w:r>
      <w:r>
        <w:rPr>
          <w:rStyle w:val="a7"/>
        </w:rPr>
        <w:footnoteReference w:id="516"/>
      </w:r>
      <w:r>
        <w:rPr>
          <w:rFonts w:hint="cs"/>
          <w:rtl/>
        </w:rPr>
        <w:t xml:space="preserve"> السابق، [وتبقى]</w:t>
      </w:r>
      <w:r>
        <w:rPr>
          <w:rStyle w:val="a7"/>
        </w:rPr>
        <w:footnoteReference w:id="517"/>
      </w:r>
      <w:r>
        <w:rPr>
          <w:rFonts w:hint="cs"/>
          <w:rtl/>
        </w:rPr>
        <w:t xml:space="preserve"> المسألة اجتهادية كما كانت، فينفذ قضاء القاضي</w:t>
      </w:r>
      <w:r>
        <w:rPr>
          <w:rStyle w:val="a7"/>
        </w:rPr>
        <w:footnoteReference w:id="518"/>
      </w:r>
      <w:r>
        <w:rPr>
          <w:rFonts w:hint="cs"/>
          <w:rtl/>
        </w:rPr>
        <w:t>؛ لأن قضاءه وقع في فصلٍ مجتهدٍ فيه</w:t>
      </w:r>
      <w:r>
        <w:rPr>
          <w:rStyle w:val="a7"/>
        </w:rPr>
        <w:footnoteReference w:id="519"/>
      </w:r>
      <w:r>
        <w:rPr>
          <w:rFonts w:hint="cs"/>
          <w:rtl/>
        </w:rPr>
        <w:t>. وعند محمد : الإجماع المذكور يرفع الاختلاف، فلا ينفذ قضاؤه؛ لأنه وقع في فصل متفق عليه. كذا في (العناية)</w:t>
      </w:r>
      <w:r>
        <w:rPr>
          <w:rFonts w:hint="cs"/>
          <w:vertAlign w:val="superscript"/>
          <w:rtl/>
        </w:rPr>
        <w:t>(</w:t>
      </w:r>
      <w:r>
        <w:rPr>
          <w:rStyle w:val="a7"/>
        </w:rPr>
        <w:footnoteReference w:id="520"/>
      </w:r>
      <w:r>
        <w:rPr>
          <w:rFonts w:hint="cs"/>
          <w:vertAlign w:val="superscript"/>
          <w:rtl/>
        </w:rPr>
        <w:t>)</w:t>
      </w:r>
      <w:r>
        <w:rPr>
          <w:rFonts w:hint="cs"/>
          <w:rtl/>
        </w:rPr>
        <w:t>.</w:t>
      </w:r>
    </w:p>
    <w:p w:rsidR="00C10469" w:rsidRDefault="00C10469" w:rsidP="00C10469">
      <w:pPr>
        <w:rPr>
          <w:rtl/>
        </w:rPr>
      </w:pPr>
      <w:r>
        <w:rPr>
          <w:rFonts w:hint="cs"/>
          <w:rtl/>
        </w:rPr>
        <w:lastRenderedPageBreak/>
        <w:t>ولكن</w:t>
      </w:r>
      <w:r>
        <w:rPr>
          <w:rStyle w:val="a7"/>
          <w:rtl/>
        </w:rPr>
        <w:footnoteReference w:id="521"/>
      </w:r>
      <w:r>
        <w:rPr>
          <w:rFonts w:hint="cs"/>
          <w:rtl/>
        </w:rPr>
        <w:t xml:space="preserve"> صرّحَ حافظُ الدَّينِ النَّسفيُّ</w:t>
      </w:r>
      <w:r>
        <w:rPr>
          <w:rFonts w:hint="cs"/>
          <w:vertAlign w:val="superscript"/>
          <w:rtl/>
        </w:rPr>
        <w:t>(</w:t>
      </w:r>
      <w:r>
        <w:rPr>
          <w:rStyle w:val="a7"/>
          <w:rtl/>
        </w:rPr>
        <w:footnoteReference w:id="522"/>
      </w:r>
      <w:r>
        <w:rPr>
          <w:rFonts w:hint="cs"/>
          <w:vertAlign w:val="superscript"/>
          <w:rtl/>
        </w:rPr>
        <w:t>)</w:t>
      </w:r>
      <w:r>
        <w:rPr>
          <w:rFonts w:hint="cs"/>
          <w:rtl/>
        </w:rPr>
        <w:t xml:space="preserve"> في كتابه المسمَّى (المنارُ)</w:t>
      </w:r>
      <w:r>
        <w:rPr>
          <w:rFonts w:hint="cs"/>
          <w:vertAlign w:val="superscript"/>
          <w:rtl/>
        </w:rPr>
        <w:t>(</w:t>
      </w:r>
      <w:r>
        <w:rPr>
          <w:rStyle w:val="a7"/>
          <w:rtl/>
        </w:rPr>
        <w:footnoteReference w:id="523"/>
      </w:r>
      <w:r>
        <w:rPr>
          <w:rFonts w:hint="cs"/>
          <w:vertAlign w:val="superscript"/>
          <w:rtl/>
        </w:rPr>
        <w:t>)</w:t>
      </w:r>
      <w:r>
        <w:rPr>
          <w:rFonts w:hint="cs"/>
          <w:rtl/>
        </w:rPr>
        <w:t xml:space="preserve"> بـقـولـه :</w:t>
      </w:r>
    </w:p>
    <w:p w:rsidR="00C10469" w:rsidRDefault="00C10469" w:rsidP="00C10469">
      <w:pPr>
        <w:ind w:firstLine="0"/>
        <w:rPr>
          <w:rtl/>
        </w:rPr>
      </w:pPr>
      <w:r>
        <w:rPr>
          <w:rFonts w:hint="cs"/>
          <w:rtl/>
        </w:rPr>
        <w:lastRenderedPageBreak/>
        <w:t>«و</w:t>
      </w:r>
      <w:r>
        <w:rPr>
          <w:rStyle w:val="a7"/>
          <w:rtl/>
        </w:rPr>
        <w:footnoteReference w:id="524"/>
      </w:r>
      <w:r>
        <w:rPr>
          <w:rFonts w:hint="cs"/>
          <w:rtl/>
        </w:rPr>
        <w:t>قيل</w:t>
      </w:r>
      <w:r>
        <w:rPr>
          <w:rStyle w:val="a7"/>
          <w:rtl/>
        </w:rPr>
        <w:footnoteReference w:id="525"/>
      </w:r>
      <w:r>
        <w:rPr>
          <w:rFonts w:hint="cs"/>
          <w:rtl/>
        </w:rPr>
        <w:t xml:space="preserve"> :يشترط للإجماع اللاحق عدم الاختلاف السابق عند أبي حنيفة. وليس كذلك في الصحيح»</w:t>
      </w:r>
      <w:r>
        <w:rPr>
          <w:rFonts w:hint="cs"/>
          <w:vertAlign w:val="superscript"/>
          <w:rtl/>
        </w:rPr>
        <w:t>(</w:t>
      </w:r>
      <w:r>
        <w:rPr>
          <w:rStyle w:val="a7"/>
          <w:rtl/>
        </w:rPr>
        <w:footnoteReference w:id="526"/>
      </w:r>
      <w:r>
        <w:rPr>
          <w:rFonts w:hint="cs"/>
          <w:vertAlign w:val="superscript"/>
          <w:rtl/>
        </w:rPr>
        <w:t>)</w:t>
      </w:r>
      <w:r>
        <w:rPr>
          <w:rFonts w:hint="cs"/>
          <w:rtl/>
        </w:rPr>
        <w:t>، فـيلزم ارتـفاع الاختـلاف السابق بالإجماع اللاحق عنده أيضًا</w:t>
      </w:r>
      <w:r>
        <w:rPr>
          <w:rStyle w:val="a7"/>
          <w:rtl/>
        </w:rPr>
        <w:footnoteReference w:id="527"/>
      </w:r>
      <w:r>
        <w:rPr>
          <w:rFonts w:hint="cs"/>
          <w:rtl/>
        </w:rPr>
        <w:t>.</w:t>
      </w:r>
    </w:p>
    <w:p w:rsidR="00C10469" w:rsidRDefault="00C10469" w:rsidP="00C10469">
      <w:pPr>
        <w:rPr>
          <w:rtl/>
        </w:rPr>
      </w:pPr>
      <w:r>
        <w:rPr>
          <w:rFonts w:hint="cs"/>
          <w:rtl/>
        </w:rPr>
        <w:t>فلا [تبقى]</w:t>
      </w:r>
      <w:r>
        <w:rPr>
          <w:rStyle w:val="a7"/>
          <w:rtl/>
        </w:rPr>
        <w:footnoteReference w:id="528"/>
      </w:r>
      <w:r>
        <w:rPr>
          <w:rFonts w:hint="cs"/>
          <w:rtl/>
        </w:rPr>
        <w:t xml:space="preserve"> المسألة -في عدم جواز بيعهما - اجتهادية، مع أنه إذا قضى القاضي بجوازه ينفذ عندهما على ما صرحوا به.</w:t>
      </w:r>
    </w:p>
    <w:p w:rsidR="00C10469" w:rsidRDefault="00C10469" w:rsidP="00C10469">
      <w:pPr>
        <w:rPr>
          <w:rtl/>
        </w:rPr>
      </w:pPr>
      <w:r>
        <w:rPr>
          <w:rFonts w:hint="cs"/>
          <w:b/>
          <w:bCs/>
          <w:rtl/>
        </w:rPr>
        <w:t>وأجيب عنه</w:t>
      </w:r>
      <w:r>
        <w:rPr>
          <w:rFonts w:hint="cs"/>
          <w:b/>
          <w:bCs/>
          <w:vertAlign w:val="superscript"/>
          <w:rtl/>
        </w:rPr>
        <w:t>(</w:t>
      </w:r>
      <w:r>
        <w:rPr>
          <w:rStyle w:val="a7"/>
          <w:rtl/>
        </w:rPr>
        <w:footnoteReference w:id="529"/>
      </w:r>
      <w:r>
        <w:rPr>
          <w:rFonts w:hint="cs"/>
          <w:b/>
          <w:bCs/>
          <w:vertAlign w:val="superscript"/>
          <w:rtl/>
        </w:rPr>
        <w:t>)</w:t>
      </w:r>
      <w:r>
        <w:rPr>
          <w:rFonts w:hint="cs"/>
          <w:rtl/>
        </w:rPr>
        <w:t xml:space="preserve"> : بأن نفوذ حكم القاضي لا يدل على أن ذلك الاختلاف السابق منع</w:t>
      </w:r>
      <w:r>
        <w:rPr>
          <w:rStyle w:val="a7"/>
          <w:rtl/>
        </w:rPr>
        <w:footnoteReference w:id="530"/>
      </w:r>
      <w:r>
        <w:rPr>
          <w:rFonts w:hint="cs"/>
          <w:rtl/>
        </w:rPr>
        <w:t xml:space="preserve"> انعقاد الإجماع اللاحق.</w:t>
      </w:r>
    </w:p>
    <w:p w:rsidR="00C10469" w:rsidRDefault="00C10469" w:rsidP="00C10469">
      <w:pPr>
        <w:rPr>
          <w:rtl/>
        </w:rPr>
      </w:pPr>
      <w:r>
        <w:rPr>
          <w:rFonts w:hint="cs"/>
          <w:b/>
          <w:bCs/>
          <w:rtl/>
        </w:rPr>
        <w:t>وتـقـريـره</w:t>
      </w:r>
      <w:r>
        <w:rPr>
          <w:rFonts w:hint="cs"/>
          <w:rtl/>
        </w:rPr>
        <w:t xml:space="preserve"> : أن كـثـيـرًا مـن الـعـلمـاء  [ذهـبـوا]</w:t>
      </w:r>
      <w:r>
        <w:rPr>
          <w:rStyle w:val="a7"/>
          <w:rtl/>
        </w:rPr>
        <w:footnoteReference w:id="531"/>
      </w:r>
      <w:r>
        <w:rPr>
          <w:rFonts w:hint="cs"/>
          <w:rtl/>
        </w:rPr>
        <w:t xml:space="preserve"> علـى</w:t>
      </w:r>
      <w:r>
        <w:rPr>
          <w:rFonts w:hint="cs"/>
          <w:vertAlign w:val="superscript"/>
          <w:rtl/>
        </w:rPr>
        <w:t>(</w:t>
      </w:r>
      <w:r>
        <w:rPr>
          <w:rStyle w:val="a7"/>
          <w:rtl/>
        </w:rPr>
        <w:footnoteReference w:id="532"/>
      </w:r>
      <w:r>
        <w:rPr>
          <w:rFonts w:hint="cs"/>
          <w:vertAlign w:val="superscript"/>
          <w:rtl/>
        </w:rPr>
        <w:t>)</w:t>
      </w:r>
    </w:p>
    <w:p w:rsidR="00C10469" w:rsidRDefault="00C10469" w:rsidP="00C10469">
      <w:pPr>
        <w:spacing w:line="620" w:lineRule="exact"/>
        <w:ind w:firstLine="0"/>
        <w:rPr>
          <w:rtl/>
        </w:rPr>
      </w:pPr>
      <w:r>
        <w:rPr>
          <w:rFonts w:hint="cs"/>
          <w:rtl/>
        </w:rPr>
        <w:lastRenderedPageBreak/>
        <w:t>أنَّ</w:t>
      </w:r>
      <w:r>
        <w:rPr>
          <w:rStyle w:val="a7"/>
          <w:rtl/>
        </w:rPr>
        <w:footnoteReference w:id="533"/>
      </w:r>
      <w:r>
        <w:rPr>
          <w:rFonts w:hint="cs"/>
          <w:rtl/>
        </w:rPr>
        <w:t xml:space="preserve"> الاختلاف السابق يمنع الإجماع</w:t>
      </w:r>
      <w:r>
        <w:rPr>
          <w:rStyle w:val="a7"/>
          <w:rtl/>
        </w:rPr>
        <w:footnoteReference w:id="534"/>
      </w:r>
      <w:r>
        <w:rPr>
          <w:rFonts w:hint="cs"/>
          <w:rtl/>
        </w:rPr>
        <w:t xml:space="preserve"> اللاحق</w:t>
      </w:r>
      <w:r>
        <w:rPr>
          <w:rFonts w:hint="cs"/>
          <w:vertAlign w:val="superscript"/>
          <w:rtl/>
        </w:rPr>
        <w:t>(</w:t>
      </w:r>
      <w:r>
        <w:rPr>
          <w:rStyle w:val="a7"/>
          <w:rtl/>
        </w:rPr>
        <w:footnoteReference w:id="535"/>
      </w:r>
      <w:r>
        <w:rPr>
          <w:rFonts w:hint="cs"/>
          <w:vertAlign w:val="superscript"/>
          <w:rtl/>
        </w:rPr>
        <w:t>)</w:t>
      </w:r>
      <w:r>
        <w:rPr>
          <w:rFonts w:hint="cs"/>
          <w:rtl/>
        </w:rPr>
        <w:t>. وهذا يورث الشبهة عند من جعله إجماعًا، حتى لا يكفر جاحده، ولا يضلّل، وإذا كان كذلك</w:t>
      </w:r>
      <w:r>
        <w:rPr>
          <w:rStyle w:val="a7"/>
          <w:rtl/>
        </w:rPr>
        <w:footnoteReference w:id="536"/>
      </w:r>
      <w:r>
        <w:rPr>
          <w:rFonts w:hint="cs"/>
          <w:rtl/>
        </w:rPr>
        <w:t xml:space="preserve"> ينفذ قضاء القاضي فيه؛ لأنه ليس بمخالفٍ الإجماع</w:t>
      </w:r>
      <w:r>
        <w:rPr>
          <w:rStyle w:val="a7"/>
          <w:rtl/>
        </w:rPr>
        <w:footnoteReference w:id="537"/>
      </w:r>
      <w:r>
        <w:rPr>
          <w:rFonts w:hint="cs"/>
          <w:rtl/>
        </w:rPr>
        <w:t xml:space="preserve"> القطعي؛ بل</w:t>
      </w:r>
      <w:r>
        <w:rPr>
          <w:rStyle w:val="a7"/>
          <w:rtl/>
        </w:rPr>
        <w:footnoteReference w:id="538"/>
      </w:r>
      <w:r>
        <w:rPr>
          <w:rFonts w:hint="cs"/>
          <w:rtl/>
        </w:rPr>
        <w:t xml:space="preserve"> مخالف للإجماع المختلف فيه، فكان هذا القضاء</w:t>
      </w:r>
      <w:r>
        <w:rPr>
          <w:rStyle w:val="a7"/>
          <w:rtl/>
        </w:rPr>
        <w:footnoteReference w:id="539"/>
      </w:r>
      <w:r>
        <w:rPr>
          <w:rFonts w:hint="cs"/>
          <w:rtl/>
        </w:rPr>
        <w:t xml:space="preserve"> في مجتهد فيه، فينفذ</w:t>
      </w:r>
      <w:r>
        <w:rPr>
          <w:rFonts w:hint="cs"/>
          <w:vertAlign w:val="superscript"/>
          <w:rtl/>
        </w:rPr>
        <w:t>(</w:t>
      </w:r>
      <w:r>
        <w:rPr>
          <w:rStyle w:val="a7"/>
          <w:rtl/>
        </w:rPr>
        <w:footnoteReference w:id="540"/>
      </w:r>
      <w:r>
        <w:rPr>
          <w:rFonts w:hint="cs"/>
          <w:vertAlign w:val="superscript"/>
          <w:rtl/>
        </w:rPr>
        <w:t>)</w:t>
      </w:r>
      <w:r>
        <w:rPr>
          <w:rFonts w:hint="cs"/>
          <w:rtl/>
        </w:rPr>
        <w:t>.</w:t>
      </w:r>
    </w:p>
    <w:p w:rsidR="00C10469" w:rsidRDefault="00C10469" w:rsidP="00C10469">
      <w:pPr>
        <w:rPr>
          <w:rtl/>
        </w:rPr>
      </w:pPr>
      <w:r>
        <w:rPr>
          <w:rFonts w:hint="cs"/>
          <w:rtl/>
        </w:rPr>
        <w:lastRenderedPageBreak/>
        <w:t>ومن أراد التفصيل [فليرجع إلى]</w:t>
      </w:r>
      <w:r>
        <w:rPr>
          <w:rStyle w:val="a7"/>
          <w:rtl/>
        </w:rPr>
        <w:footnoteReference w:id="541"/>
      </w:r>
      <w:r>
        <w:rPr>
          <w:rFonts w:hint="cs"/>
          <w:rtl/>
        </w:rPr>
        <w:t xml:space="preserve"> كتب الأصول</w:t>
      </w:r>
      <w:r>
        <w:rPr>
          <w:rFonts w:hint="cs"/>
          <w:vertAlign w:val="superscript"/>
          <w:rtl/>
        </w:rPr>
        <w:t>(</w:t>
      </w:r>
      <w:r>
        <w:rPr>
          <w:rStyle w:val="a7"/>
          <w:rtl/>
        </w:rPr>
        <w:footnoteReference w:id="542"/>
      </w:r>
      <w:r>
        <w:rPr>
          <w:rFonts w:hint="cs"/>
          <w:vertAlign w:val="superscript"/>
          <w:rtl/>
        </w:rPr>
        <w:t>)</w:t>
      </w:r>
      <w:r>
        <w:rPr>
          <w:rFonts w:hint="cs"/>
          <w:rtl/>
        </w:rPr>
        <w:t xml:space="preserve"> في باب : (الإجماع).</w:t>
      </w:r>
    </w:p>
    <w:p w:rsidR="00C10469" w:rsidRDefault="00C10469" w:rsidP="00C10469">
      <w:pPr>
        <w:rPr>
          <w:rtl/>
        </w:rPr>
      </w:pPr>
    </w:p>
    <w:p w:rsidR="00C10469" w:rsidRDefault="00C10469" w:rsidP="00C10469">
      <w:pPr>
        <w:rPr>
          <w:rtl/>
        </w:rPr>
      </w:pPr>
    </w:p>
    <w:p w:rsidR="00C10469" w:rsidRPr="00FD3F03" w:rsidRDefault="00C10469" w:rsidP="00C10469">
      <w:pPr>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Pr="0019536B" w:rsidRDefault="00C10469" w:rsidP="00C10469">
      <w:pPr>
        <w:pStyle w:val="a9"/>
        <w:rPr>
          <w:rFonts w:cs="AL-Mateen"/>
          <w:rtl/>
        </w:rPr>
      </w:pPr>
      <w:r w:rsidRPr="0019536B">
        <w:rPr>
          <w:rFonts w:cs="AL-Mateen" w:hint="cs"/>
          <w:rtl/>
        </w:rPr>
        <w:lastRenderedPageBreak/>
        <w:t>[ القـاعـدة الـرابـعـة ]</w:t>
      </w:r>
    </w:p>
    <w:p w:rsidR="00C10469" w:rsidRDefault="00C10469" w:rsidP="00C10469">
      <w:pPr>
        <w:rPr>
          <w:b/>
          <w:bCs/>
          <w:rtl/>
        </w:rPr>
      </w:pPr>
      <w:r>
        <w:rPr>
          <w:rFonts w:cs="Monotype Koufi" w:hint="cs"/>
          <w:rtl/>
        </w:rPr>
        <w:t>أَجْزاءُ العِوَضِ [تَنْقَسِمُ]</w:t>
      </w:r>
      <w:r>
        <w:rPr>
          <w:rStyle w:val="a7"/>
          <w:rtl/>
        </w:rPr>
        <w:footnoteReference w:id="543"/>
      </w:r>
      <w:r>
        <w:rPr>
          <w:rFonts w:hint="cs"/>
          <w:b/>
          <w:bCs/>
          <w:rtl/>
        </w:rPr>
        <w:t xml:space="preserve"> </w:t>
      </w:r>
      <w:r>
        <w:rPr>
          <w:rFonts w:cs="Monotype Koufi" w:hint="cs"/>
          <w:rtl/>
        </w:rPr>
        <w:t>على أجزاءِ المعوَّضِ، وأجزاءُ الشَّرطِ لا [تَنْقَسِمُ]</w:t>
      </w:r>
      <w:r>
        <w:rPr>
          <w:rFonts w:hint="cs"/>
          <w:b/>
          <w:bCs/>
          <w:vertAlign w:val="superscript"/>
          <w:rtl/>
        </w:rPr>
        <w:t>1</w:t>
      </w:r>
      <w:r>
        <w:rPr>
          <w:rFonts w:hint="cs"/>
          <w:b/>
          <w:bCs/>
          <w:rtl/>
        </w:rPr>
        <w:t xml:space="preserve"> </w:t>
      </w:r>
      <w:r>
        <w:rPr>
          <w:rFonts w:cs="Monotype Koufi" w:hint="cs"/>
          <w:rtl/>
        </w:rPr>
        <w:t>على أَجزاءِ المشروطِ</w:t>
      </w:r>
      <w:r>
        <w:rPr>
          <w:rStyle w:val="a7"/>
          <w:b/>
          <w:bCs w:val="0"/>
          <w:rtl/>
        </w:rPr>
        <w:t xml:space="preserve"> </w:t>
      </w:r>
      <w:r>
        <w:rPr>
          <w:rFonts w:hint="cs"/>
          <w:b/>
          <w:vertAlign w:val="superscript"/>
          <w:rtl/>
        </w:rPr>
        <w:t>(</w:t>
      </w:r>
      <w:r>
        <w:rPr>
          <w:rStyle w:val="a7"/>
          <w:rtl/>
        </w:rPr>
        <w:footnoteReference w:id="544"/>
      </w:r>
      <w:r>
        <w:rPr>
          <w:rFonts w:hint="cs"/>
          <w:b/>
          <w:vertAlign w:val="superscript"/>
          <w:rtl/>
        </w:rPr>
        <w:t>)</w:t>
      </w:r>
      <w:r>
        <w:rPr>
          <w:rFonts w:hint="cs"/>
          <w:b/>
          <w:bCs/>
          <w:rtl/>
        </w:rPr>
        <w:t>:</w:t>
      </w:r>
    </w:p>
    <w:p w:rsidR="00C10469" w:rsidRDefault="00C10469" w:rsidP="00C10469">
      <w:pPr>
        <w:rPr>
          <w:rtl/>
        </w:rPr>
      </w:pPr>
      <w:r>
        <w:rPr>
          <w:rFonts w:hint="cs"/>
          <w:b/>
          <w:bCs/>
          <w:rtl/>
        </w:rPr>
        <w:lastRenderedPageBreak/>
        <w:t>ولذا</w:t>
      </w:r>
      <w:r>
        <w:rPr>
          <w:rFonts w:hint="cs"/>
          <w:rtl/>
        </w:rPr>
        <w:t xml:space="preserve"> : إذا طلبتْ طلقاتٍ ثلاثًا بألف، فطلقها واحدة : يجب ثُلث الألف</w:t>
      </w:r>
      <w:r>
        <w:rPr>
          <w:rStyle w:val="a7"/>
          <w:rtl/>
        </w:rPr>
        <w:footnoteReference w:id="545"/>
      </w:r>
      <w:r>
        <w:rPr>
          <w:rFonts w:hint="cs"/>
          <w:rtl/>
        </w:rPr>
        <w:t>؛ لأن الألفَ</w:t>
      </w:r>
      <w:r>
        <w:rPr>
          <w:rStyle w:val="a7"/>
          <w:rtl/>
        </w:rPr>
        <w:footnoteReference w:id="546"/>
      </w:r>
      <w:r>
        <w:rPr>
          <w:rFonts w:hint="cs"/>
          <w:rtl/>
        </w:rPr>
        <w:t xml:space="preserve"> عوضٌ عن طلقات ثلاث، فينقسم</w:t>
      </w:r>
      <w:r>
        <w:rPr>
          <w:rFonts w:hint="cs"/>
          <w:vertAlign w:val="superscript"/>
          <w:rtl/>
        </w:rPr>
        <w:t>(</w:t>
      </w:r>
      <w:r>
        <w:rPr>
          <w:rStyle w:val="a7"/>
          <w:rtl/>
        </w:rPr>
        <w:footnoteReference w:id="547"/>
      </w:r>
      <w:r>
        <w:rPr>
          <w:rFonts w:hint="cs"/>
          <w:vertAlign w:val="superscript"/>
          <w:rtl/>
        </w:rPr>
        <w:t>)</w:t>
      </w:r>
      <w:r>
        <w:rPr>
          <w:rFonts w:hint="cs"/>
          <w:rtl/>
        </w:rPr>
        <w:t>.</w:t>
      </w:r>
    </w:p>
    <w:p w:rsidR="00C10469" w:rsidRDefault="00C10469" w:rsidP="00C10469">
      <w:pPr>
        <w:rPr>
          <w:rtl/>
        </w:rPr>
      </w:pPr>
      <w:r>
        <w:rPr>
          <w:rFonts w:hint="cs"/>
          <w:rtl/>
        </w:rPr>
        <w:lastRenderedPageBreak/>
        <w:t>وإن طلبت ثلاثًا على ألف، فطلقها واحدة : وقعت رجعيَّةً مجانًا عند أبي حنيفة، فإنه جعل كلمة (على) للشرط، فالانقسام ممنوع</w:t>
      </w:r>
      <w:r>
        <w:rPr>
          <w:rFonts w:hint="cs"/>
          <w:vertAlign w:val="superscript"/>
          <w:rtl/>
        </w:rPr>
        <w:t>(</w:t>
      </w:r>
      <w:r>
        <w:rPr>
          <w:rStyle w:val="a7"/>
          <w:rtl/>
        </w:rPr>
        <w:footnoteReference w:id="548"/>
      </w:r>
      <w:r>
        <w:rPr>
          <w:rFonts w:hint="cs"/>
          <w:vertAlign w:val="superscript"/>
          <w:rtl/>
        </w:rPr>
        <w:t>)</w:t>
      </w:r>
      <w:r>
        <w:rPr>
          <w:rFonts w:hint="cs"/>
          <w:rtl/>
        </w:rPr>
        <w:t>، حتى لو علق الثلاث بشيئين، مثل أن يقول : إن كلمتِ زيدًا وعمرًا فأنتِ طالق ثلاثًا : لا يقع [بتكليمها]</w:t>
      </w:r>
      <w:r>
        <w:rPr>
          <w:rStyle w:val="a7"/>
          <w:rtl/>
        </w:rPr>
        <w:footnoteReference w:id="549"/>
      </w:r>
      <w:r>
        <w:rPr>
          <w:rFonts w:hint="cs"/>
          <w:rtl/>
        </w:rPr>
        <w:t xml:space="preserve"> زيدًا، ما لم [تكلِّم]</w:t>
      </w:r>
      <w:r>
        <w:rPr>
          <w:rStyle w:val="a7"/>
          <w:rtl/>
        </w:rPr>
        <w:footnoteReference w:id="550"/>
      </w:r>
      <w:r>
        <w:rPr>
          <w:rFonts w:hint="cs"/>
          <w:rtl/>
        </w:rPr>
        <w:t xml:space="preserve"> عمرًا.</w:t>
      </w:r>
    </w:p>
    <w:p w:rsidR="00C10469" w:rsidRDefault="00C10469" w:rsidP="00C10469">
      <w:pPr>
        <w:rPr>
          <w:rtl/>
        </w:rPr>
        <w:sectPr w:rsidR="00C10469" w:rsidSect="00C10469">
          <w:headerReference w:type="default" r:id="rId3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t>ولو قُسِّمت أجزاء الشرط على أجزاء المشروط لوقعت طلقتان على طريق الانقسام، باعتبار النصف كاملاً فيما لا [يقبل]</w:t>
      </w:r>
      <w:r>
        <w:rPr>
          <w:rStyle w:val="a7"/>
          <w:rtl/>
        </w:rPr>
        <w:footnoteReference w:id="551"/>
      </w:r>
      <w:r>
        <w:rPr>
          <w:rFonts w:hint="cs"/>
          <w:rtl/>
        </w:rPr>
        <w:t xml:space="preserve"> التقسيم.</w:t>
      </w:r>
    </w:p>
    <w:p w:rsidR="00C10469" w:rsidRPr="005C709A" w:rsidRDefault="00C10469" w:rsidP="00C10469">
      <w:pPr>
        <w:pStyle w:val="a9"/>
        <w:rPr>
          <w:rFonts w:cs="AL-Mateen"/>
          <w:rtl/>
        </w:rPr>
      </w:pPr>
      <w:r>
        <w:rPr>
          <w:rFonts w:hint="cs"/>
          <w:rtl/>
        </w:rPr>
        <w:lastRenderedPageBreak/>
        <w:t xml:space="preserve"> </w:t>
      </w:r>
      <w:r w:rsidRPr="005C709A">
        <w:rPr>
          <w:rFonts w:cs="AL-Mateen" w:hint="cs"/>
          <w:rtl/>
        </w:rPr>
        <w:t>[ القاعدة الخامسة ]</w:t>
      </w:r>
    </w:p>
    <w:p w:rsidR="00C10469" w:rsidRDefault="00C10469" w:rsidP="00C10469">
      <w:pPr>
        <w:rPr>
          <w:spacing w:val="6"/>
          <w:rtl/>
        </w:rPr>
      </w:pPr>
      <w:r>
        <w:rPr>
          <w:rFonts w:cs="Monotype Koufi" w:hint="cs"/>
          <w:spacing w:val="6"/>
          <w:rtl/>
        </w:rPr>
        <w:t>إجمَاعُ المسْلِمِينَ حجَّةٌ، يُخَصُّ بِهَا الأَثَرُ، ويُتْرَكُ القياسُ والنَّظَرُ</w:t>
      </w:r>
      <w:r>
        <w:rPr>
          <w:rFonts w:hint="cs"/>
          <w:spacing w:val="6"/>
          <w:vertAlign w:val="superscript"/>
          <w:rtl/>
        </w:rPr>
        <w:t>(</w:t>
      </w:r>
      <w:r>
        <w:rPr>
          <w:rStyle w:val="a7"/>
          <w:spacing w:val="6"/>
          <w:rtl/>
        </w:rPr>
        <w:footnoteReference w:id="552"/>
      </w:r>
      <w:r>
        <w:rPr>
          <w:rFonts w:hint="cs"/>
          <w:spacing w:val="6"/>
          <w:vertAlign w:val="superscript"/>
          <w:rtl/>
        </w:rPr>
        <w:t>)</w:t>
      </w:r>
      <w:r>
        <w:rPr>
          <w:rFonts w:hint="cs"/>
          <w:spacing w:val="6"/>
          <w:rtl/>
        </w:rPr>
        <w:t xml:space="preserve"> :</w:t>
      </w:r>
    </w:p>
    <w:p w:rsidR="00C10469" w:rsidRDefault="00C10469" w:rsidP="00C10469">
      <w:pPr>
        <w:rPr>
          <w:rtl/>
        </w:rPr>
      </w:pPr>
      <w:r>
        <w:rPr>
          <w:rFonts w:hint="cs"/>
          <w:b/>
          <w:bCs/>
          <w:rtl/>
        </w:rPr>
        <w:lastRenderedPageBreak/>
        <w:t>ولذا</w:t>
      </w:r>
      <w:r>
        <w:rPr>
          <w:rFonts w:hint="cs"/>
          <w:rtl/>
        </w:rPr>
        <w:t xml:space="preserve"> : إذا قدِم رجلٌ مصرًا، وقال : أنا عبد فلان، فاشترى</w:t>
      </w:r>
      <w:r>
        <w:rPr>
          <w:rStyle w:val="a7"/>
          <w:rtl/>
        </w:rPr>
        <w:footnoteReference w:id="553"/>
      </w:r>
      <w:r>
        <w:rPr>
          <w:rFonts w:hint="cs"/>
          <w:rtl/>
        </w:rPr>
        <w:t xml:space="preserve"> وباع : لزمه كل شيء من التجارة، أخبر أنه مأذونٌ أوْلا. </w:t>
      </w:r>
    </w:p>
    <w:p w:rsidR="00C10469" w:rsidRDefault="00C10469" w:rsidP="00C10469">
      <w:pPr>
        <w:rPr>
          <w:rtl/>
        </w:rPr>
      </w:pPr>
      <w:r>
        <w:rPr>
          <w:rFonts w:hint="cs"/>
          <w:rtl/>
        </w:rPr>
        <w:t>فالقياس أن لا يُقبل قوله، ولا يلزم بيعه؛ لأنه إقرار على المولى، والإقرار على الغير لا يكون حجة. وتُرِكَ هذا القياس بإجماع المسلمين</w:t>
      </w:r>
      <w:r>
        <w:rPr>
          <w:rFonts w:hint="cs"/>
          <w:vertAlign w:val="superscript"/>
          <w:rtl/>
        </w:rPr>
        <w:t>(</w:t>
      </w:r>
      <w:r>
        <w:rPr>
          <w:rStyle w:val="a7"/>
          <w:rtl/>
        </w:rPr>
        <w:footnoteReference w:id="554"/>
      </w:r>
      <w:r>
        <w:rPr>
          <w:rFonts w:hint="cs"/>
          <w:vertAlign w:val="superscript"/>
          <w:rtl/>
        </w:rPr>
        <w:t>)</w:t>
      </w:r>
      <w:r>
        <w:rPr>
          <w:rFonts w:hint="cs"/>
          <w:rtl/>
        </w:rPr>
        <w:t>.</w:t>
      </w:r>
    </w:p>
    <w:p w:rsidR="00C10469" w:rsidRDefault="00C10469" w:rsidP="00C10469">
      <w:pPr>
        <w:rPr>
          <w:rtl/>
        </w:rPr>
      </w:pPr>
      <w:r>
        <w:rPr>
          <w:rFonts w:hint="cs"/>
          <w:rtl/>
        </w:rPr>
        <w:lastRenderedPageBreak/>
        <w:t xml:space="preserve">وهذا مراد القوم ممَّا قالوا : </w:t>
      </w:r>
      <w:r>
        <w:rPr>
          <w:rFonts w:hint="cs"/>
          <w:b/>
          <w:bCs/>
          <w:rtl/>
        </w:rPr>
        <w:t>«الثابت بالعرف قاضٍ على القياس»،</w:t>
      </w:r>
      <w:r>
        <w:rPr>
          <w:rFonts w:hint="cs"/>
          <w:rtl/>
        </w:rPr>
        <w:t xml:space="preserve"> وسيجئ زيادة تفصيلٍ في باب الثاء</w:t>
      </w:r>
      <w:r>
        <w:rPr>
          <w:rStyle w:val="a7"/>
          <w:rtl/>
        </w:rPr>
        <w:footnoteReference w:id="555"/>
      </w:r>
      <w:r>
        <w:rPr>
          <w:rFonts w:hint="cs"/>
          <w:rtl/>
        </w:rPr>
        <w:t xml:space="preserve"> -إن شاء الله تعالى-</w:t>
      </w:r>
      <w:r>
        <w:rPr>
          <w:rFonts w:hint="cs"/>
          <w:vertAlign w:val="superscript"/>
          <w:rtl/>
        </w:rPr>
        <w:t>(</w:t>
      </w:r>
      <w:r>
        <w:rPr>
          <w:rStyle w:val="a7"/>
          <w:rtl/>
        </w:rPr>
        <w:footnoteReference w:id="556"/>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Default="00C10469" w:rsidP="00C10469">
      <w:pPr>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rsidP="00C10469">
      <w:pPr>
        <w:rPr>
          <w:rtl/>
        </w:rPr>
        <w:sectPr w:rsidR="00C10469" w:rsidSect="00C10469">
          <w:headerReference w:type="default" r:id="rId3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4208E" w:rsidRDefault="00C10469" w:rsidP="00C10469">
      <w:pPr>
        <w:pStyle w:val="a9"/>
        <w:rPr>
          <w:rFonts w:cs="AL-Mateen"/>
          <w:rtl/>
        </w:rPr>
      </w:pPr>
      <w:r w:rsidRPr="00A4208E">
        <w:rPr>
          <w:rFonts w:cs="AL-Mateen" w:hint="cs"/>
          <w:rtl/>
        </w:rPr>
        <w:lastRenderedPageBreak/>
        <w:t xml:space="preserve">[ القاعدة السادسة ] </w:t>
      </w:r>
    </w:p>
    <w:p w:rsidR="00C10469" w:rsidRDefault="00C10469" w:rsidP="00C10469">
      <w:pPr>
        <w:rPr>
          <w:rtl/>
        </w:rPr>
      </w:pPr>
      <w:r>
        <w:rPr>
          <w:rFonts w:cs="Monotype Koufi" w:hint="cs"/>
          <w:rtl/>
        </w:rPr>
        <w:t>الاجْتِهادُ لا يُنْقَضُ بمثلِهِ</w:t>
      </w:r>
      <w:r>
        <w:rPr>
          <w:rFonts w:hint="cs"/>
          <w:b/>
          <w:bCs/>
          <w:vertAlign w:val="superscript"/>
          <w:rtl/>
        </w:rPr>
        <w:t>(</w:t>
      </w:r>
      <w:r>
        <w:rPr>
          <w:rStyle w:val="a7"/>
          <w:rtl/>
        </w:rPr>
        <w:footnoteReference w:id="557"/>
      </w:r>
      <w:r>
        <w:rPr>
          <w:rFonts w:hint="cs"/>
          <w:b/>
          <w:bCs/>
          <w:vertAlign w:val="superscript"/>
          <w:rtl/>
        </w:rPr>
        <w:t>)</w:t>
      </w:r>
      <w:r>
        <w:rPr>
          <w:rFonts w:hint="cs"/>
          <w:rtl/>
        </w:rPr>
        <w:t>:</w:t>
      </w:r>
    </w:p>
    <w:p w:rsidR="00C10469" w:rsidRDefault="00C10469" w:rsidP="00C10469">
      <w:pPr>
        <w:rPr>
          <w:rtl/>
        </w:rPr>
      </w:pPr>
      <w:r>
        <w:rPr>
          <w:rFonts w:hint="cs"/>
          <w:b/>
          <w:bCs/>
          <w:rtl/>
        </w:rPr>
        <w:lastRenderedPageBreak/>
        <w:t>وعللوه</w:t>
      </w:r>
      <w:r>
        <w:rPr>
          <w:rFonts w:hint="cs"/>
          <w:rtl/>
        </w:rPr>
        <w:t xml:space="preserve"> : </w:t>
      </w:r>
      <w:r>
        <w:rPr>
          <w:rFonts w:ascii="Wingdings" w:hAnsi="Wingdings"/>
        </w:rPr>
        <w:t></w:t>
      </w:r>
      <w:r>
        <w:rPr>
          <w:rFonts w:hint="cs"/>
          <w:rtl/>
        </w:rPr>
        <w:t xml:space="preserve"> بأن الاجتهاد الثاني ليس بأقوى من الأول</w:t>
      </w:r>
      <w:r>
        <w:rPr>
          <w:rFonts w:hint="cs"/>
          <w:vertAlign w:val="superscript"/>
          <w:rtl/>
        </w:rPr>
        <w:t>(</w:t>
      </w:r>
      <w:r>
        <w:rPr>
          <w:rStyle w:val="a7"/>
          <w:rtl/>
        </w:rPr>
        <w:footnoteReference w:id="558"/>
      </w:r>
      <w:r>
        <w:rPr>
          <w:rFonts w:hint="cs"/>
          <w:vertAlign w:val="superscript"/>
          <w:rtl/>
        </w:rPr>
        <w:t>)</w:t>
      </w:r>
      <w:r>
        <w:rPr>
          <w:rFonts w:hint="cs"/>
          <w:rtl/>
        </w:rPr>
        <w:t>.</w:t>
      </w:r>
    </w:p>
    <w:p w:rsidR="00C10469" w:rsidRDefault="00C10469" w:rsidP="00C10469">
      <w:pPr>
        <w:rPr>
          <w:rtl/>
        </w:rPr>
      </w:pPr>
      <w:r>
        <w:rPr>
          <w:rFonts w:hint="cs"/>
          <w:rtl/>
        </w:rPr>
        <w:tab/>
      </w:r>
      <w:r>
        <w:rPr>
          <w:rFonts w:hint="cs"/>
          <w:rtl/>
        </w:rPr>
        <w:tab/>
        <w:t xml:space="preserve"> </w:t>
      </w:r>
      <w:r>
        <w:rPr>
          <w:rFonts w:ascii="Wingdings" w:hAnsi="Wingdings"/>
        </w:rPr>
        <w:t></w:t>
      </w:r>
      <w:r>
        <w:rPr>
          <w:rFonts w:hint="cs"/>
          <w:rtl/>
        </w:rPr>
        <w:t xml:space="preserve"> وأنه يؤدي إلى أن لا يستقرَّ حكم. وفيه مشقَّة شديدة</w:t>
      </w:r>
      <w:r>
        <w:rPr>
          <w:rFonts w:hint="cs"/>
          <w:vertAlign w:val="superscript"/>
          <w:rtl/>
        </w:rPr>
        <w:t>(</w:t>
      </w:r>
      <w:r>
        <w:rPr>
          <w:rStyle w:val="a7"/>
          <w:rtl/>
        </w:rPr>
        <w:footnoteReference w:id="559"/>
      </w:r>
      <w:r>
        <w:rPr>
          <w:rFonts w:hint="cs"/>
          <w:vertAlign w:val="superscript"/>
          <w:rtl/>
        </w:rPr>
        <w:t>)(</w:t>
      </w:r>
      <w:r>
        <w:rPr>
          <w:rStyle w:val="a7"/>
          <w:rtl/>
        </w:rPr>
        <w:footnoteReference w:id="560"/>
      </w:r>
      <w:r>
        <w:rPr>
          <w:rFonts w:hint="cs"/>
          <w:vertAlign w:val="superscript"/>
          <w:rtl/>
        </w:rPr>
        <w:t>)</w:t>
      </w:r>
      <w:r>
        <w:rPr>
          <w:rFonts w:hint="cs"/>
          <w:rtl/>
        </w:rPr>
        <w:t>.</w:t>
      </w:r>
    </w:p>
    <w:p w:rsidR="00C10469" w:rsidRDefault="00C10469" w:rsidP="00C10469">
      <w:pPr>
        <w:rPr>
          <w:b/>
          <w:bCs/>
          <w:rtl/>
        </w:rPr>
      </w:pPr>
      <w:r>
        <w:rPr>
          <w:rFonts w:hint="cs"/>
          <w:b/>
          <w:bCs/>
          <w:rtl/>
        </w:rPr>
        <w:t>ومن فروع هذه القاعدة :</w:t>
      </w:r>
    </w:p>
    <w:p w:rsidR="00C10469" w:rsidRDefault="00C10469" w:rsidP="00C10469">
      <w:pPr>
        <w:ind w:left="62" w:firstLine="505"/>
        <w:rPr>
          <w:rtl/>
        </w:rPr>
      </w:pPr>
      <w:r>
        <w:rPr>
          <w:b/>
          <w:bCs/>
          <w:rtl/>
        </w:rPr>
        <w:lastRenderedPageBreak/>
        <w:t>•</w:t>
      </w:r>
      <w:r>
        <w:rPr>
          <w:rFonts w:hint="cs"/>
          <w:b/>
          <w:bCs/>
          <w:rtl/>
        </w:rPr>
        <w:t xml:space="preserve"> </w:t>
      </w:r>
      <w:r>
        <w:rPr>
          <w:rFonts w:hint="cs"/>
          <w:rtl/>
        </w:rPr>
        <w:t>«لو حكم القاضي بردّ شهادة الفاسق، ثم تاب، فأعادها : لم تقبل</w:t>
      </w:r>
      <w:r>
        <w:rPr>
          <w:rStyle w:val="a7"/>
          <w:rtl/>
        </w:rPr>
        <w:footnoteReference w:id="561"/>
      </w:r>
      <w:r>
        <w:rPr>
          <w:rFonts w:hint="cs"/>
          <w:rtl/>
        </w:rPr>
        <w:t>.</w:t>
      </w:r>
    </w:p>
    <w:p w:rsidR="00C10469" w:rsidRDefault="00C10469" w:rsidP="00C10469">
      <w:pPr>
        <w:ind w:left="1287" w:firstLine="0"/>
        <w:rPr>
          <w:rtl/>
        </w:rPr>
      </w:pPr>
      <w:r>
        <w:rPr>
          <w:rFonts w:hint="cs"/>
          <w:rtl/>
        </w:rPr>
        <w:t>وعلل البعض : بأن قبول شهادته بعد التوبة يتضمن نقض الاجتهاد بالاجتهاد</w:t>
      </w:r>
      <w:r>
        <w:rPr>
          <w:rStyle w:val="a7"/>
          <w:rtl/>
        </w:rPr>
        <w:footnoteReference w:id="562"/>
      </w:r>
      <w:r>
        <w:rPr>
          <w:rFonts w:hint="cs"/>
          <w:rtl/>
        </w:rPr>
        <w:t>»</w:t>
      </w:r>
      <w:r>
        <w:rPr>
          <w:rFonts w:hint="cs"/>
          <w:vertAlign w:val="superscript"/>
          <w:rtl/>
        </w:rPr>
        <w:t>(</w:t>
      </w:r>
      <w:r>
        <w:rPr>
          <w:rStyle w:val="a7"/>
          <w:rtl/>
        </w:rPr>
        <w:footnoteReference w:id="563"/>
      </w:r>
      <w:r>
        <w:rPr>
          <w:rFonts w:hint="cs"/>
          <w:vertAlign w:val="superscript"/>
          <w:rtl/>
        </w:rPr>
        <w:t>)</w:t>
      </w:r>
      <w:r>
        <w:rPr>
          <w:rFonts w:hint="cs"/>
          <w:rtl/>
        </w:rPr>
        <w:t>.</w:t>
      </w:r>
    </w:p>
    <w:p w:rsidR="00C10469" w:rsidRDefault="00C10469" w:rsidP="00C10469">
      <w:pPr>
        <w:ind w:left="848" w:hanging="281"/>
        <w:rPr>
          <w:rtl/>
        </w:rPr>
      </w:pPr>
      <w:r>
        <w:rPr>
          <w:b/>
          <w:bCs/>
          <w:rtl/>
        </w:rPr>
        <w:t>•</w:t>
      </w:r>
      <w:r>
        <w:rPr>
          <w:rFonts w:hint="cs"/>
          <w:b/>
          <w:bCs/>
          <w:rtl/>
        </w:rPr>
        <w:t xml:space="preserve"> </w:t>
      </w:r>
      <w:r>
        <w:rPr>
          <w:rFonts w:hint="cs"/>
          <w:rtl/>
        </w:rPr>
        <w:t>ومنها : لو «حكم القاضي في المسائل الاجتهادية : لا يُنقض. وهو معنى قول أصحابنا في كتاب (القضاء) : وإذا رفع إليه حكمُ حاكمٍ أمضاه إن لم</w:t>
      </w:r>
      <w:r>
        <w:rPr>
          <w:rStyle w:val="a7"/>
          <w:rtl/>
        </w:rPr>
        <w:footnoteReference w:id="564"/>
      </w:r>
      <w:r>
        <w:rPr>
          <w:rFonts w:hint="cs"/>
          <w:rtl/>
        </w:rPr>
        <w:t xml:space="preserve"> يخالف الكتاب والسنة والإجماع»</w:t>
      </w:r>
      <w:r>
        <w:rPr>
          <w:rFonts w:hint="cs"/>
          <w:vertAlign w:val="superscript"/>
          <w:rtl/>
        </w:rPr>
        <w:t>(</w:t>
      </w:r>
      <w:r>
        <w:rPr>
          <w:rStyle w:val="a7"/>
          <w:rtl/>
        </w:rPr>
        <w:footnoteReference w:id="565"/>
      </w:r>
      <w:r>
        <w:rPr>
          <w:rFonts w:hint="cs"/>
          <w:vertAlign w:val="superscript"/>
          <w:rtl/>
        </w:rPr>
        <w:t>)</w:t>
      </w:r>
      <w:r>
        <w:rPr>
          <w:rFonts w:hint="cs"/>
          <w:rtl/>
        </w:rPr>
        <w:t>.</w:t>
      </w:r>
    </w:p>
    <w:p w:rsidR="00C10469" w:rsidRDefault="00C10469" w:rsidP="00C10469">
      <w:pPr>
        <w:ind w:left="567" w:firstLine="720"/>
        <w:rPr>
          <w:rtl/>
        </w:rPr>
      </w:pPr>
      <w:r>
        <w:rPr>
          <w:rFonts w:hint="cs"/>
          <w:rtl/>
        </w:rPr>
        <w:t xml:space="preserve">و «بعضهم : </w:t>
      </w:r>
      <w:r>
        <w:rPr>
          <w:rFonts w:hint="cs"/>
          <w:b/>
          <w:bCs/>
          <w:rtl/>
        </w:rPr>
        <w:t>استثنى</w:t>
      </w:r>
      <w:r>
        <w:rPr>
          <w:rFonts w:hint="cs"/>
          <w:rtl/>
        </w:rPr>
        <w:t xml:space="preserve"> من هذه القاعدة مسألتين :</w:t>
      </w:r>
    </w:p>
    <w:p w:rsidR="00C10469" w:rsidRDefault="00C10469" w:rsidP="00C10469">
      <w:pPr>
        <w:ind w:left="567" w:firstLine="0"/>
        <w:rPr>
          <w:rtl/>
        </w:rPr>
      </w:pPr>
      <w:r>
        <w:rPr>
          <w:rFonts w:hint="cs"/>
          <w:b/>
          <w:bCs/>
          <w:rtl/>
        </w:rPr>
        <w:t>إحديهما</w:t>
      </w:r>
      <w:r>
        <w:rPr>
          <w:rFonts w:hint="cs"/>
          <w:vertAlign w:val="superscript"/>
          <w:rtl/>
        </w:rPr>
        <w:t>(</w:t>
      </w:r>
      <w:r>
        <w:rPr>
          <w:rStyle w:val="a7"/>
          <w:b/>
          <w:rtl/>
        </w:rPr>
        <w:footnoteReference w:id="566"/>
      </w:r>
      <w:r>
        <w:rPr>
          <w:rFonts w:hint="cs"/>
          <w:vertAlign w:val="superscript"/>
          <w:rtl/>
        </w:rPr>
        <w:t>)</w:t>
      </w:r>
      <w:r>
        <w:rPr>
          <w:rFonts w:hint="cs"/>
          <w:rtl/>
        </w:rPr>
        <w:t xml:space="preserve"> : نقض القسمة إذا ظهر فيها غبن فاحش، فإنما وقعت </w:t>
      </w:r>
      <w:r>
        <w:rPr>
          <w:rFonts w:hint="cs"/>
          <w:rtl/>
        </w:rPr>
        <w:lastRenderedPageBreak/>
        <w:t>باجتهاد، فكيف تنقض بمثله؟.</w:t>
      </w:r>
    </w:p>
    <w:p w:rsidR="00C10469" w:rsidRDefault="00C10469" w:rsidP="00C10469">
      <w:pPr>
        <w:rPr>
          <w:rtl/>
        </w:rPr>
      </w:pPr>
      <w:r>
        <w:rPr>
          <w:rFonts w:hint="cs"/>
          <w:b/>
          <w:bCs/>
          <w:rtl/>
        </w:rPr>
        <w:t>والجواب</w:t>
      </w:r>
      <w:r>
        <w:rPr>
          <w:rFonts w:hint="cs"/>
          <w:rtl/>
        </w:rPr>
        <w:t xml:space="preserve"> : أن نقضها لفوات شرطها</w:t>
      </w:r>
      <w:r>
        <w:rPr>
          <w:rStyle w:val="a7"/>
          <w:rtl/>
        </w:rPr>
        <w:footnoteReference w:id="567"/>
      </w:r>
      <w:r>
        <w:rPr>
          <w:rFonts w:hint="cs"/>
          <w:rtl/>
        </w:rPr>
        <w:t xml:space="preserve"> في الابتداء، (وهو العدالة)، فظهر أنها لم [تكن]</w:t>
      </w:r>
      <w:r>
        <w:rPr>
          <w:rStyle w:val="a7"/>
          <w:rtl/>
        </w:rPr>
        <w:footnoteReference w:id="568"/>
      </w:r>
      <w:r>
        <w:rPr>
          <w:rFonts w:hint="cs"/>
          <w:rtl/>
        </w:rPr>
        <w:t xml:space="preserve"> صحيحة من الابتداء.</w:t>
      </w:r>
    </w:p>
    <w:p w:rsidR="00C10469" w:rsidRDefault="00C10469" w:rsidP="00C10469">
      <w:pPr>
        <w:rPr>
          <w:rtl/>
        </w:rPr>
      </w:pPr>
      <w:r>
        <w:rPr>
          <w:rFonts w:hint="cs"/>
          <w:b/>
          <w:bCs/>
          <w:rtl/>
        </w:rPr>
        <w:t>والثانية</w:t>
      </w:r>
      <w:r>
        <w:rPr>
          <w:rFonts w:hint="cs"/>
          <w:rtl/>
        </w:rPr>
        <w:t xml:space="preserve"> : إذا رأى الإمامُ شيئًا ثم مات أو عُزل : فللثاني [تغييره]</w:t>
      </w:r>
      <w:r>
        <w:rPr>
          <w:rStyle w:val="a7"/>
          <w:rtl/>
        </w:rPr>
        <w:footnoteReference w:id="569"/>
      </w:r>
      <w:r>
        <w:rPr>
          <w:rFonts w:hint="cs"/>
          <w:rtl/>
        </w:rPr>
        <w:t xml:space="preserve"> حيث كان من أمور</w:t>
      </w:r>
      <w:r>
        <w:rPr>
          <w:rFonts w:hint="cs"/>
          <w:vertAlign w:val="superscript"/>
          <w:rtl/>
        </w:rPr>
        <w:t>(</w:t>
      </w:r>
      <w:r>
        <w:rPr>
          <w:rStyle w:val="a7"/>
          <w:rtl/>
        </w:rPr>
        <w:footnoteReference w:id="570"/>
      </w:r>
      <w:r>
        <w:rPr>
          <w:rFonts w:hint="cs"/>
          <w:vertAlign w:val="superscript"/>
          <w:rtl/>
        </w:rPr>
        <w:t>)</w:t>
      </w:r>
      <w:r>
        <w:rPr>
          <w:rFonts w:hint="cs"/>
          <w:rtl/>
        </w:rPr>
        <w:t xml:space="preserve"> العامة.</w:t>
      </w:r>
    </w:p>
    <w:p w:rsidR="00C10469" w:rsidRDefault="00C10469" w:rsidP="00C10469">
      <w:pPr>
        <w:rPr>
          <w:rtl/>
        </w:rPr>
      </w:pPr>
      <w:r>
        <w:rPr>
          <w:rFonts w:hint="cs"/>
          <w:b/>
          <w:bCs/>
          <w:rtl/>
        </w:rPr>
        <w:t>والجواب</w:t>
      </w:r>
      <w:r>
        <w:rPr>
          <w:rFonts w:hint="cs"/>
          <w:rtl/>
        </w:rPr>
        <w:t xml:space="preserve"> : أن هذا حكم يدور مع المصلحة، فإذا رآها الثاني وجب اتباعها»</w:t>
      </w:r>
      <w:r>
        <w:rPr>
          <w:rFonts w:hint="cs"/>
          <w:vertAlign w:val="superscript"/>
          <w:rtl/>
        </w:rPr>
        <w:t>(</w:t>
      </w:r>
      <w:r>
        <w:rPr>
          <w:rStyle w:val="a7"/>
          <w:rtl/>
        </w:rPr>
        <w:footnoteReference w:id="571"/>
      </w:r>
      <w:r>
        <w:rPr>
          <w:rFonts w:hint="cs"/>
          <w:vertAlign w:val="superscript"/>
          <w:rtl/>
        </w:rPr>
        <w:t>)</w:t>
      </w:r>
      <w:r>
        <w:rPr>
          <w:rFonts w:hint="cs"/>
          <w:rtl/>
        </w:rPr>
        <w:t>.</w:t>
      </w:r>
    </w:p>
    <w:p w:rsidR="00C10469" w:rsidRPr="00950BB5" w:rsidRDefault="00C10469" w:rsidP="00C10469">
      <w:pPr>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rsidP="00C10469">
      <w:pPr>
        <w:rPr>
          <w:rtl/>
        </w:rPr>
        <w:sectPr w:rsidR="00C10469" w:rsidSect="00C10469">
          <w:headerReference w:type="default" r:id="rId3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DC1BA9" w:rsidRDefault="00C10469" w:rsidP="00C10469">
      <w:pPr>
        <w:pStyle w:val="a9"/>
        <w:rPr>
          <w:rFonts w:cs="AL-Mateen"/>
          <w:rtl/>
        </w:rPr>
      </w:pPr>
      <w:r w:rsidRPr="00DC1BA9">
        <w:rPr>
          <w:rFonts w:cs="AL-Mateen" w:hint="cs"/>
          <w:rtl/>
        </w:rPr>
        <w:lastRenderedPageBreak/>
        <w:t xml:space="preserve">[ القـاعـدة السـابـعـة ] </w:t>
      </w:r>
    </w:p>
    <w:p w:rsidR="00C10469" w:rsidRDefault="00C10469" w:rsidP="00C10469">
      <w:pPr>
        <w:rPr>
          <w:rtl/>
        </w:rPr>
      </w:pPr>
      <w:r>
        <w:rPr>
          <w:rFonts w:cs="Monotype Koufi" w:hint="cs"/>
          <w:rtl/>
        </w:rPr>
        <w:t>الأجرُ والضَّمَانُ لا يَجْتَمِعَانِ</w:t>
      </w:r>
      <w:r>
        <w:rPr>
          <w:rFonts w:hint="cs"/>
          <w:b/>
          <w:bCs/>
          <w:vertAlign w:val="superscript"/>
          <w:rtl/>
        </w:rPr>
        <w:t>(</w:t>
      </w:r>
      <w:r>
        <w:rPr>
          <w:rStyle w:val="a7"/>
          <w:b/>
          <w:rtl/>
        </w:rPr>
        <w:footnoteReference w:id="572"/>
      </w:r>
      <w:r>
        <w:rPr>
          <w:rFonts w:hint="cs"/>
          <w:b/>
          <w:bCs/>
          <w:vertAlign w:val="superscript"/>
          <w:rtl/>
        </w:rPr>
        <w:t>)</w:t>
      </w:r>
      <w:r>
        <w:rPr>
          <w:rFonts w:hint="cs"/>
          <w:rtl/>
        </w:rPr>
        <w:t xml:space="preserve"> :</w:t>
      </w:r>
    </w:p>
    <w:p w:rsidR="00C10469" w:rsidRDefault="00C10469" w:rsidP="00C10469">
      <w:pPr>
        <w:ind w:left="1131" w:firstLine="0"/>
        <w:rPr>
          <w:rtl/>
        </w:rPr>
      </w:pPr>
      <w:r>
        <w:rPr>
          <w:b/>
          <w:bCs/>
          <w:rtl/>
        </w:rPr>
        <w:lastRenderedPageBreak/>
        <w:t>•</w:t>
      </w:r>
      <w:r>
        <w:rPr>
          <w:rFonts w:hint="cs"/>
          <w:b/>
          <w:bCs/>
          <w:rtl/>
        </w:rPr>
        <w:t xml:space="preserve"> ولذا</w:t>
      </w:r>
      <w:r>
        <w:rPr>
          <w:rStyle w:val="a7"/>
          <w:rtl/>
        </w:rPr>
        <w:footnoteReference w:id="573"/>
      </w:r>
      <w:r>
        <w:rPr>
          <w:rFonts w:hint="cs"/>
          <w:rtl/>
        </w:rPr>
        <w:t xml:space="preserve"> : «إذا تـعـدَّى الـمسـتَأجِرُ على الـدابـة وضـمـن</w:t>
      </w:r>
      <w:r>
        <w:rPr>
          <w:rStyle w:val="a7"/>
          <w:rtl/>
        </w:rPr>
        <w:footnoteReference w:id="574"/>
      </w:r>
      <w:r>
        <w:rPr>
          <w:rFonts w:hint="cs"/>
          <w:rtl/>
        </w:rPr>
        <w:t xml:space="preserve"> :</w:t>
      </w:r>
      <w:r>
        <w:rPr>
          <w:rFonts w:hint="cs"/>
        </w:rPr>
        <w:t xml:space="preserve"> </w:t>
      </w:r>
    </w:p>
    <w:p w:rsidR="00C10469" w:rsidRDefault="00C10469" w:rsidP="00C10469">
      <w:pPr>
        <w:ind w:left="774" w:right="774" w:firstLine="513"/>
        <w:rPr>
          <w:rtl/>
        </w:rPr>
      </w:pPr>
      <w:r>
        <w:rPr>
          <w:rFonts w:hint="cs"/>
          <w:rtl/>
        </w:rPr>
        <w:lastRenderedPageBreak/>
        <w:t>فلا أجـر لـه»</w:t>
      </w:r>
      <w:r>
        <w:rPr>
          <w:rFonts w:hint="cs"/>
          <w:vertAlign w:val="superscript"/>
          <w:rtl/>
        </w:rPr>
        <w:t>(</w:t>
      </w:r>
      <w:r>
        <w:rPr>
          <w:rStyle w:val="a7"/>
          <w:rtl/>
        </w:rPr>
        <w:footnoteReference w:id="575"/>
      </w:r>
      <w:r>
        <w:rPr>
          <w:rFonts w:hint="cs"/>
          <w:vertAlign w:val="superscript"/>
          <w:rtl/>
        </w:rPr>
        <w:t>)</w:t>
      </w:r>
      <w:r>
        <w:rPr>
          <w:rFonts w:hint="cs"/>
          <w:rtl/>
        </w:rPr>
        <w:t>.</w:t>
      </w:r>
    </w:p>
    <w:p w:rsidR="00C10469" w:rsidRDefault="00C10469" w:rsidP="00C10469">
      <w:pPr>
        <w:ind w:left="1415" w:hanging="284"/>
        <w:rPr>
          <w:rtl/>
        </w:rPr>
      </w:pPr>
      <w:r>
        <w:rPr>
          <w:b/>
          <w:bCs/>
          <w:rtl/>
        </w:rPr>
        <w:t>•</w:t>
      </w:r>
      <w:r>
        <w:rPr>
          <w:rFonts w:hint="cs"/>
          <w:b/>
          <w:bCs/>
          <w:rtl/>
        </w:rPr>
        <w:t xml:space="preserve"> وكذا</w:t>
      </w:r>
      <w:r>
        <w:rPr>
          <w:rFonts w:hint="cs"/>
          <w:rtl/>
        </w:rPr>
        <w:t xml:space="preserve"> : إذا [غَصَبَ]</w:t>
      </w:r>
      <w:r>
        <w:rPr>
          <w:rStyle w:val="a7"/>
          <w:rtl/>
        </w:rPr>
        <w:footnoteReference w:id="576"/>
      </w:r>
      <w:r>
        <w:rPr>
          <w:rFonts w:hint="cs"/>
          <w:rtl/>
        </w:rPr>
        <w:t xml:space="preserve"> دابةً أو دارًا واستعمل</w:t>
      </w:r>
      <w:r>
        <w:rPr>
          <w:rFonts w:hint="cs"/>
          <w:vertAlign w:val="superscript"/>
          <w:rtl/>
        </w:rPr>
        <w:t>(</w:t>
      </w:r>
      <w:r>
        <w:rPr>
          <w:rStyle w:val="a7"/>
          <w:rtl/>
        </w:rPr>
        <w:footnoteReference w:id="577"/>
      </w:r>
      <w:r>
        <w:rPr>
          <w:rFonts w:hint="cs"/>
          <w:vertAlign w:val="superscript"/>
          <w:rtl/>
        </w:rPr>
        <w:t>)</w:t>
      </w:r>
      <w:r>
        <w:rPr>
          <w:rFonts w:hint="cs"/>
          <w:rtl/>
        </w:rPr>
        <w:t xml:space="preserve"> : لا يضمنُ منافعهما</w:t>
      </w:r>
      <w:r>
        <w:rPr>
          <w:rStyle w:val="a7"/>
          <w:rtl/>
        </w:rPr>
        <w:footnoteReference w:id="578"/>
      </w:r>
      <w:r>
        <w:rPr>
          <w:rFonts w:hint="cs"/>
          <w:rtl/>
        </w:rPr>
        <w:t>؛</w:t>
      </w:r>
      <w:r>
        <w:rPr>
          <w:rFonts w:hint="cs"/>
          <w:vertAlign w:val="superscript"/>
          <w:rtl/>
        </w:rPr>
        <w:t>(</w:t>
      </w:r>
      <w:r>
        <w:rPr>
          <w:rStyle w:val="a7"/>
          <w:rtl/>
        </w:rPr>
        <w:footnoteReference w:id="579"/>
      </w:r>
      <w:r>
        <w:rPr>
          <w:rFonts w:hint="cs"/>
          <w:vertAlign w:val="superscript"/>
          <w:rtl/>
        </w:rPr>
        <w:t>)</w:t>
      </w:r>
      <w:r>
        <w:rPr>
          <w:rFonts w:hint="cs"/>
          <w:rtl/>
        </w:rPr>
        <w:t xml:space="preserve"> لأن الغاصب تعدّى بالغصب، فيجب عليه الضمان، وتضمين المنافع أجر[ة]</w:t>
      </w:r>
      <w:r>
        <w:rPr>
          <w:rStyle w:val="a7"/>
          <w:rtl/>
        </w:rPr>
        <w:footnoteReference w:id="580"/>
      </w:r>
      <w:r>
        <w:rPr>
          <w:rFonts w:hint="cs"/>
          <w:rtl/>
        </w:rPr>
        <w:t xml:space="preserve"> فلا يجتمعان.</w:t>
      </w:r>
    </w:p>
    <w:p w:rsidR="00C10469" w:rsidRDefault="00C10469" w:rsidP="00C10469">
      <w:pPr>
        <w:ind w:left="1131" w:firstLine="0"/>
        <w:rPr>
          <w:rtl/>
        </w:rPr>
      </w:pPr>
      <w:r>
        <w:rPr>
          <w:b/>
          <w:bCs/>
          <w:rtl/>
        </w:rPr>
        <w:lastRenderedPageBreak/>
        <w:t>•</w:t>
      </w:r>
      <w:r>
        <w:rPr>
          <w:rFonts w:hint="cs"/>
          <w:b/>
          <w:bCs/>
          <w:rtl/>
        </w:rPr>
        <w:t xml:space="preserve"> وكذا</w:t>
      </w:r>
      <w:r>
        <w:rPr>
          <w:rFonts w:hint="cs"/>
          <w:rtl/>
        </w:rPr>
        <w:t xml:space="preserve"> : الزيادة المنفصلة غير المتولدة من الأصل، كالكسب والغلـة</w:t>
      </w:r>
      <w:r>
        <w:rPr>
          <w:rFonts w:hint="cs"/>
          <w:vertAlign w:val="superscript"/>
          <w:rtl/>
        </w:rPr>
        <w:t>(</w:t>
      </w:r>
      <w:r>
        <w:rPr>
          <w:rStyle w:val="a7"/>
          <w:rtl/>
        </w:rPr>
        <w:footnoteReference w:id="581"/>
      </w:r>
      <w:r>
        <w:rPr>
          <w:rFonts w:hint="cs"/>
          <w:vertAlign w:val="superscript"/>
          <w:rtl/>
        </w:rPr>
        <w:t>)</w:t>
      </w:r>
      <w:r>
        <w:rPr>
          <w:rFonts w:hint="cs"/>
          <w:rtl/>
        </w:rPr>
        <w:t xml:space="preserve">: </w:t>
      </w:r>
    </w:p>
    <w:p w:rsidR="00C10469" w:rsidRDefault="00C10469" w:rsidP="00C10469">
      <w:pPr>
        <w:ind w:left="706" w:firstLine="0"/>
        <w:rPr>
          <w:rtl/>
        </w:rPr>
      </w:pPr>
      <w:r>
        <w:rPr>
          <w:rFonts w:hint="cs"/>
          <w:rtl/>
        </w:rPr>
        <w:t>للغاصب، [ويتصدَّق]</w:t>
      </w:r>
      <w:r>
        <w:rPr>
          <w:rStyle w:val="a7"/>
          <w:rtl/>
        </w:rPr>
        <w:footnoteReference w:id="582"/>
      </w:r>
      <w:r>
        <w:rPr>
          <w:rFonts w:hint="cs"/>
          <w:rtl/>
        </w:rPr>
        <w:t xml:space="preserve"> بها؛ لاستفادتها ببدل خبيـث</w:t>
      </w:r>
      <w:r>
        <w:rPr>
          <w:rFonts w:hint="cs"/>
          <w:vertAlign w:val="superscript"/>
          <w:rtl/>
        </w:rPr>
        <w:t>(</w:t>
      </w:r>
      <w:r>
        <w:rPr>
          <w:rStyle w:val="a7"/>
          <w:rtl/>
        </w:rPr>
        <w:footnoteReference w:id="583"/>
      </w:r>
      <w:r>
        <w:rPr>
          <w:rFonts w:hint="cs"/>
          <w:vertAlign w:val="superscript"/>
          <w:rtl/>
        </w:rPr>
        <w:t>)</w:t>
      </w:r>
      <w:r>
        <w:rPr>
          <w:rFonts w:hint="cs"/>
          <w:rtl/>
        </w:rPr>
        <w:t>، وهو التصرف في مال</w:t>
      </w:r>
      <w:r>
        <w:rPr>
          <w:rFonts w:hint="eastAsia"/>
          <w:rtl/>
        </w:rPr>
        <w:t> </w:t>
      </w:r>
      <w:r>
        <w:rPr>
          <w:rFonts w:hint="cs"/>
          <w:rtl/>
        </w:rPr>
        <w:t>الغير</w:t>
      </w:r>
      <w:r>
        <w:rPr>
          <w:rStyle w:val="a7"/>
          <w:rtl/>
        </w:rPr>
        <w:footnoteReference w:id="584"/>
      </w:r>
      <w:r>
        <w:rPr>
          <w:rFonts w:hint="cs"/>
          <w:vertAlign w:val="superscript"/>
          <w:rtl/>
        </w:rPr>
        <w:t>(</w:t>
      </w:r>
      <w:r>
        <w:rPr>
          <w:rStyle w:val="a7"/>
          <w:rtl/>
        </w:rPr>
        <w:footnoteReference w:id="585"/>
      </w:r>
      <w:r>
        <w:rPr>
          <w:rFonts w:hint="cs"/>
          <w:vertAlign w:val="superscript"/>
          <w:rtl/>
        </w:rPr>
        <w:t>)</w:t>
      </w:r>
      <w:r>
        <w:rPr>
          <w:rFonts w:hint="cs"/>
          <w:rtl/>
        </w:rPr>
        <w:t>.</w:t>
      </w:r>
    </w:p>
    <w:p w:rsidR="00C10469" w:rsidRDefault="00C10469" w:rsidP="00C10469">
      <w:pPr>
        <w:ind w:left="706" w:firstLine="0"/>
        <w:rPr>
          <w:spacing w:val="-4"/>
          <w:rtl/>
        </w:rPr>
      </w:pPr>
      <w:r>
        <w:rPr>
          <w:rFonts w:hint="cs"/>
          <w:spacing w:val="-4"/>
          <w:rtl/>
        </w:rPr>
        <w:t xml:space="preserve">بخلاف المشتري، فإنه إذا تصَرَّف في المبيع وربح، فظهر العيب : يرُدُّهُ، ويسلَّم </w:t>
      </w:r>
      <w:r>
        <w:rPr>
          <w:spacing w:val="-4"/>
          <w:rtl/>
        </w:rPr>
        <w:br/>
      </w:r>
      <w:r>
        <w:rPr>
          <w:rFonts w:hint="cs"/>
          <w:spacing w:val="-4"/>
          <w:rtl/>
        </w:rPr>
        <w:lastRenderedPageBreak/>
        <w:t>له</w:t>
      </w:r>
      <w:r>
        <w:rPr>
          <w:rStyle w:val="a7"/>
          <w:spacing w:val="-4"/>
          <w:rtl/>
        </w:rPr>
        <w:footnoteReference w:id="586"/>
      </w:r>
      <w:r>
        <w:rPr>
          <w:rFonts w:hint="cs"/>
          <w:spacing w:val="-4"/>
          <w:rtl/>
        </w:rPr>
        <w:t xml:space="preserve"> مجّانًا</w:t>
      </w:r>
      <w:r>
        <w:rPr>
          <w:rFonts w:hint="cs"/>
          <w:spacing w:val="-4"/>
          <w:vertAlign w:val="superscript"/>
          <w:rtl/>
        </w:rPr>
        <w:t>(</w:t>
      </w:r>
      <w:r>
        <w:rPr>
          <w:rStyle w:val="a7"/>
          <w:spacing w:val="-4"/>
          <w:rtl/>
        </w:rPr>
        <w:footnoteReference w:id="587"/>
      </w:r>
      <w:r>
        <w:rPr>
          <w:rFonts w:hint="cs"/>
          <w:spacing w:val="-4"/>
          <w:vertAlign w:val="superscript"/>
          <w:rtl/>
        </w:rPr>
        <w:t>)</w:t>
      </w:r>
      <w:r>
        <w:rPr>
          <w:rFonts w:hint="cs"/>
          <w:spacing w:val="-4"/>
          <w:rtl/>
        </w:rPr>
        <w:t>، ويطيب له؛ لأن المبيع صار ملكه بالعقد، وفساد الملك بعد ظهور العيب، فالربح حاصل من التصَرُّف في ملكه. والغاصب لا يملك المغصوب قبل الإتلاف، فالربح حاصل من التصرف في مال الغير، فافترقا</w:t>
      </w:r>
      <w:r>
        <w:rPr>
          <w:rFonts w:hint="cs"/>
          <w:spacing w:val="-4"/>
          <w:vertAlign w:val="superscript"/>
          <w:rtl/>
        </w:rPr>
        <w:t>(</w:t>
      </w:r>
      <w:r>
        <w:rPr>
          <w:rStyle w:val="a7"/>
          <w:spacing w:val="-4"/>
          <w:rtl/>
        </w:rPr>
        <w:footnoteReference w:id="588"/>
      </w:r>
      <w:r>
        <w:rPr>
          <w:rFonts w:hint="cs"/>
          <w:spacing w:val="-4"/>
          <w:vertAlign w:val="superscript"/>
          <w:rtl/>
        </w:rPr>
        <w:t>)</w:t>
      </w:r>
      <w:r>
        <w:rPr>
          <w:rFonts w:hint="cs"/>
          <w:spacing w:val="-4"/>
          <w:rtl/>
        </w:rPr>
        <w:t>.</w:t>
      </w:r>
    </w:p>
    <w:p w:rsidR="00C10469" w:rsidRDefault="00C10469" w:rsidP="00C10469">
      <w:pPr>
        <w:ind w:left="139" w:right="142"/>
        <w:rPr>
          <w:rtl/>
        </w:rPr>
      </w:pPr>
      <w:r>
        <w:rPr>
          <w:rFonts w:hint="cs"/>
          <w:rtl/>
        </w:rPr>
        <w:t>والأصل فيه قوله</w:t>
      </w:r>
      <w:r>
        <w:rPr>
          <w:rStyle w:val="a7"/>
          <w:rtl/>
        </w:rPr>
        <w:footnoteReference w:id="589"/>
      </w:r>
      <w:r>
        <w:rPr>
          <w:rFonts w:hint="cs"/>
          <w:rtl/>
        </w:rPr>
        <w:t xml:space="preserve"> </w:t>
      </w:r>
      <w:r>
        <w:t xml:space="preserve"> </w:t>
      </w:r>
      <w:r>
        <w:rPr>
          <w:rFonts w:ascii="AGA Arabesque" w:hAnsi="AGA Arabesque"/>
          <w:sz w:val="36"/>
        </w:rPr>
        <w:t></w:t>
      </w:r>
      <w:r>
        <w:t xml:space="preserve"> </w:t>
      </w:r>
      <w:r>
        <w:rPr>
          <w:rFonts w:hint="cs"/>
          <w:rtl/>
        </w:rPr>
        <w:t>: «</w:t>
      </w:r>
      <w:r>
        <w:rPr>
          <w:rFonts w:ascii="(TR) Naskh" w:hAnsi="(TR) Naskh" w:cs="DecoType Naskh Extensions" w:hint="cs"/>
          <w:sz w:val="34"/>
          <w:szCs w:val="34"/>
          <w:rtl/>
        </w:rPr>
        <w:t>الـخَـرَاجُ بـالضَّمَانِ</w:t>
      </w:r>
      <w:r>
        <w:rPr>
          <w:rFonts w:hint="cs"/>
          <w:rtl/>
        </w:rPr>
        <w:t>»</w:t>
      </w:r>
      <w:r>
        <w:rPr>
          <w:rFonts w:hint="cs"/>
          <w:vertAlign w:val="superscript"/>
          <w:rtl/>
        </w:rPr>
        <w:t>(</w:t>
      </w:r>
      <w:r>
        <w:rPr>
          <w:rStyle w:val="a7"/>
          <w:rtl/>
        </w:rPr>
        <w:footnoteReference w:id="590"/>
      </w:r>
      <w:r>
        <w:rPr>
          <w:rFonts w:hint="cs"/>
          <w:vertAlign w:val="superscript"/>
          <w:rtl/>
        </w:rPr>
        <w:t>)</w:t>
      </w:r>
      <w:r>
        <w:rPr>
          <w:rFonts w:hint="cs"/>
          <w:rtl/>
        </w:rPr>
        <w:t>.</w:t>
      </w:r>
    </w:p>
    <w:p w:rsidR="00C10469" w:rsidRDefault="00C10469" w:rsidP="00C10469">
      <w:pPr>
        <w:ind w:left="567" w:right="567" w:firstLine="720"/>
        <w:rPr>
          <w:rtl/>
        </w:rPr>
      </w:pPr>
      <w:r>
        <w:rPr>
          <w:rFonts w:hint="cs"/>
          <w:rtl/>
        </w:rPr>
        <w:lastRenderedPageBreak/>
        <w:t>وسيجىء تفصيله في باب الخاء -إن شاء الله تعالى-</w:t>
      </w:r>
      <w:r>
        <w:rPr>
          <w:rFonts w:hint="cs"/>
          <w:vertAlign w:val="superscript"/>
          <w:rtl/>
        </w:rPr>
        <w:t>(</w:t>
      </w:r>
      <w:r>
        <w:rPr>
          <w:rStyle w:val="a7"/>
          <w:rtl/>
        </w:rPr>
        <w:footnoteReference w:id="591"/>
      </w:r>
      <w:r>
        <w:rPr>
          <w:rFonts w:hint="cs"/>
          <w:vertAlign w:val="superscript"/>
          <w:rtl/>
        </w:rPr>
        <w:t>)</w:t>
      </w:r>
      <w:r>
        <w:rPr>
          <w:rFonts w:hint="cs"/>
          <w:rtl/>
        </w:rPr>
        <w:t>.</w:t>
      </w:r>
    </w:p>
    <w:p w:rsidR="00C10469" w:rsidRDefault="00C10469" w:rsidP="00C10469">
      <w:pPr>
        <w:rPr>
          <w:rtl/>
        </w:rPr>
      </w:pPr>
      <w:r>
        <w:rPr>
          <w:rFonts w:hint="cs"/>
          <w:b/>
          <w:bCs/>
          <w:rtl/>
        </w:rPr>
        <w:t>وخرج</w:t>
      </w:r>
      <w:r>
        <w:rPr>
          <w:rFonts w:hint="cs"/>
          <w:rtl/>
        </w:rPr>
        <w:t xml:space="preserve"> عن هذا الأصل في بدء النظر على رواية هشام</w:t>
      </w:r>
      <w:r>
        <w:rPr>
          <w:rFonts w:hint="cs"/>
          <w:vertAlign w:val="superscript"/>
          <w:rtl/>
        </w:rPr>
        <w:t>(</w:t>
      </w:r>
      <w:r>
        <w:rPr>
          <w:rStyle w:val="a7"/>
          <w:rtl/>
        </w:rPr>
        <w:footnoteReference w:id="592"/>
      </w:r>
      <w:r>
        <w:rPr>
          <w:rFonts w:hint="cs"/>
          <w:vertAlign w:val="superscript"/>
          <w:rtl/>
        </w:rPr>
        <w:t>)</w:t>
      </w:r>
      <w:r>
        <w:rPr>
          <w:rFonts w:hint="cs"/>
          <w:rtl/>
        </w:rPr>
        <w:t xml:space="preserve"> عن محمد -رحمهما الله-: «لو استأجر عبدًا سنة وقبضه، فلمَّا مَضى نصفُ السنة جحد الإجارة، فادعاه</w:t>
      </w:r>
      <w:r>
        <w:rPr>
          <w:rFonts w:hint="cs"/>
          <w:vertAlign w:val="superscript"/>
          <w:rtl/>
        </w:rPr>
        <w:t>(</w:t>
      </w:r>
      <w:r>
        <w:rPr>
          <w:rStyle w:val="a7"/>
          <w:rtl/>
        </w:rPr>
        <w:footnoteReference w:id="593"/>
      </w:r>
      <w:r>
        <w:rPr>
          <w:rFonts w:hint="cs"/>
          <w:vertAlign w:val="superscript"/>
          <w:rtl/>
        </w:rPr>
        <w:t>)</w:t>
      </w:r>
      <w:r>
        <w:rPr>
          <w:rFonts w:hint="cs"/>
          <w:rtl/>
        </w:rPr>
        <w:t xml:space="preserve"> لنفسه</w:t>
      </w:r>
      <w:r>
        <w:rPr>
          <w:rFonts w:hint="cs"/>
          <w:vertAlign w:val="superscript"/>
          <w:rtl/>
        </w:rPr>
        <w:t>(</w:t>
      </w:r>
      <w:r>
        <w:rPr>
          <w:rStyle w:val="a7"/>
          <w:rtl/>
        </w:rPr>
        <w:footnoteReference w:id="594"/>
      </w:r>
      <w:r>
        <w:rPr>
          <w:rFonts w:hint="cs"/>
          <w:vertAlign w:val="superscript"/>
          <w:rtl/>
        </w:rPr>
        <w:t>)</w:t>
      </w:r>
      <w:r>
        <w:rPr>
          <w:rFonts w:hint="cs"/>
          <w:rtl/>
        </w:rPr>
        <w:t xml:space="preserve"> - وقيـمة العبد</w:t>
      </w:r>
      <w:r>
        <w:rPr>
          <w:rStyle w:val="a7"/>
          <w:rtl/>
        </w:rPr>
        <w:footnoteReference w:id="595"/>
      </w:r>
      <w:r>
        <w:rPr>
          <w:rFonts w:hint="cs"/>
          <w:rtl/>
        </w:rPr>
        <w:t xml:space="preserve"> يوم الجحود ألفان - فمضت السنة وقيمة العبد ألف درهم، ثم مات العبد في يد المستأجر وقيمته ألف درهم :</w:t>
      </w:r>
    </w:p>
    <w:p w:rsidR="00C10469" w:rsidRDefault="00C10469" w:rsidP="00C10469">
      <w:pPr>
        <w:ind w:left="720" w:firstLine="0"/>
        <w:rPr>
          <w:rtl/>
        </w:rPr>
      </w:pPr>
      <w:r>
        <w:rPr>
          <w:rFonts w:ascii="Wingdings" w:hAnsi="Wingdings"/>
        </w:rPr>
        <w:t></w:t>
      </w:r>
      <w:r>
        <w:rPr>
          <w:rFonts w:hint="cs"/>
          <w:rtl/>
        </w:rPr>
        <w:t xml:space="preserve"> روى هشام عن محمد -رحمه الله- : أن عليه الأجر، ويضمن قيمة العبد بعد سنة، ولم يذكرْ فيه خلافًا.</w:t>
      </w:r>
    </w:p>
    <w:p w:rsidR="00C10469" w:rsidRDefault="00C10469" w:rsidP="00C10469">
      <w:pPr>
        <w:spacing w:line="520" w:lineRule="exact"/>
        <w:ind w:left="706" w:firstLine="0"/>
        <w:rPr>
          <w:spacing w:val="-4"/>
          <w:rtl/>
        </w:rPr>
      </w:pPr>
      <w:r>
        <w:rPr>
          <w:rFonts w:ascii="Wingdings" w:hAnsi="Wingdings"/>
          <w:spacing w:val="-4"/>
        </w:rPr>
        <w:lastRenderedPageBreak/>
        <w:t></w:t>
      </w:r>
      <w:r>
        <w:rPr>
          <w:rFonts w:hint="cs"/>
          <w:spacing w:val="-4"/>
          <w:rtl/>
        </w:rPr>
        <w:t xml:space="preserve"> وذكــر [الـقُـدُوري]</w:t>
      </w:r>
      <w:r>
        <w:rPr>
          <w:rStyle w:val="a7"/>
          <w:spacing w:val="-4"/>
          <w:rtl/>
        </w:rPr>
        <w:footnoteReference w:id="596"/>
      </w:r>
      <w:r>
        <w:rPr>
          <w:rFonts w:hint="cs"/>
          <w:spacing w:val="-4"/>
          <w:vertAlign w:val="superscript"/>
          <w:rtl/>
        </w:rPr>
        <w:t>(</w:t>
      </w:r>
      <w:r>
        <w:rPr>
          <w:rStyle w:val="a7"/>
          <w:spacing w:val="-4"/>
          <w:rtl/>
        </w:rPr>
        <w:footnoteReference w:id="597"/>
      </w:r>
      <w:r>
        <w:rPr>
          <w:rFonts w:hint="cs"/>
          <w:spacing w:val="-4"/>
          <w:vertAlign w:val="superscript"/>
          <w:rtl/>
        </w:rPr>
        <w:t>)</w:t>
      </w:r>
      <w:r>
        <w:rPr>
          <w:rFonts w:hint="cs"/>
          <w:spacing w:val="-4"/>
          <w:rtl/>
        </w:rPr>
        <w:t xml:space="preserve"> : أنّ عـلـى [الـمـسـتــأجـــر -</w:t>
      </w:r>
    </w:p>
    <w:p w:rsidR="00C10469" w:rsidRDefault="00C10469" w:rsidP="00C10469">
      <w:pPr>
        <w:ind w:left="567" w:hanging="3"/>
        <w:rPr>
          <w:rtl/>
        </w:rPr>
      </w:pPr>
      <w:r>
        <w:rPr>
          <w:rFonts w:hint="cs"/>
          <w:spacing w:val="-4"/>
          <w:rtl/>
        </w:rPr>
        <w:t>في]</w:t>
      </w:r>
      <w:r>
        <w:rPr>
          <w:rStyle w:val="a7"/>
          <w:spacing w:val="-4"/>
          <w:rtl/>
        </w:rPr>
        <w:footnoteReference w:id="598"/>
      </w:r>
      <w:r>
        <w:rPr>
          <w:rFonts w:hint="cs"/>
          <w:spacing w:val="-4"/>
          <w:rtl/>
        </w:rPr>
        <w:t xml:space="preserve"> قول أبي يوسف رحمه الله -</w:t>
      </w:r>
      <w:r>
        <w:rPr>
          <w:rFonts w:hint="cs"/>
          <w:rtl/>
        </w:rPr>
        <w:t xml:space="preserve"> أجرَ ما مضى قبل الجحود، وليس عليه</w:t>
      </w:r>
      <w:r>
        <w:rPr>
          <w:rStyle w:val="a7"/>
          <w:rtl/>
        </w:rPr>
        <w:footnoteReference w:id="599"/>
      </w:r>
      <w:r>
        <w:rPr>
          <w:rFonts w:hint="cs"/>
          <w:rtl/>
        </w:rPr>
        <w:t xml:space="preserve"> أجر ما بعد الجحود</w:t>
      </w:r>
      <w:r>
        <w:rPr>
          <w:rFonts w:hint="cs"/>
          <w:vertAlign w:val="superscript"/>
          <w:rtl/>
        </w:rPr>
        <w:t>(</w:t>
      </w:r>
      <w:r>
        <w:rPr>
          <w:rStyle w:val="a7"/>
          <w:rtl/>
        </w:rPr>
        <w:footnoteReference w:id="600"/>
      </w:r>
      <w:r>
        <w:rPr>
          <w:rFonts w:hint="cs"/>
          <w:vertAlign w:val="superscript"/>
          <w:rtl/>
        </w:rPr>
        <w:t>)</w:t>
      </w:r>
      <w:r>
        <w:rPr>
          <w:rFonts w:hint="cs"/>
          <w:rtl/>
        </w:rPr>
        <w:t>.</w:t>
      </w:r>
    </w:p>
    <w:p w:rsidR="00C10469" w:rsidRDefault="00C10469" w:rsidP="00C10469">
      <w:pPr>
        <w:ind w:left="567" w:hanging="3"/>
        <w:rPr>
          <w:rtl/>
        </w:rPr>
      </w:pPr>
      <w:r>
        <w:rPr>
          <w:rFonts w:hint="cs"/>
          <w:rtl/>
        </w:rPr>
        <w:t xml:space="preserve">وأجابه هشام حيث قال : </w:t>
      </w:r>
      <w:r w:rsidRPr="00D7662E">
        <w:rPr>
          <w:rFonts w:hint="cs"/>
          <w:spacing w:val="-4"/>
          <w:rtl/>
        </w:rPr>
        <w:t>قلت</w:t>
      </w:r>
      <w:r>
        <w:rPr>
          <w:rFonts w:hint="cs"/>
          <w:rtl/>
        </w:rPr>
        <w:t xml:space="preserve"> لمحمّد : كيف يجتمع الأجر والضمّان؟. </w:t>
      </w:r>
    </w:p>
    <w:p w:rsidR="00C10469" w:rsidRDefault="00C10469" w:rsidP="00C10469">
      <w:pPr>
        <w:ind w:left="567" w:hanging="3"/>
        <w:rPr>
          <w:rtl/>
        </w:rPr>
      </w:pPr>
      <w:r>
        <w:rPr>
          <w:rFonts w:hint="cs"/>
          <w:rtl/>
        </w:rPr>
        <w:lastRenderedPageBreak/>
        <w:t>قال : لم يجتمعا.</w:t>
      </w:r>
    </w:p>
    <w:p w:rsidR="00C10469" w:rsidRDefault="00C10469" w:rsidP="00C10469">
      <w:pPr>
        <w:rPr>
          <w:rtl/>
        </w:rPr>
      </w:pPr>
      <w:r>
        <w:rPr>
          <w:rFonts w:hint="cs"/>
          <w:rtl/>
        </w:rPr>
        <w:t>قال هشام : أراد بذلك أنه استعمله السَّنة بحكم الإجارة، فلّما مَضَت السنة، والمستأجر ينكر بأنَّ يَدَهُ يَدُ غيره، وصاحبُ العبد</w:t>
      </w:r>
      <w:r>
        <w:rPr>
          <w:rFonts w:hint="cs"/>
          <w:vertAlign w:val="superscript"/>
          <w:rtl/>
        </w:rPr>
        <w:t>(</w:t>
      </w:r>
      <w:r>
        <w:rPr>
          <w:rStyle w:val="a7"/>
          <w:rtl/>
        </w:rPr>
        <w:footnoteReference w:id="601"/>
      </w:r>
      <w:r>
        <w:rPr>
          <w:rFonts w:hint="cs"/>
          <w:vertAlign w:val="superscript"/>
          <w:rtl/>
        </w:rPr>
        <w:t>)</w:t>
      </w:r>
      <w:r>
        <w:rPr>
          <w:rFonts w:hint="cs"/>
          <w:rtl/>
        </w:rPr>
        <w:t xml:space="preserve"> يدّعي يدَ المستأجر لنفسه : فكان على المستأجرِ أن</w:t>
      </w:r>
      <w:r>
        <w:rPr>
          <w:rStyle w:val="a7"/>
          <w:rtl/>
        </w:rPr>
        <w:footnoteReference w:id="602"/>
      </w:r>
      <w:r>
        <w:rPr>
          <w:rFonts w:hint="cs"/>
          <w:rtl/>
        </w:rPr>
        <w:t xml:space="preserve"> يرده، فإن لم يرده</w:t>
      </w:r>
      <w:r>
        <w:rPr>
          <w:rFonts w:hint="cs"/>
          <w:vertAlign w:val="superscript"/>
          <w:rtl/>
        </w:rPr>
        <w:t>(</w:t>
      </w:r>
      <w:r>
        <w:rPr>
          <w:rStyle w:val="a7"/>
          <w:rtl/>
        </w:rPr>
        <w:footnoteReference w:id="603"/>
      </w:r>
      <w:r>
        <w:rPr>
          <w:rFonts w:hint="cs"/>
          <w:vertAlign w:val="superscript"/>
          <w:rtl/>
        </w:rPr>
        <w:t>)</w:t>
      </w:r>
      <w:r>
        <w:rPr>
          <w:rFonts w:hint="cs"/>
          <w:rtl/>
        </w:rPr>
        <w:t xml:space="preserve"> يضمن»</w:t>
      </w:r>
      <w:r>
        <w:rPr>
          <w:rFonts w:hint="cs"/>
          <w:vertAlign w:val="superscript"/>
          <w:rtl/>
        </w:rPr>
        <w:t>(</w:t>
      </w:r>
      <w:r>
        <w:rPr>
          <w:rStyle w:val="a7"/>
          <w:rtl/>
        </w:rPr>
        <w:footnoteReference w:id="604"/>
      </w:r>
      <w:r>
        <w:rPr>
          <w:rFonts w:hint="cs"/>
          <w:vertAlign w:val="superscript"/>
          <w:rtl/>
        </w:rPr>
        <w:t>)</w:t>
      </w:r>
      <w:r>
        <w:rPr>
          <w:rFonts w:hint="cs"/>
          <w:rtl/>
        </w:rPr>
        <w:t>. ذَكَرَ [هُ]</w:t>
      </w:r>
      <w:r>
        <w:rPr>
          <w:rStyle w:val="a7"/>
          <w:rtl/>
        </w:rPr>
        <w:footnoteReference w:id="605"/>
      </w:r>
      <w:r>
        <w:rPr>
          <w:rFonts w:hint="cs"/>
          <w:rtl/>
        </w:rPr>
        <w:t xml:space="preserve"> قاضي خان</w:t>
      </w:r>
      <w:r>
        <w:rPr>
          <w:rFonts w:hint="cs"/>
          <w:vertAlign w:val="superscript"/>
          <w:rtl/>
        </w:rPr>
        <w:t>(</w:t>
      </w:r>
      <w:r>
        <w:rPr>
          <w:rStyle w:val="a7"/>
          <w:rtl/>
        </w:rPr>
        <w:footnoteReference w:id="606"/>
      </w:r>
      <w:r>
        <w:rPr>
          <w:rFonts w:hint="cs"/>
          <w:vertAlign w:val="superscript"/>
          <w:rtl/>
        </w:rPr>
        <w:t>)</w:t>
      </w:r>
      <w:r>
        <w:rPr>
          <w:rFonts w:hint="cs"/>
          <w:rtl/>
        </w:rPr>
        <w:t xml:space="preserve"> في أوائل: «فصلٌ فيما يجب الأجر على المستأجر».</w:t>
      </w:r>
    </w:p>
    <w:p w:rsidR="00C10469" w:rsidRDefault="00C10469" w:rsidP="00C10469">
      <w:pPr>
        <w:rPr>
          <w:rtl/>
        </w:rPr>
      </w:pPr>
      <w:r>
        <w:rPr>
          <w:rFonts w:hint="cs"/>
          <w:rtl/>
        </w:rPr>
        <w:t>وهذا يشعر بأنّ الاختلاف بينهما</w:t>
      </w:r>
      <w:r>
        <w:rPr>
          <w:rStyle w:val="a7"/>
          <w:rtl/>
        </w:rPr>
        <w:footnoteReference w:id="607"/>
      </w:r>
      <w:r>
        <w:rPr>
          <w:rFonts w:hint="cs"/>
          <w:vertAlign w:val="superscript"/>
          <w:rtl/>
        </w:rPr>
        <w:t>(</w:t>
      </w:r>
      <w:r>
        <w:rPr>
          <w:rStyle w:val="a7"/>
          <w:rtl/>
        </w:rPr>
        <w:footnoteReference w:id="608"/>
      </w:r>
      <w:r>
        <w:rPr>
          <w:rFonts w:hint="cs"/>
          <w:vertAlign w:val="superscript"/>
          <w:rtl/>
        </w:rPr>
        <w:t>)</w:t>
      </w:r>
      <w:r>
        <w:rPr>
          <w:rFonts w:hint="cs"/>
          <w:rtl/>
        </w:rPr>
        <w:t xml:space="preserve"> بوجهين :</w:t>
      </w:r>
    </w:p>
    <w:p w:rsidR="00C10469" w:rsidRDefault="00C10469" w:rsidP="00C10469">
      <w:pPr>
        <w:rPr>
          <w:spacing w:val="-6"/>
          <w:rtl/>
        </w:rPr>
      </w:pPr>
      <w:r>
        <w:rPr>
          <w:rFonts w:hint="cs"/>
          <w:b/>
          <w:bCs/>
          <w:spacing w:val="-6"/>
          <w:rtl/>
        </w:rPr>
        <w:t>أحدهما</w:t>
      </w:r>
      <w:r>
        <w:rPr>
          <w:rStyle w:val="a7"/>
          <w:b/>
          <w:spacing w:val="-6"/>
          <w:rtl/>
        </w:rPr>
        <w:footnoteReference w:id="609"/>
      </w:r>
      <w:r>
        <w:rPr>
          <w:rFonts w:hint="cs"/>
          <w:spacing w:val="-6"/>
          <w:rtl/>
        </w:rPr>
        <w:t xml:space="preserve"> : فيما جحد المستأجرُ وادَّعى العبدَ لنفسه في مدة الإجارة، ومات فيها العبد :</w:t>
      </w:r>
    </w:p>
    <w:p w:rsidR="00C10469" w:rsidRDefault="00C10469" w:rsidP="00C10469">
      <w:pPr>
        <w:ind w:left="848" w:firstLine="0"/>
        <w:rPr>
          <w:rtl/>
        </w:rPr>
      </w:pPr>
      <w:r>
        <w:rPr>
          <w:b/>
          <w:bCs/>
          <w:rtl/>
        </w:rPr>
        <w:lastRenderedPageBreak/>
        <w:t>•</w:t>
      </w:r>
      <w:r>
        <w:rPr>
          <w:rFonts w:hint="cs"/>
          <w:b/>
          <w:bCs/>
          <w:rtl/>
        </w:rPr>
        <w:t xml:space="preserve"> </w:t>
      </w:r>
      <w:r>
        <w:rPr>
          <w:rFonts w:hint="cs"/>
          <w:rtl/>
        </w:rPr>
        <w:t>فعند أبي يوسف : على المستأجر أجرُ ما مضى</w:t>
      </w:r>
      <w:r>
        <w:rPr>
          <w:rFonts w:hint="cs"/>
          <w:vertAlign w:val="superscript"/>
          <w:rtl/>
        </w:rPr>
        <w:t>(</w:t>
      </w:r>
      <w:r>
        <w:rPr>
          <w:rStyle w:val="a7"/>
          <w:rtl/>
        </w:rPr>
        <w:footnoteReference w:id="610"/>
      </w:r>
      <w:r>
        <w:rPr>
          <w:rFonts w:hint="cs"/>
          <w:vertAlign w:val="superscript"/>
          <w:rtl/>
        </w:rPr>
        <w:t>)</w:t>
      </w:r>
      <w:r>
        <w:rPr>
          <w:rFonts w:hint="cs"/>
          <w:rtl/>
        </w:rPr>
        <w:t>، ويضمنُ العبدَ؛ لأن العبد إنما دخل في ضمانه عند الجحود مقتصرًا</w:t>
      </w:r>
      <w:r>
        <w:rPr>
          <w:rFonts w:hint="cs"/>
          <w:vertAlign w:val="superscript"/>
          <w:rtl/>
        </w:rPr>
        <w:t>(</w:t>
      </w:r>
      <w:r>
        <w:rPr>
          <w:rStyle w:val="a7"/>
          <w:rtl/>
        </w:rPr>
        <w:footnoteReference w:id="611"/>
      </w:r>
      <w:r>
        <w:rPr>
          <w:rFonts w:hint="cs"/>
          <w:vertAlign w:val="superscript"/>
          <w:rtl/>
        </w:rPr>
        <w:t>)</w:t>
      </w:r>
      <w:r>
        <w:rPr>
          <w:rFonts w:hint="cs"/>
          <w:rtl/>
        </w:rPr>
        <w:t>. ففيما مضى : استعمل</w:t>
      </w:r>
      <w:r>
        <w:rPr>
          <w:rFonts w:hint="cs"/>
          <w:vertAlign w:val="superscript"/>
          <w:rtl/>
        </w:rPr>
        <w:t>(</w:t>
      </w:r>
      <w:r>
        <w:rPr>
          <w:rStyle w:val="a7"/>
          <w:rtl/>
        </w:rPr>
        <w:footnoteReference w:id="612"/>
      </w:r>
      <w:r>
        <w:rPr>
          <w:rFonts w:hint="cs"/>
          <w:vertAlign w:val="superscript"/>
          <w:rtl/>
        </w:rPr>
        <w:t>)</w:t>
      </w:r>
      <w:r>
        <w:rPr>
          <w:rFonts w:hint="cs"/>
          <w:rtl/>
        </w:rPr>
        <w:t xml:space="preserve"> بحكم الإجارة، فلا يجتمع الأجر والضمان.</w:t>
      </w:r>
    </w:p>
    <w:p w:rsidR="00C10469" w:rsidRDefault="00C10469" w:rsidP="00C10469">
      <w:pPr>
        <w:spacing w:line="560" w:lineRule="exact"/>
        <w:ind w:left="989" w:hanging="141"/>
        <w:rPr>
          <w:rtl/>
        </w:rPr>
      </w:pPr>
      <w:r>
        <w:rPr>
          <w:b/>
          <w:bCs/>
          <w:rtl/>
        </w:rPr>
        <w:t>•</w:t>
      </w:r>
      <w:r>
        <w:rPr>
          <w:rFonts w:hint="cs"/>
          <w:b/>
          <w:bCs/>
          <w:rtl/>
        </w:rPr>
        <w:t xml:space="preserve"> </w:t>
      </w:r>
      <w:r w:rsidRPr="008E12C4">
        <w:rPr>
          <w:rFonts w:hint="cs"/>
          <w:rtl/>
        </w:rPr>
        <w:t>وعند محمد :</w:t>
      </w:r>
      <w:r>
        <w:rPr>
          <w:rFonts w:hint="cs"/>
          <w:rtl/>
        </w:rPr>
        <w:t xml:space="preserve"> لا يلزم على المستأجر شيء من الأجر؛ لأن الجحود يستند إلى ما قبل عقد الإجارة، فكان جاحدًا للإجارة في الأصل، وإلاّ يلزمُ الدعوى بعد الاستئجار</w:t>
      </w:r>
      <w:r>
        <w:rPr>
          <w:rFonts w:hint="cs"/>
          <w:vertAlign w:val="superscript"/>
          <w:rtl/>
        </w:rPr>
        <w:t>(</w:t>
      </w:r>
      <w:r>
        <w:rPr>
          <w:rStyle w:val="a7"/>
          <w:rtl/>
        </w:rPr>
        <w:footnoteReference w:id="613"/>
      </w:r>
      <w:r>
        <w:rPr>
          <w:rFonts w:hint="cs"/>
          <w:vertAlign w:val="superscript"/>
          <w:rtl/>
        </w:rPr>
        <w:t>)</w:t>
      </w:r>
      <w:r>
        <w:rPr>
          <w:rFonts w:hint="cs"/>
          <w:rtl/>
        </w:rPr>
        <w:t>، وهذا ممّا لا يجوز؛ لأن الاستيهاب والاستئجار يمنع دعوى</w:t>
      </w:r>
      <w:r>
        <w:rPr>
          <w:rFonts w:hint="eastAsia"/>
          <w:rtl/>
        </w:rPr>
        <w:t> </w:t>
      </w:r>
      <w:r>
        <w:rPr>
          <w:rFonts w:hint="cs"/>
          <w:rtl/>
        </w:rPr>
        <w:t>الملك.</w:t>
      </w:r>
    </w:p>
    <w:p w:rsidR="00C10469" w:rsidRDefault="00C10469" w:rsidP="00C10469">
      <w:pPr>
        <w:rPr>
          <w:rtl/>
        </w:rPr>
      </w:pPr>
      <w:r>
        <w:rPr>
          <w:rFonts w:hint="cs"/>
          <w:b/>
          <w:bCs/>
          <w:rtl/>
        </w:rPr>
        <w:t xml:space="preserve">والوجه </w:t>
      </w:r>
      <w:r>
        <w:rPr>
          <w:rStyle w:val="a7"/>
          <w:b/>
          <w:rtl/>
        </w:rPr>
        <w:footnoteReference w:id="614"/>
      </w:r>
      <w:r>
        <w:rPr>
          <w:rFonts w:hint="cs"/>
          <w:b/>
          <w:bCs/>
          <w:rtl/>
        </w:rPr>
        <w:t xml:space="preserve"> الآخر</w:t>
      </w:r>
      <w:r>
        <w:rPr>
          <w:rFonts w:hint="cs"/>
          <w:rtl/>
        </w:rPr>
        <w:t xml:space="preserve"> : فيما جحد المستأجِر في المدة، ومات العبد بعد مدة :</w:t>
      </w:r>
    </w:p>
    <w:p w:rsidR="00C10469" w:rsidRDefault="00C10469" w:rsidP="00C10469">
      <w:pPr>
        <w:spacing w:line="560" w:lineRule="exact"/>
        <w:ind w:left="989" w:hanging="141"/>
      </w:pPr>
      <w:r>
        <w:rPr>
          <w:b/>
          <w:bCs/>
          <w:rtl/>
        </w:rPr>
        <w:t>•</w:t>
      </w:r>
      <w:r>
        <w:rPr>
          <w:rFonts w:hint="cs"/>
          <w:b/>
          <w:bCs/>
          <w:rtl/>
        </w:rPr>
        <w:t xml:space="preserve"> </w:t>
      </w:r>
      <w:r>
        <w:rPr>
          <w:rFonts w:hint="cs"/>
          <w:rtl/>
        </w:rPr>
        <w:t>فعند أبي</w:t>
      </w:r>
      <w:r>
        <w:rPr>
          <w:rStyle w:val="a7"/>
          <w:rtl/>
        </w:rPr>
        <w:footnoteReference w:id="615"/>
      </w:r>
      <w:r>
        <w:rPr>
          <w:rFonts w:hint="cs"/>
          <w:rtl/>
        </w:rPr>
        <w:t xml:space="preserve"> يوسف: أجر ما مضى</w:t>
      </w:r>
      <w:r>
        <w:rPr>
          <w:rFonts w:hint="cs"/>
          <w:vertAlign w:val="superscript"/>
          <w:rtl/>
        </w:rPr>
        <w:t>(</w:t>
      </w:r>
      <w:r>
        <w:rPr>
          <w:rStyle w:val="a7"/>
          <w:rtl/>
        </w:rPr>
        <w:footnoteReference w:id="616"/>
      </w:r>
      <w:r>
        <w:rPr>
          <w:rFonts w:hint="cs"/>
          <w:vertAlign w:val="superscript"/>
          <w:rtl/>
        </w:rPr>
        <w:t>)</w:t>
      </w:r>
      <w:r>
        <w:rPr>
          <w:rFonts w:hint="cs"/>
          <w:rtl/>
        </w:rPr>
        <w:t xml:space="preserve"> وقيمة العبد، وليس عليه أجر ما بعد الجحود؛ لأنه دخل في ضمانه</w:t>
      </w:r>
      <w:r>
        <w:rPr>
          <w:rStyle w:val="a7"/>
          <w:rtl/>
        </w:rPr>
        <w:footnoteReference w:id="617"/>
      </w:r>
      <w:r>
        <w:rPr>
          <w:rFonts w:hint="cs"/>
          <w:rtl/>
        </w:rPr>
        <w:t xml:space="preserve"> عند الجحود -كما مرّ-</w:t>
      </w:r>
      <w:r>
        <w:rPr>
          <w:rFonts w:hint="cs"/>
          <w:vertAlign w:val="superscript"/>
          <w:rtl/>
        </w:rPr>
        <w:t>(</w:t>
      </w:r>
      <w:r>
        <w:rPr>
          <w:rStyle w:val="a7"/>
          <w:rtl/>
        </w:rPr>
        <w:footnoteReference w:id="618"/>
      </w:r>
      <w:r>
        <w:rPr>
          <w:rFonts w:hint="cs"/>
          <w:vertAlign w:val="superscript"/>
          <w:rtl/>
        </w:rPr>
        <w:t>)</w:t>
      </w:r>
      <w:r>
        <w:rPr>
          <w:rFonts w:hint="cs"/>
          <w:rtl/>
        </w:rPr>
        <w:t>.</w:t>
      </w:r>
    </w:p>
    <w:p w:rsidR="00C10469" w:rsidRDefault="00C10469" w:rsidP="00C10469">
      <w:pPr>
        <w:spacing w:line="560" w:lineRule="exact"/>
        <w:ind w:left="989" w:hanging="141"/>
      </w:pPr>
      <w:r>
        <w:rPr>
          <w:b/>
          <w:bCs/>
          <w:rtl/>
        </w:rPr>
        <w:t>•</w:t>
      </w:r>
      <w:r>
        <w:rPr>
          <w:rFonts w:hint="cs"/>
          <w:rtl/>
        </w:rPr>
        <w:t xml:space="preserve"> و</w:t>
      </w:r>
      <w:r>
        <w:rPr>
          <w:rStyle w:val="a7"/>
          <w:rtl/>
        </w:rPr>
        <w:footnoteReference w:id="619"/>
      </w:r>
      <w:r>
        <w:rPr>
          <w:rFonts w:hint="cs"/>
          <w:vertAlign w:val="superscript"/>
          <w:rtl/>
        </w:rPr>
        <w:t xml:space="preserve"> </w:t>
      </w:r>
      <w:r>
        <w:rPr>
          <w:rFonts w:hint="cs"/>
          <w:rtl/>
        </w:rPr>
        <w:t>عند محمد : عليه الضمان وأجر ما مضى وأجر ما بعد الجحود وقيمة العبد. ودليله ما ذكره هشام</w:t>
      </w:r>
      <w:r>
        <w:rPr>
          <w:rFonts w:hint="cs"/>
          <w:vertAlign w:val="superscript"/>
          <w:rtl/>
        </w:rPr>
        <w:t>(</w:t>
      </w:r>
      <w:r>
        <w:rPr>
          <w:rStyle w:val="a7"/>
          <w:rtl/>
        </w:rPr>
        <w:footnoteReference w:id="620"/>
      </w:r>
      <w:r>
        <w:rPr>
          <w:rFonts w:hint="cs"/>
          <w:vertAlign w:val="superscript"/>
          <w:rtl/>
        </w:rPr>
        <w:t>)</w:t>
      </w:r>
      <w:r>
        <w:rPr>
          <w:rFonts w:hint="cs"/>
          <w:rtl/>
        </w:rPr>
        <w:t>.</w:t>
      </w:r>
    </w:p>
    <w:p w:rsidR="00C10469" w:rsidRDefault="00C10469" w:rsidP="00C10469">
      <w:pPr>
        <w:ind w:left="989" w:hanging="141"/>
        <w:rPr>
          <w:rtl/>
        </w:rPr>
      </w:pPr>
      <w:r>
        <w:rPr>
          <w:rFonts w:hint="cs"/>
          <w:rtl/>
        </w:rPr>
        <w:lastRenderedPageBreak/>
        <w:t>والعلم بالحقيقة عند الله.</w:t>
      </w:r>
    </w:p>
    <w:p w:rsidR="00C10469" w:rsidRDefault="00C10469" w:rsidP="00C10469">
      <w:pPr>
        <w:rPr>
          <w:rtl/>
        </w:rPr>
      </w:pPr>
    </w:p>
    <w:p w:rsidR="00C10469" w:rsidRPr="00906863" w:rsidRDefault="00C10469" w:rsidP="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rPr>
          <w:rtl/>
        </w:rPr>
        <w:sectPr w:rsidR="00C10469">
          <w:headerReference w:type="even" r:id="rId34"/>
          <w:headerReference w:type="default" r:id="rId35"/>
          <w:footerReference w:type="even" r:id="rId36"/>
          <w:footerReference w:type="default" r:id="rId37"/>
          <w:footnotePr>
            <w:pos w:val="beneathText"/>
            <w:numRestart w:val="eachPage"/>
          </w:footnotePr>
          <w:endnotePr>
            <w:numFmt w:val="decimal"/>
          </w:endnotePr>
          <w:pgSz w:w="11906" w:h="16838" w:code="9"/>
          <w:pgMar w:top="2268" w:right="1985" w:bottom="1418" w:left="1418" w:header="680" w:footer="851" w:gutter="284"/>
          <w:pgNumType w:start="252"/>
          <w:cols w:space="720"/>
          <w:bidi/>
          <w:rtlGutter/>
        </w:sectPr>
      </w:pPr>
    </w:p>
    <w:p w:rsidR="00C10469" w:rsidRPr="00303CF2" w:rsidRDefault="00C10469" w:rsidP="00C10469">
      <w:pPr>
        <w:pStyle w:val="a9"/>
        <w:rPr>
          <w:rFonts w:cs="AL-Mateen"/>
          <w:rtl/>
        </w:rPr>
      </w:pPr>
      <w:r w:rsidRPr="00303CF2">
        <w:rPr>
          <w:rFonts w:cs="AL-Mateen" w:hint="cs"/>
          <w:rtl/>
        </w:rPr>
        <w:lastRenderedPageBreak/>
        <w:t>[القاعدة الثامنة]</w:t>
      </w:r>
    </w:p>
    <w:p w:rsidR="00C10469" w:rsidRDefault="00C10469" w:rsidP="00C10469">
      <w:pPr>
        <w:rPr>
          <w:b/>
          <w:bCs/>
          <w:rtl/>
        </w:rPr>
      </w:pPr>
      <w:r>
        <w:rPr>
          <w:rFonts w:cs="Monotype Koufi" w:hint="cs"/>
          <w:rtl/>
        </w:rPr>
        <w:t>اخِْتـلافُ الأسْبـابِ بِـمَنْـزِلـَةِ اختـلافِ الأعْيـانِ</w:t>
      </w:r>
      <w:r>
        <w:rPr>
          <w:rFonts w:hint="cs"/>
          <w:b/>
          <w:bCs/>
          <w:vertAlign w:val="superscript"/>
          <w:rtl/>
        </w:rPr>
        <w:t>(</w:t>
      </w:r>
      <w:r>
        <w:rPr>
          <w:rStyle w:val="a7"/>
          <w:b/>
          <w:rtl/>
        </w:rPr>
        <w:footnoteReference w:id="621"/>
      </w:r>
      <w:r>
        <w:rPr>
          <w:rFonts w:hint="cs"/>
          <w:b/>
          <w:bCs/>
          <w:vertAlign w:val="superscript"/>
          <w:rtl/>
        </w:rPr>
        <w:t>)</w:t>
      </w:r>
      <w:r>
        <w:rPr>
          <w:rFonts w:hint="cs"/>
          <w:b/>
          <w:bCs/>
          <w:rtl/>
        </w:rPr>
        <w:t>:</w:t>
      </w:r>
    </w:p>
    <w:p w:rsidR="00C10469" w:rsidRDefault="00C10469" w:rsidP="00C10469">
      <w:pPr>
        <w:rPr>
          <w:rtl/>
        </w:rPr>
      </w:pPr>
      <w:r>
        <w:rPr>
          <w:rFonts w:hint="cs"/>
          <w:b/>
          <w:bCs/>
          <w:rtl/>
        </w:rPr>
        <w:t>ولذا</w:t>
      </w:r>
      <w:r>
        <w:rPr>
          <w:rFonts w:hint="cs"/>
          <w:rtl/>
        </w:rPr>
        <w:t>: «لو اشترى البائع المبيع قبل قبض الثمن من مشتريه بلا واسطةِ مشترٍ آخر بأقلّ ممّا باعه : لم يجز</w:t>
      </w:r>
      <w:r>
        <w:rPr>
          <w:rStyle w:val="a7"/>
          <w:rtl/>
        </w:rPr>
        <w:footnoteReference w:id="622"/>
      </w:r>
      <w:r>
        <w:rPr>
          <w:rFonts w:hint="cs"/>
          <w:rtl/>
        </w:rPr>
        <w:t>. وبواسطة مشتر آخر</w:t>
      </w:r>
      <w:r>
        <w:rPr>
          <w:rStyle w:val="a7"/>
          <w:rtl/>
        </w:rPr>
        <w:footnoteReference w:id="623"/>
      </w:r>
      <w:r>
        <w:rPr>
          <w:rFonts w:hint="cs"/>
          <w:rtl/>
        </w:rPr>
        <w:t xml:space="preserve"> : يجوز؛ لأن اختلاف السبـب (وهو العقد) ينـزَّل منـزلة </w:t>
      </w:r>
      <w:r>
        <w:rPr>
          <w:rFonts w:hint="cs"/>
          <w:spacing w:val="6"/>
          <w:rtl/>
        </w:rPr>
        <w:t>اختـلاف العـين»</w:t>
      </w:r>
      <w:r>
        <w:rPr>
          <w:rFonts w:hint="cs"/>
          <w:spacing w:val="6"/>
          <w:vertAlign w:val="superscript"/>
          <w:rtl/>
        </w:rPr>
        <w:t>(</w:t>
      </w:r>
      <w:r>
        <w:rPr>
          <w:rStyle w:val="a7"/>
          <w:spacing w:val="6"/>
          <w:rtl/>
        </w:rPr>
        <w:footnoteReference w:id="624"/>
      </w:r>
      <w:r>
        <w:rPr>
          <w:rFonts w:hint="cs"/>
          <w:spacing w:val="6"/>
          <w:vertAlign w:val="superscript"/>
          <w:rtl/>
        </w:rPr>
        <w:t>)</w:t>
      </w:r>
      <w:r>
        <w:rPr>
          <w:rFonts w:hint="cs"/>
          <w:spacing w:val="6"/>
          <w:rtl/>
        </w:rPr>
        <w:t xml:space="preserve">  (وهـو</w:t>
      </w:r>
      <w:r>
        <w:rPr>
          <w:rFonts w:hint="cs"/>
          <w:rtl/>
        </w:rPr>
        <w:t xml:space="preserve"> المبـيع)، فصار كـأنّه اشترى</w:t>
      </w:r>
    </w:p>
    <w:p w:rsidR="00C10469" w:rsidRDefault="00C10469" w:rsidP="00C10469">
      <w:pPr>
        <w:rPr>
          <w:rtl/>
        </w:rPr>
      </w:pPr>
      <w:r>
        <w:rPr>
          <w:rFonts w:hint="cs"/>
          <w:rtl/>
        </w:rPr>
        <w:lastRenderedPageBreak/>
        <w:t>غير ما باع، فيجوز كيف ما كان.</w:t>
      </w:r>
    </w:p>
    <w:p w:rsidR="00C10469" w:rsidRDefault="00C10469" w:rsidP="00C10469">
      <w:pPr>
        <w:pStyle w:val="a9"/>
        <w:rPr>
          <w:rFonts w:cs="Traditional Arabic"/>
          <w:sz w:val="20"/>
          <w:rtl/>
        </w:rPr>
      </w:pPr>
    </w:p>
    <w:p w:rsidR="00C10469" w:rsidRDefault="00C10469" w:rsidP="00C10469">
      <w:pPr>
        <w:pStyle w:val="a9"/>
        <w:rPr>
          <w:rFonts w:cs="Traditional Arabic"/>
          <w:sz w:val="20"/>
          <w:rtl/>
        </w:rPr>
      </w:pPr>
    </w:p>
    <w:p w:rsidR="00C10469" w:rsidRPr="005166A7" w:rsidRDefault="00C10469" w:rsidP="00C10469">
      <w:pPr>
        <w:pStyle w:val="a9"/>
        <w:rPr>
          <w:rFonts w:cs="Traditional Arabic"/>
          <w:sz w:val="40"/>
          <w:szCs w:val="40"/>
          <w:rtl/>
        </w:rPr>
      </w:pPr>
      <w:r>
        <w:rPr>
          <w:rFonts w:ascii="AGA Arabesque" w:hAnsi="AGA Arabesque"/>
          <w:sz w:val="40"/>
          <w:szCs w:val="40"/>
          <w:lang w:val="en-US"/>
        </w:rPr>
        <w:t></w:t>
      </w:r>
      <w:r>
        <w:rPr>
          <w:rFonts w:ascii="AGA Arabesque" w:hAnsi="AGA Arabesque"/>
          <w:sz w:val="40"/>
          <w:szCs w:val="40"/>
          <w:lang w:val="en-US"/>
        </w:rPr>
        <w:t></w:t>
      </w:r>
      <w:r>
        <w:rPr>
          <w:rFonts w:ascii="AGA Arabesque" w:hAnsi="AGA Arabesque"/>
          <w:sz w:val="40"/>
          <w:szCs w:val="40"/>
          <w:lang w:val="en-US"/>
        </w:rPr>
        <w:t></w:t>
      </w:r>
    </w:p>
    <w:p w:rsidR="00C10469" w:rsidRDefault="00C10469" w:rsidP="00C10469">
      <w:pPr>
        <w:pStyle w:val="a9"/>
        <w:rPr>
          <w:rFonts w:cs="Traditional Arabic"/>
          <w:sz w:val="20"/>
          <w:rtl/>
        </w:rPr>
      </w:pPr>
    </w:p>
    <w:p w:rsidR="00C10469" w:rsidRDefault="00C10469" w:rsidP="00C10469">
      <w:pPr>
        <w:pStyle w:val="a9"/>
        <w:rPr>
          <w:rFonts w:cs="Traditional Arabic"/>
          <w:sz w:val="20"/>
          <w:rtl/>
        </w:rPr>
      </w:pPr>
    </w:p>
    <w:p w:rsidR="00C10469" w:rsidRDefault="00C10469" w:rsidP="00C10469">
      <w:pPr>
        <w:pStyle w:val="a9"/>
        <w:rPr>
          <w:rFonts w:cs="Traditional Arabic"/>
          <w:sz w:val="20"/>
          <w:rtl/>
        </w:rPr>
      </w:pPr>
    </w:p>
    <w:p w:rsidR="00C10469" w:rsidRDefault="00C10469" w:rsidP="00C10469">
      <w:pPr>
        <w:pStyle w:val="a9"/>
        <w:rPr>
          <w:rFonts w:cs="Traditional Arabic"/>
          <w:sz w:val="20"/>
          <w:rtl/>
        </w:rPr>
      </w:pPr>
    </w:p>
    <w:p w:rsidR="00C10469" w:rsidRDefault="00C10469" w:rsidP="00C10469">
      <w:pPr>
        <w:pStyle w:val="a9"/>
        <w:rPr>
          <w:rFonts w:cs="Traditional Arabic"/>
          <w:sz w:val="20"/>
          <w:rtl/>
        </w:rPr>
      </w:pPr>
    </w:p>
    <w:p w:rsidR="00C10469" w:rsidRDefault="00C10469" w:rsidP="00C10469">
      <w:pPr>
        <w:pStyle w:val="a9"/>
        <w:rPr>
          <w:rFonts w:cs="Traditional Arabic"/>
          <w:sz w:val="20"/>
          <w:rtl/>
        </w:rPr>
      </w:pPr>
    </w:p>
    <w:p w:rsidR="00C10469" w:rsidRDefault="00C10469" w:rsidP="00C10469">
      <w:pPr>
        <w:ind w:firstLine="0"/>
        <w:rPr>
          <w:rtl/>
        </w:rPr>
      </w:pPr>
    </w:p>
    <w:p w:rsidR="00C10469" w:rsidRDefault="00C10469" w:rsidP="00C10469">
      <w:pPr>
        <w:rPr>
          <w:rtl/>
        </w:rPr>
      </w:pPr>
    </w:p>
    <w:p w:rsidR="00C10469" w:rsidRDefault="00C10469" w:rsidP="00C10469">
      <w:pPr>
        <w:rPr>
          <w:rtl/>
        </w:rPr>
      </w:pPr>
    </w:p>
    <w:p w:rsidR="00C10469" w:rsidRDefault="00C10469" w:rsidP="00C10469">
      <w:pPr>
        <w:rPr>
          <w:rtl/>
        </w:rPr>
        <w:sectPr w:rsidR="00C10469">
          <w:headerReference w:type="even" r:id="rId38"/>
          <w:headerReference w:type="default" r:id="rId39"/>
          <w:footerReference w:type="even" r:id="rId40"/>
          <w:footerReference w:type="default" r:id="rId41"/>
          <w:footnotePr>
            <w:pos w:val="beneathText"/>
            <w:numRestart w:val="eachPage"/>
          </w:footnotePr>
          <w:endnotePr>
            <w:numFmt w:val="decimal"/>
          </w:endnotePr>
          <w:pgSz w:w="11906" w:h="16838" w:code="9"/>
          <w:pgMar w:top="2268" w:right="1985" w:bottom="1418" w:left="1418" w:header="680" w:footer="851" w:gutter="284"/>
          <w:pgNumType w:start="264"/>
          <w:cols w:space="720"/>
          <w:bidi/>
          <w:rtlGutter/>
        </w:sectPr>
      </w:pPr>
    </w:p>
    <w:p w:rsidR="00C10469" w:rsidRPr="00CA7B53" w:rsidRDefault="00C10469" w:rsidP="00C10469">
      <w:pPr>
        <w:pStyle w:val="a9"/>
        <w:rPr>
          <w:rFonts w:cs="AL-Mateen"/>
          <w:rtl/>
        </w:rPr>
      </w:pPr>
      <w:r w:rsidRPr="00CA7B53">
        <w:rPr>
          <w:rFonts w:cs="AL-Mateen" w:hint="cs"/>
          <w:rtl/>
        </w:rPr>
        <w:lastRenderedPageBreak/>
        <w:t>[القـاعـدة التـاسـعـة]</w:t>
      </w:r>
    </w:p>
    <w:p w:rsidR="00C10469" w:rsidRDefault="00C10469" w:rsidP="00C10469">
      <w:pPr>
        <w:rPr>
          <w:b/>
          <w:bCs/>
          <w:rtl/>
        </w:rPr>
      </w:pPr>
      <w:r>
        <w:rPr>
          <w:rFonts w:cs="Monotype Koufi" w:hint="cs"/>
          <w:rtl/>
        </w:rPr>
        <w:t>الإخبارُ إذَا رُدّ فِي حقِّ غيرِهِ باقٍ في حقِّ نفسِهِ</w:t>
      </w:r>
      <w:r>
        <w:rPr>
          <w:rFonts w:hint="cs"/>
          <w:b/>
          <w:bCs/>
          <w:vertAlign w:val="superscript"/>
          <w:rtl/>
        </w:rPr>
        <w:t>(</w:t>
      </w:r>
      <w:r>
        <w:rPr>
          <w:rStyle w:val="a7"/>
          <w:b/>
        </w:rPr>
        <w:footnoteReference w:id="625"/>
      </w:r>
      <w:r>
        <w:rPr>
          <w:rFonts w:hint="cs"/>
          <w:b/>
          <w:bCs/>
          <w:vertAlign w:val="superscript"/>
          <w:rtl/>
        </w:rPr>
        <w:t>)</w:t>
      </w:r>
      <w:r>
        <w:rPr>
          <w:rFonts w:hint="cs"/>
          <w:b/>
          <w:bCs/>
          <w:rtl/>
        </w:rPr>
        <w:t xml:space="preserve"> :</w:t>
      </w:r>
    </w:p>
    <w:p w:rsidR="00C10469" w:rsidRDefault="00C10469" w:rsidP="00C10469">
      <w:pPr>
        <w:rPr>
          <w:rtl/>
        </w:rPr>
      </w:pPr>
      <w:r>
        <w:rPr>
          <w:rFonts w:hint="cs"/>
          <w:rtl/>
        </w:rPr>
        <w:t>كما إذا أخبر بحريَّة عبد الغير : يُـرَدُّ إخباره في حق ذلك الغير، فإذا مَلَكَهُ المخبِرُ بعد ذلك</w:t>
      </w:r>
      <w:r>
        <w:rPr>
          <w:rStyle w:val="a7"/>
          <w:rtl/>
        </w:rPr>
        <w:footnoteReference w:id="626"/>
      </w:r>
      <w:r>
        <w:rPr>
          <w:rFonts w:hint="cs"/>
          <w:rtl/>
        </w:rPr>
        <w:t>: صار حرًّا</w:t>
      </w:r>
      <w:r>
        <w:rPr>
          <w:rFonts w:hint="cs"/>
          <w:vertAlign w:val="superscript"/>
          <w:rtl/>
        </w:rPr>
        <w:t>(</w:t>
      </w:r>
      <w:r>
        <w:rPr>
          <w:rStyle w:val="a7"/>
          <w:rtl/>
        </w:rPr>
        <w:footnoteReference w:id="627"/>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Default="00C10469" w:rsidP="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sectPr w:rsidR="00C10469" w:rsidSect="00C10469">
          <w:headerReference w:type="default" r:id="rId4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512C6" w:rsidRDefault="00C10469" w:rsidP="00C10469">
      <w:pPr>
        <w:pStyle w:val="a9"/>
        <w:rPr>
          <w:rFonts w:cs="AL-Mateen"/>
          <w:rtl/>
        </w:rPr>
      </w:pPr>
      <w:r w:rsidRPr="00F512C6">
        <w:rPr>
          <w:rFonts w:cs="AL-Mateen" w:hint="cs"/>
          <w:rtl/>
        </w:rPr>
        <w:lastRenderedPageBreak/>
        <w:t>[ القـاعـدة العـاشـرة ]</w:t>
      </w:r>
    </w:p>
    <w:p w:rsidR="00C10469" w:rsidRDefault="00C10469" w:rsidP="00C10469">
      <w:pPr>
        <w:rPr>
          <w:b/>
          <w:bCs/>
          <w:rtl/>
        </w:rPr>
      </w:pPr>
      <w:r>
        <w:rPr>
          <w:rFonts w:cs="Monotype Koufi" w:hint="cs"/>
          <w:rtl/>
        </w:rPr>
        <w:t>« إذَا بَطَلَ الشَّيءُ بطلَ ما في ضِمنِهِ</w:t>
      </w:r>
      <w:r>
        <w:rPr>
          <w:rFonts w:hint="cs"/>
          <w:b/>
          <w:bCs/>
          <w:vertAlign w:val="superscript"/>
          <w:rtl/>
        </w:rPr>
        <w:t>(</w:t>
      </w:r>
      <w:r>
        <w:rPr>
          <w:rStyle w:val="a7"/>
          <w:b/>
          <w:rtl/>
        </w:rPr>
        <w:footnoteReference w:id="628"/>
      </w:r>
      <w:r>
        <w:rPr>
          <w:rFonts w:hint="cs"/>
          <w:b/>
          <w:bCs/>
          <w:vertAlign w:val="superscript"/>
          <w:rtl/>
        </w:rPr>
        <w:t>)</w:t>
      </w:r>
      <w:r>
        <w:rPr>
          <w:rFonts w:hint="cs"/>
          <w:b/>
          <w:bCs/>
          <w:rtl/>
        </w:rPr>
        <w:t xml:space="preserve"> :</w:t>
      </w:r>
    </w:p>
    <w:p w:rsidR="00C10469" w:rsidRDefault="00C10469" w:rsidP="00C10469">
      <w:pPr>
        <w:rPr>
          <w:rtl/>
        </w:rPr>
      </w:pPr>
      <w:r>
        <w:rPr>
          <w:rFonts w:hint="cs"/>
          <w:rtl/>
        </w:rPr>
        <w:t>وهو معنى قولهم : إذا بطل المتضمِّن (بالكسر) بطلَ المتضمَّن (بالفتح)»</w:t>
      </w:r>
      <w:r>
        <w:rPr>
          <w:rFonts w:hint="cs"/>
          <w:vertAlign w:val="superscript"/>
          <w:rtl/>
        </w:rPr>
        <w:t>(</w:t>
      </w:r>
      <w:r>
        <w:rPr>
          <w:rStyle w:val="a7"/>
          <w:rtl/>
        </w:rPr>
        <w:footnoteReference w:id="629"/>
      </w:r>
      <w:r>
        <w:rPr>
          <w:rFonts w:hint="cs"/>
          <w:vertAlign w:val="superscript"/>
          <w:rtl/>
        </w:rPr>
        <w:t>)</w:t>
      </w:r>
      <w:r>
        <w:rPr>
          <w:rFonts w:hint="cs"/>
          <w:rtl/>
        </w:rPr>
        <w:t>.</w:t>
      </w:r>
    </w:p>
    <w:p w:rsidR="00C10469" w:rsidRDefault="00C10469" w:rsidP="00C10469">
      <w:pPr>
        <w:rPr>
          <w:rtl/>
        </w:rPr>
      </w:pPr>
      <w:r>
        <w:rPr>
          <w:rFonts w:hint="cs"/>
          <w:b/>
          <w:bCs/>
          <w:rtl/>
        </w:rPr>
        <w:t xml:space="preserve">     </w:t>
      </w:r>
      <w:r>
        <w:rPr>
          <w:b/>
          <w:bCs/>
          <w:rtl/>
        </w:rPr>
        <w:t>•</w:t>
      </w:r>
      <w:r>
        <w:rPr>
          <w:rFonts w:hint="cs"/>
          <w:b/>
          <w:bCs/>
          <w:rtl/>
        </w:rPr>
        <w:t xml:space="preserve"> ومن فروعها</w:t>
      </w:r>
      <w:r>
        <w:rPr>
          <w:rFonts w:hint="cs"/>
          <w:rtl/>
        </w:rPr>
        <w:t xml:space="preserve"> : لو قال : بعتك دَمِي بالألف. فقتله  : وجـب القصاص</w:t>
      </w:r>
    </w:p>
    <w:p w:rsidR="00C10469" w:rsidRDefault="00C10469" w:rsidP="00C10469">
      <w:pPr>
        <w:rPr>
          <w:spacing w:val="-10"/>
          <w:rtl/>
        </w:rPr>
      </w:pPr>
      <w:r>
        <w:rPr>
          <w:spacing w:val="-10"/>
          <w:rtl/>
        </w:rPr>
        <w:br w:type="page"/>
      </w:r>
      <w:r>
        <w:rPr>
          <w:rFonts w:hint="cs"/>
          <w:spacing w:val="-10"/>
          <w:rtl/>
        </w:rPr>
        <w:lastRenderedPageBreak/>
        <w:t>-كما في (خزانة [المفتين]</w:t>
      </w:r>
      <w:r>
        <w:rPr>
          <w:rStyle w:val="a7"/>
          <w:spacing w:val="-10"/>
          <w:rtl/>
        </w:rPr>
        <w:footnoteReference w:id="630"/>
      </w:r>
      <w:r>
        <w:rPr>
          <w:rFonts w:hint="cs"/>
          <w:spacing w:val="-10"/>
          <w:rtl/>
        </w:rPr>
        <w:t>)</w:t>
      </w:r>
      <w:r>
        <w:rPr>
          <w:rFonts w:hint="cs"/>
          <w:spacing w:val="-10"/>
          <w:vertAlign w:val="superscript"/>
          <w:rtl/>
        </w:rPr>
        <w:t>(</w:t>
      </w:r>
      <w:r>
        <w:rPr>
          <w:rStyle w:val="a7"/>
          <w:spacing w:val="-10"/>
          <w:rtl/>
        </w:rPr>
        <w:footnoteReference w:id="631"/>
      </w:r>
      <w:r>
        <w:rPr>
          <w:rFonts w:hint="cs"/>
          <w:spacing w:val="-10"/>
          <w:vertAlign w:val="superscript"/>
          <w:rtl/>
        </w:rPr>
        <w:t>)</w:t>
      </w:r>
      <w:r>
        <w:rPr>
          <w:rFonts w:hint="cs"/>
          <w:spacing w:val="-10"/>
          <w:rtl/>
        </w:rPr>
        <w:t xml:space="preserve"> ؛ لأن العقد باطل، فبطل ما في ضمنه (وهو </w:t>
      </w:r>
      <w:r>
        <w:rPr>
          <w:rFonts w:hint="cs"/>
          <w:spacing w:val="-10"/>
          <w:rtl/>
        </w:rPr>
        <w:lastRenderedPageBreak/>
        <w:t>الإذن)</w:t>
      </w:r>
      <w:r>
        <w:rPr>
          <w:rFonts w:hint="cs"/>
          <w:spacing w:val="-10"/>
          <w:vertAlign w:val="superscript"/>
          <w:rtl/>
        </w:rPr>
        <w:t>(</w:t>
      </w:r>
      <w:r>
        <w:rPr>
          <w:rStyle w:val="a7"/>
          <w:spacing w:val="-10"/>
          <w:rtl/>
        </w:rPr>
        <w:footnoteReference w:id="632"/>
      </w:r>
      <w:r>
        <w:rPr>
          <w:rFonts w:hint="cs"/>
          <w:spacing w:val="-10"/>
          <w:vertAlign w:val="superscript"/>
          <w:rtl/>
        </w:rPr>
        <w:t>)</w:t>
      </w:r>
      <w:r>
        <w:rPr>
          <w:rFonts w:hint="cs"/>
          <w:spacing w:val="-10"/>
          <w:rtl/>
        </w:rPr>
        <w:t>.</w:t>
      </w:r>
    </w:p>
    <w:p w:rsidR="00C10469" w:rsidRDefault="00C10469" w:rsidP="00C10469">
      <w:pPr>
        <w:ind w:left="989" w:hanging="14"/>
        <w:rPr>
          <w:rtl/>
        </w:rPr>
      </w:pPr>
      <w:r>
        <w:rPr>
          <w:rFonts w:hint="cs"/>
          <w:rtl/>
        </w:rPr>
        <w:t>ولو قال : اقتلني. فقتله : لا قِصاص؛ لأنه أبطل حقّه بالأمر</w:t>
      </w:r>
      <w:r>
        <w:rPr>
          <w:rFonts w:hint="cs"/>
          <w:vertAlign w:val="superscript"/>
          <w:rtl/>
        </w:rPr>
        <w:t>(</w:t>
      </w:r>
      <w:r>
        <w:rPr>
          <w:rStyle w:val="a7"/>
          <w:rtl/>
        </w:rPr>
        <w:footnoteReference w:id="633"/>
      </w:r>
      <w:r>
        <w:rPr>
          <w:rFonts w:hint="cs"/>
          <w:vertAlign w:val="superscript"/>
          <w:rtl/>
        </w:rPr>
        <w:t>)</w:t>
      </w:r>
      <w:r>
        <w:rPr>
          <w:rFonts w:hint="cs"/>
          <w:rtl/>
        </w:rPr>
        <w:t>، فبطل ما في ضمنه (وهو القِصاص)</w:t>
      </w:r>
      <w:r>
        <w:rPr>
          <w:rFonts w:hint="cs"/>
          <w:vertAlign w:val="superscript"/>
          <w:rtl/>
        </w:rPr>
        <w:t>(</w:t>
      </w:r>
      <w:r>
        <w:rPr>
          <w:rStyle w:val="a7"/>
          <w:rtl/>
        </w:rPr>
        <w:footnoteReference w:id="634"/>
      </w:r>
      <w:r>
        <w:rPr>
          <w:rFonts w:hint="cs"/>
          <w:vertAlign w:val="superscript"/>
          <w:rtl/>
        </w:rPr>
        <w:t>)</w:t>
      </w:r>
      <w:r>
        <w:rPr>
          <w:rFonts w:hint="cs"/>
          <w:rtl/>
        </w:rPr>
        <w:t>.</w:t>
      </w:r>
    </w:p>
    <w:p w:rsidR="00C10469" w:rsidRDefault="00C10469" w:rsidP="00C10469">
      <w:pPr>
        <w:ind w:left="989" w:hanging="269"/>
        <w:rPr>
          <w:rtl/>
        </w:rPr>
      </w:pPr>
      <w:r>
        <w:rPr>
          <w:b/>
          <w:bCs/>
          <w:rtl/>
        </w:rPr>
        <w:t>•</w:t>
      </w:r>
      <w:r>
        <w:rPr>
          <w:rFonts w:hint="cs"/>
          <w:b/>
          <w:bCs/>
          <w:rtl/>
        </w:rPr>
        <w:t xml:space="preserve"> ومنها</w:t>
      </w:r>
      <w:r>
        <w:rPr>
          <w:rFonts w:hint="cs"/>
          <w:rtl/>
        </w:rPr>
        <w:t xml:space="preserve"> : لو آجَرَ الموقوف عليه، ولم يـكن ناظرًا، وأذنَ للـمستأجِر في العمارة، فأنفق : لم يرجع على أحد، وكان متطوّعًا؛ لأن الإجـارة لم تصح، فلم يصح ما في ضمنها</w:t>
      </w:r>
      <w:r>
        <w:rPr>
          <w:rFonts w:hint="cs"/>
          <w:vertAlign w:val="superscript"/>
          <w:rtl/>
        </w:rPr>
        <w:t>(</w:t>
      </w:r>
      <w:r>
        <w:rPr>
          <w:rStyle w:val="a7"/>
          <w:rtl/>
        </w:rPr>
        <w:footnoteReference w:id="635"/>
      </w:r>
      <w:r>
        <w:rPr>
          <w:rFonts w:hint="cs"/>
          <w:vertAlign w:val="superscript"/>
          <w:rtl/>
        </w:rPr>
        <w:t>)</w:t>
      </w:r>
      <w:r>
        <w:rPr>
          <w:rFonts w:hint="cs"/>
          <w:rtl/>
        </w:rPr>
        <w:t>.</w:t>
      </w:r>
    </w:p>
    <w:p w:rsidR="00C10469" w:rsidRDefault="00C10469" w:rsidP="00C10469">
      <w:pPr>
        <w:ind w:left="989" w:hanging="269"/>
        <w:rPr>
          <w:rtl/>
        </w:rPr>
      </w:pPr>
      <w:r>
        <w:rPr>
          <w:b/>
          <w:bCs/>
          <w:rtl/>
        </w:rPr>
        <w:t>•</w:t>
      </w:r>
      <w:r>
        <w:rPr>
          <w:rFonts w:hint="cs"/>
          <w:rtl/>
        </w:rPr>
        <w:t xml:space="preserve"> «</w:t>
      </w:r>
      <w:r>
        <w:rPr>
          <w:rFonts w:hint="cs"/>
          <w:b/>
          <w:bCs/>
          <w:rtl/>
        </w:rPr>
        <w:t>وقالوا</w:t>
      </w:r>
      <w:r>
        <w:rPr>
          <w:rFonts w:hint="cs"/>
          <w:rtl/>
        </w:rPr>
        <w:t xml:space="preserve"> : لو جدَّد النكاح لمنكوحته للاحتياط بمهر : لم يلزمه؛ لأن النكاح على النكاح باطل، فبطل ما في ضمنه وهو المهر.</w:t>
      </w:r>
    </w:p>
    <w:p w:rsidR="00C10469" w:rsidRDefault="00C10469" w:rsidP="00C10469">
      <w:pPr>
        <w:ind w:firstLine="0"/>
        <w:rPr>
          <w:b/>
          <w:bCs/>
          <w:rtl/>
        </w:rPr>
      </w:pPr>
      <w:r>
        <w:rPr>
          <w:rFonts w:hint="cs"/>
          <w:b/>
          <w:bCs/>
          <w:rtl/>
        </w:rPr>
        <w:t>وقد استثنى في (القنية) مسألتين</w:t>
      </w:r>
      <w:r>
        <w:rPr>
          <w:rStyle w:val="a7"/>
          <w:b/>
          <w:rtl/>
        </w:rPr>
        <w:footnoteReference w:id="636"/>
      </w:r>
      <w:r>
        <w:rPr>
          <w:rFonts w:hint="cs"/>
          <w:b/>
          <w:bCs/>
          <w:rtl/>
        </w:rPr>
        <w:t>، يلزم فيهما</w:t>
      </w:r>
      <w:r>
        <w:rPr>
          <w:rFonts w:hint="cs"/>
          <w:b/>
          <w:bCs/>
          <w:vertAlign w:val="superscript"/>
          <w:rtl/>
        </w:rPr>
        <w:t>(</w:t>
      </w:r>
      <w:r>
        <w:rPr>
          <w:rStyle w:val="a7"/>
          <w:b/>
          <w:rtl/>
        </w:rPr>
        <w:footnoteReference w:id="637"/>
      </w:r>
      <w:r>
        <w:rPr>
          <w:rFonts w:hint="cs"/>
          <w:b/>
          <w:bCs/>
          <w:vertAlign w:val="superscript"/>
          <w:rtl/>
        </w:rPr>
        <w:t>)</w:t>
      </w:r>
      <w:r>
        <w:rPr>
          <w:rFonts w:hint="cs"/>
          <w:b/>
          <w:bCs/>
          <w:rtl/>
        </w:rPr>
        <w:t xml:space="preserve"> :</w:t>
      </w:r>
    </w:p>
    <w:p w:rsidR="00C10469" w:rsidRDefault="00C10469" w:rsidP="00C10469">
      <w:pPr>
        <w:rPr>
          <w:rtl/>
        </w:rPr>
      </w:pPr>
      <w:r>
        <w:rPr>
          <w:rFonts w:ascii="Wingdings" w:hAnsi="Wingdings" w:hint="cs"/>
          <w:rtl/>
        </w:rPr>
        <w:t xml:space="preserve">- </w:t>
      </w:r>
      <w:r>
        <w:rPr>
          <w:rFonts w:hint="cs"/>
          <w:rtl/>
        </w:rPr>
        <w:t>لو جدَّده للزيادة، لا للاحتياط.</w:t>
      </w:r>
    </w:p>
    <w:p w:rsidR="00C10469" w:rsidRDefault="00C10469" w:rsidP="00C10469">
      <w:pPr>
        <w:ind w:left="567" w:firstLine="0"/>
        <w:rPr>
          <w:spacing w:val="-6"/>
          <w:rtl/>
        </w:rPr>
      </w:pPr>
      <w:r>
        <w:rPr>
          <w:rFonts w:ascii="Wingdings" w:hAnsi="Wingdings" w:hint="cs"/>
          <w:spacing w:val="-6"/>
          <w:rtl/>
        </w:rPr>
        <w:lastRenderedPageBreak/>
        <w:t xml:space="preserve">- </w:t>
      </w:r>
      <w:r>
        <w:rPr>
          <w:rFonts w:hint="cs"/>
          <w:spacing w:val="-6"/>
          <w:rtl/>
        </w:rPr>
        <w:t>ولو قال لها: إنْ [أبرأتيني]</w:t>
      </w:r>
      <w:r>
        <w:rPr>
          <w:rStyle w:val="a7"/>
          <w:spacing w:val="-6"/>
          <w:rtl/>
        </w:rPr>
        <w:footnoteReference w:id="638"/>
      </w:r>
      <w:r>
        <w:rPr>
          <w:rFonts w:hint="cs"/>
          <w:spacing w:val="-6"/>
          <w:rtl/>
        </w:rPr>
        <w:t xml:space="preserve"> فإني أمهرك مهرًا جديدًا. فأبرأته، فجدّد لها المهر»</w:t>
      </w:r>
      <w:r>
        <w:rPr>
          <w:rFonts w:hint="cs"/>
          <w:spacing w:val="-6"/>
          <w:vertAlign w:val="superscript"/>
          <w:rtl/>
        </w:rPr>
        <w:t>(</w:t>
      </w:r>
      <w:r>
        <w:rPr>
          <w:rStyle w:val="a7"/>
          <w:spacing w:val="-6"/>
          <w:rtl/>
        </w:rPr>
        <w:footnoteReference w:id="639"/>
      </w:r>
      <w:r>
        <w:rPr>
          <w:rFonts w:hint="cs"/>
          <w:spacing w:val="-6"/>
          <w:vertAlign w:val="superscript"/>
          <w:rtl/>
        </w:rPr>
        <w:t>)</w:t>
      </w:r>
      <w:r>
        <w:rPr>
          <w:rFonts w:hint="cs"/>
          <w:spacing w:val="-6"/>
          <w:rtl/>
        </w:rPr>
        <w:t>.</w:t>
      </w:r>
    </w:p>
    <w:p w:rsidR="00C10469" w:rsidRDefault="00C10469" w:rsidP="00C10469">
      <w:pPr>
        <w:rPr>
          <w:rtl/>
        </w:rPr>
      </w:pPr>
      <w:r>
        <w:rPr>
          <w:rFonts w:hint="cs"/>
          <w:b/>
          <w:bCs/>
          <w:rtl/>
        </w:rPr>
        <w:t xml:space="preserve"> أقول</w:t>
      </w:r>
      <w:r>
        <w:rPr>
          <w:rFonts w:hint="cs"/>
          <w:rtl/>
        </w:rPr>
        <w:t xml:space="preserve"> : هاتين</w:t>
      </w:r>
      <w:r>
        <w:rPr>
          <w:rStyle w:val="a7"/>
          <w:rtl/>
        </w:rPr>
        <w:footnoteReference w:id="640"/>
      </w:r>
      <w:r>
        <w:rPr>
          <w:rFonts w:hint="cs"/>
          <w:rtl/>
        </w:rPr>
        <w:t xml:space="preserve"> المسألتين</w:t>
      </w:r>
      <w:r>
        <w:rPr>
          <w:rFonts w:hint="cs"/>
          <w:vertAlign w:val="superscript"/>
          <w:rtl/>
        </w:rPr>
        <w:t>(</w:t>
      </w:r>
      <w:r>
        <w:rPr>
          <w:rStyle w:val="a7"/>
          <w:rtl/>
        </w:rPr>
        <w:footnoteReference w:id="641"/>
      </w:r>
      <w:r>
        <w:rPr>
          <w:rFonts w:hint="cs"/>
          <w:vertAlign w:val="superscript"/>
          <w:rtl/>
        </w:rPr>
        <w:t>)</w:t>
      </w:r>
      <w:r>
        <w:rPr>
          <w:rFonts w:hint="cs"/>
          <w:rtl/>
        </w:rPr>
        <w:t xml:space="preserve"> ليستا من هذا الأصل؛ لأن فيهما الزيادة في المهر </w:t>
      </w:r>
      <w:r>
        <w:rPr>
          <w:rFonts w:hint="cs"/>
          <w:rtl/>
        </w:rPr>
        <w:lastRenderedPageBreak/>
        <w:t>معنى</w:t>
      </w:r>
      <w:r>
        <w:rPr>
          <w:rStyle w:val="a7"/>
          <w:rtl/>
        </w:rPr>
        <w:footnoteReference w:id="642"/>
      </w:r>
      <w:r>
        <w:rPr>
          <w:rFonts w:hint="cs"/>
          <w:rtl/>
        </w:rPr>
        <w:t>، وجازت الزيادة في المهر، ولا اعتبار</w:t>
      </w:r>
      <w:r>
        <w:rPr>
          <w:rStyle w:val="a7"/>
          <w:rtl/>
        </w:rPr>
        <w:footnoteReference w:id="643"/>
      </w:r>
      <w:r>
        <w:rPr>
          <w:rFonts w:hint="cs"/>
          <w:rtl/>
        </w:rPr>
        <w:t xml:space="preserve"> للنكاح الجديد.</w:t>
      </w:r>
    </w:p>
    <w:p w:rsidR="00C10469" w:rsidRDefault="00C10469" w:rsidP="00C10469">
      <w:pPr>
        <w:rPr>
          <w:rtl/>
        </w:rPr>
      </w:pPr>
      <w:r>
        <w:rPr>
          <w:rFonts w:hint="cs"/>
          <w:rtl/>
        </w:rPr>
        <w:t>«</w:t>
      </w:r>
      <w:r>
        <w:rPr>
          <w:rFonts w:hint="cs"/>
          <w:b/>
          <w:bCs/>
          <w:rtl/>
        </w:rPr>
        <w:t>وخرج</w:t>
      </w:r>
      <w:r>
        <w:rPr>
          <w:rFonts w:hint="cs"/>
          <w:vertAlign w:val="superscript"/>
          <w:rtl/>
        </w:rPr>
        <w:t xml:space="preserve"> </w:t>
      </w:r>
      <w:r>
        <w:rPr>
          <w:rStyle w:val="a7"/>
          <w:rtl/>
        </w:rPr>
        <w:footnoteReference w:id="644"/>
      </w:r>
      <w:r>
        <w:rPr>
          <w:rFonts w:hint="cs"/>
          <w:vertAlign w:val="superscript"/>
          <w:rtl/>
        </w:rPr>
        <w:t xml:space="preserve"> </w:t>
      </w:r>
      <w:r>
        <w:rPr>
          <w:rFonts w:hint="cs"/>
          <w:rtl/>
        </w:rPr>
        <w:t xml:space="preserve"> عن هذه القاعدة : </w:t>
      </w:r>
    </w:p>
    <w:p w:rsidR="00C10469" w:rsidRDefault="00C10469" w:rsidP="00C10469">
      <w:pPr>
        <w:ind w:left="567" w:firstLine="0"/>
        <w:rPr>
          <w:rtl/>
        </w:rPr>
      </w:pPr>
      <w:r>
        <w:rPr>
          <w:rFonts w:ascii="Wingdings" w:hAnsi="Wingdings"/>
        </w:rPr>
        <w:t></w:t>
      </w:r>
      <w:r>
        <w:rPr>
          <w:rFonts w:hint="cs"/>
          <w:rtl/>
        </w:rPr>
        <w:t xml:space="preserve"> ما ذُكر في (البيوع): لو باعه الثمار</w:t>
      </w:r>
      <w:r>
        <w:rPr>
          <w:rStyle w:val="a7"/>
          <w:rtl/>
        </w:rPr>
        <w:footnoteReference w:id="645"/>
      </w:r>
      <w:r>
        <w:rPr>
          <w:rFonts w:hint="cs"/>
          <w:rtl/>
        </w:rPr>
        <w:t>، وآجرهُ</w:t>
      </w:r>
      <w:r>
        <w:rPr>
          <w:rStyle w:val="a7"/>
          <w:rtl/>
        </w:rPr>
        <w:footnoteReference w:id="646"/>
      </w:r>
      <w:r>
        <w:rPr>
          <w:rFonts w:hint="cs"/>
          <w:rtl/>
        </w:rPr>
        <w:t xml:space="preserve"> الأشجار : طاب له تركها مع بطلان</w:t>
      </w:r>
      <w:r>
        <w:rPr>
          <w:rStyle w:val="a7"/>
          <w:rtl/>
        </w:rPr>
        <w:footnoteReference w:id="647"/>
      </w:r>
      <w:r>
        <w:rPr>
          <w:rFonts w:hint="cs"/>
          <w:rtl/>
        </w:rPr>
        <w:t xml:space="preserve"> الإجارة</w:t>
      </w:r>
      <w:r>
        <w:rPr>
          <w:rFonts w:hint="cs"/>
          <w:vertAlign w:val="superscript"/>
          <w:rtl/>
        </w:rPr>
        <w:t>(</w:t>
      </w:r>
      <w:r>
        <w:rPr>
          <w:rStyle w:val="a7"/>
          <w:rtl/>
        </w:rPr>
        <w:footnoteReference w:id="648"/>
      </w:r>
      <w:r>
        <w:rPr>
          <w:rFonts w:hint="cs"/>
          <w:vertAlign w:val="superscript"/>
          <w:rtl/>
        </w:rPr>
        <w:t>)</w:t>
      </w:r>
      <w:r>
        <w:rPr>
          <w:rFonts w:hint="cs"/>
          <w:rtl/>
        </w:rPr>
        <w:t>.</w:t>
      </w:r>
    </w:p>
    <w:p w:rsidR="00C10469" w:rsidRDefault="00C10469" w:rsidP="00C10469">
      <w:pPr>
        <w:rPr>
          <w:rtl/>
        </w:rPr>
      </w:pPr>
      <w:r>
        <w:rPr>
          <w:rFonts w:hint="cs"/>
          <w:rtl/>
        </w:rPr>
        <w:t>فمقتضى القاعدة : أن لا يطيب؛ لثبوت الإذن في ضمن الإجارة»</w:t>
      </w:r>
      <w:r>
        <w:rPr>
          <w:rFonts w:hint="cs"/>
          <w:vertAlign w:val="superscript"/>
          <w:rtl/>
        </w:rPr>
        <w:t>(</w:t>
      </w:r>
      <w:r>
        <w:rPr>
          <w:rStyle w:val="a7"/>
          <w:rtl/>
        </w:rPr>
        <w:footnoteReference w:id="649"/>
      </w:r>
      <w:r>
        <w:rPr>
          <w:rFonts w:hint="cs"/>
          <w:vertAlign w:val="superscript"/>
          <w:rtl/>
        </w:rPr>
        <w:t>)</w:t>
      </w:r>
      <w:r>
        <w:rPr>
          <w:rFonts w:hint="cs"/>
          <w:rtl/>
        </w:rPr>
        <w:t>.</w:t>
      </w:r>
    </w:p>
    <w:p w:rsidR="00C10469" w:rsidRDefault="00C10469" w:rsidP="00C10469">
      <w:pPr>
        <w:rPr>
          <w:rtl/>
        </w:rPr>
      </w:pPr>
      <w:r>
        <w:rPr>
          <w:rFonts w:hint="cs"/>
          <w:rtl/>
        </w:rPr>
        <w:t xml:space="preserve">أقول : يمكن أن </w:t>
      </w:r>
      <w:r>
        <w:rPr>
          <w:rFonts w:hint="cs"/>
          <w:b/>
          <w:bCs/>
          <w:rtl/>
        </w:rPr>
        <w:t>يجاب</w:t>
      </w:r>
      <w:r>
        <w:rPr>
          <w:rFonts w:hint="cs"/>
          <w:rtl/>
        </w:rPr>
        <w:t xml:space="preserve"> عنه بما قالوا : لو استأجر الشجر مطلقًا : </w:t>
      </w:r>
    </w:p>
    <w:p w:rsidR="00C10469" w:rsidRDefault="00C10469" w:rsidP="00C10469">
      <w:pPr>
        <w:rPr>
          <w:rtl/>
        </w:rPr>
      </w:pPr>
      <w:r>
        <w:rPr>
          <w:rFonts w:hint="cs"/>
          <w:rtl/>
        </w:rPr>
        <w:t>قال خُوَاهَرزَادَه</w:t>
      </w:r>
      <w:r>
        <w:rPr>
          <w:rFonts w:hint="cs"/>
          <w:vertAlign w:val="superscript"/>
          <w:rtl/>
        </w:rPr>
        <w:t>(</w:t>
      </w:r>
      <w:r>
        <w:rPr>
          <w:rStyle w:val="a7"/>
          <w:rtl/>
        </w:rPr>
        <w:footnoteReference w:id="650"/>
      </w:r>
      <w:r>
        <w:rPr>
          <w:rFonts w:hint="cs"/>
          <w:vertAlign w:val="superscript"/>
          <w:rtl/>
        </w:rPr>
        <w:t>)</w:t>
      </w:r>
      <w:r>
        <w:rPr>
          <w:rFonts w:hint="cs"/>
          <w:rtl/>
        </w:rPr>
        <w:t xml:space="preserve"> : لقائل أن يقول :</w:t>
      </w:r>
    </w:p>
    <w:p w:rsidR="00C10469" w:rsidRDefault="00C10469" w:rsidP="00C10469">
      <w:pPr>
        <w:ind w:left="567" w:right="567" w:firstLine="0"/>
        <w:rPr>
          <w:rtl/>
        </w:rPr>
      </w:pPr>
      <w:r>
        <w:rPr>
          <w:rFonts w:hint="cs"/>
          <w:rtl/>
        </w:rPr>
        <w:lastRenderedPageBreak/>
        <w:t>- بالجواز، ويتصرف</w:t>
      </w:r>
      <w:r>
        <w:rPr>
          <w:rStyle w:val="a7"/>
          <w:rtl/>
        </w:rPr>
        <w:footnoteReference w:id="651"/>
      </w:r>
      <w:r>
        <w:rPr>
          <w:rFonts w:hint="cs"/>
          <w:rtl/>
        </w:rPr>
        <w:t xml:space="preserve"> إلى شدّ الثياب عليه، أو الدابة في ظلّه</w:t>
      </w:r>
      <w:r>
        <w:rPr>
          <w:rStyle w:val="a7"/>
          <w:rtl/>
        </w:rPr>
        <w:footnoteReference w:id="652"/>
      </w:r>
      <w:r>
        <w:rPr>
          <w:rFonts w:hint="cs"/>
          <w:rtl/>
        </w:rPr>
        <w:t>.</w:t>
      </w:r>
    </w:p>
    <w:p w:rsidR="00C10469" w:rsidRDefault="00C10469" w:rsidP="00C10469">
      <w:pPr>
        <w:rPr>
          <w:rtl/>
        </w:rPr>
      </w:pPr>
      <w:r>
        <w:rPr>
          <w:rFonts w:hint="cs"/>
          <w:rtl/>
        </w:rPr>
        <w:t>وترك الثمار عليها من هذا القبيل.</w:t>
      </w:r>
    </w:p>
    <w:p w:rsidR="00C10469" w:rsidRDefault="00C10469" w:rsidP="00C10469">
      <w:pPr>
        <w:ind w:left="567" w:right="567" w:firstLine="0"/>
        <w:rPr>
          <w:rtl/>
        </w:rPr>
      </w:pPr>
      <w:r>
        <w:rPr>
          <w:rFonts w:hint="cs"/>
          <w:rtl/>
        </w:rPr>
        <w:t>- وبعدمه؛ لأن المنفعة المقصودة منها : الثمرة.</w:t>
      </w:r>
    </w:p>
    <w:p w:rsidR="00C10469" w:rsidRDefault="00C10469" w:rsidP="00C10469">
      <w:pPr>
        <w:ind w:left="567" w:firstLine="0"/>
        <w:rPr>
          <w:rtl/>
        </w:rPr>
      </w:pPr>
      <w:r>
        <w:rPr>
          <w:rFonts w:hint="cs"/>
          <w:rtl/>
        </w:rPr>
        <w:t>ويرجّح الأول بقوله : «الحاجةُ تنـزلُ منـزلةَ الضرورةِ»</w:t>
      </w:r>
      <w:r>
        <w:rPr>
          <w:rFonts w:hint="cs"/>
          <w:vertAlign w:val="superscript"/>
          <w:rtl/>
        </w:rPr>
        <w:t>(</w:t>
      </w:r>
      <w:r>
        <w:rPr>
          <w:rStyle w:val="a7"/>
          <w:rtl/>
        </w:rPr>
        <w:footnoteReference w:id="653"/>
      </w:r>
      <w:r>
        <w:rPr>
          <w:rFonts w:hint="cs"/>
          <w:vertAlign w:val="superscript"/>
          <w:rtl/>
        </w:rPr>
        <w:t>)</w:t>
      </w:r>
      <w:r>
        <w:rPr>
          <w:rFonts w:hint="cs"/>
          <w:rtl/>
        </w:rPr>
        <w:t>، ومن الضرورة جوازها مطلقًا</w:t>
      </w:r>
      <w:r>
        <w:rPr>
          <w:rFonts w:hint="cs"/>
          <w:vertAlign w:val="superscript"/>
          <w:rtl/>
        </w:rPr>
        <w:t>(</w:t>
      </w:r>
      <w:r>
        <w:rPr>
          <w:rStyle w:val="a7"/>
          <w:rtl/>
        </w:rPr>
        <w:footnoteReference w:id="654"/>
      </w:r>
      <w:r>
        <w:rPr>
          <w:rFonts w:hint="cs"/>
          <w:vertAlign w:val="superscript"/>
          <w:rtl/>
        </w:rPr>
        <w:t>)</w:t>
      </w:r>
      <w:r>
        <w:rPr>
          <w:rFonts w:hint="cs"/>
          <w:rtl/>
        </w:rPr>
        <w:t>.</w:t>
      </w:r>
    </w:p>
    <w:p w:rsidR="00C10469" w:rsidRDefault="00C10469" w:rsidP="00C10469">
      <w:pPr>
        <w:rPr>
          <w:rtl/>
        </w:rPr>
      </w:pPr>
      <w:r>
        <w:rPr>
          <w:rFonts w:ascii="Wingdings" w:hAnsi="Wingdings"/>
        </w:rPr>
        <w:lastRenderedPageBreak/>
        <w:t></w:t>
      </w:r>
      <w:r>
        <w:rPr>
          <w:rFonts w:hint="cs"/>
          <w:rtl/>
        </w:rPr>
        <w:t xml:space="preserve"> </w:t>
      </w:r>
      <w:r>
        <w:rPr>
          <w:rFonts w:hint="cs"/>
          <w:b/>
          <w:bCs/>
          <w:rtl/>
        </w:rPr>
        <w:t>وخرج</w:t>
      </w:r>
      <w:r>
        <w:rPr>
          <w:rFonts w:hint="cs"/>
          <w:rtl/>
        </w:rPr>
        <w:t xml:space="preserve"> عنها في بدء النظر : «ما ذكروه في الشفعة :</w:t>
      </w:r>
    </w:p>
    <w:p w:rsidR="00C10469" w:rsidRDefault="00C10469" w:rsidP="00C10469">
      <w:pPr>
        <w:ind w:left="567" w:firstLine="0"/>
        <w:rPr>
          <w:rtl/>
        </w:rPr>
      </w:pPr>
      <w:r>
        <w:rPr>
          <w:rFonts w:hint="cs"/>
          <w:rtl/>
        </w:rPr>
        <w:t>- لوصُولح الشفيع بمال : لم يصح</w:t>
      </w:r>
      <w:r>
        <w:rPr>
          <w:rFonts w:hint="cs"/>
          <w:vertAlign w:val="superscript"/>
          <w:rtl/>
        </w:rPr>
        <w:t>(</w:t>
      </w:r>
      <w:r>
        <w:rPr>
          <w:rStyle w:val="a7"/>
          <w:rtl/>
        </w:rPr>
        <w:footnoteReference w:id="655"/>
      </w:r>
      <w:r>
        <w:rPr>
          <w:rFonts w:hint="cs"/>
          <w:vertAlign w:val="superscript"/>
          <w:rtl/>
        </w:rPr>
        <w:t>)</w:t>
      </w:r>
      <w:r>
        <w:rPr>
          <w:rFonts w:hint="cs"/>
          <w:rtl/>
        </w:rPr>
        <w:t xml:space="preserve">. لكن كان إسقاطًا للشفعة، مع أن </w:t>
      </w:r>
      <w:r>
        <w:rPr>
          <w:rFonts w:hint="cs"/>
          <w:rtl/>
        </w:rPr>
        <w:lastRenderedPageBreak/>
        <w:t>الصلح متضمنٌّ للإسقاط، وبطل الصلح ولم يبطل الإسقاط ! »</w:t>
      </w:r>
      <w:r>
        <w:rPr>
          <w:rFonts w:hint="cs"/>
          <w:vertAlign w:val="superscript"/>
          <w:rtl/>
        </w:rPr>
        <w:t>(</w:t>
      </w:r>
      <w:r>
        <w:rPr>
          <w:rStyle w:val="a7"/>
          <w:rtl/>
        </w:rPr>
        <w:footnoteReference w:id="656"/>
      </w:r>
      <w:r>
        <w:rPr>
          <w:rFonts w:hint="cs"/>
          <w:vertAlign w:val="superscript"/>
          <w:rtl/>
        </w:rPr>
        <w:t>)</w:t>
      </w:r>
      <w:r>
        <w:rPr>
          <w:rFonts w:hint="cs"/>
          <w:rtl/>
        </w:rPr>
        <w:t>.</w:t>
      </w:r>
    </w:p>
    <w:p w:rsidR="00C10469" w:rsidRDefault="00C10469" w:rsidP="00C10469">
      <w:pPr>
        <w:ind w:left="567" w:firstLine="0"/>
        <w:rPr>
          <w:rtl/>
        </w:rPr>
      </w:pPr>
      <w:r>
        <w:rPr>
          <w:rFonts w:hint="cs"/>
          <w:b/>
          <w:bCs/>
          <w:rtl/>
        </w:rPr>
        <w:t>والجواب</w:t>
      </w:r>
      <w:r>
        <w:rPr>
          <w:rFonts w:hint="cs"/>
          <w:rtl/>
        </w:rPr>
        <w:t xml:space="preserve"> : «أن حق الشفعة ليس بحقٍّ متقرِّرٍ في المحلِّ، حتى يصلح الاعـتيـاض</w:t>
      </w:r>
      <w:r>
        <w:rPr>
          <w:rStyle w:val="a7"/>
          <w:rtl/>
        </w:rPr>
        <w:footnoteReference w:id="657"/>
      </w:r>
      <w:r>
        <w:rPr>
          <w:rFonts w:hint="cs"/>
          <w:rtl/>
        </w:rPr>
        <w:t xml:space="preserve"> عنه، فـكان الصلح إعـراضًا عنـه (مـعنًى)</w:t>
      </w:r>
      <w:r>
        <w:rPr>
          <w:rFonts w:hint="cs"/>
          <w:vertAlign w:val="superscript"/>
          <w:rtl/>
        </w:rPr>
        <w:t>(</w:t>
      </w:r>
      <w:r>
        <w:rPr>
          <w:rStyle w:val="a7"/>
          <w:rtl/>
        </w:rPr>
        <w:footnoteReference w:id="658"/>
      </w:r>
      <w:r>
        <w:rPr>
          <w:rFonts w:hint="cs"/>
          <w:vertAlign w:val="superscript"/>
          <w:rtl/>
        </w:rPr>
        <w:t>)</w:t>
      </w:r>
      <w:r>
        <w:rPr>
          <w:rFonts w:hint="cs"/>
          <w:rtl/>
        </w:rPr>
        <w:t>، ووجود الصلح وعدمه سواء».</w:t>
      </w:r>
    </w:p>
    <w:p w:rsidR="00C10469" w:rsidRDefault="00C10469" w:rsidP="00C10469">
      <w:pPr>
        <w:rPr>
          <w:rtl/>
        </w:rPr>
      </w:pPr>
      <w:r>
        <w:rPr>
          <w:rFonts w:hint="cs"/>
          <w:rtl/>
        </w:rPr>
        <w:t>هذا حاصل ما في شفعة (العـناية)</w:t>
      </w:r>
      <w:r>
        <w:rPr>
          <w:rFonts w:hint="cs"/>
          <w:vertAlign w:val="superscript"/>
          <w:rtl/>
        </w:rPr>
        <w:t>(</w:t>
      </w:r>
      <w:r>
        <w:rPr>
          <w:rStyle w:val="a7"/>
          <w:rtl/>
        </w:rPr>
        <w:footnoteReference w:id="659"/>
      </w:r>
      <w:r>
        <w:rPr>
          <w:rFonts w:hint="cs"/>
          <w:vertAlign w:val="superscript"/>
          <w:rtl/>
        </w:rPr>
        <w:t>)</w:t>
      </w:r>
      <w:r>
        <w:rPr>
          <w:rFonts w:hint="cs"/>
          <w:rtl/>
        </w:rPr>
        <w:t>، فإن أردت</w:t>
      </w:r>
      <w:r>
        <w:rPr>
          <w:rStyle w:val="a7"/>
          <w:rtl/>
        </w:rPr>
        <w:footnoteReference w:id="660"/>
      </w:r>
      <w:r>
        <w:rPr>
          <w:rFonts w:hint="cs"/>
          <w:rtl/>
        </w:rPr>
        <w:t xml:space="preserve"> الـتفصيل [فلترجع]</w:t>
      </w:r>
      <w:r>
        <w:rPr>
          <w:rStyle w:val="a7"/>
          <w:rtl/>
        </w:rPr>
        <w:footnoteReference w:id="661"/>
      </w:r>
      <w:r>
        <w:rPr>
          <w:rFonts w:hint="cs"/>
          <w:rtl/>
        </w:rPr>
        <w:t xml:space="preserve"> إليه في باب : ما يبطل</w:t>
      </w:r>
      <w:r>
        <w:rPr>
          <w:rStyle w:val="a7"/>
          <w:rtl/>
        </w:rPr>
        <w:footnoteReference w:id="662"/>
      </w:r>
      <w:r>
        <w:rPr>
          <w:rFonts w:hint="cs"/>
          <w:rtl/>
        </w:rPr>
        <w:t xml:space="preserve"> فيه الشفعة.</w:t>
      </w:r>
    </w:p>
    <w:p w:rsidR="00C10469" w:rsidRDefault="00C10469" w:rsidP="00C10469">
      <w:pPr>
        <w:rPr>
          <w:rtl/>
        </w:rPr>
      </w:pPr>
      <w:r>
        <w:rPr>
          <w:rFonts w:hint="cs"/>
          <w:rtl/>
        </w:rPr>
        <w:lastRenderedPageBreak/>
        <w:t>-  «وكذا إذا باع شفعته، يعني : أنها [تبطل]</w:t>
      </w:r>
      <w:r>
        <w:rPr>
          <w:rStyle w:val="a7"/>
          <w:rtl/>
        </w:rPr>
        <w:footnoteReference w:id="663"/>
      </w:r>
      <w:r>
        <w:rPr>
          <w:rFonts w:hint="cs"/>
          <w:rtl/>
        </w:rPr>
        <w:t>؛ لما بيّـنّا</w:t>
      </w:r>
      <w:r>
        <w:rPr>
          <w:rStyle w:val="a7"/>
          <w:rtl/>
        </w:rPr>
        <w:footnoteReference w:id="664"/>
      </w:r>
      <w:r>
        <w:rPr>
          <w:rFonts w:hint="cs"/>
          <w:rtl/>
        </w:rPr>
        <w:t>»</w:t>
      </w:r>
      <w:r>
        <w:rPr>
          <w:rFonts w:hint="cs"/>
          <w:vertAlign w:val="superscript"/>
          <w:rtl/>
        </w:rPr>
        <w:t>(</w:t>
      </w:r>
      <w:r>
        <w:rPr>
          <w:rStyle w:val="a7"/>
          <w:rtl/>
        </w:rPr>
        <w:footnoteReference w:id="665"/>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Pr="00986BD6"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rPr>
          <w:rtl/>
        </w:rPr>
      </w:pPr>
    </w:p>
    <w:p w:rsidR="00C10469" w:rsidRDefault="00C10469" w:rsidP="00C10469">
      <w:pPr>
        <w:rPr>
          <w:rtl/>
        </w:rPr>
      </w:pPr>
    </w:p>
    <w:p w:rsidR="00C10469" w:rsidRDefault="00C10469" w:rsidP="00C10469">
      <w:pPr>
        <w:ind w:firstLine="0"/>
        <w:rPr>
          <w:rtl/>
        </w:rPr>
      </w:pPr>
    </w:p>
    <w:p w:rsidR="00C10469" w:rsidRDefault="00C10469" w:rsidP="00C10469">
      <w:pPr>
        <w:rPr>
          <w:rtl/>
        </w:rPr>
        <w:sectPr w:rsidR="00C10469" w:rsidSect="00C10469">
          <w:headerReference w:type="default" r:id="rId4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C74625" w:rsidRDefault="00C10469" w:rsidP="00C10469">
      <w:pPr>
        <w:pStyle w:val="a9"/>
        <w:rPr>
          <w:rFonts w:cs="AL-Mateen"/>
          <w:rtl/>
        </w:rPr>
      </w:pPr>
      <w:r w:rsidRPr="00C74625">
        <w:rPr>
          <w:rFonts w:cs="AL-Mateen" w:hint="cs"/>
          <w:rtl/>
        </w:rPr>
        <w:lastRenderedPageBreak/>
        <w:t>[ القاعــدة الـحــاديـة عشـرة ]</w:t>
      </w:r>
    </w:p>
    <w:p w:rsidR="00C10469" w:rsidRDefault="00C10469" w:rsidP="00C10469">
      <w:pPr>
        <w:rPr>
          <w:b/>
          <w:bCs/>
          <w:rtl/>
        </w:rPr>
      </w:pPr>
      <w:r>
        <w:rPr>
          <w:rFonts w:cs="Monotype Koufi" w:hint="cs"/>
          <w:rtl/>
        </w:rPr>
        <w:t>إذا تعذَّرَ الأصلُ يُصَارُ إلى البَدَلِ</w:t>
      </w:r>
      <w:r>
        <w:rPr>
          <w:rFonts w:hint="cs"/>
          <w:b/>
          <w:bCs/>
          <w:vertAlign w:val="superscript"/>
          <w:rtl/>
        </w:rPr>
        <w:t>(</w:t>
      </w:r>
      <w:r>
        <w:rPr>
          <w:rStyle w:val="a7"/>
          <w:b/>
          <w:rtl/>
        </w:rPr>
        <w:footnoteReference w:id="666"/>
      </w:r>
      <w:r>
        <w:rPr>
          <w:rFonts w:hint="cs"/>
          <w:b/>
          <w:bCs/>
          <w:vertAlign w:val="superscript"/>
          <w:rtl/>
        </w:rPr>
        <w:t>)</w:t>
      </w:r>
      <w:r>
        <w:rPr>
          <w:rFonts w:hint="cs"/>
          <w:b/>
          <w:bCs/>
          <w:rtl/>
        </w:rPr>
        <w:t xml:space="preserve"> :</w:t>
      </w:r>
    </w:p>
    <w:p w:rsidR="00C10469" w:rsidRDefault="00C10469" w:rsidP="00C10469">
      <w:pPr>
        <w:rPr>
          <w:rtl/>
        </w:rPr>
      </w:pPr>
      <w:r>
        <w:rPr>
          <w:rFonts w:hint="cs"/>
          <w:rtl/>
        </w:rPr>
        <w:lastRenderedPageBreak/>
        <w:t>كـما إذا آجرَ رجلٌ دارًا شهرًا : فالهلال أصـل فـيه، فيعتبـر إن كان العقد حين يهِلُّ، وإن</w:t>
      </w:r>
      <w:r>
        <w:rPr>
          <w:rStyle w:val="a7"/>
          <w:rtl/>
        </w:rPr>
        <w:footnoteReference w:id="667"/>
      </w:r>
      <w:r>
        <w:rPr>
          <w:rFonts w:hint="cs"/>
          <w:rtl/>
        </w:rPr>
        <w:t xml:space="preserve"> كان الـعقد في أثـناء الشهر تعـذّر الاعتبار بالهلال، فيُصار إلى البدل، وهو الأيام</w:t>
      </w:r>
      <w:r>
        <w:rPr>
          <w:rFonts w:hint="cs"/>
          <w:vertAlign w:val="superscript"/>
          <w:rtl/>
        </w:rPr>
        <w:t>(</w:t>
      </w:r>
      <w:r>
        <w:rPr>
          <w:rStyle w:val="a7"/>
          <w:rtl/>
        </w:rPr>
        <w:footnoteReference w:id="668"/>
      </w:r>
      <w:r>
        <w:rPr>
          <w:rFonts w:hint="cs"/>
          <w:vertAlign w:val="superscript"/>
          <w:rtl/>
        </w:rPr>
        <w:t>)</w:t>
      </w:r>
      <w:r>
        <w:rPr>
          <w:rFonts w:hint="cs"/>
          <w:rtl/>
        </w:rPr>
        <w:t>.</w:t>
      </w:r>
    </w:p>
    <w:p w:rsidR="00C10469" w:rsidRDefault="00C10469" w:rsidP="00C10469">
      <w:pPr>
        <w:rPr>
          <w:rtl/>
        </w:rPr>
      </w:pPr>
    </w:p>
    <w:p w:rsidR="00C10469"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ind w:firstLine="0"/>
        <w:rPr>
          <w:rtl/>
        </w:rPr>
      </w:pPr>
    </w:p>
    <w:p w:rsidR="00C10469" w:rsidRPr="00F427D6" w:rsidRDefault="00C10469" w:rsidP="00C10469">
      <w:pPr>
        <w:pStyle w:val="a9"/>
        <w:rPr>
          <w:rFonts w:cs="AL-Mateen"/>
          <w:rtl/>
        </w:rPr>
      </w:pPr>
      <w:r w:rsidRPr="00F427D6">
        <w:rPr>
          <w:rFonts w:cs="AL-Mateen" w:hint="cs"/>
          <w:rtl/>
        </w:rPr>
        <w:lastRenderedPageBreak/>
        <w:t>[ القـاعـدة الثـانيـة عـشـرة ]</w:t>
      </w:r>
    </w:p>
    <w:p w:rsidR="00C10469" w:rsidRDefault="00C10469" w:rsidP="00C10469">
      <w:pPr>
        <w:rPr>
          <w:b/>
          <w:bCs/>
          <w:rtl/>
        </w:rPr>
      </w:pPr>
      <w:r>
        <w:rPr>
          <w:rFonts w:cs="Monotype Koufi" w:hint="cs"/>
          <w:rtl/>
        </w:rPr>
        <w:t>إذَا تَعَارَضَ المانِعُ والمُقْتَضِي : يُقدَّمُ المانِعُ</w:t>
      </w:r>
      <w:r>
        <w:rPr>
          <w:rFonts w:hint="cs"/>
          <w:b/>
          <w:bCs/>
          <w:vertAlign w:val="superscript"/>
          <w:rtl/>
        </w:rPr>
        <w:t>(</w:t>
      </w:r>
      <w:r>
        <w:rPr>
          <w:rStyle w:val="a7"/>
          <w:b/>
          <w:rtl/>
        </w:rPr>
        <w:footnoteReference w:id="669"/>
      </w:r>
      <w:r>
        <w:rPr>
          <w:rFonts w:hint="cs"/>
          <w:b/>
          <w:bCs/>
          <w:vertAlign w:val="superscript"/>
          <w:rtl/>
        </w:rPr>
        <w:t>)</w:t>
      </w:r>
      <w:r>
        <w:rPr>
          <w:rFonts w:hint="cs"/>
          <w:b/>
          <w:bCs/>
          <w:rtl/>
        </w:rPr>
        <w:t xml:space="preserve"> :</w:t>
      </w:r>
    </w:p>
    <w:p w:rsidR="00C10469" w:rsidRDefault="00C10469" w:rsidP="00C10469">
      <w:pPr>
        <w:spacing w:line="640" w:lineRule="exact"/>
        <w:rPr>
          <w:spacing w:val="4"/>
          <w:rtl/>
        </w:rPr>
      </w:pPr>
      <w:r>
        <w:rPr>
          <w:rFonts w:hint="cs"/>
          <w:b/>
          <w:bCs/>
          <w:spacing w:val="4"/>
          <w:rtl/>
        </w:rPr>
        <w:t>ولهذا</w:t>
      </w:r>
      <w:r>
        <w:rPr>
          <w:rStyle w:val="a7"/>
          <w:spacing w:val="4"/>
          <w:rtl/>
        </w:rPr>
        <w:footnoteReference w:id="670"/>
      </w:r>
      <w:r>
        <w:rPr>
          <w:rFonts w:hint="cs"/>
          <w:spacing w:val="4"/>
          <w:rtl/>
        </w:rPr>
        <w:t xml:space="preserve"> : إذا [ضاق]</w:t>
      </w:r>
      <w:r>
        <w:rPr>
          <w:rStyle w:val="a7"/>
          <w:spacing w:val="4"/>
          <w:rtl/>
        </w:rPr>
        <w:footnoteReference w:id="671"/>
      </w:r>
      <w:r>
        <w:rPr>
          <w:rFonts w:hint="cs"/>
          <w:spacing w:val="4"/>
          <w:rtl/>
        </w:rPr>
        <w:t xml:space="preserve"> الوقت أو الماء عن</w:t>
      </w:r>
      <w:r>
        <w:rPr>
          <w:rStyle w:val="a7"/>
          <w:spacing w:val="4"/>
          <w:rtl/>
        </w:rPr>
        <w:footnoteReference w:id="672"/>
      </w:r>
      <w:r>
        <w:rPr>
          <w:rFonts w:hint="cs"/>
          <w:spacing w:val="4"/>
          <w:rtl/>
        </w:rPr>
        <w:t xml:space="preserve"> سنن الرواتب و</w:t>
      </w:r>
      <w:r>
        <w:rPr>
          <w:rStyle w:val="a7"/>
          <w:spacing w:val="4"/>
          <w:rtl/>
        </w:rPr>
        <w:footnoteReference w:id="673"/>
      </w:r>
      <w:r>
        <w:rPr>
          <w:rFonts w:hint="cs"/>
          <w:spacing w:val="4"/>
          <w:rtl/>
        </w:rPr>
        <w:t>سنن الطهارة : حرم فعلهما</w:t>
      </w:r>
      <w:r>
        <w:rPr>
          <w:rFonts w:hint="cs"/>
          <w:spacing w:val="4"/>
          <w:vertAlign w:val="superscript"/>
          <w:rtl/>
        </w:rPr>
        <w:t>(</w:t>
      </w:r>
      <w:r>
        <w:rPr>
          <w:rStyle w:val="a7"/>
          <w:spacing w:val="4"/>
          <w:rtl/>
        </w:rPr>
        <w:footnoteReference w:id="674"/>
      </w:r>
      <w:r>
        <w:rPr>
          <w:rFonts w:hint="cs"/>
          <w:spacing w:val="4"/>
          <w:vertAlign w:val="superscript"/>
          <w:rtl/>
        </w:rPr>
        <w:t>)</w:t>
      </w:r>
      <w:r>
        <w:rPr>
          <w:rFonts w:hint="cs"/>
          <w:spacing w:val="4"/>
          <w:rtl/>
        </w:rPr>
        <w:t>.</w:t>
      </w:r>
    </w:p>
    <w:p w:rsidR="00C10469" w:rsidRDefault="00C10469" w:rsidP="00C10469">
      <w:pPr>
        <w:spacing w:line="264" w:lineRule="auto"/>
        <w:rPr>
          <w:rtl/>
        </w:rPr>
      </w:pPr>
      <w:r>
        <w:rPr>
          <w:rFonts w:hint="cs"/>
          <w:b/>
          <w:bCs/>
          <w:rtl/>
        </w:rPr>
        <w:lastRenderedPageBreak/>
        <w:t>و</w:t>
      </w:r>
      <w:r>
        <w:rPr>
          <w:rStyle w:val="a7"/>
          <w:b/>
          <w:rtl/>
        </w:rPr>
        <w:footnoteReference w:id="675"/>
      </w:r>
      <w:r>
        <w:rPr>
          <w:rFonts w:hint="cs"/>
          <w:b/>
          <w:bCs/>
          <w:rtl/>
        </w:rPr>
        <w:t>خـرج</w:t>
      </w:r>
      <w:r>
        <w:rPr>
          <w:rFonts w:hint="cs"/>
          <w:rtl/>
        </w:rPr>
        <w:t xml:space="preserve"> عن هـذه القـاعـدة : </w:t>
      </w:r>
      <w:r>
        <w:rPr>
          <w:rStyle w:val="a7"/>
          <w:rtl/>
        </w:rPr>
        <w:footnoteReference w:id="676"/>
      </w:r>
      <w:r>
        <w:rPr>
          <w:rFonts w:hint="cs"/>
          <w:rtl/>
        </w:rPr>
        <w:t xml:space="preserve">«لـو اسـتشهد الـجـنب : فـإنه </w:t>
      </w:r>
      <w:r>
        <w:rPr>
          <w:rFonts w:hint="cs"/>
          <w:spacing w:val="2"/>
          <w:rtl/>
        </w:rPr>
        <w:t>يغـسَّل عنـد الإمـام</w:t>
      </w:r>
      <w:r>
        <w:rPr>
          <w:rFonts w:hint="cs"/>
          <w:spacing w:val="2"/>
          <w:vertAlign w:val="superscript"/>
          <w:rtl/>
        </w:rPr>
        <w:t>(</w:t>
      </w:r>
      <w:r>
        <w:rPr>
          <w:rStyle w:val="a7"/>
          <w:spacing w:val="2"/>
          <w:rtl/>
        </w:rPr>
        <w:footnoteReference w:id="677"/>
      </w:r>
      <w:r>
        <w:rPr>
          <w:rFonts w:hint="cs"/>
          <w:spacing w:val="2"/>
          <w:vertAlign w:val="superscript"/>
          <w:rtl/>
        </w:rPr>
        <w:t>)</w:t>
      </w:r>
      <w:r>
        <w:rPr>
          <w:rFonts w:hint="cs"/>
          <w:spacing w:val="2"/>
          <w:rtl/>
        </w:rPr>
        <w:t>. ومـقـتـضـاها  أن لا  يـغسـل كقولهـما</w:t>
      </w:r>
      <w:r>
        <w:rPr>
          <w:rFonts w:hint="cs"/>
          <w:spacing w:val="2"/>
          <w:vertAlign w:val="superscript"/>
          <w:rtl/>
        </w:rPr>
        <w:t>(</w:t>
      </w:r>
      <w:r>
        <w:rPr>
          <w:rStyle w:val="a7"/>
          <w:spacing w:val="2"/>
          <w:rtl/>
        </w:rPr>
        <w:footnoteReference w:id="678"/>
      </w:r>
      <w:r>
        <w:rPr>
          <w:rFonts w:hint="cs"/>
          <w:spacing w:val="2"/>
          <w:vertAlign w:val="superscript"/>
          <w:rtl/>
        </w:rPr>
        <w:t>)</w:t>
      </w:r>
      <w:r>
        <w:rPr>
          <w:rFonts w:hint="cs"/>
          <w:spacing w:val="2"/>
          <w:rtl/>
        </w:rPr>
        <w:t>»</w:t>
      </w:r>
      <w:r>
        <w:rPr>
          <w:rFonts w:hint="cs"/>
          <w:spacing w:val="2"/>
          <w:vertAlign w:val="superscript"/>
          <w:rtl/>
        </w:rPr>
        <w:t>(</w:t>
      </w:r>
      <w:r>
        <w:rPr>
          <w:rStyle w:val="a7"/>
          <w:spacing w:val="2"/>
          <w:rtl/>
        </w:rPr>
        <w:footnoteReference w:id="679"/>
      </w:r>
      <w:r>
        <w:rPr>
          <w:rFonts w:hint="cs"/>
          <w:spacing w:val="2"/>
          <w:vertAlign w:val="superscript"/>
          <w:rtl/>
        </w:rPr>
        <w:t>)</w:t>
      </w:r>
      <w:r>
        <w:rPr>
          <w:rFonts w:hint="cs"/>
          <w:spacing w:val="2"/>
          <w:rtl/>
        </w:rPr>
        <w:t>؛</w:t>
      </w:r>
    </w:p>
    <w:p w:rsidR="00C10469" w:rsidRDefault="00C10469" w:rsidP="00C10469">
      <w:pPr>
        <w:ind w:firstLine="0"/>
        <w:rPr>
          <w:rtl/>
        </w:rPr>
      </w:pPr>
      <w:r>
        <w:rPr>
          <w:rFonts w:hint="cs"/>
          <w:rtl/>
        </w:rPr>
        <w:lastRenderedPageBreak/>
        <w:t>لأن الجنابة تقتضي</w:t>
      </w:r>
      <w:r>
        <w:rPr>
          <w:rStyle w:val="a7"/>
          <w:rtl/>
        </w:rPr>
        <w:footnoteReference w:id="680"/>
      </w:r>
      <w:r>
        <w:rPr>
          <w:rFonts w:hint="cs"/>
          <w:rtl/>
        </w:rPr>
        <w:t xml:space="preserve"> الغسل، والشهادة [تمنع]</w:t>
      </w:r>
      <w:r>
        <w:rPr>
          <w:rStyle w:val="a7"/>
          <w:rtl/>
        </w:rPr>
        <w:footnoteReference w:id="681"/>
      </w:r>
      <w:r>
        <w:rPr>
          <w:rFonts w:hint="cs"/>
          <w:rtl/>
        </w:rPr>
        <w:t>، فاللازم أن يُقدَّم المانع.</w:t>
      </w:r>
    </w:p>
    <w:p w:rsidR="00C10469" w:rsidRDefault="00C10469" w:rsidP="00C10469">
      <w:pPr>
        <w:rPr>
          <w:rtl/>
        </w:rPr>
      </w:pPr>
      <w:r>
        <w:rPr>
          <w:rFonts w:hint="cs"/>
          <w:b/>
          <w:bCs/>
          <w:rtl/>
        </w:rPr>
        <w:t>والجواب</w:t>
      </w:r>
      <w:r>
        <w:rPr>
          <w:rFonts w:hint="cs"/>
          <w:rtl/>
        </w:rPr>
        <w:t xml:space="preserve"> : أن ترك الغسل ثبت بقوله </w:t>
      </w:r>
      <w:r>
        <w:rPr>
          <w:rFonts w:ascii="AGA Arabesque" w:hAnsi="AGA Arabesque"/>
          <w:sz w:val="36"/>
        </w:rPr>
        <w:t></w:t>
      </w:r>
      <w:r>
        <w:rPr>
          <w:rFonts w:hint="cs"/>
          <w:rtl/>
        </w:rPr>
        <w:t xml:space="preserve">  : </w:t>
      </w:r>
    </w:p>
    <w:p w:rsidR="00C10469" w:rsidRDefault="00C10469" w:rsidP="00C10469">
      <w:pPr>
        <w:rPr>
          <w:spacing w:val="-8"/>
          <w:rtl/>
        </w:rPr>
      </w:pPr>
      <w:r>
        <w:rPr>
          <w:rFonts w:hint="cs"/>
          <w:spacing w:val="-8"/>
          <w:rtl/>
        </w:rPr>
        <w:t xml:space="preserve">« </w:t>
      </w:r>
      <w:r>
        <w:rPr>
          <w:rFonts w:cs="DecoType Naskh Extensions" w:hint="cs"/>
          <w:spacing w:val="-8"/>
          <w:rtl/>
        </w:rPr>
        <w:t>زمِّلوهُمْ بكلومِهِم</w:t>
      </w:r>
      <w:r>
        <w:rPr>
          <w:rFonts w:hint="cs"/>
          <w:spacing w:val="-8"/>
          <w:vertAlign w:val="superscript"/>
          <w:rtl/>
        </w:rPr>
        <w:t>(</w:t>
      </w:r>
      <w:r>
        <w:rPr>
          <w:rStyle w:val="a7"/>
          <w:spacing w:val="-8"/>
          <w:rtl/>
        </w:rPr>
        <w:footnoteReference w:id="682"/>
      </w:r>
      <w:r>
        <w:rPr>
          <w:rFonts w:hint="cs"/>
          <w:spacing w:val="-8"/>
          <w:vertAlign w:val="superscript"/>
          <w:rtl/>
        </w:rPr>
        <w:t>)</w:t>
      </w:r>
      <w:r>
        <w:rPr>
          <w:rFonts w:hint="cs"/>
          <w:spacing w:val="-8"/>
          <w:rtl/>
        </w:rPr>
        <w:t xml:space="preserve"> </w:t>
      </w:r>
      <w:r>
        <w:rPr>
          <w:rFonts w:cs="DecoType Naskh Extensions" w:hint="cs"/>
          <w:spacing w:val="-8"/>
          <w:rtl/>
        </w:rPr>
        <w:t>و</w:t>
      </w:r>
      <w:r>
        <w:rPr>
          <w:rStyle w:val="a7"/>
          <w:spacing w:val="-8"/>
          <w:rtl/>
        </w:rPr>
        <w:footnoteReference w:id="683"/>
      </w:r>
      <w:r>
        <w:rPr>
          <w:rFonts w:cs="DecoType Naskh Extensions" w:hint="cs"/>
          <w:spacing w:val="-8"/>
          <w:rtl/>
        </w:rPr>
        <w:t>دمائِهم</w:t>
      </w:r>
      <w:r>
        <w:rPr>
          <w:rFonts w:hint="cs"/>
          <w:spacing w:val="-8"/>
          <w:rtl/>
        </w:rPr>
        <w:t>»</w:t>
      </w:r>
      <w:r>
        <w:rPr>
          <w:rFonts w:hint="cs"/>
          <w:spacing w:val="-8"/>
          <w:vertAlign w:val="superscript"/>
          <w:rtl/>
        </w:rPr>
        <w:t>(</w:t>
      </w:r>
      <w:r>
        <w:rPr>
          <w:rStyle w:val="a7"/>
          <w:spacing w:val="-8"/>
          <w:rtl/>
        </w:rPr>
        <w:footnoteReference w:id="684"/>
      </w:r>
      <w:r>
        <w:rPr>
          <w:rFonts w:hint="cs"/>
          <w:spacing w:val="-8"/>
          <w:vertAlign w:val="superscript"/>
          <w:rtl/>
        </w:rPr>
        <w:t>)</w:t>
      </w:r>
      <w:r>
        <w:rPr>
          <w:rFonts w:hint="cs"/>
          <w:spacing w:val="-8"/>
          <w:rtl/>
        </w:rPr>
        <w:t xml:space="preserve"> على خلاف القياس، فينحصر على مورده</w:t>
      </w:r>
      <w:r>
        <w:rPr>
          <w:rFonts w:hint="cs"/>
          <w:spacing w:val="-8"/>
          <w:vertAlign w:val="superscript"/>
          <w:rtl/>
        </w:rPr>
        <w:t>(</w:t>
      </w:r>
      <w:r>
        <w:rPr>
          <w:rStyle w:val="a7"/>
          <w:spacing w:val="-8"/>
          <w:rtl/>
        </w:rPr>
        <w:footnoteReference w:id="685"/>
      </w:r>
      <w:r>
        <w:rPr>
          <w:rFonts w:hint="cs"/>
          <w:spacing w:val="-8"/>
          <w:vertAlign w:val="superscript"/>
          <w:rtl/>
        </w:rPr>
        <w:t>)</w:t>
      </w:r>
      <w:r>
        <w:rPr>
          <w:rFonts w:hint="cs"/>
          <w:spacing w:val="-8"/>
          <w:rtl/>
        </w:rPr>
        <w:t>.</w:t>
      </w:r>
    </w:p>
    <w:p w:rsidR="00C10469" w:rsidRDefault="00C10469" w:rsidP="00C10469">
      <w:pPr>
        <w:rPr>
          <w:rtl/>
        </w:rPr>
      </w:pPr>
    </w:p>
    <w:p w:rsidR="00C10469"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rPr>
          <w:rtl/>
        </w:rPr>
      </w:pPr>
    </w:p>
    <w:p w:rsidR="00C10469" w:rsidRDefault="00C10469" w:rsidP="00C10469">
      <w:pPr>
        <w:rPr>
          <w:rtl/>
        </w:rPr>
        <w:sectPr w:rsidR="00C10469">
          <w:headerReference w:type="even" r:id="rId44"/>
          <w:headerReference w:type="default" r:id="rId45"/>
          <w:footerReference w:type="even" r:id="rId46"/>
          <w:footerReference w:type="default" r:id="rId47"/>
          <w:footnotePr>
            <w:pos w:val="beneathText"/>
            <w:numRestart w:val="eachPage"/>
          </w:footnotePr>
          <w:endnotePr>
            <w:numFmt w:val="decimal"/>
          </w:endnotePr>
          <w:pgSz w:w="11906" w:h="16838" w:code="9"/>
          <w:pgMar w:top="2268" w:right="1985" w:bottom="1418" w:left="1418" w:header="680" w:footer="851" w:gutter="284"/>
          <w:pgNumType w:start="277"/>
          <w:cols w:space="720"/>
          <w:bidi/>
          <w:rtlGutter/>
        </w:sectPr>
      </w:pPr>
    </w:p>
    <w:p w:rsidR="00C10469" w:rsidRPr="00140A72" w:rsidRDefault="00C10469" w:rsidP="00C10469">
      <w:pPr>
        <w:pStyle w:val="a9"/>
        <w:rPr>
          <w:rFonts w:cs="AL-Mateen"/>
          <w:rtl/>
        </w:rPr>
      </w:pPr>
      <w:r w:rsidRPr="00140A72">
        <w:rPr>
          <w:rFonts w:cs="AL-Mateen" w:hint="cs"/>
          <w:rtl/>
        </w:rPr>
        <w:lastRenderedPageBreak/>
        <w:t>[ القاعــدة الثــالثـة عشــرة ]</w:t>
      </w:r>
    </w:p>
    <w:p w:rsidR="00C10469" w:rsidRDefault="00C10469" w:rsidP="00C10469">
      <w:pPr>
        <w:rPr>
          <w:b/>
          <w:bCs/>
          <w:rtl/>
        </w:rPr>
      </w:pPr>
      <w:r>
        <w:rPr>
          <w:rFonts w:cs="Monotype Koufi" w:hint="cs"/>
          <w:rtl/>
        </w:rPr>
        <w:t>إذَا زالَ الـمانعُ عـادَ الـممنُوعُ</w:t>
      </w:r>
      <w:r>
        <w:rPr>
          <w:rFonts w:hint="cs"/>
          <w:vertAlign w:val="superscript"/>
          <w:rtl/>
        </w:rPr>
        <w:t>(</w:t>
      </w:r>
      <w:r>
        <w:rPr>
          <w:rStyle w:val="a7"/>
          <w:rtl/>
        </w:rPr>
        <w:footnoteReference w:id="686"/>
      </w:r>
      <w:r>
        <w:rPr>
          <w:rFonts w:hint="cs"/>
          <w:vertAlign w:val="superscript"/>
          <w:rtl/>
        </w:rPr>
        <w:t>)</w:t>
      </w:r>
      <w:r>
        <w:rPr>
          <w:rFonts w:hint="cs"/>
          <w:b/>
          <w:bCs/>
          <w:rtl/>
        </w:rPr>
        <w:t xml:space="preserve"> :</w:t>
      </w:r>
    </w:p>
    <w:p w:rsidR="00C10469" w:rsidRDefault="00C10469" w:rsidP="00C10469">
      <w:pPr>
        <w:rPr>
          <w:rtl/>
        </w:rPr>
      </w:pPr>
      <w:r>
        <w:rPr>
          <w:rFonts w:hint="cs"/>
          <w:b/>
          <w:bCs/>
          <w:rtl/>
        </w:rPr>
        <w:t>ولهذا</w:t>
      </w:r>
      <w:r>
        <w:rPr>
          <w:rFonts w:hint="cs"/>
          <w:rtl/>
        </w:rPr>
        <w:t xml:space="preserve"> : إذا أُحدث</w:t>
      </w:r>
      <w:r>
        <w:rPr>
          <w:rStyle w:val="a7"/>
          <w:rtl/>
        </w:rPr>
        <w:footnoteReference w:id="687"/>
      </w:r>
      <w:r>
        <w:rPr>
          <w:rFonts w:hint="cs"/>
          <w:rtl/>
        </w:rPr>
        <w:t xml:space="preserve"> العيب في يد الـمشتري : يُـمنع الردّ، وإذا زال : جاز الردّ بالعيب القديم؛ لأنه يعود الـممنوع بزوال الـمانع</w:t>
      </w:r>
      <w:r>
        <w:rPr>
          <w:rFonts w:hint="cs"/>
          <w:vertAlign w:val="superscript"/>
          <w:rtl/>
        </w:rPr>
        <w:t>(</w:t>
      </w:r>
      <w:r>
        <w:rPr>
          <w:rStyle w:val="a7"/>
          <w:rtl/>
        </w:rPr>
        <w:footnoteReference w:id="688"/>
      </w:r>
      <w:r>
        <w:rPr>
          <w:rFonts w:hint="cs"/>
          <w:vertAlign w:val="superscript"/>
          <w:rtl/>
        </w:rPr>
        <w:t>)</w:t>
      </w:r>
      <w:r>
        <w:rPr>
          <w:rFonts w:hint="cs"/>
          <w:rtl/>
        </w:rPr>
        <w:t>.</w:t>
      </w:r>
    </w:p>
    <w:p w:rsidR="00C10469" w:rsidRDefault="00C10469" w:rsidP="00C10469">
      <w:pPr>
        <w:rPr>
          <w:rtl/>
        </w:rPr>
      </w:pPr>
      <w:r>
        <w:rPr>
          <w:rFonts w:hint="cs"/>
          <w:rtl/>
        </w:rPr>
        <w:lastRenderedPageBreak/>
        <w:t>وهذا قبل قضاء القاضي بسقوط خيار الـمشتري. وسيجئ</w:t>
      </w:r>
      <w:r>
        <w:rPr>
          <w:rStyle w:val="a7"/>
          <w:rtl/>
        </w:rPr>
        <w:footnoteReference w:id="689"/>
      </w:r>
      <w:r>
        <w:rPr>
          <w:rFonts w:hint="cs"/>
          <w:rtl/>
        </w:rPr>
        <w:t xml:space="preserve"> تفصيله في باب الباء -إن شاء الله تعالى-، في بيان قولهم : «بقاءُ الشيء مستغنٍ عن بقاءِ السبب»</w:t>
      </w:r>
      <w:r>
        <w:rPr>
          <w:rFonts w:hint="cs"/>
          <w:vertAlign w:val="superscript"/>
          <w:rtl/>
        </w:rPr>
        <w:t>(</w:t>
      </w:r>
      <w:r>
        <w:rPr>
          <w:rStyle w:val="a7"/>
          <w:rtl/>
        </w:rPr>
        <w:footnoteReference w:id="690"/>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ind w:firstLine="0"/>
        <w:rPr>
          <w:rtl/>
        </w:rPr>
      </w:pPr>
    </w:p>
    <w:p w:rsidR="00C10469" w:rsidRDefault="00C10469" w:rsidP="00C10469">
      <w:pPr>
        <w:ind w:firstLine="0"/>
        <w:rPr>
          <w:rtl/>
        </w:rPr>
      </w:pPr>
    </w:p>
    <w:p w:rsidR="00C10469" w:rsidRDefault="00C10469" w:rsidP="00C10469">
      <w:pPr>
        <w:ind w:firstLine="0"/>
        <w:rPr>
          <w:rtl/>
        </w:rPr>
      </w:pPr>
    </w:p>
    <w:p w:rsidR="00C10469" w:rsidRDefault="00C10469" w:rsidP="00C10469">
      <w:pPr>
        <w:ind w:firstLine="0"/>
        <w:rPr>
          <w:rtl/>
        </w:rPr>
      </w:pPr>
    </w:p>
    <w:p w:rsidR="00C10469" w:rsidRDefault="00C10469" w:rsidP="00C10469">
      <w:pPr>
        <w:rPr>
          <w:rtl/>
        </w:rPr>
        <w:sectPr w:rsidR="00C10469">
          <w:headerReference w:type="even" r:id="rId48"/>
          <w:headerReference w:type="default" r:id="rId49"/>
          <w:footerReference w:type="even" r:id="rId50"/>
          <w:footerReference w:type="default" r:id="rId51"/>
          <w:footnotePr>
            <w:pos w:val="beneathText"/>
            <w:numRestart w:val="eachPage"/>
          </w:footnotePr>
          <w:endnotePr>
            <w:numFmt w:val="decimal"/>
          </w:endnotePr>
          <w:pgSz w:w="11906" w:h="16838" w:code="9"/>
          <w:pgMar w:top="2268" w:right="1985" w:bottom="1418" w:left="1418" w:header="680" w:footer="851" w:gutter="284"/>
          <w:pgNumType w:start="280"/>
          <w:cols w:space="720"/>
          <w:bidi/>
          <w:rtlGutter/>
        </w:sectPr>
      </w:pPr>
    </w:p>
    <w:p w:rsidR="00C10469" w:rsidRPr="00BE769B" w:rsidRDefault="00C10469" w:rsidP="00C10469">
      <w:pPr>
        <w:pStyle w:val="a9"/>
        <w:rPr>
          <w:rFonts w:cs="AL-Mateen"/>
          <w:rtl/>
        </w:rPr>
      </w:pPr>
      <w:r w:rsidRPr="00BE769B">
        <w:rPr>
          <w:rFonts w:cs="AL-Mateen" w:hint="cs"/>
          <w:rtl/>
        </w:rPr>
        <w:lastRenderedPageBreak/>
        <w:t>[ القـاعـدة الـرابـعـة عـشـرة ]</w:t>
      </w:r>
    </w:p>
    <w:p w:rsidR="00C10469" w:rsidRDefault="00C10469" w:rsidP="00C10469">
      <w:pPr>
        <w:rPr>
          <w:b/>
          <w:bCs/>
          <w:spacing w:val="-2"/>
          <w:rtl/>
        </w:rPr>
      </w:pPr>
      <w:r>
        <w:rPr>
          <w:rFonts w:cs="Monotype Koufi" w:hint="cs"/>
          <w:spacing w:val="-2"/>
          <w:rtl/>
        </w:rPr>
        <w:t>إذَا اجتمعَ الـمباشرُ والـمتسبِّبُ</w:t>
      </w:r>
      <w:r>
        <w:rPr>
          <w:rStyle w:val="a7"/>
          <w:b/>
          <w:spacing w:val="-2"/>
          <w:rtl/>
        </w:rPr>
        <w:footnoteReference w:id="691"/>
      </w:r>
      <w:r>
        <w:rPr>
          <w:rFonts w:hint="cs"/>
          <w:b/>
          <w:bCs/>
          <w:spacing w:val="-2"/>
          <w:rtl/>
        </w:rPr>
        <w:t xml:space="preserve"> </w:t>
      </w:r>
      <w:r>
        <w:rPr>
          <w:rFonts w:cs="Monotype Koufi" w:hint="cs"/>
          <w:spacing w:val="-2"/>
          <w:rtl/>
        </w:rPr>
        <w:t>: أُضيفَ الحكمُ إلى الـمُبَاشِرِ</w:t>
      </w:r>
      <w:r>
        <w:rPr>
          <w:rStyle w:val="a7"/>
          <w:b/>
          <w:spacing w:val="-2"/>
          <w:rtl/>
        </w:rPr>
        <w:footnoteReference w:id="692"/>
      </w:r>
      <w:r>
        <w:rPr>
          <w:rFonts w:hint="cs"/>
          <w:b/>
          <w:spacing w:val="-2"/>
          <w:vertAlign w:val="superscript"/>
          <w:rtl/>
        </w:rPr>
        <w:t>(</w:t>
      </w:r>
      <w:r>
        <w:rPr>
          <w:rStyle w:val="a7"/>
          <w:b/>
          <w:spacing w:val="-2"/>
          <w:rtl/>
        </w:rPr>
        <w:footnoteReference w:id="693"/>
      </w:r>
      <w:r>
        <w:rPr>
          <w:rFonts w:hint="cs"/>
          <w:b/>
          <w:spacing w:val="-2"/>
          <w:vertAlign w:val="superscript"/>
          <w:rtl/>
        </w:rPr>
        <w:t>)</w:t>
      </w:r>
      <w:r>
        <w:rPr>
          <w:rFonts w:hint="cs"/>
          <w:b/>
          <w:bCs/>
          <w:spacing w:val="-2"/>
          <w:rtl/>
        </w:rPr>
        <w:t>:</w:t>
      </w:r>
    </w:p>
    <w:p w:rsidR="00C10469" w:rsidRDefault="00C10469" w:rsidP="00C10469">
      <w:pPr>
        <w:spacing w:line="221" w:lineRule="auto"/>
        <w:rPr>
          <w:rtl/>
        </w:rPr>
      </w:pPr>
      <w:r>
        <w:rPr>
          <w:rtl/>
        </w:rPr>
        <w:lastRenderedPageBreak/>
        <w:t>•</w:t>
      </w:r>
      <w:r>
        <w:rPr>
          <w:rFonts w:hint="cs"/>
          <w:rtl/>
        </w:rPr>
        <w:t xml:space="preserve"> «فلا ضمان على حافر البئر تعدِّيا بما تلف بإلقاء غيره»</w:t>
      </w:r>
      <w:r>
        <w:rPr>
          <w:rFonts w:hint="cs"/>
          <w:vertAlign w:val="superscript"/>
          <w:rtl/>
        </w:rPr>
        <w:t>(</w:t>
      </w:r>
      <w:r>
        <w:rPr>
          <w:rStyle w:val="a7"/>
          <w:rtl/>
        </w:rPr>
        <w:footnoteReference w:id="694"/>
      </w:r>
      <w:r>
        <w:rPr>
          <w:rFonts w:hint="cs"/>
          <w:vertAlign w:val="superscript"/>
          <w:rtl/>
        </w:rPr>
        <w:t>)</w:t>
      </w:r>
      <w:r>
        <w:rPr>
          <w:rFonts w:hint="cs"/>
          <w:rtl/>
        </w:rPr>
        <w:t>.</w:t>
      </w:r>
    </w:p>
    <w:p w:rsidR="00C10469" w:rsidRDefault="00C10469" w:rsidP="00C10469">
      <w:pPr>
        <w:spacing w:line="221" w:lineRule="auto"/>
        <w:ind w:left="792" w:hanging="225"/>
        <w:rPr>
          <w:rtl/>
        </w:rPr>
      </w:pPr>
      <w:r>
        <w:rPr>
          <w:rtl/>
        </w:rPr>
        <w:t>•</w:t>
      </w:r>
      <w:r>
        <w:rPr>
          <w:rFonts w:hint="cs"/>
          <w:rtl/>
        </w:rPr>
        <w:t xml:space="preserve"> «ولا يضمن منْ دلَّ سارقًا على مالِ إنسانٍ</w:t>
      </w:r>
      <w:r>
        <w:rPr>
          <w:rStyle w:val="a7"/>
          <w:rtl/>
        </w:rPr>
        <w:footnoteReference w:id="695"/>
      </w:r>
      <w:r>
        <w:rPr>
          <w:rFonts w:hint="cs"/>
          <w:rtl/>
        </w:rPr>
        <w:t>، فسرقه»</w:t>
      </w:r>
      <w:r>
        <w:rPr>
          <w:rFonts w:hint="cs"/>
          <w:vertAlign w:val="superscript"/>
          <w:rtl/>
        </w:rPr>
        <w:t>(</w:t>
      </w:r>
      <w:r>
        <w:rPr>
          <w:rStyle w:val="a7"/>
          <w:rtl/>
        </w:rPr>
        <w:footnoteReference w:id="696"/>
      </w:r>
      <w:r>
        <w:rPr>
          <w:rFonts w:hint="cs"/>
          <w:vertAlign w:val="superscript"/>
          <w:rtl/>
        </w:rPr>
        <w:t>)</w:t>
      </w:r>
      <w:r>
        <w:rPr>
          <w:rFonts w:hint="cs"/>
          <w:rtl/>
        </w:rPr>
        <w:t xml:space="preserve">، إلا إذا دل </w:t>
      </w:r>
      <w:r>
        <w:rPr>
          <w:rFonts w:hint="cs"/>
          <w:rtl/>
        </w:rPr>
        <w:lastRenderedPageBreak/>
        <w:t>المودَعُ على الوديعة، فإنه يضمن؛ لترك الحفظ، لا بالتسبّب</w:t>
      </w:r>
      <w:r>
        <w:rPr>
          <w:rFonts w:hint="cs"/>
          <w:vertAlign w:val="superscript"/>
          <w:rtl/>
        </w:rPr>
        <w:t>(</w:t>
      </w:r>
      <w:r>
        <w:rPr>
          <w:rStyle w:val="a7"/>
          <w:rtl/>
        </w:rPr>
        <w:footnoteReference w:id="697"/>
      </w:r>
      <w:r>
        <w:rPr>
          <w:rFonts w:hint="cs"/>
          <w:vertAlign w:val="superscript"/>
          <w:rtl/>
        </w:rPr>
        <w:t>)</w:t>
      </w:r>
      <w:r>
        <w:rPr>
          <w:rFonts w:hint="cs"/>
          <w:rtl/>
        </w:rPr>
        <w:t>.</w:t>
      </w:r>
    </w:p>
    <w:p w:rsidR="00C10469" w:rsidRDefault="00C10469" w:rsidP="00C10469">
      <w:pPr>
        <w:ind w:left="720" w:firstLine="0"/>
        <w:rPr>
          <w:rtl/>
        </w:rPr>
      </w:pPr>
      <w:r>
        <w:rPr>
          <w:rtl/>
        </w:rPr>
        <w:t>•</w:t>
      </w:r>
      <w:r>
        <w:rPr>
          <w:rFonts w:hint="cs"/>
          <w:rtl/>
        </w:rPr>
        <w:t xml:space="preserve"> ولا ضمان على من قال : تزوَّجْها فإنها حرة. فظهر بعد الولادة أنها أمة، إلا إذا كان القائلُ ربَّ</w:t>
      </w:r>
      <w:r>
        <w:rPr>
          <w:rStyle w:val="a7"/>
          <w:rtl/>
        </w:rPr>
        <w:footnoteReference w:id="698"/>
      </w:r>
      <w:r>
        <w:rPr>
          <w:rFonts w:hint="cs"/>
          <w:rtl/>
        </w:rPr>
        <w:t xml:space="preserve"> الـمرأةِ أو وكيلَها : فالضمان عليهما؛ لأن كل واحد منهما في حكم المباشر.</w:t>
      </w:r>
    </w:p>
    <w:p w:rsidR="00C10469" w:rsidRDefault="00C10469" w:rsidP="00C10469">
      <w:pPr>
        <w:ind w:firstLine="720"/>
        <w:rPr>
          <w:spacing w:val="-4"/>
          <w:rtl/>
        </w:rPr>
      </w:pPr>
      <w:r>
        <w:rPr>
          <w:spacing w:val="-4"/>
          <w:rtl/>
        </w:rPr>
        <w:t>•</w:t>
      </w:r>
      <w:r>
        <w:rPr>
          <w:rFonts w:hint="cs"/>
          <w:spacing w:val="-4"/>
          <w:rtl/>
        </w:rPr>
        <w:t xml:space="preserve"> ولا ضمان على من دفع إلى صبي سكِّينًا ليمسكه</w:t>
      </w:r>
      <w:r>
        <w:rPr>
          <w:rFonts w:hint="cs"/>
          <w:spacing w:val="-4"/>
          <w:vertAlign w:val="superscript"/>
          <w:rtl/>
        </w:rPr>
        <w:t>(</w:t>
      </w:r>
      <w:r>
        <w:rPr>
          <w:rStyle w:val="a7"/>
          <w:spacing w:val="-4"/>
          <w:rtl/>
        </w:rPr>
        <w:footnoteReference w:id="699"/>
      </w:r>
      <w:r>
        <w:rPr>
          <w:rFonts w:hint="cs"/>
          <w:spacing w:val="-4"/>
          <w:vertAlign w:val="superscript"/>
          <w:rtl/>
        </w:rPr>
        <w:t>)</w:t>
      </w:r>
      <w:r>
        <w:rPr>
          <w:rFonts w:hint="cs"/>
          <w:spacing w:val="-4"/>
          <w:rtl/>
        </w:rPr>
        <w:t xml:space="preserve"> له، فقتل به نفسَهُ</w:t>
      </w:r>
      <w:r>
        <w:rPr>
          <w:rFonts w:hint="cs"/>
          <w:spacing w:val="-4"/>
          <w:vertAlign w:val="superscript"/>
          <w:rtl/>
        </w:rPr>
        <w:t>(</w:t>
      </w:r>
      <w:r>
        <w:rPr>
          <w:rStyle w:val="a7"/>
          <w:spacing w:val="-4"/>
          <w:rtl/>
        </w:rPr>
        <w:footnoteReference w:id="700"/>
      </w:r>
      <w:r>
        <w:rPr>
          <w:rFonts w:hint="cs"/>
          <w:spacing w:val="-4"/>
          <w:vertAlign w:val="superscript"/>
          <w:rtl/>
        </w:rPr>
        <w:t>)</w:t>
      </w:r>
      <w:r>
        <w:rPr>
          <w:rFonts w:hint="cs"/>
          <w:spacing w:val="-4"/>
          <w:rtl/>
        </w:rPr>
        <w:t>.</w:t>
      </w:r>
    </w:p>
    <w:p w:rsidR="00C10469" w:rsidRDefault="00C10469" w:rsidP="00C10469">
      <w:pPr>
        <w:rPr>
          <w:rtl/>
        </w:rPr>
      </w:pPr>
      <w:r>
        <w:rPr>
          <w:rFonts w:hint="cs"/>
          <w:b/>
          <w:bCs/>
          <w:rtl/>
        </w:rPr>
        <w:t>واستثنى</w:t>
      </w:r>
      <w:r>
        <w:rPr>
          <w:rFonts w:hint="cs"/>
          <w:rtl/>
        </w:rPr>
        <w:t xml:space="preserve"> البعض عن</w:t>
      </w:r>
      <w:r>
        <w:rPr>
          <w:rStyle w:val="a7"/>
          <w:rtl/>
        </w:rPr>
        <w:footnoteReference w:id="701"/>
      </w:r>
      <w:r>
        <w:rPr>
          <w:rFonts w:hint="cs"/>
          <w:rtl/>
        </w:rPr>
        <w:t xml:space="preserve"> هذا الأصل : مالو دفع إلى صبيٍّ سكِّينًا، فوقع عليه</w:t>
      </w:r>
      <w:r>
        <w:rPr>
          <w:rFonts w:hint="cs"/>
          <w:vertAlign w:val="superscript"/>
          <w:rtl/>
        </w:rPr>
        <w:t>(</w:t>
      </w:r>
      <w:r>
        <w:rPr>
          <w:rStyle w:val="a7"/>
          <w:rtl/>
        </w:rPr>
        <w:footnoteReference w:id="702"/>
      </w:r>
      <w:r>
        <w:rPr>
          <w:rFonts w:hint="cs"/>
          <w:vertAlign w:val="superscript"/>
          <w:rtl/>
        </w:rPr>
        <w:t>)</w:t>
      </w:r>
      <w:r>
        <w:rPr>
          <w:rFonts w:hint="cs"/>
          <w:rtl/>
        </w:rPr>
        <w:t>، فجرحه : كان الضمان على الدافع</w:t>
      </w:r>
      <w:r>
        <w:rPr>
          <w:rFonts w:hint="cs"/>
          <w:vertAlign w:val="superscript"/>
          <w:rtl/>
        </w:rPr>
        <w:t>(</w:t>
      </w:r>
      <w:r>
        <w:rPr>
          <w:rStyle w:val="a7"/>
          <w:rtl/>
        </w:rPr>
        <w:footnoteReference w:id="703"/>
      </w:r>
      <w:r>
        <w:rPr>
          <w:rFonts w:hint="cs"/>
          <w:vertAlign w:val="superscript"/>
          <w:rtl/>
        </w:rPr>
        <w:t>)</w:t>
      </w:r>
      <w:r>
        <w:rPr>
          <w:rFonts w:hint="cs"/>
          <w:rtl/>
        </w:rPr>
        <w:t>.</w:t>
      </w:r>
    </w:p>
    <w:p w:rsidR="00C10469" w:rsidRDefault="00C10469" w:rsidP="00C10469">
      <w:pPr>
        <w:rPr>
          <w:rtl/>
        </w:rPr>
      </w:pPr>
      <w:r>
        <w:rPr>
          <w:rFonts w:hint="cs"/>
          <w:b/>
          <w:bCs/>
          <w:rtl/>
        </w:rPr>
        <w:lastRenderedPageBreak/>
        <w:t>أقول</w:t>
      </w:r>
      <w:r>
        <w:rPr>
          <w:rFonts w:hint="cs"/>
          <w:rtl/>
        </w:rPr>
        <w:t xml:space="preserve"> : هذا ليس من هذا الباب؛ لعدم اجتماع المباشر والمتسبِّب</w:t>
      </w:r>
      <w:r>
        <w:rPr>
          <w:rStyle w:val="a7"/>
          <w:rtl/>
        </w:rPr>
        <w:footnoteReference w:id="704"/>
      </w:r>
      <w:r>
        <w:rPr>
          <w:rFonts w:hint="cs"/>
          <w:rtl/>
        </w:rPr>
        <w:t>، فتعين إضافة الحكم إلى المُسَبِّب.</w:t>
      </w:r>
    </w:p>
    <w:p w:rsidR="00C10469" w:rsidRDefault="00C10469" w:rsidP="00C10469">
      <w:pPr>
        <w:rPr>
          <w:rtl/>
        </w:rPr>
      </w:pPr>
      <w:r>
        <w:rPr>
          <w:rFonts w:hint="cs"/>
          <w:rtl/>
        </w:rPr>
        <w:t>ولذا قالوا : إذا تعذر الوقوف</w:t>
      </w:r>
      <w:r>
        <w:rPr>
          <w:rFonts w:hint="cs"/>
          <w:vertAlign w:val="superscript"/>
          <w:rtl/>
        </w:rPr>
        <w:t>(</w:t>
      </w:r>
      <w:r>
        <w:rPr>
          <w:rStyle w:val="a7"/>
          <w:rtl/>
        </w:rPr>
        <w:footnoteReference w:id="705"/>
      </w:r>
      <w:r>
        <w:rPr>
          <w:rFonts w:hint="cs"/>
          <w:vertAlign w:val="superscript"/>
          <w:rtl/>
        </w:rPr>
        <w:t>)</w:t>
      </w:r>
      <w:r>
        <w:rPr>
          <w:rFonts w:hint="cs"/>
          <w:rtl/>
        </w:rPr>
        <w:t xml:space="preserve"> على المباشر تعلق الحكم إلى</w:t>
      </w:r>
      <w:r>
        <w:rPr>
          <w:rStyle w:val="a7"/>
          <w:rtl/>
        </w:rPr>
        <w:footnoteReference w:id="706"/>
      </w:r>
      <w:r>
        <w:rPr>
          <w:rFonts w:hint="cs"/>
          <w:rtl/>
        </w:rPr>
        <w:t xml:space="preserve"> السبب الظاهر.</w:t>
      </w:r>
    </w:p>
    <w:p w:rsidR="00C10469" w:rsidRDefault="00C10469" w:rsidP="00C10469">
      <w:pPr>
        <w:rPr>
          <w:rtl/>
        </w:rPr>
      </w:pPr>
      <w:r>
        <w:rPr>
          <w:rFonts w:hint="cs"/>
          <w:rtl/>
        </w:rPr>
        <w:t>كما إذا اجتمع القوم بالسيف وتفرقوا ، فظهر في موضع اجتماعهم قتيل</w:t>
      </w:r>
      <w:r>
        <w:rPr>
          <w:rFonts w:hint="cs"/>
          <w:vertAlign w:val="superscript"/>
          <w:rtl/>
        </w:rPr>
        <w:t>(</w:t>
      </w:r>
      <w:r>
        <w:rPr>
          <w:rStyle w:val="a7"/>
          <w:rtl/>
        </w:rPr>
        <w:footnoteReference w:id="707"/>
      </w:r>
      <w:r>
        <w:rPr>
          <w:rFonts w:hint="cs"/>
          <w:vertAlign w:val="superscript"/>
          <w:rtl/>
        </w:rPr>
        <w:t>)</w:t>
      </w:r>
      <w:r>
        <w:rPr>
          <w:rFonts w:hint="cs"/>
          <w:rtl/>
        </w:rPr>
        <w:t>: [تـجب]</w:t>
      </w:r>
      <w:r>
        <w:rPr>
          <w:rStyle w:val="a7"/>
          <w:rtl/>
        </w:rPr>
        <w:footnoteReference w:id="708"/>
      </w:r>
      <w:r>
        <w:rPr>
          <w:rFonts w:hint="cs"/>
          <w:rtl/>
        </w:rPr>
        <w:t xml:space="preserve"> الديـة والقـسامـة عـلى أهـل الـمَحَلَّـة</w:t>
      </w:r>
      <w:r>
        <w:rPr>
          <w:rFonts w:hint="cs"/>
          <w:vertAlign w:val="superscript"/>
          <w:rtl/>
        </w:rPr>
        <w:t>(</w:t>
      </w:r>
      <w:r>
        <w:rPr>
          <w:rStyle w:val="a7"/>
          <w:rtl/>
        </w:rPr>
        <w:footnoteReference w:id="709"/>
      </w:r>
      <w:r>
        <w:rPr>
          <w:rFonts w:hint="cs"/>
          <w:vertAlign w:val="superscript"/>
          <w:rtl/>
        </w:rPr>
        <w:t>)</w:t>
      </w:r>
      <w:r>
        <w:rPr>
          <w:rFonts w:hint="cs"/>
          <w:rtl/>
        </w:rPr>
        <w:t>؛ لـتـعذّر الـوقوف</w:t>
      </w:r>
      <w:r>
        <w:rPr>
          <w:rStyle w:val="a7"/>
          <w:rtl/>
        </w:rPr>
        <w:footnoteReference w:id="710"/>
      </w:r>
      <w:r>
        <w:rPr>
          <w:rFonts w:hint="cs"/>
          <w:rtl/>
        </w:rPr>
        <w:t xml:space="preserve"> عـلى قـاتلـه من غير أهـل الـمحلة، فتعلق الحكم بالسبب الظاهر، وهو وجوده قتيلاً في محلّتهم.</w:t>
      </w:r>
    </w:p>
    <w:p w:rsidR="00C10469" w:rsidRDefault="00C10469" w:rsidP="00C10469">
      <w:pPr>
        <w:rPr>
          <w:rtl/>
        </w:rPr>
      </w:pPr>
      <w:r>
        <w:rPr>
          <w:rFonts w:hint="cs"/>
          <w:b/>
          <w:bCs/>
          <w:rtl/>
        </w:rPr>
        <w:t>وتـقـريـره</w:t>
      </w:r>
      <w:r>
        <w:rPr>
          <w:rFonts w:hint="cs"/>
          <w:rtl/>
        </w:rPr>
        <w:t xml:space="preserve"> : أن فـي </w:t>
      </w:r>
      <w:r>
        <w:rPr>
          <w:rFonts w:hint="cs"/>
          <w:b/>
          <w:bCs/>
          <w:rtl/>
        </w:rPr>
        <w:t>الـمسـألـة الأولى</w:t>
      </w:r>
      <w:r>
        <w:rPr>
          <w:rFonts w:hint="cs"/>
          <w:rtl/>
        </w:rPr>
        <w:t xml:space="preserve"> : الصـبـي قـتـل نـفـسـه باختـياره، فـكان مـباشـرًا بالـقـتل، فيضاف الحكم إليه، لاجتماع المباشر والمتسبِّب</w:t>
      </w:r>
      <w:r>
        <w:rPr>
          <w:rStyle w:val="a7"/>
          <w:rtl/>
        </w:rPr>
        <w:footnoteReference w:id="711"/>
      </w:r>
      <w:r>
        <w:rPr>
          <w:rFonts w:hint="cs"/>
          <w:rtl/>
        </w:rPr>
        <w:t>.</w:t>
      </w:r>
    </w:p>
    <w:p w:rsidR="00C10469" w:rsidRDefault="00C10469" w:rsidP="00C10469">
      <w:pPr>
        <w:rPr>
          <w:rtl/>
        </w:rPr>
      </w:pPr>
      <w:r>
        <w:rPr>
          <w:rFonts w:hint="cs"/>
          <w:rtl/>
        </w:rPr>
        <w:lastRenderedPageBreak/>
        <w:t xml:space="preserve">وفي </w:t>
      </w:r>
      <w:r>
        <w:rPr>
          <w:rFonts w:hint="cs"/>
          <w:b/>
          <w:bCs/>
          <w:rtl/>
        </w:rPr>
        <w:t>المسألة الثانية</w:t>
      </w:r>
      <w:r>
        <w:rPr>
          <w:rFonts w:hint="cs"/>
          <w:rtl/>
        </w:rPr>
        <w:t xml:space="preserve"> </w:t>
      </w:r>
      <w:r>
        <w:rPr>
          <w:rStyle w:val="a7"/>
          <w:rtl/>
        </w:rPr>
        <w:footnoteReference w:id="712"/>
      </w:r>
      <w:r>
        <w:rPr>
          <w:rFonts w:hint="cs"/>
          <w:rtl/>
        </w:rPr>
        <w:t>: لا يكون الصبي مـختارًا ؛ فلا يُعدُّ مباشرًا ، فيضاف الحكم إلى دافع السكين.</w:t>
      </w:r>
    </w:p>
    <w:p w:rsidR="00C10469" w:rsidRDefault="00C10469" w:rsidP="00C10469">
      <w:r>
        <w:rPr>
          <w:rFonts w:hint="cs"/>
          <w:rtl/>
        </w:rPr>
        <w:t>وبهذا ظهر الفرق بين المسألتين</w:t>
      </w:r>
      <w:r>
        <w:rPr>
          <w:rFonts w:hint="cs"/>
          <w:vertAlign w:val="superscript"/>
          <w:rtl/>
        </w:rPr>
        <w:t>(</w:t>
      </w:r>
      <w:r>
        <w:rPr>
          <w:rStyle w:val="a7"/>
          <w:rtl/>
        </w:rPr>
        <w:footnoteReference w:id="713"/>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ind w:firstLine="0"/>
        <w:rPr>
          <w:rtl/>
        </w:rPr>
        <w:sectPr w:rsidR="00C10469">
          <w:headerReference w:type="even" r:id="rId52"/>
          <w:headerReference w:type="default" r:id="rId53"/>
          <w:footerReference w:type="even" r:id="rId54"/>
          <w:footerReference w:type="default" r:id="rId55"/>
          <w:footnotePr>
            <w:pos w:val="beneathText"/>
            <w:numRestart w:val="eachPage"/>
          </w:footnotePr>
          <w:endnotePr>
            <w:numFmt w:val="decimal"/>
          </w:endnotePr>
          <w:pgSz w:w="11906" w:h="16838" w:code="9"/>
          <w:pgMar w:top="2268" w:right="1985" w:bottom="1418" w:left="1474" w:header="680" w:footer="851" w:gutter="284"/>
          <w:pgNumType w:start="282"/>
          <w:cols w:space="720"/>
          <w:bidi/>
          <w:rtlGutter/>
        </w:sectPr>
      </w:pPr>
    </w:p>
    <w:p w:rsidR="00C10469" w:rsidRPr="00BD653D" w:rsidRDefault="00C10469" w:rsidP="00C10469">
      <w:pPr>
        <w:pStyle w:val="a9"/>
        <w:rPr>
          <w:rFonts w:cs="AL-Mateen"/>
          <w:rtl/>
        </w:rPr>
      </w:pPr>
      <w:r w:rsidRPr="00BD653D">
        <w:rPr>
          <w:rFonts w:cs="AL-Mateen" w:hint="cs"/>
          <w:rtl/>
        </w:rPr>
        <w:lastRenderedPageBreak/>
        <w:t>[ القاعدة الخامسة عشـرة ]</w:t>
      </w:r>
    </w:p>
    <w:p w:rsidR="00C10469" w:rsidRDefault="00C10469" w:rsidP="00C10469">
      <w:pPr>
        <w:rPr>
          <w:b/>
          <w:bCs/>
          <w:rtl/>
        </w:rPr>
      </w:pPr>
      <w:r>
        <w:rPr>
          <w:rFonts w:cs="Monotype Koufi" w:hint="cs"/>
          <w:rtl/>
        </w:rPr>
        <w:t>إذَا تَعَارَضَ المَفَسَدَتَانِ</w:t>
      </w:r>
      <w:r>
        <w:rPr>
          <w:rStyle w:val="a7"/>
          <w:b/>
          <w:rtl/>
        </w:rPr>
        <w:footnoteReference w:id="714"/>
      </w:r>
      <w:r>
        <w:rPr>
          <w:rFonts w:hint="cs"/>
          <w:b/>
          <w:bCs/>
          <w:rtl/>
        </w:rPr>
        <w:t xml:space="preserve"> </w:t>
      </w:r>
      <w:r>
        <w:rPr>
          <w:rFonts w:cs="Monotype Koufi" w:hint="cs"/>
          <w:rtl/>
        </w:rPr>
        <w:t>: رُوعِيَ أعظَمُهُمَا ضررًا بارْتِكَابِ أخفِّهِمَا</w:t>
      </w:r>
      <w:r>
        <w:rPr>
          <w:rFonts w:hint="cs"/>
          <w:b/>
          <w:bCs/>
          <w:vertAlign w:val="superscript"/>
          <w:rtl/>
        </w:rPr>
        <w:t>(</w:t>
      </w:r>
      <w:r>
        <w:rPr>
          <w:rStyle w:val="a7"/>
          <w:b/>
          <w:rtl/>
        </w:rPr>
        <w:footnoteReference w:id="715"/>
      </w:r>
      <w:r>
        <w:rPr>
          <w:rFonts w:hint="cs"/>
          <w:b/>
          <w:bCs/>
          <w:vertAlign w:val="superscript"/>
          <w:rtl/>
        </w:rPr>
        <w:t>)</w:t>
      </w:r>
      <w:r>
        <w:rPr>
          <w:rFonts w:hint="cs"/>
          <w:b/>
          <w:bCs/>
          <w:rtl/>
        </w:rPr>
        <w:t xml:space="preserve"> :</w:t>
      </w:r>
    </w:p>
    <w:p w:rsidR="00C10469" w:rsidRDefault="00C10469" w:rsidP="00C10469">
      <w:pPr>
        <w:spacing w:line="228" w:lineRule="auto"/>
      </w:pPr>
      <w:r>
        <w:rPr>
          <w:rFonts w:hint="eastAsia"/>
          <w:rtl/>
        </w:rPr>
        <w:lastRenderedPageBreak/>
        <w:t>«</w:t>
      </w:r>
      <w:r>
        <w:rPr>
          <w:rFonts w:hint="cs"/>
          <w:b/>
          <w:bCs/>
          <w:rtl/>
        </w:rPr>
        <w:t>مثاله</w:t>
      </w:r>
      <w:r>
        <w:rPr>
          <w:rFonts w:hint="cs"/>
          <w:rtl/>
        </w:rPr>
        <w:t xml:space="preserve"> : رجل عليه جرح، لو سجد سال جرحه، وإن لم يسجُد لم يَسِلْ : فإنه يصلي قاعدًا</w:t>
      </w:r>
      <w:r>
        <w:rPr>
          <w:rStyle w:val="a7"/>
          <w:rtl/>
        </w:rPr>
        <w:footnoteReference w:id="716"/>
      </w:r>
      <w:r>
        <w:rPr>
          <w:rFonts w:hint="cs"/>
          <w:rtl/>
        </w:rPr>
        <w:t>، يومئُ بالسجود والركـوع</w:t>
      </w:r>
      <w:r>
        <w:rPr>
          <w:rStyle w:val="a7"/>
          <w:rtl/>
        </w:rPr>
        <w:footnoteReference w:id="717"/>
      </w:r>
      <w:r>
        <w:rPr>
          <w:rFonts w:hint="cs"/>
          <w:rtl/>
        </w:rPr>
        <w:t xml:space="preserve"> ؛ لأن تـركَ السـجود أهـونُ من الصلاة</w:t>
      </w:r>
      <w:r>
        <w:rPr>
          <w:rStyle w:val="a7"/>
          <w:rtl/>
        </w:rPr>
        <w:footnoteReference w:id="718"/>
      </w:r>
      <w:r>
        <w:rPr>
          <w:rFonts w:hint="cs"/>
          <w:rtl/>
        </w:rPr>
        <w:t xml:space="preserve"> مع الحدث. ألا يُرى أن ترك السـجود جـاز حالة الاختيار في النفل</w:t>
      </w:r>
      <w:r>
        <w:rPr>
          <w:rFonts w:hint="cs"/>
          <w:vertAlign w:val="superscript"/>
          <w:rtl/>
        </w:rPr>
        <w:t>(</w:t>
      </w:r>
      <w:r>
        <w:rPr>
          <w:rStyle w:val="a7"/>
          <w:rtl/>
        </w:rPr>
        <w:footnoteReference w:id="719"/>
      </w:r>
      <w:r>
        <w:rPr>
          <w:rFonts w:hint="cs"/>
          <w:vertAlign w:val="superscript"/>
          <w:rtl/>
        </w:rPr>
        <w:t>)</w:t>
      </w:r>
      <w:r>
        <w:rPr>
          <w:rFonts w:hint="cs"/>
          <w:rtl/>
        </w:rPr>
        <w:t>، ومع الحدث لا يجوز بحال</w:t>
      </w:r>
      <w:r>
        <w:rPr>
          <w:rFonts w:hint="eastAsia"/>
          <w:rtl/>
        </w:rPr>
        <w:t>»</w:t>
      </w:r>
      <w:r>
        <w:rPr>
          <w:rFonts w:hint="cs"/>
          <w:vertAlign w:val="superscript"/>
          <w:rtl/>
        </w:rPr>
        <w:t>(</w:t>
      </w:r>
      <w:r>
        <w:rPr>
          <w:rStyle w:val="a7"/>
          <w:rtl/>
        </w:rPr>
        <w:footnoteReference w:id="720"/>
      </w:r>
      <w:r>
        <w:rPr>
          <w:rFonts w:hint="cs"/>
          <w:vertAlign w:val="superscript"/>
          <w:rtl/>
        </w:rPr>
        <w:t>)</w:t>
      </w:r>
      <w:r>
        <w:rPr>
          <w:rFonts w:hint="cs"/>
          <w:rtl/>
        </w:rPr>
        <w:t>.</w:t>
      </w:r>
    </w:p>
    <w:p w:rsidR="00C10469" w:rsidRDefault="00C10469" w:rsidP="00C10469">
      <w:pPr>
        <w:rPr>
          <w:rtl/>
        </w:rPr>
      </w:pPr>
      <w:r>
        <w:rPr>
          <w:rFonts w:hint="cs"/>
          <w:rtl/>
        </w:rPr>
        <w:lastRenderedPageBreak/>
        <w:t>وفروع هذه</w:t>
      </w:r>
      <w:r>
        <w:rPr>
          <w:rStyle w:val="a7"/>
          <w:rtl/>
        </w:rPr>
        <w:footnoteReference w:id="721"/>
      </w:r>
      <w:r>
        <w:rPr>
          <w:rFonts w:hint="cs"/>
          <w:rtl/>
        </w:rPr>
        <w:t xml:space="preserve"> القاعدة كثيرة.</w:t>
      </w:r>
    </w:p>
    <w:p w:rsidR="00C10469" w:rsidRDefault="00C10469" w:rsidP="00C10469">
      <w:pPr>
        <w:rPr>
          <w:rtl/>
        </w:rPr>
      </w:pPr>
    </w:p>
    <w:p w:rsidR="00C10469" w:rsidRDefault="00C10469" w:rsidP="00C10469">
      <w:pPr>
        <w:rPr>
          <w:rtl/>
        </w:rPr>
      </w:pPr>
    </w:p>
    <w:p w:rsidR="00C10469" w:rsidRPr="000139CC" w:rsidRDefault="00C10469" w:rsidP="00C10469">
      <w:pPr>
        <w:jc w:val="center"/>
        <w:rPr>
          <w:rtl/>
        </w:rPr>
      </w:pPr>
      <w:r>
        <w:rPr>
          <w:rFonts w:ascii="AGA Arabesque" w:hAnsi="AGA Arabesque"/>
        </w:rPr>
        <w:t></w:t>
      </w:r>
      <w:r>
        <w:rPr>
          <w:rFonts w:ascii="AGA Arabesque" w:hAnsi="AGA Arabesque"/>
        </w:rPr>
        <w:t></w:t>
      </w:r>
      <w:r>
        <w:rPr>
          <w:rFonts w:ascii="AGA Arabesque" w:hAnsi="AGA Arabesque"/>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ind w:firstLine="0"/>
        <w:rPr>
          <w:rtl/>
        </w:rPr>
        <w:sectPr w:rsidR="00C10469">
          <w:headerReference w:type="even" r:id="rId56"/>
          <w:headerReference w:type="default" r:id="rId57"/>
          <w:footerReference w:type="even" r:id="rId58"/>
          <w:footerReference w:type="default" r:id="rId59"/>
          <w:footnotePr>
            <w:pos w:val="beneathText"/>
            <w:numRestart w:val="eachPage"/>
          </w:footnotePr>
          <w:endnotePr>
            <w:numFmt w:val="decimal"/>
          </w:endnotePr>
          <w:pgSz w:w="11906" w:h="16838" w:code="9"/>
          <w:pgMar w:top="2268" w:right="1985" w:bottom="1418" w:left="1418" w:header="680" w:footer="851" w:gutter="284"/>
          <w:pgNumType w:start="287"/>
          <w:cols w:space="720"/>
          <w:bidi/>
          <w:rtlGutter/>
        </w:sectPr>
      </w:pPr>
    </w:p>
    <w:p w:rsidR="00C10469" w:rsidRPr="00A2254B" w:rsidRDefault="00C10469" w:rsidP="00C10469">
      <w:pPr>
        <w:pStyle w:val="a9"/>
        <w:rPr>
          <w:rFonts w:cs="AL-Mateen"/>
          <w:rtl/>
        </w:rPr>
      </w:pPr>
      <w:r w:rsidRPr="00A2254B">
        <w:rPr>
          <w:rFonts w:cs="AL-Mateen" w:hint="cs"/>
          <w:rtl/>
        </w:rPr>
        <w:lastRenderedPageBreak/>
        <w:t>[ القاعـدة السـادسة عشـرة ]</w:t>
      </w:r>
    </w:p>
    <w:p w:rsidR="00C10469" w:rsidRDefault="00C10469" w:rsidP="00C10469">
      <w:pPr>
        <w:rPr>
          <w:rtl/>
        </w:rPr>
      </w:pPr>
      <w:r>
        <w:rPr>
          <w:rFonts w:hint="cs"/>
          <w:rtl/>
        </w:rPr>
        <w:t>ذكر في (الأشـباه) في القـاعـدة الـخامـسة (وهي الضرر يزال) بعد ثلاثة أوراق تخمينًا</w:t>
      </w:r>
      <w:r>
        <w:rPr>
          <w:rFonts w:hint="cs"/>
          <w:vertAlign w:val="superscript"/>
          <w:rtl/>
        </w:rPr>
        <w:t>(</w:t>
      </w:r>
      <w:r>
        <w:rPr>
          <w:rStyle w:val="a7"/>
          <w:rtl/>
        </w:rPr>
        <w:footnoteReference w:id="722"/>
      </w:r>
      <w:r>
        <w:rPr>
          <w:rFonts w:hint="cs"/>
          <w:vertAlign w:val="superscript"/>
          <w:rtl/>
        </w:rPr>
        <w:t>)</w:t>
      </w:r>
      <w:r>
        <w:rPr>
          <w:rFonts w:hint="cs"/>
          <w:rtl/>
        </w:rPr>
        <w:t xml:space="preserve"> :</w:t>
      </w:r>
    </w:p>
    <w:p w:rsidR="00C10469" w:rsidRDefault="00C10469" w:rsidP="00C10469">
      <w:pPr>
        <w:rPr>
          <w:b/>
          <w:bCs/>
          <w:rtl/>
        </w:rPr>
      </w:pPr>
      <w:r>
        <w:rPr>
          <w:rFonts w:cs="Monotype Koufi" w:hint="cs"/>
          <w:rtl/>
        </w:rPr>
        <w:t>إذَا اجتَمَعَ الحلالُ</w:t>
      </w:r>
      <w:r>
        <w:rPr>
          <w:rStyle w:val="a7"/>
          <w:b/>
          <w:rtl/>
        </w:rPr>
        <w:footnoteReference w:id="723"/>
      </w:r>
      <w:r>
        <w:rPr>
          <w:rFonts w:hint="cs"/>
          <w:b/>
          <w:bCs/>
          <w:rtl/>
        </w:rPr>
        <w:t xml:space="preserve"> </w:t>
      </w:r>
      <w:r>
        <w:rPr>
          <w:rFonts w:cs="Monotype Koufi" w:hint="cs"/>
          <w:rtl/>
        </w:rPr>
        <w:t>والحَرَامُ غُلِّبَ الحَرَامُ</w:t>
      </w:r>
      <w:r>
        <w:rPr>
          <w:rFonts w:hint="cs"/>
          <w:b/>
          <w:bCs/>
          <w:vertAlign w:val="superscript"/>
          <w:rtl/>
        </w:rPr>
        <w:t>(</w:t>
      </w:r>
      <w:r>
        <w:rPr>
          <w:rStyle w:val="a7"/>
          <w:b/>
          <w:rtl/>
        </w:rPr>
        <w:footnoteReference w:id="724"/>
      </w:r>
      <w:r>
        <w:rPr>
          <w:rFonts w:hint="cs"/>
          <w:b/>
          <w:bCs/>
          <w:vertAlign w:val="superscript"/>
          <w:rtl/>
        </w:rPr>
        <w:t>)</w:t>
      </w:r>
      <w:r>
        <w:rPr>
          <w:rFonts w:hint="cs"/>
          <w:b/>
          <w:bCs/>
          <w:rtl/>
        </w:rPr>
        <w:t xml:space="preserve"> :</w:t>
      </w:r>
    </w:p>
    <w:p w:rsidR="00C10469" w:rsidRDefault="00C10469" w:rsidP="00C10469">
      <w:pPr>
        <w:rPr>
          <w:rtl/>
        </w:rPr>
      </w:pPr>
      <w:r>
        <w:rPr>
          <w:rFonts w:hint="eastAsia"/>
          <w:rtl/>
        </w:rPr>
        <w:lastRenderedPageBreak/>
        <w:t>«</w:t>
      </w:r>
      <w:r>
        <w:rPr>
          <w:rFonts w:hint="cs"/>
          <w:b/>
          <w:bCs/>
          <w:rtl/>
        </w:rPr>
        <w:t>ومن فروعها</w:t>
      </w:r>
      <w:r>
        <w:rPr>
          <w:rFonts w:hint="cs"/>
          <w:rtl/>
        </w:rPr>
        <w:t xml:space="preserve"> : ما إذا تـعـارض</w:t>
      </w:r>
      <w:r>
        <w:rPr>
          <w:rFonts w:hint="cs"/>
          <w:vertAlign w:val="superscript"/>
          <w:rtl/>
        </w:rPr>
        <w:t>(</w:t>
      </w:r>
      <w:r>
        <w:rPr>
          <w:rStyle w:val="a7"/>
          <w:rtl/>
        </w:rPr>
        <w:footnoteReference w:id="725"/>
      </w:r>
      <w:r>
        <w:rPr>
          <w:rFonts w:hint="cs"/>
          <w:vertAlign w:val="superscript"/>
          <w:rtl/>
        </w:rPr>
        <w:t>)</w:t>
      </w:r>
      <w:r>
        <w:rPr>
          <w:rFonts w:hint="cs"/>
          <w:rtl/>
        </w:rPr>
        <w:t xml:space="preserve"> دليلان، أحـدهما يقتضي التحريم، والآخر الإباحة : يقدم التحريم.</w:t>
      </w:r>
    </w:p>
    <w:p w:rsidR="00C10469" w:rsidRDefault="00C10469" w:rsidP="001C1D4A">
      <w:pPr>
        <w:rPr>
          <w:rtl/>
        </w:rPr>
      </w:pPr>
      <w:r>
        <w:rPr>
          <w:rFonts w:hint="cs"/>
          <w:rtl/>
        </w:rPr>
        <w:t xml:space="preserve">وعلَّله الأصوليّون بتقليل النَّسخ ؛ لأنه لو قُدِّم المبيحُ لزم تكرارُ النسخ؛ لأن </w:t>
      </w:r>
      <w:r>
        <w:rPr>
          <w:rFonts w:hint="eastAsia"/>
          <w:rtl/>
        </w:rPr>
        <w:lastRenderedPageBreak/>
        <w:t>«</w:t>
      </w:r>
      <w:r>
        <w:rPr>
          <w:rFonts w:hint="cs"/>
          <w:rtl/>
        </w:rPr>
        <w:t>الأصل</w:t>
      </w:r>
      <w:r w:rsidR="001C1D4A">
        <w:t xml:space="preserve"> </w:t>
      </w:r>
      <w:r>
        <w:rPr>
          <w:rFonts w:hint="cs"/>
          <w:rtl/>
        </w:rPr>
        <w:t>في الأشياء الإباحة</w:t>
      </w:r>
      <w:r>
        <w:rPr>
          <w:rFonts w:hint="eastAsia"/>
          <w:rtl/>
        </w:rPr>
        <w:t>»</w:t>
      </w:r>
      <w:r>
        <w:rPr>
          <w:rFonts w:hint="cs"/>
          <w:vertAlign w:val="superscript"/>
          <w:rtl/>
        </w:rPr>
        <w:t>(</w:t>
      </w:r>
      <w:r>
        <w:rPr>
          <w:rStyle w:val="a7"/>
          <w:rtl/>
        </w:rPr>
        <w:footnoteReference w:id="726"/>
      </w:r>
      <w:r>
        <w:rPr>
          <w:rFonts w:hint="cs"/>
          <w:vertAlign w:val="superscript"/>
          <w:rtl/>
        </w:rPr>
        <w:t>)</w:t>
      </w:r>
      <w:r>
        <w:rPr>
          <w:rFonts w:hint="cs"/>
          <w:rtl/>
        </w:rPr>
        <w:t>، فإذا جُعل المبيح متأخرًا : كان المحرِّم ناسخًا للإباحة الأصلية</w:t>
      </w:r>
      <w:r>
        <w:rPr>
          <w:rFonts w:hint="cs"/>
          <w:vertAlign w:val="superscript"/>
          <w:rtl/>
        </w:rPr>
        <w:t>(</w:t>
      </w:r>
      <w:r>
        <w:rPr>
          <w:rStyle w:val="a7"/>
          <w:rtl/>
        </w:rPr>
        <w:footnoteReference w:id="727"/>
      </w:r>
      <w:r>
        <w:rPr>
          <w:rFonts w:hint="cs"/>
          <w:vertAlign w:val="superscript"/>
          <w:rtl/>
        </w:rPr>
        <w:t>)</w:t>
      </w:r>
      <w:r>
        <w:rPr>
          <w:rFonts w:hint="cs"/>
          <w:rtl/>
        </w:rPr>
        <w:t>، ثم يصير منسوخًا بالمبيح. ولو جُعل المُحَرِّمُ متأخرًا : لكان ناسخًا للمبيح، وهو لم ينسخ شيئًا ؛ لكونه وفق الأصل</w:t>
      </w:r>
      <w:r>
        <w:rPr>
          <w:rFonts w:hint="eastAsia"/>
          <w:rtl/>
        </w:rPr>
        <w:t>»</w:t>
      </w:r>
      <w:r>
        <w:rPr>
          <w:rFonts w:hint="cs"/>
          <w:vertAlign w:val="superscript"/>
          <w:rtl/>
        </w:rPr>
        <w:t>(</w:t>
      </w:r>
      <w:r>
        <w:rPr>
          <w:rStyle w:val="a7"/>
          <w:rtl/>
        </w:rPr>
        <w:footnoteReference w:id="728"/>
      </w:r>
      <w:r>
        <w:rPr>
          <w:rFonts w:hint="cs"/>
          <w:vertAlign w:val="superscript"/>
          <w:rtl/>
        </w:rPr>
        <w:t>)</w:t>
      </w:r>
      <w:r>
        <w:rPr>
          <w:rFonts w:hint="cs"/>
          <w:rtl/>
        </w:rPr>
        <w:t>.</w:t>
      </w:r>
    </w:p>
    <w:p w:rsidR="00C10469" w:rsidRDefault="00C10469" w:rsidP="00C10469">
      <w:pPr>
        <w:rPr>
          <w:rtl/>
        </w:rPr>
      </w:pPr>
      <w:r>
        <w:rPr>
          <w:rFonts w:hint="cs"/>
          <w:b/>
          <w:bCs/>
          <w:rtl/>
        </w:rPr>
        <w:lastRenderedPageBreak/>
        <w:t xml:space="preserve">أقـول </w:t>
      </w:r>
      <w:r>
        <w:rPr>
          <w:rFonts w:hint="cs"/>
          <w:rtl/>
        </w:rPr>
        <w:t>: عـبـارتـهـم [تــوهـم]</w:t>
      </w:r>
      <w:r>
        <w:rPr>
          <w:rStyle w:val="a7"/>
          <w:rtl/>
        </w:rPr>
        <w:footnoteReference w:id="729"/>
      </w:r>
      <w:r>
        <w:rPr>
          <w:rFonts w:hint="cs"/>
          <w:rtl/>
        </w:rPr>
        <w:t xml:space="preserve"> خــلاف الـمـقـصــود؛</w:t>
      </w:r>
    </w:p>
    <w:p w:rsidR="00C10469" w:rsidRDefault="00C10469" w:rsidP="00C10469">
      <w:pPr>
        <w:ind w:firstLine="0"/>
        <w:rPr>
          <w:rtl/>
        </w:rPr>
      </w:pPr>
      <w:r>
        <w:rPr>
          <w:rFonts w:hint="cs"/>
          <w:rtl/>
        </w:rPr>
        <w:lastRenderedPageBreak/>
        <w:t>لأنهم</w:t>
      </w:r>
      <w:r>
        <w:rPr>
          <w:rStyle w:val="a7"/>
          <w:rtl/>
        </w:rPr>
        <w:footnoteReference w:id="730"/>
      </w:r>
      <w:r>
        <w:rPr>
          <w:rFonts w:hint="cs"/>
          <w:rtl/>
        </w:rPr>
        <w:t xml:space="preserve"> علَّلوا وجوب تقديم التحريم بقلة</w:t>
      </w:r>
      <w:r>
        <w:rPr>
          <w:rStyle w:val="a7"/>
          <w:rtl/>
        </w:rPr>
        <w:footnoteReference w:id="731"/>
      </w:r>
      <w:r>
        <w:rPr>
          <w:rFonts w:hint="cs"/>
          <w:rtl/>
        </w:rPr>
        <w:t xml:space="preserve"> النسخ، ثمّ أثبتوا كثرة النسخ في تأخير المبيح، فحينئذ يوهم لزوم تقديمه رغبةً لقلة النسخ وهربًا عن تكثيره</w:t>
      </w:r>
      <w:r>
        <w:rPr>
          <w:rStyle w:val="a7"/>
          <w:rtl/>
        </w:rPr>
        <w:footnoteReference w:id="732"/>
      </w:r>
      <w:r>
        <w:rPr>
          <w:rFonts w:hint="cs"/>
          <w:rtl/>
        </w:rPr>
        <w:t>.</w:t>
      </w:r>
    </w:p>
    <w:p w:rsidR="00C10469" w:rsidRDefault="00C10469" w:rsidP="00C10469">
      <w:pPr>
        <w:rPr>
          <w:rtl/>
        </w:rPr>
      </w:pPr>
      <w:r>
        <w:rPr>
          <w:rFonts w:hint="cs"/>
          <w:rtl/>
        </w:rPr>
        <w:t>فالعبارة [السالمة]</w:t>
      </w:r>
      <w:r>
        <w:rPr>
          <w:rStyle w:val="a7"/>
          <w:rtl/>
        </w:rPr>
        <w:footnoteReference w:id="733"/>
      </w:r>
      <w:r>
        <w:rPr>
          <w:rFonts w:hint="cs"/>
          <w:rtl/>
        </w:rPr>
        <w:t xml:space="preserve"> عن الإيهام أن يقال</w:t>
      </w:r>
      <w:r>
        <w:rPr>
          <w:rFonts w:hint="cs"/>
          <w:vertAlign w:val="superscript"/>
          <w:rtl/>
        </w:rPr>
        <w:t>(</w:t>
      </w:r>
      <w:r>
        <w:rPr>
          <w:rStyle w:val="a7"/>
          <w:rtl/>
        </w:rPr>
        <w:footnoteReference w:id="734"/>
      </w:r>
      <w:r>
        <w:rPr>
          <w:rFonts w:hint="cs"/>
          <w:vertAlign w:val="superscript"/>
          <w:rtl/>
        </w:rPr>
        <w:t>)</w:t>
      </w:r>
      <w:r>
        <w:rPr>
          <w:rFonts w:hint="cs"/>
          <w:rtl/>
        </w:rPr>
        <w:t xml:space="preserve"> : إذا تعارض دليل المبيح والمحرِّم : اعتبرنا ورود دليل المحرِّم</w:t>
      </w:r>
      <w:r>
        <w:rPr>
          <w:rStyle w:val="a7"/>
          <w:rtl/>
        </w:rPr>
        <w:footnoteReference w:id="735"/>
      </w:r>
      <w:r>
        <w:rPr>
          <w:rFonts w:hint="cs"/>
          <w:rtl/>
        </w:rPr>
        <w:t xml:space="preserve"> مؤخَّرًا ؛ ليكون ناسخًا للمبيح. والحال أن المبيح لا ينسخ شيئًا ؛ لأن </w:t>
      </w:r>
      <w:r>
        <w:rPr>
          <w:rFonts w:hint="eastAsia"/>
          <w:rtl/>
        </w:rPr>
        <w:t>«</w:t>
      </w:r>
      <w:r>
        <w:rPr>
          <w:rFonts w:hint="cs"/>
          <w:rtl/>
        </w:rPr>
        <w:t>الأصل في الأشياء الإباحة</w:t>
      </w:r>
      <w:r>
        <w:rPr>
          <w:rFonts w:hint="eastAsia"/>
          <w:rtl/>
        </w:rPr>
        <w:t>»</w:t>
      </w:r>
      <w:r>
        <w:rPr>
          <w:rFonts w:hint="cs"/>
          <w:rtl/>
        </w:rPr>
        <w:t>.</w:t>
      </w:r>
    </w:p>
    <w:p w:rsidR="00C10469" w:rsidRDefault="00C10469" w:rsidP="00C10469">
      <w:pPr>
        <w:rPr>
          <w:rtl/>
        </w:rPr>
      </w:pPr>
      <w:r>
        <w:rPr>
          <w:rFonts w:hint="cs"/>
          <w:rtl/>
        </w:rPr>
        <w:t>وإن اعتبرنا ورود دليل المبيح مؤخرًا : كان [المحرِّم]</w:t>
      </w:r>
      <w:r>
        <w:rPr>
          <w:rStyle w:val="a7"/>
          <w:rtl/>
        </w:rPr>
        <w:footnoteReference w:id="736"/>
      </w:r>
      <w:r>
        <w:rPr>
          <w:rFonts w:hint="cs"/>
          <w:rtl/>
        </w:rPr>
        <w:t xml:space="preserve"> ناسخًا للإباحة الأصلية، ثم يكون منسوخًا بالمبيح الذي اعتبرنا[ه]</w:t>
      </w:r>
      <w:r>
        <w:rPr>
          <w:rStyle w:val="a7"/>
          <w:rtl/>
        </w:rPr>
        <w:footnoteReference w:id="737"/>
      </w:r>
      <w:r>
        <w:rPr>
          <w:rFonts w:hint="cs"/>
          <w:rtl/>
        </w:rPr>
        <w:t xml:space="preserve"> مؤخرًا، فتكرَّر النسخ.</w:t>
      </w:r>
    </w:p>
    <w:p w:rsidR="00C10469" w:rsidRDefault="00C10469" w:rsidP="00C10469">
      <w:pPr>
        <w:rPr>
          <w:rtl/>
        </w:rPr>
      </w:pPr>
      <w:r>
        <w:rPr>
          <w:rFonts w:hint="cs"/>
          <w:rtl/>
        </w:rPr>
        <w:t>فلأجل هذا قُدِّم المحرِّم (أي جعل غالبًا)، فالتقديم المذكور في المدلول غير [التقديم]</w:t>
      </w:r>
      <w:r>
        <w:rPr>
          <w:rStyle w:val="a7"/>
          <w:rtl/>
        </w:rPr>
        <w:footnoteReference w:id="738"/>
      </w:r>
      <w:r>
        <w:rPr>
          <w:rFonts w:hint="cs"/>
          <w:rtl/>
        </w:rPr>
        <w:t xml:space="preserve"> المذكور في الدليل</w:t>
      </w:r>
      <w:r>
        <w:rPr>
          <w:rFonts w:hint="cs"/>
          <w:vertAlign w:val="superscript"/>
          <w:rtl/>
        </w:rPr>
        <w:t>(</w:t>
      </w:r>
      <w:r>
        <w:rPr>
          <w:rStyle w:val="a7"/>
          <w:rtl/>
        </w:rPr>
        <w:footnoteReference w:id="739"/>
      </w:r>
      <w:r>
        <w:rPr>
          <w:rFonts w:hint="cs"/>
          <w:vertAlign w:val="superscript"/>
          <w:rtl/>
        </w:rPr>
        <w:t>)</w:t>
      </w:r>
      <w:r>
        <w:rPr>
          <w:rFonts w:hint="cs"/>
          <w:rtl/>
        </w:rPr>
        <w:t xml:space="preserve">. </w:t>
      </w:r>
    </w:p>
    <w:p w:rsidR="00C10469" w:rsidRDefault="00C10469" w:rsidP="0089068D">
      <w:pPr>
        <w:rPr>
          <w:rtl/>
        </w:rPr>
      </w:pPr>
      <w:r>
        <w:rPr>
          <w:rFonts w:hint="cs"/>
          <w:rtl/>
        </w:rPr>
        <w:t>والحمد لله الملك الجليل.</w:t>
      </w:r>
    </w:p>
    <w:p w:rsidR="00C10469" w:rsidRPr="00B043CD"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ind w:firstLine="0"/>
        <w:rPr>
          <w:rtl/>
        </w:rPr>
        <w:sectPr w:rsidR="00C10469">
          <w:headerReference w:type="even" r:id="rId60"/>
          <w:headerReference w:type="default" r:id="rId61"/>
          <w:footerReference w:type="even" r:id="rId62"/>
          <w:footerReference w:type="default" r:id="rId63"/>
          <w:footnotePr>
            <w:pos w:val="beneathText"/>
            <w:numRestart w:val="eachPage"/>
          </w:footnotePr>
          <w:endnotePr>
            <w:numFmt w:val="decimal"/>
          </w:endnotePr>
          <w:pgSz w:w="11906" w:h="16838" w:code="9"/>
          <w:pgMar w:top="2268" w:right="1985" w:bottom="1418" w:left="1418" w:header="680" w:footer="851" w:gutter="284"/>
          <w:pgNumType w:start="290"/>
          <w:cols w:space="720"/>
          <w:bidi/>
          <w:rtlGutter/>
        </w:sectPr>
      </w:pPr>
    </w:p>
    <w:p w:rsidR="00C10469" w:rsidRPr="00AA26D8" w:rsidRDefault="00C10469" w:rsidP="00C10469">
      <w:pPr>
        <w:pStyle w:val="a9"/>
        <w:rPr>
          <w:rFonts w:cs="AL-Mateen"/>
          <w:rtl/>
        </w:rPr>
      </w:pPr>
      <w:r w:rsidRPr="00AA26D8">
        <w:rPr>
          <w:rFonts w:cs="AL-Mateen" w:hint="cs"/>
          <w:rtl/>
        </w:rPr>
        <w:lastRenderedPageBreak/>
        <w:t>[ القـاعـدة السـابـعة عـشـرة ]</w:t>
      </w:r>
    </w:p>
    <w:p w:rsidR="00C10469" w:rsidRDefault="00C10469" w:rsidP="00C10469">
      <w:pPr>
        <w:rPr>
          <w:b/>
          <w:bCs/>
          <w:rtl/>
        </w:rPr>
      </w:pPr>
      <w:r>
        <w:rPr>
          <w:rFonts w:cs="Monotype Koufi" w:hint="cs"/>
          <w:rtl/>
        </w:rPr>
        <w:t>الأَسْبَابُ مطلوبةٌ للأحكامِ</w:t>
      </w:r>
      <w:r>
        <w:rPr>
          <w:rStyle w:val="a7"/>
          <w:b/>
          <w:rtl/>
        </w:rPr>
        <w:footnoteReference w:id="740"/>
      </w:r>
      <w:r>
        <w:rPr>
          <w:rFonts w:cs="Monotype Koufi" w:hint="cs"/>
          <w:rtl/>
        </w:rPr>
        <w:t>، لا لأعيَانِها</w:t>
      </w:r>
      <w:r>
        <w:rPr>
          <w:rFonts w:hint="cs"/>
          <w:b/>
          <w:bCs/>
          <w:vertAlign w:val="superscript"/>
          <w:rtl/>
        </w:rPr>
        <w:t>(</w:t>
      </w:r>
      <w:r>
        <w:rPr>
          <w:rStyle w:val="a7"/>
          <w:b/>
          <w:rtl/>
        </w:rPr>
        <w:footnoteReference w:id="741"/>
      </w:r>
      <w:r>
        <w:rPr>
          <w:rFonts w:hint="cs"/>
          <w:b/>
          <w:bCs/>
          <w:vertAlign w:val="superscript"/>
          <w:rtl/>
        </w:rPr>
        <w:t>)</w:t>
      </w:r>
      <w:r>
        <w:rPr>
          <w:rFonts w:hint="cs"/>
          <w:b/>
          <w:bCs/>
          <w:rtl/>
        </w:rPr>
        <w:t xml:space="preserve"> :</w:t>
      </w:r>
    </w:p>
    <w:p w:rsidR="00C10469" w:rsidRDefault="00C10469" w:rsidP="00C10469">
      <w:pPr>
        <w:rPr>
          <w:rtl/>
        </w:rPr>
      </w:pPr>
      <w:r>
        <w:rPr>
          <w:rFonts w:hint="cs"/>
          <w:b/>
          <w:bCs/>
          <w:rtl/>
        </w:rPr>
        <w:t>ولـذا</w:t>
      </w:r>
      <w:r>
        <w:rPr>
          <w:rFonts w:hint="cs"/>
          <w:rtl/>
        </w:rPr>
        <w:t xml:space="preserve"> : إذا أقر بألفٍ من ثـمن قِنٍّ</w:t>
      </w:r>
      <w:r>
        <w:rPr>
          <w:rFonts w:hint="cs"/>
          <w:vertAlign w:val="superscript"/>
          <w:rtl/>
        </w:rPr>
        <w:t>(</w:t>
      </w:r>
      <w:r>
        <w:rPr>
          <w:rStyle w:val="a7"/>
          <w:rtl/>
        </w:rPr>
        <w:footnoteReference w:id="742"/>
      </w:r>
      <w:r>
        <w:rPr>
          <w:rFonts w:hint="cs"/>
          <w:vertAlign w:val="superscript"/>
          <w:rtl/>
        </w:rPr>
        <w:t>)</w:t>
      </w:r>
      <w:r>
        <w:rPr>
          <w:rFonts w:hint="cs"/>
          <w:rtl/>
        </w:rPr>
        <w:t xml:space="preserve"> عيَّنه، وقـال الـمقَرُّ له : الـقنُّ قِنُّكَ،</w:t>
      </w:r>
    </w:p>
    <w:p w:rsidR="00C10469" w:rsidRDefault="00C10469" w:rsidP="00C10469">
      <w:pPr>
        <w:ind w:firstLine="0"/>
        <w:rPr>
          <w:rtl/>
        </w:rPr>
      </w:pPr>
      <w:r>
        <w:rPr>
          <w:rFonts w:hint="cs"/>
          <w:rtl/>
        </w:rPr>
        <w:lastRenderedPageBreak/>
        <w:t>ما بعتُهُ</w:t>
      </w:r>
      <w:r>
        <w:rPr>
          <w:rFonts w:hint="cs"/>
          <w:vertAlign w:val="superscript"/>
          <w:rtl/>
        </w:rPr>
        <w:t>(</w:t>
      </w:r>
      <w:r>
        <w:rPr>
          <w:rStyle w:val="a7"/>
          <w:rtl/>
        </w:rPr>
        <w:footnoteReference w:id="743"/>
      </w:r>
      <w:r>
        <w:rPr>
          <w:rFonts w:hint="cs"/>
          <w:vertAlign w:val="superscript"/>
          <w:rtl/>
        </w:rPr>
        <w:t>)</w:t>
      </w:r>
      <w:r>
        <w:rPr>
          <w:rFonts w:hint="cs"/>
          <w:rtl/>
        </w:rPr>
        <w:t>، وإنما بعتُ قنًّا غيرَه، وسلمتُهُ إليكَ :</w:t>
      </w:r>
    </w:p>
    <w:p w:rsidR="00C10469" w:rsidRDefault="00C10469" w:rsidP="00C10469">
      <w:pPr>
        <w:rPr>
          <w:rtl/>
        </w:rPr>
      </w:pPr>
      <w:r>
        <w:rPr>
          <w:rFonts w:hint="cs"/>
          <w:rtl/>
        </w:rPr>
        <w:t>ففيه</w:t>
      </w:r>
      <w:r>
        <w:rPr>
          <w:rStyle w:val="a7"/>
          <w:rtl/>
        </w:rPr>
        <w:footnoteReference w:id="744"/>
      </w:r>
      <w:r>
        <w:rPr>
          <w:rFonts w:hint="cs"/>
          <w:rtl/>
        </w:rPr>
        <w:t xml:space="preserve"> المالُ لازم ؛ لأنه أقرّ بوجوب المال عليه عند سلامة القنّ له</w:t>
      </w:r>
      <w:r>
        <w:rPr>
          <w:rFonts w:hint="cs"/>
          <w:vertAlign w:val="superscript"/>
          <w:rtl/>
        </w:rPr>
        <w:t>(</w:t>
      </w:r>
      <w:r>
        <w:rPr>
          <w:rStyle w:val="a7"/>
          <w:rtl/>
        </w:rPr>
        <w:footnoteReference w:id="745"/>
      </w:r>
      <w:r>
        <w:rPr>
          <w:rFonts w:hint="cs"/>
          <w:vertAlign w:val="superscript"/>
          <w:rtl/>
        </w:rPr>
        <w:t>)</w:t>
      </w:r>
      <w:r>
        <w:rPr>
          <w:rFonts w:hint="cs"/>
          <w:rtl/>
        </w:rPr>
        <w:t>، وقد سلَّم حين أقرّ ذو اليد بأنه ملكه، فيلزم</w:t>
      </w:r>
      <w:r>
        <w:rPr>
          <w:rStyle w:val="a7"/>
          <w:rtl/>
        </w:rPr>
        <w:footnoteReference w:id="746"/>
      </w:r>
      <w:r>
        <w:rPr>
          <w:rFonts w:hint="cs"/>
          <w:rtl/>
        </w:rPr>
        <w:t xml:space="preserve"> المالُ</w:t>
      </w:r>
      <w:r>
        <w:rPr>
          <w:rStyle w:val="a7"/>
          <w:rtl/>
        </w:rPr>
        <w:footnoteReference w:id="747"/>
      </w:r>
      <w:r>
        <w:rPr>
          <w:rFonts w:hint="cs"/>
          <w:rtl/>
        </w:rPr>
        <w:t>، ولا يتغيّر الحكم بالتكاذب في السّبب بعد اتفاقهما على وجوب المال، مع تغير العين (وهي العبد)، فإن [ذا]</w:t>
      </w:r>
      <w:r>
        <w:rPr>
          <w:rStyle w:val="a7"/>
          <w:rtl/>
        </w:rPr>
        <w:footnoteReference w:id="748"/>
      </w:r>
      <w:r>
        <w:rPr>
          <w:rFonts w:hint="cs"/>
          <w:rtl/>
        </w:rPr>
        <w:t xml:space="preserve"> اليد أقرّ بالـمال من ثمن [العبد]</w:t>
      </w:r>
      <w:r>
        <w:rPr>
          <w:rStyle w:val="a7"/>
          <w:rtl/>
        </w:rPr>
        <w:footnoteReference w:id="749"/>
      </w:r>
      <w:r>
        <w:rPr>
          <w:rFonts w:hint="cs"/>
          <w:rtl/>
        </w:rPr>
        <w:t xml:space="preserve">  المعيّن، والـمـقرُّ لهُ يـدّعي</w:t>
      </w:r>
      <w:r>
        <w:rPr>
          <w:rStyle w:val="a7"/>
          <w:rtl/>
        </w:rPr>
        <w:footnoteReference w:id="750"/>
      </w:r>
      <w:r>
        <w:rPr>
          <w:rFonts w:hint="cs"/>
          <w:rtl/>
        </w:rPr>
        <w:t xml:space="preserve"> الألف مـن ثمن غير هذا العبد، فلا يعتبر التناقصُ في السبب</w:t>
      </w:r>
      <w:r>
        <w:rPr>
          <w:rFonts w:hint="cs"/>
          <w:vertAlign w:val="superscript"/>
          <w:rtl/>
        </w:rPr>
        <w:t>(</w:t>
      </w:r>
      <w:r>
        <w:rPr>
          <w:rStyle w:val="a7"/>
          <w:rtl/>
        </w:rPr>
        <w:footnoteReference w:id="751"/>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ind w:firstLine="0"/>
        <w:rPr>
          <w:rtl/>
        </w:rPr>
      </w:pPr>
    </w:p>
    <w:p w:rsidR="00C10469" w:rsidRDefault="00C10469" w:rsidP="00C10469">
      <w:pPr>
        <w:ind w:firstLine="0"/>
        <w:rPr>
          <w:rtl/>
        </w:rPr>
        <w:sectPr w:rsidR="00C10469">
          <w:headerReference w:type="even" r:id="rId64"/>
          <w:headerReference w:type="default" r:id="rId65"/>
          <w:footerReference w:type="even" r:id="rId66"/>
          <w:footerReference w:type="default" r:id="rId67"/>
          <w:footnotePr>
            <w:pos w:val="beneathText"/>
            <w:numRestart w:val="eachPage"/>
          </w:footnotePr>
          <w:endnotePr>
            <w:numFmt w:val="decimal"/>
          </w:endnotePr>
          <w:pgSz w:w="11906" w:h="16838" w:code="9"/>
          <w:pgMar w:top="2268" w:right="1985" w:bottom="1418" w:left="1418" w:header="680" w:footer="851" w:gutter="284"/>
          <w:pgNumType w:start="295"/>
          <w:cols w:space="720"/>
          <w:bidi/>
          <w:rtlGutter/>
        </w:sectPr>
      </w:pPr>
    </w:p>
    <w:p w:rsidR="00C10469" w:rsidRPr="00C019AA" w:rsidRDefault="00C10469" w:rsidP="00C10469">
      <w:pPr>
        <w:pStyle w:val="a9"/>
        <w:rPr>
          <w:rFonts w:cs="AL-Mateen"/>
          <w:rtl/>
        </w:rPr>
      </w:pPr>
      <w:r w:rsidRPr="00C019AA">
        <w:rPr>
          <w:rFonts w:cs="AL-Mateen" w:hint="cs"/>
          <w:rtl/>
        </w:rPr>
        <w:lastRenderedPageBreak/>
        <w:t>[ القاعـدة الثـامنة عشــرة ]</w:t>
      </w:r>
    </w:p>
    <w:p w:rsidR="00C10469" w:rsidRDefault="00C10469" w:rsidP="00C10469">
      <w:pPr>
        <w:rPr>
          <w:b/>
          <w:bCs/>
          <w:rtl/>
        </w:rPr>
      </w:pPr>
      <w:r>
        <w:rPr>
          <w:rFonts w:cs="Monotype Koufi" w:hint="cs"/>
          <w:rtl/>
        </w:rPr>
        <w:t>الاسْتِثْنَاُء فِي المَقْصودِ لا التَّابِعِ</w:t>
      </w:r>
      <w:r>
        <w:rPr>
          <w:rFonts w:hint="cs"/>
          <w:vertAlign w:val="superscript"/>
          <w:rtl/>
        </w:rPr>
        <w:t>(</w:t>
      </w:r>
      <w:r>
        <w:rPr>
          <w:rStyle w:val="a7"/>
          <w:rtl/>
        </w:rPr>
        <w:footnoteReference w:id="752"/>
      </w:r>
      <w:r>
        <w:rPr>
          <w:rFonts w:hint="cs"/>
          <w:vertAlign w:val="superscript"/>
          <w:rtl/>
        </w:rPr>
        <w:t>)</w:t>
      </w:r>
      <w:r>
        <w:rPr>
          <w:rFonts w:hint="cs"/>
          <w:b/>
          <w:bCs/>
          <w:rtl/>
        </w:rPr>
        <w:t xml:space="preserve"> :</w:t>
      </w:r>
    </w:p>
    <w:p w:rsidR="00C10469" w:rsidRDefault="00C10469" w:rsidP="00C10469">
      <w:pPr>
        <w:rPr>
          <w:rtl/>
        </w:rPr>
      </w:pPr>
      <w:r>
        <w:rPr>
          <w:rFonts w:hint="cs"/>
          <w:b/>
          <w:bCs/>
          <w:rtl/>
        </w:rPr>
        <w:t xml:space="preserve">ولهذا </w:t>
      </w:r>
      <w:r>
        <w:rPr>
          <w:rFonts w:hint="cs"/>
          <w:rtl/>
        </w:rPr>
        <w:t xml:space="preserve">: إذا </w:t>
      </w:r>
      <w:r>
        <w:rPr>
          <w:rFonts w:hint="eastAsia"/>
          <w:rtl/>
        </w:rPr>
        <w:t>«</w:t>
      </w:r>
      <w:r>
        <w:rPr>
          <w:rFonts w:hint="cs"/>
          <w:rtl/>
        </w:rPr>
        <w:t>أقرّ بدار واستثنى بناءها : لم يصح استثناؤه؛ لأن اسم الدار لا يتناول البناء مقصودًا؛ بل يدخل فيها تبعًا، فلا يصحّ، والاستثناء</w:t>
      </w:r>
      <w:r>
        <w:rPr>
          <w:rStyle w:val="a7"/>
          <w:rtl/>
        </w:rPr>
        <w:footnoteReference w:id="753"/>
      </w:r>
      <w:r>
        <w:rPr>
          <w:rFonts w:hint="cs"/>
          <w:rtl/>
        </w:rPr>
        <w:t xml:space="preserve"> إنما يكون لما يتناوله الكلام نصًّا ؛ لأنه تصّرفٌ لفظي</w:t>
      </w:r>
      <w:r>
        <w:rPr>
          <w:rFonts w:hint="eastAsia"/>
          <w:rtl/>
        </w:rPr>
        <w:t>»</w:t>
      </w:r>
      <w:r>
        <w:rPr>
          <w:rFonts w:hint="cs"/>
          <w:vertAlign w:val="superscript"/>
          <w:rtl/>
        </w:rPr>
        <w:t>(</w:t>
      </w:r>
      <w:r>
        <w:rPr>
          <w:rStyle w:val="a7"/>
          <w:rtl/>
        </w:rPr>
        <w:footnoteReference w:id="754"/>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Pr="00097747"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ind w:firstLine="0"/>
        <w:rPr>
          <w:rtl/>
        </w:rPr>
        <w:sectPr w:rsidR="00C10469">
          <w:headerReference w:type="even" r:id="rId68"/>
          <w:headerReference w:type="default" r:id="rId69"/>
          <w:footerReference w:type="even" r:id="rId70"/>
          <w:footerReference w:type="default" r:id="rId71"/>
          <w:footnotePr>
            <w:pos w:val="beneathText"/>
            <w:numRestart w:val="eachPage"/>
          </w:footnotePr>
          <w:endnotePr>
            <w:numFmt w:val="decimal"/>
          </w:endnotePr>
          <w:pgSz w:w="11906" w:h="16838" w:code="9"/>
          <w:pgMar w:top="2268" w:right="1985" w:bottom="1418" w:left="1418" w:header="680" w:footer="851" w:gutter="284"/>
          <w:pgNumType w:start="297"/>
          <w:cols w:space="720"/>
          <w:bidi/>
          <w:rtlGutter/>
        </w:sectPr>
      </w:pPr>
    </w:p>
    <w:p w:rsidR="00C10469" w:rsidRPr="001625E3" w:rsidRDefault="00C10469" w:rsidP="00C10469">
      <w:pPr>
        <w:pStyle w:val="a9"/>
        <w:rPr>
          <w:rFonts w:cs="AL-Mateen"/>
          <w:rtl/>
        </w:rPr>
      </w:pPr>
      <w:r w:rsidRPr="001625E3">
        <w:rPr>
          <w:rFonts w:cs="AL-Mateen" w:hint="cs"/>
          <w:rtl/>
        </w:rPr>
        <w:lastRenderedPageBreak/>
        <w:t>[ القـاعـدة التاسـعة عشـرة ]</w:t>
      </w:r>
    </w:p>
    <w:p w:rsidR="00C10469" w:rsidRDefault="00C10469" w:rsidP="00C10469">
      <w:pPr>
        <w:rPr>
          <w:b/>
          <w:bCs/>
          <w:rtl/>
        </w:rPr>
      </w:pPr>
      <w:r>
        <w:rPr>
          <w:rFonts w:cs="Monotype Koufi" w:hint="cs"/>
          <w:rtl/>
        </w:rPr>
        <w:t>الاسْتِـثْـنَاءُ المَعْلومُ بِدَلاَلَةِ الحَالِ كالاسْتِـثْـنَاءِ</w:t>
      </w:r>
      <w:r>
        <w:rPr>
          <w:rStyle w:val="a7"/>
          <w:b/>
          <w:rtl/>
        </w:rPr>
        <w:footnoteReference w:id="755"/>
      </w:r>
      <w:r>
        <w:rPr>
          <w:rFonts w:hint="cs"/>
          <w:b/>
          <w:bCs/>
          <w:rtl/>
        </w:rPr>
        <w:t xml:space="preserve"> </w:t>
      </w:r>
      <w:r>
        <w:rPr>
          <w:rFonts w:cs="Monotype Koufi" w:hint="cs"/>
          <w:rtl/>
        </w:rPr>
        <w:t>المَشْرُوطِ</w:t>
      </w:r>
      <w:r>
        <w:rPr>
          <w:rFonts w:hint="cs"/>
          <w:b/>
          <w:bCs/>
          <w:rtl/>
        </w:rPr>
        <w:t xml:space="preserve"> </w:t>
      </w:r>
      <w:r>
        <w:rPr>
          <w:rFonts w:hint="cs"/>
          <w:vertAlign w:val="superscript"/>
          <w:rtl/>
        </w:rPr>
        <w:t>(</w:t>
      </w:r>
      <w:r>
        <w:rPr>
          <w:rStyle w:val="a7"/>
          <w:rtl/>
        </w:rPr>
        <w:footnoteReference w:id="756"/>
      </w:r>
      <w:r>
        <w:rPr>
          <w:rFonts w:hint="cs"/>
          <w:vertAlign w:val="superscript"/>
          <w:rtl/>
        </w:rPr>
        <w:t>)</w:t>
      </w:r>
      <w:r>
        <w:rPr>
          <w:rFonts w:hint="cs"/>
          <w:b/>
          <w:bCs/>
          <w:rtl/>
        </w:rPr>
        <w:t>:</w:t>
      </w:r>
    </w:p>
    <w:p w:rsidR="00C10469" w:rsidRDefault="00C10469" w:rsidP="00C10469">
      <w:pPr>
        <w:rPr>
          <w:rtl/>
        </w:rPr>
      </w:pPr>
      <w:r>
        <w:rPr>
          <w:rFonts w:hint="cs"/>
          <w:b/>
          <w:bCs/>
          <w:rtl/>
        </w:rPr>
        <w:t>ولذا</w:t>
      </w:r>
      <w:r>
        <w:rPr>
          <w:rFonts w:hint="cs"/>
          <w:rtl/>
        </w:rPr>
        <w:t xml:space="preserve"> : إذا اشترى أحد الشريكين في شركة المفاوضة</w:t>
      </w:r>
      <w:r>
        <w:rPr>
          <w:rFonts w:hint="cs"/>
          <w:vertAlign w:val="superscript"/>
          <w:rtl/>
        </w:rPr>
        <w:t>(</w:t>
      </w:r>
      <w:r>
        <w:rPr>
          <w:rStyle w:val="a7"/>
          <w:rtl/>
        </w:rPr>
        <w:footnoteReference w:id="757"/>
      </w:r>
      <w:r>
        <w:rPr>
          <w:rFonts w:hint="cs"/>
          <w:vertAlign w:val="superscript"/>
          <w:rtl/>
        </w:rPr>
        <w:t>)</w:t>
      </w:r>
      <w:r>
        <w:rPr>
          <w:rFonts w:hint="cs"/>
          <w:rtl/>
        </w:rPr>
        <w:t xml:space="preserve"> طعامَ أهلِهِ، وكسوتهم: لا يكون على الشركة.</w:t>
      </w:r>
    </w:p>
    <w:p w:rsidR="00C10469" w:rsidRDefault="00C10469" w:rsidP="00C10469">
      <w:pPr>
        <w:rPr>
          <w:rtl/>
        </w:rPr>
      </w:pPr>
      <w:r>
        <w:rPr>
          <w:rFonts w:hint="cs"/>
          <w:b/>
          <w:bCs/>
          <w:rtl/>
        </w:rPr>
        <w:lastRenderedPageBreak/>
        <w:t>والقياس</w:t>
      </w:r>
      <w:r>
        <w:rPr>
          <w:rFonts w:hint="cs"/>
          <w:rtl/>
        </w:rPr>
        <w:t xml:space="preserve"> : أن يكون على الشركة ؛ لأنه</w:t>
      </w:r>
      <w:r>
        <w:rPr>
          <w:rFonts w:hint="cs"/>
          <w:vertAlign w:val="superscript"/>
          <w:rtl/>
        </w:rPr>
        <w:t>(</w:t>
      </w:r>
      <w:r>
        <w:rPr>
          <w:rStyle w:val="a7"/>
          <w:rtl/>
        </w:rPr>
        <w:footnoteReference w:id="758"/>
      </w:r>
      <w:r>
        <w:rPr>
          <w:rFonts w:hint="cs"/>
          <w:vertAlign w:val="superscript"/>
          <w:rtl/>
        </w:rPr>
        <w:t>)</w:t>
      </w:r>
      <w:r>
        <w:rPr>
          <w:rFonts w:hint="cs"/>
          <w:rtl/>
        </w:rPr>
        <w:t xml:space="preserve"> من عقود التجارة، فكان من جنس ما يتناوله عقد الشركة.</w:t>
      </w:r>
    </w:p>
    <w:p w:rsidR="00C10469" w:rsidRDefault="00C10469" w:rsidP="00C10469">
      <w:pPr>
        <w:rPr>
          <w:rtl/>
        </w:rPr>
      </w:pPr>
      <w:r>
        <w:rPr>
          <w:rFonts w:hint="cs"/>
          <w:b/>
          <w:bCs/>
          <w:rtl/>
        </w:rPr>
        <w:t>وجه الاستحسان</w:t>
      </w:r>
      <w:r>
        <w:rPr>
          <w:rFonts w:hint="cs"/>
          <w:rtl/>
        </w:rPr>
        <w:t xml:space="preserve"> : [أنها]</w:t>
      </w:r>
      <w:r>
        <w:rPr>
          <w:rStyle w:val="a7"/>
          <w:rtl/>
        </w:rPr>
        <w:footnoteReference w:id="759"/>
      </w:r>
      <w:r>
        <w:rPr>
          <w:rFonts w:hint="cs"/>
          <w:rtl/>
        </w:rPr>
        <w:t xml:space="preserve"> مستثناة من مقتضى المفاوضة دلالة ؛ إذْ كلٌّ منهما حين شارك صاحبه كان عالمًا بحاجته إلى ذلك في مدة المفاوضة، ومعلوم أن كلّ واحد منهما لم يقصد أن [تكون]</w:t>
      </w:r>
      <w:r>
        <w:rPr>
          <w:rStyle w:val="a7"/>
          <w:rtl/>
        </w:rPr>
        <w:footnoteReference w:id="760"/>
      </w:r>
      <w:r>
        <w:rPr>
          <w:rFonts w:hint="cs"/>
          <w:rtl/>
        </w:rPr>
        <w:t xml:space="preserve"> نفقته و</w:t>
      </w:r>
      <w:r>
        <w:rPr>
          <w:rStyle w:val="a7"/>
          <w:rtl/>
        </w:rPr>
        <w:footnoteReference w:id="761"/>
      </w:r>
      <w:r>
        <w:rPr>
          <w:rFonts w:hint="cs"/>
          <w:rtl/>
        </w:rPr>
        <w:t>نفقة عياله على شريكه، وأنه لا يمكن تحصيل حاجته إلا بالشراء، فاستُثني لكل واحد منهما هذا المقدار ممّا هو مقتضى المفاوضة بدلالة الحال، وإن لم يشترط عند العقد</w:t>
      </w:r>
      <w:r>
        <w:rPr>
          <w:rFonts w:hint="cs"/>
          <w:vertAlign w:val="superscript"/>
          <w:rtl/>
        </w:rPr>
        <w:t>(</w:t>
      </w:r>
      <w:r>
        <w:rPr>
          <w:rStyle w:val="a7"/>
          <w:rtl/>
        </w:rPr>
        <w:footnoteReference w:id="762"/>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Default="00C10469" w:rsidP="00C10469">
      <w:pPr>
        <w:rPr>
          <w:rtl/>
        </w:rPr>
      </w:pPr>
    </w:p>
    <w:p w:rsidR="00C10469" w:rsidRDefault="00C10469" w:rsidP="00C10469">
      <w:pPr>
        <w:jc w:val="center"/>
        <w:rPr>
          <w:sz w:val="44"/>
          <w:szCs w:val="44"/>
          <w:rtl/>
        </w:rPr>
      </w:pPr>
      <w:r>
        <w:rPr>
          <w:rFonts w:ascii="AGA Arabesque" w:hAnsi="AGA Arabesque"/>
          <w:sz w:val="44"/>
          <w:szCs w:val="44"/>
        </w:rPr>
        <w:t></w:t>
      </w:r>
      <w:r>
        <w:rPr>
          <w:rFonts w:ascii="AGA Arabesque" w:hAnsi="AGA Arabesque"/>
          <w:sz w:val="44"/>
          <w:szCs w:val="44"/>
        </w:rPr>
        <w:t></w:t>
      </w:r>
      <w:r>
        <w:rPr>
          <w:rFonts w:ascii="AGA Arabesque" w:hAnsi="AGA Arabesque"/>
          <w:sz w:val="44"/>
          <w:szCs w:val="44"/>
        </w:rPr>
        <w:t></w:t>
      </w:r>
    </w:p>
    <w:p w:rsidR="00C10469" w:rsidRDefault="00C10469" w:rsidP="00C10469">
      <w:pPr>
        <w:rPr>
          <w:rtl/>
        </w:rPr>
      </w:pPr>
    </w:p>
    <w:p w:rsidR="00C10469" w:rsidRDefault="00C10469" w:rsidP="00C10469">
      <w:pPr>
        <w:rPr>
          <w:rtl/>
        </w:rPr>
      </w:pPr>
    </w:p>
    <w:p w:rsidR="00C10469" w:rsidRDefault="00C10469" w:rsidP="00C10469">
      <w:pPr>
        <w:ind w:firstLine="0"/>
        <w:rPr>
          <w:rtl/>
        </w:rPr>
        <w:sectPr w:rsidR="00C10469">
          <w:headerReference w:type="even" r:id="rId72"/>
          <w:headerReference w:type="default" r:id="rId73"/>
          <w:footerReference w:type="even" r:id="rId74"/>
          <w:footerReference w:type="default" r:id="rId75"/>
          <w:footnotePr>
            <w:pos w:val="beneathText"/>
            <w:numRestart w:val="eachPage"/>
          </w:footnotePr>
          <w:endnotePr>
            <w:numFmt w:val="decimal"/>
          </w:endnotePr>
          <w:pgSz w:w="11906" w:h="16838" w:code="9"/>
          <w:pgMar w:top="2268" w:right="1985" w:bottom="1418" w:left="1418" w:header="680" w:footer="851" w:gutter="284"/>
          <w:pgNumType w:start="297"/>
          <w:cols w:space="720"/>
          <w:bidi/>
          <w:rtlGutter/>
        </w:sectPr>
      </w:pPr>
    </w:p>
    <w:p w:rsidR="00C10469" w:rsidRPr="00362166" w:rsidRDefault="00C10469" w:rsidP="00C10469">
      <w:pPr>
        <w:pStyle w:val="a9"/>
        <w:rPr>
          <w:rFonts w:cs="AL-Mateen"/>
          <w:rtl/>
        </w:rPr>
      </w:pPr>
      <w:r w:rsidRPr="00362166">
        <w:rPr>
          <w:rFonts w:cs="AL-Mateen" w:hint="cs"/>
          <w:rtl/>
        </w:rPr>
        <w:lastRenderedPageBreak/>
        <w:t>[ القـاعـدة العشــرون ]</w:t>
      </w:r>
    </w:p>
    <w:p w:rsidR="00C10469" w:rsidRDefault="00C10469" w:rsidP="00C10469">
      <w:pPr>
        <w:rPr>
          <w:b/>
          <w:bCs/>
          <w:rtl/>
        </w:rPr>
      </w:pPr>
      <w:r>
        <w:rPr>
          <w:rFonts w:cs="Monotype Koufi" w:hint="cs"/>
          <w:rtl/>
        </w:rPr>
        <w:t>الاستثناءُ تكلُّمٌ بالبَاقِي</w:t>
      </w:r>
      <w:r>
        <w:rPr>
          <w:rFonts w:hint="cs"/>
          <w:vertAlign w:val="superscript"/>
          <w:rtl/>
        </w:rPr>
        <w:t>(</w:t>
      </w:r>
      <w:r>
        <w:rPr>
          <w:rStyle w:val="a7"/>
          <w:rtl/>
        </w:rPr>
        <w:footnoteReference w:id="763"/>
      </w:r>
      <w:r>
        <w:rPr>
          <w:rFonts w:hint="cs"/>
          <w:vertAlign w:val="superscript"/>
          <w:rtl/>
        </w:rPr>
        <w:t>)</w:t>
      </w:r>
      <w:r>
        <w:rPr>
          <w:rFonts w:hint="cs"/>
          <w:b/>
          <w:bCs/>
          <w:rtl/>
        </w:rPr>
        <w:t xml:space="preserve"> :</w:t>
      </w:r>
    </w:p>
    <w:p w:rsidR="00C10469" w:rsidRDefault="00C10469" w:rsidP="00C10469">
      <w:pPr>
        <w:rPr>
          <w:rtl/>
        </w:rPr>
      </w:pPr>
      <w:r>
        <w:rPr>
          <w:rFonts w:hint="cs"/>
          <w:b/>
          <w:bCs/>
          <w:rtl/>
        </w:rPr>
        <w:lastRenderedPageBreak/>
        <w:t>ولذا</w:t>
      </w:r>
      <w:r>
        <w:rPr>
          <w:rFonts w:hint="cs"/>
          <w:rtl/>
        </w:rPr>
        <w:t xml:space="preserve"> : إذا أقَـرَّ، واستثنى الكلَّ بعين لفظه؛ كما إذا قال : غلماني كذا (كنايةً عن الإعتاق) إلا غلماني : بطل الاستثناء ؛ لأنه إذا استثنى الكل لم يُبْقِ شيئًا يصلح</w:t>
      </w:r>
      <w:r>
        <w:rPr>
          <w:rStyle w:val="a7"/>
          <w:rtl/>
        </w:rPr>
        <w:footnoteReference w:id="764"/>
      </w:r>
      <w:r>
        <w:rPr>
          <w:rFonts w:hint="cs"/>
          <w:rtl/>
        </w:rPr>
        <w:t xml:space="preserve"> للتَكلُّم، فيكون رجوعًا عن الإقرار، والرجوع بعد الإقرار باطل</w:t>
      </w:r>
      <w:r>
        <w:rPr>
          <w:rFonts w:hint="cs"/>
          <w:vertAlign w:val="superscript"/>
          <w:rtl/>
        </w:rPr>
        <w:t>(</w:t>
      </w:r>
      <w:r>
        <w:rPr>
          <w:rStyle w:val="a7"/>
          <w:rtl/>
        </w:rPr>
        <w:footnoteReference w:id="765"/>
      </w:r>
      <w:r>
        <w:rPr>
          <w:rFonts w:hint="cs"/>
          <w:vertAlign w:val="superscript"/>
          <w:rtl/>
        </w:rPr>
        <w:t>)</w:t>
      </w:r>
      <w:r>
        <w:rPr>
          <w:rFonts w:hint="cs"/>
          <w:rtl/>
        </w:rPr>
        <w:t>.</w:t>
      </w:r>
    </w:p>
    <w:p w:rsidR="00C10469" w:rsidRDefault="00C10469" w:rsidP="00C10469">
      <w:pPr>
        <w:rPr>
          <w:rtl/>
        </w:rPr>
      </w:pPr>
      <w:r>
        <w:rPr>
          <w:rFonts w:hint="cs"/>
          <w:rtl/>
        </w:rPr>
        <w:t>بخلاف ما إذا كان الاستثناء بغير لفظه؛ كما إذا قال : غلماني [أحرارٌ]</w:t>
      </w:r>
      <w:r>
        <w:rPr>
          <w:rStyle w:val="a7"/>
          <w:rtl/>
        </w:rPr>
        <w:footnoteReference w:id="766"/>
      </w:r>
      <w:r>
        <w:rPr>
          <w:rFonts w:hint="cs"/>
          <w:rtl/>
        </w:rPr>
        <w:t xml:space="preserve"> إلا </w:t>
      </w:r>
      <w:r>
        <w:rPr>
          <w:rFonts w:hint="cs"/>
          <w:rtl/>
        </w:rPr>
        <w:lastRenderedPageBreak/>
        <w:t>فلانًا وفلانًا وفلانًا. ولا غلام له غيرهم : يصح الاستثناء. وكذا إذا قال : غلماني [أحـرار]</w:t>
      </w:r>
      <w:r>
        <w:rPr>
          <w:rFonts w:hint="cs"/>
          <w:b/>
          <w:bCs/>
          <w:vertAlign w:val="superscript"/>
          <w:rtl/>
        </w:rPr>
        <w:t>3</w:t>
      </w:r>
      <w:r>
        <w:rPr>
          <w:rFonts w:hint="cs"/>
          <w:rtl/>
        </w:rPr>
        <w:t xml:space="preserve"> إلا هؤلاء ؛ لأنه إذا كان بغير اللفظ الأول أمكن جعله تكلمًا بالباقي بعد الثُّنْيـَا</w:t>
      </w:r>
      <w:r>
        <w:rPr>
          <w:rFonts w:hint="cs"/>
          <w:vertAlign w:val="superscript"/>
          <w:rtl/>
        </w:rPr>
        <w:t>(</w:t>
      </w:r>
      <w:r>
        <w:rPr>
          <w:rStyle w:val="a7"/>
          <w:rtl/>
        </w:rPr>
        <w:footnoteReference w:id="767"/>
      </w:r>
      <w:r>
        <w:rPr>
          <w:rFonts w:hint="cs"/>
          <w:vertAlign w:val="superscript"/>
          <w:rtl/>
        </w:rPr>
        <w:t>)</w:t>
      </w:r>
      <w:r>
        <w:rPr>
          <w:rFonts w:hint="cs"/>
          <w:rtl/>
        </w:rPr>
        <w:t>؛ لأنه إنما صار كُلاًّ؛ ضرورةَ عدمِ مِلكِهِ فيما</w:t>
      </w:r>
      <w:r>
        <w:rPr>
          <w:rStyle w:val="a7"/>
          <w:rtl/>
        </w:rPr>
        <w:footnoteReference w:id="768"/>
      </w:r>
      <w:r>
        <w:rPr>
          <w:rFonts w:hint="cs"/>
          <w:rtl/>
        </w:rPr>
        <w:t>سواه، لا لأمر يرجع إلى اللفظ</w:t>
      </w:r>
      <w:r>
        <w:rPr>
          <w:rFonts w:hint="cs"/>
          <w:vertAlign w:val="superscript"/>
          <w:rtl/>
        </w:rPr>
        <w:t>(</w:t>
      </w:r>
      <w:r>
        <w:rPr>
          <w:rStyle w:val="a7"/>
          <w:rtl/>
        </w:rPr>
        <w:footnoteReference w:id="769"/>
      </w:r>
      <w:r>
        <w:rPr>
          <w:rFonts w:hint="cs"/>
          <w:vertAlign w:val="superscript"/>
          <w:rtl/>
        </w:rPr>
        <w:t>)</w:t>
      </w:r>
      <w:r>
        <w:rPr>
          <w:rFonts w:hint="cs"/>
          <w:rtl/>
        </w:rPr>
        <w:t>، فبالنظر</w:t>
      </w:r>
      <w:r>
        <w:rPr>
          <w:rStyle w:val="a7"/>
          <w:rtl/>
        </w:rPr>
        <w:footnoteReference w:id="770"/>
      </w:r>
      <w:r>
        <w:rPr>
          <w:rFonts w:hint="cs"/>
          <w:rtl/>
        </w:rPr>
        <w:t xml:space="preserve"> إلى ذات اللفظ [أمكن]</w:t>
      </w:r>
      <w:r>
        <w:rPr>
          <w:rStyle w:val="a7"/>
          <w:rtl/>
        </w:rPr>
        <w:footnoteReference w:id="771"/>
      </w:r>
      <w:r>
        <w:rPr>
          <w:rFonts w:hint="cs"/>
          <w:rtl/>
        </w:rPr>
        <w:t xml:space="preserve"> أن يجعل الاستثناء</w:t>
      </w:r>
      <w:r>
        <w:rPr>
          <w:rStyle w:val="a7"/>
          <w:rtl/>
        </w:rPr>
        <w:footnoteReference w:id="772"/>
      </w:r>
      <w:r>
        <w:rPr>
          <w:rFonts w:hint="cs"/>
          <w:rtl/>
        </w:rPr>
        <w:t xml:space="preserve"> بعض ما يتناوله الصدر، والامتناع من الخارج</w:t>
      </w:r>
      <w:r>
        <w:rPr>
          <w:rStyle w:val="a7"/>
          <w:rtl/>
        </w:rPr>
        <w:footnoteReference w:id="773"/>
      </w:r>
      <w:r>
        <w:rPr>
          <w:rFonts w:hint="cs"/>
          <w:rtl/>
        </w:rPr>
        <w:t>، وهو ضرورة عدم ملكه فيما</w:t>
      </w:r>
      <w:r>
        <w:rPr>
          <w:rStyle w:val="a7"/>
          <w:rtl/>
        </w:rPr>
        <w:footnoteReference w:id="774"/>
      </w:r>
      <w:r>
        <w:rPr>
          <w:rFonts w:hint="cs"/>
          <w:rtl/>
        </w:rPr>
        <w:t xml:space="preserve"> سواه</w:t>
      </w:r>
      <w:r>
        <w:rPr>
          <w:rFonts w:hint="eastAsia"/>
          <w:rtl/>
        </w:rPr>
        <w:t>»</w:t>
      </w:r>
      <w:r>
        <w:rPr>
          <w:rFonts w:hint="cs"/>
          <w:vertAlign w:val="superscript"/>
          <w:rtl/>
        </w:rPr>
        <w:t>(</w:t>
      </w:r>
      <w:r>
        <w:rPr>
          <w:rStyle w:val="a7"/>
          <w:rtl/>
        </w:rPr>
        <w:footnoteReference w:id="775"/>
      </w:r>
      <w:r>
        <w:rPr>
          <w:rFonts w:hint="cs"/>
          <w:vertAlign w:val="superscript"/>
          <w:rtl/>
        </w:rPr>
        <w:t>)</w:t>
      </w:r>
      <w:r>
        <w:rPr>
          <w:rFonts w:hint="cs"/>
          <w:rtl/>
        </w:rPr>
        <w:t>.</w:t>
      </w:r>
    </w:p>
    <w:p w:rsidR="00C10469" w:rsidRDefault="00C10469" w:rsidP="00C10469">
      <w:pPr>
        <w:rPr>
          <w:rtl/>
        </w:rPr>
      </w:pPr>
      <w:r>
        <w:rPr>
          <w:rFonts w:hint="eastAsia"/>
          <w:rtl/>
        </w:rPr>
        <w:t>«</w:t>
      </w:r>
      <w:r>
        <w:rPr>
          <w:rFonts w:hint="cs"/>
          <w:b/>
          <w:bCs/>
          <w:rtl/>
        </w:rPr>
        <w:t>فإن قيل</w:t>
      </w:r>
      <w:r>
        <w:rPr>
          <w:rFonts w:hint="cs"/>
          <w:rtl/>
        </w:rPr>
        <w:t xml:space="preserve"> : هذا ترجيح جانب اللفظ وإهمال المعنى رأسًا، والأصل : </w:t>
      </w:r>
      <w:r>
        <w:rPr>
          <w:rFonts w:hint="eastAsia"/>
          <w:rtl/>
        </w:rPr>
        <w:t>«</w:t>
      </w:r>
      <w:r>
        <w:rPr>
          <w:rFonts w:hint="cs"/>
          <w:rtl/>
        </w:rPr>
        <w:t xml:space="preserve">الاعتبار </w:t>
      </w:r>
      <w:r>
        <w:rPr>
          <w:rFonts w:hint="cs"/>
          <w:rtl/>
        </w:rPr>
        <w:lastRenderedPageBreak/>
        <w:t>للمقاصد والمعنى</w:t>
      </w:r>
      <w:r>
        <w:rPr>
          <w:rStyle w:val="a7"/>
          <w:rtl/>
        </w:rPr>
        <w:footnoteReference w:id="776"/>
      </w:r>
      <w:r>
        <w:rPr>
          <w:rFonts w:hint="cs"/>
          <w:rtl/>
        </w:rPr>
        <w:t>، لا للألفاظ</w:t>
      </w:r>
      <w:r>
        <w:rPr>
          <w:rStyle w:val="a7"/>
          <w:rtl/>
        </w:rPr>
        <w:footnoteReference w:id="777"/>
      </w:r>
      <w:r>
        <w:rPr>
          <w:rFonts w:hint="cs"/>
          <w:rtl/>
        </w:rPr>
        <w:t xml:space="preserve"> والمباني</w:t>
      </w:r>
      <w:r>
        <w:rPr>
          <w:rFonts w:hint="eastAsia"/>
          <w:rtl/>
        </w:rPr>
        <w:t>»</w:t>
      </w:r>
      <w:r>
        <w:rPr>
          <w:rFonts w:hint="cs"/>
          <w:vertAlign w:val="superscript"/>
          <w:rtl/>
        </w:rPr>
        <w:t>(</w:t>
      </w:r>
      <w:r>
        <w:rPr>
          <w:rStyle w:val="a7"/>
          <w:rtl/>
        </w:rPr>
        <w:footnoteReference w:id="778"/>
      </w:r>
      <w:r>
        <w:rPr>
          <w:rFonts w:hint="cs"/>
          <w:vertAlign w:val="superscript"/>
          <w:rtl/>
        </w:rPr>
        <w:t xml:space="preserve">) </w:t>
      </w:r>
      <w:r>
        <w:rPr>
          <w:rFonts w:hint="cs"/>
          <w:rtl/>
        </w:rPr>
        <w:t>!.</w:t>
      </w:r>
    </w:p>
    <w:p w:rsidR="00C10469" w:rsidRDefault="00C10469" w:rsidP="00C10469">
      <w:pPr>
        <w:rPr>
          <w:rtl/>
        </w:rPr>
      </w:pPr>
      <w:r>
        <w:rPr>
          <w:rFonts w:hint="cs"/>
          <w:b/>
          <w:bCs/>
          <w:rtl/>
        </w:rPr>
        <w:t>أجيب</w:t>
      </w:r>
      <w:r>
        <w:rPr>
          <w:rFonts w:hint="cs"/>
          <w:rtl/>
        </w:rPr>
        <w:t xml:space="preserve"> : بأن الاستثناء تصرُّفٌ لفظي، [فيبنى]</w:t>
      </w:r>
      <w:r>
        <w:rPr>
          <w:rStyle w:val="a7"/>
          <w:rtl/>
        </w:rPr>
        <w:footnoteReference w:id="779"/>
      </w:r>
      <w:r>
        <w:rPr>
          <w:rFonts w:hint="cs"/>
          <w:rtl/>
        </w:rPr>
        <w:t xml:space="preserve"> على صحة اللفظ لا على صحة الحكم. ألا يُرى</w:t>
      </w:r>
      <w:r>
        <w:rPr>
          <w:rStyle w:val="a7"/>
          <w:rtl/>
        </w:rPr>
        <w:footnoteReference w:id="780"/>
      </w:r>
      <w:r>
        <w:rPr>
          <w:rFonts w:hint="cs"/>
          <w:rtl/>
        </w:rPr>
        <w:t xml:space="preserve"> أنه إذا</w:t>
      </w:r>
      <w:r>
        <w:rPr>
          <w:rStyle w:val="a7"/>
          <w:rtl/>
        </w:rPr>
        <w:footnoteReference w:id="781"/>
      </w:r>
      <w:r>
        <w:rPr>
          <w:rFonts w:hint="cs"/>
          <w:rtl/>
        </w:rPr>
        <w:t xml:space="preserve"> قال : أنتِ طالق ستَّ تطليقات إلا أربعًا : صح الاستثناء ووقع طلقتان، وإن كانت الستُّ لا صحة لها من حيـث الحكم؛ لأن الطلاق لا يزيد على الثلاث، ومع هذا</w:t>
      </w:r>
      <w:r>
        <w:rPr>
          <w:rStyle w:val="a7"/>
          <w:rtl/>
        </w:rPr>
        <w:footnoteReference w:id="782"/>
      </w:r>
      <w:r>
        <w:rPr>
          <w:rFonts w:hint="cs"/>
          <w:rtl/>
        </w:rPr>
        <w:t xml:space="preserve"> لا يجعل كأنه قـال : أنـت طـالق ثلاثًا إلا أربعًا. فكان اعتبار اللفظ أولى</w:t>
      </w:r>
      <w:r>
        <w:rPr>
          <w:rFonts w:hint="eastAsia"/>
          <w:rtl/>
        </w:rPr>
        <w:t>»</w:t>
      </w:r>
      <w:r>
        <w:rPr>
          <w:rFonts w:hint="cs"/>
          <w:vertAlign w:val="superscript"/>
          <w:rtl/>
        </w:rPr>
        <w:t>(</w:t>
      </w:r>
      <w:r>
        <w:rPr>
          <w:rStyle w:val="a7"/>
          <w:rtl/>
        </w:rPr>
        <w:footnoteReference w:id="783"/>
      </w:r>
      <w:r>
        <w:rPr>
          <w:rFonts w:hint="cs"/>
          <w:vertAlign w:val="superscript"/>
          <w:rtl/>
        </w:rPr>
        <w:t>)</w:t>
      </w:r>
      <w:r>
        <w:rPr>
          <w:rFonts w:hint="cs"/>
          <w:rtl/>
        </w:rPr>
        <w:t>.</w:t>
      </w:r>
    </w:p>
    <w:p w:rsidR="00C10469" w:rsidRDefault="00C10469" w:rsidP="00C10469">
      <w:pPr>
        <w:rPr>
          <w:rtl/>
        </w:rPr>
      </w:pPr>
    </w:p>
    <w:p w:rsidR="00C10469" w:rsidRDefault="00C10469" w:rsidP="00C10469">
      <w:pPr>
        <w:rPr>
          <w:rtl/>
        </w:rPr>
      </w:pPr>
    </w:p>
    <w:p w:rsidR="00C10469" w:rsidRPr="00DC4C65" w:rsidRDefault="00C10469" w:rsidP="00C10469">
      <w:pPr>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rsidP="00C10469">
      <w:pPr>
        <w:rPr>
          <w:rtl/>
        </w:rPr>
        <w:sectPr w:rsidR="00C10469" w:rsidSect="00C10469">
          <w:headerReference w:type="default" r:id="rId7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74B1A" w:rsidRDefault="00C10469">
      <w:pPr>
        <w:pStyle w:val="a9"/>
        <w:rPr>
          <w:rFonts w:cs="AL-Mateen"/>
          <w:rtl/>
        </w:rPr>
      </w:pPr>
      <w:r w:rsidRPr="00674B1A">
        <w:rPr>
          <w:rFonts w:cs="AL-Mateen" w:hint="cs"/>
          <w:rtl/>
        </w:rPr>
        <w:lastRenderedPageBreak/>
        <w:t>[ القاعدة الحـاديـة والعشـرون ]</w:t>
      </w:r>
    </w:p>
    <w:p w:rsidR="00C10469" w:rsidRDefault="00C10469">
      <w:pPr>
        <w:rPr>
          <w:b/>
          <w:bCs/>
          <w:rtl/>
        </w:rPr>
      </w:pPr>
      <w:r>
        <w:rPr>
          <w:rFonts w:cs="Monotype Koufi" w:hint="cs"/>
          <w:b/>
          <w:rtl/>
        </w:rPr>
        <w:t>اسْتِدَامَةُ الشَّيءِ تُعْتَبَرُ بِأَصْلِهِ</w:t>
      </w:r>
      <w:r>
        <w:rPr>
          <w:rFonts w:hint="cs"/>
          <w:vertAlign w:val="superscript"/>
          <w:rtl/>
        </w:rPr>
        <w:t>(</w:t>
      </w:r>
      <w:r>
        <w:rPr>
          <w:rStyle w:val="a7"/>
          <w:rtl/>
        </w:rPr>
        <w:footnoteReference w:id="784"/>
      </w:r>
      <w:r>
        <w:rPr>
          <w:rFonts w:hint="cs"/>
          <w:vertAlign w:val="superscript"/>
          <w:rtl/>
        </w:rPr>
        <w:t>)</w:t>
      </w:r>
      <w:r>
        <w:rPr>
          <w:rFonts w:hint="cs"/>
          <w:b/>
          <w:bCs/>
          <w:rtl/>
        </w:rPr>
        <w:t xml:space="preserve"> :</w:t>
      </w:r>
    </w:p>
    <w:p w:rsidR="00C10469" w:rsidRDefault="00C10469" w:rsidP="00C10469">
      <w:pPr>
        <w:ind w:firstLine="720"/>
        <w:rPr>
          <w:rtl/>
        </w:rPr>
      </w:pPr>
      <w:r>
        <w:rPr>
          <w:b/>
          <w:bCs/>
          <w:rtl/>
        </w:rPr>
        <w:lastRenderedPageBreak/>
        <w:t>•</w:t>
      </w:r>
      <w:r>
        <w:rPr>
          <w:rFonts w:hint="cs"/>
          <w:b/>
          <w:bCs/>
          <w:rtl/>
        </w:rPr>
        <w:t xml:space="preserve"> ولهذا</w:t>
      </w:r>
      <w:r>
        <w:rPr>
          <w:rFonts w:hint="cs"/>
          <w:rtl/>
        </w:rPr>
        <w:t xml:space="preserve"> : صحَّ اعتاق العبد الموهوب</w:t>
      </w:r>
      <w:r>
        <w:rPr>
          <w:rStyle w:val="a7"/>
          <w:rtl/>
        </w:rPr>
        <w:footnoteReference w:id="785"/>
      </w:r>
      <w:r>
        <w:rPr>
          <w:rFonts w:hint="cs"/>
          <w:rtl/>
        </w:rPr>
        <w:t xml:space="preserve"> بعد الرجوع قبل القضاء</w:t>
      </w:r>
      <w:r>
        <w:rPr>
          <w:rFonts w:hint="cs"/>
          <w:vertAlign w:val="superscript"/>
          <w:rtl/>
        </w:rPr>
        <w:t>(</w:t>
      </w:r>
      <w:r>
        <w:rPr>
          <w:rStyle w:val="a7"/>
          <w:rtl/>
        </w:rPr>
        <w:footnoteReference w:id="786"/>
      </w:r>
      <w:r>
        <w:rPr>
          <w:rFonts w:hint="cs"/>
          <w:vertAlign w:val="superscript"/>
          <w:rtl/>
        </w:rPr>
        <w:t>)</w:t>
      </w:r>
      <w:r>
        <w:rPr>
          <w:rFonts w:hint="cs"/>
          <w:rtl/>
        </w:rPr>
        <w:t>.</w:t>
      </w:r>
    </w:p>
    <w:p w:rsidR="00C10469" w:rsidRDefault="00C10469" w:rsidP="00C10469">
      <w:pPr>
        <w:ind w:left="720" w:firstLine="0"/>
        <w:rPr>
          <w:rtl/>
        </w:rPr>
      </w:pPr>
      <w:r>
        <w:rPr>
          <w:b/>
          <w:bCs/>
          <w:rtl/>
        </w:rPr>
        <w:t>•</w:t>
      </w:r>
      <w:r>
        <w:rPr>
          <w:rFonts w:hint="cs"/>
          <w:b/>
          <w:bCs/>
          <w:rtl/>
        </w:rPr>
        <w:t xml:space="preserve"> وكذا</w:t>
      </w:r>
      <w:r>
        <w:rPr>
          <w:rFonts w:hint="cs"/>
          <w:rtl/>
        </w:rPr>
        <w:t xml:space="preserve"> : لا يَضْمَنُ الموهوبُ له بهلاكه بالمنع بعد الرجوع قبل القضاء</w:t>
      </w:r>
      <w:r>
        <w:rPr>
          <w:rStyle w:val="a7"/>
          <w:rtl/>
        </w:rPr>
        <w:footnoteReference w:id="787"/>
      </w:r>
      <w:r>
        <w:rPr>
          <w:rFonts w:hint="cs"/>
          <w:rtl/>
        </w:rPr>
        <w:t>؛ لقيام ملكه؛ لأن الرجوع لا يصح إلا بالتراضي، أو بحكم الحاكم، ولم يوجد بعد، وفي</w:t>
      </w:r>
      <w:r>
        <w:rPr>
          <w:rFonts w:hint="eastAsia"/>
          <w:rtl/>
        </w:rPr>
        <w:t> </w:t>
      </w:r>
      <w:r>
        <w:rPr>
          <w:rFonts w:hint="cs"/>
          <w:rtl/>
        </w:rPr>
        <w:t>أصل قبضه صحة العتاق وعدم الضمان بالهلاك؛ فداما</w:t>
      </w:r>
      <w:r>
        <w:rPr>
          <w:rStyle w:val="a7"/>
          <w:rtl/>
        </w:rPr>
        <w:footnoteReference w:id="788"/>
      </w:r>
      <w:r>
        <w:rPr>
          <w:rFonts w:hint="cs"/>
          <w:vertAlign w:val="superscript"/>
          <w:rtl/>
        </w:rPr>
        <w:t>(</w:t>
      </w:r>
      <w:r>
        <w:rPr>
          <w:rStyle w:val="a7"/>
          <w:rtl/>
        </w:rPr>
        <w:footnoteReference w:id="789"/>
      </w:r>
      <w:r>
        <w:rPr>
          <w:rFonts w:hint="cs"/>
          <w:vertAlign w:val="superscript"/>
          <w:rtl/>
        </w:rPr>
        <w:t>)</w:t>
      </w:r>
      <w:r>
        <w:rPr>
          <w:rFonts w:hint="cs"/>
          <w:rtl/>
        </w:rPr>
        <w:t>. كذا في (العناية)</w:t>
      </w:r>
      <w:r>
        <w:rPr>
          <w:rFonts w:hint="cs"/>
          <w:vertAlign w:val="superscript"/>
          <w:rtl/>
        </w:rPr>
        <w:t>(</w:t>
      </w:r>
      <w:r>
        <w:rPr>
          <w:rStyle w:val="a7"/>
          <w:rtl/>
        </w:rPr>
        <w:footnoteReference w:id="790"/>
      </w:r>
      <w:r>
        <w:rPr>
          <w:rFonts w:hint="cs"/>
          <w:vertAlign w:val="superscript"/>
          <w:rtl/>
        </w:rPr>
        <w:t>)</w:t>
      </w:r>
      <w:r>
        <w:rPr>
          <w:rFonts w:hint="cs"/>
          <w:rtl/>
        </w:rPr>
        <w:t>.</w:t>
      </w:r>
    </w:p>
    <w:p w:rsidR="00C10469" w:rsidRDefault="00C10469">
      <w:pPr>
        <w:pStyle w:val="a9"/>
        <w:rPr>
          <w:rFonts w:cs="Traditional Arabic"/>
          <w:sz w:val="20"/>
          <w:rtl/>
        </w:rPr>
      </w:pPr>
    </w:p>
    <w:p w:rsidR="00C10469" w:rsidRPr="00C31DED" w:rsidRDefault="00C10469" w:rsidP="00C10469">
      <w:pPr>
        <w:ind w:firstLine="0"/>
        <w:jc w:val="center"/>
        <w:rPr>
          <w:rFonts w:ascii="AGA Arabesque" w:hAnsi="AGA Arabesque"/>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rsidP="00C10469">
      <w:pPr>
        <w:rPr>
          <w:rtl/>
        </w:rPr>
        <w:sectPr w:rsidR="00C10469" w:rsidSect="00C10469">
          <w:headerReference w:type="default" r:id="rId7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B7A23" w:rsidRDefault="00C10469">
      <w:pPr>
        <w:pStyle w:val="a9"/>
        <w:rPr>
          <w:rFonts w:cs="AL-Mateen"/>
          <w:rtl/>
        </w:rPr>
      </w:pPr>
      <w:r w:rsidRPr="001B7A23">
        <w:rPr>
          <w:rFonts w:cs="AL-Mateen" w:hint="cs"/>
          <w:rtl/>
        </w:rPr>
        <w:lastRenderedPageBreak/>
        <w:t>[ القـاعـدة الثـانيـة والعـشـرون ]</w:t>
      </w:r>
    </w:p>
    <w:p w:rsidR="00C10469" w:rsidRDefault="00C10469">
      <w:pPr>
        <w:rPr>
          <w:b/>
          <w:bCs/>
          <w:rtl/>
        </w:rPr>
      </w:pPr>
      <w:r>
        <w:rPr>
          <w:rFonts w:cs="Monotype Koufi" w:hint="cs"/>
          <w:rtl/>
        </w:rPr>
        <w:t>الاسْتِصْحَابُ حُجَّةٌ دَافِعَةٌ</w:t>
      </w:r>
      <w:r>
        <w:rPr>
          <w:rStyle w:val="a7"/>
          <w:b/>
          <w:rtl/>
        </w:rPr>
        <w:footnoteReference w:id="791"/>
      </w:r>
      <w:r>
        <w:rPr>
          <w:rFonts w:hint="cs"/>
          <w:b/>
          <w:bCs/>
          <w:rtl/>
        </w:rPr>
        <w:t xml:space="preserve"> </w:t>
      </w:r>
      <w:r>
        <w:rPr>
          <w:rFonts w:cs="Monotype Koufi" w:hint="cs"/>
          <w:rtl/>
        </w:rPr>
        <w:t>لا مُثْـبِتَةٌ</w:t>
      </w:r>
      <w:r>
        <w:rPr>
          <w:rFonts w:hint="cs"/>
          <w:b/>
          <w:bCs/>
          <w:vertAlign w:val="superscript"/>
          <w:rtl/>
        </w:rPr>
        <w:t>(</w:t>
      </w:r>
      <w:r>
        <w:rPr>
          <w:rStyle w:val="a7"/>
          <w:b/>
          <w:rtl/>
        </w:rPr>
        <w:footnoteReference w:id="792"/>
      </w:r>
      <w:r>
        <w:rPr>
          <w:rFonts w:hint="cs"/>
          <w:b/>
          <w:bCs/>
          <w:vertAlign w:val="superscript"/>
          <w:rtl/>
        </w:rPr>
        <w:t>)</w:t>
      </w:r>
      <w:r>
        <w:rPr>
          <w:rFonts w:hint="cs"/>
          <w:b/>
          <w:bCs/>
          <w:rtl/>
        </w:rPr>
        <w:t xml:space="preserve"> :</w:t>
      </w:r>
    </w:p>
    <w:p w:rsidR="00C10469" w:rsidRDefault="00C10469">
      <w:pPr>
        <w:rPr>
          <w:rtl/>
        </w:rPr>
      </w:pPr>
      <w:r>
        <w:rPr>
          <w:rFonts w:hint="cs"/>
          <w:rtl/>
        </w:rPr>
        <w:lastRenderedPageBreak/>
        <w:t>وهو ظاهر الحال.</w:t>
      </w:r>
    </w:p>
    <w:p w:rsidR="00C10469" w:rsidRDefault="00C10469">
      <w:pPr>
        <w:rPr>
          <w:rtl/>
        </w:rPr>
      </w:pPr>
      <w:r>
        <w:rPr>
          <w:rFonts w:hint="cs"/>
          <w:b/>
          <w:bCs/>
          <w:rtl/>
        </w:rPr>
        <w:lastRenderedPageBreak/>
        <w:t>ومثاله</w:t>
      </w:r>
      <w:r>
        <w:rPr>
          <w:rFonts w:hint="cs"/>
          <w:rtl/>
        </w:rPr>
        <w:t xml:space="preserve"> : المفقود</w:t>
      </w:r>
      <w:r>
        <w:rPr>
          <w:rFonts w:hint="cs"/>
          <w:vertAlign w:val="superscript"/>
          <w:rtl/>
        </w:rPr>
        <w:t>(</w:t>
      </w:r>
      <w:r>
        <w:rPr>
          <w:rStyle w:val="a7"/>
          <w:rtl/>
        </w:rPr>
        <w:footnoteReference w:id="793"/>
      </w:r>
      <w:r>
        <w:rPr>
          <w:rFonts w:hint="cs"/>
          <w:vertAlign w:val="superscript"/>
          <w:rtl/>
        </w:rPr>
        <w:t>)</w:t>
      </w:r>
      <w:r>
        <w:rPr>
          <w:rFonts w:hint="cs"/>
          <w:rtl/>
        </w:rPr>
        <w:t xml:space="preserve"> : قبل المدة حي؛ فلا يرثه الوارث الذي كان حيًّا وقت فقده، ومات قبـل الحكم</w:t>
      </w:r>
      <w:r>
        <w:rPr>
          <w:rStyle w:val="a7"/>
          <w:rtl/>
        </w:rPr>
        <w:footnoteReference w:id="794"/>
      </w:r>
      <w:r>
        <w:rPr>
          <w:rFonts w:hint="cs"/>
          <w:rtl/>
        </w:rPr>
        <w:t xml:space="preserve"> بموته؛ لأن الـظاهـر أنه كـان حـيًّا فيـصلح حـجـة لدفع أن يرثه الغيرُ.</w:t>
      </w:r>
    </w:p>
    <w:p w:rsidR="00C10469" w:rsidRDefault="00C10469">
      <w:pPr>
        <w:rPr>
          <w:rtl/>
        </w:rPr>
      </w:pPr>
      <w:r>
        <w:rPr>
          <w:rFonts w:hint="cs"/>
          <w:rtl/>
        </w:rPr>
        <w:t>وفي مال غيره : ميّت ؛ لأنَّ الظاهر لا يصلح للحجَّـة لإيجاب إرثه من الغير، فيُرَدُّ ما وُقِـفَ للمفقود إلى مَنْ يرِثُ مُوَرِّثَهُ يوم الحكم</w:t>
      </w:r>
      <w:r>
        <w:rPr>
          <w:rStyle w:val="a7"/>
          <w:rtl/>
        </w:rPr>
        <w:footnoteReference w:id="795"/>
      </w:r>
      <w:r>
        <w:rPr>
          <w:rFonts w:hint="cs"/>
          <w:rtl/>
        </w:rPr>
        <w:t xml:space="preserve"> بموته</w:t>
      </w:r>
      <w:r>
        <w:rPr>
          <w:rFonts w:hint="cs"/>
          <w:vertAlign w:val="superscript"/>
          <w:rtl/>
        </w:rPr>
        <w:t>(</w:t>
      </w:r>
      <w:r>
        <w:rPr>
          <w:rStyle w:val="a7"/>
          <w:rtl/>
        </w:rPr>
        <w:footnoteReference w:id="796"/>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2565A6" w:rsidRDefault="00C10469">
      <w:pPr>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pPr>
        <w:rPr>
          <w:rtl/>
        </w:rPr>
        <w:sectPr w:rsidR="00C10469" w:rsidSect="00C10469">
          <w:headerReference w:type="default" r:id="rId7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D70AB3" w:rsidRDefault="00C10469">
      <w:pPr>
        <w:pStyle w:val="a9"/>
        <w:rPr>
          <w:rFonts w:cs="AL-Mateen"/>
          <w:rtl/>
        </w:rPr>
      </w:pPr>
      <w:r w:rsidRPr="00D70AB3">
        <w:rPr>
          <w:rFonts w:cs="AL-Mateen" w:hint="cs"/>
          <w:rtl/>
        </w:rPr>
        <w:lastRenderedPageBreak/>
        <w:t>[ القـاعـدة الثـالـثـة والعشــرون ]</w:t>
      </w:r>
    </w:p>
    <w:p w:rsidR="00C10469" w:rsidRDefault="00C10469">
      <w:pPr>
        <w:rPr>
          <w:b/>
          <w:bCs/>
          <w:rtl/>
        </w:rPr>
      </w:pPr>
      <w:r>
        <w:rPr>
          <w:rFonts w:cs="Monotype Koufi" w:hint="cs"/>
          <w:rtl/>
        </w:rPr>
        <w:t>الإِشَارَةُ إِنَّما [تَقُومُ]</w:t>
      </w:r>
      <w:r>
        <w:rPr>
          <w:rStyle w:val="a7"/>
          <w:b/>
        </w:rPr>
        <w:footnoteReference w:id="797"/>
      </w:r>
      <w:r>
        <w:rPr>
          <w:rFonts w:hint="cs"/>
          <w:b/>
          <w:bCs/>
          <w:rtl/>
        </w:rPr>
        <w:t xml:space="preserve"> </w:t>
      </w:r>
      <w:r>
        <w:rPr>
          <w:rFonts w:cs="Monotype Koufi" w:hint="cs"/>
          <w:rtl/>
        </w:rPr>
        <w:t>مَقَامَ العَبَارَةِ إِذَا كَانَتْ مَعْهُودَةً</w:t>
      </w:r>
      <w:r>
        <w:rPr>
          <w:rFonts w:hint="cs"/>
          <w:b/>
          <w:bCs/>
          <w:vertAlign w:val="superscript"/>
          <w:rtl/>
        </w:rPr>
        <w:t>(</w:t>
      </w:r>
      <w:r>
        <w:rPr>
          <w:rStyle w:val="a7"/>
          <w:b/>
          <w:rtl/>
        </w:rPr>
        <w:footnoteReference w:id="798"/>
      </w:r>
      <w:r>
        <w:rPr>
          <w:rFonts w:hint="cs"/>
          <w:b/>
          <w:bCs/>
          <w:vertAlign w:val="superscript"/>
          <w:rtl/>
        </w:rPr>
        <w:t>)</w:t>
      </w:r>
      <w:r>
        <w:rPr>
          <w:rFonts w:hint="cs"/>
          <w:b/>
          <w:bCs/>
          <w:rtl/>
        </w:rPr>
        <w:t xml:space="preserve"> :</w:t>
      </w:r>
    </w:p>
    <w:p w:rsidR="00C10469" w:rsidRDefault="00C10469">
      <w:pPr>
        <w:rPr>
          <w:rtl/>
        </w:rPr>
      </w:pPr>
      <w:r>
        <w:rPr>
          <w:rFonts w:hint="eastAsia"/>
          <w:rtl/>
        </w:rPr>
        <w:t>«</w:t>
      </w:r>
      <w:r>
        <w:rPr>
          <w:rFonts w:hint="cs"/>
          <w:rtl/>
        </w:rPr>
        <w:t>فذلك في الأخرس</w:t>
      </w:r>
      <w:r>
        <w:rPr>
          <w:rFonts w:hint="cs"/>
          <w:vertAlign w:val="superscript"/>
          <w:rtl/>
        </w:rPr>
        <w:t>(</w:t>
      </w:r>
      <w:r>
        <w:rPr>
          <w:rStyle w:val="a7"/>
          <w:rtl/>
        </w:rPr>
        <w:footnoteReference w:id="799"/>
      </w:r>
      <w:r>
        <w:rPr>
          <w:rFonts w:hint="cs"/>
          <w:vertAlign w:val="superscript"/>
          <w:rtl/>
        </w:rPr>
        <w:t>)</w:t>
      </w:r>
      <w:r>
        <w:rPr>
          <w:rFonts w:hint="cs"/>
          <w:rtl/>
        </w:rPr>
        <w:t xml:space="preserve"> دون معتقل اللّسان</w:t>
      </w:r>
      <w:r>
        <w:rPr>
          <w:rFonts w:hint="cs"/>
          <w:vertAlign w:val="superscript"/>
          <w:rtl/>
        </w:rPr>
        <w:t>(3)</w:t>
      </w:r>
      <w:r>
        <w:rPr>
          <w:rFonts w:hint="cs"/>
          <w:rtl/>
        </w:rPr>
        <w:t>. حتى لو امتدّ ذلك، وصارت له إشارة معهودة كان بمنـزلة الأخرس.</w:t>
      </w:r>
    </w:p>
    <w:p w:rsidR="00C10469" w:rsidRDefault="00C10469">
      <w:pPr>
        <w:rPr>
          <w:rtl/>
        </w:rPr>
      </w:pPr>
      <w:r>
        <w:rPr>
          <w:rFonts w:hint="cs"/>
          <w:rtl/>
        </w:rPr>
        <w:lastRenderedPageBreak/>
        <w:t>وقُدِّر الامتداد بسنة.</w:t>
      </w:r>
    </w:p>
    <w:p w:rsidR="00C10469" w:rsidRDefault="00C10469">
      <w:pPr>
        <w:rPr>
          <w:rtl/>
        </w:rPr>
      </w:pPr>
      <w:r>
        <w:rPr>
          <w:rFonts w:hint="cs"/>
          <w:rtl/>
        </w:rPr>
        <w:t>وقيل : إذا دامت [العقلة]</w:t>
      </w:r>
      <w:r>
        <w:rPr>
          <w:rStyle w:val="a7"/>
          <w:rtl/>
        </w:rPr>
        <w:footnoteReference w:id="800"/>
      </w:r>
      <w:r>
        <w:rPr>
          <w:rFonts w:hint="cs"/>
          <w:rtl/>
        </w:rPr>
        <w:t xml:space="preserve"> إلى الموت : يجوز إقراره بالإشارة، ويجوز الإشهاد عليه</w:t>
      </w:r>
      <w:r>
        <w:rPr>
          <w:rFonts w:hint="cs"/>
          <w:vertAlign w:val="superscript"/>
          <w:rtl/>
        </w:rPr>
        <w:t>(</w:t>
      </w:r>
      <w:r>
        <w:rPr>
          <w:rStyle w:val="a7"/>
          <w:rtl/>
        </w:rPr>
        <w:footnoteReference w:id="801"/>
      </w:r>
      <w:r>
        <w:rPr>
          <w:rFonts w:hint="cs"/>
          <w:vertAlign w:val="superscript"/>
          <w:rtl/>
        </w:rPr>
        <w:t>)</w:t>
      </w:r>
      <w:r>
        <w:rPr>
          <w:rFonts w:hint="cs"/>
          <w:rtl/>
        </w:rPr>
        <w:t>؛ لأنه عَجَزَ عن النطق بمعنى لا يرجى زواله، فكان كالأخرس</w:t>
      </w:r>
      <w:r>
        <w:rPr>
          <w:rStyle w:val="a7"/>
          <w:rtl/>
        </w:rPr>
        <w:footnoteReference w:id="802"/>
      </w:r>
      <w:r>
        <w:rPr>
          <w:rFonts w:hint="cs"/>
          <w:rtl/>
        </w:rPr>
        <w:t>.</w:t>
      </w:r>
    </w:p>
    <w:p w:rsidR="00C10469" w:rsidRDefault="00C10469">
      <w:pPr>
        <w:rPr>
          <w:rtl/>
        </w:rPr>
      </w:pPr>
      <w:r>
        <w:rPr>
          <w:rFonts w:hint="cs"/>
          <w:rtl/>
        </w:rPr>
        <w:t>قالوا : وعليه الفتوى. ذكره الزيلعي</w:t>
      </w:r>
      <w:r>
        <w:rPr>
          <w:rFonts w:hint="cs"/>
          <w:vertAlign w:val="superscript"/>
          <w:rtl/>
        </w:rPr>
        <w:t>(</w:t>
      </w:r>
      <w:r>
        <w:rPr>
          <w:rStyle w:val="a7"/>
          <w:rtl/>
        </w:rPr>
        <w:footnoteReference w:id="803"/>
      </w:r>
      <w:r>
        <w:rPr>
          <w:rFonts w:hint="cs"/>
          <w:vertAlign w:val="superscript"/>
          <w:rtl/>
        </w:rPr>
        <w:t>)</w:t>
      </w:r>
      <w:r>
        <w:rPr>
          <w:rFonts w:hint="eastAsia"/>
          <w:rtl/>
        </w:rPr>
        <w:t>»</w:t>
      </w:r>
      <w:r>
        <w:rPr>
          <w:rFonts w:hint="cs"/>
          <w:vertAlign w:val="superscript"/>
          <w:rtl/>
        </w:rPr>
        <w:t>(</w:t>
      </w:r>
      <w:r>
        <w:rPr>
          <w:rStyle w:val="a7"/>
          <w:rtl/>
        </w:rPr>
        <w:footnoteReference w:id="804"/>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rsidP="00C10469">
      <w:pPr>
        <w:jc w:val="center"/>
        <w:rPr>
          <w:sz w:val="44"/>
          <w:szCs w:val="44"/>
          <w:rtl/>
        </w:rPr>
      </w:pPr>
      <w:r>
        <w:rPr>
          <w:rFonts w:ascii="AGA Arabesque" w:hAnsi="AGA Arabesque"/>
          <w:sz w:val="44"/>
          <w:szCs w:val="44"/>
        </w:rPr>
        <w:t></w:t>
      </w:r>
      <w:r>
        <w:rPr>
          <w:rFonts w:ascii="AGA Arabesque" w:hAnsi="AGA Arabesque"/>
          <w:sz w:val="44"/>
          <w:szCs w:val="44"/>
        </w:rPr>
        <w:t></w:t>
      </w:r>
      <w:r>
        <w:rPr>
          <w:rFonts w:ascii="AGA Arabesque" w:hAnsi="AGA Arabesque"/>
          <w:sz w:val="44"/>
          <w:szCs w:val="44"/>
        </w:rPr>
        <w:t></w:t>
      </w:r>
    </w:p>
    <w:p w:rsidR="00C10469" w:rsidRDefault="00C10469" w:rsidP="00C10469">
      <w:pPr>
        <w:jc w:val="center"/>
        <w:rPr>
          <w:sz w:val="44"/>
          <w:szCs w:val="44"/>
          <w:rtl/>
        </w:rPr>
        <w:sectPr w:rsidR="00C10469" w:rsidSect="00C10469">
          <w:headerReference w:type="default" r:id="rId7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85E3B" w:rsidRDefault="00C10469">
      <w:pPr>
        <w:pStyle w:val="a9"/>
        <w:rPr>
          <w:rFonts w:cs="AL-Mateen"/>
          <w:rtl/>
        </w:rPr>
      </w:pPr>
      <w:r w:rsidRPr="00A85E3B">
        <w:rPr>
          <w:rFonts w:cs="AL-Mateen" w:hint="cs"/>
          <w:rtl/>
        </w:rPr>
        <w:lastRenderedPageBreak/>
        <w:t>[ القـاعـدة الـرابـعة والـعـشـرون ]</w:t>
      </w:r>
    </w:p>
    <w:p w:rsidR="00C10469" w:rsidRDefault="00C10469">
      <w:pPr>
        <w:rPr>
          <w:rtl/>
        </w:rPr>
      </w:pPr>
      <w:r>
        <w:rPr>
          <w:rFonts w:cs="Monotype Koufi" w:hint="cs"/>
          <w:rtl/>
        </w:rPr>
        <w:t>الأشـدُّ يُزالُ بالأخف</w:t>
      </w:r>
      <w:r>
        <w:rPr>
          <w:rStyle w:val="a7"/>
          <w:rtl/>
        </w:rPr>
        <w:footnoteReference w:id="805"/>
      </w:r>
      <w:r>
        <w:rPr>
          <w:rFonts w:hint="cs"/>
          <w:vertAlign w:val="superscript"/>
          <w:rtl/>
        </w:rPr>
        <w:t>(</w:t>
      </w:r>
      <w:r>
        <w:rPr>
          <w:rStyle w:val="a7"/>
          <w:rtl/>
        </w:rPr>
        <w:footnoteReference w:id="806"/>
      </w:r>
      <w:r>
        <w:rPr>
          <w:rFonts w:hint="cs"/>
          <w:vertAlign w:val="superscript"/>
          <w:rtl/>
        </w:rPr>
        <w:t>)</w:t>
      </w:r>
      <w:r>
        <w:rPr>
          <w:rFonts w:hint="cs"/>
          <w:rtl/>
        </w:rPr>
        <w:t xml:space="preserve"> :</w:t>
      </w:r>
    </w:p>
    <w:p w:rsidR="00C10469" w:rsidRDefault="00C10469">
      <w:pPr>
        <w:rPr>
          <w:rtl/>
        </w:rPr>
      </w:pPr>
      <w:r>
        <w:rPr>
          <w:rFonts w:hint="cs"/>
          <w:rtl/>
        </w:rPr>
        <w:t>فإذا كان أحد الأمرين أكثر</w:t>
      </w:r>
      <w:r>
        <w:rPr>
          <w:rStyle w:val="a7"/>
          <w:rtl/>
        </w:rPr>
        <w:footnoteReference w:id="807"/>
      </w:r>
      <w:r>
        <w:rPr>
          <w:rFonts w:hint="cs"/>
          <w:rtl/>
        </w:rPr>
        <w:t xml:space="preserve"> والآخر أقل</w:t>
      </w:r>
      <w:r>
        <w:rPr>
          <w:rStyle w:val="a7"/>
          <w:rtl/>
        </w:rPr>
        <w:footnoteReference w:id="808"/>
      </w:r>
      <w:r>
        <w:rPr>
          <w:rFonts w:hint="cs"/>
          <w:rtl/>
        </w:rPr>
        <w:t xml:space="preserve"> ضررًا : يعمل بالأقل ضررًا.</w:t>
      </w:r>
    </w:p>
    <w:p w:rsidR="00C10469" w:rsidRDefault="00C10469">
      <w:pPr>
        <w:rPr>
          <w:rtl/>
        </w:rPr>
      </w:pPr>
      <w:r>
        <w:rPr>
          <w:rFonts w:hint="cs"/>
          <w:b/>
          <w:bCs/>
          <w:rtl/>
        </w:rPr>
        <w:lastRenderedPageBreak/>
        <w:t>ومن فروعه</w:t>
      </w:r>
      <w:r>
        <w:rPr>
          <w:rFonts w:hint="cs"/>
          <w:rtl/>
        </w:rPr>
        <w:t xml:space="preserve"> : </w:t>
      </w:r>
      <w:r>
        <w:rPr>
          <w:rFonts w:hint="eastAsia"/>
          <w:rtl/>
        </w:rPr>
        <w:t>«</w:t>
      </w:r>
      <w:r>
        <w:rPr>
          <w:rFonts w:hint="cs"/>
          <w:rtl/>
        </w:rPr>
        <w:t>لو غصب أرضًا، فبنى أو غرس، فإن كان</w:t>
      </w:r>
      <w:r>
        <w:rPr>
          <w:rFonts w:hint="cs"/>
          <w:vertAlign w:val="superscript"/>
          <w:rtl/>
        </w:rPr>
        <w:t>(</w:t>
      </w:r>
      <w:r>
        <w:rPr>
          <w:rStyle w:val="a7"/>
          <w:rtl/>
        </w:rPr>
        <w:footnoteReference w:id="809"/>
      </w:r>
      <w:r>
        <w:rPr>
          <w:rFonts w:hint="cs"/>
          <w:vertAlign w:val="superscript"/>
          <w:rtl/>
        </w:rPr>
        <w:t>)</w:t>
      </w:r>
      <w:r>
        <w:rPr>
          <w:rFonts w:hint="cs"/>
          <w:rtl/>
        </w:rPr>
        <w:t xml:space="preserve"> قيمة الأرض أكثر : قُلِعَا</w:t>
      </w:r>
      <w:r>
        <w:rPr>
          <w:rFonts w:hint="cs"/>
          <w:vertAlign w:val="superscript"/>
          <w:rtl/>
        </w:rPr>
        <w:t>(</w:t>
      </w:r>
      <w:r>
        <w:rPr>
          <w:rStyle w:val="a7"/>
          <w:rtl/>
        </w:rPr>
        <w:footnoteReference w:id="810"/>
      </w:r>
      <w:r>
        <w:rPr>
          <w:rFonts w:hint="cs"/>
          <w:vertAlign w:val="superscript"/>
          <w:rtl/>
        </w:rPr>
        <w:t>)</w:t>
      </w:r>
      <w:r>
        <w:rPr>
          <w:rFonts w:hint="cs"/>
          <w:rtl/>
        </w:rPr>
        <w:t>، ورُدَّتْ، وإلا ضمن له قيمتها</w:t>
      </w:r>
      <w:r>
        <w:rPr>
          <w:rFonts w:hint="eastAsia"/>
          <w:rtl/>
        </w:rPr>
        <w:t>»</w:t>
      </w:r>
      <w:r>
        <w:rPr>
          <w:rFonts w:hint="cs"/>
          <w:vertAlign w:val="superscript"/>
          <w:rtl/>
        </w:rPr>
        <w:t>(</w:t>
      </w:r>
      <w:r>
        <w:rPr>
          <w:rStyle w:val="a7"/>
          <w:rtl/>
        </w:rPr>
        <w:footnoteReference w:id="811"/>
      </w:r>
      <w:r>
        <w:rPr>
          <w:rFonts w:hint="cs"/>
          <w:vertAlign w:val="superscript"/>
          <w:rtl/>
        </w:rPr>
        <w:t>)</w:t>
      </w:r>
      <w:r>
        <w:rPr>
          <w:rFonts w:hint="cs"/>
          <w:rtl/>
        </w:rPr>
        <w:t>.</w:t>
      </w:r>
    </w:p>
    <w:p w:rsidR="00C10469" w:rsidRDefault="00C10469">
      <w:pPr>
        <w:rPr>
          <w:rtl/>
        </w:rPr>
      </w:pPr>
      <w:r>
        <w:rPr>
          <w:rFonts w:hint="cs"/>
          <w:b/>
          <w:bCs/>
          <w:rtl/>
        </w:rPr>
        <w:t>أقـول</w:t>
      </w:r>
      <w:r>
        <w:rPr>
          <w:rFonts w:hint="cs"/>
          <w:rtl/>
        </w:rPr>
        <w:t xml:space="preserve"> : ينبغي أن يكون الأمر في البيع الفاسد، [كما ذكر في المغصوب؛ بل اقتضاء دفع الضرر في البيع الفاسد]</w:t>
      </w:r>
      <w:r>
        <w:rPr>
          <w:rStyle w:val="a7"/>
          <w:rtl/>
        </w:rPr>
        <w:footnoteReference w:id="812"/>
      </w:r>
      <w:r>
        <w:rPr>
          <w:rFonts w:hint="cs"/>
          <w:rtl/>
        </w:rPr>
        <w:t xml:space="preserve"> أبلغ منه؛ لأن الغاصب متعدٍّ، والمشتري مغرور</w:t>
      </w:r>
      <w:r>
        <w:rPr>
          <w:rStyle w:val="a7"/>
          <w:rtl/>
        </w:rPr>
        <w:footnoteReference w:id="813"/>
      </w:r>
      <w:r>
        <w:rPr>
          <w:rFonts w:hint="cs"/>
          <w:rtl/>
        </w:rPr>
        <w:t>، و[دفع]</w:t>
      </w:r>
      <w:r>
        <w:rPr>
          <w:rStyle w:val="a7"/>
          <w:rtl/>
        </w:rPr>
        <w:footnoteReference w:id="814"/>
      </w:r>
      <w:r>
        <w:rPr>
          <w:rFonts w:hint="cs"/>
          <w:rtl/>
        </w:rPr>
        <w:t xml:space="preserve"> الضرر عن المغرور</w:t>
      </w:r>
      <w:r>
        <w:rPr>
          <w:rStyle w:val="a7"/>
          <w:rtl/>
        </w:rPr>
        <w:footnoteReference w:id="815"/>
      </w:r>
      <w:r>
        <w:rPr>
          <w:rFonts w:hint="cs"/>
          <w:rtl/>
        </w:rPr>
        <w:t xml:space="preserve"> أهم من [دفع]</w:t>
      </w:r>
      <w:r>
        <w:rPr>
          <w:rStyle w:val="a7"/>
          <w:rtl/>
        </w:rPr>
        <w:footnoteReference w:id="816"/>
      </w:r>
      <w:r>
        <w:rPr>
          <w:rFonts w:hint="cs"/>
          <w:rtl/>
        </w:rPr>
        <w:t xml:space="preserve"> ضرر المتعدي، مع أن البائع في البيع الفاسد سلّطه على البناء.</w:t>
      </w:r>
    </w:p>
    <w:p w:rsidR="00C10469" w:rsidRDefault="00C10469">
      <w:pPr>
        <w:rPr>
          <w:rtl/>
        </w:rPr>
      </w:pPr>
      <w:r>
        <w:rPr>
          <w:rFonts w:hint="cs"/>
          <w:rtl/>
        </w:rPr>
        <w:lastRenderedPageBreak/>
        <w:t>وأفتى بعض من الإخوان بأن البناء والغرس في البيع الفاسد يقلعان</w:t>
      </w:r>
      <w:r>
        <w:rPr>
          <w:rStyle w:val="a7"/>
          <w:rtl/>
        </w:rPr>
        <w:footnoteReference w:id="817"/>
      </w:r>
      <w:r>
        <w:rPr>
          <w:rFonts w:hint="cs"/>
          <w:rtl/>
        </w:rPr>
        <w:t xml:space="preserve"> مطلقًا. وهذا خطأ -غفر [لهم]</w:t>
      </w:r>
      <w:r>
        <w:rPr>
          <w:rStyle w:val="a7"/>
          <w:rtl/>
        </w:rPr>
        <w:footnoteReference w:id="818"/>
      </w:r>
      <w:r>
        <w:rPr>
          <w:rFonts w:hint="cs"/>
          <w:rtl/>
        </w:rPr>
        <w:t xml:space="preserve"> الله-</w:t>
      </w:r>
      <w:r>
        <w:rPr>
          <w:rFonts w:hint="cs"/>
          <w:vertAlign w:val="superscript"/>
          <w:rtl/>
        </w:rPr>
        <w:t>(</w:t>
      </w:r>
      <w:r>
        <w:rPr>
          <w:rStyle w:val="a7"/>
          <w:rtl/>
        </w:rPr>
        <w:footnoteReference w:id="819"/>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pPr>
        <w:rPr>
          <w:rtl/>
        </w:rPr>
      </w:pPr>
    </w:p>
    <w:p w:rsidR="00C10469" w:rsidRDefault="00C10469">
      <w:pPr>
        <w:rPr>
          <w:rtl/>
        </w:rPr>
        <w:sectPr w:rsidR="00C10469" w:rsidSect="00C10469">
          <w:headerReference w:type="default" r:id="rId8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C4CA5" w:rsidRDefault="00C10469">
      <w:pPr>
        <w:pStyle w:val="a9"/>
        <w:rPr>
          <w:rFonts w:cs="AL-Mateen"/>
          <w:rtl/>
        </w:rPr>
      </w:pPr>
      <w:r w:rsidRPr="009C4CA5">
        <w:rPr>
          <w:rFonts w:cs="AL-Mateen" w:hint="cs"/>
          <w:rtl/>
        </w:rPr>
        <w:lastRenderedPageBreak/>
        <w:t>[ القـاعـدة الخـامسـة والعشـرون ]</w:t>
      </w:r>
    </w:p>
    <w:p w:rsidR="00C10469" w:rsidRDefault="00C10469">
      <w:pPr>
        <w:rPr>
          <w:b/>
          <w:bCs/>
          <w:rtl/>
        </w:rPr>
      </w:pPr>
      <w:r>
        <w:rPr>
          <w:rFonts w:cs="Monotype Koufi" w:hint="cs"/>
          <w:rtl/>
        </w:rPr>
        <w:t>الأَصْلُ بَقَاءُ مَا كَانَ عَلَى مَا كَانَ</w:t>
      </w:r>
      <w:r>
        <w:rPr>
          <w:rStyle w:val="a7"/>
          <w:b/>
          <w:rtl/>
        </w:rPr>
        <w:footnoteReference w:id="820"/>
      </w:r>
      <w:r>
        <w:rPr>
          <w:rFonts w:hint="cs"/>
          <w:b/>
          <w:vertAlign w:val="superscript"/>
          <w:rtl/>
        </w:rPr>
        <w:t>(</w:t>
      </w:r>
      <w:r>
        <w:rPr>
          <w:rStyle w:val="a7"/>
          <w:b/>
          <w:rtl/>
        </w:rPr>
        <w:footnoteReference w:id="821"/>
      </w:r>
      <w:r>
        <w:rPr>
          <w:rFonts w:hint="cs"/>
          <w:b/>
          <w:vertAlign w:val="superscript"/>
          <w:rtl/>
        </w:rPr>
        <w:t>)</w:t>
      </w:r>
      <w:r>
        <w:rPr>
          <w:rFonts w:hint="cs"/>
          <w:b/>
          <w:bCs/>
          <w:rtl/>
        </w:rPr>
        <w:t>:</w:t>
      </w:r>
    </w:p>
    <w:p w:rsidR="00C10469" w:rsidRDefault="00C10469" w:rsidP="00C10469">
      <w:pPr>
        <w:ind w:left="848" w:hanging="281"/>
        <w:rPr>
          <w:rtl/>
        </w:rPr>
      </w:pPr>
      <w:r>
        <w:rPr>
          <w:b/>
          <w:bCs/>
          <w:rtl/>
        </w:rPr>
        <w:lastRenderedPageBreak/>
        <w:t>•</w:t>
      </w:r>
      <w:r>
        <w:rPr>
          <w:rFonts w:hint="cs"/>
          <w:b/>
          <w:bCs/>
          <w:rtl/>
        </w:rPr>
        <w:t xml:space="preserve"> ومن فروع ذلك</w:t>
      </w:r>
      <w:r>
        <w:rPr>
          <w:rFonts w:hint="cs"/>
          <w:rtl/>
        </w:rPr>
        <w:t xml:space="preserve"> : </w:t>
      </w:r>
      <w:r>
        <w:rPr>
          <w:rFonts w:hint="eastAsia"/>
          <w:rtl/>
        </w:rPr>
        <w:t>«</w:t>
      </w:r>
      <w:r>
        <w:rPr>
          <w:rFonts w:hint="cs"/>
          <w:rtl/>
        </w:rPr>
        <w:t>ما لو كان لزيد على عمرو ألفٌ مثلاً، فبرهن عمرو على الأداء، أو الإبراء، فبرهن زيد</w:t>
      </w:r>
      <w:r>
        <w:rPr>
          <w:rStyle w:val="a7"/>
          <w:rtl/>
        </w:rPr>
        <w:footnoteReference w:id="822"/>
      </w:r>
      <w:r>
        <w:rPr>
          <w:rFonts w:hint="cs"/>
          <w:rtl/>
        </w:rPr>
        <w:t xml:space="preserve"> على أن له عليه ألفًا : لم تقبل حتى </w:t>
      </w:r>
      <w:r>
        <w:rPr>
          <w:rtl/>
        </w:rPr>
        <w:br/>
      </w:r>
      <w:r>
        <w:rPr>
          <w:rFonts w:hint="cs"/>
          <w:rtl/>
        </w:rPr>
        <w:t>[يبينوا]</w:t>
      </w:r>
      <w:r>
        <w:rPr>
          <w:rFonts w:hint="cs"/>
          <w:vertAlign w:val="superscript"/>
          <w:rtl/>
        </w:rPr>
        <w:t>(</w:t>
      </w:r>
      <w:r>
        <w:rPr>
          <w:rStyle w:val="a7"/>
          <w:rtl/>
        </w:rPr>
        <w:footnoteReference w:id="823"/>
      </w:r>
      <w:r>
        <w:rPr>
          <w:rFonts w:hint="cs"/>
          <w:vertAlign w:val="superscript"/>
          <w:rtl/>
        </w:rPr>
        <w:t>)</w:t>
      </w:r>
      <w:r>
        <w:rPr>
          <w:rFonts w:hint="cs"/>
          <w:rtl/>
        </w:rPr>
        <w:t xml:space="preserve"> أنها حادثة بعد الأداء، أو الإبراء</w:t>
      </w:r>
      <w:r>
        <w:rPr>
          <w:rFonts w:hint="eastAsia"/>
          <w:rtl/>
        </w:rPr>
        <w:t>»</w:t>
      </w:r>
      <w:r>
        <w:rPr>
          <w:rFonts w:hint="cs"/>
          <w:vertAlign w:val="superscript"/>
          <w:rtl/>
        </w:rPr>
        <w:t>(</w:t>
      </w:r>
      <w:r>
        <w:rPr>
          <w:rStyle w:val="a7"/>
          <w:rtl/>
        </w:rPr>
        <w:footnoteReference w:id="824"/>
      </w:r>
      <w:r>
        <w:rPr>
          <w:rFonts w:hint="cs"/>
          <w:vertAlign w:val="superscript"/>
          <w:rtl/>
        </w:rPr>
        <w:t>)</w:t>
      </w:r>
      <w:r>
        <w:rPr>
          <w:rFonts w:hint="cs"/>
          <w:rtl/>
        </w:rPr>
        <w:t>.</w:t>
      </w:r>
    </w:p>
    <w:p w:rsidR="00C10469" w:rsidRDefault="00C10469" w:rsidP="00C10469">
      <w:pPr>
        <w:ind w:left="848" w:hanging="128"/>
        <w:rPr>
          <w:rtl/>
        </w:rPr>
      </w:pPr>
      <w:r>
        <w:rPr>
          <w:rtl/>
        </w:rPr>
        <w:lastRenderedPageBreak/>
        <w:t>•</w:t>
      </w:r>
      <w:r>
        <w:rPr>
          <w:rFonts w:hint="cs"/>
          <w:rtl/>
        </w:rPr>
        <w:t xml:space="preserve"> وكذا : </w:t>
      </w:r>
      <w:r>
        <w:rPr>
          <w:rFonts w:hint="eastAsia"/>
          <w:rtl/>
        </w:rPr>
        <w:t>«</w:t>
      </w:r>
      <w:r>
        <w:rPr>
          <w:rFonts w:hint="cs"/>
          <w:rtl/>
        </w:rPr>
        <w:t>لو اختلف الزوجان بعد العدّة في الرجعة : فالقول لها؛ لأن الأصل</w:t>
      </w:r>
      <w:r>
        <w:rPr>
          <w:rFonts w:hint="eastAsia"/>
          <w:rtl/>
        </w:rPr>
        <w:t> </w:t>
      </w:r>
      <w:r>
        <w:rPr>
          <w:rFonts w:hint="cs"/>
          <w:rtl/>
        </w:rPr>
        <w:t>عدمها.</w:t>
      </w:r>
    </w:p>
    <w:p w:rsidR="00C10469" w:rsidRDefault="00C10469" w:rsidP="00C10469">
      <w:pPr>
        <w:rPr>
          <w:spacing w:val="-4"/>
          <w:rtl/>
        </w:rPr>
      </w:pPr>
      <w:r>
        <w:rPr>
          <w:rFonts w:hint="cs"/>
          <w:spacing w:val="-4"/>
          <w:rtl/>
        </w:rPr>
        <w:t xml:space="preserve">   ولو كانت العدة قائمة: فالقول له؛ لأنه يملك الإنشاء، فيملك الإخبار</w:t>
      </w:r>
      <w:r>
        <w:rPr>
          <w:rFonts w:hint="eastAsia"/>
          <w:spacing w:val="-4"/>
          <w:rtl/>
        </w:rPr>
        <w:t>»</w:t>
      </w:r>
      <w:r>
        <w:rPr>
          <w:rFonts w:hint="cs"/>
          <w:spacing w:val="-4"/>
          <w:vertAlign w:val="superscript"/>
          <w:rtl/>
        </w:rPr>
        <w:t>(</w:t>
      </w:r>
      <w:r>
        <w:rPr>
          <w:rStyle w:val="a7"/>
          <w:spacing w:val="-4"/>
          <w:rtl/>
        </w:rPr>
        <w:footnoteReference w:id="825"/>
      </w:r>
      <w:r>
        <w:rPr>
          <w:rFonts w:hint="cs"/>
          <w:spacing w:val="-4"/>
          <w:vertAlign w:val="superscript"/>
          <w:rtl/>
        </w:rPr>
        <w:t xml:space="preserve">) </w:t>
      </w:r>
      <w:r>
        <w:rPr>
          <w:rFonts w:hint="cs"/>
          <w:spacing w:val="-4"/>
          <w:rtl/>
        </w:rPr>
        <w:t>.</w:t>
      </w:r>
    </w:p>
    <w:p w:rsidR="00C10469" w:rsidRDefault="00C10469" w:rsidP="00C10469">
      <w:pPr>
        <w:ind w:right="720"/>
        <w:rPr>
          <w:rtl/>
        </w:rPr>
      </w:pPr>
      <w:r>
        <w:rPr>
          <w:rFonts w:hint="cs"/>
          <w:rtl/>
        </w:rPr>
        <w:t xml:space="preserve">   وفروع هذه القاعدة كثيرة، لا يكاد إحصاؤها</w:t>
      </w:r>
      <w:r>
        <w:rPr>
          <w:rStyle w:val="a7"/>
          <w:rtl/>
        </w:rPr>
        <w:footnoteReference w:id="826"/>
      </w:r>
      <w:r>
        <w:rPr>
          <w:rFonts w:hint="cs"/>
          <w:rtl/>
        </w:rPr>
        <w:t>.</w:t>
      </w:r>
    </w:p>
    <w:p w:rsidR="00C10469" w:rsidRDefault="00C10469">
      <w:pPr>
        <w:ind w:left="720" w:right="720" w:firstLine="720"/>
        <w:rPr>
          <w:rtl/>
        </w:rPr>
      </w:pPr>
    </w:p>
    <w:p w:rsidR="00C10469" w:rsidRDefault="00C10469">
      <w:pPr>
        <w:ind w:left="720" w:right="720" w:firstLine="720"/>
        <w:rPr>
          <w:rtl/>
        </w:rPr>
      </w:pPr>
    </w:p>
    <w:p w:rsidR="00C10469" w:rsidRDefault="00C10469">
      <w:pPr>
        <w:ind w:left="720" w:right="720" w:firstLine="720"/>
        <w:rPr>
          <w:rtl/>
        </w:rPr>
      </w:pPr>
    </w:p>
    <w:p w:rsidR="00C10469" w:rsidRPr="004C5808" w:rsidRDefault="00C10469">
      <w:pPr>
        <w:ind w:left="720" w:right="720" w:firstLine="720"/>
        <w:jc w:val="center"/>
        <w:rPr>
          <w:sz w:val="48"/>
          <w:szCs w:val="48"/>
          <w:rtl/>
        </w:rPr>
      </w:pPr>
      <w:r>
        <w:rPr>
          <w:rFonts w:ascii="AGA Arabesque" w:hAnsi="AGA Arabesque"/>
          <w:sz w:val="48"/>
          <w:szCs w:val="48"/>
        </w:rPr>
        <w:t></w:t>
      </w:r>
      <w:r>
        <w:rPr>
          <w:rFonts w:ascii="AGA Arabesque" w:hAnsi="AGA Arabesque"/>
          <w:sz w:val="48"/>
          <w:szCs w:val="48"/>
        </w:rPr>
        <w:t></w:t>
      </w:r>
      <w:r>
        <w:rPr>
          <w:rFonts w:ascii="AGA Arabesque" w:hAnsi="AGA Arabesque"/>
          <w:sz w:val="48"/>
          <w:szCs w:val="48"/>
        </w:rPr>
        <w:t></w:t>
      </w:r>
    </w:p>
    <w:p w:rsidR="00C10469" w:rsidRDefault="00C10469">
      <w:pPr>
        <w:ind w:left="720" w:right="720" w:firstLine="720"/>
        <w:rPr>
          <w:rtl/>
        </w:rPr>
      </w:pPr>
    </w:p>
    <w:p w:rsidR="00C10469" w:rsidRDefault="00C10469">
      <w:pPr>
        <w:ind w:left="720" w:right="720" w:firstLine="720"/>
        <w:rPr>
          <w:rtl/>
        </w:rPr>
        <w:sectPr w:rsidR="00C10469" w:rsidSect="00C10469">
          <w:headerReference w:type="default" r:id="rId8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43087" w:rsidRDefault="00C10469">
      <w:pPr>
        <w:pStyle w:val="a9"/>
        <w:rPr>
          <w:rFonts w:cs="AL-Mateen"/>
          <w:rtl/>
        </w:rPr>
      </w:pPr>
      <w:r w:rsidRPr="00743087">
        <w:rPr>
          <w:rFonts w:cs="AL-Mateen" w:hint="cs"/>
          <w:rtl/>
        </w:rPr>
        <w:lastRenderedPageBreak/>
        <w:t>[ القـاعـدة السـادسـة والعشـرون ]</w:t>
      </w:r>
    </w:p>
    <w:p w:rsidR="00C10469" w:rsidRDefault="00C10469">
      <w:pPr>
        <w:rPr>
          <w:b/>
          <w:bCs/>
          <w:rtl/>
        </w:rPr>
      </w:pPr>
      <w:r>
        <w:rPr>
          <w:rFonts w:cs="Monotype Koufi" w:hint="cs"/>
          <w:rtl/>
        </w:rPr>
        <w:t>الأَصْلُ بَرَاءَةُ الذِّمَّةِ</w:t>
      </w:r>
      <w:r>
        <w:rPr>
          <w:rFonts w:hint="cs"/>
          <w:vertAlign w:val="superscript"/>
          <w:rtl/>
        </w:rPr>
        <w:t>(</w:t>
      </w:r>
      <w:r>
        <w:rPr>
          <w:rStyle w:val="a7"/>
          <w:rtl/>
        </w:rPr>
        <w:footnoteReference w:id="827"/>
      </w:r>
      <w:r>
        <w:rPr>
          <w:rFonts w:hint="cs"/>
          <w:vertAlign w:val="superscript"/>
          <w:rtl/>
        </w:rPr>
        <w:t>)</w:t>
      </w:r>
      <w:r>
        <w:rPr>
          <w:rFonts w:hint="cs"/>
          <w:b/>
          <w:bCs/>
          <w:rtl/>
        </w:rPr>
        <w:t xml:space="preserve"> :</w:t>
      </w:r>
    </w:p>
    <w:p w:rsidR="00C10469" w:rsidRDefault="00C10469" w:rsidP="00C10469">
      <w:pPr>
        <w:ind w:left="848" w:hanging="281"/>
        <w:rPr>
          <w:rtl/>
        </w:rPr>
      </w:pPr>
      <w:r>
        <w:rPr>
          <w:rtl/>
        </w:rPr>
        <w:lastRenderedPageBreak/>
        <w:t>•</w:t>
      </w:r>
      <w:r>
        <w:rPr>
          <w:rFonts w:hint="cs"/>
          <w:rtl/>
        </w:rPr>
        <w:t xml:space="preserve"> </w:t>
      </w:r>
      <w:r>
        <w:rPr>
          <w:rFonts w:hint="eastAsia"/>
          <w:rtl/>
        </w:rPr>
        <w:t>«</w:t>
      </w:r>
      <w:r>
        <w:rPr>
          <w:rFonts w:hint="cs"/>
          <w:b/>
          <w:bCs/>
          <w:rtl/>
        </w:rPr>
        <w:t>ولذا</w:t>
      </w:r>
      <w:r>
        <w:rPr>
          <w:rFonts w:hint="cs"/>
          <w:rtl/>
        </w:rPr>
        <w:t xml:space="preserve"> : لم يُقْبَلْ في شـغـلـها شـاهدٌ واحد، [فلذا]</w:t>
      </w:r>
      <w:r>
        <w:rPr>
          <w:rStyle w:val="a7"/>
          <w:rtl/>
        </w:rPr>
        <w:footnoteReference w:id="828"/>
      </w:r>
      <w:r>
        <w:rPr>
          <w:rFonts w:hint="cs"/>
          <w:rtl/>
        </w:rPr>
        <w:t xml:space="preserve"> كان القول قول المدعى علـيـه؛ لـموافقة</w:t>
      </w:r>
      <w:r>
        <w:rPr>
          <w:rStyle w:val="a7"/>
          <w:rtl/>
        </w:rPr>
        <w:footnoteReference w:id="829"/>
      </w:r>
      <w:r>
        <w:rPr>
          <w:rFonts w:hint="cs"/>
          <w:rtl/>
        </w:rPr>
        <w:t xml:space="preserve"> الأصـل، والبينة على المدَّعي؛ لدعواه ما خَالفَ</w:t>
      </w:r>
      <w:r>
        <w:rPr>
          <w:rFonts w:hint="eastAsia"/>
          <w:rtl/>
        </w:rPr>
        <w:t> </w:t>
      </w:r>
      <w:r>
        <w:rPr>
          <w:rFonts w:hint="cs"/>
          <w:rtl/>
        </w:rPr>
        <w:t>الأصل</w:t>
      </w:r>
      <w:r>
        <w:rPr>
          <w:rFonts w:hint="eastAsia"/>
          <w:rtl/>
        </w:rPr>
        <w:t>»</w:t>
      </w:r>
      <w:r>
        <w:rPr>
          <w:rFonts w:hint="cs"/>
          <w:vertAlign w:val="superscript"/>
          <w:rtl/>
        </w:rPr>
        <w:t>(</w:t>
      </w:r>
      <w:r>
        <w:rPr>
          <w:rStyle w:val="a7"/>
          <w:rtl/>
        </w:rPr>
        <w:footnoteReference w:id="830"/>
      </w:r>
      <w:r>
        <w:rPr>
          <w:rFonts w:hint="cs"/>
          <w:vertAlign w:val="superscript"/>
          <w:rtl/>
        </w:rPr>
        <w:t>)</w:t>
      </w:r>
      <w:r>
        <w:rPr>
          <w:rFonts w:hint="cs"/>
          <w:rtl/>
        </w:rPr>
        <w:t>.</w:t>
      </w:r>
    </w:p>
    <w:p w:rsidR="00C10469" w:rsidRDefault="00C10469" w:rsidP="00C10469">
      <w:pPr>
        <w:ind w:left="848" w:hanging="281"/>
        <w:rPr>
          <w:rtl/>
        </w:rPr>
      </w:pPr>
      <w:r>
        <w:rPr>
          <w:rtl/>
        </w:rPr>
        <w:t>•</w:t>
      </w:r>
      <w:r>
        <w:rPr>
          <w:rFonts w:hint="cs"/>
          <w:rtl/>
        </w:rPr>
        <w:t xml:space="preserve"> </w:t>
      </w:r>
      <w:r>
        <w:rPr>
          <w:rFonts w:hint="eastAsia"/>
          <w:rtl/>
        </w:rPr>
        <w:t>«</w:t>
      </w:r>
      <w:r>
        <w:rPr>
          <w:rFonts w:hint="cs"/>
          <w:rtl/>
        </w:rPr>
        <w:t>ولو أقَـرّ بشيء أو حق: قُبِلَ</w:t>
      </w:r>
      <w:r>
        <w:rPr>
          <w:rStyle w:val="a7"/>
          <w:rtl/>
        </w:rPr>
        <w:footnoteReference w:id="831"/>
      </w:r>
      <w:r>
        <w:rPr>
          <w:rFonts w:hint="cs"/>
          <w:rtl/>
        </w:rPr>
        <w:t xml:space="preserve"> تفسيرُه بِمَالَهُ قيمةٌ؛ فالقـول</w:t>
      </w:r>
      <w:r>
        <w:rPr>
          <w:rFonts w:hint="cs"/>
          <w:vertAlign w:val="superscript"/>
          <w:rtl/>
        </w:rPr>
        <w:t>(</w:t>
      </w:r>
      <w:r>
        <w:rPr>
          <w:rStyle w:val="a7"/>
          <w:rtl/>
        </w:rPr>
        <w:footnoteReference w:id="832"/>
      </w:r>
      <w:r>
        <w:rPr>
          <w:rFonts w:hint="cs"/>
          <w:vertAlign w:val="superscript"/>
          <w:rtl/>
        </w:rPr>
        <w:t>)</w:t>
      </w:r>
      <w:r>
        <w:rPr>
          <w:rFonts w:hint="cs"/>
          <w:rtl/>
        </w:rPr>
        <w:t xml:space="preserve"> للمـقرّ مع</w:t>
      </w:r>
      <w:r>
        <w:rPr>
          <w:rFonts w:hint="eastAsia"/>
          <w:rtl/>
        </w:rPr>
        <w:t> </w:t>
      </w:r>
      <w:r>
        <w:rPr>
          <w:rFonts w:hint="cs"/>
          <w:rtl/>
        </w:rPr>
        <w:t>يمينه</w:t>
      </w:r>
      <w:r>
        <w:rPr>
          <w:rFonts w:hint="eastAsia"/>
          <w:rtl/>
        </w:rPr>
        <w:t>»</w:t>
      </w:r>
      <w:r>
        <w:rPr>
          <w:rFonts w:hint="cs"/>
          <w:vertAlign w:val="superscript"/>
          <w:rtl/>
        </w:rPr>
        <w:t>(</w:t>
      </w:r>
      <w:r>
        <w:rPr>
          <w:rStyle w:val="a7"/>
          <w:rtl/>
        </w:rPr>
        <w:footnoteReference w:id="833"/>
      </w:r>
      <w:r>
        <w:rPr>
          <w:rFonts w:hint="cs"/>
          <w:vertAlign w:val="superscript"/>
          <w:rtl/>
        </w:rPr>
        <w:t>)</w:t>
      </w:r>
      <w:r>
        <w:rPr>
          <w:rFonts w:hint="cs"/>
          <w:rtl/>
        </w:rPr>
        <w:t>.</w:t>
      </w:r>
    </w:p>
    <w:p w:rsidR="00C10469" w:rsidRDefault="00C10469" w:rsidP="00C10469">
      <w:pPr>
        <w:ind w:left="848" w:hanging="281"/>
        <w:rPr>
          <w:rtl/>
        </w:rPr>
      </w:pPr>
      <w:r>
        <w:rPr>
          <w:rtl/>
        </w:rPr>
        <w:t>•</w:t>
      </w:r>
      <w:r>
        <w:rPr>
          <w:rFonts w:hint="cs"/>
          <w:rtl/>
        </w:rPr>
        <w:t xml:space="preserve"> </w:t>
      </w:r>
      <w:r>
        <w:rPr>
          <w:rFonts w:hint="eastAsia"/>
          <w:rtl/>
        </w:rPr>
        <w:t>«</w:t>
      </w:r>
      <w:r>
        <w:rPr>
          <w:rFonts w:hint="cs"/>
          <w:b/>
          <w:bCs/>
          <w:rtl/>
        </w:rPr>
        <w:t>ولا يرد عليه</w:t>
      </w:r>
      <w:r>
        <w:rPr>
          <w:rFonts w:hint="cs"/>
          <w:rtl/>
        </w:rPr>
        <w:t xml:space="preserve"> : ما لو أقـرّ بدراهم، فـإنهم قـالوا : يلزمه ثلاثة دراهم؛ لأنها أقـل الجمع، مع أن فيه اختـلافًا، فقيل : أقله اثنـتان</w:t>
      </w:r>
      <w:r>
        <w:rPr>
          <w:rStyle w:val="a7"/>
          <w:rtl/>
        </w:rPr>
        <w:footnoteReference w:id="834"/>
      </w:r>
      <w:r>
        <w:rPr>
          <w:rFonts w:hint="cs"/>
          <w:rtl/>
        </w:rPr>
        <w:t>، فينبغي أن يحمل</w:t>
      </w:r>
      <w:r>
        <w:rPr>
          <w:rFonts w:hint="eastAsia"/>
          <w:rtl/>
        </w:rPr>
        <w:t> </w:t>
      </w:r>
      <w:r>
        <w:rPr>
          <w:rFonts w:hint="cs"/>
          <w:rtl/>
        </w:rPr>
        <w:t xml:space="preserve">عليه؛ لأن الأصل البراءة ! </w:t>
      </w:r>
    </w:p>
    <w:p w:rsidR="00C10469" w:rsidRDefault="00C10469">
      <w:pPr>
        <w:rPr>
          <w:rtl/>
        </w:rPr>
      </w:pPr>
      <w:r>
        <w:rPr>
          <w:rFonts w:hint="cs"/>
          <w:b/>
          <w:bCs/>
          <w:rtl/>
        </w:rPr>
        <w:lastRenderedPageBreak/>
        <w:t xml:space="preserve">   لأنا نقول</w:t>
      </w:r>
      <w:r>
        <w:rPr>
          <w:rFonts w:hint="cs"/>
          <w:rtl/>
        </w:rPr>
        <w:t xml:space="preserve"> : المشهور أنه ثلاثة، وعليه يُبْنى الإقرار</w:t>
      </w:r>
      <w:r>
        <w:rPr>
          <w:rFonts w:hint="eastAsia"/>
          <w:rtl/>
        </w:rPr>
        <w:t>»</w:t>
      </w:r>
      <w:r>
        <w:rPr>
          <w:rFonts w:hint="cs"/>
          <w:vertAlign w:val="superscript"/>
          <w:rtl/>
        </w:rPr>
        <w:t>(</w:t>
      </w:r>
      <w:r>
        <w:rPr>
          <w:rStyle w:val="a7"/>
          <w:rtl/>
        </w:rPr>
        <w:footnoteReference w:id="835"/>
      </w:r>
      <w:r>
        <w:rPr>
          <w:rFonts w:hint="cs"/>
          <w:vertAlign w:val="superscript"/>
          <w:rtl/>
        </w:rPr>
        <w:t>)</w:t>
      </w:r>
      <w:r>
        <w:rPr>
          <w:rFonts w:hint="cs"/>
          <w:rtl/>
        </w:rPr>
        <w:t>.</w:t>
      </w:r>
    </w:p>
    <w:p w:rsidR="00C10469" w:rsidRDefault="00C10469">
      <w:pPr>
        <w:rPr>
          <w:rtl/>
        </w:rPr>
      </w:pPr>
      <w:r>
        <w:rPr>
          <w:rFonts w:hint="cs"/>
          <w:rtl/>
        </w:rPr>
        <w:t xml:space="preserve">   وفروعها كثيرة.</w:t>
      </w:r>
    </w:p>
    <w:p w:rsidR="00C10469" w:rsidRDefault="00C10469" w:rsidP="00C10469">
      <w:pPr>
        <w:ind w:left="848" w:hanging="281"/>
        <w:rPr>
          <w:rtl/>
        </w:rPr>
      </w:pPr>
      <w:r>
        <w:rPr>
          <w:b/>
          <w:bCs/>
          <w:rtl/>
        </w:rPr>
        <w:t>•</w:t>
      </w:r>
      <w:r>
        <w:rPr>
          <w:rFonts w:hint="cs"/>
          <w:b/>
          <w:bCs/>
          <w:rtl/>
        </w:rPr>
        <w:t xml:space="preserve"> وقال أبو يوسف</w:t>
      </w:r>
      <w:r>
        <w:rPr>
          <w:rFonts w:hint="cs"/>
          <w:rtl/>
        </w:rPr>
        <w:t xml:space="preserve"> : إذا اسـتيـقظ من النوم فوجد على فخده أو فراشه بللاً، فشكَّ أنه منِيٌّ أو مذي : لا يجب عليه الغُسلُ حتى يـتـذكر الاحتـلام؛ لأن </w:t>
      </w:r>
      <w:r>
        <w:rPr>
          <w:rFonts w:hint="eastAsia"/>
          <w:rtl/>
        </w:rPr>
        <w:t>«</w:t>
      </w:r>
      <w:r>
        <w:rPr>
          <w:rFonts w:hint="cs"/>
          <w:rtl/>
        </w:rPr>
        <w:t>الأصل براءة الذمة</w:t>
      </w:r>
      <w:r>
        <w:rPr>
          <w:rFonts w:hint="eastAsia"/>
          <w:rtl/>
        </w:rPr>
        <w:t>»</w:t>
      </w:r>
      <w:r>
        <w:rPr>
          <w:rStyle w:val="a7"/>
          <w:rtl/>
        </w:rPr>
        <w:footnoteReference w:id="836"/>
      </w:r>
      <w:r>
        <w:rPr>
          <w:rFonts w:hint="cs"/>
          <w:rtl/>
        </w:rPr>
        <w:t>، فـلا يجب إلا بيقين.</w:t>
      </w:r>
    </w:p>
    <w:p w:rsidR="00C10469" w:rsidRDefault="00C10469">
      <w:pPr>
        <w:rPr>
          <w:rtl/>
        </w:rPr>
      </w:pPr>
      <w:r>
        <w:rPr>
          <w:rFonts w:hint="cs"/>
          <w:b/>
          <w:bCs/>
          <w:rtl/>
        </w:rPr>
        <w:lastRenderedPageBreak/>
        <w:t>وقالا</w:t>
      </w:r>
      <w:r>
        <w:rPr>
          <w:rFonts w:hint="cs"/>
          <w:vertAlign w:val="superscript"/>
          <w:rtl/>
        </w:rPr>
        <w:t>(</w:t>
      </w:r>
      <w:r>
        <w:rPr>
          <w:rStyle w:val="a7"/>
          <w:rtl/>
        </w:rPr>
        <w:footnoteReference w:id="837"/>
      </w:r>
      <w:r>
        <w:rPr>
          <w:rFonts w:hint="cs"/>
          <w:vertAlign w:val="superscript"/>
          <w:rtl/>
        </w:rPr>
        <w:t>)</w:t>
      </w:r>
      <w:r>
        <w:rPr>
          <w:rFonts w:hint="cs"/>
          <w:rtl/>
        </w:rPr>
        <w:t xml:space="preserve"> : إن النائم غافل والمنِيُّ قد يرقُّ بالهواء، فيصير مثل المذي، فيجب عليه الغسل</w:t>
      </w:r>
      <w:r>
        <w:rPr>
          <w:rStyle w:val="a7"/>
          <w:rtl/>
        </w:rPr>
        <w:footnoteReference w:id="838"/>
      </w:r>
      <w:r>
        <w:rPr>
          <w:rFonts w:hint="cs"/>
          <w:rtl/>
        </w:rPr>
        <w:t xml:space="preserve"> احتياطًا</w:t>
      </w:r>
      <w:r>
        <w:rPr>
          <w:rFonts w:hint="cs"/>
          <w:vertAlign w:val="superscript"/>
          <w:rtl/>
        </w:rPr>
        <w:t>(</w:t>
      </w:r>
      <w:r>
        <w:rPr>
          <w:rStyle w:val="a7"/>
          <w:rtl/>
        </w:rPr>
        <w:footnoteReference w:id="839"/>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82"/>
          <w:footerReference w:type="default" r:id="rId8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31310" w:rsidRDefault="00C10469">
      <w:pPr>
        <w:pStyle w:val="a9"/>
        <w:rPr>
          <w:rFonts w:cs="AL-Mateen"/>
          <w:rtl/>
        </w:rPr>
      </w:pPr>
      <w:r w:rsidRPr="00031310">
        <w:rPr>
          <w:rFonts w:cs="AL-Mateen" w:hint="cs"/>
          <w:rtl/>
        </w:rPr>
        <w:lastRenderedPageBreak/>
        <w:t>[ القـاعـدة السـابعـة والعشـرون ]</w:t>
      </w:r>
    </w:p>
    <w:p w:rsidR="00C10469" w:rsidRDefault="00C10469">
      <w:pPr>
        <w:rPr>
          <w:b/>
          <w:bCs/>
          <w:rtl/>
        </w:rPr>
      </w:pPr>
      <w:r>
        <w:rPr>
          <w:rFonts w:cs="Monotype Koufi" w:hint="cs"/>
          <w:rtl/>
        </w:rPr>
        <w:t>الأَصْلُ العَدَمُ فِي الصِّفَاتِ العَارِضَةِ</w:t>
      </w:r>
      <w:r>
        <w:rPr>
          <w:rFonts w:hint="cs"/>
          <w:vertAlign w:val="superscript"/>
          <w:rtl/>
        </w:rPr>
        <w:t>(</w:t>
      </w:r>
      <w:r>
        <w:rPr>
          <w:rStyle w:val="a7"/>
          <w:rtl/>
        </w:rPr>
        <w:footnoteReference w:id="840"/>
      </w:r>
      <w:r>
        <w:rPr>
          <w:rFonts w:hint="cs"/>
          <w:vertAlign w:val="superscript"/>
          <w:rtl/>
        </w:rPr>
        <w:t>)</w:t>
      </w:r>
      <w:r>
        <w:rPr>
          <w:rFonts w:hint="cs"/>
          <w:b/>
          <w:bCs/>
          <w:rtl/>
        </w:rPr>
        <w:t xml:space="preserve"> :</w:t>
      </w:r>
    </w:p>
    <w:p w:rsidR="00C10469" w:rsidRDefault="00C10469" w:rsidP="00C10469">
      <w:pPr>
        <w:rPr>
          <w:rtl/>
        </w:rPr>
      </w:pPr>
      <w:r>
        <w:rPr>
          <w:rtl/>
        </w:rPr>
        <w:lastRenderedPageBreak/>
        <w:t>•</w:t>
      </w:r>
      <w:r>
        <w:rPr>
          <w:rFonts w:hint="cs"/>
          <w:rtl/>
        </w:rPr>
        <w:t xml:space="preserve"> فالقول للمضارب (أنه لم يربح)؛ لأن الأصل فيه عدمه.</w:t>
      </w:r>
    </w:p>
    <w:p w:rsidR="00C10469" w:rsidRDefault="00C10469" w:rsidP="00C10469">
      <w:pPr>
        <w:rPr>
          <w:rtl/>
        </w:rPr>
      </w:pPr>
      <w:r>
        <w:rPr>
          <w:rtl/>
        </w:rPr>
        <w:t>•</w:t>
      </w:r>
      <w:r>
        <w:rPr>
          <w:rFonts w:hint="cs"/>
          <w:rtl/>
        </w:rPr>
        <w:t xml:space="preserve"> وكذا لو قال : لم أربح إلاّ كذا؛ لأن الأصل عَدَمُ زِيَادَةٍ</w:t>
      </w:r>
      <w:r>
        <w:rPr>
          <w:rFonts w:hint="cs"/>
          <w:vertAlign w:val="superscript"/>
          <w:rtl/>
        </w:rPr>
        <w:t>(</w:t>
      </w:r>
      <w:r>
        <w:rPr>
          <w:rStyle w:val="a7"/>
          <w:rtl/>
        </w:rPr>
        <w:footnoteReference w:id="841"/>
      </w:r>
      <w:r>
        <w:rPr>
          <w:rFonts w:hint="cs"/>
          <w:vertAlign w:val="superscript"/>
          <w:rtl/>
        </w:rPr>
        <w:t>)</w:t>
      </w:r>
      <w:r>
        <w:rPr>
          <w:rFonts w:hint="cs"/>
          <w:rtl/>
        </w:rPr>
        <w:t>.</w:t>
      </w:r>
    </w:p>
    <w:p w:rsidR="00C10469" w:rsidRDefault="00C10469" w:rsidP="00C10469">
      <w:pPr>
        <w:ind w:left="720" w:firstLine="0"/>
        <w:rPr>
          <w:spacing w:val="-4"/>
          <w:rtl/>
        </w:rPr>
      </w:pPr>
      <w:r>
        <w:rPr>
          <w:rFonts w:hint="cs"/>
          <w:b/>
          <w:bCs/>
          <w:spacing w:val="-4"/>
          <w:rtl/>
        </w:rPr>
        <w:t>ولا يرد عليه</w:t>
      </w:r>
      <w:r>
        <w:rPr>
          <w:rFonts w:hint="cs"/>
          <w:spacing w:val="-4"/>
          <w:rtl/>
        </w:rPr>
        <w:t xml:space="preserve"> : إذا أتى المضاربُ بألفين، وقال : هما أصلٌ وربحٌ. وقال ربّ المال: بل  هما أصل : فالقول للمضارب، مع أن الأصل عدم الربح</w:t>
      </w:r>
      <w:r>
        <w:rPr>
          <w:rStyle w:val="a7"/>
          <w:spacing w:val="-4"/>
          <w:rtl/>
        </w:rPr>
        <w:footnoteReference w:id="842"/>
      </w:r>
      <w:r>
        <w:rPr>
          <w:rFonts w:hint="cs"/>
          <w:spacing w:val="-4"/>
          <w:rtl/>
        </w:rPr>
        <w:t xml:space="preserve">!. </w:t>
      </w:r>
    </w:p>
    <w:p w:rsidR="00C10469" w:rsidRDefault="00C10469" w:rsidP="00C10469">
      <w:pPr>
        <w:ind w:firstLine="720"/>
        <w:rPr>
          <w:rtl/>
        </w:rPr>
      </w:pPr>
      <w:r>
        <w:rPr>
          <w:rFonts w:hint="cs"/>
          <w:b/>
          <w:bCs/>
          <w:rtl/>
        </w:rPr>
        <w:t>لأن</w:t>
      </w:r>
      <w:r>
        <w:rPr>
          <w:rFonts w:hint="cs"/>
          <w:rtl/>
        </w:rPr>
        <w:t xml:space="preserve"> فيه [أصْلاً]</w:t>
      </w:r>
      <w:r>
        <w:rPr>
          <w:rStyle w:val="a7"/>
          <w:rtl/>
        </w:rPr>
        <w:footnoteReference w:id="843"/>
      </w:r>
      <w:r>
        <w:rPr>
          <w:rFonts w:hint="cs"/>
          <w:rtl/>
        </w:rPr>
        <w:t xml:space="preserve"> آخرَ، وهو أنَّ : </w:t>
      </w:r>
      <w:r>
        <w:rPr>
          <w:rFonts w:hint="eastAsia"/>
          <w:rtl/>
        </w:rPr>
        <w:t>«</w:t>
      </w:r>
      <w:r>
        <w:rPr>
          <w:rFonts w:hint="cs"/>
          <w:rtl/>
        </w:rPr>
        <w:t xml:space="preserve">القولَ قولُ القابض في مقدار ما </w:t>
      </w:r>
      <w:r>
        <w:rPr>
          <w:rtl/>
        </w:rPr>
        <w:br/>
      </w:r>
      <w:r>
        <w:rPr>
          <w:rFonts w:hint="cs"/>
          <w:rtl/>
        </w:rPr>
        <w:t xml:space="preserve">        قبضه</w:t>
      </w:r>
      <w:r>
        <w:rPr>
          <w:rFonts w:hint="eastAsia"/>
          <w:rtl/>
        </w:rPr>
        <w:t>»</w:t>
      </w:r>
      <w:r>
        <w:rPr>
          <w:rFonts w:hint="cs"/>
          <w:vertAlign w:val="superscript"/>
          <w:rtl/>
        </w:rPr>
        <w:t>(</w:t>
      </w:r>
      <w:r>
        <w:rPr>
          <w:rStyle w:val="a7"/>
          <w:rtl/>
        </w:rPr>
        <w:footnoteReference w:id="844"/>
      </w:r>
      <w:r>
        <w:rPr>
          <w:rFonts w:hint="cs"/>
          <w:vertAlign w:val="superscript"/>
          <w:rtl/>
        </w:rPr>
        <w:t>) (</w:t>
      </w:r>
      <w:r>
        <w:rPr>
          <w:rStyle w:val="a7"/>
          <w:rtl/>
        </w:rPr>
        <w:footnoteReference w:id="845"/>
      </w:r>
      <w:r>
        <w:rPr>
          <w:rFonts w:hint="cs"/>
          <w:vertAlign w:val="superscript"/>
          <w:rtl/>
        </w:rPr>
        <w:t>)</w:t>
      </w:r>
      <w:r>
        <w:rPr>
          <w:rFonts w:hint="cs"/>
          <w:rtl/>
        </w:rPr>
        <w:t>.</w:t>
      </w:r>
    </w:p>
    <w:p w:rsidR="00C10469" w:rsidRDefault="00C10469" w:rsidP="00C10469">
      <w:pPr>
        <w:ind w:left="848" w:hanging="281"/>
        <w:rPr>
          <w:rtl/>
        </w:rPr>
      </w:pPr>
      <w:r>
        <w:rPr>
          <w:spacing w:val="-4"/>
          <w:rtl/>
        </w:rPr>
        <w:t>•</w:t>
      </w:r>
      <w:r>
        <w:rPr>
          <w:rFonts w:hint="cs"/>
          <w:spacing w:val="-4"/>
          <w:rtl/>
        </w:rPr>
        <w:t xml:space="preserve"> قال صاحب (الأشباه) : </w:t>
      </w:r>
      <w:r>
        <w:rPr>
          <w:rFonts w:hint="eastAsia"/>
          <w:spacing w:val="-4"/>
          <w:rtl/>
        </w:rPr>
        <w:t>«</w:t>
      </w:r>
      <w:r>
        <w:rPr>
          <w:rFonts w:hint="cs"/>
          <w:spacing w:val="-4"/>
          <w:rtl/>
        </w:rPr>
        <w:t xml:space="preserve">لو ادعت المرأة النفقـة على الـزوج بعد </w:t>
      </w:r>
      <w:r>
        <w:rPr>
          <w:rFonts w:hint="cs"/>
          <w:spacing w:val="-4"/>
          <w:rtl/>
        </w:rPr>
        <w:lastRenderedPageBreak/>
        <w:t>فـرضها،</w:t>
      </w:r>
      <w:r>
        <w:rPr>
          <w:rFonts w:hint="eastAsia"/>
          <w:spacing w:val="-4"/>
          <w:rtl/>
        </w:rPr>
        <w:t> </w:t>
      </w:r>
      <w:r>
        <w:rPr>
          <w:rFonts w:hint="cs"/>
          <w:spacing w:val="-4"/>
          <w:rtl/>
        </w:rPr>
        <w:t>فادعى</w:t>
      </w:r>
      <w:r>
        <w:rPr>
          <w:rFonts w:hint="cs"/>
          <w:spacing w:val="-4"/>
          <w:vertAlign w:val="superscript"/>
          <w:rtl/>
        </w:rPr>
        <w:t>(</w:t>
      </w:r>
      <w:r>
        <w:rPr>
          <w:rStyle w:val="a7"/>
          <w:spacing w:val="-4"/>
          <w:rtl/>
        </w:rPr>
        <w:footnoteReference w:id="846"/>
      </w:r>
      <w:r>
        <w:rPr>
          <w:rFonts w:hint="cs"/>
          <w:spacing w:val="-4"/>
          <w:vertAlign w:val="superscript"/>
          <w:rtl/>
        </w:rPr>
        <w:t>)</w:t>
      </w:r>
      <w:r>
        <w:rPr>
          <w:rFonts w:hint="cs"/>
          <w:spacing w:val="-4"/>
          <w:rtl/>
        </w:rPr>
        <w:t xml:space="preserve"> الوصولَ إليها، فأنـكرت</w:t>
      </w:r>
      <w:r>
        <w:rPr>
          <w:rFonts w:hint="cs"/>
          <w:spacing w:val="-4"/>
          <w:vertAlign w:val="superscript"/>
          <w:rtl/>
        </w:rPr>
        <w:t>(</w:t>
      </w:r>
      <w:r>
        <w:rPr>
          <w:rStyle w:val="a7"/>
          <w:spacing w:val="-4"/>
          <w:rtl/>
        </w:rPr>
        <w:footnoteReference w:id="847"/>
      </w:r>
      <w:r>
        <w:rPr>
          <w:rFonts w:hint="cs"/>
          <w:spacing w:val="-4"/>
          <w:vertAlign w:val="superscript"/>
          <w:rtl/>
        </w:rPr>
        <w:t>)</w:t>
      </w:r>
      <w:r>
        <w:rPr>
          <w:rFonts w:hint="cs"/>
          <w:spacing w:val="-4"/>
          <w:rtl/>
        </w:rPr>
        <w:t xml:space="preserve"> : فالـقول لهـا؛ كالدائن   إذا</w:t>
      </w:r>
      <w:r>
        <w:rPr>
          <w:rFonts w:hint="eastAsia"/>
          <w:spacing w:val="-4"/>
          <w:rtl/>
        </w:rPr>
        <w:t> </w:t>
      </w:r>
      <w:r>
        <w:rPr>
          <w:rFonts w:hint="cs"/>
          <w:spacing w:val="-4"/>
          <w:rtl/>
        </w:rPr>
        <w:t>أنكر وصول الدين</w:t>
      </w:r>
      <w:r>
        <w:rPr>
          <w:rStyle w:val="a7"/>
          <w:spacing w:val="-4"/>
          <w:rtl/>
        </w:rPr>
        <w:footnoteReference w:id="848"/>
      </w:r>
      <w:r>
        <w:rPr>
          <w:rFonts w:hint="cs"/>
          <w:spacing w:val="-4"/>
          <w:rtl/>
        </w:rPr>
        <w:t>.</w:t>
      </w:r>
    </w:p>
    <w:p w:rsidR="00C10469" w:rsidRDefault="00C10469" w:rsidP="00C10469">
      <w:pPr>
        <w:ind w:left="848" w:hanging="128"/>
        <w:rPr>
          <w:rtl/>
        </w:rPr>
      </w:pPr>
      <w:r>
        <w:rPr>
          <w:rFonts w:hint="cs"/>
          <w:rtl/>
        </w:rPr>
        <w:t xml:space="preserve">  ولو ادعت</w:t>
      </w:r>
      <w:r>
        <w:rPr>
          <w:rFonts w:hint="cs"/>
          <w:vertAlign w:val="superscript"/>
          <w:rtl/>
        </w:rPr>
        <w:t>(</w:t>
      </w:r>
      <w:r>
        <w:rPr>
          <w:rStyle w:val="a7"/>
          <w:rtl/>
        </w:rPr>
        <w:footnoteReference w:id="849"/>
      </w:r>
      <w:r>
        <w:rPr>
          <w:rFonts w:hint="cs"/>
          <w:vertAlign w:val="superscript"/>
          <w:rtl/>
        </w:rPr>
        <w:t>)</w:t>
      </w:r>
      <w:r>
        <w:rPr>
          <w:rFonts w:hint="cs"/>
          <w:rtl/>
        </w:rPr>
        <w:t xml:space="preserve"> المرأة نفقة أولادها</w:t>
      </w:r>
      <w:r>
        <w:rPr>
          <w:rStyle w:val="a7"/>
          <w:rtl/>
        </w:rPr>
        <w:footnoteReference w:id="850"/>
      </w:r>
      <w:r>
        <w:rPr>
          <w:rFonts w:hint="cs"/>
          <w:rtl/>
        </w:rPr>
        <w:t xml:space="preserve"> الصغار بعد فرضها، وادّعى الأب الإنفاق:</w:t>
      </w:r>
      <w:r>
        <w:rPr>
          <w:rFonts w:hint="eastAsia"/>
          <w:rtl/>
        </w:rPr>
        <w:t> </w:t>
      </w:r>
      <w:r>
        <w:rPr>
          <w:rFonts w:hint="cs"/>
          <w:rtl/>
        </w:rPr>
        <w:t>فالقول له مع اليمين - كما</w:t>
      </w:r>
      <w:r>
        <w:rPr>
          <w:rStyle w:val="a7"/>
          <w:rtl/>
        </w:rPr>
        <w:footnoteReference w:id="851"/>
      </w:r>
      <w:r>
        <w:rPr>
          <w:rFonts w:hint="cs"/>
          <w:rtl/>
        </w:rPr>
        <w:t xml:space="preserve"> في (الخانية)</w:t>
      </w:r>
      <w:r>
        <w:rPr>
          <w:rFonts w:hint="cs"/>
          <w:vertAlign w:val="superscript"/>
          <w:rtl/>
        </w:rPr>
        <w:t xml:space="preserve"> (</w:t>
      </w:r>
      <w:r>
        <w:rPr>
          <w:rStyle w:val="a7"/>
          <w:rtl/>
        </w:rPr>
        <w:footnoteReference w:id="852"/>
      </w:r>
      <w:r>
        <w:rPr>
          <w:rFonts w:hint="cs"/>
          <w:vertAlign w:val="superscript"/>
          <w:rtl/>
        </w:rPr>
        <w:t>)</w:t>
      </w:r>
      <w:r>
        <w:rPr>
          <w:rFonts w:hint="cs"/>
          <w:rtl/>
        </w:rPr>
        <w:t>-.</w:t>
      </w:r>
    </w:p>
    <w:p w:rsidR="00C10469" w:rsidRDefault="00C10469">
      <w:pPr>
        <w:rPr>
          <w:rtl/>
        </w:rPr>
      </w:pPr>
      <w:r>
        <w:rPr>
          <w:rFonts w:hint="cs"/>
          <w:rtl/>
        </w:rPr>
        <w:lastRenderedPageBreak/>
        <w:t xml:space="preserve">والثانية </w:t>
      </w:r>
      <w:r>
        <w:rPr>
          <w:rFonts w:hint="cs"/>
          <w:b/>
          <w:bCs/>
          <w:rtl/>
        </w:rPr>
        <w:t>خرجت</w:t>
      </w:r>
      <w:r>
        <w:rPr>
          <w:rFonts w:hint="cs"/>
          <w:rtl/>
        </w:rPr>
        <w:t xml:space="preserve"> عن القاعدة فليتأمل</w:t>
      </w:r>
      <w:r>
        <w:rPr>
          <w:rFonts w:hint="eastAsia"/>
          <w:rtl/>
        </w:rPr>
        <w:t>»</w:t>
      </w:r>
      <w:r>
        <w:rPr>
          <w:rFonts w:hint="cs"/>
          <w:vertAlign w:val="superscript"/>
          <w:rtl/>
        </w:rPr>
        <w:t>(</w:t>
      </w:r>
      <w:r>
        <w:rPr>
          <w:rStyle w:val="a7"/>
          <w:rtl/>
        </w:rPr>
        <w:footnoteReference w:id="853"/>
      </w:r>
      <w:r>
        <w:rPr>
          <w:rFonts w:hint="cs"/>
          <w:vertAlign w:val="superscript"/>
          <w:rtl/>
        </w:rPr>
        <w:t>)</w:t>
      </w:r>
      <w:r>
        <w:rPr>
          <w:rFonts w:hint="cs"/>
          <w:rtl/>
        </w:rPr>
        <w:t>.</w:t>
      </w:r>
    </w:p>
    <w:p w:rsidR="00C10469" w:rsidRDefault="00C10469">
      <w:pPr>
        <w:rPr>
          <w:rtl/>
        </w:rPr>
      </w:pPr>
      <w:r>
        <w:rPr>
          <w:rFonts w:hint="cs"/>
          <w:b/>
          <w:bCs/>
          <w:rtl/>
        </w:rPr>
        <w:t>أقول</w:t>
      </w:r>
      <w:r>
        <w:rPr>
          <w:rStyle w:val="a7"/>
          <w:rtl/>
        </w:rPr>
        <w:footnoteReference w:id="854"/>
      </w:r>
      <w:r>
        <w:rPr>
          <w:rFonts w:hint="cs"/>
          <w:rtl/>
        </w:rPr>
        <w:t xml:space="preserve"> : الفرق بين المسألتين : أن المرأة في </w:t>
      </w:r>
      <w:r>
        <w:rPr>
          <w:rFonts w:hint="cs"/>
          <w:b/>
          <w:bCs/>
          <w:rtl/>
        </w:rPr>
        <w:t>المسألة الأولى</w:t>
      </w:r>
      <w:r>
        <w:rPr>
          <w:rFonts w:hint="cs"/>
          <w:rtl/>
        </w:rPr>
        <w:t xml:space="preserve"> أنكرت وصول</w:t>
      </w:r>
      <w:r>
        <w:rPr>
          <w:rStyle w:val="a7"/>
          <w:rtl/>
        </w:rPr>
        <w:footnoteReference w:id="855"/>
      </w:r>
      <w:r>
        <w:rPr>
          <w:rFonts w:hint="cs"/>
          <w:rtl/>
        </w:rPr>
        <w:t xml:space="preserve"> النفقة إليها : فالقول لها مع اليمين، وهو ظاهر؛ لأن الأصل في المكلف أن يعيش من كسبه، ووجوب نفقة المرأة على الزوج</w:t>
      </w:r>
      <w:r>
        <w:rPr>
          <w:rFonts w:hint="cs"/>
          <w:vertAlign w:val="superscript"/>
          <w:rtl/>
        </w:rPr>
        <w:t xml:space="preserve"> (</w:t>
      </w:r>
      <w:r>
        <w:rPr>
          <w:rStyle w:val="a7"/>
          <w:rtl/>
        </w:rPr>
        <w:footnoteReference w:id="856"/>
      </w:r>
      <w:r>
        <w:rPr>
          <w:rFonts w:hint="cs"/>
          <w:vertAlign w:val="superscript"/>
          <w:rtl/>
        </w:rPr>
        <w:t>)</w:t>
      </w:r>
      <w:r>
        <w:rPr>
          <w:rFonts w:hint="cs"/>
          <w:rtl/>
        </w:rPr>
        <w:t>بسببٍ عارض (وهو الزوجية)، فالزوج في هذه المسألة ادعى الإنفاق على المرأة، وهو خلاف الظاهر؛ لأن الأصل عدمه، فلا يثبت إلا ببينة، والمرأة [تنكر]</w:t>
      </w:r>
      <w:r>
        <w:rPr>
          <w:rStyle w:val="a7"/>
          <w:rtl/>
        </w:rPr>
        <w:footnoteReference w:id="857"/>
      </w:r>
      <w:r>
        <w:rPr>
          <w:rFonts w:hint="cs"/>
          <w:rtl/>
        </w:rPr>
        <w:t xml:space="preserve"> الإنفاق، فالقول لها مع يمينها عند عدم بيّنة الزوج.</w:t>
      </w:r>
    </w:p>
    <w:p w:rsidR="00C10469" w:rsidRDefault="00C10469">
      <w:pPr>
        <w:rPr>
          <w:rtl/>
        </w:rPr>
      </w:pPr>
      <w:r>
        <w:rPr>
          <w:rFonts w:hint="cs"/>
          <w:rtl/>
        </w:rPr>
        <w:t xml:space="preserve">وأما في </w:t>
      </w:r>
      <w:r>
        <w:rPr>
          <w:rFonts w:hint="cs"/>
          <w:b/>
          <w:bCs/>
          <w:rtl/>
        </w:rPr>
        <w:t>المسألة الثانية</w:t>
      </w:r>
      <w:r>
        <w:rPr>
          <w:rFonts w:hint="cs"/>
          <w:rtl/>
        </w:rPr>
        <w:t xml:space="preserve"> : المرأة ادعت على الأب ترك الإنفاق، والأب ينكره : فالقول قوله مع اليمين؛ وذلك لأنّ الأصل في الصغير أن لا يعيش بلا إنفاقِ أحدٍ؛ لأنه لا كسب له، فالظاهر [أنّ]</w:t>
      </w:r>
      <w:r>
        <w:rPr>
          <w:rStyle w:val="a7"/>
          <w:rtl/>
        </w:rPr>
        <w:footnoteReference w:id="858"/>
      </w:r>
      <w:r>
        <w:rPr>
          <w:rFonts w:hint="cs"/>
          <w:rtl/>
        </w:rPr>
        <w:t xml:space="preserve"> ذلك الواحد : الأبُ.</w:t>
      </w:r>
    </w:p>
    <w:p w:rsidR="00C10469" w:rsidRDefault="00C10469">
      <w:pPr>
        <w:rPr>
          <w:rtl/>
        </w:rPr>
      </w:pPr>
      <w:r>
        <w:rPr>
          <w:rFonts w:hint="cs"/>
          <w:rtl/>
        </w:rPr>
        <w:t xml:space="preserve">فعلى هذا : إذا أنكرت المرأة وصول نفقة الصغير : فكأنَّها ادَّعت ترك الإنفاق </w:t>
      </w:r>
      <w:r>
        <w:rPr>
          <w:rFonts w:hint="cs"/>
          <w:rtl/>
        </w:rPr>
        <w:lastRenderedPageBreak/>
        <w:t>على الأب في الحقيقة، وهو خلاف الظاهر، والأب ينكر ترك الإنفاق : فيعتبر قوله مع اليمين؛ نظرًا إلى [أن]</w:t>
      </w:r>
      <w:r>
        <w:rPr>
          <w:rStyle w:val="a7"/>
          <w:rtl/>
        </w:rPr>
        <w:footnoteReference w:id="859"/>
      </w:r>
      <w:r>
        <w:rPr>
          <w:rFonts w:hint="cs"/>
          <w:rtl/>
        </w:rPr>
        <w:t xml:space="preserve"> عدم</w:t>
      </w:r>
      <w:r>
        <w:rPr>
          <w:rStyle w:val="a7"/>
          <w:rtl/>
        </w:rPr>
        <w:footnoteReference w:id="860"/>
      </w:r>
      <w:r>
        <w:rPr>
          <w:rFonts w:hint="cs"/>
          <w:rtl/>
        </w:rPr>
        <w:t xml:space="preserve"> ترك</w:t>
      </w:r>
      <w:r>
        <w:rPr>
          <w:rStyle w:val="a7"/>
          <w:rtl/>
        </w:rPr>
        <w:footnoteReference w:id="861"/>
      </w:r>
      <w:r>
        <w:rPr>
          <w:rFonts w:hint="cs"/>
          <w:rtl/>
        </w:rPr>
        <w:t xml:space="preserve"> الإنفاق في حق الصغير : أصلٌ</w:t>
      </w:r>
      <w:r>
        <w:rPr>
          <w:rFonts w:hint="cs"/>
          <w:vertAlign w:val="superscript"/>
          <w:rtl/>
        </w:rPr>
        <w:t>(</w:t>
      </w:r>
      <w:r>
        <w:rPr>
          <w:rStyle w:val="a7"/>
          <w:rtl/>
        </w:rPr>
        <w:footnoteReference w:id="862"/>
      </w:r>
      <w:r>
        <w:rPr>
          <w:rFonts w:hint="cs"/>
          <w:vertAlign w:val="superscript"/>
          <w:rtl/>
        </w:rPr>
        <w:t>)</w:t>
      </w:r>
      <w:r>
        <w:rPr>
          <w:rFonts w:hint="cs"/>
          <w:rtl/>
        </w:rPr>
        <w:t>.</w:t>
      </w:r>
    </w:p>
    <w:p w:rsidR="00C10469" w:rsidRDefault="00C10469">
      <w:pPr>
        <w:rPr>
          <w:rtl/>
        </w:rPr>
      </w:pPr>
      <w:r>
        <w:rPr>
          <w:rFonts w:hint="cs"/>
          <w:b/>
          <w:bCs/>
          <w:rtl/>
        </w:rPr>
        <w:t>ولا يقال</w:t>
      </w:r>
      <w:r>
        <w:rPr>
          <w:rFonts w:hint="cs"/>
          <w:rtl/>
        </w:rPr>
        <w:t xml:space="preserve"> : لمّا</w:t>
      </w:r>
      <w:r>
        <w:rPr>
          <w:rStyle w:val="a7"/>
          <w:rtl/>
        </w:rPr>
        <w:footnoteReference w:id="863"/>
      </w:r>
      <w:r>
        <w:rPr>
          <w:rFonts w:hint="cs"/>
          <w:rtl/>
        </w:rPr>
        <w:t xml:space="preserve"> كان دعوى المرأة في هذه المسألة خلاف الظاهر، فَلِمَ لا يثبت بالبينة كما هو الأصل</w:t>
      </w:r>
      <w:r>
        <w:rPr>
          <w:rStyle w:val="a7"/>
          <w:rtl/>
        </w:rPr>
        <w:footnoteReference w:id="864"/>
      </w:r>
      <w:r>
        <w:rPr>
          <w:rFonts w:hint="cs"/>
          <w:rtl/>
        </w:rPr>
        <w:t xml:space="preserve"> فيه ؟.</w:t>
      </w:r>
    </w:p>
    <w:p w:rsidR="00C10469" w:rsidRDefault="00C10469">
      <w:pPr>
        <w:rPr>
          <w:rtl/>
        </w:rPr>
      </w:pPr>
      <w:r>
        <w:rPr>
          <w:rFonts w:hint="cs"/>
          <w:b/>
          <w:bCs/>
          <w:rtl/>
        </w:rPr>
        <w:t>لأن</w:t>
      </w:r>
      <w:r>
        <w:rPr>
          <w:rFonts w:hint="cs"/>
          <w:vertAlign w:val="superscript"/>
          <w:rtl/>
        </w:rPr>
        <w:t>(</w:t>
      </w:r>
      <w:r>
        <w:rPr>
          <w:rStyle w:val="a7"/>
          <w:rtl/>
        </w:rPr>
        <w:footnoteReference w:id="865"/>
      </w:r>
      <w:r>
        <w:rPr>
          <w:rFonts w:hint="cs"/>
          <w:vertAlign w:val="superscript"/>
          <w:rtl/>
        </w:rPr>
        <w:t>)</w:t>
      </w:r>
      <w:r>
        <w:rPr>
          <w:rFonts w:hint="cs"/>
          <w:rtl/>
        </w:rPr>
        <w:t xml:space="preserve"> دعوى الترك ممّا لا يثبت بالبينة.</w:t>
      </w:r>
    </w:p>
    <w:p w:rsidR="00C10469" w:rsidRDefault="00C10469">
      <w:pPr>
        <w:rPr>
          <w:rtl/>
        </w:rPr>
      </w:pPr>
      <w:r>
        <w:rPr>
          <w:rFonts w:hint="cs"/>
          <w:rtl/>
        </w:rPr>
        <w:t>من فـهـم هذا التـحقيق</w:t>
      </w:r>
      <w:r>
        <w:rPr>
          <w:rStyle w:val="a7"/>
          <w:rtl/>
        </w:rPr>
        <w:footnoteReference w:id="866"/>
      </w:r>
      <w:r>
        <w:rPr>
          <w:rFonts w:hint="cs"/>
          <w:rtl/>
        </w:rPr>
        <w:t xml:space="preserve"> كما وجب لا يخفى عليه أن هذه المسألة لم تخرج عن القاعدة.</w:t>
      </w:r>
    </w:p>
    <w:p w:rsidR="00C10469" w:rsidRDefault="00C10469">
      <w:pPr>
        <w:rPr>
          <w:rtl/>
        </w:rPr>
      </w:pPr>
    </w:p>
    <w:p w:rsidR="00C10469" w:rsidRDefault="00C10469">
      <w:pPr>
        <w:rPr>
          <w:rtl/>
        </w:rPr>
      </w:pPr>
    </w:p>
    <w:p w:rsidR="00C10469" w:rsidRPr="00900EB2"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3247"/>
        </w:tabs>
        <w:rPr>
          <w:rtl/>
        </w:rPr>
        <w:sectPr w:rsidR="00C10469" w:rsidSect="00C10469">
          <w:headerReference w:type="default" r:id="rId8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tl/>
        </w:rPr>
        <w:tab/>
      </w:r>
    </w:p>
    <w:p w:rsidR="00C10469" w:rsidRPr="00FA5176" w:rsidRDefault="00C10469">
      <w:pPr>
        <w:pStyle w:val="a9"/>
        <w:rPr>
          <w:rFonts w:cs="AL-Mateen"/>
          <w:rtl/>
        </w:rPr>
      </w:pPr>
      <w:r w:rsidRPr="00FA5176">
        <w:rPr>
          <w:rFonts w:cs="AL-Mateen" w:hint="cs"/>
          <w:rtl/>
        </w:rPr>
        <w:lastRenderedPageBreak/>
        <w:t>[ القـاعـدة الثامـنـة والعشـرون ]</w:t>
      </w:r>
    </w:p>
    <w:p w:rsidR="00C10469" w:rsidRDefault="00C10469">
      <w:pPr>
        <w:rPr>
          <w:b/>
          <w:bCs/>
          <w:rtl/>
        </w:rPr>
      </w:pPr>
      <w:r>
        <w:rPr>
          <w:rFonts w:hint="cs"/>
          <w:rtl/>
        </w:rPr>
        <w:t>وَاعْلَمْ أنَّ</w:t>
      </w:r>
      <w:r>
        <w:rPr>
          <w:rFonts w:cs="Monotype Koufi" w:hint="cs"/>
          <w:rtl/>
        </w:rPr>
        <w:t xml:space="preserve"> الأَصْلَ فِي الصِّفَاتِ الأَصْلِيَّةِ الوُجُودُ</w:t>
      </w:r>
      <w:r>
        <w:rPr>
          <w:rFonts w:hint="cs"/>
          <w:vertAlign w:val="superscript"/>
          <w:rtl/>
        </w:rPr>
        <w:t>(</w:t>
      </w:r>
      <w:r>
        <w:rPr>
          <w:rStyle w:val="a7"/>
          <w:rtl/>
        </w:rPr>
        <w:footnoteReference w:id="867"/>
      </w:r>
      <w:r>
        <w:rPr>
          <w:rFonts w:hint="cs"/>
          <w:vertAlign w:val="superscript"/>
          <w:rtl/>
        </w:rPr>
        <w:t>)</w:t>
      </w:r>
      <w:r>
        <w:rPr>
          <w:rFonts w:hint="cs"/>
          <w:b/>
          <w:bCs/>
          <w:rtl/>
        </w:rPr>
        <w:t xml:space="preserve"> : </w:t>
      </w:r>
    </w:p>
    <w:p w:rsidR="00C10469" w:rsidRDefault="00C10469">
      <w:pPr>
        <w:rPr>
          <w:b/>
          <w:bCs/>
          <w:rtl/>
        </w:rPr>
      </w:pPr>
      <w:r>
        <w:rPr>
          <w:rFonts w:hint="cs"/>
          <w:b/>
          <w:bCs/>
          <w:rtl/>
        </w:rPr>
        <w:t>وَتَفَرَّعَ على ذلك :</w:t>
      </w:r>
    </w:p>
    <w:p w:rsidR="00C10469" w:rsidRPr="00C367B8" w:rsidRDefault="00C10469" w:rsidP="00C10469">
      <w:pPr>
        <w:spacing w:line="580" w:lineRule="exact"/>
        <w:ind w:left="848" w:hanging="360"/>
        <w:rPr>
          <w:sz w:val="36"/>
          <w:rtl/>
        </w:rPr>
      </w:pPr>
      <w:r>
        <w:rPr>
          <w:sz w:val="36"/>
          <w:rtl/>
        </w:rPr>
        <w:lastRenderedPageBreak/>
        <w:t>•</w:t>
      </w:r>
      <w:r>
        <w:rPr>
          <w:rFonts w:hint="cs"/>
          <w:sz w:val="36"/>
          <w:rtl/>
        </w:rPr>
        <w:t xml:space="preserve">  </w:t>
      </w:r>
      <w:r w:rsidRPr="00C367B8">
        <w:rPr>
          <w:rFonts w:hint="cs"/>
          <w:sz w:val="36"/>
          <w:rtl/>
        </w:rPr>
        <w:t>اشترى الأمة على أنها بكر، وأنكر المشتـري قيام البكارة، وادعاها البائع : فالقول للبائع؛ لأن</w:t>
      </w:r>
      <w:r w:rsidRPr="00C367B8">
        <w:rPr>
          <w:rStyle w:val="a7"/>
          <w:sz w:val="36"/>
          <w:szCs w:val="36"/>
          <w:rtl/>
        </w:rPr>
        <w:footnoteReference w:id="868"/>
      </w:r>
      <w:r w:rsidRPr="00C367B8">
        <w:rPr>
          <w:rFonts w:hint="cs"/>
          <w:sz w:val="36"/>
          <w:rtl/>
        </w:rPr>
        <w:t xml:space="preserve"> الأصل وجودها؛ لكونها صفة أصلية.</w:t>
      </w:r>
    </w:p>
    <w:p w:rsidR="00C10469" w:rsidRPr="00C367B8" w:rsidRDefault="00C10469" w:rsidP="00C10469">
      <w:pPr>
        <w:spacing w:line="580" w:lineRule="exact"/>
        <w:ind w:left="848" w:firstLine="0"/>
        <w:rPr>
          <w:sz w:val="36"/>
          <w:rtl/>
        </w:rPr>
      </w:pPr>
      <w:r w:rsidRPr="00C367B8">
        <w:rPr>
          <w:rFonts w:hint="cs"/>
          <w:sz w:val="36"/>
          <w:rtl/>
        </w:rPr>
        <w:t xml:space="preserve">بخلاف ما إذا اشترى العَبْدَ على أنّه خبَّاز، أو كاتب، وأنـكر المـشتري </w:t>
      </w:r>
      <w:r>
        <w:rPr>
          <w:sz w:val="36"/>
          <w:rtl/>
        </w:rPr>
        <w:br/>
      </w:r>
      <w:r w:rsidRPr="00C367B8">
        <w:rPr>
          <w:rFonts w:hint="cs"/>
          <w:sz w:val="36"/>
          <w:rtl/>
        </w:rPr>
        <w:t>وجود ذلك الوصف به : فالقول له</w:t>
      </w:r>
      <w:r w:rsidRPr="00C367B8">
        <w:rPr>
          <w:rFonts w:hint="cs"/>
          <w:sz w:val="36"/>
          <w:vertAlign w:val="superscript"/>
          <w:rtl/>
        </w:rPr>
        <w:t>(</w:t>
      </w:r>
      <w:r w:rsidRPr="00C367B8">
        <w:rPr>
          <w:rStyle w:val="a7"/>
          <w:sz w:val="36"/>
          <w:szCs w:val="36"/>
          <w:rtl/>
        </w:rPr>
        <w:footnoteReference w:id="869"/>
      </w:r>
      <w:r w:rsidRPr="00C367B8">
        <w:rPr>
          <w:rFonts w:hint="cs"/>
          <w:sz w:val="36"/>
          <w:vertAlign w:val="superscript"/>
          <w:rtl/>
        </w:rPr>
        <w:t>)</w:t>
      </w:r>
      <w:r w:rsidRPr="00C367B8">
        <w:rPr>
          <w:rFonts w:hint="cs"/>
          <w:sz w:val="36"/>
          <w:rtl/>
        </w:rPr>
        <w:t>؛ لأن الأصل عـدمـها؛ لـكـونـها من الصفة</w:t>
      </w:r>
      <w:r w:rsidRPr="00C367B8">
        <w:rPr>
          <w:rStyle w:val="a7"/>
          <w:sz w:val="36"/>
          <w:szCs w:val="36"/>
          <w:rtl/>
        </w:rPr>
        <w:footnoteReference w:id="870"/>
      </w:r>
      <w:r w:rsidRPr="00C367B8">
        <w:rPr>
          <w:rFonts w:hint="cs"/>
          <w:sz w:val="36"/>
          <w:rtl/>
        </w:rPr>
        <w:t xml:space="preserve"> [العارضة]</w:t>
      </w:r>
      <w:r w:rsidRPr="00C367B8">
        <w:rPr>
          <w:rStyle w:val="a7"/>
          <w:sz w:val="36"/>
          <w:szCs w:val="36"/>
          <w:rtl/>
        </w:rPr>
        <w:footnoteReference w:id="871"/>
      </w:r>
      <w:r w:rsidRPr="00C367B8">
        <w:rPr>
          <w:rFonts w:hint="cs"/>
          <w:sz w:val="36"/>
          <w:vertAlign w:val="superscript"/>
          <w:rtl/>
        </w:rPr>
        <w:t>(</w:t>
      </w:r>
      <w:r w:rsidRPr="00C367B8">
        <w:rPr>
          <w:rStyle w:val="a7"/>
          <w:sz w:val="36"/>
          <w:szCs w:val="36"/>
          <w:rtl/>
        </w:rPr>
        <w:footnoteReference w:id="872"/>
      </w:r>
      <w:r w:rsidRPr="00C367B8">
        <w:rPr>
          <w:rFonts w:hint="cs"/>
          <w:sz w:val="36"/>
          <w:vertAlign w:val="superscript"/>
          <w:rtl/>
        </w:rPr>
        <w:t>)</w:t>
      </w:r>
      <w:r w:rsidRPr="00C367B8">
        <w:rPr>
          <w:rFonts w:hint="cs"/>
          <w:sz w:val="36"/>
          <w:rtl/>
        </w:rPr>
        <w:t>.</w:t>
      </w:r>
    </w:p>
    <w:p w:rsidR="00C10469" w:rsidRPr="00C367B8" w:rsidRDefault="00C10469" w:rsidP="00C10469">
      <w:pPr>
        <w:spacing w:line="580" w:lineRule="exact"/>
        <w:ind w:left="848" w:hanging="360"/>
        <w:rPr>
          <w:spacing w:val="6"/>
          <w:sz w:val="36"/>
          <w:rtl/>
        </w:rPr>
      </w:pPr>
      <w:r>
        <w:rPr>
          <w:spacing w:val="6"/>
          <w:sz w:val="36"/>
          <w:rtl/>
        </w:rPr>
        <w:t>•</w:t>
      </w:r>
      <w:r>
        <w:rPr>
          <w:rFonts w:hint="cs"/>
          <w:spacing w:val="6"/>
          <w:sz w:val="36"/>
          <w:rtl/>
        </w:rPr>
        <w:t xml:space="preserve"> </w:t>
      </w:r>
      <w:r w:rsidRPr="00C367B8">
        <w:rPr>
          <w:rFonts w:hint="cs"/>
          <w:spacing w:val="6"/>
          <w:sz w:val="36"/>
          <w:rtl/>
        </w:rPr>
        <w:t xml:space="preserve">وعـلى هـذا لو قـال : كـل جارية بـكرٍ لي، فهي حرّة. فادعت الجارية أنـها بكر، وأنـكر المولى : فـالقول لـها؛ لأن الأصل </w:t>
      </w:r>
      <w:r>
        <w:rPr>
          <w:spacing w:val="6"/>
          <w:sz w:val="36"/>
          <w:rtl/>
        </w:rPr>
        <w:br/>
      </w:r>
      <w:r w:rsidRPr="00C367B8">
        <w:rPr>
          <w:rFonts w:hint="cs"/>
          <w:spacing w:val="6"/>
          <w:sz w:val="36"/>
          <w:rtl/>
        </w:rPr>
        <w:t>وجود البكارة.</w:t>
      </w:r>
    </w:p>
    <w:p w:rsidR="00C10469" w:rsidRDefault="00C10469" w:rsidP="00C10469">
      <w:pPr>
        <w:spacing w:line="580" w:lineRule="exact"/>
        <w:ind w:left="848" w:hanging="360"/>
        <w:rPr>
          <w:rtl/>
        </w:rPr>
      </w:pPr>
      <w:r>
        <w:rPr>
          <w:rtl/>
        </w:rPr>
        <w:t>•</w:t>
      </w:r>
      <w:r>
        <w:rPr>
          <w:rFonts w:hint="cs"/>
          <w:rtl/>
        </w:rPr>
        <w:t xml:space="preserve"> بخـلاف ما لو قال : كل مملـوك خبَّازٍ لي فـهو حرّ . فادعاه  عبـد ، وأنكر</w:t>
      </w:r>
    </w:p>
    <w:p w:rsidR="00C10469" w:rsidRDefault="00C10469">
      <w:pPr>
        <w:ind w:left="774" w:right="774" w:firstLine="513"/>
        <w:rPr>
          <w:rtl/>
        </w:rPr>
      </w:pPr>
      <w:r>
        <w:rPr>
          <w:rFonts w:hint="cs"/>
          <w:rtl/>
        </w:rPr>
        <w:lastRenderedPageBreak/>
        <w:t>المولى : فالقول للمولى</w:t>
      </w:r>
      <w:r>
        <w:rPr>
          <w:rFonts w:hint="cs"/>
          <w:vertAlign w:val="superscript"/>
          <w:rtl/>
        </w:rPr>
        <w:t>(</w:t>
      </w:r>
      <w:r>
        <w:rPr>
          <w:rStyle w:val="a7"/>
          <w:rtl/>
        </w:rPr>
        <w:footnoteReference w:id="873"/>
      </w:r>
      <w:r>
        <w:rPr>
          <w:rFonts w:hint="cs"/>
          <w:vertAlign w:val="superscript"/>
          <w:rtl/>
        </w:rPr>
        <w:t>)</w:t>
      </w:r>
      <w:r>
        <w:rPr>
          <w:rFonts w:hint="cs"/>
          <w:rtl/>
        </w:rPr>
        <w:t>.</w:t>
      </w:r>
    </w:p>
    <w:p w:rsidR="00C10469" w:rsidRDefault="00C10469">
      <w:pPr>
        <w:pStyle w:val="a9"/>
        <w:rPr>
          <w:rtl/>
        </w:rPr>
      </w:pPr>
    </w:p>
    <w:p w:rsidR="00C10469" w:rsidRDefault="00C10469">
      <w:pPr>
        <w:pStyle w:val="a9"/>
        <w:rPr>
          <w:rtl/>
        </w:rPr>
      </w:pPr>
    </w:p>
    <w:p w:rsidR="00C10469" w:rsidRDefault="00C10469">
      <w:pPr>
        <w:pStyle w:val="a9"/>
        <w:rPr>
          <w:rtl/>
        </w:rPr>
      </w:pPr>
      <w:r>
        <w:rPr>
          <w:rFonts w:ascii="AGA Arabesque" w:hAnsi="AGA Arabesque"/>
          <w:sz w:val="50"/>
          <w:szCs w:val="50"/>
          <w:lang w:val="en-US"/>
        </w:rPr>
        <w:t></w:t>
      </w:r>
      <w:r>
        <w:rPr>
          <w:rFonts w:ascii="AGA Arabesque" w:hAnsi="AGA Arabesque"/>
          <w:sz w:val="50"/>
          <w:szCs w:val="50"/>
          <w:lang w:val="en-US"/>
        </w:rPr>
        <w:t></w:t>
      </w:r>
      <w:r>
        <w:rPr>
          <w:rFonts w:ascii="AGA Arabesque" w:hAnsi="AGA Arabesque"/>
          <w:sz w:val="50"/>
          <w:szCs w:val="50"/>
          <w:lang w:val="en-US"/>
        </w:rPr>
        <w:t></w:t>
      </w:r>
    </w:p>
    <w:p w:rsidR="00C10469" w:rsidRDefault="00C10469">
      <w:pPr>
        <w:pStyle w:val="a9"/>
        <w:rPr>
          <w:rtl/>
        </w:rPr>
        <w:sectPr w:rsidR="00C10469" w:rsidSect="00C10469">
          <w:headerReference w:type="default" r:id="rId8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501C9" w:rsidRDefault="00C10469">
      <w:pPr>
        <w:pStyle w:val="a9"/>
        <w:rPr>
          <w:rFonts w:cs="AL-Mateen"/>
          <w:rtl/>
        </w:rPr>
      </w:pPr>
      <w:r w:rsidRPr="00F501C9">
        <w:rPr>
          <w:rFonts w:cs="AL-Mateen" w:hint="cs"/>
          <w:rtl/>
        </w:rPr>
        <w:lastRenderedPageBreak/>
        <w:t xml:space="preserve">[ القـاعـدة التـاسـعـة والعـشـرون ] </w:t>
      </w:r>
    </w:p>
    <w:p w:rsidR="00C10469" w:rsidRDefault="00C10469">
      <w:pPr>
        <w:rPr>
          <w:b/>
          <w:bCs/>
          <w:rtl/>
        </w:rPr>
      </w:pPr>
      <w:r>
        <w:rPr>
          <w:rFonts w:cs="Monotype Koufi" w:hint="cs"/>
          <w:rtl/>
        </w:rPr>
        <w:t>الأَصْلُ إِضَافَةُ الحَادِثِ إلى أقرَبِ أوْقَاتِهِ</w:t>
      </w:r>
      <w:r>
        <w:rPr>
          <w:rFonts w:hint="cs"/>
          <w:vertAlign w:val="superscript"/>
          <w:rtl/>
        </w:rPr>
        <w:t>(</w:t>
      </w:r>
      <w:r>
        <w:rPr>
          <w:rStyle w:val="a7"/>
          <w:rtl/>
        </w:rPr>
        <w:footnoteReference w:id="874"/>
      </w:r>
      <w:r>
        <w:rPr>
          <w:rFonts w:hint="cs"/>
          <w:vertAlign w:val="superscript"/>
          <w:rtl/>
        </w:rPr>
        <w:t>)</w:t>
      </w:r>
      <w:r>
        <w:rPr>
          <w:rFonts w:hint="cs"/>
          <w:b/>
          <w:bCs/>
          <w:rtl/>
        </w:rPr>
        <w:t xml:space="preserve"> :</w:t>
      </w:r>
    </w:p>
    <w:p w:rsidR="00C10469" w:rsidRDefault="00C10469">
      <w:pPr>
        <w:rPr>
          <w:rtl/>
        </w:rPr>
      </w:pPr>
      <w:r>
        <w:rPr>
          <w:rFonts w:hint="cs"/>
          <w:b/>
          <w:bCs/>
          <w:rtl/>
        </w:rPr>
        <w:lastRenderedPageBreak/>
        <w:t>ومن فروع الأصل</w:t>
      </w:r>
      <w:r>
        <w:rPr>
          <w:rFonts w:hint="cs"/>
          <w:rtl/>
        </w:rPr>
        <w:t xml:space="preserve"> : </w:t>
      </w:r>
    </w:p>
    <w:p w:rsidR="00C10469" w:rsidRDefault="00C10469" w:rsidP="00C10469">
      <w:pPr>
        <w:ind w:left="1287" w:hanging="297"/>
        <w:rPr>
          <w:rtl/>
        </w:rPr>
      </w:pPr>
      <w:r>
        <w:rPr>
          <w:rFonts w:ascii="Wingdings" w:hAnsi="Wingdings"/>
        </w:rPr>
        <w:t></w:t>
      </w:r>
      <w:r>
        <w:rPr>
          <w:rFonts w:hint="cs"/>
          <w:rtl/>
        </w:rPr>
        <w:t xml:space="preserve"> </w:t>
      </w:r>
      <w:r>
        <w:rPr>
          <w:rFonts w:hint="eastAsia"/>
          <w:rtl/>
        </w:rPr>
        <w:t>«</w:t>
      </w:r>
      <w:r>
        <w:rPr>
          <w:rFonts w:hint="cs"/>
          <w:rtl/>
        </w:rPr>
        <w:t>قولهم : لو مات مسلم وتحته نصـرانية، فجاءت مسلمة بعد موته، وقالت: أسلمـتُ قبـل موته. وقالت الورثة : أَسلَمَتْ بعد موته : فالقول للورثة</w:t>
      </w:r>
      <w:r>
        <w:rPr>
          <w:rFonts w:hint="eastAsia"/>
          <w:rtl/>
        </w:rPr>
        <w:t>»</w:t>
      </w:r>
      <w:r>
        <w:rPr>
          <w:rFonts w:hint="cs"/>
          <w:vertAlign w:val="superscript"/>
          <w:rtl/>
        </w:rPr>
        <w:t>(</w:t>
      </w:r>
      <w:r>
        <w:rPr>
          <w:rStyle w:val="a7"/>
          <w:rtl/>
        </w:rPr>
        <w:footnoteReference w:id="875"/>
      </w:r>
      <w:r>
        <w:rPr>
          <w:rFonts w:hint="cs"/>
          <w:vertAlign w:val="superscript"/>
          <w:rtl/>
        </w:rPr>
        <w:t>)</w:t>
      </w:r>
      <w:r>
        <w:rPr>
          <w:rFonts w:hint="cs"/>
          <w:rtl/>
        </w:rPr>
        <w:t>.</w:t>
      </w:r>
    </w:p>
    <w:p w:rsidR="00C10469" w:rsidRDefault="00C10469" w:rsidP="00C10469">
      <w:pPr>
        <w:ind w:left="990" w:firstLine="0"/>
        <w:rPr>
          <w:rtl/>
        </w:rPr>
      </w:pPr>
      <w:r>
        <w:rPr>
          <w:rFonts w:hint="cs"/>
          <w:b/>
          <w:bCs/>
          <w:rtl/>
        </w:rPr>
        <w:t>ويرد عليه</w:t>
      </w:r>
      <w:r>
        <w:rPr>
          <w:rFonts w:hint="cs"/>
          <w:rtl/>
        </w:rPr>
        <w:t xml:space="preserve"> ما قـالوا : </w:t>
      </w:r>
      <w:r>
        <w:rPr>
          <w:rFonts w:hint="eastAsia"/>
          <w:rtl/>
        </w:rPr>
        <w:t>«</w:t>
      </w:r>
      <w:r>
        <w:rPr>
          <w:rFonts w:hint="cs"/>
          <w:rtl/>
        </w:rPr>
        <w:t xml:space="preserve"> إذا مـات</w:t>
      </w:r>
      <w:r>
        <w:rPr>
          <w:rStyle w:val="a7"/>
          <w:rtl/>
        </w:rPr>
        <w:footnoteReference w:id="876"/>
      </w:r>
      <w:r>
        <w:rPr>
          <w:rFonts w:hint="cs"/>
          <w:rtl/>
        </w:rPr>
        <w:t xml:space="preserve"> ذمـيّ، فقـالـت زوجته: أسلمتُ</w:t>
      </w:r>
      <w:r>
        <w:rPr>
          <w:rFonts w:hint="eastAsia"/>
          <w:rtl/>
        </w:rPr>
        <w:t> </w:t>
      </w:r>
      <w:r>
        <w:rPr>
          <w:rFonts w:hint="cs"/>
          <w:rtl/>
        </w:rPr>
        <w:t>بَعْدَ مَوتِهِ.</w:t>
      </w:r>
    </w:p>
    <w:p w:rsidR="00C10469" w:rsidRDefault="00C10469" w:rsidP="00C10469">
      <w:pPr>
        <w:ind w:left="567" w:firstLine="0"/>
        <w:rPr>
          <w:rtl/>
        </w:rPr>
      </w:pPr>
      <w:r>
        <w:rPr>
          <w:rFonts w:hint="cs"/>
          <w:rtl/>
        </w:rPr>
        <w:lastRenderedPageBreak/>
        <w:t>وقال</w:t>
      </w:r>
      <w:r>
        <w:rPr>
          <w:rFonts w:hint="cs"/>
          <w:vertAlign w:val="superscript"/>
          <w:rtl/>
        </w:rPr>
        <w:t>(</w:t>
      </w:r>
      <w:r>
        <w:rPr>
          <w:rStyle w:val="a7"/>
          <w:rtl/>
        </w:rPr>
        <w:footnoteReference w:id="877"/>
      </w:r>
      <w:r>
        <w:rPr>
          <w:rFonts w:hint="cs"/>
          <w:vertAlign w:val="superscript"/>
          <w:rtl/>
        </w:rPr>
        <w:t>)</w:t>
      </w:r>
      <w:r>
        <w:rPr>
          <w:rFonts w:hint="cs"/>
          <w:rtl/>
        </w:rPr>
        <w:t xml:space="preserve"> الورثة: قبله : فالقول لـهم، مـع أن الأصـل المذكـور يقتـضي أن</w:t>
      </w:r>
      <w:r>
        <w:rPr>
          <w:rStyle w:val="a7"/>
          <w:rtl/>
        </w:rPr>
        <w:footnoteReference w:id="878"/>
      </w:r>
      <w:r>
        <w:rPr>
          <w:rFonts w:hint="cs"/>
          <w:rtl/>
        </w:rPr>
        <w:t xml:space="preserve"> يكون لها. وبه قال زُفَرُ</w:t>
      </w:r>
      <w:r>
        <w:rPr>
          <w:rFonts w:hint="cs"/>
          <w:vertAlign w:val="superscript"/>
          <w:rtl/>
        </w:rPr>
        <w:t>(</w:t>
      </w:r>
      <w:r>
        <w:rPr>
          <w:rStyle w:val="a7"/>
          <w:rtl/>
        </w:rPr>
        <w:footnoteReference w:id="879"/>
      </w:r>
      <w:r>
        <w:rPr>
          <w:rFonts w:hint="cs"/>
          <w:vertAlign w:val="superscript"/>
          <w:rtl/>
        </w:rPr>
        <w:t>)</w:t>
      </w:r>
      <w:r>
        <w:rPr>
          <w:rFonts w:hint="cs"/>
          <w:rtl/>
        </w:rPr>
        <w:t xml:space="preserve"> - رحمه الله-</w:t>
      </w:r>
      <w:r>
        <w:rPr>
          <w:rFonts w:hint="eastAsia"/>
          <w:rtl/>
        </w:rPr>
        <w:t>»</w:t>
      </w:r>
      <w:r>
        <w:rPr>
          <w:rFonts w:hint="cs"/>
          <w:vertAlign w:val="superscript"/>
          <w:rtl/>
        </w:rPr>
        <w:t>(</w:t>
      </w:r>
      <w:r>
        <w:rPr>
          <w:rStyle w:val="a7"/>
          <w:rtl/>
        </w:rPr>
        <w:footnoteReference w:id="880"/>
      </w:r>
      <w:r>
        <w:rPr>
          <w:rFonts w:hint="cs"/>
          <w:vertAlign w:val="superscript"/>
          <w:rtl/>
        </w:rPr>
        <w:t>)</w:t>
      </w:r>
      <w:r>
        <w:rPr>
          <w:rFonts w:hint="cs"/>
          <w:rtl/>
        </w:rPr>
        <w:t>.</w:t>
      </w:r>
    </w:p>
    <w:p w:rsidR="00C10469" w:rsidRDefault="00C10469" w:rsidP="00C10469">
      <w:pPr>
        <w:ind w:left="567" w:firstLine="0"/>
        <w:rPr>
          <w:rtl/>
        </w:rPr>
      </w:pPr>
      <w:r>
        <w:rPr>
          <w:rFonts w:hint="cs"/>
          <w:b/>
          <w:bCs/>
          <w:rtl/>
        </w:rPr>
        <w:lastRenderedPageBreak/>
        <w:t>والجواب</w:t>
      </w:r>
      <w:r>
        <w:rPr>
          <w:rFonts w:hint="cs"/>
          <w:rtl/>
        </w:rPr>
        <w:t xml:space="preserve"> : إنما أُخرجت هذه المسألة عن القاعدة؛ لأصل آخر وهو </w:t>
      </w:r>
      <w:r>
        <w:rPr>
          <w:rFonts w:hint="eastAsia"/>
          <w:rtl/>
        </w:rPr>
        <w:t>«</w:t>
      </w:r>
      <w:r>
        <w:rPr>
          <w:rFonts w:hint="cs"/>
          <w:rtl/>
        </w:rPr>
        <w:t>[تحكيم]</w:t>
      </w:r>
      <w:r>
        <w:rPr>
          <w:rStyle w:val="a7"/>
          <w:rtl/>
        </w:rPr>
        <w:footnoteReference w:id="881"/>
      </w:r>
      <w:r>
        <w:rPr>
          <w:rFonts w:hint="cs"/>
          <w:rtl/>
        </w:rPr>
        <w:t xml:space="preserve"> الحال</w:t>
      </w:r>
      <w:r>
        <w:rPr>
          <w:rFonts w:hint="eastAsia"/>
          <w:rtl/>
        </w:rPr>
        <w:t>»</w:t>
      </w:r>
      <w:r>
        <w:rPr>
          <w:rFonts w:hint="cs"/>
          <w:vertAlign w:val="superscript"/>
          <w:rtl/>
        </w:rPr>
        <w:t>(</w:t>
      </w:r>
      <w:r>
        <w:rPr>
          <w:rStyle w:val="a7"/>
          <w:rtl/>
        </w:rPr>
        <w:footnoteReference w:id="882"/>
      </w:r>
      <w:r>
        <w:rPr>
          <w:rFonts w:hint="cs"/>
          <w:vertAlign w:val="superscript"/>
          <w:rtl/>
        </w:rPr>
        <w:t>)</w:t>
      </w:r>
      <w:r>
        <w:rPr>
          <w:rFonts w:hint="cs"/>
          <w:rtl/>
        </w:rPr>
        <w:t>، فسبب الحرمان ثابت في الحال، فيثبت فيما مضى؛ كما إذا اختلف المؤجر والمستأجـر في جريان الماء وانقطاعه</w:t>
      </w:r>
      <w:r>
        <w:rPr>
          <w:rFonts w:hint="cs"/>
          <w:vertAlign w:val="superscript"/>
          <w:rtl/>
        </w:rPr>
        <w:t>(</w:t>
      </w:r>
      <w:r>
        <w:rPr>
          <w:rStyle w:val="a7"/>
          <w:rtl/>
        </w:rPr>
        <w:footnoteReference w:id="883"/>
      </w:r>
      <w:r>
        <w:rPr>
          <w:rFonts w:hint="cs"/>
          <w:vertAlign w:val="superscript"/>
          <w:rtl/>
        </w:rPr>
        <w:t>)</w:t>
      </w:r>
      <w:r>
        <w:rPr>
          <w:rFonts w:hint="cs"/>
          <w:rtl/>
        </w:rPr>
        <w:t>.</w:t>
      </w:r>
    </w:p>
    <w:p w:rsidR="00C10469" w:rsidRDefault="00C10469">
      <w:pPr>
        <w:rPr>
          <w:rtl/>
        </w:rPr>
      </w:pPr>
      <w:r>
        <w:rPr>
          <w:rFonts w:hint="cs"/>
          <w:b/>
          <w:bCs/>
          <w:rtl/>
        </w:rPr>
        <w:t>فإن قيل</w:t>
      </w:r>
      <w:r>
        <w:rPr>
          <w:rFonts w:hint="cs"/>
          <w:rtl/>
        </w:rPr>
        <w:t xml:space="preserve"> : لم لا يعتبر الحال في المسألة الأولى كما يعتبر في الثانية ؟.</w:t>
      </w:r>
    </w:p>
    <w:p w:rsidR="00C10469" w:rsidRDefault="00C10469" w:rsidP="00C10469">
      <w:pPr>
        <w:ind w:left="567" w:firstLine="0"/>
        <w:rPr>
          <w:rtl/>
        </w:rPr>
      </w:pPr>
      <w:r>
        <w:rPr>
          <w:rFonts w:hint="cs"/>
          <w:b/>
          <w:bCs/>
          <w:rtl/>
        </w:rPr>
        <w:lastRenderedPageBreak/>
        <w:t>أقول</w:t>
      </w:r>
      <w:r>
        <w:rPr>
          <w:rFonts w:hint="cs"/>
          <w:rtl/>
        </w:rPr>
        <w:t xml:space="preserve"> : [تـحكيم]</w:t>
      </w:r>
      <w:r>
        <w:rPr>
          <w:rStyle w:val="a7"/>
          <w:rtl/>
        </w:rPr>
        <w:footnoteReference w:id="884"/>
      </w:r>
      <w:r>
        <w:rPr>
          <w:rFonts w:hint="cs"/>
          <w:rtl/>
        </w:rPr>
        <w:t xml:space="preserve"> الـحال يـعـتـبـر للـدفـع لا لـلاستـحقاق</w:t>
      </w:r>
      <w:r>
        <w:rPr>
          <w:rFonts w:hint="cs"/>
          <w:vertAlign w:val="superscript"/>
          <w:rtl/>
        </w:rPr>
        <w:t>(</w:t>
      </w:r>
      <w:r>
        <w:rPr>
          <w:rStyle w:val="a7"/>
          <w:rtl/>
        </w:rPr>
        <w:footnoteReference w:id="885"/>
      </w:r>
      <w:r>
        <w:rPr>
          <w:rFonts w:hint="cs"/>
          <w:vertAlign w:val="superscript"/>
          <w:rtl/>
        </w:rPr>
        <w:t>)</w:t>
      </w:r>
      <w:r>
        <w:rPr>
          <w:rFonts w:hint="cs"/>
          <w:rtl/>
        </w:rPr>
        <w:t>، فلا يعتبر لاستحقاقها</w:t>
      </w:r>
      <w:r>
        <w:rPr>
          <w:rStyle w:val="a7"/>
          <w:rtl/>
        </w:rPr>
        <w:footnoteReference w:id="886"/>
      </w:r>
      <w:r>
        <w:rPr>
          <w:rFonts w:hint="cs"/>
          <w:rtl/>
        </w:rPr>
        <w:t xml:space="preserve"> الإرث في الـمسـألة الأولى، ويعتـبر</w:t>
      </w:r>
      <w:r>
        <w:rPr>
          <w:rStyle w:val="a7"/>
          <w:rtl/>
        </w:rPr>
        <w:footnoteReference w:id="887"/>
      </w:r>
      <w:r>
        <w:rPr>
          <w:rFonts w:hint="cs"/>
          <w:rtl/>
        </w:rPr>
        <w:t xml:space="preserve"> فـي الثـانية لدفع استحقاقها</w:t>
      </w:r>
      <w:r>
        <w:rPr>
          <w:rFonts w:hint="cs"/>
          <w:vertAlign w:val="superscript"/>
          <w:rtl/>
        </w:rPr>
        <w:t>(</w:t>
      </w:r>
      <w:r>
        <w:rPr>
          <w:rStyle w:val="a7"/>
          <w:rtl/>
        </w:rPr>
        <w:footnoteReference w:id="888"/>
      </w:r>
      <w:r>
        <w:rPr>
          <w:rFonts w:hint="cs"/>
          <w:vertAlign w:val="superscript"/>
          <w:rtl/>
        </w:rPr>
        <w:t>)</w:t>
      </w:r>
      <w:r>
        <w:rPr>
          <w:rFonts w:hint="cs"/>
          <w:rtl/>
        </w:rPr>
        <w:t>.</w:t>
      </w:r>
    </w:p>
    <w:p w:rsidR="00C10469" w:rsidRDefault="00C10469">
      <w:pPr>
        <w:rPr>
          <w:rtl/>
        </w:rPr>
      </w:pPr>
      <w:r>
        <w:rPr>
          <w:rFonts w:hint="eastAsia"/>
          <w:rtl/>
        </w:rPr>
        <w:t>«</w:t>
      </w:r>
      <w:r>
        <w:rPr>
          <w:rFonts w:hint="cs"/>
          <w:rtl/>
        </w:rPr>
        <w:t xml:space="preserve"> </w:t>
      </w:r>
      <w:r>
        <w:rPr>
          <w:rFonts w:hint="cs"/>
          <w:b/>
          <w:bCs/>
          <w:rtl/>
        </w:rPr>
        <w:t>ومما خرج عن هذا الأصل</w:t>
      </w:r>
      <w:r>
        <w:rPr>
          <w:rFonts w:hint="cs"/>
          <w:rtl/>
        </w:rPr>
        <w:t xml:space="preserve"> :</w:t>
      </w:r>
    </w:p>
    <w:p w:rsidR="00C10469" w:rsidRDefault="00C10469" w:rsidP="00C10469">
      <w:pPr>
        <w:ind w:left="848" w:hanging="281"/>
        <w:rPr>
          <w:rtl/>
        </w:rPr>
      </w:pPr>
      <w:r>
        <w:rPr>
          <w:rtl/>
        </w:rPr>
        <w:t>•</w:t>
      </w:r>
      <w:r>
        <w:rPr>
          <w:rFonts w:hint="cs"/>
          <w:rtl/>
        </w:rPr>
        <w:t xml:space="preserve">  ما لو قال القاضي بعد عزله</w:t>
      </w:r>
      <w:r>
        <w:rPr>
          <w:rFonts w:hint="cs"/>
          <w:vertAlign w:val="superscript"/>
          <w:rtl/>
        </w:rPr>
        <w:t>(</w:t>
      </w:r>
      <w:r>
        <w:rPr>
          <w:rStyle w:val="a7"/>
          <w:rtl/>
        </w:rPr>
        <w:footnoteReference w:id="889"/>
      </w:r>
      <w:r>
        <w:rPr>
          <w:rFonts w:hint="cs"/>
          <w:vertAlign w:val="superscript"/>
          <w:rtl/>
        </w:rPr>
        <w:t>)</w:t>
      </w:r>
      <w:r>
        <w:rPr>
          <w:rFonts w:hint="cs"/>
          <w:rtl/>
        </w:rPr>
        <w:t xml:space="preserve"> : أخذتُ منك ألفًا، ودُفِعَتْ</w:t>
      </w:r>
      <w:r>
        <w:rPr>
          <w:rFonts w:hint="cs"/>
          <w:vertAlign w:val="superscript"/>
          <w:rtl/>
        </w:rPr>
        <w:t>(</w:t>
      </w:r>
      <w:r>
        <w:rPr>
          <w:rStyle w:val="a7"/>
          <w:rtl/>
        </w:rPr>
        <w:footnoteReference w:id="890"/>
      </w:r>
      <w:r>
        <w:rPr>
          <w:rFonts w:hint="cs"/>
          <w:vertAlign w:val="superscript"/>
          <w:rtl/>
        </w:rPr>
        <w:t>)</w:t>
      </w:r>
      <w:r>
        <w:rPr>
          <w:rFonts w:hint="cs"/>
          <w:rtl/>
        </w:rPr>
        <w:t xml:space="preserve"> إلى زيد؛ قضيت بها عليك</w:t>
      </w:r>
      <w:r>
        <w:rPr>
          <w:rFonts w:hint="cs"/>
          <w:vertAlign w:val="superscript"/>
          <w:rtl/>
        </w:rPr>
        <w:t>(</w:t>
      </w:r>
      <w:r>
        <w:rPr>
          <w:rStyle w:val="a7"/>
          <w:rtl/>
        </w:rPr>
        <w:footnoteReference w:id="891"/>
      </w:r>
      <w:r>
        <w:rPr>
          <w:rFonts w:hint="cs"/>
          <w:vertAlign w:val="superscript"/>
          <w:rtl/>
        </w:rPr>
        <w:t>)</w:t>
      </w:r>
      <w:r>
        <w:rPr>
          <w:rFonts w:hint="cs"/>
          <w:rtl/>
        </w:rPr>
        <w:t>. فقال الرجل : أخذتَهُ ظلمًا بعد العزل :</w:t>
      </w:r>
    </w:p>
    <w:p w:rsidR="00C10469" w:rsidRDefault="00C10469" w:rsidP="00C10469">
      <w:pPr>
        <w:widowControl/>
        <w:numPr>
          <w:ilvl w:val="0"/>
          <w:numId w:val="14"/>
        </w:numPr>
        <w:tabs>
          <w:tab w:val="clear" w:pos="927"/>
        </w:tabs>
        <w:ind w:left="848"/>
        <w:jc w:val="both"/>
      </w:pPr>
      <w:r>
        <w:rPr>
          <w:rFonts w:hint="cs"/>
          <w:rtl/>
        </w:rPr>
        <w:t>فالصحيح : أن القول للقاضي.</w:t>
      </w:r>
    </w:p>
    <w:p w:rsidR="00C10469" w:rsidRDefault="00C10469" w:rsidP="00C10469">
      <w:pPr>
        <w:widowControl/>
        <w:numPr>
          <w:ilvl w:val="0"/>
          <w:numId w:val="14"/>
        </w:numPr>
        <w:tabs>
          <w:tab w:val="clear" w:pos="927"/>
        </w:tabs>
        <w:ind w:left="706" w:hanging="284"/>
        <w:jc w:val="both"/>
        <w:rPr>
          <w:rtl/>
        </w:rPr>
      </w:pPr>
      <w:r>
        <w:rPr>
          <w:rFonts w:hint="cs"/>
          <w:rtl/>
        </w:rPr>
        <w:t>فـكــان يــنـبـغـي أن يـضـاف إلـى أقـرب أوقـاتـه وهـو</w:t>
      </w:r>
      <w:r>
        <w:rPr>
          <w:rFonts w:hint="eastAsia"/>
          <w:rtl/>
        </w:rPr>
        <w:t> </w:t>
      </w:r>
      <w:r>
        <w:rPr>
          <w:rFonts w:hint="cs"/>
          <w:rtl/>
        </w:rPr>
        <w:t>وقـت الـعـزل ، وبـه قـال الـبـعــض</w:t>
      </w:r>
      <w:r>
        <w:rPr>
          <w:rFonts w:hint="cs"/>
          <w:vertAlign w:val="superscript"/>
          <w:rtl/>
        </w:rPr>
        <w:t>(</w:t>
      </w:r>
      <w:r>
        <w:rPr>
          <w:rStyle w:val="a7"/>
          <w:rtl/>
        </w:rPr>
        <w:footnoteReference w:id="892"/>
      </w:r>
      <w:r>
        <w:rPr>
          <w:rFonts w:hint="cs"/>
          <w:vertAlign w:val="superscript"/>
          <w:rtl/>
        </w:rPr>
        <w:t>)</w:t>
      </w:r>
      <w:r>
        <w:rPr>
          <w:rFonts w:hint="cs"/>
          <w:rtl/>
        </w:rPr>
        <w:t>، واخـتـار[هُ]</w:t>
      </w:r>
      <w:r>
        <w:rPr>
          <w:rStyle w:val="a7"/>
          <w:rtl/>
        </w:rPr>
        <w:footnoteReference w:id="893"/>
      </w:r>
      <w:r>
        <w:rPr>
          <w:rFonts w:hint="cs"/>
          <w:rtl/>
        </w:rPr>
        <w:t xml:space="preserve"> </w:t>
      </w:r>
    </w:p>
    <w:p w:rsidR="00C10469" w:rsidRDefault="00C10469">
      <w:pPr>
        <w:ind w:left="774" w:right="774" w:firstLine="153"/>
      </w:pPr>
      <w:r>
        <w:rPr>
          <w:rFonts w:hint="cs"/>
          <w:rtl/>
        </w:rPr>
        <w:lastRenderedPageBreak/>
        <w:t>السَّرْخَسي</w:t>
      </w:r>
      <w:r>
        <w:rPr>
          <w:rFonts w:hint="cs"/>
          <w:vertAlign w:val="superscript"/>
          <w:rtl/>
        </w:rPr>
        <w:t>(</w:t>
      </w:r>
      <w:r>
        <w:rPr>
          <w:rStyle w:val="a7"/>
          <w:rtl/>
        </w:rPr>
        <w:footnoteReference w:id="894"/>
      </w:r>
      <w:r>
        <w:rPr>
          <w:rFonts w:hint="cs"/>
          <w:vertAlign w:val="superscript"/>
          <w:rtl/>
        </w:rPr>
        <w:t>)(</w:t>
      </w:r>
      <w:r>
        <w:rPr>
          <w:rStyle w:val="a7"/>
          <w:rtl/>
        </w:rPr>
        <w:footnoteReference w:id="895"/>
      </w:r>
      <w:r>
        <w:rPr>
          <w:rFonts w:hint="cs"/>
          <w:vertAlign w:val="superscript"/>
          <w:rtl/>
        </w:rPr>
        <w:t>)</w:t>
      </w:r>
      <w:r>
        <w:rPr>
          <w:rFonts w:hint="cs"/>
          <w:rtl/>
        </w:rPr>
        <w:t>.</w:t>
      </w:r>
    </w:p>
    <w:p w:rsidR="00C10469" w:rsidRDefault="00C10469" w:rsidP="00C10469">
      <w:pPr>
        <w:ind w:left="873" w:firstLine="0"/>
      </w:pPr>
      <w:r>
        <w:rPr>
          <w:rFonts w:hint="cs"/>
          <w:rtl/>
        </w:rPr>
        <w:t xml:space="preserve">لكن المعتمد الأول؛ </w:t>
      </w:r>
      <w:r>
        <w:rPr>
          <w:rFonts w:hint="cs"/>
          <w:b/>
          <w:bCs/>
          <w:rtl/>
        </w:rPr>
        <w:t>لأن</w:t>
      </w:r>
      <w:r>
        <w:rPr>
          <w:rFonts w:hint="cs"/>
          <w:rtl/>
        </w:rPr>
        <w:t xml:space="preserve"> القاضي أسنده إلى [ حالة منافية ]</w:t>
      </w:r>
      <w:r>
        <w:rPr>
          <w:rStyle w:val="a7"/>
          <w:rtl/>
        </w:rPr>
        <w:footnoteReference w:id="896"/>
      </w:r>
      <w:r>
        <w:rPr>
          <w:rFonts w:hint="cs"/>
          <w:rtl/>
        </w:rPr>
        <w:t xml:space="preserve"> للضمان</w:t>
      </w:r>
      <w:r>
        <w:rPr>
          <w:rFonts w:hint="eastAsia"/>
          <w:rtl/>
        </w:rPr>
        <w:t>»</w:t>
      </w:r>
      <w:r>
        <w:rPr>
          <w:rFonts w:hint="cs"/>
          <w:vertAlign w:val="superscript"/>
          <w:rtl/>
        </w:rPr>
        <w:t>(</w:t>
      </w:r>
      <w:r>
        <w:rPr>
          <w:rStyle w:val="a7"/>
          <w:rtl/>
        </w:rPr>
        <w:footnoteReference w:id="897"/>
      </w:r>
      <w:r>
        <w:rPr>
          <w:rFonts w:hint="cs"/>
          <w:vertAlign w:val="superscript"/>
          <w:rtl/>
        </w:rPr>
        <w:t>)</w:t>
      </w:r>
      <w:r>
        <w:rPr>
          <w:rFonts w:hint="cs"/>
          <w:rtl/>
        </w:rPr>
        <w:t>، فكان منكرًا للضمان، فالقول للمنكر.</w:t>
      </w:r>
    </w:p>
    <w:p w:rsidR="00C10469" w:rsidRDefault="00C10469" w:rsidP="00C10469">
      <w:pPr>
        <w:spacing w:line="228" w:lineRule="auto"/>
        <w:ind w:left="1128" w:hanging="408"/>
        <w:rPr>
          <w:rtl/>
        </w:rPr>
      </w:pPr>
      <w:r>
        <w:rPr>
          <w:rtl/>
        </w:rPr>
        <w:lastRenderedPageBreak/>
        <w:t>•</w:t>
      </w:r>
      <w:r>
        <w:rPr>
          <w:rFonts w:hint="cs"/>
          <w:rtl/>
        </w:rPr>
        <w:t xml:space="preserve">  وكذا </w:t>
      </w:r>
      <w:r>
        <w:rPr>
          <w:rFonts w:hint="eastAsia"/>
          <w:rtl/>
        </w:rPr>
        <w:t>«</w:t>
      </w:r>
      <w:r>
        <w:rPr>
          <w:rFonts w:hint="cs"/>
          <w:rtl/>
        </w:rPr>
        <w:t>ما لو قال العبد لغيره -بعد العتق- : قطعتُ يدك وأنا عبد. وقال</w:t>
      </w:r>
      <w:r>
        <w:rPr>
          <w:rFonts w:hint="eastAsia"/>
          <w:rtl/>
        </w:rPr>
        <w:t> </w:t>
      </w:r>
      <w:r>
        <w:rPr>
          <w:rFonts w:hint="cs"/>
          <w:rtl/>
        </w:rPr>
        <w:t>الغير: قطعتَها وأنتَ حرّ : كان القول للعبد</w:t>
      </w:r>
      <w:r>
        <w:rPr>
          <w:rFonts w:hint="eastAsia"/>
          <w:rtl/>
        </w:rPr>
        <w:t>»</w:t>
      </w:r>
      <w:r>
        <w:rPr>
          <w:rFonts w:hint="cs"/>
          <w:vertAlign w:val="superscript"/>
          <w:rtl/>
        </w:rPr>
        <w:t>(</w:t>
      </w:r>
      <w:r>
        <w:rPr>
          <w:rStyle w:val="a7"/>
          <w:rtl/>
        </w:rPr>
        <w:footnoteReference w:id="898"/>
      </w:r>
      <w:r>
        <w:rPr>
          <w:rFonts w:hint="cs"/>
          <w:vertAlign w:val="superscript"/>
          <w:rtl/>
        </w:rPr>
        <w:t>)</w:t>
      </w:r>
      <w:r>
        <w:rPr>
          <w:rFonts w:hint="cs"/>
          <w:rtl/>
        </w:rPr>
        <w:t xml:space="preserve"> على خلاف مقتضى</w:t>
      </w:r>
      <w:r>
        <w:rPr>
          <w:rFonts w:hint="eastAsia"/>
          <w:rtl/>
        </w:rPr>
        <w:t> </w:t>
      </w:r>
      <w:r>
        <w:rPr>
          <w:rFonts w:hint="cs"/>
          <w:rtl/>
        </w:rPr>
        <w:t>الأصل.</w:t>
      </w:r>
    </w:p>
    <w:p w:rsidR="00C10469" w:rsidRDefault="00C10469" w:rsidP="00C10469">
      <w:pPr>
        <w:spacing w:line="228" w:lineRule="auto"/>
        <w:ind w:left="1128" w:hanging="408"/>
      </w:pPr>
      <w:r>
        <w:rPr>
          <w:rtl/>
        </w:rPr>
        <w:t>•</w:t>
      </w:r>
      <w:r>
        <w:rPr>
          <w:rFonts w:hint="cs"/>
          <w:rtl/>
        </w:rPr>
        <w:t xml:space="preserve">  </w:t>
      </w:r>
      <w:r>
        <w:rPr>
          <w:rFonts w:hint="eastAsia"/>
          <w:rtl/>
        </w:rPr>
        <w:t>«</w:t>
      </w:r>
      <w:r>
        <w:rPr>
          <w:rFonts w:hint="cs"/>
          <w:rtl/>
        </w:rPr>
        <w:t>وكذا لو</w:t>
      </w:r>
      <w:r>
        <w:rPr>
          <w:rStyle w:val="a7"/>
          <w:rtl/>
        </w:rPr>
        <w:footnoteReference w:id="899"/>
      </w:r>
      <w:r>
        <w:rPr>
          <w:rFonts w:hint="cs"/>
          <w:rtl/>
        </w:rPr>
        <w:t xml:space="preserve"> قال المولى [لعبدٍ]</w:t>
      </w:r>
      <w:r>
        <w:rPr>
          <w:rStyle w:val="a7"/>
          <w:rtl/>
        </w:rPr>
        <w:footnoteReference w:id="900"/>
      </w:r>
      <w:r>
        <w:rPr>
          <w:rFonts w:hint="cs"/>
          <w:rtl/>
        </w:rPr>
        <w:t xml:space="preserve"> أعتقه : قد أخذتُ منك غلَّة كلّ شهر</w:t>
      </w:r>
      <w:r>
        <w:rPr>
          <w:rStyle w:val="a7"/>
          <w:rtl/>
        </w:rPr>
        <w:footnoteReference w:id="901"/>
      </w:r>
      <w:r>
        <w:rPr>
          <w:rFonts w:hint="cs"/>
          <w:rtl/>
        </w:rPr>
        <w:t xml:space="preserve"> خمسة</w:t>
      </w:r>
      <w:r>
        <w:rPr>
          <w:rFonts w:hint="eastAsia"/>
          <w:rtl/>
        </w:rPr>
        <w:t> </w:t>
      </w:r>
      <w:r>
        <w:rPr>
          <w:rFonts w:hint="cs"/>
          <w:rtl/>
        </w:rPr>
        <w:t>دراهم وأنت عبد. فقال</w:t>
      </w:r>
      <w:r>
        <w:rPr>
          <w:rFonts w:hint="cs"/>
          <w:vertAlign w:val="superscript"/>
          <w:rtl/>
        </w:rPr>
        <w:t>(</w:t>
      </w:r>
      <w:r>
        <w:rPr>
          <w:rStyle w:val="a7"/>
          <w:rtl/>
        </w:rPr>
        <w:footnoteReference w:id="902"/>
      </w:r>
      <w:r>
        <w:rPr>
          <w:rFonts w:hint="cs"/>
          <w:vertAlign w:val="superscript"/>
          <w:rtl/>
        </w:rPr>
        <w:t>)</w:t>
      </w:r>
      <w:r>
        <w:rPr>
          <w:rFonts w:hint="cs"/>
          <w:rtl/>
        </w:rPr>
        <w:t xml:space="preserve"> : أَخَذْتَهَا بعد العتق : كان القولُ قولَ</w:t>
      </w:r>
      <w:r>
        <w:rPr>
          <w:rFonts w:hint="eastAsia"/>
          <w:rtl/>
        </w:rPr>
        <w:t> </w:t>
      </w:r>
      <w:r>
        <w:rPr>
          <w:rFonts w:hint="cs"/>
          <w:rtl/>
        </w:rPr>
        <w:t>المولى</w:t>
      </w:r>
      <w:r>
        <w:rPr>
          <w:rFonts w:hint="eastAsia"/>
          <w:rtl/>
        </w:rPr>
        <w:t>»</w:t>
      </w:r>
      <w:r>
        <w:rPr>
          <w:rFonts w:hint="cs"/>
          <w:vertAlign w:val="superscript"/>
          <w:rtl/>
        </w:rPr>
        <w:t>(</w:t>
      </w:r>
      <w:r>
        <w:rPr>
          <w:rStyle w:val="a7"/>
          <w:rtl/>
        </w:rPr>
        <w:footnoteReference w:id="903"/>
      </w:r>
      <w:r>
        <w:rPr>
          <w:rFonts w:hint="cs"/>
          <w:vertAlign w:val="superscript"/>
          <w:rtl/>
        </w:rPr>
        <w:t>)</w:t>
      </w:r>
      <w:r>
        <w:rPr>
          <w:rFonts w:hint="cs"/>
          <w:rtl/>
        </w:rPr>
        <w:t>.</w:t>
      </w:r>
    </w:p>
    <w:p w:rsidR="00C10469" w:rsidRDefault="00C10469" w:rsidP="00C10469">
      <w:pPr>
        <w:spacing w:line="228" w:lineRule="auto"/>
        <w:ind w:left="1128" w:hanging="408"/>
        <w:rPr>
          <w:rtl/>
        </w:rPr>
      </w:pPr>
      <w:r>
        <w:rPr>
          <w:rtl/>
        </w:rPr>
        <w:t>•</w:t>
      </w:r>
      <w:r>
        <w:rPr>
          <w:rFonts w:hint="cs"/>
          <w:rtl/>
        </w:rPr>
        <w:t xml:space="preserve">  </w:t>
      </w:r>
      <w:r>
        <w:rPr>
          <w:rFonts w:hint="eastAsia"/>
          <w:rtl/>
        </w:rPr>
        <w:t>«</w:t>
      </w:r>
      <w:r>
        <w:rPr>
          <w:rFonts w:hint="cs"/>
          <w:rtl/>
        </w:rPr>
        <w:t>وكذا الوكيل بالبيع إذا قال : بعتُ وسلّمْتُ قبل العَزْل. وقال الموكِّل: بعده</w:t>
      </w:r>
      <w:r>
        <w:rPr>
          <w:rFonts w:hint="cs"/>
          <w:vertAlign w:val="superscript"/>
          <w:rtl/>
        </w:rPr>
        <w:t>(</w:t>
      </w:r>
      <w:r>
        <w:rPr>
          <w:rStyle w:val="a7"/>
          <w:rtl/>
        </w:rPr>
        <w:footnoteReference w:id="904"/>
      </w:r>
      <w:r>
        <w:rPr>
          <w:rFonts w:hint="cs"/>
          <w:vertAlign w:val="superscript"/>
          <w:rtl/>
        </w:rPr>
        <w:t>)</w:t>
      </w:r>
      <w:r>
        <w:rPr>
          <w:rFonts w:hint="cs"/>
          <w:rtl/>
        </w:rPr>
        <w:t xml:space="preserve"> : كان القول للوكيل إن كان المبيع مُستهلكًا. وإن كان قائمًا: فالقول قول الموكل</w:t>
      </w:r>
      <w:r>
        <w:rPr>
          <w:rFonts w:hint="eastAsia"/>
          <w:rtl/>
        </w:rPr>
        <w:t>»</w:t>
      </w:r>
      <w:r>
        <w:rPr>
          <w:rFonts w:hint="cs"/>
          <w:vertAlign w:val="superscript"/>
          <w:rtl/>
        </w:rPr>
        <w:t>(</w:t>
      </w:r>
      <w:r>
        <w:rPr>
          <w:rStyle w:val="a7"/>
          <w:rtl/>
        </w:rPr>
        <w:footnoteReference w:id="905"/>
      </w:r>
      <w:r>
        <w:rPr>
          <w:rFonts w:hint="cs"/>
          <w:vertAlign w:val="superscript"/>
          <w:rtl/>
        </w:rPr>
        <w:t>)</w:t>
      </w:r>
      <w:r>
        <w:rPr>
          <w:rFonts w:hint="cs"/>
          <w:rtl/>
        </w:rPr>
        <w:t xml:space="preserve"> على مقتضى الأصل</w:t>
      </w:r>
      <w:r>
        <w:rPr>
          <w:rFonts w:hint="cs"/>
          <w:vertAlign w:val="superscript"/>
          <w:rtl/>
        </w:rPr>
        <w:t>(</w:t>
      </w:r>
      <w:r>
        <w:rPr>
          <w:rStyle w:val="a7"/>
          <w:rtl/>
        </w:rPr>
        <w:footnoteReference w:id="906"/>
      </w:r>
      <w:r>
        <w:rPr>
          <w:rFonts w:hint="cs"/>
          <w:vertAlign w:val="superscript"/>
          <w:rtl/>
        </w:rPr>
        <w:t>)</w:t>
      </w:r>
      <w:r>
        <w:rPr>
          <w:rFonts w:hint="cs"/>
          <w:rtl/>
        </w:rPr>
        <w:t>.</w:t>
      </w:r>
    </w:p>
    <w:p w:rsidR="00C10469" w:rsidRDefault="00C10469" w:rsidP="00C10469">
      <w:pPr>
        <w:spacing w:line="228" w:lineRule="auto"/>
        <w:ind w:left="1128" w:hanging="408"/>
        <w:rPr>
          <w:rtl/>
        </w:rPr>
      </w:pPr>
      <w:r>
        <w:rPr>
          <w:rFonts w:hint="cs"/>
          <w:b/>
          <w:bCs/>
          <w:rtl/>
        </w:rPr>
        <w:t xml:space="preserve">     وإنما أَخرجوا هذه المسائل</w:t>
      </w:r>
      <w:r>
        <w:rPr>
          <w:rFonts w:hint="cs"/>
          <w:rtl/>
        </w:rPr>
        <w:t xml:space="preserve"> عن الأصل؛ لأن فيها أصلاً آخر، وهو</w:t>
      </w:r>
      <w:r>
        <w:rPr>
          <w:rStyle w:val="a7"/>
          <w:rtl/>
        </w:rPr>
        <w:footnoteReference w:id="907"/>
      </w:r>
      <w:r>
        <w:rPr>
          <w:rFonts w:hint="cs"/>
          <w:rtl/>
        </w:rPr>
        <w:t xml:space="preserve"> : </w:t>
      </w:r>
      <w:r>
        <w:rPr>
          <w:rFonts w:hint="eastAsia"/>
          <w:rtl/>
        </w:rPr>
        <w:lastRenderedPageBreak/>
        <w:t>«</w:t>
      </w:r>
      <w:r>
        <w:rPr>
          <w:rFonts w:hint="cs"/>
          <w:rtl/>
        </w:rPr>
        <w:t>الأصل براءة الذمة</w:t>
      </w:r>
      <w:r>
        <w:rPr>
          <w:rFonts w:hint="eastAsia"/>
          <w:rtl/>
        </w:rPr>
        <w:t>»</w:t>
      </w:r>
      <w:r>
        <w:rPr>
          <w:rFonts w:hint="cs"/>
          <w:vertAlign w:val="superscript"/>
          <w:rtl/>
        </w:rPr>
        <w:t>(</w:t>
      </w:r>
      <w:r>
        <w:rPr>
          <w:rStyle w:val="a7"/>
          <w:rtl/>
        </w:rPr>
        <w:footnoteReference w:id="908"/>
      </w:r>
      <w:r>
        <w:rPr>
          <w:rFonts w:hint="cs"/>
          <w:vertAlign w:val="superscript"/>
          <w:rtl/>
        </w:rPr>
        <w:t>)</w:t>
      </w:r>
      <w:r>
        <w:rPr>
          <w:rFonts w:hint="cs"/>
          <w:rtl/>
        </w:rPr>
        <w:t>، وفي هذه المسائل: ادعى الخصمُ شغلَها بالضمان،</w:t>
      </w:r>
      <w:r>
        <w:rPr>
          <w:rFonts w:hint="eastAsia"/>
          <w:rtl/>
        </w:rPr>
        <w:t> </w:t>
      </w:r>
      <w:r>
        <w:rPr>
          <w:rFonts w:hint="cs"/>
          <w:rtl/>
        </w:rPr>
        <w:t>فلابـدّ لشغلها من البيّنة؛ ولهذا قيدوا في مسألة الوكيل بكون المبيع مستهلكًا؛ لأنه لو كان قائمًا : لا يجب الضمان حتى يلزم شغل الذمة به بلا بيّنة، فيضاف</w:t>
      </w:r>
      <w:r>
        <w:rPr>
          <w:rStyle w:val="a7"/>
          <w:rtl/>
        </w:rPr>
        <w:footnoteReference w:id="909"/>
      </w:r>
      <w:r>
        <w:rPr>
          <w:rFonts w:hint="cs"/>
          <w:rtl/>
        </w:rPr>
        <w:t xml:space="preserve"> الحادث إلى أقرب أوقاته.</w:t>
      </w:r>
    </w:p>
    <w:p w:rsidR="00C10469" w:rsidRPr="008A3B4D" w:rsidRDefault="00C10469" w:rsidP="00C10469">
      <w:pPr>
        <w:spacing w:line="228" w:lineRule="auto"/>
        <w:ind w:left="1128" w:hanging="408"/>
        <w:rPr>
          <w:spacing w:val="-2"/>
        </w:rPr>
      </w:pPr>
      <w:r>
        <w:rPr>
          <w:rFonts w:ascii="Wingdings" w:hAnsi="Wingdings" w:cs="Wingdings"/>
          <w:spacing w:val="-6"/>
          <w:sz w:val="26"/>
          <w:szCs w:val="26"/>
        </w:rPr>
        <w:t></w:t>
      </w:r>
      <w:r>
        <w:rPr>
          <w:rFonts w:hint="cs"/>
          <w:spacing w:val="-6"/>
          <w:rtl/>
        </w:rPr>
        <w:t xml:space="preserve"> ومن أحسن فروع هذا الأصل : ما إذا ادّعى [الرجلان]</w:t>
      </w:r>
      <w:r>
        <w:rPr>
          <w:rStyle w:val="a7"/>
          <w:spacing w:val="-6"/>
          <w:rtl/>
        </w:rPr>
        <w:footnoteReference w:id="910"/>
      </w:r>
      <w:r>
        <w:rPr>
          <w:rFonts w:hint="cs"/>
          <w:spacing w:val="-6"/>
          <w:rtl/>
        </w:rPr>
        <w:t xml:space="preserve"> الشراءَ من آخر، وبرهنا</w:t>
      </w:r>
      <w:r>
        <w:rPr>
          <w:rFonts w:hint="eastAsia"/>
          <w:spacing w:val="-6"/>
          <w:rtl/>
        </w:rPr>
        <w:t> </w:t>
      </w:r>
      <w:r>
        <w:rPr>
          <w:rFonts w:hint="cs"/>
          <w:spacing w:val="-6"/>
          <w:rtl/>
        </w:rPr>
        <w:t>بلا تاريخ، وأحدهما ذو اليد : قُضِي لذي اليد؛ لأن قبض ذي اليد وشراء</w:t>
      </w:r>
      <w:r>
        <w:rPr>
          <w:rFonts w:hint="eastAsia"/>
          <w:spacing w:val="-6"/>
          <w:rtl/>
        </w:rPr>
        <w:t> </w:t>
      </w:r>
      <w:r>
        <w:rPr>
          <w:rFonts w:hint="cs"/>
          <w:spacing w:val="-6"/>
          <w:rtl/>
        </w:rPr>
        <w:t>غيره</w:t>
      </w:r>
      <w:r>
        <w:rPr>
          <w:rStyle w:val="a7"/>
          <w:spacing w:val="-6"/>
          <w:rtl/>
        </w:rPr>
        <w:footnoteReference w:id="911"/>
      </w:r>
      <w:r>
        <w:rPr>
          <w:rFonts w:hint="cs"/>
          <w:spacing w:val="-6"/>
          <w:rtl/>
        </w:rPr>
        <w:t xml:space="preserve"> حادثان، فيُضافان إلى أقرب الأوقات، فيُحكمُ بثبوتها</w:t>
      </w:r>
      <w:r>
        <w:rPr>
          <w:rFonts w:hint="cs"/>
          <w:spacing w:val="-6"/>
          <w:vertAlign w:val="superscript"/>
          <w:rtl/>
        </w:rPr>
        <w:t>(</w:t>
      </w:r>
      <w:r>
        <w:rPr>
          <w:rStyle w:val="a7"/>
          <w:spacing w:val="-6"/>
          <w:rtl/>
        </w:rPr>
        <w:footnoteReference w:id="912"/>
      </w:r>
      <w:r>
        <w:rPr>
          <w:rFonts w:hint="cs"/>
          <w:spacing w:val="-6"/>
          <w:vertAlign w:val="superscript"/>
          <w:rtl/>
        </w:rPr>
        <w:t>)</w:t>
      </w:r>
      <w:r>
        <w:rPr>
          <w:rFonts w:hint="cs"/>
          <w:spacing w:val="-6"/>
          <w:rtl/>
        </w:rPr>
        <w:t xml:space="preserve"> في الحال. والظاهر أنّ القبضَ مرتّبٌ على شراءٍ، ومتأخِّـرٌ</w:t>
      </w:r>
      <w:r>
        <w:rPr>
          <w:rStyle w:val="a7"/>
          <w:spacing w:val="-6"/>
          <w:rtl/>
        </w:rPr>
        <w:footnoteReference w:id="913"/>
      </w:r>
      <w:r>
        <w:rPr>
          <w:rFonts w:hint="cs"/>
          <w:spacing w:val="-6"/>
          <w:rtl/>
        </w:rPr>
        <w:t xml:space="preserve"> عنه، فيستلزم كون شراء</w:t>
      </w:r>
      <w:r>
        <w:rPr>
          <w:rFonts w:hint="eastAsia"/>
          <w:spacing w:val="-6"/>
          <w:rtl/>
        </w:rPr>
        <w:t> </w:t>
      </w:r>
      <w:r>
        <w:rPr>
          <w:rFonts w:hint="cs"/>
          <w:spacing w:val="-6"/>
          <w:rtl/>
        </w:rPr>
        <w:t>القابض مقَدّمًا على قبضه بالضرورة، فلا يحكم بثبوت شراءٍ</w:t>
      </w:r>
      <w:r>
        <w:rPr>
          <w:rStyle w:val="a7"/>
          <w:spacing w:val="-6"/>
          <w:rtl/>
        </w:rPr>
        <w:footnoteReference w:id="914"/>
      </w:r>
      <w:r>
        <w:rPr>
          <w:rFonts w:hint="cs"/>
          <w:spacing w:val="-6"/>
          <w:rtl/>
        </w:rPr>
        <w:t xml:space="preserve"> في </w:t>
      </w:r>
      <w:r>
        <w:rPr>
          <w:rFonts w:hint="cs"/>
          <w:spacing w:val="-6"/>
          <w:rtl/>
        </w:rPr>
        <w:lastRenderedPageBreak/>
        <w:t xml:space="preserve">الحال؛ </w:t>
      </w:r>
      <w:r w:rsidRPr="008A3B4D">
        <w:rPr>
          <w:rFonts w:hint="cs"/>
          <w:spacing w:val="-2"/>
          <w:rtl/>
        </w:rPr>
        <w:t>بل</w:t>
      </w:r>
      <w:r w:rsidRPr="008A3B4D">
        <w:rPr>
          <w:rFonts w:hint="eastAsia"/>
          <w:spacing w:val="-2"/>
          <w:rtl/>
        </w:rPr>
        <w:t> </w:t>
      </w:r>
      <w:r w:rsidRPr="008A3B4D">
        <w:rPr>
          <w:rFonts w:hint="cs"/>
          <w:spacing w:val="-2"/>
          <w:rtl/>
        </w:rPr>
        <w:t>في الزمان الماضي. وأما  شراء</w:t>
      </w:r>
      <w:r w:rsidRPr="008A3B4D">
        <w:rPr>
          <w:rStyle w:val="a7"/>
          <w:spacing w:val="-2"/>
          <w:rtl/>
        </w:rPr>
        <w:footnoteReference w:id="915"/>
      </w:r>
      <w:r w:rsidRPr="008A3B4D">
        <w:rPr>
          <w:rFonts w:hint="cs"/>
          <w:spacing w:val="-2"/>
          <w:rtl/>
        </w:rPr>
        <w:t xml:space="preserve"> الآخر  يحكم بثبـوت شرائه</w:t>
      </w:r>
      <w:r w:rsidRPr="008A3B4D">
        <w:rPr>
          <w:rStyle w:val="a7"/>
          <w:spacing w:val="-2"/>
          <w:rtl/>
        </w:rPr>
        <w:footnoteReference w:id="916"/>
      </w:r>
      <w:r w:rsidRPr="008A3B4D">
        <w:rPr>
          <w:rFonts w:hint="cs"/>
          <w:spacing w:val="-2"/>
          <w:rtl/>
        </w:rPr>
        <w:t xml:space="preserve"> في الحـال؛</w:t>
      </w:r>
    </w:p>
    <w:p w:rsidR="00C10469" w:rsidRDefault="00C10469">
      <w:pPr>
        <w:rPr>
          <w:spacing w:val="-6"/>
          <w:rtl/>
        </w:rPr>
      </w:pPr>
      <w:r>
        <w:rPr>
          <w:rFonts w:hint="cs"/>
          <w:spacing w:val="-6"/>
          <w:rtl/>
        </w:rPr>
        <w:t>لعدم الضرورة، فالماضي</w:t>
      </w:r>
      <w:r>
        <w:rPr>
          <w:rStyle w:val="a7"/>
          <w:spacing w:val="-6"/>
          <w:rtl/>
        </w:rPr>
        <w:footnoteReference w:id="917"/>
      </w:r>
      <w:r>
        <w:rPr>
          <w:rFonts w:hint="cs"/>
          <w:spacing w:val="-6"/>
          <w:rtl/>
        </w:rPr>
        <w:t xml:space="preserve"> مقدم على الحال، والتاريخ المقدم أولى</w:t>
      </w:r>
      <w:r>
        <w:rPr>
          <w:rFonts w:hint="cs"/>
          <w:spacing w:val="-6"/>
          <w:vertAlign w:val="superscript"/>
          <w:rtl/>
        </w:rPr>
        <w:t>(</w:t>
      </w:r>
      <w:r>
        <w:rPr>
          <w:rStyle w:val="a7"/>
          <w:spacing w:val="-6"/>
          <w:rtl/>
        </w:rPr>
        <w:footnoteReference w:id="918"/>
      </w:r>
      <w:r>
        <w:rPr>
          <w:rFonts w:hint="cs"/>
          <w:spacing w:val="-6"/>
          <w:vertAlign w:val="superscript"/>
          <w:rtl/>
        </w:rPr>
        <w:t>)</w:t>
      </w:r>
      <w:r>
        <w:rPr>
          <w:rFonts w:hint="cs"/>
          <w:spacing w:val="-6"/>
          <w:rtl/>
        </w:rPr>
        <w:t>.</w:t>
      </w:r>
    </w:p>
    <w:p w:rsidR="00C10469" w:rsidRDefault="00C10469">
      <w:pPr>
        <w:rPr>
          <w:rtl/>
        </w:rPr>
      </w:pPr>
      <w:r>
        <w:rPr>
          <w:rFonts w:hint="cs"/>
          <w:rtl/>
        </w:rPr>
        <w:t>هذا إجمال ما ذكره صاحب (العناية)</w:t>
      </w:r>
      <w:r>
        <w:rPr>
          <w:rFonts w:hint="cs"/>
          <w:vertAlign w:val="superscript"/>
          <w:rtl/>
        </w:rPr>
        <w:t>(</w:t>
      </w:r>
      <w:r>
        <w:rPr>
          <w:rStyle w:val="a7"/>
          <w:rtl/>
        </w:rPr>
        <w:footnoteReference w:id="919"/>
      </w:r>
      <w:r>
        <w:rPr>
          <w:rFonts w:hint="cs"/>
          <w:vertAlign w:val="superscript"/>
          <w:rtl/>
        </w:rPr>
        <w:t>)</w:t>
      </w:r>
      <w:r>
        <w:rPr>
          <w:rFonts w:hint="cs"/>
          <w:rtl/>
        </w:rPr>
        <w:t xml:space="preserve"> مفصلاً.</w:t>
      </w:r>
    </w:p>
    <w:p w:rsidR="00C10469" w:rsidRDefault="00C10469">
      <w:pPr>
        <w:rPr>
          <w:rtl/>
        </w:rPr>
      </w:pPr>
      <w:r>
        <w:rPr>
          <w:rFonts w:hint="cs"/>
          <w:rtl/>
        </w:rPr>
        <w:t xml:space="preserve">وإن </w:t>
      </w:r>
      <w:r>
        <w:rPr>
          <w:rFonts w:hint="eastAsia"/>
          <w:rtl/>
        </w:rPr>
        <w:t>«</w:t>
      </w:r>
      <w:r>
        <w:rPr>
          <w:rFonts w:hint="cs"/>
          <w:b/>
          <w:bCs/>
          <w:rtl/>
        </w:rPr>
        <w:t>طولب الفرق</w:t>
      </w:r>
      <w:r>
        <w:rPr>
          <w:rFonts w:hint="cs"/>
          <w:rtl/>
        </w:rPr>
        <w:t xml:space="preserve"> بين هذا وبين ما لو ادّعيا الشراء من اثنين وأقاما البينة وأحَدُهما قابض : فإن الخارج هنا أولى !.</w:t>
      </w:r>
    </w:p>
    <w:p w:rsidR="00C10469" w:rsidRDefault="00C10469">
      <w:pPr>
        <w:rPr>
          <w:rtl/>
        </w:rPr>
      </w:pPr>
      <w:r>
        <w:rPr>
          <w:rFonts w:hint="cs"/>
          <w:b/>
          <w:bCs/>
          <w:rtl/>
        </w:rPr>
        <w:t>يجاب</w:t>
      </w:r>
      <w:r>
        <w:rPr>
          <w:rFonts w:hint="cs"/>
          <w:rtl/>
        </w:rPr>
        <w:t xml:space="preserve"> : بأن كل واحد من المدّعيين محتاج إلى إثبات الملك لبائعه أوَّلاً، فاجتمع </w:t>
      </w:r>
      <w:r>
        <w:rPr>
          <w:rFonts w:hint="cs"/>
          <w:rtl/>
        </w:rPr>
        <w:lastRenderedPageBreak/>
        <w:t>في حق البائعين بينة الخارج وذي اليد، فكان</w:t>
      </w:r>
      <w:r>
        <w:rPr>
          <w:rFonts w:hint="cs"/>
          <w:vertAlign w:val="superscript"/>
          <w:rtl/>
        </w:rPr>
        <w:t>(</w:t>
      </w:r>
      <w:r>
        <w:rPr>
          <w:rStyle w:val="a7"/>
          <w:rtl/>
        </w:rPr>
        <w:footnoteReference w:id="920"/>
      </w:r>
      <w:r>
        <w:rPr>
          <w:rFonts w:hint="cs"/>
          <w:vertAlign w:val="superscript"/>
          <w:rtl/>
        </w:rPr>
        <w:t>)</w:t>
      </w:r>
      <w:r>
        <w:rPr>
          <w:rFonts w:hint="cs"/>
          <w:rtl/>
        </w:rPr>
        <w:t xml:space="preserve"> بينة الخارج أولى</w:t>
      </w:r>
      <w:r>
        <w:rPr>
          <w:rFonts w:hint="eastAsia"/>
          <w:rtl/>
        </w:rPr>
        <w:t>»</w:t>
      </w:r>
      <w:r>
        <w:rPr>
          <w:rFonts w:hint="cs"/>
          <w:vertAlign w:val="superscript"/>
          <w:rtl/>
        </w:rPr>
        <w:t>(</w:t>
      </w:r>
      <w:r>
        <w:rPr>
          <w:rStyle w:val="a7"/>
          <w:rtl/>
        </w:rPr>
        <w:footnoteReference w:id="921"/>
      </w:r>
      <w:r>
        <w:rPr>
          <w:rFonts w:hint="cs"/>
          <w:vertAlign w:val="superscript"/>
          <w:rtl/>
        </w:rPr>
        <w:t>)</w:t>
      </w:r>
      <w:r>
        <w:rPr>
          <w:rFonts w:hint="cs"/>
          <w:rtl/>
        </w:rPr>
        <w:t>.</w:t>
      </w:r>
    </w:p>
    <w:p w:rsidR="00C10469" w:rsidRDefault="00C10469">
      <w:pPr>
        <w:rPr>
          <w:rtl/>
        </w:rPr>
      </w:pPr>
    </w:p>
    <w:p w:rsidR="00C10469" w:rsidRPr="002D100A" w:rsidRDefault="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rtl/>
        </w:rPr>
        <w:sectPr w:rsidR="00C10469" w:rsidSect="00C10469">
          <w:headerReference w:type="default" r:id="rId8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A797E" w:rsidRDefault="00C10469">
      <w:pPr>
        <w:pStyle w:val="a9"/>
        <w:rPr>
          <w:rFonts w:cs="AL-Mateen"/>
          <w:rtl/>
        </w:rPr>
      </w:pPr>
      <w:r w:rsidRPr="003A797E">
        <w:rPr>
          <w:rFonts w:cs="AL-Mateen" w:hint="cs"/>
          <w:rtl/>
        </w:rPr>
        <w:lastRenderedPageBreak/>
        <w:t>[ القاعدة الثـلاثـون ]</w:t>
      </w:r>
    </w:p>
    <w:p w:rsidR="00C10469" w:rsidRDefault="00C10469">
      <w:pPr>
        <w:rPr>
          <w:b/>
          <w:bCs/>
          <w:rtl/>
        </w:rPr>
      </w:pPr>
      <w:r>
        <w:rPr>
          <w:rFonts w:cs="Monotype Koufi" w:hint="cs"/>
          <w:b/>
          <w:rtl/>
        </w:rPr>
        <w:t>الأَصْلُ فِي الوَكَالَةِ الخُصُوصُ، وفِي المُضَارَبَةِ العُمُومُ</w:t>
      </w:r>
      <w:r>
        <w:rPr>
          <w:rFonts w:hint="cs"/>
          <w:b/>
          <w:bCs/>
          <w:vertAlign w:val="superscript"/>
          <w:rtl/>
        </w:rPr>
        <w:t>(</w:t>
      </w:r>
      <w:r>
        <w:rPr>
          <w:rStyle w:val="a7"/>
          <w:rtl/>
        </w:rPr>
        <w:footnoteReference w:id="922"/>
      </w:r>
      <w:r>
        <w:rPr>
          <w:rFonts w:hint="cs"/>
          <w:b/>
          <w:bCs/>
          <w:vertAlign w:val="superscript"/>
          <w:rtl/>
        </w:rPr>
        <w:t>)</w:t>
      </w:r>
      <w:r>
        <w:rPr>
          <w:rFonts w:hint="cs"/>
          <w:b/>
          <w:bCs/>
          <w:rtl/>
        </w:rPr>
        <w:t xml:space="preserve"> :</w:t>
      </w:r>
    </w:p>
    <w:p w:rsidR="00C10469" w:rsidRDefault="00C10469">
      <w:pPr>
        <w:rPr>
          <w:rtl/>
        </w:rPr>
      </w:pPr>
      <w:r>
        <w:rPr>
          <w:rFonts w:hint="cs"/>
          <w:rtl/>
        </w:rPr>
        <w:t>فإن باع الوكيل نَسَاءً</w:t>
      </w:r>
      <w:r>
        <w:rPr>
          <w:rFonts w:hint="cs"/>
          <w:vertAlign w:val="superscript"/>
          <w:rtl/>
        </w:rPr>
        <w:t>(</w:t>
      </w:r>
      <w:r>
        <w:rPr>
          <w:rStyle w:val="a7"/>
          <w:rtl/>
        </w:rPr>
        <w:footnoteReference w:id="923"/>
      </w:r>
      <w:r>
        <w:rPr>
          <w:rFonts w:hint="cs"/>
          <w:vertAlign w:val="superscript"/>
          <w:rtl/>
        </w:rPr>
        <w:t>)</w:t>
      </w:r>
      <w:r>
        <w:rPr>
          <w:rFonts w:hint="cs"/>
          <w:rtl/>
        </w:rPr>
        <w:t>، فقال الموكل : أمرتك بنقد. وقال : أطلقتَ :صُدِّق الموكِّل؛ بناء على أن الخصوص أصل في الوكالة، فالقول لمن يتمسك بالأصل.</w:t>
      </w:r>
    </w:p>
    <w:p w:rsidR="00C10469" w:rsidRDefault="00C10469">
      <w:pPr>
        <w:rPr>
          <w:spacing w:val="-10"/>
          <w:rtl/>
        </w:rPr>
        <w:sectPr w:rsidR="00C10469" w:rsidSect="00C10469">
          <w:headerReference w:type="default" r:id="rId8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spacing w:val="-10"/>
          <w:rtl/>
        </w:rPr>
        <w:t>وفي المضاربة : ادّعى المضارب العموم فقال : ما عَيَّنْتَ لي تجارة. والمالك ادعى الخصوص : فالقول للمضارب؛ لأن الأصل فيها العموم، فالقول لمن يتمسّك</w:t>
      </w:r>
      <w:r>
        <w:rPr>
          <w:rStyle w:val="a7"/>
          <w:spacing w:val="-10"/>
          <w:rtl/>
        </w:rPr>
        <w:footnoteReference w:id="924"/>
      </w:r>
      <w:r>
        <w:rPr>
          <w:rFonts w:hint="cs"/>
          <w:spacing w:val="-10"/>
          <w:rtl/>
        </w:rPr>
        <w:t xml:space="preserve"> </w:t>
      </w:r>
      <w:r>
        <w:rPr>
          <w:rFonts w:hint="cs"/>
          <w:spacing w:val="-10"/>
          <w:rtl/>
        </w:rPr>
        <w:lastRenderedPageBreak/>
        <w:t>بالأصل</w:t>
      </w:r>
      <w:r>
        <w:rPr>
          <w:rFonts w:hint="cs"/>
          <w:spacing w:val="-10"/>
          <w:vertAlign w:val="superscript"/>
          <w:rtl/>
        </w:rPr>
        <w:t>(</w:t>
      </w:r>
      <w:r>
        <w:rPr>
          <w:rStyle w:val="a7"/>
          <w:spacing w:val="-10"/>
          <w:rtl/>
        </w:rPr>
        <w:footnoteReference w:id="925"/>
      </w:r>
      <w:r>
        <w:rPr>
          <w:rFonts w:hint="cs"/>
          <w:spacing w:val="-10"/>
          <w:vertAlign w:val="superscript"/>
          <w:rtl/>
        </w:rPr>
        <w:t>)</w:t>
      </w:r>
      <w:r>
        <w:rPr>
          <w:rFonts w:hint="cs"/>
          <w:spacing w:val="-10"/>
          <w:rtl/>
        </w:rPr>
        <w:t>.</w:t>
      </w:r>
    </w:p>
    <w:p w:rsidR="00C10469" w:rsidRPr="00224C3D" w:rsidRDefault="00C10469">
      <w:pPr>
        <w:pStyle w:val="a9"/>
        <w:rPr>
          <w:rFonts w:cs="AL-Mateen"/>
          <w:rtl/>
        </w:rPr>
      </w:pPr>
      <w:r w:rsidRPr="00224C3D">
        <w:rPr>
          <w:rFonts w:cs="AL-Mateen" w:hint="cs"/>
          <w:rtl/>
        </w:rPr>
        <w:lastRenderedPageBreak/>
        <w:t>[ القـاعـدة الحـاديـة والثـلاثـون ]</w:t>
      </w:r>
    </w:p>
    <w:p w:rsidR="00C10469" w:rsidRDefault="00C10469">
      <w:pPr>
        <w:rPr>
          <w:rtl/>
        </w:rPr>
      </w:pPr>
      <w:r>
        <w:rPr>
          <w:rFonts w:cs="Monotype Koufi" w:hint="cs"/>
          <w:rtl/>
        </w:rPr>
        <w:t>الأصلُ :</w:t>
      </w:r>
      <w:r>
        <w:rPr>
          <w:rFonts w:hint="cs"/>
          <w:rtl/>
        </w:rPr>
        <w:t xml:space="preserve"> </w:t>
      </w:r>
      <w:r>
        <w:rPr>
          <w:rFonts w:cs="Monotype Koufi" w:hint="cs"/>
          <w:rtl/>
        </w:rPr>
        <w:t>أَنَّ كُلَّ تصرُّفٍ يُوقَفُ</w:t>
      </w:r>
      <w:r>
        <w:rPr>
          <w:rStyle w:val="a7"/>
          <w:b/>
          <w:rtl/>
        </w:rPr>
        <w:footnoteReference w:id="926"/>
      </w:r>
      <w:r>
        <w:rPr>
          <w:rFonts w:hint="cs"/>
          <w:b/>
          <w:bCs/>
          <w:rtl/>
        </w:rPr>
        <w:t xml:space="preserve"> </w:t>
      </w:r>
      <w:r>
        <w:rPr>
          <w:rFonts w:cs="Monotype Koufi" w:hint="cs"/>
          <w:rtl/>
        </w:rPr>
        <w:t>حُكْمُهُ على شيءٍ : أنْ يُجْعَلَ مُعَلَّقًا بالشَّرْطِ، لا سببًا، إلاَّ فِيمَا لا يَحْتَمِلُ التَّعلِيقَ</w:t>
      </w:r>
      <w:r>
        <w:rPr>
          <w:rFonts w:hint="cs"/>
          <w:vertAlign w:val="superscript"/>
          <w:rtl/>
        </w:rPr>
        <w:t>(</w:t>
      </w:r>
      <w:r>
        <w:rPr>
          <w:rStyle w:val="a7"/>
          <w:b/>
          <w:rtl/>
        </w:rPr>
        <w:footnoteReference w:id="927"/>
      </w:r>
      <w:r>
        <w:rPr>
          <w:rFonts w:hint="cs"/>
          <w:vertAlign w:val="superscript"/>
          <w:rtl/>
        </w:rPr>
        <w:t>)</w:t>
      </w:r>
      <w:r>
        <w:rPr>
          <w:rFonts w:hint="cs"/>
          <w:b/>
          <w:bCs/>
          <w:rtl/>
        </w:rPr>
        <w:t>:</w:t>
      </w:r>
    </w:p>
    <w:p w:rsidR="00C10469" w:rsidRDefault="00C10469" w:rsidP="00C10469">
      <w:pPr>
        <w:ind w:left="848" w:hanging="281"/>
        <w:rPr>
          <w:spacing w:val="-4"/>
          <w:rtl/>
        </w:rPr>
      </w:pPr>
      <w:r>
        <w:rPr>
          <w:spacing w:val="-4"/>
          <w:rtl/>
        </w:rPr>
        <w:lastRenderedPageBreak/>
        <w:t>•</w:t>
      </w:r>
      <w:r>
        <w:rPr>
          <w:rFonts w:hint="cs"/>
          <w:spacing w:val="-4"/>
          <w:rtl/>
        </w:rPr>
        <w:t xml:space="preserve">  ولذا : </w:t>
      </w:r>
      <w:r>
        <w:rPr>
          <w:rFonts w:hint="eastAsia"/>
          <w:spacing w:val="-4"/>
          <w:rtl/>
        </w:rPr>
        <w:t>«</w:t>
      </w:r>
      <w:r>
        <w:rPr>
          <w:rFonts w:hint="cs"/>
          <w:spacing w:val="-4"/>
          <w:rtl/>
        </w:rPr>
        <w:t>إذا قال الفُضُولِيُّ</w:t>
      </w:r>
      <w:r>
        <w:rPr>
          <w:rFonts w:hint="cs"/>
          <w:spacing w:val="-4"/>
          <w:vertAlign w:val="superscript"/>
          <w:rtl/>
        </w:rPr>
        <w:t>(</w:t>
      </w:r>
      <w:r>
        <w:rPr>
          <w:rStyle w:val="a7"/>
          <w:spacing w:val="-4"/>
          <w:rtl/>
        </w:rPr>
        <w:footnoteReference w:id="928"/>
      </w:r>
      <w:r>
        <w:rPr>
          <w:rFonts w:hint="cs"/>
          <w:spacing w:val="-4"/>
          <w:vertAlign w:val="superscript"/>
          <w:rtl/>
        </w:rPr>
        <w:t>)</w:t>
      </w:r>
      <w:r>
        <w:rPr>
          <w:rFonts w:hint="cs"/>
          <w:spacing w:val="-4"/>
          <w:rtl/>
        </w:rPr>
        <w:t xml:space="preserve"> لامرأة رجلٍ : أمرُكِ بيدِكِ. فطلّقَتْ نفسها، ثم بلغ الخـبـرُ بالزوج</w:t>
      </w:r>
      <w:r>
        <w:rPr>
          <w:rStyle w:val="a7"/>
          <w:spacing w:val="-4"/>
          <w:rtl/>
        </w:rPr>
        <w:footnoteReference w:id="929"/>
      </w:r>
      <w:r>
        <w:rPr>
          <w:rFonts w:hint="cs"/>
          <w:spacing w:val="-4"/>
          <w:rtl/>
        </w:rPr>
        <w:t>، فأجاز</w:t>
      </w:r>
      <w:r>
        <w:rPr>
          <w:rStyle w:val="a7"/>
          <w:spacing w:val="-4"/>
          <w:rtl/>
        </w:rPr>
        <w:footnoteReference w:id="930"/>
      </w:r>
      <w:r>
        <w:rPr>
          <w:rFonts w:hint="cs"/>
          <w:spacing w:val="-4"/>
          <w:rtl/>
        </w:rPr>
        <w:t xml:space="preserve"> التفويضَ : صحّ التفويضُ دون التعليق</w:t>
      </w:r>
      <w:r>
        <w:rPr>
          <w:rFonts w:hint="cs"/>
          <w:spacing w:val="-4"/>
          <w:vertAlign w:val="superscript"/>
          <w:rtl/>
        </w:rPr>
        <w:t>(</w:t>
      </w:r>
      <w:r>
        <w:rPr>
          <w:rStyle w:val="a7"/>
          <w:spacing w:val="-4"/>
          <w:rtl/>
        </w:rPr>
        <w:footnoteReference w:id="931"/>
      </w:r>
      <w:r>
        <w:rPr>
          <w:rFonts w:hint="cs"/>
          <w:spacing w:val="-4"/>
          <w:vertAlign w:val="superscript"/>
          <w:rtl/>
        </w:rPr>
        <w:t>)</w:t>
      </w:r>
      <w:r>
        <w:rPr>
          <w:rFonts w:hint="cs"/>
          <w:spacing w:val="-4"/>
          <w:rtl/>
        </w:rPr>
        <w:t>. وإن ثبَّت</w:t>
      </w:r>
      <w:r>
        <w:rPr>
          <w:rFonts w:hint="eastAsia"/>
          <w:spacing w:val="-4"/>
          <w:rtl/>
        </w:rPr>
        <w:t> </w:t>
      </w:r>
      <w:r>
        <w:rPr>
          <w:rFonts w:hint="cs"/>
          <w:spacing w:val="-4"/>
          <w:rtl/>
        </w:rPr>
        <w:t xml:space="preserve">المالكية </w:t>
      </w:r>
      <w:r>
        <w:rPr>
          <w:rFonts w:hint="cs"/>
          <w:spacing w:val="-4"/>
          <w:vertAlign w:val="superscript"/>
          <w:rtl/>
        </w:rPr>
        <w:t>(</w:t>
      </w:r>
      <w:r>
        <w:rPr>
          <w:rStyle w:val="a7"/>
          <w:spacing w:val="-4"/>
          <w:rtl/>
        </w:rPr>
        <w:footnoteReference w:id="932"/>
      </w:r>
      <w:r>
        <w:rPr>
          <w:rFonts w:hint="cs"/>
          <w:spacing w:val="-4"/>
          <w:vertAlign w:val="superscript"/>
          <w:rtl/>
        </w:rPr>
        <w:t>)</w:t>
      </w:r>
      <w:r>
        <w:rPr>
          <w:rFonts w:hint="cs"/>
          <w:spacing w:val="-4"/>
          <w:rtl/>
        </w:rPr>
        <w:t xml:space="preserve"> لها من</w:t>
      </w:r>
      <w:r>
        <w:rPr>
          <w:rStyle w:val="a7"/>
          <w:spacing w:val="-4"/>
          <w:rtl/>
        </w:rPr>
        <w:footnoteReference w:id="933"/>
      </w:r>
      <w:r>
        <w:rPr>
          <w:rFonts w:hint="cs"/>
          <w:spacing w:val="-4"/>
          <w:rtl/>
        </w:rPr>
        <w:t xml:space="preserve"> حين </w:t>
      </w:r>
      <w:r>
        <w:rPr>
          <w:rFonts w:hint="cs"/>
          <w:rtl/>
        </w:rPr>
        <w:t>التفويض حكمًا</w:t>
      </w:r>
      <w:r>
        <w:rPr>
          <w:rFonts w:hint="cs"/>
          <w:spacing w:val="-4"/>
          <w:rtl/>
        </w:rPr>
        <w:t xml:space="preserve"> للإجازة</w:t>
      </w:r>
      <w:r>
        <w:rPr>
          <w:rFonts w:hint="eastAsia"/>
          <w:spacing w:val="-4"/>
          <w:rtl/>
        </w:rPr>
        <w:t>»</w:t>
      </w:r>
      <w:r>
        <w:rPr>
          <w:rFonts w:hint="cs"/>
          <w:spacing w:val="-4"/>
          <w:rtl/>
        </w:rPr>
        <w:t>.</w:t>
      </w:r>
      <w:r>
        <w:rPr>
          <w:rFonts w:hint="cs"/>
          <w:spacing w:val="-4"/>
          <w:vertAlign w:val="superscript"/>
          <w:rtl/>
        </w:rPr>
        <w:t>(</w:t>
      </w:r>
      <w:r>
        <w:rPr>
          <w:rStyle w:val="a7"/>
          <w:spacing w:val="-4"/>
          <w:rtl/>
        </w:rPr>
        <w:footnoteReference w:id="934"/>
      </w:r>
      <w:r>
        <w:rPr>
          <w:rFonts w:hint="cs"/>
          <w:spacing w:val="-4"/>
          <w:vertAlign w:val="superscript"/>
          <w:rtl/>
        </w:rPr>
        <w:t>)</w:t>
      </w:r>
    </w:p>
    <w:p w:rsidR="00C10469" w:rsidRDefault="00C10469" w:rsidP="00C10469">
      <w:pPr>
        <w:ind w:left="851" w:hanging="284"/>
        <w:jc w:val="mediumKashida"/>
        <w:rPr>
          <w:rtl/>
        </w:rPr>
      </w:pPr>
      <w:r w:rsidRPr="00C563F3">
        <w:rPr>
          <w:rFonts w:hint="cs"/>
          <w:b/>
          <w:bCs/>
          <w:rtl/>
        </w:rPr>
        <w:t xml:space="preserve">   </w:t>
      </w:r>
      <w:r>
        <w:rPr>
          <w:rFonts w:hint="cs"/>
          <w:b/>
          <w:bCs/>
          <w:rtl/>
        </w:rPr>
        <w:t xml:space="preserve"> </w:t>
      </w:r>
      <w:r w:rsidRPr="00C563F3">
        <w:rPr>
          <w:rFonts w:hint="cs"/>
          <w:b/>
          <w:bCs/>
          <w:rtl/>
        </w:rPr>
        <w:t>وتقريره</w:t>
      </w:r>
      <w:r w:rsidRPr="00C563F3">
        <w:rPr>
          <w:rFonts w:hint="cs"/>
          <w:rtl/>
        </w:rPr>
        <w:t xml:space="preserve"> : أن التفويض</w:t>
      </w:r>
      <w:r w:rsidRPr="00C563F3">
        <w:rPr>
          <w:rStyle w:val="a7"/>
          <w:rtl/>
        </w:rPr>
        <w:footnoteReference w:id="935"/>
      </w:r>
      <w:r w:rsidRPr="00C563F3">
        <w:rPr>
          <w:rFonts w:hint="cs"/>
          <w:rtl/>
        </w:rPr>
        <w:t xml:space="preserve"> تصرفٌ يوقف</w:t>
      </w:r>
      <w:r w:rsidRPr="00C563F3">
        <w:rPr>
          <w:rStyle w:val="a7"/>
          <w:rtl/>
        </w:rPr>
        <w:footnoteReference w:id="936"/>
      </w:r>
      <w:r w:rsidRPr="00C563F3">
        <w:rPr>
          <w:rFonts w:hint="cs"/>
          <w:rtl/>
        </w:rPr>
        <w:t xml:space="preserve"> حكمه على الإجازة، </w:t>
      </w:r>
      <w:r w:rsidRPr="00C563F3">
        <w:rPr>
          <w:rFonts w:hint="eastAsia"/>
          <w:rtl/>
        </w:rPr>
        <w:t>«</w:t>
      </w:r>
      <w:r w:rsidRPr="00C563F3">
        <w:rPr>
          <w:rFonts w:hint="cs"/>
          <w:rtl/>
        </w:rPr>
        <w:t>والتفويض ممّا</w:t>
      </w:r>
      <w:r w:rsidRPr="00C563F3">
        <w:rPr>
          <w:rStyle w:val="a7"/>
          <w:rtl/>
        </w:rPr>
        <w:footnoteReference w:id="937"/>
      </w:r>
      <w:r w:rsidRPr="00C563F3">
        <w:rPr>
          <w:rFonts w:hint="cs"/>
          <w:rtl/>
        </w:rPr>
        <w:t xml:space="preserve"> يحتمل التعليق، فجعل التفويض</w:t>
      </w:r>
      <w:r w:rsidRPr="00C563F3">
        <w:rPr>
          <w:rFonts w:hint="cs"/>
          <w:vertAlign w:val="superscript"/>
          <w:rtl/>
        </w:rPr>
        <w:t>(</w:t>
      </w:r>
      <w:r w:rsidRPr="00C563F3">
        <w:rPr>
          <w:rStyle w:val="a7"/>
          <w:rtl/>
        </w:rPr>
        <w:footnoteReference w:id="938"/>
      </w:r>
      <w:r w:rsidRPr="00C563F3">
        <w:rPr>
          <w:rFonts w:hint="cs"/>
          <w:vertAlign w:val="superscript"/>
          <w:rtl/>
        </w:rPr>
        <w:t>)</w:t>
      </w:r>
      <w:r w:rsidRPr="00C563F3">
        <w:rPr>
          <w:rFonts w:hint="cs"/>
          <w:rtl/>
        </w:rPr>
        <w:t xml:space="preserve"> من الفضولي </w:t>
      </w:r>
      <w:r w:rsidRPr="00C563F3">
        <w:rPr>
          <w:rFonts w:hint="cs"/>
          <w:rtl/>
        </w:rPr>
        <w:lastRenderedPageBreak/>
        <w:t>معلقًا بالشرط</w:t>
      </w:r>
      <w:r w:rsidRPr="00C563F3">
        <w:rPr>
          <w:rStyle w:val="a7"/>
          <w:rtl/>
        </w:rPr>
        <w:footnoteReference w:id="939"/>
      </w:r>
      <w:r w:rsidRPr="00C563F3">
        <w:rPr>
          <w:rFonts w:hint="cs"/>
          <w:rtl/>
        </w:rPr>
        <w:t xml:space="preserve"> وهو</w:t>
      </w:r>
      <w:r w:rsidRPr="00C563F3">
        <w:rPr>
          <w:rFonts w:hint="cs"/>
          <w:spacing w:val="2"/>
          <w:rtl/>
        </w:rPr>
        <w:t xml:space="preserve"> الإجازة،</w:t>
      </w:r>
      <w:r>
        <w:rPr>
          <w:rFonts w:hint="cs"/>
          <w:rtl/>
        </w:rPr>
        <w:t xml:space="preserve"> فإذا وُجدَ يصير كأنّه وُجِدَ الآنَ، فلا يثبت</w:t>
      </w:r>
      <w:r>
        <w:rPr>
          <w:rStyle w:val="a7"/>
          <w:rtl/>
        </w:rPr>
        <w:footnoteReference w:id="940"/>
      </w:r>
      <w:r>
        <w:rPr>
          <w:rFonts w:hint="cs"/>
          <w:rtl/>
        </w:rPr>
        <w:t xml:space="preserve"> حكمه إلا من</w:t>
      </w:r>
      <w:r>
        <w:rPr>
          <w:rStyle w:val="a7"/>
          <w:rtl/>
        </w:rPr>
        <w:footnoteReference w:id="941"/>
      </w:r>
      <w:r>
        <w:rPr>
          <w:rFonts w:hint="cs"/>
          <w:rtl/>
        </w:rPr>
        <w:t xml:space="preserve"> وقت الإجازة</w:t>
      </w:r>
      <w:r>
        <w:rPr>
          <w:rFonts w:hint="eastAsia"/>
          <w:rtl/>
        </w:rPr>
        <w:t>»</w:t>
      </w:r>
      <w:r>
        <w:rPr>
          <w:rFonts w:hint="cs"/>
          <w:vertAlign w:val="superscript"/>
          <w:rtl/>
        </w:rPr>
        <w:t>(</w:t>
      </w:r>
      <w:r>
        <w:rPr>
          <w:rStyle w:val="a7"/>
          <w:rtl/>
        </w:rPr>
        <w:footnoteReference w:id="942"/>
      </w:r>
      <w:r>
        <w:rPr>
          <w:rFonts w:hint="cs"/>
          <w:vertAlign w:val="superscript"/>
          <w:rtl/>
        </w:rPr>
        <w:t>)</w:t>
      </w:r>
      <w:r>
        <w:rPr>
          <w:rFonts w:hint="cs"/>
          <w:rtl/>
        </w:rPr>
        <w:t>؛ لأن التعليق لا يكون سببًا قبل وجود الشرط، ولا يجعل سببًا من وقت وجوده؛ لئلا يتخلف الحكم عن السبب</w:t>
      </w:r>
      <w:r>
        <w:rPr>
          <w:rFonts w:hint="cs"/>
          <w:vertAlign w:val="superscript"/>
          <w:rtl/>
        </w:rPr>
        <w:t>(</w:t>
      </w:r>
      <w:r>
        <w:rPr>
          <w:rStyle w:val="a7"/>
          <w:rtl/>
        </w:rPr>
        <w:footnoteReference w:id="943"/>
      </w:r>
      <w:r>
        <w:rPr>
          <w:rFonts w:hint="cs"/>
          <w:vertAlign w:val="superscript"/>
          <w:rtl/>
        </w:rPr>
        <w:t>)</w:t>
      </w:r>
      <w:r>
        <w:rPr>
          <w:rFonts w:hint="cs"/>
          <w:rtl/>
        </w:rPr>
        <w:t>، فكان تطليق</w:t>
      </w:r>
      <w:r>
        <w:rPr>
          <w:rStyle w:val="a7"/>
          <w:rtl/>
        </w:rPr>
        <w:footnoteReference w:id="944"/>
      </w:r>
      <w:r>
        <w:rPr>
          <w:rFonts w:hint="cs"/>
          <w:rtl/>
        </w:rPr>
        <w:t xml:space="preserve"> نفسها قبل التفويض، فلا يصح</w:t>
      </w:r>
      <w:r>
        <w:rPr>
          <w:rFonts w:hint="cs"/>
          <w:vertAlign w:val="superscript"/>
          <w:rtl/>
        </w:rPr>
        <w:t>(</w:t>
      </w:r>
      <w:r>
        <w:rPr>
          <w:rStyle w:val="a7"/>
          <w:rtl/>
        </w:rPr>
        <w:footnoteReference w:id="945"/>
      </w:r>
      <w:r>
        <w:rPr>
          <w:rFonts w:hint="cs"/>
          <w:vertAlign w:val="superscript"/>
          <w:rtl/>
        </w:rPr>
        <w:t>)</w:t>
      </w:r>
      <w:r>
        <w:rPr>
          <w:rFonts w:hint="cs"/>
          <w:rtl/>
        </w:rPr>
        <w:t>.</w:t>
      </w:r>
    </w:p>
    <w:p w:rsidR="00C10469" w:rsidRDefault="00C10469" w:rsidP="00C10469">
      <w:pPr>
        <w:ind w:left="851" w:hanging="284"/>
        <w:jc w:val="mediumKashida"/>
        <w:rPr>
          <w:rtl/>
        </w:rPr>
      </w:pPr>
      <w:r>
        <w:rPr>
          <w:rtl/>
        </w:rPr>
        <w:t>•</w:t>
      </w:r>
      <w:r>
        <w:rPr>
          <w:rFonts w:hint="cs"/>
          <w:rtl/>
        </w:rPr>
        <w:t xml:space="preserve">  وأما بيع الفضولي لمّا كان موقوفًا على الإجازة : يجعل سببًا من</w:t>
      </w:r>
      <w:r>
        <w:rPr>
          <w:rStyle w:val="a7"/>
          <w:rtl/>
        </w:rPr>
        <w:footnoteReference w:id="946"/>
      </w:r>
      <w:r>
        <w:rPr>
          <w:rFonts w:hint="cs"/>
          <w:rtl/>
        </w:rPr>
        <w:t xml:space="preserve"> وقت وجوده؛ ضرورة عدم إمكان جعل البيع معلقًا بالشرط؛ لأن البيع لا يحتمل التعليق، فتأخّر حكمه إلى وقت إجازة المالك</w:t>
      </w:r>
      <w:r>
        <w:rPr>
          <w:rStyle w:val="a7"/>
          <w:rtl/>
        </w:rPr>
        <w:footnoteReference w:id="947"/>
      </w:r>
      <w:r>
        <w:rPr>
          <w:rFonts w:hint="cs"/>
          <w:rtl/>
        </w:rPr>
        <w:t>.</w:t>
      </w:r>
    </w:p>
    <w:p w:rsidR="00C10469" w:rsidRDefault="00C10469" w:rsidP="00C10469">
      <w:pPr>
        <w:ind w:left="848" w:hanging="281"/>
        <w:jc w:val="mediumKashida"/>
        <w:rPr>
          <w:spacing w:val="-12"/>
          <w:rtl/>
        </w:rPr>
      </w:pPr>
      <w:r>
        <w:rPr>
          <w:rFonts w:hint="cs"/>
          <w:b/>
          <w:bCs/>
          <w:spacing w:val="-8"/>
          <w:rtl/>
        </w:rPr>
        <w:t xml:space="preserve">   ولذا</w:t>
      </w:r>
      <w:r>
        <w:rPr>
          <w:rFonts w:hint="cs"/>
          <w:spacing w:val="-8"/>
          <w:rtl/>
        </w:rPr>
        <w:t xml:space="preserve"> : </w:t>
      </w:r>
      <w:r>
        <w:rPr>
          <w:rFonts w:hint="eastAsia"/>
          <w:spacing w:val="-8"/>
          <w:rtl/>
        </w:rPr>
        <w:t>«</w:t>
      </w:r>
      <w:r>
        <w:rPr>
          <w:rFonts w:hint="cs"/>
          <w:spacing w:val="-8"/>
          <w:rtl/>
        </w:rPr>
        <w:t>إذا قُطعتْ</w:t>
      </w:r>
      <w:r>
        <w:rPr>
          <w:rStyle w:val="a7"/>
          <w:spacing w:val="-8"/>
          <w:rtl/>
        </w:rPr>
        <w:footnoteReference w:id="948"/>
      </w:r>
      <w:r>
        <w:rPr>
          <w:rFonts w:hint="cs"/>
          <w:spacing w:val="-8"/>
          <w:rtl/>
        </w:rPr>
        <w:t xml:space="preserve"> يد العبد في يد المشتري من الغاصب، وأَخَذَ </w:t>
      </w:r>
      <w:r>
        <w:rPr>
          <w:rFonts w:hint="cs"/>
          <w:spacing w:val="-8"/>
          <w:rtl/>
        </w:rPr>
        <w:lastRenderedPageBreak/>
        <w:t>المشتري  أرشَها</w:t>
      </w:r>
      <w:r>
        <w:rPr>
          <w:rStyle w:val="a7"/>
          <w:spacing w:val="-8"/>
          <w:rtl/>
        </w:rPr>
        <w:footnoteReference w:id="949"/>
      </w:r>
      <w:r>
        <w:rPr>
          <w:rFonts w:hint="cs"/>
          <w:spacing w:val="-8"/>
          <w:vertAlign w:val="superscript"/>
          <w:rtl/>
        </w:rPr>
        <w:t>(</w:t>
      </w:r>
      <w:r>
        <w:rPr>
          <w:rStyle w:val="a7"/>
          <w:spacing w:val="-8"/>
          <w:rtl/>
        </w:rPr>
        <w:footnoteReference w:id="950"/>
      </w:r>
      <w:r>
        <w:rPr>
          <w:rFonts w:hint="cs"/>
          <w:spacing w:val="-8"/>
          <w:vertAlign w:val="superscript"/>
          <w:rtl/>
        </w:rPr>
        <w:t>)</w:t>
      </w:r>
      <w:r>
        <w:rPr>
          <w:rFonts w:hint="cs"/>
          <w:spacing w:val="-8"/>
          <w:rtl/>
        </w:rPr>
        <w:t xml:space="preserve">، ثم أجاز المالك البيع : فالأرش للمشتري؛ لأن الملك قد تمّ </w:t>
      </w:r>
      <w:r>
        <w:rPr>
          <w:rFonts w:hint="cs"/>
          <w:spacing w:val="-12"/>
          <w:rtl/>
        </w:rPr>
        <w:t>للمشتري من وقت الشراء؛ لأن سبب الملك هو العقد، وكان تامًّا في نفسه، ولكن يؤخر حكمه لمانع، وهو حق المغصوب منه، فإذا ارتفع بالإجازة : ثبت الملك من وقت وجود السبب، [لكون]</w:t>
      </w:r>
      <w:r>
        <w:rPr>
          <w:rStyle w:val="a7"/>
          <w:spacing w:val="-12"/>
          <w:rtl/>
        </w:rPr>
        <w:footnoteReference w:id="951"/>
      </w:r>
      <w:r>
        <w:rPr>
          <w:rFonts w:hint="cs"/>
          <w:spacing w:val="-12"/>
          <w:rtl/>
        </w:rPr>
        <w:t xml:space="preserve"> الإجازة</w:t>
      </w:r>
      <w:r>
        <w:rPr>
          <w:rStyle w:val="a7"/>
          <w:spacing w:val="-12"/>
          <w:rtl/>
        </w:rPr>
        <w:footnoteReference w:id="952"/>
      </w:r>
      <w:r>
        <w:rPr>
          <w:rFonts w:hint="cs"/>
          <w:spacing w:val="-12"/>
          <w:rtl/>
        </w:rPr>
        <w:t xml:space="preserve"> في الانتهاء</w:t>
      </w:r>
      <w:r>
        <w:rPr>
          <w:rStyle w:val="a7"/>
          <w:spacing w:val="-12"/>
          <w:rtl/>
        </w:rPr>
        <w:footnoteReference w:id="953"/>
      </w:r>
      <w:r>
        <w:rPr>
          <w:rFonts w:hint="cs"/>
          <w:spacing w:val="-12"/>
          <w:rtl/>
        </w:rPr>
        <w:t xml:space="preserve"> إذنًا</w:t>
      </w:r>
      <w:r>
        <w:rPr>
          <w:rStyle w:val="a7"/>
          <w:spacing w:val="-12"/>
          <w:rtl/>
        </w:rPr>
        <w:footnoteReference w:id="954"/>
      </w:r>
      <w:r>
        <w:rPr>
          <w:rFonts w:hint="cs"/>
          <w:spacing w:val="-12"/>
          <w:rtl/>
        </w:rPr>
        <w:t xml:space="preserve"> في الابتداء</w:t>
      </w:r>
      <w:r>
        <w:rPr>
          <w:rFonts w:hint="eastAsia"/>
          <w:spacing w:val="-12"/>
          <w:rtl/>
        </w:rPr>
        <w:t>»</w:t>
      </w:r>
      <w:r>
        <w:rPr>
          <w:rFonts w:hint="cs"/>
          <w:spacing w:val="-12"/>
          <w:vertAlign w:val="superscript"/>
          <w:rtl/>
        </w:rPr>
        <w:t>(</w:t>
      </w:r>
      <w:r>
        <w:rPr>
          <w:rStyle w:val="a7"/>
          <w:spacing w:val="-12"/>
          <w:rtl/>
        </w:rPr>
        <w:footnoteReference w:id="955"/>
      </w:r>
      <w:r>
        <w:rPr>
          <w:rFonts w:hint="cs"/>
          <w:spacing w:val="-12"/>
          <w:vertAlign w:val="superscript"/>
          <w:rtl/>
        </w:rPr>
        <w:t>)</w:t>
      </w:r>
      <w:r>
        <w:rPr>
          <w:rFonts w:hint="cs"/>
          <w:spacing w:val="-12"/>
          <w:rtl/>
        </w:rPr>
        <w:t xml:space="preserve">. فتبين أن القطع حصل على ملكه، فيكون الأرش له. </w:t>
      </w:r>
      <w:r>
        <w:rPr>
          <w:rFonts w:hint="cs"/>
          <w:b/>
          <w:bCs/>
          <w:spacing w:val="-12"/>
          <w:rtl/>
        </w:rPr>
        <w:t>وعلى هذا</w:t>
      </w:r>
      <w:r>
        <w:rPr>
          <w:rFonts w:hint="cs"/>
          <w:spacing w:val="-12"/>
          <w:rtl/>
        </w:rPr>
        <w:t xml:space="preserve"> : </w:t>
      </w:r>
    </w:p>
    <w:p w:rsidR="00C10469" w:rsidRDefault="00C10469" w:rsidP="00C10469">
      <w:pPr>
        <w:ind w:left="851" w:hanging="284"/>
        <w:jc w:val="mediumKashida"/>
      </w:pPr>
      <w:r>
        <w:rPr>
          <w:rtl/>
        </w:rPr>
        <w:lastRenderedPageBreak/>
        <w:t>•</w:t>
      </w:r>
      <w:r>
        <w:rPr>
          <w:rFonts w:hint="cs"/>
          <w:rtl/>
        </w:rPr>
        <w:t xml:space="preserve">  كل</w:t>
      </w:r>
      <w:r>
        <w:rPr>
          <w:rStyle w:val="a7"/>
          <w:rtl/>
        </w:rPr>
        <w:footnoteReference w:id="956"/>
      </w:r>
      <w:r>
        <w:rPr>
          <w:rFonts w:hint="cs"/>
          <w:rtl/>
        </w:rPr>
        <w:t xml:space="preserve"> ما حدث للجارية عند المشتري من ولدٍ وكسبٍ، فإن لم يُجز </w:t>
      </w:r>
      <w:r w:rsidRPr="00C1113B">
        <w:rPr>
          <w:rFonts w:hint="cs"/>
          <w:spacing w:val="-2"/>
          <w:rtl/>
        </w:rPr>
        <w:t>المالك البيع</w:t>
      </w:r>
      <w:r w:rsidRPr="00C1113B">
        <w:rPr>
          <w:rFonts w:hint="cs"/>
          <w:spacing w:val="-2"/>
          <w:vertAlign w:val="superscript"/>
          <w:rtl/>
        </w:rPr>
        <w:t>(</w:t>
      </w:r>
      <w:r w:rsidRPr="00C1113B">
        <w:rPr>
          <w:rStyle w:val="a7"/>
          <w:spacing w:val="-2"/>
          <w:rtl/>
        </w:rPr>
        <w:footnoteReference w:id="957"/>
      </w:r>
      <w:r w:rsidRPr="00C1113B">
        <w:rPr>
          <w:rFonts w:hint="cs"/>
          <w:spacing w:val="-2"/>
          <w:vertAlign w:val="superscript"/>
          <w:rtl/>
        </w:rPr>
        <w:t>)</w:t>
      </w:r>
      <w:r w:rsidRPr="00C1113B">
        <w:rPr>
          <w:rFonts w:hint="cs"/>
          <w:spacing w:val="-2"/>
          <w:rtl/>
        </w:rPr>
        <w:t xml:space="preserve"> أخذ جميع</w:t>
      </w:r>
      <w:r w:rsidRPr="00C1113B">
        <w:rPr>
          <w:rStyle w:val="a7"/>
          <w:spacing w:val="-2"/>
          <w:rtl/>
        </w:rPr>
        <w:footnoteReference w:id="958"/>
      </w:r>
      <w:r w:rsidRPr="00C1113B">
        <w:rPr>
          <w:rFonts w:hint="cs"/>
          <w:spacing w:val="-2"/>
          <w:rtl/>
        </w:rPr>
        <w:t xml:space="preserve"> ذلك معها؛ لأن ملكه بقي مقرَّرًا فيها،</w:t>
      </w:r>
      <w:r>
        <w:rPr>
          <w:rFonts w:hint="cs"/>
          <w:rtl/>
        </w:rPr>
        <w:t xml:space="preserve"> والكَسْبُ والأرشُ والولد لا يُملكُ إلاّ بملك الأصل</w:t>
      </w:r>
      <w:r>
        <w:rPr>
          <w:rFonts w:hint="eastAsia"/>
          <w:rtl/>
        </w:rPr>
        <w:t>»</w:t>
      </w:r>
      <w:r>
        <w:rPr>
          <w:rFonts w:hint="cs"/>
          <w:vertAlign w:val="superscript"/>
          <w:rtl/>
        </w:rPr>
        <w:t>(</w:t>
      </w:r>
      <w:r>
        <w:rPr>
          <w:rStyle w:val="a7"/>
          <w:rtl/>
        </w:rPr>
        <w:footnoteReference w:id="959"/>
      </w:r>
      <w:r>
        <w:rPr>
          <w:rFonts w:hint="cs"/>
          <w:vertAlign w:val="superscript"/>
          <w:rtl/>
        </w:rPr>
        <w:t>)</w:t>
      </w:r>
      <w:r>
        <w:rPr>
          <w:rFonts w:hint="cs"/>
          <w:rtl/>
        </w:rPr>
        <w:t>.</w:t>
      </w:r>
    </w:p>
    <w:p w:rsidR="00C10469" w:rsidRDefault="00C10469" w:rsidP="00C10469">
      <w:pPr>
        <w:ind w:left="851" w:hanging="284"/>
        <w:jc w:val="mediumKashida"/>
      </w:pPr>
      <w:r>
        <w:rPr>
          <w:rtl/>
        </w:rPr>
        <w:t>•</w:t>
      </w:r>
      <w:r>
        <w:rPr>
          <w:rFonts w:hint="cs"/>
          <w:rtl/>
        </w:rPr>
        <w:t xml:space="preserve">  وفي [ البيع ]</w:t>
      </w:r>
      <w:r>
        <w:rPr>
          <w:rStyle w:val="a7"/>
          <w:rtl/>
        </w:rPr>
        <w:footnoteReference w:id="960"/>
      </w:r>
      <w:r>
        <w:rPr>
          <w:rFonts w:hint="cs"/>
          <w:rtl/>
        </w:rPr>
        <w:t xml:space="preserve"> الفاسد : الزيادة المنفصلة المتولّدة من الأصل للمشتري؛ لثبوت الملك، ووجوب الضمان</w:t>
      </w:r>
      <w:r>
        <w:rPr>
          <w:rFonts w:hint="cs"/>
          <w:vertAlign w:val="superscript"/>
          <w:rtl/>
        </w:rPr>
        <w:t>(</w:t>
      </w:r>
      <w:r>
        <w:rPr>
          <w:rStyle w:val="a7"/>
          <w:rtl/>
        </w:rPr>
        <w:footnoteReference w:id="961"/>
      </w:r>
      <w:r>
        <w:rPr>
          <w:rFonts w:hint="cs"/>
          <w:vertAlign w:val="superscript"/>
          <w:rtl/>
        </w:rPr>
        <w:t>)</w:t>
      </w:r>
      <w:r>
        <w:rPr>
          <w:rFonts w:hint="cs"/>
          <w:rtl/>
        </w:rPr>
        <w:t>.</w:t>
      </w: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8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20F18" w:rsidRDefault="00C10469">
      <w:pPr>
        <w:pStyle w:val="a9"/>
        <w:rPr>
          <w:rFonts w:cs="AL-Mateen"/>
          <w:rtl/>
        </w:rPr>
      </w:pPr>
      <w:r w:rsidRPr="00720F18">
        <w:rPr>
          <w:rFonts w:cs="AL-Mateen" w:hint="cs"/>
          <w:rtl/>
        </w:rPr>
        <w:lastRenderedPageBreak/>
        <w:t>[ القـاعـدة الثـانيـة والثـلاثـون ]</w:t>
      </w:r>
    </w:p>
    <w:p w:rsidR="00C10469" w:rsidRDefault="00C10469">
      <w:pPr>
        <w:rPr>
          <w:b/>
          <w:bCs/>
          <w:rtl/>
        </w:rPr>
      </w:pPr>
      <w:r>
        <w:rPr>
          <w:rFonts w:cs="Monotype Koufi" w:hint="cs"/>
          <w:rtl/>
        </w:rPr>
        <w:t>الاضطِرارُ لا يُـبْطِلُ حَقَّ غَيْرِهِ</w:t>
      </w:r>
      <w:r>
        <w:rPr>
          <w:rFonts w:hint="cs"/>
          <w:vertAlign w:val="superscript"/>
          <w:rtl/>
        </w:rPr>
        <w:t>(</w:t>
      </w:r>
      <w:r>
        <w:rPr>
          <w:rStyle w:val="a7"/>
          <w:rtl/>
        </w:rPr>
        <w:footnoteReference w:id="962"/>
      </w:r>
      <w:r>
        <w:rPr>
          <w:rFonts w:hint="cs"/>
          <w:vertAlign w:val="superscript"/>
          <w:rtl/>
        </w:rPr>
        <w:t>)</w:t>
      </w:r>
      <w:r>
        <w:rPr>
          <w:rFonts w:hint="cs"/>
          <w:b/>
          <w:bCs/>
          <w:rtl/>
        </w:rPr>
        <w:t xml:space="preserve"> :</w:t>
      </w:r>
    </w:p>
    <w:p w:rsidR="00C10469" w:rsidRDefault="00C10469">
      <w:pPr>
        <w:rPr>
          <w:rtl/>
        </w:rPr>
      </w:pPr>
      <w:r>
        <w:rPr>
          <w:rFonts w:hint="cs"/>
          <w:b/>
          <w:bCs/>
          <w:rtl/>
        </w:rPr>
        <w:lastRenderedPageBreak/>
        <w:t>ولذا</w:t>
      </w:r>
      <w:r>
        <w:rPr>
          <w:rFonts w:hint="cs"/>
          <w:rtl/>
        </w:rPr>
        <w:t xml:space="preserve"> : ضَمِنَ قـاتلُ جـملٍ صـائلٍ</w:t>
      </w:r>
      <w:r>
        <w:rPr>
          <w:rFonts w:hint="cs"/>
          <w:vertAlign w:val="superscript"/>
          <w:rtl/>
        </w:rPr>
        <w:t>(</w:t>
      </w:r>
      <w:r>
        <w:rPr>
          <w:rStyle w:val="a7"/>
          <w:rtl/>
        </w:rPr>
        <w:footnoteReference w:id="963"/>
      </w:r>
      <w:r>
        <w:rPr>
          <w:rFonts w:hint="cs"/>
          <w:vertAlign w:val="superscript"/>
          <w:rtl/>
        </w:rPr>
        <w:t>)</w:t>
      </w:r>
      <w:r>
        <w:rPr>
          <w:rFonts w:hint="cs"/>
          <w:rtl/>
        </w:rPr>
        <w:t xml:space="preserve">،وإن كـان فـي قـتـله مضـطـرًّا </w:t>
      </w:r>
    </w:p>
    <w:p w:rsidR="00C10469" w:rsidRDefault="00C10469">
      <w:pPr>
        <w:rPr>
          <w:rtl/>
        </w:rPr>
      </w:pPr>
      <w:r>
        <w:rPr>
          <w:rFonts w:hint="cs"/>
          <w:rtl/>
        </w:rPr>
        <w:lastRenderedPageBreak/>
        <w:t>لدفع</w:t>
      </w:r>
      <w:r>
        <w:rPr>
          <w:rStyle w:val="a7"/>
          <w:rtl/>
        </w:rPr>
        <w:footnoteReference w:id="964"/>
      </w:r>
      <w:r>
        <w:rPr>
          <w:rFonts w:hint="cs"/>
          <w:rtl/>
        </w:rPr>
        <w:t xml:space="preserve"> الضَّرر عن نفسه</w:t>
      </w:r>
      <w:r>
        <w:rPr>
          <w:rFonts w:hint="cs"/>
          <w:vertAlign w:val="superscript"/>
          <w:rtl/>
        </w:rPr>
        <w:t>(</w:t>
      </w:r>
      <w:r>
        <w:rPr>
          <w:rStyle w:val="a7"/>
          <w:rtl/>
        </w:rPr>
        <w:footnoteReference w:id="965"/>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8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9614A" w:rsidRDefault="00C10469">
      <w:pPr>
        <w:pStyle w:val="a9"/>
        <w:rPr>
          <w:rFonts w:cs="AL-Mateen"/>
          <w:rtl/>
        </w:rPr>
      </w:pPr>
      <w:r w:rsidRPr="0079614A">
        <w:rPr>
          <w:rFonts w:cs="AL-Mateen" w:hint="cs"/>
          <w:rtl/>
        </w:rPr>
        <w:lastRenderedPageBreak/>
        <w:t>[ القـاعـدة الثـالثـة والثـلاثـون ]</w:t>
      </w:r>
    </w:p>
    <w:p w:rsidR="00C10469" w:rsidRDefault="00C10469">
      <w:pPr>
        <w:rPr>
          <w:b/>
          <w:bCs/>
          <w:spacing w:val="-6"/>
          <w:rtl/>
        </w:rPr>
      </w:pPr>
      <w:r>
        <w:rPr>
          <w:rFonts w:cs="Monotype Koufi" w:hint="cs"/>
          <w:spacing w:val="-6"/>
          <w:rtl/>
        </w:rPr>
        <w:t>إِعْمَالُ الكَلاَمِ أَوْلَى مِنْ إهمالِهِ متَى أَمْكَنَ، وإذَا لمْ يمكِنْ أُهْمِلَ</w:t>
      </w:r>
      <w:r>
        <w:rPr>
          <w:rFonts w:hint="cs"/>
          <w:spacing w:val="-6"/>
          <w:rtl/>
        </w:rPr>
        <w:t xml:space="preserve"> </w:t>
      </w:r>
      <w:r>
        <w:rPr>
          <w:rFonts w:hint="cs"/>
          <w:spacing w:val="-6"/>
          <w:vertAlign w:val="superscript"/>
          <w:rtl/>
        </w:rPr>
        <w:t>(</w:t>
      </w:r>
      <w:r>
        <w:rPr>
          <w:rStyle w:val="a7"/>
          <w:spacing w:val="-6"/>
        </w:rPr>
        <w:footnoteReference w:id="966"/>
      </w:r>
      <w:r>
        <w:rPr>
          <w:rFonts w:hint="cs"/>
          <w:spacing w:val="-6"/>
          <w:vertAlign w:val="superscript"/>
          <w:rtl/>
        </w:rPr>
        <w:t>)</w:t>
      </w:r>
      <w:r>
        <w:rPr>
          <w:rFonts w:hint="cs"/>
          <w:b/>
          <w:bCs/>
          <w:spacing w:val="-6"/>
          <w:rtl/>
        </w:rPr>
        <w:t>:</w:t>
      </w:r>
    </w:p>
    <w:p w:rsidR="00C10469" w:rsidRDefault="00C10469" w:rsidP="00C10469">
      <w:pPr>
        <w:ind w:left="1132" w:hanging="283"/>
        <w:rPr>
          <w:rtl/>
        </w:rPr>
      </w:pPr>
      <w:r>
        <w:rPr>
          <w:rFonts w:ascii="Wingdings" w:hAnsi="Wingdings"/>
        </w:rPr>
        <w:lastRenderedPageBreak/>
        <w:t></w:t>
      </w:r>
      <w:r>
        <w:rPr>
          <w:rFonts w:hint="cs"/>
          <w:rtl/>
        </w:rPr>
        <w:t xml:space="preserve"> فلو</w:t>
      </w:r>
      <w:r>
        <w:rPr>
          <w:rStyle w:val="a7"/>
        </w:rPr>
        <w:footnoteReference w:id="967"/>
      </w:r>
      <w:r>
        <w:rPr>
          <w:rFonts w:hint="cs"/>
          <w:rtl/>
        </w:rPr>
        <w:t xml:space="preserve"> أوصى لبني فلان : يتناول</w:t>
      </w:r>
      <w:r>
        <w:rPr>
          <w:rStyle w:val="a7"/>
        </w:rPr>
        <w:footnoteReference w:id="968"/>
      </w:r>
      <w:r>
        <w:rPr>
          <w:rFonts w:hint="cs"/>
          <w:rtl/>
        </w:rPr>
        <w:t xml:space="preserve"> الذكور [خاصة]</w:t>
      </w:r>
      <w:r>
        <w:rPr>
          <w:rStyle w:val="a7"/>
        </w:rPr>
        <w:footnoteReference w:id="969"/>
      </w:r>
      <w:r>
        <w:rPr>
          <w:rFonts w:hint="cs"/>
          <w:rtl/>
        </w:rPr>
        <w:t xml:space="preserve"> في قـول أبي حنيفة رحمه الله - آخِرًا-</w:t>
      </w:r>
      <w:r>
        <w:rPr>
          <w:rFonts w:hint="cs"/>
          <w:vertAlign w:val="superscript"/>
          <w:rtl/>
        </w:rPr>
        <w:t>(</w:t>
      </w:r>
      <w:r>
        <w:rPr>
          <w:rStyle w:val="a7"/>
        </w:rPr>
        <w:footnoteReference w:id="970"/>
      </w:r>
      <w:r>
        <w:rPr>
          <w:rFonts w:hint="cs"/>
          <w:vertAlign w:val="superscript"/>
          <w:rtl/>
        </w:rPr>
        <w:t>)</w:t>
      </w:r>
      <w:r>
        <w:rPr>
          <w:rFonts w:hint="cs"/>
          <w:rtl/>
        </w:rPr>
        <w:t>؛ لأن حقيقة الاسم للذكور، وانتظامُهُ الإناثَ</w:t>
      </w:r>
      <w:r>
        <w:rPr>
          <w:rStyle w:val="a7"/>
        </w:rPr>
        <w:footnoteReference w:id="971"/>
      </w:r>
      <w:r>
        <w:rPr>
          <w:rFonts w:hint="cs"/>
          <w:rtl/>
        </w:rPr>
        <w:t xml:space="preserve"> : تجوّزٌ</w:t>
      </w:r>
      <w:r>
        <w:rPr>
          <w:rStyle w:val="a7"/>
        </w:rPr>
        <w:footnoteReference w:id="972"/>
      </w:r>
      <w:r>
        <w:rPr>
          <w:rFonts w:hint="cs"/>
          <w:rtl/>
        </w:rPr>
        <w:t>، ويمكن العمل بمعنـاه الحقيقي</w:t>
      </w:r>
      <w:r>
        <w:rPr>
          <w:rFonts w:hint="cs"/>
          <w:vertAlign w:val="superscript"/>
          <w:rtl/>
        </w:rPr>
        <w:t>(</w:t>
      </w:r>
      <w:r>
        <w:rPr>
          <w:rStyle w:val="a7"/>
        </w:rPr>
        <w:footnoteReference w:id="973"/>
      </w:r>
      <w:r>
        <w:rPr>
          <w:rFonts w:hint="cs"/>
          <w:vertAlign w:val="superscript"/>
          <w:rtl/>
        </w:rPr>
        <w:t>)</w:t>
      </w:r>
      <w:r>
        <w:rPr>
          <w:rFonts w:hint="cs"/>
          <w:rtl/>
        </w:rPr>
        <w:t>.</w:t>
      </w:r>
    </w:p>
    <w:p w:rsidR="00C10469" w:rsidRDefault="00C10469" w:rsidP="00C10469">
      <w:pPr>
        <w:ind w:left="1132" w:hanging="283"/>
        <w:rPr>
          <w:rtl/>
        </w:rPr>
      </w:pPr>
      <w:r>
        <w:rPr>
          <w:rFonts w:ascii="Wingdings" w:hAnsi="Wingdings"/>
        </w:rPr>
        <w:t></w:t>
      </w:r>
      <w:r>
        <w:rPr>
          <w:rFonts w:hint="cs"/>
          <w:rtl/>
        </w:rPr>
        <w:t xml:space="preserve"> وإن تعذّر العمل به - بكونه</w:t>
      </w:r>
      <w:r>
        <w:rPr>
          <w:rStyle w:val="a7"/>
          <w:rtl/>
        </w:rPr>
        <w:footnoteReference w:id="974"/>
      </w:r>
      <w:r>
        <w:rPr>
          <w:rFonts w:hint="cs"/>
          <w:rtl/>
        </w:rPr>
        <w:t xml:space="preserve"> مهجورًا</w:t>
      </w:r>
      <w:r>
        <w:rPr>
          <w:rStyle w:val="a7"/>
          <w:rtl/>
        </w:rPr>
        <w:footnoteReference w:id="975"/>
      </w:r>
      <w:r>
        <w:rPr>
          <w:rFonts w:hint="cs"/>
          <w:rtl/>
        </w:rPr>
        <w:t>حسًّا أو عرفًا أو شرعًا - : يهمل، فإن كان له مجاز متعارف يعمل به</w:t>
      </w:r>
      <w:r>
        <w:rPr>
          <w:rFonts w:hint="cs"/>
          <w:vertAlign w:val="superscript"/>
          <w:rtl/>
        </w:rPr>
        <w:t>(</w:t>
      </w:r>
      <w:r>
        <w:rPr>
          <w:rStyle w:val="a7"/>
          <w:rtl/>
        </w:rPr>
        <w:footnoteReference w:id="976"/>
      </w:r>
      <w:r>
        <w:rPr>
          <w:rFonts w:hint="cs"/>
          <w:vertAlign w:val="superscript"/>
          <w:rtl/>
        </w:rPr>
        <w:t>)</w:t>
      </w:r>
      <w:r>
        <w:rPr>
          <w:rFonts w:hint="cs"/>
          <w:rtl/>
        </w:rPr>
        <w:t xml:space="preserve"> :</w:t>
      </w:r>
    </w:p>
    <w:p w:rsidR="00C10469" w:rsidRDefault="00C10469" w:rsidP="00C10469">
      <w:pPr>
        <w:ind w:left="1338" w:firstLine="0"/>
        <w:rPr>
          <w:rtl/>
        </w:rPr>
      </w:pPr>
      <w:r>
        <w:rPr>
          <w:rtl/>
        </w:rPr>
        <w:lastRenderedPageBreak/>
        <w:t>•</w:t>
      </w:r>
      <w:r>
        <w:rPr>
          <w:rFonts w:hint="cs"/>
          <w:rtl/>
        </w:rPr>
        <w:t xml:space="preserve"> كما</w:t>
      </w:r>
      <w:r>
        <w:rPr>
          <w:rStyle w:val="a7"/>
          <w:rtl/>
        </w:rPr>
        <w:footnoteReference w:id="977"/>
      </w:r>
      <w:r>
        <w:rPr>
          <w:rFonts w:hint="cs"/>
          <w:rtl/>
        </w:rPr>
        <w:t xml:space="preserve"> إذا </w:t>
      </w:r>
      <w:r>
        <w:rPr>
          <w:rFonts w:hint="eastAsia"/>
          <w:rtl/>
        </w:rPr>
        <w:t>«</w:t>
      </w:r>
      <w:r>
        <w:rPr>
          <w:rFonts w:hint="cs"/>
          <w:rtl/>
        </w:rPr>
        <w:t>حلف : أن لا يأكل من هذه النخلة، أو هذا الدقيق:</w:t>
      </w:r>
    </w:p>
    <w:p w:rsidR="00C10469" w:rsidRDefault="00C10469" w:rsidP="00C10469">
      <w:pPr>
        <w:ind w:left="1699" w:hanging="259"/>
        <w:rPr>
          <w:rtl/>
        </w:rPr>
      </w:pPr>
      <w:r>
        <w:rPr>
          <w:rFonts w:hint="cs"/>
          <w:rtl/>
        </w:rPr>
        <w:t xml:space="preserve">- حنث في </w:t>
      </w:r>
      <w:r>
        <w:rPr>
          <w:rFonts w:hint="cs"/>
          <w:b/>
          <w:bCs/>
          <w:rtl/>
        </w:rPr>
        <w:t>الأول</w:t>
      </w:r>
      <w:r>
        <w:rPr>
          <w:rFonts w:hint="cs"/>
          <w:rtl/>
        </w:rPr>
        <w:t xml:space="preserve"> : بأكل ما يخرج منها، أو بثمنها إن باعها واشترى به</w:t>
      </w:r>
      <w:r>
        <w:rPr>
          <w:rFonts w:hint="cs"/>
          <w:vertAlign w:val="superscript"/>
          <w:rtl/>
        </w:rPr>
        <w:t>(</w:t>
      </w:r>
      <w:r>
        <w:rPr>
          <w:rStyle w:val="a7"/>
          <w:rtl/>
        </w:rPr>
        <w:footnoteReference w:id="978"/>
      </w:r>
      <w:r>
        <w:rPr>
          <w:rFonts w:hint="cs"/>
          <w:vertAlign w:val="superscript"/>
          <w:rtl/>
        </w:rPr>
        <w:t>)</w:t>
      </w:r>
      <w:r>
        <w:rPr>
          <w:rFonts w:hint="cs"/>
          <w:rtl/>
        </w:rPr>
        <w:t xml:space="preserve"> مأكولاً.</w:t>
      </w:r>
    </w:p>
    <w:p w:rsidR="00C10469" w:rsidRDefault="00C10469" w:rsidP="00C10469">
      <w:pPr>
        <w:ind w:left="1699" w:hanging="259"/>
        <w:rPr>
          <w:rtl/>
        </w:rPr>
      </w:pPr>
      <w:r>
        <w:rPr>
          <w:rFonts w:hint="cs"/>
          <w:rtl/>
        </w:rPr>
        <w:t xml:space="preserve">- وفي </w:t>
      </w:r>
      <w:r>
        <w:rPr>
          <w:rFonts w:hint="cs"/>
          <w:b/>
          <w:bCs/>
          <w:rtl/>
        </w:rPr>
        <w:t>الثاني</w:t>
      </w:r>
      <w:r>
        <w:rPr>
          <w:rFonts w:hint="cs"/>
          <w:rtl/>
        </w:rPr>
        <w:t xml:space="preserve"> : بأكل</w:t>
      </w:r>
      <w:r>
        <w:rPr>
          <w:rStyle w:val="a7"/>
          <w:rtl/>
        </w:rPr>
        <w:footnoteReference w:id="979"/>
      </w:r>
      <w:r>
        <w:rPr>
          <w:rFonts w:hint="cs"/>
          <w:rtl/>
        </w:rPr>
        <w:t xml:space="preserve"> ما يُتَّخذ منه، كالخبز</w:t>
      </w:r>
      <w:r>
        <w:rPr>
          <w:rStyle w:val="a7"/>
          <w:rtl/>
        </w:rPr>
        <w:footnoteReference w:id="980"/>
      </w:r>
      <w:r>
        <w:rPr>
          <w:rFonts w:hint="cs"/>
          <w:rtl/>
        </w:rPr>
        <w:t>.</w:t>
      </w:r>
    </w:p>
    <w:p w:rsidR="00C10469" w:rsidRDefault="00C10469" w:rsidP="00C10469">
      <w:pPr>
        <w:ind w:left="1699" w:firstLine="0"/>
        <w:rPr>
          <w:rtl/>
        </w:rPr>
      </w:pPr>
      <w:r>
        <w:rPr>
          <w:rFonts w:hint="cs"/>
          <w:rtl/>
        </w:rPr>
        <w:t>ولو أكل عينَ الشجرةِ، أو الدَّقيقِ : لم يحنث على الصحيح؛ لأن الحقيقة مهجور[ة]</w:t>
      </w:r>
      <w:r>
        <w:rPr>
          <w:rStyle w:val="a7"/>
          <w:rtl/>
        </w:rPr>
        <w:footnoteReference w:id="981"/>
      </w:r>
      <w:r>
        <w:rPr>
          <w:rFonts w:hint="cs"/>
          <w:rtl/>
        </w:rPr>
        <w:t xml:space="preserve"> شرعًا</w:t>
      </w:r>
      <w:r>
        <w:rPr>
          <w:rFonts w:hint="eastAsia"/>
          <w:rtl/>
        </w:rPr>
        <w:t>»</w:t>
      </w:r>
      <w:r>
        <w:rPr>
          <w:rFonts w:hint="cs"/>
          <w:vertAlign w:val="superscript"/>
          <w:rtl/>
        </w:rPr>
        <w:t>(</w:t>
      </w:r>
      <w:r>
        <w:rPr>
          <w:rStyle w:val="a7"/>
          <w:rtl/>
        </w:rPr>
        <w:footnoteReference w:id="982"/>
      </w:r>
      <w:r>
        <w:rPr>
          <w:rFonts w:hint="cs"/>
          <w:vertAlign w:val="superscript"/>
          <w:rtl/>
        </w:rPr>
        <w:t>)</w:t>
      </w:r>
      <w:r>
        <w:rPr>
          <w:rFonts w:hint="cs"/>
          <w:rtl/>
        </w:rPr>
        <w:t>.</w:t>
      </w:r>
    </w:p>
    <w:p w:rsidR="00C10469" w:rsidRPr="00566EF9" w:rsidRDefault="00C10469" w:rsidP="00C10469">
      <w:pPr>
        <w:widowControl/>
        <w:numPr>
          <w:ilvl w:val="0"/>
          <w:numId w:val="19"/>
        </w:numPr>
        <w:tabs>
          <w:tab w:val="clear" w:pos="1854"/>
        </w:tabs>
        <w:ind w:left="1698" w:hanging="425"/>
        <w:jc w:val="both"/>
        <w:rPr>
          <w:spacing w:val="-2"/>
          <w:sz w:val="2"/>
          <w:szCs w:val="2"/>
          <w:rtl/>
        </w:rPr>
      </w:pPr>
      <w:r>
        <w:rPr>
          <w:spacing w:val="-2"/>
          <w:rtl/>
        </w:rPr>
        <w:t>•</w:t>
      </w:r>
      <w:r>
        <w:rPr>
          <w:rFonts w:hint="cs"/>
          <w:spacing w:val="-2"/>
          <w:rtl/>
        </w:rPr>
        <w:t xml:space="preserve"> و</w:t>
      </w:r>
      <w:r>
        <w:rPr>
          <w:rFonts w:hint="eastAsia"/>
          <w:spacing w:val="-2"/>
          <w:rtl/>
        </w:rPr>
        <w:t>«</w:t>
      </w:r>
      <w:r>
        <w:rPr>
          <w:rFonts w:hint="cs"/>
          <w:spacing w:val="-2"/>
          <w:rtl/>
        </w:rPr>
        <w:t>لو حلف : لا يضع قدمَهُ في دار فلان : حنث بدخوله مطلقًا، سواء دخل راكبًا أو</w:t>
      </w:r>
      <w:r>
        <w:rPr>
          <w:rFonts w:hint="cs"/>
          <w:spacing w:val="-2"/>
          <w:vertAlign w:val="superscript"/>
          <w:rtl/>
        </w:rPr>
        <w:t>(</w:t>
      </w:r>
      <w:r>
        <w:rPr>
          <w:rStyle w:val="a7"/>
          <w:spacing w:val="-2"/>
          <w:rtl/>
        </w:rPr>
        <w:footnoteReference w:id="983"/>
      </w:r>
      <w:r>
        <w:rPr>
          <w:rFonts w:hint="cs"/>
          <w:spacing w:val="-2"/>
          <w:vertAlign w:val="superscript"/>
          <w:rtl/>
        </w:rPr>
        <w:t>)</w:t>
      </w:r>
      <w:r>
        <w:rPr>
          <w:rFonts w:hint="cs"/>
          <w:spacing w:val="-2"/>
          <w:rtl/>
        </w:rPr>
        <w:t xml:space="preserve"> ماشيًا، حافيًا أو متنعِّلاً؛ لأن المعنى الحقيقي</w:t>
      </w:r>
      <w:r>
        <w:rPr>
          <w:spacing w:val="-2"/>
          <w:rtl/>
        </w:rPr>
        <w:br/>
      </w:r>
    </w:p>
    <w:p w:rsidR="00C10469" w:rsidRDefault="00C10469" w:rsidP="00C10469">
      <w:pPr>
        <w:ind w:left="567" w:right="567" w:firstLine="0"/>
        <w:rPr>
          <w:spacing w:val="-2"/>
          <w:rtl/>
        </w:rPr>
      </w:pPr>
      <w:r>
        <w:rPr>
          <w:rFonts w:hint="cs"/>
          <w:spacing w:val="-2"/>
          <w:rtl/>
        </w:rPr>
        <w:lastRenderedPageBreak/>
        <w:t xml:space="preserve"> </w:t>
      </w:r>
      <w:r>
        <w:rPr>
          <w:rFonts w:hint="cs"/>
          <w:spacing w:val="-2"/>
          <w:rtl/>
        </w:rPr>
        <w:tab/>
        <w:t xml:space="preserve">  ههنا مهجورٌ </w:t>
      </w:r>
      <w:r>
        <w:rPr>
          <w:rFonts w:hint="eastAsia"/>
          <w:spacing w:val="-2"/>
          <w:rtl/>
        </w:rPr>
        <w:t>»</w:t>
      </w:r>
      <w:r>
        <w:rPr>
          <w:rFonts w:hint="cs"/>
          <w:spacing w:val="-2"/>
          <w:vertAlign w:val="superscript"/>
          <w:rtl/>
        </w:rPr>
        <w:t>(</w:t>
      </w:r>
      <w:r>
        <w:rPr>
          <w:rStyle w:val="a7"/>
          <w:spacing w:val="-2"/>
          <w:rtl/>
        </w:rPr>
        <w:footnoteReference w:id="984"/>
      </w:r>
      <w:r>
        <w:rPr>
          <w:rFonts w:hint="cs"/>
          <w:spacing w:val="-2"/>
          <w:vertAlign w:val="superscript"/>
          <w:rtl/>
        </w:rPr>
        <w:t>)</w:t>
      </w:r>
      <w:r>
        <w:rPr>
          <w:rFonts w:hint="cs"/>
          <w:spacing w:val="-2"/>
          <w:rtl/>
        </w:rPr>
        <w:t xml:space="preserve"> عرفًا.</w:t>
      </w:r>
    </w:p>
    <w:p w:rsidR="00C10469" w:rsidRPr="00562E26" w:rsidRDefault="00C10469" w:rsidP="00C10469">
      <w:pPr>
        <w:ind w:left="565" w:firstLine="2"/>
        <w:rPr>
          <w:spacing w:val="4"/>
          <w:rtl/>
        </w:rPr>
      </w:pPr>
      <w:r>
        <w:rPr>
          <w:rtl/>
        </w:rPr>
        <w:t>•</w:t>
      </w:r>
      <w:r>
        <w:rPr>
          <w:rFonts w:hint="cs"/>
          <w:rtl/>
        </w:rPr>
        <w:t xml:space="preserve"> </w:t>
      </w:r>
      <w:r w:rsidRPr="007E731B">
        <w:rPr>
          <w:rFonts w:hint="cs"/>
          <w:rtl/>
        </w:rPr>
        <w:t>وذكر العتَّابي</w:t>
      </w:r>
      <w:r w:rsidRPr="007E731B">
        <w:rPr>
          <w:rFonts w:hint="cs"/>
          <w:vertAlign w:val="superscript"/>
          <w:rtl/>
        </w:rPr>
        <w:t>(</w:t>
      </w:r>
      <w:r w:rsidRPr="007E731B">
        <w:rPr>
          <w:rStyle w:val="a7"/>
          <w:rtl/>
        </w:rPr>
        <w:footnoteReference w:id="985"/>
      </w:r>
      <w:r w:rsidRPr="007E731B">
        <w:rPr>
          <w:rFonts w:hint="cs"/>
          <w:vertAlign w:val="superscript"/>
          <w:rtl/>
        </w:rPr>
        <w:t>)</w:t>
      </w:r>
      <w:r w:rsidRPr="007E731B">
        <w:rPr>
          <w:rFonts w:hint="cs"/>
          <w:rtl/>
        </w:rPr>
        <w:t xml:space="preserve">: لو حلف لا يأكل لحمًا: لا يحنث بأكل لحم الخنزير، ولحم </w:t>
      </w:r>
      <w:r>
        <w:rPr>
          <w:rFonts w:hint="cs"/>
          <w:rtl/>
        </w:rPr>
        <w:t xml:space="preserve"> </w:t>
      </w:r>
      <w:r>
        <w:rPr>
          <w:rFonts w:hint="cs"/>
          <w:rtl/>
        </w:rPr>
        <w:br/>
      </w:r>
      <w:r w:rsidRPr="00562E26">
        <w:rPr>
          <w:rFonts w:hint="cs"/>
          <w:spacing w:val="4"/>
          <w:rtl/>
        </w:rPr>
        <w:t xml:space="preserve">   الآدمي؛ لأنهما</w:t>
      </w:r>
      <w:r w:rsidRPr="00562E26">
        <w:rPr>
          <w:rStyle w:val="a7"/>
          <w:spacing w:val="4"/>
          <w:rtl/>
        </w:rPr>
        <w:footnoteReference w:id="986"/>
      </w:r>
      <w:r w:rsidRPr="00562E26">
        <w:rPr>
          <w:rFonts w:hint="cs"/>
          <w:spacing w:val="4"/>
          <w:rtl/>
        </w:rPr>
        <w:t xml:space="preserve"> مهجور</w:t>
      </w:r>
      <w:r w:rsidRPr="00562E26">
        <w:rPr>
          <w:rFonts w:hint="cs"/>
          <w:spacing w:val="4"/>
          <w:vertAlign w:val="superscript"/>
          <w:rtl/>
        </w:rPr>
        <w:t>(</w:t>
      </w:r>
      <w:r w:rsidRPr="00562E26">
        <w:rPr>
          <w:rStyle w:val="a7"/>
          <w:spacing w:val="4"/>
          <w:rtl/>
        </w:rPr>
        <w:footnoteReference w:id="987"/>
      </w:r>
      <w:r w:rsidRPr="00562E26">
        <w:rPr>
          <w:rFonts w:hint="cs"/>
          <w:spacing w:val="4"/>
          <w:vertAlign w:val="superscript"/>
          <w:rtl/>
        </w:rPr>
        <w:t>)</w:t>
      </w:r>
      <w:r w:rsidRPr="00562E26">
        <w:rPr>
          <w:rFonts w:hint="cs"/>
          <w:spacing w:val="4"/>
          <w:rtl/>
        </w:rPr>
        <w:t xml:space="preserve"> شرعًا، وقال: وبه يفتى. كذا في (الكافي)</w:t>
      </w:r>
      <w:r w:rsidRPr="00562E26">
        <w:rPr>
          <w:rFonts w:hint="cs"/>
          <w:spacing w:val="4"/>
          <w:vertAlign w:val="superscript"/>
          <w:rtl/>
        </w:rPr>
        <w:t>(</w:t>
      </w:r>
      <w:r w:rsidRPr="00562E26">
        <w:rPr>
          <w:rStyle w:val="a7"/>
          <w:spacing w:val="4"/>
          <w:rtl/>
        </w:rPr>
        <w:footnoteReference w:id="988"/>
      </w:r>
      <w:r w:rsidRPr="00562E26">
        <w:rPr>
          <w:rFonts w:hint="cs"/>
          <w:spacing w:val="4"/>
          <w:vertAlign w:val="superscript"/>
          <w:rtl/>
        </w:rPr>
        <w:t>)</w:t>
      </w:r>
      <w:r w:rsidRPr="00562E26">
        <w:rPr>
          <w:rFonts w:hint="cs"/>
          <w:spacing w:val="4"/>
          <w:rtl/>
        </w:rPr>
        <w:t>.</w:t>
      </w:r>
    </w:p>
    <w:p w:rsidR="00C10469" w:rsidRDefault="00C10469" w:rsidP="00C10469">
      <w:pPr>
        <w:ind w:left="849" w:hanging="284"/>
        <w:rPr>
          <w:rtl/>
        </w:rPr>
      </w:pPr>
      <w:r>
        <w:rPr>
          <w:rFonts w:ascii="Wingdings" w:hAnsi="Wingdings"/>
        </w:rPr>
        <w:lastRenderedPageBreak/>
        <w:t></w:t>
      </w:r>
      <w:r>
        <w:rPr>
          <w:rFonts w:hint="cs"/>
          <w:rtl/>
        </w:rPr>
        <w:t xml:space="preserve"> وإن تعذر</w:t>
      </w:r>
      <w:r>
        <w:rPr>
          <w:rFonts w:hint="cs"/>
          <w:vertAlign w:val="superscript"/>
          <w:rtl/>
        </w:rPr>
        <w:t>(</w:t>
      </w:r>
      <w:r>
        <w:rPr>
          <w:rStyle w:val="a7"/>
          <w:rtl/>
        </w:rPr>
        <w:footnoteReference w:id="989"/>
      </w:r>
      <w:r>
        <w:rPr>
          <w:rFonts w:hint="cs"/>
          <w:vertAlign w:val="superscript"/>
          <w:rtl/>
        </w:rPr>
        <w:t>)</w:t>
      </w:r>
      <w:r>
        <w:rPr>
          <w:rFonts w:hint="cs"/>
          <w:rtl/>
        </w:rPr>
        <w:t xml:space="preserve"> الحقيقة والمجاز : أهمل؛ ولهذا لو قال لامرأته المعروف أبوها : هذه بنتي : لا [تـحرم]</w:t>
      </w:r>
      <w:r>
        <w:rPr>
          <w:rStyle w:val="a7"/>
          <w:rtl/>
        </w:rPr>
        <w:footnoteReference w:id="990"/>
      </w:r>
      <w:r>
        <w:rPr>
          <w:rFonts w:hint="cs"/>
          <w:rtl/>
        </w:rPr>
        <w:t xml:space="preserve"> أبدًا؛ لأنّ تعذر الحقيـقة ظاهر</w:t>
      </w:r>
      <w:r>
        <w:rPr>
          <w:rFonts w:hint="cs"/>
          <w:vertAlign w:val="superscript"/>
          <w:rtl/>
        </w:rPr>
        <w:t>(</w:t>
      </w:r>
      <w:r>
        <w:rPr>
          <w:rStyle w:val="a7"/>
          <w:rtl/>
        </w:rPr>
        <w:footnoteReference w:id="991"/>
      </w:r>
      <w:r>
        <w:rPr>
          <w:rFonts w:hint="cs"/>
          <w:vertAlign w:val="superscript"/>
          <w:rtl/>
        </w:rPr>
        <w:t>)</w:t>
      </w:r>
      <w:r>
        <w:rPr>
          <w:rFonts w:hint="cs"/>
          <w:rtl/>
        </w:rPr>
        <w:t xml:space="preserve">، وكذا تعذر إرادة </w:t>
      </w:r>
      <w:r>
        <w:rPr>
          <w:rFonts w:hint="cs"/>
          <w:rtl/>
        </w:rPr>
        <w:lastRenderedPageBreak/>
        <w:t>الظهار؛ لأنه لا يصدق عليه حدّ</w:t>
      </w:r>
      <w:r>
        <w:rPr>
          <w:rFonts w:hint="cs"/>
          <w:vertAlign w:val="superscript"/>
          <w:rtl/>
        </w:rPr>
        <w:t>(</w:t>
      </w:r>
      <w:r>
        <w:rPr>
          <w:rStyle w:val="a7"/>
          <w:rtl/>
        </w:rPr>
        <w:footnoteReference w:id="992"/>
      </w:r>
      <w:r>
        <w:rPr>
          <w:rFonts w:hint="cs"/>
          <w:vertAlign w:val="superscript"/>
          <w:rtl/>
        </w:rPr>
        <w:t>)</w:t>
      </w:r>
      <w:r>
        <w:rPr>
          <w:rFonts w:hint="cs"/>
          <w:rtl/>
        </w:rPr>
        <w:t xml:space="preserve"> الظهار</w:t>
      </w:r>
      <w:r>
        <w:rPr>
          <w:rFonts w:hint="cs"/>
          <w:vertAlign w:val="superscript"/>
          <w:rtl/>
        </w:rPr>
        <w:t>(</w:t>
      </w:r>
      <w:r>
        <w:rPr>
          <w:rStyle w:val="a7"/>
          <w:rtl/>
        </w:rPr>
        <w:footnoteReference w:id="993"/>
      </w:r>
      <w:r>
        <w:rPr>
          <w:rFonts w:hint="cs"/>
          <w:vertAlign w:val="superscript"/>
          <w:rtl/>
        </w:rPr>
        <w:t>)</w:t>
      </w:r>
      <w:r>
        <w:rPr>
          <w:rFonts w:hint="cs"/>
          <w:rtl/>
        </w:rPr>
        <w:t>.</w:t>
      </w:r>
    </w:p>
    <w:p w:rsidR="00C10469" w:rsidRDefault="00C10469" w:rsidP="00C10469">
      <w:pPr>
        <w:ind w:left="849" w:hanging="284"/>
        <w:rPr>
          <w:rtl/>
        </w:rPr>
      </w:pPr>
      <w:r>
        <w:rPr>
          <w:rFonts w:ascii="Wingdings" w:hAnsi="Wingdings"/>
        </w:rPr>
        <w:t></w:t>
      </w:r>
      <w:r>
        <w:rPr>
          <w:rFonts w:hint="cs"/>
          <w:rtl/>
        </w:rPr>
        <w:t xml:space="preserve"> وكذا إذا كان اللفظ مشتركاً</w:t>
      </w:r>
      <w:r>
        <w:rPr>
          <w:rFonts w:hint="cs"/>
          <w:vertAlign w:val="superscript"/>
          <w:rtl/>
        </w:rPr>
        <w:t>(</w:t>
      </w:r>
      <w:r>
        <w:rPr>
          <w:rStyle w:val="a7"/>
          <w:rtl/>
        </w:rPr>
        <w:footnoteReference w:id="994"/>
      </w:r>
      <w:r>
        <w:rPr>
          <w:rFonts w:hint="cs"/>
          <w:vertAlign w:val="superscript"/>
          <w:rtl/>
        </w:rPr>
        <w:t>)</w:t>
      </w:r>
      <w:r>
        <w:rPr>
          <w:rFonts w:hint="cs"/>
          <w:rtl/>
        </w:rPr>
        <w:t xml:space="preserve"> بلا مرجِّح؛ كما إذا أوصـى لـمواليـه، وله </w:t>
      </w:r>
      <w:r>
        <w:rPr>
          <w:rFonts w:hint="cs"/>
          <w:rtl/>
        </w:rPr>
        <w:lastRenderedPageBreak/>
        <w:t>مُعتَقٌ ومـعـتِـقٌ : بطلت. كذا في (العناية)</w:t>
      </w:r>
      <w:r>
        <w:rPr>
          <w:rFonts w:hint="cs"/>
          <w:vertAlign w:val="superscript"/>
          <w:rtl/>
        </w:rPr>
        <w:t xml:space="preserve"> (</w:t>
      </w:r>
      <w:r>
        <w:rPr>
          <w:rStyle w:val="a7"/>
          <w:rtl/>
        </w:rPr>
        <w:footnoteReference w:id="995"/>
      </w:r>
      <w:r>
        <w:rPr>
          <w:rFonts w:hint="cs"/>
          <w:vertAlign w:val="superscript"/>
          <w:rtl/>
        </w:rPr>
        <w:t>)</w:t>
      </w:r>
      <w:r>
        <w:rPr>
          <w:rFonts w:hint="cs"/>
          <w:rtl/>
        </w:rPr>
        <w:t>.</w:t>
      </w:r>
    </w:p>
    <w:p w:rsidR="00C10469" w:rsidRDefault="00C10469">
      <w:pPr>
        <w:ind w:left="849" w:right="849" w:hanging="284"/>
        <w:rPr>
          <w:rtl/>
        </w:rPr>
      </w:pPr>
    </w:p>
    <w:p w:rsidR="00C10469" w:rsidRPr="00FD49FE" w:rsidRDefault="00C10469" w:rsidP="00C10469">
      <w:pPr>
        <w:ind w:left="849" w:right="849" w:hanging="284"/>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9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0686C" w:rsidRDefault="00C10469">
      <w:pPr>
        <w:pStyle w:val="a9"/>
        <w:rPr>
          <w:rFonts w:cs="AL-Mateen"/>
          <w:rtl/>
        </w:rPr>
      </w:pPr>
      <w:r w:rsidRPr="0040686C">
        <w:rPr>
          <w:rFonts w:cs="AL-Mateen" w:hint="cs"/>
          <w:rtl/>
        </w:rPr>
        <w:lastRenderedPageBreak/>
        <w:t>[ القـاعـدة الـرابـعـة والثـلاثـون ]</w:t>
      </w:r>
    </w:p>
    <w:p w:rsidR="00C10469" w:rsidRDefault="00C10469">
      <w:pPr>
        <w:rPr>
          <w:b/>
          <w:bCs/>
          <w:rtl/>
        </w:rPr>
      </w:pPr>
      <w:r>
        <w:rPr>
          <w:rFonts w:cs="Monotype Koufi" w:hint="cs"/>
          <w:rtl/>
        </w:rPr>
        <w:t>الاعْتِبَارُ لِلْمَقَاصِدِ والمَعَانِيْ لا للأَلْفاظِ والمَبَانِيْ</w:t>
      </w:r>
      <w:r>
        <w:rPr>
          <w:rFonts w:hint="cs"/>
          <w:vertAlign w:val="superscript"/>
          <w:rtl/>
        </w:rPr>
        <w:t>(</w:t>
      </w:r>
      <w:r>
        <w:rPr>
          <w:rStyle w:val="a7"/>
          <w:rtl/>
        </w:rPr>
        <w:footnoteReference w:id="996"/>
      </w:r>
      <w:r>
        <w:rPr>
          <w:rFonts w:hint="cs"/>
          <w:vertAlign w:val="superscript"/>
          <w:rtl/>
        </w:rPr>
        <w:t>)</w:t>
      </w:r>
      <w:r>
        <w:rPr>
          <w:rFonts w:hint="cs"/>
          <w:b/>
          <w:bCs/>
          <w:rtl/>
        </w:rPr>
        <w:t xml:space="preserve"> :</w:t>
      </w:r>
    </w:p>
    <w:p w:rsidR="00C10469" w:rsidRDefault="00C10469" w:rsidP="00C10469">
      <w:pPr>
        <w:rPr>
          <w:rtl/>
        </w:rPr>
      </w:pPr>
      <w:r>
        <w:rPr>
          <w:rFonts w:hint="cs"/>
          <w:b/>
          <w:bCs/>
          <w:rtl/>
        </w:rPr>
        <w:lastRenderedPageBreak/>
        <w:t xml:space="preserve">ومــن فـــروعـــهــا  </w:t>
      </w:r>
      <w:r>
        <w:rPr>
          <w:rFonts w:hint="cs"/>
          <w:rtl/>
        </w:rPr>
        <w:t xml:space="preserve"> :  </w:t>
      </w:r>
      <w:r>
        <w:rPr>
          <w:rFonts w:hint="eastAsia"/>
          <w:rtl/>
        </w:rPr>
        <w:t>«</w:t>
      </w:r>
      <w:r>
        <w:rPr>
          <w:rFonts w:hint="cs"/>
          <w:rtl/>
        </w:rPr>
        <w:t xml:space="preserve"> الــكـــفـــالــةُ </w:t>
      </w:r>
      <w:r>
        <w:rPr>
          <w:rFonts w:hint="cs"/>
          <w:vertAlign w:val="superscript"/>
          <w:rtl/>
        </w:rPr>
        <w:t>(</w:t>
      </w:r>
      <w:r>
        <w:rPr>
          <w:rStyle w:val="a7"/>
          <w:rtl/>
        </w:rPr>
        <w:footnoteReference w:id="997"/>
      </w:r>
      <w:r>
        <w:rPr>
          <w:rFonts w:hint="cs"/>
          <w:vertAlign w:val="superscript"/>
          <w:rtl/>
        </w:rPr>
        <w:t>)</w:t>
      </w:r>
      <w:r>
        <w:rPr>
          <w:rFonts w:hint="cs"/>
          <w:rtl/>
        </w:rPr>
        <w:t xml:space="preserve"> </w:t>
      </w:r>
    </w:p>
    <w:p w:rsidR="00C10469" w:rsidRDefault="00C10469">
      <w:pPr>
        <w:rPr>
          <w:rtl/>
        </w:rPr>
      </w:pPr>
      <w:r>
        <w:rPr>
          <w:rFonts w:hint="cs"/>
          <w:rtl/>
        </w:rPr>
        <w:lastRenderedPageBreak/>
        <w:t xml:space="preserve">بشرط براءة الأصلِ : حوالة </w:t>
      </w:r>
      <w:r>
        <w:rPr>
          <w:rFonts w:hint="cs"/>
          <w:vertAlign w:val="superscript"/>
          <w:rtl/>
        </w:rPr>
        <w:t>(</w:t>
      </w:r>
      <w:r>
        <w:rPr>
          <w:rStyle w:val="a7"/>
          <w:rtl/>
        </w:rPr>
        <w:footnoteReference w:id="998"/>
      </w:r>
      <w:r>
        <w:rPr>
          <w:rFonts w:hint="cs"/>
          <w:vertAlign w:val="superscript"/>
          <w:rtl/>
        </w:rPr>
        <w:t>)</w:t>
      </w:r>
      <w:r>
        <w:rPr>
          <w:rFonts w:hint="cs"/>
          <w:rtl/>
        </w:rPr>
        <w:t xml:space="preserve">. </w:t>
      </w:r>
    </w:p>
    <w:p w:rsidR="00C10469" w:rsidRDefault="00C10469">
      <w:pPr>
        <w:rPr>
          <w:rtl/>
        </w:rPr>
      </w:pPr>
      <w:r>
        <w:rPr>
          <w:rFonts w:hint="cs"/>
          <w:rtl/>
        </w:rPr>
        <w:lastRenderedPageBreak/>
        <w:t>وهي بشرط عدم براءته : كفالة</w:t>
      </w:r>
      <w:r>
        <w:rPr>
          <w:rFonts w:hint="eastAsia"/>
          <w:rtl/>
        </w:rPr>
        <w:t>»</w:t>
      </w:r>
      <w:r>
        <w:rPr>
          <w:rFonts w:hint="cs"/>
          <w:vertAlign w:val="superscript"/>
          <w:rtl/>
        </w:rPr>
        <w:t>(</w:t>
      </w:r>
      <w:r>
        <w:rPr>
          <w:rStyle w:val="a7"/>
          <w:rtl/>
        </w:rPr>
        <w:footnoteReference w:id="999"/>
      </w:r>
      <w:r>
        <w:rPr>
          <w:rFonts w:hint="cs"/>
          <w:vertAlign w:val="superscript"/>
          <w:rtl/>
        </w:rPr>
        <w:t>)</w:t>
      </w:r>
      <w:r>
        <w:rPr>
          <w:rFonts w:hint="cs"/>
          <w:rtl/>
        </w:rPr>
        <w:t>.</w:t>
      </w:r>
    </w:p>
    <w:p w:rsidR="00C10469" w:rsidRDefault="00C10469">
      <w:pPr>
        <w:rPr>
          <w:rtl/>
        </w:rPr>
      </w:pPr>
      <w:r>
        <w:rPr>
          <w:rFonts w:hint="cs"/>
          <w:rtl/>
        </w:rPr>
        <w:t>واعـلـم أن هـذا الأصـل فيـما عدا</w:t>
      </w:r>
      <w:r>
        <w:rPr>
          <w:rStyle w:val="a7"/>
          <w:rtl/>
        </w:rPr>
        <w:footnoteReference w:id="1000"/>
      </w:r>
      <w:r>
        <w:rPr>
          <w:rFonts w:hint="cs"/>
          <w:rtl/>
        </w:rPr>
        <w:t xml:space="preserve"> الطلاق والإعتاق، </w:t>
      </w:r>
      <w:r>
        <w:rPr>
          <w:rFonts w:hint="eastAsia"/>
          <w:rtl/>
        </w:rPr>
        <w:t>«</w:t>
      </w:r>
      <w:r>
        <w:rPr>
          <w:rFonts w:hint="cs"/>
          <w:rtl/>
        </w:rPr>
        <w:t>وفيهما يراعى</w:t>
      </w:r>
      <w:r>
        <w:rPr>
          <w:rFonts w:hint="cs"/>
          <w:vertAlign w:val="superscript"/>
          <w:rtl/>
        </w:rPr>
        <w:t>(</w:t>
      </w:r>
      <w:r>
        <w:rPr>
          <w:rStyle w:val="a7"/>
          <w:rtl/>
        </w:rPr>
        <w:footnoteReference w:id="1001"/>
      </w:r>
      <w:r>
        <w:rPr>
          <w:rFonts w:hint="cs"/>
          <w:vertAlign w:val="superscript"/>
          <w:rtl/>
        </w:rPr>
        <w:t>)</w:t>
      </w:r>
      <w:r>
        <w:rPr>
          <w:rFonts w:hint="cs"/>
          <w:rtl/>
        </w:rPr>
        <w:t xml:space="preserve"> الألفاظ لا المعنى فقط.</w:t>
      </w:r>
    </w:p>
    <w:p w:rsidR="00C10469" w:rsidRDefault="00C10469" w:rsidP="00C10469">
      <w:pPr>
        <w:ind w:left="848" w:hanging="284"/>
        <w:rPr>
          <w:rtl/>
        </w:rPr>
      </w:pPr>
      <w:r>
        <w:rPr>
          <w:rtl/>
        </w:rPr>
        <w:t>•</w:t>
      </w:r>
      <w:r>
        <w:rPr>
          <w:rFonts w:hint="cs"/>
          <w:rtl/>
        </w:rPr>
        <w:t xml:space="preserve"> فلو قال لعبده : إن أدَّيْتَ إلىَّ كذا في كيسٍ أبيضَ فأنت حرّ. فأداها إليه في آخر</w:t>
      </w:r>
      <w:r>
        <w:rPr>
          <w:rStyle w:val="a7"/>
          <w:rtl/>
        </w:rPr>
        <w:footnoteReference w:id="1002"/>
      </w:r>
      <w:r>
        <w:rPr>
          <w:rFonts w:hint="cs"/>
          <w:rtl/>
        </w:rPr>
        <w:t>: لم يعتق.</w:t>
      </w:r>
    </w:p>
    <w:p w:rsidR="00C10469" w:rsidRDefault="00C10469" w:rsidP="00C10469">
      <w:pPr>
        <w:ind w:left="848" w:hanging="284"/>
        <w:rPr>
          <w:rtl/>
        </w:rPr>
      </w:pPr>
      <w:r>
        <w:rPr>
          <w:rtl/>
        </w:rPr>
        <w:t>•</w:t>
      </w:r>
      <w:r>
        <w:rPr>
          <w:rFonts w:hint="cs"/>
          <w:rtl/>
        </w:rPr>
        <w:t xml:space="preserve"> ولو وكَّله بطلاق زوجته مُنجَّزًا، فعلقه على كائن : لم [تطلق]</w:t>
      </w:r>
      <w:r>
        <w:rPr>
          <w:rStyle w:val="a7"/>
          <w:rtl/>
        </w:rPr>
        <w:footnoteReference w:id="1003"/>
      </w:r>
      <w:r>
        <w:rPr>
          <w:rFonts w:hint="eastAsia"/>
          <w:rtl/>
        </w:rPr>
        <w:t>»</w:t>
      </w:r>
      <w:r>
        <w:rPr>
          <w:rFonts w:hint="cs"/>
          <w:vertAlign w:val="superscript"/>
          <w:rtl/>
        </w:rPr>
        <w:t>(</w:t>
      </w:r>
      <w:r>
        <w:rPr>
          <w:rStyle w:val="a7"/>
          <w:rtl/>
        </w:rPr>
        <w:footnoteReference w:id="1004"/>
      </w:r>
      <w:r>
        <w:rPr>
          <w:rFonts w:hint="cs"/>
          <w:vertAlign w:val="superscript"/>
          <w:rtl/>
        </w:rPr>
        <w:t>)</w:t>
      </w:r>
      <w:r>
        <w:rPr>
          <w:rFonts w:hint="cs"/>
          <w:rtl/>
        </w:rPr>
        <w:t>.</w:t>
      </w:r>
    </w:p>
    <w:p w:rsidR="00C10469" w:rsidRDefault="00C10469" w:rsidP="00C10469">
      <w:pPr>
        <w:ind w:firstLine="564"/>
        <w:rPr>
          <w:rtl/>
        </w:rPr>
      </w:pPr>
      <w:r>
        <w:rPr>
          <w:rFonts w:hint="cs"/>
          <w:b/>
          <w:bCs/>
          <w:rtl/>
        </w:rPr>
        <w:t>وخرج</w:t>
      </w:r>
      <w:r>
        <w:rPr>
          <w:rFonts w:hint="cs"/>
          <w:rtl/>
        </w:rPr>
        <w:t xml:space="preserve"> من هذا الأصل في بدء النظر مسائل :</w:t>
      </w:r>
    </w:p>
    <w:p w:rsidR="00C10469" w:rsidRDefault="00C10469" w:rsidP="00C10469">
      <w:pPr>
        <w:ind w:firstLine="564"/>
        <w:rPr>
          <w:rtl/>
        </w:rPr>
      </w:pPr>
      <w:r>
        <w:rPr>
          <w:rFonts w:hint="eastAsia"/>
          <w:rtl/>
        </w:rPr>
        <w:t>«</w:t>
      </w:r>
      <w:r>
        <w:rPr>
          <w:rFonts w:hint="cs"/>
          <w:b/>
          <w:bCs/>
          <w:rtl/>
        </w:rPr>
        <w:t>منها</w:t>
      </w:r>
      <w:r>
        <w:rPr>
          <w:rFonts w:hint="cs"/>
          <w:rtl/>
        </w:rPr>
        <w:t xml:space="preserve"> : لا [تنعقد]</w:t>
      </w:r>
      <w:r>
        <w:rPr>
          <w:rStyle w:val="a7"/>
          <w:rtl/>
        </w:rPr>
        <w:footnoteReference w:id="1005"/>
      </w:r>
      <w:r>
        <w:rPr>
          <w:rFonts w:hint="cs"/>
          <w:rtl/>
        </w:rPr>
        <w:t xml:space="preserve"> الهبة بالبيع بلا ذكر الثمن</w:t>
      </w:r>
      <w:r>
        <w:rPr>
          <w:rFonts w:hint="eastAsia"/>
          <w:rtl/>
        </w:rPr>
        <w:t>»</w:t>
      </w:r>
      <w:r>
        <w:rPr>
          <w:rFonts w:hint="cs"/>
          <w:vertAlign w:val="superscript"/>
          <w:rtl/>
        </w:rPr>
        <w:t>(</w:t>
      </w:r>
      <w:r>
        <w:rPr>
          <w:rStyle w:val="a7"/>
          <w:rtl/>
        </w:rPr>
        <w:footnoteReference w:id="1006"/>
      </w:r>
      <w:r>
        <w:rPr>
          <w:rFonts w:hint="cs"/>
          <w:vertAlign w:val="superscript"/>
          <w:rtl/>
        </w:rPr>
        <w:t>)</w:t>
      </w:r>
      <w:r>
        <w:rPr>
          <w:rFonts w:hint="cs"/>
          <w:rtl/>
        </w:rPr>
        <w:t>.</w:t>
      </w:r>
    </w:p>
    <w:p w:rsidR="00C10469" w:rsidRPr="007F3459" w:rsidRDefault="00C10469">
      <w:pPr>
        <w:rPr>
          <w:spacing w:val="-4"/>
          <w:sz w:val="2"/>
          <w:szCs w:val="2"/>
          <w:rtl/>
        </w:rPr>
      </w:pPr>
      <w:r>
        <w:rPr>
          <w:rFonts w:hint="cs"/>
          <w:spacing w:val="-4"/>
          <w:rtl/>
        </w:rPr>
        <w:lastRenderedPageBreak/>
        <w:t xml:space="preserve">أقول : </w:t>
      </w:r>
      <w:r>
        <w:rPr>
          <w:rFonts w:hint="cs"/>
          <w:b/>
          <w:bCs/>
          <w:spacing w:val="-4"/>
          <w:rtl/>
        </w:rPr>
        <w:t>والجواب</w:t>
      </w:r>
      <w:r>
        <w:rPr>
          <w:rFonts w:hint="cs"/>
          <w:spacing w:val="-4"/>
          <w:rtl/>
        </w:rPr>
        <w:t xml:space="preserve"> أنه لا مانع ولا صارف</w:t>
      </w:r>
      <w:r>
        <w:rPr>
          <w:rStyle w:val="a7"/>
          <w:spacing w:val="-4"/>
          <w:rtl/>
        </w:rPr>
        <w:footnoteReference w:id="1007"/>
      </w:r>
      <w:r>
        <w:rPr>
          <w:rFonts w:hint="cs"/>
          <w:spacing w:val="-4"/>
          <w:rtl/>
        </w:rPr>
        <w:t xml:space="preserve"> من إرادة المعنى</w:t>
      </w:r>
      <w:r>
        <w:rPr>
          <w:rStyle w:val="a7"/>
          <w:spacing w:val="-4"/>
          <w:rtl/>
        </w:rPr>
        <w:footnoteReference w:id="1008"/>
      </w:r>
      <w:r>
        <w:rPr>
          <w:rFonts w:hint="cs"/>
          <w:spacing w:val="-4"/>
          <w:rtl/>
        </w:rPr>
        <w:t xml:space="preserve"> الحقيقي من البيع؛ لأن البيع لا يبطل بالسكوت عن الثمن ؛ بل بنفيه</w:t>
      </w:r>
      <w:r>
        <w:rPr>
          <w:rStyle w:val="a7"/>
          <w:spacing w:val="-4"/>
          <w:rtl/>
        </w:rPr>
        <w:footnoteReference w:id="1009"/>
      </w:r>
      <w:r>
        <w:rPr>
          <w:rFonts w:hint="cs"/>
          <w:spacing w:val="-4"/>
          <w:rtl/>
        </w:rPr>
        <w:t xml:space="preserve"> عند البعض - كما في (الهداية)</w:t>
      </w:r>
      <w:r>
        <w:rPr>
          <w:rFonts w:hint="cs"/>
          <w:spacing w:val="-4"/>
          <w:vertAlign w:val="superscript"/>
          <w:rtl/>
        </w:rPr>
        <w:t>(</w:t>
      </w:r>
      <w:r>
        <w:rPr>
          <w:rStyle w:val="a7"/>
          <w:spacing w:val="-4"/>
          <w:rtl/>
        </w:rPr>
        <w:footnoteReference w:id="1010"/>
      </w:r>
      <w:r>
        <w:rPr>
          <w:rFonts w:hint="cs"/>
          <w:spacing w:val="-4"/>
          <w:vertAlign w:val="superscript"/>
          <w:rtl/>
        </w:rPr>
        <w:t>)</w:t>
      </w:r>
      <w:r>
        <w:rPr>
          <w:rFonts w:hint="cs"/>
          <w:spacing w:val="-4"/>
          <w:rtl/>
        </w:rPr>
        <w:t xml:space="preserve"> </w:t>
      </w:r>
      <w:r>
        <w:rPr>
          <w:spacing w:val="-4"/>
          <w:rtl/>
        </w:rPr>
        <w:br/>
      </w:r>
    </w:p>
    <w:p w:rsidR="00C10469" w:rsidRDefault="00C10469">
      <w:pPr>
        <w:ind w:firstLine="0"/>
        <w:rPr>
          <w:rtl/>
        </w:rPr>
      </w:pPr>
      <w:r>
        <w:rPr>
          <w:rFonts w:hint="cs"/>
          <w:rtl/>
        </w:rPr>
        <w:t>وغيرها</w:t>
      </w:r>
      <w:r>
        <w:rPr>
          <w:rFonts w:hint="cs"/>
          <w:vertAlign w:val="superscript"/>
          <w:rtl/>
        </w:rPr>
        <w:t>(</w:t>
      </w:r>
      <w:r>
        <w:rPr>
          <w:rStyle w:val="a7"/>
          <w:rtl/>
        </w:rPr>
        <w:footnoteReference w:id="1011"/>
      </w:r>
      <w:r>
        <w:rPr>
          <w:rFonts w:hint="cs"/>
          <w:vertAlign w:val="superscript"/>
          <w:rtl/>
        </w:rPr>
        <w:t>)</w:t>
      </w:r>
      <w:r>
        <w:rPr>
          <w:rFonts w:hint="cs"/>
          <w:rtl/>
        </w:rPr>
        <w:t>-؛ بل ينعقد، ويثبت الملك بالقبض، فكأنّه باع بقيمته، فينفذ ولا يبطل، فلا ضرورة بإرادة المجاز</w:t>
      </w:r>
      <w:r>
        <w:rPr>
          <w:rStyle w:val="a7"/>
          <w:rtl/>
        </w:rPr>
        <w:footnoteReference w:id="1012"/>
      </w:r>
      <w:r>
        <w:rPr>
          <w:rFonts w:hint="cs"/>
          <w:vertAlign w:val="superscript"/>
          <w:rtl/>
        </w:rPr>
        <w:t>(</w:t>
      </w:r>
      <w:r>
        <w:rPr>
          <w:rStyle w:val="a7"/>
          <w:rtl/>
        </w:rPr>
        <w:footnoteReference w:id="1013"/>
      </w:r>
      <w:r>
        <w:rPr>
          <w:rFonts w:hint="cs"/>
          <w:vertAlign w:val="superscript"/>
          <w:rtl/>
        </w:rPr>
        <w:t>)</w:t>
      </w:r>
      <w:r>
        <w:rPr>
          <w:rFonts w:hint="cs"/>
          <w:rtl/>
        </w:rPr>
        <w:t>.</w:t>
      </w:r>
    </w:p>
    <w:p w:rsidR="00C10469" w:rsidRDefault="00C10469" w:rsidP="00C10469">
      <w:pPr>
        <w:rPr>
          <w:rtl/>
        </w:rPr>
      </w:pPr>
      <w:r>
        <w:rPr>
          <w:rFonts w:hint="cs"/>
          <w:rtl/>
        </w:rPr>
        <w:lastRenderedPageBreak/>
        <w:t>فأنت تحتاج إلى نظر دقيق في سائر المسائل الخارجة عن الأصل في بدء النظر؛ ليتضح لك أسباب خروجها عن الأصل؛ لأن القواعد والأصول إذا لم تكن مطّردة لا يصح الاستدلال بها</w:t>
      </w:r>
      <w:r>
        <w:rPr>
          <w:rStyle w:val="a7"/>
          <w:rtl/>
        </w:rPr>
        <w:footnoteReference w:id="1014"/>
      </w:r>
      <w:r>
        <w:rPr>
          <w:rFonts w:hint="cs"/>
          <w:rtl/>
        </w:rPr>
        <w:t>، مع أن القوم يستدلون بها في كثير من المسائل، وأنا لم  ألتزم التفصيل في هذه الجريدة؛ بل المراد</w:t>
      </w:r>
      <w:r>
        <w:rPr>
          <w:rStyle w:val="a7"/>
          <w:rtl/>
        </w:rPr>
        <w:footnoteReference w:id="1015"/>
      </w:r>
      <w:r>
        <w:rPr>
          <w:rFonts w:hint="cs"/>
          <w:rtl/>
        </w:rPr>
        <w:t xml:space="preserve"> الترتيب؛ لتسهيل الضّبط، والتفصيل مانع.</w:t>
      </w:r>
    </w:p>
    <w:p w:rsidR="00C10469" w:rsidRDefault="00C10469" w:rsidP="00C10469">
      <w:pPr>
        <w:rPr>
          <w:rtl/>
        </w:rPr>
      </w:pPr>
      <w:r>
        <w:rPr>
          <w:rFonts w:hint="cs"/>
          <w:rtl/>
        </w:rPr>
        <w:t xml:space="preserve">فمن أمعن النظر في هذا الأصل اتضح له جواب ما أوردوا على صاحب (الهداية) فيما قال : </w:t>
      </w:r>
      <w:r>
        <w:rPr>
          <w:rFonts w:hint="eastAsia"/>
          <w:rtl/>
        </w:rPr>
        <w:t>«</w:t>
      </w:r>
      <w:r>
        <w:rPr>
          <w:rFonts w:hint="cs"/>
          <w:rtl/>
        </w:rPr>
        <w:t>إذا ادّعت المرأة الطلاق قبل الدّخول بها استُحلف الزوج</w:t>
      </w:r>
      <w:r>
        <w:rPr>
          <w:rFonts w:hint="eastAsia"/>
          <w:rtl/>
        </w:rPr>
        <w:t>»</w:t>
      </w:r>
      <w:r>
        <w:rPr>
          <w:rFonts w:hint="cs"/>
          <w:vertAlign w:val="superscript"/>
          <w:rtl/>
        </w:rPr>
        <w:t>(</w:t>
      </w:r>
      <w:r>
        <w:rPr>
          <w:rStyle w:val="a7"/>
          <w:rtl/>
        </w:rPr>
        <w:footnoteReference w:id="1016"/>
      </w:r>
      <w:r>
        <w:rPr>
          <w:rFonts w:hint="cs"/>
          <w:vertAlign w:val="superscript"/>
          <w:rtl/>
        </w:rPr>
        <w:t>)</w:t>
      </w:r>
      <w:r>
        <w:rPr>
          <w:rFonts w:hint="cs"/>
          <w:rtl/>
        </w:rPr>
        <w:t xml:space="preserve"> انتهى. </w:t>
      </w:r>
    </w:p>
    <w:p w:rsidR="00C10469" w:rsidRPr="00270672" w:rsidRDefault="00C10469" w:rsidP="00C10469">
      <w:pPr>
        <w:rPr>
          <w:spacing w:val="2"/>
          <w:rtl/>
        </w:rPr>
      </w:pPr>
      <w:r>
        <w:rPr>
          <w:rFonts w:hint="cs"/>
          <w:rtl/>
        </w:rPr>
        <w:t>واضطرب شرّاحـهـا في وجـدان فـائـدة</w:t>
      </w:r>
      <w:r>
        <w:rPr>
          <w:rStyle w:val="a7"/>
          <w:rtl/>
        </w:rPr>
        <w:footnoteReference w:id="1017"/>
      </w:r>
      <w:r>
        <w:rPr>
          <w:rFonts w:hint="cs"/>
          <w:rtl/>
        </w:rPr>
        <w:t xml:space="preserve"> التقـيـيد بقـبلـيّة</w:t>
      </w:r>
      <w:r>
        <w:rPr>
          <w:rStyle w:val="a7"/>
          <w:rtl/>
        </w:rPr>
        <w:footnoteReference w:id="1018"/>
      </w:r>
      <w:r>
        <w:rPr>
          <w:rFonts w:hint="cs"/>
          <w:rtl/>
        </w:rPr>
        <w:t xml:space="preserve"> </w:t>
      </w:r>
      <w:r w:rsidRPr="00270672">
        <w:rPr>
          <w:rFonts w:hint="cs"/>
          <w:spacing w:val="-2"/>
          <w:rtl/>
        </w:rPr>
        <w:t xml:space="preserve">الدخول، </w:t>
      </w:r>
      <w:r w:rsidRPr="00270672">
        <w:rPr>
          <w:rFonts w:hint="cs"/>
          <w:spacing w:val="2"/>
          <w:rtl/>
        </w:rPr>
        <w:t xml:space="preserve">حـتى قـال </w:t>
      </w:r>
      <w:r w:rsidRPr="00270672">
        <w:rPr>
          <w:rFonts w:hint="cs"/>
          <w:spacing w:val="2"/>
          <w:rtl/>
        </w:rPr>
        <w:lastRenderedPageBreak/>
        <w:t>صاحـب (العـنـايـة) الأكـمـلـيـة</w:t>
      </w:r>
      <w:r w:rsidRPr="00270672">
        <w:rPr>
          <w:rFonts w:hint="cs"/>
          <w:spacing w:val="2"/>
          <w:vertAlign w:val="superscript"/>
          <w:rtl/>
        </w:rPr>
        <w:t>(</w:t>
      </w:r>
      <w:r w:rsidRPr="00270672">
        <w:rPr>
          <w:rStyle w:val="a7"/>
          <w:spacing w:val="2"/>
          <w:rtl/>
        </w:rPr>
        <w:footnoteReference w:id="1019"/>
      </w:r>
      <w:r w:rsidRPr="00270672">
        <w:rPr>
          <w:rFonts w:hint="cs"/>
          <w:spacing w:val="2"/>
          <w:vertAlign w:val="superscript"/>
          <w:rtl/>
        </w:rPr>
        <w:t>)</w:t>
      </w:r>
      <w:r w:rsidRPr="00270672">
        <w:rPr>
          <w:rFonts w:hint="cs"/>
          <w:spacing w:val="2"/>
          <w:rtl/>
        </w:rPr>
        <w:t xml:space="preserve">: </w:t>
      </w:r>
      <w:r w:rsidRPr="00270672">
        <w:rPr>
          <w:rFonts w:hint="eastAsia"/>
          <w:spacing w:val="2"/>
          <w:rtl/>
        </w:rPr>
        <w:t>«</w:t>
      </w:r>
      <w:r w:rsidRPr="00270672">
        <w:rPr>
          <w:rFonts w:hint="cs"/>
          <w:spacing w:val="2"/>
          <w:rtl/>
        </w:rPr>
        <w:t>فـإن  قـلـتَ :</w:t>
      </w:r>
    </w:p>
    <w:p w:rsidR="00C10469" w:rsidRDefault="00C10469">
      <w:pPr>
        <w:rPr>
          <w:rtl/>
        </w:rPr>
      </w:pPr>
      <w:r>
        <w:rPr>
          <w:rFonts w:hint="cs"/>
          <w:rtl/>
        </w:rPr>
        <w:t>هل</w:t>
      </w:r>
      <w:r>
        <w:rPr>
          <w:rStyle w:val="a7"/>
          <w:rtl/>
        </w:rPr>
        <w:footnoteReference w:id="1020"/>
      </w:r>
      <w:r>
        <w:rPr>
          <w:rFonts w:hint="cs"/>
          <w:rtl/>
        </w:rPr>
        <w:t xml:space="preserve"> في تخصيص ذكر</w:t>
      </w:r>
      <w:r>
        <w:rPr>
          <w:rStyle w:val="a7"/>
          <w:rtl/>
        </w:rPr>
        <w:footnoteReference w:id="1021"/>
      </w:r>
      <w:r>
        <w:rPr>
          <w:rFonts w:hint="cs"/>
          <w:rtl/>
        </w:rPr>
        <w:t xml:space="preserve"> (قبل الدخول) فائدة ؟.</w:t>
      </w:r>
    </w:p>
    <w:p w:rsidR="00C10469" w:rsidRDefault="00C10469">
      <w:pPr>
        <w:rPr>
          <w:rtl/>
        </w:rPr>
      </w:pPr>
      <w:r>
        <w:rPr>
          <w:rFonts w:hint="cs"/>
          <w:rtl/>
        </w:rPr>
        <w:t>قلتُ : هي تعليم أنّ دعوى المهر لا يتفاوت</w:t>
      </w:r>
      <w:r>
        <w:rPr>
          <w:rFonts w:hint="cs"/>
          <w:vertAlign w:val="superscript"/>
          <w:rtl/>
        </w:rPr>
        <w:t>(</w:t>
      </w:r>
      <w:r>
        <w:rPr>
          <w:rStyle w:val="a7"/>
          <w:rtl/>
        </w:rPr>
        <w:footnoteReference w:id="1022"/>
      </w:r>
      <w:r>
        <w:rPr>
          <w:rFonts w:hint="cs"/>
          <w:vertAlign w:val="superscript"/>
          <w:rtl/>
        </w:rPr>
        <w:t>)</w:t>
      </w:r>
      <w:r>
        <w:rPr>
          <w:rFonts w:hint="cs"/>
          <w:rtl/>
        </w:rPr>
        <w:t xml:space="preserve"> بين أن يكون في كل [المهر]</w:t>
      </w:r>
      <w:r>
        <w:rPr>
          <w:rStyle w:val="a7"/>
          <w:rtl/>
        </w:rPr>
        <w:footnoteReference w:id="1023"/>
      </w:r>
      <w:r>
        <w:rPr>
          <w:rFonts w:hint="cs"/>
          <w:rtl/>
        </w:rPr>
        <w:t xml:space="preserve"> أو نصفه</w:t>
      </w:r>
      <w:r>
        <w:rPr>
          <w:rFonts w:hint="eastAsia"/>
          <w:rtl/>
        </w:rPr>
        <w:t>»</w:t>
      </w:r>
      <w:r>
        <w:rPr>
          <w:rFonts w:hint="cs"/>
          <w:vertAlign w:val="superscript"/>
          <w:rtl/>
        </w:rPr>
        <w:t>(</w:t>
      </w:r>
      <w:r>
        <w:rPr>
          <w:rStyle w:val="a7"/>
          <w:rtl/>
        </w:rPr>
        <w:footnoteReference w:id="1024"/>
      </w:r>
      <w:r>
        <w:rPr>
          <w:rFonts w:hint="cs"/>
          <w:vertAlign w:val="superscript"/>
          <w:rtl/>
        </w:rPr>
        <w:t>)</w:t>
      </w:r>
      <w:r>
        <w:rPr>
          <w:rFonts w:hint="cs"/>
          <w:rtl/>
        </w:rPr>
        <w:t>. انتهى.</w:t>
      </w:r>
    </w:p>
    <w:p w:rsidR="00C10469" w:rsidRDefault="00C10469">
      <w:pPr>
        <w:rPr>
          <w:rtl/>
        </w:rPr>
      </w:pPr>
      <w:r>
        <w:rPr>
          <w:rFonts w:hint="cs"/>
          <w:rtl/>
        </w:rPr>
        <w:t xml:space="preserve">ثم -هو بنفسه- أورد النقض في هذا الجواب، وقال : </w:t>
      </w:r>
      <w:r>
        <w:rPr>
          <w:rFonts w:hint="eastAsia"/>
          <w:rtl/>
        </w:rPr>
        <w:t>«</w:t>
      </w:r>
      <w:r>
        <w:rPr>
          <w:rFonts w:hint="cs"/>
          <w:rtl/>
        </w:rPr>
        <w:t>وفيه نظر؛ لأن الإطلاق يغني عن ذلك، وليس فيه توهم التقييد بذلك</w:t>
      </w:r>
      <w:r>
        <w:rPr>
          <w:rFonts w:hint="eastAsia"/>
          <w:rtl/>
        </w:rPr>
        <w:t>»</w:t>
      </w:r>
      <w:r>
        <w:rPr>
          <w:rFonts w:hint="cs"/>
          <w:vertAlign w:val="superscript"/>
          <w:rtl/>
        </w:rPr>
        <w:t>(</w:t>
      </w:r>
      <w:r>
        <w:rPr>
          <w:rStyle w:val="a7"/>
          <w:rtl/>
        </w:rPr>
        <w:footnoteReference w:id="1025"/>
      </w:r>
      <w:r>
        <w:rPr>
          <w:rFonts w:hint="cs"/>
          <w:vertAlign w:val="superscript"/>
          <w:rtl/>
        </w:rPr>
        <w:t>)</w:t>
      </w:r>
      <w:r>
        <w:rPr>
          <w:rFonts w:hint="cs"/>
          <w:rtl/>
        </w:rPr>
        <w:t>.</w:t>
      </w:r>
    </w:p>
    <w:p w:rsidR="00C10469" w:rsidRDefault="00C10469">
      <w:pPr>
        <w:rPr>
          <w:rtl/>
        </w:rPr>
      </w:pPr>
      <w:r>
        <w:rPr>
          <w:rFonts w:hint="cs"/>
          <w:rtl/>
        </w:rPr>
        <w:lastRenderedPageBreak/>
        <w:t xml:space="preserve">أقول : </w:t>
      </w:r>
      <w:r>
        <w:rPr>
          <w:rFonts w:hint="cs"/>
          <w:b/>
          <w:bCs/>
          <w:rtl/>
        </w:rPr>
        <w:t>الجواب الشافي</w:t>
      </w:r>
      <w:r>
        <w:rPr>
          <w:rFonts w:hint="cs"/>
          <w:rtl/>
        </w:rPr>
        <w:t xml:space="preserve"> يظهر من هذا الأصل الذي ذكرناه في صدر الكلام، </w:t>
      </w:r>
      <w:r>
        <w:rPr>
          <w:rFonts w:hint="cs"/>
          <w:b/>
          <w:bCs/>
          <w:rtl/>
        </w:rPr>
        <w:t>وتقريره</w:t>
      </w:r>
      <w:r>
        <w:rPr>
          <w:rFonts w:hint="cs"/>
          <w:rtl/>
        </w:rPr>
        <w:t xml:space="preserve"> : </w:t>
      </w:r>
    </w:p>
    <w:p w:rsidR="00C10469" w:rsidRDefault="00C10469">
      <w:pPr>
        <w:rPr>
          <w:rtl/>
        </w:rPr>
      </w:pPr>
      <w:r>
        <w:rPr>
          <w:rFonts w:hint="cs"/>
          <w:rtl/>
        </w:rPr>
        <w:t>إنّ قصد صاحب (الهداية)، من إيراد هذه المسألة : فإنها إذا ادّعت الطلاق قبل الدخولِ بها يُوهَمُ عدمُ جوازِ الـحَلِفِ</w:t>
      </w:r>
      <w:r>
        <w:rPr>
          <w:rStyle w:val="a7"/>
          <w:rtl/>
        </w:rPr>
        <w:footnoteReference w:id="1026"/>
      </w:r>
      <w:r>
        <w:rPr>
          <w:rFonts w:hint="cs"/>
          <w:rtl/>
        </w:rPr>
        <w:t xml:space="preserve"> في هذه المسألة؛ لأن دعواها دعوى النكاح معنى، والاعتبار للمقاصد والمعاني. وهذا الوهم لا يوجد</w:t>
      </w:r>
      <w:r>
        <w:rPr>
          <w:rStyle w:val="a7"/>
          <w:rtl/>
        </w:rPr>
        <w:footnoteReference w:id="1027"/>
      </w:r>
      <w:r>
        <w:rPr>
          <w:rFonts w:hint="cs"/>
          <w:rtl/>
        </w:rPr>
        <w:t xml:space="preserve"> فيما إذا ادعت بعد الدخول؛ لأن دعواها فيه دعوى الطلاق لفظًا ومعنى؛ لأنها بتسليم البضع تدّعي</w:t>
      </w:r>
      <w:r>
        <w:rPr>
          <w:rStyle w:val="a7"/>
          <w:rtl/>
        </w:rPr>
        <w:footnoteReference w:id="1028"/>
      </w:r>
      <w:r>
        <w:rPr>
          <w:rFonts w:hint="cs"/>
          <w:rtl/>
        </w:rPr>
        <w:t xml:space="preserve"> المهر، لا بمجرد النكاح</w:t>
      </w:r>
      <w:r>
        <w:rPr>
          <w:rStyle w:val="a7"/>
          <w:rtl/>
        </w:rPr>
        <w:footnoteReference w:id="1029"/>
      </w:r>
      <w:r>
        <w:rPr>
          <w:rFonts w:hint="cs"/>
          <w:rtl/>
        </w:rPr>
        <w:t>، ولا شبهة أنّ الاستحلاف يجري في الطلاق عنده</w:t>
      </w:r>
      <w:r>
        <w:rPr>
          <w:rFonts w:hint="cs"/>
          <w:vertAlign w:val="superscript"/>
          <w:rtl/>
        </w:rPr>
        <w:t>(</w:t>
      </w:r>
      <w:r>
        <w:rPr>
          <w:rStyle w:val="a7"/>
          <w:rtl/>
        </w:rPr>
        <w:footnoteReference w:id="1030"/>
      </w:r>
      <w:r>
        <w:rPr>
          <w:rFonts w:hint="cs"/>
          <w:vertAlign w:val="superscript"/>
          <w:rtl/>
        </w:rPr>
        <w:t>)</w:t>
      </w:r>
      <w:r>
        <w:rPr>
          <w:rFonts w:hint="cs"/>
          <w:rtl/>
        </w:rPr>
        <w:t>.</w:t>
      </w:r>
    </w:p>
    <w:p w:rsidR="00C10469" w:rsidRDefault="00C10469">
      <w:pPr>
        <w:rPr>
          <w:rtl/>
        </w:rPr>
      </w:pPr>
      <w:r>
        <w:rPr>
          <w:rFonts w:hint="cs"/>
          <w:rtl/>
        </w:rPr>
        <w:lastRenderedPageBreak/>
        <w:t>فعُلم أنّ التقييد بالقبليَّة</w:t>
      </w:r>
      <w:r>
        <w:rPr>
          <w:rStyle w:val="a7"/>
          <w:rtl/>
        </w:rPr>
        <w:footnoteReference w:id="1031"/>
      </w:r>
      <w:r>
        <w:rPr>
          <w:rFonts w:hint="cs"/>
          <w:rtl/>
        </w:rPr>
        <w:t xml:space="preserve"> لدفع إطلاق</w:t>
      </w:r>
      <w:r>
        <w:rPr>
          <w:rStyle w:val="a7"/>
          <w:rtl/>
        </w:rPr>
        <w:footnoteReference w:id="1032"/>
      </w:r>
      <w:r>
        <w:rPr>
          <w:rFonts w:hint="cs"/>
          <w:rtl/>
        </w:rPr>
        <w:t xml:space="preserve"> التوهم</w:t>
      </w:r>
      <w:r>
        <w:rPr>
          <w:rFonts w:hint="cs"/>
          <w:vertAlign w:val="superscript"/>
          <w:rtl/>
        </w:rPr>
        <w:t>(</w:t>
      </w:r>
      <w:r>
        <w:rPr>
          <w:rStyle w:val="a7"/>
          <w:rtl/>
        </w:rPr>
        <w:footnoteReference w:id="1033"/>
      </w:r>
      <w:r>
        <w:rPr>
          <w:rFonts w:hint="cs"/>
          <w:vertAlign w:val="superscript"/>
          <w:rtl/>
        </w:rPr>
        <w:t>)</w:t>
      </w:r>
      <w:r>
        <w:rPr>
          <w:rFonts w:hint="cs"/>
          <w:rtl/>
        </w:rPr>
        <w:t>.</w:t>
      </w:r>
    </w:p>
    <w:p w:rsidR="00C10469" w:rsidRDefault="00C10469" w:rsidP="00C10469">
      <w:pPr>
        <w:rPr>
          <w:rtl/>
        </w:rPr>
      </w:pPr>
      <w:r>
        <w:rPr>
          <w:rFonts w:hint="cs"/>
          <w:rtl/>
        </w:rPr>
        <w:t>كما قُـيّد</w:t>
      </w:r>
      <w:r>
        <w:rPr>
          <w:rStyle w:val="a7"/>
          <w:rtl/>
        </w:rPr>
        <w:footnoteReference w:id="1034"/>
      </w:r>
      <w:r>
        <w:rPr>
          <w:rFonts w:hint="cs"/>
          <w:rtl/>
        </w:rPr>
        <w:t xml:space="preserve"> استخـلاف الأميّ في إفساد الصلاة</w:t>
      </w:r>
      <w:r>
        <w:rPr>
          <w:rStyle w:val="a7"/>
          <w:rtl/>
        </w:rPr>
        <w:footnoteReference w:id="1035"/>
      </w:r>
      <w:r>
        <w:rPr>
          <w:rFonts w:hint="cs"/>
          <w:rtl/>
        </w:rPr>
        <w:t xml:space="preserve"> بالأُخريين</w:t>
      </w:r>
      <w:r>
        <w:rPr>
          <w:rFonts w:hint="cs"/>
          <w:vertAlign w:val="superscript"/>
          <w:rtl/>
        </w:rPr>
        <w:t>(</w:t>
      </w:r>
      <w:r>
        <w:rPr>
          <w:rStyle w:val="a7"/>
          <w:rtl/>
        </w:rPr>
        <w:footnoteReference w:id="1036"/>
      </w:r>
      <w:r>
        <w:rPr>
          <w:rFonts w:hint="cs"/>
          <w:vertAlign w:val="superscript"/>
          <w:rtl/>
        </w:rPr>
        <w:t>)</w:t>
      </w:r>
      <w:r>
        <w:rPr>
          <w:rFonts w:hint="cs"/>
          <w:rtl/>
        </w:rPr>
        <w:t xml:space="preserve"> -في الـمـتون- حيث قالوا : استخلف أمِّيًّا في الأُخريين : فسدت صلواتهم</w:t>
      </w:r>
      <w:r>
        <w:rPr>
          <w:rStyle w:val="a7"/>
          <w:rtl/>
        </w:rPr>
        <w:footnoteReference w:id="1037"/>
      </w:r>
      <w:r>
        <w:rPr>
          <w:rFonts w:hint="cs"/>
          <w:vertAlign w:val="superscript"/>
          <w:rtl/>
        </w:rPr>
        <w:t>(</w:t>
      </w:r>
      <w:r>
        <w:rPr>
          <w:rStyle w:val="a7"/>
          <w:rtl/>
        </w:rPr>
        <w:footnoteReference w:id="1038"/>
      </w:r>
      <w:r>
        <w:rPr>
          <w:rFonts w:hint="cs"/>
          <w:vertAlign w:val="superscript"/>
          <w:rtl/>
        </w:rPr>
        <w:t>)</w:t>
      </w:r>
      <w:r>
        <w:rPr>
          <w:rFonts w:hint="cs"/>
          <w:rtl/>
        </w:rPr>
        <w:t xml:space="preserve">. </w:t>
      </w:r>
      <w:r>
        <w:rPr>
          <w:rFonts w:hint="cs"/>
          <w:b/>
          <w:bCs/>
          <w:rtl/>
        </w:rPr>
        <w:t>مع أنَّ</w:t>
      </w:r>
      <w:r>
        <w:rPr>
          <w:rFonts w:hint="cs"/>
          <w:rtl/>
        </w:rPr>
        <w:t xml:space="preserve"> </w:t>
      </w:r>
      <w:r>
        <w:rPr>
          <w:rFonts w:hint="cs"/>
          <w:rtl/>
        </w:rPr>
        <w:lastRenderedPageBreak/>
        <w:t>استخلاف</w:t>
      </w:r>
      <w:r>
        <w:rPr>
          <w:rStyle w:val="a7"/>
          <w:rtl/>
        </w:rPr>
        <w:footnoteReference w:id="1039"/>
      </w:r>
      <w:r>
        <w:rPr>
          <w:rFonts w:hint="cs"/>
          <w:rtl/>
        </w:rPr>
        <w:t xml:space="preserve"> الأمي في الأوليـين مفسد أيضًا.</w:t>
      </w:r>
    </w:p>
    <w:p w:rsidR="00C10469" w:rsidRDefault="00C10469" w:rsidP="00C10469">
      <w:pPr>
        <w:rPr>
          <w:rtl/>
        </w:rPr>
      </w:pPr>
      <w:r>
        <w:rPr>
          <w:rFonts w:hint="cs"/>
          <w:b/>
          <w:bCs/>
          <w:rtl/>
        </w:rPr>
        <w:t>وأجيب</w:t>
      </w:r>
      <w:r>
        <w:rPr>
          <w:rFonts w:hint="cs"/>
          <w:rtl/>
        </w:rPr>
        <w:t xml:space="preserve"> عنه: بأن تخصيص الأخريين بالذكر؛ لدفع توهم أن يصلح الأمي في الأُخريين للاستخـلاف؛ لـعـدم</w:t>
      </w:r>
      <w:r>
        <w:rPr>
          <w:rStyle w:val="a7"/>
          <w:rtl/>
        </w:rPr>
        <w:footnoteReference w:id="1040"/>
      </w:r>
      <w:r>
        <w:rPr>
          <w:rFonts w:hint="cs"/>
          <w:rtl/>
        </w:rPr>
        <w:t xml:space="preserve"> وجوب القـراءة فيهما، لا لـدفع إطـلاق الحـكم؛ ولهذا لم يذكرها في محلّها.</w:t>
      </w:r>
    </w:p>
    <w:p w:rsidR="00C10469" w:rsidRDefault="00C10469" w:rsidP="00C10469">
      <w:pPr>
        <w:rPr>
          <w:rtl/>
        </w:rPr>
      </w:pPr>
      <w:r>
        <w:rPr>
          <w:rFonts w:hint="cs"/>
          <w:rtl/>
        </w:rPr>
        <w:t>والحكم في مسألة الطلاق بعد الدخـول داخـل فـي القـاعدة الكلية</w:t>
      </w:r>
      <w:r>
        <w:rPr>
          <w:rFonts w:hint="cs"/>
          <w:vertAlign w:val="superscript"/>
          <w:rtl/>
        </w:rPr>
        <w:t>(</w:t>
      </w:r>
      <w:r>
        <w:rPr>
          <w:rStyle w:val="a7"/>
          <w:rtl/>
        </w:rPr>
        <w:footnoteReference w:id="1041"/>
      </w:r>
      <w:r>
        <w:rPr>
          <w:rFonts w:hint="cs"/>
          <w:vertAlign w:val="superscript"/>
          <w:rtl/>
        </w:rPr>
        <w:t>)</w:t>
      </w:r>
      <w:r>
        <w:rPr>
          <w:rFonts w:hint="cs"/>
          <w:rtl/>
        </w:rPr>
        <w:t xml:space="preserve">، وهي </w:t>
      </w:r>
    </w:p>
    <w:p w:rsidR="00C10469" w:rsidRDefault="00C10469">
      <w:pPr>
        <w:spacing w:line="540" w:lineRule="exact"/>
        <w:ind w:firstLine="0"/>
        <w:rPr>
          <w:rtl/>
        </w:rPr>
      </w:pPr>
      <w:r>
        <w:rPr>
          <w:rFonts w:hint="cs"/>
          <w:rtl/>
        </w:rPr>
        <w:t xml:space="preserve">قـــولــــه </w:t>
      </w:r>
      <w:r>
        <w:rPr>
          <w:rFonts w:ascii="AGA Arabesque" w:hAnsi="AGA Arabesque"/>
          <w:sz w:val="38"/>
        </w:rPr>
        <w:t></w:t>
      </w:r>
      <w:r>
        <w:rPr>
          <w:rFonts w:hint="cs"/>
          <w:rtl/>
        </w:rPr>
        <w:t xml:space="preserve">: </w:t>
      </w:r>
      <w:r>
        <w:rPr>
          <w:rFonts w:hint="eastAsia"/>
          <w:rtl/>
        </w:rPr>
        <w:t>«</w:t>
      </w:r>
      <w:r>
        <w:rPr>
          <w:rFonts w:cs="DecoType Naskh" w:hint="cs"/>
          <w:rtl/>
        </w:rPr>
        <w:t>البيِّـنةُ [عـلى الـمدَّعِـــي]</w:t>
      </w:r>
      <w:r>
        <w:rPr>
          <w:rFonts w:hint="cs"/>
          <w:vertAlign w:val="superscript"/>
          <w:rtl/>
        </w:rPr>
        <w:t xml:space="preserve"> </w:t>
      </w:r>
      <w:r>
        <w:rPr>
          <w:rStyle w:val="a7"/>
          <w:rtl/>
        </w:rPr>
        <w:footnoteReference w:id="1042"/>
      </w:r>
      <w:r>
        <w:rPr>
          <w:rFonts w:hint="cs"/>
          <w:rtl/>
        </w:rPr>
        <w:t xml:space="preserve"> </w:t>
      </w:r>
      <w:r>
        <w:rPr>
          <w:rFonts w:cs="DecoType Naskh" w:hint="cs"/>
          <w:rtl/>
        </w:rPr>
        <w:t>واليـمـــــينُ على مَـــــــنْ أنـكـرَ</w:t>
      </w:r>
      <w:r>
        <w:rPr>
          <w:rFonts w:hint="eastAsia"/>
          <w:rtl/>
        </w:rPr>
        <w:t>»</w:t>
      </w:r>
      <w:r>
        <w:rPr>
          <w:rFonts w:hint="cs"/>
          <w:vertAlign w:val="superscript"/>
          <w:rtl/>
        </w:rPr>
        <w:t>(</w:t>
      </w:r>
      <w:r>
        <w:rPr>
          <w:rStyle w:val="a7"/>
          <w:rtl/>
        </w:rPr>
        <w:footnoteReference w:id="1043"/>
      </w:r>
      <w:r>
        <w:rPr>
          <w:rFonts w:hint="cs"/>
          <w:vertAlign w:val="superscript"/>
          <w:rtl/>
        </w:rPr>
        <w:t>)</w:t>
      </w:r>
      <w:r>
        <w:rPr>
          <w:rFonts w:hint="cs"/>
          <w:rtl/>
        </w:rPr>
        <w:t xml:space="preserve"> </w:t>
      </w:r>
    </w:p>
    <w:p w:rsidR="00C10469" w:rsidRDefault="00C10469">
      <w:pPr>
        <w:ind w:firstLine="0"/>
        <w:rPr>
          <w:rtl/>
        </w:rPr>
      </w:pPr>
      <w:r>
        <w:rPr>
          <w:rFonts w:hint="cs"/>
          <w:rtl/>
        </w:rPr>
        <w:lastRenderedPageBreak/>
        <w:t>فلا حاجة إلى ذكرها</w:t>
      </w:r>
      <w:r>
        <w:rPr>
          <w:rFonts w:hint="cs"/>
          <w:vertAlign w:val="superscript"/>
          <w:rtl/>
        </w:rPr>
        <w:t>(</w:t>
      </w:r>
      <w:r>
        <w:rPr>
          <w:rStyle w:val="a7"/>
          <w:rtl/>
        </w:rPr>
        <w:footnoteReference w:id="1044"/>
      </w:r>
      <w:r>
        <w:rPr>
          <w:rFonts w:hint="cs"/>
          <w:vertAlign w:val="superscript"/>
          <w:rtl/>
        </w:rPr>
        <w:t>)</w:t>
      </w:r>
      <w:r>
        <w:rPr>
          <w:rFonts w:hint="cs"/>
          <w:rtl/>
        </w:rPr>
        <w:t>.</w:t>
      </w:r>
    </w:p>
    <w:p w:rsidR="00C10469" w:rsidRDefault="00C10469">
      <w:pPr>
        <w:rPr>
          <w:rtl/>
        </w:rPr>
      </w:pPr>
      <w:r>
        <w:rPr>
          <w:rFonts w:hint="cs"/>
          <w:rtl/>
        </w:rPr>
        <w:t>ولم يذكر شراح (الهداية) هذا الوجْهَ السالمَ عن النظر مع وضوحه، فكأنهم غفلوا عنه. وهذا ممّا ترك الأوّلون للآخرين، والحمد لله رب العالمين.</w:t>
      </w:r>
    </w:p>
    <w:p w:rsidR="00C10469" w:rsidRDefault="00C10469">
      <w:pPr>
        <w:rPr>
          <w:rtl/>
        </w:rPr>
      </w:pPr>
    </w:p>
    <w:p w:rsidR="00C10469" w:rsidRPr="007C2DAA"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3464"/>
        </w:tabs>
        <w:rPr>
          <w:rtl/>
        </w:rPr>
        <w:sectPr w:rsidR="00C10469" w:rsidSect="00C10469">
          <w:headerReference w:type="default" r:id="rId9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531AC" w:rsidRDefault="00C10469">
      <w:pPr>
        <w:pStyle w:val="a9"/>
        <w:rPr>
          <w:rFonts w:cs="AL-Mateen"/>
          <w:rtl/>
          <w:lang w:eastAsia="en-GB"/>
        </w:rPr>
      </w:pPr>
      <w:r w:rsidRPr="008531AC">
        <w:rPr>
          <w:rFonts w:cs="AL-Mateen" w:hint="cs"/>
          <w:rtl/>
          <w:lang w:eastAsia="en-GB"/>
        </w:rPr>
        <w:lastRenderedPageBreak/>
        <w:t>[ القـاعـدة الخـامسة والثـلاثـون ]</w:t>
      </w:r>
    </w:p>
    <w:p w:rsidR="00C10469" w:rsidRDefault="00C10469">
      <w:pPr>
        <w:spacing w:line="600" w:lineRule="exact"/>
        <w:rPr>
          <w:b/>
          <w:bCs/>
          <w:rtl/>
          <w:lang w:eastAsia="en-GB"/>
        </w:rPr>
      </w:pPr>
      <w:r>
        <w:rPr>
          <w:rFonts w:cs="Monotype Koufi" w:hint="cs"/>
          <w:rtl/>
        </w:rPr>
        <w:t>اعْتِبَارُ المعنَيَيْنِ مِنْ لَفْظٍ وَاحِدٍ لا يَجُوزُ بِلاَ مُرَجِّ</w:t>
      </w:r>
      <w:r>
        <w:rPr>
          <w:rFonts w:cs="Monotype Koufi"/>
          <w:rtl/>
        </w:rPr>
        <w:t>ح</w:t>
      </w:r>
      <w:r>
        <w:rPr>
          <w:rFonts w:cs="Monotype Koufi" w:hint="cs"/>
          <w:rtl/>
        </w:rPr>
        <w:t>ٍ فِي الإِثْبَاتِ، ويجوزُ فِي النَّفْيِ</w:t>
      </w:r>
      <w:r>
        <w:rPr>
          <w:rStyle w:val="a7"/>
          <w:b/>
          <w:rtl/>
        </w:rPr>
        <w:footnoteReference w:id="1045"/>
      </w:r>
      <w:r>
        <w:rPr>
          <w:rFonts w:hint="cs"/>
          <w:b/>
          <w:vertAlign w:val="superscript"/>
          <w:rtl/>
          <w:lang w:eastAsia="en-GB"/>
        </w:rPr>
        <w:t>(</w:t>
      </w:r>
      <w:r>
        <w:rPr>
          <w:rStyle w:val="a7"/>
          <w:b/>
          <w:rtl/>
        </w:rPr>
        <w:footnoteReference w:id="1046"/>
      </w:r>
      <w:r>
        <w:rPr>
          <w:rFonts w:hint="cs"/>
          <w:b/>
          <w:vertAlign w:val="superscript"/>
          <w:rtl/>
          <w:lang w:eastAsia="en-GB"/>
        </w:rPr>
        <w:t>)</w:t>
      </w:r>
      <w:r>
        <w:rPr>
          <w:rFonts w:hint="cs"/>
          <w:b/>
          <w:rtl/>
          <w:lang w:eastAsia="en-GB"/>
        </w:rPr>
        <w:t xml:space="preserve"> :</w:t>
      </w:r>
    </w:p>
    <w:p w:rsidR="00C10469" w:rsidRDefault="00C10469">
      <w:pPr>
        <w:spacing w:line="600" w:lineRule="exact"/>
        <w:rPr>
          <w:rtl/>
          <w:lang w:eastAsia="en-GB"/>
        </w:rPr>
      </w:pPr>
      <w:r>
        <w:rPr>
          <w:rFonts w:hint="cs"/>
          <w:b/>
          <w:bCs/>
          <w:rtl/>
          <w:lang w:eastAsia="en-GB"/>
        </w:rPr>
        <w:t>ولهذا</w:t>
      </w:r>
      <w:r>
        <w:rPr>
          <w:rFonts w:hint="cs"/>
          <w:rtl/>
          <w:lang w:eastAsia="en-GB"/>
        </w:rPr>
        <w:t xml:space="preserve"> : من </w:t>
      </w:r>
      <w:r>
        <w:rPr>
          <w:rFonts w:hint="cs"/>
          <w:rtl/>
        </w:rPr>
        <w:t>أوصى لمواليه</w:t>
      </w:r>
      <w:r>
        <w:rPr>
          <w:rFonts w:hint="cs"/>
          <w:rtl/>
          <w:lang w:eastAsia="en-GB"/>
        </w:rPr>
        <w:t>، وله معتِق (بالكسر)، ومعتَق (بالفتح) : بطلت؛ لتعذّر إرا</w:t>
      </w:r>
      <w:r>
        <w:rPr>
          <w:rtl/>
          <w:lang w:eastAsia="en-GB"/>
        </w:rPr>
        <w:t>د</w:t>
      </w:r>
      <w:r>
        <w:rPr>
          <w:rFonts w:hint="cs"/>
          <w:rtl/>
          <w:lang w:eastAsia="en-GB"/>
        </w:rPr>
        <w:t>ة أحد المعنيين</w:t>
      </w:r>
      <w:r>
        <w:rPr>
          <w:rStyle w:val="a7"/>
          <w:rtl/>
        </w:rPr>
        <w:footnoteReference w:id="1047"/>
      </w:r>
      <w:r>
        <w:rPr>
          <w:rFonts w:hint="cs"/>
          <w:rtl/>
          <w:lang w:eastAsia="en-GB"/>
        </w:rPr>
        <w:t xml:space="preserve"> بلا مرجح في موضع الإثبات.</w:t>
      </w:r>
    </w:p>
    <w:p w:rsidR="00C10469" w:rsidRDefault="00C10469">
      <w:pPr>
        <w:spacing w:line="600" w:lineRule="exact"/>
        <w:rPr>
          <w:rtl/>
          <w:lang w:eastAsia="en-GB"/>
        </w:rPr>
      </w:pPr>
      <w:r>
        <w:rPr>
          <w:rFonts w:hint="cs"/>
          <w:rtl/>
          <w:lang w:eastAsia="en-GB"/>
        </w:rPr>
        <w:t>بـخلاف مـا إذا حلف : لا يكلم موالي فلان، حيث يتناول  الأعلى  والأسفل؛</w:t>
      </w:r>
    </w:p>
    <w:p w:rsidR="00C10469" w:rsidRDefault="00C10469">
      <w:pPr>
        <w:spacing w:line="600" w:lineRule="exact"/>
        <w:ind w:firstLine="0"/>
        <w:rPr>
          <w:rtl/>
          <w:lang w:eastAsia="en-GB"/>
        </w:rPr>
      </w:pPr>
      <w:r>
        <w:rPr>
          <w:rFonts w:hint="cs"/>
          <w:rtl/>
          <w:lang w:eastAsia="en-GB"/>
        </w:rPr>
        <w:lastRenderedPageBreak/>
        <w:t>لأن</w:t>
      </w:r>
      <w:r>
        <w:rPr>
          <w:rtl/>
          <w:lang w:eastAsia="en-GB"/>
        </w:rPr>
        <w:t>ه</w:t>
      </w:r>
      <w:r>
        <w:rPr>
          <w:rFonts w:hint="cs"/>
          <w:rtl/>
          <w:lang w:eastAsia="en-GB"/>
        </w:rPr>
        <w:t xml:space="preserve"> مقام النفي ولا تنافي</w:t>
      </w:r>
      <w:r>
        <w:rPr>
          <w:rStyle w:val="a7"/>
          <w:rtl/>
        </w:rPr>
        <w:footnoteReference w:id="1048"/>
      </w:r>
      <w:r>
        <w:rPr>
          <w:rFonts w:hint="cs"/>
          <w:rtl/>
          <w:lang w:eastAsia="en-GB"/>
        </w:rPr>
        <w:t xml:space="preserve"> فيه</w:t>
      </w:r>
      <w:r>
        <w:rPr>
          <w:rFonts w:hint="cs"/>
          <w:vertAlign w:val="superscript"/>
          <w:rtl/>
          <w:lang w:eastAsia="en-GB"/>
        </w:rPr>
        <w:t>(</w:t>
      </w:r>
      <w:r>
        <w:rPr>
          <w:rStyle w:val="a7"/>
          <w:rtl/>
        </w:rPr>
        <w:footnoteReference w:id="1049"/>
      </w:r>
      <w:r>
        <w:rPr>
          <w:rFonts w:hint="cs"/>
          <w:vertAlign w:val="superscript"/>
          <w:rtl/>
          <w:lang w:eastAsia="en-GB"/>
        </w:rPr>
        <w:t>)</w:t>
      </w:r>
      <w:r>
        <w:rPr>
          <w:rFonts w:hint="cs"/>
          <w:rtl/>
          <w:lang w:eastAsia="en-GB"/>
        </w:rPr>
        <w:t>.</w:t>
      </w:r>
    </w:p>
    <w:p w:rsidR="00C10469" w:rsidRDefault="00C10469">
      <w:pPr>
        <w:pStyle w:val="a9"/>
        <w:rPr>
          <w:rtl/>
          <w:lang w:eastAsia="en-GB"/>
        </w:rPr>
      </w:pPr>
    </w:p>
    <w:p w:rsidR="00C10469" w:rsidRDefault="00C10469">
      <w:pPr>
        <w:pStyle w:val="a9"/>
        <w:rPr>
          <w:rtl/>
          <w:lang w:eastAsia="en-GB"/>
        </w:rPr>
      </w:pPr>
    </w:p>
    <w:p w:rsidR="00C10469" w:rsidRDefault="00C10469">
      <w:pPr>
        <w:pStyle w:val="a9"/>
        <w:rPr>
          <w:rtl/>
          <w:lang w:eastAsia="en-GB"/>
        </w:rPr>
      </w:pPr>
      <w:r>
        <w:rPr>
          <w:rFonts w:ascii="AGA Arabesque" w:hAnsi="AGA Arabesque"/>
          <w:sz w:val="50"/>
          <w:szCs w:val="50"/>
          <w:lang w:val="en-US"/>
        </w:rPr>
        <w:t></w:t>
      </w:r>
      <w:r>
        <w:rPr>
          <w:rFonts w:ascii="AGA Arabesque" w:hAnsi="AGA Arabesque"/>
          <w:sz w:val="50"/>
          <w:szCs w:val="50"/>
          <w:lang w:val="en-US"/>
        </w:rPr>
        <w:t></w:t>
      </w:r>
      <w:r>
        <w:rPr>
          <w:rFonts w:ascii="AGA Arabesque" w:hAnsi="AGA Arabesque"/>
          <w:sz w:val="50"/>
          <w:szCs w:val="50"/>
          <w:lang w:val="en-US"/>
        </w:rPr>
        <w:t></w:t>
      </w:r>
    </w:p>
    <w:p w:rsidR="00C10469" w:rsidRDefault="00C10469">
      <w:pPr>
        <w:pStyle w:val="a9"/>
        <w:rPr>
          <w:rtl/>
          <w:lang w:eastAsia="en-GB"/>
        </w:rPr>
        <w:sectPr w:rsidR="00C10469" w:rsidSect="00C10469">
          <w:headerReference w:type="default" r:id="rId9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A5C02" w:rsidRDefault="00C10469" w:rsidP="00C10469">
      <w:pPr>
        <w:pStyle w:val="a9"/>
        <w:spacing w:line="221" w:lineRule="auto"/>
        <w:rPr>
          <w:rFonts w:cs="AL-Mateen"/>
          <w:rtl/>
          <w:lang w:eastAsia="en-GB"/>
        </w:rPr>
      </w:pPr>
      <w:r w:rsidRPr="004A5C02">
        <w:rPr>
          <w:rFonts w:cs="AL-Mateen" w:hint="cs"/>
          <w:rtl/>
          <w:lang w:eastAsia="en-GB"/>
        </w:rPr>
        <w:lastRenderedPageBreak/>
        <w:t>[ القـاعـدة السـادسـة والثـلاثـون ]</w:t>
      </w:r>
    </w:p>
    <w:p w:rsidR="00C10469" w:rsidRDefault="00C10469" w:rsidP="00C10469">
      <w:pPr>
        <w:spacing w:line="221" w:lineRule="auto"/>
        <w:rPr>
          <w:b/>
          <w:bCs/>
          <w:rtl/>
          <w:lang w:eastAsia="en-GB"/>
        </w:rPr>
      </w:pPr>
      <w:r>
        <w:rPr>
          <w:rFonts w:cs="Monotype Koufi" w:hint="cs"/>
          <w:rtl/>
        </w:rPr>
        <w:t>الأَعْيَانُ المَضْمُونَةُ بِنَفْسِهَا</w:t>
      </w:r>
      <w:r>
        <w:rPr>
          <w:rFonts w:hint="cs"/>
          <w:vertAlign w:val="superscript"/>
          <w:rtl/>
          <w:lang w:eastAsia="en-GB"/>
        </w:rPr>
        <w:t>(</w:t>
      </w:r>
      <w:r>
        <w:rPr>
          <w:rStyle w:val="a7"/>
          <w:rtl/>
        </w:rPr>
        <w:footnoteReference w:id="1050"/>
      </w:r>
      <w:r>
        <w:rPr>
          <w:rFonts w:hint="cs"/>
          <w:vertAlign w:val="superscript"/>
          <w:rtl/>
          <w:lang w:eastAsia="en-GB"/>
        </w:rPr>
        <w:t>)</w:t>
      </w:r>
      <w:r>
        <w:rPr>
          <w:rFonts w:hint="cs"/>
          <w:b/>
          <w:bCs/>
          <w:rtl/>
          <w:lang w:eastAsia="en-GB"/>
        </w:rPr>
        <w:t xml:space="preserve"> :</w:t>
      </w:r>
    </w:p>
    <w:p w:rsidR="00C10469" w:rsidRDefault="00C10469" w:rsidP="00C10469">
      <w:pPr>
        <w:spacing w:line="221" w:lineRule="auto"/>
        <w:rPr>
          <w:rtl/>
          <w:lang w:eastAsia="en-GB"/>
        </w:rPr>
      </w:pPr>
      <w:r>
        <w:rPr>
          <w:rFonts w:hint="eastAsia"/>
          <w:rtl/>
          <w:lang w:eastAsia="en-GB"/>
        </w:rPr>
        <w:t>«</w:t>
      </w:r>
      <w:r>
        <w:rPr>
          <w:rFonts w:hint="cs"/>
          <w:rtl/>
          <w:lang w:eastAsia="en-GB"/>
        </w:rPr>
        <w:t>اعلم أن الأعيان</w:t>
      </w:r>
      <w:r>
        <w:rPr>
          <w:rStyle w:val="a7"/>
          <w:rtl/>
        </w:rPr>
        <w:footnoteReference w:id="1051"/>
      </w:r>
      <w:r>
        <w:rPr>
          <w:rFonts w:hint="cs"/>
          <w:rtl/>
          <w:lang w:eastAsia="en-GB"/>
        </w:rPr>
        <w:t xml:space="preserve"> </w:t>
      </w:r>
      <w:r>
        <w:rPr>
          <w:rFonts w:hint="cs"/>
          <w:b/>
          <w:bCs/>
          <w:rtl/>
          <w:lang w:eastAsia="en-GB"/>
        </w:rPr>
        <w:t>ثلاثة</w:t>
      </w:r>
      <w:r>
        <w:rPr>
          <w:rStyle w:val="a7"/>
          <w:rtl/>
        </w:rPr>
        <w:footnoteReference w:id="1052"/>
      </w:r>
      <w:r>
        <w:rPr>
          <w:rFonts w:hint="cs"/>
          <w:rtl/>
          <w:lang w:eastAsia="en-GB"/>
        </w:rPr>
        <w:t xml:space="preserve"> أقسام :</w:t>
      </w:r>
    </w:p>
    <w:p w:rsidR="00C10469" w:rsidRDefault="00C10469" w:rsidP="00C10469">
      <w:pPr>
        <w:spacing w:line="221" w:lineRule="auto"/>
        <w:rPr>
          <w:spacing w:val="-2"/>
          <w:rtl/>
          <w:lang w:eastAsia="en-GB"/>
        </w:rPr>
      </w:pPr>
      <w:r>
        <w:rPr>
          <w:rFonts w:hint="cs"/>
          <w:b/>
          <w:bCs/>
          <w:spacing w:val="-2"/>
          <w:rtl/>
          <w:lang w:eastAsia="en-GB"/>
        </w:rPr>
        <w:t>أحدها</w:t>
      </w:r>
      <w:r>
        <w:rPr>
          <w:rFonts w:hint="cs"/>
          <w:spacing w:val="-2"/>
          <w:rtl/>
          <w:lang w:eastAsia="en-GB"/>
        </w:rPr>
        <w:t xml:space="preserve"> : عين غير </w:t>
      </w:r>
      <w:r>
        <w:rPr>
          <w:rFonts w:hint="cs"/>
          <w:rtl/>
        </w:rPr>
        <w:t>مضمونة أصلاً</w:t>
      </w:r>
      <w:r>
        <w:rPr>
          <w:rFonts w:hint="cs"/>
          <w:spacing w:val="-2"/>
          <w:rtl/>
          <w:lang w:eastAsia="en-GB"/>
        </w:rPr>
        <w:t>؛ كالأمانات، فإن الضمان : عبارة عن ردّ مثل الهالك إن كان مثليًّا، أو قيمته إن كان ق</w:t>
      </w:r>
      <w:r>
        <w:rPr>
          <w:spacing w:val="-2"/>
          <w:rtl/>
          <w:lang w:eastAsia="en-GB"/>
        </w:rPr>
        <w:t>ِـيْمِيًّا</w:t>
      </w:r>
      <w:r>
        <w:rPr>
          <w:rFonts w:hint="cs"/>
          <w:spacing w:val="-2"/>
          <w:vertAlign w:val="superscript"/>
          <w:rtl/>
          <w:lang w:eastAsia="en-GB"/>
        </w:rPr>
        <w:t>(</w:t>
      </w:r>
      <w:r>
        <w:rPr>
          <w:rStyle w:val="a7"/>
          <w:spacing w:val="-2"/>
          <w:rtl/>
        </w:rPr>
        <w:footnoteReference w:id="1053"/>
      </w:r>
      <w:r>
        <w:rPr>
          <w:rFonts w:hint="cs"/>
          <w:spacing w:val="-2"/>
          <w:vertAlign w:val="superscript"/>
          <w:rtl/>
          <w:lang w:eastAsia="en-GB"/>
        </w:rPr>
        <w:t>)</w:t>
      </w:r>
      <w:r>
        <w:rPr>
          <w:rFonts w:hint="cs"/>
          <w:spacing w:val="-2"/>
          <w:rtl/>
          <w:lang w:eastAsia="en-GB"/>
        </w:rPr>
        <w:t>. فالأمـانة إن [هلكت]</w:t>
      </w:r>
      <w:r>
        <w:rPr>
          <w:rStyle w:val="a7"/>
          <w:spacing w:val="-2"/>
          <w:rtl/>
        </w:rPr>
        <w:footnoteReference w:id="1054"/>
      </w:r>
      <w:r>
        <w:rPr>
          <w:rFonts w:hint="cs"/>
          <w:spacing w:val="-2"/>
          <w:rtl/>
          <w:lang w:eastAsia="en-GB"/>
        </w:rPr>
        <w:t xml:space="preserve"> بلا تعدٍّ :</w:t>
      </w:r>
    </w:p>
    <w:p w:rsidR="00C10469" w:rsidRDefault="00C10469" w:rsidP="00C10469">
      <w:pPr>
        <w:spacing w:line="228" w:lineRule="auto"/>
        <w:ind w:firstLine="0"/>
        <w:rPr>
          <w:spacing w:val="-2"/>
          <w:rtl/>
          <w:lang w:eastAsia="en-GB"/>
        </w:rPr>
      </w:pPr>
      <w:r>
        <w:rPr>
          <w:rFonts w:hint="cs"/>
          <w:spacing w:val="-2"/>
          <w:rtl/>
          <w:lang w:eastAsia="en-GB"/>
        </w:rPr>
        <w:lastRenderedPageBreak/>
        <w:t>فلا شيء في مقابلتها، وإن هلكت بتعدٍّ : فلا [</w:t>
      </w:r>
      <w:r>
        <w:rPr>
          <w:spacing w:val="-2"/>
          <w:rtl/>
          <w:lang w:eastAsia="en-GB"/>
        </w:rPr>
        <w:t>ت</w:t>
      </w:r>
      <w:r>
        <w:rPr>
          <w:rFonts w:hint="cs"/>
          <w:spacing w:val="-2"/>
          <w:rtl/>
          <w:lang w:eastAsia="en-GB"/>
        </w:rPr>
        <w:t>بقى]</w:t>
      </w:r>
      <w:r>
        <w:rPr>
          <w:rStyle w:val="a7"/>
          <w:spacing w:val="-2"/>
          <w:rtl/>
        </w:rPr>
        <w:footnoteReference w:id="1055"/>
      </w:r>
      <w:r>
        <w:rPr>
          <w:rFonts w:hint="cs"/>
          <w:spacing w:val="-2"/>
          <w:rtl/>
          <w:lang w:eastAsia="en-GB"/>
        </w:rPr>
        <w:t xml:space="preserve"> أمانة؛ بل [تكون]</w:t>
      </w:r>
      <w:r>
        <w:rPr>
          <w:rStyle w:val="a7"/>
          <w:spacing w:val="-2"/>
          <w:rtl/>
        </w:rPr>
        <w:footnoteReference w:id="1056"/>
      </w:r>
      <w:r>
        <w:rPr>
          <w:rFonts w:hint="cs"/>
          <w:spacing w:val="-2"/>
          <w:rtl/>
          <w:lang w:eastAsia="en-GB"/>
        </w:rPr>
        <w:t xml:space="preserve"> مغصوبة.</w:t>
      </w:r>
    </w:p>
    <w:p w:rsidR="00C10469" w:rsidRDefault="00C10469" w:rsidP="00C10469">
      <w:pPr>
        <w:spacing w:line="228" w:lineRule="auto"/>
        <w:rPr>
          <w:rtl/>
          <w:lang w:eastAsia="en-GB"/>
        </w:rPr>
      </w:pPr>
      <w:r>
        <w:rPr>
          <w:rFonts w:hint="cs"/>
          <w:b/>
          <w:bCs/>
          <w:rtl/>
          <w:lang w:eastAsia="en-GB"/>
        </w:rPr>
        <w:t xml:space="preserve">وثانيها </w:t>
      </w:r>
      <w:r>
        <w:rPr>
          <w:rFonts w:hint="cs"/>
          <w:rtl/>
          <w:lang w:eastAsia="en-GB"/>
        </w:rPr>
        <w:t>: عين مضمونة بنفسها؛ كالمغصوب، والمقبوض على سوم الشراء، والمبيع بيعًا فاسدًا</w:t>
      </w:r>
      <w:r>
        <w:rPr>
          <w:rFonts w:hint="cs"/>
          <w:vertAlign w:val="superscript"/>
          <w:rtl/>
          <w:lang w:eastAsia="en-GB"/>
        </w:rPr>
        <w:t>(</w:t>
      </w:r>
      <w:r>
        <w:rPr>
          <w:rStyle w:val="a7"/>
          <w:rtl/>
        </w:rPr>
        <w:footnoteReference w:id="1057"/>
      </w:r>
      <w:r>
        <w:rPr>
          <w:rFonts w:hint="cs"/>
          <w:vertAlign w:val="superscript"/>
          <w:rtl/>
          <w:lang w:eastAsia="en-GB"/>
        </w:rPr>
        <w:t>)</w:t>
      </w:r>
      <w:r>
        <w:rPr>
          <w:rFonts w:hint="cs"/>
          <w:rtl/>
          <w:lang w:eastAsia="en-GB"/>
        </w:rPr>
        <w:t>. والقوم يسمونها الأعيان</w:t>
      </w:r>
      <w:r>
        <w:rPr>
          <w:rStyle w:val="a7"/>
          <w:rtl/>
        </w:rPr>
        <w:footnoteReference w:id="1058"/>
      </w:r>
      <w:r>
        <w:rPr>
          <w:rFonts w:hint="cs"/>
          <w:rtl/>
          <w:lang w:eastAsia="en-GB"/>
        </w:rPr>
        <w:t xml:space="preserve"> المضمونة بنفسها</w:t>
      </w:r>
      <w:r>
        <w:rPr>
          <w:rFonts w:hint="cs"/>
          <w:vertAlign w:val="superscript"/>
          <w:rtl/>
          <w:lang w:eastAsia="en-GB"/>
        </w:rPr>
        <w:t>(</w:t>
      </w:r>
      <w:r>
        <w:rPr>
          <w:rStyle w:val="a7"/>
          <w:rtl/>
        </w:rPr>
        <w:footnoteReference w:id="1059"/>
      </w:r>
      <w:r>
        <w:rPr>
          <w:rFonts w:hint="cs"/>
          <w:vertAlign w:val="superscript"/>
          <w:rtl/>
          <w:lang w:eastAsia="en-GB"/>
        </w:rPr>
        <w:t>)</w:t>
      </w:r>
      <w:r>
        <w:rPr>
          <w:rFonts w:hint="cs"/>
          <w:rtl/>
          <w:lang w:eastAsia="en-GB"/>
        </w:rPr>
        <w:t>.</w:t>
      </w:r>
    </w:p>
    <w:p w:rsidR="00C10469" w:rsidRDefault="00C10469" w:rsidP="00C10469">
      <w:pPr>
        <w:spacing w:line="228" w:lineRule="auto"/>
        <w:rPr>
          <w:spacing w:val="-10"/>
          <w:rtl/>
          <w:lang w:eastAsia="en-GB"/>
        </w:rPr>
        <w:sectPr w:rsidR="00C10469" w:rsidSect="00C10469">
          <w:headerReference w:type="default" r:id="rId93"/>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spacing w:val="-10"/>
          <w:rtl/>
          <w:lang w:eastAsia="en-GB"/>
        </w:rPr>
        <w:t>وثالثها</w:t>
      </w:r>
      <w:r>
        <w:rPr>
          <w:rFonts w:hint="cs"/>
          <w:spacing w:val="-10"/>
          <w:rtl/>
          <w:lang w:eastAsia="en-GB"/>
        </w:rPr>
        <w:t xml:space="preserve"> : عين ليست بمضمونة في حدِّ ذاتها، ولكن [تشبه]</w:t>
      </w:r>
      <w:r>
        <w:rPr>
          <w:rStyle w:val="a7"/>
          <w:spacing w:val="-10"/>
          <w:rtl/>
        </w:rPr>
        <w:footnoteReference w:id="1060"/>
      </w:r>
      <w:r>
        <w:rPr>
          <w:rFonts w:hint="cs"/>
          <w:spacing w:val="-10"/>
          <w:rtl/>
          <w:lang w:eastAsia="en-GB"/>
        </w:rPr>
        <w:t xml:space="preserve"> المضمونة؛ كمبيع في يد البائع</w:t>
      </w:r>
      <w:r>
        <w:rPr>
          <w:spacing w:val="-10"/>
          <w:rtl/>
          <w:lang w:eastAsia="en-GB"/>
        </w:rPr>
        <w:t>،</w:t>
      </w:r>
      <w:r>
        <w:rPr>
          <w:rFonts w:hint="cs"/>
          <w:spacing w:val="-10"/>
          <w:rtl/>
          <w:lang w:eastAsia="en-GB"/>
        </w:rPr>
        <w:t xml:space="preserve"> فإنه إذا هلك لَمْ يُضمَن بمثله</w:t>
      </w:r>
      <w:r>
        <w:rPr>
          <w:rStyle w:val="a7"/>
          <w:spacing w:val="-10"/>
          <w:rtl/>
        </w:rPr>
        <w:footnoteReference w:id="1061"/>
      </w:r>
      <w:r>
        <w:rPr>
          <w:rFonts w:hint="cs"/>
          <w:spacing w:val="-10"/>
          <w:rtl/>
          <w:lang w:eastAsia="en-GB"/>
        </w:rPr>
        <w:t xml:space="preserve"> أو قيمته، لكن الثمن يسقط عن ذمة المشتري، وهو غير المثل والقيمة، فبمجرَّد هذا الاعتبار سموه بالعين المضمونة بغيرها، فكأن</w:t>
      </w:r>
      <w:r>
        <w:rPr>
          <w:spacing w:val="-10"/>
          <w:rtl/>
          <w:lang w:eastAsia="en-GB"/>
        </w:rPr>
        <w:t>ه</w:t>
      </w:r>
      <w:r>
        <w:rPr>
          <w:rFonts w:hint="cs"/>
          <w:spacing w:val="-10"/>
          <w:rtl/>
          <w:lang w:eastAsia="en-GB"/>
        </w:rPr>
        <w:t xml:space="preserve"> من قبيل </w:t>
      </w:r>
      <w:r>
        <w:rPr>
          <w:rFonts w:hint="cs"/>
          <w:spacing w:val="-10"/>
          <w:rtl/>
          <w:lang w:eastAsia="en-GB"/>
        </w:rPr>
        <w:lastRenderedPageBreak/>
        <w:t>المشاكلة</w:t>
      </w:r>
      <w:r>
        <w:rPr>
          <w:rFonts w:hint="cs"/>
          <w:spacing w:val="-10"/>
          <w:vertAlign w:val="superscript"/>
          <w:rtl/>
          <w:lang w:eastAsia="en-GB"/>
        </w:rPr>
        <w:t>(</w:t>
      </w:r>
      <w:r>
        <w:rPr>
          <w:rStyle w:val="a7"/>
          <w:spacing w:val="-10"/>
          <w:rtl/>
        </w:rPr>
        <w:footnoteReference w:id="1062"/>
      </w:r>
      <w:r>
        <w:rPr>
          <w:rFonts w:hint="cs"/>
          <w:spacing w:val="-10"/>
          <w:vertAlign w:val="superscript"/>
          <w:rtl/>
          <w:lang w:eastAsia="en-GB"/>
        </w:rPr>
        <w:t>)</w:t>
      </w:r>
      <w:r>
        <w:rPr>
          <w:rFonts w:hint="eastAsia"/>
          <w:spacing w:val="-10"/>
          <w:rtl/>
          <w:lang w:eastAsia="en-GB"/>
        </w:rPr>
        <w:t>»</w:t>
      </w:r>
      <w:r>
        <w:rPr>
          <w:rFonts w:hint="cs"/>
          <w:spacing w:val="-10"/>
          <w:vertAlign w:val="superscript"/>
          <w:rtl/>
          <w:lang w:eastAsia="en-GB"/>
        </w:rPr>
        <w:t>(</w:t>
      </w:r>
      <w:r>
        <w:rPr>
          <w:rStyle w:val="a7"/>
          <w:spacing w:val="-10"/>
          <w:rtl/>
        </w:rPr>
        <w:footnoteReference w:id="1063"/>
      </w:r>
      <w:r>
        <w:rPr>
          <w:rFonts w:hint="cs"/>
          <w:spacing w:val="-10"/>
          <w:vertAlign w:val="superscript"/>
          <w:rtl/>
          <w:lang w:eastAsia="en-GB"/>
        </w:rPr>
        <w:t>)</w:t>
      </w:r>
      <w:r>
        <w:rPr>
          <w:rFonts w:hint="cs"/>
          <w:spacing w:val="-10"/>
          <w:rtl/>
          <w:lang w:eastAsia="en-GB"/>
        </w:rPr>
        <w:t>.</w:t>
      </w:r>
    </w:p>
    <w:p w:rsidR="00C10469" w:rsidRPr="007600F4" w:rsidRDefault="00C10469">
      <w:pPr>
        <w:pStyle w:val="a9"/>
        <w:rPr>
          <w:rFonts w:cs="AL-Mateen"/>
          <w:rtl/>
          <w:lang w:eastAsia="en-GB"/>
        </w:rPr>
      </w:pPr>
      <w:r w:rsidRPr="007600F4">
        <w:rPr>
          <w:rFonts w:cs="AL-Mateen" w:hint="cs"/>
          <w:rtl/>
          <w:lang w:eastAsia="en-GB"/>
        </w:rPr>
        <w:lastRenderedPageBreak/>
        <w:t>[ القـاعـدة السـابعـة والثـلاثـون ]</w:t>
      </w:r>
    </w:p>
    <w:p w:rsidR="00C10469" w:rsidRDefault="00C10469">
      <w:pPr>
        <w:rPr>
          <w:b/>
          <w:bCs/>
          <w:spacing w:val="-2"/>
          <w:rtl/>
          <w:lang w:eastAsia="en-GB"/>
        </w:rPr>
      </w:pPr>
      <w:r>
        <w:rPr>
          <w:rFonts w:cs="Monotype Koufi" w:hint="cs"/>
          <w:spacing w:val="-2"/>
          <w:rtl/>
        </w:rPr>
        <w:t>الأَفْعَالُ المُبَاحَةُ لا يَجُوزُ مُبَاشَرَتُهَا إلاَّ بِشَرْطِ أَنْ</w:t>
      </w:r>
      <w:r>
        <w:rPr>
          <w:rStyle w:val="a7"/>
          <w:b/>
          <w:spacing w:val="-2"/>
          <w:rtl/>
        </w:rPr>
        <w:footnoteReference w:id="1064"/>
      </w:r>
      <w:r>
        <w:rPr>
          <w:rFonts w:hint="cs"/>
          <w:b/>
          <w:bCs/>
          <w:spacing w:val="-2"/>
          <w:rtl/>
          <w:lang w:eastAsia="en-GB"/>
        </w:rPr>
        <w:t xml:space="preserve"> </w:t>
      </w:r>
      <w:r>
        <w:rPr>
          <w:rFonts w:cs="Monotype Koufi" w:hint="cs"/>
          <w:spacing w:val="-2"/>
          <w:rtl/>
        </w:rPr>
        <w:t>لاَ يُؤذِي أَحَدًا</w:t>
      </w:r>
      <w:r>
        <w:rPr>
          <w:rFonts w:hint="cs"/>
          <w:spacing w:val="-2"/>
          <w:vertAlign w:val="superscript"/>
          <w:rtl/>
          <w:lang w:eastAsia="en-GB"/>
        </w:rPr>
        <w:t>(</w:t>
      </w:r>
      <w:r>
        <w:rPr>
          <w:rStyle w:val="a7"/>
          <w:spacing w:val="-2"/>
          <w:rtl/>
        </w:rPr>
        <w:footnoteReference w:id="1065"/>
      </w:r>
      <w:r>
        <w:rPr>
          <w:rFonts w:hint="cs"/>
          <w:spacing w:val="-2"/>
          <w:vertAlign w:val="superscript"/>
          <w:rtl/>
          <w:lang w:eastAsia="en-GB"/>
        </w:rPr>
        <w:t>)</w:t>
      </w:r>
      <w:r>
        <w:rPr>
          <w:rFonts w:hint="cs"/>
          <w:b/>
          <w:bCs/>
          <w:spacing w:val="-2"/>
          <w:rtl/>
          <w:lang w:eastAsia="en-GB"/>
        </w:rPr>
        <w:t xml:space="preserve"> :</w:t>
      </w:r>
    </w:p>
    <w:p w:rsidR="00C10469" w:rsidRDefault="00C10469">
      <w:pPr>
        <w:rPr>
          <w:rtl/>
          <w:lang w:eastAsia="en-GB"/>
        </w:rPr>
      </w:pPr>
      <w:r>
        <w:rPr>
          <w:rFonts w:hint="cs"/>
          <w:rtl/>
          <w:lang w:eastAsia="en-GB"/>
        </w:rPr>
        <w:t xml:space="preserve">فإنّ الرّمي بقصد </w:t>
      </w:r>
      <w:r>
        <w:rPr>
          <w:rFonts w:hint="cs"/>
          <w:rtl/>
        </w:rPr>
        <w:t>الصيد مباح،</w:t>
      </w:r>
      <w:r>
        <w:rPr>
          <w:rFonts w:hint="cs"/>
          <w:rtl/>
          <w:lang w:eastAsia="en-GB"/>
        </w:rPr>
        <w:t xml:space="preserve"> فإذا أصاب آدميًّا : يضمن ويأثم دون إثم القتل</w:t>
      </w:r>
      <w:r>
        <w:rPr>
          <w:rStyle w:val="a7"/>
          <w:rtl/>
        </w:rPr>
        <w:footnoteReference w:id="1066"/>
      </w:r>
      <w:r>
        <w:rPr>
          <w:rFonts w:hint="cs"/>
          <w:vertAlign w:val="superscript"/>
          <w:rtl/>
          <w:lang w:eastAsia="en-GB"/>
        </w:rPr>
        <w:t>(</w:t>
      </w:r>
      <w:r>
        <w:rPr>
          <w:rStyle w:val="a7"/>
          <w:rtl/>
        </w:rPr>
        <w:footnoteReference w:id="1067"/>
      </w:r>
      <w:r>
        <w:rPr>
          <w:rFonts w:hint="cs"/>
          <w:vertAlign w:val="superscript"/>
          <w:rtl/>
          <w:lang w:eastAsia="en-GB"/>
        </w:rPr>
        <w:t>)</w:t>
      </w:r>
      <w:r>
        <w:rPr>
          <w:rFonts w:hint="cs"/>
          <w:rtl/>
          <w:lang w:eastAsia="en-GB"/>
        </w:rPr>
        <w:t>. أمّا الضمان والإثم؛ فلعدم التحرُّ</w:t>
      </w:r>
      <w:r>
        <w:rPr>
          <w:rtl/>
          <w:lang w:eastAsia="en-GB"/>
        </w:rPr>
        <w:t>ز</w:t>
      </w:r>
      <w:r>
        <w:rPr>
          <w:rFonts w:hint="cs"/>
          <w:rtl/>
          <w:lang w:eastAsia="en-GB"/>
        </w:rPr>
        <w:t xml:space="preserve"> وترك الاحتياط؛ وأمّا كون الإثم دونه؛ </w:t>
      </w:r>
      <w:r>
        <w:rPr>
          <w:rFonts w:hint="cs"/>
          <w:rtl/>
          <w:lang w:eastAsia="en-GB"/>
        </w:rPr>
        <w:lastRenderedPageBreak/>
        <w:t>لعدم القصد.</w:t>
      </w:r>
    </w:p>
    <w:p w:rsidR="00C10469" w:rsidRDefault="00C10469">
      <w:pPr>
        <w:rPr>
          <w:rtl/>
          <w:lang w:eastAsia="en-GB"/>
        </w:rPr>
      </w:pPr>
      <w:r>
        <w:rPr>
          <w:rFonts w:hint="cs"/>
          <w:rtl/>
          <w:lang w:eastAsia="en-GB"/>
        </w:rPr>
        <w:t>وكذا الحكم في الخطأ</w:t>
      </w:r>
      <w:r>
        <w:rPr>
          <w:rFonts w:hint="cs"/>
          <w:vertAlign w:val="superscript"/>
          <w:rtl/>
          <w:lang w:eastAsia="en-GB"/>
        </w:rPr>
        <w:t>(</w:t>
      </w:r>
      <w:r>
        <w:rPr>
          <w:rStyle w:val="a7"/>
          <w:rtl/>
        </w:rPr>
        <w:footnoteReference w:id="1068"/>
      </w:r>
      <w:r>
        <w:rPr>
          <w:rFonts w:hint="cs"/>
          <w:vertAlign w:val="superscript"/>
          <w:rtl/>
          <w:lang w:eastAsia="en-GB"/>
        </w:rPr>
        <w:t>)</w:t>
      </w:r>
      <w:r>
        <w:rPr>
          <w:rFonts w:hint="cs"/>
          <w:rtl/>
          <w:lang w:eastAsia="en-GB"/>
        </w:rPr>
        <w:t>، والجاري مجراه في كلِّ جناية</w:t>
      </w:r>
      <w:r>
        <w:rPr>
          <w:rFonts w:hint="cs"/>
          <w:vertAlign w:val="superscript"/>
          <w:rtl/>
          <w:lang w:eastAsia="en-GB"/>
        </w:rPr>
        <w:t>(</w:t>
      </w:r>
      <w:r>
        <w:rPr>
          <w:rStyle w:val="a7"/>
          <w:rtl/>
        </w:rPr>
        <w:footnoteReference w:id="1069"/>
      </w:r>
      <w:r>
        <w:rPr>
          <w:rFonts w:hint="cs"/>
          <w:vertAlign w:val="superscript"/>
          <w:rtl/>
          <w:lang w:eastAsia="en-GB"/>
        </w:rPr>
        <w:t>)</w:t>
      </w:r>
      <w:r>
        <w:rPr>
          <w:rFonts w:hint="cs"/>
          <w:rtl/>
          <w:lang w:eastAsia="en-GB"/>
        </w:rPr>
        <w:t>.</w:t>
      </w:r>
    </w:p>
    <w:p w:rsidR="00C10469" w:rsidRDefault="00C10469">
      <w:pPr>
        <w:rPr>
          <w:rtl/>
          <w:lang w:eastAsia="en-GB"/>
        </w:rPr>
      </w:pPr>
    </w:p>
    <w:p w:rsidR="00C10469" w:rsidRDefault="00C10469">
      <w:pPr>
        <w:rPr>
          <w:rtl/>
          <w:lang w:eastAsia="en-GB"/>
        </w:rPr>
      </w:pPr>
    </w:p>
    <w:p w:rsidR="00C10469" w:rsidRDefault="00C10469">
      <w:pPr>
        <w:jc w:val="center"/>
        <w:rPr>
          <w:rtl/>
          <w:lang w:eastAsia="en-GB"/>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lang w:eastAsia="en-GB"/>
        </w:rPr>
        <w:sectPr w:rsidR="00C10469" w:rsidSect="00C10469">
          <w:headerReference w:type="default" r:id="rId9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31549" w:rsidRDefault="00C10469">
      <w:pPr>
        <w:pStyle w:val="a9"/>
        <w:rPr>
          <w:rFonts w:cs="AL-Mateen"/>
          <w:rtl/>
          <w:lang w:eastAsia="en-GB"/>
        </w:rPr>
      </w:pPr>
      <w:r w:rsidRPr="00131549">
        <w:rPr>
          <w:rFonts w:cs="AL-Mateen" w:hint="cs"/>
          <w:rtl/>
          <w:lang w:eastAsia="en-GB"/>
        </w:rPr>
        <w:lastRenderedPageBreak/>
        <w:t>[ القـاعـدة الثـامـنـة والثـلاثـون ]</w:t>
      </w:r>
    </w:p>
    <w:p w:rsidR="00C10469" w:rsidRDefault="00C10469">
      <w:pPr>
        <w:rPr>
          <w:b/>
          <w:bCs/>
          <w:rtl/>
          <w:lang w:eastAsia="en-GB"/>
        </w:rPr>
      </w:pPr>
      <w:r>
        <w:rPr>
          <w:rFonts w:cs="Monotype Koufi" w:hint="cs"/>
          <w:rtl/>
        </w:rPr>
        <w:t>الإقرارُ [ملزمٌ]</w:t>
      </w:r>
      <w:r>
        <w:rPr>
          <w:rStyle w:val="a7"/>
          <w:b/>
          <w:rtl/>
        </w:rPr>
        <w:footnoteReference w:id="1070"/>
      </w:r>
      <w:r>
        <w:rPr>
          <w:rFonts w:hint="cs"/>
          <w:b/>
          <w:bCs/>
          <w:rtl/>
          <w:lang w:eastAsia="en-GB"/>
        </w:rPr>
        <w:t xml:space="preserve"> </w:t>
      </w:r>
      <w:r>
        <w:rPr>
          <w:rFonts w:cs="Monotype Koufi" w:hint="cs"/>
          <w:rtl/>
        </w:rPr>
        <w:t>شرعًا كالبيِّنةِ؛ بَلْ أَوْلَى</w:t>
      </w:r>
      <w:r>
        <w:rPr>
          <w:rFonts w:hint="cs"/>
          <w:vertAlign w:val="superscript"/>
          <w:rtl/>
          <w:lang w:eastAsia="en-GB"/>
        </w:rPr>
        <w:t>(</w:t>
      </w:r>
      <w:r>
        <w:rPr>
          <w:rStyle w:val="a7"/>
          <w:rtl/>
        </w:rPr>
        <w:footnoteReference w:id="1071"/>
      </w:r>
      <w:r>
        <w:rPr>
          <w:rFonts w:hint="cs"/>
          <w:vertAlign w:val="superscript"/>
          <w:rtl/>
          <w:lang w:eastAsia="en-GB"/>
        </w:rPr>
        <w:t>)</w:t>
      </w:r>
      <w:r>
        <w:rPr>
          <w:rFonts w:hint="cs"/>
          <w:b/>
          <w:bCs/>
          <w:rtl/>
          <w:lang w:eastAsia="en-GB"/>
        </w:rPr>
        <w:t xml:space="preserve"> : </w:t>
      </w:r>
    </w:p>
    <w:p w:rsidR="00C10469" w:rsidRDefault="00C10469">
      <w:pPr>
        <w:rPr>
          <w:rtl/>
          <w:lang w:eastAsia="en-GB"/>
        </w:rPr>
      </w:pPr>
      <w:r>
        <w:rPr>
          <w:rFonts w:hint="cs"/>
          <w:b/>
          <w:bCs/>
          <w:rtl/>
          <w:lang w:eastAsia="en-GB"/>
        </w:rPr>
        <w:t xml:space="preserve">وعلّلوا </w:t>
      </w:r>
      <w:r>
        <w:rPr>
          <w:rFonts w:hint="cs"/>
          <w:rtl/>
          <w:lang w:eastAsia="en-GB"/>
        </w:rPr>
        <w:t xml:space="preserve">: </w:t>
      </w:r>
      <w:r>
        <w:rPr>
          <w:rFonts w:hint="cs"/>
          <w:rtl/>
        </w:rPr>
        <w:t>بأن الكذب</w:t>
      </w:r>
      <w:r>
        <w:rPr>
          <w:rFonts w:hint="cs"/>
          <w:rtl/>
          <w:lang w:eastAsia="en-GB"/>
        </w:rPr>
        <w:t xml:space="preserve"> فيه أبعد</w:t>
      </w:r>
      <w:r>
        <w:rPr>
          <w:rFonts w:hint="cs"/>
          <w:vertAlign w:val="superscript"/>
          <w:rtl/>
          <w:lang w:eastAsia="en-GB"/>
        </w:rPr>
        <w:t>(</w:t>
      </w:r>
      <w:r>
        <w:rPr>
          <w:rStyle w:val="a7"/>
          <w:rtl/>
        </w:rPr>
        <w:footnoteReference w:id="1072"/>
      </w:r>
      <w:r>
        <w:rPr>
          <w:rFonts w:hint="cs"/>
          <w:vertAlign w:val="superscript"/>
          <w:rtl/>
          <w:lang w:eastAsia="en-GB"/>
        </w:rPr>
        <w:t>)</w:t>
      </w:r>
      <w:r>
        <w:rPr>
          <w:rFonts w:hint="cs"/>
          <w:rtl/>
          <w:lang w:eastAsia="en-GB"/>
        </w:rPr>
        <w:t>.</w:t>
      </w:r>
    </w:p>
    <w:p w:rsidR="00C10469" w:rsidRDefault="00C10469" w:rsidP="00C10469">
      <w:pPr>
        <w:spacing w:line="228" w:lineRule="auto"/>
        <w:rPr>
          <w:spacing w:val="-10"/>
          <w:rtl/>
          <w:lang w:eastAsia="en-GB"/>
        </w:rPr>
      </w:pPr>
      <w:r>
        <w:rPr>
          <w:rFonts w:hint="cs"/>
          <w:spacing w:val="-10"/>
          <w:rtl/>
          <w:lang w:eastAsia="en-GB"/>
        </w:rPr>
        <w:lastRenderedPageBreak/>
        <w:t xml:space="preserve">وأما قولُ أبي يوسف -رحمه الله- : إذا </w:t>
      </w:r>
      <w:r>
        <w:rPr>
          <w:rFonts w:hint="eastAsia"/>
          <w:spacing w:val="-10"/>
          <w:rtl/>
          <w:lang w:eastAsia="en-GB"/>
        </w:rPr>
        <w:t>«</w:t>
      </w:r>
      <w:r>
        <w:rPr>
          <w:rFonts w:hint="cs"/>
          <w:spacing w:val="-10"/>
          <w:rtl/>
          <w:lang w:eastAsia="en-GB"/>
        </w:rPr>
        <w:t>أقرّ أحدٌ بدين، أو غيره، ثم قال: كنتُ كاذبًا في إقراري : حُلّفَ المُقرُّ له : أنّه</w:t>
      </w:r>
      <w:r>
        <w:rPr>
          <w:rFonts w:hint="cs"/>
          <w:spacing w:val="-10"/>
          <w:vertAlign w:val="superscript"/>
          <w:rtl/>
          <w:lang w:eastAsia="en-GB"/>
        </w:rPr>
        <w:t>(</w:t>
      </w:r>
      <w:r>
        <w:rPr>
          <w:rStyle w:val="a7"/>
          <w:spacing w:val="-10"/>
          <w:rtl/>
        </w:rPr>
        <w:footnoteReference w:id="1073"/>
      </w:r>
      <w:r>
        <w:rPr>
          <w:rFonts w:hint="cs"/>
          <w:spacing w:val="-10"/>
          <w:vertAlign w:val="superscript"/>
          <w:rtl/>
          <w:lang w:eastAsia="en-GB"/>
        </w:rPr>
        <w:t>)</w:t>
      </w:r>
      <w:r>
        <w:rPr>
          <w:rFonts w:hint="cs"/>
          <w:spacing w:val="-10"/>
          <w:rtl/>
          <w:lang w:eastAsia="en-GB"/>
        </w:rPr>
        <w:t xml:space="preserve"> لم يكن كاذبًا فيه، و[لستَ]</w:t>
      </w:r>
      <w:r>
        <w:rPr>
          <w:rStyle w:val="a7"/>
          <w:spacing w:val="-10"/>
          <w:rtl/>
        </w:rPr>
        <w:footnoteReference w:id="1074"/>
      </w:r>
      <w:r>
        <w:rPr>
          <w:rFonts w:hint="cs"/>
          <w:spacing w:val="-10"/>
          <w:rtl/>
          <w:lang w:eastAsia="en-GB"/>
        </w:rPr>
        <w:t xml:space="preserve"> بمبطل في دعواك</w:t>
      </w:r>
      <w:r>
        <w:rPr>
          <w:rFonts w:hint="cs"/>
          <w:spacing w:val="-10"/>
          <w:vertAlign w:val="superscript"/>
          <w:rtl/>
          <w:lang w:eastAsia="en-GB"/>
        </w:rPr>
        <w:t>(</w:t>
      </w:r>
      <w:r>
        <w:rPr>
          <w:rStyle w:val="a7"/>
          <w:spacing w:val="-10"/>
          <w:rtl/>
        </w:rPr>
        <w:footnoteReference w:id="1075"/>
      </w:r>
      <w:r>
        <w:rPr>
          <w:rFonts w:hint="cs"/>
          <w:spacing w:val="-10"/>
          <w:vertAlign w:val="superscript"/>
          <w:rtl/>
          <w:lang w:eastAsia="en-GB"/>
        </w:rPr>
        <w:t>)</w:t>
      </w:r>
      <w:r>
        <w:rPr>
          <w:rFonts w:hint="cs"/>
          <w:spacing w:val="-10"/>
          <w:rtl/>
          <w:lang w:eastAsia="en-GB"/>
        </w:rPr>
        <w:t xml:space="preserve"> :</w:t>
      </w:r>
    </w:p>
    <w:p w:rsidR="00C10469" w:rsidRDefault="00C10469" w:rsidP="00C10469">
      <w:pPr>
        <w:spacing w:line="228" w:lineRule="auto"/>
        <w:rPr>
          <w:rtl/>
          <w:lang w:eastAsia="en-GB"/>
        </w:rPr>
      </w:pPr>
      <w:r>
        <w:rPr>
          <w:rFonts w:hint="cs"/>
          <w:b/>
          <w:bCs/>
          <w:rtl/>
          <w:lang w:eastAsia="en-GB"/>
        </w:rPr>
        <w:t>فاستحسانٌ</w:t>
      </w:r>
      <w:r>
        <w:rPr>
          <w:rFonts w:hint="cs"/>
          <w:rtl/>
          <w:lang w:eastAsia="en-GB"/>
        </w:rPr>
        <w:t xml:space="preserve"> وجهُهُ</w:t>
      </w:r>
      <w:r>
        <w:rPr>
          <w:rStyle w:val="a7"/>
          <w:rtl/>
        </w:rPr>
        <w:footnoteReference w:id="1076"/>
      </w:r>
      <w:r>
        <w:rPr>
          <w:rFonts w:hint="cs"/>
          <w:rtl/>
          <w:lang w:eastAsia="en-GB"/>
        </w:rPr>
        <w:t xml:space="preserve"> : أنّ العادة جرت بين الناس، أنهم إذا أرادوا الاستدانة يكتبون الصك</w:t>
      </w:r>
      <w:r>
        <w:rPr>
          <w:rFonts w:hint="cs"/>
          <w:vertAlign w:val="superscript"/>
          <w:rtl/>
          <w:lang w:eastAsia="en-GB"/>
        </w:rPr>
        <w:t>(</w:t>
      </w:r>
      <w:r>
        <w:rPr>
          <w:rStyle w:val="a7"/>
          <w:rtl/>
        </w:rPr>
        <w:footnoteReference w:id="1077"/>
      </w:r>
      <w:r>
        <w:rPr>
          <w:rFonts w:hint="cs"/>
          <w:vertAlign w:val="superscript"/>
          <w:rtl/>
          <w:lang w:eastAsia="en-GB"/>
        </w:rPr>
        <w:t>)</w:t>
      </w:r>
      <w:r>
        <w:rPr>
          <w:rFonts w:hint="cs"/>
          <w:rtl/>
          <w:lang w:eastAsia="en-GB"/>
        </w:rPr>
        <w:t xml:space="preserve"> قبل القبض، ثم يأخذون المال، فلا يكون الإقرار دليلاً على اعتبار هذه الحالة، فيحلَّف. وعليه الفتوى؛ لتغيُّر أحوال الناس، وكثرة الخداع و[الخيانات]</w:t>
      </w:r>
      <w:r>
        <w:rPr>
          <w:rStyle w:val="a7"/>
          <w:rtl/>
        </w:rPr>
        <w:footnoteReference w:id="1078"/>
      </w:r>
      <w:r>
        <w:rPr>
          <w:rFonts w:hint="cs"/>
          <w:rtl/>
          <w:lang w:eastAsia="en-GB"/>
        </w:rPr>
        <w:t xml:space="preserve"> ، وهو يتضرر، والمدّعي لا يضره</w:t>
      </w:r>
      <w:r>
        <w:rPr>
          <w:rStyle w:val="a7"/>
          <w:rtl/>
        </w:rPr>
        <w:footnoteReference w:id="1079"/>
      </w:r>
      <w:r>
        <w:rPr>
          <w:rFonts w:hint="cs"/>
          <w:rtl/>
          <w:lang w:eastAsia="en-GB"/>
        </w:rPr>
        <w:t xml:space="preserve"> اليمين</w:t>
      </w:r>
      <w:r>
        <w:rPr>
          <w:rFonts w:hint="cs"/>
          <w:vertAlign w:val="superscript"/>
          <w:rtl/>
          <w:lang w:eastAsia="en-GB"/>
        </w:rPr>
        <w:t>(</w:t>
      </w:r>
      <w:r>
        <w:rPr>
          <w:rStyle w:val="a7"/>
          <w:rtl/>
        </w:rPr>
        <w:footnoteReference w:id="1080"/>
      </w:r>
      <w:r>
        <w:rPr>
          <w:rFonts w:hint="cs"/>
          <w:vertAlign w:val="superscript"/>
          <w:rtl/>
          <w:lang w:eastAsia="en-GB"/>
        </w:rPr>
        <w:t>)</w:t>
      </w:r>
      <w:r>
        <w:rPr>
          <w:rFonts w:hint="cs"/>
          <w:rtl/>
          <w:lang w:eastAsia="en-GB"/>
        </w:rPr>
        <w:t xml:space="preserve"> صاد</w:t>
      </w:r>
      <w:r>
        <w:rPr>
          <w:rtl/>
          <w:lang w:eastAsia="en-GB"/>
        </w:rPr>
        <w:t>ق</w:t>
      </w:r>
      <w:r>
        <w:rPr>
          <w:rFonts w:hint="cs"/>
          <w:rtl/>
          <w:lang w:eastAsia="en-GB"/>
        </w:rPr>
        <w:t>ًا، فصار</w:t>
      </w:r>
      <w:r>
        <w:rPr>
          <w:rFonts w:hint="cs"/>
          <w:vertAlign w:val="superscript"/>
          <w:rtl/>
          <w:lang w:eastAsia="en-GB"/>
        </w:rPr>
        <w:t>(</w:t>
      </w:r>
      <w:r>
        <w:rPr>
          <w:rStyle w:val="a7"/>
          <w:rtl/>
        </w:rPr>
        <w:footnoteReference w:id="1081"/>
      </w:r>
      <w:r>
        <w:rPr>
          <w:rFonts w:hint="cs"/>
          <w:vertAlign w:val="superscript"/>
          <w:rtl/>
          <w:lang w:eastAsia="en-GB"/>
        </w:rPr>
        <w:t>)</w:t>
      </w:r>
      <w:r>
        <w:rPr>
          <w:rFonts w:hint="cs"/>
          <w:rtl/>
          <w:lang w:eastAsia="en-GB"/>
        </w:rPr>
        <w:t xml:space="preserve"> إليه</w:t>
      </w:r>
      <w:r>
        <w:rPr>
          <w:rFonts w:hint="eastAsia"/>
          <w:rtl/>
          <w:lang w:eastAsia="en-GB"/>
        </w:rPr>
        <w:t>»</w:t>
      </w:r>
      <w:r>
        <w:rPr>
          <w:rFonts w:hint="cs"/>
          <w:vertAlign w:val="superscript"/>
          <w:rtl/>
          <w:lang w:eastAsia="en-GB"/>
        </w:rPr>
        <w:t>(</w:t>
      </w:r>
      <w:r>
        <w:rPr>
          <w:rStyle w:val="a7"/>
          <w:rtl/>
        </w:rPr>
        <w:footnoteReference w:id="1082"/>
      </w:r>
      <w:r>
        <w:rPr>
          <w:rFonts w:hint="cs"/>
          <w:vertAlign w:val="superscript"/>
          <w:rtl/>
          <w:lang w:eastAsia="en-GB"/>
        </w:rPr>
        <w:t>)</w:t>
      </w:r>
      <w:r>
        <w:rPr>
          <w:rFonts w:hint="cs"/>
          <w:rtl/>
          <w:lang w:eastAsia="en-GB"/>
        </w:rPr>
        <w:t>.</w:t>
      </w:r>
    </w:p>
    <w:p w:rsidR="00C10469" w:rsidRDefault="00C10469">
      <w:pPr>
        <w:spacing w:line="600" w:lineRule="exact"/>
        <w:rPr>
          <w:rtl/>
          <w:lang w:eastAsia="en-GB"/>
        </w:rPr>
      </w:pPr>
      <w:r>
        <w:rPr>
          <w:rFonts w:hint="cs"/>
          <w:b/>
          <w:bCs/>
          <w:rtl/>
          <w:lang w:eastAsia="en-GB"/>
        </w:rPr>
        <w:lastRenderedPageBreak/>
        <w:t>وخرج</w:t>
      </w:r>
      <w:r>
        <w:rPr>
          <w:rFonts w:hint="cs"/>
          <w:rtl/>
          <w:lang w:eastAsia="en-GB"/>
        </w:rPr>
        <w:t xml:space="preserve"> عن هذا الأصل : ما</w:t>
      </w:r>
      <w:r>
        <w:rPr>
          <w:rFonts w:hint="cs"/>
          <w:vertAlign w:val="superscript"/>
          <w:rtl/>
          <w:lang w:eastAsia="en-GB"/>
        </w:rPr>
        <w:t>(</w:t>
      </w:r>
      <w:r>
        <w:rPr>
          <w:rStyle w:val="a7"/>
          <w:rtl/>
        </w:rPr>
        <w:footnoteReference w:id="1083"/>
      </w:r>
      <w:r>
        <w:rPr>
          <w:rFonts w:hint="cs"/>
          <w:vertAlign w:val="superscript"/>
          <w:rtl/>
          <w:lang w:eastAsia="en-GB"/>
        </w:rPr>
        <w:t>)</w:t>
      </w:r>
      <w:r>
        <w:rPr>
          <w:rFonts w:hint="cs"/>
          <w:rtl/>
          <w:lang w:eastAsia="en-GB"/>
        </w:rPr>
        <w:t xml:space="preserve"> </w:t>
      </w:r>
      <w:r>
        <w:rPr>
          <w:rFonts w:hint="eastAsia"/>
          <w:rtl/>
          <w:lang w:eastAsia="en-GB"/>
        </w:rPr>
        <w:t>«</w:t>
      </w:r>
      <w:r>
        <w:rPr>
          <w:rFonts w:hint="cs"/>
          <w:rtl/>
          <w:lang w:eastAsia="en-GB"/>
        </w:rPr>
        <w:t>قال رجل لآخر : اشتريت</w:t>
      </w:r>
      <w:r>
        <w:rPr>
          <w:rtl/>
          <w:lang w:eastAsia="en-GB"/>
        </w:rPr>
        <w:t>َ</w:t>
      </w:r>
      <w:r>
        <w:rPr>
          <w:rFonts w:hint="cs"/>
          <w:rtl/>
          <w:lang w:eastAsia="en-GB"/>
        </w:rPr>
        <w:t xml:space="preserve"> هذه الجارية منّي</w:t>
      </w:r>
      <w:r>
        <w:rPr>
          <w:rStyle w:val="a7"/>
          <w:rtl/>
        </w:rPr>
        <w:footnoteReference w:id="1084"/>
      </w:r>
      <w:r>
        <w:rPr>
          <w:rFonts w:hint="cs"/>
          <w:rtl/>
          <w:lang w:eastAsia="en-GB"/>
        </w:rPr>
        <w:t>. فأنكر</w:t>
      </w:r>
      <w:r>
        <w:rPr>
          <w:rFonts w:hint="cs"/>
          <w:vertAlign w:val="superscript"/>
          <w:rtl/>
          <w:lang w:eastAsia="en-GB"/>
        </w:rPr>
        <w:t>(</w:t>
      </w:r>
      <w:r>
        <w:rPr>
          <w:rStyle w:val="a7"/>
          <w:rtl/>
        </w:rPr>
        <w:footnoteReference w:id="1085"/>
      </w:r>
      <w:r>
        <w:rPr>
          <w:rFonts w:hint="cs"/>
          <w:vertAlign w:val="superscript"/>
          <w:rtl/>
          <w:lang w:eastAsia="en-GB"/>
        </w:rPr>
        <w:t>)</w:t>
      </w:r>
      <w:r>
        <w:rPr>
          <w:rFonts w:hint="cs"/>
          <w:rtl/>
          <w:lang w:eastAsia="en-GB"/>
        </w:rPr>
        <w:t>: جاز للقائل وطـؤها، مـع أن هـذا الأصل يقتـضي عدم جواز[ه]</w:t>
      </w:r>
      <w:r>
        <w:rPr>
          <w:rStyle w:val="a7"/>
          <w:rtl/>
        </w:rPr>
        <w:footnoteReference w:id="1086"/>
      </w:r>
      <w:r>
        <w:rPr>
          <w:rFonts w:hint="cs"/>
          <w:rtl/>
          <w:lang w:eastAsia="en-GB"/>
        </w:rPr>
        <w:t>؛ لإقراره بملك الغير.</w:t>
      </w:r>
    </w:p>
    <w:p w:rsidR="00C10469" w:rsidRDefault="00C10469">
      <w:pPr>
        <w:spacing w:line="520" w:lineRule="exact"/>
        <w:rPr>
          <w:rtl/>
          <w:lang w:eastAsia="en-GB"/>
        </w:rPr>
      </w:pPr>
      <w:r>
        <w:rPr>
          <w:rFonts w:hint="cs"/>
          <w:b/>
          <w:bCs/>
          <w:rtl/>
          <w:lang w:eastAsia="en-GB"/>
        </w:rPr>
        <w:t>وأجيب</w:t>
      </w:r>
      <w:r>
        <w:rPr>
          <w:rFonts w:hint="cs"/>
          <w:rtl/>
          <w:lang w:eastAsia="en-GB"/>
        </w:rPr>
        <w:t xml:space="preserve"> عنـه : بـأن المشتري لمّا جحـد كان فسـخاً من جهته، فإذا ترك البائع الخصومة</w:t>
      </w:r>
      <w:r>
        <w:rPr>
          <w:rStyle w:val="a7"/>
          <w:rtl/>
        </w:rPr>
        <w:footnoteReference w:id="1087"/>
      </w:r>
      <w:r>
        <w:rPr>
          <w:rFonts w:hint="cs"/>
          <w:rtl/>
          <w:lang w:eastAsia="en-GB"/>
        </w:rPr>
        <w:t xml:space="preserve"> تم الفـسخ بإقران</w:t>
      </w:r>
      <w:r>
        <w:rPr>
          <w:rStyle w:val="a7"/>
          <w:rtl/>
        </w:rPr>
        <w:footnoteReference w:id="1088"/>
      </w:r>
      <w:r>
        <w:rPr>
          <w:rFonts w:hint="cs"/>
          <w:rtl/>
          <w:lang w:eastAsia="en-GB"/>
        </w:rPr>
        <w:t xml:space="preserve"> العـمـل بـه، وهـو  إمساك  الـجـاريـة</w:t>
      </w:r>
      <w:r>
        <w:rPr>
          <w:rFonts w:hint="eastAsia"/>
          <w:rtl/>
          <w:lang w:eastAsia="en-GB"/>
        </w:rPr>
        <w:t>»</w:t>
      </w:r>
      <w:r>
        <w:rPr>
          <w:rFonts w:hint="cs"/>
          <w:rtl/>
          <w:lang w:eastAsia="en-GB"/>
        </w:rPr>
        <w:t xml:space="preserve">. </w:t>
      </w:r>
    </w:p>
    <w:p w:rsidR="00C10469" w:rsidRDefault="00C10469">
      <w:pPr>
        <w:ind w:firstLine="0"/>
        <w:rPr>
          <w:rtl/>
          <w:lang w:eastAsia="en-GB"/>
        </w:rPr>
      </w:pPr>
      <w:r>
        <w:rPr>
          <w:rFonts w:hint="cs"/>
          <w:rtl/>
          <w:lang w:eastAsia="en-GB"/>
        </w:rPr>
        <w:t>كذا في (درر الحكام)</w:t>
      </w:r>
      <w:r>
        <w:rPr>
          <w:rStyle w:val="a7"/>
          <w:rtl/>
        </w:rPr>
        <w:footnoteReference w:id="1089"/>
      </w:r>
      <w:r>
        <w:rPr>
          <w:rFonts w:hint="cs"/>
          <w:vertAlign w:val="superscript"/>
          <w:rtl/>
          <w:lang w:eastAsia="en-GB"/>
        </w:rPr>
        <w:t>(</w:t>
      </w:r>
      <w:r>
        <w:rPr>
          <w:rStyle w:val="a7"/>
          <w:rtl/>
        </w:rPr>
        <w:footnoteReference w:id="1090"/>
      </w:r>
      <w:r>
        <w:rPr>
          <w:rFonts w:hint="cs"/>
          <w:vertAlign w:val="superscript"/>
          <w:rtl/>
          <w:lang w:eastAsia="en-GB"/>
        </w:rPr>
        <w:t>)</w:t>
      </w:r>
      <w:r>
        <w:rPr>
          <w:rFonts w:hint="cs"/>
          <w:rtl/>
          <w:lang w:eastAsia="en-GB"/>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9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9464A" w:rsidRDefault="00C10469">
      <w:pPr>
        <w:pStyle w:val="a9"/>
        <w:rPr>
          <w:rFonts w:cs="AL-Mateen"/>
          <w:rtl/>
          <w:lang w:eastAsia="en-GB"/>
        </w:rPr>
      </w:pPr>
      <w:r w:rsidRPr="00A9464A">
        <w:rPr>
          <w:rFonts w:cs="AL-Mateen" w:hint="cs"/>
          <w:rtl/>
          <w:lang w:eastAsia="en-GB"/>
        </w:rPr>
        <w:lastRenderedPageBreak/>
        <w:t>[ القـاعـدة التـاسعـة والثـلاثـون ]</w:t>
      </w:r>
    </w:p>
    <w:p w:rsidR="00C10469" w:rsidRDefault="00C10469">
      <w:pPr>
        <w:rPr>
          <w:b/>
          <w:bCs/>
          <w:rtl/>
          <w:lang w:eastAsia="en-GB"/>
        </w:rPr>
      </w:pPr>
      <w:r>
        <w:rPr>
          <w:rFonts w:cs="Monotype Koufi" w:hint="cs"/>
          <w:rtl/>
        </w:rPr>
        <w:t>الإقْرارُ لا يحتملُ التَّعليقَ</w:t>
      </w:r>
      <w:r>
        <w:rPr>
          <w:rFonts w:hint="cs"/>
          <w:vertAlign w:val="superscript"/>
          <w:rtl/>
          <w:lang w:eastAsia="en-GB"/>
        </w:rPr>
        <w:t>(</w:t>
      </w:r>
      <w:r>
        <w:rPr>
          <w:rStyle w:val="a7"/>
          <w:rtl/>
        </w:rPr>
        <w:footnoteReference w:id="1091"/>
      </w:r>
      <w:r>
        <w:rPr>
          <w:rFonts w:hint="cs"/>
          <w:vertAlign w:val="superscript"/>
          <w:rtl/>
          <w:lang w:eastAsia="en-GB"/>
        </w:rPr>
        <w:t>)</w:t>
      </w:r>
      <w:r>
        <w:rPr>
          <w:rFonts w:hint="cs"/>
          <w:b/>
          <w:bCs/>
          <w:rtl/>
          <w:lang w:eastAsia="en-GB"/>
        </w:rPr>
        <w:t xml:space="preserve"> :</w:t>
      </w:r>
    </w:p>
    <w:p w:rsidR="00C10469" w:rsidRDefault="00C10469">
      <w:pPr>
        <w:rPr>
          <w:rtl/>
          <w:lang w:eastAsia="en-GB"/>
        </w:rPr>
      </w:pPr>
      <w:r>
        <w:rPr>
          <w:rFonts w:hint="cs"/>
          <w:rtl/>
          <w:lang w:eastAsia="en-GB"/>
        </w:rPr>
        <w:t>لأن التعليق بما فيه خطر</w:t>
      </w:r>
      <w:r>
        <w:rPr>
          <w:rStyle w:val="a7"/>
          <w:rtl/>
        </w:rPr>
        <w:footnoteReference w:id="1092"/>
      </w:r>
      <w:r>
        <w:rPr>
          <w:rFonts w:hint="cs"/>
          <w:rtl/>
          <w:lang w:eastAsia="en-GB"/>
        </w:rPr>
        <w:t xml:space="preserve"> </w:t>
      </w:r>
      <w:r>
        <w:rPr>
          <w:rtl/>
          <w:lang w:eastAsia="en-GB"/>
        </w:rPr>
        <w:t>يم</w:t>
      </w:r>
      <w:r>
        <w:rPr>
          <w:rFonts w:hint="cs"/>
          <w:rtl/>
          <w:lang w:eastAsia="en-GB"/>
        </w:rPr>
        <w:t>ين</w:t>
      </w:r>
      <w:r>
        <w:rPr>
          <w:rFonts w:hint="cs"/>
          <w:vertAlign w:val="superscript"/>
          <w:rtl/>
          <w:lang w:eastAsia="en-GB"/>
        </w:rPr>
        <w:t>(</w:t>
      </w:r>
      <w:r>
        <w:rPr>
          <w:rStyle w:val="a7"/>
          <w:rtl/>
        </w:rPr>
        <w:footnoteReference w:id="1093"/>
      </w:r>
      <w:r>
        <w:rPr>
          <w:rFonts w:hint="cs"/>
          <w:vertAlign w:val="superscript"/>
          <w:rtl/>
          <w:lang w:eastAsia="en-GB"/>
        </w:rPr>
        <w:t>)</w:t>
      </w:r>
      <w:r>
        <w:rPr>
          <w:rFonts w:hint="cs"/>
          <w:rtl/>
          <w:lang w:eastAsia="en-GB"/>
        </w:rPr>
        <w:t xml:space="preserve"> ؛ ولهذا لو قال : لفلان علىَّ ألف درهم إن شاء فلان</w:t>
      </w:r>
      <w:r>
        <w:rPr>
          <w:rStyle w:val="a7"/>
          <w:rtl/>
        </w:rPr>
        <w:footnoteReference w:id="1094"/>
      </w:r>
      <w:r>
        <w:rPr>
          <w:rFonts w:hint="cs"/>
          <w:rtl/>
          <w:lang w:eastAsia="en-GB"/>
        </w:rPr>
        <w:t>. فقال فلان</w:t>
      </w:r>
      <w:r>
        <w:rPr>
          <w:rtl/>
          <w:lang w:eastAsia="en-GB"/>
        </w:rPr>
        <w:t xml:space="preserve"> </w:t>
      </w:r>
      <w:r>
        <w:rPr>
          <w:rFonts w:hint="cs"/>
          <w:rtl/>
          <w:lang w:eastAsia="en-GB"/>
        </w:rPr>
        <w:t>: قد شِئْتُ</w:t>
      </w:r>
      <w:r>
        <w:rPr>
          <w:rStyle w:val="a7"/>
          <w:rtl/>
        </w:rPr>
        <w:footnoteReference w:id="1095"/>
      </w:r>
      <w:r>
        <w:rPr>
          <w:rFonts w:hint="cs"/>
          <w:rtl/>
          <w:lang w:eastAsia="en-GB"/>
        </w:rPr>
        <w:t xml:space="preserve"> : فهذا باطل ؛ لأنه إخبارٌ ترَدَّدَ</w:t>
      </w:r>
      <w:r>
        <w:rPr>
          <w:rStyle w:val="a7"/>
          <w:rtl/>
        </w:rPr>
        <w:footnoteReference w:id="1096"/>
      </w:r>
      <w:r>
        <w:rPr>
          <w:rFonts w:hint="cs"/>
          <w:rtl/>
          <w:lang w:eastAsia="en-GB"/>
        </w:rPr>
        <w:t xml:space="preserve"> بين الصدق والكذب، </w:t>
      </w:r>
      <w:r>
        <w:rPr>
          <w:rFonts w:hint="cs"/>
          <w:rtl/>
        </w:rPr>
        <w:t>فإن كان</w:t>
      </w:r>
      <w:r>
        <w:rPr>
          <w:rFonts w:hint="cs"/>
          <w:rtl/>
          <w:lang w:eastAsia="en-GB"/>
        </w:rPr>
        <w:t xml:space="preserve"> صدقًا، لا يصير كـذبًا</w:t>
      </w:r>
      <w:r>
        <w:rPr>
          <w:rStyle w:val="a7"/>
          <w:rtl/>
        </w:rPr>
        <w:footnoteReference w:id="1097"/>
      </w:r>
      <w:r>
        <w:rPr>
          <w:rFonts w:hint="cs"/>
          <w:rtl/>
          <w:lang w:eastAsia="en-GB"/>
        </w:rPr>
        <w:t xml:space="preserve"> بـفوات الشرط، وإن كان كذبًا لا يصير صدقًا بوجود الشرط</w:t>
      </w:r>
      <w:r>
        <w:rPr>
          <w:rFonts w:hint="cs"/>
          <w:vertAlign w:val="superscript"/>
          <w:rtl/>
          <w:lang w:eastAsia="en-GB"/>
        </w:rPr>
        <w:t>(</w:t>
      </w:r>
      <w:r>
        <w:rPr>
          <w:rStyle w:val="a7"/>
          <w:rtl/>
        </w:rPr>
        <w:footnoteReference w:id="1098"/>
      </w:r>
      <w:r>
        <w:rPr>
          <w:rFonts w:hint="cs"/>
          <w:vertAlign w:val="superscript"/>
          <w:rtl/>
          <w:lang w:eastAsia="en-GB"/>
        </w:rPr>
        <w:t>)</w:t>
      </w:r>
      <w:r>
        <w:rPr>
          <w:rFonts w:hint="cs"/>
          <w:rtl/>
          <w:lang w:eastAsia="en-GB"/>
        </w:rPr>
        <w:t>.</w:t>
      </w:r>
    </w:p>
    <w:p w:rsidR="00C10469" w:rsidRDefault="00C10469">
      <w:pPr>
        <w:rPr>
          <w:rtl/>
          <w:lang w:eastAsia="en-GB"/>
        </w:rPr>
      </w:pPr>
    </w:p>
    <w:p w:rsidR="00C10469" w:rsidRDefault="00C10469" w:rsidP="00C10469">
      <w:pPr>
        <w:jc w:val="center"/>
        <w:rPr>
          <w:rFonts w:ascii="AGA Arabesque" w:hAnsi="AGA Arabesque"/>
          <w:sz w:val="50"/>
          <w:szCs w:val="50"/>
        </w:rPr>
        <w:sectPr w:rsidR="00C10469" w:rsidSect="00C10469">
          <w:headerReference w:type="default" r:id="rId9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CC2AD2" w:rsidRDefault="00C10469">
      <w:pPr>
        <w:pStyle w:val="a9"/>
        <w:rPr>
          <w:rFonts w:cs="AL-Mateen"/>
          <w:rtl/>
          <w:lang w:eastAsia="en-GB"/>
        </w:rPr>
      </w:pPr>
      <w:r w:rsidRPr="00CC2AD2">
        <w:rPr>
          <w:rFonts w:cs="AL-Mateen" w:hint="cs"/>
          <w:rtl/>
          <w:lang w:eastAsia="en-GB"/>
        </w:rPr>
        <w:lastRenderedPageBreak/>
        <w:t>[ القـاعـدة الأربـعون ]</w:t>
      </w:r>
    </w:p>
    <w:p w:rsidR="00C10469" w:rsidRDefault="00C10469">
      <w:pPr>
        <w:rPr>
          <w:b/>
          <w:bCs/>
          <w:rtl/>
          <w:lang w:eastAsia="en-GB"/>
        </w:rPr>
      </w:pPr>
      <w:r>
        <w:rPr>
          <w:rFonts w:cs="Monotype Koufi" w:hint="cs"/>
          <w:rtl/>
        </w:rPr>
        <w:t>الإِقْرَارُ بَعْدَ الدَّعوَى صَحِيحٌ دُونَ العَكْسِ</w:t>
      </w:r>
      <w:r>
        <w:rPr>
          <w:rFonts w:hint="cs"/>
          <w:vertAlign w:val="superscript"/>
          <w:rtl/>
          <w:lang w:eastAsia="en-GB"/>
        </w:rPr>
        <w:t>(</w:t>
      </w:r>
      <w:r>
        <w:rPr>
          <w:rStyle w:val="a7"/>
          <w:rtl/>
        </w:rPr>
        <w:footnoteReference w:id="1099"/>
      </w:r>
      <w:r>
        <w:rPr>
          <w:rFonts w:hint="cs"/>
          <w:vertAlign w:val="superscript"/>
          <w:rtl/>
          <w:lang w:eastAsia="en-GB"/>
        </w:rPr>
        <w:t>)</w:t>
      </w:r>
      <w:r>
        <w:rPr>
          <w:rFonts w:hint="cs"/>
          <w:b/>
          <w:bCs/>
          <w:rtl/>
          <w:lang w:eastAsia="en-GB"/>
        </w:rPr>
        <w:t xml:space="preserve"> :</w:t>
      </w:r>
    </w:p>
    <w:p w:rsidR="00C10469" w:rsidRDefault="00C10469" w:rsidP="00C10469">
      <w:pPr>
        <w:ind w:left="848" w:hanging="281"/>
        <w:rPr>
          <w:rtl/>
          <w:lang w:eastAsia="en-GB"/>
        </w:rPr>
      </w:pPr>
      <w:r>
        <w:rPr>
          <w:rtl/>
          <w:lang w:eastAsia="en-GB"/>
        </w:rPr>
        <w:t>•</w:t>
      </w:r>
      <w:r>
        <w:rPr>
          <w:rFonts w:hint="cs"/>
          <w:rtl/>
          <w:lang w:eastAsia="en-GB"/>
        </w:rPr>
        <w:t xml:space="preserve"> ولذا : إذا قال : الأرض لي، والبناء لفلان : يصح إقراره ؛ لأن</w:t>
      </w:r>
      <w:r>
        <w:rPr>
          <w:rtl/>
          <w:lang w:eastAsia="en-GB"/>
        </w:rPr>
        <w:t>ه</w:t>
      </w:r>
      <w:r>
        <w:rPr>
          <w:rFonts w:hint="cs"/>
          <w:rtl/>
          <w:lang w:eastAsia="en-GB"/>
        </w:rPr>
        <w:t xml:space="preserve"> ادّعى أ</w:t>
      </w:r>
      <w:r>
        <w:rPr>
          <w:rtl/>
          <w:lang w:eastAsia="en-GB"/>
        </w:rPr>
        <w:t>وّ</w:t>
      </w:r>
      <w:r>
        <w:rPr>
          <w:rFonts w:hint="cs"/>
          <w:rtl/>
          <w:lang w:eastAsia="en-GB"/>
        </w:rPr>
        <w:t xml:space="preserve">لاً </w:t>
      </w:r>
      <w:r>
        <w:rPr>
          <w:rFonts w:hint="cs"/>
          <w:rtl/>
        </w:rPr>
        <w:t>الأرض بقوله</w:t>
      </w:r>
      <w:r>
        <w:rPr>
          <w:rFonts w:hint="cs"/>
          <w:rtl/>
          <w:lang w:eastAsia="en-GB"/>
        </w:rPr>
        <w:t xml:space="preserve"> : الأرض لي. ودخل البناء في دعواه تبعًا، فإذا أ</w:t>
      </w:r>
      <w:r>
        <w:rPr>
          <w:rtl/>
          <w:lang w:eastAsia="en-GB"/>
        </w:rPr>
        <w:t>قّ</w:t>
      </w:r>
      <w:r>
        <w:rPr>
          <w:rFonts w:hint="cs"/>
          <w:rtl/>
          <w:lang w:eastAsia="en-GB"/>
        </w:rPr>
        <w:t>ر بالبناء لفلان : كان إقراره بعد الدعوى، فيصح على مقتضى الأصل.</w:t>
      </w:r>
    </w:p>
    <w:p w:rsidR="00C10469" w:rsidRDefault="00C10469" w:rsidP="00C10469">
      <w:pPr>
        <w:ind w:left="848" w:hanging="281"/>
        <w:rPr>
          <w:spacing w:val="-4"/>
          <w:rtl/>
          <w:lang w:eastAsia="en-GB"/>
        </w:rPr>
      </w:pPr>
      <w:r>
        <w:rPr>
          <w:spacing w:val="-4"/>
          <w:rtl/>
          <w:lang w:eastAsia="en-GB"/>
        </w:rPr>
        <w:t>•</w:t>
      </w:r>
      <w:r>
        <w:rPr>
          <w:rFonts w:hint="cs"/>
          <w:spacing w:val="-4"/>
          <w:rtl/>
          <w:lang w:eastAsia="en-GB"/>
        </w:rPr>
        <w:t xml:space="preserve"> وأمّا إذا قال : الأرض لفلان : فدخل البناء في إقراره تبعًا ، فإذا ادَّعى البناء بعد ذلك بقوله : والبناء لي : يكون</w:t>
      </w:r>
      <w:r>
        <w:rPr>
          <w:rFonts w:hint="cs"/>
          <w:spacing w:val="-4"/>
          <w:vertAlign w:val="superscript"/>
          <w:rtl/>
          <w:lang w:eastAsia="en-GB"/>
        </w:rPr>
        <w:t>(</w:t>
      </w:r>
      <w:r>
        <w:rPr>
          <w:rStyle w:val="a7"/>
          <w:spacing w:val="-4"/>
          <w:rtl/>
        </w:rPr>
        <w:footnoteReference w:id="1100"/>
      </w:r>
      <w:r>
        <w:rPr>
          <w:rFonts w:hint="cs"/>
          <w:spacing w:val="-4"/>
          <w:vertAlign w:val="superscript"/>
          <w:rtl/>
          <w:lang w:eastAsia="en-GB"/>
        </w:rPr>
        <w:t>)</w:t>
      </w:r>
      <w:r>
        <w:rPr>
          <w:rFonts w:hint="cs"/>
          <w:spacing w:val="-4"/>
          <w:rtl/>
          <w:lang w:eastAsia="en-GB"/>
        </w:rPr>
        <w:t xml:space="preserve"> دعواه بعد الإقرار رجوعًا عنه، والرجوع عن الإقرار باطل</w:t>
      </w:r>
      <w:r>
        <w:rPr>
          <w:rFonts w:hint="cs"/>
          <w:spacing w:val="-4"/>
          <w:vertAlign w:val="superscript"/>
          <w:rtl/>
          <w:lang w:eastAsia="en-GB"/>
        </w:rPr>
        <w:t>(</w:t>
      </w:r>
      <w:r>
        <w:rPr>
          <w:rStyle w:val="a7"/>
          <w:spacing w:val="-4"/>
          <w:rtl/>
        </w:rPr>
        <w:footnoteReference w:id="1101"/>
      </w:r>
      <w:r>
        <w:rPr>
          <w:rFonts w:hint="cs"/>
          <w:spacing w:val="-4"/>
          <w:vertAlign w:val="superscript"/>
          <w:rtl/>
          <w:lang w:eastAsia="en-GB"/>
        </w:rPr>
        <w:t>)(</w:t>
      </w:r>
      <w:r>
        <w:rPr>
          <w:rStyle w:val="a7"/>
          <w:spacing w:val="-4"/>
          <w:rtl/>
        </w:rPr>
        <w:footnoteReference w:id="1102"/>
      </w:r>
      <w:r>
        <w:rPr>
          <w:rFonts w:hint="cs"/>
          <w:spacing w:val="-4"/>
          <w:vertAlign w:val="superscript"/>
          <w:rtl/>
          <w:lang w:eastAsia="en-GB"/>
        </w:rPr>
        <w:t>)</w:t>
      </w:r>
      <w:r>
        <w:rPr>
          <w:rFonts w:hint="cs"/>
          <w:spacing w:val="-4"/>
          <w:rtl/>
          <w:lang w:eastAsia="en-GB"/>
        </w:rPr>
        <w:t>. هذا مرادهم بقوله : دون العكس.</w:t>
      </w:r>
    </w:p>
    <w:p w:rsidR="00C10469" w:rsidRDefault="00C10469">
      <w:pPr>
        <w:rPr>
          <w:spacing w:val="-4"/>
          <w:rtl/>
          <w:lang w:eastAsia="en-GB"/>
        </w:rPr>
      </w:pPr>
    </w:p>
    <w:p w:rsidR="00C10469" w:rsidRDefault="00C10469">
      <w:pPr>
        <w:rPr>
          <w:spacing w:val="-4"/>
          <w:rtl/>
          <w:lang w:eastAsia="en-GB"/>
        </w:rPr>
      </w:pPr>
    </w:p>
    <w:p w:rsidR="00C10469" w:rsidRPr="007F062C" w:rsidRDefault="00C10469">
      <w:pPr>
        <w:jc w:val="center"/>
        <w:rPr>
          <w:spacing w:val="-4"/>
          <w:rtl/>
          <w:lang w:eastAsia="en-GB"/>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4"/>
          <w:rtl/>
          <w:lang w:eastAsia="en-GB"/>
        </w:rPr>
        <w:sectPr w:rsidR="00C10469" w:rsidSect="00C10469">
          <w:headerReference w:type="default" r:id="rId9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F78DA" w:rsidRDefault="00C10469">
      <w:pPr>
        <w:pStyle w:val="a9"/>
        <w:rPr>
          <w:rFonts w:cs="AL-Mateen"/>
          <w:rtl/>
          <w:lang w:eastAsia="en-GB"/>
        </w:rPr>
      </w:pPr>
      <w:r w:rsidRPr="00AF78DA">
        <w:rPr>
          <w:rFonts w:cs="AL-Mateen" w:hint="cs"/>
          <w:rtl/>
          <w:lang w:eastAsia="en-GB"/>
        </w:rPr>
        <w:lastRenderedPageBreak/>
        <w:t>[ القـاعـدة الحـاديـة والأربعـون ]</w:t>
      </w:r>
    </w:p>
    <w:p w:rsidR="00C10469" w:rsidRDefault="00C10469">
      <w:pPr>
        <w:rPr>
          <w:b/>
          <w:bCs/>
          <w:rtl/>
          <w:lang w:eastAsia="en-GB"/>
        </w:rPr>
      </w:pPr>
      <w:r>
        <w:rPr>
          <w:rFonts w:cs="Monotype Koufi" w:hint="cs"/>
          <w:rtl/>
        </w:rPr>
        <w:t>إِقْرَارُ الإِنْسَانِ لَيْسَ بِحُجَّةٍ عَلَى غَيْرِهِ</w:t>
      </w:r>
      <w:r>
        <w:rPr>
          <w:rFonts w:hint="cs"/>
          <w:vertAlign w:val="superscript"/>
          <w:rtl/>
          <w:lang w:eastAsia="en-GB"/>
        </w:rPr>
        <w:t>(</w:t>
      </w:r>
      <w:r>
        <w:rPr>
          <w:rStyle w:val="a7"/>
          <w:rtl/>
        </w:rPr>
        <w:footnoteReference w:id="1103"/>
      </w:r>
      <w:r>
        <w:rPr>
          <w:rFonts w:hint="cs"/>
          <w:vertAlign w:val="superscript"/>
          <w:rtl/>
          <w:lang w:eastAsia="en-GB"/>
        </w:rPr>
        <w:t>)</w:t>
      </w:r>
      <w:r>
        <w:rPr>
          <w:rFonts w:hint="cs"/>
          <w:b/>
          <w:bCs/>
          <w:rtl/>
          <w:lang w:eastAsia="en-GB"/>
        </w:rPr>
        <w:t xml:space="preserve"> :</w:t>
      </w:r>
    </w:p>
    <w:p w:rsidR="00C10469" w:rsidRDefault="00C10469">
      <w:pPr>
        <w:rPr>
          <w:spacing w:val="-4"/>
          <w:rtl/>
          <w:lang w:eastAsia="en-GB"/>
        </w:rPr>
      </w:pPr>
      <w:r>
        <w:rPr>
          <w:rFonts w:hint="cs"/>
          <w:b/>
          <w:bCs/>
          <w:spacing w:val="-4"/>
          <w:rtl/>
          <w:lang w:eastAsia="en-GB"/>
        </w:rPr>
        <w:lastRenderedPageBreak/>
        <w:t>ولذا</w:t>
      </w:r>
      <w:r>
        <w:rPr>
          <w:rFonts w:hint="cs"/>
          <w:spacing w:val="-4"/>
          <w:rtl/>
          <w:lang w:eastAsia="en-GB"/>
        </w:rPr>
        <w:t xml:space="preserve"> : إذا </w:t>
      </w:r>
      <w:r>
        <w:rPr>
          <w:rFonts w:hint="cs"/>
          <w:spacing w:val="-4"/>
          <w:rtl/>
        </w:rPr>
        <w:t>أقرَّ بالأرض</w:t>
      </w:r>
      <w:r>
        <w:rPr>
          <w:rFonts w:hint="cs"/>
          <w:spacing w:val="-4"/>
          <w:rtl/>
          <w:lang w:eastAsia="en-GB"/>
        </w:rPr>
        <w:t xml:space="preserve"> لزيد، ثم أقرّ بناءها</w:t>
      </w:r>
      <w:r>
        <w:rPr>
          <w:rStyle w:val="a7"/>
          <w:spacing w:val="-4"/>
          <w:rtl/>
        </w:rPr>
        <w:footnoteReference w:id="1104"/>
      </w:r>
      <w:r>
        <w:rPr>
          <w:rFonts w:hint="cs"/>
          <w:spacing w:val="-4"/>
          <w:rtl/>
          <w:lang w:eastAsia="en-GB"/>
        </w:rPr>
        <w:t xml:space="preserve"> لعمرو : </w:t>
      </w:r>
      <w:r>
        <w:rPr>
          <w:spacing w:val="-4"/>
          <w:rtl/>
          <w:lang w:eastAsia="en-GB"/>
        </w:rPr>
        <w:t>ف</w:t>
      </w:r>
      <w:r>
        <w:rPr>
          <w:rFonts w:hint="cs"/>
          <w:spacing w:val="-4"/>
          <w:rtl/>
          <w:lang w:eastAsia="en-GB"/>
        </w:rPr>
        <w:t>كلاهما لزيد</w:t>
      </w:r>
      <w:r>
        <w:rPr>
          <w:spacing w:val="-4"/>
          <w:rtl/>
          <w:lang w:eastAsia="en-GB"/>
        </w:rPr>
        <w:t>؛</w:t>
      </w:r>
      <w:r>
        <w:rPr>
          <w:rFonts w:hint="cs"/>
          <w:spacing w:val="-4"/>
          <w:rtl/>
          <w:lang w:eastAsia="en-GB"/>
        </w:rPr>
        <w:t xml:space="preserve"> لأن الإقرار بالأرض لزيد يستتبع البناء، فالإقرار بالبناء بعد ذلك لعمرو إقرار على الغير؛ فلا يصح</w:t>
      </w:r>
      <w:r>
        <w:rPr>
          <w:rStyle w:val="a7"/>
          <w:spacing w:val="-4"/>
          <w:rtl/>
        </w:rPr>
        <w:footnoteReference w:id="1105"/>
      </w:r>
      <w:r>
        <w:rPr>
          <w:rFonts w:hint="cs"/>
          <w:spacing w:val="-4"/>
          <w:rtl/>
          <w:lang w:eastAsia="en-GB"/>
        </w:rPr>
        <w:t xml:space="preserve"> </w:t>
      </w:r>
      <w:r>
        <w:rPr>
          <w:rFonts w:hint="cs"/>
          <w:spacing w:val="-4"/>
          <w:vertAlign w:val="superscript"/>
          <w:rtl/>
          <w:lang w:eastAsia="en-GB"/>
        </w:rPr>
        <w:t>(</w:t>
      </w:r>
      <w:r>
        <w:rPr>
          <w:rStyle w:val="a7"/>
          <w:spacing w:val="-4"/>
          <w:rtl/>
        </w:rPr>
        <w:footnoteReference w:id="1106"/>
      </w:r>
      <w:r>
        <w:rPr>
          <w:rFonts w:hint="cs"/>
          <w:spacing w:val="-4"/>
          <w:vertAlign w:val="superscript"/>
          <w:rtl/>
          <w:lang w:eastAsia="en-GB"/>
        </w:rPr>
        <w:t>)</w:t>
      </w:r>
      <w:r>
        <w:rPr>
          <w:rFonts w:hint="cs"/>
          <w:spacing w:val="-4"/>
          <w:rtl/>
          <w:lang w:eastAsia="en-GB"/>
        </w:rPr>
        <w:t>.</w:t>
      </w:r>
    </w:p>
    <w:p w:rsidR="00C10469" w:rsidRDefault="00C10469">
      <w:pPr>
        <w:rPr>
          <w:rtl/>
          <w:lang w:eastAsia="en-GB"/>
        </w:rPr>
      </w:pPr>
      <w:r>
        <w:rPr>
          <w:rFonts w:hint="cs"/>
          <w:rtl/>
          <w:lang w:eastAsia="en-GB"/>
        </w:rPr>
        <w:t>وفروع هذا الأصل كثيرة.</w:t>
      </w:r>
    </w:p>
    <w:p w:rsidR="00C10469" w:rsidRDefault="00C10469">
      <w:pPr>
        <w:rPr>
          <w:rtl/>
          <w:lang w:eastAsia="en-GB"/>
        </w:rPr>
      </w:pPr>
    </w:p>
    <w:p w:rsidR="00C10469" w:rsidRDefault="00C10469">
      <w:pPr>
        <w:rPr>
          <w:rtl/>
          <w:lang w:eastAsia="en-GB"/>
        </w:rPr>
      </w:pPr>
    </w:p>
    <w:p w:rsidR="00C10469" w:rsidRPr="005721ED" w:rsidRDefault="00C10469">
      <w:pPr>
        <w:jc w:val="center"/>
        <w:rPr>
          <w:rtl/>
          <w:lang w:eastAsia="en-GB"/>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lang w:eastAsia="en-GB"/>
        </w:rPr>
        <w:sectPr w:rsidR="00C10469" w:rsidSect="00C10469">
          <w:headerReference w:type="default" r:id="rId9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579C0" w:rsidRDefault="00C10469">
      <w:pPr>
        <w:pStyle w:val="a9"/>
        <w:rPr>
          <w:rFonts w:cs="AL-Mateen"/>
          <w:rtl/>
          <w:lang w:eastAsia="en-GB"/>
        </w:rPr>
      </w:pPr>
      <w:r w:rsidRPr="003579C0">
        <w:rPr>
          <w:rFonts w:cs="AL-Mateen" w:hint="cs"/>
          <w:rtl/>
          <w:lang w:eastAsia="en-GB"/>
        </w:rPr>
        <w:lastRenderedPageBreak/>
        <w:t>[ القـاعـدة الثـانـية والأربـعون ]</w:t>
      </w:r>
    </w:p>
    <w:p w:rsidR="00C10469" w:rsidRDefault="00C10469">
      <w:pPr>
        <w:rPr>
          <w:b/>
          <w:bCs/>
          <w:rtl/>
          <w:lang w:eastAsia="en-GB"/>
        </w:rPr>
      </w:pPr>
      <w:r>
        <w:rPr>
          <w:rFonts w:cs="Monotype Koufi" w:hint="cs"/>
          <w:rtl/>
        </w:rPr>
        <w:t>الإقرارُ لا يكونُ سبـبًا للاستحقاق</w:t>
      </w:r>
      <w:r>
        <w:rPr>
          <w:rFonts w:hint="cs"/>
          <w:vertAlign w:val="superscript"/>
          <w:rtl/>
          <w:lang w:eastAsia="en-GB"/>
        </w:rPr>
        <w:t>(</w:t>
      </w:r>
      <w:r>
        <w:rPr>
          <w:rStyle w:val="a7"/>
          <w:rtl/>
        </w:rPr>
        <w:footnoteReference w:id="1107"/>
      </w:r>
      <w:r>
        <w:rPr>
          <w:rFonts w:hint="cs"/>
          <w:vertAlign w:val="superscript"/>
          <w:rtl/>
          <w:lang w:eastAsia="en-GB"/>
        </w:rPr>
        <w:t>)</w:t>
      </w:r>
      <w:r>
        <w:rPr>
          <w:rFonts w:hint="cs"/>
          <w:b/>
          <w:bCs/>
          <w:rtl/>
          <w:lang w:eastAsia="en-GB"/>
        </w:rPr>
        <w:t xml:space="preserve"> :</w:t>
      </w:r>
    </w:p>
    <w:p w:rsidR="00C10469" w:rsidRDefault="00C10469">
      <w:pPr>
        <w:rPr>
          <w:rtl/>
          <w:lang w:eastAsia="en-GB"/>
        </w:rPr>
      </w:pPr>
      <w:r>
        <w:rPr>
          <w:rFonts w:hint="cs"/>
          <w:rtl/>
          <w:lang w:eastAsia="en-GB"/>
        </w:rPr>
        <w:t xml:space="preserve">عُرض إلي </w:t>
      </w:r>
      <w:r>
        <w:rPr>
          <w:rFonts w:hint="cs"/>
          <w:rtl/>
        </w:rPr>
        <w:t>مسألة على</w:t>
      </w:r>
      <w:r>
        <w:rPr>
          <w:rFonts w:hint="cs"/>
          <w:rtl/>
          <w:lang w:eastAsia="en-GB"/>
        </w:rPr>
        <w:t xml:space="preserve"> طريق الاستيفاء، وهي : أنه قال : ادّعى الدائن المال من المديون. فقال المديون </w:t>
      </w:r>
      <w:r>
        <w:rPr>
          <w:lang w:eastAsia="en-GB"/>
        </w:rPr>
        <w:t>–</w:t>
      </w:r>
      <w:r>
        <w:rPr>
          <w:rFonts w:hint="cs"/>
          <w:rtl/>
          <w:lang w:eastAsia="en-GB"/>
        </w:rPr>
        <w:t xml:space="preserve"> على طريق الدفع-: إنك استوفيت</w:t>
      </w:r>
      <w:r>
        <w:rPr>
          <w:rtl/>
          <w:lang w:eastAsia="en-GB"/>
        </w:rPr>
        <w:t>َ</w:t>
      </w:r>
      <w:r>
        <w:rPr>
          <w:rFonts w:hint="cs"/>
          <w:rtl/>
          <w:lang w:eastAsia="en-GB"/>
        </w:rPr>
        <w:t xml:space="preserve"> المال منّي. فأنكر الدّائن الاستيفاء، وأقام المديون البينة</w:t>
      </w:r>
      <w:r>
        <w:rPr>
          <w:rStyle w:val="a7"/>
          <w:rtl/>
        </w:rPr>
        <w:footnoteReference w:id="1108"/>
      </w:r>
      <w:r>
        <w:rPr>
          <w:rFonts w:hint="cs"/>
          <w:rtl/>
          <w:lang w:eastAsia="en-GB"/>
        </w:rPr>
        <w:t xml:space="preserve"> على إقراره بالاستيفاء، هل [تقبل]</w:t>
      </w:r>
      <w:r>
        <w:rPr>
          <w:rStyle w:val="a7"/>
          <w:rtl/>
        </w:rPr>
        <w:footnoteReference w:id="1109"/>
      </w:r>
      <w:r>
        <w:rPr>
          <w:rFonts w:hint="cs"/>
          <w:rtl/>
          <w:lang w:eastAsia="en-GB"/>
        </w:rPr>
        <w:t xml:space="preserve"> بينته</w:t>
      </w:r>
      <w:r>
        <w:rPr>
          <w:rStyle w:val="a7"/>
          <w:rtl/>
        </w:rPr>
        <w:footnoteReference w:id="1110"/>
      </w:r>
      <w:r>
        <w:rPr>
          <w:rFonts w:hint="cs"/>
          <w:rtl/>
          <w:lang w:eastAsia="en-GB"/>
        </w:rPr>
        <w:t xml:space="preserve"> </w:t>
      </w:r>
      <w:r>
        <w:rPr>
          <w:rFonts w:hint="cs"/>
          <w:rtl/>
          <w:lang w:eastAsia="en-GB"/>
        </w:rPr>
        <w:lastRenderedPageBreak/>
        <w:t>أم</w:t>
      </w:r>
      <w:r>
        <w:rPr>
          <w:rFonts w:hint="cs"/>
          <w:vertAlign w:val="superscript"/>
          <w:rtl/>
          <w:lang w:eastAsia="en-GB"/>
        </w:rPr>
        <w:t>(</w:t>
      </w:r>
      <w:r>
        <w:rPr>
          <w:rStyle w:val="a7"/>
          <w:lang w:eastAsia="en-GB"/>
        </w:rPr>
        <w:footnoteReference w:id="1111"/>
      </w:r>
      <w:r>
        <w:rPr>
          <w:rFonts w:hint="cs"/>
          <w:vertAlign w:val="superscript"/>
          <w:rtl/>
          <w:lang w:eastAsia="en-GB"/>
        </w:rPr>
        <w:t>)</w:t>
      </w:r>
      <w:r>
        <w:rPr>
          <w:rFonts w:hint="cs"/>
          <w:rtl/>
          <w:lang w:eastAsia="en-GB"/>
        </w:rPr>
        <w:t xml:space="preserve"> لا ؟.</w:t>
      </w:r>
    </w:p>
    <w:p w:rsidR="00C10469" w:rsidRDefault="00C10469">
      <w:pPr>
        <w:rPr>
          <w:rtl/>
          <w:lang w:eastAsia="en-GB"/>
        </w:rPr>
      </w:pPr>
      <w:r>
        <w:rPr>
          <w:rFonts w:hint="cs"/>
          <w:rtl/>
          <w:lang w:eastAsia="en-GB"/>
        </w:rPr>
        <w:lastRenderedPageBreak/>
        <w:t>قلت في جوابه : نعم تقبل.</w:t>
      </w:r>
    </w:p>
    <w:p w:rsidR="00C10469" w:rsidRDefault="00C10469">
      <w:pPr>
        <w:rPr>
          <w:rtl/>
          <w:lang w:eastAsia="en-GB"/>
        </w:rPr>
      </w:pPr>
      <w:r>
        <w:rPr>
          <w:rFonts w:hint="cs"/>
          <w:rtl/>
          <w:lang w:eastAsia="en-GB"/>
        </w:rPr>
        <w:t>فلما عَرَضَ</w:t>
      </w:r>
      <w:r>
        <w:rPr>
          <w:rFonts w:hint="cs"/>
          <w:vertAlign w:val="superscript"/>
          <w:rtl/>
          <w:lang w:eastAsia="en-GB"/>
        </w:rPr>
        <w:t>(</w:t>
      </w:r>
      <w:r>
        <w:rPr>
          <w:rStyle w:val="a7"/>
          <w:rtl/>
        </w:rPr>
        <w:footnoteReference w:id="1112"/>
      </w:r>
      <w:r>
        <w:rPr>
          <w:rFonts w:hint="cs"/>
          <w:vertAlign w:val="superscript"/>
          <w:rtl/>
          <w:lang w:eastAsia="en-GB"/>
        </w:rPr>
        <w:t>)</w:t>
      </w:r>
      <w:r>
        <w:rPr>
          <w:rFonts w:hint="cs"/>
          <w:rtl/>
          <w:lang w:eastAsia="en-GB"/>
        </w:rPr>
        <w:t xml:space="preserve"> الفتوى إلى القاضي</w:t>
      </w:r>
      <w:r>
        <w:rPr>
          <w:rStyle w:val="a7"/>
          <w:rtl/>
        </w:rPr>
        <w:footnoteReference w:id="1113"/>
      </w:r>
      <w:r>
        <w:rPr>
          <w:rFonts w:hint="cs"/>
          <w:rtl/>
          <w:lang w:eastAsia="en-GB"/>
        </w:rPr>
        <w:t>، قال : هذا مخالفٌ لما في (المحيط البرهاني)</w:t>
      </w:r>
      <w:r>
        <w:rPr>
          <w:rFonts w:hint="cs"/>
          <w:vertAlign w:val="superscript"/>
          <w:rtl/>
          <w:lang w:eastAsia="en-GB"/>
        </w:rPr>
        <w:t>(</w:t>
      </w:r>
      <w:r>
        <w:rPr>
          <w:rStyle w:val="a7"/>
          <w:rtl/>
        </w:rPr>
        <w:footnoteReference w:id="1114"/>
      </w:r>
      <w:r>
        <w:rPr>
          <w:rFonts w:hint="cs"/>
          <w:vertAlign w:val="superscript"/>
          <w:rtl/>
          <w:lang w:eastAsia="en-GB"/>
        </w:rPr>
        <w:t>)</w:t>
      </w:r>
      <w:r>
        <w:rPr>
          <w:rFonts w:hint="cs"/>
          <w:rtl/>
          <w:lang w:eastAsia="en-GB"/>
        </w:rPr>
        <w:t xml:space="preserve">. حيث قال في (دعوى الدين) : </w:t>
      </w:r>
      <w:r>
        <w:rPr>
          <w:rFonts w:hint="eastAsia"/>
          <w:rtl/>
          <w:lang w:eastAsia="en-GB"/>
        </w:rPr>
        <w:t>«</w:t>
      </w:r>
      <w:r>
        <w:rPr>
          <w:rFonts w:hint="cs"/>
          <w:rtl/>
          <w:lang w:eastAsia="en-GB"/>
        </w:rPr>
        <w:t>إذا قال المدّع</w:t>
      </w:r>
      <w:r>
        <w:rPr>
          <w:rtl/>
          <w:lang w:eastAsia="en-GB"/>
        </w:rPr>
        <w:t>ى</w:t>
      </w:r>
      <w:r>
        <w:rPr>
          <w:rFonts w:hint="cs"/>
          <w:rtl/>
          <w:lang w:eastAsia="en-GB"/>
        </w:rPr>
        <w:t xml:space="preserve"> عليـه : المـدّعي أقرَّ </w:t>
      </w:r>
      <w:r>
        <w:rPr>
          <w:rFonts w:hint="cs"/>
          <w:rtl/>
          <w:lang w:eastAsia="en-GB"/>
        </w:rPr>
        <w:lastRenderedPageBreak/>
        <w:t>باستيفاء المال منه</w:t>
      </w:r>
      <w:r>
        <w:rPr>
          <w:rFonts w:hint="cs"/>
          <w:vertAlign w:val="superscript"/>
          <w:rtl/>
          <w:lang w:eastAsia="en-GB"/>
        </w:rPr>
        <w:t>(</w:t>
      </w:r>
      <w:r>
        <w:rPr>
          <w:rStyle w:val="a7"/>
          <w:rtl/>
        </w:rPr>
        <w:footnoteReference w:id="1115"/>
      </w:r>
      <w:r>
        <w:rPr>
          <w:rFonts w:hint="cs"/>
          <w:vertAlign w:val="superscript"/>
          <w:rtl/>
          <w:lang w:eastAsia="en-GB"/>
        </w:rPr>
        <w:t>)</w:t>
      </w:r>
      <w:r>
        <w:rPr>
          <w:rFonts w:hint="cs"/>
          <w:rtl/>
          <w:lang w:eastAsia="en-GB"/>
        </w:rPr>
        <w:t>. وأقام البينة عليه</w:t>
      </w:r>
      <w:r>
        <w:rPr>
          <w:rFonts w:hint="cs"/>
          <w:vertAlign w:val="superscript"/>
          <w:rtl/>
          <w:lang w:eastAsia="en-GB"/>
        </w:rPr>
        <w:t>(</w:t>
      </w:r>
      <w:r>
        <w:rPr>
          <w:rStyle w:val="a7"/>
          <w:rtl/>
        </w:rPr>
        <w:footnoteReference w:id="1116"/>
      </w:r>
      <w:r>
        <w:rPr>
          <w:rFonts w:hint="cs"/>
          <w:vertAlign w:val="superscript"/>
          <w:rtl/>
          <w:lang w:eastAsia="en-GB"/>
        </w:rPr>
        <w:t>)</w:t>
      </w:r>
      <w:r>
        <w:rPr>
          <w:rFonts w:hint="cs"/>
          <w:rtl/>
          <w:lang w:eastAsia="en-GB"/>
        </w:rPr>
        <w:t xml:space="preserve"> : أنه</w:t>
      </w:r>
      <w:r>
        <w:rPr>
          <w:rStyle w:val="a7"/>
          <w:rtl/>
        </w:rPr>
        <w:footnoteReference w:id="1117"/>
      </w:r>
      <w:r>
        <w:rPr>
          <w:rFonts w:hint="cs"/>
          <w:rtl/>
          <w:lang w:eastAsia="en-GB"/>
        </w:rPr>
        <w:t xml:space="preserve"> لا تسمع بيّنتهُ ؛ لأن هذا دعوى الإقرار في طريق</w:t>
      </w:r>
      <w:r>
        <w:rPr>
          <w:rStyle w:val="a7"/>
          <w:rtl/>
        </w:rPr>
        <w:footnoteReference w:id="1118"/>
      </w:r>
      <w:r>
        <w:rPr>
          <w:rFonts w:hint="cs"/>
          <w:rtl/>
          <w:lang w:eastAsia="en-GB"/>
        </w:rPr>
        <w:t xml:space="preserve"> الاستحقاق؛ لأن </w:t>
      </w:r>
      <w:r>
        <w:rPr>
          <w:rFonts w:hint="eastAsia"/>
          <w:rtl/>
          <w:lang w:eastAsia="en-GB"/>
        </w:rPr>
        <w:t>«</w:t>
      </w:r>
      <w:r>
        <w:rPr>
          <w:rFonts w:hint="cs"/>
          <w:rtl/>
          <w:lang w:eastAsia="en-GB"/>
        </w:rPr>
        <w:t>الدّيون تقضى بأمثالها</w:t>
      </w:r>
      <w:r>
        <w:rPr>
          <w:rFonts w:hint="eastAsia"/>
          <w:rtl/>
          <w:lang w:eastAsia="en-GB"/>
        </w:rPr>
        <w:t>»</w:t>
      </w:r>
      <w:r>
        <w:rPr>
          <w:rFonts w:hint="cs"/>
          <w:vertAlign w:val="superscript"/>
          <w:rtl/>
          <w:lang w:eastAsia="en-GB"/>
        </w:rPr>
        <w:t>(</w:t>
      </w:r>
      <w:r>
        <w:rPr>
          <w:rStyle w:val="a7"/>
          <w:rtl/>
        </w:rPr>
        <w:footnoteReference w:id="1119"/>
      </w:r>
      <w:r>
        <w:rPr>
          <w:rFonts w:hint="cs"/>
          <w:vertAlign w:val="superscript"/>
          <w:rtl/>
          <w:lang w:eastAsia="en-GB"/>
        </w:rPr>
        <w:t>)</w:t>
      </w:r>
      <w:r>
        <w:rPr>
          <w:rFonts w:hint="cs"/>
          <w:rtl/>
          <w:lang w:eastAsia="en-GB"/>
        </w:rPr>
        <w:t xml:space="preserve">، فيصير المقبوض </w:t>
      </w:r>
      <w:r>
        <w:rPr>
          <w:rFonts w:hint="cs"/>
          <w:rtl/>
          <w:lang w:eastAsia="en-GB"/>
        </w:rPr>
        <w:lastRenderedPageBreak/>
        <w:t>مضمونًا على القابض، دينًا</w:t>
      </w:r>
      <w:r>
        <w:rPr>
          <w:rStyle w:val="a7"/>
          <w:rtl/>
        </w:rPr>
        <w:footnoteReference w:id="1120"/>
      </w:r>
      <w:r>
        <w:rPr>
          <w:rFonts w:hint="cs"/>
          <w:rtl/>
          <w:lang w:eastAsia="en-GB"/>
        </w:rPr>
        <w:t xml:space="preserve"> للدافع، على ما عُرِف في موضعه. ففي الحاصل هذا دعوى الدين لنفسه، فكانت هذه دعوى الإقرار في طرف الاستحقاق من حيث المعنى</w:t>
      </w:r>
      <w:r>
        <w:rPr>
          <w:rFonts w:hint="eastAsia"/>
          <w:rtl/>
          <w:lang w:eastAsia="en-GB"/>
        </w:rPr>
        <w:t>»</w:t>
      </w:r>
      <w:r>
        <w:rPr>
          <w:rFonts w:hint="cs"/>
          <w:vertAlign w:val="superscript"/>
          <w:rtl/>
          <w:lang w:eastAsia="en-GB"/>
        </w:rPr>
        <w:t>(</w:t>
      </w:r>
      <w:r>
        <w:rPr>
          <w:rStyle w:val="a7"/>
          <w:rtl/>
        </w:rPr>
        <w:footnoteReference w:id="1121"/>
      </w:r>
      <w:r>
        <w:rPr>
          <w:rFonts w:hint="cs"/>
          <w:vertAlign w:val="superscript"/>
          <w:rtl/>
          <w:lang w:eastAsia="en-GB"/>
        </w:rPr>
        <w:t>)</w:t>
      </w:r>
      <w:r>
        <w:rPr>
          <w:rFonts w:hint="cs"/>
          <w:rtl/>
          <w:lang w:eastAsia="en-GB"/>
        </w:rPr>
        <w:t xml:space="preserve"> انتهى به.</w:t>
      </w:r>
    </w:p>
    <w:p w:rsidR="00C10469" w:rsidRDefault="00C10469">
      <w:pPr>
        <w:rPr>
          <w:rtl/>
          <w:lang w:eastAsia="en-GB"/>
        </w:rPr>
      </w:pPr>
      <w:r>
        <w:rPr>
          <w:rFonts w:hint="cs"/>
          <w:rtl/>
          <w:lang w:eastAsia="en-GB"/>
        </w:rPr>
        <w:t>فقلت له : إن</w:t>
      </w:r>
      <w:r>
        <w:rPr>
          <w:rStyle w:val="a7"/>
          <w:rtl/>
        </w:rPr>
        <w:footnoteReference w:id="1122"/>
      </w:r>
      <w:r>
        <w:rPr>
          <w:rFonts w:hint="cs"/>
          <w:rtl/>
          <w:lang w:eastAsia="en-GB"/>
        </w:rPr>
        <w:t xml:space="preserve"> المسألة التي أُسْـتُـفتِيَ عنِّي ليس من هذا الجنس</w:t>
      </w:r>
      <w:r>
        <w:rPr>
          <w:rFonts w:hint="cs"/>
          <w:vertAlign w:val="superscript"/>
          <w:rtl/>
          <w:lang w:eastAsia="en-GB"/>
        </w:rPr>
        <w:t>(</w:t>
      </w:r>
      <w:r>
        <w:rPr>
          <w:rStyle w:val="a7"/>
          <w:rtl/>
        </w:rPr>
        <w:footnoteReference w:id="1123"/>
      </w:r>
      <w:r>
        <w:rPr>
          <w:rFonts w:hint="cs"/>
          <w:vertAlign w:val="superscript"/>
          <w:rtl/>
          <w:lang w:eastAsia="en-GB"/>
        </w:rPr>
        <w:t>)</w:t>
      </w:r>
      <w:r>
        <w:rPr>
          <w:rFonts w:hint="cs"/>
          <w:rtl/>
          <w:lang w:eastAsia="en-GB"/>
        </w:rPr>
        <w:t>، فالاعتراض فيها من قلَّة التدبير</w:t>
      </w:r>
      <w:r>
        <w:rPr>
          <w:rStyle w:val="a7"/>
          <w:rtl/>
        </w:rPr>
        <w:footnoteReference w:id="1124"/>
      </w:r>
      <w:r>
        <w:rPr>
          <w:rFonts w:hint="cs"/>
          <w:rtl/>
          <w:lang w:eastAsia="en-GB"/>
        </w:rPr>
        <w:t xml:space="preserve"> فيما أراد صاحب (المحيط)</w:t>
      </w:r>
      <w:r>
        <w:rPr>
          <w:rFonts w:hint="cs"/>
          <w:vertAlign w:val="superscript"/>
          <w:rtl/>
          <w:lang w:eastAsia="en-GB"/>
        </w:rPr>
        <w:t>(</w:t>
      </w:r>
      <w:r>
        <w:rPr>
          <w:rStyle w:val="a7"/>
          <w:rtl/>
        </w:rPr>
        <w:footnoteReference w:id="1125"/>
      </w:r>
      <w:r>
        <w:rPr>
          <w:rFonts w:hint="cs"/>
          <w:vertAlign w:val="superscript"/>
          <w:rtl/>
          <w:lang w:eastAsia="en-GB"/>
        </w:rPr>
        <w:t>)</w:t>
      </w:r>
      <w:r>
        <w:rPr>
          <w:rFonts w:hint="cs"/>
          <w:rtl/>
          <w:lang w:eastAsia="en-GB"/>
        </w:rPr>
        <w:t>.</w:t>
      </w:r>
    </w:p>
    <w:p w:rsidR="00C10469" w:rsidRDefault="00C10469">
      <w:pPr>
        <w:rPr>
          <w:rtl/>
          <w:lang w:eastAsia="en-GB"/>
        </w:rPr>
      </w:pPr>
      <w:r>
        <w:rPr>
          <w:rFonts w:hint="cs"/>
          <w:rtl/>
          <w:lang w:eastAsia="en-GB"/>
        </w:rPr>
        <w:t>فإن أردت التفصيل في هذا المقام فاستمع ما ألقي إليك من الكلام :</w:t>
      </w:r>
    </w:p>
    <w:p w:rsidR="00C10469" w:rsidRDefault="00C10469">
      <w:pPr>
        <w:rPr>
          <w:rtl/>
          <w:lang w:eastAsia="en-GB"/>
        </w:rPr>
      </w:pPr>
      <w:r>
        <w:rPr>
          <w:rFonts w:hint="cs"/>
          <w:rtl/>
          <w:lang w:eastAsia="en-GB"/>
        </w:rPr>
        <w:t>إن الاطلاع على حقيقة ما قال صاحب (المحيط) موقوف على [مقدِّمتين]</w:t>
      </w:r>
      <w:r>
        <w:rPr>
          <w:rStyle w:val="a7"/>
          <w:rtl/>
        </w:rPr>
        <w:footnoteReference w:id="1126"/>
      </w:r>
      <w:r>
        <w:rPr>
          <w:rFonts w:hint="cs"/>
          <w:rtl/>
          <w:lang w:eastAsia="en-GB"/>
        </w:rPr>
        <w:t>:</w:t>
      </w:r>
    </w:p>
    <w:p w:rsidR="00C10469" w:rsidRDefault="00C10469">
      <w:pPr>
        <w:rPr>
          <w:rtl/>
          <w:lang w:eastAsia="en-GB"/>
        </w:rPr>
      </w:pPr>
      <w:r>
        <w:rPr>
          <w:rFonts w:hint="cs"/>
          <w:b/>
          <w:bCs/>
          <w:rtl/>
          <w:lang w:eastAsia="en-GB"/>
        </w:rPr>
        <w:t>الأولى</w:t>
      </w:r>
      <w:r>
        <w:rPr>
          <w:rFonts w:hint="cs"/>
          <w:rtl/>
          <w:lang w:eastAsia="en-GB"/>
        </w:rPr>
        <w:t xml:space="preserve"> : أن الدائن إذا قبض من المديون مثل ما عليه من الدّين يكون دينًا </w:t>
      </w:r>
      <w:r>
        <w:rPr>
          <w:rFonts w:hint="cs"/>
          <w:rtl/>
          <w:lang w:eastAsia="en-GB"/>
        </w:rPr>
        <w:lastRenderedPageBreak/>
        <w:t>عليه، [فتتحقّق]</w:t>
      </w:r>
      <w:r>
        <w:rPr>
          <w:rStyle w:val="a7"/>
          <w:rtl/>
        </w:rPr>
        <w:footnoteReference w:id="1127"/>
      </w:r>
      <w:r>
        <w:rPr>
          <w:rFonts w:hint="cs"/>
          <w:rtl/>
          <w:lang w:eastAsia="en-GB"/>
        </w:rPr>
        <w:t xml:space="preserve"> المماثلة، [ويصحّ]</w:t>
      </w:r>
      <w:r>
        <w:rPr>
          <w:rStyle w:val="a7"/>
          <w:rtl/>
        </w:rPr>
        <w:footnoteReference w:id="1128"/>
      </w:r>
      <w:r>
        <w:rPr>
          <w:rFonts w:hint="cs"/>
          <w:rtl/>
          <w:lang w:eastAsia="en-GB"/>
        </w:rPr>
        <w:t xml:space="preserve"> التَّقاصُّ.</w:t>
      </w:r>
    </w:p>
    <w:p w:rsidR="00C10469" w:rsidRDefault="00C10469">
      <w:pPr>
        <w:rPr>
          <w:rtl/>
          <w:lang w:eastAsia="en-GB"/>
        </w:rPr>
      </w:pPr>
      <w:r>
        <w:rPr>
          <w:rFonts w:hint="cs"/>
          <w:rtl/>
          <w:lang w:eastAsia="en-GB"/>
        </w:rPr>
        <w:t xml:space="preserve">هذا مراد القوم من قولهم : إن </w:t>
      </w:r>
      <w:r>
        <w:rPr>
          <w:rFonts w:hint="eastAsia"/>
          <w:rtl/>
          <w:lang w:eastAsia="en-GB"/>
        </w:rPr>
        <w:t>«</w:t>
      </w:r>
      <w:r>
        <w:rPr>
          <w:rFonts w:hint="cs"/>
          <w:rtl/>
          <w:lang w:eastAsia="en-GB"/>
        </w:rPr>
        <w:t>الديون تقضى بأمثالها</w:t>
      </w:r>
      <w:r>
        <w:rPr>
          <w:rFonts w:hint="eastAsia"/>
          <w:rtl/>
          <w:lang w:eastAsia="en-GB"/>
        </w:rPr>
        <w:t>»</w:t>
      </w:r>
      <w:r>
        <w:rPr>
          <w:rFonts w:hint="cs"/>
          <w:vertAlign w:val="superscript"/>
          <w:rtl/>
          <w:lang w:eastAsia="en-GB"/>
        </w:rPr>
        <w:t>(</w:t>
      </w:r>
      <w:r>
        <w:rPr>
          <w:rStyle w:val="a7"/>
          <w:rtl/>
        </w:rPr>
        <w:footnoteReference w:id="1129"/>
      </w:r>
      <w:r>
        <w:rPr>
          <w:rFonts w:hint="cs"/>
          <w:vertAlign w:val="superscript"/>
          <w:rtl/>
          <w:lang w:eastAsia="en-GB"/>
        </w:rPr>
        <w:t>)</w:t>
      </w:r>
      <w:r>
        <w:rPr>
          <w:rFonts w:hint="cs"/>
          <w:rtl/>
          <w:lang w:eastAsia="en-GB"/>
        </w:rPr>
        <w:t xml:space="preserve">، وإليه أشار صاحب (المحيط) بقوله </w:t>
      </w:r>
      <w:r>
        <w:rPr>
          <w:rtl/>
          <w:lang w:eastAsia="en-GB"/>
        </w:rPr>
        <w:t xml:space="preserve">: </w:t>
      </w:r>
      <w:r>
        <w:rPr>
          <w:rFonts w:hint="eastAsia"/>
          <w:rtl/>
          <w:lang w:eastAsia="en-GB"/>
        </w:rPr>
        <w:t>«</w:t>
      </w:r>
      <w:r>
        <w:rPr>
          <w:rFonts w:hint="cs"/>
          <w:rtl/>
          <w:lang w:eastAsia="en-GB"/>
        </w:rPr>
        <w:t>فيصير المقبوض مضمونًا على القابض دينًا للدافع</w:t>
      </w:r>
      <w:r>
        <w:rPr>
          <w:rFonts w:hint="eastAsia"/>
          <w:rtl/>
          <w:lang w:eastAsia="en-GB"/>
        </w:rPr>
        <w:t>»</w:t>
      </w:r>
      <w:r>
        <w:rPr>
          <w:rFonts w:hint="cs"/>
          <w:rtl/>
          <w:lang w:eastAsia="en-GB"/>
        </w:rPr>
        <w:t xml:space="preserve"> : يعنى ما قبض الدّائن من المديون يكون دينًا عليه للمديون</w:t>
      </w:r>
      <w:r>
        <w:rPr>
          <w:rStyle w:val="a7"/>
          <w:rtl/>
        </w:rPr>
        <w:footnoteReference w:id="1130"/>
      </w:r>
      <w:r>
        <w:rPr>
          <w:rFonts w:hint="cs"/>
          <w:rtl/>
          <w:lang w:eastAsia="en-GB"/>
        </w:rPr>
        <w:t xml:space="preserve"> [فتتحقّق]</w:t>
      </w:r>
      <w:r>
        <w:rPr>
          <w:rStyle w:val="a7"/>
          <w:rtl/>
        </w:rPr>
        <w:footnoteReference w:id="1131"/>
      </w:r>
      <w:r>
        <w:rPr>
          <w:rFonts w:hint="cs"/>
          <w:rtl/>
          <w:lang w:eastAsia="en-GB"/>
        </w:rPr>
        <w:t xml:space="preserve"> المماثلة</w:t>
      </w:r>
      <w:r>
        <w:rPr>
          <w:rtl/>
          <w:lang w:eastAsia="en-GB"/>
        </w:rPr>
        <w:t>،</w:t>
      </w:r>
      <w:r>
        <w:rPr>
          <w:rFonts w:hint="cs"/>
          <w:rtl/>
          <w:lang w:eastAsia="en-GB"/>
        </w:rPr>
        <w:t xml:space="preserve"> ويصحّ التَّقاصُّ.</w:t>
      </w:r>
    </w:p>
    <w:p w:rsidR="00C10469" w:rsidRDefault="00C10469">
      <w:pPr>
        <w:rPr>
          <w:spacing w:val="-4"/>
          <w:rtl/>
          <w:lang w:eastAsia="en-GB"/>
        </w:rPr>
      </w:pPr>
      <w:r>
        <w:rPr>
          <w:rFonts w:hint="cs"/>
          <w:b/>
          <w:bCs/>
          <w:spacing w:val="-4"/>
          <w:rtl/>
          <w:lang w:eastAsia="en-GB"/>
        </w:rPr>
        <w:t xml:space="preserve">الثانية </w:t>
      </w:r>
      <w:r>
        <w:rPr>
          <w:rFonts w:hint="cs"/>
          <w:spacing w:val="-4"/>
          <w:rtl/>
          <w:lang w:eastAsia="en-GB"/>
        </w:rPr>
        <w:t>: أن رجلاً</w:t>
      </w:r>
      <w:r>
        <w:rPr>
          <w:rStyle w:val="a7"/>
          <w:spacing w:val="-4"/>
          <w:rtl/>
        </w:rPr>
        <w:footnoteReference w:id="1132"/>
      </w:r>
      <w:r>
        <w:rPr>
          <w:rFonts w:hint="cs"/>
          <w:spacing w:val="-4"/>
          <w:rtl/>
          <w:lang w:eastAsia="en-GB"/>
        </w:rPr>
        <w:t xml:space="preserve"> إذا </w:t>
      </w:r>
      <w:r>
        <w:rPr>
          <w:rFonts w:hint="eastAsia"/>
          <w:spacing w:val="-4"/>
          <w:rtl/>
          <w:lang w:eastAsia="en-GB"/>
        </w:rPr>
        <w:t>«</w:t>
      </w:r>
      <w:r>
        <w:rPr>
          <w:rFonts w:hint="cs"/>
          <w:spacing w:val="-4"/>
          <w:rtl/>
          <w:lang w:eastAsia="en-GB"/>
        </w:rPr>
        <w:t>ادّعى الإقرار ابتداءً؛ بأن يقول</w:t>
      </w:r>
      <w:r>
        <w:rPr>
          <w:rStyle w:val="a7"/>
          <w:spacing w:val="-4"/>
          <w:rtl/>
        </w:rPr>
        <w:footnoteReference w:id="1133"/>
      </w:r>
      <w:r>
        <w:rPr>
          <w:rFonts w:hint="cs"/>
          <w:spacing w:val="-4"/>
          <w:rtl/>
          <w:lang w:eastAsia="en-GB"/>
        </w:rPr>
        <w:t xml:space="preserve"> : إنك أقررت لي بكذا فادفعه إليّ. أو جَعَلَ الإقرار سببًا، بأن يقول : إن لي عليك كذا</w:t>
      </w:r>
      <w:r>
        <w:rPr>
          <w:rStyle w:val="a7"/>
          <w:spacing w:val="-4"/>
          <w:rtl/>
        </w:rPr>
        <w:footnoteReference w:id="1134"/>
      </w:r>
      <w:r>
        <w:rPr>
          <w:rFonts w:hint="cs"/>
          <w:spacing w:val="-4"/>
          <w:rtl/>
          <w:lang w:eastAsia="en-GB"/>
        </w:rPr>
        <w:t xml:space="preserve">؛ لأنك أقررت لي </w:t>
      </w:r>
      <w:r>
        <w:rPr>
          <w:rFonts w:hint="cs"/>
          <w:spacing w:val="-4"/>
          <w:rtl/>
          <w:lang w:eastAsia="en-GB"/>
        </w:rPr>
        <w:lastRenderedPageBreak/>
        <w:t>به: لم تسمع عند</w:t>
      </w:r>
      <w:r>
        <w:rPr>
          <w:rStyle w:val="a7"/>
          <w:spacing w:val="-4"/>
          <w:rtl/>
        </w:rPr>
        <w:footnoteReference w:id="1135"/>
      </w:r>
      <w:r>
        <w:rPr>
          <w:rFonts w:hint="cs"/>
          <w:spacing w:val="-4"/>
          <w:rtl/>
          <w:lang w:eastAsia="en-GB"/>
        </w:rPr>
        <w:t xml:space="preserve"> عامَّة المشايخ</w:t>
      </w:r>
      <w:r>
        <w:rPr>
          <w:rFonts w:hint="cs"/>
          <w:spacing w:val="-4"/>
          <w:vertAlign w:val="superscript"/>
          <w:rtl/>
          <w:lang w:eastAsia="en-GB"/>
        </w:rPr>
        <w:t>(</w:t>
      </w:r>
      <w:r>
        <w:rPr>
          <w:rStyle w:val="a7"/>
          <w:spacing w:val="-4"/>
          <w:rtl/>
        </w:rPr>
        <w:footnoteReference w:id="1136"/>
      </w:r>
      <w:r>
        <w:rPr>
          <w:rFonts w:hint="cs"/>
          <w:spacing w:val="-4"/>
          <w:vertAlign w:val="superscript"/>
          <w:rtl/>
          <w:lang w:eastAsia="en-GB"/>
        </w:rPr>
        <w:t>)</w:t>
      </w:r>
      <w:r>
        <w:rPr>
          <w:rFonts w:hint="cs"/>
          <w:spacing w:val="-4"/>
          <w:rtl/>
          <w:lang w:eastAsia="en-GB"/>
        </w:rPr>
        <w:t>؛ لأنّ نفس الإقرار ليس ناقلاً للملك</w:t>
      </w:r>
      <w:r>
        <w:rPr>
          <w:rFonts w:hint="eastAsia"/>
          <w:spacing w:val="-4"/>
          <w:rtl/>
          <w:lang w:eastAsia="en-GB"/>
        </w:rPr>
        <w:t>»</w:t>
      </w:r>
      <w:r>
        <w:rPr>
          <w:rFonts w:hint="cs"/>
          <w:spacing w:val="-4"/>
          <w:vertAlign w:val="superscript"/>
          <w:rtl/>
          <w:lang w:eastAsia="en-GB"/>
        </w:rPr>
        <w:t>(</w:t>
      </w:r>
      <w:r>
        <w:rPr>
          <w:rStyle w:val="a7"/>
          <w:spacing w:val="-4"/>
          <w:rtl/>
        </w:rPr>
        <w:footnoteReference w:id="1137"/>
      </w:r>
      <w:r>
        <w:rPr>
          <w:rFonts w:hint="cs"/>
          <w:spacing w:val="-4"/>
          <w:vertAlign w:val="superscript"/>
          <w:rtl/>
          <w:lang w:eastAsia="en-GB"/>
        </w:rPr>
        <w:t>)</w:t>
      </w:r>
      <w:r>
        <w:rPr>
          <w:rFonts w:hint="cs"/>
          <w:spacing w:val="-4"/>
          <w:rtl/>
          <w:lang w:eastAsia="en-GB"/>
        </w:rPr>
        <w:t xml:space="preserve">، </w:t>
      </w:r>
      <w:r>
        <w:rPr>
          <w:rFonts w:hint="eastAsia"/>
          <w:spacing w:val="-4"/>
          <w:rtl/>
          <w:lang w:eastAsia="en-GB"/>
        </w:rPr>
        <w:t>«</w:t>
      </w:r>
      <w:r>
        <w:rPr>
          <w:rFonts w:hint="cs"/>
          <w:spacing w:val="-4"/>
          <w:rtl/>
          <w:lang w:eastAsia="en-GB"/>
        </w:rPr>
        <w:t>وأجمعوا على أنه لو قال المدّعي : لي عليه كذا. وهكذا أقرّبه هذا المدعى عليه : [تصّح]</w:t>
      </w:r>
      <w:r>
        <w:rPr>
          <w:rStyle w:val="a7"/>
          <w:spacing w:val="-4"/>
          <w:rtl/>
        </w:rPr>
        <w:footnoteReference w:id="1138"/>
      </w:r>
      <w:r>
        <w:rPr>
          <w:rFonts w:hint="cs"/>
          <w:spacing w:val="-4"/>
          <w:rtl/>
          <w:lang w:eastAsia="en-GB"/>
        </w:rPr>
        <w:t xml:space="preserve"> الدّعوى وتسمع البينة على إقراره</w:t>
      </w:r>
      <w:r>
        <w:rPr>
          <w:rFonts w:hint="eastAsia"/>
          <w:spacing w:val="-4"/>
          <w:rtl/>
          <w:lang w:eastAsia="en-GB"/>
        </w:rPr>
        <w:t>»</w:t>
      </w:r>
      <w:r>
        <w:rPr>
          <w:rFonts w:hint="cs"/>
          <w:spacing w:val="-4"/>
          <w:vertAlign w:val="superscript"/>
          <w:rtl/>
          <w:lang w:eastAsia="en-GB"/>
        </w:rPr>
        <w:t>(</w:t>
      </w:r>
      <w:r>
        <w:rPr>
          <w:rStyle w:val="a7"/>
          <w:spacing w:val="-4"/>
          <w:rtl/>
        </w:rPr>
        <w:footnoteReference w:id="1139"/>
      </w:r>
      <w:r>
        <w:rPr>
          <w:rFonts w:hint="cs"/>
          <w:spacing w:val="-4"/>
          <w:vertAlign w:val="superscript"/>
          <w:rtl/>
          <w:lang w:eastAsia="en-GB"/>
        </w:rPr>
        <w:t>)</w:t>
      </w:r>
      <w:r>
        <w:rPr>
          <w:rFonts w:hint="cs"/>
          <w:spacing w:val="-4"/>
          <w:rtl/>
          <w:lang w:eastAsia="en-GB"/>
        </w:rPr>
        <w:t xml:space="preserve"> ذكره صاحب (الدّرر) في أوائل كتاب (الإقرار)</w:t>
      </w:r>
      <w:r>
        <w:rPr>
          <w:rFonts w:hint="cs"/>
          <w:spacing w:val="-4"/>
          <w:vertAlign w:val="superscript"/>
          <w:rtl/>
          <w:lang w:eastAsia="en-GB"/>
        </w:rPr>
        <w:t>(</w:t>
      </w:r>
      <w:r>
        <w:rPr>
          <w:rStyle w:val="a7"/>
          <w:spacing w:val="-4"/>
          <w:rtl/>
        </w:rPr>
        <w:footnoteReference w:id="1140"/>
      </w:r>
      <w:r>
        <w:rPr>
          <w:rFonts w:hint="cs"/>
          <w:spacing w:val="-4"/>
          <w:vertAlign w:val="superscript"/>
          <w:rtl/>
          <w:lang w:eastAsia="en-GB"/>
        </w:rPr>
        <w:t>)</w:t>
      </w:r>
      <w:r>
        <w:rPr>
          <w:rFonts w:hint="cs"/>
          <w:spacing w:val="-4"/>
          <w:rtl/>
          <w:lang w:eastAsia="en-GB"/>
        </w:rPr>
        <w:t>.</w:t>
      </w:r>
    </w:p>
    <w:p w:rsidR="00C10469" w:rsidRDefault="00C10469">
      <w:pPr>
        <w:rPr>
          <w:rtl/>
          <w:lang w:eastAsia="en-GB"/>
        </w:rPr>
      </w:pPr>
      <w:r>
        <w:rPr>
          <w:rFonts w:hint="cs"/>
          <w:rtl/>
          <w:lang w:eastAsia="en-GB"/>
        </w:rPr>
        <w:lastRenderedPageBreak/>
        <w:t>إذا عرفت هذا</w:t>
      </w:r>
      <w:r>
        <w:rPr>
          <w:rStyle w:val="a7"/>
          <w:rtl/>
        </w:rPr>
        <w:footnoteReference w:id="1141"/>
      </w:r>
      <w:r>
        <w:rPr>
          <w:rFonts w:hint="cs"/>
          <w:rtl/>
          <w:lang w:eastAsia="en-GB"/>
        </w:rPr>
        <w:t xml:space="preserve"> : إذا قال المدّع</w:t>
      </w:r>
      <w:r>
        <w:rPr>
          <w:rtl/>
          <w:lang w:eastAsia="en-GB"/>
        </w:rPr>
        <w:t>ى</w:t>
      </w:r>
      <w:r>
        <w:rPr>
          <w:rFonts w:hint="cs"/>
          <w:rtl/>
          <w:lang w:eastAsia="en-GB"/>
        </w:rPr>
        <w:t xml:space="preserve"> عليه : المدّعي أقرّ باستيفاء هذا المال. فكأنه قال : إن المدعي أقرّ لي بهذا المال فـثبت عليه بسبب إقراره، فصح تقاصُّ</w:t>
      </w:r>
      <w:r>
        <w:rPr>
          <w:rStyle w:val="a7"/>
          <w:rtl/>
        </w:rPr>
        <w:footnoteReference w:id="1142"/>
      </w:r>
      <w:r>
        <w:rPr>
          <w:rFonts w:hint="cs"/>
          <w:rtl/>
          <w:lang w:eastAsia="en-GB"/>
        </w:rPr>
        <w:t xml:space="preserve"> الدّين بالدين</w:t>
      </w:r>
      <w:r>
        <w:rPr>
          <w:rStyle w:val="a7"/>
          <w:rtl/>
        </w:rPr>
        <w:footnoteReference w:id="1143"/>
      </w:r>
      <w:r>
        <w:rPr>
          <w:rFonts w:hint="cs"/>
          <w:rtl/>
          <w:lang w:eastAsia="en-GB"/>
        </w:rPr>
        <w:t xml:space="preserve">، فاستقام معنى </w:t>
      </w:r>
      <w:r>
        <w:rPr>
          <w:rFonts w:hint="eastAsia"/>
          <w:rtl/>
          <w:lang w:eastAsia="en-GB"/>
        </w:rPr>
        <w:t>«</w:t>
      </w:r>
      <w:r>
        <w:rPr>
          <w:rFonts w:hint="cs"/>
          <w:rtl/>
          <w:lang w:eastAsia="en-GB"/>
        </w:rPr>
        <w:t>الديون تقضي بأمثالها</w:t>
      </w:r>
      <w:r>
        <w:rPr>
          <w:rFonts w:hint="eastAsia"/>
          <w:rtl/>
          <w:lang w:eastAsia="en-GB"/>
        </w:rPr>
        <w:t>»</w:t>
      </w:r>
      <w:r>
        <w:rPr>
          <w:rFonts w:hint="cs"/>
          <w:rtl/>
          <w:lang w:eastAsia="en-GB"/>
        </w:rPr>
        <w:t xml:space="preserve"> كما حققناه</w:t>
      </w:r>
      <w:r>
        <w:rPr>
          <w:rStyle w:val="a7"/>
          <w:rtl/>
        </w:rPr>
        <w:footnoteReference w:id="1144"/>
      </w:r>
      <w:r>
        <w:rPr>
          <w:rFonts w:hint="cs"/>
          <w:rtl/>
          <w:lang w:eastAsia="en-GB"/>
        </w:rPr>
        <w:t xml:space="preserve"> آنفًا</w:t>
      </w:r>
      <w:r>
        <w:rPr>
          <w:rFonts w:hint="cs"/>
          <w:vertAlign w:val="superscript"/>
          <w:rtl/>
          <w:lang w:eastAsia="en-GB"/>
        </w:rPr>
        <w:t>(</w:t>
      </w:r>
      <w:r>
        <w:rPr>
          <w:rStyle w:val="a7"/>
          <w:rtl/>
        </w:rPr>
        <w:footnoteReference w:id="1145"/>
      </w:r>
      <w:r>
        <w:rPr>
          <w:rFonts w:hint="cs"/>
          <w:vertAlign w:val="superscript"/>
          <w:rtl/>
          <w:lang w:eastAsia="en-GB"/>
        </w:rPr>
        <w:t>)</w:t>
      </w:r>
      <w:r>
        <w:rPr>
          <w:rFonts w:hint="cs"/>
          <w:rtl/>
          <w:lang w:eastAsia="en-GB"/>
        </w:rPr>
        <w:t>.</w:t>
      </w:r>
    </w:p>
    <w:p w:rsidR="00C10469" w:rsidRDefault="00C10469">
      <w:pPr>
        <w:rPr>
          <w:rtl/>
          <w:lang w:eastAsia="en-GB"/>
        </w:rPr>
      </w:pPr>
      <w:r>
        <w:rPr>
          <w:rFonts w:hint="cs"/>
          <w:rtl/>
          <w:lang w:eastAsia="en-GB"/>
        </w:rPr>
        <w:t>فهذا صريح في كونه دعوى الإقرار في طرف الاستحقاق من حيث المعنى، فلا يصح</w:t>
      </w:r>
      <w:r>
        <w:rPr>
          <w:rStyle w:val="a7"/>
          <w:b/>
          <w:rtl/>
        </w:rPr>
        <w:footnoteReference w:id="1146"/>
      </w:r>
      <w:r>
        <w:rPr>
          <w:rFonts w:hint="cs"/>
          <w:rtl/>
          <w:lang w:eastAsia="en-GB"/>
        </w:rPr>
        <w:t xml:space="preserve"> دعواه ، ولا تسمع بينته.</w:t>
      </w:r>
    </w:p>
    <w:p w:rsidR="00C10469" w:rsidRDefault="00C10469">
      <w:pPr>
        <w:rPr>
          <w:rtl/>
          <w:lang w:eastAsia="en-GB"/>
        </w:rPr>
      </w:pPr>
      <w:r>
        <w:rPr>
          <w:rFonts w:hint="cs"/>
          <w:rtl/>
          <w:lang w:eastAsia="en-GB"/>
        </w:rPr>
        <w:t>وأما</w:t>
      </w:r>
      <w:r>
        <w:rPr>
          <w:rStyle w:val="a7"/>
          <w:rtl/>
        </w:rPr>
        <w:footnoteReference w:id="1147"/>
      </w:r>
      <w:r>
        <w:rPr>
          <w:rFonts w:hint="cs"/>
          <w:rtl/>
          <w:lang w:eastAsia="en-GB"/>
        </w:rPr>
        <w:t xml:space="preserve"> إذا ادعى الدائن المال</w:t>
      </w:r>
      <w:r>
        <w:rPr>
          <w:rStyle w:val="a7"/>
          <w:rtl/>
        </w:rPr>
        <w:footnoteReference w:id="1148"/>
      </w:r>
      <w:r>
        <w:rPr>
          <w:rFonts w:hint="cs"/>
          <w:rtl/>
          <w:lang w:eastAsia="en-GB"/>
        </w:rPr>
        <w:t xml:space="preserve"> من المديون، فقال المديون على </w:t>
      </w:r>
      <w:r>
        <w:rPr>
          <w:rtl/>
          <w:lang w:eastAsia="en-GB"/>
        </w:rPr>
        <w:t>-</w:t>
      </w:r>
      <w:r>
        <w:rPr>
          <w:rFonts w:hint="cs"/>
          <w:rtl/>
          <w:lang w:eastAsia="en-GB"/>
        </w:rPr>
        <w:t>طريق الدفع-: إنك استوفيت المال منّي. فأنكر الدّائن الاستيفاء، وأقام المديون البيّنة على إقراره بالاستيفاء : فلا شبهة في جواز استماعها؛ لأنّه ادعى ابتداءً استيفاء الدّائن الدّينَ، ثم أقام البيّنة على إقراره</w:t>
      </w:r>
      <w:r>
        <w:rPr>
          <w:rtl/>
          <w:lang w:eastAsia="en-GB"/>
        </w:rPr>
        <w:t>،</w:t>
      </w:r>
      <w:r>
        <w:rPr>
          <w:rFonts w:hint="cs"/>
          <w:rtl/>
          <w:lang w:eastAsia="en-GB"/>
        </w:rPr>
        <w:t xml:space="preserve"> وهذا ليس دعوى الإقرار</w:t>
      </w:r>
      <w:r>
        <w:rPr>
          <w:rStyle w:val="a7"/>
          <w:rtl/>
        </w:rPr>
        <w:footnoteReference w:id="1149"/>
      </w:r>
      <w:r>
        <w:rPr>
          <w:rFonts w:hint="cs"/>
          <w:rtl/>
          <w:lang w:eastAsia="en-GB"/>
        </w:rPr>
        <w:t xml:space="preserve"> ابتداء، وأنه لم يجعل الإقرار سببًا للاستحقاق، فيصح</w:t>
      </w:r>
      <w:r>
        <w:rPr>
          <w:rFonts w:hint="cs"/>
          <w:vertAlign w:val="superscript"/>
          <w:rtl/>
          <w:lang w:eastAsia="en-GB"/>
        </w:rPr>
        <w:t>(</w:t>
      </w:r>
      <w:r>
        <w:rPr>
          <w:rStyle w:val="a7"/>
          <w:rtl/>
        </w:rPr>
        <w:footnoteReference w:id="1150"/>
      </w:r>
      <w:r>
        <w:rPr>
          <w:rFonts w:hint="cs"/>
          <w:vertAlign w:val="superscript"/>
          <w:rtl/>
          <w:lang w:eastAsia="en-GB"/>
        </w:rPr>
        <w:t>)</w:t>
      </w:r>
      <w:r>
        <w:rPr>
          <w:rFonts w:hint="cs"/>
          <w:rtl/>
          <w:lang w:eastAsia="en-GB"/>
        </w:rPr>
        <w:t xml:space="preserve"> دعواه و [تسمع]</w:t>
      </w:r>
      <w:r>
        <w:rPr>
          <w:rStyle w:val="a7"/>
          <w:rtl/>
        </w:rPr>
        <w:footnoteReference w:id="1151"/>
      </w:r>
      <w:r>
        <w:rPr>
          <w:rFonts w:hint="cs"/>
          <w:rtl/>
          <w:lang w:eastAsia="en-GB"/>
        </w:rPr>
        <w:t xml:space="preserve"> بيّنته.</w:t>
      </w:r>
    </w:p>
    <w:p w:rsidR="00C10469" w:rsidRDefault="00C10469">
      <w:pPr>
        <w:rPr>
          <w:spacing w:val="-2"/>
          <w:rtl/>
          <w:lang w:eastAsia="en-GB"/>
        </w:rPr>
      </w:pPr>
      <w:r>
        <w:rPr>
          <w:rFonts w:hint="cs"/>
          <w:spacing w:val="-2"/>
          <w:rtl/>
          <w:lang w:eastAsia="en-GB"/>
        </w:rPr>
        <w:t>هكذا وجب التفصيل في هذا المقام كيلا يتوهَّمُ خلافُ المقصود والمرام</w:t>
      </w:r>
      <w:r>
        <w:rPr>
          <w:rStyle w:val="a7"/>
          <w:spacing w:val="-2"/>
          <w:rtl/>
        </w:rPr>
        <w:footnoteReference w:id="1152"/>
      </w:r>
      <w:r>
        <w:rPr>
          <w:rFonts w:hint="cs"/>
          <w:spacing w:val="-2"/>
          <w:rtl/>
          <w:lang w:eastAsia="en-GB"/>
        </w:rPr>
        <w:t xml:space="preserve">، فيؤدِّي </w:t>
      </w:r>
      <w:r>
        <w:rPr>
          <w:rFonts w:hint="cs"/>
          <w:spacing w:val="-2"/>
          <w:rtl/>
          <w:lang w:eastAsia="en-GB"/>
        </w:rPr>
        <w:lastRenderedPageBreak/>
        <w:t>إلى تضييع حقوق</w:t>
      </w:r>
      <w:r>
        <w:rPr>
          <w:rStyle w:val="a7"/>
          <w:spacing w:val="-2"/>
          <w:rtl/>
        </w:rPr>
        <w:footnoteReference w:id="1153"/>
      </w:r>
      <w:r>
        <w:rPr>
          <w:rFonts w:hint="cs"/>
          <w:spacing w:val="-2"/>
          <w:rtl/>
          <w:lang w:eastAsia="en-GB"/>
        </w:rPr>
        <w:t xml:space="preserve"> الأنام</w:t>
      </w:r>
      <w:r>
        <w:rPr>
          <w:rStyle w:val="a7"/>
          <w:spacing w:val="-2"/>
          <w:rtl/>
        </w:rPr>
        <w:footnoteReference w:id="1154"/>
      </w:r>
      <w:r>
        <w:rPr>
          <w:rFonts w:hint="cs"/>
          <w:spacing w:val="-2"/>
          <w:rtl/>
          <w:lang w:eastAsia="en-GB"/>
        </w:rPr>
        <w:t>، والحمد لله ذي الإنعام، والصلاة [على]</w:t>
      </w:r>
      <w:r>
        <w:rPr>
          <w:rStyle w:val="a7"/>
          <w:spacing w:val="-2"/>
          <w:rtl/>
        </w:rPr>
        <w:footnoteReference w:id="1155"/>
      </w:r>
      <w:r>
        <w:rPr>
          <w:rFonts w:hint="cs"/>
          <w:spacing w:val="-2"/>
          <w:rtl/>
          <w:lang w:eastAsia="en-GB"/>
        </w:rPr>
        <w:t xml:space="preserve"> سيد الأنام.</w:t>
      </w:r>
    </w:p>
    <w:p w:rsidR="00C10469" w:rsidRDefault="00C10469">
      <w:pPr>
        <w:rPr>
          <w:spacing w:val="-2"/>
          <w:rtl/>
          <w:lang w:eastAsia="en-GB"/>
        </w:rPr>
      </w:pPr>
    </w:p>
    <w:p w:rsidR="00C10469" w:rsidRDefault="00C10469">
      <w:pPr>
        <w:rPr>
          <w:spacing w:val="-2"/>
          <w:rtl/>
          <w:lang w:eastAsia="en-GB"/>
        </w:rPr>
      </w:pPr>
    </w:p>
    <w:p w:rsidR="00C10469" w:rsidRDefault="00C10469">
      <w:pPr>
        <w:rPr>
          <w:spacing w:val="-2"/>
          <w:rtl/>
          <w:lang w:eastAsia="en-GB"/>
        </w:rPr>
      </w:pPr>
    </w:p>
    <w:p w:rsidR="00C10469" w:rsidRDefault="00C10469">
      <w:pPr>
        <w:jc w:val="center"/>
        <w:rPr>
          <w:rFonts w:ascii="AGA Arabesque" w:hAnsi="AGA Arabesque"/>
          <w:sz w:val="50"/>
          <w:szCs w:val="50"/>
        </w:rPr>
        <w:sectPr w:rsidR="00C10469" w:rsidSect="00C10469">
          <w:headerReference w:type="default" r:id="rId99"/>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9F5D3A" w:rsidRDefault="00C10469">
      <w:pPr>
        <w:pStyle w:val="a9"/>
        <w:rPr>
          <w:rFonts w:cs="AL-Mateen"/>
          <w:rtl/>
          <w:lang w:eastAsia="en-GB"/>
        </w:rPr>
      </w:pPr>
      <w:r w:rsidRPr="009F5D3A">
        <w:rPr>
          <w:rFonts w:cs="AL-Mateen" w:hint="cs"/>
          <w:rtl/>
          <w:lang w:eastAsia="en-GB"/>
        </w:rPr>
        <w:lastRenderedPageBreak/>
        <w:t>[ القـاعـدة الثـالثـة والأربـعـون ]</w:t>
      </w:r>
    </w:p>
    <w:p w:rsidR="00C10469" w:rsidRDefault="00C10469">
      <w:pPr>
        <w:rPr>
          <w:b/>
          <w:bCs/>
          <w:rtl/>
          <w:lang w:eastAsia="en-GB"/>
        </w:rPr>
      </w:pPr>
      <w:r>
        <w:rPr>
          <w:rFonts w:cs="Monotype Koufi" w:hint="cs"/>
          <w:rtl/>
        </w:rPr>
        <w:t>الإِقْرَارُ لِشَيءٍ لاَ يَبْطُلُ بِالإِنْكَارِ اللاَّحِقِ</w:t>
      </w:r>
      <w:r>
        <w:rPr>
          <w:rFonts w:hint="cs"/>
          <w:vertAlign w:val="superscript"/>
          <w:rtl/>
          <w:lang w:eastAsia="en-GB"/>
        </w:rPr>
        <w:t>(</w:t>
      </w:r>
      <w:r>
        <w:rPr>
          <w:rStyle w:val="a7"/>
          <w:rtl/>
        </w:rPr>
        <w:footnoteReference w:id="1156"/>
      </w:r>
      <w:r>
        <w:rPr>
          <w:rFonts w:hint="cs"/>
          <w:vertAlign w:val="superscript"/>
          <w:rtl/>
          <w:lang w:eastAsia="en-GB"/>
        </w:rPr>
        <w:t>)</w:t>
      </w:r>
      <w:r>
        <w:rPr>
          <w:rFonts w:hint="cs"/>
          <w:b/>
          <w:bCs/>
          <w:rtl/>
          <w:lang w:eastAsia="en-GB"/>
        </w:rPr>
        <w:t xml:space="preserve"> :</w:t>
      </w:r>
    </w:p>
    <w:p w:rsidR="00C10469" w:rsidRDefault="00C10469" w:rsidP="00C10469">
      <w:pPr>
        <w:rPr>
          <w:rtl/>
          <w:lang w:eastAsia="en-GB"/>
        </w:rPr>
        <w:sectPr w:rsidR="00C10469" w:rsidSect="00C10469">
          <w:headerReference w:type="default" r:id="rId100"/>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rtl/>
          <w:lang w:eastAsia="en-GB"/>
        </w:rPr>
        <w:t>ولذا</w:t>
      </w:r>
      <w:r>
        <w:rPr>
          <w:rFonts w:hint="cs"/>
          <w:rtl/>
          <w:lang w:eastAsia="en-GB"/>
        </w:rPr>
        <w:t xml:space="preserve"> : </w:t>
      </w:r>
      <w:r>
        <w:rPr>
          <w:rFonts w:hint="eastAsia"/>
          <w:rtl/>
          <w:lang w:eastAsia="en-GB"/>
        </w:rPr>
        <w:t>«</w:t>
      </w:r>
      <w:r>
        <w:rPr>
          <w:rFonts w:hint="cs"/>
          <w:rtl/>
        </w:rPr>
        <w:t>رجل</w:t>
      </w:r>
      <w:r>
        <w:rPr>
          <w:rtl/>
        </w:rPr>
        <w:t>ٌ</w:t>
      </w:r>
      <w:r>
        <w:rPr>
          <w:rFonts w:hint="cs"/>
          <w:rtl/>
        </w:rPr>
        <w:t xml:space="preserve"> قال</w:t>
      </w:r>
      <w:r>
        <w:rPr>
          <w:rFonts w:hint="cs"/>
          <w:rtl/>
          <w:lang w:eastAsia="en-GB"/>
        </w:rPr>
        <w:t xml:space="preserve"> لآخر : بعني</w:t>
      </w:r>
      <w:r>
        <w:rPr>
          <w:rStyle w:val="a7"/>
          <w:rtl/>
        </w:rPr>
        <w:footnoteReference w:id="1157"/>
      </w:r>
      <w:r>
        <w:rPr>
          <w:rFonts w:hint="cs"/>
          <w:rtl/>
          <w:lang w:eastAsia="en-GB"/>
        </w:rPr>
        <w:t xml:space="preserve"> هذا العبد لفلان (يعني لأجله) فباعه</w:t>
      </w:r>
      <w:r>
        <w:rPr>
          <w:rStyle w:val="a7"/>
          <w:rtl/>
        </w:rPr>
        <w:footnoteReference w:id="1158"/>
      </w:r>
      <w:r>
        <w:rPr>
          <w:rFonts w:hint="cs"/>
          <w:rtl/>
          <w:lang w:eastAsia="en-GB"/>
        </w:rPr>
        <w:t xml:space="preserve"> منه، فلمّا طلبه منه فلان أبى أن يكون أمَرَه بذلك : فَلِفُلانٍ ولايةُ أَخْذِهِ؛ لأن قوله  السابق: (لفلان) إقرار منه بالوكالة عنه، ولا </w:t>
      </w:r>
      <w:r>
        <w:rPr>
          <w:rtl/>
          <w:lang w:eastAsia="en-GB"/>
        </w:rPr>
        <w:t>يَ</w:t>
      </w:r>
      <w:r>
        <w:rPr>
          <w:rFonts w:hint="cs"/>
          <w:rtl/>
          <w:lang w:eastAsia="en-GB"/>
        </w:rPr>
        <w:t>بْطُل بالإنكار اللاحق</w:t>
      </w:r>
      <w:r>
        <w:rPr>
          <w:rFonts w:hint="eastAsia"/>
          <w:rtl/>
          <w:lang w:eastAsia="en-GB"/>
        </w:rPr>
        <w:t>»</w:t>
      </w:r>
      <w:r>
        <w:rPr>
          <w:rFonts w:hint="cs"/>
          <w:vertAlign w:val="superscript"/>
          <w:rtl/>
          <w:lang w:eastAsia="en-GB"/>
        </w:rPr>
        <w:t>(</w:t>
      </w:r>
      <w:r>
        <w:rPr>
          <w:rStyle w:val="a7"/>
          <w:rtl/>
        </w:rPr>
        <w:footnoteReference w:id="1159"/>
      </w:r>
      <w:r>
        <w:rPr>
          <w:rFonts w:hint="cs"/>
          <w:vertAlign w:val="superscript"/>
          <w:rtl/>
          <w:lang w:eastAsia="en-GB"/>
        </w:rPr>
        <w:t>)</w:t>
      </w:r>
      <w:r>
        <w:rPr>
          <w:rFonts w:hint="cs"/>
          <w:rtl/>
          <w:lang w:eastAsia="en-GB"/>
        </w:rPr>
        <w:t>.</w:t>
      </w:r>
    </w:p>
    <w:p w:rsidR="00C10469" w:rsidRPr="003C0DFC" w:rsidRDefault="00C10469">
      <w:pPr>
        <w:pStyle w:val="a9"/>
        <w:rPr>
          <w:rFonts w:cs="AL-Mateen"/>
          <w:rtl/>
        </w:rPr>
      </w:pPr>
      <w:r w:rsidRPr="003C0DFC">
        <w:rPr>
          <w:rFonts w:cs="AL-Mateen" w:hint="cs"/>
          <w:rtl/>
        </w:rPr>
        <w:lastRenderedPageBreak/>
        <w:t>[القـاعـدة الـرابـعـة والأربـعـون ]</w:t>
      </w:r>
    </w:p>
    <w:p w:rsidR="00C10469" w:rsidRDefault="00C10469">
      <w:pPr>
        <w:rPr>
          <w:b/>
          <w:bCs/>
          <w:rtl/>
        </w:rPr>
      </w:pPr>
      <w:r>
        <w:rPr>
          <w:rFonts w:cs="Monotype Koufi" w:hint="cs"/>
          <w:rtl/>
        </w:rPr>
        <w:t>الإِقْرَارُ لاَ يَرْتَدُّ بِالرَّدِّ</w:t>
      </w:r>
      <w:r>
        <w:rPr>
          <w:rFonts w:hint="cs"/>
          <w:vertAlign w:val="superscript"/>
          <w:rtl/>
        </w:rPr>
        <w:t>(</w:t>
      </w:r>
      <w:r>
        <w:rPr>
          <w:rStyle w:val="a7"/>
          <w:rtl/>
        </w:rPr>
        <w:footnoteReference w:id="1160"/>
      </w:r>
      <w:r>
        <w:rPr>
          <w:rFonts w:hint="cs"/>
          <w:vertAlign w:val="superscript"/>
          <w:rtl/>
        </w:rPr>
        <w:t>)</w:t>
      </w:r>
      <w:r>
        <w:rPr>
          <w:rFonts w:hint="cs"/>
          <w:b/>
          <w:bCs/>
          <w:rtl/>
        </w:rPr>
        <w:t xml:space="preserve"> :</w:t>
      </w:r>
    </w:p>
    <w:p w:rsidR="00C10469" w:rsidRDefault="00C10469">
      <w:pPr>
        <w:rPr>
          <w:b/>
          <w:bCs/>
          <w:rtl/>
        </w:rPr>
        <w:sectPr w:rsidR="00C10469" w:rsidSect="00C10469">
          <w:headerReference w:type="default" r:id="rId10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561A9F" w:rsidRDefault="00C10469">
      <w:pPr>
        <w:pStyle w:val="a9"/>
        <w:rPr>
          <w:rFonts w:cs="AL-Mateen"/>
          <w:rtl/>
        </w:rPr>
      </w:pPr>
      <w:r w:rsidRPr="00561A9F">
        <w:rPr>
          <w:rFonts w:cs="AL-Mateen" w:hint="cs"/>
          <w:rtl/>
        </w:rPr>
        <w:lastRenderedPageBreak/>
        <w:t>[ القـاعـدة الخـامـسـة والأربـعـون ]</w:t>
      </w:r>
    </w:p>
    <w:p w:rsidR="00C10469" w:rsidRDefault="00C10469">
      <w:pPr>
        <w:rPr>
          <w:b/>
          <w:bCs/>
          <w:rtl/>
        </w:rPr>
      </w:pPr>
      <w:r>
        <w:rPr>
          <w:rFonts w:cs="Monotype Koufi" w:hint="cs"/>
          <w:rtl/>
        </w:rPr>
        <w:t>الإِقْرَارُ غيرُ معتبرٍ إذا تَضَمَّنَ إبْطَالَ حَقِّ الغَيْرِ</w:t>
      </w:r>
      <w:r>
        <w:rPr>
          <w:rFonts w:hint="cs"/>
          <w:vertAlign w:val="superscript"/>
          <w:rtl/>
        </w:rPr>
        <w:t>(</w:t>
      </w:r>
      <w:r>
        <w:rPr>
          <w:rStyle w:val="a7"/>
          <w:rtl/>
        </w:rPr>
        <w:footnoteReference w:id="1161"/>
      </w:r>
      <w:r>
        <w:rPr>
          <w:rFonts w:hint="cs"/>
          <w:vertAlign w:val="superscript"/>
          <w:rtl/>
        </w:rPr>
        <w:t>)</w:t>
      </w:r>
      <w:r>
        <w:rPr>
          <w:rFonts w:hint="cs"/>
          <w:b/>
          <w:bCs/>
          <w:rtl/>
        </w:rPr>
        <w:t>:</w:t>
      </w:r>
    </w:p>
    <w:p w:rsidR="00C10469" w:rsidRDefault="00C10469">
      <w:pPr>
        <w:rPr>
          <w:rtl/>
        </w:rPr>
      </w:pPr>
      <w:r>
        <w:rPr>
          <w:rFonts w:hint="cs"/>
          <w:b/>
          <w:bCs/>
          <w:rtl/>
        </w:rPr>
        <w:t>ولذا</w:t>
      </w:r>
      <w:r>
        <w:rPr>
          <w:rFonts w:hint="cs"/>
          <w:rtl/>
        </w:rPr>
        <w:t xml:space="preserve"> : إذا أقرّ المريض بدينٍ لم يعرف أسبابه، وعليه ديون الصحة : يقدم</w:t>
      </w:r>
      <w:r>
        <w:rPr>
          <w:rFonts w:hint="cs"/>
          <w:vertAlign w:val="superscript"/>
          <w:rtl/>
        </w:rPr>
        <w:t>(</w:t>
      </w:r>
      <w:r>
        <w:rPr>
          <w:rStyle w:val="a7"/>
          <w:rtl/>
        </w:rPr>
        <w:footnoteReference w:id="1162"/>
      </w:r>
      <w:r>
        <w:rPr>
          <w:rFonts w:hint="cs"/>
          <w:vertAlign w:val="superscript"/>
          <w:rtl/>
        </w:rPr>
        <w:t>)</w:t>
      </w:r>
      <w:r>
        <w:rPr>
          <w:rFonts w:hint="cs"/>
          <w:rtl/>
        </w:rPr>
        <w:t xml:space="preserve"> ديون الصحة</w:t>
      </w:r>
      <w:r>
        <w:rPr>
          <w:rFonts w:hint="cs"/>
          <w:vertAlign w:val="superscript"/>
          <w:rtl/>
        </w:rPr>
        <w:t>(</w:t>
      </w:r>
      <w:r>
        <w:rPr>
          <w:rStyle w:val="a7"/>
          <w:rtl/>
        </w:rPr>
        <w:footnoteReference w:id="1163"/>
      </w:r>
      <w:r>
        <w:rPr>
          <w:rFonts w:hint="cs"/>
          <w:vertAlign w:val="superscript"/>
          <w:rtl/>
        </w:rPr>
        <w:t>)</w:t>
      </w:r>
      <w:r>
        <w:rPr>
          <w:rFonts w:hint="cs"/>
          <w:rtl/>
        </w:rPr>
        <w:t>؛ لأن حـق غرماء الصحة تـعلـق بـهذا المال استيفاءً، فلو اعتُبر إقراره لزم إبطال حق الغرماء</w:t>
      </w:r>
      <w:r>
        <w:rPr>
          <w:rFonts w:hint="cs"/>
          <w:vertAlign w:val="superscript"/>
          <w:rtl/>
        </w:rPr>
        <w:t>(</w:t>
      </w:r>
      <w:r>
        <w:rPr>
          <w:rStyle w:val="a7"/>
          <w:rtl/>
        </w:rPr>
        <w:footnoteReference w:id="1164"/>
      </w:r>
      <w:r>
        <w:rPr>
          <w:rFonts w:hint="cs"/>
          <w:vertAlign w:val="superscript"/>
          <w:rtl/>
        </w:rPr>
        <w:t>)</w:t>
      </w:r>
      <w:r>
        <w:rPr>
          <w:rFonts w:hint="cs"/>
          <w:rtl/>
        </w:rPr>
        <w:t>.</w:t>
      </w:r>
    </w:p>
    <w:p w:rsidR="00C10469" w:rsidRDefault="00C10469">
      <w:pPr>
        <w:rPr>
          <w:rtl/>
        </w:rPr>
      </w:pPr>
      <w:r>
        <w:rPr>
          <w:rFonts w:hint="cs"/>
          <w:b/>
          <w:bCs/>
          <w:spacing w:val="-8"/>
          <w:rtl/>
        </w:rPr>
        <w:t>وخـرج</w:t>
      </w:r>
      <w:r>
        <w:rPr>
          <w:rFonts w:hint="cs"/>
          <w:spacing w:val="-8"/>
          <w:rtl/>
        </w:rPr>
        <w:t xml:space="preserve"> عـن هـذا الأصل : مـا لـو أقـرّ الـمريـض بالـوارث، بأن يقول</w:t>
      </w:r>
      <w:r>
        <w:rPr>
          <w:rStyle w:val="a7"/>
          <w:spacing w:val="-8"/>
          <w:rtl/>
        </w:rPr>
        <w:footnoteReference w:id="1165"/>
      </w:r>
      <w:r>
        <w:rPr>
          <w:rFonts w:hint="cs"/>
          <w:spacing w:val="-8"/>
          <w:rtl/>
        </w:rPr>
        <w:t>: زيدٌ ولدي</w:t>
      </w:r>
      <w:r>
        <w:rPr>
          <w:rStyle w:val="a7"/>
          <w:spacing w:val="-8"/>
          <w:rtl/>
        </w:rPr>
        <w:footnoteReference w:id="1166"/>
      </w:r>
      <w:r>
        <w:rPr>
          <w:rFonts w:hint="cs"/>
          <w:spacing w:val="-8"/>
          <w:rtl/>
        </w:rPr>
        <w:t xml:space="preserve"> مثلاً: </w:t>
      </w:r>
    </w:p>
    <w:p w:rsidR="00C10469" w:rsidRDefault="00C10469">
      <w:pPr>
        <w:ind w:firstLine="0"/>
        <w:rPr>
          <w:rtl/>
        </w:rPr>
      </w:pPr>
      <w:r>
        <w:rPr>
          <w:rFonts w:hint="cs"/>
          <w:rtl/>
        </w:rPr>
        <w:lastRenderedPageBreak/>
        <w:t>صح إقراره، وقد [تضمن]</w:t>
      </w:r>
      <w:r>
        <w:rPr>
          <w:rStyle w:val="a7"/>
          <w:rtl/>
        </w:rPr>
        <w:footnoteReference w:id="1167"/>
      </w:r>
      <w:r>
        <w:rPr>
          <w:rFonts w:hint="cs"/>
          <w:rtl/>
        </w:rPr>
        <w:t xml:space="preserve"> إبطال حقّ بقيّة</w:t>
      </w:r>
      <w:r>
        <w:rPr>
          <w:rStyle w:val="a7"/>
          <w:rtl/>
        </w:rPr>
        <w:footnoteReference w:id="1168"/>
      </w:r>
      <w:r>
        <w:rPr>
          <w:rFonts w:hint="cs"/>
          <w:rtl/>
        </w:rPr>
        <w:t xml:space="preserve"> الورثة !.</w:t>
      </w:r>
    </w:p>
    <w:p w:rsidR="00C10469" w:rsidRDefault="00C10469">
      <w:pPr>
        <w:rPr>
          <w:rtl/>
        </w:rPr>
      </w:pPr>
      <w:r>
        <w:rPr>
          <w:rFonts w:hint="cs"/>
          <w:b/>
          <w:bCs/>
          <w:rtl/>
        </w:rPr>
        <w:t>وأجيب</w:t>
      </w:r>
      <w:r>
        <w:rPr>
          <w:rFonts w:hint="cs"/>
          <w:rtl/>
        </w:rPr>
        <w:t xml:space="preserve"> : بأن استحقاق الورثة [للمال]</w:t>
      </w:r>
      <w:r>
        <w:rPr>
          <w:rStyle w:val="a7"/>
          <w:rtl/>
        </w:rPr>
        <w:footnoteReference w:id="1169"/>
      </w:r>
      <w:r>
        <w:rPr>
          <w:rFonts w:hint="cs"/>
          <w:rtl/>
        </w:rPr>
        <w:t xml:space="preserve"> بالنسب  والموت جميعًا، فالاستحقاق يضاف إلى آخرهما وجودًا، وهو الموت، [فعند]</w:t>
      </w:r>
      <w:r>
        <w:rPr>
          <w:rStyle w:val="a7"/>
          <w:rtl/>
        </w:rPr>
        <w:footnoteReference w:id="1170"/>
      </w:r>
      <w:r>
        <w:rPr>
          <w:rFonts w:hint="cs"/>
          <w:rtl/>
        </w:rPr>
        <w:t xml:space="preserve"> الإقرار لا حَقَّ </w:t>
      </w:r>
      <w:r>
        <w:rPr>
          <w:rStyle w:val="a7"/>
          <w:rtl/>
        </w:rPr>
        <w:footnoteReference w:id="1171"/>
      </w:r>
      <w:r>
        <w:rPr>
          <w:rFonts w:hint="cs"/>
          <w:rtl/>
        </w:rPr>
        <w:t xml:space="preserve"> لوارثه</w:t>
      </w:r>
      <w:r>
        <w:rPr>
          <w:rStyle w:val="a7"/>
          <w:rtl/>
        </w:rPr>
        <w:footnoteReference w:id="1172"/>
      </w:r>
      <w:r>
        <w:rPr>
          <w:rFonts w:hint="cs"/>
          <w:rtl/>
        </w:rPr>
        <w:t xml:space="preserve"> حتى يلزم</w:t>
      </w:r>
      <w:r>
        <w:rPr>
          <w:rStyle w:val="a7"/>
          <w:rtl/>
        </w:rPr>
        <w:footnoteReference w:id="1173"/>
      </w:r>
      <w:r>
        <w:rPr>
          <w:rFonts w:hint="cs"/>
          <w:rtl/>
        </w:rPr>
        <w:t xml:space="preserve"> منه إبطال حقِّ الغير، بخلاف الدّين فإنّه يجب بالإقرار لا بالموت</w:t>
      </w:r>
      <w:r>
        <w:rPr>
          <w:rFonts w:hint="cs"/>
          <w:vertAlign w:val="superscript"/>
          <w:rtl/>
        </w:rPr>
        <w:t>(</w:t>
      </w:r>
      <w:r>
        <w:rPr>
          <w:rStyle w:val="a7"/>
          <w:rtl/>
        </w:rPr>
        <w:footnoteReference w:id="1174"/>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0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8197A" w:rsidRDefault="00C10469">
      <w:pPr>
        <w:pStyle w:val="a9"/>
        <w:rPr>
          <w:rFonts w:cs="AL-Mateen"/>
          <w:rtl/>
        </w:rPr>
      </w:pPr>
      <w:r w:rsidRPr="0008197A">
        <w:rPr>
          <w:rFonts w:cs="AL-Mateen" w:hint="cs"/>
          <w:rtl/>
        </w:rPr>
        <w:lastRenderedPageBreak/>
        <w:t>[ القـاعـدة السـادسـة والأربعـون ]</w:t>
      </w:r>
    </w:p>
    <w:p w:rsidR="00C10469" w:rsidRDefault="00C10469">
      <w:pPr>
        <w:rPr>
          <w:b/>
          <w:bCs/>
          <w:rtl/>
        </w:rPr>
      </w:pPr>
      <w:r>
        <w:rPr>
          <w:rFonts w:cs="Monotype Koufi" w:hint="cs"/>
          <w:rtl/>
        </w:rPr>
        <w:t>الأَمْرُ بالتَّصَرُّفِ فِي مِلْكِ الغَيْرِ بَاطِلٌ</w:t>
      </w:r>
      <w:r>
        <w:rPr>
          <w:rFonts w:hint="cs"/>
          <w:vertAlign w:val="superscript"/>
          <w:rtl/>
        </w:rPr>
        <w:t>(</w:t>
      </w:r>
      <w:r>
        <w:rPr>
          <w:rStyle w:val="a7"/>
          <w:rtl/>
        </w:rPr>
        <w:footnoteReference w:id="1175"/>
      </w:r>
      <w:r>
        <w:rPr>
          <w:rFonts w:hint="cs"/>
          <w:vertAlign w:val="superscript"/>
          <w:rtl/>
        </w:rPr>
        <w:t>)</w:t>
      </w:r>
      <w:r>
        <w:rPr>
          <w:rFonts w:hint="cs"/>
          <w:b/>
          <w:bCs/>
          <w:rtl/>
        </w:rPr>
        <w:t xml:space="preserve"> :</w:t>
      </w:r>
    </w:p>
    <w:p w:rsidR="00C10469" w:rsidRDefault="00C10469">
      <w:pPr>
        <w:rPr>
          <w:spacing w:val="-6"/>
          <w:rtl/>
        </w:rPr>
      </w:pPr>
      <w:r>
        <w:rPr>
          <w:rFonts w:hint="cs"/>
          <w:b/>
          <w:bCs/>
          <w:spacing w:val="-6"/>
          <w:rtl/>
        </w:rPr>
        <w:t>ولذ</w:t>
      </w:r>
      <w:r>
        <w:rPr>
          <w:rFonts w:hint="cs"/>
          <w:spacing w:val="-6"/>
          <w:rtl/>
        </w:rPr>
        <w:t>: جاز للإنسان</w:t>
      </w:r>
      <w:r>
        <w:rPr>
          <w:rStyle w:val="a7"/>
          <w:spacing w:val="-6"/>
          <w:rtl/>
        </w:rPr>
        <w:footnoteReference w:id="1176"/>
      </w:r>
      <w:r>
        <w:rPr>
          <w:rFonts w:hint="cs"/>
          <w:spacing w:val="-6"/>
          <w:rtl/>
        </w:rPr>
        <w:t xml:space="preserve"> أن يستقرض بنفسه، والتوكيل به</w:t>
      </w:r>
      <w:r>
        <w:rPr>
          <w:rFonts w:hint="cs"/>
          <w:spacing w:val="-6"/>
          <w:vertAlign w:val="superscript"/>
          <w:rtl/>
        </w:rPr>
        <w:t>(</w:t>
      </w:r>
      <w:r>
        <w:rPr>
          <w:rStyle w:val="a7"/>
          <w:spacing w:val="-6"/>
          <w:rtl/>
        </w:rPr>
        <w:footnoteReference w:id="1177"/>
      </w:r>
      <w:r>
        <w:rPr>
          <w:rFonts w:hint="cs"/>
          <w:spacing w:val="-6"/>
          <w:vertAlign w:val="superscript"/>
          <w:rtl/>
        </w:rPr>
        <w:t>)</w:t>
      </w:r>
      <w:r>
        <w:rPr>
          <w:rFonts w:hint="cs"/>
          <w:spacing w:val="-6"/>
          <w:rtl/>
        </w:rPr>
        <w:t xml:space="preserve"> باطل؛ لأن الدراهم التي يستقرضها الوكيل </w:t>
      </w:r>
      <w:r>
        <w:rPr>
          <w:rFonts w:hint="cs"/>
          <w:rtl/>
        </w:rPr>
        <w:t>ملك المقرِض</w:t>
      </w:r>
      <w:r>
        <w:rPr>
          <w:rFonts w:hint="cs"/>
          <w:spacing w:val="-6"/>
          <w:rtl/>
        </w:rPr>
        <w:t>، والموكِّل لا يملك تفويض التصرف في ملك الغير</w:t>
      </w:r>
      <w:r>
        <w:rPr>
          <w:rFonts w:hint="cs"/>
          <w:spacing w:val="-6"/>
          <w:vertAlign w:val="superscript"/>
          <w:rtl/>
        </w:rPr>
        <w:t>(</w:t>
      </w:r>
      <w:r>
        <w:rPr>
          <w:rStyle w:val="a7"/>
          <w:spacing w:val="-6"/>
          <w:rtl/>
        </w:rPr>
        <w:footnoteReference w:id="1178"/>
      </w:r>
      <w:r>
        <w:rPr>
          <w:rFonts w:hint="cs"/>
          <w:spacing w:val="-6"/>
          <w:vertAlign w:val="superscript"/>
          <w:rtl/>
        </w:rPr>
        <w:t>)</w:t>
      </w:r>
      <w:r>
        <w:rPr>
          <w:rFonts w:hint="cs"/>
          <w:spacing w:val="-6"/>
          <w:rtl/>
        </w:rPr>
        <w:t xml:space="preserve">؛ </w:t>
      </w:r>
      <w:r>
        <w:rPr>
          <w:rFonts w:hint="cs"/>
          <w:spacing w:val="-6"/>
          <w:rtl/>
        </w:rPr>
        <w:lastRenderedPageBreak/>
        <w:t xml:space="preserve">لأن محلّ العقد من شروطه- لِكَوْنِ الـمَحَالِّ </w:t>
      </w:r>
      <w:r>
        <w:rPr>
          <w:rFonts w:hint="cs"/>
          <w:spacing w:val="-6"/>
          <w:vertAlign w:val="superscript"/>
          <w:rtl/>
        </w:rPr>
        <w:t>(</w:t>
      </w:r>
      <w:r>
        <w:rPr>
          <w:rStyle w:val="a7"/>
          <w:spacing w:val="-6"/>
          <w:rtl/>
        </w:rPr>
        <w:footnoteReference w:id="1179"/>
      </w:r>
      <w:r>
        <w:rPr>
          <w:rFonts w:hint="cs"/>
          <w:spacing w:val="-6"/>
          <w:vertAlign w:val="superscript"/>
          <w:rtl/>
        </w:rPr>
        <w:t>)</w:t>
      </w:r>
      <w:r>
        <w:rPr>
          <w:rFonts w:hint="cs"/>
          <w:spacing w:val="-6"/>
          <w:rtl/>
        </w:rPr>
        <w:t xml:space="preserve"> شروطاً </w:t>
      </w:r>
      <w:r>
        <w:rPr>
          <w:rStyle w:val="a7"/>
          <w:spacing w:val="-6"/>
          <w:rtl/>
        </w:rPr>
        <w:footnoteReference w:id="1180"/>
      </w:r>
      <w:r>
        <w:rPr>
          <w:rFonts w:hint="cs"/>
          <w:spacing w:val="-6"/>
          <w:rtl/>
        </w:rPr>
        <w:t>، كما عرف في علم الأصول</w:t>
      </w:r>
      <w:r>
        <w:rPr>
          <w:rFonts w:hint="cs"/>
          <w:spacing w:val="-6"/>
          <w:vertAlign w:val="superscript"/>
          <w:rtl/>
        </w:rPr>
        <w:t>(</w:t>
      </w:r>
      <w:r>
        <w:rPr>
          <w:rStyle w:val="a7"/>
          <w:spacing w:val="-6"/>
          <w:rtl/>
        </w:rPr>
        <w:footnoteReference w:id="1181"/>
      </w:r>
      <w:r>
        <w:rPr>
          <w:rFonts w:hint="cs"/>
          <w:spacing w:val="-6"/>
          <w:vertAlign w:val="superscript"/>
          <w:rtl/>
        </w:rPr>
        <w:t>)</w:t>
      </w:r>
      <w:r>
        <w:rPr>
          <w:rFonts w:hint="cs"/>
          <w:spacing w:val="-6"/>
          <w:rtl/>
        </w:rPr>
        <w:t xml:space="preserve"> - وليس بموجود في التوكيل بالاستقراض</w:t>
      </w:r>
      <w:r>
        <w:rPr>
          <w:rFonts w:hint="cs"/>
          <w:spacing w:val="-6"/>
          <w:vertAlign w:val="superscript"/>
          <w:rtl/>
        </w:rPr>
        <w:t>(</w:t>
      </w:r>
      <w:r>
        <w:rPr>
          <w:rStyle w:val="a7"/>
          <w:spacing w:val="-6"/>
          <w:rtl/>
        </w:rPr>
        <w:footnoteReference w:id="1182"/>
      </w:r>
      <w:r>
        <w:rPr>
          <w:rFonts w:hint="cs"/>
          <w:spacing w:val="-6"/>
          <w:vertAlign w:val="superscript"/>
          <w:rtl/>
        </w:rPr>
        <w:t>)</w:t>
      </w:r>
      <w:r>
        <w:rPr>
          <w:rFonts w:hint="cs"/>
          <w:spacing w:val="-6"/>
          <w:rtl/>
        </w:rPr>
        <w:t>.</w:t>
      </w:r>
    </w:p>
    <w:p w:rsidR="00C10469" w:rsidRDefault="00C10469">
      <w:pPr>
        <w:rPr>
          <w:rtl/>
        </w:rPr>
      </w:pPr>
      <w:r>
        <w:rPr>
          <w:rFonts w:hint="cs"/>
          <w:b/>
          <w:bCs/>
          <w:rtl/>
        </w:rPr>
        <w:t>ويَرِدُ عليه</w:t>
      </w:r>
      <w:r>
        <w:rPr>
          <w:rFonts w:hint="cs"/>
          <w:rtl/>
        </w:rPr>
        <w:t xml:space="preserve"> : بأن</w:t>
      </w:r>
      <w:r>
        <w:rPr>
          <w:rStyle w:val="a7"/>
          <w:rtl/>
        </w:rPr>
        <w:footnoteReference w:id="1183"/>
      </w:r>
      <w:r>
        <w:rPr>
          <w:rFonts w:hint="cs"/>
          <w:rtl/>
        </w:rPr>
        <w:t xml:space="preserve"> التوكيل بالشراء جائِز، وما ذكرتم موجود فيه؛ لأن المبيع ليس ملك الموكل وجاز التوكيل فيه !.</w:t>
      </w:r>
    </w:p>
    <w:p w:rsidR="00C10469" w:rsidRDefault="00C10469">
      <w:pPr>
        <w:rPr>
          <w:rtl/>
        </w:rPr>
      </w:pPr>
      <w:r>
        <w:rPr>
          <w:rFonts w:hint="cs"/>
          <w:b/>
          <w:bCs/>
          <w:rtl/>
        </w:rPr>
        <w:t xml:space="preserve">والجواب </w:t>
      </w:r>
      <w:r>
        <w:rPr>
          <w:rFonts w:hint="cs"/>
          <w:rtl/>
        </w:rPr>
        <w:t>: أن المحلّ</w:t>
      </w:r>
      <w:r>
        <w:rPr>
          <w:rStyle w:val="a7"/>
          <w:rtl/>
        </w:rPr>
        <w:footnoteReference w:id="1184"/>
      </w:r>
      <w:r>
        <w:rPr>
          <w:rFonts w:hint="cs"/>
          <w:rtl/>
        </w:rPr>
        <w:t xml:space="preserve"> في الشراء هو الثمن، وهو ملك الموكل، وفي الاستقراض: الدراهم المستقرضة</w:t>
      </w:r>
      <w:r>
        <w:rPr>
          <w:rFonts w:hint="cs"/>
          <w:vertAlign w:val="superscript"/>
          <w:rtl/>
        </w:rPr>
        <w:t>(</w:t>
      </w:r>
      <w:r>
        <w:rPr>
          <w:rStyle w:val="a7"/>
          <w:rtl/>
        </w:rPr>
        <w:footnoteReference w:id="1185"/>
      </w:r>
      <w:r>
        <w:rPr>
          <w:rFonts w:hint="cs"/>
          <w:vertAlign w:val="superscript"/>
          <w:rtl/>
        </w:rPr>
        <w:t>)</w:t>
      </w:r>
      <w:r>
        <w:rPr>
          <w:rFonts w:hint="cs"/>
          <w:rtl/>
        </w:rPr>
        <w:t xml:space="preserve"> ليست ملك الموكل.</w:t>
      </w:r>
    </w:p>
    <w:p w:rsidR="00C10469" w:rsidRDefault="00C10469">
      <w:pPr>
        <w:rPr>
          <w:rtl/>
        </w:rPr>
      </w:pPr>
      <w:r>
        <w:rPr>
          <w:rFonts w:hint="cs"/>
          <w:b/>
          <w:bCs/>
          <w:rtl/>
        </w:rPr>
        <w:t>لا يُقال</w:t>
      </w:r>
      <w:r>
        <w:rPr>
          <w:rFonts w:hint="cs"/>
          <w:rtl/>
        </w:rPr>
        <w:t xml:space="preserve"> : هَلاّ جعلتم المحلَّ فيه بَدَلَهَا وهو ملك الموكِّل !.</w:t>
      </w:r>
    </w:p>
    <w:p w:rsidR="00C10469" w:rsidRDefault="00C10469">
      <w:pPr>
        <w:rPr>
          <w:rtl/>
        </w:rPr>
      </w:pPr>
      <w:r>
        <w:rPr>
          <w:rFonts w:hint="cs"/>
          <w:b/>
          <w:bCs/>
          <w:rtl/>
        </w:rPr>
        <w:lastRenderedPageBreak/>
        <w:t>لأن</w:t>
      </w:r>
      <w:r>
        <w:rPr>
          <w:rFonts w:hint="cs"/>
          <w:rtl/>
        </w:rPr>
        <w:t xml:space="preserve"> ذلك محلّ التوكيل بالإقراض</w:t>
      </w:r>
      <w:r>
        <w:rPr>
          <w:rFonts w:hint="cs"/>
          <w:vertAlign w:val="superscript"/>
          <w:rtl/>
        </w:rPr>
        <w:t>(</w:t>
      </w:r>
      <w:r>
        <w:rPr>
          <w:rStyle w:val="a7"/>
          <w:rtl/>
        </w:rPr>
        <w:footnoteReference w:id="1186"/>
      </w:r>
      <w:r>
        <w:rPr>
          <w:rFonts w:hint="cs"/>
          <w:vertAlign w:val="superscript"/>
          <w:rtl/>
        </w:rPr>
        <w:t>)</w:t>
      </w:r>
      <w:r>
        <w:rPr>
          <w:rFonts w:hint="cs"/>
          <w:rtl/>
        </w:rPr>
        <w:t xml:space="preserve"> جائز</w:t>
      </w:r>
      <w:r>
        <w:rPr>
          <w:rFonts w:hint="cs"/>
          <w:vertAlign w:val="superscript"/>
          <w:rtl/>
        </w:rPr>
        <w:t>(</w:t>
      </w:r>
      <w:r>
        <w:rPr>
          <w:rStyle w:val="a7"/>
          <w:rtl/>
        </w:rPr>
        <w:footnoteReference w:id="1187"/>
      </w:r>
      <w:r>
        <w:rPr>
          <w:rFonts w:hint="cs"/>
          <w:vertAlign w:val="superscript"/>
          <w:rtl/>
        </w:rPr>
        <w:t>)</w:t>
      </w:r>
      <w:r>
        <w:rPr>
          <w:rFonts w:hint="cs"/>
          <w:rtl/>
        </w:rPr>
        <w:t>.</w:t>
      </w:r>
    </w:p>
    <w:p w:rsidR="00C10469" w:rsidRDefault="00C10469">
      <w:pPr>
        <w:rPr>
          <w:rtl/>
        </w:rPr>
      </w:pPr>
      <w:r>
        <w:rPr>
          <w:rFonts w:hint="cs"/>
          <w:rtl/>
        </w:rPr>
        <w:t>وإنما قلنا بالإقراض</w:t>
      </w:r>
      <w:r>
        <w:rPr>
          <w:rStyle w:val="a7"/>
          <w:rtl/>
        </w:rPr>
        <w:footnoteReference w:id="1188"/>
      </w:r>
      <w:r>
        <w:rPr>
          <w:rFonts w:hint="cs"/>
          <w:rtl/>
        </w:rPr>
        <w:t xml:space="preserve"> ولم نقل : بايفاء القرض</w:t>
      </w:r>
      <w:r>
        <w:rPr>
          <w:rFonts w:hint="cs"/>
          <w:vertAlign w:val="superscript"/>
          <w:rtl/>
        </w:rPr>
        <w:t>(</w:t>
      </w:r>
      <w:r>
        <w:rPr>
          <w:rStyle w:val="a7"/>
          <w:rtl/>
        </w:rPr>
        <w:footnoteReference w:id="1189"/>
      </w:r>
      <w:r>
        <w:rPr>
          <w:rFonts w:hint="cs"/>
          <w:vertAlign w:val="superscript"/>
          <w:rtl/>
        </w:rPr>
        <w:t>)</w:t>
      </w:r>
      <w:r>
        <w:rPr>
          <w:rFonts w:hint="cs"/>
          <w:rtl/>
        </w:rPr>
        <w:t>؛ لأن إيفاء القرض إقراض على ما</w:t>
      </w:r>
      <w:r>
        <w:rPr>
          <w:rStyle w:val="a7"/>
          <w:rtl/>
        </w:rPr>
        <w:footnoteReference w:id="1190"/>
      </w:r>
      <w:r>
        <w:rPr>
          <w:rFonts w:hint="cs"/>
          <w:rtl/>
        </w:rPr>
        <w:t xml:space="preserve"> سيجيء </w:t>
      </w:r>
      <w:r>
        <w:rPr>
          <w:rStyle w:val="a7"/>
          <w:rtl/>
        </w:rPr>
        <w:footnoteReference w:id="1191"/>
      </w:r>
      <w:r>
        <w:rPr>
          <w:rFonts w:hint="cs"/>
          <w:rtl/>
        </w:rPr>
        <w:t xml:space="preserve"> -إن شاء الله تعالى- في باب الدال، في بـيـان قولـهم : </w:t>
      </w:r>
      <w:r>
        <w:rPr>
          <w:rFonts w:hint="eastAsia"/>
          <w:rtl/>
        </w:rPr>
        <w:t>«</w:t>
      </w:r>
      <w:r>
        <w:rPr>
          <w:rFonts w:hint="cs"/>
          <w:rtl/>
        </w:rPr>
        <w:t>الـديون تقضى</w:t>
      </w:r>
      <w:r>
        <w:rPr>
          <w:rStyle w:val="a7"/>
          <w:rtl/>
        </w:rPr>
        <w:footnoteReference w:id="1192"/>
      </w:r>
      <w:r>
        <w:rPr>
          <w:rFonts w:hint="cs"/>
          <w:rtl/>
        </w:rPr>
        <w:t xml:space="preserve"> بأمثالها</w:t>
      </w:r>
      <w:r>
        <w:rPr>
          <w:rFonts w:hint="eastAsia"/>
          <w:rtl/>
        </w:rPr>
        <w:t>»</w:t>
      </w:r>
      <w:r>
        <w:rPr>
          <w:rFonts w:hint="cs"/>
          <w:vertAlign w:val="superscript"/>
          <w:rtl/>
        </w:rPr>
        <w:t>(</w:t>
      </w:r>
      <w:r>
        <w:rPr>
          <w:rStyle w:val="a7"/>
          <w:rtl/>
        </w:rPr>
        <w:footnoteReference w:id="1193"/>
      </w:r>
      <w:r>
        <w:rPr>
          <w:rFonts w:hint="cs"/>
          <w:vertAlign w:val="superscript"/>
          <w:rtl/>
        </w:rPr>
        <w:t>)</w:t>
      </w:r>
      <w:r>
        <w:rPr>
          <w:rFonts w:hint="cs"/>
          <w:rtl/>
        </w:rPr>
        <w:t xml:space="preserve">. </w:t>
      </w: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ind w:firstLine="0"/>
        <w:rPr>
          <w:rtl/>
        </w:rPr>
        <w:sectPr w:rsidR="00C10469" w:rsidSect="00C10469">
          <w:headerReference w:type="default" r:id="rId10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56A29" w:rsidRDefault="00C10469">
      <w:pPr>
        <w:pStyle w:val="a9"/>
        <w:rPr>
          <w:rFonts w:cs="AL-Mateen"/>
          <w:rtl/>
        </w:rPr>
      </w:pPr>
      <w:r w:rsidRPr="00356A29">
        <w:rPr>
          <w:rFonts w:cs="AL-Mateen" w:hint="cs"/>
          <w:rtl/>
        </w:rPr>
        <w:lastRenderedPageBreak/>
        <w:t>[ القـاعـدة السـابعـة والأربعـون ]</w:t>
      </w:r>
    </w:p>
    <w:p w:rsidR="00C10469" w:rsidRDefault="00C10469">
      <w:pPr>
        <w:rPr>
          <w:b/>
          <w:bCs/>
          <w:rtl/>
        </w:rPr>
      </w:pPr>
      <w:r>
        <w:rPr>
          <w:rFonts w:cs="Monotype Koufi" w:hint="cs"/>
          <w:rtl/>
        </w:rPr>
        <w:t>الأَمْرُ يُفِيدُ وُجُوبَ إِيْقَاعِ</w:t>
      </w:r>
      <w:r>
        <w:rPr>
          <w:rStyle w:val="a7"/>
          <w:b/>
          <w:rtl/>
        </w:rPr>
        <w:footnoteReference w:id="1194"/>
      </w:r>
      <w:r>
        <w:rPr>
          <w:rFonts w:hint="cs"/>
          <w:b/>
          <w:bCs/>
          <w:rtl/>
        </w:rPr>
        <w:t xml:space="preserve"> </w:t>
      </w:r>
      <w:r>
        <w:rPr>
          <w:rFonts w:cs="Monotype Koufi" w:hint="cs"/>
          <w:rtl/>
        </w:rPr>
        <w:t>الفِعْلِ مَرَّةً</w:t>
      </w:r>
      <w:r>
        <w:rPr>
          <w:rFonts w:hint="cs"/>
          <w:b/>
          <w:bCs/>
          <w:rtl/>
        </w:rPr>
        <w:t xml:space="preserve"> </w:t>
      </w:r>
      <w:r>
        <w:rPr>
          <w:rFonts w:hint="cs"/>
          <w:vertAlign w:val="superscript"/>
          <w:rtl/>
        </w:rPr>
        <w:t>(</w:t>
      </w:r>
      <w:r>
        <w:rPr>
          <w:rStyle w:val="a7"/>
          <w:rtl/>
        </w:rPr>
        <w:footnoteReference w:id="1195"/>
      </w:r>
      <w:r>
        <w:rPr>
          <w:rFonts w:hint="cs"/>
          <w:vertAlign w:val="superscript"/>
          <w:rtl/>
        </w:rPr>
        <w:t>)</w:t>
      </w:r>
      <w:r>
        <w:rPr>
          <w:rFonts w:hint="cs"/>
          <w:b/>
          <w:bCs/>
          <w:rtl/>
        </w:rPr>
        <w:t>:</w:t>
      </w:r>
    </w:p>
    <w:p w:rsidR="00C10469" w:rsidRDefault="00C10469">
      <w:pPr>
        <w:rPr>
          <w:rtl/>
        </w:rPr>
      </w:pPr>
      <w:r w:rsidRPr="00966052">
        <w:rPr>
          <w:rFonts w:hint="eastAsia"/>
          <w:spacing w:val="-2"/>
          <w:rtl/>
        </w:rPr>
        <w:lastRenderedPageBreak/>
        <w:t>«</w:t>
      </w:r>
      <w:r w:rsidRPr="00966052">
        <w:rPr>
          <w:rFonts w:hint="cs"/>
          <w:spacing w:val="-2"/>
          <w:rtl/>
        </w:rPr>
        <w:t xml:space="preserve">فـلا يـوجـب التكرار </w:t>
      </w:r>
      <w:r w:rsidRPr="00966052">
        <w:rPr>
          <w:rFonts w:hint="cs"/>
          <w:b/>
          <w:bCs/>
          <w:spacing w:val="-2"/>
          <w:rtl/>
        </w:rPr>
        <w:t>عند علمائنا</w:t>
      </w:r>
      <w:r w:rsidRPr="00966052">
        <w:rPr>
          <w:rFonts w:hint="cs"/>
          <w:spacing w:val="-2"/>
          <w:rtl/>
        </w:rPr>
        <w:t>، حتى</w:t>
      </w:r>
      <w:r w:rsidRPr="00966052">
        <w:rPr>
          <w:rStyle w:val="a7"/>
          <w:spacing w:val="-2"/>
          <w:rtl/>
        </w:rPr>
        <w:footnoteReference w:id="1196"/>
      </w:r>
      <w:r w:rsidRPr="00966052">
        <w:rPr>
          <w:rFonts w:hint="cs"/>
          <w:spacing w:val="-2"/>
          <w:rtl/>
        </w:rPr>
        <w:t xml:space="preserve"> يفهم منه من غير قرينة، ولا </w:t>
      </w:r>
      <w:r>
        <w:rPr>
          <w:rFonts w:hint="cs"/>
          <w:rtl/>
        </w:rPr>
        <w:t>يحتمله حتى يحمل عليه عند النيّة</w:t>
      </w:r>
      <w:r>
        <w:rPr>
          <w:rFonts w:hint="cs"/>
          <w:vertAlign w:val="superscript"/>
          <w:rtl/>
        </w:rPr>
        <w:t xml:space="preserve"> (</w:t>
      </w:r>
      <w:r>
        <w:rPr>
          <w:rStyle w:val="a7"/>
          <w:rtl/>
        </w:rPr>
        <w:footnoteReference w:id="1197"/>
      </w:r>
      <w:r>
        <w:rPr>
          <w:rFonts w:hint="cs"/>
          <w:vertAlign w:val="superscript"/>
          <w:rtl/>
        </w:rPr>
        <w:t>)</w:t>
      </w:r>
      <w:r>
        <w:rPr>
          <w:rFonts w:hint="cs"/>
          <w:rtl/>
        </w:rPr>
        <w:t xml:space="preserve"> </w:t>
      </w:r>
      <w:r>
        <w:rPr>
          <w:rFonts w:hint="eastAsia"/>
          <w:rtl/>
        </w:rPr>
        <w:t>»</w:t>
      </w:r>
      <w:r>
        <w:rPr>
          <w:rFonts w:hint="cs"/>
          <w:rtl/>
          <w:lang w:bidi="ar-AE"/>
        </w:rPr>
        <w:t>،</w:t>
      </w:r>
      <w:r>
        <w:t xml:space="preserve"> </w:t>
      </w:r>
      <w:r>
        <w:rPr>
          <w:rFonts w:hint="cs"/>
          <w:rtl/>
        </w:rPr>
        <w:t xml:space="preserve">لأن </w:t>
      </w:r>
      <w:r>
        <w:rPr>
          <w:rFonts w:hint="eastAsia"/>
          <w:rtl/>
        </w:rPr>
        <w:t>«</w:t>
      </w:r>
      <w:r>
        <w:rPr>
          <w:rFonts w:hint="cs"/>
          <w:rtl/>
        </w:rPr>
        <w:t>الأمر بالصـيغة المشـتـقَّة مـن المصدر طلـب</w:t>
      </w:r>
    </w:p>
    <w:p w:rsidR="00C10469" w:rsidRDefault="00C10469">
      <w:pPr>
        <w:ind w:firstLine="0"/>
        <w:rPr>
          <w:rtl/>
        </w:rPr>
      </w:pPr>
      <w:r>
        <w:rPr>
          <w:rFonts w:hint="cs"/>
          <w:rtl/>
        </w:rPr>
        <w:lastRenderedPageBreak/>
        <w:t>[تحقيق]</w:t>
      </w:r>
      <w:r>
        <w:rPr>
          <w:rStyle w:val="a7"/>
          <w:rtl/>
        </w:rPr>
        <w:footnoteReference w:id="1198"/>
      </w:r>
      <w:r>
        <w:rPr>
          <w:rFonts w:hint="cs"/>
          <w:rtl/>
        </w:rPr>
        <w:t xml:space="preserve"> المصدر لا غير، وأنه اسم فردٍ، فلا يحتملُ العددَ</w:t>
      </w:r>
      <w:r>
        <w:rPr>
          <w:rStyle w:val="a7"/>
          <w:rtl/>
        </w:rPr>
        <w:footnoteReference w:id="1199"/>
      </w:r>
      <w:r>
        <w:rPr>
          <w:rFonts w:hint="eastAsia"/>
          <w:rtl/>
        </w:rPr>
        <w:t>»</w:t>
      </w:r>
      <w:r>
        <w:rPr>
          <w:rFonts w:hint="cs"/>
          <w:vertAlign w:val="superscript"/>
          <w:rtl/>
        </w:rPr>
        <w:t>(</w:t>
      </w:r>
      <w:r>
        <w:rPr>
          <w:rStyle w:val="a7"/>
          <w:rtl/>
        </w:rPr>
        <w:footnoteReference w:id="1200"/>
      </w:r>
      <w:r>
        <w:rPr>
          <w:rFonts w:hint="cs"/>
          <w:vertAlign w:val="superscript"/>
          <w:rtl/>
        </w:rPr>
        <w:t>)</w:t>
      </w:r>
      <w:r>
        <w:rPr>
          <w:rFonts w:hint="cs"/>
          <w:rtl/>
        </w:rPr>
        <w:t>.</w:t>
      </w:r>
    </w:p>
    <w:p w:rsidR="00C10469" w:rsidRDefault="00C10469">
      <w:pPr>
        <w:rPr>
          <w:rtl/>
        </w:rPr>
      </w:pPr>
      <w:r>
        <w:rPr>
          <w:rFonts w:hint="cs"/>
          <w:rtl/>
        </w:rPr>
        <w:t>[و]</w:t>
      </w:r>
      <w:r>
        <w:rPr>
          <w:rStyle w:val="a7"/>
          <w:rtl/>
        </w:rPr>
        <w:footnoteReference w:id="1201"/>
      </w:r>
      <w:r>
        <w:rPr>
          <w:rFonts w:hint="cs"/>
          <w:rtl/>
        </w:rPr>
        <w:t xml:space="preserve"> </w:t>
      </w:r>
      <w:r>
        <w:rPr>
          <w:rFonts w:hint="cs"/>
          <w:b/>
          <w:bCs/>
          <w:rtl/>
        </w:rPr>
        <w:t>قال الشافعي</w:t>
      </w:r>
      <w:r>
        <w:rPr>
          <w:rFonts w:hint="cs"/>
          <w:rtl/>
        </w:rPr>
        <w:t xml:space="preserve"> -رحمه الله- يحتمله ويحمل عليه</w:t>
      </w:r>
      <w:r>
        <w:rPr>
          <w:rStyle w:val="a7"/>
          <w:rtl/>
        </w:rPr>
        <w:footnoteReference w:id="1202"/>
      </w:r>
      <w:r>
        <w:rPr>
          <w:rFonts w:hint="cs"/>
          <w:rtl/>
        </w:rPr>
        <w:t xml:space="preserve"> عند النيه</w:t>
      </w:r>
      <w:r>
        <w:rPr>
          <w:rStyle w:val="a7"/>
          <w:rtl/>
        </w:rPr>
        <w:footnoteReference w:id="1203"/>
      </w:r>
      <w:r>
        <w:rPr>
          <w:rFonts w:hint="cs"/>
          <w:vertAlign w:val="superscript"/>
          <w:rtl/>
        </w:rPr>
        <w:t>(</w:t>
      </w:r>
      <w:r>
        <w:rPr>
          <w:rStyle w:val="a7"/>
          <w:rtl/>
        </w:rPr>
        <w:footnoteReference w:id="1204"/>
      </w:r>
      <w:r>
        <w:rPr>
          <w:rFonts w:hint="cs"/>
          <w:vertAlign w:val="superscript"/>
          <w:rtl/>
        </w:rPr>
        <w:t>)</w:t>
      </w:r>
      <w:r>
        <w:rPr>
          <w:rFonts w:hint="cs"/>
          <w:rtl/>
        </w:rPr>
        <w:t>.</w:t>
      </w:r>
    </w:p>
    <w:p w:rsidR="00C10469" w:rsidRDefault="00C10469">
      <w:pPr>
        <w:rPr>
          <w:rtl/>
        </w:rPr>
      </w:pPr>
      <w:r>
        <w:rPr>
          <w:rFonts w:hint="cs"/>
          <w:rtl/>
        </w:rPr>
        <w:lastRenderedPageBreak/>
        <w:t>فإذا قال لامرأته : طلِّقِي نفسكِ</w:t>
      </w:r>
      <w:r>
        <w:rPr>
          <w:rStyle w:val="a7"/>
          <w:rtl/>
        </w:rPr>
        <w:footnoteReference w:id="1205"/>
      </w:r>
      <w:r>
        <w:rPr>
          <w:rFonts w:hint="cs"/>
          <w:rtl/>
        </w:rPr>
        <w:t xml:space="preserve"> :</w:t>
      </w:r>
    </w:p>
    <w:p w:rsidR="00C10469" w:rsidRDefault="00C10469" w:rsidP="00C10469">
      <w:pPr>
        <w:rPr>
          <w:rtl/>
        </w:rPr>
      </w:pPr>
      <w:r>
        <w:rPr>
          <w:rtl/>
        </w:rPr>
        <w:t>•</w:t>
      </w:r>
      <w:r>
        <w:rPr>
          <w:rFonts w:hint="cs"/>
          <w:rtl/>
        </w:rPr>
        <w:t xml:space="preserve"> فعندنا : لا [تصح]</w:t>
      </w:r>
      <w:r>
        <w:rPr>
          <w:rStyle w:val="a7"/>
          <w:rtl/>
        </w:rPr>
        <w:footnoteReference w:id="1206"/>
      </w:r>
      <w:r>
        <w:rPr>
          <w:rFonts w:hint="cs"/>
          <w:rtl/>
        </w:rPr>
        <w:t xml:space="preserve"> نيّة الاثنتين</w:t>
      </w:r>
      <w:r>
        <w:rPr>
          <w:rStyle w:val="a7"/>
          <w:rtl/>
        </w:rPr>
        <w:footnoteReference w:id="1207"/>
      </w:r>
      <w:r>
        <w:rPr>
          <w:rFonts w:hint="cs"/>
          <w:rtl/>
        </w:rPr>
        <w:t>؛ لأن الأمر لا يحتمل التكرار</w:t>
      </w:r>
      <w:r>
        <w:rPr>
          <w:rFonts w:hint="cs"/>
          <w:vertAlign w:val="superscript"/>
          <w:rtl/>
        </w:rPr>
        <w:t>(</w:t>
      </w:r>
      <w:r>
        <w:rPr>
          <w:rStyle w:val="a7"/>
          <w:rtl/>
        </w:rPr>
        <w:footnoteReference w:id="1208"/>
      </w:r>
      <w:r>
        <w:rPr>
          <w:rFonts w:hint="cs"/>
          <w:vertAlign w:val="superscript"/>
          <w:rtl/>
        </w:rPr>
        <w:t>)</w:t>
      </w:r>
      <w:r>
        <w:rPr>
          <w:rFonts w:hint="cs"/>
          <w:rtl/>
        </w:rPr>
        <w:t>.</w:t>
      </w:r>
    </w:p>
    <w:p w:rsidR="00C10469" w:rsidRDefault="00C10469" w:rsidP="00C10469">
      <w:pPr>
        <w:rPr>
          <w:rtl/>
        </w:rPr>
      </w:pPr>
      <w:r>
        <w:rPr>
          <w:rtl/>
        </w:rPr>
        <w:t>•</w:t>
      </w:r>
      <w:r>
        <w:rPr>
          <w:rFonts w:hint="cs"/>
          <w:rtl/>
        </w:rPr>
        <w:t xml:space="preserve"> وعنده يصح؛ لأنه يحتمله</w:t>
      </w:r>
      <w:r>
        <w:rPr>
          <w:rFonts w:hint="cs"/>
          <w:vertAlign w:val="superscript"/>
          <w:rtl/>
        </w:rPr>
        <w:t>(</w:t>
      </w:r>
      <w:r>
        <w:rPr>
          <w:rStyle w:val="a7"/>
          <w:rtl/>
        </w:rPr>
        <w:footnoteReference w:id="1209"/>
      </w:r>
      <w:r>
        <w:rPr>
          <w:rFonts w:hint="cs"/>
          <w:vertAlign w:val="superscript"/>
          <w:rtl/>
        </w:rPr>
        <w:t>)</w:t>
      </w:r>
      <w:r>
        <w:rPr>
          <w:rFonts w:hint="cs"/>
          <w:rtl/>
        </w:rPr>
        <w:t>.</w:t>
      </w:r>
    </w:p>
    <w:p w:rsidR="00C10469" w:rsidRDefault="00C10469">
      <w:pPr>
        <w:rPr>
          <w:rtl/>
        </w:rPr>
      </w:pPr>
      <w:r>
        <w:rPr>
          <w:rFonts w:hint="cs"/>
          <w:b/>
          <w:bCs/>
          <w:rtl/>
        </w:rPr>
        <w:lastRenderedPageBreak/>
        <w:t>ولا يقال</w:t>
      </w:r>
      <w:r>
        <w:rPr>
          <w:rFonts w:hint="cs"/>
          <w:rtl/>
        </w:rPr>
        <w:t xml:space="preserve"> : إن نـيّـة الثلاث [تصـحّ]</w:t>
      </w:r>
      <w:r>
        <w:rPr>
          <w:rStyle w:val="a7"/>
          <w:rtl/>
        </w:rPr>
        <w:footnoteReference w:id="1210"/>
      </w:r>
      <w:r>
        <w:rPr>
          <w:rFonts w:hint="cs"/>
          <w:rtl/>
        </w:rPr>
        <w:t xml:space="preserve"> عنـدنا أيضًا، [فما]</w:t>
      </w:r>
      <w:r>
        <w:rPr>
          <w:rStyle w:val="a7"/>
          <w:rtl/>
        </w:rPr>
        <w:footnoteReference w:id="1211"/>
      </w:r>
      <w:r>
        <w:rPr>
          <w:rFonts w:hint="cs"/>
          <w:rtl/>
        </w:rPr>
        <w:t xml:space="preserve"> قولكم</w:t>
      </w:r>
      <w:r>
        <w:rPr>
          <w:rStyle w:val="a7"/>
          <w:rtl/>
        </w:rPr>
        <w:footnoteReference w:id="1212"/>
      </w:r>
      <w:r>
        <w:rPr>
          <w:rFonts w:hint="cs"/>
          <w:rtl/>
        </w:rPr>
        <w:t xml:space="preserve"> : لا يحتمل العدد؟!</w:t>
      </w:r>
      <w:r>
        <w:rPr>
          <w:rFonts w:hint="cs"/>
          <w:vertAlign w:val="superscript"/>
          <w:rtl/>
        </w:rPr>
        <w:t>(</w:t>
      </w:r>
      <w:r>
        <w:rPr>
          <w:rStyle w:val="a7"/>
          <w:rtl/>
        </w:rPr>
        <w:footnoteReference w:id="1213"/>
      </w:r>
      <w:r>
        <w:rPr>
          <w:rFonts w:hint="cs"/>
          <w:vertAlign w:val="superscript"/>
          <w:rtl/>
        </w:rPr>
        <w:t>)</w:t>
      </w:r>
      <w:r>
        <w:rPr>
          <w:rFonts w:hint="cs"/>
          <w:rtl/>
        </w:rPr>
        <w:t xml:space="preserve"> .</w:t>
      </w:r>
    </w:p>
    <w:p w:rsidR="00C10469" w:rsidRDefault="00C10469">
      <w:pPr>
        <w:rPr>
          <w:rtl/>
        </w:rPr>
      </w:pPr>
      <w:r w:rsidRPr="00181D85">
        <w:rPr>
          <w:rFonts w:hint="cs"/>
          <w:b/>
          <w:bCs/>
          <w:spacing w:val="-2"/>
          <w:rtl/>
        </w:rPr>
        <w:t>لأن</w:t>
      </w:r>
      <w:r w:rsidRPr="00181D85">
        <w:rPr>
          <w:rFonts w:hint="cs"/>
          <w:spacing w:val="-2"/>
          <w:rtl/>
        </w:rPr>
        <w:t xml:space="preserve"> </w:t>
      </w:r>
      <w:r w:rsidRPr="00181D85">
        <w:rPr>
          <w:rFonts w:hint="eastAsia"/>
          <w:spacing w:val="-2"/>
          <w:rtl/>
        </w:rPr>
        <w:t>«</w:t>
      </w:r>
      <w:r w:rsidRPr="00181D85">
        <w:rPr>
          <w:rFonts w:hint="cs"/>
          <w:spacing w:val="-2"/>
          <w:rtl/>
        </w:rPr>
        <w:t>الفرد</w:t>
      </w:r>
      <w:r w:rsidRPr="00181D85">
        <w:rPr>
          <w:rStyle w:val="a7"/>
          <w:spacing w:val="-2"/>
          <w:rtl/>
        </w:rPr>
        <w:footnoteReference w:id="1214"/>
      </w:r>
      <w:r w:rsidRPr="00181D85">
        <w:rPr>
          <w:rFonts w:hint="cs"/>
          <w:spacing w:val="-2"/>
          <w:rtl/>
        </w:rPr>
        <w:t xml:space="preserve"> [يتنوع]</w:t>
      </w:r>
      <w:r w:rsidRPr="00181D85">
        <w:rPr>
          <w:rStyle w:val="a7"/>
          <w:spacing w:val="-2"/>
          <w:rtl/>
        </w:rPr>
        <w:footnoteReference w:id="1215"/>
      </w:r>
      <w:r w:rsidRPr="00181D85">
        <w:rPr>
          <w:rFonts w:hint="cs"/>
          <w:spacing w:val="-2"/>
          <w:rtl/>
        </w:rPr>
        <w:t xml:space="preserve"> إلى حقيقي (وهو أدنى الجنس) واعتباري (وهو تمامُ </w:t>
      </w:r>
      <w:r>
        <w:rPr>
          <w:rFonts w:hint="cs"/>
          <w:rtl/>
        </w:rPr>
        <w:t>الجنس)؛ لأنه فرد اعتـباري بالنسبة إلى سـائر الأجـنـاس</w:t>
      </w:r>
      <w:r>
        <w:rPr>
          <w:rFonts w:hint="eastAsia"/>
          <w:rtl/>
        </w:rPr>
        <w:t>»</w:t>
      </w:r>
      <w:r>
        <w:rPr>
          <w:rFonts w:hint="cs"/>
          <w:vertAlign w:val="superscript"/>
          <w:rtl/>
        </w:rPr>
        <w:t>(</w:t>
      </w:r>
      <w:r>
        <w:rPr>
          <w:rStyle w:val="a7"/>
          <w:rtl/>
        </w:rPr>
        <w:footnoteReference w:id="1216"/>
      </w:r>
      <w:r>
        <w:rPr>
          <w:rFonts w:hint="cs"/>
          <w:vertAlign w:val="superscript"/>
          <w:rtl/>
        </w:rPr>
        <w:t>)</w:t>
      </w:r>
      <w:r>
        <w:rPr>
          <w:rFonts w:hint="cs"/>
          <w:rtl/>
        </w:rPr>
        <w:t xml:space="preserve">، فإذا قال: طلِّقي </w:t>
      </w:r>
      <w:r>
        <w:rPr>
          <w:rFonts w:hint="cs"/>
          <w:rtl/>
        </w:rPr>
        <w:lastRenderedPageBreak/>
        <w:t>نفسك: يحمل</w:t>
      </w:r>
      <w:r>
        <w:rPr>
          <w:rStyle w:val="a7"/>
          <w:rtl/>
        </w:rPr>
        <w:footnoteReference w:id="1217"/>
      </w:r>
      <w:r>
        <w:rPr>
          <w:rFonts w:hint="cs"/>
          <w:rtl/>
        </w:rPr>
        <w:t xml:space="preserve"> على فـردٍ حقيـقي (وهـو طلـقة واحـدة)، ويُحْتَمل [الفرد]</w:t>
      </w:r>
      <w:r>
        <w:rPr>
          <w:rStyle w:val="a7"/>
          <w:rtl/>
        </w:rPr>
        <w:footnoteReference w:id="1218"/>
      </w:r>
      <w:r>
        <w:rPr>
          <w:rFonts w:hint="cs"/>
          <w:rtl/>
        </w:rPr>
        <w:t xml:space="preserve"> الاعتباري، فإذا نوى : يصح.</w:t>
      </w:r>
    </w:p>
    <w:p w:rsidR="00C10469" w:rsidRDefault="00C10469">
      <w:pPr>
        <w:rPr>
          <w:rtl/>
        </w:rPr>
      </w:pPr>
      <w:r>
        <w:rPr>
          <w:rFonts w:hint="cs"/>
          <w:rtl/>
        </w:rPr>
        <w:t>وأما الثنـتـان</w:t>
      </w:r>
      <w:r>
        <w:rPr>
          <w:rStyle w:val="a7"/>
          <w:rtl/>
        </w:rPr>
        <w:footnoteReference w:id="1219"/>
      </w:r>
      <w:r>
        <w:rPr>
          <w:rFonts w:hint="cs"/>
          <w:rtl/>
        </w:rPr>
        <w:t xml:space="preserve"> : عددٌ محضٌ، فلا يتناوله اسم المفرد، فلا يُعتبر</w:t>
      </w:r>
      <w:r>
        <w:rPr>
          <w:rStyle w:val="a7"/>
          <w:rtl/>
        </w:rPr>
        <w:footnoteReference w:id="1220"/>
      </w:r>
      <w:r>
        <w:rPr>
          <w:rFonts w:hint="cs"/>
          <w:rtl/>
        </w:rPr>
        <w:t xml:space="preserve"> [بنيته]</w:t>
      </w:r>
      <w:r>
        <w:rPr>
          <w:rStyle w:val="a7"/>
          <w:rtl/>
        </w:rPr>
        <w:footnoteReference w:id="1221"/>
      </w:r>
      <w:r>
        <w:rPr>
          <w:rFonts w:hint="cs"/>
          <w:rtl/>
        </w:rPr>
        <w:t>، فتعين الفرد الحقيقي</w:t>
      </w:r>
      <w:r>
        <w:rPr>
          <w:rFonts w:hint="cs"/>
          <w:vertAlign w:val="superscript"/>
          <w:rtl/>
        </w:rPr>
        <w:t>(</w:t>
      </w:r>
      <w:r>
        <w:rPr>
          <w:rStyle w:val="a7"/>
          <w:rtl/>
        </w:rPr>
        <w:footnoteReference w:id="1222"/>
      </w:r>
      <w:r>
        <w:rPr>
          <w:rFonts w:hint="cs"/>
          <w:vertAlign w:val="superscript"/>
          <w:rtl/>
        </w:rPr>
        <w:t>)</w:t>
      </w:r>
      <w:r>
        <w:rPr>
          <w:rFonts w:hint="cs"/>
          <w:rtl/>
        </w:rPr>
        <w:t>.</w:t>
      </w:r>
    </w:p>
    <w:p w:rsidR="00C10469" w:rsidRDefault="00C10469">
      <w:pPr>
        <w:rPr>
          <w:rtl/>
        </w:rPr>
      </w:pPr>
      <w:r>
        <w:rPr>
          <w:rFonts w:hint="cs"/>
          <w:rtl/>
        </w:rPr>
        <w:t>واعلم أن الثنتين في الأمة كالثلاث</w:t>
      </w:r>
      <w:r>
        <w:rPr>
          <w:rStyle w:val="a7"/>
          <w:rtl/>
        </w:rPr>
        <w:footnoteReference w:id="1223"/>
      </w:r>
      <w:r>
        <w:rPr>
          <w:rFonts w:hint="cs"/>
          <w:rtl/>
        </w:rPr>
        <w:t xml:space="preserve"> في الحرة</w:t>
      </w:r>
      <w:r>
        <w:rPr>
          <w:rFonts w:hint="cs"/>
          <w:vertAlign w:val="superscript"/>
          <w:rtl/>
        </w:rPr>
        <w:t>(</w:t>
      </w:r>
      <w:r>
        <w:rPr>
          <w:rStyle w:val="a7"/>
          <w:rtl/>
        </w:rPr>
        <w:footnoteReference w:id="1224"/>
      </w:r>
      <w:r>
        <w:rPr>
          <w:rFonts w:hint="cs"/>
          <w:vertAlign w:val="superscript"/>
          <w:rtl/>
        </w:rPr>
        <w:t>)</w:t>
      </w:r>
      <w:r>
        <w:rPr>
          <w:rFonts w:hint="cs"/>
          <w:rtl/>
        </w:rPr>
        <w:t>.</w:t>
      </w:r>
    </w:p>
    <w:p w:rsidR="00C10469" w:rsidRDefault="00C10469">
      <w:pPr>
        <w:rPr>
          <w:rtl/>
        </w:rPr>
      </w:pPr>
      <w:r>
        <w:rPr>
          <w:rFonts w:hint="cs"/>
          <w:rtl/>
        </w:rPr>
        <w:lastRenderedPageBreak/>
        <w:t>وكذا سائر الأجناس</w:t>
      </w:r>
      <w:r>
        <w:rPr>
          <w:rFonts w:hint="cs"/>
          <w:vertAlign w:val="superscript"/>
          <w:rtl/>
        </w:rPr>
        <w:t>(</w:t>
      </w:r>
      <w:r>
        <w:rPr>
          <w:rStyle w:val="a7"/>
          <w:rtl/>
        </w:rPr>
        <w:footnoteReference w:id="1225"/>
      </w:r>
      <w:r>
        <w:rPr>
          <w:rFonts w:hint="cs"/>
          <w:vertAlign w:val="superscript"/>
          <w:rtl/>
        </w:rPr>
        <w:t>)</w:t>
      </w:r>
      <w:r>
        <w:rPr>
          <w:rFonts w:hint="cs"/>
          <w:rtl/>
        </w:rPr>
        <w:t xml:space="preserve"> : </w:t>
      </w:r>
    </w:p>
    <w:p w:rsidR="00C10469" w:rsidRDefault="00C10469" w:rsidP="00C10469">
      <w:pPr>
        <w:spacing w:line="221" w:lineRule="auto"/>
        <w:ind w:left="1131" w:hanging="207"/>
        <w:rPr>
          <w:rtl/>
        </w:rPr>
      </w:pPr>
      <w:r>
        <w:rPr>
          <w:rtl/>
        </w:rPr>
        <w:t>•</w:t>
      </w:r>
      <w:r>
        <w:rPr>
          <w:rFonts w:hint="cs"/>
          <w:rtl/>
        </w:rPr>
        <w:t xml:space="preserve">  إذا كانت فردًا حقيقة</w:t>
      </w:r>
      <w:r>
        <w:rPr>
          <w:rStyle w:val="a7"/>
          <w:rtl/>
        </w:rPr>
        <w:footnoteReference w:id="1226"/>
      </w:r>
      <w:r>
        <w:rPr>
          <w:rFonts w:hint="cs"/>
          <w:rtl/>
        </w:rPr>
        <w:t>؛ كما إذا لم يكن</w:t>
      </w:r>
      <w:r>
        <w:rPr>
          <w:rFonts w:hint="cs"/>
          <w:vertAlign w:val="superscript"/>
          <w:rtl/>
        </w:rPr>
        <w:t>(</w:t>
      </w:r>
      <w:r>
        <w:rPr>
          <w:rStyle w:val="a7"/>
          <w:rtl/>
        </w:rPr>
        <w:footnoteReference w:id="1227"/>
      </w:r>
      <w:r>
        <w:rPr>
          <w:rFonts w:hint="cs"/>
          <w:vertAlign w:val="superscript"/>
          <w:rtl/>
        </w:rPr>
        <w:t>)</w:t>
      </w:r>
      <w:r>
        <w:rPr>
          <w:rFonts w:hint="cs"/>
          <w:rtl/>
        </w:rPr>
        <w:t xml:space="preserve"> صيغته صيغة تثنية أو جمع، سواء كان معرفًا أو منكرًا ؛ كقوله : لا أشرب الماء، أو ماء</w:t>
      </w:r>
      <w:r>
        <w:rPr>
          <w:rFonts w:hint="cs"/>
          <w:vertAlign w:val="superscript"/>
          <w:rtl/>
        </w:rPr>
        <w:t>(</w:t>
      </w:r>
      <w:r>
        <w:rPr>
          <w:rStyle w:val="a7"/>
          <w:rtl/>
        </w:rPr>
        <w:footnoteReference w:id="1228"/>
      </w:r>
      <w:r>
        <w:rPr>
          <w:rFonts w:hint="cs"/>
          <w:vertAlign w:val="superscript"/>
          <w:rtl/>
        </w:rPr>
        <w:t>)</w:t>
      </w:r>
      <w:r>
        <w:rPr>
          <w:rFonts w:hint="cs"/>
          <w:rtl/>
        </w:rPr>
        <w:t>.</w:t>
      </w:r>
    </w:p>
    <w:p w:rsidR="00C10469" w:rsidRDefault="00C10469" w:rsidP="00C10469">
      <w:pPr>
        <w:spacing w:line="221" w:lineRule="auto"/>
        <w:ind w:left="1131" w:hanging="207"/>
        <w:rPr>
          <w:rtl/>
        </w:rPr>
      </w:pPr>
      <w:r>
        <w:rPr>
          <w:rtl/>
        </w:rPr>
        <w:t>•</w:t>
      </w:r>
      <w:r>
        <w:rPr>
          <w:rFonts w:hint="cs"/>
          <w:rtl/>
        </w:rPr>
        <w:t xml:space="preserve"> أو كانت فردًا حكمًا؛ كما إذا كانت صيغته صيغة جمع : معرفًا</w:t>
      </w:r>
      <w:r>
        <w:rPr>
          <w:rFonts w:hint="cs"/>
          <w:vertAlign w:val="superscript"/>
          <w:rtl/>
        </w:rPr>
        <w:t>(</w:t>
      </w:r>
      <w:r>
        <w:rPr>
          <w:rStyle w:val="a7"/>
          <w:rtl/>
        </w:rPr>
        <w:footnoteReference w:id="1229"/>
      </w:r>
      <w:r>
        <w:rPr>
          <w:rFonts w:hint="cs"/>
          <w:vertAlign w:val="superscript"/>
          <w:rtl/>
        </w:rPr>
        <w:t>)</w:t>
      </w:r>
      <w:r>
        <w:rPr>
          <w:rFonts w:hint="cs"/>
          <w:rtl/>
        </w:rPr>
        <w:t xml:space="preserve"> بلام الجنس، كقوله : لا أشتري العبيد.</w:t>
      </w:r>
    </w:p>
    <w:p w:rsidR="00C10469" w:rsidRDefault="00C10469" w:rsidP="00C10469">
      <w:pPr>
        <w:spacing w:line="221" w:lineRule="auto"/>
        <w:ind w:left="411" w:firstLine="720"/>
        <w:rPr>
          <w:rtl/>
        </w:rPr>
      </w:pPr>
      <w:r>
        <w:rPr>
          <w:rFonts w:hint="cs"/>
          <w:rtl/>
        </w:rPr>
        <w:t>أو مضافًا إلى الجنس</w:t>
      </w:r>
      <w:r>
        <w:rPr>
          <w:rFonts w:hint="cs"/>
          <w:vertAlign w:val="superscript"/>
          <w:rtl/>
        </w:rPr>
        <w:t>(</w:t>
      </w:r>
      <w:r>
        <w:rPr>
          <w:rStyle w:val="a7"/>
          <w:rtl/>
        </w:rPr>
        <w:footnoteReference w:id="1230"/>
      </w:r>
      <w:r>
        <w:rPr>
          <w:rFonts w:hint="cs"/>
          <w:vertAlign w:val="superscript"/>
          <w:rtl/>
        </w:rPr>
        <w:t>)</w:t>
      </w:r>
      <w:r>
        <w:rPr>
          <w:rFonts w:hint="cs"/>
          <w:rtl/>
        </w:rPr>
        <w:t>؛ كقوله : لا أكلّم [بني]</w:t>
      </w:r>
      <w:r>
        <w:rPr>
          <w:rStyle w:val="a7"/>
          <w:rtl/>
        </w:rPr>
        <w:footnoteReference w:id="1231"/>
      </w:r>
      <w:r>
        <w:rPr>
          <w:rFonts w:hint="cs"/>
          <w:rtl/>
        </w:rPr>
        <w:t xml:space="preserve"> آدم</w:t>
      </w:r>
      <w:r>
        <w:rPr>
          <w:rFonts w:hint="cs"/>
          <w:vertAlign w:val="superscript"/>
          <w:rtl/>
        </w:rPr>
        <w:t>(</w:t>
      </w:r>
      <w:r>
        <w:rPr>
          <w:rStyle w:val="a7"/>
          <w:rtl/>
        </w:rPr>
        <w:footnoteReference w:id="1232"/>
      </w:r>
      <w:r>
        <w:rPr>
          <w:rFonts w:hint="cs"/>
          <w:vertAlign w:val="superscript"/>
          <w:rtl/>
        </w:rPr>
        <w:t>)</w:t>
      </w:r>
      <w:r>
        <w:rPr>
          <w:rFonts w:hint="cs"/>
          <w:rtl/>
        </w:rPr>
        <w:t xml:space="preserve"> :</w:t>
      </w:r>
    </w:p>
    <w:p w:rsidR="00C10469" w:rsidRDefault="00C10469" w:rsidP="00C10469">
      <w:pPr>
        <w:spacing w:line="221" w:lineRule="auto"/>
        <w:rPr>
          <w:rtl/>
        </w:rPr>
      </w:pPr>
      <w:r>
        <w:rPr>
          <w:rFonts w:hint="cs"/>
          <w:spacing w:val="-8"/>
          <w:rtl/>
        </w:rPr>
        <w:t>يحمل على أدنى الجنس، على احتمال كل الجنس</w:t>
      </w:r>
      <w:r>
        <w:rPr>
          <w:rFonts w:hint="cs"/>
          <w:vertAlign w:val="superscript"/>
          <w:rtl/>
        </w:rPr>
        <w:t>(</w:t>
      </w:r>
      <w:r>
        <w:rPr>
          <w:rStyle w:val="a7"/>
          <w:rtl/>
        </w:rPr>
        <w:footnoteReference w:id="1233"/>
      </w:r>
      <w:r>
        <w:rPr>
          <w:rFonts w:hint="cs"/>
          <w:vertAlign w:val="superscript"/>
          <w:rtl/>
        </w:rPr>
        <w:t>)</w:t>
      </w:r>
      <w:r>
        <w:rPr>
          <w:rFonts w:hint="cs"/>
          <w:rtl/>
        </w:rPr>
        <w:t xml:space="preserve"> </w:t>
      </w:r>
      <w:r>
        <w:rPr>
          <w:rFonts w:hint="cs"/>
          <w:spacing w:val="-8"/>
          <w:rtl/>
        </w:rPr>
        <w:t xml:space="preserve">؛ لأن </w:t>
      </w:r>
      <w:r>
        <w:rPr>
          <w:rFonts w:hint="eastAsia"/>
          <w:spacing w:val="-8"/>
          <w:rtl/>
        </w:rPr>
        <w:t>«</w:t>
      </w:r>
      <w:r>
        <w:rPr>
          <w:rFonts w:hint="cs"/>
          <w:spacing w:val="-8"/>
          <w:rtl/>
        </w:rPr>
        <w:t>الجمع المحلى بلام الجنس، أو المضاف [إلى معرّف]</w:t>
      </w:r>
      <w:r>
        <w:rPr>
          <w:rStyle w:val="a7"/>
          <w:rtl/>
        </w:rPr>
        <w:footnoteReference w:id="1234"/>
      </w:r>
      <w:r>
        <w:rPr>
          <w:rFonts w:hint="cs"/>
          <w:rtl/>
        </w:rPr>
        <w:t xml:space="preserve"> </w:t>
      </w:r>
      <w:r>
        <w:rPr>
          <w:rFonts w:hint="cs"/>
          <w:spacing w:val="-8"/>
          <w:rtl/>
        </w:rPr>
        <w:t>بلام الجنس يراد به الجنس، و[تبطل]</w:t>
      </w:r>
      <w:r>
        <w:rPr>
          <w:rStyle w:val="a7"/>
          <w:rtl/>
        </w:rPr>
        <w:footnoteReference w:id="1235"/>
      </w:r>
      <w:r>
        <w:rPr>
          <w:rFonts w:hint="cs"/>
          <w:rtl/>
        </w:rPr>
        <w:t xml:space="preserve"> </w:t>
      </w:r>
      <w:r>
        <w:rPr>
          <w:rFonts w:hint="cs"/>
          <w:spacing w:val="-8"/>
          <w:rtl/>
        </w:rPr>
        <w:t>الجمعية</w:t>
      </w:r>
      <w:r>
        <w:rPr>
          <w:rFonts w:hint="eastAsia"/>
          <w:spacing w:val="-8"/>
          <w:rtl/>
        </w:rPr>
        <w:t>»</w:t>
      </w:r>
      <w:r>
        <w:rPr>
          <w:rFonts w:hint="cs"/>
          <w:spacing w:val="-8"/>
          <w:rtl/>
        </w:rPr>
        <w:t xml:space="preserve">. </w:t>
      </w:r>
      <w:r>
        <w:rPr>
          <w:rFonts w:hint="cs"/>
          <w:spacing w:val="-8"/>
          <w:rtl/>
        </w:rPr>
        <w:lastRenderedPageBreak/>
        <w:t>وسيجئ تحقيقه في باب الجيم -إن شاء الله-</w:t>
      </w:r>
      <w:r>
        <w:rPr>
          <w:rFonts w:hint="cs"/>
          <w:vertAlign w:val="superscript"/>
          <w:rtl/>
        </w:rPr>
        <w:t>(</w:t>
      </w:r>
      <w:r>
        <w:rPr>
          <w:rStyle w:val="a7"/>
          <w:rtl/>
        </w:rPr>
        <w:footnoteReference w:id="1236"/>
      </w:r>
      <w:r>
        <w:rPr>
          <w:rFonts w:hint="cs"/>
          <w:vertAlign w:val="superscript"/>
          <w:rtl/>
        </w:rPr>
        <w:t>)</w:t>
      </w:r>
      <w:r>
        <w:rPr>
          <w:rFonts w:hint="cs"/>
          <w:rtl/>
        </w:rPr>
        <w:t>.</w:t>
      </w:r>
    </w:p>
    <w:p w:rsidR="00C10469" w:rsidRDefault="00C10469">
      <w:pPr>
        <w:rPr>
          <w:rtl/>
        </w:rPr>
      </w:pPr>
      <w:r>
        <w:rPr>
          <w:rFonts w:hint="cs"/>
          <w:rtl/>
        </w:rPr>
        <w:t>وأمّا إذا كان الجمع</w:t>
      </w:r>
      <w:r>
        <w:rPr>
          <w:rStyle w:val="a7"/>
          <w:rtl/>
        </w:rPr>
        <w:footnoteReference w:id="1237"/>
      </w:r>
      <w:r>
        <w:rPr>
          <w:rFonts w:hint="cs"/>
          <w:rtl/>
        </w:rPr>
        <w:t xml:space="preserve"> مُـنَـكَّـرًا، كقوله : لا اشتري عبيدًا : لا يحنث ما لم يشترِ ثلاثًا من العبيد؛ لأن الفرد الحقيقي في الجمع ثلاثة؛ لأنه أقل الجمع</w:t>
      </w:r>
      <w:r>
        <w:rPr>
          <w:rFonts w:hint="cs"/>
          <w:vertAlign w:val="superscript"/>
          <w:rtl/>
        </w:rPr>
        <w:t>(</w:t>
      </w:r>
      <w:r>
        <w:rPr>
          <w:rStyle w:val="a7"/>
          <w:rtl/>
        </w:rPr>
        <w:footnoteReference w:id="1238"/>
      </w:r>
      <w:r>
        <w:rPr>
          <w:rFonts w:hint="cs"/>
          <w:vertAlign w:val="superscript"/>
          <w:rtl/>
        </w:rPr>
        <w:t>)</w:t>
      </w:r>
      <w:r>
        <w:rPr>
          <w:rFonts w:hint="cs"/>
          <w:rtl/>
        </w:rPr>
        <w:t>، والفرد الاعتباري فيه جميع أفراده، فلا يمكن الانـحصار، فتعين كون مراد الحالف</w:t>
      </w:r>
      <w:r>
        <w:rPr>
          <w:rStyle w:val="a7"/>
          <w:rtl/>
        </w:rPr>
        <w:footnoteReference w:id="1239"/>
      </w:r>
      <w:r>
        <w:rPr>
          <w:rFonts w:hint="cs"/>
          <w:rtl/>
        </w:rPr>
        <w:t xml:space="preserve"> الفرد الحقيقي (وهو </w:t>
      </w:r>
      <w:r>
        <w:rPr>
          <w:rFonts w:hint="cs"/>
          <w:b/>
          <w:bCs/>
          <w:rtl/>
        </w:rPr>
        <w:t xml:space="preserve">ثلاثة </w:t>
      </w:r>
      <w:r>
        <w:rPr>
          <w:rStyle w:val="a7"/>
          <w:b/>
          <w:rtl/>
        </w:rPr>
        <w:footnoteReference w:id="1240"/>
      </w:r>
      <w:r>
        <w:rPr>
          <w:rFonts w:hint="cs"/>
          <w:rtl/>
        </w:rPr>
        <w:t xml:space="preserve"> في الجميع)</w:t>
      </w:r>
      <w:r>
        <w:rPr>
          <w:rStyle w:val="a7"/>
          <w:rtl/>
        </w:rPr>
        <w:footnoteReference w:id="1241"/>
      </w:r>
      <w:r>
        <w:rPr>
          <w:rFonts w:hint="cs"/>
          <w:vertAlign w:val="superscript"/>
          <w:rtl/>
        </w:rPr>
        <w:t>(</w:t>
      </w:r>
      <w:r>
        <w:rPr>
          <w:rStyle w:val="a7"/>
          <w:rtl/>
        </w:rPr>
        <w:footnoteReference w:id="1242"/>
      </w:r>
      <w:r>
        <w:rPr>
          <w:rFonts w:hint="cs"/>
          <w:vertAlign w:val="superscript"/>
          <w:rtl/>
        </w:rPr>
        <w:t>)</w:t>
      </w:r>
      <w:r>
        <w:rPr>
          <w:rFonts w:hint="cs"/>
          <w:rtl/>
        </w:rPr>
        <w:t>.</w:t>
      </w:r>
    </w:p>
    <w:p w:rsidR="00C10469" w:rsidRDefault="00C10469">
      <w:pPr>
        <w:rPr>
          <w:spacing w:val="-4"/>
          <w:rtl/>
        </w:rPr>
      </w:pPr>
      <w:r>
        <w:rPr>
          <w:rFonts w:hint="cs"/>
          <w:spacing w:val="-4"/>
          <w:rtl/>
        </w:rPr>
        <w:t>وعُلِمَ بهذا</w:t>
      </w:r>
      <w:r>
        <w:rPr>
          <w:rStyle w:val="a7"/>
          <w:spacing w:val="-4"/>
          <w:rtl/>
        </w:rPr>
        <w:footnoteReference w:id="1243"/>
      </w:r>
      <w:r>
        <w:rPr>
          <w:rFonts w:hint="cs"/>
          <w:spacing w:val="-4"/>
          <w:rtl/>
        </w:rPr>
        <w:t xml:space="preserve"> أنَّ مرادَ القومِ بقولهم : </w:t>
      </w:r>
      <w:r>
        <w:rPr>
          <w:rFonts w:hint="eastAsia"/>
          <w:spacing w:val="-4"/>
          <w:rtl/>
        </w:rPr>
        <w:t>«</w:t>
      </w:r>
      <w:r>
        <w:rPr>
          <w:rFonts w:hint="cs"/>
          <w:spacing w:val="-4"/>
          <w:rtl/>
        </w:rPr>
        <w:t>الجمع المضاف من قبيل المفرد حكمًا</w:t>
      </w:r>
      <w:r>
        <w:rPr>
          <w:rFonts w:hint="eastAsia"/>
          <w:spacing w:val="-4"/>
          <w:rtl/>
        </w:rPr>
        <w:t>»</w:t>
      </w:r>
      <w:r>
        <w:rPr>
          <w:rFonts w:hint="cs"/>
          <w:spacing w:val="-4"/>
          <w:vertAlign w:val="superscript"/>
          <w:rtl/>
        </w:rPr>
        <w:t>(</w:t>
      </w:r>
      <w:r>
        <w:rPr>
          <w:rStyle w:val="a7"/>
          <w:spacing w:val="-4"/>
          <w:rtl/>
        </w:rPr>
        <w:footnoteReference w:id="1244"/>
      </w:r>
      <w:r>
        <w:rPr>
          <w:rFonts w:hint="cs"/>
          <w:spacing w:val="-4"/>
          <w:vertAlign w:val="superscript"/>
          <w:rtl/>
        </w:rPr>
        <w:t>)</w:t>
      </w:r>
      <w:r>
        <w:rPr>
          <w:rFonts w:hint="cs"/>
          <w:spacing w:val="-4"/>
          <w:rtl/>
        </w:rPr>
        <w:t xml:space="preserve"> الجمعُ المضاف إلى غير</w:t>
      </w:r>
      <w:r>
        <w:rPr>
          <w:rFonts w:hint="cs"/>
          <w:spacing w:val="-4"/>
          <w:vertAlign w:val="superscript"/>
          <w:rtl/>
        </w:rPr>
        <w:t>(</w:t>
      </w:r>
      <w:r>
        <w:rPr>
          <w:rStyle w:val="a7"/>
          <w:spacing w:val="-4"/>
          <w:rtl/>
        </w:rPr>
        <w:footnoteReference w:id="1245"/>
      </w:r>
      <w:r>
        <w:rPr>
          <w:rFonts w:hint="cs"/>
          <w:spacing w:val="-4"/>
          <w:vertAlign w:val="superscript"/>
          <w:rtl/>
        </w:rPr>
        <w:t>)</w:t>
      </w:r>
      <w:r>
        <w:rPr>
          <w:rFonts w:hint="cs"/>
          <w:spacing w:val="-4"/>
          <w:rtl/>
        </w:rPr>
        <w:t xml:space="preserve"> الـجنـس؛ فـإذا حـلف : لا يكلم إخوة فلان : لا يحنث ما </w:t>
      </w:r>
      <w:r>
        <w:rPr>
          <w:rFonts w:hint="cs"/>
          <w:spacing w:val="-4"/>
          <w:rtl/>
        </w:rPr>
        <w:lastRenderedPageBreak/>
        <w:t>لم [يكـلِّـمْ]</w:t>
      </w:r>
      <w:r>
        <w:rPr>
          <w:rStyle w:val="a7"/>
          <w:spacing w:val="-4"/>
          <w:rtl/>
        </w:rPr>
        <w:footnoteReference w:id="1246"/>
      </w:r>
      <w:r>
        <w:rPr>
          <w:rFonts w:hint="cs"/>
          <w:spacing w:val="-4"/>
          <w:rtl/>
        </w:rPr>
        <w:t xml:space="preserve"> جـميع إخـوتـه</w:t>
      </w:r>
      <w:r>
        <w:rPr>
          <w:rFonts w:hint="cs"/>
          <w:spacing w:val="-4"/>
          <w:vertAlign w:val="superscript"/>
          <w:rtl/>
        </w:rPr>
        <w:t>(</w:t>
      </w:r>
      <w:r>
        <w:rPr>
          <w:rStyle w:val="a7"/>
          <w:spacing w:val="-4"/>
          <w:rtl/>
        </w:rPr>
        <w:footnoteReference w:id="1247"/>
      </w:r>
      <w:r>
        <w:rPr>
          <w:rFonts w:hint="cs"/>
          <w:spacing w:val="-4"/>
          <w:vertAlign w:val="superscript"/>
          <w:rtl/>
        </w:rPr>
        <w:t>)</w:t>
      </w:r>
      <w:r>
        <w:rPr>
          <w:rFonts w:hint="cs"/>
          <w:spacing w:val="-4"/>
          <w:rtl/>
        </w:rPr>
        <w:t>؛ لأنه لا مـانع</w:t>
      </w:r>
      <w:r>
        <w:rPr>
          <w:rStyle w:val="a7"/>
          <w:spacing w:val="-4"/>
          <w:rtl/>
        </w:rPr>
        <w:footnoteReference w:id="1248"/>
      </w:r>
      <w:r>
        <w:rPr>
          <w:rFonts w:hint="cs"/>
          <w:spacing w:val="-4"/>
          <w:rtl/>
        </w:rPr>
        <w:t xml:space="preserve"> من إرادة الجميع؛ لإمكان الـحصر -كما في [الزيادات]</w:t>
      </w:r>
      <w:r>
        <w:rPr>
          <w:rStyle w:val="a7"/>
          <w:spacing w:val="-4"/>
          <w:rtl/>
        </w:rPr>
        <w:footnoteReference w:id="1249"/>
      </w:r>
      <w:r>
        <w:rPr>
          <w:rFonts w:hint="cs"/>
          <w:spacing w:val="-4"/>
          <w:vertAlign w:val="superscript"/>
          <w:rtl/>
        </w:rPr>
        <w:t xml:space="preserve"> (</w:t>
      </w:r>
      <w:r>
        <w:rPr>
          <w:rStyle w:val="a7"/>
          <w:spacing w:val="-4"/>
          <w:rtl/>
        </w:rPr>
        <w:footnoteReference w:id="1250"/>
      </w:r>
      <w:r>
        <w:rPr>
          <w:rFonts w:hint="cs"/>
          <w:spacing w:val="-4"/>
          <w:vertAlign w:val="superscript"/>
          <w:rtl/>
        </w:rPr>
        <w:t>)</w:t>
      </w:r>
      <w:r>
        <w:rPr>
          <w:rFonts w:hint="cs"/>
          <w:spacing w:val="-4"/>
          <w:rtl/>
        </w:rPr>
        <w:t xml:space="preserve"> -</w:t>
      </w:r>
    </w:p>
    <w:p w:rsidR="00C10469" w:rsidRDefault="00C10469">
      <w:pPr>
        <w:ind w:firstLine="0"/>
        <w:rPr>
          <w:rtl/>
        </w:rPr>
      </w:pPr>
      <w:r>
        <w:rPr>
          <w:rFonts w:hint="cs"/>
          <w:rtl/>
        </w:rPr>
        <w:lastRenderedPageBreak/>
        <w:t>والظاهر أن مراد الحالف</w:t>
      </w:r>
      <w:r>
        <w:rPr>
          <w:rStyle w:val="a7"/>
          <w:rtl/>
        </w:rPr>
        <w:footnoteReference w:id="1251"/>
      </w:r>
      <w:r>
        <w:rPr>
          <w:rFonts w:hint="cs"/>
          <w:rtl/>
        </w:rPr>
        <w:t xml:space="preserve"> جميع إخوته.</w:t>
      </w:r>
    </w:p>
    <w:p w:rsidR="00C10469" w:rsidRDefault="00C10469">
      <w:pPr>
        <w:rPr>
          <w:rtl/>
        </w:rPr>
      </w:pPr>
      <w:r>
        <w:rPr>
          <w:rFonts w:hint="cs"/>
          <w:b/>
          <w:bCs/>
          <w:rtl/>
        </w:rPr>
        <w:t>وخرج</w:t>
      </w:r>
      <w:r>
        <w:rPr>
          <w:rFonts w:hint="cs"/>
          <w:rtl/>
        </w:rPr>
        <w:t xml:space="preserve"> عـن هـذا الأصْل</w:t>
      </w:r>
      <w:r>
        <w:rPr>
          <w:rFonts w:hint="cs"/>
          <w:vertAlign w:val="superscript"/>
          <w:rtl/>
        </w:rPr>
        <w:t>(</w:t>
      </w:r>
      <w:r>
        <w:rPr>
          <w:rStyle w:val="a7"/>
          <w:rtl/>
        </w:rPr>
        <w:footnoteReference w:id="1252"/>
      </w:r>
      <w:r>
        <w:rPr>
          <w:rFonts w:hint="cs"/>
          <w:vertAlign w:val="superscript"/>
          <w:rtl/>
        </w:rPr>
        <w:t>)</w:t>
      </w:r>
      <w:r>
        <w:rPr>
          <w:rFonts w:hint="cs"/>
          <w:rtl/>
        </w:rPr>
        <w:t xml:space="preserve"> : مـا إذا حلف : لا يكلم عـبيد فلان هذه</w:t>
      </w:r>
      <w:r>
        <w:rPr>
          <w:rFonts w:hint="cs"/>
          <w:vertAlign w:val="superscript"/>
          <w:rtl/>
        </w:rPr>
        <w:t>(</w:t>
      </w:r>
      <w:r>
        <w:rPr>
          <w:rStyle w:val="a7"/>
          <w:rtl/>
        </w:rPr>
        <w:footnoteReference w:id="1253"/>
      </w:r>
      <w:r>
        <w:rPr>
          <w:rFonts w:hint="cs"/>
          <w:vertAlign w:val="superscript"/>
          <w:rtl/>
        </w:rPr>
        <w:t>)</w:t>
      </w:r>
      <w:r>
        <w:rPr>
          <w:rFonts w:hint="cs"/>
          <w:rtl/>
        </w:rPr>
        <w:t xml:space="preserve"> : فإنه لا يحنث ما لم يـكلم ثلاثة منهم</w:t>
      </w:r>
      <w:r>
        <w:rPr>
          <w:rStyle w:val="a7"/>
          <w:rtl/>
        </w:rPr>
        <w:footnoteReference w:id="1254"/>
      </w:r>
      <w:r>
        <w:rPr>
          <w:rFonts w:hint="cs"/>
          <w:rtl/>
        </w:rPr>
        <w:t>، وإن كان له غلمان كثـيـر. على خلاف [المسألة]</w:t>
      </w:r>
      <w:r>
        <w:rPr>
          <w:rStyle w:val="a7"/>
          <w:rtl/>
        </w:rPr>
        <w:footnoteReference w:id="1255"/>
      </w:r>
      <w:r>
        <w:rPr>
          <w:rFonts w:hint="cs"/>
          <w:rtl/>
        </w:rPr>
        <w:t xml:space="preserve"> السابقة.</w:t>
      </w:r>
    </w:p>
    <w:p w:rsidR="00C10469" w:rsidRDefault="00C10469">
      <w:pPr>
        <w:rPr>
          <w:rtl/>
        </w:rPr>
      </w:pPr>
      <w:r>
        <w:rPr>
          <w:rFonts w:hint="cs"/>
          <w:b/>
          <w:bCs/>
          <w:rtl/>
        </w:rPr>
        <w:t>والجواب</w:t>
      </w:r>
      <w:r>
        <w:rPr>
          <w:rFonts w:hint="cs"/>
          <w:rtl/>
        </w:rPr>
        <w:t xml:space="preserve"> : أن الإضافة : عدمٌ عند الإشارة فبقي مجرّد [الجمع]</w:t>
      </w:r>
      <w:r>
        <w:rPr>
          <w:rStyle w:val="a7"/>
          <w:rtl/>
        </w:rPr>
        <w:footnoteReference w:id="1256"/>
      </w:r>
      <w:r>
        <w:rPr>
          <w:rFonts w:hint="cs"/>
          <w:rtl/>
        </w:rPr>
        <w:t xml:space="preserve"> المنكَّر</w:t>
      </w:r>
      <w:r>
        <w:rPr>
          <w:rFonts w:hint="cs"/>
          <w:vertAlign w:val="superscript"/>
          <w:rtl/>
        </w:rPr>
        <w:t>(</w:t>
      </w:r>
      <w:r>
        <w:rPr>
          <w:rStyle w:val="a7"/>
          <w:rtl/>
        </w:rPr>
        <w:footnoteReference w:id="1257"/>
      </w:r>
      <w:r>
        <w:rPr>
          <w:rFonts w:hint="cs"/>
          <w:vertAlign w:val="superscript"/>
          <w:rtl/>
        </w:rPr>
        <w:t>)</w:t>
      </w:r>
      <w:r>
        <w:rPr>
          <w:rFonts w:hint="cs"/>
          <w:rtl/>
        </w:rPr>
        <w:t>.</w:t>
      </w:r>
    </w:p>
    <w:p w:rsidR="00C10469" w:rsidRDefault="00C10469">
      <w:pPr>
        <w:rPr>
          <w:rtl/>
        </w:rPr>
      </w:pPr>
      <w:r>
        <w:rPr>
          <w:rFonts w:hint="cs"/>
          <w:rtl/>
        </w:rPr>
        <w:t>ذكر في (العناية) :</w:t>
      </w:r>
    </w:p>
    <w:p w:rsidR="00C10469" w:rsidRDefault="00C10469">
      <w:pPr>
        <w:rPr>
          <w:rtl/>
        </w:rPr>
      </w:pPr>
      <w:r>
        <w:rPr>
          <w:rFonts w:hint="eastAsia"/>
          <w:rtl/>
        </w:rPr>
        <w:t>«</w:t>
      </w:r>
      <w:r>
        <w:rPr>
          <w:rFonts w:hint="cs"/>
          <w:rtl/>
        </w:rPr>
        <w:t>الإضافة للتعريف [وما هو للتعريف]</w:t>
      </w:r>
      <w:r>
        <w:rPr>
          <w:rStyle w:val="a7"/>
          <w:rtl/>
        </w:rPr>
        <w:footnoteReference w:id="1258"/>
      </w:r>
      <w:r>
        <w:rPr>
          <w:rFonts w:hint="cs"/>
          <w:rtl/>
        </w:rPr>
        <w:t xml:space="preserve"> يلغو</w:t>
      </w:r>
      <w:r>
        <w:rPr>
          <w:rStyle w:val="a7"/>
          <w:rtl/>
        </w:rPr>
        <w:footnoteReference w:id="1259"/>
      </w:r>
      <w:r>
        <w:rPr>
          <w:rFonts w:hint="cs"/>
          <w:rtl/>
        </w:rPr>
        <w:t xml:space="preserve"> عند</w:t>
      </w:r>
      <w:r>
        <w:rPr>
          <w:rStyle w:val="a7"/>
          <w:rtl/>
        </w:rPr>
        <w:footnoteReference w:id="1260"/>
      </w:r>
      <w:r>
        <w:rPr>
          <w:rFonts w:hint="cs"/>
          <w:rtl/>
        </w:rPr>
        <w:t xml:space="preserve"> وجود ما هو أبلغ منه فيه، </w:t>
      </w:r>
      <w:r>
        <w:rPr>
          <w:rFonts w:hint="cs"/>
          <w:rtl/>
        </w:rPr>
        <w:lastRenderedPageBreak/>
        <w:t>والإشارة أبلغ منها فيه</w:t>
      </w:r>
      <w:r>
        <w:rPr>
          <w:rFonts w:hint="cs"/>
          <w:vertAlign w:val="superscript"/>
          <w:rtl/>
        </w:rPr>
        <w:t>(</w:t>
      </w:r>
      <w:r>
        <w:rPr>
          <w:rStyle w:val="a7"/>
          <w:rtl/>
        </w:rPr>
        <w:footnoteReference w:id="1261"/>
      </w:r>
      <w:r>
        <w:rPr>
          <w:rFonts w:hint="cs"/>
          <w:vertAlign w:val="superscript"/>
          <w:rtl/>
        </w:rPr>
        <w:t>)</w:t>
      </w:r>
      <w:r>
        <w:rPr>
          <w:rFonts w:hint="cs"/>
          <w:rtl/>
        </w:rPr>
        <w:t>؛ لكونها قاطعة للشركة؛ لكونها بمنزلة وضع اليد عليه</w:t>
      </w:r>
      <w:r>
        <w:rPr>
          <w:rFonts w:hint="cs"/>
          <w:vertAlign w:val="superscript"/>
          <w:rtl/>
        </w:rPr>
        <w:t>(</w:t>
      </w:r>
      <w:r>
        <w:rPr>
          <w:rStyle w:val="a7"/>
          <w:rtl/>
        </w:rPr>
        <w:footnoteReference w:id="1262"/>
      </w:r>
      <w:r>
        <w:rPr>
          <w:rFonts w:hint="cs"/>
          <w:vertAlign w:val="superscript"/>
          <w:rtl/>
        </w:rPr>
        <w:t>)</w:t>
      </w:r>
      <w:r>
        <w:rPr>
          <w:rFonts w:hint="cs"/>
          <w:rtl/>
        </w:rPr>
        <w:t>، فاعتُبر</w:t>
      </w:r>
      <w:r>
        <w:rPr>
          <w:rFonts w:hint="cs"/>
          <w:vertAlign w:val="superscript"/>
          <w:rtl/>
        </w:rPr>
        <w:t>(</w:t>
      </w:r>
      <w:r>
        <w:rPr>
          <w:rStyle w:val="a7"/>
          <w:rtl/>
        </w:rPr>
        <w:footnoteReference w:id="1263"/>
      </w:r>
      <w:r>
        <w:rPr>
          <w:rFonts w:hint="cs"/>
          <w:vertAlign w:val="superscript"/>
          <w:rtl/>
        </w:rPr>
        <w:t>)</w:t>
      </w:r>
      <w:r>
        <w:rPr>
          <w:rFonts w:hint="cs"/>
          <w:rtl/>
        </w:rPr>
        <w:t xml:space="preserve"> الإشارة، ولُغِيَت</w:t>
      </w:r>
      <w:r>
        <w:rPr>
          <w:rStyle w:val="a7"/>
          <w:rtl/>
        </w:rPr>
        <w:footnoteReference w:id="1264"/>
      </w:r>
      <w:r>
        <w:rPr>
          <w:rFonts w:hint="cs"/>
          <w:rtl/>
        </w:rPr>
        <w:t xml:space="preserve"> الإضافة</w:t>
      </w:r>
      <w:r>
        <w:rPr>
          <w:rFonts w:hint="eastAsia"/>
          <w:rtl/>
        </w:rPr>
        <w:t>»</w:t>
      </w:r>
      <w:r>
        <w:rPr>
          <w:rFonts w:hint="cs"/>
          <w:vertAlign w:val="superscript"/>
          <w:rtl/>
        </w:rPr>
        <w:t>(</w:t>
      </w:r>
      <w:r>
        <w:rPr>
          <w:rStyle w:val="a7"/>
          <w:rtl/>
        </w:rPr>
        <w:footnoteReference w:id="1265"/>
      </w:r>
      <w:r>
        <w:rPr>
          <w:rFonts w:hint="cs"/>
          <w:vertAlign w:val="superscript"/>
          <w:rtl/>
        </w:rPr>
        <w:t>)</w:t>
      </w:r>
      <w:r>
        <w:rPr>
          <w:rFonts w:hint="cs"/>
          <w:rtl/>
        </w:rPr>
        <w:t>.</w:t>
      </w:r>
    </w:p>
    <w:p w:rsidR="00C10469" w:rsidRDefault="00C10469">
      <w:pPr>
        <w:rPr>
          <w:rtl/>
        </w:rPr>
      </w:pPr>
      <w:r>
        <w:rPr>
          <w:rFonts w:hint="cs"/>
          <w:rtl/>
        </w:rPr>
        <w:t>خذ هذا واغتنم، واحفظ ولا تَهِمْ</w:t>
      </w:r>
      <w:r>
        <w:rPr>
          <w:rFonts w:hint="cs"/>
          <w:vertAlign w:val="superscript"/>
          <w:rtl/>
        </w:rPr>
        <w:t>(</w:t>
      </w:r>
      <w:r>
        <w:rPr>
          <w:rStyle w:val="a7"/>
          <w:rtl/>
        </w:rPr>
        <w:footnoteReference w:id="1266"/>
      </w:r>
      <w:r>
        <w:rPr>
          <w:rFonts w:hint="cs"/>
          <w:vertAlign w:val="superscript"/>
          <w:rtl/>
        </w:rPr>
        <w:t>)</w:t>
      </w:r>
      <w:r>
        <w:rPr>
          <w:rFonts w:hint="cs"/>
          <w:rtl/>
        </w:rPr>
        <w:t>، فإنَّ ما استفيد من هذا القليل لا يستفاد من</w:t>
      </w:r>
      <w:r>
        <w:rPr>
          <w:rStyle w:val="a7"/>
          <w:rtl/>
        </w:rPr>
        <w:footnoteReference w:id="1267"/>
      </w:r>
      <w:r>
        <w:rPr>
          <w:rFonts w:hint="cs"/>
          <w:rtl/>
        </w:rPr>
        <w:t xml:space="preserve"> المطولات مع التفصيل.</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0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630F4" w:rsidRDefault="00C10469">
      <w:pPr>
        <w:pStyle w:val="a9"/>
        <w:rPr>
          <w:rFonts w:cs="AL-Mateen"/>
          <w:rtl/>
        </w:rPr>
      </w:pPr>
      <w:r w:rsidRPr="00B630F4">
        <w:rPr>
          <w:rFonts w:cs="AL-Mateen" w:hint="cs"/>
          <w:rtl/>
        </w:rPr>
        <w:lastRenderedPageBreak/>
        <w:t>[ القـاعـدة الثـامنـة والأربـعـون ]</w:t>
      </w:r>
    </w:p>
    <w:p w:rsidR="00C10469" w:rsidRDefault="00C10469">
      <w:pPr>
        <w:rPr>
          <w:b/>
          <w:bCs/>
          <w:rtl/>
        </w:rPr>
      </w:pPr>
      <w:r>
        <w:rPr>
          <w:rFonts w:cs="Monotype Koufi" w:hint="cs"/>
          <w:rtl/>
        </w:rPr>
        <w:t>[الأُمُورُ]</w:t>
      </w:r>
      <w:r>
        <w:rPr>
          <w:rStyle w:val="a7"/>
          <w:b/>
          <w:rtl/>
        </w:rPr>
        <w:footnoteReference w:id="1268"/>
      </w:r>
      <w:r>
        <w:rPr>
          <w:rFonts w:hint="cs"/>
          <w:b/>
          <w:bCs/>
          <w:rtl/>
        </w:rPr>
        <w:t xml:space="preserve"> </w:t>
      </w:r>
      <w:r>
        <w:rPr>
          <w:rFonts w:cs="Monotype Koufi" w:hint="cs"/>
          <w:rtl/>
        </w:rPr>
        <w:t>بمقاصِدِهَا</w:t>
      </w:r>
      <w:r>
        <w:rPr>
          <w:rFonts w:hint="cs"/>
          <w:vertAlign w:val="superscript"/>
          <w:rtl/>
        </w:rPr>
        <w:t>(</w:t>
      </w:r>
      <w:r>
        <w:rPr>
          <w:rStyle w:val="a7"/>
          <w:rtl/>
        </w:rPr>
        <w:footnoteReference w:id="1269"/>
      </w:r>
      <w:r>
        <w:rPr>
          <w:rFonts w:hint="cs"/>
          <w:vertAlign w:val="superscript"/>
          <w:rtl/>
        </w:rPr>
        <w:t>)</w:t>
      </w:r>
      <w:r>
        <w:rPr>
          <w:rFonts w:hint="cs"/>
          <w:b/>
          <w:bCs/>
          <w:rtl/>
        </w:rPr>
        <w:t xml:space="preserve"> :</w:t>
      </w:r>
    </w:p>
    <w:p w:rsidR="00C10469" w:rsidRDefault="00C10469" w:rsidP="00C10469">
      <w:pPr>
        <w:ind w:left="706" w:hanging="139"/>
        <w:rPr>
          <w:spacing w:val="-6"/>
          <w:rtl/>
        </w:rPr>
      </w:pPr>
      <w:r>
        <w:rPr>
          <w:spacing w:val="-6"/>
          <w:rtl/>
        </w:rPr>
        <w:lastRenderedPageBreak/>
        <w:t>•</w:t>
      </w:r>
      <w:r>
        <w:rPr>
          <w:rFonts w:hint="cs"/>
          <w:spacing w:val="-6"/>
          <w:rtl/>
        </w:rPr>
        <w:t xml:space="preserve"> ومن فروعها : </w:t>
      </w:r>
      <w:r>
        <w:rPr>
          <w:rFonts w:hint="eastAsia"/>
          <w:spacing w:val="-6"/>
          <w:rtl/>
        </w:rPr>
        <w:t>«</w:t>
      </w:r>
      <w:r>
        <w:rPr>
          <w:rFonts w:hint="cs"/>
          <w:spacing w:val="-6"/>
          <w:rtl/>
        </w:rPr>
        <w:t>أنّ بيع [العصير]</w:t>
      </w:r>
      <w:r>
        <w:rPr>
          <w:rStyle w:val="a7"/>
          <w:spacing w:val="-6"/>
          <w:rtl/>
        </w:rPr>
        <w:footnoteReference w:id="1270"/>
      </w:r>
      <w:r>
        <w:rPr>
          <w:rFonts w:hint="cs"/>
          <w:spacing w:val="-6"/>
          <w:rtl/>
        </w:rPr>
        <w:t xml:space="preserve"> ممَّن يتخذه خمرًا، إن قُصِدَ به</w:t>
      </w:r>
      <w:r>
        <w:rPr>
          <w:rStyle w:val="a7"/>
          <w:spacing w:val="-6"/>
          <w:rtl/>
        </w:rPr>
        <w:footnoteReference w:id="1271"/>
      </w:r>
      <w:r>
        <w:rPr>
          <w:rFonts w:hint="cs"/>
          <w:spacing w:val="-6"/>
          <w:rtl/>
        </w:rPr>
        <w:t xml:space="preserve"> التجارةُ : فلا يحرم عليه، وإن قُصد به لأجل التخمير</w:t>
      </w:r>
      <w:r>
        <w:rPr>
          <w:rStyle w:val="a7"/>
          <w:spacing w:val="-6"/>
          <w:rtl/>
        </w:rPr>
        <w:footnoteReference w:id="1272"/>
      </w:r>
      <w:r>
        <w:rPr>
          <w:rFonts w:hint="cs"/>
          <w:spacing w:val="-6"/>
          <w:rtl/>
        </w:rPr>
        <w:t xml:space="preserve"> : حرم. وكذا غرس الكرم</w:t>
      </w:r>
      <w:r>
        <w:rPr>
          <w:rFonts w:hint="eastAsia"/>
          <w:spacing w:val="-6"/>
          <w:rtl/>
        </w:rPr>
        <w:t>»</w:t>
      </w:r>
      <w:r>
        <w:rPr>
          <w:rFonts w:hint="cs"/>
          <w:spacing w:val="-6"/>
          <w:vertAlign w:val="superscript"/>
          <w:rtl/>
        </w:rPr>
        <w:t>(</w:t>
      </w:r>
      <w:r>
        <w:rPr>
          <w:rStyle w:val="a7"/>
          <w:spacing w:val="-6"/>
          <w:rtl/>
        </w:rPr>
        <w:footnoteReference w:id="1273"/>
      </w:r>
      <w:r>
        <w:rPr>
          <w:rFonts w:hint="cs"/>
          <w:spacing w:val="-6"/>
          <w:vertAlign w:val="superscript"/>
          <w:rtl/>
        </w:rPr>
        <w:t>)</w:t>
      </w:r>
      <w:r>
        <w:rPr>
          <w:rFonts w:hint="cs"/>
          <w:spacing w:val="-6"/>
          <w:rtl/>
        </w:rPr>
        <w:t>.</w:t>
      </w:r>
    </w:p>
    <w:p w:rsidR="00C10469" w:rsidRDefault="00C10469" w:rsidP="00C10469">
      <w:pPr>
        <w:ind w:left="706" w:hanging="139"/>
        <w:rPr>
          <w:rtl/>
        </w:rPr>
      </w:pPr>
      <w:r>
        <w:rPr>
          <w:rtl/>
        </w:rPr>
        <w:t>•</w:t>
      </w:r>
      <w:r>
        <w:rPr>
          <w:rFonts w:hint="cs"/>
          <w:rtl/>
        </w:rPr>
        <w:t xml:space="preserve"> ونظائرها</w:t>
      </w:r>
      <w:r>
        <w:rPr>
          <w:rStyle w:val="a7"/>
          <w:rtl/>
        </w:rPr>
        <w:footnoteReference w:id="1274"/>
      </w:r>
      <w:r>
        <w:rPr>
          <w:rFonts w:hint="cs"/>
          <w:rtl/>
        </w:rPr>
        <w:t xml:space="preserve"> كثيرة في [ألفاظ]</w:t>
      </w:r>
      <w:r>
        <w:rPr>
          <w:rStyle w:val="a7"/>
          <w:rtl/>
        </w:rPr>
        <w:footnoteReference w:id="1275"/>
      </w:r>
      <w:r>
        <w:rPr>
          <w:rFonts w:hint="cs"/>
          <w:rtl/>
        </w:rPr>
        <w:t xml:space="preserve"> التكفير كلّها ترجع</w:t>
      </w:r>
      <w:r>
        <w:rPr>
          <w:rStyle w:val="a7"/>
          <w:rtl/>
        </w:rPr>
        <w:footnoteReference w:id="1276"/>
      </w:r>
      <w:r>
        <w:rPr>
          <w:rFonts w:hint="cs"/>
          <w:rtl/>
        </w:rPr>
        <w:t xml:space="preserve"> إلى قصد [الاستخفاف]</w:t>
      </w:r>
      <w:r>
        <w:rPr>
          <w:rStyle w:val="a7"/>
          <w:rtl/>
        </w:rPr>
        <w:footnoteReference w:id="1277"/>
      </w:r>
      <w:r>
        <w:rPr>
          <w:rFonts w:hint="cs"/>
          <w:rtl/>
        </w:rPr>
        <w:t>.</w:t>
      </w:r>
    </w:p>
    <w:p w:rsidR="00C10469" w:rsidRDefault="00C10469" w:rsidP="00C10469">
      <w:pPr>
        <w:ind w:left="706" w:hanging="139"/>
        <w:rPr>
          <w:rtl/>
        </w:rPr>
        <w:sectPr w:rsidR="00C10469" w:rsidSect="00C10469">
          <w:headerReference w:type="default" r:id="rId105"/>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tl/>
        </w:rPr>
        <w:t>•</w:t>
      </w:r>
      <w:r>
        <w:rPr>
          <w:rFonts w:hint="cs"/>
          <w:rtl/>
        </w:rPr>
        <w:t xml:space="preserve"> ومنها : </w:t>
      </w:r>
      <w:r>
        <w:rPr>
          <w:rFonts w:hint="eastAsia"/>
          <w:rtl/>
        </w:rPr>
        <w:t>«</w:t>
      </w:r>
      <w:r>
        <w:rPr>
          <w:rFonts w:hint="cs"/>
          <w:rtl/>
        </w:rPr>
        <w:t>إذا قال المسلم للذميِّ : أطال الله بقاءك : قالوا : إن نوى بقلبه أن يطيل بقاءه [لعله أن]</w:t>
      </w:r>
      <w:r>
        <w:rPr>
          <w:rStyle w:val="a7"/>
          <w:rtl/>
        </w:rPr>
        <w:footnoteReference w:id="1278"/>
      </w:r>
      <w:r>
        <w:rPr>
          <w:rFonts w:hint="cs"/>
          <w:rtl/>
        </w:rPr>
        <w:t xml:space="preserve"> يُسلم، أو يؤدِّي الجزية عن ذلٍّ وصغار : لا </w:t>
      </w:r>
      <w:r>
        <w:rPr>
          <w:rFonts w:hint="cs"/>
          <w:rtl/>
        </w:rPr>
        <w:lastRenderedPageBreak/>
        <w:t>بأس؛ لأن هذا دعاءٌ له إلى الإسلام أو لمنفعة</w:t>
      </w:r>
      <w:r>
        <w:rPr>
          <w:rStyle w:val="a7"/>
          <w:rtl/>
        </w:rPr>
        <w:footnoteReference w:id="1279"/>
      </w:r>
      <w:r>
        <w:rPr>
          <w:rFonts w:hint="cs"/>
          <w:rtl/>
        </w:rPr>
        <w:t xml:space="preserve"> المسلمين</w:t>
      </w:r>
      <w:r>
        <w:rPr>
          <w:rFonts w:hint="eastAsia"/>
          <w:rtl/>
        </w:rPr>
        <w:t>»</w:t>
      </w:r>
      <w:r>
        <w:rPr>
          <w:rFonts w:hint="cs"/>
          <w:vertAlign w:val="superscript"/>
          <w:rtl/>
        </w:rPr>
        <w:t>(</w:t>
      </w:r>
      <w:r>
        <w:rPr>
          <w:rStyle w:val="a7"/>
          <w:rtl/>
        </w:rPr>
        <w:footnoteReference w:id="1280"/>
      </w:r>
      <w:r>
        <w:rPr>
          <w:rFonts w:hint="cs"/>
          <w:vertAlign w:val="superscript"/>
          <w:rtl/>
        </w:rPr>
        <w:t>)</w:t>
      </w:r>
      <w:r>
        <w:rPr>
          <w:rFonts w:hint="cs"/>
          <w:rtl/>
        </w:rPr>
        <w:t>.</w:t>
      </w:r>
    </w:p>
    <w:p w:rsidR="00C10469" w:rsidRPr="00CB63D0" w:rsidRDefault="00C10469">
      <w:pPr>
        <w:pStyle w:val="a9"/>
        <w:rPr>
          <w:rFonts w:cs="AL-Mateen"/>
          <w:rtl/>
        </w:rPr>
      </w:pPr>
      <w:r w:rsidRPr="00CB63D0">
        <w:rPr>
          <w:rFonts w:cs="AL-Mateen" w:hint="cs"/>
          <w:rtl/>
        </w:rPr>
        <w:lastRenderedPageBreak/>
        <w:t>[ القـاعـدة التـاسـعـة والأربـعـون ]</w:t>
      </w:r>
    </w:p>
    <w:p w:rsidR="00C10469" w:rsidRDefault="00C10469">
      <w:pPr>
        <w:rPr>
          <w:b/>
          <w:bCs/>
          <w:rtl/>
        </w:rPr>
      </w:pPr>
      <w:r>
        <w:rPr>
          <w:rFonts w:cs="Monotype Koufi" w:hint="cs"/>
          <w:rtl/>
        </w:rPr>
        <w:t>الأَيْمَانُ مَبْنِيَّةٌ عَلَى الأَلْفَاظِ والعُرْفِ، لاَ عَلَى الأَغْرَاضِ</w:t>
      </w:r>
      <w:r>
        <w:rPr>
          <w:rFonts w:hint="cs"/>
          <w:vertAlign w:val="superscript"/>
          <w:rtl/>
        </w:rPr>
        <w:t>(</w:t>
      </w:r>
      <w:r>
        <w:rPr>
          <w:rStyle w:val="a7"/>
          <w:rtl/>
        </w:rPr>
        <w:footnoteReference w:id="1281"/>
      </w:r>
      <w:r>
        <w:rPr>
          <w:rFonts w:hint="cs"/>
          <w:vertAlign w:val="superscript"/>
          <w:rtl/>
        </w:rPr>
        <w:t>)</w:t>
      </w:r>
      <w:r>
        <w:rPr>
          <w:rFonts w:hint="cs"/>
          <w:b/>
          <w:bCs/>
          <w:rtl/>
        </w:rPr>
        <w:t xml:space="preserve"> :</w:t>
      </w:r>
    </w:p>
    <w:p w:rsidR="00C10469" w:rsidRPr="00C10469" w:rsidRDefault="00C10469">
      <w:pPr>
        <w:rPr>
          <w:spacing w:val="-8"/>
          <w:rtl/>
        </w:rPr>
      </w:pPr>
      <w:r w:rsidRPr="00C10469">
        <w:rPr>
          <w:rFonts w:hint="cs"/>
          <w:spacing w:val="-8"/>
          <w:rtl/>
        </w:rPr>
        <w:t>فإذا حلف : لا يبيعه بعشرة. فباعه بأحد عشر، أو بتسعة : لا يحنث، مع أن الغرض لا</w:t>
      </w:r>
      <w:r w:rsidRPr="00C10469">
        <w:rPr>
          <w:rStyle w:val="a7"/>
          <w:spacing w:val="-8"/>
          <w:rtl/>
        </w:rPr>
        <w:footnoteReference w:id="1282"/>
      </w:r>
      <w:r w:rsidRPr="00C10469">
        <w:rPr>
          <w:rFonts w:hint="cs"/>
          <w:spacing w:val="-8"/>
          <w:rtl/>
        </w:rPr>
        <w:t xml:space="preserve"> يبيعه بعشرة؛ بل بزيادة، فاللاّزم</w:t>
      </w:r>
      <w:r w:rsidRPr="00C10469">
        <w:rPr>
          <w:rStyle w:val="a7"/>
          <w:spacing w:val="-8"/>
          <w:rtl/>
        </w:rPr>
        <w:footnoteReference w:id="1283"/>
      </w:r>
      <w:r w:rsidRPr="00C10469">
        <w:rPr>
          <w:rFonts w:hint="cs"/>
          <w:spacing w:val="-8"/>
          <w:rtl/>
        </w:rPr>
        <w:t xml:space="preserve"> باعتبار الغرض أن يحنث في بيعه بتسعة.</w:t>
      </w:r>
    </w:p>
    <w:p w:rsidR="00C10469" w:rsidRDefault="00C10469">
      <w:pPr>
        <w:rPr>
          <w:rtl/>
        </w:rPr>
      </w:pPr>
      <w:r>
        <w:rPr>
          <w:rFonts w:hint="cs"/>
          <w:rtl/>
        </w:rPr>
        <w:lastRenderedPageBreak/>
        <w:t>ولم يوجد هكذا في (الأشباه والنظائر)</w:t>
      </w:r>
      <w:r>
        <w:rPr>
          <w:rFonts w:hint="cs"/>
          <w:vertAlign w:val="superscript"/>
          <w:rtl/>
        </w:rPr>
        <w:t xml:space="preserve"> (</w:t>
      </w:r>
      <w:r>
        <w:rPr>
          <w:rStyle w:val="a7"/>
          <w:rtl/>
        </w:rPr>
        <w:footnoteReference w:id="1284"/>
      </w:r>
      <w:r>
        <w:rPr>
          <w:rFonts w:hint="cs"/>
          <w:vertAlign w:val="superscript"/>
          <w:rtl/>
        </w:rPr>
        <w:t>)</w:t>
      </w:r>
      <w:r>
        <w:rPr>
          <w:rFonts w:hint="cs"/>
          <w:rtl/>
        </w:rPr>
        <w:t>، ولكن ذُكر في أيمان (الخلاصة)</w:t>
      </w:r>
      <w:r>
        <w:rPr>
          <w:rFonts w:hint="cs"/>
          <w:vertAlign w:val="superscript"/>
          <w:rtl/>
        </w:rPr>
        <w:t xml:space="preserve"> (</w:t>
      </w:r>
      <w:r>
        <w:rPr>
          <w:rStyle w:val="a7"/>
          <w:rtl/>
        </w:rPr>
        <w:footnoteReference w:id="1285"/>
      </w:r>
      <w:r>
        <w:rPr>
          <w:rFonts w:hint="cs"/>
          <w:vertAlign w:val="superscript"/>
          <w:rtl/>
        </w:rPr>
        <w:t>)</w:t>
      </w:r>
      <w:r>
        <w:rPr>
          <w:rFonts w:hint="cs"/>
          <w:rtl/>
        </w:rPr>
        <w:t>.</w:t>
      </w:r>
    </w:p>
    <w:p w:rsidR="00C10469" w:rsidRDefault="00C10469">
      <w:pPr>
        <w:rPr>
          <w:rtl/>
        </w:rPr>
      </w:pPr>
      <w:r>
        <w:rPr>
          <w:rFonts w:hint="cs"/>
          <w:rtl/>
        </w:rPr>
        <w:lastRenderedPageBreak/>
        <w:t>هذا جواب القياس. وفي الاستحسان عكس هذا.</w:t>
      </w:r>
    </w:p>
    <w:p w:rsidR="00C10469" w:rsidRDefault="00C10469">
      <w:pPr>
        <w:rPr>
          <w:rtl/>
        </w:rPr>
      </w:pPr>
      <w:r>
        <w:rPr>
          <w:rFonts w:hint="cs"/>
          <w:rtl/>
        </w:rPr>
        <w:t>وكذا</w:t>
      </w:r>
      <w:r>
        <w:rPr>
          <w:rStyle w:val="a7"/>
          <w:rtl/>
        </w:rPr>
        <w:footnoteReference w:id="1286"/>
      </w:r>
      <w:r>
        <w:rPr>
          <w:rFonts w:hint="cs"/>
          <w:rtl/>
        </w:rPr>
        <w:t xml:space="preserve"> المشتري إذا حلف أن لا [يشتريه]</w:t>
      </w:r>
      <w:r>
        <w:rPr>
          <w:rStyle w:val="a7"/>
          <w:rtl/>
        </w:rPr>
        <w:footnoteReference w:id="1287"/>
      </w:r>
      <w:r>
        <w:rPr>
          <w:rFonts w:hint="cs"/>
          <w:rtl/>
        </w:rPr>
        <w:t xml:space="preserve"> بعشرة، فاشترى</w:t>
      </w:r>
      <w:r>
        <w:rPr>
          <w:rStyle w:val="a7"/>
          <w:rtl/>
        </w:rPr>
        <w:footnoteReference w:id="1288"/>
      </w:r>
      <w:r>
        <w:rPr>
          <w:rFonts w:hint="cs"/>
          <w:rtl/>
        </w:rPr>
        <w:t xml:space="preserve"> بأحد</w:t>
      </w:r>
      <w:r>
        <w:rPr>
          <w:rStyle w:val="a7"/>
          <w:rtl/>
        </w:rPr>
        <w:footnoteReference w:id="1289"/>
      </w:r>
      <w:r>
        <w:rPr>
          <w:rFonts w:hint="cs"/>
          <w:rtl/>
        </w:rPr>
        <w:t xml:space="preserve"> عشر : يحنث</w:t>
      </w:r>
      <w:r>
        <w:rPr>
          <w:rFonts w:hint="cs"/>
          <w:vertAlign w:val="superscript"/>
          <w:rtl/>
        </w:rPr>
        <w:t>(</w:t>
      </w:r>
      <w:r>
        <w:rPr>
          <w:rStyle w:val="a7"/>
          <w:rtl/>
        </w:rPr>
        <w:footnoteReference w:id="1290"/>
      </w:r>
      <w:r>
        <w:rPr>
          <w:rFonts w:hint="cs"/>
          <w:vertAlign w:val="superscript"/>
          <w:rtl/>
        </w:rPr>
        <w:t>)</w:t>
      </w:r>
      <w:r>
        <w:rPr>
          <w:rFonts w:hint="cs"/>
          <w:rtl/>
        </w:rPr>
        <w:t xml:space="preserve"> في الاستحسان</w:t>
      </w:r>
      <w:r>
        <w:rPr>
          <w:rStyle w:val="a7"/>
          <w:rtl/>
        </w:rPr>
        <w:footnoteReference w:id="1291"/>
      </w:r>
      <w:r>
        <w:rPr>
          <w:rFonts w:hint="cs"/>
          <w:rtl/>
        </w:rPr>
        <w:t>.</w:t>
      </w:r>
    </w:p>
    <w:p w:rsidR="00C10469" w:rsidRDefault="00C10469">
      <w:pPr>
        <w:rPr>
          <w:rtl/>
        </w:rPr>
      </w:pPr>
      <w:r>
        <w:rPr>
          <w:rFonts w:hint="cs"/>
          <w:rtl/>
        </w:rPr>
        <w:t>ووجهه : أن الأيمان مبنية على العرف، والبائع إذا أراد أن يحلف لا يبيعه بعشرة إلا بالزيادة إنما يحلف بهذا الوجه عادة، والمشتري إذا أراد أن يحلف</w:t>
      </w:r>
      <w:r>
        <w:rPr>
          <w:rStyle w:val="a7"/>
          <w:rtl/>
        </w:rPr>
        <w:footnoteReference w:id="1292"/>
      </w:r>
      <w:r>
        <w:rPr>
          <w:rFonts w:hint="cs"/>
          <w:rtl/>
        </w:rPr>
        <w:t xml:space="preserve"> على أن لا يشتريه بعشرة إلا بنقصان يحلف بهذا الوجه عرفًا، و</w:t>
      </w:r>
      <w:r>
        <w:rPr>
          <w:rFonts w:hint="eastAsia"/>
          <w:rtl/>
        </w:rPr>
        <w:t>«</w:t>
      </w:r>
      <w:r>
        <w:rPr>
          <w:rFonts w:hint="cs"/>
          <w:rtl/>
        </w:rPr>
        <w:t>العرف [قاض]</w:t>
      </w:r>
      <w:r>
        <w:rPr>
          <w:rStyle w:val="a7"/>
          <w:rtl/>
        </w:rPr>
        <w:footnoteReference w:id="1293"/>
      </w:r>
      <w:r>
        <w:rPr>
          <w:rFonts w:hint="cs"/>
          <w:rtl/>
        </w:rPr>
        <w:t xml:space="preserve"> على </w:t>
      </w:r>
      <w:r>
        <w:rPr>
          <w:rFonts w:hint="cs"/>
          <w:rtl/>
        </w:rPr>
        <w:lastRenderedPageBreak/>
        <w:t>القياس</w:t>
      </w:r>
      <w:r>
        <w:rPr>
          <w:rFonts w:hint="eastAsia"/>
          <w:rtl/>
        </w:rPr>
        <w:t>»</w:t>
      </w:r>
      <w:r>
        <w:rPr>
          <w:rFonts w:hint="cs"/>
          <w:vertAlign w:val="superscript"/>
          <w:rtl/>
        </w:rPr>
        <w:t>(</w:t>
      </w:r>
      <w:r>
        <w:rPr>
          <w:rStyle w:val="a7"/>
          <w:rtl/>
        </w:rPr>
        <w:footnoteReference w:id="1294"/>
      </w:r>
      <w:r>
        <w:rPr>
          <w:rFonts w:hint="cs"/>
          <w:vertAlign w:val="superscript"/>
          <w:rtl/>
        </w:rPr>
        <w:t>)</w:t>
      </w:r>
      <w:r>
        <w:rPr>
          <w:rFonts w:hint="cs"/>
          <w:rtl/>
        </w:rPr>
        <w:t>.</w:t>
      </w:r>
    </w:p>
    <w:p w:rsidR="00C10469" w:rsidRDefault="00C10469">
      <w:pPr>
        <w:rPr>
          <w:rtl/>
        </w:rPr>
      </w:pPr>
      <w:r>
        <w:rPr>
          <w:rFonts w:hint="cs"/>
          <w:rtl/>
        </w:rPr>
        <w:t xml:space="preserve">وقال صاحب (الهداية) في كتاب (الأيمان) : </w:t>
      </w:r>
      <w:r>
        <w:rPr>
          <w:rFonts w:hint="eastAsia"/>
          <w:rtl/>
        </w:rPr>
        <w:t>«</w:t>
      </w:r>
      <w:r>
        <w:rPr>
          <w:rFonts w:hint="cs"/>
          <w:rtl/>
        </w:rPr>
        <w:t>لو أرادت المرأة الخروج، فقال: إن خرجتِ فأنتِ طالق. فَجلَسَتْ، ثم خرجت : لم يحنث.</w:t>
      </w:r>
    </w:p>
    <w:p w:rsidR="00C10469" w:rsidRDefault="00C10469">
      <w:pPr>
        <w:rPr>
          <w:rtl/>
        </w:rPr>
      </w:pPr>
      <w:r>
        <w:rPr>
          <w:rFonts w:hint="cs"/>
          <w:rtl/>
        </w:rPr>
        <w:t>وكذلك إن أراد رجل ضرب عبده، فقال له آخر : إن ضربته فعبدي حرٌّ. فتركه، ثم ضربه : لم يحنث.</w:t>
      </w:r>
    </w:p>
    <w:p w:rsidR="00C10469" w:rsidRDefault="00C10469">
      <w:pPr>
        <w:rPr>
          <w:rtl/>
        </w:rPr>
      </w:pPr>
      <w:r>
        <w:rPr>
          <w:rFonts w:hint="cs"/>
          <w:rtl/>
        </w:rPr>
        <w:t>وهذه [تسمى]</w:t>
      </w:r>
      <w:r>
        <w:rPr>
          <w:rStyle w:val="a7"/>
          <w:rtl/>
        </w:rPr>
        <w:footnoteReference w:id="1295"/>
      </w:r>
      <w:r>
        <w:rPr>
          <w:rFonts w:hint="cs"/>
          <w:rtl/>
        </w:rPr>
        <w:t xml:space="preserve"> يمين الفور</w:t>
      </w:r>
      <w:r>
        <w:rPr>
          <w:rStyle w:val="a7"/>
          <w:rtl/>
        </w:rPr>
        <w:footnoteReference w:id="1296"/>
      </w:r>
      <w:r>
        <w:rPr>
          <w:rFonts w:hint="cs"/>
          <w:vertAlign w:val="superscript"/>
          <w:rtl/>
        </w:rPr>
        <w:t>(</w:t>
      </w:r>
      <w:r>
        <w:rPr>
          <w:rStyle w:val="a7"/>
          <w:rtl/>
        </w:rPr>
        <w:footnoteReference w:id="1297"/>
      </w:r>
      <w:r>
        <w:rPr>
          <w:rFonts w:hint="cs"/>
          <w:vertAlign w:val="superscript"/>
          <w:rtl/>
        </w:rPr>
        <w:t>)</w:t>
      </w:r>
      <w:r>
        <w:rPr>
          <w:rFonts w:hint="cs"/>
          <w:rtl/>
        </w:rPr>
        <w:t>. [وتفرّد]</w:t>
      </w:r>
      <w:r>
        <w:rPr>
          <w:rStyle w:val="a7"/>
          <w:rtl/>
        </w:rPr>
        <w:footnoteReference w:id="1298"/>
      </w:r>
      <w:r>
        <w:rPr>
          <w:rFonts w:hint="cs"/>
          <w:rtl/>
        </w:rPr>
        <w:t xml:space="preserve"> أبو حنيفة -رحمه الله- بإظهاره</w:t>
      </w:r>
      <w:r>
        <w:rPr>
          <w:rFonts w:hint="cs"/>
          <w:vertAlign w:val="superscript"/>
          <w:rtl/>
        </w:rPr>
        <w:t>(</w:t>
      </w:r>
      <w:r>
        <w:rPr>
          <w:rStyle w:val="a7"/>
          <w:rtl/>
        </w:rPr>
        <w:footnoteReference w:id="1299"/>
      </w:r>
      <w:r>
        <w:rPr>
          <w:rFonts w:hint="cs"/>
          <w:vertAlign w:val="superscript"/>
          <w:rtl/>
        </w:rPr>
        <w:t>)</w:t>
      </w:r>
      <w:r>
        <w:rPr>
          <w:rFonts w:hint="cs"/>
          <w:rtl/>
        </w:rPr>
        <w:t>.</w:t>
      </w:r>
    </w:p>
    <w:p w:rsidR="00C10469" w:rsidRDefault="00C10469" w:rsidP="00C10469">
      <w:pPr>
        <w:rPr>
          <w:rtl/>
        </w:rPr>
      </w:pPr>
      <w:r>
        <w:rPr>
          <w:rFonts w:hint="cs"/>
          <w:rtl/>
        </w:rPr>
        <w:t>ووجهه: أن مراد المتكلم : الزجر عن [تلك]</w:t>
      </w:r>
      <w:r>
        <w:rPr>
          <w:rStyle w:val="a7"/>
          <w:spacing w:val="-6"/>
          <w:rtl/>
        </w:rPr>
        <w:footnoteReference w:id="1300"/>
      </w:r>
      <w:r>
        <w:rPr>
          <w:rFonts w:hint="cs"/>
          <w:rtl/>
        </w:rPr>
        <w:t xml:space="preserve"> الضربة والخرْجة</w:t>
      </w:r>
      <w:r>
        <w:rPr>
          <w:rStyle w:val="a7"/>
          <w:spacing w:val="-6"/>
          <w:rtl/>
        </w:rPr>
        <w:footnoteReference w:id="1301"/>
      </w:r>
      <w:r>
        <w:rPr>
          <w:rFonts w:hint="cs"/>
          <w:rtl/>
        </w:rPr>
        <w:t xml:space="preserve"> عرفًا، ومبنى الأيمان عليه</w:t>
      </w:r>
      <w:r>
        <w:rPr>
          <w:rFonts w:hint="eastAsia"/>
          <w:rtl/>
        </w:rPr>
        <w:t>»</w:t>
      </w:r>
      <w:r>
        <w:rPr>
          <w:rFonts w:hint="cs"/>
          <w:vertAlign w:val="superscript"/>
          <w:rtl/>
        </w:rPr>
        <w:t>(</w:t>
      </w:r>
      <w:r>
        <w:rPr>
          <w:rStyle w:val="a7"/>
          <w:spacing w:val="-6"/>
          <w:rtl/>
        </w:rPr>
        <w:footnoteReference w:id="1302"/>
      </w:r>
      <w:r>
        <w:rPr>
          <w:rFonts w:hint="cs"/>
          <w:vertAlign w:val="superscript"/>
          <w:rtl/>
        </w:rPr>
        <w:t>)</w:t>
      </w:r>
      <w:r>
        <w:rPr>
          <w:rFonts w:hint="cs"/>
          <w:rtl/>
        </w:rPr>
        <w:t>.</w:t>
      </w: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0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77FC4" w:rsidRDefault="00C10469">
      <w:pPr>
        <w:jc w:val="center"/>
        <w:rPr>
          <w:rFonts w:cs="AL-Mateen"/>
          <w:sz w:val="48"/>
          <w:rtl/>
        </w:rPr>
      </w:pPr>
      <w:r w:rsidRPr="00977FC4">
        <w:rPr>
          <w:rFonts w:cs="AL-Mateen" w:hint="cs"/>
          <w:sz w:val="48"/>
          <w:rtl/>
        </w:rPr>
        <w:lastRenderedPageBreak/>
        <w:t>[ القـاعـدة الخـمـسـون ]</w:t>
      </w:r>
    </w:p>
    <w:p w:rsidR="00C10469" w:rsidRDefault="00C10469">
      <w:pPr>
        <w:rPr>
          <w:b/>
          <w:bCs/>
          <w:rtl/>
        </w:rPr>
      </w:pPr>
      <w:r>
        <w:rPr>
          <w:rFonts w:cs="Monotype Koufi" w:hint="cs"/>
          <w:rtl/>
        </w:rPr>
        <w:t>إِيجَابُ العَبْدِ مُعْتَبَرٌ بِإِيجَابِ اللَّهِ تَعَالَى</w:t>
      </w:r>
      <w:r>
        <w:rPr>
          <w:rFonts w:hint="cs"/>
          <w:vertAlign w:val="superscript"/>
          <w:rtl/>
        </w:rPr>
        <w:t>(</w:t>
      </w:r>
      <w:r>
        <w:rPr>
          <w:rStyle w:val="a7"/>
          <w:rtl/>
        </w:rPr>
        <w:footnoteReference w:id="1303"/>
      </w:r>
      <w:r>
        <w:rPr>
          <w:rFonts w:hint="cs"/>
          <w:vertAlign w:val="superscript"/>
          <w:rtl/>
        </w:rPr>
        <w:t>)</w:t>
      </w:r>
      <w:r>
        <w:rPr>
          <w:rFonts w:hint="cs"/>
          <w:b/>
          <w:bCs/>
          <w:rtl/>
        </w:rPr>
        <w:t xml:space="preserve"> :</w:t>
      </w:r>
    </w:p>
    <w:p w:rsidR="00C10469" w:rsidRDefault="00C10469">
      <w:pPr>
        <w:spacing w:line="600" w:lineRule="exact"/>
        <w:rPr>
          <w:rtl/>
        </w:rPr>
      </w:pPr>
      <w:r>
        <w:rPr>
          <w:rFonts w:hint="cs"/>
          <w:rtl/>
        </w:rPr>
        <w:t>فإذا قال رجل : مالي، أو ما أملك</w:t>
      </w:r>
      <w:r>
        <w:rPr>
          <w:rStyle w:val="a7"/>
          <w:rtl/>
        </w:rPr>
        <w:footnoteReference w:id="1304"/>
      </w:r>
      <w:r>
        <w:rPr>
          <w:rFonts w:hint="cs"/>
          <w:rtl/>
        </w:rPr>
        <w:t xml:space="preserve"> صدقة : يقع على مال الزكاة.</w:t>
      </w:r>
    </w:p>
    <w:p w:rsidR="00C10469" w:rsidRDefault="00C10469">
      <w:pPr>
        <w:spacing w:line="600" w:lineRule="exact"/>
        <w:rPr>
          <w:rtl/>
        </w:rPr>
      </w:pPr>
      <w:r>
        <w:rPr>
          <w:rFonts w:hint="cs"/>
          <w:rtl/>
        </w:rPr>
        <w:t>والقياس : على كل المال، وهو قول زفر -رحمه الله-، كما إذا قال : ثلث مالي صدقة</w:t>
      </w:r>
      <w:r>
        <w:rPr>
          <w:rStyle w:val="a7"/>
          <w:rtl/>
        </w:rPr>
        <w:footnoteReference w:id="1305"/>
      </w:r>
      <w:r>
        <w:rPr>
          <w:rFonts w:hint="cs"/>
          <w:rtl/>
        </w:rPr>
        <w:t xml:space="preserve"> : يقع على الكلّ </w:t>
      </w:r>
      <w:r>
        <w:rPr>
          <w:rStyle w:val="a7"/>
          <w:rtl/>
        </w:rPr>
        <w:footnoteReference w:id="1306"/>
      </w:r>
      <w:r>
        <w:rPr>
          <w:rFonts w:hint="cs"/>
          <w:rtl/>
        </w:rPr>
        <w:t>؛ لأنّ اسم المال عام، فيعمل بالعموم.</w:t>
      </w:r>
    </w:p>
    <w:p w:rsidR="00C10469" w:rsidRDefault="00C10469">
      <w:pPr>
        <w:spacing w:line="600" w:lineRule="exact"/>
        <w:rPr>
          <w:rtl/>
        </w:rPr>
      </w:pPr>
      <w:r>
        <w:rPr>
          <w:rFonts w:hint="cs"/>
          <w:rtl/>
        </w:rPr>
        <w:t xml:space="preserve">ولكن تُركَ القياس بالأصل الذي ذكرناه في صدر الكلام. </w:t>
      </w:r>
    </w:p>
    <w:p w:rsidR="00C10469" w:rsidRDefault="00C10469">
      <w:pPr>
        <w:spacing w:line="600" w:lineRule="exact"/>
        <w:rPr>
          <w:rtl/>
        </w:rPr>
      </w:pPr>
      <w:r>
        <w:rPr>
          <w:rFonts w:hint="cs"/>
          <w:b/>
          <w:bCs/>
          <w:spacing w:val="-6"/>
          <w:rtl/>
        </w:rPr>
        <w:t xml:space="preserve">وبيانه </w:t>
      </w:r>
      <w:r>
        <w:rPr>
          <w:rFonts w:hint="cs"/>
          <w:spacing w:val="-6"/>
          <w:rtl/>
        </w:rPr>
        <w:t>: أنّ</w:t>
      </w:r>
      <w:r>
        <w:rPr>
          <w:rStyle w:val="a7"/>
          <w:spacing w:val="-6"/>
          <w:rtl/>
        </w:rPr>
        <w:footnoteReference w:id="1307"/>
      </w:r>
      <w:r>
        <w:rPr>
          <w:rFonts w:hint="cs"/>
          <w:spacing w:val="-6"/>
          <w:rtl/>
        </w:rPr>
        <w:t xml:space="preserve"> ما أوجبه الله تعالى من الصدقة المضافة إلى [المال]</w:t>
      </w:r>
      <w:r>
        <w:rPr>
          <w:rStyle w:val="a7"/>
          <w:spacing w:val="-6"/>
          <w:rtl/>
        </w:rPr>
        <w:footnoteReference w:id="1308"/>
      </w:r>
      <w:r>
        <w:rPr>
          <w:rFonts w:hint="cs"/>
          <w:spacing w:val="-6"/>
          <w:rtl/>
        </w:rPr>
        <w:t xml:space="preserve"> المطلق بقوله تعالى:</w:t>
      </w:r>
      <w:r>
        <w:rPr>
          <w:rFonts w:hint="cs"/>
          <w:rtl/>
        </w:rPr>
        <w:t xml:space="preserve"> </w:t>
      </w:r>
    </w:p>
    <w:p w:rsidR="00C10469" w:rsidRDefault="00C10469">
      <w:pPr>
        <w:spacing w:line="600" w:lineRule="exact"/>
        <w:rPr>
          <w:rtl/>
        </w:rPr>
      </w:pPr>
      <w:r>
        <w:rPr>
          <w:rFonts w:cs="Times New Roman"/>
          <w:color w:val="000000"/>
          <w:sz w:val="28"/>
          <w:szCs w:val="28"/>
        </w:rPr>
        <w:lastRenderedPageBreak/>
        <w:sym w:font="HQPB2" w:char="F0E2"/>
      </w:r>
      <w:r>
        <w:rPr>
          <w:rFonts w:cs="Times New Roman"/>
          <w:color w:val="000000"/>
          <w:sz w:val="28"/>
          <w:szCs w:val="28"/>
          <w:rtl/>
        </w:rPr>
        <w:t xml:space="preserve"> </w:t>
      </w:r>
      <w:r>
        <w:rPr>
          <w:rFonts w:cs="Times New Roman"/>
          <w:color w:val="000000"/>
          <w:sz w:val="28"/>
          <w:szCs w:val="28"/>
        </w:rPr>
        <w:sym w:font="HQPB4" w:char="F0F5"/>
      </w:r>
      <w:r>
        <w:rPr>
          <w:rFonts w:cs="Times New Roman"/>
          <w:color w:val="000000"/>
          <w:sz w:val="28"/>
          <w:szCs w:val="28"/>
        </w:rPr>
        <w:sym w:font="HQPB1" w:char="F08B"/>
      </w:r>
      <w:r>
        <w:rPr>
          <w:rFonts w:cs="Times New Roman"/>
          <w:color w:val="000000"/>
          <w:sz w:val="28"/>
          <w:szCs w:val="28"/>
        </w:rPr>
        <w:sym w:font="HQPB4" w:char="F0E8"/>
      </w:r>
      <w:r>
        <w:rPr>
          <w:rFonts w:cs="Times New Roman"/>
          <w:color w:val="000000"/>
          <w:sz w:val="28"/>
          <w:szCs w:val="28"/>
        </w:rPr>
        <w:sym w:font="HQPB1" w:char="F07B"/>
      </w:r>
      <w:r>
        <w:rPr>
          <w:rFonts w:cs="Times New Roman"/>
          <w:color w:val="000000"/>
          <w:sz w:val="28"/>
          <w:szCs w:val="28"/>
          <w:rtl/>
        </w:rPr>
        <w:t xml:space="preserve"> </w:t>
      </w:r>
      <w:r>
        <w:rPr>
          <w:rFonts w:cs="Times New Roman"/>
          <w:color w:val="000000"/>
          <w:sz w:val="28"/>
          <w:szCs w:val="28"/>
        </w:rPr>
        <w:sym w:font="HQPB4" w:char="F0F4"/>
      </w:r>
      <w:r>
        <w:rPr>
          <w:rFonts w:cs="Times New Roman"/>
          <w:color w:val="000000"/>
          <w:sz w:val="28"/>
          <w:szCs w:val="28"/>
        </w:rPr>
        <w:sym w:font="HQPB2" w:char="F060"/>
      </w:r>
      <w:r>
        <w:rPr>
          <w:rFonts w:cs="Times New Roman"/>
          <w:color w:val="000000"/>
          <w:sz w:val="28"/>
          <w:szCs w:val="28"/>
        </w:rPr>
        <w:sym w:font="HQPB4" w:char="F0CF"/>
      </w:r>
      <w:r>
        <w:rPr>
          <w:rFonts w:cs="Times New Roman"/>
          <w:color w:val="000000"/>
          <w:sz w:val="28"/>
          <w:szCs w:val="28"/>
        </w:rPr>
        <w:sym w:font="HQPB2" w:char="F042"/>
      </w:r>
      <w:r>
        <w:rPr>
          <w:rFonts w:cs="Times New Roman"/>
          <w:color w:val="000000"/>
          <w:sz w:val="28"/>
          <w:szCs w:val="28"/>
          <w:rtl/>
        </w:rPr>
        <w:t xml:space="preserve"> </w:t>
      </w:r>
      <w:r>
        <w:rPr>
          <w:rFonts w:cs="Times New Roman"/>
          <w:color w:val="000000"/>
          <w:sz w:val="28"/>
          <w:szCs w:val="28"/>
        </w:rPr>
        <w:sym w:font="HQPB4" w:char="F0F6"/>
      </w:r>
      <w:r>
        <w:rPr>
          <w:rFonts w:cs="Times New Roman"/>
          <w:color w:val="000000"/>
          <w:sz w:val="28"/>
          <w:szCs w:val="28"/>
        </w:rPr>
        <w:sym w:font="HQPB2" w:char="F04E"/>
      </w:r>
      <w:r>
        <w:rPr>
          <w:rFonts w:cs="Times New Roman"/>
          <w:color w:val="000000"/>
          <w:sz w:val="28"/>
          <w:szCs w:val="28"/>
        </w:rPr>
        <w:sym w:font="HQPB4" w:char="F0CF"/>
      </w:r>
      <w:r>
        <w:rPr>
          <w:rFonts w:cs="Times New Roman"/>
          <w:color w:val="000000"/>
          <w:sz w:val="28"/>
          <w:szCs w:val="28"/>
        </w:rPr>
        <w:sym w:font="HQPB2" w:char="F06C"/>
      </w:r>
      <w:r>
        <w:rPr>
          <w:rFonts w:cs="Times New Roman"/>
          <w:color w:val="000000"/>
          <w:sz w:val="28"/>
          <w:szCs w:val="28"/>
        </w:rPr>
        <w:sym w:font="HQPB4" w:char="F0CE"/>
      </w:r>
      <w:r>
        <w:rPr>
          <w:rFonts w:cs="Times New Roman"/>
          <w:color w:val="000000"/>
          <w:sz w:val="28"/>
          <w:szCs w:val="28"/>
        </w:rPr>
        <w:sym w:font="HQPB2" w:char="F03B"/>
      </w:r>
      <w:r>
        <w:rPr>
          <w:rFonts w:cs="Times New Roman"/>
          <w:color w:val="000000"/>
          <w:sz w:val="28"/>
          <w:szCs w:val="28"/>
        </w:rPr>
        <w:sym w:font="HQPB2" w:char="F0BA"/>
      </w:r>
      <w:r>
        <w:rPr>
          <w:rFonts w:cs="Times New Roman"/>
          <w:color w:val="000000"/>
          <w:sz w:val="28"/>
          <w:szCs w:val="28"/>
        </w:rPr>
        <w:sym w:font="HQPB5" w:char="F075"/>
      </w:r>
      <w:r>
        <w:rPr>
          <w:rFonts w:cs="Times New Roman"/>
          <w:color w:val="000000"/>
          <w:sz w:val="28"/>
          <w:szCs w:val="28"/>
        </w:rPr>
        <w:sym w:font="HQPB2" w:char="F071"/>
      </w:r>
      <w:r>
        <w:rPr>
          <w:rFonts w:cs="Times New Roman"/>
          <w:color w:val="000000"/>
          <w:sz w:val="28"/>
          <w:szCs w:val="28"/>
        </w:rPr>
        <w:sym w:font="HQPB4" w:char="F0F8"/>
      </w:r>
      <w:r>
        <w:rPr>
          <w:rFonts w:cs="Times New Roman"/>
          <w:color w:val="000000"/>
          <w:sz w:val="28"/>
          <w:szCs w:val="28"/>
        </w:rPr>
        <w:sym w:font="HQPB2" w:char="F042"/>
      </w:r>
      <w:r>
        <w:rPr>
          <w:rFonts w:cs="Times New Roman"/>
          <w:color w:val="000000"/>
          <w:sz w:val="28"/>
          <w:szCs w:val="28"/>
        </w:rPr>
        <w:sym w:font="HQPB5" w:char="F072"/>
      </w:r>
      <w:r>
        <w:rPr>
          <w:rFonts w:cs="Times New Roman"/>
          <w:color w:val="000000"/>
          <w:sz w:val="28"/>
          <w:szCs w:val="28"/>
        </w:rPr>
        <w:sym w:font="HQPB1" w:char="F026"/>
      </w:r>
      <w:r>
        <w:rPr>
          <w:rFonts w:cs="Times New Roman"/>
          <w:color w:val="000000"/>
          <w:sz w:val="28"/>
          <w:szCs w:val="28"/>
          <w:rtl/>
        </w:rPr>
        <w:t xml:space="preserve"> </w:t>
      </w:r>
      <w:r>
        <w:rPr>
          <w:rFonts w:cs="Times New Roman"/>
          <w:color w:val="000000"/>
          <w:sz w:val="28"/>
          <w:szCs w:val="28"/>
        </w:rPr>
        <w:sym w:font="HQPB4" w:char="F05A"/>
      </w:r>
      <w:r>
        <w:rPr>
          <w:rFonts w:cs="Times New Roman"/>
          <w:color w:val="000000"/>
          <w:sz w:val="28"/>
          <w:szCs w:val="28"/>
        </w:rPr>
        <w:sym w:font="HQPB2" w:char="F070"/>
      </w:r>
      <w:r>
        <w:rPr>
          <w:rFonts w:cs="Times New Roman"/>
          <w:color w:val="000000"/>
          <w:sz w:val="28"/>
          <w:szCs w:val="28"/>
        </w:rPr>
        <w:sym w:font="HQPB5" w:char="F073"/>
      </w:r>
      <w:r>
        <w:rPr>
          <w:rFonts w:cs="Times New Roman"/>
          <w:color w:val="000000"/>
          <w:sz w:val="28"/>
          <w:szCs w:val="28"/>
        </w:rPr>
        <w:sym w:font="HQPB2" w:char="F025"/>
      </w:r>
      <w:r>
        <w:rPr>
          <w:rFonts w:cs="Times New Roman"/>
          <w:color w:val="000000"/>
          <w:sz w:val="28"/>
          <w:szCs w:val="28"/>
        </w:rPr>
        <w:sym w:font="HQPB5" w:char="F079"/>
      </w:r>
      <w:r>
        <w:rPr>
          <w:rFonts w:cs="Times New Roman"/>
          <w:color w:val="000000"/>
          <w:sz w:val="28"/>
          <w:szCs w:val="28"/>
        </w:rPr>
        <w:sym w:font="HQPB1" w:char="F089"/>
      </w:r>
      <w:r>
        <w:rPr>
          <w:rFonts w:cs="Times New Roman"/>
          <w:color w:val="000000"/>
          <w:sz w:val="28"/>
          <w:szCs w:val="28"/>
        </w:rPr>
        <w:sym w:font="HQPB5" w:char="F07C"/>
      </w:r>
      <w:r>
        <w:rPr>
          <w:rFonts w:cs="Times New Roman"/>
          <w:color w:val="000000"/>
          <w:sz w:val="28"/>
          <w:szCs w:val="28"/>
        </w:rPr>
        <w:sym w:font="HQPB1" w:char="F0B9"/>
      </w:r>
      <w:r>
        <w:rPr>
          <w:rFonts w:cs="Times New Roman"/>
          <w:color w:val="000000"/>
          <w:sz w:val="28"/>
          <w:szCs w:val="28"/>
          <w:rtl/>
        </w:rPr>
        <w:t xml:space="preserve"> </w:t>
      </w:r>
      <w:r>
        <w:rPr>
          <w:rFonts w:cs="Times New Roman"/>
          <w:color w:val="000000"/>
          <w:sz w:val="28"/>
          <w:szCs w:val="28"/>
        </w:rPr>
        <w:sym w:font="HQPB2" w:char="F0E1"/>
      </w:r>
      <w:r>
        <w:rPr>
          <w:rFonts w:hint="cs"/>
          <w:vertAlign w:val="superscript"/>
          <w:rtl/>
        </w:rPr>
        <w:t>(</w:t>
      </w:r>
      <w:r>
        <w:rPr>
          <w:rStyle w:val="a7"/>
          <w:rtl/>
        </w:rPr>
        <w:footnoteReference w:id="1309"/>
      </w:r>
      <w:r>
        <w:rPr>
          <w:rFonts w:hint="cs"/>
          <w:vertAlign w:val="superscript"/>
          <w:rtl/>
        </w:rPr>
        <w:t>)</w:t>
      </w:r>
      <w:r>
        <w:rPr>
          <w:rFonts w:hint="cs"/>
          <w:rtl/>
        </w:rPr>
        <w:t>: انصرف</w:t>
      </w:r>
      <w:r>
        <w:rPr>
          <w:rStyle w:val="a7"/>
          <w:rtl/>
        </w:rPr>
        <w:footnoteReference w:id="1310"/>
      </w:r>
      <w:r>
        <w:rPr>
          <w:rFonts w:hint="cs"/>
          <w:rtl/>
        </w:rPr>
        <w:t xml:space="preserve"> إلى [الفضول]</w:t>
      </w:r>
      <w:r>
        <w:rPr>
          <w:rStyle w:val="a7"/>
          <w:rtl/>
        </w:rPr>
        <w:footnoteReference w:id="1311"/>
      </w:r>
      <w:r>
        <w:rPr>
          <w:rFonts w:hint="cs"/>
          <w:rtl/>
        </w:rPr>
        <w:t>، لا إلى كل المال، فكذا</w:t>
      </w:r>
      <w:r>
        <w:rPr>
          <w:rStyle w:val="a7"/>
          <w:rtl/>
        </w:rPr>
        <w:footnoteReference w:id="1312"/>
      </w:r>
      <w:r>
        <w:rPr>
          <w:rFonts w:hint="cs"/>
          <w:rtl/>
        </w:rPr>
        <w:t xml:space="preserve"> ما يوجبه</w:t>
      </w:r>
      <w:r>
        <w:rPr>
          <w:rStyle w:val="a7"/>
          <w:rtl/>
        </w:rPr>
        <w:footnoteReference w:id="1313"/>
      </w:r>
      <w:r>
        <w:rPr>
          <w:rFonts w:hint="cs"/>
          <w:rtl/>
        </w:rPr>
        <w:t xml:space="preserve"> العبد إلى نفسه.</w:t>
      </w:r>
    </w:p>
    <w:p w:rsidR="00C10469" w:rsidRDefault="00C10469">
      <w:pPr>
        <w:rPr>
          <w:rtl/>
        </w:rPr>
      </w:pPr>
      <w:r>
        <w:rPr>
          <w:rFonts w:hint="cs"/>
          <w:rtl/>
        </w:rPr>
        <w:t>بخلاف الوصية؛ لأنها أخت الميراث؛ لكونها خلافة كالورا[ثة]</w:t>
      </w:r>
      <w:r>
        <w:rPr>
          <w:rStyle w:val="a7"/>
          <w:rtl/>
        </w:rPr>
        <w:footnoteReference w:id="1314"/>
      </w:r>
      <w:r>
        <w:rPr>
          <w:rFonts w:hint="cs"/>
          <w:rtl/>
        </w:rPr>
        <w:t>، والإرث يجري في جميع المال، هكذا الوصية -والله أعلم-</w:t>
      </w:r>
      <w:r>
        <w:rPr>
          <w:rStyle w:val="a7"/>
          <w:rtl/>
        </w:rPr>
        <w:footnoteReference w:id="1315"/>
      </w:r>
      <w:r>
        <w:rPr>
          <w:rFonts w:hint="cs"/>
          <w:rtl/>
        </w:rPr>
        <w:t xml:space="preserve"> </w:t>
      </w:r>
      <w:r>
        <w:rPr>
          <w:rFonts w:hint="cs"/>
          <w:vertAlign w:val="superscript"/>
          <w:rtl/>
        </w:rPr>
        <w:t>(</w:t>
      </w:r>
      <w:r>
        <w:rPr>
          <w:rStyle w:val="a7"/>
          <w:rtl/>
        </w:rPr>
        <w:footnoteReference w:id="1316"/>
      </w:r>
      <w:r>
        <w:rPr>
          <w:rFonts w:hint="cs"/>
          <w:vertAlign w:val="superscript"/>
          <w:rtl/>
        </w:rPr>
        <w:t>)</w:t>
      </w:r>
      <w:r>
        <w:rPr>
          <w:rFonts w:hint="cs"/>
          <w:rtl/>
        </w:rPr>
        <w:t>.</w:t>
      </w:r>
    </w:p>
    <w:p w:rsidR="00C10469" w:rsidRDefault="00C10469">
      <w:pPr>
        <w:rPr>
          <w:rtl/>
        </w:rPr>
      </w:pPr>
    </w:p>
    <w:p w:rsidR="00C10469" w:rsidRDefault="00C10469">
      <w:pPr>
        <w:rPr>
          <w:rFonts w:cs="Times New Roman"/>
          <w:color w:val="800000"/>
          <w:sz w:val="38"/>
          <w:szCs w:val="38"/>
          <w:rtl/>
        </w:rPr>
      </w:pPr>
    </w:p>
    <w:p w:rsidR="00C10469" w:rsidRPr="00A025F3" w:rsidRDefault="00C10469">
      <w:pPr>
        <w:bidi w:val="0"/>
        <w:rPr>
          <w:rtl/>
        </w:rPr>
      </w:pPr>
    </w:p>
    <w:p w:rsidR="00C10469" w:rsidRPr="00275325"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0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D144F4" w:rsidRDefault="00C10469">
      <w:pPr>
        <w:pStyle w:val="a9"/>
        <w:rPr>
          <w:rFonts w:cs="AL-Mateen"/>
        </w:rPr>
      </w:pPr>
      <w:r w:rsidRPr="00D144F4">
        <w:rPr>
          <w:rFonts w:cs="AL-Mateen"/>
          <w:rtl/>
        </w:rPr>
        <w:lastRenderedPageBreak/>
        <w:t xml:space="preserve">[ </w:t>
      </w:r>
      <w:r w:rsidRPr="00D144F4">
        <w:rPr>
          <w:rFonts w:cs="AL-Mateen" w:hint="eastAsia"/>
          <w:rtl/>
        </w:rPr>
        <w:t>القـاعـدة</w:t>
      </w:r>
      <w:r w:rsidRPr="00D144F4">
        <w:rPr>
          <w:rFonts w:cs="AL-Mateen"/>
          <w:rtl/>
        </w:rPr>
        <w:t xml:space="preserve"> الحـاديـة والخـمـسون ]</w:t>
      </w:r>
    </w:p>
    <w:p w:rsidR="00C10469" w:rsidRDefault="00C10469">
      <w:pPr>
        <w:rPr>
          <w:b/>
          <w:bCs/>
          <w:rtl/>
        </w:rPr>
      </w:pPr>
      <w:r>
        <w:rPr>
          <w:rFonts w:cs="Monotype Koufi" w:hint="eastAsia"/>
          <w:rtl/>
        </w:rPr>
        <w:t>الب</w:t>
      </w:r>
      <w:r>
        <w:rPr>
          <w:rFonts w:cs="Monotype Koufi" w:hint="cs"/>
          <w:rtl/>
        </w:rPr>
        <w:t>َ</w:t>
      </w:r>
      <w:r>
        <w:rPr>
          <w:rFonts w:cs="Monotype Koufi" w:hint="eastAsia"/>
          <w:rtl/>
        </w:rPr>
        <w:t>ع</w:t>
      </w:r>
      <w:r>
        <w:rPr>
          <w:rFonts w:cs="Monotype Koufi" w:hint="cs"/>
          <w:rtl/>
        </w:rPr>
        <w:t>ْ</w:t>
      </w:r>
      <w:r>
        <w:rPr>
          <w:rFonts w:cs="Monotype Koufi" w:hint="eastAsia"/>
          <w:rtl/>
        </w:rPr>
        <w:t>ض</w:t>
      </w:r>
      <w:r>
        <w:rPr>
          <w:rFonts w:cs="Monotype Koufi" w:hint="cs"/>
          <w:rtl/>
        </w:rPr>
        <w:t>ُ</w:t>
      </w:r>
      <w:r>
        <w:rPr>
          <w:rFonts w:hint="cs"/>
          <w:vertAlign w:val="superscript"/>
          <w:rtl/>
        </w:rPr>
        <w:t>(</w:t>
      </w:r>
      <w:r>
        <w:rPr>
          <w:rStyle w:val="a7"/>
          <w:rtl/>
        </w:rPr>
        <w:footnoteReference w:id="1317"/>
      </w:r>
      <w:r>
        <w:rPr>
          <w:rFonts w:hint="cs"/>
          <w:vertAlign w:val="superscript"/>
          <w:rtl/>
        </w:rPr>
        <w:t>)</w:t>
      </w:r>
      <w:r>
        <w:rPr>
          <w:rFonts w:cs="Monotype Koufi"/>
          <w:rtl/>
        </w:rPr>
        <w:t xml:space="preserve"> لا</w:t>
      </w:r>
      <w:r>
        <w:rPr>
          <w:rFonts w:cs="Monotype Koufi" w:hint="cs"/>
          <w:rtl/>
        </w:rPr>
        <w:t>َ</w:t>
      </w:r>
      <w:r>
        <w:rPr>
          <w:rFonts w:cs="Monotype Koufi"/>
          <w:rtl/>
        </w:rPr>
        <w:t xml:space="preserve"> ي</w:t>
      </w:r>
      <w:r>
        <w:rPr>
          <w:rFonts w:cs="Monotype Koufi" w:hint="cs"/>
          <w:rtl/>
        </w:rPr>
        <w:t>َ</w:t>
      </w:r>
      <w:r>
        <w:rPr>
          <w:rFonts w:cs="Monotype Koufi"/>
          <w:rtl/>
        </w:rPr>
        <w:t>ز</w:t>
      </w:r>
      <w:r>
        <w:rPr>
          <w:rFonts w:cs="Monotype Koufi" w:hint="cs"/>
          <w:rtl/>
        </w:rPr>
        <w:t>ِ</w:t>
      </w:r>
      <w:r>
        <w:rPr>
          <w:rFonts w:cs="Monotype Koufi"/>
          <w:rtl/>
        </w:rPr>
        <w:t>ي</w:t>
      </w:r>
      <w:r>
        <w:rPr>
          <w:rFonts w:cs="Monotype Koufi" w:hint="cs"/>
          <w:rtl/>
        </w:rPr>
        <w:t>ْ</w:t>
      </w:r>
      <w:r>
        <w:rPr>
          <w:rFonts w:cs="Monotype Koufi"/>
          <w:rtl/>
        </w:rPr>
        <w:t>د</w:t>
      </w:r>
      <w:r>
        <w:rPr>
          <w:rFonts w:cs="Monotype Koufi" w:hint="cs"/>
          <w:rtl/>
        </w:rPr>
        <w:t>ُ</w:t>
      </w:r>
      <w:r>
        <w:rPr>
          <w:rStyle w:val="a7"/>
          <w:rtl/>
        </w:rPr>
        <w:footnoteReference w:id="1318"/>
      </w:r>
      <w:r>
        <w:rPr>
          <w:b/>
          <w:bCs/>
          <w:rtl/>
        </w:rPr>
        <w:t xml:space="preserve"> </w:t>
      </w:r>
      <w:r>
        <w:rPr>
          <w:rFonts w:cs="Monotype Koufi" w:hint="eastAsia"/>
          <w:rtl/>
        </w:rPr>
        <w:t>ع</w:t>
      </w:r>
      <w:r>
        <w:rPr>
          <w:rFonts w:cs="Monotype Koufi" w:hint="cs"/>
          <w:rtl/>
        </w:rPr>
        <w:t>َ</w:t>
      </w:r>
      <w:r>
        <w:rPr>
          <w:rFonts w:cs="Monotype Koufi" w:hint="eastAsia"/>
          <w:rtl/>
        </w:rPr>
        <w:t>ل</w:t>
      </w:r>
      <w:r>
        <w:rPr>
          <w:rFonts w:cs="Monotype Koufi" w:hint="cs"/>
          <w:rtl/>
        </w:rPr>
        <w:t>َ</w:t>
      </w:r>
      <w:r>
        <w:rPr>
          <w:rFonts w:cs="Monotype Koufi" w:hint="eastAsia"/>
          <w:rtl/>
        </w:rPr>
        <w:t>ى</w:t>
      </w:r>
      <w:r>
        <w:rPr>
          <w:rFonts w:cs="Monotype Koufi"/>
          <w:rtl/>
        </w:rPr>
        <w:t xml:space="preserve"> الك</w:t>
      </w:r>
      <w:r>
        <w:rPr>
          <w:rFonts w:cs="Monotype Koufi" w:hint="cs"/>
          <w:rtl/>
        </w:rPr>
        <w:t>ُ</w:t>
      </w:r>
      <w:r>
        <w:rPr>
          <w:rFonts w:cs="Monotype Koufi"/>
          <w:rtl/>
        </w:rPr>
        <w:t>ل</w:t>
      </w:r>
      <w:r>
        <w:rPr>
          <w:rFonts w:cs="Monotype Koufi" w:hint="cs"/>
          <w:rtl/>
        </w:rPr>
        <w:t>ِّ</w:t>
      </w:r>
      <w:r>
        <w:rPr>
          <w:rFonts w:cs="Monotype Koufi"/>
          <w:rtl/>
        </w:rPr>
        <w:t xml:space="preserve"> إلا</w:t>
      </w:r>
      <w:r>
        <w:rPr>
          <w:rFonts w:cs="Monotype Koufi" w:hint="cs"/>
          <w:rtl/>
        </w:rPr>
        <w:t>َّ</w:t>
      </w:r>
      <w:r>
        <w:rPr>
          <w:rFonts w:cs="Monotype Koufi"/>
          <w:rtl/>
        </w:rPr>
        <w:t xml:space="preserve"> ف</w:t>
      </w:r>
      <w:r>
        <w:rPr>
          <w:rFonts w:cs="Monotype Koufi" w:hint="cs"/>
          <w:rtl/>
        </w:rPr>
        <w:t>ِ</w:t>
      </w:r>
      <w:r>
        <w:rPr>
          <w:rFonts w:cs="Monotype Koufi"/>
          <w:rtl/>
        </w:rPr>
        <w:t>ي م</w:t>
      </w:r>
      <w:r>
        <w:rPr>
          <w:rFonts w:cs="Monotype Koufi" w:hint="cs"/>
          <w:rtl/>
        </w:rPr>
        <w:t>َ</w:t>
      </w:r>
      <w:r>
        <w:rPr>
          <w:rFonts w:cs="Monotype Koufi"/>
          <w:rtl/>
        </w:rPr>
        <w:t>س</w:t>
      </w:r>
      <w:r>
        <w:rPr>
          <w:rFonts w:cs="Monotype Koufi" w:hint="cs"/>
          <w:rtl/>
        </w:rPr>
        <w:t>ْ</w:t>
      </w:r>
      <w:r>
        <w:rPr>
          <w:rFonts w:cs="Monotype Koufi"/>
          <w:rtl/>
        </w:rPr>
        <w:t>أ</w:t>
      </w:r>
      <w:r>
        <w:rPr>
          <w:rFonts w:cs="Monotype Koufi" w:hint="cs"/>
          <w:rtl/>
        </w:rPr>
        <w:t>َ</w:t>
      </w:r>
      <w:r>
        <w:rPr>
          <w:rFonts w:cs="Monotype Koufi"/>
          <w:rtl/>
        </w:rPr>
        <w:t>لة</w:t>
      </w:r>
      <w:r>
        <w:rPr>
          <w:rFonts w:cs="Monotype Koufi" w:hint="cs"/>
          <w:rtl/>
        </w:rPr>
        <w:t>ٍ</w:t>
      </w:r>
      <w:r>
        <w:rPr>
          <w:rFonts w:cs="Monotype Koufi"/>
          <w:rtl/>
        </w:rPr>
        <w:t xml:space="preserve"> و</w:t>
      </w:r>
      <w:r>
        <w:rPr>
          <w:rFonts w:cs="Monotype Koufi" w:hint="cs"/>
          <w:rtl/>
        </w:rPr>
        <w:t>َ</w:t>
      </w:r>
      <w:r>
        <w:rPr>
          <w:rFonts w:cs="Monotype Koufi"/>
          <w:rtl/>
        </w:rPr>
        <w:t>اح</w:t>
      </w:r>
      <w:r>
        <w:rPr>
          <w:rFonts w:cs="Monotype Koufi" w:hint="cs"/>
          <w:rtl/>
        </w:rPr>
        <w:t>ِ</w:t>
      </w:r>
      <w:r>
        <w:rPr>
          <w:rFonts w:cs="Monotype Koufi"/>
          <w:rtl/>
        </w:rPr>
        <w:t>د</w:t>
      </w:r>
      <w:r>
        <w:rPr>
          <w:rFonts w:cs="Monotype Koufi" w:hint="cs"/>
          <w:rtl/>
        </w:rPr>
        <w:t>َ</w:t>
      </w:r>
      <w:r>
        <w:rPr>
          <w:rFonts w:cs="Monotype Koufi"/>
          <w:rtl/>
        </w:rPr>
        <w:t>ة</w:t>
      </w:r>
      <w:r>
        <w:rPr>
          <w:rFonts w:cs="Monotype Koufi" w:hint="cs"/>
          <w:rtl/>
        </w:rPr>
        <w:t>ٍ</w:t>
      </w:r>
      <w:r>
        <w:rPr>
          <w:rFonts w:cs="Monotype Koufi"/>
          <w:rtl/>
        </w:rPr>
        <w:t>، و</w:t>
      </w:r>
      <w:r>
        <w:rPr>
          <w:rFonts w:cs="Monotype Koufi" w:hint="cs"/>
          <w:rtl/>
        </w:rPr>
        <w:t>َ</w:t>
      </w:r>
      <w:r>
        <w:rPr>
          <w:rFonts w:cs="Monotype Koufi"/>
          <w:rtl/>
        </w:rPr>
        <w:t>ه</w:t>
      </w:r>
      <w:r>
        <w:rPr>
          <w:rFonts w:cs="Monotype Koufi" w:hint="cs"/>
          <w:rtl/>
        </w:rPr>
        <w:t>ِ</w:t>
      </w:r>
      <w:r>
        <w:rPr>
          <w:rFonts w:cs="Monotype Koufi"/>
          <w:rtl/>
        </w:rPr>
        <w:t>ي</w:t>
      </w:r>
      <w:r>
        <w:rPr>
          <w:rFonts w:cs="Monotype Koufi" w:hint="cs"/>
          <w:rtl/>
        </w:rPr>
        <w:t>َ</w:t>
      </w:r>
      <w:r>
        <w:rPr>
          <w:rFonts w:cs="Monotype Koufi"/>
          <w:rtl/>
        </w:rPr>
        <w:t xml:space="preserve"> إذ</w:t>
      </w:r>
      <w:r>
        <w:rPr>
          <w:rFonts w:cs="Monotype Koufi" w:hint="cs"/>
          <w:rtl/>
        </w:rPr>
        <w:t>َ</w:t>
      </w:r>
      <w:r>
        <w:rPr>
          <w:rFonts w:cs="Monotype Koufi"/>
          <w:rtl/>
        </w:rPr>
        <w:t>ا ق</w:t>
      </w:r>
      <w:r>
        <w:rPr>
          <w:rFonts w:cs="Monotype Koufi" w:hint="cs"/>
          <w:rtl/>
        </w:rPr>
        <w:t>َ</w:t>
      </w:r>
      <w:r>
        <w:rPr>
          <w:rFonts w:cs="Monotype Koufi"/>
          <w:rtl/>
        </w:rPr>
        <w:t>ال</w:t>
      </w:r>
      <w:r>
        <w:rPr>
          <w:rFonts w:cs="Monotype Koufi" w:hint="cs"/>
          <w:rtl/>
        </w:rPr>
        <w:t>َ</w:t>
      </w:r>
      <w:r>
        <w:rPr>
          <w:rFonts w:cs="Monotype Koufi"/>
          <w:rtl/>
        </w:rPr>
        <w:t xml:space="preserve"> الر</w:t>
      </w:r>
      <w:r>
        <w:rPr>
          <w:rFonts w:cs="Monotype Koufi" w:hint="cs"/>
          <w:rtl/>
        </w:rPr>
        <w:t>َّ</w:t>
      </w:r>
      <w:r>
        <w:rPr>
          <w:rFonts w:cs="Monotype Koufi"/>
          <w:rtl/>
        </w:rPr>
        <w:t>ج</w:t>
      </w:r>
      <w:r>
        <w:rPr>
          <w:rFonts w:cs="Monotype Koufi" w:hint="cs"/>
          <w:rtl/>
        </w:rPr>
        <w:t>ُ</w:t>
      </w:r>
      <w:r>
        <w:rPr>
          <w:rFonts w:cs="Monotype Koufi"/>
          <w:rtl/>
        </w:rPr>
        <w:t>ل</w:t>
      </w:r>
      <w:r>
        <w:rPr>
          <w:rFonts w:cs="Monotype Koufi" w:hint="cs"/>
          <w:rtl/>
        </w:rPr>
        <w:t>ُ</w:t>
      </w:r>
      <w:r>
        <w:rPr>
          <w:rFonts w:cs="Monotype Koufi"/>
          <w:rtl/>
        </w:rPr>
        <w:t xml:space="preserve"> لامرأت</w:t>
      </w:r>
      <w:r>
        <w:rPr>
          <w:rFonts w:cs="Monotype Koufi" w:hint="cs"/>
          <w:rtl/>
        </w:rPr>
        <w:t>ِ</w:t>
      </w:r>
      <w:r>
        <w:rPr>
          <w:rFonts w:cs="Monotype Koufi"/>
          <w:rtl/>
        </w:rPr>
        <w:t>ه</w:t>
      </w:r>
      <w:r>
        <w:rPr>
          <w:rFonts w:cs="Monotype Koufi" w:hint="cs"/>
          <w:rtl/>
        </w:rPr>
        <w:t>ِ</w:t>
      </w:r>
      <w:r>
        <w:rPr>
          <w:rFonts w:cs="Monotype Koufi"/>
          <w:rtl/>
        </w:rPr>
        <w:t xml:space="preserve"> : أ</w:t>
      </w:r>
      <w:r>
        <w:rPr>
          <w:rFonts w:cs="Monotype Koufi" w:hint="cs"/>
          <w:rtl/>
        </w:rPr>
        <w:t>َ</w:t>
      </w:r>
      <w:r>
        <w:rPr>
          <w:rFonts w:cs="Monotype Koufi"/>
          <w:rtl/>
        </w:rPr>
        <w:t>ن</w:t>
      </w:r>
      <w:r>
        <w:rPr>
          <w:rFonts w:cs="Monotype Koufi" w:hint="cs"/>
          <w:rtl/>
        </w:rPr>
        <w:t>ْ</w:t>
      </w:r>
      <w:r>
        <w:rPr>
          <w:rFonts w:cs="Monotype Koufi"/>
          <w:rtl/>
        </w:rPr>
        <w:t>ت</w:t>
      </w:r>
      <w:r>
        <w:rPr>
          <w:rFonts w:cs="Monotype Koufi" w:hint="cs"/>
          <w:rtl/>
        </w:rPr>
        <w:t>ِ</w:t>
      </w:r>
      <w:r>
        <w:rPr>
          <w:rFonts w:cs="Monotype Koufi"/>
          <w:rtl/>
        </w:rPr>
        <w:t xml:space="preserve"> عليَّ ك</w:t>
      </w:r>
      <w:r>
        <w:rPr>
          <w:rFonts w:cs="Monotype Koufi" w:hint="cs"/>
          <w:rtl/>
        </w:rPr>
        <w:t>َ</w:t>
      </w:r>
      <w:r>
        <w:rPr>
          <w:rFonts w:cs="Monotype Koufi"/>
          <w:rtl/>
        </w:rPr>
        <w:t>ظ</w:t>
      </w:r>
      <w:r>
        <w:rPr>
          <w:rFonts w:cs="Monotype Koufi" w:hint="cs"/>
          <w:rtl/>
        </w:rPr>
        <w:t>َ</w:t>
      </w:r>
      <w:r>
        <w:rPr>
          <w:rFonts w:cs="Monotype Koufi"/>
          <w:rtl/>
        </w:rPr>
        <w:t>ه</w:t>
      </w:r>
      <w:r>
        <w:rPr>
          <w:rFonts w:cs="Monotype Koufi" w:hint="cs"/>
          <w:rtl/>
        </w:rPr>
        <w:t>ْ</w:t>
      </w:r>
      <w:r>
        <w:rPr>
          <w:rFonts w:cs="Monotype Koufi"/>
          <w:rtl/>
        </w:rPr>
        <w:t>ر</w:t>
      </w:r>
      <w:r>
        <w:rPr>
          <w:rFonts w:cs="Monotype Koufi" w:hint="cs"/>
          <w:rtl/>
        </w:rPr>
        <w:t>ِ</w:t>
      </w:r>
      <w:r>
        <w:rPr>
          <w:rFonts w:cs="Monotype Koufi"/>
          <w:rtl/>
        </w:rPr>
        <w:t xml:space="preserve"> أ</w:t>
      </w:r>
      <w:r>
        <w:rPr>
          <w:rFonts w:cs="Monotype Koufi" w:hint="cs"/>
          <w:rtl/>
        </w:rPr>
        <w:t>ُ</w:t>
      </w:r>
      <w:r>
        <w:rPr>
          <w:rFonts w:cs="Monotype Koufi"/>
          <w:rtl/>
        </w:rPr>
        <w:t>مّ</w:t>
      </w:r>
      <w:r>
        <w:rPr>
          <w:rFonts w:cs="Monotype Koufi" w:hint="eastAsia"/>
          <w:rtl/>
        </w:rPr>
        <w:t>ِي</w:t>
      </w:r>
      <w:r>
        <w:rPr>
          <w:rFonts w:cs="Monotype Koufi"/>
          <w:rtl/>
        </w:rPr>
        <w:t>:</w:t>
      </w:r>
      <w:r>
        <w:rPr>
          <w:b/>
          <w:bCs/>
          <w:rtl/>
        </w:rPr>
        <w:t xml:space="preserve"> </w:t>
      </w:r>
      <w:r>
        <w:rPr>
          <w:b/>
          <w:bCs/>
          <w:vertAlign w:val="superscript"/>
          <w:rtl/>
        </w:rPr>
        <w:t>(</w:t>
      </w:r>
      <w:r>
        <w:rPr>
          <w:rStyle w:val="a7"/>
          <w:rtl/>
        </w:rPr>
        <w:footnoteReference w:id="1319"/>
      </w:r>
      <w:r>
        <w:rPr>
          <w:b/>
          <w:bCs/>
          <w:vertAlign w:val="superscript"/>
          <w:rtl/>
        </w:rPr>
        <w:t>)</w:t>
      </w:r>
    </w:p>
    <w:p w:rsidR="00C10469" w:rsidRDefault="00C10469">
      <w:pPr>
        <w:rPr>
          <w:rtl/>
        </w:rPr>
      </w:pPr>
      <w:r>
        <w:rPr>
          <w:rFonts w:hint="eastAsia"/>
          <w:rtl/>
        </w:rPr>
        <w:t>فإنه</w:t>
      </w:r>
      <w:r>
        <w:rPr>
          <w:rtl/>
        </w:rPr>
        <w:t xml:space="preserve"> صريح في الظ</w:t>
      </w:r>
      <w:r>
        <w:rPr>
          <w:rFonts w:hint="cs"/>
          <w:rtl/>
        </w:rPr>
        <w:t>ّ</w:t>
      </w:r>
      <w:r>
        <w:rPr>
          <w:rtl/>
        </w:rPr>
        <w:t>هار. ولو قال</w:t>
      </w:r>
      <w:r>
        <w:rPr>
          <w:rStyle w:val="a7"/>
          <w:rtl/>
        </w:rPr>
        <w:footnoteReference w:id="1320"/>
      </w:r>
      <w:r>
        <w:rPr>
          <w:rtl/>
        </w:rPr>
        <w:t xml:space="preserve"> : كأمِّي : كـان كـنايـة</w:t>
      </w:r>
      <w:r>
        <w:rPr>
          <w:vertAlign w:val="superscript"/>
          <w:rtl/>
        </w:rPr>
        <w:t>(</w:t>
      </w:r>
      <w:r>
        <w:rPr>
          <w:rStyle w:val="a7"/>
          <w:rtl/>
        </w:rPr>
        <w:footnoteReference w:id="1321"/>
      </w:r>
      <w:r>
        <w:rPr>
          <w:vertAlign w:val="superscript"/>
          <w:rtl/>
        </w:rPr>
        <w:t>)</w:t>
      </w:r>
      <w:r>
        <w:rPr>
          <w:rFonts w:hint="eastAsia"/>
          <w:rtl/>
        </w:rPr>
        <w:t>؛</w:t>
      </w:r>
      <w:r>
        <w:rPr>
          <w:rtl/>
        </w:rPr>
        <w:t xml:space="preserve"> </w:t>
      </w:r>
      <w:r>
        <w:rPr>
          <w:rFonts w:hint="eastAsia"/>
          <w:rtl/>
        </w:rPr>
        <w:t>لأن</w:t>
      </w:r>
      <w:r>
        <w:rPr>
          <w:rtl/>
        </w:rPr>
        <w:t xml:space="preserve"> قـوله: (ك</w:t>
      </w:r>
      <w:r>
        <w:rPr>
          <w:rFonts w:hint="cs"/>
          <w:rtl/>
        </w:rPr>
        <w:t>َ</w:t>
      </w:r>
      <w:r>
        <w:rPr>
          <w:rtl/>
        </w:rPr>
        <w:t>أ</w:t>
      </w:r>
      <w:r>
        <w:rPr>
          <w:rFonts w:hint="cs"/>
          <w:rtl/>
        </w:rPr>
        <w:t>ُ</w:t>
      </w:r>
      <w:r>
        <w:rPr>
          <w:rtl/>
        </w:rPr>
        <w:t>م</w:t>
      </w:r>
      <w:r>
        <w:rPr>
          <w:rFonts w:hint="cs"/>
          <w:rtl/>
        </w:rPr>
        <w:t>ِّ</w:t>
      </w:r>
      <w:r>
        <w:rPr>
          <w:rtl/>
        </w:rPr>
        <w:t>ي) يـحتمل</w:t>
      </w:r>
      <w:r>
        <w:rPr>
          <w:rFonts w:hint="cs"/>
          <w:rtl/>
        </w:rPr>
        <w:t>ُ</w:t>
      </w:r>
      <w:r>
        <w:rPr>
          <w:rtl/>
        </w:rPr>
        <w:t xml:space="preserve"> [الكرامـة</w:t>
      </w:r>
      <w:r>
        <w:rPr>
          <w:rFonts w:hint="cs"/>
          <w:rtl/>
        </w:rPr>
        <w:t>َ</w:t>
      </w:r>
      <w:r>
        <w:rPr>
          <w:rtl/>
        </w:rPr>
        <w:t>]</w:t>
      </w:r>
      <w:r>
        <w:rPr>
          <w:rStyle w:val="a7"/>
          <w:rtl/>
        </w:rPr>
        <w:footnoteReference w:id="1322"/>
      </w:r>
      <w:r>
        <w:rPr>
          <w:rtl/>
        </w:rPr>
        <w:t xml:space="preserve"> </w:t>
      </w:r>
      <w:r>
        <w:rPr>
          <w:rFonts w:hint="eastAsia"/>
          <w:rtl/>
        </w:rPr>
        <w:t>أو</w:t>
      </w:r>
      <w:r>
        <w:rPr>
          <w:rtl/>
        </w:rPr>
        <w:t xml:space="preserve"> الظ</w:t>
      </w:r>
      <w:r>
        <w:rPr>
          <w:rFonts w:hint="cs"/>
          <w:rtl/>
        </w:rPr>
        <w:t>ّ</w:t>
      </w:r>
      <w:r>
        <w:rPr>
          <w:rtl/>
        </w:rPr>
        <w:t>ـهـار أو الط</w:t>
      </w:r>
      <w:r>
        <w:rPr>
          <w:rFonts w:hint="cs"/>
          <w:rtl/>
        </w:rPr>
        <w:t>ّ</w:t>
      </w:r>
      <w:r>
        <w:rPr>
          <w:rtl/>
        </w:rPr>
        <w:t>ـلاق</w:t>
      </w:r>
      <w:r>
        <w:rPr>
          <w:rFonts w:hint="cs"/>
          <w:rtl/>
        </w:rPr>
        <w:t>َ</w:t>
      </w:r>
      <w:r>
        <w:rPr>
          <w:rtl/>
        </w:rPr>
        <w:t>، [فما]</w:t>
      </w:r>
      <w:r>
        <w:rPr>
          <w:rStyle w:val="a7"/>
          <w:rtl/>
        </w:rPr>
        <w:footnoteReference w:id="1323"/>
      </w:r>
      <w:r>
        <w:rPr>
          <w:rtl/>
        </w:rPr>
        <w:t xml:space="preserve"> </w:t>
      </w:r>
      <w:r>
        <w:rPr>
          <w:rFonts w:hint="eastAsia"/>
          <w:rtl/>
        </w:rPr>
        <w:t>نواه</w:t>
      </w:r>
      <w:r>
        <w:rPr>
          <w:rtl/>
        </w:rPr>
        <w:t xml:space="preserve"> تعيّن</w:t>
      </w:r>
      <w:r>
        <w:rPr>
          <w:rStyle w:val="a7"/>
          <w:rtl/>
        </w:rPr>
        <w:footnoteReference w:id="1324"/>
      </w:r>
      <w:r>
        <w:rPr>
          <w:rtl/>
        </w:rPr>
        <w:t>.</w:t>
      </w:r>
    </w:p>
    <w:p w:rsidR="00C10469" w:rsidRDefault="00C10469">
      <w:pPr>
        <w:rPr>
          <w:rtl/>
        </w:rPr>
      </w:pPr>
    </w:p>
    <w:p w:rsidR="00C10469" w:rsidRDefault="00C10469">
      <w:pPr>
        <w:rPr>
          <w:rtl/>
        </w:rPr>
      </w:pPr>
    </w:p>
    <w:p w:rsidR="00C10469" w:rsidRDefault="00C10469" w:rsidP="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0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92010" w:rsidRDefault="00C10469">
      <w:pPr>
        <w:pStyle w:val="a9"/>
        <w:rPr>
          <w:rFonts w:cs="AL-Mateen"/>
          <w:rtl/>
        </w:rPr>
      </w:pPr>
      <w:r w:rsidRPr="00F92010">
        <w:rPr>
          <w:rFonts w:cs="AL-Mateen"/>
          <w:rtl/>
        </w:rPr>
        <w:lastRenderedPageBreak/>
        <w:t>[ الـقـاعـدة الثـانيـة والخـمسون ]</w:t>
      </w:r>
    </w:p>
    <w:p w:rsidR="00C10469" w:rsidRDefault="00C10469">
      <w:pPr>
        <w:rPr>
          <w:b/>
          <w:bCs/>
          <w:rtl/>
        </w:rPr>
      </w:pPr>
      <w:r>
        <w:rPr>
          <w:rFonts w:cs="Monotype Koufi" w:hint="eastAsia"/>
          <w:rtl/>
        </w:rPr>
        <w:t>الب</w:t>
      </w:r>
      <w:r>
        <w:rPr>
          <w:rFonts w:cs="Monotype Koufi" w:hint="cs"/>
          <w:rtl/>
        </w:rPr>
        <w:t>َ</w:t>
      </w:r>
      <w:r>
        <w:rPr>
          <w:rFonts w:cs="Monotype Koufi" w:hint="eastAsia"/>
          <w:rtl/>
        </w:rPr>
        <w:t>ق</w:t>
      </w:r>
      <w:r>
        <w:rPr>
          <w:rFonts w:cs="Monotype Koufi" w:hint="cs"/>
          <w:rtl/>
        </w:rPr>
        <w:t>َ</w:t>
      </w:r>
      <w:r>
        <w:rPr>
          <w:rFonts w:cs="Monotype Koufi" w:hint="eastAsia"/>
          <w:rtl/>
        </w:rPr>
        <w:t>اء</w:t>
      </w:r>
      <w:r>
        <w:rPr>
          <w:rFonts w:cs="Monotype Koufi" w:hint="cs"/>
          <w:rtl/>
        </w:rPr>
        <w:t>ُ</w:t>
      </w:r>
      <w:r>
        <w:rPr>
          <w:rFonts w:cs="Monotype Koufi"/>
          <w:rtl/>
        </w:rPr>
        <w:t xml:space="preserve"> ع</w:t>
      </w:r>
      <w:r>
        <w:rPr>
          <w:rFonts w:cs="Monotype Koufi" w:hint="cs"/>
          <w:rtl/>
        </w:rPr>
        <w:t>َ</w:t>
      </w:r>
      <w:r>
        <w:rPr>
          <w:rFonts w:cs="Monotype Koufi"/>
          <w:rtl/>
        </w:rPr>
        <w:t>ل</w:t>
      </w:r>
      <w:r>
        <w:rPr>
          <w:rFonts w:cs="Monotype Koufi" w:hint="cs"/>
          <w:rtl/>
        </w:rPr>
        <w:t>َ</w:t>
      </w:r>
      <w:r>
        <w:rPr>
          <w:rFonts w:cs="Monotype Koufi"/>
          <w:rtl/>
        </w:rPr>
        <w:t>ى و</w:t>
      </w:r>
      <w:r>
        <w:rPr>
          <w:rFonts w:cs="Monotype Koufi" w:hint="cs"/>
          <w:rtl/>
        </w:rPr>
        <w:t>ِ</w:t>
      </w:r>
      <w:r>
        <w:rPr>
          <w:rFonts w:cs="Monotype Koufi"/>
          <w:rtl/>
        </w:rPr>
        <w:t>ف</w:t>
      </w:r>
      <w:r>
        <w:rPr>
          <w:rFonts w:cs="Monotype Koufi" w:hint="cs"/>
          <w:rtl/>
        </w:rPr>
        <w:t>ْ</w:t>
      </w:r>
      <w:r>
        <w:rPr>
          <w:rFonts w:cs="Monotype Koufi"/>
          <w:rtl/>
        </w:rPr>
        <w:t>ق</w:t>
      </w:r>
      <w:r>
        <w:rPr>
          <w:rFonts w:cs="Monotype Koufi" w:hint="cs"/>
          <w:rtl/>
        </w:rPr>
        <w:t>ِ</w:t>
      </w:r>
      <w:r>
        <w:rPr>
          <w:rFonts w:cs="Monotype Koufi"/>
          <w:rtl/>
        </w:rPr>
        <w:t xml:space="preserve"> </w:t>
      </w:r>
      <w:r>
        <w:rPr>
          <w:rFonts w:cs="Monotype Koufi" w:hint="eastAsia"/>
          <w:rtl/>
        </w:rPr>
        <w:t>الث</w:t>
      </w:r>
      <w:r>
        <w:rPr>
          <w:rFonts w:cs="Monotype Koufi" w:hint="cs"/>
          <w:rtl/>
        </w:rPr>
        <w:t>ُّ</w:t>
      </w:r>
      <w:r>
        <w:rPr>
          <w:rFonts w:cs="Monotype Koufi" w:hint="eastAsia"/>
          <w:rtl/>
        </w:rPr>
        <w:t>ب</w:t>
      </w:r>
      <w:r>
        <w:rPr>
          <w:rFonts w:cs="Monotype Koufi" w:hint="cs"/>
          <w:rtl/>
        </w:rPr>
        <w:t>ُ</w:t>
      </w:r>
      <w:r>
        <w:rPr>
          <w:rFonts w:cs="Monotype Koufi" w:hint="eastAsia"/>
          <w:rtl/>
        </w:rPr>
        <w:t>وت</w:t>
      </w:r>
      <w:r>
        <w:rPr>
          <w:rFonts w:cs="Monotype Koufi" w:hint="cs"/>
          <w:rtl/>
        </w:rPr>
        <w:t>ِ</w:t>
      </w:r>
      <w:r>
        <w:rPr>
          <w:b/>
          <w:bCs/>
          <w:vertAlign w:val="superscript"/>
          <w:rtl/>
        </w:rPr>
        <w:t>(</w:t>
      </w:r>
      <w:r>
        <w:rPr>
          <w:rStyle w:val="a7"/>
          <w:b/>
          <w:rtl/>
        </w:rPr>
        <w:footnoteReference w:id="1325"/>
      </w:r>
      <w:r>
        <w:rPr>
          <w:b/>
          <w:bCs/>
          <w:vertAlign w:val="superscript"/>
          <w:rtl/>
        </w:rPr>
        <w:t>)</w:t>
      </w:r>
      <w:r>
        <w:rPr>
          <w:b/>
          <w:bCs/>
          <w:rtl/>
        </w:rPr>
        <w:t xml:space="preserve"> :</w:t>
      </w:r>
    </w:p>
    <w:p w:rsidR="00C10469" w:rsidRDefault="00C10469" w:rsidP="00C10469">
      <w:pPr>
        <w:ind w:left="989" w:hanging="283"/>
        <w:rPr>
          <w:rtl/>
        </w:rPr>
      </w:pPr>
      <w:r>
        <w:rPr>
          <w:rFonts w:ascii="Wingdings" w:hAnsi="Wingdings" w:cs="Wingdings"/>
          <w:sz w:val="26"/>
          <w:szCs w:val="26"/>
        </w:rPr>
        <w:t></w:t>
      </w:r>
      <w:r>
        <w:rPr>
          <w:rFonts w:hint="cs"/>
          <w:rtl/>
        </w:rPr>
        <w:t xml:space="preserve"> </w:t>
      </w:r>
      <w:r>
        <w:rPr>
          <w:rFonts w:hint="eastAsia"/>
          <w:rtl/>
        </w:rPr>
        <w:t>فَمَنْ</w:t>
      </w:r>
      <w:r>
        <w:rPr>
          <w:rtl/>
        </w:rPr>
        <w:t xml:space="preserve"> </w:t>
      </w:r>
      <w:r>
        <w:rPr>
          <w:rFonts w:hint="eastAsia"/>
          <w:rtl/>
        </w:rPr>
        <w:t>«باع</w:t>
      </w:r>
      <w:r>
        <w:rPr>
          <w:rtl/>
        </w:rPr>
        <w:t xml:space="preserve"> الدرهم بالدرهمين، أو اشترى عبدًا بألفٍ ورطلِ خمرٍ، ثم أسقط الدرهم الزائد، </w:t>
      </w:r>
      <w:r>
        <w:rPr>
          <w:rFonts w:hint="eastAsia"/>
          <w:rtl/>
        </w:rPr>
        <w:t>وأبطل</w:t>
      </w:r>
      <w:r>
        <w:rPr>
          <w:rtl/>
        </w:rPr>
        <w:t xml:space="preserve"> الخمر»</w:t>
      </w:r>
      <w:r>
        <w:rPr>
          <w:vertAlign w:val="superscript"/>
          <w:rtl/>
        </w:rPr>
        <w:t>(</w:t>
      </w:r>
      <w:r>
        <w:rPr>
          <w:rStyle w:val="a7"/>
          <w:rtl/>
        </w:rPr>
        <w:footnoteReference w:id="1326"/>
      </w:r>
      <w:r>
        <w:rPr>
          <w:vertAlign w:val="superscript"/>
          <w:rtl/>
        </w:rPr>
        <w:t>)</w:t>
      </w:r>
      <w:r>
        <w:rPr>
          <w:rtl/>
        </w:rPr>
        <w:t xml:space="preserve">: </w:t>
      </w:r>
      <w:r>
        <w:rPr>
          <w:rFonts w:hint="eastAsia"/>
          <w:rtl/>
        </w:rPr>
        <w:t>لا</w:t>
      </w:r>
      <w:r>
        <w:rPr>
          <w:rtl/>
        </w:rPr>
        <w:t xml:space="preserve"> يحكم بصحة البيع؛ لانعقاده فاسدًا، والفاسد لا ينقلب جائزًا.</w:t>
      </w:r>
      <w:r>
        <w:rPr>
          <w:rStyle w:val="a7"/>
          <w:rtl/>
        </w:rPr>
        <w:footnoteReference w:id="1327"/>
      </w:r>
    </w:p>
    <w:p w:rsidR="00C10469" w:rsidRDefault="00C10469" w:rsidP="00C10469">
      <w:pPr>
        <w:ind w:left="989" w:hanging="283"/>
        <w:rPr>
          <w:rtl/>
        </w:rPr>
      </w:pPr>
      <w:r>
        <w:rPr>
          <w:rFonts w:ascii="Wingdings" w:hAnsi="Wingdings" w:cs="Wingdings"/>
          <w:sz w:val="26"/>
          <w:szCs w:val="26"/>
        </w:rPr>
        <w:t></w:t>
      </w:r>
      <w:r>
        <w:rPr>
          <w:rFonts w:hint="cs"/>
          <w:rtl/>
        </w:rPr>
        <w:t xml:space="preserve"> </w:t>
      </w:r>
      <w:r>
        <w:rPr>
          <w:rFonts w:hint="eastAsia"/>
          <w:rtl/>
        </w:rPr>
        <w:t>وكذا</w:t>
      </w:r>
      <w:r>
        <w:rPr>
          <w:rtl/>
        </w:rPr>
        <w:t xml:space="preserve"> : «إذا تزوّج امرأة، وتحته أربع نسوة، ثم طلق الرابعة : لا يحكم بصحة نكاح الخامسة»</w:t>
      </w:r>
      <w:r>
        <w:rPr>
          <w:vertAlign w:val="superscript"/>
          <w:rtl/>
        </w:rPr>
        <w:t>(</w:t>
      </w:r>
      <w:r>
        <w:rPr>
          <w:rStyle w:val="a7"/>
          <w:rtl/>
        </w:rPr>
        <w:footnoteReference w:id="1328"/>
      </w:r>
      <w:r>
        <w:rPr>
          <w:vertAlign w:val="superscript"/>
          <w:rtl/>
        </w:rPr>
        <w:t>)</w:t>
      </w:r>
      <w:r>
        <w:rPr>
          <w:rtl/>
        </w:rPr>
        <w:t>.</w:t>
      </w:r>
    </w:p>
    <w:p w:rsidR="00C10469" w:rsidRDefault="00C10469" w:rsidP="00C10469">
      <w:pPr>
        <w:ind w:left="1131" w:hanging="425"/>
        <w:rPr>
          <w:rtl/>
        </w:rPr>
      </w:pPr>
      <w:r>
        <w:rPr>
          <w:rFonts w:ascii="Wingdings" w:hAnsi="Wingdings" w:cs="Wingdings"/>
          <w:sz w:val="26"/>
          <w:szCs w:val="26"/>
        </w:rPr>
        <w:t></w:t>
      </w:r>
      <w:r>
        <w:rPr>
          <w:rFonts w:hint="cs"/>
          <w:rtl/>
        </w:rPr>
        <w:t xml:space="preserve"> </w:t>
      </w:r>
      <w:r>
        <w:rPr>
          <w:rFonts w:hint="eastAsia"/>
          <w:spacing w:val="-6"/>
          <w:rtl/>
        </w:rPr>
        <w:t>فأما</w:t>
      </w:r>
      <w:r>
        <w:rPr>
          <w:spacing w:val="-6"/>
          <w:rtl/>
        </w:rPr>
        <w:t xml:space="preserve"> </w:t>
      </w:r>
      <w:r>
        <w:rPr>
          <w:rFonts w:hint="eastAsia"/>
          <w:spacing w:val="-6"/>
          <w:rtl/>
        </w:rPr>
        <w:t>إذا</w:t>
      </w:r>
      <w:r>
        <w:rPr>
          <w:spacing w:val="-6"/>
          <w:rtl/>
        </w:rPr>
        <w:t xml:space="preserve"> باع بشرط الخيار أكثر من ثلاثة أيَّام، وأجاز من له الخيار في </w:t>
      </w:r>
      <w:r>
        <w:rPr>
          <w:spacing w:val="-6"/>
          <w:rtl/>
        </w:rPr>
        <w:lastRenderedPageBreak/>
        <w:t>مدّته</w:t>
      </w:r>
      <w:r>
        <w:rPr>
          <w:rStyle w:val="a7"/>
          <w:spacing w:val="-6"/>
          <w:rtl/>
        </w:rPr>
        <w:footnoteReference w:id="1329"/>
      </w:r>
      <w:r>
        <w:rPr>
          <w:spacing w:val="-6"/>
          <w:rtl/>
        </w:rPr>
        <w:t>:</w:t>
      </w:r>
      <w:r>
        <w:rPr>
          <w:spacing w:val="-6"/>
          <w:vertAlign w:val="superscript"/>
          <w:rtl/>
        </w:rPr>
        <w:t>(</w:t>
      </w:r>
      <w:r>
        <w:rPr>
          <w:rStyle w:val="a7"/>
          <w:spacing w:val="-6"/>
          <w:rtl/>
        </w:rPr>
        <w:footnoteReference w:id="1330"/>
      </w:r>
      <w:r>
        <w:rPr>
          <w:spacing w:val="-6"/>
          <w:vertAlign w:val="superscript"/>
          <w:rtl/>
        </w:rPr>
        <w:t>)</w:t>
      </w:r>
      <w:r>
        <w:rPr>
          <w:rtl/>
        </w:rPr>
        <w:t xml:space="preserve"> </w:t>
      </w:r>
    </w:p>
    <w:p w:rsidR="00C10469" w:rsidRDefault="00C10469" w:rsidP="00C10469">
      <w:pPr>
        <w:rPr>
          <w:rtl/>
        </w:rPr>
      </w:pPr>
      <w:r>
        <w:rPr>
          <w:rFonts w:hint="cs"/>
          <w:rtl/>
        </w:rPr>
        <w:t xml:space="preserve"> </w:t>
      </w:r>
      <w:r>
        <w:rPr>
          <w:rtl/>
        </w:rPr>
        <w:t>•</w:t>
      </w:r>
      <w:r>
        <w:rPr>
          <w:rFonts w:hint="cs"/>
          <w:rtl/>
        </w:rPr>
        <w:t xml:space="preserve">  </w:t>
      </w:r>
      <w:r>
        <w:rPr>
          <w:rFonts w:hint="eastAsia"/>
          <w:rtl/>
        </w:rPr>
        <w:t>جاز</w:t>
      </w:r>
      <w:r>
        <w:rPr>
          <w:rtl/>
        </w:rPr>
        <w:t xml:space="preserve"> </w:t>
      </w:r>
      <w:r>
        <w:rPr>
          <w:rFonts w:hint="eastAsia"/>
          <w:rtl/>
        </w:rPr>
        <w:t>عند</w:t>
      </w:r>
      <w:r>
        <w:rPr>
          <w:rtl/>
        </w:rPr>
        <w:t xml:space="preserve"> أبي حنيفة -رحمه الله</w:t>
      </w:r>
      <w:r>
        <w:rPr>
          <w:rStyle w:val="a7"/>
          <w:rtl/>
        </w:rPr>
        <w:footnoteReference w:id="1331"/>
      </w:r>
      <w:r>
        <w:rPr>
          <w:rtl/>
        </w:rPr>
        <w:t xml:space="preserve">- </w:t>
      </w:r>
      <w:r>
        <w:rPr>
          <w:rFonts w:hint="eastAsia"/>
          <w:rtl/>
        </w:rPr>
        <w:t>وصاحبيه</w:t>
      </w:r>
      <w:r>
        <w:rPr>
          <w:rFonts w:hint="cs"/>
          <w:vertAlign w:val="superscript"/>
          <w:rtl/>
        </w:rPr>
        <w:t>(</w:t>
      </w:r>
      <w:r>
        <w:rPr>
          <w:rStyle w:val="a7"/>
          <w:rtl/>
        </w:rPr>
        <w:footnoteReference w:id="1332"/>
      </w:r>
      <w:r>
        <w:rPr>
          <w:rFonts w:hint="cs"/>
          <w:vertAlign w:val="superscript"/>
          <w:rtl/>
        </w:rPr>
        <w:t>)</w:t>
      </w:r>
      <w:r>
        <w:rPr>
          <w:rtl/>
        </w:rPr>
        <w:t>.</w:t>
      </w:r>
    </w:p>
    <w:p w:rsidR="00C10469" w:rsidRDefault="00C10469" w:rsidP="00C10469">
      <w:pPr>
        <w:ind w:left="848" w:hanging="281"/>
        <w:rPr>
          <w:rtl/>
        </w:rPr>
      </w:pPr>
      <w:r>
        <w:rPr>
          <w:rFonts w:hint="cs"/>
          <w:rtl/>
        </w:rPr>
        <w:t xml:space="preserve"> </w:t>
      </w:r>
      <w:r>
        <w:rPr>
          <w:rtl/>
        </w:rPr>
        <w:t>•</w:t>
      </w:r>
      <w:r>
        <w:rPr>
          <w:rFonts w:hint="cs"/>
          <w:rtl/>
        </w:rPr>
        <w:t xml:space="preserve"> </w:t>
      </w:r>
      <w:r>
        <w:rPr>
          <w:rFonts w:hint="eastAsia"/>
          <w:rtl/>
        </w:rPr>
        <w:t>خلافًا</w:t>
      </w:r>
      <w:r>
        <w:rPr>
          <w:rtl/>
        </w:rPr>
        <w:t xml:space="preserve"> </w:t>
      </w:r>
      <w:r>
        <w:rPr>
          <w:rFonts w:hint="eastAsia"/>
          <w:rtl/>
        </w:rPr>
        <w:t>لزفر،</w:t>
      </w:r>
      <w:r>
        <w:rPr>
          <w:rtl/>
        </w:rPr>
        <w:t xml:space="preserve"> فإنه يقول</w:t>
      </w:r>
      <w:r>
        <w:rPr>
          <w:rStyle w:val="a7"/>
          <w:rtl/>
        </w:rPr>
        <w:footnoteReference w:id="1333"/>
      </w:r>
      <w:r>
        <w:rPr>
          <w:rtl/>
        </w:rPr>
        <w:t xml:space="preserve"> : إن هذا عقد قد</w:t>
      </w:r>
      <w:r>
        <w:rPr>
          <w:rStyle w:val="a7"/>
          <w:rtl/>
        </w:rPr>
        <w:footnoteReference w:id="1334"/>
      </w:r>
      <w:r>
        <w:rPr>
          <w:rtl/>
        </w:rPr>
        <w:t xml:space="preserve"> </w:t>
      </w:r>
      <w:r>
        <w:rPr>
          <w:rFonts w:hint="eastAsia"/>
          <w:rtl/>
        </w:rPr>
        <w:t>انعقد</w:t>
      </w:r>
      <w:r>
        <w:rPr>
          <w:rtl/>
        </w:rPr>
        <w:t xml:space="preserve"> فاسدًا، والفاسد لا</w:t>
      </w:r>
      <w:r>
        <w:rPr>
          <w:rFonts w:hint="cs"/>
          <w:rtl/>
        </w:rPr>
        <w:t xml:space="preserve"> </w:t>
      </w:r>
      <w:r>
        <w:rPr>
          <w:rFonts w:hint="cs"/>
          <w:rtl/>
        </w:rPr>
        <w:br/>
      </w:r>
      <w:r>
        <w:rPr>
          <w:rtl/>
        </w:rPr>
        <w:t>ينقلب</w:t>
      </w:r>
      <w:r>
        <w:rPr>
          <w:rFonts w:hint="cs"/>
          <w:rtl/>
        </w:rPr>
        <w:t xml:space="preserve"> </w:t>
      </w:r>
      <w:r>
        <w:rPr>
          <w:rtl/>
        </w:rPr>
        <w:t>جائزًا؛ على مقتضى هذا الأصل</w:t>
      </w:r>
      <w:r>
        <w:rPr>
          <w:rFonts w:hint="cs"/>
          <w:rtl/>
        </w:rPr>
        <w:t>.</w:t>
      </w:r>
      <w:r>
        <w:rPr>
          <w:rtl/>
        </w:rPr>
        <w:t xml:space="preserve"> فكان كالمسائل [التي]</w:t>
      </w:r>
      <w:r>
        <w:rPr>
          <w:rStyle w:val="a7"/>
          <w:rtl/>
        </w:rPr>
        <w:footnoteReference w:id="1335"/>
      </w:r>
      <w:r>
        <w:rPr>
          <w:rtl/>
        </w:rPr>
        <w:t xml:space="preserve"> </w:t>
      </w:r>
      <w:r>
        <w:rPr>
          <w:rFonts w:hint="eastAsia"/>
          <w:rtl/>
        </w:rPr>
        <w:t>ذكرناها</w:t>
      </w:r>
      <w:r>
        <w:rPr>
          <w:rtl/>
        </w:rPr>
        <w:t xml:space="preserve"> في صدر الكلام</w:t>
      </w:r>
      <w:r>
        <w:rPr>
          <w:vertAlign w:val="superscript"/>
          <w:rtl/>
        </w:rPr>
        <w:t>(</w:t>
      </w:r>
      <w:r>
        <w:rPr>
          <w:rStyle w:val="a7"/>
          <w:rtl/>
        </w:rPr>
        <w:footnoteReference w:id="1336"/>
      </w:r>
      <w:r>
        <w:rPr>
          <w:vertAlign w:val="superscript"/>
          <w:rtl/>
        </w:rPr>
        <w:t>)</w:t>
      </w:r>
      <w:r>
        <w:rPr>
          <w:rtl/>
        </w:rPr>
        <w:t>.</w:t>
      </w:r>
    </w:p>
    <w:p w:rsidR="00C10469" w:rsidRDefault="00C10469">
      <w:pPr>
        <w:rPr>
          <w:rtl/>
        </w:rPr>
      </w:pPr>
      <w:r>
        <w:rPr>
          <w:rFonts w:hint="eastAsia"/>
          <w:rtl/>
        </w:rPr>
        <w:t>«ولأبي</w:t>
      </w:r>
      <w:r>
        <w:rPr>
          <w:rtl/>
        </w:rPr>
        <w:t xml:space="preserve"> حنيفة </w:t>
      </w:r>
      <w:r>
        <w:rPr>
          <w:rFonts w:hint="cs"/>
          <w:rtl/>
        </w:rPr>
        <w:t>-</w:t>
      </w:r>
      <w:r>
        <w:rPr>
          <w:rtl/>
        </w:rPr>
        <w:t>رحمه الله</w:t>
      </w:r>
      <w:r>
        <w:rPr>
          <w:rFonts w:hint="cs"/>
          <w:rtl/>
        </w:rPr>
        <w:t>-</w:t>
      </w:r>
      <w:r>
        <w:rPr>
          <w:rtl/>
        </w:rPr>
        <w:t xml:space="preserve"> : أنه أسقط </w:t>
      </w:r>
      <w:r>
        <w:rPr>
          <w:rFonts w:hint="eastAsia"/>
          <w:rtl/>
        </w:rPr>
        <w:t>ال</w:t>
      </w:r>
      <w:r>
        <w:rPr>
          <w:rFonts w:hint="cs"/>
          <w:rtl/>
        </w:rPr>
        <w:t>ـ</w:t>
      </w:r>
      <w:r>
        <w:rPr>
          <w:rFonts w:hint="eastAsia"/>
          <w:rtl/>
        </w:rPr>
        <w:t>م</w:t>
      </w:r>
      <w:r>
        <w:rPr>
          <w:rFonts w:hint="cs"/>
          <w:rtl/>
        </w:rPr>
        <w:t>ُ</w:t>
      </w:r>
      <w:r>
        <w:rPr>
          <w:rFonts w:hint="eastAsia"/>
          <w:rtl/>
        </w:rPr>
        <w:t>ف</w:t>
      </w:r>
      <w:r>
        <w:rPr>
          <w:rFonts w:hint="cs"/>
          <w:rtl/>
        </w:rPr>
        <w:t>ْ</w:t>
      </w:r>
      <w:r>
        <w:rPr>
          <w:rFonts w:hint="eastAsia"/>
          <w:rtl/>
        </w:rPr>
        <w:t>س</w:t>
      </w:r>
      <w:r>
        <w:rPr>
          <w:rFonts w:hint="cs"/>
          <w:rtl/>
        </w:rPr>
        <w:t>ِ</w:t>
      </w:r>
      <w:r>
        <w:rPr>
          <w:rFonts w:hint="eastAsia"/>
          <w:rtl/>
        </w:rPr>
        <w:t>د</w:t>
      </w:r>
      <w:r>
        <w:rPr>
          <w:rFonts w:hint="cs"/>
          <w:rtl/>
        </w:rPr>
        <w:t>َ</w:t>
      </w:r>
      <w:r>
        <w:rPr>
          <w:rtl/>
        </w:rPr>
        <w:t xml:space="preserve"> قبل تقّرره»</w:t>
      </w:r>
      <w:r>
        <w:rPr>
          <w:vertAlign w:val="superscript"/>
          <w:rtl/>
        </w:rPr>
        <w:t>(</w:t>
      </w:r>
      <w:r>
        <w:rPr>
          <w:rStyle w:val="a7"/>
          <w:rtl/>
        </w:rPr>
        <w:footnoteReference w:id="1337"/>
      </w:r>
      <w:r>
        <w:rPr>
          <w:vertAlign w:val="superscript"/>
          <w:rtl/>
        </w:rPr>
        <w:t>)</w:t>
      </w:r>
      <w:r>
        <w:rPr>
          <w:rtl/>
        </w:rPr>
        <w:t>.</w:t>
      </w:r>
    </w:p>
    <w:p w:rsidR="00C10469" w:rsidRDefault="00C10469" w:rsidP="00C10469">
      <w:pPr>
        <w:ind w:left="567" w:firstLine="0"/>
        <w:rPr>
          <w:rtl/>
        </w:rPr>
      </w:pPr>
      <w:r>
        <w:rPr>
          <w:rFonts w:hint="eastAsia"/>
          <w:rtl/>
        </w:rPr>
        <w:t>ومشايخنا</w:t>
      </w:r>
      <w:r>
        <w:rPr>
          <w:rtl/>
        </w:rPr>
        <w:t xml:space="preserve"> -رحمهم الله- «اختلفوا </w:t>
      </w:r>
      <w:r>
        <w:rPr>
          <w:rFonts w:hint="eastAsia"/>
          <w:rtl/>
        </w:rPr>
        <w:t>في</w:t>
      </w:r>
      <w:r>
        <w:rPr>
          <w:rtl/>
        </w:rPr>
        <w:t xml:space="preserve"> حكم هذا العقد في الابتداء، على قول أبي حنيفة -رحمه الله- :</w:t>
      </w:r>
    </w:p>
    <w:p w:rsidR="00C10469" w:rsidRDefault="00C10469" w:rsidP="00C10469">
      <w:pPr>
        <w:ind w:left="567" w:firstLine="0"/>
        <w:rPr>
          <w:rtl/>
        </w:rPr>
      </w:pPr>
      <w:r>
        <w:rPr>
          <w:rFonts w:ascii="Wingdings" w:hAnsi="Wingdings"/>
          <w:rtl/>
        </w:rPr>
        <w:t>-</w:t>
      </w:r>
      <w:r>
        <w:rPr>
          <w:rtl/>
        </w:rPr>
        <w:t xml:space="preserve"> </w:t>
      </w:r>
      <w:r>
        <w:rPr>
          <w:rFonts w:hint="eastAsia"/>
          <w:b/>
          <w:bCs/>
          <w:rtl/>
        </w:rPr>
        <w:t>فذهب</w:t>
      </w:r>
      <w:r>
        <w:rPr>
          <w:b/>
          <w:bCs/>
          <w:rtl/>
        </w:rPr>
        <w:t xml:space="preserve"> العراقيون</w:t>
      </w:r>
      <w:r>
        <w:rPr>
          <w:rFonts w:hint="cs"/>
          <w:rtl/>
        </w:rPr>
        <w:t xml:space="preserve"> :</w:t>
      </w:r>
      <w:r>
        <w:rPr>
          <w:rtl/>
        </w:rPr>
        <w:t xml:space="preserve"> إلى أنه ينعقـد فاسدًا، ثم ينقلـب صحيحًا بإسقاط خيار الشرط قبل </w:t>
      </w:r>
      <w:r>
        <w:rPr>
          <w:rFonts w:hint="eastAsia"/>
          <w:rtl/>
        </w:rPr>
        <w:t>اليوم</w:t>
      </w:r>
      <w:r>
        <w:rPr>
          <w:rtl/>
        </w:rPr>
        <w:t xml:space="preserve"> الرّابع.</w:t>
      </w:r>
    </w:p>
    <w:p w:rsidR="00C10469" w:rsidRDefault="00C10469" w:rsidP="00C10469">
      <w:pPr>
        <w:ind w:left="567" w:firstLine="0"/>
        <w:rPr>
          <w:rtl/>
        </w:rPr>
      </w:pPr>
      <w:r>
        <w:rPr>
          <w:rFonts w:hint="eastAsia"/>
          <w:b/>
          <w:bCs/>
          <w:rtl/>
        </w:rPr>
        <w:t>وتقريره</w:t>
      </w:r>
      <w:r>
        <w:rPr>
          <w:b/>
          <w:bCs/>
          <w:rtl/>
        </w:rPr>
        <w:t xml:space="preserve"> </w:t>
      </w:r>
      <w:r>
        <w:rPr>
          <w:rtl/>
        </w:rPr>
        <w:t xml:space="preserve">: أنّ العقد فاسدٌ في الحال بحكم الظاهر؛ لأن </w:t>
      </w:r>
      <w:r>
        <w:rPr>
          <w:rFonts w:hint="eastAsia"/>
          <w:rtl/>
        </w:rPr>
        <w:t>الظاهر</w:t>
      </w:r>
      <w:r>
        <w:rPr>
          <w:rStyle w:val="a7"/>
          <w:rtl/>
        </w:rPr>
        <w:footnoteReference w:id="1338"/>
      </w:r>
      <w:r>
        <w:rPr>
          <w:rtl/>
        </w:rPr>
        <w:t xml:space="preserve"> </w:t>
      </w:r>
      <w:r>
        <w:rPr>
          <w:rFonts w:hint="eastAsia"/>
          <w:rtl/>
        </w:rPr>
        <w:t>دوامها</w:t>
      </w:r>
      <w:r>
        <w:rPr>
          <w:vertAlign w:val="superscript"/>
          <w:rtl/>
        </w:rPr>
        <w:t>(</w:t>
      </w:r>
      <w:r>
        <w:rPr>
          <w:rStyle w:val="a7"/>
          <w:rtl/>
        </w:rPr>
        <w:footnoteReference w:id="1339"/>
      </w:r>
      <w:r>
        <w:rPr>
          <w:vertAlign w:val="superscript"/>
          <w:rtl/>
        </w:rPr>
        <w:t>)</w:t>
      </w:r>
      <w:r>
        <w:rPr>
          <w:rtl/>
        </w:rPr>
        <w:t xml:space="preserve"> </w:t>
      </w:r>
      <w:r>
        <w:rPr>
          <w:rFonts w:hint="eastAsia"/>
          <w:rtl/>
        </w:rPr>
        <w:lastRenderedPageBreak/>
        <w:t>على</w:t>
      </w:r>
      <w:r>
        <w:rPr>
          <w:rtl/>
        </w:rPr>
        <w:t xml:space="preserve"> الشرط، فإذا سقط الخيار قبل دخول [اليوم]</w:t>
      </w:r>
      <w:r>
        <w:rPr>
          <w:rStyle w:val="a7"/>
          <w:rtl/>
        </w:rPr>
        <w:footnoteReference w:id="1340"/>
      </w:r>
      <w:r>
        <w:rPr>
          <w:rtl/>
        </w:rPr>
        <w:t xml:space="preserve"> </w:t>
      </w:r>
      <w:r>
        <w:rPr>
          <w:rFonts w:hint="eastAsia"/>
          <w:rtl/>
        </w:rPr>
        <w:t>الرابع</w:t>
      </w:r>
      <w:r>
        <w:rPr>
          <w:rtl/>
        </w:rPr>
        <w:t xml:space="preserve"> : زال الم</w:t>
      </w:r>
      <w:r>
        <w:rPr>
          <w:rFonts w:hint="cs"/>
          <w:rtl/>
        </w:rPr>
        <w:t>ُ</w:t>
      </w:r>
      <w:r>
        <w:rPr>
          <w:rtl/>
        </w:rPr>
        <w:t>وج</w:t>
      </w:r>
      <w:r>
        <w:rPr>
          <w:rFonts w:hint="cs"/>
          <w:rtl/>
        </w:rPr>
        <w:t>ِ</w:t>
      </w:r>
      <w:r>
        <w:rPr>
          <w:rtl/>
        </w:rPr>
        <w:t>ب</w:t>
      </w:r>
      <w:r>
        <w:rPr>
          <w:rFonts w:hint="cs"/>
          <w:rtl/>
        </w:rPr>
        <w:t>ُ</w:t>
      </w:r>
      <w:r>
        <w:rPr>
          <w:rtl/>
        </w:rPr>
        <w:t xml:space="preserve"> للفساد، فيعود جائزًا؛ وهذا لأن هذا العقد لم يكن فاسدًا </w:t>
      </w:r>
      <w:r>
        <w:rPr>
          <w:rFonts w:hint="eastAsia"/>
          <w:rtl/>
        </w:rPr>
        <w:t>لعينه؛</w:t>
      </w:r>
      <w:r>
        <w:rPr>
          <w:rtl/>
        </w:rPr>
        <w:t xml:space="preserve"> بل لما</w:t>
      </w:r>
      <w:r>
        <w:rPr>
          <w:rStyle w:val="a7"/>
          <w:rtl/>
        </w:rPr>
        <w:footnoteReference w:id="1341"/>
      </w:r>
      <w:r>
        <w:rPr>
          <w:rtl/>
        </w:rPr>
        <w:t xml:space="preserve"> </w:t>
      </w:r>
      <w:r>
        <w:rPr>
          <w:rFonts w:hint="eastAsia"/>
          <w:rtl/>
        </w:rPr>
        <w:t>فيه</w:t>
      </w:r>
      <w:r>
        <w:rPr>
          <w:rtl/>
        </w:rPr>
        <w:t xml:space="preserve"> من تغيير المقتضي للعقد في اليوم الرابع، فإذا زال المغيّر عاد جائزًا.</w:t>
      </w:r>
    </w:p>
    <w:p w:rsidR="00C10469" w:rsidRDefault="00C10469" w:rsidP="00C10469">
      <w:pPr>
        <w:ind w:left="567" w:firstLine="0"/>
        <w:rPr>
          <w:spacing w:val="8"/>
          <w:rtl/>
        </w:rPr>
      </w:pPr>
      <w:r>
        <w:rPr>
          <w:rFonts w:hint="eastAsia"/>
          <w:spacing w:val="8"/>
          <w:rtl/>
        </w:rPr>
        <w:t>كما</w:t>
      </w:r>
      <w:r>
        <w:rPr>
          <w:spacing w:val="8"/>
          <w:rtl/>
        </w:rPr>
        <w:t xml:space="preserve"> </w:t>
      </w:r>
      <w:r>
        <w:rPr>
          <w:rFonts w:hint="eastAsia"/>
          <w:spacing w:val="8"/>
          <w:rtl/>
        </w:rPr>
        <w:t>إذا</w:t>
      </w:r>
      <w:r>
        <w:rPr>
          <w:spacing w:val="8"/>
          <w:rtl/>
        </w:rPr>
        <w:t xml:space="preserve"> باع بالرقم (وهو : أن يُعلِّم البائع على الثوب بعلامةٍ </w:t>
      </w:r>
      <w:r>
        <w:rPr>
          <w:rFonts w:hint="cs"/>
          <w:spacing w:val="8"/>
          <w:rtl/>
        </w:rPr>
        <w:t>يَ</w:t>
      </w:r>
      <w:r>
        <w:rPr>
          <w:spacing w:val="8"/>
          <w:rtl/>
        </w:rPr>
        <w:t>علمُ [بها]</w:t>
      </w:r>
      <w:r>
        <w:rPr>
          <w:rStyle w:val="a7"/>
          <w:spacing w:val="8"/>
          <w:rtl/>
        </w:rPr>
        <w:footnoteReference w:id="1342"/>
      </w:r>
      <w:r>
        <w:rPr>
          <w:spacing w:val="8"/>
          <w:rtl/>
        </w:rPr>
        <w:t xml:space="preserve"> </w:t>
      </w:r>
      <w:r>
        <w:rPr>
          <w:rFonts w:hint="eastAsia"/>
          <w:spacing w:val="8"/>
          <w:rtl/>
        </w:rPr>
        <w:t>الدَّلاَّل</w:t>
      </w:r>
      <w:r>
        <w:rPr>
          <w:rFonts w:hint="cs"/>
          <w:spacing w:val="8"/>
          <w:rtl/>
        </w:rPr>
        <w:t>ُ</w:t>
      </w:r>
      <w:r>
        <w:rPr>
          <w:spacing w:val="8"/>
          <w:rtl/>
        </w:rPr>
        <w:t xml:space="preserve"> أو غير</w:t>
      </w:r>
      <w:r>
        <w:rPr>
          <w:rFonts w:hint="cs"/>
          <w:spacing w:val="8"/>
          <w:rtl/>
        </w:rPr>
        <w:t>ُ</w:t>
      </w:r>
      <w:r>
        <w:rPr>
          <w:spacing w:val="8"/>
          <w:rtl/>
        </w:rPr>
        <w:t>ه ثمن</w:t>
      </w:r>
      <w:r>
        <w:rPr>
          <w:rFonts w:hint="cs"/>
          <w:spacing w:val="8"/>
          <w:rtl/>
        </w:rPr>
        <w:t>َ</w:t>
      </w:r>
      <w:r>
        <w:rPr>
          <w:spacing w:val="8"/>
          <w:rtl/>
        </w:rPr>
        <w:t xml:space="preserve"> الثوب</w:t>
      </w:r>
      <w:r>
        <w:rPr>
          <w:rStyle w:val="a7"/>
          <w:spacing w:val="8"/>
          <w:rtl/>
        </w:rPr>
        <w:footnoteReference w:id="1343"/>
      </w:r>
      <w:r>
        <w:rPr>
          <w:rFonts w:hint="eastAsia"/>
          <w:spacing w:val="8"/>
          <w:rtl/>
        </w:rPr>
        <w:t>،</w:t>
      </w:r>
      <w:r>
        <w:rPr>
          <w:spacing w:val="8"/>
          <w:rtl/>
        </w:rPr>
        <w:t xml:space="preserve"> </w:t>
      </w:r>
      <w:r>
        <w:rPr>
          <w:rFonts w:hint="eastAsia"/>
          <w:spacing w:val="8"/>
          <w:rtl/>
        </w:rPr>
        <w:t>ولا</w:t>
      </w:r>
      <w:r>
        <w:rPr>
          <w:spacing w:val="8"/>
          <w:rtl/>
        </w:rPr>
        <w:t xml:space="preserve"> يعلم المش</w:t>
      </w:r>
      <w:r>
        <w:rPr>
          <w:rFonts w:hint="cs"/>
          <w:spacing w:val="8"/>
          <w:rtl/>
        </w:rPr>
        <w:t>ـ</w:t>
      </w:r>
      <w:r>
        <w:rPr>
          <w:spacing w:val="8"/>
          <w:rtl/>
        </w:rPr>
        <w:t>تري)</w:t>
      </w:r>
      <w:r>
        <w:rPr>
          <w:spacing w:val="8"/>
          <w:vertAlign w:val="superscript"/>
          <w:rtl/>
        </w:rPr>
        <w:t>(</w:t>
      </w:r>
      <w:r>
        <w:rPr>
          <w:rStyle w:val="a7"/>
          <w:spacing w:val="8"/>
          <w:rtl/>
        </w:rPr>
        <w:footnoteReference w:id="1344"/>
      </w:r>
      <w:r>
        <w:rPr>
          <w:spacing w:val="8"/>
          <w:vertAlign w:val="superscript"/>
          <w:rtl/>
        </w:rPr>
        <w:t>)</w:t>
      </w:r>
      <w:r>
        <w:rPr>
          <w:rFonts w:hint="eastAsia"/>
          <w:spacing w:val="8"/>
          <w:rtl/>
        </w:rPr>
        <w:t>،</w:t>
      </w:r>
      <w:r>
        <w:rPr>
          <w:spacing w:val="8"/>
          <w:rtl/>
        </w:rPr>
        <w:t xml:space="preserve"> </w:t>
      </w:r>
      <w:r>
        <w:rPr>
          <w:rFonts w:hint="eastAsia"/>
          <w:spacing w:val="8"/>
          <w:rtl/>
        </w:rPr>
        <w:t>ف</w:t>
      </w:r>
      <w:r>
        <w:rPr>
          <w:rFonts w:hint="cs"/>
          <w:spacing w:val="8"/>
          <w:rtl/>
        </w:rPr>
        <w:t>ـ</w:t>
      </w:r>
      <w:r>
        <w:rPr>
          <w:rFonts w:hint="eastAsia"/>
          <w:spacing w:val="8"/>
          <w:rtl/>
        </w:rPr>
        <w:t>إذا</w:t>
      </w:r>
      <w:r>
        <w:rPr>
          <w:spacing w:val="8"/>
          <w:rtl/>
        </w:rPr>
        <w:t xml:space="preserve"> قال : بعتك هذا الثوب برقمه، وقَبِلَ المشتري من غير أن يعلم المق</w:t>
      </w:r>
      <w:r>
        <w:rPr>
          <w:rFonts w:hint="cs"/>
          <w:spacing w:val="8"/>
          <w:rtl/>
        </w:rPr>
        <w:t>ـ</w:t>
      </w:r>
      <w:r>
        <w:rPr>
          <w:spacing w:val="8"/>
          <w:rtl/>
        </w:rPr>
        <w:t xml:space="preserve">دار : ينعقد </w:t>
      </w:r>
      <w:r>
        <w:rPr>
          <w:rFonts w:hint="eastAsia"/>
          <w:spacing w:val="8"/>
          <w:rtl/>
        </w:rPr>
        <w:t>البيع</w:t>
      </w:r>
      <w:r>
        <w:rPr>
          <w:spacing w:val="8"/>
          <w:rtl/>
        </w:rPr>
        <w:t xml:space="preserve"> فاسدًا</w:t>
      </w:r>
      <w:r>
        <w:rPr>
          <w:rStyle w:val="a7"/>
          <w:spacing w:val="8"/>
          <w:rtl/>
        </w:rPr>
        <w:footnoteReference w:id="1345"/>
      </w:r>
      <w:r>
        <w:rPr>
          <w:spacing w:val="8"/>
          <w:rtl/>
        </w:rPr>
        <w:t xml:space="preserve">. </w:t>
      </w:r>
      <w:r>
        <w:rPr>
          <w:rFonts w:hint="eastAsia"/>
          <w:spacing w:val="8"/>
          <w:rtl/>
        </w:rPr>
        <w:t>فإن</w:t>
      </w:r>
      <w:r>
        <w:rPr>
          <w:spacing w:val="8"/>
          <w:rtl/>
        </w:rPr>
        <w:t xml:space="preserve"> علم الم</w:t>
      </w:r>
      <w:r>
        <w:rPr>
          <w:rFonts w:hint="cs"/>
          <w:spacing w:val="8"/>
          <w:rtl/>
        </w:rPr>
        <w:t>ـ</w:t>
      </w:r>
      <w:r>
        <w:rPr>
          <w:spacing w:val="8"/>
          <w:rtl/>
        </w:rPr>
        <w:t>شتري ق</w:t>
      </w:r>
      <w:r>
        <w:rPr>
          <w:rFonts w:hint="cs"/>
          <w:spacing w:val="8"/>
          <w:rtl/>
        </w:rPr>
        <w:t>ـ</w:t>
      </w:r>
      <w:r>
        <w:rPr>
          <w:spacing w:val="8"/>
          <w:rtl/>
        </w:rPr>
        <w:t>درَ الرَّقم</w:t>
      </w:r>
      <w:r>
        <w:rPr>
          <w:rStyle w:val="a7"/>
          <w:spacing w:val="8"/>
          <w:rtl/>
        </w:rPr>
        <w:footnoteReference w:id="1346"/>
      </w:r>
      <w:r>
        <w:rPr>
          <w:spacing w:val="8"/>
          <w:rtl/>
        </w:rPr>
        <w:t xml:space="preserve"> </w:t>
      </w:r>
      <w:r>
        <w:rPr>
          <w:rFonts w:hint="eastAsia"/>
          <w:spacing w:val="8"/>
          <w:rtl/>
        </w:rPr>
        <w:t>في</w:t>
      </w:r>
      <w:r>
        <w:rPr>
          <w:spacing w:val="8"/>
          <w:rtl/>
        </w:rPr>
        <w:t xml:space="preserve"> المجلس وقَبِلَهُ : انقلب جائزًا بالاتفاق</w:t>
      </w:r>
      <w:r>
        <w:rPr>
          <w:rStyle w:val="a7"/>
          <w:spacing w:val="8"/>
          <w:rtl/>
        </w:rPr>
        <w:footnoteReference w:id="1347"/>
      </w:r>
      <w:r>
        <w:rPr>
          <w:spacing w:val="8"/>
          <w:rtl/>
        </w:rPr>
        <w:t>.</w:t>
      </w:r>
    </w:p>
    <w:p w:rsidR="00C10469" w:rsidRDefault="00C10469" w:rsidP="00C10469">
      <w:pPr>
        <w:ind w:left="567" w:firstLine="0"/>
        <w:rPr>
          <w:rtl/>
        </w:rPr>
      </w:pPr>
      <w:r>
        <w:rPr>
          <w:rFonts w:ascii="Wingdings" w:hAnsi="Wingdings"/>
          <w:rtl/>
        </w:rPr>
        <w:lastRenderedPageBreak/>
        <w:t>-</w:t>
      </w:r>
      <w:r>
        <w:rPr>
          <w:rtl/>
        </w:rPr>
        <w:t xml:space="preserve"> </w:t>
      </w:r>
      <w:r>
        <w:rPr>
          <w:rFonts w:hint="eastAsia"/>
          <w:b/>
          <w:bCs/>
          <w:rtl/>
        </w:rPr>
        <w:t>وذهب</w:t>
      </w:r>
      <w:r>
        <w:rPr>
          <w:b/>
          <w:bCs/>
          <w:rtl/>
        </w:rPr>
        <w:t xml:space="preserve"> أهل خراسان</w:t>
      </w:r>
      <w:r>
        <w:rPr>
          <w:rtl/>
        </w:rPr>
        <w:t>- وإليه [مال]</w:t>
      </w:r>
      <w:r>
        <w:rPr>
          <w:rStyle w:val="a7"/>
          <w:rtl/>
        </w:rPr>
        <w:footnoteReference w:id="1348"/>
      </w:r>
      <w:r>
        <w:rPr>
          <w:rtl/>
        </w:rPr>
        <w:t xml:space="preserve"> </w:t>
      </w:r>
      <w:r>
        <w:rPr>
          <w:rFonts w:hint="eastAsia"/>
          <w:rtl/>
        </w:rPr>
        <w:t>شمس</w:t>
      </w:r>
      <w:r>
        <w:rPr>
          <w:rtl/>
        </w:rPr>
        <w:t xml:space="preserve"> الأئمة السَّرْخ</w:t>
      </w:r>
      <w:r>
        <w:rPr>
          <w:rFonts w:hint="cs"/>
          <w:rtl/>
        </w:rPr>
        <w:t>َ</w:t>
      </w:r>
      <w:r>
        <w:rPr>
          <w:rtl/>
        </w:rPr>
        <w:t>س</w:t>
      </w:r>
      <w:r>
        <w:rPr>
          <w:rFonts w:hint="cs"/>
          <w:rtl/>
        </w:rPr>
        <w:t>ِ</w:t>
      </w:r>
      <w:r>
        <w:rPr>
          <w:rtl/>
        </w:rPr>
        <w:t>ي</w:t>
      </w:r>
      <w:r>
        <w:rPr>
          <w:rFonts w:hint="cs"/>
          <w:rtl/>
        </w:rPr>
        <w:t>ُّ</w:t>
      </w:r>
      <w:r>
        <w:rPr>
          <w:rtl/>
        </w:rPr>
        <w:t xml:space="preserve"> - </w:t>
      </w:r>
      <w:r>
        <w:rPr>
          <w:rFonts w:hint="cs"/>
          <w:rtl/>
        </w:rPr>
        <w:t xml:space="preserve">: </w:t>
      </w:r>
      <w:r>
        <w:rPr>
          <w:rtl/>
        </w:rPr>
        <w:t>إلى</w:t>
      </w:r>
      <w:r>
        <w:rPr>
          <w:rStyle w:val="a7"/>
          <w:rtl/>
        </w:rPr>
        <w:footnoteReference w:id="1349"/>
      </w:r>
      <w:r>
        <w:rPr>
          <w:rtl/>
        </w:rPr>
        <w:t xml:space="preserve"> </w:t>
      </w:r>
      <w:r>
        <w:rPr>
          <w:rFonts w:hint="eastAsia"/>
          <w:rtl/>
        </w:rPr>
        <w:t>أنّه</w:t>
      </w:r>
      <w:r>
        <w:rPr>
          <w:rStyle w:val="a7"/>
          <w:rtl/>
        </w:rPr>
        <w:footnoteReference w:id="1350"/>
      </w:r>
      <w:r>
        <w:rPr>
          <w:rtl/>
        </w:rPr>
        <w:t xml:space="preserve"> </w:t>
      </w:r>
      <w:r>
        <w:rPr>
          <w:rFonts w:hint="eastAsia"/>
          <w:rtl/>
        </w:rPr>
        <w:t>موقوف،</w:t>
      </w:r>
      <w:r>
        <w:rPr>
          <w:rtl/>
        </w:rPr>
        <w:t xml:space="preserve"> فإذا مضى جزء من اليوم الرّابع فسد قبل تقرّر البيع.</w:t>
      </w:r>
    </w:p>
    <w:p w:rsidR="00C10469" w:rsidRDefault="00C10469" w:rsidP="00154F65">
      <w:pPr>
        <w:ind w:left="567" w:firstLine="0"/>
        <w:rPr>
          <w:spacing w:val="6"/>
          <w:rtl/>
        </w:rPr>
      </w:pPr>
      <w:r>
        <w:rPr>
          <w:rFonts w:hint="eastAsia"/>
          <w:b/>
          <w:bCs/>
          <w:spacing w:val="6"/>
          <w:rtl/>
        </w:rPr>
        <w:t>وتقريره</w:t>
      </w:r>
      <w:r>
        <w:rPr>
          <w:rStyle w:val="a7"/>
          <w:b/>
          <w:spacing w:val="6"/>
          <w:rtl/>
        </w:rPr>
        <w:footnoteReference w:id="1351"/>
      </w:r>
      <w:r>
        <w:rPr>
          <w:spacing w:val="6"/>
          <w:rtl/>
        </w:rPr>
        <w:t xml:space="preserve"> : أنّ اشتراط</w:t>
      </w:r>
      <w:r>
        <w:rPr>
          <w:rFonts w:hint="cs"/>
          <w:spacing w:val="6"/>
          <w:rtl/>
        </w:rPr>
        <w:t>َ</w:t>
      </w:r>
      <w:r>
        <w:rPr>
          <w:spacing w:val="6"/>
          <w:rtl/>
        </w:rPr>
        <w:t xml:space="preserve"> الخيار غير</w:t>
      </w:r>
      <w:r>
        <w:rPr>
          <w:rFonts w:hint="cs"/>
          <w:spacing w:val="6"/>
          <w:rtl/>
        </w:rPr>
        <w:t>ُ</w:t>
      </w:r>
      <w:r>
        <w:rPr>
          <w:spacing w:val="6"/>
          <w:rtl/>
        </w:rPr>
        <w:t xml:space="preserve"> مفس</w:t>
      </w:r>
      <w:r>
        <w:rPr>
          <w:rFonts w:hint="cs"/>
          <w:spacing w:val="6"/>
          <w:rtl/>
        </w:rPr>
        <w:t>ِ</w:t>
      </w:r>
      <w:r>
        <w:rPr>
          <w:spacing w:val="6"/>
          <w:rtl/>
        </w:rPr>
        <w:t>د</w:t>
      </w:r>
      <w:r>
        <w:rPr>
          <w:rFonts w:hint="cs"/>
          <w:spacing w:val="6"/>
          <w:rtl/>
        </w:rPr>
        <w:t>ٍ</w:t>
      </w:r>
      <w:r>
        <w:rPr>
          <w:rStyle w:val="a7"/>
          <w:spacing w:val="6"/>
          <w:rtl/>
        </w:rPr>
        <w:footnoteReference w:id="1352"/>
      </w:r>
      <w:r>
        <w:rPr>
          <w:spacing w:val="6"/>
          <w:rtl/>
        </w:rPr>
        <w:t xml:space="preserve"> </w:t>
      </w:r>
      <w:r>
        <w:rPr>
          <w:rFonts w:hint="eastAsia"/>
          <w:spacing w:val="6"/>
          <w:rtl/>
        </w:rPr>
        <w:t>للعقد،</w:t>
      </w:r>
      <w:r>
        <w:rPr>
          <w:spacing w:val="6"/>
          <w:rtl/>
        </w:rPr>
        <w:t xml:space="preserve"> وإنما المفس</w:t>
      </w:r>
      <w:r>
        <w:rPr>
          <w:rFonts w:hint="cs"/>
          <w:spacing w:val="6"/>
          <w:rtl/>
        </w:rPr>
        <w:t>ِ</w:t>
      </w:r>
      <w:r>
        <w:rPr>
          <w:spacing w:val="6"/>
          <w:rtl/>
        </w:rPr>
        <w:t>د</w:t>
      </w:r>
      <w:r>
        <w:rPr>
          <w:rFonts w:hint="cs"/>
          <w:spacing w:val="6"/>
          <w:rtl/>
        </w:rPr>
        <w:t>ُ</w:t>
      </w:r>
      <w:r>
        <w:rPr>
          <w:spacing w:val="6"/>
          <w:rtl/>
        </w:rPr>
        <w:t xml:space="preserve"> اتصال الي</w:t>
      </w:r>
      <w:r>
        <w:rPr>
          <w:rFonts w:hint="cs"/>
          <w:spacing w:val="6"/>
          <w:rtl/>
        </w:rPr>
        <w:t>ـ</w:t>
      </w:r>
      <w:r>
        <w:rPr>
          <w:spacing w:val="6"/>
          <w:rtl/>
        </w:rPr>
        <w:t>وم</w:t>
      </w:r>
      <w:r w:rsidR="00154F65">
        <w:rPr>
          <w:rFonts w:hint="cs"/>
          <w:spacing w:val="6"/>
          <w:rtl/>
        </w:rPr>
        <w:t xml:space="preserve"> </w:t>
      </w:r>
      <w:r>
        <w:rPr>
          <w:spacing w:val="6"/>
          <w:rtl/>
        </w:rPr>
        <w:t>الرابع بالأيام الث</w:t>
      </w:r>
      <w:r>
        <w:rPr>
          <w:rFonts w:hint="cs"/>
          <w:spacing w:val="6"/>
          <w:rtl/>
        </w:rPr>
        <w:t>ـ</w:t>
      </w:r>
      <w:r>
        <w:rPr>
          <w:spacing w:val="6"/>
          <w:rtl/>
        </w:rPr>
        <w:t>لاث</w:t>
      </w:r>
      <w:r>
        <w:rPr>
          <w:rFonts w:hint="cs"/>
          <w:spacing w:val="6"/>
          <w:rtl/>
        </w:rPr>
        <w:t>ـ</w:t>
      </w:r>
      <w:r>
        <w:rPr>
          <w:spacing w:val="6"/>
          <w:rtl/>
        </w:rPr>
        <w:t>ة، ف</w:t>
      </w:r>
      <w:r>
        <w:rPr>
          <w:rFonts w:hint="cs"/>
          <w:spacing w:val="6"/>
          <w:rtl/>
        </w:rPr>
        <w:t>ـ</w:t>
      </w:r>
      <w:r>
        <w:rPr>
          <w:spacing w:val="6"/>
          <w:rtl/>
        </w:rPr>
        <w:t>إذا جاز</w:t>
      </w:r>
      <w:r>
        <w:rPr>
          <w:rStyle w:val="a7"/>
          <w:spacing w:val="6"/>
          <w:rtl/>
        </w:rPr>
        <w:footnoteReference w:id="1353"/>
      </w:r>
      <w:r>
        <w:rPr>
          <w:spacing w:val="6"/>
          <w:rtl/>
        </w:rPr>
        <w:t xml:space="preserve"> </w:t>
      </w:r>
      <w:r>
        <w:rPr>
          <w:rFonts w:hint="eastAsia"/>
          <w:spacing w:val="6"/>
          <w:rtl/>
        </w:rPr>
        <w:t>قبل</w:t>
      </w:r>
      <w:r>
        <w:rPr>
          <w:spacing w:val="6"/>
          <w:rtl/>
        </w:rPr>
        <w:t xml:space="preserve"> ذلك : لم يتصل المفس</w:t>
      </w:r>
      <w:r>
        <w:rPr>
          <w:rFonts w:hint="cs"/>
          <w:spacing w:val="6"/>
          <w:rtl/>
        </w:rPr>
        <w:t>ِ</w:t>
      </w:r>
      <w:r>
        <w:rPr>
          <w:spacing w:val="6"/>
          <w:rtl/>
        </w:rPr>
        <w:t>د</w:t>
      </w:r>
      <w:r>
        <w:rPr>
          <w:rFonts w:hint="cs"/>
          <w:spacing w:val="6"/>
          <w:rtl/>
        </w:rPr>
        <w:t>ُ</w:t>
      </w:r>
      <w:r>
        <w:rPr>
          <w:spacing w:val="6"/>
          <w:rtl/>
        </w:rPr>
        <w:t xml:space="preserve"> بالعقد، فكان صحيحًا.</w:t>
      </w:r>
    </w:p>
    <w:p w:rsidR="00C10469" w:rsidRDefault="00C10469">
      <w:pPr>
        <w:rPr>
          <w:rtl/>
        </w:rPr>
      </w:pPr>
      <w:r>
        <w:rPr>
          <w:rFonts w:hint="eastAsia"/>
          <w:b/>
          <w:bCs/>
          <w:rtl/>
        </w:rPr>
        <w:t>والجواب</w:t>
      </w:r>
      <w:r>
        <w:rPr>
          <w:rtl/>
        </w:rPr>
        <w:t xml:space="preserve"> </w:t>
      </w:r>
      <w:r>
        <w:rPr>
          <w:rFonts w:hint="eastAsia"/>
          <w:b/>
          <w:bCs/>
          <w:rtl/>
        </w:rPr>
        <w:t>عمّا</w:t>
      </w:r>
      <w:r>
        <w:rPr>
          <w:b/>
          <w:bCs/>
          <w:rtl/>
        </w:rPr>
        <w:t xml:space="preserve"> قال</w:t>
      </w:r>
      <w:r>
        <w:rPr>
          <w:rStyle w:val="a7"/>
          <w:rtl/>
        </w:rPr>
        <w:footnoteReference w:id="1354"/>
      </w:r>
      <w:r>
        <w:rPr>
          <w:rtl/>
        </w:rPr>
        <w:t xml:space="preserve"> </w:t>
      </w:r>
      <w:r>
        <w:rPr>
          <w:rFonts w:hint="eastAsia"/>
          <w:b/>
          <w:bCs/>
          <w:rtl/>
        </w:rPr>
        <w:t>زفر</w:t>
      </w:r>
      <w:r>
        <w:rPr>
          <w:rtl/>
        </w:rPr>
        <w:t xml:space="preserve"> -رحمه الله- من المسائل</w:t>
      </w:r>
      <w:r>
        <w:rPr>
          <w:vertAlign w:val="superscript"/>
          <w:rtl/>
        </w:rPr>
        <w:t>(</w:t>
      </w:r>
      <w:r>
        <w:rPr>
          <w:rStyle w:val="a7"/>
          <w:rtl/>
        </w:rPr>
        <w:footnoteReference w:id="1355"/>
      </w:r>
      <w:r>
        <w:rPr>
          <w:vertAlign w:val="superscript"/>
          <w:rtl/>
        </w:rPr>
        <w:t>)</w:t>
      </w:r>
      <w:r>
        <w:rPr>
          <w:rtl/>
        </w:rPr>
        <w:t xml:space="preserve">: </w:t>
      </w:r>
      <w:r>
        <w:rPr>
          <w:rFonts w:hint="eastAsia"/>
          <w:rtl/>
        </w:rPr>
        <w:t>أن</w:t>
      </w:r>
      <w:r>
        <w:rPr>
          <w:rtl/>
        </w:rPr>
        <w:t xml:space="preserve"> الفساد فيها في صلب</w:t>
      </w:r>
      <w:r>
        <w:rPr>
          <w:rStyle w:val="a7"/>
          <w:rtl/>
        </w:rPr>
        <w:footnoteReference w:id="1356"/>
      </w:r>
      <w:r>
        <w:rPr>
          <w:rtl/>
        </w:rPr>
        <w:t xml:space="preserve"> </w:t>
      </w:r>
      <w:r>
        <w:rPr>
          <w:rFonts w:hint="eastAsia"/>
          <w:rtl/>
        </w:rPr>
        <w:t>العقد</w:t>
      </w:r>
      <w:r>
        <w:rPr>
          <w:rtl/>
        </w:rPr>
        <w:t xml:space="preserve"> (وه</w:t>
      </w:r>
      <w:r>
        <w:rPr>
          <w:rFonts w:hint="cs"/>
          <w:rtl/>
        </w:rPr>
        <w:t>ـ</w:t>
      </w:r>
      <w:r>
        <w:rPr>
          <w:rtl/>
        </w:rPr>
        <w:t>و ال</w:t>
      </w:r>
      <w:r>
        <w:rPr>
          <w:rFonts w:hint="cs"/>
          <w:rtl/>
        </w:rPr>
        <w:t>ـ</w:t>
      </w:r>
      <w:r>
        <w:rPr>
          <w:rtl/>
        </w:rPr>
        <w:t>بدل)، فلم يمكـن دف</w:t>
      </w:r>
      <w:r>
        <w:rPr>
          <w:rFonts w:hint="cs"/>
          <w:rtl/>
        </w:rPr>
        <w:t>ـ</w:t>
      </w:r>
      <w:r>
        <w:rPr>
          <w:rtl/>
        </w:rPr>
        <w:t>عه. وفي مسألتنا</w:t>
      </w:r>
      <w:r>
        <w:rPr>
          <w:vertAlign w:val="superscript"/>
          <w:rtl/>
        </w:rPr>
        <w:t>(</w:t>
      </w:r>
      <w:r>
        <w:rPr>
          <w:rStyle w:val="a7"/>
          <w:rtl/>
        </w:rPr>
        <w:footnoteReference w:id="1357"/>
      </w:r>
      <w:r>
        <w:rPr>
          <w:vertAlign w:val="superscript"/>
          <w:rtl/>
        </w:rPr>
        <w:t>)</w:t>
      </w:r>
      <w:r>
        <w:rPr>
          <w:rtl/>
        </w:rPr>
        <w:t xml:space="preserve"> </w:t>
      </w:r>
      <w:r>
        <w:rPr>
          <w:rFonts w:hint="eastAsia"/>
          <w:rtl/>
        </w:rPr>
        <w:t>في</w:t>
      </w:r>
      <w:r>
        <w:rPr>
          <w:rtl/>
        </w:rPr>
        <w:t xml:space="preserve"> ش</w:t>
      </w:r>
      <w:r>
        <w:rPr>
          <w:rFonts w:hint="cs"/>
          <w:rtl/>
        </w:rPr>
        <w:t>ـ</w:t>
      </w:r>
      <w:r>
        <w:rPr>
          <w:rtl/>
        </w:rPr>
        <w:t>رطه فأم</w:t>
      </w:r>
      <w:r>
        <w:rPr>
          <w:rFonts w:hint="cs"/>
          <w:rtl/>
        </w:rPr>
        <w:t>ـ</w:t>
      </w:r>
      <w:r>
        <w:rPr>
          <w:rtl/>
        </w:rPr>
        <w:t>كن»</w:t>
      </w:r>
      <w:r>
        <w:rPr>
          <w:vertAlign w:val="superscript"/>
          <w:rtl/>
        </w:rPr>
        <w:t>(</w:t>
      </w:r>
      <w:r>
        <w:rPr>
          <w:rStyle w:val="a7"/>
          <w:rtl/>
        </w:rPr>
        <w:footnoteReference w:id="1358"/>
      </w:r>
      <w:r>
        <w:rPr>
          <w:vertAlign w:val="superscript"/>
          <w:rtl/>
        </w:rPr>
        <w:t>)</w:t>
      </w:r>
      <w:r>
        <w:rPr>
          <w:rFonts w:hint="cs"/>
          <w:vertAlign w:val="superscript"/>
          <w:rtl/>
        </w:rPr>
        <w:t xml:space="preserve"> </w:t>
      </w:r>
      <w:r>
        <w:rPr>
          <w:rtl/>
        </w:rPr>
        <w:t>-</w:t>
      </w:r>
      <w:r>
        <w:rPr>
          <w:rFonts w:hint="eastAsia"/>
          <w:rtl/>
        </w:rPr>
        <w:t>كذا</w:t>
      </w:r>
      <w:r>
        <w:rPr>
          <w:rtl/>
        </w:rPr>
        <w:t xml:space="preserve"> في (العناية)</w:t>
      </w:r>
      <w:r>
        <w:rPr>
          <w:vertAlign w:val="superscript"/>
          <w:rtl/>
        </w:rPr>
        <w:t>(</w:t>
      </w:r>
      <w:r>
        <w:rPr>
          <w:rStyle w:val="a7"/>
          <w:rtl/>
        </w:rPr>
        <w:footnoteReference w:id="1359"/>
      </w:r>
      <w:r>
        <w:rPr>
          <w:vertAlign w:val="superscript"/>
          <w:rtl/>
        </w:rPr>
        <w:t>)</w:t>
      </w:r>
      <w:r>
        <w:rPr>
          <w:rtl/>
        </w:rPr>
        <w:t>-.</w:t>
      </w: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0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563ADF" w:rsidRDefault="00C10469">
      <w:pPr>
        <w:pStyle w:val="a9"/>
        <w:rPr>
          <w:rFonts w:cs="AL-Mateen"/>
          <w:rtl/>
        </w:rPr>
      </w:pPr>
      <w:r w:rsidRPr="00563ADF">
        <w:rPr>
          <w:rFonts w:cs="AL-Mateen"/>
          <w:rtl/>
        </w:rPr>
        <w:lastRenderedPageBreak/>
        <w:t>[ القـاعـدة الثـالـثـة والخـمـسـون ]</w:t>
      </w:r>
    </w:p>
    <w:p w:rsidR="00C10469" w:rsidRDefault="00C10469">
      <w:pPr>
        <w:rPr>
          <w:b/>
          <w:bCs/>
          <w:rtl/>
        </w:rPr>
      </w:pPr>
      <w:r>
        <w:rPr>
          <w:rFonts w:cs="Monotype Koufi" w:hint="eastAsia"/>
          <w:rtl/>
        </w:rPr>
        <w:t>ب</w:t>
      </w:r>
      <w:r>
        <w:rPr>
          <w:rFonts w:cs="Monotype Koufi" w:hint="cs"/>
          <w:rtl/>
        </w:rPr>
        <w:t>َ</w:t>
      </w:r>
      <w:r>
        <w:rPr>
          <w:rFonts w:cs="Monotype Koufi" w:hint="eastAsia"/>
          <w:rtl/>
        </w:rPr>
        <w:t>ق</w:t>
      </w:r>
      <w:r>
        <w:rPr>
          <w:rFonts w:cs="Monotype Koufi" w:hint="cs"/>
          <w:rtl/>
        </w:rPr>
        <w:t>َ</w:t>
      </w:r>
      <w:r>
        <w:rPr>
          <w:rFonts w:cs="Monotype Koufi" w:hint="eastAsia"/>
          <w:rtl/>
        </w:rPr>
        <w:t>اء</w:t>
      </w:r>
      <w:r>
        <w:rPr>
          <w:rFonts w:cs="Monotype Koufi" w:hint="cs"/>
          <w:rtl/>
        </w:rPr>
        <w:t>ُ</w:t>
      </w:r>
      <w:r>
        <w:rPr>
          <w:rFonts w:cs="Monotype Koufi"/>
          <w:rtl/>
        </w:rPr>
        <w:t xml:space="preserve"> الح</w:t>
      </w:r>
      <w:r>
        <w:rPr>
          <w:rFonts w:cs="Monotype Koufi" w:hint="cs"/>
          <w:rtl/>
        </w:rPr>
        <w:t>ُ</w:t>
      </w:r>
      <w:r>
        <w:rPr>
          <w:rFonts w:cs="Monotype Koufi"/>
          <w:rtl/>
        </w:rPr>
        <w:t>ك</w:t>
      </w:r>
      <w:r>
        <w:rPr>
          <w:rFonts w:cs="Monotype Koufi" w:hint="cs"/>
          <w:rtl/>
        </w:rPr>
        <w:t>ْ</w:t>
      </w:r>
      <w:r>
        <w:rPr>
          <w:rFonts w:cs="Monotype Koufi"/>
          <w:rtl/>
        </w:rPr>
        <w:t>م</w:t>
      </w:r>
      <w:r>
        <w:rPr>
          <w:rFonts w:cs="Monotype Koufi" w:hint="cs"/>
          <w:rtl/>
        </w:rPr>
        <w:t>ِ</w:t>
      </w:r>
      <w:r>
        <w:rPr>
          <w:rFonts w:cs="Monotype Koufi"/>
          <w:rtl/>
        </w:rPr>
        <w:t xml:space="preserve"> ي</w:t>
      </w:r>
      <w:r>
        <w:rPr>
          <w:rFonts w:cs="Monotype Koufi" w:hint="cs"/>
          <w:rtl/>
        </w:rPr>
        <w:t>َ</w:t>
      </w:r>
      <w:r>
        <w:rPr>
          <w:rFonts w:cs="Monotype Koufi"/>
          <w:rtl/>
        </w:rPr>
        <w:t>س</w:t>
      </w:r>
      <w:r>
        <w:rPr>
          <w:rFonts w:cs="Monotype Koufi" w:hint="cs"/>
          <w:rtl/>
        </w:rPr>
        <w:t>ْ</w:t>
      </w:r>
      <w:r>
        <w:rPr>
          <w:rFonts w:cs="Monotype Koufi"/>
          <w:rtl/>
        </w:rPr>
        <w:t>ت</w:t>
      </w:r>
      <w:r>
        <w:rPr>
          <w:rFonts w:cs="Monotype Koufi" w:hint="cs"/>
          <w:rtl/>
        </w:rPr>
        <w:t>َغْ</w:t>
      </w:r>
      <w:r>
        <w:rPr>
          <w:rFonts w:cs="Monotype Koufi"/>
          <w:rtl/>
        </w:rPr>
        <w:t>ن</w:t>
      </w:r>
      <w:r>
        <w:rPr>
          <w:rFonts w:cs="Monotype Koufi" w:hint="cs"/>
          <w:rtl/>
        </w:rPr>
        <w:t>ِ</w:t>
      </w:r>
      <w:r>
        <w:rPr>
          <w:rFonts w:cs="Monotype Koufi"/>
          <w:rtl/>
        </w:rPr>
        <w:t xml:space="preserve">ي </w:t>
      </w:r>
      <w:r>
        <w:rPr>
          <w:rFonts w:cs="Monotype Koufi" w:hint="eastAsia"/>
          <w:rtl/>
        </w:rPr>
        <w:t>ع</w:t>
      </w:r>
      <w:r>
        <w:rPr>
          <w:rFonts w:cs="Monotype Koufi" w:hint="cs"/>
          <w:rtl/>
        </w:rPr>
        <w:t>َ</w:t>
      </w:r>
      <w:r>
        <w:rPr>
          <w:rFonts w:cs="Monotype Koufi" w:hint="eastAsia"/>
          <w:rtl/>
        </w:rPr>
        <w:t>ن</w:t>
      </w:r>
      <w:r>
        <w:rPr>
          <w:rFonts w:cs="Monotype Koufi" w:hint="cs"/>
          <w:rtl/>
        </w:rPr>
        <w:t>ْ</w:t>
      </w:r>
      <w:r>
        <w:rPr>
          <w:rFonts w:cs="Monotype Koufi"/>
          <w:rtl/>
        </w:rPr>
        <w:t xml:space="preserve"> ب</w:t>
      </w:r>
      <w:r>
        <w:rPr>
          <w:rFonts w:cs="Monotype Koufi" w:hint="cs"/>
          <w:rtl/>
        </w:rPr>
        <w:t>َ</w:t>
      </w:r>
      <w:r>
        <w:rPr>
          <w:rFonts w:cs="Monotype Koufi"/>
          <w:rtl/>
        </w:rPr>
        <w:t>ق</w:t>
      </w:r>
      <w:r>
        <w:rPr>
          <w:rFonts w:cs="Monotype Koufi" w:hint="cs"/>
          <w:rtl/>
        </w:rPr>
        <w:t>َ</w:t>
      </w:r>
      <w:r>
        <w:rPr>
          <w:rFonts w:cs="Monotype Koufi"/>
          <w:rtl/>
        </w:rPr>
        <w:t>اء</w:t>
      </w:r>
      <w:r>
        <w:rPr>
          <w:rFonts w:cs="Monotype Koufi" w:hint="cs"/>
          <w:rtl/>
        </w:rPr>
        <w:t>ِ</w:t>
      </w:r>
      <w:r>
        <w:rPr>
          <w:rFonts w:cs="Monotype Koufi"/>
          <w:rtl/>
        </w:rPr>
        <w:t xml:space="preserve"> الس</w:t>
      </w:r>
      <w:r>
        <w:rPr>
          <w:rFonts w:cs="Monotype Koufi" w:hint="cs"/>
          <w:rtl/>
        </w:rPr>
        <w:t>َّ</w:t>
      </w:r>
      <w:r>
        <w:rPr>
          <w:rFonts w:cs="Monotype Koufi"/>
          <w:rtl/>
        </w:rPr>
        <w:t>ب</w:t>
      </w:r>
      <w:r>
        <w:rPr>
          <w:rFonts w:cs="Monotype Koufi" w:hint="cs"/>
          <w:rtl/>
        </w:rPr>
        <w:t>َ</w:t>
      </w:r>
      <w:r>
        <w:rPr>
          <w:rFonts w:cs="Monotype Koufi"/>
          <w:rtl/>
        </w:rPr>
        <w:t>ب</w:t>
      </w:r>
      <w:r>
        <w:rPr>
          <w:rFonts w:cs="Monotype Koufi" w:hint="cs"/>
          <w:rtl/>
        </w:rPr>
        <w:t>ِ</w:t>
      </w:r>
      <w:r>
        <w:rPr>
          <w:b/>
          <w:bCs/>
          <w:vertAlign w:val="superscript"/>
          <w:rtl/>
        </w:rPr>
        <w:t>(</w:t>
      </w:r>
      <w:r>
        <w:rPr>
          <w:rStyle w:val="a7"/>
          <w:b/>
          <w:rtl/>
        </w:rPr>
        <w:footnoteReference w:id="1360"/>
      </w:r>
      <w:r>
        <w:rPr>
          <w:b/>
          <w:bCs/>
          <w:vertAlign w:val="superscript"/>
          <w:rtl/>
        </w:rPr>
        <w:t>)</w:t>
      </w:r>
      <w:r>
        <w:rPr>
          <w:b/>
          <w:bCs/>
          <w:rtl/>
        </w:rPr>
        <w:t>:</w:t>
      </w:r>
    </w:p>
    <w:p w:rsidR="00C10469" w:rsidRDefault="00C10469">
      <w:pPr>
        <w:rPr>
          <w:rtl/>
        </w:rPr>
      </w:pPr>
      <w:r>
        <w:rPr>
          <w:rFonts w:hint="eastAsia"/>
          <w:b/>
          <w:bCs/>
          <w:rtl/>
        </w:rPr>
        <w:t>ومن</w:t>
      </w:r>
      <w:r>
        <w:rPr>
          <w:b/>
          <w:bCs/>
          <w:rtl/>
        </w:rPr>
        <w:t xml:space="preserve"> فروعها</w:t>
      </w:r>
      <w:r>
        <w:rPr>
          <w:rtl/>
        </w:rPr>
        <w:t xml:space="preserve"> : «إذا اشترى عبدًا بالخيار، فمرض العبد في مدته، وخاصم المشتري البائع</w:t>
      </w:r>
      <w:r>
        <w:rPr>
          <w:rFonts w:hint="cs"/>
          <w:rtl/>
        </w:rPr>
        <w:t>َ</w:t>
      </w:r>
      <w:r>
        <w:rPr>
          <w:rtl/>
        </w:rPr>
        <w:t xml:space="preserve"> في الرّد، </w:t>
      </w:r>
      <w:r>
        <w:rPr>
          <w:rFonts w:hint="eastAsia"/>
          <w:rtl/>
        </w:rPr>
        <w:t>وأبطل</w:t>
      </w:r>
      <w:r>
        <w:rPr>
          <w:rtl/>
        </w:rPr>
        <w:t xml:space="preserve"> القاضي الخيار</w:t>
      </w:r>
      <w:r>
        <w:rPr>
          <w:rFonts w:hint="cs"/>
          <w:rtl/>
        </w:rPr>
        <w:t>َ</w:t>
      </w:r>
      <w:r>
        <w:rPr>
          <w:rtl/>
        </w:rPr>
        <w:t xml:space="preserve"> في الرّد بسبب المرض في مدة الخيار : ليس له أن يرده بعد زوال </w:t>
      </w:r>
      <w:r>
        <w:rPr>
          <w:rFonts w:hint="eastAsia"/>
          <w:rtl/>
        </w:rPr>
        <w:t>المرض</w:t>
      </w:r>
      <w:r>
        <w:rPr>
          <w:rtl/>
        </w:rPr>
        <w:t xml:space="preserve"> في مدته. كذا في (المحيط) »</w:t>
      </w:r>
      <w:r>
        <w:rPr>
          <w:vertAlign w:val="superscript"/>
          <w:rtl/>
        </w:rPr>
        <w:t>(</w:t>
      </w:r>
      <w:r>
        <w:rPr>
          <w:rStyle w:val="a7"/>
          <w:rtl/>
        </w:rPr>
        <w:footnoteReference w:id="1361"/>
      </w:r>
      <w:r>
        <w:rPr>
          <w:vertAlign w:val="superscript"/>
          <w:rtl/>
        </w:rPr>
        <w:t>)</w:t>
      </w:r>
      <w:r>
        <w:rPr>
          <w:rtl/>
        </w:rPr>
        <w:t>.</w:t>
      </w:r>
    </w:p>
    <w:p w:rsidR="00C10469" w:rsidRDefault="00C10469">
      <w:pPr>
        <w:rPr>
          <w:rtl/>
        </w:rPr>
      </w:pPr>
      <w:r>
        <w:rPr>
          <w:rFonts w:hint="eastAsia"/>
          <w:rtl/>
        </w:rPr>
        <w:t>فالسبب</w:t>
      </w:r>
      <w:r>
        <w:rPr>
          <w:rStyle w:val="a7"/>
          <w:rtl/>
        </w:rPr>
        <w:footnoteReference w:id="1362"/>
      </w:r>
      <w:r>
        <w:rPr>
          <w:rtl/>
        </w:rPr>
        <w:t xml:space="preserve"> </w:t>
      </w:r>
      <w:r>
        <w:rPr>
          <w:rFonts w:hint="eastAsia"/>
          <w:rtl/>
        </w:rPr>
        <w:t>في</w:t>
      </w:r>
      <w:r>
        <w:rPr>
          <w:rtl/>
        </w:rPr>
        <w:t xml:space="preserve"> الحكم بإبطال الخيار : المرضُ، ولا يحتاج بقاء</w:t>
      </w:r>
      <w:r>
        <w:rPr>
          <w:rFonts w:hint="cs"/>
          <w:rtl/>
        </w:rPr>
        <w:t>ُ</w:t>
      </w:r>
      <w:r>
        <w:rPr>
          <w:rtl/>
        </w:rPr>
        <w:t xml:space="preserve"> الحكم (وهو بطلان </w:t>
      </w:r>
      <w:r>
        <w:rPr>
          <w:rtl/>
        </w:rPr>
        <w:lastRenderedPageBreak/>
        <w:t>الخيار) [لبقاء]</w:t>
      </w:r>
      <w:r>
        <w:rPr>
          <w:rStyle w:val="a7"/>
          <w:rtl/>
        </w:rPr>
        <w:footnoteReference w:id="1363"/>
      </w:r>
      <w:r>
        <w:rPr>
          <w:rtl/>
        </w:rPr>
        <w:t xml:space="preserve"> </w:t>
      </w:r>
      <w:r>
        <w:rPr>
          <w:rFonts w:hint="eastAsia"/>
          <w:rtl/>
        </w:rPr>
        <w:t>السبب</w:t>
      </w:r>
      <w:r>
        <w:rPr>
          <w:rtl/>
        </w:rPr>
        <w:t xml:space="preserve"> -(وهو المرض)-.</w:t>
      </w:r>
    </w:p>
    <w:p w:rsidR="00C10469" w:rsidRDefault="00C10469">
      <w:pPr>
        <w:rPr>
          <w:rtl/>
        </w:rPr>
      </w:pPr>
      <w:r>
        <w:rPr>
          <w:rFonts w:hint="eastAsia"/>
          <w:b/>
          <w:bCs/>
          <w:spacing w:val="-4"/>
          <w:rtl/>
        </w:rPr>
        <w:t>فإن</w:t>
      </w:r>
      <w:r>
        <w:rPr>
          <w:b/>
          <w:bCs/>
          <w:spacing w:val="-4"/>
          <w:rtl/>
        </w:rPr>
        <w:t xml:space="preserve"> قُلتَ</w:t>
      </w:r>
      <w:r>
        <w:rPr>
          <w:spacing w:val="-4"/>
          <w:rtl/>
        </w:rPr>
        <w:t xml:space="preserve"> : </w:t>
      </w:r>
      <w:r>
        <w:rPr>
          <w:rFonts w:hint="eastAsia"/>
          <w:b/>
          <w:bCs/>
          <w:spacing w:val="-4"/>
          <w:rtl/>
        </w:rPr>
        <w:t>ما</w:t>
      </w:r>
      <w:r>
        <w:rPr>
          <w:b/>
          <w:bCs/>
          <w:spacing w:val="-4"/>
          <w:rtl/>
        </w:rPr>
        <w:t xml:space="preserve"> الفرق</w:t>
      </w:r>
      <w:r>
        <w:rPr>
          <w:spacing w:val="-4"/>
          <w:rtl/>
        </w:rPr>
        <w:t xml:space="preserve"> </w:t>
      </w:r>
      <w:r>
        <w:rPr>
          <w:rFonts w:hint="eastAsia"/>
          <w:spacing w:val="-4"/>
          <w:rtl/>
        </w:rPr>
        <w:t>بين</w:t>
      </w:r>
      <w:r>
        <w:rPr>
          <w:spacing w:val="-4"/>
          <w:rtl/>
        </w:rPr>
        <w:t xml:space="preserve"> </w:t>
      </w:r>
      <w:r>
        <w:rPr>
          <w:rFonts w:hint="eastAsia"/>
          <w:spacing w:val="-4"/>
          <w:rtl/>
        </w:rPr>
        <w:t>هذه</w:t>
      </w:r>
      <w:r>
        <w:rPr>
          <w:spacing w:val="-4"/>
          <w:rtl/>
        </w:rPr>
        <w:t xml:space="preserve"> المسألة، وبين المسألة التي في باب الرجوع في الهبة؟</w:t>
      </w:r>
      <w:r>
        <w:rPr>
          <w:rFonts w:hint="cs"/>
          <w:spacing w:val="10"/>
          <w:rtl/>
        </w:rPr>
        <w:t xml:space="preserve"> </w:t>
      </w:r>
      <w:r>
        <w:rPr>
          <w:spacing w:val="10"/>
          <w:rtl/>
        </w:rPr>
        <w:t>-</w:t>
      </w:r>
      <w:r>
        <w:rPr>
          <w:rFonts w:hint="cs"/>
          <w:spacing w:val="10"/>
          <w:rtl/>
        </w:rPr>
        <w:t xml:space="preserve"> </w:t>
      </w:r>
      <w:r>
        <w:rPr>
          <w:rFonts w:hint="eastAsia"/>
          <w:rtl/>
        </w:rPr>
        <w:t>حيث</w:t>
      </w:r>
      <w:r>
        <w:rPr>
          <w:rtl/>
        </w:rPr>
        <w:t xml:space="preserve"> </w:t>
      </w:r>
      <w:r>
        <w:rPr>
          <w:rFonts w:hint="eastAsia"/>
          <w:rtl/>
        </w:rPr>
        <w:t>قالوا</w:t>
      </w:r>
      <w:r>
        <w:rPr>
          <w:rtl/>
        </w:rPr>
        <w:t xml:space="preserve"> : «قضى ببطلان</w:t>
      </w:r>
      <w:r>
        <w:rPr>
          <w:rStyle w:val="a7"/>
          <w:rtl/>
        </w:rPr>
        <w:footnoteReference w:id="1364"/>
      </w:r>
      <w:r>
        <w:rPr>
          <w:rtl/>
        </w:rPr>
        <w:t xml:space="preserve"> </w:t>
      </w:r>
      <w:r>
        <w:rPr>
          <w:rFonts w:hint="eastAsia"/>
          <w:rtl/>
        </w:rPr>
        <w:t>الرجوع</w:t>
      </w:r>
      <w:r>
        <w:rPr>
          <w:rtl/>
        </w:rPr>
        <w:t xml:space="preserve"> لمانع، ثم زال المانع، عاد الرجوع»</w:t>
      </w:r>
      <w:r>
        <w:rPr>
          <w:vertAlign w:val="superscript"/>
          <w:rtl/>
        </w:rPr>
        <w:t>(</w:t>
      </w:r>
      <w:r>
        <w:rPr>
          <w:rStyle w:val="a7"/>
          <w:rtl/>
        </w:rPr>
        <w:footnoteReference w:id="1365"/>
      </w:r>
      <w:r>
        <w:rPr>
          <w:vertAlign w:val="superscript"/>
          <w:rtl/>
        </w:rPr>
        <w:t>)</w:t>
      </w:r>
      <w:r>
        <w:rPr>
          <w:rtl/>
        </w:rPr>
        <w:t xml:space="preserve">-. </w:t>
      </w:r>
    </w:p>
    <w:p w:rsidR="00C10469" w:rsidRDefault="00C10469">
      <w:pPr>
        <w:rPr>
          <w:rtl/>
        </w:rPr>
      </w:pPr>
      <w:r>
        <w:rPr>
          <w:rFonts w:hint="eastAsia"/>
          <w:b/>
          <w:bCs/>
          <w:rtl/>
        </w:rPr>
        <w:t>أقول</w:t>
      </w:r>
      <w:r>
        <w:rPr>
          <w:rtl/>
        </w:rPr>
        <w:t xml:space="preserve"> : مقتضى الخيار في المسألة [الأولى]</w:t>
      </w:r>
      <w:r>
        <w:rPr>
          <w:rStyle w:val="a7"/>
          <w:rtl/>
        </w:rPr>
        <w:footnoteReference w:id="1366"/>
      </w:r>
      <w:r>
        <w:rPr>
          <w:rtl/>
        </w:rPr>
        <w:t xml:space="preserve"> </w:t>
      </w:r>
      <w:r>
        <w:rPr>
          <w:rFonts w:hint="eastAsia"/>
          <w:rtl/>
        </w:rPr>
        <w:t>كون</w:t>
      </w:r>
      <w:r>
        <w:rPr>
          <w:rtl/>
        </w:rPr>
        <w:t xml:space="preserve"> العقد موقوفًا، [فبحكم]</w:t>
      </w:r>
      <w:r>
        <w:rPr>
          <w:rStyle w:val="a7"/>
          <w:rtl/>
        </w:rPr>
        <w:footnoteReference w:id="1367"/>
      </w:r>
      <w:r>
        <w:rPr>
          <w:rtl/>
        </w:rPr>
        <w:t xml:space="preserve"> </w:t>
      </w:r>
      <w:r>
        <w:rPr>
          <w:rFonts w:hint="eastAsia"/>
          <w:rtl/>
        </w:rPr>
        <w:t>القاضي</w:t>
      </w:r>
      <w:r>
        <w:rPr>
          <w:rtl/>
        </w:rPr>
        <w:t xml:space="preserve"> صار</w:t>
      </w:r>
      <w:r>
        <w:rPr>
          <w:rStyle w:val="a7"/>
          <w:rtl/>
        </w:rPr>
        <w:footnoteReference w:id="1368"/>
      </w:r>
      <w:r>
        <w:rPr>
          <w:rtl/>
        </w:rPr>
        <w:t xml:space="preserve"> </w:t>
      </w:r>
      <w:r>
        <w:rPr>
          <w:rFonts w:hint="eastAsia"/>
          <w:rtl/>
        </w:rPr>
        <w:t>العقد</w:t>
      </w:r>
      <w:r>
        <w:rPr>
          <w:rtl/>
        </w:rPr>
        <w:t xml:space="preserve"> لازمًا، فسقط المقتضي</w:t>
      </w:r>
      <w:r>
        <w:rPr>
          <w:rFonts w:hint="cs"/>
          <w:rtl/>
        </w:rPr>
        <w:t>،</w:t>
      </w:r>
      <w:r>
        <w:rPr>
          <w:rtl/>
        </w:rPr>
        <w:t xml:space="preserve"> و</w:t>
      </w:r>
      <w:r>
        <w:rPr>
          <w:rFonts w:hint="eastAsia"/>
          <w:rtl/>
        </w:rPr>
        <w:t>«السّاقط</w:t>
      </w:r>
      <w:r>
        <w:rPr>
          <w:rtl/>
        </w:rPr>
        <w:t xml:space="preserve"> </w:t>
      </w:r>
      <w:r>
        <w:rPr>
          <w:rFonts w:hint="eastAsia"/>
          <w:rtl/>
        </w:rPr>
        <w:t>لا</w:t>
      </w:r>
      <w:r>
        <w:rPr>
          <w:rtl/>
        </w:rPr>
        <w:t xml:space="preserve"> يعود»</w:t>
      </w:r>
      <w:r>
        <w:rPr>
          <w:vertAlign w:val="superscript"/>
          <w:rtl/>
        </w:rPr>
        <w:t>(</w:t>
      </w:r>
      <w:r>
        <w:rPr>
          <w:rStyle w:val="a7"/>
          <w:rtl/>
        </w:rPr>
        <w:footnoteReference w:id="1369"/>
      </w:r>
      <w:r>
        <w:rPr>
          <w:vertAlign w:val="superscript"/>
          <w:rtl/>
        </w:rPr>
        <w:t>)</w:t>
      </w:r>
      <w:r>
        <w:rPr>
          <w:rtl/>
        </w:rPr>
        <w:t>.</w:t>
      </w:r>
    </w:p>
    <w:p w:rsidR="00C10469" w:rsidRDefault="00C10469">
      <w:pPr>
        <w:rPr>
          <w:rtl/>
        </w:rPr>
      </w:pPr>
      <w:r>
        <w:rPr>
          <w:rFonts w:hint="eastAsia"/>
          <w:rtl/>
        </w:rPr>
        <w:t>وفي</w:t>
      </w:r>
      <w:r>
        <w:rPr>
          <w:rStyle w:val="a7"/>
          <w:rtl/>
        </w:rPr>
        <w:footnoteReference w:id="1370"/>
      </w:r>
      <w:r>
        <w:rPr>
          <w:rtl/>
        </w:rPr>
        <w:t xml:space="preserve"> </w:t>
      </w:r>
      <w:r>
        <w:rPr>
          <w:rFonts w:hint="eastAsia"/>
          <w:rtl/>
        </w:rPr>
        <w:t>المسألة</w:t>
      </w:r>
      <w:r>
        <w:rPr>
          <w:rtl/>
        </w:rPr>
        <w:t xml:space="preserve"> الثانية : مقتضى الرجوع كون الواهب</w:t>
      </w:r>
      <w:r>
        <w:rPr>
          <w:rStyle w:val="a7"/>
          <w:rtl/>
        </w:rPr>
        <w:footnoteReference w:id="1371"/>
      </w:r>
      <w:r>
        <w:rPr>
          <w:rtl/>
        </w:rPr>
        <w:t xml:space="preserve"> </w:t>
      </w:r>
      <w:r>
        <w:rPr>
          <w:rFonts w:hint="eastAsia"/>
          <w:rtl/>
        </w:rPr>
        <w:t>أحقّ</w:t>
      </w:r>
      <w:r>
        <w:rPr>
          <w:rtl/>
        </w:rPr>
        <w:t xml:space="preserve"> في هبته</w:t>
      </w:r>
      <w:r>
        <w:rPr>
          <w:rStyle w:val="a7"/>
          <w:rtl/>
        </w:rPr>
        <w:footnoteReference w:id="1372"/>
      </w:r>
      <w:r>
        <w:rPr>
          <w:rFonts w:hint="eastAsia"/>
          <w:rtl/>
        </w:rPr>
        <w:t>،</w:t>
      </w:r>
      <w:r>
        <w:rPr>
          <w:rtl/>
        </w:rPr>
        <w:t xml:space="preserve"> </w:t>
      </w:r>
      <w:r>
        <w:rPr>
          <w:rFonts w:hint="eastAsia"/>
          <w:rtl/>
        </w:rPr>
        <w:t>وهو</w:t>
      </w:r>
      <w:r>
        <w:rPr>
          <w:vertAlign w:val="superscript"/>
          <w:rtl/>
        </w:rPr>
        <w:t>(</w:t>
      </w:r>
      <w:r>
        <w:rPr>
          <w:rStyle w:val="a7"/>
          <w:rtl/>
        </w:rPr>
        <w:footnoteReference w:id="1373"/>
      </w:r>
      <w:r>
        <w:rPr>
          <w:vertAlign w:val="superscript"/>
          <w:rtl/>
        </w:rPr>
        <w:t>)</w:t>
      </w:r>
      <w:r>
        <w:rPr>
          <w:rtl/>
        </w:rPr>
        <w:t xml:space="preserve"> </w:t>
      </w:r>
      <w:r>
        <w:rPr>
          <w:rFonts w:hint="eastAsia"/>
          <w:rtl/>
        </w:rPr>
        <w:t>موجود</w:t>
      </w:r>
      <w:r>
        <w:rPr>
          <w:rtl/>
        </w:rPr>
        <w:t xml:space="preserve"> لا يسقط بقضاء</w:t>
      </w:r>
      <w:r>
        <w:rPr>
          <w:rStyle w:val="a7"/>
          <w:rtl/>
        </w:rPr>
        <w:footnoteReference w:id="1374"/>
      </w:r>
      <w:r>
        <w:rPr>
          <w:rtl/>
        </w:rPr>
        <w:t xml:space="preserve"> </w:t>
      </w:r>
      <w:r>
        <w:rPr>
          <w:rFonts w:hint="eastAsia"/>
          <w:rtl/>
        </w:rPr>
        <w:t>القاضي</w:t>
      </w:r>
      <w:r>
        <w:rPr>
          <w:rtl/>
        </w:rPr>
        <w:t xml:space="preserve"> ببطلان الرجوع</w:t>
      </w:r>
      <w:r>
        <w:rPr>
          <w:rStyle w:val="a7"/>
          <w:rtl/>
        </w:rPr>
        <w:footnoteReference w:id="1375"/>
      </w:r>
      <w:r>
        <w:rPr>
          <w:rFonts w:hint="eastAsia"/>
          <w:rtl/>
        </w:rPr>
        <w:t>،</w:t>
      </w:r>
      <w:r>
        <w:rPr>
          <w:rtl/>
        </w:rPr>
        <w:t xml:space="preserve"> </w:t>
      </w:r>
      <w:r>
        <w:rPr>
          <w:rFonts w:hint="eastAsia"/>
          <w:rtl/>
        </w:rPr>
        <w:t>ولكن</w:t>
      </w:r>
      <w:r>
        <w:rPr>
          <w:vertAlign w:val="superscript"/>
          <w:rtl/>
        </w:rPr>
        <w:t>(</w:t>
      </w:r>
      <w:r>
        <w:rPr>
          <w:rStyle w:val="a7"/>
          <w:rtl/>
        </w:rPr>
        <w:footnoteReference w:id="1376"/>
      </w:r>
      <w:r>
        <w:rPr>
          <w:vertAlign w:val="superscript"/>
          <w:rtl/>
        </w:rPr>
        <w:t>)</w:t>
      </w:r>
      <w:r>
        <w:rPr>
          <w:rtl/>
        </w:rPr>
        <w:t xml:space="preserve"> </w:t>
      </w:r>
      <w:r>
        <w:rPr>
          <w:rFonts w:hint="cs"/>
          <w:rtl/>
        </w:rPr>
        <w:t xml:space="preserve">لا يعمل </w:t>
      </w:r>
      <w:r>
        <w:rPr>
          <w:rFonts w:hint="eastAsia"/>
          <w:rtl/>
        </w:rPr>
        <w:t>ل</w:t>
      </w:r>
      <w:r>
        <w:rPr>
          <w:rFonts w:hint="cs"/>
          <w:rtl/>
        </w:rPr>
        <w:t>ـ</w:t>
      </w:r>
      <w:r>
        <w:rPr>
          <w:rFonts w:hint="eastAsia"/>
          <w:rtl/>
        </w:rPr>
        <w:t>مانع،</w:t>
      </w:r>
      <w:r>
        <w:rPr>
          <w:rtl/>
        </w:rPr>
        <w:t xml:space="preserve"> فـ </w:t>
      </w:r>
      <w:r>
        <w:rPr>
          <w:rtl/>
        </w:rPr>
        <w:lastRenderedPageBreak/>
        <w:t>«إذا زال المانع عاد الممنوع»</w:t>
      </w:r>
      <w:r>
        <w:rPr>
          <w:vertAlign w:val="superscript"/>
          <w:rtl/>
        </w:rPr>
        <w:t>(</w:t>
      </w:r>
      <w:r>
        <w:rPr>
          <w:rStyle w:val="a7"/>
          <w:rtl/>
        </w:rPr>
        <w:footnoteReference w:id="1377"/>
      </w:r>
      <w:r>
        <w:rPr>
          <w:vertAlign w:val="superscript"/>
          <w:rtl/>
        </w:rPr>
        <w:t>)</w:t>
      </w:r>
      <w:r>
        <w:rPr>
          <w:rtl/>
        </w:rPr>
        <w:t>.</w:t>
      </w:r>
    </w:p>
    <w:p w:rsidR="00C10469" w:rsidRDefault="00C10469">
      <w:pPr>
        <w:rPr>
          <w:rtl/>
        </w:rPr>
      </w:pPr>
      <w:r>
        <w:rPr>
          <w:rFonts w:hint="eastAsia"/>
          <w:rtl/>
        </w:rPr>
        <w:t>وبهذا</w:t>
      </w:r>
      <w:r>
        <w:rPr>
          <w:rtl/>
        </w:rPr>
        <w:t xml:space="preserve"> اتضّح الفرق بين [هذا]</w:t>
      </w:r>
      <w:r>
        <w:rPr>
          <w:rStyle w:val="a7"/>
          <w:rtl/>
        </w:rPr>
        <w:footnoteReference w:id="1378"/>
      </w:r>
      <w:r>
        <w:rPr>
          <w:rtl/>
        </w:rPr>
        <w:t xml:space="preserve"> </w:t>
      </w:r>
      <w:r>
        <w:rPr>
          <w:rFonts w:hint="eastAsia"/>
          <w:rtl/>
        </w:rPr>
        <w:t>الأصل</w:t>
      </w:r>
      <w:r>
        <w:rPr>
          <w:rtl/>
        </w:rPr>
        <w:t xml:space="preserve"> وبين الأصل الذي قاله القوم : «الحكم [ينتهي]</w:t>
      </w:r>
      <w:r>
        <w:rPr>
          <w:rStyle w:val="a7"/>
          <w:rtl/>
        </w:rPr>
        <w:footnoteReference w:id="1379"/>
      </w:r>
      <w:r>
        <w:rPr>
          <w:rtl/>
        </w:rPr>
        <w:t xml:space="preserve"> </w:t>
      </w:r>
      <w:r>
        <w:rPr>
          <w:rFonts w:hint="eastAsia"/>
          <w:rtl/>
        </w:rPr>
        <w:t>بانتهاء</w:t>
      </w:r>
      <w:r>
        <w:rPr>
          <w:rtl/>
        </w:rPr>
        <w:t xml:space="preserve"> علّته»</w:t>
      </w:r>
      <w:r>
        <w:rPr>
          <w:vertAlign w:val="superscript"/>
          <w:rtl/>
        </w:rPr>
        <w:t>(</w:t>
      </w:r>
      <w:r>
        <w:rPr>
          <w:rStyle w:val="a7"/>
          <w:rtl/>
        </w:rPr>
        <w:footnoteReference w:id="1380"/>
      </w:r>
      <w:r>
        <w:rPr>
          <w:vertAlign w:val="superscript"/>
          <w:rtl/>
        </w:rPr>
        <w:t>)</w:t>
      </w:r>
      <w:r>
        <w:rPr>
          <w:rtl/>
        </w:rPr>
        <w:t>:</w:t>
      </w:r>
    </w:p>
    <w:p w:rsidR="00C10469" w:rsidRDefault="00C10469">
      <w:pPr>
        <w:rPr>
          <w:rtl/>
        </w:rPr>
      </w:pPr>
      <w:r>
        <w:rPr>
          <w:rFonts w:hint="eastAsia"/>
          <w:b/>
          <w:bCs/>
          <w:rtl/>
        </w:rPr>
        <w:t>فالمسألة</w:t>
      </w:r>
      <w:r>
        <w:rPr>
          <w:b/>
          <w:bCs/>
          <w:rtl/>
        </w:rPr>
        <w:t xml:space="preserve"> الأولى</w:t>
      </w:r>
      <w:r>
        <w:rPr>
          <w:rStyle w:val="a7"/>
          <w:b/>
          <w:rtl/>
        </w:rPr>
        <w:footnoteReference w:id="1381"/>
      </w:r>
      <w:r>
        <w:rPr>
          <w:rtl/>
        </w:rPr>
        <w:t xml:space="preserve"> : من فروع «بقاء الحكم يست</w:t>
      </w:r>
      <w:r>
        <w:rPr>
          <w:rFonts w:hint="cs"/>
          <w:rtl/>
        </w:rPr>
        <w:t>غ</w:t>
      </w:r>
      <w:r>
        <w:rPr>
          <w:rtl/>
        </w:rPr>
        <w:t>ن</w:t>
      </w:r>
      <w:r>
        <w:rPr>
          <w:rFonts w:hint="cs"/>
          <w:rtl/>
        </w:rPr>
        <w:t>ي</w:t>
      </w:r>
      <w:r>
        <w:rPr>
          <w:rtl/>
        </w:rPr>
        <w:t xml:space="preserve"> عن بقاء السبب».</w:t>
      </w:r>
    </w:p>
    <w:p w:rsidR="00C10469" w:rsidRDefault="00C10469">
      <w:pPr>
        <w:rPr>
          <w:rtl/>
        </w:rPr>
      </w:pPr>
      <w:r>
        <w:rPr>
          <w:rFonts w:hint="eastAsia"/>
          <w:b/>
          <w:bCs/>
          <w:rtl/>
        </w:rPr>
        <w:t>والثانية</w:t>
      </w:r>
      <w:r>
        <w:rPr>
          <w:rtl/>
        </w:rPr>
        <w:t xml:space="preserve"> : من فروع «الحكم</w:t>
      </w:r>
      <w:r>
        <w:rPr>
          <w:rStyle w:val="a7"/>
          <w:rtl/>
        </w:rPr>
        <w:footnoteReference w:id="1382"/>
      </w:r>
      <w:r>
        <w:rPr>
          <w:rtl/>
        </w:rPr>
        <w:t xml:space="preserve"> </w:t>
      </w:r>
      <w:r>
        <w:rPr>
          <w:rFonts w:hint="eastAsia"/>
          <w:rtl/>
        </w:rPr>
        <w:t>ينتهي</w:t>
      </w:r>
      <w:r>
        <w:rPr>
          <w:rtl/>
        </w:rPr>
        <w:t xml:space="preserve"> بانتهاء علّته».</w:t>
      </w:r>
    </w:p>
    <w:p w:rsidR="00C10469" w:rsidRDefault="00C10469">
      <w:pPr>
        <w:rPr>
          <w:rtl/>
        </w:rPr>
      </w:pPr>
      <w:r>
        <w:rPr>
          <w:rFonts w:hint="eastAsia"/>
          <w:rtl/>
        </w:rPr>
        <w:t>وسيأتي</w:t>
      </w:r>
      <w:r>
        <w:rPr>
          <w:rtl/>
        </w:rPr>
        <w:t xml:space="preserve"> زيادة</w:t>
      </w:r>
      <w:r>
        <w:rPr>
          <w:rStyle w:val="a7"/>
          <w:rtl/>
        </w:rPr>
        <w:footnoteReference w:id="1383"/>
      </w:r>
      <w:r>
        <w:rPr>
          <w:rtl/>
        </w:rPr>
        <w:t xml:space="preserve"> </w:t>
      </w:r>
      <w:r>
        <w:rPr>
          <w:rFonts w:hint="eastAsia"/>
          <w:rtl/>
        </w:rPr>
        <w:t>التفصيل</w:t>
      </w:r>
      <w:r>
        <w:rPr>
          <w:rtl/>
        </w:rPr>
        <w:t xml:space="preserve"> في باب السين</w:t>
      </w:r>
      <w:r>
        <w:rPr>
          <w:rFonts w:hint="cs"/>
          <w:vertAlign w:val="superscript"/>
          <w:rtl/>
        </w:rPr>
        <w:t>(</w:t>
      </w:r>
      <w:r>
        <w:rPr>
          <w:rStyle w:val="a7"/>
          <w:rtl/>
        </w:rPr>
        <w:footnoteReference w:id="1384"/>
      </w:r>
      <w:r>
        <w:rPr>
          <w:rFonts w:hint="cs"/>
          <w:vertAlign w:val="superscript"/>
          <w:rtl/>
        </w:rPr>
        <w:t>)</w:t>
      </w:r>
      <w:r>
        <w:rPr>
          <w:rtl/>
        </w:rPr>
        <w:t xml:space="preserve"> -إن شاء الله</w:t>
      </w:r>
      <w:r>
        <w:rPr>
          <w:rStyle w:val="a7"/>
          <w:rtl/>
        </w:rPr>
        <w:footnoteReference w:id="1385"/>
      </w:r>
      <w:r>
        <w:rPr>
          <w:rtl/>
        </w:rPr>
        <w:t>-.</w:t>
      </w:r>
    </w:p>
    <w:p w:rsidR="00C10469" w:rsidRDefault="00C10469">
      <w:pPr>
        <w:rPr>
          <w:rtl/>
        </w:rPr>
      </w:pPr>
    </w:p>
    <w:p w:rsidR="00C10469" w:rsidRDefault="00C10469">
      <w:pPr>
        <w:rPr>
          <w:rtl/>
        </w:rPr>
      </w:pPr>
    </w:p>
    <w:p w:rsidR="00C10469" w:rsidRPr="00E65D07"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1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60D17" w:rsidRDefault="00C10469">
      <w:pPr>
        <w:pStyle w:val="a9"/>
        <w:rPr>
          <w:rFonts w:cs="AL-Mateen"/>
          <w:rtl/>
        </w:rPr>
      </w:pPr>
      <w:r w:rsidRPr="00860D17">
        <w:rPr>
          <w:rFonts w:cs="AL-Mateen"/>
          <w:rtl/>
        </w:rPr>
        <w:lastRenderedPageBreak/>
        <w:t>[ القـاعـدة الـرابـعـة والخـمـسـون ]</w:t>
      </w:r>
    </w:p>
    <w:p w:rsidR="00C10469" w:rsidRDefault="00C10469">
      <w:pPr>
        <w:rPr>
          <w:b/>
          <w:bCs/>
          <w:rtl/>
        </w:rPr>
      </w:pPr>
      <w:r>
        <w:rPr>
          <w:rFonts w:cs="Monotype Koufi" w:hint="eastAsia"/>
          <w:rtl/>
        </w:rPr>
        <w:t>الب</w:t>
      </w:r>
      <w:r>
        <w:rPr>
          <w:rFonts w:cs="Monotype Koufi" w:hint="cs"/>
          <w:rtl/>
        </w:rPr>
        <w:t>َ</w:t>
      </w:r>
      <w:r>
        <w:rPr>
          <w:rFonts w:cs="Monotype Koufi" w:hint="eastAsia"/>
          <w:rtl/>
        </w:rPr>
        <w:t>ق</w:t>
      </w:r>
      <w:r>
        <w:rPr>
          <w:rFonts w:cs="Monotype Koufi" w:hint="cs"/>
          <w:rtl/>
        </w:rPr>
        <w:t>َ</w:t>
      </w:r>
      <w:r>
        <w:rPr>
          <w:rFonts w:cs="Monotype Koufi" w:hint="eastAsia"/>
          <w:rtl/>
        </w:rPr>
        <w:t>اء</w:t>
      </w:r>
      <w:r>
        <w:rPr>
          <w:rFonts w:cs="Monotype Koufi" w:hint="cs"/>
          <w:rtl/>
        </w:rPr>
        <w:t>ُ</w:t>
      </w:r>
      <w:r>
        <w:rPr>
          <w:rFonts w:cs="Monotype Koufi"/>
          <w:rtl/>
        </w:rPr>
        <w:t xml:space="preserve"> أ</w:t>
      </w:r>
      <w:r>
        <w:rPr>
          <w:rFonts w:cs="Monotype Koufi" w:hint="cs"/>
          <w:rtl/>
        </w:rPr>
        <w:t>َ</w:t>
      </w:r>
      <w:r>
        <w:rPr>
          <w:rFonts w:cs="Monotype Koufi"/>
          <w:rtl/>
        </w:rPr>
        <w:t>س</w:t>
      </w:r>
      <w:r>
        <w:rPr>
          <w:rFonts w:cs="Monotype Koufi" w:hint="cs"/>
          <w:rtl/>
        </w:rPr>
        <w:t>ْ</w:t>
      </w:r>
      <w:r>
        <w:rPr>
          <w:rFonts w:cs="Monotype Koufi"/>
          <w:rtl/>
        </w:rPr>
        <w:t>ه</w:t>
      </w:r>
      <w:r>
        <w:rPr>
          <w:rFonts w:cs="Monotype Koufi" w:hint="cs"/>
          <w:rtl/>
        </w:rPr>
        <w:t>َ</w:t>
      </w:r>
      <w:r>
        <w:rPr>
          <w:rFonts w:cs="Monotype Koufi"/>
          <w:rtl/>
        </w:rPr>
        <w:t>ل</w:t>
      </w:r>
      <w:r>
        <w:rPr>
          <w:rFonts w:cs="Monotype Koufi" w:hint="cs"/>
          <w:rtl/>
        </w:rPr>
        <w:t>ُ</w:t>
      </w:r>
      <w:r>
        <w:rPr>
          <w:rFonts w:cs="Monotype Koufi"/>
          <w:rtl/>
        </w:rPr>
        <w:t xml:space="preserve"> م</w:t>
      </w:r>
      <w:r>
        <w:rPr>
          <w:rFonts w:cs="Monotype Koufi" w:hint="cs"/>
          <w:rtl/>
        </w:rPr>
        <w:t>ِ</w:t>
      </w:r>
      <w:r>
        <w:rPr>
          <w:rFonts w:cs="Monotype Koufi"/>
          <w:rtl/>
        </w:rPr>
        <w:t>ن</w:t>
      </w:r>
      <w:r>
        <w:rPr>
          <w:rFonts w:cs="Monotype Koufi" w:hint="cs"/>
          <w:rtl/>
        </w:rPr>
        <w:t>َ</w:t>
      </w:r>
      <w:r>
        <w:rPr>
          <w:rFonts w:cs="Monotype Koufi"/>
          <w:rtl/>
        </w:rPr>
        <w:t xml:space="preserve"> </w:t>
      </w:r>
      <w:r>
        <w:rPr>
          <w:rFonts w:cs="Monotype Koufi" w:hint="eastAsia"/>
          <w:rtl/>
        </w:rPr>
        <w:t>الاب</w:t>
      </w:r>
      <w:r>
        <w:rPr>
          <w:rFonts w:cs="Monotype Koufi" w:hint="cs"/>
          <w:rtl/>
        </w:rPr>
        <w:t>ْ</w:t>
      </w:r>
      <w:r>
        <w:rPr>
          <w:rFonts w:cs="Monotype Koufi" w:hint="eastAsia"/>
          <w:rtl/>
        </w:rPr>
        <w:t>ت</w:t>
      </w:r>
      <w:r>
        <w:rPr>
          <w:rFonts w:cs="Monotype Koufi" w:hint="cs"/>
          <w:rtl/>
        </w:rPr>
        <w:t>ِ</w:t>
      </w:r>
      <w:r>
        <w:rPr>
          <w:rFonts w:cs="Monotype Koufi" w:hint="eastAsia"/>
          <w:rtl/>
        </w:rPr>
        <w:t>د</w:t>
      </w:r>
      <w:r>
        <w:rPr>
          <w:rFonts w:cs="Monotype Koufi" w:hint="cs"/>
          <w:rtl/>
        </w:rPr>
        <w:t>َ</w:t>
      </w:r>
      <w:r>
        <w:rPr>
          <w:rFonts w:cs="Monotype Koufi" w:hint="eastAsia"/>
          <w:rtl/>
        </w:rPr>
        <w:t>اء</w:t>
      </w:r>
      <w:r>
        <w:rPr>
          <w:rFonts w:cs="Monotype Koufi" w:hint="cs"/>
          <w:rtl/>
        </w:rPr>
        <w:t>ِ</w:t>
      </w:r>
      <w:r>
        <w:rPr>
          <w:vertAlign w:val="superscript"/>
          <w:rtl/>
        </w:rPr>
        <w:t>(</w:t>
      </w:r>
      <w:r>
        <w:rPr>
          <w:rStyle w:val="a7"/>
          <w:rtl/>
        </w:rPr>
        <w:footnoteReference w:id="1386"/>
      </w:r>
      <w:r>
        <w:rPr>
          <w:vertAlign w:val="superscript"/>
          <w:rtl/>
        </w:rPr>
        <w:t>)</w:t>
      </w:r>
      <w:r>
        <w:rPr>
          <w:b/>
          <w:bCs/>
          <w:rtl/>
        </w:rPr>
        <w:t xml:space="preserve"> :</w:t>
      </w:r>
    </w:p>
    <w:p w:rsidR="00C10469" w:rsidRDefault="00C10469">
      <w:pPr>
        <w:rPr>
          <w:rtl/>
        </w:rPr>
      </w:pPr>
      <w:r>
        <w:rPr>
          <w:rFonts w:hint="eastAsia"/>
          <w:rtl/>
        </w:rPr>
        <w:lastRenderedPageBreak/>
        <w:t>«يُبْنى</w:t>
      </w:r>
      <w:r>
        <w:rPr>
          <w:rtl/>
        </w:rPr>
        <w:t xml:space="preserve"> على هذا الأصل أحكام كثيرة :</w:t>
      </w:r>
    </w:p>
    <w:p w:rsidR="00C10469" w:rsidRDefault="00C10469" w:rsidP="00C10469">
      <w:pPr>
        <w:ind w:left="349" w:firstLine="218"/>
        <w:rPr>
          <w:rtl/>
        </w:rPr>
      </w:pPr>
      <w:r>
        <w:rPr>
          <w:rtl/>
        </w:rPr>
        <w:t>•</w:t>
      </w:r>
      <w:r>
        <w:rPr>
          <w:rFonts w:hint="cs"/>
          <w:rtl/>
        </w:rPr>
        <w:t xml:space="preserve"> </w:t>
      </w:r>
      <w:r>
        <w:rPr>
          <w:rFonts w:hint="eastAsia"/>
          <w:rtl/>
        </w:rPr>
        <w:t>كبقاء</w:t>
      </w:r>
      <w:r>
        <w:rPr>
          <w:rtl/>
        </w:rPr>
        <w:t xml:space="preserve"> </w:t>
      </w:r>
      <w:r>
        <w:rPr>
          <w:rFonts w:hint="eastAsia"/>
          <w:rtl/>
        </w:rPr>
        <w:t>النكاح</w:t>
      </w:r>
      <w:r>
        <w:rPr>
          <w:rtl/>
        </w:rPr>
        <w:t xml:space="preserve"> بلا شهود، وامتناعه بدونها</w:t>
      </w:r>
      <w:r>
        <w:rPr>
          <w:vertAlign w:val="superscript"/>
          <w:rtl/>
        </w:rPr>
        <w:t>(</w:t>
      </w:r>
      <w:r>
        <w:rPr>
          <w:rStyle w:val="a7"/>
          <w:rtl/>
        </w:rPr>
        <w:footnoteReference w:id="1387"/>
      </w:r>
      <w:r>
        <w:rPr>
          <w:vertAlign w:val="superscript"/>
          <w:rtl/>
        </w:rPr>
        <w:t>)</w:t>
      </w:r>
      <w:r>
        <w:rPr>
          <w:rtl/>
        </w:rPr>
        <w:t xml:space="preserve"> </w:t>
      </w:r>
      <w:r>
        <w:rPr>
          <w:rFonts w:hint="eastAsia"/>
          <w:rtl/>
        </w:rPr>
        <w:t>ابتداءً</w:t>
      </w:r>
      <w:r>
        <w:rPr>
          <w:rtl/>
        </w:rPr>
        <w:t>.</w:t>
      </w:r>
    </w:p>
    <w:p w:rsidR="00C10469" w:rsidRDefault="00C10469" w:rsidP="00C10469">
      <w:pPr>
        <w:ind w:left="706" w:hanging="357"/>
        <w:rPr>
          <w:rtl/>
        </w:rPr>
      </w:pPr>
      <w:r>
        <w:rPr>
          <w:rtl/>
        </w:rPr>
        <w:lastRenderedPageBreak/>
        <w:t>•</w:t>
      </w:r>
      <w:r>
        <w:rPr>
          <w:rFonts w:hint="cs"/>
          <w:rtl/>
        </w:rPr>
        <w:t xml:space="preserve">  </w:t>
      </w:r>
      <w:r>
        <w:rPr>
          <w:rFonts w:hint="eastAsia"/>
          <w:rtl/>
        </w:rPr>
        <w:t>وجواز</w:t>
      </w:r>
      <w:r>
        <w:rPr>
          <w:rtl/>
        </w:rPr>
        <w:t xml:space="preserve"> </w:t>
      </w:r>
      <w:r>
        <w:rPr>
          <w:rFonts w:hint="eastAsia"/>
          <w:rtl/>
        </w:rPr>
        <w:t>الشيُّوع</w:t>
      </w:r>
      <w:r>
        <w:rPr>
          <w:rtl/>
        </w:rPr>
        <w:t xml:space="preserve"> في الهبة بقاء</w:t>
      </w:r>
      <w:r>
        <w:rPr>
          <w:rFonts w:hint="cs"/>
          <w:rtl/>
        </w:rPr>
        <w:t>،</w:t>
      </w:r>
      <w:r>
        <w:rPr>
          <w:rtl/>
        </w:rPr>
        <w:t xml:space="preserve"> [لا ابتداءً]</w:t>
      </w:r>
      <w:r>
        <w:rPr>
          <w:rStyle w:val="a7"/>
          <w:rtl/>
        </w:rPr>
        <w:footnoteReference w:id="1388"/>
      </w:r>
      <w:r>
        <w:rPr>
          <w:rFonts w:hint="eastAsia"/>
          <w:rtl/>
        </w:rPr>
        <w:t>»</w:t>
      </w:r>
      <w:r>
        <w:rPr>
          <w:vertAlign w:val="superscript"/>
          <w:rtl/>
        </w:rPr>
        <w:t>(</w:t>
      </w:r>
      <w:r>
        <w:rPr>
          <w:rStyle w:val="a7"/>
          <w:rtl/>
        </w:rPr>
        <w:footnoteReference w:id="1389"/>
      </w:r>
      <w:r>
        <w:rPr>
          <w:vertAlign w:val="superscript"/>
          <w:rtl/>
        </w:rPr>
        <w:t>)</w:t>
      </w:r>
      <w:r>
        <w:rPr>
          <w:rFonts w:hint="eastAsia"/>
          <w:rtl/>
        </w:rPr>
        <w:t>؛</w:t>
      </w:r>
      <w:r>
        <w:rPr>
          <w:rtl/>
        </w:rPr>
        <w:t xml:space="preserve"> </w:t>
      </w:r>
      <w:r>
        <w:rPr>
          <w:rFonts w:hint="eastAsia"/>
          <w:rtl/>
        </w:rPr>
        <w:t>كما</w:t>
      </w:r>
      <w:r>
        <w:rPr>
          <w:rtl/>
        </w:rPr>
        <w:t xml:space="preserve"> إذا وَهَبَ</w:t>
      </w:r>
      <w:r>
        <w:rPr>
          <w:rStyle w:val="a7"/>
          <w:rtl/>
        </w:rPr>
        <w:footnoteReference w:id="1390"/>
      </w:r>
      <w:r>
        <w:rPr>
          <w:rtl/>
        </w:rPr>
        <w:t xml:space="preserve"> </w:t>
      </w:r>
      <w:r>
        <w:rPr>
          <w:rFonts w:hint="eastAsia"/>
          <w:rtl/>
        </w:rPr>
        <w:t>دارًا،</w:t>
      </w:r>
      <w:r>
        <w:rPr>
          <w:rtl/>
        </w:rPr>
        <w:t xml:space="preserve"> ورجع في نصفها، وشاع بينهما : </w:t>
      </w:r>
    </w:p>
    <w:p w:rsidR="00C10469" w:rsidRDefault="00C10469" w:rsidP="00C10469">
      <w:pPr>
        <w:ind w:left="706" w:hanging="357"/>
        <w:rPr>
          <w:rtl/>
        </w:rPr>
      </w:pPr>
      <w:r>
        <w:rPr>
          <w:rFonts w:hint="cs"/>
          <w:rtl/>
        </w:rPr>
        <w:t xml:space="preserve">    </w:t>
      </w:r>
      <w:r>
        <w:rPr>
          <w:rFonts w:hint="eastAsia"/>
          <w:rtl/>
        </w:rPr>
        <w:t>فالشيوع</w:t>
      </w:r>
      <w:r>
        <w:rPr>
          <w:rtl/>
        </w:rPr>
        <w:t xml:space="preserve"> </w:t>
      </w:r>
      <w:r>
        <w:rPr>
          <w:rFonts w:hint="eastAsia"/>
          <w:rtl/>
        </w:rPr>
        <w:t>الطارئ</w:t>
      </w:r>
      <w:r>
        <w:rPr>
          <w:rtl/>
        </w:rPr>
        <w:t xml:space="preserve"> لا يمنع بقاء الهبة</w:t>
      </w:r>
      <w:r>
        <w:rPr>
          <w:vertAlign w:val="superscript"/>
          <w:rtl/>
        </w:rPr>
        <w:t>(</w:t>
      </w:r>
      <w:r>
        <w:rPr>
          <w:rStyle w:val="a7"/>
          <w:rtl/>
        </w:rPr>
        <w:footnoteReference w:id="1391"/>
      </w:r>
      <w:r>
        <w:rPr>
          <w:vertAlign w:val="superscript"/>
          <w:rtl/>
        </w:rPr>
        <w:t>)</w:t>
      </w:r>
      <w:r>
        <w:rPr>
          <w:rtl/>
        </w:rPr>
        <w:t>.</w:t>
      </w:r>
    </w:p>
    <w:p w:rsidR="00C10469" w:rsidRDefault="00C10469" w:rsidP="00C10469">
      <w:pPr>
        <w:ind w:left="706" w:hanging="357"/>
        <w:rPr>
          <w:rtl/>
        </w:rPr>
      </w:pPr>
      <w:r>
        <w:rPr>
          <w:rtl/>
        </w:rPr>
        <w:t>•</w:t>
      </w:r>
      <w:r>
        <w:rPr>
          <w:rFonts w:hint="cs"/>
          <w:rtl/>
        </w:rPr>
        <w:t xml:space="preserve">  </w:t>
      </w:r>
      <w:r>
        <w:rPr>
          <w:rFonts w:hint="eastAsia"/>
          <w:rtl/>
        </w:rPr>
        <w:t>«وقال</w:t>
      </w:r>
      <w:r>
        <w:rPr>
          <w:rtl/>
        </w:rPr>
        <w:t xml:space="preserve"> </w:t>
      </w:r>
      <w:r>
        <w:rPr>
          <w:rFonts w:hint="eastAsia"/>
          <w:rtl/>
        </w:rPr>
        <w:t>بعض</w:t>
      </w:r>
      <w:r>
        <w:rPr>
          <w:rtl/>
        </w:rPr>
        <w:t xml:space="preserve"> المشايخ : إذا قُلِّد [الفاسق]</w:t>
      </w:r>
      <w:r>
        <w:rPr>
          <w:rStyle w:val="a7"/>
          <w:rtl/>
        </w:rPr>
        <w:footnoteReference w:id="1392"/>
      </w:r>
      <w:r>
        <w:rPr>
          <w:rtl/>
        </w:rPr>
        <w:t xml:space="preserve"> </w:t>
      </w:r>
      <w:r>
        <w:rPr>
          <w:rFonts w:hint="eastAsia"/>
          <w:rtl/>
        </w:rPr>
        <w:t>قضاء</w:t>
      </w:r>
      <w:r>
        <w:rPr>
          <w:rtl/>
        </w:rPr>
        <w:t xml:space="preserve"> : يصحّ، ولو قلد وهو [عدل]</w:t>
      </w:r>
      <w:r>
        <w:rPr>
          <w:rStyle w:val="a7"/>
          <w:rtl/>
        </w:rPr>
        <w:footnoteReference w:id="1393"/>
      </w:r>
      <w:r>
        <w:rPr>
          <w:rtl/>
        </w:rPr>
        <w:t xml:space="preserve"> </w:t>
      </w:r>
      <w:r>
        <w:rPr>
          <w:rFonts w:hint="eastAsia"/>
          <w:rtl/>
        </w:rPr>
        <w:t>ففسق؛</w:t>
      </w:r>
      <w:r>
        <w:rPr>
          <w:rtl/>
        </w:rPr>
        <w:t xml:space="preserve"> ينعزل به»</w:t>
      </w:r>
      <w:r>
        <w:rPr>
          <w:vertAlign w:val="superscript"/>
          <w:rtl/>
        </w:rPr>
        <w:t>(</w:t>
      </w:r>
      <w:r>
        <w:rPr>
          <w:rStyle w:val="a7"/>
          <w:rtl/>
        </w:rPr>
        <w:footnoteReference w:id="1394"/>
      </w:r>
      <w:r>
        <w:rPr>
          <w:vertAlign w:val="superscript"/>
          <w:rtl/>
        </w:rPr>
        <w:t>)</w:t>
      </w:r>
    </w:p>
    <w:p w:rsidR="00C10469" w:rsidRDefault="00C10469">
      <w:pPr>
        <w:rPr>
          <w:rtl/>
        </w:rPr>
      </w:pPr>
      <w:r>
        <w:rPr>
          <w:rFonts w:hint="eastAsia"/>
          <w:rtl/>
        </w:rPr>
        <w:t>«</w:t>
      </w:r>
      <w:r>
        <w:rPr>
          <w:rFonts w:hint="eastAsia"/>
          <w:b/>
          <w:bCs/>
          <w:rtl/>
        </w:rPr>
        <w:t>واعتُرض</w:t>
      </w:r>
      <w:r>
        <w:rPr>
          <w:rtl/>
        </w:rPr>
        <w:t xml:space="preserve"> : بأن هذا الأصل ينافي </w:t>
      </w:r>
      <w:r>
        <w:rPr>
          <w:rFonts w:hint="eastAsia"/>
          <w:rtl/>
        </w:rPr>
        <w:t>جواز</w:t>
      </w:r>
      <w:r>
        <w:rPr>
          <w:rtl/>
        </w:rPr>
        <w:t xml:space="preserve"> التقليد مع الفسق ابتداءً، والعزل بالفسق الطارئ»</w:t>
      </w:r>
      <w:r>
        <w:rPr>
          <w:vertAlign w:val="superscript"/>
          <w:rtl/>
        </w:rPr>
        <w:t>(</w:t>
      </w:r>
      <w:r>
        <w:rPr>
          <w:rStyle w:val="a7"/>
          <w:rtl/>
        </w:rPr>
        <w:footnoteReference w:id="1395"/>
      </w:r>
      <w:r>
        <w:rPr>
          <w:vertAlign w:val="superscript"/>
          <w:rtl/>
        </w:rPr>
        <w:t>)</w:t>
      </w:r>
      <w:r>
        <w:rPr>
          <w:rFonts w:hint="eastAsia"/>
          <w:rtl/>
        </w:rPr>
        <w:t>؛</w:t>
      </w:r>
      <w:r>
        <w:rPr>
          <w:rtl/>
        </w:rPr>
        <w:t xml:space="preserve"> </w:t>
      </w:r>
      <w:r>
        <w:rPr>
          <w:rFonts w:hint="eastAsia"/>
          <w:rtl/>
        </w:rPr>
        <w:t>لأن</w:t>
      </w:r>
      <w:r>
        <w:rPr>
          <w:rtl/>
        </w:rPr>
        <w:t xml:space="preserve"> الابتداء (وهو التقليد مع الفسق) ههنا أصعب وصح</w:t>
      </w:r>
      <w:r>
        <w:rPr>
          <w:rStyle w:val="a7"/>
          <w:rtl/>
        </w:rPr>
        <w:footnoteReference w:id="1396"/>
      </w:r>
      <w:r>
        <w:rPr>
          <w:rFonts w:hint="eastAsia"/>
          <w:rtl/>
        </w:rPr>
        <w:t>،</w:t>
      </w:r>
      <w:r>
        <w:rPr>
          <w:rStyle w:val="a7"/>
          <w:rtl/>
        </w:rPr>
        <w:footnoteReference w:id="1397"/>
      </w:r>
      <w:r>
        <w:rPr>
          <w:rtl/>
        </w:rPr>
        <w:t xml:space="preserve"> </w:t>
      </w:r>
      <w:r>
        <w:rPr>
          <w:rFonts w:hint="eastAsia"/>
          <w:rtl/>
        </w:rPr>
        <w:t>والبقاء</w:t>
      </w:r>
      <w:r>
        <w:rPr>
          <w:rtl/>
        </w:rPr>
        <w:t xml:space="preserve"> (وهو التقرير على القضاء) أسهل منه ولم يبق.</w:t>
      </w:r>
    </w:p>
    <w:p w:rsidR="00C10469" w:rsidRDefault="00C10469">
      <w:pPr>
        <w:rPr>
          <w:rtl/>
        </w:rPr>
      </w:pPr>
      <w:r>
        <w:rPr>
          <w:rFonts w:hint="eastAsia"/>
          <w:b/>
          <w:bCs/>
          <w:rtl/>
        </w:rPr>
        <w:lastRenderedPageBreak/>
        <w:t>أجيب</w:t>
      </w:r>
      <w:r>
        <w:rPr>
          <w:rtl/>
        </w:rPr>
        <w:t xml:space="preserve"> </w:t>
      </w:r>
      <w:r>
        <w:rPr>
          <w:rFonts w:hint="eastAsia"/>
          <w:rtl/>
        </w:rPr>
        <w:t>عنه</w:t>
      </w:r>
      <w:r>
        <w:rPr>
          <w:rtl/>
        </w:rPr>
        <w:t xml:space="preserve"> : بأن التقليد مع العدل</w:t>
      </w:r>
      <w:r>
        <w:rPr>
          <w:vertAlign w:val="superscript"/>
          <w:rtl/>
        </w:rPr>
        <w:t>(</w:t>
      </w:r>
      <w:r>
        <w:rPr>
          <w:rStyle w:val="a7"/>
          <w:rtl/>
        </w:rPr>
        <w:footnoteReference w:id="1398"/>
      </w:r>
      <w:r>
        <w:rPr>
          <w:vertAlign w:val="superscript"/>
          <w:rtl/>
        </w:rPr>
        <w:t>)</w:t>
      </w:r>
      <w:r>
        <w:rPr>
          <w:rtl/>
        </w:rPr>
        <w:t xml:space="preserve"> </w:t>
      </w:r>
      <w:r>
        <w:rPr>
          <w:rFonts w:hint="eastAsia"/>
          <w:rtl/>
        </w:rPr>
        <w:t>يتضَّمن</w:t>
      </w:r>
      <w:r>
        <w:rPr>
          <w:rtl/>
        </w:rPr>
        <w:t xml:space="preserve"> شرط</w:t>
      </w:r>
      <w:r>
        <w:rPr>
          <w:rStyle w:val="a7"/>
          <w:rtl/>
        </w:rPr>
        <w:footnoteReference w:id="1399"/>
      </w:r>
      <w:r>
        <w:rPr>
          <w:rtl/>
        </w:rPr>
        <w:t xml:space="preserve"> </w:t>
      </w:r>
      <w:r>
        <w:rPr>
          <w:rFonts w:hint="eastAsia"/>
          <w:rtl/>
        </w:rPr>
        <w:t>العدالة،</w:t>
      </w:r>
      <w:r>
        <w:rPr>
          <w:rtl/>
        </w:rPr>
        <w:t xml:space="preserve"> فكأن</w:t>
      </w:r>
      <w:r>
        <w:rPr>
          <w:rFonts w:hint="cs"/>
          <w:rtl/>
        </w:rPr>
        <w:t>َّ</w:t>
      </w:r>
      <w:r>
        <w:rPr>
          <w:rtl/>
        </w:rPr>
        <w:t>ه</w:t>
      </w:r>
      <w:r>
        <w:rPr>
          <w:rFonts w:hint="cs"/>
          <w:rtl/>
        </w:rPr>
        <w:t>ُ</w:t>
      </w:r>
      <w:r>
        <w:rPr>
          <w:rtl/>
        </w:rPr>
        <w:t xml:space="preserve"> كان معلقًا بالشرط، و«المعلّق بالشرط</w:t>
      </w:r>
      <w:r>
        <w:rPr>
          <w:rStyle w:val="a7"/>
          <w:rtl/>
        </w:rPr>
        <w:footnoteReference w:id="1400"/>
      </w:r>
      <w:r>
        <w:rPr>
          <w:rtl/>
        </w:rPr>
        <w:t xml:space="preserve"> </w:t>
      </w:r>
      <w:r>
        <w:rPr>
          <w:rFonts w:hint="eastAsia"/>
          <w:rtl/>
        </w:rPr>
        <w:t>ينتفي</w:t>
      </w:r>
      <w:r>
        <w:rPr>
          <w:rtl/>
        </w:rPr>
        <w:t xml:space="preserve"> بانتفائه»</w:t>
      </w:r>
      <w:r>
        <w:rPr>
          <w:vertAlign w:val="superscript"/>
          <w:rtl/>
        </w:rPr>
        <w:t>(</w:t>
      </w:r>
      <w:r>
        <w:rPr>
          <w:rStyle w:val="a7"/>
          <w:rtl/>
        </w:rPr>
        <w:footnoteReference w:id="1401"/>
      </w:r>
      <w:r>
        <w:rPr>
          <w:vertAlign w:val="superscript"/>
          <w:rtl/>
        </w:rPr>
        <w:t>)(</w:t>
      </w:r>
      <w:r>
        <w:rPr>
          <w:rStyle w:val="a7"/>
          <w:rtl/>
        </w:rPr>
        <w:footnoteReference w:id="1402"/>
      </w:r>
      <w:r>
        <w:rPr>
          <w:vertAlign w:val="superscript"/>
          <w:rtl/>
        </w:rPr>
        <w:t>)</w:t>
      </w:r>
      <w:r>
        <w:rPr>
          <w:rtl/>
        </w:rPr>
        <w:t>.</w:t>
      </w:r>
    </w:p>
    <w:p w:rsidR="00C10469" w:rsidRDefault="00C10469">
      <w:pPr>
        <w:rPr>
          <w:rtl/>
        </w:rPr>
      </w:pPr>
      <w:r>
        <w:rPr>
          <w:rFonts w:hint="eastAsia"/>
          <w:rtl/>
        </w:rPr>
        <w:t>كذا</w:t>
      </w:r>
      <w:r>
        <w:rPr>
          <w:rtl/>
        </w:rPr>
        <w:t xml:space="preserve"> في (العناية).</w:t>
      </w:r>
      <w:r>
        <w:rPr>
          <w:vertAlign w:val="superscript"/>
          <w:rtl/>
        </w:rPr>
        <w:t>(</w:t>
      </w:r>
      <w:r>
        <w:rPr>
          <w:rStyle w:val="a7"/>
          <w:rtl/>
        </w:rPr>
        <w:footnoteReference w:id="1403"/>
      </w:r>
      <w:r>
        <w:rPr>
          <w:vertAlign w:val="superscript"/>
          <w:rtl/>
        </w:rPr>
        <w:t>)</w:t>
      </w:r>
      <w:r>
        <w:rPr>
          <w:rtl/>
        </w:rPr>
        <w:t xml:space="preserve"> </w:t>
      </w:r>
    </w:p>
    <w:p w:rsidR="00C10469" w:rsidRDefault="00C10469">
      <w:pPr>
        <w:rPr>
          <w:rtl/>
        </w:rPr>
      </w:pPr>
    </w:p>
    <w:p w:rsidR="00C10469" w:rsidRDefault="00C10469">
      <w:pPr>
        <w:rPr>
          <w:rtl/>
        </w:rPr>
      </w:pPr>
    </w:p>
    <w:p w:rsidR="00C10469" w:rsidRDefault="00C10469" w:rsidP="00C10469">
      <w:pPr>
        <w:jc w:val="center"/>
        <w:rPr>
          <w:rFonts w:ascii="AGA Arabesque" w:hAnsi="AGA Arabesque"/>
          <w:sz w:val="50"/>
          <w:szCs w:val="50"/>
        </w:rPr>
        <w:sectPr w:rsidR="00C10469" w:rsidSect="00C10469">
          <w:headerReference w:type="default" r:id="rId11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280292" w:rsidRDefault="00C10469">
      <w:pPr>
        <w:pStyle w:val="a9"/>
        <w:rPr>
          <w:rFonts w:cs="AL-Mateen"/>
        </w:rPr>
      </w:pPr>
      <w:r w:rsidRPr="00280292">
        <w:rPr>
          <w:rFonts w:cs="AL-Mateen"/>
          <w:rtl/>
        </w:rPr>
        <w:lastRenderedPageBreak/>
        <w:t xml:space="preserve">[ </w:t>
      </w:r>
      <w:r w:rsidRPr="00280292">
        <w:rPr>
          <w:rFonts w:cs="AL-Mateen" w:hint="eastAsia"/>
          <w:rtl/>
        </w:rPr>
        <w:t>القـاعـدة</w:t>
      </w:r>
      <w:r w:rsidRPr="00280292">
        <w:rPr>
          <w:rFonts w:cs="AL-Mateen"/>
          <w:rtl/>
        </w:rPr>
        <w:t xml:space="preserve"> الـخـامـسـة والـخمسـون ]</w:t>
      </w:r>
    </w:p>
    <w:p w:rsidR="00C10469" w:rsidRDefault="00C10469" w:rsidP="00C10469">
      <w:pPr>
        <w:spacing w:line="216" w:lineRule="auto"/>
        <w:rPr>
          <w:b/>
          <w:bCs/>
          <w:rtl/>
        </w:rPr>
      </w:pPr>
      <w:r>
        <w:rPr>
          <w:rFonts w:cs="Monotype Koufi" w:hint="eastAsia"/>
          <w:rtl/>
        </w:rPr>
        <w:t>بقاء</w:t>
      </w:r>
      <w:r>
        <w:rPr>
          <w:rFonts w:cs="Monotype Koufi" w:hint="cs"/>
          <w:rtl/>
        </w:rPr>
        <w:t>ُ</w:t>
      </w:r>
      <w:r>
        <w:rPr>
          <w:rFonts w:cs="Monotype Koufi"/>
          <w:rtl/>
        </w:rPr>
        <w:t xml:space="preserve"> الش</w:t>
      </w:r>
      <w:r>
        <w:rPr>
          <w:rFonts w:cs="Monotype Koufi" w:hint="cs"/>
          <w:rtl/>
        </w:rPr>
        <w:t>َّ</w:t>
      </w:r>
      <w:r>
        <w:rPr>
          <w:rFonts w:cs="Monotype Koufi"/>
          <w:rtl/>
        </w:rPr>
        <w:t>ي</w:t>
      </w:r>
      <w:r>
        <w:rPr>
          <w:rFonts w:cs="Monotype Koufi" w:hint="cs"/>
          <w:rtl/>
        </w:rPr>
        <w:t>ْ</w:t>
      </w:r>
      <w:r>
        <w:rPr>
          <w:rFonts w:cs="Monotype Koufi"/>
          <w:rtl/>
        </w:rPr>
        <w:t>ء</w:t>
      </w:r>
      <w:r>
        <w:rPr>
          <w:rFonts w:cs="Monotype Koufi" w:hint="cs"/>
          <w:rtl/>
        </w:rPr>
        <w:t>ِ</w:t>
      </w:r>
      <w:r>
        <w:rPr>
          <w:rFonts w:cs="Monotype Koufi"/>
          <w:rtl/>
        </w:rPr>
        <w:t xml:space="preserve"> الواحد</w:t>
      </w:r>
      <w:r>
        <w:rPr>
          <w:rFonts w:cs="Monotype Koufi" w:hint="cs"/>
          <w:rtl/>
        </w:rPr>
        <w:t>ِ</w:t>
      </w:r>
      <w:r>
        <w:rPr>
          <w:rFonts w:cs="Monotype Koufi"/>
          <w:rtl/>
        </w:rPr>
        <w:t xml:space="preserve"> ف</w:t>
      </w:r>
      <w:r>
        <w:rPr>
          <w:rFonts w:cs="Monotype Koufi" w:hint="cs"/>
          <w:rtl/>
        </w:rPr>
        <w:t>ِ</w:t>
      </w:r>
      <w:r>
        <w:rPr>
          <w:rFonts w:cs="Monotype Koufi"/>
          <w:rtl/>
        </w:rPr>
        <w:t xml:space="preserve">ي </w:t>
      </w:r>
      <w:r>
        <w:rPr>
          <w:rFonts w:cs="Monotype Koufi" w:hint="eastAsia"/>
          <w:rtl/>
        </w:rPr>
        <w:t>المحل</w:t>
      </w:r>
      <w:r>
        <w:rPr>
          <w:rFonts w:cs="Monotype Koufi" w:hint="cs"/>
          <w:rtl/>
        </w:rPr>
        <w:t>َّ</w:t>
      </w:r>
      <w:r>
        <w:rPr>
          <w:rFonts w:cs="Monotype Koufi" w:hint="eastAsia"/>
          <w:rtl/>
        </w:rPr>
        <w:t>ي</w:t>
      </w:r>
      <w:r>
        <w:rPr>
          <w:rFonts w:cs="Monotype Koufi" w:hint="cs"/>
          <w:rtl/>
        </w:rPr>
        <w:t>ْ</w:t>
      </w:r>
      <w:r>
        <w:rPr>
          <w:rFonts w:cs="Monotype Koufi" w:hint="eastAsia"/>
          <w:rtl/>
        </w:rPr>
        <w:t>ن</w:t>
      </w:r>
      <w:r>
        <w:rPr>
          <w:rFonts w:cs="Monotype Koufi" w:hint="cs"/>
          <w:rtl/>
        </w:rPr>
        <w:t>ِ</w:t>
      </w:r>
      <w:r>
        <w:rPr>
          <w:rStyle w:val="a7"/>
          <w:b/>
          <w:rtl/>
        </w:rPr>
        <w:footnoteReference w:id="1404"/>
      </w:r>
      <w:r>
        <w:rPr>
          <w:b/>
          <w:bCs/>
          <w:rtl/>
        </w:rPr>
        <w:t xml:space="preserve"> </w:t>
      </w:r>
      <w:r>
        <w:rPr>
          <w:rFonts w:cs="Monotype Koufi" w:hint="eastAsia"/>
          <w:rtl/>
        </w:rPr>
        <w:t>ف</w:t>
      </w:r>
      <w:r>
        <w:rPr>
          <w:rFonts w:cs="Monotype Koufi" w:hint="cs"/>
          <w:rtl/>
        </w:rPr>
        <w:t>ِ</w:t>
      </w:r>
      <w:r>
        <w:rPr>
          <w:rFonts w:cs="Monotype Koufi" w:hint="eastAsia"/>
          <w:rtl/>
        </w:rPr>
        <w:t>ي</w:t>
      </w:r>
      <w:r>
        <w:rPr>
          <w:rFonts w:cs="Monotype Koufi"/>
          <w:rtl/>
        </w:rPr>
        <w:t xml:space="preserve"> ز</w:t>
      </w:r>
      <w:r>
        <w:rPr>
          <w:rFonts w:cs="Monotype Koufi" w:hint="cs"/>
          <w:rtl/>
        </w:rPr>
        <w:t>َ</w:t>
      </w:r>
      <w:r>
        <w:rPr>
          <w:rFonts w:cs="Monotype Koufi"/>
          <w:rtl/>
        </w:rPr>
        <w:t>م</w:t>
      </w:r>
      <w:r>
        <w:rPr>
          <w:rFonts w:cs="Monotype Koufi" w:hint="cs"/>
          <w:rtl/>
        </w:rPr>
        <w:t>َ</w:t>
      </w:r>
      <w:r>
        <w:rPr>
          <w:rFonts w:cs="Monotype Koufi"/>
          <w:rtl/>
        </w:rPr>
        <w:t>ان</w:t>
      </w:r>
      <w:r>
        <w:rPr>
          <w:rFonts w:cs="Monotype Koufi" w:hint="cs"/>
          <w:rtl/>
        </w:rPr>
        <w:t>ٍ</w:t>
      </w:r>
      <w:r>
        <w:rPr>
          <w:rFonts w:cs="Monotype Koufi"/>
          <w:rtl/>
        </w:rPr>
        <w:t xml:space="preserve"> واحد</w:t>
      </w:r>
      <w:r>
        <w:rPr>
          <w:rFonts w:cs="Monotype Koufi" w:hint="cs"/>
          <w:rtl/>
        </w:rPr>
        <w:t>ٍ</w:t>
      </w:r>
      <w:r>
        <w:rPr>
          <w:rStyle w:val="a7"/>
          <w:b/>
          <w:rtl/>
        </w:rPr>
        <w:footnoteReference w:id="1405"/>
      </w:r>
      <w:r>
        <w:rPr>
          <w:b/>
          <w:bCs/>
          <w:rtl/>
        </w:rPr>
        <w:t xml:space="preserve"> </w:t>
      </w:r>
      <w:r>
        <w:rPr>
          <w:rFonts w:cs="Monotype Koufi" w:hint="eastAsia"/>
          <w:rtl/>
        </w:rPr>
        <w:t>م</w:t>
      </w:r>
      <w:r>
        <w:rPr>
          <w:rFonts w:cs="Monotype Koufi" w:hint="cs"/>
          <w:rtl/>
        </w:rPr>
        <w:t>ُ</w:t>
      </w:r>
      <w:r>
        <w:rPr>
          <w:rFonts w:cs="Monotype Koufi" w:hint="eastAsia"/>
          <w:rtl/>
        </w:rPr>
        <w:t>ح</w:t>
      </w:r>
      <w:r>
        <w:rPr>
          <w:rFonts w:cs="Monotype Koufi" w:hint="cs"/>
          <w:rtl/>
        </w:rPr>
        <w:t>َ</w:t>
      </w:r>
      <w:r>
        <w:rPr>
          <w:rFonts w:cs="Monotype Koufi" w:hint="eastAsia"/>
          <w:rtl/>
        </w:rPr>
        <w:t>ال</w:t>
      </w:r>
      <w:r>
        <w:rPr>
          <w:rFonts w:cs="Monotype Koufi" w:hint="cs"/>
          <w:rtl/>
        </w:rPr>
        <w:t>ٌ</w:t>
      </w:r>
      <w:r>
        <w:rPr>
          <w:b/>
          <w:bCs/>
          <w:vertAlign w:val="superscript"/>
          <w:rtl/>
        </w:rPr>
        <w:t>(</w:t>
      </w:r>
      <w:r>
        <w:rPr>
          <w:rStyle w:val="a7"/>
          <w:b/>
          <w:rtl/>
        </w:rPr>
        <w:footnoteReference w:id="1406"/>
      </w:r>
      <w:r>
        <w:rPr>
          <w:b/>
          <w:bCs/>
          <w:vertAlign w:val="superscript"/>
          <w:rtl/>
        </w:rPr>
        <w:t>)</w:t>
      </w:r>
      <w:r>
        <w:rPr>
          <w:b/>
          <w:bCs/>
          <w:rtl/>
        </w:rPr>
        <w:t xml:space="preserve"> :</w:t>
      </w:r>
    </w:p>
    <w:p w:rsidR="00C10469" w:rsidRDefault="00C10469" w:rsidP="00C10469">
      <w:pPr>
        <w:spacing w:line="216" w:lineRule="auto"/>
        <w:rPr>
          <w:rtl/>
        </w:rPr>
        <w:sectPr w:rsidR="00C10469" w:rsidSect="00C10469">
          <w:headerReference w:type="default" r:id="rId112"/>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eastAsia"/>
          <w:b/>
          <w:bCs/>
          <w:rtl/>
        </w:rPr>
        <w:t>ولذا</w:t>
      </w:r>
      <w:r>
        <w:rPr>
          <w:rtl/>
        </w:rPr>
        <w:t xml:space="preserve"> : «إذا تمَّت الحوالة [برئ]</w:t>
      </w:r>
      <w:r>
        <w:rPr>
          <w:rStyle w:val="a7"/>
          <w:rtl/>
        </w:rPr>
        <w:footnoteReference w:id="1407"/>
      </w:r>
      <w:r>
        <w:rPr>
          <w:rtl/>
        </w:rPr>
        <w:t xml:space="preserve"> </w:t>
      </w:r>
      <w:r>
        <w:rPr>
          <w:rFonts w:hint="eastAsia"/>
          <w:rtl/>
        </w:rPr>
        <w:t>المحيلُ</w:t>
      </w:r>
      <w:r>
        <w:rPr>
          <w:rtl/>
        </w:rPr>
        <w:t xml:space="preserve"> عن الدين بقبول المحتال والمحتال عليه</w:t>
      </w:r>
      <w:r>
        <w:rPr>
          <w:vertAlign w:val="superscript"/>
          <w:rtl/>
        </w:rPr>
        <w:t>(</w:t>
      </w:r>
      <w:r>
        <w:rPr>
          <w:rStyle w:val="a7"/>
          <w:rtl/>
        </w:rPr>
        <w:footnoteReference w:id="1408"/>
      </w:r>
      <w:r>
        <w:rPr>
          <w:vertAlign w:val="superscript"/>
          <w:rtl/>
        </w:rPr>
        <w:t>)</w:t>
      </w:r>
      <w:r>
        <w:rPr>
          <w:rStyle w:val="a7"/>
          <w:rtl/>
        </w:rPr>
        <w:footnoteReference w:id="1409"/>
      </w:r>
      <w:r>
        <w:rPr>
          <w:rFonts w:hint="eastAsia"/>
          <w:rtl/>
        </w:rPr>
        <w:t>؛</w:t>
      </w:r>
      <w:r>
        <w:rPr>
          <w:rtl/>
        </w:rPr>
        <w:t xml:space="preserve"> </w:t>
      </w:r>
      <w:r>
        <w:rPr>
          <w:rFonts w:hint="eastAsia"/>
          <w:rtl/>
        </w:rPr>
        <w:t>لأن</w:t>
      </w:r>
      <w:r>
        <w:rPr>
          <w:rtl/>
        </w:rPr>
        <w:t xml:space="preserve"> معنى الحوالة : النقل،</w:t>
      </w:r>
      <w:r>
        <w:rPr>
          <w:vertAlign w:val="superscript"/>
          <w:rtl/>
        </w:rPr>
        <w:t>(</w:t>
      </w:r>
      <w:r>
        <w:rPr>
          <w:rStyle w:val="a7"/>
          <w:rtl/>
        </w:rPr>
        <w:footnoteReference w:id="1410"/>
      </w:r>
      <w:r>
        <w:rPr>
          <w:vertAlign w:val="superscript"/>
          <w:rtl/>
        </w:rPr>
        <w:t>)</w:t>
      </w:r>
      <w:r>
        <w:rPr>
          <w:rtl/>
        </w:rPr>
        <w:t xml:space="preserve"> </w:t>
      </w:r>
      <w:r>
        <w:rPr>
          <w:rFonts w:hint="eastAsia"/>
          <w:rtl/>
        </w:rPr>
        <w:t>وهـو</w:t>
      </w:r>
      <w:r>
        <w:rPr>
          <w:rtl/>
        </w:rPr>
        <w:t xml:space="preserve"> [يقتضي]</w:t>
      </w:r>
      <w:r>
        <w:rPr>
          <w:rStyle w:val="a7"/>
          <w:rtl/>
        </w:rPr>
        <w:footnoteReference w:id="1411"/>
      </w:r>
      <w:r>
        <w:rPr>
          <w:rtl/>
        </w:rPr>
        <w:t xml:space="preserve"> </w:t>
      </w:r>
      <w:r>
        <w:rPr>
          <w:rFonts w:hint="eastAsia"/>
          <w:rtl/>
        </w:rPr>
        <w:t>فراغَ</w:t>
      </w:r>
      <w:r>
        <w:rPr>
          <w:rtl/>
        </w:rPr>
        <w:t xml:space="preserve"> ذمّة الأصل</w:t>
      </w:r>
      <w:r>
        <w:rPr>
          <w:rStyle w:val="a7"/>
          <w:rtl/>
        </w:rPr>
        <w:footnoteReference w:id="1412"/>
      </w:r>
      <w:r>
        <w:rPr>
          <w:rFonts w:hint="cs"/>
          <w:rtl/>
        </w:rPr>
        <w:t>؛</w:t>
      </w:r>
      <w:r>
        <w:rPr>
          <w:rtl/>
        </w:rPr>
        <w:t xml:space="preserve"> </w:t>
      </w:r>
      <w:r>
        <w:rPr>
          <w:rFonts w:hint="eastAsia"/>
          <w:rtl/>
        </w:rPr>
        <w:t>لئلا</w:t>
      </w:r>
      <w:r>
        <w:rPr>
          <w:rtl/>
        </w:rPr>
        <w:t xml:space="preserve"> يلزم بقاء الشيء في المحلين في زمان واحد»</w:t>
      </w:r>
      <w:r>
        <w:rPr>
          <w:vertAlign w:val="superscript"/>
          <w:rtl/>
        </w:rPr>
        <w:t>(</w:t>
      </w:r>
      <w:r>
        <w:rPr>
          <w:rStyle w:val="a7"/>
          <w:rtl/>
        </w:rPr>
        <w:footnoteReference w:id="1413"/>
      </w:r>
      <w:r>
        <w:rPr>
          <w:vertAlign w:val="superscript"/>
          <w:rtl/>
        </w:rPr>
        <w:t>)</w:t>
      </w:r>
      <w:r>
        <w:rPr>
          <w:rtl/>
        </w:rPr>
        <w:t>.</w:t>
      </w:r>
    </w:p>
    <w:p w:rsidR="00C10469" w:rsidRPr="00FB27B5" w:rsidRDefault="00C10469">
      <w:pPr>
        <w:pStyle w:val="a9"/>
        <w:rPr>
          <w:rFonts w:cs="AL-Mateen"/>
          <w:rtl/>
        </w:rPr>
      </w:pPr>
      <w:r w:rsidRPr="00FB27B5">
        <w:rPr>
          <w:rFonts w:cs="AL-Mateen"/>
          <w:rtl/>
        </w:rPr>
        <w:lastRenderedPageBreak/>
        <w:t>[ القـاعدة السـادسـة والخمـسـون ]</w:t>
      </w:r>
    </w:p>
    <w:p w:rsidR="00C10469" w:rsidRDefault="00C10469">
      <w:pPr>
        <w:rPr>
          <w:b/>
          <w:bCs/>
          <w:rtl/>
        </w:rPr>
      </w:pPr>
      <w:r>
        <w:rPr>
          <w:rFonts w:cs="Monotype Koufi" w:hint="eastAsia"/>
          <w:rtl/>
        </w:rPr>
        <w:t>ب</w:t>
      </w:r>
      <w:r>
        <w:rPr>
          <w:rFonts w:cs="Monotype Koufi" w:hint="cs"/>
          <w:rtl/>
        </w:rPr>
        <w:t>ِ</w:t>
      </w:r>
      <w:r>
        <w:rPr>
          <w:rFonts w:cs="Monotype Koufi" w:hint="eastAsia"/>
          <w:rtl/>
        </w:rPr>
        <w:t>ن</w:t>
      </w:r>
      <w:r>
        <w:rPr>
          <w:rFonts w:cs="Monotype Koufi" w:hint="cs"/>
          <w:rtl/>
        </w:rPr>
        <w:t>َ</w:t>
      </w:r>
      <w:r>
        <w:rPr>
          <w:rFonts w:cs="Monotype Koufi" w:hint="eastAsia"/>
          <w:rtl/>
        </w:rPr>
        <w:t>اء</w:t>
      </w:r>
      <w:r>
        <w:rPr>
          <w:rFonts w:cs="Monotype Koufi" w:hint="cs"/>
          <w:rtl/>
        </w:rPr>
        <w:t>ُ</w:t>
      </w:r>
      <w:r>
        <w:rPr>
          <w:rFonts w:cs="Monotype Koufi"/>
          <w:rtl/>
        </w:rPr>
        <w:t xml:space="preserve"> الق</w:t>
      </w:r>
      <w:r>
        <w:rPr>
          <w:rFonts w:cs="Monotype Koufi" w:hint="cs"/>
          <w:rtl/>
        </w:rPr>
        <w:t>َ</w:t>
      </w:r>
      <w:r>
        <w:rPr>
          <w:rFonts w:cs="Monotype Koufi"/>
          <w:rtl/>
        </w:rPr>
        <w:t>و</w:t>
      </w:r>
      <w:r>
        <w:rPr>
          <w:rFonts w:cs="Monotype Koufi" w:hint="cs"/>
          <w:rtl/>
        </w:rPr>
        <w:t>ِ</w:t>
      </w:r>
      <w:r>
        <w:rPr>
          <w:rFonts w:cs="Monotype Koufi"/>
          <w:rtl/>
        </w:rPr>
        <w:t>يّ</w:t>
      </w:r>
      <w:r>
        <w:rPr>
          <w:rFonts w:cs="Monotype Koufi" w:hint="cs"/>
          <w:rtl/>
        </w:rPr>
        <w:t>ِ</w:t>
      </w:r>
      <w:r>
        <w:rPr>
          <w:rFonts w:cs="Monotype Koufi"/>
          <w:rtl/>
        </w:rPr>
        <w:t xml:space="preserve"> على </w:t>
      </w:r>
      <w:r>
        <w:rPr>
          <w:rFonts w:cs="Monotype Koufi" w:hint="eastAsia"/>
          <w:rtl/>
        </w:rPr>
        <w:t>الض</w:t>
      </w:r>
      <w:r>
        <w:rPr>
          <w:rFonts w:cs="Monotype Koufi" w:hint="cs"/>
          <w:rtl/>
        </w:rPr>
        <w:t>َّ</w:t>
      </w:r>
      <w:r>
        <w:rPr>
          <w:rFonts w:cs="Monotype Koufi" w:hint="eastAsia"/>
          <w:rtl/>
        </w:rPr>
        <w:t>ع</w:t>
      </w:r>
      <w:r>
        <w:rPr>
          <w:rFonts w:cs="Monotype Koufi" w:hint="cs"/>
          <w:rtl/>
        </w:rPr>
        <w:t>ِ</w:t>
      </w:r>
      <w:r>
        <w:rPr>
          <w:rFonts w:cs="Monotype Koufi" w:hint="eastAsia"/>
          <w:rtl/>
        </w:rPr>
        <w:t>ي</w:t>
      </w:r>
      <w:r>
        <w:rPr>
          <w:rFonts w:cs="Monotype Koufi" w:hint="cs"/>
          <w:rtl/>
        </w:rPr>
        <w:t>ْ</w:t>
      </w:r>
      <w:r>
        <w:rPr>
          <w:rFonts w:cs="Monotype Koufi" w:hint="eastAsia"/>
          <w:rtl/>
        </w:rPr>
        <w:t>ف</w:t>
      </w:r>
      <w:r>
        <w:rPr>
          <w:rFonts w:cs="Monotype Koufi" w:hint="cs"/>
          <w:rtl/>
        </w:rPr>
        <w:t>ِ</w:t>
      </w:r>
      <w:r>
        <w:rPr>
          <w:rFonts w:cs="Monotype Koufi"/>
          <w:rtl/>
        </w:rPr>
        <w:t xml:space="preserve"> ف</w:t>
      </w:r>
      <w:r>
        <w:rPr>
          <w:rFonts w:cs="Monotype Koufi" w:hint="cs"/>
          <w:rtl/>
        </w:rPr>
        <w:t>َ</w:t>
      </w:r>
      <w:r>
        <w:rPr>
          <w:rFonts w:cs="Monotype Koufi"/>
          <w:rtl/>
        </w:rPr>
        <w:t>اس</w:t>
      </w:r>
      <w:r>
        <w:rPr>
          <w:rFonts w:cs="Monotype Koufi" w:hint="cs"/>
          <w:rtl/>
        </w:rPr>
        <w:t>ِ</w:t>
      </w:r>
      <w:r>
        <w:rPr>
          <w:rFonts w:cs="Monotype Koufi"/>
          <w:rtl/>
        </w:rPr>
        <w:t>د</w:t>
      </w:r>
      <w:r>
        <w:rPr>
          <w:rFonts w:cs="Monotype Koufi" w:hint="cs"/>
          <w:rtl/>
        </w:rPr>
        <w:t>ٌ</w:t>
      </w:r>
      <w:r>
        <w:rPr>
          <w:vertAlign w:val="superscript"/>
          <w:rtl/>
        </w:rPr>
        <w:t>(</w:t>
      </w:r>
      <w:r>
        <w:rPr>
          <w:rStyle w:val="a7"/>
          <w:rtl/>
        </w:rPr>
        <w:footnoteReference w:id="1414"/>
      </w:r>
      <w:r>
        <w:rPr>
          <w:vertAlign w:val="superscript"/>
          <w:rtl/>
        </w:rPr>
        <w:t>)</w:t>
      </w:r>
      <w:r>
        <w:rPr>
          <w:b/>
          <w:bCs/>
          <w:rtl/>
        </w:rPr>
        <w:t xml:space="preserve"> :</w:t>
      </w:r>
    </w:p>
    <w:p w:rsidR="00C10469" w:rsidRDefault="00C10469">
      <w:pPr>
        <w:rPr>
          <w:rtl/>
        </w:rPr>
      </w:pPr>
      <w:r>
        <w:rPr>
          <w:rFonts w:hint="eastAsia"/>
          <w:rtl/>
        </w:rPr>
        <w:lastRenderedPageBreak/>
        <w:t>فإذا</w:t>
      </w:r>
      <w:r>
        <w:rPr>
          <w:rtl/>
        </w:rPr>
        <w:t xml:space="preserve"> شرع المسافر في الصلاة بلا تحرّي </w:t>
      </w:r>
      <w:r>
        <w:rPr>
          <w:rFonts w:hint="eastAsia"/>
          <w:rtl/>
        </w:rPr>
        <w:t>القبلة</w:t>
      </w:r>
      <w:r>
        <w:rPr>
          <w:rtl/>
        </w:rPr>
        <w:t xml:space="preserve"> : فسدت صلاته، وإن علم فيها إصابته؛ لأن حاله</w:t>
      </w:r>
      <w:r>
        <w:rPr>
          <w:rStyle w:val="a7"/>
          <w:rtl/>
        </w:rPr>
        <w:footnoteReference w:id="1415"/>
      </w:r>
      <w:r>
        <w:rPr>
          <w:rtl/>
        </w:rPr>
        <w:t xml:space="preserve"> </w:t>
      </w:r>
      <w:r>
        <w:rPr>
          <w:rFonts w:hint="eastAsia"/>
          <w:rtl/>
        </w:rPr>
        <w:t>بعد</w:t>
      </w:r>
      <w:r>
        <w:rPr>
          <w:rtl/>
        </w:rPr>
        <w:t xml:space="preserve"> العلم أقوى من قبله، فلا يجوز</w:t>
      </w:r>
      <w:r>
        <w:rPr>
          <w:vertAlign w:val="superscript"/>
          <w:rtl/>
        </w:rPr>
        <w:t>(</w:t>
      </w:r>
      <w:r>
        <w:rPr>
          <w:rStyle w:val="a7"/>
          <w:rtl/>
        </w:rPr>
        <w:footnoteReference w:id="1416"/>
      </w:r>
      <w:r>
        <w:rPr>
          <w:vertAlign w:val="superscript"/>
          <w:rtl/>
        </w:rPr>
        <w:t>)</w:t>
      </w:r>
      <w:r>
        <w:rPr>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rFonts w:ascii="AGA Arabesque" w:hAnsi="AGA Arabesque"/>
          <w:sz w:val="50"/>
          <w:szCs w:val="50"/>
        </w:rPr>
      </w:pPr>
    </w:p>
    <w:p w:rsidR="00C10469" w:rsidRDefault="00C10469">
      <w:pPr>
        <w:jc w:val="center"/>
        <w:rPr>
          <w:rFonts w:ascii="AGA Arabesque" w:hAnsi="AGA Arabesque"/>
          <w:sz w:val="50"/>
          <w:szCs w:val="50"/>
        </w:rPr>
      </w:pPr>
    </w:p>
    <w:p w:rsidR="00C10469" w:rsidRDefault="00C10469">
      <w:pPr>
        <w:jc w:val="center"/>
        <w:rPr>
          <w:rFonts w:ascii="AGA Arabesque" w:hAnsi="AGA Arabesque"/>
          <w:sz w:val="50"/>
          <w:szCs w:val="50"/>
        </w:rPr>
      </w:pPr>
    </w:p>
    <w:p w:rsidR="00C10469" w:rsidRDefault="00C10469">
      <w:pPr>
        <w:jc w:val="center"/>
        <w:rPr>
          <w:rFonts w:ascii="AGA Arabesque" w:hAnsi="AGA Arabesque"/>
          <w:sz w:val="50"/>
          <w:szCs w:val="50"/>
        </w:rPr>
      </w:pPr>
    </w:p>
    <w:p w:rsidR="00C10469" w:rsidRDefault="00C10469">
      <w:pPr>
        <w:jc w:val="center"/>
        <w:rPr>
          <w:rFonts w:ascii="AGA Arabesque" w:hAnsi="AGA Arabesque"/>
          <w:sz w:val="50"/>
          <w:szCs w:val="50"/>
        </w:rPr>
      </w:pPr>
    </w:p>
    <w:p w:rsidR="00C10469" w:rsidRDefault="00C10469">
      <w:pPr>
        <w:jc w:val="center"/>
        <w:rPr>
          <w:rtl/>
        </w:rPr>
      </w:pPr>
    </w:p>
    <w:p w:rsidR="00C10469" w:rsidRDefault="00C10469">
      <w:pPr>
        <w:rPr>
          <w:rtl/>
        </w:rPr>
        <w:sectPr w:rsidR="00C10469" w:rsidSect="00C10469">
          <w:headerReference w:type="default" r:id="rId11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Default="00C10469">
      <w:pPr>
        <w:pStyle w:val="a9"/>
        <w:rPr>
          <w:rtl/>
        </w:rPr>
      </w:pPr>
      <w:r>
        <w:rPr>
          <w:rtl/>
        </w:rPr>
        <w:lastRenderedPageBreak/>
        <w:t>[ القـاعدة السـابعة والخمسـون ]</w:t>
      </w:r>
    </w:p>
    <w:p w:rsidR="00C10469" w:rsidRDefault="00C10469">
      <w:pPr>
        <w:rPr>
          <w:b/>
          <w:bCs/>
          <w:rtl/>
        </w:rPr>
      </w:pPr>
      <w:r>
        <w:rPr>
          <w:rFonts w:cs="Monotype Koufi" w:hint="eastAsia"/>
          <w:rtl/>
        </w:rPr>
        <w:t>البيع</w:t>
      </w:r>
      <w:r>
        <w:rPr>
          <w:rFonts w:cs="Monotype Koufi" w:hint="cs"/>
          <w:rtl/>
        </w:rPr>
        <w:t>ُ</w:t>
      </w:r>
      <w:r>
        <w:rPr>
          <w:rFonts w:cs="Monotype Koufi"/>
          <w:rtl/>
        </w:rPr>
        <w:t xml:space="preserve"> س</w:t>
      </w:r>
      <w:r>
        <w:rPr>
          <w:rFonts w:cs="Monotype Koufi" w:hint="cs"/>
          <w:rtl/>
        </w:rPr>
        <w:t>َ</w:t>
      </w:r>
      <w:r>
        <w:rPr>
          <w:rFonts w:cs="Monotype Koufi"/>
          <w:rtl/>
        </w:rPr>
        <w:t>ال</w:t>
      </w:r>
      <w:r>
        <w:rPr>
          <w:rFonts w:cs="Monotype Koufi" w:hint="cs"/>
          <w:rtl/>
        </w:rPr>
        <w:t>ِ</w:t>
      </w:r>
      <w:r>
        <w:rPr>
          <w:rFonts w:cs="Monotype Koufi"/>
          <w:rtl/>
        </w:rPr>
        <w:t>بٌ للم</w:t>
      </w:r>
      <w:r>
        <w:rPr>
          <w:rFonts w:cs="Monotype Koufi" w:hint="cs"/>
          <w:rtl/>
        </w:rPr>
        <w:t>ِ</w:t>
      </w:r>
      <w:r>
        <w:rPr>
          <w:rFonts w:cs="Monotype Koufi"/>
          <w:rtl/>
        </w:rPr>
        <w:t>ل</w:t>
      </w:r>
      <w:r>
        <w:rPr>
          <w:rFonts w:cs="Monotype Koufi" w:hint="cs"/>
          <w:rtl/>
        </w:rPr>
        <w:t>ْ</w:t>
      </w:r>
      <w:r>
        <w:rPr>
          <w:rFonts w:cs="Monotype Koufi"/>
          <w:rtl/>
        </w:rPr>
        <w:t>ك</w:t>
      </w:r>
      <w:r>
        <w:rPr>
          <w:rFonts w:cs="Monotype Koufi" w:hint="cs"/>
          <w:rtl/>
        </w:rPr>
        <w:t>ِ</w:t>
      </w:r>
      <w:r>
        <w:rPr>
          <w:rFonts w:cs="Monotype Koufi"/>
          <w:rtl/>
        </w:rPr>
        <w:t xml:space="preserve">، </w:t>
      </w:r>
      <w:r>
        <w:rPr>
          <w:rFonts w:cs="Monotype Koufi" w:hint="eastAsia"/>
          <w:rtl/>
        </w:rPr>
        <w:t>والش</w:t>
      </w:r>
      <w:r>
        <w:rPr>
          <w:rFonts w:cs="Monotype Koufi" w:hint="cs"/>
          <w:rtl/>
        </w:rPr>
        <w:t>ِّ</w:t>
      </w:r>
      <w:r>
        <w:rPr>
          <w:rFonts w:cs="Monotype Koufi" w:hint="eastAsia"/>
          <w:rtl/>
        </w:rPr>
        <w:t>ر</w:t>
      </w:r>
      <w:r>
        <w:rPr>
          <w:rFonts w:cs="Monotype Koufi" w:hint="cs"/>
          <w:rtl/>
        </w:rPr>
        <w:t>َ</w:t>
      </w:r>
      <w:r>
        <w:rPr>
          <w:rFonts w:cs="Monotype Koufi" w:hint="eastAsia"/>
          <w:rtl/>
        </w:rPr>
        <w:t>اء</w:t>
      </w:r>
      <w:r>
        <w:rPr>
          <w:rFonts w:cs="Monotype Koufi" w:hint="cs"/>
          <w:rtl/>
        </w:rPr>
        <w:t>ُ</w:t>
      </w:r>
      <w:r>
        <w:rPr>
          <w:rFonts w:cs="Monotype Koufi"/>
          <w:rtl/>
        </w:rPr>
        <w:t xml:space="preserve"> ج</w:t>
      </w:r>
      <w:r>
        <w:rPr>
          <w:rFonts w:cs="Monotype Koufi" w:hint="cs"/>
          <w:rtl/>
        </w:rPr>
        <w:t>َ</w:t>
      </w:r>
      <w:r>
        <w:rPr>
          <w:rFonts w:cs="Monotype Koufi"/>
          <w:rtl/>
        </w:rPr>
        <w:t>ال</w:t>
      </w:r>
      <w:r>
        <w:rPr>
          <w:rFonts w:cs="Monotype Koufi" w:hint="cs"/>
          <w:rtl/>
        </w:rPr>
        <w:t>ِ</w:t>
      </w:r>
      <w:r>
        <w:rPr>
          <w:rFonts w:cs="Monotype Koufi"/>
          <w:rtl/>
        </w:rPr>
        <w:t>ب</w:t>
      </w:r>
      <w:r>
        <w:rPr>
          <w:rFonts w:cs="Monotype Koufi" w:hint="cs"/>
          <w:rtl/>
        </w:rPr>
        <w:t>ٌ</w:t>
      </w:r>
      <w:r>
        <w:rPr>
          <w:vertAlign w:val="superscript"/>
          <w:rtl/>
        </w:rPr>
        <w:t>(</w:t>
      </w:r>
      <w:r>
        <w:rPr>
          <w:rStyle w:val="a7"/>
          <w:rtl/>
        </w:rPr>
        <w:footnoteReference w:id="1417"/>
      </w:r>
      <w:r>
        <w:rPr>
          <w:vertAlign w:val="superscript"/>
          <w:rtl/>
        </w:rPr>
        <w:t>)</w:t>
      </w:r>
      <w:r>
        <w:rPr>
          <w:b/>
          <w:bCs/>
          <w:rtl/>
        </w:rPr>
        <w:t xml:space="preserve"> :</w:t>
      </w:r>
    </w:p>
    <w:p w:rsidR="00C10469" w:rsidRDefault="00C10469">
      <w:pPr>
        <w:rPr>
          <w:rtl/>
        </w:rPr>
      </w:pPr>
      <w:r>
        <w:rPr>
          <w:rFonts w:hint="eastAsia"/>
          <w:rtl/>
        </w:rPr>
        <w:t>فمن</w:t>
      </w:r>
      <w:r>
        <w:rPr>
          <w:rtl/>
        </w:rPr>
        <w:t xml:space="preserve"> يعقل العقد على هذا الوجه من </w:t>
      </w:r>
      <w:r>
        <w:rPr>
          <w:rFonts w:hint="eastAsia"/>
          <w:rtl/>
        </w:rPr>
        <w:t>المحجورين</w:t>
      </w:r>
      <w:r>
        <w:rPr>
          <w:rtl/>
        </w:rPr>
        <w:t xml:space="preserve"> : صحّ بيعه</w:t>
      </w:r>
      <w:r>
        <w:rPr>
          <w:rStyle w:val="a7"/>
          <w:rtl/>
        </w:rPr>
        <w:footnoteReference w:id="1418"/>
      </w:r>
      <w:r>
        <w:rPr>
          <w:rtl/>
        </w:rPr>
        <w:t xml:space="preserve"> </w:t>
      </w:r>
      <w:r>
        <w:rPr>
          <w:rFonts w:hint="eastAsia"/>
          <w:rtl/>
        </w:rPr>
        <w:t>وشراؤه</w:t>
      </w:r>
      <w:r>
        <w:rPr>
          <w:rtl/>
        </w:rPr>
        <w:t xml:space="preserve"> موقوفًا، وخُيِّرَ وليّه بين الفسخ والإمضاء</w:t>
      </w:r>
      <w:r>
        <w:rPr>
          <w:vertAlign w:val="superscript"/>
          <w:rtl/>
        </w:rPr>
        <w:t>(</w:t>
      </w:r>
      <w:r>
        <w:rPr>
          <w:rStyle w:val="a7"/>
          <w:rtl/>
        </w:rPr>
        <w:footnoteReference w:id="1419"/>
      </w:r>
      <w:r>
        <w:rPr>
          <w:vertAlign w:val="superscript"/>
          <w:rtl/>
        </w:rPr>
        <w:t>)</w:t>
      </w:r>
      <w:r>
        <w:rPr>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1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F3FDF" w:rsidRDefault="00C10469">
      <w:pPr>
        <w:pStyle w:val="a9"/>
        <w:rPr>
          <w:rFonts w:cs="AL-Mateen"/>
          <w:rtl/>
        </w:rPr>
      </w:pPr>
      <w:r w:rsidRPr="001F3FDF">
        <w:rPr>
          <w:rFonts w:cs="AL-Mateen"/>
          <w:rtl/>
        </w:rPr>
        <w:lastRenderedPageBreak/>
        <w:t>[ القـاعـدة الثـامنـة والخـمـسون ]</w:t>
      </w:r>
    </w:p>
    <w:p w:rsidR="00C10469" w:rsidRDefault="00C10469">
      <w:pPr>
        <w:rPr>
          <w:b/>
          <w:bCs/>
          <w:rtl/>
        </w:rPr>
      </w:pPr>
      <w:r>
        <w:rPr>
          <w:rFonts w:cs="Monotype Koufi" w:hint="eastAsia"/>
          <w:b/>
          <w:rtl/>
        </w:rPr>
        <w:t>بَـيِّـنةُ</w:t>
      </w:r>
      <w:r>
        <w:rPr>
          <w:rFonts w:cs="Monotype Koufi"/>
          <w:b/>
          <w:rtl/>
        </w:rPr>
        <w:t xml:space="preserve"> الن</w:t>
      </w:r>
      <w:r>
        <w:rPr>
          <w:rFonts w:cs="Monotype Koufi" w:hint="cs"/>
          <w:b/>
          <w:rtl/>
        </w:rPr>
        <w:t>َّ</w:t>
      </w:r>
      <w:r>
        <w:rPr>
          <w:rFonts w:cs="Monotype Koufi"/>
          <w:b/>
          <w:rtl/>
        </w:rPr>
        <w:t>ف</w:t>
      </w:r>
      <w:r>
        <w:rPr>
          <w:rFonts w:cs="Monotype Koufi" w:hint="cs"/>
          <w:b/>
          <w:rtl/>
        </w:rPr>
        <w:t>ْ</w:t>
      </w:r>
      <w:r>
        <w:rPr>
          <w:rFonts w:cs="Monotype Koufi"/>
          <w:b/>
          <w:rtl/>
        </w:rPr>
        <w:t>ي</w:t>
      </w:r>
      <w:r>
        <w:rPr>
          <w:rFonts w:cs="Monotype Koufi" w:hint="cs"/>
          <w:b/>
          <w:rtl/>
        </w:rPr>
        <w:t>ِ</w:t>
      </w:r>
      <w:r>
        <w:rPr>
          <w:rFonts w:cs="Monotype Koufi"/>
          <w:b/>
          <w:rtl/>
        </w:rPr>
        <w:t xml:space="preserve"> </w:t>
      </w:r>
      <w:r>
        <w:rPr>
          <w:rFonts w:cs="Monotype Koufi" w:hint="eastAsia"/>
          <w:b/>
          <w:rtl/>
        </w:rPr>
        <w:t>غ</w:t>
      </w:r>
      <w:r>
        <w:rPr>
          <w:rFonts w:cs="Monotype Koufi" w:hint="cs"/>
          <w:b/>
          <w:rtl/>
        </w:rPr>
        <w:t>َ</w:t>
      </w:r>
      <w:r>
        <w:rPr>
          <w:rFonts w:cs="Monotype Koufi" w:hint="eastAsia"/>
          <w:b/>
          <w:rtl/>
        </w:rPr>
        <w:t>ي</w:t>
      </w:r>
      <w:r>
        <w:rPr>
          <w:rFonts w:cs="Monotype Koufi" w:hint="cs"/>
          <w:b/>
          <w:rtl/>
        </w:rPr>
        <w:t>ْ</w:t>
      </w:r>
      <w:r>
        <w:rPr>
          <w:rFonts w:cs="Monotype Koufi" w:hint="eastAsia"/>
          <w:b/>
          <w:rtl/>
        </w:rPr>
        <w:t>ر</w:t>
      </w:r>
      <w:r>
        <w:rPr>
          <w:rFonts w:cs="Monotype Koufi" w:hint="cs"/>
          <w:b/>
          <w:rtl/>
        </w:rPr>
        <w:t>ُ</w:t>
      </w:r>
      <w:r>
        <w:rPr>
          <w:rFonts w:cs="Monotype Koufi"/>
          <w:b/>
          <w:rtl/>
        </w:rPr>
        <w:t xml:space="preserve"> م</w:t>
      </w:r>
      <w:r>
        <w:rPr>
          <w:rFonts w:cs="Monotype Koufi" w:hint="cs"/>
          <w:b/>
          <w:rtl/>
        </w:rPr>
        <w:t>َ</w:t>
      </w:r>
      <w:r>
        <w:rPr>
          <w:rFonts w:cs="Monotype Koufi"/>
          <w:b/>
          <w:rtl/>
        </w:rPr>
        <w:t>ق</w:t>
      </w:r>
      <w:r>
        <w:rPr>
          <w:rFonts w:cs="Monotype Koufi" w:hint="cs"/>
          <w:b/>
          <w:rtl/>
        </w:rPr>
        <w:t>ْ</w:t>
      </w:r>
      <w:r>
        <w:rPr>
          <w:rFonts w:cs="Monotype Koufi"/>
          <w:b/>
          <w:rtl/>
        </w:rPr>
        <w:t>ب</w:t>
      </w:r>
      <w:r>
        <w:rPr>
          <w:rFonts w:cs="Monotype Koufi" w:hint="cs"/>
          <w:b/>
          <w:rtl/>
        </w:rPr>
        <w:t>ُ</w:t>
      </w:r>
      <w:r>
        <w:rPr>
          <w:rFonts w:cs="Monotype Koufi"/>
          <w:b/>
          <w:rtl/>
        </w:rPr>
        <w:t>ول</w:t>
      </w:r>
      <w:r>
        <w:rPr>
          <w:rFonts w:cs="Monotype Koufi" w:hint="cs"/>
          <w:b/>
          <w:rtl/>
        </w:rPr>
        <w:t>َـ</w:t>
      </w:r>
      <w:r>
        <w:rPr>
          <w:rFonts w:cs="Monotype Koufi"/>
          <w:b/>
          <w:rtl/>
        </w:rPr>
        <w:t>ةٍ</w:t>
      </w:r>
      <w:r>
        <w:rPr>
          <w:b/>
          <w:rtl/>
        </w:rPr>
        <w:t xml:space="preserve"> </w:t>
      </w:r>
      <w:r>
        <w:rPr>
          <w:vertAlign w:val="superscript"/>
          <w:rtl/>
        </w:rPr>
        <w:t>(</w:t>
      </w:r>
      <w:r>
        <w:rPr>
          <w:rStyle w:val="a7"/>
          <w:rtl/>
        </w:rPr>
        <w:footnoteReference w:id="1420"/>
      </w:r>
      <w:r>
        <w:rPr>
          <w:vertAlign w:val="superscript"/>
          <w:rtl/>
        </w:rPr>
        <w:t>)</w:t>
      </w:r>
      <w:r>
        <w:rPr>
          <w:b/>
          <w:bCs/>
          <w:rtl/>
        </w:rPr>
        <w:t xml:space="preserve"> :</w:t>
      </w:r>
    </w:p>
    <w:p w:rsidR="00C10469" w:rsidRDefault="00C10469">
      <w:pPr>
        <w:rPr>
          <w:spacing w:val="-2"/>
          <w:rtl/>
        </w:rPr>
      </w:pPr>
      <w:r>
        <w:rPr>
          <w:rFonts w:hint="eastAsia"/>
          <w:spacing w:val="-2"/>
          <w:rtl/>
        </w:rPr>
        <w:lastRenderedPageBreak/>
        <w:t>وفي</w:t>
      </w:r>
      <w:r>
        <w:rPr>
          <w:spacing w:val="-2"/>
          <w:rtl/>
        </w:rPr>
        <w:t xml:space="preserve"> أيمان (الهداية) : لا فرق بين أن </w:t>
      </w:r>
      <w:r>
        <w:rPr>
          <w:rFonts w:hint="eastAsia"/>
          <w:spacing w:val="-2"/>
          <w:rtl/>
        </w:rPr>
        <w:t>يحيط</w:t>
      </w:r>
      <w:r>
        <w:rPr>
          <w:spacing w:val="-2"/>
          <w:rtl/>
        </w:rPr>
        <w:t xml:space="preserve"> [به]</w:t>
      </w:r>
      <w:r>
        <w:rPr>
          <w:rStyle w:val="a7"/>
          <w:spacing w:val="-2"/>
          <w:rtl/>
        </w:rPr>
        <w:footnoteReference w:id="1421"/>
      </w:r>
      <w:r>
        <w:rPr>
          <w:spacing w:val="-2"/>
          <w:rtl/>
        </w:rPr>
        <w:t xml:space="preserve"> </w:t>
      </w:r>
      <w:r>
        <w:rPr>
          <w:rFonts w:hint="eastAsia"/>
          <w:spacing w:val="-2"/>
          <w:rtl/>
        </w:rPr>
        <w:t>علم</w:t>
      </w:r>
      <w:r>
        <w:rPr>
          <w:spacing w:val="-2"/>
          <w:rtl/>
        </w:rPr>
        <w:t xml:space="preserve"> الشاهد أوْلا في عدم [القبول]</w:t>
      </w:r>
      <w:r>
        <w:rPr>
          <w:rStyle w:val="a7"/>
          <w:spacing w:val="-2"/>
          <w:rtl/>
        </w:rPr>
        <w:footnoteReference w:id="1422"/>
      </w:r>
      <w:r>
        <w:rPr>
          <w:rFonts w:hint="cs"/>
          <w:spacing w:val="-2"/>
          <w:rtl/>
        </w:rPr>
        <w:t>؛</w:t>
      </w:r>
      <w:r>
        <w:rPr>
          <w:spacing w:val="-2"/>
          <w:rtl/>
        </w:rPr>
        <w:t xml:space="preserve"> </w:t>
      </w:r>
      <w:r>
        <w:rPr>
          <w:rFonts w:hint="eastAsia"/>
          <w:spacing w:val="-2"/>
          <w:rtl/>
        </w:rPr>
        <w:t>تيسير</w:t>
      </w:r>
      <w:r>
        <w:rPr>
          <w:spacing w:val="-2"/>
          <w:rtl/>
        </w:rPr>
        <w:t>[ اً ]</w:t>
      </w:r>
      <w:r>
        <w:rPr>
          <w:rStyle w:val="a7"/>
          <w:spacing w:val="-2"/>
          <w:rtl/>
        </w:rPr>
        <w:footnoteReference w:id="1423"/>
      </w:r>
      <w:r>
        <w:rPr>
          <w:rFonts w:hint="eastAsia"/>
          <w:spacing w:val="-2"/>
          <w:rtl/>
        </w:rPr>
        <w:t>؛</w:t>
      </w:r>
      <w:r>
        <w:rPr>
          <w:spacing w:val="-2"/>
          <w:rtl/>
        </w:rPr>
        <w:t xml:space="preserve"> </w:t>
      </w:r>
      <w:r>
        <w:rPr>
          <w:rFonts w:hint="eastAsia"/>
          <w:spacing w:val="-2"/>
          <w:rtl/>
        </w:rPr>
        <w:t>لأن</w:t>
      </w:r>
      <w:r>
        <w:rPr>
          <w:spacing w:val="-2"/>
          <w:rtl/>
        </w:rPr>
        <w:t xml:space="preserve"> علم الشاهد أمر خفي، لا يتيسّر الاطلاع عليه بلا [دليل]</w:t>
      </w:r>
      <w:r>
        <w:rPr>
          <w:rStyle w:val="a7"/>
          <w:spacing w:val="-2"/>
          <w:rtl/>
        </w:rPr>
        <w:footnoteReference w:id="1424"/>
      </w:r>
      <w:r>
        <w:rPr>
          <w:spacing w:val="-2"/>
          <w:rtl/>
        </w:rPr>
        <w:t>.</w:t>
      </w:r>
    </w:p>
    <w:p w:rsidR="00C10469" w:rsidRDefault="00C10469">
      <w:pPr>
        <w:rPr>
          <w:rtl/>
        </w:rPr>
      </w:pPr>
      <w:r>
        <w:rPr>
          <w:rFonts w:hint="eastAsia"/>
          <w:rtl/>
        </w:rPr>
        <w:t>ذكره</w:t>
      </w:r>
      <w:r>
        <w:rPr>
          <w:rtl/>
        </w:rPr>
        <w:t xml:space="preserve"> في قوله</w:t>
      </w:r>
      <w:r>
        <w:rPr>
          <w:rFonts w:hint="cs"/>
          <w:rtl/>
        </w:rPr>
        <w:t xml:space="preserve"> :</w:t>
      </w:r>
      <w:r>
        <w:rPr>
          <w:rtl/>
        </w:rPr>
        <w:t xml:space="preserve"> «عبده</w:t>
      </w:r>
      <w:r>
        <w:rPr>
          <w:vertAlign w:val="superscript"/>
          <w:rtl/>
        </w:rPr>
        <w:t>(</w:t>
      </w:r>
      <w:r>
        <w:rPr>
          <w:rStyle w:val="a7"/>
          <w:rtl/>
        </w:rPr>
        <w:footnoteReference w:id="1425"/>
      </w:r>
      <w:r>
        <w:rPr>
          <w:vertAlign w:val="superscript"/>
          <w:rtl/>
        </w:rPr>
        <w:t>)</w:t>
      </w:r>
      <w:r>
        <w:rPr>
          <w:rtl/>
        </w:rPr>
        <w:t xml:space="preserve"> </w:t>
      </w:r>
      <w:r>
        <w:rPr>
          <w:rFonts w:hint="eastAsia"/>
          <w:rtl/>
        </w:rPr>
        <w:t>حرّ</w:t>
      </w:r>
      <w:r>
        <w:rPr>
          <w:rtl/>
        </w:rPr>
        <w:t xml:space="preserve"> إن لم أحج</w:t>
      </w:r>
      <w:r>
        <w:rPr>
          <w:rFonts w:hint="cs"/>
          <w:rtl/>
        </w:rPr>
        <w:t>ّ</w:t>
      </w:r>
      <w:r>
        <w:rPr>
          <w:rtl/>
        </w:rPr>
        <w:t xml:space="preserve"> العامَ ، فقال : حججتُ. وشهد شاهدان أنه [ضح</w:t>
      </w:r>
      <w:r>
        <w:rPr>
          <w:rFonts w:hint="cs"/>
          <w:rtl/>
        </w:rPr>
        <w:t>َّ</w:t>
      </w:r>
      <w:r>
        <w:rPr>
          <w:rtl/>
        </w:rPr>
        <w:t>ى]</w:t>
      </w:r>
      <w:r>
        <w:rPr>
          <w:rStyle w:val="a7"/>
          <w:rtl/>
        </w:rPr>
        <w:footnoteReference w:id="1426"/>
      </w:r>
      <w:r>
        <w:rPr>
          <w:rtl/>
        </w:rPr>
        <w:t xml:space="preserve"> </w:t>
      </w:r>
      <w:r>
        <w:rPr>
          <w:rFonts w:hint="eastAsia"/>
          <w:rtl/>
        </w:rPr>
        <w:t>العام</w:t>
      </w:r>
      <w:r>
        <w:rPr>
          <w:rFonts w:hint="cs"/>
          <w:rtl/>
        </w:rPr>
        <w:t>َ</w:t>
      </w:r>
      <w:r>
        <w:rPr>
          <w:rtl/>
        </w:rPr>
        <w:t xml:space="preserve"> بالكوفة :</w:t>
      </w:r>
    </w:p>
    <w:p w:rsidR="00C10469" w:rsidRDefault="00C10469" w:rsidP="00C10469">
      <w:pPr>
        <w:ind w:left="848" w:hanging="281"/>
        <w:rPr>
          <w:rtl/>
        </w:rPr>
      </w:pPr>
      <w:r>
        <w:rPr>
          <w:rtl/>
        </w:rPr>
        <w:t>•</w:t>
      </w:r>
      <w:r>
        <w:rPr>
          <w:rFonts w:hint="cs"/>
          <w:rtl/>
        </w:rPr>
        <w:t xml:space="preserve"> </w:t>
      </w:r>
      <w:r>
        <w:rPr>
          <w:rFonts w:hint="eastAsia"/>
          <w:rtl/>
        </w:rPr>
        <w:t>لم</w:t>
      </w:r>
      <w:r>
        <w:rPr>
          <w:rtl/>
        </w:rPr>
        <w:t xml:space="preserve"> ي</w:t>
      </w:r>
      <w:r>
        <w:rPr>
          <w:rFonts w:hint="cs"/>
          <w:rtl/>
        </w:rPr>
        <w:t>ُ</w:t>
      </w:r>
      <w:r>
        <w:rPr>
          <w:rtl/>
        </w:rPr>
        <w:t>عتق</w:t>
      </w:r>
      <w:r>
        <w:rPr>
          <w:rFonts w:hint="cs"/>
          <w:rtl/>
        </w:rPr>
        <w:t>ْ</w:t>
      </w:r>
      <w:r>
        <w:rPr>
          <w:rtl/>
        </w:rPr>
        <w:t xml:space="preserve"> عبدُه. وهذا عند أبي حنيفة </w:t>
      </w:r>
      <w:r>
        <w:rPr>
          <w:rFonts w:hint="cs"/>
          <w:rtl/>
        </w:rPr>
        <w:t>-</w:t>
      </w:r>
      <w:r>
        <w:rPr>
          <w:rtl/>
        </w:rPr>
        <w:t>رحمه الله</w:t>
      </w:r>
      <w:r>
        <w:rPr>
          <w:rFonts w:hint="cs"/>
          <w:rtl/>
        </w:rPr>
        <w:t>-</w:t>
      </w:r>
      <w:r>
        <w:rPr>
          <w:rtl/>
        </w:rPr>
        <w:t xml:space="preserve"> </w:t>
      </w:r>
      <w:r>
        <w:rPr>
          <w:rFonts w:hint="eastAsia"/>
          <w:rtl/>
        </w:rPr>
        <w:t>وأبي</w:t>
      </w:r>
      <w:r>
        <w:rPr>
          <w:rtl/>
        </w:rPr>
        <w:t xml:space="preserve"> يوسف.</w:t>
      </w:r>
    </w:p>
    <w:p w:rsidR="00C10469" w:rsidRDefault="00C10469" w:rsidP="00C10469">
      <w:pPr>
        <w:ind w:left="848" w:hanging="281"/>
        <w:rPr>
          <w:rtl/>
        </w:rPr>
      </w:pPr>
      <w:r>
        <w:rPr>
          <w:rtl/>
        </w:rPr>
        <w:t>•</w:t>
      </w:r>
      <w:r>
        <w:rPr>
          <w:rFonts w:hint="cs"/>
          <w:rtl/>
        </w:rPr>
        <w:t xml:space="preserve"> </w:t>
      </w:r>
      <w:r>
        <w:rPr>
          <w:rFonts w:hint="eastAsia"/>
          <w:rtl/>
        </w:rPr>
        <w:t>وقال</w:t>
      </w:r>
      <w:r>
        <w:rPr>
          <w:rtl/>
        </w:rPr>
        <w:t xml:space="preserve"> </w:t>
      </w:r>
      <w:r>
        <w:rPr>
          <w:rFonts w:hint="eastAsia"/>
          <w:rtl/>
        </w:rPr>
        <w:t>محمد</w:t>
      </w:r>
      <w:r>
        <w:rPr>
          <w:rtl/>
        </w:rPr>
        <w:t xml:space="preserve"> : يعتق؛ لأنّ هذه شهادةٌ قامت</w:t>
      </w:r>
      <w:r>
        <w:rPr>
          <w:rStyle w:val="a7"/>
          <w:rtl/>
        </w:rPr>
        <w:footnoteReference w:id="1427"/>
      </w:r>
      <w:r>
        <w:rPr>
          <w:rtl/>
        </w:rPr>
        <w:t xml:space="preserve"> </w:t>
      </w:r>
      <w:r>
        <w:rPr>
          <w:rFonts w:hint="eastAsia"/>
          <w:rtl/>
        </w:rPr>
        <w:t>على</w:t>
      </w:r>
      <w:r>
        <w:rPr>
          <w:rtl/>
        </w:rPr>
        <w:t xml:space="preserve"> أمرٍ معلوم (وهو التضحية)، ومن ضرورته انتفاء الحج، فيتحقق الشرط.</w:t>
      </w:r>
    </w:p>
    <w:p w:rsidR="00C10469" w:rsidRDefault="00C10469" w:rsidP="00C10469">
      <w:pPr>
        <w:spacing w:line="264" w:lineRule="auto"/>
        <w:rPr>
          <w:rtl/>
        </w:rPr>
      </w:pPr>
      <w:r>
        <w:rPr>
          <w:rFonts w:hint="eastAsia"/>
          <w:rtl/>
        </w:rPr>
        <w:lastRenderedPageBreak/>
        <w:t>ولهما</w:t>
      </w:r>
      <w:r>
        <w:rPr>
          <w:rStyle w:val="a7"/>
          <w:rtl/>
        </w:rPr>
        <w:footnoteReference w:id="1428"/>
      </w:r>
      <w:r>
        <w:rPr>
          <w:rtl/>
        </w:rPr>
        <w:t xml:space="preserve"> : أنّها قامت على النفي؛ لأن </w:t>
      </w:r>
      <w:r>
        <w:rPr>
          <w:rFonts w:hint="eastAsia"/>
          <w:rtl/>
        </w:rPr>
        <w:t>المقصود</w:t>
      </w:r>
      <w:r>
        <w:rPr>
          <w:rtl/>
        </w:rPr>
        <w:t xml:space="preserve"> منها نفي الحج، لا إثبات</w:t>
      </w:r>
      <w:r>
        <w:rPr>
          <w:rStyle w:val="a7"/>
          <w:rtl/>
        </w:rPr>
        <w:footnoteReference w:id="1429"/>
      </w:r>
      <w:r>
        <w:rPr>
          <w:rtl/>
        </w:rPr>
        <w:t xml:space="preserve"> </w:t>
      </w:r>
      <w:r>
        <w:rPr>
          <w:rFonts w:hint="eastAsia"/>
          <w:rtl/>
        </w:rPr>
        <w:t>التضحية؛</w:t>
      </w:r>
      <w:r>
        <w:rPr>
          <w:rtl/>
        </w:rPr>
        <w:t xml:space="preserve"> لأنه لا مطالب لها، فصار كما إذا شهدوا أنه لم يحج. غـايـة الأمـر: أن هذا [النفي]</w:t>
      </w:r>
      <w:r>
        <w:rPr>
          <w:rStyle w:val="a7"/>
          <w:rtl/>
        </w:rPr>
        <w:footnoteReference w:id="1430"/>
      </w:r>
      <w:r>
        <w:rPr>
          <w:rtl/>
        </w:rPr>
        <w:t xml:space="preserve"> </w:t>
      </w:r>
      <w:r>
        <w:rPr>
          <w:rFonts w:hint="eastAsia"/>
          <w:rtl/>
        </w:rPr>
        <w:t>مم</w:t>
      </w:r>
      <w:r>
        <w:rPr>
          <w:rFonts w:hint="cs"/>
          <w:rtl/>
        </w:rPr>
        <w:t>َّ</w:t>
      </w:r>
      <w:r>
        <w:rPr>
          <w:rFonts w:hint="eastAsia"/>
          <w:rtl/>
        </w:rPr>
        <w:t>ا</w:t>
      </w:r>
      <w:r>
        <w:rPr>
          <w:rtl/>
        </w:rPr>
        <w:t xml:space="preserve"> يحيط به علـم الش</w:t>
      </w:r>
      <w:r>
        <w:rPr>
          <w:rFonts w:hint="cs"/>
          <w:rtl/>
        </w:rPr>
        <w:t>ـ</w:t>
      </w:r>
      <w:r>
        <w:rPr>
          <w:rtl/>
        </w:rPr>
        <w:t>اه</w:t>
      </w:r>
      <w:r>
        <w:rPr>
          <w:rFonts w:hint="cs"/>
          <w:rtl/>
        </w:rPr>
        <w:t>ـ</w:t>
      </w:r>
      <w:r>
        <w:rPr>
          <w:rtl/>
        </w:rPr>
        <w:t>د، ولا ت</w:t>
      </w:r>
      <w:r>
        <w:rPr>
          <w:rFonts w:hint="cs"/>
          <w:rtl/>
        </w:rPr>
        <w:t>ـ</w:t>
      </w:r>
      <w:r>
        <w:rPr>
          <w:rtl/>
        </w:rPr>
        <w:t>عتب</w:t>
      </w:r>
      <w:r>
        <w:rPr>
          <w:rFonts w:hint="cs"/>
          <w:rtl/>
        </w:rPr>
        <w:t>ـ</w:t>
      </w:r>
      <w:r>
        <w:rPr>
          <w:rtl/>
        </w:rPr>
        <w:t>ر</w:t>
      </w:r>
      <w:r>
        <w:rPr>
          <w:rStyle w:val="a7"/>
          <w:rtl/>
        </w:rPr>
        <w:footnoteReference w:id="1431"/>
      </w:r>
      <w:r>
        <w:rPr>
          <w:rtl/>
        </w:rPr>
        <w:t xml:space="preserve"> </w:t>
      </w:r>
      <w:r>
        <w:rPr>
          <w:rFonts w:hint="eastAsia"/>
          <w:rtl/>
        </w:rPr>
        <w:t>عنده</w:t>
      </w:r>
      <w:r>
        <w:rPr>
          <w:rFonts w:hint="cs"/>
          <w:rtl/>
        </w:rPr>
        <w:t>ـ</w:t>
      </w:r>
      <w:r>
        <w:rPr>
          <w:rFonts w:hint="eastAsia"/>
          <w:rtl/>
        </w:rPr>
        <w:t>ما؛</w:t>
      </w:r>
      <w:r>
        <w:rPr>
          <w:rtl/>
        </w:rPr>
        <w:t xml:space="preserve"> </w:t>
      </w:r>
      <w:r>
        <w:rPr>
          <w:rFonts w:hint="eastAsia"/>
          <w:rtl/>
        </w:rPr>
        <w:t>لأنه</w:t>
      </w:r>
      <w:r>
        <w:rPr>
          <w:rtl/>
        </w:rPr>
        <w:t xml:space="preserve"> </w:t>
      </w:r>
      <w:r>
        <w:rPr>
          <w:rFonts w:hint="eastAsia"/>
          <w:rtl/>
        </w:rPr>
        <w:t>لم</w:t>
      </w:r>
      <w:r>
        <w:rPr>
          <w:rStyle w:val="a7"/>
          <w:rtl/>
        </w:rPr>
        <w:footnoteReference w:id="1432"/>
      </w:r>
      <w:r>
        <w:rPr>
          <w:rtl/>
        </w:rPr>
        <w:t xml:space="preserve"> </w:t>
      </w:r>
      <w:r>
        <w:rPr>
          <w:rFonts w:hint="eastAsia"/>
          <w:rtl/>
        </w:rPr>
        <w:t>يمي</w:t>
      </w:r>
      <w:r>
        <w:rPr>
          <w:rFonts w:hint="cs"/>
          <w:rtl/>
        </w:rPr>
        <w:t>َّ</w:t>
      </w:r>
      <w:r>
        <w:rPr>
          <w:rFonts w:hint="eastAsia"/>
          <w:rtl/>
        </w:rPr>
        <w:t>ز</w:t>
      </w:r>
      <w:r>
        <w:rPr>
          <w:rFonts w:hint="cs"/>
          <w:rtl/>
        </w:rPr>
        <w:t>ْ</w:t>
      </w:r>
      <w:r>
        <w:rPr>
          <w:rtl/>
        </w:rPr>
        <w:t xml:space="preserve"> بين نفي</w:t>
      </w:r>
      <w:r>
        <w:rPr>
          <w:rFonts w:hint="cs"/>
          <w:rtl/>
        </w:rPr>
        <w:t xml:space="preserve"> و</w:t>
      </w:r>
      <w:r>
        <w:rPr>
          <w:rStyle w:val="a7"/>
          <w:rtl/>
        </w:rPr>
        <w:footnoteReference w:id="1433"/>
      </w:r>
      <w:r>
        <w:rPr>
          <w:rFonts w:hint="eastAsia"/>
          <w:rtl/>
        </w:rPr>
        <w:t>نفي</w:t>
      </w:r>
      <w:r>
        <w:rPr>
          <w:rtl/>
        </w:rPr>
        <w:t xml:space="preserve"> </w:t>
      </w:r>
      <w:r>
        <w:rPr>
          <w:rFonts w:hint="cs"/>
          <w:rtl/>
        </w:rPr>
        <w:t xml:space="preserve">[ </w:t>
      </w:r>
      <w:r>
        <w:rPr>
          <w:rtl/>
        </w:rPr>
        <w:t>تيسير</w:t>
      </w:r>
      <w:r>
        <w:rPr>
          <w:rFonts w:hint="cs"/>
          <w:rtl/>
        </w:rPr>
        <w:t>ًا ]</w:t>
      </w:r>
      <w:r>
        <w:rPr>
          <w:rStyle w:val="a7"/>
          <w:rtl/>
        </w:rPr>
        <w:footnoteReference w:id="1434"/>
      </w:r>
      <w:r>
        <w:rPr>
          <w:rFonts w:hint="eastAsia"/>
          <w:rtl/>
        </w:rPr>
        <w:t>»</w:t>
      </w:r>
      <w:r>
        <w:rPr>
          <w:vertAlign w:val="superscript"/>
          <w:rtl/>
        </w:rPr>
        <w:t>(</w:t>
      </w:r>
      <w:r>
        <w:rPr>
          <w:rStyle w:val="a7"/>
          <w:rtl/>
        </w:rPr>
        <w:footnoteReference w:id="1435"/>
      </w:r>
      <w:r>
        <w:rPr>
          <w:vertAlign w:val="superscript"/>
          <w:rtl/>
        </w:rPr>
        <w:t>)</w:t>
      </w:r>
      <w:r>
        <w:rPr>
          <w:rFonts w:hint="cs"/>
          <w:rtl/>
        </w:rPr>
        <w:t>.</w:t>
      </w:r>
    </w:p>
    <w:p w:rsidR="00C10469" w:rsidRDefault="00C10469" w:rsidP="00C10469">
      <w:pPr>
        <w:spacing w:line="264" w:lineRule="auto"/>
        <w:rPr>
          <w:rtl/>
        </w:rPr>
      </w:pPr>
      <w:r>
        <w:rPr>
          <w:rFonts w:hint="eastAsia"/>
          <w:rtl/>
        </w:rPr>
        <w:t>وكذا</w:t>
      </w:r>
      <w:r>
        <w:rPr>
          <w:rtl/>
        </w:rPr>
        <w:t xml:space="preserve"> في أكثر كتب الفروع</w:t>
      </w:r>
      <w:r>
        <w:rPr>
          <w:vertAlign w:val="superscript"/>
          <w:rtl/>
        </w:rPr>
        <w:t>(</w:t>
      </w:r>
      <w:r>
        <w:rPr>
          <w:rStyle w:val="a7"/>
          <w:rtl/>
        </w:rPr>
        <w:footnoteReference w:id="1436"/>
      </w:r>
      <w:r>
        <w:rPr>
          <w:vertAlign w:val="superscript"/>
          <w:rtl/>
        </w:rPr>
        <w:t>)</w:t>
      </w:r>
      <w:r>
        <w:rPr>
          <w:rtl/>
        </w:rPr>
        <w:t>.</w:t>
      </w:r>
    </w:p>
    <w:p w:rsidR="00C10469" w:rsidRDefault="00C10469" w:rsidP="00C10469">
      <w:pPr>
        <w:spacing w:line="540" w:lineRule="exact"/>
        <w:ind w:left="567" w:firstLine="0"/>
        <w:rPr>
          <w:rtl/>
        </w:rPr>
      </w:pPr>
      <w:r>
        <w:rPr>
          <w:rFonts w:ascii="Wingdings" w:hAnsi="Wingdings"/>
          <w:sz w:val="24"/>
          <w:szCs w:val="24"/>
        </w:rPr>
        <w:t></w:t>
      </w:r>
      <w:r>
        <w:rPr>
          <w:rFonts w:hint="cs"/>
          <w:rtl/>
        </w:rPr>
        <w:t xml:space="preserve"> </w:t>
      </w:r>
      <w:r>
        <w:rPr>
          <w:rFonts w:hint="eastAsia"/>
          <w:rtl/>
        </w:rPr>
        <w:t>«لكنه</w:t>
      </w:r>
      <w:r>
        <w:rPr>
          <w:rtl/>
        </w:rPr>
        <w:t xml:space="preserve"> مخالف لما تقرّر في كتب الأصول»</w:t>
      </w:r>
      <w:r>
        <w:rPr>
          <w:vertAlign w:val="superscript"/>
          <w:rtl/>
        </w:rPr>
        <w:t>(</w:t>
      </w:r>
      <w:r>
        <w:rPr>
          <w:rStyle w:val="a7"/>
          <w:rtl/>
        </w:rPr>
        <w:footnoteReference w:id="1437"/>
      </w:r>
      <w:r>
        <w:rPr>
          <w:vertAlign w:val="superscript"/>
          <w:rtl/>
        </w:rPr>
        <w:t>)</w:t>
      </w:r>
      <w:r>
        <w:rPr>
          <w:rFonts w:hint="eastAsia"/>
          <w:rtl/>
        </w:rPr>
        <w:t>؛</w:t>
      </w:r>
      <w:r>
        <w:rPr>
          <w:rtl/>
        </w:rPr>
        <w:t xml:space="preserve"> </w:t>
      </w:r>
      <w:r>
        <w:rPr>
          <w:rFonts w:hint="eastAsia"/>
          <w:rtl/>
        </w:rPr>
        <w:t>حيث</w:t>
      </w:r>
      <w:r>
        <w:rPr>
          <w:rtl/>
        </w:rPr>
        <w:t xml:space="preserve"> ق</w:t>
      </w:r>
      <w:r>
        <w:rPr>
          <w:rFonts w:hint="cs"/>
          <w:rtl/>
        </w:rPr>
        <w:t>ـ</w:t>
      </w:r>
      <w:r>
        <w:rPr>
          <w:rtl/>
        </w:rPr>
        <w:t xml:space="preserve">ال صاحب </w:t>
      </w:r>
      <w:r>
        <w:rPr>
          <w:rtl/>
        </w:rPr>
        <w:lastRenderedPageBreak/>
        <w:t>(الم</w:t>
      </w:r>
      <w:r>
        <w:rPr>
          <w:rFonts w:hint="cs"/>
          <w:rtl/>
        </w:rPr>
        <w:t>غـ</w:t>
      </w:r>
      <w:r>
        <w:rPr>
          <w:rtl/>
        </w:rPr>
        <w:t>ن</w:t>
      </w:r>
      <w:r>
        <w:rPr>
          <w:rFonts w:hint="cs"/>
          <w:rtl/>
        </w:rPr>
        <w:t>ي</w:t>
      </w:r>
      <w:r>
        <w:rPr>
          <w:rtl/>
        </w:rPr>
        <w:t>)</w:t>
      </w:r>
      <w:r>
        <w:rPr>
          <w:vertAlign w:val="superscript"/>
          <w:rtl/>
        </w:rPr>
        <w:t>(</w:t>
      </w:r>
      <w:r>
        <w:rPr>
          <w:rStyle w:val="a7"/>
          <w:rtl/>
        </w:rPr>
        <w:footnoteReference w:id="1438"/>
      </w:r>
      <w:r>
        <w:rPr>
          <w:vertAlign w:val="superscript"/>
          <w:rtl/>
        </w:rPr>
        <w:t>)</w:t>
      </w:r>
      <w:r>
        <w:rPr>
          <w:rtl/>
        </w:rPr>
        <w:t xml:space="preserve"> </w:t>
      </w:r>
      <w:r>
        <w:rPr>
          <w:rFonts w:hint="cs"/>
          <w:rtl/>
        </w:rPr>
        <w:t xml:space="preserve"> </w:t>
      </w:r>
    </w:p>
    <w:p w:rsidR="00C10469" w:rsidRDefault="00C10469" w:rsidP="00C10469">
      <w:pPr>
        <w:spacing w:line="228" w:lineRule="auto"/>
        <w:ind w:left="567" w:firstLine="0"/>
        <w:rPr>
          <w:rtl/>
        </w:rPr>
      </w:pPr>
      <w:r>
        <w:rPr>
          <w:rtl/>
        </w:rPr>
        <w:t>-في</w:t>
      </w:r>
      <w:r>
        <w:rPr>
          <w:rFonts w:hint="cs"/>
          <w:rtl/>
        </w:rPr>
        <w:t xml:space="preserve"> </w:t>
      </w:r>
      <w:r>
        <w:rPr>
          <w:rFonts w:hint="eastAsia"/>
          <w:rtl/>
        </w:rPr>
        <w:t>فصل</w:t>
      </w:r>
      <w:r>
        <w:rPr>
          <w:rStyle w:val="a7"/>
          <w:rtl/>
        </w:rPr>
        <w:footnoteReference w:id="1439"/>
      </w:r>
      <w:r>
        <w:rPr>
          <w:rtl/>
        </w:rPr>
        <w:t xml:space="preserve"> </w:t>
      </w:r>
      <w:r>
        <w:rPr>
          <w:rFonts w:hint="eastAsia"/>
          <w:rtl/>
        </w:rPr>
        <w:t>المعارضة</w:t>
      </w:r>
      <w:r>
        <w:rPr>
          <w:rtl/>
        </w:rPr>
        <w:t>-: «والأصل في ذلك أن النفي</w:t>
      </w:r>
      <w:r>
        <w:rPr>
          <w:rStyle w:val="a7"/>
          <w:rtl/>
        </w:rPr>
        <w:footnoteReference w:id="1440"/>
      </w:r>
      <w:r>
        <w:rPr>
          <w:vertAlign w:val="superscript"/>
          <w:rtl/>
        </w:rPr>
        <w:t>(</w:t>
      </w:r>
      <w:r>
        <w:rPr>
          <w:rStyle w:val="a7"/>
          <w:rtl/>
        </w:rPr>
        <w:footnoteReference w:id="1441"/>
      </w:r>
      <w:r>
        <w:rPr>
          <w:vertAlign w:val="superscript"/>
          <w:rtl/>
        </w:rPr>
        <w:t>)</w:t>
      </w:r>
      <w:r>
        <w:rPr>
          <w:rtl/>
        </w:rPr>
        <w:t xml:space="preserve"> </w:t>
      </w:r>
      <w:r>
        <w:rPr>
          <w:rFonts w:hint="eastAsia"/>
          <w:rtl/>
        </w:rPr>
        <w:t>بدليله</w:t>
      </w:r>
      <w:r>
        <w:rPr>
          <w:rtl/>
        </w:rPr>
        <w:t xml:space="preserve"> : يعارض المثبَتَ، وإلاّ فلا</w:t>
      </w:r>
      <w:r>
        <w:rPr>
          <w:vertAlign w:val="superscript"/>
          <w:rtl/>
        </w:rPr>
        <w:t>(</w:t>
      </w:r>
      <w:r>
        <w:rPr>
          <w:rStyle w:val="a7"/>
          <w:rtl/>
        </w:rPr>
        <w:footnoteReference w:id="1442"/>
      </w:r>
      <w:r>
        <w:rPr>
          <w:vertAlign w:val="superscript"/>
          <w:rtl/>
        </w:rPr>
        <w:t>)</w:t>
      </w:r>
      <w:r>
        <w:rPr>
          <w:rFonts w:hint="eastAsia"/>
          <w:rtl/>
        </w:rPr>
        <w:t>؛</w:t>
      </w:r>
      <w:r>
        <w:rPr>
          <w:rtl/>
        </w:rPr>
        <w:t xml:space="preserve"> </w:t>
      </w:r>
      <w:r>
        <w:rPr>
          <w:rFonts w:hint="eastAsia"/>
          <w:rtl/>
        </w:rPr>
        <w:t>كالشهادة</w:t>
      </w:r>
      <w:r>
        <w:rPr>
          <w:rtl/>
        </w:rPr>
        <w:t xml:space="preserve"> على أن</w:t>
      </w:r>
      <w:r>
        <w:rPr>
          <w:vertAlign w:val="superscript"/>
          <w:rtl/>
        </w:rPr>
        <w:t>(</w:t>
      </w:r>
      <w:r>
        <w:rPr>
          <w:rStyle w:val="a7"/>
          <w:rtl/>
        </w:rPr>
        <w:footnoteReference w:id="1443"/>
      </w:r>
      <w:r>
        <w:rPr>
          <w:vertAlign w:val="superscript"/>
          <w:rtl/>
        </w:rPr>
        <w:t>)</w:t>
      </w:r>
      <w:r>
        <w:rPr>
          <w:rtl/>
        </w:rPr>
        <w:t xml:space="preserve"> </w:t>
      </w:r>
      <w:r>
        <w:rPr>
          <w:rFonts w:hint="eastAsia"/>
          <w:rtl/>
        </w:rPr>
        <w:t>الزوج</w:t>
      </w:r>
      <w:r>
        <w:rPr>
          <w:rtl/>
        </w:rPr>
        <w:t xml:space="preserve"> أنه</w:t>
      </w:r>
      <w:r>
        <w:rPr>
          <w:rStyle w:val="a7"/>
          <w:rtl/>
        </w:rPr>
        <w:footnoteReference w:id="1444"/>
      </w:r>
      <w:r>
        <w:rPr>
          <w:rtl/>
        </w:rPr>
        <w:t xml:space="preserve"> </w:t>
      </w:r>
      <w:r>
        <w:rPr>
          <w:rFonts w:hint="eastAsia"/>
          <w:rtl/>
        </w:rPr>
        <w:t>لم</w:t>
      </w:r>
      <w:r>
        <w:rPr>
          <w:rtl/>
        </w:rPr>
        <w:t xml:space="preserve"> [يستثنِ]</w:t>
      </w:r>
      <w:r>
        <w:rPr>
          <w:rStyle w:val="a7"/>
          <w:rtl/>
        </w:rPr>
        <w:footnoteReference w:id="1445"/>
      </w:r>
      <w:r>
        <w:rPr>
          <w:rtl/>
        </w:rPr>
        <w:t xml:space="preserve"> </w:t>
      </w:r>
      <w:r>
        <w:rPr>
          <w:rFonts w:hint="eastAsia"/>
          <w:rtl/>
        </w:rPr>
        <w:t>في</w:t>
      </w:r>
      <w:r>
        <w:rPr>
          <w:rtl/>
        </w:rPr>
        <w:t xml:space="preserve"> الطلاق. </w:t>
      </w:r>
      <w:r>
        <w:rPr>
          <w:rtl/>
        </w:rPr>
        <w:lastRenderedPageBreak/>
        <w:t xml:space="preserve">أو لم </w:t>
      </w:r>
      <w:r>
        <w:rPr>
          <w:rFonts w:hint="cs"/>
          <w:rtl/>
        </w:rPr>
        <w:t>ي</w:t>
      </w:r>
      <w:r>
        <w:rPr>
          <w:rtl/>
        </w:rPr>
        <w:t>قل</w:t>
      </w:r>
      <w:r>
        <w:rPr>
          <w:rFonts w:hint="cs"/>
          <w:rtl/>
        </w:rPr>
        <w:t>ْ</w:t>
      </w:r>
      <w:r>
        <w:rPr>
          <w:rtl/>
        </w:rPr>
        <w:t>: قالت</w:t>
      </w:r>
      <w:r>
        <w:rPr>
          <w:vertAlign w:val="superscript"/>
          <w:rtl/>
        </w:rPr>
        <w:t>(</w:t>
      </w:r>
      <w:r>
        <w:rPr>
          <w:rStyle w:val="a7"/>
          <w:rtl/>
        </w:rPr>
        <w:footnoteReference w:id="1446"/>
      </w:r>
      <w:r>
        <w:rPr>
          <w:vertAlign w:val="superscript"/>
          <w:rtl/>
        </w:rPr>
        <w:t>)</w:t>
      </w:r>
      <w:r>
        <w:rPr>
          <w:rtl/>
        </w:rPr>
        <w:t xml:space="preserve"> </w:t>
      </w:r>
      <w:r>
        <w:rPr>
          <w:rFonts w:hint="eastAsia"/>
          <w:rtl/>
        </w:rPr>
        <w:t>النصارى،</w:t>
      </w:r>
      <w:r>
        <w:rPr>
          <w:rtl/>
        </w:rPr>
        <w:t xml:space="preserve"> عند قوله</w:t>
      </w:r>
      <w:r>
        <w:rPr>
          <w:rFonts w:hint="cs"/>
          <w:rtl/>
        </w:rPr>
        <w:t xml:space="preserve"> :</w:t>
      </w:r>
      <w:r>
        <w:rPr>
          <w:rtl/>
        </w:rPr>
        <w:t xml:space="preserve"> </w:t>
      </w:r>
      <w:r>
        <w:rPr>
          <w:color w:val="000000"/>
          <w:sz w:val="22"/>
          <w:szCs w:val="22"/>
        </w:rPr>
        <w:sym w:font="HQPB2" w:char="F0E2"/>
      </w:r>
      <w:r>
        <w:rPr>
          <w:color w:val="000000"/>
          <w:sz w:val="22"/>
          <w:szCs w:val="22"/>
          <w:rtl/>
        </w:rPr>
        <w:t xml:space="preserve"> </w:t>
      </w:r>
      <w:r>
        <w:rPr>
          <w:color w:val="000000"/>
          <w:sz w:val="22"/>
          <w:szCs w:val="22"/>
        </w:rPr>
        <w:sym w:font="HQPB4" w:char="F0DF"/>
      </w:r>
      <w:r>
        <w:rPr>
          <w:color w:val="000000"/>
          <w:sz w:val="22"/>
          <w:szCs w:val="22"/>
        </w:rPr>
        <w:sym w:font="HQPB1" w:char="F078"/>
      </w:r>
      <w:r>
        <w:rPr>
          <w:color w:val="000000"/>
          <w:sz w:val="22"/>
          <w:szCs w:val="22"/>
        </w:rPr>
        <w:sym w:font="HQPB2" w:char="F08A"/>
      </w:r>
      <w:r>
        <w:rPr>
          <w:color w:val="000000"/>
          <w:sz w:val="22"/>
          <w:szCs w:val="22"/>
        </w:rPr>
        <w:sym w:font="HQPB4" w:char="F0C5"/>
      </w:r>
      <w:r>
        <w:rPr>
          <w:color w:val="000000"/>
          <w:sz w:val="22"/>
          <w:szCs w:val="22"/>
        </w:rPr>
        <w:sym w:font="HQPB1" w:char="F0A1"/>
      </w:r>
      <w:r>
        <w:rPr>
          <w:color w:val="000000"/>
          <w:sz w:val="22"/>
          <w:szCs w:val="22"/>
        </w:rPr>
        <w:sym w:font="HQPB5" w:char="F079"/>
      </w:r>
      <w:r>
        <w:rPr>
          <w:color w:val="000000"/>
          <w:sz w:val="22"/>
          <w:szCs w:val="22"/>
        </w:rPr>
        <w:sym w:font="HQPB2" w:char="F04A"/>
      </w:r>
      <w:r>
        <w:rPr>
          <w:color w:val="000000"/>
          <w:sz w:val="22"/>
          <w:szCs w:val="22"/>
        </w:rPr>
        <w:sym w:font="HQPB4" w:char="F0F8"/>
      </w:r>
      <w:r>
        <w:rPr>
          <w:color w:val="000000"/>
          <w:sz w:val="22"/>
          <w:szCs w:val="22"/>
        </w:rPr>
        <w:sym w:font="HQPB2" w:char="F039"/>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DA"/>
      </w:r>
      <w:r>
        <w:rPr>
          <w:color w:val="000000"/>
          <w:sz w:val="22"/>
          <w:szCs w:val="22"/>
        </w:rPr>
        <w:sym w:font="HQPB2" w:char="F0C6"/>
      </w:r>
      <w:r>
        <w:rPr>
          <w:color w:val="000000"/>
          <w:sz w:val="22"/>
          <w:szCs w:val="22"/>
        </w:rPr>
        <w:sym w:font="HQPB4" w:char="F0F6"/>
      </w:r>
      <w:r>
        <w:rPr>
          <w:color w:val="000000"/>
          <w:sz w:val="22"/>
          <w:szCs w:val="22"/>
        </w:rPr>
        <w:sym w:font="HQPB1" w:char="F02F"/>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5" w:char="F0AB"/>
      </w:r>
      <w:r>
        <w:rPr>
          <w:color w:val="000000"/>
          <w:sz w:val="22"/>
          <w:szCs w:val="22"/>
        </w:rPr>
        <w:sym w:font="HQPB1" w:char="F021"/>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28"/>
      </w:r>
      <w:r>
        <w:rPr>
          <w:color w:val="000000"/>
          <w:sz w:val="22"/>
          <w:szCs w:val="22"/>
          <w:rtl/>
        </w:rPr>
        <w:t xml:space="preserve"> </w:t>
      </w:r>
      <w:r>
        <w:rPr>
          <w:color w:val="000000"/>
          <w:sz w:val="22"/>
          <w:szCs w:val="22"/>
        </w:rPr>
        <w:sym w:font="HQPB2" w:char="F0E1"/>
      </w:r>
      <w:r>
        <w:rPr>
          <w:vertAlign w:val="superscript"/>
          <w:rtl/>
        </w:rPr>
        <w:t xml:space="preserve"> (</w:t>
      </w:r>
      <w:r>
        <w:rPr>
          <w:rStyle w:val="a7"/>
          <w:rtl/>
        </w:rPr>
        <w:footnoteReference w:id="1447"/>
      </w:r>
      <w:r>
        <w:rPr>
          <w:vertAlign w:val="superscript"/>
          <w:rtl/>
        </w:rPr>
        <w:t>)</w:t>
      </w:r>
      <w:r>
        <w:rPr>
          <w:rFonts w:hint="eastAsia"/>
          <w:rtl/>
        </w:rPr>
        <w:t>؛</w:t>
      </w:r>
      <w:r>
        <w:rPr>
          <w:rtl/>
        </w:rPr>
        <w:t xml:space="preserve"> </w:t>
      </w:r>
      <w:r>
        <w:rPr>
          <w:rFonts w:hint="eastAsia"/>
          <w:rtl/>
        </w:rPr>
        <w:t>لأن</w:t>
      </w:r>
      <w:r>
        <w:rPr>
          <w:rtl/>
        </w:rPr>
        <w:t xml:space="preserve"> هذا نفي</w:t>
      </w:r>
      <w:r>
        <w:rPr>
          <w:rStyle w:val="a7"/>
          <w:rtl/>
        </w:rPr>
        <w:footnoteReference w:id="1448"/>
      </w:r>
      <w:r>
        <w:rPr>
          <w:rtl/>
        </w:rPr>
        <w:t xml:space="preserve"> </w:t>
      </w:r>
      <w:r>
        <w:rPr>
          <w:rFonts w:hint="eastAsia"/>
          <w:rtl/>
        </w:rPr>
        <w:t>يحيط</w:t>
      </w:r>
      <w:r>
        <w:rPr>
          <w:rtl/>
        </w:rPr>
        <w:t xml:space="preserve"> به علم الشاهد عن دليل يوجب العلم به</w:t>
      </w:r>
      <w:r>
        <w:rPr>
          <w:rStyle w:val="a7"/>
          <w:rtl/>
        </w:rPr>
        <w:footnoteReference w:id="1449"/>
      </w:r>
      <w:r>
        <w:rPr>
          <w:rFonts w:hint="eastAsia"/>
          <w:rtl/>
        </w:rPr>
        <w:t>،</w:t>
      </w:r>
      <w:r>
        <w:rPr>
          <w:rtl/>
        </w:rPr>
        <w:t xml:space="preserve"> </w:t>
      </w:r>
      <w:r>
        <w:rPr>
          <w:rFonts w:hint="eastAsia"/>
          <w:rtl/>
        </w:rPr>
        <w:t>وهو</w:t>
      </w:r>
      <w:r>
        <w:rPr>
          <w:rtl/>
        </w:rPr>
        <w:t xml:space="preserve"> أن ما يكون من باب الكلام، فهو مس</w:t>
      </w:r>
      <w:r>
        <w:rPr>
          <w:rFonts w:hint="cs"/>
          <w:rtl/>
        </w:rPr>
        <w:t>ـ</w:t>
      </w:r>
      <w:r>
        <w:rPr>
          <w:rtl/>
        </w:rPr>
        <w:t>موع من ال</w:t>
      </w:r>
      <w:r>
        <w:rPr>
          <w:rFonts w:hint="cs"/>
          <w:rtl/>
        </w:rPr>
        <w:t>ـ</w:t>
      </w:r>
      <w:r>
        <w:rPr>
          <w:rtl/>
        </w:rPr>
        <w:t xml:space="preserve">متكلم </w:t>
      </w:r>
      <w:r>
        <w:rPr>
          <w:rFonts w:hint="cs"/>
          <w:rtl/>
        </w:rPr>
        <w:t>لـم</w:t>
      </w:r>
      <w:r>
        <w:rPr>
          <w:rtl/>
        </w:rPr>
        <w:t>ن ك</w:t>
      </w:r>
      <w:r>
        <w:rPr>
          <w:rFonts w:hint="cs"/>
          <w:rtl/>
        </w:rPr>
        <w:t>ـ</w:t>
      </w:r>
      <w:r>
        <w:rPr>
          <w:rtl/>
        </w:rPr>
        <w:t>ان بال</w:t>
      </w:r>
      <w:r>
        <w:rPr>
          <w:rFonts w:hint="cs"/>
          <w:rtl/>
        </w:rPr>
        <w:t>ـ</w:t>
      </w:r>
      <w:r>
        <w:rPr>
          <w:rtl/>
        </w:rPr>
        <w:t xml:space="preserve">قرب منه، وما لا </w:t>
      </w:r>
      <w:r>
        <w:rPr>
          <w:rFonts w:hint="eastAsia"/>
          <w:rtl/>
        </w:rPr>
        <w:t>يسمع</w:t>
      </w:r>
      <w:r>
        <w:rPr>
          <w:rtl/>
        </w:rPr>
        <w:t xml:space="preserve"> منه يكون دندنة</w:t>
      </w:r>
      <w:r>
        <w:rPr>
          <w:rFonts w:hint="cs"/>
          <w:rtl/>
        </w:rPr>
        <w:t>ً</w:t>
      </w:r>
      <w:r>
        <w:rPr>
          <w:vertAlign w:val="superscript"/>
          <w:rtl/>
        </w:rPr>
        <w:t>(</w:t>
      </w:r>
      <w:r>
        <w:rPr>
          <w:rStyle w:val="a7"/>
          <w:rtl/>
        </w:rPr>
        <w:footnoteReference w:id="1450"/>
      </w:r>
      <w:r>
        <w:rPr>
          <w:vertAlign w:val="superscript"/>
          <w:rtl/>
        </w:rPr>
        <w:t>)</w:t>
      </w:r>
      <w:r>
        <w:rPr>
          <w:rtl/>
        </w:rPr>
        <w:t xml:space="preserve"> </w:t>
      </w:r>
      <w:r>
        <w:rPr>
          <w:rFonts w:hint="eastAsia"/>
          <w:rtl/>
        </w:rPr>
        <w:t>لا</w:t>
      </w:r>
      <w:r>
        <w:rPr>
          <w:rtl/>
        </w:rPr>
        <w:t xml:space="preserve"> كلامًا»</w:t>
      </w:r>
      <w:r>
        <w:rPr>
          <w:vertAlign w:val="superscript"/>
          <w:rtl/>
        </w:rPr>
        <w:t>(</w:t>
      </w:r>
      <w:r>
        <w:rPr>
          <w:rStyle w:val="a7"/>
          <w:rtl/>
        </w:rPr>
        <w:footnoteReference w:id="1451"/>
      </w:r>
      <w:r>
        <w:rPr>
          <w:vertAlign w:val="superscript"/>
          <w:rtl/>
        </w:rPr>
        <w:t>)</w:t>
      </w:r>
      <w:r>
        <w:rPr>
          <w:rtl/>
        </w:rPr>
        <w:t>.</w:t>
      </w:r>
    </w:p>
    <w:p w:rsidR="00C10469" w:rsidRDefault="00C10469" w:rsidP="00C10469">
      <w:pPr>
        <w:ind w:left="567" w:firstLine="0"/>
        <w:rPr>
          <w:spacing w:val="8"/>
          <w:rtl/>
        </w:rPr>
      </w:pPr>
      <w:r>
        <w:rPr>
          <w:rFonts w:hint="eastAsia"/>
          <w:spacing w:val="8"/>
          <w:rtl/>
        </w:rPr>
        <w:t>وف</w:t>
      </w:r>
      <w:r>
        <w:rPr>
          <w:rFonts w:hint="cs"/>
          <w:spacing w:val="8"/>
          <w:rtl/>
        </w:rPr>
        <w:t>ـ</w:t>
      </w:r>
      <w:r>
        <w:rPr>
          <w:rFonts w:hint="eastAsia"/>
          <w:spacing w:val="8"/>
          <w:rtl/>
        </w:rPr>
        <w:t>ي</w:t>
      </w:r>
      <w:r>
        <w:rPr>
          <w:spacing w:val="8"/>
          <w:rtl/>
        </w:rPr>
        <w:t xml:space="preserve"> (العن</w:t>
      </w:r>
      <w:r>
        <w:rPr>
          <w:rFonts w:hint="cs"/>
          <w:spacing w:val="8"/>
          <w:rtl/>
        </w:rPr>
        <w:t>ـ</w:t>
      </w:r>
      <w:r>
        <w:rPr>
          <w:spacing w:val="8"/>
          <w:rtl/>
        </w:rPr>
        <w:t>اي</w:t>
      </w:r>
      <w:r>
        <w:rPr>
          <w:rFonts w:hint="cs"/>
          <w:spacing w:val="8"/>
          <w:rtl/>
        </w:rPr>
        <w:t>ـ</w:t>
      </w:r>
      <w:r>
        <w:rPr>
          <w:spacing w:val="8"/>
          <w:rtl/>
        </w:rPr>
        <w:t>ة)</w:t>
      </w:r>
      <w:r>
        <w:rPr>
          <w:rFonts w:hint="cs"/>
          <w:spacing w:val="8"/>
          <w:rtl/>
        </w:rPr>
        <w:t xml:space="preserve"> :</w:t>
      </w:r>
      <w:r>
        <w:rPr>
          <w:spacing w:val="8"/>
          <w:rtl/>
        </w:rPr>
        <w:t xml:space="preserve"> «قال الإمامان العَلَمَان</w:t>
      </w:r>
      <w:r>
        <w:rPr>
          <w:rStyle w:val="a7"/>
          <w:spacing w:val="8"/>
          <w:rtl/>
        </w:rPr>
        <w:footnoteReference w:id="1452"/>
      </w:r>
      <w:r>
        <w:rPr>
          <w:spacing w:val="8"/>
          <w:rtl/>
        </w:rPr>
        <w:t xml:space="preserve"> </w:t>
      </w:r>
      <w:r>
        <w:rPr>
          <w:rFonts w:hint="eastAsia"/>
          <w:spacing w:val="8"/>
          <w:rtl/>
        </w:rPr>
        <w:t>في</w:t>
      </w:r>
      <w:r>
        <w:rPr>
          <w:spacing w:val="8"/>
          <w:rtl/>
        </w:rPr>
        <w:t xml:space="preserve"> التح</w:t>
      </w:r>
      <w:r>
        <w:rPr>
          <w:rFonts w:hint="cs"/>
          <w:spacing w:val="8"/>
          <w:rtl/>
        </w:rPr>
        <w:t>ـ</w:t>
      </w:r>
      <w:r>
        <w:rPr>
          <w:spacing w:val="8"/>
          <w:rtl/>
        </w:rPr>
        <w:t>ق</w:t>
      </w:r>
      <w:r>
        <w:rPr>
          <w:rFonts w:hint="cs"/>
          <w:spacing w:val="8"/>
          <w:rtl/>
        </w:rPr>
        <w:t>ـ</w:t>
      </w:r>
      <w:r>
        <w:rPr>
          <w:spacing w:val="8"/>
          <w:rtl/>
        </w:rPr>
        <w:t>يق : شمس الأئمة</w:t>
      </w:r>
      <w:r>
        <w:rPr>
          <w:spacing w:val="8"/>
          <w:vertAlign w:val="superscript"/>
          <w:rtl/>
        </w:rPr>
        <w:t>(</w:t>
      </w:r>
      <w:r>
        <w:rPr>
          <w:rStyle w:val="a7"/>
          <w:spacing w:val="8"/>
          <w:rtl/>
        </w:rPr>
        <w:footnoteReference w:id="1453"/>
      </w:r>
      <w:r>
        <w:rPr>
          <w:spacing w:val="8"/>
          <w:vertAlign w:val="superscript"/>
          <w:rtl/>
        </w:rPr>
        <w:t>)</w:t>
      </w:r>
      <w:r>
        <w:rPr>
          <w:rFonts w:hint="cs"/>
          <w:spacing w:val="8"/>
          <w:vertAlign w:val="superscript"/>
          <w:rtl/>
        </w:rPr>
        <w:t xml:space="preserve"> </w:t>
      </w:r>
      <w:r>
        <w:rPr>
          <w:rFonts w:hint="eastAsia"/>
          <w:spacing w:val="8"/>
          <w:rtl/>
        </w:rPr>
        <w:t>و</w:t>
      </w:r>
      <w:r>
        <w:rPr>
          <w:rStyle w:val="a7"/>
          <w:spacing w:val="8"/>
          <w:rtl/>
        </w:rPr>
        <w:footnoteReference w:id="1454"/>
      </w:r>
      <w:r>
        <w:rPr>
          <w:rFonts w:hint="cs"/>
          <w:spacing w:val="8"/>
          <w:rtl/>
        </w:rPr>
        <w:t xml:space="preserve"> </w:t>
      </w:r>
      <w:r>
        <w:rPr>
          <w:rFonts w:hint="eastAsia"/>
          <w:spacing w:val="8"/>
          <w:rtl/>
        </w:rPr>
        <w:t>فخر</w:t>
      </w:r>
      <w:r>
        <w:rPr>
          <w:spacing w:val="8"/>
          <w:rtl/>
        </w:rPr>
        <w:t xml:space="preserve"> الإسلام</w:t>
      </w:r>
      <w:r>
        <w:rPr>
          <w:spacing w:val="8"/>
          <w:vertAlign w:val="superscript"/>
          <w:rtl/>
        </w:rPr>
        <w:t>(</w:t>
      </w:r>
      <w:r>
        <w:rPr>
          <w:rStyle w:val="a7"/>
          <w:spacing w:val="8"/>
          <w:rtl/>
        </w:rPr>
        <w:footnoteReference w:id="1455"/>
      </w:r>
      <w:r>
        <w:rPr>
          <w:spacing w:val="8"/>
          <w:vertAlign w:val="superscript"/>
          <w:rtl/>
        </w:rPr>
        <w:t>)</w:t>
      </w:r>
      <w:r>
        <w:rPr>
          <w:spacing w:val="8"/>
          <w:rtl/>
        </w:rPr>
        <w:t xml:space="preserve">: </w:t>
      </w:r>
    </w:p>
    <w:p w:rsidR="00C10469" w:rsidRDefault="00C10469" w:rsidP="00C10469">
      <w:pPr>
        <w:spacing w:line="540" w:lineRule="exact"/>
        <w:ind w:left="567" w:firstLine="0"/>
        <w:rPr>
          <w:rtl/>
        </w:rPr>
      </w:pPr>
      <w:r>
        <w:rPr>
          <w:rFonts w:hint="eastAsia"/>
          <w:rtl/>
        </w:rPr>
        <w:lastRenderedPageBreak/>
        <w:t>إذا</w:t>
      </w:r>
      <w:r>
        <w:rPr>
          <w:rtl/>
        </w:rPr>
        <w:t xml:space="preserve"> </w:t>
      </w:r>
      <w:r>
        <w:rPr>
          <w:rFonts w:hint="eastAsia"/>
          <w:rtl/>
        </w:rPr>
        <w:t>قال</w:t>
      </w:r>
      <w:r>
        <w:rPr>
          <w:rtl/>
        </w:rPr>
        <w:t xml:space="preserve"> الشاهدان : </w:t>
      </w:r>
      <w:r>
        <w:rPr>
          <w:rFonts w:hint="cs"/>
          <w:rtl/>
        </w:rPr>
        <w:t>إ</w:t>
      </w:r>
      <w:r>
        <w:rPr>
          <w:rtl/>
        </w:rPr>
        <w:t>نَّ</w:t>
      </w:r>
      <w:r>
        <w:rPr>
          <w:rStyle w:val="a7"/>
          <w:rtl/>
        </w:rPr>
        <w:footnoteReference w:id="1456"/>
      </w:r>
      <w:r>
        <w:rPr>
          <w:rtl/>
        </w:rPr>
        <w:t xml:space="preserve"> </w:t>
      </w:r>
      <w:r>
        <w:rPr>
          <w:rFonts w:hint="eastAsia"/>
          <w:rtl/>
        </w:rPr>
        <w:t>الزوج</w:t>
      </w:r>
      <w:r>
        <w:rPr>
          <w:rStyle w:val="a7"/>
          <w:rtl/>
        </w:rPr>
        <w:footnoteReference w:id="1457"/>
      </w:r>
      <w:r>
        <w:rPr>
          <w:rtl/>
        </w:rPr>
        <w:t xml:space="preserve"> </w:t>
      </w:r>
      <w:r>
        <w:rPr>
          <w:rFonts w:hint="eastAsia"/>
          <w:rtl/>
        </w:rPr>
        <w:t>لم</w:t>
      </w:r>
      <w:r>
        <w:rPr>
          <w:rtl/>
        </w:rPr>
        <w:t xml:space="preserve"> يقل هذه الزيادة : قبلت الشهادة؛ لأن قولهما هذا بيان منهما</w:t>
      </w:r>
      <w:r>
        <w:rPr>
          <w:rFonts w:hint="cs"/>
          <w:rtl/>
        </w:rPr>
        <w:t>؛</w:t>
      </w:r>
      <w:r>
        <w:rPr>
          <w:rtl/>
        </w:rPr>
        <w:t xml:space="preserve"> لإحاطة علمهما </w:t>
      </w:r>
      <w:r>
        <w:rPr>
          <w:rFonts w:hint="eastAsia"/>
          <w:rtl/>
        </w:rPr>
        <w:t>بذلك</w:t>
      </w:r>
      <w:r>
        <w:rPr>
          <w:rtl/>
        </w:rPr>
        <w:t>.</w:t>
      </w:r>
    </w:p>
    <w:p w:rsidR="00C10469" w:rsidRDefault="00C10469" w:rsidP="00C10469">
      <w:pPr>
        <w:spacing w:line="540" w:lineRule="exact"/>
        <w:ind w:left="567" w:firstLine="0"/>
        <w:rPr>
          <w:spacing w:val="6"/>
          <w:rtl/>
        </w:rPr>
      </w:pPr>
      <w:r>
        <w:rPr>
          <w:rFonts w:hint="eastAsia"/>
          <w:spacing w:val="6"/>
          <w:rtl/>
        </w:rPr>
        <w:t>فك</w:t>
      </w:r>
      <w:r>
        <w:rPr>
          <w:rFonts w:hint="cs"/>
          <w:spacing w:val="6"/>
          <w:rtl/>
        </w:rPr>
        <w:t>ـ</w:t>
      </w:r>
      <w:r>
        <w:rPr>
          <w:rFonts w:hint="eastAsia"/>
          <w:spacing w:val="6"/>
          <w:rtl/>
        </w:rPr>
        <w:t>ان</w:t>
      </w:r>
      <w:r>
        <w:rPr>
          <w:rStyle w:val="a7"/>
          <w:spacing w:val="6"/>
          <w:rtl/>
        </w:rPr>
        <w:footnoteReference w:id="1458"/>
      </w:r>
      <w:r>
        <w:rPr>
          <w:spacing w:val="6"/>
          <w:rtl/>
        </w:rPr>
        <w:t xml:space="preserve"> </w:t>
      </w:r>
      <w:r>
        <w:rPr>
          <w:rFonts w:hint="eastAsia"/>
          <w:spacing w:val="6"/>
          <w:rtl/>
        </w:rPr>
        <w:t>التمييز</w:t>
      </w:r>
      <w:r>
        <w:rPr>
          <w:spacing w:val="6"/>
          <w:rtl/>
        </w:rPr>
        <w:t xml:space="preserve"> بين نفي</w:t>
      </w:r>
      <w:r>
        <w:rPr>
          <w:rStyle w:val="a7"/>
          <w:spacing w:val="6"/>
          <w:rtl/>
        </w:rPr>
        <w:footnoteReference w:id="1459"/>
      </w:r>
      <w:r>
        <w:rPr>
          <w:spacing w:val="6"/>
          <w:rtl/>
        </w:rPr>
        <w:t xml:space="preserve"> </w:t>
      </w:r>
      <w:r>
        <w:rPr>
          <w:rFonts w:hint="eastAsia"/>
          <w:spacing w:val="6"/>
          <w:rtl/>
        </w:rPr>
        <w:t>ونفي</w:t>
      </w:r>
      <w:r>
        <w:rPr>
          <w:spacing w:val="6"/>
          <w:rtl/>
        </w:rPr>
        <w:t xml:space="preserve"> معتبرًا. ولكن</w:t>
      </w:r>
      <w:r>
        <w:rPr>
          <w:rStyle w:val="a7"/>
          <w:spacing w:val="6"/>
          <w:rtl/>
        </w:rPr>
        <w:footnoteReference w:id="1460"/>
      </w:r>
      <w:r>
        <w:rPr>
          <w:spacing w:val="6"/>
          <w:rtl/>
        </w:rPr>
        <w:t xml:space="preserve"> </w:t>
      </w:r>
      <w:r>
        <w:rPr>
          <w:rFonts w:hint="eastAsia"/>
          <w:spacing w:val="6"/>
          <w:rtl/>
        </w:rPr>
        <w:t>ليس</w:t>
      </w:r>
      <w:r>
        <w:rPr>
          <w:spacing w:val="6"/>
          <w:rtl/>
        </w:rPr>
        <w:t xml:space="preserve"> مختار المصنّف</w:t>
      </w:r>
      <w:r>
        <w:rPr>
          <w:spacing w:val="6"/>
          <w:vertAlign w:val="superscript"/>
          <w:rtl/>
        </w:rPr>
        <w:t>(</w:t>
      </w:r>
      <w:r>
        <w:rPr>
          <w:rStyle w:val="a7"/>
          <w:spacing w:val="6"/>
          <w:rtl/>
        </w:rPr>
        <w:footnoteReference w:id="1461"/>
      </w:r>
      <w:r>
        <w:rPr>
          <w:spacing w:val="6"/>
          <w:vertAlign w:val="superscript"/>
          <w:rtl/>
        </w:rPr>
        <w:t>)</w:t>
      </w:r>
      <w:r>
        <w:rPr>
          <w:rFonts w:hint="eastAsia"/>
          <w:spacing w:val="6"/>
          <w:rtl/>
        </w:rPr>
        <w:t>؛</w:t>
      </w:r>
      <w:r>
        <w:rPr>
          <w:spacing w:val="6"/>
          <w:rtl/>
        </w:rPr>
        <w:t xml:space="preserve"> </w:t>
      </w:r>
      <w:r>
        <w:rPr>
          <w:rFonts w:hint="eastAsia"/>
          <w:spacing w:val="6"/>
          <w:rtl/>
        </w:rPr>
        <w:t>لإفضائه</w:t>
      </w:r>
      <w:r>
        <w:rPr>
          <w:spacing w:val="6"/>
          <w:rtl/>
        </w:rPr>
        <w:t xml:space="preserve"> إلى الحرج»</w:t>
      </w:r>
      <w:r>
        <w:rPr>
          <w:spacing w:val="6"/>
          <w:vertAlign w:val="superscript"/>
          <w:rtl/>
        </w:rPr>
        <w:t>(</w:t>
      </w:r>
      <w:r>
        <w:rPr>
          <w:rStyle w:val="a7"/>
          <w:spacing w:val="6"/>
          <w:rtl/>
        </w:rPr>
        <w:footnoteReference w:id="1462"/>
      </w:r>
      <w:r>
        <w:rPr>
          <w:spacing w:val="6"/>
          <w:vertAlign w:val="superscript"/>
          <w:rtl/>
        </w:rPr>
        <w:t>)</w:t>
      </w:r>
      <w:r>
        <w:rPr>
          <w:spacing w:val="6"/>
          <w:rtl/>
        </w:rPr>
        <w:t>.</w:t>
      </w:r>
    </w:p>
    <w:p w:rsidR="00C10469" w:rsidRDefault="00C10469">
      <w:pPr>
        <w:spacing w:line="560" w:lineRule="exact"/>
        <w:rPr>
          <w:rtl/>
        </w:rPr>
      </w:pPr>
      <w:r>
        <w:rPr>
          <w:rFonts w:hint="eastAsia"/>
          <w:rtl/>
        </w:rPr>
        <w:lastRenderedPageBreak/>
        <w:t>كما</w:t>
      </w:r>
      <w:r>
        <w:rPr>
          <w:rtl/>
        </w:rPr>
        <w:t xml:space="preserve"> في [مسألة]</w:t>
      </w:r>
      <w:r>
        <w:rPr>
          <w:rStyle w:val="a7"/>
          <w:rtl/>
        </w:rPr>
        <w:footnoteReference w:id="1463"/>
      </w:r>
      <w:r>
        <w:rPr>
          <w:rtl/>
        </w:rPr>
        <w:t xml:space="preserve"> </w:t>
      </w:r>
      <w:r>
        <w:rPr>
          <w:rFonts w:hint="eastAsia"/>
          <w:rtl/>
        </w:rPr>
        <w:t>الاستبراء</w:t>
      </w:r>
      <w:r>
        <w:rPr>
          <w:rtl/>
        </w:rPr>
        <w:t xml:space="preserve"> والسفر والعقل مع البلوغ وغيرها</w:t>
      </w:r>
      <w:r>
        <w:rPr>
          <w:rStyle w:val="a7"/>
          <w:rtl/>
        </w:rPr>
        <w:footnoteReference w:id="1464"/>
      </w:r>
      <w:r>
        <w:rPr>
          <w:rtl/>
        </w:rPr>
        <w:t>.</w:t>
      </w:r>
    </w:p>
    <w:p w:rsidR="00C10469" w:rsidRDefault="00C10469" w:rsidP="00C10469">
      <w:pPr>
        <w:ind w:left="567" w:firstLine="0"/>
        <w:rPr>
          <w:rtl/>
        </w:rPr>
      </w:pPr>
      <w:r>
        <w:rPr>
          <w:rFonts w:ascii="Wingdings" w:hAnsi="Wingdings"/>
          <w:sz w:val="24"/>
          <w:szCs w:val="24"/>
        </w:rPr>
        <w:t></w:t>
      </w:r>
      <w:r>
        <w:rPr>
          <w:rtl/>
        </w:rPr>
        <w:t xml:space="preserve"> </w:t>
      </w:r>
      <w:r>
        <w:rPr>
          <w:rFonts w:hint="eastAsia"/>
          <w:rtl/>
        </w:rPr>
        <w:t>وكذا</w:t>
      </w:r>
      <w:r>
        <w:rPr>
          <w:rtl/>
        </w:rPr>
        <w:t xml:space="preserve"> مخالف</w:t>
      </w:r>
      <w:r>
        <w:rPr>
          <w:rStyle w:val="a7"/>
          <w:rtl/>
        </w:rPr>
        <w:footnoteReference w:id="1465"/>
      </w:r>
      <w:r>
        <w:rPr>
          <w:vertAlign w:val="superscript"/>
          <w:rtl/>
        </w:rPr>
        <w:t>(</w:t>
      </w:r>
      <w:r>
        <w:rPr>
          <w:rStyle w:val="a7"/>
          <w:rtl/>
        </w:rPr>
        <w:footnoteReference w:id="1466"/>
      </w:r>
      <w:r>
        <w:rPr>
          <w:vertAlign w:val="superscript"/>
          <w:rtl/>
        </w:rPr>
        <w:t>)</w:t>
      </w:r>
      <w:r>
        <w:rPr>
          <w:rtl/>
        </w:rPr>
        <w:t xml:space="preserve"> </w:t>
      </w:r>
      <w:r>
        <w:rPr>
          <w:rFonts w:hint="eastAsia"/>
          <w:rtl/>
        </w:rPr>
        <w:t>لما</w:t>
      </w:r>
      <w:r>
        <w:rPr>
          <w:rtl/>
        </w:rPr>
        <w:t xml:space="preserve"> «ذكر في (المبسوط)</w:t>
      </w:r>
      <w:r>
        <w:rPr>
          <w:vertAlign w:val="superscript"/>
          <w:rtl/>
        </w:rPr>
        <w:t>(</w:t>
      </w:r>
      <w:r>
        <w:rPr>
          <w:rStyle w:val="a7"/>
          <w:rtl/>
        </w:rPr>
        <w:footnoteReference w:id="1467"/>
      </w:r>
      <w:r>
        <w:rPr>
          <w:vertAlign w:val="superscript"/>
          <w:rtl/>
        </w:rPr>
        <w:t>)</w:t>
      </w:r>
      <w:r>
        <w:rPr>
          <w:rtl/>
        </w:rPr>
        <w:t xml:space="preserve"> : أنَّ الشهادة على النفي تسمع في الشروط؛ ولهذا</w:t>
      </w:r>
      <w:r>
        <w:rPr>
          <w:rStyle w:val="a7"/>
          <w:rtl/>
        </w:rPr>
        <w:footnoteReference w:id="1468"/>
      </w:r>
      <w:r>
        <w:rPr>
          <w:rtl/>
        </w:rPr>
        <w:t xml:space="preserve"> </w:t>
      </w:r>
      <w:r>
        <w:rPr>
          <w:rFonts w:hint="eastAsia"/>
          <w:rtl/>
        </w:rPr>
        <w:t>لو</w:t>
      </w:r>
      <w:r>
        <w:rPr>
          <w:rtl/>
        </w:rPr>
        <w:t xml:space="preserve"> قال لعبده : إن لم أدخل الدار اليوم</w:t>
      </w:r>
      <w:r>
        <w:rPr>
          <w:rStyle w:val="a7"/>
          <w:rtl/>
        </w:rPr>
        <w:footnoteReference w:id="1469"/>
      </w:r>
      <w:r>
        <w:rPr>
          <w:rtl/>
        </w:rPr>
        <w:t xml:space="preserve"> </w:t>
      </w:r>
      <w:r>
        <w:rPr>
          <w:rFonts w:hint="eastAsia"/>
          <w:rtl/>
        </w:rPr>
        <w:t>فأنت</w:t>
      </w:r>
      <w:r>
        <w:rPr>
          <w:rtl/>
        </w:rPr>
        <w:t xml:space="preserve"> حرّ. فشهدا أنه لم يدخل الدار اليوم : تقبل ويقضى بعتقه.</w:t>
      </w:r>
    </w:p>
    <w:p w:rsidR="00C10469" w:rsidRDefault="00C10469">
      <w:pPr>
        <w:rPr>
          <w:rtl/>
        </w:rPr>
      </w:pPr>
      <w:r>
        <w:rPr>
          <w:rFonts w:hint="eastAsia"/>
          <w:rtl/>
        </w:rPr>
        <w:lastRenderedPageBreak/>
        <w:t>وما</w:t>
      </w:r>
      <w:r>
        <w:rPr>
          <w:rtl/>
        </w:rPr>
        <w:t xml:space="preserve"> قال صاحب (الهداية) من قبيل الشروط!»</w:t>
      </w:r>
      <w:r>
        <w:rPr>
          <w:vertAlign w:val="superscript"/>
          <w:rtl/>
        </w:rPr>
        <w:t>(</w:t>
      </w:r>
      <w:r>
        <w:rPr>
          <w:rStyle w:val="a7"/>
          <w:rtl/>
        </w:rPr>
        <w:footnoteReference w:id="1470"/>
      </w:r>
      <w:r>
        <w:rPr>
          <w:vertAlign w:val="superscript"/>
          <w:rtl/>
        </w:rPr>
        <w:t>)</w:t>
      </w:r>
      <w:r>
        <w:rPr>
          <w:rtl/>
        </w:rPr>
        <w:t>.</w:t>
      </w:r>
    </w:p>
    <w:p w:rsidR="00C10469" w:rsidRPr="00512D56" w:rsidRDefault="00C10469">
      <w:pPr>
        <w:rPr>
          <w:rtl/>
        </w:rPr>
      </w:pPr>
      <w:r w:rsidRPr="00512D56">
        <w:rPr>
          <w:rFonts w:hint="eastAsia"/>
          <w:rtl/>
        </w:rPr>
        <w:t>فالف</w:t>
      </w:r>
      <w:r>
        <w:rPr>
          <w:rFonts w:hint="cs"/>
          <w:rtl/>
        </w:rPr>
        <w:t>ـ</w:t>
      </w:r>
      <w:r w:rsidRPr="00512D56">
        <w:rPr>
          <w:rFonts w:hint="eastAsia"/>
          <w:rtl/>
        </w:rPr>
        <w:t>رق</w:t>
      </w:r>
      <w:r w:rsidRPr="00512D56">
        <w:rPr>
          <w:rtl/>
        </w:rPr>
        <w:t xml:space="preserve"> بين عدم الدخول وبين عدم الحج </w:t>
      </w:r>
      <w:r w:rsidRPr="00512D56">
        <w:rPr>
          <w:rFonts w:hint="eastAsia"/>
          <w:rtl/>
        </w:rPr>
        <w:t>مشكل</w:t>
      </w:r>
      <w:r>
        <w:rPr>
          <w:rFonts w:hint="cs"/>
          <w:rtl/>
        </w:rPr>
        <w:t xml:space="preserve"> </w:t>
      </w:r>
      <w:r w:rsidRPr="00512D56">
        <w:rPr>
          <w:rFonts w:hint="eastAsia"/>
          <w:rtl/>
        </w:rPr>
        <w:t>،</w:t>
      </w:r>
      <w:r w:rsidRPr="00512D56">
        <w:rPr>
          <w:rtl/>
        </w:rPr>
        <w:t xml:space="preserve"> اللّهم إلاّ أن ي</w:t>
      </w:r>
      <w:r w:rsidRPr="00512D56">
        <w:rPr>
          <w:rFonts w:hint="cs"/>
          <w:rtl/>
        </w:rPr>
        <w:t>ُ</w:t>
      </w:r>
      <w:r w:rsidRPr="00512D56">
        <w:rPr>
          <w:rtl/>
        </w:rPr>
        <w:t>قال</w:t>
      </w:r>
      <w:r>
        <w:rPr>
          <w:rFonts w:hint="cs"/>
          <w:rtl/>
        </w:rPr>
        <w:t xml:space="preserve"> </w:t>
      </w:r>
      <w:r w:rsidRPr="00512D56">
        <w:rPr>
          <w:rtl/>
        </w:rPr>
        <w:t>: مسأل</w:t>
      </w:r>
      <w:r>
        <w:rPr>
          <w:rFonts w:hint="cs"/>
          <w:rtl/>
        </w:rPr>
        <w:t>ـ</w:t>
      </w:r>
      <w:r w:rsidRPr="00512D56">
        <w:rPr>
          <w:rtl/>
        </w:rPr>
        <w:t>ة</w:t>
      </w:r>
    </w:p>
    <w:p w:rsidR="00C10469" w:rsidRPr="007C05A6" w:rsidRDefault="00C10469" w:rsidP="00C10469">
      <w:pPr>
        <w:ind w:firstLine="0"/>
        <w:rPr>
          <w:rtl/>
        </w:rPr>
      </w:pPr>
      <w:r w:rsidRPr="00512D56">
        <w:rPr>
          <w:rtl/>
        </w:rPr>
        <w:t>الحج واقع</w:t>
      </w:r>
      <w:r w:rsidRPr="00512D56">
        <w:rPr>
          <w:vertAlign w:val="superscript"/>
          <w:rtl/>
        </w:rPr>
        <w:t>(</w:t>
      </w:r>
      <w:r w:rsidRPr="00512D56">
        <w:rPr>
          <w:rStyle w:val="a7"/>
          <w:rtl/>
        </w:rPr>
        <w:footnoteReference w:id="1471"/>
      </w:r>
      <w:r w:rsidRPr="00512D56">
        <w:rPr>
          <w:vertAlign w:val="superscript"/>
          <w:rtl/>
        </w:rPr>
        <w:t>)</w:t>
      </w:r>
      <w:r w:rsidRPr="00512D56">
        <w:rPr>
          <w:rtl/>
        </w:rPr>
        <w:t xml:space="preserve"> </w:t>
      </w:r>
      <w:r w:rsidRPr="00512D56">
        <w:rPr>
          <w:rFonts w:hint="eastAsia"/>
          <w:rtl/>
        </w:rPr>
        <w:t>عند</w:t>
      </w:r>
      <w:r w:rsidRPr="00512D56">
        <w:rPr>
          <w:rtl/>
        </w:rPr>
        <w:t xml:space="preserve"> تعارض بينة الع</w:t>
      </w:r>
      <w:r w:rsidRPr="00512D56">
        <w:rPr>
          <w:rFonts w:hint="cs"/>
          <w:rtl/>
        </w:rPr>
        <w:t>ـ</w:t>
      </w:r>
      <w:r w:rsidRPr="00512D56">
        <w:rPr>
          <w:rtl/>
        </w:rPr>
        <w:t>ب</w:t>
      </w:r>
      <w:r w:rsidRPr="00512D56">
        <w:rPr>
          <w:rFonts w:hint="cs"/>
          <w:rtl/>
        </w:rPr>
        <w:t>ـ</w:t>
      </w:r>
      <w:r w:rsidRPr="00512D56">
        <w:rPr>
          <w:rtl/>
        </w:rPr>
        <w:t>د ع</w:t>
      </w:r>
      <w:r w:rsidRPr="00512D56">
        <w:rPr>
          <w:rFonts w:hint="cs"/>
          <w:rtl/>
        </w:rPr>
        <w:t>ـ</w:t>
      </w:r>
      <w:r w:rsidRPr="00512D56">
        <w:rPr>
          <w:rtl/>
        </w:rPr>
        <w:t>لى ال</w:t>
      </w:r>
      <w:r w:rsidRPr="00512D56">
        <w:rPr>
          <w:rFonts w:hint="cs"/>
          <w:rtl/>
        </w:rPr>
        <w:t>ـ</w:t>
      </w:r>
      <w:r w:rsidRPr="00512D56">
        <w:rPr>
          <w:rtl/>
        </w:rPr>
        <w:t>وجه المذكور [و]</w:t>
      </w:r>
      <w:r w:rsidRPr="00512D56">
        <w:rPr>
          <w:rStyle w:val="a7"/>
          <w:rtl/>
        </w:rPr>
        <w:footnoteReference w:id="1472"/>
      </w:r>
      <w:r w:rsidRPr="00512D56">
        <w:rPr>
          <w:rtl/>
        </w:rPr>
        <w:t xml:space="preserve"> </w:t>
      </w:r>
      <w:r w:rsidRPr="00512D56">
        <w:rPr>
          <w:rFonts w:hint="eastAsia"/>
          <w:rtl/>
        </w:rPr>
        <w:t>بينة</w:t>
      </w:r>
      <w:r w:rsidRPr="00512D56">
        <w:rPr>
          <w:rtl/>
        </w:rPr>
        <w:t xml:space="preserve"> ال</w:t>
      </w:r>
      <w:r w:rsidRPr="00512D56">
        <w:rPr>
          <w:rFonts w:hint="cs"/>
          <w:rtl/>
        </w:rPr>
        <w:t>م</w:t>
      </w:r>
      <w:r w:rsidRPr="00512D56">
        <w:rPr>
          <w:rtl/>
        </w:rPr>
        <w:t>ولى على أنّه حجّ في هذا ال</w:t>
      </w:r>
      <w:r w:rsidRPr="00512D56">
        <w:rPr>
          <w:rFonts w:hint="cs"/>
          <w:rtl/>
        </w:rPr>
        <w:t>ـ</w:t>
      </w:r>
      <w:r w:rsidRPr="00512D56">
        <w:rPr>
          <w:rtl/>
        </w:rPr>
        <w:t>ع</w:t>
      </w:r>
      <w:r w:rsidRPr="00512D56">
        <w:rPr>
          <w:rFonts w:hint="cs"/>
          <w:rtl/>
        </w:rPr>
        <w:t>ـ</w:t>
      </w:r>
      <w:r w:rsidRPr="00512D56">
        <w:rPr>
          <w:rtl/>
        </w:rPr>
        <w:t>ام، وحي</w:t>
      </w:r>
      <w:r w:rsidRPr="00512D56">
        <w:rPr>
          <w:rFonts w:hint="cs"/>
          <w:rtl/>
        </w:rPr>
        <w:t>ـ</w:t>
      </w:r>
      <w:r w:rsidRPr="00512D56">
        <w:rPr>
          <w:rtl/>
        </w:rPr>
        <w:t>نئذ يُوهَمُ لزوم التَهات</w:t>
      </w:r>
      <w:r w:rsidRPr="00512D56">
        <w:rPr>
          <w:rFonts w:hint="cs"/>
          <w:rtl/>
        </w:rPr>
        <w:t>ِرِ</w:t>
      </w:r>
      <w:r w:rsidRPr="00512D56">
        <w:rPr>
          <w:rStyle w:val="a7"/>
          <w:rtl/>
        </w:rPr>
        <w:footnoteReference w:id="1473"/>
      </w:r>
      <w:r w:rsidRPr="00512D56">
        <w:rPr>
          <w:vertAlign w:val="superscript"/>
          <w:rtl/>
        </w:rPr>
        <w:t>(</w:t>
      </w:r>
      <w:r w:rsidRPr="00512D56">
        <w:rPr>
          <w:rStyle w:val="a7"/>
          <w:rtl/>
        </w:rPr>
        <w:footnoteReference w:id="1474"/>
      </w:r>
      <w:r w:rsidRPr="00512D56">
        <w:rPr>
          <w:vertAlign w:val="superscript"/>
          <w:rtl/>
        </w:rPr>
        <w:t>)</w:t>
      </w:r>
      <w:r w:rsidRPr="00512D56">
        <w:rPr>
          <w:rFonts w:hint="eastAsia"/>
          <w:rtl/>
        </w:rPr>
        <w:t>؛</w:t>
      </w:r>
      <w:r w:rsidRPr="00512D56">
        <w:rPr>
          <w:rtl/>
        </w:rPr>
        <w:t xml:space="preserve"> </w:t>
      </w:r>
      <w:r w:rsidRPr="00512D56">
        <w:rPr>
          <w:rFonts w:hint="eastAsia"/>
          <w:rtl/>
        </w:rPr>
        <w:t>لأن</w:t>
      </w:r>
      <w:r w:rsidRPr="00512D56">
        <w:rPr>
          <w:rtl/>
        </w:rPr>
        <w:t xml:space="preserve"> كل واحدة من البيّنتين في صورة الإثبات، فالتوهم [يدفع]</w:t>
      </w:r>
      <w:r w:rsidRPr="00512D56">
        <w:rPr>
          <w:rStyle w:val="a7"/>
          <w:rtl/>
        </w:rPr>
        <w:footnoteReference w:id="1475"/>
      </w:r>
      <w:r w:rsidRPr="00512D56">
        <w:rPr>
          <w:rtl/>
        </w:rPr>
        <w:t xml:space="preserve"> </w:t>
      </w:r>
      <w:r w:rsidRPr="00512D56">
        <w:rPr>
          <w:rFonts w:hint="eastAsia"/>
          <w:rtl/>
        </w:rPr>
        <w:t>بترجيح</w:t>
      </w:r>
      <w:r w:rsidRPr="00512D56">
        <w:rPr>
          <w:rtl/>
        </w:rPr>
        <w:t xml:space="preserve"> بيّنة المولى</w:t>
      </w:r>
      <w:r w:rsidRPr="00512D56">
        <w:rPr>
          <w:rStyle w:val="a7"/>
          <w:rtl/>
        </w:rPr>
        <w:footnoteReference w:id="1476"/>
      </w:r>
      <w:r w:rsidRPr="00512D56">
        <w:rPr>
          <w:rFonts w:hint="eastAsia"/>
          <w:rtl/>
        </w:rPr>
        <w:t>؛</w:t>
      </w:r>
      <w:r w:rsidRPr="00512D56">
        <w:rPr>
          <w:rtl/>
        </w:rPr>
        <w:t xml:space="preserve"> </w:t>
      </w:r>
      <w:r w:rsidRPr="00512D56">
        <w:rPr>
          <w:rFonts w:hint="eastAsia"/>
          <w:rtl/>
        </w:rPr>
        <w:t>لأنها</w:t>
      </w:r>
      <w:r w:rsidRPr="00512D56">
        <w:rPr>
          <w:rtl/>
        </w:rPr>
        <w:t xml:space="preserve"> مثبتة صورة</w:t>
      </w:r>
      <w:r w:rsidRPr="00512D56">
        <w:rPr>
          <w:rStyle w:val="a7"/>
          <w:rtl/>
        </w:rPr>
        <w:footnoteReference w:id="1477"/>
      </w:r>
      <w:r w:rsidRPr="00512D56">
        <w:rPr>
          <w:rtl/>
        </w:rPr>
        <w:t xml:space="preserve"> </w:t>
      </w:r>
      <w:r w:rsidRPr="00512D56">
        <w:rPr>
          <w:rFonts w:hint="eastAsia"/>
          <w:rtl/>
        </w:rPr>
        <w:t>ومعنى،</w:t>
      </w:r>
      <w:r w:rsidRPr="00512D56">
        <w:rPr>
          <w:rtl/>
        </w:rPr>
        <w:t xml:space="preserve"> </w:t>
      </w:r>
      <w:r w:rsidRPr="007C05A6">
        <w:rPr>
          <w:rFonts w:hint="cs"/>
          <w:rtl/>
        </w:rPr>
        <w:t>[و</w:t>
      </w:r>
      <w:r w:rsidRPr="007C05A6">
        <w:rPr>
          <w:rtl/>
        </w:rPr>
        <w:t>بينة</w:t>
      </w:r>
      <w:r w:rsidRPr="007C05A6">
        <w:rPr>
          <w:rFonts w:hint="cs"/>
          <w:rtl/>
        </w:rPr>
        <w:t>]</w:t>
      </w:r>
      <w:r w:rsidRPr="007C05A6">
        <w:rPr>
          <w:rStyle w:val="a7"/>
          <w:rtl/>
        </w:rPr>
        <w:footnoteReference w:id="1478"/>
      </w:r>
      <w:r w:rsidRPr="007C05A6">
        <w:rPr>
          <w:rtl/>
        </w:rPr>
        <w:t xml:space="preserve"> </w:t>
      </w:r>
      <w:r w:rsidRPr="007C05A6">
        <w:rPr>
          <w:rFonts w:hint="eastAsia"/>
          <w:rtl/>
        </w:rPr>
        <w:t>العبد</w:t>
      </w:r>
      <w:r w:rsidRPr="007C05A6">
        <w:rPr>
          <w:rtl/>
        </w:rPr>
        <w:t xml:space="preserve"> مثبتة صورة لا معنى، فلا يعتق لعدم تحققّ الشرط وهو عدم الحجّ، </w:t>
      </w:r>
      <w:r>
        <w:rPr>
          <w:rFonts w:hint="cs"/>
          <w:rtl/>
        </w:rPr>
        <w:br/>
      </w:r>
      <w:r w:rsidRPr="007C05A6">
        <w:rPr>
          <w:rtl/>
        </w:rPr>
        <w:t xml:space="preserve">والمولى </w:t>
      </w:r>
      <w:r w:rsidRPr="007C05A6">
        <w:rPr>
          <w:rFonts w:hint="eastAsia"/>
          <w:rtl/>
        </w:rPr>
        <w:t>أثبته</w:t>
      </w:r>
      <w:r w:rsidRPr="007C05A6">
        <w:rPr>
          <w:rtl/>
        </w:rPr>
        <w:t>.</w:t>
      </w:r>
      <w:r w:rsidRPr="007C05A6">
        <w:rPr>
          <w:rFonts w:hint="cs"/>
          <w:rtl/>
        </w:rPr>
        <w:t xml:space="preserve"> </w:t>
      </w:r>
    </w:p>
    <w:p w:rsidR="00C10469" w:rsidRDefault="00C10469" w:rsidP="00C10469">
      <w:pPr>
        <w:ind w:firstLine="0"/>
        <w:rPr>
          <w:rtl/>
        </w:rPr>
      </w:pPr>
      <w:r>
        <w:rPr>
          <w:rFonts w:hint="cs"/>
          <w:rtl/>
        </w:rPr>
        <w:lastRenderedPageBreak/>
        <w:t xml:space="preserve">       </w:t>
      </w:r>
      <w:r>
        <w:rPr>
          <w:rFonts w:hint="eastAsia"/>
          <w:rtl/>
        </w:rPr>
        <w:t>وأم</w:t>
      </w:r>
      <w:r>
        <w:rPr>
          <w:rFonts w:hint="cs"/>
          <w:rtl/>
        </w:rPr>
        <w:t>ـــــ</w:t>
      </w:r>
      <w:r>
        <w:rPr>
          <w:rFonts w:hint="eastAsia"/>
          <w:rtl/>
        </w:rPr>
        <w:t>ا</w:t>
      </w:r>
      <w:r>
        <w:rPr>
          <w:rtl/>
        </w:rPr>
        <w:t xml:space="preserve"> م</w:t>
      </w:r>
      <w:r>
        <w:rPr>
          <w:rFonts w:hint="cs"/>
          <w:rtl/>
        </w:rPr>
        <w:t>ــ</w:t>
      </w:r>
      <w:r>
        <w:rPr>
          <w:rtl/>
        </w:rPr>
        <w:t>س</w:t>
      </w:r>
      <w:r>
        <w:rPr>
          <w:rFonts w:hint="cs"/>
          <w:rtl/>
        </w:rPr>
        <w:t>ــــ</w:t>
      </w:r>
      <w:r>
        <w:rPr>
          <w:rtl/>
        </w:rPr>
        <w:t>أل</w:t>
      </w:r>
      <w:r>
        <w:rPr>
          <w:rFonts w:hint="cs"/>
          <w:rtl/>
        </w:rPr>
        <w:t>ـــ</w:t>
      </w:r>
      <w:r>
        <w:rPr>
          <w:rtl/>
        </w:rPr>
        <w:t>ة (ال</w:t>
      </w:r>
      <w:r>
        <w:rPr>
          <w:rFonts w:hint="cs"/>
          <w:rtl/>
        </w:rPr>
        <w:t>ــ</w:t>
      </w:r>
      <w:r>
        <w:rPr>
          <w:rtl/>
        </w:rPr>
        <w:t>م</w:t>
      </w:r>
      <w:r>
        <w:rPr>
          <w:rFonts w:hint="cs"/>
          <w:rtl/>
        </w:rPr>
        <w:t>ـــ</w:t>
      </w:r>
      <w:r>
        <w:rPr>
          <w:rtl/>
        </w:rPr>
        <w:t>ب</w:t>
      </w:r>
      <w:r>
        <w:rPr>
          <w:rFonts w:hint="cs"/>
          <w:rtl/>
        </w:rPr>
        <w:t>ــ</w:t>
      </w:r>
      <w:r>
        <w:rPr>
          <w:rtl/>
        </w:rPr>
        <w:t>س</w:t>
      </w:r>
      <w:r>
        <w:rPr>
          <w:rFonts w:hint="cs"/>
          <w:rtl/>
        </w:rPr>
        <w:t>ــ</w:t>
      </w:r>
      <w:r>
        <w:rPr>
          <w:rtl/>
        </w:rPr>
        <w:t>وط)</w:t>
      </w:r>
      <w:r>
        <w:rPr>
          <w:vertAlign w:val="superscript"/>
          <w:rtl/>
        </w:rPr>
        <w:t>(</w:t>
      </w:r>
      <w:r>
        <w:rPr>
          <w:rStyle w:val="a7"/>
          <w:rtl/>
        </w:rPr>
        <w:footnoteReference w:id="1479"/>
      </w:r>
      <w:r>
        <w:rPr>
          <w:vertAlign w:val="superscript"/>
          <w:rtl/>
        </w:rPr>
        <w:t>)</w:t>
      </w:r>
      <w:r>
        <w:rPr>
          <w:rtl/>
        </w:rPr>
        <w:t xml:space="preserve"> </w:t>
      </w:r>
    </w:p>
    <w:p w:rsidR="00C10469" w:rsidRDefault="00C10469" w:rsidP="00C10469">
      <w:pPr>
        <w:ind w:firstLine="0"/>
        <w:rPr>
          <w:rtl/>
        </w:rPr>
      </w:pPr>
      <w:r>
        <w:rPr>
          <w:rFonts w:hint="cs"/>
          <w:rtl/>
        </w:rPr>
        <w:t xml:space="preserve"> </w:t>
      </w:r>
      <w:r>
        <w:rPr>
          <w:rFonts w:hint="eastAsia"/>
          <w:rtl/>
        </w:rPr>
        <w:t>واقع</w:t>
      </w:r>
      <w:r>
        <w:rPr>
          <w:vertAlign w:val="superscript"/>
          <w:rtl/>
        </w:rPr>
        <w:t>(</w:t>
      </w:r>
      <w:r>
        <w:rPr>
          <w:rStyle w:val="a7"/>
          <w:rtl/>
        </w:rPr>
        <w:footnoteReference w:id="1480"/>
      </w:r>
      <w:r>
        <w:rPr>
          <w:vertAlign w:val="superscript"/>
          <w:rtl/>
        </w:rPr>
        <w:t>)</w:t>
      </w:r>
      <w:r>
        <w:rPr>
          <w:rtl/>
        </w:rPr>
        <w:t xml:space="preserve"> </w:t>
      </w:r>
      <w:r>
        <w:rPr>
          <w:rFonts w:hint="eastAsia"/>
          <w:rtl/>
        </w:rPr>
        <w:t>عند</w:t>
      </w:r>
      <w:r>
        <w:rPr>
          <w:rtl/>
        </w:rPr>
        <w:t xml:space="preserve"> عجز الزوج عن إقامة البينة، فحينئذٍ يقع الطلاق بالاتفاق</w:t>
      </w:r>
      <w:r>
        <w:rPr>
          <w:rStyle w:val="a7"/>
          <w:rtl/>
        </w:rPr>
        <w:footnoteReference w:id="1481"/>
      </w:r>
      <w:r>
        <w:rPr>
          <w:rFonts w:hint="eastAsia"/>
          <w:rtl/>
        </w:rPr>
        <w:t>،</w:t>
      </w:r>
      <w:r>
        <w:rPr>
          <w:rtl/>
        </w:rPr>
        <w:t xml:space="preserve"> </w:t>
      </w:r>
      <w:r>
        <w:rPr>
          <w:rFonts w:hint="eastAsia"/>
          <w:rtl/>
        </w:rPr>
        <w:t>ولكن</w:t>
      </w:r>
      <w:r>
        <w:rPr>
          <w:rtl/>
        </w:rPr>
        <w:t xml:space="preserve"> </w:t>
      </w:r>
      <w:r>
        <w:rPr>
          <w:rtl/>
        </w:rPr>
        <w:lastRenderedPageBreak/>
        <w:t>دليلهما</w:t>
      </w:r>
      <w:r>
        <w:rPr>
          <w:vertAlign w:val="superscript"/>
          <w:rtl/>
        </w:rPr>
        <w:t>(</w:t>
      </w:r>
      <w:r>
        <w:rPr>
          <w:rStyle w:val="a7"/>
          <w:rtl/>
        </w:rPr>
        <w:footnoteReference w:id="1482"/>
      </w:r>
      <w:r>
        <w:rPr>
          <w:vertAlign w:val="superscript"/>
          <w:rtl/>
        </w:rPr>
        <w:t>)</w:t>
      </w:r>
      <w:r>
        <w:rPr>
          <w:rtl/>
        </w:rPr>
        <w:t xml:space="preserve"> </w:t>
      </w:r>
      <w:r>
        <w:rPr>
          <w:rFonts w:hint="eastAsia"/>
          <w:rtl/>
        </w:rPr>
        <w:t>في</w:t>
      </w:r>
      <w:r>
        <w:rPr>
          <w:rtl/>
        </w:rPr>
        <w:t xml:space="preserve"> وقوع الطلاق</w:t>
      </w:r>
      <w:r>
        <w:rPr>
          <w:rFonts w:hint="cs"/>
          <w:rtl/>
        </w:rPr>
        <w:t>:</w:t>
      </w:r>
      <w:r>
        <w:rPr>
          <w:rtl/>
        </w:rPr>
        <w:t xml:space="preserve"> أنّ</w:t>
      </w:r>
      <w:r>
        <w:rPr>
          <w:rStyle w:val="a7"/>
          <w:rtl/>
        </w:rPr>
        <w:footnoteReference w:id="1483"/>
      </w:r>
      <w:r>
        <w:rPr>
          <w:rtl/>
        </w:rPr>
        <w:t xml:space="preserve"> </w:t>
      </w:r>
      <w:r>
        <w:rPr>
          <w:rFonts w:hint="eastAsia"/>
          <w:rtl/>
        </w:rPr>
        <w:t>«الأصل</w:t>
      </w:r>
      <w:r>
        <w:rPr>
          <w:rtl/>
        </w:rPr>
        <w:t xml:space="preserve"> في الحوادث العدم»</w:t>
      </w:r>
      <w:r>
        <w:rPr>
          <w:vertAlign w:val="superscript"/>
          <w:rtl/>
        </w:rPr>
        <w:t>(</w:t>
      </w:r>
      <w:r>
        <w:rPr>
          <w:rStyle w:val="a7"/>
          <w:rtl/>
        </w:rPr>
        <w:footnoteReference w:id="1484"/>
      </w:r>
      <w:r>
        <w:rPr>
          <w:vertAlign w:val="superscript"/>
          <w:rtl/>
        </w:rPr>
        <w:t>)</w:t>
      </w:r>
      <w:r>
        <w:rPr>
          <w:rFonts w:hint="eastAsia"/>
          <w:rtl/>
        </w:rPr>
        <w:t>،</w:t>
      </w:r>
      <w:r>
        <w:rPr>
          <w:rtl/>
        </w:rPr>
        <w:t xml:space="preserve"> </w:t>
      </w:r>
      <w:r>
        <w:rPr>
          <w:rFonts w:hint="eastAsia"/>
          <w:rtl/>
        </w:rPr>
        <w:t>فلا</w:t>
      </w:r>
      <w:r>
        <w:rPr>
          <w:rtl/>
        </w:rPr>
        <w:t xml:space="preserve"> يثبت</w:t>
      </w:r>
      <w:r>
        <w:rPr>
          <w:rStyle w:val="a7"/>
          <w:rtl/>
        </w:rPr>
        <w:footnoteReference w:id="1485"/>
      </w:r>
      <w:r>
        <w:rPr>
          <w:rtl/>
        </w:rPr>
        <w:t xml:space="preserve"> </w:t>
      </w:r>
      <w:r>
        <w:rPr>
          <w:rFonts w:hint="eastAsia"/>
          <w:rtl/>
        </w:rPr>
        <w:t>إلا</w:t>
      </w:r>
      <w:r>
        <w:rPr>
          <w:rtl/>
        </w:rPr>
        <w:t xml:space="preserve"> بالبيّنة، فلما عجز الزوج عن الإثبات عند الدعوى حكمنا بعدم دخولها</w:t>
      </w:r>
      <w:r>
        <w:rPr>
          <w:vertAlign w:val="superscript"/>
          <w:rtl/>
        </w:rPr>
        <w:t>(</w:t>
      </w:r>
      <w:r>
        <w:rPr>
          <w:rStyle w:val="a7"/>
          <w:rtl/>
        </w:rPr>
        <w:footnoteReference w:id="1486"/>
      </w:r>
      <w:r>
        <w:rPr>
          <w:vertAlign w:val="superscript"/>
          <w:rtl/>
        </w:rPr>
        <w:t>)</w:t>
      </w:r>
      <w:r>
        <w:rPr>
          <w:rFonts w:hint="eastAsia"/>
          <w:rtl/>
        </w:rPr>
        <w:t>؛</w:t>
      </w:r>
      <w:r>
        <w:rPr>
          <w:rtl/>
        </w:rPr>
        <w:t xml:space="preserve"> </w:t>
      </w:r>
      <w:r>
        <w:rPr>
          <w:rFonts w:hint="eastAsia"/>
          <w:rtl/>
        </w:rPr>
        <w:t>لأنه</w:t>
      </w:r>
      <w:r>
        <w:rPr>
          <w:rtl/>
        </w:rPr>
        <w:t xml:space="preserve"> أصلٌ</w:t>
      </w:r>
      <w:r>
        <w:rPr>
          <w:vertAlign w:val="superscript"/>
          <w:rtl/>
        </w:rPr>
        <w:t>(</w:t>
      </w:r>
      <w:r>
        <w:rPr>
          <w:rStyle w:val="a7"/>
          <w:rtl/>
        </w:rPr>
        <w:footnoteReference w:id="1487"/>
      </w:r>
      <w:r>
        <w:rPr>
          <w:vertAlign w:val="superscript"/>
          <w:rtl/>
        </w:rPr>
        <w:t>)</w:t>
      </w:r>
      <w:r>
        <w:rPr>
          <w:rtl/>
        </w:rPr>
        <w:t xml:space="preserve"> </w:t>
      </w:r>
      <w:r>
        <w:rPr>
          <w:rFonts w:hint="eastAsia"/>
          <w:rtl/>
        </w:rPr>
        <w:t>فيقع</w:t>
      </w:r>
      <w:r>
        <w:rPr>
          <w:rtl/>
        </w:rPr>
        <w:t xml:space="preserve"> الطلاق لتحقُّق</w:t>
      </w:r>
      <w:r>
        <w:rPr>
          <w:rStyle w:val="a7"/>
          <w:rtl/>
        </w:rPr>
        <w:footnoteReference w:id="1488"/>
      </w:r>
      <w:r>
        <w:rPr>
          <w:rtl/>
        </w:rPr>
        <w:t xml:space="preserve"> </w:t>
      </w:r>
      <w:r>
        <w:rPr>
          <w:rFonts w:hint="eastAsia"/>
          <w:rtl/>
        </w:rPr>
        <w:t>الشرطِ،</w:t>
      </w:r>
      <w:r>
        <w:rPr>
          <w:rtl/>
        </w:rPr>
        <w:t xml:space="preserve"> وهو عدم الدخول.</w:t>
      </w:r>
    </w:p>
    <w:p w:rsidR="00C10469" w:rsidRDefault="00C10469" w:rsidP="00C10469">
      <w:pPr>
        <w:rPr>
          <w:spacing w:val="-6"/>
          <w:rtl/>
        </w:rPr>
      </w:pPr>
      <w:r>
        <w:rPr>
          <w:rFonts w:hint="eastAsia"/>
          <w:spacing w:val="-6"/>
          <w:rtl/>
        </w:rPr>
        <w:t>وعند</w:t>
      </w:r>
      <w:r>
        <w:rPr>
          <w:spacing w:val="-6"/>
          <w:rtl/>
        </w:rPr>
        <w:t xml:space="preserve"> أبي يوسف: يحكم بالطلاق </w:t>
      </w:r>
      <w:r>
        <w:rPr>
          <w:rFonts w:hint="eastAsia"/>
          <w:spacing w:val="-6"/>
          <w:rtl/>
        </w:rPr>
        <w:t>بشهادة</w:t>
      </w:r>
      <w:r>
        <w:rPr>
          <w:spacing w:val="-6"/>
          <w:rtl/>
        </w:rPr>
        <w:t xml:space="preserve"> النفي، فتحقق الشرط، فيقع الطلاق أيضًا.</w:t>
      </w:r>
    </w:p>
    <w:p w:rsidR="00C10469" w:rsidRDefault="00C10469" w:rsidP="00C10469">
      <w:pPr>
        <w:rPr>
          <w:rtl/>
        </w:rPr>
      </w:pPr>
      <w:r>
        <w:rPr>
          <w:rFonts w:hint="eastAsia"/>
          <w:rtl/>
        </w:rPr>
        <w:t>ويؤيّد</w:t>
      </w:r>
      <w:r>
        <w:rPr>
          <w:rtl/>
        </w:rPr>
        <w:t xml:space="preserve"> ما قلنا : أن الزوج إذا أثبت </w:t>
      </w:r>
      <w:r>
        <w:rPr>
          <w:rFonts w:hint="eastAsia"/>
          <w:rtl/>
        </w:rPr>
        <w:t>الدخول</w:t>
      </w:r>
      <w:r>
        <w:rPr>
          <w:rtl/>
        </w:rPr>
        <w:t xml:space="preserve"> هل يمكن أن تقول : يقع الطلاق؟، فإن قلت : (نعم) فعليك البيان.</w:t>
      </w:r>
    </w:p>
    <w:p w:rsidR="00C10469" w:rsidRDefault="00C10469" w:rsidP="00C10469">
      <w:pPr>
        <w:ind w:left="848" w:hanging="426"/>
        <w:rPr>
          <w:rtl/>
        </w:rPr>
      </w:pPr>
      <w:r>
        <w:rPr>
          <w:rFonts w:ascii="Wingdings" w:hAnsi="Wingdings"/>
        </w:rPr>
        <w:lastRenderedPageBreak/>
        <w:t></w:t>
      </w:r>
      <w:r>
        <w:rPr>
          <w:rtl/>
        </w:rPr>
        <w:t xml:space="preserve"> </w:t>
      </w:r>
      <w:r>
        <w:rPr>
          <w:rFonts w:hint="eastAsia"/>
          <w:rtl/>
        </w:rPr>
        <w:t>وكذا</w:t>
      </w:r>
      <w:r>
        <w:rPr>
          <w:rtl/>
        </w:rPr>
        <w:t xml:space="preserve"> مخالف للأصل الذي استدل</w:t>
      </w:r>
      <w:r>
        <w:rPr>
          <w:rStyle w:val="a7"/>
          <w:rtl/>
        </w:rPr>
        <w:footnoteReference w:id="1489"/>
      </w:r>
      <w:r>
        <w:rPr>
          <w:rtl/>
        </w:rPr>
        <w:t xml:space="preserve"> </w:t>
      </w:r>
      <w:r>
        <w:rPr>
          <w:rFonts w:hint="eastAsia"/>
          <w:rtl/>
        </w:rPr>
        <w:t>به</w:t>
      </w:r>
      <w:r>
        <w:rPr>
          <w:rtl/>
        </w:rPr>
        <w:t xml:space="preserve"> محمد -مع كونه مسلّمٌ</w:t>
      </w:r>
      <w:r>
        <w:rPr>
          <w:vertAlign w:val="superscript"/>
          <w:rtl/>
        </w:rPr>
        <w:t>(</w:t>
      </w:r>
      <w:r>
        <w:rPr>
          <w:rStyle w:val="a7"/>
          <w:rtl/>
        </w:rPr>
        <w:footnoteReference w:id="1490"/>
      </w:r>
      <w:r>
        <w:rPr>
          <w:vertAlign w:val="superscript"/>
          <w:rtl/>
        </w:rPr>
        <w:t>)</w:t>
      </w:r>
      <w:r>
        <w:rPr>
          <w:rtl/>
        </w:rPr>
        <w:t xml:space="preserve"> </w:t>
      </w:r>
      <w:r>
        <w:rPr>
          <w:rFonts w:hint="eastAsia"/>
          <w:rtl/>
        </w:rPr>
        <w:t>بين</w:t>
      </w:r>
      <w:r>
        <w:rPr>
          <w:rtl/>
        </w:rPr>
        <w:t xml:space="preserve"> القوم</w:t>
      </w:r>
      <w:r>
        <w:rPr>
          <w:rStyle w:val="a7"/>
          <w:rtl/>
        </w:rPr>
        <w:footnoteReference w:id="1491"/>
      </w:r>
      <w:r>
        <w:rPr>
          <w:rtl/>
        </w:rPr>
        <w:t>- وهو الضرورات ممّا لا يدخله</w:t>
      </w:r>
      <w:r>
        <w:rPr>
          <w:vertAlign w:val="superscript"/>
          <w:rtl/>
        </w:rPr>
        <w:t>(</w:t>
      </w:r>
      <w:r>
        <w:rPr>
          <w:rStyle w:val="a7"/>
          <w:rtl/>
        </w:rPr>
        <w:footnoteReference w:id="1492"/>
      </w:r>
      <w:r>
        <w:rPr>
          <w:vertAlign w:val="superscript"/>
          <w:rtl/>
        </w:rPr>
        <w:t>)</w:t>
      </w:r>
      <w:r>
        <w:rPr>
          <w:rtl/>
        </w:rPr>
        <w:t xml:space="preserve"> </w:t>
      </w:r>
      <w:r>
        <w:rPr>
          <w:rFonts w:hint="eastAsia"/>
          <w:rtl/>
        </w:rPr>
        <w:t>الشك</w:t>
      </w:r>
      <w:r>
        <w:rPr>
          <w:rtl/>
        </w:rPr>
        <w:t xml:space="preserve"> عندنا، فَرَدُّ شهادةِ</w:t>
      </w:r>
      <w:r>
        <w:rPr>
          <w:rStyle w:val="a7"/>
          <w:rtl/>
        </w:rPr>
        <w:footnoteReference w:id="1493"/>
      </w:r>
      <w:r>
        <w:rPr>
          <w:rtl/>
        </w:rPr>
        <w:t xml:space="preserve"> </w:t>
      </w:r>
      <w:r>
        <w:rPr>
          <w:rFonts w:hint="eastAsia"/>
          <w:rtl/>
        </w:rPr>
        <w:t>شاهدٍ</w:t>
      </w:r>
      <w:r>
        <w:rPr>
          <w:rtl/>
        </w:rPr>
        <w:t xml:space="preserve"> يحيط به</w:t>
      </w:r>
      <w:r>
        <w:rPr>
          <w:vertAlign w:val="superscript"/>
          <w:rtl/>
        </w:rPr>
        <w:t>(</w:t>
      </w:r>
      <w:r>
        <w:rPr>
          <w:rStyle w:val="a7"/>
          <w:rtl/>
        </w:rPr>
        <w:footnoteReference w:id="1494"/>
      </w:r>
      <w:r>
        <w:rPr>
          <w:vertAlign w:val="superscript"/>
          <w:rtl/>
        </w:rPr>
        <w:t>)</w:t>
      </w:r>
      <w:r>
        <w:rPr>
          <w:rtl/>
        </w:rPr>
        <w:t xml:space="preserve"> </w:t>
      </w:r>
      <w:r>
        <w:rPr>
          <w:rFonts w:hint="eastAsia"/>
          <w:rtl/>
        </w:rPr>
        <w:t>علمه</w:t>
      </w:r>
      <w:r>
        <w:rPr>
          <w:rtl/>
        </w:rPr>
        <w:t xml:space="preserve"> تكذيبُ </w:t>
      </w:r>
      <w:r>
        <w:rPr>
          <w:rFonts w:hint="eastAsia"/>
          <w:rtl/>
        </w:rPr>
        <w:t>الثابت</w:t>
      </w:r>
      <w:r>
        <w:rPr>
          <w:rStyle w:val="a7"/>
          <w:rtl/>
        </w:rPr>
        <w:footnoteReference w:id="1495"/>
      </w:r>
      <w:r>
        <w:rPr>
          <w:rtl/>
        </w:rPr>
        <w:t xml:space="preserve"> </w:t>
      </w:r>
      <w:r>
        <w:rPr>
          <w:rFonts w:hint="eastAsia"/>
          <w:rtl/>
        </w:rPr>
        <w:t>بالضرورة،</w:t>
      </w:r>
      <w:r>
        <w:rPr>
          <w:rtl/>
        </w:rPr>
        <w:t xml:space="preserve"> وهو ممّا لا يجوز عندنا.</w:t>
      </w:r>
    </w:p>
    <w:p w:rsidR="00C10469" w:rsidRDefault="00C10469" w:rsidP="00C10469">
      <w:pPr>
        <w:spacing w:line="233" w:lineRule="auto"/>
        <w:rPr>
          <w:rtl/>
        </w:rPr>
      </w:pPr>
      <w:r>
        <w:rPr>
          <w:rFonts w:hint="cs"/>
          <w:rtl/>
        </w:rPr>
        <w:t xml:space="preserve">    </w:t>
      </w:r>
      <w:r>
        <w:rPr>
          <w:rFonts w:hint="eastAsia"/>
          <w:rtl/>
        </w:rPr>
        <w:t>فعلى</w:t>
      </w:r>
      <w:r>
        <w:rPr>
          <w:rtl/>
        </w:rPr>
        <w:t xml:space="preserve"> مذهب الأصوليّين : يلزم أن يكون في </w:t>
      </w:r>
      <w:r>
        <w:rPr>
          <w:rFonts w:hint="eastAsia"/>
          <w:rtl/>
        </w:rPr>
        <w:t>هذا</w:t>
      </w:r>
      <w:r>
        <w:rPr>
          <w:rtl/>
        </w:rPr>
        <w:t xml:space="preserve"> الباب [أصلان]</w:t>
      </w:r>
      <w:r>
        <w:rPr>
          <w:rStyle w:val="a7"/>
          <w:rtl/>
        </w:rPr>
        <w:footnoteReference w:id="1496"/>
      </w:r>
      <w:r>
        <w:rPr>
          <w:rFonts w:hint="cs"/>
          <w:rtl/>
        </w:rPr>
        <w:t>.</w:t>
      </w:r>
    </w:p>
    <w:p w:rsidR="00C10469" w:rsidRDefault="00C10469" w:rsidP="00C10469">
      <w:pPr>
        <w:spacing w:line="233" w:lineRule="auto"/>
        <w:ind w:left="848" w:hanging="294"/>
        <w:rPr>
          <w:rtl/>
        </w:rPr>
      </w:pPr>
      <w:r>
        <w:rPr>
          <w:b/>
          <w:bCs/>
          <w:rtl/>
        </w:rPr>
        <w:t>•</w:t>
      </w:r>
      <w:r>
        <w:rPr>
          <w:rFonts w:hint="cs"/>
          <w:b/>
          <w:bCs/>
          <w:rtl/>
        </w:rPr>
        <w:t xml:space="preserve">  </w:t>
      </w:r>
      <w:r>
        <w:rPr>
          <w:rFonts w:hint="eastAsia"/>
          <w:b/>
          <w:bCs/>
          <w:rtl/>
        </w:rPr>
        <w:t>أحدهما</w:t>
      </w:r>
      <w:r>
        <w:rPr>
          <w:rtl/>
        </w:rPr>
        <w:t xml:space="preserve"> : ع</w:t>
      </w:r>
      <w:r>
        <w:rPr>
          <w:rFonts w:hint="cs"/>
          <w:rtl/>
        </w:rPr>
        <w:t>ـ</w:t>
      </w:r>
      <w:r>
        <w:rPr>
          <w:rtl/>
        </w:rPr>
        <w:t>دم ق</w:t>
      </w:r>
      <w:r>
        <w:rPr>
          <w:rFonts w:hint="cs"/>
          <w:rtl/>
        </w:rPr>
        <w:t>ـ</w:t>
      </w:r>
      <w:r>
        <w:rPr>
          <w:rtl/>
        </w:rPr>
        <w:t>بول الش</w:t>
      </w:r>
      <w:r>
        <w:rPr>
          <w:rFonts w:hint="cs"/>
          <w:rtl/>
        </w:rPr>
        <w:t>ـ</w:t>
      </w:r>
      <w:r>
        <w:rPr>
          <w:rtl/>
        </w:rPr>
        <w:t>هادة في النفي إذا كان غير محصور لا يحيط به علم الشاهد</w:t>
      </w:r>
      <w:r>
        <w:rPr>
          <w:rFonts w:hint="cs"/>
          <w:rtl/>
        </w:rPr>
        <w:t>.</w:t>
      </w:r>
      <w:r>
        <w:rPr>
          <w:rtl/>
        </w:rPr>
        <w:t xml:space="preserve"> </w:t>
      </w:r>
    </w:p>
    <w:p w:rsidR="00C10469" w:rsidRDefault="00C10469" w:rsidP="00C10469">
      <w:pPr>
        <w:spacing w:line="233" w:lineRule="auto"/>
        <w:ind w:left="848" w:hanging="294"/>
        <w:rPr>
          <w:rtl/>
        </w:rPr>
      </w:pPr>
      <w:r>
        <w:rPr>
          <w:b/>
          <w:bCs/>
          <w:rtl/>
        </w:rPr>
        <w:t>•</w:t>
      </w:r>
      <w:r>
        <w:rPr>
          <w:rFonts w:hint="cs"/>
          <w:b/>
          <w:bCs/>
          <w:rtl/>
        </w:rPr>
        <w:t xml:space="preserve">  </w:t>
      </w:r>
      <w:r>
        <w:rPr>
          <w:rFonts w:hint="eastAsia"/>
          <w:b/>
          <w:bCs/>
          <w:rtl/>
        </w:rPr>
        <w:t>والآخر</w:t>
      </w:r>
      <w:r>
        <w:rPr>
          <w:rtl/>
        </w:rPr>
        <w:t xml:space="preserve"> : قبول الشهادة في النفي إذا كان محصورًا يحيط به علم الشاهد عن دليل -كما مرّ-</w:t>
      </w:r>
      <w:r>
        <w:rPr>
          <w:rFonts w:hint="cs"/>
          <w:rtl/>
        </w:rPr>
        <w:t>.</w:t>
      </w:r>
    </w:p>
    <w:p w:rsidR="00C10469" w:rsidRDefault="00C10469" w:rsidP="00C10469">
      <w:pPr>
        <w:spacing w:line="233" w:lineRule="auto"/>
        <w:rPr>
          <w:rtl/>
        </w:rPr>
      </w:pPr>
      <w:r>
        <w:rPr>
          <w:rFonts w:hint="eastAsia"/>
          <w:b/>
          <w:bCs/>
          <w:rtl/>
        </w:rPr>
        <w:t>أقول</w:t>
      </w:r>
      <w:r>
        <w:rPr>
          <w:rtl/>
        </w:rPr>
        <w:t xml:space="preserve"> : الظاهر من</w:t>
      </w:r>
      <w:r>
        <w:rPr>
          <w:rStyle w:val="a7"/>
          <w:rtl/>
        </w:rPr>
        <w:footnoteReference w:id="1497"/>
      </w:r>
      <w:r>
        <w:rPr>
          <w:rtl/>
        </w:rPr>
        <w:t xml:space="preserve"> </w:t>
      </w:r>
      <w:r>
        <w:rPr>
          <w:rFonts w:hint="eastAsia"/>
          <w:rtl/>
        </w:rPr>
        <w:t>قولهم</w:t>
      </w:r>
      <w:r>
        <w:rPr>
          <w:rtl/>
        </w:rPr>
        <w:t xml:space="preserve"> عند أبي حنيفة وأبي يوسف</w:t>
      </w:r>
      <w:r>
        <w:rPr>
          <w:rFonts w:hint="cs"/>
          <w:rtl/>
        </w:rPr>
        <w:t xml:space="preserve"> :</w:t>
      </w:r>
      <w:r>
        <w:rPr>
          <w:rtl/>
        </w:rPr>
        <w:t xml:space="preserve"> «لا فرق بين نفي ونفي تيسيرًا»</w:t>
      </w:r>
      <w:r>
        <w:rPr>
          <w:vertAlign w:val="superscript"/>
          <w:rtl/>
        </w:rPr>
        <w:t>(</w:t>
      </w:r>
      <w:r>
        <w:rPr>
          <w:rStyle w:val="a7"/>
          <w:rtl/>
        </w:rPr>
        <w:footnoteReference w:id="1498"/>
      </w:r>
      <w:r>
        <w:rPr>
          <w:vertAlign w:val="superscript"/>
          <w:rtl/>
        </w:rPr>
        <w:t>)</w:t>
      </w:r>
      <w:r>
        <w:rPr>
          <w:rtl/>
        </w:rPr>
        <w:t xml:space="preserve"> </w:t>
      </w:r>
      <w:r>
        <w:rPr>
          <w:rFonts w:hint="eastAsia"/>
          <w:rtl/>
        </w:rPr>
        <w:t>على</w:t>
      </w:r>
      <w:r>
        <w:rPr>
          <w:rtl/>
        </w:rPr>
        <w:t xml:space="preserve"> خلاف قول محمد.</w:t>
      </w:r>
    </w:p>
    <w:p w:rsidR="00C10469" w:rsidRDefault="00C10469" w:rsidP="00C10469">
      <w:pPr>
        <w:spacing w:line="233" w:lineRule="auto"/>
        <w:rPr>
          <w:rtl/>
        </w:rPr>
      </w:pPr>
      <w:r>
        <w:rPr>
          <w:rFonts w:hint="eastAsia"/>
          <w:rtl/>
        </w:rPr>
        <w:lastRenderedPageBreak/>
        <w:t>فَلِمَ</w:t>
      </w:r>
      <w:r>
        <w:rPr>
          <w:rStyle w:val="a7"/>
          <w:rtl/>
        </w:rPr>
        <w:footnoteReference w:id="1499"/>
      </w:r>
      <w:r>
        <w:rPr>
          <w:rtl/>
        </w:rPr>
        <w:t xml:space="preserve"> </w:t>
      </w:r>
      <w:r>
        <w:rPr>
          <w:rFonts w:hint="eastAsia"/>
          <w:rtl/>
        </w:rPr>
        <w:t>لَمْ</w:t>
      </w:r>
      <w:r>
        <w:rPr>
          <w:rtl/>
        </w:rPr>
        <w:t xml:space="preserve"> يذكروا الخلاف فيما </w:t>
      </w:r>
      <w:r>
        <w:rPr>
          <w:rFonts w:hint="cs"/>
          <w:rtl/>
        </w:rPr>
        <w:t>إ</w:t>
      </w:r>
      <w:r>
        <w:rPr>
          <w:rtl/>
        </w:rPr>
        <w:t>ذا شهدا على أن الزوج أنه</w:t>
      </w:r>
      <w:r>
        <w:rPr>
          <w:rStyle w:val="a7"/>
          <w:rtl/>
        </w:rPr>
        <w:footnoteReference w:id="1500"/>
      </w:r>
      <w:r>
        <w:rPr>
          <w:rtl/>
        </w:rPr>
        <w:t xml:space="preserve"> </w:t>
      </w:r>
      <w:r>
        <w:rPr>
          <w:rFonts w:hint="eastAsia"/>
          <w:rtl/>
        </w:rPr>
        <w:t>لم</w:t>
      </w:r>
      <w:r>
        <w:rPr>
          <w:rtl/>
        </w:rPr>
        <w:t xml:space="preserve"> [يستثنِ]</w:t>
      </w:r>
      <w:r>
        <w:rPr>
          <w:rStyle w:val="a7"/>
          <w:rtl/>
        </w:rPr>
        <w:footnoteReference w:id="1501"/>
      </w:r>
      <w:r>
        <w:rPr>
          <w:rtl/>
        </w:rPr>
        <w:t xml:space="preserve"> </w:t>
      </w:r>
      <w:r>
        <w:rPr>
          <w:rFonts w:hint="eastAsia"/>
          <w:rtl/>
        </w:rPr>
        <w:t>في</w:t>
      </w:r>
      <w:r>
        <w:rPr>
          <w:rtl/>
        </w:rPr>
        <w:t xml:space="preserve"> الطلاق، أو لم يقل : قالت النصارى - عند قوله</w:t>
      </w:r>
      <w:r>
        <w:rPr>
          <w:rStyle w:val="a7"/>
          <w:rtl/>
        </w:rPr>
        <w:footnoteReference w:id="1502"/>
      </w:r>
      <w:r>
        <w:rPr>
          <w:rtl/>
        </w:rPr>
        <w:t xml:space="preserve"> : </w:t>
      </w:r>
      <w:r>
        <w:rPr>
          <w:color w:val="000000"/>
          <w:sz w:val="28"/>
          <w:szCs w:val="28"/>
        </w:rPr>
        <w:sym w:font="HQPB2" w:char="F0E2"/>
      </w:r>
      <w:r>
        <w:rPr>
          <w:color w:val="000000"/>
          <w:sz w:val="28"/>
          <w:szCs w:val="28"/>
          <w:rtl/>
        </w:rPr>
        <w:t xml:space="preserve">  </w:t>
      </w:r>
      <w:r>
        <w:rPr>
          <w:color w:val="000000"/>
          <w:sz w:val="28"/>
          <w:szCs w:val="28"/>
        </w:rPr>
        <w:sym w:font="HQPB4" w:char="F0DF"/>
      </w:r>
      <w:r>
        <w:rPr>
          <w:color w:val="000000"/>
          <w:sz w:val="28"/>
          <w:szCs w:val="28"/>
        </w:rPr>
        <w:sym w:font="HQPB1" w:char="F078"/>
      </w:r>
      <w:r>
        <w:rPr>
          <w:color w:val="000000"/>
          <w:sz w:val="28"/>
          <w:szCs w:val="28"/>
        </w:rPr>
        <w:sym w:font="HQPB2" w:char="F08A"/>
      </w:r>
      <w:r>
        <w:rPr>
          <w:color w:val="000000"/>
          <w:sz w:val="28"/>
          <w:szCs w:val="28"/>
        </w:rPr>
        <w:sym w:font="HQPB4" w:char="F0C5"/>
      </w:r>
      <w:r>
        <w:rPr>
          <w:color w:val="000000"/>
          <w:sz w:val="28"/>
          <w:szCs w:val="28"/>
        </w:rPr>
        <w:sym w:font="HQPB1" w:char="F0A1"/>
      </w:r>
      <w:r>
        <w:rPr>
          <w:color w:val="000000"/>
          <w:sz w:val="28"/>
          <w:szCs w:val="28"/>
        </w:rPr>
        <w:sym w:font="HQPB5" w:char="F079"/>
      </w:r>
      <w:r>
        <w:rPr>
          <w:color w:val="000000"/>
          <w:sz w:val="28"/>
          <w:szCs w:val="28"/>
        </w:rPr>
        <w:sym w:font="HQPB2" w:char="F04A"/>
      </w:r>
      <w:r>
        <w:rPr>
          <w:color w:val="000000"/>
          <w:sz w:val="28"/>
          <w:szCs w:val="28"/>
        </w:rPr>
        <w:sym w:font="HQPB4" w:char="F0F8"/>
      </w:r>
      <w:r>
        <w:rPr>
          <w:color w:val="000000"/>
          <w:sz w:val="28"/>
          <w:szCs w:val="28"/>
        </w:rPr>
        <w:sym w:font="HQPB2" w:char="F039"/>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4" w:char="F0DA"/>
      </w:r>
      <w:r>
        <w:rPr>
          <w:color w:val="000000"/>
          <w:sz w:val="28"/>
          <w:szCs w:val="28"/>
        </w:rPr>
        <w:sym w:font="HQPB2" w:char="F0C6"/>
      </w:r>
      <w:r>
        <w:rPr>
          <w:color w:val="000000"/>
          <w:sz w:val="28"/>
          <w:szCs w:val="28"/>
        </w:rPr>
        <w:sym w:font="HQPB4" w:char="F0F6"/>
      </w:r>
      <w:r>
        <w:rPr>
          <w:color w:val="000000"/>
          <w:sz w:val="28"/>
          <w:szCs w:val="28"/>
        </w:rPr>
        <w:sym w:font="HQPB1" w:char="F02F"/>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5" w:char="F0AB"/>
      </w:r>
      <w:r>
        <w:rPr>
          <w:color w:val="000000"/>
          <w:sz w:val="28"/>
          <w:szCs w:val="28"/>
        </w:rPr>
        <w:sym w:font="HQPB1" w:char="F021"/>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4" w:char="F028"/>
      </w:r>
      <w:r>
        <w:rPr>
          <w:color w:val="000000"/>
          <w:sz w:val="28"/>
          <w:szCs w:val="28"/>
          <w:rtl/>
        </w:rPr>
        <w:t xml:space="preserve"> </w:t>
      </w:r>
      <w:r>
        <w:rPr>
          <w:color w:val="000000"/>
          <w:sz w:val="28"/>
          <w:szCs w:val="28"/>
        </w:rPr>
        <w:sym w:font="HQPB2" w:char="F0E1"/>
      </w:r>
      <w:r>
        <w:rPr>
          <w:vertAlign w:val="superscript"/>
          <w:rtl/>
        </w:rPr>
        <w:t xml:space="preserve"> (</w:t>
      </w:r>
      <w:r>
        <w:rPr>
          <w:rStyle w:val="a7"/>
          <w:rtl/>
        </w:rPr>
        <w:footnoteReference w:id="1503"/>
      </w:r>
      <w:r>
        <w:rPr>
          <w:vertAlign w:val="superscript"/>
          <w:rtl/>
        </w:rPr>
        <w:t>)</w:t>
      </w:r>
      <w:r>
        <w:rPr>
          <w:rtl/>
        </w:rPr>
        <w:t xml:space="preserve">- </w:t>
      </w:r>
      <w:r>
        <w:rPr>
          <w:rFonts w:hint="eastAsia"/>
          <w:rtl/>
        </w:rPr>
        <w:t>ويحكم</w:t>
      </w:r>
      <w:r>
        <w:rPr>
          <w:rtl/>
        </w:rPr>
        <w:t xml:space="preserve"> بالطلاق في الأول، وبالكفر في الثاني بالاتفاق، مع أن مقتضى الأصل عندهما : </w:t>
      </w:r>
      <w:r>
        <w:rPr>
          <w:rFonts w:hint="eastAsia"/>
          <w:rtl/>
        </w:rPr>
        <w:t>أن</w:t>
      </w:r>
      <w:r>
        <w:rPr>
          <w:rtl/>
        </w:rPr>
        <w:t xml:space="preserve"> لا يحكم بالطلاق والكفر؛ لأن البينة قامت على النفي؟</w:t>
      </w:r>
      <w:r>
        <w:rPr>
          <w:rFonts w:hint="cs"/>
          <w:rtl/>
        </w:rPr>
        <w:t>.</w:t>
      </w:r>
    </w:p>
    <w:p w:rsidR="00C10469" w:rsidRDefault="00C10469" w:rsidP="00C10469">
      <w:pPr>
        <w:spacing w:line="233" w:lineRule="auto"/>
        <w:rPr>
          <w:spacing w:val="-4"/>
          <w:rtl/>
        </w:rPr>
      </w:pPr>
      <w:r>
        <w:rPr>
          <w:rFonts w:hint="eastAsia"/>
          <w:b/>
          <w:bCs/>
          <w:spacing w:val="-4"/>
          <w:rtl/>
        </w:rPr>
        <w:t>والجواب</w:t>
      </w:r>
      <w:r>
        <w:rPr>
          <w:spacing w:val="-4"/>
          <w:rtl/>
        </w:rPr>
        <w:t xml:space="preserve"> : أن شهادتهما قامت على أنه طلّق</w:t>
      </w:r>
      <w:r>
        <w:rPr>
          <w:rStyle w:val="a7"/>
          <w:spacing w:val="-4"/>
          <w:rtl/>
        </w:rPr>
        <w:footnoteReference w:id="1504"/>
      </w:r>
      <w:r>
        <w:rPr>
          <w:spacing w:val="-4"/>
          <w:rtl/>
        </w:rPr>
        <w:t xml:space="preserve"> </w:t>
      </w:r>
      <w:r>
        <w:rPr>
          <w:rFonts w:hint="eastAsia"/>
          <w:spacing w:val="-4"/>
          <w:rtl/>
        </w:rPr>
        <w:t>امرأته،</w:t>
      </w:r>
      <w:r>
        <w:rPr>
          <w:spacing w:val="-4"/>
          <w:rtl/>
        </w:rPr>
        <w:t xml:space="preserve"> أو تكلم بكلمة الكفر، ولا يعتبر قولهما أنّه لم يستثنِ، أو لم يقل : قالت </w:t>
      </w:r>
      <w:r>
        <w:rPr>
          <w:rFonts w:hint="eastAsia"/>
          <w:spacing w:val="-4"/>
          <w:rtl/>
        </w:rPr>
        <w:t>النصارى؛</w:t>
      </w:r>
      <w:r>
        <w:rPr>
          <w:spacing w:val="-4"/>
          <w:rtl/>
        </w:rPr>
        <w:t xml:space="preserve"> لأن «الأصل في الحوادث العدم»</w:t>
      </w:r>
      <w:r>
        <w:rPr>
          <w:spacing w:val="-4"/>
          <w:vertAlign w:val="superscript"/>
          <w:rtl/>
        </w:rPr>
        <w:t>(</w:t>
      </w:r>
      <w:r>
        <w:rPr>
          <w:rStyle w:val="a7"/>
          <w:spacing w:val="-4"/>
          <w:rtl/>
        </w:rPr>
        <w:footnoteReference w:id="1505"/>
      </w:r>
      <w:r>
        <w:rPr>
          <w:spacing w:val="-4"/>
          <w:vertAlign w:val="superscript"/>
          <w:rtl/>
        </w:rPr>
        <w:t>)</w:t>
      </w:r>
      <w:r>
        <w:rPr>
          <w:spacing w:val="-4"/>
          <w:rtl/>
        </w:rPr>
        <w:t xml:space="preserve"> </w:t>
      </w:r>
    </w:p>
    <w:p w:rsidR="00C10469" w:rsidRDefault="00C10469">
      <w:pPr>
        <w:ind w:firstLine="0"/>
        <w:rPr>
          <w:rtl/>
        </w:rPr>
      </w:pPr>
      <w:r>
        <w:rPr>
          <w:rFonts w:hint="eastAsia"/>
          <w:rtl/>
        </w:rPr>
        <w:t>ولا</w:t>
      </w:r>
      <w:r>
        <w:rPr>
          <w:rtl/>
        </w:rPr>
        <w:t xml:space="preserve"> يحتاج إلى إثباته بالبينة، فلا يرد النقض على أصلهما.</w:t>
      </w:r>
    </w:p>
    <w:p w:rsidR="00C10469" w:rsidRDefault="00C10469">
      <w:pPr>
        <w:rPr>
          <w:spacing w:val="-6"/>
          <w:rtl/>
        </w:rPr>
      </w:pPr>
      <w:r>
        <w:rPr>
          <w:rFonts w:hint="eastAsia"/>
          <w:spacing w:val="-6"/>
          <w:rtl/>
        </w:rPr>
        <w:t>فالاختلاف</w:t>
      </w:r>
      <w:r>
        <w:rPr>
          <w:spacing w:val="-6"/>
          <w:rtl/>
        </w:rPr>
        <w:t xml:space="preserve"> في مثل هذا بينهما</w:t>
      </w:r>
      <w:r>
        <w:rPr>
          <w:rStyle w:val="a7"/>
          <w:spacing w:val="-6"/>
          <w:rtl/>
        </w:rPr>
        <w:footnoteReference w:id="1506"/>
      </w:r>
      <w:r>
        <w:rPr>
          <w:spacing w:val="-6"/>
          <w:rtl/>
        </w:rPr>
        <w:t xml:space="preserve"> </w:t>
      </w:r>
      <w:r>
        <w:rPr>
          <w:rFonts w:hint="eastAsia"/>
          <w:spacing w:val="-6"/>
          <w:rtl/>
        </w:rPr>
        <w:t>وبين</w:t>
      </w:r>
      <w:r>
        <w:rPr>
          <w:spacing w:val="-6"/>
          <w:rtl/>
        </w:rPr>
        <w:t xml:space="preserve"> محمد إنما يكون في الدليل لا الحكم، فدليلهما </w:t>
      </w:r>
      <w:r>
        <w:rPr>
          <w:spacing w:val="-6"/>
          <w:rtl/>
        </w:rPr>
        <w:lastRenderedPageBreak/>
        <w:t>ما ذكرنا، ودليل أبي يوسف</w:t>
      </w:r>
      <w:r>
        <w:rPr>
          <w:rFonts w:hint="cs"/>
          <w:spacing w:val="-6"/>
          <w:vertAlign w:val="superscript"/>
          <w:rtl/>
        </w:rPr>
        <w:t>(</w:t>
      </w:r>
      <w:r>
        <w:rPr>
          <w:rStyle w:val="a7"/>
          <w:spacing w:val="-6"/>
          <w:rtl/>
        </w:rPr>
        <w:footnoteReference w:id="1507"/>
      </w:r>
      <w:r>
        <w:rPr>
          <w:rFonts w:hint="cs"/>
          <w:spacing w:val="-6"/>
          <w:vertAlign w:val="superscript"/>
          <w:rtl/>
        </w:rPr>
        <w:t>)</w:t>
      </w:r>
      <w:r>
        <w:rPr>
          <w:spacing w:val="-6"/>
          <w:rtl/>
        </w:rPr>
        <w:t xml:space="preserve"> تقدم </w:t>
      </w:r>
      <w:r>
        <w:rPr>
          <w:rFonts w:hint="eastAsia"/>
          <w:spacing w:val="-6"/>
          <w:rtl/>
        </w:rPr>
        <w:t>في</w:t>
      </w:r>
      <w:r>
        <w:rPr>
          <w:spacing w:val="-6"/>
          <w:rtl/>
        </w:rPr>
        <w:t xml:space="preserve"> أثناء الكلام</w:t>
      </w:r>
      <w:r>
        <w:rPr>
          <w:rStyle w:val="a7"/>
          <w:spacing w:val="-6"/>
          <w:rtl/>
        </w:rPr>
        <w:footnoteReference w:id="1508"/>
      </w:r>
      <w:r>
        <w:rPr>
          <w:rFonts w:hint="eastAsia"/>
          <w:spacing w:val="-6"/>
          <w:rtl/>
        </w:rPr>
        <w:t>،</w:t>
      </w:r>
      <w:r>
        <w:rPr>
          <w:spacing w:val="-6"/>
          <w:rtl/>
        </w:rPr>
        <w:t xml:space="preserve"> </w:t>
      </w:r>
      <w:r>
        <w:rPr>
          <w:rFonts w:hint="eastAsia"/>
          <w:spacing w:val="-6"/>
          <w:rtl/>
        </w:rPr>
        <w:t>فلا</w:t>
      </w:r>
      <w:r>
        <w:rPr>
          <w:spacing w:val="-6"/>
          <w:rtl/>
        </w:rPr>
        <w:t xml:space="preserve"> حاجة إلى الإعادة</w:t>
      </w:r>
      <w:r>
        <w:rPr>
          <w:rStyle w:val="a7"/>
          <w:spacing w:val="-6"/>
          <w:rtl/>
        </w:rPr>
        <w:footnoteReference w:id="1509"/>
      </w:r>
      <w:r>
        <w:rPr>
          <w:spacing w:val="-6"/>
          <w:rtl/>
        </w:rPr>
        <w:t>.</w:t>
      </w:r>
    </w:p>
    <w:p w:rsidR="00C10469" w:rsidRDefault="00C10469">
      <w:pPr>
        <w:rPr>
          <w:rtl/>
        </w:rPr>
      </w:pPr>
      <w:r>
        <w:rPr>
          <w:rFonts w:hint="eastAsia"/>
          <w:rtl/>
        </w:rPr>
        <w:t>واستثنى</w:t>
      </w:r>
      <w:r>
        <w:rPr>
          <w:rtl/>
        </w:rPr>
        <w:t xml:space="preserve"> ابن نجيم عن</w:t>
      </w:r>
      <w:r>
        <w:rPr>
          <w:rStyle w:val="a7"/>
          <w:rtl/>
        </w:rPr>
        <w:footnoteReference w:id="1510"/>
      </w:r>
      <w:r>
        <w:rPr>
          <w:rtl/>
        </w:rPr>
        <w:t xml:space="preserve"> </w:t>
      </w:r>
      <w:r>
        <w:rPr>
          <w:rFonts w:hint="eastAsia"/>
          <w:rtl/>
        </w:rPr>
        <w:t>هذا</w:t>
      </w:r>
      <w:r>
        <w:rPr>
          <w:rtl/>
        </w:rPr>
        <w:t xml:space="preserve"> الأصل في </w:t>
      </w:r>
      <w:r>
        <w:rPr>
          <w:rFonts w:hint="cs"/>
          <w:rtl/>
        </w:rPr>
        <w:t>(</w:t>
      </w:r>
      <w:r>
        <w:rPr>
          <w:rtl/>
        </w:rPr>
        <w:t>أشباهه</w:t>
      </w:r>
      <w:r>
        <w:rPr>
          <w:rFonts w:hint="cs"/>
          <w:rtl/>
        </w:rPr>
        <w:t>)</w:t>
      </w:r>
      <w:r>
        <w:rPr>
          <w:vertAlign w:val="superscript"/>
          <w:rtl/>
        </w:rPr>
        <w:t>(</w:t>
      </w:r>
      <w:r>
        <w:rPr>
          <w:rStyle w:val="a7"/>
          <w:rtl/>
        </w:rPr>
        <w:footnoteReference w:id="1511"/>
      </w:r>
      <w:r>
        <w:rPr>
          <w:vertAlign w:val="superscript"/>
          <w:rtl/>
        </w:rPr>
        <w:t>)</w:t>
      </w:r>
      <w:r>
        <w:rPr>
          <w:rtl/>
        </w:rPr>
        <w:t xml:space="preserve"> [عشر]</w:t>
      </w:r>
      <w:r>
        <w:rPr>
          <w:rStyle w:val="a7"/>
          <w:rtl/>
        </w:rPr>
        <w:footnoteReference w:id="1512"/>
      </w:r>
      <w:r>
        <w:rPr>
          <w:rtl/>
        </w:rPr>
        <w:t xml:space="preserve"> </w:t>
      </w:r>
      <w:r>
        <w:rPr>
          <w:rFonts w:hint="eastAsia"/>
          <w:rtl/>
        </w:rPr>
        <w:t>مسائل</w:t>
      </w:r>
      <w:r>
        <w:rPr>
          <w:rtl/>
        </w:rPr>
        <w:t xml:space="preserve"> على وجه الانحصار. ومن تتبّ</w:t>
      </w:r>
      <w:r>
        <w:rPr>
          <w:rFonts w:hint="cs"/>
          <w:rtl/>
        </w:rPr>
        <w:t>َ</w:t>
      </w:r>
      <w:r>
        <w:rPr>
          <w:rtl/>
        </w:rPr>
        <w:t>ع</w:t>
      </w:r>
      <w:r>
        <w:rPr>
          <w:rFonts w:hint="cs"/>
          <w:rtl/>
        </w:rPr>
        <w:t>َ</w:t>
      </w:r>
      <w:r>
        <w:rPr>
          <w:rtl/>
        </w:rPr>
        <w:t xml:space="preserve"> كتب</w:t>
      </w:r>
      <w:r>
        <w:rPr>
          <w:rFonts w:hint="cs"/>
          <w:rtl/>
        </w:rPr>
        <w:t>َ</w:t>
      </w:r>
      <w:r>
        <w:rPr>
          <w:rtl/>
        </w:rPr>
        <w:t xml:space="preserve"> الفقه</w:t>
      </w:r>
      <w:r>
        <w:rPr>
          <w:rFonts w:hint="cs"/>
          <w:rtl/>
        </w:rPr>
        <w:t>ِ</w:t>
      </w:r>
      <w:r>
        <w:rPr>
          <w:rtl/>
        </w:rPr>
        <w:t xml:space="preserve"> ظهر له انّ انحصاره ليس كما ينبغي.</w:t>
      </w:r>
    </w:p>
    <w:p w:rsidR="00C10469" w:rsidRDefault="00C10469">
      <w:pPr>
        <w:rPr>
          <w:rtl/>
        </w:rPr>
      </w:pPr>
      <w:r>
        <w:rPr>
          <w:rFonts w:hint="eastAsia"/>
          <w:rtl/>
        </w:rPr>
        <w:t>فبهذا</w:t>
      </w:r>
      <w:r>
        <w:rPr>
          <w:rtl/>
        </w:rPr>
        <w:t xml:space="preserve"> المقدار من البيان يظهر الجواب في </w:t>
      </w:r>
      <w:r>
        <w:rPr>
          <w:rFonts w:hint="eastAsia"/>
          <w:rtl/>
        </w:rPr>
        <w:t>سائر</w:t>
      </w:r>
      <w:r>
        <w:rPr>
          <w:rtl/>
        </w:rPr>
        <w:t xml:space="preserve"> [المستثنيات]</w:t>
      </w:r>
      <w:r>
        <w:rPr>
          <w:rStyle w:val="a7"/>
          <w:rtl/>
        </w:rPr>
        <w:footnoteReference w:id="1513"/>
      </w:r>
      <w:r>
        <w:rPr>
          <w:rtl/>
        </w:rPr>
        <w:t xml:space="preserve"> </w:t>
      </w:r>
      <w:r>
        <w:rPr>
          <w:rFonts w:hint="eastAsia"/>
          <w:rtl/>
        </w:rPr>
        <w:t>لمن</w:t>
      </w:r>
      <w:r>
        <w:rPr>
          <w:rtl/>
        </w:rPr>
        <w:t xml:space="preserve"> له ذوق سليم، ولا حاجة إلى التفصيل</w:t>
      </w:r>
      <w:r>
        <w:rPr>
          <w:rStyle w:val="a7"/>
          <w:rtl/>
        </w:rPr>
        <w:footnoteReference w:id="1514"/>
      </w:r>
      <w:r>
        <w:rPr>
          <w:rtl/>
        </w:rPr>
        <w:t xml:space="preserve"> </w:t>
      </w:r>
      <w:r>
        <w:rPr>
          <w:rFonts w:hint="eastAsia"/>
          <w:rtl/>
        </w:rPr>
        <w:t>عند</w:t>
      </w:r>
      <w:r>
        <w:rPr>
          <w:rtl/>
        </w:rPr>
        <w:t xml:space="preserve"> من احترز عن التطويل، والحمد لله الجليل.</w:t>
      </w:r>
      <w:r>
        <w:rPr>
          <w:rFonts w:hint="cs"/>
          <w:rtl/>
        </w:rPr>
        <w:t xml:space="preserve"> </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jc w:val="center"/>
        <w:rPr>
          <w:rtl/>
        </w:rPr>
        <w:sectPr w:rsidR="00C10469" w:rsidSect="00C10469">
          <w:headerReference w:type="default" r:id="rId11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27695" w:rsidRDefault="00C10469">
      <w:pPr>
        <w:pStyle w:val="a9"/>
        <w:rPr>
          <w:rFonts w:cs="AL-Mateen"/>
          <w:rtl/>
          <w:lang w:val="en-US"/>
        </w:rPr>
      </w:pPr>
      <w:r w:rsidRPr="00B27695">
        <w:rPr>
          <w:rFonts w:cs="AL-Mateen"/>
          <w:rtl/>
          <w:lang w:val="en-US"/>
        </w:rPr>
        <w:lastRenderedPageBreak/>
        <w:t>[ القـاعـدة التـاسعة والخمسـون ]</w:t>
      </w:r>
    </w:p>
    <w:p w:rsidR="00C10469" w:rsidRDefault="00C10469">
      <w:pPr>
        <w:rPr>
          <w:b/>
          <w:bCs/>
          <w:rtl/>
        </w:rPr>
      </w:pPr>
      <w:r>
        <w:rPr>
          <w:rFonts w:cs="Monotype Koufi" w:hint="eastAsia"/>
          <w:rtl/>
        </w:rPr>
        <w:t>ب</w:t>
      </w:r>
      <w:r>
        <w:rPr>
          <w:rFonts w:cs="Monotype Koufi" w:hint="cs"/>
          <w:rtl/>
        </w:rPr>
        <w:t>َ</w:t>
      </w:r>
      <w:r>
        <w:rPr>
          <w:rFonts w:cs="Monotype Koufi" w:hint="eastAsia"/>
          <w:rtl/>
        </w:rPr>
        <w:t>ي</w:t>
      </w:r>
      <w:r>
        <w:rPr>
          <w:rFonts w:cs="Monotype Koufi" w:hint="cs"/>
          <w:rtl/>
        </w:rPr>
        <w:t>ْ</w:t>
      </w:r>
      <w:r>
        <w:rPr>
          <w:rFonts w:cs="Monotype Koufi" w:hint="eastAsia"/>
          <w:rtl/>
        </w:rPr>
        <w:t>ع</w:t>
      </w:r>
      <w:r>
        <w:rPr>
          <w:rFonts w:cs="Monotype Koufi" w:hint="cs"/>
          <w:rtl/>
        </w:rPr>
        <w:t>ُ</w:t>
      </w:r>
      <w:r>
        <w:rPr>
          <w:rFonts w:cs="Monotype Koufi"/>
          <w:rtl/>
        </w:rPr>
        <w:t xml:space="preserve"> الح</w:t>
      </w:r>
      <w:r>
        <w:rPr>
          <w:rFonts w:cs="Monotype Koufi" w:hint="cs"/>
          <w:rtl/>
        </w:rPr>
        <w:t>ُ</w:t>
      </w:r>
      <w:r>
        <w:rPr>
          <w:rFonts w:cs="Monotype Koufi"/>
          <w:rtl/>
        </w:rPr>
        <w:t>ق</w:t>
      </w:r>
      <w:r>
        <w:rPr>
          <w:rFonts w:cs="Monotype Koufi" w:hint="cs"/>
          <w:rtl/>
        </w:rPr>
        <w:t>ُ</w:t>
      </w:r>
      <w:r>
        <w:rPr>
          <w:rFonts w:cs="Monotype Koufi"/>
          <w:rtl/>
        </w:rPr>
        <w:t>وق</w:t>
      </w:r>
      <w:r>
        <w:rPr>
          <w:rFonts w:cs="Monotype Koufi" w:hint="cs"/>
          <w:rtl/>
        </w:rPr>
        <w:t>ِ</w:t>
      </w:r>
      <w:r>
        <w:rPr>
          <w:rFonts w:cs="Monotype Koufi"/>
          <w:rtl/>
        </w:rPr>
        <w:t xml:space="preserve"> لا يجوز</w:t>
      </w:r>
      <w:r>
        <w:rPr>
          <w:rFonts w:cs="Monotype Koufi" w:hint="cs"/>
          <w:rtl/>
        </w:rPr>
        <w:t>ُ</w:t>
      </w:r>
      <w:r>
        <w:rPr>
          <w:rFonts w:cs="Monotype Koufi"/>
          <w:rtl/>
        </w:rPr>
        <w:t xml:space="preserve"> بالان</w:t>
      </w:r>
      <w:r>
        <w:rPr>
          <w:rFonts w:cs="Monotype Koufi" w:hint="cs"/>
          <w:rtl/>
        </w:rPr>
        <w:t>ْ</w:t>
      </w:r>
      <w:r>
        <w:rPr>
          <w:rFonts w:cs="Monotype Koufi"/>
          <w:rtl/>
        </w:rPr>
        <w:t>ف</w:t>
      </w:r>
      <w:r>
        <w:rPr>
          <w:rFonts w:cs="Monotype Koufi" w:hint="cs"/>
          <w:rtl/>
        </w:rPr>
        <w:t>ِ</w:t>
      </w:r>
      <w:r>
        <w:rPr>
          <w:rFonts w:cs="Monotype Koufi"/>
          <w:rtl/>
        </w:rPr>
        <w:t>ر</w:t>
      </w:r>
      <w:r>
        <w:rPr>
          <w:rFonts w:cs="Monotype Koufi" w:hint="cs"/>
          <w:rtl/>
        </w:rPr>
        <w:t>َ</w:t>
      </w:r>
      <w:r>
        <w:rPr>
          <w:rFonts w:cs="Monotype Koufi"/>
          <w:rtl/>
        </w:rPr>
        <w:t>اد</w:t>
      </w:r>
      <w:r>
        <w:rPr>
          <w:rFonts w:cs="Monotype Koufi" w:hint="cs"/>
          <w:rtl/>
        </w:rPr>
        <w:t>ِ</w:t>
      </w:r>
      <w:r>
        <w:rPr>
          <w:vertAlign w:val="superscript"/>
          <w:rtl/>
        </w:rPr>
        <w:t>(</w:t>
      </w:r>
      <w:r>
        <w:rPr>
          <w:rStyle w:val="a7"/>
          <w:rtl/>
        </w:rPr>
        <w:footnoteReference w:id="1515"/>
      </w:r>
      <w:r>
        <w:rPr>
          <w:vertAlign w:val="superscript"/>
          <w:rtl/>
        </w:rPr>
        <w:t>)</w:t>
      </w:r>
      <w:r>
        <w:rPr>
          <w:b/>
          <w:bCs/>
          <w:rtl/>
        </w:rPr>
        <w:t xml:space="preserve"> :</w:t>
      </w:r>
    </w:p>
    <w:p w:rsidR="00C10469" w:rsidRDefault="00C10469">
      <w:pPr>
        <w:rPr>
          <w:rtl/>
        </w:rPr>
      </w:pPr>
      <w:r>
        <w:rPr>
          <w:rFonts w:hint="eastAsia"/>
          <w:b/>
          <w:bCs/>
          <w:rtl/>
        </w:rPr>
        <w:t>ولهذا</w:t>
      </w:r>
      <w:r>
        <w:rPr>
          <w:b/>
          <w:bCs/>
          <w:rtl/>
        </w:rPr>
        <w:t xml:space="preserve"> </w:t>
      </w:r>
      <w:r>
        <w:rPr>
          <w:rtl/>
        </w:rPr>
        <w:t xml:space="preserve">: صحّ </w:t>
      </w:r>
      <w:r>
        <w:rPr>
          <w:rFonts w:hint="eastAsia"/>
          <w:rtl/>
        </w:rPr>
        <w:t>بيع</w:t>
      </w:r>
      <w:r>
        <w:rPr>
          <w:rtl/>
        </w:rPr>
        <w:t xml:space="preserve"> حق المرور تبعًا للأرض، [لا]</w:t>
      </w:r>
      <w:r>
        <w:rPr>
          <w:rStyle w:val="a7"/>
          <w:rtl/>
        </w:rPr>
        <w:footnoteReference w:id="1516"/>
      </w:r>
      <w:r>
        <w:rPr>
          <w:rtl/>
        </w:rPr>
        <w:t xml:space="preserve"> </w:t>
      </w:r>
      <w:r>
        <w:rPr>
          <w:rFonts w:hint="eastAsia"/>
          <w:rtl/>
        </w:rPr>
        <w:t>بالانفراد</w:t>
      </w:r>
      <w:r>
        <w:rPr>
          <w:rtl/>
        </w:rPr>
        <w:t xml:space="preserve"> في الأصح.</w:t>
      </w:r>
    </w:p>
    <w:p w:rsidR="00C10469" w:rsidRDefault="00C10469">
      <w:pPr>
        <w:rPr>
          <w:rtl/>
        </w:rPr>
      </w:pPr>
      <w:r>
        <w:rPr>
          <w:rFonts w:hint="eastAsia"/>
          <w:rtl/>
        </w:rPr>
        <w:t>وحق</w:t>
      </w:r>
      <w:r>
        <w:rPr>
          <w:rtl/>
        </w:rPr>
        <w:t xml:space="preserve"> الشرب </w:t>
      </w:r>
      <w:r>
        <w:rPr>
          <w:rFonts w:hint="eastAsia"/>
          <w:rtl/>
        </w:rPr>
        <w:t>كذلك</w:t>
      </w:r>
      <w:r>
        <w:rPr>
          <w:rtl/>
        </w:rPr>
        <w:t>.</w:t>
      </w:r>
    </w:p>
    <w:p w:rsidR="00C10469" w:rsidRDefault="00C10469">
      <w:pPr>
        <w:rPr>
          <w:rtl/>
        </w:rPr>
      </w:pPr>
      <w:r>
        <w:rPr>
          <w:rFonts w:hint="eastAsia"/>
          <w:rtl/>
        </w:rPr>
        <w:t>وبيع</w:t>
      </w:r>
      <w:r>
        <w:rPr>
          <w:rtl/>
        </w:rPr>
        <w:t xml:space="preserve"> حق </w:t>
      </w:r>
      <w:r>
        <w:rPr>
          <w:rFonts w:hint="eastAsia"/>
          <w:rtl/>
        </w:rPr>
        <w:t>التعلّي</w:t>
      </w:r>
      <w:r>
        <w:rPr>
          <w:vertAlign w:val="superscript"/>
          <w:rtl/>
        </w:rPr>
        <w:t>(</w:t>
      </w:r>
      <w:r>
        <w:rPr>
          <w:rStyle w:val="a7"/>
          <w:rtl/>
        </w:rPr>
        <w:footnoteReference w:id="1517"/>
      </w:r>
      <w:r>
        <w:rPr>
          <w:vertAlign w:val="superscript"/>
          <w:rtl/>
        </w:rPr>
        <w:t>)</w:t>
      </w:r>
      <w:r>
        <w:rPr>
          <w:rtl/>
        </w:rPr>
        <w:t xml:space="preserve"> </w:t>
      </w:r>
      <w:r>
        <w:rPr>
          <w:rFonts w:hint="eastAsia"/>
          <w:rtl/>
        </w:rPr>
        <w:t>باطل</w:t>
      </w:r>
      <w:r>
        <w:rPr>
          <w:rtl/>
        </w:rPr>
        <w:t>.</w:t>
      </w:r>
    </w:p>
    <w:p w:rsidR="00C10469" w:rsidRDefault="00C10469">
      <w:pPr>
        <w:rPr>
          <w:vertAlign w:val="superscript"/>
          <w:rtl/>
        </w:rPr>
      </w:pPr>
      <w:r>
        <w:rPr>
          <w:rFonts w:hint="eastAsia"/>
          <w:rtl/>
        </w:rPr>
        <w:lastRenderedPageBreak/>
        <w:t>كذا</w:t>
      </w:r>
      <w:r>
        <w:rPr>
          <w:rtl/>
        </w:rPr>
        <w:t xml:space="preserve"> في (الهداية).</w:t>
      </w:r>
      <w:r>
        <w:rPr>
          <w:vertAlign w:val="superscript"/>
          <w:rtl/>
        </w:rPr>
        <w:t>(</w:t>
      </w:r>
      <w:r>
        <w:rPr>
          <w:rStyle w:val="a7"/>
          <w:rtl/>
        </w:rPr>
        <w:footnoteReference w:id="1518"/>
      </w:r>
      <w:r>
        <w:rPr>
          <w:vertAlign w:val="superscript"/>
          <w:rtl/>
        </w:rPr>
        <w:t>)</w:t>
      </w:r>
    </w:p>
    <w:p w:rsidR="00C10469" w:rsidRDefault="00C10469">
      <w:pPr>
        <w:rPr>
          <w:vertAlign w:val="superscript"/>
          <w:rtl/>
        </w:rPr>
      </w:pPr>
    </w:p>
    <w:p w:rsidR="00C10469" w:rsidRDefault="00C10469">
      <w:pPr>
        <w:rPr>
          <w:vertAlign w:val="superscript"/>
          <w:rtl/>
        </w:rPr>
      </w:pPr>
    </w:p>
    <w:p w:rsidR="00C10469" w:rsidRDefault="00C10469">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rFonts w:ascii="AGA Arabesque" w:hAnsi="AGA Arabesque"/>
          <w:sz w:val="50"/>
          <w:szCs w:val="50"/>
          <w:rtl/>
        </w:rPr>
        <w:sectPr w:rsidR="00C10469" w:rsidSect="00C10469">
          <w:headerReference w:type="default" r:id="rId11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5444C" w:rsidRDefault="00C10469">
      <w:pPr>
        <w:pStyle w:val="a9"/>
        <w:rPr>
          <w:rFonts w:cs="AL-Mateen"/>
          <w:rtl/>
          <w:lang w:val="en-US"/>
        </w:rPr>
      </w:pPr>
      <w:r w:rsidRPr="0065444C">
        <w:rPr>
          <w:rFonts w:cs="AL-Mateen"/>
          <w:rtl/>
          <w:lang w:val="en-US"/>
        </w:rPr>
        <w:lastRenderedPageBreak/>
        <w:t xml:space="preserve">[ القـاعـدة </w:t>
      </w:r>
      <w:r w:rsidRPr="0065444C">
        <w:rPr>
          <w:rFonts w:cs="AL-Mateen" w:hint="eastAsia"/>
          <w:rtl/>
          <w:lang w:val="en-US"/>
        </w:rPr>
        <w:t>الستـون</w:t>
      </w:r>
      <w:r w:rsidRPr="0065444C">
        <w:rPr>
          <w:rFonts w:cs="AL-Mateen"/>
          <w:rtl/>
          <w:lang w:val="en-US"/>
        </w:rPr>
        <w:t xml:space="preserve"> ]</w:t>
      </w:r>
    </w:p>
    <w:p w:rsidR="00C10469" w:rsidRDefault="00C10469">
      <w:pPr>
        <w:rPr>
          <w:b/>
          <w:bCs/>
          <w:rtl/>
        </w:rPr>
      </w:pPr>
      <w:r>
        <w:rPr>
          <w:rFonts w:cs="Monotype Koufi" w:hint="eastAsia"/>
          <w:rtl/>
        </w:rPr>
        <w:t>بيع</w:t>
      </w:r>
      <w:r>
        <w:rPr>
          <w:rFonts w:cs="Monotype Koufi" w:hint="cs"/>
          <w:rtl/>
        </w:rPr>
        <w:t>ُ</w:t>
      </w:r>
      <w:r>
        <w:rPr>
          <w:rFonts w:cs="Monotype Koufi"/>
          <w:rtl/>
        </w:rPr>
        <w:t xml:space="preserve"> الد</w:t>
      </w:r>
      <w:r>
        <w:rPr>
          <w:rFonts w:cs="Monotype Koufi" w:hint="cs"/>
          <w:rtl/>
        </w:rPr>
        <w:t>َّ</w:t>
      </w:r>
      <w:r>
        <w:rPr>
          <w:rFonts w:cs="Monotype Koufi"/>
          <w:rtl/>
        </w:rPr>
        <w:t>ي</w:t>
      </w:r>
      <w:r>
        <w:rPr>
          <w:rFonts w:cs="Monotype Koufi" w:hint="cs"/>
          <w:rtl/>
        </w:rPr>
        <w:t>ْ</w:t>
      </w:r>
      <w:r>
        <w:rPr>
          <w:rFonts w:cs="Monotype Koufi"/>
          <w:rtl/>
        </w:rPr>
        <w:t>ن</w:t>
      </w:r>
      <w:r>
        <w:rPr>
          <w:rFonts w:cs="Monotype Koufi" w:hint="cs"/>
          <w:rtl/>
        </w:rPr>
        <w:t>ِ</w:t>
      </w:r>
      <w:r>
        <w:rPr>
          <w:rFonts w:cs="Monotype Koufi"/>
          <w:rtl/>
        </w:rPr>
        <w:t xml:space="preserve"> بالد</w:t>
      </w:r>
      <w:r>
        <w:rPr>
          <w:rFonts w:cs="Monotype Koufi" w:hint="cs"/>
          <w:rtl/>
        </w:rPr>
        <w:t>َّ</w:t>
      </w:r>
      <w:r>
        <w:rPr>
          <w:rFonts w:cs="Monotype Koufi"/>
          <w:rtl/>
        </w:rPr>
        <w:t>ين</w:t>
      </w:r>
      <w:r>
        <w:rPr>
          <w:rFonts w:cs="Monotype Koufi" w:hint="cs"/>
          <w:rtl/>
        </w:rPr>
        <w:t>ِ</w:t>
      </w:r>
      <w:r>
        <w:rPr>
          <w:rFonts w:cs="Monotype Koufi"/>
          <w:rtl/>
        </w:rPr>
        <w:t xml:space="preserve"> باطل</w:t>
      </w:r>
      <w:r>
        <w:rPr>
          <w:rFonts w:cs="Monotype Koufi" w:hint="cs"/>
          <w:rtl/>
        </w:rPr>
        <w:t>ٌ</w:t>
      </w:r>
      <w:r>
        <w:rPr>
          <w:vertAlign w:val="superscript"/>
          <w:rtl/>
        </w:rPr>
        <w:t>(</w:t>
      </w:r>
      <w:r>
        <w:rPr>
          <w:rStyle w:val="a7"/>
          <w:rtl/>
        </w:rPr>
        <w:footnoteReference w:id="1519"/>
      </w:r>
      <w:r>
        <w:rPr>
          <w:vertAlign w:val="superscript"/>
          <w:rtl/>
        </w:rPr>
        <w:t>)</w:t>
      </w:r>
      <w:r>
        <w:rPr>
          <w:rFonts w:hint="cs"/>
          <w:b/>
          <w:bCs/>
          <w:rtl/>
        </w:rPr>
        <w:t>:</w:t>
      </w:r>
    </w:p>
    <w:p w:rsidR="00C10469" w:rsidRDefault="00C10469">
      <w:pPr>
        <w:spacing w:line="640" w:lineRule="exact"/>
        <w:rPr>
          <w:spacing w:val="6"/>
          <w:rtl/>
        </w:rPr>
      </w:pPr>
      <w:r>
        <w:rPr>
          <w:rFonts w:hint="eastAsia"/>
          <w:spacing w:val="6"/>
          <w:rtl/>
        </w:rPr>
        <w:lastRenderedPageBreak/>
        <w:t>فإن</w:t>
      </w:r>
      <w:r>
        <w:rPr>
          <w:spacing w:val="6"/>
          <w:rtl/>
        </w:rPr>
        <w:t xml:space="preserve"> صالح عن </w:t>
      </w:r>
      <w:r>
        <w:rPr>
          <w:rFonts w:hint="eastAsia"/>
          <w:spacing w:val="6"/>
          <w:rtl/>
        </w:rPr>
        <w:t>كُرِّ</w:t>
      </w:r>
      <w:r>
        <w:rPr>
          <w:spacing w:val="6"/>
          <w:vertAlign w:val="superscript"/>
          <w:rtl/>
        </w:rPr>
        <w:t>(</w:t>
      </w:r>
      <w:r>
        <w:rPr>
          <w:rStyle w:val="a7"/>
          <w:spacing w:val="6"/>
          <w:rtl/>
        </w:rPr>
        <w:footnoteReference w:id="1520"/>
      </w:r>
      <w:r>
        <w:rPr>
          <w:spacing w:val="6"/>
          <w:vertAlign w:val="superscript"/>
          <w:rtl/>
        </w:rPr>
        <w:t>)</w:t>
      </w:r>
      <w:r>
        <w:rPr>
          <w:spacing w:val="6"/>
          <w:rtl/>
        </w:rPr>
        <w:t xml:space="preserve"> </w:t>
      </w:r>
      <w:r>
        <w:rPr>
          <w:rFonts w:hint="eastAsia"/>
          <w:spacing w:val="6"/>
          <w:rtl/>
        </w:rPr>
        <w:t>ح</w:t>
      </w:r>
      <w:r>
        <w:rPr>
          <w:rFonts w:hint="cs"/>
          <w:spacing w:val="6"/>
          <w:rtl/>
        </w:rPr>
        <w:t>ـ</w:t>
      </w:r>
      <w:r>
        <w:rPr>
          <w:rFonts w:hint="eastAsia"/>
          <w:spacing w:val="6"/>
          <w:rtl/>
        </w:rPr>
        <w:t>نطةٍ</w:t>
      </w:r>
      <w:r>
        <w:rPr>
          <w:spacing w:val="6"/>
          <w:rtl/>
        </w:rPr>
        <w:t xml:space="preserve"> ع</w:t>
      </w:r>
      <w:r>
        <w:rPr>
          <w:rFonts w:hint="cs"/>
          <w:spacing w:val="6"/>
          <w:rtl/>
        </w:rPr>
        <w:t>ـ</w:t>
      </w:r>
      <w:r>
        <w:rPr>
          <w:spacing w:val="6"/>
          <w:rtl/>
        </w:rPr>
        <w:t>لى ع</w:t>
      </w:r>
      <w:r>
        <w:rPr>
          <w:rFonts w:hint="cs"/>
          <w:spacing w:val="6"/>
          <w:rtl/>
        </w:rPr>
        <w:t>ـ</w:t>
      </w:r>
      <w:r>
        <w:rPr>
          <w:spacing w:val="6"/>
          <w:rtl/>
        </w:rPr>
        <w:t>ش</w:t>
      </w:r>
      <w:r>
        <w:rPr>
          <w:rFonts w:hint="cs"/>
          <w:spacing w:val="6"/>
          <w:rtl/>
        </w:rPr>
        <w:t>ـ</w:t>
      </w:r>
      <w:r>
        <w:rPr>
          <w:spacing w:val="6"/>
          <w:rtl/>
        </w:rPr>
        <w:t>رة دراهم : إن ق</w:t>
      </w:r>
      <w:r>
        <w:rPr>
          <w:rFonts w:hint="cs"/>
          <w:spacing w:val="6"/>
          <w:rtl/>
        </w:rPr>
        <w:t>ـ</w:t>
      </w:r>
      <w:r>
        <w:rPr>
          <w:spacing w:val="6"/>
          <w:rtl/>
        </w:rPr>
        <w:t>ب</w:t>
      </w:r>
      <w:r>
        <w:rPr>
          <w:rFonts w:hint="cs"/>
          <w:spacing w:val="6"/>
          <w:rtl/>
        </w:rPr>
        <w:t>ـ</w:t>
      </w:r>
      <w:r>
        <w:rPr>
          <w:spacing w:val="6"/>
          <w:rtl/>
        </w:rPr>
        <w:t>ض الع</w:t>
      </w:r>
      <w:r>
        <w:rPr>
          <w:rFonts w:hint="cs"/>
          <w:spacing w:val="6"/>
          <w:rtl/>
        </w:rPr>
        <w:t>ـ</w:t>
      </w:r>
      <w:r>
        <w:rPr>
          <w:spacing w:val="6"/>
          <w:rtl/>
        </w:rPr>
        <w:t>شرة ف</w:t>
      </w:r>
      <w:r>
        <w:rPr>
          <w:rFonts w:hint="cs"/>
          <w:spacing w:val="6"/>
          <w:rtl/>
        </w:rPr>
        <w:t>ـ</w:t>
      </w:r>
      <w:r>
        <w:rPr>
          <w:spacing w:val="6"/>
          <w:rtl/>
        </w:rPr>
        <w:t xml:space="preserve">ي المجلس جاز، وإلا فلا؛ لأنّه </w:t>
      </w:r>
      <w:r>
        <w:rPr>
          <w:rFonts w:hint="eastAsia"/>
          <w:spacing w:val="6"/>
          <w:rtl/>
        </w:rPr>
        <w:t>حين</w:t>
      </w:r>
      <w:r>
        <w:rPr>
          <w:rFonts w:hint="cs"/>
          <w:spacing w:val="6"/>
          <w:rtl/>
        </w:rPr>
        <w:t>ـ</w:t>
      </w:r>
      <w:r>
        <w:rPr>
          <w:rFonts w:hint="eastAsia"/>
          <w:spacing w:val="6"/>
          <w:rtl/>
        </w:rPr>
        <w:t>ئ</w:t>
      </w:r>
      <w:r>
        <w:rPr>
          <w:rFonts w:hint="cs"/>
          <w:spacing w:val="6"/>
          <w:rtl/>
        </w:rPr>
        <w:t>ـ</w:t>
      </w:r>
      <w:r>
        <w:rPr>
          <w:rFonts w:hint="eastAsia"/>
          <w:spacing w:val="6"/>
          <w:rtl/>
        </w:rPr>
        <w:t>ذ</w:t>
      </w:r>
      <w:r>
        <w:rPr>
          <w:spacing w:val="6"/>
          <w:rtl/>
        </w:rPr>
        <w:t xml:space="preserve"> ي</w:t>
      </w:r>
      <w:r>
        <w:rPr>
          <w:rFonts w:hint="cs"/>
          <w:spacing w:val="6"/>
          <w:rtl/>
        </w:rPr>
        <w:t>ـ</w:t>
      </w:r>
      <w:r>
        <w:rPr>
          <w:spacing w:val="6"/>
          <w:rtl/>
        </w:rPr>
        <w:t>ك</w:t>
      </w:r>
      <w:r>
        <w:rPr>
          <w:rFonts w:hint="cs"/>
          <w:spacing w:val="6"/>
          <w:rtl/>
        </w:rPr>
        <w:t>ـ</w:t>
      </w:r>
      <w:r>
        <w:rPr>
          <w:spacing w:val="6"/>
          <w:rtl/>
        </w:rPr>
        <w:t>ون ب</w:t>
      </w:r>
      <w:r>
        <w:rPr>
          <w:rFonts w:hint="cs"/>
          <w:spacing w:val="6"/>
          <w:rtl/>
        </w:rPr>
        <w:t>ـ</w:t>
      </w:r>
      <w:r>
        <w:rPr>
          <w:spacing w:val="6"/>
          <w:rtl/>
        </w:rPr>
        <w:t>يع الدّي</w:t>
      </w:r>
      <w:r>
        <w:rPr>
          <w:rFonts w:hint="cs"/>
          <w:spacing w:val="6"/>
          <w:rtl/>
        </w:rPr>
        <w:t>ـ</w:t>
      </w:r>
      <w:r>
        <w:rPr>
          <w:spacing w:val="6"/>
          <w:rtl/>
        </w:rPr>
        <w:t>ن بالدّي</w:t>
      </w:r>
      <w:r>
        <w:rPr>
          <w:rFonts w:hint="cs"/>
          <w:spacing w:val="6"/>
          <w:rtl/>
        </w:rPr>
        <w:t>ـ</w:t>
      </w:r>
      <w:r>
        <w:rPr>
          <w:spacing w:val="6"/>
          <w:rtl/>
        </w:rPr>
        <w:t>ن وه</w:t>
      </w:r>
      <w:r>
        <w:rPr>
          <w:rFonts w:hint="cs"/>
          <w:spacing w:val="6"/>
          <w:rtl/>
        </w:rPr>
        <w:t>ـ</w:t>
      </w:r>
      <w:r>
        <w:rPr>
          <w:spacing w:val="6"/>
          <w:rtl/>
        </w:rPr>
        <w:t>و ب</w:t>
      </w:r>
      <w:r>
        <w:rPr>
          <w:rFonts w:hint="cs"/>
          <w:spacing w:val="6"/>
          <w:rtl/>
        </w:rPr>
        <w:t>ـ</w:t>
      </w:r>
      <w:r>
        <w:rPr>
          <w:spacing w:val="6"/>
          <w:rtl/>
        </w:rPr>
        <w:t>اطل.</w:t>
      </w:r>
    </w:p>
    <w:p w:rsidR="00C10469" w:rsidRDefault="00C10469">
      <w:pPr>
        <w:spacing w:line="620" w:lineRule="exact"/>
        <w:rPr>
          <w:rtl/>
        </w:rPr>
      </w:pPr>
      <w:r>
        <w:rPr>
          <w:rFonts w:hint="eastAsia"/>
          <w:rtl/>
        </w:rPr>
        <w:lastRenderedPageBreak/>
        <w:t>كذا</w:t>
      </w:r>
      <w:r>
        <w:rPr>
          <w:rtl/>
        </w:rPr>
        <w:t xml:space="preserve"> في (العناية)</w:t>
      </w:r>
      <w:r>
        <w:rPr>
          <w:vertAlign w:val="superscript"/>
          <w:rtl/>
        </w:rPr>
        <w:t>(</w:t>
      </w:r>
      <w:r>
        <w:rPr>
          <w:rStyle w:val="a7"/>
          <w:rtl/>
        </w:rPr>
        <w:footnoteReference w:id="1521"/>
      </w:r>
      <w:r>
        <w:rPr>
          <w:vertAlign w:val="superscript"/>
          <w:rtl/>
        </w:rPr>
        <w:t>)</w:t>
      </w:r>
      <w:r>
        <w:rPr>
          <w:rtl/>
        </w:rPr>
        <w:t>.</w:t>
      </w:r>
    </w:p>
    <w:p w:rsidR="00C10469" w:rsidRDefault="00C10469">
      <w:pPr>
        <w:rPr>
          <w:rtl/>
        </w:rPr>
      </w:pPr>
    </w:p>
    <w:p w:rsidR="00C10469" w:rsidRDefault="00C10469">
      <w:pPr>
        <w:rPr>
          <w:rtl/>
        </w:rPr>
      </w:pPr>
    </w:p>
    <w:p w:rsidR="00C10469" w:rsidRPr="002B0C58"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1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2C3405" w:rsidRDefault="00C10469">
      <w:pPr>
        <w:pStyle w:val="a9"/>
        <w:rPr>
          <w:rFonts w:cs="AL-Mateen"/>
          <w:rtl/>
          <w:lang w:val="en-US"/>
        </w:rPr>
      </w:pPr>
      <w:r w:rsidRPr="002C3405">
        <w:rPr>
          <w:rFonts w:cs="AL-Mateen"/>
          <w:rtl/>
          <w:lang w:val="en-US"/>
        </w:rPr>
        <w:lastRenderedPageBreak/>
        <w:t xml:space="preserve">[ القـاعـدة </w:t>
      </w:r>
      <w:r w:rsidRPr="002C3405">
        <w:rPr>
          <w:rFonts w:cs="AL-Mateen" w:hint="eastAsia"/>
          <w:rtl/>
          <w:lang w:val="en-US"/>
        </w:rPr>
        <w:t>الحـادية</w:t>
      </w:r>
      <w:r w:rsidRPr="002C3405">
        <w:rPr>
          <w:rFonts w:cs="AL-Mateen"/>
          <w:rtl/>
          <w:lang w:val="en-US"/>
        </w:rPr>
        <w:t xml:space="preserve"> والستـون ]</w:t>
      </w:r>
    </w:p>
    <w:p w:rsidR="00C10469" w:rsidRDefault="00C10469">
      <w:pPr>
        <w:rPr>
          <w:b/>
          <w:bCs/>
          <w:rtl/>
        </w:rPr>
      </w:pPr>
      <w:r>
        <w:rPr>
          <w:rFonts w:cs="Monotype Koufi" w:hint="eastAsia"/>
          <w:spacing w:val="-2"/>
          <w:rtl/>
        </w:rPr>
        <w:t>الب</w:t>
      </w:r>
      <w:r>
        <w:rPr>
          <w:rFonts w:cs="Monotype Koufi" w:hint="cs"/>
          <w:spacing w:val="-2"/>
          <w:rtl/>
        </w:rPr>
        <w:t>َ</w:t>
      </w:r>
      <w:r>
        <w:rPr>
          <w:rFonts w:cs="Monotype Koufi" w:hint="eastAsia"/>
          <w:spacing w:val="-2"/>
          <w:rtl/>
        </w:rPr>
        <w:t>ي</w:t>
      </w:r>
      <w:r>
        <w:rPr>
          <w:rFonts w:cs="Monotype Koufi" w:hint="cs"/>
          <w:spacing w:val="-2"/>
          <w:rtl/>
        </w:rPr>
        <w:t>ِّ</w:t>
      </w:r>
      <w:r>
        <w:rPr>
          <w:rFonts w:cs="Monotype Koufi" w:hint="eastAsia"/>
          <w:spacing w:val="-2"/>
          <w:rtl/>
        </w:rPr>
        <w:t>ن</w:t>
      </w:r>
      <w:r>
        <w:rPr>
          <w:rFonts w:cs="Monotype Koufi" w:hint="cs"/>
          <w:spacing w:val="-2"/>
          <w:rtl/>
        </w:rPr>
        <w:t>َ</w:t>
      </w:r>
      <w:r>
        <w:rPr>
          <w:rFonts w:cs="Monotype Koufi" w:hint="eastAsia"/>
          <w:spacing w:val="-2"/>
          <w:rtl/>
        </w:rPr>
        <w:t>ا</w:t>
      </w:r>
      <w:r>
        <w:rPr>
          <w:rFonts w:cs="Monotype Koufi" w:hint="cs"/>
          <w:spacing w:val="-2"/>
          <w:rtl/>
        </w:rPr>
        <w:t>تُ</w:t>
      </w:r>
      <w:r>
        <w:rPr>
          <w:rFonts w:cs="Monotype Koufi"/>
          <w:spacing w:val="-2"/>
          <w:rtl/>
        </w:rPr>
        <w:t xml:space="preserve"> ش</w:t>
      </w:r>
      <w:r>
        <w:rPr>
          <w:rFonts w:cs="Monotype Koufi" w:hint="cs"/>
          <w:spacing w:val="-2"/>
          <w:rtl/>
        </w:rPr>
        <w:t>ُ</w:t>
      </w:r>
      <w:r>
        <w:rPr>
          <w:rFonts w:cs="Monotype Koufi"/>
          <w:spacing w:val="-2"/>
          <w:rtl/>
        </w:rPr>
        <w:t>ر</w:t>
      </w:r>
      <w:r>
        <w:rPr>
          <w:rFonts w:cs="Monotype Koufi" w:hint="cs"/>
          <w:spacing w:val="-2"/>
          <w:rtl/>
        </w:rPr>
        <w:t>ِ</w:t>
      </w:r>
      <w:r>
        <w:rPr>
          <w:rFonts w:cs="Monotype Koufi"/>
          <w:spacing w:val="-2"/>
          <w:rtl/>
        </w:rPr>
        <w:t>ع</w:t>
      </w:r>
      <w:r>
        <w:rPr>
          <w:rFonts w:cs="Monotype Koufi" w:hint="cs"/>
          <w:spacing w:val="-2"/>
          <w:rtl/>
        </w:rPr>
        <w:t>َ</w:t>
      </w:r>
      <w:r>
        <w:rPr>
          <w:rFonts w:cs="Monotype Koufi"/>
          <w:spacing w:val="-2"/>
          <w:rtl/>
        </w:rPr>
        <w:t>ت</w:t>
      </w:r>
      <w:r>
        <w:rPr>
          <w:rFonts w:cs="Monotype Koufi" w:hint="cs"/>
          <w:spacing w:val="-2"/>
          <w:rtl/>
        </w:rPr>
        <w:t>ْ</w:t>
      </w:r>
      <w:r>
        <w:rPr>
          <w:rFonts w:cs="Monotype Koufi"/>
          <w:spacing w:val="-2"/>
          <w:rtl/>
        </w:rPr>
        <w:t xml:space="preserve"> ل</w:t>
      </w:r>
      <w:r>
        <w:rPr>
          <w:rFonts w:cs="Monotype Koufi" w:hint="cs"/>
          <w:spacing w:val="-2"/>
          <w:rtl/>
        </w:rPr>
        <w:t>إ</w:t>
      </w:r>
      <w:r>
        <w:rPr>
          <w:rFonts w:cs="Monotype Koufi"/>
          <w:spacing w:val="-2"/>
          <w:rtl/>
        </w:rPr>
        <w:t>ث</w:t>
      </w:r>
      <w:r>
        <w:rPr>
          <w:rFonts w:cs="Monotype Koufi" w:hint="cs"/>
          <w:spacing w:val="-2"/>
          <w:rtl/>
        </w:rPr>
        <w:t>ْ</w:t>
      </w:r>
      <w:r>
        <w:rPr>
          <w:rFonts w:cs="Monotype Koufi"/>
          <w:spacing w:val="-2"/>
          <w:rtl/>
        </w:rPr>
        <w:t>ب</w:t>
      </w:r>
      <w:r>
        <w:rPr>
          <w:rFonts w:cs="Monotype Koufi" w:hint="cs"/>
          <w:spacing w:val="-2"/>
          <w:rtl/>
        </w:rPr>
        <w:t>َ</w:t>
      </w:r>
      <w:r>
        <w:rPr>
          <w:rFonts w:cs="Monotype Koufi"/>
          <w:spacing w:val="-2"/>
          <w:rtl/>
        </w:rPr>
        <w:t>ات</w:t>
      </w:r>
      <w:r>
        <w:rPr>
          <w:rFonts w:cs="Monotype Koufi" w:hint="cs"/>
          <w:spacing w:val="-2"/>
          <w:rtl/>
        </w:rPr>
        <w:t>ِ</w:t>
      </w:r>
      <w:r>
        <w:rPr>
          <w:rFonts w:cs="Monotype Koufi"/>
          <w:spacing w:val="-2"/>
          <w:rtl/>
        </w:rPr>
        <w:t xml:space="preserve"> خ</w:t>
      </w:r>
      <w:r>
        <w:rPr>
          <w:rFonts w:cs="Monotype Koufi" w:hint="cs"/>
          <w:spacing w:val="-2"/>
          <w:rtl/>
        </w:rPr>
        <w:t>ِ</w:t>
      </w:r>
      <w:r>
        <w:rPr>
          <w:rFonts w:cs="Monotype Koufi"/>
          <w:spacing w:val="-2"/>
          <w:rtl/>
        </w:rPr>
        <w:t>لا</w:t>
      </w:r>
      <w:r>
        <w:rPr>
          <w:rFonts w:cs="Monotype Koufi" w:hint="cs"/>
          <w:spacing w:val="-2"/>
          <w:rtl/>
        </w:rPr>
        <w:t>َ</w:t>
      </w:r>
      <w:r>
        <w:rPr>
          <w:rFonts w:cs="Monotype Koufi"/>
          <w:spacing w:val="-2"/>
          <w:rtl/>
        </w:rPr>
        <w:t>ف</w:t>
      </w:r>
      <w:r>
        <w:rPr>
          <w:rFonts w:cs="Monotype Koufi" w:hint="cs"/>
          <w:spacing w:val="-2"/>
          <w:rtl/>
        </w:rPr>
        <w:t>ِ</w:t>
      </w:r>
      <w:r>
        <w:rPr>
          <w:rFonts w:cs="Monotype Koufi"/>
          <w:spacing w:val="-2"/>
          <w:rtl/>
        </w:rPr>
        <w:t xml:space="preserve"> الظ</w:t>
      </w:r>
      <w:r>
        <w:rPr>
          <w:rFonts w:cs="Monotype Koufi" w:hint="cs"/>
          <w:spacing w:val="-2"/>
          <w:rtl/>
        </w:rPr>
        <w:t>َّ</w:t>
      </w:r>
      <w:r>
        <w:rPr>
          <w:rFonts w:cs="Monotype Koufi"/>
          <w:spacing w:val="-2"/>
          <w:rtl/>
        </w:rPr>
        <w:t>اه</w:t>
      </w:r>
      <w:r>
        <w:rPr>
          <w:rFonts w:cs="Monotype Koufi" w:hint="cs"/>
          <w:spacing w:val="-2"/>
          <w:rtl/>
        </w:rPr>
        <w:t>ِ</w:t>
      </w:r>
      <w:r>
        <w:rPr>
          <w:rFonts w:cs="Monotype Koufi"/>
          <w:spacing w:val="-2"/>
          <w:rtl/>
        </w:rPr>
        <w:t>ر</w:t>
      </w:r>
      <w:r>
        <w:rPr>
          <w:rFonts w:cs="Monotype Koufi" w:hint="cs"/>
          <w:spacing w:val="-2"/>
          <w:rtl/>
        </w:rPr>
        <w:t>ِ</w:t>
      </w:r>
      <w:r>
        <w:rPr>
          <w:rFonts w:cs="Monotype Koufi"/>
          <w:spacing w:val="-2"/>
          <w:rtl/>
        </w:rPr>
        <w:t>، والي</w:t>
      </w:r>
      <w:r>
        <w:rPr>
          <w:rFonts w:cs="Monotype Koufi" w:hint="cs"/>
          <w:spacing w:val="-2"/>
          <w:rtl/>
        </w:rPr>
        <w:t>َ</w:t>
      </w:r>
      <w:r>
        <w:rPr>
          <w:rFonts w:cs="Monotype Koufi"/>
          <w:spacing w:val="-2"/>
          <w:rtl/>
        </w:rPr>
        <w:t>م</w:t>
      </w:r>
      <w:r>
        <w:rPr>
          <w:rFonts w:cs="Monotype Koufi" w:hint="cs"/>
          <w:spacing w:val="-2"/>
          <w:rtl/>
        </w:rPr>
        <w:t>ِ</w:t>
      </w:r>
      <w:r>
        <w:rPr>
          <w:rFonts w:cs="Monotype Koufi"/>
          <w:spacing w:val="-2"/>
          <w:rtl/>
        </w:rPr>
        <w:t>ي</w:t>
      </w:r>
      <w:r>
        <w:rPr>
          <w:rFonts w:cs="Monotype Koufi" w:hint="cs"/>
          <w:spacing w:val="-2"/>
          <w:rtl/>
        </w:rPr>
        <w:t>ْ</w:t>
      </w:r>
      <w:r>
        <w:rPr>
          <w:rFonts w:cs="Monotype Koufi"/>
          <w:spacing w:val="-2"/>
          <w:rtl/>
        </w:rPr>
        <w:t>ن</w:t>
      </w:r>
      <w:r>
        <w:rPr>
          <w:rFonts w:cs="Monotype Koufi" w:hint="cs"/>
          <w:spacing w:val="-2"/>
          <w:rtl/>
        </w:rPr>
        <w:t>ُ</w:t>
      </w:r>
      <w:r>
        <w:rPr>
          <w:rFonts w:cs="Monotype Koufi"/>
          <w:spacing w:val="-2"/>
          <w:rtl/>
        </w:rPr>
        <w:t xml:space="preserve"> لإبق</w:t>
      </w:r>
      <w:r>
        <w:rPr>
          <w:rFonts w:cs="Monotype Koufi" w:hint="cs"/>
          <w:spacing w:val="-2"/>
          <w:rtl/>
        </w:rPr>
        <w:t>َ</w:t>
      </w:r>
      <w:r>
        <w:rPr>
          <w:rFonts w:cs="Monotype Koufi"/>
          <w:spacing w:val="-2"/>
          <w:rtl/>
        </w:rPr>
        <w:t>اء</w:t>
      </w:r>
      <w:r>
        <w:rPr>
          <w:rFonts w:cs="Monotype Koufi" w:hint="cs"/>
          <w:spacing w:val="-2"/>
          <w:rtl/>
        </w:rPr>
        <w:t>ِ</w:t>
      </w:r>
      <w:r>
        <w:rPr>
          <w:rFonts w:cs="Monotype Koufi"/>
          <w:spacing w:val="-2"/>
          <w:rtl/>
        </w:rPr>
        <w:t xml:space="preserve"> الأ</w:t>
      </w:r>
      <w:r>
        <w:rPr>
          <w:rFonts w:cs="Monotype Koufi" w:hint="cs"/>
          <w:spacing w:val="-2"/>
          <w:rtl/>
        </w:rPr>
        <w:t>َ</w:t>
      </w:r>
      <w:r>
        <w:rPr>
          <w:rFonts w:cs="Monotype Koufi"/>
          <w:spacing w:val="-2"/>
          <w:rtl/>
        </w:rPr>
        <w:t>ص</w:t>
      </w:r>
      <w:r>
        <w:rPr>
          <w:rFonts w:cs="Monotype Koufi" w:hint="cs"/>
          <w:spacing w:val="-2"/>
          <w:rtl/>
        </w:rPr>
        <w:t>ْ</w:t>
      </w:r>
      <w:r>
        <w:rPr>
          <w:rFonts w:cs="Monotype Koufi"/>
          <w:spacing w:val="-2"/>
          <w:rtl/>
        </w:rPr>
        <w:t>ل</w:t>
      </w:r>
      <w:r>
        <w:rPr>
          <w:rFonts w:cs="Monotype Koufi" w:hint="cs"/>
          <w:spacing w:val="-2"/>
          <w:rtl/>
        </w:rPr>
        <w:t>ِ</w:t>
      </w:r>
      <w:r>
        <w:rPr>
          <w:vertAlign w:val="superscript"/>
          <w:rtl/>
        </w:rPr>
        <w:t>(</w:t>
      </w:r>
      <w:r>
        <w:rPr>
          <w:rStyle w:val="a7"/>
          <w:rtl/>
        </w:rPr>
        <w:footnoteReference w:id="1522"/>
      </w:r>
      <w:r>
        <w:rPr>
          <w:vertAlign w:val="superscript"/>
          <w:rtl/>
        </w:rPr>
        <w:t>)</w:t>
      </w:r>
      <w:r>
        <w:rPr>
          <w:b/>
          <w:bCs/>
          <w:rtl/>
        </w:rPr>
        <w:t xml:space="preserve"> :</w:t>
      </w:r>
    </w:p>
    <w:p w:rsidR="00C10469" w:rsidRDefault="00C10469">
      <w:pPr>
        <w:rPr>
          <w:rtl/>
        </w:rPr>
      </w:pPr>
      <w:r>
        <w:rPr>
          <w:rFonts w:hint="eastAsia"/>
          <w:b/>
          <w:bCs/>
          <w:rtl/>
        </w:rPr>
        <w:t>وخرج</w:t>
      </w:r>
      <w:r>
        <w:rPr>
          <w:b/>
          <w:bCs/>
          <w:rtl/>
        </w:rPr>
        <w:t xml:space="preserve"> عن هذا </w:t>
      </w:r>
      <w:r>
        <w:rPr>
          <w:rFonts w:hint="eastAsia"/>
          <w:b/>
          <w:bCs/>
          <w:rtl/>
        </w:rPr>
        <w:t>الأصل</w:t>
      </w:r>
      <w:r>
        <w:rPr>
          <w:b/>
          <w:bCs/>
          <w:rtl/>
        </w:rPr>
        <w:t xml:space="preserve"> :</w:t>
      </w:r>
      <w:r>
        <w:rPr>
          <w:rtl/>
        </w:rPr>
        <w:t xml:space="preserve"> لو ادعت المرأة نفقة</w:t>
      </w:r>
      <w:r>
        <w:rPr>
          <w:vertAlign w:val="superscript"/>
          <w:rtl/>
        </w:rPr>
        <w:t>(</w:t>
      </w:r>
      <w:r>
        <w:rPr>
          <w:rStyle w:val="a7"/>
          <w:rtl/>
        </w:rPr>
        <w:footnoteReference w:id="1523"/>
      </w:r>
      <w:r>
        <w:rPr>
          <w:vertAlign w:val="superscript"/>
          <w:rtl/>
        </w:rPr>
        <w:t>)</w:t>
      </w:r>
      <w:r>
        <w:rPr>
          <w:rtl/>
        </w:rPr>
        <w:t xml:space="preserve"> </w:t>
      </w:r>
      <w:r>
        <w:rPr>
          <w:rFonts w:hint="eastAsia"/>
          <w:rtl/>
        </w:rPr>
        <w:t>أولاده</w:t>
      </w:r>
      <w:r>
        <w:rPr>
          <w:rtl/>
        </w:rPr>
        <w:t xml:space="preserve"> الصغار بعد فرضها. وادعى الأب الإنفاق</w:t>
      </w:r>
      <w:r>
        <w:rPr>
          <w:rFonts w:hint="cs"/>
          <w:rtl/>
        </w:rPr>
        <w:t xml:space="preserve"> :</w:t>
      </w:r>
      <w:r>
        <w:rPr>
          <w:rtl/>
        </w:rPr>
        <w:t xml:space="preserve"> فالقول له مع اليمين -كما </w:t>
      </w:r>
      <w:r>
        <w:rPr>
          <w:rFonts w:hint="eastAsia"/>
          <w:rtl/>
        </w:rPr>
        <w:t>في</w:t>
      </w:r>
      <w:r>
        <w:rPr>
          <w:rtl/>
        </w:rPr>
        <w:t xml:space="preserve"> (الخانية)</w:t>
      </w:r>
      <w:r>
        <w:rPr>
          <w:vertAlign w:val="superscript"/>
          <w:rtl/>
        </w:rPr>
        <w:t>(</w:t>
      </w:r>
      <w:r>
        <w:rPr>
          <w:rStyle w:val="a7"/>
          <w:rtl/>
        </w:rPr>
        <w:footnoteReference w:id="1524"/>
      </w:r>
      <w:r>
        <w:rPr>
          <w:vertAlign w:val="superscript"/>
          <w:rtl/>
        </w:rPr>
        <w:t>)</w:t>
      </w:r>
      <w:r>
        <w:rPr>
          <w:rtl/>
        </w:rPr>
        <w:t>-</w:t>
      </w:r>
      <w:r>
        <w:rPr>
          <w:rFonts w:hint="cs"/>
          <w:rtl/>
        </w:rPr>
        <w:t>.</w:t>
      </w:r>
    </w:p>
    <w:p w:rsidR="00C10469" w:rsidRDefault="00C10469">
      <w:pPr>
        <w:rPr>
          <w:rtl/>
        </w:rPr>
        <w:sectPr w:rsidR="00C10469" w:rsidSect="00C10469">
          <w:headerReference w:type="default" r:id="rId118"/>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eastAsia"/>
          <w:b/>
          <w:bCs/>
          <w:rtl/>
        </w:rPr>
        <w:lastRenderedPageBreak/>
        <w:t>وجوابه</w:t>
      </w:r>
      <w:r>
        <w:rPr>
          <w:rtl/>
        </w:rPr>
        <w:t xml:space="preserve"> قد مرّ</w:t>
      </w:r>
      <w:r>
        <w:rPr>
          <w:rStyle w:val="a7"/>
          <w:rtl/>
        </w:rPr>
        <w:footnoteReference w:id="1525"/>
      </w:r>
      <w:r>
        <w:rPr>
          <w:rtl/>
        </w:rPr>
        <w:t xml:space="preserve"> </w:t>
      </w:r>
      <w:r>
        <w:rPr>
          <w:rFonts w:hint="eastAsia"/>
          <w:rtl/>
        </w:rPr>
        <w:t>في</w:t>
      </w:r>
      <w:r>
        <w:rPr>
          <w:rtl/>
        </w:rPr>
        <w:t xml:space="preserve"> باب الألف في [قاعدة]</w:t>
      </w:r>
      <w:r>
        <w:rPr>
          <w:rStyle w:val="a7"/>
          <w:rtl/>
        </w:rPr>
        <w:footnoteReference w:id="1526"/>
      </w:r>
      <w:r>
        <w:rPr>
          <w:rtl/>
        </w:rPr>
        <w:t xml:space="preserve"> : </w:t>
      </w:r>
      <w:r>
        <w:rPr>
          <w:rFonts w:hint="eastAsia"/>
          <w:rtl/>
        </w:rPr>
        <w:t>«الأصل</w:t>
      </w:r>
      <w:r>
        <w:rPr>
          <w:rtl/>
        </w:rPr>
        <w:t xml:space="preserve"> العدم»</w:t>
      </w:r>
      <w:r>
        <w:rPr>
          <w:vertAlign w:val="superscript"/>
          <w:rtl/>
        </w:rPr>
        <w:t>(</w:t>
      </w:r>
      <w:r>
        <w:rPr>
          <w:rStyle w:val="a7"/>
          <w:rtl/>
        </w:rPr>
        <w:footnoteReference w:id="1527"/>
      </w:r>
      <w:r>
        <w:rPr>
          <w:vertAlign w:val="superscript"/>
          <w:rtl/>
        </w:rPr>
        <w:t>)</w:t>
      </w:r>
      <w:r>
        <w:rPr>
          <w:rtl/>
        </w:rPr>
        <w:t>.</w:t>
      </w:r>
    </w:p>
    <w:p w:rsidR="00C10469" w:rsidRPr="00897BC3" w:rsidRDefault="00C10469">
      <w:pPr>
        <w:pStyle w:val="a9"/>
        <w:rPr>
          <w:rFonts w:cs="AL-Mateen"/>
          <w:rtl/>
        </w:rPr>
      </w:pPr>
      <w:r w:rsidRPr="00897BC3">
        <w:rPr>
          <w:rFonts w:cs="AL-Mateen"/>
          <w:rtl/>
        </w:rPr>
        <w:lastRenderedPageBreak/>
        <w:t>[ القـاعـدة الثـانية والستـون ]</w:t>
      </w:r>
    </w:p>
    <w:p w:rsidR="00C10469" w:rsidRDefault="00C10469">
      <w:pPr>
        <w:rPr>
          <w:b/>
          <w:bCs/>
          <w:rtl/>
        </w:rPr>
      </w:pPr>
      <w:r>
        <w:rPr>
          <w:rFonts w:cs="Monotype Koufi" w:hint="eastAsia"/>
          <w:rtl/>
        </w:rPr>
        <w:t>البيع</w:t>
      </w:r>
      <w:r>
        <w:rPr>
          <w:rFonts w:cs="Monotype Koufi" w:hint="cs"/>
          <w:rtl/>
        </w:rPr>
        <w:t>ُ</w:t>
      </w:r>
      <w:r>
        <w:rPr>
          <w:rFonts w:cs="Monotype Koufi"/>
          <w:rtl/>
        </w:rPr>
        <w:t xml:space="preserve"> لا ي</w:t>
      </w:r>
      <w:r>
        <w:rPr>
          <w:rFonts w:cs="Monotype Koufi" w:hint="cs"/>
          <w:rtl/>
        </w:rPr>
        <w:t>ُ</w:t>
      </w:r>
      <w:r>
        <w:rPr>
          <w:rFonts w:cs="Monotype Koufi"/>
          <w:rtl/>
        </w:rPr>
        <w:t>ز</w:t>
      </w:r>
      <w:r>
        <w:rPr>
          <w:rFonts w:cs="Monotype Koufi" w:hint="cs"/>
          <w:rtl/>
        </w:rPr>
        <w:t>ِ</w:t>
      </w:r>
      <w:r>
        <w:rPr>
          <w:rFonts w:cs="Monotype Koufi"/>
          <w:rtl/>
        </w:rPr>
        <w:t>يل</w:t>
      </w:r>
      <w:r>
        <w:rPr>
          <w:rFonts w:cs="Monotype Koufi" w:hint="cs"/>
          <w:rtl/>
        </w:rPr>
        <w:t>ُ</w:t>
      </w:r>
      <w:r>
        <w:rPr>
          <w:rFonts w:cs="Monotype Koufi"/>
          <w:rtl/>
        </w:rPr>
        <w:t xml:space="preserve"> م</w:t>
      </w:r>
      <w:r>
        <w:rPr>
          <w:rFonts w:cs="Monotype Koufi" w:hint="cs"/>
          <w:rtl/>
        </w:rPr>
        <w:t>ِ</w:t>
      </w:r>
      <w:r>
        <w:rPr>
          <w:rFonts w:cs="Monotype Koufi"/>
          <w:rtl/>
        </w:rPr>
        <w:t>ل</w:t>
      </w:r>
      <w:r>
        <w:rPr>
          <w:rFonts w:cs="Monotype Koufi" w:hint="cs"/>
          <w:rtl/>
        </w:rPr>
        <w:t>ْ</w:t>
      </w:r>
      <w:r>
        <w:rPr>
          <w:rFonts w:cs="Monotype Koufi"/>
          <w:rtl/>
        </w:rPr>
        <w:t>ك</w:t>
      </w:r>
      <w:r>
        <w:rPr>
          <w:rFonts w:cs="Monotype Koufi" w:hint="cs"/>
          <w:rtl/>
        </w:rPr>
        <w:t>َ</w:t>
      </w:r>
      <w:r>
        <w:rPr>
          <w:rFonts w:cs="Monotype Koufi"/>
          <w:rtl/>
        </w:rPr>
        <w:t xml:space="preserve"> </w:t>
      </w:r>
      <w:r>
        <w:rPr>
          <w:rFonts w:cs="Monotype Koufi" w:hint="eastAsia"/>
          <w:rtl/>
        </w:rPr>
        <w:t>اليد</w:t>
      </w:r>
      <w:r>
        <w:rPr>
          <w:rFonts w:cs="Monotype Koufi" w:hint="cs"/>
          <w:rtl/>
        </w:rPr>
        <w:t>ِ</w:t>
      </w:r>
      <w:r>
        <w:rPr>
          <w:rFonts w:cs="Monotype Koufi"/>
          <w:rtl/>
        </w:rPr>
        <w:t xml:space="preserve"> م</w:t>
      </w:r>
      <w:r>
        <w:rPr>
          <w:rFonts w:cs="Monotype Koufi" w:hint="cs"/>
          <w:rtl/>
        </w:rPr>
        <w:t>َ</w:t>
      </w:r>
      <w:r>
        <w:rPr>
          <w:rFonts w:cs="Monotype Koufi"/>
          <w:rtl/>
        </w:rPr>
        <w:t>ا ل</w:t>
      </w:r>
      <w:r>
        <w:rPr>
          <w:rFonts w:cs="Monotype Koufi" w:hint="cs"/>
          <w:rtl/>
        </w:rPr>
        <w:t>َ</w:t>
      </w:r>
      <w:r>
        <w:rPr>
          <w:rFonts w:cs="Monotype Koufi"/>
          <w:rtl/>
        </w:rPr>
        <w:t>م</w:t>
      </w:r>
      <w:r>
        <w:rPr>
          <w:rFonts w:cs="Monotype Koufi" w:hint="cs"/>
          <w:rtl/>
        </w:rPr>
        <w:t>ْ</w:t>
      </w:r>
      <w:r>
        <w:rPr>
          <w:rFonts w:cs="Monotype Koufi"/>
          <w:rtl/>
        </w:rPr>
        <w:t xml:space="preserve"> يت</w:t>
      </w:r>
      <w:r>
        <w:rPr>
          <w:rFonts w:cs="Monotype Koufi" w:hint="cs"/>
          <w:rtl/>
        </w:rPr>
        <w:t>َّ</w:t>
      </w:r>
      <w:r>
        <w:rPr>
          <w:rFonts w:cs="Monotype Koufi"/>
          <w:rtl/>
        </w:rPr>
        <w:t>صل</w:t>
      </w:r>
      <w:r>
        <w:rPr>
          <w:rFonts w:cs="Monotype Koufi" w:hint="cs"/>
          <w:rtl/>
        </w:rPr>
        <w:t>ْ</w:t>
      </w:r>
      <w:r>
        <w:rPr>
          <w:rStyle w:val="a7"/>
          <w:b/>
          <w:rtl/>
        </w:rPr>
        <w:footnoteReference w:id="1528"/>
      </w:r>
      <w:r>
        <w:rPr>
          <w:b/>
          <w:bCs/>
          <w:rtl/>
        </w:rPr>
        <w:t xml:space="preserve"> </w:t>
      </w:r>
      <w:r>
        <w:rPr>
          <w:rFonts w:cs="Monotype Koufi" w:hint="eastAsia"/>
          <w:rtl/>
        </w:rPr>
        <w:t>إليه</w:t>
      </w:r>
      <w:r>
        <w:rPr>
          <w:rFonts w:cs="Monotype Koufi" w:hint="cs"/>
          <w:rtl/>
        </w:rPr>
        <w:t>ِ</w:t>
      </w:r>
      <w:r>
        <w:rPr>
          <w:rFonts w:cs="Monotype Koufi"/>
          <w:rtl/>
        </w:rPr>
        <w:t xml:space="preserve"> الث</w:t>
      </w:r>
      <w:r>
        <w:rPr>
          <w:rFonts w:cs="Monotype Koufi" w:hint="cs"/>
          <w:rtl/>
        </w:rPr>
        <w:t>َّ</w:t>
      </w:r>
      <w:r>
        <w:rPr>
          <w:rFonts w:cs="Monotype Koufi"/>
          <w:rtl/>
        </w:rPr>
        <w:t>م</w:t>
      </w:r>
      <w:r>
        <w:rPr>
          <w:rFonts w:cs="Monotype Koufi" w:hint="cs"/>
          <w:rtl/>
        </w:rPr>
        <w:t>َ</w:t>
      </w:r>
      <w:r>
        <w:rPr>
          <w:rFonts w:cs="Monotype Koufi"/>
          <w:rtl/>
        </w:rPr>
        <w:t>ن</w:t>
      </w:r>
      <w:r>
        <w:rPr>
          <w:rFonts w:cs="Monotype Koufi" w:hint="cs"/>
          <w:rtl/>
        </w:rPr>
        <w:t>ُ</w:t>
      </w:r>
      <w:r>
        <w:rPr>
          <w:vertAlign w:val="superscript"/>
          <w:rtl/>
        </w:rPr>
        <w:t>(</w:t>
      </w:r>
      <w:r>
        <w:rPr>
          <w:rStyle w:val="a7"/>
          <w:rtl/>
        </w:rPr>
        <w:footnoteReference w:id="1529"/>
      </w:r>
      <w:r>
        <w:rPr>
          <w:vertAlign w:val="superscript"/>
          <w:rtl/>
        </w:rPr>
        <w:t>)</w:t>
      </w:r>
      <w:r>
        <w:rPr>
          <w:b/>
          <w:bCs/>
          <w:rtl/>
        </w:rPr>
        <w:t xml:space="preserve"> :</w:t>
      </w:r>
    </w:p>
    <w:p w:rsidR="00C10469" w:rsidRDefault="00C10469">
      <w:pPr>
        <w:rPr>
          <w:rtl/>
        </w:rPr>
      </w:pPr>
      <w:r>
        <w:rPr>
          <w:rFonts w:hint="eastAsia"/>
          <w:rtl/>
        </w:rPr>
        <w:t>فبقي</w:t>
      </w:r>
      <w:r>
        <w:rPr>
          <w:rtl/>
        </w:rPr>
        <w:t xml:space="preserve"> ملك [البائع]</w:t>
      </w:r>
      <w:r>
        <w:rPr>
          <w:rStyle w:val="a7"/>
          <w:rtl/>
        </w:rPr>
        <w:footnoteReference w:id="1530"/>
      </w:r>
      <w:r>
        <w:rPr>
          <w:rtl/>
        </w:rPr>
        <w:t xml:space="preserve"> </w:t>
      </w:r>
      <w:r>
        <w:rPr>
          <w:rFonts w:hint="eastAsia"/>
          <w:rtl/>
        </w:rPr>
        <w:t>على</w:t>
      </w:r>
      <w:r>
        <w:rPr>
          <w:rtl/>
        </w:rPr>
        <w:t xml:space="preserve"> ما كان عليه حتى يستوفي الثمن</w:t>
      </w:r>
      <w:r>
        <w:rPr>
          <w:rStyle w:val="a7"/>
          <w:rtl/>
        </w:rPr>
        <w:footnoteReference w:id="1531"/>
      </w:r>
      <w:r>
        <w:rPr>
          <w:rFonts w:hint="eastAsia"/>
          <w:rtl/>
        </w:rPr>
        <w:t>؛</w:t>
      </w:r>
      <w:r>
        <w:rPr>
          <w:rtl/>
        </w:rPr>
        <w:t xml:space="preserve"> </w:t>
      </w:r>
      <w:r>
        <w:rPr>
          <w:rFonts w:hint="eastAsia"/>
          <w:rtl/>
        </w:rPr>
        <w:t>ولهذا</w:t>
      </w:r>
      <w:r>
        <w:rPr>
          <w:rtl/>
        </w:rPr>
        <w:t xml:space="preserve"> كان أخصَّ به من سائر الغرماء، وإذا [هلك هلك]</w:t>
      </w:r>
      <w:r>
        <w:rPr>
          <w:rStyle w:val="a7"/>
          <w:rtl/>
        </w:rPr>
        <w:footnoteReference w:id="1532"/>
      </w:r>
      <w:r>
        <w:rPr>
          <w:rtl/>
        </w:rPr>
        <w:t xml:space="preserve"> </w:t>
      </w:r>
      <w:r>
        <w:rPr>
          <w:rFonts w:hint="eastAsia"/>
          <w:rtl/>
        </w:rPr>
        <w:t>على</w:t>
      </w:r>
      <w:r>
        <w:rPr>
          <w:rtl/>
        </w:rPr>
        <w:t xml:space="preserve"> البائِع</w:t>
      </w:r>
      <w:r>
        <w:rPr>
          <w:vertAlign w:val="superscript"/>
          <w:rtl/>
        </w:rPr>
        <w:t>(</w:t>
      </w:r>
      <w:r>
        <w:rPr>
          <w:rStyle w:val="a7"/>
          <w:rtl/>
        </w:rPr>
        <w:footnoteReference w:id="1533"/>
      </w:r>
      <w:r>
        <w:rPr>
          <w:vertAlign w:val="superscript"/>
          <w:rtl/>
        </w:rPr>
        <w:t>)</w:t>
      </w:r>
      <w:r>
        <w:rPr>
          <w:rtl/>
        </w:rPr>
        <w:t>.</w:t>
      </w:r>
    </w:p>
    <w:p w:rsidR="00C10469" w:rsidRDefault="00C10469">
      <w:pPr>
        <w:rPr>
          <w:rtl/>
        </w:rPr>
      </w:pPr>
      <w:r>
        <w:rPr>
          <w:rFonts w:hint="eastAsia"/>
          <w:spacing w:val="6"/>
          <w:rtl/>
        </w:rPr>
        <w:t>ولا</w:t>
      </w:r>
      <w:r>
        <w:rPr>
          <w:spacing w:val="6"/>
          <w:rtl/>
        </w:rPr>
        <w:t xml:space="preserve"> يقال</w:t>
      </w:r>
      <w:r>
        <w:rPr>
          <w:spacing w:val="6"/>
          <w:vertAlign w:val="superscript"/>
          <w:rtl/>
        </w:rPr>
        <w:t>(</w:t>
      </w:r>
      <w:r>
        <w:rPr>
          <w:rStyle w:val="a7"/>
          <w:spacing w:val="6"/>
          <w:rtl/>
        </w:rPr>
        <w:footnoteReference w:id="1534"/>
      </w:r>
      <w:r>
        <w:rPr>
          <w:spacing w:val="6"/>
          <w:vertAlign w:val="superscript"/>
          <w:rtl/>
        </w:rPr>
        <w:t>)</w:t>
      </w:r>
      <w:r>
        <w:rPr>
          <w:spacing w:val="6"/>
          <w:rtl/>
        </w:rPr>
        <w:t xml:space="preserve"> : إن ا</w:t>
      </w:r>
      <w:r>
        <w:rPr>
          <w:rFonts w:hint="cs"/>
          <w:spacing w:val="6"/>
          <w:rtl/>
        </w:rPr>
        <w:t>لمشتري</w:t>
      </w:r>
      <w:r>
        <w:rPr>
          <w:spacing w:val="6"/>
          <w:rtl/>
        </w:rPr>
        <w:t xml:space="preserve"> إذا قبض المبيع بإذن البائع زال ملك البائع، وإن لم يتّصل</w:t>
      </w:r>
      <w:r>
        <w:rPr>
          <w:rStyle w:val="a7"/>
          <w:spacing w:val="6"/>
          <w:rtl/>
        </w:rPr>
        <w:footnoteReference w:id="1535"/>
      </w:r>
      <w:r>
        <w:rPr>
          <w:spacing w:val="6"/>
          <w:rtl/>
        </w:rPr>
        <w:t xml:space="preserve"> </w:t>
      </w:r>
      <w:r>
        <w:rPr>
          <w:rFonts w:hint="eastAsia"/>
          <w:spacing w:val="6"/>
          <w:rtl/>
        </w:rPr>
        <w:t>إليه</w:t>
      </w:r>
      <w:r>
        <w:rPr>
          <w:spacing w:val="6"/>
          <w:rtl/>
        </w:rPr>
        <w:t xml:space="preserve"> ال</w:t>
      </w:r>
      <w:r>
        <w:rPr>
          <w:rFonts w:hint="cs"/>
          <w:spacing w:val="6"/>
          <w:rtl/>
        </w:rPr>
        <w:t>ـ</w:t>
      </w:r>
      <w:r>
        <w:rPr>
          <w:spacing w:val="6"/>
          <w:rtl/>
        </w:rPr>
        <w:t>ثم</w:t>
      </w:r>
      <w:r>
        <w:rPr>
          <w:rFonts w:hint="cs"/>
          <w:spacing w:val="6"/>
          <w:rtl/>
        </w:rPr>
        <w:t>ـ</w:t>
      </w:r>
      <w:r>
        <w:rPr>
          <w:spacing w:val="6"/>
          <w:rtl/>
        </w:rPr>
        <w:t>ن، وصار الثمن دينًا على المشتري، ولم يكن به</w:t>
      </w:r>
      <w:r>
        <w:rPr>
          <w:spacing w:val="6"/>
          <w:vertAlign w:val="superscript"/>
          <w:rtl/>
        </w:rPr>
        <w:t>(</w:t>
      </w:r>
      <w:r>
        <w:rPr>
          <w:rStyle w:val="a7"/>
          <w:spacing w:val="6"/>
          <w:rtl/>
        </w:rPr>
        <w:footnoteReference w:id="1536"/>
      </w:r>
      <w:r>
        <w:rPr>
          <w:spacing w:val="6"/>
          <w:vertAlign w:val="superscript"/>
          <w:rtl/>
        </w:rPr>
        <w:t>)</w:t>
      </w:r>
      <w:r>
        <w:rPr>
          <w:spacing w:val="6"/>
          <w:rtl/>
        </w:rPr>
        <w:t xml:space="preserve"> </w:t>
      </w:r>
      <w:r>
        <w:rPr>
          <w:rFonts w:hint="eastAsia"/>
          <w:spacing w:val="6"/>
          <w:rtl/>
        </w:rPr>
        <w:t>البائع</w:t>
      </w:r>
      <w:r>
        <w:rPr>
          <w:spacing w:val="6"/>
          <w:rtl/>
        </w:rPr>
        <w:t xml:space="preserve"> أخصّ من سائر الغرماء. </w:t>
      </w:r>
    </w:p>
    <w:p w:rsidR="00C10469" w:rsidRDefault="00C10469">
      <w:pPr>
        <w:rPr>
          <w:rtl/>
        </w:rPr>
      </w:pPr>
      <w:r>
        <w:rPr>
          <w:rFonts w:hint="eastAsia"/>
          <w:rtl/>
        </w:rPr>
        <w:t>ذُك</w:t>
      </w:r>
      <w:r>
        <w:rPr>
          <w:rFonts w:hint="cs"/>
          <w:rtl/>
        </w:rPr>
        <w:t>ــــــــــــــــ</w:t>
      </w:r>
      <w:r>
        <w:rPr>
          <w:rFonts w:hint="eastAsia"/>
          <w:rtl/>
        </w:rPr>
        <w:t>ر</w:t>
      </w:r>
      <w:r>
        <w:rPr>
          <w:vertAlign w:val="superscript"/>
          <w:rtl/>
        </w:rPr>
        <w:t>(</w:t>
      </w:r>
      <w:r>
        <w:rPr>
          <w:rStyle w:val="a7"/>
          <w:rtl/>
        </w:rPr>
        <w:footnoteReference w:id="1537"/>
      </w:r>
      <w:r>
        <w:rPr>
          <w:vertAlign w:val="superscript"/>
          <w:rtl/>
        </w:rPr>
        <w:t>)</w:t>
      </w:r>
      <w:r>
        <w:rPr>
          <w:rtl/>
        </w:rPr>
        <w:t xml:space="preserve"> </w:t>
      </w:r>
      <w:r>
        <w:rPr>
          <w:rFonts w:hint="eastAsia"/>
          <w:rtl/>
        </w:rPr>
        <w:t>ف</w:t>
      </w:r>
      <w:r>
        <w:rPr>
          <w:rFonts w:hint="cs"/>
          <w:rtl/>
        </w:rPr>
        <w:t>ـــــــــــــ</w:t>
      </w:r>
      <w:r>
        <w:rPr>
          <w:rFonts w:hint="eastAsia"/>
          <w:rtl/>
        </w:rPr>
        <w:t>ي</w:t>
      </w:r>
      <w:r>
        <w:rPr>
          <w:rtl/>
        </w:rPr>
        <w:t xml:space="preserve"> </w:t>
      </w:r>
    </w:p>
    <w:p w:rsidR="00C10469" w:rsidRDefault="00C10469" w:rsidP="00C10469">
      <w:pPr>
        <w:spacing w:line="264" w:lineRule="auto"/>
        <w:ind w:firstLine="0"/>
        <w:rPr>
          <w:rtl/>
        </w:rPr>
      </w:pPr>
      <w:r>
        <w:rPr>
          <w:rtl/>
        </w:rPr>
        <w:lastRenderedPageBreak/>
        <w:t>المعتبرات</w:t>
      </w:r>
      <w:r>
        <w:rPr>
          <w:vertAlign w:val="superscript"/>
          <w:rtl/>
        </w:rPr>
        <w:t>(</w:t>
      </w:r>
      <w:r>
        <w:rPr>
          <w:rStyle w:val="a7"/>
          <w:rtl/>
        </w:rPr>
        <w:footnoteReference w:id="1538"/>
      </w:r>
      <w:r>
        <w:rPr>
          <w:vertAlign w:val="superscript"/>
          <w:rtl/>
        </w:rPr>
        <w:t>)</w:t>
      </w:r>
      <w:r>
        <w:rPr>
          <w:rtl/>
        </w:rPr>
        <w:t xml:space="preserve"> : «اشترى شيئًا وقبضه ومات م</w:t>
      </w:r>
      <w:r>
        <w:rPr>
          <w:rFonts w:hint="cs"/>
          <w:rtl/>
        </w:rPr>
        <w:t>ف</w:t>
      </w:r>
      <w:r>
        <w:rPr>
          <w:rtl/>
        </w:rPr>
        <w:t>لسًا قبل نقد ثمنه، فالبائع أسوة للغرماء»</w:t>
      </w:r>
      <w:r>
        <w:rPr>
          <w:vertAlign w:val="superscript"/>
          <w:rtl/>
        </w:rPr>
        <w:t>(</w:t>
      </w:r>
      <w:r>
        <w:rPr>
          <w:rStyle w:val="a7"/>
          <w:rtl/>
        </w:rPr>
        <w:footnoteReference w:id="1539"/>
      </w:r>
      <w:r>
        <w:rPr>
          <w:vertAlign w:val="superscript"/>
          <w:rtl/>
        </w:rPr>
        <w:t>)</w:t>
      </w:r>
      <w:r>
        <w:rPr>
          <w:rtl/>
        </w:rPr>
        <w:t>.</w:t>
      </w:r>
    </w:p>
    <w:p w:rsidR="00C10469" w:rsidRDefault="00C10469" w:rsidP="00C10469">
      <w:pPr>
        <w:spacing w:line="264" w:lineRule="auto"/>
        <w:rPr>
          <w:rtl/>
        </w:rPr>
      </w:pPr>
      <w:r>
        <w:rPr>
          <w:rFonts w:hint="eastAsia"/>
          <w:rtl/>
        </w:rPr>
        <w:t>فلا</w:t>
      </w:r>
      <w:r>
        <w:rPr>
          <w:rtl/>
        </w:rPr>
        <w:t xml:space="preserve"> وجه لحصر إزالة الملك بقبض الثمن؛ </w:t>
      </w:r>
      <w:r>
        <w:rPr>
          <w:rFonts w:hint="eastAsia"/>
          <w:rtl/>
        </w:rPr>
        <w:t>لأن</w:t>
      </w:r>
      <w:r>
        <w:rPr>
          <w:rtl/>
        </w:rPr>
        <w:t xml:space="preserve"> </w:t>
      </w:r>
      <w:r>
        <w:rPr>
          <w:rFonts w:hint="cs"/>
          <w:rtl/>
        </w:rPr>
        <w:t>إ</w:t>
      </w:r>
      <w:r>
        <w:rPr>
          <w:rtl/>
        </w:rPr>
        <w:t>زال</w:t>
      </w:r>
      <w:r>
        <w:rPr>
          <w:rFonts w:hint="cs"/>
          <w:rtl/>
        </w:rPr>
        <w:t>ة</w:t>
      </w:r>
      <w:r>
        <w:rPr>
          <w:rtl/>
        </w:rPr>
        <w:t xml:space="preserve"> ملك اليد حصل</w:t>
      </w:r>
      <w:r>
        <w:rPr>
          <w:rFonts w:hint="cs"/>
          <w:vertAlign w:val="superscript"/>
          <w:rtl/>
        </w:rPr>
        <w:t>(</w:t>
      </w:r>
      <w:r>
        <w:rPr>
          <w:rStyle w:val="a7"/>
          <w:rtl/>
        </w:rPr>
        <w:footnoteReference w:id="1540"/>
      </w:r>
      <w:r>
        <w:rPr>
          <w:rFonts w:hint="cs"/>
          <w:vertAlign w:val="superscript"/>
          <w:rtl/>
        </w:rPr>
        <w:t>)</w:t>
      </w:r>
      <w:r>
        <w:rPr>
          <w:rtl/>
        </w:rPr>
        <w:t xml:space="preserve"> </w:t>
      </w:r>
      <w:r>
        <w:rPr>
          <w:rFonts w:hint="eastAsia"/>
          <w:rtl/>
        </w:rPr>
        <w:t>بتسليم</w:t>
      </w:r>
      <w:r>
        <w:rPr>
          <w:rtl/>
        </w:rPr>
        <w:t xml:space="preserve"> المبيع إلى المشتري، لا بمجرّد البيع.</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1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F7DDC" w:rsidRDefault="00C10469">
      <w:pPr>
        <w:pStyle w:val="a9"/>
        <w:rPr>
          <w:rFonts w:cs="AL-Mateen"/>
          <w:rtl/>
          <w:lang w:val="en-US"/>
        </w:rPr>
      </w:pPr>
      <w:r w:rsidRPr="001F7DDC">
        <w:rPr>
          <w:rFonts w:cs="AL-Mateen" w:hint="cs"/>
          <w:rtl/>
          <w:lang w:val="en-US"/>
        </w:rPr>
        <w:lastRenderedPageBreak/>
        <w:t>[ القاعدة الثالثة والستون ]</w:t>
      </w:r>
    </w:p>
    <w:p w:rsidR="00C10469" w:rsidRDefault="00C10469">
      <w:pPr>
        <w:rPr>
          <w:rtl/>
        </w:rPr>
      </w:pPr>
      <w:r>
        <w:rPr>
          <w:rFonts w:cs="Monotype Koufi" w:hint="cs"/>
          <w:rtl/>
        </w:rPr>
        <w:t>التَّابعُ لا يُفْرَدُ بالحُكْمِ</w:t>
      </w:r>
      <w:r>
        <w:rPr>
          <w:rFonts w:hint="cs"/>
          <w:b/>
          <w:bCs/>
          <w:vertAlign w:val="superscript"/>
          <w:rtl/>
        </w:rPr>
        <w:t>(</w:t>
      </w:r>
      <w:r>
        <w:rPr>
          <w:rStyle w:val="a7"/>
          <w:rtl/>
        </w:rPr>
        <w:footnoteReference w:id="1541"/>
      </w:r>
      <w:r>
        <w:rPr>
          <w:rFonts w:hint="cs"/>
          <w:b/>
          <w:bCs/>
          <w:vertAlign w:val="superscript"/>
          <w:rtl/>
        </w:rPr>
        <w:t>)</w:t>
      </w:r>
      <w:r>
        <w:rPr>
          <w:rFonts w:hint="cs"/>
          <w:rtl/>
        </w:rPr>
        <w:t xml:space="preserve"> :</w:t>
      </w:r>
    </w:p>
    <w:p w:rsidR="00C10469" w:rsidRDefault="00C10469">
      <w:pPr>
        <w:rPr>
          <w:rtl/>
        </w:rPr>
      </w:pPr>
      <w:r>
        <w:rPr>
          <w:rFonts w:hint="eastAsia"/>
          <w:rtl/>
        </w:rPr>
        <w:t>«</w:t>
      </w:r>
      <w:r>
        <w:rPr>
          <w:rFonts w:hint="cs"/>
          <w:b/>
          <w:bCs/>
          <w:rtl/>
        </w:rPr>
        <w:t>ومن فروعها</w:t>
      </w:r>
      <w:r>
        <w:rPr>
          <w:rFonts w:hint="cs"/>
          <w:rtl/>
        </w:rPr>
        <w:t xml:space="preserve"> : الحمل يدخل</w:t>
      </w:r>
      <w:r>
        <w:rPr>
          <w:rStyle w:val="a7"/>
          <w:rtl/>
        </w:rPr>
        <w:footnoteReference w:id="1542"/>
      </w:r>
      <w:r>
        <w:rPr>
          <w:rFonts w:hint="cs"/>
          <w:rtl/>
        </w:rPr>
        <w:t xml:space="preserve"> في بيع الأم تبع</w:t>
      </w:r>
      <w:r>
        <w:rPr>
          <w:rFonts w:hint="cs"/>
          <w:rtl/>
          <w:lang w:bidi="ar-AE"/>
        </w:rPr>
        <w:t>ً</w:t>
      </w:r>
      <w:r>
        <w:rPr>
          <w:rFonts w:hint="cs"/>
          <w:rtl/>
        </w:rPr>
        <w:t>ا، ولا يفرد</w:t>
      </w:r>
      <w:r>
        <w:rPr>
          <w:rStyle w:val="a7"/>
          <w:rtl/>
        </w:rPr>
        <w:footnoteReference w:id="1543"/>
      </w:r>
      <w:r>
        <w:rPr>
          <w:rFonts w:hint="cs"/>
          <w:rtl/>
        </w:rPr>
        <w:t xml:space="preserve"> بالهبة والبيع</w:t>
      </w:r>
      <w:r>
        <w:rPr>
          <w:rFonts w:hint="eastAsia"/>
          <w:rtl/>
        </w:rPr>
        <w:t>»</w:t>
      </w:r>
      <w:r>
        <w:rPr>
          <w:rFonts w:hint="cs"/>
          <w:vertAlign w:val="superscript"/>
          <w:rtl/>
        </w:rPr>
        <w:t>(</w:t>
      </w:r>
      <w:r>
        <w:rPr>
          <w:rStyle w:val="a7"/>
          <w:rtl/>
        </w:rPr>
        <w:footnoteReference w:id="1544"/>
      </w:r>
      <w:r>
        <w:rPr>
          <w:rFonts w:hint="cs"/>
          <w:vertAlign w:val="superscript"/>
          <w:rtl/>
        </w:rPr>
        <w:t>)</w:t>
      </w:r>
      <w:r>
        <w:rPr>
          <w:rFonts w:hint="cs"/>
          <w:rtl/>
        </w:rPr>
        <w:t>.</w:t>
      </w:r>
    </w:p>
    <w:p w:rsidR="00C10469" w:rsidRDefault="00C10469">
      <w:pPr>
        <w:rPr>
          <w:rtl/>
        </w:rPr>
      </w:pPr>
      <w:r>
        <w:rPr>
          <w:rFonts w:hint="cs"/>
          <w:rtl/>
        </w:rPr>
        <w:lastRenderedPageBreak/>
        <w:t xml:space="preserve">وقال </w:t>
      </w:r>
      <w:r>
        <w:rPr>
          <w:rFonts w:hint="eastAsia"/>
          <w:rtl/>
        </w:rPr>
        <w:t>«</w:t>
      </w:r>
      <w:r>
        <w:rPr>
          <w:rFonts w:hint="cs"/>
          <w:rtl/>
        </w:rPr>
        <w:t>صـاحب (الهـداية) في باب اللعان : إن الأحكام لا تترتَّب عـلى الحمل</w:t>
      </w:r>
      <w:r>
        <w:rPr>
          <w:rStyle w:val="a7"/>
          <w:rtl/>
        </w:rPr>
        <w:footnoteReference w:id="1545"/>
      </w:r>
      <w:r>
        <w:rPr>
          <w:rFonts w:hint="cs"/>
          <w:rtl/>
        </w:rPr>
        <w:t xml:space="preserve"> قبل وضعه</w:t>
      </w:r>
      <w:r>
        <w:rPr>
          <w:rFonts w:hint="eastAsia"/>
          <w:rtl/>
        </w:rPr>
        <w:t>»</w:t>
      </w:r>
      <w:r>
        <w:rPr>
          <w:rFonts w:hint="cs"/>
          <w:vertAlign w:val="superscript"/>
          <w:rtl/>
        </w:rPr>
        <w:t>(</w:t>
      </w:r>
      <w:r>
        <w:rPr>
          <w:rStyle w:val="a7"/>
          <w:rtl/>
        </w:rPr>
        <w:footnoteReference w:id="1546"/>
      </w:r>
      <w:r>
        <w:rPr>
          <w:rFonts w:hint="cs"/>
          <w:vertAlign w:val="superscript"/>
          <w:rtl/>
        </w:rPr>
        <w:t>)</w:t>
      </w:r>
      <w:r>
        <w:rPr>
          <w:rFonts w:hint="cs"/>
          <w:rtl/>
        </w:rPr>
        <w:t>.</w:t>
      </w:r>
    </w:p>
    <w:p w:rsidR="00C10469" w:rsidRDefault="00C10469">
      <w:pPr>
        <w:rPr>
          <w:rtl/>
        </w:rPr>
      </w:pPr>
      <w:r>
        <w:rPr>
          <w:rFonts w:hint="cs"/>
          <w:rtl/>
        </w:rPr>
        <w:t xml:space="preserve">ولكن ذكر في (العناية) : هذا </w:t>
      </w:r>
      <w:r>
        <w:rPr>
          <w:rFonts w:hint="eastAsia"/>
          <w:rtl/>
        </w:rPr>
        <w:t>«</w:t>
      </w:r>
      <w:r>
        <w:rPr>
          <w:rFonts w:hint="cs"/>
          <w:rtl/>
        </w:rPr>
        <w:t>ليس على إطلاقه؛ لما</w:t>
      </w:r>
      <w:r>
        <w:rPr>
          <w:rStyle w:val="a7"/>
          <w:rtl/>
        </w:rPr>
        <w:footnoteReference w:id="1547"/>
      </w:r>
      <w:r>
        <w:rPr>
          <w:rFonts w:hint="cs"/>
          <w:rtl/>
        </w:rPr>
        <w:t xml:space="preserve"> علمت من ثبوت الأحكام له قبله، والمراد</w:t>
      </w:r>
      <w:r>
        <w:rPr>
          <w:rFonts w:hint="cs"/>
          <w:vertAlign w:val="superscript"/>
          <w:rtl/>
        </w:rPr>
        <w:t>(</w:t>
      </w:r>
      <w:r>
        <w:rPr>
          <w:rStyle w:val="a7"/>
          <w:rtl/>
        </w:rPr>
        <w:footnoteReference w:id="1548"/>
      </w:r>
      <w:r>
        <w:rPr>
          <w:rFonts w:hint="cs"/>
          <w:vertAlign w:val="superscript"/>
          <w:rtl/>
        </w:rPr>
        <w:t>)</w:t>
      </w:r>
      <w:r>
        <w:rPr>
          <w:rFonts w:hint="cs"/>
          <w:rtl/>
        </w:rPr>
        <w:t xml:space="preserve"> بعضها</w:t>
      </w:r>
      <w:r>
        <w:rPr>
          <w:rFonts w:hint="eastAsia"/>
          <w:rtl/>
        </w:rPr>
        <w:t>»</w:t>
      </w:r>
      <w:r>
        <w:rPr>
          <w:rFonts w:hint="cs"/>
          <w:vertAlign w:val="superscript"/>
          <w:rtl/>
        </w:rPr>
        <w:t>(</w:t>
      </w:r>
      <w:r>
        <w:rPr>
          <w:rStyle w:val="a7"/>
          <w:rtl/>
        </w:rPr>
        <w:footnoteReference w:id="1549"/>
      </w:r>
      <w:r>
        <w:rPr>
          <w:rFonts w:hint="cs"/>
          <w:vertAlign w:val="superscript"/>
          <w:rtl/>
        </w:rPr>
        <w:t>)</w:t>
      </w:r>
      <w:r>
        <w:rPr>
          <w:rFonts w:hint="cs"/>
          <w:rtl/>
        </w:rPr>
        <w:t xml:space="preserve"> انتهى.</w:t>
      </w:r>
    </w:p>
    <w:p w:rsidR="00C10469" w:rsidRDefault="00C10469">
      <w:pPr>
        <w:rPr>
          <w:rtl/>
        </w:rPr>
      </w:pPr>
      <w:r>
        <w:rPr>
          <w:rFonts w:hint="cs"/>
          <w:rtl/>
        </w:rPr>
        <w:t>ألا ترى أنّ الحمل يفرد بالعتق، والعتق حكم ترتّب عليه قبل وضعه</w:t>
      </w:r>
      <w:r>
        <w:rPr>
          <w:rFonts w:hint="cs"/>
          <w:vertAlign w:val="superscript"/>
          <w:rtl/>
        </w:rPr>
        <w:t>(</w:t>
      </w:r>
      <w:r>
        <w:rPr>
          <w:rStyle w:val="a7"/>
          <w:rtl/>
        </w:rPr>
        <w:footnoteReference w:id="1550"/>
      </w:r>
      <w:r>
        <w:rPr>
          <w:rFonts w:hint="cs"/>
          <w:vertAlign w:val="superscript"/>
          <w:rtl/>
        </w:rPr>
        <w:t>)</w:t>
      </w:r>
      <w:r>
        <w:rPr>
          <w:rFonts w:hint="cs"/>
          <w:rtl/>
        </w:rPr>
        <w:t>!.</w:t>
      </w:r>
    </w:p>
    <w:p w:rsidR="00C10469" w:rsidRDefault="00C10469">
      <w:pPr>
        <w:rPr>
          <w:rtl/>
        </w:rPr>
      </w:pPr>
      <w:r>
        <w:rPr>
          <w:rFonts w:hint="cs"/>
          <w:rtl/>
        </w:rPr>
        <w:lastRenderedPageBreak/>
        <w:t>فعلم بهذا</w:t>
      </w:r>
      <w:r>
        <w:rPr>
          <w:rFonts w:hint="cs"/>
          <w:vertAlign w:val="superscript"/>
          <w:rtl/>
        </w:rPr>
        <w:t>(</w:t>
      </w:r>
      <w:r>
        <w:rPr>
          <w:rStyle w:val="a7"/>
          <w:rtl/>
        </w:rPr>
        <w:footnoteReference w:id="1551"/>
      </w:r>
      <w:r>
        <w:rPr>
          <w:rFonts w:hint="cs"/>
          <w:vertAlign w:val="superscript"/>
          <w:rtl/>
        </w:rPr>
        <w:t>)</w:t>
      </w:r>
      <w:r>
        <w:rPr>
          <w:rFonts w:hint="cs"/>
          <w:rtl/>
        </w:rPr>
        <w:t xml:space="preserve"> أن عدم جواز انفراد التابع بالحكم ليس بمطّرد</w:t>
      </w:r>
      <w:r>
        <w:rPr>
          <w:rStyle w:val="a7"/>
          <w:rtl/>
        </w:rPr>
        <w:footnoteReference w:id="1552"/>
      </w:r>
      <w:r>
        <w:rPr>
          <w:rFonts w:hint="cs"/>
          <w:rtl/>
        </w:rPr>
        <w:t xml:space="preserve"> حتى يصحّ تفريع المسائل عن هذا الأصل</w:t>
      </w:r>
      <w:r>
        <w:rPr>
          <w:rFonts w:hint="cs"/>
          <w:vertAlign w:val="superscript"/>
          <w:rtl/>
        </w:rPr>
        <w:t>(</w:t>
      </w:r>
      <w:r>
        <w:rPr>
          <w:rStyle w:val="a7"/>
          <w:rtl/>
        </w:rPr>
        <w:footnoteReference w:id="1553"/>
      </w:r>
      <w:r>
        <w:rPr>
          <w:rFonts w:hint="cs"/>
          <w:vertAlign w:val="superscript"/>
          <w:rtl/>
        </w:rPr>
        <w:t>)</w:t>
      </w:r>
      <w:r>
        <w:rPr>
          <w:rFonts w:hint="cs"/>
          <w:rtl/>
        </w:rPr>
        <w:t xml:space="preserve">، والاستدلال به؛ ولهذا علّلوا عدم جواز الهبة والبيع في </w:t>
      </w:r>
      <w:r>
        <w:rPr>
          <w:rFonts w:hint="cs"/>
          <w:rtl/>
        </w:rPr>
        <w:lastRenderedPageBreak/>
        <w:t xml:space="preserve">مسألة الحمل : بأن </w:t>
      </w:r>
      <w:r>
        <w:rPr>
          <w:rFonts w:hint="eastAsia"/>
          <w:rtl/>
        </w:rPr>
        <w:t>«</w:t>
      </w:r>
      <w:r>
        <w:rPr>
          <w:rFonts w:hint="cs"/>
          <w:rtl/>
        </w:rPr>
        <w:t>التسليم نفسه شرط في الهبة والقدرة عليه في البيع، ولم يوجد.</w:t>
      </w:r>
    </w:p>
    <w:p w:rsidR="00C10469" w:rsidRDefault="00C10469">
      <w:pPr>
        <w:rPr>
          <w:rtl/>
        </w:rPr>
      </w:pPr>
      <w:r>
        <w:rPr>
          <w:rFonts w:hint="cs"/>
          <w:rtl/>
        </w:rPr>
        <w:t>[و]</w:t>
      </w:r>
      <w:r>
        <w:rPr>
          <w:rStyle w:val="a7"/>
          <w:rtl/>
        </w:rPr>
        <w:footnoteReference w:id="1554"/>
      </w:r>
      <w:r>
        <w:rPr>
          <w:rFonts w:hint="cs"/>
          <w:rtl/>
        </w:rPr>
        <w:t xml:space="preserve"> في العتق : لا يشترط</w:t>
      </w:r>
      <w:r>
        <w:rPr>
          <w:rStyle w:val="a7"/>
          <w:rtl/>
        </w:rPr>
        <w:footnoteReference w:id="1555"/>
      </w:r>
      <w:r>
        <w:rPr>
          <w:rFonts w:hint="cs"/>
          <w:rtl/>
        </w:rPr>
        <w:t xml:space="preserve"> شيء منهما؛ فيصح العتق، لا الهبة والبيع</w:t>
      </w:r>
      <w:r>
        <w:rPr>
          <w:rFonts w:hint="cs"/>
          <w:vertAlign w:val="superscript"/>
          <w:rtl/>
        </w:rPr>
        <w:t>(</w:t>
      </w:r>
      <w:r>
        <w:rPr>
          <w:rStyle w:val="a7"/>
          <w:rtl/>
        </w:rPr>
        <w:footnoteReference w:id="1556"/>
      </w:r>
      <w:r>
        <w:rPr>
          <w:rFonts w:hint="cs"/>
          <w:vertAlign w:val="superscript"/>
          <w:rtl/>
        </w:rPr>
        <w:t>)</w:t>
      </w:r>
      <w:r>
        <w:rPr>
          <w:rFonts w:hint="cs"/>
          <w:rtl/>
        </w:rPr>
        <w:t>.</w:t>
      </w:r>
    </w:p>
    <w:p w:rsidR="00C10469" w:rsidRDefault="00C10469">
      <w:pPr>
        <w:rPr>
          <w:rtl/>
        </w:rPr>
      </w:pPr>
      <w:r>
        <w:rPr>
          <w:rFonts w:hint="cs"/>
          <w:rtl/>
        </w:rPr>
        <w:t xml:space="preserve">فترك التعليل بهذا الأصل يدل على أن هذا الأصل ليس بمعتبر. </w:t>
      </w:r>
    </w:p>
    <w:p w:rsidR="00C10469" w:rsidRDefault="00C10469">
      <w:pPr>
        <w:rPr>
          <w:rtl/>
        </w:rPr>
      </w:pPr>
      <w:r>
        <w:rPr>
          <w:rFonts w:hint="cs"/>
          <w:rtl/>
        </w:rPr>
        <w:t>وكذا يصح بيع البناء</w:t>
      </w:r>
      <w:r>
        <w:rPr>
          <w:rStyle w:val="a7"/>
          <w:rtl/>
        </w:rPr>
        <w:footnoteReference w:id="1557"/>
      </w:r>
      <w:r>
        <w:rPr>
          <w:rFonts w:hint="cs"/>
          <w:rtl/>
        </w:rPr>
        <w:t xml:space="preserve"> منفردًا دون الأرض مع أن البناء تابع للأرض</w:t>
      </w:r>
      <w:r>
        <w:rPr>
          <w:rFonts w:hint="cs"/>
          <w:vertAlign w:val="superscript"/>
          <w:rtl/>
        </w:rPr>
        <w:t>(</w:t>
      </w:r>
      <w:r>
        <w:rPr>
          <w:rStyle w:val="a7"/>
          <w:rtl/>
        </w:rPr>
        <w:footnoteReference w:id="1558"/>
      </w:r>
      <w:r>
        <w:rPr>
          <w:rFonts w:hint="cs"/>
          <w:vertAlign w:val="superscript"/>
          <w:rtl/>
        </w:rPr>
        <w:t>)</w:t>
      </w:r>
      <w:r>
        <w:rPr>
          <w:rFonts w:hint="cs"/>
          <w:rtl/>
        </w:rPr>
        <w:t>.</w:t>
      </w:r>
    </w:p>
    <w:p w:rsidR="00C10469" w:rsidRDefault="00C10469">
      <w:pPr>
        <w:rPr>
          <w:rtl/>
        </w:rPr>
      </w:pPr>
      <w:r>
        <w:rPr>
          <w:rFonts w:hint="cs"/>
          <w:rtl/>
        </w:rPr>
        <w:t>وأمثالها كثيرة لا [تحصى]</w:t>
      </w:r>
      <w:r>
        <w:rPr>
          <w:rStyle w:val="a7"/>
          <w:rtl/>
        </w:rPr>
        <w:footnoteReference w:id="1559"/>
      </w:r>
      <w:r>
        <w:rPr>
          <w:rFonts w:hint="cs"/>
          <w:rtl/>
        </w:rPr>
        <w:t xml:space="preserve"> في كتب الفقه.</w:t>
      </w:r>
    </w:p>
    <w:p w:rsidR="00C10469" w:rsidRDefault="00C10469">
      <w:pPr>
        <w:rPr>
          <w:rtl/>
        </w:rPr>
      </w:pPr>
    </w:p>
    <w:p w:rsidR="00C10469" w:rsidRDefault="00C10469">
      <w:pPr>
        <w:rPr>
          <w:rtl/>
        </w:rPr>
      </w:pPr>
    </w:p>
    <w:p w:rsidR="00C10469" w:rsidRPr="0042456F"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2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816DD" w:rsidRDefault="00C10469">
      <w:pPr>
        <w:pStyle w:val="a9"/>
        <w:rPr>
          <w:rFonts w:cs="AL-Mateen"/>
          <w:rtl/>
        </w:rPr>
      </w:pPr>
      <w:r w:rsidRPr="001816DD">
        <w:rPr>
          <w:rFonts w:cs="AL-Mateen" w:hint="cs"/>
          <w:rtl/>
        </w:rPr>
        <w:lastRenderedPageBreak/>
        <w:t>[ القاعدة  الـرابعة والستون ]</w:t>
      </w:r>
    </w:p>
    <w:p w:rsidR="00C10469" w:rsidRDefault="00C10469">
      <w:pPr>
        <w:rPr>
          <w:b/>
          <w:bCs/>
          <w:rtl/>
        </w:rPr>
      </w:pPr>
      <w:r>
        <w:rPr>
          <w:rFonts w:cs="Monotype Koufi" w:hint="cs"/>
          <w:rtl/>
        </w:rPr>
        <w:t>التَّابعُ يَسْقُطُ بسقوطِ المتبُوعِ</w:t>
      </w:r>
      <w:r>
        <w:rPr>
          <w:rFonts w:hint="cs"/>
          <w:vertAlign w:val="superscript"/>
          <w:rtl/>
        </w:rPr>
        <w:t>(</w:t>
      </w:r>
      <w:r>
        <w:rPr>
          <w:rStyle w:val="a7"/>
          <w:rtl/>
        </w:rPr>
        <w:footnoteReference w:id="1560"/>
      </w:r>
      <w:r>
        <w:rPr>
          <w:rFonts w:hint="cs"/>
          <w:vertAlign w:val="superscript"/>
          <w:rtl/>
        </w:rPr>
        <w:t>)</w:t>
      </w:r>
      <w:r>
        <w:rPr>
          <w:rFonts w:hint="cs"/>
          <w:b/>
          <w:bCs/>
          <w:rtl/>
        </w:rPr>
        <w:t xml:space="preserve"> :</w:t>
      </w:r>
    </w:p>
    <w:p w:rsidR="00C10469" w:rsidRDefault="00C10469">
      <w:pPr>
        <w:spacing w:line="600" w:lineRule="exact"/>
        <w:rPr>
          <w:rtl/>
        </w:rPr>
      </w:pPr>
      <w:r>
        <w:rPr>
          <w:rFonts w:hint="cs"/>
          <w:b/>
          <w:bCs/>
          <w:rtl/>
        </w:rPr>
        <w:t>ولهذا</w:t>
      </w:r>
      <w:r>
        <w:rPr>
          <w:rFonts w:hint="cs"/>
          <w:rtl/>
        </w:rPr>
        <w:t xml:space="preserve"> : </w:t>
      </w:r>
    </w:p>
    <w:p w:rsidR="00C10469" w:rsidRDefault="00C10469" w:rsidP="00C10469">
      <w:pPr>
        <w:spacing w:line="540" w:lineRule="exact"/>
        <w:ind w:left="989" w:hanging="252"/>
        <w:rPr>
          <w:rtl/>
        </w:rPr>
      </w:pPr>
      <w:r>
        <w:rPr>
          <w:rtl/>
        </w:rPr>
        <w:t>•</w:t>
      </w:r>
      <w:r>
        <w:rPr>
          <w:rFonts w:hint="cs"/>
          <w:rtl/>
        </w:rPr>
        <w:t xml:space="preserve"> </w:t>
      </w:r>
      <w:r>
        <w:rPr>
          <w:rFonts w:hint="eastAsia"/>
          <w:rtl/>
        </w:rPr>
        <w:t>«</w:t>
      </w:r>
      <w:r>
        <w:rPr>
          <w:rFonts w:hint="cs"/>
          <w:rtl/>
        </w:rPr>
        <w:t>من فاته الحج وتحلَّل بأفعال العمرة : لا يأتي بالرّمي والمبيت؛ لأنهما تابعان</w:t>
      </w:r>
      <w:r>
        <w:rPr>
          <w:rStyle w:val="a7"/>
          <w:rtl/>
        </w:rPr>
        <w:footnoteReference w:id="1561"/>
      </w:r>
      <w:r>
        <w:rPr>
          <w:rFonts w:hint="cs"/>
          <w:rtl/>
        </w:rPr>
        <w:t xml:space="preserve"> للوقوف وقد سقط.</w:t>
      </w:r>
    </w:p>
    <w:p w:rsidR="00C10469" w:rsidRDefault="00C10469" w:rsidP="00C10469">
      <w:pPr>
        <w:spacing w:line="540" w:lineRule="exact"/>
        <w:ind w:left="989" w:hanging="252"/>
        <w:rPr>
          <w:rtl/>
        </w:rPr>
      </w:pPr>
      <w:r>
        <w:rPr>
          <w:rtl/>
        </w:rPr>
        <w:t>•</w:t>
      </w:r>
      <w:r>
        <w:rPr>
          <w:rFonts w:hint="cs"/>
          <w:rtl/>
        </w:rPr>
        <w:t xml:space="preserve"> وإذا مات الفارس : سقط سهم [الفرس]</w:t>
      </w:r>
      <w:r>
        <w:rPr>
          <w:rStyle w:val="a7"/>
          <w:rtl/>
        </w:rPr>
        <w:footnoteReference w:id="1562"/>
      </w:r>
      <w:r>
        <w:rPr>
          <w:rFonts w:hint="cs"/>
          <w:rtl/>
        </w:rPr>
        <w:t xml:space="preserve"> لا عكسه</w:t>
      </w:r>
      <w:r>
        <w:rPr>
          <w:rFonts w:hint="eastAsia"/>
          <w:rtl/>
        </w:rPr>
        <w:t>»</w:t>
      </w:r>
      <w:r>
        <w:rPr>
          <w:rFonts w:hint="cs"/>
          <w:rtl/>
        </w:rPr>
        <w:t>؛</w:t>
      </w:r>
      <w:r>
        <w:rPr>
          <w:rFonts w:hint="cs"/>
          <w:vertAlign w:val="superscript"/>
          <w:rtl/>
        </w:rPr>
        <w:t>(</w:t>
      </w:r>
      <w:r>
        <w:rPr>
          <w:rStyle w:val="a7"/>
          <w:rtl/>
        </w:rPr>
        <w:footnoteReference w:id="1563"/>
      </w:r>
      <w:r>
        <w:rPr>
          <w:rFonts w:hint="cs"/>
          <w:vertAlign w:val="superscript"/>
          <w:rtl/>
        </w:rPr>
        <w:t>)</w:t>
      </w:r>
      <w:r>
        <w:rPr>
          <w:rFonts w:hint="cs"/>
          <w:rtl/>
        </w:rPr>
        <w:t xml:space="preserve"> لأنّ الفرس تابع، والفارس متبوع.</w:t>
      </w:r>
    </w:p>
    <w:p w:rsidR="00C10469" w:rsidRDefault="00C10469">
      <w:pPr>
        <w:rPr>
          <w:rtl/>
        </w:rPr>
      </w:pPr>
      <w:r>
        <w:rPr>
          <w:rFonts w:hint="cs"/>
          <w:b/>
          <w:bCs/>
          <w:rtl/>
        </w:rPr>
        <w:t>ومما خـرج عـن هـذه الـقـاعـدة</w:t>
      </w:r>
      <w:r>
        <w:rPr>
          <w:rFonts w:hint="cs"/>
          <w:rtl/>
        </w:rPr>
        <w:t xml:space="preserve"> : </w:t>
      </w:r>
      <w:r>
        <w:rPr>
          <w:rFonts w:hint="eastAsia"/>
          <w:rtl/>
        </w:rPr>
        <w:t>«</w:t>
      </w:r>
      <w:r>
        <w:rPr>
          <w:rFonts w:hint="cs"/>
          <w:rtl/>
        </w:rPr>
        <w:t>مـن [له]</w:t>
      </w:r>
      <w:r>
        <w:rPr>
          <w:rStyle w:val="a7"/>
          <w:rtl/>
        </w:rPr>
        <w:footnoteReference w:id="1564"/>
      </w:r>
      <w:r>
        <w:rPr>
          <w:rFonts w:hint="cs"/>
          <w:rtl/>
        </w:rPr>
        <w:t xml:space="preserve"> حـقٌّ فـي ديـوان </w:t>
      </w:r>
    </w:p>
    <w:p w:rsidR="00C10469" w:rsidRDefault="00C10469">
      <w:pPr>
        <w:ind w:firstLine="0"/>
        <w:rPr>
          <w:rtl/>
        </w:rPr>
      </w:pPr>
      <w:r>
        <w:rPr>
          <w:rFonts w:hint="cs"/>
          <w:rtl/>
        </w:rPr>
        <w:lastRenderedPageBreak/>
        <w:t>الـخـراج</w:t>
      </w:r>
      <w:r>
        <w:rPr>
          <w:rFonts w:hint="cs"/>
          <w:vertAlign w:val="superscript"/>
          <w:rtl/>
        </w:rPr>
        <w:t>(</w:t>
      </w:r>
      <w:r>
        <w:rPr>
          <w:rStyle w:val="a7"/>
          <w:rtl/>
        </w:rPr>
        <w:footnoteReference w:id="1565"/>
      </w:r>
      <w:r>
        <w:rPr>
          <w:rFonts w:hint="cs"/>
          <w:vertAlign w:val="superscript"/>
          <w:rtl/>
        </w:rPr>
        <w:t>)</w:t>
      </w:r>
      <w:r>
        <w:rPr>
          <w:rFonts w:hint="cs"/>
          <w:rtl/>
        </w:rPr>
        <w:t xml:space="preserve"> : كالمقاتلة والعلماء وطلبتهم و[المفتين]</w:t>
      </w:r>
      <w:r>
        <w:rPr>
          <w:rStyle w:val="a7"/>
          <w:rtl/>
        </w:rPr>
        <w:footnoteReference w:id="1566"/>
      </w:r>
      <w:r>
        <w:rPr>
          <w:rFonts w:hint="cs"/>
          <w:rtl/>
        </w:rPr>
        <w:t xml:space="preserve"> والفقهاء : يُفْرَضُ لأولادهم ولا يسقط بموت الأصل؛ </w:t>
      </w:r>
      <w:r>
        <w:rPr>
          <w:rFonts w:hint="cs"/>
          <w:b/>
          <w:bCs/>
          <w:rtl/>
        </w:rPr>
        <w:t>ترغيبًا</w:t>
      </w:r>
      <w:r>
        <w:rPr>
          <w:rFonts w:hint="eastAsia"/>
          <w:rtl/>
        </w:rPr>
        <w:t>»</w:t>
      </w:r>
      <w:r>
        <w:rPr>
          <w:rFonts w:hint="cs"/>
          <w:vertAlign w:val="superscript"/>
          <w:rtl/>
        </w:rPr>
        <w:t>(</w:t>
      </w:r>
      <w:r>
        <w:rPr>
          <w:rStyle w:val="a7"/>
          <w:rtl/>
        </w:rPr>
        <w:footnoteReference w:id="1567"/>
      </w:r>
      <w:r>
        <w:rPr>
          <w:rFonts w:hint="cs"/>
          <w:vertAlign w:val="superscript"/>
          <w:rtl/>
        </w:rPr>
        <w:t>)</w:t>
      </w:r>
      <w:r>
        <w:rPr>
          <w:rFonts w:hint="cs"/>
          <w:rtl/>
        </w:rPr>
        <w:t xml:space="preserve"> لتحصيل هذه الخصال الحميدة، وتعظيمًا لشأنها.</w:t>
      </w:r>
    </w:p>
    <w:p w:rsidR="00C10469" w:rsidRDefault="00C10469">
      <w:pPr>
        <w:spacing w:line="520" w:lineRule="exact"/>
        <w:rPr>
          <w:rtl/>
        </w:rPr>
      </w:pPr>
      <w:r>
        <w:rPr>
          <w:rFonts w:hint="cs"/>
          <w:b/>
          <w:bCs/>
          <w:rtl/>
        </w:rPr>
        <w:t>ومما خرج عـن هـذه</w:t>
      </w:r>
      <w:r>
        <w:rPr>
          <w:rStyle w:val="a7"/>
          <w:rtl/>
        </w:rPr>
        <w:footnoteReference w:id="1568"/>
      </w:r>
      <w:r>
        <w:rPr>
          <w:rFonts w:hint="cs"/>
          <w:rtl/>
        </w:rPr>
        <w:t xml:space="preserve"> </w:t>
      </w:r>
      <w:r>
        <w:rPr>
          <w:rFonts w:hint="cs"/>
          <w:b/>
          <w:bCs/>
          <w:rtl/>
        </w:rPr>
        <w:t>الـقاعـدة</w:t>
      </w:r>
      <w:r>
        <w:rPr>
          <w:rStyle w:val="a7"/>
          <w:rtl/>
        </w:rPr>
        <w:footnoteReference w:id="1569"/>
      </w:r>
      <w:r>
        <w:rPr>
          <w:rFonts w:hint="cs"/>
          <w:rtl/>
        </w:rPr>
        <w:t xml:space="preserve"> : </w:t>
      </w:r>
      <w:r>
        <w:rPr>
          <w:rFonts w:hint="eastAsia"/>
          <w:rtl/>
        </w:rPr>
        <w:t>«</w:t>
      </w:r>
      <w:r>
        <w:rPr>
          <w:rFonts w:hint="cs"/>
          <w:rtl/>
        </w:rPr>
        <w:t>إجـراء</w:t>
      </w:r>
      <w:r>
        <w:rPr>
          <w:rStyle w:val="a7"/>
          <w:rtl/>
        </w:rPr>
        <w:footnoteReference w:id="1570"/>
      </w:r>
      <w:r>
        <w:rPr>
          <w:rFonts w:hint="cs"/>
          <w:rtl/>
        </w:rPr>
        <w:t xml:space="preserve"> الموسى</w:t>
      </w:r>
      <w:r>
        <w:rPr>
          <w:rStyle w:val="a7"/>
          <w:rtl/>
        </w:rPr>
        <w:footnoteReference w:id="1571"/>
      </w:r>
      <w:r>
        <w:rPr>
          <w:rFonts w:hint="cs"/>
          <w:rtl/>
        </w:rPr>
        <w:t xml:space="preserve"> على رأس الأقرع؛ </w:t>
      </w:r>
    </w:p>
    <w:p w:rsidR="00C10469" w:rsidRDefault="00C10469">
      <w:pPr>
        <w:rPr>
          <w:rtl/>
        </w:rPr>
      </w:pPr>
      <w:r>
        <w:rPr>
          <w:rFonts w:hint="cs"/>
          <w:rtl/>
        </w:rPr>
        <w:lastRenderedPageBreak/>
        <w:t>فإنه واجب على المختار</w:t>
      </w:r>
      <w:r>
        <w:rPr>
          <w:rFonts w:hint="eastAsia"/>
          <w:rtl/>
        </w:rPr>
        <w:t>»</w:t>
      </w:r>
      <w:r>
        <w:rPr>
          <w:rFonts w:hint="cs"/>
          <w:vertAlign w:val="superscript"/>
          <w:rtl/>
        </w:rPr>
        <w:t>(</w:t>
      </w:r>
      <w:r>
        <w:rPr>
          <w:rStyle w:val="a7"/>
          <w:rtl/>
        </w:rPr>
        <w:footnoteReference w:id="1572"/>
      </w:r>
      <w:r>
        <w:rPr>
          <w:rFonts w:hint="cs"/>
          <w:vertAlign w:val="superscript"/>
          <w:rtl/>
        </w:rPr>
        <w:t>)</w:t>
      </w:r>
      <w:r>
        <w:rPr>
          <w:rFonts w:hint="cs"/>
          <w:rtl/>
        </w:rPr>
        <w:t xml:space="preserve">. </w:t>
      </w:r>
    </w:p>
    <w:p w:rsidR="00C10469" w:rsidRDefault="00C10469">
      <w:pPr>
        <w:rPr>
          <w:rtl/>
        </w:rPr>
      </w:pPr>
      <w:r>
        <w:rPr>
          <w:rFonts w:hint="cs"/>
          <w:rtl/>
        </w:rPr>
        <w:t>عملاً</w:t>
      </w:r>
      <w:r>
        <w:rPr>
          <w:rStyle w:val="a7"/>
          <w:rtl/>
        </w:rPr>
        <w:footnoteReference w:id="1573"/>
      </w:r>
      <w:r>
        <w:rPr>
          <w:rFonts w:hint="cs"/>
          <w:rtl/>
        </w:rPr>
        <w:t xml:space="preserve"> بمفهوم</w:t>
      </w:r>
      <w:r>
        <w:rPr>
          <w:rFonts w:hint="cs"/>
          <w:vertAlign w:val="superscript"/>
          <w:rtl/>
        </w:rPr>
        <w:t>(</w:t>
      </w:r>
      <w:r>
        <w:rPr>
          <w:rStyle w:val="a7"/>
          <w:rtl/>
        </w:rPr>
        <w:footnoteReference w:id="1574"/>
      </w:r>
      <w:r>
        <w:rPr>
          <w:rFonts w:hint="cs"/>
          <w:vertAlign w:val="superscript"/>
          <w:rtl/>
        </w:rPr>
        <w:t>)</w:t>
      </w:r>
      <w:r>
        <w:rPr>
          <w:rFonts w:hint="cs"/>
          <w:rtl/>
        </w:rPr>
        <w:t xml:space="preserve"> قوله عليه السلام : </w:t>
      </w:r>
      <w:r>
        <w:rPr>
          <w:rFonts w:hint="eastAsia"/>
          <w:rtl/>
        </w:rPr>
        <w:t>«</w:t>
      </w:r>
      <w:r>
        <w:rPr>
          <w:rFonts w:cs="DecoType Naskh" w:hint="cs"/>
          <w:rtl/>
        </w:rPr>
        <w:t>مَــــنْ تشبّه بقومٍ فهو منهم</w:t>
      </w:r>
      <w:r>
        <w:rPr>
          <w:rStyle w:val="a7"/>
          <w:rtl/>
        </w:rPr>
        <w:footnoteReference w:id="1575"/>
      </w:r>
      <w:r>
        <w:rPr>
          <w:rFonts w:hint="eastAsia"/>
          <w:rtl/>
        </w:rPr>
        <w:t>»</w:t>
      </w:r>
      <w:r>
        <w:rPr>
          <w:rFonts w:hint="cs"/>
          <w:vertAlign w:val="superscript"/>
          <w:rtl/>
        </w:rPr>
        <w:t>(</w:t>
      </w:r>
      <w:r>
        <w:rPr>
          <w:rStyle w:val="a7"/>
          <w:rtl/>
        </w:rPr>
        <w:footnoteReference w:id="1576"/>
      </w:r>
      <w:r>
        <w:rPr>
          <w:rFonts w:hint="cs"/>
          <w:vertAlign w:val="superscript"/>
          <w:rtl/>
        </w:rPr>
        <w:t>)</w:t>
      </w:r>
      <w:r>
        <w:rPr>
          <w:rFonts w:hint="cs"/>
          <w:rtl/>
        </w:rPr>
        <w:t>.</w:t>
      </w:r>
    </w:p>
    <w:p w:rsidR="00C10469" w:rsidRDefault="00C10469">
      <w:pPr>
        <w:rPr>
          <w:rtl/>
        </w:rPr>
      </w:pPr>
      <w:r>
        <w:rPr>
          <w:rFonts w:hint="cs"/>
          <w:rtl/>
        </w:rPr>
        <w:lastRenderedPageBreak/>
        <w:t xml:space="preserve">قال في (العناية) : </w:t>
      </w:r>
      <w:r>
        <w:rPr>
          <w:rFonts w:hint="eastAsia"/>
          <w:rtl/>
        </w:rPr>
        <w:t>«</w:t>
      </w:r>
      <w:r>
        <w:rPr>
          <w:rFonts w:hint="cs"/>
          <w:b/>
          <w:bCs/>
          <w:rtl/>
        </w:rPr>
        <w:t>لأنه</w:t>
      </w:r>
      <w:r>
        <w:rPr>
          <w:rFonts w:hint="cs"/>
          <w:rtl/>
        </w:rPr>
        <w:t xml:space="preserve"> إن عجز عن الحلق والتقصير لم يعجز عن التشبه</w:t>
      </w:r>
      <w:r>
        <w:rPr>
          <w:rStyle w:val="a7"/>
          <w:rtl/>
        </w:rPr>
        <w:footnoteReference w:id="1577"/>
      </w:r>
      <w:r>
        <w:rPr>
          <w:rFonts w:hint="eastAsia"/>
          <w:rtl/>
        </w:rPr>
        <w:t>»</w:t>
      </w:r>
      <w:r>
        <w:rPr>
          <w:rFonts w:hint="cs"/>
          <w:vertAlign w:val="superscript"/>
          <w:rtl/>
        </w:rPr>
        <w:t>(</w:t>
      </w:r>
      <w:r>
        <w:rPr>
          <w:rStyle w:val="a7"/>
          <w:rtl/>
        </w:rPr>
        <w:footnoteReference w:id="1578"/>
      </w:r>
      <w:r>
        <w:rPr>
          <w:rFonts w:hint="cs"/>
          <w:vertAlign w:val="superscript"/>
          <w:rtl/>
        </w:rPr>
        <w:t>)</w:t>
      </w:r>
      <w:r>
        <w:rPr>
          <w:rFonts w:hint="cs"/>
          <w:rtl/>
        </w:rPr>
        <w:t>.</w:t>
      </w:r>
    </w:p>
    <w:p w:rsidR="00C10469" w:rsidRDefault="00C10469">
      <w:pPr>
        <w:rPr>
          <w:rtl/>
        </w:rPr>
      </w:pPr>
      <w:r>
        <w:rPr>
          <w:rFonts w:hint="cs"/>
          <w:rtl/>
        </w:rPr>
        <w:t>أوْ</w:t>
      </w:r>
      <w:r>
        <w:t xml:space="preserve"> </w:t>
      </w:r>
      <w:r>
        <w:rPr>
          <w:rStyle w:val="a7"/>
          <w:rtl/>
        </w:rPr>
        <w:footnoteReference w:id="1579"/>
      </w:r>
      <w:r>
        <w:rPr>
          <w:rFonts w:hint="cs"/>
          <w:rtl/>
        </w:rPr>
        <w:t xml:space="preserve"> </w:t>
      </w:r>
      <w:r>
        <w:rPr>
          <w:rFonts w:hint="cs"/>
          <w:b/>
          <w:bCs/>
          <w:rtl/>
        </w:rPr>
        <w:t>لأنّه</w:t>
      </w:r>
      <w:r>
        <w:rPr>
          <w:rFonts w:hint="cs"/>
          <w:rtl/>
        </w:rPr>
        <w:t xml:space="preserve"> خلفٌ عن الحلق، كالتيمّم عن الوضوء، والمسح عن الغَسل</w:t>
      </w:r>
      <w:r>
        <w:rPr>
          <w:rFonts w:hint="cs"/>
          <w:vertAlign w:val="superscript"/>
          <w:rtl/>
        </w:rPr>
        <w:t>(</w:t>
      </w:r>
      <w:r>
        <w:rPr>
          <w:rStyle w:val="a7"/>
          <w:rtl/>
        </w:rPr>
        <w:footnoteReference w:id="1580"/>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2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460FE" w:rsidRDefault="00C10469">
      <w:pPr>
        <w:pStyle w:val="a9"/>
        <w:rPr>
          <w:rFonts w:cs="AL-Mateen"/>
          <w:rtl/>
        </w:rPr>
      </w:pPr>
      <w:r w:rsidRPr="001460FE">
        <w:rPr>
          <w:rFonts w:cs="AL-Mateen" w:hint="cs"/>
          <w:rtl/>
        </w:rPr>
        <w:lastRenderedPageBreak/>
        <w:t>[ القاعدة الخامسة والستون ]</w:t>
      </w:r>
    </w:p>
    <w:p w:rsidR="00C10469" w:rsidRDefault="00C10469">
      <w:pPr>
        <w:rPr>
          <w:rtl/>
        </w:rPr>
      </w:pPr>
      <w:r>
        <w:rPr>
          <w:rFonts w:cs="Monotype Koufi" w:hint="cs"/>
          <w:rtl/>
        </w:rPr>
        <w:t>التَّابِعُ لا يَتَقَدَّمُ على المَتْبُوعِ</w:t>
      </w:r>
      <w:r>
        <w:rPr>
          <w:rFonts w:hint="cs"/>
          <w:b/>
          <w:bCs/>
          <w:vertAlign w:val="superscript"/>
          <w:rtl/>
        </w:rPr>
        <w:t>(</w:t>
      </w:r>
      <w:r>
        <w:rPr>
          <w:rStyle w:val="a7"/>
          <w:rtl/>
        </w:rPr>
        <w:footnoteReference w:id="1581"/>
      </w:r>
      <w:r>
        <w:rPr>
          <w:rFonts w:hint="cs"/>
          <w:b/>
          <w:bCs/>
          <w:vertAlign w:val="superscript"/>
          <w:rtl/>
        </w:rPr>
        <w:t>)</w:t>
      </w:r>
      <w:r>
        <w:rPr>
          <w:rFonts w:hint="cs"/>
          <w:rtl/>
        </w:rPr>
        <w:t xml:space="preserve"> :</w:t>
      </w:r>
    </w:p>
    <w:p w:rsidR="00C10469" w:rsidRDefault="00C10469">
      <w:pPr>
        <w:rPr>
          <w:rtl/>
        </w:rPr>
      </w:pPr>
      <w:r>
        <w:rPr>
          <w:rFonts w:hint="eastAsia"/>
          <w:rtl/>
        </w:rPr>
        <w:t>«</w:t>
      </w:r>
      <w:r>
        <w:rPr>
          <w:rFonts w:hint="cs"/>
          <w:rtl/>
        </w:rPr>
        <w:t>فلا يصحّ تقدم المأموم على الإمام في تكبيرة الافتتاح، ولا في الأركان إن انتقل قبل مشاركة الإمام</w:t>
      </w:r>
      <w:r>
        <w:rPr>
          <w:rFonts w:hint="eastAsia"/>
          <w:rtl/>
        </w:rPr>
        <w:t>»</w:t>
      </w:r>
      <w:r>
        <w:rPr>
          <w:rFonts w:hint="cs"/>
          <w:vertAlign w:val="superscript"/>
          <w:rtl/>
        </w:rPr>
        <w:t>(</w:t>
      </w:r>
      <w:r>
        <w:rPr>
          <w:rStyle w:val="a7"/>
          <w:rtl/>
        </w:rPr>
        <w:footnoteReference w:id="1582"/>
      </w:r>
      <w:r>
        <w:rPr>
          <w:rFonts w:hint="cs"/>
          <w:vertAlign w:val="superscript"/>
          <w:rtl/>
        </w:rPr>
        <w:t>)</w:t>
      </w:r>
      <w:r>
        <w:rPr>
          <w:rFonts w:hint="cs"/>
          <w:rtl/>
        </w:rPr>
        <w:t>.</w:t>
      </w:r>
    </w:p>
    <w:p w:rsidR="00C10469" w:rsidRDefault="00C10469">
      <w:pPr>
        <w:rPr>
          <w:rtl/>
        </w:rPr>
      </w:pPr>
    </w:p>
    <w:p w:rsidR="00C10469" w:rsidRDefault="00C10469" w:rsidP="00C10469">
      <w:pPr>
        <w:jc w:val="center"/>
        <w:rPr>
          <w:rFonts w:ascii="AGA Arabesque" w:hAnsi="AGA Arabesque"/>
          <w:sz w:val="50"/>
          <w:szCs w:val="50"/>
        </w:rPr>
        <w:sectPr w:rsidR="00C10469" w:rsidSect="00C10469">
          <w:headerReference w:type="default" r:id="rId122"/>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9134CB" w:rsidRDefault="00C10469">
      <w:pPr>
        <w:pStyle w:val="a9"/>
        <w:rPr>
          <w:rFonts w:cs="AL-Mateen"/>
          <w:rtl/>
        </w:rPr>
      </w:pPr>
      <w:r w:rsidRPr="009134CB">
        <w:rPr>
          <w:rFonts w:cs="AL-Mateen" w:hint="cs"/>
          <w:rtl/>
        </w:rPr>
        <w:lastRenderedPageBreak/>
        <w:t>[ القاعدة السادسة والستون ]</w:t>
      </w:r>
    </w:p>
    <w:p w:rsidR="00C10469" w:rsidRDefault="00C10469">
      <w:pPr>
        <w:rPr>
          <w:rtl/>
        </w:rPr>
      </w:pPr>
      <w:r>
        <w:rPr>
          <w:rFonts w:cs="Monotype Koufi" w:hint="cs"/>
          <w:rtl/>
        </w:rPr>
        <w:t>التَّأسيسُ خيرٌ مِنَ التَّأْكيدِ</w:t>
      </w:r>
      <w:r>
        <w:rPr>
          <w:rFonts w:hint="cs"/>
          <w:vertAlign w:val="superscript"/>
          <w:rtl/>
        </w:rPr>
        <w:t>(</w:t>
      </w:r>
      <w:r>
        <w:rPr>
          <w:rStyle w:val="a7"/>
          <w:rtl/>
        </w:rPr>
        <w:footnoteReference w:id="1583"/>
      </w:r>
      <w:r>
        <w:rPr>
          <w:rFonts w:hint="cs"/>
          <w:vertAlign w:val="superscript"/>
          <w:rtl/>
        </w:rPr>
        <w:t>)</w:t>
      </w:r>
      <w:r>
        <w:rPr>
          <w:rFonts w:hint="cs"/>
          <w:rtl/>
        </w:rPr>
        <w:t xml:space="preserve"> : </w:t>
      </w:r>
    </w:p>
    <w:p w:rsidR="00C10469" w:rsidRDefault="00C10469">
      <w:pPr>
        <w:rPr>
          <w:rtl/>
        </w:rPr>
      </w:pPr>
      <w:r>
        <w:rPr>
          <w:rFonts w:hint="eastAsia"/>
          <w:rtl/>
        </w:rPr>
        <w:lastRenderedPageBreak/>
        <w:t>«</w:t>
      </w:r>
      <w:r>
        <w:rPr>
          <w:rFonts w:hint="cs"/>
          <w:rtl/>
        </w:rPr>
        <w:t>وإذا أُورد</w:t>
      </w:r>
      <w:r>
        <w:rPr>
          <w:rStyle w:val="a7"/>
          <w:rtl/>
        </w:rPr>
        <w:footnoteReference w:id="1584"/>
      </w:r>
      <w:r>
        <w:rPr>
          <w:rFonts w:hint="cs"/>
          <w:rtl/>
        </w:rPr>
        <w:t xml:space="preserve"> اللفظ بين التأسيس</w:t>
      </w:r>
      <w:r>
        <w:rPr>
          <w:rStyle w:val="a7"/>
          <w:rtl/>
        </w:rPr>
        <w:footnoteReference w:id="1585"/>
      </w:r>
      <w:r>
        <w:rPr>
          <w:rFonts w:hint="cs"/>
          <w:rtl/>
        </w:rPr>
        <w:t xml:space="preserve"> والتأكيد تعيَّن</w:t>
      </w:r>
      <w:r>
        <w:rPr>
          <w:rStyle w:val="a7"/>
          <w:rtl/>
        </w:rPr>
        <w:footnoteReference w:id="1586"/>
      </w:r>
      <w:r>
        <w:rPr>
          <w:rFonts w:hint="cs"/>
          <w:rtl/>
        </w:rPr>
        <w:t xml:space="preserve"> الحملُ على التأسيس؛ ولهذا قال أصحابنا: لو قال لزوجته: أنتِ طالقٌ طالقٌ طالقٌ : طلقت ثلاثًا.</w:t>
      </w:r>
    </w:p>
    <w:p w:rsidR="00C10469" w:rsidRDefault="00C10469">
      <w:pPr>
        <w:rPr>
          <w:rtl/>
        </w:rPr>
      </w:pPr>
      <w:r>
        <w:rPr>
          <w:rFonts w:hint="cs"/>
          <w:rtl/>
        </w:rPr>
        <w:t>وإن قال : عنيتُ التأكيد : صُدِّقَ ديانة لا قضاءً. ذكره الزيلعي في الكنايات</w:t>
      </w:r>
      <w:r>
        <w:rPr>
          <w:rFonts w:hint="eastAsia"/>
          <w:rtl/>
        </w:rPr>
        <w:t>»</w:t>
      </w:r>
      <w:r>
        <w:rPr>
          <w:rFonts w:hint="cs"/>
          <w:rtl/>
        </w:rPr>
        <w:t>.</w:t>
      </w:r>
      <w:r>
        <w:rPr>
          <w:rFonts w:hint="cs"/>
          <w:vertAlign w:val="superscript"/>
          <w:rtl/>
        </w:rPr>
        <w:t>(</w:t>
      </w:r>
      <w:r>
        <w:rPr>
          <w:rStyle w:val="a7"/>
          <w:rtl/>
        </w:rPr>
        <w:footnoteReference w:id="1587"/>
      </w:r>
      <w:r>
        <w:rPr>
          <w:rFonts w:hint="cs"/>
          <w:vertAlign w:val="superscript"/>
          <w:rtl/>
        </w:rPr>
        <w:t>)</w:t>
      </w:r>
    </w:p>
    <w:p w:rsidR="00C10469" w:rsidRDefault="00C10469">
      <w:pPr>
        <w:rPr>
          <w:rtl/>
        </w:rPr>
      </w:pPr>
      <w:r>
        <w:rPr>
          <w:rFonts w:hint="cs"/>
          <w:rtl/>
        </w:rPr>
        <w:t>و</w:t>
      </w:r>
      <w:r>
        <w:rPr>
          <w:rFonts w:hint="eastAsia"/>
          <w:rtl/>
        </w:rPr>
        <w:t>«</w:t>
      </w:r>
      <w:r>
        <w:rPr>
          <w:rFonts w:hint="cs"/>
          <w:rtl/>
        </w:rPr>
        <w:t>إذا حلف على أمرٍ لا يفعله، ثم حلف في ذلك المجلس أو في مجلس آخر أن لا يفعله أبدًا، ثم فعله - إن نوى يمينًا أو تشديدًا، أو لم ينوِ -: فعليه كفارة يمينين</w:t>
      </w:r>
      <w:r>
        <w:rPr>
          <w:rStyle w:val="a7"/>
          <w:rtl/>
        </w:rPr>
        <w:footnoteReference w:id="1588"/>
      </w:r>
      <w:r>
        <w:rPr>
          <w:rFonts w:hint="cs"/>
          <w:rtl/>
        </w:rPr>
        <w:t xml:space="preserve"> بالحمل على التأسيس.</w:t>
      </w:r>
    </w:p>
    <w:p w:rsidR="00C10469" w:rsidRDefault="00C10469">
      <w:pPr>
        <w:rPr>
          <w:rtl/>
        </w:rPr>
      </w:pPr>
      <w:r>
        <w:rPr>
          <w:rFonts w:hint="cs"/>
          <w:rtl/>
        </w:rPr>
        <w:t>ولو نوى بالثاني الأوّل : فعليه كفارة واحدة</w:t>
      </w:r>
      <w:r>
        <w:rPr>
          <w:rFonts w:hint="eastAsia"/>
          <w:rtl/>
        </w:rPr>
        <w:t>»</w:t>
      </w:r>
      <w:r>
        <w:rPr>
          <w:rFonts w:hint="cs"/>
          <w:vertAlign w:val="superscript"/>
          <w:rtl/>
        </w:rPr>
        <w:t>(</w:t>
      </w:r>
      <w:r>
        <w:rPr>
          <w:rStyle w:val="a7"/>
          <w:rtl/>
        </w:rPr>
        <w:footnoteReference w:id="1589"/>
      </w:r>
      <w:r>
        <w:rPr>
          <w:rFonts w:hint="cs"/>
          <w:vertAlign w:val="superscript"/>
          <w:rtl/>
        </w:rPr>
        <w:t>)</w:t>
      </w:r>
      <w:r>
        <w:rPr>
          <w:rFonts w:hint="cs"/>
          <w:rtl/>
        </w:rPr>
        <w:t>؛ لأنه محتمل.</w:t>
      </w:r>
    </w:p>
    <w:p w:rsidR="00C10469" w:rsidRDefault="00C10469">
      <w:pPr>
        <w:rPr>
          <w:spacing w:val="-6"/>
          <w:rtl/>
        </w:rPr>
      </w:pPr>
      <w:r>
        <w:rPr>
          <w:rFonts w:hint="eastAsia"/>
          <w:spacing w:val="-6"/>
          <w:rtl/>
        </w:rPr>
        <w:t>«</w:t>
      </w:r>
      <w:r>
        <w:rPr>
          <w:rFonts w:hint="cs"/>
          <w:spacing w:val="-6"/>
          <w:rtl/>
        </w:rPr>
        <w:t>وفي (التجريد)</w:t>
      </w:r>
      <w:r>
        <w:rPr>
          <w:rFonts w:hint="cs"/>
          <w:spacing w:val="-6"/>
          <w:vertAlign w:val="superscript"/>
          <w:rtl/>
        </w:rPr>
        <w:t>(</w:t>
      </w:r>
      <w:r>
        <w:rPr>
          <w:rStyle w:val="a7"/>
          <w:spacing w:val="-6"/>
          <w:rtl/>
        </w:rPr>
        <w:footnoteReference w:id="1590"/>
      </w:r>
      <w:r>
        <w:rPr>
          <w:rFonts w:hint="cs"/>
          <w:spacing w:val="-6"/>
          <w:vertAlign w:val="superscript"/>
          <w:rtl/>
        </w:rPr>
        <w:t>)</w:t>
      </w:r>
      <w:r>
        <w:rPr>
          <w:rFonts w:hint="cs"/>
          <w:spacing w:val="-6"/>
          <w:rtl/>
        </w:rPr>
        <w:t xml:space="preserve"> عند أبي حنيفة : إذا حلف بأيـمان : فـعليه لكلّ يمـين كفارة،</w:t>
      </w:r>
    </w:p>
    <w:p w:rsidR="00C10469" w:rsidRDefault="00C10469">
      <w:pPr>
        <w:ind w:firstLine="0"/>
        <w:rPr>
          <w:rtl/>
        </w:rPr>
      </w:pPr>
      <w:r>
        <w:rPr>
          <w:rFonts w:hint="cs"/>
          <w:rtl/>
        </w:rPr>
        <w:lastRenderedPageBreak/>
        <w:t>والمجلس والمجالس</w:t>
      </w:r>
      <w:r>
        <w:rPr>
          <w:rStyle w:val="a7"/>
          <w:rtl/>
        </w:rPr>
        <w:footnoteReference w:id="1591"/>
      </w:r>
      <w:r>
        <w:rPr>
          <w:rFonts w:hint="cs"/>
          <w:rtl/>
        </w:rPr>
        <w:t xml:space="preserve"> [فيه]</w:t>
      </w:r>
      <w:r>
        <w:rPr>
          <w:rStyle w:val="a7"/>
          <w:rtl/>
        </w:rPr>
        <w:footnoteReference w:id="1592"/>
      </w:r>
      <w:r>
        <w:rPr>
          <w:rFonts w:hint="cs"/>
          <w:rtl/>
        </w:rPr>
        <w:t xml:space="preserve"> سواء على مقتضى هذه القاعدة.</w:t>
      </w:r>
    </w:p>
    <w:p w:rsidR="00C10469" w:rsidRDefault="00C10469">
      <w:pPr>
        <w:rPr>
          <w:rtl/>
        </w:rPr>
      </w:pPr>
      <w:r>
        <w:rPr>
          <w:rFonts w:hint="cs"/>
          <w:rtl/>
        </w:rPr>
        <w:t>و[لو]</w:t>
      </w:r>
      <w:r>
        <w:rPr>
          <w:rStyle w:val="a7"/>
          <w:rtl/>
        </w:rPr>
        <w:footnoteReference w:id="1593"/>
      </w:r>
      <w:r>
        <w:rPr>
          <w:rFonts w:hint="cs"/>
          <w:rtl/>
        </w:rPr>
        <w:t xml:space="preserve"> قال : عنيت بالثاني الأول : لا يستقيم ذلك في اليمين بالله.</w:t>
      </w:r>
    </w:p>
    <w:p w:rsidR="00C10469" w:rsidRDefault="00C10469">
      <w:pPr>
        <w:rPr>
          <w:rtl/>
        </w:rPr>
      </w:pPr>
      <w:r>
        <w:rPr>
          <w:rFonts w:hint="cs"/>
          <w:rtl/>
        </w:rPr>
        <w:t>ولو حلف بحجَّةٍ أو عمرةٍ : يستقيم.</w:t>
      </w:r>
    </w:p>
    <w:p w:rsidR="00C10469" w:rsidRDefault="00C10469">
      <w:pPr>
        <w:rPr>
          <w:spacing w:val="8"/>
          <w:rtl/>
        </w:rPr>
      </w:pPr>
      <w:r>
        <w:rPr>
          <w:rFonts w:hint="cs"/>
          <w:spacing w:val="8"/>
          <w:rtl/>
        </w:rPr>
        <w:t>ولو [قال]</w:t>
      </w:r>
      <w:r>
        <w:rPr>
          <w:rStyle w:val="a7"/>
          <w:spacing w:val="8"/>
          <w:rtl/>
        </w:rPr>
        <w:footnoteReference w:id="1594"/>
      </w:r>
      <w:r>
        <w:rPr>
          <w:rFonts w:hint="cs"/>
          <w:spacing w:val="8"/>
          <w:rtl/>
        </w:rPr>
        <w:t xml:space="preserve"> : هو يهودي هو نصراني إن فعل كذا : يمين واحد؛ لأنه صريح في التأكيد.</w:t>
      </w:r>
    </w:p>
    <w:p w:rsidR="00C10469" w:rsidRDefault="00C10469">
      <w:pPr>
        <w:rPr>
          <w:rtl/>
        </w:rPr>
      </w:pPr>
      <w:r>
        <w:rPr>
          <w:rFonts w:hint="cs"/>
          <w:rtl/>
        </w:rPr>
        <w:t>ولو قال : هو يهوديّ إن فعل كذا، هو نصراني إن فعل كذا : فهما</w:t>
      </w:r>
      <w:r>
        <w:rPr>
          <w:rStyle w:val="a7"/>
          <w:rtl/>
        </w:rPr>
        <w:footnoteReference w:id="1595"/>
      </w:r>
      <w:r>
        <w:rPr>
          <w:rFonts w:hint="cs"/>
          <w:rtl/>
        </w:rPr>
        <w:t xml:space="preserve"> يمينان؛ [لأن]</w:t>
      </w:r>
      <w:r>
        <w:rPr>
          <w:rStyle w:val="a7"/>
          <w:rtl/>
        </w:rPr>
        <w:footnoteReference w:id="1596"/>
      </w:r>
      <w:r>
        <w:rPr>
          <w:rFonts w:hint="cs"/>
          <w:rtl/>
        </w:rPr>
        <w:t xml:space="preserve"> كلامه دائر بين التأسيس والتأكيد، فيرجّح التأسيس</w:t>
      </w:r>
      <w:r>
        <w:rPr>
          <w:rFonts w:hint="eastAsia"/>
          <w:rtl/>
        </w:rPr>
        <w:t>»</w:t>
      </w:r>
      <w:r>
        <w:rPr>
          <w:rStyle w:val="a7"/>
          <w:rtl/>
        </w:rPr>
        <w:footnoteReference w:id="1597"/>
      </w:r>
      <w:r>
        <w:rPr>
          <w:rFonts w:hint="cs"/>
          <w:vertAlign w:val="superscript"/>
          <w:rtl/>
        </w:rPr>
        <w:t>(</w:t>
      </w:r>
      <w:r>
        <w:rPr>
          <w:rStyle w:val="a7"/>
          <w:rtl/>
        </w:rPr>
        <w:footnoteReference w:id="1598"/>
      </w:r>
      <w:r>
        <w:rPr>
          <w:rFonts w:hint="cs"/>
          <w:vertAlign w:val="superscript"/>
          <w:rtl/>
        </w:rPr>
        <w:t>)</w:t>
      </w:r>
      <w:r>
        <w:rPr>
          <w:rFonts w:hint="cs"/>
          <w:rtl/>
        </w:rPr>
        <w:t>.</w:t>
      </w:r>
    </w:p>
    <w:p w:rsidR="00C10469" w:rsidRDefault="00C10469">
      <w:pPr>
        <w:rPr>
          <w:rtl/>
        </w:rPr>
      </w:pPr>
      <w:r>
        <w:rPr>
          <w:rFonts w:hint="eastAsia"/>
          <w:rtl/>
        </w:rPr>
        <w:lastRenderedPageBreak/>
        <w:t>«</w:t>
      </w:r>
      <w:r>
        <w:rPr>
          <w:rFonts w:hint="cs"/>
          <w:rtl/>
        </w:rPr>
        <w:t>وفي (النوازل)</w:t>
      </w:r>
      <w:r>
        <w:rPr>
          <w:rFonts w:hint="cs"/>
          <w:vertAlign w:val="superscript"/>
          <w:rtl/>
        </w:rPr>
        <w:t>(</w:t>
      </w:r>
      <w:r>
        <w:rPr>
          <w:rStyle w:val="a7"/>
          <w:rtl/>
        </w:rPr>
        <w:footnoteReference w:id="1599"/>
      </w:r>
      <w:r>
        <w:rPr>
          <w:rFonts w:hint="cs"/>
          <w:vertAlign w:val="superscript"/>
          <w:rtl/>
        </w:rPr>
        <w:t>)</w:t>
      </w:r>
      <w:r>
        <w:rPr>
          <w:rFonts w:hint="cs"/>
          <w:rtl/>
        </w:rPr>
        <w:t xml:space="preserve"> : </w:t>
      </w:r>
    </w:p>
    <w:p w:rsidR="00C10469" w:rsidRDefault="00C10469">
      <w:pPr>
        <w:ind w:firstLine="0"/>
        <w:rPr>
          <w:rtl/>
        </w:rPr>
      </w:pPr>
      <w:r>
        <w:rPr>
          <w:rFonts w:hint="cs"/>
          <w:rtl/>
        </w:rPr>
        <w:t>رجل قال</w:t>
      </w:r>
      <w:r>
        <w:rPr>
          <w:rStyle w:val="a7"/>
          <w:rtl/>
        </w:rPr>
        <w:footnoteReference w:id="1600"/>
      </w:r>
      <w:r>
        <w:rPr>
          <w:rFonts w:hint="cs"/>
          <w:rtl/>
        </w:rPr>
        <w:t xml:space="preserve"> لآخر : والله لا أكلّمه يومًا، والله لا أكلّمه شهرًا، والله</w:t>
      </w:r>
      <w:r>
        <w:rPr>
          <w:rStyle w:val="a7"/>
          <w:rtl/>
        </w:rPr>
        <w:footnoteReference w:id="1601"/>
      </w:r>
      <w:r>
        <w:rPr>
          <w:rFonts w:hint="cs"/>
          <w:rtl/>
        </w:rPr>
        <w:t xml:space="preserve"> لا أكلمه سنة :</w:t>
      </w:r>
    </w:p>
    <w:p w:rsidR="00C10469" w:rsidRDefault="00C10469" w:rsidP="00C10469">
      <w:pPr>
        <w:ind w:left="632" w:firstLine="0"/>
        <w:rPr>
          <w:rtl/>
        </w:rPr>
      </w:pPr>
      <w:r>
        <w:rPr>
          <w:rtl/>
        </w:rPr>
        <w:t>•</w:t>
      </w:r>
      <w:r>
        <w:rPr>
          <w:rFonts w:hint="cs"/>
          <w:rtl/>
        </w:rPr>
        <w:t xml:space="preserve"> إن كلمه بعد</w:t>
      </w:r>
      <w:r>
        <w:rPr>
          <w:rStyle w:val="a7"/>
          <w:rtl/>
        </w:rPr>
        <w:footnoteReference w:id="1602"/>
      </w:r>
      <w:r>
        <w:rPr>
          <w:rFonts w:hint="cs"/>
          <w:rtl/>
        </w:rPr>
        <w:t xml:space="preserve"> ساعة : فعليه ثلاثة أيمان.</w:t>
      </w:r>
    </w:p>
    <w:p w:rsidR="00C10469" w:rsidRDefault="00C10469" w:rsidP="00C10469">
      <w:pPr>
        <w:ind w:left="632" w:firstLine="0"/>
        <w:rPr>
          <w:rtl/>
        </w:rPr>
      </w:pPr>
      <w:r>
        <w:rPr>
          <w:rtl/>
        </w:rPr>
        <w:t>•</w:t>
      </w:r>
      <w:r>
        <w:rPr>
          <w:rFonts w:hint="cs"/>
          <w:rtl/>
        </w:rPr>
        <w:t xml:space="preserve"> وإن كلّمه بعد غدٍ : فعليه يمينان</w:t>
      </w:r>
      <w:r>
        <w:rPr>
          <w:rStyle w:val="a7"/>
          <w:rtl/>
        </w:rPr>
        <w:footnoteReference w:id="1603"/>
      </w:r>
      <w:r>
        <w:rPr>
          <w:rFonts w:hint="cs"/>
          <w:rtl/>
        </w:rPr>
        <w:t>.</w:t>
      </w:r>
    </w:p>
    <w:p w:rsidR="00C10469" w:rsidRDefault="00C10469" w:rsidP="00C10469">
      <w:pPr>
        <w:ind w:left="632" w:firstLine="0"/>
        <w:rPr>
          <w:rtl/>
        </w:rPr>
      </w:pPr>
      <w:r>
        <w:rPr>
          <w:rtl/>
        </w:rPr>
        <w:t>•</w:t>
      </w:r>
      <w:r>
        <w:rPr>
          <w:rFonts w:hint="cs"/>
          <w:rtl/>
        </w:rPr>
        <w:t xml:space="preserve"> وإن كلّمه بعد شهر : فعليه يمين واحد.</w:t>
      </w:r>
    </w:p>
    <w:p w:rsidR="00C10469" w:rsidRDefault="00C10469" w:rsidP="00C10469">
      <w:pPr>
        <w:ind w:left="632" w:firstLine="0"/>
        <w:rPr>
          <w:rtl/>
        </w:rPr>
      </w:pPr>
      <w:r>
        <w:rPr>
          <w:rtl/>
        </w:rPr>
        <w:t>•</w:t>
      </w:r>
      <w:r>
        <w:rPr>
          <w:rFonts w:hint="cs"/>
          <w:rtl/>
        </w:rPr>
        <w:t xml:space="preserve"> وإن كلّمه بعد سنة : فلا شيء عليه.</w:t>
      </w:r>
    </w:p>
    <w:p w:rsidR="00C10469" w:rsidRDefault="00C10469">
      <w:pPr>
        <w:rPr>
          <w:rtl/>
        </w:rPr>
      </w:pPr>
      <w:r>
        <w:rPr>
          <w:rFonts w:hint="cs"/>
          <w:rtl/>
        </w:rPr>
        <w:lastRenderedPageBreak/>
        <w:t>كذا</w:t>
      </w:r>
      <w:r>
        <w:rPr>
          <w:rStyle w:val="a7"/>
          <w:rtl/>
        </w:rPr>
        <w:footnoteReference w:id="1604"/>
      </w:r>
      <w:r>
        <w:rPr>
          <w:rFonts w:hint="cs"/>
          <w:rtl/>
        </w:rPr>
        <w:t xml:space="preserve"> في (الخلاصة)</w:t>
      </w:r>
      <w:r>
        <w:rPr>
          <w:rFonts w:hint="eastAsia"/>
          <w:rtl/>
        </w:rPr>
        <w:t>»</w:t>
      </w:r>
      <w:r>
        <w:rPr>
          <w:rFonts w:hint="cs"/>
          <w:vertAlign w:val="superscript"/>
          <w:rtl/>
        </w:rPr>
        <w:t>(</w:t>
      </w:r>
      <w:r>
        <w:rPr>
          <w:rStyle w:val="a7"/>
          <w:rtl/>
        </w:rPr>
        <w:footnoteReference w:id="1605"/>
      </w:r>
      <w:r>
        <w:rPr>
          <w:rFonts w:hint="cs"/>
          <w:vertAlign w:val="superscript"/>
          <w:rtl/>
        </w:rPr>
        <w:t>)</w:t>
      </w:r>
      <w:r>
        <w:rPr>
          <w:rFonts w:hint="cs"/>
          <w:rtl/>
        </w:rPr>
        <w:t xml:space="preserve"> في كتاب (الأيمان)، في [الفصل]</w:t>
      </w:r>
      <w:r>
        <w:rPr>
          <w:rStyle w:val="a7"/>
          <w:rtl/>
        </w:rPr>
        <w:footnoteReference w:id="1606"/>
      </w:r>
      <w:r>
        <w:rPr>
          <w:rFonts w:hint="cs"/>
          <w:rtl/>
        </w:rPr>
        <w:t xml:space="preserve"> الثاني</w:t>
      </w:r>
      <w:r>
        <w:rPr>
          <w:rStyle w:val="a7"/>
          <w:rtl/>
        </w:rPr>
        <w:footnoteReference w:id="1607"/>
      </w:r>
      <w:r>
        <w:rPr>
          <w:rFonts w:hint="cs"/>
          <w:rtl/>
        </w:rPr>
        <w:t>.</w:t>
      </w:r>
    </w:p>
    <w:p w:rsidR="00C10469" w:rsidRDefault="00C10469">
      <w:pPr>
        <w:rPr>
          <w:rtl/>
        </w:rPr>
      </w:pPr>
    </w:p>
    <w:p w:rsidR="00C10469" w:rsidRDefault="00C10469">
      <w:pPr>
        <w:ind w:firstLine="0"/>
        <w:jc w:val="center"/>
        <w:rPr>
          <w:rFonts w:ascii="AGA Arabesque" w:hAnsi="AGA Arabesque"/>
          <w:sz w:val="50"/>
          <w:szCs w:val="50"/>
        </w:rPr>
        <w:sectPr w:rsidR="00C10469" w:rsidSect="00C10469">
          <w:headerReference w:type="default" r:id="rId123"/>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5E3C70" w:rsidRDefault="00C10469">
      <w:pPr>
        <w:pStyle w:val="a9"/>
        <w:rPr>
          <w:rFonts w:cs="AL-Mateen"/>
          <w:rtl/>
        </w:rPr>
      </w:pPr>
      <w:r w:rsidRPr="005E3C70">
        <w:rPr>
          <w:rFonts w:cs="AL-Mateen" w:hint="cs"/>
          <w:rtl/>
        </w:rPr>
        <w:lastRenderedPageBreak/>
        <w:t>[ الـقـاعـدة السـابـعـة والسـتـون ]</w:t>
      </w:r>
    </w:p>
    <w:p w:rsidR="00C10469" w:rsidRDefault="00C10469">
      <w:pPr>
        <w:rPr>
          <w:rtl/>
        </w:rPr>
      </w:pPr>
      <w:r>
        <w:rPr>
          <w:rFonts w:cs="Monotype Koufi" w:hint="cs"/>
          <w:rtl/>
        </w:rPr>
        <w:t>تَأكيدُ مَا كانَ على شَرَفِ السُّقُوطِ يجرِي مجرَى الإتْلاَفِ في إيجابِ الضَّمانِ</w:t>
      </w:r>
      <w:r>
        <w:rPr>
          <w:rFonts w:hint="cs"/>
          <w:vertAlign w:val="superscript"/>
          <w:rtl/>
        </w:rPr>
        <w:t>(</w:t>
      </w:r>
      <w:r>
        <w:rPr>
          <w:rStyle w:val="a7"/>
          <w:rtl/>
        </w:rPr>
        <w:footnoteReference w:id="1608"/>
      </w:r>
      <w:r>
        <w:rPr>
          <w:rFonts w:hint="cs"/>
          <w:vertAlign w:val="superscript"/>
          <w:rtl/>
        </w:rPr>
        <w:t>)</w:t>
      </w:r>
      <w:r>
        <w:rPr>
          <w:rFonts w:hint="cs"/>
          <w:rtl/>
        </w:rPr>
        <w:t>:</w:t>
      </w:r>
    </w:p>
    <w:p w:rsidR="00C10469" w:rsidRDefault="00C10469">
      <w:pPr>
        <w:rPr>
          <w:rtl/>
        </w:rPr>
      </w:pPr>
      <w:r>
        <w:rPr>
          <w:rFonts w:hint="cs"/>
          <w:b/>
          <w:bCs/>
          <w:rtl/>
        </w:rPr>
        <w:t>ولهذا</w:t>
      </w:r>
      <w:r>
        <w:rPr>
          <w:rFonts w:hint="cs"/>
          <w:rtl/>
        </w:rPr>
        <w:t xml:space="preserve"> : إذا أرضعت ضرَّتها الصغيرة : حَرُمَتَا على الزوج</w:t>
      </w:r>
      <w:r>
        <w:rPr>
          <w:rFonts w:hint="cs"/>
          <w:vertAlign w:val="superscript"/>
          <w:rtl/>
        </w:rPr>
        <w:t>(</w:t>
      </w:r>
      <w:r>
        <w:rPr>
          <w:rStyle w:val="a7"/>
          <w:rtl/>
        </w:rPr>
        <w:footnoteReference w:id="1609"/>
      </w:r>
      <w:r>
        <w:rPr>
          <w:rFonts w:hint="cs"/>
          <w:vertAlign w:val="superscript"/>
          <w:rtl/>
        </w:rPr>
        <w:t>)</w:t>
      </w:r>
      <w:r>
        <w:rPr>
          <w:rFonts w:hint="cs"/>
          <w:rtl/>
        </w:rPr>
        <w:t>، وللصغيرة نصف المهر</w:t>
      </w:r>
      <w:r>
        <w:rPr>
          <w:rStyle w:val="a7"/>
          <w:rtl/>
        </w:rPr>
        <w:footnoteReference w:id="1610"/>
      </w:r>
      <w:r>
        <w:rPr>
          <w:rFonts w:hint="cs"/>
          <w:vertAlign w:val="superscript"/>
          <w:rtl/>
        </w:rPr>
        <w:t>(</w:t>
      </w:r>
      <w:r>
        <w:rPr>
          <w:rStyle w:val="a7"/>
          <w:rtl/>
        </w:rPr>
        <w:footnoteReference w:id="1611"/>
      </w:r>
      <w:r>
        <w:rPr>
          <w:rFonts w:hint="cs"/>
          <w:vertAlign w:val="superscript"/>
          <w:rtl/>
        </w:rPr>
        <w:t>)</w:t>
      </w:r>
      <w:r>
        <w:rPr>
          <w:rFonts w:hint="cs"/>
          <w:rtl/>
        </w:rPr>
        <w:t>، ويرجع</w:t>
      </w:r>
      <w:r>
        <w:rPr>
          <w:rStyle w:val="a7"/>
          <w:rtl/>
        </w:rPr>
        <w:footnoteReference w:id="1612"/>
      </w:r>
      <w:r>
        <w:rPr>
          <w:rFonts w:hint="cs"/>
          <w:rtl/>
        </w:rPr>
        <w:t xml:space="preserve"> الزوج بما أدّى على [المرضعة]</w:t>
      </w:r>
      <w:r>
        <w:rPr>
          <w:rStyle w:val="a7"/>
          <w:rtl/>
        </w:rPr>
        <w:footnoteReference w:id="1613"/>
      </w:r>
      <w:r>
        <w:rPr>
          <w:rFonts w:hint="cs"/>
          <w:rtl/>
        </w:rPr>
        <w:t>؛ لأنها كانت سببًا لتأكيد</w:t>
      </w:r>
      <w:r>
        <w:rPr>
          <w:rStyle w:val="a7"/>
          <w:rtl/>
        </w:rPr>
        <w:footnoteReference w:id="1614"/>
      </w:r>
      <w:r>
        <w:rPr>
          <w:rFonts w:hint="cs"/>
          <w:rtl/>
        </w:rPr>
        <w:t xml:space="preserve"> نصف المهر، وهو في</w:t>
      </w:r>
      <w:r>
        <w:rPr>
          <w:rStyle w:val="a7"/>
          <w:rtl/>
        </w:rPr>
        <w:footnoteReference w:id="1615"/>
      </w:r>
      <w:r>
        <w:rPr>
          <w:rFonts w:hint="cs"/>
          <w:rtl/>
        </w:rPr>
        <w:t xml:space="preserve"> شرف السقوط بتقبيل ابن الزوج إذا بلغت حدّ الشهوة</w:t>
      </w:r>
      <w:r>
        <w:rPr>
          <w:rFonts w:hint="cs"/>
          <w:vertAlign w:val="superscript"/>
          <w:rtl/>
        </w:rPr>
        <w:t>(</w:t>
      </w:r>
      <w:r>
        <w:rPr>
          <w:rStyle w:val="a7"/>
          <w:rtl/>
        </w:rPr>
        <w:footnoteReference w:id="1616"/>
      </w:r>
      <w:r>
        <w:rPr>
          <w:rFonts w:hint="cs"/>
          <w:vertAlign w:val="superscript"/>
          <w:rtl/>
        </w:rPr>
        <w:t>)</w:t>
      </w:r>
      <w:r>
        <w:rPr>
          <w:rFonts w:hint="cs"/>
          <w:rtl/>
        </w:rPr>
        <w:t>.</w:t>
      </w:r>
    </w:p>
    <w:p w:rsidR="00C10469" w:rsidRDefault="00C10469">
      <w:pPr>
        <w:rPr>
          <w:rtl/>
        </w:rPr>
      </w:pPr>
      <w:r>
        <w:rPr>
          <w:rFonts w:hint="cs"/>
          <w:rtl/>
        </w:rPr>
        <w:lastRenderedPageBreak/>
        <w:t>والرجوع بما أدّى من نصف مهر الصّغير[ة]</w:t>
      </w:r>
      <w:r>
        <w:rPr>
          <w:rStyle w:val="a7"/>
          <w:rtl/>
        </w:rPr>
        <w:footnoteReference w:id="1617"/>
      </w:r>
      <w:r>
        <w:rPr>
          <w:rFonts w:hint="cs"/>
          <w:rtl/>
        </w:rPr>
        <w:t xml:space="preserve"> عليها إنما يصّح إذا تعمدت به إفساد النكاح؛ لكونها مُتعدِّية</w:t>
      </w:r>
      <w:r>
        <w:rPr>
          <w:rStyle w:val="a7"/>
          <w:rtl/>
        </w:rPr>
        <w:footnoteReference w:id="1618"/>
      </w:r>
      <w:r>
        <w:rPr>
          <w:rFonts w:hint="cs"/>
          <w:rtl/>
        </w:rPr>
        <w:t>.</w:t>
      </w:r>
    </w:p>
    <w:p w:rsidR="00C10469" w:rsidRDefault="00C10469">
      <w:pPr>
        <w:rPr>
          <w:rtl/>
        </w:rPr>
      </w:pPr>
      <w:r>
        <w:rPr>
          <w:rFonts w:hint="cs"/>
          <w:rtl/>
        </w:rPr>
        <w:t>أما إذا لم [تعلم]</w:t>
      </w:r>
      <w:r>
        <w:rPr>
          <w:rStyle w:val="a7"/>
          <w:rtl/>
        </w:rPr>
        <w:footnoteReference w:id="1619"/>
      </w:r>
      <w:r>
        <w:rPr>
          <w:rFonts w:hint="cs"/>
          <w:rtl/>
        </w:rPr>
        <w:t xml:space="preserve"> بالنكاح، [أو علمت بالنكاح]</w:t>
      </w:r>
      <w:r>
        <w:rPr>
          <w:rStyle w:val="a7"/>
          <w:rtl/>
        </w:rPr>
        <w:footnoteReference w:id="1620"/>
      </w:r>
      <w:r>
        <w:rPr>
          <w:rFonts w:hint="cs"/>
          <w:rtl/>
        </w:rPr>
        <w:t xml:space="preserve"> ولكنها قصدت دفع الجوع والهلاك من</w:t>
      </w:r>
      <w:r>
        <w:rPr>
          <w:rStyle w:val="a7"/>
          <w:rtl/>
        </w:rPr>
        <w:footnoteReference w:id="1621"/>
      </w:r>
      <w:r>
        <w:rPr>
          <w:rFonts w:hint="cs"/>
          <w:rtl/>
        </w:rPr>
        <w:t xml:space="preserve"> الصغيرة دون الإفساد</w:t>
      </w:r>
      <w:r>
        <w:rPr>
          <w:rStyle w:val="a7"/>
          <w:rtl/>
        </w:rPr>
        <w:footnoteReference w:id="1622"/>
      </w:r>
      <w:r>
        <w:rPr>
          <w:rFonts w:hint="cs"/>
          <w:rtl/>
        </w:rPr>
        <w:t xml:space="preserve"> : لا [تكون]</w:t>
      </w:r>
      <w:r>
        <w:rPr>
          <w:rStyle w:val="a7"/>
          <w:rtl/>
        </w:rPr>
        <w:footnoteReference w:id="1623"/>
      </w:r>
      <w:r>
        <w:rPr>
          <w:rFonts w:hint="cs"/>
          <w:rtl/>
        </w:rPr>
        <w:t xml:space="preserve"> متعدِّية؛ لأنها مأمورة بذلك، والتعدية شرطٌ في ضمان المسببِ.</w:t>
      </w:r>
    </w:p>
    <w:p w:rsidR="00C10469" w:rsidRDefault="00C10469">
      <w:pPr>
        <w:rPr>
          <w:rtl/>
        </w:rPr>
      </w:pPr>
      <w:r>
        <w:rPr>
          <w:rFonts w:hint="cs"/>
          <w:rtl/>
        </w:rPr>
        <w:t>- وسيجيء تفصيله في باب الميم إن شاء الله</w:t>
      </w:r>
      <w:r>
        <w:rPr>
          <w:rFonts w:hint="cs"/>
          <w:vertAlign w:val="superscript"/>
          <w:rtl/>
        </w:rPr>
        <w:t>(</w:t>
      </w:r>
      <w:r>
        <w:rPr>
          <w:rStyle w:val="a7"/>
          <w:rtl/>
        </w:rPr>
        <w:footnoteReference w:id="1624"/>
      </w:r>
      <w:r>
        <w:rPr>
          <w:rFonts w:hint="cs"/>
          <w:vertAlign w:val="superscript"/>
          <w:rtl/>
        </w:rPr>
        <w:t>)</w:t>
      </w:r>
      <w:r>
        <w:rPr>
          <w:rFonts w:hint="cs"/>
          <w:rtl/>
        </w:rPr>
        <w:t>-.</w:t>
      </w:r>
    </w:p>
    <w:p w:rsidR="00C10469" w:rsidRDefault="00C10469">
      <w:pPr>
        <w:rPr>
          <w:rtl/>
        </w:rPr>
      </w:pPr>
      <w:r>
        <w:rPr>
          <w:rFonts w:hint="cs"/>
          <w:rtl/>
        </w:rPr>
        <w:t>وكذا إذا علمت بالنكاح، ولم تعلم</w:t>
      </w:r>
      <w:r>
        <w:rPr>
          <w:rStyle w:val="a7"/>
          <w:rtl/>
        </w:rPr>
        <w:footnoteReference w:id="1625"/>
      </w:r>
      <w:r>
        <w:rPr>
          <w:rFonts w:hint="cs"/>
          <w:rtl/>
        </w:rPr>
        <w:t xml:space="preserve"> بالفساد : لا [تكون]</w:t>
      </w:r>
      <w:r>
        <w:rPr>
          <w:rStyle w:val="a7"/>
          <w:rtl/>
        </w:rPr>
        <w:footnoteReference w:id="1626"/>
      </w:r>
      <w:r>
        <w:rPr>
          <w:rFonts w:hint="cs"/>
          <w:rtl/>
        </w:rPr>
        <w:t xml:space="preserve"> متعدِّية أيضًا. </w:t>
      </w:r>
    </w:p>
    <w:p w:rsidR="00C10469" w:rsidRDefault="00C10469">
      <w:pPr>
        <w:rPr>
          <w:rtl/>
        </w:rPr>
      </w:pPr>
      <w:r>
        <w:rPr>
          <w:rFonts w:hint="cs"/>
          <w:b/>
          <w:bCs/>
          <w:rtl/>
        </w:rPr>
        <w:t>ولا يقال :</w:t>
      </w:r>
      <w:r>
        <w:rPr>
          <w:rFonts w:hint="cs"/>
          <w:rtl/>
        </w:rPr>
        <w:t xml:space="preserve"> الجهل بالنكاح</w:t>
      </w:r>
      <w:r>
        <w:rPr>
          <w:rStyle w:val="a7"/>
          <w:rtl/>
        </w:rPr>
        <w:footnoteReference w:id="1627"/>
      </w:r>
      <w:r>
        <w:rPr>
          <w:rFonts w:hint="cs"/>
          <w:rtl/>
        </w:rPr>
        <w:t xml:space="preserve"> في دار الإسلام غير معتبر.</w:t>
      </w:r>
    </w:p>
    <w:p w:rsidR="00C10469" w:rsidRDefault="00C10469">
      <w:pPr>
        <w:rPr>
          <w:spacing w:val="4"/>
          <w:rtl/>
        </w:rPr>
      </w:pPr>
      <w:r>
        <w:rPr>
          <w:rFonts w:hint="cs"/>
          <w:b/>
          <w:bCs/>
          <w:spacing w:val="4"/>
          <w:rtl/>
        </w:rPr>
        <w:lastRenderedPageBreak/>
        <w:t>لأن</w:t>
      </w:r>
      <w:r>
        <w:rPr>
          <w:rFonts w:hint="cs"/>
          <w:spacing w:val="4"/>
          <w:rtl/>
        </w:rPr>
        <w:t xml:space="preserve"> اعتبار الجهل منَّا في هذا المقام؛ لدفع قصد الفساد، لا</w:t>
      </w:r>
      <w:r>
        <w:rPr>
          <w:rStyle w:val="a7"/>
          <w:spacing w:val="4"/>
          <w:rtl/>
        </w:rPr>
        <w:footnoteReference w:id="1628"/>
      </w:r>
      <w:r>
        <w:rPr>
          <w:rFonts w:hint="cs"/>
          <w:spacing w:val="4"/>
          <w:rtl/>
        </w:rPr>
        <w:t xml:space="preserve"> لدفع الحكم، فإنها إذا لم تعلم فـساد الـنـكاح عـلمنا أنها لم تقصد فساده، وبعد</w:t>
      </w:r>
      <w:r>
        <w:rPr>
          <w:rFonts w:hint="cs"/>
          <w:spacing w:val="4"/>
          <w:vertAlign w:val="superscript"/>
          <w:rtl/>
        </w:rPr>
        <w:t>(</w:t>
      </w:r>
      <w:r>
        <w:rPr>
          <w:rStyle w:val="a7"/>
          <w:spacing w:val="4"/>
          <w:rtl/>
        </w:rPr>
        <w:footnoteReference w:id="1629"/>
      </w:r>
      <w:r>
        <w:rPr>
          <w:rFonts w:hint="cs"/>
          <w:spacing w:val="4"/>
          <w:vertAlign w:val="superscript"/>
          <w:rtl/>
        </w:rPr>
        <w:t>)</w:t>
      </w:r>
      <w:r>
        <w:rPr>
          <w:rFonts w:hint="cs"/>
          <w:spacing w:val="4"/>
          <w:rtl/>
        </w:rPr>
        <w:t xml:space="preserve"> القصد لا [تكون]</w:t>
      </w:r>
      <w:r>
        <w:rPr>
          <w:rStyle w:val="a7"/>
          <w:spacing w:val="4"/>
          <w:rtl/>
        </w:rPr>
        <w:footnoteReference w:id="1630"/>
      </w:r>
      <w:r>
        <w:rPr>
          <w:rFonts w:hint="cs"/>
          <w:spacing w:val="4"/>
          <w:rtl/>
        </w:rPr>
        <w:t xml:space="preserve"> متعدِّية</w:t>
      </w:r>
      <w:r>
        <w:rPr>
          <w:rStyle w:val="a7"/>
          <w:spacing w:val="4"/>
          <w:rtl/>
        </w:rPr>
        <w:footnoteReference w:id="1631"/>
      </w:r>
      <w:r>
        <w:rPr>
          <w:rFonts w:hint="cs"/>
          <w:spacing w:val="4"/>
          <w:rtl/>
        </w:rPr>
        <w:t>. فظهر أن عدم كونها متعدية لا يكون بعذر</w:t>
      </w:r>
      <w:r>
        <w:rPr>
          <w:rStyle w:val="a7"/>
          <w:spacing w:val="4"/>
          <w:rtl/>
        </w:rPr>
        <w:footnoteReference w:id="1632"/>
      </w:r>
      <w:r>
        <w:rPr>
          <w:rFonts w:hint="cs"/>
          <w:spacing w:val="4"/>
          <w:rtl/>
        </w:rPr>
        <w:t xml:space="preserve"> الجهل؛ بل</w:t>
      </w:r>
      <w:r>
        <w:rPr>
          <w:rStyle w:val="a7"/>
          <w:spacing w:val="4"/>
          <w:rtl/>
        </w:rPr>
        <w:footnoteReference w:id="1633"/>
      </w:r>
      <w:r>
        <w:rPr>
          <w:rFonts w:hint="cs"/>
          <w:spacing w:val="4"/>
          <w:rtl/>
        </w:rPr>
        <w:t xml:space="preserve"> بعدم</w:t>
      </w:r>
      <w:r>
        <w:rPr>
          <w:rStyle w:val="a7"/>
          <w:spacing w:val="4"/>
          <w:rtl/>
        </w:rPr>
        <w:footnoteReference w:id="1634"/>
      </w:r>
      <w:r>
        <w:rPr>
          <w:rFonts w:hint="cs"/>
          <w:spacing w:val="4"/>
          <w:rtl/>
        </w:rPr>
        <w:t xml:space="preserve"> قصد الفساد</w:t>
      </w:r>
      <w:r>
        <w:rPr>
          <w:rFonts w:hint="cs"/>
          <w:spacing w:val="4"/>
          <w:vertAlign w:val="superscript"/>
          <w:rtl/>
        </w:rPr>
        <w:t>(</w:t>
      </w:r>
      <w:r>
        <w:rPr>
          <w:rStyle w:val="a7"/>
          <w:spacing w:val="4"/>
          <w:rtl/>
        </w:rPr>
        <w:footnoteReference w:id="1635"/>
      </w:r>
      <w:r>
        <w:rPr>
          <w:rFonts w:hint="cs"/>
          <w:spacing w:val="4"/>
          <w:vertAlign w:val="superscript"/>
          <w:rtl/>
        </w:rPr>
        <w:t>)</w:t>
      </w:r>
      <w:r>
        <w:rPr>
          <w:rFonts w:hint="cs"/>
          <w:spacing w:val="4"/>
          <w:rtl/>
        </w:rPr>
        <w:t>.</w:t>
      </w:r>
    </w:p>
    <w:p w:rsidR="00C10469" w:rsidRDefault="00C10469">
      <w:pPr>
        <w:ind w:firstLine="0"/>
        <w:rPr>
          <w:rtl/>
        </w:rPr>
      </w:pPr>
    </w:p>
    <w:p w:rsidR="00C10469" w:rsidRDefault="00C10469">
      <w:pPr>
        <w:ind w:firstLine="0"/>
        <w:rPr>
          <w:rtl/>
        </w:rPr>
      </w:pPr>
    </w:p>
    <w:p w:rsidR="00C10469" w:rsidRPr="0023301F"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12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D563E" w:rsidRDefault="00C10469" w:rsidP="00C10469">
      <w:pPr>
        <w:pStyle w:val="a9"/>
        <w:spacing w:line="216" w:lineRule="auto"/>
        <w:rPr>
          <w:rFonts w:cs="AL-Mateen"/>
          <w:rtl/>
        </w:rPr>
      </w:pPr>
      <w:r w:rsidRPr="00FD563E">
        <w:rPr>
          <w:rFonts w:cs="AL-Mateen" w:hint="cs"/>
          <w:rtl/>
        </w:rPr>
        <w:lastRenderedPageBreak/>
        <w:t>[ القـاعـدة الثـامـنة والسـتـون ]</w:t>
      </w:r>
    </w:p>
    <w:p w:rsidR="00C10469" w:rsidRDefault="00C10469" w:rsidP="00C10469">
      <w:pPr>
        <w:spacing w:line="216" w:lineRule="auto"/>
        <w:rPr>
          <w:b/>
          <w:bCs/>
          <w:rtl/>
        </w:rPr>
      </w:pPr>
      <w:r>
        <w:rPr>
          <w:rFonts w:cs="Monotype Koufi" w:hint="cs"/>
          <w:rtl/>
        </w:rPr>
        <w:t>تَبَدُّلُ سببِ المِلْكِ</w:t>
      </w:r>
      <w:r>
        <w:rPr>
          <w:rStyle w:val="a7"/>
          <w:rtl/>
        </w:rPr>
        <w:footnoteReference w:id="1636"/>
      </w:r>
      <w:r>
        <w:rPr>
          <w:rFonts w:hint="cs"/>
          <w:rtl/>
        </w:rPr>
        <w:t xml:space="preserve"> </w:t>
      </w:r>
      <w:r>
        <w:rPr>
          <w:rFonts w:cs="Monotype Koufi" w:hint="cs"/>
          <w:rtl/>
        </w:rPr>
        <w:t>قائمٌ مقامَ تبدُّلِ الذَّاتِ</w:t>
      </w:r>
      <w:r>
        <w:rPr>
          <w:rFonts w:hint="cs"/>
          <w:b/>
          <w:bCs/>
          <w:vertAlign w:val="superscript"/>
          <w:rtl/>
        </w:rPr>
        <w:t>(</w:t>
      </w:r>
      <w:r>
        <w:rPr>
          <w:rStyle w:val="a7"/>
          <w:b/>
          <w:rtl/>
        </w:rPr>
        <w:footnoteReference w:id="1637"/>
      </w:r>
      <w:r>
        <w:rPr>
          <w:rFonts w:hint="cs"/>
          <w:b/>
          <w:bCs/>
          <w:vertAlign w:val="superscript"/>
          <w:rtl/>
        </w:rPr>
        <w:t>)</w:t>
      </w:r>
      <w:r>
        <w:rPr>
          <w:rFonts w:hint="cs"/>
          <w:b/>
          <w:bCs/>
          <w:rtl/>
        </w:rPr>
        <w:t xml:space="preserve"> :</w:t>
      </w:r>
    </w:p>
    <w:p w:rsidR="00C10469" w:rsidRDefault="00C10469" w:rsidP="00C10469">
      <w:pPr>
        <w:spacing w:line="216" w:lineRule="auto"/>
        <w:rPr>
          <w:spacing w:val="-12"/>
          <w:rtl/>
        </w:rPr>
      </w:pPr>
      <w:r>
        <w:rPr>
          <w:rFonts w:hint="cs"/>
          <w:b/>
          <w:bCs/>
          <w:spacing w:val="-12"/>
          <w:sz w:val="35"/>
          <w:szCs w:val="35"/>
          <w:rtl/>
        </w:rPr>
        <w:t>ولذا</w:t>
      </w:r>
      <w:r>
        <w:rPr>
          <w:rFonts w:hint="cs"/>
          <w:spacing w:val="-12"/>
          <w:sz w:val="35"/>
          <w:szCs w:val="35"/>
          <w:rtl/>
        </w:rPr>
        <w:t xml:space="preserve"> : إذا</w:t>
      </w:r>
      <w:r>
        <w:rPr>
          <w:rStyle w:val="a7"/>
          <w:spacing w:val="-12"/>
          <w:rtl/>
        </w:rPr>
        <w:footnoteReference w:id="1638"/>
      </w:r>
      <w:r>
        <w:rPr>
          <w:rFonts w:hint="cs"/>
          <w:spacing w:val="-12"/>
          <w:rtl/>
        </w:rPr>
        <w:t xml:space="preserve"> </w:t>
      </w:r>
      <w:r>
        <w:rPr>
          <w:rFonts w:hint="cs"/>
          <w:spacing w:val="-12"/>
          <w:sz w:val="35"/>
          <w:szCs w:val="35"/>
          <w:rtl/>
        </w:rPr>
        <w:t>لم يكن مولى المكاتَب مَصرفًا للصّدقة، وأخذ الـمكاتَبُ الصدقَة؛ لكونه</w:t>
      </w:r>
      <w:r>
        <w:rPr>
          <w:rStyle w:val="a7"/>
          <w:spacing w:val="-12"/>
          <w:rtl/>
        </w:rPr>
        <w:footnoteReference w:id="1639"/>
      </w:r>
      <w:r>
        <w:rPr>
          <w:rFonts w:hint="cs"/>
          <w:spacing w:val="-12"/>
          <w:rtl/>
        </w:rPr>
        <w:t xml:space="preserve"> </w:t>
      </w:r>
      <w:r>
        <w:rPr>
          <w:rFonts w:hint="cs"/>
          <w:spacing w:val="-12"/>
          <w:sz w:val="35"/>
          <w:szCs w:val="35"/>
          <w:rtl/>
        </w:rPr>
        <w:t>من</w:t>
      </w:r>
      <w:r>
        <w:rPr>
          <w:rStyle w:val="a7"/>
          <w:spacing w:val="-12"/>
          <w:rtl/>
        </w:rPr>
        <w:footnoteReference w:id="1640"/>
      </w:r>
      <w:r>
        <w:rPr>
          <w:rFonts w:hint="cs"/>
          <w:spacing w:val="-12"/>
          <w:rtl/>
        </w:rPr>
        <w:t xml:space="preserve"> </w:t>
      </w:r>
      <w:r>
        <w:rPr>
          <w:rFonts w:hint="cs"/>
          <w:spacing w:val="-12"/>
          <w:sz w:val="35"/>
          <w:szCs w:val="35"/>
          <w:rtl/>
        </w:rPr>
        <w:t>الـمصارف، وأدّاه</w:t>
      </w:r>
      <w:r>
        <w:rPr>
          <w:rFonts w:hint="cs"/>
          <w:spacing w:val="-12"/>
          <w:vertAlign w:val="superscript"/>
          <w:rtl/>
        </w:rPr>
        <w:t>(</w:t>
      </w:r>
      <w:r>
        <w:rPr>
          <w:rStyle w:val="a7"/>
          <w:spacing w:val="-12"/>
          <w:rtl/>
        </w:rPr>
        <w:footnoteReference w:id="1641"/>
      </w:r>
      <w:r>
        <w:rPr>
          <w:rFonts w:hint="cs"/>
          <w:spacing w:val="-12"/>
          <w:vertAlign w:val="superscript"/>
          <w:rtl/>
        </w:rPr>
        <w:t>)</w:t>
      </w:r>
      <w:r>
        <w:rPr>
          <w:rFonts w:hint="cs"/>
          <w:spacing w:val="-12"/>
          <w:rtl/>
        </w:rPr>
        <w:t xml:space="preserve"> </w:t>
      </w:r>
      <w:r>
        <w:rPr>
          <w:rFonts w:hint="cs"/>
          <w:spacing w:val="-12"/>
          <w:sz w:val="35"/>
          <w:szCs w:val="35"/>
          <w:rtl/>
        </w:rPr>
        <w:t>إلى الـمولى عن بدل الكـتـابة، ثـم عجز : فالظاهر أنّ الـمولى أخذ الصدقـة وهـو غـني، ومع هذا تطيب لـه؛ لأن العبد أخـذه</w:t>
      </w:r>
      <w:r>
        <w:rPr>
          <w:rFonts w:hint="cs"/>
          <w:spacing w:val="-12"/>
          <w:vertAlign w:val="superscript"/>
          <w:rtl/>
        </w:rPr>
        <w:t>(</w:t>
      </w:r>
      <w:r>
        <w:rPr>
          <w:rStyle w:val="a7"/>
          <w:spacing w:val="-12"/>
          <w:rtl/>
        </w:rPr>
        <w:footnoteReference w:id="1642"/>
      </w:r>
      <w:r>
        <w:rPr>
          <w:rFonts w:hint="cs"/>
          <w:spacing w:val="-12"/>
          <w:vertAlign w:val="superscript"/>
          <w:rtl/>
        </w:rPr>
        <w:t>)</w:t>
      </w:r>
      <w:r>
        <w:rPr>
          <w:rFonts w:hint="cs"/>
          <w:spacing w:val="-12"/>
          <w:rtl/>
        </w:rPr>
        <w:t xml:space="preserve"> </w:t>
      </w:r>
      <w:r>
        <w:rPr>
          <w:rFonts w:hint="cs"/>
          <w:spacing w:val="-12"/>
          <w:sz w:val="35"/>
          <w:szCs w:val="35"/>
          <w:rtl/>
        </w:rPr>
        <w:t>صـدقـة، وأداه عـوضًا مـن العـتـق، فـتبدَّلَ السَّببُ، و</w:t>
      </w:r>
      <w:r>
        <w:rPr>
          <w:rFonts w:hint="eastAsia"/>
          <w:spacing w:val="-12"/>
          <w:sz w:val="35"/>
          <w:szCs w:val="35"/>
          <w:rtl/>
        </w:rPr>
        <w:t>«</w:t>
      </w:r>
      <w:r>
        <w:rPr>
          <w:rFonts w:hint="cs"/>
          <w:spacing w:val="-12"/>
          <w:sz w:val="35"/>
          <w:szCs w:val="35"/>
          <w:rtl/>
        </w:rPr>
        <w:t>تـبدُّلُ</w:t>
      </w:r>
      <w:r>
        <w:rPr>
          <w:rStyle w:val="a7"/>
          <w:spacing w:val="-12"/>
          <w:rtl/>
        </w:rPr>
        <w:footnoteReference w:id="1643"/>
      </w:r>
      <w:r>
        <w:rPr>
          <w:rFonts w:hint="cs"/>
          <w:spacing w:val="-12"/>
          <w:rtl/>
        </w:rPr>
        <w:t xml:space="preserve"> </w:t>
      </w:r>
      <w:r>
        <w:rPr>
          <w:rFonts w:hint="cs"/>
          <w:spacing w:val="-12"/>
          <w:sz w:val="35"/>
          <w:szCs w:val="35"/>
          <w:rtl/>
        </w:rPr>
        <w:t xml:space="preserve">السَّببِ قائم مقامَ </w:t>
      </w:r>
      <w:r>
        <w:rPr>
          <w:rFonts w:hint="cs"/>
          <w:spacing w:val="-12"/>
          <w:sz w:val="35"/>
          <w:szCs w:val="35"/>
          <w:rtl/>
        </w:rPr>
        <w:lastRenderedPageBreak/>
        <w:t>[تبدُّلِ]</w:t>
      </w:r>
      <w:r>
        <w:rPr>
          <w:rStyle w:val="a7"/>
          <w:spacing w:val="-12"/>
          <w:rtl/>
        </w:rPr>
        <w:footnoteReference w:id="1644"/>
      </w:r>
      <w:r>
        <w:rPr>
          <w:rFonts w:hint="cs"/>
          <w:spacing w:val="-12"/>
          <w:sz w:val="35"/>
          <w:szCs w:val="35"/>
          <w:rtl/>
        </w:rPr>
        <w:t xml:space="preserve"> </w:t>
      </w:r>
      <w:r>
        <w:rPr>
          <w:rFonts w:hint="cs"/>
          <w:spacing w:val="-12"/>
          <w:rtl/>
        </w:rPr>
        <w:t xml:space="preserve"> الذات</w:t>
      </w:r>
      <w:r>
        <w:rPr>
          <w:rFonts w:hint="eastAsia"/>
          <w:spacing w:val="-12"/>
          <w:rtl/>
        </w:rPr>
        <w:t>»</w:t>
      </w:r>
      <w:r>
        <w:rPr>
          <w:rFonts w:hint="cs"/>
          <w:spacing w:val="-12"/>
          <w:rtl/>
        </w:rPr>
        <w:t>؛ أُخذ</w:t>
      </w:r>
      <w:r>
        <w:rPr>
          <w:rStyle w:val="a7"/>
          <w:spacing w:val="-12"/>
          <w:rtl/>
        </w:rPr>
        <w:footnoteReference w:id="1645"/>
      </w:r>
      <w:r>
        <w:rPr>
          <w:rFonts w:hint="cs"/>
          <w:spacing w:val="-12"/>
          <w:rtl/>
        </w:rPr>
        <w:t xml:space="preserve"> من قوله </w:t>
      </w:r>
    </w:p>
    <w:p w:rsidR="00C10469" w:rsidRDefault="00C10469">
      <w:pPr>
        <w:spacing w:line="580" w:lineRule="exact"/>
        <w:ind w:firstLine="0"/>
        <w:rPr>
          <w:spacing w:val="-12"/>
          <w:rtl/>
        </w:rPr>
      </w:pPr>
      <w:r>
        <w:rPr>
          <w:rFonts w:hint="cs"/>
          <w:spacing w:val="-12"/>
          <w:rtl/>
        </w:rPr>
        <w:lastRenderedPageBreak/>
        <w:t>عليه السلام [لبُرَيْرَة</w:t>
      </w:r>
      <w:r>
        <w:rPr>
          <w:rStyle w:val="a7"/>
          <w:spacing w:val="-12"/>
          <w:rtl/>
        </w:rPr>
        <w:footnoteReference w:id="1646"/>
      </w:r>
      <w:r>
        <w:rPr>
          <w:rFonts w:hint="cs"/>
          <w:spacing w:val="-12"/>
          <w:rtl/>
        </w:rPr>
        <w:t>]</w:t>
      </w:r>
      <w:r>
        <w:rPr>
          <w:rFonts w:hint="cs"/>
          <w:spacing w:val="-12"/>
          <w:vertAlign w:val="superscript"/>
          <w:rtl/>
        </w:rPr>
        <w:t>(</w:t>
      </w:r>
      <w:r>
        <w:rPr>
          <w:rStyle w:val="a7"/>
          <w:spacing w:val="-12"/>
          <w:rtl/>
        </w:rPr>
        <w:footnoteReference w:id="1647"/>
      </w:r>
      <w:r>
        <w:rPr>
          <w:rFonts w:hint="cs"/>
          <w:spacing w:val="-12"/>
          <w:vertAlign w:val="superscript"/>
          <w:rtl/>
        </w:rPr>
        <w:t>)</w:t>
      </w:r>
      <w:r>
        <w:rPr>
          <w:rFonts w:hint="cs"/>
          <w:spacing w:val="-12"/>
          <w:rtl/>
        </w:rPr>
        <w:t xml:space="preserve"> :</w:t>
      </w:r>
      <w:r>
        <w:rPr>
          <w:rFonts w:hint="eastAsia"/>
          <w:spacing w:val="-12"/>
          <w:rtl/>
        </w:rPr>
        <w:t xml:space="preserve"> «</w:t>
      </w:r>
      <w:r>
        <w:rPr>
          <w:rFonts w:cs="DecoType Naskh Swashes" w:hint="cs"/>
          <w:spacing w:val="-12"/>
          <w:rtl/>
        </w:rPr>
        <w:t xml:space="preserve">هي </w:t>
      </w:r>
      <w:r w:rsidRPr="0032564B">
        <w:rPr>
          <w:rFonts w:hint="cs"/>
          <w:spacing w:val="-12"/>
          <w:rtl/>
        </w:rPr>
        <w:t>لَك</w:t>
      </w:r>
      <w:r>
        <w:rPr>
          <w:rFonts w:cs="DecoType Naskh Swashes" w:hint="cs"/>
          <w:spacing w:val="-12"/>
          <w:rtl/>
        </w:rPr>
        <w:t xml:space="preserve"> صدقةٌ  ولنا هديةٌ</w:t>
      </w:r>
      <w:r>
        <w:rPr>
          <w:rFonts w:hint="eastAsia"/>
          <w:spacing w:val="-12"/>
          <w:rtl/>
        </w:rPr>
        <w:t>»</w:t>
      </w:r>
      <w:r>
        <w:rPr>
          <w:rFonts w:hint="cs"/>
          <w:spacing w:val="-12"/>
          <w:vertAlign w:val="superscript"/>
          <w:rtl/>
        </w:rPr>
        <w:t>(</w:t>
      </w:r>
      <w:r>
        <w:rPr>
          <w:rStyle w:val="a7"/>
          <w:spacing w:val="-12"/>
          <w:rtl/>
        </w:rPr>
        <w:footnoteReference w:id="1648"/>
      </w:r>
      <w:r>
        <w:rPr>
          <w:rFonts w:hint="cs"/>
          <w:spacing w:val="-12"/>
          <w:vertAlign w:val="superscript"/>
          <w:rtl/>
        </w:rPr>
        <w:t>)(</w:t>
      </w:r>
      <w:r>
        <w:rPr>
          <w:rStyle w:val="a7"/>
          <w:spacing w:val="-12"/>
          <w:rtl/>
        </w:rPr>
        <w:footnoteReference w:id="1649"/>
      </w:r>
      <w:r>
        <w:rPr>
          <w:rFonts w:hint="cs"/>
          <w:spacing w:val="-12"/>
          <w:vertAlign w:val="superscript"/>
          <w:rtl/>
        </w:rPr>
        <w:t>).</w:t>
      </w:r>
    </w:p>
    <w:p w:rsidR="00C10469" w:rsidRDefault="00C10469" w:rsidP="00C10469">
      <w:pPr>
        <w:rPr>
          <w:rtl/>
        </w:rPr>
      </w:pPr>
      <w:r>
        <w:rPr>
          <w:rFonts w:hint="cs"/>
          <w:b/>
          <w:bCs/>
          <w:rtl/>
        </w:rPr>
        <w:lastRenderedPageBreak/>
        <w:t>ومن فروع هذا الأصل</w:t>
      </w:r>
      <w:r>
        <w:rPr>
          <w:rFonts w:hint="cs"/>
          <w:rtl/>
        </w:rPr>
        <w:t xml:space="preserve"> : من اشترى بألف، وقبضه، ثم باعه من البائع بخمسمائة قبل نقد</w:t>
      </w:r>
      <w:r>
        <w:rPr>
          <w:rFonts w:hint="cs"/>
          <w:vertAlign w:val="superscript"/>
          <w:rtl/>
        </w:rPr>
        <w:t>(</w:t>
      </w:r>
      <w:r>
        <w:rPr>
          <w:rStyle w:val="a7"/>
          <w:rtl/>
        </w:rPr>
        <w:footnoteReference w:id="1650"/>
      </w:r>
      <w:r>
        <w:rPr>
          <w:rFonts w:hint="cs"/>
          <w:vertAlign w:val="superscript"/>
          <w:rtl/>
        </w:rPr>
        <w:t>)</w:t>
      </w:r>
      <w:r>
        <w:rPr>
          <w:rFonts w:hint="cs"/>
          <w:rtl/>
        </w:rPr>
        <w:t xml:space="preserve"> الثمن : فالبيع الثاني فاسد عندنا؛ لأن الثمن لم يدخل في ضمان البائع؛ لعدم القبض، وإذا وصل إليه المبيع، ووقعت</w:t>
      </w:r>
      <w:r>
        <w:rPr>
          <w:rStyle w:val="a7"/>
          <w:rtl/>
        </w:rPr>
        <w:footnoteReference w:id="1651"/>
      </w:r>
      <w:r>
        <w:rPr>
          <w:rFonts w:hint="cs"/>
          <w:rtl/>
        </w:rPr>
        <w:t xml:space="preserve"> المقاصّة بين الثمنين : بقي له خمسمائة بلا عوض، وهو ربا، فلا يجوز.</w:t>
      </w:r>
    </w:p>
    <w:p w:rsidR="00C10469" w:rsidRDefault="00C10469" w:rsidP="00C10469">
      <w:pPr>
        <w:rPr>
          <w:spacing w:val="-4"/>
          <w:rtl/>
        </w:rPr>
      </w:pPr>
      <w:r>
        <w:rPr>
          <w:rFonts w:hint="cs"/>
          <w:spacing w:val="-4"/>
          <w:rtl/>
        </w:rPr>
        <w:t>بخلاف ما إذا</w:t>
      </w:r>
      <w:r>
        <w:rPr>
          <w:rStyle w:val="a7"/>
          <w:spacing w:val="-4"/>
          <w:rtl/>
        </w:rPr>
        <w:footnoteReference w:id="1652"/>
      </w:r>
      <w:r>
        <w:rPr>
          <w:rFonts w:hint="cs"/>
          <w:spacing w:val="-4"/>
          <w:rtl/>
        </w:rPr>
        <w:t xml:space="preserve"> اشترى البائع بواسطة مشترٍ آخر</w:t>
      </w:r>
      <w:r>
        <w:rPr>
          <w:rFonts w:hint="cs"/>
          <w:spacing w:val="-4"/>
          <w:vertAlign w:val="superscript"/>
          <w:rtl/>
        </w:rPr>
        <w:t>(</w:t>
      </w:r>
      <w:r>
        <w:rPr>
          <w:rStyle w:val="a7"/>
          <w:spacing w:val="-4"/>
          <w:rtl/>
        </w:rPr>
        <w:footnoteReference w:id="1653"/>
      </w:r>
      <w:r>
        <w:rPr>
          <w:rFonts w:hint="cs"/>
          <w:spacing w:val="-4"/>
          <w:vertAlign w:val="superscript"/>
          <w:rtl/>
        </w:rPr>
        <w:t>)</w:t>
      </w:r>
      <w:r>
        <w:rPr>
          <w:rFonts w:hint="cs"/>
          <w:spacing w:val="-4"/>
          <w:rtl/>
        </w:rPr>
        <w:t>؛ لأنه لم يعد إليه المستفاد</w:t>
      </w:r>
      <w:r>
        <w:rPr>
          <w:rStyle w:val="a7"/>
          <w:spacing w:val="-4"/>
          <w:rtl/>
        </w:rPr>
        <w:footnoteReference w:id="1654"/>
      </w:r>
      <w:r>
        <w:rPr>
          <w:rFonts w:hint="cs"/>
          <w:spacing w:val="-4"/>
          <w:rtl/>
        </w:rPr>
        <w:t xml:space="preserve"> [من]</w:t>
      </w:r>
      <w:r>
        <w:rPr>
          <w:rStyle w:val="a7"/>
          <w:spacing w:val="-4"/>
          <w:rtl/>
        </w:rPr>
        <w:footnoteReference w:id="1655"/>
      </w:r>
      <w:r>
        <w:rPr>
          <w:rFonts w:hint="cs"/>
          <w:spacing w:val="-4"/>
          <w:rtl/>
        </w:rPr>
        <w:t xml:space="preserve"> جهته؛ لأن اختلاف السّبب (وهو الشراء) بمنزلة اختلاف الأعيان. كذا في (العناية)</w:t>
      </w:r>
      <w:r>
        <w:rPr>
          <w:rFonts w:hint="cs"/>
          <w:spacing w:val="-4"/>
          <w:vertAlign w:val="superscript"/>
          <w:rtl/>
        </w:rPr>
        <w:t>(</w:t>
      </w:r>
      <w:r>
        <w:rPr>
          <w:rStyle w:val="a7"/>
          <w:spacing w:val="-4"/>
          <w:rtl/>
        </w:rPr>
        <w:footnoteReference w:id="1656"/>
      </w:r>
      <w:r>
        <w:rPr>
          <w:rFonts w:hint="cs"/>
          <w:spacing w:val="-4"/>
          <w:vertAlign w:val="superscript"/>
          <w:rtl/>
        </w:rPr>
        <w:t>)</w:t>
      </w:r>
      <w:r>
        <w:rPr>
          <w:rFonts w:hint="cs"/>
          <w:spacing w:val="-4"/>
          <w:rtl/>
        </w:rPr>
        <w:t>.</w:t>
      </w:r>
    </w:p>
    <w:p w:rsidR="00C10469" w:rsidRDefault="00C10469" w:rsidP="00C10469">
      <w:pPr>
        <w:rPr>
          <w:rtl/>
        </w:rPr>
      </w:pPr>
      <w:r>
        <w:rPr>
          <w:rFonts w:hint="cs"/>
          <w:rtl/>
        </w:rPr>
        <w:lastRenderedPageBreak/>
        <w:t>فكأنَّه بـائـعٌ المشـتريَ الثـاني غـير ما بـاعَ البائـعُ الأوّل</w:t>
      </w:r>
      <w:r>
        <w:rPr>
          <w:rFonts w:hint="cs"/>
          <w:vertAlign w:val="superscript"/>
          <w:rtl/>
        </w:rPr>
        <w:t>(</w:t>
      </w:r>
      <w:r>
        <w:rPr>
          <w:rStyle w:val="a7"/>
          <w:rtl/>
        </w:rPr>
        <w:footnoteReference w:id="1657"/>
      </w:r>
      <w:r>
        <w:rPr>
          <w:rFonts w:hint="cs"/>
          <w:vertAlign w:val="superscript"/>
          <w:rtl/>
        </w:rPr>
        <w:t>)</w:t>
      </w:r>
      <w:r>
        <w:rPr>
          <w:rFonts w:hint="cs"/>
          <w:rtl/>
        </w:rPr>
        <w:t>، فـيجوز بـيعه كيف ما كان.</w:t>
      </w:r>
    </w:p>
    <w:p w:rsidR="00C10469" w:rsidRDefault="00C10469">
      <w:pPr>
        <w:rPr>
          <w:rtl/>
        </w:rPr>
      </w:pPr>
      <w:r>
        <w:rPr>
          <w:rFonts w:hint="cs"/>
          <w:rtl/>
        </w:rPr>
        <w:t>واعلم أن هذا بالنظر [إلى غير العاقدين. وأما بالنظر]</w:t>
      </w:r>
      <w:r>
        <w:rPr>
          <w:rStyle w:val="a7"/>
          <w:rtl/>
        </w:rPr>
        <w:footnoteReference w:id="1658"/>
      </w:r>
      <w:r>
        <w:rPr>
          <w:rFonts w:hint="cs"/>
          <w:rtl/>
        </w:rPr>
        <w:t xml:space="preserve"> إليهما فإذا حصل المقصود</w:t>
      </w:r>
      <w:r>
        <w:rPr>
          <w:rStyle w:val="a7"/>
          <w:rtl/>
        </w:rPr>
        <w:footnoteReference w:id="1659"/>
      </w:r>
      <w:r>
        <w:rPr>
          <w:rFonts w:hint="cs"/>
          <w:rtl/>
        </w:rPr>
        <w:t xml:space="preserve"> لا يبالى - باختلاف سبب</w:t>
      </w:r>
      <w:r>
        <w:rPr>
          <w:rFonts w:hint="cs"/>
          <w:vertAlign w:val="superscript"/>
          <w:rtl/>
        </w:rPr>
        <w:t>(</w:t>
      </w:r>
      <w:r>
        <w:rPr>
          <w:rStyle w:val="a7"/>
          <w:rtl/>
        </w:rPr>
        <w:footnoteReference w:id="1660"/>
      </w:r>
      <w:r>
        <w:rPr>
          <w:rFonts w:hint="cs"/>
          <w:vertAlign w:val="superscript"/>
          <w:rtl/>
        </w:rPr>
        <w:t>)</w:t>
      </w:r>
      <w:r>
        <w:rPr>
          <w:rFonts w:hint="cs"/>
          <w:rtl/>
        </w:rPr>
        <w:t>.</w:t>
      </w:r>
    </w:p>
    <w:p w:rsidR="00C10469" w:rsidRDefault="00C10469">
      <w:pPr>
        <w:rPr>
          <w:rtl/>
        </w:rPr>
      </w:pPr>
      <w:r>
        <w:rPr>
          <w:rFonts w:hint="cs"/>
          <w:rtl/>
        </w:rPr>
        <w:lastRenderedPageBreak/>
        <w:t>وسيجيء في باب اللام</w:t>
      </w:r>
      <w:r>
        <w:rPr>
          <w:rFonts w:hint="cs"/>
          <w:vertAlign w:val="superscript"/>
          <w:rtl/>
        </w:rPr>
        <w:t>(</w:t>
      </w:r>
      <w:r>
        <w:rPr>
          <w:rStyle w:val="a7"/>
          <w:rtl/>
        </w:rPr>
        <w:footnoteReference w:id="1661"/>
      </w:r>
      <w:r>
        <w:rPr>
          <w:rFonts w:hint="cs"/>
          <w:vertAlign w:val="superscript"/>
          <w:rtl/>
        </w:rPr>
        <w:t>)</w:t>
      </w:r>
      <w:r>
        <w:rPr>
          <w:rFonts w:hint="cs"/>
          <w:rtl/>
        </w:rPr>
        <w:t xml:space="preserve"> إن شاء الله.</w:t>
      </w:r>
    </w:p>
    <w:p w:rsidR="00C10469" w:rsidRDefault="00C10469">
      <w:pPr>
        <w:rPr>
          <w:rtl/>
        </w:rPr>
      </w:pPr>
    </w:p>
    <w:p w:rsidR="00C10469" w:rsidRDefault="00C10469">
      <w:pPr>
        <w:rPr>
          <w:rtl/>
        </w:rPr>
      </w:pPr>
    </w:p>
    <w:p w:rsidR="00C10469" w:rsidRPr="002B56D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2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E657C5" w:rsidRDefault="00C10469">
      <w:pPr>
        <w:pStyle w:val="a9"/>
        <w:rPr>
          <w:rFonts w:cs="AL-Mateen"/>
          <w:rtl/>
        </w:rPr>
      </w:pPr>
      <w:r w:rsidRPr="00E657C5">
        <w:rPr>
          <w:rFonts w:cs="AL-Mateen" w:hint="cs"/>
          <w:rtl/>
        </w:rPr>
        <w:lastRenderedPageBreak/>
        <w:t>[ القـاعـدة التـاسـعـة والسـتـون ]</w:t>
      </w:r>
    </w:p>
    <w:p w:rsidR="00C10469" w:rsidRDefault="00C10469">
      <w:pPr>
        <w:rPr>
          <w:rtl/>
        </w:rPr>
      </w:pPr>
      <w:r>
        <w:rPr>
          <w:rFonts w:cs="Monotype Koufi" w:hint="cs"/>
          <w:rtl/>
        </w:rPr>
        <w:t>التَّبَرُّعُ لا يتمُّ إلا بالقبضِ</w:t>
      </w:r>
      <w:r>
        <w:rPr>
          <w:rFonts w:hint="cs"/>
          <w:vertAlign w:val="superscript"/>
          <w:rtl/>
        </w:rPr>
        <w:t>(</w:t>
      </w:r>
      <w:r>
        <w:rPr>
          <w:rStyle w:val="a7"/>
          <w:rtl/>
        </w:rPr>
        <w:footnoteReference w:id="1662"/>
      </w:r>
      <w:r>
        <w:rPr>
          <w:rFonts w:hint="cs"/>
          <w:vertAlign w:val="superscript"/>
          <w:rtl/>
        </w:rPr>
        <w:t>)</w:t>
      </w:r>
      <w:r>
        <w:rPr>
          <w:rFonts w:hint="cs"/>
          <w:rtl/>
        </w:rPr>
        <w:t xml:space="preserve"> :</w:t>
      </w:r>
    </w:p>
    <w:p w:rsidR="00C10469" w:rsidRDefault="00C10469" w:rsidP="00C10469">
      <w:pPr>
        <w:spacing w:line="221" w:lineRule="auto"/>
        <w:rPr>
          <w:rtl/>
        </w:rPr>
        <w:sectPr w:rsidR="00C10469" w:rsidSect="00C10469">
          <w:headerReference w:type="default" r:id="rId12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rtl/>
        </w:rPr>
        <w:t>ولهذا</w:t>
      </w:r>
      <w:r>
        <w:rPr>
          <w:rFonts w:hint="cs"/>
          <w:rtl/>
        </w:rPr>
        <w:t xml:space="preserve"> : إذا كان </w:t>
      </w:r>
      <w:r>
        <w:rPr>
          <w:rFonts w:hint="eastAsia"/>
          <w:rtl/>
        </w:rPr>
        <w:t>«</w:t>
      </w:r>
      <w:r>
        <w:rPr>
          <w:rFonts w:hint="cs"/>
          <w:rtl/>
        </w:rPr>
        <w:t>لهما دينٌ على الآخر</w:t>
      </w:r>
      <w:r>
        <w:rPr>
          <w:rStyle w:val="a7"/>
          <w:rtl/>
        </w:rPr>
        <w:footnoteReference w:id="1663"/>
      </w:r>
      <w:r>
        <w:rPr>
          <w:rFonts w:hint="cs"/>
          <w:rtl/>
        </w:rPr>
        <w:t>، فكفل أحدُهما</w:t>
      </w:r>
      <w:r>
        <w:rPr>
          <w:rStyle w:val="a7"/>
          <w:rtl/>
        </w:rPr>
        <w:footnoteReference w:id="1664"/>
      </w:r>
      <w:r>
        <w:rPr>
          <w:rFonts w:hint="cs"/>
          <w:rtl/>
        </w:rPr>
        <w:t xml:space="preserve"> لصاحبه نصيبَه</w:t>
      </w:r>
      <w:r>
        <w:rPr>
          <w:rFonts w:hint="cs"/>
          <w:vertAlign w:val="superscript"/>
          <w:rtl/>
        </w:rPr>
        <w:t>(</w:t>
      </w:r>
      <w:r>
        <w:rPr>
          <w:rStyle w:val="a7"/>
          <w:rtl/>
        </w:rPr>
        <w:footnoteReference w:id="1665"/>
      </w:r>
      <w:r>
        <w:rPr>
          <w:rFonts w:hint="cs"/>
          <w:vertAlign w:val="superscript"/>
          <w:rtl/>
        </w:rPr>
        <w:t>)</w:t>
      </w:r>
      <w:r>
        <w:rPr>
          <w:rFonts w:hint="cs"/>
          <w:rtl/>
        </w:rPr>
        <w:t xml:space="preserve"> : لم يجز</w:t>
      </w:r>
      <w:r>
        <w:rPr>
          <w:rFonts w:hint="cs"/>
          <w:vertAlign w:val="superscript"/>
          <w:rtl/>
        </w:rPr>
        <w:t>(</w:t>
      </w:r>
      <w:r>
        <w:rPr>
          <w:rStyle w:val="a7"/>
          <w:rtl/>
        </w:rPr>
        <w:footnoteReference w:id="1666"/>
      </w:r>
      <w:r>
        <w:rPr>
          <w:rFonts w:hint="cs"/>
          <w:vertAlign w:val="superscript"/>
          <w:rtl/>
        </w:rPr>
        <w:t>)</w:t>
      </w:r>
      <w:r>
        <w:rPr>
          <w:rFonts w:hint="cs"/>
          <w:rtl/>
        </w:rPr>
        <w:t>؛ لأنه لو انصرف إلى نصيبه يكون</w:t>
      </w:r>
      <w:r>
        <w:rPr>
          <w:rStyle w:val="a7"/>
          <w:rtl/>
        </w:rPr>
        <w:footnoteReference w:id="1667"/>
      </w:r>
      <w:r>
        <w:rPr>
          <w:rFonts w:hint="cs"/>
          <w:rtl/>
        </w:rPr>
        <w:t xml:space="preserve"> قسمة</w:t>
      </w:r>
      <w:r>
        <w:rPr>
          <w:rStyle w:val="a7"/>
          <w:rtl/>
        </w:rPr>
        <w:footnoteReference w:id="1668"/>
      </w:r>
      <w:r>
        <w:rPr>
          <w:rFonts w:hint="cs"/>
          <w:rtl/>
        </w:rPr>
        <w:t xml:space="preserve"> الدين قبل القبض وهو باطل</w:t>
      </w:r>
      <w:r>
        <w:rPr>
          <w:rStyle w:val="a7"/>
          <w:rtl/>
        </w:rPr>
        <w:footnoteReference w:id="1669"/>
      </w:r>
      <w:r>
        <w:rPr>
          <w:rFonts w:hint="cs"/>
          <w:rtl/>
        </w:rPr>
        <w:t xml:space="preserve">، </w:t>
      </w:r>
      <w:r>
        <w:rPr>
          <w:rFonts w:hint="cs"/>
          <w:rtl/>
        </w:rPr>
        <w:lastRenderedPageBreak/>
        <w:t>ولو انصرف إلى الشائع يكون ضامنًا لنفسه، فلو قضى بحكم الضمان : له أن [يسترده]</w:t>
      </w:r>
      <w:r>
        <w:rPr>
          <w:rStyle w:val="a7"/>
          <w:rtl/>
        </w:rPr>
        <w:footnoteReference w:id="1670"/>
      </w:r>
      <w:r>
        <w:rPr>
          <w:rFonts w:hint="cs"/>
          <w:rtl/>
        </w:rPr>
        <w:t>؛ لأنه أدّى ما</w:t>
      </w:r>
      <w:r>
        <w:rPr>
          <w:rStyle w:val="a7"/>
          <w:rtl/>
        </w:rPr>
        <w:footnoteReference w:id="1671"/>
      </w:r>
      <w:r>
        <w:rPr>
          <w:rFonts w:hint="cs"/>
          <w:rtl/>
        </w:rPr>
        <w:t xml:space="preserve"> ليس بواجب عليه، ومن </w:t>
      </w:r>
      <w:r>
        <w:rPr>
          <w:rFonts w:hint="eastAsia"/>
          <w:rtl/>
        </w:rPr>
        <w:t>«</w:t>
      </w:r>
      <w:r>
        <w:rPr>
          <w:rFonts w:hint="cs"/>
          <w:rtl/>
        </w:rPr>
        <w:t>دفع ما ليس بواجب عليه</w:t>
      </w:r>
      <w:r>
        <w:rPr>
          <w:rStyle w:val="a7"/>
          <w:rtl/>
        </w:rPr>
        <w:footnoteReference w:id="1672"/>
      </w:r>
      <w:r>
        <w:rPr>
          <w:rFonts w:hint="cs"/>
          <w:rtl/>
        </w:rPr>
        <w:t xml:space="preserve"> يستردّه</w:t>
      </w:r>
      <w:r>
        <w:rPr>
          <w:rStyle w:val="a7"/>
          <w:rtl/>
        </w:rPr>
        <w:footnoteReference w:id="1673"/>
      </w:r>
      <w:r>
        <w:rPr>
          <w:rFonts w:hint="eastAsia"/>
          <w:rtl/>
        </w:rPr>
        <w:t>»</w:t>
      </w:r>
      <w:r>
        <w:rPr>
          <w:rFonts w:hint="cs"/>
          <w:rtl/>
        </w:rPr>
        <w:t>.</w:t>
      </w:r>
      <w:r>
        <w:rPr>
          <w:rFonts w:hint="cs"/>
          <w:vertAlign w:val="superscript"/>
          <w:rtl/>
        </w:rPr>
        <w:t>(</w:t>
      </w:r>
      <w:r>
        <w:rPr>
          <w:rStyle w:val="a7"/>
          <w:rtl/>
        </w:rPr>
        <w:footnoteReference w:id="1674"/>
      </w:r>
      <w:r>
        <w:rPr>
          <w:rFonts w:hint="cs"/>
          <w:vertAlign w:val="superscript"/>
          <w:rtl/>
        </w:rPr>
        <w:t>)</w:t>
      </w:r>
      <w:r>
        <w:rPr>
          <w:rFonts w:hint="cs"/>
          <w:rtl/>
        </w:rPr>
        <w:t xml:space="preserve"> ولو أدى</w:t>
      </w:r>
      <w:r>
        <w:rPr>
          <w:rStyle w:val="a7"/>
          <w:rtl/>
        </w:rPr>
        <w:footnoteReference w:id="1675"/>
      </w:r>
      <w:r>
        <w:rPr>
          <w:rFonts w:hint="cs"/>
          <w:rtl/>
        </w:rPr>
        <w:t xml:space="preserve"> تبرعًا : جاز؛ لأن الدين بالقبض يصير عينًا</w:t>
      </w:r>
      <w:r>
        <w:rPr>
          <w:rStyle w:val="a7"/>
          <w:rtl/>
        </w:rPr>
        <w:footnoteReference w:id="1676"/>
      </w:r>
      <w:r>
        <w:rPr>
          <w:rFonts w:hint="cs"/>
          <w:rtl/>
        </w:rPr>
        <w:t xml:space="preserve"> [بفعله]</w:t>
      </w:r>
      <w:r>
        <w:rPr>
          <w:rStyle w:val="a7"/>
          <w:rtl/>
        </w:rPr>
        <w:footnoteReference w:id="1677"/>
      </w:r>
      <w:r>
        <w:rPr>
          <w:rFonts w:hint="cs"/>
          <w:rtl/>
        </w:rPr>
        <w:t>. كذا في (الوجيز)</w:t>
      </w:r>
      <w:r>
        <w:rPr>
          <w:rFonts w:hint="eastAsia"/>
          <w:rtl/>
        </w:rPr>
        <w:t>»</w:t>
      </w:r>
      <w:r>
        <w:rPr>
          <w:rFonts w:hint="cs"/>
          <w:vertAlign w:val="superscript"/>
          <w:rtl/>
        </w:rPr>
        <w:t>(</w:t>
      </w:r>
      <w:r>
        <w:rPr>
          <w:rStyle w:val="a7"/>
          <w:rtl/>
        </w:rPr>
        <w:footnoteReference w:id="1678"/>
      </w:r>
      <w:r>
        <w:rPr>
          <w:rFonts w:hint="cs"/>
          <w:vertAlign w:val="superscript"/>
          <w:rtl/>
        </w:rPr>
        <w:t>)</w:t>
      </w:r>
      <w:r>
        <w:rPr>
          <w:rFonts w:hint="cs"/>
          <w:rtl/>
        </w:rPr>
        <w:t>.</w:t>
      </w:r>
    </w:p>
    <w:p w:rsidR="00C10469" w:rsidRPr="00AA4B09" w:rsidRDefault="00C10469">
      <w:pPr>
        <w:pStyle w:val="a9"/>
        <w:rPr>
          <w:rFonts w:cs="AL-Mateen"/>
          <w:rtl/>
        </w:rPr>
      </w:pPr>
      <w:r w:rsidRPr="00AA4B09">
        <w:rPr>
          <w:rFonts w:cs="AL-Mateen" w:hint="cs"/>
          <w:rtl/>
        </w:rPr>
        <w:lastRenderedPageBreak/>
        <w:t>[ الـقـاعـدة الـســبـعـون ]</w:t>
      </w:r>
    </w:p>
    <w:p w:rsidR="00C10469" w:rsidRDefault="00C10469">
      <w:pPr>
        <w:rPr>
          <w:rtl/>
        </w:rPr>
      </w:pPr>
      <w:r>
        <w:rPr>
          <w:rFonts w:cs="Monotype Koufi" w:hint="cs"/>
          <w:rtl/>
        </w:rPr>
        <w:t>التَّحليفُ على فعلِ نفسِهِ عَلَى البَتَاتِ</w:t>
      </w:r>
      <w:r>
        <w:rPr>
          <w:rStyle w:val="a7"/>
          <w:rtl/>
        </w:rPr>
        <w:footnoteReference w:id="1679"/>
      </w:r>
      <w:r>
        <w:rPr>
          <w:rFonts w:hint="cs"/>
          <w:rtl/>
        </w:rPr>
        <w:t xml:space="preserve">، </w:t>
      </w:r>
      <w:r>
        <w:rPr>
          <w:rFonts w:cs="Monotype Koufi" w:hint="cs"/>
          <w:rtl/>
        </w:rPr>
        <w:t>وعلَى فعلِ غيرِهِ علَى العِلْمِ</w:t>
      </w:r>
      <w:r>
        <w:rPr>
          <w:rFonts w:hint="cs"/>
          <w:vertAlign w:val="superscript"/>
          <w:rtl/>
        </w:rPr>
        <w:t>(</w:t>
      </w:r>
      <w:r>
        <w:rPr>
          <w:rStyle w:val="a7"/>
          <w:rtl/>
        </w:rPr>
        <w:footnoteReference w:id="1680"/>
      </w:r>
      <w:r>
        <w:rPr>
          <w:rFonts w:hint="cs"/>
          <w:vertAlign w:val="superscript"/>
          <w:rtl/>
        </w:rPr>
        <w:t>)</w:t>
      </w:r>
      <w:r>
        <w:rPr>
          <w:rFonts w:hint="cs"/>
          <w:rtl/>
        </w:rPr>
        <w:t xml:space="preserve"> :</w:t>
      </w:r>
    </w:p>
    <w:p w:rsidR="00C10469" w:rsidRDefault="00C10469">
      <w:pPr>
        <w:rPr>
          <w:spacing w:val="-6"/>
          <w:rtl/>
        </w:rPr>
      </w:pPr>
      <w:r>
        <w:rPr>
          <w:rFonts w:hint="eastAsia"/>
          <w:spacing w:val="-6"/>
          <w:rtl/>
        </w:rPr>
        <w:lastRenderedPageBreak/>
        <w:t>«</w:t>
      </w:r>
      <w:r>
        <w:rPr>
          <w:rFonts w:hint="cs"/>
          <w:spacing w:val="-6"/>
          <w:rtl/>
        </w:rPr>
        <w:t>لأنه لا يَعلم ما فَعَلَ غَيْرُهُ ظاهرًا، فلو حُلِّف على البَتَات لامتنع عن اليمين، مع كونه صادقًا فيها، فتضرر</w:t>
      </w:r>
      <w:r>
        <w:rPr>
          <w:rStyle w:val="a7"/>
          <w:spacing w:val="-6"/>
          <w:rtl/>
        </w:rPr>
        <w:footnoteReference w:id="1681"/>
      </w:r>
      <w:r>
        <w:rPr>
          <w:rFonts w:hint="cs"/>
          <w:spacing w:val="-6"/>
          <w:rtl/>
        </w:rPr>
        <w:t xml:space="preserve"> به</w:t>
      </w:r>
      <w:r>
        <w:rPr>
          <w:rFonts w:hint="cs"/>
          <w:spacing w:val="-6"/>
          <w:vertAlign w:val="superscript"/>
          <w:rtl/>
        </w:rPr>
        <w:t>(</w:t>
      </w:r>
      <w:r>
        <w:rPr>
          <w:rStyle w:val="a7"/>
          <w:spacing w:val="-6"/>
          <w:rtl/>
        </w:rPr>
        <w:footnoteReference w:id="1682"/>
      </w:r>
      <w:r>
        <w:rPr>
          <w:rFonts w:hint="cs"/>
          <w:spacing w:val="-6"/>
          <w:vertAlign w:val="superscript"/>
          <w:rtl/>
        </w:rPr>
        <w:t>)</w:t>
      </w:r>
      <w:r>
        <w:rPr>
          <w:rFonts w:hint="cs"/>
          <w:spacing w:val="-6"/>
          <w:rtl/>
        </w:rPr>
        <w:t xml:space="preserve">، </w:t>
      </w:r>
      <w:r>
        <w:rPr>
          <w:rFonts w:hint="cs"/>
          <w:rtl/>
        </w:rPr>
        <w:t>فطولب بالعلم</w:t>
      </w:r>
      <w:r>
        <w:rPr>
          <w:rFonts w:hint="cs"/>
          <w:spacing w:val="-6"/>
          <w:rtl/>
        </w:rPr>
        <w:t>. فإذا لم يقبل مع الإمكان صار باذلاً أو مُقرًّا.</w:t>
      </w:r>
      <w:r>
        <w:rPr>
          <w:rFonts w:hint="cs"/>
          <w:spacing w:val="-6"/>
          <w:vertAlign w:val="superscript"/>
          <w:rtl/>
        </w:rPr>
        <w:t>(</w:t>
      </w:r>
      <w:r>
        <w:rPr>
          <w:rStyle w:val="a7"/>
          <w:spacing w:val="-6"/>
          <w:rtl/>
        </w:rPr>
        <w:footnoteReference w:id="1683"/>
      </w:r>
      <w:r>
        <w:rPr>
          <w:rFonts w:hint="cs"/>
          <w:spacing w:val="-6"/>
          <w:vertAlign w:val="superscript"/>
          <w:rtl/>
        </w:rPr>
        <w:t>)</w:t>
      </w:r>
    </w:p>
    <w:p w:rsidR="00C10469" w:rsidRDefault="00C10469">
      <w:pPr>
        <w:rPr>
          <w:rtl/>
        </w:rPr>
      </w:pPr>
      <w:r>
        <w:rPr>
          <w:rFonts w:hint="cs"/>
          <w:rtl/>
        </w:rPr>
        <w:t>هذا</w:t>
      </w:r>
      <w:r>
        <w:rPr>
          <w:rStyle w:val="a7"/>
          <w:rtl/>
        </w:rPr>
        <w:footnoteReference w:id="1684"/>
      </w:r>
      <w:r>
        <w:rPr>
          <w:rFonts w:hint="cs"/>
          <w:rtl/>
        </w:rPr>
        <w:t xml:space="preserve"> أصل مقرّر</w:t>
      </w:r>
      <w:r>
        <w:rPr>
          <w:rStyle w:val="a7"/>
          <w:rtl/>
        </w:rPr>
        <w:footnoteReference w:id="1685"/>
      </w:r>
      <w:r>
        <w:rPr>
          <w:rFonts w:hint="cs"/>
          <w:rtl/>
        </w:rPr>
        <w:t xml:space="preserve"> عند أئمّتنا.</w:t>
      </w:r>
    </w:p>
    <w:p w:rsidR="00C10469" w:rsidRDefault="00C10469">
      <w:pPr>
        <w:rPr>
          <w:rtl/>
        </w:rPr>
      </w:pPr>
      <w:r>
        <w:rPr>
          <w:rFonts w:hint="cs"/>
          <w:rtl/>
        </w:rPr>
        <w:t>وكان الإمام فخر الإسلام يزيد فيه حرفًا (أي وجهًا)، وهو التحليف على فعل غيره على العلم إلاّ إذا كان شيئًا يتّصل به</w:t>
      </w:r>
      <w:r>
        <w:rPr>
          <w:rStyle w:val="a7"/>
          <w:rtl/>
        </w:rPr>
        <w:footnoteReference w:id="1686"/>
      </w:r>
      <w:r>
        <w:rPr>
          <w:rFonts w:hint="cs"/>
          <w:vertAlign w:val="superscript"/>
          <w:rtl/>
        </w:rPr>
        <w:t>(</w:t>
      </w:r>
      <w:r>
        <w:rPr>
          <w:rStyle w:val="a7"/>
          <w:rtl/>
        </w:rPr>
        <w:footnoteReference w:id="1687"/>
      </w:r>
      <w:r>
        <w:rPr>
          <w:rFonts w:hint="cs"/>
          <w:vertAlign w:val="superscript"/>
          <w:rtl/>
        </w:rPr>
        <w:t>)</w:t>
      </w:r>
      <w:r>
        <w:rPr>
          <w:rFonts w:hint="cs"/>
          <w:rtl/>
        </w:rPr>
        <w:t>.</w:t>
      </w:r>
    </w:p>
    <w:p w:rsidR="00C10469" w:rsidRDefault="00C10469">
      <w:pPr>
        <w:rPr>
          <w:rtl/>
        </w:rPr>
      </w:pPr>
      <w:r>
        <w:rPr>
          <w:rFonts w:hint="cs"/>
          <w:rtl/>
        </w:rPr>
        <w:lastRenderedPageBreak/>
        <w:t>ومـن فـروع هـذا الأصـل الـذي ذكـره فـخـر الإسـلام : إذا ادعى سـرِقة العـبد أو إبـاقَهُ : يـحلَّـف عـلى البـتات، مـع أنّـها</w:t>
      </w:r>
      <w:r>
        <w:rPr>
          <w:rFonts w:hint="cs"/>
          <w:vertAlign w:val="superscript"/>
          <w:rtl/>
        </w:rPr>
        <w:t>(</w:t>
      </w:r>
      <w:r>
        <w:rPr>
          <w:rStyle w:val="a7"/>
          <w:rtl/>
        </w:rPr>
        <w:footnoteReference w:id="1688"/>
      </w:r>
      <w:r>
        <w:rPr>
          <w:rFonts w:hint="cs"/>
          <w:vertAlign w:val="superscript"/>
          <w:rtl/>
        </w:rPr>
        <w:t>)</w:t>
      </w:r>
      <w:r>
        <w:rPr>
          <w:rFonts w:hint="cs"/>
          <w:rtl/>
        </w:rPr>
        <w:t xml:space="preserve"> فعل الغير</w:t>
      </w:r>
      <w:r>
        <w:rPr>
          <w:rFonts w:hint="eastAsia"/>
          <w:rtl/>
        </w:rPr>
        <w:t>»</w:t>
      </w:r>
      <w:r>
        <w:rPr>
          <w:rFonts w:hint="cs"/>
          <w:vertAlign w:val="superscript"/>
          <w:rtl/>
        </w:rPr>
        <w:t>(</w:t>
      </w:r>
      <w:r>
        <w:rPr>
          <w:rStyle w:val="a7"/>
          <w:rtl/>
        </w:rPr>
        <w:footnoteReference w:id="1689"/>
      </w:r>
      <w:r>
        <w:rPr>
          <w:rFonts w:hint="cs"/>
          <w:vertAlign w:val="superscript"/>
          <w:rtl/>
        </w:rPr>
        <w:t>)</w:t>
      </w:r>
      <w:r>
        <w:rPr>
          <w:rFonts w:hint="cs"/>
          <w:rtl/>
        </w:rPr>
        <w:t>؛ لأنّ العبد سرق وأبق في ملك البائع فيتصل الفعل</w:t>
      </w:r>
      <w:r>
        <w:rPr>
          <w:rStyle w:val="a7"/>
          <w:rtl/>
        </w:rPr>
        <w:footnoteReference w:id="1690"/>
      </w:r>
      <w:r>
        <w:rPr>
          <w:rFonts w:hint="cs"/>
          <w:rtl/>
        </w:rPr>
        <w:t xml:space="preserve"> إليه؛ على مقتضى هذا الأصل، فبإضافة الفعل إلى نفس البائع اعتبر فعلاً له، فيحلف على البتات.</w:t>
      </w:r>
    </w:p>
    <w:p w:rsidR="00C10469" w:rsidRDefault="00C10469">
      <w:pPr>
        <w:rPr>
          <w:rtl/>
        </w:rPr>
      </w:pPr>
      <w:r>
        <w:rPr>
          <w:rFonts w:hint="cs"/>
          <w:rtl/>
        </w:rPr>
        <w:t>وذكر في (الكافي)</w:t>
      </w:r>
      <w:r>
        <w:rPr>
          <w:rFonts w:hint="cs"/>
          <w:vertAlign w:val="superscript"/>
          <w:rtl/>
        </w:rPr>
        <w:t>(</w:t>
      </w:r>
      <w:r>
        <w:rPr>
          <w:rStyle w:val="a7"/>
          <w:rtl/>
        </w:rPr>
        <w:footnoteReference w:id="1691"/>
      </w:r>
      <w:r>
        <w:rPr>
          <w:rFonts w:hint="cs"/>
          <w:vertAlign w:val="superscript"/>
          <w:rtl/>
        </w:rPr>
        <w:t>)</w:t>
      </w:r>
      <w:r>
        <w:rPr>
          <w:rFonts w:hint="cs"/>
          <w:rtl/>
        </w:rPr>
        <w:t xml:space="preserve"> : إذا ادعى شخصٌ أن ما في يد زيد ملكُه، وادعى ذو اليد أنه وديعة في يده من قبل الآخر؛ لدفع الخصومة، فأنكر مُدَّعي الملْكِ الإيداعَ، وعجز مدّعى الإيداع عن إقامة البَيِّنَة، وأراد أن يحلف المنكِر (وهو مدّعي</w:t>
      </w:r>
      <w:r>
        <w:rPr>
          <w:rStyle w:val="a7"/>
          <w:rtl/>
        </w:rPr>
        <w:footnoteReference w:id="1692"/>
      </w:r>
      <w:r>
        <w:rPr>
          <w:rFonts w:hint="cs"/>
          <w:rtl/>
        </w:rPr>
        <w:t xml:space="preserve"> الملك) </w:t>
      </w:r>
      <w:r>
        <w:rPr>
          <w:rFonts w:hint="cs"/>
          <w:rtl/>
        </w:rPr>
        <w:lastRenderedPageBreak/>
        <w:t>: حلف على البتات، بأن يقول : والله ليس هذا بوديعة عندك. مع أن الإيداع [فعل الغير؛ لأن الإيداع]</w:t>
      </w:r>
      <w:r>
        <w:rPr>
          <w:rStyle w:val="a7"/>
          <w:rtl/>
        </w:rPr>
        <w:footnoteReference w:id="1693"/>
      </w:r>
      <w:r>
        <w:rPr>
          <w:rFonts w:hint="cs"/>
          <w:rtl/>
        </w:rPr>
        <w:t xml:space="preserve"> -على زعمه- وقع في ملكه، فيضاف الفعل إليه. ومن البيِّن أنه على زعمه صادق في يميينه على البتات؛ لأن ملكه لا يكون وديعة بلا</w:t>
      </w:r>
      <w:r>
        <w:rPr>
          <w:rStyle w:val="a7"/>
          <w:rtl/>
        </w:rPr>
        <w:footnoteReference w:id="1694"/>
      </w:r>
      <w:r>
        <w:rPr>
          <w:rFonts w:hint="cs"/>
          <w:rtl/>
        </w:rPr>
        <w:t xml:space="preserve"> إيداعه.</w:t>
      </w:r>
    </w:p>
    <w:p w:rsidR="00C10469" w:rsidRDefault="00C10469">
      <w:pPr>
        <w:rPr>
          <w:rtl/>
        </w:rPr>
      </w:pPr>
      <w:r>
        <w:rPr>
          <w:rFonts w:hint="cs"/>
          <w:rtl/>
        </w:rPr>
        <w:t>و</w:t>
      </w:r>
      <w:r>
        <w:rPr>
          <w:rFonts w:hint="eastAsia"/>
          <w:rtl/>
        </w:rPr>
        <w:t>«</w:t>
      </w:r>
      <w:r>
        <w:rPr>
          <w:rFonts w:hint="cs"/>
          <w:rtl/>
        </w:rPr>
        <w:t>قال شمس الأئمة الحَلْوَاني</w:t>
      </w:r>
      <w:r>
        <w:rPr>
          <w:rStyle w:val="a7"/>
          <w:rtl/>
        </w:rPr>
        <w:footnoteReference w:id="1695"/>
      </w:r>
      <w:r>
        <w:rPr>
          <w:rFonts w:hint="cs"/>
          <w:vertAlign w:val="superscript"/>
          <w:rtl/>
        </w:rPr>
        <w:t>(</w:t>
      </w:r>
      <w:r>
        <w:rPr>
          <w:rStyle w:val="a7"/>
          <w:rtl/>
        </w:rPr>
        <w:footnoteReference w:id="1696"/>
      </w:r>
      <w:r>
        <w:rPr>
          <w:rFonts w:hint="cs"/>
          <w:vertAlign w:val="superscript"/>
          <w:rtl/>
        </w:rPr>
        <w:t>)</w:t>
      </w:r>
      <w:r>
        <w:rPr>
          <w:rFonts w:hint="cs"/>
          <w:rtl/>
        </w:rPr>
        <w:t xml:space="preserve"> : التحليف على فعل الغير يكون على العلم مطَّردًا في جميع المسائل إلا في دعوى الإباق، حيث يحلف</w:t>
      </w:r>
      <w:r>
        <w:rPr>
          <w:rStyle w:val="a7"/>
          <w:rtl/>
        </w:rPr>
        <w:footnoteReference w:id="1697"/>
      </w:r>
      <w:r>
        <w:rPr>
          <w:rFonts w:hint="cs"/>
          <w:rtl/>
        </w:rPr>
        <w:t xml:space="preserve"> على البتات؛ لأن البائع يدعي</w:t>
      </w:r>
      <w:r>
        <w:rPr>
          <w:rStyle w:val="a7"/>
          <w:rtl/>
        </w:rPr>
        <w:footnoteReference w:id="1698"/>
      </w:r>
      <w:r>
        <w:rPr>
          <w:rFonts w:hint="cs"/>
          <w:rtl/>
        </w:rPr>
        <w:t xml:space="preserve"> تسليم المبيع سالـمًا، فالاستحلاف يرجع إلى ما ضمن</w:t>
      </w:r>
      <w:r>
        <w:rPr>
          <w:rStyle w:val="a7"/>
          <w:rtl/>
        </w:rPr>
        <w:footnoteReference w:id="1699"/>
      </w:r>
      <w:r>
        <w:rPr>
          <w:rFonts w:hint="cs"/>
          <w:rtl/>
        </w:rPr>
        <w:t xml:space="preserve"> بنفسه</w:t>
      </w:r>
      <w:r>
        <w:rPr>
          <w:rFonts w:hint="eastAsia"/>
          <w:rtl/>
        </w:rPr>
        <w:t>»</w:t>
      </w:r>
      <w:r>
        <w:rPr>
          <w:rFonts w:hint="cs"/>
          <w:vertAlign w:val="superscript"/>
          <w:rtl/>
        </w:rPr>
        <w:t>(</w:t>
      </w:r>
      <w:r>
        <w:rPr>
          <w:rStyle w:val="a7"/>
          <w:rtl/>
        </w:rPr>
        <w:footnoteReference w:id="1700"/>
      </w:r>
      <w:r>
        <w:rPr>
          <w:rFonts w:hint="cs"/>
          <w:vertAlign w:val="superscript"/>
          <w:rtl/>
        </w:rPr>
        <w:t>)</w:t>
      </w:r>
      <w:r>
        <w:rPr>
          <w:rFonts w:hint="cs"/>
          <w:rtl/>
        </w:rPr>
        <w:t>.</w:t>
      </w:r>
    </w:p>
    <w:p w:rsidR="00C10469" w:rsidRDefault="00C10469">
      <w:pPr>
        <w:rPr>
          <w:rtl/>
        </w:rPr>
      </w:pPr>
      <w:r>
        <w:rPr>
          <w:rFonts w:hint="cs"/>
          <w:rtl/>
        </w:rPr>
        <w:lastRenderedPageBreak/>
        <w:t>وهذا الدليل</w:t>
      </w:r>
      <w:r>
        <w:rPr>
          <w:rFonts w:hint="cs"/>
          <w:vertAlign w:val="superscript"/>
          <w:rtl/>
        </w:rPr>
        <w:t>(</w:t>
      </w:r>
      <w:r>
        <w:rPr>
          <w:rStyle w:val="a7"/>
          <w:rtl/>
        </w:rPr>
        <w:footnoteReference w:id="1701"/>
      </w:r>
      <w:r>
        <w:rPr>
          <w:rFonts w:hint="cs"/>
          <w:vertAlign w:val="superscript"/>
          <w:rtl/>
        </w:rPr>
        <w:t>)</w:t>
      </w:r>
      <w:r>
        <w:rPr>
          <w:rFonts w:hint="cs"/>
          <w:rtl/>
        </w:rPr>
        <w:t>، لا يشتمل</w:t>
      </w:r>
      <w:r>
        <w:rPr>
          <w:rStyle w:val="a7"/>
          <w:rtl/>
        </w:rPr>
        <w:footnoteReference w:id="1702"/>
      </w:r>
      <w:r>
        <w:rPr>
          <w:rFonts w:hint="cs"/>
          <w:rtl/>
        </w:rPr>
        <w:t xml:space="preserve"> مسألة الإيداع</w:t>
      </w:r>
      <w:r>
        <w:rPr>
          <w:rFonts w:hint="cs"/>
          <w:vertAlign w:val="superscript"/>
          <w:rtl/>
        </w:rPr>
        <w:t>(</w:t>
      </w:r>
      <w:r>
        <w:rPr>
          <w:rStyle w:val="a7"/>
          <w:rtl/>
        </w:rPr>
        <w:footnoteReference w:id="1703"/>
      </w:r>
      <w:r>
        <w:rPr>
          <w:rFonts w:hint="cs"/>
          <w:vertAlign w:val="superscript"/>
          <w:rtl/>
        </w:rPr>
        <w:t>)</w:t>
      </w:r>
      <w:r>
        <w:rPr>
          <w:rFonts w:hint="cs"/>
          <w:rtl/>
        </w:rPr>
        <w:t>، وحصْرُهُ منقوض</w:t>
      </w:r>
      <w:r>
        <w:rPr>
          <w:rStyle w:val="a7"/>
          <w:rtl/>
        </w:rPr>
        <w:footnoteReference w:id="1704"/>
      </w:r>
      <w:r>
        <w:rPr>
          <w:rFonts w:hint="cs"/>
          <w:rtl/>
        </w:rPr>
        <w:t xml:space="preserve"> بهذه المسألة</w:t>
      </w:r>
      <w:r>
        <w:rPr>
          <w:rFonts w:hint="cs"/>
          <w:vertAlign w:val="superscript"/>
          <w:rtl/>
        </w:rPr>
        <w:t>(</w:t>
      </w:r>
      <w:r>
        <w:rPr>
          <w:rStyle w:val="a7"/>
          <w:rtl/>
        </w:rPr>
        <w:footnoteReference w:id="1705"/>
      </w:r>
      <w:r>
        <w:rPr>
          <w:rFonts w:hint="cs"/>
          <w:vertAlign w:val="superscript"/>
          <w:rtl/>
        </w:rPr>
        <w:t>)</w:t>
      </w:r>
      <w:r>
        <w:rPr>
          <w:rFonts w:hint="cs"/>
          <w:rtl/>
        </w:rPr>
        <w:t>، ومسألة</w:t>
      </w:r>
      <w:r>
        <w:rPr>
          <w:rStyle w:val="a7"/>
          <w:rtl/>
        </w:rPr>
        <w:footnoteReference w:id="1706"/>
      </w:r>
      <w:r>
        <w:rPr>
          <w:rFonts w:hint="cs"/>
          <w:rtl/>
        </w:rPr>
        <w:t xml:space="preserve"> السرقة</w:t>
      </w:r>
      <w:r>
        <w:rPr>
          <w:rFonts w:hint="cs"/>
          <w:vertAlign w:val="superscript"/>
          <w:rtl/>
        </w:rPr>
        <w:t>(</w:t>
      </w:r>
      <w:r>
        <w:rPr>
          <w:rStyle w:val="a7"/>
          <w:rtl/>
        </w:rPr>
        <w:footnoteReference w:id="1707"/>
      </w:r>
      <w:r>
        <w:rPr>
          <w:rFonts w:hint="cs"/>
          <w:vertAlign w:val="superscript"/>
          <w:rtl/>
        </w:rPr>
        <w:t>)</w:t>
      </w:r>
      <w:r>
        <w:rPr>
          <w:rFonts w:hint="cs"/>
          <w:rtl/>
        </w:rPr>
        <w:t>، وغيرهما.</w:t>
      </w:r>
    </w:p>
    <w:p w:rsidR="00C10469" w:rsidRDefault="00C10469" w:rsidP="00C10469">
      <w:pPr>
        <w:rPr>
          <w:rtl/>
        </w:rPr>
      </w:pPr>
      <w:r>
        <w:rPr>
          <w:rFonts w:hint="cs"/>
          <w:rtl/>
        </w:rPr>
        <w:t xml:space="preserve">وصاحب (الدرر) استدلّ في مسألة الإباق </w:t>
      </w:r>
      <w:r>
        <w:rPr>
          <w:rtl/>
        </w:rPr>
        <w:t>–</w:t>
      </w:r>
      <w:r>
        <w:rPr>
          <w:rFonts w:hint="cs"/>
          <w:rtl/>
        </w:rPr>
        <w:t>بعد ما جعله</w:t>
      </w:r>
      <w:r>
        <w:rPr>
          <w:rStyle w:val="a7"/>
          <w:rtl/>
        </w:rPr>
        <w:footnoteReference w:id="1708"/>
      </w:r>
      <w:r>
        <w:rPr>
          <w:rFonts w:hint="cs"/>
          <w:vertAlign w:val="superscript"/>
          <w:rtl/>
        </w:rPr>
        <w:t>(</w:t>
      </w:r>
      <w:r>
        <w:rPr>
          <w:rStyle w:val="a7"/>
          <w:rtl/>
        </w:rPr>
        <w:footnoteReference w:id="1709"/>
      </w:r>
      <w:r>
        <w:rPr>
          <w:rFonts w:hint="cs"/>
          <w:vertAlign w:val="superscript"/>
          <w:rtl/>
        </w:rPr>
        <w:t>)</w:t>
      </w:r>
      <w:r>
        <w:rPr>
          <w:rFonts w:hint="cs"/>
          <w:rtl/>
        </w:rPr>
        <w:t xml:space="preserve"> فرعًا من أصلِ ما ذكره [فخر]</w:t>
      </w:r>
      <w:r>
        <w:rPr>
          <w:rStyle w:val="a7"/>
          <w:rtl/>
        </w:rPr>
        <w:footnoteReference w:id="1710"/>
      </w:r>
      <w:r>
        <w:rPr>
          <w:rFonts w:hint="cs"/>
          <w:rtl/>
        </w:rPr>
        <w:t xml:space="preserve"> الإسلام - بالدليل الذي أورده شمس الأئمة.</w:t>
      </w:r>
    </w:p>
    <w:p w:rsidR="00C10469" w:rsidRDefault="00C10469" w:rsidP="00C10469">
      <w:pPr>
        <w:rPr>
          <w:rtl/>
        </w:rPr>
      </w:pPr>
      <w:r>
        <w:rPr>
          <w:rFonts w:hint="cs"/>
          <w:rtl/>
        </w:rPr>
        <w:t>وما أصاب؛ لأنه لا يكون دليله</w:t>
      </w:r>
      <w:r>
        <w:rPr>
          <w:rStyle w:val="a7"/>
          <w:rtl/>
        </w:rPr>
        <w:footnoteReference w:id="1711"/>
      </w:r>
      <w:r>
        <w:rPr>
          <w:rFonts w:hint="cs"/>
          <w:rtl/>
        </w:rPr>
        <w:t xml:space="preserve"> شاملاً لنظائره، مع أن</w:t>
      </w:r>
      <w:r>
        <w:rPr>
          <w:rStyle w:val="a7"/>
          <w:rtl/>
        </w:rPr>
        <w:footnoteReference w:id="1712"/>
      </w:r>
      <w:r>
        <w:rPr>
          <w:rFonts w:hint="cs"/>
          <w:rtl/>
        </w:rPr>
        <w:t xml:space="preserve"> الأصل الذي  ذكره </w:t>
      </w:r>
      <w:r>
        <w:rPr>
          <w:rFonts w:hint="cs"/>
          <w:rtl/>
        </w:rPr>
        <w:lastRenderedPageBreak/>
        <w:t>[فخر]</w:t>
      </w:r>
      <w:r>
        <w:rPr>
          <w:rStyle w:val="a7"/>
          <w:rtl/>
        </w:rPr>
        <w:footnoteReference w:id="1713"/>
      </w:r>
      <w:r>
        <w:rPr>
          <w:rFonts w:hint="cs"/>
          <w:rtl/>
        </w:rPr>
        <w:t xml:space="preserve"> الإسلام يكفي دليلاً شاملاً لمسألة الإباق وغيرها.</w:t>
      </w:r>
    </w:p>
    <w:p w:rsidR="00C10469" w:rsidRDefault="00C10469" w:rsidP="00C10469">
      <w:pPr>
        <w:rPr>
          <w:rtl/>
        </w:rPr>
      </w:pPr>
      <w:r>
        <w:rPr>
          <w:rFonts w:hint="cs"/>
          <w:rtl/>
        </w:rPr>
        <w:t>فبعد [تسليم هذا]</w:t>
      </w:r>
      <w:r>
        <w:rPr>
          <w:rStyle w:val="a7"/>
          <w:rtl/>
        </w:rPr>
        <w:footnoteReference w:id="1714"/>
      </w:r>
      <w:r>
        <w:rPr>
          <w:rFonts w:hint="cs"/>
          <w:rtl/>
        </w:rPr>
        <w:t xml:space="preserve"> الأصل : طلبُ الدليل مـنه عجـيب</w:t>
      </w:r>
      <w:r>
        <w:rPr>
          <w:rFonts w:hint="cs"/>
          <w:vertAlign w:val="superscript"/>
          <w:rtl/>
        </w:rPr>
        <w:t>(</w:t>
      </w:r>
      <w:r>
        <w:rPr>
          <w:rStyle w:val="a7"/>
          <w:rtl/>
        </w:rPr>
        <w:footnoteReference w:id="1715"/>
      </w:r>
      <w:r>
        <w:rPr>
          <w:rFonts w:hint="cs"/>
          <w:vertAlign w:val="superscript"/>
          <w:rtl/>
        </w:rPr>
        <w:t>)</w:t>
      </w:r>
      <w:r>
        <w:rPr>
          <w:rFonts w:hint="cs"/>
          <w:rtl/>
        </w:rPr>
        <w:t>. والأعـجب منه أن</w:t>
      </w:r>
    </w:p>
    <w:p w:rsidR="00C10469" w:rsidRDefault="00C10469">
      <w:pPr>
        <w:ind w:firstLine="0"/>
        <w:rPr>
          <w:rtl/>
        </w:rPr>
      </w:pPr>
      <w:r>
        <w:rPr>
          <w:rFonts w:hint="cs"/>
          <w:rtl/>
        </w:rPr>
        <w:t>صاحب (الدّرر)</w:t>
      </w:r>
      <w:r>
        <w:rPr>
          <w:rStyle w:val="a7"/>
          <w:rtl/>
        </w:rPr>
        <w:footnoteReference w:id="1716"/>
      </w:r>
      <w:r>
        <w:rPr>
          <w:rFonts w:hint="cs"/>
          <w:rtl/>
        </w:rPr>
        <w:t xml:space="preserve"> في آخر فصل المسائل المخمسة</w:t>
      </w:r>
      <w:r>
        <w:rPr>
          <w:rStyle w:val="a7"/>
          <w:rtl/>
        </w:rPr>
        <w:footnoteReference w:id="1717"/>
      </w:r>
      <w:r>
        <w:rPr>
          <w:rFonts w:hint="cs"/>
          <w:vertAlign w:val="superscript"/>
          <w:rtl/>
        </w:rPr>
        <w:t>(</w:t>
      </w:r>
      <w:r>
        <w:rPr>
          <w:rStyle w:val="a7"/>
          <w:rtl/>
        </w:rPr>
        <w:footnoteReference w:id="1718"/>
      </w:r>
      <w:r>
        <w:rPr>
          <w:rFonts w:hint="cs"/>
          <w:vertAlign w:val="superscript"/>
          <w:rtl/>
        </w:rPr>
        <w:t>)</w:t>
      </w:r>
      <w:r>
        <w:rPr>
          <w:rFonts w:hint="cs"/>
          <w:rtl/>
        </w:rPr>
        <w:t xml:space="preserve"> توهّم في تعلّق</w:t>
      </w:r>
      <w:r>
        <w:rPr>
          <w:rStyle w:val="a7"/>
          <w:rtl/>
        </w:rPr>
        <w:footnoteReference w:id="1719"/>
      </w:r>
      <w:r>
        <w:rPr>
          <w:rFonts w:hint="cs"/>
          <w:rtl/>
        </w:rPr>
        <w:t xml:space="preserve"> مسألة اليمين </w:t>
      </w:r>
      <w:r>
        <w:rPr>
          <w:rFonts w:hint="cs"/>
          <w:rtl/>
        </w:rPr>
        <w:lastRenderedPageBreak/>
        <w:t>على البتات، ناقلاً عن (الكافي)، وقال ما قال.</w:t>
      </w:r>
    </w:p>
    <w:p w:rsidR="00C10469" w:rsidRDefault="00C10469">
      <w:pPr>
        <w:rPr>
          <w:rtl/>
        </w:rPr>
      </w:pPr>
      <w:r>
        <w:rPr>
          <w:rFonts w:hint="cs"/>
          <w:rtl/>
        </w:rPr>
        <w:t>وَحَرّرْتُ رسالةً</w:t>
      </w:r>
      <w:r>
        <w:rPr>
          <w:rFonts w:hint="cs"/>
          <w:vertAlign w:val="superscript"/>
          <w:rtl/>
        </w:rPr>
        <w:t>(</w:t>
      </w:r>
      <w:r>
        <w:rPr>
          <w:rStyle w:val="a7"/>
          <w:rtl/>
        </w:rPr>
        <w:footnoteReference w:id="1720"/>
      </w:r>
      <w:r>
        <w:rPr>
          <w:rFonts w:hint="cs"/>
          <w:vertAlign w:val="superscript"/>
          <w:rtl/>
        </w:rPr>
        <w:t>)</w:t>
      </w:r>
      <w:r>
        <w:rPr>
          <w:rFonts w:hint="cs"/>
          <w:rtl/>
        </w:rPr>
        <w:t xml:space="preserve"> مُبيِّنة</w:t>
      </w:r>
      <w:r>
        <w:rPr>
          <w:rStyle w:val="a7"/>
          <w:rtl/>
        </w:rPr>
        <w:footnoteReference w:id="1721"/>
      </w:r>
      <w:r>
        <w:rPr>
          <w:rFonts w:hint="cs"/>
          <w:rtl/>
        </w:rPr>
        <w:t xml:space="preserve"> ما وَرَدَ على ما أوردَه في كتابه وحاشيته</w:t>
      </w:r>
      <w:r>
        <w:rPr>
          <w:rFonts w:hint="cs"/>
          <w:vertAlign w:val="superscript"/>
          <w:rtl/>
        </w:rPr>
        <w:t>(</w:t>
      </w:r>
      <w:r>
        <w:rPr>
          <w:rStyle w:val="a7"/>
          <w:rtl/>
        </w:rPr>
        <w:footnoteReference w:id="1722"/>
      </w:r>
      <w:r>
        <w:rPr>
          <w:rFonts w:hint="cs"/>
          <w:vertAlign w:val="superscript"/>
          <w:rtl/>
        </w:rPr>
        <w:t>)</w:t>
      </w:r>
      <w:r>
        <w:rPr>
          <w:rFonts w:hint="cs"/>
          <w:rtl/>
        </w:rPr>
        <w:t>، ولا</w:t>
      </w:r>
      <w:r>
        <w:rPr>
          <w:rStyle w:val="a7"/>
          <w:rtl/>
        </w:rPr>
        <w:footnoteReference w:id="1723"/>
      </w:r>
      <w:r>
        <w:rPr>
          <w:rFonts w:hint="cs"/>
          <w:rtl/>
        </w:rPr>
        <w:t xml:space="preserve"> يليق تحريرها في هذا المختصر.</w:t>
      </w:r>
    </w:p>
    <w:p w:rsidR="00C10469" w:rsidRDefault="00C10469">
      <w:pPr>
        <w:ind w:firstLine="0"/>
        <w:jc w:val="center"/>
        <w:rPr>
          <w:rFonts w:ascii="AGA Arabesque" w:hAnsi="AGA Arabesque"/>
          <w:sz w:val="50"/>
          <w:szCs w:val="50"/>
        </w:rPr>
        <w:sectPr w:rsidR="00C10469" w:rsidSect="00C10469">
          <w:headerReference w:type="default" r:id="rId12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B326A6" w:rsidRDefault="00C10469">
      <w:pPr>
        <w:pStyle w:val="a9"/>
        <w:rPr>
          <w:rFonts w:cs="AL-Mateen"/>
          <w:rtl/>
        </w:rPr>
      </w:pPr>
      <w:r w:rsidRPr="00B326A6">
        <w:rPr>
          <w:rFonts w:cs="AL-Mateen" w:hint="cs"/>
          <w:rtl/>
        </w:rPr>
        <w:lastRenderedPageBreak/>
        <w:t>[ الـقـاعـدة الحـاديـة والسـبـعـون ]</w:t>
      </w:r>
    </w:p>
    <w:p w:rsidR="00C10469" w:rsidRDefault="00C10469">
      <w:pPr>
        <w:rPr>
          <w:rtl/>
        </w:rPr>
      </w:pPr>
      <w:r>
        <w:rPr>
          <w:rFonts w:cs="Monotype Koufi" w:hint="cs"/>
          <w:color w:val="000000"/>
          <w:rtl/>
        </w:rPr>
        <w:t>التَّخصيصُ بالذِّكْرِ لا يدلُّ علَى الحَصْرِ</w:t>
      </w:r>
      <w:r>
        <w:rPr>
          <w:rFonts w:hint="cs"/>
          <w:vertAlign w:val="superscript"/>
          <w:rtl/>
        </w:rPr>
        <w:t>(</w:t>
      </w:r>
      <w:r>
        <w:rPr>
          <w:rStyle w:val="a7"/>
          <w:rtl/>
        </w:rPr>
        <w:footnoteReference w:id="1724"/>
      </w:r>
      <w:r>
        <w:rPr>
          <w:rFonts w:hint="cs"/>
          <w:vertAlign w:val="superscript"/>
          <w:rtl/>
        </w:rPr>
        <w:t>)</w:t>
      </w:r>
      <w:r>
        <w:rPr>
          <w:rFonts w:hint="cs"/>
          <w:rtl/>
        </w:rPr>
        <w:t xml:space="preserve"> :</w:t>
      </w:r>
    </w:p>
    <w:p w:rsidR="00C10469" w:rsidRDefault="00C10469">
      <w:pPr>
        <w:rPr>
          <w:spacing w:val="-6"/>
          <w:rtl/>
        </w:rPr>
      </w:pPr>
      <w:r>
        <w:rPr>
          <w:rFonts w:hint="cs"/>
          <w:spacing w:val="-6"/>
          <w:rtl/>
        </w:rPr>
        <w:lastRenderedPageBreak/>
        <w:t>هذا الأصل من قبيل مفهوم المخالفة، ويسّمونه أصحاب</w:t>
      </w:r>
      <w:r>
        <w:rPr>
          <w:rFonts w:hint="cs"/>
          <w:spacing w:val="-6"/>
          <w:vertAlign w:val="superscript"/>
          <w:rtl/>
        </w:rPr>
        <w:t>(</w:t>
      </w:r>
      <w:r>
        <w:rPr>
          <w:rStyle w:val="a7"/>
          <w:spacing w:val="-6"/>
          <w:rtl/>
        </w:rPr>
        <w:footnoteReference w:id="1725"/>
      </w:r>
      <w:r>
        <w:rPr>
          <w:rFonts w:hint="cs"/>
          <w:spacing w:val="-6"/>
          <w:vertAlign w:val="superscript"/>
          <w:rtl/>
        </w:rPr>
        <w:t>)</w:t>
      </w:r>
      <w:r>
        <w:rPr>
          <w:rFonts w:hint="cs"/>
          <w:spacing w:val="-6"/>
          <w:rtl/>
        </w:rPr>
        <w:t xml:space="preserve"> الشافعي : دليل الخطاب</w:t>
      </w:r>
      <w:r>
        <w:rPr>
          <w:rFonts w:hint="cs"/>
          <w:spacing w:val="-6"/>
          <w:vertAlign w:val="superscript"/>
          <w:rtl/>
        </w:rPr>
        <w:t>(</w:t>
      </w:r>
      <w:r>
        <w:rPr>
          <w:rStyle w:val="a7"/>
          <w:spacing w:val="-6"/>
          <w:rtl/>
        </w:rPr>
        <w:footnoteReference w:id="1726"/>
      </w:r>
      <w:r>
        <w:rPr>
          <w:rFonts w:hint="cs"/>
          <w:spacing w:val="-6"/>
          <w:vertAlign w:val="superscript"/>
          <w:rtl/>
        </w:rPr>
        <w:t>)</w:t>
      </w:r>
      <w:r>
        <w:rPr>
          <w:rFonts w:hint="cs"/>
          <w:spacing w:val="-6"/>
          <w:rtl/>
        </w:rPr>
        <w:t>.</w:t>
      </w:r>
    </w:p>
    <w:p w:rsidR="00C10469" w:rsidRDefault="00C10469" w:rsidP="00154F65">
      <w:pPr>
        <w:rPr>
          <w:rtl/>
        </w:rPr>
      </w:pPr>
      <w:r>
        <w:rPr>
          <w:rFonts w:hint="cs"/>
          <w:rtl/>
        </w:rPr>
        <w:lastRenderedPageBreak/>
        <w:t>وهـو غـيـر معتـبـر عـنـدنا</w:t>
      </w:r>
      <w:r>
        <w:rPr>
          <w:rFonts w:hint="cs"/>
          <w:vertAlign w:val="superscript"/>
          <w:rtl/>
        </w:rPr>
        <w:t>(</w:t>
      </w:r>
      <w:r>
        <w:rPr>
          <w:rStyle w:val="a7"/>
          <w:rtl/>
        </w:rPr>
        <w:footnoteReference w:id="1727"/>
      </w:r>
      <w:r>
        <w:rPr>
          <w:rFonts w:hint="cs"/>
          <w:vertAlign w:val="superscript"/>
          <w:rtl/>
        </w:rPr>
        <w:t>)</w:t>
      </w:r>
      <w:r>
        <w:rPr>
          <w:rFonts w:hint="cs"/>
          <w:rtl/>
        </w:rPr>
        <w:t>؛ وإلاّ يـلـزم الكـفـر فـي قـول [أهل]</w:t>
      </w:r>
      <w:r>
        <w:rPr>
          <w:rStyle w:val="a7"/>
          <w:rtl/>
        </w:rPr>
        <w:footnoteReference w:id="1728"/>
      </w:r>
      <w:r>
        <w:rPr>
          <w:rFonts w:hint="cs"/>
          <w:rtl/>
        </w:rPr>
        <w:t xml:space="preserve"> الإسلام</w:t>
      </w:r>
      <w:r>
        <w:rPr>
          <w:rStyle w:val="a7"/>
          <w:rtl/>
        </w:rPr>
        <w:footnoteReference w:id="1729"/>
      </w:r>
      <w:r>
        <w:rPr>
          <w:rFonts w:hint="cs"/>
          <w:rtl/>
        </w:rPr>
        <w:t xml:space="preserve"> : </w:t>
      </w:r>
      <w:r>
        <w:rPr>
          <w:rFonts w:hint="eastAsia"/>
          <w:rtl/>
        </w:rPr>
        <w:t>«</w:t>
      </w:r>
      <w:r>
        <w:rPr>
          <w:rFonts w:hint="cs"/>
          <w:rtl/>
        </w:rPr>
        <w:t>محمد رسول الله</w:t>
      </w:r>
      <w:r>
        <w:rPr>
          <w:rFonts w:hint="eastAsia"/>
          <w:rtl/>
        </w:rPr>
        <w:t>»</w:t>
      </w:r>
      <w:r>
        <w:rPr>
          <w:rFonts w:hint="cs"/>
          <w:rtl/>
        </w:rPr>
        <w:t>!؛ [إذْ]</w:t>
      </w:r>
      <w:r>
        <w:rPr>
          <w:rStyle w:val="a7"/>
          <w:rtl/>
        </w:rPr>
        <w:footnoteReference w:id="1730"/>
      </w:r>
      <w:r>
        <w:rPr>
          <w:rFonts w:hint="cs"/>
          <w:rtl/>
        </w:rPr>
        <w:t xml:space="preserve"> يلزم أن لا يـكون غير محمد </w:t>
      </w:r>
      <w:r>
        <w:rPr>
          <w:rFonts w:ascii="AGA Arabesque" w:hAnsi="AGA Arabesque"/>
          <w:sz w:val="36"/>
        </w:rPr>
        <w:t></w:t>
      </w:r>
      <w:r>
        <w:rPr>
          <w:rFonts w:hint="cs"/>
          <w:rtl/>
        </w:rPr>
        <w:t xml:space="preserve"> رسـول الله، وإنـكارُ الرّسل -عليهم السلام- كفرٌ.</w:t>
      </w:r>
      <w:r>
        <w:rPr>
          <w:rFonts w:hint="cs"/>
          <w:vertAlign w:val="superscript"/>
          <w:rtl/>
        </w:rPr>
        <w:t>(</w:t>
      </w:r>
      <w:r>
        <w:rPr>
          <w:rStyle w:val="a7"/>
          <w:rtl/>
        </w:rPr>
        <w:footnoteReference w:id="1731"/>
      </w:r>
      <w:r>
        <w:rPr>
          <w:rFonts w:hint="cs"/>
          <w:vertAlign w:val="superscript"/>
          <w:rtl/>
        </w:rPr>
        <w:t>) (</w:t>
      </w:r>
      <w:r>
        <w:rPr>
          <w:rStyle w:val="a7"/>
          <w:rtl/>
        </w:rPr>
        <w:footnoteReference w:id="1732"/>
      </w:r>
      <w:r>
        <w:rPr>
          <w:rFonts w:hint="cs"/>
          <w:vertAlign w:val="superscript"/>
          <w:rtl/>
        </w:rPr>
        <w:t>)</w:t>
      </w:r>
    </w:p>
    <w:p w:rsidR="00C10469" w:rsidRDefault="00C10469">
      <w:pPr>
        <w:rPr>
          <w:rtl/>
        </w:rPr>
      </w:pPr>
      <w:r>
        <w:rPr>
          <w:rFonts w:hint="cs"/>
          <w:rtl/>
        </w:rPr>
        <w:lastRenderedPageBreak/>
        <w:t xml:space="preserve">وسيجيء التفصيل في أواخر هذا الباب -إن شاء الله تعالى- في قولهم </w:t>
      </w:r>
      <w:r>
        <w:rPr>
          <w:rFonts w:hint="eastAsia"/>
          <w:rtl/>
        </w:rPr>
        <w:t>«</w:t>
      </w:r>
      <w:r>
        <w:rPr>
          <w:rFonts w:hint="cs"/>
          <w:rtl/>
        </w:rPr>
        <w:t>التنصيص يوجب التخصيص</w:t>
      </w:r>
      <w:r>
        <w:rPr>
          <w:rFonts w:hint="eastAsia"/>
          <w:rtl/>
        </w:rPr>
        <w:t>»</w:t>
      </w:r>
      <w:r>
        <w:rPr>
          <w:rFonts w:hint="cs"/>
          <w:vertAlign w:val="superscript"/>
          <w:rtl/>
        </w:rPr>
        <w:t>(</w:t>
      </w:r>
      <w:r>
        <w:rPr>
          <w:rStyle w:val="a7"/>
          <w:rtl/>
        </w:rPr>
        <w:footnoteReference w:id="1733"/>
      </w:r>
      <w:r>
        <w:rPr>
          <w:rFonts w:hint="cs"/>
          <w:vertAlign w:val="superscript"/>
          <w:rtl/>
        </w:rPr>
        <w:t>)</w:t>
      </w:r>
      <w:r>
        <w:rPr>
          <w:rFonts w:hint="cs"/>
          <w:rtl/>
        </w:rPr>
        <w:t>.</w:t>
      </w:r>
    </w:p>
    <w:p w:rsidR="00C10469" w:rsidRDefault="00C10469">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sz w:val="24"/>
          <w:szCs w:val="24"/>
          <w:rtl/>
        </w:rPr>
        <w:sectPr w:rsidR="00C10469" w:rsidSect="00C10469">
          <w:headerReference w:type="default" r:id="rId12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75728" w:rsidRDefault="00C10469">
      <w:pPr>
        <w:pStyle w:val="a9"/>
        <w:rPr>
          <w:rFonts w:cs="AL-Mateen"/>
          <w:rtl/>
          <w:lang w:val="en-US"/>
        </w:rPr>
      </w:pPr>
      <w:r w:rsidRPr="00975728">
        <w:rPr>
          <w:rFonts w:cs="AL-Mateen" w:hint="cs"/>
          <w:rtl/>
          <w:lang w:val="en-US"/>
        </w:rPr>
        <w:lastRenderedPageBreak/>
        <w:t>[الـقـاعـدة الـثـانـيـة والـسـبـعـون ]</w:t>
      </w:r>
    </w:p>
    <w:p w:rsidR="00C10469" w:rsidRDefault="00C10469">
      <w:pPr>
        <w:rPr>
          <w:spacing w:val="-2"/>
          <w:rtl/>
        </w:rPr>
      </w:pPr>
      <w:r>
        <w:rPr>
          <w:rFonts w:cs="Monotype Koufi" w:hint="cs"/>
          <w:spacing w:val="-2"/>
          <w:rtl/>
        </w:rPr>
        <w:t>التَّخصِيصُ فِي الرِّوايَاتِ</w:t>
      </w:r>
      <w:r>
        <w:rPr>
          <w:rFonts w:hint="cs"/>
          <w:spacing w:val="-2"/>
          <w:vertAlign w:val="superscript"/>
          <w:rtl/>
        </w:rPr>
        <w:t>(</w:t>
      </w:r>
      <w:r>
        <w:rPr>
          <w:rStyle w:val="a7"/>
          <w:spacing w:val="-2"/>
          <w:rtl/>
        </w:rPr>
        <w:footnoteReference w:id="1734"/>
      </w:r>
      <w:r>
        <w:rPr>
          <w:rFonts w:hint="cs"/>
          <w:spacing w:val="-2"/>
          <w:vertAlign w:val="superscript"/>
          <w:rtl/>
        </w:rPr>
        <w:t>)</w:t>
      </w:r>
      <w:r>
        <w:rPr>
          <w:rFonts w:hint="cs"/>
          <w:spacing w:val="-2"/>
          <w:rtl/>
        </w:rPr>
        <w:t xml:space="preserve"> </w:t>
      </w:r>
      <w:r>
        <w:rPr>
          <w:rFonts w:cs="Monotype Koufi" w:hint="cs"/>
          <w:spacing w:val="-2"/>
          <w:rtl/>
        </w:rPr>
        <w:t>يُوجِبُ نَفْيَ الحكمِ عمَّا عدا المَذْكُورِ</w:t>
      </w:r>
      <w:r>
        <w:rPr>
          <w:rFonts w:hint="cs"/>
          <w:spacing w:val="-2"/>
          <w:vertAlign w:val="superscript"/>
          <w:rtl/>
        </w:rPr>
        <w:t>(</w:t>
      </w:r>
      <w:r>
        <w:rPr>
          <w:rStyle w:val="a7"/>
          <w:spacing w:val="-2"/>
          <w:rtl/>
        </w:rPr>
        <w:footnoteReference w:id="1735"/>
      </w:r>
      <w:r>
        <w:rPr>
          <w:rFonts w:hint="cs"/>
          <w:spacing w:val="-2"/>
          <w:vertAlign w:val="superscript"/>
          <w:rtl/>
        </w:rPr>
        <w:t>)</w:t>
      </w:r>
      <w:r>
        <w:rPr>
          <w:rFonts w:hint="cs"/>
          <w:spacing w:val="-2"/>
          <w:rtl/>
        </w:rPr>
        <w:t xml:space="preserve"> :</w:t>
      </w:r>
    </w:p>
    <w:p w:rsidR="00C10469" w:rsidRDefault="00C10469">
      <w:pPr>
        <w:rPr>
          <w:rtl/>
        </w:rPr>
      </w:pPr>
      <w:r>
        <w:rPr>
          <w:rFonts w:hint="cs"/>
          <w:b/>
          <w:bCs/>
          <w:rtl/>
        </w:rPr>
        <w:lastRenderedPageBreak/>
        <w:t>ولـهذا</w:t>
      </w:r>
      <w:r>
        <w:rPr>
          <w:rFonts w:hint="cs"/>
          <w:rtl/>
        </w:rPr>
        <w:t xml:space="preserve"> : قـال صـاحـب (الـهـدايـة) فـيـما ذكـر في (الكتاب)</w:t>
      </w:r>
      <w:r>
        <w:rPr>
          <w:rFonts w:hint="cs"/>
          <w:vertAlign w:val="superscript"/>
          <w:rtl/>
        </w:rPr>
        <w:t>(</w:t>
      </w:r>
      <w:r>
        <w:rPr>
          <w:rStyle w:val="a7"/>
          <w:rtl/>
        </w:rPr>
        <w:footnoteReference w:id="1736"/>
      </w:r>
      <w:r>
        <w:rPr>
          <w:rFonts w:hint="cs"/>
          <w:vertAlign w:val="superscript"/>
          <w:rtl/>
        </w:rPr>
        <w:t>)</w:t>
      </w:r>
      <w:r>
        <w:rPr>
          <w:rFonts w:hint="cs"/>
          <w:rtl/>
        </w:rPr>
        <w:t xml:space="preserve"> </w:t>
      </w:r>
    </w:p>
    <w:p w:rsidR="00C10469" w:rsidRDefault="00C10469">
      <w:pPr>
        <w:ind w:firstLine="0"/>
        <w:rPr>
          <w:rtl/>
        </w:rPr>
      </w:pPr>
      <w:r>
        <w:rPr>
          <w:rFonts w:hint="cs"/>
          <w:rtl/>
        </w:rPr>
        <w:lastRenderedPageBreak/>
        <w:t>في مسألة الغدير</w:t>
      </w:r>
      <w:r>
        <w:rPr>
          <w:rFonts w:hint="cs"/>
          <w:vertAlign w:val="superscript"/>
          <w:rtl/>
        </w:rPr>
        <w:t>(</w:t>
      </w:r>
      <w:r>
        <w:rPr>
          <w:rStyle w:val="a7"/>
          <w:rtl/>
        </w:rPr>
        <w:footnoteReference w:id="1737"/>
      </w:r>
      <w:r>
        <w:rPr>
          <w:rFonts w:hint="cs"/>
          <w:vertAlign w:val="superscript"/>
          <w:rtl/>
        </w:rPr>
        <w:t>)</w:t>
      </w:r>
      <w:r>
        <w:rPr>
          <w:rFonts w:hint="cs"/>
          <w:rtl/>
        </w:rPr>
        <w:t xml:space="preserve"> : </w:t>
      </w:r>
      <w:r>
        <w:rPr>
          <w:rFonts w:hint="eastAsia"/>
          <w:rtl/>
        </w:rPr>
        <w:t>«</w:t>
      </w:r>
      <w:r>
        <w:rPr>
          <w:rFonts w:hint="cs"/>
          <w:rtl/>
        </w:rPr>
        <w:t>إذا وقعت نجاسة في أحد جانبيه</w:t>
      </w:r>
      <w:r>
        <w:rPr>
          <w:rStyle w:val="a7"/>
          <w:rtl/>
        </w:rPr>
        <w:footnoteReference w:id="1738"/>
      </w:r>
      <w:r>
        <w:rPr>
          <w:rFonts w:hint="cs"/>
          <w:rtl/>
        </w:rPr>
        <w:t xml:space="preserve"> جاز الوضوء من الجانب الآخر</w:t>
      </w:r>
      <w:r>
        <w:rPr>
          <w:rFonts w:hint="eastAsia"/>
          <w:rtl/>
        </w:rPr>
        <w:t>»</w:t>
      </w:r>
      <w:r>
        <w:rPr>
          <w:rFonts w:hint="cs"/>
          <w:vertAlign w:val="superscript"/>
          <w:rtl/>
        </w:rPr>
        <w:t>(</w:t>
      </w:r>
      <w:r>
        <w:rPr>
          <w:rStyle w:val="a7"/>
          <w:rtl/>
        </w:rPr>
        <w:footnoteReference w:id="1739"/>
      </w:r>
      <w:r>
        <w:rPr>
          <w:rFonts w:hint="cs"/>
          <w:vertAlign w:val="superscript"/>
          <w:rtl/>
        </w:rPr>
        <w:t>)</w:t>
      </w:r>
      <w:r>
        <w:rPr>
          <w:rFonts w:hint="cs"/>
          <w:rtl/>
        </w:rPr>
        <w:t xml:space="preserve"> يوجب</w:t>
      </w:r>
      <w:r>
        <w:rPr>
          <w:rFonts w:hint="cs"/>
          <w:vertAlign w:val="superscript"/>
          <w:rtl/>
        </w:rPr>
        <w:t>(</w:t>
      </w:r>
      <w:r>
        <w:rPr>
          <w:rStyle w:val="a7"/>
          <w:rtl/>
        </w:rPr>
        <w:footnoteReference w:id="1740"/>
      </w:r>
      <w:r>
        <w:rPr>
          <w:rFonts w:hint="cs"/>
          <w:vertAlign w:val="superscript"/>
          <w:rtl/>
        </w:rPr>
        <w:t>)</w:t>
      </w:r>
      <w:r>
        <w:rPr>
          <w:rFonts w:hint="cs"/>
          <w:rtl/>
        </w:rPr>
        <w:t xml:space="preserve"> عدم جواز الوضوء من موضع الوقوع للنجاسة</w:t>
      </w:r>
      <w:r>
        <w:rPr>
          <w:rFonts w:hint="cs"/>
          <w:vertAlign w:val="superscript"/>
          <w:rtl/>
        </w:rPr>
        <w:t>(</w:t>
      </w:r>
      <w:r>
        <w:rPr>
          <w:rStyle w:val="a7"/>
          <w:rtl/>
        </w:rPr>
        <w:footnoteReference w:id="1741"/>
      </w:r>
      <w:r>
        <w:rPr>
          <w:rFonts w:hint="cs"/>
          <w:vertAlign w:val="superscript"/>
          <w:rtl/>
        </w:rPr>
        <w:t>)</w:t>
      </w:r>
      <w:r>
        <w:rPr>
          <w:rFonts w:hint="cs"/>
          <w:rtl/>
        </w:rPr>
        <w:t>، فأوجب التخصيصُ نفيَ الحكم عمّا عداه.</w:t>
      </w:r>
    </w:p>
    <w:p w:rsidR="00C10469" w:rsidRDefault="00C10469">
      <w:pPr>
        <w:rPr>
          <w:rtl/>
        </w:rPr>
      </w:pPr>
      <w:r>
        <w:rPr>
          <w:rFonts w:hint="cs"/>
          <w:b/>
          <w:bCs/>
          <w:rtl/>
        </w:rPr>
        <w:t>أقول</w:t>
      </w:r>
      <w:r>
        <w:rPr>
          <w:rStyle w:val="a7"/>
          <w:rtl/>
        </w:rPr>
        <w:footnoteReference w:id="1742"/>
      </w:r>
      <w:r>
        <w:rPr>
          <w:rFonts w:hint="cs"/>
          <w:rtl/>
        </w:rPr>
        <w:t xml:space="preserve"> : هذا إذا لم يُدرَك في التخصيص فائدة سوى نفي الحكم عمّا عداه</w:t>
      </w:r>
      <w:r>
        <w:rPr>
          <w:rStyle w:val="a7"/>
          <w:rtl/>
        </w:rPr>
        <w:footnoteReference w:id="1743"/>
      </w:r>
      <w:r>
        <w:rPr>
          <w:rFonts w:hint="cs"/>
          <w:rtl/>
        </w:rPr>
        <w:t>، فأما إذا وجد فيه فائدة غير نفي الحكم عمّا عداه : يُكْتفى بهذه الفائدة، ولا يحكم</w:t>
      </w:r>
      <w:r>
        <w:rPr>
          <w:rStyle w:val="a7"/>
          <w:rtl/>
        </w:rPr>
        <w:footnoteReference w:id="1744"/>
      </w:r>
      <w:r>
        <w:rPr>
          <w:rFonts w:hint="cs"/>
          <w:rtl/>
        </w:rPr>
        <w:t xml:space="preserve"> بنفي الحكم عمّا عداه؛ بسبب التخصيص</w:t>
      </w:r>
      <w:r>
        <w:rPr>
          <w:rStyle w:val="a7"/>
          <w:rtl/>
        </w:rPr>
        <w:footnoteReference w:id="1745"/>
      </w:r>
      <w:r>
        <w:rPr>
          <w:rFonts w:hint="cs"/>
          <w:rtl/>
        </w:rPr>
        <w:t xml:space="preserve"> ولو في الروايات. وهذا القيد مستفاد من عبارة [العلامة]</w:t>
      </w:r>
      <w:r>
        <w:rPr>
          <w:rStyle w:val="a7"/>
          <w:rtl/>
        </w:rPr>
        <w:footnoteReference w:id="1746"/>
      </w:r>
      <w:r>
        <w:rPr>
          <w:rFonts w:hint="cs"/>
          <w:rtl/>
        </w:rPr>
        <w:t xml:space="preserve"> النَّسفيِّ، وسنذكره</w:t>
      </w:r>
      <w:r>
        <w:rPr>
          <w:rFonts w:hint="cs"/>
          <w:vertAlign w:val="superscript"/>
          <w:rtl/>
        </w:rPr>
        <w:t>(</w:t>
      </w:r>
      <w:r>
        <w:rPr>
          <w:rStyle w:val="a7"/>
          <w:rtl/>
        </w:rPr>
        <w:footnoteReference w:id="1747"/>
      </w:r>
      <w:r>
        <w:rPr>
          <w:rFonts w:hint="cs"/>
          <w:vertAlign w:val="superscript"/>
          <w:rtl/>
        </w:rPr>
        <w:t>)</w:t>
      </w:r>
      <w:r>
        <w:rPr>
          <w:rFonts w:hint="cs"/>
          <w:rtl/>
        </w:rPr>
        <w:t xml:space="preserve"> في أواخر هذا الباب</w:t>
      </w:r>
      <w:r>
        <w:rPr>
          <w:rFonts w:hint="cs"/>
          <w:vertAlign w:val="superscript"/>
          <w:rtl/>
        </w:rPr>
        <w:t>(</w:t>
      </w:r>
      <w:r>
        <w:rPr>
          <w:rStyle w:val="a7"/>
          <w:rtl/>
        </w:rPr>
        <w:footnoteReference w:id="1748"/>
      </w:r>
      <w:r>
        <w:rPr>
          <w:rFonts w:hint="cs"/>
          <w:vertAlign w:val="superscript"/>
          <w:rtl/>
        </w:rPr>
        <w:t>)</w:t>
      </w:r>
      <w:r>
        <w:rPr>
          <w:rFonts w:hint="cs"/>
          <w:rtl/>
        </w:rPr>
        <w:t>.</w:t>
      </w:r>
    </w:p>
    <w:p w:rsidR="00C10469" w:rsidRDefault="00C10469" w:rsidP="00C10469">
      <w:pPr>
        <w:spacing w:line="264" w:lineRule="auto"/>
        <w:rPr>
          <w:rtl/>
        </w:rPr>
      </w:pPr>
      <w:r>
        <w:rPr>
          <w:rFonts w:hint="cs"/>
          <w:rtl/>
        </w:rPr>
        <w:lastRenderedPageBreak/>
        <w:t xml:space="preserve">وبـهذا ظـهـر الـجواب فيما اعترض الشرَّاح فيما قال صاحب (الهداية) : </w:t>
      </w:r>
      <w:r>
        <w:rPr>
          <w:rFonts w:hint="eastAsia"/>
          <w:rtl/>
        </w:rPr>
        <w:t>«</w:t>
      </w:r>
      <w:r>
        <w:rPr>
          <w:rFonts w:hint="cs"/>
          <w:rtl/>
        </w:rPr>
        <w:t>ولو باعه مُعْلِمًا دينَهُ : فللـغريـم [ حـقُّ الـرّد]</w:t>
      </w:r>
      <w:r>
        <w:rPr>
          <w:rStyle w:val="a7"/>
          <w:rtl/>
        </w:rPr>
        <w:footnoteReference w:id="1749"/>
      </w:r>
      <w:r>
        <w:rPr>
          <w:rFonts w:hint="cs"/>
          <w:rtl/>
        </w:rPr>
        <w:t>. إن لـم [ يفِِ ]</w:t>
      </w:r>
      <w:r>
        <w:rPr>
          <w:rStyle w:val="a7"/>
          <w:rtl/>
        </w:rPr>
        <w:footnoteReference w:id="1750"/>
      </w:r>
      <w:r>
        <w:rPr>
          <w:rFonts w:hint="cs"/>
          <w:rtl/>
        </w:rPr>
        <w:t xml:space="preserve"> ثمنه بدينه</w:t>
      </w:r>
      <w:r>
        <w:rPr>
          <w:rFonts w:hint="eastAsia"/>
          <w:rtl/>
        </w:rPr>
        <w:t>»</w:t>
      </w:r>
      <w:r>
        <w:rPr>
          <w:rFonts w:hint="cs"/>
          <w:vertAlign w:val="superscript"/>
          <w:rtl/>
        </w:rPr>
        <w:t>(</w:t>
      </w:r>
      <w:r>
        <w:rPr>
          <w:rStyle w:val="a7"/>
          <w:rtl/>
        </w:rPr>
        <w:footnoteReference w:id="1751"/>
      </w:r>
      <w:r>
        <w:rPr>
          <w:rFonts w:hint="cs"/>
          <w:vertAlign w:val="superscript"/>
          <w:rtl/>
        </w:rPr>
        <w:t>)</w:t>
      </w:r>
      <w:r>
        <w:rPr>
          <w:rFonts w:hint="cs"/>
          <w:rtl/>
        </w:rPr>
        <w:t xml:space="preserve"> </w:t>
      </w:r>
    </w:p>
    <w:p w:rsidR="00C10469" w:rsidRDefault="00C10469" w:rsidP="00C10469">
      <w:pPr>
        <w:ind w:firstLine="0"/>
        <w:rPr>
          <w:rtl/>
        </w:rPr>
      </w:pPr>
      <w:r>
        <w:rPr>
          <w:rFonts w:hint="cs"/>
          <w:rtl/>
        </w:rPr>
        <w:lastRenderedPageBreak/>
        <w:t>مع أن للغريم حقّ الرّد في هذه</w:t>
      </w:r>
      <w:r>
        <w:rPr>
          <w:rStyle w:val="a7"/>
          <w:rtl/>
        </w:rPr>
        <w:footnoteReference w:id="1752"/>
      </w:r>
      <w:r>
        <w:rPr>
          <w:rFonts w:hint="cs"/>
          <w:rtl/>
        </w:rPr>
        <w:t xml:space="preserve"> المسألة، سواءً كان بيعه بإعلام دَيْنِهِ أو لم يكن. </w:t>
      </w:r>
    </w:p>
    <w:p w:rsidR="00C10469" w:rsidRDefault="00C10469">
      <w:pPr>
        <w:spacing w:line="500" w:lineRule="exact"/>
        <w:rPr>
          <w:rtl/>
        </w:rPr>
      </w:pPr>
      <w:r>
        <w:rPr>
          <w:rFonts w:hint="cs"/>
          <w:rtl/>
        </w:rPr>
        <w:t>واضطربـوا الشـرّاح في طلب الفائـدة في هذا القيـد</w:t>
      </w:r>
      <w:r>
        <w:rPr>
          <w:rStyle w:val="a7"/>
          <w:rtl/>
        </w:rPr>
        <w:footnoteReference w:id="1753"/>
      </w:r>
      <w:r>
        <w:rPr>
          <w:rFonts w:hint="cs"/>
          <w:rtl/>
        </w:rPr>
        <w:t>، وقـال كل واحد منـهـم ما قـال، فـإني كتـبت رسالـة</w:t>
      </w:r>
      <w:r>
        <w:rPr>
          <w:rFonts w:hint="cs"/>
          <w:vertAlign w:val="superscript"/>
          <w:rtl/>
        </w:rPr>
        <w:t>(</w:t>
      </w:r>
      <w:r>
        <w:rPr>
          <w:rStyle w:val="a7"/>
          <w:rtl/>
        </w:rPr>
        <w:footnoteReference w:id="1754"/>
      </w:r>
      <w:r>
        <w:rPr>
          <w:rFonts w:hint="cs"/>
          <w:vertAlign w:val="superscript"/>
          <w:rtl/>
        </w:rPr>
        <w:t>)</w:t>
      </w:r>
      <w:r>
        <w:rPr>
          <w:rFonts w:hint="cs"/>
          <w:rtl/>
        </w:rPr>
        <w:t xml:space="preserve"> [مُـبيِّـنة]</w:t>
      </w:r>
      <w:r>
        <w:rPr>
          <w:rStyle w:val="a7"/>
          <w:rtl/>
        </w:rPr>
        <w:footnoteReference w:id="1755"/>
      </w:r>
      <w:r>
        <w:rPr>
          <w:rFonts w:hint="cs"/>
          <w:rtl/>
        </w:rPr>
        <w:t xml:space="preserve"> ما ورد عـلى أقـوالـهم، ومـا وجـدت من الفائدة في هذا القيد عند ملازمتي  في العتبة</w:t>
      </w:r>
      <w:r>
        <w:rPr>
          <w:rStyle w:val="a7"/>
          <w:rtl/>
        </w:rPr>
        <w:footnoteReference w:id="1756"/>
      </w:r>
      <w:r>
        <w:rPr>
          <w:rFonts w:hint="cs"/>
          <w:rtl/>
        </w:rPr>
        <w:t xml:space="preserve"> العليّة</w:t>
      </w:r>
      <w:r>
        <w:rPr>
          <w:rFonts w:hint="cs"/>
          <w:vertAlign w:val="superscript"/>
          <w:rtl/>
        </w:rPr>
        <w:t>(</w:t>
      </w:r>
      <w:r>
        <w:rPr>
          <w:rStyle w:val="a7"/>
          <w:rtl/>
        </w:rPr>
        <w:footnoteReference w:id="1757"/>
      </w:r>
      <w:r>
        <w:rPr>
          <w:rFonts w:hint="cs"/>
          <w:vertAlign w:val="superscript"/>
          <w:rtl/>
        </w:rPr>
        <w:t>)</w:t>
      </w:r>
      <w:r>
        <w:rPr>
          <w:rFonts w:hint="cs"/>
          <w:rtl/>
        </w:rPr>
        <w:t xml:space="preserve">، </w:t>
      </w:r>
    </w:p>
    <w:p w:rsidR="00C10469" w:rsidRDefault="00C10469">
      <w:pPr>
        <w:ind w:firstLine="0"/>
        <w:rPr>
          <w:rtl/>
        </w:rPr>
      </w:pPr>
      <w:r>
        <w:rPr>
          <w:rFonts w:hint="cs"/>
          <w:rtl/>
        </w:rPr>
        <w:lastRenderedPageBreak/>
        <w:t>وعرضتها</w:t>
      </w:r>
      <w:r>
        <w:rPr>
          <w:rStyle w:val="a7"/>
          <w:rtl/>
        </w:rPr>
        <w:footnoteReference w:id="1758"/>
      </w:r>
      <w:r>
        <w:rPr>
          <w:rFonts w:hint="cs"/>
          <w:rtl/>
        </w:rPr>
        <w:t xml:space="preserve"> على بعض من الفضلاء، وتلقوا</w:t>
      </w:r>
      <w:r>
        <w:rPr>
          <w:rFonts w:hint="cs"/>
          <w:vertAlign w:val="superscript"/>
          <w:rtl/>
        </w:rPr>
        <w:t>(</w:t>
      </w:r>
      <w:r>
        <w:rPr>
          <w:rStyle w:val="a7"/>
          <w:rtl/>
        </w:rPr>
        <w:footnoteReference w:id="1759"/>
      </w:r>
      <w:r>
        <w:rPr>
          <w:rFonts w:hint="cs"/>
          <w:vertAlign w:val="superscript"/>
          <w:rtl/>
        </w:rPr>
        <w:t>)</w:t>
      </w:r>
      <w:r>
        <w:rPr>
          <w:rFonts w:hint="cs"/>
          <w:rtl/>
        </w:rPr>
        <w:t xml:space="preserve"> بالقبول.</w:t>
      </w:r>
    </w:p>
    <w:p w:rsidR="00C10469" w:rsidRDefault="00C10469">
      <w:pPr>
        <w:rPr>
          <w:rtl/>
        </w:rPr>
      </w:pPr>
      <w:r>
        <w:rPr>
          <w:rFonts w:hint="cs"/>
          <w:b/>
          <w:bCs/>
          <w:rtl/>
        </w:rPr>
        <w:t>فالفائدة</w:t>
      </w:r>
      <w:r>
        <w:rPr>
          <w:rFonts w:hint="cs"/>
          <w:rtl/>
        </w:rPr>
        <w:t xml:space="preserve"> التي تفرّدت على اطّلاعها هذه : أن صاحب (الهداية) أشار بهذا القيد إلى أن العبد</w:t>
      </w:r>
      <w:r>
        <w:rPr>
          <w:rFonts w:hint="cs"/>
          <w:vertAlign w:val="superscript"/>
          <w:rtl/>
        </w:rPr>
        <w:t>(</w:t>
      </w:r>
      <w:r>
        <w:rPr>
          <w:rStyle w:val="a7"/>
          <w:rtl/>
        </w:rPr>
        <w:footnoteReference w:id="1760"/>
      </w:r>
      <w:r>
        <w:rPr>
          <w:rFonts w:hint="cs"/>
          <w:vertAlign w:val="superscript"/>
          <w:rtl/>
        </w:rPr>
        <w:t>)</w:t>
      </w:r>
      <w:r>
        <w:rPr>
          <w:rFonts w:hint="cs"/>
          <w:rtl/>
        </w:rPr>
        <w:t xml:space="preserve"> المتديّن لا</w:t>
      </w:r>
      <w:r>
        <w:rPr>
          <w:rStyle w:val="a7"/>
          <w:rtl/>
        </w:rPr>
        <w:footnoteReference w:id="1761"/>
      </w:r>
      <w:r>
        <w:rPr>
          <w:rFonts w:hint="cs"/>
          <w:rtl/>
        </w:rPr>
        <w:t xml:space="preserve"> ينبغي أن يتجاسر إلى بيع عبده المديون متدلِّسًا عيبه؛ احترازًا</w:t>
      </w:r>
      <w:r>
        <w:rPr>
          <w:rStyle w:val="a7"/>
          <w:rtl/>
        </w:rPr>
        <w:footnoteReference w:id="1762"/>
      </w:r>
      <w:r>
        <w:rPr>
          <w:rFonts w:hint="cs"/>
          <w:rtl/>
        </w:rPr>
        <w:t xml:space="preserve"> عن إلزام</w:t>
      </w:r>
      <w:r>
        <w:rPr>
          <w:rStyle w:val="a7"/>
          <w:rtl/>
        </w:rPr>
        <w:footnoteReference w:id="1763"/>
      </w:r>
      <w:r>
        <w:rPr>
          <w:rFonts w:hint="cs"/>
          <w:rtl/>
        </w:rPr>
        <w:t xml:space="preserve"> الضّرر على المشتري والغرماء بلا رضاهم إلا بإعلام دينه وإعلان شينه</w:t>
      </w:r>
      <w:r>
        <w:rPr>
          <w:rStyle w:val="a7"/>
          <w:rtl/>
        </w:rPr>
        <w:footnoteReference w:id="1764"/>
      </w:r>
      <w:r>
        <w:rPr>
          <w:rFonts w:hint="cs"/>
          <w:rtl/>
        </w:rPr>
        <w:t>.</w:t>
      </w:r>
    </w:p>
    <w:p w:rsidR="00C10469" w:rsidRDefault="00C10469" w:rsidP="00C10469">
      <w:pPr>
        <w:rPr>
          <w:rtl/>
        </w:rPr>
      </w:pPr>
      <w:r>
        <w:rPr>
          <w:rFonts w:hint="cs"/>
          <w:spacing w:val="-2"/>
          <w:rtl/>
        </w:rPr>
        <w:lastRenderedPageBreak/>
        <w:t>فعلى هذا التقدير</w:t>
      </w:r>
      <w:r>
        <w:rPr>
          <w:rStyle w:val="a7"/>
          <w:spacing w:val="-2"/>
          <w:rtl/>
        </w:rPr>
        <w:footnoteReference w:id="1765"/>
      </w:r>
      <w:r>
        <w:rPr>
          <w:rFonts w:hint="cs"/>
          <w:spacing w:val="-2"/>
          <w:rtl/>
        </w:rPr>
        <w:t xml:space="preserve"> رضوا بالضّرر، فكأنّه [نبَّه]</w:t>
      </w:r>
      <w:r>
        <w:rPr>
          <w:rStyle w:val="a7"/>
          <w:spacing w:val="-2"/>
          <w:rtl/>
        </w:rPr>
        <w:footnoteReference w:id="1766"/>
      </w:r>
      <w:r>
        <w:rPr>
          <w:rFonts w:hint="cs"/>
          <w:spacing w:val="-2"/>
          <w:rtl/>
        </w:rPr>
        <w:t xml:space="preserve"> صاحبُ (الهداية) بهذا : أنْ لابدّ من العبد المؤمن المتدين أن لا يعامل</w:t>
      </w:r>
      <w:r>
        <w:rPr>
          <w:rFonts w:hint="cs"/>
          <w:spacing w:val="-2"/>
          <w:vertAlign w:val="superscript"/>
          <w:rtl/>
        </w:rPr>
        <w:t>(</w:t>
      </w:r>
      <w:r>
        <w:rPr>
          <w:rStyle w:val="a7"/>
          <w:spacing w:val="-2"/>
          <w:rtl/>
        </w:rPr>
        <w:footnoteReference w:id="1767"/>
      </w:r>
      <w:r>
        <w:rPr>
          <w:rFonts w:hint="cs"/>
          <w:spacing w:val="-2"/>
          <w:vertAlign w:val="superscript"/>
          <w:rtl/>
        </w:rPr>
        <w:t>)</w:t>
      </w:r>
      <w:r>
        <w:rPr>
          <w:rFonts w:hint="cs"/>
          <w:spacing w:val="-2"/>
          <w:rtl/>
        </w:rPr>
        <w:t xml:space="preserve"> مع العوام والخواص</w:t>
      </w:r>
      <w:r>
        <w:rPr>
          <w:rFonts w:hint="cs"/>
          <w:rtl/>
        </w:rPr>
        <w:t xml:space="preserve"> إلا معاملة الصدق والإخلاص، ويتحرّز</w:t>
      </w:r>
      <w:r>
        <w:rPr>
          <w:rStyle w:val="a7"/>
          <w:rtl/>
        </w:rPr>
        <w:footnoteReference w:id="1768"/>
      </w:r>
      <w:r>
        <w:rPr>
          <w:rFonts w:hint="cs"/>
          <w:rtl/>
        </w:rPr>
        <w:t xml:space="preserve"> عن الإيقاع</w:t>
      </w:r>
      <w:r>
        <w:rPr>
          <w:rFonts w:hint="cs"/>
          <w:vertAlign w:val="superscript"/>
          <w:rtl/>
        </w:rPr>
        <w:t>(</w:t>
      </w:r>
      <w:r>
        <w:rPr>
          <w:rStyle w:val="a7"/>
          <w:rtl/>
        </w:rPr>
        <w:footnoteReference w:id="1769"/>
      </w:r>
      <w:r>
        <w:rPr>
          <w:rFonts w:hint="cs"/>
          <w:vertAlign w:val="superscript"/>
          <w:rtl/>
        </w:rPr>
        <w:t>)</w:t>
      </w:r>
      <w:r>
        <w:rPr>
          <w:rFonts w:hint="cs"/>
          <w:rtl/>
        </w:rPr>
        <w:t xml:space="preserve"> على أخيه ما لا يرضى به، وما لا يغنيه</w:t>
      </w:r>
      <w:r>
        <w:rPr>
          <w:rStyle w:val="a7"/>
          <w:rtl/>
        </w:rPr>
        <w:footnoteReference w:id="1770"/>
      </w:r>
      <w:r>
        <w:rPr>
          <w:rFonts w:hint="cs"/>
          <w:rtl/>
        </w:rPr>
        <w:t xml:space="preserve"> من النزاع والمحاكمة، وتضييع الأوقات في المخاصمة.</w:t>
      </w:r>
    </w:p>
    <w:p w:rsidR="00C10469" w:rsidRPr="00810A2B" w:rsidRDefault="00C10469" w:rsidP="00C10469">
      <w:pPr>
        <w:rPr>
          <w:sz w:val="34"/>
          <w:szCs w:val="34"/>
          <w:rtl/>
        </w:rPr>
      </w:pPr>
      <w:r w:rsidRPr="00810A2B">
        <w:rPr>
          <w:rFonts w:hint="cs"/>
          <w:sz w:val="34"/>
          <w:szCs w:val="34"/>
          <w:rtl/>
        </w:rPr>
        <w:t>وهذه الفائدة غير فائدة التخصيص، فاكتفى المصنّف بهذه الفائدة</w:t>
      </w:r>
      <w:r w:rsidRPr="00810A2B">
        <w:rPr>
          <w:rStyle w:val="a7"/>
          <w:sz w:val="34"/>
          <w:szCs w:val="34"/>
          <w:rtl/>
        </w:rPr>
        <w:footnoteReference w:id="1771"/>
      </w:r>
      <w:r w:rsidRPr="00810A2B">
        <w:rPr>
          <w:rFonts w:hint="cs"/>
          <w:sz w:val="34"/>
          <w:szCs w:val="34"/>
          <w:rtl/>
        </w:rPr>
        <w:t>، ولم يلتفت إلى التخصيص.</w:t>
      </w:r>
    </w:p>
    <w:p w:rsidR="00C10469" w:rsidRDefault="00C10469" w:rsidP="00C10469">
      <w:pPr>
        <w:rPr>
          <w:rtl/>
        </w:rPr>
      </w:pPr>
      <w:r>
        <w:rPr>
          <w:rFonts w:hint="cs"/>
          <w:b/>
          <w:bCs/>
          <w:rtl/>
        </w:rPr>
        <w:t>ولا يقال</w:t>
      </w:r>
      <w:r>
        <w:rPr>
          <w:rFonts w:hint="cs"/>
          <w:rtl/>
        </w:rPr>
        <w:t xml:space="preserve"> : </w:t>
      </w:r>
      <w:r>
        <w:rPr>
          <w:rFonts w:hint="eastAsia"/>
          <w:rtl/>
        </w:rPr>
        <w:t>«</w:t>
      </w:r>
      <w:r>
        <w:rPr>
          <w:rFonts w:hint="cs"/>
          <w:rtl/>
        </w:rPr>
        <w:t>التخصيص بالذكر لا يدلّ على الحصر</w:t>
      </w:r>
      <w:r>
        <w:rPr>
          <w:rFonts w:hint="eastAsia"/>
          <w:rtl/>
        </w:rPr>
        <w:t>»</w:t>
      </w:r>
      <w:r>
        <w:rPr>
          <w:rFonts w:hint="cs"/>
          <w:rtl/>
        </w:rPr>
        <w:t>، على مقتضى أصل</w:t>
      </w:r>
      <w:r>
        <w:rPr>
          <w:rFonts w:hint="cs"/>
          <w:vertAlign w:val="superscript"/>
          <w:rtl/>
        </w:rPr>
        <w:t>(</w:t>
      </w:r>
      <w:r>
        <w:rPr>
          <w:rStyle w:val="a7"/>
          <w:rtl/>
        </w:rPr>
        <w:footnoteReference w:id="1772"/>
      </w:r>
      <w:r>
        <w:rPr>
          <w:rFonts w:hint="cs"/>
          <w:vertAlign w:val="superscript"/>
          <w:rtl/>
        </w:rPr>
        <w:t>)</w:t>
      </w:r>
      <w:r>
        <w:rPr>
          <w:rFonts w:hint="cs"/>
          <w:rtl/>
        </w:rPr>
        <w:t xml:space="preserve"> المتقدِّم</w:t>
      </w:r>
      <w:r>
        <w:rPr>
          <w:rFonts w:hint="cs"/>
          <w:vertAlign w:val="superscript"/>
          <w:rtl/>
        </w:rPr>
        <w:t>(</w:t>
      </w:r>
      <w:r>
        <w:rPr>
          <w:rStyle w:val="a7"/>
          <w:rtl/>
        </w:rPr>
        <w:footnoteReference w:id="1773"/>
      </w:r>
      <w:r>
        <w:rPr>
          <w:rFonts w:hint="cs"/>
          <w:vertAlign w:val="superscript"/>
          <w:rtl/>
        </w:rPr>
        <w:t>)</w:t>
      </w:r>
      <w:r>
        <w:rPr>
          <w:rFonts w:hint="cs"/>
          <w:rtl/>
        </w:rPr>
        <w:t xml:space="preserve">، فإذا لم يدرَكْ في تخصيص كلام الرّسول </w:t>
      </w:r>
      <w:r>
        <w:rPr>
          <w:rFonts w:ascii="AGA Arabesque" w:hAnsi="AGA Arabesque" w:cs="Thick Naskh"/>
          <w:sz w:val="36"/>
        </w:rPr>
        <w:t></w:t>
      </w:r>
      <w:r>
        <w:rPr>
          <w:rFonts w:hint="cs"/>
          <w:rtl/>
        </w:rPr>
        <w:t xml:space="preserve"> فائدة أخرى سوى نفي </w:t>
      </w:r>
      <w:r>
        <w:rPr>
          <w:rFonts w:hint="cs"/>
          <w:rtl/>
        </w:rPr>
        <w:lastRenderedPageBreak/>
        <w:t>الحكم عمّا عداه يلزم</w:t>
      </w:r>
      <w:r>
        <w:rPr>
          <w:rStyle w:val="a7"/>
          <w:rtl/>
        </w:rPr>
        <w:footnoteReference w:id="1774"/>
      </w:r>
      <w:r>
        <w:rPr>
          <w:rFonts w:hint="cs"/>
          <w:rtl/>
        </w:rPr>
        <w:t xml:space="preserve"> أن يكون التخصيص خاليًا عن الفائدة</w:t>
      </w:r>
      <w:r>
        <w:rPr>
          <w:rFonts w:hint="cs"/>
          <w:vertAlign w:val="superscript"/>
          <w:rtl/>
        </w:rPr>
        <w:t>(</w:t>
      </w:r>
      <w:r>
        <w:rPr>
          <w:rStyle w:val="a7"/>
          <w:rtl/>
        </w:rPr>
        <w:footnoteReference w:id="1775"/>
      </w:r>
      <w:r>
        <w:rPr>
          <w:rFonts w:hint="cs"/>
          <w:vertAlign w:val="superscript"/>
          <w:rtl/>
        </w:rPr>
        <w:t>)</w:t>
      </w:r>
      <w:r>
        <w:rPr>
          <w:rFonts w:hint="cs"/>
          <w:rtl/>
        </w:rPr>
        <w:t>!.</w:t>
      </w:r>
    </w:p>
    <w:p w:rsidR="00C10469" w:rsidRDefault="00C10469">
      <w:pPr>
        <w:spacing w:line="480" w:lineRule="exact"/>
        <w:rPr>
          <w:rtl/>
        </w:rPr>
      </w:pPr>
      <w:r>
        <w:rPr>
          <w:rFonts w:hint="cs"/>
          <w:b/>
          <w:bCs/>
          <w:rtl/>
        </w:rPr>
        <w:t>لأن</w:t>
      </w:r>
      <w:r>
        <w:rPr>
          <w:rFonts w:hint="cs"/>
          <w:rtl/>
        </w:rPr>
        <w:t xml:space="preserve"> النبي </w:t>
      </w:r>
      <w:r>
        <w:rPr>
          <w:rFonts w:ascii="AGA Arabesque" w:hAnsi="AGA Arabesque" w:cs="Thick Naskh"/>
          <w:sz w:val="36"/>
        </w:rPr>
        <w:t></w:t>
      </w:r>
      <w:r>
        <w:rPr>
          <w:rFonts w:hint="cs"/>
          <w:rtl/>
        </w:rPr>
        <w:t xml:space="preserve"> أوتي جوامع الكلم؛ فلعلّه قصد فائدة لم تُدرِكْها</w:t>
      </w:r>
      <w:r>
        <w:rPr>
          <w:rFonts w:hint="cs"/>
          <w:vertAlign w:val="superscript"/>
          <w:rtl/>
        </w:rPr>
        <w:t>(</w:t>
      </w:r>
      <w:r>
        <w:rPr>
          <w:rStyle w:val="a7"/>
          <w:rtl/>
        </w:rPr>
        <w:footnoteReference w:id="1776"/>
      </w:r>
      <w:r>
        <w:rPr>
          <w:rFonts w:hint="cs"/>
          <w:vertAlign w:val="superscript"/>
          <w:rtl/>
        </w:rPr>
        <w:t>)</w:t>
      </w:r>
      <w:r>
        <w:rPr>
          <w:rFonts w:hint="cs"/>
          <w:rtl/>
        </w:rPr>
        <w:t>.</w:t>
      </w:r>
    </w:p>
    <w:p w:rsidR="00C10469" w:rsidRDefault="00C10469">
      <w:pPr>
        <w:spacing w:line="580" w:lineRule="exact"/>
        <w:rPr>
          <w:spacing w:val="-6"/>
          <w:rtl/>
        </w:rPr>
      </w:pPr>
      <w:r>
        <w:rPr>
          <w:rFonts w:hint="cs"/>
          <w:spacing w:val="-6"/>
          <w:rtl/>
        </w:rPr>
        <w:t>ألا يُرى أن الخلف قد يستفيد من كلامه أحكامًا وفائدة</w:t>
      </w:r>
      <w:r>
        <w:rPr>
          <w:rFonts w:hint="cs"/>
          <w:spacing w:val="-6"/>
          <w:vertAlign w:val="superscript"/>
          <w:rtl/>
        </w:rPr>
        <w:t>(</w:t>
      </w:r>
      <w:r>
        <w:rPr>
          <w:rStyle w:val="a7"/>
          <w:spacing w:val="-6"/>
          <w:rtl/>
        </w:rPr>
        <w:footnoteReference w:id="1777"/>
      </w:r>
      <w:r>
        <w:rPr>
          <w:rFonts w:hint="cs"/>
          <w:spacing w:val="-6"/>
          <w:vertAlign w:val="superscript"/>
          <w:rtl/>
        </w:rPr>
        <w:t>)</w:t>
      </w:r>
      <w:r>
        <w:rPr>
          <w:rFonts w:hint="cs"/>
          <w:spacing w:val="-6"/>
          <w:rtl/>
        </w:rPr>
        <w:t xml:space="preserve"> لم يبلغ إليها السلف؟!.</w:t>
      </w:r>
    </w:p>
    <w:p w:rsidR="00C10469" w:rsidRDefault="00C10469">
      <w:pPr>
        <w:rPr>
          <w:rtl/>
        </w:rPr>
      </w:pPr>
      <w:r>
        <w:rPr>
          <w:rFonts w:hint="cs"/>
          <w:rtl/>
        </w:rPr>
        <w:t>بخلاف الرواية، فإنّه قلّما يقع التفاوت.</w:t>
      </w:r>
    </w:p>
    <w:p w:rsidR="00C10469" w:rsidRDefault="00C10469">
      <w:pPr>
        <w:spacing w:line="600" w:lineRule="exact"/>
        <w:rPr>
          <w:rtl/>
        </w:rPr>
      </w:pPr>
      <w:r>
        <w:rPr>
          <w:rFonts w:hint="cs"/>
          <w:b/>
          <w:bCs/>
          <w:rtl/>
        </w:rPr>
        <w:t>واعلم أن كل عبارة صدرت عن علمائنا</w:t>
      </w:r>
      <w:r>
        <w:rPr>
          <w:rStyle w:val="a7"/>
          <w:rtl/>
        </w:rPr>
        <w:footnoteReference w:id="1778"/>
      </w:r>
      <w:r>
        <w:rPr>
          <w:rFonts w:hint="cs"/>
          <w:rtl/>
        </w:rPr>
        <w:t xml:space="preserve"> </w:t>
      </w:r>
      <w:r>
        <w:rPr>
          <w:rFonts w:hint="cs"/>
          <w:b/>
          <w:bCs/>
          <w:rtl/>
        </w:rPr>
        <w:t>على خلاف الظاهر ففيه</w:t>
      </w:r>
      <w:r>
        <w:rPr>
          <w:rFonts w:hint="cs"/>
          <w:vertAlign w:val="superscript"/>
          <w:rtl/>
        </w:rPr>
        <w:t>(</w:t>
      </w:r>
      <w:r>
        <w:rPr>
          <w:rStyle w:val="a7"/>
          <w:rtl/>
        </w:rPr>
        <w:footnoteReference w:id="1779"/>
      </w:r>
      <w:r>
        <w:rPr>
          <w:rFonts w:hint="cs"/>
          <w:vertAlign w:val="superscript"/>
          <w:rtl/>
        </w:rPr>
        <w:t>)</w:t>
      </w:r>
      <w:r>
        <w:rPr>
          <w:rFonts w:hint="cs"/>
          <w:rtl/>
        </w:rPr>
        <w:t xml:space="preserve"> </w:t>
      </w:r>
      <w:r>
        <w:rPr>
          <w:rFonts w:hint="cs"/>
          <w:b/>
          <w:bCs/>
          <w:rtl/>
        </w:rPr>
        <w:t>نكتة</w:t>
      </w:r>
      <w:r>
        <w:rPr>
          <w:rFonts w:hint="cs"/>
          <w:b/>
          <w:bCs/>
          <w:vertAlign w:val="superscript"/>
          <w:rtl/>
        </w:rPr>
        <w:t>(</w:t>
      </w:r>
      <w:r>
        <w:rPr>
          <w:rStyle w:val="a7"/>
          <w:b/>
          <w:rtl/>
        </w:rPr>
        <w:footnoteReference w:id="1780"/>
      </w:r>
      <w:r>
        <w:rPr>
          <w:rFonts w:hint="cs"/>
          <w:b/>
          <w:bCs/>
          <w:vertAlign w:val="superscript"/>
          <w:rtl/>
        </w:rPr>
        <w:t>)</w:t>
      </w:r>
      <w:r>
        <w:rPr>
          <w:rFonts w:hint="cs"/>
          <w:b/>
          <w:bCs/>
          <w:rtl/>
        </w:rPr>
        <w:t xml:space="preserve"> لطيفة</w:t>
      </w:r>
      <w:r>
        <w:rPr>
          <w:rFonts w:hint="cs"/>
          <w:rtl/>
        </w:rPr>
        <w:t xml:space="preserve"> أَوْدَعُوها لخواص أمة محمد </w:t>
      </w:r>
      <w:r>
        <w:rPr>
          <w:rFonts w:ascii="AGA Arabesque" w:hAnsi="AGA Arabesque" w:cs="Thick Naskh"/>
          <w:sz w:val="36"/>
        </w:rPr>
        <w:t></w:t>
      </w:r>
      <w:r>
        <w:rPr>
          <w:rFonts w:hint="cs"/>
          <w:rtl/>
        </w:rPr>
        <w:t xml:space="preserve"> :</w:t>
      </w:r>
    </w:p>
    <w:p w:rsidR="00C10469" w:rsidRDefault="00C10469" w:rsidP="00C10469">
      <w:pPr>
        <w:spacing w:line="600" w:lineRule="exact"/>
        <w:ind w:left="848" w:hanging="281"/>
        <w:rPr>
          <w:rtl/>
        </w:rPr>
      </w:pPr>
      <w:r>
        <w:rPr>
          <w:b/>
          <w:bCs/>
          <w:rtl/>
        </w:rPr>
        <w:t>•</w:t>
      </w:r>
      <w:r>
        <w:rPr>
          <w:rFonts w:hint="cs"/>
          <w:b/>
          <w:bCs/>
          <w:rtl/>
        </w:rPr>
        <w:t xml:space="preserve">  فمنها</w:t>
      </w:r>
      <w:r>
        <w:rPr>
          <w:rFonts w:hint="cs"/>
          <w:rtl/>
        </w:rPr>
        <w:t xml:space="preserve"> : ما ذكر صاحب (الهداية) في كتاب الدعوى : </w:t>
      </w:r>
      <w:r>
        <w:rPr>
          <w:rFonts w:hint="eastAsia"/>
          <w:rtl/>
        </w:rPr>
        <w:t>«</w:t>
      </w:r>
      <w:r>
        <w:rPr>
          <w:rFonts w:hint="cs"/>
          <w:rtl/>
        </w:rPr>
        <w:t xml:space="preserve">إذا ادعت المرأة </w:t>
      </w:r>
      <w:r>
        <w:rPr>
          <w:rFonts w:hint="cs"/>
          <w:rtl/>
        </w:rPr>
        <w:lastRenderedPageBreak/>
        <w:t>الطلاق قبل الدخول بها</w:t>
      </w:r>
      <w:r>
        <w:rPr>
          <w:rFonts w:hint="eastAsia"/>
          <w:rtl/>
        </w:rPr>
        <w:t>»</w:t>
      </w:r>
      <w:r>
        <w:rPr>
          <w:rFonts w:hint="cs"/>
          <w:vertAlign w:val="superscript"/>
          <w:rtl/>
        </w:rPr>
        <w:t>(</w:t>
      </w:r>
      <w:r>
        <w:rPr>
          <w:rStyle w:val="a7"/>
          <w:rtl/>
        </w:rPr>
        <w:footnoteReference w:id="1781"/>
      </w:r>
      <w:r>
        <w:rPr>
          <w:rFonts w:hint="cs"/>
          <w:vertAlign w:val="superscript"/>
          <w:rtl/>
        </w:rPr>
        <w:t>)</w:t>
      </w:r>
      <w:r>
        <w:rPr>
          <w:rFonts w:hint="cs"/>
          <w:rtl/>
        </w:rPr>
        <w:t>:</w:t>
      </w:r>
    </w:p>
    <w:p w:rsidR="00C10469" w:rsidRDefault="00C10469" w:rsidP="00C10469">
      <w:pPr>
        <w:spacing w:line="600" w:lineRule="exact"/>
        <w:ind w:left="848" w:hanging="281"/>
        <w:rPr>
          <w:rtl/>
        </w:rPr>
      </w:pPr>
      <w:r>
        <w:rPr>
          <w:rFonts w:hint="cs"/>
          <w:rtl/>
        </w:rPr>
        <w:t xml:space="preserve">  ففي هذه المسألة خصّص الطلاق بالقبليّة، مع أن الحكم في</w:t>
      </w:r>
      <w:r>
        <w:rPr>
          <w:rStyle w:val="a7"/>
          <w:rtl/>
        </w:rPr>
        <w:footnoteReference w:id="1782"/>
      </w:r>
      <w:r>
        <w:rPr>
          <w:rFonts w:hint="cs"/>
          <w:rtl/>
        </w:rPr>
        <w:t xml:space="preserve"> ادّعائها الطلاق بعد الدخول كذلك، ولم يَنْفِهِ</w:t>
      </w:r>
      <w:r>
        <w:rPr>
          <w:rStyle w:val="a7"/>
          <w:rtl/>
        </w:rPr>
        <w:footnoteReference w:id="1783"/>
      </w:r>
      <w:r>
        <w:rPr>
          <w:rFonts w:hint="cs"/>
          <w:rtl/>
        </w:rPr>
        <w:t xml:space="preserve"> هذا القيد!. </w:t>
      </w:r>
    </w:p>
    <w:p w:rsidR="00C10469" w:rsidRDefault="00C10469" w:rsidP="00C10469">
      <w:pPr>
        <w:spacing w:line="600" w:lineRule="exact"/>
        <w:ind w:left="848" w:hanging="281"/>
        <w:rPr>
          <w:rtl/>
        </w:rPr>
      </w:pPr>
      <w:r>
        <w:rPr>
          <w:rFonts w:hint="cs"/>
          <w:b/>
          <w:bCs/>
          <w:rtl/>
        </w:rPr>
        <w:t xml:space="preserve">  وجوابه :</w:t>
      </w:r>
      <w:r>
        <w:rPr>
          <w:rFonts w:hint="cs"/>
          <w:rtl/>
        </w:rPr>
        <w:t xml:space="preserve"> مرّ في باب الألف عند بيان قولهم : </w:t>
      </w:r>
      <w:r>
        <w:rPr>
          <w:rFonts w:hint="eastAsia"/>
          <w:rtl/>
        </w:rPr>
        <w:t>«</w:t>
      </w:r>
      <w:r>
        <w:rPr>
          <w:rFonts w:hint="cs"/>
          <w:rtl/>
        </w:rPr>
        <w:t>الاعتبار للمقاصد والمعاني لا للألفاظ والمباني</w:t>
      </w:r>
      <w:r>
        <w:rPr>
          <w:rFonts w:hint="eastAsia"/>
          <w:rtl/>
        </w:rPr>
        <w:t>»</w:t>
      </w:r>
      <w:r>
        <w:rPr>
          <w:rFonts w:hint="cs"/>
          <w:vertAlign w:val="superscript"/>
          <w:rtl/>
        </w:rPr>
        <w:t>(</w:t>
      </w:r>
      <w:r>
        <w:rPr>
          <w:rStyle w:val="a7"/>
          <w:rtl/>
        </w:rPr>
        <w:footnoteReference w:id="1784"/>
      </w:r>
      <w:r>
        <w:rPr>
          <w:rFonts w:hint="cs"/>
          <w:vertAlign w:val="superscript"/>
          <w:rtl/>
        </w:rPr>
        <w:t>)</w:t>
      </w:r>
      <w:r>
        <w:rPr>
          <w:rFonts w:hint="cs"/>
          <w:rtl/>
        </w:rPr>
        <w:t>.</w:t>
      </w:r>
    </w:p>
    <w:p w:rsidR="00C10469" w:rsidRDefault="00C10469" w:rsidP="00C10469">
      <w:pPr>
        <w:spacing w:line="600" w:lineRule="exact"/>
        <w:ind w:left="848" w:hanging="281"/>
        <w:rPr>
          <w:rtl/>
        </w:rPr>
      </w:pPr>
      <w:r>
        <w:rPr>
          <w:rtl/>
        </w:rPr>
        <w:t>•</w:t>
      </w:r>
      <w:r>
        <w:rPr>
          <w:rFonts w:hint="cs"/>
          <w:rtl/>
        </w:rPr>
        <w:t xml:space="preserve"> ومنها</w:t>
      </w:r>
      <w:r>
        <w:rPr>
          <w:rStyle w:val="a7"/>
          <w:rtl/>
        </w:rPr>
        <w:footnoteReference w:id="1785"/>
      </w:r>
      <w:r>
        <w:rPr>
          <w:rFonts w:hint="cs"/>
          <w:rtl/>
        </w:rPr>
        <w:t xml:space="preserve"> ما ورد</w:t>
      </w:r>
      <w:r>
        <w:rPr>
          <w:rStyle w:val="a7"/>
          <w:rtl/>
        </w:rPr>
        <w:footnoteReference w:id="1786"/>
      </w:r>
      <w:r>
        <w:rPr>
          <w:rFonts w:hint="cs"/>
          <w:rtl/>
        </w:rPr>
        <w:t xml:space="preserve"> في (غرر</w:t>
      </w:r>
      <w:r>
        <w:rPr>
          <w:rStyle w:val="a7"/>
          <w:rtl/>
        </w:rPr>
        <w:footnoteReference w:id="1787"/>
      </w:r>
      <w:r>
        <w:rPr>
          <w:rFonts w:hint="cs"/>
          <w:rtl/>
        </w:rPr>
        <w:t xml:space="preserve"> الحكام)</w:t>
      </w:r>
      <w:r>
        <w:rPr>
          <w:rFonts w:hint="cs"/>
          <w:vertAlign w:val="superscript"/>
          <w:rtl/>
        </w:rPr>
        <w:t>(</w:t>
      </w:r>
      <w:r>
        <w:rPr>
          <w:rStyle w:val="a7"/>
          <w:rtl/>
        </w:rPr>
        <w:footnoteReference w:id="1788"/>
      </w:r>
      <w:r>
        <w:rPr>
          <w:rFonts w:hint="cs"/>
          <w:vertAlign w:val="superscript"/>
          <w:rtl/>
        </w:rPr>
        <w:t>)</w:t>
      </w:r>
      <w:r>
        <w:rPr>
          <w:rFonts w:hint="cs"/>
          <w:rtl/>
        </w:rPr>
        <w:t xml:space="preserve"> حيـث قـال : </w:t>
      </w:r>
      <w:r>
        <w:rPr>
          <w:rFonts w:hint="eastAsia"/>
          <w:rtl/>
        </w:rPr>
        <w:t>«</w:t>
      </w:r>
      <w:r>
        <w:rPr>
          <w:rFonts w:hint="cs"/>
          <w:rtl/>
        </w:rPr>
        <w:t xml:space="preserve">اسـتخلف أميًّا في </w:t>
      </w:r>
      <w:r>
        <w:rPr>
          <w:rFonts w:hint="cs"/>
          <w:rtl/>
        </w:rPr>
        <w:lastRenderedPageBreak/>
        <w:t>الأخريين</w:t>
      </w:r>
      <w:r>
        <w:rPr>
          <w:rFonts w:hint="cs"/>
          <w:vertAlign w:val="superscript"/>
          <w:rtl/>
        </w:rPr>
        <w:t>(</w:t>
      </w:r>
      <w:r>
        <w:rPr>
          <w:rStyle w:val="a7"/>
          <w:rtl/>
        </w:rPr>
        <w:footnoteReference w:id="1789"/>
      </w:r>
      <w:r>
        <w:rPr>
          <w:rFonts w:hint="cs"/>
          <w:vertAlign w:val="superscript"/>
          <w:rtl/>
        </w:rPr>
        <w:t>)</w:t>
      </w:r>
      <w:r>
        <w:rPr>
          <w:rFonts w:hint="cs"/>
          <w:rtl/>
        </w:rPr>
        <w:t xml:space="preserve"> : فسدت صلواتهم</w:t>
      </w:r>
      <w:r>
        <w:rPr>
          <w:rStyle w:val="a7"/>
          <w:rtl/>
        </w:rPr>
        <w:footnoteReference w:id="1790"/>
      </w:r>
      <w:r>
        <w:rPr>
          <w:rFonts w:hint="eastAsia"/>
          <w:rtl/>
        </w:rPr>
        <w:t>»</w:t>
      </w:r>
      <w:r>
        <w:rPr>
          <w:rFonts w:hint="cs"/>
          <w:vertAlign w:val="superscript"/>
          <w:rtl/>
        </w:rPr>
        <w:t>(</w:t>
      </w:r>
      <w:r>
        <w:rPr>
          <w:rStyle w:val="a7"/>
          <w:rtl/>
        </w:rPr>
        <w:footnoteReference w:id="1791"/>
      </w:r>
      <w:r>
        <w:rPr>
          <w:rFonts w:hint="cs"/>
          <w:vertAlign w:val="superscript"/>
          <w:rtl/>
        </w:rPr>
        <w:t>)</w:t>
      </w:r>
      <w:r>
        <w:rPr>
          <w:rFonts w:hint="cs"/>
          <w:rtl/>
        </w:rPr>
        <w:t>.</w:t>
      </w:r>
    </w:p>
    <w:p w:rsidR="00C10469" w:rsidRDefault="00C10469" w:rsidP="00C10469">
      <w:pPr>
        <w:spacing w:line="600" w:lineRule="exact"/>
        <w:ind w:left="848" w:hanging="281"/>
        <w:rPr>
          <w:rtl/>
        </w:rPr>
      </w:pPr>
      <w:r>
        <w:rPr>
          <w:rFonts w:hint="cs"/>
          <w:rtl/>
        </w:rPr>
        <w:t xml:space="preserve">  مع أنّ</w:t>
      </w:r>
      <w:r>
        <w:rPr>
          <w:rStyle w:val="a7"/>
          <w:rtl/>
        </w:rPr>
        <w:footnoteReference w:id="1792"/>
      </w:r>
      <w:r>
        <w:rPr>
          <w:rFonts w:hint="cs"/>
          <w:rtl/>
        </w:rPr>
        <w:t xml:space="preserve"> حكم استخلافه في الأوليين مُفسد أيضًا.</w:t>
      </w:r>
    </w:p>
    <w:p w:rsidR="00C10469" w:rsidRDefault="00C10469" w:rsidP="00C10469">
      <w:pPr>
        <w:ind w:left="851" w:hanging="284"/>
        <w:rPr>
          <w:rtl/>
        </w:rPr>
      </w:pPr>
      <w:r>
        <w:rPr>
          <w:rFonts w:hint="cs"/>
          <w:b/>
          <w:bCs/>
          <w:rtl/>
        </w:rPr>
        <w:t xml:space="preserve">  وأجيب عنه</w:t>
      </w:r>
      <w:r>
        <w:rPr>
          <w:rFonts w:hint="cs"/>
          <w:rtl/>
        </w:rPr>
        <w:t xml:space="preserve"> : بأن </w:t>
      </w:r>
      <w:r>
        <w:rPr>
          <w:rFonts w:hint="eastAsia"/>
          <w:rtl/>
        </w:rPr>
        <w:t>«</w:t>
      </w:r>
      <w:r>
        <w:rPr>
          <w:rFonts w:hint="cs"/>
          <w:rtl/>
        </w:rPr>
        <w:t>تخصيص الأخريين بالذكر؛ لدفع توهّم أن يصلح الأميّ في الأخريين</w:t>
      </w:r>
      <w:r>
        <w:rPr>
          <w:rStyle w:val="a7"/>
          <w:rtl/>
        </w:rPr>
        <w:footnoteReference w:id="1793"/>
      </w:r>
      <w:r>
        <w:rPr>
          <w:rFonts w:hint="cs"/>
          <w:rtl/>
        </w:rPr>
        <w:t xml:space="preserve"> للاستخلاف؛ لعدم وجوب القراءة فيهما</w:t>
      </w:r>
      <w:r>
        <w:rPr>
          <w:rFonts w:hint="eastAsia"/>
          <w:rtl/>
        </w:rPr>
        <w:t>»</w:t>
      </w:r>
      <w:r>
        <w:rPr>
          <w:rFonts w:hint="cs"/>
          <w:vertAlign w:val="superscript"/>
          <w:rtl/>
        </w:rPr>
        <w:t>(</w:t>
      </w:r>
      <w:r>
        <w:rPr>
          <w:rStyle w:val="a7"/>
          <w:rtl/>
        </w:rPr>
        <w:footnoteReference w:id="1794"/>
      </w:r>
      <w:r>
        <w:rPr>
          <w:rFonts w:hint="cs"/>
          <w:vertAlign w:val="superscript"/>
          <w:rtl/>
        </w:rPr>
        <w:t>)</w:t>
      </w:r>
      <w:r>
        <w:rPr>
          <w:rFonts w:hint="cs"/>
          <w:rtl/>
        </w:rPr>
        <w:t>.</w:t>
      </w:r>
    </w:p>
    <w:p w:rsidR="00C10469" w:rsidRDefault="00C10469" w:rsidP="00C10469">
      <w:pPr>
        <w:ind w:left="851" w:hanging="284"/>
        <w:rPr>
          <w:rtl/>
        </w:rPr>
      </w:pPr>
      <w:r>
        <w:rPr>
          <w:b/>
          <w:bCs/>
          <w:rtl/>
        </w:rPr>
        <w:t>•</w:t>
      </w:r>
      <w:r>
        <w:rPr>
          <w:rFonts w:hint="cs"/>
          <w:b/>
          <w:bCs/>
          <w:rtl/>
        </w:rPr>
        <w:t xml:space="preserve"> ومنها</w:t>
      </w:r>
      <w:r>
        <w:rPr>
          <w:rStyle w:val="a7"/>
          <w:rtl/>
        </w:rPr>
        <w:footnoteReference w:id="1795"/>
      </w:r>
      <w:r>
        <w:rPr>
          <w:rFonts w:hint="cs"/>
          <w:rtl/>
        </w:rPr>
        <w:t xml:space="preserve"> ما قال صاحب (الهداية) : إذا شرط البائع الخيار لنفسه، وهلك المبيع في يـده : انفسـخ البيع، ولاشـيء على المشتري، كما لو كان البيع صحيحًا مطلقًا عن الخيار</w:t>
      </w:r>
      <w:r>
        <w:rPr>
          <w:rFonts w:hint="cs"/>
          <w:vertAlign w:val="superscript"/>
          <w:rtl/>
        </w:rPr>
        <w:t>(</w:t>
      </w:r>
      <w:r>
        <w:rPr>
          <w:rStyle w:val="a7"/>
          <w:rtl/>
        </w:rPr>
        <w:footnoteReference w:id="1796"/>
      </w:r>
      <w:r>
        <w:rPr>
          <w:rFonts w:hint="cs"/>
          <w:vertAlign w:val="superscript"/>
          <w:rtl/>
        </w:rPr>
        <w:t>)</w:t>
      </w:r>
      <w:r>
        <w:rPr>
          <w:rFonts w:hint="cs"/>
          <w:rtl/>
        </w:rPr>
        <w:t>.</w:t>
      </w:r>
    </w:p>
    <w:p w:rsidR="00C10469" w:rsidRDefault="00C10469" w:rsidP="00C10469">
      <w:pPr>
        <w:ind w:left="851" w:hanging="284"/>
        <w:rPr>
          <w:rtl/>
        </w:rPr>
      </w:pPr>
      <w:r>
        <w:rPr>
          <w:rFonts w:hint="cs"/>
          <w:spacing w:val="-4"/>
          <w:rtl/>
        </w:rPr>
        <w:t xml:space="preserve">  وقال شارحه</w:t>
      </w:r>
      <w:r>
        <w:rPr>
          <w:rStyle w:val="a7"/>
          <w:spacing w:val="-4"/>
          <w:rtl/>
        </w:rPr>
        <w:footnoteReference w:id="1797"/>
      </w:r>
      <w:r>
        <w:rPr>
          <w:rFonts w:hint="cs"/>
          <w:spacing w:val="-4"/>
          <w:rtl/>
        </w:rPr>
        <w:t xml:space="preserve"> صاحب</w:t>
      </w:r>
      <w:r>
        <w:rPr>
          <w:rStyle w:val="a7"/>
          <w:spacing w:val="-4"/>
          <w:rtl/>
        </w:rPr>
        <w:footnoteReference w:id="1798"/>
      </w:r>
      <w:r>
        <w:rPr>
          <w:rFonts w:hint="cs"/>
          <w:spacing w:val="-4"/>
          <w:rtl/>
        </w:rPr>
        <w:t xml:space="preserve"> (العناية) الأكملية : </w:t>
      </w:r>
      <w:r>
        <w:rPr>
          <w:rFonts w:hint="eastAsia"/>
          <w:spacing w:val="-4"/>
          <w:rtl/>
        </w:rPr>
        <w:t>«</w:t>
      </w:r>
      <w:r>
        <w:rPr>
          <w:rFonts w:hint="cs"/>
          <w:spacing w:val="-4"/>
          <w:rtl/>
        </w:rPr>
        <w:t xml:space="preserve">إنما ذكر الصحيح مع أن </w:t>
      </w:r>
      <w:r>
        <w:rPr>
          <w:rFonts w:hint="cs"/>
          <w:spacing w:val="-4"/>
          <w:rtl/>
        </w:rPr>
        <w:lastRenderedPageBreak/>
        <w:t>الحكم في الفاسد كذلك : حملاً لحال المسلمين عـلى الصّلاح</w:t>
      </w:r>
      <w:r>
        <w:rPr>
          <w:rStyle w:val="a7"/>
          <w:spacing w:val="-4"/>
          <w:rtl/>
        </w:rPr>
        <w:footnoteReference w:id="1799"/>
      </w:r>
      <w:r>
        <w:rPr>
          <w:rFonts w:hint="eastAsia"/>
          <w:spacing w:val="-4"/>
          <w:rtl/>
        </w:rPr>
        <w:t>»</w:t>
      </w:r>
      <w:r>
        <w:rPr>
          <w:rFonts w:hint="cs"/>
          <w:spacing w:val="-4"/>
          <w:vertAlign w:val="superscript"/>
          <w:rtl/>
        </w:rPr>
        <w:t>(</w:t>
      </w:r>
      <w:r>
        <w:rPr>
          <w:rStyle w:val="a7"/>
          <w:spacing w:val="-4"/>
          <w:rtl/>
        </w:rPr>
        <w:footnoteReference w:id="1800"/>
      </w:r>
      <w:r>
        <w:rPr>
          <w:rFonts w:hint="cs"/>
          <w:spacing w:val="-4"/>
          <w:vertAlign w:val="superscript"/>
          <w:rtl/>
        </w:rPr>
        <w:t>)</w:t>
      </w:r>
      <w:r>
        <w:rPr>
          <w:rFonts w:hint="cs"/>
          <w:spacing w:val="-4"/>
          <w:rtl/>
        </w:rPr>
        <w:t>. يعني : في تقييده البيع بالصحة : تنبيه على أنّ المسلم لا يتجاسر إلى البيع إلاّ ببيع</w:t>
      </w:r>
      <w:r>
        <w:rPr>
          <w:rStyle w:val="a7"/>
          <w:spacing w:val="-4"/>
          <w:rtl/>
        </w:rPr>
        <w:footnoteReference w:id="1801"/>
      </w:r>
      <w:r>
        <w:rPr>
          <w:rFonts w:hint="cs"/>
          <w:spacing w:val="-4"/>
          <w:rtl/>
        </w:rPr>
        <w:t xml:space="preserve"> صحيح.</w:t>
      </w:r>
      <w:r>
        <w:rPr>
          <w:rFonts w:hint="cs"/>
          <w:rtl/>
        </w:rPr>
        <w:t xml:space="preserve"> </w:t>
      </w:r>
    </w:p>
    <w:p w:rsidR="00C10469" w:rsidRDefault="00C10469" w:rsidP="00C10469">
      <w:pPr>
        <w:ind w:left="851" w:hanging="284"/>
        <w:rPr>
          <w:rtl/>
        </w:rPr>
      </w:pPr>
      <w:r>
        <w:rPr>
          <w:rtl/>
        </w:rPr>
        <w:t>•</w:t>
      </w:r>
      <w:r>
        <w:rPr>
          <w:rFonts w:hint="cs"/>
          <w:rtl/>
        </w:rPr>
        <w:t xml:space="preserve">  ومـمّـا ورد (الـعـبـارة)</w:t>
      </w:r>
      <w:r>
        <w:rPr>
          <w:rFonts w:hint="cs"/>
          <w:vertAlign w:val="superscript"/>
          <w:rtl/>
        </w:rPr>
        <w:t>(</w:t>
      </w:r>
      <w:r>
        <w:rPr>
          <w:rStyle w:val="a7"/>
          <w:rtl/>
        </w:rPr>
        <w:footnoteReference w:id="1802"/>
      </w:r>
      <w:r>
        <w:rPr>
          <w:rFonts w:hint="cs"/>
          <w:vertAlign w:val="superscript"/>
          <w:rtl/>
        </w:rPr>
        <w:t>)</w:t>
      </w:r>
      <w:r>
        <w:rPr>
          <w:rFonts w:hint="cs"/>
          <w:rtl/>
        </w:rPr>
        <w:t xml:space="preserve"> عـلـى خـلاف الـظـاهــر</w:t>
      </w:r>
      <w:r>
        <w:rPr>
          <w:rStyle w:val="a7"/>
          <w:rtl/>
        </w:rPr>
        <w:footnoteReference w:id="1803"/>
      </w:r>
      <w:r>
        <w:rPr>
          <w:rFonts w:hint="cs"/>
          <w:rtl/>
        </w:rPr>
        <w:t>:</w:t>
      </w:r>
    </w:p>
    <w:p w:rsidR="00C10469" w:rsidRDefault="00C10469" w:rsidP="00C10469">
      <w:pPr>
        <w:ind w:left="851" w:hanging="284"/>
        <w:rPr>
          <w:rtl/>
        </w:rPr>
      </w:pPr>
      <w:r>
        <w:rPr>
          <w:rFonts w:hint="cs"/>
          <w:rtl/>
        </w:rPr>
        <w:t xml:space="preserve">  ما ذكر</w:t>
      </w:r>
      <w:r>
        <w:rPr>
          <w:rStyle w:val="a7"/>
          <w:rtl/>
        </w:rPr>
        <w:footnoteReference w:id="1804"/>
      </w:r>
      <w:r>
        <w:rPr>
          <w:rFonts w:hint="cs"/>
          <w:rtl/>
        </w:rPr>
        <w:t xml:space="preserve"> صاحب (الـوقـاية)</w:t>
      </w:r>
      <w:r>
        <w:rPr>
          <w:rFonts w:hint="cs"/>
          <w:vertAlign w:val="superscript"/>
          <w:rtl/>
        </w:rPr>
        <w:t>(</w:t>
      </w:r>
      <w:r>
        <w:rPr>
          <w:rStyle w:val="a7"/>
          <w:rtl/>
        </w:rPr>
        <w:footnoteReference w:id="1805"/>
      </w:r>
      <w:r>
        <w:rPr>
          <w:rFonts w:hint="cs"/>
          <w:vertAlign w:val="superscript"/>
          <w:rtl/>
        </w:rPr>
        <w:t>)</w:t>
      </w:r>
      <w:r>
        <w:rPr>
          <w:rFonts w:hint="cs"/>
          <w:rtl/>
        </w:rPr>
        <w:t xml:space="preserve"> في كتاب اللُّقَطَة : </w:t>
      </w:r>
      <w:r>
        <w:rPr>
          <w:rFonts w:hint="eastAsia"/>
          <w:rtl/>
        </w:rPr>
        <w:t>«</w:t>
      </w:r>
      <w:r>
        <w:rPr>
          <w:rFonts w:hint="cs"/>
          <w:rtl/>
        </w:rPr>
        <w:t xml:space="preserve">هي أمانة إن أشهد على </w:t>
      </w:r>
    </w:p>
    <w:p w:rsidR="00C10469" w:rsidRDefault="00C10469" w:rsidP="00C10469">
      <w:pPr>
        <w:ind w:left="706" w:firstLine="0"/>
        <w:rPr>
          <w:rtl/>
        </w:rPr>
      </w:pPr>
      <w:r>
        <w:rPr>
          <w:rFonts w:hint="cs"/>
          <w:rtl/>
        </w:rPr>
        <w:lastRenderedPageBreak/>
        <w:t>أخذه ليردّه على ربّها، وإلا ضمن إن جحد المالك أخذه للردِّ</w:t>
      </w:r>
      <w:r>
        <w:rPr>
          <w:rFonts w:hint="eastAsia"/>
          <w:rtl/>
        </w:rPr>
        <w:t>»</w:t>
      </w:r>
      <w:r>
        <w:rPr>
          <w:rFonts w:hint="cs"/>
          <w:vertAlign w:val="superscript"/>
          <w:rtl/>
        </w:rPr>
        <w:t>(</w:t>
      </w:r>
      <w:r>
        <w:rPr>
          <w:rStyle w:val="a7"/>
          <w:rtl/>
        </w:rPr>
        <w:footnoteReference w:id="1806"/>
      </w:r>
      <w:r>
        <w:rPr>
          <w:rFonts w:hint="cs"/>
          <w:vertAlign w:val="superscript"/>
          <w:rtl/>
        </w:rPr>
        <w:t>)</w:t>
      </w:r>
      <w:r>
        <w:rPr>
          <w:rFonts w:hint="cs"/>
          <w:rtl/>
        </w:rPr>
        <w:t>.</w:t>
      </w:r>
    </w:p>
    <w:p w:rsidR="00C10469" w:rsidRDefault="00C10469" w:rsidP="00C10469">
      <w:pPr>
        <w:ind w:left="706" w:firstLine="0"/>
        <w:rPr>
          <w:rtl/>
        </w:rPr>
      </w:pPr>
      <w:r>
        <w:rPr>
          <w:rFonts w:hint="cs"/>
          <w:rtl/>
        </w:rPr>
        <w:t>فالظاهر فيه أن يقول : ليردّها (بإرجاع الضمير إلى اللقطة)</w:t>
      </w:r>
      <w:r>
        <w:rPr>
          <w:rStyle w:val="a7"/>
          <w:rtl/>
        </w:rPr>
        <w:footnoteReference w:id="1807"/>
      </w:r>
      <w:r>
        <w:rPr>
          <w:rFonts w:hint="cs"/>
          <w:rtl/>
        </w:rPr>
        <w:t>، كما وقع في أكثر كتب الفقه</w:t>
      </w:r>
      <w:r>
        <w:rPr>
          <w:rFonts w:hint="cs"/>
          <w:vertAlign w:val="superscript"/>
          <w:rtl/>
        </w:rPr>
        <w:t>(</w:t>
      </w:r>
      <w:r>
        <w:rPr>
          <w:rStyle w:val="a7"/>
          <w:rtl/>
        </w:rPr>
        <w:footnoteReference w:id="1808"/>
      </w:r>
      <w:r>
        <w:rPr>
          <w:rFonts w:hint="cs"/>
          <w:vertAlign w:val="superscript"/>
          <w:rtl/>
        </w:rPr>
        <w:t>)</w:t>
      </w:r>
      <w:r>
        <w:rPr>
          <w:rFonts w:hint="cs"/>
          <w:rtl/>
        </w:rPr>
        <w:t>!.</w:t>
      </w:r>
    </w:p>
    <w:p w:rsidR="00C10469" w:rsidRDefault="00C10469" w:rsidP="00C10469">
      <w:pPr>
        <w:ind w:left="706" w:firstLine="0"/>
        <w:rPr>
          <w:rtl/>
        </w:rPr>
      </w:pPr>
      <w:r>
        <w:rPr>
          <w:rFonts w:hint="cs"/>
          <w:rtl/>
        </w:rPr>
        <w:t>وإنما</w:t>
      </w:r>
      <w:r>
        <w:rPr>
          <w:rStyle w:val="a7"/>
          <w:rtl/>
        </w:rPr>
        <w:footnoteReference w:id="1809"/>
      </w:r>
      <w:r>
        <w:rPr>
          <w:rFonts w:hint="cs"/>
          <w:rtl/>
        </w:rPr>
        <w:t xml:space="preserve"> قال : </w:t>
      </w:r>
      <w:r>
        <w:rPr>
          <w:rFonts w:hint="eastAsia"/>
          <w:rtl/>
        </w:rPr>
        <w:t>«</w:t>
      </w:r>
      <w:r>
        <w:rPr>
          <w:rFonts w:hint="cs"/>
          <w:rtl/>
        </w:rPr>
        <w:t>ليردّه</w:t>
      </w:r>
      <w:r>
        <w:rPr>
          <w:rFonts w:hint="eastAsia"/>
          <w:rtl/>
        </w:rPr>
        <w:t>»</w:t>
      </w:r>
      <w:r>
        <w:rPr>
          <w:rFonts w:hint="cs"/>
          <w:rtl/>
        </w:rPr>
        <w:t>؛ لنكتةٍ، بيانها موقوف إلى بسط مقدمة</w:t>
      </w:r>
      <w:r>
        <w:rPr>
          <w:rFonts w:hint="cs"/>
          <w:vertAlign w:val="superscript"/>
          <w:rtl/>
        </w:rPr>
        <w:t>(</w:t>
      </w:r>
      <w:r>
        <w:rPr>
          <w:rStyle w:val="a7"/>
          <w:rtl/>
        </w:rPr>
        <w:footnoteReference w:id="1810"/>
      </w:r>
      <w:r>
        <w:rPr>
          <w:rFonts w:hint="cs"/>
          <w:vertAlign w:val="superscript"/>
          <w:rtl/>
        </w:rPr>
        <w:t>)</w:t>
      </w:r>
      <w:r>
        <w:rPr>
          <w:rFonts w:hint="cs"/>
          <w:rtl/>
        </w:rPr>
        <w:t>:</w:t>
      </w:r>
    </w:p>
    <w:p w:rsidR="00C10469" w:rsidRDefault="00C10469" w:rsidP="00C10469">
      <w:pPr>
        <w:ind w:left="706" w:firstLine="0"/>
        <w:rPr>
          <w:spacing w:val="8"/>
          <w:rtl/>
        </w:rPr>
      </w:pPr>
      <w:r>
        <w:rPr>
          <w:rFonts w:hint="cs"/>
          <w:spacing w:val="8"/>
          <w:rtl/>
        </w:rPr>
        <w:lastRenderedPageBreak/>
        <w:t>و</w:t>
      </w:r>
      <w:r>
        <w:rPr>
          <w:rStyle w:val="a7"/>
          <w:spacing w:val="8"/>
          <w:rtl/>
        </w:rPr>
        <w:footnoteReference w:id="1811"/>
      </w:r>
      <w:r>
        <w:rPr>
          <w:rFonts w:hint="cs"/>
          <w:spacing w:val="8"/>
          <w:rtl/>
        </w:rPr>
        <w:t>هي أن اللُّقَطَة صيغةٌ لمبالغة الفاعل، والملقوط [لمّا]</w:t>
      </w:r>
      <w:r>
        <w:rPr>
          <w:rStyle w:val="a7"/>
          <w:spacing w:val="8"/>
          <w:rtl/>
        </w:rPr>
        <w:footnoteReference w:id="1812"/>
      </w:r>
      <w:r>
        <w:rPr>
          <w:rFonts w:hint="cs"/>
          <w:spacing w:val="8"/>
          <w:rtl/>
        </w:rPr>
        <w:t xml:space="preserve"> كان مالاً مرغوبًا </w:t>
      </w:r>
      <w:r>
        <w:rPr>
          <w:spacing w:val="8"/>
          <w:rtl/>
        </w:rPr>
        <w:br/>
      </w:r>
      <w:r>
        <w:rPr>
          <w:rFonts w:hint="cs"/>
          <w:spacing w:val="8"/>
          <w:rtl/>
        </w:rPr>
        <w:t xml:space="preserve">فيه حاملاً على الأخذ، جُعل كالآخذ، ويُسمى (لاقطًا)؛ لكونه سببًا </w:t>
      </w:r>
      <w:r>
        <w:rPr>
          <w:spacing w:val="8"/>
          <w:rtl/>
        </w:rPr>
        <w:br/>
      </w:r>
      <w:r>
        <w:rPr>
          <w:rFonts w:hint="cs"/>
          <w:spacing w:val="8"/>
          <w:rtl/>
        </w:rPr>
        <w:t>لأخذِ مَنْ رآهُ.</w:t>
      </w:r>
    </w:p>
    <w:p w:rsidR="00C10469" w:rsidRDefault="00C10469" w:rsidP="00C10469">
      <w:pPr>
        <w:ind w:left="706" w:firstLine="0"/>
        <w:rPr>
          <w:rtl/>
        </w:rPr>
      </w:pPr>
      <w:r>
        <w:rPr>
          <w:rFonts w:hint="cs"/>
          <w:rtl/>
        </w:rPr>
        <w:lastRenderedPageBreak/>
        <w:t xml:space="preserve">ثم بولغ وقيل : </w:t>
      </w:r>
      <w:r>
        <w:rPr>
          <w:rFonts w:hint="eastAsia"/>
          <w:rtl/>
        </w:rPr>
        <w:t>«</w:t>
      </w:r>
      <w:r>
        <w:rPr>
          <w:rFonts w:hint="cs"/>
          <w:rtl/>
        </w:rPr>
        <w:t>لُقَطَة</w:t>
      </w:r>
      <w:r>
        <w:rPr>
          <w:rFonts w:hint="eastAsia"/>
          <w:rtl/>
        </w:rPr>
        <w:t>»</w:t>
      </w:r>
      <w:r>
        <w:rPr>
          <w:rFonts w:hint="cs"/>
          <w:rtl/>
        </w:rPr>
        <w:t>. وعلى هذا التقدير</w:t>
      </w:r>
      <w:r>
        <w:rPr>
          <w:rStyle w:val="a7"/>
          <w:rtl/>
        </w:rPr>
        <w:footnoteReference w:id="1813"/>
      </w:r>
      <w:r>
        <w:rPr>
          <w:rFonts w:hint="cs"/>
          <w:rtl/>
        </w:rPr>
        <w:t xml:space="preserve"> : </w:t>
      </w:r>
    </w:p>
    <w:p w:rsidR="00C10469" w:rsidRDefault="00C10469" w:rsidP="00C10469">
      <w:pPr>
        <w:ind w:left="706" w:firstLine="0"/>
        <w:rPr>
          <w:spacing w:val="8"/>
          <w:rtl/>
        </w:rPr>
      </w:pPr>
      <w:r>
        <w:rPr>
          <w:rFonts w:hint="cs"/>
          <w:spacing w:val="8"/>
          <w:rtl/>
        </w:rPr>
        <w:t>إسـنــاد [الالـتـقـاط]</w:t>
      </w:r>
      <w:r>
        <w:rPr>
          <w:rStyle w:val="a7"/>
          <w:spacing w:val="8"/>
          <w:rtl/>
        </w:rPr>
        <w:footnoteReference w:id="1814"/>
      </w:r>
      <w:r>
        <w:rPr>
          <w:rFonts w:hint="cs"/>
          <w:spacing w:val="8"/>
          <w:rtl/>
        </w:rPr>
        <w:t xml:space="preserve"> إلى الـمالِ كـان مـجـازًا عقلـيًّا</w:t>
      </w:r>
      <w:r>
        <w:rPr>
          <w:rFonts w:hint="cs"/>
          <w:spacing w:val="8"/>
          <w:vertAlign w:val="superscript"/>
          <w:rtl/>
        </w:rPr>
        <w:t>(</w:t>
      </w:r>
      <w:r>
        <w:rPr>
          <w:rStyle w:val="a7"/>
          <w:spacing w:val="8"/>
          <w:rtl/>
        </w:rPr>
        <w:footnoteReference w:id="1815"/>
      </w:r>
      <w:r>
        <w:rPr>
          <w:rFonts w:hint="cs"/>
          <w:spacing w:val="8"/>
          <w:vertAlign w:val="superscript"/>
          <w:rtl/>
        </w:rPr>
        <w:t>)</w:t>
      </w:r>
      <w:r>
        <w:rPr>
          <w:rFonts w:hint="cs"/>
          <w:spacing w:val="8"/>
          <w:rtl/>
        </w:rPr>
        <w:t xml:space="preserve">، </w:t>
      </w:r>
    </w:p>
    <w:p w:rsidR="00C10469" w:rsidRPr="009529AA" w:rsidRDefault="00C10469" w:rsidP="00C10469">
      <w:pPr>
        <w:ind w:left="706" w:firstLine="0"/>
        <w:rPr>
          <w:spacing w:val="8"/>
          <w:sz w:val="2"/>
          <w:szCs w:val="8"/>
          <w:rtl/>
        </w:rPr>
      </w:pPr>
      <w:r>
        <w:rPr>
          <w:rFonts w:hint="cs"/>
          <w:spacing w:val="8"/>
          <w:rtl/>
        </w:rPr>
        <w:lastRenderedPageBreak/>
        <w:t>أو استعارةً بالكناية</w:t>
      </w:r>
      <w:r>
        <w:rPr>
          <w:rFonts w:hint="cs"/>
          <w:spacing w:val="8"/>
          <w:vertAlign w:val="superscript"/>
          <w:rtl/>
        </w:rPr>
        <w:t>(</w:t>
      </w:r>
      <w:r>
        <w:rPr>
          <w:rStyle w:val="a7"/>
          <w:spacing w:val="8"/>
          <w:rtl/>
        </w:rPr>
        <w:footnoteReference w:id="1816"/>
      </w:r>
      <w:r>
        <w:rPr>
          <w:rFonts w:hint="cs"/>
          <w:spacing w:val="8"/>
          <w:vertAlign w:val="superscript"/>
          <w:rtl/>
        </w:rPr>
        <w:t>)</w:t>
      </w:r>
      <w:r>
        <w:rPr>
          <w:rFonts w:hint="cs"/>
          <w:spacing w:val="8"/>
          <w:rtl/>
        </w:rPr>
        <w:t>، - على اختلاف المذهبين</w:t>
      </w:r>
      <w:r>
        <w:rPr>
          <w:rFonts w:hint="cs"/>
          <w:spacing w:val="8"/>
          <w:vertAlign w:val="superscript"/>
          <w:rtl/>
        </w:rPr>
        <w:t>(</w:t>
      </w:r>
      <w:r>
        <w:rPr>
          <w:rStyle w:val="a7"/>
          <w:spacing w:val="8"/>
          <w:rtl/>
        </w:rPr>
        <w:footnoteReference w:id="1817"/>
      </w:r>
      <w:r>
        <w:rPr>
          <w:rFonts w:hint="cs"/>
          <w:spacing w:val="8"/>
          <w:vertAlign w:val="superscript"/>
          <w:rtl/>
        </w:rPr>
        <w:t>)</w:t>
      </w:r>
      <w:r>
        <w:rPr>
          <w:rFonts w:hint="cs"/>
          <w:spacing w:val="8"/>
          <w:rtl/>
        </w:rPr>
        <w:t xml:space="preserve">، وتفصيله في علم المعاني- فكأنّ المصنّف لمْ يَرَ جواز إرجاع الضمير المنصوب إلى اللقطة بأن يقال : </w:t>
      </w:r>
      <w:r>
        <w:rPr>
          <w:rFonts w:hint="eastAsia"/>
          <w:spacing w:val="8"/>
          <w:rtl/>
        </w:rPr>
        <w:t>«</w:t>
      </w:r>
      <w:r>
        <w:rPr>
          <w:rFonts w:hint="cs"/>
          <w:spacing w:val="8"/>
          <w:rtl/>
        </w:rPr>
        <w:t>ليردّها</w:t>
      </w:r>
      <w:r>
        <w:rPr>
          <w:rFonts w:hint="eastAsia"/>
          <w:spacing w:val="8"/>
          <w:rtl/>
        </w:rPr>
        <w:t>»</w:t>
      </w:r>
      <w:r>
        <w:rPr>
          <w:rFonts w:hint="cs"/>
          <w:spacing w:val="8"/>
          <w:rtl/>
        </w:rPr>
        <w:t xml:space="preserve"> ادّعاءً في اللقطة حقيقتها الوضعية، على معنى أنّ </w:t>
      </w:r>
      <w:r>
        <w:rPr>
          <w:spacing w:val="8"/>
          <w:rtl/>
        </w:rPr>
        <w:br/>
      </w:r>
      <w:r>
        <w:rPr>
          <w:rFonts w:hint="cs"/>
          <w:spacing w:val="8"/>
          <w:rtl/>
        </w:rPr>
        <w:t>المال وجد من يصونه عن الهلاك، والواجد لـمّا ابتُلي بالاشتغال</w:t>
      </w:r>
      <w:r>
        <w:rPr>
          <w:rStyle w:val="a7"/>
          <w:spacing w:val="8"/>
          <w:rtl/>
        </w:rPr>
        <w:footnoteReference w:id="1818"/>
      </w:r>
      <w:r>
        <w:rPr>
          <w:rFonts w:hint="cs"/>
          <w:spacing w:val="8"/>
          <w:rtl/>
        </w:rPr>
        <w:t xml:space="preserve"> إلى ما يفيد، من تعريفه، وحفظه، وتضمينه إن هلك</w:t>
      </w:r>
      <w:r>
        <w:rPr>
          <w:rStyle w:val="a7"/>
          <w:spacing w:val="8"/>
          <w:rtl/>
        </w:rPr>
        <w:footnoteReference w:id="1819"/>
      </w:r>
      <w:r>
        <w:rPr>
          <w:rFonts w:hint="cs"/>
          <w:spacing w:val="8"/>
          <w:rtl/>
        </w:rPr>
        <w:t xml:space="preserve"> في يده قبل الإشهاد : </w:t>
      </w:r>
      <w:r>
        <w:rPr>
          <w:spacing w:val="8"/>
          <w:rtl/>
        </w:rPr>
        <w:br/>
      </w:r>
      <w:r>
        <w:rPr>
          <w:rFonts w:hint="cs"/>
          <w:spacing w:val="8"/>
          <w:rtl/>
        </w:rPr>
        <w:t>جُعل</w:t>
      </w:r>
      <w:r>
        <w:rPr>
          <w:rStyle w:val="a7"/>
          <w:spacing w:val="8"/>
          <w:rtl/>
        </w:rPr>
        <w:footnoteReference w:id="1820"/>
      </w:r>
      <w:r>
        <w:rPr>
          <w:rFonts w:hint="cs"/>
          <w:spacing w:val="8"/>
          <w:rtl/>
        </w:rPr>
        <w:t xml:space="preserve"> كغير الواجد؛ لفقدان فائدة الوجدان، وهي الانتفاع به. فالضمير المذكور: إن رجع إلى اللقطة مع اعتبار حقيقتها الوضعية</w:t>
      </w:r>
      <w:r>
        <w:rPr>
          <w:rFonts w:hint="cs"/>
          <w:spacing w:val="8"/>
          <w:vertAlign w:val="superscript"/>
          <w:rtl/>
        </w:rPr>
        <w:t>(</w:t>
      </w:r>
      <w:r>
        <w:rPr>
          <w:rStyle w:val="a7"/>
          <w:spacing w:val="8"/>
        </w:rPr>
        <w:footnoteReference w:id="1821"/>
      </w:r>
      <w:r>
        <w:rPr>
          <w:rFonts w:hint="cs"/>
          <w:spacing w:val="8"/>
          <w:vertAlign w:val="superscript"/>
          <w:rtl/>
        </w:rPr>
        <w:t>)</w:t>
      </w:r>
      <w:r>
        <w:rPr>
          <w:rFonts w:hint="cs"/>
          <w:spacing w:val="8"/>
          <w:rtl/>
        </w:rPr>
        <w:t xml:space="preserve">، والضمير المرفوع المستتر في </w:t>
      </w:r>
      <w:r>
        <w:rPr>
          <w:rFonts w:hint="eastAsia"/>
          <w:spacing w:val="8"/>
          <w:rtl/>
        </w:rPr>
        <w:t>«</w:t>
      </w:r>
      <w:r>
        <w:rPr>
          <w:rFonts w:hint="cs"/>
          <w:spacing w:val="8"/>
          <w:rtl/>
        </w:rPr>
        <w:t>ليَردّه</w:t>
      </w:r>
      <w:r>
        <w:rPr>
          <w:rFonts w:hint="eastAsia"/>
          <w:spacing w:val="8"/>
          <w:rtl/>
        </w:rPr>
        <w:t>»</w:t>
      </w:r>
      <w:r>
        <w:rPr>
          <w:rFonts w:hint="cs"/>
          <w:spacing w:val="8"/>
          <w:rtl/>
        </w:rPr>
        <w:t xml:space="preserve"> إلى اللاقط</w:t>
      </w:r>
      <w:r>
        <w:rPr>
          <w:rFonts w:hint="cs"/>
          <w:spacing w:val="8"/>
          <w:vertAlign w:val="superscript"/>
          <w:rtl/>
        </w:rPr>
        <w:t>(</w:t>
      </w:r>
      <w:r>
        <w:rPr>
          <w:rStyle w:val="a7"/>
          <w:spacing w:val="8"/>
        </w:rPr>
        <w:footnoteReference w:id="1822"/>
      </w:r>
      <w:r>
        <w:rPr>
          <w:rFonts w:hint="cs"/>
          <w:spacing w:val="8"/>
          <w:vertAlign w:val="superscript"/>
          <w:rtl/>
        </w:rPr>
        <w:t>)</w:t>
      </w:r>
      <w:r>
        <w:rPr>
          <w:rFonts w:hint="cs"/>
          <w:spacing w:val="8"/>
          <w:rtl/>
        </w:rPr>
        <w:t xml:space="preserve"> : يكون المعنى : ليرد </w:t>
      </w:r>
      <w:r>
        <w:rPr>
          <w:rFonts w:hint="cs"/>
          <w:spacing w:val="8"/>
          <w:rtl/>
        </w:rPr>
        <w:lastRenderedPageBreak/>
        <w:t>اللاّقطُ اللاقطَ</w:t>
      </w:r>
      <w:r>
        <w:rPr>
          <w:rStyle w:val="a7"/>
          <w:spacing w:val="8"/>
          <w:rtl/>
        </w:rPr>
        <w:footnoteReference w:id="1823"/>
      </w:r>
      <w:r>
        <w:rPr>
          <w:rFonts w:hint="cs"/>
          <w:spacing w:val="8"/>
          <w:rtl/>
        </w:rPr>
        <w:t>، فذا باطل. فعلى هذا التقدير</w:t>
      </w:r>
      <w:r>
        <w:rPr>
          <w:rFonts w:hint="cs"/>
          <w:spacing w:val="8"/>
          <w:vertAlign w:val="superscript"/>
          <w:rtl/>
        </w:rPr>
        <w:t>(</w:t>
      </w:r>
      <w:r>
        <w:rPr>
          <w:rStyle w:val="a7"/>
          <w:spacing w:val="8"/>
        </w:rPr>
        <w:footnoteReference w:id="1824"/>
      </w:r>
      <w:r>
        <w:rPr>
          <w:rFonts w:hint="cs"/>
          <w:spacing w:val="8"/>
          <w:vertAlign w:val="superscript"/>
          <w:rtl/>
        </w:rPr>
        <w:t>)</w:t>
      </w:r>
      <w:r>
        <w:rPr>
          <w:rFonts w:hint="cs"/>
          <w:spacing w:val="8"/>
          <w:rtl/>
        </w:rPr>
        <w:t>: الضمير</w:t>
      </w:r>
      <w:r>
        <w:rPr>
          <w:rStyle w:val="a7"/>
          <w:spacing w:val="8"/>
          <w:rtl/>
        </w:rPr>
        <w:footnoteReference w:id="1825"/>
      </w:r>
      <w:r>
        <w:rPr>
          <w:rFonts w:hint="cs"/>
          <w:spacing w:val="8"/>
          <w:rtl/>
        </w:rPr>
        <w:t xml:space="preserve"> المذكور راجع إلى المأخوذ</w:t>
      </w:r>
      <w:r>
        <w:rPr>
          <w:rStyle w:val="a7"/>
          <w:spacing w:val="8"/>
          <w:rtl/>
        </w:rPr>
        <w:footnoteReference w:id="1826"/>
      </w:r>
      <w:r>
        <w:rPr>
          <w:rFonts w:hint="cs"/>
          <w:spacing w:val="8"/>
          <w:rtl/>
        </w:rPr>
        <w:t xml:space="preserve"> (المأخوذ من</w:t>
      </w:r>
      <w:r>
        <w:rPr>
          <w:rStyle w:val="a7"/>
          <w:spacing w:val="8"/>
          <w:rtl/>
        </w:rPr>
        <w:footnoteReference w:id="1827"/>
      </w:r>
      <w:r>
        <w:rPr>
          <w:rFonts w:hint="cs"/>
          <w:spacing w:val="8"/>
          <w:rtl/>
        </w:rPr>
        <w:t xml:space="preserve"> الآخذ)، فيكون التقدير : ليردّ الآخذُ المأخوذ </w:t>
      </w:r>
      <w:r>
        <w:rPr>
          <w:spacing w:val="8"/>
          <w:rtl/>
        </w:rPr>
        <w:br/>
      </w:r>
      <w:r>
        <w:rPr>
          <w:rFonts w:hint="cs"/>
          <w:spacing w:val="8"/>
          <w:rtl/>
        </w:rPr>
        <w:t xml:space="preserve">إلى ربّه، وكذا الضمير في  قوله : </w:t>
      </w:r>
      <w:r>
        <w:rPr>
          <w:rFonts w:hint="eastAsia"/>
          <w:spacing w:val="8"/>
          <w:rtl/>
        </w:rPr>
        <w:t>«</w:t>
      </w:r>
      <w:r>
        <w:rPr>
          <w:rFonts w:hint="cs"/>
          <w:spacing w:val="8"/>
          <w:rtl/>
        </w:rPr>
        <w:t>على</w:t>
      </w:r>
      <w:r>
        <w:rPr>
          <w:rStyle w:val="a7"/>
          <w:spacing w:val="8"/>
          <w:rtl/>
        </w:rPr>
        <w:footnoteReference w:id="1828"/>
      </w:r>
      <w:r>
        <w:rPr>
          <w:rFonts w:hint="cs"/>
          <w:spacing w:val="8"/>
          <w:rtl/>
        </w:rPr>
        <w:t xml:space="preserve"> أخذه</w:t>
      </w:r>
      <w:r>
        <w:rPr>
          <w:rStyle w:val="a7"/>
          <w:spacing w:val="8"/>
          <w:rtl/>
        </w:rPr>
        <w:footnoteReference w:id="1829"/>
      </w:r>
      <w:r>
        <w:rPr>
          <w:rFonts w:hint="eastAsia"/>
          <w:spacing w:val="8"/>
          <w:rtl/>
        </w:rPr>
        <w:t>»</w:t>
      </w:r>
      <w:r>
        <w:rPr>
          <w:rFonts w:hint="cs"/>
          <w:spacing w:val="8"/>
          <w:rtl/>
        </w:rPr>
        <w:t xml:space="preserve"> فـإنّـه راجع إلى</w:t>
      </w:r>
      <w:r>
        <w:rPr>
          <w:spacing w:val="8"/>
          <w:rtl/>
        </w:rPr>
        <w:br/>
      </w:r>
    </w:p>
    <w:p w:rsidR="00C10469" w:rsidRDefault="00C10469" w:rsidP="00C10469">
      <w:pPr>
        <w:ind w:left="706" w:firstLine="0"/>
        <w:rPr>
          <w:spacing w:val="8"/>
          <w:rtl/>
        </w:rPr>
      </w:pPr>
      <w:r>
        <w:rPr>
          <w:rFonts w:hint="cs"/>
          <w:spacing w:val="8"/>
          <w:rtl/>
        </w:rPr>
        <w:t xml:space="preserve"> المأخوذ</w:t>
      </w:r>
      <w:r>
        <w:rPr>
          <w:rStyle w:val="a7"/>
          <w:spacing w:val="8"/>
          <w:rtl/>
        </w:rPr>
        <w:footnoteReference w:id="1830"/>
      </w:r>
      <w:r>
        <w:rPr>
          <w:rFonts w:hint="cs"/>
          <w:spacing w:val="8"/>
          <w:rtl/>
        </w:rPr>
        <w:t xml:space="preserve"> (المأخوذ منه)</w:t>
      </w:r>
      <w:r>
        <w:rPr>
          <w:rStyle w:val="a7"/>
          <w:spacing w:val="8"/>
          <w:rtl/>
        </w:rPr>
        <w:footnoteReference w:id="1831"/>
      </w:r>
      <w:r>
        <w:rPr>
          <w:rFonts w:hint="cs"/>
          <w:spacing w:val="8"/>
          <w:rtl/>
        </w:rPr>
        <w:t>، فيكون المصدر مضافًا إلى فاعله</w:t>
      </w:r>
      <w:r>
        <w:rPr>
          <w:rFonts w:hint="cs"/>
          <w:spacing w:val="8"/>
          <w:vertAlign w:val="superscript"/>
          <w:rtl/>
        </w:rPr>
        <w:t>(</w:t>
      </w:r>
      <w:r>
        <w:rPr>
          <w:rStyle w:val="a7"/>
          <w:spacing w:val="8"/>
        </w:rPr>
        <w:footnoteReference w:id="1832"/>
      </w:r>
      <w:r>
        <w:rPr>
          <w:rFonts w:hint="cs"/>
          <w:spacing w:val="8"/>
          <w:vertAlign w:val="superscript"/>
          <w:rtl/>
        </w:rPr>
        <w:t>)</w:t>
      </w:r>
      <w:r>
        <w:rPr>
          <w:rFonts w:hint="cs"/>
          <w:spacing w:val="8"/>
          <w:rtl/>
        </w:rPr>
        <w:t>.</w:t>
      </w:r>
    </w:p>
    <w:p w:rsidR="00C10469" w:rsidRDefault="00C10469" w:rsidP="0089068D">
      <w:pPr>
        <w:ind w:left="706" w:firstLine="0"/>
        <w:rPr>
          <w:spacing w:val="-2"/>
          <w:rtl/>
        </w:rPr>
      </w:pPr>
      <w:r>
        <w:rPr>
          <w:rFonts w:hint="cs"/>
          <w:spacing w:val="-2"/>
          <w:rtl/>
        </w:rPr>
        <w:t>ففي هذه</w:t>
      </w:r>
      <w:r>
        <w:rPr>
          <w:rStyle w:val="a7"/>
          <w:spacing w:val="-2"/>
          <w:rtl/>
        </w:rPr>
        <w:footnoteReference w:id="1833"/>
      </w:r>
      <w:r>
        <w:rPr>
          <w:rFonts w:hint="cs"/>
          <w:spacing w:val="-2"/>
          <w:rtl/>
        </w:rPr>
        <w:t xml:space="preserve"> النكتة زجر عن الخيانة في الملقوط</w:t>
      </w:r>
      <w:r>
        <w:rPr>
          <w:rStyle w:val="a7"/>
          <w:spacing w:val="-2"/>
          <w:rtl/>
        </w:rPr>
        <w:footnoteReference w:id="1834"/>
      </w:r>
      <w:r>
        <w:rPr>
          <w:rFonts w:hint="cs"/>
          <w:spacing w:val="-2"/>
          <w:rtl/>
        </w:rPr>
        <w:t>، وترغيب</w:t>
      </w:r>
      <w:r>
        <w:rPr>
          <w:rStyle w:val="a7"/>
          <w:spacing w:val="-2"/>
          <w:rtl/>
        </w:rPr>
        <w:footnoteReference w:id="1835"/>
      </w:r>
      <w:r>
        <w:rPr>
          <w:rFonts w:hint="cs"/>
          <w:spacing w:val="-2"/>
          <w:rtl/>
        </w:rPr>
        <w:t xml:space="preserve"> في رعاية حقوقه، كأنه قال : انتبهْ، فإنّك لست بواجد؛ بل الملقوط</w:t>
      </w:r>
      <w:r>
        <w:rPr>
          <w:rStyle w:val="a7"/>
          <w:spacing w:val="-2"/>
          <w:rtl/>
        </w:rPr>
        <w:footnoteReference w:id="1836"/>
      </w:r>
      <w:r>
        <w:rPr>
          <w:rFonts w:hint="cs"/>
          <w:spacing w:val="-2"/>
          <w:rtl/>
        </w:rPr>
        <w:t xml:space="preserve"> وجدك؛ لتصونه </w:t>
      </w:r>
      <w:r>
        <w:rPr>
          <w:rFonts w:hint="cs"/>
          <w:spacing w:val="-2"/>
          <w:rtl/>
        </w:rPr>
        <w:lastRenderedPageBreak/>
        <w:t>عن الضياع</w:t>
      </w:r>
      <w:r>
        <w:rPr>
          <w:rStyle w:val="a7"/>
          <w:spacing w:val="-2"/>
          <w:rtl/>
        </w:rPr>
        <w:footnoteReference w:id="1837"/>
      </w:r>
      <w:r>
        <w:rPr>
          <w:rFonts w:hint="cs"/>
          <w:spacing w:val="-2"/>
          <w:rtl/>
        </w:rPr>
        <w:t>، فلا [تتجاسر]</w:t>
      </w:r>
      <w:r>
        <w:rPr>
          <w:rStyle w:val="a7"/>
          <w:spacing w:val="-2"/>
          <w:rtl/>
        </w:rPr>
        <w:footnoteReference w:id="1838"/>
      </w:r>
      <w:r>
        <w:rPr>
          <w:rFonts w:hint="cs"/>
          <w:spacing w:val="-2"/>
          <w:rtl/>
        </w:rPr>
        <w:t xml:space="preserve"> على التصرّف فيه، فتقع</w:t>
      </w:r>
      <w:r>
        <w:rPr>
          <w:rStyle w:val="a7"/>
          <w:spacing w:val="-2"/>
          <w:rtl/>
        </w:rPr>
        <w:footnoteReference w:id="1839"/>
      </w:r>
      <w:r>
        <w:rPr>
          <w:rFonts w:hint="cs"/>
          <w:spacing w:val="-2"/>
          <w:rtl/>
        </w:rPr>
        <w:t xml:space="preserve"> على الخسران بوجوب الضمان في الدّنيا، وتستحق الوعيد في الآخرة. -والله تعالى أعلم</w:t>
      </w:r>
      <w:r>
        <w:rPr>
          <w:rStyle w:val="a7"/>
          <w:spacing w:val="-2"/>
          <w:rtl/>
        </w:rPr>
        <w:footnoteReference w:id="1840"/>
      </w:r>
      <w:r>
        <w:rPr>
          <w:rFonts w:hint="cs"/>
          <w:spacing w:val="-2"/>
          <w:rtl/>
        </w:rPr>
        <w:t>-</w:t>
      </w:r>
    </w:p>
    <w:p w:rsidR="00C10469" w:rsidRDefault="00C10469">
      <w:pPr>
        <w:ind w:left="1097" w:right="1097" w:firstLine="0"/>
        <w:rPr>
          <w:rtl/>
        </w:rPr>
      </w:pPr>
    </w:p>
    <w:p w:rsidR="00C10469" w:rsidRDefault="00C10469">
      <w:pPr>
        <w:ind w:left="1097" w:right="1097" w:firstLine="0"/>
        <w:rPr>
          <w:rtl/>
        </w:rPr>
      </w:pPr>
    </w:p>
    <w:p w:rsidR="00C10469" w:rsidRPr="00D53A10" w:rsidRDefault="00C10469">
      <w:pPr>
        <w:ind w:left="1097" w:right="1097"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left="1097" w:right="1097" w:firstLine="0"/>
        <w:rPr>
          <w:rtl/>
        </w:rPr>
        <w:sectPr w:rsidR="00C10469" w:rsidSect="00C10469">
          <w:headerReference w:type="default" r:id="rId12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C3014" w:rsidRDefault="00C10469">
      <w:pPr>
        <w:pStyle w:val="a9"/>
        <w:rPr>
          <w:rFonts w:cs="AL-Mateen"/>
          <w:rtl/>
          <w:lang w:val="en-US"/>
        </w:rPr>
      </w:pPr>
      <w:r w:rsidRPr="00AC3014">
        <w:rPr>
          <w:rFonts w:cs="AL-Mateen" w:hint="cs"/>
          <w:rtl/>
          <w:lang w:val="en-US"/>
        </w:rPr>
        <w:lastRenderedPageBreak/>
        <w:t>[ الـقـاعـدة الثـالثة والسبعون ]</w:t>
      </w:r>
    </w:p>
    <w:p w:rsidR="00C10469" w:rsidRDefault="00C10469">
      <w:pPr>
        <w:rPr>
          <w:rtl/>
        </w:rPr>
      </w:pPr>
      <w:r>
        <w:rPr>
          <w:rFonts w:cs="Monotype Koufi" w:hint="cs"/>
          <w:rtl/>
        </w:rPr>
        <w:t>التَّرجِيحُ لا يقعُ بِكَثْرةِ العِلَلِ</w:t>
      </w:r>
      <w:r>
        <w:rPr>
          <w:rFonts w:hint="cs"/>
          <w:vertAlign w:val="superscript"/>
          <w:rtl/>
        </w:rPr>
        <w:t>(</w:t>
      </w:r>
      <w:r>
        <w:rPr>
          <w:rStyle w:val="a7"/>
          <w:rtl/>
        </w:rPr>
        <w:footnoteReference w:id="1841"/>
      </w:r>
      <w:r>
        <w:rPr>
          <w:rFonts w:hint="cs"/>
          <w:vertAlign w:val="superscript"/>
          <w:rtl/>
        </w:rPr>
        <w:t>)</w:t>
      </w:r>
      <w:r>
        <w:rPr>
          <w:rFonts w:hint="cs"/>
          <w:rtl/>
        </w:rPr>
        <w:t xml:space="preserve"> :</w:t>
      </w:r>
    </w:p>
    <w:p w:rsidR="00C10469" w:rsidRDefault="00C10469">
      <w:pPr>
        <w:rPr>
          <w:rtl/>
        </w:rPr>
      </w:pPr>
      <w:r>
        <w:rPr>
          <w:rFonts w:hint="cs"/>
          <w:b/>
          <w:bCs/>
          <w:rtl/>
        </w:rPr>
        <w:t>ولهذا</w:t>
      </w:r>
      <w:r>
        <w:rPr>
          <w:rFonts w:hint="cs"/>
          <w:rtl/>
        </w:rPr>
        <w:t xml:space="preserve"> : «لا يترجّح القياس بقياس آخر، وكذا الحديث»</w:t>
      </w:r>
      <w:r>
        <w:rPr>
          <w:rFonts w:hint="cs"/>
          <w:vertAlign w:val="superscript"/>
          <w:rtl/>
        </w:rPr>
        <w:t>(</w:t>
      </w:r>
      <w:r>
        <w:rPr>
          <w:rStyle w:val="a7"/>
          <w:rtl/>
        </w:rPr>
        <w:footnoteReference w:id="1842"/>
      </w:r>
      <w:r>
        <w:rPr>
          <w:rFonts w:hint="cs"/>
          <w:vertAlign w:val="superscript"/>
          <w:rtl/>
        </w:rPr>
        <w:t>)</w:t>
      </w:r>
      <w:r>
        <w:rPr>
          <w:rFonts w:hint="cs"/>
          <w:rtl/>
        </w:rPr>
        <w:t>.</w:t>
      </w:r>
    </w:p>
    <w:p w:rsidR="00C10469" w:rsidRDefault="00C10469">
      <w:pPr>
        <w:rPr>
          <w:rtl/>
        </w:rPr>
      </w:pPr>
      <w:r>
        <w:rPr>
          <w:rFonts w:hint="cs"/>
          <w:rtl/>
        </w:rPr>
        <w:t>«اعلم أنّ العلماء اختلفوا في الترجيح بكثرة الأدلّة، مثل : أن يكون</w:t>
      </w:r>
      <w:r>
        <w:rPr>
          <w:rStyle w:val="a7"/>
          <w:rtl/>
        </w:rPr>
        <w:footnoteReference w:id="1843"/>
      </w:r>
      <w:r>
        <w:rPr>
          <w:rFonts w:hint="cs"/>
          <w:rtl/>
        </w:rPr>
        <w:t xml:space="preserve"> في جانبٍ حديثٌ واحدٌ، أو</w:t>
      </w:r>
      <w:r>
        <w:rPr>
          <w:rStyle w:val="a7"/>
          <w:rtl/>
        </w:rPr>
        <w:footnoteReference w:id="1844"/>
      </w:r>
      <w:r>
        <w:rPr>
          <w:rFonts w:hint="cs"/>
          <w:rtl/>
        </w:rPr>
        <w:t xml:space="preserve"> قياسٌ واحدٌ، وفي جانبٍ آخر حديثان، أو قياسان :</w:t>
      </w:r>
    </w:p>
    <w:p w:rsidR="00C10469" w:rsidRDefault="00C10469">
      <w:pPr>
        <w:rPr>
          <w:rtl/>
        </w:rPr>
      </w:pPr>
      <w:r>
        <w:rPr>
          <w:rFonts w:hint="cs"/>
          <w:rtl/>
        </w:rPr>
        <w:lastRenderedPageBreak/>
        <w:t>فذهب بعض أصحابنا</w:t>
      </w:r>
      <w:r>
        <w:rPr>
          <w:rFonts w:hint="cs"/>
          <w:vertAlign w:val="superscript"/>
          <w:rtl/>
        </w:rPr>
        <w:t>(</w:t>
      </w:r>
      <w:r>
        <w:rPr>
          <w:rStyle w:val="a7"/>
          <w:rtl/>
        </w:rPr>
        <w:footnoteReference w:id="1845"/>
      </w:r>
      <w:r>
        <w:rPr>
          <w:rFonts w:hint="cs"/>
          <w:vertAlign w:val="superscript"/>
          <w:rtl/>
        </w:rPr>
        <w:t>)</w:t>
      </w:r>
      <w:r>
        <w:rPr>
          <w:rFonts w:hint="cs"/>
          <w:rtl/>
        </w:rPr>
        <w:t xml:space="preserve"> وأصحاب الشافعي</w:t>
      </w:r>
      <w:r>
        <w:rPr>
          <w:rFonts w:hint="cs"/>
          <w:vertAlign w:val="superscript"/>
          <w:rtl/>
        </w:rPr>
        <w:t>(</w:t>
      </w:r>
      <w:r>
        <w:rPr>
          <w:rStyle w:val="a7"/>
          <w:rtl/>
        </w:rPr>
        <w:footnoteReference w:id="1846"/>
      </w:r>
      <w:r>
        <w:rPr>
          <w:rFonts w:hint="cs"/>
          <w:vertAlign w:val="superscript"/>
          <w:rtl/>
        </w:rPr>
        <w:t>)</w:t>
      </w:r>
      <w:r>
        <w:rPr>
          <w:rFonts w:hint="cs"/>
          <w:rtl/>
        </w:rPr>
        <w:t xml:space="preserve"> إلى أنّه يصحّ الترجيح بهما؛ مـتمسِّكين في ذلك</w:t>
      </w:r>
      <w:r>
        <w:rPr>
          <w:rFonts w:hint="cs"/>
          <w:vertAlign w:val="superscript"/>
          <w:rtl/>
        </w:rPr>
        <w:t>(</w:t>
      </w:r>
      <w:r>
        <w:rPr>
          <w:rStyle w:val="a7"/>
          <w:rtl/>
        </w:rPr>
        <w:footnoteReference w:id="1847"/>
      </w:r>
      <w:r>
        <w:rPr>
          <w:rFonts w:hint="cs"/>
          <w:vertAlign w:val="superscript"/>
          <w:rtl/>
        </w:rPr>
        <w:t>)</w:t>
      </w:r>
      <w:r>
        <w:rPr>
          <w:rFonts w:hint="cs"/>
          <w:rtl/>
        </w:rPr>
        <w:t xml:space="preserve"> بأنَّ كل واحد منهما يفيد</w:t>
      </w:r>
      <w:r>
        <w:rPr>
          <w:rStyle w:val="a7"/>
          <w:rtl/>
        </w:rPr>
        <w:footnoteReference w:id="1848"/>
      </w:r>
      <w:r>
        <w:rPr>
          <w:rFonts w:hint="cs"/>
          <w:rtl/>
        </w:rPr>
        <w:t xml:space="preserve"> قدرًا من الظنّ، فعند الاجتماع [تحصل]</w:t>
      </w:r>
      <w:r>
        <w:rPr>
          <w:rStyle w:val="a7"/>
          <w:rtl/>
        </w:rPr>
        <w:footnoteReference w:id="1849"/>
      </w:r>
      <w:r>
        <w:rPr>
          <w:rFonts w:hint="cs"/>
          <w:rtl/>
        </w:rPr>
        <w:t xml:space="preserve"> الزيادة؛ لئلا يجتمع على الأثر الواحد مؤثران</w:t>
      </w:r>
      <w:r>
        <w:rPr>
          <w:rFonts w:hint="cs"/>
          <w:vertAlign w:val="superscript"/>
          <w:rtl/>
        </w:rPr>
        <w:t>(</w:t>
      </w:r>
      <w:r>
        <w:rPr>
          <w:rStyle w:val="a7"/>
          <w:rtl/>
        </w:rPr>
        <w:footnoteReference w:id="1850"/>
      </w:r>
      <w:r>
        <w:rPr>
          <w:rFonts w:hint="cs"/>
          <w:vertAlign w:val="superscript"/>
          <w:rtl/>
        </w:rPr>
        <w:t>)</w:t>
      </w:r>
      <w:r>
        <w:rPr>
          <w:rFonts w:hint="cs"/>
          <w:rtl/>
        </w:rPr>
        <w:t xml:space="preserve"> مستقلاّن</w:t>
      </w:r>
      <w:r>
        <w:rPr>
          <w:rFonts w:hint="cs"/>
          <w:vertAlign w:val="superscript"/>
          <w:rtl/>
        </w:rPr>
        <w:t>(</w:t>
      </w:r>
      <w:r>
        <w:rPr>
          <w:rStyle w:val="a7"/>
          <w:rtl/>
        </w:rPr>
        <w:footnoteReference w:id="1851"/>
      </w:r>
      <w:r>
        <w:rPr>
          <w:rFonts w:hint="cs"/>
          <w:vertAlign w:val="superscript"/>
          <w:rtl/>
        </w:rPr>
        <w:t>)</w:t>
      </w:r>
      <w:r>
        <w:rPr>
          <w:rFonts w:hint="cs"/>
          <w:rtl/>
        </w:rPr>
        <w:t>.</w:t>
      </w:r>
    </w:p>
    <w:p w:rsidR="00C10469" w:rsidRDefault="00C10469">
      <w:pPr>
        <w:rPr>
          <w:rtl/>
        </w:rPr>
      </w:pPr>
      <w:r>
        <w:rPr>
          <w:rFonts w:hint="cs"/>
          <w:rtl/>
        </w:rPr>
        <w:lastRenderedPageBreak/>
        <w:t>ونُوقض</w:t>
      </w:r>
      <w:r>
        <w:rPr>
          <w:rStyle w:val="a7"/>
          <w:rtl/>
        </w:rPr>
        <w:footnoteReference w:id="1852"/>
      </w:r>
      <w:r>
        <w:rPr>
          <w:rFonts w:hint="cs"/>
          <w:rtl/>
        </w:rPr>
        <w:t xml:space="preserve"> ذلك باتفاقهم</w:t>
      </w:r>
      <w:r>
        <w:rPr>
          <w:rFonts w:hint="cs"/>
          <w:vertAlign w:val="superscript"/>
          <w:rtl/>
        </w:rPr>
        <w:t>(</w:t>
      </w:r>
      <w:r>
        <w:rPr>
          <w:rStyle w:val="a7"/>
          <w:rtl/>
        </w:rPr>
        <w:footnoteReference w:id="1853"/>
      </w:r>
      <w:r>
        <w:rPr>
          <w:rFonts w:hint="cs"/>
          <w:vertAlign w:val="superscript"/>
          <w:rtl/>
        </w:rPr>
        <w:t>)</w:t>
      </w:r>
      <w:r>
        <w:rPr>
          <w:rFonts w:hint="cs"/>
          <w:rtl/>
        </w:rPr>
        <w:t xml:space="preserve"> على عدم ترجيح الشهادة بكثرة العدد</w:t>
      </w:r>
      <w:r>
        <w:rPr>
          <w:rStyle w:val="a7"/>
          <w:rtl/>
        </w:rPr>
        <w:footnoteReference w:id="1854"/>
      </w:r>
      <w:r>
        <w:rPr>
          <w:rFonts w:hint="cs"/>
          <w:rtl/>
        </w:rPr>
        <w:t>»</w:t>
      </w:r>
      <w:r>
        <w:rPr>
          <w:rFonts w:hint="cs"/>
          <w:vertAlign w:val="superscript"/>
          <w:rtl/>
        </w:rPr>
        <w:t>(</w:t>
      </w:r>
      <w:r>
        <w:rPr>
          <w:rStyle w:val="a7"/>
          <w:rtl/>
        </w:rPr>
        <w:footnoteReference w:id="1855"/>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420D78"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3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06C96" w:rsidRDefault="00C10469">
      <w:pPr>
        <w:pStyle w:val="a9"/>
        <w:rPr>
          <w:rFonts w:cs="AL-Mateen"/>
          <w:rtl/>
          <w:lang w:val="en-US"/>
        </w:rPr>
      </w:pPr>
      <w:r w:rsidRPr="00606C96">
        <w:rPr>
          <w:rFonts w:cs="AL-Mateen" w:hint="cs"/>
          <w:rtl/>
          <w:lang w:val="en-US"/>
        </w:rPr>
        <w:lastRenderedPageBreak/>
        <w:t>[ الـقـاعـدة الـرابـعـة والـسبـعون ]</w:t>
      </w:r>
    </w:p>
    <w:p w:rsidR="00C10469" w:rsidRDefault="00C10469">
      <w:pPr>
        <w:rPr>
          <w:rtl/>
        </w:rPr>
      </w:pPr>
      <w:r>
        <w:rPr>
          <w:rFonts w:cs="Monotype Koufi" w:hint="cs"/>
          <w:rtl/>
        </w:rPr>
        <w:t>التَّرِكَةُ قبلَ القسمةِ [مُبْقاةٌ]</w:t>
      </w:r>
      <w:r>
        <w:rPr>
          <w:rStyle w:val="a7"/>
          <w:rtl/>
        </w:rPr>
        <w:footnoteReference w:id="1856"/>
      </w:r>
      <w:r>
        <w:rPr>
          <w:rFonts w:hint="cs"/>
          <w:rtl/>
        </w:rPr>
        <w:t xml:space="preserve"> </w:t>
      </w:r>
      <w:r>
        <w:rPr>
          <w:rFonts w:cs="Monotype Koufi" w:hint="cs"/>
          <w:rtl/>
        </w:rPr>
        <w:t>على مِلْكِ المَيِّتِ</w:t>
      </w:r>
      <w:r>
        <w:rPr>
          <w:rFonts w:hint="cs"/>
          <w:vertAlign w:val="superscript"/>
          <w:rtl/>
        </w:rPr>
        <w:t>(</w:t>
      </w:r>
      <w:r>
        <w:rPr>
          <w:rStyle w:val="a7"/>
          <w:rtl/>
        </w:rPr>
        <w:footnoteReference w:id="1857"/>
      </w:r>
      <w:r>
        <w:rPr>
          <w:rFonts w:hint="cs"/>
          <w:vertAlign w:val="superscript"/>
          <w:rtl/>
        </w:rPr>
        <w:t>)</w:t>
      </w:r>
      <w:r>
        <w:rPr>
          <w:rFonts w:hint="cs"/>
          <w:rtl/>
        </w:rPr>
        <w:t xml:space="preserve"> :</w:t>
      </w:r>
    </w:p>
    <w:p w:rsidR="00C10469" w:rsidRDefault="00C10469">
      <w:pPr>
        <w:rPr>
          <w:rtl/>
        </w:rPr>
      </w:pPr>
      <w:r>
        <w:rPr>
          <w:rFonts w:hint="cs"/>
          <w:rtl/>
        </w:rPr>
        <w:t>«والـدّليل ثبـوت حقّه في الزوائد؛ كأولاد ملكه</w:t>
      </w:r>
      <w:r>
        <w:rPr>
          <w:rFonts w:hint="cs"/>
          <w:vertAlign w:val="superscript"/>
          <w:rtl/>
        </w:rPr>
        <w:t>(</w:t>
      </w:r>
      <w:r>
        <w:rPr>
          <w:rStyle w:val="a7"/>
          <w:rtl/>
        </w:rPr>
        <w:footnoteReference w:id="1858"/>
      </w:r>
      <w:r>
        <w:rPr>
          <w:rFonts w:hint="cs"/>
          <w:vertAlign w:val="superscript"/>
          <w:rtl/>
        </w:rPr>
        <w:t>)</w:t>
      </w:r>
      <w:r>
        <w:rPr>
          <w:rFonts w:hint="cs"/>
          <w:rtl/>
        </w:rPr>
        <w:t>، وأرباحه، حتى</w:t>
      </w:r>
      <w:r>
        <w:rPr>
          <w:rStyle w:val="a7"/>
          <w:rtl/>
        </w:rPr>
        <w:footnoteReference w:id="1859"/>
      </w:r>
      <w:r>
        <w:rPr>
          <w:rFonts w:hint="cs"/>
          <w:rtl/>
        </w:rPr>
        <w:t xml:space="preserve"> تُقْضَى</w:t>
      </w:r>
      <w:r>
        <w:rPr>
          <w:rStyle w:val="a7"/>
          <w:rtl/>
        </w:rPr>
        <w:footnoteReference w:id="1860"/>
      </w:r>
      <w:r>
        <w:rPr>
          <w:rFonts w:hint="cs"/>
          <w:rtl/>
        </w:rPr>
        <w:t xml:space="preserve"> منها</w:t>
      </w:r>
      <w:r>
        <w:rPr>
          <w:rStyle w:val="a7"/>
          <w:rtl/>
        </w:rPr>
        <w:footnoteReference w:id="1861"/>
      </w:r>
      <w:r>
        <w:rPr>
          <w:rFonts w:hint="cs"/>
          <w:rtl/>
        </w:rPr>
        <w:t xml:space="preserve"> ديـونه، و[تُنَفَّذَ]</w:t>
      </w:r>
      <w:r>
        <w:rPr>
          <w:rStyle w:val="a7"/>
          <w:rtl/>
        </w:rPr>
        <w:footnoteReference w:id="1862"/>
      </w:r>
      <w:r>
        <w:rPr>
          <w:rFonts w:hint="cs"/>
          <w:rtl/>
        </w:rPr>
        <w:t xml:space="preserve"> وصاياه. وبالقـسمـة [يـنـقطـع]</w:t>
      </w:r>
      <w:r>
        <w:rPr>
          <w:rStyle w:val="a7"/>
          <w:rtl/>
        </w:rPr>
        <w:footnoteReference w:id="1863"/>
      </w:r>
      <w:r>
        <w:rPr>
          <w:rFonts w:hint="cs"/>
          <w:rtl/>
        </w:rPr>
        <w:t xml:space="preserve"> حق الميّت عن التركة، حتى لا </w:t>
      </w:r>
      <w:r>
        <w:rPr>
          <w:rFonts w:hint="cs"/>
          <w:rtl/>
        </w:rPr>
        <w:lastRenderedPageBreak/>
        <w:t>يثبت حـقّه</w:t>
      </w:r>
      <w:r>
        <w:rPr>
          <w:rStyle w:val="a7"/>
          <w:rtl/>
        </w:rPr>
        <w:footnoteReference w:id="1864"/>
      </w:r>
      <w:r>
        <w:rPr>
          <w:rFonts w:hint="cs"/>
          <w:rtl/>
        </w:rPr>
        <w:t xml:space="preserve"> فيـم</w:t>
      </w:r>
      <w:r>
        <w:rPr>
          <w:rFonts w:hint="cs"/>
          <w:rtl/>
          <w:lang w:bidi="ar-AE"/>
        </w:rPr>
        <w:t>ـ</w:t>
      </w:r>
      <w:r>
        <w:rPr>
          <w:rFonts w:hint="cs"/>
          <w:rtl/>
        </w:rPr>
        <w:t>ا يـحـدث بـعـده</w:t>
      </w:r>
      <w:r>
        <w:rPr>
          <w:rFonts w:hint="cs"/>
          <w:vertAlign w:val="superscript"/>
          <w:rtl/>
        </w:rPr>
        <w:t>(</w:t>
      </w:r>
      <w:r>
        <w:rPr>
          <w:rStyle w:val="a7"/>
          <w:rtl/>
        </w:rPr>
        <w:footnoteReference w:id="1865"/>
      </w:r>
      <w:r>
        <w:rPr>
          <w:rFonts w:hint="cs"/>
          <w:vertAlign w:val="superscript"/>
          <w:rtl/>
        </w:rPr>
        <w:t xml:space="preserve">) </w:t>
      </w:r>
      <w:r>
        <w:rPr>
          <w:rFonts w:hint="cs"/>
          <w:rtl/>
        </w:rPr>
        <w:t>مـن الـزوائد»</w:t>
      </w:r>
      <w:r>
        <w:rPr>
          <w:rFonts w:hint="cs"/>
          <w:vertAlign w:val="superscript"/>
          <w:rtl/>
        </w:rPr>
        <w:t>(</w:t>
      </w:r>
      <w:r>
        <w:rPr>
          <w:rStyle w:val="a7"/>
          <w:rtl/>
        </w:rPr>
        <w:footnoteReference w:id="1866"/>
      </w:r>
      <w:r>
        <w:rPr>
          <w:rFonts w:hint="cs"/>
          <w:vertAlign w:val="superscript"/>
          <w:rtl/>
        </w:rPr>
        <w:t>)</w:t>
      </w:r>
      <w:r>
        <w:rPr>
          <w:rFonts w:hint="cs"/>
          <w:rtl/>
        </w:rPr>
        <w:t xml:space="preserve">؛ </w:t>
      </w:r>
    </w:p>
    <w:p w:rsidR="00C10469" w:rsidRDefault="00C10469" w:rsidP="00C10469">
      <w:pPr>
        <w:ind w:firstLine="0"/>
        <w:rPr>
          <w:spacing w:val="4"/>
          <w:rtl/>
        </w:rPr>
      </w:pPr>
      <w:r>
        <w:rPr>
          <w:rFonts w:hint="cs"/>
          <w:rtl/>
        </w:rPr>
        <w:t>ولـذا : إذا «ادّعوا إرث عقارٍ عن زيد : لا يقسم بهذا حتى [يبرهنوا]</w:t>
      </w:r>
      <w:r>
        <w:rPr>
          <w:rStyle w:val="a7"/>
          <w:rtl/>
        </w:rPr>
        <w:footnoteReference w:id="1867"/>
      </w:r>
      <w:r>
        <w:rPr>
          <w:rFonts w:hint="cs"/>
          <w:rtl/>
        </w:rPr>
        <w:t xml:space="preserve"> </w:t>
      </w:r>
      <w:r>
        <w:rPr>
          <w:rFonts w:hint="cs"/>
          <w:spacing w:val="4"/>
          <w:rtl/>
        </w:rPr>
        <w:t>على موته</w:t>
      </w:r>
      <w:r>
        <w:rPr>
          <w:rStyle w:val="a7"/>
          <w:spacing w:val="4"/>
          <w:rtl/>
        </w:rPr>
        <w:footnoteReference w:id="1868"/>
      </w:r>
      <w:r>
        <w:rPr>
          <w:rFonts w:hint="cs"/>
          <w:spacing w:val="4"/>
          <w:rtl/>
        </w:rPr>
        <w:t>، وعدد</w:t>
      </w:r>
      <w:r>
        <w:rPr>
          <w:rStyle w:val="a7"/>
          <w:spacing w:val="4"/>
          <w:rtl/>
        </w:rPr>
        <w:footnoteReference w:id="1869"/>
      </w:r>
      <w:r>
        <w:rPr>
          <w:rFonts w:hint="cs"/>
          <w:spacing w:val="4"/>
          <w:rtl/>
        </w:rPr>
        <w:t xml:space="preserve"> ورثته»</w:t>
      </w:r>
      <w:r>
        <w:rPr>
          <w:rFonts w:hint="cs"/>
          <w:spacing w:val="4"/>
          <w:vertAlign w:val="superscript"/>
          <w:rtl/>
        </w:rPr>
        <w:t>(</w:t>
      </w:r>
      <w:r>
        <w:rPr>
          <w:rStyle w:val="a7"/>
          <w:spacing w:val="4"/>
          <w:rtl/>
        </w:rPr>
        <w:footnoteReference w:id="1870"/>
      </w:r>
      <w:r>
        <w:rPr>
          <w:rFonts w:hint="cs"/>
          <w:spacing w:val="4"/>
          <w:vertAlign w:val="superscript"/>
          <w:rtl/>
        </w:rPr>
        <w:t>)</w:t>
      </w:r>
      <w:r>
        <w:rPr>
          <w:rFonts w:hint="cs"/>
          <w:spacing w:val="4"/>
          <w:rtl/>
        </w:rPr>
        <w:t>؛ «لأنّ الميت يصير مقضيًّا عليه بقسمة القاضي، وقول الشركاء ليس بحجة</w:t>
      </w:r>
      <w:r>
        <w:rPr>
          <w:rStyle w:val="a7"/>
          <w:spacing w:val="4"/>
          <w:rtl/>
        </w:rPr>
        <w:footnoteReference w:id="1871"/>
      </w:r>
      <w:r>
        <w:rPr>
          <w:rFonts w:hint="cs"/>
          <w:spacing w:val="4"/>
          <w:rtl/>
        </w:rPr>
        <w:t xml:space="preserve"> عليه، فلا بدّ لهم</w:t>
      </w:r>
      <w:r>
        <w:rPr>
          <w:rStyle w:val="a7"/>
          <w:spacing w:val="4"/>
          <w:rtl/>
        </w:rPr>
        <w:footnoteReference w:id="1872"/>
      </w:r>
      <w:r>
        <w:rPr>
          <w:rFonts w:hint="cs"/>
          <w:spacing w:val="4"/>
          <w:rtl/>
        </w:rPr>
        <w:t xml:space="preserve"> من</w:t>
      </w:r>
      <w:r>
        <w:rPr>
          <w:rStyle w:val="a7"/>
          <w:spacing w:val="4"/>
          <w:rtl/>
        </w:rPr>
        <w:footnoteReference w:id="1873"/>
      </w:r>
      <w:r>
        <w:rPr>
          <w:rFonts w:hint="cs"/>
          <w:spacing w:val="4"/>
          <w:rtl/>
        </w:rPr>
        <w:t xml:space="preserve"> إقامة البيِّنة [لِـ]</w:t>
      </w:r>
      <w:r>
        <w:rPr>
          <w:rFonts w:hint="cs"/>
          <w:spacing w:val="4"/>
          <w:vertAlign w:val="superscript"/>
          <w:rtl/>
        </w:rPr>
        <w:t>(</w:t>
      </w:r>
      <w:r>
        <w:rPr>
          <w:rStyle w:val="a7"/>
          <w:spacing w:val="4"/>
          <w:rtl/>
        </w:rPr>
        <w:footnoteReference w:id="1874"/>
      </w:r>
      <w:r>
        <w:rPr>
          <w:rFonts w:hint="cs"/>
          <w:spacing w:val="4"/>
          <w:vertAlign w:val="superscript"/>
          <w:rtl/>
        </w:rPr>
        <w:t>)</w:t>
      </w:r>
      <w:r>
        <w:rPr>
          <w:rFonts w:hint="cs"/>
          <w:spacing w:val="4"/>
          <w:rtl/>
        </w:rPr>
        <w:t xml:space="preserve"> يثبت بها القضاء على الميّت، فإنّ «التركةَ قبل القسمة [باقيةٌ]</w:t>
      </w:r>
      <w:r>
        <w:rPr>
          <w:rStyle w:val="a7"/>
          <w:spacing w:val="4"/>
          <w:rtl/>
        </w:rPr>
        <w:footnoteReference w:id="1875"/>
      </w:r>
      <w:r>
        <w:rPr>
          <w:rFonts w:hint="cs"/>
          <w:spacing w:val="4"/>
          <w:rtl/>
        </w:rPr>
        <w:t xml:space="preserve"> على ملك الميت»، كما قلنا</w:t>
      </w:r>
      <w:r>
        <w:rPr>
          <w:rFonts w:hint="cs"/>
          <w:spacing w:val="4"/>
          <w:vertAlign w:val="superscript"/>
          <w:rtl/>
        </w:rPr>
        <w:t>(</w:t>
      </w:r>
      <w:r>
        <w:rPr>
          <w:rStyle w:val="a7"/>
          <w:spacing w:val="4"/>
          <w:rtl/>
        </w:rPr>
        <w:footnoteReference w:id="1876"/>
      </w:r>
      <w:r>
        <w:rPr>
          <w:rFonts w:hint="cs"/>
          <w:spacing w:val="4"/>
          <w:vertAlign w:val="superscript"/>
          <w:rtl/>
        </w:rPr>
        <w:t>)</w:t>
      </w:r>
      <w:r>
        <w:rPr>
          <w:rFonts w:hint="cs"/>
          <w:spacing w:val="4"/>
          <w:rtl/>
        </w:rPr>
        <w:t xml:space="preserve">، فكان هذا قضاء على الميّت بقطع حقه، فلابدّ من البيّنة، ويصير بعضهم </w:t>
      </w:r>
      <w:r>
        <w:rPr>
          <w:rFonts w:hint="cs"/>
          <w:spacing w:val="4"/>
          <w:rtl/>
        </w:rPr>
        <w:lastRenderedPageBreak/>
        <w:t>خصمًا، وإن كان مقرًّا»</w:t>
      </w:r>
      <w:r>
        <w:rPr>
          <w:rFonts w:hint="cs"/>
          <w:spacing w:val="4"/>
          <w:vertAlign w:val="superscript"/>
          <w:rtl/>
        </w:rPr>
        <w:t>(</w:t>
      </w:r>
      <w:r>
        <w:rPr>
          <w:rStyle w:val="a7"/>
          <w:spacing w:val="4"/>
          <w:rtl/>
        </w:rPr>
        <w:footnoteReference w:id="1877"/>
      </w:r>
      <w:r>
        <w:rPr>
          <w:rFonts w:hint="cs"/>
          <w:spacing w:val="4"/>
          <w:vertAlign w:val="superscript"/>
          <w:rtl/>
        </w:rPr>
        <w:t>)</w:t>
      </w:r>
      <w:r>
        <w:rPr>
          <w:rFonts w:hint="cs"/>
          <w:spacing w:val="4"/>
          <w:rtl/>
        </w:rPr>
        <w:t>.</w:t>
      </w:r>
    </w:p>
    <w:p w:rsidR="00C10469" w:rsidRDefault="00C10469" w:rsidP="00C10469">
      <w:pPr>
        <w:rPr>
          <w:spacing w:val="4"/>
          <w:rtl/>
        </w:rPr>
      </w:pPr>
      <w:r>
        <w:rPr>
          <w:rFonts w:hint="cs"/>
          <w:spacing w:val="4"/>
          <w:rtl/>
        </w:rPr>
        <w:t>وللإمـامـيـن</w:t>
      </w:r>
      <w:r>
        <w:rPr>
          <w:rFonts w:hint="cs"/>
          <w:spacing w:val="4"/>
          <w:vertAlign w:val="superscript"/>
          <w:rtl/>
        </w:rPr>
        <w:t>(</w:t>
      </w:r>
      <w:r>
        <w:rPr>
          <w:rStyle w:val="a7"/>
          <w:spacing w:val="4"/>
          <w:rtl/>
        </w:rPr>
        <w:footnoteReference w:id="1878"/>
      </w:r>
      <w:r>
        <w:rPr>
          <w:rFonts w:hint="cs"/>
          <w:spacing w:val="4"/>
          <w:vertAlign w:val="superscript"/>
          <w:rtl/>
        </w:rPr>
        <w:t>)</w:t>
      </w:r>
      <w:r>
        <w:rPr>
          <w:rFonts w:hint="cs"/>
          <w:spacing w:val="4"/>
          <w:rtl/>
        </w:rPr>
        <w:t xml:space="preserve"> في المسـألة التي ذكـرنا خـلافٌ، ودليـلهمـا : «أنّه في يدهما، وهو دليل الملك، والإقرار أمارة الصدق، ولا مـنـازع لـهـم، فيُقسم</w:t>
      </w:r>
      <w:r>
        <w:rPr>
          <w:rFonts w:hint="cs"/>
          <w:spacing w:val="4"/>
          <w:vertAlign w:val="superscript"/>
          <w:rtl/>
        </w:rPr>
        <w:t>(</w:t>
      </w:r>
      <w:r>
        <w:rPr>
          <w:rStyle w:val="a7"/>
          <w:spacing w:val="4"/>
          <w:rtl/>
        </w:rPr>
        <w:footnoteReference w:id="1879"/>
      </w:r>
      <w:r>
        <w:rPr>
          <w:rFonts w:hint="cs"/>
          <w:spacing w:val="4"/>
          <w:vertAlign w:val="superscript"/>
          <w:rtl/>
        </w:rPr>
        <w:t>)</w:t>
      </w:r>
      <w:r>
        <w:rPr>
          <w:rFonts w:hint="cs"/>
          <w:spacing w:val="4"/>
          <w:rtl/>
        </w:rPr>
        <w:t xml:space="preserve"> بينهم، كما في المنقول الموروث، والعقار المُشْتَرَى»</w:t>
      </w:r>
      <w:r>
        <w:rPr>
          <w:rFonts w:hint="cs"/>
          <w:spacing w:val="4"/>
          <w:vertAlign w:val="superscript"/>
          <w:rtl/>
        </w:rPr>
        <w:t>(</w:t>
      </w:r>
      <w:r>
        <w:rPr>
          <w:rStyle w:val="a7"/>
          <w:spacing w:val="4"/>
          <w:rtl/>
        </w:rPr>
        <w:footnoteReference w:id="1880"/>
      </w:r>
      <w:r>
        <w:rPr>
          <w:rFonts w:hint="cs"/>
          <w:spacing w:val="4"/>
          <w:vertAlign w:val="superscript"/>
          <w:rtl/>
        </w:rPr>
        <w:t>)</w:t>
      </w:r>
      <w:r>
        <w:rPr>
          <w:rFonts w:hint="cs"/>
          <w:spacing w:val="4"/>
          <w:rtl/>
        </w:rPr>
        <w:t>، كما ذَكَرَ في (غرر</w:t>
      </w:r>
      <w:r>
        <w:rPr>
          <w:rStyle w:val="a7"/>
          <w:spacing w:val="4"/>
          <w:rtl/>
        </w:rPr>
        <w:footnoteReference w:id="1881"/>
      </w:r>
      <w:r>
        <w:rPr>
          <w:rFonts w:hint="cs"/>
          <w:spacing w:val="4"/>
          <w:rtl/>
        </w:rPr>
        <w:t xml:space="preserve"> الأحـكام)؛ حيث قال : «قَـسَّـم نـقـلـيًّا ادعـوا إرثـه، وعقارًا</w:t>
      </w:r>
      <w:r>
        <w:rPr>
          <w:rFonts w:hint="cs"/>
          <w:spacing w:val="4"/>
          <w:vertAlign w:val="superscript"/>
          <w:rtl/>
        </w:rPr>
        <w:t>(</w:t>
      </w:r>
      <w:r>
        <w:rPr>
          <w:rStyle w:val="a7"/>
          <w:spacing w:val="4"/>
          <w:rtl/>
        </w:rPr>
        <w:footnoteReference w:id="1882"/>
      </w:r>
      <w:r>
        <w:rPr>
          <w:rFonts w:hint="cs"/>
          <w:spacing w:val="4"/>
          <w:vertAlign w:val="superscript"/>
          <w:rtl/>
        </w:rPr>
        <w:t>)</w:t>
      </w:r>
      <w:r>
        <w:rPr>
          <w:rFonts w:hint="cs"/>
          <w:spacing w:val="4"/>
          <w:rtl/>
        </w:rPr>
        <w:t xml:space="preserve"> ادعوا شـراءه أو ملكـه مطـلـقًا»</w:t>
      </w:r>
      <w:r>
        <w:rPr>
          <w:rFonts w:hint="cs"/>
          <w:spacing w:val="4"/>
          <w:vertAlign w:val="superscript"/>
          <w:rtl/>
        </w:rPr>
        <w:t>(</w:t>
      </w:r>
      <w:r>
        <w:rPr>
          <w:rStyle w:val="a7"/>
          <w:spacing w:val="4"/>
          <w:rtl/>
        </w:rPr>
        <w:footnoteReference w:id="1883"/>
      </w:r>
      <w:r>
        <w:rPr>
          <w:rFonts w:hint="cs"/>
          <w:spacing w:val="4"/>
          <w:vertAlign w:val="superscript"/>
          <w:rtl/>
        </w:rPr>
        <w:t>)</w:t>
      </w:r>
      <w:r>
        <w:rPr>
          <w:rFonts w:hint="cs"/>
          <w:spacing w:val="4"/>
          <w:rtl/>
        </w:rPr>
        <w:t>.</w:t>
      </w:r>
    </w:p>
    <w:p w:rsidR="00C10469" w:rsidRDefault="00C10469">
      <w:pPr>
        <w:rPr>
          <w:rtl/>
        </w:rPr>
      </w:pPr>
      <w:r>
        <w:rPr>
          <w:rFonts w:hint="cs"/>
          <w:b/>
          <w:bCs/>
          <w:rtl/>
        </w:rPr>
        <w:lastRenderedPageBreak/>
        <w:t>والحاصل</w:t>
      </w:r>
      <w:r>
        <w:rPr>
          <w:rFonts w:hint="cs"/>
          <w:vertAlign w:val="superscript"/>
          <w:rtl/>
        </w:rPr>
        <w:t>(</w:t>
      </w:r>
      <w:r>
        <w:rPr>
          <w:rStyle w:val="a7"/>
          <w:rtl/>
        </w:rPr>
        <w:footnoteReference w:id="1884"/>
      </w:r>
      <w:r>
        <w:rPr>
          <w:rFonts w:hint="cs"/>
          <w:vertAlign w:val="superscript"/>
          <w:rtl/>
        </w:rPr>
        <w:t>)</w:t>
      </w:r>
      <w:r>
        <w:rPr>
          <w:rFonts w:hint="cs"/>
          <w:rtl/>
        </w:rPr>
        <w:t xml:space="preserve"> أن المنقول يقسم بطلبهم بالاتفاق</w:t>
      </w:r>
      <w:r>
        <w:rPr>
          <w:rFonts w:hint="cs"/>
          <w:vertAlign w:val="superscript"/>
          <w:rtl/>
        </w:rPr>
        <w:t>(</w:t>
      </w:r>
      <w:r>
        <w:rPr>
          <w:rStyle w:val="a7"/>
          <w:rtl/>
        </w:rPr>
        <w:footnoteReference w:id="1885"/>
      </w:r>
      <w:r>
        <w:rPr>
          <w:rFonts w:hint="cs"/>
          <w:vertAlign w:val="superscript"/>
          <w:rtl/>
        </w:rPr>
        <w:t>)</w:t>
      </w:r>
      <w:r>
        <w:rPr>
          <w:rFonts w:hint="cs"/>
          <w:rtl/>
        </w:rPr>
        <w:t>؛ لأن اليد فيه ظاهر</w:t>
      </w:r>
      <w:r>
        <w:rPr>
          <w:rStyle w:val="a7"/>
          <w:rtl/>
        </w:rPr>
        <w:footnoteReference w:id="1886"/>
      </w:r>
      <w:r>
        <w:rPr>
          <w:rFonts w:hint="cs"/>
          <w:rtl/>
        </w:rPr>
        <w:t>.</w:t>
      </w:r>
    </w:p>
    <w:p w:rsidR="00C10469" w:rsidRDefault="00C10469">
      <w:pPr>
        <w:rPr>
          <w:rtl/>
        </w:rPr>
      </w:pPr>
      <w:r>
        <w:rPr>
          <w:rFonts w:hint="cs"/>
          <w:rtl/>
        </w:rPr>
        <w:t>بخلاف العقار إذا ادعوا إرثه</w:t>
      </w:r>
      <w:r>
        <w:rPr>
          <w:rStyle w:val="a7"/>
          <w:rtl/>
        </w:rPr>
        <w:footnoteReference w:id="1887"/>
      </w:r>
      <w:r>
        <w:rPr>
          <w:rFonts w:hint="cs"/>
          <w:rtl/>
        </w:rPr>
        <w:t xml:space="preserve"> من زيد : </w:t>
      </w:r>
    </w:p>
    <w:p w:rsidR="00C10469" w:rsidRDefault="00C10469" w:rsidP="00C10469">
      <w:pPr>
        <w:ind w:left="989" w:hanging="422"/>
        <w:rPr>
          <w:spacing w:val="6"/>
        </w:rPr>
      </w:pPr>
      <w:r>
        <w:rPr>
          <w:spacing w:val="6"/>
          <w:rtl/>
        </w:rPr>
        <w:t>•</w:t>
      </w:r>
      <w:r>
        <w:rPr>
          <w:rFonts w:hint="cs"/>
          <w:spacing w:val="6"/>
          <w:rtl/>
        </w:rPr>
        <w:t xml:space="preserve">  فعند أبي حـنـيـفة : لا يـقسـم حـتى [يـبرهـنوا]</w:t>
      </w:r>
      <w:r>
        <w:rPr>
          <w:rStyle w:val="a7"/>
          <w:spacing w:val="6"/>
          <w:rtl/>
        </w:rPr>
        <w:footnoteReference w:id="1888"/>
      </w:r>
      <w:r>
        <w:rPr>
          <w:rFonts w:hint="cs"/>
          <w:spacing w:val="6"/>
          <w:rtl/>
        </w:rPr>
        <w:t xml:space="preserve"> على موته وورثته</w:t>
      </w:r>
      <w:r>
        <w:rPr>
          <w:rStyle w:val="a7"/>
          <w:spacing w:val="6"/>
          <w:rtl/>
        </w:rPr>
        <w:footnoteReference w:id="1889"/>
      </w:r>
      <w:r>
        <w:rPr>
          <w:rFonts w:hint="cs"/>
          <w:spacing w:val="6"/>
          <w:rtl/>
        </w:rPr>
        <w:t>؛ لما مرّ</w:t>
      </w:r>
      <w:r>
        <w:rPr>
          <w:rFonts w:hint="cs"/>
          <w:spacing w:val="6"/>
          <w:vertAlign w:val="superscript"/>
          <w:rtl/>
        </w:rPr>
        <w:t>(</w:t>
      </w:r>
      <w:r>
        <w:rPr>
          <w:rStyle w:val="a7"/>
          <w:spacing w:val="6"/>
          <w:rtl/>
        </w:rPr>
        <w:footnoteReference w:id="1890"/>
      </w:r>
      <w:r>
        <w:rPr>
          <w:rFonts w:hint="cs"/>
          <w:spacing w:val="6"/>
          <w:vertAlign w:val="superscript"/>
          <w:rtl/>
        </w:rPr>
        <w:t>)</w:t>
      </w:r>
      <w:r>
        <w:rPr>
          <w:rFonts w:hint="cs"/>
          <w:spacing w:val="6"/>
          <w:rtl/>
        </w:rPr>
        <w:t>.</w:t>
      </w:r>
    </w:p>
    <w:p w:rsidR="00C10469" w:rsidRDefault="00C10469" w:rsidP="00154F65">
      <w:pPr>
        <w:ind w:left="989" w:hanging="422"/>
        <w:rPr>
          <w:rtl/>
        </w:rPr>
      </w:pPr>
      <w:r>
        <w:rPr>
          <w:rtl/>
        </w:rPr>
        <w:t>•</w:t>
      </w:r>
      <w:r>
        <w:rPr>
          <w:rFonts w:hint="cs"/>
          <w:rtl/>
        </w:rPr>
        <w:t xml:space="preserve">   وعندهما: يقسم بعدم اعتبار ظهور اليد على أن القسمة لا [تكون]</w:t>
      </w:r>
      <w:r>
        <w:rPr>
          <w:rStyle w:val="a7"/>
          <w:rtl/>
        </w:rPr>
        <w:footnoteReference w:id="1891"/>
      </w:r>
      <w:r>
        <w:rPr>
          <w:rFonts w:hint="cs"/>
          <w:rtl/>
        </w:rPr>
        <w:t xml:space="preserve"> قضاء على أحد من الأموات والأحياء سوى الشركاء، وكل واحد منهم خصم ومدّعٍ.</w:t>
      </w:r>
    </w:p>
    <w:p w:rsidR="00C10469" w:rsidRPr="006D44D5"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3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5B6577" w:rsidRDefault="00C10469" w:rsidP="00C10469">
      <w:pPr>
        <w:pStyle w:val="a9"/>
        <w:spacing w:line="228" w:lineRule="auto"/>
        <w:rPr>
          <w:rFonts w:cs="AL-Mateen"/>
          <w:rtl/>
          <w:lang w:val="en-US"/>
        </w:rPr>
      </w:pPr>
      <w:r w:rsidRPr="005B6577">
        <w:rPr>
          <w:rFonts w:cs="AL-Mateen" w:hint="cs"/>
          <w:rtl/>
          <w:lang w:val="en-US"/>
        </w:rPr>
        <w:lastRenderedPageBreak/>
        <w:t>[ الـقاعـدة الـخـامـسـة والـسـبـعـون ]</w:t>
      </w:r>
    </w:p>
    <w:p w:rsidR="00C10469" w:rsidRDefault="00C10469" w:rsidP="00C10469">
      <w:pPr>
        <w:spacing w:line="228" w:lineRule="auto"/>
        <w:ind w:left="567" w:right="567" w:firstLine="0"/>
        <w:rPr>
          <w:rtl/>
        </w:rPr>
      </w:pPr>
      <w:r>
        <w:rPr>
          <w:rFonts w:cs="Monotype Koufi" w:hint="cs"/>
          <w:rtl/>
        </w:rPr>
        <w:t>تصَرُّفُ الإمامِ على الرَّعيَّةِ</w:t>
      </w:r>
      <w:r>
        <w:rPr>
          <w:rStyle w:val="a7"/>
          <w:rtl/>
        </w:rPr>
        <w:footnoteReference w:id="1892"/>
      </w:r>
      <w:r>
        <w:rPr>
          <w:rFonts w:hint="cs"/>
          <w:rtl/>
        </w:rPr>
        <w:t xml:space="preserve"> </w:t>
      </w:r>
      <w:r>
        <w:rPr>
          <w:rFonts w:cs="Monotype Koufi" w:hint="cs"/>
          <w:rtl/>
        </w:rPr>
        <w:t>مَنُوطٌ</w:t>
      </w:r>
      <w:r>
        <w:rPr>
          <w:rStyle w:val="a7"/>
          <w:rtl/>
        </w:rPr>
        <w:footnoteReference w:id="1893"/>
      </w:r>
      <w:r>
        <w:rPr>
          <w:rFonts w:cs="Monotype Koufi" w:hint="cs"/>
          <w:rtl/>
        </w:rPr>
        <w:t xml:space="preserve"> [بالـمصلحةِ]</w:t>
      </w:r>
      <w:r>
        <w:rPr>
          <w:rStyle w:val="a7"/>
          <w:rtl/>
        </w:rPr>
        <w:footnoteReference w:id="1894"/>
      </w:r>
      <w:r>
        <w:rPr>
          <w:rFonts w:hint="cs"/>
          <w:rtl/>
        </w:rPr>
        <w:t xml:space="preserve"> </w:t>
      </w:r>
      <w:r>
        <w:rPr>
          <w:rFonts w:hint="cs"/>
          <w:vertAlign w:val="superscript"/>
          <w:rtl/>
        </w:rPr>
        <w:t>(</w:t>
      </w:r>
      <w:r>
        <w:rPr>
          <w:rStyle w:val="a7"/>
          <w:rtl/>
        </w:rPr>
        <w:footnoteReference w:id="1895"/>
      </w:r>
      <w:r>
        <w:rPr>
          <w:rFonts w:hint="cs"/>
          <w:vertAlign w:val="superscript"/>
          <w:rtl/>
        </w:rPr>
        <w:t>)</w:t>
      </w:r>
      <w:r>
        <w:rPr>
          <w:rFonts w:hint="cs"/>
          <w:rtl/>
        </w:rPr>
        <w:t xml:space="preserve"> :</w:t>
      </w:r>
    </w:p>
    <w:p w:rsidR="00C10469" w:rsidRDefault="00C10469" w:rsidP="00C10469">
      <w:pPr>
        <w:spacing w:line="228" w:lineRule="auto"/>
        <w:ind w:left="567" w:firstLine="0"/>
        <w:rPr>
          <w:rtl/>
        </w:rPr>
      </w:pPr>
      <w:r>
        <w:rPr>
          <w:rFonts w:hint="cs"/>
          <w:rtl/>
        </w:rPr>
        <w:t>«فلا يصحّ عفوه عن قاتلِ من لا وليّ</w:t>
      </w:r>
      <w:r>
        <w:rPr>
          <w:rStyle w:val="a7"/>
          <w:rtl/>
        </w:rPr>
        <w:footnoteReference w:id="1896"/>
      </w:r>
      <w:r>
        <w:rPr>
          <w:rFonts w:hint="cs"/>
          <w:rtl/>
        </w:rPr>
        <w:t xml:space="preserve"> له»</w:t>
      </w:r>
      <w:r>
        <w:rPr>
          <w:rFonts w:hint="cs"/>
          <w:vertAlign w:val="superscript"/>
          <w:rtl/>
        </w:rPr>
        <w:t>(</w:t>
      </w:r>
      <w:r>
        <w:rPr>
          <w:rStyle w:val="a7"/>
          <w:rtl/>
        </w:rPr>
        <w:footnoteReference w:id="1897"/>
      </w:r>
      <w:r>
        <w:rPr>
          <w:rFonts w:hint="cs"/>
          <w:vertAlign w:val="superscript"/>
          <w:rtl/>
        </w:rPr>
        <w:t>)</w:t>
      </w:r>
      <w:r>
        <w:rPr>
          <w:rFonts w:hint="cs"/>
          <w:rtl/>
        </w:rPr>
        <w:t>.</w:t>
      </w:r>
    </w:p>
    <w:p w:rsidR="00C10469" w:rsidRDefault="00C10469" w:rsidP="00C10469">
      <w:pPr>
        <w:ind w:left="567" w:firstLine="0"/>
        <w:rPr>
          <w:rtl/>
        </w:rPr>
      </w:pPr>
      <w:r>
        <w:rPr>
          <w:rFonts w:hint="cs"/>
          <w:rtl/>
        </w:rPr>
        <w:lastRenderedPageBreak/>
        <w:t xml:space="preserve">وقال عمر بن الخطّاب </w:t>
      </w:r>
      <w:r>
        <w:rPr>
          <w:rFonts w:ascii="AGA Arabesque" w:hAnsi="AGA Arabesque"/>
          <w:sz w:val="36"/>
        </w:rPr>
        <w:t></w:t>
      </w:r>
      <w:r>
        <w:rPr>
          <w:rFonts w:hint="cs"/>
          <w:rtl/>
        </w:rPr>
        <w:t xml:space="preserve"> : «إني أنزلتُ نفسي من مال الله بمنـزلة وليّ اليتيم؛ إن احتجت أخذت منه، فإذا أيسرتُ</w:t>
      </w:r>
      <w:r>
        <w:rPr>
          <w:rStyle w:val="a7"/>
          <w:rtl/>
        </w:rPr>
        <w:footnoteReference w:id="1898"/>
      </w:r>
      <w:r>
        <w:rPr>
          <w:rFonts w:hint="cs"/>
          <w:rtl/>
        </w:rPr>
        <w:t xml:space="preserve"> رددته، فإن استغنيتُ استعففت»</w:t>
      </w:r>
      <w:r>
        <w:rPr>
          <w:rFonts w:hint="cs"/>
          <w:vertAlign w:val="superscript"/>
          <w:rtl/>
        </w:rPr>
        <w:t>(</w:t>
      </w:r>
      <w:r>
        <w:rPr>
          <w:rStyle w:val="a7"/>
          <w:rtl/>
        </w:rPr>
        <w:footnoteReference w:id="1899"/>
      </w:r>
      <w:r>
        <w:rPr>
          <w:rFonts w:hint="cs"/>
          <w:vertAlign w:val="superscript"/>
          <w:rtl/>
        </w:rPr>
        <w:t>)</w:t>
      </w:r>
      <w:r>
        <w:rPr>
          <w:rFonts w:hint="cs"/>
          <w:rtl/>
        </w:rPr>
        <w:t>.</w:t>
      </w:r>
    </w:p>
    <w:p w:rsidR="00C10469" w:rsidRDefault="00C10469" w:rsidP="00C10469">
      <w:pPr>
        <w:ind w:left="567" w:firstLine="0"/>
        <w:rPr>
          <w:spacing w:val="-4"/>
          <w:rtl/>
        </w:rPr>
      </w:pPr>
      <w:r>
        <w:rPr>
          <w:rFonts w:hint="cs"/>
          <w:spacing w:val="-4"/>
          <w:rtl/>
        </w:rPr>
        <w:t>«وذكر [الإمام]</w:t>
      </w:r>
      <w:r>
        <w:rPr>
          <w:rStyle w:val="a7"/>
          <w:spacing w:val="-4"/>
          <w:rtl/>
        </w:rPr>
        <w:footnoteReference w:id="1900"/>
      </w:r>
      <w:r>
        <w:rPr>
          <w:rFonts w:hint="cs"/>
          <w:spacing w:val="-4"/>
          <w:rtl/>
        </w:rPr>
        <w:t xml:space="preserve"> أبو يوسف في كتاب (الخراج)</w:t>
      </w:r>
      <w:r>
        <w:rPr>
          <w:rFonts w:hint="cs"/>
          <w:spacing w:val="-4"/>
          <w:vertAlign w:val="superscript"/>
          <w:rtl/>
        </w:rPr>
        <w:t>(</w:t>
      </w:r>
      <w:r>
        <w:rPr>
          <w:rStyle w:val="a7"/>
          <w:spacing w:val="-4"/>
          <w:rtl/>
        </w:rPr>
        <w:footnoteReference w:id="1901"/>
      </w:r>
      <w:r>
        <w:rPr>
          <w:rFonts w:hint="cs"/>
          <w:spacing w:val="-4"/>
          <w:vertAlign w:val="superscript"/>
          <w:rtl/>
        </w:rPr>
        <w:t>)</w:t>
      </w:r>
      <w:r>
        <w:rPr>
          <w:rFonts w:hint="cs"/>
          <w:spacing w:val="-4"/>
          <w:rtl/>
        </w:rPr>
        <w:t xml:space="preserve"> حيث قال : «بـعـث عمر بن </w:t>
      </w:r>
    </w:p>
    <w:p w:rsidR="00C10469" w:rsidRDefault="00C10469" w:rsidP="00C10469">
      <w:pPr>
        <w:ind w:left="567" w:firstLine="0"/>
        <w:rPr>
          <w:rtl/>
        </w:rPr>
      </w:pPr>
      <w:r>
        <w:rPr>
          <w:rFonts w:hint="cs"/>
          <w:rtl/>
        </w:rPr>
        <w:lastRenderedPageBreak/>
        <w:t>الخطاب عـمار بن ياسر</w:t>
      </w:r>
      <w:r>
        <w:rPr>
          <w:rFonts w:hint="cs"/>
          <w:vertAlign w:val="superscript"/>
          <w:rtl/>
        </w:rPr>
        <w:t>(</w:t>
      </w:r>
      <w:r>
        <w:rPr>
          <w:rStyle w:val="a7"/>
          <w:rtl/>
        </w:rPr>
        <w:footnoteReference w:id="1902"/>
      </w:r>
      <w:r>
        <w:rPr>
          <w:rFonts w:hint="cs"/>
          <w:vertAlign w:val="superscript"/>
          <w:rtl/>
        </w:rPr>
        <w:t>)</w:t>
      </w:r>
      <w:r>
        <w:rPr>
          <w:rFonts w:hint="cs"/>
          <w:rtl/>
        </w:rPr>
        <w:t xml:space="preserve"> على الصلاة والحرب</w:t>
      </w:r>
      <w:r>
        <w:rPr>
          <w:rStyle w:val="a7"/>
          <w:rtl/>
        </w:rPr>
        <w:footnoteReference w:id="1903"/>
      </w:r>
      <w:r>
        <w:rPr>
          <w:rFonts w:hint="cs"/>
          <w:rtl/>
        </w:rPr>
        <w:t>، وبعث عبد الله بن مسعود</w:t>
      </w:r>
      <w:r>
        <w:rPr>
          <w:rFonts w:hint="cs"/>
          <w:vertAlign w:val="superscript"/>
          <w:rtl/>
        </w:rPr>
        <w:t>(</w:t>
      </w:r>
      <w:r>
        <w:rPr>
          <w:rStyle w:val="a7"/>
          <w:rtl/>
        </w:rPr>
        <w:footnoteReference w:id="1904"/>
      </w:r>
      <w:r>
        <w:rPr>
          <w:rFonts w:hint="cs"/>
          <w:vertAlign w:val="superscript"/>
          <w:rtl/>
        </w:rPr>
        <w:t>)</w:t>
      </w:r>
      <w:r>
        <w:rPr>
          <w:rFonts w:hint="cs"/>
          <w:rtl/>
        </w:rPr>
        <w:t xml:space="preserve"> على الـقـضـاء وبـيـت الـمـال، وبعث عثمان بن [حنيف]</w:t>
      </w:r>
      <w:r>
        <w:rPr>
          <w:rStyle w:val="a7"/>
          <w:rtl/>
        </w:rPr>
        <w:footnoteReference w:id="1905"/>
      </w:r>
      <w:r>
        <w:rPr>
          <w:rFonts w:hint="cs"/>
          <w:vertAlign w:val="superscript"/>
          <w:rtl/>
        </w:rPr>
        <w:t>(</w:t>
      </w:r>
      <w:r>
        <w:rPr>
          <w:rStyle w:val="a7"/>
          <w:rtl/>
        </w:rPr>
        <w:footnoteReference w:id="1906"/>
      </w:r>
      <w:r>
        <w:rPr>
          <w:rFonts w:hint="cs"/>
          <w:vertAlign w:val="superscript"/>
          <w:rtl/>
        </w:rPr>
        <w:t>)</w:t>
      </w:r>
      <w:r>
        <w:rPr>
          <w:rFonts w:hint="cs"/>
          <w:rtl/>
        </w:rPr>
        <w:t xml:space="preserve"> على </w:t>
      </w:r>
      <w:r>
        <w:rPr>
          <w:rFonts w:hint="cs"/>
          <w:rtl/>
        </w:rPr>
        <w:lastRenderedPageBreak/>
        <w:t xml:space="preserve">مساحة الأرض، وجعل بينهم شاة كل يوم، شطرها وبطنها لعمّار، وربعها لعبد الله، وربعها لعثمان، وقال : إني أنزلت نفسي وإياكم من هذا المال بمنـزلة وليّ اليتيم، فإن الله تبارك وتعالى قال : </w:t>
      </w:r>
      <w:r>
        <w:rPr>
          <w:color w:val="000000"/>
          <w:sz w:val="28"/>
          <w:szCs w:val="28"/>
        </w:rPr>
        <w:sym w:font="HQPB2" w:char="F0E2"/>
      </w:r>
      <w:r>
        <w:rPr>
          <w:color w:val="000000"/>
          <w:sz w:val="28"/>
          <w:szCs w:val="28"/>
          <w:rtl/>
        </w:rPr>
        <w:t xml:space="preserve"> </w:t>
      </w:r>
      <w:r>
        <w:rPr>
          <w:color w:val="000000"/>
          <w:sz w:val="28"/>
          <w:szCs w:val="28"/>
        </w:rPr>
        <w:sym w:font="HQPB2" w:char="F060"/>
      </w:r>
      <w:r>
        <w:rPr>
          <w:color w:val="000000"/>
          <w:sz w:val="28"/>
          <w:szCs w:val="28"/>
        </w:rPr>
        <w:sym w:font="HQPB5" w:char="F074"/>
      </w:r>
      <w:r>
        <w:rPr>
          <w:color w:val="000000"/>
          <w:sz w:val="28"/>
          <w:szCs w:val="28"/>
        </w:rPr>
        <w:sym w:font="HQPB2" w:char="F042"/>
      </w:r>
      <w:r>
        <w:rPr>
          <w:color w:val="000000"/>
          <w:sz w:val="28"/>
          <w:szCs w:val="28"/>
        </w:rPr>
        <w:sym w:font="HQPB5" w:char="F075"/>
      </w:r>
      <w:r>
        <w:rPr>
          <w:color w:val="000000"/>
          <w:sz w:val="28"/>
          <w:szCs w:val="28"/>
        </w:rPr>
        <w:sym w:font="HQPB2" w:char="F072"/>
      </w:r>
      <w:r>
        <w:rPr>
          <w:color w:val="000000"/>
          <w:sz w:val="28"/>
          <w:szCs w:val="28"/>
          <w:rtl/>
        </w:rPr>
        <w:t xml:space="preserve"> </w:t>
      </w:r>
      <w:r>
        <w:rPr>
          <w:color w:val="000000"/>
          <w:sz w:val="28"/>
          <w:szCs w:val="28"/>
        </w:rPr>
        <w:sym w:font="HQPB5" w:char="F074"/>
      </w:r>
      <w:r>
        <w:rPr>
          <w:color w:val="000000"/>
          <w:sz w:val="28"/>
          <w:szCs w:val="28"/>
        </w:rPr>
        <w:sym w:font="HQPB2" w:char="F062"/>
      </w:r>
      <w:r>
        <w:rPr>
          <w:color w:val="000000"/>
          <w:sz w:val="28"/>
          <w:szCs w:val="28"/>
        </w:rPr>
        <w:sym w:font="HQPB1" w:char="F025"/>
      </w:r>
      <w:r>
        <w:rPr>
          <w:color w:val="000000"/>
          <w:sz w:val="28"/>
          <w:szCs w:val="28"/>
        </w:rPr>
        <w:sym w:font="HQPB5" w:char="F078"/>
      </w:r>
      <w:r>
        <w:rPr>
          <w:color w:val="000000"/>
          <w:sz w:val="28"/>
          <w:szCs w:val="28"/>
        </w:rPr>
        <w:sym w:font="HQPB2" w:char="F02E"/>
      </w:r>
      <w:r>
        <w:rPr>
          <w:color w:val="000000"/>
          <w:sz w:val="28"/>
          <w:szCs w:val="28"/>
          <w:rtl/>
        </w:rPr>
        <w:t xml:space="preserve"> </w:t>
      </w:r>
      <w:r>
        <w:rPr>
          <w:color w:val="000000"/>
          <w:sz w:val="28"/>
          <w:szCs w:val="28"/>
        </w:rPr>
        <w:sym w:font="HQPB1" w:char="F024"/>
      </w:r>
      <w:r>
        <w:rPr>
          <w:color w:val="000000"/>
          <w:sz w:val="28"/>
          <w:szCs w:val="28"/>
        </w:rPr>
        <w:sym w:font="HQPB4" w:char="F07C"/>
      </w:r>
      <w:r>
        <w:rPr>
          <w:color w:val="000000"/>
          <w:sz w:val="28"/>
          <w:szCs w:val="28"/>
        </w:rPr>
        <w:sym w:font="HQPB2" w:char="F08B"/>
      </w:r>
      <w:r>
        <w:rPr>
          <w:color w:val="000000"/>
          <w:sz w:val="28"/>
          <w:szCs w:val="28"/>
        </w:rPr>
        <w:sym w:font="HQPB4" w:char="F0CF"/>
      </w:r>
      <w:r>
        <w:rPr>
          <w:color w:val="000000"/>
          <w:sz w:val="28"/>
          <w:szCs w:val="28"/>
        </w:rPr>
        <w:sym w:font="HQPB2" w:char="F059"/>
      </w:r>
      <w:r>
        <w:rPr>
          <w:color w:val="000000"/>
          <w:sz w:val="28"/>
          <w:szCs w:val="28"/>
        </w:rPr>
        <w:sym w:font="HQPB5" w:char="F078"/>
      </w:r>
      <w:r>
        <w:rPr>
          <w:color w:val="000000"/>
          <w:sz w:val="28"/>
          <w:szCs w:val="28"/>
        </w:rPr>
        <w:sym w:font="HQPB1" w:char="F0EE"/>
      </w:r>
      <w:r>
        <w:rPr>
          <w:color w:val="000000"/>
          <w:sz w:val="28"/>
          <w:szCs w:val="28"/>
          <w:rtl/>
        </w:rPr>
        <w:t xml:space="preserve"> </w:t>
      </w:r>
      <w:r>
        <w:rPr>
          <w:color w:val="000000"/>
          <w:sz w:val="28"/>
          <w:szCs w:val="28"/>
        </w:rPr>
        <w:sym w:font="HQPB4" w:char="F0F4"/>
      </w:r>
      <w:r>
        <w:rPr>
          <w:color w:val="000000"/>
          <w:sz w:val="28"/>
          <w:szCs w:val="28"/>
        </w:rPr>
        <w:sym w:font="HQPB2" w:char="F023"/>
      </w:r>
      <w:r>
        <w:rPr>
          <w:color w:val="000000"/>
          <w:sz w:val="28"/>
          <w:szCs w:val="28"/>
        </w:rPr>
        <w:sym w:font="HQPB4" w:char="F0CF"/>
      </w:r>
      <w:r>
        <w:rPr>
          <w:color w:val="000000"/>
          <w:sz w:val="28"/>
          <w:szCs w:val="28"/>
        </w:rPr>
        <w:sym w:font="HQPB1" w:char="F0FF"/>
      </w:r>
      <w:r>
        <w:rPr>
          <w:color w:val="000000"/>
          <w:sz w:val="28"/>
          <w:szCs w:val="28"/>
        </w:rPr>
        <w:sym w:font="HQPB4" w:char="F0F7"/>
      </w:r>
      <w:r>
        <w:rPr>
          <w:color w:val="000000"/>
          <w:sz w:val="28"/>
          <w:szCs w:val="28"/>
        </w:rPr>
        <w:sym w:font="HQPB1" w:char="F0E8"/>
      </w:r>
      <w:r>
        <w:rPr>
          <w:color w:val="000000"/>
          <w:sz w:val="28"/>
          <w:szCs w:val="28"/>
        </w:rPr>
        <w:sym w:font="HQPB5" w:char="F074"/>
      </w:r>
      <w:r>
        <w:rPr>
          <w:color w:val="000000"/>
          <w:sz w:val="28"/>
          <w:szCs w:val="28"/>
        </w:rPr>
        <w:sym w:font="HQPB1" w:char="F047"/>
      </w:r>
      <w:r>
        <w:rPr>
          <w:color w:val="000000"/>
          <w:sz w:val="28"/>
          <w:szCs w:val="28"/>
        </w:rPr>
        <w:sym w:font="HQPB4" w:char="F0F3"/>
      </w:r>
      <w:r>
        <w:rPr>
          <w:color w:val="000000"/>
          <w:sz w:val="28"/>
          <w:szCs w:val="28"/>
        </w:rPr>
        <w:sym w:font="HQPB1" w:char="F0A1"/>
      </w:r>
      <w:r>
        <w:rPr>
          <w:color w:val="000000"/>
          <w:sz w:val="28"/>
          <w:szCs w:val="28"/>
        </w:rPr>
        <w:sym w:font="HQPB5" w:char="F075"/>
      </w:r>
      <w:r>
        <w:rPr>
          <w:color w:val="000000"/>
          <w:sz w:val="28"/>
          <w:szCs w:val="28"/>
        </w:rPr>
        <w:sym w:font="HQPB2" w:char="F08A"/>
      </w:r>
      <w:r>
        <w:rPr>
          <w:color w:val="000000"/>
          <w:sz w:val="28"/>
          <w:szCs w:val="28"/>
        </w:rPr>
        <w:sym w:font="HQPB4" w:char="F0F9"/>
      </w:r>
      <w:r>
        <w:rPr>
          <w:color w:val="000000"/>
          <w:sz w:val="28"/>
          <w:szCs w:val="28"/>
        </w:rPr>
        <w:sym w:font="HQPB2" w:char="F03D"/>
      </w:r>
      <w:r>
        <w:rPr>
          <w:color w:val="000000"/>
          <w:sz w:val="28"/>
          <w:szCs w:val="28"/>
        </w:rPr>
        <w:sym w:font="HQPB5" w:char="F073"/>
      </w:r>
      <w:r>
        <w:rPr>
          <w:color w:val="000000"/>
          <w:sz w:val="28"/>
          <w:szCs w:val="28"/>
        </w:rPr>
        <w:sym w:font="HQPB1" w:char="F0F9"/>
      </w:r>
      <w:r>
        <w:rPr>
          <w:color w:val="000000"/>
          <w:sz w:val="28"/>
          <w:szCs w:val="28"/>
          <w:rtl/>
        </w:rPr>
        <w:t xml:space="preserve"> </w:t>
      </w:r>
      <w:r>
        <w:rPr>
          <w:color w:val="000000"/>
          <w:sz w:val="28"/>
          <w:szCs w:val="28"/>
        </w:rPr>
        <w:sym w:font="HQPB4" w:char="F028"/>
      </w:r>
      <w:r>
        <w:rPr>
          <w:color w:val="000000"/>
          <w:sz w:val="28"/>
          <w:szCs w:val="28"/>
          <w:rtl/>
        </w:rPr>
        <w:t xml:space="preserve"> </w:t>
      </w:r>
      <w:r>
        <w:rPr>
          <w:color w:val="000000"/>
          <w:sz w:val="28"/>
          <w:szCs w:val="28"/>
        </w:rPr>
        <w:sym w:font="HQPB2" w:char="F060"/>
      </w:r>
      <w:r>
        <w:rPr>
          <w:color w:val="000000"/>
          <w:sz w:val="28"/>
          <w:szCs w:val="28"/>
        </w:rPr>
        <w:sym w:font="HQPB5" w:char="F074"/>
      </w:r>
      <w:r>
        <w:rPr>
          <w:color w:val="000000"/>
          <w:sz w:val="28"/>
          <w:szCs w:val="28"/>
        </w:rPr>
        <w:sym w:font="HQPB2" w:char="F042"/>
      </w:r>
      <w:r>
        <w:rPr>
          <w:color w:val="000000"/>
          <w:sz w:val="28"/>
          <w:szCs w:val="28"/>
        </w:rPr>
        <w:sym w:font="HQPB5" w:char="F075"/>
      </w:r>
      <w:r>
        <w:rPr>
          <w:color w:val="000000"/>
          <w:sz w:val="28"/>
          <w:szCs w:val="28"/>
        </w:rPr>
        <w:sym w:font="HQPB2" w:char="F072"/>
      </w:r>
      <w:r>
        <w:rPr>
          <w:color w:val="000000"/>
          <w:sz w:val="28"/>
          <w:szCs w:val="28"/>
          <w:rtl/>
        </w:rPr>
        <w:t xml:space="preserve"> </w:t>
      </w:r>
      <w:r>
        <w:rPr>
          <w:color w:val="000000"/>
          <w:sz w:val="28"/>
          <w:szCs w:val="28"/>
        </w:rPr>
        <w:sym w:font="HQPB5" w:char="F074"/>
      </w:r>
      <w:r>
        <w:rPr>
          <w:color w:val="000000"/>
          <w:sz w:val="28"/>
          <w:szCs w:val="28"/>
        </w:rPr>
        <w:sym w:font="HQPB2" w:char="F062"/>
      </w:r>
      <w:r>
        <w:rPr>
          <w:color w:val="000000"/>
          <w:sz w:val="28"/>
          <w:szCs w:val="28"/>
        </w:rPr>
        <w:sym w:font="HQPB1" w:char="F025"/>
      </w:r>
      <w:r>
        <w:rPr>
          <w:color w:val="000000"/>
          <w:sz w:val="28"/>
          <w:szCs w:val="28"/>
        </w:rPr>
        <w:sym w:font="HQPB5" w:char="F078"/>
      </w:r>
      <w:r>
        <w:rPr>
          <w:color w:val="000000"/>
          <w:sz w:val="28"/>
          <w:szCs w:val="28"/>
        </w:rPr>
        <w:sym w:font="HQPB2" w:char="F02E"/>
      </w:r>
      <w:r>
        <w:rPr>
          <w:color w:val="000000"/>
          <w:sz w:val="28"/>
          <w:szCs w:val="28"/>
          <w:rtl/>
        </w:rPr>
        <w:t xml:space="preserve"> </w:t>
      </w:r>
      <w:r>
        <w:rPr>
          <w:color w:val="000000"/>
          <w:sz w:val="28"/>
          <w:szCs w:val="28"/>
        </w:rPr>
        <w:sym w:font="HQPB1" w:char="F023"/>
      </w:r>
      <w:r>
        <w:rPr>
          <w:color w:val="000000"/>
          <w:sz w:val="28"/>
          <w:szCs w:val="28"/>
        </w:rPr>
        <w:sym w:font="HQPB4" w:char="F05A"/>
      </w:r>
      <w:r>
        <w:rPr>
          <w:color w:val="000000"/>
          <w:sz w:val="28"/>
          <w:szCs w:val="28"/>
        </w:rPr>
        <w:sym w:font="HQPB1" w:char="F08E"/>
      </w:r>
      <w:r>
        <w:rPr>
          <w:color w:val="000000"/>
          <w:sz w:val="28"/>
          <w:szCs w:val="28"/>
        </w:rPr>
        <w:sym w:font="HQPB2" w:char="F08D"/>
      </w:r>
      <w:r>
        <w:rPr>
          <w:color w:val="000000"/>
          <w:sz w:val="28"/>
          <w:szCs w:val="28"/>
        </w:rPr>
        <w:sym w:font="HQPB4" w:char="F0C9"/>
      </w:r>
      <w:r>
        <w:rPr>
          <w:color w:val="000000"/>
          <w:sz w:val="28"/>
          <w:szCs w:val="28"/>
        </w:rPr>
        <w:sym w:font="HQPB2" w:char="F029"/>
      </w:r>
      <w:r>
        <w:rPr>
          <w:color w:val="000000"/>
          <w:sz w:val="28"/>
          <w:szCs w:val="28"/>
        </w:rPr>
        <w:sym w:font="HQPB5" w:char="F073"/>
      </w:r>
      <w:r>
        <w:rPr>
          <w:color w:val="000000"/>
          <w:sz w:val="28"/>
          <w:szCs w:val="28"/>
        </w:rPr>
        <w:sym w:font="HQPB1" w:char="F0F9"/>
      </w:r>
      <w:r>
        <w:rPr>
          <w:color w:val="000000"/>
          <w:sz w:val="28"/>
          <w:szCs w:val="28"/>
          <w:rtl/>
        </w:rPr>
        <w:t xml:space="preserve"> </w:t>
      </w:r>
      <w:r>
        <w:rPr>
          <w:color w:val="000000"/>
          <w:sz w:val="28"/>
          <w:szCs w:val="28"/>
        </w:rPr>
        <w:sym w:font="HQPB4" w:char="F0F6"/>
      </w:r>
      <w:r>
        <w:rPr>
          <w:color w:val="000000"/>
          <w:sz w:val="28"/>
          <w:szCs w:val="28"/>
        </w:rPr>
        <w:sym w:font="HQPB2" w:char="F040"/>
      </w:r>
      <w:r>
        <w:rPr>
          <w:color w:val="000000"/>
          <w:sz w:val="28"/>
          <w:szCs w:val="28"/>
        </w:rPr>
        <w:sym w:font="HQPB4" w:char="F0E4"/>
      </w:r>
      <w:r>
        <w:rPr>
          <w:color w:val="000000"/>
          <w:sz w:val="28"/>
          <w:szCs w:val="28"/>
        </w:rPr>
        <w:sym w:font="HQPB2" w:char="F02E"/>
      </w:r>
      <w:r>
        <w:rPr>
          <w:color w:val="000000"/>
          <w:sz w:val="28"/>
          <w:szCs w:val="28"/>
        </w:rPr>
        <w:sym w:font="HQPB4" w:char="F0F9"/>
      </w:r>
      <w:r>
        <w:rPr>
          <w:color w:val="000000"/>
          <w:sz w:val="28"/>
          <w:szCs w:val="28"/>
        </w:rPr>
        <w:sym w:font="HQPB1" w:char="F027"/>
      </w:r>
      <w:r>
        <w:rPr>
          <w:color w:val="000000"/>
          <w:sz w:val="28"/>
          <w:szCs w:val="28"/>
        </w:rPr>
        <w:sym w:font="HQPB5" w:char="F075"/>
      </w:r>
      <w:r>
        <w:rPr>
          <w:color w:val="000000"/>
          <w:sz w:val="28"/>
          <w:szCs w:val="28"/>
        </w:rPr>
        <w:sym w:font="HQPB2" w:char="F08A"/>
      </w:r>
      <w:r>
        <w:rPr>
          <w:color w:val="000000"/>
          <w:sz w:val="28"/>
          <w:szCs w:val="28"/>
        </w:rPr>
        <w:sym w:font="HQPB4" w:char="F0F9"/>
      </w:r>
      <w:r>
        <w:rPr>
          <w:color w:val="000000"/>
          <w:sz w:val="28"/>
          <w:szCs w:val="28"/>
        </w:rPr>
        <w:sym w:font="HQPB2" w:char="F03D"/>
      </w:r>
      <w:r>
        <w:rPr>
          <w:color w:val="000000"/>
          <w:sz w:val="28"/>
          <w:szCs w:val="28"/>
        </w:rPr>
        <w:sym w:font="HQPB5" w:char="F073"/>
      </w:r>
      <w:r>
        <w:rPr>
          <w:color w:val="000000"/>
          <w:sz w:val="28"/>
          <w:szCs w:val="28"/>
        </w:rPr>
        <w:sym w:font="HQPB1" w:char="F0F9"/>
      </w:r>
      <w:r>
        <w:rPr>
          <w:color w:val="000000"/>
          <w:sz w:val="28"/>
          <w:szCs w:val="28"/>
          <w:rtl/>
        </w:rPr>
        <w:t xml:space="preserve"> </w:t>
      </w:r>
      <w:r>
        <w:rPr>
          <w:color w:val="000000"/>
          <w:sz w:val="28"/>
          <w:szCs w:val="28"/>
        </w:rPr>
        <w:sym w:font="HQPB4" w:char="F0C5"/>
      </w:r>
      <w:r>
        <w:rPr>
          <w:color w:val="000000"/>
          <w:sz w:val="28"/>
          <w:szCs w:val="28"/>
        </w:rPr>
        <w:sym w:font="HQPB2" w:char="F024"/>
      </w:r>
      <w:r>
        <w:rPr>
          <w:color w:val="000000"/>
          <w:sz w:val="28"/>
          <w:szCs w:val="28"/>
        </w:rPr>
        <w:sym w:font="HQPB2" w:char="F072"/>
      </w:r>
      <w:r>
        <w:rPr>
          <w:color w:val="000000"/>
          <w:sz w:val="28"/>
          <w:szCs w:val="28"/>
        </w:rPr>
        <w:sym w:font="HQPB4" w:char="F0E1"/>
      </w:r>
      <w:r>
        <w:rPr>
          <w:color w:val="000000"/>
          <w:sz w:val="28"/>
          <w:szCs w:val="28"/>
        </w:rPr>
        <w:sym w:font="HQPB1" w:char="F08F"/>
      </w:r>
      <w:r>
        <w:rPr>
          <w:color w:val="000000"/>
          <w:sz w:val="28"/>
          <w:szCs w:val="28"/>
        </w:rPr>
        <w:sym w:font="HQPB4" w:char="F0F7"/>
      </w:r>
      <w:r>
        <w:rPr>
          <w:color w:val="000000"/>
          <w:sz w:val="28"/>
          <w:szCs w:val="28"/>
        </w:rPr>
        <w:sym w:font="HQPB1" w:char="F0E8"/>
      </w:r>
      <w:r>
        <w:rPr>
          <w:color w:val="000000"/>
          <w:sz w:val="28"/>
          <w:szCs w:val="28"/>
        </w:rPr>
        <w:sym w:font="HQPB5" w:char="F079"/>
      </w:r>
      <w:r>
        <w:rPr>
          <w:color w:val="000000"/>
          <w:sz w:val="28"/>
          <w:szCs w:val="28"/>
        </w:rPr>
        <w:sym w:font="HQPB2" w:char="F04A"/>
      </w:r>
      <w:r>
        <w:rPr>
          <w:color w:val="000000"/>
          <w:sz w:val="28"/>
          <w:szCs w:val="28"/>
        </w:rPr>
        <w:sym w:font="HQPB4" w:char="F0F8"/>
      </w:r>
      <w:r>
        <w:rPr>
          <w:color w:val="000000"/>
          <w:sz w:val="28"/>
          <w:szCs w:val="28"/>
        </w:rPr>
        <w:sym w:font="HQPB2" w:char="F039"/>
      </w:r>
      <w:r>
        <w:rPr>
          <w:color w:val="000000"/>
          <w:sz w:val="28"/>
          <w:szCs w:val="28"/>
        </w:rPr>
        <w:sym w:font="HQPB5" w:char="F024"/>
      </w:r>
      <w:r>
        <w:rPr>
          <w:color w:val="000000"/>
          <w:sz w:val="28"/>
          <w:szCs w:val="28"/>
        </w:rPr>
        <w:sym w:font="HQPB1" w:char="F024"/>
      </w:r>
      <w:r>
        <w:rPr>
          <w:color w:val="000000"/>
          <w:sz w:val="28"/>
          <w:szCs w:val="28"/>
        </w:rPr>
        <w:sym w:font="HQPB4" w:char="F0CE"/>
      </w:r>
      <w:r>
        <w:rPr>
          <w:color w:val="000000"/>
          <w:sz w:val="28"/>
          <w:szCs w:val="28"/>
        </w:rPr>
        <w:sym w:font="HQPB1" w:char="F02F"/>
      </w:r>
      <w:r>
        <w:rPr>
          <w:color w:val="000000"/>
          <w:sz w:val="28"/>
          <w:szCs w:val="28"/>
          <w:rtl/>
        </w:rPr>
        <w:t xml:space="preserve"> </w:t>
      </w:r>
      <w:r>
        <w:rPr>
          <w:color w:val="000000"/>
          <w:sz w:val="28"/>
          <w:szCs w:val="28"/>
        </w:rPr>
        <w:sym w:font="HQPB4" w:char="F034"/>
      </w:r>
      <w:r>
        <w:rPr>
          <w:color w:val="000000"/>
          <w:sz w:val="28"/>
          <w:szCs w:val="28"/>
          <w:rtl/>
        </w:rPr>
        <w:t xml:space="preserve"> </w:t>
      </w:r>
      <w:r>
        <w:rPr>
          <w:color w:val="000000"/>
          <w:sz w:val="28"/>
          <w:szCs w:val="28"/>
        </w:rPr>
        <w:sym w:font="HQPB2" w:char="F0E1"/>
      </w:r>
      <w:r>
        <w:rPr>
          <w:color w:val="000000"/>
          <w:sz w:val="28"/>
          <w:szCs w:val="28"/>
          <w:rtl/>
        </w:rPr>
        <w:t xml:space="preserve"> </w:t>
      </w:r>
      <w:r>
        <w:rPr>
          <w:rFonts w:hint="cs"/>
          <w:vertAlign w:val="superscript"/>
          <w:rtl/>
        </w:rPr>
        <w:t>(</w:t>
      </w:r>
      <w:r>
        <w:rPr>
          <w:rStyle w:val="a7"/>
          <w:rtl/>
        </w:rPr>
        <w:footnoteReference w:id="1907"/>
      </w:r>
      <w:r>
        <w:rPr>
          <w:rFonts w:hint="cs"/>
          <w:vertAlign w:val="superscript"/>
          <w:rtl/>
        </w:rPr>
        <w:t>)</w:t>
      </w:r>
      <w:r>
        <w:rPr>
          <w:rFonts w:hint="cs"/>
          <w:rtl/>
        </w:rPr>
        <w:t xml:space="preserve"> والله ما أرى</w:t>
      </w:r>
      <w:r>
        <w:rPr>
          <w:rStyle w:val="a7"/>
          <w:rtl/>
        </w:rPr>
        <w:footnoteReference w:id="1908"/>
      </w:r>
      <w:r>
        <w:rPr>
          <w:rFonts w:hint="cs"/>
          <w:rtl/>
        </w:rPr>
        <w:t xml:space="preserve"> أرضًا يؤخذ منها شاة في كلّ يوم إلاّ استسرع خرابها»</w:t>
      </w:r>
      <w:r>
        <w:rPr>
          <w:rFonts w:hint="cs"/>
          <w:vertAlign w:val="superscript"/>
          <w:rtl/>
        </w:rPr>
        <w:t>(</w:t>
      </w:r>
      <w:r>
        <w:rPr>
          <w:rStyle w:val="a7"/>
          <w:rtl/>
        </w:rPr>
        <w:footnoteReference w:id="1909"/>
      </w:r>
      <w:r>
        <w:rPr>
          <w:rFonts w:hint="cs"/>
          <w:vertAlign w:val="superscript"/>
          <w:rtl/>
        </w:rPr>
        <w:t>)</w:t>
      </w:r>
      <w:r>
        <w:rPr>
          <w:rFonts w:hint="cs"/>
          <w:rtl/>
        </w:rPr>
        <w:t xml:space="preserve"> »</w:t>
      </w:r>
      <w:r>
        <w:rPr>
          <w:rFonts w:hint="cs"/>
          <w:vertAlign w:val="superscript"/>
          <w:rtl/>
        </w:rPr>
        <w:t>(</w:t>
      </w:r>
      <w:r>
        <w:rPr>
          <w:rStyle w:val="a7"/>
          <w:rtl/>
        </w:rPr>
        <w:footnoteReference w:id="1910"/>
      </w:r>
      <w:r>
        <w:rPr>
          <w:rFonts w:hint="cs"/>
          <w:vertAlign w:val="superscript"/>
          <w:rtl/>
        </w:rPr>
        <w:t>)</w:t>
      </w:r>
      <w:r>
        <w:rPr>
          <w:rFonts w:hint="cs"/>
          <w:rtl/>
        </w:rPr>
        <w:t>.</w:t>
      </w:r>
    </w:p>
    <w:p w:rsidR="00C10469" w:rsidRDefault="00C10469">
      <w:pPr>
        <w:ind w:left="720" w:right="720" w:firstLine="0"/>
        <w:rPr>
          <w:rtl/>
        </w:rPr>
      </w:pPr>
      <w:r>
        <w:rPr>
          <w:rFonts w:hint="cs"/>
          <w:rtl/>
        </w:rPr>
        <w:t>فعلى هذا لا حاجة إلى التّفصيل، وخير الكلام ما قلّ ودلّ.</w:t>
      </w:r>
    </w:p>
    <w:p w:rsidR="00C10469" w:rsidRDefault="00C10469">
      <w:pPr>
        <w:ind w:left="567" w:right="567" w:firstLine="0"/>
        <w:rPr>
          <w:rtl/>
        </w:rPr>
      </w:pPr>
    </w:p>
    <w:p w:rsidR="00C10469" w:rsidRDefault="00C10469">
      <w:pPr>
        <w:ind w:left="567" w:right="567" w:firstLine="0"/>
        <w:rPr>
          <w:rtl/>
        </w:rPr>
      </w:pPr>
    </w:p>
    <w:p w:rsidR="00C10469" w:rsidRDefault="00C10469">
      <w:pPr>
        <w:ind w:left="567" w:right="567" w:firstLine="0"/>
        <w:rPr>
          <w:rtl/>
        </w:rPr>
      </w:pPr>
    </w:p>
    <w:p w:rsidR="00C10469" w:rsidRDefault="00C10469">
      <w:pPr>
        <w:ind w:left="567" w:right="567"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left="567" w:right="567" w:firstLine="0"/>
        <w:rPr>
          <w:rtl/>
        </w:rPr>
        <w:sectPr w:rsidR="00C10469" w:rsidSect="00C10469">
          <w:headerReference w:type="default" r:id="rId13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EE576E" w:rsidRDefault="00C10469">
      <w:pPr>
        <w:pStyle w:val="a9"/>
        <w:rPr>
          <w:rFonts w:cs="AL-Mateen"/>
          <w:rtl/>
        </w:rPr>
      </w:pPr>
      <w:r w:rsidRPr="00EE576E">
        <w:rPr>
          <w:rFonts w:cs="AL-Mateen" w:hint="cs"/>
          <w:rtl/>
        </w:rPr>
        <w:lastRenderedPageBreak/>
        <w:t>[ الـقـاعـدة السـادسـة والـسـبعـون ]</w:t>
      </w:r>
    </w:p>
    <w:p w:rsidR="00C10469" w:rsidRDefault="00C10469">
      <w:pPr>
        <w:rPr>
          <w:spacing w:val="-4"/>
          <w:rtl/>
        </w:rPr>
      </w:pPr>
      <w:r>
        <w:rPr>
          <w:rFonts w:cs="Monotype Koufi" w:hint="cs"/>
          <w:spacing w:val="-4"/>
          <w:rtl/>
        </w:rPr>
        <w:t>تصُّرفُ الإنسَانِ في خالِصِ</w:t>
      </w:r>
      <w:r>
        <w:rPr>
          <w:rStyle w:val="a7"/>
          <w:spacing w:val="-4"/>
          <w:rtl/>
        </w:rPr>
        <w:footnoteReference w:id="1911"/>
      </w:r>
      <w:r>
        <w:rPr>
          <w:rFonts w:hint="cs"/>
          <w:spacing w:val="-4"/>
          <w:rtl/>
        </w:rPr>
        <w:t xml:space="preserve"> </w:t>
      </w:r>
      <w:r>
        <w:rPr>
          <w:rFonts w:cs="Monotype Koufi" w:hint="cs"/>
          <w:spacing w:val="-4"/>
          <w:rtl/>
        </w:rPr>
        <w:t>حقِّهِ إنَّما يصحُّ إذا لَمْ يُتضرَّرْ بِهِ</w:t>
      </w:r>
      <w:r>
        <w:rPr>
          <w:rStyle w:val="a7"/>
          <w:spacing w:val="-4"/>
          <w:rtl/>
        </w:rPr>
        <w:footnoteReference w:id="1912"/>
      </w:r>
      <w:r>
        <w:rPr>
          <w:rFonts w:hint="cs"/>
          <w:spacing w:val="-4"/>
          <w:vertAlign w:val="superscript"/>
          <w:rtl/>
        </w:rPr>
        <w:t>(</w:t>
      </w:r>
      <w:r>
        <w:rPr>
          <w:rStyle w:val="a7"/>
          <w:spacing w:val="-4"/>
          <w:rtl/>
        </w:rPr>
        <w:footnoteReference w:id="1913"/>
      </w:r>
      <w:r>
        <w:rPr>
          <w:rFonts w:hint="cs"/>
          <w:spacing w:val="-4"/>
          <w:vertAlign w:val="superscript"/>
          <w:rtl/>
        </w:rPr>
        <w:t>)</w:t>
      </w:r>
      <w:r>
        <w:rPr>
          <w:rFonts w:hint="cs"/>
          <w:spacing w:val="-4"/>
          <w:rtl/>
        </w:rPr>
        <w:t xml:space="preserve"> :</w:t>
      </w:r>
    </w:p>
    <w:p w:rsidR="00C10469" w:rsidRDefault="00C10469">
      <w:pPr>
        <w:rPr>
          <w:rtl/>
        </w:rPr>
      </w:pPr>
      <w:r>
        <w:rPr>
          <w:rFonts w:hint="cs"/>
          <w:rtl/>
        </w:rPr>
        <w:lastRenderedPageBreak/>
        <w:t>فالعبد المشترك إذا كاتبه أحد الشريكين : فإنّه يُتوقّف على رضاء الآخر - وإن كان تصرّفًا في خالص حقّه-؛ لمكان</w:t>
      </w:r>
      <w:r>
        <w:rPr>
          <w:rFonts w:hint="cs"/>
          <w:vertAlign w:val="superscript"/>
          <w:rtl/>
        </w:rPr>
        <w:t>(</w:t>
      </w:r>
      <w:r>
        <w:rPr>
          <w:rStyle w:val="a7"/>
          <w:rtl/>
        </w:rPr>
        <w:footnoteReference w:id="1914"/>
      </w:r>
      <w:r>
        <w:rPr>
          <w:rFonts w:hint="cs"/>
          <w:vertAlign w:val="superscript"/>
          <w:rtl/>
        </w:rPr>
        <w:t>)</w:t>
      </w:r>
      <w:r>
        <w:rPr>
          <w:rFonts w:hint="cs"/>
          <w:rtl/>
        </w:rPr>
        <w:t xml:space="preserve"> ضرر شريكه، فيتخيّر</w:t>
      </w:r>
      <w:r>
        <w:rPr>
          <w:rFonts w:hint="cs"/>
          <w:vertAlign w:val="superscript"/>
          <w:rtl/>
        </w:rPr>
        <w:t>(</w:t>
      </w:r>
      <w:r>
        <w:rPr>
          <w:rStyle w:val="a7"/>
          <w:rtl/>
        </w:rPr>
        <w:footnoteReference w:id="1915"/>
      </w:r>
      <w:r>
        <w:rPr>
          <w:rFonts w:hint="cs"/>
          <w:vertAlign w:val="superscript"/>
          <w:rtl/>
        </w:rPr>
        <w:t>)</w:t>
      </w:r>
      <w:r>
        <w:rPr>
          <w:rFonts w:hint="cs"/>
          <w:rtl/>
        </w:rPr>
        <w:t xml:space="preserve"> بين الإمضاء والفسخ</w:t>
      </w:r>
      <w:r>
        <w:rPr>
          <w:rFonts w:hint="cs"/>
          <w:vertAlign w:val="superscript"/>
          <w:rtl/>
        </w:rPr>
        <w:t>(</w:t>
      </w:r>
      <w:r>
        <w:rPr>
          <w:rStyle w:val="a7"/>
          <w:rtl/>
        </w:rPr>
        <w:footnoteReference w:id="1916"/>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3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2197B" w:rsidRDefault="00C10469">
      <w:pPr>
        <w:pStyle w:val="a9"/>
        <w:rPr>
          <w:rFonts w:cs="AL-Mateen"/>
          <w:rtl/>
          <w:lang w:val="en-US"/>
        </w:rPr>
      </w:pPr>
      <w:r w:rsidRPr="00A2197B">
        <w:rPr>
          <w:rFonts w:cs="AL-Mateen" w:hint="cs"/>
          <w:rtl/>
          <w:lang w:val="en-US"/>
        </w:rPr>
        <w:lastRenderedPageBreak/>
        <w:t>[ الـقـاعـدة الـسـابـعـة والـسـبـعون ]</w:t>
      </w:r>
    </w:p>
    <w:p w:rsidR="00C10469" w:rsidRDefault="00C10469">
      <w:pPr>
        <w:ind w:left="567" w:right="567" w:firstLine="0"/>
        <w:rPr>
          <w:rtl/>
        </w:rPr>
      </w:pPr>
      <w:r>
        <w:rPr>
          <w:rFonts w:cs="Monotype Koufi" w:hint="cs"/>
          <w:rtl/>
        </w:rPr>
        <w:t>تُعتَبَرُ صفةُ الوقتِ</w:t>
      </w:r>
      <w:r>
        <w:rPr>
          <w:rStyle w:val="a7"/>
          <w:rtl/>
        </w:rPr>
        <w:footnoteReference w:id="1917"/>
      </w:r>
      <w:r>
        <w:rPr>
          <w:rFonts w:hint="cs"/>
          <w:rtl/>
        </w:rPr>
        <w:t xml:space="preserve"> </w:t>
      </w:r>
      <w:r>
        <w:rPr>
          <w:rFonts w:cs="Monotype Koufi" w:hint="cs"/>
          <w:rtl/>
        </w:rPr>
        <w:t>فِي نُقْصَانِ الوَاجِبِ وَكَمَالِهِ</w:t>
      </w:r>
      <w:r>
        <w:rPr>
          <w:rFonts w:hint="cs"/>
          <w:vertAlign w:val="superscript"/>
          <w:rtl/>
        </w:rPr>
        <w:t>(</w:t>
      </w:r>
      <w:r>
        <w:rPr>
          <w:rStyle w:val="a7"/>
          <w:rtl/>
        </w:rPr>
        <w:footnoteReference w:id="1918"/>
      </w:r>
      <w:r>
        <w:rPr>
          <w:rFonts w:hint="cs"/>
          <w:vertAlign w:val="superscript"/>
          <w:rtl/>
        </w:rPr>
        <w:t>)</w:t>
      </w:r>
      <w:r>
        <w:rPr>
          <w:rFonts w:hint="cs"/>
          <w:rtl/>
        </w:rPr>
        <w:t xml:space="preserve"> :</w:t>
      </w:r>
    </w:p>
    <w:p w:rsidR="00C10469" w:rsidRDefault="00C10469">
      <w:pPr>
        <w:rPr>
          <w:rtl/>
        </w:rPr>
      </w:pPr>
      <w:r>
        <w:rPr>
          <w:rFonts w:hint="cs"/>
          <w:rtl/>
        </w:rPr>
        <w:t>اعلم أن الوقت الذي هو سـبـب لوجـوب الصّلاة : الجـزءُ الـمقارن</w:t>
      </w:r>
      <w:r>
        <w:rPr>
          <w:rStyle w:val="a7"/>
          <w:rtl/>
        </w:rPr>
        <w:footnoteReference w:id="1919"/>
      </w:r>
      <w:r>
        <w:rPr>
          <w:rFonts w:hint="cs"/>
          <w:rtl/>
        </w:rPr>
        <w:t xml:space="preserve"> للأداء، فإذا كان هـذا الجـزء متّـصفًا بالكـراهـة، فالوقـتيّة التي شرعت فيه تجب بالنقصان كما وجبت</w:t>
      </w:r>
      <w:r>
        <w:rPr>
          <w:rFonts w:hint="cs"/>
          <w:vertAlign w:val="superscript"/>
          <w:rtl/>
        </w:rPr>
        <w:t>(</w:t>
      </w:r>
      <w:r>
        <w:rPr>
          <w:rStyle w:val="a7"/>
          <w:rtl/>
        </w:rPr>
        <w:footnoteReference w:id="1920"/>
      </w:r>
      <w:r>
        <w:rPr>
          <w:rFonts w:hint="cs"/>
          <w:vertAlign w:val="superscript"/>
          <w:rtl/>
        </w:rPr>
        <w:t>)</w:t>
      </w:r>
      <w:r>
        <w:rPr>
          <w:rFonts w:hint="cs"/>
          <w:rtl/>
        </w:rPr>
        <w:t>.</w:t>
      </w:r>
    </w:p>
    <w:p w:rsidR="00C10469" w:rsidRDefault="00C10469">
      <w:pPr>
        <w:rPr>
          <w:spacing w:val="4"/>
          <w:rtl/>
        </w:rPr>
      </w:pPr>
      <w:r>
        <w:rPr>
          <w:rFonts w:hint="cs"/>
          <w:spacing w:val="4"/>
          <w:rtl/>
        </w:rPr>
        <w:t>فلو ابتدأ العصر وقـت احمرار الشمس (وهو وقت ناقص، وهو وقت عبادة الشمس): وجب عـليه بالنقـصان، فإذا اعتـرض الفسـاد بالغروب</w:t>
      </w:r>
      <w:r>
        <w:rPr>
          <w:rStyle w:val="a7"/>
          <w:spacing w:val="4"/>
          <w:rtl/>
        </w:rPr>
        <w:footnoteReference w:id="1921"/>
      </w:r>
      <w:r>
        <w:rPr>
          <w:rFonts w:hint="cs"/>
          <w:spacing w:val="4"/>
          <w:rtl/>
        </w:rPr>
        <w:t xml:space="preserve"> لا يفسد</w:t>
      </w:r>
      <w:r>
        <w:rPr>
          <w:rStyle w:val="a7"/>
          <w:spacing w:val="4"/>
          <w:rtl/>
        </w:rPr>
        <w:footnoteReference w:id="1922"/>
      </w:r>
      <w:r>
        <w:rPr>
          <w:rFonts w:hint="cs"/>
          <w:spacing w:val="4"/>
          <w:rtl/>
        </w:rPr>
        <w:t>؛ [إذ]</w:t>
      </w:r>
      <w:r>
        <w:rPr>
          <w:rStyle w:val="a7"/>
          <w:spacing w:val="4"/>
          <w:rtl/>
        </w:rPr>
        <w:footnoteReference w:id="1923"/>
      </w:r>
      <w:r>
        <w:rPr>
          <w:rFonts w:hint="cs"/>
          <w:spacing w:val="4"/>
          <w:rtl/>
        </w:rPr>
        <w:t xml:space="preserve"> أدَّاه كما وجب. </w:t>
      </w:r>
    </w:p>
    <w:p w:rsidR="00C10469" w:rsidRDefault="00C10469">
      <w:pPr>
        <w:rPr>
          <w:rtl/>
        </w:rPr>
      </w:pPr>
      <w:r>
        <w:rPr>
          <w:rFonts w:hint="cs"/>
          <w:rtl/>
        </w:rPr>
        <w:lastRenderedPageBreak/>
        <w:t>والفجر يفسد بطلوعها؛ لأن الفجر كل وقته وقت كامل؛ لأن الشمس لا تعبد</w:t>
      </w:r>
      <w:r>
        <w:rPr>
          <w:rStyle w:val="a7"/>
          <w:rtl/>
        </w:rPr>
        <w:footnoteReference w:id="1924"/>
      </w:r>
      <w:r>
        <w:rPr>
          <w:rFonts w:hint="cs"/>
          <w:rtl/>
        </w:rPr>
        <w:t xml:space="preserve"> قبل طلوعها، فمن ابتدأ الفجر فيه وجب بالكمال، فإذا اعترض الفساد بالطلوع تفسُدْ؛ لأنه لم يؤدِّه كما وجب</w:t>
      </w:r>
      <w:r>
        <w:rPr>
          <w:rFonts w:hint="cs"/>
          <w:vertAlign w:val="superscript"/>
          <w:rtl/>
        </w:rPr>
        <w:t>(</w:t>
      </w:r>
      <w:r>
        <w:rPr>
          <w:rStyle w:val="a7"/>
          <w:rtl/>
        </w:rPr>
        <w:footnoteReference w:id="1925"/>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 الأصل : </w:t>
      </w:r>
    </w:p>
    <w:p w:rsidR="00C10469" w:rsidRDefault="00C10469" w:rsidP="00C10469">
      <w:pPr>
        <w:ind w:left="848" w:hanging="281"/>
        <w:rPr>
          <w:rtl/>
        </w:rPr>
      </w:pPr>
      <w:r>
        <w:rPr>
          <w:rtl/>
        </w:rPr>
        <w:t>•</w:t>
      </w:r>
      <w:r>
        <w:rPr>
          <w:rFonts w:hint="cs"/>
          <w:rtl/>
        </w:rPr>
        <w:t xml:space="preserve">  لو أسلم الكافر وقت احمرار الشمس، ولم يؤدّ حتى احمرّت في اليوم</w:t>
      </w:r>
      <w:r>
        <w:rPr>
          <w:rStyle w:val="a7"/>
          <w:rtl/>
        </w:rPr>
        <w:footnoteReference w:id="1926"/>
      </w:r>
      <w:r>
        <w:rPr>
          <w:rFonts w:hint="cs"/>
          <w:rtl/>
        </w:rPr>
        <w:t xml:space="preserve"> الثاني: فإنّه لا يجوز القضاء فيه مع نقصان السّبب</w:t>
      </w:r>
      <w:r>
        <w:rPr>
          <w:rFonts w:hint="cs"/>
          <w:vertAlign w:val="superscript"/>
          <w:rtl/>
        </w:rPr>
        <w:t>(</w:t>
      </w:r>
      <w:r>
        <w:rPr>
          <w:rStyle w:val="a7"/>
          <w:rtl/>
        </w:rPr>
        <w:footnoteReference w:id="1927"/>
      </w:r>
      <w:r>
        <w:rPr>
          <w:rFonts w:hint="cs"/>
          <w:vertAlign w:val="superscript"/>
          <w:rtl/>
        </w:rPr>
        <w:t>)</w:t>
      </w:r>
      <w:r>
        <w:rPr>
          <w:rFonts w:hint="cs"/>
          <w:rtl/>
        </w:rPr>
        <w:t>.</w:t>
      </w:r>
    </w:p>
    <w:p w:rsidR="00C10469" w:rsidRDefault="00C10469" w:rsidP="00C10469">
      <w:pPr>
        <w:ind w:left="848" w:hanging="281"/>
        <w:rPr>
          <w:rtl/>
        </w:rPr>
      </w:pPr>
      <w:r>
        <w:rPr>
          <w:rFonts w:hint="cs"/>
          <w:b/>
          <w:bCs/>
          <w:rtl/>
        </w:rPr>
        <w:t xml:space="preserve">  والـجواب</w:t>
      </w:r>
      <w:r>
        <w:rPr>
          <w:rFonts w:hint="cs"/>
          <w:rtl/>
        </w:rPr>
        <w:t xml:space="preserve"> : إنـما جـاز الأداء مع النقصان عند ضعف السّبب إذا لم ينفصل</w:t>
      </w:r>
      <w:r>
        <w:rPr>
          <w:rStyle w:val="a7"/>
          <w:rtl/>
        </w:rPr>
        <w:footnoteReference w:id="1928"/>
      </w:r>
      <w:r>
        <w:rPr>
          <w:rFonts w:hint="cs"/>
          <w:rtl/>
        </w:rPr>
        <w:t xml:space="preserve"> عن سببه. </w:t>
      </w:r>
    </w:p>
    <w:p w:rsidR="00C10469" w:rsidRDefault="00C10469" w:rsidP="00C10469">
      <w:pPr>
        <w:ind w:left="848" w:hanging="281"/>
        <w:rPr>
          <w:rtl/>
        </w:rPr>
      </w:pPr>
      <w:r>
        <w:rPr>
          <w:rFonts w:hint="cs"/>
          <w:rtl/>
        </w:rPr>
        <w:t xml:space="preserve">  وأمّا إذا انفصل عنه يكون دينًا عليه، فلا يجوز أداؤه في الوقت الناقص؛ لأن القضاء لا يختص بوقت، فلا ضرورة لقضائه فيه، فوجب التأخير.</w:t>
      </w:r>
    </w:p>
    <w:p w:rsidR="00C10469" w:rsidRDefault="00C10469" w:rsidP="00C10469">
      <w:pPr>
        <w:ind w:left="848" w:hanging="281"/>
        <w:rPr>
          <w:rtl/>
        </w:rPr>
      </w:pPr>
      <w:r>
        <w:rPr>
          <w:rFonts w:hint="cs"/>
          <w:rtl/>
        </w:rPr>
        <w:t xml:space="preserve">  وأمّا في أداء الصلاة الوقتية ضرورة؛ لأنّها [تفوت]</w:t>
      </w:r>
      <w:r>
        <w:rPr>
          <w:rStyle w:val="a7"/>
          <w:rtl/>
        </w:rPr>
        <w:footnoteReference w:id="1929"/>
      </w:r>
      <w:r>
        <w:rPr>
          <w:rFonts w:hint="cs"/>
          <w:rtl/>
        </w:rPr>
        <w:t xml:space="preserve"> بتأخيره</w:t>
      </w:r>
      <w:r>
        <w:rPr>
          <w:rFonts w:hint="cs"/>
          <w:vertAlign w:val="superscript"/>
          <w:rtl/>
        </w:rPr>
        <w:t>(</w:t>
      </w:r>
      <w:r>
        <w:rPr>
          <w:rStyle w:val="a7"/>
          <w:rtl/>
        </w:rPr>
        <w:footnoteReference w:id="1930"/>
      </w:r>
      <w:r>
        <w:rPr>
          <w:rFonts w:hint="cs"/>
          <w:vertAlign w:val="superscript"/>
          <w:rtl/>
        </w:rPr>
        <w:t>)</w:t>
      </w:r>
      <w:r>
        <w:rPr>
          <w:rFonts w:hint="cs"/>
          <w:rtl/>
        </w:rPr>
        <w:t xml:space="preserve">، فيجوز </w:t>
      </w:r>
      <w:r>
        <w:rPr>
          <w:rFonts w:hint="cs"/>
          <w:rtl/>
        </w:rPr>
        <w:lastRenderedPageBreak/>
        <w:t>أداؤه</w:t>
      </w:r>
      <w:r>
        <w:rPr>
          <w:rFonts w:hint="cs"/>
          <w:vertAlign w:val="superscript"/>
          <w:rtl/>
        </w:rPr>
        <w:t>(</w:t>
      </w:r>
      <w:r>
        <w:rPr>
          <w:rStyle w:val="a7"/>
          <w:rtl/>
        </w:rPr>
        <w:footnoteReference w:id="1931"/>
      </w:r>
      <w:r>
        <w:rPr>
          <w:rFonts w:hint="cs"/>
          <w:vertAlign w:val="superscript"/>
          <w:rtl/>
        </w:rPr>
        <w:t>)</w:t>
      </w:r>
      <w:r>
        <w:rPr>
          <w:rFonts w:hint="cs"/>
          <w:rtl/>
        </w:rPr>
        <w:t xml:space="preserve"> بالضرورة</w:t>
      </w:r>
      <w:r>
        <w:rPr>
          <w:rFonts w:hint="cs"/>
          <w:vertAlign w:val="superscript"/>
          <w:rtl/>
        </w:rPr>
        <w:t>(</w:t>
      </w:r>
      <w:r>
        <w:rPr>
          <w:rStyle w:val="a7"/>
          <w:rtl/>
        </w:rPr>
        <w:footnoteReference w:id="1932"/>
      </w:r>
      <w:r>
        <w:rPr>
          <w:rFonts w:hint="cs"/>
          <w:vertAlign w:val="superscript"/>
          <w:rtl/>
        </w:rPr>
        <w:t>)</w:t>
      </w:r>
      <w:r>
        <w:rPr>
          <w:rFonts w:hint="cs"/>
          <w:rtl/>
        </w:rPr>
        <w:t>.</w:t>
      </w:r>
    </w:p>
    <w:p w:rsidR="00C10469" w:rsidRDefault="00C10469" w:rsidP="00C10469">
      <w:pPr>
        <w:ind w:left="848" w:hanging="281"/>
        <w:rPr>
          <w:rtl/>
        </w:rPr>
      </w:pPr>
      <w:r>
        <w:rPr>
          <w:b/>
          <w:bCs/>
          <w:rtl/>
        </w:rPr>
        <w:t>•</w:t>
      </w:r>
      <w:r>
        <w:rPr>
          <w:rFonts w:hint="cs"/>
          <w:b/>
          <w:bCs/>
          <w:rtl/>
        </w:rPr>
        <w:t xml:space="preserve">  وإن قيل</w:t>
      </w:r>
      <w:r>
        <w:rPr>
          <w:rFonts w:hint="cs"/>
          <w:rtl/>
        </w:rPr>
        <w:t xml:space="preserve"> : لو تلا آية السجدة عند الطلوع ولم يسجد فيه</w:t>
      </w:r>
      <w:r>
        <w:rPr>
          <w:rStyle w:val="a7"/>
          <w:rtl/>
        </w:rPr>
        <w:footnoteReference w:id="1933"/>
      </w:r>
      <w:r>
        <w:rPr>
          <w:rFonts w:hint="cs"/>
          <w:rtl/>
        </w:rPr>
        <w:t xml:space="preserve"> </w:t>
      </w:r>
      <w:r>
        <w:rPr>
          <w:rFonts w:hint="cs"/>
          <w:vertAlign w:val="superscript"/>
          <w:rtl/>
        </w:rPr>
        <w:t>(</w:t>
      </w:r>
      <w:r>
        <w:rPr>
          <w:rStyle w:val="a7"/>
          <w:rtl/>
        </w:rPr>
        <w:footnoteReference w:id="1934"/>
      </w:r>
      <w:r>
        <w:rPr>
          <w:rFonts w:hint="cs"/>
          <w:vertAlign w:val="superscript"/>
          <w:rtl/>
        </w:rPr>
        <w:t>)</w:t>
      </w:r>
      <w:r>
        <w:rPr>
          <w:rFonts w:hint="cs"/>
          <w:rtl/>
        </w:rPr>
        <w:t xml:space="preserve"> : جاز السجود عند الزوال، وإذا غابت الشمس، وإن انفصل عن سببه</w:t>
      </w:r>
      <w:r>
        <w:rPr>
          <w:rFonts w:hint="cs"/>
          <w:vertAlign w:val="superscript"/>
          <w:rtl/>
        </w:rPr>
        <w:t>(</w:t>
      </w:r>
      <w:r>
        <w:rPr>
          <w:rStyle w:val="a7"/>
          <w:rtl/>
        </w:rPr>
        <w:footnoteReference w:id="1935"/>
      </w:r>
      <w:r>
        <w:rPr>
          <w:rFonts w:hint="cs"/>
          <w:vertAlign w:val="superscript"/>
          <w:rtl/>
        </w:rPr>
        <w:t>)</w:t>
      </w:r>
      <w:r>
        <w:rPr>
          <w:rFonts w:hint="cs"/>
          <w:rtl/>
        </w:rPr>
        <w:t>!.</w:t>
      </w:r>
    </w:p>
    <w:p w:rsidR="00C10469" w:rsidRDefault="00C10469" w:rsidP="00C10469">
      <w:pPr>
        <w:ind w:left="848" w:hanging="281"/>
        <w:rPr>
          <w:spacing w:val="-6"/>
          <w:rtl/>
        </w:rPr>
      </w:pPr>
      <w:r>
        <w:rPr>
          <w:rFonts w:hint="cs"/>
          <w:b/>
          <w:bCs/>
          <w:spacing w:val="-6"/>
          <w:rtl/>
        </w:rPr>
        <w:t xml:space="preserve">   يقال</w:t>
      </w:r>
      <w:r>
        <w:rPr>
          <w:rFonts w:hint="cs"/>
          <w:spacing w:val="-6"/>
          <w:rtl/>
        </w:rPr>
        <w:t xml:space="preserve"> : إن «عود الواجب إلى الكمال بعد انفصاله عن السّبب فيما يجب قربة مقصودة، والسجدة عن التلاوة لم [تجب]</w:t>
      </w:r>
      <w:r>
        <w:rPr>
          <w:rStyle w:val="a7"/>
          <w:spacing w:val="-6"/>
          <w:rtl/>
        </w:rPr>
        <w:footnoteReference w:id="1936"/>
      </w:r>
      <w:r>
        <w:rPr>
          <w:rFonts w:hint="cs"/>
          <w:spacing w:val="-6"/>
          <w:rtl/>
        </w:rPr>
        <w:t xml:space="preserve"> قربة مقصودة</w:t>
      </w:r>
      <w:r>
        <w:rPr>
          <w:rStyle w:val="a7"/>
          <w:spacing w:val="-6"/>
          <w:rtl/>
        </w:rPr>
        <w:footnoteReference w:id="1937"/>
      </w:r>
      <w:r>
        <w:rPr>
          <w:rFonts w:hint="cs"/>
          <w:spacing w:val="-6"/>
          <w:rtl/>
        </w:rPr>
        <w:t>، إنما المقصود مجرد ما يصلح تواضعًا لله تعالى؛ لمخالفة</w:t>
      </w:r>
      <w:r>
        <w:rPr>
          <w:rFonts w:hint="cs"/>
          <w:spacing w:val="-6"/>
          <w:vertAlign w:val="superscript"/>
          <w:rtl/>
        </w:rPr>
        <w:t>(</w:t>
      </w:r>
      <w:r>
        <w:rPr>
          <w:rStyle w:val="a7"/>
          <w:spacing w:val="-6"/>
          <w:rtl/>
        </w:rPr>
        <w:footnoteReference w:id="1938"/>
      </w:r>
      <w:r>
        <w:rPr>
          <w:rFonts w:hint="cs"/>
          <w:spacing w:val="-6"/>
          <w:vertAlign w:val="superscript"/>
          <w:rtl/>
        </w:rPr>
        <w:t>)</w:t>
      </w:r>
      <w:r>
        <w:rPr>
          <w:rFonts w:hint="cs"/>
          <w:spacing w:val="-6"/>
          <w:rtl/>
        </w:rPr>
        <w:t xml:space="preserve"> المعاندين على الله تعالى، وموافقة [العابدين]</w:t>
      </w:r>
      <w:r>
        <w:rPr>
          <w:rStyle w:val="a7"/>
          <w:spacing w:val="-6"/>
          <w:rtl/>
        </w:rPr>
        <w:footnoteReference w:id="1939"/>
      </w:r>
      <w:r>
        <w:rPr>
          <w:rFonts w:hint="cs"/>
          <w:spacing w:val="-6"/>
          <w:rtl/>
        </w:rPr>
        <w:t xml:space="preserve"> كما علم من مواضع السجود»</w:t>
      </w:r>
      <w:r>
        <w:rPr>
          <w:rFonts w:hint="cs"/>
          <w:spacing w:val="-6"/>
          <w:vertAlign w:val="superscript"/>
          <w:rtl/>
        </w:rPr>
        <w:t>(</w:t>
      </w:r>
      <w:r>
        <w:rPr>
          <w:rStyle w:val="a7"/>
          <w:spacing w:val="-6"/>
          <w:rtl/>
        </w:rPr>
        <w:footnoteReference w:id="1940"/>
      </w:r>
      <w:r>
        <w:rPr>
          <w:rFonts w:hint="cs"/>
          <w:spacing w:val="-6"/>
          <w:vertAlign w:val="superscript"/>
          <w:rtl/>
        </w:rPr>
        <w:t>)</w:t>
      </w:r>
      <w:r>
        <w:rPr>
          <w:rFonts w:hint="cs"/>
          <w:spacing w:val="-6"/>
          <w:rtl/>
        </w:rPr>
        <w:t>. وتفصيله في كتب</w:t>
      </w:r>
      <w:r>
        <w:rPr>
          <w:rStyle w:val="a7"/>
          <w:spacing w:val="-6"/>
          <w:rtl/>
        </w:rPr>
        <w:footnoteReference w:id="1941"/>
      </w:r>
      <w:r>
        <w:rPr>
          <w:rFonts w:hint="cs"/>
          <w:spacing w:val="-6"/>
          <w:rtl/>
        </w:rPr>
        <w:t xml:space="preserve"> الأصول</w:t>
      </w:r>
      <w:r>
        <w:rPr>
          <w:rFonts w:hint="cs"/>
          <w:spacing w:val="-6"/>
          <w:vertAlign w:val="superscript"/>
          <w:rtl/>
        </w:rPr>
        <w:t>(</w:t>
      </w:r>
      <w:r>
        <w:rPr>
          <w:rStyle w:val="a7"/>
          <w:spacing w:val="-6"/>
          <w:rtl/>
        </w:rPr>
        <w:footnoteReference w:id="1942"/>
      </w:r>
      <w:r>
        <w:rPr>
          <w:rFonts w:hint="cs"/>
          <w:spacing w:val="-6"/>
          <w:vertAlign w:val="superscript"/>
          <w:rtl/>
        </w:rPr>
        <w:t>)</w:t>
      </w:r>
      <w:r>
        <w:rPr>
          <w:rFonts w:hint="cs"/>
          <w:spacing w:val="-6"/>
          <w:rtl/>
        </w:rPr>
        <w:t>.</w:t>
      </w:r>
    </w:p>
    <w:p w:rsidR="00C10469" w:rsidRDefault="00C10469" w:rsidP="00C10469">
      <w:pPr>
        <w:ind w:left="848" w:hanging="281"/>
        <w:rPr>
          <w:spacing w:val="-4"/>
          <w:rtl/>
        </w:rPr>
      </w:pPr>
      <w:r>
        <w:rPr>
          <w:rFonts w:hint="cs"/>
          <w:b/>
          <w:bCs/>
          <w:spacing w:val="-4"/>
          <w:rtl/>
        </w:rPr>
        <w:t xml:space="preserve">   أقول</w:t>
      </w:r>
      <w:r>
        <w:rPr>
          <w:rFonts w:hint="cs"/>
          <w:spacing w:val="-4"/>
          <w:rtl/>
        </w:rPr>
        <w:t xml:space="preserve"> : ويمكن أن يجاب عنه بوجهٍ آخر، وهو أن سجدة التلاوة لا </w:t>
      </w:r>
      <w:r>
        <w:rPr>
          <w:rFonts w:hint="cs"/>
          <w:spacing w:val="-4"/>
          <w:rtl/>
        </w:rPr>
        <w:lastRenderedPageBreak/>
        <w:t>[تختص]</w:t>
      </w:r>
      <w:r>
        <w:rPr>
          <w:rStyle w:val="a7"/>
          <w:spacing w:val="-4"/>
          <w:rtl/>
        </w:rPr>
        <w:footnoteReference w:id="1943"/>
      </w:r>
      <w:r>
        <w:rPr>
          <w:rFonts w:hint="cs"/>
          <w:spacing w:val="-4"/>
          <w:rtl/>
        </w:rPr>
        <w:t xml:space="preserve"> بوقت، وبالتأخير لا يكون</w:t>
      </w:r>
      <w:r>
        <w:rPr>
          <w:rFonts w:hint="cs"/>
          <w:spacing w:val="-4"/>
          <w:vertAlign w:val="superscript"/>
          <w:rtl/>
        </w:rPr>
        <w:t>(</w:t>
      </w:r>
      <w:r>
        <w:rPr>
          <w:rStyle w:val="a7"/>
          <w:spacing w:val="-4"/>
          <w:rtl/>
        </w:rPr>
        <w:footnoteReference w:id="1944"/>
      </w:r>
      <w:r>
        <w:rPr>
          <w:rFonts w:hint="cs"/>
          <w:spacing w:val="-4"/>
          <w:vertAlign w:val="superscript"/>
          <w:rtl/>
        </w:rPr>
        <w:t>)</w:t>
      </w:r>
      <w:r>
        <w:rPr>
          <w:rFonts w:hint="cs"/>
          <w:spacing w:val="-4"/>
          <w:rtl/>
        </w:rPr>
        <w:t xml:space="preserve"> منفصلاً عن السبّب، ففي أيِّ وقت أدّاه لا يكون قضاءً؛ بل أداء. فعلى هذا لا يكون منفصلاً عن السبّب؛ بل متأخرًا.</w:t>
      </w:r>
    </w:p>
    <w:p w:rsidR="00C10469" w:rsidRDefault="00C10469" w:rsidP="00C10469">
      <w:pPr>
        <w:ind w:left="848" w:hanging="281"/>
        <w:rPr>
          <w:rtl/>
        </w:rPr>
      </w:pPr>
      <w:r>
        <w:rPr>
          <w:rtl/>
        </w:rPr>
        <w:t>•</w:t>
      </w:r>
      <w:r>
        <w:rPr>
          <w:rFonts w:hint="cs"/>
          <w:rtl/>
        </w:rPr>
        <w:t xml:space="preserve">  وكذا </w:t>
      </w:r>
      <w:r>
        <w:rPr>
          <w:rFonts w:hint="cs"/>
          <w:b/>
          <w:bCs/>
          <w:rtl/>
        </w:rPr>
        <w:t>خرج</w:t>
      </w:r>
      <w:r>
        <w:rPr>
          <w:rFonts w:hint="cs"/>
          <w:rtl/>
        </w:rPr>
        <w:t xml:space="preserve"> في بدء النظر عن هذا الأصل : لو شرع فيه</w:t>
      </w:r>
      <w:r>
        <w:rPr>
          <w:rFonts w:hint="cs"/>
          <w:vertAlign w:val="superscript"/>
          <w:rtl/>
        </w:rPr>
        <w:t>(</w:t>
      </w:r>
      <w:r>
        <w:rPr>
          <w:rStyle w:val="a7"/>
          <w:rtl/>
        </w:rPr>
        <w:footnoteReference w:id="1945"/>
      </w:r>
      <w:r>
        <w:rPr>
          <w:rFonts w:hint="cs"/>
          <w:vertAlign w:val="superscript"/>
          <w:rtl/>
        </w:rPr>
        <w:t>)</w:t>
      </w:r>
      <w:r>
        <w:rPr>
          <w:rFonts w:hint="cs"/>
          <w:rtl/>
        </w:rPr>
        <w:t xml:space="preserve"> في نفل، وأفسده: يجب عليه القضاء</w:t>
      </w:r>
      <w:r>
        <w:rPr>
          <w:rFonts w:hint="cs"/>
          <w:vertAlign w:val="superscript"/>
          <w:rtl/>
        </w:rPr>
        <w:t>(</w:t>
      </w:r>
      <w:r>
        <w:rPr>
          <w:rStyle w:val="a7"/>
          <w:rtl/>
        </w:rPr>
        <w:footnoteReference w:id="1946"/>
      </w:r>
      <w:r>
        <w:rPr>
          <w:rFonts w:hint="cs"/>
          <w:vertAlign w:val="superscript"/>
          <w:rtl/>
        </w:rPr>
        <w:t>)</w:t>
      </w:r>
      <w:r>
        <w:rPr>
          <w:rFonts w:hint="cs"/>
          <w:rtl/>
        </w:rPr>
        <w:t>، ويجوز قضاؤه حالة الغروب وإن كان قربة مقصودة</w:t>
      </w:r>
      <w:r>
        <w:rPr>
          <w:rFonts w:hint="cs"/>
          <w:vertAlign w:val="superscript"/>
          <w:rtl/>
        </w:rPr>
        <w:t>(</w:t>
      </w:r>
      <w:r>
        <w:rPr>
          <w:rStyle w:val="a7"/>
          <w:rtl/>
        </w:rPr>
        <w:footnoteReference w:id="1947"/>
      </w:r>
      <w:r>
        <w:rPr>
          <w:rFonts w:hint="cs"/>
          <w:vertAlign w:val="superscript"/>
          <w:rtl/>
        </w:rPr>
        <w:t>)</w:t>
      </w:r>
      <w:r>
        <w:rPr>
          <w:rFonts w:hint="cs"/>
          <w:rtl/>
        </w:rPr>
        <w:t>.</w:t>
      </w:r>
    </w:p>
    <w:p w:rsidR="00C10469" w:rsidRDefault="00C10469" w:rsidP="00C10469">
      <w:pPr>
        <w:ind w:left="848" w:hanging="281"/>
        <w:rPr>
          <w:rtl/>
        </w:rPr>
      </w:pPr>
      <w:r>
        <w:rPr>
          <w:rFonts w:hint="cs"/>
          <w:b/>
          <w:bCs/>
          <w:rtl/>
        </w:rPr>
        <w:t xml:space="preserve">   والجواب</w:t>
      </w:r>
      <w:r>
        <w:rPr>
          <w:rFonts w:hint="cs"/>
          <w:rtl/>
        </w:rPr>
        <w:t xml:space="preserve"> : «أن باب النفل أوسع؛ ولهذا يجوز</w:t>
      </w:r>
      <w:r>
        <w:rPr>
          <w:rStyle w:val="a7"/>
          <w:rtl/>
        </w:rPr>
        <w:footnoteReference w:id="1948"/>
      </w:r>
      <w:r>
        <w:rPr>
          <w:rFonts w:hint="cs"/>
          <w:rtl/>
        </w:rPr>
        <w:t xml:space="preserve"> أداؤه قاعدًا مع القدرة </w:t>
      </w:r>
      <w:r>
        <w:rPr>
          <w:rFonts w:hint="cs"/>
          <w:rtl/>
        </w:rPr>
        <w:lastRenderedPageBreak/>
        <w:t>على القيام، وراكبًا مُوْمِئًا مع القدرة على النـزول»</w:t>
      </w:r>
      <w:r>
        <w:rPr>
          <w:rFonts w:hint="cs"/>
          <w:vertAlign w:val="superscript"/>
          <w:rtl/>
        </w:rPr>
        <w:t>(</w:t>
      </w:r>
      <w:r>
        <w:rPr>
          <w:rStyle w:val="a7"/>
          <w:rtl/>
        </w:rPr>
        <w:footnoteReference w:id="1949"/>
      </w:r>
      <w:r>
        <w:rPr>
          <w:rFonts w:hint="cs"/>
          <w:vertAlign w:val="superscript"/>
          <w:rtl/>
        </w:rPr>
        <w:t>)</w:t>
      </w:r>
      <w:r>
        <w:rPr>
          <w:rFonts w:hint="cs"/>
          <w:rtl/>
        </w:rPr>
        <w:t>.</w:t>
      </w:r>
    </w:p>
    <w:p w:rsidR="00C10469" w:rsidRDefault="00C10469" w:rsidP="00C10469">
      <w:pPr>
        <w:rPr>
          <w:rtl/>
        </w:rPr>
      </w:pPr>
      <w:r>
        <w:rPr>
          <w:rFonts w:hint="cs"/>
          <w:rtl/>
        </w:rPr>
        <w:t>ويمكن الجواب : لما قلنا</w:t>
      </w:r>
      <w:r>
        <w:rPr>
          <w:rFonts w:hint="cs"/>
          <w:vertAlign w:val="superscript"/>
          <w:rtl/>
        </w:rPr>
        <w:t>(</w:t>
      </w:r>
      <w:r>
        <w:rPr>
          <w:rStyle w:val="a7"/>
          <w:rtl/>
        </w:rPr>
        <w:footnoteReference w:id="1950"/>
      </w:r>
      <w:r>
        <w:rPr>
          <w:rFonts w:hint="cs"/>
          <w:vertAlign w:val="superscript"/>
          <w:rtl/>
        </w:rPr>
        <w:t>)</w:t>
      </w:r>
      <w:r>
        <w:rPr>
          <w:rFonts w:hint="cs"/>
          <w:rtl/>
        </w:rPr>
        <w:t>؛ لأن النفل لا يختصّ بوقت. [فليتدبَّر]</w:t>
      </w:r>
      <w:r>
        <w:rPr>
          <w:rStyle w:val="a7"/>
          <w:rtl/>
        </w:rPr>
        <w:footnoteReference w:id="1951"/>
      </w:r>
      <w:r>
        <w:rPr>
          <w:rFonts w:hint="cs"/>
          <w:rtl/>
        </w:rPr>
        <w:t>.</w:t>
      </w: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2758"/>
        </w:tabs>
        <w:rPr>
          <w:rtl/>
        </w:rPr>
        <w:sectPr w:rsidR="00C10469" w:rsidSect="00C10469">
          <w:headerReference w:type="default" r:id="rId13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tl/>
        </w:rPr>
        <w:tab/>
      </w:r>
    </w:p>
    <w:p w:rsidR="00C10469" w:rsidRPr="009D1594" w:rsidRDefault="00C10469" w:rsidP="00C10469">
      <w:pPr>
        <w:pStyle w:val="a9"/>
        <w:spacing w:line="228" w:lineRule="auto"/>
        <w:rPr>
          <w:rFonts w:cs="AL-Mateen"/>
          <w:rtl/>
        </w:rPr>
      </w:pPr>
      <w:r w:rsidRPr="009D1594">
        <w:rPr>
          <w:rFonts w:cs="AL-Mateen" w:hint="cs"/>
          <w:rtl/>
        </w:rPr>
        <w:lastRenderedPageBreak/>
        <w:t>[ الـقـاعـدة الـثـامـنة والسـبـعـون ]</w:t>
      </w:r>
    </w:p>
    <w:p w:rsidR="00C10469" w:rsidRDefault="00C10469" w:rsidP="00C10469">
      <w:pPr>
        <w:spacing w:line="228" w:lineRule="auto"/>
        <w:rPr>
          <w:rtl/>
        </w:rPr>
      </w:pPr>
      <w:r>
        <w:rPr>
          <w:rFonts w:cs="Monotype Koufi" w:hint="cs"/>
          <w:rtl/>
        </w:rPr>
        <w:t>تَغْيِيرُ المشرُوعِ</w:t>
      </w:r>
      <w:r>
        <w:rPr>
          <w:rStyle w:val="a7"/>
          <w:rtl/>
        </w:rPr>
        <w:footnoteReference w:id="1952"/>
      </w:r>
      <w:r>
        <w:rPr>
          <w:rFonts w:hint="cs"/>
          <w:rtl/>
        </w:rPr>
        <w:t xml:space="preserve"> </w:t>
      </w:r>
      <w:r>
        <w:rPr>
          <w:rFonts w:cs="Monotype Koufi" w:hint="cs"/>
          <w:rtl/>
        </w:rPr>
        <w:t>بَاطِلٌ</w:t>
      </w:r>
      <w:r>
        <w:rPr>
          <w:rFonts w:hint="cs"/>
          <w:vertAlign w:val="superscript"/>
          <w:rtl/>
        </w:rPr>
        <w:t>(</w:t>
      </w:r>
      <w:r>
        <w:rPr>
          <w:rStyle w:val="a7"/>
          <w:rtl/>
        </w:rPr>
        <w:footnoteReference w:id="1953"/>
      </w:r>
      <w:r>
        <w:rPr>
          <w:rFonts w:hint="cs"/>
          <w:vertAlign w:val="superscript"/>
          <w:rtl/>
        </w:rPr>
        <w:t>)</w:t>
      </w:r>
      <w:r>
        <w:rPr>
          <w:rFonts w:hint="cs"/>
          <w:rtl/>
        </w:rPr>
        <w:t xml:space="preserve">  :</w:t>
      </w:r>
    </w:p>
    <w:p w:rsidR="00C10469" w:rsidRDefault="00C10469" w:rsidP="00C10469">
      <w:pPr>
        <w:spacing w:line="228" w:lineRule="auto"/>
        <w:rPr>
          <w:rtl/>
        </w:rPr>
      </w:pPr>
      <w:r>
        <w:rPr>
          <w:rFonts w:hint="cs"/>
          <w:b/>
          <w:bCs/>
          <w:rtl/>
        </w:rPr>
        <w:t>ولهذا</w:t>
      </w:r>
      <w:r>
        <w:rPr>
          <w:rFonts w:hint="cs"/>
          <w:rtl/>
        </w:rPr>
        <w:t xml:space="preserve"> : لو سجد المصلي</w:t>
      </w:r>
      <w:r>
        <w:rPr>
          <w:rStyle w:val="a7"/>
          <w:rtl/>
        </w:rPr>
        <w:footnoteReference w:id="1954"/>
      </w:r>
      <w:r>
        <w:rPr>
          <w:rFonts w:hint="cs"/>
          <w:rtl/>
        </w:rPr>
        <w:t xml:space="preserve"> قبل الركوع : فسدت صلاته؛ لأن الركوع شُرِعَ مقدَّمًا </w:t>
      </w:r>
      <w:r>
        <w:rPr>
          <w:rFonts w:hint="cs"/>
          <w:rtl/>
        </w:rPr>
        <w:lastRenderedPageBreak/>
        <w:t>على السّجود، و</w:t>
      </w:r>
      <w:r>
        <w:rPr>
          <w:rStyle w:val="a7"/>
          <w:rtl/>
        </w:rPr>
        <w:footnoteReference w:id="1955"/>
      </w:r>
      <w:r>
        <w:rPr>
          <w:rFonts w:hint="cs"/>
          <w:rtl/>
        </w:rPr>
        <w:t>بطريق</w:t>
      </w:r>
      <w:r>
        <w:rPr>
          <w:rStyle w:val="a7"/>
          <w:rtl/>
        </w:rPr>
        <w:footnoteReference w:id="1956"/>
      </w:r>
      <w:r>
        <w:rPr>
          <w:rFonts w:hint="cs"/>
          <w:rtl/>
        </w:rPr>
        <w:t xml:space="preserve"> الفرضية</w:t>
      </w:r>
      <w:r>
        <w:rPr>
          <w:rStyle w:val="a7"/>
          <w:rtl/>
        </w:rPr>
        <w:footnoteReference w:id="1957"/>
      </w:r>
      <w:r>
        <w:rPr>
          <w:rFonts w:hint="cs"/>
          <w:rtl/>
        </w:rPr>
        <w:t>، فإذا أخّره</w:t>
      </w:r>
      <w:r>
        <w:rPr>
          <w:rFonts w:hint="cs"/>
          <w:vertAlign w:val="superscript"/>
          <w:rtl/>
        </w:rPr>
        <w:t>(</w:t>
      </w:r>
      <w:r>
        <w:rPr>
          <w:rStyle w:val="a7"/>
          <w:rtl/>
        </w:rPr>
        <w:footnoteReference w:id="1958"/>
      </w:r>
      <w:r>
        <w:rPr>
          <w:rFonts w:hint="cs"/>
          <w:vertAlign w:val="superscript"/>
          <w:rtl/>
        </w:rPr>
        <w:t>)</w:t>
      </w:r>
      <w:r>
        <w:rPr>
          <w:rFonts w:hint="cs"/>
          <w:rtl/>
        </w:rPr>
        <w:t xml:space="preserve"> يلزم تغيير المشروع</w:t>
      </w:r>
      <w:r>
        <w:rPr>
          <w:rStyle w:val="a7"/>
          <w:rtl/>
        </w:rPr>
        <w:footnoteReference w:id="1959"/>
      </w:r>
      <w:r>
        <w:rPr>
          <w:rFonts w:hint="cs"/>
          <w:rtl/>
        </w:rPr>
        <w:t xml:space="preserve"> </w:t>
      </w:r>
      <w:r>
        <w:rPr>
          <w:rFonts w:hint="cs"/>
          <w:vertAlign w:val="superscript"/>
          <w:rtl/>
        </w:rPr>
        <w:t>(</w:t>
      </w:r>
      <w:r>
        <w:rPr>
          <w:rStyle w:val="a7"/>
          <w:rtl/>
        </w:rPr>
        <w:footnoteReference w:id="1960"/>
      </w:r>
      <w:r>
        <w:rPr>
          <w:rFonts w:hint="cs"/>
          <w:vertAlign w:val="superscript"/>
          <w:rtl/>
        </w:rPr>
        <w:t>)</w:t>
      </w:r>
      <w:r>
        <w:rPr>
          <w:rFonts w:hint="cs"/>
          <w:rtl/>
        </w:rPr>
        <w:t>.</w:t>
      </w:r>
    </w:p>
    <w:p w:rsidR="00C10469" w:rsidRDefault="00C10469" w:rsidP="00C10469">
      <w:pPr>
        <w:rPr>
          <w:spacing w:val="-4"/>
          <w:rtl/>
        </w:rPr>
      </w:pPr>
      <w:r>
        <w:rPr>
          <w:rFonts w:hint="cs"/>
          <w:b/>
          <w:bCs/>
          <w:spacing w:val="-4"/>
          <w:rtl/>
        </w:rPr>
        <w:t>ومن هذا الباب</w:t>
      </w:r>
      <w:r>
        <w:rPr>
          <w:rFonts w:hint="cs"/>
          <w:spacing w:val="-4"/>
          <w:vertAlign w:val="superscript"/>
          <w:rtl/>
        </w:rPr>
        <w:t>(</w:t>
      </w:r>
      <w:r>
        <w:rPr>
          <w:rStyle w:val="a7"/>
          <w:spacing w:val="-4"/>
          <w:rtl/>
        </w:rPr>
        <w:footnoteReference w:id="1961"/>
      </w:r>
      <w:r>
        <w:rPr>
          <w:rFonts w:hint="cs"/>
          <w:spacing w:val="-4"/>
          <w:vertAlign w:val="superscript"/>
          <w:rtl/>
        </w:rPr>
        <w:t>)</w:t>
      </w:r>
      <w:r>
        <w:rPr>
          <w:rFonts w:hint="cs"/>
          <w:spacing w:val="-4"/>
          <w:rtl/>
        </w:rPr>
        <w:t xml:space="preserve"> : تقْديمُ أداء الواجبات على وجود</w:t>
      </w:r>
      <w:r>
        <w:rPr>
          <w:rStyle w:val="a7"/>
          <w:spacing w:val="-4"/>
          <w:rtl/>
        </w:rPr>
        <w:footnoteReference w:id="1962"/>
      </w:r>
      <w:r>
        <w:rPr>
          <w:rFonts w:hint="cs"/>
          <w:spacing w:val="-4"/>
          <w:rtl/>
        </w:rPr>
        <w:t xml:space="preserve"> الأسباب</w:t>
      </w:r>
      <w:r>
        <w:rPr>
          <w:rFonts w:hint="cs"/>
          <w:spacing w:val="-4"/>
          <w:vertAlign w:val="superscript"/>
          <w:rtl/>
        </w:rPr>
        <w:t>(</w:t>
      </w:r>
      <w:r>
        <w:rPr>
          <w:rStyle w:val="a7"/>
          <w:spacing w:val="-4"/>
          <w:rtl/>
        </w:rPr>
        <w:footnoteReference w:id="1963"/>
      </w:r>
      <w:r>
        <w:rPr>
          <w:rFonts w:hint="cs"/>
          <w:spacing w:val="-4"/>
          <w:vertAlign w:val="superscript"/>
          <w:rtl/>
        </w:rPr>
        <w:t>)</w:t>
      </w:r>
      <w:r>
        <w:rPr>
          <w:rFonts w:hint="cs"/>
          <w:spacing w:val="-4"/>
          <w:rtl/>
        </w:rPr>
        <w:t>؛ كتقديم الكفارة على الحنث</w:t>
      </w:r>
      <w:r>
        <w:rPr>
          <w:rFonts w:hint="cs"/>
          <w:spacing w:val="-4"/>
          <w:vertAlign w:val="superscript"/>
          <w:rtl/>
        </w:rPr>
        <w:t>(</w:t>
      </w:r>
      <w:r>
        <w:rPr>
          <w:rStyle w:val="a7"/>
          <w:spacing w:val="-4"/>
          <w:rtl/>
        </w:rPr>
        <w:footnoteReference w:id="1964"/>
      </w:r>
      <w:r>
        <w:rPr>
          <w:rFonts w:hint="cs"/>
          <w:spacing w:val="-4"/>
          <w:vertAlign w:val="superscript"/>
          <w:rtl/>
        </w:rPr>
        <w:t>)</w:t>
      </w:r>
      <w:r>
        <w:rPr>
          <w:rFonts w:hint="cs"/>
          <w:spacing w:val="-4"/>
          <w:rtl/>
        </w:rPr>
        <w:t>، والأضحية على يوم النّحر</w:t>
      </w:r>
      <w:r>
        <w:rPr>
          <w:rFonts w:hint="cs"/>
          <w:spacing w:val="-4"/>
          <w:vertAlign w:val="superscript"/>
          <w:rtl/>
        </w:rPr>
        <w:t>(</w:t>
      </w:r>
      <w:r>
        <w:rPr>
          <w:rStyle w:val="a7"/>
          <w:spacing w:val="-4"/>
          <w:rtl/>
        </w:rPr>
        <w:footnoteReference w:id="1965"/>
      </w:r>
      <w:r>
        <w:rPr>
          <w:rFonts w:hint="cs"/>
          <w:spacing w:val="-4"/>
          <w:vertAlign w:val="superscript"/>
          <w:rtl/>
        </w:rPr>
        <w:t>)</w:t>
      </w:r>
      <w:r>
        <w:rPr>
          <w:rFonts w:hint="cs"/>
          <w:spacing w:val="-4"/>
          <w:rtl/>
        </w:rPr>
        <w:t>، وتقديم أداء الفرائض على أوقاتها</w:t>
      </w:r>
      <w:r>
        <w:rPr>
          <w:rFonts w:hint="cs"/>
          <w:spacing w:val="-4"/>
          <w:vertAlign w:val="superscript"/>
          <w:rtl/>
        </w:rPr>
        <w:t>(</w:t>
      </w:r>
      <w:r>
        <w:rPr>
          <w:rStyle w:val="a7"/>
          <w:spacing w:val="-4"/>
          <w:rtl/>
        </w:rPr>
        <w:footnoteReference w:id="1966"/>
      </w:r>
      <w:r>
        <w:rPr>
          <w:rFonts w:hint="cs"/>
          <w:spacing w:val="-4"/>
          <w:vertAlign w:val="superscript"/>
          <w:rtl/>
        </w:rPr>
        <w:t>)</w:t>
      </w:r>
      <w:r>
        <w:rPr>
          <w:rFonts w:hint="cs"/>
          <w:spacing w:val="-4"/>
          <w:rtl/>
        </w:rPr>
        <w:t>.</w:t>
      </w:r>
    </w:p>
    <w:p w:rsidR="00C10469" w:rsidRDefault="00C10469" w:rsidP="00C10469">
      <w:pPr>
        <w:rPr>
          <w:rtl/>
        </w:rPr>
      </w:pPr>
      <w:r>
        <w:rPr>
          <w:rFonts w:hint="cs"/>
          <w:b/>
          <w:bCs/>
          <w:rtl/>
        </w:rPr>
        <w:t>وخرج</w:t>
      </w:r>
      <w:r>
        <w:rPr>
          <w:rFonts w:hint="cs"/>
          <w:rtl/>
        </w:rPr>
        <w:t xml:space="preserve"> عن هذا الأصل مسائل :</w:t>
      </w:r>
    </w:p>
    <w:p w:rsidR="00C10469" w:rsidRDefault="00C10469" w:rsidP="00C10469">
      <w:pPr>
        <w:spacing w:line="500" w:lineRule="exact"/>
        <w:ind w:left="737" w:firstLine="0"/>
        <w:rPr>
          <w:b/>
          <w:bCs/>
          <w:rtl/>
        </w:rPr>
      </w:pPr>
      <w:r>
        <w:rPr>
          <w:b/>
          <w:bCs/>
          <w:rtl/>
        </w:rPr>
        <w:t>•</w:t>
      </w:r>
      <w:r>
        <w:rPr>
          <w:rFonts w:hint="cs"/>
          <w:b/>
          <w:bCs/>
          <w:rtl/>
        </w:rPr>
        <w:t xml:space="preserve"> منها</w:t>
      </w:r>
      <w:r>
        <w:rPr>
          <w:rFonts w:hint="cs"/>
          <w:rtl/>
        </w:rPr>
        <w:t xml:space="preserve"> : جواز تقديم العصر على الوقت في [عرفات]</w:t>
      </w:r>
      <w:r>
        <w:rPr>
          <w:rStyle w:val="a7"/>
          <w:rtl/>
        </w:rPr>
        <w:footnoteReference w:id="1967"/>
      </w:r>
      <w:r>
        <w:rPr>
          <w:rFonts w:hint="cs"/>
          <w:rtl/>
        </w:rPr>
        <w:t xml:space="preserve"> يوم عرفة</w:t>
      </w:r>
      <w:r>
        <w:rPr>
          <w:rFonts w:hint="cs"/>
          <w:vertAlign w:val="superscript"/>
          <w:rtl/>
        </w:rPr>
        <w:t>(</w:t>
      </w:r>
      <w:r>
        <w:rPr>
          <w:rStyle w:val="a7"/>
          <w:rtl/>
        </w:rPr>
        <w:footnoteReference w:id="1968"/>
      </w:r>
      <w:r>
        <w:rPr>
          <w:rFonts w:hint="cs"/>
          <w:vertAlign w:val="superscript"/>
          <w:rtl/>
        </w:rPr>
        <w:t>)</w:t>
      </w:r>
      <w:r>
        <w:rPr>
          <w:rFonts w:hint="cs"/>
          <w:rtl/>
        </w:rPr>
        <w:t>.</w:t>
      </w:r>
    </w:p>
    <w:p w:rsidR="00C10469" w:rsidRDefault="00C10469">
      <w:pPr>
        <w:ind w:left="1097" w:right="1097" w:firstLine="190"/>
        <w:rPr>
          <w:rtl/>
        </w:rPr>
      </w:pPr>
      <w:r>
        <w:rPr>
          <w:rFonts w:hint="cs"/>
          <w:b/>
          <w:bCs/>
          <w:rtl/>
        </w:rPr>
        <w:lastRenderedPageBreak/>
        <w:t>والجواب</w:t>
      </w:r>
      <w:r>
        <w:rPr>
          <w:rFonts w:hint="cs"/>
          <w:rtl/>
        </w:rPr>
        <w:t xml:space="preserve"> : أنّه ثبت بفعل النبي</w:t>
      </w:r>
      <w:r>
        <w:rPr>
          <w:rFonts w:ascii="AGA Arabesque" w:hAnsi="AGA Arabesque" w:hint="cs"/>
          <w:sz w:val="36"/>
          <w:vertAlign w:val="superscript"/>
          <w:rtl/>
        </w:rPr>
        <w:t>(</w:t>
      </w:r>
      <w:r>
        <w:rPr>
          <w:rStyle w:val="a7"/>
          <w:rFonts w:ascii="AGA Arabesque" w:hAnsi="AGA Arabesque"/>
          <w:sz w:val="36"/>
          <w:rtl/>
        </w:rPr>
        <w:footnoteReference w:id="1969"/>
      </w:r>
      <w:r>
        <w:rPr>
          <w:rFonts w:ascii="AGA Arabesque" w:hAnsi="AGA Arabesque" w:hint="cs"/>
          <w:sz w:val="36"/>
          <w:vertAlign w:val="superscript"/>
          <w:rtl/>
        </w:rPr>
        <w:t xml:space="preserve">) </w:t>
      </w:r>
      <w:r>
        <w:rPr>
          <w:rFonts w:ascii="AGA Arabesque" w:hAnsi="AGA Arabesque"/>
          <w:sz w:val="36"/>
        </w:rPr>
        <w:t></w:t>
      </w:r>
      <w:r>
        <w:rPr>
          <w:rFonts w:ascii="AGA Arabesque" w:hAnsi="AGA Arabesque" w:hint="cs"/>
          <w:sz w:val="36"/>
          <w:rtl/>
        </w:rPr>
        <w:t xml:space="preserve"> </w:t>
      </w:r>
      <w:r>
        <w:rPr>
          <w:rFonts w:hint="cs"/>
          <w:rtl/>
        </w:rPr>
        <w:t>على خلاف القياس، فينحصر على مورده عندنا</w:t>
      </w:r>
      <w:r>
        <w:rPr>
          <w:rFonts w:hint="cs"/>
          <w:vertAlign w:val="superscript"/>
          <w:rtl/>
        </w:rPr>
        <w:t>(</w:t>
      </w:r>
      <w:r>
        <w:rPr>
          <w:rStyle w:val="a7"/>
          <w:rtl/>
        </w:rPr>
        <w:footnoteReference w:id="1970"/>
      </w:r>
      <w:r>
        <w:rPr>
          <w:rFonts w:hint="cs"/>
          <w:vertAlign w:val="superscript"/>
          <w:rtl/>
        </w:rPr>
        <w:t>)</w:t>
      </w:r>
      <w:r>
        <w:rPr>
          <w:rFonts w:hint="cs"/>
          <w:rtl/>
        </w:rPr>
        <w:t>.</w:t>
      </w:r>
    </w:p>
    <w:p w:rsidR="00C10469" w:rsidRDefault="00C10469" w:rsidP="00C10469">
      <w:pPr>
        <w:ind w:left="989" w:hanging="612"/>
        <w:rPr>
          <w:spacing w:val="-8"/>
          <w:rtl/>
        </w:rPr>
      </w:pPr>
      <w:r>
        <w:rPr>
          <w:rFonts w:hint="cs"/>
          <w:spacing w:val="-8"/>
          <w:rtl/>
        </w:rPr>
        <w:t xml:space="preserve">    </w:t>
      </w:r>
      <w:r>
        <w:rPr>
          <w:spacing w:val="-8"/>
          <w:rtl/>
        </w:rPr>
        <w:t>•</w:t>
      </w:r>
      <w:r>
        <w:rPr>
          <w:rFonts w:hint="cs"/>
          <w:spacing w:val="-8"/>
          <w:rtl/>
        </w:rPr>
        <w:t xml:space="preserve"> [ومنها : لوفوّت]</w:t>
      </w:r>
      <w:r>
        <w:rPr>
          <w:rStyle w:val="a7"/>
          <w:rtl/>
        </w:rPr>
        <w:footnoteReference w:id="1971"/>
      </w:r>
      <w:r>
        <w:rPr>
          <w:rFonts w:hint="cs"/>
          <w:rtl/>
        </w:rPr>
        <w:t xml:space="preserve"> </w:t>
      </w:r>
      <w:r>
        <w:rPr>
          <w:rFonts w:hint="cs"/>
          <w:spacing w:val="-8"/>
          <w:rtl/>
        </w:rPr>
        <w:t>المصلّي السورة عن</w:t>
      </w:r>
      <w:r>
        <w:rPr>
          <w:rStyle w:val="a7"/>
          <w:rtl/>
        </w:rPr>
        <w:footnoteReference w:id="1972"/>
      </w:r>
      <w:r>
        <w:rPr>
          <w:rFonts w:hint="cs"/>
          <w:rtl/>
        </w:rPr>
        <w:t xml:space="preserve"> </w:t>
      </w:r>
      <w:r>
        <w:rPr>
          <w:rFonts w:hint="cs"/>
          <w:spacing w:val="-8"/>
          <w:rtl/>
        </w:rPr>
        <w:t>الأوليين : يقرأ في الأُخْرَيَيْن</w:t>
      </w:r>
      <w:r>
        <w:rPr>
          <w:rFonts w:hint="cs"/>
          <w:spacing w:val="-8"/>
          <w:vertAlign w:val="superscript"/>
          <w:rtl/>
        </w:rPr>
        <w:t>(</w:t>
      </w:r>
      <w:r>
        <w:rPr>
          <w:rStyle w:val="a7"/>
          <w:spacing w:val="-8"/>
          <w:rtl/>
        </w:rPr>
        <w:footnoteReference w:id="1973"/>
      </w:r>
      <w:r>
        <w:rPr>
          <w:rFonts w:hint="cs"/>
          <w:spacing w:val="-8"/>
          <w:vertAlign w:val="superscript"/>
          <w:rtl/>
        </w:rPr>
        <w:t>)</w:t>
      </w:r>
      <w:r>
        <w:rPr>
          <w:rFonts w:hint="cs"/>
          <w:spacing w:val="-8"/>
          <w:rtl/>
        </w:rPr>
        <w:t xml:space="preserve">، </w:t>
      </w:r>
      <w:r>
        <w:rPr>
          <w:spacing w:val="-8"/>
          <w:rtl/>
        </w:rPr>
        <w:br/>
      </w:r>
      <w:r>
        <w:rPr>
          <w:rFonts w:hint="cs"/>
          <w:spacing w:val="-8"/>
          <w:rtl/>
        </w:rPr>
        <w:lastRenderedPageBreak/>
        <w:t>مع أن القراءة مشروع</w:t>
      </w:r>
      <w:r>
        <w:rPr>
          <w:rFonts w:hint="cs"/>
          <w:vertAlign w:val="superscript"/>
          <w:rtl/>
        </w:rPr>
        <w:t>(</w:t>
      </w:r>
      <w:r>
        <w:rPr>
          <w:rStyle w:val="a7"/>
          <w:rtl/>
        </w:rPr>
        <w:footnoteReference w:id="1974"/>
      </w:r>
      <w:r>
        <w:rPr>
          <w:rFonts w:hint="cs"/>
          <w:vertAlign w:val="superscript"/>
          <w:rtl/>
        </w:rPr>
        <w:t>)</w:t>
      </w:r>
      <w:r>
        <w:rPr>
          <w:rFonts w:hint="cs"/>
          <w:rtl/>
        </w:rPr>
        <w:t xml:space="preserve"> </w:t>
      </w:r>
      <w:r>
        <w:rPr>
          <w:rFonts w:hint="cs"/>
          <w:spacing w:val="-8"/>
          <w:rtl/>
        </w:rPr>
        <w:t>في الأوليين</w:t>
      </w:r>
      <w:r>
        <w:rPr>
          <w:rStyle w:val="a7"/>
          <w:rtl/>
        </w:rPr>
        <w:footnoteReference w:id="1975"/>
      </w:r>
      <w:r>
        <w:rPr>
          <w:rFonts w:hint="cs"/>
          <w:rtl/>
        </w:rPr>
        <w:t xml:space="preserve"> </w:t>
      </w:r>
      <w:r>
        <w:rPr>
          <w:rFonts w:hint="cs"/>
          <w:spacing w:val="-8"/>
          <w:rtl/>
        </w:rPr>
        <w:t xml:space="preserve">بقوله </w:t>
      </w:r>
      <w:r>
        <w:rPr>
          <w:rFonts w:ascii="AGA Arabesque" w:hAnsi="AGA Arabesque"/>
          <w:spacing w:val="-8"/>
          <w:sz w:val="36"/>
        </w:rPr>
        <w:t></w:t>
      </w:r>
      <w:r>
        <w:rPr>
          <w:rFonts w:hint="cs"/>
          <w:spacing w:val="-8"/>
          <w:rtl/>
        </w:rPr>
        <w:t xml:space="preserve"> :«</w:t>
      </w:r>
      <w:r>
        <w:rPr>
          <w:rFonts w:cs="DecoType Naskh Special" w:hint="cs"/>
          <w:spacing w:val="-8"/>
          <w:sz w:val="32"/>
          <w:szCs w:val="32"/>
          <w:rtl/>
        </w:rPr>
        <w:t>القـراءةُ  في الأولَيين</w:t>
      </w:r>
      <w:r>
        <w:rPr>
          <w:rStyle w:val="a7"/>
          <w:spacing w:val="-8"/>
          <w:rtl/>
        </w:rPr>
        <w:footnoteReference w:id="1976"/>
      </w:r>
      <w:r>
        <w:rPr>
          <w:rFonts w:hint="cs"/>
          <w:spacing w:val="-8"/>
          <w:rtl/>
        </w:rPr>
        <w:t xml:space="preserve"> </w:t>
      </w:r>
      <w:r>
        <w:rPr>
          <w:rFonts w:cs="DecoType Naskh Swashes" w:hint="cs"/>
          <w:spacing w:val="-8"/>
          <w:sz w:val="32"/>
          <w:szCs w:val="32"/>
          <w:rtl/>
        </w:rPr>
        <w:t xml:space="preserve">قـراءةٌ  </w:t>
      </w:r>
      <w:r>
        <w:rPr>
          <w:rFonts w:cs="DecoType Naskh Special" w:hint="cs"/>
          <w:spacing w:val="-8"/>
          <w:sz w:val="32"/>
          <w:szCs w:val="32"/>
          <w:rtl/>
        </w:rPr>
        <w:t xml:space="preserve">في </w:t>
      </w:r>
      <w:r>
        <w:rPr>
          <w:rFonts w:cs="DecoType Naskh Swashes" w:hint="cs"/>
          <w:spacing w:val="-8"/>
          <w:sz w:val="32"/>
          <w:szCs w:val="32"/>
          <w:rtl/>
        </w:rPr>
        <w:t>الأخْـرَيين</w:t>
      </w:r>
      <w:r>
        <w:rPr>
          <w:rFonts w:hint="cs"/>
          <w:spacing w:val="-8"/>
          <w:rtl/>
        </w:rPr>
        <w:t>»</w:t>
      </w:r>
      <w:r>
        <w:rPr>
          <w:rFonts w:hint="cs"/>
          <w:spacing w:val="-8"/>
          <w:vertAlign w:val="superscript"/>
          <w:rtl/>
        </w:rPr>
        <w:t>(</w:t>
      </w:r>
      <w:r>
        <w:rPr>
          <w:rStyle w:val="a7"/>
          <w:spacing w:val="-8"/>
          <w:rtl/>
        </w:rPr>
        <w:footnoteReference w:id="1977"/>
      </w:r>
      <w:r>
        <w:rPr>
          <w:rFonts w:hint="cs"/>
          <w:spacing w:val="-8"/>
          <w:vertAlign w:val="superscript"/>
          <w:rtl/>
        </w:rPr>
        <w:t>)</w:t>
      </w:r>
      <w:r>
        <w:rPr>
          <w:rFonts w:hint="cs"/>
          <w:spacing w:val="-8"/>
          <w:rtl/>
        </w:rPr>
        <w:t>.</w:t>
      </w:r>
    </w:p>
    <w:p w:rsidR="00C10469" w:rsidRDefault="00C10469" w:rsidP="00C10469">
      <w:pPr>
        <w:ind w:left="377" w:right="377" w:firstLine="720"/>
        <w:rPr>
          <w:rtl/>
        </w:rPr>
      </w:pPr>
      <w:r>
        <w:rPr>
          <w:rFonts w:hint="cs"/>
          <w:rtl/>
        </w:rPr>
        <w:lastRenderedPageBreak/>
        <w:t>أي : ينوب</w:t>
      </w:r>
      <w:r>
        <w:rPr>
          <w:rStyle w:val="a7"/>
          <w:rtl/>
        </w:rPr>
        <w:footnoteReference w:id="1978"/>
      </w:r>
      <w:r>
        <w:rPr>
          <w:rFonts w:hint="cs"/>
          <w:rtl/>
        </w:rPr>
        <w:t xml:space="preserve"> عن القراءة فيهما، وهذا تعيين</w:t>
      </w:r>
      <w:r>
        <w:rPr>
          <w:rStyle w:val="a7"/>
          <w:rtl/>
        </w:rPr>
        <w:footnoteReference w:id="1979"/>
      </w:r>
      <w:r>
        <w:rPr>
          <w:rFonts w:hint="cs"/>
          <w:rtl/>
        </w:rPr>
        <w:t xml:space="preserve"> الشفع الأوّل للقراءة</w:t>
      </w:r>
      <w:r>
        <w:rPr>
          <w:rFonts w:hint="cs"/>
          <w:vertAlign w:val="superscript"/>
          <w:rtl/>
        </w:rPr>
        <w:t>(</w:t>
      </w:r>
      <w:r>
        <w:rPr>
          <w:rStyle w:val="a7"/>
          <w:rtl/>
        </w:rPr>
        <w:footnoteReference w:id="1980"/>
      </w:r>
      <w:r>
        <w:rPr>
          <w:rFonts w:hint="cs"/>
          <w:vertAlign w:val="superscript"/>
          <w:rtl/>
        </w:rPr>
        <w:t>)</w:t>
      </w:r>
      <w:r>
        <w:rPr>
          <w:rFonts w:hint="cs"/>
          <w:rtl/>
        </w:rPr>
        <w:t>!.</w:t>
      </w:r>
    </w:p>
    <w:p w:rsidR="00C10469" w:rsidRDefault="00C10469" w:rsidP="00C10469">
      <w:pPr>
        <w:ind w:left="374" w:firstLine="720"/>
        <w:rPr>
          <w:rtl/>
        </w:rPr>
      </w:pPr>
      <w:r>
        <w:rPr>
          <w:rFonts w:hint="cs"/>
          <w:b/>
          <w:bCs/>
          <w:rtl/>
        </w:rPr>
        <w:t xml:space="preserve">  والجواب</w:t>
      </w:r>
      <w:r>
        <w:rPr>
          <w:rFonts w:hint="cs"/>
          <w:rtl/>
        </w:rPr>
        <w:t xml:space="preserve"> : أن التعيين ثبت بخبر [الواحد]</w:t>
      </w:r>
      <w:r>
        <w:rPr>
          <w:rStyle w:val="a7"/>
          <w:rtl/>
        </w:rPr>
        <w:footnoteReference w:id="1981"/>
      </w:r>
      <w:r>
        <w:rPr>
          <w:rFonts w:hint="cs"/>
          <w:rtl/>
        </w:rPr>
        <w:t xml:space="preserve"> الذي لا يوجب العلم</w:t>
      </w:r>
      <w:r>
        <w:rPr>
          <w:rFonts w:hint="cs"/>
          <w:vertAlign w:val="superscript"/>
          <w:rtl/>
        </w:rPr>
        <w:t>(</w:t>
      </w:r>
      <w:r>
        <w:rPr>
          <w:rStyle w:val="a7"/>
          <w:rtl/>
        </w:rPr>
        <w:footnoteReference w:id="1982"/>
      </w:r>
      <w:r>
        <w:rPr>
          <w:rFonts w:hint="cs"/>
          <w:vertAlign w:val="superscript"/>
          <w:rtl/>
        </w:rPr>
        <w:t>)</w:t>
      </w:r>
      <w:r>
        <w:rPr>
          <w:rFonts w:hint="cs"/>
          <w:rtl/>
        </w:rPr>
        <w:t xml:space="preserve">، </w:t>
      </w:r>
      <w:r>
        <w:rPr>
          <w:rFonts w:hint="cs"/>
          <w:rtl/>
        </w:rPr>
        <w:lastRenderedPageBreak/>
        <w:t>فيثبت</w:t>
      </w:r>
    </w:p>
    <w:p w:rsidR="00C10469" w:rsidRDefault="00C10469" w:rsidP="00C10469">
      <w:pPr>
        <w:spacing w:line="221" w:lineRule="auto"/>
        <w:ind w:left="1287" w:firstLine="153"/>
        <w:rPr>
          <w:spacing w:val="4"/>
          <w:rtl/>
        </w:rPr>
      </w:pPr>
      <w:r>
        <w:rPr>
          <w:rFonts w:hint="cs"/>
          <w:spacing w:val="4"/>
          <w:rtl/>
        </w:rPr>
        <w:t>للشفع</w:t>
      </w:r>
      <w:r>
        <w:rPr>
          <w:rStyle w:val="a7"/>
          <w:spacing w:val="4"/>
          <w:rtl/>
        </w:rPr>
        <w:footnoteReference w:id="1983"/>
      </w:r>
      <w:r>
        <w:rPr>
          <w:rFonts w:hint="cs"/>
          <w:spacing w:val="4"/>
          <w:rtl/>
        </w:rPr>
        <w:t xml:space="preserve"> الثاني شبهة</w:t>
      </w:r>
      <w:r>
        <w:rPr>
          <w:rStyle w:val="a7"/>
          <w:spacing w:val="4"/>
          <w:rtl/>
        </w:rPr>
        <w:footnoteReference w:id="1984"/>
      </w:r>
      <w:r>
        <w:rPr>
          <w:rFonts w:hint="cs"/>
          <w:spacing w:val="4"/>
          <w:rtl/>
        </w:rPr>
        <w:t xml:space="preserve"> المحليّة، فيَجب أداؤها فيه اعتبارًا لهذه الشبهة، وإن كان في الحقيقة قضاء بالنظر إلى [خـبـر]</w:t>
      </w:r>
      <w:r>
        <w:rPr>
          <w:rStyle w:val="a7"/>
          <w:spacing w:val="4"/>
          <w:rtl/>
        </w:rPr>
        <w:footnoteReference w:id="1985"/>
      </w:r>
      <w:r>
        <w:rPr>
          <w:rFonts w:hint="cs"/>
          <w:spacing w:val="4"/>
          <w:rtl/>
        </w:rPr>
        <w:t xml:space="preserve"> الواحد، على أنّ قوله تعالى: </w:t>
      </w:r>
      <w:r>
        <w:rPr>
          <w:color w:val="000000"/>
          <w:sz w:val="36"/>
        </w:rPr>
        <w:sym w:font="HQPB2" w:char="00E2"/>
      </w:r>
      <w:r>
        <w:rPr>
          <w:rFonts w:hint="cs"/>
          <w:b/>
          <w:bCs/>
          <w:spacing w:val="4"/>
          <w:rtl/>
        </w:rPr>
        <w:t xml:space="preserve"> </w:t>
      </w:r>
      <w:r>
        <w:rPr>
          <w:color w:val="000000"/>
          <w:sz w:val="30"/>
          <w:szCs w:val="30"/>
        </w:rPr>
        <w:sym w:font="HQPB5" w:char="F028"/>
      </w:r>
      <w:r>
        <w:rPr>
          <w:color w:val="000000"/>
          <w:sz w:val="30"/>
          <w:szCs w:val="30"/>
        </w:rPr>
        <w:sym w:font="HQPB1" w:char="F023"/>
      </w:r>
      <w:r>
        <w:rPr>
          <w:color w:val="000000"/>
          <w:sz w:val="30"/>
          <w:szCs w:val="30"/>
        </w:rPr>
        <w:sym w:font="HQPB2" w:char="F072"/>
      </w:r>
      <w:r>
        <w:rPr>
          <w:color w:val="000000"/>
          <w:sz w:val="30"/>
          <w:szCs w:val="30"/>
        </w:rPr>
        <w:sym w:font="HQPB4" w:char="F0E2"/>
      </w:r>
      <w:r>
        <w:rPr>
          <w:color w:val="000000"/>
          <w:sz w:val="30"/>
          <w:szCs w:val="30"/>
        </w:rPr>
        <w:sym w:font="HQPB2" w:char="F0E4"/>
      </w:r>
      <w:r>
        <w:rPr>
          <w:color w:val="000000"/>
          <w:sz w:val="30"/>
          <w:szCs w:val="30"/>
        </w:rPr>
        <w:sym w:font="HQPB5" w:char="F074"/>
      </w:r>
      <w:r>
        <w:rPr>
          <w:color w:val="000000"/>
          <w:sz w:val="30"/>
          <w:szCs w:val="30"/>
        </w:rPr>
        <w:sym w:font="HQPB1" w:char="F08D"/>
      </w:r>
      <w:r>
        <w:rPr>
          <w:color w:val="000000"/>
          <w:sz w:val="30"/>
          <w:szCs w:val="30"/>
        </w:rPr>
        <w:sym w:font="HQPB4" w:char="F0F8"/>
      </w:r>
      <w:r>
        <w:rPr>
          <w:color w:val="000000"/>
          <w:sz w:val="30"/>
          <w:szCs w:val="30"/>
        </w:rPr>
        <w:sym w:font="HQPB2" w:char="F025"/>
      </w:r>
      <w:r>
        <w:rPr>
          <w:color w:val="000000"/>
          <w:sz w:val="30"/>
          <w:szCs w:val="30"/>
        </w:rPr>
        <w:sym w:font="HQPB5" w:char="F024"/>
      </w:r>
      <w:r>
        <w:rPr>
          <w:color w:val="000000"/>
          <w:sz w:val="30"/>
          <w:szCs w:val="30"/>
        </w:rPr>
        <w:sym w:font="HQPB1" w:char="F024"/>
      </w:r>
      <w:r>
        <w:rPr>
          <w:color w:val="000000"/>
          <w:sz w:val="30"/>
          <w:szCs w:val="30"/>
        </w:rPr>
        <w:sym w:font="HQPB5" w:char="F073"/>
      </w:r>
      <w:r>
        <w:rPr>
          <w:color w:val="000000"/>
          <w:sz w:val="30"/>
          <w:szCs w:val="30"/>
        </w:rPr>
        <w:sym w:font="HQPB1" w:char="F0F9"/>
      </w:r>
      <w:r>
        <w:rPr>
          <w:color w:val="000000"/>
          <w:sz w:val="30"/>
          <w:szCs w:val="30"/>
          <w:rtl/>
        </w:rPr>
        <w:t xml:space="preserve"> </w:t>
      </w:r>
      <w:r>
        <w:rPr>
          <w:color w:val="000000"/>
          <w:sz w:val="30"/>
          <w:szCs w:val="30"/>
        </w:rPr>
        <w:sym w:font="HQPB1" w:char="F024"/>
      </w:r>
      <w:r>
        <w:rPr>
          <w:color w:val="000000"/>
          <w:sz w:val="30"/>
          <w:szCs w:val="30"/>
        </w:rPr>
        <w:sym w:font="HQPB5" w:char="F074"/>
      </w:r>
      <w:r>
        <w:rPr>
          <w:color w:val="000000"/>
          <w:sz w:val="30"/>
          <w:szCs w:val="30"/>
        </w:rPr>
        <w:sym w:font="HQPB2" w:char="F042"/>
      </w:r>
      <w:r>
        <w:rPr>
          <w:color w:val="000000"/>
          <w:sz w:val="30"/>
          <w:szCs w:val="30"/>
          <w:rtl/>
        </w:rPr>
        <w:t xml:space="preserve"> </w:t>
      </w:r>
      <w:r>
        <w:rPr>
          <w:color w:val="000000"/>
          <w:sz w:val="30"/>
          <w:szCs w:val="30"/>
        </w:rPr>
        <w:sym w:font="HQPB5" w:char="F075"/>
      </w:r>
      <w:r>
        <w:rPr>
          <w:color w:val="000000"/>
          <w:sz w:val="30"/>
          <w:szCs w:val="30"/>
        </w:rPr>
        <w:sym w:font="HQPB1" w:char="F08E"/>
      </w:r>
      <w:r>
        <w:rPr>
          <w:color w:val="000000"/>
          <w:sz w:val="30"/>
          <w:szCs w:val="30"/>
        </w:rPr>
        <w:sym w:font="HQPB5" w:char="F09C"/>
      </w:r>
      <w:r>
        <w:rPr>
          <w:color w:val="000000"/>
          <w:sz w:val="30"/>
          <w:szCs w:val="30"/>
        </w:rPr>
        <w:sym w:font="HQPB1" w:char="F0A3"/>
      </w:r>
      <w:r>
        <w:rPr>
          <w:color w:val="000000"/>
          <w:sz w:val="30"/>
          <w:szCs w:val="30"/>
        </w:rPr>
        <w:sym w:font="HQPB5" w:char="F075"/>
      </w:r>
      <w:r>
        <w:rPr>
          <w:color w:val="000000"/>
          <w:sz w:val="30"/>
          <w:szCs w:val="30"/>
        </w:rPr>
        <w:sym w:font="HQPB2" w:char="F08A"/>
      </w:r>
      <w:r>
        <w:rPr>
          <w:color w:val="000000"/>
          <w:sz w:val="30"/>
          <w:szCs w:val="30"/>
        </w:rPr>
        <w:sym w:font="HQPB5" w:char="F073"/>
      </w:r>
      <w:r>
        <w:rPr>
          <w:color w:val="000000"/>
          <w:sz w:val="30"/>
          <w:szCs w:val="30"/>
        </w:rPr>
        <w:sym w:font="HQPB1" w:char="F03F"/>
      </w:r>
      <w:r>
        <w:rPr>
          <w:color w:val="000000"/>
          <w:sz w:val="30"/>
          <w:szCs w:val="30"/>
          <w:rtl/>
        </w:rPr>
        <w:t xml:space="preserve"> </w:t>
      </w:r>
      <w:r>
        <w:rPr>
          <w:color w:val="000000"/>
          <w:sz w:val="30"/>
          <w:szCs w:val="30"/>
        </w:rPr>
        <w:sym w:font="HQPB5" w:char="F07A"/>
      </w:r>
      <w:r>
        <w:rPr>
          <w:color w:val="000000"/>
          <w:sz w:val="30"/>
          <w:szCs w:val="30"/>
        </w:rPr>
        <w:sym w:font="HQPB2" w:char="F060"/>
      </w:r>
      <w:r>
        <w:rPr>
          <w:color w:val="000000"/>
          <w:sz w:val="30"/>
          <w:szCs w:val="30"/>
        </w:rPr>
        <w:sym w:font="HQPB4" w:char="F0CF"/>
      </w:r>
      <w:r>
        <w:rPr>
          <w:color w:val="000000"/>
          <w:sz w:val="30"/>
          <w:szCs w:val="30"/>
        </w:rPr>
        <w:sym w:font="HQPB2" w:char="F042"/>
      </w:r>
      <w:r>
        <w:rPr>
          <w:color w:val="000000"/>
          <w:sz w:val="30"/>
          <w:szCs w:val="30"/>
          <w:rtl/>
        </w:rPr>
        <w:t xml:space="preserve"> </w:t>
      </w:r>
      <w:r>
        <w:rPr>
          <w:color w:val="000000"/>
          <w:sz w:val="30"/>
          <w:szCs w:val="30"/>
        </w:rPr>
        <w:sym w:font="HQPB4" w:char="F0C8"/>
      </w:r>
      <w:r>
        <w:rPr>
          <w:color w:val="000000"/>
          <w:sz w:val="30"/>
          <w:szCs w:val="30"/>
        </w:rPr>
        <w:sym w:font="HQPB2" w:char="F062"/>
      </w:r>
      <w:r>
        <w:rPr>
          <w:color w:val="000000"/>
          <w:sz w:val="30"/>
          <w:szCs w:val="30"/>
        </w:rPr>
        <w:sym w:font="HQPB1" w:char="F023"/>
      </w:r>
      <w:r>
        <w:rPr>
          <w:color w:val="000000"/>
          <w:sz w:val="30"/>
          <w:szCs w:val="30"/>
        </w:rPr>
        <w:sym w:font="HQPB5" w:char="F075"/>
      </w:r>
      <w:r>
        <w:rPr>
          <w:color w:val="000000"/>
          <w:sz w:val="30"/>
          <w:szCs w:val="30"/>
        </w:rPr>
        <w:sym w:font="HQPB2" w:char="F0E4"/>
      </w:r>
      <w:r>
        <w:rPr>
          <w:color w:val="000000"/>
          <w:sz w:val="30"/>
          <w:szCs w:val="30"/>
        </w:rPr>
        <w:sym w:font="HQPB4" w:char="F0F6"/>
      </w:r>
      <w:r>
        <w:rPr>
          <w:color w:val="000000"/>
          <w:sz w:val="30"/>
          <w:szCs w:val="30"/>
        </w:rPr>
        <w:sym w:font="HQPB1" w:char="F08D"/>
      </w:r>
      <w:r>
        <w:rPr>
          <w:color w:val="000000"/>
          <w:sz w:val="30"/>
          <w:szCs w:val="30"/>
        </w:rPr>
        <w:sym w:font="HQPB4" w:char="F0E0"/>
      </w:r>
      <w:r>
        <w:rPr>
          <w:color w:val="000000"/>
          <w:sz w:val="30"/>
          <w:szCs w:val="30"/>
        </w:rPr>
        <w:sym w:font="HQPB2" w:char="F029"/>
      </w:r>
      <w:r>
        <w:rPr>
          <w:color w:val="000000"/>
          <w:sz w:val="30"/>
          <w:szCs w:val="30"/>
        </w:rPr>
        <w:sym w:font="HQPB4" w:char="F0F8"/>
      </w:r>
      <w:r>
        <w:rPr>
          <w:color w:val="000000"/>
          <w:sz w:val="30"/>
          <w:szCs w:val="30"/>
        </w:rPr>
        <w:sym w:font="HQPB2" w:char="F039"/>
      </w:r>
      <w:r>
        <w:rPr>
          <w:color w:val="000000"/>
          <w:sz w:val="30"/>
          <w:szCs w:val="30"/>
        </w:rPr>
        <w:sym w:font="HQPB5" w:char="F024"/>
      </w:r>
      <w:r>
        <w:rPr>
          <w:color w:val="000000"/>
          <w:sz w:val="30"/>
          <w:szCs w:val="30"/>
        </w:rPr>
        <w:sym w:font="HQPB1" w:char="F023"/>
      </w:r>
      <w:r>
        <w:rPr>
          <w:color w:val="800000"/>
          <w:sz w:val="30"/>
          <w:szCs w:val="30"/>
          <w:rtl/>
        </w:rPr>
        <w:t xml:space="preserve"> </w:t>
      </w:r>
      <w:r>
        <w:rPr>
          <w:rFonts w:hint="cs"/>
          <w:b/>
          <w:bCs/>
          <w:spacing w:val="4"/>
          <w:sz w:val="30"/>
          <w:szCs w:val="30"/>
          <w:rtl/>
        </w:rPr>
        <w:t xml:space="preserve"> </w:t>
      </w:r>
      <w:r>
        <w:rPr>
          <w:color w:val="000000"/>
          <w:sz w:val="36"/>
        </w:rPr>
        <w:sym w:font="HQPB2" w:char="00E1"/>
      </w:r>
      <w:r>
        <w:rPr>
          <w:rFonts w:hint="cs"/>
          <w:spacing w:val="4"/>
          <w:vertAlign w:val="superscript"/>
          <w:rtl/>
        </w:rPr>
        <w:t xml:space="preserve"> (</w:t>
      </w:r>
      <w:r>
        <w:rPr>
          <w:rStyle w:val="a7"/>
          <w:spacing w:val="4"/>
          <w:rtl/>
        </w:rPr>
        <w:footnoteReference w:id="1986"/>
      </w:r>
      <w:r>
        <w:rPr>
          <w:rFonts w:hint="cs"/>
          <w:spacing w:val="4"/>
          <w:vertAlign w:val="superscript"/>
          <w:rtl/>
        </w:rPr>
        <w:t>)</w:t>
      </w:r>
      <w:r>
        <w:rPr>
          <w:rFonts w:hint="cs"/>
          <w:spacing w:val="4"/>
          <w:rtl/>
        </w:rPr>
        <w:t xml:space="preserve"> واردٌ</w:t>
      </w:r>
      <w:r>
        <w:rPr>
          <w:rStyle w:val="a7"/>
          <w:spacing w:val="4"/>
          <w:rtl/>
        </w:rPr>
        <w:footnoteReference w:id="1987"/>
      </w:r>
      <w:r>
        <w:rPr>
          <w:rFonts w:hint="cs"/>
          <w:spacing w:val="4"/>
          <w:rtl/>
        </w:rPr>
        <w:t xml:space="preserve"> في الصلاة</w:t>
      </w:r>
      <w:r>
        <w:rPr>
          <w:rFonts w:hint="cs"/>
          <w:spacing w:val="4"/>
          <w:vertAlign w:val="superscript"/>
          <w:rtl/>
        </w:rPr>
        <w:t>(</w:t>
      </w:r>
      <w:r>
        <w:rPr>
          <w:rStyle w:val="a7"/>
          <w:spacing w:val="4"/>
          <w:rtl/>
        </w:rPr>
        <w:footnoteReference w:id="1988"/>
      </w:r>
      <w:r>
        <w:rPr>
          <w:rFonts w:hint="cs"/>
          <w:spacing w:val="4"/>
          <w:vertAlign w:val="superscript"/>
          <w:rtl/>
        </w:rPr>
        <w:t>)</w:t>
      </w:r>
      <w:r>
        <w:rPr>
          <w:rFonts w:hint="cs"/>
          <w:spacing w:val="4"/>
          <w:rtl/>
        </w:rPr>
        <w:t xml:space="preserve">. </w:t>
      </w:r>
    </w:p>
    <w:p w:rsidR="00C10469" w:rsidRDefault="00C10469">
      <w:pPr>
        <w:ind w:left="567" w:right="567" w:firstLine="720"/>
        <w:rPr>
          <w:spacing w:val="4"/>
          <w:rtl/>
        </w:rPr>
      </w:pPr>
      <w:r>
        <w:rPr>
          <w:rFonts w:hint="cs"/>
          <w:spacing w:val="4"/>
          <w:rtl/>
        </w:rPr>
        <w:t>كذا فسّره أئـمـة التفسـيـر</w:t>
      </w:r>
      <w:r>
        <w:rPr>
          <w:rFonts w:hint="cs"/>
          <w:spacing w:val="4"/>
          <w:vertAlign w:val="superscript"/>
          <w:rtl/>
        </w:rPr>
        <w:t>(</w:t>
      </w:r>
      <w:r>
        <w:rPr>
          <w:rStyle w:val="a7"/>
          <w:spacing w:val="4"/>
          <w:rtl/>
        </w:rPr>
        <w:footnoteReference w:id="1989"/>
      </w:r>
      <w:r>
        <w:rPr>
          <w:rFonts w:hint="cs"/>
          <w:spacing w:val="4"/>
          <w:vertAlign w:val="superscript"/>
          <w:rtl/>
        </w:rPr>
        <w:t>)</w:t>
      </w:r>
      <w:r>
        <w:rPr>
          <w:rFonts w:hint="cs"/>
          <w:spacing w:val="4"/>
          <w:rtl/>
        </w:rPr>
        <w:t>.</w:t>
      </w:r>
    </w:p>
    <w:p w:rsidR="00C10469" w:rsidRDefault="00C10469" w:rsidP="00C10469">
      <w:pPr>
        <w:ind w:left="1287" w:firstLine="0"/>
        <w:rPr>
          <w:spacing w:val="6"/>
          <w:rtl/>
        </w:rPr>
      </w:pPr>
      <w:r>
        <w:rPr>
          <w:rFonts w:hint="cs"/>
          <w:b/>
          <w:bCs/>
          <w:spacing w:val="6"/>
          <w:rtl/>
        </w:rPr>
        <w:t>فـإن قـيـل</w:t>
      </w:r>
      <w:r>
        <w:rPr>
          <w:rFonts w:hint="cs"/>
          <w:spacing w:val="6"/>
          <w:rtl/>
        </w:rPr>
        <w:t xml:space="preserve"> : يـلـزم مـن ذلـك جـواز</w:t>
      </w:r>
      <w:r>
        <w:rPr>
          <w:rStyle w:val="a7"/>
          <w:spacing w:val="6"/>
          <w:rtl/>
        </w:rPr>
        <w:footnoteReference w:id="1990"/>
      </w:r>
      <w:r>
        <w:rPr>
          <w:rFonts w:hint="cs"/>
          <w:spacing w:val="6"/>
          <w:rtl/>
        </w:rPr>
        <w:t xml:space="preserve"> قـضاء الفـاتـحة فـي الشـفع الـثـاني لـمفوّتـها</w:t>
      </w:r>
      <w:r>
        <w:rPr>
          <w:rStyle w:val="a7"/>
          <w:spacing w:val="6"/>
          <w:rtl/>
        </w:rPr>
        <w:footnoteReference w:id="1991"/>
      </w:r>
      <w:r>
        <w:rPr>
          <w:rFonts w:hint="cs"/>
          <w:spacing w:val="6"/>
          <w:rtl/>
        </w:rPr>
        <w:t xml:space="preserve"> سـاهـيا</w:t>
      </w:r>
      <w:r>
        <w:rPr>
          <w:rStyle w:val="a7"/>
          <w:spacing w:val="6"/>
          <w:rtl/>
        </w:rPr>
        <w:footnoteReference w:id="1992"/>
      </w:r>
      <w:r>
        <w:rPr>
          <w:rFonts w:hint="cs"/>
          <w:spacing w:val="6"/>
          <w:rtl/>
        </w:rPr>
        <w:t xml:space="preserve"> مع أن الـقوم صـرّحوا [بـعدم]</w:t>
      </w:r>
      <w:r>
        <w:rPr>
          <w:rStyle w:val="a7"/>
          <w:spacing w:val="6"/>
          <w:rtl/>
        </w:rPr>
        <w:footnoteReference w:id="1993"/>
      </w:r>
      <w:r>
        <w:rPr>
          <w:rFonts w:hint="cs"/>
          <w:spacing w:val="6"/>
          <w:rtl/>
        </w:rPr>
        <w:t xml:space="preserve"> </w:t>
      </w:r>
      <w:r>
        <w:rPr>
          <w:rFonts w:hint="cs"/>
          <w:spacing w:val="6"/>
          <w:rtl/>
        </w:rPr>
        <w:lastRenderedPageBreak/>
        <w:t>جـوازها</w:t>
      </w:r>
      <w:r>
        <w:rPr>
          <w:rFonts w:hint="cs"/>
          <w:spacing w:val="6"/>
          <w:vertAlign w:val="superscript"/>
          <w:rtl/>
        </w:rPr>
        <w:t>(</w:t>
      </w:r>
      <w:r>
        <w:rPr>
          <w:rStyle w:val="a7"/>
          <w:spacing w:val="6"/>
          <w:rtl/>
        </w:rPr>
        <w:footnoteReference w:id="1994"/>
      </w:r>
      <w:r>
        <w:rPr>
          <w:rFonts w:hint="cs"/>
          <w:spacing w:val="6"/>
          <w:vertAlign w:val="superscript"/>
          <w:rtl/>
        </w:rPr>
        <w:t>)</w:t>
      </w:r>
      <w:r>
        <w:rPr>
          <w:rFonts w:hint="cs"/>
          <w:spacing w:val="6"/>
          <w:rtl/>
        </w:rPr>
        <w:t>!.</w:t>
      </w:r>
    </w:p>
    <w:p w:rsidR="00C10469" w:rsidRDefault="00C10469" w:rsidP="00C10469">
      <w:pPr>
        <w:ind w:left="1287" w:firstLine="0"/>
        <w:rPr>
          <w:spacing w:val="-2"/>
          <w:rtl/>
        </w:rPr>
      </w:pPr>
      <w:r>
        <w:rPr>
          <w:rFonts w:hint="cs"/>
          <w:b/>
          <w:bCs/>
          <w:spacing w:val="-2"/>
          <w:rtl/>
        </w:rPr>
        <w:t>يقال</w:t>
      </w:r>
      <w:r>
        <w:rPr>
          <w:rStyle w:val="a7"/>
          <w:spacing w:val="-2"/>
          <w:rtl/>
        </w:rPr>
        <w:footnoteReference w:id="1995"/>
      </w:r>
      <w:r>
        <w:rPr>
          <w:rFonts w:hint="cs"/>
          <w:spacing w:val="-2"/>
          <w:rtl/>
        </w:rPr>
        <w:t>:إن الأخريين محلّ الفاتحة أداء، فلو قرأها قضاء يلزم تغيير المشروع</w:t>
      </w:r>
      <w:r>
        <w:rPr>
          <w:rStyle w:val="a7"/>
          <w:spacing w:val="-2"/>
          <w:rtl/>
        </w:rPr>
        <w:footnoteReference w:id="1996"/>
      </w:r>
      <w:r>
        <w:rPr>
          <w:rFonts w:hint="cs"/>
          <w:spacing w:val="-2"/>
          <w:rtl/>
        </w:rPr>
        <w:t xml:space="preserve"> على مقتضى هذا الأصل؛ فلا يجوز -كذا في كتب الأصول</w:t>
      </w:r>
      <w:r>
        <w:rPr>
          <w:rFonts w:hint="cs"/>
          <w:spacing w:val="-2"/>
          <w:vertAlign w:val="superscript"/>
          <w:rtl/>
        </w:rPr>
        <w:t>(</w:t>
      </w:r>
      <w:r>
        <w:rPr>
          <w:rStyle w:val="a7"/>
          <w:spacing w:val="-2"/>
          <w:rtl/>
        </w:rPr>
        <w:footnoteReference w:id="1997"/>
      </w:r>
      <w:r>
        <w:rPr>
          <w:rFonts w:hint="cs"/>
          <w:spacing w:val="-2"/>
          <w:vertAlign w:val="superscript"/>
          <w:rtl/>
        </w:rPr>
        <w:t>)</w:t>
      </w:r>
      <w:r>
        <w:rPr>
          <w:rFonts w:hint="cs"/>
          <w:spacing w:val="-2"/>
          <w:rtl/>
        </w:rPr>
        <w:t xml:space="preserve">-. </w:t>
      </w:r>
    </w:p>
    <w:p w:rsidR="00C10469" w:rsidRDefault="00C10469">
      <w:pPr>
        <w:rPr>
          <w:rtl/>
        </w:rPr>
      </w:pPr>
      <w:r>
        <w:rPr>
          <w:rFonts w:hint="cs"/>
          <w:rtl/>
        </w:rPr>
        <w:t xml:space="preserve">       وفي تكرارها تغيير المشروع أيضًا فلا يجوز</w:t>
      </w:r>
      <w:r>
        <w:rPr>
          <w:rFonts w:hint="cs"/>
          <w:vertAlign w:val="superscript"/>
          <w:rtl/>
        </w:rPr>
        <w:t>(</w:t>
      </w:r>
      <w:r>
        <w:rPr>
          <w:rStyle w:val="a7"/>
          <w:rtl/>
        </w:rPr>
        <w:footnoteReference w:id="1998"/>
      </w:r>
      <w:r>
        <w:rPr>
          <w:rFonts w:hint="cs"/>
          <w:vertAlign w:val="superscript"/>
          <w:rtl/>
        </w:rPr>
        <w:t>)</w:t>
      </w:r>
      <w:r>
        <w:rPr>
          <w:rFonts w:hint="cs"/>
          <w:rtl/>
        </w:rPr>
        <w:t>.</w:t>
      </w:r>
    </w:p>
    <w:p w:rsidR="00C10469" w:rsidRDefault="00C10469" w:rsidP="00C10469">
      <w:pPr>
        <w:ind w:left="1131" w:hanging="215"/>
        <w:rPr>
          <w:rtl/>
        </w:rPr>
      </w:pPr>
      <w:r>
        <w:rPr>
          <w:b/>
          <w:bCs/>
          <w:rtl/>
        </w:rPr>
        <w:t>•</w:t>
      </w:r>
      <w:r>
        <w:rPr>
          <w:rFonts w:hint="cs"/>
          <w:b/>
          <w:bCs/>
          <w:rtl/>
        </w:rPr>
        <w:t xml:space="preserve"> ومنها</w:t>
      </w:r>
      <w:r>
        <w:rPr>
          <w:rFonts w:hint="cs"/>
          <w:rtl/>
        </w:rPr>
        <w:t xml:space="preserve"> : لو ترك إحْدى [سجـدتي]</w:t>
      </w:r>
      <w:r>
        <w:rPr>
          <w:rStyle w:val="a7"/>
          <w:rtl/>
        </w:rPr>
        <w:footnoteReference w:id="1999"/>
      </w:r>
      <w:r>
        <w:rPr>
          <w:rFonts w:hint="cs"/>
          <w:rtl/>
        </w:rPr>
        <w:t xml:space="preserve"> الركعة الأولى : يجوز قضاؤها في الركعة الثانية مع أن فيه تغيير المشروع</w:t>
      </w:r>
      <w:r>
        <w:rPr>
          <w:rStyle w:val="a7"/>
          <w:rtl/>
        </w:rPr>
        <w:footnoteReference w:id="2000"/>
      </w:r>
      <w:r>
        <w:rPr>
          <w:rFonts w:hint="cs"/>
          <w:rtl/>
        </w:rPr>
        <w:t>!.</w:t>
      </w:r>
    </w:p>
    <w:p w:rsidR="00C10469" w:rsidRDefault="00C10469" w:rsidP="00C10469">
      <w:pPr>
        <w:ind w:left="1097" w:firstLine="190"/>
        <w:rPr>
          <w:spacing w:val="4"/>
          <w:rtl/>
        </w:rPr>
      </w:pPr>
      <w:r>
        <w:rPr>
          <w:rFonts w:hint="cs"/>
          <w:b/>
          <w:bCs/>
          <w:spacing w:val="4"/>
          <w:rtl/>
        </w:rPr>
        <w:t>والـجواب</w:t>
      </w:r>
      <w:r>
        <w:rPr>
          <w:rFonts w:hint="cs"/>
          <w:spacing w:val="4"/>
          <w:rtl/>
        </w:rPr>
        <w:t xml:space="preserve"> : إحـدى سجـدتـي الركعة ثابـت بـقوله تـعالى: </w:t>
      </w:r>
      <w:r>
        <w:rPr>
          <w:color w:val="000000"/>
          <w:sz w:val="30"/>
          <w:szCs w:val="30"/>
        </w:rPr>
        <w:sym w:font="HQPB2" w:char="F0E2"/>
      </w:r>
      <w:r>
        <w:rPr>
          <w:color w:val="000000"/>
          <w:sz w:val="30"/>
          <w:szCs w:val="30"/>
          <w:rtl/>
        </w:rPr>
        <w:t xml:space="preserve"> </w:t>
      </w:r>
      <w:r>
        <w:rPr>
          <w:color w:val="000000"/>
          <w:sz w:val="30"/>
          <w:szCs w:val="30"/>
        </w:rPr>
        <w:sym w:font="HQPB5" w:char="F028"/>
      </w:r>
      <w:r>
        <w:rPr>
          <w:color w:val="000000"/>
          <w:sz w:val="30"/>
          <w:szCs w:val="30"/>
        </w:rPr>
        <w:sym w:font="HQPB1" w:char="F023"/>
      </w:r>
      <w:r>
        <w:rPr>
          <w:color w:val="000000"/>
          <w:sz w:val="30"/>
          <w:szCs w:val="30"/>
        </w:rPr>
        <w:sym w:font="HQPB2" w:char="F072"/>
      </w:r>
      <w:r>
        <w:rPr>
          <w:color w:val="000000"/>
          <w:sz w:val="30"/>
          <w:szCs w:val="30"/>
        </w:rPr>
        <w:sym w:font="HQPB4" w:char="F0DF"/>
      </w:r>
      <w:r>
        <w:rPr>
          <w:color w:val="000000"/>
          <w:sz w:val="30"/>
          <w:szCs w:val="30"/>
        </w:rPr>
        <w:sym w:font="HQPB1" w:char="F089"/>
      </w:r>
      <w:r>
        <w:rPr>
          <w:color w:val="000000"/>
          <w:sz w:val="30"/>
          <w:szCs w:val="30"/>
        </w:rPr>
        <w:sym w:font="HQPB4" w:char="F0E0"/>
      </w:r>
      <w:r>
        <w:rPr>
          <w:color w:val="000000"/>
          <w:sz w:val="30"/>
          <w:szCs w:val="30"/>
        </w:rPr>
        <w:sym w:font="HQPB1" w:char="F066"/>
      </w:r>
      <w:r>
        <w:rPr>
          <w:color w:val="000000"/>
          <w:sz w:val="30"/>
          <w:szCs w:val="30"/>
        </w:rPr>
        <w:sym w:font="HQPB4" w:char="F0F3"/>
      </w:r>
      <w:r>
        <w:rPr>
          <w:color w:val="000000"/>
          <w:sz w:val="30"/>
          <w:szCs w:val="30"/>
        </w:rPr>
        <w:sym w:font="HQPB1" w:char="F099"/>
      </w:r>
      <w:r>
        <w:rPr>
          <w:color w:val="000000"/>
          <w:sz w:val="30"/>
          <w:szCs w:val="30"/>
        </w:rPr>
        <w:sym w:font="HQPB5" w:char="F024"/>
      </w:r>
      <w:r>
        <w:rPr>
          <w:color w:val="000000"/>
          <w:sz w:val="30"/>
          <w:szCs w:val="30"/>
        </w:rPr>
        <w:sym w:font="HQPB1" w:char="F023"/>
      </w:r>
      <w:r>
        <w:rPr>
          <w:rFonts w:hint="cs"/>
          <w:color w:val="000000"/>
          <w:sz w:val="30"/>
          <w:szCs w:val="30"/>
          <w:rtl/>
        </w:rPr>
        <w:t xml:space="preserve"> </w:t>
      </w:r>
      <w:r>
        <w:rPr>
          <w:color w:val="000000"/>
          <w:sz w:val="30"/>
          <w:szCs w:val="30"/>
          <w:rtl/>
        </w:rPr>
        <w:t xml:space="preserve"> </w:t>
      </w:r>
      <w:r>
        <w:rPr>
          <w:color w:val="000000"/>
          <w:sz w:val="30"/>
          <w:szCs w:val="30"/>
        </w:rPr>
        <w:sym w:font="HQPB2" w:char="F0E1"/>
      </w:r>
      <w:r>
        <w:rPr>
          <w:rFonts w:hint="cs"/>
          <w:spacing w:val="4"/>
          <w:vertAlign w:val="superscript"/>
          <w:rtl/>
        </w:rPr>
        <w:t>(</w:t>
      </w:r>
      <w:r>
        <w:rPr>
          <w:rStyle w:val="a7"/>
          <w:spacing w:val="4"/>
          <w:rtl/>
        </w:rPr>
        <w:footnoteReference w:id="2001"/>
      </w:r>
      <w:r>
        <w:rPr>
          <w:rFonts w:hint="cs"/>
          <w:spacing w:val="4"/>
          <w:vertAlign w:val="superscript"/>
          <w:rtl/>
        </w:rPr>
        <w:t>)</w:t>
      </w:r>
      <w:r>
        <w:rPr>
          <w:rFonts w:hint="cs"/>
          <w:spacing w:val="4"/>
          <w:rtl/>
        </w:rPr>
        <w:t xml:space="preserve">، وتكرارها بفعل الرسول </w:t>
      </w:r>
      <w:r>
        <w:rPr>
          <w:rFonts w:ascii="AGA Arabesque" w:hAnsi="AGA Arabesque"/>
          <w:spacing w:val="4"/>
          <w:sz w:val="36"/>
        </w:rPr>
        <w:lastRenderedPageBreak/>
        <w:t></w:t>
      </w:r>
      <w:r>
        <w:rPr>
          <w:rFonts w:hint="cs"/>
          <w:spacing w:val="4"/>
          <w:vertAlign w:val="superscript"/>
          <w:rtl/>
        </w:rPr>
        <w:t>(</w:t>
      </w:r>
      <w:r>
        <w:rPr>
          <w:rStyle w:val="a7"/>
          <w:spacing w:val="4"/>
          <w:rtl/>
        </w:rPr>
        <w:footnoteReference w:id="2002"/>
      </w:r>
      <w:r>
        <w:rPr>
          <w:rFonts w:hint="cs"/>
          <w:spacing w:val="4"/>
          <w:vertAlign w:val="superscript"/>
          <w:rtl/>
        </w:rPr>
        <w:t>)</w:t>
      </w:r>
      <w:r>
        <w:rPr>
          <w:rFonts w:hint="cs"/>
          <w:spacing w:val="4"/>
          <w:rtl/>
        </w:rPr>
        <w:t>، فإذا وُجِدَ إحداهُما</w:t>
      </w:r>
      <w:r>
        <w:rPr>
          <w:rFonts w:hint="cs"/>
          <w:spacing w:val="4"/>
          <w:vertAlign w:val="superscript"/>
          <w:rtl/>
        </w:rPr>
        <w:t>(</w:t>
      </w:r>
      <w:r>
        <w:rPr>
          <w:rStyle w:val="a7"/>
          <w:spacing w:val="4"/>
          <w:rtl/>
        </w:rPr>
        <w:footnoteReference w:id="2003"/>
      </w:r>
      <w:r>
        <w:rPr>
          <w:rFonts w:hint="cs"/>
          <w:spacing w:val="4"/>
          <w:vertAlign w:val="superscript"/>
          <w:rtl/>
        </w:rPr>
        <w:t>)</w:t>
      </w:r>
      <w:r>
        <w:rPr>
          <w:rFonts w:hint="cs"/>
          <w:spacing w:val="4"/>
          <w:rtl/>
        </w:rPr>
        <w:t xml:space="preserve"> في محلّها، فقد حصل الترتيب المفروض لوجود مقتضى النص، ولو فرض الترتيب بين السّجدتين لزم مُسَاواةُ ما ثبت بالفعل لما</w:t>
      </w:r>
      <w:r>
        <w:rPr>
          <w:rStyle w:val="a7"/>
          <w:spacing w:val="4"/>
          <w:rtl/>
        </w:rPr>
        <w:footnoteReference w:id="2004"/>
      </w:r>
      <w:r>
        <w:rPr>
          <w:rFonts w:hint="cs"/>
          <w:spacing w:val="4"/>
          <w:rtl/>
        </w:rPr>
        <w:t xml:space="preserve"> ثبت بالنّص، مع أنّ النصّ أعلى رتبة من الفعل</w:t>
      </w:r>
      <w:r>
        <w:rPr>
          <w:rFonts w:hint="cs"/>
          <w:spacing w:val="4"/>
          <w:vertAlign w:val="superscript"/>
          <w:rtl/>
        </w:rPr>
        <w:t>(</w:t>
      </w:r>
      <w:r>
        <w:rPr>
          <w:rStyle w:val="a7"/>
          <w:spacing w:val="4"/>
          <w:rtl/>
        </w:rPr>
        <w:footnoteReference w:id="2005"/>
      </w:r>
      <w:r>
        <w:rPr>
          <w:rFonts w:hint="cs"/>
          <w:spacing w:val="4"/>
          <w:vertAlign w:val="superscript"/>
          <w:rtl/>
        </w:rPr>
        <w:t>)</w:t>
      </w:r>
      <w:r>
        <w:rPr>
          <w:rFonts w:hint="cs"/>
          <w:spacing w:val="4"/>
          <w:rtl/>
        </w:rPr>
        <w:t>.</w:t>
      </w:r>
    </w:p>
    <w:p w:rsidR="00C10469" w:rsidRDefault="00C10469">
      <w:pPr>
        <w:ind w:left="1097" w:right="1097" w:firstLine="190"/>
        <w:rPr>
          <w:spacing w:val="4"/>
          <w:rtl/>
        </w:rPr>
      </w:pPr>
    </w:p>
    <w:p w:rsidR="00C10469" w:rsidRDefault="00C10469">
      <w:pPr>
        <w:ind w:left="1097" w:right="1097" w:firstLine="190"/>
        <w:rPr>
          <w:spacing w:val="4"/>
          <w:rtl/>
        </w:rPr>
      </w:pPr>
    </w:p>
    <w:p w:rsidR="00C10469" w:rsidRDefault="00C10469">
      <w:pPr>
        <w:ind w:left="1097" w:right="1097" w:firstLine="190"/>
        <w:rPr>
          <w:spacing w:val="4"/>
          <w:rtl/>
        </w:rPr>
      </w:pPr>
    </w:p>
    <w:p w:rsidR="00C10469" w:rsidRDefault="00C10469">
      <w:pPr>
        <w:ind w:left="1097" w:right="1097" w:firstLine="190"/>
        <w:jc w:val="center"/>
        <w:rPr>
          <w:spacing w:val="4"/>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left="1097" w:right="1097" w:firstLine="190"/>
        <w:rPr>
          <w:spacing w:val="4"/>
          <w:rtl/>
        </w:rPr>
        <w:sectPr w:rsidR="00C10469" w:rsidSect="00C10469">
          <w:headerReference w:type="default" r:id="rId13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71100" w:rsidRDefault="00C10469">
      <w:pPr>
        <w:pStyle w:val="a9"/>
        <w:rPr>
          <w:rFonts w:cs="AL-Mateen"/>
          <w:rtl/>
        </w:rPr>
      </w:pPr>
      <w:r w:rsidRPr="00971100">
        <w:rPr>
          <w:rFonts w:cs="AL-Mateen" w:hint="cs"/>
          <w:rtl/>
        </w:rPr>
        <w:lastRenderedPageBreak/>
        <w:t>[ الـقـاعـدة الـتـاسـعـة والـسـبـعـون ]</w:t>
      </w:r>
    </w:p>
    <w:p w:rsidR="00C10469" w:rsidRDefault="00C10469">
      <w:pPr>
        <w:rPr>
          <w:rtl/>
        </w:rPr>
      </w:pPr>
      <w:r>
        <w:rPr>
          <w:rFonts w:cs="Monotype Koufi" w:hint="cs"/>
          <w:rtl/>
        </w:rPr>
        <w:t>تفويضُ التَّصرُّفِ فِي مِلْكِ الغَيرِ لاَ يَجُوزُ</w:t>
      </w:r>
      <w:r>
        <w:rPr>
          <w:rFonts w:hint="cs"/>
          <w:vertAlign w:val="superscript"/>
          <w:rtl/>
        </w:rPr>
        <w:t>(</w:t>
      </w:r>
      <w:r>
        <w:rPr>
          <w:rStyle w:val="a7"/>
          <w:rtl/>
        </w:rPr>
        <w:footnoteReference w:id="2006"/>
      </w:r>
      <w:r>
        <w:rPr>
          <w:rFonts w:hint="cs"/>
          <w:vertAlign w:val="superscript"/>
          <w:rtl/>
        </w:rPr>
        <w:t>)</w:t>
      </w:r>
      <w:r>
        <w:rPr>
          <w:rFonts w:hint="cs"/>
          <w:rtl/>
        </w:rPr>
        <w:t xml:space="preserve"> :</w:t>
      </w:r>
    </w:p>
    <w:p w:rsidR="00C10469" w:rsidRDefault="00C10469">
      <w:pPr>
        <w:rPr>
          <w:spacing w:val="-12"/>
          <w:rtl/>
        </w:rPr>
      </w:pPr>
      <w:r>
        <w:rPr>
          <w:rFonts w:hint="cs"/>
          <w:b/>
          <w:bCs/>
          <w:spacing w:val="-12"/>
          <w:rtl/>
        </w:rPr>
        <w:t>ولذا</w:t>
      </w:r>
      <w:r>
        <w:rPr>
          <w:rFonts w:hint="cs"/>
          <w:spacing w:val="-12"/>
          <w:rtl/>
        </w:rPr>
        <w:t xml:space="preserve"> قالوا</w:t>
      </w:r>
      <w:r>
        <w:rPr>
          <w:rStyle w:val="a7"/>
          <w:spacing w:val="-12"/>
          <w:rtl/>
        </w:rPr>
        <w:footnoteReference w:id="2007"/>
      </w:r>
      <w:r>
        <w:rPr>
          <w:rFonts w:hint="cs"/>
          <w:spacing w:val="-12"/>
          <w:rtl/>
        </w:rPr>
        <w:t xml:space="preserve"> : التفويض</w:t>
      </w:r>
      <w:r>
        <w:rPr>
          <w:rStyle w:val="a7"/>
          <w:spacing w:val="-12"/>
          <w:rtl/>
        </w:rPr>
        <w:footnoteReference w:id="2008"/>
      </w:r>
      <w:r>
        <w:rPr>
          <w:rFonts w:hint="cs"/>
          <w:spacing w:val="-12"/>
          <w:rtl/>
        </w:rPr>
        <w:t xml:space="preserve"> بالاستقراض باطل؛ لأن الدراهم المقبوضة ملك غير الموكّل</w:t>
      </w:r>
      <w:r>
        <w:rPr>
          <w:rFonts w:hint="cs"/>
          <w:spacing w:val="-12"/>
          <w:vertAlign w:val="superscript"/>
          <w:rtl/>
        </w:rPr>
        <w:t>(</w:t>
      </w:r>
      <w:r>
        <w:rPr>
          <w:rStyle w:val="a7"/>
          <w:spacing w:val="-12"/>
          <w:rtl/>
        </w:rPr>
        <w:footnoteReference w:id="2009"/>
      </w:r>
      <w:r>
        <w:rPr>
          <w:rFonts w:hint="cs"/>
          <w:spacing w:val="-12"/>
          <w:vertAlign w:val="superscript"/>
          <w:rtl/>
        </w:rPr>
        <w:t>)</w:t>
      </w:r>
      <w:r>
        <w:rPr>
          <w:rFonts w:hint="cs"/>
          <w:spacing w:val="-12"/>
          <w:rtl/>
        </w:rPr>
        <w:t>.</w:t>
      </w:r>
    </w:p>
    <w:p w:rsidR="00C10469" w:rsidRDefault="00C10469">
      <w:pPr>
        <w:rPr>
          <w:rtl/>
        </w:rPr>
      </w:pPr>
      <w:r>
        <w:rPr>
          <w:rFonts w:hint="cs"/>
          <w:rtl/>
        </w:rPr>
        <w:t>«</w:t>
      </w:r>
      <w:r>
        <w:rPr>
          <w:rFonts w:hint="cs"/>
          <w:b/>
          <w:bCs/>
          <w:rtl/>
        </w:rPr>
        <w:t>ونُوقض</w:t>
      </w:r>
      <w:r>
        <w:rPr>
          <w:rStyle w:val="a7"/>
          <w:rtl/>
        </w:rPr>
        <w:footnoteReference w:id="2010"/>
      </w:r>
      <w:r>
        <w:rPr>
          <w:rFonts w:hint="cs"/>
          <w:rtl/>
        </w:rPr>
        <w:t xml:space="preserve"> : بالتوكيل بالشراء، وهو أمر بقبض المبيع وهو ملك الغير.</w:t>
      </w:r>
    </w:p>
    <w:p w:rsidR="00C10469" w:rsidRDefault="00C10469">
      <w:pPr>
        <w:rPr>
          <w:rtl/>
        </w:rPr>
      </w:pPr>
      <w:r>
        <w:rPr>
          <w:rFonts w:hint="cs"/>
          <w:b/>
          <w:bCs/>
          <w:rtl/>
        </w:rPr>
        <w:t>وأجيب</w:t>
      </w:r>
      <w:r>
        <w:rPr>
          <w:rFonts w:hint="cs"/>
          <w:rtl/>
        </w:rPr>
        <w:t xml:space="preserve"> : بأن التصرّف في ملك الغير إنما لا يجوز إذا لم يكن بعوض، وفي التوكيل بالشراء عوض (وهو الثمن)، فافترقا»</w:t>
      </w:r>
      <w:r>
        <w:rPr>
          <w:rFonts w:hint="cs"/>
          <w:vertAlign w:val="superscript"/>
          <w:rtl/>
        </w:rPr>
        <w:t>(</w:t>
      </w:r>
      <w:r>
        <w:rPr>
          <w:rStyle w:val="a7"/>
          <w:rtl/>
        </w:rPr>
        <w:footnoteReference w:id="2011"/>
      </w:r>
      <w:r>
        <w:rPr>
          <w:rFonts w:hint="cs"/>
          <w:vertAlign w:val="superscript"/>
          <w:rtl/>
        </w:rPr>
        <w:t>)</w:t>
      </w:r>
      <w:r>
        <w:rPr>
          <w:rFonts w:hint="cs"/>
          <w:rtl/>
        </w:rPr>
        <w:t>.</w:t>
      </w:r>
    </w:p>
    <w:p w:rsidR="00C10469" w:rsidRDefault="00C10469" w:rsidP="00C10469">
      <w:pPr>
        <w:rPr>
          <w:rtl/>
        </w:rPr>
        <w:sectPr w:rsidR="00C10469" w:rsidSect="00C10469">
          <w:headerReference w:type="default" r:id="rId13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t>و«التوكيل بالإقراض صحيح؛ لأنه تفويض التصرف في ملكه</w:t>
      </w:r>
      <w:r>
        <w:rPr>
          <w:rStyle w:val="a7"/>
          <w:rtl/>
        </w:rPr>
        <w:footnoteReference w:id="2012"/>
      </w:r>
      <w:r>
        <w:rPr>
          <w:rFonts w:hint="cs"/>
          <w:rtl/>
        </w:rPr>
        <w:t>»</w:t>
      </w:r>
      <w:r>
        <w:rPr>
          <w:rFonts w:hint="cs"/>
          <w:vertAlign w:val="superscript"/>
          <w:rtl/>
        </w:rPr>
        <w:t>(</w:t>
      </w:r>
      <w:r>
        <w:rPr>
          <w:rStyle w:val="a7"/>
          <w:rtl/>
        </w:rPr>
        <w:footnoteReference w:id="2013"/>
      </w:r>
      <w:r>
        <w:rPr>
          <w:rFonts w:hint="cs"/>
          <w:vertAlign w:val="superscript"/>
          <w:rtl/>
        </w:rPr>
        <w:t>)</w:t>
      </w:r>
      <w:r>
        <w:rPr>
          <w:rFonts w:hint="cs"/>
          <w:rtl/>
        </w:rPr>
        <w:t>.</w:t>
      </w:r>
    </w:p>
    <w:p w:rsidR="00C10469" w:rsidRPr="00517CA9" w:rsidRDefault="00C10469">
      <w:pPr>
        <w:pStyle w:val="a9"/>
        <w:rPr>
          <w:rFonts w:cs="AL-Mateen"/>
          <w:rtl/>
        </w:rPr>
      </w:pPr>
      <w:r w:rsidRPr="00517CA9">
        <w:rPr>
          <w:rFonts w:cs="AL-Mateen" w:hint="cs"/>
          <w:rtl/>
        </w:rPr>
        <w:lastRenderedPageBreak/>
        <w:t>[ الـقـاعـدة الـثـمانـون ]</w:t>
      </w:r>
    </w:p>
    <w:p w:rsidR="00C10469" w:rsidRDefault="00C10469">
      <w:pPr>
        <w:rPr>
          <w:rtl/>
        </w:rPr>
      </w:pPr>
      <w:r>
        <w:rPr>
          <w:rFonts w:cs="Monotype Koufi" w:hint="cs"/>
          <w:rtl/>
        </w:rPr>
        <w:t>[التَّغرِيرُ]</w:t>
      </w:r>
      <w:r>
        <w:rPr>
          <w:rStyle w:val="a7"/>
          <w:rtl/>
        </w:rPr>
        <w:footnoteReference w:id="2014"/>
      </w:r>
      <w:r>
        <w:rPr>
          <w:rFonts w:hint="cs"/>
          <w:rtl/>
        </w:rPr>
        <w:t xml:space="preserve"> </w:t>
      </w:r>
      <w:r>
        <w:rPr>
          <w:rFonts w:cs="Monotype Koufi" w:hint="cs"/>
          <w:rtl/>
        </w:rPr>
        <w:t>فِي [المعاوَضَةِ]</w:t>
      </w:r>
      <w:r>
        <w:rPr>
          <w:rStyle w:val="a7"/>
          <w:rtl/>
        </w:rPr>
        <w:footnoteReference w:id="2015"/>
      </w:r>
      <w:r>
        <w:rPr>
          <w:rFonts w:hint="cs"/>
          <w:rtl/>
        </w:rPr>
        <w:t xml:space="preserve"> </w:t>
      </w:r>
      <w:r>
        <w:rPr>
          <w:rFonts w:cs="Monotype Koufi" w:hint="cs"/>
          <w:rtl/>
        </w:rPr>
        <w:t>سَبَبُ الضَّمَانِ؛ دفعًا للضّرَرِ بِقَدْرِ الإمْكانِ</w:t>
      </w:r>
      <w:r>
        <w:rPr>
          <w:rFonts w:hint="cs"/>
          <w:vertAlign w:val="superscript"/>
          <w:rtl/>
        </w:rPr>
        <w:t>(</w:t>
      </w:r>
      <w:r>
        <w:rPr>
          <w:rStyle w:val="a7"/>
          <w:rtl/>
        </w:rPr>
        <w:footnoteReference w:id="2016"/>
      </w:r>
      <w:r>
        <w:rPr>
          <w:rFonts w:hint="cs"/>
          <w:vertAlign w:val="superscript"/>
          <w:rtl/>
        </w:rPr>
        <w:t>)</w:t>
      </w:r>
      <w:r>
        <w:rPr>
          <w:rFonts w:hint="cs"/>
          <w:rtl/>
        </w:rPr>
        <w:t xml:space="preserve"> :</w:t>
      </w:r>
    </w:p>
    <w:p w:rsidR="00C10469" w:rsidRDefault="00C10469">
      <w:pPr>
        <w:rPr>
          <w:rtl/>
        </w:rPr>
      </w:pPr>
      <w:r>
        <w:rPr>
          <w:rFonts w:hint="cs"/>
          <w:b/>
          <w:bCs/>
          <w:rtl/>
        </w:rPr>
        <w:t xml:space="preserve">ولذا </w:t>
      </w:r>
      <w:r>
        <w:rPr>
          <w:rFonts w:hint="cs"/>
          <w:rtl/>
        </w:rPr>
        <w:t>: إذا قال رجل لآخر : اشترني، فإنّي عبد. فاشتراه، فأثبت</w:t>
      </w:r>
      <w:r>
        <w:rPr>
          <w:rStyle w:val="a7"/>
          <w:rtl/>
        </w:rPr>
        <w:footnoteReference w:id="2017"/>
      </w:r>
      <w:r>
        <w:rPr>
          <w:rFonts w:hint="cs"/>
          <w:rtl/>
        </w:rPr>
        <w:t xml:space="preserve"> حريّته، ولم يعلم مكان بائعه : ضَمنَ</w:t>
      </w:r>
      <w:r>
        <w:rPr>
          <w:rFonts w:hint="cs"/>
          <w:vertAlign w:val="superscript"/>
          <w:rtl/>
        </w:rPr>
        <w:t>(</w:t>
      </w:r>
      <w:r>
        <w:rPr>
          <w:rStyle w:val="a7"/>
          <w:rtl/>
        </w:rPr>
        <w:footnoteReference w:id="2018"/>
      </w:r>
      <w:r>
        <w:rPr>
          <w:rFonts w:hint="cs"/>
          <w:vertAlign w:val="superscript"/>
          <w:rtl/>
        </w:rPr>
        <w:t>)</w:t>
      </w:r>
      <w:r>
        <w:rPr>
          <w:rFonts w:hint="cs"/>
          <w:rtl/>
        </w:rPr>
        <w:t>، ويرجع عليه</w:t>
      </w:r>
      <w:r>
        <w:rPr>
          <w:rStyle w:val="a7"/>
          <w:rtl/>
        </w:rPr>
        <w:footnoteReference w:id="2019"/>
      </w:r>
      <w:r>
        <w:rPr>
          <w:rFonts w:hint="cs"/>
          <w:rtl/>
        </w:rPr>
        <w:t xml:space="preserve"> إذا وَجَدَهُ.</w:t>
      </w:r>
    </w:p>
    <w:p w:rsidR="00C10469" w:rsidRDefault="00C10469">
      <w:pPr>
        <w:rPr>
          <w:rtl/>
        </w:rPr>
      </w:pPr>
      <w:r>
        <w:rPr>
          <w:rFonts w:hint="cs"/>
          <w:rtl/>
        </w:rPr>
        <w:t>وإن علم مكان بائِعِهِ : ضمن البائع</w:t>
      </w:r>
      <w:r>
        <w:rPr>
          <w:rFonts w:hint="cs"/>
          <w:vertAlign w:val="superscript"/>
          <w:rtl/>
        </w:rPr>
        <w:t>(</w:t>
      </w:r>
      <w:r>
        <w:rPr>
          <w:rStyle w:val="a7"/>
          <w:rtl/>
        </w:rPr>
        <w:footnoteReference w:id="2020"/>
      </w:r>
      <w:r>
        <w:rPr>
          <w:rFonts w:hint="cs"/>
          <w:vertAlign w:val="superscript"/>
          <w:rtl/>
        </w:rPr>
        <w:t>)</w:t>
      </w:r>
      <w:r>
        <w:rPr>
          <w:rFonts w:hint="cs"/>
          <w:rtl/>
        </w:rPr>
        <w:t>.</w:t>
      </w:r>
    </w:p>
    <w:p w:rsidR="00C10469" w:rsidRDefault="00C10469">
      <w:pPr>
        <w:rPr>
          <w:spacing w:val="10"/>
          <w:rtl/>
        </w:rPr>
      </w:pPr>
      <w:r>
        <w:rPr>
          <w:rFonts w:hint="cs"/>
          <w:spacing w:val="10"/>
          <w:rtl/>
        </w:rPr>
        <w:lastRenderedPageBreak/>
        <w:t>ويرجع على</w:t>
      </w:r>
      <w:r>
        <w:rPr>
          <w:rStyle w:val="a7"/>
          <w:spacing w:val="10"/>
          <w:rtl/>
        </w:rPr>
        <w:footnoteReference w:id="2021"/>
      </w:r>
      <w:r>
        <w:rPr>
          <w:rFonts w:hint="cs"/>
          <w:spacing w:val="10"/>
          <w:rtl/>
        </w:rPr>
        <w:t xml:space="preserve"> الأصل الذي ذكرناه في باب الألف، وهو: «إذا اجتمع المباشر والمتسبّب</w:t>
      </w:r>
      <w:r>
        <w:rPr>
          <w:rStyle w:val="a7"/>
          <w:spacing w:val="10"/>
          <w:rtl/>
        </w:rPr>
        <w:footnoteReference w:id="2022"/>
      </w:r>
      <w:r>
        <w:rPr>
          <w:rFonts w:hint="cs"/>
          <w:spacing w:val="10"/>
          <w:rtl/>
        </w:rPr>
        <w:t>، أضيف الحكم إلى المباشر»</w:t>
      </w:r>
      <w:r>
        <w:rPr>
          <w:rFonts w:hint="cs"/>
          <w:spacing w:val="10"/>
          <w:vertAlign w:val="superscript"/>
          <w:rtl/>
        </w:rPr>
        <w:t>(</w:t>
      </w:r>
      <w:r>
        <w:rPr>
          <w:rStyle w:val="a7"/>
          <w:spacing w:val="10"/>
          <w:rtl/>
        </w:rPr>
        <w:footnoteReference w:id="2023"/>
      </w:r>
      <w:r>
        <w:rPr>
          <w:rFonts w:hint="cs"/>
          <w:spacing w:val="10"/>
          <w:vertAlign w:val="superscript"/>
          <w:rtl/>
        </w:rPr>
        <w:t>)</w:t>
      </w:r>
      <w:r>
        <w:rPr>
          <w:rFonts w:hint="cs"/>
          <w:spacing w:val="10"/>
          <w:rtl/>
        </w:rPr>
        <w:t>. فههنا البائـع</w:t>
      </w:r>
      <w:r>
        <w:rPr>
          <w:rStyle w:val="a7"/>
          <w:spacing w:val="10"/>
          <w:rtl/>
        </w:rPr>
        <w:footnoteReference w:id="2024"/>
      </w:r>
      <w:r>
        <w:rPr>
          <w:rFonts w:hint="cs"/>
          <w:spacing w:val="10"/>
          <w:rtl/>
        </w:rPr>
        <w:t xml:space="preserve"> مباشر؛ ولذا قالوا: «دفعًا للضرر بقدر الإمكان». فعند عدم حضور البائع لا يمكن دفع الضّرر إلاّ بتضمين [المغرِّر]</w:t>
      </w:r>
      <w:r>
        <w:rPr>
          <w:rStyle w:val="a7"/>
          <w:spacing w:val="10"/>
          <w:rtl/>
        </w:rPr>
        <w:footnoteReference w:id="2025"/>
      </w:r>
      <w:r>
        <w:rPr>
          <w:rFonts w:hint="cs"/>
          <w:spacing w:val="10"/>
          <w:rtl/>
        </w:rPr>
        <w:t>.</w:t>
      </w:r>
    </w:p>
    <w:p w:rsidR="00C10469" w:rsidRDefault="00C10469">
      <w:pPr>
        <w:rPr>
          <w:rtl/>
        </w:rPr>
      </w:pPr>
      <w:r>
        <w:rPr>
          <w:rFonts w:hint="cs"/>
          <w:rtl/>
        </w:rPr>
        <w:t>ولا ضمان على من قال : تزوّجها فإنّها حرّة. فظهر بعد الولادة أنّها أَمَةٌ؛ لأن الحكم يضاف إلى المباشر، والمباشر هو الناكح. إلاَّ إذا كان القائل وليّ</w:t>
      </w:r>
      <w:r>
        <w:rPr>
          <w:rStyle w:val="a7"/>
          <w:rtl/>
        </w:rPr>
        <w:footnoteReference w:id="2026"/>
      </w:r>
      <w:r>
        <w:rPr>
          <w:rFonts w:hint="cs"/>
          <w:rtl/>
        </w:rPr>
        <w:t xml:space="preserve"> المرأة، أو وكيلها، فالضمان عليهما؛ لأن كل</w:t>
      </w:r>
      <w:r>
        <w:rPr>
          <w:rStyle w:val="a7"/>
          <w:rtl/>
        </w:rPr>
        <w:footnoteReference w:id="2027"/>
      </w:r>
      <w:r>
        <w:rPr>
          <w:rFonts w:hint="cs"/>
          <w:rtl/>
        </w:rPr>
        <w:t xml:space="preserve"> واحد منهما في حكم المباشر</w:t>
      </w:r>
      <w:r>
        <w:rPr>
          <w:rFonts w:hint="cs"/>
          <w:vertAlign w:val="superscript"/>
          <w:rtl/>
        </w:rPr>
        <w:t>(</w:t>
      </w:r>
      <w:r>
        <w:rPr>
          <w:rStyle w:val="a7"/>
          <w:rtl/>
        </w:rPr>
        <w:footnoteReference w:id="2028"/>
      </w:r>
      <w:r>
        <w:rPr>
          <w:rFonts w:hint="cs"/>
          <w:vertAlign w:val="superscript"/>
          <w:rtl/>
        </w:rPr>
        <w:t>)</w:t>
      </w:r>
      <w:r>
        <w:rPr>
          <w:rFonts w:hint="cs"/>
          <w:rtl/>
        </w:rPr>
        <w:t>.</w:t>
      </w:r>
    </w:p>
    <w:p w:rsidR="00C10469" w:rsidRDefault="00C10469">
      <w:pPr>
        <w:rPr>
          <w:rtl/>
        </w:rPr>
      </w:pPr>
      <w:r>
        <w:rPr>
          <w:rFonts w:hint="cs"/>
          <w:rtl/>
        </w:rPr>
        <w:t>والمراد من الضمان : ضمان</w:t>
      </w:r>
      <w:r>
        <w:rPr>
          <w:rStyle w:val="a7"/>
          <w:rtl/>
        </w:rPr>
        <w:footnoteReference w:id="2029"/>
      </w:r>
      <w:r>
        <w:rPr>
          <w:rFonts w:hint="cs"/>
          <w:rtl/>
        </w:rPr>
        <w:t xml:space="preserve"> قيمة الولد؛ لأنّ ولد المغرور حرّ بالقيمة.</w:t>
      </w:r>
    </w:p>
    <w:p w:rsidR="00C10469" w:rsidRDefault="00C10469" w:rsidP="00154F65">
      <w:pPr>
        <w:rPr>
          <w:rtl/>
        </w:rPr>
      </w:pPr>
      <w:r>
        <w:rPr>
          <w:rFonts w:hint="cs"/>
          <w:rtl/>
        </w:rPr>
        <w:t>واعلم أن الضّمان على المتسبِّب إنّما يجب عند</w:t>
      </w:r>
      <w:r>
        <w:rPr>
          <w:rStyle w:val="a7"/>
          <w:rtl/>
        </w:rPr>
        <w:footnoteReference w:id="2030"/>
      </w:r>
      <w:r>
        <w:rPr>
          <w:rFonts w:hint="cs"/>
          <w:rtl/>
        </w:rPr>
        <w:t xml:space="preserve"> عدم المباشر - كما مرّ تفصيله في باب الألف</w:t>
      </w:r>
      <w:r>
        <w:rPr>
          <w:rFonts w:hint="cs"/>
          <w:vertAlign w:val="superscript"/>
          <w:rtl/>
        </w:rPr>
        <w:t>(</w:t>
      </w:r>
      <w:r>
        <w:rPr>
          <w:rStyle w:val="a7"/>
          <w:rtl/>
        </w:rPr>
        <w:footnoteReference w:id="2031"/>
      </w:r>
      <w:r>
        <w:rPr>
          <w:rFonts w:hint="cs"/>
          <w:vertAlign w:val="superscript"/>
          <w:rtl/>
        </w:rPr>
        <w:t>)</w:t>
      </w:r>
      <w:r>
        <w:rPr>
          <w:rFonts w:hint="cs"/>
          <w:rtl/>
        </w:rPr>
        <w:t>-.</w:t>
      </w:r>
    </w:p>
    <w:p w:rsidR="00C10469" w:rsidRDefault="00C10469">
      <w:pPr>
        <w:jc w:val="center"/>
        <w:rPr>
          <w:rFonts w:ascii="AGA Arabesque" w:hAnsi="AGA Arabesque"/>
          <w:sz w:val="50"/>
          <w:szCs w:val="50"/>
          <w:rtl/>
        </w:rPr>
      </w:pPr>
    </w:p>
    <w:p w:rsidR="00C10469" w:rsidRDefault="00C10469" w:rsidP="00C10469">
      <w:pPr>
        <w:jc w:val="center"/>
        <w:rPr>
          <w:rFonts w:ascii="AGA Arabesque" w:hAnsi="AGA Arabesque"/>
          <w:sz w:val="50"/>
          <w:szCs w:val="50"/>
        </w:rPr>
        <w:sectPr w:rsidR="00C10469" w:rsidSect="00C10469">
          <w:headerReference w:type="default" r:id="rId13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19717E" w:rsidRDefault="00C10469">
      <w:pPr>
        <w:pStyle w:val="a9"/>
        <w:rPr>
          <w:rFonts w:cs="AL-Mateen"/>
          <w:rtl/>
        </w:rPr>
      </w:pPr>
      <w:r w:rsidRPr="0019717E">
        <w:rPr>
          <w:rFonts w:cs="AL-Mateen" w:hint="cs"/>
          <w:rtl/>
        </w:rPr>
        <w:lastRenderedPageBreak/>
        <w:t>[ الـقـاعـدة الحـاديـة والـثـمانون ]</w:t>
      </w:r>
    </w:p>
    <w:p w:rsidR="00C10469" w:rsidRDefault="00C10469">
      <w:pPr>
        <w:rPr>
          <w:rtl/>
        </w:rPr>
      </w:pPr>
      <w:r>
        <w:rPr>
          <w:rFonts w:cs="Monotype Koufi" w:hint="cs"/>
          <w:rtl/>
        </w:rPr>
        <w:t>تَفريقُ الصَّفقَةِ قبلَ القبْضِ لاَ يجُوزُ</w:t>
      </w:r>
      <w:r>
        <w:rPr>
          <w:rFonts w:hint="cs"/>
          <w:vertAlign w:val="superscript"/>
          <w:rtl/>
        </w:rPr>
        <w:t>(</w:t>
      </w:r>
      <w:r>
        <w:rPr>
          <w:rStyle w:val="a7"/>
          <w:rtl/>
        </w:rPr>
        <w:footnoteReference w:id="2032"/>
      </w:r>
      <w:r>
        <w:rPr>
          <w:rFonts w:hint="cs"/>
          <w:vertAlign w:val="superscript"/>
          <w:rtl/>
        </w:rPr>
        <w:t>)</w:t>
      </w:r>
      <w:r>
        <w:rPr>
          <w:rFonts w:hint="cs"/>
          <w:rtl/>
        </w:rPr>
        <w:t xml:space="preserve"> :</w:t>
      </w:r>
    </w:p>
    <w:p w:rsidR="00C10469" w:rsidRDefault="00C10469">
      <w:pPr>
        <w:rPr>
          <w:spacing w:val="12"/>
          <w:rtl/>
        </w:rPr>
      </w:pPr>
      <w:r>
        <w:rPr>
          <w:rFonts w:hint="cs"/>
          <w:spacing w:val="12"/>
          <w:rtl/>
        </w:rPr>
        <w:t xml:space="preserve">فإذا «اشترى </w:t>
      </w:r>
      <w:r>
        <w:rPr>
          <w:rFonts w:hint="cs"/>
          <w:rtl/>
        </w:rPr>
        <w:t>عبـدين صفـقـة</w:t>
      </w:r>
      <w:r>
        <w:rPr>
          <w:rFonts w:hint="cs"/>
          <w:spacing w:val="12"/>
          <w:rtl/>
        </w:rPr>
        <w:t xml:space="preserve"> واحدة، وقـبـض أحدهما، ووجد به أو بالآخر عيبًا: أخذهما أو ردّهـما</w:t>
      </w:r>
      <w:r>
        <w:rPr>
          <w:rStyle w:val="a7"/>
          <w:spacing w:val="12"/>
          <w:rtl/>
        </w:rPr>
        <w:footnoteReference w:id="2033"/>
      </w:r>
      <w:r>
        <w:rPr>
          <w:rFonts w:hint="cs"/>
          <w:spacing w:val="12"/>
          <w:rtl/>
        </w:rPr>
        <w:t>. ولو</w:t>
      </w:r>
      <w:r>
        <w:rPr>
          <w:rStyle w:val="a7"/>
          <w:spacing w:val="12"/>
          <w:rtl/>
        </w:rPr>
        <w:footnoteReference w:id="2034"/>
      </w:r>
      <w:r>
        <w:rPr>
          <w:rFonts w:hint="cs"/>
          <w:spacing w:val="12"/>
          <w:rtl/>
        </w:rPr>
        <w:t xml:space="preserve"> قبضهما : [ردّ]</w:t>
      </w:r>
      <w:r>
        <w:rPr>
          <w:rFonts w:hint="cs"/>
          <w:spacing w:val="12"/>
          <w:vertAlign w:val="superscript"/>
          <w:rtl/>
        </w:rPr>
        <w:t>(</w:t>
      </w:r>
      <w:r>
        <w:rPr>
          <w:rStyle w:val="a7"/>
          <w:spacing w:val="12"/>
          <w:rtl/>
        </w:rPr>
        <w:footnoteReference w:id="2035"/>
      </w:r>
      <w:r>
        <w:rPr>
          <w:rFonts w:hint="cs"/>
          <w:spacing w:val="12"/>
          <w:vertAlign w:val="superscript"/>
          <w:rtl/>
        </w:rPr>
        <w:t>)</w:t>
      </w:r>
      <w:r>
        <w:rPr>
          <w:rFonts w:hint="cs"/>
          <w:spacing w:val="12"/>
          <w:rtl/>
        </w:rPr>
        <w:t xml:space="preserve"> الـمعيب فـقط؛ </w:t>
      </w:r>
    </w:p>
    <w:p w:rsidR="00C10469" w:rsidRDefault="00C10469">
      <w:pPr>
        <w:spacing w:line="580" w:lineRule="exact"/>
        <w:ind w:firstLine="0"/>
        <w:rPr>
          <w:rtl/>
        </w:rPr>
      </w:pPr>
      <w:r>
        <w:rPr>
          <w:rFonts w:hint="cs"/>
          <w:spacing w:val="-4"/>
          <w:rtl/>
        </w:rPr>
        <w:lastRenderedPageBreak/>
        <w:t>لأن التفريق قبل</w:t>
      </w:r>
      <w:r>
        <w:rPr>
          <w:rFonts w:hint="cs"/>
          <w:spacing w:val="-4"/>
          <w:vertAlign w:val="superscript"/>
          <w:rtl/>
        </w:rPr>
        <w:t>(</w:t>
      </w:r>
      <w:r>
        <w:rPr>
          <w:rStyle w:val="a7"/>
          <w:spacing w:val="-4"/>
          <w:rtl/>
        </w:rPr>
        <w:footnoteReference w:id="2036"/>
      </w:r>
      <w:r>
        <w:rPr>
          <w:rFonts w:hint="cs"/>
          <w:spacing w:val="-4"/>
          <w:vertAlign w:val="superscript"/>
          <w:rtl/>
        </w:rPr>
        <w:t>)</w:t>
      </w:r>
      <w:r>
        <w:rPr>
          <w:rFonts w:hint="cs"/>
          <w:spacing w:val="-4"/>
          <w:rtl/>
        </w:rPr>
        <w:t xml:space="preserve"> القبض يكون بيعًا بالحصّة ابتداء فلا يجوز، والتفريق بعد القبض يكون بيعًا بالحصة بقاءً، وهو جائز»</w:t>
      </w:r>
      <w:r>
        <w:rPr>
          <w:rFonts w:hint="cs"/>
          <w:spacing w:val="-4"/>
          <w:vertAlign w:val="superscript"/>
          <w:rtl/>
        </w:rPr>
        <w:t>(</w:t>
      </w:r>
      <w:r>
        <w:rPr>
          <w:rStyle w:val="a7"/>
          <w:spacing w:val="-4"/>
          <w:rtl/>
        </w:rPr>
        <w:footnoteReference w:id="2037"/>
      </w:r>
      <w:r>
        <w:rPr>
          <w:rFonts w:hint="cs"/>
          <w:spacing w:val="-4"/>
          <w:vertAlign w:val="superscript"/>
          <w:rtl/>
        </w:rPr>
        <w:t>)</w:t>
      </w:r>
      <w:r>
        <w:rPr>
          <w:rFonts w:hint="cs"/>
          <w:spacing w:val="-4"/>
          <w:rtl/>
        </w:rPr>
        <w:t>؛ لأن «البقاء أسهل من الابتداء»، كما مرّ في باب الباء</w:t>
      </w:r>
      <w:r>
        <w:rPr>
          <w:rFonts w:hint="cs"/>
          <w:spacing w:val="-4"/>
          <w:vertAlign w:val="superscript"/>
          <w:rtl/>
        </w:rPr>
        <w:t>(</w:t>
      </w:r>
      <w:r>
        <w:rPr>
          <w:rStyle w:val="a7"/>
          <w:spacing w:val="-4"/>
          <w:rtl/>
        </w:rPr>
        <w:footnoteReference w:id="2038"/>
      </w:r>
      <w:r>
        <w:rPr>
          <w:rFonts w:hint="cs"/>
          <w:spacing w:val="-4"/>
          <w:vertAlign w:val="superscript"/>
          <w:rtl/>
        </w:rPr>
        <w:t>)</w:t>
      </w:r>
      <w:r>
        <w:rPr>
          <w:rFonts w:hint="cs"/>
          <w:spacing w:val="-4"/>
          <w:rtl/>
        </w:rPr>
        <w:t>.</w:t>
      </w:r>
    </w:p>
    <w:p w:rsidR="00C10469" w:rsidRDefault="00C10469" w:rsidP="00154F65">
      <w:pPr>
        <w:spacing w:line="580" w:lineRule="exact"/>
        <w:rPr>
          <w:rtl/>
        </w:rPr>
      </w:pPr>
      <w:r>
        <w:rPr>
          <w:rFonts w:hint="cs"/>
          <w:spacing w:val="8"/>
          <w:rtl/>
        </w:rPr>
        <w:t>وفروع هذين الأصلين كثيرة الوقوع</w:t>
      </w:r>
      <w:r>
        <w:rPr>
          <w:rStyle w:val="a7"/>
          <w:spacing w:val="8"/>
          <w:rtl/>
        </w:rPr>
        <w:footnoteReference w:id="2039"/>
      </w:r>
      <w:r>
        <w:rPr>
          <w:rFonts w:hint="cs"/>
          <w:spacing w:val="8"/>
          <w:rtl/>
        </w:rPr>
        <w:t>، وسيأتي زيادة تفصيل في باب الـلام -إن شاء الله تعالى-</w:t>
      </w:r>
      <w:r>
        <w:rPr>
          <w:rFonts w:hint="cs"/>
          <w:spacing w:val="8"/>
          <w:vertAlign w:val="superscript"/>
          <w:rtl/>
        </w:rPr>
        <w:t>(</w:t>
      </w:r>
      <w:r>
        <w:rPr>
          <w:rStyle w:val="a7"/>
          <w:spacing w:val="8"/>
          <w:rtl/>
        </w:rPr>
        <w:footnoteReference w:id="2040"/>
      </w:r>
      <w:r>
        <w:rPr>
          <w:rFonts w:hint="cs"/>
          <w:spacing w:val="8"/>
          <w:vertAlign w:val="superscript"/>
          <w:rtl/>
        </w:rPr>
        <w:t>)</w:t>
      </w:r>
      <w:r>
        <w:rPr>
          <w:rFonts w:hint="cs"/>
          <w:spacing w:val="8"/>
          <w:rtl/>
        </w:rPr>
        <w:t>.</w:t>
      </w:r>
    </w:p>
    <w:p w:rsidR="00C10469" w:rsidRDefault="00C10469">
      <w:pPr>
        <w:jc w:val="center"/>
        <w:rPr>
          <w:rFonts w:ascii="AGA Arabesque" w:hAnsi="AGA Arabesque"/>
          <w:sz w:val="50"/>
          <w:szCs w:val="50"/>
        </w:rPr>
        <w:sectPr w:rsidR="00C10469" w:rsidSect="00C10469">
          <w:headerReference w:type="default" r:id="rId138"/>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7C0547" w:rsidRDefault="00C10469">
      <w:pPr>
        <w:pStyle w:val="a9"/>
        <w:rPr>
          <w:rFonts w:cs="AL-Mateen"/>
          <w:rtl/>
        </w:rPr>
      </w:pPr>
      <w:r w:rsidRPr="007C0547">
        <w:rPr>
          <w:rFonts w:cs="AL-Mateen" w:hint="cs"/>
          <w:rtl/>
        </w:rPr>
        <w:lastRenderedPageBreak/>
        <w:t>[ الـقـاعـدة الثـانـيـة والـثـمـانـون ]</w:t>
      </w:r>
    </w:p>
    <w:p w:rsidR="00C10469" w:rsidRDefault="00C10469">
      <w:pPr>
        <w:rPr>
          <w:rtl/>
        </w:rPr>
      </w:pPr>
      <w:r>
        <w:rPr>
          <w:rFonts w:cs="Monotype Koufi" w:hint="cs"/>
          <w:rtl/>
        </w:rPr>
        <w:t>التَّقسيمُ يَقتَضِي انتفاءَ مُشَارَكَةِ كُلِّ واحدٍ [مِنْهُمَا]</w:t>
      </w:r>
      <w:r>
        <w:rPr>
          <w:rStyle w:val="a7"/>
          <w:rtl/>
        </w:rPr>
        <w:footnoteReference w:id="2041"/>
      </w:r>
      <w:r>
        <w:rPr>
          <w:rFonts w:hint="cs"/>
          <w:rtl/>
        </w:rPr>
        <w:t xml:space="preserve"> </w:t>
      </w:r>
      <w:r>
        <w:rPr>
          <w:rFonts w:cs="Monotype Koufi" w:hint="cs"/>
          <w:rtl/>
        </w:rPr>
        <w:t>عَنْ</w:t>
      </w:r>
      <w:r>
        <w:rPr>
          <w:rStyle w:val="a7"/>
          <w:rtl/>
        </w:rPr>
        <w:footnoteReference w:id="2042"/>
      </w:r>
      <w:r>
        <w:rPr>
          <w:rFonts w:hint="cs"/>
          <w:rtl/>
        </w:rPr>
        <w:t xml:space="preserve"> </w:t>
      </w:r>
      <w:r>
        <w:rPr>
          <w:rFonts w:cs="Monotype Koufi" w:hint="cs"/>
          <w:rtl/>
        </w:rPr>
        <w:t>قِسمِ صَاحِبِهِ</w:t>
      </w:r>
      <w:r>
        <w:rPr>
          <w:rFonts w:hint="cs"/>
          <w:vertAlign w:val="superscript"/>
          <w:rtl/>
        </w:rPr>
        <w:t>(</w:t>
      </w:r>
      <w:r>
        <w:rPr>
          <w:rStyle w:val="a7"/>
          <w:rtl/>
        </w:rPr>
        <w:footnoteReference w:id="2043"/>
      </w:r>
      <w:r>
        <w:rPr>
          <w:rFonts w:hint="cs"/>
          <w:vertAlign w:val="superscript"/>
          <w:rtl/>
        </w:rPr>
        <w:t>)</w:t>
      </w:r>
      <w:r>
        <w:rPr>
          <w:rFonts w:hint="cs"/>
          <w:rtl/>
        </w:rPr>
        <w:t xml:space="preserve"> :</w:t>
      </w:r>
    </w:p>
    <w:p w:rsidR="00C10469" w:rsidRDefault="00C10469" w:rsidP="00C10469">
      <w:pPr>
        <w:spacing w:line="540" w:lineRule="exact"/>
        <w:ind w:left="1131" w:hanging="394"/>
        <w:rPr>
          <w:spacing w:val="-4"/>
        </w:rPr>
      </w:pPr>
      <w:r>
        <w:rPr>
          <w:spacing w:val="-4"/>
          <w:rtl/>
        </w:rPr>
        <w:t>•</w:t>
      </w:r>
      <w:r>
        <w:rPr>
          <w:rFonts w:hint="cs"/>
          <w:spacing w:val="-4"/>
          <w:rtl/>
        </w:rPr>
        <w:t xml:space="preserve">  «قال الشافعي -رحمه الله- : إذا أقام</w:t>
      </w:r>
      <w:r>
        <w:rPr>
          <w:rStyle w:val="a7"/>
          <w:spacing w:val="-4"/>
          <w:rtl/>
        </w:rPr>
        <w:footnoteReference w:id="2044"/>
      </w:r>
      <w:r>
        <w:rPr>
          <w:rFonts w:hint="cs"/>
          <w:spacing w:val="-4"/>
          <w:rtl/>
        </w:rPr>
        <w:t xml:space="preserve"> المدّعي شاهدًا واحدًا وعجز عن إقامة</w:t>
      </w:r>
      <w:r>
        <w:rPr>
          <w:rStyle w:val="a7"/>
          <w:spacing w:val="-4"/>
          <w:rtl/>
        </w:rPr>
        <w:footnoteReference w:id="2045"/>
      </w:r>
      <w:r>
        <w:rPr>
          <w:rFonts w:hint="cs"/>
          <w:spacing w:val="-4"/>
          <w:rtl/>
        </w:rPr>
        <w:t xml:space="preserve"> شاهدٍ </w:t>
      </w:r>
      <w:r>
        <w:rPr>
          <w:rFonts w:hint="cs"/>
          <w:rtl/>
        </w:rPr>
        <w:t>آخر : فإنه يردّ</w:t>
      </w:r>
      <w:r>
        <w:rPr>
          <w:rFonts w:hint="cs"/>
          <w:spacing w:val="-4"/>
          <w:rtl/>
        </w:rPr>
        <w:t xml:space="preserve"> اليمين عليه - إنْ حلف قُضِي له بما ادعى، وإن نكل لا يُقضى له بشيء</w:t>
      </w:r>
      <w:r>
        <w:rPr>
          <w:rFonts w:hint="cs"/>
          <w:spacing w:val="-4"/>
          <w:vertAlign w:val="superscript"/>
          <w:rtl/>
        </w:rPr>
        <w:t>(</w:t>
      </w:r>
      <w:r>
        <w:rPr>
          <w:rStyle w:val="a7"/>
          <w:spacing w:val="-4"/>
          <w:rtl/>
        </w:rPr>
        <w:footnoteReference w:id="2046"/>
      </w:r>
      <w:r>
        <w:rPr>
          <w:rFonts w:hint="cs"/>
          <w:spacing w:val="-4"/>
          <w:vertAlign w:val="superscript"/>
          <w:rtl/>
        </w:rPr>
        <w:t>)</w:t>
      </w:r>
      <w:r>
        <w:rPr>
          <w:rFonts w:hint="cs"/>
          <w:spacing w:val="-4"/>
          <w:rtl/>
        </w:rPr>
        <w:t xml:space="preserve">؛ لأنّه </w:t>
      </w:r>
      <w:r>
        <w:rPr>
          <w:rFonts w:ascii="AGA Arabesque" w:hAnsi="AGA Arabesque"/>
          <w:sz w:val="36"/>
        </w:rPr>
        <w:t></w:t>
      </w:r>
      <w:r>
        <w:rPr>
          <w:rFonts w:hint="cs"/>
          <w:spacing w:val="-4"/>
          <w:rtl/>
        </w:rPr>
        <w:t xml:space="preserve"> </w:t>
      </w:r>
      <w:r>
        <w:rPr>
          <w:rFonts w:cs="DecoType Naskh Special" w:hint="cs"/>
          <w:spacing w:val="10"/>
          <w:sz w:val="34"/>
          <w:szCs w:val="34"/>
          <w:rtl/>
        </w:rPr>
        <w:t>قضى بشاهد ويمين</w:t>
      </w:r>
      <w:r>
        <w:rPr>
          <w:rFonts w:hint="cs"/>
          <w:spacing w:val="-4"/>
          <w:vertAlign w:val="superscript"/>
          <w:rtl/>
        </w:rPr>
        <w:t>(</w:t>
      </w:r>
      <w:r>
        <w:rPr>
          <w:rStyle w:val="a7"/>
          <w:spacing w:val="-4"/>
          <w:rtl/>
        </w:rPr>
        <w:footnoteReference w:id="2047"/>
      </w:r>
      <w:r>
        <w:rPr>
          <w:rFonts w:hint="cs"/>
          <w:spacing w:val="-4"/>
          <w:vertAlign w:val="superscript"/>
          <w:rtl/>
        </w:rPr>
        <w:t>)</w:t>
      </w:r>
      <w:r>
        <w:rPr>
          <w:rFonts w:hint="cs"/>
          <w:spacing w:val="-4"/>
          <w:rtl/>
        </w:rPr>
        <w:t>.</w:t>
      </w:r>
    </w:p>
    <w:p w:rsidR="00C10469" w:rsidRDefault="00C10469" w:rsidP="00C10469">
      <w:pPr>
        <w:spacing w:line="540" w:lineRule="exact"/>
        <w:ind w:left="1131" w:hanging="394"/>
        <w:rPr>
          <w:spacing w:val="10"/>
          <w:rtl/>
        </w:rPr>
      </w:pPr>
      <w:r>
        <w:rPr>
          <w:spacing w:val="10"/>
          <w:rtl/>
        </w:rPr>
        <w:t>•</w:t>
      </w:r>
      <w:r>
        <w:rPr>
          <w:rFonts w:hint="cs"/>
          <w:spacing w:val="10"/>
          <w:rtl/>
        </w:rPr>
        <w:t xml:space="preserve">  وعندنا : يُستحلف المدعى عليه فقط، ويقضى عليه بالنكول</w:t>
      </w:r>
      <w:r>
        <w:rPr>
          <w:rFonts w:hint="cs"/>
          <w:spacing w:val="10"/>
          <w:vertAlign w:val="superscript"/>
          <w:rtl/>
        </w:rPr>
        <w:t>(</w:t>
      </w:r>
      <w:r>
        <w:rPr>
          <w:rStyle w:val="a7"/>
          <w:spacing w:val="10"/>
          <w:rtl/>
        </w:rPr>
        <w:footnoteReference w:id="2048"/>
      </w:r>
      <w:r>
        <w:rPr>
          <w:rFonts w:hint="cs"/>
          <w:spacing w:val="10"/>
          <w:vertAlign w:val="superscript"/>
          <w:rtl/>
        </w:rPr>
        <w:t>)</w:t>
      </w:r>
      <w:r>
        <w:rPr>
          <w:rFonts w:hint="cs"/>
          <w:spacing w:val="10"/>
          <w:rtl/>
        </w:rPr>
        <w:t xml:space="preserve">؛ </w:t>
      </w:r>
      <w:r>
        <w:rPr>
          <w:rFonts w:hint="cs"/>
          <w:spacing w:val="10"/>
          <w:rtl/>
        </w:rPr>
        <w:lastRenderedPageBreak/>
        <w:t xml:space="preserve">لقوله </w:t>
      </w:r>
      <w:r>
        <w:rPr>
          <w:rFonts w:ascii="AGA Arabesque" w:hAnsi="AGA Arabesque"/>
          <w:sz w:val="36"/>
        </w:rPr>
        <w:t></w:t>
      </w:r>
      <w:r>
        <w:rPr>
          <w:rFonts w:hint="cs"/>
          <w:spacing w:val="10"/>
          <w:rtl/>
        </w:rPr>
        <w:t>:«</w:t>
      </w:r>
      <w:r>
        <w:rPr>
          <w:rFonts w:cs="DecoType Naskh Special" w:hint="cs"/>
          <w:spacing w:val="10"/>
          <w:sz w:val="34"/>
          <w:szCs w:val="34"/>
          <w:rtl/>
        </w:rPr>
        <w:t>البيّنةُ على المدّعي، واليمينُ [على]</w:t>
      </w:r>
      <w:r>
        <w:rPr>
          <w:rStyle w:val="a7"/>
          <w:spacing w:val="10"/>
          <w:rtl/>
        </w:rPr>
        <w:footnoteReference w:id="2049"/>
      </w:r>
      <w:r>
        <w:rPr>
          <w:rFonts w:hint="cs"/>
          <w:spacing w:val="10"/>
          <w:rtl/>
        </w:rPr>
        <w:t xml:space="preserve"> </w:t>
      </w:r>
      <w:r>
        <w:rPr>
          <w:rFonts w:cs="DecoType Naskh Special" w:hint="cs"/>
          <w:spacing w:val="10"/>
          <w:sz w:val="34"/>
          <w:szCs w:val="34"/>
          <w:rtl/>
        </w:rPr>
        <w:t>من أنكـر</w:t>
      </w:r>
      <w:r>
        <w:rPr>
          <w:rFonts w:hint="cs"/>
          <w:spacing w:val="10"/>
          <w:rtl/>
        </w:rPr>
        <w:t>»</w:t>
      </w:r>
      <w:r>
        <w:rPr>
          <w:rFonts w:hint="cs"/>
          <w:spacing w:val="10"/>
          <w:vertAlign w:val="superscript"/>
          <w:rtl/>
        </w:rPr>
        <w:t>(</w:t>
      </w:r>
      <w:r>
        <w:rPr>
          <w:rStyle w:val="a7"/>
          <w:spacing w:val="10"/>
          <w:rtl/>
        </w:rPr>
        <w:footnoteReference w:id="2050"/>
      </w:r>
      <w:r>
        <w:rPr>
          <w:rFonts w:hint="cs"/>
          <w:spacing w:val="10"/>
          <w:vertAlign w:val="superscript"/>
          <w:rtl/>
        </w:rPr>
        <w:t xml:space="preserve">) </w:t>
      </w:r>
      <w:r>
        <w:rPr>
          <w:rFonts w:hint="cs"/>
          <w:spacing w:val="10"/>
          <w:rtl/>
        </w:rPr>
        <w:t>»</w:t>
      </w:r>
      <w:r>
        <w:rPr>
          <w:rFonts w:hint="cs"/>
          <w:spacing w:val="10"/>
          <w:vertAlign w:val="superscript"/>
          <w:rtl/>
        </w:rPr>
        <w:t>(</w:t>
      </w:r>
      <w:r>
        <w:rPr>
          <w:rStyle w:val="a7"/>
          <w:spacing w:val="10"/>
          <w:rtl/>
        </w:rPr>
        <w:footnoteReference w:id="2051"/>
      </w:r>
      <w:r>
        <w:rPr>
          <w:rFonts w:hint="cs"/>
          <w:spacing w:val="10"/>
          <w:vertAlign w:val="superscript"/>
          <w:rtl/>
        </w:rPr>
        <w:t>)</w:t>
      </w:r>
      <w:r>
        <w:rPr>
          <w:rFonts w:hint="cs"/>
          <w:spacing w:val="10"/>
          <w:rtl/>
        </w:rPr>
        <w:t>.</w:t>
      </w:r>
    </w:p>
    <w:p w:rsidR="00C10469" w:rsidRDefault="00C10469" w:rsidP="00C10469">
      <w:pPr>
        <w:ind w:left="1287" w:firstLine="0"/>
        <w:rPr>
          <w:rtl/>
        </w:rPr>
      </w:pPr>
      <w:r>
        <w:rPr>
          <w:rFonts w:hint="cs"/>
          <w:rtl/>
        </w:rPr>
        <w:t xml:space="preserve">فإنّه </w:t>
      </w:r>
      <w:r>
        <w:rPr>
          <w:rFonts w:ascii="AGA Arabesque" w:hAnsi="AGA Arabesque"/>
          <w:sz w:val="36"/>
        </w:rPr>
        <w:t></w:t>
      </w:r>
      <w:r>
        <w:rPr>
          <w:rFonts w:hint="cs"/>
          <w:rtl/>
        </w:rPr>
        <w:t xml:space="preserve"> قسَّم البيّنة والأيمان بينهما، فلا يشترك أحد منهما</w:t>
      </w:r>
      <w:r>
        <w:rPr>
          <w:rStyle w:val="a7"/>
          <w:rtl/>
        </w:rPr>
        <w:footnoteReference w:id="2052"/>
      </w:r>
      <w:r>
        <w:rPr>
          <w:rFonts w:hint="cs"/>
          <w:rtl/>
        </w:rPr>
        <w:t xml:space="preserve"> في قسم صاحبه؛ على مقتضى هذا الأصل.</w:t>
      </w:r>
    </w:p>
    <w:p w:rsidR="00C10469" w:rsidRDefault="00C10469">
      <w:pPr>
        <w:rPr>
          <w:spacing w:val="-10"/>
          <w:rtl/>
        </w:rPr>
      </w:pPr>
      <w:r>
        <w:rPr>
          <w:rFonts w:hint="cs"/>
          <w:b/>
          <w:bCs/>
          <w:spacing w:val="-10"/>
          <w:rtl/>
        </w:rPr>
        <w:t>والجواب</w:t>
      </w:r>
      <w:r>
        <w:rPr>
          <w:rFonts w:hint="cs"/>
          <w:spacing w:val="-10"/>
          <w:rtl/>
        </w:rPr>
        <w:t xml:space="preserve"> عن حديث الشاهد واليمين: «أنّه غريب</w:t>
      </w:r>
      <w:r>
        <w:rPr>
          <w:rFonts w:hint="cs"/>
          <w:spacing w:val="-10"/>
          <w:vertAlign w:val="superscript"/>
          <w:rtl/>
        </w:rPr>
        <w:t>(</w:t>
      </w:r>
      <w:r>
        <w:rPr>
          <w:rStyle w:val="a7"/>
          <w:spacing w:val="-10"/>
          <w:rtl/>
        </w:rPr>
        <w:footnoteReference w:id="2053"/>
      </w:r>
      <w:r>
        <w:rPr>
          <w:rFonts w:hint="cs"/>
          <w:spacing w:val="-10"/>
          <w:vertAlign w:val="superscript"/>
          <w:rtl/>
        </w:rPr>
        <w:t>)</w:t>
      </w:r>
      <w:r>
        <w:rPr>
          <w:rFonts w:hint="cs"/>
          <w:spacing w:val="-10"/>
          <w:rtl/>
        </w:rPr>
        <w:t>، وما روى أصحابُنا</w:t>
      </w:r>
      <w:r>
        <w:rPr>
          <w:rFonts w:hint="cs"/>
          <w:spacing w:val="-10"/>
          <w:vertAlign w:val="superscript"/>
          <w:rtl/>
        </w:rPr>
        <w:t>(</w:t>
      </w:r>
      <w:r>
        <w:rPr>
          <w:rStyle w:val="a7"/>
          <w:spacing w:val="-10"/>
          <w:rtl/>
        </w:rPr>
        <w:footnoteReference w:id="2054"/>
      </w:r>
      <w:r>
        <w:rPr>
          <w:rFonts w:hint="cs"/>
          <w:spacing w:val="-10"/>
          <w:vertAlign w:val="superscript"/>
          <w:rtl/>
        </w:rPr>
        <w:t>)</w:t>
      </w:r>
      <w:r>
        <w:rPr>
          <w:rFonts w:hint="cs"/>
          <w:spacing w:val="-10"/>
          <w:rtl/>
        </w:rPr>
        <w:t xml:space="preserve"> مشهور</w:t>
      </w:r>
      <w:r>
        <w:rPr>
          <w:rFonts w:hint="cs"/>
          <w:spacing w:val="-10"/>
          <w:vertAlign w:val="superscript"/>
          <w:rtl/>
        </w:rPr>
        <w:t>(</w:t>
      </w:r>
      <w:r>
        <w:rPr>
          <w:rStyle w:val="a7"/>
          <w:spacing w:val="-10"/>
          <w:rtl/>
        </w:rPr>
        <w:footnoteReference w:id="2055"/>
      </w:r>
      <w:r>
        <w:rPr>
          <w:rFonts w:hint="cs"/>
          <w:spacing w:val="-10"/>
          <w:vertAlign w:val="superscript"/>
          <w:rtl/>
        </w:rPr>
        <w:t>)</w:t>
      </w:r>
      <w:r>
        <w:rPr>
          <w:rFonts w:hint="cs"/>
          <w:spacing w:val="-10"/>
          <w:rtl/>
        </w:rPr>
        <w:t xml:space="preserve"> </w:t>
      </w:r>
    </w:p>
    <w:p w:rsidR="00C10469" w:rsidRDefault="00C10469">
      <w:pPr>
        <w:ind w:firstLine="0"/>
        <w:rPr>
          <w:rtl/>
        </w:rPr>
      </w:pPr>
      <w:r>
        <w:rPr>
          <w:rFonts w:hint="cs"/>
          <w:rtl/>
        </w:rPr>
        <w:lastRenderedPageBreak/>
        <w:t>[تلقاه]</w:t>
      </w:r>
      <w:r>
        <w:rPr>
          <w:rStyle w:val="a7"/>
          <w:rtl/>
        </w:rPr>
        <w:footnoteReference w:id="2056"/>
      </w:r>
      <w:r>
        <w:rPr>
          <w:rFonts w:hint="cs"/>
          <w:rtl/>
        </w:rPr>
        <w:t xml:space="preserve"> الأئمة بالقبول، حتى صار في [حيِّز]</w:t>
      </w:r>
      <w:r>
        <w:rPr>
          <w:rStyle w:val="a7"/>
          <w:rtl/>
        </w:rPr>
        <w:footnoteReference w:id="2057"/>
      </w:r>
      <w:r>
        <w:rPr>
          <w:rFonts w:hint="cs"/>
          <w:rtl/>
        </w:rPr>
        <w:t xml:space="preserve"> التواتر، فلا يعارض.</w:t>
      </w:r>
    </w:p>
    <w:p w:rsidR="00C10469" w:rsidRDefault="00C10469">
      <w:pPr>
        <w:rPr>
          <w:rtl/>
        </w:rPr>
      </w:pPr>
      <w:r>
        <w:rPr>
          <w:rFonts w:hint="cs"/>
          <w:rtl/>
        </w:rPr>
        <w:t>على أنَّ يحي بن معين</w:t>
      </w:r>
      <w:r>
        <w:rPr>
          <w:rFonts w:hint="cs"/>
          <w:vertAlign w:val="superscript"/>
          <w:rtl/>
        </w:rPr>
        <w:t>(</w:t>
      </w:r>
      <w:r>
        <w:rPr>
          <w:rStyle w:val="a7"/>
          <w:rtl/>
        </w:rPr>
        <w:footnoteReference w:id="2058"/>
      </w:r>
      <w:r>
        <w:rPr>
          <w:rFonts w:hint="cs"/>
          <w:vertAlign w:val="superscript"/>
          <w:rtl/>
        </w:rPr>
        <w:t>)</w:t>
      </w:r>
      <w:r>
        <w:rPr>
          <w:rFonts w:hint="cs"/>
          <w:rtl/>
        </w:rPr>
        <w:t xml:space="preserve"> قد ردّه</w:t>
      </w:r>
      <w:r>
        <w:rPr>
          <w:rFonts w:hint="cs"/>
          <w:vertAlign w:val="superscript"/>
          <w:rtl/>
        </w:rPr>
        <w:t>(</w:t>
      </w:r>
      <w:r>
        <w:rPr>
          <w:rStyle w:val="a7"/>
          <w:rtl/>
        </w:rPr>
        <w:footnoteReference w:id="2059"/>
      </w:r>
      <w:r>
        <w:rPr>
          <w:rFonts w:hint="cs"/>
          <w:vertAlign w:val="superscript"/>
          <w:rtl/>
        </w:rPr>
        <w:t>)</w:t>
      </w:r>
      <w:r>
        <w:rPr>
          <w:rFonts w:hint="cs"/>
          <w:rtl/>
        </w:rPr>
        <w:t>»</w:t>
      </w:r>
      <w:r>
        <w:rPr>
          <w:rFonts w:hint="cs"/>
          <w:vertAlign w:val="superscript"/>
          <w:rtl/>
        </w:rPr>
        <w:t>(</w:t>
      </w:r>
      <w:r>
        <w:rPr>
          <w:rStyle w:val="a7"/>
          <w:rtl/>
        </w:rPr>
        <w:footnoteReference w:id="2060"/>
      </w:r>
      <w:r>
        <w:rPr>
          <w:rFonts w:hint="cs"/>
          <w:vertAlign w:val="superscript"/>
          <w:rtl/>
        </w:rPr>
        <w:t>)</w:t>
      </w:r>
      <w:r>
        <w:rPr>
          <w:rFonts w:hint="cs"/>
          <w:rtl/>
        </w:rPr>
        <w:t>.</w:t>
      </w:r>
    </w:p>
    <w:p w:rsidR="00C10469" w:rsidRDefault="00C10469" w:rsidP="00154F65">
      <w:pPr>
        <w:rPr>
          <w:rtl/>
        </w:rPr>
      </w:pPr>
      <w:r>
        <w:rPr>
          <w:rFonts w:hint="cs"/>
          <w:rtl/>
        </w:rPr>
        <w:t>كذا في (الكافي)</w:t>
      </w:r>
      <w:r>
        <w:rPr>
          <w:rFonts w:hint="cs"/>
          <w:vertAlign w:val="superscript"/>
          <w:rtl/>
        </w:rPr>
        <w:t>(</w:t>
      </w:r>
      <w:r>
        <w:rPr>
          <w:rStyle w:val="a7"/>
          <w:rtl/>
        </w:rPr>
        <w:footnoteReference w:id="2061"/>
      </w:r>
      <w:r>
        <w:rPr>
          <w:rFonts w:hint="cs"/>
          <w:vertAlign w:val="superscript"/>
          <w:rtl/>
        </w:rPr>
        <w:t>)</w:t>
      </w:r>
      <w:r>
        <w:rPr>
          <w:rFonts w:hint="cs"/>
          <w:rtl/>
        </w:rPr>
        <w:t>.</w:t>
      </w: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3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64B6B" w:rsidRDefault="00C10469">
      <w:pPr>
        <w:pStyle w:val="a9"/>
        <w:rPr>
          <w:rFonts w:cs="AL-Mateen"/>
          <w:rtl/>
        </w:rPr>
      </w:pPr>
      <w:r w:rsidRPr="00764B6B">
        <w:rPr>
          <w:rFonts w:cs="AL-Mateen" w:hint="cs"/>
          <w:rtl/>
        </w:rPr>
        <w:lastRenderedPageBreak/>
        <w:t>[ الـقـاعـدة الـثـالـثـة والـثـمـانـون ]</w:t>
      </w:r>
    </w:p>
    <w:p w:rsidR="00C10469" w:rsidRDefault="00C10469">
      <w:pPr>
        <w:rPr>
          <w:rtl/>
        </w:rPr>
      </w:pPr>
      <w:r>
        <w:rPr>
          <w:rFonts w:cs="Monotype Koufi" w:hint="cs"/>
          <w:rtl/>
        </w:rPr>
        <w:t>التَّقريرُ</w:t>
      </w:r>
      <w:r>
        <w:rPr>
          <w:rStyle w:val="a7"/>
          <w:rtl/>
        </w:rPr>
        <w:footnoteReference w:id="2062"/>
      </w:r>
      <w:r>
        <w:rPr>
          <w:rFonts w:hint="cs"/>
          <w:rtl/>
        </w:rPr>
        <w:t xml:space="preserve"> </w:t>
      </w:r>
      <w:r>
        <w:rPr>
          <w:rFonts w:cs="Monotype Koufi" w:hint="cs"/>
          <w:rtl/>
        </w:rPr>
        <w:t>أَحَدُ وُجُوهِ السُّنَّةِ</w:t>
      </w:r>
      <w:r>
        <w:rPr>
          <w:rFonts w:hint="cs"/>
          <w:vertAlign w:val="superscript"/>
          <w:rtl/>
        </w:rPr>
        <w:t>(</w:t>
      </w:r>
      <w:r>
        <w:rPr>
          <w:rStyle w:val="a7"/>
          <w:rtl/>
        </w:rPr>
        <w:footnoteReference w:id="2063"/>
      </w:r>
      <w:r>
        <w:rPr>
          <w:rFonts w:hint="cs"/>
          <w:vertAlign w:val="superscript"/>
          <w:rtl/>
        </w:rPr>
        <w:t>)</w:t>
      </w:r>
      <w:r>
        <w:rPr>
          <w:rFonts w:hint="cs"/>
          <w:rtl/>
        </w:rPr>
        <w:t xml:space="preserve"> :</w:t>
      </w:r>
    </w:p>
    <w:p w:rsidR="00C10469" w:rsidRDefault="00C10469">
      <w:pPr>
        <w:rPr>
          <w:rtl/>
        </w:rPr>
      </w:pPr>
      <w:r>
        <w:rPr>
          <w:rFonts w:hint="cs"/>
          <w:rtl/>
        </w:rPr>
        <w:t>فإنّ</w:t>
      </w:r>
      <w:r>
        <w:rPr>
          <w:rStyle w:val="a7"/>
          <w:rtl/>
        </w:rPr>
        <w:footnoteReference w:id="2064"/>
      </w:r>
      <w:r>
        <w:rPr>
          <w:rFonts w:hint="cs"/>
          <w:rtl/>
        </w:rPr>
        <w:t xml:space="preserve"> النبي </w:t>
      </w:r>
      <w:r>
        <w:rPr>
          <w:rFonts w:ascii="AGA Arabesque" w:hAnsi="AGA Arabesque"/>
          <w:sz w:val="36"/>
        </w:rPr>
        <w:t></w:t>
      </w:r>
      <w:r>
        <w:rPr>
          <w:rFonts w:hint="cs"/>
          <w:rtl/>
        </w:rPr>
        <w:t xml:space="preserve"> لما بُعث والناس على أمر، فقرَّرهم عليه، ولم ينههم عنه : يكون</w:t>
      </w:r>
      <w:r>
        <w:rPr>
          <w:rStyle w:val="a7"/>
          <w:rtl/>
        </w:rPr>
        <w:footnoteReference w:id="2065"/>
      </w:r>
      <w:r>
        <w:rPr>
          <w:rFonts w:hint="cs"/>
          <w:rtl/>
        </w:rPr>
        <w:t xml:space="preserve"> هذا الأمر مشروعًا.</w:t>
      </w:r>
    </w:p>
    <w:p w:rsidR="00C10469" w:rsidRDefault="00C10469">
      <w:pPr>
        <w:rPr>
          <w:rtl/>
        </w:rPr>
      </w:pPr>
      <w:r>
        <w:rPr>
          <w:rFonts w:hint="cs"/>
          <w:rtl/>
        </w:rPr>
        <w:t>وهذا الأصل</w:t>
      </w:r>
      <w:r>
        <w:rPr>
          <w:rStyle w:val="a7"/>
          <w:rtl/>
        </w:rPr>
        <w:footnoteReference w:id="2066"/>
      </w:r>
      <w:r>
        <w:rPr>
          <w:rFonts w:hint="cs"/>
          <w:rtl/>
        </w:rPr>
        <w:t xml:space="preserve"> يكون دليلاً في كثير من الأحكام الشرعيّة.</w:t>
      </w:r>
    </w:p>
    <w:p w:rsidR="00C10469" w:rsidRDefault="00C10469">
      <w:pPr>
        <w:rPr>
          <w:rtl/>
        </w:rPr>
      </w:pPr>
    </w:p>
    <w:p w:rsidR="00C10469" w:rsidRPr="00D015AE"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4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7589A" w:rsidRDefault="00C10469">
      <w:pPr>
        <w:pStyle w:val="a9"/>
        <w:rPr>
          <w:rFonts w:cs="AL-Mateen"/>
          <w:rtl/>
        </w:rPr>
      </w:pPr>
      <w:r w:rsidRPr="0037589A">
        <w:rPr>
          <w:rFonts w:cs="AL-Mateen" w:hint="cs"/>
          <w:rtl/>
        </w:rPr>
        <w:lastRenderedPageBreak/>
        <w:t>[ الـقـاعـدة الـرابـعـة والـثـمانـون ]</w:t>
      </w:r>
    </w:p>
    <w:p w:rsidR="00C10469" w:rsidRDefault="00C10469">
      <w:pPr>
        <w:rPr>
          <w:spacing w:val="-14"/>
          <w:rtl/>
        </w:rPr>
      </w:pPr>
      <w:r>
        <w:rPr>
          <w:rFonts w:cs="Monotype Koufi" w:hint="cs"/>
          <w:spacing w:val="-14"/>
          <w:rtl/>
        </w:rPr>
        <w:t>تَقْدِيْرُ</w:t>
      </w:r>
      <w:r>
        <w:rPr>
          <w:rStyle w:val="a7"/>
          <w:spacing w:val="-14"/>
          <w:rtl/>
        </w:rPr>
        <w:footnoteReference w:id="2067"/>
      </w:r>
      <w:r>
        <w:rPr>
          <w:rFonts w:hint="cs"/>
          <w:spacing w:val="-14"/>
          <w:rtl/>
        </w:rPr>
        <w:t xml:space="preserve"> </w:t>
      </w:r>
      <w:r>
        <w:rPr>
          <w:rFonts w:cs="Monotype Koufi" w:hint="cs"/>
          <w:spacing w:val="-14"/>
          <w:rtl/>
        </w:rPr>
        <w:t>الشَّرعِ [أَوْلَى]</w:t>
      </w:r>
      <w:r>
        <w:rPr>
          <w:rStyle w:val="a7"/>
          <w:spacing w:val="-14"/>
          <w:rtl/>
        </w:rPr>
        <w:footnoteReference w:id="2068"/>
      </w:r>
      <w:r>
        <w:rPr>
          <w:rFonts w:hint="cs"/>
          <w:spacing w:val="-14"/>
          <w:rtl/>
        </w:rPr>
        <w:t xml:space="preserve"> </w:t>
      </w:r>
      <w:r>
        <w:rPr>
          <w:rFonts w:cs="Monotype Koufi" w:hint="cs"/>
          <w:spacing w:val="-14"/>
          <w:rtl/>
        </w:rPr>
        <w:t>مِنْ تقدِيرِ</w:t>
      </w:r>
      <w:r>
        <w:rPr>
          <w:rStyle w:val="a7"/>
          <w:spacing w:val="-14"/>
          <w:rtl/>
        </w:rPr>
        <w:footnoteReference w:id="2069"/>
      </w:r>
      <w:r>
        <w:rPr>
          <w:rFonts w:hint="cs"/>
          <w:spacing w:val="-14"/>
          <w:rtl/>
        </w:rPr>
        <w:t xml:space="preserve"> </w:t>
      </w:r>
      <w:r>
        <w:rPr>
          <w:rFonts w:cs="Monotype Koufi" w:hint="cs"/>
          <w:spacing w:val="-14"/>
          <w:rtl/>
        </w:rPr>
        <w:t>القاضِي، فَلاَ يَجُوزُ الزِّيادةُ عليهِ</w:t>
      </w:r>
      <w:r>
        <w:rPr>
          <w:rFonts w:hint="cs"/>
          <w:spacing w:val="-14"/>
          <w:vertAlign w:val="superscript"/>
          <w:rtl/>
        </w:rPr>
        <w:t>(</w:t>
      </w:r>
      <w:r>
        <w:rPr>
          <w:rStyle w:val="a7"/>
          <w:spacing w:val="-14"/>
          <w:rtl/>
        </w:rPr>
        <w:footnoteReference w:id="2070"/>
      </w:r>
      <w:r>
        <w:rPr>
          <w:rFonts w:hint="cs"/>
          <w:spacing w:val="-14"/>
          <w:vertAlign w:val="superscript"/>
          <w:rtl/>
        </w:rPr>
        <w:t>)</w:t>
      </w:r>
      <w:r>
        <w:rPr>
          <w:rFonts w:hint="cs"/>
          <w:spacing w:val="-14"/>
          <w:rtl/>
        </w:rPr>
        <w:t>:</w:t>
      </w:r>
    </w:p>
    <w:p w:rsidR="00C10469" w:rsidRDefault="00C10469">
      <w:pPr>
        <w:rPr>
          <w:rtl/>
        </w:rPr>
      </w:pPr>
      <w:r>
        <w:rPr>
          <w:rFonts w:hint="cs"/>
          <w:b/>
          <w:bCs/>
          <w:rtl/>
        </w:rPr>
        <w:t>ولذا</w:t>
      </w:r>
      <w:r>
        <w:rPr>
          <w:rFonts w:hint="cs"/>
          <w:rtl/>
        </w:rPr>
        <w:t xml:space="preserve"> : إذا كان العبد «بين رجلين، وأعتقه</w:t>
      </w:r>
      <w:r>
        <w:rPr>
          <w:rStyle w:val="a7"/>
          <w:rtl/>
        </w:rPr>
        <w:footnoteReference w:id="2071"/>
      </w:r>
      <w:r>
        <w:rPr>
          <w:rFonts w:hint="cs"/>
          <w:rtl/>
        </w:rPr>
        <w:t xml:space="preserve"> أحدهما وهو موسر، فصالح عن باقيهِ بأكثر</w:t>
      </w:r>
      <w:r>
        <w:rPr>
          <w:rStyle w:val="a7"/>
          <w:rtl/>
        </w:rPr>
        <w:footnoteReference w:id="2072"/>
      </w:r>
      <w:r>
        <w:rPr>
          <w:rFonts w:hint="cs"/>
          <w:rtl/>
        </w:rPr>
        <w:t xml:space="preserve"> من نصف قيمته : بطل الفضل اتفاقًا؛ لأن القيمة في العتق منصوص </w:t>
      </w:r>
      <w:r>
        <w:rPr>
          <w:rFonts w:hint="cs"/>
          <w:rtl/>
        </w:rPr>
        <w:lastRenderedPageBreak/>
        <w:t>عليه</w:t>
      </w:r>
      <w:r>
        <w:rPr>
          <w:rFonts w:hint="cs"/>
          <w:vertAlign w:val="superscript"/>
          <w:rtl/>
        </w:rPr>
        <w:t>(</w:t>
      </w:r>
      <w:r>
        <w:rPr>
          <w:rStyle w:val="a7"/>
          <w:rtl/>
        </w:rPr>
        <w:footnoteReference w:id="2073"/>
      </w:r>
      <w:r>
        <w:rPr>
          <w:rFonts w:hint="cs"/>
          <w:vertAlign w:val="superscript"/>
          <w:rtl/>
        </w:rPr>
        <w:t>)</w:t>
      </w:r>
      <w:r>
        <w:rPr>
          <w:rFonts w:hint="cs"/>
          <w:rtl/>
        </w:rPr>
        <w:t>، فلا يجوز</w:t>
      </w:r>
      <w:r>
        <w:rPr>
          <w:rStyle w:val="a7"/>
          <w:rtl/>
        </w:rPr>
        <w:footnoteReference w:id="2074"/>
      </w:r>
      <w:r>
        <w:rPr>
          <w:rFonts w:hint="cs"/>
          <w:rtl/>
        </w:rPr>
        <w:t xml:space="preserve"> الزيادة عليه»</w:t>
      </w:r>
      <w:r>
        <w:rPr>
          <w:rFonts w:hint="cs"/>
          <w:vertAlign w:val="superscript"/>
          <w:rtl/>
        </w:rPr>
        <w:t>(</w:t>
      </w:r>
      <w:r>
        <w:rPr>
          <w:rStyle w:val="a7"/>
          <w:rtl/>
        </w:rPr>
        <w:footnoteReference w:id="2075"/>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 الأصل : ما لو صالـح [عـن]</w:t>
      </w:r>
      <w:r>
        <w:rPr>
          <w:rStyle w:val="a7"/>
          <w:rtl/>
        </w:rPr>
        <w:footnoteReference w:id="2076"/>
      </w:r>
      <w:r>
        <w:rPr>
          <w:rFonts w:hint="cs"/>
          <w:rtl/>
        </w:rPr>
        <w:t xml:space="preserve"> مغـصوب تلف بأكثر من قيمته : صحّ عند أبي حنيفة، مع أن القيمةَ في مـغـصوبٍ تلف منصوصٌ عليه</w:t>
      </w:r>
      <w:r>
        <w:rPr>
          <w:rFonts w:hint="cs"/>
          <w:vertAlign w:val="superscript"/>
          <w:rtl/>
        </w:rPr>
        <w:t>(</w:t>
      </w:r>
      <w:r>
        <w:rPr>
          <w:rStyle w:val="a7"/>
          <w:rtl/>
        </w:rPr>
        <w:footnoteReference w:id="2077"/>
      </w:r>
      <w:r>
        <w:rPr>
          <w:rFonts w:hint="cs"/>
          <w:vertAlign w:val="superscript"/>
          <w:rtl/>
        </w:rPr>
        <w:t>)</w:t>
      </w:r>
      <w:r>
        <w:rPr>
          <w:rFonts w:hint="cs"/>
          <w:rtl/>
        </w:rPr>
        <w:t>، ومع هذا جاز الزيادة عليه</w:t>
      </w:r>
      <w:r>
        <w:rPr>
          <w:rFonts w:hint="cs"/>
          <w:vertAlign w:val="superscript"/>
          <w:rtl/>
        </w:rPr>
        <w:t>(</w:t>
      </w:r>
      <w:r>
        <w:rPr>
          <w:rStyle w:val="a7"/>
          <w:rtl/>
        </w:rPr>
        <w:footnoteReference w:id="2078"/>
      </w:r>
      <w:r>
        <w:rPr>
          <w:rFonts w:hint="cs"/>
          <w:vertAlign w:val="superscript"/>
          <w:rtl/>
        </w:rPr>
        <w:t>)</w:t>
      </w:r>
      <w:r>
        <w:rPr>
          <w:rFonts w:hint="cs"/>
          <w:rtl/>
        </w:rPr>
        <w:t>!.</w:t>
      </w:r>
    </w:p>
    <w:p w:rsidR="00C10469" w:rsidRDefault="00C10469">
      <w:pPr>
        <w:rPr>
          <w:rtl/>
        </w:rPr>
      </w:pPr>
      <w:r>
        <w:rPr>
          <w:rFonts w:hint="cs"/>
          <w:b/>
          <w:bCs/>
          <w:rtl/>
        </w:rPr>
        <w:t>والجواب</w:t>
      </w:r>
      <w:r>
        <w:rPr>
          <w:rFonts w:hint="cs"/>
          <w:rtl/>
        </w:rPr>
        <w:t xml:space="preserve"> : أن «حقَّ المغصوب منه في الهالك باقٍ ما لم يحكم القاضي بالضمان، حتى إذا ترك التضمين بقي العبد هالكًا على ملكه، حتى يكون الكفن</w:t>
      </w:r>
      <w:r>
        <w:rPr>
          <w:rStyle w:val="a7"/>
          <w:rtl/>
        </w:rPr>
        <w:footnoteReference w:id="2079"/>
      </w:r>
      <w:r>
        <w:rPr>
          <w:rFonts w:hint="cs"/>
          <w:rtl/>
        </w:rPr>
        <w:t xml:space="preserve"> </w:t>
      </w:r>
      <w:r>
        <w:rPr>
          <w:rFonts w:hint="cs"/>
          <w:rtl/>
        </w:rPr>
        <w:lastRenderedPageBreak/>
        <w:t>عليه، فالاعتياض</w:t>
      </w:r>
      <w:r>
        <w:rPr>
          <w:rFonts w:hint="cs"/>
          <w:vertAlign w:val="superscript"/>
          <w:rtl/>
        </w:rPr>
        <w:t>(</w:t>
      </w:r>
      <w:r>
        <w:rPr>
          <w:rStyle w:val="a7"/>
          <w:rtl/>
        </w:rPr>
        <w:footnoteReference w:id="2080"/>
      </w:r>
      <w:r>
        <w:rPr>
          <w:rFonts w:hint="cs"/>
          <w:vertAlign w:val="superscript"/>
          <w:rtl/>
        </w:rPr>
        <w:t>)</w:t>
      </w:r>
      <w:r>
        <w:rPr>
          <w:rFonts w:hint="cs"/>
          <w:rtl/>
        </w:rPr>
        <w:t xml:space="preserve"> بأكثر من قيمته</w:t>
      </w:r>
      <w:r>
        <w:rPr>
          <w:rFonts w:hint="cs"/>
          <w:vertAlign w:val="superscript"/>
          <w:rtl/>
        </w:rPr>
        <w:t>(</w:t>
      </w:r>
      <w:r>
        <w:rPr>
          <w:rStyle w:val="a7"/>
          <w:rtl/>
        </w:rPr>
        <w:footnoteReference w:id="2081"/>
      </w:r>
      <w:r>
        <w:rPr>
          <w:rFonts w:hint="cs"/>
          <w:vertAlign w:val="superscript"/>
          <w:rtl/>
        </w:rPr>
        <w:t>)</w:t>
      </w:r>
      <w:r>
        <w:rPr>
          <w:rFonts w:hint="cs"/>
          <w:rtl/>
        </w:rPr>
        <w:t xml:space="preserve"> يكون في مقابلة الصورة الباقية حكمًا لا القيمة، حتى لو قضى القاضي بالقيمة، ثم [تصالحا]</w:t>
      </w:r>
      <w:r>
        <w:rPr>
          <w:rStyle w:val="a7"/>
          <w:rtl/>
        </w:rPr>
        <w:footnoteReference w:id="2082"/>
      </w:r>
      <w:r>
        <w:rPr>
          <w:rFonts w:hint="cs"/>
          <w:rtl/>
        </w:rPr>
        <w:t xml:space="preserve"> على [الأكثر من]</w:t>
      </w:r>
      <w:r>
        <w:rPr>
          <w:rStyle w:val="a7"/>
          <w:rtl/>
        </w:rPr>
        <w:footnoteReference w:id="2083"/>
      </w:r>
      <w:r>
        <w:rPr>
          <w:rFonts w:hint="cs"/>
          <w:rtl/>
        </w:rPr>
        <w:t xml:space="preserve"> قيمة المغصوب : لا يجوز؛ لأن الحقّ قد انتقل بالقضاء إلى القيمة»</w:t>
      </w:r>
      <w:r>
        <w:rPr>
          <w:rFonts w:hint="cs"/>
          <w:vertAlign w:val="superscript"/>
          <w:rtl/>
        </w:rPr>
        <w:t>(</w:t>
      </w:r>
      <w:r>
        <w:rPr>
          <w:rStyle w:val="a7"/>
          <w:rtl/>
        </w:rPr>
        <w:footnoteReference w:id="2084"/>
      </w:r>
      <w:r>
        <w:rPr>
          <w:rFonts w:hint="cs"/>
          <w:vertAlign w:val="superscript"/>
          <w:rtl/>
        </w:rPr>
        <w:t>)</w:t>
      </w:r>
      <w:r>
        <w:rPr>
          <w:rFonts w:hint="cs"/>
          <w:rtl/>
        </w:rPr>
        <w:t>.</w:t>
      </w:r>
    </w:p>
    <w:p w:rsidR="00C10469" w:rsidRDefault="00C10469">
      <w:pPr>
        <w:jc w:val="center"/>
        <w:rPr>
          <w:rFonts w:ascii="AGA Arabesque" w:hAnsi="AGA Arabesque"/>
          <w:sz w:val="50"/>
          <w:szCs w:val="50"/>
        </w:rPr>
        <w:sectPr w:rsidR="00C10469" w:rsidSect="00C10469">
          <w:headerReference w:type="default" r:id="rId14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9035A0" w:rsidRDefault="00C10469">
      <w:pPr>
        <w:pStyle w:val="a9"/>
        <w:rPr>
          <w:rFonts w:cs="AL-Mateen"/>
          <w:rtl/>
          <w:lang w:val="en-US"/>
        </w:rPr>
      </w:pPr>
      <w:r w:rsidRPr="009035A0">
        <w:rPr>
          <w:rFonts w:cs="AL-Mateen" w:hint="cs"/>
          <w:rtl/>
          <w:lang w:val="en-US"/>
        </w:rPr>
        <w:lastRenderedPageBreak/>
        <w:t>[ الـقـاعـدة الـخـامـسـة والـثـمـانـون ]</w:t>
      </w:r>
    </w:p>
    <w:p w:rsidR="00C10469" w:rsidRDefault="00C10469">
      <w:pPr>
        <w:rPr>
          <w:rtl/>
        </w:rPr>
      </w:pPr>
      <w:r>
        <w:rPr>
          <w:rFonts w:cs="Monotype Koufi" w:hint="cs"/>
          <w:rtl/>
        </w:rPr>
        <w:t>التَّكليفُ بِحسبِ الوُسْعِ</w:t>
      </w:r>
      <w:r>
        <w:rPr>
          <w:rFonts w:hint="cs"/>
          <w:vertAlign w:val="superscript"/>
          <w:rtl/>
        </w:rPr>
        <w:t>(</w:t>
      </w:r>
      <w:r>
        <w:rPr>
          <w:rStyle w:val="a7"/>
          <w:rtl/>
        </w:rPr>
        <w:footnoteReference w:id="2085"/>
      </w:r>
      <w:r>
        <w:rPr>
          <w:rFonts w:hint="cs"/>
          <w:vertAlign w:val="superscript"/>
          <w:rtl/>
        </w:rPr>
        <w:t>)</w:t>
      </w:r>
      <w:r>
        <w:rPr>
          <w:rFonts w:hint="cs"/>
          <w:rtl/>
        </w:rPr>
        <w:t xml:space="preserve"> :</w:t>
      </w:r>
    </w:p>
    <w:p w:rsidR="00C10469" w:rsidRDefault="00C10469">
      <w:pPr>
        <w:rPr>
          <w:rtl/>
        </w:rPr>
      </w:pPr>
      <w:r>
        <w:rPr>
          <w:rFonts w:hint="cs"/>
          <w:b/>
          <w:bCs/>
          <w:rtl/>
        </w:rPr>
        <w:lastRenderedPageBreak/>
        <w:t>ولهذا :</w:t>
      </w:r>
      <w:r>
        <w:rPr>
          <w:rFonts w:hint="cs"/>
          <w:rtl/>
        </w:rPr>
        <w:t xml:space="preserve"> يجب استقبال عين [البيت للمكي]</w:t>
      </w:r>
      <w:r>
        <w:rPr>
          <w:rStyle w:val="a7"/>
          <w:rtl/>
        </w:rPr>
        <w:footnoteReference w:id="2086"/>
      </w:r>
      <w:r>
        <w:rPr>
          <w:rFonts w:hint="cs"/>
          <w:rtl/>
        </w:rPr>
        <w:t>، واستقبال جهته للآفاقي</w:t>
      </w:r>
      <w:r>
        <w:rPr>
          <w:rFonts w:hint="cs"/>
          <w:vertAlign w:val="superscript"/>
          <w:rtl/>
        </w:rPr>
        <w:t>(</w:t>
      </w:r>
      <w:r>
        <w:rPr>
          <w:rStyle w:val="a7"/>
          <w:rtl/>
        </w:rPr>
        <w:footnoteReference w:id="2087"/>
      </w:r>
      <w:r>
        <w:rPr>
          <w:rFonts w:hint="cs"/>
          <w:vertAlign w:val="superscript"/>
          <w:rtl/>
        </w:rPr>
        <w:t>)</w:t>
      </w:r>
      <w:r>
        <w:rPr>
          <w:rFonts w:hint="cs"/>
          <w:rtl/>
        </w:rPr>
        <w:t>، فإذا [تبين]</w:t>
      </w:r>
      <w:r>
        <w:rPr>
          <w:rStyle w:val="a7"/>
          <w:rtl/>
        </w:rPr>
        <w:footnoteReference w:id="2088"/>
      </w:r>
      <w:r>
        <w:rPr>
          <w:rFonts w:hint="cs"/>
          <w:rtl/>
        </w:rPr>
        <w:t xml:space="preserve"> خطؤه في التحرّي لا يعيدها</w:t>
      </w:r>
      <w:r>
        <w:rPr>
          <w:rFonts w:hint="cs"/>
          <w:vertAlign w:val="superscript"/>
          <w:rtl/>
        </w:rPr>
        <w:t>(</w:t>
      </w:r>
      <w:r>
        <w:rPr>
          <w:rStyle w:val="a7"/>
          <w:rtl/>
        </w:rPr>
        <w:footnoteReference w:id="2089"/>
      </w:r>
      <w:r>
        <w:rPr>
          <w:rFonts w:hint="cs"/>
          <w:vertAlign w:val="superscript"/>
          <w:rtl/>
        </w:rPr>
        <w:t>)</w:t>
      </w:r>
      <w:r>
        <w:rPr>
          <w:rFonts w:hint="cs"/>
          <w:rtl/>
        </w:rPr>
        <w:t>.</w:t>
      </w:r>
    </w:p>
    <w:p w:rsidR="00C10469" w:rsidRDefault="00C10469">
      <w:pPr>
        <w:rPr>
          <w:rtl/>
        </w:rPr>
      </w:pPr>
      <w:r>
        <w:rPr>
          <w:rFonts w:hint="cs"/>
          <w:rtl/>
        </w:rPr>
        <w:t>وكذا كلّ أحد</w:t>
      </w:r>
      <w:r>
        <w:rPr>
          <w:rStyle w:val="a7"/>
          <w:rtl/>
        </w:rPr>
        <w:footnoteReference w:id="2090"/>
      </w:r>
      <w:r>
        <w:rPr>
          <w:rFonts w:hint="cs"/>
          <w:rtl/>
        </w:rPr>
        <w:t xml:space="preserve"> فاته شرط من شرائط الصّلاة عند الضرورة لا يعيدها، كمن صلاها مع نجس عند عدم مزيل النجاسة</w:t>
      </w:r>
      <w:r>
        <w:rPr>
          <w:rFonts w:hint="cs"/>
          <w:vertAlign w:val="superscript"/>
          <w:rtl/>
        </w:rPr>
        <w:t>(</w:t>
      </w:r>
      <w:r>
        <w:rPr>
          <w:rStyle w:val="a7"/>
          <w:rtl/>
        </w:rPr>
        <w:footnoteReference w:id="2091"/>
      </w:r>
      <w:r>
        <w:rPr>
          <w:rFonts w:hint="cs"/>
          <w:vertAlign w:val="superscript"/>
          <w:rtl/>
        </w:rPr>
        <w:t>)</w:t>
      </w:r>
      <w:r>
        <w:rPr>
          <w:rFonts w:hint="cs"/>
          <w:rtl/>
        </w:rPr>
        <w:t xml:space="preserve">، والمتيمم عند عدم القدرة على </w:t>
      </w:r>
      <w:r>
        <w:rPr>
          <w:rFonts w:hint="cs"/>
          <w:rtl/>
        </w:rPr>
        <w:lastRenderedPageBreak/>
        <w:t>الوضوءِ</w:t>
      </w:r>
      <w:r>
        <w:rPr>
          <w:rFonts w:hint="cs"/>
          <w:vertAlign w:val="superscript"/>
          <w:rtl/>
        </w:rPr>
        <w:t>(</w:t>
      </w:r>
      <w:r>
        <w:rPr>
          <w:rStyle w:val="a7"/>
          <w:rtl/>
        </w:rPr>
        <w:footnoteReference w:id="2092"/>
      </w:r>
      <w:r>
        <w:rPr>
          <w:rFonts w:hint="cs"/>
          <w:vertAlign w:val="superscript"/>
          <w:rtl/>
        </w:rPr>
        <w:t>)</w:t>
      </w:r>
      <w:r>
        <w:rPr>
          <w:rFonts w:hint="cs"/>
          <w:rtl/>
        </w:rPr>
        <w:t>، وغيرِ ذلك، فإنهم لا يعيدونها على</w:t>
      </w:r>
      <w:r>
        <w:rPr>
          <w:rStyle w:val="a7"/>
          <w:rtl/>
        </w:rPr>
        <w:footnoteReference w:id="2093"/>
      </w:r>
      <w:r>
        <w:rPr>
          <w:rFonts w:hint="cs"/>
          <w:rtl/>
        </w:rPr>
        <w:t xml:space="preserve"> هذا الأصل.</w:t>
      </w:r>
    </w:p>
    <w:p w:rsidR="00C10469" w:rsidRDefault="00C10469">
      <w:pPr>
        <w:rPr>
          <w:rtl/>
        </w:rPr>
      </w:pPr>
      <w:r>
        <w:rPr>
          <w:rFonts w:hint="cs"/>
          <w:rtl/>
        </w:rPr>
        <w:t>وفروعه لا [تُحصّى]</w:t>
      </w:r>
      <w:r>
        <w:rPr>
          <w:rStyle w:val="a7"/>
          <w:rtl/>
        </w:rPr>
        <w:footnoteReference w:id="2094"/>
      </w:r>
      <w:r>
        <w:rPr>
          <w:rFonts w:hint="cs"/>
          <w:rtl/>
        </w:rPr>
        <w:t>، وسيأتي بعضها في أثناء الكلام على حسب</w:t>
      </w:r>
      <w:r>
        <w:rPr>
          <w:rStyle w:val="a7"/>
          <w:rtl/>
        </w:rPr>
        <w:footnoteReference w:id="2095"/>
      </w:r>
      <w:r>
        <w:rPr>
          <w:rFonts w:hint="cs"/>
          <w:rtl/>
        </w:rPr>
        <w:t xml:space="preserve"> مقتضى المقام</w:t>
      </w:r>
      <w:r>
        <w:rPr>
          <w:rStyle w:val="a7"/>
          <w:rtl/>
        </w:rPr>
        <w:footnoteReference w:id="2096"/>
      </w:r>
      <w:r>
        <w:rPr>
          <w:rFonts w:hint="cs"/>
          <w:rtl/>
        </w:rPr>
        <w:t xml:space="preserve"> -إن شاء الله-.</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4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D0913" w:rsidRDefault="00C10469">
      <w:pPr>
        <w:pStyle w:val="a9"/>
        <w:rPr>
          <w:rFonts w:cs="AL-Mateen"/>
          <w:rtl/>
          <w:lang w:val="en-US"/>
        </w:rPr>
      </w:pPr>
      <w:r w:rsidRPr="000D0913">
        <w:rPr>
          <w:rFonts w:cs="AL-Mateen" w:hint="cs"/>
          <w:rtl/>
          <w:lang w:val="en-US"/>
        </w:rPr>
        <w:lastRenderedPageBreak/>
        <w:t>[ الـقـاعـدة الـسـادسـة والـثـمـانـون ]</w:t>
      </w:r>
    </w:p>
    <w:p w:rsidR="00C10469" w:rsidRDefault="00C10469">
      <w:pPr>
        <w:rPr>
          <w:rtl/>
        </w:rPr>
      </w:pPr>
      <w:r>
        <w:rPr>
          <w:rFonts w:cs="Monotype Koufi" w:hint="cs"/>
          <w:rtl/>
        </w:rPr>
        <w:t>تمليكُ الدَّينِ مِنْ غَيْرِ مَنْ عليهِ الدّينُ لا يجوزُ</w:t>
      </w:r>
      <w:r>
        <w:rPr>
          <w:rFonts w:hint="cs"/>
          <w:vertAlign w:val="superscript"/>
          <w:rtl/>
        </w:rPr>
        <w:t>(</w:t>
      </w:r>
      <w:r>
        <w:rPr>
          <w:rStyle w:val="a7"/>
          <w:rtl/>
        </w:rPr>
        <w:footnoteReference w:id="2097"/>
      </w:r>
      <w:r>
        <w:rPr>
          <w:rFonts w:hint="cs"/>
          <w:vertAlign w:val="superscript"/>
          <w:rtl/>
        </w:rPr>
        <w:t>)</w:t>
      </w:r>
      <w:r>
        <w:rPr>
          <w:rFonts w:hint="cs"/>
          <w:rtl/>
        </w:rPr>
        <w:t xml:space="preserve"> :</w:t>
      </w:r>
    </w:p>
    <w:p w:rsidR="00C10469" w:rsidRDefault="00C10469">
      <w:pPr>
        <w:rPr>
          <w:rtl/>
        </w:rPr>
      </w:pPr>
      <w:r>
        <w:rPr>
          <w:rFonts w:hint="cs"/>
          <w:b/>
          <w:bCs/>
          <w:rtl/>
        </w:rPr>
        <w:t xml:space="preserve">فلذا </w:t>
      </w:r>
      <w:r>
        <w:rPr>
          <w:rFonts w:hint="cs"/>
          <w:rtl/>
        </w:rPr>
        <w:t xml:space="preserve">: إذا كان في التركة دين على النّاس، وأُخرج أحدُ الورثة بعين، على أن </w:t>
      </w:r>
      <w:r>
        <w:rPr>
          <w:rFonts w:hint="cs"/>
          <w:rtl/>
        </w:rPr>
        <w:lastRenderedPageBreak/>
        <w:t>يكون الدّين لسائر الورثة بما يأخذ منهم من العين : لا يصحّ؛ لأنه يصير مملِّكًا</w:t>
      </w:r>
      <w:r>
        <w:rPr>
          <w:rStyle w:val="a7"/>
          <w:rtl/>
        </w:rPr>
        <w:footnoteReference w:id="2098"/>
      </w:r>
      <w:r>
        <w:rPr>
          <w:rFonts w:hint="cs"/>
          <w:rtl/>
        </w:rPr>
        <w:t xml:space="preserve"> [حصته]</w:t>
      </w:r>
      <w:r>
        <w:rPr>
          <w:rStyle w:val="a7"/>
          <w:rtl/>
        </w:rPr>
        <w:footnoteReference w:id="2099"/>
      </w:r>
      <w:r>
        <w:rPr>
          <w:rFonts w:hint="cs"/>
          <w:rtl/>
        </w:rPr>
        <w:t xml:space="preserve"> لسائر الورثة، فلا يجوز</w:t>
      </w:r>
      <w:r>
        <w:rPr>
          <w:rFonts w:hint="cs"/>
          <w:vertAlign w:val="superscript"/>
          <w:rtl/>
        </w:rPr>
        <w:t>(</w:t>
      </w:r>
      <w:r>
        <w:rPr>
          <w:rStyle w:val="a7"/>
          <w:rtl/>
        </w:rPr>
        <w:footnoteReference w:id="2100"/>
      </w:r>
      <w:r>
        <w:rPr>
          <w:rFonts w:hint="cs"/>
          <w:vertAlign w:val="superscript"/>
          <w:rtl/>
        </w:rPr>
        <w:t>)</w:t>
      </w:r>
      <w:r>
        <w:rPr>
          <w:rFonts w:hint="cs"/>
          <w:rtl/>
        </w:rPr>
        <w:t>.</w:t>
      </w:r>
    </w:p>
    <w:p w:rsidR="00C10469" w:rsidRDefault="00C10469">
      <w:pPr>
        <w:rPr>
          <w:rtl/>
        </w:rPr>
      </w:pPr>
      <w:r>
        <w:rPr>
          <w:rFonts w:hint="cs"/>
          <w:b/>
          <w:bCs/>
          <w:rtl/>
        </w:rPr>
        <w:t>ونوقض</w:t>
      </w:r>
      <w:r>
        <w:rPr>
          <w:rStyle w:val="a7"/>
          <w:rtl/>
        </w:rPr>
        <w:footnoteReference w:id="2101"/>
      </w:r>
      <w:r>
        <w:rPr>
          <w:rFonts w:hint="cs"/>
          <w:rtl/>
        </w:rPr>
        <w:t xml:space="preserve"> : بـما </w:t>
      </w:r>
      <w:r>
        <w:rPr>
          <w:rFonts w:hint="eastAsia"/>
          <w:rtl/>
        </w:rPr>
        <w:t>«</w:t>
      </w:r>
      <w:r>
        <w:rPr>
          <w:rFonts w:hint="cs"/>
          <w:rtl/>
        </w:rPr>
        <w:t>إذا وهب ربُّ الدّين دينَه للكفيل : فإنّه يصح، ويرجع به الكفيل على الأصيل</w:t>
      </w:r>
      <w:r>
        <w:rPr>
          <w:rFonts w:hint="eastAsia"/>
          <w:rtl/>
        </w:rPr>
        <w:t>»</w:t>
      </w:r>
      <w:r>
        <w:rPr>
          <w:rFonts w:hint="cs"/>
          <w:vertAlign w:val="superscript"/>
          <w:rtl/>
        </w:rPr>
        <w:t>(</w:t>
      </w:r>
      <w:r>
        <w:rPr>
          <w:rStyle w:val="a7"/>
          <w:rtl/>
        </w:rPr>
        <w:footnoteReference w:id="2102"/>
      </w:r>
      <w:r>
        <w:rPr>
          <w:rFonts w:hint="cs"/>
          <w:vertAlign w:val="superscript"/>
          <w:rtl/>
        </w:rPr>
        <w:t>)</w:t>
      </w:r>
      <w:r>
        <w:rPr>
          <w:rFonts w:hint="cs"/>
          <w:rtl/>
        </w:rPr>
        <w:t>، مع أن الدّين على الأصيل، لا على الكفيل في الأصح.</w:t>
      </w:r>
    </w:p>
    <w:p w:rsidR="00C10469" w:rsidRDefault="00C10469">
      <w:pPr>
        <w:rPr>
          <w:rtl/>
        </w:rPr>
      </w:pPr>
      <w:r>
        <w:rPr>
          <w:rFonts w:hint="cs"/>
          <w:rtl/>
        </w:rPr>
        <w:t>«</w:t>
      </w:r>
      <w:r>
        <w:rPr>
          <w:rFonts w:hint="cs"/>
          <w:b/>
          <w:bCs/>
          <w:rtl/>
        </w:rPr>
        <w:t>وأجيب</w:t>
      </w:r>
      <w:r>
        <w:rPr>
          <w:rFonts w:hint="cs"/>
          <w:rtl/>
        </w:rPr>
        <w:t xml:space="preserve"> : بأن ربّ الدّين لمَّا وهبه للكفيل جعلنا الدين عليه؛ لضرورة تصحيح التصرف</w:t>
      </w:r>
      <w:r>
        <w:rPr>
          <w:rStyle w:val="a7"/>
          <w:rtl/>
        </w:rPr>
        <w:footnoteReference w:id="2103"/>
      </w:r>
      <w:r>
        <w:rPr>
          <w:rFonts w:hint="cs"/>
          <w:rtl/>
        </w:rPr>
        <w:t>، فجعلناه في حكم دينين اعتبارًا بالمطالبة.</w:t>
      </w:r>
    </w:p>
    <w:p w:rsidR="00C10469" w:rsidRDefault="00C10469">
      <w:pPr>
        <w:rPr>
          <w:rtl/>
        </w:rPr>
      </w:pPr>
      <w:r>
        <w:rPr>
          <w:rFonts w:hint="cs"/>
          <w:rtl/>
        </w:rPr>
        <w:t>وأما قبل ذلك فلا ضرورة أن يجعل في حكم دينين»</w:t>
      </w:r>
      <w:r>
        <w:rPr>
          <w:rFonts w:hint="cs"/>
          <w:vertAlign w:val="superscript"/>
          <w:rtl/>
        </w:rPr>
        <w:t>(</w:t>
      </w:r>
      <w:r>
        <w:rPr>
          <w:rStyle w:val="a7"/>
          <w:rtl/>
        </w:rPr>
        <w:footnoteReference w:id="2104"/>
      </w:r>
      <w:r>
        <w:rPr>
          <w:rFonts w:hint="cs"/>
          <w:vertAlign w:val="superscript"/>
          <w:rtl/>
        </w:rPr>
        <w:t>)</w:t>
      </w:r>
      <w:r>
        <w:rPr>
          <w:rFonts w:hint="cs"/>
          <w:rtl/>
        </w:rPr>
        <w:t>.</w:t>
      </w:r>
    </w:p>
    <w:p w:rsidR="00C10469" w:rsidRDefault="00C10469">
      <w:pPr>
        <w:rPr>
          <w:rtl/>
        </w:rPr>
      </w:pPr>
      <w:r>
        <w:rPr>
          <w:rFonts w:hint="cs"/>
          <w:rtl/>
        </w:rPr>
        <w:t>كذا في (العناية)</w:t>
      </w:r>
      <w:r>
        <w:rPr>
          <w:rFonts w:hint="cs"/>
          <w:vertAlign w:val="superscript"/>
          <w:rtl/>
        </w:rPr>
        <w:t>(</w:t>
      </w:r>
      <w:r>
        <w:rPr>
          <w:rStyle w:val="a7"/>
          <w:rtl/>
        </w:rPr>
        <w:footnoteReference w:id="2105"/>
      </w:r>
      <w:r>
        <w:rPr>
          <w:rFonts w:hint="cs"/>
          <w:vertAlign w:val="superscript"/>
          <w:rtl/>
        </w:rPr>
        <w:t>)</w:t>
      </w:r>
      <w:r>
        <w:rPr>
          <w:rFonts w:hint="cs"/>
          <w:rtl/>
        </w:rPr>
        <w:t>.</w:t>
      </w: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4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EB4219" w:rsidRDefault="00C10469">
      <w:pPr>
        <w:pStyle w:val="a9"/>
        <w:rPr>
          <w:rFonts w:cs="AL-Mateen"/>
          <w:rtl/>
        </w:rPr>
      </w:pPr>
      <w:r w:rsidRPr="00EB4219">
        <w:rPr>
          <w:rFonts w:cs="AL-Mateen" w:hint="cs"/>
          <w:rtl/>
        </w:rPr>
        <w:lastRenderedPageBreak/>
        <w:t>[ الـقـاعـدة الـسـابـعـة والـثـمـانـون ]</w:t>
      </w:r>
    </w:p>
    <w:p w:rsidR="00C10469" w:rsidRDefault="00C10469">
      <w:pPr>
        <w:rPr>
          <w:rtl/>
        </w:rPr>
      </w:pPr>
      <w:r>
        <w:rPr>
          <w:rFonts w:cs="Monotype Koufi" w:hint="cs"/>
          <w:rtl/>
        </w:rPr>
        <w:t>التَّنَاقُضُ [يُفسدُ]</w:t>
      </w:r>
      <w:r>
        <w:rPr>
          <w:rStyle w:val="a7"/>
          <w:rtl/>
        </w:rPr>
        <w:footnoteReference w:id="2106"/>
      </w:r>
      <w:r>
        <w:rPr>
          <w:rFonts w:hint="cs"/>
          <w:rtl/>
        </w:rPr>
        <w:t xml:space="preserve"> </w:t>
      </w:r>
      <w:r>
        <w:rPr>
          <w:rFonts w:cs="Monotype Koufi" w:hint="cs"/>
          <w:rtl/>
        </w:rPr>
        <w:t>الدّعوى</w:t>
      </w:r>
      <w:r>
        <w:rPr>
          <w:rFonts w:hint="cs"/>
          <w:vertAlign w:val="superscript"/>
          <w:rtl/>
        </w:rPr>
        <w:t>(</w:t>
      </w:r>
      <w:r>
        <w:rPr>
          <w:rStyle w:val="a7"/>
          <w:rtl/>
        </w:rPr>
        <w:footnoteReference w:id="2107"/>
      </w:r>
      <w:r>
        <w:rPr>
          <w:rFonts w:hint="cs"/>
          <w:vertAlign w:val="superscript"/>
          <w:rtl/>
        </w:rPr>
        <w:t>)</w:t>
      </w:r>
      <w:r>
        <w:rPr>
          <w:rFonts w:hint="cs"/>
          <w:rtl/>
        </w:rPr>
        <w:t xml:space="preserve"> :</w:t>
      </w:r>
    </w:p>
    <w:p w:rsidR="00C10469" w:rsidRDefault="00C10469">
      <w:pPr>
        <w:rPr>
          <w:rtl/>
        </w:rPr>
      </w:pPr>
      <w:r>
        <w:rPr>
          <w:rFonts w:hint="cs"/>
          <w:b/>
          <w:bCs/>
          <w:rtl/>
        </w:rPr>
        <w:t>ولهذا</w:t>
      </w:r>
      <w:r>
        <w:rPr>
          <w:rFonts w:hint="cs"/>
          <w:rtl/>
        </w:rPr>
        <w:t xml:space="preserve"> قالوا : «إقرار مالٍ لغيره</w:t>
      </w:r>
      <w:r>
        <w:rPr>
          <w:rStyle w:val="a7"/>
          <w:rtl/>
        </w:rPr>
        <w:footnoteReference w:id="2108"/>
      </w:r>
      <w:r>
        <w:rPr>
          <w:rFonts w:hint="cs"/>
          <w:rtl/>
        </w:rPr>
        <w:t xml:space="preserve"> -كما يمنع الدعوى لنفسه- يمنعها</w:t>
      </w:r>
      <w:r>
        <w:rPr>
          <w:rStyle w:val="a7"/>
          <w:rtl/>
        </w:rPr>
        <w:footnoteReference w:id="2109"/>
      </w:r>
      <w:r>
        <w:rPr>
          <w:rFonts w:hint="cs"/>
          <w:rtl/>
        </w:rPr>
        <w:t xml:space="preserve"> لغيره بوكالةٍ، أو وصاية؛ لأن فيه تناقضًا»</w:t>
      </w:r>
      <w:r>
        <w:rPr>
          <w:rFonts w:hint="cs"/>
          <w:vertAlign w:val="superscript"/>
          <w:rtl/>
        </w:rPr>
        <w:t>(</w:t>
      </w:r>
      <w:r>
        <w:rPr>
          <w:rStyle w:val="a7"/>
          <w:rtl/>
        </w:rPr>
        <w:footnoteReference w:id="2110"/>
      </w:r>
      <w:r>
        <w:rPr>
          <w:rFonts w:hint="cs"/>
          <w:vertAlign w:val="superscript"/>
          <w:rtl/>
        </w:rPr>
        <w:t>)</w:t>
      </w:r>
      <w:r>
        <w:rPr>
          <w:rFonts w:hint="cs"/>
          <w:rtl/>
        </w:rPr>
        <w:t xml:space="preserve">. </w:t>
      </w:r>
    </w:p>
    <w:p w:rsidR="00C10469" w:rsidRDefault="00C10469">
      <w:pPr>
        <w:rPr>
          <w:rtl/>
        </w:rPr>
      </w:pPr>
      <w:r>
        <w:rPr>
          <w:rFonts w:hint="cs"/>
          <w:rtl/>
        </w:rPr>
        <w:t>والمراد من التناقض أن يتضمن دعوى المدّعي الإنكار بعد الإقرار.</w:t>
      </w:r>
    </w:p>
    <w:p w:rsidR="00C10469" w:rsidRDefault="00C10469">
      <w:pPr>
        <w:rPr>
          <w:rtl/>
        </w:rPr>
      </w:pPr>
      <w:r>
        <w:rPr>
          <w:rFonts w:hint="cs"/>
          <w:rtl/>
        </w:rPr>
        <w:lastRenderedPageBreak/>
        <w:t>وأما إذا انعكس الأمر، ليس بتناقض</w:t>
      </w:r>
      <w:r>
        <w:rPr>
          <w:rStyle w:val="a7"/>
          <w:rtl/>
        </w:rPr>
        <w:footnoteReference w:id="2111"/>
      </w:r>
      <w:r>
        <w:rPr>
          <w:rFonts w:hint="cs"/>
          <w:rtl/>
        </w:rPr>
        <w:t>؛ بل إقرار المدّعي بعد الإنكار إنابةٌ وإنصافٌ إلا في بعض المواضع، وسنذكره</w:t>
      </w:r>
      <w:r>
        <w:rPr>
          <w:rStyle w:val="a7"/>
          <w:rtl/>
        </w:rPr>
        <w:footnoteReference w:id="2112"/>
      </w:r>
      <w:r>
        <w:rPr>
          <w:rFonts w:hint="cs"/>
          <w:rtl/>
        </w:rPr>
        <w:t xml:space="preserve"> -إن شاء الله- في الأصل الآتي</w:t>
      </w:r>
      <w:r>
        <w:rPr>
          <w:rStyle w:val="a7"/>
          <w:rtl/>
        </w:rPr>
        <w:footnoteReference w:id="2113"/>
      </w:r>
      <w:r>
        <w:rPr>
          <w:rFonts w:hint="cs"/>
          <w:rtl/>
        </w:rPr>
        <w:t xml:space="preserve"> </w:t>
      </w:r>
      <w:r>
        <w:rPr>
          <w:rFonts w:hint="cs"/>
          <w:vertAlign w:val="superscript"/>
          <w:rtl/>
        </w:rPr>
        <w:t>(</w:t>
      </w:r>
      <w:r>
        <w:rPr>
          <w:rStyle w:val="a7"/>
          <w:rtl/>
        </w:rPr>
        <w:footnoteReference w:id="2114"/>
      </w:r>
      <w:r>
        <w:rPr>
          <w:rFonts w:hint="cs"/>
          <w:vertAlign w:val="superscript"/>
          <w:rtl/>
        </w:rPr>
        <w:t>)</w:t>
      </w:r>
      <w:r>
        <w:rPr>
          <w:rFonts w:hint="cs"/>
          <w:rtl/>
        </w:rPr>
        <w:t>.</w:t>
      </w:r>
    </w:p>
    <w:p w:rsidR="00C10469" w:rsidRDefault="00C10469" w:rsidP="00C10469">
      <w:pPr>
        <w:ind w:left="849" w:hanging="282"/>
        <w:rPr>
          <w:rtl/>
        </w:rPr>
      </w:pPr>
      <w:r>
        <w:rPr>
          <w:rFonts w:ascii="Wingdings" w:hAnsi="Wingdings"/>
        </w:rPr>
        <w:t></w:t>
      </w:r>
      <w:r>
        <w:rPr>
          <w:rFonts w:hint="cs"/>
          <w:rtl/>
        </w:rPr>
        <w:t xml:space="preserve"> ومن فروعها: ما إذا قال : الأرض لفلان، والبناء لي : لا [تصح]</w:t>
      </w:r>
      <w:r>
        <w:rPr>
          <w:rStyle w:val="a7"/>
          <w:rtl/>
        </w:rPr>
        <w:footnoteReference w:id="2115"/>
      </w:r>
      <w:r>
        <w:rPr>
          <w:rFonts w:hint="cs"/>
          <w:rtl/>
        </w:rPr>
        <w:t xml:space="preserve"> دعواه في قوله : (البناء لي)؛ لأنه أقرّ أوّلاً بالأرض لفلان، فدخل البناء في إقراره تبعًا، فإذا ادّعى البناء بعد ذلك بقوله : (والبناء لي) [تكون]</w:t>
      </w:r>
      <w:r>
        <w:rPr>
          <w:rStyle w:val="a7"/>
          <w:rtl/>
        </w:rPr>
        <w:footnoteReference w:id="2116"/>
      </w:r>
      <w:r>
        <w:rPr>
          <w:rFonts w:hint="cs"/>
          <w:rtl/>
        </w:rPr>
        <w:t xml:space="preserve"> دعواه بعد الإقرار تناقضًا، فلا يصح، على أنّ الإقرار بعد الإنكار رجوع عن إقراره، وهذا ممّا لا يجوز</w:t>
      </w:r>
      <w:r>
        <w:rPr>
          <w:rFonts w:hint="cs"/>
          <w:vertAlign w:val="superscript"/>
          <w:rtl/>
        </w:rPr>
        <w:t>(</w:t>
      </w:r>
      <w:r>
        <w:rPr>
          <w:rStyle w:val="a7"/>
          <w:rtl/>
        </w:rPr>
        <w:footnoteReference w:id="2117"/>
      </w:r>
      <w:r>
        <w:rPr>
          <w:rFonts w:hint="cs"/>
          <w:vertAlign w:val="superscript"/>
          <w:rtl/>
        </w:rPr>
        <w:t>)</w:t>
      </w:r>
      <w:r>
        <w:rPr>
          <w:rFonts w:hint="cs"/>
          <w:rtl/>
        </w:rPr>
        <w:t>.</w:t>
      </w:r>
    </w:p>
    <w:p w:rsidR="00C10469" w:rsidRDefault="00C10469" w:rsidP="00C10469">
      <w:pPr>
        <w:ind w:left="849" w:hanging="282"/>
        <w:rPr>
          <w:rtl/>
        </w:rPr>
      </w:pPr>
      <w:r>
        <w:rPr>
          <w:rFonts w:ascii="Wingdings" w:hAnsi="Wingdings"/>
        </w:rPr>
        <w:t></w:t>
      </w:r>
      <w:r>
        <w:rPr>
          <w:rFonts w:hint="cs"/>
          <w:rtl/>
        </w:rPr>
        <w:t xml:space="preserve"> وأما إذا قال : الأرض لي</w:t>
      </w:r>
      <w:r>
        <w:rPr>
          <w:rStyle w:val="a7"/>
          <w:rtl/>
        </w:rPr>
        <w:footnoteReference w:id="2118"/>
      </w:r>
      <w:r>
        <w:rPr>
          <w:rFonts w:hint="cs"/>
          <w:rtl/>
        </w:rPr>
        <w:t xml:space="preserve"> والبناء لفلان : يصح إقراره ودعواه؛ لأنّه ادّعى أوّلاً بقوله: (الأرض لي)، ودخل البناء في دعواه تبعًا، فإذا أقرّ بالبناء لفلان، كان إقراره بعد الدعوى إنابةً لا تناقضًا، فيصح</w:t>
      </w:r>
      <w:r>
        <w:rPr>
          <w:rFonts w:hint="cs"/>
          <w:vertAlign w:val="superscript"/>
          <w:rtl/>
        </w:rPr>
        <w:t>(</w:t>
      </w:r>
      <w:r>
        <w:rPr>
          <w:rStyle w:val="a7"/>
          <w:rtl/>
        </w:rPr>
        <w:footnoteReference w:id="2119"/>
      </w:r>
      <w:r>
        <w:rPr>
          <w:rFonts w:hint="cs"/>
          <w:vertAlign w:val="superscript"/>
          <w:rtl/>
        </w:rPr>
        <w:t>)</w:t>
      </w:r>
      <w:r>
        <w:rPr>
          <w:rFonts w:hint="cs"/>
          <w:rtl/>
        </w:rPr>
        <w:t>.</w:t>
      </w:r>
    </w:p>
    <w:p w:rsidR="00C10469" w:rsidRDefault="00C10469">
      <w:pPr>
        <w:ind w:left="-2" w:right="-2"/>
        <w:rPr>
          <w:rtl/>
        </w:rPr>
      </w:pPr>
      <w:r>
        <w:rPr>
          <w:rFonts w:hint="cs"/>
          <w:b/>
          <w:bCs/>
          <w:rtl/>
        </w:rPr>
        <w:lastRenderedPageBreak/>
        <w:t>واعلم</w:t>
      </w:r>
      <w:r>
        <w:rPr>
          <w:rFonts w:hint="cs"/>
          <w:rtl/>
        </w:rPr>
        <w:t xml:space="preserve"> : </w:t>
      </w:r>
      <w:r>
        <w:rPr>
          <w:rFonts w:hint="cs"/>
          <w:b/>
          <w:bCs/>
          <w:rtl/>
        </w:rPr>
        <w:t>أن «كل ما كان</w:t>
      </w:r>
      <w:r>
        <w:rPr>
          <w:rStyle w:val="a7"/>
          <w:rtl/>
        </w:rPr>
        <w:footnoteReference w:id="2120"/>
      </w:r>
      <w:r>
        <w:rPr>
          <w:rFonts w:hint="cs"/>
          <w:rtl/>
        </w:rPr>
        <w:t xml:space="preserve"> </w:t>
      </w:r>
      <w:r>
        <w:rPr>
          <w:rFonts w:hint="cs"/>
          <w:b/>
          <w:bCs/>
          <w:rtl/>
        </w:rPr>
        <w:t>مبناه على الخفاء فالتناقض فيه معفوّ»</w:t>
      </w:r>
      <w:r>
        <w:rPr>
          <w:rFonts w:hint="cs"/>
          <w:vertAlign w:val="superscript"/>
          <w:rtl/>
        </w:rPr>
        <w:t>(</w:t>
      </w:r>
      <w:r>
        <w:rPr>
          <w:rStyle w:val="a7"/>
          <w:rtl/>
        </w:rPr>
        <w:footnoteReference w:id="2121"/>
      </w:r>
      <w:r>
        <w:rPr>
          <w:rFonts w:hint="cs"/>
          <w:vertAlign w:val="superscript"/>
          <w:rtl/>
        </w:rPr>
        <w:t>)</w:t>
      </w:r>
      <w:r>
        <w:rPr>
          <w:rFonts w:hint="cs"/>
          <w:rtl/>
        </w:rPr>
        <w:t xml:space="preserve">، فلا يمنع صحة الدعوى : </w:t>
      </w:r>
    </w:p>
    <w:p w:rsidR="00C10469" w:rsidRDefault="00C10469" w:rsidP="00C10469">
      <w:pPr>
        <w:ind w:left="849" w:hanging="284"/>
        <w:rPr>
          <w:rtl/>
        </w:rPr>
      </w:pPr>
      <w:r>
        <w:rPr>
          <w:rtl/>
        </w:rPr>
        <w:t>•</w:t>
      </w:r>
      <w:r>
        <w:rPr>
          <w:rFonts w:hint="cs"/>
          <w:rtl/>
        </w:rPr>
        <w:t xml:space="preserve">  كما إذا ادعى -بعد الإقرار بالرِّقِّيَّة</w:t>
      </w:r>
      <w:r>
        <w:rPr>
          <w:rStyle w:val="a7"/>
          <w:rtl/>
        </w:rPr>
        <w:footnoteReference w:id="2122"/>
      </w:r>
      <w:r>
        <w:rPr>
          <w:rFonts w:hint="cs"/>
          <w:vertAlign w:val="superscript"/>
          <w:rtl/>
        </w:rPr>
        <w:t>(</w:t>
      </w:r>
      <w:r>
        <w:rPr>
          <w:rStyle w:val="a7"/>
          <w:rtl/>
        </w:rPr>
        <w:footnoteReference w:id="2123"/>
      </w:r>
      <w:r>
        <w:rPr>
          <w:rFonts w:hint="cs"/>
          <w:vertAlign w:val="superscript"/>
          <w:rtl/>
        </w:rPr>
        <w:t>)</w:t>
      </w:r>
      <w:r>
        <w:rPr>
          <w:rFonts w:hint="cs"/>
          <w:rtl/>
        </w:rPr>
        <w:t>- العتق : يصح دعواه؛ إذْ المولى يَسْتَبِدُّ به</w:t>
      </w:r>
      <w:r>
        <w:rPr>
          <w:rFonts w:hint="cs"/>
          <w:vertAlign w:val="superscript"/>
          <w:rtl/>
        </w:rPr>
        <w:t>(</w:t>
      </w:r>
      <w:r>
        <w:rPr>
          <w:rStyle w:val="a7"/>
          <w:rtl/>
        </w:rPr>
        <w:footnoteReference w:id="2124"/>
      </w:r>
      <w:r>
        <w:rPr>
          <w:rFonts w:hint="cs"/>
          <w:vertAlign w:val="superscript"/>
          <w:rtl/>
        </w:rPr>
        <w:t>)</w:t>
      </w:r>
      <w:r>
        <w:rPr>
          <w:rFonts w:hint="cs"/>
          <w:rtl/>
        </w:rPr>
        <w:t>، فربما لا يعلم العبدُ إعتاقَه ثم يعلم بعده</w:t>
      </w:r>
      <w:r>
        <w:rPr>
          <w:rFonts w:hint="cs"/>
          <w:vertAlign w:val="superscript"/>
          <w:rtl/>
        </w:rPr>
        <w:t>(</w:t>
      </w:r>
      <w:r>
        <w:rPr>
          <w:rStyle w:val="a7"/>
          <w:rtl/>
        </w:rPr>
        <w:footnoteReference w:id="2125"/>
      </w:r>
      <w:r>
        <w:rPr>
          <w:rFonts w:hint="cs"/>
          <w:vertAlign w:val="superscript"/>
          <w:rtl/>
        </w:rPr>
        <w:t>)</w:t>
      </w:r>
      <w:r>
        <w:rPr>
          <w:rFonts w:hint="cs"/>
          <w:rtl/>
        </w:rPr>
        <w:t>.</w:t>
      </w:r>
    </w:p>
    <w:p w:rsidR="00C10469" w:rsidRDefault="00C10469" w:rsidP="00C10469">
      <w:pPr>
        <w:ind w:left="849" w:hanging="284"/>
        <w:rPr>
          <w:rtl/>
        </w:rPr>
      </w:pPr>
      <w:r>
        <w:rPr>
          <w:rtl/>
        </w:rPr>
        <w:t>•</w:t>
      </w:r>
      <w:r>
        <w:rPr>
          <w:rFonts w:hint="cs"/>
          <w:rtl/>
        </w:rPr>
        <w:t xml:space="preserve">  وكذا إذا ادّعت المخْتَلَعَةُ أنّ زوجها طلّقها بثلاث تطليقات قبل الخلع، وأنكر الزوج : [تصحُّ]</w:t>
      </w:r>
      <w:r>
        <w:rPr>
          <w:rStyle w:val="a7"/>
          <w:rtl/>
        </w:rPr>
        <w:footnoteReference w:id="2126"/>
      </w:r>
      <w:r>
        <w:rPr>
          <w:rFonts w:hint="cs"/>
          <w:rtl/>
        </w:rPr>
        <w:t xml:space="preserve"> دعواها، وتسمع بيّنتها، ويفسخ عقد الخلع؛ لأن الزوج [ينفرد]</w:t>
      </w:r>
      <w:r>
        <w:rPr>
          <w:rStyle w:val="a7"/>
          <w:rtl/>
        </w:rPr>
        <w:footnoteReference w:id="2127"/>
      </w:r>
      <w:r>
        <w:rPr>
          <w:rFonts w:hint="cs"/>
          <w:rtl/>
        </w:rPr>
        <w:t xml:space="preserve"> بالطلاق، فربّما لم تكن عالمة عند الخلع- المتضمن إقرارها بقيام النكاح- ثم علمت</w:t>
      </w:r>
      <w:r>
        <w:rPr>
          <w:rFonts w:hint="cs"/>
          <w:vertAlign w:val="superscript"/>
          <w:rtl/>
        </w:rPr>
        <w:t>(</w:t>
      </w:r>
      <w:r>
        <w:rPr>
          <w:rStyle w:val="a7"/>
          <w:rtl/>
        </w:rPr>
        <w:footnoteReference w:id="2128"/>
      </w:r>
      <w:r>
        <w:rPr>
          <w:rFonts w:hint="cs"/>
          <w:vertAlign w:val="superscript"/>
          <w:rtl/>
        </w:rPr>
        <w:t>)</w:t>
      </w:r>
      <w:r>
        <w:rPr>
          <w:rFonts w:hint="cs"/>
          <w:rtl/>
        </w:rPr>
        <w:t>.</w:t>
      </w:r>
    </w:p>
    <w:p w:rsidR="00C10469" w:rsidRDefault="00C10469">
      <w:pPr>
        <w:rPr>
          <w:rtl/>
        </w:rPr>
        <w:sectPr w:rsidR="00C10469" w:rsidSect="00C10469">
          <w:headerReference w:type="default" r:id="rId14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lastRenderedPageBreak/>
        <w:t>وفروع هذا الأصل لا يمكن إحصارها</w:t>
      </w:r>
      <w:r>
        <w:rPr>
          <w:rStyle w:val="a7"/>
          <w:rtl/>
        </w:rPr>
        <w:footnoteReference w:id="2129"/>
      </w:r>
      <w:r>
        <w:rPr>
          <w:rFonts w:hint="cs"/>
          <w:rtl/>
        </w:rPr>
        <w:t>. ففي كلّ موضع يكون مبنى</w:t>
      </w:r>
      <w:r>
        <w:rPr>
          <w:rStyle w:val="a7"/>
          <w:rtl/>
        </w:rPr>
        <w:footnoteReference w:id="2130"/>
      </w:r>
      <w:r>
        <w:rPr>
          <w:rFonts w:hint="cs"/>
          <w:rtl/>
        </w:rPr>
        <w:t xml:space="preserve"> إقراره على الخفاء</w:t>
      </w:r>
      <w:r>
        <w:rPr>
          <w:rStyle w:val="a7"/>
          <w:rtl/>
        </w:rPr>
        <w:footnoteReference w:id="2131"/>
      </w:r>
      <w:r>
        <w:rPr>
          <w:rFonts w:hint="cs"/>
          <w:rtl/>
        </w:rPr>
        <w:t xml:space="preserve"> لا يعتبر التناقض، وفيما سواه يُعتبر ويُفسِدُ</w:t>
      </w:r>
      <w:r>
        <w:rPr>
          <w:rStyle w:val="a7"/>
          <w:rtl/>
        </w:rPr>
        <w:footnoteReference w:id="2132"/>
      </w:r>
      <w:r>
        <w:rPr>
          <w:rFonts w:hint="cs"/>
          <w:rtl/>
        </w:rPr>
        <w:t xml:space="preserve"> دعواه.</w:t>
      </w:r>
    </w:p>
    <w:p w:rsidR="00C10469" w:rsidRPr="00BE5C18" w:rsidRDefault="00C10469">
      <w:pPr>
        <w:pStyle w:val="a9"/>
        <w:rPr>
          <w:rFonts w:cs="AL-Mateen"/>
          <w:rtl/>
          <w:lang w:val="en-US"/>
        </w:rPr>
      </w:pPr>
      <w:r w:rsidRPr="00BE5C18">
        <w:rPr>
          <w:rFonts w:cs="AL-Mateen" w:hint="cs"/>
          <w:rtl/>
          <w:lang w:val="en-US"/>
        </w:rPr>
        <w:lastRenderedPageBreak/>
        <w:t>[ الـقـاعـدة الـثـامـنـة والـثـمـانـون ]</w:t>
      </w:r>
    </w:p>
    <w:p w:rsidR="00C10469" w:rsidRDefault="00C10469">
      <w:pPr>
        <w:rPr>
          <w:rtl/>
        </w:rPr>
      </w:pPr>
      <w:r>
        <w:rPr>
          <w:rFonts w:cs="Monotype Koufi" w:hint="cs"/>
          <w:rtl/>
        </w:rPr>
        <w:t>التَّناقضُ لا يمنعُ صحَّةَ الإقْرارِ عَلى نفسِهِ</w:t>
      </w:r>
      <w:r>
        <w:rPr>
          <w:rFonts w:hint="cs"/>
          <w:vertAlign w:val="superscript"/>
          <w:rtl/>
        </w:rPr>
        <w:t>(</w:t>
      </w:r>
      <w:r>
        <w:rPr>
          <w:rStyle w:val="a7"/>
          <w:rtl/>
        </w:rPr>
        <w:footnoteReference w:id="2133"/>
      </w:r>
      <w:r>
        <w:rPr>
          <w:rFonts w:hint="cs"/>
          <w:vertAlign w:val="superscript"/>
          <w:rtl/>
        </w:rPr>
        <w:t>)</w:t>
      </w:r>
      <w:r>
        <w:rPr>
          <w:rFonts w:hint="cs"/>
          <w:rtl/>
        </w:rPr>
        <w:t xml:space="preserve"> :</w:t>
      </w:r>
    </w:p>
    <w:p w:rsidR="00C10469" w:rsidRDefault="00C10469">
      <w:pPr>
        <w:rPr>
          <w:rtl/>
        </w:rPr>
      </w:pPr>
      <w:r>
        <w:rPr>
          <w:rFonts w:hint="cs"/>
          <w:b/>
          <w:bCs/>
          <w:rtl/>
        </w:rPr>
        <w:t xml:space="preserve">ولذا </w:t>
      </w:r>
      <w:r>
        <w:rPr>
          <w:rFonts w:hint="cs"/>
          <w:rtl/>
        </w:rPr>
        <w:t>: لو رجع الشهود عن شهـادتـهم [وكـتـمـوا]</w:t>
      </w:r>
      <w:r>
        <w:rPr>
          <w:rStyle w:val="a7"/>
          <w:rtl/>
        </w:rPr>
        <w:footnoteReference w:id="2134"/>
      </w:r>
      <w:r>
        <w:rPr>
          <w:rFonts w:hint="cs"/>
          <w:rtl/>
        </w:rPr>
        <w:t xml:space="preserve"> فـي مجلس الحكم -بعد الحكم بها-: يعتبر</w:t>
      </w:r>
      <w:r>
        <w:rPr>
          <w:rStyle w:val="a7"/>
          <w:rtl/>
        </w:rPr>
        <w:footnoteReference w:id="2135"/>
      </w:r>
      <w:r>
        <w:rPr>
          <w:rFonts w:hint="cs"/>
          <w:rtl/>
        </w:rPr>
        <w:t xml:space="preserve"> رجوعهم، ويُحكم عليهم بضمان ما أتلفوا بشهادتهم.</w:t>
      </w:r>
    </w:p>
    <w:p w:rsidR="00C10469" w:rsidRDefault="00C10469">
      <w:pPr>
        <w:rPr>
          <w:rtl/>
        </w:rPr>
      </w:pPr>
      <w:r>
        <w:rPr>
          <w:rFonts w:hint="cs"/>
          <w:b/>
          <w:bCs/>
          <w:rtl/>
        </w:rPr>
        <w:t>ولا يقال</w:t>
      </w:r>
      <w:r>
        <w:rPr>
          <w:rFonts w:hint="cs"/>
          <w:rtl/>
        </w:rPr>
        <w:t xml:space="preserve"> : كلامهم متناقض</w:t>
      </w:r>
      <w:r>
        <w:rPr>
          <w:rStyle w:val="a7"/>
          <w:rtl/>
        </w:rPr>
        <w:footnoteReference w:id="2136"/>
      </w:r>
      <w:r>
        <w:rPr>
          <w:rFonts w:hint="cs"/>
          <w:rtl/>
        </w:rPr>
        <w:t>، والمتناقض ساقط العبرة!.</w:t>
      </w:r>
    </w:p>
    <w:p w:rsidR="00C10469" w:rsidRDefault="00C10469">
      <w:pPr>
        <w:rPr>
          <w:rtl/>
        </w:rPr>
      </w:pPr>
      <w:r>
        <w:rPr>
          <w:rFonts w:hint="cs"/>
          <w:b/>
          <w:bCs/>
          <w:rtl/>
        </w:rPr>
        <w:t>لأن</w:t>
      </w:r>
      <w:r>
        <w:rPr>
          <w:rFonts w:hint="cs"/>
          <w:rtl/>
        </w:rPr>
        <w:t xml:space="preserve"> التناقض لا يمنع صحة الإقرار، فإن من أنكر شيئًا ثم أقرّ : يصّح إقراره؛ لأنه غير متّهم فيه</w:t>
      </w:r>
      <w:r>
        <w:rPr>
          <w:rFonts w:hint="cs"/>
          <w:vertAlign w:val="superscript"/>
          <w:rtl/>
        </w:rPr>
        <w:t>(</w:t>
      </w:r>
      <w:r>
        <w:rPr>
          <w:rStyle w:val="a7"/>
          <w:rtl/>
        </w:rPr>
        <w:footnoteReference w:id="2137"/>
      </w:r>
      <w:r>
        <w:rPr>
          <w:rFonts w:hint="cs"/>
          <w:vertAlign w:val="superscript"/>
          <w:rtl/>
        </w:rPr>
        <w:t>)</w:t>
      </w:r>
      <w:r>
        <w:rPr>
          <w:rFonts w:hint="cs"/>
          <w:rtl/>
        </w:rPr>
        <w:t>.</w:t>
      </w:r>
    </w:p>
    <w:p w:rsidR="00C10469" w:rsidRDefault="00C10469">
      <w:pPr>
        <w:rPr>
          <w:rtl/>
        </w:rPr>
      </w:pPr>
      <w:r>
        <w:rPr>
          <w:rFonts w:hint="cs"/>
          <w:rtl/>
        </w:rPr>
        <w:t>بخلاف الدّعوى؛ لأنّه متّهم [فيها]</w:t>
      </w:r>
      <w:r>
        <w:rPr>
          <w:rStyle w:val="a7"/>
          <w:rtl/>
        </w:rPr>
        <w:footnoteReference w:id="2138"/>
      </w:r>
      <w:r>
        <w:rPr>
          <w:rFonts w:hint="cs"/>
          <w:rtl/>
        </w:rPr>
        <w:t xml:space="preserve"> فَمَنَعَها التناقضُ، كما إذا أقر بشيء لآخر ثم ادّعاه : لا [تُسمع]</w:t>
      </w:r>
      <w:r>
        <w:rPr>
          <w:rStyle w:val="a7"/>
          <w:rtl/>
        </w:rPr>
        <w:footnoteReference w:id="2139"/>
      </w:r>
      <w:r>
        <w:rPr>
          <w:rFonts w:hint="cs"/>
          <w:rtl/>
        </w:rPr>
        <w:t xml:space="preserve"> دعواه؛ للتناقض</w:t>
      </w:r>
      <w:r>
        <w:rPr>
          <w:rFonts w:hint="cs"/>
          <w:vertAlign w:val="superscript"/>
          <w:rtl/>
        </w:rPr>
        <w:t>(</w:t>
      </w:r>
      <w:r>
        <w:rPr>
          <w:rStyle w:val="a7"/>
          <w:rtl/>
        </w:rPr>
        <w:footnoteReference w:id="2140"/>
      </w:r>
      <w:r>
        <w:rPr>
          <w:rFonts w:hint="cs"/>
          <w:vertAlign w:val="superscript"/>
          <w:rtl/>
        </w:rPr>
        <w:t>)</w:t>
      </w:r>
      <w:r>
        <w:rPr>
          <w:rFonts w:hint="cs"/>
          <w:rtl/>
        </w:rPr>
        <w:t>.</w:t>
      </w:r>
    </w:p>
    <w:p w:rsidR="00C10469" w:rsidRDefault="00C10469">
      <w:pPr>
        <w:rPr>
          <w:spacing w:val="6"/>
          <w:rtl/>
        </w:rPr>
      </w:pPr>
      <w:r>
        <w:rPr>
          <w:rFonts w:hint="cs"/>
          <w:spacing w:val="6"/>
          <w:rtl/>
        </w:rPr>
        <w:t xml:space="preserve">واعلم أن عدم منع التناقض صحةَ الإقرار إذا لم يتضمن الإقرار إبطال حقِّ </w:t>
      </w:r>
      <w:r>
        <w:rPr>
          <w:rFonts w:hint="cs"/>
          <w:spacing w:val="6"/>
          <w:rtl/>
        </w:rPr>
        <w:lastRenderedPageBreak/>
        <w:t>أحدٍ، وأما إذا تضمن : يَمنعُ صحّتَهُ. فمن</w:t>
      </w:r>
      <w:r>
        <w:rPr>
          <w:rStyle w:val="a7"/>
          <w:spacing w:val="6"/>
          <w:rtl/>
        </w:rPr>
        <w:footnoteReference w:id="2141"/>
      </w:r>
      <w:r>
        <w:rPr>
          <w:rFonts w:hint="cs"/>
          <w:spacing w:val="6"/>
          <w:rtl/>
        </w:rPr>
        <w:t xml:space="preserve"> بـاع دار غيره بلا أمره، وأقرّ بالغصب، وأنكر الـمـشتـري : لـم يـصح إقـراره؛ لأن إقراره ههنا يتضمن إبطال حق المشتري؛ فلا يصح</w:t>
      </w:r>
      <w:r>
        <w:rPr>
          <w:rFonts w:hint="cs"/>
          <w:spacing w:val="6"/>
          <w:vertAlign w:val="superscript"/>
          <w:rtl/>
        </w:rPr>
        <w:t>(</w:t>
      </w:r>
      <w:r>
        <w:rPr>
          <w:rStyle w:val="a7"/>
          <w:spacing w:val="6"/>
          <w:rtl/>
        </w:rPr>
        <w:footnoteReference w:id="2142"/>
      </w:r>
      <w:r>
        <w:rPr>
          <w:rFonts w:hint="cs"/>
          <w:spacing w:val="6"/>
          <w:vertAlign w:val="superscript"/>
          <w:rtl/>
        </w:rPr>
        <w:t>)</w:t>
      </w:r>
      <w:r>
        <w:rPr>
          <w:rFonts w:hint="cs"/>
          <w:spacing w:val="6"/>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4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E46231" w:rsidRDefault="00C10469">
      <w:pPr>
        <w:pStyle w:val="a9"/>
        <w:rPr>
          <w:rFonts w:cs="AL-Mateen"/>
          <w:rtl/>
          <w:lang w:val="en-US"/>
        </w:rPr>
      </w:pPr>
      <w:r w:rsidRPr="00E46231">
        <w:rPr>
          <w:rFonts w:cs="AL-Mateen" w:hint="cs"/>
          <w:rtl/>
          <w:lang w:val="en-US"/>
        </w:rPr>
        <w:lastRenderedPageBreak/>
        <w:t>[ الـقـاعـدة الـتـاسـعـة والـثـمـانـون ]</w:t>
      </w:r>
    </w:p>
    <w:p w:rsidR="00C10469" w:rsidRDefault="00C10469">
      <w:pPr>
        <w:rPr>
          <w:rtl/>
        </w:rPr>
      </w:pPr>
      <w:r>
        <w:rPr>
          <w:rFonts w:cs="Monotype Koufi" w:hint="cs"/>
          <w:rtl/>
        </w:rPr>
        <w:t>التَّنصِيصُ عَلَى الموجَبِ عندَ حصولِ الموجِبِ ليسَ بِشَرْطٍ</w:t>
      </w:r>
      <w:r>
        <w:rPr>
          <w:rFonts w:hint="cs"/>
          <w:vertAlign w:val="superscript"/>
          <w:rtl/>
        </w:rPr>
        <w:t>(</w:t>
      </w:r>
      <w:r>
        <w:rPr>
          <w:rStyle w:val="a7"/>
          <w:rtl/>
        </w:rPr>
        <w:footnoteReference w:id="2143"/>
      </w:r>
      <w:r>
        <w:rPr>
          <w:rFonts w:hint="cs"/>
          <w:vertAlign w:val="superscript"/>
          <w:rtl/>
        </w:rPr>
        <w:t>)</w:t>
      </w:r>
      <w:r>
        <w:rPr>
          <w:rFonts w:hint="cs"/>
          <w:rtl/>
        </w:rPr>
        <w:t xml:space="preserve"> :</w:t>
      </w:r>
    </w:p>
    <w:p w:rsidR="00C10469" w:rsidRDefault="00C10469" w:rsidP="00C10469">
      <w:pPr>
        <w:ind w:left="1415" w:hanging="426"/>
        <w:rPr>
          <w:spacing w:val="8"/>
          <w:rtl/>
        </w:rPr>
      </w:pPr>
      <w:r>
        <w:rPr>
          <w:b/>
          <w:bCs/>
          <w:spacing w:val="8"/>
          <w:rtl/>
        </w:rPr>
        <w:t>•</w:t>
      </w:r>
      <w:r>
        <w:rPr>
          <w:rFonts w:hint="cs"/>
          <w:b/>
          <w:bCs/>
          <w:spacing w:val="8"/>
          <w:rtl/>
        </w:rPr>
        <w:t xml:space="preserve">  ولذا</w:t>
      </w:r>
      <w:r>
        <w:rPr>
          <w:rFonts w:hint="cs"/>
          <w:spacing w:val="8"/>
          <w:rtl/>
        </w:rPr>
        <w:t xml:space="preserve"> : ثبت الملك </w:t>
      </w:r>
      <w:r>
        <w:rPr>
          <w:rFonts w:hint="cs"/>
          <w:rtl/>
        </w:rPr>
        <w:t>بالشراء بلا</w:t>
      </w:r>
      <w:r>
        <w:rPr>
          <w:rFonts w:hint="cs"/>
          <w:spacing w:val="8"/>
          <w:rtl/>
        </w:rPr>
        <w:t xml:space="preserve"> تنصيصه بالذكر عند العقد؛ لكون</w:t>
      </w:r>
      <w:r>
        <w:rPr>
          <w:spacing w:val="8"/>
          <w:rtl/>
        </w:rPr>
        <w:br/>
      </w:r>
      <w:r>
        <w:rPr>
          <w:rFonts w:hint="cs"/>
          <w:spacing w:val="8"/>
          <w:rtl/>
        </w:rPr>
        <w:t>الملك موجَب الشراء</w:t>
      </w:r>
      <w:r>
        <w:rPr>
          <w:rFonts w:hint="cs"/>
          <w:spacing w:val="8"/>
          <w:vertAlign w:val="superscript"/>
          <w:rtl/>
        </w:rPr>
        <w:t>(</w:t>
      </w:r>
      <w:r>
        <w:rPr>
          <w:rStyle w:val="a7"/>
          <w:spacing w:val="8"/>
          <w:rtl/>
        </w:rPr>
        <w:footnoteReference w:id="2144"/>
      </w:r>
      <w:r>
        <w:rPr>
          <w:rFonts w:hint="cs"/>
          <w:spacing w:val="8"/>
          <w:vertAlign w:val="superscript"/>
          <w:rtl/>
        </w:rPr>
        <w:t>)</w:t>
      </w:r>
      <w:r>
        <w:rPr>
          <w:rFonts w:hint="cs"/>
          <w:spacing w:val="8"/>
          <w:rtl/>
        </w:rPr>
        <w:t>.</w:t>
      </w:r>
    </w:p>
    <w:p w:rsidR="00C10469" w:rsidRDefault="00C10469" w:rsidP="00C10469">
      <w:pPr>
        <w:ind w:left="989" w:firstLine="0"/>
        <w:rPr>
          <w:rtl/>
        </w:rPr>
      </w:pPr>
      <w:r>
        <w:rPr>
          <w:rtl/>
        </w:rPr>
        <w:t>•</w:t>
      </w:r>
      <w:r>
        <w:rPr>
          <w:rFonts w:hint="cs"/>
          <w:rtl/>
        </w:rPr>
        <w:t xml:space="preserve">   ويثبت حِلُّ الاستمتاع بعقد النكاح الصحيح؛ لكونه مُوجَبَهُ</w:t>
      </w:r>
      <w:r>
        <w:rPr>
          <w:rFonts w:hint="cs"/>
          <w:vertAlign w:val="superscript"/>
          <w:rtl/>
        </w:rPr>
        <w:t>(</w:t>
      </w:r>
      <w:r>
        <w:rPr>
          <w:rStyle w:val="a7"/>
          <w:rtl/>
        </w:rPr>
        <w:footnoteReference w:id="2145"/>
      </w:r>
      <w:r>
        <w:rPr>
          <w:rFonts w:hint="cs"/>
          <w:vertAlign w:val="superscript"/>
          <w:rtl/>
        </w:rPr>
        <w:t>)</w:t>
      </w:r>
      <w:r>
        <w:rPr>
          <w:rFonts w:hint="cs"/>
          <w:rtl/>
        </w:rPr>
        <w:t>.</w:t>
      </w:r>
    </w:p>
    <w:p w:rsidR="00C10469" w:rsidRDefault="00C10469" w:rsidP="00C10469">
      <w:pPr>
        <w:ind w:left="989" w:firstLine="0"/>
        <w:rPr>
          <w:spacing w:val="6"/>
          <w:rtl/>
        </w:rPr>
      </w:pPr>
      <w:r>
        <w:rPr>
          <w:spacing w:val="6"/>
          <w:rtl/>
        </w:rPr>
        <w:t>•</w:t>
      </w:r>
      <w:r>
        <w:rPr>
          <w:rFonts w:hint="cs"/>
          <w:spacing w:val="6"/>
          <w:rtl/>
        </w:rPr>
        <w:t xml:space="preserve">   فمن كفـل بنفسٍ آخـر ولم ينَـصِّـصْ</w:t>
      </w:r>
      <w:r>
        <w:rPr>
          <w:rStyle w:val="a7"/>
          <w:spacing w:val="6"/>
          <w:rtl/>
        </w:rPr>
        <w:footnoteReference w:id="2146"/>
      </w:r>
      <w:r>
        <w:rPr>
          <w:rFonts w:hint="cs"/>
          <w:spacing w:val="6"/>
          <w:rtl/>
        </w:rPr>
        <w:t xml:space="preserve"> - بـأن يـقـول : إذا </w:t>
      </w:r>
    </w:p>
    <w:p w:rsidR="00C10469" w:rsidRDefault="00C10469" w:rsidP="00C10469">
      <w:pPr>
        <w:ind w:left="989" w:firstLine="0"/>
        <w:rPr>
          <w:spacing w:val="6"/>
          <w:rtl/>
        </w:rPr>
      </w:pPr>
      <w:r>
        <w:rPr>
          <w:rFonts w:hint="cs"/>
          <w:spacing w:val="6"/>
          <w:rtl/>
        </w:rPr>
        <w:lastRenderedPageBreak/>
        <w:t>دَفَعْتُ</w:t>
      </w:r>
      <w:r>
        <w:rPr>
          <w:rStyle w:val="a7"/>
          <w:spacing w:val="6"/>
          <w:rtl/>
        </w:rPr>
        <w:footnoteReference w:id="2147"/>
      </w:r>
      <w:r>
        <w:rPr>
          <w:rFonts w:hint="cs"/>
          <w:spacing w:val="6"/>
          <w:rtl/>
        </w:rPr>
        <w:t xml:space="preserve"> إليك فأنا برِيءٌ- فدفعه إليه</w:t>
      </w:r>
      <w:r>
        <w:rPr>
          <w:rStyle w:val="a7"/>
          <w:spacing w:val="6"/>
          <w:rtl/>
        </w:rPr>
        <w:footnoteReference w:id="2148"/>
      </w:r>
      <w:r>
        <w:rPr>
          <w:rFonts w:hint="cs"/>
          <w:spacing w:val="6"/>
          <w:rtl/>
        </w:rPr>
        <w:t xml:space="preserve"> : بَرئَ؛ لأن موجَبَ الكفالة بالنفس براءة الكفيل عند التسليم، وقد وجد</w:t>
      </w:r>
      <w:r>
        <w:rPr>
          <w:rFonts w:hint="cs"/>
          <w:spacing w:val="6"/>
          <w:vertAlign w:val="superscript"/>
          <w:rtl/>
        </w:rPr>
        <w:t>(</w:t>
      </w:r>
      <w:r>
        <w:rPr>
          <w:rStyle w:val="a7"/>
          <w:spacing w:val="6"/>
          <w:rtl/>
        </w:rPr>
        <w:footnoteReference w:id="2149"/>
      </w:r>
      <w:r>
        <w:rPr>
          <w:rFonts w:hint="cs"/>
          <w:spacing w:val="6"/>
          <w:vertAlign w:val="superscript"/>
          <w:rtl/>
        </w:rPr>
        <w:t>)</w:t>
      </w:r>
      <w:r>
        <w:rPr>
          <w:rFonts w:hint="cs"/>
          <w:spacing w:val="6"/>
          <w:rtl/>
        </w:rPr>
        <w:t>.</w:t>
      </w:r>
    </w:p>
    <w:p w:rsidR="00C10469" w:rsidRDefault="00C10469" w:rsidP="00C10469">
      <w:pPr>
        <w:rPr>
          <w:rtl/>
        </w:rPr>
      </w:pPr>
      <w:r>
        <w:rPr>
          <w:rFonts w:hint="cs"/>
          <w:rtl/>
        </w:rPr>
        <w:t>كذا في (العناية)</w:t>
      </w:r>
      <w:r>
        <w:rPr>
          <w:rFonts w:hint="cs"/>
          <w:vertAlign w:val="superscript"/>
          <w:rtl/>
        </w:rPr>
        <w:t>(</w:t>
      </w:r>
      <w:r>
        <w:rPr>
          <w:rStyle w:val="a7"/>
          <w:rtl/>
        </w:rPr>
        <w:footnoteReference w:id="2150"/>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8C2675"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3369"/>
        </w:tabs>
        <w:rPr>
          <w:rtl/>
        </w:rPr>
        <w:sectPr w:rsidR="00C10469" w:rsidSect="00C10469">
          <w:headerReference w:type="default" r:id="rId14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tl/>
        </w:rPr>
        <w:tab/>
      </w:r>
    </w:p>
    <w:p w:rsidR="00C10469" w:rsidRPr="007E2719" w:rsidRDefault="00C10469">
      <w:pPr>
        <w:pStyle w:val="a9"/>
        <w:rPr>
          <w:rFonts w:cs="AL-Mateen"/>
          <w:rtl/>
          <w:lang w:val="en-US"/>
        </w:rPr>
      </w:pPr>
      <w:r w:rsidRPr="007E2719">
        <w:rPr>
          <w:rFonts w:cs="AL-Mateen" w:hint="cs"/>
          <w:rtl/>
          <w:lang w:val="en-US"/>
        </w:rPr>
        <w:lastRenderedPageBreak/>
        <w:t>[ الـقـاعـدة الـتـسـعـون  ]</w:t>
      </w:r>
    </w:p>
    <w:p w:rsidR="00C10469" w:rsidRDefault="00C10469">
      <w:pPr>
        <w:rPr>
          <w:rtl/>
        </w:rPr>
      </w:pPr>
      <w:r>
        <w:rPr>
          <w:rFonts w:cs="Monotype Koufi" w:hint="cs"/>
          <w:rtl/>
        </w:rPr>
        <w:t>التَّنْصِيصُ [لاَ]</w:t>
      </w:r>
      <w:r>
        <w:rPr>
          <w:rStyle w:val="a7"/>
          <w:rtl/>
        </w:rPr>
        <w:footnoteReference w:id="2151"/>
      </w:r>
      <w:r>
        <w:rPr>
          <w:rFonts w:hint="cs"/>
          <w:rtl/>
        </w:rPr>
        <w:t xml:space="preserve"> </w:t>
      </w:r>
      <w:r>
        <w:rPr>
          <w:rFonts w:cs="Monotype Koufi" w:hint="cs"/>
          <w:rtl/>
        </w:rPr>
        <w:t>يوجِبُ التَّخْصِيصَ</w:t>
      </w:r>
      <w:r>
        <w:rPr>
          <w:rFonts w:hint="cs"/>
          <w:vertAlign w:val="superscript"/>
          <w:rtl/>
        </w:rPr>
        <w:t>(</w:t>
      </w:r>
      <w:r>
        <w:rPr>
          <w:rFonts w:hint="cs"/>
          <w:b/>
          <w:bCs/>
          <w:vertAlign w:val="superscript"/>
          <w:rtl/>
        </w:rPr>
        <w:t>1</w:t>
      </w:r>
      <w:r>
        <w:rPr>
          <w:rFonts w:hint="cs"/>
          <w:vertAlign w:val="superscript"/>
          <w:rtl/>
        </w:rPr>
        <w:t>)</w:t>
      </w:r>
      <w:r>
        <w:rPr>
          <w:rFonts w:hint="cs"/>
          <w:rtl/>
        </w:rPr>
        <w:t xml:space="preserve"> :</w:t>
      </w:r>
    </w:p>
    <w:p w:rsidR="00C10469" w:rsidRDefault="00C10469">
      <w:pPr>
        <w:rPr>
          <w:rtl/>
        </w:rPr>
      </w:pPr>
      <w:r>
        <w:rPr>
          <w:rFonts w:hint="cs"/>
          <w:rtl/>
        </w:rPr>
        <w:lastRenderedPageBreak/>
        <w:t>وإلاّ يـلـزم تـرجـيـح القـيـاس عـلى النـصِّ - بـيـن</w:t>
      </w:r>
      <w:r>
        <w:rPr>
          <w:rFonts w:hint="cs"/>
          <w:vertAlign w:val="superscript"/>
          <w:rtl/>
        </w:rPr>
        <w:t>(</w:t>
      </w:r>
      <w:r>
        <w:rPr>
          <w:rStyle w:val="a7"/>
          <w:rtl/>
        </w:rPr>
        <w:footnoteReference w:id="2152"/>
      </w:r>
      <w:r>
        <w:rPr>
          <w:rFonts w:hint="cs"/>
          <w:vertAlign w:val="superscript"/>
          <w:rtl/>
        </w:rPr>
        <w:t>)</w:t>
      </w:r>
      <w:r>
        <w:rPr>
          <w:rFonts w:hint="cs"/>
          <w:rtl/>
        </w:rPr>
        <w:t xml:space="preserve"> الربـا في الـحديـث</w:t>
      </w:r>
      <w:r>
        <w:rPr>
          <w:rFonts w:hint="cs"/>
          <w:vertAlign w:val="superscript"/>
          <w:rtl/>
        </w:rPr>
        <w:t>(</w:t>
      </w:r>
      <w:r>
        <w:rPr>
          <w:rStyle w:val="a7"/>
          <w:rtl/>
        </w:rPr>
        <w:footnoteReference w:id="2153"/>
      </w:r>
      <w:r>
        <w:rPr>
          <w:rFonts w:hint="cs"/>
          <w:vertAlign w:val="superscript"/>
          <w:rtl/>
        </w:rPr>
        <w:t xml:space="preserve">)   </w:t>
      </w:r>
      <w:r>
        <w:rPr>
          <w:rFonts w:hint="cs"/>
          <w:rtl/>
        </w:rPr>
        <w:t>: الأشيـاء السّـتة</w:t>
      </w:r>
      <w:r>
        <w:rPr>
          <w:rStyle w:val="a7"/>
          <w:rtl/>
        </w:rPr>
        <w:footnoteReference w:id="2154"/>
      </w:r>
      <w:r>
        <w:rPr>
          <w:rFonts w:hint="cs"/>
          <w:rtl/>
        </w:rPr>
        <w:t>- بأسماء الأعْلام، كالـحنـطـة والشعـير</w:t>
      </w:r>
      <w:r>
        <w:rPr>
          <w:rFonts w:hint="cs"/>
          <w:vertAlign w:val="superscript"/>
          <w:rtl/>
        </w:rPr>
        <w:t>(</w:t>
      </w:r>
      <w:r>
        <w:rPr>
          <w:rStyle w:val="a7"/>
          <w:rtl/>
        </w:rPr>
        <w:footnoteReference w:id="2155"/>
      </w:r>
      <w:r>
        <w:rPr>
          <w:rFonts w:hint="cs"/>
          <w:vertAlign w:val="superscript"/>
          <w:rtl/>
        </w:rPr>
        <w:t>)</w:t>
      </w:r>
      <w:r>
        <w:rPr>
          <w:rFonts w:hint="cs"/>
          <w:rtl/>
        </w:rPr>
        <w:t xml:space="preserve">- </w:t>
      </w:r>
    </w:p>
    <w:p w:rsidR="00C10469" w:rsidRDefault="00C10469">
      <w:pPr>
        <w:ind w:firstLine="0"/>
        <w:rPr>
          <w:rtl/>
        </w:rPr>
      </w:pPr>
      <w:r>
        <w:rPr>
          <w:rFonts w:hint="cs"/>
          <w:rtl/>
        </w:rPr>
        <w:lastRenderedPageBreak/>
        <w:t>-وهو نصٌّ [معلوم</w:t>
      </w:r>
      <w:r>
        <w:rPr>
          <w:rStyle w:val="a7"/>
          <w:rtl/>
        </w:rPr>
        <w:footnoteReference w:id="2156"/>
      </w:r>
      <w:r>
        <w:rPr>
          <w:rFonts w:hint="cs"/>
          <w:rtl/>
        </w:rPr>
        <w:t>]</w:t>
      </w:r>
      <w:r>
        <w:rPr>
          <w:rFonts w:hint="cs"/>
          <w:vertAlign w:val="superscript"/>
          <w:rtl/>
        </w:rPr>
        <w:t>(</w:t>
      </w:r>
      <w:r>
        <w:rPr>
          <w:rStyle w:val="a7"/>
          <w:rtl/>
        </w:rPr>
        <w:footnoteReference w:id="2157"/>
      </w:r>
      <w:r>
        <w:rPr>
          <w:rFonts w:hint="cs"/>
          <w:vertAlign w:val="superscript"/>
          <w:rtl/>
        </w:rPr>
        <w:t>)</w:t>
      </w:r>
      <w:r>
        <w:rPr>
          <w:rFonts w:hint="cs"/>
          <w:rtl/>
        </w:rPr>
        <w:t>- فإن جاز تعدية هذا النصّ : يلزم ترجيح القياس على النصّ بالضرورة، وإن لم يجز : يلزم [انسداد]</w:t>
      </w:r>
      <w:r>
        <w:rPr>
          <w:rStyle w:val="a7"/>
          <w:rtl/>
        </w:rPr>
        <w:footnoteReference w:id="2158"/>
      </w:r>
      <w:r>
        <w:rPr>
          <w:rFonts w:hint="cs"/>
          <w:rtl/>
        </w:rPr>
        <w:t xml:space="preserve"> باب القياس، وهو مفتوح بالإجماع</w:t>
      </w:r>
      <w:r>
        <w:rPr>
          <w:rFonts w:hint="cs"/>
          <w:vertAlign w:val="superscript"/>
          <w:rtl/>
        </w:rPr>
        <w:t>(</w:t>
      </w:r>
      <w:r>
        <w:rPr>
          <w:rStyle w:val="a7"/>
          <w:rtl/>
        </w:rPr>
        <w:footnoteReference w:id="2159"/>
      </w:r>
      <w:r>
        <w:rPr>
          <w:rFonts w:hint="cs"/>
          <w:vertAlign w:val="superscript"/>
          <w:rtl/>
        </w:rPr>
        <w:t>)</w:t>
      </w:r>
      <w:r>
        <w:rPr>
          <w:rFonts w:hint="cs"/>
          <w:rtl/>
        </w:rPr>
        <w:t>.</w:t>
      </w:r>
    </w:p>
    <w:p w:rsidR="00C10469" w:rsidRDefault="00C10469">
      <w:pPr>
        <w:rPr>
          <w:spacing w:val="-4"/>
          <w:rtl/>
        </w:rPr>
      </w:pPr>
      <w:r>
        <w:rPr>
          <w:rFonts w:hint="cs"/>
          <w:b/>
          <w:bCs/>
          <w:spacing w:val="-4"/>
          <w:rtl/>
        </w:rPr>
        <w:t>وخرجت</w:t>
      </w:r>
      <w:r>
        <w:rPr>
          <w:rFonts w:hint="cs"/>
          <w:spacing w:val="-4"/>
          <w:rtl/>
        </w:rPr>
        <w:t xml:space="preserve"> عن هذا الأصل : المسألة المذكورة في دعوى (المبسوط)، وهي :أَمَةٌ وَلَدَتْ ثلاثة أولادٍ في بطونٍ مختلفة، فادعى المولى نسبَ الأكبر : لا يثبت نسبُ مَنْ </w:t>
      </w:r>
      <w:r>
        <w:rPr>
          <w:rFonts w:hint="cs"/>
          <w:spacing w:val="-4"/>
          <w:rtl/>
        </w:rPr>
        <w:lastRenderedPageBreak/>
        <w:t>بعدَهُ</w:t>
      </w:r>
      <w:r>
        <w:rPr>
          <w:rFonts w:hint="cs"/>
          <w:spacing w:val="-4"/>
          <w:vertAlign w:val="superscript"/>
          <w:rtl/>
        </w:rPr>
        <w:t>(</w:t>
      </w:r>
      <w:r>
        <w:rPr>
          <w:rStyle w:val="a7"/>
          <w:spacing w:val="-4"/>
          <w:rtl/>
        </w:rPr>
        <w:footnoteReference w:id="2160"/>
      </w:r>
      <w:r>
        <w:rPr>
          <w:rFonts w:hint="cs"/>
          <w:spacing w:val="-4"/>
          <w:vertAlign w:val="superscript"/>
          <w:rtl/>
        </w:rPr>
        <w:t>)</w:t>
      </w:r>
      <w:r>
        <w:rPr>
          <w:rFonts w:hint="cs"/>
          <w:spacing w:val="-4"/>
          <w:rtl/>
        </w:rPr>
        <w:t>.</w:t>
      </w:r>
    </w:p>
    <w:p w:rsidR="00C10469" w:rsidRDefault="00C10469">
      <w:pPr>
        <w:rPr>
          <w:rtl/>
        </w:rPr>
      </w:pPr>
      <w:r>
        <w:rPr>
          <w:rFonts w:hint="cs"/>
          <w:rtl/>
        </w:rPr>
        <w:t>فلو : لا</w:t>
      </w:r>
      <w:r>
        <w:rPr>
          <w:rFonts w:hint="cs"/>
          <w:vertAlign w:val="superscript"/>
          <w:rtl/>
        </w:rPr>
        <w:t>(</w:t>
      </w:r>
      <w:r>
        <w:rPr>
          <w:rStyle w:val="a7"/>
          <w:rtl/>
        </w:rPr>
        <w:footnoteReference w:id="2161"/>
      </w:r>
      <w:r>
        <w:rPr>
          <w:rFonts w:hint="cs"/>
          <w:vertAlign w:val="superscript"/>
          <w:rtl/>
        </w:rPr>
        <w:t>)</w:t>
      </w:r>
      <w:r>
        <w:rPr>
          <w:rFonts w:hint="cs"/>
          <w:rtl/>
        </w:rPr>
        <w:t xml:space="preserve"> يوجب التخصيص : لثبت نسبهما؛ لأنّهما وَلَدَا أمِّ ولده</w:t>
      </w:r>
      <w:r>
        <w:rPr>
          <w:rStyle w:val="a7"/>
          <w:rtl/>
        </w:rPr>
        <w:footnoteReference w:id="2162"/>
      </w:r>
      <w:r>
        <w:rPr>
          <w:rFonts w:hint="cs"/>
          <w:rtl/>
        </w:rPr>
        <w:t>!.</w:t>
      </w:r>
    </w:p>
    <w:p w:rsidR="00C10469" w:rsidRDefault="00C10469">
      <w:pPr>
        <w:rPr>
          <w:rtl/>
        </w:rPr>
      </w:pPr>
      <w:r>
        <w:rPr>
          <w:rFonts w:hint="cs"/>
          <w:b/>
          <w:bCs/>
          <w:rtl/>
        </w:rPr>
        <w:t>والجواب</w:t>
      </w:r>
      <w:r>
        <w:rPr>
          <w:rFonts w:hint="cs"/>
          <w:rtl/>
        </w:rPr>
        <w:t xml:space="preserve"> : أن هذا ليس للتخصيص؛ بل لأصل [آخر]</w:t>
      </w:r>
      <w:r>
        <w:rPr>
          <w:rStyle w:val="a7"/>
          <w:rtl/>
        </w:rPr>
        <w:footnoteReference w:id="2163"/>
      </w:r>
      <w:r>
        <w:rPr>
          <w:rFonts w:hint="cs"/>
          <w:rtl/>
        </w:rPr>
        <w:t xml:space="preserve"> وهو: «السكوت عند الحاجة إلى البيان تمام البيان»</w:t>
      </w:r>
      <w:r>
        <w:rPr>
          <w:rFonts w:hint="cs"/>
          <w:vertAlign w:val="superscript"/>
          <w:rtl/>
        </w:rPr>
        <w:t>(</w:t>
      </w:r>
      <w:r>
        <w:rPr>
          <w:rStyle w:val="a7"/>
          <w:rtl/>
        </w:rPr>
        <w:footnoteReference w:id="2164"/>
      </w:r>
      <w:r>
        <w:rPr>
          <w:rFonts w:hint="cs"/>
          <w:vertAlign w:val="superscript"/>
          <w:rtl/>
        </w:rPr>
        <w:t>)</w:t>
      </w:r>
      <w:r>
        <w:rPr>
          <w:rFonts w:hint="cs"/>
          <w:rtl/>
        </w:rPr>
        <w:t>، فإن الإقرار عند ظهور النسب واجبٌ شرعًا</w:t>
      </w:r>
      <w:r>
        <w:rPr>
          <w:rStyle w:val="a7"/>
          <w:rtl/>
        </w:rPr>
        <w:footnoteReference w:id="2165"/>
      </w:r>
      <w:r>
        <w:rPr>
          <w:rFonts w:hint="cs"/>
          <w:rtl/>
        </w:rPr>
        <w:t>، فسكوته عنهما نفي صراح</w:t>
      </w:r>
      <w:r>
        <w:rPr>
          <w:rStyle w:val="a7"/>
          <w:rtl/>
        </w:rPr>
        <w:footnoteReference w:id="2166"/>
      </w:r>
      <w:r>
        <w:rPr>
          <w:rFonts w:hint="cs"/>
          <w:rtl/>
        </w:rPr>
        <w:t>، حملاً لأمره على الصلاح</w:t>
      </w:r>
      <w:r>
        <w:rPr>
          <w:rFonts w:hint="cs"/>
          <w:vertAlign w:val="superscript"/>
          <w:rtl/>
        </w:rPr>
        <w:t>(</w:t>
      </w:r>
      <w:r>
        <w:rPr>
          <w:rStyle w:val="a7"/>
          <w:rtl/>
        </w:rPr>
        <w:footnoteReference w:id="2167"/>
      </w:r>
      <w:r>
        <w:rPr>
          <w:rFonts w:hint="cs"/>
          <w:vertAlign w:val="superscript"/>
          <w:rtl/>
        </w:rPr>
        <w:t>)</w:t>
      </w:r>
      <w:r>
        <w:rPr>
          <w:rFonts w:hint="cs"/>
          <w:rtl/>
        </w:rPr>
        <w:t>.</w:t>
      </w:r>
    </w:p>
    <w:p w:rsidR="00C10469" w:rsidRDefault="00C10469">
      <w:pPr>
        <w:rPr>
          <w:rtl/>
        </w:rPr>
      </w:pPr>
      <w:r>
        <w:rPr>
          <w:rFonts w:hint="cs"/>
          <w:b/>
          <w:bCs/>
          <w:rtl/>
        </w:rPr>
        <w:lastRenderedPageBreak/>
        <w:t>وأما في الحصر</w:t>
      </w:r>
      <w:r>
        <w:rPr>
          <w:rFonts w:hint="cs"/>
          <w:rtl/>
        </w:rPr>
        <w:t xml:space="preserve"> في قوله </w:t>
      </w:r>
      <w:r>
        <w:t xml:space="preserve"> </w:t>
      </w:r>
      <w:r>
        <w:rPr>
          <w:rFonts w:ascii="AGA Arabesque" w:hAnsi="AGA Arabesque" w:cs="AGA Arabesque"/>
          <w:sz w:val="36"/>
        </w:rPr>
        <w:t></w:t>
      </w:r>
      <w:r>
        <w:rPr>
          <w:rFonts w:hint="cs"/>
          <w:rtl/>
        </w:rPr>
        <w:t xml:space="preserve">: « </w:t>
      </w:r>
      <w:r>
        <w:rPr>
          <w:rFonts w:cs="DecoType Naskh Special" w:hint="cs"/>
          <w:sz w:val="33"/>
          <w:szCs w:val="33"/>
          <w:rtl/>
        </w:rPr>
        <w:t>في خَمْسٍ   مِنَ   الإبلِ   شَاةٌ</w:t>
      </w:r>
      <w:r>
        <w:rPr>
          <w:rFonts w:cs="DecoType Naskh Variants" w:hint="cs"/>
          <w:sz w:val="34"/>
          <w:szCs w:val="34"/>
          <w:rtl/>
        </w:rPr>
        <w:t xml:space="preserve"> </w:t>
      </w:r>
      <w:r>
        <w:rPr>
          <w:rFonts w:hint="cs"/>
          <w:rtl/>
        </w:rPr>
        <w:t>»</w:t>
      </w:r>
      <w:r>
        <w:rPr>
          <w:rFonts w:hint="cs"/>
          <w:vertAlign w:val="superscript"/>
          <w:rtl/>
        </w:rPr>
        <w:t>(</w:t>
      </w:r>
      <w:r>
        <w:rPr>
          <w:rStyle w:val="a7"/>
          <w:rtl/>
        </w:rPr>
        <w:footnoteReference w:id="2168"/>
      </w:r>
      <w:r>
        <w:rPr>
          <w:rFonts w:hint="cs"/>
          <w:vertAlign w:val="superscript"/>
          <w:rtl/>
        </w:rPr>
        <w:t>)</w:t>
      </w:r>
      <w:r>
        <w:rPr>
          <w:rFonts w:hint="cs"/>
          <w:rtl/>
        </w:rPr>
        <w:t xml:space="preserve">: </w:t>
      </w:r>
    </w:p>
    <w:p w:rsidR="00C10469" w:rsidRDefault="00C10469">
      <w:pPr>
        <w:rPr>
          <w:rtl/>
        </w:rPr>
      </w:pPr>
      <w:r>
        <w:rPr>
          <w:rFonts w:hint="cs"/>
          <w:b/>
          <w:bCs/>
          <w:rtl/>
        </w:rPr>
        <w:t>بناء على</w:t>
      </w:r>
      <w:r>
        <w:rPr>
          <w:rFonts w:hint="cs"/>
          <w:rtl/>
        </w:rPr>
        <w:t xml:space="preserve"> السؤال</w:t>
      </w:r>
      <w:r>
        <w:rPr>
          <w:rStyle w:val="a7"/>
          <w:rtl/>
        </w:rPr>
        <w:footnoteReference w:id="2169"/>
      </w:r>
      <w:r>
        <w:rPr>
          <w:rFonts w:hint="cs"/>
          <w:rtl/>
        </w:rPr>
        <w:t>، أو على وقوع الحادثة</w:t>
      </w:r>
      <w:r>
        <w:rPr>
          <w:rFonts w:hint="cs"/>
          <w:vertAlign w:val="superscript"/>
          <w:rtl/>
        </w:rPr>
        <w:t>(</w:t>
      </w:r>
      <w:r>
        <w:rPr>
          <w:rStyle w:val="a7"/>
          <w:rtl/>
        </w:rPr>
        <w:footnoteReference w:id="2170"/>
      </w:r>
      <w:r>
        <w:rPr>
          <w:rFonts w:hint="cs"/>
          <w:vertAlign w:val="superscript"/>
          <w:rtl/>
        </w:rPr>
        <w:t>)</w:t>
      </w:r>
      <w:r>
        <w:rPr>
          <w:rFonts w:hint="cs"/>
          <w:rtl/>
        </w:rPr>
        <w:t>.</w:t>
      </w:r>
    </w:p>
    <w:p w:rsidR="00C10469" w:rsidRDefault="00C10469" w:rsidP="00C10469">
      <w:pPr>
        <w:spacing w:line="228" w:lineRule="auto"/>
        <w:rPr>
          <w:rtl/>
        </w:rPr>
      </w:pPr>
      <w:r>
        <w:rPr>
          <w:rFonts w:hint="cs"/>
          <w:b/>
          <w:bCs/>
          <w:rtl/>
        </w:rPr>
        <w:lastRenderedPageBreak/>
        <w:t>وردّ الشهادة</w:t>
      </w:r>
      <w:r>
        <w:rPr>
          <w:rFonts w:hint="cs"/>
          <w:rtl/>
        </w:rPr>
        <w:t xml:space="preserve"> بقول الشهود : لا نعلم [له]</w:t>
      </w:r>
      <w:r>
        <w:rPr>
          <w:rStyle w:val="a7"/>
          <w:rtl/>
        </w:rPr>
        <w:footnoteReference w:id="2171"/>
      </w:r>
      <w:r>
        <w:rPr>
          <w:rFonts w:hint="cs"/>
          <w:rtl/>
        </w:rPr>
        <w:t xml:space="preserve"> وارثًا آخر في أرض كذا : </w:t>
      </w:r>
      <w:r>
        <w:rPr>
          <w:rFonts w:hint="cs"/>
          <w:b/>
          <w:bCs/>
          <w:rtl/>
        </w:rPr>
        <w:t>للشبهة</w:t>
      </w:r>
      <w:r>
        <w:rPr>
          <w:rFonts w:hint="cs"/>
          <w:rtl/>
        </w:rPr>
        <w:t xml:space="preserve"> النّاشئة</w:t>
      </w:r>
      <w:r>
        <w:rPr>
          <w:rStyle w:val="a7"/>
          <w:rtl/>
        </w:rPr>
        <w:footnoteReference w:id="2172"/>
      </w:r>
      <w:r>
        <w:rPr>
          <w:rFonts w:hint="cs"/>
          <w:rtl/>
        </w:rPr>
        <w:t xml:space="preserve"> من التخصيص، وبمثلها لا</w:t>
      </w:r>
      <w:r>
        <w:rPr>
          <w:rStyle w:val="a7"/>
          <w:rtl/>
        </w:rPr>
        <w:footnoteReference w:id="2173"/>
      </w:r>
      <w:r>
        <w:rPr>
          <w:rFonts w:hint="cs"/>
          <w:rtl/>
        </w:rPr>
        <w:t xml:space="preserve"> يصّح إثبات الأحكام</w:t>
      </w:r>
      <w:r>
        <w:rPr>
          <w:rFonts w:hint="cs"/>
          <w:vertAlign w:val="superscript"/>
          <w:rtl/>
        </w:rPr>
        <w:t>(</w:t>
      </w:r>
      <w:r>
        <w:rPr>
          <w:rStyle w:val="a7"/>
          <w:rtl/>
        </w:rPr>
        <w:footnoteReference w:id="2174"/>
      </w:r>
      <w:r>
        <w:rPr>
          <w:rFonts w:hint="cs"/>
          <w:vertAlign w:val="superscript"/>
          <w:rtl/>
        </w:rPr>
        <w:t>)</w:t>
      </w:r>
      <w:r>
        <w:rPr>
          <w:rFonts w:hint="cs"/>
          <w:rtl/>
        </w:rPr>
        <w:t>.</w:t>
      </w:r>
    </w:p>
    <w:p w:rsidR="00C10469" w:rsidRDefault="00C10469" w:rsidP="00C10469">
      <w:pPr>
        <w:spacing w:line="228" w:lineRule="auto"/>
        <w:rPr>
          <w:rtl/>
        </w:rPr>
      </w:pPr>
      <w:r>
        <w:rPr>
          <w:rFonts w:hint="cs"/>
          <w:b/>
          <w:bCs/>
          <w:rtl/>
        </w:rPr>
        <w:t>واعترض</w:t>
      </w:r>
      <w:r>
        <w:rPr>
          <w:rFonts w:hint="cs"/>
          <w:rtl/>
        </w:rPr>
        <w:t xml:space="preserve"> على هذا الأصل بأن أهـل السـنة</w:t>
      </w:r>
      <w:r>
        <w:rPr>
          <w:rFonts w:hint="cs"/>
          <w:vertAlign w:val="superscript"/>
          <w:rtl/>
        </w:rPr>
        <w:t>(</w:t>
      </w:r>
      <w:r>
        <w:rPr>
          <w:rStyle w:val="a7"/>
          <w:rtl/>
        </w:rPr>
        <w:footnoteReference w:id="2175"/>
      </w:r>
      <w:r>
        <w:rPr>
          <w:rFonts w:hint="cs"/>
          <w:vertAlign w:val="superscript"/>
          <w:rtl/>
        </w:rPr>
        <w:t>)</w:t>
      </w:r>
      <w:r>
        <w:rPr>
          <w:rFonts w:hint="cs"/>
          <w:rtl/>
        </w:rPr>
        <w:t xml:space="preserve"> استدلوا على جواز رؤية الله تعالى</w:t>
      </w:r>
    </w:p>
    <w:p w:rsidR="00C10469" w:rsidRDefault="00C10469">
      <w:pPr>
        <w:ind w:firstLine="0"/>
        <w:rPr>
          <w:rtl/>
        </w:rPr>
      </w:pPr>
      <w:r>
        <w:rPr>
          <w:rFonts w:hint="cs"/>
          <w:rtl/>
        </w:rPr>
        <w:lastRenderedPageBreak/>
        <w:t>بقوله تعالى</w:t>
      </w:r>
      <w:r>
        <w:rPr>
          <w:rStyle w:val="a7"/>
          <w:rtl/>
        </w:rPr>
        <w:footnoteReference w:id="2176"/>
      </w:r>
      <w:r>
        <w:rPr>
          <w:rFonts w:hint="cs"/>
          <w:rtl/>
        </w:rPr>
        <w:t xml:space="preserve">: </w:t>
      </w:r>
      <w:r>
        <w:rPr>
          <w:color w:val="000000"/>
          <w:sz w:val="28"/>
          <w:szCs w:val="28"/>
        </w:rPr>
        <w:sym w:font="HQPB2" w:char="F0E2"/>
      </w:r>
      <w:r>
        <w:rPr>
          <w:color w:val="000000"/>
          <w:sz w:val="28"/>
          <w:szCs w:val="28"/>
          <w:rtl/>
        </w:rPr>
        <w:t xml:space="preserve"> </w:t>
      </w:r>
      <w:r>
        <w:rPr>
          <w:color w:val="000000"/>
          <w:sz w:val="28"/>
          <w:szCs w:val="28"/>
        </w:rPr>
        <w:sym w:font="HQPB5" w:char="F048"/>
      </w:r>
      <w:r>
        <w:rPr>
          <w:color w:val="000000"/>
          <w:sz w:val="28"/>
          <w:szCs w:val="28"/>
        </w:rPr>
        <w:sym w:font="HQPB2" w:char="F078"/>
      </w:r>
      <w:r>
        <w:rPr>
          <w:color w:val="000000"/>
          <w:sz w:val="28"/>
          <w:szCs w:val="28"/>
        </w:rPr>
        <w:sym w:font="HQPB5" w:char="F078"/>
      </w:r>
      <w:r>
        <w:rPr>
          <w:color w:val="000000"/>
          <w:sz w:val="28"/>
          <w:szCs w:val="28"/>
        </w:rPr>
        <w:sym w:font="HQPB2" w:char="F02E"/>
      </w:r>
      <w:r>
        <w:rPr>
          <w:color w:val="000000"/>
          <w:sz w:val="28"/>
          <w:szCs w:val="28"/>
          <w:rtl/>
        </w:rPr>
        <w:t xml:space="preserve"> </w:t>
      </w:r>
      <w:r>
        <w:rPr>
          <w:color w:val="000000"/>
          <w:sz w:val="28"/>
          <w:szCs w:val="28"/>
        </w:rPr>
        <w:sym w:font="HQPB4" w:char="F0F6"/>
      </w:r>
      <w:r>
        <w:rPr>
          <w:color w:val="000000"/>
          <w:sz w:val="28"/>
          <w:szCs w:val="28"/>
        </w:rPr>
        <w:sym w:font="HQPB2" w:char="F04E"/>
      </w:r>
      <w:r>
        <w:rPr>
          <w:color w:val="000000"/>
          <w:sz w:val="28"/>
          <w:szCs w:val="28"/>
        </w:rPr>
        <w:sym w:font="HQPB4" w:char="F0E5"/>
      </w:r>
      <w:r>
        <w:rPr>
          <w:color w:val="000000"/>
          <w:sz w:val="28"/>
          <w:szCs w:val="28"/>
        </w:rPr>
        <w:sym w:font="HQPB2" w:char="F06B"/>
      </w:r>
      <w:r>
        <w:rPr>
          <w:color w:val="000000"/>
          <w:sz w:val="28"/>
          <w:szCs w:val="28"/>
        </w:rPr>
        <w:sym w:font="HQPB4" w:char="F0A8"/>
      </w:r>
      <w:r>
        <w:rPr>
          <w:color w:val="000000"/>
          <w:sz w:val="28"/>
          <w:szCs w:val="28"/>
        </w:rPr>
        <w:sym w:font="HQPB2" w:char="F058"/>
      </w:r>
      <w:r>
        <w:rPr>
          <w:color w:val="000000"/>
          <w:sz w:val="28"/>
          <w:szCs w:val="28"/>
        </w:rPr>
        <w:sym w:font="HQPB4" w:char="F0CE"/>
      </w:r>
      <w:r>
        <w:rPr>
          <w:color w:val="000000"/>
          <w:sz w:val="28"/>
          <w:szCs w:val="28"/>
        </w:rPr>
        <w:sym w:font="HQPB1" w:char="F029"/>
      </w:r>
      <w:r>
        <w:rPr>
          <w:color w:val="000000"/>
          <w:sz w:val="28"/>
          <w:szCs w:val="28"/>
          <w:rtl/>
        </w:rPr>
        <w:t xml:space="preserve"> </w:t>
      </w:r>
      <w:r>
        <w:rPr>
          <w:color w:val="000000"/>
          <w:sz w:val="28"/>
          <w:szCs w:val="28"/>
        </w:rPr>
        <w:sym w:font="HQPB2" w:char="F060"/>
      </w:r>
      <w:r>
        <w:rPr>
          <w:color w:val="000000"/>
          <w:sz w:val="28"/>
          <w:szCs w:val="28"/>
        </w:rPr>
        <w:sym w:font="HQPB5" w:char="F074"/>
      </w:r>
      <w:r>
        <w:rPr>
          <w:color w:val="000000"/>
          <w:sz w:val="28"/>
          <w:szCs w:val="28"/>
        </w:rPr>
        <w:sym w:font="HQPB1" w:char="F0E3"/>
      </w:r>
      <w:r>
        <w:rPr>
          <w:color w:val="000000"/>
          <w:sz w:val="28"/>
          <w:szCs w:val="28"/>
          <w:rtl/>
        </w:rPr>
        <w:t xml:space="preserve"> </w:t>
      </w:r>
      <w:r>
        <w:rPr>
          <w:color w:val="000000"/>
          <w:sz w:val="28"/>
          <w:szCs w:val="28"/>
        </w:rPr>
        <w:sym w:font="HQPB4" w:char="F0F6"/>
      </w:r>
      <w:r>
        <w:rPr>
          <w:color w:val="000000"/>
          <w:sz w:val="28"/>
          <w:szCs w:val="28"/>
        </w:rPr>
        <w:sym w:font="HQPB2" w:char="F04E"/>
      </w:r>
      <w:r>
        <w:rPr>
          <w:color w:val="000000"/>
          <w:sz w:val="28"/>
          <w:szCs w:val="28"/>
        </w:rPr>
        <w:sym w:font="HQPB4" w:char="F0CD"/>
      </w:r>
      <w:r>
        <w:rPr>
          <w:color w:val="000000"/>
          <w:sz w:val="28"/>
          <w:szCs w:val="28"/>
        </w:rPr>
        <w:sym w:font="HQPB2" w:char="F06B"/>
      </w:r>
      <w:r>
        <w:rPr>
          <w:color w:val="000000"/>
          <w:sz w:val="28"/>
          <w:szCs w:val="28"/>
        </w:rPr>
        <w:sym w:font="HQPB4" w:char="F0CD"/>
      </w:r>
      <w:r>
        <w:rPr>
          <w:color w:val="000000"/>
          <w:sz w:val="28"/>
          <w:szCs w:val="28"/>
        </w:rPr>
        <w:sym w:font="HQPB4" w:char="F068"/>
      </w:r>
      <w:r>
        <w:rPr>
          <w:color w:val="000000"/>
          <w:sz w:val="28"/>
          <w:szCs w:val="28"/>
        </w:rPr>
        <w:sym w:font="HQPB1" w:char="F035"/>
      </w:r>
      <w:r>
        <w:rPr>
          <w:color w:val="000000"/>
          <w:sz w:val="28"/>
          <w:szCs w:val="28"/>
        </w:rPr>
        <w:sym w:font="HQPB4" w:char="F0A7"/>
      </w:r>
      <w:r>
        <w:rPr>
          <w:color w:val="000000"/>
          <w:sz w:val="28"/>
          <w:szCs w:val="28"/>
        </w:rPr>
        <w:sym w:font="HQPB1" w:char="F091"/>
      </w:r>
      <w:r>
        <w:rPr>
          <w:color w:val="000000"/>
          <w:sz w:val="28"/>
          <w:szCs w:val="28"/>
          <w:rtl/>
        </w:rPr>
        <w:t xml:space="preserve"> </w:t>
      </w:r>
      <w:r>
        <w:rPr>
          <w:color w:val="000000"/>
          <w:sz w:val="28"/>
          <w:szCs w:val="28"/>
        </w:rPr>
        <w:lastRenderedPageBreak/>
        <w:sym w:font="HQPB4" w:char="F037"/>
      </w:r>
      <w:r>
        <w:rPr>
          <w:color w:val="000000"/>
          <w:sz w:val="28"/>
          <w:szCs w:val="28"/>
        </w:rPr>
        <w:sym w:font="HQPB1" w:char="F08B"/>
      </w:r>
      <w:r>
        <w:rPr>
          <w:color w:val="000000"/>
          <w:sz w:val="28"/>
          <w:szCs w:val="28"/>
        </w:rPr>
        <w:sym w:font="HQPB4" w:char="F0CD"/>
      </w:r>
      <w:r>
        <w:rPr>
          <w:color w:val="000000"/>
          <w:sz w:val="28"/>
          <w:szCs w:val="28"/>
        </w:rPr>
        <w:sym w:font="HQPB2" w:char="F0B4"/>
      </w:r>
      <w:r>
        <w:rPr>
          <w:color w:val="000000"/>
          <w:sz w:val="28"/>
          <w:szCs w:val="28"/>
        </w:rPr>
        <w:sym w:font="HQPB5" w:char="F074"/>
      </w:r>
      <w:r>
        <w:rPr>
          <w:color w:val="000000"/>
          <w:sz w:val="28"/>
          <w:szCs w:val="28"/>
        </w:rPr>
        <w:sym w:font="HQPB2" w:char="F042"/>
      </w:r>
      <w:r>
        <w:rPr>
          <w:color w:val="000000"/>
          <w:sz w:val="28"/>
          <w:szCs w:val="28"/>
        </w:rPr>
        <w:sym w:font="HQPB4" w:char="F0F6"/>
      </w:r>
      <w:r>
        <w:rPr>
          <w:color w:val="000000"/>
          <w:sz w:val="28"/>
          <w:szCs w:val="28"/>
        </w:rPr>
        <w:sym w:font="HQPB2" w:char="F071"/>
      </w:r>
      <w:r>
        <w:rPr>
          <w:color w:val="000000"/>
          <w:sz w:val="28"/>
          <w:szCs w:val="28"/>
        </w:rPr>
        <w:sym w:font="HQPB5" w:char="F074"/>
      </w:r>
      <w:r>
        <w:rPr>
          <w:color w:val="000000"/>
          <w:sz w:val="28"/>
          <w:szCs w:val="28"/>
        </w:rPr>
        <w:sym w:font="HQPB2" w:char="F083"/>
      </w:r>
      <w:r>
        <w:rPr>
          <w:color w:val="000000"/>
          <w:sz w:val="28"/>
          <w:szCs w:val="28"/>
          <w:rtl/>
        </w:rPr>
        <w:t xml:space="preserve"> </w:t>
      </w:r>
      <w:r>
        <w:rPr>
          <w:color w:val="000000"/>
          <w:sz w:val="28"/>
          <w:szCs w:val="28"/>
        </w:rPr>
        <w:sym w:font="HQPB5" w:char="F074"/>
      </w:r>
      <w:r>
        <w:rPr>
          <w:color w:val="000000"/>
          <w:sz w:val="28"/>
          <w:szCs w:val="28"/>
        </w:rPr>
        <w:sym w:font="HQPB2" w:char="F062"/>
      </w:r>
      <w:r>
        <w:rPr>
          <w:color w:val="000000"/>
          <w:sz w:val="28"/>
          <w:szCs w:val="28"/>
        </w:rPr>
        <w:sym w:font="HQPB2" w:char="F071"/>
      </w:r>
      <w:r>
        <w:rPr>
          <w:color w:val="000000"/>
          <w:sz w:val="28"/>
          <w:szCs w:val="28"/>
        </w:rPr>
        <w:sym w:font="HQPB4" w:char="F0E7"/>
      </w:r>
      <w:r>
        <w:rPr>
          <w:color w:val="000000"/>
          <w:sz w:val="28"/>
          <w:szCs w:val="28"/>
        </w:rPr>
        <w:sym w:font="HQPB1" w:char="F02F"/>
      </w:r>
      <w:r>
        <w:rPr>
          <w:color w:val="000000"/>
          <w:sz w:val="28"/>
          <w:szCs w:val="28"/>
        </w:rPr>
        <w:sym w:font="HQPB2" w:char="F071"/>
      </w:r>
      <w:r>
        <w:rPr>
          <w:color w:val="000000"/>
          <w:sz w:val="28"/>
          <w:szCs w:val="28"/>
        </w:rPr>
        <w:sym w:font="HQPB4" w:char="F0E0"/>
      </w:r>
      <w:r>
        <w:rPr>
          <w:color w:val="000000"/>
          <w:sz w:val="28"/>
          <w:szCs w:val="28"/>
        </w:rPr>
        <w:sym w:font="HQPB1" w:char="F066"/>
      </w:r>
      <w:r>
        <w:rPr>
          <w:color w:val="000000"/>
          <w:sz w:val="28"/>
          <w:szCs w:val="28"/>
        </w:rPr>
        <w:sym w:font="HQPB4" w:char="F0F3"/>
      </w:r>
      <w:r>
        <w:rPr>
          <w:color w:val="000000"/>
          <w:sz w:val="28"/>
          <w:szCs w:val="28"/>
        </w:rPr>
        <w:sym w:font="HQPB1" w:char="F073"/>
      </w:r>
      <w:r>
        <w:rPr>
          <w:color w:val="000000"/>
          <w:sz w:val="28"/>
          <w:szCs w:val="28"/>
        </w:rPr>
        <w:sym w:font="HQPB5" w:char="F070"/>
      </w:r>
      <w:r>
        <w:rPr>
          <w:color w:val="000000"/>
          <w:sz w:val="28"/>
          <w:szCs w:val="28"/>
        </w:rPr>
        <w:sym w:font="HQPB3" w:char="F052"/>
      </w:r>
      <w:r>
        <w:rPr>
          <w:color w:val="000000"/>
          <w:sz w:val="28"/>
          <w:szCs w:val="28"/>
        </w:rPr>
        <w:sym w:font="HQPB4" w:char="F0B0"/>
      </w:r>
      <w:r>
        <w:rPr>
          <w:color w:val="000000"/>
          <w:sz w:val="28"/>
          <w:szCs w:val="28"/>
        </w:rPr>
        <w:sym w:font="HQPB3" w:char="F051"/>
      </w:r>
      <w:r>
        <w:rPr>
          <w:color w:val="000000"/>
          <w:sz w:val="28"/>
          <w:szCs w:val="28"/>
          <w:rtl/>
        </w:rPr>
        <w:t xml:space="preserve"> </w:t>
      </w:r>
      <w:r>
        <w:rPr>
          <w:color w:val="000000"/>
          <w:sz w:val="28"/>
          <w:szCs w:val="28"/>
        </w:rPr>
        <w:sym w:font="HQPB2" w:char="F0E1"/>
      </w:r>
      <w:r>
        <w:rPr>
          <w:rFonts w:hint="cs"/>
          <w:vertAlign w:val="superscript"/>
          <w:rtl/>
        </w:rPr>
        <w:t>(</w:t>
      </w:r>
      <w:r>
        <w:rPr>
          <w:rStyle w:val="a7"/>
          <w:rtl/>
        </w:rPr>
        <w:footnoteReference w:id="2177"/>
      </w:r>
      <w:r>
        <w:rPr>
          <w:rFonts w:hint="cs"/>
          <w:vertAlign w:val="superscript"/>
          <w:rtl/>
        </w:rPr>
        <w:t>)</w:t>
      </w:r>
      <w:r>
        <w:rPr>
          <w:rFonts w:hint="cs"/>
          <w:rtl/>
        </w:rPr>
        <w:t>؛ إذْ الكفّار خُصُّوا بالحَجْب، فلا يكون المؤمنون محجوبين. وهذا عمل بمفهوم المخالفة، ويسمّونه أصحاب</w:t>
      </w:r>
      <w:r>
        <w:rPr>
          <w:rFonts w:hint="cs"/>
          <w:vertAlign w:val="superscript"/>
          <w:rtl/>
        </w:rPr>
        <w:t>(</w:t>
      </w:r>
      <w:r>
        <w:rPr>
          <w:rStyle w:val="a7"/>
          <w:rtl/>
        </w:rPr>
        <w:footnoteReference w:id="2178"/>
      </w:r>
      <w:r>
        <w:rPr>
          <w:rFonts w:hint="cs"/>
          <w:vertAlign w:val="superscript"/>
          <w:rtl/>
        </w:rPr>
        <w:t>)</w:t>
      </w:r>
      <w:r>
        <w:rPr>
          <w:rFonts w:hint="cs"/>
          <w:rtl/>
        </w:rPr>
        <w:t xml:space="preserve"> الشافعي بمفهوم اللقب</w:t>
      </w:r>
      <w:r>
        <w:rPr>
          <w:rFonts w:hint="cs"/>
          <w:vertAlign w:val="superscript"/>
          <w:rtl/>
        </w:rPr>
        <w:t>(</w:t>
      </w:r>
      <w:r>
        <w:rPr>
          <w:rStyle w:val="a7"/>
          <w:rtl/>
        </w:rPr>
        <w:footnoteReference w:id="2179"/>
      </w:r>
      <w:r>
        <w:rPr>
          <w:rFonts w:hint="cs"/>
          <w:vertAlign w:val="superscript"/>
          <w:rtl/>
        </w:rPr>
        <w:t>)</w:t>
      </w:r>
      <w:r>
        <w:rPr>
          <w:rFonts w:hint="cs"/>
          <w:rtl/>
        </w:rPr>
        <w:t>.</w:t>
      </w:r>
    </w:p>
    <w:p w:rsidR="00C10469" w:rsidRDefault="00C10469">
      <w:pPr>
        <w:rPr>
          <w:spacing w:val="10"/>
          <w:rtl/>
        </w:rPr>
      </w:pPr>
      <w:r>
        <w:rPr>
          <w:rFonts w:hint="cs"/>
          <w:b/>
          <w:bCs/>
          <w:spacing w:val="10"/>
          <w:rtl/>
        </w:rPr>
        <w:t>وأجاب</w:t>
      </w:r>
      <w:r>
        <w:rPr>
          <w:rFonts w:hint="cs"/>
          <w:spacing w:val="10"/>
          <w:rtl/>
        </w:rPr>
        <w:t xml:space="preserve"> عنه [العلامة]</w:t>
      </w:r>
      <w:r>
        <w:rPr>
          <w:rStyle w:val="a7"/>
          <w:spacing w:val="10"/>
          <w:rtl/>
        </w:rPr>
        <w:footnoteReference w:id="2180"/>
      </w:r>
      <w:r>
        <w:rPr>
          <w:rFonts w:hint="cs"/>
          <w:spacing w:val="10"/>
          <w:rtl/>
        </w:rPr>
        <w:t xml:space="preserve"> النسفي- رحمه الله- بـ : «أنَّ التخصيص بالشيء لا يدل على</w:t>
      </w:r>
      <w:r>
        <w:rPr>
          <w:rStyle w:val="a7"/>
          <w:spacing w:val="10"/>
          <w:rtl/>
        </w:rPr>
        <w:footnoteReference w:id="2181"/>
      </w:r>
      <w:r>
        <w:rPr>
          <w:rFonts w:hint="cs"/>
          <w:spacing w:val="10"/>
          <w:rtl/>
        </w:rPr>
        <w:t xml:space="preserve"> نفي ما عداه عندنا، و</w:t>
      </w:r>
      <w:r>
        <w:rPr>
          <w:rStyle w:val="a7"/>
          <w:spacing w:val="10"/>
          <w:rtl/>
        </w:rPr>
        <w:footnoteReference w:id="2182"/>
      </w:r>
      <w:r>
        <w:rPr>
          <w:rFonts w:hint="cs"/>
          <w:spacing w:val="10"/>
          <w:rtl/>
        </w:rPr>
        <w:t xml:space="preserve"> حيث دلَّ إنمَّا دلّ لأمرٍ خارج، لامن قبيلِ التخصيص، فالاستدلال بهذه الآية من حيث كونهم محجوبين عقوبة لهم، فيكون أهل الجنة بخلافهم، وإلاّ لا يكون الحجبُ</w:t>
      </w:r>
      <w:r>
        <w:rPr>
          <w:rStyle w:val="a7"/>
          <w:spacing w:val="10"/>
          <w:rtl/>
        </w:rPr>
        <w:footnoteReference w:id="2183"/>
      </w:r>
      <w:r>
        <w:rPr>
          <w:rFonts w:hint="cs"/>
          <w:spacing w:val="10"/>
          <w:rtl/>
        </w:rPr>
        <w:t xml:space="preserve"> في حقّ الكفّار </w:t>
      </w:r>
      <w:r>
        <w:rPr>
          <w:rFonts w:hint="cs"/>
          <w:spacing w:val="10"/>
          <w:rtl/>
        </w:rPr>
        <w:lastRenderedPageBreak/>
        <w:t>عقوبة؛ لاستواءِ الفريقين في الحجب»</w:t>
      </w:r>
      <w:r>
        <w:rPr>
          <w:rFonts w:hint="cs"/>
          <w:spacing w:val="10"/>
          <w:vertAlign w:val="superscript"/>
          <w:rtl/>
        </w:rPr>
        <w:t>(</w:t>
      </w:r>
      <w:r>
        <w:rPr>
          <w:rStyle w:val="a7"/>
          <w:spacing w:val="10"/>
          <w:rtl/>
        </w:rPr>
        <w:footnoteReference w:id="2184"/>
      </w:r>
      <w:r>
        <w:rPr>
          <w:rFonts w:hint="cs"/>
          <w:spacing w:val="10"/>
          <w:vertAlign w:val="superscript"/>
          <w:rtl/>
        </w:rPr>
        <w:t>)</w:t>
      </w:r>
      <w:r>
        <w:rPr>
          <w:rFonts w:hint="cs"/>
          <w:spacing w:val="10"/>
          <w:rtl/>
        </w:rPr>
        <w:t>.</w:t>
      </w:r>
    </w:p>
    <w:p w:rsidR="00C10469" w:rsidRDefault="00C10469">
      <w:pPr>
        <w:rPr>
          <w:spacing w:val="10"/>
          <w:rtl/>
        </w:rPr>
      </w:pPr>
    </w:p>
    <w:p w:rsidR="00C10469" w:rsidRDefault="00C10469">
      <w:pPr>
        <w:rPr>
          <w:spacing w:val="10"/>
          <w:rtl/>
        </w:rPr>
      </w:pPr>
    </w:p>
    <w:p w:rsidR="00C10469" w:rsidRDefault="00C10469">
      <w:pPr>
        <w:rPr>
          <w:spacing w:val="10"/>
          <w:rtl/>
        </w:rPr>
      </w:pPr>
    </w:p>
    <w:p w:rsidR="00C10469" w:rsidRPr="005366C3" w:rsidRDefault="00C10469">
      <w:pPr>
        <w:jc w:val="center"/>
        <w:rPr>
          <w:spacing w:val="1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10"/>
          <w:rtl/>
        </w:rPr>
        <w:sectPr w:rsidR="00C10469" w:rsidSect="00C10469">
          <w:headerReference w:type="default" r:id="rId14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E50489" w:rsidRDefault="00C10469">
      <w:pPr>
        <w:pStyle w:val="a9"/>
        <w:rPr>
          <w:rFonts w:cs="AL-Mateen"/>
          <w:rtl/>
        </w:rPr>
      </w:pPr>
      <w:r w:rsidRPr="00E50489">
        <w:rPr>
          <w:rFonts w:cs="AL-Mateen" w:hint="cs"/>
          <w:rtl/>
        </w:rPr>
        <w:lastRenderedPageBreak/>
        <w:t>[ الـقـاعـدة الـحـاديـة والـتـسـعـون ]</w:t>
      </w:r>
    </w:p>
    <w:p w:rsidR="00C10469" w:rsidRDefault="00C10469">
      <w:pPr>
        <w:rPr>
          <w:rtl/>
        </w:rPr>
      </w:pPr>
      <w:r>
        <w:rPr>
          <w:rFonts w:cs="Monotype Koufi" w:hint="cs"/>
          <w:rtl/>
        </w:rPr>
        <w:t>التَّوْبَةُ علىَ حَسَبِ الجِنَايَةِ</w:t>
      </w:r>
      <w:r>
        <w:rPr>
          <w:rFonts w:hint="cs"/>
          <w:vertAlign w:val="superscript"/>
          <w:rtl/>
        </w:rPr>
        <w:t>(</w:t>
      </w:r>
      <w:r>
        <w:rPr>
          <w:rStyle w:val="a7"/>
          <w:rtl/>
        </w:rPr>
        <w:footnoteReference w:id="2185"/>
      </w:r>
      <w:r>
        <w:rPr>
          <w:rFonts w:hint="cs"/>
          <w:vertAlign w:val="superscript"/>
          <w:rtl/>
        </w:rPr>
        <w:t>)</w:t>
      </w:r>
      <w:r>
        <w:rPr>
          <w:rFonts w:hint="cs"/>
          <w:rtl/>
        </w:rPr>
        <w:t xml:space="preserve"> :</w:t>
      </w:r>
    </w:p>
    <w:p w:rsidR="00C10469" w:rsidRDefault="00C10469">
      <w:pPr>
        <w:rPr>
          <w:rtl/>
        </w:rPr>
      </w:pPr>
      <w:r>
        <w:rPr>
          <w:rFonts w:hint="cs"/>
          <w:b/>
          <w:bCs/>
          <w:rtl/>
        </w:rPr>
        <w:t>ولذا</w:t>
      </w:r>
      <w:r>
        <w:rPr>
          <w:rFonts w:hint="cs"/>
          <w:rtl/>
        </w:rPr>
        <w:t xml:space="preserve"> : «لا يصحّ</w:t>
      </w:r>
      <w:r>
        <w:rPr>
          <w:rStyle w:val="a7"/>
          <w:rtl/>
        </w:rPr>
        <w:footnoteReference w:id="2186"/>
      </w:r>
      <w:r>
        <w:rPr>
          <w:rFonts w:hint="cs"/>
          <w:rtl/>
        </w:rPr>
        <w:t xml:space="preserve"> الرجوع عن الشهادة إلا بحضرة الحاكم، سواء كان هو الأوّل أَوْلاَ (أي : القاضي الأول)؛ لأن الرجوع عن الشهادة توبة، وشهادة الزّور جنايةٌ في مجلس الحكم، فالتوبة عنها [تتقيَّد]</w:t>
      </w:r>
      <w:r>
        <w:rPr>
          <w:rStyle w:val="a7"/>
          <w:rtl/>
        </w:rPr>
        <w:footnoteReference w:id="2187"/>
      </w:r>
      <w:r>
        <w:rPr>
          <w:rFonts w:hint="cs"/>
          <w:rtl/>
        </w:rPr>
        <w:t xml:space="preserve"> به»</w:t>
      </w:r>
      <w:r>
        <w:rPr>
          <w:rFonts w:hint="cs"/>
          <w:vertAlign w:val="superscript"/>
          <w:rtl/>
        </w:rPr>
        <w:t>(</w:t>
      </w:r>
      <w:r>
        <w:rPr>
          <w:rStyle w:val="a7"/>
          <w:rtl/>
        </w:rPr>
        <w:footnoteReference w:id="2188"/>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4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80B4D" w:rsidRDefault="00C10469">
      <w:pPr>
        <w:pStyle w:val="a9"/>
        <w:rPr>
          <w:rFonts w:cs="AL-Mateen"/>
          <w:rtl/>
          <w:lang w:val="en-US"/>
        </w:rPr>
      </w:pPr>
      <w:r w:rsidRPr="00480B4D">
        <w:rPr>
          <w:rFonts w:cs="AL-Mateen" w:hint="cs"/>
          <w:rtl/>
          <w:lang w:val="en-US"/>
        </w:rPr>
        <w:lastRenderedPageBreak/>
        <w:t>[ الـقـاعـدة الـثـانـيـة  والتسعون]</w:t>
      </w:r>
    </w:p>
    <w:p w:rsidR="00C10469" w:rsidRDefault="00C10469">
      <w:pPr>
        <w:rPr>
          <w:rtl/>
        </w:rPr>
      </w:pPr>
      <w:r>
        <w:rPr>
          <w:rFonts w:cs="Monotype Koufi" w:hint="cs"/>
          <w:rtl/>
        </w:rPr>
        <w:t>الث</w:t>
      </w:r>
      <w:r>
        <w:rPr>
          <w:rFonts w:cs="Monotype Koufi" w:hint="cs"/>
          <w:rtl/>
          <w:lang w:bidi="ar-AE"/>
        </w:rPr>
        <w:t>َّ</w:t>
      </w:r>
      <w:r>
        <w:rPr>
          <w:rFonts w:cs="Monotype Koufi" w:hint="cs"/>
          <w:rtl/>
        </w:rPr>
        <w:t>ابِتُ اقتضاءً كالثّابتِ [نَصًّا]</w:t>
      </w:r>
      <w:r>
        <w:rPr>
          <w:rStyle w:val="a7"/>
          <w:rtl/>
        </w:rPr>
        <w:footnoteReference w:id="2189"/>
      </w:r>
      <w:r>
        <w:rPr>
          <w:rFonts w:hint="cs"/>
          <w:vertAlign w:val="superscript"/>
          <w:rtl/>
        </w:rPr>
        <w:t>(</w:t>
      </w:r>
      <w:r>
        <w:rPr>
          <w:rStyle w:val="a7"/>
          <w:rtl/>
        </w:rPr>
        <w:footnoteReference w:id="2190"/>
      </w:r>
      <w:r>
        <w:rPr>
          <w:rFonts w:hint="cs"/>
          <w:vertAlign w:val="superscript"/>
          <w:rtl/>
        </w:rPr>
        <w:t>)</w:t>
      </w:r>
      <w:r>
        <w:rPr>
          <w:rFonts w:hint="cs"/>
          <w:rtl/>
        </w:rPr>
        <w:t xml:space="preserve"> :</w:t>
      </w:r>
    </w:p>
    <w:p w:rsidR="00C10469" w:rsidRDefault="00C10469">
      <w:pPr>
        <w:rPr>
          <w:spacing w:val="6"/>
          <w:rtl/>
        </w:rPr>
      </w:pPr>
      <w:r>
        <w:rPr>
          <w:rFonts w:hint="cs"/>
          <w:b/>
          <w:bCs/>
          <w:spacing w:val="6"/>
          <w:rtl/>
        </w:rPr>
        <w:lastRenderedPageBreak/>
        <w:t>ولذا</w:t>
      </w:r>
      <w:r>
        <w:rPr>
          <w:rFonts w:hint="cs"/>
          <w:spacing w:val="6"/>
          <w:rtl/>
        </w:rPr>
        <w:t xml:space="preserve"> : </w:t>
      </w:r>
      <w:r>
        <w:rPr>
          <w:rFonts w:hint="eastAsia"/>
          <w:spacing w:val="6"/>
          <w:rtl/>
        </w:rPr>
        <w:t>«</w:t>
      </w:r>
      <w:r>
        <w:rPr>
          <w:rFonts w:hint="cs"/>
          <w:spacing w:val="6"/>
          <w:rtl/>
        </w:rPr>
        <w:t>يجب</w:t>
      </w:r>
      <w:r>
        <w:rPr>
          <w:rFonts w:hint="cs"/>
          <w:spacing w:val="6"/>
          <w:vertAlign w:val="superscript"/>
          <w:rtl/>
        </w:rPr>
        <w:t>(</w:t>
      </w:r>
      <w:r>
        <w:rPr>
          <w:rStyle w:val="a7"/>
          <w:spacing w:val="6"/>
          <w:rtl/>
        </w:rPr>
        <w:footnoteReference w:id="2191"/>
      </w:r>
      <w:r>
        <w:rPr>
          <w:rFonts w:hint="cs"/>
          <w:spacing w:val="6"/>
          <w:vertAlign w:val="superscript"/>
          <w:rtl/>
        </w:rPr>
        <w:t>)</w:t>
      </w:r>
      <w:r>
        <w:rPr>
          <w:rFonts w:hint="cs"/>
          <w:spacing w:val="6"/>
          <w:rtl/>
        </w:rPr>
        <w:t xml:space="preserve"> </w:t>
      </w:r>
      <w:r>
        <w:rPr>
          <w:rFonts w:hint="cs"/>
          <w:rtl/>
        </w:rPr>
        <w:t>عمارة الوقف</w:t>
      </w:r>
      <w:r>
        <w:rPr>
          <w:rFonts w:hint="cs"/>
          <w:spacing w:val="6"/>
          <w:rtl/>
        </w:rPr>
        <w:t>، سواء شَرَطَ الواقفُ العمارةَ، أوْلا، فإنها وإن لم [تكن]</w:t>
      </w:r>
      <w:r>
        <w:rPr>
          <w:rStyle w:val="a7"/>
          <w:spacing w:val="6"/>
          <w:rtl/>
        </w:rPr>
        <w:footnoteReference w:id="2192"/>
      </w:r>
      <w:r>
        <w:rPr>
          <w:rFonts w:hint="cs"/>
          <w:spacing w:val="6"/>
          <w:rtl/>
        </w:rPr>
        <w:t xml:space="preserve"> مشروطة نصًّا فهي</w:t>
      </w:r>
      <w:r>
        <w:rPr>
          <w:rStyle w:val="a7"/>
          <w:spacing w:val="6"/>
          <w:rtl/>
        </w:rPr>
        <w:footnoteReference w:id="2193"/>
      </w:r>
      <w:r>
        <w:rPr>
          <w:rFonts w:hint="cs"/>
          <w:spacing w:val="6"/>
          <w:rtl/>
        </w:rPr>
        <w:t xml:space="preserve"> مشروطة</w:t>
      </w:r>
      <w:r>
        <w:rPr>
          <w:rStyle w:val="a7"/>
          <w:spacing w:val="6"/>
          <w:rtl/>
        </w:rPr>
        <w:footnoteReference w:id="2194"/>
      </w:r>
      <w:r>
        <w:rPr>
          <w:rFonts w:hint="cs"/>
          <w:spacing w:val="6"/>
          <w:rtl/>
        </w:rPr>
        <w:t xml:space="preserve"> اقتضاء؛ لأن مقصودَ الواقف إدرارُ الغلّة</w:t>
      </w:r>
      <w:r>
        <w:rPr>
          <w:rStyle w:val="a7"/>
          <w:spacing w:val="6"/>
          <w:rtl/>
        </w:rPr>
        <w:footnoteReference w:id="2195"/>
      </w:r>
      <w:r>
        <w:rPr>
          <w:rFonts w:hint="cs"/>
          <w:spacing w:val="6"/>
          <w:rtl/>
        </w:rPr>
        <w:t xml:space="preserve"> مؤبّدًا على المصارف</w:t>
      </w:r>
      <w:r>
        <w:rPr>
          <w:rFonts w:hint="cs"/>
          <w:spacing w:val="6"/>
          <w:vertAlign w:val="superscript"/>
          <w:rtl/>
        </w:rPr>
        <w:t>(</w:t>
      </w:r>
      <w:r>
        <w:rPr>
          <w:rStyle w:val="a7"/>
          <w:spacing w:val="6"/>
          <w:rtl/>
        </w:rPr>
        <w:footnoteReference w:id="2196"/>
      </w:r>
      <w:r>
        <w:rPr>
          <w:rFonts w:hint="cs"/>
          <w:spacing w:val="6"/>
          <w:vertAlign w:val="superscript"/>
          <w:rtl/>
        </w:rPr>
        <w:t>)</w:t>
      </w:r>
      <w:r>
        <w:rPr>
          <w:rFonts w:hint="cs"/>
          <w:spacing w:val="6"/>
          <w:rtl/>
        </w:rPr>
        <w:t>، وهـذا إنـما يحصل بـإصلاحها وعمارتـها، فيثبت</w:t>
      </w:r>
      <w:r>
        <w:rPr>
          <w:rStyle w:val="a7"/>
          <w:spacing w:val="6"/>
          <w:rtl/>
        </w:rPr>
        <w:footnoteReference w:id="2197"/>
      </w:r>
      <w:r>
        <w:rPr>
          <w:rFonts w:hint="cs"/>
          <w:spacing w:val="6"/>
          <w:rtl/>
        </w:rPr>
        <w:t xml:space="preserve"> شرط العمارة اقتضاء</w:t>
      </w:r>
      <w:r>
        <w:rPr>
          <w:rFonts w:hint="eastAsia"/>
          <w:spacing w:val="6"/>
          <w:rtl/>
        </w:rPr>
        <w:t>»</w:t>
      </w:r>
      <w:r>
        <w:rPr>
          <w:rFonts w:hint="cs"/>
          <w:spacing w:val="6"/>
          <w:vertAlign w:val="superscript"/>
          <w:rtl/>
        </w:rPr>
        <w:t>(</w:t>
      </w:r>
      <w:r>
        <w:rPr>
          <w:rStyle w:val="a7"/>
          <w:spacing w:val="6"/>
          <w:rtl/>
        </w:rPr>
        <w:footnoteReference w:id="2198"/>
      </w:r>
      <w:r>
        <w:rPr>
          <w:rFonts w:hint="cs"/>
          <w:spacing w:val="6"/>
          <w:vertAlign w:val="superscript"/>
          <w:rtl/>
        </w:rPr>
        <w:t>)</w:t>
      </w:r>
      <w:r>
        <w:rPr>
          <w:rFonts w:hint="cs"/>
          <w:spacing w:val="6"/>
          <w:rtl/>
        </w:rPr>
        <w:t>.</w:t>
      </w:r>
    </w:p>
    <w:p w:rsidR="00C10469" w:rsidRDefault="00C10469">
      <w:pPr>
        <w:rPr>
          <w:spacing w:val="6"/>
          <w:rtl/>
        </w:rPr>
      </w:pPr>
    </w:p>
    <w:p w:rsidR="00C10469" w:rsidRDefault="00C10469">
      <w:pPr>
        <w:rPr>
          <w:spacing w:val="6"/>
          <w:rtl/>
        </w:rPr>
      </w:pPr>
    </w:p>
    <w:p w:rsidR="00C10469" w:rsidRPr="007B0B94" w:rsidRDefault="00C10469">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6"/>
          <w:rtl/>
        </w:rPr>
        <w:sectPr w:rsidR="00C10469" w:rsidSect="00C10469">
          <w:headerReference w:type="default" r:id="rId14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B21C6" w:rsidRDefault="00C10469">
      <w:pPr>
        <w:pStyle w:val="a9"/>
        <w:rPr>
          <w:rFonts w:cs="AL-Mateen"/>
          <w:rtl/>
        </w:rPr>
      </w:pPr>
      <w:r w:rsidRPr="00BB21C6">
        <w:rPr>
          <w:rFonts w:cs="AL-Mateen" w:hint="cs"/>
          <w:rtl/>
        </w:rPr>
        <w:lastRenderedPageBreak/>
        <w:t>[ الـقـاعـدة الـثـالـثـة والتـسـعـون ]</w:t>
      </w:r>
    </w:p>
    <w:p w:rsidR="00C10469" w:rsidRDefault="00C10469">
      <w:pPr>
        <w:rPr>
          <w:rtl/>
        </w:rPr>
      </w:pPr>
      <w:r>
        <w:rPr>
          <w:rFonts w:cs="Monotype Koufi" w:hint="cs"/>
          <w:rtl/>
        </w:rPr>
        <w:t>الثَّابتُ بالبيِّنةِ كالثَّابتِ بإقرارِ الخصمِ</w:t>
      </w:r>
      <w:r>
        <w:rPr>
          <w:rFonts w:hint="cs"/>
          <w:vertAlign w:val="superscript"/>
          <w:rtl/>
        </w:rPr>
        <w:t>(</w:t>
      </w:r>
      <w:r>
        <w:rPr>
          <w:rStyle w:val="a7"/>
          <w:rtl/>
        </w:rPr>
        <w:footnoteReference w:id="2199"/>
      </w:r>
      <w:r>
        <w:rPr>
          <w:rFonts w:hint="cs"/>
          <w:vertAlign w:val="superscript"/>
          <w:rtl/>
        </w:rPr>
        <w:t>)</w:t>
      </w:r>
      <w:r>
        <w:rPr>
          <w:rFonts w:hint="cs"/>
          <w:rtl/>
        </w:rPr>
        <w:t xml:space="preserve"> :</w:t>
      </w:r>
    </w:p>
    <w:p w:rsidR="00C10469" w:rsidRDefault="00C10469">
      <w:pPr>
        <w:rPr>
          <w:rtl/>
        </w:rPr>
      </w:pPr>
      <w:r>
        <w:rPr>
          <w:rFonts w:hint="cs"/>
          <w:rtl/>
        </w:rPr>
        <w:t>ففي كلّ حادثةٍ يُقضى على الخصم بإقراره يقضى</w:t>
      </w:r>
      <w:r>
        <w:rPr>
          <w:rStyle w:val="a7"/>
          <w:rtl/>
        </w:rPr>
        <w:footnoteReference w:id="2200"/>
      </w:r>
      <w:r>
        <w:rPr>
          <w:rFonts w:hint="cs"/>
          <w:rtl/>
        </w:rPr>
        <w:t xml:space="preserve"> بالبينة.</w:t>
      </w:r>
    </w:p>
    <w:p w:rsidR="00C10469" w:rsidRDefault="00C10469">
      <w:pPr>
        <w:rPr>
          <w:spacing w:val="8"/>
          <w:rtl/>
        </w:rPr>
      </w:pPr>
      <w:r>
        <w:rPr>
          <w:rFonts w:hint="cs"/>
          <w:b/>
          <w:bCs/>
          <w:spacing w:val="8"/>
          <w:rtl/>
        </w:rPr>
        <w:t>وخرج</w:t>
      </w:r>
      <w:r>
        <w:rPr>
          <w:rFonts w:hint="cs"/>
          <w:spacing w:val="8"/>
          <w:rtl/>
        </w:rPr>
        <w:t xml:space="preserve"> عن هذا </w:t>
      </w:r>
      <w:r>
        <w:rPr>
          <w:rFonts w:hint="cs"/>
          <w:rtl/>
        </w:rPr>
        <w:t xml:space="preserve">الأصل : </w:t>
      </w:r>
      <w:r>
        <w:rPr>
          <w:rFonts w:hint="eastAsia"/>
          <w:rtl/>
        </w:rPr>
        <w:t>«</w:t>
      </w:r>
      <w:r>
        <w:rPr>
          <w:rFonts w:hint="cs"/>
          <w:spacing w:val="8"/>
          <w:rtl/>
        </w:rPr>
        <w:t>ما إذا كانت دارٌ في يد رجل، فادعى آخر [أنها]</w:t>
      </w:r>
      <w:r>
        <w:rPr>
          <w:rStyle w:val="a7"/>
          <w:spacing w:val="8"/>
          <w:rtl/>
        </w:rPr>
        <w:footnoteReference w:id="2201"/>
      </w:r>
      <w:r>
        <w:rPr>
          <w:rFonts w:hint="cs"/>
          <w:spacing w:val="8"/>
          <w:rtl/>
        </w:rPr>
        <w:t xml:space="preserve"> له، وأقام بيّنة</w:t>
      </w:r>
      <w:r>
        <w:rPr>
          <w:rStyle w:val="a7"/>
          <w:spacing w:val="8"/>
          <w:rtl/>
        </w:rPr>
        <w:footnoteReference w:id="2202"/>
      </w:r>
      <w:r>
        <w:rPr>
          <w:rFonts w:hint="cs"/>
          <w:spacing w:val="8"/>
          <w:rtl/>
        </w:rPr>
        <w:t xml:space="preserve"> أنّها كانت في يده منذ شهر أو سنة : لم تقبل، مع أن المدعى</w:t>
      </w:r>
      <w:r>
        <w:rPr>
          <w:rStyle w:val="a7"/>
          <w:spacing w:val="8"/>
          <w:rtl/>
        </w:rPr>
        <w:footnoteReference w:id="2203"/>
      </w:r>
      <w:r>
        <w:rPr>
          <w:rFonts w:hint="cs"/>
          <w:spacing w:val="8"/>
          <w:rtl/>
        </w:rPr>
        <w:t xml:space="preserve"> عليه لو أقرّ به</w:t>
      </w:r>
      <w:r>
        <w:rPr>
          <w:rFonts w:hint="cs"/>
          <w:spacing w:val="8"/>
          <w:vertAlign w:val="superscript"/>
          <w:rtl/>
        </w:rPr>
        <w:t>(</w:t>
      </w:r>
      <w:r>
        <w:rPr>
          <w:rStyle w:val="a7"/>
          <w:spacing w:val="8"/>
          <w:rtl/>
        </w:rPr>
        <w:footnoteReference w:id="2204"/>
      </w:r>
      <w:r>
        <w:rPr>
          <w:rFonts w:hint="cs"/>
          <w:spacing w:val="8"/>
          <w:vertAlign w:val="superscript"/>
          <w:rtl/>
        </w:rPr>
        <w:t>)</w:t>
      </w:r>
      <w:r>
        <w:rPr>
          <w:rFonts w:hint="cs"/>
          <w:spacing w:val="8"/>
          <w:rtl/>
        </w:rPr>
        <w:t xml:space="preserve"> دُفِعَتْ إلى المدّعي اتفاقًا</w:t>
      </w:r>
      <w:r>
        <w:rPr>
          <w:rFonts w:hint="cs"/>
          <w:spacing w:val="8"/>
          <w:vertAlign w:val="superscript"/>
          <w:rtl/>
        </w:rPr>
        <w:t>(</w:t>
      </w:r>
      <w:r>
        <w:rPr>
          <w:rStyle w:val="a7"/>
          <w:spacing w:val="8"/>
          <w:rtl/>
        </w:rPr>
        <w:footnoteReference w:id="2205"/>
      </w:r>
      <w:r>
        <w:rPr>
          <w:rFonts w:hint="cs"/>
          <w:spacing w:val="8"/>
          <w:vertAlign w:val="superscript"/>
          <w:rtl/>
        </w:rPr>
        <w:t>)</w:t>
      </w:r>
      <w:r>
        <w:rPr>
          <w:rFonts w:hint="cs"/>
          <w:spacing w:val="8"/>
          <w:rtl/>
        </w:rPr>
        <w:t>، وهذا يقتضي أن يقبل</w:t>
      </w:r>
      <w:r>
        <w:rPr>
          <w:rFonts w:hint="cs"/>
          <w:spacing w:val="8"/>
          <w:vertAlign w:val="superscript"/>
          <w:rtl/>
        </w:rPr>
        <w:t>(</w:t>
      </w:r>
      <w:r>
        <w:rPr>
          <w:rStyle w:val="a7"/>
          <w:spacing w:val="8"/>
          <w:rtl/>
        </w:rPr>
        <w:footnoteReference w:id="2206"/>
      </w:r>
      <w:r>
        <w:rPr>
          <w:rFonts w:hint="cs"/>
          <w:spacing w:val="8"/>
          <w:vertAlign w:val="superscript"/>
          <w:rtl/>
        </w:rPr>
        <w:t>)</w:t>
      </w:r>
      <w:r>
        <w:rPr>
          <w:rFonts w:hint="cs"/>
          <w:spacing w:val="8"/>
          <w:rtl/>
        </w:rPr>
        <w:t xml:space="preserve"> - كما ذهب [إليه]</w:t>
      </w:r>
      <w:r>
        <w:rPr>
          <w:rStyle w:val="a7"/>
          <w:spacing w:val="8"/>
          <w:rtl/>
        </w:rPr>
        <w:footnoteReference w:id="2207"/>
      </w:r>
      <w:r>
        <w:rPr>
          <w:rFonts w:hint="cs"/>
          <w:spacing w:val="8"/>
          <w:rtl/>
        </w:rPr>
        <w:t xml:space="preserve"> أبو يوسفَ-!.</w:t>
      </w:r>
    </w:p>
    <w:p w:rsidR="00C10469" w:rsidRDefault="00C10469">
      <w:pPr>
        <w:rPr>
          <w:spacing w:val="6"/>
          <w:rtl/>
        </w:rPr>
      </w:pPr>
      <w:r>
        <w:rPr>
          <w:rFonts w:hint="cs"/>
          <w:b/>
          <w:bCs/>
          <w:spacing w:val="6"/>
          <w:rtl/>
        </w:rPr>
        <w:lastRenderedPageBreak/>
        <w:t>والجواب</w:t>
      </w:r>
      <w:r>
        <w:rPr>
          <w:rFonts w:hint="cs"/>
          <w:spacing w:val="6"/>
          <w:rtl/>
        </w:rPr>
        <w:t xml:space="preserve"> : أن هذه شهادة قامت على مجهول</w:t>
      </w:r>
      <w:r>
        <w:rPr>
          <w:rFonts w:hint="cs"/>
          <w:spacing w:val="6"/>
          <w:vertAlign w:val="superscript"/>
          <w:rtl/>
        </w:rPr>
        <w:t>(</w:t>
      </w:r>
      <w:r>
        <w:rPr>
          <w:rStyle w:val="a7"/>
          <w:spacing w:val="6"/>
          <w:rtl/>
        </w:rPr>
        <w:footnoteReference w:id="2208"/>
      </w:r>
      <w:r>
        <w:rPr>
          <w:rFonts w:hint="cs"/>
          <w:spacing w:val="6"/>
          <w:vertAlign w:val="superscript"/>
          <w:rtl/>
        </w:rPr>
        <w:t>)</w:t>
      </w:r>
      <w:r>
        <w:rPr>
          <w:rFonts w:hint="cs"/>
          <w:spacing w:val="6"/>
          <w:rtl/>
        </w:rPr>
        <w:t xml:space="preserve"> (وهو اليد)، فإنها الآن منقطعة، ويحتمل أنها يَدُ مُلكٍ أو وديعة أو إجارة أو غصب، فلا يحكم بالشكّ</w:t>
      </w:r>
      <w:r>
        <w:rPr>
          <w:rFonts w:hint="eastAsia"/>
          <w:spacing w:val="6"/>
          <w:rtl/>
        </w:rPr>
        <w:t>»</w:t>
      </w:r>
      <w:r>
        <w:rPr>
          <w:rFonts w:hint="cs"/>
          <w:spacing w:val="6"/>
          <w:vertAlign w:val="superscript"/>
          <w:rtl/>
        </w:rPr>
        <w:t>(</w:t>
      </w:r>
      <w:r>
        <w:rPr>
          <w:rStyle w:val="a7"/>
          <w:spacing w:val="6"/>
          <w:rtl/>
        </w:rPr>
        <w:footnoteReference w:id="2209"/>
      </w:r>
      <w:r>
        <w:rPr>
          <w:rFonts w:hint="cs"/>
          <w:spacing w:val="6"/>
          <w:vertAlign w:val="superscript"/>
          <w:rtl/>
        </w:rPr>
        <w:t>)</w:t>
      </w:r>
      <w:r>
        <w:rPr>
          <w:rFonts w:hint="cs"/>
          <w:spacing w:val="6"/>
          <w:rtl/>
        </w:rPr>
        <w:t>.</w:t>
      </w:r>
    </w:p>
    <w:p w:rsidR="00C10469" w:rsidRDefault="00C10469">
      <w:pPr>
        <w:rPr>
          <w:spacing w:val="6"/>
          <w:rtl/>
        </w:rPr>
      </w:pPr>
    </w:p>
    <w:p w:rsidR="00C10469" w:rsidRDefault="00C10469">
      <w:pPr>
        <w:rPr>
          <w:spacing w:val="6"/>
          <w:rtl/>
        </w:rPr>
      </w:pPr>
    </w:p>
    <w:p w:rsidR="00C10469" w:rsidRDefault="00C10469">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6"/>
          <w:rtl/>
        </w:rPr>
        <w:sectPr w:rsidR="00C10469" w:rsidSect="00C10469">
          <w:headerReference w:type="default" r:id="rId15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03E2F" w:rsidRDefault="00C10469">
      <w:pPr>
        <w:pStyle w:val="a9"/>
        <w:rPr>
          <w:rFonts w:cs="AL-Mateen"/>
          <w:rtl/>
        </w:rPr>
      </w:pPr>
      <w:r w:rsidRPr="00803E2F">
        <w:rPr>
          <w:rFonts w:cs="AL-Mateen" w:hint="cs"/>
          <w:rtl/>
        </w:rPr>
        <w:lastRenderedPageBreak/>
        <w:t>[ الـقـاعـدة الـرابعـة والـتـسـعـون ]</w:t>
      </w:r>
    </w:p>
    <w:p w:rsidR="00C10469" w:rsidRDefault="00C10469">
      <w:pPr>
        <w:pStyle w:val="aa"/>
        <w:rPr>
          <w:bCs w:val="0"/>
          <w:rtl/>
        </w:rPr>
      </w:pPr>
      <w:r>
        <w:rPr>
          <w:rFonts w:hint="cs"/>
          <w:bCs w:val="0"/>
          <w:rtl/>
        </w:rPr>
        <w:t>الثَّابتُ بالبرهانِ كالثَّابتِ بالعَيَانِ :</w:t>
      </w:r>
    </w:p>
    <w:p w:rsidR="00C10469" w:rsidRDefault="00C10469">
      <w:pPr>
        <w:rPr>
          <w:rtl/>
        </w:rPr>
      </w:pPr>
      <w:r>
        <w:rPr>
          <w:rFonts w:hint="cs"/>
          <w:rtl/>
        </w:rPr>
        <w:t xml:space="preserve">ويُقال فيه : </w:t>
      </w:r>
      <w:r>
        <w:rPr>
          <w:rFonts w:hint="eastAsia"/>
          <w:rtl/>
        </w:rPr>
        <w:t>«</w:t>
      </w:r>
      <w:r>
        <w:rPr>
          <w:rFonts w:hint="cs"/>
          <w:rtl/>
        </w:rPr>
        <w:t>الثابت بالبينة كالثابت معاينة</w:t>
      </w:r>
      <w:r>
        <w:rPr>
          <w:rFonts w:hint="cs"/>
          <w:vertAlign w:val="superscript"/>
          <w:rtl/>
        </w:rPr>
        <w:t>(</w:t>
      </w:r>
      <w:r>
        <w:rPr>
          <w:rStyle w:val="a7"/>
          <w:rtl/>
        </w:rPr>
        <w:footnoteReference w:id="2210"/>
      </w:r>
      <w:r>
        <w:rPr>
          <w:rFonts w:hint="cs"/>
          <w:vertAlign w:val="superscript"/>
          <w:rtl/>
        </w:rPr>
        <w:t>)</w:t>
      </w:r>
      <w:r>
        <w:rPr>
          <w:rFonts w:hint="eastAsia"/>
          <w:rtl/>
        </w:rPr>
        <w:t>»</w:t>
      </w:r>
      <w:r>
        <w:rPr>
          <w:rFonts w:hint="cs"/>
          <w:rtl/>
        </w:rPr>
        <w:t>.</w:t>
      </w:r>
    </w:p>
    <w:p w:rsidR="00C10469" w:rsidRDefault="00C10469">
      <w:pPr>
        <w:rPr>
          <w:spacing w:val="8"/>
          <w:rtl/>
        </w:rPr>
      </w:pPr>
      <w:r>
        <w:rPr>
          <w:rFonts w:hint="cs"/>
          <w:b/>
          <w:bCs/>
          <w:spacing w:val="8"/>
          <w:rtl/>
        </w:rPr>
        <w:lastRenderedPageBreak/>
        <w:t>ومن فروعها</w:t>
      </w:r>
      <w:r>
        <w:rPr>
          <w:rFonts w:hint="cs"/>
          <w:spacing w:val="8"/>
          <w:rtl/>
        </w:rPr>
        <w:t xml:space="preserve"> : ما لو </w:t>
      </w:r>
      <w:r>
        <w:rPr>
          <w:rFonts w:hint="eastAsia"/>
          <w:spacing w:val="8"/>
          <w:rtl/>
        </w:rPr>
        <w:t>«</w:t>
      </w:r>
      <w:r>
        <w:rPr>
          <w:rFonts w:hint="cs"/>
          <w:spacing w:val="8"/>
          <w:rtl/>
        </w:rPr>
        <w:t>قال : كَفَلْتُ</w:t>
      </w:r>
      <w:r>
        <w:rPr>
          <w:rStyle w:val="a7"/>
          <w:spacing w:val="8"/>
          <w:rtl/>
        </w:rPr>
        <w:footnoteReference w:id="2211"/>
      </w:r>
      <w:r>
        <w:rPr>
          <w:rFonts w:hint="cs"/>
          <w:spacing w:val="8"/>
          <w:rtl/>
        </w:rPr>
        <w:t xml:space="preserve"> بِما لَكَ عليه. فقامت البينة بألف: ضمنه الكفيل؛ لأنه لو عاين</w:t>
      </w:r>
      <w:r>
        <w:rPr>
          <w:rStyle w:val="a7"/>
          <w:spacing w:val="8"/>
          <w:rtl/>
        </w:rPr>
        <w:footnoteReference w:id="2212"/>
      </w:r>
      <w:r>
        <w:rPr>
          <w:rFonts w:hint="cs"/>
          <w:spacing w:val="8"/>
          <w:rtl/>
        </w:rPr>
        <w:t xml:space="preserve"> ما عليه وكفل عنه لزمه ما عليه، فكذلك إذا ثبت بالبينة فصح الضمان</w:t>
      </w:r>
      <w:r>
        <w:rPr>
          <w:rFonts w:hint="eastAsia"/>
          <w:spacing w:val="8"/>
          <w:rtl/>
        </w:rPr>
        <w:t>»</w:t>
      </w:r>
      <w:r>
        <w:rPr>
          <w:rFonts w:hint="cs"/>
          <w:spacing w:val="8"/>
          <w:vertAlign w:val="superscript"/>
          <w:rtl/>
        </w:rPr>
        <w:t>(</w:t>
      </w:r>
      <w:r>
        <w:rPr>
          <w:rStyle w:val="a7"/>
          <w:spacing w:val="8"/>
          <w:rtl/>
        </w:rPr>
        <w:footnoteReference w:id="2213"/>
      </w:r>
      <w:r>
        <w:rPr>
          <w:rFonts w:hint="cs"/>
          <w:spacing w:val="8"/>
          <w:vertAlign w:val="superscript"/>
          <w:rtl/>
        </w:rPr>
        <w:t>)</w:t>
      </w:r>
      <w:r>
        <w:rPr>
          <w:rFonts w:hint="cs"/>
          <w:spacing w:val="8"/>
          <w:rtl/>
        </w:rPr>
        <w:t>.</w:t>
      </w:r>
    </w:p>
    <w:p w:rsidR="00C10469" w:rsidRDefault="00C10469">
      <w:pPr>
        <w:rPr>
          <w:rtl/>
        </w:rPr>
      </w:pPr>
      <w:r>
        <w:rPr>
          <w:rFonts w:hint="cs"/>
          <w:rtl/>
        </w:rPr>
        <w:t>وإلاّ</w:t>
      </w:r>
      <w:r>
        <w:rPr>
          <w:rFonts w:hint="cs"/>
          <w:vertAlign w:val="superscript"/>
          <w:rtl/>
        </w:rPr>
        <w:t>(</w:t>
      </w:r>
      <w:r>
        <w:rPr>
          <w:rStyle w:val="a7"/>
          <w:rtl/>
        </w:rPr>
        <w:footnoteReference w:id="2214"/>
      </w:r>
      <w:r>
        <w:rPr>
          <w:rFonts w:hint="cs"/>
          <w:vertAlign w:val="superscript"/>
          <w:rtl/>
        </w:rPr>
        <w:t>)</w:t>
      </w:r>
      <w:r>
        <w:rPr>
          <w:rFonts w:hint="cs"/>
          <w:rtl/>
        </w:rPr>
        <w:t xml:space="preserve"> </w:t>
      </w:r>
      <w:r>
        <w:rPr>
          <w:rFonts w:hint="eastAsia"/>
          <w:rtl/>
        </w:rPr>
        <w:t>«</w:t>
      </w:r>
      <w:r>
        <w:rPr>
          <w:rFonts w:hint="cs"/>
          <w:rtl/>
        </w:rPr>
        <w:t>صدّق الكفيل فيما يقرّ به مع يمينه، يعنى : وإن اعترف الأصيل</w:t>
      </w:r>
      <w:r>
        <w:rPr>
          <w:rStyle w:val="a7"/>
          <w:rtl/>
        </w:rPr>
        <w:footnoteReference w:id="2215"/>
      </w:r>
      <w:r>
        <w:rPr>
          <w:rFonts w:hint="cs"/>
          <w:rtl/>
        </w:rPr>
        <w:t xml:space="preserve"> </w:t>
      </w:r>
      <w:r>
        <w:rPr>
          <w:rFonts w:hint="eastAsia"/>
          <w:rtl/>
        </w:rPr>
        <w:t>بالزائد</w:t>
      </w:r>
      <w:r>
        <w:rPr>
          <w:rtl/>
        </w:rPr>
        <w:t xml:space="preserve"> على ما أقرَّ به الكفيل : لم يُصدَّق على كفيله</w:t>
      </w:r>
      <w:r>
        <w:rPr>
          <w:rFonts w:hint="cs"/>
          <w:rtl/>
        </w:rPr>
        <w:t>؛ لأنّه إقرار على الغير، ولا ولاية له عليه؛ بل يصدَّق في حق نفسه</w:t>
      </w:r>
      <w:r>
        <w:rPr>
          <w:rFonts w:hint="eastAsia"/>
          <w:rtl/>
        </w:rPr>
        <w:t>»</w:t>
      </w:r>
      <w:r>
        <w:rPr>
          <w:rStyle w:val="a7"/>
          <w:rtl/>
        </w:rPr>
        <w:footnoteReference w:id="2216"/>
      </w:r>
      <w:r>
        <w:rPr>
          <w:rFonts w:hint="cs"/>
          <w:rtl/>
        </w:rPr>
        <w:t>. كذا في (درر الأحكام)</w:t>
      </w:r>
      <w:r>
        <w:rPr>
          <w:rFonts w:hint="cs"/>
          <w:vertAlign w:val="superscript"/>
          <w:rtl/>
        </w:rPr>
        <w:t>(</w:t>
      </w:r>
      <w:r>
        <w:rPr>
          <w:rStyle w:val="a7"/>
          <w:rtl/>
        </w:rPr>
        <w:footnoteReference w:id="2217"/>
      </w:r>
      <w:r>
        <w:rPr>
          <w:rFonts w:hint="cs"/>
          <w:vertAlign w:val="superscript"/>
          <w:rtl/>
        </w:rPr>
        <w:t>)</w:t>
      </w:r>
      <w:r>
        <w:rPr>
          <w:rFonts w:hint="cs"/>
          <w:rtl/>
        </w:rPr>
        <w:t>.</w:t>
      </w:r>
    </w:p>
    <w:p w:rsidR="00C10469" w:rsidRDefault="00C10469">
      <w:pPr>
        <w:rPr>
          <w:rtl/>
        </w:rPr>
      </w:pPr>
      <w:r>
        <w:rPr>
          <w:rFonts w:hint="cs"/>
          <w:rtl/>
        </w:rPr>
        <w:t xml:space="preserve">وكذا إذا </w:t>
      </w:r>
      <w:r>
        <w:rPr>
          <w:rFonts w:hint="eastAsia"/>
          <w:rtl/>
        </w:rPr>
        <w:t>«</w:t>
      </w:r>
      <w:r>
        <w:rPr>
          <w:rFonts w:hint="cs"/>
          <w:rtl/>
        </w:rPr>
        <w:t>[ثبتت]</w:t>
      </w:r>
      <w:r>
        <w:rPr>
          <w:rStyle w:val="a7"/>
          <w:rtl/>
        </w:rPr>
        <w:footnoteReference w:id="2218"/>
      </w:r>
      <w:r>
        <w:rPr>
          <w:rFonts w:hint="cs"/>
          <w:rtl/>
        </w:rPr>
        <w:t xml:space="preserve"> الكفالة بالأمر عيانًا</w:t>
      </w:r>
      <w:r>
        <w:rPr>
          <w:rFonts w:hint="cs"/>
          <w:vertAlign w:val="superscript"/>
          <w:rtl/>
        </w:rPr>
        <w:t>(</w:t>
      </w:r>
      <w:r>
        <w:rPr>
          <w:rStyle w:val="a7"/>
          <w:rtl/>
        </w:rPr>
        <w:footnoteReference w:id="2219"/>
      </w:r>
      <w:r>
        <w:rPr>
          <w:rFonts w:hint="cs"/>
          <w:vertAlign w:val="superscript"/>
          <w:rtl/>
        </w:rPr>
        <w:t>)</w:t>
      </w:r>
      <w:r>
        <w:rPr>
          <w:rFonts w:hint="cs"/>
          <w:rtl/>
        </w:rPr>
        <w:t>: يرجع الكفيل بما أدَّى على الأصيل</w:t>
      </w:r>
      <w:r>
        <w:rPr>
          <w:rStyle w:val="a7"/>
          <w:rtl/>
        </w:rPr>
        <w:footnoteReference w:id="2220"/>
      </w:r>
      <w:r>
        <w:rPr>
          <w:rFonts w:hint="cs"/>
          <w:rtl/>
        </w:rPr>
        <w:t>، فكذا إذا [ثبتت]</w:t>
      </w:r>
      <w:r>
        <w:rPr>
          <w:rStyle w:val="a7"/>
          <w:rtl/>
        </w:rPr>
        <w:footnoteReference w:id="2221"/>
      </w:r>
      <w:r>
        <w:rPr>
          <w:rFonts w:hint="cs"/>
          <w:rtl/>
        </w:rPr>
        <w:t xml:space="preserve"> بالبيِّنة.</w:t>
      </w:r>
    </w:p>
    <w:p w:rsidR="00C10469" w:rsidRDefault="00C10469">
      <w:pPr>
        <w:rPr>
          <w:spacing w:val="6"/>
          <w:rtl/>
        </w:rPr>
      </w:pPr>
      <w:r>
        <w:rPr>
          <w:rFonts w:hint="cs"/>
          <w:spacing w:val="6"/>
          <w:rtl/>
        </w:rPr>
        <w:t>وقال زفر : لمّا</w:t>
      </w:r>
      <w:r>
        <w:rPr>
          <w:rStyle w:val="a7"/>
          <w:spacing w:val="6"/>
          <w:rtl/>
        </w:rPr>
        <w:footnoteReference w:id="2222"/>
      </w:r>
      <w:r>
        <w:rPr>
          <w:rFonts w:hint="cs"/>
          <w:spacing w:val="6"/>
          <w:rtl/>
        </w:rPr>
        <w:t xml:space="preserve"> أنكر الكفيلُ الكفالةَ فقد زعم أن الطّالب ظلمه</w:t>
      </w:r>
      <w:r>
        <w:rPr>
          <w:rStyle w:val="a7"/>
          <w:spacing w:val="6"/>
          <w:rtl/>
        </w:rPr>
        <w:footnoteReference w:id="2223"/>
      </w:r>
      <w:r>
        <w:rPr>
          <w:rFonts w:hint="cs"/>
          <w:spacing w:val="6"/>
          <w:rtl/>
        </w:rPr>
        <w:t xml:space="preserve">، </w:t>
      </w:r>
      <w:r>
        <w:rPr>
          <w:rFonts w:hint="cs"/>
          <w:spacing w:val="6"/>
          <w:rtl/>
        </w:rPr>
        <w:lastRenderedPageBreak/>
        <w:t>و</w:t>
      </w:r>
      <w:r>
        <w:rPr>
          <w:rFonts w:hint="eastAsia"/>
          <w:spacing w:val="6"/>
          <w:rtl/>
        </w:rPr>
        <w:t>«</w:t>
      </w:r>
      <w:r>
        <w:rPr>
          <w:rFonts w:hint="cs"/>
          <w:spacing w:val="6"/>
          <w:rtl/>
        </w:rPr>
        <w:t>المظلوم لا يظلم غيره</w:t>
      </w:r>
      <w:r>
        <w:rPr>
          <w:rFonts w:hint="eastAsia"/>
          <w:spacing w:val="6"/>
          <w:rtl/>
        </w:rPr>
        <w:t>»</w:t>
      </w:r>
      <w:r>
        <w:rPr>
          <w:rFonts w:hint="cs"/>
          <w:spacing w:val="6"/>
          <w:vertAlign w:val="superscript"/>
          <w:rtl/>
        </w:rPr>
        <w:t>(</w:t>
      </w:r>
      <w:r>
        <w:rPr>
          <w:rStyle w:val="a7"/>
          <w:spacing w:val="6"/>
          <w:rtl/>
        </w:rPr>
        <w:footnoteReference w:id="2224"/>
      </w:r>
      <w:r>
        <w:rPr>
          <w:rFonts w:hint="cs"/>
          <w:spacing w:val="6"/>
          <w:vertAlign w:val="superscript"/>
          <w:rtl/>
        </w:rPr>
        <w:t>)</w:t>
      </w:r>
      <w:r>
        <w:rPr>
          <w:rFonts w:hint="cs"/>
          <w:spacing w:val="6"/>
          <w:rtl/>
        </w:rPr>
        <w:t>.</w:t>
      </w:r>
    </w:p>
    <w:p w:rsidR="00C10469" w:rsidRDefault="00C10469">
      <w:pPr>
        <w:rPr>
          <w:spacing w:val="8"/>
          <w:rtl/>
        </w:rPr>
      </w:pPr>
      <w:r>
        <w:rPr>
          <w:rFonts w:hint="cs"/>
          <w:b/>
          <w:bCs/>
          <w:spacing w:val="8"/>
          <w:rtl/>
        </w:rPr>
        <w:t>والجواب</w:t>
      </w:r>
      <w:r>
        <w:rPr>
          <w:rFonts w:hint="cs"/>
          <w:spacing w:val="8"/>
          <w:rtl/>
        </w:rPr>
        <w:t xml:space="preserve"> : لما قضى القاضي عليه : صار مكذَّبًا شرعًا، فبطل ما زَعَمَهُ، كمن اشترى شيئًا، وأقرّ بأن البائع باع ملك نفسه، ثم جاء إنسان واستحقّه</w:t>
      </w:r>
      <w:r>
        <w:rPr>
          <w:rStyle w:val="a7"/>
          <w:spacing w:val="8"/>
          <w:rtl/>
        </w:rPr>
        <w:footnoteReference w:id="2225"/>
      </w:r>
      <w:r>
        <w:rPr>
          <w:rFonts w:hint="cs"/>
          <w:spacing w:val="8"/>
          <w:rtl/>
        </w:rPr>
        <w:t xml:space="preserve"> بالبينة : لا يبطل حقه في الرجوع، مع أنّه</w:t>
      </w:r>
      <w:r>
        <w:rPr>
          <w:rStyle w:val="a7"/>
          <w:spacing w:val="8"/>
          <w:rtl/>
        </w:rPr>
        <w:footnoteReference w:id="2226"/>
      </w:r>
      <w:r>
        <w:rPr>
          <w:rFonts w:hint="cs"/>
          <w:spacing w:val="8"/>
          <w:rtl/>
        </w:rPr>
        <w:t xml:space="preserve"> في زعمه كان مظلومًا؛ لأن الشرع كذّبه في زعمه</w:t>
      </w:r>
      <w:r>
        <w:rPr>
          <w:rFonts w:hint="eastAsia"/>
          <w:spacing w:val="8"/>
          <w:rtl/>
        </w:rPr>
        <w:t>»</w:t>
      </w:r>
      <w:r>
        <w:rPr>
          <w:rFonts w:hint="cs"/>
          <w:spacing w:val="8"/>
          <w:vertAlign w:val="superscript"/>
          <w:rtl/>
        </w:rPr>
        <w:t>(</w:t>
      </w:r>
      <w:r>
        <w:rPr>
          <w:rStyle w:val="a7"/>
          <w:spacing w:val="8"/>
          <w:rtl/>
        </w:rPr>
        <w:footnoteReference w:id="2227"/>
      </w:r>
      <w:r>
        <w:rPr>
          <w:rFonts w:hint="cs"/>
          <w:spacing w:val="8"/>
          <w:vertAlign w:val="superscript"/>
          <w:rtl/>
        </w:rPr>
        <w:t>)</w:t>
      </w:r>
      <w:r>
        <w:rPr>
          <w:rFonts w:hint="cs"/>
          <w:spacing w:val="8"/>
          <w:rtl/>
        </w:rPr>
        <w:t>.</w:t>
      </w:r>
    </w:p>
    <w:p w:rsidR="00C10469" w:rsidRDefault="00C10469">
      <w:pPr>
        <w:rPr>
          <w:rtl/>
        </w:rPr>
      </w:pPr>
    </w:p>
    <w:p w:rsidR="00C10469" w:rsidRDefault="00C10469">
      <w:pPr>
        <w:rPr>
          <w:rtl/>
        </w:rPr>
      </w:pPr>
    </w:p>
    <w:p w:rsidR="00C10469" w:rsidRPr="00564FDE"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5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A7603" w:rsidRDefault="00C10469">
      <w:pPr>
        <w:pStyle w:val="a9"/>
        <w:rPr>
          <w:rFonts w:cs="AL-Mateen"/>
          <w:rtl/>
        </w:rPr>
      </w:pPr>
      <w:r w:rsidRPr="006A7603">
        <w:rPr>
          <w:rFonts w:cs="AL-Mateen" w:hint="cs"/>
          <w:rtl/>
        </w:rPr>
        <w:lastRenderedPageBreak/>
        <w:t>[ الـقـاعـدة الـخـامـسـة والـتـسـعـون ]</w:t>
      </w:r>
    </w:p>
    <w:p w:rsidR="00C10469" w:rsidRDefault="00C10469">
      <w:pPr>
        <w:rPr>
          <w:rtl/>
        </w:rPr>
      </w:pPr>
      <w:r>
        <w:rPr>
          <w:rFonts w:cs="Monotype Koufi" w:hint="cs"/>
          <w:rtl/>
        </w:rPr>
        <w:t>الثَّابِتُ بالعرفِ قاضٍ على القِيَاسِ</w:t>
      </w:r>
      <w:r>
        <w:rPr>
          <w:rFonts w:hint="cs"/>
          <w:vertAlign w:val="superscript"/>
          <w:rtl/>
        </w:rPr>
        <w:t>(</w:t>
      </w:r>
      <w:r>
        <w:rPr>
          <w:rStyle w:val="a7"/>
          <w:rtl/>
        </w:rPr>
        <w:footnoteReference w:id="2228"/>
      </w:r>
      <w:r>
        <w:rPr>
          <w:rFonts w:hint="cs"/>
          <w:vertAlign w:val="superscript"/>
          <w:rtl/>
        </w:rPr>
        <w:t>)</w:t>
      </w:r>
      <w:r>
        <w:rPr>
          <w:rFonts w:hint="cs"/>
          <w:rtl/>
        </w:rPr>
        <w:t xml:space="preserve"> :</w:t>
      </w:r>
    </w:p>
    <w:p w:rsidR="00C10469" w:rsidRDefault="00C10469">
      <w:pPr>
        <w:rPr>
          <w:rtl/>
        </w:rPr>
      </w:pPr>
      <w:r>
        <w:rPr>
          <w:rFonts w:hint="cs"/>
          <w:b/>
          <w:bCs/>
          <w:rtl/>
        </w:rPr>
        <w:lastRenderedPageBreak/>
        <w:t>ولــذا</w:t>
      </w:r>
      <w:r>
        <w:rPr>
          <w:rStyle w:val="a7"/>
          <w:rtl/>
        </w:rPr>
        <w:footnoteReference w:id="2229"/>
      </w:r>
      <w:r>
        <w:rPr>
          <w:rFonts w:hint="cs"/>
          <w:rtl/>
        </w:rPr>
        <w:t xml:space="preserve"> : جـــاز بــيــع النَّــعــلِ مـــع</w:t>
      </w:r>
      <w:r>
        <w:rPr>
          <w:rStyle w:val="a7"/>
          <w:rtl/>
        </w:rPr>
        <w:footnoteReference w:id="2230"/>
      </w:r>
      <w:r>
        <w:rPr>
          <w:rFonts w:hint="cs"/>
          <w:rtl/>
        </w:rPr>
        <w:t xml:space="preserve"> شــرط </w:t>
      </w:r>
    </w:p>
    <w:p w:rsidR="00C10469" w:rsidRDefault="00C10469">
      <w:pPr>
        <w:ind w:firstLine="0"/>
        <w:rPr>
          <w:rtl/>
        </w:rPr>
      </w:pPr>
      <w:r>
        <w:rPr>
          <w:rFonts w:hint="cs"/>
          <w:rtl/>
        </w:rPr>
        <w:t>[التشريك]</w:t>
      </w:r>
      <w:r>
        <w:rPr>
          <w:rFonts w:hint="cs"/>
          <w:vertAlign w:val="superscript"/>
          <w:rtl/>
        </w:rPr>
        <w:t>(</w:t>
      </w:r>
      <w:r>
        <w:rPr>
          <w:rStyle w:val="a7"/>
          <w:rtl/>
        </w:rPr>
        <w:footnoteReference w:id="2231"/>
      </w:r>
      <w:r>
        <w:rPr>
          <w:rFonts w:hint="cs"/>
          <w:vertAlign w:val="superscript"/>
          <w:rtl/>
        </w:rPr>
        <w:t>)</w:t>
      </w:r>
      <w:r>
        <w:rPr>
          <w:rFonts w:hint="cs"/>
          <w:rtl/>
        </w:rPr>
        <w:t xml:space="preserve"> بالعرف، والقياس أن لا يجوز؛ لأن فيه</w:t>
      </w:r>
      <w:r>
        <w:rPr>
          <w:rStyle w:val="a7"/>
          <w:rtl/>
        </w:rPr>
        <w:footnoteReference w:id="2232"/>
      </w:r>
      <w:r>
        <w:rPr>
          <w:rFonts w:hint="cs"/>
          <w:rtl/>
        </w:rPr>
        <w:t xml:space="preserve"> [شرطًا]</w:t>
      </w:r>
      <w:r>
        <w:rPr>
          <w:rStyle w:val="a7"/>
          <w:rtl/>
        </w:rPr>
        <w:footnoteReference w:id="2233"/>
      </w:r>
      <w:r>
        <w:rPr>
          <w:rFonts w:hint="cs"/>
          <w:rtl/>
        </w:rPr>
        <w:t xml:space="preserve"> لا يقتضيه العقد، وفيه منفعة</w:t>
      </w:r>
      <w:r>
        <w:rPr>
          <w:rStyle w:val="a7"/>
          <w:rtl/>
        </w:rPr>
        <w:footnoteReference w:id="2234"/>
      </w:r>
      <w:r>
        <w:rPr>
          <w:rFonts w:hint="cs"/>
          <w:rtl/>
        </w:rPr>
        <w:t xml:space="preserve"> لأحد العاقدين</w:t>
      </w:r>
      <w:r>
        <w:rPr>
          <w:rFonts w:hint="cs"/>
          <w:vertAlign w:val="superscript"/>
          <w:rtl/>
        </w:rPr>
        <w:t>(</w:t>
      </w:r>
      <w:r>
        <w:rPr>
          <w:rStyle w:val="a7"/>
          <w:rtl/>
        </w:rPr>
        <w:footnoteReference w:id="2235"/>
      </w:r>
      <w:r>
        <w:rPr>
          <w:rFonts w:hint="cs"/>
          <w:vertAlign w:val="superscript"/>
          <w:rtl/>
        </w:rPr>
        <w:t>)</w:t>
      </w:r>
      <w:r>
        <w:rPr>
          <w:rFonts w:hint="cs"/>
          <w:rtl/>
        </w:rPr>
        <w:t>.</w:t>
      </w:r>
    </w:p>
    <w:p w:rsidR="00C10469" w:rsidRDefault="00C10469">
      <w:pPr>
        <w:rPr>
          <w:rtl/>
        </w:rPr>
      </w:pPr>
      <w:r w:rsidRPr="007A39E0">
        <w:rPr>
          <w:rFonts w:hint="eastAsia"/>
          <w:spacing w:val="2"/>
          <w:rtl/>
        </w:rPr>
        <w:t>«</w:t>
      </w:r>
      <w:r w:rsidRPr="007A39E0">
        <w:rPr>
          <w:rFonts w:hint="cs"/>
          <w:b/>
          <w:bCs/>
          <w:spacing w:val="2"/>
          <w:rtl/>
        </w:rPr>
        <w:t>لا يـقـال</w:t>
      </w:r>
      <w:r w:rsidRPr="007A39E0">
        <w:rPr>
          <w:rFonts w:hint="cs"/>
          <w:spacing w:val="2"/>
          <w:rtl/>
        </w:rPr>
        <w:t xml:space="preserve"> : نـهـى الــنـبـي </w:t>
      </w:r>
      <w:r w:rsidRPr="007A39E0">
        <w:rPr>
          <w:rFonts w:ascii="AGA Arabesque" w:hAnsi="AGA Arabesque"/>
          <w:spacing w:val="2"/>
          <w:sz w:val="38"/>
        </w:rPr>
        <w:t></w:t>
      </w:r>
      <w:r w:rsidRPr="007A39E0">
        <w:rPr>
          <w:rFonts w:hint="cs"/>
          <w:spacing w:val="2"/>
          <w:rtl/>
        </w:rPr>
        <w:t xml:space="preserve"> عـن بــيــع وشـرط</w:t>
      </w:r>
      <w:r>
        <w:rPr>
          <w:rFonts w:hint="cs"/>
          <w:vertAlign w:val="superscript"/>
          <w:rtl/>
        </w:rPr>
        <w:t>(</w:t>
      </w:r>
      <w:r>
        <w:rPr>
          <w:rStyle w:val="a7"/>
          <w:rtl/>
        </w:rPr>
        <w:footnoteReference w:id="2236"/>
      </w:r>
      <w:r>
        <w:rPr>
          <w:rFonts w:hint="cs"/>
          <w:vertAlign w:val="superscript"/>
          <w:rtl/>
        </w:rPr>
        <w:t xml:space="preserve">) </w:t>
      </w:r>
      <w:r>
        <w:rPr>
          <w:rFonts w:hint="cs"/>
          <w:rtl/>
        </w:rPr>
        <w:t xml:space="preserve">، </w:t>
      </w:r>
    </w:p>
    <w:p w:rsidR="00C10469" w:rsidRDefault="00C10469">
      <w:pPr>
        <w:ind w:firstLine="0"/>
        <w:rPr>
          <w:rtl/>
        </w:rPr>
      </w:pPr>
      <w:r>
        <w:rPr>
          <w:rFonts w:hint="cs"/>
          <w:rtl/>
        </w:rPr>
        <w:lastRenderedPageBreak/>
        <w:t>وهو بإطلاقه</w:t>
      </w:r>
      <w:r>
        <w:rPr>
          <w:rStyle w:val="a7"/>
          <w:rtl/>
        </w:rPr>
        <w:footnoteReference w:id="2237"/>
      </w:r>
      <w:r>
        <w:rPr>
          <w:rFonts w:hint="cs"/>
          <w:rtl/>
        </w:rPr>
        <w:t xml:space="preserve"> يقتضي عدم جوازه، والعرف ليس بقاض عليه!.</w:t>
      </w:r>
    </w:p>
    <w:p w:rsidR="00C10469" w:rsidRDefault="00C10469">
      <w:pPr>
        <w:rPr>
          <w:rtl/>
        </w:rPr>
      </w:pPr>
      <w:r>
        <w:rPr>
          <w:rFonts w:hint="cs"/>
          <w:b/>
          <w:bCs/>
          <w:rtl/>
        </w:rPr>
        <w:t>لأنه</w:t>
      </w:r>
      <w:r>
        <w:rPr>
          <w:rFonts w:hint="cs"/>
          <w:vertAlign w:val="superscript"/>
          <w:rtl/>
        </w:rPr>
        <w:t>(</w:t>
      </w:r>
      <w:r>
        <w:rPr>
          <w:rStyle w:val="a7"/>
          <w:rtl/>
        </w:rPr>
        <w:footnoteReference w:id="2238"/>
      </w:r>
      <w:r>
        <w:rPr>
          <w:rFonts w:hint="cs"/>
          <w:vertAlign w:val="superscript"/>
          <w:rtl/>
        </w:rPr>
        <w:t>)</w:t>
      </w:r>
      <w:r>
        <w:rPr>
          <w:rFonts w:hint="cs"/>
          <w:rtl/>
        </w:rPr>
        <w:t xml:space="preserve"> معلول بوقوع النـزاع المخرج للعقد عن المقصود به، وهو قطع المنازعة، والعرف</w:t>
      </w:r>
      <w:r>
        <w:rPr>
          <w:rStyle w:val="a7"/>
          <w:rtl/>
        </w:rPr>
        <w:footnoteReference w:id="2239"/>
      </w:r>
      <w:r>
        <w:rPr>
          <w:rFonts w:hint="cs"/>
          <w:rtl/>
        </w:rPr>
        <w:t xml:space="preserve"> ينفي النّزاع، فكان موافقًا لمعنى الحديث، فلم يبق من الموانع إلاّ القياس</w:t>
      </w:r>
      <w:r>
        <w:rPr>
          <w:rStyle w:val="a7"/>
          <w:rtl/>
        </w:rPr>
        <w:footnoteReference w:id="2240"/>
      </w:r>
      <w:r>
        <w:rPr>
          <w:rFonts w:hint="cs"/>
          <w:rtl/>
        </w:rPr>
        <w:t xml:space="preserve"> </w:t>
      </w:r>
      <w:r>
        <w:rPr>
          <w:rFonts w:hint="cs"/>
          <w:rtl/>
        </w:rPr>
        <w:lastRenderedPageBreak/>
        <w:t>على ما لا عرف فيه [بجامع]</w:t>
      </w:r>
      <w:r>
        <w:rPr>
          <w:rStyle w:val="a7"/>
          <w:rtl/>
        </w:rPr>
        <w:footnoteReference w:id="2241"/>
      </w:r>
      <w:r>
        <w:rPr>
          <w:rFonts w:hint="cs"/>
          <w:rtl/>
        </w:rPr>
        <w:t xml:space="preserve"> كونه شرطًا، والعرف قاضٍ عليه</w:t>
      </w:r>
      <w:r>
        <w:rPr>
          <w:rFonts w:hint="eastAsia"/>
          <w:rtl/>
        </w:rPr>
        <w:t>»</w:t>
      </w:r>
      <w:r>
        <w:rPr>
          <w:rFonts w:hint="cs"/>
          <w:vertAlign w:val="superscript"/>
          <w:rtl/>
        </w:rPr>
        <w:t>(</w:t>
      </w:r>
      <w:r>
        <w:rPr>
          <w:rStyle w:val="a7"/>
          <w:rtl/>
        </w:rPr>
        <w:footnoteReference w:id="2242"/>
      </w:r>
      <w:r>
        <w:rPr>
          <w:rFonts w:hint="cs"/>
          <w:vertAlign w:val="superscript"/>
          <w:rtl/>
        </w:rPr>
        <w:t>)</w:t>
      </w:r>
      <w:r>
        <w:rPr>
          <w:rFonts w:hint="cs"/>
          <w:rtl/>
        </w:rPr>
        <w:t>.</w:t>
      </w:r>
    </w:p>
    <w:p w:rsidR="00C10469" w:rsidRDefault="00C10469">
      <w:pPr>
        <w:rPr>
          <w:rtl/>
        </w:rPr>
      </w:pPr>
      <w:r>
        <w:rPr>
          <w:rFonts w:hint="cs"/>
          <w:rtl/>
        </w:rPr>
        <w:t>واعلم أن العرف - كما هو قاضٍ على القياس فهو قاضٍ على الوضع</w:t>
      </w:r>
      <w:r>
        <w:rPr>
          <w:rFonts w:hint="cs"/>
          <w:vertAlign w:val="superscript"/>
          <w:rtl/>
        </w:rPr>
        <w:t>(</w:t>
      </w:r>
      <w:r>
        <w:rPr>
          <w:rStyle w:val="a7"/>
          <w:rtl/>
        </w:rPr>
        <w:footnoteReference w:id="2243"/>
      </w:r>
      <w:r>
        <w:rPr>
          <w:rFonts w:hint="cs"/>
          <w:vertAlign w:val="superscript"/>
          <w:rtl/>
        </w:rPr>
        <w:t>)</w:t>
      </w:r>
      <w:r>
        <w:rPr>
          <w:rFonts w:hint="cs"/>
          <w:rtl/>
        </w:rPr>
        <w:t>؛ ولذا لو وُكِّلَ رجلٌ</w:t>
      </w:r>
      <w:r>
        <w:rPr>
          <w:rStyle w:val="a7"/>
          <w:rtl/>
        </w:rPr>
        <w:footnoteReference w:id="2244"/>
      </w:r>
      <w:r>
        <w:rPr>
          <w:rFonts w:hint="cs"/>
          <w:rtl/>
        </w:rPr>
        <w:t xml:space="preserve"> بالتقاضي</w:t>
      </w:r>
      <w:r>
        <w:rPr>
          <w:rStyle w:val="a7"/>
          <w:rtl/>
        </w:rPr>
        <w:footnoteReference w:id="2245"/>
      </w:r>
      <w:r>
        <w:rPr>
          <w:rFonts w:hint="cs"/>
          <w:rtl/>
        </w:rPr>
        <w:t xml:space="preserve"> : لا يملك القبضَ عرفًا</w:t>
      </w:r>
      <w:r>
        <w:rPr>
          <w:rFonts w:hint="cs"/>
          <w:vertAlign w:val="superscript"/>
          <w:rtl/>
        </w:rPr>
        <w:t>(</w:t>
      </w:r>
      <w:r>
        <w:rPr>
          <w:rStyle w:val="a7"/>
          <w:rtl/>
        </w:rPr>
        <w:footnoteReference w:id="2246"/>
      </w:r>
      <w:r>
        <w:rPr>
          <w:rFonts w:hint="cs"/>
          <w:vertAlign w:val="superscript"/>
          <w:rtl/>
        </w:rPr>
        <w:t>)</w:t>
      </w:r>
      <w:r>
        <w:rPr>
          <w:rFonts w:hint="cs"/>
          <w:rtl/>
        </w:rPr>
        <w:t>. والوضع يقتضِي</w:t>
      </w:r>
      <w:r>
        <w:rPr>
          <w:rStyle w:val="a7"/>
          <w:rtl/>
        </w:rPr>
        <w:footnoteReference w:id="2247"/>
      </w:r>
      <w:r>
        <w:rPr>
          <w:rFonts w:hint="cs"/>
          <w:rtl/>
        </w:rPr>
        <w:t xml:space="preserve"> جوازه، فإنه في معناه وضعًا</w:t>
      </w:r>
      <w:r>
        <w:rPr>
          <w:rFonts w:hint="cs"/>
          <w:vertAlign w:val="superscript"/>
          <w:rtl/>
        </w:rPr>
        <w:t>(</w:t>
      </w:r>
      <w:r>
        <w:rPr>
          <w:rStyle w:val="a7"/>
          <w:rtl/>
        </w:rPr>
        <w:footnoteReference w:id="2248"/>
      </w:r>
      <w:r>
        <w:rPr>
          <w:rFonts w:hint="cs"/>
          <w:vertAlign w:val="superscript"/>
          <w:rtl/>
        </w:rPr>
        <w:t>)</w:t>
      </w:r>
      <w:r>
        <w:rPr>
          <w:rFonts w:hint="cs"/>
          <w:rtl/>
        </w:rPr>
        <w:t xml:space="preserve"> - يقال : اقتضيتُ حقّي أي قبضته، فإنه مطاوع قضى</w:t>
      </w:r>
      <w:r>
        <w:rPr>
          <w:rFonts w:hint="cs"/>
          <w:vertAlign w:val="superscript"/>
          <w:rtl/>
        </w:rPr>
        <w:t>(</w:t>
      </w:r>
      <w:r>
        <w:rPr>
          <w:rStyle w:val="a7"/>
          <w:rtl/>
        </w:rPr>
        <w:footnoteReference w:id="2249"/>
      </w:r>
      <w:r>
        <w:rPr>
          <w:rFonts w:hint="cs"/>
          <w:vertAlign w:val="superscript"/>
          <w:rtl/>
        </w:rPr>
        <w:t>)</w:t>
      </w:r>
      <w:r>
        <w:rPr>
          <w:rFonts w:hint="cs"/>
          <w:rtl/>
        </w:rPr>
        <w:t>- ولكن العرف بخلافه، و</w:t>
      </w:r>
      <w:r>
        <w:rPr>
          <w:rFonts w:hint="eastAsia"/>
          <w:rtl/>
        </w:rPr>
        <w:t>«</w:t>
      </w:r>
      <w:r>
        <w:rPr>
          <w:rFonts w:hint="cs"/>
          <w:rtl/>
        </w:rPr>
        <w:t>العرف قاضٍ على الوضع</w:t>
      </w:r>
      <w:r>
        <w:rPr>
          <w:rFonts w:hint="eastAsia"/>
          <w:rtl/>
        </w:rPr>
        <w:t>»</w:t>
      </w:r>
      <w:r>
        <w:rPr>
          <w:rFonts w:hint="cs"/>
          <w:vertAlign w:val="superscript"/>
          <w:rtl/>
        </w:rPr>
        <w:t>(</w:t>
      </w:r>
      <w:r>
        <w:rPr>
          <w:rStyle w:val="a7"/>
          <w:rtl/>
        </w:rPr>
        <w:footnoteReference w:id="2250"/>
      </w:r>
      <w:r>
        <w:rPr>
          <w:rFonts w:hint="cs"/>
          <w:vertAlign w:val="superscript"/>
          <w:rtl/>
        </w:rPr>
        <w:t>)</w:t>
      </w:r>
      <w:r>
        <w:rPr>
          <w:rFonts w:hint="cs"/>
          <w:rtl/>
        </w:rPr>
        <w:t>.</w:t>
      </w:r>
    </w:p>
    <w:p w:rsidR="00C10469" w:rsidRPr="00FC3DF2" w:rsidRDefault="00C10469">
      <w:pPr>
        <w:pStyle w:val="a9"/>
        <w:rPr>
          <w:rFonts w:cs="AL-Mateen"/>
          <w:rtl/>
        </w:rPr>
      </w:pPr>
      <w:r w:rsidRPr="00FC3DF2">
        <w:rPr>
          <w:rFonts w:cs="AL-Mateen" w:hint="cs"/>
          <w:rtl/>
        </w:rPr>
        <w:lastRenderedPageBreak/>
        <w:t>[ الـقـاعـدة الـسـادسـة والـتـسـعـون ]</w:t>
      </w:r>
    </w:p>
    <w:p w:rsidR="00C10469" w:rsidRDefault="00C10469">
      <w:pPr>
        <w:rPr>
          <w:spacing w:val="-4"/>
          <w:rtl/>
        </w:rPr>
      </w:pPr>
      <w:r>
        <w:rPr>
          <w:rFonts w:cs="Monotype Koufi" w:hint="cs"/>
          <w:spacing w:val="-4"/>
          <w:rtl/>
        </w:rPr>
        <w:t>الثَّابتُ بدلالةٍ</w:t>
      </w:r>
      <w:r>
        <w:rPr>
          <w:rFonts w:hint="cs"/>
          <w:spacing w:val="-4"/>
          <w:vertAlign w:val="superscript"/>
          <w:rtl/>
        </w:rPr>
        <w:t>(</w:t>
      </w:r>
      <w:r>
        <w:rPr>
          <w:rStyle w:val="a7"/>
          <w:spacing w:val="-4"/>
          <w:rtl/>
        </w:rPr>
        <w:footnoteReference w:id="2251"/>
      </w:r>
      <w:r>
        <w:rPr>
          <w:rFonts w:hint="cs"/>
          <w:spacing w:val="-4"/>
          <w:vertAlign w:val="superscript"/>
          <w:rtl/>
        </w:rPr>
        <w:t>)</w:t>
      </w:r>
      <w:r>
        <w:rPr>
          <w:rFonts w:hint="cs"/>
          <w:spacing w:val="-4"/>
          <w:rtl/>
        </w:rPr>
        <w:t xml:space="preserve"> </w:t>
      </w:r>
      <w:r>
        <w:rPr>
          <w:rFonts w:cs="Monotype Koufi" w:hint="cs"/>
          <w:spacing w:val="-4"/>
          <w:rtl/>
        </w:rPr>
        <w:t>إنَّمَا يُعْتَبَرُ إذَا لَمْ يُوجَدِ الصَّريحُ بخلافِهِ</w:t>
      </w:r>
      <w:r>
        <w:rPr>
          <w:rFonts w:hint="cs"/>
          <w:spacing w:val="-4"/>
          <w:vertAlign w:val="superscript"/>
          <w:rtl/>
        </w:rPr>
        <w:t>(</w:t>
      </w:r>
      <w:r>
        <w:rPr>
          <w:rStyle w:val="a7"/>
          <w:spacing w:val="-4"/>
          <w:rtl/>
        </w:rPr>
        <w:footnoteReference w:id="2252"/>
      </w:r>
      <w:r>
        <w:rPr>
          <w:rFonts w:hint="cs"/>
          <w:spacing w:val="-4"/>
          <w:vertAlign w:val="superscript"/>
          <w:rtl/>
        </w:rPr>
        <w:t>)</w:t>
      </w:r>
      <w:r>
        <w:rPr>
          <w:rFonts w:hint="cs"/>
          <w:spacing w:val="-4"/>
          <w:rtl/>
        </w:rPr>
        <w:t xml:space="preserve">  : </w:t>
      </w:r>
    </w:p>
    <w:p w:rsidR="00C10469" w:rsidRDefault="00C10469">
      <w:pPr>
        <w:rPr>
          <w:rtl/>
        </w:rPr>
      </w:pPr>
      <w:r>
        <w:rPr>
          <w:rFonts w:hint="cs"/>
          <w:b/>
          <w:bCs/>
          <w:rtl/>
        </w:rPr>
        <w:lastRenderedPageBreak/>
        <w:t>ولذا</w:t>
      </w:r>
      <w:r>
        <w:rPr>
          <w:rFonts w:hint="cs"/>
          <w:rtl/>
        </w:rPr>
        <w:t xml:space="preserve"> : إذا كان التأجيل في المهر عرفًا، وشُرِطَ التعجيل : يجب التعجيل؛ لأن شرط التعجيل صريح، فيعمل به.</w:t>
      </w:r>
    </w:p>
    <w:p w:rsidR="00C10469" w:rsidRDefault="00C10469">
      <w:pPr>
        <w:rPr>
          <w:rtl/>
        </w:rPr>
      </w:pPr>
      <w:r>
        <w:rPr>
          <w:rFonts w:hint="cs"/>
          <w:rtl/>
        </w:rPr>
        <w:lastRenderedPageBreak/>
        <w:t>كذا</w:t>
      </w:r>
      <w:r>
        <w:rPr>
          <w:rStyle w:val="a7"/>
          <w:rtl/>
        </w:rPr>
        <w:footnoteReference w:id="2253"/>
      </w:r>
      <w:r>
        <w:rPr>
          <w:rFonts w:hint="cs"/>
          <w:rtl/>
        </w:rPr>
        <w:t xml:space="preserve"> في (الوَلْوالَجِيَّة)</w:t>
      </w:r>
      <w:r>
        <w:rPr>
          <w:rFonts w:hint="cs"/>
          <w:vertAlign w:val="superscript"/>
          <w:rtl/>
        </w:rPr>
        <w:t>(</w:t>
      </w:r>
      <w:r>
        <w:rPr>
          <w:rStyle w:val="a7"/>
          <w:rtl/>
        </w:rPr>
        <w:footnoteReference w:id="2254"/>
      </w:r>
      <w:r>
        <w:rPr>
          <w:rFonts w:hint="cs"/>
          <w:vertAlign w:val="superscript"/>
          <w:rtl/>
        </w:rPr>
        <w:t>)(</w:t>
      </w:r>
      <w:r>
        <w:rPr>
          <w:rStyle w:val="a7"/>
        </w:rPr>
        <w:footnoteReference w:id="2255"/>
      </w:r>
      <w:r>
        <w:rPr>
          <w:rFonts w:hint="cs"/>
          <w:vertAlign w:val="superscript"/>
          <w:rtl/>
        </w:rPr>
        <w:t>)</w:t>
      </w:r>
      <w:r>
        <w:rPr>
          <w:rFonts w:hint="cs"/>
          <w:rtl/>
        </w:rPr>
        <w:t>.</w:t>
      </w:r>
    </w:p>
    <w:p w:rsidR="00C10469" w:rsidRDefault="00C10469">
      <w:pPr>
        <w:rPr>
          <w:rtl/>
        </w:rPr>
      </w:pPr>
    </w:p>
    <w:p w:rsidR="00C10469" w:rsidRPr="0063440D"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5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56BF5" w:rsidRDefault="00C10469">
      <w:pPr>
        <w:pStyle w:val="a9"/>
        <w:rPr>
          <w:rFonts w:cs="AL-Mateen"/>
          <w:rtl/>
        </w:rPr>
      </w:pPr>
      <w:r w:rsidRPr="00756BF5">
        <w:rPr>
          <w:rFonts w:cs="AL-Mateen" w:hint="cs"/>
          <w:rtl/>
        </w:rPr>
        <w:lastRenderedPageBreak/>
        <w:t>[ الـقـاعـدة الـسـابـعـة والـتـسـعـون ]</w:t>
      </w:r>
    </w:p>
    <w:p w:rsidR="00C10469" w:rsidRDefault="00C10469">
      <w:pPr>
        <w:rPr>
          <w:rtl/>
        </w:rPr>
      </w:pPr>
      <w:r>
        <w:rPr>
          <w:rFonts w:cs="Monotype Koufi" w:hint="cs"/>
          <w:rtl/>
        </w:rPr>
        <w:t>الثَّابتُ بالضَّرورةِ يتقدَّرُ بقدرِ الضَّرورَةِ</w:t>
      </w:r>
      <w:r>
        <w:rPr>
          <w:rFonts w:hint="cs"/>
          <w:vertAlign w:val="superscript"/>
          <w:rtl/>
        </w:rPr>
        <w:t>(</w:t>
      </w:r>
      <w:r>
        <w:rPr>
          <w:rStyle w:val="a7"/>
          <w:rtl/>
        </w:rPr>
        <w:footnoteReference w:id="2256"/>
      </w:r>
      <w:r>
        <w:rPr>
          <w:rFonts w:hint="cs"/>
          <w:vertAlign w:val="superscript"/>
          <w:rtl/>
        </w:rPr>
        <w:t>)</w:t>
      </w:r>
      <w:r>
        <w:rPr>
          <w:rFonts w:hint="cs"/>
          <w:rtl/>
        </w:rPr>
        <w:t xml:space="preserve"> :</w:t>
      </w:r>
    </w:p>
    <w:p w:rsidR="00C10469" w:rsidRDefault="00C10469">
      <w:pPr>
        <w:rPr>
          <w:rtl/>
        </w:rPr>
      </w:pPr>
      <w:r>
        <w:rPr>
          <w:rFonts w:hint="eastAsia"/>
          <w:rtl/>
        </w:rPr>
        <w:lastRenderedPageBreak/>
        <w:t>«</w:t>
      </w:r>
      <w:r>
        <w:rPr>
          <w:rFonts w:hint="cs"/>
          <w:rtl/>
        </w:rPr>
        <w:t>فمن اشترى جارية فولدت عنده لا بالاستيلاد</w:t>
      </w:r>
      <w:r>
        <w:rPr>
          <w:rFonts w:hint="cs"/>
          <w:vertAlign w:val="superscript"/>
          <w:rtl/>
        </w:rPr>
        <w:t>(</w:t>
      </w:r>
      <w:r>
        <w:rPr>
          <w:rStyle w:val="a7"/>
          <w:rtl/>
        </w:rPr>
        <w:footnoteReference w:id="2257"/>
      </w:r>
      <w:r>
        <w:rPr>
          <w:rFonts w:hint="cs"/>
          <w:vertAlign w:val="superscript"/>
          <w:rtl/>
        </w:rPr>
        <w:t>)</w:t>
      </w:r>
      <w:r>
        <w:rPr>
          <w:rFonts w:hint="cs"/>
          <w:rtl/>
        </w:rPr>
        <w:t>، فاستحقَّها رجل ببيِّنةٍ : فإنه يأخذها وولدها.</w:t>
      </w:r>
    </w:p>
    <w:p w:rsidR="00C10469" w:rsidRDefault="00C10469">
      <w:pPr>
        <w:rPr>
          <w:rtl/>
        </w:rPr>
      </w:pPr>
      <w:r>
        <w:rPr>
          <w:rFonts w:hint="cs"/>
          <w:rtl/>
        </w:rPr>
        <w:lastRenderedPageBreak/>
        <w:t>وإن أقَرَّ المشتري [بها]</w:t>
      </w:r>
      <w:r>
        <w:rPr>
          <w:rStyle w:val="a7"/>
          <w:rtl/>
        </w:rPr>
        <w:footnoteReference w:id="2258"/>
      </w:r>
      <w:r>
        <w:rPr>
          <w:rFonts w:hint="cs"/>
          <w:rtl/>
        </w:rPr>
        <w:t xml:space="preserve"> لرجل : لم يَتْبَعْها ولدُها؛ لأن </w:t>
      </w:r>
      <w:r>
        <w:rPr>
          <w:rFonts w:hint="eastAsia"/>
          <w:rtl/>
        </w:rPr>
        <w:t>«</w:t>
      </w:r>
      <w:r>
        <w:rPr>
          <w:rFonts w:hint="cs"/>
          <w:rtl/>
        </w:rPr>
        <w:t>الإقرار حجة قاصرة</w:t>
      </w:r>
      <w:r>
        <w:rPr>
          <w:rFonts w:hint="eastAsia"/>
          <w:rtl/>
        </w:rPr>
        <w:t>»</w:t>
      </w:r>
      <w:r>
        <w:rPr>
          <w:rFonts w:hint="cs"/>
          <w:vertAlign w:val="superscript"/>
          <w:rtl/>
        </w:rPr>
        <w:t>(</w:t>
      </w:r>
      <w:r>
        <w:rPr>
          <w:rStyle w:val="a7"/>
          <w:rtl/>
        </w:rPr>
        <w:footnoteReference w:id="2259"/>
      </w:r>
      <w:r>
        <w:rPr>
          <w:rFonts w:hint="cs"/>
          <w:vertAlign w:val="superscript"/>
          <w:rtl/>
        </w:rPr>
        <w:t>)</w:t>
      </w:r>
      <w:r>
        <w:rPr>
          <w:rFonts w:hint="cs"/>
          <w:rtl/>
        </w:rPr>
        <w:t>؛ لانعدام الولاية على الغير، فيثبت</w:t>
      </w:r>
      <w:r>
        <w:rPr>
          <w:rStyle w:val="a7"/>
          <w:rtl/>
        </w:rPr>
        <w:footnoteReference w:id="2260"/>
      </w:r>
      <w:r>
        <w:rPr>
          <w:rFonts w:hint="cs"/>
          <w:rtl/>
        </w:rPr>
        <w:t xml:space="preserve"> الملك في [الـمُخْـبَرِ]</w:t>
      </w:r>
      <w:r>
        <w:rPr>
          <w:rStyle w:val="a7"/>
          <w:rtl/>
        </w:rPr>
        <w:footnoteReference w:id="2261"/>
      </w:r>
      <w:r>
        <w:rPr>
          <w:rFonts w:hint="cs"/>
          <w:rtl/>
        </w:rPr>
        <w:t xml:space="preserve"> به</w:t>
      </w:r>
      <w:r>
        <w:rPr>
          <w:rStyle w:val="a7"/>
          <w:rtl/>
        </w:rPr>
        <w:footnoteReference w:id="2262"/>
      </w:r>
      <w:r>
        <w:rPr>
          <w:rFonts w:hint="cs"/>
          <w:rtl/>
        </w:rPr>
        <w:t xml:space="preserve"> ضرورة </w:t>
      </w:r>
      <w:r>
        <w:rPr>
          <w:rFonts w:hint="cs"/>
          <w:rtl/>
        </w:rPr>
        <w:lastRenderedPageBreak/>
        <w:t>صحة الإخبار؛ لأن الإقـرار إخبـار لابّد له من [مخبَرٍ]</w:t>
      </w:r>
      <w:r>
        <w:rPr>
          <w:rStyle w:val="a7"/>
          <w:rtl/>
        </w:rPr>
        <w:footnoteReference w:id="2263"/>
      </w:r>
      <w:r>
        <w:rPr>
          <w:rFonts w:hint="cs"/>
          <w:rtl/>
        </w:rPr>
        <w:t xml:space="preserve"> بـه، فيـقـدر بقدر الضـرورة، والضـرورة [تندفع]</w:t>
      </w:r>
      <w:r>
        <w:rPr>
          <w:rStyle w:val="a7"/>
          <w:rtl/>
        </w:rPr>
        <w:footnoteReference w:id="2264"/>
      </w:r>
      <w:r>
        <w:rPr>
          <w:rFonts w:hint="cs"/>
          <w:rtl/>
        </w:rPr>
        <w:t xml:space="preserve"> بإثبات الملك بعد الانفصال</w:t>
      </w:r>
      <w:r>
        <w:rPr>
          <w:rStyle w:val="a7"/>
          <w:rtl/>
        </w:rPr>
        <w:footnoteReference w:id="2265"/>
      </w:r>
      <w:r>
        <w:rPr>
          <w:rFonts w:hint="cs"/>
          <w:rtl/>
        </w:rPr>
        <w:t>، فيقتصر</w:t>
      </w:r>
      <w:r>
        <w:rPr>
          <w:rStyle w:val="a7"/>
          <w:rtl/>
        </w:rPr>
        <w:footnoteReference w:id="2266"/>
      </w:r>
      <w:r>
        <w:rPr>
          <w:rFonts w:hint="cs"/>
          <w:rtl/>
        </w:rPr>
        <w:t xml:space="preserve"> على الحال، فلا يظهر ملك المستحِقّ من الأصل</w:t>
      </w:r>
      <w:r>
        <w:rPr>
          <w:rFonts w:hint="cs"/>
          <w:vertAlign w:val="superscript"/>
          <w:rtl/>
        </w:rPr>
        <w:t>(</w:t>
      </w:r>
      <w:r>
        <w:rPr>
          <w:rStyle w:val="a7"/>
          <w:rtl/>
        </w:rPr>
        <w:footnoteReference w:id="2267"/>
      </w:r>
      <w:r>
        <w:rPr>
          <w:rFonts w:hint="cs"/>
          <w:vertAlign w:val="superscript"/>
          <w:rtl/>
        </w:rPr>
        <w:t>)</w:t>
      </w:r>
      <w:r>
        <w:rPr>
          <w:rFonts w:hint="cs"/>
          <w:rtl/>
        </w:rPr>
        <w:t>؛ ولذا لا يرجع المشتري على البائع بالثمن، ولا الباعة بعضهم على بعض، فلا يكون الولد [ابن]</w:t>
      </w:r>
      <w:r>
        <w:rPr>
          <w:rStyle w:val="a7"/>
          <w:rtl/>
        </w:rPr>
        <w:footnoteReference w:id="2268"/>
      </w:r>
      <w:r>
        <w:rPr>
          <w:rFonts w:hint="cs"/>
          <w:rtl/>
        </w:rPr>
        <w:t xml:space="preserve"> المستحِق.</w:t>
      </w:r>
    </w:p>
    <w:p w:rsidR="00C10469" w:rsidRDefault="00C10469">
      <w:pPr>
        <w:rPr>
          <w:spacing w:val="-4"/>
          <w:rtl/>
        </w:rPr>
      </w:pPr>
      <w:r>
        <w:rPr>
          <w:rFonts w:hint="cs"/>
          <w:spacing w:val="-4"/>
          <w:rtl/>
        </w:rPr>
        <w:t>وهذا إذا لم يدّعِ المُقَرُّ له الولد. وأما إذا ادعى الولد : كان له؛ لأن الظاهر [أنه]</w:t>
      </w:r>
      <w:r>
        <w:rPr>
          <w:rStyle w:val="a7"/>
          <w:spacing w:val="-4"/>
          <w:rtl/>
        </w:rPr>
        <w:footnoteReference w:id="2269"/>
      </w:r>
      <w:r>
        <w:rPr>
          <w:rFonts w:hint="cs"/>
          <w:spacing w:val="-4"/>
          <w:rtl/>
        </w:rPr>
        <w:t xml:space="preserve"> له. </w:t>
      </w:r>
    </w:p>
    <w:p w:rsidR="00C10469" w:rsidRDefault="00C10469">
      <w:pPr>
        <w:rPr>
          <w:rtl/>
        </w:rPr>
      </w:pPr>
      <w:r>
        <w:rPr>
          <w:rFonts w:hint="cs"/>
          <w:rtl/>
        </w:rPr>
        <w:lastRenderedPageBreak/>
        <w:t>كــــذا   فـــي   ( الـــنِّــــهَــــايَــــةِ )</w:t>
      </w:r>
      <w:r>
        <w:rPr>
          <w:rFonts w:hint="cs"/>
          <w:vertAlign w:val="superscript"/>
          <w:rtl/>
        </w:rPr>
        <w:t>(</w:t>
      </w:r>
      <w:r>
        <w:rPr>
          <w:rStyle w:val="a7"/>
          <w:rtl/>
        </w:rPr>
        <w:footnoteReference w:id="2270"/>
      </w:r>
      <w:r>
        <w:rPr>
          <w:rFonts w:hint="cs"/>
          <w:vertAlign w:val="superscript"/>
          <w:rtl/>
        </w:rPr>
        <w:t>)</w:t>
      </w:r>
      <w:r>
        <w:rPr>
          <w:rFonts w:hint="cs"/>
          <w:rtl/>
        </w:rPr>
        <w:t xml:space="preserve"> </w:t>
      </w:r>
    </w:p>
    <w:p w:rsidR="00C10469" w:rsidRDefault="00C10469">
      <w:pPr>
        <w:ind w:firstLine="0"/>
        <w:rPr>
          <w:rtl/>
        </w:rPr>
      </w:pPr>
      <w:r>
        <w:rPr>
          <w:rFonts w:hint="cs"/>
          <w:rtl/>
        </w:rPr>
        <w:lastRenderedPageBreak/>
        <w:t>نـقـلاً عـن التُّـمُـرْتـاشـي</w:t>
      </w:r>
      <w:r>
        <w:rPr>
          <w:rFonts w:hint="cs"/>
          <w:vertAlign w:val="superscript"/>
          <w:rtl/>
        </w:rPr>
        <w:t>(</w:t>
      </w:r>
      <w:r>
        <w:rPr>
          <w:rStyle w:val="a7"/>
          <w:rtl/>
        </w:rPr>
        <w:footnoteReference w:id="2271"/>
      </w:r>
      <w:r>
        <w:rPr>
          <w:rFonts w:hint="cs"/>
          <w:vertAlign w:val="superscript"/>
          <w:rtl/>
        </w:rPr>
        <w:t>)</w:t>
      </w:r>
      <w:r>
        <w:rPr>
          <w:rFonts w:hint="eastAsia"/>
          <w:rtl/>
        </w:rPr>
        <w:t>»</w:t>
      </w:r>
      <w:r>
        <w:rPr>
          <w:rFonts w:hint="cs"/>
          <w:vertAlign w:val="superscript"/>
          <w:rtl/>
        </w:rPr>
        <w:t>(</w:t>
      </w:r>
      <w:r>
        <w:rPr>
          <w:rStyle w:val="a7"/>
          <w:rtl/>
        </w:rPr>
        <w:footnoteReference w:id="2272"/>
      </w:r>
      <w:r>
        <w:rPr>
          <w:rFonts w:hint="cs"/>
          <w:vertAlign w:val="superscript"/>
          <w:rtl/>
        </w:rPr>
        <w:t>)</w:t>
      </w:r>
      <w:r>
        <w:rPr>
          <w:rFonts w:hint="cs"/>
          <w:rtl/>
        </w:rPr>
        <w:t>.</w:t>
      </w:r>
    </w:p>
    <w:p w:rsidR="00C10469" w:rsidRDefault="00C10469">
      <w:pPr>
        <w:rPr>
          <w:rtl/>
        </w:rPr>
      </w:pPr>
    </w:p>
    <w:p w:rsidR="00C10469" w:rsidRPr="00B40886" w:rsidRDefault="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ind w:firstLine="0"/>
        <w:rPr>
          <w:rtl/>
        </w:rPr>
        <w:sectPr w:rsidR="00C10469" w:rsidSect="00C10469">
          <w:headerReference w:type="default" r:id="rId15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CF6E9E" w:rsidRDefault="00C10469">
      <w:pPr>
        <w:pStyle w:val="a9"/>
        <w:rPr>
          <w:rFonts w:cs="AL-Mateen"/>
          <w:rtl/>
        </w:rPr>
      </w:pPr>
      <w:r w:rsidRPr="00CF6E9E">
        <w:rPr>
          <w:rFonts w:cs="AL-Mateen" w:hint="cs"/>
          <w:rtl/>
        </w:rPr>
        <w:lastRenderedPageBreak/>
        <w:t>[ القاعدة الثامنة والتسعون ]</w:t>
      </w:r>
    </w:p>
    <w:p w:rsidR="00C10469" w:rsidRDefault="00C10469">
      <w:pPr>
        <w:rPr>
          <w:rtl/>
        </w:rPr>
      </w:pPr>
      <w:r>
        <w:rPr>
          <w:rFonts w:cs="Monotype Koufi" w:hint="cs"/>
          <w:rtl/>
        </w:rPr>
        <w:t>الثَّابِتُ قَطْعًا أو ظَاهِرًا لا يُؤَخَّرُ لموهومٍ</w:t>
      </w:r>
      <w:r>
        <w:rPr>
          <w:rFonts w:hint="cs"/>
          <w:vertAlign w:val="superscript"/>
          <w:rtl/>
        </w:rPr>
        <w:t>(</w:t>
      </w:r>
      <w:r>
        <w:rPr>
          <w:rStyle w:val="a7"/>
          <w:rtl/>
        </w:rPr>
        <w:footnoteReference w:id="2273"/>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فـمن أثبت</w:t>
      </w:r>
      <w:r>
        <w:rPr>
          <w:rStyle w:val="a7"/>
          <w:rtl/>
        </w:rPr>
        <w:footnoteReference w:id="2274"/>
      </w:r>
      <w:r>
        <w:rPr>
          <w:rFonts w:hint="cs"/>
          <w:rtl/>
        </w:rPr>
        <w:t xml:space="preserve"> الشـراء</w:t>
      </w:r>
      <w:r>
        <w:rPr>
          <w:rStyle w:val="a7"/>
          <w:rtl/>
        </w:rPr>
        <w:footnoteReference w:id="2275"/>
      </w:r>
      <w:r>
        <w:rPr>
          <w:rFonts w:hint="cs"/>
          <w:rtl/>
        </w:rPr>
        <w:t xml:space="preserve"> [من]</w:t>
      </w:r>
      <w:r>
        <w:rPr>
          <w:rStyle w:val="a7"/>
          <w:rtl/>
        </w:rPr>
        <w:footnoteReference w:id="2276"/>
      </w:r>
      <w:r>
        <w:rPr>
          <w:rFonts w:hint="cs"/>
          <w:rtl/>
        </w:rPr>
        <w:t xml:space="preserve"> ذي اليـد، أو أثبت الدَّيـن على العبد حـتى</w:t>
      </w:r>
    </w:p>
    <w:p w:rsidR="00C10469" w:rsidRDefault="00C10469">
      <w:pPr>
        <w:ind w:firstLine="0"/>
        <w:rPr>
          <w:rtl/>
        </w:rPr>
      </w:pPr>
      <w:r>
        <w:rPr>
          <w:rFonts w:hint="cs"/>
          <w:rtl/>
        </w:rPr>
        <w:lastRenderedPageBreak/>
        <w:t>بيع فيه</w:t>
      </w:r>
      <w:r>
        <w:rPr>
          <w:rFonts w:hint="cs"/>
          <w:vertAlign w:val="superscript"/>
          <w:rtl/>
        </w:rPr>
        <w:t>(</w:t>
      </w:r>
      <w:r>
        <w:rPr>
          <w:rStyle w:val="a7"/>
          <w:rtl/>
        </w:rPr>
        <w:footnoteReference w:id="2277"/>
      </w:r>
      <w:r>
        <w:rPr>
          <w:rFonts w:hint="cs"/>
          <w:vertAlign w:val="superscript"/>
          <w:rtl/>
        </w:rPr>
        <w:t>)</w:t>
      </w:r>
      <w:r>
        <w:rPr>
          <w:rFonts w:hint="cs"/>
          <w:rtl/>
        </w:rPr>
        <w:t xml:space="preserve"> فإنه يدفع المبيع إلى المشتري والدَّين</w:t>
      </w:r>
      <w:r>
        <w:rPr>
          <w:rStyle w:val="a7"/>
          <w:rtl/>
        </w:rPr>
        <w:footnoteReference w:id="2278"/>
      </w:r>
      <w:r>
        <w:rPr>
          <w:rFonts w:hint="cs"/>
          <w:rtl/>
        </w:rPr>
        <w:t xml:space="preserve"> إلى</w:t>
      </w:r>
      <w:r>
        <w:rPr>
          <w:rStyle w:val="a7"/>
          <w:rtl/>
        </w:rPr>
        <w:footnoteReference w:id="2279"/>
      </w:r>
      <w:r>
        <w:rPr>
          <w:rFonts w:hint="cs"/>
          <w:rtl/>
        </w:rPr>
        <w:t xml:space="preserve"> المدّعي بغير كفيل، وإن كان حضور مشترٍ آخر قبله، وغريم</w:t>
      </w:r>
      <w:r>
        <w:rPr>
          <w:rStyle w:val="a7"/>
          <w:rtl/>
        </w:rPr>
        <w:footnoteReference w:id="2280"/>
      </w:r>
      <w:r>
        <w:rPr>
          <w:rFonts w:hint="cs"/>
          <w:rtl/>
        </w:rPr>
        <w:t xml:space="preserve"> آخر في حق العبد متوهّمًا</w:t>
      </w:r>
      <w:r>
        <w:rPr>
          <w:rStyle w:val="a7"/>
          <w:rtl/>
        </w:rPr>
        <w:footnoteReference w:id="2281"/>
      </w:r>
      <w:r>
        <w:rPr>
          <w:rFonts w:hint="cs"/>
          <w:rtl/>
        </w:rPr>
        <w:t>، فلا يؤخّر حقُّ الحاضر لحقٍّ موهوم إلى زمان التكفيل</w:t>
      </w:r>
      <w:r>
        <w:rPr>
          <w:rStyle w:val="a7"/>
          <w:rtl/>
        </w:rPr>
        <w:footnoteReference w:id="2282"/>
      </w:r>
      <w:r>
        <w:rPr>
          <w:rFonts w:hint="eastAsia"/>
          <w:rtl/>
        </w:rPr>
        <w:t>»</w:t>
      </w:r>
      <w:r>
        <w:rPr>
          <w:rFonts w:hint="cs"/>
          <w:vertAlign w:val="superscript"/>
          <w:rtl/>
        </w:rPr>
        <w:t>(</w:t>
      </w:r>
      <w:r>
        <w:rPr>
          <w:rStyle w:val="a7"/>
          <w:rtl/>
        </w:rPr>
        <w:footnoteReference w:id="2283"/>
      </w:r>
      <w:r>
        <w:rPr>
          <w:rFonts w:hint="cs"/>
          <w:vertAlign w:val="superscript"/>
          <w:rtl/>
        </w:rPr>
        <w:t>)</w:t>
      </w:r>
      <w:r>
        <w:rPr>
          <w:rFonts w:hint="cs"/>
          <w:rtl/>
        </w:rPr>
        <w:t>؛ لأن [الموهوم]</w:t>
      </w:r>
      <w:r>
        <w:rPr>
          <w:rStyle w:val="a7"/>
          <w:rtl/>
        </w:rPr>
        <w:footnoteReference w:id="2284"/>
      </w:r>
      <w:r>
        <w:rPr>
          <w:rFonts w:hint="cs"/>
          <w:rtl/>
        </w:rPr>
        <w:t xml:space="preserve"> ليس بمتحقق الوقوع، فلا يعتبر.</w:t>
      </w:r>
    </w:p>
    <w:p w:rsidR="00C10469" w:rsidRDefault="00C10469">
      <w:pPr>
        <w:ind w:firstLine="0"/>
        <w:rPr>
          <w:rtl/>
        </w:rPr>
      </w:pPr>
    </w:p>
    <w:p w:rsidR="00C10469" w:rsidRDefault="00C10469">
      <w:pPr>
        <w:ind w:firstLine="0"/>
        <w:rPr>
          <w:rtl/>
        </w:rPr>
      </w:pPr>
    </w:p>
    <w:p w:rsidR="00C10469" w:rsidRPr="00A664B1"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15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86398" w:rsidRDefault="00C10469">
      <w:pPr>
        <w:pStyle w:val="a9"/>
        <w:rPr>
          <w:rFonts w:cs="AL-Mateen"/>
          <w:rtl/>
        </w:rPr>
      </w:pPr>
      <w:r w:rsidRPr="00486398">
        <w:rPr>
          <w:rFonts w:cs="AL-Mateen" w:hint="cs"/>
          <w:rtl/>
        </w:rPr>
        <w:lastRenderedPageBreak/>
        <w:t>[ الـقـاعـدة الـتـاسـعـة والـتـسـعـون ]</w:t>
      </w:r>
    </w:p>
    <w:p w:rsidR="00C10469" w:rsidRDefault="00C10469">
      <w:pPr>
        <w:ind w:firstLine="0"/>
        <w:rPr>
          <w:rtl/>
        </w:rPr>
      </w:pPr>
      <w:r>
        <w:rPr>
          <w:rFonts w:cs="Monotype Koufi" w:hint="cs"/>
          <w:rtl/>
        </w:rPr>
        <w:t>جَازَ إقامةُ البَّيِنَةِ مَعَ الإقرارِ في كلِّ موضعٍ يُتوقَّعُ الضررُ مِنْ غيرِ</w:t>
      </w:r>
      <w:r>
        <w:rPr>
          <w:rStyle w:val="a7"/>
          <w:rtl/>
        </w:rPr>
        <w:footnoteReference w:id="2285"/>
      </w:r>
      <w:r>
        <w:rPr>
          <w:rFonts w:hint="cs"/>
          <w:rtl/>
        </w:rPr>
        <w:t xml:space="preserve"> </w:t>
      </w:r>
      <w:r>
        <w:rPr>
          <w:rFonts w:cs="Monotype Koufi" w:hint="cs"/>
          <w:rtl/>
        </w:rPr>
        <w:t>المُقِرِّ لولاها</w:t>
      </w:r>
      <w:r>
        <w:rPr>
          <w:rFonts w:hint="cs"/>
          <w:vertAlign w:val="superscript"/>
          <w:rtl/>
        </w:rPr>
        <w:t>(</w:t>
      </w:r>
      <w:r>
        <w:rPr>
          <w:rStyle w:val="a7"/>
          <w:rtl/>
        </w:rPr>
        <w:footnoteReference w:id="2286"/>
      </w:r>
      <w:r>
        <w:rPr>
          <w:rFonts w:hint="cs"/>
          <w:vertAlign w:val="superscript"/>
          <w:rtl/>
        </w:rPr>
        <w:t>)</w:t>
      </w:r>
      <w:r>
        <w:rPr>
          <w:rFonts w:hint="cs"/>
          <w:rtl/>
        </w:rPr>
        <w:t xml:space="preserve"> : </w:t>
      </w:r>
    </w:p>
    <w:p w:rsidR="00C10469" w:rsidRDefault="00C10469" w:rsidP="00C10469">
      <w:pPr>
        <w:ind w:left="207" w:firstLine="357"/>
        <w:rPr>
          <w:rtl/>
        </w:rPr>
      </w:pPr>
      <w:r>
        <w:rPr>
          <w:b/>
          <w:bCs/>
          <w:rtl/>
        </w:rPr>
        <w:t>•</w:t>
      </w:r>
      <w:r>
        <w:rPr>
          <w:rFonts w:hint="cs"/>
          <w:b/>
          <w:bCs/>
          <w:rtl/>
        </w:rPr>
        <w:t xml:space="preserve"> فلو</w:t>
      </w:r>
      <w:r>
        <w:rPr>
          <w:rFonts w:hint="cs"/>
          <w:rtl/>
        </w:rPr>
        <w:t xml:space="preserve"> أقرّ أحد الورثة بدين على الميّت : جاز إقامة البينة؛ للتعدي</w:t>
      </w:r>
      <w:r>
        <w:rPr>
          <w:rFonts w:hint="cs"/>
          <w:vertAlign w:val="superscript"/>
          <w:rtl/>
        </w:rPr>
        <w:t>(</w:t>
      </w:r>
      <w:r>
        <w:rPr>
          <w:rStyle w:val="a7"/>
          <w:rtl/>
        </w:rPr>
        <w:footnoteReference w:id="2287"/>
      </w:r>
      <w:r>
        <w:rPr>
          <w:rFonts w:hint="cs"/>
          <w:vertAlign w:val="superscript"/>
          <w:rtl/>
        </w:rPr>
        <w:t>)</w:t>
      </w:r>
      <w:r>
        <w:rPr>
          <w:rFonts w:hint="cs"/>
          <w:rtl/>
        </w:rPr>
        <w:t>.</w:t>
      </w:r>
    </w:p>
    <w:p w:rsidR="00C10469" w:rsidRDefault="00C10469" w:rsidP="00C10469">
      <w:pPr>
        <w:ind w:left="207" w:firstLine="357"/>
      </w:pPr>
      <w:r>
        <w:rPr>
          <w:b/>
          <w:bCs/>
          <w:rtl/>
        </w:rPr>
        <w:t>•</w:t>
      </w:r>
      <w:r>
        <w:rPr>
          <w:rFonts w:hint="cs"/>
          <w:b/>
          <w:bCs/>
          <w:rtl/>
        </w:rPr>
        <w:t xml:space="preserve"> وكذا</w:t>
      </w:r>
      <w:r>
        <w:rPr>
          <w:rFonts w:hint="cs"/>
          <w:rtl/>
        </w:rPr>
        <w:t xml:space="preserve"> : إذا أقرّ المدّعى عليه بالوكالة : جاز إقامة البينة؛ دفعًا للضرر</w:t>
      </w:r>
      <w:r>
        <w:rPr>
          <w:rFonts w:hint="cs"/>
          <w:vertAlign w:val="superscript"/>
          <w:rtl/>
        </w:rPr>
        <w:t>(</w:t>
      </w:r>
      <w:r>
        <w:rPr>
          <w:rStyle w:val="a7"/>
          <w:rtl/>
        </w:rPr>
        <w:footnoteReference w:id="2288"/>
      </w:r>
      <w:r>
        <w:rPr>
          <w:rFonts w:hint="cs"/>
          <w:vertAlign w:val="superscript"/>
          <w:rtl/>
        </w:rPr>
        <w:t>)</w:t>
      </w:r>
      <w:r>
        <w:rPr>
          <w:rFonts w:hint="cs"/>
          <w:rtl/>
        </w:rPr>
        <w:t>.</w:t>
      </w:r>
    </w:p>
    <w:p w:rsidR="00C10469" w:rsidRDefault="00C10469" w:rsidP="00C10469">
      <w:pPr>
        <w:ind w:left="207" w:firstLine="357"/>
        <w:rPr>
          <w:rtl/>
        </w:rPr>
      </w:pPr>
      <w:r>
        <w:rPr>
          <w:b/>
          <w:bCs/>
          <w:rtl/>
        </w:rPr>
        <w:lastRenderedPageBreak/>
        <w:t>•</w:t>
      </w:r>
      <w:r>
        <w:rPr>
          <w:rFonts w:hint="cs"/>
          <w:b/>
          <w:bCs/>
          <w:rtl/>
        </w:rPr>
        <w:t xml:space="preserve"> وكذا </w:t>
      </w:r>
      <w:r>
        <w:rPr>
          <w:rFonts w:hint="cs"/>
          <w:rtl/>
        </w:rPr>
        <w:t>: إذا أقرّ</w:t>
      </w:r>
      <w:r>
        <w:rPr>
          <w:rStyle w:val="a7"/>
          <w:rtl/>
        </w:rPr>
        <w:footnoteReference w:id="2289"/>
      </w:r>
      <w:r>
        <w:rPr>
          <w:rFonts w:hint="cs"/>
          <w:rtl/>
        </w:rPr>
        <w:t xml:space="preserve"> المدعى عليه بالوصاية : [تسمع]</w:t>
      </w:r>
      <w:r>
        <w:rPr>
          <w:rStyle w:val="a7"/>
          <w:rtl/>
        </w:rPr>
        <w:footnoteReference w:id="2290"/>
      </w:r>
      <w:r>
        <w:rPr>
          <w:rFonts w:hint="cs"/>
          <w:rtl/>
        </w:rPr>
        <w:t xml:space="preserve"> بيّنة الوصيِّ؛ للتعدي</w:t>
      </w:r>
      <w:r>
        <w:rPr>
          <w:rFonts w:hint="cs"/>
          <w:vertAlign w:val="superscript"/>
          <w:rtl/>
        </w:rPr>
        <w:t>(</w:t>
      </w:r>
      <w:r>
        <w:rPr>
          <w:rStyle w:val="a7"/>
          <w:rtl/>
        </w:rPr>
        <w:footnoteReference w:id="2291"/>
      </w:r>
      <w:r>
        <w:rPr>
          <w:rFonts w:hint="cs"/>
          <w:vertAlign w:val="superscript"/>
          <w:rtl/>
        </w:rPr>
        <w:t>)</w:t>
      </w:r>
      <w:r>
        <w:rPr>
          <w:rFonts w:hint="cs"/>
          <w:rtl/>
        </w:rPr>
        <w:t>.</w:t>
      </w:r>
    </w:p>
    <w:p w:rsidR="00C10469" w:rsidRDefault="00C10469" w:rsidP="00C10469">
      <w:pPr>
        <w:ind w:left="567" w:firstLine="0"/>
        <w:rPr>
          <w:spacing w:val="-4"/>
          <w:rtl/>
        </w:rPr>
      </w:pPr>
      <w:r>
        <w:rPr>
          <w:rFonts w:hint="cs"/>
          <w:spacing w:val="-4"/>
          <w:rtl/>
        </w:rPr>
        <w:t xml:space="preserve"> قال في (جامع الفصولين)</w:t>
      </w:r>
      <w:r>
        <w:rPr>
          <w:rFonts w:hint="cs"/>
          <w:spacing w:val="-4"/>
          <w:vertAlign w:val="superscript"/>
          <w:rtl/>
        </w:rPr>
        <w:t>(</w:t>
      </w:r>
      <w:r>
        <w:rPr>
          <w:rStyle w:val="a7"/>
          <w:spacing w:val="-4"/>
          <w:rtl/>
        </w:rPr>
        <w:footnoteReference w:id="2292"/>
      </w:r>
      <w:r>
        <w:rPr>
          <w:rFonts w:hint="cs"/>
          <w:spacing w:val="-4"/>
          <w:vertAlign w:val="superscript"/>
          <w:rtl/>
        </w:rPr>
        <w:t>)</w:t>
      </w:r>
      <w:r>
        <w:rPr>
          <w:rFonts w:hint="cs"/>
          <w:spacing w:val="-4"/>
          <w:rtl/>
        </w:rPr>
        <w:t xml:space="preserve"> : </w:t>
      </w:r>
      <w:r>
        <w:rPr>
          <w:rFonts w:hint="eastAsia"/>
          <w:spacing w:val="-4"/>
          <w:rtl/>
        </w:rPr>
        <w:t>«</w:t>
      </w:r>
      <w:r>
        <w:rPr>
          <w:rFonts w:hint="cs"/>
          <w:spacing w:val="-4"/>
          <w:rtl/>
        </w:rPr>
        <w:t>فهذا يدلّ على جواز إقامتها مع الإقرار في كل موضع يتوقع</w:t>
      </w:r>
      <w:r>
        <w:rPr>
          <w:rStyle w:val="a7"/>
          <w:spacing w:val="-4"/>
          <w:rtl/>
        </w:rPr>
        <w:footnoteReference w:id="2293"/>
      </w:r>
      <w:r>
        <w:rPr>
          <w:rFonts w:hint="cs"/>
          <w:spacing w:val="-4"/>
          <w:rtl/>
        </w:rPr>
        <w:t xml:space="preserve"> الضّرر من غير المقرّ لولاها، فيكون هذا [أصلاً]</w:t>
      </w:r>
      <w:r>
        <w:rPr>
          <w:rStyle w:val="a7"/>
          <w:spacing w:val="-4"/>
          <w:rtl/>
        </w:rPr>
        <w:footnoteReference w:id="2294"/>
      </w:r>
      <w:r>
        <w:rPr>
          <w:rFonts w:hint="eastAsia"/>
          <w:spacing w:val="-4"/>
          <w:rtl/>
        </w:rPr>
        <w:t>»</w:t>
      </w:r>
      <w:r>
        <w:rPr>
          <w:rFonts w:hint="cs"/>
          <w:spacing w:val="-4"/>
          <w:vertAlign w:val="superscript"/>
          <w:rtl/>
        </w:rPr>
        <w:t xml:space="preserve"> (</w:t>
      </w:r>
      <w:r>
        <w:rPr>
          <w:rStyle w:val="a7"/>
          <w:spacing w:val="-4"/>
          <w:rtl/>
        </w:rPr>
        <w:footnoteReference w:id="2295"/>
      </w:r>
      <w:r>
        <w:rPr>
          <w:rFonts w:hint="cs"/>
          <w:spacing w:val="-4"/>
          <w:vertAlign w:val="superscript"/>
          <w:rtl/>
        </w:rPr>
        <w:t>)</w:t>
      </w:r>
      <w:r>
        <w:rPr>
          <w:rFonts w:hint="cs"/>
          <w:spacing w:val="-4"/>
          <w:rtl/>
        </w:rPr>
        <w:t xml:space="preserve"> </w:t>
      </w:r>
      <w:r>
        <w:rPr>
          <w:rFonts w:hint="cs"/>
          <w:spacing w:val="-4"/>
          <w:rtl/>
        </w:rPr>
        <w:lastRenderedPageBreak/>
        <w:t>انتهى.</w:t>
      </w:r>
    </w:p>
    <w:p w:rsidR="00C10469" w:rsidRDefault="00C10469" w:rsidP="00C10469">
      <w:pPr>
        <w:ind w:left="848" w:hanging="281"/>
        <w:rPr>
          <w:rtl/>
        </w:rPr>
      </w:pPr>
      <w:r>
        <w:rPr>
          <w:b/>
          <w:bCs/>
          <w:rtl/>
        </w:rPr>
        <w:t>•</w:t>
      </w:r>
      <w:r>
        <w:rPr>
          <w:rFonts w:hint="cs"/>
          <w:b/>
          <w:bCs/>
          <w:rtl/>
        </w:rPr>
        <w:t xml:space="preserve">  ومن فروعها</w:t>
      </w:r>
      <w:r>
        <w:rPr>
          <w:rFonts w:hint="cs"/>
          <w:rtl/>
        </w:rPr>
        <w:t xml:space="preserve"> : جاز إقامة البينة للمستَحِقِّ مع إقرار</w:t>
      </w:r>
      <w:r>
        <w:rPr>
          <w:rStyle w:val="a7"/>
          <w:rtl/>
        </w:rPr>
        <w:footnoteReference w:id="2296"/>
      </w:r>
      <w:r>
        <w:rPr>
          <w:rFonts w:hint="cs"/>
          <w:rtl/>
        </w:rPr>
        <w:t xml:space="preserve"> المستَحَقّ عليه؛ ليتمكّن من الرجوع على بائعه</w:t>
      </w:r>
      <w:r>
        <w:rPr>
          <w:rFonts w:hint="cs"/>
          <w:vertAlign w:val="superscript"/>
          <w:rtl/>
        </w:rPr>
        <w:t>(</w:t>
      </w:r>
      <w:r>
        <w:rPr>
          <w:rStyle w:val="a7"/>
          <w:rtl/>
        </w:rPr>
        <w:footnoteReference w:id="2297"/>
      </w:r>
      <w:r>
        <w:rPr>
          <w:rFonts w:hint="cs"/>
          <w:vertAlign w:val="superscript"/>
          <w:rtl/>
        </w:rPr>
        <w:t>)</w:t>
      </w:r>
      <w:r>
        <w:rPr>
          <w:rFonts w:hint="cs"/>
          <w:rtl/>
        </w:rPr>
        <w:t>.</w:t>
      </w:r>
    </w:p>
    <w:p w:rsidR="00C10469" w:rsidRDefault="00C10469" w:rsidP="00C10469">
      <w:pPr>
        <w:ind w:left="848" w:hanging="281"/>
        <w:rPr>
          <w:spacing w:val="8"/>
          <w:rtl/>
        </w:rPr>
      </w:pPr>
      <w:r>
        <w:rPr>
          <w:rFonts w:hint="cs"/>
          <w:spacing w:val="8"/>
          <w:rtl/>
        </w:rPr>
        <w:t>وقد مرّ في الأصل المتقدم</w:t>
      </w:r>
      <w:r>
        <w:rPr>
          <w:rFonts w:hint="cs"/>
          <w:spacing w:val="8"/>
          <w:vertAlign w:val="superscript"/>
          <w:rtl/>
        </w:rPr>
        <w:t>(</w:t>
      </w:r>
      <w:r>
        <w:rPr>
          <w:rStyle w:val="a7"/>
          <w:spacing w:val="8"/>
          <w:rtl/>
        </w:rPr>
        <w:footnoteReference w:id="2298"/>
      </w:r>
      <w:r>
        <w:rPr>
          <w:rFonts w:hint="cs"/>
          <w:spacing w:val="8"/>
          <w:vertAlign w:val="superscript"/>
          <w:rtl/>
        </w:rPr>
        <w:t>)</w:t>
      </w:r>
      <w:r>
        <w:rPr>
          <w:rFonts w:hint="cs"/>
          <w:spacing w:val="8"/>
          <w:rtl/>
        </w:rPr>
        <w:t>: أن الموهوم لا يعتبر؛ لأنه ليس</w:t>
      </w:r>
      <w:r>
        <w:rPr>
          <w:rStyle w:val="a7"/>
          <w:spacing w:val="8"/>
          <w:rtl/>
        </w:rPr>
        <w:footnoteReference w:id="2299"/>
      </w:r>
      <w:r>
        <w:rPr>
          <w:rFonts w:hint="cs"/>
          <w:spacing w:val="8"/>
          <w:rtl/>
        </w:rPr>
        <w:t xml:space="preserve"> بمتحقِّق الوقوع.</w:t>
      </w:r>
    </w:p>
    <w:p w:rsidR="00C10469" w:rsidRDefault="00C10469">
      <w:pPr>
        <w:rPr>
          <w:rtl/>
        </w:rPr>
      </w:pPr>
      <w:r>
        <w:rPr>
          <w:rFonts w:hint="cs"/>
          <w:b/>
          <w:bCs/>
          <w:rtl/>
        </w:rPr>
        <w:t>فإن قيل</w:t>
      </w:r>
      <w:r>
        <w:rPr>
          <w:rFonts w:hint="cs"/>
          <w:rtl/>
        </w:rPr>
        <w:t xml:space="preserve"> : إن المتوقع ليس متحقّق الوقوع</w:t>
      </w:r>
      <w:r>
        <w:rPr>
          <w:rStyle w:val="a7"/>
          <w:rtl/>
        </w:rPr>
        <w:footnoteReference w:id="2300"/>
      </w:r>
      <w:r>
        <w:rPr>
          <w:rFonts w:hint="cs"/>
          <w:rtl/>
        </w:rPr>
        <w:t xml:space="preserve"> أيضًا كالموهوم، فما وجه عدم اعتبار الموهوم في تأخير حقِّ المدّعي -على ما ذكر في الأصل</w:t>
      </w:r>
      <w:r>
        <w:rPr>
          <w:rStyle w:val="a7"/>
          <w:rtl/>
        </w:rPr>
        <w:footnoteReference w:id="2301"/>
      </w:r>
      <w:r>
        <w:rPr>
          <w:rFonts w:hint="cs"/>
          <w:rtl/>
        </w:rPr>
        <w:t xml:space="preserve"> المتقدم- واعتبار المُتَوَقَّع في تأخير الحكم</w:t>
      </w:r>
      <w:r>
        <w:rPr>
          <w:rStyle w:val="a7"/>
          <w:rtl/>
        </w:rPr>
        <w:footnoteReference w:id="2302"/>
      </w:r>
      <w:r>
        <w:rPr>
          <w:rFonts w:hint="cs"/>
          <w:rtl/>
        </w:rPr>
        <w:t xml:space="preserve"> إلى إقامة البينة ؟!.</w:t>
      </w:r>
    </w:p>
    <w:p w:rsidR="00C10469" w:rsidRDefault="00C10469">
      <w:pPr>
        <w:rPr>
          <w:rtl/>
        </w:rPr>
      </w:pPr>
      <w:r>
        <w:rPr>
          <w:rFonts w:hint="cs"/>
          <w:b/>
          <w:bCs/>
          <w:rtl/>
        </w:rPr>
        <w:t>أقول</w:t>
      </w:r>
      <w:r>
        <w:rPr>
          <w:rFonts w:hint="cs"/>
          <w:rtl/>
        </w:rPr>
        <w:t xml:space="preserve"> : إنّ الموهوم نادر الوقوع، فلا يعتبر؛ لأنّ النادر كالمعدوم، والمُتَوَقَّع كثير الوقوع، فيعتبر.</w:t>
      </w:r>
    </w:p>
    <w:p w:rsidR="00C10469" w:rsidRDefault="00C10469" w:rsidP="004067BA">
      <w:pPr>
        <w:rPr>
          <w:rtl/>
        </w:rPr>
      </w:pPr>
      <w:r>
        <w:rPr>
          <w:rFonts w:hint="cs"/>
          <w:rtl/>
        </w:rPr>
        <w:t>ويحتاج في مثل هذه المسائل إلى نظر دقيق للفرق بين الموهوم والمتوقع.</w:t>
      </w:r>
    </w:p>
    <w:p w:rsidR="00C10469" w:rsidRDefault="00C10469">
      <w:pPr>
        <w:rPr>
          <w:rtl/>
        </w:rPr>
      </w:pPr>
    </w:p>
    <w:p w:rsidR="00C10469" w:rsidRDefault="00C10469" w:rsidP="004067BA">
      <w:pPr>
        <w:jc w:val="center"/>
        <w:rPr>
          <w:rFonts w:ascii="AGA Arabesque" w:hAnsi="AGA Arabesque"/>
          <w:sz w:val="50"/>
          <w:szCs w:val="50"/>
          <w:rtl/>
        </w:rPr>
        <w:sectPr w:rsidR="00C10469" w:rsidSect="00C10469">
          <w:headerReference w:type="default" r:id="rId155"/>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r>
        <w:rPr>
          <w:rFonts w:ascii="AGA Arabesque" w:hAnsi="AGA Arabesque"/>
          <w:sz w:val="50"/>
          <w:szCs w:val="50"/>
          <w:rtl/>
        </w:rPr>
        <w:tab/>
      </w:r>
    </w:p>
    <w:p w:rsidR="00C10469" w:rsidRPr="00681609" w:rsidRDefault="00C10469">
      <w:pPr>
        <w:pStyle w:val="a9"/>
        <w:rPr>
          <w:rFonts w:cs="AL-Mateen"/>
          <w:rtl/>
          <w:lang w:val="en-US"/>
        </w:rPr>
      </w:pPr>
      <w:r w:rsidRPr="00681609">
        <w:rPr>
          <w:rFonts w:cs="AL-Mateen" w:hint="cs"/>
          <w:rtl/>
          <w:lang w:val="en-US"/>
        </w:rPr>
        <w:lastRenderedPageBreak/>
        <w:t>[ الـقـاعـدة الـمـائـة ]</w:t>
      </w:r>
    </w:p>
    <w:p w:rsidR="00C10469" w:rsidRDefault="00C10469">
      <w:pPr>
        <w:rPr>
          <w:rtl/>
        </w:rPr>
      </w:pPr>
      <w:r>
        <w:rPr>
          <w:rFonts w:cs="Monotype Koufi" w:hint="cs"/>
          <w:rtl/>
        </w:rPr>
        <w:t>جُرْحُ الـعَجْماءِ جُبَارٌ</w:t>
      </w:r>
      <w:r>
        <w:rPr>
          <w:rFonts w:hint="cs"/>
          <w:vertAlign w:val="superscript"/>
          <w:rtl/>
        </w:rPr>
        <w:t>(</w:t>
      </w:r>
      <w:r>
        <w:rPr>
          <w:rStyle w:val="a7"/>
          <w:rtl/>
        </w:rPr>
        <w:footnoteReference w:id="2303"/>
      </w:r>
      <w:r>
        <w:rPr>
          <w:rFonts w:hint="cs"/>
          <w:vertAlign w:val="superscript"/>
          <w:rtl/>
        </w:rPr>
        <w:t>)</w:t>
      </w:r>
      <w:r>
        <w:rPr>
          <w:rFonts w:hint="cs"/>
          <w:rtl/>
        </w:rPr>
        <w:t xml:space="preserve"> :</w:t>
      </w:r>
    </w:p>
    <w:p w:rsidR="00C10469" w:rsidRDefault="00C10469">
      <w:pPr>
        <w:rPr>
          <w:rtl/>
        </w:rPr>
      </w:pPr>
      <w:r>
        <w:rPr>
          <w:rFonts w:hint="cs"/>
          <w:rtl/>
        </w:rPr>
        <w:lastRenderedPageBreak/>
        <w:t xml:space="preserve">وهذا حديث النبي </w:t>
      </w:r>
      <w:r>
        <w:rPr>
          <w:rFonts w:ascii="AGA Arabesque" w:hAnsi="AGA Arabesque" w:cs="AGA Arabesque"/>
          <w:sz w:val="36"/>
        </w:rPr>
        <w:t></w:t>
      </w:r>
      <w:r>
        <w:rPr>
          <w:rFonts w:hint="cs"/>
          <w:vertAlign w:val="superscript"/>
          <w:rtl/>
        </w:rPr>
        <w:t xml:space="preserve"> (</w:t>
      </w:r>
      <w:r>
        <w:rPr>
          <w:rStyle w:val="a7"/>
          <w:rtl/>
        </w:rPr>
        <w:footnoteReference w:id="2304"/>
      </w:r>
      <w:r>
        <w:rPr>
          <w:rFonts w:hint="cs"/>
          <w:vertAlign w:val="superscript"/>
          <w:rtl/>
        </w:rPr>
        <w:t>)</w:t>
      </w:r>
      <w:r>
        <w:rPr>
          <w:rFonts w:hint="cs"/>
          <w:rtl/>
        </w:rPr>
        <w:t xml:space="preserve">. </w:t>
      </w:r>
    </w:p>
    <w:p w:rsidR="00C10469" w:rsidRDefault="00C10469">
      <w:pPr>
        <w:ind w:firstLine="0"/>
        <w:rPr>
          <w:rtl/>
        </w:rPr>
      </w:pPr>
      <w:r>
        <w:rPr>
          <w:rFonts w:hint="cs"/>
          <w:b/>
          <w:bCs/>
          <w:rtl/>
        </w:rPr>
        <w:t>ولهذا</w:t>
      </w:r>
      <w:r>
        <w:rPr>
          <w:rFonts w:hint="cs"/>
          <w:rtl/>
        </w:rPr>
        <w:t xml:space="preserve"> : لا ضمان </w:t>
      </w:r>
      <w:r>
        <w:rPr>
          <w:rFonts w:hint="eastAsia"/>
          <w:rtl/>
        </w:rPr>
        <w:t>«</w:t>
      </w:r>
      <w:r>
        <w:rPr>
          <w:rFonts w:hint="cs"/>
          <w:rtl/>
        </w:rPr>
        <w:t>في دابّةٍ [منفلتة]</w:t>
      </w:r>
      <w:r>
        <w:rPr>
          <w:rStyle w:val="a7"/>
          <w:rtl/>
        </w:rPr>
        <w:footnoteReference w:id="2305"/>
      </w:r>
      <w:r>
        <w:rPr>
          <w:rFonts w:hint="cs"/>
          <w:rtl/>
        </w:rPr>
        <w:t xml:space="preserve"> أصابت نفسًا</w:t>
      </w:r>
      <w:r>
        <w:rPr>
          <w:rStyle w:val="a7"/>
          <w:rtl/>
        </w:rPr>
        <w:footnoteReference w:id="2306"/>
      </w:r>
      <w:r>
        <w:rPr>
          <w:rFonts w:hint="cs"/>
          <w:rtl/>
        </w:rPr>
        <w:t xml:space="preserve"> أو مالاً ليلاً أو نهارًا ؛ لأن الفعل لم يضف إلى صـاحبـه</w:t>
      </w:r>
      <w:r>
        <w:rPr>
          <w:rStyle w:val="a7"/>
          <w:rtl/>
        </w:rPr>
        <w:footnoteReference w:id="2307"/>
      </w:r>
      <w:r>
        <w:rPr>
          <w:rFonts w:hint="cs"/>
          <w:rtl/>
        </w:rPr>
        <w:t>؛  إذْ لم يـوجد منه ما يوجب النسبة إليه، من الإرسال، والسّوق، ونحوهما</w:t>
      </w:r>
      <w:r>
        <w:rPr>
          <w:rFonts w:hint="eastAsia"/>
          <w:rtl/>
        </w:rPr>
        <w:t>»</w:t>
      </w:r>
      <w:r>
        <w:rPr>
          <w:rFonts w:hint="cs"/>
          <w:vertAlign w:val="superscript"/>
          <w:rtl/>
        </w:rPr>
        <w:t>(</w:t>
      </w:r>
      <w:r>
        <w:rPr>
          <w:rStyle w:val="a7"/>
          <w:rtl/>
        </w:rPr>
        <w:footnoteReference w:id="2308"/>
      </w:r>
      <w:r>
        <w:rPr>
          <w:rFonts w:hint="cs"/>
          <w:vertAlign w:val="superscript"/>
          <w:rtl/>
        </w:rPr>
        <w:t>)</w:t>
      </w:r>
      <w:r>
        <w:rPr>
          <w:rFonts w:hint="cs"/>
          <w:rtl/>
        </w:rPr>
        <w:t>.</w:t>
      </w:r>
    </w:p>
    <w:p w:rsidR="00C10469" w:rsidRDefault="00C10469">
      <w:pPr>
        <w:ind w:firstLine="0"/>
        <w:rPr>
          <w:rtl/>
        </w:rPr>
      </w:pPr>
    </w:p>
    <w:p w:rsidR="00C10469" w:rsidRDefault="00C10469">
      <w:pPr>
        <w:ind w:firstLine="0"/>
        <w:rPr>
          <w:rtl/>
        </w:rPr>
      </w:pPr>
    </w:p>
    <w:p w:rsidR="00C10469" w:rsidRPr="00675068"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15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00BCD" w:rsidRDefault="00C10469">
      <w:pPr>
        <w:pStyle w:val="a9"/>
        <w:rPr>
          <w:rFonts w:cs="AL-Mateen"/>
          <w:rtl/>
        </w:rPr>
      </w:pPr>
      <w:r w:rsidRPr="00B00BCD">
        <w:rPr>
          <w:rFonts w:cs="AL-Mateen" w:hint="cs"/>
          <w:rtl/>
        </w:rPr>
        <w:lastRenderedPageBreak/>
        <w:t>[ الـقـاعـدة الـحـاديـة بـعـد  الـمـائـة ]</w:t>
      </w:r>
    </w:p>
    <w:p w:rsidR="00C10469" w:rsidRDefault="00C10469">
      <w:pPr>
        <w:rPr>
          <w:rtl/>
        </w:rPr>
      </w:pPr>
      <w:r>
        <w:rPr>
          <w:rFonts w:cs="Monotype Koufi" w:hint="cs"/>
          <w:rtl/>
        </w:rPr>
        <w:t>الجمعُ المحلَّى باللاَّمِ يُرَادُ بِهِ الجِنْسُ، ويُبطِل</w:t>
      </w:r>
      <w:r>
        <w:rPr>
          <w:rStyle w:val="a7"/>
          <w:rtl/>
        </w:rPr>
        <w:footnoteReference w:id="2309"/>
      </w:r>
      <w:r>
        <w:rPr>
          <w:rFonts w:hint="cs"/>
          <w:rtl/>
        </w:rPr>
        <w:t xml:space="preserve"> </w:t>
      </w:r>
      <w:r>
        <w:rPr>
          <w:rFonts w:cs="Monotype Koufi" w:hint="cs"/>
          <w:rtl/>
        </w:rPr>
        <w:t>الجمعيَّة</w:t>
      </w:r>
      <w:r>
        <w:rPr>
          <w:rFonts w:hint="cs"/>
          <w:vertAlign w:val="superscript"/>
          <w:rtl/>
        </w:rPr>
        <w:t>(</w:t>
      </w:r>
      <w:r>
        <w:rPr>
          <w:rStyle w:val="a7"/>
          <w:rtl/>
        </w:rPr>
        <w:footnoteReference w:id="2310"/>
      </w:r>
      <w:r>
        <w:rPr>
          <w:rFonts w:hint="cs"/>
          <w:vertAlign w:val="superscript"/>
          <w:rtl/>
        </w:rPr>
        <w:t>)</w:t>
      </w:r>
      <w:r>
        <w:rPr>
          <w:rFonts w:hint="cs"/>
          <w:rtl/>
        </w:rPr>
        <w:t xml:space="preserve"> :</w:t>
      </w:r>
    </w:p>
    <w:p w:rsidR="00C10469" w:rsidRDefault="00C10469">
      <w:pPr>
        <w:rPr>
          <w:rtl/>
        </w:rPr>
      </w:pPr>
      <w:r>
        <w:rPr>
          <w:rFonts w:hint="cs"/>
          <w:rtl/>
        </w:rPr>
        <w:lastRenderedPageBreak/>
        <w:t>فلو أوصى بثلث ماله لزيد والفقراء</w:t>
      </w:r>
      <w:r>
        <w:rPr>
          <w:rStyle w:val="a7"/>
          <w:rtl/>
        </w:rPr>
        <w:footnoteReference w:id="2311"/>
      </w:r>
      <w:r>
        <w:rPr>
          <w:rFonts w:hint="cs"/>
          <w:rtl/>
        </w:rPr>
        <w:t xml:space="preserve"> :</w:t>
      </w:r>
    </w:p>
    <w:p w:rsidR="00C10469" w:rsidRDefault="00C10469" w:rsidP="00C10469">
      <w:pPr>
        <w:ind w:left="1131" w:hanging="564"/>
        <w:rPr>
          <w:rtl/>
        </w:rPr>
      </w:pPr>
      <w:r>
        <w:rPr>
          <w:rFonts w:hint="cs"/>
          <w:rtl/>
        </w:rPr>
        <w:t xml:space="preserve"> </w:t>
      </w:r>
      <w:r>
        <w:rPr>
          <w:rtl/>
        </w:rPr>
        <w:t>•</w:t>
      </w:r>
      <w:r>
        <w:rPr>
          <w:rFonts w:hint="cs"/>
          <w:rtl/>
        </w:rPr>
        <w:t xml:space="preserve">   ينتصف</w:t>
      </w:r>
      <w:r>
        <w:rPr>
          <w:rStyle w:val="a7"/>
          <w:rtl/>
        </w:rPr>
        <w:footnoteReference w:id="2312"/>
      </w:r>
      <w:r>
        <w:rPr>
          <w:rFonts w:hint="cs"/>
          <w:rtl/>
        </w:rPr>
        <w:t xml:space="preserve"> بينهما عند أبي حنيفة وأبي يوسف؛ لأن (الفقراء) جمع محلَّى باللام فبطل الجمعية، ويراد به الواحد كما في قوله تعالى: </w:t>
      </w:r>
      <w:r>
        <w:rPr>
          <w:color w:val="000000"/>
          <w:sz w:val="30"/>
          <w:szCs w:val="30"/>
        </w:rPr>
        <w:sym w:font="HQPB2" w:char="F0E2"/>
      </w:r>
      <w:r>
        <w:rPr>
          <w:color w:val="000000"/>
          <w:sz w:val="30"/>
          <w:szCs w:val="30"/>
          <w:rtl/>
        </w:rPr>
        <w:t xml:space="preserve"> </w:t>
      </w:r>
      <w:r>
        <w:rPr>
          <w:color w:val="000000"/>
          <w:sz w:val="30"/>
          <w:szCs w:val="30"/>
        </w:rPr>
        <w:sym w:font="HQPB5" w:char="F09E"/>
      </w:r>
      <w:r>
        <w:rPr>
          <w:color w:val="000000"/>
          <w:sz w:val="30"/>
          <w:szCs w:val="30"/>
        </w:rPr>
        <w:sym w:font="HQPB2" w:char="F077"/>
      </w:r>
      <w:r>
        <w:rPr>
          <w:color w:val="000000"/>
          <w:sz w:val="30"/>
          <w:szCs w:val="30"/>
          <w:rtl/>
        </w:rPr>
        <w:t xml:space="preserve"> </w:t>
      </w:r>
      <w:r>
        <w:rPr>
          <w:color w:val="000000"/>
          <w:sz w:val="30"/>
          <w:szCs w:val="30"/>
        </w:rPr>
        <w:sym w:font="HQPB4" w:char="F091"/>
      </w:r>
      <w:r>
        <w:rPr>
          <w:color w:val="000000"/>
          <w:sz w:val="30"/>
          <w:szCs w:val="30"/>
        </w:rPr>
        <w:sym w:font="HQPB2" w:char="F040"/>
      </w:r>
      <w:r>
        <w:rPr>
          <w:color w:val="000000"/>
          <w:sz w:val="30"/>
          <w:szCs w:val="30"/>
        </w:rPr>
        <w:sym w:font="HQPB4" w:char="F0CF"/>
      </w:r>
      <w:r>
        <w:rPr>
          <w:color w:val="000000"/>
          <w:sz w:val="30"/>
          <w:szCs w:val="30"/>
        </w:rPr>
        <w:sym w:font="HQPB1" w:char="F074"/>
      </w:r>
      <w:r>
        <w:rPr>
          <w:color w:val="000000"/>
          <w:sz w:val="30"/>
          <w:szCs w:val="30"/>
        </w:rPr>
        <w:sym w:font="HQPB5" w:char="F073"/>
      </w:r>
      <w:r>
        <w:rPr>
          <w:color w:val="000000"/>
          <w:sz w:val="30"/>
          <w:szCs w:val="30"/>
        </w:rPr>
        <w:sym w:font="HQPB2" w:char="F086"/>
      </w:r>
      <w:r>
        <w:rPr>
          <w:color w:val="000000"/>
          <w:sz w:val="30"/>
          <w:szCs w:val="30"/>
          <w:rtl/>
        </w:rPr>
        <w:t xml:space="preserve"> </w:t>
      </w:r>
      <w:r>
        <w:rPr>
          <w:color w:val="000000"/>
          <w:sz w:val="30"/>
          <w:szCs w:val="30"/>
        </w:rPr>
        <w:sym w:font="HQPB5" w:char="F09A"/>
      </w:r>
      <w:r>
        <w:rPr>
          <w:color w:val="000000"/>
          <w:sz w:val="30"/>
          <w:szCs w:val="30"/>
        </w:rPr>
        <w:sym w:font="HQPB3" w:char="F081"/>
      </w:r>
      <w:r>
        <w:rPr>
          <w:color w:val="000000"/>
          <w:sz w:val="30"/>
          <w:szCs w:val="30"/>
        </w:rPr>
        <w:sym w:font="HQPB5" w:char="F073"/>
      </w:r>
      <w:r>
        <w:rPr>
          <w:color w:val="000000"/>
          <w:sz w:val="30"/>
          <w:szCs w:val="30"/>
        </w:rPr>
        <w:sym w:font="HQPB2" w:char="F039"/>
      </w:r>
      <w:r>
        <w:rPr>
          <w:color w:val="000000"/>
          <w:sz w:val="30"/>
          <w:szCs w:val="30"/>
          <w:rtl/>
        </w:rPr>
        <w:t xml:space="preserve"> </w:t>
      </w:r>
      <w:r>
        <w:rPr>
          <w:color w:val="000000"/>
          <w:sz w:val="30"/>
          <w:szCs w:val="30"/>
        </w:rPr>
        <w:sym w:font="HQPB4" w:char="F0E2"/>
      </w:r>
      <w:r>
        <w:rPr>
          <w:color w:val="000000"/>
          <w:sz w:val="30"/>
          <w:szCs w:val="30"/>
        </w:rPr>
        <w:sym w:font="HQPB2" w:char="F0E4"/>
      </w:r>
      <w:r>
        <w:rPr>
          <w:color w:val="000000"/>
          <w:sz w:val="30"/>
          <w:szCs w:val="30"/>
        </w:rPr>
        <w:sym w:font="HQPB5" w:char="F021"/>
      </w:r>
      <w:r>
        <w:rPr>
          <w:color w:val="000000"/>
          <w:sz w:val="30"/>
          <w:szCs w:val="30"/>
        </w:rPr>
        <w:sym w:font="HQPB1" w:char="F024"/>
      </w:r>
      <w:r>
        <w:rPr>
          <w:color w:val="000000"/>
          <w:sz w:val="30"/>
          <w:szCs w:val="30"/>
        </w:rPr>
        <w:sym w:font="HQPB5" w:char="F07C"/>
      </w:r>
      <w:r>
        <w:rPr>
          <w:color w:val="000000"/>
          <w:sz w:val="30"/>
          <w:szCs w:val="30"/>
        </w:rPr>
        <w:sym w:font="HQPB1" w:char="F0A1"/>
      </w:r>
      <w:r>
        <w:rPr>
          <w:color w:val="000000"/>
          <w:sz w:val="30"/>
          <w:szCs w:val="30"/>
        </w:rPr>
        <w:sym w:font="HQPB4" w:char="F0CF"/>
      </w:r>
      <w:r>
        <w:rPr>
          <w:color w:val="000000"/>
          <w:sz w:val="30"/>
          <w:szCs w:val="30"/>
        </w:rPr>
        <w:sym w:font="HQPB4" w:char="F069"/>
      </w:r>
      <w:r>
        <w:rPr>
          <w:color w:val="000000"/>
          <w:sz w:val="30"/>
          <w:szCs w:val="30"/>
        </w:rPr>
        <w:sym w:font="HQPB2" w:char="F059"/>
      </w:r>
      <w:r>
        <w:rPr>
          <w:color w:val="000000"/>
          <w:sz w:val="30"/>
          <w:szCs w:val="30"/>
        </w:rPr>
        <w:sym w:font="HQPB2" w:char="F039"/>
      </w:r>
      <w:r>
        <w:rPr>
          <w:color w:val="000000"/>
          <w:sz w:val="30"/>
          <w:szCs w:val="30"/>
        </w:rPr>
        <w:sym w:font="HQPB5" w:char="F024"/>
      </w:r>
      <w:r>
        <w:rPr>
          <w:color w:val="000000"/>
          <w:sz w:val="30"/>
          <w:szCs w:val="30"/>
        </w:rPr>
        <w:sym w:font="HQPB1" w:char="F023"/>
      </w:r>
      <w:r>
        <w:rPr>
          <w:rFonts w:hint="cs"/>
          <w:color w:val="000000"/>
          <w:sz w:val="30"/>
          <w:szCs w:val="30"/>
          <w:rtl/>
        </w:rPr>
        <w:t xml:space="preserve"> </w:t>
      </w:r>
      <w:r>
        <w:rPr>
          <w:color w:val="000000"/>
          <w:sz w:val="30"/>
          <w:szCs w:val="30"/>
        </w:rPr>
        <w:sym w:font="HQPB2" w:char="F0E1"/>
      </w:r>
      <w:r>
        <w:rPr>
          <w:color w:val="800000"/>
          <w:sz w:val="22"/>
          <w:szCs w:val="22"/>
          <w:rtl/>
        </w:rPr>
        <w:t xml:space="preserve"> </w:t>
      </w:r>
      <w:r>
        <w:rPr>
          <w:rFonts w:hint="cs"/>
          <w:vertAlign w:val="superscript"/>
          <w:rtl/>
        </w:rPr>
        <w:t>(</w:t>
      </w:r>
      <w:r>
        <w:rPr>
          <w:rStyle w:val="a7"/>
          <w:rtl/>
        </w:rPr>
        <w:footnoteReference w:id="2313"/>
      </w:r>
      <w:r>
        <w:rPr>
          <w:rFonts w:hint="cs"/>
          <w:vertAlign w:val="superscript"/>
          <w:rtl/>
        </w:rPr>
        <w:t>)</w:t>
      </w:r>
      <w:r>
        <w:rPr>
          <w:rFonts w:hint="cs"/>
          <w:rtl/>
        </w:rPr>
        <w:t xml:space="preserve">  يُراد</w:t>
      </w:r>
      <w:r>
        <w:rPr>
          <w:rStyle w:val="a7"/>
          <w:rtl/>
        </w:rPr>
        <w:footnoteReference w:id="2314"/>
      </w:r>
      <w:r>
        <w:rPr>
          <w:rFonts w:hint="cs"/>
          <w:rtl/>
        </w:rPr>
        <w:t xml:space="preserve"> به الواحد، فينصّف بينهما</w:t>
      </w:r>
      <w:r>
        <w:rPr>
          <w:rFonts w:hint="cs"/>
          <w:vertAlign w:val="superscript"/>
          <w:rtl/>
        </w:rPr>
        <w:t>(</w:t>
      </w:r>
      <w:r>
        <w:rPr>
          <w:rStyle w:val="a7"/>
          <w:rtl/>
        </w:rPr>
        <w:footnoteReference w:id="2315"/>
      </w:r>
      <w:r>
        <w:rPr>
          <w:rFonts w:hint="cs"/>
          <w:vertAlign w:val="superscript"/>
          <w:rtl/>
        </w:rPr>
        <w:t>)</w:t>
      </w:r>
      <w:r>
        <w:rPr>
          <w:rFonts w:hint="cs"/>
          <w:rtl/>
        </w:rPr>
        <w:t>.</w:t>
      </w:r>
    </w:p>
    <w:p w:rsidR="00C10469" w:rsidRDefault="00C10469" w:rsidP="00C10469">
      <w:pPr>
        <w:ind w:left="1131" w:hanging="564"/>
        <w:rPr>
          <w:rtl/>
        </w:rPr>
      </w:pPr>
      <w:r>
        <w:rPr>
          <w:rFonts w:hint="cs"/>
          <w:rtl/>
        </w:rPr>
        <w:t xml:space="preserve"> </w:t>
      </w:r>
      <w:r>
        <w:rPr>
          <w:rtl/>
        </w:rPr>
        <w:t>•</w:t>
      </w:r>
      <w:r>
        <w:rPr>
          <w:rFonts w:hint="cs"/>
          <w:rtl/>
        </w:rPr>
        <w:t xml:space="preserve">   وعند محمد : يقسّم أثلاثًا؛ لأنّ لفظ </w:t>
      </w:r>
      <w:r>
        <w:rPr>
          <w:rFonts w:hint="eastAsia"/>
          <w:rtl/>
        </w:rPr>
        <w:t>«</w:t>
      </w:r>
      <w:r>
        <w:rPr>
          <w:rFonts w:hint="cs"/>
          <w:rtl/>
        </w:rPr>
        <w:t>الجمع في الميراث أقلّه اثنان</w:t>
      </w:r>
      <w:r>
        <w:rPr>
          <w:rFonts w:hint="eastAsia"/>
          <w:rtl/>
        </w:rPr>
        <w:t>»</w:t>
      </w:r>
      <w:r>
        <w:rPr>
          <w:rFonts w:hint="cs"/>
          <w:vertAlign w:val="superscript"/>
          <w:rtl/>
        </w:rPr>
        <w:t>(</w:t>
      </w:r>
      <w:r>
        <w:rPr>
          <w:rStyle w:val="a7"/>
          <w:rtl/>
        </w:rPr>
        <w:footnoteReference w:id="2316"/>
      </w:r>
      <w:r>
        <w:rPr>
          <w:rFonts w:hint="cs"/>
          <w:vertAlign w:val="superscript"/>
          <w:rtl/>
        </w:rPr>
        <w:t>)</w:t>
      </w:r>
      <w:r>
        <w:rPr>
          <w:rFonts w:hint="cs"/>
          <w:rtl/>
        </w:rPr>
        <w:t xml:space="preserve"> والوصية أخت الميراث</w:t>
      </w:r>
      <w:r>
        <w:rPr>
          <w:rFonts w:hint="cs"/>
          <w:vertAlign w:val="superscript"/>
          <w:rtl/>
        </w:rPr>
        <w:t>(</w:t>
      </w:r>
      <w:r>
        <w:rPr>
          <w:rStyle w:val="a7"/>
          <w:rtl/>
        </w:rPr>
        <w:footnoteReference w:id="2317"/>
      </w:r>
      <w:r>
        <w:rPr>
          <w:rFonts w:hint="cs"/>
          <w:vertAlign w:val="superscript"/>
          <w:rtl/>
        </w:rPr>
        <w:t>)(</w:t>
      </w:r>
      <w:r>
        <w:rPr>
          <w:rStyle w:val="a7"/>
          <w:rtl/>
        </w:rPr>
        <w:footnoteReference w:id="2318"/>
      </w:r>
      <w:r>
        <w:rPr>
          <w:rFonts w:hint="cs"/>
          <w:vertAlign w:val="superscript"/>
          <w:rtl/>
        </w:rPr>
        <w:t>)</w:t>
      </w:r>
      <w:r>
        <w:rPr>
          <w:rFonts w:hint="cs"/>
          <w:rtl/>
        </w:rPr>
        <w:t>.</w:t>
      </w:r>
    </w:p>
    <w:p w:rsidR="00C10469" w:rsidRDefault="00C10469" w:rsidP="00C10469">
      <w:pPr>
        <w:rPr>
          <w:rtl/>
        </w:rPr>
      </w:pPr>
      <w:r>
        <w:rPr>
          <w:rFonts w:hint="cs"/>
          <w:rtl/>
        </w:rPr>
        <w:t xml:space="preserve">وذُكر في كتب الأصول : </w:t>
      </w:r>
      <w:r>
        <w:rPr>
          <w:rFonts w:hint="eastAsia"/>
          <w:rtl/>
        </w:rPr>
        <w:t>«</w:t>
      </w:r>
      <w:r>
        <w:rPr>
          <w:rFonts w:hint="cs"/>
          <w:rtl/>
        </w:rPr>
        <w:t>أن الألِف واللاّم إذا دخلا في اسمٍ، مفردًا كان أو جمعًا، وكان [ثمَّة]</w:t>
      </w:r>
      <w:r>
        <w:rPr>
          <w:rStyle w:val="a7"/>
          <w:rtl/>
        </w:rPr>
        <w:footnoteReference w:id="2319"/>
      </w:r>
      <w:r>
        <w:rPr>
          <w:rFonts w:hint="cs"/>
          <w:rtl/>
        </w:rPr>
        <w:t xml:space="preserve"> معهود : يصرف</w:t>
      </w:r>
      <w:r>
        <w:rPr>
          <w:rStyle w:val="a7"/>
          <w:rtl/>
        </w:rPr>
        <w:footnoteReference w:id="2320"/>
      </w:r>
      <w:r>
        <w:rPr>
          <w:rFonts w:hint="cs"/>
          <w:rtl/>
        </w:rPr>
        <w:t xml:space="preserve"> إليه إجماعًا</w:t>
      </w:r>
      <w:r>
        <w:rPr>
          <w:rFonts w:hint="cs"/>
          <w:vertAlign w:val="superscript"/>
          <w:rtl/>
        </w:rPr>
        <w:t>(</w:t>
      </w:r>
      <w:r>
        <w:rPr>
          <w:rStyle w:val="a7"/>
          <w:rtl/>
        </w:rPr>
        <w:footnoteReference w:id="2321"/>
      </w:r>
      <w:r>
        <w:rPr>
          <w:rFonts w:hint="cs"/>
          <w:vertAlign w:val="superscript"/>
          <w:rtl/>
        </w:rPr>
        <w:t>)</w:t>
      </w:r>
      <w:r>
        <w:rPr>
          <w:rFonts w:hint="cs"/>
          <w:rtl/>
        </w:rPr>
        <w:t>.</w:t>
      </w:r>
    </w:p>
    <w:p w:rsidR="00C10469" w:rsidRDefault="00C10469">
      <w:pPr>
        <w:spacing w:line="560" w:lineRule="exact"/>
        <w:rPr>
          <w:rtl/>
        </w:rPr>
      </w:pPr>
      <w:r>
        <w:rPr>
          <w:rFonts w:hint="cs"/>
          <w:rtl/>
        </w:rPr>
        <w:lastRenderedPageBreak/>
        <w:t>وإن لم يكن [ثمة]</w:t>
      </w:r>
      <w:r>
        <w:rPr>
          <w:rStyle w:val="a7"/>
          <w:rtl/>
        </w:rPr>
        <w:footnoteReference w:id="2322"/>
      </w:r>
      <w:r>
        <w:rPr>
          <w:rFonts w:hint="cs"/>
          <w:rtl/>
        </w:rPr>
        <w:t xml:space="preserve"> عهد :</w:t>
      </w:r>
    </w:p>
    <w:p w:rsidR="00C10469" w:rsidRDefault="00C10469" w:rsidP="00C10469">
      <w:pPr>
        <w:spacing w:line="228" w:lineRule="auto"/>
        <w:ind w:left="1128" w:hanging="561"/>
        <w:rPr>
          <w:rtl/>
        </w:rPr>
      </w:pPr>
      <w:r>
        <w:rPr>
          <w:rFonts w:hint="cs"/>
          <w:rtl/>
        </w:rPr>
        <w:t xml:space="preserve"> </w:t>
      </w:r>
      <w:r>
        <w:rPr>
          <w:rtl/>
        </w:rPr>
        <w:t>•</w:t>
      </w:r>
      <w:r>
        <w:rPr>
          <w:rFonts w:hint="cs"/>
          <w:rtl/>
        </w:rPr>
        <w:t xml:space="preserve">   فيحمل على الاستغراق عند بعض المحققين</w:t>
      </w:r>
      <w:r>
        <w:rPr>
          <w:rFonts w:hint="cs"/>
          <w:vertAlign w:val="superscript"/>
          <w:rtl/>
        </w:rPr>
        <w:t>(</w:t>
      </w:r>
      <w:r>
        <w:rPr>
          <w:rStyle w:val="a7"/>
          <w:rtl/>
        </w:rPr>
        <w:footnoteReference w:id="2323"/>
      </w:r>
      <w:r>
        <w:rPr>
          <w:rFonts w:hint="cs"/>
          <w:vertAlign w:val="superscript"/>
          <w:rtl/>
        </w:rPr>
        <w:t>)</w:t>
      </w:r>
      <w:r>
        <w:rPr>
          <w:rFonts w:hint="cs"/>
          <w:rtl/>
        </w:rPr>
        <w:t>.</w:t>
      </w:r>
    </w:p>
    <w:p w:rsidR="00C10469" w:rsidRDefault="00C10469" w:rsidP="00C10469">
      <w:pPr>
        <w:spacing w:line="228" w:lineRule="auto"/>
        <w:ind w:left="1128" w:hanging="561"/>
        <w:rPr>
          <w:rtl/>
        </w:rPr>
      </w:pPr>
      <w:r>
        <w:rPr>
          <w:rFonts w:hint="cs"/>
          <w:rtl/>
        </w:rPr>
        <w:t xml:space="preserve"> </w:t>
      </w:r>
      <w:r>
        <w:rPr>
          <w:rtl/>
        </w:rPr>
        <w:t>•</w:t>
      </w:r>
      <w:r>
        <w:rPr>
          <w:rFonts w:hint="cs"/>
          <w:rtl/>
        </w:rPr>
        <w:t xml:space="preserve">   </w:t>
      </w:r>
      <w:r w:rsidRPr="004B3DAF">
        <w:rPr>
          <w:rFonts w:hint="cs"/>
          <w:spacing w:val="2"/>
          <w:rtl/>
        </w:rPr>
        <w:t>وعـلـى الـجـنـس عند المتأخرين</w:t>
      </w:r>
      <w:r w:rsidRPr="004B3DAF">
        <w:rPr>
          <w:rFonts w:hint="cs"/>
          <w:spacing w:val="2"/>
          <w:vertAlign w:val="superscript"/>
          <w:rtl/>
        </w:rPr>
        <w:t>(</w:t>
      </w:r>
      <w:r w:rsidRPr="004B3DAF">
        <w:rPr>
          <w:rStyle w:val="a7"/>
          <w:spacing w:val="2"/>
          <w:rtl/>
        </w:rPr>
        <w:footnoteReference w:id="2324"/>
      </w:r>
      <w:r w:rsidRPr="004B3DAF">
        <w:rPr>
          <w:rFonts w:hint="cs"/>
          <w:spacing w:val="2"/>
          <w:vertAlign w:val="superscript"/>
          <w:rtl/>
        </w:rPr>
        <w:t>)</w:t>
      </w:r>
      <w:r w:rsidRPr="004B3DAF">
        <w:rPr>
          <w:rFonts w:hint="eastAsia"/>
          <w:spacing w:val="2"/>
          <w:rtl/>
        </w:rPr>
        <w:t>»</w:t>
      </w:r>
      <w:r w:rsidRPr="004B3DAF">
        <w:rPr>
          <w:rFonts w:hint="cs"/>
          <w:spacing w:val="2"/>
          <w:vertAlign w:val="superscript"/>
          <w:rtl/>
        </w:rPr>
        <w:t>(</w:t>
      </w:r>
      <w:r w:rsidRPr="004B3DAF">
        <w:rPr>
          <w:rStyle w:val="a7"/>
          <w:spacing w:val="2"/>
          <w:rtl/>
        </w:rPr>
        <w:footnoteReference w:id="2325"/>
      </w:r>
      <w:r w:rsidRPr="004B3DAF">
        <w:rPr>
          <w:rFonts w:hint="cs"/>
          <w:spacing w:val="2"/>
          <w:vertAlign w:val="superscript"/>
          <w:rtl/>
        </w:rPr>
        <w:t>)</w:t>
      </w:r>
      <w:r w:rsidRPr="004B3DAF">
        <w:rPr>
          <w:rFonts w:hint="cs"/>
          <w:spacing w:val="2"/>
          <w:rtl/>
        </w:rPr>
        <w:t xml:space="preserve"> ؛ </w:t>
      </w:r>
      <w:r w:rsidRPr="004B3DAF">
        <w:rPr>
          <w:rFonts w:hint="eastAsia"/>
          <w:spacing w:val="2"/>
          <w:rtl/>
        </w:rPr>
        <w:t>«</w:t>
      </w:r>
      <w:r w:rsidRPr="004B3DAF">
        <w:rPr>
          <w:rFonts w:hint="cs"/>
          <w:spacing w:val="2"/>
          <w:rtl/>
        </w:rPr>
        <w:t>لأنهما آل</w:t>
      </w:r>
      <w:r>
        <w:rPr>
          <w:rFonts w:hint="cs"/>
          <w:spacing w:val="2"/>
          <w:rtl/>
        </w:rPr>
        <w:t>ـ</w:t>
      </w:r>
      <w:r w:rsidRPr="004B3DAF">
        <w:rPr>
          <w:rFonts w:hint="cs"/>
          <w:spacing w:val="2"/>
          <w:rtl/>
        </w:rPr>
        <w:t>ة التعريف؛ ولهذا لا يُجـمـع مـع التنـويـن الذي هـو للـتـنـكـيـر</w:t>
      </w:r>
      <w:r w:rsidRPr="004B3DAF">
        <w:rPr>
          <w:rStyle w:val="a7"/>
          <w:spacing w:val="2"/>
          <w:rtl/>
        </w:rPr>
        <w:footnoteReference w:id="2326"/>
      </w:r>
      <w:r w:rsidRPr="004B3DAF">
        <w:rPr>
          <w:rFonts w:hint="cs"/>
          <w:spacing w:val="2"/>
          <w:vertAlign w:val="superscript"/>
          <w:rtl/>
        </w:rPr>
        <w:t xml:space="preserve"> (</w:t>
      </w:r>
      <w:r w:rsidRPr="004B3DAF">
        <w:rPr>
          <w:rStyle w:val="a7"/>
          <w:spacing w:val="2"/>
          <w:rtl/>
        </w:rPr>
        <w:footnoteReference w:id="2327"/>
      </w:r>
      <w:r w:rsidRPr="004B3DAF">
        <w:rPr>
          <w:rFonts w:hint="cs"/>
          <w:spacing w:val="2"/>
          <w:vertAlign w:val="superscript"/>
          <w:rtl/>
        </w:rPr>
        <w:t>)</w:t>
      </w:r>
      <w:r w:rsidRPr="004B3DAF">
        <w:rPr>
          <w:rFonts w:hint="cs"/>
          <w:spacing w:val="2"/>
          <w:rtl/>
        </w:rPr>
        <w:t xml:space="preserve">، </w:t>
      </w:r>
    </w:p>
    <w:p w:rsidR="00C10469" w:rsidRDefault="00C10469" w:rsidP="00C10469">
      <w:pPr>
        <w:ind w:left="567" w:firstLine="0"/>
        <w:rPr>
          <w:rtl/>
        </w:rPr>
      </w:pPr>
      <w:r>
        <w:rPr>
          <w:rFonts w:hint="cs"/>
          <w:rtl/>
        </w:rPr>
        <w:lastRenderedPageBreak/>
        <w:t>ولو[لا]</w:t>
      </w:r>
      <w:r>
        <w:rPr>
          <w:rFonts w:hint="cs"/>
          <w:vertAlign w:val="superscript"/>
          <w:rtl/>
        </w:rPr>
        <w:t>(</w:t>
      </w:r>
      <w:r>
        <w:rPr>
          <w:rStyle w:val="a7"/>
          <w:rtl/>
        </w:rPr>
        <w:footnoteReference w:id="2328"/>
      </w:r>
      <w:r>
        <w:rPr>
          <w:rFonts w:hint="cs"/>
          <w:vertAlign w:val="superscript"/>
          <w:rtl/>
        </w:rPr>
        <w:t>)</w:t>
      </w:r>
      <w:r>
        <w:rPr>
          <w:rFonts w:hint="cs"/>
          <w:rtl/>
        </w:rPr>
        <w:t xml:space="preserve"> صرفه</w:t>
      </w:r>
      <w:r>
        <w:rPr>
          <w:rStyle w:val="a7"/>
          <w:rtl/>
        </w:rPr>
        <w:footnoteReference w:id="2329"/>
      </w:r>
      <w:r>
        <w:rPr>
          <w:rFonts w:hint="cs"/>
          <w:rtl/>
        </w:rPr>
        <w:t xml:space="preserve"> [إلى]</w:t>
      </w:r>
      <w:r>
        <w:rPr>
          <w:rStyle w:val="a7"/>
          <w:rtl/>
        </w:rPr>
        <w:footnoteReference w:id="2330"/>
      </w:r>
      <w:r>
        <w:rPr>
          <w:rFonts w:hint="cs"/>
          <w:rtl/>
        </w:rPr>
        <w:t xml:space="preserve"> الجنس يلزم إلغاء</w:t>
      </w:r>
      <w:r>
        <w:rPr>
          <w:rFonts w:hint="cs"/>
          <w:vertAlign w:val="superscript"/>
          <w:rtl/>
        </w:rPr>
        <w:t>(</w:t>
      </w:r>
      <w:r>
        <w:rPr>
          <w:rStyle w:val="a7"/>
          <w:rtl/>
        </w:rPr>
        <w:footnoteReference w:id="2331"/>
      </w:r>
      <w:r>
        <w:rPr>
          <w:rFonts w:hint="cs"/>
          <w:vertAlign w:val="superscript"/>
          <w:rtl/>
        </w:rPr>
        <w:t>)</w:t>
      </w:r>
      <w:r>
        <w:rPr>
          <w:rFonts w:hint="cs"/>
          <w:rtl/>
        </w:rPr>
        <w:t xml:space="preserve"> حرف التعريف من كل وجه</w:t>
      </w:r>
      <w:r>
        <w:rPr>
          <w:rFonts w:hint="eastAsia"/>
          <w:rtl/>
        </w:rPr>
        <w:t>»</w:t>
      </w:r>
      <w:r>
        <w:rPr>
          <w:rFonts w:hint="cs"/>
          <w:vertAlign w:val="superscript"/>
          <w:rtl/>
        </w:rPr>
        <w:t>(</w:t>
      </w:r>
      <w:r>
        <w:rPr>
          <w:rStyle w:val="a7"/>
          <w:rtl/>
        </w:rPr>
        <w:footnoteReference w:id="2332"/>
      </w:r>
      <w:r>
        <w:rPr>
          <w:rFonts w:hint="cs"/>
          <w:vertAlign w:val="superscript"/>
          <w:rtl/>
        </w:rPr>
        <w:t>)</w:t>
      </w:r>
      <w:r>
        <w:rPr>
          <w:rFonts w:hint="cs"/>
          <w:rtl/>
        </w:rPr>
        <w:t xml:space="preserve">؛ </w:t>
      </w:r>
      <w:r>
        <w:rPr>
          <w:rFonts w:hint="eastAsia"/>
          <w:rtl/>
        </w:rPr>
        <w:t>«</w:t>
      </w:r>
      <w:r>
        <w:rPr>
          <w:rFonts w:hint="cs"/>
          <w:rtl/>
        </w:rPr>
        <w:t>لأنه</w:t>
      </w:r>
      <w:r>
        <w:rPr>
          <w:rStyle w:val="a7"/>
          <w:rtl/>
        </w:rPr>
        <w:footnoteReference w:id="2333"/>
      </w:r>
      <w:r>
        <w:rPr>
          <w:rFonts w:hint="cs"/>
          <w:rtl/>
        </w:rPr>
        <w:t xml:space="preserve"> في الجمع لا يمكن حمله على بعض أفراد الجمع؛ لعدم المرجّح على تقدير انعدام العهد، فتعيَّن أن يكون للجنس، وحينئذ لا يمكن القول بتعريف الجنس مع بقاء الجمعيّة؛ لأن الجمع وضع لأفراد الماهية لا للماهيّة من حيث إنهّ ماهيّة</w:t>
      </w:r>
      <w:r>
        <w:rPr>
          <w:rStyle w:val="a7"/>
          <w:rtl/>
        </w:rPr>
        <w:footnoteReference w:id="2334"/>
      </w:r>
      <w:r>
        <w:rPr>
          <w:rFonts w:hint="cs"/>
          <w:rtl/>
        </w:rPr>
        <w:t>، فحمل على الجنس بطريق المجاز</w:t>
      </w:r>
      <w:r>
        <w:rPr>
          <w:rFonts w:hint="eastAsia"/>
          <w:rtl/>
        </w:rPr>
        <w:t>»</w:t>
      </w:r>
      <w:r>
        <w:rPr>
          <w:rFonts w:hint="cs"/>
          <w:vertAlign w:val="superscript"/>
          <w:rtl/>
        </w:rPr>
        <w:t>(</w:t>
      </w:r>
      <w:r>
        <w:rPr>
          <w:rStyle w:val="a7"/>
          <w:rtl/>
        </w:rPr>
        <w:footnoteReference w:id="2335"/>
      </w:r>
      <w:r>
        <w:rPr>
          <w:rFonts w:hint="cs"/>
          <w:vertAlign w:val="superscript"/>
          <w:rtl/>
        </w:rPr>
        <w:t>)</w:t>
      </w:r>
      <w:r>
        <w:rPr>
          <w:rFonts w:hint="cs"/>
          <w:rtl/>
        </w:rPr>
        <w:t>.</w:t>
      </w:r>
      <w:r>
        <w:rPr>
          <w:rFonts w:hint="cs"/>
          <w:vertAlign w:val="superscript"/>
          <w:rtl/>
        </w:rPr>
        <w:t xml:space="preserve"> </w:t>
      </w:r>
    </w:p>
    <w:p w:rsidR="00C10469" w:rsidRDefault="00C10469">
      <w:pPr>
        <w:rPr>
          <w:rtl/>
        </w:rPr>
      </w:pPr>
      <w:r>
        <w:rPr>
          <w:rFonts w:hint="eastAsia"/>
          <w:rtl/>
        </w:rPr>
        <w:t>«</w:t>
      </w:r>
      <w:r>
        <w:rPr>
          <w:rFonts w:hint="cs"/>
          <w:b/>
          <w:bCs/>
          <w:rtl/>
        </w:rPr>
        <w:t>ولا يقال</w:t>
      </w:r>
      <w:r>
        <w:rPr>
          <w:rFonts w:hint="cs"/>
          <w:rtl/>
        </w:rPr>
        <w:t xml:space="preserve"> : إن الحمل على الجنس - وإن أخرج حرف التعريف  عن الإلغاء فقد أدى إلى إلغاء صيغة الجمع!</w:t>
      </w:r>
      <w:r>
        <w:rPr>
          <w:rFonts w:hint="eastAsia"/>
          <w:rtl/>
        </w:rPr>
        <w:t>»</w:t>
      </w:r>
      <w:r>
        <w:rPr>
          <w:rFonts w:hint="cs"/>
          <w:vertAlign w:val="superscript"/>
          <w:rtl/>
        </w:rPr>
        <w:t>(</w:t>
      </w:r>
      <w:r>
        <w:rPr>
          <w:rStyle w:val="a7"/>
          <w:rtl/>
        </w:rPr>
        <w:footnoteReference w:id="2336"/>
      </w:r>
      <w:r>
        <w:rPr>
          <w:rFonts w:hint="cs"/>
          <w:vertAlign w:val="superscript"/>
          <w:rtl/>
        </w:rPr>
        <w:t>)</w:t>
      </w:r>
      <w:r>
        <w:rPr>
          <w:rFonts w:hint="cs"/>
          <w:rtl/>
        </w:rPr>
        <w:t>.</w:t>
      </w:r>
    </w:p>
    <w:p w:rsidR="00C10469" w:rsidRDefault="00C10469">
      <w:pPr>
        <w:rPr>
          <w:rtl/>
        </w:rPr>
      </w:pPr>
      <w:r>
        <w:rPr>
          <w:rFonts w:hint="cs"/>
          <w:b/>
          <w:bCs/>
          <w:rtl/>
        </w:rPr>
        <w:lastRenderedPageBreak/>
        <w:t>لأن</w:t>
      </w:r>
      <w:r>
        <w:rPr>
          <w:rFonts w:hint="cs"/>
          <w:rtl/>
        </w:rPr>
        <w:t xml:space="preserve"> الـجـنس مـفرد من وجـه، جمـع من وجـه، فلا يلزم إلغـاء صيغة الجمع من كل وجه</w:t>
      </w:r>
      <w:r>
        <w:rPr>
          <w:rFonts w:hint="cs"/>
          <w:vertAlign w:val="superscript"/>
          <w:rtl/>
        </w:rPr>
        <w:t>(</w:t>
      </w:r>
      <w:r>
        <w:rPr>
          <w:rStyle w:val="a7"/>
          <w:rtl/>
        </w:rPr>
        <w:footnoteReference w:id="2337"/>
      </w:r>
      <w:r>
        <w:rPr>
          <w:rFonts w:hint="cs"/>
          <w:vertAlign w:val="superscript"/>
          <w:rtl/>
        </w:rPr>
        <w:t>)</w:t>
      </w:r>
      <w:r>
        <w:rPr>
          <w:rFonts w:hint="cs"/>
          <w:rtl/>
        </w:rPr>
        <w:t>.</w:t>
      </w:r>
    </w:p>
    <w:p w:rsidR="00C10469" w:rsidRDefault="00C10469">
      <w:pPr>
        <w:rPr>
          <w:rtl/>
        </w:rPr>
      </w:pPr>
      <w:r>
        <w:rPr>
          <w:rFonts w:hint="cs"/>
          <w:rtl/>
        </w:rPr>
        <w:t>وكذا الألف واللام في المفرد يصرف</w:t>
      </w:r>
      <w:r>
        <w:rPr>
          <w:rStyle w:val="a7"/>
          <w:rtl/>
        </w:rPr>
        <w:footnoteReference w:id="2338"/>
      </w:r>
      <w:r>
        <w:rPr>
          <w:rFonts w:hint="cs"/>
          <w:rtl/>
        </w:rPr>
        <w:t xml:space="preserve"> إلى الجنس اطرادًا؛ ولهذا قالوا : بأنه يجب الوضوء</w:t>
      </w:r>
      <w:r>
        <w:rPr>
          <w:rStyle w:val="a7"/>
          <w:rtl/>
        </w:rPr>
        <w:footnoteReference w:id="2339"/>
      </w:r>
      <w:r>
        <w:rPr>
          <w:rFonts w:hint="cs"/>
          <w:rtl/>
        </w:rPr>
        <w:t xml:space="preserve"> لكلّ صلاة، فرضًا كان</w:t>
      </w:r>
      <w:r>
        <w:rPr>
          <w:rStyle w:val="a7"/>
          <w:rtl/>
        </w:rPr>
        <w:footnoteReference w:id="2340"/>
      </w:r>
      <w:r>
        <w:rPr>
          <w:rFonts w:hint="cs"/>
          <w:rtl/>
        </w:rPr>
        <w:t>، أو نفلاً، أو صلاة عيد، أو جنازة</w:t>
      </w:r>
      <w:r>
        <w:rPr>
          <w:rFonts w:hint="cs"/>
          <w:vertAlign w:val="superscript"/>
          <w:rtl/>
        </w:rPr>
        <w:t>(</w:t>
      </w:r>
      <w:r>
        <w:rPr>
          <w:rStyle w:val="a7"/>
          <w:rtl/>
        </w:rPr>
        <w:footnoteReference w:id="2341"/>
      </w:r>
      <w:r>
        <w:rPr>
          <w:rFonts w:hint="cs"/>
          <w:vertAlign w:val="superscript"/>
          <w:rtl/>
        </w:rPr>
        <w:t>)</w:t>
      </w:r>
      <w:r>
        <w:rPr>
          <w:rFonts w:hint="cs"/>
          <w:rtl/>
        </w:rPr>
        <w:t xml:space="preserve">؛ </w:t>
      </w:r>
      <w:r>
        <w:rPr>
          <w:rFonts w:hint="eastAsia"/>
          <w:rtl/>
        </w:rPr>
        <w:t>«</w:t>
      </w:r>
      <w:r>
        <w:rPr>
          <w:rFonts w:hint="cs"/>
          <w:rtl/>
        </w:rPr>
        <w:t>لأن اللاّم في قوله تعالى</w:t>
      </w:r>
      <w:r>
        <w:rPr>
          <w:rStyle w:val="a7"/>
          <w:rtl/>
        </w:rPr>
        <w:footnoteReference w:id="2342"/>
      </w:r>
      <w:r>
        <w:rPr>
          <w:rFonts w:hint="cs"/>
          <w:rtl/>
        </w:rPr>
        <w:t xml:space="preserve"> : </w:t>
      </w:r>
      <w:r>
        <w:rPr>
          <w:color w:val="000000"/>
          <w:sz w:val="28"/>
          <w:szCs w:val="28"/>
        </w:rPr>
        <w:sym w:font="HQPB2" w:char="F0E2"/>
      </w:r>
      <w:r>
        <w:rPr>
          <w:color w:val="000000"/>
          <w:sz w:val="28"/>
          <w:szCs w:val="28"/>
          <w:rtl/>
        </w:rPr>
        <w:t xml:space="preserve"> </w:t>
      </w:r>
      <w:r>
        <w:rPr>
          <w:color w:val="000000"/>
          <w:sz w:val="28"/>
          <w:szCs w:val="28"/>
        </w:rPr>
        <w:sym w:font="HQPB1" w:char="F023"/>
      </w:r>
      <w:r>
        <w:rPr>
          <w:color w:val="000000"/>
          <w:sz w:val="28"/>
          <w:szCs w:val="28"/>
        </w:rPr>
        <w:sym w:font="HQPB5" w:char="F073"/>
      </w:r>
      <w:r>
        <w:rPr>
          <w:color w:val="000000"/>
          <w:sz w:val="28"/>
          <w:szCs w:val="28"/>
        </w:rPr>
        <w:sym w:font="HQPB1" w:char="F08C"/>
      </w:r>
      <w:r>
        <w:rPr>
          <w:color w:val="000000"/>
          <w:sz w:val="28"/>
          <w:szCs w:val="28"/>
        </w:rPr>
        <w:sym w:font="HQPB4" w:char="F0CE"/>
      </w:r>
      <w:r>
        <w:rPr>
          <w:color w:val="000000"/>
          <w:sz w:val="28"/>
          <w:szCs w:val="28"/>
        </w:rPr>
        <w:sym w:font="HQPB1" w:char="F029"/>
      </w:r>
      <w:r>
        <w:rPr>
          <w:color w:val="000000"/>
          <w:sz w:val="28"/>
          <w:szCs w:val="28"/>
          <w:rtl/>
        </w:rPr>
        <w:t xml:space="preserve"> </w:t>
      </w:r>
      <w:r>
        <w:rPr>
          <w:color w:val="000000"/>
          <w:sz w:val="28"/>
          <w:szCs w:val="28"/>
        </w:rPr>
        <w:sym w:font="HQPB4" w:char="F0F3"/>
      </w:r>
      <w:r>
        <w:rPr>
          <w:color w:val="000000"/>
          <w:sz w:val="28"/>
          <w:szCs w:val="28"/>
        </w:rPr>
        <w:sym w:font="HQPB2" w:char="F04F"/>
      </w:r>
      <w:r>
        <w:rPr>
          <w:color w:val="000000"/>
          <w:sz w:val="28"/>
          <w:szCs w:val="28"/>
        </w:rPr>
        <w:sym w:font="HQPB4" w:char="F0E7"/>
      </w:r>
      <w:r>
        <w:rPr>
          <w:color w:val="000000"/>
          <w:sz w:val="28"/>
          <w:szCs w:val="28"/>
        </w:rPr>
        <w:sym w:font="HQPB1" w:char="F046"/>
      </w:r>
      <w:r>
        <w:rPr>
          <w:color w:val="000000"/>
          <w:sz w:val="28"/>
          <w:szCs w:val="28"/>
        </w:rPr>
        <w:sym w:font="HQPB4" w:char="F0F4"/>
      </w:r>
      <w:r>
        <w:rPr>
          <w:color w:val="000000"/>
          <w:sz w:val="28"/>
          <w:szCs w:val="28"/>
        </w:rPr>
        <w:sym w:font="HQPB2" w:char="F04A"/>
      </w:r>
      <w:r>
        <w:rPr>
          <w:color w:val="000000"/>
          <w:sz w:val="28"/>
          <w:szCs w:val="28"/>
        </w:rPr>
        <w:sym w:font="HQPB4" w:char="F0E8"/>
      </w:r>
      <w:r>
        <w:rPr>
          <w:color w:val="000000"/>
          <w:sz w:val="28"/>
          <w:szCs w:val="28"/>
        </w:rPr>
        <w:sym w:font="HQPB2" w:char="F025"/>
      </w:r>
      <w:r>
        <w:rPr>
          <w:color w:val="000000"/>
          <w:sz w:val="28"/>
          <w:szCs w:val="28"/>
          <w:rtl/>
        </w:rPr>
        <w:t xml:space="preserve"> </w:t>
      </w:r>
      <w:r>
        <w:rPr>
          <w:color w:val="000000"/>
          <w:sz w:val="28"/>
          <w:szCs w:val="28"/>
        </w:rPr>
        <w:sym w:font="HQPB2" w:char="F092"/>
      </w:r>
      <w:r>
        <w:rPr>
          <w:color w:val="000000"/>
          <w:sz w:val="28"/>
          <w:szCs w:val="28"/>
        </w:rPr>
        <w:sym w:font="HQPB5" w:char="F06E"/>
      </w:r>
      <w:r>
        <w:rPr>
          <w:color w:val="000000"/>
          <w:sz w:val="28"/>
          <w:szCs w:val="28"/>
        </w:rPr>
        <w:sym w:font="HQPB2" w:char="F03C"/>
      </w:r>
      <w:r>
        <w:rPr>
          <w:color w:val="000000"/>
          <w:sz w:val="28"/>
          <w:szCs w:val="28"/>
        </w:rPr>
        <w:sym w:font="HQPB4" w:char="F0CE"/>
      </w:r>
      <w:r>
        <w:rPr>
          <w:color w:val="000000"/>
          <w:sz w:val="28"/>
          <w:szCs w:val="28"/>
        </w:rPr>
        <w:sym w:font="HQPB1" w:char="F029"/>
      </w:r>
      <w:r>
        <w:rPr>
          <w:color w:val="000000"/>
          <w:sz w:val="28"/>
          <w:szCs w:val="28"/>
          <w:rtl/>
        </w:rPr>
        <w:t xml:space="preserve"> </w:t>
      </w:r>
      <w:r>
        <w:rPr>
          <w:color w:val="000000"/>
          <w:sz w:val="28"/>
          <w:szCs w:val="28"/>
        </w:rPr>
        <w:sym w:font="HQPB4" w:char="F0CD"/>
      </w:r>
      <w:r>
        <w:rPr>
          <w:color w:val="000000"/>
          <w:sz w:val="28"/>
          <w:szCs w:val="28"/>
        </w:rPr>
        <w:sym w:font="HQPB2" w:char="F06F"/>
      </w:r>
      <w:r>
        <w:rPr>
          <w:color w:val="000000"/>
          <w:sz w:val="28"/>
          <w:szCs w:val="28"/>
        </w:rPr>
        <w:sym w:font="HQPB5" w:char="F034"/>
      </w:r>
      <w:r>
        <w:rPr>
          <w:color w:val="000000"/>
          <w:sz w:val="28"/>
          <w:szCs w:val="28"/>
        </w:rPr>
        <w:sym w:font="HQPB2" w:char="F071"/>
      </w:r>
      <w:r>
        <w:rPr>
          <w:color w:val="000000"/>
          <w:sz w:val="28"/>
          <w:szCs w:val="28"/>
        </w:rPr>
        <w:sym w:font="HQPB5" w:char="F06E"/>
      </w:r>
      <w:r>
        <w:rPr>
          <w:color w:val="000000"/>
          <w:sz w:val="28"/>
          <w:szCs w:val="28"/>
        </w:rPr>
        <w:sym w:font="HQPB2" w:char="F03D"/>
      </w:r>
      <w:r>
        <w:rPr>
          <w:color w:val="000000"/>
          <w:sz w:val="28"/>
          <w:szCs w:val="28"/>
        </w:rPr>
        <w:sym w:font="HQPB4" w:char="F0A2"/>
      </w:r>
      <w:r>
        <w:rPr>
          <w:color w:val="000000"/>
          <w:sz w:val="28"/>
          <w:szCs w:val="28"/>
        </w:rPr>
        <w:sym w:font="HQPB1" w:char="F0C1"/>
      </w:r>
      <w:r>
        <w:rPr>
          <w:color w:val="000000"/>
          <w:sz w:val="28"/>
          <w:szCs w:val="28"/>
        </w:rPr>
        <w:sym w:font="HQPB2" w:char="F039"/>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2" w:char="F0E1"/>
      </w:r>
      <w:r>
        <w:rPr>
          <w:rFonts w:hint="cs"/>
          <w:vertAlign w:val="superscript"/>
          <w:rtl/>
        </w:rPr>
        <w:t xml:space="preserve"> (</w:t>
      </w:r>
      <w:r>
        <w:rPr>
          <w:rStyle w:val="a7"/>
          <w:rtl/>
        </w:rPr>
        <w:footnoteReference w:id="2343"/>
      </w:r>
      <w:r>
        <w:rPr>
          <w:rFonts w:hint="cs"/>
          <w:vertAlign w:val="superscript"/>
          <w:rtl/>
        </w:rPr>
        <w:t>)</w:t>
      </w:r>
      <w:r>
        <w:rPr>
          <w:rFonts w:hint="cs"/>
          <w:rtl/>
        </w:rPr>
        <w:t xml:space="preserve"> يصرف</w:t>
      </w:r>
      <w:r>
        <w:rPr>
          <w:rFonts w:hint="cs"/>
          <w:vertAlign w:val="superscript"/>
          <w:rtl/>
        </w:rPr>
        <w:t>(</w:t>
      </w:r>
      <w:r>
        <w:rPr>
          <w:rStyle w:val="a7"/>
          <w:rtl/>
        </w:rPr>
        <w:footnoteReference w:id="2344"/>
      </w:r>
      <w:r>
        <w:rPr>
          <w:rFonts w:hint="cs"/>
          <w:vertAlign w:val="superscript"/>
          <w:rtl/>
        </w:rPr>
        <w:t>)</w:t>
      </w:r>
      <w:r>
        <w:rPr>
          <w:rFonts w:hint="cs"/>
          <w:rtl/>
        </w:rPr>
        <w:t xml:space="preserve"> إلى الجنس؛ لانعدام العهد، إذْ الصلاة بدون الوضوء ما كانت مشروعة أصلاً ليكون</w:t>
      </w:r>
      <w:r>
        <w:rPr>
          <w:rFonts w:hint="cs"/>
          <w:vertAlign w:val="superscript"/>
          <w:rtl/>
        </w:rPr>
        <w:t>(</w:t>
      </w:r>
      <w:r>
        <w:rPr>
          <w:rStyle w:val="a7"/>
          <w:rtl/>
        </w:rPr>
        <w:footnoteReference w:id="2345"/>
      </w:r>
      <w:r>
        <w:rPr>
          <w:rFonts w:hint="cs"/>
          <w:vertAlign w:val="superscript"/>
          <w:rtl/>
        </w:rPr>
        <w:t>)</w:t>
      </w:r>
      <w:r>
        <w:rPr>
          <w:rFonts w:hint="cs"/>
          <w:rtl/>
        </w:rPr>
        <w:t xml:space="preserve"> معهودًا</w:t>
      </w:r>
      <w:r>
        <w:rPr>
          <w:rFonts w:hint="eastAsia"/>
          <w:rtl/>
        </w:rPr>
        <w:t>»</w:t>
      </w:r>
      <w:r>
        <w:rPr>
          <w:rFonts w:hint="cs"/>
          <w:vertAlign w:val="superscript"/>
          <w:rtl/>
        </w:rPr>
        <w:t>(</w:t>
      </w:r>
      <w:r>
        <w:rPr>
          <w:rStyle w:val="a7"/>
          <w:rtl/>
        </w:rPr>
        <w:footnoteReference w:id="2346"/>
      </w:r>
      <w:r>
        <w:rPr>
          <w:rFonts w:hint="cs"/>
          <w:vertAlign w:val="superscript"/>
          <w:rtl/>
        </w:rPr>
        <w:t>)</w:t>
      </w:r>
      <w:r>
        <w:rPr>
          <w:rFonts w:hint="cs"/>
          <w:rtl/>
        </w:rPr>
        <w:t>.</w:t>
      </w:r>
    </w:p>
    <w:p w:rsidR="00C10469" w:rsidRDefault="00C10469">
      <w:pPr>
        <w:rPr>
          <w:rtl/>
        </w:rPr>
      </w:pPr>
      <w:r>
        <w:rPr>
          <w:rFonts w:hint="eastAsia"/>
          <w:rtl/>
        </w:rPr>
        <w:t>«</w:t>
      </w:r>
      <w:r>
        <w:rPr>
          <w:rFonts w:hint="cs"/>
          <w:rtl/>
        </w:rPr>
        <w:t>وقال محمد -رحمه الله- في (الزيادات): لو وكّل بشراء ثوبٍ : لابدّ من بيان الجنس حتى [تصحّ]</w:t>
      </w:r>
      <w:r>
        <w:rPr>
          <w:rStyle w:val="a7"/>
          <w:rtl/>
        </w:rPr>
        <w:footnoteReference w:id="2347"/>
      </w:r>
      <w:r>
        <w:rPr>
          <w:rFonts w:hint="cs"/>
          <w:rtl/>
        </w:rPr>
        <w:t xml:space="preserve"> الوكالة؛ لأنّ الجهالة بدون ذلك فاحشة؛ لأن الثوب يتناول </w:t>
      </w:r>
      <w:r>
        <w:rPr>
          <w:rFonts w:hint="cs"/>
          <w:rtl/>
        </w:rPr>
        <w:lastRenderedPageBreak/>
        <w:t>الملبوس من الأطلس</w:t>
      </w:r>
      <w:r>
        <w:rPr>
          <w:rFonts w:hint="cs"/>
          <w:vertAlign w:val="superscript"/>
          <w:rtl/>
        </w:rPr>
        <w:t>(</w:t>
      </w:r>
      <w:r>
        <w:rPr>
          <w:rStyle w:val="a7"/>
          <w:rtl/>
        </w:rPr>
        <w:footnoteReference w:id="2348"/>
      </w:r>
      <w:r>
        <w:rPr>
          <w:rFonts w:hint="cs"/>
          <w:vertAlign w:val="superscript"/>
          <w:rtl/>
        </w:rPr>
        <w:t>)</w:t>
      </w:r>
      <w:r>
        <w:rPr>
          <w:rFonts w:hint="cs"/>
          <w:rtl/>
        </w:rPr>
        <w:t xml:space="preserve"> إلى الكساء.</w:t>
      </w:r>
    </w:p>
    <w:p w:rsidR="00C10469" w:rsidRDefault="00C10469">
      <w:pPr>
        <w:rPr>
          <w:rtl/>
        </w:rPr>
      </w:pPr>
      <w:r>
        <w:rPr>
          <w:rFonts w:hint="cs"/>
          <w:rtl/>
        </w:rPr>
        <w:t>ولو وكّل بشراء الثوب، أو الثياب : جاز بدون بيان الجنس؛ لأن اللام</w:t>
      </w:r>
      <w:r>
        <w:rPr>
          <w:rStyle w:val="a7"/>
          <w:rtl/>
        </w:rPr>
        <w:footnoteReference w:id="2349"/>
      </w:r>
      <w:r>
        <w:rPr>
          <w:rFonts w:hint="cs"/>
          <w:rtl/>
        </w:rPr>
        <w:t xml:space="preserve"> فيه للجنس، فيتناول الأدنى والأعلى</w:t>
      </w:r>
      <w:r>
        <w:rPr>
          <w:rFonts w:hint="cs"/>
          <w:vertAlign w:val="superscript"/>
          <w:rtl/>
        </w:rPr>
        <w:t>(</w:t>
      </w:r>
      <w:r>
        <w:rPr>
          <w:rStyle w:val="a7"/>
          <w:rtl/>
        </w:rPr>
        <w:footnoteReference w:id="2350"/>
      </w:r>
      <w:r>
        <w:rPr>
          <w:rFonts w:hint="cs"/>
          <w:vertAlign w:val="superscript"/>
          <w:rtl/>
        </w:rPr>
        <w:t>)</w:t>
      </w:r>
      <w:r>
        <w:rPr>
          <w:rFonts w:hint="cs"/>
          <w:rtl/>
        </w:rPr>
        <w:t>، فكأنه قال : وكّلتك بشراء ثوب، أيِّ</w:t>
      </w:r>
      <w:r>
        <w:rPr>
          <w:rStyle w:val="a7"/>
          <w:rtl/>
        </w:rPr>
        <w:footnoteReference w:id="2351"/>
      </w:r>
      <w:r>
        <w:rPr>
          <w:rFonts w:hint="cs"/>
          <w:rtl/>
        </w:rPr>
        <w:t xml:space="preserve"> ثوبٍ شئت، ولو صرحتُ</w:t>
      </w:r>
      <w:r>
        <w:rPr>
          <w:rFonts w:hint="cs"/>
          <w:vertAlign w:val="superscript"/>
          <w:rtl/>
        </w:rPr>
        <w:t>(</w:t>
      </w:r>
      <w:r>
        <w:rPr>
          <w:rStyle w:val="a7"/>
          <w:rtl/>
        </w:rPr>
        <w:footnoteReference w:id="2352"/>
      </w:r>
      <w:r>
        <w:rPr>
          <w:rFonts w:hint="cs"/>
          <w:vertAlign w:val="superscript"/>
          <w:rtl/>
        </w:rPr>
        <w:t>)</w:t>
      </w:r>
      <w:r>
        <w:rPr>
          <w:rFonts w:hint="cs"/>
          <w:rtl/>
        </w:rPr>
        <w:t xml:space="preserve"> بذلك كانت الوكالة صحيحة، فكذا هنا</w:t>
      </w:r>
      <w:r>
        <w:rPr>
          <w:rFonts w:hint="eastAsia"/>
          <w:rtl/>
        </w:rPr>
        <w:t>»</w:t>
      </w:r>
      <w:r>
        <w:rPr>
          <w:rFonts w:hint="cs"/>
          <w:vertAlign w:val="superscript"/>
          <w:rtl/>
        </w:rPr>
        <w:t>(</w:t>
      </w:r>
      <w:r>
        <w:rPr>
          <w:rStyle w:val="a7"/>
          <w:rtl/>
        </w:rPr>
        <w:footnoteReference w:id="2353"/>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C05A15"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15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741ED" w:rsidRDefault="00C10469">
      <w:pPr>
        <w:pStyle w:val="a9"/>
        <w:rPr>
          <w:rFonts w:cs="AL-Mateen"/>
          <w:rtl/>
        </w:rPr>
      </w:pPr>
      <w:r w:rsidRPr="004741ED">
        <w:rPr>
          <w:rFonts w:cs="AL-Mateen" w:hint="cs"/>
          <w:rtl/>
        </w:rPr>
        <w:lastRenderedPageBreak/>
        <w:t>[ الـقـاعـدة الـثـانـيـة بعد الـمـائـة ]</w:t>
      </w:r>
    </w:p>
    <w:p w:rsidR="00C10469" w:rsidRDefault="00C10469">
      <w:pPr>
        <w:rPr>
          <w:rtl/>
        </w:rPr>
      </w:pPr>
      <w:r>
        <w:rPr>
          <w:rFonts w:cs="Monotype Koufi" w:hint="cs"/>
          <w:rtl/>
        </w:rPr>
        <w:t>الجَمْعُ المذكورُ في المِيرَاثِ اثْنَانِ</w:t>
      </w:r>
      <w:r>
        <w:rPr>
          <w:rFonts w:hint="cs"/>
          <w:vertAlign w:val="superscript"/>
          <w:rtl/>
        </w:rPr>
        <w:t>(</w:t>
      </w:r>
      <w:r>
        <w:rPr>
          <w:rStyle w:val="a7"/>
          <w:rtl/>
        </w:rPr>
        <w:footnoteReference w:id="2354"/>
      </w:r>
      <w:r>
        <w:rPr>
          <w:rFonts w:hint="cs"/>
          <w:vertAlign w:val="superscript"/>
          <w:rtl/>
        </w:rPr>
        <w:t>)</w:t>
      </w:r>
      <w:r>
        <w:rPr>
          <w:rFonts w:hint="cs"/>
          <w:rtl/>
        </w:rPr>
        <w:t xml:space="preserve"> :</w:t>
      </w:r>
    </w:p>
    <w:p w:rsidR="00C10469" w:rsidRDefault="00C10469">
      <w:pPr>
        <w:rPr>
          <w:rtl/>
        </w:rPr>
      </w:pPr>
      <w:r>
        <w:rPr>
          <w:rFonts w:hint="cs"/>
          <w:rtl/>
        </w:rPr>
        <w:t>فلا فرق بين البنتين والبنات</w:t>
      </w:r>
      <w:r>
        <w:rPr>
          <w:rFonts w:hint="cs"/>
          <w:vertAlign w:val="superscript"/>
          <w:rtl/>
        </w:rPr>
        <w:t>(</w:t>
      </w:r>
      <w:r>
        <w:rPr>
          <w:rStyle w:val="a7"/>
          <w:rtl/>
        </w:rPr>
        <w:footnoteReference w:id="2355"/>
      </w:r>
      <w:r>
        <w:rPr>
          <w:rFonts w:hint="cs"/>
          <w:vertAlign w:val="superscript"/>
          <w:rtl/>
        </w:rPr>
        <w:t>)</w:t>
      </w:r>
      <w:r>
        <w:rPr>
          <w:rFonts w:hint="cs"/>
          <w:rtl/>
        </w:rPr>
        <w:t>، والأختين والأخوات</w:t>
      </w:r>
      <w:r>
        <w:rPr>
          <w:rFonts w:hint="cs"/>
          <w:vertAlign w:val="superscript"/>
          <w:rtl/>
        </w:rPr>
        <w:t>(</w:t>
      </w:r>
      <w:r>
        <w:rPr>
          <w:rStyle w:val="a7"/>
          <w:rtl/>
        </w:rPr>
        <w:footnoteReference w:id="2356"/>
      </w:r>
      <w:r>
        <w:rPr>
          <w:rFonts w:hint="cs"/>
          <w:vertAlign w:val="superscript"/>
          <w:rtl/>
        </w:rPr>
        <w:t>)</w:t>
      </w:r>
      <w:r>
        <w:rPr>
          <w:rFonts w:hint="cs"/>
          <w:rtl/>
        </w:rPr>
        <w:t xml:space="preserve"> في استحقاق الميراث  عند عدم العصوبة.</w:t>
      </w:r>
      <w:r>
        <w:rPr>
          <w:rFonts w:hint="eastAsia"/>
          <w:rtl/>
        </w:rPr>
        <w:t xml:space="preserve"> </w:t>
      </w:r>
    </w:p>
    <w:p w:rsidR="00C10469" w:rsidRDefault="00C10469">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sz w:val="18"/>
          <w:szCs w:val="18"/>
          <w:rtl/>
        </w:rPr>
        <w:sectPr w:rsidR="00C10469" w:rsidSect="00C10469">
          <w:headerReference w:type="default" r:id="rId15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4461D" w:rsidRDefault="00C10469">
      <w:pPr>
        <w:pStyle w:val="a9"/>
        <w:rPr>
          <w:rFonts w:cs="AL-Mateen"/>
          <w:rtl/>
        </w:rPr>
      </w:pPr>
      <w:r w:rsidRPr="00B4461D">
        <w:rPr>
          <w:rFonts w:cs="AL-Mateen" w:hint="cs"/>
          <w:rtl/>
        </w:rPr>
        <w:lastRenderedPageBreak/>
        <w:t>[ الـقـاعـدة الـثـالـثـة بعد الـمـائـة ]</w:t>
      </w:r>
    </w:p>
    <w:p w:rsidR="00C10469" w:rsidRDefault="00C10469">
      <w:pPr>
        <w:rPr>
          <w:rtl/>
        </w:rPr>
      </w:pPr>
      <w:r>
        <w:rPr>
          <w:rFonts w:cs="Monotype Koufi" w:hint="cs"/>
          <w:rtl/>
        </w:rPr>
        <w:t>جوازُ الشَّرعِ يُنَافِي الضَّمَانَ</w:t>
      </w:r>
      <w:r>
        <w:rPr>
          <w:rFonts w:hint="cs"/>
          <w:vertAlign w:val="superscript"/>
          <w:rtl/>
        </w:rPr>
        <w:t>(</w:t>
      </w:r>
      <w:r>
        <w:rPr>
          <w:rStyle w:val="a7"/>
          <w:rtl/>
        </w:rPr>
        <w:footnoteReference w:id="2357"/>
      </w:r>
      <w:r>
        <w:rPr>
          <w:rFonts w:hint="cs"/>
          <w:vertAlign w:val="superscript"/>
          <w:rtl/>
        </w:rPr>
        <w:t>)</w:t>
      </w:r>
      <w:r>
        <w:rPr>
          <w:rFonts w:hint="cs"/>
          <w:rtl/>
        </w:rPr>
        <w:t xml:space="preserve"> :</w:t>
      </w:r>
    </w:p>
    <w:p w:rsidR="00C10469" w:rsidRDefault="00C10469">
      <w:pPr>
        <w:rPr>
          <w:rtl/>
        </w:rPr>
      </w:pPr>
      <w:r>
        <w:rPr>
          <w:rFonts w:hint="cs"/>
          <w:rtl/>
        </w:rPr>
        <w:t>فإذا أخذ الوكيل بالبيع رهنًا</w:t>
      </w:r>
      <w:r>
        <w:rPr>
          <w:rStyle w:val="a7"/>
          <w:rtl/>
        </w:rPr>
        <w:footnoteReference w:id="2358"/>
      </w:r>
      <w:r>
        <w:rPr>
          <w:rFonts w:hint="cs"/>
          <w:rtl/>
        </w:rPr>
        <w:t xml:space="preserve"> أو كفيلاً بالثمن، فضاع الرهن في يده أوتَوِي</w:t>
      </w:r>
      <w:r>
        <w:rPr>
          <w:rStyle w:val="a7"/>
          <w:rtl/>
        </w:rPr>
        <w:footnoteReference w:id="2359"/>
      </w:r>
      <w:r>
        <w:rPr>
          <w:rFonts w:hint="cs"/>
          <w:vertAlign w:val="superscript"/>
          <w:rtl/>
        </w:rPr>
        <w:t>(</w:t>
      </w:r>
      <w:r>
        <w:rPr>
          <w:rStyle w:val="a7"/>
          <w:rtl/>
        </w:rPr>
        <w:footnoteReference w:id="2360"/>
      </w:r>
      <w:r>
        <w:rPr>
          <w:rFonts w:hint="cs"/>
          <w:vertAlign w:val="superscript"/>
          <w:rtl/>
        </w:rPr>
        <w:t>)</w:t>
      </w:r>
      <w:r>
        <w:rPr>
          <w:rFonts w:hint="cs"/>
          <w:rtl/>
        </w:rPr>
        <w:t xml:space="preserve"> </w:t>
      </w:r>
    </w:p>
    <w:p w:rsidR="00C10469" w:rsidRDefault="00C10469">
      <w:pPr>
        <w:ind w:firstLine="0"/>
        <w:rPr>
          <w:rtl/>
        </w:rPr>
      </w:pPr>
      <w:r>
        <w:rPr>
          <w:rFonts w:hint="cs"/>
          <w:rtl/>
        </w:rPr>
        <w:lastRenderedPageBreak/>
        <w:t>ما على الكـفـيـل (بـأن يـرفـع</w:t>
      </w:r>
      <w:r>
        <w:rPr>
          <w:rStyle w:val="a7"/>
          <w:rtl/>
        </w:rPr>
        <w:footnoteReference w:id="2361"/>
      </w:r>
      <w:r>
        <w:rPr>
          <w:rFonts w:hint="cs"/>
          <w:rtl/>
        </w:rPr>
        <w:t xml:space="preserve"> الـحـادثـة إلى قـاض يـرى بـراءة الأصـيـل</w:t>
      </w:r>
      <w:r>
        <w:rPr>
          <w:rStyle w:val="a7"/>
          <w:rtl/>
        </w:rPr>
        <w:footnoteReference w:id="2362"/>
      </w:r>
      <w:r>
        <w:rPr>
          <w:rFonts w:hint="cs"/>
          <w:rtl/>
        </w:rPr>
        <w:t xml:space="preserve"> بـنـفس الكـفالـة </w:t>
      </w:r>
      <w:r>
        <w:rPr>
          <w:rtl/>
        </w:rPr>
        <w:t>–</w:t>
      </w:r>
      <w:r>
        <w:rPr>
          <w:rFonts w:hint="cs"/>
          <w:rtl/>
        </w:rPr>
        <w:t xml:space="preserve"> كـمـا هـو  مذهب  مـالك</w:t>
      </w:r>
      <w:r>
        <w:rPr>
          <w:rFonts w:hint="cs"/>
          <w:vertAlign w:val="superscript"/>
          <w:rtl/>
        </w:rPr>
        <w:t>(</w:t>
      </w:r>
      <w:r>
        <w:rPr>
          <w:rStyle w:val="a7"/>
          <w:rtl/>
        </w:rPr>
        <w:footnoteReference w:id="2363"/>
      </w:r>
      <w:r>
        <w:rPr>
          <w:rFonts w:hint="cs"/>
          <w:vertAlign w:val="superscript"/>
          <w:rtl/>
        </w:rPr>
        <w:t>)</w:t>
      </w:r>
      <w:r>
        <w:rPr>
          <w:rFonts w:hint="cs"/>
          <w:rtl/>
        </w:rPr>
        <w:t xml:space="preserve">- فـحكم </w:t>
      </w:r>
    </w:p>
    <w:p w:rsidR="00C10469" w:rsidRDefault="00C10469">
      <w:pPr>
        <w:ind w:firstLine="0"/>
        <w:rPr>
          <w:rtl/>
        </w:rPr>
      </w:pPr>
      <w:r>
        <w:rPr>
          <w:rFonts w:hint="cs"/>
          <w:rtl/>
        </w:rPr>
        <w:lastRenderedPageBreak/>
        <w:t>ببـراءة</w:t>
      </w:r>
      <w:r>
        <w:rPr>
          <w:rStyle w:val="a7"/>
          <w:rtl/>
        </w:rPr>
        <w:footnoteReference w:id="2364"/>
      </w:r>
      <w:r>
        <w:rPr>
          <w:rFonts w:hint="cs"/>
          <w:rtl/>
        </w:rPr>
        <w:t xml:space="preserve"> الأصـيل، ثم مات الكفيل مفلسًا</w:t>
      </w:r>
      <w:r>
        <w:rPr>
          <w:rStyle w:val="a7"/>
          <w:rtl/>
        </w:rPr>
        <w:footnoteReference w:id="2365"/>
      </w:r>
      <w:r>
        <w:rPr>
          <w:rFonts w:hint="cs"/>
          <w:rtl/>
        </w:rPr>
        <w:t>) : لا يضمن الوكيل للموكّل</w:t>
      </w:r>
      <w:r>
        <w:rPr>
          <w:rStyle w:val="a7"/>
          <w:rtl/>
        </w:rPr>
        <w:footnoteReference w:id="2366"/>
      </w:r>
      <w:r>
        <w:rPr>
          <w:rFonts w:hint="cs"/>
          <w:rtl/>
        </w:rPr>
        <w:t xml:space="preserve"> شيئًا؛ لأن أخذه الرهن أو الكفيل ممَّا جوَّزه الشرع، فلا يضمن</w:t>
      </w:r>
      <w:r>
        <w:rPr>
          <w:rFonts w:hint="cs"/>
          <w:vertAlign w:val="superscript"/>
          <w:rtl/>
        </w:rPr>
        <w:t>(</w:t>
      </w:r>
      <w:r>
        <w:rPr>
          <w:rStyle w:val="a7"/>
          <w:rtl/>
        </w:rPr>
        <w:footnoteReference w:id="2367"/>
      </w:r>
      <w:r>
        <w:rPr>
          <w:rFonts w:hint="cs"/>
          <w:vertAlign w:val="superscript"/>
          <w:rtl/>
        </w:rPr>
        <w:t>)</w:t>
      </w:r>
      <w:r>
        <w:rPr>
          <w:rFonts w:hint="cs"/>
          <w:rtl/>
        </w:rPr>
        <w:t>.</w:t>
      </w:r>
    </w:p>
    <w:p w:rsidR="00C10469" w:rsidRDefault="00C10469">
      <w:pPr>
        <w:ind w:firstLine="0"/>
        <w:rPr>
          <w:rtl/>
        </w:rPr>
      </w:pPr>
    </w:p>
    <w:p w:rsidR="00C10469" w:rsidRDefault="00C10469">
      <w:pPr>
        <w:ind w:firstLine="0"/>
        <w:rPr>
          <w:rtl/>
        </w:rPr>
      </w:pPr>
    </w:p>
    <w:p w:rsidR="00C10469" w:rsidRPr="004E2FE3"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15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C71629" w:rsidRDefault="00C10469">
      <w:pPr>
        <w:pStyle w:val="a9"/>
        <w:rPr>
          <w:rFonts w:cs="AL-Mateen"/>
          <w:rtl/>
          <w:lang w:val="en-US"/>
        </w:rPr>
      </w:pPr>
      <w:r w:rsidRPr="00C71629">
        <w:rPr>
          <w:rFonts w:cs="AL-Mateen" w:hint="cs"/>
          <w:rtl/>
          <w:lang w:val="en-US"/>
        </w:rPr>
        <w:lastRenderedPageBreak/>
        <w:t>[ الـقـاعـدة الـرابـعـة بـعـد الـمـائـة ]</w:t>
      </w:r>
    </w:p>
    <w:p w:rsidR="00C10469" w:rsidRDefault="00C10469">
      <w:pPr>
        <w:rPr>
          <w:rtl/>
        </w:rPr>
      </w:pPr>
      <w:r>
        <w:rPr>
          <w:rFonts w:cs="Monotype Koufi" w:hint="cs"/>
          <w:rtl/>
        </w:rPr>
        <w:t>الجَهَالةُ المُفضِيةُ إلى النِّزاعِ مُفسِدَةٌ للعقْدِ</w:t>
      </w:r>
      <w:r>
        <w:rPr>
          <w:rFonts w:hint="cs"/>
          <w:vertAlign w:val="superscript"/>
          <w:rtl/>
        </w:rPr>
        <w:t>(</w:t>
      </w:r>
      <w:r>
        <w:rPr>
          <w:rStyle w:val="a7"/>
          <w:rtl/>
        </w:rPr>
        <w:footnoteReference w:id="2368"/>
      </w:r>
      <w:r>
        <w:rPr>
          <w:rFonts w:hint="cs"/>
          <w:vertAlign w:val="superscript"/>
          <w:rtl/>
        </w:rPr>
        <w:t>)</w:t>
      </w:r>
      <w:r>
        <w:rPr>
          <w:rFonts w:hint="cs"/>
          <w:rtl/>
        </w:rPr>
        <w:t xml:space="preserve"> :</w:t>
      </w:r>
    </w:p>
    <w:p w:rsidR="00C10469" w:rsidRDefault="00C10469">
      <w:pPr>
        <w:rPr>
          <w:rtl/>
        </w:rPr>
      </w:pPr>
      <w:r>
        <w:rPr>
          <w:rFonts w:hint="cs"/>
          <w:rtl/>
        </w:rPr>
        <w:t>فروع هذا الأصل كثيرة لا [تحصى]</w:t>
      </w:r>
      <w:r>
        <w:rPr>
          <w:rStyle w:val="a7"/>
          <w:rtl/>
        </w:rPr>
        <w:footnoteReference w:id="2369"/>
      </w:r>
      <w:r>
        <w:rPr>
          <w:rFonts w:hint="cs"/>
          <w:rtl/>
        </w:rPr>
        <w:t>، وإنّما قيّد بالإفضاء إلى المنازعة؛ لأنَّ الجهالة إذا لم [تكن]</w:t>
      </w:r>
      <w:r>
        <w:rPr>
          <w:rStyle w:val="a7"/>
          <w:rtl/>
        </w:rPr>
        <w:footnoteReference w:id="2370"/>
      </w:r>
      <w:r>
        <w:rPr>
          <w:rFonts w:hint="cs"/>
          <w:rtl/>
        </w:rPr>
        <w:t xml:space="preserve"> [مفضية]</w:t>
      </w:r>
      <w:r>
        <w:rPr>
          <w:rStyle w:val="a7"/>
          <w:rtl/>
        </w:rPr>
        <w:footnoteReference w:id="2371"/>
      </w:r>
      <w:r>
        <w:rPr>
          <w:rFonts w:hint="cs"/>
          <w:rtl/>
        </w:rPr>
        <w:t xml:space="preserve"> إليه</w:t>
      </w:r>
      <w:r>
        <w:rPr>
          <w:rFonts w:hint="cs"/>
          <w:vertAlign w:val="superscript"/>
          <w:rtl/>
        </w:rPr>
        <w:t>(</w:t>
      </w:r>
      <w:r>
        <w:rPr>
          <w:rStyle w:val="a7"/>
          <w:rtl/>
        </w:rPr>
        <w:footnoteReference w:id="2372"/>
      </w:r>
      <w:r>
        <w:rPr>
          <w:rFonts w:hint="cs"/>
          <w:vertAlign w:val="superscript"/>
          <w:rtl/>
        </w:rPr>
        <w:t>)</w:t>
      </w:r>
      <w:r>
        <w:rPr>
          <w:rFonts w:hint="cs"/>
          <w:rtl/>
        </w:rPr>
        <w:t xml:space="preserve"> : لا يَفْسُدُ العقدُ.</w:t>
      </w:r>
      <w:r>
        <w:rPr>
          <w:rFonts w:hint="eastAsia"/>
          <w:rtl/>
        </w:rPr>
        <w:t xml:space="preserve"> </w:t>
      </w:r>
    </w:p>
    <w:p w:rsidR="00C10469" w:rsidRDefault="00C10469">
      <w:pPr>
        <w:rPr>
          <w:rtl/>
        </w:rPr>
      </w:pPr>
      <w:r>
        <w:rPr>
          <w:rFonts w:hint="eastAsia"/>
          <w:rtl/>
        </w:rPr>
        <w:lastRenderedPageBreak/>
        <w:t>«</w:t>
      </w:r>
      <w:r>
        <w:rPr>
          <w:rFonts w:hint="cs"/>
          <w:rtl/>
        </w:rPr>
        <w:t>فإذا باع الطعام و</w:t>
      </w:r>
      <w:r>
        <w:rPr>
          <w:rStyle w:val="a7"/>
          <w:rtl/>
        </w:rPr>
        <w:footnoteReference w:id="2373"/>
      </w:r>
      <w:r>
        <w:rPr>
          <w:rFonts w:hint="cs"/>
          <w:rtl/>
        </w:rPr>
        <w:t>الحبوب بإناء بعينه، أو بحجر</w:t>
      </w:r>
      <w:r>
        <w:rPr>
          <w:rFonts w:hint="cs"/>
          <w:vertAlign w:val="superscript"/>
          <w:rtl/>
        </w:rPr>
        <w:t>(</w:t>
      </w:r>
      <w:r>
        <w:rPr>
          <w:rStyle w:val="a7"/>
          <w:rtl/>
        </w:rPr>
        <w:footnoteReference w:id="2374"/>
      </w:r>
      <w:r>
        <w:rPr>
          <w:rFonts w:hint="cs"/>
          <w:vertAlign w:val="superscript"/>
          <w:rtl/>
        </w:rPr>
        <w:t>)</w:t>
      </w:r>
      <w:r>
        <w:rPr>
          <w:rFonts w:hint="cs"/>
          <w:rtl/>
        </w:rPr>
        <w:t xml:space="preserve"> بعينه، لا يـعرف مقدارهمـا:</w:t>
      </w:r>
    </w:p>
    <w:p w:rsidR="00C10469" w:rsidRDefault="00C10469">
      <w:pPr>
        <w:ind w:firstLine="0"/>
        <w:rPr>
          <w:rtl/>
        </w:rPr>
      </w:pPr>
      <w:r>
        <w:rPr>
          <w:rFonts w:hint="cs"/>
          <w:rtl/>
        </w:rPr>
        <w:t>جاز، وهذه الجهالة فيه لا [تفضي]</w:t>
      </w:r>
      <w:r>
        <w:rPr>
          <w:rStyle w:val="a7"/>
          <w:rtl/>
        </w:rPr>
        <w:footnoteReference w:id="2375"/>
      </w:r>
      <w:r>
        <w:rPr>
          <w:rFonts w:hint="cs"/>
          <w:rtl/>
        </w:rPr>
        <w:t xml:space="preserve"> إلى المنازعة؛ لأنّ التّسليم في مثل هذا البيع مستعجل فَيندُرُ هلاك كلٍّ منهما (من الإناء والحجر) قبل التسليم</w:t>
      </w:r>
      <w:r>
        <w:rPr>
          <w:rFonts w:hint="eastAsia"/>
          <w:rtl/>
        </w:rPr>
        <w:t>»</w:t>
      </w:r>
      <w:r>
        <w:rPr>
          <w:rFonts w:hint="cs"/>
          <w:vertAlign w:val="superscript"/>
          <w:rtl/>
        </w:rPr>
        <w:t>(</w:t>
      </w:r>
      <w:r>
        <w:rPr>
          <w:rStyle w:val="a7"/>
          <w:rtl/>
        </w:rPr>
        <w:footnoteReference w:id="2376"/>
      </w:r>
      <w:r>
        <w:rPr>
          <w:rFonts w:hint="cs"/>
          <w:vertAlign w:val="superscript"/>
          <w:rtl/>
        </w:rPr>
        <w:t>)</w:t>
      </w:r>
      <w:r>
        <w:rPr>
          <w:rFonts w:hint="cs"/>
          <w:rtl/>
        </w:rPr>
        <w:t>.</w:t>
      </w:r>
    </w:p>
    <w:p w:rsidR="00C10469" w:rsidRDefault="00C10469">
      <w:pPr>
        <w:rPr>
          <w:rtl/>
        </w:rPr>
      </w:pPr>
      <w:r>
        <w:rPr>
          <w:rFonts w:hint="cs"/>
          <w:b/>
          <w:bCs/>
          <w:rtl/>
        </w:rPr>
        <w:t>فإن</w:t>
      </w:r>
      <w:r>
        <w:rPr>
          <w:rStyle w:val="a7"/>
          <w:b/>
          <w:rtl/>
        </w:rPr>
        <w:footnoteReference w:id="2377"/>
      </w:r>
      <w:r>
        <w:rPr>
          <w:rFonts w:hint="cs"/>
          <w:b/>
          <w:bCs/>
          <w:rtl/>
        </w:rPr>
        <w:t xml:space="preserve"> قيل</w:t>
      </w:r>
      <w:r>
        <w:rPr>
          <w:rFonts w:hint="cs"/>
          <w:rtl/>
        </w:rPr>
        <w:t xml:space="preserve"> : </w:t>
      </w:r>
      <w:r>
        <w:rPr>
          <w:rFonts w:hint="eastAsia"/>
          <w:rtl/>
        </w:rPr>
        <w:t>«</w:t>
      </w:r>
      <w:r>
        <w:rPr>
          <w:rFonts w:hint="cs"/>
          <w:rtl/>
        </w:rPr>
        <w:t>لو باع العبيد  الأربعة، على أنَّ المشتري بالخيار ثلاثة أيام، يأخذ أيّما</w:t>
      </w:r>
      <w:r>
        <w:rPr>
          <w:rStyle w:val="a7"/>
          <w:rtl/>
        </w:rPr>
        <w:footnoteReference w:id="2378"/>
      </w:r>
      <w:r>
        <w:rPr>
          <w:rFonts w:hint="cs"/>
          <w:rtl/>
        </w:rPr>
        <w:t xml:space="preserve"> شاء ويرد الباقين. [أ]</w:t>
      </w:r>
      <w:r>
        <w:rPr>
          <w:rStyle w:val="a7"/>
          <w:rtl/>
        </w:rPr>
        <w:footnoteReference w:id="2379"/>
      </w:r>
      <w:r>
        <w:rPr>
          <w:rFonts w:hint="cs"/>
          <w:rtl/>
        </w:rPr>
        <w:t>و  اشترى بأي ثمن شاء : فإن الجهالة</w:t>
      </w:r>
      <w:r>
        <w:rPr>
          <w:rStyle w:val="a7"/>
          <w:rtl/>
        </w:rPr>
        <w:footnoteReference w:id="2380"/>
      </w:r>
      <w:r>
        <w:rPr>
          <w:rFonts w:hint="cs"/>
          <w:rtl/>
        </w:rPr>
        <w:t xml:space="preserve"> لم تفضِ [إلى]</w:t>
      </w:r>
      <w:r>
        <w:rPr>
          <w:rStyle w:val="a7"/>
          <w:rtl/>
        </w:rPr>
        <w:footnoteReference w:id="2381"/>
      </w:r>
      <w:r>
        <w:rPr>
          <w:rFonts w:hint="cs"/>
          <w:rtl/>
        </w:rPr>
        <w:t xml:space="preserve">  المنازعة والبيع باطل !.</w:t>
      </w:r>
    </w:p>
    <w:p w:rsidR="00C10469" w:rsidRDefault="00C10469">
      <w:pPr>
        <w:rPr>
          <w:rtl/>
        </w:rPr>
      </w:pPr>
      <w:r>
        <w:rPr>
          <w:rFonts w:hint="cs"/>
          <w:b/>
          <w:bCs/>
          <w:rtl/>
        </w:rPr>
        <w:t>قـلـنا</w:t>
      </w:r>
      <w:r>
        <w:rPr>
          <w:rFonts w:hint="cs"/>
          <w:rtl/>
        </w:rPr>
        <w:t xml:space="preserve"> : [إنـا]</w:t>
      </w:r>
      <w:r>
        <w:rPr>
          <w:rStyle w:val="a7"/>
          <w:rtl/>
        </w:rPr>
        <w:footnoteReference w:id="2382"/>
      </w:r>
      <w:r>
        <w:rPr>
          <w:rFonts w:hint="cs"/>
          <w:rtl/>
        </w:rPr>
        <w:t xml:space="preserve"> لـم نَـقُـلْ : إنّ كـلَّ مـا هـو بـاطـل</w:t>
      </w:r>
      <w:r>
        <w:rPr>
          <w:rStyle w:val="a7"/>
          <w:rtl/>
        </w:rPr>
        <w:footnoteReference w:id="2383"/>
      </w:r>
      <w:r>
        <w:rPr>
          <w:rFonts w:hint="cs"/>
          <w:rtl/>
        </w:rPr>
        <w:t xml:space="preserve"> لابُدَّ وأن </w:t>
      </w:r>
      <w:r w:rsidRPr="002E18D1">
        <w:rPr>
          <w:rFonts w:hint="cs"/>
          <w:spacing w:val="-2"/>
          <w:rtl/>
        </w:rPr>
        <w:t xml:space="preserve">يكون بـطـلانه للجهـالـة الـمفـضيـة إلـى الـمنازعة! فيـجوز أن يكون البيع باطـلاً لمعنى آخر، وهو عدم </w:t>
      </w:r>
      <w:r w:rsidRPr="002E18D1">
        <w:rPr>
          <w:rFonts w:hint="cs"/>
          <w:spacing w:val="-2"/>
          <w:rtl/>
        </w:rPr>
        <w:lastRenderedPageBreak/>
        <w:t>الـمعقود</w:t>
      </w:r>
      <w:r w:rsidRPr="002E18D1">
        <w:rPr>
          <w:rStyle w:val="a7"/>
          <w:spacing w:val="-2"/>
          <w:rtl/>
        </w:rPr>
        <w:footnoteReference w:id="2384"/>
      </w:r>
      <w:r w:rsidRPr="002E18D1">
        <w:rPr>
          <w:rFonts w:hint="cs"/>
          <w:spacing w:val="-2"/>
          <w:rtl/>
        </w:rPr>
        <w:t xml:space="preserve"> عليـه</w:t>
      </w:r>
      <w:r>
        <w:rPr>
          <w:rFonts w:hint="cs"/>
          <w:spacing w:val="-2"/>
          <w:rtl/>
        </w:rPr>
        <w:t xml:space="preserve"> </w:t>
      </w:r>
      <w:r w:rsidRPr="002E18D1">
        <w:rPr>
          <w:rFonts w:hint="cs"/>
          <w:spacing w:val="-2"/>
          <w:rtl/>
        </w:rPr>
        <w:t>؛ لكونه غَيْرَ عينٍ</w:t>
      </w:r>
      <w:r w:rsidRPr="002E18D1">
        <w:rPr>
          <w:rStyle w:val="a7"/>
          <w:spacing w:val="-2"/>
          <w:rtl/>
        </w:rPr>
        <w:footnoteReference w:id="2385"/>
      </w:r>
      <w:r w:rsidRPr="002E18D1">
        <w:rPr>
          <w:rFonts w:hint="cs"/>
          <w:spacing w:val="-2"/>
          <w:rtl/>
        </w:rPr>
        <w:t xml:space="preserve"> في</w:t>
      </w:r>
      <w:r>
        <w:rPr>
          <w:rFonts w:hint="cs"/>
          <w:rtl/>
        </w:rPr>
        <w:t xml:space="preserve"> الأوّل</w:t>
      </w:r>
      <w:r>
        <w:rPr>
          <w:rFonts w:hint="cs"/>
          <w:vertAlign w:val="superscript"/>
          <w:rtl/>
        </w:rPr>
        <w:t>(</w:t>
      </w:r>
      <w:r>
        <w:rPr>
          <w:rStyle w:val="a7"/>
          <w:rtl/>
        </w:rPr>
        <w:footnoteReference w:id="2386"/>
      </w:r>
      <w:r>
        <w:rPr>
          <w:rFonts w:hint="cs"/>
          <w:vertAlign w:val="superscript"/>
          <w:rtl/>
        </w:rPr>
        <w:t>)</w:t>
      </w:r>
      <w:r>
        <w:rPr>
          <w:rFonts w:hint="cs"/>
          <w:rtl/>
        </w:rPr>
        <w:t xml:space="preserve">، </w:t>
      </w:r>
    </w:p>
    <w:p w:rsidR="00C10469" w:rsidRDefault="00C10469">
      <w:pPr>
        <w:rPr>
          <w:rtl/>
        </w:rPr>
      </w:pPr>
      <w:r>
        <w:rPr>
          <w:rFonts w:hint="cs"/>
          <w:rtl/>
        </w:rPr>
        <w:t>ولجهالة</w:t>
      </w:r>
      <w:r>
        <w:rPr>
          <w:rStyle w:val="a7"/>
          <w:rtl/>
        </w:rPr>
        <w:footnoteReference w:id="2387"/>
      </w:r>
      <w:r>
        <w:rPr>
          <w:rFonts w:hint="cs"/>
          <w:rtl/>
        </w:rPr>
        <w:t xml:space="preserve"> الثمن في الثانية</w:t>
      </w:r>
      <w:r>
        <w:rPr>
          <w:rFonts w:hint="eastAsia"/>
          <w:rtl/>
        </w:rPr>
        <w:t>»</w:t>
      </w:r>
      <w:r>
        <w:rPr>
          <w:rFonts w:hint="cs"/>
          <w:vertAlign w:val="superscript"/>
          <w:rtl/>
        </w:rPr>
        <w:t>(</w:t>
      </w:r>
      <w:r>
        <w:rPr>
          <w:rStyle w:val="a7"/>
          <w:rtl/>
        </w:rPr>
        <w:footnoteReference w:id="2388"/>
      </w:r>
      <w:r>
        <w:rPr>
          <w:rFonts w:hint="cs"/>
          <w:vertAlign w:val="superscript"/>
          <w:rtl/>
        </w:rPr>
        <w:t>)</w:t>
      </w:r>
      <w:r>
        <w:rPr>
          <w:rFonts w:hint="cs"/>
          <w:rtl/>
        </w:rPr>
        <w:t>.</w:t>
      </w:r>
    </w:p>
    <w:p w:rsidR="00C10469" w:rsidRDefault="00C10469">
      <w:pPr>
        <w:ind w:firstLine="0"/>
        <w:rPr>
          <w:rtl/>
        </w:rPr>
      </w:pPr>
    </w:p>
    <w:p w:rsidR="00C10469" w:rsidRDefault="00C10469">
      <w:pPr>
        <w:ind w:firstLine="0"/>
        <w:rPr>
          <w:rtl/>
        </w:rPr>
      </w:pPr>
    </w:p>
    <w:p w:rsidR="00C10469"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16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5690F" w:rsidRDefault="00C10469">
      <w:pPr>
        <w:pStyle w:val="a9"/>
        <w:rPr>
          <w:rFonts w:cs="AL-Mateen"/>
          <w:rtl/>
        </w:rPr>
      </w:pPr>
      <w:r w:rsidRPr="0085690F">
        <w:rPr>
          <w:rFonts w:cs="AL-Mateen" w:hint="cs"/>
          <w:rtl/>
        </w:rPr>
        <w:lastRenderedPageBreak/>
        <w:t>[ الـقـاعـدة الـخـامـسـة بـعـد الـمـائـة ]</w:t>
      </w:r>
    </w:p>
    <w:p w:rsidR="00C10469" w:rsidRDefault="00C10469">
      <w:pPr>
        <w:rPr>
          <w:rtl/>
        </w:rPr>
      </w:pPr>
      <w:r>
        <w:rPr>
          <w:rFonts w:cs="Monotype Koufi" w:hint="cs"/>
          <w:rtl/>
        </w:rPr>
        <w:t>جَهَالة السَّبَبِ لاَ يُعتبر</w:t>
      </w:r>
      <w:r>
        <w:rPr>
          <w:rFonts w:hint="cs"/>
          <w:vertAlign w:val="superscript"/>
          <w:rtl/>
        </w:rPr>
        <w:t>(</w:t>
      </w:r>
      <w:r>
        <w:rPr>
          <w:rStyle w:val="a7"/>
          <w:rtl/>
        </w:rPr>
        <w:footnoteReference w:id="2389"/>
      </w:r>
      <w:r>
        <w:rPr>
          <w:rFonts w:hint="cs"/>
          <w:vertAlign w:val="superscript"/>
          <w:rtl/>
        </w:rPr>
        <w:t>)</w:t>
      </w:r>
      <w:r>
        <w:rPr>
          <w:rFonts w:hint="cs"/>
          <w:rtl/>
        </w:rPr>
        <w:t xml:space="preserve"> </w:t>
      </w:r>
      <w:r>
        <w:rPr>
          <w:rFonts w:cs="Monotype Koufi" w:hint="cs"/>
          <w:rtl/>
        </w:rPr>
        <w:t>عندَ تَيَقُّنِ مَنْ لَهُ الحَقُّ</w:t>
      </w:r>
      <w:r>
        <w:rPr>
          <w:rFonts w:hint="cs"/>
          <w:vertAlign w:val="superscript"/>
          <w:rtl/>
        </w:rPr>
        <w:t>(</w:t>
      </w:r>
      <w:r>
        <w:rPr>
          <w:rStyle w:val="a7"/>
          <w:rtl/>
        </w:rPr>
        <w:footnoteReference w:id="2390"/>
      </w:r>
      <w:r>
        <w:rPr>
          <w:rFonts w:hint="cs"/>
          <w:vertAlign w:val="superscript"/>
          <w:rtl/>
        </w:rPr>
        <w:t>)</w:t>
      </w:r>
      <w:r>
        <w:rPr>
          <w:rFonts w:hint="cs"/>
          <w:rtl/>
        </w:rPr>
        <w:t xml:space="preserve"> :</w:t>
      </w:r>
    </w:p>
    <w:p w:rsidR="00C10469" w:rsidRDefault="00C10469">
      <w:pPr>
        <w:rPr>
          <w:rtl/>
        </w:rPr>
      </w:pPr>
      <w:r>
        <w:rPr>
          <w:rFonts w:hint="cs"/>
          <w:rtl/>
        </w:rPr>
        <w:t>فمن قطع يد عبد عمدًا، فأُعتقَ، فسرى</w:t>
      </w:r>
      <w:r>
        <w:rPr>
          <w:rStyle w:val="a7"/>
          <w:rtl/>
        </w:rPr>
        <w:footnoteReference w:id="2391"/>
      </w:r>
      <w:r>
        <w:rPr>
          <w:rFonts w:hint="cs"/>
          <w:rtl/>
        </w:rPr>
        <w:t xml:space="preserve"> :</w:t>
      </w:r>
    </w:p>
    <w:p w:rsidR="00C10469" w:rsidRDefault="00C10469" w:rsidP="00C10469">
      <w:pPr>
        <w:ind w:left="989" w:hanging="422"/>
        <w:rPr>
          <w:rtl/>
        </w:rPr>
      </w:pPr>
      <w:r>
        <w:rPr>
          <w:spacing w:val="-4"/>
          <w:rtl/>
        </w:rPr>
        <w:t>•</w:t>
      </w:r>
      <w:r>
        <w:rPr>
          <w:rFonts w:hint="cs"/>
          <w:spacing w:val="-4"/>
          <w:rtl/>
        </w:rPr>
        <w:t xml:space="preserve">  أُقيد</w:t>
      </w:r>
      <w:r>
        <w:rPr>
          <w:rStyle w:val="a7"/>
          <w:spacing w:val="-4"/>
          <w:rtl/>
        </w:rPr>
        <w:footnoteReference w:id="2392"/>
      </w:r>
      <w:r>
        <w:rPr>
          <w:rFonts w:hint="cs"/>
          <w:spacing w:val="-4"/>
          <w:rtl/>
        </w:rPr>
        <w:t xml:space="preserve"> </w:t>
      </w:r>
      <w:r>
        <w:rPr>
          <w:rFonts w:hint="cs"/>
          <w:b/>
          <w:bCs/>
          <w:spacing w:val="-4"/>
          <w:rtl/>
        </w:rPr>
        <w:t>إن  وَرِثَه</w:t>
      </w:r>
      <w:r>
        <w:rPr>
          <w:rStyle w:val="a7"/>
          <w:spacing w:val="-4"/>
          <w:rtl/>
        </w:rPr>
        <w:footnoteReference w:id="2393"/>
      </w:r>
      <w:r>
        <w:rPr>
          <w:rFonts w:hint="cs"/>
          <w:spacing w:val="-4"/>
          <w:rtl/>
        </w:rPr>
        <w:t xml:space="preserve"> </w:t>
      </w:r>
      <w:r>
        <w:rPr>
          <w:rFonts w:hint="cs"/>
          <w:b/>
          <w:bCs/>
          <w:spacing w:val="-4"/>
          <w:rtl/>
        </w:rPr>
        <w:t>سيّدُه فقط</w:t>
      </w:r>
      <w:r>
        <w:rPr>
          <w:rFonts w:hint="cs"/>
          <w:spacing w:val="-4"/>
          <w:vertAlign w:val="superscript"/>
          <w:rtl/>
        </w:rPr>
        <w:t>(</w:t>
      </w:r>
      <w:r>
        <w:rPr>
          <w:rStyle w:val="a7"/>
          <w:spacing w:val="-4"/>
          <w:rtl/>
        </w:rPr>
        <w:footnoteReference w:id="2394"/>
      </w:r>
      <w:r>
        <w:rPr>
          <w:rFonts w:hint="cs"/>
          <w:spacing w:val="-4"/>
          <w:vertAlign w:val="superscript"/>
          <w:rtl/>
        </w:rPr>
        <w:t>)</w:t>
      </w:r>
      <w:r>
        <w:rPr>
          <w:rFonts w:hint="cs"/>
          <w:spacing w:val="-4"/>
          <w:rtl/>
        </w:rPr>
        <w:t xml:space="preserve"> عند أبي حنيفة وأبي يوسف، مع أنَّ سببَ الاستحقاق مجهولٌ؛ لأن القود يجب بالموت مستندًا إلى وقت الجرح :</w:t>
      </w:r>
      <w:r>
        <w:rPr>
          <w:rFonts w:hint="cs"/>
          <w:rtl/>
        </w:rPr>
        <w:t xml:space="preserve"> فإن اعتبر وقت الجرح</w:t>
      </w:r>
      <w:r>
        <w:rPr>
          <w:rStyle w:val="a7"/>
          <w:rtl/>
        </w:rPr>
        <w:footnoteReference w:id="2395"/>
      </w:r>
      <w:r>
        <w:rPr>
          <w:rFonts w:hint="cs"/>
          <w:rtl/>
        </w:rPr>
        <w:t>، فسبب الولاية الملك، فإنّه سبب من وجه.</w:t>
      </w:r>
    </w:p>
    <w:p w:rsidR="00C10469" w:rsidRDefault="00C10469" w:rsidP="00C10469">
      <w:pPr>
        <w:ind w:left="989" w:hanging="422"/>
        <w:rPr>
          <w:rtl/>
        </w:rPr>
      </w:pPr>
      <w:r>
        <w:rPr>
          <w:rFonts w:hint="cs"/>
          <w:rtl/>
        </w:rPr>
        <w:t xml:space="preserve">     وإن اعتبر وقت الموت، فسببها الوراثة بالولاء، وهو سبب</w:t>
      </w:r>
      <w:r>
        <w:rPr>
          <w:rStyle w:val="a7"/>
          <w:rtl/>
        </w:rPr>
        <w:footnoteReference w:id="2396"/>
      </w:r>
      <w:r>
        <w:rPr>
          <w:rFonts w:hint="cs"/>
          <w:rtl/>
        </w:rPr>
        <w:t xml:space="preserve"> من وجه.</w:t>
      </w:r>
    </w:p>
    <w:p w:rsidR="00C10469" w:rsidRDefault="00C10469" w:rsidP="00C10469">
      <w:pPr>
        <w:ind w:left="989" w:hanging="422"/>
        <w:rPr>
          <w:rtl/>
        </w:rPr>
      </w:pPr>
      <w:r>
        <w:rPr>
          <w:rFonts w:hint="cs"/>
          <w:rtl/>
        </w:rPr>
        <w:t xml:space="preserve">     فليس السبب بمتحققّ، ولكن من له الحقّ مُتيقّن من أي وجهٍ كان، سواء كان بالولاية أو بالإرث.</w:t>
      </w:r>
    </w:p>
    <w:p w:rsidR="00C10469" w:rsidRDefault="00C10469" w:rsidP="00C10469">
      <w:pPr>
        <w:ind w:left="989" w:hanging="422"/>
        <w:rPr>
          <w:spacing w:val="-8"/>
          <w:sz w:val="35"/>
          <w:szCs w:val="35"/>
        </w:rPr>
      </w:pPr>
      <w:r>
        <w:rPr>
          <w:spacing w:val="-8"/>
          <w:sz w:val="35"/>
          <w:szCs w:val="35"/>
          <w:rtl/>
        </w:rPr>
        <w:t>•</w:t>
      </w:r>
      <w:r>
        <w:rPr>
          <w:rFonts w:hint="cs"/>
          <w:spacing w:val="-8"/>
          <w:sz w:val="35"/>
          <w:szCs w:val="35"/>
          <w:rtl/>
        </w:rPr>
        <w:t xml:space="preserve">   وعند </w:t>
      </w:r>
      <w:r w:rsidRPr="00F40C19">
        <w:rPr>
          <w:rFonts w:hint="cs"/>
          <w:spacing w:val="-2"/>
          <w:sz w:val="35"/>
          <w:szCs w:val="35"/>
          <w:rtl/>
        </w:rPr>
        <w:t>محمد: لا يُقَاد؛ لأنّ جهالة سبب الاستحقاق [تتضمّن]</w:t>
      </w:r>
      <w:r w:rsidRPr="00F40C19">
        <w:rPr>
          <w:rStyle w:val="a7"/>
          <w:spacing w:val="-2"/>
          <w:sz w:val="35"/>
          <w:szCs w:val="35"/>
          <w:rtl/>
        </w:rPr>
        <w:footnoteReference w:id="2397"/>
      </w:r>
      <w:r w:rsidRPr="00F40C19">
        <w:rPr>
          <w:rFonts w:hint="cs"/>
          <w:spacing w:val="-2"/>
          <w:sz w:val="35"/>
          <w:szCs w:val="35"/>
          <w:rtl/>
        </w:rPr>
        <w:t xml:space="preserve"> جهالة المُستحِقّ</w:t>
      </w:r>
      <w:r w:rsidRPr="00F40C19">
        <w:rPr>
          <w:rFonts w:hint="cs"/>
          <w:spacing w:val="-2"/>
          <w:sz w:val="35"/>
          <w:szCs w:val="35"/>
          <w:vertAlign w:val="superscript"/>
          <w:rtl/>
        </w:rPr>
        <w:t>(</w:t>
      </w:r>
      <w:r w:rsidRPr="00F40C19">
        <w:rPr>
          <w:rStyle w:val="a7"/>
          <w:spacing w:val="-2"/>
          <w:sz w:val="35"/>
          <w:szCs w:val="35"/>
          <w:rtl/>
        </w:rPr>
        <w:footnoteReference w:id="2398"/>
      </w:r>
      <w:r>
        <w:rPr>
          <w:rFonts w:hint="cs"/>
          <w:spacing w:val="-8"/>
          <w:sz w:val="35"/>
          <w:szCs w:val="35"/>
          <w:vertAlign w:val="superscript"/>
          <w:rtl/>
        </w:rPr>
        <w:t>)</w:t>
      </w:r>
      <w:r>
        <w:rPr>
          <w:rFonts w:hint="cs"/>
          <w:spacing w:val="-8"/>
          <w:sz w:val="35"/>
          <w:szCs w:val="35"/>
          <w:rtl/>
        </w:rPr>
        <w:t xml:space="preserve">؛ </w:t>
      </w:r>
    </w:p>
    <w:p w:rsidR="00C10469" w:rsidRDefault="00C10469" w:rsidP="00C10469">
      <w:pPr>
        <w:ind w:left="989" w:hanging="422"/>
        <w:rPr>
          <w:spacing w:val="-6"/>
        </w:rPr>
      </w:pPr>
      <w:r>
        <w:rPr>
          <w:rFonts w:hint="cs"/>
          <w:rtl/>
        </w:rPr>
        <w:lastRenderedPageBreak/>
        <w:t xml:space="preserve">     لأنّ مُسْتَحِقّ</w:t>
      </w:r>
      <w:r>
        <w:rPr>
          <w:rStyle w:val="a7"/>
          <w:spacing w:val="10"/>
          <w:rtl/>
        </w:rPr>
        <w:footnoteReference w:id="2399"/>
      </w:r>
      <w:r>
        <w:rPr>
          <w:rFonts w:hint="cs"/>
          <w:rtl/>
        </w:rPr>
        <w:t xml:space="preserve"> القود بالملك صار</w:t>
      </w:r>
      <w:r>
        <w:rPr>
          <w:rStyle w:val="a7"/>
          <w:spacing w:val="10"/>
          <w:rtl/>
        </w:rPr>
        <w:footnoteReference w:id="2400"/>
      </w:r>
      <w:r>
        <w:rPr>
          <w:rFonts w:hint="cs"/>
          <w:rtl/>
        </w:rPr>
        <w:t xml:space="preserve"> بالعتق وارثًا بالولاية؛ لأنّ </w:t>
      </w:r>
      <w:r>
        <w:rPr>
          <w:rFonts w:hint="eastAsia"/>
          <w:rtl/>
        </w:rPr>
        <w:t>«</w:t>
      </w:r>
      <w:r>
        <w:rPr>
          <w:rFonts w:hint="cs"/>
          <w:rtl/>
        </w:rPr>
        <w:t>تبدل السبّب قائم مقام</w:t>
      </w:r>
      <w:r>
        <w:rPr>
          <w:rStyle w:val="a7"/>
          <w:spacing w:val="10"/>
          <w:rtl/>
        </w:rPr>
        <w:footnoteReference w:id="2401"/>
      </w:r>
      <w:r>
        <w:rPr>
          <w:rFonts w:hint="cs"/>
          <w:rtl/>
        </w:rPr>
        <w:t xml:space="preserve"> تَبدُّل الذات</w:t>
      </w:r>
      <w:r>
        <w:rPr>
          <w:rFonts w:hint="eastAsia"/>
          <w:rtl/>
        </w:rPr>
        <w:t>»</w:t>
      </w:r>
      <w:r>
        <w:rPr>
          <w:rFonts w:hint="cs"/>
          <w:rtl/>
        </w:rPr>
        <w:t xml:space="preserve"> - </w:t>
      </w:r>
      <w:r>
        <w:rPr>
          <w:rFonts w:hint="cs"/>
          <w:spacing w:val="-6"/>
          <w:rtl/>
        </w:rPr>
        <w:t>كما مرّ في باب التاء</w:t>
      </w:r>
      <w:r>
        <w:rPr>
          <w:rFonts w:hint="cs"/>
          <w:spacing w:val="-6"/>
          <w:vertAlign w:val="superscript"/>
          <w:rtl/>
        </w:rPr>
        <w:t>(</w:t>
      </w:r>
      <w:r>
        <w:rPr>
          <w:rStyle w:val="a7"/>
          <w:spacing w:val="-6"/>
          <w:rtl/>
        </w:rPr>
        <w:footnoteReference w:id="2402"/>
      </w:r>
      <w:r>
        <w:rPr>
          <w:rFonts w:hint="cs"/>
          <w:spacing w:val="-6"/>
          <w:vertAlign w:val="superscript"/>
          <w:rtl/>
        </w:rPr>
        <w:t>)</w:t>
      </w:r>
      <w:r>
        <w:rPr>
          <w:rFonts w:hint="cs"/>
          <w:spacing w:val="-6"/>
          <w:rtl/>
        </w:rPr>
        <w:t>- فإن اعتبرنا</w:t>
      </w:r>
      <w:r>
        <w:rPr>
          <w:rStyle w:val="a7"/>
          <w:spacing w:val="-6"/>
          <w:rtl/>
        </w:rPr>
        <w:footnoteReference w:id="2403"/>
      </w:r>
      <w:r>
        <w:rPr>
          <w:rFonts w:hint="cs"/>
          <w:spacing w:val="-6"/>
          <w:rtl/>
        </w:rPr>
        <w:t xml:space="preserve"> وجود القود</w:t>
      </w:r>
      <w:r>
        <w:rPr>
          <w:rStyle w:val="a7"/>
          <w:spacing w:val="-6"/>
          <w:rtl/>
        </w:rPr>
        <w:footnoteReference w:id="2404"/>
      </w:r>
      <w:r>
        <w:rPr>
          <w:rFonts w:hint="cs"/>
          <w:spacing w:val="-6"/>
          <w:rtl/>
        </w:rPr>
        <w:t xml:space="preserve"> [مضافًا إلى وقت الجرح: لا يوجد المالك ليستوفي القود]</w:t>
      </w:r>
      <w:r>
        <w:rPr>
          <w:rStyle w:val="a7"/>
          <w:spacing w:val="-6"/>
          <w:rtl/>
        </w:rPr>
        <w:footnoteReference w:id="2405"/>
      </w:r>
      <w:r>
        <w:rPr>
          <w:rFonts w:hint="cs"/>
          <w:spacing w:val="-6"/>
          <w:rtl/>
        </w:rPr>
        <w:t>، فسقط</w:t>
      </w:r>
      <w:r>
        <w:rPr>
          <w:rStyle w:val="a7"/>
          <w:spacing w:val="-6"/>
          <w:rtl/>
        </w:rPr>
        <w:footnoteReference w:id="2406"/>
      </w:r>
      <w:r>
        <w:rPr>
          <w:rFonts w:hint="cs"/>
          <w:spacing w:val="-6"/>
          <w:rtl/>
        </w:rPr>
        <w:t>.</w:t>
      </w:r>
    </w:p>
    <w:p w:rsidR="00C10469" w:rsidRDefault="00C10469" w:rsidP="00C10469">
      <w:pPr>
        <w:ind w:left="989" w:hanging="422"/>
        <w:rPr>
          <w:spacing w:val="8"/>
          <w:sz w:val="36"/>
          <w:rtl/>
        </w:rPr>
      </w:pPr>
      <w:r>
        <w:rPr>
          <w:rFonts w:hint="cs"/>
          <w:spacing w:val="8"/>
          <w:sz w:val="36"/>
          <w:rtl/>
        </w:rPr>
        <w:t xml:space="preserve">    </w:t>
      </w:r>
      <w:r>
        <w:rPr>
          <w:rFonts w:hint="eastAsia"/>
          <w:spacing w:val="8"/>
          <w:sz w:val="36"/>
          <w:rtl/>
        </w:rPr>
        <w:t>«</w:t>
      </w:r>
      <w:r>
        <w:rPr>
          <w:rFonts w:hint="cs"/>
          <w:b/>
          <w:bCs/>
          <w:spacing w:val="8"/>
          <w:sz w:val="36"/>
          <w:rtl/>
        </w:rPr>
        <w:t>فأما إذا لم يكن الوارث السيّدَ فقط</w:t>
      </w:r>
      <w:r>
        <w:rPr>
          <w:rFonts w:hint="cs"/>
          <w:spacing w:val="8"/>
          <w:sz w:val="36"/>
          <w:rtl/>
        </w:rPr>
        <w:t>؛ بل له وارث غيره: لم يُقَدْ</w:t>
      </w:r>
      <w:r>
        <w:rPr>
          <w:rStyle w:val="a7"/>
          <w:spacing w:val="8"/>
          <w:sz w:val="36"/>
          <w:szCs w:val="36"/>
          <w:rtl/>
        </w:rPr>
        <w:footnoteReference w:id="2407"/>
      </w:r>
      <w:r>
        <w:rPr>
          <w:rFonts w:hint="cs"/>
          <w:spacing w:val="8"/>
          <w:sz w:val="36"/>
          <w:rtl/>
        </w:rPr>
        <w:t xml:space="preserve"> بالاتفاق</w:t>
      </w:r>
      <w:r>
        <w:rPr>
          <w:rFonts w:hint="cs"/>
          <w:spacing w:val="8"/>
          <w:sz w:val="36"/>
          <w:vertAlign w:val="superscript"/>
          <w:rtl/>
        </w:rPr>
        <w:t>(</w:t>
      </w:r>
      <w:r>
        <w:rPr>
          <w:rStyle w:val="a7"/>
          <w:spacing w:val="8"/>
          <w:sz w:val="36"/>
          <w:szCs w:val="36"/>
          <w:rtl/>
        </w:rPr>
        <w:footnoteReference w:id="2408"/>
      </w:r>
      <w:r>
        <w:rPr>
          <w:rFonts w:hint="cs"/>
          <w:spacing w:val="8"/>
          <w:sz w:val="36"/>
          <w:vertAlign w:val="superscript"/>
          <w:rtl/>
        </w:rPr>
        <w:t>)</w:t>
      </w:r>
      <w:r>
        <w:rPr>
          <w:rFonts w:hint="cs"/>
          <w:spacing w:val="8"/>
          <w:sz w:val="36"/>
          <w:rtl/>
        </w:rPr>
        <w:t xml:space="preserve">؛ لأن المعتبر : </w:t>
      </w:r>
    </w:p>
    <w:p w:rsidR="00C10469" w:rsidRDefault="00C10469" w:rsidP="00C10469">
      <w:pPr>
        <w:spacing w:line="580" w:lineRule="exact"/>
        <w:ind w:left="567" w:firstLine="0"/>
        <w:rPr>
          <w:rtl/>
        </w:rPr>
      </w:pPr>
      <w:r>
        <w:rPr>
          <w:rFonts w:hint="cs"/>
          <w:rtl/>
        </w:rPr>
        <w:t>- إن كان وقت الجرح فالمستحق</w:t>
      </w:r>
      <w:r>
        <w:rPr>
          <w:rStyle w:val="a7"/>
          <w:rtl/>
        </w:rPr>
        <w:footnoteReference w:id="2409"/>
      </w:r>
      <w:r>
        <w:rPr>
          <w:rFonts w:hint="cs"/>
          <w:rtl/>
        </w:rPr>
        <w:t xml:space="preserve"> السيد. </w:t>
      </w:r>
    </w:p>
    <w:p w:rsidR="00C10469" w:rsidRDefault="00C10469" w:rsidP="00C10469">
      <w:pPr>
        <w:widowControl/>
        <w:numPr>
          <w:ilvl w:val="0"/>
          <w:numId w:val="20"/>
        </w:numPr>
        <w:spacing w:line="540" w:lineRule="exact"/>
        <w:ind w:left="924" w:hanging="357"/>
        <w:jc w:val="both"/>
        <w:rPr>
          <w:spacing w:val="-10"/>
          <w:sz w:val="35"/>
          <w:szCs w:val="35"/>
          <w:rtl/>
        </w:rPr>
      </w:pPr>
      <w:r>
        <w:rPr>
          <w:rFonts w:hint="cs"/>
          <w:spacing w:val="-10"/>
          <w:sz w:val="35"/>
          <w:szCs w:val="35"/>
          <w:rtl/>
        </w:rPr>
        <w:t>وإن كان وقت الموت فذلك الوارث، أو هو مع [السيِّد]</w:t>
      </w:r>
      <w:r>
        <w:rPr>
          <w:rStyle w:val="a7"/>
          <w:spacing w:val="-10"/>
          <w:sz w:val="35"/>
          <w:szCs w:val="35"/>
          <w:rtl/>
        </w:rPr>
        <w:footnoteReference w:id="2410"/>
      </w:r>
      <w:r>
        <w:rPr>
          <w:rFonts w:hint="cs"/>
          <w:spacing w:val="-10"/>
          <w:sz w:val="35"/>
          <w:szCs w:val="35"/>
          <w:rtl/>
        </w:rPr>
        <w:t>، فجهالة</w:t>
      </w:r>
      <w:r>
        <w:rPr>
          <w:rStyle w:val="a7"/>
          <w:spacing w:val="-10"/>
          <w:sz w:val="35"/>
          <w:szCs w:val="35"/>
          <w:rtl/>
        </w:rPr>
        <w:footnoteReference w:id="2411"/>
      </w:r>
      <w:r>
        <w:rPr>
          <w:rFonts w:hint="cs"/>
          <w:spacing w:val="-10"/>
          <w:sz w:val="35"/>
          <w:szCs w:val="35"/>
          <w:rtl/>
        </w:rPr>
        <w:t xml:space="preserve"> [المقضي]</w:t>
      </w:r>
      <w:r>
        <w:rPr>
          <w:rFonts w:hint="cs"/>
          <w:spacing w:val="-10"/>
          <w:sz w:val="35"/>
          <w:szCs w:val="35"/>
          <w:vertAlign w:val="superscript"/>
          <w:rtl/>
        </w:rPr>
        <w:t>(</w:t>
      </w:r>
      <w:r>
        <w:rPr>
          <w:rStyle w:val="a7"/>
          <w:spacing w:val="-10"/>
          <w:sz w:val="35"/>
          <w:szCs w:val="35"/>
          <w:rtl/>
        </w:rPr>
        <w:footnoteReference w:id="2412"/>
      </w:r>
      <w:r>
        <w:rPr>
          <w:rFonts w:hint="cs"/>
          <w:spacing w:val="-10"/>
          <w:sz w:val="35"/>
          <w:szCs w:val="35"/>
          <w:vertAlign w:val="superscript"/>
          <w:rtl/>
        </w:rPr>
        <w:t>)</w:t>
      </w:r>
      <w:r>
        <w:rPr>
          <w:rFonts w:hint="cs"/>
          <w:spacing w:val="-10"/>
          <w:sz w:val="35"/>
          <w:szCs w:val="35"/>
          <w:rtl/>
        </w:rPr>
        <w:t xml:space="preserve"> له </w:t>
      </w:r>
    </w:p>
    <w:p w:rsidR="00C10469" w:rsidRDefault="00C10469">
      <w:pPr>
        <w:ind w:left="567" w:right="567" w:firstLine="153"/>
        <w:rPr>
          <w:rtl/>
        </w:rPr>
      </w:pPr>
      <w:r>
        <w:rPr>
          <w:rFonts w:hint="cs"/>
          <w:rtl/>
        </w:rPr>
        <w:lastRenderedPageBreak/>
        <w:t>يـمـنـع</w:t>
      </w:r>
      <w:r>
        <w:rPr>
          <w:rStyle w:val="a7"/>
          <w:rtl/>
        </w:rPr>
        <w:footnoteReference w:id="2413"/>
      </w:r>
      <w:r>
        <w:rPr>
          <w:rFonts w:hint="cs"/>
          <w:rtl/>
        </w:rPr>
        <w:t xml:space="preserve"> الـحـكـم</w:t>
      </w:r>
      <w:r>
        <w:rPr>
          <w:rFonts w:hint="eastAsia"/>
          <w:rtl/>
        </w:rPr>
        <w:t>»</w:t>
      </w:r>
      <w:r>
        <w:rPr>
          <w:rFonts w:hint="cs"/>
          <w:vertAlign w:val="superscript"/>
          <w:rtl/>
        </w:rPr>
        <w:t>(</w:t>
      </w:r>
      <w:r>
        <w:rPr>
          <w:rStyle w:val="a7"/>
          <w:rtl/>
        </w:rPr>
        <w:footnoteReference w:id="2414"/>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6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251D8D" w:rsidRDefault="00C10469">
      <w:pPr>
        <w:pStyle w:val="a9"/>
        <w:rPr>
          <w:rFonts w:cs="AL-Mateen"/>
          <w:rtl/>
        </w:rPr>
      </w:pPr>
      <w:r w:rsidRPr="00251D8D">
        <w:rPr>
          <w:rFonts w:cs="AL-Mateen" w:hint="cs"/>
          <w:rtl/>
        </w:rPr>
        <w:lastRenderedPageBreak/>
        <w:t>[ الـقـاعـدة الـسـادسـة بـعـد الـمـائـة ]</w:t>
      </w:r>
    </w:p>
    <w:p w:rsidR="00C10469" w:rsidRDefault="00C10469">
      <w:pPr>
        <w:rPr>
          <w:rtl/>
        </w:rPr>
      </w:pPr>
      <w:r>
        <w:rPr>
          <w:rFonts w:cs="Monotype Koufi" w:hint="cs"/>
          <w:rtl/>
        </w:rPr>
        <w:t>جهالةُ السّاقطِ لا [تمنعُ]</w:t>
      </w:r>
      <w:r>
        <w:rPr>
          <w:rStyle w:val="a7"/>
          <w:rtl/>
        </w:rPr>
        <w:footnoteReference w:id="2415"/>
      </w:r>
      <w:r>
        <w:rPr>
          <w:rFonts w:hint="cs"/>
          <w:rtl/>
        </w:rPr>
        <w:t xml:space="preserve"> </w:t>
      </w:r>
      <w:r>
        <w:rPr>
          <w:rFonts w:cs="Monotype Koufi" w:hint="cs"/>
          <w:rtl/>
        </w:rPr>
        <w:t>صِحَّةَ العقدِ؛ لأنَّهَا لا [تُفضِي]</w:t>
      </w:r>
      <w:r>
        <w:rPr>
          <w:rStyle w:val="a7"/>
          <w:rtl/>
        </w:rPr>
        <w:footnoteReference w:id="2416"/>
      </w:r>
      <w:r>
        <w:rPr>
          <w:rFonts w:hint="cs"/>
          <w:rtl/>
        </w:rPr>
        <w:t xml:space="preserve"> </w:t>
      </w:r>
      <w:r>
        <w:rPr>
          <w:rFonts w:cs="Monotype Koufi" w:hint="cs"/>
          <w:rtl/>
        </w:rPr>
        <w:t>إلى المنازَعَةِ</w:t>
      </w:r>
      <w:r>
        <w:rPr>
          <w:rFonts w:hint="cs"/>
          <w:vertAlign w:val="superscript"/>
          <w:rtl/>
        </w:rPr>
        <w:t>(</w:t>
      </w:r>
      <w:r>
        <w:rPr>
          <w:rStyle w:val="a7"/>
          <w:rtl/>
        </w:rPr>
        <w:footnoteReference w:id="2417"/>
      </w:r>
      <w:r>
        <w:rPr>
          <w:rFonts w:hint="cs"/>
          <w:vertAlign w:val="superscript"/>
          <w:rtl/>
        </w:rPr>
        <w:t>)</w:t>
      </w:r>
      <w:r>
        <w:rPr>
          <w:rFonts w:hint="cs"/>
          <w:rtl/>
        </w:rPr>
        <w:t xml:space="preserve"> :</w:t>
      </w:r>
    </w:p>
    <w:p w:rsidR="00C10469" w:rsidRDefault="00C10469">
      <w:pPr>
        <w:rPr>
          <w:rtl/>
        </w:rPr>
      </w:pPr>
      <w:r>
        <w:rPr>
          <w:rFonts w:hint="cs"/>
          <w:rtl/>
        </w:rPr>
        <w:t>فالصلح :</w:t>
      </w:r>
    </w:p>
    <w:p w:rsidR="00C10469" w:rsidRDefault="00C10469" w:rsidP="00C10469">
      <w:pPr>
        <w:ind w:left="737" w:firstLine="0"/>
        <w:rPr>
          <w:rtl/>
        </w:rPr>
      </w:pPr>
      <w:r>
        <w:rPr>
          <w:rtl/>
        </w:rPr>
        <w:t>•</w:t>
      </w:r>
      <w:r>
        <w:rPr>
          <w:rFonts w:hint="cs"/>
          <w:rtl/>
        </w:rPr>
        <w:t xml:space="preserve"> لا يفسد بجهالة الـمُصَالَح عنه؛ لأنه ساقط.</w:t>
      </w:r>
    </w:p>
    <w:p w:rsidR="00C10469" w:rsidRDefault="00C10469" w:rsidP="00C10469">
      <w:pPr>
        <w:ind w:left="989" w:hanging="252"/>
        <w:rPr>
          <w:spacing w:val="8"/>
        </w:rPr>
      </w:pPr>
      <w:r>
        <w:rPr>
          <w:spacing w:val="8"/>
          <w:rtl/>
        </w:rPr>
        <w:t>•</w:t>
      </w:r>
      <w:r>
        <w:rPr>
          <w:rFonts w:hint="cs"/>
          <w:spacing w:val="8"/>
          <w:rtl/>
        </w:rPr>
        <w:t xml:space="preserve"> ويفسـد بجهالة البـدل؛ لأنّه واجب الأداء، فجهالته [تفضي]</w:t>
      </w:r>
      <w:r>
        <w:rPr>
          <w:rStyle w:val="a7"/>
          <w:spacing w:val="8"/>
          <w:rtl/>
        </w:rPr>
        <w:footnoteReference w:id="2418"/>
      </w:r>
      <w:r>
        <w:rPr>
          <w:rFonts w:hint="cs"/>
          <w:spacing w:val="8"/>
          <w:rtl/>
        </w:rPr>
        <w:t xml:space="preserve"> إلى المنازعة</w:t>
      </w:r>
      <w:r>
        <w:rPr>
          <w:rFonts w:hint="cs"/>
          <w:spacing w:val="8"/>
          <w:vertAlign w:val="superscript"/>
          <w:rtl/>
        </w:rPr>
        <w:t>(</w:t>
      </w:r>
      <w:r>
        <w:rPr>
          <w:rStyle w:val="a7"/>
          <w:spacing w:val="8"/>
          <w:rtl/>
        </w:rPr>
        <w:footnoteReference w:id="2419"/>
      </w:r>
      <w:r>
        <w:rPr>
          <w:rFonts w:hint="cs"/>
          <w:spacing w:val="8"/>
          <w:vertAlign w:val="superscript"/>
          <w:rtl/>
        </w:rPr>
        <w:t>)</w:t>
      </w:r>
      <w:r>
        <w:rPr>
          <w:rFonts w:hint="cs"/>
          <w:spacing w:val="8"/>
          <w:rtl/>
        </w:rPr>
        <w:t>.</w:t>
      </w:r>
    </w:p>
    <w:p w:rsidR="00C10469" w:rsidRDefault="00C10469">
      <w:pPr>
        <w:ind w:left="567" w:right="567" w:firstLine="0"/>
        <w:rPr>
          <w:spacing w:val="8"/>
          <w:rtl/>
        </w:rPr>
      </w:pPr>
    </w:p>
    <w:p w:rsidR="00C10469" w:rsidRDefault="00C10469">
      <w:pPr>
        <w:ind w:left="567" w:right="567" w:firstLine="0"/>
        <w:rPr>
          <w:spacing w:val="8"/>
          <w:rtl/>
        </w:rPr>
      </w:pPr>
    </w:p>
    <w:p w:rsidR="00C10469" w:rsidRDefault="00C10469">
      <w:pPr>
        <w:ind w:left="567" w:right="567" w:firstLine="0"/>
        <w:jc w:val="center"/>
        <w:rPr>
          <w:spacing w:val="8"/>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spacing w:val="8"/>
          <w:rtl/>
        </w:rPr>
        <w:sectPr w:rsidR="00C10469" w:rsidSect="00C10469">
          <w:headerReference w:type="default" r:id="rId16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95942" w:rsidRDefault="00C10469">
      <w:pPr>
        <w:pStyle w:val="a9"/>
        <w:rPr>
          <w:rFonts w:cs="AL-Mateen"/>
          <w:rtl/>
          <w:lang w:val="en-US"/>
        </w:rPr>
      </w:pPr>
      <w:r w:rsidRPr="00395942">
        <w:rPr>
          <w:rFonts w:cs="AL-Mateen" w:hint="cs"/>
          <w:rtl/>
          <w:lang w:val="en-US"/>
        </w:rPr>
        <w:lastRenderedPageBreak/>
        <w:t>[ الـقـاعـدة الـسـابـعـة بـعـد الـمـائـة ]</w:t>
      </w:r>
    </w:p>
    <w:p w:rsidR="00C10469" w:rsidRDefault="00C10469">
      <w:pPr>
        <w:rPr>
          <w:spacing w:val="-4"/>
          <w:rtl/>
        </w:rPr>
      </w:pPr>
      <w:r>
        <w:rPr>
          <w:rFonts w:cs="Monotype Koufi" w:hint="cs"/>
          <w:spacing w:val="-4"/>
          <w:rtl/>
        </w:rPr>
        <w:t>جَهَالَةُ المَكْفُولِ لَهُ تُبطِلُ الكفالةَ، وكذا جهالةُ المكفولِ عنهُ</w:t>
      </w:r>
      <w:r>
        <w:rPr>
          <w:rFonts w:hint="cs"/>
          <w:spacing w:val="-4"/>
          <w:vertAlign w:val="superscript"/>
          <w:rtl/>
        </w:rPr>
        <w:t>(</w:t>
      </w:r>
      <w:r>
        <w:rPr>
          <w:rStyle w:val="a7"/>
          <w:spacing w:val="-4"/>
          <w:rtl/>
        </w:rPr>
        <w:footnoteReference w:id="2420"/>
      </w:r>
      <w:r>
        <w:rPr>
          <w:rFonts w:hint="cs"/>
          <w:spacing w:val="-4"/>
          <w:vertAlign w:val="superscript"/>
          <w:rtl/>
        </w:rPr>
        <w:t>)</w:t>
      </w:r>
      <w:r>
        <w:rPr>
          <w:rFonts w:hint="cs"/>
          <w:spacing w:val="-4"/>
          <w:rtl/>
        </w:rPr>
        <w:t>:</w:t>
      </w:r>
    </w:p>
    <w:p w:rsidR="00C10469" w:rsidRDefault="00C10469">
      <w:pPr>
        <w:rPr>
          <w:rtl/>
        </w:rPr>
      </w:pPr>
      <w:r>
        <w:rPr>
          <w:rFonts w:hint="cs"/>
          <w:rtl/>
        </w:rPr>
        <w:t>فإذا قال : ما ذاب</w:t>
      </w:r>
      <w:r>
        <w:rPr>
          <w:rFonts w:hint="cs"/>
          <w:vertAlign w:val="superscript"/>
          <w:rtl/>
        </w:rPr>
        <w:t>(</w:t>
      </w:r>
      <w:r>
        <w:rPr>
          <w:rStyle w:val="a7"/>
          <w:rtl/>
        </w:rPr>
        <w:footnoteReference w:id="2421"/>
      </w:r>
      <w:r>
        <w:rPr>
          <w:rFonts w:hint="cs"/>
          <w:vertAlign w:val="superscript"/>
          <w:rtl/>
        </w:rPr>
        <w:t>)</w:t>
      </w:r>
      <w:r>
        <w:rPr>
          <w:rFonts w:hint="cs"/>
          <w:rtl/>
        </w:rPr>
        <w:t xml:space="preserve"> للناس، أو لأحد منهم عليك فعليّ : لا تصحّ؛ لأن المكفول له</w:t>
      </w:r>
      <w:r>
        <w:rPr>
          <w:rFonts w:hint="cs"/>
          <w:vertAlign w:val="superscript"/>
          <w:rtl/>
        </w:rPr>
        <w:t>(</w:t>
      </w:r>
      <w:r>
        <w:rPr>
          <w:rStyle w:val="a7"/>
          <w:rtl/>
        </w:rPr>
        <w:footnoteReference w:id="2422"/>
      </w:r>
      <w:r>
        <w:rPr>
          <w:rFonts w:hint="cs"/>
          <w:vertAlign w:val="superscript"/>
          <w:rtl/>
        </w:rPr>
        <w:t>)</w:t>
      </w:r>
      <w:r>
        <w:rPr>
          <w:rFonts w:hint="cs"/>
          <w:rtl/>
        </w:rPr>
        <w:t xml:space="preserve"> في [الصورة]</w:t>
      </w:r>
      <w:r>
        <w:rPr>
          <w:rStyle w:val="a7"/>
          <w:rtl/>
        </w:rPr>
        <w:footnoteReference w:id="2423"/>
      </w:r>
      <w:r>
        <w:rPr>
          <w:rFonts w:hint="cs"/>
          <w:rtl/>
        </w:rPr>
        <w:t xml:space="preserve"> الأولى</w:t>
      </w:r>
      <w:r>
        <w:rPr>
          <w:rStyle w:val="a7"/>
          <w:rtl/>
        </w:rPr>
        <w:footnoteReference w:id="2424"/>
      </w:r>
      <w:r>
        <w:rPr>
          <w:rFonts w:hint="cs"/>
          <w:rtl/>
        </w:rPr>
        <w:t>، والمكفول عنه</w:t>
      </w:r>
      <w:r>
        <w:rPr>
          <w:rFonts w:hint="cs"/>
          <w:vertAlign w:val="superscript"/>
          <w:rtl/>
        </w:rPr>
        <w:t>(</w:t>
      </w:r>
      <w:r>
        <w:rPr>
          <w:rStyle w:val="a7"/>
          <w:rtl/>
        </w:rPr>
        <w:footnoteReference w:id="2425"/>
      </w:r>
      <w:r>
        <w:rPr>
          <w:rFonts w:hint="cs"/>
          <w:vertAlign w:val="superscript"/>
          <w:rtl/>
        </w:rPr>
        <w:t>)</w:t>
      </w:r>
      <w:r>
        <w:rPr>
          <w:rFonts w:hint="cs"/>
          <w:rtl/>
        </w:rPr>
        <w:t xml:space="preserve"> في [الصورة]</w:t>
      </w:r>
      <w:r>
        <w:rPr>
          <w:rStyle w:val="a7"/>
          <w:rtl/>
        </w:rPr>
        <w:footnoteReference w:id="2426"/>
      </w:r>
      <w:r>
        <w:rPr>
          <w:rFonts w:hint="cs"/>
          <w:rtl/>
        </w:rPr>
        <w:t xml:space="preserve"> الثانية مجهول</w:t>
      </w:r>
      <w:r>
        <w:rPr>
          <w:rFonts w:hint="cs"/>
          <w:vertAlign w:val="superscript"/>
          <w:rtl/>
        </w:rPr>
        <w:t>(</w:t>
      </w:r>
      <w:r>
        <w:rPr>
          <w:rStyle w:val="a7"/>
          <w:rtl/>
        </w:rPr>
        <w:footnoteReference w:id="2427"/>
      </w:r>
      <w:r>
        <w:rPr>
          <w:rFonts w:hint="cs"/>
          <w:vertAlign w:val="superscript"/>
          <w:rtl/>
        </w:rPr>
        <w:t>)</w:t>
      </w:r>
      <w:r>
        <w:rPr>
          <w:rFonts w:hint="cs"/>
          <w:rtl/>
        </w:rPr>
        <w:t>.</w:t>
      </w:r>
    </w:p>
    <w:p w:rsidR="00C10469" w:rsidRDefault="00C10469" w:rsidP="00C10469">
      <w:pPr>
        <w:ind w:left="989" w:hanging="215"/>
      </w:pPr>
      <w:r>
        <w:rPr>
          <w:rtl/>
        </w:rPr>
        <w:lastRenderedPageBreak/>
        <w:t>•</w:t>
      </w:r>
      <w:r>
        <w:rPr>
          <w:rFonts w:hint="cs"/>
          <w:rtl/>
        </w:rPr>
        <w:t xml:space="preserve"> ولذا قال أبو حنيفة : إذا قُسّمت التركة بين الورثة والغرماء بشهود، ولم يقولوا : لا نعلم له وارثًا أو غريمًا آخر : لم يُكفَلوا</w:t>
      </w:r>
      <w:r>
        <w:rPr>
          <w:rFonts w:hint="cs"/>
          <w:vertAlign w:val="superscript"/>
          <w:rtl/>
        </w:rPr>
        <w:t>(</w:t>
      </w:r>
      <w:r>
        <w:rPr>
          <w:rStyle w:val="a7"/>
          <w:rtl/>
        </w:rPr>
        <w:footnoteReference w:id="2428"/>
      </w:r>
      <w:r>
        <w:rPr>
          <w:rFonts w:hint="cs"/>
          <w:vertAlign w:val="superscript"/>
          <w:rtl/>
        </w:rPr>
        <w:t>)</w:t>
      </w:r>
      <w:r>
        <w:rPr>
          <w:rFonts w:hint="cs"/>
          <w:rtl/>
        </w:rPr>
        <w:t>؛ لأن المكفول له</w:t>
      </w:r>
      <w:r>
        <w:rPr>
          <w:rFonts w:hint="cs"/>
          <w:vertAlign w:val="superscript"/>
          <w:rtl/>
        </w:rPr>
        <w:t>(</w:t>
      </w:r>
      <w:r>
        <w:rPr>
          <w:rStyle w:val="a7"/>
          <w:rtl/>
        </w:rPr>
        <w:footnoteReference w:id="2429"/>
      </w:r>
      <w:r>
        <w:rPr>
          <w:rFonts w:hint="cs"/>
          <w:vertAlign w:val="superscript"/>
          <w:rtl/>
        </w:rPr>
        <w:t>)</w:t>
      </w:r>
      <w:r>
        <w:rPr>
          <w:rFonts w:hint="cs"/>
          <w:rtl/>
        </w:rPr>
        <w:t xml:space="preserve"> ليس بمعلوم. وهذا جارٍ</w:t>
      </w:r>
      <w:r>
        <w:rPr>
          <w:rStyle w:val="a7"/>
          <w:rtl/>
        </w:rPr>
        <w:footnoteReference w:id="2430"/>
      </w:r>
      <w:r>
        <w:rPr>
          <w:rFonts w:hint="cs"/>
          <w:rtl/>
        </w:rPr>
        <w:t xml:space="preserve"> على القياس.</w:t>
      </w:r>
    </w:p>
    <w:p w:rsidR="00C10469" w:rsidRDefault="00C10469" w:rsidP="00C10469">
      <w:pPr>
        <w:ind w:left="989" w:hanging="215"/>
        <w:rPr>
          <w:rtl/>
        </w:rPr>
      </w:pPr>
      <w:r>
        <w:rPr>
          <w:rtl/>
        </w:rPr>
        <w:t>•</w:t>
      </w:r>
      <w:r>
        <w:rPr>
          <w:rFonts w:hint="cs"/>
          <w:rtl/>
        </w:rPr>
        <w:t xml:space="preserve"> وقال أبو يوسف ومحمد : يؤخذ منهم الكفيل</w:t>
      </w:r>
      <w:r>
        <w:rPr>
          <w:rFonts w:hint="cs"/>
          <w:vertAlign w:val="superscript"/>
          <w:rtl/>
        </w:rPr>
        <w:t>(</w:t>
      </w:r>
      <w:r>
        <w:rPr>
          <w:rStyle w:val="a7"/>
          <w:rtl/>
        </w:rPr>
        <w:footnoteReference w:id="2431"/>
      </w:r>
      <w:r>
        <w:rPr>
          <w:rFonts w:hint="cs"/>
          <w:vertAlign w:val="superscript"/>
          <w:rtl/>
        </w:rPr>
        <w:t>)</w:t>
      </w:r>
      <w:r>
        <w:rPr>
          <w:rFonts w:hint="cs"/>
          <w:rtl/>
        </w:rPr>
        <w:t>؛ استحسانًا.</w:t>
      </w:r>
    </w:p>
    <w:p w:rsidR="00C10469" w:rsidRDefault="00C10469">
      <w:pPr>
        <w:rPr>
          <w:rtl/>
        </w:rPr>
      </w:pPr>
      <w:r>
        <w:rPr>
          <w:rFonts w:hint="cs"/>
          <w:b/>
          <w:bCs/>
          <w:rtl/>
        </w:rPr>
        <w:t>وجه الاستحسان</w:t>
      </w:r>
      <w:r>
        <w:rPr>
          <w:rFonts w:hint="cs"/>
          <w:rtl/>
        </w:rPr>
        <w:t xml:space="preserve"> : إن القاضي نُصب ناظرًا للغيب</w:t>
      </w:r>
      <w:r>
        <w:rPr>
          <w:rFonts w:hint="cs"/>
          <w:vertAlign w:val="superscript"/>
          <w:rtl/>
        </w:rPr>
        <w:t>(</w:t>
      </w:r>
      <w:r>
        <w:rPr>
          <w:rStyle w:val="a7"/>
          <w:rtl/>
        </w:rPr>
        <w:footnoteReference w:id="2432"/>
      </w:r>
      <w:r>
        <w:rPr>
          <w:rFonts w:hint="cs"/>
          <w:vertAlign w:val="superscript"/>
          <w:rtl/>
        </w:rPr>
        <w:t>)</w:t>
      </w:r>
      <w:r>
        <w:rPr>
          <w:rFonts w:hint="cs"/>
          <w:rtl/>
        </w:rPr>
        <w:t>، ولا نظر بترك الاحتياط في أخذ الكفيل، فيحتاط بأخذه</w:t>
      </w:r>
      <w:r>
        <w:rPr>
          <w:rFonts w:hint="cs"/>
          <w:vertAlign w:val="superscript"/>
          <w:rtl/>
        </w:rPr>
        <w:t>(</w:t>
      </w:r>
      <w:r>
        <w:rPr>
          <w:rStyle w:val="a7"/>
          <w:rtl/>
        </w:rPr>
        <w:footnoteReference w:id="2433"/>
      </w:r>
      <w:r>
        <w:rPr>
          <w:rFonts w:hint="cs"/>
          <w:vertAlign w:val="superscript"/>
          <w:rtl/>
        </w:rPr>
        <w:t>)</w:t>
      </w:r>
      <w:r>
        <w:rPr>
          <w:rFonts w:hint="cs"/>
          <w:rtl/>
        </w:rPr>
        <w:t>.</w:t>
      </w:r>
    </w:p>
    <w:p w:rsidR="00C10469" w:rsidRDefault="00C10469">
      <w:pPr>
        <w:spacing w:line="540" w:lineRule="exact"/>
        <w:rPr>
          <w:spacing w:val="-2"/>
          <w:rtl/>
        </w:rPr>
      </w:pPr>
      <w:r>
        <w:rPr>
          <w:rFonts w:hint="cs"/>
          <w:spacing w:val="-2"/>
          <w:rtl/>
        </w:rPr>
        <w:t>واعلم أنَّ في قول أبي حنيفة بحث</w:t>
      </w:r>
      <w:r>
        <w:rPr>
          <w:rFonts w:hint="cs"/>
          <w:spacing w:val="-2"/>
          <w:vertAlign w:val="superscript"/>
          <w:rtl/>
        </w:rPr>
        <w:t>(</w:t>
      </w:r>
      <w:r>
        <w:rPr>
          <w:rStyle w:val="a7"/>
          <w:spacing w:val="-2"/>
          <w:rtl/>
        </w:rPr>
        <w:footnoteReference w:id="2434"/>
      </w:r>
      <w:r>
        <w:rPr>
          <w:rFonts w:hint="cs"/>
          <w:spacing w:val="-2"/>
          <w:vertAlign w:val="superscript"/>
          <w:rtl/>
        </w:rPr>
        <w:t>)</w:t>
      </w:r>
      <w:r>
        <w:rPr>
          <w:rFonts w:hint="cs"/>
          <w:spacing w:val="-2"/>
          <w:rtl/>
        </w:rPr>
        <w:t>، فإنّه قال : [إذا]</w:t>
      </w:r>
      <w:r>
        <w:rPr>
          <w:rStyle w:val="a7"/>
          <w:spacing w:val="-2"/>
          <w:rtl/>
        </w:rPr>
        <w:footnoteReference w:id="2435"/>
      </w:r>
      <w:r>
        <w:rPr>
          <w:rFonts w:hint="cs"/>
          <w:spacing w:val="-2"/>
          <w:rtl/>
        </w:rPr>
        <w:t xml:space="preserve"> ادّعى رجلٌ دارًا في يد </w:t>
      </w:r>
      <w:r>
        <w:rPr>
          <w:rFonts w:hint="cs"/>
          <w:spacing w:val="-2"/>
          <w:rtl/>
        </w:rPr>
        <w:lastRenderedPageBreak/>
        <w:t>آخر أنها لأبيه، مات وتـركها مـيراثًـا لـه، وأقـرَّ ذو اليـد : يَدفع</w:t>
      </w:r>
      <w:r>
        <w:rPr>
          <w:rStyle w:val="a7"/>
          <w:spacing w:val="-2"/>
          <w:rtl/>
        </w:rPr>
        <w:footnoteReference w:id="2436"/>
      </w:r>
      <w:r>
        <w:rPr>
          <w:rFonts w:hint="cs"/>
          <w:spacing w:val="-2"/>
          <w:rtl/>
        </w:rPr>
        <w:t xml:space="preserve"> الدار إلى المدّعي</w:t>
      </w:r>
      <w:r>
        <w:rPr>
          <w:rStyle w:val="a7"/>
          <w:spacing w:val="-2"/>
          <w:rtl/>
        </w:rPr>
        <w:footnoteReference w:id="2437"/>
      </w:r>
      <w:r>
        <w:rPr>
          <w:rFonts w:hint="cs"/>
          <w:spacing w:val="-2"/>
          <w:rtl/>
        </w:rPr>
        <w:t>،</w:t>
      </w:r>
    </w:p>
    <w:p w:rsidR="00C10469" w:rsidRDefault="00C10469">
      <w:pPr>
        <w:ind w:firstLine="0"/>
        <w:rPr>
          <w:rtl/>
        </w:rPr>
      </w:pPr>
      <w:r>
        <w:rPr>
          <w:rFonts w:hint="cs"/>
          <w:rtl/>
        </w:rPr>
        <w:t>[ويكفل]</w:t>
      </w:r>
      <w:r>
        <w:rPr>
          <w:rStyle w:val="a7"/>
          <w:rtl/>
        </w:rPr>
        <w:footnoteReference w:id="2438"/>
      </w:r>
      <w:r>
        <w:rPr>
          <w:rFonts w:hint="cs"/>
          <w:rtl/>
        </w:rPr>
        <w:t xml:space="preserve"> ، مع أن المكفول له</w:t>
      </w:r>
      <w:r>
        <w:rPr>
          <w:rFonts w:hint="cs"/>
          <w:vertAlign w:val="superscript"/>
          <w:rtl/>
        </w:rPr>
        <w:t>(</w:t>
      </w:r>
      <w:r>
        <w:rPr>
          <w:rStyle w:val="a7"/>
          <w:rtl/>
        </w:rPr>
        <w:footnoteReference w:id="2439"/>
      </w:r>
      <w:r>
        <w:rPr>
          <w:rFonts w:hint="cs"/>
          <w:vertAlign w:val="superscript"/>
          <w:rtl/>
        </w:rPr>
        <w:t>)</w:t>
      </w:r>
      <w:r>
        <w:rPr>
          <w:rFonts w:hint="cs"/>
          <w:rtl/>
        </w:rPr>
        <w:t xml:space="preserve"> مجهول</w:t>
      </w:r>
      <w:r>
        <w:rPr>
          <w:rFonts w:hint="cs"/>
          <w:vertAlign w:val="superscript"/>
          <w:rtl/>
        </w:rPr>
        <w:t>(</w:t>
      </w:r>
      <w:r>
        <w:rPr>
          <w:rStyle w:val="a7"/>
          <w:rtl/>
        </w:rPr>
        <w:footnoteReference w:id="2440"/>
      </w:r>
      <w:r>
        <w:rPr>
          <w:rFonts w:hint="cs"/>
          <w:vertAlign w:val="superscript"/>
          <w:rtl/>
        </w:rPr>
        <w:t>)</w:t>
      </w:r>
      <w:r>
        <w:rPr>
          <w:rFonts w:hint="cs"/>
          <w:rtl/>
        </w:rPr>
        <w:t xml:space="preserve"> !.</w:t>
      </w:r>
    </w:p>
    <w:p w:rsidR="00C10469" w:rsidRDefault="00C10469">
      <w:pPr>
        <w:rPr>
          <w:rtl/>
        </w:rPr>
      </w:pPr>
      <w:r>
        <w:rPr>
          <w:rFonts w:hint="eastAsia"/>
          <w:rtl/>
        </w:rPr>
        <w:t>«</w:t>
      </w:r>
      <w:r>
        <w:rPr>
          <w:rFonts w:hint="cs"/>
          <w:b/>
          <w:bCs/>
          <w:rtl/>
        </w:rPr>
        <w:t>وأجيب عنه</w:t>
      </w:r>
      <w:r>
        <w:rPr>
          <w:rStyle w:val="a7"/>
          <w:rtl/>
        </w:rPr>
        <w:footnoteReference w:id="2441"/>
      </w:r>
      <w:r>
        <w:rPr>
          <w:rFonts w:hint="cs"/>
          <w:rtl/>
        </w:rPr>
        <w:t>: أنّ ذا اليد إذا أقرّ لم يبق له فيها ملك، ولم يثبت</w:t>
      </w:r>
      <w:r>
        <w:rPr>
          <w:rStyle w:val="a7"/>
          <w:rtl/>
        </w:rPr>
        <w:footnoteReference w:id="2442"/>
      </w:r>
      <w:r>
        <w:rPr>
          <w:rFonts w:hint="cs"/>
          <w:rtl/>
        </w:rPr>
        <w:t xml:space="preserve"> للمُقرِّ له بحجة كاملة؛ لأن </w:t>
      </w:r>
      <w:r>
        <w:rPr>
          <w:rFonts w:hint="eastAsia"/>
          <w:rtl/>
        </w:rPr>
        <w:t>«</w:t>
      </w:r>
      <w:r>
        <w:rPr>
          <w:rFonts w:hint="cs"/>
          <w:rtl/>
        </w:rPr>
        <w:t>الإقرار حجة قاصرة</w:t>
      </w:r>
      <w:r>
        <w:rPr>
          <w:rFonts w:hint="eastAsia"/>
          <w:rtl/>
        </w:rPr>
        <w:t>»</w:t>
      </w:r>
      <w:r>
        <w:rPr>
          <w:rFonts w:hint="cs"/>
          <w:vertAlign w:val="superscript"/>
          <w:rtl/>
        </w:rPr>
        <w:t>(</w:t>
      </w:r>
      <w:r>
        <w:rPr>
          <w:rStyle w:val="a7"/>
          <w:rtl/>
        </w:rPr>
        <w:footnoteReference w:id="2443"/>
      </w:r>
      <w:r>
        <w:rPr>
          <w:rFonts w:hint="cs"/>
          <w:vertAlign w:val="superscript"/>
          <w:rtl/>
        </w:rPr>
        <w:t>)</w:t>
      </w:r>
      <w:r>
        <w:rPr>
          <w:rFonts w:hint="cs"/>
          <w:rtl/>
        </w:rPr>
        <w:t>، فكان</w:t>
      </w:r>
      <w:r>
        <w:rPr>
          <w:rStyle w:val="a7"/>
          <w:rtl/>
        </w:rPr>
        <w:footnoteReference w:id="2444"/>
      </w:r>
      <w:r>
        <w:rPr>
          <w:rFonts w:hint="cs"/>
          <w:rtl/>
        </w:rPr>
        <w:t xml:space="preserve"> مظنَّة أنْ ثمَّةَ مالكًا لا محالة، وأقل ذلك بيت المال، وهو معلوم، فكان التكفيل له</w:t>
      </w:r>
      <w:r>
        <w:rPr>
          <w:rFonts w:hint="eastAsia"/>
          <w:rtl/>
        </w:rPr>
        <w:t>»</w:t>
      </w:r>
      <w:r>
        <w:rPr>
          <w:rFonts w:hint="cs"/>
          <w:vertAlign w:val="superscript"/>
          <w:rtl/>
        </w:rPr>
        <w:t>(</w:t>
      </w:r>
      <w:r>
        <w:rPr>
          <w:rStyle w:val="a7"/>
          <w:rtl/>
        </w:rPr>
        <w:footnoteReference w:id="2445"/>
      </w:r>
      <w:r>
        <w:rPr>
          <w:rFonts w:hint="cs"/>
          <w:vertAlign w:val="superscript"/>
          <w:rtl/>
        </w:rPr>
        <w:t>)</w:t>
      </w:r>
      <w:r>
        <w:rPr>
          <w:rFonts w:hint="cs"/>
          <w:rtl/>
        </w:rPr>
        <w:t>.</w:t>
      </w:r>
    </w:p>
    <w:p w:rsidR="00C10469" w:rsidRDefault="00C10469">
      <w:pPr>
        <w:rPr>
          <w:rtl/>
        </w:rPr>
      </w:pPr>
      <w:r>
        <w:rPr>
          <w:rFonts w:hint="cs"/>
          <w:b/>
          <w:bCs/>
          <w:rtl/>
        </w:rPr>
        <w:t>ويرد على هذا الجواب</w:t>
      </w:r>
      <w:r>
        <w:rPr>
          <w:rFonts w:hint="cs"/>
          <w:rtl/>
        </w:rPr>
        <w:t xml:space="preserve"> : </w:t>
      </w:r>
      <w:r>
        <w:rPr>
          <w:rFonts w:hint="eastAsia"/>
          <w:rtl/>
        </w:rPr>
        <w:t>«</w:t>
      </w:r>
      <w:r>
        <w:rPr>
          <w:rFonts w:hint="cs"/>
          <w:rtl/>
        </w:rPr>
        <w:t>أنّ القاضي إذا دفع [العبد]</w:t>
      </w:r>
      <w:r>
        <w:rPr>
          <w:rStyle w:val="a7"/>
          <w:rtl/>
        </w:rPr>
        <w:footnoteReference w:id="2446"/>
      </w:r>
      <w:r>
        <w:rPr>
          <w:rFonts w:hint="cs"/>
          <w:rtl/>
        </w:rPr>
        <w:t xml:space="preserve"> الآبـق واللقطة إلى رجل أثبت عنده أنه</w:t>
      </w:r>
      <w:r>
        <w:rPr>
          <w:rStyle w:val="a7"/>
          <w:rtl/>
        </w:rPr>
        <w:footnoteReference w:id="2447"/>
      </w:r>
      <w:r>
        <w:rPr>
          <w:rFonts w:hint="cs"/>
          <w:rtl/>
        </w:rPr>
        <w:t xml:space="preserve"> صاحبه : يأخذ منه كفيلاً</w:t>
      </w:r>
      <w:r>
        <w:rPr>
          <w:rFonts w:hint="eastAsia"/>
          <w:rtl/>
        </w:rPr>
        <w:t>»</w:t>
      </w:r>
      <w:r>
        <w:rPr>
          <w:rFonts w:hint="cs"/>
          <w:vertAlign w:val="superscript"/>
          <w:rtl/>
        </w:rPr>
        <w:t>(</w:t>
      </w:r>
      <w:r>
        <w:rPr>
          <w:rStyle w:val="a7"/>
          <w:rtl/>
        </w:rPr>
        <w:footnoteReference w:id="2448"/>
      </w:r>
      <w:r>
        <w:rPr>
          <w:rFonts w:hint="cs"/>
          <w:vertAlign w:val="superscript"/>
          <w:rtl/>
        </w:rPr>
        <w:t>)</w:t>
      </w:r>
      <w:r>
        <w:rPr>
          <w:rFonts w:hint="cs"/>
          <w:rtl/>
        </w:rPr>
        <w:t xml:space="preserve"> مع أن المدّعي أثبت دعواه بحجة تامة وهي البينة ومع هذا يكفل!.</w:t>
      </w:r>
    </w:p>
    <w:p w:rsidR="00C10469" w:rsidRDefault="00C10469">
      <w:pPr>
        <w:rPr>
          <w:rtl/>
        </w:rPr>
      </w:pPr>
      <w:r>
        <w:rPr>
          <w:rFonts w:hint="cs"/>
          <w:b/>
          <w:bCs/>
          <w:rtl/>
        </w:rPr>
        <w:lastRenderedPageBreak/>
        <w:t>أقول : ويمكن أن يجاب عنه</w:t>
      </w:r>
      <w:r>
        <w:rPr>
          <w:rFonts w:hint="cs"/>
          <w:rtl/>
        </w:rPr>
        <w:t xml:space="preserve"> : أن القاضي ليس بخصم شرعي؛ لأن الخصم الشرعي من ادعى يد الملك في المدعَى، والقاضي والمدعي يَعْتَرِ [فَانِ]</w:t>
      </w:r>
      <w:r>
        <w:rPr>
          <w:rStyle w:val="a7"/>
          <w:rtl/>
        </w:rPr>
        <w:footnoteReference w:id="2449"/>
      </w:r>
      <w:r>
        <w:rPr>
          <w:rFonts w:hint="cs"/>
          <w:rtl/>
        </w:rPr>
        <w:t xml:space="preserve"> بعدم يد الملك للقاضي، ففي إقامة المدّعي البيّنة على القاضي نوع قصور، فلا يثبت</w:t>
      </w:r>
      <w:r>
        <w:rPr>
          <w:rStyle w:val="a7"/>
          <w:rtl/>
        </w:rPr>
        <w:footnoteReference w:id="2450"/>
      </w:r>
      <w:r>
        <w:rPr>
          <w:rFonts w:hint="cs"/>
          <w:rtl/>
        </w:rPr>
        <w:t xml:space="preserve"> الملك بحجَّة تامة، فكانت هذه المسألة كالمسألة</w:t>
      </w:r>
      <w:r>
        <w:rPr>
          <w:rStyle w:val="a7"/>
          <w:rtl/>
        </w:rPr>
        <w:footnoteReference w:id="2451"/>
      </w:r>
      <w:r>
        <w:rPr>
          <w:rFonts w:hint="cs"/>
          <w:rtl/>
        </w:rPr>
        <w:t xml:space="preserve"> الأولى</w:t>
      </w:r>
      <w:r>
        <w:rPr>
          <w:rFonts w:hint="cs"/>
          <w:vertAlign w:val="superscript"/>
          <w:rtl/>
        </w:rPr>
        <w:t>(</w:t>
      </w:r>
      <w:r>
        <w:rPr>
          <w:rStyle w:val="a7"/>
          <w:rtl/>
        </w:rPr>
        <w:footnoteReference w:id="2452"/>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6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C1826" w:rsidRDefault="00C10469">
      <w:pPr>
        <w:pStyle w:val="a9"/>
        <w:rPr>
          <w:rFonts w:cs="AL-Mateen"/>
          <w:rtl/>
          <w:lang w:val="en-US"/>
        </w:rPr>
      </w:pPr>
      <w:r w:rsidRPr="006C1826">
        <w:rPr>
          <w:rFonts w:cs="AL-Mateen" w:hint="cs"/>
          <w:rtl/>
          <w:lang w:val="en-US"/>
        </w:rPr>
        <w:lastRenderedPageBreak/>
        <w:t>[ الـقـاعـدة الـثـامـنـة بـعـد الـمـائـة ]</w:t>
      </w:r>
    </w:p>
    <w:p w:rsidR="00C10469" w:rsidRDefault="00C10469">
      <w:pPr>
        <w:rPr>
          <w:rtl/>
        </w:rPr>
      </w:pPr>
      <w:r>
        <w:rPr>
          <w:rFonts w:cs="Monotype Koufi" w:hint="cs"/>
          <w:rtl/>
        </w:rPr>
        <w:t>الحاجةُ تُنَزَّلُ منزلةَ الضَّرورةِ، عامَّةً كانتْ أو خاصَّةً</w:t>
      </w:r>
      <w:r>
        <w:rPr>
          <w:rFonts w:hint="cs"/>
          <w:vertAlign w:val="superscript"/>
          <w:rtl/>
        </w:rPr>
        <w:t>(</w:t>
      </w:r>
      <w:r>
        <w:rPr>
          <w:rStyle w:val="a7"/>
          <w:rtl/>
        </w:rPr>
        <w:footnoteReference w:id="2453"/>
      </w:r>
      <w:r>
        <w:rPr>
          <w:rFonts w:hint="cs"/>
          <w:vertAlign w:val="superscript"/>
          <w:rtl/>
        </w:rPr>
        <w:t>)</w:t>
      </w:r>
      <w:r>
        <w:rPr>
          <w:rFonts w:hint="cs"/>
          <w:rtl/>
        </w:rPr>
        <w:t xml:space="preserve"> :</w:t>
      </w:r>
    </w:p>
    <w:p w:rsidR="00C10469" w:rsidRDefault="00C10469" w:rsidP="00C10469">
      <w:pPr>
        <w:ind w:left="989" w:hanging="422"/>
        <w:rPr>
          <w:spacing w:val="6"/>
          <w:rtl/>
        </w:rPr>
      </w:pPr>
      <w:r>
        <w:rPr>
          <w:spacing w:val="6"/>
          <w:rtl/>
        </w:rPr>
        <w:t>•</w:t>
      </w:r>
      <w:r>
        <w:rPr>
          <w:rFonts w:hint="cs"/>
          <w:spacing w:val="6"/>
          <w:rtl/>
        </w:rPr>
        <w:t xml:space="preserve">  </w:t>
      </w:r>
      <w:r>
        <w:rPr>
          <w:rFonts w:hint="eastAsia"/>
          <w:spacing w:val="6"/>
          <w:rtl/>
        </w:rPr>
        <w:t>«</w:t>
      </w:r>
      <w:r>
        <w:rPr>
          <w:rFonts w:hint="cs"/>
          <w:spacing w:val="6"/>
          <w:rtl/>
        </w:rPr>
        <w:t xml:space="preserve"> جُوزت</w:t>
      </w:r>
      <w:r>
        <w:rPr>
          <w:rStyle w:val="a7"/>
          <w:spacing w:val="6"/>
          <w:rtl/>
        </w:rPr>
        <w:footnoteReference w:id="2454"/>
      </w:r>
      <w:r>
        <w:rPr>
          <w:rFonts w:hint="cs"/>
          <w:spacing w:val="6"/>
          <w:rtl/>
        </w:rPr>
        <w:t xml:space="preserve"> الإجارة على خلاف القياس؛ للحاجة؛ ولذا قلنا : لا يجوز إجارة بيتٍ بمنـا</w:t>
      </w:r>
      <w:r>
        <w:rPr>
          <w:rFonts w:hint="cs"/>
          <w:rtl/>
        </w:rPr>
        <w:t>فع</w:t>
      </w:r>
      <w:r>
        <w:rPr>
          <w:rFonts w:hint="cs"/>
          <w:spacing w:val="6"/>
          <w:rtl/>
        </w:rPr>
        <w:t xml:space="preserve"> بيتٍ؛ لاتحاد جنس المنفعة، فلا حاجة، بخلاف ما إذا اختلف</w:t>
      </w:r>
      <w:r>
        <w:rPr>
          <w:rStyle w:val="a7"/>
          <w:spacing w:val="6"/>
          <w:rtl/>
        </w:rPr>
        <w:footnoteReference w:id="2455"/>
      </w:r>
      <w:r>
        <w:rPr>
          <w:rFonts w:hint="cs"/>
          <w:spacing w:val="6"/>
          <w:rtl/>
        </w:rPr>
        <w:t>.</w:t>
      </w:r>
    </w:p>
    <w:p w:rsidR="00C10469" w:rsidRDefault="00C10469" w:rsidP="00C10469">
      <w:pPr>
        <w:ind w:left="989" w:hanging="422"/>
        <w:rPr>
          <w:rtl/>
        </w:rPr>
      </w:pPr>
      <w:r>
        <w:rPr>
          <w:b/>
          <w:bCs/>
          <w:rtl/>
        </w:rPr>
        <w:lastRenderedPageBreak/>
        <w:t>•</w:t>
      </w:r>
      <w:r>
        <w:rPr>
          <w:rFonts w:hint="cs"/>
          <w:b/>
          <w:bCs/>
          <w:rtl/>
        </w:rPr>
        <w:t xml:space="preserve">  ومنها</w:t>
      </w:r>
      <w:r>
        <w:rPr>
          <w:rFonts w:hint="cs"/>
          <w:rtl/>
        </w:rPr>
        <w:t xml:space="preserve"> : ضمان الدّرْك</w:t>
      </w:r>
      <w:r>
        <w:rPr>
          <w:rFonts w:hint="cs"/>
          <w:vertAlign w:val="superscript"/>
          <w:rtl/>
        </w:rPr>
        <w:t>(</w:t>
      </w:r>
      <w:r>
        <w:rPr>
          <w:rStyle w:val="a7"/>
          <w:rtl/>
        </w:rPr>
        <w:footnoteReference w:id="2456"/>
      </w:r>
      <w:r>
        <w:rPr>
          <w:rFonts w:hint="cs"/>
          <w:vertAlign w:val="superscript"/>
          <w:rtl/>
        </w:rPr>
        <w:t>)</w:t>
      </w:r>
      <w:r>
        <w:rPr>
          <w:rFonts w:hint="cs"/>
          <w:rtl/>
        </w:rPr>
        <w:t xml:space="preserve"> جُوِّز على خلاف القياس.</w:t>
      </w:r>
      <w:r>
        <w:rPr>
          <w:rStyle w:val="a7"/>
          <w:rtl/>
        </w:rPr>
        <w:footnoteReference w:id="2457"/>
      </w:r>
      <w:r>
        <w:rPr>
          <w:rFonts w:hint="cs"/>
          <w:vertAlign w:val="superscript"/>
          <w:rtl/>
        </w:rPr>
        <w:t>(</w:t>
      </w:r>
      <w:r>
        <w:rPr>
          <w:rStyle w:val="a7"/>
          <w:rtl/>
        </w:rPr>
        <w:footnoteReference w:id="2458"/>
      </w:r>
      <w:r>
        <w:rPr>
          <w:rFonts w:hint="cs"/>
          <w:vertAlign w:val="superscript"/>
          <w:rtl/>
        </w:rPr>
        <w:t>)</w:t>
      </w:r>
    </w:p>
    <w:p w:rsidR="00C10469" w:rsidRDefault="00C10469" w:rsidP="00C10469">
      <w:pPr>
        <w:ind w:left="989" w:hanging="422"/>
        <w:rPr>
          <w:rtl/>
        </w:rPr>
      </w:pPr>
      <w:r>
        <w:rPr>
          <w:b/>
          <w:bCs/>
          <w:rtl/>
        </w:rPr>
        <w:lastRenderedPageBreak/>
        <w:t>•</w:t>
      </w:r>
      <w:r>
        <w:rPr>
          <w:rFonts w:hint="cs"/>
          <w:b/>
          <w:bCs/>
          <w:rtl/>
        </w:rPr>
        <w:t xml:space="preserve">  ومـن ذلك</w:t>
      </w:r>
      <w:r>
        <w:rPr>
          <w:rFonts w:hint="cs"/>
          <w:rtl/>
        </w:rPr>
        <w:t xml:space="preserve"> : جـواز  الـسّــلم</w:t>
      </w:r>
      <w:r>
        <w:rPr>
          <w:rStyle w:val="a7"/>
          <w:rtl/>
        </w:rPr>
        <w:footnoteReference w:id="2459"/>
      </w:r>
      <w:r>
        <w:rPr>
          <w:rFonts w:hint="cs"/>
          <w:rtl/>
        </w:rPr>
        <w:t>؛ دفعًا لحاجة المفاليس.</w:t>
      </w:r>
    </w:p>
    <w:p w:rsidR="00C10469" w:rsidRDefault="00C10469" w:rsidP="00C10469">
      <w:pPr>
        <w:ind w:left="989" w:hanging="422"/>
        <w:rPr>
          <w:rtl/>
        </w:rPr>
      </w:pPr>
      <w:r>
        <w:rPr>
          <w:b/>
          <w:bCs/>
          <w:rtl/>
        </w:rPr>
        <w:t>•</w:t>
      </w:r>
      <w:r>
        <w:rPr>
          <w:rFonts w:hint="cs"/>
          <w:b/>
          <w:bCs/>
          <w:rtl/>
        </w:rPr>
        <w:t xml:space="preserve">  ومـنـهـا</w:t>
      </w:r>
      <w:r>
        <w:rPr>
          <w:rFonts w:hint="cs"/>
          <w:rtl/>
        </w:rPr>
        <w:t xml:space="preserve"> : جواز الاستصناع</w:t>
      </w:r>
      <w:r>
        <w:rPr>
          <w:rFonts w:hint="cs"/>
          <w:vertAlign w:val="superscript"/>
          <w:rtl/>
        </w:rPr>
        <w:t>(</w:t>
      </w:r>
      <w:r>
        <w:rPr>
          <w:rStyle w:val="a7"/>
          <w:rtl/>
        </w:rPr>
        <w:footnoteReference w:id="2460"/>
      </w:r>
      <w:r>
        <w:rPr>
          <w:rFonts w:hint="cs"/>
          <w:vertAlign w:val="superscript"/>
          <w:rtl/>
        </w:rPr>
        <w:t>)</w:t>
      </w:r>
      <w:r>
        <w:rPr>
          <w:rFonts w:hint="cs"/>
          <w:rtl/>
        </w:rPr>
        <w:t>؛ للحاجة.</w:t>
      </w:r>
    </w:p>
    <w:p w:rsidR="00C10469" w:rsidRDefault="00C10469" w:rsidP="00C10469">
      <w:pPr>
        <w:ind w:left="989" w:hanging="422"/>
        <w:rPr>
          <w:rtl/>
        </w:rPr>
      </w:pPr>
      <w:r>
        <w:rPr>
          <w:rtl/>
        </w:rPr>
        <w:t>•</w:t>
      </w:r>
      <w:r>
        <w:rPr>
          <w:rFonts w:hint="cs"/>
          <w:rtl/>
        </w:rPr>
        <w:t xml:space="preserve">  ودخـول الـحمّام مع جهالة مكـثه فيها</w:t>
      </w:r>
      <w:r>
        <w:rPr>
          <w:rFonts w:hint="cs"/>
          <w:vertAlign w:val="superscript"/>
          <w:rtl/>
        </w:rPr>
        <w:t>(</w:t>
      </w:r>
      <w:r>
        <w:rPr>
          <w:rStyle w:val="a7"/>
          <w:rtl/>
        </w:rPr>
        <w:footnoteReference w:id="2461"/>
      </w:r>
      <w:r>
        <w:rPr>
          <w:rFonts w:hint="cs"/>
          <w:vertAlign w:val="superscript"/>
          <w:rtl/>
        </w:rPr>
        <w:t>)</w:t>
      </w:r>
      <w:r>
        <w:rPr>
          <w:rFonts w:hint="cs"/>
          <w:rtl/>
        </w:rPr>
        <w:t>، وما يستعمله من مائها، وشربه من السقاء.</w:t>
      </w:r>
    </w:p>
    <w:p w:rsidR="00C10469" w:rsidRPr="00094CB2" w:rsidRDefault="00C10469" w:rsidP="00C10469">
      <w:pPr>
        <w:ind w:left="989" w:hanging="422"/>
        <w:rPr>
          <w:spacing w:val="2"/>
          <w:rtl/>
        </w:rPr>
      </w:pPr>
      <w:r w:rsidRPr="00094CB2">
        <w:rPr>
          <w:b/>
          <w:bCs/>
          <w:spacing w:val="2"/>
          <w:rtl/>
        </w:rPr>
        <w:t>•</w:t>
      </w:r>
      <w:r w:rsidRPr="00094CB2">
        <w:rPr>
          <w:rFonts w:hint="cs"/>
          <w:b/>
          <w:bCs/>
          <w:spacing w:val="2"/>
          <w:rtl/>
        </w:rPr>
        <w:t xml:space="preserve">  ومنها</w:t>
      </w:r>
      <w:r w:rsidRPr="00094CB2">
        <w:rPr>
          <w:rFonts w:hint="cs"/>
          <w:spacing w:val="2"/>
          <w:rtl/>
        </w:rPr>
        <w:t xml:space="preserve">  : الإفـتاء بـصحة بـيع الـوفـاء</w:t>
      </w:r>
      <w:r w:rsidRPr="00094CB2">
        <w:rPr>
          <w:rFonts w:hint="cs"/>
          <w:spacing w:val="2"/>
          <w:vertAlign w:val="superscript"/>
          <w:rtl/>
        </w:rPr>
        <w:t>(</w:t>
      </w:r>
      <w:r w:rsidRPr="00094CB2">
        <w:rPr>
          <w:rStyle w:val="a7"/>
          <w:spacing w:val="2"/>
          <w:rtl/>
        </w:rPr>
        <w:footnoteReference w:id="2462"/>
      </w:r>
      <w:r w:rsidRPr="00094CB2">
        <w:rPr>
          <w:rFonts w:hint="cs"/>
          <w:spacing w:val="2"/>
          <w:vertAlign w:val="superscript"/>
          <w:rtl/>
        </w:rPr>
        <w:t>)</w:t>
      </w:r>
      <w:r>
        <w:rPr>
          <w:rFonts w:hint="cs"/>
          <w:spacing w:val="2"/>
          <w:rtl/>
        </w:rPr>
        <w:t xml:space="preserve"> </w:t>
      </w:r>
      <w:r w:rsidRPr="00094CB2">
        <w:rPr>
          <w:rFonts w:hint="cs"/>
          <w:spacing w:val="2"/>
          <w:rtl/>
        </w:rPr>
        <w:t>،  وقـد سـمّـوه بـيـع</w:t>
      </w:r>
    </w:p>
    <w:p w:rsidR="00C10469" w:rsidRDefault="00C10469" w:rsidP="00C10469">
      <w:pPr>
        <w:ind w:left="989" w:hanging="422"/>
        <w:rPr>
          <w:rtl/>
        </w:rPr>
      </w:pPr>
      <w:r>
        <w:rPr>
          <w:rFonts w:hint="cs"/>
          <w:rtl/>
        </w:rPr>
        <w:lastRenderedPageBreak/>
        <w:t xml:space="preserve">    الأمانة</w:t>
      </w:r>
      <w:r>
        <w:rPr>
          <w:rFonts w:hint="cs"/>
          <w:vertAlign w:val="superscript"/>
          <w:rtl/>
        </w:rPr>
        <w:t>(</w:t>
      </w:r>
      <w:r>
        <w:rPr>
          <w:rStyle w:val="a7"/>
          <w:rtl/>
        </w:rPr>
        <w:footnoteReference w:id="2463"/>
      </w:r>
      <w:r>
        <w:rPr>
          <w:rFonts w:hint="cs"/>
          <w:vertAlign w:val="superscript"/>
          <w:rtl/>
        </w:rPr>
        <w:t>)</w:t>
      </w:r>
      <w:r>
        <w:rPr>
          <w:rFonts w:hint="cs"/>
          <w:rtl/>
        </w:rPr>
        <w:t>. والشافعية يسمونه [الرهن]</w:t>
      </w:r>
      <w:r>
        <w:rPr>
          <w:rStyle w:val="a7"/>
          <w:rtl/>
        </w:rPr>
        <w:footnoteReference w:id="2464"/>
      </w:r>
      <w:r>
        <w:rPr>
          <w:rFonts w:hint="cs"/>
          <w:rtl/>
        </w:rPr>
        <w:t xml:space="preserve"> المعاد</w:t>
      </w:r>
      <w:r>
        <w:rPr>
          <w:rFonts w:hint="cs"/>
          <w:vertAlign w:val="superscript"/>
          <w:rtl/>
        </w:rPr>
        <w:t>(</w:t>
      </w:r>
      <w:r>
        <w:rPr>
          <w:rStyle w:val="a7"/>
          <w:rtl/>
        </w:rPr>
        <w:footnoteReference w:id="2465"/>
      </w:r>
      <w:r>
        <w:rPr>
          <w:rFonts w:hint="cs"/>
          <w:vertAlign w:val="superscript"/>
          <w:rtl/>
        </w:rPr>
        <w:t>)</w:t>
      </w:r>
      <w:r>
        <w:rPr>
          <w:rFonts w:hint="cs"/>
          <w:rtl/>
        </w:rPr>
        <w:t>.</w:t>
      </w:r>
    </w:p>
    <w:p w:rsidR="00C10469" w:rsidRDefault="00C10469" w:rsidP="00C10469">
      <w:pPr>
        <w:ind w:left="989" w:hanging="422"/>
        <w:rPr>
          <w:rtl/>
        </w:rPr>
      </w:pPr>
      <w:r>
        <w:rPr>
          <w:rtl/>
        </w:rPr>
        <w:t>•</w:t>
      </w:r>
      <w:r>
        <w:rPr>
          <w:rFonts w:hint="cs"/>
          <w:rtl/>
        </w:rPr>
        <w:t xml:space="preserve">  وفي (القنية) : يجوز للمحتاج الاستقراض بالرّبح</w:t>
      </w:r>
      <w:r>
        <w:rPr>
          <w:rFonts w:hint="eastAsia"/>
          <w:rtl/>
        </w:rPr>
        <w:t>»</w:t>
      </w:r>
      <w:r>
        <w:rPr>
          <w:rFonts w:hint="cs"/>
          <w:vertAlign w:val="superscript"/>
          <w:rtl/>
        </w:rPr>
        <w:t>(</w:t>
      </w:r>
      <w:r>
        <w:rPr>
          <w:rStyle w:val="a7"/>
          <w:rtl/>
        </w:rPr>
        <w:footnoteReference w:id="2466"/>
      </w:r>
      <w:r>
        <w:rPr>
          <w:rFonts w:hint="cs"/>
          <w:vertAlign w:val="superscript"/>
          <w:rtl/>
        </w:rPr>
        <w:t>)</w:t>
      </w:r>
      <w:r>
        <w:rPr>
          <w:rFonts w:hint="cs"/>
          <w:rtl/>
        </w:rPr>
        <w:t>.</w:t>
      </w:r>
    </w:p>
    <w:p w:rsidR="00C10469" w:rsidRDefault="00C10469">
      <w:pPr>
        <w:rPr>
          <w:rtl/>
        </w:rPr>
      </w:pPr>
      <w:r>
        <w:rPr>
          <w:rFonts w:hint="cs"/>
          <w:b/>
          <w:bCs/>
          <w:rtl/>
        </w:rPr>
        <w:lastRenderedPageBreak/>
        <w:t>وخرج</w:t>
      </w:r>
      <w:r>
        <w:rPr>
          <w:rFonts w:hint="cs"/>
          <w:rtl/>
        </w:rPr>
        <w:t xml:space="preserve"> عن هذه القاعدة :</w:t>
      </w:r>
    </w:p>
    <w:p w:rsidR="00C10469" w:rsidRDefault="00C10469" w:rsidP="00C10469">
      <w:pPr>
        <w:ind w:left="989" w:hanging="269"/>
        <w:rPr>
          <w:rtl/>
        </w:rPr>
      </w:pPr>
      <w:r>
        <w:rPr>
          <w:rtl/>
        </w:rPr>
        <w:t>•</w:t>
      </w:r>
      <w:r>
        <w:rPr>
          <w:rFonts w:hint="cs"/>
          <w:rtl/>
        </w:rPr>
        <w:t xml:space="preserve">   أن </w:t>
      </w:r>
      <w:r>
        <w:rPr>
          <w:rFonts w:hint="eastAsia"/>
          <w:rtl/>
        </w:rPr>
        <w:t>«</w:t>
      </w:r>
      <w:r>
        <w:rPr>
          <w:rFonts w:hint="cs"/>
          <w:rtl/>
        </w:rPr>
        <w:t>شهادة أهل السجن فيما يقع [بينهم]</w:t>
      </w:r>
      <w:r>
        <w:rPr>
          <w:rStyle w:val="a7"/>
          <w:rtl/>
        </w:rPr>
        <w:footnoteReference w:id="2467"/>
      </w:r>
      <w:r>
        <w:rPr>
          <w:rFonts w:hint="cs"/>
          <w:rtl/>
        </w:rPr>
        <w:t>.</w:t>
      </w:r>
    </w:p>
    <w:p w:rsidR="00C10469" w:rsidRDefault="00C10469" w:rsidP="00C10469">
      <w:pPr>
        <w:ind w:left="989" w:hanging="269"/>
        <w:rPr>
          <w:rtl/>
        </w:rPr>
      </w:pPr>
      <w:r>
        <w:rPr>
          <w:rtl/>
        </w:rPr>
        <w:t>•</w:t>
      </w:r>
      <w:r>
        <w:rPr>
          <w:rFonts w:hint="cs"/>
          <w:rtl/>
        </w:rPr>
        <w:t xml:space="preserve">   [وشهادة]</w:t>
      </w:r>
      <w:r>
        <w:rPr>
          <w:rStyle w:val="a7"/>
          <w:rtl/>
        </w:rPr>
        <w:footnoteReference w:id="2468"/>
      </w:r>
      <w:r>
        <w:rPr>
          <w:rFonts w:hint="cs"/>
          <w:rtl/>
        </w:rPr>
        <w:t xml:space="preserve"> الصبيان فيما يقع بينهم في الملاعبة.</w:t>
      </w:r>
    </w:p>
    <w:p w:rsidR="00C10469" w:rsidRDefault="00C10469" w:rsidP="00C10469">
      <w:pPr>
        <w:ind w:left="989" w:hanging="269"/>
        <w:rPr>
          <w:spacing w:val="-8"/>
          <w:rtl/>
        </w:rPr>
      </w:pPr>
      <w:r>
        <w:rPr>
          <w:spacing w:val="-8"/>
          <w:rtl/>
        </w:rPr>
        <w:t>•</w:t>
      </w:r>
      <w:r>
        <w:rPr>
          <w:rFonts w:hint="cs"/>
          <w:spacing w:val="-8"/>
          <w:rtl/>
        </w:rPr>
        <w:t xml:space="preserve">   وشهادة النّساء فيما يقع في الحمامات: لا تقبل، وإن</w:t>
      </w:r>
      <w:r>
        <w:rPr>
          <w:rStyle w:val="a7"/>
          <w:spacing w:val="-8"/>
          <w:rtl/>
        </w:rPr>
        <w:footnoteReference w:id="2469"/>
      </w:r>
      <w:r>
        <w:rPr>
          <w:rFonts w:hint="cs"/>
          <w:spacing w:val="-8"/>
          <w:rtl/>
        </w:rPr>
        <w:t xml:space="preserve"> مسّت الحاجة إليه</w:t>
      </w:r>
      <w:r>
        <w:rPr>
          <w:rFonts w:hint="cs"/>
          <w:spacing w:val="-8"/>
          <w:vertAlign w:val="superscript"/>
          <w:rtl/>
        </w:rPr>
        <w:t>(</w:t>
      </w:r>
      <w:r>
        <w:rPr>
          <w:rStyle w:val="a7"/>
          <w:spacing w:val="-8"/>
          <w:rtl/>
        </w:rPr>
        <w:footnoteReference w:id="2470"/>
      </w:r>
      <w:r>
        <w:rPr>
          <w:rFonts w:hint="cs"/>
          <w:spacing w:val="-8"/>
          <w:vertAlign w:val="superscript"/>
          <w:rtl/>
        </w:rPr>
        <w:t>)</w:t>
      </w:r>
      <w:r>
        <w:rPr>
          <w:rFonts w:hint="cs"/>
          <w:spacing w:val="-8"/>
          <w:rtl/>
        </w:rPr>
        <w:t>!.</w:t>
      </w:r>
    </w:p>
    <w:p w:rsidR="00C10469" w:rsidRDefault="00C10469">
      <w:pPr>
        <w:rPr>
          <w:rtl/>
        </w:rPr>
      </w:pPr>
      <w:r>
        <w:rPr>
          <w:rFonts w:hint="cs"/>
          <w:b/>
          <w:bCs/>
          <w:rtl/>
        </w:rPr>
        <w:lastRenderedPageBreak/>
        <w:t>والجواب</w:t>
      </w:r>
      <w:r>
        <w:rPr>
          <w:rFonts w:hint="cs"/>
          <w:rtl/>
        </w:rPr>
        <w:t xml:space="preserve"> : أن الشرع شَرَعَ لذلك طريقًا، وهو [الامتناع]</w:t>
      </w:r>
      <w:r>
        <w:rPr>
          <w:rFonts w:hint="cs"/>
          <w:vertAlign w:val="superscript"/>
          <w:rtl/>
        </w:rPr>
        <w:t>(</w:t>
      </w:r>
      <w:r>
        <w:rPr>
          <w:rStyle w:val="a7"/>
          <w:rtl/>
        </w:rPr>
        <w:footnoteReference w:id="2471"/>
      </w:r>
      <w:r>
        <w:rPr>
          <w:rFonts w:hint="cs"/>
          <w:vertAlign w:val="superscript"/>
          <w:rtl/>
        </w:rPr>
        <w:t>)</w:t>
      </w:r>
      <w:r>
        <w:rPr>
          <w:rFonts w:hint="cs"/>
          <w:rtl/>
        </w:rPr>
        <w:t xml:space="preserve"> عن حضور الملاعب</w:t>
      </w:r>
      <w:r>
        <w:rPr>
          <w:rStyle w:val="a7"/>
          <w:rtl/>
        </w:rPr>
        <w:footnoteReference w:id="2472"/>
      </w:r>
      <w:r>
        <w:rPr>
          <w:rFonts w:hint="cs"/>
          <w:rtl/>
        </w:rPr>
        <w:t>، وعمّا يستحق به</w:t>
      </w:r>
      <w:r>
        <w:rPr>
          <w:rStyle w:val="a7"/>
          <w:rtl/>
        </w:rPr>
        <w:footnoteReference w:id="2473"/>
      </w:r>
      <w:r>
        <w:rPr>
          <w:rFonts w:hint="cs"/>
          <w:rtl/>
        </w:rPr>
        <w:t xml:space="preserve"> الدخول في السجن، ومنع النِّساء عن الحمام، فإذا لم</w:t>
      </w:r>
      <w:r>
        <w:rPr>
          <w:rStyle w:val="a7"/>
          <w:rtl/>
        </w:rPr>
        <w:footnoteReference w:id="2474"/>
      </w:r>
      <w:r>
        <w:rPr>
          <w:rFonts w:hint="cs"/>
          <w:rtl/>
        </w:rPr>
        <w:t xml:space="preserve"> [يمتثلوا]</w:t>
      </w:r>
      <w:r>
        <w:rPr>
          <w:rStyle w:val="a7"/>
          <w:rtl/>
        </w:rPr>
        <w:footnoteReference w:id="2475"/>
      </w:r>
      <w:r>
        <w:rPr>
          <w:rFonts w:hint="cs"/>
          <w:rtl/>
        </w:rPr>
        <w:t xml:space="preserve"> كان التقصير مضافًا إليهم، لا إلى الشرع.</w:t>
      </w:r>
    </w:p>
    <w:p w:rsidR="00C10469" w:rsidRDefault="00C10469">
      <w:pPr>
        <w:rPr>
          <w:rtl/>
        </w:rPr>
      </w:pPr>
      <w:r>
        <w:rPr>
          <w:rFonts w:hint="cs"/>
          <w:rtl/>
        </w:rPr>
        <w:t>كذا في (البزَّازيَّة)</w:t>
      </w:r>
      <w:r>
        <w:rPr>
          <w:rFonts w:hint="eastAsia"/>
          <w:rtl/>
        </w:rPr>
        <w:t>»</w:t>
      </w:r>
      <w:r>
        <w:rPr>
          <w:rFonts w:hint="cs"/>
          <w:vertAlign w:val="superscript"/>
          <w:rtl/>
        </w:rPr>
        <w:t xml:space="preserve"> (</w:t>
      </w:r>
      <w:r>
        <w:rPr>
          <w:rStyle w:val="a7"/>
          <w:rtl/>
        </w:rPr>
        <w:footnoteReference w:id="2476"/>
      </w:r>
      <w:r>
        <w:rPr>
          <w:rFonts w:hint="cs"/>
          <w:vertAlign w:val="superscript"/>
          <w:rtl/>
        </w:rPr>
        <w:t>)</w:t>
      </w:r>
      <w:r>
        <w:rPr>
          <w:rFonts w:hint="cs"/>
          <w:rtl/>
        </w:rPr>
        <w:t>.</w:t>
      </w: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6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910755" w:rsidRDefault="00C10469">
      <w:pPr>
        <w:pStyle w:val="a9"/>
        <w:rPr>
          <w:rFonts w:cs="AL-Mateen"/>
          <w:rtl/>
        </w:rPr>
      </w:pPr>
      <w:r w:rsidRPr="00910755">
        <w:rPr>
          <w:rFonts w:cs="AL-Mateen" w:hint="cs"/>
          <w:rtl/>
        </w:rPr>
        <w:lastRenderedPageBreak/>
        <w:t>[ الـقـاعـدة الـتـاسـعـة بـعـد الـمـائـة ]</w:t>
      </w:r>
    </w:p>
    <w:p w:rsidR="00C10469" w:rsidRDefault="00C10469">
      <w:pPr>
        <w:pStyle w:val="aa"/>
        <w:rPr>
          <w:bCs w:val="0"/>
          <w:rtl/>
        </w:rPr>
      </w:pPr>
      <w:r>
        <w:rPr>
          <w:rFonts w:hint="cs"/>
          <w:bCs w:val="0"/>
          <w:rtl/>
        </w:rPr>
        <w:t>الحادثُ يُضَافُ إلى أقربِ الأوقَاتِ :</w:t>
      </w:r>
    </w:p>
    <w:p w:rsidR="00C10469" w:rsidRDefault="00C10469">
      <w:pPr>
        <w:rPr>
          <w:spacing w:val="8"/>
          <w:rtl/>
        </w:rPr>
      </w:pPr>
      <w:r>
        <w:rPr>
          <w:rFonts w:hint="cs"/>
          <w:spacing w:val="8"/>
          <w:rtl/>
        </w:rPr>
        <w:t xml:space="preserve">هذا </w:t>
      </w:r>
      <w:r>
        <w:rPr>
          <w:rFonts w:hint="cs"/>
          <w:rtl/>
        </w:rPr>
        <w:t>الأصل مذكور</w:t>
      </w:r>
      <w:r>
        <w:rPr>
          <w:rFonts w:hint="cs"/>
          <w:spacing w:val="8"/>
          <w:rtl/>
        </w:rPr>
        <w:t xml:space="preserve"> في باب الألف بعبارة أخرى، وهي: </w:t>
      </w:r>
      <w:r>
        <w:rPr>
          <w:rFonts w:hint="eastAsia"/>
          <w:spacing w:val="8"/>
          <w:rtl/>
        </w:rPr>
        <w:t>«</w:t>
      </w:r>
      <w:r>
        <w:rPr>
          <w:rFonts w:hint="cs"/>
          <w:spacing w:val="8"/>
          <w:rtl/>
        </w:rPr>
        <w:t>الأصل إضافة الحادث إلى أقرب أوقاته</w:t>
      </w:r>
      <w:r>
        <w:rPr>
          <w:rFonts w:hint="eastAsia"/>
          <w:spacing w:val="8"/>
          <w:rtl/>
        </w:rPr>
        <w:t>»</w:t>
      </w:r>
      <w:r>
        <w:rPr>
          <w:rFonts w:hint="cs"/>
          <w:spacing w:val="8"/>
          <w:vertAlign w:val="superscript"/>
          <w:rtl/>
        </w:rPr>
        <w:t>(</w:t>
      </w:r>
      <w:r>
        <w:rPr>
          <w:rStyle w:val="a7"/>
          <w:spacing w:val="8"/>
          <w:rtl/>
        </w:rPr>
        <w:footnoteReference w:id="2477"/>
      </w:r>
      <w:r>
        <w:rPr>
          <w:rFonts w:hint="cs"/>
          <w:spacing w:val="8"/>
          <w:vertAlign w:val="superscript"/>
          <w:rtl/>
        </w:rPr>
        <w:t>)</w:t>
      </w:r>
      <w:r>
        <w:rPr>
          <w:rFonts w:hint="cs"/>
          <w:spacing w:val="8"/>
          <w:rtl/>
        </w:rPr>
        <w:t>، فيكتفى بما ذكر فيها من الفروع والأحكام، فلا حاجة إلى</w:t>
      </w:r>
      <w:r>
        <w:rPr>
          <w:rStyle w:val="a7"/>
          <w:spacing w:val="8"/>
          <w:rtl/>
        </w:rPr>
        <w:footnoteReference w:id="2478"/>
      </w:r>
      <w:r>
        <w:rPr>
          <w:rFonts w:hint="cs"/>
          <w:spacing w:val="8"/>
          <w:rtl/>
        </w:rPr>
        <w:t xml:space="preserve"> زيادة التفصيل.</w:t>
      </w:r>
    </w:p>
    <w:p w:rsidR="00C10469" w:rsidRDefault="00C10469">
      <w:pPr>
        <w:rPr>
          <w:spacing w:val="8"/>
          <w:rtl/>
        </w:rPr>
      </w:pPr>
    </w:p>
    <w:p w:rsidR="00C10469" w:rsidRDefault="00C10469">
      <w:pPr>
        <w:rPr>
          <w:spacing w:val="8"/>
          <w:rtl/>
        </w:rPr>
      </w:pPr>
    </w:p>
    <w:p w:rsidR="00C10469" w:rsidRDefault="00C10469">
      <w:pPr>
        <w:rPr>
          <w:spacing w:val="8"/>
          <w:rtl/>
        </w:rPr>
      </w:pPr>
    </w:p>
    <w:p w:rsidR="00C10469" w:rsidRDefault="00C10469">
      <w:pPr>
        <w:jc w:val="center"/>
        <w:rPr>
          <w:spacing w:val="8"/>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3383"/>
        </w:tabs>
        <w:rPr>
          <w:spacing w:val="8"/>
          <w:rtl/>
        </w:rPr>
        <w:sectPr w:rsidR="00C10469" w:rsidSect="00C10469">
          <w:headerReference w:type="default" r:id="rId165"/>
          <w:footnotePr>
            <w:pos w:val="beneathText"/>
            <w:numRestart w:val="eachPage"/>
          </w:footnotePr>
          <w:endnotePr>
            <w:numFmt w:val="decimal"/>
          </w:endnotePr>
          <w:pgSz w:w="11906" w:h="16838" w:code="9"/>
          <w:pgMar w:top="2268" w:right="1985" w:bottom="1418" w:left="1418" w:header="680" w:footer="851" w:gutter="284"/>
          <w:cols w:space="720"/>
          <w:bidi/>
          <w:rtlGutter/>
        </w:sectPr>
      </w:pPr>
      <w:r>
        <w:rPr>
          <w:spacing w:val="8"/>
          <w:rtl/>
        </w:rPr>
        <w:tab/>
      </w:r>
    </w:p>
    <w:p w:rsidR="00C10469" w:rsidRPr="000A10B2" w:rsidRDefault="00C10469">
      <w:pPr>
        <w:pStyle w:val="a9"/>
        <w:rPr>
          <w:rFonts w:cs="AL-Mateen"/>
          <w:rtl/>
        </w:rPr>
      </w:pPr>
      <w:r w:rsidRPr="000A10B2">
        <w:rPr>
          <w:rFonts w:cs="AL-Mateen" w:hint="cs"/>
          <w:rtl/>
        </w:rPr>
        <w:lastRenderedPageBreak/>
        <w:t>[ الـقـاعـدة الـعـاشـرة بـعـد الـمـائـة ]</w:t>
      </w:r>
    </w:p>
    <w:p w:rsidR="00C10469" w:rsidRDefault="00C10469">
      <w:pPr>
        <w:rPr>
          <w:rtl/>
        </w:rPr>
      </w:pPr>
      <w:r>
        <w:rPr>
          <w:rFonts w:cs="Monotype Koufi" w:hint="cs"/>
          <w:rtl/>
        </w:rPr>
        <w:t>الحالُ [تَدُلُّ]</w:t>
      </w:r>
      <w:r>
        <w:rPr>
          <w:rStyle w:val="a7"/>
          <w:rtl/>
        </w:rPr>
        <w:footnoteReference w:id="2479"/>
      </w:r>
      <w:r>
        <w:rPr>
          <w:rFonts w:cs="Monotype Koufi" w:hint="cs"/>
          <w:rtl/>
        </w:rPr>
        <w:t xml:space="preserve"> على [ما]</w:t>
      </w:r>
      <w:r>
        <w:rPr>
          <w:rStyle w:val="a7"/>
          <w:rtl/>
        </w:rPr>
        <w:footnoteReference w:id="2480"/>
      </w:r>
      <w:r>
        <w:rPr>
          <w:rFonts w:cs="Monotype Koufi" w:hint="cs"/>
          <w:rtl/>
        </w:rPr>
        <w:t xml:space="preserve"> قَبْلَهَا</w:t>
      </w:r>
      <w:r>
        <w:rPr>
          <w:rFonts w:hint="cs"/>
          <w:vertAlign w:val="superscript"/>
          <w:rtl/>
        </w:rPr>
        <w:t>(</w:t>
      </w:r>
      <w:r>
        <w:rPr>
          <w:rStyle w:val="a7"/>
          <w:rtl/>
        </w:rPr>
        <w:footnoteReference w:id="2481"/>
      </w:r>
      <w:r>
        <w:rPr>
          <w:rFonts w:hint="cs"/>
          <w:vertAlign w:val="superscript"/>
          <w:rtl/>
        </w:rPr>
        <w:t>)</w:t>
      </w:r>
      <w:r>
        <w:rPr>
          <w:rFonts w:hint="cs"/>
          <w:rtl/>
        </w:rPr>
        <w:t xml:space="preserve"> :</w:t>
      </w:r>
    </w:p>
    <w:p w:rsidR="00C10469" w:rsidRDefault="00C10469">
      <w:pPr>
        <w:rPr>
          <w:spacing w:val="-4"/>
          <w:rtl/>
        </w:rPr>
      </w:pPr>
      <w:r>
        <w:rPr>
          <w:rFonts w:hint="cs"/>
          <w:b/>
          <w:bCs/>
          <w:spacing w:val="-4"/>
          <w:rtl/>
        </w:rPr>
        <w:t>فلهذا</w:t>
      </w:r>
      <w:r>
        <w:rPr>
          <w:rFonts w:hint="cs"/>
          <w:spacing w:val="-4"/>
          <w:rtl/>
        </w:rPr>
        <w:t xml:space="preserve"> : إذا </w:t>
      </w:r>
      <w:r>
        <w:rPr>
          <w:rFonts w:hint="eastAsia"/>
          <w:spacing w:val="-4"/>
          <w:rtl/>
        </w:rPr>
        <w:t>«</w:t>
      </w:r>
      <w:r>
        <w:rPr>
          <w:rFonts w:hint="cs"/>
          <w:spacing w:val="-4"/>
          <w:rtl/>
        </w:rPr>
        <w:t>مات ذمِّيّ، فقالت</w:t>
      </w:r>
      <w:r>
        <w:rPr>
          <w:rStyle w:val="a7"/>
          <w:spacing w:val="-4"/>
          <w:rtl/>
        </w:rPr>
        <w:footnoteReference w:id="2482"/>
      </w:r>
      <w:r>
        <w:rPr>
          <w:rFonts w:hint="cs"/>
          <w:spacing w:val="-4"/>
          <w:rtl/>
        </w:rPr>
        <w:t xml:space="preserve"> عِرْسُهُ</w:t>
      </w:r>
      <w:r>
        <w:rPr>
          <w:rFonts w:hint="cs"/>
          <w:spacing w:val="-4"/>
          <w:vertAlign w:val="superscript"/>
          <w:rtl/>
        </w:rPr>
        <w:t>(</w:t>
      </w:r>
      <w:r>
        <w:rPr>
          <w:rStyle w:val="a7"/>
          <w:spacing w:val="-4"/>
          <w:rtl/>
        </w:rPr>
        <w:footnoteReference w:id="2483"/>
      </w:r>
      <w:r>
        <w:rPr>
          <w:rFonts w:hint="cs"/>
          <w:spacing w:val="-4"/>
          <w:vertAlign w:val="superscript"/>
          <w:rtl/>
        </w:rPr>
        <w:t>)</w:t>
      </w:r>
      <w:r>
        <w:rPr>
          <w:rFonts w:hint="cs"/>
          <w:spacing w:val="-4"/>
          <w:rtl/>
        </w:rPr>
        <w:t xml:space="preserve"> : أسلمت بعد موته. وقال</w:t>
      </w:r>
      <w:r>
        <w:rPr>
          <w:rStyle w:val="a7"/>
          <w:spacing w:val="-4"/>
          <w:rtl/>
        </w:rPr>
        <w:footnoteReference w:id="2484"/>
      </w:r>
      <w:r>
        <w:rPr>
          <w:rFonts w:hint="cs"/>
          <w:spacing w:val="-4"/>
          <w:rtl/>
        </w:rPr>
        <w:t xml:space="preserve"> ورثته</w:t>
      </w:r>
      <w:r>
        <w:rPr>
          <w:rStyle w:val="a7"/>
          <w:spacing w:val="-4"/>
          <w:rtl/>
        </w:rPr>
        <w:footnoteReference w:id="2485"/>
      </w:r>
      <w:r>
        <w:rPr>
          <w:rFonts w:hint="cs"/>
          <w:spacing w:val="-4"/>
          <w:rtl/>
        </w:rPr>
        <w:t>: قبله</w:t>
      </w:r>
      <w:r>
        <w:rPr>
          <w:rStyle w:val="a7"/>
          <w:spacing w:val="-4"/>
          <w:rtl/>
        </w:rPr>
        <w:footnoteReference w:id="2486"/>
      </w:r>
      <w:r>
        <w:rPr>
          <w:rFonts w:hint="cs"/>
          <w:spacing w:val="-4"/>
          <w:rtl/>
        </w:rPr>
        <w:t>: صُدِّقوا</w:t>
      </w:r>
      <w:r>
        <w:rPr>
          <w:rFonts w:hint="cs"/>
          <w:rtl/>
        </w:rPr>
        <w:t>؛ لأن الإسلام</w:t>
      </w:r>
      <w:r>
        <w:rPr>
          <w:rFonts w:hint="cs"/>
          <w:spacing w:val="-4"/>
          <w:rtl/>
        </w:rPr>
        <w:t xml:space="preserve"> ثابت</w:t>
      </w:r>
      <w:r>
        <w:rPr>
          <w:rStyle w:val="a7"/>
          <w:spacing w:val="-4"/>
          <w:rtl/>
        </w:rPr>
        <w:footnoteReference w:id="2487"/>
      </w:r>
      <w:r>
        <w:rPr>
          <w:rFonts w:hint="cs"/>
          <w:spacing w:val="-4"/>
          <w:rtl/>
        </w:rPr>
        <w:t xml:space="preserve"> في الحال، و</w:t>
      </w:r>
      <w:r>
        <w:rPr>
          <w:rFonts w:hint="eastAsia"/>
          <w:spacing w:val="-4"/>
          <w:rtl/>
        </w:rPr>
        <w:t>«</w:t>
      </w:r>
      <w:r>
        <w:rPr>
          <w:rFonts w:hint="cs"/>
          <w:spacing w:val="-4"/>
          <w:rtl/>
        </w:rPr>
        <w:t>الحال [تدل]</w:t>
      </w:r>
      <w:r>
        <w:rPr>
          <w:rStyle w:val="a7"/>
          <w:spacing w:val="-4"/>
          <w:rtl/>
        </w:rPr>
        <w:footnoteReference w:id="2488"/>
      </w:r>
      <w:r>
        <w:rPr>
          <w:rFonts w:hint="cs"/>
          <w:spacing w:val="-4"/>
          <w:rtl/>
        </w:rPr>
        <w:t xml:space="preserve"> على [ما]</w:t>
      </w:r>
      <w:r>
        <w:rPr>
          <w:rStyle w:val="a7"/>
          <w:spacing w:val="-4"/>
          <w:rtl/>
        </w:rPr>
        <w:footnoteReference w:id="2489"/>
      </w:r>
      <w:r>
        <w:rPr>
          <w:rFonts w:hint="cs"/>
          <w:spacing w:val="-4"/>
          <w:rtl/>
        </w:rPr>
        <w:t xml:space="preserve"> قبلها</w:t>
      </w:r>
      <w:r>
        <w:rPr>
          <w:rFonts w:hint="eastAsia"/>
          <w:spacing w:val="-4"/>
          <w:rtl/>
        </w:rPr>
        <w:t>»</w:t>
      </w:r>
      <w:r>
        <w:rPr>
          <w:rFonts w:hint="cs"/>
          <w:spacing w:val="-4"/>
          <w:rtl/>
        </w:rPr>
        <w:t>.</w:t>
      </w:r>
    </w:p>
    <w:p w:rsidR="00C10469" w:rsidRDefault="00C10469">
      <w:pPr>
        <w:rPr>
          <w:rtl/>
        </w:rPr>
      </w:pPr>
      <w:r>
        <w:rPr>
          <w:rFonts w:hint="cs"/>
          <w:rtl/>
        </w:rPr>
        <w:t xml:space="preserve">كما في مسألة الطاحونة : إذا اختلف المؤجَّر والمستأجر في جريان الماء </w:t>
      </w:r>
      <w:r>
        <w:rPr>
          <w:rFonts w:hint="cs"/>
          <w:rtl/>
        </w:rPr>
        <w:lastRenderedPageBreak/>
        <w:t>وانقطاعه</w:t>
      </w:r>
      <w:r>
        <w:rPr>
          <w:rStyle w:val="a7"/>
          <w:rtl/>
        </w:rPr>
        <w:footnoteReference w:id="2490"/>
      </w:r>
      <w:r>
        <w:rPr>
          <w:rFonts w:hint="cs"/>
          <w:rtl/>
        </w:rPr>
        <w:t>، حيث يُحكَّم الحال، ويُستدلّ بها على</w:t>
      </w:r>
      <w:r>
        <w:rPr>
          <w:rStyle w:val="a7"/>
          <w:rtl/>
        </w:rPr>
        <w:footnoteReference w:id="2491"/>
      </w:r>
      <w:r>
        <w:rPr>
          <w:rFonts w:hint="cs"/>
          <w:rtl/>
        </w:rPr>
        <w:t xml:space="preserve"> الماضي</w:t>
      </w:r>
      <w:r>
        <w:rPr>
          <w:rFonts w:hint="eastAsia"/>
          <w:rtl/>
        </w:rPr>
        <w:t>»</w:t>
      </w:r>
      <w:r>
        <w:rPr>
          <w:rFonts w:hint="cs"/>
          <w:vertAlign w:val="superscript"/>
          <w:rtl/>
        </w:rPr>
        <w:t>(</w:t>
      </w:r>
      <w:r>
        <w:rPr>
          <w:rStyle w:val="a7"/>
          <w:rtl/>
        </w:rPr>
        <w:footnoteReference w:id="2492"/>
      </w:r>
      <w:r>
        <w:rPr>
          <w:rFonts w:hint="cs"/>
          <w:vertAlign w:val="superscript"/>
          <w:rtl/>
        </w:rPr>
        <w:t>)</w:t>
      </w:r>
      <w:r>
        <w:rPr>
          <w:rFonts w:hint="cs"/>
          <w:rtl/>
        </w:rPr>
        <w:t>.</w:t>
      </w:r>
    </w:p>
    <w:p w:rsidR="00C10469" w:rsidRDefault="00C10469">
      <w:pPr>
        <w:rPr>
          <w:rtl/>
        </w:rPr>
      </w:pPr>
      <w:r>
        <w:rPr>
          <w:rFonts w:hint="cs"/>
          <w:b/>
          <w:bCs/>
          <w:rtl/>
        </w:rPr>
        <w:t>فإن قلتَ</w:t>
      </w:r>
      <w:r>
        <w:rPr>
          <w:rFonts w:hint="cs"/>
          <w:rtl/>
        </w:rPr>
        <w:t xml:space="preserve"> : لو مات مسلم، فقالت عرسه : أسلمت قبل موته. وقال ورثته: بعده : فإن القول للورثة أيضًا على خلاف مقتضى هذا الأصل!.</w:t>
      </w:r>
    </w:p>
    <w:p w:rsidR="00C10469" w:rsidRDefault="00C10469">
      <w:pPr>
        <w:rPr>
          <w:rtl/>
        </w:rPr>
      </w:pPr>
      <w:r>
        <w:rPr>
          <w:rFonts w:hint="cs"/>
          <w:b/>
          <w:bCs/>
          <w:rtl/>
        </w:rPr>
        <w:t xml:space="preserve">أقول </w:t>
      </w:r>
      <w:r>
        <w:rPr>
          <w:rFonts w:hint="cs"/>
          <w:rtl/>
        </w:rPr>
        <w:t>: هذا الأصل من قبيل العمل بالظاهر، و</w:t>
      </w:r>
      <w:r>
        <w:rPr>
          <w:rFonts w:hint="eastAsia"/>
          <w:rtl/>
        </w:rPr>
        <w:t>«</w:t>
      </w:r>
      <w:r>
        <w:rPr>
          <w:rFonts w:hint="cs"/>
          <w:rtl/>
        </w:rPr>
        <w:t>الظاهر يعتبر</w:t>
      </w:r>
      <w:r>
        <w:rPr>
          <w:rStyle w:val="a7"/>
          <w:rtl/>
        </w:rPr>
        <w:footnoteReference w:id="2493"/>
      </w:r>
      <w:r>
        <w:rPr>
          <w:rFonts w:hint="cs"/>
          <w:rtl/>
        </w:rPr>
        <w:t xml:space="preserve"> للدفع</w:t>
      </w:r>
      <w:r>
        <w:rPr>
          <w:rStyle w:val="a7"/>
          <w:rtl/>
        </w:rPr>
        <w:footnoteReference w:id="2494"/>
      </w:r>
      <w:r>
        <w:rPr>
          <w:rFonts w:hint="cs"/>
          <w:rtl/>
        </w:rPr>
        <w:t>، ولم</w:t>
      </w:r>
      <w:r>
        <w:rPr>
          <w:rFonts w:hint="cs"/>
          <w:vertAlign w:val="superscript"/>
          <w:rtl/>
        </w:rPr>
        <w:t>(</w:t>
      </w:r>
      <w:r>
        <w:rPr>
          <w:rStyle w:val="a7"/>
          <w:rtl/>
        </w:rPr>
        <w:footnoteReference w:id="2495"/>
      </w:r>
      <w:r>
        <w:rPr>
          <w:rFonts w:hint="cs"/>
          <w:vertAlign w:val="superscript"/>
          <w:rtl/>
        </w:rPr>
        <w:t>)</w:t>
      </w:r>
      <w:r>
        <w:rPr>
          <w:rFonts w:hint="cs"/>
          <w:rtl/>
        </w:rPr>
        <w:t xml:space="preserve"> يعتبر للاستحقاق</w:t>
      </w:r>
      <w:r>
        <w:rPr>
          <w:rFonts w:hint="eastAsia"/>
          <w:rtl/>
        </w:rPr>
        <w:t>»</w:t>
      </w:r>
      <w:r>
        <w:rPr>
          <w:rFonts w:hint="cs"/>
          <w:vertAlign w:val="superscript"/>
          <w:rtl/>
        </w:rPr>
        <w:t>(</w:t>
      </w:r>
      <w:r>
        <w:rPr>
          <w:rStyle w:val="a7"/>
          <w:rtl/>
        </w:rPr>
        <w:footnoteReference w:id="2496"/>
      </w:r>
      <w:r>
        <w:rPr>
          <w:rFonts w:hint="cs"/>
          <w:vertAlign w:val="superscript"/>
          <w:rtl/>
        </w:rPr>
        <w:t>) (</w:t>
      </w:r>
      <w:r>
        <w:rPr>
          <w:rStyle w:val="a7"/>
          <w:rtl/>
        </w:rPr>
        <w:footnoteReference w:id="2497"/>
      </w:r>
      <w:r>
        <w:rPr>
          <w:rFonts w:hint="cs"/>
          <w:vertAlign w:val="superscript"/>
          <w:rtl/>
        </w:rPr>
        <w:t>)</w:t>
      </w:r>
      <w:r>
        <w:rPr>
          <w:rFonts w:hint="cs"/>
          <w:rtl/>
        </w:rPr>
        <w:t>.</w:t>
      </w:r>
    </w:p>
    <w:p w:rsidR="00C10469" w:rsidRDefault="00C10469">
      <w:pPr>
        <w:rPr>
          <w:rtl/>
        </w:rPr>
      </w:pPr>
      <w:r>
        <w:rPr>
          <w:rFonts w:hint="cs"/>
          <w:rtl/>
        </w:rPr>
        <w:t>ففي المسألة الأولى : [المرأة]</w:t>
      </w:r>
      <w:r>
        <w:rPr>
          <w:rStyle w:val="a7"/>
          <w:rtl/>
        </w:rPr>
        <w:footnoteReference w:id="2498"/>
      </w:r>
      <w:r>
        <w:rPr>
          <w:rFonts w:hint="cs"/>
          <w:rtl/>
        </w:rPr>
        <w:t xml:space="preserve"> ادّعت استحقاق الإرث، فلا يثبت الإرث</w:t>
      </w:r>
      <w:r>
        <w:rPr>
          <w:rStyle w:val="a7"/>
          <w:rtl/>
        </w:rPr>
        <w:footnoteReference w:id="2499"/>
      </w:r>
      <w:r>
        <w:rPr>
          <w:rFonts w:hint="cs"/>
          <w:rtl/>
        </w:rPr>
        <w:t xml:space="preserve"> بهذا الأصل. والورثة ادّعوا الدّفع بهذا الأصل، فيعتبر.</w:t>
      </w:r>
    </w:p>
    <w:p w:rsidR="00C10469" w:rsidRDefault="00C10469">
      <w:pPr>
        <w:rPr>
          <w:rtl/>
        </w:rPr>
      </w:pPr>
      <w:r>
        <w:rPr>
          <w:rFonts w:hint="cs"/>
          <w:b/>
          <w:bCs/>
          <w:rtl/>
        </w:rPr>
        <w:t>وفي المسألة الثانية</w:t>
      </w:r>
      <w:r>
        <w:rPr>
          <w:rFonts w:hint="cs"/>
          <w:rtl/>
        </w:rPr>
        <w:t xml:space="preserve"> : ادّعت المرأةُ الإسلام قبل موت زوجها، وعجزت عن إقامة البينة، فيضاف الحكم إلى أقرب الأوقات، كما هو الأصل في الحوادث. وقد مرّ في </w:t>
      </w:r>
      <w:r>
        <w:rPr>
          <w:rFonts w:hint="cs"/>
          <w:rtl/>
        </w:rPr>
        <w:lastRenderedPageBreak/>
        <w:t xml:space="preserve">باب الألف في بيان ما قالوا : </w:t>
      </w:r>
      <w:r>
        <w:rPr>
          <w:rFonts w:hint="eastAsia"/>
          <w:rtl/>
        </w:rPr>
        <w:t>«</w:t>
      </w:r>
      <w:r>
        <w:rPr>
          <w:rFonts w:hint="cs"/>
          <w:rtl/>
        </w:rPr>
        <w:t>الأصل إضافة [الحادث]</w:t>
      </w:r>
      <w:r>
        <w:rPr>
          <w:rStyle w:val="a7"/>
          <w:rtl/>
        </w:rPr>
        <w:footnoteReference w:id="2500"/>
      </w:r>
      <w:r>
        <w:rPr>
          <w:rFonts w:hint="cs"/>
          <w:rtl/>
        </w:rPr>
        <w:t xml:space="preserve"> إلى أقرب أوقاته</w:t>
      </w:r>
      <w:r>
        <w:rPr>
          <w:rFonts w:hint="eastAsia"/>
          <w:rtl/>
        </w:rPr>
        <w:t>»</w:t>
      </w:r>
      <w:r>
        <w:rPr>
          <w:rFonts w:hint="cs"/>
          <w:vertAlign w:val="superscript"/>
          <w:rtl/>
        </w:rPr>
        <w:t>(</w:t>
      </w:r>
      <w:r>
        <w:rPr>
          <w:rStyle w:val="a7"/>
          <w:rtl/>
        </w:rPr>
        <w:footnoteReference w:id="2501"/>
      </w:r>
      <w:r>
        <w:rPr>
          <w:rFonts w:hint="cs"/>
          <w:vertAlign w:val="superscript"/>
          <w:rtl/>
        </w:rPr>
        <w:t>)</w:t>
      </w:r>
      <w:r>
        <w:rPr>
          <w:rFonts w:hint="cs"/>
          <w:rtl/>
        </w:rPr>
        <w:t>.</w:t>
      </w:r>
    </w:p>
    <w:p w:rsidR="00C10469" w:rsidRDefault="00C10469">
      <w:pPr>
        <w:rPr>
          <w:rtl/>
        </w:rPr>
        <w:sectPr w:rsidR="00C10469" w:rsidSect="00C10469">
          <w:headerReference w:type="default" r:id="rId16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spacing w:val="-6"/>
          <w:rtl/>
        </w:rPr>
        <w:t>وعـلـم بـهـذا</w:t>
      </w:r>
      <w:r>
        <w:rPr>
          <w:rStyle w:val="a7"/>
          <w:spacing w:val="-6"/>
          <w:rtl/>
        </w:rPr>
        <w:footnoteReference w:id="2502"/>
      </w:r>
      <w:r>
        <w:rPr>
          <w:rFonts w:hint="cs"/>
          <w:spacing w:val="-6"/>
          <w:rtl/>
        </w:rPr>
        <w:t xml:space="preserve"> : لـو أقـامت الـمرأة بيِّـنـة</w:t>
      </w:r>
      <w:r>
        <w:rPr>
          <w:rStyle w:val="a7"/>
          <w:spacing w:val="-6"/>
          <w:rtl/>
        </w:rPr>
        <w:footnoteReference w:id="2503"/>
      </w:r>
      <w:r>
        <w:rPr>
          <w:rFonts w:hint="cs"/>
          <w:spacing w:val="-6"/>
          <w:rtl/>
        </w:rPr>
        <w:t xml:space="preserve"> على إسلامها قبل موت زوجها : تقـبل وتـرثـه.</w:t>
      </w:r>
      <w:r>
        <w:rPr>
          <w:rtl/>
        </w:rPr>
        <w:t xml:space="preserve"> </w:t>
      </w:r>
    </w:p>
    <w:p w:rsidR="00C10469" w:rsidRPr="000D2E6D" w:rsidRDefault="00C10469">
      <w:pPr>
        <w:pStyle w:val="a9"/>
        <w:rPr>
          <w:rFonts w:cs="AL-Mateen"/>
          <w:rtl/>
        </w:rPr>
      </w:pPr>
      <w:r w:rsidRPr="000D2E6D">
        <w:rPr>
          <w:rFonts w:cs="AL-Mateen" w:hint="cs"/>
          <w:rtl/>
        </w:rPr>
        <w:lastRenderedPageBreak/>
        <w:t>[ الـقـاعـدة الـحـاديـة عـشـرة بـعـد الـمـائـة ]</w:t>
      </w:r>
    </w:p>
    <w:p w:rsidR="00C10469" w:rsidRDefault="00C10469">
      <w:pPr>
        <w:rPr>
          <w:rtl/>
        </w:rPr>
      </w:pPr>
      <w:r>
        <w:rPr>
          <w:rFonts w:cs="Monotype Koufi" w:hint="cs"/>
          <w:rtl/>
        </w:rPr>
        <w:t>الحدودُ تَنْدَرِئُ</w:t>
      </w:r>
      <w:r>
        <w:rPr>
          <w:rStyle w:val="a7"/>
          <w:rtl/>
        </w:rPr>
        <w:footnoteReference w:id="2504"/>
      </w:r>
      <w:r>
        <w:rPr>
          <w:rFonts w:hint="cs"/>
          <w:rtl/>
        </w:rPr>
        <w:t xml:space="preserve"> </w:t>
      </w:r>
      <w:r>
        <w:rPr>
          <w:rFonts w:cs="Monotype Koufi" w:hint="cs"/>
          <w:rtl/>
        </w:rPr>
        <w:t>بالشُّبُهَاتِ</w:t>
      </w:r>
      <w:r>
        <w:rPr>
          <w:rFonts w:hint="cs"/>
          <w:vertAlign w:val="superscript"/>
          <w:rtl/>
        </w:rPr>
        <w:t>(</w:t>
      </w:r>
      <w:r>
        <w:rPr>
          <w:rStyle w:val="a7"/>
          <w:rtl/>
        </w:rPr>
        <w:footnoteReference w:id="2505"/>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الشبهة : ما يشبه</w:t>
      </w:r>
      <w:r>
        <w:rPr>
          <w:rStyle w:val="a7"/>
          <w:rtl/>
        </w:rPr>
        <w:footnoteReference w:id="2506"/>
      </w:r>
      <w:r>
        <w:rPr>
          <w:rFonts w:hint="cs"/>
          <w:rtl/>
        </w:rPr>
        <w:t xml:space="preserve"> الثابت، وليس بثابت</w:t>
      </w:r>
      <w:r>
        <w:rPr>
          <w:rFonts w:hint="eastAsia"/>
          <w:rtl/>
        </w:rPr>
        <w:t>»</w:t>
      </w:r>
      <w:r>
        <w:rPr>
          <w:rFonts w:hint="cs"/>
          <w:vertAlign w:val="superscript"/>
          <w:rtl/>
        </w:rPr>
        <w:t>(</w:t>
      </w:r>
      <w:r>
        <w:rPr>
          <w:rStyle w:val="a7"/>
          <w:rtl/>
        </w:rPr>
        <w:footnoteReference w:id="2507"/>
      </w:r>
      <w:r>
        <w:rPr>
          <w:rFonts w:hint="cs"/>
          <w:vertAlign w:val="superscript"/>
          <w:rtl/>
        </w:rPr>
        <w:t>)</w:t>
      </w:r>
      <w:r>
        <w:rPr>
          <w:rFonts w:hint="cs"/>
          <w:rtl/>
        </w:rPr>
        <w:t>.</w:t>
      </w:r>
    </w:p>
    <w:p w:rsidR="00C10469" w:rsidRDefault="00C10469">
      <w:pPr>
        <w:rPr>
          <w:rtl/>
        </w:rPr>
      </w:pPr>
      <w:r>
        <w:rPr>
          <w:rFonts w:hint="cs"/>
          <w:rtl/>
        </w:rPr>
        <w:t xml:space="preserve">والأصل في هذا الباب قوله </w:t>
      </w:r>
      <w:r>
        <w:rPr>
          <w:rFonts w:ascii="AGA Arabesque" w:hAnsi="AGA Arabesque"/>
          <w:sz w:val="36"/>
        </w:rPr>
        <w:t></w:t>
      </w:r>
      <w:r>
        <w:rPr>
          <w:rStyle w:val="a7"/>
          <w:rtl/>
        </w:rPr>
        <w:footnoteReference w:id="2508"/>
      </w:r>
      <w:r>
        <w:rPr>
          <w:rFonts w:hint="cs"/>
          <w:rtl/>
        </w:rPr>
        <w:t xml:space="preserve"> :</w:t>
      </w:r>
    </w:p>
    <w:p w:rsidR="00C10469" w:rsidRDefault="00C10469">
      <w:pPr>
        <w:rPr>
          <w:rtl/>
        </w:rPr>
      </w:pPr>
      <w:r>
        <w:rPr>
          <w:rFonts w:hint="eastAsia"/>
          <w:rtl/>
        </w:rPr>
        <w:lastRenderedPageBreak/>
        <w:t>«</w:t>
      </w:r>
      <w:r>
        <w:rPr>
          <w:rFonts w:hint="cs"/>
          <w:rtl/>
        </w:rPr>
        <w:t xml:space="preserve">[ </w:t>
      </w:r>
      <w:r>
        <w:rPr>
          <w:rFonts w:cs="DecoType Naskh Special" w:hint="cs"/>
          <w:rtl/>
        </w:rPr>
        <w:t>ادرؤوا</w:t>
      </w:r>
      <w:r>
        <w:rPr>
          <w:rFonts w:hint="cs"/>
          <w:rtl/>
        </w:rPr>
        <w:t xml:space="preserve"> ]</w:t>
      </w:r>
      <w:r>
        <w:rPr>
          <w:rStyle w:val="a7"/>
          <w:rtl/>
        </w:rPr>
        <w:footnoteReference w:id="2509"/>
      </w:r>
      <w:r>
        <w:rPr>
          <w:rFonts w:hint="cs"/>
          <w:rtl/>
        </w:rPr>
        <w:t xml:space="preserve"> </w:t>
      </w:r>
      <w:r>
        <w:rPr>
          <w:rFonts w:cs="DecoType Naskh Special" w:hint="cs"/>
          <w:rtl/>
        </w:rPr>
        <w:t>الحُدُودَ بالشبهاتِ ما استطعتُمْ</w:t>
      </w:r>
      <w:r>
        <w:rPr>
          <w:rFonts w:hint="eastAsia"/>
          <w:rtl/>
        </w:rPr>
        <w:t>»</w:t>
      </w:r>
      <w:r>
        <w:rPr>
          <w:rFonts w:hint="cs"/>
          <w:vertAlign w:val="superscript"/>
          <w:rtl/>
        </w:rPr>
        <w:t>(</w:t>
      </w:r>
      <w:r>
        <w:rPr>
          <w:rStyle w:val="a7"/>
          <w:rtl/>
        </w:rPr>
        <w:footnoteReference w:id="2510"/>
      </w:r>
      <w:r>
        <w:rPr>
          <w:rFonts w:hint="cs"/>
          <w:vertAlign w:val="superscript"/>
          <w:rtl/>
        </w:rPr>
        <w:t>)</w:t>
      </w:r>
      <w:r>
        <w:rPr>
          <w:rFonts w:hint="cs"/>
          <w:rtl/>
        </w:rPr>
        <w:t>.</w:t>
      </w:r>
    </w:p>
    <w:p w:rsidR="00C10469" w:rsidRDefault="00C10469" w:rsidP="00C10469">
      <w:pPr>
        <w:rPr>
          <w:b/>
          <w:bCs/>
          <w:rtl/>
        </w:rPr>
      </w:pPr>
      <w:r>
        <w:rPr>
          <w:rFonts w:hint="cs"/>
          <w:b/>
          <w:bCs/>
          <w:rtl/>
        </w:rPr>
        <w:lastRenderedPageBreak/>
        <w:t>وفروع هذا الأصل كثيرة :</w:t>
      </w:r>
    </w:p>
    <w:p w:rsidR="00C10469" w:rsidRDefault="00C10469" w:rsidP="00C10469">
      <w:pPr>
        <w:rPr>
          <w:rtl/>
        </w:rPr>
      </w:pPr>
      <w:r>
        <w:rPr>
          <w:rFonts w:hint="cs"/>
          <w:b/>
          <w:bCs/>
          <w:rtl/>
        </w:rPr>
        <w:t>ومنها</w:t>
      </w:r>
      <w:r>
        <w:rPr>
          <w:rStyle w:val="a7"/>
          <w:rtl/>
        </w:rPr>
        <w:footnoteReference w:id="2511"/>
      </w:r>
      <w:r>
        <w:rPr>
          <w:rFonts w:hint="cs"/>
          <w:rtl/>
        </w:rPr>
        <w:t xml:space="preserve"> : إذا علق الزوج الثلاث بالوطء، فأولـج</w:t>
      </w:r>
      <w:r>
        <w:rPr>
          <w:rStyle w:val="a7"/>
          <w:rtl/>
        </w:rPr>
        <w:footnoteReference w:id="2512"/>
      </w:r>
      <w:r>
        <w:rPr>
          <w:rFonts w:hint="cs"/>
          <w:rtl/>
        </w:rPr>
        <w:t>، ولبـث : فـلا عُـقْرَ</w:t>
      </w:r>
      <w:r>
        <w:rPr>
          <w:rFonts w:hint="cs"/>
          <w:vertAlign w:val="superscript"/>
          <w:rtl/>
        </w:rPr>
        <w:t>(</w:t>
      </w:r>
      <w:r>
        <w:rPr>
          <w:rStyle w:val="a7"/>
          <w:rtl/>
        </w:rPr>
        <w:footnoteReference w:id="2513"/>
      </w:r>
      <w:r>
        <w:rPr>
          <w:rFonts w:hint="cs"/>
          <w:vertAlign w:val="superscript"/>
          <w:rtl/>
        </w:rPr>
        <w:t>)</w:t>
      </w:r>
      <w:r>
        <w:rPr>
          <w:rFonts w:hint="cs"/>
          <w:rtl/>
        </w:rPr>
        <w:t xml:space="preserve"> به؛</w:t>
      </w:r>
    </w:p>
    <w:p w:rsidR="00C10469" w:rsidRDefault="00C10469">
      <w:pPr>
        <w:ind w:firstLine="0"/>
        <w:rPr>
          <w:rtl/>
        </w:rPr>
      </w:pPr>
      <w:r>
        <w:rPr>
          <w:rFonts w:hint="cs"/>
          <w:rtl/>
        </w:rPr>
        <w:lastRenderedPageBreak/>
        <w:t>لأن الجماع إدخال الفرج إلى</w:t>
      </w:r>
      <w:r>
        <w:rPr>
          <w:rStyle w:val="a7"/>
          <w:rtl/>
        </w:rPr>
        <w:footnoteReference w:id="2514"/>
      </w:r>
      <w:r>
        <w:rPr>
          <w:rFonts w:hint="cs"/>
          <w:rtl/>
        </w:rPr>
        <w:t xml:space="preserve"> الفرج، ولم يوجد ذلك بعد وقوع الطلاق.</w:t>
      </w:r>
    </w:p>
    <w:p w:rsidR="00C10469" w:rsidRDefault="00C10469">
      <w:pPr>
        <w:rPr>
          <w:rtl/>
        </w:rPr>
      </w:pPr>
      <w:r>
        <w:rPr>
          <w:rFonts w:hint="cs"/>
          <w:rtl/>
        </w:rPr>
        <w:t>وإن أولـج ثانيًا في هذا المجلس : وجب العقر، ولا يجب الحدّ، مع وجود الوطء فيه حقيقة بعد ثبوت الحرمة، وعدم وجوب الحد؛ للشبهة (وهي اتحاد المجلس) والمقصود (وهو قضاء الشهوة)</w:t>
      </w:r>
      <w:r>
        <w:rPr>
          <w:rStyle w:val="a7"/>
          <w:rtl/>
        </w:rPr>
        <w:footnoteReference w:id="2515"/>
      </w:r>
      <w:r>
        <w:rPr>
          <w:rFonts w:hint="cs"/>
          <w:rtl/>
        </w:rPr>
        <w:t>.</w:t>
      </w:r>
    </w:p>
    <w:p w:rsidR="00C10469" w:rsidRDefault="00C10469">
      <w:pPr>
        <w:rPr>
          <w:rtl/>
        </w:rPr>
      </w:pPr>
      <w:r>
        <w:rPr>
          <w:rFonts w:hint="cs"/>
          <w:rtl/>
        </w:rPr>
        <w:t>كذا في (الهداية)</w:t>
      </w:r>
      <w:r>
        <w:rPr>
          <w:rFonts w:hint="cs"/>
          <w:vertAlign w:val="superscript"/>
          <w:rtl/>
        </w:rPr>
        <w:t>(</w:t>
      </w:r>
      <w:r>
        <w:rPr>
          <w:rStyle w:val="a7"/>
          <w:rtl/>
        </w:rPr>
        <w:footnoteReference w:id="2516"/>
      </w:r>
      <w:r>
        <w:rPr>
          <w:rFonts w:hint="cs"/>
          <w:vertAlign w:val="superscript"/>
          <w:rtl/>
        </w:rPr>
        <w:t>)</w:t>
      </w:r>
      <w:r>
        <w:rPr>
          <w:rFonts w:hint="cs"/>
          <w:rtl/>
        </w:rPr>
        <w:t>.</w:t>
      </w:r>
    </w:p>
    <w:p w:rsidR="00C10469" w:rsidRDefault="00C10469">
      <w:pPr>
        <w:rPr>
          <w:rtl/>
        </w:rPr>
      </w:pPr>
      <w:r>
        <w:rPr>
          <w:rFonts w:hint="cs"/>
          <w:rtl/>
        </w:rPr>
        <w:t>وأنواع الشبهة مذكورة في المفصلات</w:t>
      </w:r>
      <w:r>
        <w:rPr>
          <w:rFonts w:hint="cs"/>
          <w:vertAlign w:val="superscript"/>
          <w:rtl/>
        </w:rPr>
        <w:t>(</w:t>
      </w:r>
      <w:r>
        <w:rPr>
          <w:rStyle w:val="a7"/>
          <w:rtl/>
        </w:rPr>
        <w:footnoteReference w:id="2517"/>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6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3F71DE" w:rsidRDefault="00C10469">
      <w:pPr>
        <w:pStyle w:val="a9"/>
        <w:rPr>
          <w:rFonts w:cs="AL-Mateen"/>
          <w:rtl/>
        </w:rPr>
      </w:pPr>
      <w:r w:rsidRPr="003F71DE">
        <w:rPr>
          <w:rFonts w:cs="AL-Mateen" w:hint="cs"/>
          <w:rtl/>
        </w:rPr>
        <w:lastRenderedPageBreak/>
        <w:t>[ الـقـاعـدة الـثـانـيـة عـشـرة بـعـد الـمـائـة ]</w:t>
      </w:r>
    </w:p>
    <w:p w:rsidR="00C10469" w:rsidRDefault="00C10469">
      <w:pPr>
        <w:rPr>
          <w:rtl/>
        </w:rPr>
      </w:pPr>
      <w:r>
        <w:rPr>
          <w:rFonts w:cs="Monotype Koufi" w:hint="cs"/>
          <w:rtl/>
        </w:rPr>
        <w:t>الحرُّ لا يدخلُ تحتَ اليدِ</w:t>
      </w:r>
      <w:r>
        <w:rPr>
          <w:rFonts w:hint="cs"/>
          <w:vertAlign w:val="superscript"/>
          <w:rtl/>
        </w:rPr>
        <w:t>(</w:t>
      </w:r>
      <w:r>
        <w:rPr>
          <w:rStyle w:val="a7"/>
          <w:rtl/>
        </w:rPr>
        <w:footnoteReference w:id="2518"/>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فلا يُضمَن [بالغصب]</w:t>
      </w:r>
      <w:r>
        <w:rPr>
          <w:rStyle w:val="a7"/>
          <w:rtl/>
        </w:rPr>
        <w:footnoteReference w:id="2519"/>
      </w:r>
      <w:r>
        <w:rPr>
          <w:rFonts w:hint="cs"/>
          <w:rtl/>
        </w:rPr>
        <w:t xml:space="preserve"> ولو صبيًّا فمات في يده فجأةً، أو بحمَّى</w:t>
      </w:r>
      <w:r>
        <w:rPr>
          <w:rStyle w:val="a7"/>
          <w:rtl/>
        </w:rPr>
        <w:footnoteReference w:id="2520"/>
      </w:r>
      <w:r>
        <w:rPr>
          <w:rFonts w:hint="cs"/>
          <w:vertAlign w:val="superscript"/>
          <w:rtl/>
        </w:rPr>
        <w:t>(</w:t>
      </w:r>
      <w:r>
        <w:rPr>
          <w:rStyle w:val="a7"/>
          <w:rtl/>
        </w:rPr>
        <w:footnoteReference w:id="2521"/>
      </w:r>
      <w:r>
        <w:rPr>
          <w:rFonts w:hint="cs"/>
          <w:vertAlign w:val="superscript"/>
          <w:rtl/>
        </w:rPr>
        <w:t>)</w:t>
      </w:r>
      <w:r>
        <w:rPr>
          <w:rFonts w:hint="cs"/>
          <w:rtl/>
        </w:rPr>
        <w:t>.</w:t>
      </w:r>
    </w:p>
    <w:p w:rsidR="00C10469" w:rsidRDefault="00C10469">
      <w:pPr>
        <w:rPr>
          <w:rtl/>
        </w:rPr>
      </w:pPr>
      <w:r>
        <w:rPr>
          <w:rFonts w:hint="cs"/>
          <w:b/>
          <w:bCs/>
          <w:rtl/>
        </w:rPr>
        <w:t>ولا يـرد</w:t>
      </w:r>
      <w:r>
        <w:rPr>
          <w:rFonts w:hint="cs"/>
          <w:rtl/>
        </w:rPr>
        <w:t xml:space="preserve"> : مـا لـو مـات بصـاعـقـة، أو [نَـهْـشَـةِ]</w:t>
      </w:r>
      <w:r>
        <w:rPr>
          <w:rFonts w:hint="cs"/>
          <w:vertAlign w:val="superscript"/>
          <w:rtl/>
        </w:rPr>
        <w:t>(</w:t>
      </w:r>
      <w:r>
        <w:rPr>
          <w:rStyle w:val="a7"/>
          <w:rtl/>
        </w:rPr>
        <w:footnoteReference w:id="2522"/>
      </w:r>
      <w:r>
        <w:rPr>
          <w:rFonts w:hint="cs"/>
          <w:vertAlign w:val="superscript"/>
          <w:rtl/>
        </w:rPr>
        <w:t>)</w:t>
      </w:r>
      <w:r>
        <w:rPr>
          <w:rFonts w:hint="cs"/>
          <w:rtl/>
        </w:rPr>
        <w:t xml:space="preserve">  حـيـةٍ،</w:t>
      </w:r>
    </w:p>
    <w:p w:rsidR="00C10469" w:rsidRDefault="00C10469">
      <w:pPr>
        <w:ind w:firstLine="0"/>
        <w:rPr>
          <w:rtl/>
        </w:rPr>
      </w:pPr>
      <w:r>
        <w:rPr>
          <w:rFonts w:hint="cs"/>
          <w:rtl/>
        </w:rPr>
        <w:lastRenderedPageBreak/>
        <w:t>أو [بنقله]</w:t>
      </w:r>
      <w:r>
        <w:rPr>
          <w:rFonts w:hint="cs"/>
          <w:vertAlign w:val="superscript"/>
          <w:rtl/>
        </w:rPr>
        <w:t>(</w:t>
      </w:r>
      <w:r>
        <w:rPr>
          <w:rStyle w:val="a7"/>
          <w:rtl/>
        </w:rPr>
        <w:footnoteReference w:id="2523"/>
      </w:r>
      <w:r>
        <w:rPr>
          <w:rFonts w:hint="cs"/>
          <w:vertAlign w:val="superscript"/>
          <w:rtl/>
        </w:rPr>
        <w:t>)</w:t>
      </w:r>
      <w:r>
        <w:rPr>
          <w:rFonts w:hint="cs"/>
          <w:rtl/>
        </w:rPr>
        <w:t xml:space="preserve"> إلى أرضٍ مُسْبَعَةٍ</w:t>
      </w:r>
      <w:r>
        <w:rPr>
          <w:rFonts w:hint="cs"/>
          <w:vertAlign w:val="superscript"/>
          <w:rtl/>
        </w:rPr>
        <w:t>(</w:t>
      </w:r>
      <w:r>
        <w:rPr>
          <w:rStyle w:val="a7"/>
          <w:rtl/>
        </w:rPr>
        <w:footnoteReference w:id="2524"/>
      </w:r>
      <w:r>
        <w:rPr>
          <w:rFonts w:hint="cs"/>
          <w:vertAlign w:val="superscript"/>
          <w:rtl/>
        </w:rPr>
        <w:t>)</w:t>
      </w:r>
      <w:r>
        <w:rPr>
          <w:rFonts w:hint="cs"/>
          <w:rtl/>
        </w:rPr>
        <w:t>، أو إلى مكان الصواعق، أو إلى مكان</w:t>
      </w:r>
      <w:r>
        <w:rPr>
          <w:rStyle w:val="a7"/>
          <w:rtl/>
        </w:rPr>
        <w:footnoteReference w:id="2525"/>
      </w:r>
      <w:r>
        <w:rPr>
          <w:rFonts w:hint="cs"/>
          <w:rtl/>
        </w:rPr>
        <w:t xml:space="preserve"> يغلب فيه الحمّى والأمراض : فإنّ ديتَهُ إلى</w:t>
      </w:r>
      <w:r>
        <w:rPr>
          <w:rStyle w:val="a7"/>
          <w:rtl/>
        </w:rPr>
        <w:footnoteReference w:id="2526"/>
      </w:r>
      <w:r>
        <w:rPr>
          <w:rFonts w:hint="cs"/>
          <w:rtl/>
        </w:rPr>
        <w:t xml:space="preserve"> عاقلةِ الغاصب!.</w:t>
      </w:r>
    </w:p>
    <w:p w:rsidR="00C10469" w:rsidRDefault="00C10469">
      <w:pPr>
        <w:rPr>
          <w:rtl/>
        </w:rPr>
      </w:pPr>
      <w:r>
        <w:rPr>
          <w:rFonts w:hint="cs"/>
          <w:b/>
          <w:bCs/>
          <w:rtl/>
        </w:rPr>
        <w:t>لأنه</w:t>
      </w:r>
      <w:r>
        <w:rPr>
          <w:rFonts w:hint="cs"/>
          <w:rtl/>
        </w:rPr>
        <w:t xml:space="preserve"> [ضمان]</w:t>
      </w:r>
      <w:r>
        <w:rPr>
          <w:rStyle w:val="a7"/>
          <w:rtl/>
        </w:rPr>
        <w:footnoteReference w:id="2527"/>
      </w:r>
      <w:r>
        <w:rPr>
          <w:rFonts w:hint="cs"/>
          <w:rtl/>
        </w:rPr>
        <w:t xml:space="preserve"> اتلاف، لا [ضمان]</w:t>
      </w:r>
      <w:r>
        <w:rPr>
          <w:rFonts w:hint="cs"/>
          <w:b/>
          <w:bCs/>
          <w:vertAlign w:val="superscript"/>
          <w:rtl/>
        </w:rPr>
        <w:t>5</w:t>
      </w:r>
      <w:r>
        <w:rPr>
          <w:rFonts w:hint="cs"/>
          <w:rtl/>
        </w:rPr>
        <w:t xml:space="preserve"> غصب</w:t>
      </w:r>
      <w:r>
        <w:rPr>
          <w:rStyle w:val="a7"/>
          <w:rtl/>
        </w:rPr>
        <w:footnoteReference w:id="2528"/>
      </w:r>
      <w:r>
        <w:rPr>
          <w:rFonts w:hint="cs"/>
          <w:rtl/>
        </w:rPr>
        <w:t>، والحر</w:t>
      </w:r>
      <w:r>
        <w:rPr>
          <w:rStyle w:val="a7"/>
          <w:rtl/>
        </w:rPr>
        <w:footnoteReference w:id="2529"/>
      </w:r>
      <w:r>
        <w:rPr>
          <w:rFonts w:hint="cs"/>
          <w:rtl/>
        </w:rPr>
        <w:t xml:space="preserve"> يُضمن بالإتلاف، والعبد بهما</w:t>
      </w:r>
      <w:r>
        <w:rPr>
          <w:rFonts w:hint="cs"/>
          <w:vertAlign w:val="superscript"/>
          <w:rtl/>
        </w:rPr>
        <w:t>(</w:t>
      </w:r>
      <w:r>
        <w:rPr>
          <w:rStyle w:val="a7"/>
          <w:rtl/>
        </w:rPr>
        <w:footnoteReference w:id="2530"/>
      </w:r>
      <w:r>
        <w:rPr>
          <w:rFonts w:hint="cs"/>
          <w:vertAlign w:val="superscript"/>
          <w:rtl/>
        </w:rPr>
        <w:t>)</w:t>
      </w:r>
      <w:r>
        <w:rPr>
          <w:rFonts w:hint="cs"/>
          <w:rtl/>
        </w:rPr>
        <w:t>، والمكاتب كالحرّ ولو صغيرًا</w:t>
      </w:r>
      <w:r>
        <w:rPr>
          <w:rStyle w:val="a7"/>
          <w:rtl/>
        </w:rPr>
        <w:footnoteReference w:id="2531"/>
      </w:r>
      <w:r>
        <w:rPr>
          <w:rFonts w:hint="cs"/>
          <w:rtl/>
        </w:rPr>
        <w:t>، وأم الولد كذلك</w:t>
      </w:r>
      <w:r>
        <w:rPr>
          <w:rFonts w:hint="eastAsia"/>
          <w:rtl/>
        </w:rPr>
        <w:t>»</w:t>
      </w:r>
      <w:r>
        <w:rPr>
          <w:rFonts w:hint="cs"/>
          <w:vertAlign w:val="superscript"/>
          <w:rtl/>
        </w:rPr>
        <w:t>(</w:t>
      </w:r>
      <w:r>
        <w:rPr>
          <w:rStyle w:val="a7"/>
          <w:rtl/>
        </w:rPr>
        <w:footnoteReference w:id="2532"/>
      </w:r>
      <w:r>
        <w:rPr>
          <w:rFonts w:hint="cs"/>
          <w:vertAlign w:val="superscript"/>
          <w:rtl/>
        </w:rPr>
        <w:t>)</w:t>
      </w:r>
      <w:r>
        <w:rPr>
          <w:rFonts w:hint="cs"/>
          <w:rtl/>
        </w:rPr>
        <w:t>.</w:t>
      </w:r>
    </w:p>
    <w:p w:rsidR="00C10469" w:rsidRDefault="00C10469">
      <w:pPr>
        <w:rPr>
          <w:rtl/>
        </w:rPr>
      </w:pPr>
      <w:r>
        <w:rPr>
          <w:rFonts w:hint="eastAsia"/>
          <w:rtl/>
        </w:rPr>
        <w:t>«</w:t>
      </w:r>
      <w:r>
        <w:rPr>
          <w:rFonts w:hint="cs"/>
          <w:b/>
          <w:bCs/>
          <w:rtl/>
        </w:rPr>
        <w:t>ومن فروع هذا الأصل</w:t>
      </w:r>
      <w:r>
        <w:rPr>
          <w:rFonts w:hint="cs"/>
          <w:rtl/>
        </w:rPr>
        <w:t xml:space="preserve"> : لو طاوعته حرّة على الزنا : فلا مهر لها. ولو كان الواطئ صبيّا، فلا حدّ ولا مهر.</w:t>
      </w:r>
    </w:p>
    <w:p w:rsidR="00C10469" w:rsidRDefault="00C10469">
      <w:pPr>
        <w:rPr>
          <w:rtl/>
        </w:rPr>
      </w:pPr>
      <w:r>
        <w:rPr>
          <w:rFonts w:hint="cs"/>
          <w:rtl/>
        </w:rPr>
        <w:lastRenderedPageBreak/>
        <w:t>بخلاف ما إذا طاوعته أمة</w:t>
      </w:r>
      <w:r>
        <w:rPr>
          <w:rStyle w:val="a7"/>
          <w:rtl/>
        </w:rPr>
        <w:footnoteReference w:id="2533"/>
      </w:r>
      <w:r>
        <w:rPr>
          <w:rFonts w:hint="cs"/>
          <w:rtl/>
        </w:rPr>
        <w:t>؛ لكون المهر حقّ</w:t>
      </w:r>
      <w:r>
        <w:rPr>
          <w:rStyle w:val="a7"/>
          <w:rtl/>
        </w:rPr>
        <w:footnoteReference w:id="2534"/>
      </w:r>
      <w:r>
        <w:rPr>
          <w:rFonts w:hint="cs"/>
          <w:rtl/>
        </w:rPr>
        <w:t xml:space="preserve"> السيد</w:t>
      </w:r>
      <w:r>
        <w:rPr>
          <w:rFonts w:hint="eastAsia"/>
          <w:rtl/>
        </w:rPr>
        <w:t>»</w:t>
      </w:r>
      <w:r>
        <w:rPr>
          <w:rFonts w:hint="cs"/>
          <w:vertAlign w:val="superscript"/>
          <w:rtl/>
        </w:rPr>
        <w:t>(</w:t>
      </w:r>
      <w:r>
        <w:rPr>
          <w:rStyle w:val="a7"/>
          <w:rtl/>
        </w:rPr>
        <w:footnoteReference w:id="2535"/>
      </w:r>
      <w:r>
        <w:rPr>
          <w:rFonts w:hint="cs"/>
          <w:vertAlign w:val="superscript"/>
          <w:rtl/>
        </w:rPr>
        <w:t>)</w:t>
      </w:r>
      <w:r>
        <w:rPr>
          <w:rFonts w:hint="cs"/>
          <w:rtl/>
        </w:rPr>
        <w:t>.</w:t>
      </w:r>
    </w:p>
    <w:p w:rsidR="00C10469" w:rsidRDefault="00C10469">
      <w:pPr>
        <w:rPr>
          <w:spacing w:val="6"/>
          <w:rtl/>
        </w:rPr>
      </w:pPr>
      <w:r>
        <w:rPr>
          <w:rFonts w:hint="eastAsia"/>
          <w:spacing w:val="6"/>
          <w:rtl/>
        </w:rPr>
        <w:t>«</w:t>
      </w:r>
      <w:r>
        <w:rPr>
          <w:rFonts w:hint="cs"/>
          <w:spacing w:val="6"/>
          <w:rtl/>
        </w:rPr>
        <w:t>وقال أصحابنا : إذا</w:t>
      </w:r>
      <w:r>
        <w:rPr>
          <w:rStyle w:val="a7"/>
          <w:spacing w:val="6"/>
          <w:rtl/>
        </w:rPr>
        <w:footnoteReference w:id="2536"/>
      </w:r>
      <w:r>
        <w:rPr>
          <w:rFonts w:hint="cs"/>
          <w:spacing w:val="6"/>
          <w:rtl/>
        </w:rPr>
        <w:t xml:space="preserve"> [تنازع]</w:t>
      </w:r>
      <w:r>
        <w:rPr>
          <w:rStyle w:val="a7"/>
          <w:spacing w:val="6"/>
          <w:rtl/>
        </w:rPr>
        <w:footnoteReference w:id="2537"/>
      </w:r>
      <w:r>
        <w:rPr>
          <w:rFonts w:hint="cs"/>
          <w:spacing w:val="6"/>
          <w:rtl/>
        </w:rPr>
        <w:t xml:space="preserve"> رجلان في امرأة</w:t>
      </w:r>
      <w:r>
        <w:rPr>
          <w:rStyle w:val="a7"/>
          <w:spacing w:val="6"/>
          <w:rtl/>
        </w:rPr>
        <w:footnoteReference w:id="2538"/>
      </w:r>
      <w:r>
        <w:rPr>
          <w:rFonts w:hint="cs"/>
          <w:spacing w:val="6"/>
          <w:rtl/>
        </w:rPr>
        <w:t>، وكانت في بيت أحدهما، أو دخل بها أحدهما : فهو الأولى؛ لكونه دليلاً على</w:t>
      </w:r>
      <w:r>
        <w:rPr>
          <w:rStyle w:val="a7"/>
          <w:spacing w:val="6"/>
          <w:rtl/>
        </w:rPr>
        <w:footnoteReference w:id="2539"/>
      </w:r>
      <w:r>
        <w:rPr>
          <w:rFonts w:hint="cs"/>
          <w:spacing w:val="6"/>
          <w:rtl/>
        </w:rPr>
        <w:t xml:space="preserve"> سبق [عقده]</w:t>
      </w:r>
      <w:r>
        <w:rPr>
          <w:rStyle w:val="a7"/>
          <w:spacing w:val="6"/>
          <w:rtl/>
        </w:rPr>
        <w:footnoteReference w:id="2540"/>
      </w:r>
      <w:r>
        <w:rPr>
          <w:rFonts w:hint="eastAsia"/>
          <w:spacing w:val="6"/>
          <w:rtl/>
        </w:rPr>
        <w:t>»</w:t>
      </w:r>
      <w:r>
        <w:rPr>
          <w:rFonts w:hint="cs"/>
          <w:spacing w:val="6"/>
          <w:vertAlign w:val="superscript"/>
          <w:rtl/>
        </w:rPr>
        <w:t>(</w:t>
      </w:r>
      <w:r>
        <w:rPr>
          <w:rStyle w:val="a7"/>
          <w:spacing w:val="6"/>
          <w:rtl/>
        </w:rPr>
        <w:footnoteReference w:id="2541"/>
      </w:r>
      <w:r>
        <w:rPr>
          <w:rFonts w:hint="cs"/>
          <w:spacing w:val="6"/>
          <w:vertAlign w:val="superscript"/>
          <w:rtl/>
        </w:rPr>
        <w:t>)</w:t>
      </w:r>
      <w:r>
        <w:rPr>
          <w:rFonts w:hint="cs"/>
          <w:spacing w:val="6"/>
          <w:rtl/>
        </w:rPr>
        <w:t>- على ما حققناه</w:t>
      </w:r>
      <w:r>
        <w:rPr>
          <w:rStyle w:val="a7"/>
          <w:spacing w:val="6"/>
          <w:rtl/>
        </w:rPr>
        <w:footnoteReference w:id="2542"/>
      </w:r>
      <w:r>
        <w:rPr>
          <w:rFonts w:hint="cs"/>
          <w:spacing w:val="6"/>
          <w:rtl/>
        </w:rPr>
        <w:t xml:space="preserve"> في باب الألف</w:t>
      </w:r>
      <w:r>
        <w:rPr>
          <w:rFonts w:hint="cs"/>
          <w:spacing w:val="6"/>
          <w:vertAlign w:val="superscript"/>
          <w:rtl/>
        </w:rPr>
        <w:t>(</w:t>
      </w:r>
      <w:r>
        <w:rPr>
          <w:rStyle w:val="a7"/>
          <w:spacing w:val="6"/>
          <w:rtl/>
        </w:rPr>
        <w:footnoteReference w:id="2543"/>
      </w:r>
      <w:r>
        <w:rPr>
          <w:rFonts w:hint="cs"/>
          <w:spacing w:val="6"/>
          <w:vertAlign w:val="superscript"/>
          <w:rtl/>
        </w:rPr>
        <w:t>)</w:t>
      </w:r>
      <w:r>
        <w:rPr>
          <w:rFonts w:hint="cs"/>
          <w:spacing w:val="6"/>
          <w:rtl/>
        </w:rPr>
        <w:t xml:space="preserve"> مـن أنّ </w:t>
      </w:r>
      <w:r>
        <w:rPr>
          <w:rFonts w:hint="eastAsia"/>
          <w:spacing w:val="6"/>
          <w:rtl/>
        </w:rPr>
        <w:t>«</w:t>
      </w:r>
      <w:r>
        <w:rPr>
          <w:rFonts w:hint="cs"/>
          <w:spacing w:val="6"/>
          <w:rtl/>
        </w:rPr>
        <w:t>الأصـل في الحوادث أن يضاف حدوثها إلى أقرب الأوقات</w:t>
      </w:r>
      <w:r>
        <w:rPr>
          <w:rFonts w:hint="eastAsia"/>
          <w:spacing w:val="6"/>
          <w:rtl/>
        </w:rPr>
        <w:t>»</w:t>
      </w:r>
      <w:r>
        <w:rPr>
          <w:rFonts w:hint="cs"/>
          <w:spacing w:val="6"/>
          <w:rtl/>
        </w:rPr>
        <w:t>-.</w:t>
      </w:r>
    </w:p>
    <w:p w:rsidR="00C10469" w:rsidRDefault="00C10469">
      <w:pPr>
        <w:rPr>
          <w:rtl/>
        </w:rPr>
      </w:pPr>
      <w:r>
        <w:rPr>
          <w:rFonts w:hint="cs"/>
          <w:rtl/>
        </w:rPr>
        <w:t xml:space="preserve">وهذا يدلّ على أنّ الحرّة تدخل تحت يد الزّوج، فالأولى أن يقال : الحر لا </w:t>
      </w:r>
      <w:r>
        <w:rPr>
          <w:rFonts w:hint="cs"/>
          <w:rtl/>
        </w:rPr>
        <w:lastRenderedPageBreak/>
        <w:t>يدخل</w:t>
      </w:r>
      <w:r>
        <w:rPr>
          <w:rStyle w:val="a7"/>
          <w:rtl/>
        </w:rPr>
        <w:footnoteReference w:id="2544"/>
      </w:r>
      <w:r>
        <w:rPr>
          <w:rFonts w:hint="cs"/>
          <w:rtl/>
        </w:rPr>
        <w:t xml:space="preserve"> تحت اليد إلاّ الزّوجة فإنـها في يد زوجها</w:t>
      </w:r>
      <w:r>
        <w:rPr>
          <w:rFonts w:hint="cs"/>
          <w:vertAlign w:val="superscript"/>
          <w:rtl/>
        </w:rPr>
        <w:t>(</w:t>
      </w:r>
      <w:r>
        <w:rPr>
          <w:rStyle w:val="a7"/>
          <w:rtl/>
        </w:rPr>
        <w:footnoteReference w:id="2545"/>
      </w:r>
      <w:r>
        <w:rPr>
          <w:rFonts w:hint="cs"/>
          <w:vertAlign w:val="superscript"/>
          <w:rtl/>
        </w:rPr>
        <w:t>)</w:t>
      </w:r>
      <w:r>
        <w:rPr>
          <w:rFonts w:hint="cs"/>
          <w:rtl/>
        </w:rPr>
        <w:t>.</w:t>
      </w:r>
    </w:p>
    <w:p w:rsidR="00C10469" w:rsidRDefault="00C10469">
      <w:pPr>
        <w:rPr>
          <w:rtl/>
        </w:rPr>
      </w:pPr>
      <w:r>
        <w:rPr>
          <w:rFonts w:hint="cs"/>
          <w:rtl/>
        </w:rPr>
        <w:t xml:space="preserve">وفي (جامع الفصولين) : </w:t>
      </w:r>
      <w:r>
        <w:rPr>
          <w:rFonts w:hint="eastAsia"/>
          <w:rtl/>
        </w:rPr>
        <w:t>«</w:t>
      </w:r>
      <w:r>
        <w:rPr>
          <w:rFonts w:hint="cs"/>
          <w:rtl/>
        </w:rPr>
        <w:t>امرأة في دار رجل يدّعي أنها امرأته، وخارج يدعيها وهي تصدِّقه</w:t>
      </w:r>
      <w:r>
        <w:rPr>
          <w:rStyle w:val="a7"/>
          <w:rtl/>
        </w:rPr>
        <w:footnoteReference w:id="2546"/>
      </w:r>
      <w:r>
        <w:rPr>
          <w:rFonts w:hint="cs"/>
          <w:rtl/>
        </w:rPr>
        <w:t>: فالقول لربِّ الدَّار. وهذا صريح بأن اليد [تثبت]</w:t>
      </w:r>
      <w:r>
        <w:rPr>
          <w:rStyle w:val="a7"/>
          <w:rtl/>
        </w:rPr>
        <w:footnoteReference w:id="2547"/>
      </w:r>
      <w:r>
        <w:rPr>
          <w:rFonts w:hint="cs"/>
          <w:rtl/>
        </w:rPr>
        <w:t xml:space="preserve"> على الحرّة بحفظ الدار، كما في الـمـتاع</w:t>
      </w:r>
      <w:r>
        <w:rPr>
          <w:rFonts w:hint="eastAsia"/>
          <w:rtl/>
        </w:rPr>
        <w:t>»</w:t>
      </w:r>
      <w:r>
        <w:rPr>
          <w:rFonts w:hint="cs"/>
          <w:vertAlign w:val="superscript"/>
          <w:rtl/>
        </w:rPr>
        <w:t>(</w:t>
      </w:r>
      <w:r>
        <w:rPr>
          <w:rStyle w:val="a7"/>
          <w:rtl/>
        </w:rPr>
        <w:footnoteReference w:id="2548"/>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6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972E1" w:rsidRDefault="00C10469">
      <w:pPr>
        <w:pStyle w:val="a9"/>
        <w:rPr>
          <w:rFonts w:cs="AL-Mateen"/>
          <w:rtl/>
        </w:rPr>
      </w:pPr>
      <w:r w:rsidRPr="009972E1">
        <w:rPr>
          <w:rFonts w:cs="AL-Mateen" w:hint="cs"/>
          <w:rtl/>
        </w:rPr>
        <w:lastRenderedPageBreak/>
        <w:t>[ الـقـاعـدة الـثـالـثـة عـشـرة بـعـد الـمـائـة ]</w:t>
      </w:r>
    </w:p>
    <w:p w:rsidR="00C10469" w:rsidRDefault="00C10469">
      <w:pPr>
        <w:rPr>
          <w:spacing w:val="-10"/>
          <w:rtl/>
        </w:rPr>
      </w:pPr>
      <w:r>
        <w:rPr>
          <w:rFonts w:cs="Monotype Koufi" w:hint="eastAsia"/>
          <w:spacing w:val="-10"/>
          <w:rtl/>
        </w:rPr>
        <w:t>«</w:t>
      </w:r>
      <w:r>
        <w:rPr>
          <w:rFonts w:cs="Monotype Koufi" w:hint="cs"/>
          <w:spacing w:val="-10"/>
          <w:rtl/>
        </w:rPr>
        <w:t>الحرمةُ [تَتَعدَّى]</w:t>
      </w:r>
      <w:r>
        <w:rPr>
          <w:rFonts w:hint="cs"/>
          <w:spacing w:val="-10"/>
          <w:vertAlign w:val="superscript"/>
          <w:rtl/>
        </w:rPr>
        <w:t>(</w:t>
      </w:r>
      <w:r>
        <w:rPr>
          <w:rStyle w:val="a7"/>
          <w:spacing w:val="-10"/>
          <w:rtl/>
        </w:rPr>
        <w:footnoteReference w:id="2549"/>
      </w:r>
      <w:r>
        <w:rPr>
          <w:rFonts w:hint="cs"/>
          <w:spacing w:val="-10"/>
          <w:vertAlign w:val="superscript"/>
          <w:rtl/>
        </w:rPr>
        <w:t>)</w:t>
      </w:r>
      <w:r>
        <w:rPr>
          <w:rFonts w:hint="cs"/>
          <w:spacing w:val="-10"/>
          <w:rtl/>
        </w:rPr>
        <w:t xml:space="preserve"> </w:t>
      </w:r>
      <w:r>
        <w:rPr>
          <w:rFonts w:cs="Monotype Koufi" w:hint="cs"/>
          <w:spacing w:val="-10"/>
          <w:rtl/>
        </w:rPr>
        <w:t>فِي الأموالِ مَعَ العلمِ بها إلا في حقِّ الوارِثِ</w:t>
      </w:r>
      <w:r>
        <w:rPr>
          <w:rFonts w:hint="cs"/>
          <w:spacing w:val="-10"/>
          <w:vertAlign w:val="superscript"/>
          <w:rtl/>
        </w:rPr>
        <w:t>(</w:t>
      </w:r>
      <w:r>
        <w:rPr>
          <w:rStyle w:val="a7"/>
          <w:spacing w:val="-10"/>
          <w:rtl/>
        </w:rPr>
        <w:footnoteReference w:id="2550"/>
      </w:r>
      <w:r>
        <w:rPr>
          <w:rFonts w:hint="cs"/>
          <w:spacing w:val="-10"/>
          <w:vertAlign w:val="superscript"/>
          <w:rtl/>
        </w:rPr>
        <w:t>)</w:t>
      </w:r>
      <w:r>
        <w:rPr>
          <w:rFonts w:hint="cs"/>
          <w:spacing w:val="-10"/>
          <w:rtl/>
        </w:rPr>
        <w:t>:</w:t>
      </w:r>
    </w:p>
    <w:p w:rsidR="00C10469" w:rsidRDefault="00C10469">
      <w:pPr>
        <w:rPr>
          <w:spacing w:val="-8"/>
          <w:rtl/>
        </w:rPr>
      </w:pPr>
      <w:r>
        <w:rPr>
          <w:rFonts w:hint="cs"/>
          <w:spacing w:val="-8"/>
          <w:rtl/>
        </w:rPr>
        <w:t xml:space="preserve">فإنّ مالَ مورِّثه </w:t>
      </w:r>
      <w:r>
        <w:rPr>
          <w:rFonts w:hint="cs"/>
          <w:rtl/>
        </w:rPr>
        <w:t>حلال له وإن</w:t>
      </w:r>
      <w:r>
        <w:rPr>
          <w:rFonts w:hint="cs"/>
          <w:spacing w:val="-8"/>
          <w:rtl/>
        </w:rPr>
        <w:t xml:space="preserve"> علم بحرمته - من (الخانية)</w:t>
      </w:r>
      <w:r>
        <w:rPr>
          <w:rFonts w:hint="cs"/>
          <w:spacing w:val="-8"/>
          <w:vertAlign w:val="superscript"/>
          <w:rtl/>
        </w:rPr>
        <w:t>(</w:t>
      </w:r>
      <w:r>
        <w:rPr>
          <w:rStyle w:val="a7"/>
          <w:spacing w:val="-8"/>
          <w:rtl/>
        </w:rPr>
        <w:footnoteReference w:id="2551"/>
      </w:r>
      <w:r>
        <w:rPr>
          <w:rFonts w:hint="cs"/>
          <w:spacing w:val="-8"/>
          <w:vertAlign w:val="superscript"/>
          <w:rtl/>
        </w:rPr>
        <w:t>)</w:t>
      </w:r>
      <w:r>
        <w:rPr>
          <w:rFonts w:hint="cs"/>
          <w:spacing w:val="-8"/>
          <w:rtl/>
        </w:rPr>
        <w:t>-. وقيَّده في (الظهيرية)</w:t>
      </w:r>
      <w:r>
        <w:rPr>
          <w:rFonts w:hint="cs"/>
          <w:spacing w:val="-8"/>
          <w:vertAlign w:val="superscript"/>
          <w:rtl/>
        </w:rPr>
        <w:t>(</w:t>
      </w:r>
      <w:r>
        <w:rPr>
          <w:rStyle w:val="a7"/>
          <w:spacing w:val="-8"/>
          <w:rtl/>
        </w:rPr>
        <w:footnoteReference w:id="2552"/>
      </w:r>
      <w:r>
        <w:rPr>
          <w:rFonts w:hint="cs"/>
          <w:spacing w:val="-8"/>
          <w:vertAlign w:val="superscript"/>
          <w:rtl/>
        </w:rPr>
        <w:t>)</w:t>
      </w:r>
    </w:p>
    <w:p w:rsidR="00C10469" w:rsidRDefault="00C10469">
      <w:pPr>
        <w:ind w:firstLine="0"/>
        <w:rPr>
          <w:rtl/>
        </w:rPr>
      </w:pPr>
      <w:r>
        <w:rPr>
          <w:rFonts w:hint="cs"/>
          <w:rtl/>
        </w:rPr>
        <w:lastRenderedPageBreak/>
        <w:t>بأن لا يعلم أربابَ الأموال</w:t>
      </w:r>
      <w:r>
        <w:rPr>
          <w:rFonts w:hint="eastAsia"/>
          <w:rtl/>
        </w:rPr>
        <w:t>»</w:t>
      </w:r>
      <w:r>
        <w:rPr>
          <w:rFonts w:hint="cs"/>
          <w:vertAlign w:val="superscript"/>
          <w:rtl/>
        </w:rPr>
        <w:t>(</w:t>
      </w:r>
      <w:r>
        <w:rPr>
          <w:rStyle w:val="a7"/>
          <w:rtl/>
        </w:rPr>
        <w:footnoteReference w:id="2553"/>
      </w:r>
      <w:r>
        <w:rPr>
          <w:rFonts w:hint="cs"/>
          <w:vertAlign w:val="superscript"/>
          <w:rtl/>
        </w:rPr>
        <w:t>)</w:t>
      </w:r>
      <w:r>
        <w:rPr>
          <w:rFonts w:hint="cs"/>
          <w:rtl/>
        </w:rPr>
        <w:t>.</w:t>
      </w:r>
    </w:p>
    <w:p w:rsidR="00C10469" w:rsidRDefault="00C10469">
      <w:pPr>
        <w:ind w:firstLine="0"/>
        <w:rPr>
          <w:rtl/>
        </w:rPr>
        <w:sectPr w:rsidR="00C10469" w:rsidSect="00C10469">
          <w:headerReference w:type="default" r:id="rId16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7015E" w:rsidRDefault="00C10469">
      <w:pPr>
        <w:pStyle w:val="a9"/>
        <w:rPr>
          <w:rFonts w:cs="AL-Mateen"/>
          <w:rtl/>
        </w:rPr>
      </w:pPr>
      <w:r w:rsidRPr="0077015E">
        <w:rPr>
          <w:rFonts w:cs="AL-Mateen" w:hint="cs"/>
          <w:rtl/>
        </w:rPr>
        <w:lastRenderedPageBreak/>
        <w:t>[ الـقـاعـدة الـرابـعـة عـشـرة بـعـد الـمـائـة ]</w:t>
      </w:r>
    </w:p>
    <w:p w:rsidR="00C10469" w:rsidRDefault="00C10469">
      <w:pPr>
        <w:rPr>
          <w:rtl/>
        </w:rPr>
      </w:pPr>
      <w:r>
        <w:rPr>
          <w:rFonts w:cs="Monotype Koufi" w:hint="cs"/>
          <w:rtl/>
        </w:rPr>
        <w:t>الحقيقةُ تُتركُ بدلالةِ العادةِ</w:t>
      </w:r>
      <w:r>
        <w:rPr>
          <w:rFonts w:hint="cs"/>
          <w:vertAlign w:val="superscript"/>
          <w:rtl/>
        </w:rPr>
        <w:t>(</w:t>
      </w:r>
      <w:r>
        <w:rPr>
          <w:rStyle w:val="a7"/>
          <w:rtl/>
        </w:rPr>
        <w:footnoteReference w:id="2554"/>
      </w:r>
      <w:r>
        <w:rPr>
          <w:rFonts w:hint="cs"/>
          <w:vertAlign w:val="superscript"/>
          <w:rtl/>
        </w:rPr>
        <w:t>)</w:t>
      </w:r>
      <w:r>
        <w:rPr>
          <w:rFonts w:hint="cs"/>
          <w:rtl/>
        </w:rPr>
        <w:t xml:space="preserve"> :</w:t>
      </w:r>
    </w:p>
    <w:p w:rsidR="00C10469" w:rsidRDefault="00C10469">
      <w:pPr>
        <w:rPr>
          <w:rtl/>
        </w:rPr>
      </w:pPr>
      <w:r>
        <w:rPr>
          <w:rFonts w:hint="cs"/>
          <w:b/>
          <w:bCs/>
          <w:rtl/>
        </w:rPr>
        <w:lastRenderedPageBreak/>
        <w:t>ولذا</w:t>
      </w:r>
      <w:r>
        <w:rPr>
          <w:rFonts w:hint="cs"/>
          <w:rtl/>
        </w:rPr>
        <w:t xml:space="preserve"> : لو حلف لا يـأكل لـحمًا : لا يـحنث بأكل لحم الخنـزير والآدمي على القول المفتى به</w:t>
      </w:r>
      <w:r>
        <w:rPr>
          <w:rFonts w:hint="cs"/>
          <w:vertAlign w:val="superscript"/>
          <w:rtl/>
        </w:rPr>
        <w:t>(</w:t>
      </w:r>
      <w:r>
        <w:rPr>
          <w:rStyle w:val="a7"/>
          <w:rtl/>
        </w:rPr>
        <w:footnoteReference w:id="2555"/>
      </w:r>
      <w:r>
        <w:rPr>
          <w:rFonts w:hint="cs"/>
          <w:vertAlign w:val="superscript"/>
          <w:rtl/>
        </w:rPr>
        <w:t>)</w:t>
      </w:r>
      <w:r>
        <w:rPr>
          <w:rFonts w:hint="cs"/>
          <w:rtl/>
        </w:rPr>
        <w:t>.</w:t>
      </w:r>
    </w:p>
    <w:p w:rsidR="00C10469" w:rsidRDefault="00C10469">
      <w:pPr>
        <w:rPr>
          <w:rtl/>
        </w:rPr>
      </w:pPr>
      <w:r>
        <w:rPr>
          <w:rFonts w:hint="cs"/>
          <w:rtl/>
        </w:rPr>
        <w:t>وفــي (الكــنـز)</w:t>
      </w:r>
      <w:r>
        <w:rPr>
          <w:rStyle w:val="a7"/>
          <w:rtl/>
        </w:rPr>
        <w:footnoteReference w:id="2556"/>
      </w:r>
      <w:r>
        <w:rPr>
          <w:rFonts w:hint="cs"/>
          <w:vertAlign w:val="superscript"/>
          <w:rtl/>
        </w:rPr>
        <w:t>(</w:t>
      </w:r>
      <w:r>
        <w:rPr>
          <w:rStyle w:val="a7"/>
          <w:rtl/>
        </w:rPr>
        <w:footnoteReference w:id="2557"/>
      </w:r>
      <w:r>
        <w:rPr>
          <w:rFonts w:hint="cs"/>
          <w:vertAlign w:val="superscript"/>
          <w:rtl/>
        </w:rPr>
        <w:t>)</w:t>
      </w:r>
      <w:r>
        <w:rPr>
          <w:rFonts w:hint="cs"/>
          <w:rtl/>
        </w:rPr>
        <w:t xml:space="preserve"> : </w:t>
      </w:r>
    </w:p>
    <w:p w:rsidR="00C10469" w:rsidRDefault="00C10469">
      <w:pPr>
        <w:ind w:firstLine="0"/>
        <w:rPr>
          <w:rtl/>
        </w:rPr>
      </w:pPr>
      <w:r>
        <w:rPr>
          <w:rFonts w:hint="cs"/>
          <w:rtl/>
        </w:rPr>
        <w:lastRenderedPageBreak/>
        <w:t>يـحـنـث</w:t>
      </w:r>
      <w:r>
        <w:rPr>
          <w:rFonts w:hint="cs"/>
          <w:vertAlign w:val="superscript"/>
          <w:rtl/>
        </w:rPr>
        <w:t>(</w:t>
      </w:r>
      <w:r>
        <w:rPr>
          <w:rStyle w:val="a7"/>
          <w:rtl/>
        </w:rPr>
        <w:footnoteReference w:id="2558"/>
      </w:r>
      <w:r>
        <w:rPr>
          <w:rFonts w:hint="cs"/>
          <w:vertAlign w:val="superscript"/>
          <w:rtl/>
        </w:rPr>
        <w:t>)</w:t>
      </w:r>
      <w:r>
        <w:rPr>
          <w:rFonts w:hint="cs"/>
          <w:rtl/>
        </w:rPr>
        <w:t>.</w:t>
      </w:r>
    </w:p>
    <w:p w:rsidR="00C10469" w:rsidRDefault="00C10469">
      <w:pPr>
        <w:rPr>
          <w:spacing w:val="-8"/>
          <w:rtl/>
        </w:rPr>
      </w:pPr>
      <w:r>
        <w:rPr>
          <w:rFonts w:hint="cs"/>
          <w:spacing w:val="-8"/>
          <w:rtl/>
        </w:rPr>
        <w:t>وأجاب الزيلعيّ</w:t>
      </w:r>
      <w:r>
        <w:rPr>
          <w:rFonts w:hint="cs"/>
          <w:spacing w:val="-8"/>
          <w:vertAlign w:val="superscript"/>
          <w:rtl/>
        </w:rPr>
        <w:t>(</w:t>
      </w:r>
      <w:r>
        <w:rPr>
          <w:rStyle w:val="a7"/>
          <w:spacing w:val="-8"/>
          <w:rtl/>
        </w:rPr>
        <w:footnoteReference w:id="2559"/>
      </w:r>
      <w:r>
        <w:rPr>
          <w:rFonts w:hint="cs"/>
          <w:spacing w:val="-8"/>
          <w:vertAlign w:val="superscript"/>
          <w:rtl/>
        </w:rPr>
        <w:t>)</w:t>
      </w:r>
      <w:r>
        <w:rPr>
          <w:rFonts w:hint="cs"/>
          <w:spacing w:val="-8"/>
          <w:rtl/>
        </w:rPr>
        <w:t xml:space="preserve"> بأنه عُرفٌ عملي، فلا تترك [له]</w:t>
      </w:r>
      <w:r>
        <w:rPr>
          <w:rStyle w:val="a7"/>
          <w:spacing w:val="-8"/>
          <w:rtl/>
        </w:rPr>
        <w:footnoteReference w:id="2560"/>
      </w:r>
      <w:r>
        <w:rPr>
          <w:rFonts w:hint="cs"/>
          <w:spacing w:val="-8"/>
          <w:rtl/>
        </w:rPr>
        <w:t xml:space="preserve"> الحقيقة بخلاف العرف اللفظي.</w:t>
      </w:r>
    </w:p>
    <w:p w:rsidR="00C10469" w:rsidRDefault="00C10469">
      <w:pPr>
        <w:rPr>
          <w:spacing w:val="-8"/>
          <w:rtl/>
        </w:rPr>
      </w:pPr>
      <w:r>
        <w:rPr>
          <w:rFonts w:hint="cs"/>
          <w:spacing w:val="-8"/>
          <w:rtl/>
        </w:rPr>
        <w:t>وقد ردّه في (فتح القدير)</w:t>
      </w:r>
      <w:r>
        <w:rPr>
          <w:rFonts w:hint="cs"/>
          <w:spacing w:val="-8"/>
          <w:vertAlign w:val="superscript"/>
          <w:rtl/>
        </w:rPr>
        <w:t>(</w:t>
      </w:r>
      <w:r>
        <w:rPr>
          <w:rStyle w:val="a7"/>
          <w:spacing w:val="-8"/>
          <w:rtl/>
        </w:rPr>
        <w:footnoteReference w:id="2561"/>
      </w:r>
      <w:r>
        <w:rPr>
          <w:rFonts w:hint="cs"/>
          <w:spacing w:val="-8"/>
          <w:vertAlign w:val="superscript"/>
          <w:rtl/>
        </w:rPr>
        <w:t>)(</w:t>
      </w:r>
      <w:r>
        <w:rPr>
          <w:rStyle w:val="a7"/>
          <w:spacing w:val="-8"/>
          <w:rtl/>
        </w:rPr>
        <w:footnoteReference w:id="2562"/>
      </w:r>
      <w:r>
        <w:rPr>
          <w:rFonts w:hint="cs"/>
          <w:spacing w:val="-8"/>
          <w:vertAlign w:val="superscript"/>
          <w:rtl/>
        </w:rPr>
        <w:t>)</w:t>
      </w:r>
      <w:r>
        <w:rPr>
          <w:rFonts w:hint="cs"/>
          <w:spacing w:val="-8"/>
          <w:rtl/>
        </w:rPr>
        <w:t xml:space="preserve">؛ لقولهم في الأصول: </w:t>
      </w:r>
      <w:r>
        <w:rPr>
          <w:rFonts w:hint="eastAsia"/>
          <w:spacing w:val="-8"/>
          <w:rtl/>
        </w:rPr>
        <w:t>«</w:t>
      </w:r>
      <w:r>
        <w:rPr>
          <w:rFonts w:hint="cs"/>
          <w:spacing w:val="-8"/>
          <w:rtl/>
        </w:rPr>
        <w:t>الحقيقة تترك بدلالة العادة</w:t>
      </w:r>
      <w:r>
        <w:rPr>
          <w:rFonts w:hint="eastAsia"/>
          <w:spacing w:val="-8"/>
          <w:rtl/>
        </w:rPr>
        <w:t>»</w:t>
      </w:r>
      <w:r>
        <w:rPr>
          <w:rFonts w:hint="cs"/>
          <w:spacing w:val="-8"/>
          <w:rtl/>
        </w:rPr>
        <w:t xml:space="preserve"> </w:t>
      </w:r>
      <w:r>
        <w:rPr>
          <w:rFonts w:hint="cs"/>
          <w:spacing w:val="-8"/>
          <w:rtl/>
        </w:rPr>
        <w:lastRenderedPageBreak/>
        <w:t>وليست</w:t>
      </w:r>
    </w:p>
    <w:p w:rsidR="00C10469" w:rsidRDefault="00C10469">
      <w:pPr>
        <w:ind w:firstLine="0"/>
        <w:rPr>
          <w:spacing w:val="-8"/>
          <w:rtl/>
        </w:rPr>
      </w:pPr>
      <w:r>
        <w:rPr>
          <w:rFonts w:hint="cs"/>
          <w:spacing w:val="-8"/>
          <w:rtl/>
        </w:rPr>
        <w:t>العادة إلا عرفًا عمليًا، فلا فرق</w:t>
      </w:r>
      <w:r>
        <w:rPr>
          <w:rStyle w:val="a7"/>
          <w:spacing w:val="-8"/>
          <w:rtl/>
        </w:rPr>
        <w:footnoteReference w:id="2563"/>
      </w:r>
      <w:r>
        <w:rPr>
          <w:rFonts w:hint="cs"/>
          <w:spacing w:val="-8"/>
          <w:rtl/>
        </w:rPr>
        <w:t xml:space="preserve"> بين العرف العمليّ واللفظي. وأفتوا بعدم الحنث في هذه المسألة.</w:t>
      </w:r>
      <w:r>
        <w:rPr>
          <w:spacing w:val="-8"/>
          <w:rtl/>
        </w:rPr>
        <w:t xml:space="preserve"> </w:t>
      </w:r>
    </w:p>
    <w:p w:rsidR="00C10469" w:rsidRDefault="00C10469">
      <w:pPr>
        <w:ind w:firstLine="0"/>
        <w:rPr>
          <w:spacing w:val="-8"/>
          <w:rtl/>
        </w:rPr>
      </w:pPr>
    </w:p>
    <w:p w:rsidR="00C10469" w:rsidRDefault="00C10469">
      <w:pPr>
        <w:ind w:firstLine="0"/>
        <w:rPr>
          <w:spacing w:val="-8"/>
          <w:rtl/>
        </w:rPr>
      </w:pPr>
    </w:p>
    <w:p w:rsidR="00C10469" w:rsidRPr="00EC1630" w:rsidRDefault="00C10469">
      <w:pPr>
        <w:ind w:firstLine="0"/>
        <w:jc w:val="center"/>
        <w:rPr>
          <w:spacing w:val="-8"/>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spacing w:val="-8"/>
          <w:rtl/>
        </w:rPr>
        <w:sectPr w:rsidR="00C10469" w:rsidSect="00C10469">
          <w:headerReference w:type="default" r:id="rId17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A698C" w:rsidRDefault="00C10469">
      <w:pPr>
        <w:pStyle w:val="a9"/>
        <w:rPr>
          <w:rFonts w:cs="AL-Mateen"/>
          <w:rtl/>
        </w:rPr>
      </w:pPr>
      <w:r w:rsidRPr="00AA698C">
        <w:rPr>
          <w:rFonts w:cs="AL-Mateen" w:hint="cs"/>
          <w:rtl/>
        </w:rPr>
        <w:lastRenderedPageBreak/>
        <w:t>[ الـقـاعـدة الـخـامـسـة عـشـرة بـعـد الـمـائـة ]</w:t>
      </w:r>
    </w:p>
    <w:p w:rsidR="00C10469" w:rsidRDefault="00C10469">
      <w:pPr>
        <w:rPr>
          <w:rtl/>
        </w:rPr>
      </w:pPr>
      <w:r>
        <w:rPr>
          <w:rFonts w:cs="Monotype Koufi" w:hint="cs"/>
          <w:rtl/>
        </w:rPr>
        <w:t>الحكمُ يَنْتَهِي بانتهاءِ علَّتِهِ</w:t>
      </w:r>
      <w:r>
        <w:rPr>
          <w:rFonts w:hint="cs"/>
          <w:vertAlign w:val="superscript"/>
          <w:rtl/>
        </w:rPr>
        <w:t>(</w:t>
      </w:r>
      <w:r>
        <w:rPr>
          <w:rStyle w:val="a7"/>
          <w:rtl/>
        </w:rPr>
        <w:footnoteReference w:id="2564"/>
      </w:r>
      <w:r>
        <w:rPr>
          <w:rFonts w:hint="cs"/>
          <w:vertAlign w:val="superscript"/>
          <w:rtl/>
        </w:rPr>
        <w:t>)</w:t>
      </w:r>
      <w:r>
        <w:rPr>
          <w:rFonts w:hint="cs"/>
          <w:rtl/>
        </w:rPr>
        <w:t xml:space="preserve"> :</w:t>
      </w:r>
    </w:p>
    <w:p w:rsidR="00C10469" w:rsidRDefault="00C10469">
      <w:pPr>
        <w:rPr>
          <w:rtl/>
        </w:rPr>
      </w:pPr>
      <w:r>
        <w:rPr>
          <w:rFonts w:hint="cs"/>
          <w:b/>
          <w:bCs/>
          <w:rtl/>
        </w:rPr>
        <w:lastRenderedPageBreak/>
        <w:t>ومن فروع هذا الأصل</w:t>
      </w:r>
      <w:r>
        <w:rPr>
          <w:rFonts w:hint="cs"/>
          <w:rtl/>
        </w:rPr>
        <w:t>: إذا اشترى عبدًا بالخيار، فمرض العبد في مدَّة الخيار، فالحكم فيه : عدم جواز الرّد.</w:t>
      </w:r>
    </w:p>
    <w:p w:rsidR="00C10469" w:rsidRDefault="00C10469">
      <w:pPr>
        <w:rPr>
          <w:rtl/>
        </w:rPr>
      </w:pPr>
      <w:r>
        <w:rPr>
          <w:rFonts w:hint="cs"/>
          <w:rtl/>
        </w:rPr>
        <w:t>والعلة : المرض.</w:t>
      </w:r>
    </w:p>
    <w:p w:rsidR="00C10469" w:rsidRDefault="00C10469">
      <w:pPr>
        <w:rPr>
          <w:spacing w:val="-10"/>
          <w:rtl/>
        </w:rPr>
      </w:pPr>
      <w:r>
        <w:rPr>
          <w:rFonts w:hint="cs"/>
          <w:spacing w:val="-10"/>
          <w:sz w:val="35"/>
          <w:szCs w:val="35"/>
          <w:rtl/>
        </w:rPr>
        <w:t>فإذا انتهت العلّة في المدّة بصحّته</w:t>
      </w:r>
      <w:r>
        <w:rPr>
          <w:rFonts w:hint="cs"/>
          <w:spacing w:val="-10"/>
          <w:vertAlign w:val="superscript"/>
          <w:rtl/>
        </w:rPr>
        <w:t>(</w:t>
      </w:r>
      <w:r>
        <w:rPr>
          <w:rStyle w:val="a7"/>
          <w:spacing w:val="-10"/>
          <w:rtl/>
        </w:rPr>
        <w:footnoteReference w:id="2565"/>
      </w:r>
      <w:r>
        <w:rPr>
          <w:rFonts w:hint="cs"/>
          <w:spacing w:val="-10"/>
          <w:vertAlign w:val="superscript"/>
          <w:rtl/>
        </w:rPr>
        <w:t>)</w:t>
      </w:r>
      <w:r>
        <w:rPr>
          <w:rFonts w:hint="cs"/>
          <w:spacing w:val="-10"/>
          <w:rtl/>
        </w:rPr>
        <w:t xml:space="preserve">: </w:t>
      </w:r>
      <w:r>
        <w:rPr>
          <w:rFonts w:hint="cs"/>
          <w:spacing w:val="-10"/>
          <w:sz w:val="35"/>
          <w:szCs w:val="35"/>
          <w:rtl/>
        </w:rPr>
        <w:t>ينتهي الحكم (وهو عدم جواز الرد)، ويُحكم بجوازه</w:t>
      </w:r>
      <w:r>
        <w:rPr>
          <w:rStyle w:val="a7"/>
          <w:spacing w:val="-10"/>
          <w:rtl/>
        </w:rPr>
        <w:footnoteReference w:id="2566"/>
      </w:r>
      <w:r>
        <w:rPr>
          <w:rFonts w:hint="cs"/>
          <w:spacing w:val="-10"/>
          <w:vertAlign w:val="superscript"/>
          <w:rtl/>
        </w:rPr>
        <w:t>(</w:t>
      </w:r>
      <w:r>
        <w:rPr>
          <w:rStyle w:val="a7"/>
          <w:spacing w:val="-10"/>
          <w:rtl/>
        </w:rPr>
        <w:footnoteReference w:id="2567"/>
      </w:r>
      <w:r>
        <w:rPr>
          <w:rFonts w:hint="cs"/>
          <w:spacing w:val="-10"/>
          <w:vertAlign w:val="superscript"/>
          <w:rtl/>
        </w:rPr>
        <w:t>)</w:t>
      </w:r>
      <w:r>
        <w:rPr>
          <w:rFonts w:hint="cs"/>
          <w:spacing w:val="-10"/>
          <w:rtl/>
        </w:rPr>
        <w:t>.</w:t>
      </w:r>
    </w:p>
    <w:p w:rsidR="00C10469" w:rsidRDefault="00C10469">
      <w:pPr>
        <w:rPr>
          <w:rtl/>
        </w:rPr>
      </w:pPr>
      <w:r>
        <w:rPr>
          <w:rFonts w:hint="cs"/>
          <w:rtl/>
        </w:rPr>
        <w:t>وقد ذَكَرْ[نَا]</w:t>
      </w:r>
      <w:r>
        <w:rPr>
          <w:rStyle w:val="a7"/>
          <w:rtl/>
        </w:rPr>
        <w:footnoteReference w:id="2568"/>
      </w:r>
      <w:r>
        <w:rPr>
          <w:rFonts w:hint="cs"/>
          <w:rtl/>
        </w:rPr>
        <w:t xml:space="preserve"> في باب الباء</w:t>
      </w:r>
      <w:r>
        <w:rPr>
          <w:rStyle w:val="a7"/>
          <w:rtl/>
        </w:rPr>
        <w:footnoteReference w:id="2569"/>
      </w:r>
      <w:r>
        <w:rPr>
          <w:rFonts w:hint="cs"/>
          <w:rtl/>
        </w:rPr>
        <w:t xml:space="preserve"> أصلاً آخرَ وهو: </w:t>
      </w:r>
      <w:r>
        <w:rPr>
          <w:rFonts w:hint="eastAsia"/>
          <w:rtl/>
        </w:rPr>
        <w:t>«</w:t>
      </w:r>
      <w:r>
        <w:rPr>
          <w:rFonts w:hint="cs"/>
          <w:rtl/>
        </w:rPr>
        <w:t xml:space="preserve">بقاء الحكم مستغن عن بقاء </w:t>
      </w:r>
      <w:r>
        <w:rPr>
          <w:rFonts w:hint="cs"/>
          <w:rtl/>
        </w:rPr>
        <w:lastRenderedPageBreak/>
        <w:t>العلة</w:t>
      </w:r>
      <w:r>
        <w:rPr>
          <w:rFonts w:hint="eastAsia"/>
          <w:rtl/>
        </w:rPr>
        <w:t>»</w:t>
      </w:r>
      <w:r>
        <w:rPr>
          <w:rFonts w:hint="cs"/>
          <w:vertAlign w:val="superscript"/>
          <w:rtl/>
        </w:rPr>
        <w:t>(</w:t>
      </w:r>
      <w:r>
        <w:rPr>
          <w:rStyle w:val="a7"/>
          <w:rtl/>
        </w:rPr>
        <w:footnoteReference w:id="2570"/>
      </w:r>
      <w:r>
        <w:rPr>
          <w:rFonts w:hint="cs"/>
          <w:vertAlign w:val="superscript"/>
          <w:rtl/>
        </w:rPr>
        <w:t>)</w:t>
      </w:r>
      <w:r>
        <w:rPr>
          <w:rFonts w:hint="cs"/>
          <w:rtl/>
        </w:rPr>
        <w:t xml:space="preserve">، وبينهما </w:t>
      </w:r>
      <w:r>
        <w:rPr>
          <w:rFonts w:hint="cs"/>
          <w:b/>
          <w:bCs/>
          <w:rtl/>
        </w:rPr>
        <w:t>التدافع مُتَوَهّمٌ</w:t>
      </w:r>
      <w:r>
        <w:rPr>
          <w:rFonts w:hint="cs"/>
          <w:rtl/>
        </w:rPr>
        <w:t xml:space="preserve"> !.</w:t>
      </w:r>
    </w:p>
    <w:p w:rsidR="00C10469" w:rsidRDefault="00C10469">
      <w:pPr>
        <w:rPr>
          <w:rtl/>
        </w:rPr>
      </w:pPr>
      <w:r>
        <w:rPr>
          <w:rFonts w:hint="cs"/>
          <w:b/>
          <w:bCs/>
          <w:rtl/>
        </w:rPr>
        <w:t>والجواب</w:t>
      </w:r>
      <w:r>
        <w:rPr>
          <w:rFonts w:hint="cs"/>
          <w:rtl/>
        </w:rPr>
        <w:t xml:space="preserve"> في دفع</w:t>
      </w:r>
      <w:r>
        <w:rPr>
          <w:rStyle w:val="a7"/>
          <w:rtl/>
        </w:rPr>
        <w:footnoteReference w:id="2571"/>
      </w:r>
      <w:r>
        <w:rPr>
          <w:rFonts w:hint="cs"/>
          <w:rtl/>
        </w:rPr>
        <w:t xml:space="preserve"> التوهّم</w:t>
      </w:r>
      <w:r>
        <w:rPr>
          <w:rFonts w:hint="cs"/>
          <w:vertAlign w:val="superscript"/>
          <w:rtl/>
        </w:rPr>
        <w:t>(</w:t>
      </w:r>
      <w:r>
        <w:rPr>
          <w:rStyle w:val="a7"/>
          <w:rtl/>
        </w:rPr>
        <w:footnoteReference w:id="2572"/>
      </w:r>
      <w:r>
        <w:rPr>
          <w:rFonts w:hint="cs"/>
          <w:vertAlign w:val="superscript"/>
          <w:rtl/>
        </w:rPr>
        <w:t>)</w:t>
      </w:r>
      <w:r>
        <w:rPr>
          <w:rFonts w:hint="cs"/>
          <w:rtl/>
        </w:rPr>
        <w:t xml:space="preserve"> : أن انتفاء الحكم بانتهاء العلة إذا كان الحكم [ثابتًا مع منافٍ؛ ففي هذه المسألة المقتضي لجواز الرَّد]</w:t>
      </w:r>
      <w:r>
        <w:rPr>
          <w:rStyle w:val="a7"/>
          <w:rtl/>
        </w:rPr>
        <w:footnoteReference w:id="2573"/>
      </w:r>
      <w:r>
        <w:rPr>
          <w:rFonts w:hint="cs"/>
          <w:rtl/>
        </w:rPr>
        <w:t xml:space="preserve"> شَرْطُ الخيار، والمرض يمنع عمل</w:t>
      </w:r>
      <w:r>
        <w:rPr>
          <w:rStyle w:val="a7"/>
          <w:rtl/>
        </w:rPr>
        <w:footnoteReference w:id="2574"/>
      </w:r>
      <w:r>
        <w:rPr>
          <w:rFonts w:hint="cs"/>
          <w:rtl/>
        </w:rPr>
        <w:t xml:space="preserve"> المقتضي، </w:t>
      </w:r>
      <w:r>
        <w:rPr>
          <w:rFonts w:hint="eastAsia"/>
          <w:rtl/>
        </w:rPr>
        <w:t>«</w:t>
      </w:r>
      <w:r>
        <w:rPr>
          <w:rFonts w:hint="cs"/>
          <w:rtl/>
        </w:rPr>
        <w:t>فإذا زال المانع عاد الممنوع</w:t>
      </w:r>
      <w:r>
        <w:rPr>
          <w:rFonts w:hint="eastAsia"/>
          <w:rtl/>
        </w:rPr>
        <w:t>»</w:t>
      </w:r>
      <w:r>
        <w:rPr>
          <w:rFonts w:hint="cs"/>
          <w:vertAlign w:val="superscript"/>
          <w:rtl/>
        </w:rPr>
        <w:t>(</w:t>
      </w:r>
      <w:r>
        <w:rPr>
          <w:rStyle w:val="a7"/>
          <w:rtl/>
        </w:rPr>
        <w:footnoteReference w:id="2575"/>
      </w:r>
      <w:r>
        <w:rPr>
          <w:rFonts w:hint="cs"/>
          <w:vertAlign w:val="superscript"/>
          <w:rtl/>
        </w:rPr>
        <w:t>)</w:t>
      </w:r>
      <w:r>
        <w:rPr>
          <w:rFonts w:hint="cs"/>
          <w:rtl/>
        </w:rPr>
        <w:t xml:space="preserve"> (وهو جواز الرّد)، [لأن الحكم ههنا ثابت مع مناف؛ لأن شرط الخيار يقتضي جواز الرّد]</w:t>
      </w:r>
      <w:r>
        <w:rPr>
          <w:rStyle w:val="a7"/>
          <w:rtl/>
        </w:rPr>
        <w:footnoteReference w:id="2576"/>
      </w:r>
      <w:r>
        <w:rPr>
          <w:rFonts w:hint="cs"/>
          <w:rtl/>
        </w:rPr>
        <w:t>، والمرض علّة يمنعه</w:t>
      </w:r>
      <w:r>
        <w:rPr>
          <w:rStyle w:val="a7"/>
          <w:rtl/>
        </w:rPr>
        <w:footnoteReference w:id="2577"/>
      </w:r>
      <w:r>
        <w:rPr>
          <w:rFonts w:hint="cs"/>
          <w:rtl/>
        </w:rPr>
        <w:t>، فكانت ثابتـة بمناف، فإذا انتهت العلة يعمل</w:t>
      </w:r>
      <w:r>
        <w:rPr>
          <w:rStyle w:val="a7"/>
          <w:rtl/>
        </w:rPr>
        <w:footnoteReference w:id="2578"/>
      </w:r>
      <w:r>
        <w:rPr>
          <w:rFonts w:hint="cs"/>
          <w:rtl/>
        </w:rPr>
        <w:t xml:space="preserve"> المقتضي، [فيثبت]</w:t>
      </w:r>
      <w:r>
        <w:rPr>
          <w:rStyle w:val="a7"/>
          <w:rtl/>
        </w:rPr>
        <w:footnoteReference w:id="2579"/>
      </w:r>
      <w:r>
        <w:rPr>
          <w:rFonts w:hint="cs"/>
          <w:rtl/>
        </w:rPr>
        <w:t xml:space="preserve"> جواز الرّد.</w:t>
      </w:r>
    </w:p>
    <w:p w:rsidR="00C10469" w:rsidRDefault="00C10469">
      <w:pPr>
        <w:rPr>
          <w:spacing w:val="-2"/>
          <w:rtl/>
        </w:rPr>
      </w:pPr>
      <w:r>
        <w:rPr>
          <w:rFonts w:hint="cs"/>
          <w:spacing w:val="-2"/>
          <w:rtl/>
        </w:rPr>
        <w:t xml:space="preserve">وأما استغناء الحكم عن بقاء العلة : إذا كان الحكم ثابتًا بلا مناف (وهو </w:t>
      </w:r>
      <w:r>
        <w:rPr>
          <w:rFonts w:hint="cs"/>
          <w:spacing w:val="-2"/>
          <w:rtl/>
        </w:rPr>
        <w:lastRenderedPageBreak/>
        <w:t>المقتضي)، فإذا انتفى المقتضي لا يتغيّر</w:t>
      </w:r>
      <w:r>
        <w:rPr>
          <w:rStyle w:val="a7"/>
          <w:spacing w:val="-2"/>
          <w:rtl/>
        </w:rPr>
        <w:footnoteReference w:id="2580"/>
      </w:r>
      <w:r>
        <w:rPr>
          <w:rFonts w:hint="cs"/>
          <w:spacing w:val="-2"/>
          <w:rtl/>
        </w:rPr>
        <w:t xml:space="preserve"> بانتهاء العلة</w:t>
      </w:r>
      <w:r>
        <w:rPr>
          <w:rFonts w:hint="cs"/>
          <w:spacing w:val="-2"/>
          <w:vertAlign w:val="superscript"/>
          <w:rtl/>
        </w:rPr>
        <w:t>(</w:t>
      </w:r>
      <w:r>
        <w:rPr>
          <w:rStyle w:val="a7"/>
          <w:spacing w:val="-2"/>
          <w:rtl/>
        </w:rPr>
        <w:footnoteReference w:id="2581"/>
      </w:r>
      <w:r>
        <w:rPr>
          <w:rFonts w:hint="cs"/>
          <w:spacing w:val="-2"/>
          <w:vertAlign w:val="superscript"/>
          <w:rtl/>
        </w:rPr>
        <w:t>)</w:t>
      </w:r>
      <w:r>
        <w:rPr>
          <w:rFonts w:hint="cs"/>
          <w:spacing w:val="-2"/>
          <w:rtl/>
        </w:rPr>
        <w:t>؛ لأن الحكم (وهو عدم</w:t>
      </w:r>
      <w:r>
        <w:rPr>
          <w:rStyle w:val="a7"/>
          <w:spacing w:val="-2"/>
          <w:rtl/>
        </w:rPr>
        <w:footnoteReference w:id="2582"/>
      </w:r>
      <w:r>
        <w:rPr>
          <w:rFonts w:hint="cs"/>
          <w:spacing w:val="-2"/>
          <w:rtl/>
        </w:rPr>
        <w:t xml:space="preserve"> جواز الرد) ساقط،</w:t>
      </w:r>
    </w:p>
    <w:p w:rsidR="00C10469" w:rsidRDefault="00C10469">
      <w:pPr>
        <w:ind w:firstLine="0"/>
        <w:rPr>
          <w:rtl/>
        </w:rPr>
      </w:pPr>
      <w:r>
        <w:rPr>
          <w:rFonts w:hint="cs"/>
          <w:rtl/>
        </w:rPr>
        <w:t>و</w:t>
      </w:r>
      <w:r>
        <w:rPr>
          <w:rFonts w:hint="eastAsia"/>
          <w:rtl/>
        </w:rPr>
        <w:t>«</w:t>
      </w:r>
      <w:r>
        <w:rPr>
          <w:rFonts w:hint="cs"/>
          <w:rtl/>
        </w:rPr>
        <w:t>الساقط لا يعود</w:t>
      </w:r>
      <w:r>
        <w:rPr>
          <w:rFonts w:hint="eastAsia"/>
          <w:rtl/>
        </w:rPr>
        <w:t>»</w:t>
      </w:r>
      <w:r>
        <w:rPr>
          <w:rFonts w:hint="cs"/>
          <w:vertAlign w:val="superscript"/>
          <w:rtl/>
        </w:rPr>
        <w:t>(</w:t>
      </w:r>
      <w:r>
        <w:rPr>
          <w:rStyle w:val="a7"/>
          <w:rtl/>
        </w:rPr>
        <w:footnoteReference w:id="2583"/>
      </w:r>
      <w:r>
        <w:rPr>
          <w:rFonts w:hint="cs"/>
          <w:vertAlign w:val="superscript"/>
          <w:rtl/>
        </w:rPr>
        <w:t>)</w:t>
      </w:r>
      <w:r>
        <w:rPr>
          <w:rFonts w:hint="cs"/>
          <w:rtl/>
        </w:rPr>
        <w:t>.</w:t>
      </w:r>
    </w:p>
    <w:p w:rsidR="00C10469" w:rsidRDefault="00C10469">
      <w:pPr>
        <w:rPr>
          <w:spacing w:val="4"/>
          <w:rtl/>
        </w:rPr>
      </w:pPr>
      <w:r>
        <w:rPr>
          <w:rFonts w:hint="cs"/>
          <w:b/>
          <w:bCs/>
          <w:spacing w:val="4"/>
          <w:rtl/>
        </w:rPr>
        <w:t>ومثاله</w:t>
      </w:r>
      <w:r>
        <w:rPr>
          <w:rFonts w:hint="cs"/>
          <w:spacing w:val="4"/>
          <w:rtl/>
        </w:rPr>
        <w:t xml:space="preserve"> : اشترى عبدًا بالخيار، فمرض العبد في مدة الخيار، وأراد المشترى الرّد</w:t>
      </w:r>
      <w:r>
        <w:rPr>
          <w:rStyle w:val="a7"/>
          <w:spacing w:val="4"/>
          <w:rtl/>
        </w:rPr>
        <w:footnoteReference w:id="2584"/>
      </w:r>
      <w:r>
        <w:rPr>
          <w:rFonts w:hint="cs"/>
          <w:spacing w:val="4"/>
          <w:rtl/>
        </w:rPr>
        <w:t>، فترافعا وحكم القاضي بسقوط الخيار، وزال المرض في المدّة: ليس له ذلك</w:t>
      </w:r>
      <w:r>
        <w:rPr>
          <w:rFonts w:hint="cs"/>
          <w:spacing w:val="4"/>
          <w:vertAlign w:val="superscript"/>
          <w:rtl/>
        </w:rPr>
        <w:t>(</w:t>
      </w:r>
      <w:r>
        <w:rPr>
          <w:rStyle w:val="a7"/>
          <w:spacing w:val="4"/>
          <w:rtl/>
        </w:rPr>
        <w:footnoteReference w:id="2585"/>
      </w:r>
      <w:r>
        <w:rPr>
          <w:rFonts w:hint="cs"/>
          <w:spacing w:val="4"/>
          <w:vertAlign w:val="superscript"/>
          <w:rtl/>
        </w:rPr>
        <w:t>)</w:t>
      </w:r>
      <w:r>
        <w:rPr>
          <w:rFonts w:hint="cs"/>
          <w:spacing w:val="4"/>
          <w:rtl/>
        </w:rPr>
        <w:t>؛ لأن المقتضي انعدم بحكم القـاضي، فـلـزم البيع</w:t>
      </w:r>
      <w:r>
        <w:rPr>
          <w:rStyle w:val="a7"/>
          <w:spacing w:val="4"/>
          <w:rtl/>
        </w:rPr>
        <w:footnoteReference w:id="2586"/>
      </w:r>
      <w:r>
        <w:rPr>
          <w:rFonts w:hint="cs"/>
          <w:spacing w:val="4"/>
          <w:rtl/>
        </w:rPr>
        <w:t xml:space="preserve"> ولـم يبـق</w:t>
      </w:r>
      <w:r>
        <w:rPr>
          <w:rStyle w:val="a7"/>
          <w:spacing w:val="4"/>
          <w:rtl/>
        </w:rPr>
        <w:footnoteReference w:id="2587"/>
      </w:r>
      <w:r>
        <w:rPr>
          <w:rFonts w:hint="cs"/>
          <w:spacing w:val="4"/>
          <w:rtl/>
        </w:rPr>
        <w:t xml:space="preserve"> الـمقتضي ليـعمل فيـه</w:t>
      </w:r>
      <w:r>
        <w:rPr>
          <w:rFonts w:hint="cs"/>
          <w:spacing w:val="4"/>
          <w:vertAlign w:val="superscript"/>
          <w:rtl/>
        </w:rPr>
        <w:t>(</w:t>
      </w:r>
      <w:r>
        <w:rPr>
          <w:rStyle w:val="a7"/>
          <w:spacing w:val="4"/>
          <w:rtl/>
        </w:rPr>
        <w:footnoteReference w:id="2588"/>
      </w:r>
      <w:r>
        <w:rPr>
          <w:rFonts w:hint="cs"/>
          <w:spacing w:val="4"/>
          <w:vertAlign w:val="superscript"/>
          <w:rtl/>
        </w:rPr>
        <w:t>)</w:t>
      </w:r>
      <w:r>
        <w:rPr>
          <w:rFonts w:hint="cs"/>
          <w:spacing w:val="4"/>
          <w:rtl/>
        </w:rPr>
        <w:t>، فـبـقـي الـحكم وإن انتـهت العـلـة</w:t>
      </w:r>
      <w:r>
        <w:rPr>
          <w:rFonts w:hint="cs"/>
          <w:spacing w:val="4"/>
          <w:vertAlign w:val="superscript"/>
          <w:rtl/>
        </w:rPr>
        <w:t>(</w:t>
      </w:r>
      <w:r>
        <w:rPr>
          <w:rStyle w:val="a7"/>
          <w:spacing w:val="4"/>
          <w:rtl/>
        </w:rPr>
        <w:footnoteReference w:id="2589"/>
      </w:r>
      <w:r>
        <w:rPr>
          <w:rFonts w:hint="cs"/>
          <w:spacing w:val="4"/>
          <w:vertAlign w:val="superscript"/>
          <w:rtl/>
        </w:rPr>
        <w:t>)</w:t>
      </w:r>
      <w:r>
        <w:rPr>
          <w:rFonts w:hint="cs"/>
          <w:spacing w:val="4"/>
          <w:rtl/>
        </w:rPr>
        <w:t>. وسيـأتي تفـصيله في باب السين -إن شاء الله-</w:t>
      </w:r>
      <w:r>
        <w:rPr>
          <w:rFonts w:hint="cs"/>
          <w:spacing w:val="4"/>
          <w:vertAlign w:val="superscript"/>
          <w:rtl/>
        </w:rPr>
        <w:t>(</w:t>
      </w:r>
      <w:r>
        <w:rPr>
          <w:rStyle w:val="a7"/>
          <w:spacing w:val="4"/>
          <w:rtl/>
        </w:rPr>
        <w:footnoteReference w:id="2590"/>
      </w:r>
      <w:r>
        <w:rPr>
          <w:rFonts w:hint="cs"/>
          <w:spacing w:val="4"/>
          <w:vertAlign w:val="superscript"/>
          <w:rtl/>
        </w:rPr>
        <w:t>)</w:t>
      </w:r>
      <w:r>
        <w:rPr>
          <w:rFonts w:hint="cs"/>
          <w:spacing w:val="4"/>
          <w:rtl/>
        </w:rPr>
        <w:t>.</w:t>
      </w:r>
    </w:p>
    <w:p w:rsidR="00C10469" w:rsidRDefault="00C10469">
      <w:pPr>
        <w:rPr>
          <w:rtl/>
        </w:rPr>
      </w:pPr>
      <w:r>
        <w:rPr>
          <w:rFonts w:hint="cs"/>
          <w:b/>
          <w:bCs/>
          <w:rtl/>
        </w:rPr>
        <w:t>فـإن قـيـل</w:t>
      </w:r>
      <w:r>
        <w:rPr>
          <w:rFonts w:hint="cs"/>
          <w:rtl/>
        </w:rPr>
        <w:t xml:space="preserve"> : يـلـزم عـلى هـذا عـدم جـواز رجـوع الـواهـب</w:t>
      </w:r>
      <w:r>
        <w:rPr>
          <w:rStyle w:val="a7"/>
          <w:rtl/>
        </w:rPr>
        <w:footnoteReference w:id="2591"/>
      </w:r>
      <w:r>
        <w:rPr>
          <w:rFonts w:hint="cs"/>
          <w:rtl/>
        </w:rPr>
        <w:t xml:space="preserve"> فـي أرض وهـبـهـا </w:t>
      </w:r>
      <w:r>
        <w:rPr>
          <w:rFonts w:hint="cs"/>
          <w:rtl/>
        </w:rPr>
        <w:lastRenderedPageBreak/>
        <w:t>لآخر</w:t>
      </w:r>
      <w:r>
        <w:rPr>
          <w:rStyle w:val="a7"/>
          <w:rtl/>
        </w:rPr>
        <w:footnoteReference w:id="2592"/>
      </w:r>
      <w:r>
        <w:rPr>
          <w:rFonts w:hint="cs"/>
          <w:rtl/>
        </w:rPr>
        <w:t>، وبـنـى الـمـوهـوب لـهُ فـيـها، وحـكـم القـاضـي بـعـدم جـواز الـرّجـوع؛ لـمانع وهـو الزيـادة الـمتـصلة بعـد انـدراس الـبنـاء.</w:t>
      </w:r>
    </w:p>
    <w:p w:rsidR="00C10469" w:rsidRDefault="00C10469">
      <w:pPr>
        <w:rPr>
          <w:rtl/>
        </w:rPr>
      </w:pPr>
      <w:r>
        <w:rPr>
          <w:rFonts w:hint="cs"/>
          <w:rtl/>
        </w:rPr>
        <w:t xml:space="preserve"> [و]</w:t>
      </w:r>
      <w:r>
        <w:rPr>
          <w:rStyle w:val="a7"/>
          <w:rtl/>
        </w:rPr>
        <w:footnoteReference w:id="2593"/>
      </w:r>
      <w:r>
        <w:rPr>
          <w:rFonts w:hint="cs"/>
          <w:rtl/>
        </w:rPr>
        <w:t xml:space="preserve"> لم يقل أحد بهذا</w:t>
      </w:r>
      <w:r>
        <w:rPr>
          <w:rFonts w:hint="cs"/>
          <w:vertAlign w:val="superscript"/>
          <w:rtl/>
        </w:rPr>
        <w:t>(</w:t>
      </w:r>
      <w:r>
        <w:rPr>
          <w:rStyle w:val="a7"/>
          <w:rtl/>
        </w:rPr>
        <w:footnoteReference w:id="2594"/>
      </w:r>
      <w:r>
        <w:rPr>
          <w:rFonts w:hint="cs"/>
          <w:vertAlign w:val="superscript"/>
          <w:rtl/>
        </w:rPr>
        <w:t>)</w:t>
      </w:r>
      <w:r>
        <w:rPr>
          <w:rFonts w:hint="cs"/>
          <w:rtl/>
        </w:rPr>
        <w:t>، مع أنّ جواز الرّجوع سقط بحكم القاضي !.</w:t>
      </w:r>
    </w:p>
    <w:p w:rsidR="00C10469" w:rsidRDefault="00C10469">
      <w:pPr>
        <w:rPr>
          <w:rtl/>
        </w:rPr>
      </w:pPr>
      <w:r>
        <w:rPr>
          <w:rFonts w:hint="cs"/>
          <w:b/>
          <w:bCs/>
          <w:rtl/>
        </w:rPr>
        <w:t>أقول</w:t>
      </w:r>
      <w:r>
        <w:rPr>
          <w:rFonts w:hint="cs"/>
          <w:rtl/>
        </w:rPr>
        <w:t xml:space="preserve"> : الحكم ههنا ثابت [بمناف]</w:t>
      </w:r>
      <w:r>
        <w:rPr>
          <w:rStyle w:val="a7"/>
          <w:rtl/>
        </w:rPr>
        <w:footnoteReference w:id="2595"/>
      </w:r>
      <w:r>
        <w:rPr>
          <w:rFonts w:hint="cs"/>
          <w:rtl/>
        </w:rPr>
        <w:t xml:space="preserve"> غير ذلك، وهو قوله </w:t>
      </w:r>
      <w:r>
        <w:rPr>
          <w:rFonts w:ascii="AGA Arabesque" w:hAnsi="AGA Arabesque"/>
          <w:sz w:val="36"/>
        </w:rPr>
        <w:t></w:t>
      </w:r>
      <w:r>
        <w:rPr>
          <w:rStyle w:val="a7"/>
          <w:rtl/>
        </w:rPr>
        <w:t xml:space="preserve"> </w:t>
      </w:r>
      <w:r>
        <w:rPr>
          <w:rStyle w:val="a7"/>
          <w:rtl/>
        </w:rPr>
        <w:footnoteReference w:id="2596"/>
      </w:r>
      <w:r>
        <w:rPr>
          <w:rFonts w:hint="cs"/>
          <w:rtl/>
        </w:rPr>
        <w:t xml:space="preserve"> :</w:t>
      </w:r>
      <w:r>
        <w:rPr>
          <w:rFonts w:hint="eastAsia"/>
          <w:rtl/>
        </w:rPr>
        <w:t xml:space="preserve"> «</w:t>
      </w:r>
      <w:r>
        <w:rPr>
          <w:rFonts w:hint="cs"/>
          <w:rtl/>
        </w:rPr>
        <w:t xml:space="preserve"> </w:t>
      </w:r>
      <w:r>
        <w:rPr>
          <w:rFonts w:cs="DecoType Naskh Variants" w:hint="cs"/>
          <w:sz w:val="32"/>
          <w:szCs w:val="32"/>
          <w:rtl/>
        </w:rPr>
        <w:t>الواهبُ</w:t>
      </w:r>
      <w:r>
        <w:rPr>
          <w:rFonts w:cs="DecoType Naskh Variants" w:hint="cs"/>
          <w:b/>
          <w:bCs/>
          <w:rtl/>
        </w:rPr>
        <w:t xml:space="preserve"> </w:t>
      </w:r>
      <w:r>
        <w:rPr>
          <w:rFonts w:cs="DecoType Naskh Variants" w:hint="cs"/>
          <w:sz w:val="32"/>
          <w:szCs w:val="32"/>
          <w:rtl/>
        </w:rPr>
        <w:t>أحقُّ بهبتــِه ما لم</w:t>
      </w:r>
      <w:r>
        <w:rPr>
          <w:rFonts w:cs="DecoType Naskh Variants" w:hint="cs"/>
          <w:b/>
          <w:bCs/>
          <w:rtl/>
        </w:rPr>
        <w:t xml:space="preserve"> </w:t>
      </w:r>
      <w:r>
        <w:rPr>
          <w:rFonts w:cs="DecoType Naskh Variants" w:hint="cs"/>
          <w:sz w:val="32"/>
          <w:szCs w:val="32"/>
          <w:rtl/>
        </w:rPr>
        <w:t>[يُــثبْ]</w:t>
      </w:r>
      <w:r>
        <w:rPr>
          <w:rStyle w:val="a7"/>
          <w:rtl/>
        </w:rPr>
        <w:footnoteReference w:id="2597"/>
      </w:r>
      <w:r>
        <w:rPr>
          <w:rFonts w:hint="cs"/>
          <w:rtl/>
        </w:rPr>
        <w:t xml:space="preserve"> </w:t>
      </w:r>
      <w:r>
        <w:rPr>
          <w:rFonts w:cs="DecoType Naskh Variants" w:hint="cs"/>
          <w:sz w:val="32"/>
          <w:szCs w:val="32"/>
          <w:rtl/>
        </w:rPr>
        <w:t>منها</w:t>
      </w:r>
      <w:r>
        <w:rPr>
          <w:rStyle w:val="a7"/>
          <w:rtl/>
        </w:rPr>
        <w:footnoteReference w:id="2598"/>
      </w:r>
      <w:r>
        <w:rPr>
          <w:rFonts w:hint="eastAsia"/>
          <w:rtl/>
        </w:rPr>
        <w:t>»</w:t>
      </w:r>
      <w:r>
        <w:rPr>
          <w:rFonts w:hint="cs"/>
          <w:vertAlign w:val="superscript"/>
          <w:rtl/>
        </w:rPr>
        <w:t>(</w:t>
      </w:r>
      <w:r>
        <w:rPr>
          <w:rStyle w:val="a7"/>
          <w:rtl/>
        </w:rPr>
        <w:footnoteReference w:id="2599"/>
      </w:r>
      <w:r>
        <w:rPr>
          <w:rFonts w:hint="cs"/>
          <w:vertAlign w:val="superscript"/>
          <w:rtl/>
        </w:rPr>
        <w:t>)</w:t>
      </w:r>
      <w:r>
        <w:rPr>
          <w:rFonts w:hint="cs"/>
          <w:rtl/>
        </w:rPr>
        <w:t>.</w:t>
      </w:r>
    </w:p>
    <w:p w:rsidR="00C10469" w:rsidRDefault="00C10469">
      <w:pPr>
        <w:rPr>
          <w:rtl/>
        </w:rPr>
      </w:pPr>
      <w:r>
        <w:rPr>
          <w:rFonts w:hint="cs"/>
          <w:rtl/>
        </w:rPr>
        <w:lastRenderedPageBreak/>
        <w:t>فينتهي الحكم</w:t>
      </w:r>
      <w:r>
        <w:rPr>
          <w:rStyle w:val="a7"/>
          <w:rtl/>
        </w:rPr>
        <w:footnoteReference w:id="2600"/>
      </w:r>
      <w:r>
        <w:rPr>
          <w:rFonts w:hint="cs"/>
          <w:rtl/>
        </w:rPr>
        <w:t xml:space="preserve"> (وهو عدم الرجوع</w:t>
      </w:r>
      <w:r>
        <w:rPr>
          <w:rStyle w:val="a7"/>
          <w:rtl/>
        </w:rPr>
        <w:footnoteReference w:id="2601"/>
      </w:r>
      <w:r>
        <w:rPr>
          <w:rFonts w:hint="cs"/>
          <w:rtl/>
        </w:rPr>
        <w:t>) بانتهاء العلة (وهي الزيادة المتصلة)، ويحكم بجواز الرجوع بعد اندراس البناء.</w:t>
      </w:r>
    </w:p>
    <w:p w:rsidR="00C10469" w:rsidRDefault="00C10469">
      <w:pPr>
        <w:rPr>
          <w:rtl/>
        </w:rPr>
      </w:pPr>
      <w:r>
        <w:rPr>
          <w:rFonts w:hint="cs"/>
          <w:rtl/>
        </w:rPr>
        <w:t>وهذا من دقائق علم الأصول، فَأَمْعِن النظر ليتّضح لك الفرقُ بين فروع هذين الأصلين، و[فروعهما]</w:t>
      </w:r>
      <w:r>
        <w:rPr>
          <w:rStyle w:val="a7"/>
          <w:rtl/>
        </w:rPr>
        <w:footnoteReference w:id="2602"/>
      </w:r>
      <w:r>
        <w:rPr>
          <w:rFonts w:hint="cs"/>
          <w:rtl/>
        </w:rPr>
        <w:t xml:space="preserve"> كثيرة لا يتحمل تفصيلها هذا المختصر.</w:t>
      </w:r>
    </w:p>
    <w:p w:rsidR="00C10469" w:rsidRDefault="00C10469">
      <w:pPr>
        <w:rPr>
          <w:rtl/>
        </w:rPr>
      </w:pPr>
    </w:p>
    <w:p w:rsidR="00C10469" w:rsidRDefault="00C10469">
      <w:pPr>
        <w:rPr>
          <w:rtl/>
        </w:rPr>
      </w:pPr>
    </w:p>
    <w:p w:rsidR="00C10469" w:rsidRDefault="00C10469">
      <w:pPr>
        <w:rPr>
          <w:rtl/>
        </w:rPr>
      </w:pPr>
    </w:p>
    <w:p w:rsidR="00C10469" w:rsidRPr="00194047"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7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B2B7A" w:rsidRDefault="00C10469">
      <w:pPr>
        <w:pStyle w:val="a9"/>
        <w:rPr>
          <w:rFonts w:cs="AL-Mateen"/>
          <w:rtl/>
        </w:rPr>
      </w:pPr>
      <w:r w:rsidRPr="007B2B7A">
        <w:rPr>
          <w:rFonts w:cs="AL-Mateen" w:hint="cs"/>
          <w:rtl/>
        </w:rPr>
        <w:lastRenderedPageBreak/>
        <w:t>[ الـقـاعـدة الـسـادسـة عـشـرة بـعـد الـمـائـة ]</w:t>
      </w:r>
    </w:p>
    <w:p w:rsidR="00C10469" w:rsidRDefault="00C10469">
      <w:pPr>
        <w:rPr>
          <w:rtl/>
        </w:rPr>
      </w:pPr>
      <w:r>
        <w:rPr>
          <w:rFonts w:cs="Monotype Koufi" w:hint="cs"/>
          <w:rtl/>
        </w:rPr>
        <w:t>الحكمةُ [تُرَاعَى]</w:t>
      </w:r>
      <w:r>
        <w:rPr>
          <w:rStyle w:val="a7"/>
          <w:rtl/>
        </w:rPr>
        <w:footnoteReference w:id="2603"/>
      </w:r>
      <w:r>
        <w:rPr>
          <w:rFonts w:hint="cs"/>
          <w:rtl/>
        </w:rPr>
        <w:t xml:space="preserve"> </w:t>
      </w:r>
      <w:r>
        <w:rPr>
          <w:rFonts w:cs="Monotype Koufi" w:hint="cs"/>
          <w:rtl/>
        </w:rPr>
        <w:t>فِي الجِنْسِ لا في الأفْرَادِ</w:t>
      </w:r>
      <w:r>
        <w:rPr>
          <w:rFonts w:hint="cs"/>
          <w:vertAlign w:val="superscript"/>
          <w:rtl/>
        </w:rPr>
        <w:t>(</w:t>
      </w:r>
      <w:r>
        <w:rPr>
          <w:rStyle w:val="a7"/>
          <w:rtl/>
        </w:rPr>
        <w:footnoteReference w:id="2604"/>
      </w:r>
      <w:r>
        <w:rPr>
          <w:rFonts w:hint="cs"/>
          <w:vertAlign w:val="superscript"/>
          <w:rtl/>
        </w:rPr>
        <w:t>)</w:t>
      </w:r>
      <w:r>
        <w:rPr>
          <w:rFonts w:hint="cs"/>
          <w:rtl/>
        </w:rPr>
        <w:t xml:space="preserve"> :</w:t>
      </w:r>
    </w:p>
    <w:p w:rsidR="00C10469" w:rsidRDefault="00C10469">
      <w:pPr>
        <w:rPr>
          <w:spacing w:val="-4"/>
          <w:rtl/>
        </w:rPr>
      </w:pPr>
      <w:r>
        <w:rPr>
          <w:rFonts w:hint="cs"/>
          <w:spacing w:val="-4"/>
          <w:rtl/>
        </w:rPr>
        <w:t xml:space="preserve"> فساد</w:t>
      </w:r>
      <w:r>
        <w:rPr>
          <w:rStyle w:val="a7"/>
          <w:spacing w:val="-4"/>
          <w:rtl/>
        </w:rPr>
        <w:footnoteReference w:id="2605"/>
      </w:r>
      <w:r>
        <w:rPr>
          <w:rFonts w:hint="cs"/>
          <w:spacing w:val="-4"/>
          <w:rtl/>
        </w:rPr>
        <w:t xml:space="preserve"> البيع بشرط لا يقتضيه العقد ولأحد العاقدين [فيه]</w:t>
      </w:r>
      <w:r>
        <w:rPr>
          <w:rStyle w:val="a7"/>
          <w:spacing w:val="-4"/>
          <w:rtl/>
        </w:rPr>
        <w:footnoteReference w:id="2606"/>
      </w:r>
      <w:r>
        <w:rPr>
          <w:rFonts w:hint="cs"/>
          <w:spacing w:val="-4"/>
          <w:rtl/>
        </w:rPr>
        <w:t xml:space="preserve"> نفع؛ [لاحتمال]</w:t>
      </w:r>
      <w:r>
        <w:rPr>
          <w:rStyle w:val="a7"/>
          <w:spacing w:val="-4"/>
          <w:rtl/>
        </w:rPr>
        <w:footnoteReference w:id="2607"/>
      </w:r>
      <w:r>
        <w:rPr>
          <w:rFonts w:hint="cs"/>
          <w:spacing w:val="-4"/>
          <w:rtl/>
        </w:rPr>
        <w:t xml:space="preserve"> </w:t>
      </w:r>
      <w:r>
        <w:rPr>
          <w:rFonts w:hint="cs"/>
          <w:spacing w:val="-4"/>
          <w:rtl/>
        </w:rPr>
        <w:lastRenderedPageBreak/>
        <w:t xml:space="preserve">النزاع. </w:t>
      </w:r>
    </w:p>
    <w:p w:rsidR="00C10469" w:rsidRDefault="00C10469">
      <w:pPr>
        <w:ind w:firstLine="0"/>
        <w:rPr>
          <w:rtl/>
        </w:rPr>
      </w:pPr>
      <w:r>
        <w:rPr>
          <w:rFonts w:hint="cs"/>
          <w:rtl/>
        </w:rPr>
        <w:t>فإذا لم يوجد النـزاع في بعض الأفراد لا ينـقلب صحيـحًا، فحق الفسخ ثابت لمن له</w:t>
      </w:r>
      <w:r>
        <w:rPr>
          <w:rStyle w:val="a7"/>
          <w:rtl/>
        </w:rPr>
        <w:footnoteReference w:id="2608"/>
      </w:r>
      <w:r>
        <w:rPr>
          <w:rFonts w:hint="cs"/>
          <w:rtl/>
        </w:rPr>
        <w:t xml:space="preserve"> النفع مع</w:t>
      </w:r>
      <w:r>
        <w:rPr>
          <w:rStyle w:val="a7"/>
          <w:rtl/>
        </w:rPr>
        <w:footnoteReference w:id="2609"/>
      </w:r>
      <w:r>
        <w:rPr>
          <w:rFonts w:hint="cs"/>
          <w:rtl/>
        </w:rPr>
        <w:t xml:space="preserve"> أن النـزاع منه عبث.</w:t>
      </w:r>
    </w:p>
    <w:p w:rsidR="00C10469" w:rsidRDefault="00C10469">
      <w:pPr>
        <w:rPr>
          <w:rtl/>
        </w:rPr>
      </w:pPr>
      <w:r>
        <w:rPr>
          <w:rFonts w:hint="cs"/>
          <w:rtl/>
        </w:rPr>
        <w:t>والحكمةُ في حرمة الخمر البغضاءُ والعداوة والصدود عن الصلاة، فلا يعتبر عدم</w:t>
      </w:r>
      <w:r>
        <w:rPr>
          <w:rStyle w:val="a7"/>
          <w:rtl/>
        </w:rPr>
        <w:footnoteReference w:id="2610"/>
      </w:r>
      <w:r>
        <w:rPr>
          <w:rFonts w:hint="cs"/>
          <w:rtl/>
        </w:rPr>
        <w:t xml:space="preserve"> وقوعها في بعض الأفراد، والحرمة [ثابتة]</w:t>
      </w:r>
      <w:r>
        <w:rPr>
          <w:rStyle w:val="a7"/>
          <w:rtl/>
        </w:rPr>
        <w:footnoteReference w:id="2611"/>
      </w:r>
      <w:r>
        <w:rPr>
          <w:rFonts w:hint="cs"/>
          <w:rtl/>
        </w:rPr>
        <w:t xml:space="preserve"> لكل أحد</w:t>
      </w:r>
      <w:r>
        <w:rPr>
          <w:rStyle w:val="a7"/>
          <w:rtl/>
        </w:rPr>
        <w:footnoteReference w:id="2612"/>
      </w:r>
      <w:r>
        <w:rPr>
          <w:rFonts w:hint="cs"/>
          <w:vertAlign w:val="superscript"/>
          <w:rtl/>
        </w:rPr>
        <w:t>(</w:t>
      </w:r>
      <w:r>
        <w:rPr>
          <w:rStyle w:val="a7"/>
          <w:rtl/>
        </w:rPr>
        <w:footnoteReference w:id="2613"/>
      </w:r>
      <w:r>
        <w:rPr>
          <w:rFonts w:hint="cs"/>
          <w:vertAlign w:val="superscript"/>
          <w:rtl/>
        </w:rPr>
        <w:t>)</w:t>
      </w:r>
      <w:r>
        <w:rPr>
          <w:rFonts w:hint="cs"/>
          <w:rtl/>
        </w:rPr>
        <w:t>.</w:t>
      </w:r>
    </w:p>
    <w:p w:rsidR="00C10469" w:rsidRDefault="00C10469">
      <w:pPr>
        <w:rPr>
          <w:spacing w:val="10"/>
          <w:rtl/>
        </w:rPr>
      </w:pPr>
      <w:r>
        <w:rPr>
          <w:rFonts w:hint="cs"/>
          <w:spacing w:val="10"/>
          <w:rtl/>
        </w:rPr>
        <w:t>و</w:t>
      </w:r>
      <w:r>
        <w:rPr>
          <w:rFonts w:hint="cs"/>
          <w:b/>
          <w:bCs/>
          <w:spacing w:val="10"/>
          <w:rtl/>
        </w:rPr>
        <w:t>خرج</w:t>
      </w:r>
      <w:r>
        <w:rPr>
          <w:rFonts w:hint="cs"/>
          <w:spacing w:val="10"/>
          <w:rtl/>
        </w:rPr>
        <w:t xml:space="preserve"> عن هذا الأصل : بيع النعل مع شرط التشريك</w:t>
      </w:r>
      <w:r>
        <w:rPr>
          <w:rStyle w:val="a7"/>
          <w:spacing w:val="10"/>
          <w:rtl/>
        </w:rPr>
        <w:footnoteReference w:id="2614"/>
      </w:r>
      <w:r>
        <w:rPr>
          <w:rFonts w:hint="cs"/>
          <w:spacing w:val="10"/>
          <w:rtl/>
        </w:rPr>
        <w:t xml:space="preserve">. </w:t>
      </w:r>
    </w:p>
    <w:p w:rsidR="00C10469" w:rsidRDefault="00C10469">
      <w:pPr>
        <w:rPr>
          <w:spacing w:val="10"/>
          <w:rtl/>
        </w:rPr>
      </w:pPr>
      <w:r>
        <w:rPr>
          <w:rFonts w:hint="cs"/>
          <w:spacing w:val="10"/>
          <w:rtl/>
        </w:rPr>
        <w:t>و</w:t>
      </w:r>
      <w:r>
        <w:rPr>
          <w:rFonts w:hint="cs"/>
          <w:b/>
          <w:bCs/>
          <w:spacing w:val="10"/>
          <w:rtl/>
        </w:rPr>
        <w:t>جوابه</w:t>
      </w:r>
      <w:r>
        <w:rPr>
          <w:rFonts w:hint="cs"/>
          <w:spacing w:val="10"/>
          <w:rtl/>
        </w:rPr>
        <w:t xml:space="preserve"> قد مر في باب الثاء</w:t>
      </w:r>
      <w:r>
        <w:rPr>
          <w:rFonts w:hint="cs"/>
          <w:spacing w:val="10"/>
          <w:vertAlign w:val="superscript"/>
          <w:rtl/>
        </w:rPr>
        <w:t>(</w:t>
      </w:r>
      <w:r>
        <w:rPr>
          <w:rStyle w:val="a7"/>
          <w:spacing w:val="10"/>
          <w:rtl/>
        </w:rPr>
        <w:footnoteReference w:id="2615"/>
      </w:r>
      <w:r>
        <w:rPr>
          <w:rFonts w:hint="cs"/>
          <w:spacing w:val="10"/>
          <w:vertAlign w:val="superscript"/>
          <w:rtl/>
        </w:rPr>
        <w:t>)</w:t>
      </w:r>
      <w:r>
        <w:rPr>
          <w:rFonts w:hint="cs"/>
          <w:spacing w:val="10"/>
          <w:rtl/>
        </w:rPr>
        <w:t>.</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72"/>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2C1194" w:rsidRDefault="00C10469">
      <w:pPr>
        <w:pStyle w:val="a9"/>
        <w:rPr>
          <w:rFonts w:cs="AL-Mateen"/>
          <w:rtl/>
        </w:rPr>
      </w:pPr>
      <w:r w:rsidRPr="002C1194">
        <w:rPr>
          <w:rFonts w:cs="AL-Mateen" w:hint="cs"/>
          <w:rtl/>
        </w:rPr>
        <w:lastRenderedPageBreak/>
        <w:t>[ الـقـاعـدة الـسـابـعـة عـشـرة بـعـد الـمـائـة ]</w:t>
      </w:r>
    </w:p>
    <w:p w:rsidR="00C10469" w:rsidRDefault="00C10469">
      <w:pPr>
        <w:rPr>
          <w:rtl/>
        </w:rPr>
      </w:pPr>
      <w:r>
        <w:rPr>
          <w:rFonts w:cs="Monotype Koufi" w:hint="cs"/>
          <w:rtl/>
        </w:rPr>
        <w:t>حكمُ الخفيِّ : النَّظرُ فيه؛ ليُعلمَ أنَّ خفاهُ لزيادةٍ أو نُقصانٍ فَيَظْهَرَ المُرَادُ</w:t>
      </w:r>
      <w:r>
        <w:rPr>
          <w:rFonts w:hint="cs"/>
          <w:vertAlign w:val="superscript"/>
          <w:rtl/>
        </w:rPr>
        <w:t>(</w:t>
      </w:r>
      <w:r>
        <w:rPr>
          <w:rStyle w:val="a7"/>
          <w:rtl/>
        </w:rPr>
        <w:footnoteReference w:id="2616"/>
      </w:r>
      <w:r>
        <w:rPr>
          <w:rFonts w:hint="cs"/>
          <w:vertAlign w:val="superscript"/>
          <w:rtl/>
        </w:rPr>
        <w:t>)</w:t>
      </w:r>
      <w:r>
        <w:rPr>
          <w:rFonts w:hint="cs"/>
          <w:rtl/>
        </w:rPr>
        <w:t xml:space="preserve"> :</w:t>
      </w:r>
    </w:p>
    <w:p w:rsidR="00C10469" w:rsidRDefault="00C10469" w:rsidP="00C10469">
      <w:pPr>
        <w:spacing w:line="580" w:lineRule="exact"/>
        <w:ind w:left="737" w:firstLine="0"/>
        <w:jc w:val="lowKashida"/>
        <w:rPr>
          <w:spacing w:val="-4"/>
          <w:rtl/>
        </w:rPr>
      </w:pPr>
      <w:r>
        <w:rPr>
          <w:spacing w:val="-4"/>
          <w:rtl/>
        </w:rPr>
        <w:lastRenderedPageBreak/>
        <w:t>•</w:t>
      </w:r>
      <w:r>
        <w:rPr>
          <w:rFonts w:hint="cs"/>
          <w:spacing w:val="-4"/>
          <w:rtl/>
        </w:rPr>
        <w:t xml:space="preserve"> فإن كان لمزيّةٍ على معنى الظاهر : يصح</w:t>
      </w:r>
      <w:r>
        <w:rPr>
          <w:rStyle w:val="a7"/>
          <w:spacing w:val="-4"/>
          <w:rtl/>
        </w:rPr>
        <w:footnoteReference w:id="2617"/>
      </w:r>
      <w:r>
        <w:rPr>
          <w:rFonts w:hint="cs"/>
          <w:spacing w:val="-4"/>
          <w:rtl/>
        </w:rPr>
        <w:t xml:space="preserve"> الإلحاق به؛ كالسـرقة في قوله تعالى: </w:t>
      </w:r>
      <w:r>
        <w:rPr>
          <w:sz w:val="28"/>
          <w:szCs w:val="28"/>
        </w:rPr>
        <w:sym w:font="HQPB2" w:char="F0E2"/>
      </w:r>
      <w:r>
        <w:rPr>
          <w:sz w:val="28"/>
          <w:szCs w:val="28"/>
          <w:rtl/>
        </w:rPr>
        <w:t xml:space="preserve"> </w:t>
      </w:r>
      <w:r>
        <w:rPr>
          <w:sz w:val="28"/>
          <w:szCs w:val="28"/>
        </w:rPr>
        <w:sym w:font="HQPB4" w:char="F0E4"/>
      </w:r>
      <w:r>
        <w:rPr>
          <w:sz w:val="28"/>
          <w:szCs w:val="28"/>
        </w:rPr>
        <w:sym w:font="HQPB2" w:char="F02D"/>
      </w:r>
      <w:r>
        <w:rPr>
          <w:sz w:val="28"/>
          <w:szCs w:val="28"/>
        </w:rPr>
        <w:sym w:font="HQPB4" w:char="F0CD"/>
      </w:r>
      <w:r>
        <w:rPr>
          <w:sz w:val="28"/>
          <w:szCs w:val="28"/>
        </w:rPr>
        <w:sym w:font="HQPB1" w:char="F091"/>
      </w:r>
      <w:r>
        <w:rPr>
          <w:sz w:val="28"/>
          <w:szCs w:val="28"/>
        </w:rPr>
        <w:sym w:font="HQPB1" w:char="F024"/>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sz w:val="28"/>
          <w:szCs w:val="28"/>
          <w:rtl/>
        </w:rPr>
        <w:t xml:space="preserve"> </w:t>
      </w:r>
      <w:r>
        <w:rPr>
          <w:sz w:val="28"/>
          <w:szCs w:val="28"/>
        </w:rPr>
        <w:sym w:font="HQPB4" w:char="F0E8"/>
      </w:r>
      <w:r>
        <w:rPr>
          <w:sz w:val="28"/>
          <w:szCs w:val="28"/>
        </w:rPr>
        <w:sym w:font="HQPB2" w:char="F070"/>
      </w:r>
      <w:r>
        <w:rPr>
          <w:sz w:val="28"/>
          <w:szCs w:val="28"/>
        </w:rPr>
        <w:sym w:font="HQPB5" w:char="F073"/>
      </w:r>
      <w:r>
        <w:rPr>
          <w:sz w:val="28"/>
          <w:szCs w:val="28"/>
        </w:rPr>
        <w:sym w:font="HQPB2" w:char="F025"/>
      </w:r>
      <w:r>
        <w:rPr>
          <w:sz w:val="28"/>
          <w:szCs w:val="28"/>
        </w:rPr>
        <w:sym w:font="HQPB4" w:char="F0CD"/>
      </w:r>
      <w:r>
        <w:rPr>
          <w:sz w:val="28"/>
          <w:szCs w:val="28"/>
        </w:rPr>
        <w:sym w:font="HQPB1" w:char="F091"/>
      </w:r>
      <w:r>
        <w:rPr>
          <w:sz w:val="28"/>
          <w:szCs w:val="28"/>
        </w:rPr>
        <w:sym w:font="HQPB1" w:char="F024"/>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sz w:val="28"/>
          <w:szCs w:val="28"/>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1" w:char="F0E8"/>
      </w:r>
      <w:r>
        <w:rPr>
          <w:sz w:val="28"/>
          <w:szCs w:val="28"/>
        </w:rPr>
        <w:sym w:font="HQPB5" w:char="F073"/>
      </w:r>
      <w:r>
        <w:rPr>
          <w:sz w:val="28"/>
          <w:szCs w:val="28"/>
        </w:rPr>
        <w:sym w:font="HQPB1" w:char="F0DC"/>
      </w:r>
      <w:r>
        <w:rPr>
          <w:sz w:val="28"/>
          <w:szCs w:val="28"/>
        </w:rPr>
        <w:sym w:font="HQPB4" w:char="F0F8"/>
      </w:r>
      <w:r>
        <w:rPr>
          <w:sz w:val="28"/>
          <w:szCs w:val="28"/>
        </w:rPr>
        <w:sym w:font="HQPB2" w:char="F025"/>
      </w:r>
      <w:r>
        <w:rPr>
          <w:sz w:val="28"/>
          <w:szCs w:val="28"/>
        </w:rPr>
        <w:sym w:font="HQPB5" w:char="F024"/>
      </w:r>
      <w:r>
        <w:rPr>
          <w:sz w:val="28"/>
          <w:szCs w:val="28"/>
        </w:rPr>
        <w:sym w:font="HQPB1" w:char="F024"/>
      </w:r>
      <w:r>
        <w:rPr>
          <w:sz w:val="28"/>
          <w:szCs w:val="28"/>
        </w:rPr>
        <w:sym w:font="HQPB5" w:char="F073"/>
      </w:r>
      <w:r>
        <w:rPr>
          <w:sz w:val="28"/>
          <w:szCs w:val="28"/>
        </w:rPr>
        <w:sym w:font="HQPB1" w:char="F0F9"/>
      </w:r>
      <w:r>
        <w:rPr>
          <w:sz w:val="28"/>
          <w:szCs w:val="28"/>
          <w:rtl/>
        </w:rPr>
        <w:t xml:space="preserve"> </w:t>
      </w:r>
      <w:r>
        <w:rPr>
          <w:rFonts w:hint="cs"/>
          <w:sz w:val="28"/>
          <w:szCs w:val="28"/>
          <w:rtl/>
        </w:rPr>
        <w:t>...</w:t>
      </w:r>
      <w:r>
        <w:rPr>
          <w:sz w:val="28"/>
          <w:szCs w:val="28"/>
        </w:rPr>
        <w:sym w:font="HQPB2" w:char="F0E1"/>
      </w:r>
      <w:r>
        <w:rPr>
          <w:rFonts w:hint="cs"/>
          <w:spacing w:val="-4"/>
          <w:vertAlign w:val="superscript"/>
          <w:rtl/>
        </w:rPr>
        <w:t xml:space="preserve"> (</w:t>
      </w:r>
      <w:r>
        <w:rPr>
          <w:rStyle w:val="a7"/>
          <w:spacing w:val="-4"/>
          <w:rtl/>
        </w:rPr>
        <w:footnoteReference w:id="2618"/>
      </w:r>
      <w:r>
        <w:rPr>
          <w:rFonts w:hint="cs"/>
          <w:spacing w:val="-4"/>
          <w:vertAlign w:val="superscript"/>
          <w:rtl/>
        </w:rPr>
        <w:t xml:space="preserve">) </w:t>
      </w:r>
      <w:r>
        <w:rPr>
          <w:rFonts w:hint="cs"/>
          <w:spacing w:val="-4"/>
          <w:rtl/>
        </w:rPr>
        <w:t>الآية - ظاهر[ة]</w:t>
      </w:r>
      <w:r>
        <w:rPr>
          <w:rStyle w:val="a7"/>
          <w:spacing w:val="-4"/>
          <w:rtl/>
        </w:rPr>
        <w:footnoteReference w:id="2619"/>
      </w:r>
      <w:r>
        <w:rPr>
          <w:rFonts w:hint="cs"/>
          <w:spacing w:val="-4"/>
          <w:rtl/>
        </w:rPr>
        <w:t xml:space="preserve"> فيمن </w:t>
      </w:r>
      <w:r w:rsidRPr="003F7A3C">
        <w:rPr>
          <w:rFonts w:hint="cs"/>
          <w:spacing w:val="-6"/>
          <w:rtl/>
        </w:rPr>
        <w:t>أخذ مال الغير</w:t>
      </w:r>
      <w:r w:rsidRPr="003F7A3C">
        <w:rPr>
          <w:rStyle w:val="a7"/>
          <w:spacing w:val="-6"/>
          <w:rtl/>
        </w:rPr>
        <w:footnoteReference w:id="2620"/>
      </w:r>
      <w:r w:rsidRPr="003F7A3C">
        <w:rPr>
          <w:rFonts w:hint="cs"/>
          <w:spacing w:val="-6"/>
          <w:rtl/>
        </w:rPr>
        <w:t xml:space="preserve"> من الحرز، خفيّةٌ بالنسبة إلى من اختص باسم آخر يعرف به، كالطَّرار</w:t>
      </w:r>
      <w:r w:rsidRPr="003F7A3C">
        <w:rPr>
          <w:rFonts w:hint="cs"/>
          <w:spacing w:val="-6"/>
          <w:vertAlign w:val="superscript"/>
          <w:rtl/>
        </w:rPr>
        <w:t>(</w:t>
      </w:r>
      <w:r w:rsidRPr="003F7A3C">
        <w:rPr>
          <w:rStyle w:val="a7"/>
          <w:spacing w:val="-6"/>
          <w:rtl/>
        </w:rPr>
        <w:footnoteReference w:id="2621"/>
      </w:r>
      <w:r w:rsidRPr="003F7A3C">
        <w:rPr>
          <w:rFonts w:hint="cs"/>
          <w:spacing w:val="-6"/>
          <w:vertAlign w:val="superscript"/>
          <w:rtl/>
        </w:rPr>
        <w:t>)</w:t>
      </w:r>
      <w:r w:rsidRPr="003F7A3C">
        <w:rPr>
          <w:rFonts w:hint="cs"/>
          <w:spacing w:val="-6"/>
          <w:rtl/>
        </w:rPr>
        <w:t>.</w:t>
      </w:r>
    </w:p>
    <w:p w:rsidR="00C10469" w:rsidRDefault="00C10469" w:rsidP="00C10469">
      <w:pPr>
        <w:spacing w:line="221" w:lineRule="auto"/>
        <w:rPr>
          <w:rtl/>
        </w:rPr>
      </w:pPr>
      <w:r>
        <w:rPr>
          <w:rFonts w:hint="cs"/>
          <w:b/>
          <w:bCs/>
          <w:rtl/>
        </w:rPr>
        <w:lastRenderedPageBreak/>
        <w:t>وتقـريـره</w:t>
      </w:r>
      <w:r>
        <w:rPr>
          <w:rFonts w:hint="cs"/>
          <w:rtl/>
        </w:rPr>
        <w:t xml:space="preserve"> : أن [فـعل]</w:t>
      </w:r>
      <w:r>
        <w:rPr>
          <w:rStyle w:val="a7"/>
          <w:rtl/>
        </w:rPr>
        <w:footnoteReference w:id="2622"/>
      </w:r>
      <w:r>
        <w:rPr>
          <w:rFonts w:hint="cs"/>
          <w:rtl/>
        </w:rPr>
        <w:t xml:space="preserve"> كـلِّ واحدٍ مـنهـما، وإن كان يـشـبـه</w:t>
      </w:r>
      <w:r>
        <w:rPr>
          <w:rStyle w:val="a7"/>
          <w:rtl/>
        </w:rPr>
        <w:footnoteReference w:id="2623"/>
      </w:r>
      <w:r>
        <w:rPr>
          <w:rFonts w:hint="cs"/>
          <w:rtl/>
        </w:rPr>
        <w:t xml:space="preserve"> فعل الآخر، لكن اختلاف الاسم يدل على اختلاف المسمّى ظاهرًا، فاشتبه</w:t>
      </w:r>
      <w:r>
        <w:rPr>
          <w:rStyle w:val="a7"/>
          <w:rtl/>
        </w:rPr>
        <w:footnoteReference w:id="2624"/>
      </w:r>
      <w:r>
        <w:rPr>
          <w:rFonts w:hint="cs"/>
          <w:rtl/>
        </w:rPr>
        <w:t xml:space="preserve"> الأمر أنه دخل تحت لفظ السارق، حتى يقطع كالسارق، أمْ لا؟.</w:t>
      </w:r>
      <w:r>
        <w:rPr>
          <w:rFonts w:hint="cs"/>
          <w:vertAlign w:val="superscript"/>
          <w:rtl/>
        </w:rPr>
        <w:t xml:space="preserve"> (</w:t>
      </w:r>
      <w:r>
        <w:rPr>
          <w:rStyle w:val="a7"/>
          <w:rtl/>
        </w:rPr>
        <w:footnoteReference w:id="2625"/>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فنظرنا في السرقة فوجدناها جناية من حيث إنه أخذ المال على وجه الخفية من حرز كامل</w:t>
      </w:r>
      <w:r>
        <w:rPr>
          <w:rStyle w:val="a7"/>
          <w:rtl/>
        </w:rPr>
        <w:footnoteReference w:id="2626"/>
      </w:r>
      <w:r>
        <w:rPr>
          <w:rFonts w:hint="cs"/>
          <w:rtl/>
        </w:rPr>
        <w:t>، وهذا المعنى موجود في الطرار مع زيادة؛ لأن السارق يأخذ [عند]</w:t>
      </w:r>
      <w:r>
        <w:rPr>
          <w:rStyle w:val="a7"/>
          <w:rtl/>
        </w:rPr>
        <w:footnoteReference w:id="2627"/>
      </w:r>
      <w:r>
        <w:rPr>
          <w:rFonts w:hint="cs"/>
          <w:rtl/>
        </w:rPr>
        <w:t xml:space="preserve"> غيبة الحافظِ أو نومِهِ، والطرّار يأخذ عند حضوره وانتباهه، إلاَّ أنه اختص باسم </w:t>
      </w:r>
      <w:r>
        <w:rPr>
          <w:rFonts w:hint="cs"/>
          <w:rtl/>
        </w:rPr>
        <w:lastRenderedPageBreak/>
        <w:t>آخر (بحدس</w:t>
      </w:r>
      <w:r>
        <w:rPr>
          <w:rStyle w:val="a7"/>
          <w:rtl/>
        </w:rPr>
        <w:footnoteReference w:id="2628"/>
      </w:r>
      <w:r>
        <w:rPr>
          <w:rFonts w:hint="cs"/>
          <w:rtl/>
        </w:rPr>
        <w:t xml:space="preserve"> في</w:t>
      </w:r>
      <w:r>
        <w:rPr>
          <w:rStyle w:val="a7"/>
          <w:rtl/>
        </w:rPr>
        <w:footnoteReference w:id="2629"/>
      </w:r>
      <w:r>
        <w:rPr>
          <w:rFonts w:hint="cs"/>
          <w:rtl/>
        </w:rPr>
        <w:t xml:space="preserve"> فعله)، فكان فعله زائدًا</w:t>
      </w:r>
      <w:r>
        <w:rPr>
          <w:rStyle w:val="a7"/>
          <w:rtl/>
        </w:rPr>
        <w:footnoteReference w:id="2630"/>
      </w:r>
      <w:r>
        <w:rPr>
          <w:rFonts w:hint="cs"/>
          <w:rtl/>
        </w:rPr>
        <w:t xml:space="preserve"> على فعل السارق، فيكون</w:t>
      </w:r>
      <w:r>
        <w:rPr>
          <w:rFonts w:hint="cs"/>
          <w:vertAlign w:val="superscript"/>
          <w:rtl/>
        </w:rPr>
        <w:t>(</w:t>
      </w:r>
      <w:r>
        <w:rPr>
          <w:rStyle w:val="a7"/>
          <w:rtl/>
        </w:rPr>
        <w:footnoteReference w:id="2631"/>
      </w:r>
      <w:r>
        <w:rPr>
          <w:rFonts w:hint="cs"/>
          <w:vertAlign w:val="superscript"/>
          <w:rtl/>
        </w:rPr>
        <w:t>)</w:t>
      </w:r>
      <w:r>
        <w:rPr>
          <w:rFonts w:hint="cs"/>
          <w:rtl/>
        </w:rPr>
        <w:t>جنايته</w:t>
      </w:r>
      <w:r>
        <w:rPr>
          <w:rStyle w:val="a7"/>
          <w:rtl/>
        </w:rPr>
        <w:footnoteReference w:id="2632"/>
      </w:r>
      <w:r>
        <w:rPr>
          <w:rFonts w:hint="cs"/>
          <w:rtl/>
        </w:rPr>
        <w:t xml:space="preserve"> أقوى، فيثبت</w:t>
      </w:r>
      <w:r>
        <w:rPr>
          <w:rStyle w:val="a7"/>
          <w:rtl/>
        </w:rPr>
        <w:footnoteReference w:id="2633"/>
      </w:r>
      <w:r>
        <w:rPr>
          <w:rFonts w:hint="cs"/>
          <w:rtl/>
        </w:rPr>
        <w:t xml:space="preserve"> وجوب القطع</w:t>
      </w:r>
      <w:r>
        <w:rPr>
          <w:rStyle w:val="a7"/>
          <w:rtl/>
        </w:rPr>
        <w:footnoteReference w:id="2634"/>
      </w:r>
      <w:r>
        <w:rPr>
          <w:rFonts w:hint="cs"/>
          <w:rtl/>
        </w:rPr>
        <w:t xml:space="preserve"> فيه بالطريق الأولى، كثبوت حرمة الضرب في حق الأب بحرمة التأفيف</w:t>
      </w:r>
      <w:r>
        <w:rPr>
          <w:rFonts w:hint="cs"/>
          <w:vertAlign w:val="superscript"/>
          <w:rtl/>
        </w:rPr>
        <w:t>(</w:t>
      </w:r>
      <w:r>
        <w:rPr>
          <w:rStyle w:val="a7"/>
          <w:rtl/>
        </w:rPr>
        <w:footnoteReference w:id="2635"/>
      </w:r>
      <w:r>
        <w:rPr>
          <w:rFonts w:hint="cs"/>
          <w:vertAlign w:val="superscript"/>
          <w:rtl/>
        </w:rPr>
        <w:t>)</w:t>
      </w:r>
      <w:r>
        <w:rPr>
          <w:rFonts w:hint="eastAsia"/>
          <w:rtl/>
        </w:rPr>
        <w:t>»</w:t>
      </w:r>
      <w:r>
        <w:rPr>
          <w:rFonts w:hint="cs"/>
          <w:vertAlign w:val="superscript"/>
          <w:rtl/>
        </w:rPr>
        <w:t>(</w:t>
      </w:r>
      <w:r>
        <w:rPr>
          <w:rStyle w:val="a7"/>
          <w:rtl/>
        </w:rPr>
        <w:footnoteReference w:id="2636"/>
      </w:r>
      <w:r>
        <w:rPr>
          <w:rFonts w:hint="cs"/>
          <w:vertAlign w:val="superscript"/>
          <w:rtl/>
        </w:rPr>
        <w:t>)</w:t>
      </w:r>
      <w:r>
        <w:rPr>
          <w:rFonts w:hint="cs"/>
          <w:rtl/>
        </w:rPr>
        <w:t>.</w:t>
      </w:r>
    </w:p>
    <w:p w:rsidR="00C10469" w:rsidRDefault="00C10469" w:rsidP="00C10469">
      <w:pPr>
        <w:ind w:left="706" w:hanging="298"/>
        <w:rPr>
          <w:rtl/>
        </w:rPr>
      </w:pPr>
      <w:r>
        <w:rPr>
          <w:rtl/>
        </w:rPr>
        <w:t>•</w:t>
      </w:r>
      <w:r>
        <w:rPr>
          <w:rFonts w:hint="cs"/>
          <w:rtl/>
        </w:rPr>
        <w:t xml:space="preserve">  وإن كان بنقصان لا يصح الإلحاق به، كالنبّاش</w:t>
      </w:r>
      <w:r>
        <w:rPr>
          <w:rFonts w:hint="cs"/>
          <w:vertAlign w:val="superscript"/>
          <w:rtl/>
        </w:rPr>
        <w:t>(</w:t>
      </w:r>
      <w:r>
        <w:rPr>
          <w:rStyle w:val="a7"/>
          <w:rtl/>
        </w:rPr>
        <w:footnoteReference w:id="2637"/>
      </w:r>
      <w:r>
        <w:rPr>
          <w:rFonts w:hint="cs"/>
          <w:vertAlign w:val="superscript"/>
          <w:rtl/>
        </w:rPr>
        <w:t>)</w:t>
      </w:r>
      <w:r>
        <w:rPr>
          <w:rFonts w:hint="cs"/>
          <w:rtl/>
        </w:rPr>
        <w:t xml:space="preserve">، </w:t>
      </w:r>
      <w:r>
        <w:rPr>
          <w:rFonts w:hint="eastAsia"/>
          <w:rtl/>
        </w:rPr>
        <w:t>«</w:t>
      </w:r>
      <w:r>
        <w:rPr>
          <w:rFonts w:hint="cs"/>
          <w:rtl/>
        </w:rPr>
        <w:t xml:space="preserve"> فإنه يأخذ مالاً لا </w:t>
      </w:r>
      <w:r>
        <w:rPr>
          <w:rFonts w:hint="cs"/>
          <w:rtl/>
        </w:rPr>
        <w:lastRenderedPageBreak/>
        <w:t>حافظ له مِنْ حرزٍ ناقصٍ خُفيةً. فيكون فعله أدنى</w:t>
      </w:r>
      <w:r>
        <w:rPr>
          <w:rStyle w:val="a7"/>
          <w:rtl/>
        </w:rPr>
        <w:footnoteReference w:id="2638"/>
      </w:r>
      <w:r>
        <w:rPr>
          <w:rFonts w:hint="cs"/>
          <w:rtl/>
        </w:rPr>
        <w:t xml:space="preserve"> من فعل السارق، فلا يلحق به</w:t>
      </w:r>
      <w:r>
        <w:rPr>
          <w:rFonts w:hint="eastAsia"/>
          <w:rtl/>
        </w:rPr>
        <w:t>»</w:t>
      </w:r>
      <w:r>
        <w:rPr>
          <w:rFonts w:hint="cs"/>
          <w:vertAlign w:val="superscript"/>
          <w:rtl/>
        </w:rPr>
        <w:t>(</w:t>
      </w:r>
      <w:r>
        <w:rPr>
          <w:rStyle w:val="a7"/>
          <w:rtl/>
        </w:rPr>
        <w:footnoteReference w:id="2639"/>
      </w:r>
      <w:r>
        <w:rPr>
          <w:rFonts w:hint="cs"/>
          <w:vertAlign w:val="superscript"/>
          <w:rtl/>
        </w:rPr>
        <w:t>)</w:t>
      </w:r>
      <w:r>
        <w:rPr>
          <w:rFonts w:hint="cs"/>
          <w:rtl/>
        </w:rPr>
        <w:t>، ولا يُقطع عند</w:t>
      </w:r>
      <w:r>
        <w:rPr>
          <w:rStyle w:val="a7"/>
          <w:rtl/>
        </w:rPr>
        <w:footnoteReference w:id="2640"/>
      </w:r>
      <w:r>
        <w:rPr>
          <w:rFonts w:hint="cs"/>
          <w:rtl/>
        </w:rPr>
        <w:t xml:space="preserve"> أبي حنيفة ومحمد، خلافًا لأبي يوسف</w:t>
      </w:r>
      <w:r>
        <w:rPr>
          <w:rFonts w:hint="cs"/>
          <w:vertAlign w:val="superscript"/>
          <w:rtl/>
        </w:rPr>
        <w:t>(</w:t>
      </w:r>
      <w:r>
        <w:rPr>
          <w:rStyle w:val="a7"/>
          <w:rtl/>
        </w:rPr>
        <w:footnoteReference w:id="2641"/>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C87E70"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7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27802" w:rsidRDefault="00C10469">
      <w:pPr>
        <w:pStyle w:val="a9"/>
        <w:rPr>
          <w:rFonts w:cs="AL-Mateen"/>
          <w:rtl/>
        </w:rPr>
      </w:pPr>
      <w:r w:rsidRPr="00927802">
        <w:rPr>
          <w:rFonts w:cs="AL-Mateen" w:hint="cs"/>
          <w:rtl/>
        </w:rPr>
        <w:lastRenderedPageBreak/>
        <w:t>[ الـقـاعـدة الـثـامـنـة عـشـرة بـعـد الـمـائـة ]</w:t>
      </w:r>
    </w:p>
    <w:p w:rsidR="00C10469" w:rsidRDefault="00C10469">
      <w:pPr>
        <w:rPr>
          <w:rtl/>
        </w:rPr>
      </w:pPr>
      <w:r>
        <w:rPr>
          <w:rFonts w:cs="Monotype Koufi" w:hint="cs"/>
          <w:rtl/>
        </w:rPr>
        <w:t>الحيلةُ [لدفعِ]</w:t>
      </w:r>
      <w:r>
        <w:rPr>
          <w:rStyle w:val="a7"/>
          <w:rtl/>
        </w:rPr>
        <w:footnoteReference w:id="2642"/>
      </w:r>
      <w:r>
        <w:rPr>
          <w:rFonts w:hint="cs"/>
          <w:rtl/>
        </w:rPr>
        <w:t xml:space="preserve"> </w:t>
      </w:r>
      <w:r>
        <w:rPr>
          <w:rFonts w:cs="Monotype Koufi" w:hint="cs"/>
          <w:rtl/>
        </w:rPr>
        <w:t>الضَّرَرِ عَنْ نفـسِهِ جائزةٌ، وإنْ تضَرَّر</w:t>
      </w:r>
      <w:r>
        <w:rPr>
          <w:rStyle w:val="a7"/>
          <w:rtl/>
        </w:rPr>
        <w:footnoteReference w:id="2643"/>
      </w:r>
      <w:r>
        <w:rPr>
          <w:rFonts w:hint="cs"/>
          <w:rtl/>
        </w:rPr>
        <w:t xml:space="preserve"> </w:t>
      </w:r>
      <w:r>
        <w:rPr>
          <w:rFonts w:cs="Monotype Koufi" w:hint="cs"/>
          <w:rtl/>
        </w:rPr>
        <w:t>الغيرُ في ضِمْنِهِ</w:t>
      </w:r>
      <w:r>
        <w:rPr>
          <w:rFonts w:hint="cs"/>
          <w:vertAlign w:val="superscript"/>
          <w:rtl/>
        </w:rPr>
        <w:t>(</w:t>
      </w:r>
      <w:r>
        <w:rPr>
          <w:rStyle w:val="a7"/>
          <w:rtl/>
        </w:rPr>
        <w:footnoteReference w:id="2644"/>
      </w:r>
      <w:r>
        <w:rPr>
          <w:rFonts w:hint="cs"/>
          <w:vertAlign w:val="superscript"/>
          <w:rtl/>
        </w:rPr>
        <w:t>)</w:t>
      </w:r>
      <w:r>
        <w:rPr>
          <w:rFonts w:hint="cs"/>
          <w:rtl/>
        </w:rPr>
        <w:t xml:space="preserve"> :</w:t>
      </w:r>
    </w:p>
    <w:p w:rsidR="00C10469" w:rsidRDefault="00C10469">
      <w:pPr>
        <w:rPr>
          <w:spacing w:val="-4"/>
          <w:rtl/>
        </w:rPr>
      </w:pPr>
      <w:r>
        <w:rPr>
          <w:rFonts w:hint="cs"/>
          <w:spacing w:val="-4"/>
          <w:rtl/>
        </w:rPr>
        <w:lastRenderedPageBreak/>
        <w:t>فجاز</w:t>
      </w:r>
      <w:r>
        <w:rPr>
          <w:rFonts w:hint="cs"/>
          <w:spacing w:val="-4"/>
          <w:vertAlign w:val="superscript"/>
          <w:rtl/>
        </w:rPr>
        <w:t>(</w:t>
      </w:r>
      <w:r>
        <w:rPr>
          <w:rStyle w:val="a7"/>
          <w:spacing w:val="-4"/>
          <w:rtl/>
        </w:rPr>
        <w:footnoteReference w:id="2645"/>
      </w:r>
      <w:r>
        <w:rPr>
          <w:rFonts w:hint="cs"/>
          <w:spacing w:val="-4"/>
          <w:vertAlign w:val="superscript"/>
          <w:rtl/>
        </w:rPr>
        <w:t>)</w:t>
      </w:r>
      <w:r>
        <w:rPr>
          <w:rFonts w:hint="cs"/>
          <w:spacing w:val="-4"/>
          <w:rtl/>
        </w:rPr>
        <w:t xml:space="preserve"> الحيلة </w:t>
      </w:r>
      <w:r>
        <w:rPr>
          <w:rFonts w:hint="cs"/>
          <w:rtl/>
        </w:rPr>
        <w:t>لإسقاط حقّ الشفعة</w:t>
      </w:r>
      <w:r>
        <w:rPr>
          <w:rFonts w:hint="cs"/>
          <w:spacing w:val="-4"/>
          <w:rtl/>
        </w:rPr>
        <w:t>؛ لدفع ضرّر الحِرْمان عن النيلِ إلى ما يحتاج إليه مع أن الشفيع يتضرر بتوهم وقوع الأذى من الجار سَيّىءِ الخلقِ، أو من توابعه</w:t>
      </w:r>
      <w:r>
        <w:rPr>
          <w:rFonts w:hint="cs"/>
          <w:spacing w:val="-4"/>
          <w:vertAlign w:val="superscript"/>
          <w:rtl/>
        </w:rPr>
        <w:t>(</w:t>
      </w:r>
      <w:r>
        <w:rPr>
          <w:rStyle w:val="a7"/>
          <w:spacing w:val="-4"/>
          <w:rtl/>
        </w:rPr>
        <w:footnoteReference w:id="2646"/>
      </w:r>
      <w:r>
        <w:rPr>
          <w:rFonts w:hint="cs"/>
          <w:spacing w:val="-4"/>
          <w:vertAlign w:val="superscript"/>
          <w:rtl/>
        </w:rPr>
        <w:t>)</w:t>
      </w:r>
      <w:r>
        <w:rPr>
          <w:rFonts w:hint="cs"/>
          <w:spacing w:val="-4"/>
          <w:rtl/>
        </w:rPr>
        <w:t>.</w:t>
      </w:r>
    </w:p>
    <w:p w:rsidR="00C10469" w:rsidRDefault="00C10469">
      <w:pPr>
        <w:rPr>
          <w:rtl/>
        </w:rPr>
      </w:pPr>
      <w:r>
        <w:rPr>
          <w:rFonts w:hint="cs"/>
          <w:rtl/>
        </w:rPr>
        <w:t>وجوّزَ  البعضُ الحيلةَ في الرّبَا؛ لدفع ضرر عدم النماء فيما [تعلق]</w:t>
      </w:r>
      <w:r>
        <w:rPr>
          <w:rStyle w:val="a7"/>
          <w:rtl/>
        </w:rPr>
        <w:footnoteReference w:id="2647"/>
      </w:r>
      <w:r>
        <w:rPr>
          <w:rFonts w:hint="cs"/>
          <w:rtl/>
        </w:rPr>
        <w:t xml:space="preserve"> أثمانًا</w:t>
      </w:r>
      <w:r>
        <w:rPr>
          <w:rStyle w:val="a7"/>
          <w:rtl/>
        </w:rPr>
        <w:footnoteReference w:id="2648"/>
      </w:r>
      <w:r>
        <w:rPr>
          <w:rFonts w:hint="cs"/>
          <w:rtl/>
        </w:rPr>
        <w:t xml:space="preserve"> من شأنه</w:t>
      </w:r>
      <w:r>
        <w:rPr>
          <w:rStyle w:val="a7"/>
          <w:rtl/>
        </w:rPr>
        <w:footnoteReference w:id="2649"/>
      </w:r>
      <w:r>
        <w:rPr>
          <w:rFonts w:hint="cs"/>
          <w:rtl/>
        </w:rPr>
        <w:t xml:space="preserve"> نماء، مع أن المديون يتضرّر بالتزام الربح</w:t>
      </w:r>
      <w:r>
        <w:rPr>
          <w:rFonts w:hint="cs"/>
          <w:vertAlign w:val="superscript"/>
          <w:rtl/>
        </w:rPr>
        <w:t>(</w:t>
      </w:r>
      <w:r>
        <w:rPr>
          <w:rStyle w:val="a7"/>
          <w:rtl/>
        </w:rPr>
        <w:footnoteReference w:id="2650"/>
      </w:r>
      <w:r>
        <w:rPr>
          <w:rFonts w:hint="cs"/>
          <w:vertAlign w:val="superscript"/>
          <w:rtl/>
        </w:rPr>
        <w:t>)</w:t>
      </w:r>
      <w:r>
        <w:rPr>
          <w:rFonts w:hint="cs"/>
          <w:rtl/>
        </w:rPr>
        <w:t>.</w:t>
      </w:r>
    </w:p>
    <w:p w:rsidR="00C10469" w:rsidRDefault="00C10469">
      <w:pPr>
        <w:rPr>
          <w:rtl/>
        </w:rPr>
      </w:pPr>
      <w:r>
        <w:rPr>
          <w:rFonts w:hint="cs"/>
          <w:rtl/>
        </w:rPr>
        <w:lastRenderedPageBreak/>
        <w:t>ومن هذا القبـيل أكثر</w:t>
      </w:r>
      <w:r>
        <w:rPr>
          <w:rStyle w:val="a7"/>
          <w:rtl/>
        </w:rPr>
        <w:footnoteReference w:id="2651"/>
      </w:r>
      <w:r>
        <w:rPr>
          <w:rFonts w:hint="cs"/>
          <w:rtl/>
        </w:rPr>
        <w:t xml:space="preserve"> الحيل.</w:t>
      </w:r>
      <w:r>
        <w:rPr>
          <w:rtl/>
        </w:rPr>
        <w:t xml:space="preserve"> </w:t>
      </w:r>
    </w:p>
    <w:p w:rsidR="00C10469" w:rsidRDefault="00C10469">
      <w:pPr>
        <w:rPr>
          <w:rtl/>
        </w:rPr>
      </w:pPr>
    </w:p>
    <w:p w:rsidR="00C10469" w:rsidRDefault="00C10469">
      <w:pPr>
        <w:rPr>
          <w:rtl/>
        </w:rPr>
      </w:pPr>
    </w:p>
    <w:p w:rsidR="00C10469" w:rsidRPr="0001776C"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7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245C4" w:rsidRDefault="00C10469">
      <w:pPr>
        <w:pStyle w:val="a9"/>
        <w:rPr>
          <w:rFonts w:cs="AL-Mateen"/>
          <w:rtl/>
          <w:lang w:val="en-US"/>
        </w:rPr>
      </w:pPr>
      <w:r w:rsidRPr="003245C4">
        <w:rPr>
          <w:rFonts w:cs="AL-Mateen" w:hint="cs"/>
          <w:rtl/>
          <w:lang w:val="en-US"/>
        </w:rPr>
        <w:lastRenderedPageBreak/>
        <w:t>[الـقـاعـدة الـتـاسـعـة عـشـرة بـعـد الـمـائـة ]</w:t>
      </w:r>
    </w:p>
    <w:p w:rsidR="00C10469" w:rsidRDefault="00C10469">
      <w:pPr>
        <w:rPr>
          <w:rtl/>
        </w:rPr>
      </w:pPr>
      <w:r>
        <w:rPr>
          <w:rFonts w:cs="Monotype Koufi" w:hint="cs"/>
          <w:rtl/>
        </w:rPr>
        <w:t>الخاصُّ يتناولُ المخصوصَ قطعًا</w:t>
      </w:r>
      <w:r>
        <w:rPr>
          <w:rFonts w:hint="cs"/>
          <w:vertAlign w:val="superscript"/>
          <w:rtl/>
        </w:rPr>
        <w:t>(</w:t>
      </w:r>
      <w:r>
        <w:rPr>
          <w:rStyle w:val="a7"/>
          <w:rtl/>
        </w:rPr>
        <w:footnoteReference w:id="2652"/>
      </w:r>
      <w:r>
        <w:rPr>
          <w:rFonts w:hint="cs"/>
          <w:vertAlign w:val="superscript"/>
          <w:rtl/>
        </w:rPr>
        <w:t>)</w:t>
      </w:r>
      <w:r>
        <w:rPr>
          <w:rFonts w:hint="cs"/>
          <w:rtl/>
        </w:rPr>
        <w:t xml:space="preserve"> :</w:t>
      </w:r>
    </w:p>
    <w:p w:rsidR="00C10469" w:rsidRDefault="00C10469">
      <w:pPr>
        <w:rPr>
          <w:rtl/>
        </w:rPr>
      </w:pPr>
      <w:r>
        <w:rPr>
          <w:rFonts w:hint="cs"/>
          <w:rtl/>
        </w:rPr>
        <w:lastRenderedPageBreak/>
        <w:t>بحيث لا يحتمل زيادة البيان؛ لأنه بيِّنٌ في نفسه؛ ولهذا قال علماؤنا : (القرء) يحمل على (الحيض) في قوله تعالى</w:t>
      </w:r>
      <w:r>
        <w:rPr>
          <w:rStyle w:val="a7"/>
          <w:rtl/>
        </w:rPr>
        <w:footnoteReference w:id="2653"/>
      </w:r>
      <w:r>
        <w:rPr>
          <w:rFonts w:hint="cs"/>
          <w:rtl/>
        </w:rPr>
        <w:t xml:space="preserve"> : </w:t>
      </w:r>
      <w:r>
        <w:rPr>
          <w:color w:val="000000"/>
          <w:sz w:val="24"/>
          <w:szCs w:val="24"/>
        </w:rPr>
        <w:sym w:font="HQPB2" w:char="F0E2"/>
      </w:r>
      <w:r>
        <w:rPr>
          <w:color w:val="000000"/>
          <w:sz w:val="24"/>
          <w:szCs w:val="24"/>
          <w:rtl/>
        </w:rPr>
        <w:t xml:space="preserve"> </w:t>
      </w:r>
      <w:r>
        <w:rPr>
          <w:color w:val="000000"/>
          <w:sz w:val="24"/>
          <w:szCs w:val="24"/>
        </w:rPr>
        <w:sym w:font="HQPB4" w:char="F0E0"/>
      </w:r>
      <w:r>
        <w:rPr>
          <w:color w:val="000000"/>
          <w:sz w:val="24"/>
          <w:szCs w:val="24"/>
        </w:rPr>
        <w:sym w:font="HQPB1" w:char="F04D"/>
      </w:r>
      <w:r>
        <w:rPr>
          <w:color w:val="000000"/>
          <w:sz w:val="24"/>
          <w:szCs w:val="24"/>
        </w:rPr>
        <w:sym w:font="HQPB2" w:char="F0BB"/>
      </w:r>
      <w:r>
        <w:rPr>
          <w:color w:val="000000"/>
          <w:sz w:val="24"/>
          <w:szCs w:val="24"/>
        </w:rPr>
        <w:sym w:font="HQPB5" w:char="F073"/>
      </w:r>
      <w:r>
        <w:rPr>
          <w:color w:val="000000"/>
          <w:sz w:val="24"/>
          <w:szCs w:val="24"/>
        </w:rPr>
        <w:sym w:font="HQPB2" w:char="F029"/>
      </w:r>
      <w:r>
        <w:rPr>
          <w:color w:val="000000"/>
          <w:sz w:val="24"/>
          <w:szCs w:val="24"/>
        </w:rPr>
        <w:sym w:font="HQPB4" w:char="F0AF"/>
      </w:r>
      <w:r>
        <w:rPr>
          <w:color w:val="000000"/>
          <w:sz w:val="24"/>
          <w:szCs w:val="24"/>
        </w:rPr>
        <w:sym w:font="HQPB2" w:char="F03D"/>
      </w:r>
      <w:r>
        <w:rPr>
          <w:color w:val="000000"/>
          <w:sz w:val="24"/>
          <w:szCs w:val="24"/>
        </w:rPr>
        <w:sym w:font="HQPB5" w:char="F073"/>
      </w:r>
      <w:r>
        <w:rPr>
          <w:color w:val="000000"/>
          <w:sz w:val="24"/>
          <w:szCs w:val="24"/>
        </w:rPr>
        <w:sym w:font="HQPB1" w:char="F0DC"/>
      </w:r>
      <w:r>
        <w:rPr>
          <w:color w:val="000000"/>
          <w:sz w:val="24"/>
          <w:szCs w:val="24"/>
        </w:rPr>
        <w:sym w:font="HQPB4" w:char="F0DF"/>
      </w:r>
      <w:r>
        <w:rPr>
          <w:color w:val="000000"/>
          <w:sz w:val="24"/>
          <w:szCs w:val="24"/>
        </w:rPr>
        <w:sym w:font="HQPB2" w:char="F04A"/>
      </w:r>
      <w:r>
        <w:rPr>
          <w:color w:val="000000"/>
          <w:sz w:val="24"/>
          <w:szCs w:val="24"/>
        </w:rPr>
        <w:sym w:font="HQPB4" w:char="F0F8"/>
      </w:r>
      <w:r>
        <w:rPr>
          <w:color w:val="000000"/>
          <w:sz w:val="24"/>
          <w:szCs w:val="24"/>
        </w:rPr>
        <w:sym w:font="HQPB2" w:char="F039"/>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5" w:char="F09A"/>
      </w:r>
      <w:r>
        <w:rPr>
          <w:color w:val="000000"/>
          <w:sz w:val="24"/>
          <w:szCs w:val="24"/>
        </w:rPr>
        <w:sym w:font="HQPB2" w:char="F0C6"/>
      </w:r>
      <w:r>
        <w:rPr>
          <w:color w:val="000000"/>
          <w:sz w:val="24"/>
          <w:szCs w:val="24"/>
        </w:rPr>
        <w:sym w:font="HQPB4" w:char="F0F3"/>
      </w:r>
      <w:r>
        <w:rPr>
          <w:color w:val="000000"/>
          <w:sz w:val="24"/>
          <w:szCs w:val="24"/>
        </w:rPr>
        <w:sym w:font="HQPB1" w:char="F0C1"/>
      </w:r>
      <w:r>
        <w:rPr>
          <w:color w:val="000000"/>
          <w:sz w:val="24"/>
          <w:szCs w:val="24"/>
        </w:rPr>
        <w:sym w:font="HQPB4" w:char="F0AD"/>
      </w:r>
      <w:r>
        <w:rPr>
          <w:color w:val="000000"/>
          <w:sz w:val="24"/>
          <w:szCs w:val="24"/>
        </w:rPr>
        <w:sym w:font="HQPB1" w:char="F02F"/>
      </w:r>
      <w:r>
        <w:rPr>
          <w:color w:val="000000"/>
          <w:sz w:val="24"/>
          <w:szCs w:val="24"/>
        </w:rPr>
        <w:sym w:font="HQPB5" w:char="F075"/>
      </w:r>
      <w:r>
        <w:rPr>
          <w:color w:val="000000"/>
          <w:sz w:val="24"/>
          <w:szCs w:val="24"/>
        </w:rPr>
        <w:sym w:font="HQPB1" w:char="F08E"/>
      </w:r>
      <w:r>
        <w:rPr>
          <w:color w:val="000000"/>
          <w:sz w:val="24"/>
          <w:szCs w:val="24"/>
        </w:rPr>
        <w:sym w:font="HQPB5" w:char="F074"/>
      </w:r>
      <w:r>
        <w:rPr>
          <w:color w:val="000000"/>
          <w:sz w:val="24"/>
          <w:szCs w:val="24"/>
        </w:rPr>
        <w:sym w:font="HQPB1" w:char="F049"/>
      </w:r>
      <w:r>
        <w:rPr>
          <w:color w:val="000000"/>
          <w:sz w:val="24"/>
          <w:szCs w:val="24"/>
        </w:rPr>
        <w:sym w:font="HQPB5" w:char="F074"/>
      </w:r>
      <w:r>
        <w:rPr>
          <w:color w:val="000000"/>
          <w:sz w:val="24"/>
          <w:szCs w:val="24"/>
        </w:rPr>
        <w:sym w:font="HQPB2" w:char="F083"/>
      </w:r>
      <w:r>
        <w:rPr>
          <w:color w:val="000000"/>
          <w:sz w:val="24"/>
          <w:szCs w:val="24"/>
          <w:rtl/>
        </w:rPr>
        <w:t xml:space="preserve"> </w:t>
      </w:r>
      <w:r>
        <w:rPr>
          <w:color w:val="000000"/>
          <w:sz w:val="24"/>
          <w:szCs w:val="24"/>
        </w:rPr>
        <w:sym w:font="HQPB4" w:char="F0A3"/>
      </w:r>
      <w:r>
        <w:rPr>
          <w:color w:val="000000"/>
          <w:sz w:val="24"/>
          <w:szCs w:val="24"/>
        </w:rPr>
        <w:sym w:font="HQPB2" w:char="F060"/>
      </w:r>
      <w:r>
        <w:rPr>
          <w:color w:val="000000"/>
          <w:sz w:val="24"/>
          <w:szCs w:val="24"/>
        </w:rPr>
        <w:sym w:font="HQPB4" w:char="F0CE"/>
      </w:r>
      <w:r>
        <w:rPr>
          <w:color w:val="000000"/>
          <w:sz w:val="24"/>
          <w:szCs w:val="24"/>
        </w:rPr>
        <w:sym w:font="HQPB2" w:char="F067"/>
      </w:r>
      <w:r>
        <w:rPr>
          <w:color w:val="000000"/>
          <w:sz w:val="24"/>
          <w:szCs w:val="24"/>
        </w:rPr>
        <w:sym w:font="HQPB4" w:char="F0C5"/>
      </w:r>
      <w:r>
        <w:rPr>
          <w:color w:val="000000"/>
          <w:sz w:val="24"/>
          <w:szCs w:val="24"/>
        </w:rPr>
        <w:sym w:font="HQPB1" w:char="F0A1"/>
      </w:r>
      <w:r>
        <w:rPr>
          <w:color w:val="000000"/>
          <w:sz w:val="24"/>
          <w:szCs w:val="24"/>
        </w:rPr>
        <w:sym w:font="HQPB4" w:char="F0E0"/>
      </w:r>
      <w:r>
        <w:rPr>
          <w:color w:val="000000"/>
          <w:sz w:val="24"/>
          <w:szCs w:val="24"/>
        </w:rPr>
        <w:sym w:font="HQPB1" w:char="F0FF"/>
      </w:r>
      <w:r>
        <w:rPr>
          <w:color w:val="000000"/>
          <w:sz w:val="24"/>
          <w:szCs w:val="24"/>
        </w:rPr>
        <w:sym w:font="HQPB2" w:char="F052"/>
      </w:r>
      <w:r>
        <w:rPr>
          <w:color w:val="000000"/>
          <w:sz w:val="24"/>
          <w:szCs w:val="24"/>
        </w:rPr>
        <w:sym w:font="HQPB5" w:char="F072"/>
      </w:r>
      <w:r>
        <w:rPr>
          <w:color w:val="000000"/>
          <w:sz w:val="24"/>
          <w:szCs w:val="24"/>
        </w:rPr>
        <w:sym w:font="HQPB1" w:char="F027"/>
      </w:r>
      <w:r>
        <w:rPr>
          <w:color w:val="000000"/>
          <w:sz w:val="24"/>
          <w:szCs w:val="24"/>
        </w:rPr>
        <w:sym w:font="HQPB4" w:char="F0CE"/>
      </w:r>
      <w:r>
        <w:rPr>
          <w:color w:val="000000"/>
          <w:sz w:val="24"/>
          <w:szCs w:val="24"/>
        </w:rPr>
        <w:sym w:font="HQPB1" w:char="F02F"/>
      </w:r>
      <w:r>
        <w:rPr>
          <w:color w:val="000000"/>
          <w:sz w:val="24"/>
          <w:szCs w:val="24"/>
          <w:rtl/>
        </w:rPr>
        <w:t xml:space="preserve"> </w:t>
      </w:r>
      <w:r>
        <w:rPr>
          <w:color w:val="000000"/>
          <w:sz w:val="24"/>
          <w:szCs w:val="24"/>
        </w:rPr>
        <w:sym w:font="HQPB5" w:char="F073"/>
      </w:r>
      <w:r>
        <w:rPr>
          <w:color w:val="000000"/>
          <w:sz w:val="24"/>
          <w:szCs w:val="24"/>
        </w:rPr>
        <w:sym w:font="HQPB2" w:char="F070"/>
      </w:r>
      <w:r>
        <w:rPr>
          <w:color w:val="000000"/>
          <w:sz w:val="24"/>
          <w:szCs w:val="24"/>
        </w:rPr>
        <w:sym w:font="HQPB5" w:char="F073"/>
      </w:r>
      <w:r>
        <w:rPr>
          <w:color w:val="000000"/>
          <w:sz w:val="24"/>
          <w:szCs w:val="24"/>
        </w:rPr>
        <w:sym w:font="HQPB1" w:char="F057"/>
      </w:r>
      <w:r>
        <w:rPr>
          <w:color w:val="000000"/>
          <w:sz w:val="24"/>
          <w:szCs w:val="24"/>
        </w:rPr>
        <w:sym w:font="HQPB2" w:char="F0BB"/>
      </w:r>
      <w:r>
        <w:rPr>
          <w:color w:val="000000"/>
          <w:sz w:val="24"/>
          <w:szCs w:val="24"/>
        </w:rPr>
        <w:sym w:font="HQPB5" w:char="F06E"/>
      </w:r>
      <w:r>
        <w:rPr>
          <w:color w:val="000000"/>
          <w:sz w:val="24"/>
          <w:szCs w:val="24"/>
        </w:rPr>
        <w:sym w:font="HQPB2" w:char="F03D"/>
      </w:r>
      <w:r>
        <w:rPr>
          <w:color w:val="000000"/>
          <w:sz w:val="24"/>
          <w:szCs w:val="24"/>
        </w:rPr>
        <w:sym w:font="HQPB5" w:char="F072"/>
      </w:r>
      <w:r>
        <w:rPr>
          <w:color w:val="000000"/>
          <w:sz w:val="24"/>
          <w:szCs w:val="24"/>
        </w:rPr>
        <w:sym w:font="HQPB1" w:char="F04F"/>
      </w:r>
      <w:r>
        <w:rPr>
          <w:color w:val="000000"/>
          <w:sz w:val="24"/>
          <w:szCs w:val="24"/>
          <w:rtl/>
        </w:rPr>
        <w:t xml:space="preserve"> </w:t>
      </w:r>
      <w:r>
        <w:rPr>
          <w:color w:val="000000"/>
          <w:sz w:val="24"/>
          <w:szCs w:val="24"/>
        </w:rPr>
        <w:sym w:font="HQPB4" w:char="F026"/>
      </w:r>
      <w:r>
        <w:rPr>
          <w:color w:val="000000"/>
          <w:sz w:val="24"/>
          <w:szCs w:val="24"/>
        </w:rPr>
        <w:sym w:font="HQPB2" w:char="F0E4"/>
      </w:r>
      <w:r>
        <w:rPr>
          <w:color w:val="000000"/>
          <w:sz w:val="24"/>
          <w:szCs w:val="24"/>
        </w:rPr>
        <w:sym w:font="HQPB4" w:char="F0FF"/>
      </w:r>
      <w:r>
        <w:rPr>
          <w:color w:val="000000"/>
          <w:sz w:val="24"/>
          <w:szCs w:val="24"/>
        </w:rPr>
        <w:sym w:font="HQPB2" w:char="F072"/>
      </w:r>
      <w:r>
        <w:rPr>
          <w:color w:val="000000"/>
          <w:sz w:val="24"/>
          <w:szCs w:val="24"/>
        </w:rPr>
        <w:sym w:font="HQPB4" w:char="F0E3"/>
      </w:r>
      <w:r>
        <w:rPr>
          <w:color w:val="000000"/>
          <w:sz w:val="24"/>
          <w:szCs w:val="24"/>
        </w:rPr>
        <w:sym w:font="HQPB1" w:char="F08D"/>
      </w:r>
      <w:r>
        <w:rPr>
          <w:color w:val="000000"/>
          <w:sz w:val="24"/>
          <w:szCs w:val="24"/>
        </w:rPr>
        <w:sym w:font="HQPB4" w:char="F0E8"/>
      </w:r>
      <w:r>
        <w:rPr>
          <w:color w:val="000000"/>
          <w:sz w:val="24"/>
          <w:szCs w:val="24"/>
        </w:rPr>
        <w:sym w:font="HQPB2" w:char="F025"/>
      </w:r>
      <w:r>
        <w:rPr>
          <w:color w:val="000000"/>
          <w:sz w:val="24"/>
          <w:szCs w:val="24"/>
          <w:rtl/>
        </w:rPr>
        <w:t xml:space="preserve"> </w:t>
      </w:r>
      <w:r>
        <w:rPr>
          <w:color w:val="000000"/>
          <w:sz w:val="24"/>
          <w:szCs w:val="24"/>
        </w:rPr>
        <w:sym w:font="HQPB4" w:char="F034"/>
      </w:r>
      <w:r>
        <w:rPr>
          <w:color w:val="000000"/>
          <w:sz w:val="24"/>
          <w:szCs w:val="24"/>
          <w:rtl/>
        </w:rPr>
        <w:t xml:space="preserve"> </w:t>
      </w:r>
      <w:r>
        <w:rPr>
          <w:color w:val="000000"/>
          <w:sz w:val="24"/>
          <w:szCs w:val="24"/>
        </w:rPr>
        <w:sym w:font="HQPB2" w:char="F0E1"/>
      </w:r>
      <w:r>
        <w:rPr>
          <w:rFonts w:hint="cs"/>
          <w:vertAlign w:val="superscript"/>
          <w:rtl/>
        </w:rPr>
        <w:t>(</w:t>
      </w:r>
      <w:r>
        <w:rPr>
          <w:rStyle w:val="a7"/>
          <w:rtl/>
        </w:rPr>
        <w:footnoteReference w:id="2654"/>
      </w:r>
      <w:r>
        <w:rPr>
          <w:rFonts w:hint="cs"/>
          <w:vertAlign w:val="superscript"/>
          <w:rtl/>
        </w:rPr>
        <w:t>)</w:t>
      </w:r>
      <w:r>
        <w:rPr>
          <w:rFonts w:hint="cs"/>
          <w:rtl/>
        </w:rPr>
        <w:t>؛ لأن الثلاث اسم خاص لعدد معلوم</w:t>
      </w:r>
      <w:r>
        <w:rPr>
          <w:rFonts w:hint="cs"/>
          <w:vertAlign w:val="superscript"/>
          <w:rtl/>
        </w:rPr>
        <w:t>(</w:t>
      </w:r>
      <w:r>
        <w:rPr>
          <w:rStyle w:val="a7"/>
          <w:rtl/>
        </w:rPr>
        <w:footnoteReference w:id="2655"/>
      </w:r>
      <w:r>
        <w:rPr>
          <w:rFonts w:hint="cs"/>
          <w:vertAlign w:val="superscript"/>
          <w:rtl/>
        </w:rPr>
        <w:t>)</w:t>
      </w:r>
      <w:r>
        <w:rPr>
          <w:rFonts w:hint="cs"/>
          <w:rtl/>
        </w:rPr>
        <w:t>.</w:t>
      </w:r>
    </w:p>
    <w:p w:rsidR="00C10469" w:rsidRDefault="00C10469">
      <w:pPr>
        <w:rPr>
          <w:rtl/>
        </w:rPr>
      </w:pPr>
      <w:r>
        <w:rPr>
          <w:rFonts w:hint="cs"/>
          <w:b/>
          <w:bCs/>
          <w:spacing w:val="-2"/>
          <w:rtl/>
        </w:rPr>
        <w:t>وتقريره</w:t>
      </w:r>
      <w:r>
        <w:rPr>
          <w:rFonts w:hint="cs"/>
          <w:spacing w:val="-2"/>
          <w:rtl/>
        </w:rPr>
        <w:t xml:space="preserve"> : أن القرء مشترك بين الحيض والطهر؛ </w:t>
      </w:r>
      <w:r>
        <w:rPr>
          <w:rFonts w:hint="eastAsia"/>
          <w:rtl/>
        </w:rPr>
        <w:t>«</w:t>
      </w:r>
      <w:r>
        <w:rPr>
          <w:rFonts w:hint="cs"/>
          <w:spacing w:val="-2"/>
          <w:rtl/>
        </w:rPr>
        <w:t>فلو كان المراد به الطهر - كما هو مذهب الشافعي</w:t>
      </w:r>
      <w:r>
        <w:rPr>
          <w:rFonts w:hint="cs"/>
          <w:spacing w:val="-2"/>
          <w:vertAlign w:val="superscript"/>
          <w:rtl/>
        </w:rPr>
        <w:t>(</w:t>
      </w:r>
      <w:r>
        <w:rPr>
          <w:rStyle w:val="a7"/>
          <w:spacing w:val="-2"/>
          <w:rtl/>
        </w:rPr>
        <w:footnoteReference w:id="2656"/>
      </w:r>
      <w:r>
        <w:rPr>
          <w:rFonts w:hint="cs"/>
          <w:spacing w:val="-2"/>
          <w:vertAlign w:val="superscript"/>
          <w:rtl/>
        </w:rPr>
        <w:t>)</w:t>
      </w:r>
      <w:r>
        <w:rPr>
          <w:rFonts w:hint="cs"/>
          <w:spacing w:val="-2"/>
          <w:rtl/>
        </w:rPr>
        <w:t>- لبطل موجِبُ الخاص (وهو الثلاثة)؛ لأن الطلاق المسنون هو الذي يكون في حالة الطهر، فإذا طلّقها فيه يلزم</w:t>
      </w:r>
      <w:r>
        <w:rPr>
          <w:rStyle w:val="a7"/>
          <w:spacing w:val="-2"/>
          <w:rtl/>
        </w:rPr>
        <w:footnoteReference w:id="2657"/>
      </w:r>
      <w:r>
        <w:rPr>
          <w:rFonts w:hint="cs"/>
          <w:spacing w:val="-2"/>
          <w:rtl/>
        </w:rPr>
        <w:t xml:space="preserve"> أنْ لا يجب عليها التربّص</w:t>
      </w:r>
      <w:r>
        <w:rPr>
          <w:rStyle w:val="a7"/>
          <w:spacing w:val="-2"/>
          <w:rtl/>
        </w:rPr>
        <w:footnoteReference w:id="2658"/>
      </w:r>
      <w:r>
        <w:rPr>
          <w:rFonts w:hint="cs"/>
          <w:spacing w:val="-2"/>
          <w:rtl/>
        </w:rPr>
        <w:t xml:space="preserve"> ثلاثة أطهارٍ إجماعًا</w:t>
      </w:r>
      <w:r>
        <w:rPr>
          <w:rFonts w:hint="cs"/>
          <w:spacing w:val="-2"/>
          <w:vertAlign w:val="superscript"/>
          <w:rtl/>
        </w:rPr>
        <w:t>(</w:t>
      </w:r>
      <w:r>
        <w:rPr>
          <w:rStyle w:val="a7"/>
          <w:spacing w:val="-2"/>
          <w:rtl/>
        </w:rPr>
        <w:footnoteReference w:id="2659"/>
      </w:r>
      <w:r>
        <w:rPr>
          <w:rFonts w:hint="cs"/>
          <w:spacing w:val="-2"/>
          <w:vertAlign w:val="superscript"/>
          <w:rtl/>
        </w:rPr>
        <w:t>)</w:t>
      </w:r>
      <w:r>
        <w:rPr>
          <w:rFonts w:hint="cs"/>
          <w:spacing w:val="-2"/>
          <w:rtl/>
        </w:rPr>
        <w:t>؛ لأن الطّهر الذي وقع [فيه]</w:t>
      </w:r>
      <w:r>
        <w:rPr>
          <w:rStyle w:val="a7"/>
          <w:spacing w:val="-2"/>
          <w:rtl/>
        </w:rPr>
        <w:footnoteReference w:id="2660"/>
      </w:r>
      <w:r>
        <w:rPr>
          <w:rFonts w:hint="cs"/>
          <w:spacing w:val="-2"/>
          <w:rtl/>
        </w:rPr>
        <w:t xml:space="preserve"> الطلاق محسوب عند من قال :</w:t>
      </w:r>
      <w:r>
        <w:rPr>
          <w:rFonts w:hint="cs"/>
          <w:rtl/>
        </w:rPr>
        <w:t xml:space="preserve"> المراد به الطهر، فحينئذ تنقضي العدة بباقي</w:t>
      </w:r>
      <w:r>
        <w:rPr>
          <w:rStyle w:val="a7"/>
          <w:rtl/>
        </w:rPr>
        <w:footnoteReference w:id="2661"/>
      </w:r>
      <w:r>
        <w:rPr>
          <w:rFonts w:hint="cs"/>
          <w:rtl/>
        </w:rPr>
        <w:t xml:space="preserve"> ذلك الطهر</w:t>
      </w:r>
      <w:r>
        <w:rPr>
          <w:rStyle w:val="a7"/>
          <w:rtl/>
        </w:rPr>
        <w:footnoteReference w:id="2662"/>
      </w:r>
      <w:r>
        <w:rPr>
          <w:rFonts w:hint="cs"/>
          <w:rtl/>
        </w:rPr>
        <w:t xml:space="preserve"> وطهرين</w:t>
      </w:r>
      <w:r>
        <w:rPr>
          <w:rStyle w:val="a7"/>
          <w:rtl/>
        </w:rPr>
        <w:footnoteReference w:id="2663"/>
      </w:r>
      <w:r>
        <w:rPr>
          <w:rFonts w:hint="cs"/>
          <w:rtl/>
        </w:rPr>
        <w:t xml:space="preserve"> آخرين، </w:t>
      </w:r>
      <w:r>
        <w:rPr>
          <w:rFonts w:hint="cs"/>
          <w:rtl/>
        </w:rPr>
        <w:lastRenderedPageBreak/>
        <w:t>فينقص العدد عن الثلاث، وذا لا يجوز؛ لأن فيه [إبطالاً]</w:t>
      </w:r>
      <w:r>
        <w:rPr>
          <w:rStyle w:val="a7"/>
          <w:rtl/>
        </w:rPr>
        <w:footnoteReference w:id="2664"/>
      </w:r>
      <w:r>
        <w:rPr>
          <w:rFonts w:hint="cs"/>
          <w:rtl/>
        </w:rPr>
        <w:t xml:space="preserve"> لِمُوجِب الخاص.</w:t>
      </w:r>
    </w:p>
    <w:p w:rsidR="00C10469" w:rsidRDefault="00C10469">
      <w:pPr>
        <w:rPr>
          <w:spacing w:val="-6"/>
          <w:rtl/>
        </w:rPr>
      </w:pPr>
      <w:r>
        <w:rPr>
          <w:rFonts w:hint="cs"/>
          <w:spacing w:val="-6"/>
          <w:rtl/>
        </w:rPr>
        <w:t>بخلاف ما لو حملناه على الحيض؛ لأنه يجب التربّص بثلاث</w:t>
      </w:r>
      <w:r>
        <w:rPr>
          <w:rFonts w:hint="cs"/>
          <w:spacing w:val="-6"/>
          <w:vertAlign w:val="superscript"/>
          <w:rtl/>
        </w:rPr>
        <w:t>(</w:t>
      </w:r>
      <w:r>
        <w:rPr>
          <w:rStyle w:val="a7"/>
          <w:spacing w:val="-6"/>
          <w:rtl/>
        </w:rPr>
        <w:footnoteReference w:id="2665"/>
      </w:r>
      <w:r>
        <w:rPr>
          <w:rFonts w:hint="cs"/>
          <w:spacing w:val="-6"/>
          <w:vertAlign w:val="superscript"/>
          <w:rtl/>
        </w:rPr>
        <w:t>)</w:t>
      </w:r>
      <w:r>
        <w:rPr>
          <w:rFonts w:hint="cs"/>
          <w:spacing w:val="-6"/>
          <w:rtl/>
        </w:rPr>
        <w:t xml:space="preserve"> قروء كوامل</w:t>
      </w:r>
      <w:r>
        <w:rPr>
          <w:rFonts w:hint="eastAsia"/>
          <w:spacing w:val="-6"/>
          <w:rtl/>
        </w:rPr>
        <w:t>»</w:t>
      </w:r>
      <w:r>
        <w:rPr>
          <w:rFonts w:hint="cs"/>
          <w:spacing w:val="-6"/>
          <w:vertAlign w:val="superscript"/>
          <w:rtl/>
        </w:rPr>
        <w:t xml:space="preserve"> (</w:t>
      </w:r>
      <w:r>
        <w:rPr>
          <w:rStyle w:val="a7"/>
          <w:spacing w:val="-6"/>
          <w:rtl/>
        </w:rPr>
        <w:footnoteReference w:id="2666"/>
      </w:r>
      <w:r>
        <w:rPr>
          <w:rFonts w:hint="cs"/>
          <w:spacing w:val="-6"/>
          <w:vertAlign w:val="superscript"/>
          <w:rtl/>
        </w:rPr>
        <w:t>)</w:t>
      </w:r>
      <w:r>
        <w:rPr>
          <w:rFonts w:hint="cs"/>
          <w:spacing w:val="-6"/>
          <w:rtl/>
        </w:rPr>
        <w:t>.</w:t>
      </w:r>
    </w:p>
    <w:p w:rsidR="00C10469" w:rsidRDefault="00C10469">
      <w:pPr>
        <w:rPr>
          <w:spacing w:val="-4"/>
          <w:rtl/>
        </w:rPr>
      </w:pPr>
      <w:r>
        <w:rPr>
          <w:rFonts w:hint="cs"/>
          <w:b/>
          <w:bCs/>
          <w:spacing w:val="-4"/>
          <w:rtl/>
        </w:rPr>
        <w:t>فإن قيل</w:t>
      </w:r>
      <w:r>
        <w:rPr>
          <w:rFonts w:hint="cs"/>
          <w:spacing w:val="-4"/>
          <w:rtl/>
        </w:rPr>
        <w:t xml:space="preserve"> : فعلى هذا </w:t>
      </w:r>
      <w:r>
        <w:rPr>
          <w:rFonts w:hint="eastAsia"/>
          <w:spacing w:val="-4"/>
          <w:rtl/>
        </w:rPr>
        <w:t>«</w:t>
      </w:r>
      <w:r>
        <w:rPr>
          <w:rFonts w:hint="cs"/>
          <w:spacing w:val="-4"/>
          <w:rtl/>
        </w:rPr>
        <w:t>يلزم الزيادة</w:t>
      </w:r>
      <w:r>
        <w:rPr>
          <w:rStyle w:val="a7"/>
          <w:spacing w:val="-4"/>
          <w:rtl/>
        </w:rPr>
        <w:footnoteReference w:id="2667"/>
      </w:r>
      <w:r>
        <w:rPr>
          <w:rFonts w:hint="cs"/>
          <w:spacing w:val="-4"/>
          <w:rtl/>
        </w:rPr>
        <w:t xml:space="preserve"> على الثلاثة إذا طلقها في الحيض؛ لأنه لا يحتسب</w:t>
      </w:r>
      <w:r>
        <w:rPr>
          <w:rStyle w:val="a7"/>
          <w:spacing w:val="-4"/>
          <w:rtl/>
        </w:rPr>
        <w:footnoteReference w:id="2668"/>
      </w:r>
      <w:r>
        <w:rPr>
          <w:rFonts w:hint="cs"/>
          <w:spacing w:val="-4"/>
          <w:rtl/>
        </w:rPr>
        <w:t xml:space="preserve"> هذا الحيض إجماعًا، والخاص - كما لا يحتمل النقصان - لا يحتمل الزيادة !.</w:t>
      </w:r>
    </w:p>
    <w:p w:rsidR="00C10469" w:rsidRDefault="00C10469">
      <w:pPr>
        <w:rPr>
          <w:rtl/>
        </w:rPr>
      </w:pPr>
      <w:r>
        <w:rPr>
          <w:rFonts w:hint="cs"/>
          <w:b/>
          <w:bCs/>
          <w:rtl/>
        </w:rPr>
        <w:t xml:space="preserve">فالجواب </w:t>
      </w:r>
      <w:r>
        <w:rPr>
          <w:rFonts w:hint="cs"/>
          <w:rtl/>
        </w:rPr>
        <w:t>: أن ذلك الازدياد</w:t>
      </w:r>
      <w:r>
        <w:rPr>
          <w:rFonts w:hint="cs"/>
          <w:vertAlign w:val="superscript"/>
          <w:rtl/>
        </w:rPr>
        <w:t>(</w:t>
      </w:r>
      <w:r>
        <w:rPr>
          <w:rStyle w:val="a7"/>
          <w:rtl/>
        </w:rPr>
        <w:footnoteReference w:id="2669"/>
      </w:r>
      <w:r>
        <w:rPr>
          <w:rFonts w:hint="cs"/>
          <w:vertAlign w:val="superscript"/>
          <w:rtl/>
        </w:rPr>
        <w:t>)</w:t>
      </w:r>
      <w:r>
        <w:rPr>
          <w:rFonts w:hint="cs"/>
          <w:rtl/>
        </w:rPr>
        <w:t xml:space="preserve"> ضرورة وجوب التكميل، فيكون [مغتفرًا]</w:t>
      </w:r>
      <w:r>
        <w:rPr>
          <w:rStyle w:val="a7"/>
          <w:rtl/>
        </w:rPr>
        <w:footnoteReference w:id="2670"/>
      </w:r>
      <w:r>
        <w:rPr>
          <w:rFonts w:hint="cs"/>
          <w:rtl/>
        </w:rPr>
        <w:t xml:space="preserve"> غير ملتفت إليه؛ وذلك لأن الحيضة</w:t>
      </w:r>
      <w:r>
        <w:rPr>
          <w:rStyle w:val="a7"/>
          <w:rtl/>
        </w:rPr>
        <w:footnoteReference w:id="2671"/>
      </w:r>
      <w:r>
        <w:rPr>
          <w:rFonts w:hint="cs"/>
          <w:rtl/>
        </w:rPr>
        <w:t xml:space="preserve"> لا تقبل [التجزئة]</w:t>
      </w:r>
      <w:r>
        <w:rPr>
          <w:rStyle w:val="a7"/>
          <w:rtl/>
        </w:rPr>
        <w:footnoteReference w:id="2672"/>
      </w:r>
      <w:r>
        <w:rPr>
          <w:rFonts w:hint="cs"/>
          <w:rtl/>
        </w:rPr>
        <w:t>؛ ولهذا لو قال لامرأته : أنت طالق إذا حِضْتِ نصف حيْضَة : لا تطلق حتى تطهر</w:t>
      </w:r>
      <w:r>
        <w:rPr>
          <w:rFonts w:hint="cs"/>
          <w:vertAlign w:val="superscript"/>
          <w:rtl/>
        </w:rPr>
        <w:t>(</w:t>
      </w:r>
      <w:r>
        <w:rPr>
          <w:rStyle w:val="a7"/>
          <w:rtl/>
        </w:rPr>
        <w:footnoteReference w:id="2673"/>
      </w:r>
      <w:r>
        <w:rPr>
          <w:rFonts w:hint="cs"/>
          <w:vertAlign w:val="superscript"/>
          <w:rtl/>
        </w:rPr>
        <w:t>)</w:t>
      </w:r>
      <w:r>
        <w:rPr>
          <w:rFonts w:hint="cs"/>
          <w:rtl/>
        </w:rPr>
        <w:t xml:space="preserve">، فوجب تكميل الأولى </w:t>
      </w:r>
      <w:r>
        <w:rPr>
          <w:rFonts w:hint="cs"/>
          <w:rtl/>
        </w:rPr>
        <w:lastRenderedPageBreak/>
        <w:t>بالرابعة</w:t>
      </w:r>
      <w:r>
        <w:rPr>
          <w:rFonts w:hint="eastAsia"/>
          <w:rtl/>
        </w:rPr>
        <w:t>»</w:t>
      </w:r>
      <w:r>
        <w:rPr>
          <w:rFonts w:hint="cs"/>
          <w:vertAlign w:val="superscript"/>
          <w:rtl/>
        </w:rPr>
        <w:t>(</w:t>
      </w:r>
      <w:r>
        <w:rPr>
          <w:rStyle w:val="a7"/>
          <w:rtl/>
        </w:rPr>
        <w:footnoteReference w:id="2674"/>
      </w:r>
      <w:r>
        <w:rPr>
          <w:rFonts w:hint="cs"/>
          <w:vertAlign w:val="superscript"/>
          <w:rtl/>
        </w:rPr>
        <w:t>)</w:t>
      </w:r>
      <w:r>
        <w:rPr>
          <w:rFonts w:hint="cs"/>
          <w:rtl/>
        </w:rPr>
        <w:t>، والبعض فيما لا يتجزأ يعتبر كاملاً</w:t>
      </w:r>
      <w:r>
        <w:rPr>
          <w:rFonts w:hint="cs"/>
          <w:vertAlign w:val="superscript"/>
          <w:rtl/>
        </w:rPr>
        <w:t>(</w:t>
      </w:r>
      <w:r>
        <w:rPr>
          <w:rStyle w:val="a7"/>
          <w:rtl/>
        </w:rPr>
        <w:footnoteReference w:id="2675"/>
      </w:r>
      <w:r>
        <w:rPr>
          <w:rFonts w:hint="cs"/>
          <w:vertAlign w:val="superscript"/>
          <w:rtl/>
        </w:rPr>
        <w:t>)</w:t>
      </w:r>
      <w:r>
        <w:rPr>
          <w:rFonts w:hint="cs"/>
          <w:rtl/>
        </w:rPr>
        <w:t>، كما إذا قال لامرأته : عليك نصف الطلاق، أو ربعه : يقع طلاقًا كاملاً</w:t>
      </w:r>
      <w:r>
        <w:rPr>
          <w:rStyle w:val="a7"/>
          <w:rtl/>
        </w:rPr>
        <w:footnoteReference w:id="2676"/>
      </w:r>
      <w:r>
        <w:rPr>
          <w:rFonts w:hint="cs"/>
          <w:rtl/>
        </w:rPr>
        <w:t>.</w:t>
      </w:r>
    </w:p>
    <w:p w:rsidR="00C10469" w:rsidRDefault="00C10469">
      <w:pPr>
        <w:rPr>
          <w:rtl/>
        </w:rPr>
      </w:pPr>
      <w:r>
        <w:rPr>
          <w:rFonts w:hint="cs"/>
          <w:rtl/>
        </w:rPr>
        <w:t>وبهذا الأصل استدل علماؤنا عدم</w:t>
      </w:r>
      <w:r>
        <w:rPr>
          <w:rStyle w:val="a7"/>
          <w:rtl/>
        </w:rPr>
        <w:footnoteReference w:id="2677"/>
      </w:r>
      <w:r>
        <w:rPr>
          <w:rFonts w:hint="cs"/>
          <w:rtl/>
        </w:rPr>
        <w:t xml:space="preserve"> فرضية الترتيب، والتسمية، والوِلاء</w:t>
      </w:r>
      <w:r>
        <w:rPr>
          <w:rFonts w:hint="cs"/>
          <w:vertAlign w:val="superscript"/>
          <w:rtl/>
        </w:rPr>
        <w:t>(</w:t>
      </w:r>
      <w:r>
        <w:rPr>
          <w:rStyle w:val="a7"/>
          <w:rtl/>
        </w:rPr>
        <w:footnoteReference w:id="2678"/>
      </w:r>
      <w:r>
        <w:rPr>
          <w:rFonts w:hint="cs"/>
          <w:vertAlign w:val="superscript"/>
          <w:rtl/>
        </w:rPr>
        <w:t>)</w:t>
      </w:r>
      <w:r>
        <w:rPr>
          <w:rFonts w:hint="cs"/>
          <w:rtl/>
        </w:rPr>
        <w:t xml:space="preserve"> في الوضوء</w:t>
      </w:r>
      <w:r>
        <w:rPr>
          <w:rStyle w:val="a7"/>
          <w:rtl/>
        </w:rPr>
        <w:footnoteReference w:id="2679"/>
      </w:r>
      <w:r>
        <w:rPr>
          <w:rFonts w:hint="cs"/>
          <w:rtl/>
        </w:rPr>
        <w:t>؛ لأن الغسل والـمَسْحَ في آية الوضوء [لفظان]</w:t>
      </w:r>
      <w:r>
        <w:rPr>
          <w:rStyle w:val="a7"/>
          <w:rtl/>
        </w:rPr>
        <w:footnoteReference w:id="2680"/>
      </w:r>
      <w:r>
        <w:rPr>
          <w:rFonts w:hint="cs"/>
          <w:rtl/>
        </w:rPr>
        <w:t xml:space="preserve"> خاصين</w:t>
      </w:r>
      <w:r>
        <w:rPr>
          <w:rFonts w:hint="cs"/>
          <w:vertAlign w:val="superscript"/>
          <w:rtl/>
        </w:rPr>
        <w:t>(</w:t>
      </w:r>
      <w:r>
        <w:rPr>
          <w:rStyle w:val="a7"/>
          <w:rtl/>
        </w:rPr>
        <w:footnoteReference w:id="2681"/>
      </w:r>
      <w:r>
        <w:rPr>
          <w:rFonts w:hint="cs"/>
          <w:vertAlign w:val="superscript"/>
          <w:rtl/>
        </w:rPr>
        <w:t>)</w:t>
      </w:r>
      <w:r>
        <w:rPr>
          <w:rFonts w:hint="cs"/>
          <w:rtl/>
        </w:rPr>
        <w:t xml:space="preserve"> بفعل معلوم (وهو إسالة الماء وإصابة البلل</w:t>
      </w:r>
      <w:r>
        <w:rPr>
          <w:rFonts w:hint="cs"/>
          <w:vertAlign w:val="superscript"/>
          <w:rtl/>
        </w:rPr>
        <w:t>(</w:t>
      </w:r>
      <w:r>
        <w:rPr>
          <w:rStyle w:val="a7"/>
          <w:rtl/>
        </w:rPr>
        <w:footnoteReference w:id="2682"/>
      </w:r>
      <w:r>
        <w:rPr>
          <w:rFonts w:hint="cs"/>
          <w:vertAlign w:val="superscript"/>
          <w:rtl/>
        </w:rPr>
        <w:t>)</w:t>
      </w:r>
      <w:r>
        <w:rPr>
          <w:rFonts w:hint="cs"/>
          <w:rtl/>
        </w:rPr>
        <w:t>)، فلو علّق جواز الوضوء بهما</w:t>
      </w:r>
      <w:r>
        <w:rPr>
          <w:rFonts w:hint="cs"/>
          <w:vertAlign w:val="superscript"/>
          <w:rtl/>
        </w:rPr>
        <w:t>(</w:t>
      </w:r>
      <w:r>
        <w:rPr>
          <w:rStyle w:val="a7"/>
          <w:rtl/>
        </w:rPr>
        <w:footnoteReference w:id="2683"/>
      </w:r>
      <w:r>
        <w:rPr>
          <w:rFonts w:hint="cs"/>
          <w:vertAlign w:val="superscript"/>
          <w:rtl/>
        </w:rPr>
        <w:t>)</w:t>
      </w:r>
      <w:r>
        <w:rPr>
          <w:rFonts w:hint="cs"/>
          <w:rtl/>
        </w:rPr>
        <w:t xml:space="preserve"> لا يكون</w:t>
      </w:r>
      <w:r>
        <w:rPr>
          <w:rStyle w:val="a7"/>
          <w:rtl/>
        </w:rPr>
        <w:footnoteReference w:id="2684"/>
      </w:r>
      <w:r>
        <w:rPr>
          <w:rFonts w:hint="cs"/>
          <w:rtl/>
        </w:rPr>
        <w:t xml:space="preserve"> </w:t>
      </w:r>
      <w:r>
        <w:rPr>
          <w:rFonts w:hint="cs"/>
          <w:rtl/>
        </w:rPr>
        <w:lastRenderedPageBreak/>
        <w:t>عملاً به، إذْ النص بإطلاق يقتضي جوازهما</w:t>
      </w:r>
      <w:r>
        <w:rPr>
          <w:rFonts w:hint="cs"/>
          <w:vertAlign w:val="superscript"/>
          <w:rtl/>
        </w:rPr>
        <w:t>(</w:t>
      </w:r>
      <w:r>
        <w:rPr>
          <w:rStyle w:val="a7"/>
          <w:rtl/>
        </w:rPr>
        <w:footnoteReference w:id="2685"/>
      </w:r>
      <w:r>
        <w:rPr>
          <w:rFonts w:hint="cs"/>
          <w:vertAlign w:val="superscript"/>
          <w:rtl/>
        </w:rPr>
        <w:t>)</w:t>
      </w:r>
      <w:r>
        <w:rPr>
          <w:rFonts w:hint="cs"/>
          <w:rtl/>
        </w:rPr>
        <w:t xml:space="preserve"> على أي وج</w:t>
      </w:r>
      <w:r>
        <w:rPr>
          <w:rFonts w:hint="cs"/>
          <w:rtl/>
          <w:lang w:bidi="ar-AE"/>
        </w:rPr>
        <w:t>ـ</w:t>
      </w:r>
      <w:r>
        <w:rPr>
          <w:rFonts w:hint="cs"/>
          <w:rtl/>
        </w:rPr>
        <w:t>ه حـصل، فلا يـجوز الفسخ بحكم</w:t>
      </w:r>
      <w:r>
        <w:rPr>
          <w:rFonts w:hint="cs"/>
          <w:vertAlign w:val="superscript"/>
          <w:rtl/>
        </w:rPr>
        <w:t>(</w:t>
      </w:r>
      <w:r>
        <w:rPr>
          <w:rStyle w:val="a7"/>
          <w:rtl/>
        </w:rPr>
        <w:footnoteReference w:id="2686"/>
      </w:r>
      <w:r>
        <w:rPr>
          <w:rFonts w:hint="cs"/>
          <w:vertAlign w:val="superscript"/>
          <w:rtl/>
        </w:rPr>
        <w:t>)</w:t>
      </w:r>
      <w:r>
        <w:rPr>
          <w:rFonts w:hint="cs"/>
          <w:rtl/>
        </w:rPr>
        <w:t xml:space="preserve"> الكتاب بخبر</w:t>
      </w:r>
      <w:r>
        <w:rPr>
          <w:rStyle w:val="a7"/>
          <w:rtl/>
        </w:rPr>
        <w:footnoteReference w:id="2687"/>
      </w:r>
      <w:r>
        <w:rPr>
          <w:rFonts w:hint="cs"/>
          <w:rtl/>
        </w:rPr>
        <w:t xml:space="preserve"> الواحد</w:t>
      </w:r>
      <w:r>
        <w:rPr>
          <w:rFonts w:hint="cs"/>
          <w:vertAlign w:val="superscript"/>
          <w:rtl/>
        </w:rPr>
        <w:t>(</w:t>
      </w:r>
      <w:r>
        <w:rPr>
          <w:rStyle w:val="a7"/>
          <w:rtl/>
        </w:rPr>
        <w:footnoteReference w:id="2688"/>
      </w:r>
      <w:r>
        <w:rPr>
          <w:rFonts w:hint="cs"/>
          <w:vertAlign w:val="superscript"/>
          <w:rtl/>
        </w:rPr>
        <w:t>)</w:t>
      </w:r>
      <w:r>
        <w:rPr>
          <w:rFonts w:hint="cs"/>
          <w:rtl/>
        </w:rPr>
        <w:t>.</w:t>
      </w:r>
    </w:p>
    <w:p w:rsidR="00C10469" w:rsidRDefault="00C10469">
      <w:pPr>
        <w:rPr>
          <w:rtl/>
        </w:rPr>
      </w:pPr>
      <w:r>
        <w:rPr>
          <w:rFonts w:hint="cs"/>
          <w:b/>
          <w:bCs/>
          <w:rtl/>
        </w:rPr>
        <w:t>فإن قيل</w:t>
      </w:r>
      <w:r>
        <w:rPr>
          <w:rFonts w:hint="cs"/>
          <w:rtl/>
        </w:rPr>
        <w:t xml:space="preserve"> : لِمَ اشترط</w:t>
      </w:r>
      <w:r>
        <w:rPr>
          <w:rStyle w:val="a7"/>
          <w:rtl/>
        </w:rPr>
        <w:footnoteReference w:id="2689"/>
      </w:r>
      <w:r>
        <w:rPr>
          <w:rFonts w:hint="cs"/>
          <w:rtl/>
        </w:rPr>
        <w:t xml:space="preserve"> النَيَّة في التيمم مع أن النصَّ ساكتٌ عنه</w:t>
      </w:r>
      <w:r>
        <w:rPr>
          <w:rFonts w:hint="cs"/>
          <w:vertAlign w:val="superscript"/>
          <w:rtl/>
        </w:rPr>
        <w:t>(</w:t>
      </w:r>
      <w:r>
        <w:rPr>
          <w:rStyle w:val="a7"/>
          <w:rtl/>
        </w:rPr>
        <w:footnoteReference w:id="2690"/>
      </w:r>
      <w:r>
        <w:rPr>
          <w:rFonts w:hint="cs"/>
          <w:vertAlign w:val="superscript"/>
          <w:rtl/>
        </w:rPr>
        <w:t>)(</w:t>
      </w:r>
      <w:r>
        <w:rPr>
          <w:rStyle w:val="a7"/>
          <w:rtl/>
        </w:rPr>
        <w:footnoteReference w:id="2691"/>
      </w:r>
      <w:r>
        <w:rPr>
          <w:rFonts w:hint="cs"/>
          <w:vertAlign w:val="superscript"/>
          <w:rtl/>
        </w:rPr>
        <w:t>)</w:t>
      </w:r>
      <w:r>
        <w:rPr>
          <w:rFonts w:hint="cs"/>
          <w:rtl/>
        </w:rPr>
        <w:t>؟!.</w:t>
      </w:r>
    </w:p>
    <w:p w:rsidR="00C10469" w:rsidRDefault="00C10469">
      <w:pPr>
        <w:rPr>
          <w:rtl/>
        </w:rPr>
      </w:pPr>
      <w:r>
        <w:rPr>
          <w:rFonts w:hint="eastAsia"/>
          <w:rtl/>
        </w:rPr>
        <w:t>«</w:t>
      </w:r>
      <w:r>
        <w:rPr>
          <w:rFonts w:hint="cs"/>
          <w:b/>
          <w:bCs/>
          <w:rtl/>
        </w:rPr>
        <w:t>أجيب</w:t>
      </w:r>
      <w:r>
        <w:rPr>
          <w:rFonts w:hint="cs"/>
          <w:rtl/>
        </w:rPr>
        <w:t xml:space="preserve"> : بأن النية فيه</w:t>
      </w:r>
      <w:r>
        <w:rPr>
          <w:rFonts w:hint="cs"/>
          <w:vertAlign w:val="superscript"/>
          <w:rtl/>
        </w:rPr>
        <w:t>(</w:t>
      </w:r>
      <w:r>
        <w:rPr>
          <w:rStyle w:val="a7"/>
          <w:rtl/>
        </w:rPr>
        <w:footnoteReference w:id="2692"/>
      </w:r>
      <w:r>
        <w:rPr>
          <w:rFonts w:hint="cs"/>
          <w:vertAlign w:val="superscript"/>
          <w:rtl/>
        </w:rPr>
        <w:t>)</w:t>
      </w:r>
      <w:r>
        <w:rPr>
          <w:rFonts w:hint="cs"/>
          <w:rtl/>
        </w:rPr>
        <w:t xml:space="preserve"> [ثبتت]</w:t>
      </w:r>
      <w:r>
        <w:rPr>
          <w:rStyle w:val="a7"/>
          <w:rtl/>
        </w:rPr>
        <w:footnoteReference w:id="2693"/>
      </w:r>
      <w:r>
        <w:rPr>
          <w:rFonts w:hint="cs"/>
          <w:rtl/>
        </w:rPr>
        <w:t xml:space="preserve"> بنفس النص، لا بغيره؛ لأن التيمم ينبئ عنها، إذ هو القصد لغة، والنية هي القصد.</w:t>
      </w:r>
    </w:p>
    <w:p w:rsidR="00C10469" w:rsidRDefault="00C10469">
      <w:pPr>
        <w:rPr>
          <w:rtl/>
        </w:rPr>
      </w:pPr>
      <w:r>
        <w:rPr>
          <w:rFonts w:hint="cs"/>
          <w:rtl/>
        </w:rPr>
        <w:t>وفيه إشكال</w:t>
      </w:r>
      <w:r>
        <w:rPr>
          <w:rStyle w:val="a7"/>
          <w:rtl/>
        </w:rPr>
        <w:footnoteReference w:id="2694"/>
      </w:r>
      <w:r>
        <w:rPr>
          <w:rFonts w:hint="cs"/>
          <w:rtl/>
        </w:rPr>
        <w:t xml:space="preserve">؛ لأنه إنما يستقيم ذلك لو كانت النية عبارة عن مطلق القصد. </w:t>
      </w:r>
      <w:r>
        <w:rPr>
          <w:rFonts w:hint="cs"/>
          <w:rtl/>
        </w:rPr>
        <w:lastRenderedPageBreak/>
        <w:t>وليس الأمر كذلك؛ بل عبارةٌ عن</w:t>
      </w:r>
      <w:r>
        <w:rPr>
          <w:rStyle w:val="a7"/>
          <w:rtl/>
        </w:rPr>
        <w:footnoteReference w:id="2695"/>
      </w:r>
      <w:r>
        <w:rPr>
          <w:rFonts w:hint="cs"/>
          <w:rtl/>
        </w:rPr>
        <w:t xml:space="preserve"> قصد الصعيد لاستباحة</w:t>
      </w:r>
      <w:r>
        <w:rPr>
          <w:rStyle w:val="a7"/>
          <w:rtl/>
        </w:rPr>
        <w:footnoteReference w:id="2696"/>
      </w:r>
      <w:r>
        <w:rPr>
          <w:rFonts w:hint="cs"/>
          <w:rtl/>
        </w:rPr>
        <w:t xml:space="preserve"> الصلاة، وهذا أخصّ منه، والعام لا دلالة</w:t>
      </w:r>
      <w:r>
        <w:rPr>
          <w:rStyle w:val="a7"/>
          <w:rtl/>
        </w:rPr>
        <w:footnoteReference w:id="2697"/>
      </w:r>
      <w:r>
        <w:rPr>
          <w:rFonts w:hint="cs"/>
          <w:rtl/>
        </w:rPr>
        <w:t xml:space="preserve"> له</w:t>
      </w:r>
      <w:r>
        <w:rPr>
          <w:rFonts w:hint="cs"/>
          <w:vertAlign w:val="superscript"/>
          <w:rtl/>
        </w:rPr>
        <w:t>(</w:t>
      </w:r>
      <w:r>
        <w:rPr>
          <w:rStyle w:val="a7"/>
          <w:rtl/>
        </w:rPr>
        <w:footnoteReference w:id="2698"/>
      </w:r>
      <w:r>
        <w:rPr>
          <w:rFonts w:hint="cs"/>
          <w:vertAlign w:val="superscript"/>
          <w:rtl/>
        </w:rPr>
        <w:t>)</w:t>
      </w:r>
      <w:r>
        <w:rPr>
          <w:rFonts w:hint="cs"/>
          <w:rtl/>
        </w:rPr>
        <w:t>، فكيف يستفاد ذلك عنه؟</w:t>
      </w:r>
      <w:r>
        <w:rPr>
          <w:rFonts w:hint="eastAsia"/>
          <w:rtl/>
        </w:rPr>
        <w:t>»</w:t>
      </w:r>
      <w:r>
        <w:rPr>
          <w:rFonts w:hint="cs"/>
          <w:vertAlign w:val="superscript"/>
          <w:rtl/>
        </w:rPr>
        <w:t>(</w:t>
      </w:r>
      <w:r>
        <w:rPr>
          <w:rStyle w:val="a7"/>
          <w:rtl/>
        </w:rPr>
        <w:footnoteReference w:id="2699"/>
      </w:r>
      <w:r>
        <w:rPr>
          <w:rFonts w:hint="cs"/>
          <w:vertAlign w:val="superscript"/>
          <w:rtl/>
        </w:rPr>
        <w:t>)</w:t>
      </w:r>
      <w:r>
        <w:rPr>
          <w:rFonts w:hint="cs"/>
          <w:rtl/>
        </w:rPr>
        <w:t>.</w:t>
      </w:r>
    </w:p>
    <w:p w:rsidR="00C10469" w:rsidRDefault="00C10469">
      <w:pPr>
        <w:rPr>
          <w:rtl/>
        </w:rPr>
      </w:pPr>
      <w:r>
        <w:rPr>
          <w:rFonts w:hint="cs"/>
          <w:rtl/>
        </w:rPr>
        <w:t>كذا قال الإتقاني</w:t>
      </w:r>
      <w:r>
        <w:rPr>
          <w:rFonts w:hint="cs"/>
          <w:vertAlign w:val="superscript"/>
          <w:rtl/>
        </w:rPr>
        <w:t>(</w:t>
      </w:r>
      <w:r>
        <w:rPr>
          <w:rStyle w:val="a7"/>
          <w:rtl/>
        </w:rPr>
        <w:footnoteReference w:id="2700"/>
      </w:r>
      <w:r>
        <w:rPr>
          <w:rFonts w:hint="cs"/>
          <w:vertAlign w:val="superscript"/>
          <w:rtl/>
        </w:rPr>
        <w:t>)</w:t>
      </w:r>
      <w:r>
        <w:rPr>
          <w:rFonts w:hint="cs"/>
          <w:rtl/>
        </w:rPr>
        <w:t xml:space="preserve"> في (شرح المغني)</w:t>
      </w:r>
      <w:r>
        <w:rPr>
          <w:rFonts w:hint="cs"/>
          <w:vertAlign w:val="superscript"/>
          <w:rtl/>
        </w:rPr>
        <w:t>(</w:t>
      </w:r>
      <w:r>
        <w:rPr>
          <w:rStyle w:val="a7"/>
          <w:rtl/>
        </w:rPr>
        <w:footnoteReference w:id="2701"/>
      </w:r>
      <w:r>
        <w:rPr>
          <w:rFonts w:hint="cs"/>
          <w:vertAlign w:val="superscript"/>
          <w:rtl/>
        </w:rPr>
        <w:t>)</w:t>
      </w:r>
      <w:r>
        <w:rPr>
          <w:rFonts w:hint="cs"/>
          <w:rtl/>
        </w:rPr>
        <w:t xml:space="preserve"> ولم يجب.</w:t>
      </w:r>
    </w:p>
    <w:p w:rsidR="00C10469" w:rsidRDefault="00C10469">
      <w:pPr>
        <w:rPr>
          <w:rtl/>
        </w:rPr>
      </w:pPr>
      <w:r>
        <w:rPr>
          <w:rFonts w:hint="cs"/>
          <w:b/>
          <w:bCs/>
          <w:rtl/>
        </w:rPr>
        <w:lastRenderedPageBreak/>
        <w:t>أقول</w:t>
      </w:r>
      <w:r>
        <w:rPr>
          <w:rFonts w:hint="cs"/>
          <w:rtl/>
        </w:rPr>
        <w:t xml:space="preserve"> : الأمر بقصد الصعيد يوجب الائتمار به، وقصد الائتمار عين النيّة، فإن </w:t>
      </w:r>
      <w:r>
        <w:rPr>
          <w:rFonts w:hint="cs"/>
          <w:rtl/>
        </w:rPr>
        <w:lastRenderedPageBreak/>
        <w:t>اتفق مسح</w:t>
      </w:r>
      <w:r>
        <w:rPr>
          <w:rStyle w:val="a7"/>
          <w:rtl/>
        </w:rPr>
        <w:footnoteReference w:id="2702"/>
      </w:r>
      <w:r>
        <w:rPr>
          <w:rFonts w:hint="cs"/>
          <w:rtl/>
        </w:rPr>
        <w:t xml:space="preserve"> الوجه واليدين بالصّعيد من غير قصد الائتمار : لا يجوز؛ لأن الصعيد طهور حكمًا لا طبعًا، وفي الوضوء : الماء مزيل</w:t>
      </w:r>
      <w:r>
        <w:rPr>
          <w:rStyle w:val="a7"/>
          <w:rtl/>
        </w:rPr>
        <w:footnoteReference w:id="2703"/>
      </w:r>
      <w:r>
        <w:rPr>
          <w:rFonts w:hint="cs"/>
          <w:rtl/>
        </w:rPr>
        <w:t xml:space="preserve"> النـجاسـة الحقيقية</w:t>
      </w:r>
      <w:r>
        <w:rPr>
          <w:rFonts w:hint="cs"/>
          <w:vertAlign w:val="superscript"/>
          <w:rtl/>
        </w:rPr>
        <w:t>(</w:t>
      </w:r>
      <w:r>
        <w:rPr>
          <w:rStyle w:val="a7"/>
          <w:rtl/>
        </w:rPr>
        <w:footnoteReference w:id="2704"/>
      </w:r>
      <w:r>
        <w:rPr>
          <w:rFonts w:hint="cs"/>
          <w:vertAlign w:val="superscript"/>
          <w:rtl/>
        </w:rPr>
        <w:t>)</w:t>
      </w:r>
      <w:r>
        <w:rPr>
          <w:rFonts w:hint="cs"/>
          <w:rtl/>
        </w:rPr>
        <w:t xml:space="preserve"> بالطـبع، فيزيل النجاسة</w:t>
      </w:r>
      <w:r>
        <w:rPr>
          <w:rStyle w:val="a7"/>
          <w:rtl/>
        </w:rPr>
        <w:footnoteReference w:id="2705"/>
      </w:r>
      <w:r>
        <w:rPr>
          <w:rFonts w:hint="cs"/>
          <w:rtl/>
        </w:rPr>
        <w:t xml:space="preserve"> الحكمية</w:t>
      </w:r>
      <w:r>
        <w:rPr>
          <w:rFonts w:hint="cs"/>
          <w:vertAlign w:val="superscript"/>
          <w:rtl/>
        </w:rPr>
        <w:t>(</w:t>
      </w:r>
      <w:r>
        <w:rPr>
          <w:rStyle w:val="a7"/>
          <w:rtl/>
        </w:rPr>
        <w:footnoteReference w:id="2706"/>
      </w:r>
      <w:r>
        <w:rPr>
          <w:rFonts w:hint="cs"/>
          <w:vertAlign w:val="superscript"/>
          <w:rtl/>
        </w:rPr>
        <w:t>)</w:t>
      </w:r>
      <w:r>
        <w:rPr>
          <w:rFonts w:hint="cs"/>
          <w:rtl/>
        </w:rPr>
        <w:t xml:space="preserve"> بالتبع</w:t>
      </w:r>
      <w:r>
        <w:rPr>
          <w:rStyle w:val="a7"/>
          <w:rtl/>
        </w:rPr>
        <w:footnoteReference w:id="2707"/>
      </w:r>
      <w:r>
        <w:rPr>
          <w:rFonts w:hint="cs"/>
          <w:rtl/>
        </w:rPr>
        <w:t>، فلو اتفق غسل أعضاء الوضوء بغير قصد إباحة</w:t>
      </w:r>
      <w:r>
        <w:rPr>
          <w:rStyle w:val="a7"/>
          <w:rtl/>
        </w:rPr>
        <w:footnoteReference w:id="2708"/>
      </w:r>
      <w:r>
        <w:rPr>
          <w:rFonts w:hint="cs"/>
          <w:rtl/>
        </w:rPr>
        <w:t xml:space="preserve"> الصلاة [توجد]</w:t>
      </w:r>
      <w:r>
        <w:rPr>
          <w:rStyle w:val="a7"/>
          <w:rtl/>
        </w:rPr>
        <w:footnoteReference w:id="2709"/>
      </w:r>
      <w:r>
        <w:rPr>
          <w:rFonts w:hint="cs"/>
          <w:rtl/>
        </w:rPr>
        <w:t xml:space="preserve"> الطهارة الصالحة لإباحتها، فيجوز الصلاة بها.</w:t>
      </w:r>
    </w:p>
    <w:p w:rsidR="00C10469" w:rsidRDefault="00C10469">
      <w:pPr>
        <w:rPr>
          <w:rtl/>
        </w:rPr>
      </w:pPr>
      <w:r>
        <w:rPr>
          <w:rFonts w:hint="cs"/>
          <w:b/>
          <w:bCs/>
          <w:rtl/>
        </w:rPr>
        <w:t>وخرج</w:t>
      </w:r>
      <w:r>
        <w:rPr>
          <w:rFonts w:hint="cs"/>
          <w:rtl/>
        </w:rPr>
        <w:t xml:space="preserve"> عن هذا الأصل :</w:t>
      </w:r>
    </w:p>
    <w:p w:rsidR="00C10469" w:rsidRDefault="00C10469" w:rsidP="00C10469">
      <w:pPr>
        <w:spacing w:line="540" w:lineRule="exact"/>
        <w:ind w:left="1131" w:hanging="394"/>
        <w:rPr>
          <w:rtl/>
        </w:rPr>
      </w:pPr>
      <w:r>
        <w:rPr>
          <w:rtl/>
        </w:rPr>
        <w:lastRenderedPageBreak/>
        <w:t>•</w:t>
      </w:r>
      <w:r>
        <w:rPr>
          <w:rFonts w:hint="cs"/>
          <w:rtl/>
        </w:rPr>
        <w:t xml:space="preserve">  </w:t>
      </w:r>
      <w:r w:rsidRPr="00B21533">
        <w:rPr>
          <w:rFonts w:hint="cs"/>
          <w:spacing w:val="-2"/>
          <w:rtl/>
        </w:rPr>
        <w:t>ما قال محمد</w:t>
      </w:r>
      <w:r w:rsidRPr="00B21533">
        <w:rPr>
          <w:rFonts w:hint="cs"/>
          <w:spacing w:val="-2"/>
          <w:vertAlign w:val="superscript"/>
          <w:rtl/>
        </w:rPr>
        <w:t>(</w:t>
      </w:r>
      <w:r w:rsidRPr="00B21533">
        <w:rPr>
          <w:rStyle w:val="a7"/>
          <w:spacing w:val="-2"/>
          <w:rtl/>
        </w:rPr>
        <w:footnoteReference w:id="2710"/>
      </w:r>
      <w:r w:rsidRPr="00B21533">
        <w:rPr>
          <w:rFonts w:hint="cs"/>
          <w:spacing w:val="-2"/>
          <w:vertAlign w:val="superscript"/>
          <w:rtl/>
        </w:rPr>
        <w:t>)</w:t>
      </w:r>
      <w:r w:rsidRPr="00B21533">
        <w:rPr>
          <w:rFonts w:hint="cs"/>
          <w:spacing w:val="-2"/>
          <w:rtl/>
        </w:rPr>
        <w:t xml:space="preserve"> والشافعي</w:t>
      </w:r>
      <w:r w:rsidRPr="00B21533">
        <w:rPr>
          <w:rFonts w:hint="cs"/>
          <w:spacing w:val="-2"/>
          <w:vertAlign w:val="superscript"/>
          <w:rtl/>
        </w:rPr>
        <w:t>(</w:t>
      </w:r>
      <w:r w:rsidRPr="00B21533">
        <w:rPr>
          <w:rStyle w:val="a7"/>
          <w:spacing w:val="-2"/>
          <w:rtl/>
        </w:rPr>
        <w:footnoteReference w:id="2711"/>
      </w:r>
      <w:r w:rsidRPr="00B21533">
        <w:rPr>
          <w:rFonts w:hint="cs"/>
          <w:spacing w:val="-2"/>
          <w:vertAlign w:val="superscript"/>
          <w:rtl/>
        </w:rPr>
        <w:t>)</w:t>
      </w:r>
      <w:r w:rsidRPr="00B21533">
        <w:rPr>
          <w:rFonts w:hint="cs"/>
          <w:spacing w:val="-2"/>
          <w:rtl/>
        </w:rPr>
        <w:t>: جعل الزوج الثاني</w:t>
      </w:r>
      <w:r w:rsidRPr="00B21533">
        <w:rPr>
          <w:rStyle w:val="a7"/>
          <w:spacing w:val="-2"/>
          <w:rtl/>
        </w:rPr>
        <w:footnoteReference w:id="2712"/>
      </w:r>
      <w:r w:rsidRPr="00B21533">
        <w:rPr>
          <w:rFonts w:hint="cs"/>
          <w:spacing w:val="-2"/>
          <w:rtl/>
        </w:rPr>
        <w:t xml:space="preserve"> غاية للحرمة</w:t>
      </w:r>
      <w:r w:rsidRPr="00B21533">
        <w:rPr>
          <w:rFonts w:hint="cs"/>
          <w:spacing w:val="-2"/>
          <w:vertAlign w:val="superscript"/>
          <w:rtl/>
        </w:rPr>
        <w:t>(</w:t>
      </w:r>
      <w:r w:rsidRPr="00B21533">
        <w:rPr>
          <w:rStyle w:val="a7"/>
          <w:spacing w:val="-2"/>
          <w:rtl/>
        </w:rPr>
        <w:footnoteReference w:id="2713"/>
      </w:r>
      <w:r w:rsidRPr="00B21533">
        <w:rPr>
          <w:rFonts w:hint="cs"/>
          <w:spacing w:val="-2"/>
          <w:vertAlign w:val="superscript"/>
          <w:rtl/>
        </w:rPr>
        <w:t>)</w:t>
      </w:r>
      <w:r w:rsidRPr="00B21533">
        <w:rPr>
          <w:rFonts w:hint="cs"/>
          <w:spacing w:val="-2"/>
          <w:rtl/>
        </w:rPr>
        <w:t xml:space="preserve"> بكلمة خاصة </w:t>
      </w:r>
      <w:r w:rsidRPr="00B21533">
        <w:rPr>
          <w:rFonts w:hint="cs"/>
          <w:spacing w:val="-6"/>
          <w:rtl/>
        </w:rPr>
        <w:t>لها وهي</w:t>
      </w:r>
      <w:r w:rsidRPr="00B21533">
        <w:rPr>
          <w:rStyle w:val="a7"/>
          <w:spacing w:val="-6"/>
          <w:rtl/>
        </w:rPr>
        <w:footnoteReference w:id="2714"/>
      </w:r>
      <w:r w:rsidRPr="00B21533">
        <w:rPr>
          <w:rFonts w:hint="cs"/>
          <w:spacing w:val="-6"/>
          <w:rtl/>
        </w:rPr>
        <w:t xml:space="preserve"> كلمة (حتى) في قوله تـعالى: </w:t>
      </w:r>
      <w:r w:rsidRPr="00B21533">
        <w:rPr>
          <w:rFonts w:cs="Times New Roman"/>
          <w:color w:val="000000"/>
          <w:spacing w:val="-6"/>
          <w:sz w:val="28"/>
          <w:szCs w:val="28"/>
        </w:rPr>
        <w:sym w:font="HQPB2" w:char="F0E2"/>
      </w:r>
      <w:r w:rsidRPr="00B21533">
        <w:rPr>
          <w:rFonts w:cs="Times New Roman"/>
          <w:color w:val="000000"/>
          <w:spacing w:val="-6"/>
          <w:sz w:val="28"/>
          <w:szCs w:val="28"/>
          <w:rtl/>
        </w:rPr>
        <w:t xml:space="preserve"> </w:t>
      </w:r>
      <w:r w:rsidRPr="00B21533">
        <w:rPr>
          <w:rFonts w:cs="Times New Roman"/>
          <w:color w:val="000000"/>
          <w:spacing w:val="-6"/>
          <w:sz w:val="28"/>
          <w:szCs w:val="28"/>
        </w:rPr>
        <w:sym w:font="HQPB5" w:char="F034"/>
      </w:r>
      <w:r w:rsidRPr="00B21533">
        <w:rPr>
          <w:rFonts w:cs="Times New Roman"/>
          <w:color w:val="000000"/>
          <w:spacing w:val="-6"/>
          <w:sz w:val="28"/>
          <w:szCs w:val="28"/>
        </w:rPr>
        <w:sym w:font="HQPB2" w:char="F0D3"/>
      </w:r>
      <w:r w:rsidRPr="00B21533">
        <w:rPr>
          <w:rFonts w:cs="Times New Roman"/>
          <w:color w:val="000000"/>
          <w:spacing w:val="-6"/>
          <w:sz w:val="28"/>
          <w:szCs w:val="28"/>
        </w:rPr>
        <w:sym w:font="HQPB4" w:char="F0AE"/>
      </w:r>
      <w:r w:rsidRPr="00B21533">
        <w:rPr>
          <w:rFonts w:cs="Times New Roman"/>
          <w:color w:val="000000"/>
          <w:spacing w:val="-6"/>
          <w:sz w:val="28"/>
          <w:szCs w:val="28"/>
        </w:rPr>
        <w:sym w:font="HQPB1" w:char="F04C"/>
      </w:r>
      <w:r w:rsidRPr="00B21533">
        <w:rPr>
          <w:rFonts w:cs="Times New Roman"/>
          <w:color w:val="000000"/>
          <w:spacing w:val="-6"/>
          <w:sz w:val="28"/>
          <w:szCs w:val="28"/>
        </w:rPr>
        <w:sym w:font="HQPB5" w:char="F079"/>
      </w:r>
      <w:r w:rsidRPr="00B21533">
        <w:rPr>
          <w:rFonts w:cs="Times New Roman"/>
          <w:color w:val="000000"/>
          <w:spacing w:val="-6"/>
          <w:sz w:val="28"/>
          <w:szCs w:val="28"/>
        </w:rPr>
        <w:sym w:font="HQPB1" w:char="F06D"/>
      </w:r>
      <w:r w:rsidRPr="00B21533">
        <w:rPr>
          <w:rFonts w:cs="Times New Roman"/>
          <w:color w:val="000000"/>
          <w:spacing w:val="-6"/>
          <w:sz w:val="28"/>
          <w:szCs w:val="28"/>
          <w:rtl/>
        </w:rPr>
        <w:t xml:space="preserve"> </w:t>
      </w:r>
      <w:r w:rsidRPr="00B21533">
        <w:rPr>
          <w:rFonts w:cs="Times New Roman"/>
          <w:color w:val="000000"/>
          <w:spacing w:val="-6"/>
          <w:sz w:val="28"/>
          <w:szCs w:val="28"/>
        </w:rPr>
        <w:sym w:font="HQPB5" w:char="F079"/>
      </w:r>
      <w:r w:rsidRPr="00B21533">
        <w:rPr>
          <w:rFonts w:cs="Times New Roman"/>
          <w:color w:val="000000"/>
          <w:spacing w:val="-6"/>
          <w:sz w:val="28"/>
          <w:szCs w:val="28"/>
        </w:rPr>
        <w:sym w:font="HQPB1" w:char="F078"/>
      </w:r>
      <w:r w:rsidRPr="00B21533">
        <w:rPr>
          <w:rFonts w:cs="Times New Roman"/>
          <w:color w:val="000000"/>
          <w:spacing w:val="-6"/>
          <w:sz w:val="28"/>
          <w:szCs w:val="28"/>
        </w:rPr>
        <w:sym w:font="HQPB4" w:char="F0C5"/>
      </w:r>
      <w:r w:rsidRPr="00B21533">
        <w:rPr>
          <w:rFonts w:cs="Times New Roman"/>
          <w:color w:val="000000"/>
          <w:spacing w:val="-6"/>
          <w:sz w:val="28"/>
          <w:szCs w:val="28"/>
        </w:rPr>
        <w:sym w:font="HQPB2" w:char="F033"/>
      </w:r>
      <w:r w:rsidRPr="00B21533">
        <w:rPr>
          <w:rFonts w:cs="Times New Roman"/>
          <w:color w:val="000000"/>
          <w:spacing w:val="-6"/>
          <w:sz w:val="28"/>
          <w:szCs w:val="28"/>
        </w:rPr>
        <w:sym w:font="HQPB2" w:char="F059"/>
      </w:r>
      <w:r w:rsidRPr="00B21533">
        <w:rPr>
          <w:rFonts w:cs="Times New Roman"/>
          <w:color w:val="000000"/>
          <w:spacing w:val="-6"/>
          <w:sz w:val="28"/>
          <w:szCs w:val="28"/>
        </w:rPr>
        <w:sym w:font="HQPB5" w:char="F073"/>
      </w:r>
      <w:r w:rsidRPr="00B21533">
        <w:rPr>
          <w:rFonts w:cs="Times New Roman"/>
          <w:color w:val="000000"/>
          <w:spacing w:val="-6"/>
          <w:sz w:val="28"/>
          <w:szCs w:val="28"/>
        </w:rPr>
        <w:sym w:font="HQPB1" w:char="F03F"/>
      </w:r>
      <w:r w:rsidRPr="00B21533">
        <w:rPr>
          <w:rFonts w:cs="Times New Roman"/>
          <w:color w:val="000000"/>
          <w:spacing w:val="-6"/>
          <w:sz w:val="28"/>
          <w:szCs w:val="28"/>
          <w:rtl/>
        </w:rPr>
        <w:t xml:space="preserve"> </w:t>
      </w:r>
      <w:r w:rsidRPr="00B21533">
        <w:rPr>
          <w:rFonts w:cs="Times New Roman"/>
          <w:color w:val="000000"/>
          <w:spacing w:val="-6"/>
          <w:sz w:val="28"/>
          <w:szCs w:val="28"/>
        </w:rPr>
        <w:sym w:font="HQPB1" w:char="F025"/>
      </w:r>
      <w:r w:rsidRPr="00B21533">
        <w:rPr>
          <w:rFonts w:cs="Times New Roman"/>
          <w:color w:val="000000"/>
          <w:spacing w:val="-6"/>
          <w:sz w:val="28"/>
          <w:szCs w:val="28"/>
        </w:rPr>
        <w:sym w:font="HQPB4" w:char="F0B9"/>
      </w:r>
      <w:r w:rsidRPr="00B21533">
        <w:rPr>
          <w:rFonts w:cs="Times New Roman"/>
          <w:color w:val="000000"/>
          <w:spacing w:val="-6"/>
          <w:sz w:val="28"/>
          <w:szCs w:val="28"/>
        </w:rPr>
        <w:sym w:font="HQPB1" w:char="F060"/>
      </w:r>
      <w:r w:rsidRPr="00B21533">
        <w:rPr>
          <w:rFonts w:cs="Times New Roman"/>
          <w:color w:val="000000"/>
          <w:spacing w:val="-6"/>
          <w:sz w:val="28"/>
          <w:szCs w:val="28"/>
        </w:rPr>
        <w:sym w:font="HQPB4" w:char="F0F7"/>
      </w:r>
      <w:r w:rsidRPr="00B21533">
        <w:rPr>
          <w:rFonts w:cs="Times New Roman"/>
          <w:color w:val="000000"/>
          <w:spacing w:val="-6"/>
          <w:sz w:val="28"/>
          <w:szCs w:val="28"/>
        </w:rPr>
        <w:sym w:font="HQPB2" w:char="F072"/>
      </w:r>
      <w:r w:rsidRPr="00B21533">
        <w:rPr>
          <w:rFonts w:cs="Times New Roman"/>
          <w:color w:val="000000"/>
          <w:spacing w:val="-6"/>
          <w:sz w:val="28"/>
          <w:szCs w:val="28"/>
        </w:rPr>
        <w:sym w:font="HQPB5" w:char="F079"/>
      </w:r>
      <w:r w:rsidRPr="00B21533">
        <w:rPr>
          <w:rFonts w:cs="Times New Roman"/>
          <w:color w:val="000000"/>
          <w:spacing w:val="-6"/>
          <w:sz w:val="28"/>
          <w:szCs w:val="28"/>
        </w:rPr>
        <w:sym w:font="HQPB1" w:char="F097"/>
      </w:r>
      <w:r w:rsidRPr="00B21533">
        <w:rPr>
          <w:rStyle w:val="a7"/>
          <w:spacing w:val="-6"/>
          <w:rtl/>
        </w:rPr>
        <w:footnoteReference w:id="2715"/>
      </w:r>
      <w:r w:rsidRPr="00B21533">
        <w:rPr>
          <w:rFonts w:hint="cs"/>
          <w:spacing w:val="-6"/>
          <w:rtl/>
        </w:rPr>
        <w:t xml:space="preserve"> </w:t>
      </w:r>
      <w:r w:rsidRPr="00B21533">
        <w:rPr>
          <w:rFonts w:cs="Times New Roman"/>
          <w:color w:val="000000"/>
          <w:spacing w:val="-6"/>
          <w:sz w:val="28"/>
          <w:szCs w:val="28"/>
        </w:rPr>
        <w:sym w:font="HQPB2" w:char="F0BC"/>
      </w:r>
      <w:r w:rsidRPr="00B21533">
        <w:rPr>
          <w:rFonts w:cs="Times New Roman"/>
          <w:color w:val="000000"/>
          <w:spacing w:val="-6"/>
          <w:sz w:val="28"/>
          <w:szCs w:val="28"/>
        </w:rPr>
        <w:sym w:font="HQPB4" w:char="F0E7"/>
      </w:r>
      <w:r w:rsidRPr="00B21533">
        <w:rPr>
          <w:rFonts w:cs="Times New Roman"/>
          <w:color w:val="000000"/>
          <w:spacing w:val="-6"/>
          <w:sz w:val="28"/>
          <w:szCs w:val="28"/>
        </w:rPr>
        <w:sym w:font="HQPB2" w:char="F06E"/>
      </w:r>
      <w:r w:rsidRPr="00B21533">
        <w:rPr>
          <w:rFonts w:cs="Times New Roman"/>
          <w:color w:val="000000"/>
          <w:spacing w:val="-6"/>
          <w:sz w:val="28"/>
          <w:szCs w:val="28"/>
        </w:rPr>
        <w:sym w:font="HQPB5" w:char="F075"/>
      </w:r>
      <w:r w:rsidRPr="00B21533">
        <w:rPr>
          <w:rFonts w:cs="Times New Roman"/>
          <w:color w:val="000000"/>
          <w:spacing w:val="-6"/>
          <w:sz w:val="28"/>
          <w:szCs w:val="28"/>
        </w:rPr>
        <w:sym w:font="HQPB1" w:char="F08E"/>
      </w:r>
      <w:r w:rsidRPr="00B21533">
        <w:rPr>
          <w:rFonts w:cs="Times New Roman"/>
          <w:color w:val="000000"/>
          <w:spacing w:val="-6"/>
          <w:sz w:val="28"/>
          <w:szCs w:val="28"/>
        </w:rPr>
        <w:sym w:font="HQPB4" w:char="F0F6"/>
      </w:r>
      <w:r w:rsidRPr="00B21533">
        <w:rPr>
          <w:rFonts w:cs="Times New Roman"/>
          <w:color w:val="000000"/>
          <w:spacing w:val="-6"/>
          <w:sz w:val="28"/>
          <w:szCs w:val="28"/>
        </w:rPr>
        <w:sym w:font="HQPB2" w:char="F08D"/>
      </w:r>
      <w:r w:rsidRPr="00B21533">
        <w:rPr>
          <w:rFonts w:cs="Times New Roman"/>
          <w:color w:val="000000"/>
          <w:spacing w:val="-6"/>
          <w:sz w:val="28"/>
          <w:szCs w:val="28"/>
        </w:rPr>
        <w:sym w:font="HQPB5" w:char="F078"/>
      </w:r>
      <w:r w:rsidRPr="00B21533">
        <w:rPr>
          <w:rFonts w:cs="Times New Roman"/>
          <w:color w:val="000000"/>
          <w:spacing w:val="-6"/>
          <w:sz w:val="28"/>
          <w:szCs w:val="28"/>
        </w:rPr>
        <w:sym w:font="HQPB1" w:char="F0EE"/>
      </w:r>
      <w:r w:rsidRPr="00B21533">
        <w:rPr>
          <w:rFonts w:cs="Times New Roman" w:hint="eastAsia"/>
          <w:color w:val="000000"/>
          <w:spacing w:val="-6"/>
          <w:sz w:val="30"/>
          <w:szCs w:val="30"/>
          <w:rtl/>
        </w:rPr>
        <w:t xml:space="preserve"> </w:t>
      </w:r>
      <w:r w:rsidRPr="00B21533">
        <w:rPr>
          <w:rFonts w:cs="Times New Roman"/>
          <w:color w:val="000000"/>
          <w:spacing w:val="-6"/>
          <w:sz w:val="30"/>
          <w:szCs w:val="30"/>
        </w:rPr>
        <w:sym w:font="HQPB2" w:char="F0E1"/>
      </w:r>
      <w:r w:rsidRPr="00B21533">
        <w:rPr>
          <w:rFonts w:hint="cs"/>
          <w:spacing w:val="-6"/>
          <w:vertAlign w:val="superscript"/>
          <w:rtl/>
        </w:rPr>
        <w:t xml:space="preserve"> </w:t>
      </w:r>
      <w:r w:rsidRPr="00B21533">
        <w:rPr>
          <w:rFonts w:hint="cs"/>
          <w:spacing w:val="-2"/>
          <w:vertAlign w:val="superscript"/>
          <w:rtl/>
        </w:rPr>
        <w:t>(</w:t>
      </w:r>
      <w:r w:rsidRPr="00B21533">
        <w:rPr>
          <w:rStyle w:val="a7"/>
          <w:spacing w:val="-2"/>
          <w:rtl/>
        </w:rPr>
        <w:footnoteReference w:id="2716"/>
      </w:r>
      <w:r w:rsidRPr="00B21533">
        <w:rPr>
          <w:rFonts w:hint="cs"/>
          <w:spacing w:val="-2"/>
          <w:vertAlign w:val="superscript"/>
          <w:rtl/>
        </w:rPr>
        <w:t>)</w:t>
      </w:r>
      <w:r w:rsidRPr="00B21533">
        <w:rPr>
          <w:rFonts w:hint="cs"/>
          <w:spacing w:val="-2"/>
          <w:rtl/>
        </w:rPr>
        <w:t xml:space="preserve">، </w:t>
      </w:r>
      <w:r w:rsidRPr="00A15524">
        <w:rPr>
          <w:rFonts w:hint="cs"/>
          <w:spacing w:val="2"/>
          <w:rtl/>
        </w:rPr>
        <w:t>ولا غاية قبل وجود المغيّا، وهو الحرمة الغليظة</w:t>
      </w:r>
      <w:r w:rsidRPr="00A15524">
        <w:rPr>
          <w:rFonts w:hint="cs"/>
          <w:spacing w:val="2"/>
          <w:vertAlign w:val="superscript"/>
          <w:rtl/>
        </w:rPr>
        <w:t>(</w:t>
      </w:r>
      <w:r w:rsidRPr="00A15524">
        <w:rPr>
          <w:rStyle w:val="a7"/>
          <w:spacing w:val="2"/>
          <w:rtl/>
        </w:rPr>
        <w:footnoteReference w:id="2717"/>
      </w:r>
      <w:r w:rsidRPr="00A15524">
        <w:rPr>
          <w:rFonts w:hint="cs"/>
          <w:spacing w:val="2"/>
          <w:vertAlign w:val="superscript"/>
          <w:rtl/>
        </w:rPr>
        <w:t>)</w:t>
      </w:r>
      <w:r w:rsidRPr="00A15524">
        <w:rPr>
          <w:rFonts w:hint="cs"/>
          <w:spacing w:val="2"/>
          <w:rtl/>
        </w:rPr>
        <w:t>، فكان</w:t>
      </w:r>
      <w:r w:rsidRPr="00A15524">
        <w:rPr>
          <w:rStyle w:val="a7"/>
          <w:spacing w:val="2"/>
          <w:rtl/>
        </w:rPr>
        <w:footnoteReference w:id="2718"/>
      </w:r>
      <w:r w:rsidRPr="00A15524">
        <w:rPr>
          <w:rFonts w:hint="cs"/>
          <w:spacing w:val="2"/>
          <w:rtl/>
        </w:rPr>
        <w:t xml:space="preserve"> وجوده </w:t>
      </w:r>
      <w:r>
        <w:rPr>
          <w:spacing w:val="2"/>
          <w:rtl/>
        </w:rPr>
        <w:br/>
      </w:r>
      <w:r w:rsidRPr="00A15524">
        <w:rPr>
          <w:rFonts w:hint="cs"/>
          <w:spacing w:val="2"/>
          <w:rtl/>
        </w:rPr>
        <w:t>كعدمه</w:t>
      </w:r>
      <w:r>
        <w:rPr>
          <w:rFonts w:hint="cs"/>
          <w:rtl/>
        </w:rPr>
        <w:t xml:space="preserve"> قبل وجود [الحرمة]</w:t>
      </w:r>
      <w:r>
        <w:rPr>
          <w:rStyle w:val="a7"/>
          <w:rtl/>
        </w:rPr>
        <w:footnoteReference w:id="2719"/>
      </w:r>
      <w:r>
        <w:rPr>
          <w:rFonts w:hint="cs"/>
          <w:rtl/>
        </w:rPr>
        <w:t xml:space="preserve"> الغليظة</w:t>
      </w:r>
      <w:r>
        <w:rPr>
          <w:rFonts w:hint="cs"/>
          <w:vertAlign w:val="superscript"/>
          <w:rtl/>
        </w:rPr>
        <w:t>(</w:t>
      </w:r>
      <w:r>
        <w:rPr>
          <w:rStyle w:val="a7"/>
          <w:rtl/>
        </w:rPr>
        <w:footnoteReference w:id="2720"/>
      </w:r>
      <w:r>
        <w:rPr>
          <w:rFonts w:hint="cs"/>
          <w:vertAlign w:val="superscript"/>
          <w:rtl/>
        </w:rPr>
        <w:t>)</w:t>
      </w:r>
      <w:r>
        <w:rPr>
          <w:rFonts w:hint="cs"/>
          <w:rtl/>
        </w:rPr>
        <w:t>، فمن أين يصير [هادمًا]</w:t>
      </w:r>
      <w:r>
        <w:rPr>
          <w:rFonts w:hint="cs"/>
          <w:vertAlign w:val="superscript"/>
          <w:rtl/>
        </w:rPr>
        <w:t>(</w:t>
      </w:r>
      <w:r>
        <w:rPr>
          <w:rStyle w:val="a7"/>
          <w:rtl/>
        </w:rPr>
        <w:footnoteReference w:id="2721"/>
      </w:r>
      <w:r>
        <w:rPr>
          <w:rFonts w:hint="cs"/>
          <w:vertAlign w:val="superscript"/>
          <w:rtl/>
        </w:rPr>
        <w:t>)</w:t>
      </w:r>
      <w:r>
        <w:rPr>
          <w:rFonts w:hint="cs"/>
          <w:rtl/>
        </w:rPr>
        <w:t xml:space="preserve"> للطلقة والطلقتين في الحرة؟!</w:t>
      </w:r>
      <w:r>
        <w:rPr>
          <w:rFonts w:hint="cs"/>
          <w:vertAlign w:val="superscript"/>
          <w:rtl/>
        </w:rPr>
        <w:t>(</w:t>
      </w:r>
      <w:r>
        <w:rPr>
          <w:rStyle w:val="a7"/>
          <w:rtl/>
        </w:rPr>
        <w:footnoteReference w:id="2722"/>
      </w:r>
      <w:r>
        <w:rPr>
          <w:rFonts w:hint="cs"/>
          <w:vertAlign w:val="superscript"/>
          <w:rtl/>
        </w:rPr>
        <w:t>)</w:t>
      </w:r>
      <w:r>
        <w:rPr>
          <w:rFonts w:hint="cs"/>
          <w:rtl/>
        </w:rPr>
        <w:t>.</w:t>
      </w:r>
    </w:p>
    <w:p w:rsidR="00C10469" w:rsidRDefault="00C10469" w:rsidP="00C10469">
      <w:pPr>
        <w:spacing w:line="540" w:lineRule="exact"/>
        <w:ind w:left="1131" w:hanging="394"/>
        <w:rPr>
          <w:rtl/>
        </w:rPr>
      </w:pPr>
      <w:r>
        <w:rPr>
          <w:rtl/>
        </w:rPr>
        <w:lastRenderedPageBreak/>
        <w:t>•</w:t>
      </w:r>
      <w:r>
        <w:rPr>
          <w:rFonts w:hint="cs"/>
          <w:rtl/>
        </w:rPr>
        <w:t xml:space="preserve">   وكذا ما قال الشافعي</w:t>
      </w:r>
      <w:r>
        <w:rPr>
          <w:rFonts w:hint="cs"/>
          <w:vertAlign w:val="superscript"/>
          <w:rtl/>
        </w:rPr>
        <w:t>(</w:t>
      </w:r>
      <w:r>
        <w:rPr>
          <w:rStyle w:val="a7"/>
          <w:rtl/>
        </w:rPr>
        <w:footnoteReference w:id="2723"/>
      </w:r>
      <w:r>
        <w:rPr>
          <w:rFonts w:hint="cs"/>
          <w:vertAlign w:val="superscript"/>
          <w:rtl/>
        </w:rPr>
        <w:t>)</w:t>
      </w:r>
      <w:r>
        <w:rPr>
          <w:rFonts w:hint="cs"/>
          <w:rtl/>
        </w:rPr>
        <w:t xml:space="preserve">: إن القطع خاص لـمعنى معلـوم في قـوله تعالى: </w:t>
      </w:r>
      <w:r>
        <w:rPr>
          <w:color w:val="000000"/>
          <w:sz w:val="24"/>
          <w:szCs w:val="24"/>
        </w:rPr>
        <w:sym w:font="HQPB2" w:char="F0E2"/>
      </w:r>
      <w:r>
        <w:rPr>
          <w:rFonts w:hint="cs"/>
          <w:color w:val="000000"/>
          <w:sz w:val="24"/>
          <w:szCs w:val="24"/>
          <w:rtl/>
        </w:rPr>
        <w:t xml:space="preserve"> </w:t>
      </w:r>
      <w:r>
        <w:rPr>
          <w:color w:val="000000"/>
          <w:sz w:val="24"/>
          <w:szCs w:val="24"/>
        </w:rPr>
        <w:sym w:font="HQPB2" w:char="F02D"/>
      </w:r>
      <w:r>
        <w:rPr>
          <w:color w:val="000000"/>
          <w:sz w:val="24"/>
          <w:szCs w:val="24"/>
        </w:rPr>
        <w:sym w:font="HQPB4" w:char="F0CD"/>
      </w:r>
      <w:r>
        <w:rPr>
          <w:color w:val="000000"/>
          <w:sz w:val="24"/>
          <w:szCs w:val="24"/>
        </w:rPr>
        <w:sym w:font="HQPB1" w:char="F091"/>
      </w:r>
      <w:r>
        <w:rPr>
          <w:color w:val="000000"/>
          <w:sz w:val="24"/>
          <w:szCs w:val="24"/>
        </w:rPr>
        <w:sym w:font="HQPB1" w:char="F024"/>
      </w:r>
      <w:r>
        <w:rPr>
          <w:color w:val="000000"/>
          <w:sz w:val="24"/>
          <w:szCs w:val="24"/>
        </w:rPr>
        <w:sym w:font="HQPB4" w:char="F0A1"/>
      </w:r>
      <w:r>
        <w:rPr>
          <w:color w:val="000000"/>
          <w:sz w:val="24"/>
          <w:szCs w:val="24"/>
        </w:rPr>
        <w:sym w:font="HQPB1" w:char="F0A1"/>
      </w:r>
      <w:r>
        <w:rPr>
          <w:color w:val="000000"/>
          <w:sz w:val="24"/>
          <w:szCs w:val="24"/>
        </w:rPr>
        <w:sym w:font="HQPB2" w:char="F039"/>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4" w:char="F0E8"/>
      </w:r>
      <w:r>
        <w:rPr>
          <w:color w:val="000000"/>
          <w:sz w:val="24"/>
          <w:szCs w:val="24"/>
        </w:rPr>
        <w:sym w:font="HQPB2" w:char="F070"/>
      </w:r>
      <w:r>
        <w:rPr>
          <w:color w:val="000000"/>
          <w:sz w:val="24"/>
          <w:szCs w:val="24"/>
        </w:rPr>
        <w:sym w:font="HQPB5" w:char="F073"/>
      </w:r>
      <w:r>
        <w:rPr>
          <w:color w:val="000000"/>
          <w:sz w:val="24"/>
          <w:szCs w:val="24"/>
        </w:rPr>
        <w:sym w:font="HQPB2" w:char="F025"/>
      </w:r>
      <w:r>
        <w:rPr>
          <w:color w:val="000000"/>
          <w:sz w:val="24"/>
          <w:szCs w:val="24"/>
        </w:rPr>
        <w:sym w:font="HQPB4" w:char="F0CD"/>
      </w:r>
      <w:r>
        <w:rPr>
          <w:color w:val="000000"/>
          <w:sz w:val="24"/>
          <w:szCs w:val="24"/>
        </w:rPr>
        <w:sym w:font="HQPB1" w:char="F091"/>
      </w:r>
      <w:r>
        <w:rPr>
          <w:color w:val="000000"/>
          <w:sz w:val="24"/>
          <w:szCs w:val="24"/>
        </w:rPr>
        <w:sym w:font="HQPB1" w:char="F024"/>
      </w:r>
      <w:r>
        <w:rPr>
          <w:color w:val="000000"/>
          <w:sz w:val="24"/>
          <w:szCs w:val="24"/>
        </w:rPr>
        <w:sym w:font="HQPB4" w:char="F0A1"/>
      </w:r>
      <w:r>
        <w:rPr>
          <w:color w:val="000000"/>
          <w:sz w:val="24"/>
          <w:szCs w:val="24"/>
        </w:rPr>
        <w:sym w:font="HQPB1" w:char="F0A1"/>
      </w:r>
      <w:r>
        <w:rPr>
          <w:color w:val="000000"/>
          <w:sz w:val="24"/>
          <w:szCs w:val="24"/>
        </w:rPr>
        <w:sym w:font="HQPB2" w:char="F039"/>
      </w:r>
      <w:r>
        <w:rPr>
          <w:color w:val="000000"/>
          <w:sz w:val="24"/>
          <w:szCs w:val="24"/>
        </w:rPr>
        <w:sym w:font="HQPB5" w:char="F024"/>
      </w:r>
      <w:r>
        <w:rPr>
          <w:color w:val="000000"/>
          <w:sz w:val="24"/>
          <w:szCs w:val="24"/>
        </w:rPr>
        <w:sym w:font="HQPB1" w:char="F023"/>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4" w:char="F0FE"/>
      </w:r>
      <w:r>
        <w:rPr>
          <w:color w:val="000000"/>
          <w:sz w:val="24"/>
          <w:szCs w:val="24"/>
        </w:rPr>
        <w:sym w:font="HQPB2" w:char="F071"/>
      </w:r>
      <w:r>
        <w:rPr>
          <w:color w:val="000000"/>
          <w:sz w:val="24"/>
          <w:szCs w:val="24"/>
        </w:rPr>
        <w:sym w:font="HQPB4" w:char="F0E3"/>
      </w:r>
      <w:r>
        <w:rPr>
          <w:color w:val="000000"/>
          <w:sz w:val="24"/>
          <w:szCs w:val="24"/>
        </w:rPr>
        <w:sym w:font="HQPB1" w:char="F0E8"/>
      </w:r>
      <w:r>
        <w:rPr>
          <w:color w:val="000000"/>
          <w:sz w:val="24"/>
          <w:szCs w:val="24"/>
        </w:rPr>
        <w:sym w:font="HQPB5" w:char="F073"/>
      </w:r>
      <w:r>
        <w:rPr>
          <w:color w:val="000000"/>
          <w:sz w:val="24"/>
          <w:szCs w:val="24"/>
        </w:rPr>
        <w:sym w:font="HQPB1" w:char="F0DC"/>
      </w:r>
      <w:r>
        <w:rPr>
          <w:color w:val="000000"/>
          <w:sz w:val="24"/>
          <w:szCs w:val="24"/>
        </w:rPr>
        <w:sym w:font="HQPB4" w:char="F0F8"/>
      </w:r>
      <w:r>
        <w:rPr>
          <w:color w:val="000000"/>
          <w:sz w:val="24"/>
          <w:szCs w:val="24"/>
        </w:rPr>
        <w:sym w:font="HQPB2" w:char="F025"/>
      </w:r>
      <w:r>
        <w:rPr>
          <w:color w:val="000000"/>
          <w:sz w:val="24"/>
          <w:szCs w:val="24"/>
        </w:rPr>
        <w:sym w:font="HQPB5" w:char="F024"/>
      </w:r>
      <w:r>
        <w:rPr>
          <w:color w:val="000000"/>
          <w:sz w:val="24"/>
          <w:szCs w:val="24"/>
        </w:rPr>
        <w:sym w:font="HQPB1" w:char="F024"/>
      </w:r>
      <w:r>
        <w:rPr>
          <w:color w:val="000000"/>
          <w:sz w:val="24"/>
          <w:szCs w:val="24"/>
        </w:rPr>
        <w:sym w:font="HQPB5" w:char="F073"/>
      </w:r>
      <w:r>
        <w:rPr>
          <w:color w:val="000000"/>
          <w:sz w:val="24"/>
          <w:szCs w:val="24"/>
        </w:rPr>
        <w:sym w:font="HQPB1" w:char="F0F9"/>
      </w:r>
      <w:r>
        <w:rPr>
          <w:color w:val="000000"/>
          <w:sz w:val="24"/>
          <w:szCs w:val="24"/>
          <w:rtl/>
        </w:rPr>
        <w:t xml:space="preserve"> </w:t>
      </w:r>
      <w:r>
        <w:rPr>
          <w:color w:val="000000"/>
          <w:sz w:val="24"/>
          <w:szCs w:val="24"/>
        </w:rPr>
        <w:sym w:font="HQPB1" w:char="F024"/>
      </w:r>
      <w:r>
        <w:rPr>
          <w:color w:val="000000"/>
          <w:sz w:val="24"/>
          <w:szCs w:val="24"/>
        </w:rPr>
        <w:sym w:font="HQPB5" w:char="F079"/>
      </w:r>
      <w:r>
        <w:rPr>
          <w:color w:val="000000"/>
          <w:sz w:val="24"/>
          <w:szCs w:val="24"/>
        </w:rPr>
        <w:sym w:font="HQPB2" w:char="F04A"/>
      </w:r>
      <w:r>
        <w:rPr>
          <w:color w:val="000000"/>
          <w:sz w:val="24"/>
          <w:szCs w:val="24"/>
        </w:rPr>
        <w:sym w:font="HQPB4" w:char="F0DF"/>
      </w:r>
      <w:r>
        <w:rPr>
          <w:color w:val="000000"/>
          <w:sz w:val="24"/>
          <w:szCs w:val="24"/>
        </w:rPr>
        <w:sym w:font="HQPB2" w:char="F067"/>
      </w:r>
      <w:r>
        <w:rPr>
          <w:color w:val="000000"/>
          <w:sz w:val="24"/>
          <w:szCs w:val="24"/>
        </w:rPr>
        <w:sym w:font="HQPB5" w:char="F074"/>
      </w:r>
      <w:r>
        <w:rPr>
          <w:color w:val="000000"/>
          <w:sz w:val="24"/>
          <w:szCs w:val="24"/>
        </w:rPr>
        <w:sym w:font="HQPB2" w:char="F083"/>
      </w:r>
      <w:r>
        <w:rPr>
          <w:color w:val="000000"/>
          <w:sz w:val="24"/>
          <w:szCs w:val="24"/>
        </w:rPr>
        <w:sym w:font="HQPB4" w:char="F0CF"/>
      </w:r>
      <w:r>
        <w:rPr>
          <w:color w:val="000000"/>
          <w:sz w:val="24"/>
          <w:szCs w:val="24"/>
        </w:rPr>
        <w:sym w:font="HQPB1" w:char="F089"/>
      </w:r>
      <w:r>
        <w:rPr>
          <w:color w:val="000000"/>
          <w:sz w:val="24"/>
          <w:szCs w:val="24"/>
        </w:rPr>
        <w:sym w:font="HQPB4" w:char="F0F7"/>
      </w:r>
      <w:r>
        <w:rPr>
          <w:color w:val="000000"/>
          <w:sz w:val="24"/>
          <w:szCs w:val="24"/>
        </w:rPr>
        <w:sym w:font="HQPB2" w:char="F083"/>
      </w:r>
      <w:r>
        <w:rPr>
          <w:color w:val="000000"/>
          <w:sz w:val="24"/>
          <w:szCs w:val="24"/>
        </w:rPr>
        <w:sym w:font="HQPB5" w:char="F072"/>
      </w:r>
      <w:r>
        <w:rPr>
          <w:color w:val="000000"/>
          <w:sz w:val="24"/>
          <w:szCs w:val="24"/>
        </w:rPr>
        <w:sym w:font="HQPB1" w:char="F026"/>
      </w:r>
      <w:r>
        <w:rPr>
          <w:color w:val="000000"/>
          <w:sz w:val="24"/>
          <w:szCs w:val="24"/>
          <w:rtl/>
        </w:rPr>
        <w:t xml:space="preserve"> </w:t>
      </w:r>
      <w:r>
        <w:rPr>
          <w:color w:val="000000"/>
          <w:sz w:val="24"/>
          <w:szCs w:val="24"/>
        </w:rPr>
        <w:sym w:font="HQPB2" w:char="F0E1"/>
      </w:r>
      <w:r>
        <w:rPr>
          <w:rFonts w:hint="cs"/>
          <w:vertAlign w:val="superscript"/>
          <w:rtl/>
        </w:rPr>
        <w:t xml:space="preserve"> (</w:t>
      </w:r>
      <w:r>
        <w:rPr>
          <w:rStyle w:val="a7"/>
          <w:rtl/>
        </w:rPr>
        <w:footnoteReference w:id="2724"/>
      </w:r>
      <w:r>
        <w:rPr>
          <w:rFonts w:hint="cs"/>
          <w:vertAlign w:val="superscript"/>
          <w:rtl/>
        </w:rPr>
        <w:t>)</w:t>
      </w:r>
      <w:r>
        <w:rPr>
          <w:rFonts w:hint="cs"/>
          <w:rtl/>
        </w:rPr>
        <w:t>، فكيف يكون إبطال عصمة المال عملاً به</w:t>
      </w:r>
      <w:r>
        <w:rPr>
          <w:rFonts w:hint="cs"/>
          <w:vertAlign w:val="superscript"/>
          <w:rtl/>
        </w:rPr>
        <w:t>(</w:t>
      </w:r>
      <w:r>
        <w:rPr>
          <w:rStyle w:val="a7"/>
          <w:rtl/>
        </w:rPr>
        <w:footnoteReference w:id="2725"/>
      </w:r>
      <w:r>
        <w:rPr>
          <w:rFonts w:hint="cs"/>
          <w:vertAlign w:val="superscript"/>
          <w:rtl/>
        </w:rPr>
        <w:t>)</w:t>
      </w:r>
      <w:r>
        <w:rPr>
          <w:rFonts w:hint="cs"/>
          <w:rtl/>
        </w:rPr>
        <w:t>؟!.</w:t>
      </w:r>
    </w:p>
    <w:p w:rsidR="00C10469" w:rsidRDefault="00C10469">
      <w:pPr>
        <w:rPr>
          <w:rtl/>
        </w:rPr>
      </w:pPr>
      <w:r>
        <w:rPr>
          <w:rFonts w:hint="cs"/>
          <w:b/>
          <w:bCs/>
          <w:rtl/>
        </w:rPr>
        <w:t>فالجواب عن الأول</w:t>
      </w:r>
      <w:r>
        <w:rPr>
          <w:rFonts w:hint="cs"/>
          <w:rtl/>
        </w:rPr>
        <w:t xml:space="preserve"> : أن قوله </w:t>
      </w:r>
      <w:r>
        <w:rPr>
          <w:rFonts w:ascii="AGA Arabesque" w:hAnsi="AGA Arabesque"/>
          <w:sz w:val="36"/>
        </w:rPr>
        <w:t></w:t>
      </w:r>
      <w:r>
        <w:rPr>
          <w:rFonts w:hint="cs"/>
          <w:rtl/>
        </w:rPr>
        <w:t xml:space="preserve"> </w:t>
      </w:r>
      <w:r>
        <w:rPr>
          <w:rFonts w:hint="eastAsia"/>
          <w:rtl/>
        </w:rPr>
        <w:t>«</w:t>
      </w:r>
      <w:r>
        <w:rPr>
          <w:rFonts w:cs="DecoType Naskh Special" w:hint="cs"/>
          <w:sz w:val="34"/>
          <w:szCs w:val="34"/>
          <w:rtl/>
        </w:rPr>
        <w:t>لعن الله المُحَلِّلَ والمُحَلَّل له</w:t>
      </w:r>
      <w:r>
        <w:rPr>
          <w:rFonts w:hint="eastAsia"/>
          <w:rtl/>
        </w:rPr>
        <w:t>»</w:t>
      </w:r>
      <w:r>
        <w:rPr>
          <w:rFonts w:hint="cs"/>
          <w:vertAlign w:val="superscript"/>
          <w:rtl/>
        </w:rPr>
        <w:t>(</w:t>
      </w:r>
      <w:r>
        <w:rPr>
          <w:rStyle w:val="a7"/>
          <w:rtl/>
        </w:rPr>
        <w:footnoteReference w:id="2726"/>
      </w:r>
      <w:r>
        <w:rPr>
          <w:rFonts w:hint="cs"/>
          <w:vertAlign w:val="superscript"/>
          <w:rtl/>
        </w:rPr>
        <w:t xml:space="preserve">) </w:t>
      </w:r>
      <w:r>
        <w:rPr>
          <w:rFonts w:hint="cs"/>
          <w:rtl/>
        </w:rPr>
        <w:t xml:space="preserve">يدل على أن </w:t>
      </w:r>
      <w:r>
        <w:rPr>
          <w:rFonts w:hint="eastAsia"/>
          <w:rtl/>
        </w:rPr>
        <w:lastRenderedPageBreak/>
        <w:t>«</w:t>
      </w:r>
      <w:r>
        <w:rPr>
          <w:rFonts w:hint="cs"/>
          <w:rtl/>
        </w:rPr>
        <w:t>المحلل يثبتُ الحِلَّ، كما أنّ المُحرِّم يُثبت الحرمة، فيكون الزوج الثاني مثبتًا للْحِلِّ، وهو في المطلقة ثلاثًا ظاهر، وفيما</w:t>
      </w:r>
      <w:r>
        <w:rPr>
          <w:rStyle w:val="a7"/>
          <w:rtl/>
        </w:rPr>
        <w:footnoteReference w:id="2727"/>
      </w:r>
      <w:r>
        <w:rPr>
          <w:rFonts w:hint="cs"/>
          <w:rtl/>
        </w:rPr>
        <w:t xml:space="preserve"> دون يثبت بالطريق الأولى</w:t>
      </w:r>
      <w:r>
        <w:rPr>
          <w:rStyle w:val="a7"/>
          <w:rtl/>
        </w:rPr>
        <w:footnoteReference w:id="2728"/>
      </w:r>
      <w:r>
        <w:rPr>
          <w:rFonts w:hint="eastAsia"/>
          <w:rtl/>
        </w:rPr>
        <w:t>»</w:t>
      </w:r>
      <w:r>
        <w:rPr>
          <w:rFonts w:hint="cs"/>
          <w:vertAlign w:val="superscript"/>
          <w:rtl/>
        </w:rPr>
        <w:t>(</w:t>
      </w:r>
      <w:r>
        <w:rPr>
          <w:rStyle w:val="a7"/>
          <w:rtl/>
        </w:rPr>
        <w:footnoteReference w:id="2729"/>
      </w:r>
      <w:r>
        <w:rPr>
          <w:rFonts w:hint="cs"/>
          <w:vertAlign w:val="superscript"/>
          <w:rtl/>
        </w:rPr>
        <w:t>)</w:t>
      </w:r>
      <w:r>
        <w:rPr>
          <w:rFonts w:hint="cs"/>
          <w:rtl/>
        </w:rPr>
        <w:t>.</w:t>
      </w:r>
    </w:p>
    <w:p w:rsidR="00C10469" w:rsidRDefault="00C10469">
      <w:pPr>
        <w:rPr>
          <w:rtl/>
        </w:rPr>
      </w:pPr>
      <w:r>
        <w:rPr>
          <w:rFonts w:hint="cs"/>
          <w:rtl/>
        </w:rPr>
        <w:t xml:space="preserve">وعن </w:t>
      </w:r>
      <w:r>
        <w:rPr>
          <w:rFonts w:hint="cs"/>
          <w:b/>
          <w:bCs/>
          <w:rtl/>
        </w:rPr>
        <w:t>الثاني</w:t>
      </w:r>
      <w:r>
        <w:rPr>
          <w:rFonts w:hint="cs"/>
          <w:rtl/>
        </w:rPr>
        <w:t xml:space="preserve"> : </w:t>
      </w:r>
      <w:r>
        <w:rPr>
          <w:rFonts w:hint="eastAsia"/>
          <w:rtl/>
        </w:rPr>
        <w:t>«</w:t>
      </w:r>
      <w:r>
        <w:rPr>
          <w:rFonts w:hint="cs"/>
          <w:rtl/>
        </w:rPr>
        <w:t>أنّ القطع بتسميته جزاء في قوله تعالى</w:t>
      </w:r>
      <w:r>
        <w:rPr>
          <w:rStyle w:val="a7"/>
          <w:rtl/>
        </w:rPr>
        <w:footnoteReference w:id="2730"/>
      </w:r>
      <w:r>
        <w:rPr>
          <w:rFonts w:hint="cs"/>
          <w:rtl/>
        </w:rPr>
        <w:t xml:space="preserve">: </w:t>
      </w:r>
      <w:r>
        <w:rPr>
          <w:color w:val="000000"/>
          <w:sz w:val="30"/>
          <w:szCs w:val="30"/>
        </w:rPr>
        <w:sym w:font="HQPB2" w:char="00E2"/>
      </w:r>
      <w:r>
        <w:rPr>
          <w:color w:val="000000"/>
          <w:sz w:val="30"/>
          <w:szCs w:val="30"/>
          <w:rtl/>
        </w:rPr>
        <w:t xml:space="preserve"> </w:t>
      </w:r>
      <w:r>
        <w:rPr>
          <w:color w:val="000000"/>
          <w:sz w:val="30"/>
          <w:szCs w:val="30"/>
        </w:rPr>
        <w:sym w:font="HQPB4" w:char="004C"/>
      </w:r>
      <w:r>
        <w:rPr>
          <w:color w:val="000000"/>
          <w:sz w:val="30"/>
          <w:szCs w:val="30"/>
        </w:rPr>
        <w:sym w:font="HQPB2" w:char="00E4"/>
      </w:r>
      <w:r>
        <w:rPr>
          <w:color w:val="000000"/>
          <w:sz w:val="30"/>
          <w:szCs w:val="30"/>
        </w:rPr>
        <w:sym w:font="HQPB5" w:char="0021"/>
      </w:r>
      <w:r>
        <w:rPr>
          <w:color w:val="000000"/>
          <w:sz w:val="30"/>
          <w:szCs w:val="30"/>
        </w:rPr>
        <w:sym w:font="HQPB1" w:char="0023"/>
      </w:r>
      <w:r>
        <w:rPr>
          <w:color w:val="000000"/>
          <w:sz w:val="30"/>
          <w:szCs w:val="30"/>
        </w:rPr>
        <w:sym w:font="HQPB5" w:char="0074"/>
      </w:r>
      <w:r>
        <w:rPr>
          <w:color w:val="000000"/>
          <w:sz w:val="30"/>
          <w:szCs w:val="30"/>
        </w:rPr>
        <w:sym w:font="HQPB1" w:char="0093"/>
      </w:r>
      <w:r>
        <w:rPr>
          <w:color w:val="000000"/>
          <w:sz w:val="30"/>
          <w:szCs w:val="30"/>
        </w:rPr>
        <w:sym w:font="HQPB5" w:char="0079"/>
      </w:r>
      <w:r>
        <w:rPr>
          <w:color w:val="000000"/>
          <w:sz w:val="30"/>
          <w:szCs w:val="30"/>
        </w:rPr>
        <w:sym w:font="HQPB1" w:char="005F"/>
      </w:r>
      <w:r>
        <w:rPr>
          <w:color w:val="000000"/>
          <w:sz w:val="30"/>
          <w:szCs w:val="30"/>
          <w:rtl/>
        </w:rPr>
        <w:t xml:space="preserve"> </w:t>
      </w:r>
      <w:r>
        <w:rPr>
          <w:color w:val="000000"/>
          <w:sz w:val="30"/>
          <w:szCs w:val="30"/>
        </w:rPr>
        <w:sym w:font="HQPB1" w:char="0024"/>
      </w:r>
      <w:r>
        <w:rPr>
          <w:color w:val="000000"/>
          <w:sz w:val="30"/>
          <w:szCs w:val="30"/>
        </w:rPr>
        <w:sym w:font="HQPB5" w:char="0079"/>
      </w:r>
      <w:r>
        <w:rPr>
          <w:color w:val="000000"/>
          <w:sz w:val="30"/>
          <w:szCs w:val="30"/>
        </w:rPr>
        <w:sym w:font="HQPB2" w:char="004A"/>
      </w:r>
      <w:r>
        <w:rPr>
          <w:color w:val="000000"/>
          <w:sz w:val="30"/>
          <w:szCs w:val="30"/>
        </w:rPr>
        <w:sym w:font="HQPB4" w:char="00CE"/>
      </w:r>
      <w:r>
        <w:rPr>
          <w:color w:val="000000"/>
          <w:sz w:val="30"/>
          <w:szCs w:val="30"/>
        </w:rPr>
        <w:sym w:font="HQPB1" w:char="002F"/>
      </w:r>
      <w:r>
        <w:rPr>
          <w:color w:val="000000"/>
          <w:sz w:val="30"/>
          <w:szCs w:val="30"/>
          <w:rtl/>
        </w:rPr>
        <w:t xml:space="preserve"> </w:t>
      </w:r>
      <w:r>
        <w:rPr>
          <w:color w:val="000000"/>
          <w:sz w:val="30"/>
          <w:szCs w:val="30"/>
        </w:rPr>
        <w:sym w:font="HQPB1" w:char="0024"/>
      </w:r>
      <w:r>
        <w:rPr>
          <w:color w:val="000000"/>
          <w:sz w:val="30"/>
          <w:szCs w:val="30"/>
        </w:rPr>
        <w:sym w:font="HQPB5" w:char="0074"/>
      </w:r>
      <w:r>
        <w:rPr>
          <w:color w:val="000000"/>
          <w:sz w:val="30"/>
          <w:szCs w:val="30"/>
        </w:rPr>
        <w:sym w:font="HQPB1" w:char="0037"/>
      </w:r>
      <w:r>
        <w:rPr>
          <w:color w:val="000000"/>
          <w:sz w:val="30"/>
          <w:szCs w:val="30"/>
        </w:rPr>
        <w:sym w:font="HQPB5" w:char="007C"/>
      </w:r>
      <w:r>
        <w:rPr>
          <w:color w:val="000000"/>
          <w:sz w:val="30"/>
          <w:szCs w:val="30"/>
        </w:rPr>
        <w:sym w:font="HQPB1" w:char="00A1"/>
      </w:r>
      <w:r>
        <w:rPr>
          <w:color w:val="000000"/>
          <w:sz w:val="30"/>
          <w:szCs w:val="30"/>
        </w:rPr>
        <w:sym w:font="HQPB5" w:char="0078"/>
      </w:r>
      <w:r>
        <w:rPr>
          <w:color w:val="000000"/>
          <w:sz w:val="30"/>
          <w:szCs w:val="30"/>
        </w:rPr>
        <w:sym w:font="HQPB2" w:char="002E"/>
      </w:r>
      <w:r>
        <w:rPr>
          <w:color w:val="000000"/>
          <w:sz w:val="30"/>
          <w:szCs w:val="30"/>
          <w:rtl/>
        </w:rPr>
        <w:t xml:space="preserve"> </w:t>
      </w:r>
      <w:r>
        <w:rPr>
          <w:color w:val="000000"/>
          <w:sz w:val="30"/>
          <w:szCs w:val="30"/>
        </w:rPr>
        <w:sym w:font="HQPB2" w:char="00E1"/>
      </w:r>
      <w:r>
        <w:rPr>
          <w:rFonts w:hint="cs"/>
          <w:vertAlign w:val="superscript"/>
          <w:rtl/>
        </w:rPr>
        <w:t xml:space="preserve"> (</w:t>
      </w:r>
      <w:r>
        <w:rPr>
          <w:rStyle w:val="a7"/>
          <w:rtl/>
        </w:rPr>
        <w:footnoteReference w:id="2731"/>
      </w:r>
      <w:r>
        <w:rPr>
          <w:rFonts w:hint="cs"/>
          <w:vertAlign w:val="superscript"/>
          <w:rtl/>
        </w:rPr>
        <w:t>)</w:t>
      </w:r>
      <w:r>
        <w:rPr>
          <w:rFonts w:hint="cs"/>
          <w:rtl/>
        </w:rPr>
        <w:t>، يدلّ على كماله، وكماله</w:t>
      </w:r>
      <w:r>
        <w:rPr>
          <w:rFonts w:hint="cs"/>
          <w:vertAlign w:val="superscript"/>
          <w:rtl/>
        </w:rPr>
        <w:t>(</w:t>
      </w:r>
      <w:r>
        <w:rPr>
          <w:rStyle w:val="a7"/>
          <w:rtl/>
        </w:rPr>
        <w:footnoteReference w:id="2732"/>
      </w:r>
      <w:r>
        <w:rPr>
          <w:rFonts w:hint="cs"/>
          <w:vertAlign w:val="superscript"/>
          <w:rtl/>
        </w:rPr>
        <w:t>)</w:t>
      </w:r>
      <w:r>
        <w:rPr>
          <w:rFonts w:hint="cs"/>
          <w:rtl/>
        </w:rPr>
        <w:t xml:space="preserve"> يستدعي كمال الجناية، وألاّ</w:t>
      </w:r>
      <w:r>
        <w:rPr>
          <w:rStyle w:val="a7"/>
          <w:rtl/>
        </w:rPr>
        <w:footnoteReference w:id="2733"/>
      </w:r>
      <w:r>
        <w:rPr>
          <w:rFonts w:hint="cs"/>
          <w:rtl/>
        </w:rPr>
        <w:t xml:space="preserve"> يزيد الجزاء على الجناية، ولا كمال في قيام حقّ العبد</w:t>
      </w:r>
      <w:r>
        <w:rPr>
          <w:rStyle w:val="a7"/>
          <w:rtl/>
        </w:rPr>
        <w:footnoteReference w:id="2734"/>
      </w:r>
      <w:r>
        <w:rPr>
          <w:rFonts w:hint="cs"/>
          <w:rtl/>
        </w:rPr>
        <w:t>، إذ الإضافة إليهم ضرورة حاجتهم</w:t>
      </w:r>
      <w:r>
        <w:rPr>
          <w:rFonts w:hint="cs"/>
          <w:vertAlign w:val="superscript"/>
          <w:rtl/>
        </w:rPr>
        <w:t>(</w:t>
      </w:r>
      <w:r>
        <w:rPr>
          <w:rStyle w:val="a7"/>
          <w:rtl/>
        </w:rPr>
        <w:footnoteReference w:id="2735"/>
      </w:r>
      <w:r>
        <w:rPr>
          <w:rFonts w:hint="cs"/>
          <w:vertAlign w:val="superscript"/>
          <w:rtl/>
        </w:rPr>
        <w:t>)</w:t>
      </w:r>
      <w:r>
        <w:rPr>
          <w:rFonts w:hint="cs"/>
          <w:rtl/>
        </w:rPr>
        <w:t xml:space="preserve">، وإلا لا ملك لهم في </w:t>
      </w:r>
      <w:r>
        <w:rPr>
          <w:rFonts w:hint="cs"/>
          <w:rtl/>
        </w:rPr>
        <w:lastRenderedPageBreak/>
        <w:t>الحقيقة، وهي</w:t>
      </w:r>
      <w:r>
        <w:rPr>
          <w:rStyle w:val="a7"/>
          <w:rtl/>
        </w:rPr>
        <w:footnoteReference w:id="2736"/>
      </w:r>
      <w:r>
        <w:rPr>
          <w:rFonts w:hint="cs"/>
          <w:rtl/>
        </w:rPr>
        <w:t xml:space="preserve"> نعم الله تعالى [خلقت]</w:t>
      </w:r>
      <w:r>
        <w:rPr>
          <w:rStyle w:val="a7"/>
          <w:rtl/>
        </w:rPr>
        <w:footnoteReference w:id="2737"/>
      </w:r>
      <w:r>
        <w:rPr>
          <w:rFonts w:hint="cs"/>
          <w:rtl/>
        </w:rPr>
        <w:t xml:space="preserve"> لعباده</w:t>
      </w:r>
      <w:r>
        <w:rPr>
          <w:rStyle w:val="a7"/>
          <w:rtl/>
        </w:rPr>
        <w:footnoteReference w:id="2738"/>
      </w:r>
      <w:r>
        <w:rPr>
          <w:rFonts w:hint="cs"/>
          <w:rtl/>
        </w:rPr>
        <w:t>، فلا [تكون]</w:t>
      </w:r>
      <w:r>
        <w:rPr>
          <w:rStyle w:val="a7"/>
          <w:rtl/>
        </w:rPr>
        <w:footnoteReference w:id="2739"/>
      </w:r>
      <w:r>
        <w:rPr>
          <w:rFonts w:hint="cs"/>
          <w:rtl/>
        </w:rPr>
        <w:t xml:space="preserve"> الجناية بأخذ أموالهم من حيث هي حقهم كاملة في كونها جناية</w:t>
      </w:r>
      <w:r>
        <w:rPr>
          <w:rFonts w:hint="eastAsia"/>
          <w:rtl/>
        </w:rPr>
        <w:t>»</w:t>
      </w:r>
      <w:r>
        <w:rPr>
          <w:rFonts w:hint="cs"/>
          <w:vertAlign w:val="superscript"/>
          <w:rtl/>
        </w:rPr>
        <w:t>(</w:t>
      </w:r>
      <w:r>
        <w:rPr>
          <w:rStyle w:val="a7"/>
          <w:rtl/>
        </w:rPr>
        <w:footnoteReference w:id="2740"/>
      </w:r>
      <w:r>
        <w:rPr>
          <w:rFonts w:hint="cs"/>
          <w:vertAlign w:val="superscript"/>
          <w:rtl/>
        </w:rPr>
        <w:t>)</w:t>
      </w:r>
      <w:r>
        <w:rPr>
          <w:rFonts w:hint="cs"/>
          <w:rtl/>
        </w:rPr>
        <w:t>، فلا يجب الضمان.</w:t>
      </w:r>
    </w:p>
    <w:p w:rsidR="00C10469" w:rsidRDefault="00C10469">
      <w:pPr>
        <w:rPr>
          <w:rtl/>
        </w:rPr>
      </w:pPr>
      <w:r>
        <w:rPr>
          <w:rFonts w:hint="cs"/>
          <w:rtl/>
        </w:rPr>
        <w:t>وفي هذا الباب أجوبة وإشكالات وفروع غير ذلك، ذُكرتْ في كتب الأصول</w:t>
      </w:r>
      <w:r>
        <w:rPr>
          <w:rFonts w:hint="cs"/>
          <w:vertAlign w:val="superscript"/>
          <w:rtl/>
        </w:rPr>
        <w:t>(</w:t>
      </w:r>
      <w:r>
        <w:rPr>
          <w:rStyle w:val="a7"/>
          <w:rtl/>
        </w:rPr>
        <w:footnoteReference w:id="2741"/>
      </w:r>
      <w:r>
        <w:rPr>
          <w:rFonts w:hint="cs"/>
          <w:vertAlign w:val="superscript"/>
          <w:rtl/>
        </w:rPr>
        <w:t>)</w:t>
      </w:r>
      <w:r>
        <w:rPr>
          <w:rFonts w:hint="cs"/>
          <w:rtl/>
        </w:rPr>
        <w:t xml:space="preserve"> لا يـتحمّل</w:t>
      </w:r>
      <w:r>
        <w:rPr>
          <w:rStyle w:val="a7"/>
          <w:rtl/>
        </w:rPr>
        <w:footnoteReference w:id="2742"/>
      </w:r>
      <w:r>
        <w:rPr>
          <w:rFonts w:hint="cs"/>
          <w:rtl/>
        </w:rPr>
        <w:t xml:space="preserve"> بيانها هذا المختصر</w:t>
      </w:r>
      <w:r>
        <w:rPr>
          <w:rStyle w:val="a7"/>
          <w:rtl/>
        </w:rPr>
        <w:footnoteReference w:id="2743"/>
      </w:r>
      <w:r>
        <w:rPr>
          <w:rFonts w:hint="cs"/>
          <w:rtl/>
        </w:rPr>
        <w:t>.</w:t>
      </w: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7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063A2" w:rsidRDefault="00C10469">
      <w:pPr>
        <w:pStyle w:val="a9"/>
        <w:rPr>
          <w:rFonts w:cs="AL-Mateen"/>
        </w:rPr>
      </w:pPr>
      <w:r w:rsidRPr="009063A2">
        <w:rPr>
          <w:rFonts w:cs="AL-Mateen"/>
          <w:rtl/>
        </w:rPr>
        <w:lastRenderedPageBreak/>
        <w:t xml:space="preserve">[ </w:t>
      </w:r>
      <w:r w:rsidRPr="009063A2">
        <w:rPr>
          <w:rFonts w:cs="AL-Mateen" w:hint="eastAsia"/>
          <w:rtl/>
        </w:rPr>
        <w:t>الـقـاعـدة</w:t>
      </w:r>
      <w:r w:rsidRPr="009063A2">
        <w:rPr>
          <w:rFonts w:cs="AL-Mateen"/>
          <w:rtl/>
        </w:rPr>
        <w:t xml:space="preserve"> الـعـشـرون بـعـد الـمـائـة ]</w:t>
      </w:r>
    </w:p>
    <w:p w:rsidR="00C10469" w:rsidRDefault="00C10469">
      <w:pPr>
        <w:rPr>
          <w:rtl/>
        </w:rPr>
      </w:pPr>
      <w:r>
        <w:rPr>
          <w:rFonts w:cs="Monotype Koufi" w:hint="eastAsia"/>
          <w:rtl/>
        </w:rPr>
        <w:t>الخراج</w:t>
      </w:r>
      <w:r>
        <w:rPr>
          <w:rFonts w:cs="Monotype Koufi" w:hint="cs"/>
          <w:rtl/>
        </w:rPr>
        <w:t>ُ</w:t>
      </w:r>
      <w:r>
        <w:rPr>
          <w:rFonts w:cs="Monotype Koufi"/>
          <w:rtl/>
        </w:rPr>
        <w:t xml:space="preserve"> بالضمَان</w:t>
      </w:r>
      <w:r>
        <w:rPr>
          <w:vertAlign w:val="superscript"/>
          <w:rtl/>
        </w:rPr>
        <w:t>(</w:t>
      </w:r>
      <w:r>
        <w:rPr>
          <w:rStyle w:val="a7"/>
          <w:rtl/>
        </w:rPr>
        <w:footnoteReference w:id="2744"/>
      </w:r>
      <w:r>
        <w:rPr>
          <w:vertAlign w:val="superscript"/>
          <w:rtl/>
        </w:rPr>
        <w:t>)</w:t>
      </w:r>
      <w:r>
        <w:rPr>
          <w:rtl/>
        </w:rPr>
        <w:t xml:space="preserve"> :</w:t>
      </w:r>
    </w:p>
    <w:p w:rsidR="00C10469" w:rsidRDefault="00C10469">
      <w:pPr>
        <w:rPr>
          <w:rtl/>
        </w:rPr>
      </w:pPr>
      <w:r>
        <w:rPr>
          <w:rFonts w:hint="eastAsia"/>
          <w:rtl/>
        </w:rPr>
        <w:t>هـو</w:t>
      </w:r>
      <w:r>
        <w:rPr>
          <w:rtl/>
        </w:rPr>
        <w:t xml:space="preserve"> حـديـث صـحـيـح </w:t>
      </w:r>
      <w:r>
        <w:rPr>
          <w:rFonts w:hint="cs"/>
          <w:rtl/>
        </w:rPr>
        <w:t xml:space="preserve"> </w:t>
      </w:r>
      <w:r>
        <w:rPr>
          <w:rtl/>
        </w:rPr>
        <w:t>رواه الإمـام أحـمد</w:t>
      </w:r>
      <w:r>
        <w:rPr>
          <w:rStyle w:val="a7"/>
          <w:rtl/>
        </w:rPr>
        <w:footnoteReference w:id="2745"/>
      </w:r>
      <w:r>
        <w:rPr>
          <w:rtl/>
        </w:rPr>
        <w:t xml:space="preserve"> [ع</w:t>
      </w:r>
      <w:r>
        <w:rPr>
          <w:rFonts w:hint="cs"/>
          <w:rtl/>
        </w:rPr>
        <w:t>ـ</w:t>
      </w:r>
      <w:r>
        <w:rPr>
          <w:rtl/>
        </w:rPr>
        <w:t>ن]</w:t>
      </w:r>
      <w:r>
        <w:rPr>
          <w:rStyle w:val="a7"/>
          <w:rtl/>
        </w:rPr>
        <w:footnoteReference w:id="2746"/>
      </w:r>
      <w:r>
        <w:rPr>
          <w:rFonts w:hint="cs"/>
          <w:rtl/>
        </w:rPr>
        <w:t xml:space="preserve"> </w:t>
      </w:r>
      <w:r>
        <w:rPr>
          <w:rtl/>
        </w:rPr>
        <w:t xml:space="preserve"> </w:t>
      </w:r>
      <w:r>
        <w:rPr>
          <w:rFonts w:hint="eastAsia"/>
          <w:rtl/>
        </w:rPr>
        <w:t>اب</w:t>
      </w:r>
      <w:r>
        <w:rPr>
          <w:rFonts w:hint="cs"/>
          <w:rtl/>
        </w:rPr>
        <w:t>ـ</w:t>
      </w:r>
      <w:r>
        <w:rPr>
          <w:rFonts w:hint="eastAsia"/>
          <w:rtl/>
        </w:rPr>
        <w:t>ن</w:t>
      </w:r>
      <w:r>
        <w:rPr>
          <w:rStyle w:val="a7"/>
          <w:rtl/>
        </w:rPr>
        <w:footnoteReference w:id="2747"/>
      </w:r>
      <w:r>
        <w:rPr>
          <w:rtl/>
        </w:rPr>
        <w:t xml:space="preserve"> </w:t>
      </w:r>
      <w:r>
        <w:rPr>
          <w:rFonts w:hint="eastAsia"/>
          <w:rtl/>
        </w:rPr>
        <w:t>داود</w:t>
      </w:r>
    </w:p>
    <w:p w:rsidR="00C10469" w:rsidRDefault="00C10469">
      <w:pPr>
        <w:ind w:firstLine="0"/>
        <w:rPr>
          <w:rtl/>
        </w:rPr>
      </w:pPr>
      <w:r>
        <w:rPr>
          <w:rFonts w:hint="eastAsia"/>
          <w:rtl/>
        </w:rPr>
        <w:lastRenderedPageBreak/>
        <w:t>وغ</w:t>
      </w:r>
      <w:r>
        <w:rPr>
          <w:rFonts w:hint="cs"/>
          <w:rtl/>
        </w:rPr>
        <w:t>ـ</w:t>
      </w:r>
      <w:r>
        <w:rPr>
          <w:rFonts w:hint="eastAsia"/>
          <w:rtl/>
        </w:rPr>
        <w:t>ي</w:t>
      </w:r>
      <w:r>
        <w:rPr>
          <w:rFonts w:hint="cs"/>
          <w:rtl/>
        </w:rPr>
        <w:t>ـ</w:t>
      </w:r>
      <w:r>
        <w:rPr>
          <w:rFonts w:hint="eastAsia"/>
          <w:rtl/>
        </w:rPr>
        <w:t>ره</w:t>
      </w:r>
      <w:r>
        <w:rPr>
          <w:vertAlign w:val="superscript"/>
          <w:rtl/>
        </w:rPr>
        <w:t>(</w:t>
      </w:r>
      <w:r>
        <w:rPr>
          <w:rStyle w:val="a7"/>
          <w:rtl/>
        </w:rPr>
        <w:footnoteReference w:id="2748"/>
      </w:r>
      <w:r>
        <w:rPr>
          <w:vertAlign w:val="superscript"/>
          <w:rtl/>
        </w:rPr>
        <w:t>)</w:t>
      </w:r>
      <w:r>
        <w:rPr>
          <w:rtl/>
        </w:rPr>
        <w:t>.</w:t>
      </w:r>
    </w:p>
    <w:p w:rsidR="00C10469" w:rsidRDefault="00C10469">
      <w:pPr>
        <w:rPr>
          <w:rtl/>
        </w:rPr>
      </w:pPr>
      <w:r>
        <w:rPr>
          <w:rFonts w:hint="eastAsia"/>
          <w:rtl/>
        </w:rPr>
        <w:lastRenderedPageBreak/>
        <w:t>وفي</w:t>
      </w:r>
      <w:r>
        <w:rPr>
          <w:rtl/>
        </w:rPr>
        <w:t xml:space="preserve"> بعض طرقه ذكر</w:t>
      </w:r>
      <w:r>
        <w:rPr>
          <w:rFonts w:hint="cs"/>
          <w:rtl/>
        </w:rPr>
        <w:t>ُ</w:t>
      </w:r>
      <w:r>
        <w:rPr>
          <w:rtl/>
        </w:rPr>
        <w:t xml:space="preserve"> السّبب : أن رجلاً </w:t>
      </w:r>
      <w:r>
        <w:rPr>
          <w:rFonts w:hint="eastAsia"/>
          <w:rtl/>
        </w:rPr>
        <w:t>ابتاع</w:t>
      </w:r>
      <w:r>
        <w:rPr>
          <w:rtl/>
        </w:rPr>
        <w:t xml:space="preserve"> عبدًا، فأقام عنده ما شاء الله، ثم وجد [به]</w:t>
      </w:r>
      <w:r>
        <w:rPr>
          <w:rStyle w:val="a7"/>
          <w:rtl/>
        </w:rPr>
        <w:footnoteReference w:id="2749"/>
      </w:r>
      <w:r>
        <w:rPr>
          <w:rtl/>
        </w:rPr>
        <w:t xml:space="preserve"> </w:t>
      </w:r>
      <w:r>
        <w:rPr>
          <w:rFonts w:hint="eastAsia"/>
          <w:rtl/>
        </w:rPr>
        <w:t>عيبًا</w:t>
      </w:r>
      <w:r>
        <w:rPr>
          <w:rtl/>
        </w:rPr>
        <w:t xml:space="preserve"> فخاصمه إلى النبي </w:t>
      </w:r>
      <w:r>
        <w:rPr>
          <w:rFonts w:ascii="AGA Arabesque" w:hAnsi="AGA Arabesque"/>
          <w:sz w:val="36"/>
        </w:rPr>
        <w:t></w:t>
      </w:r>
      <w:r>
        <w:rPr>
          <w:rtl/>
        </w:rPr>
        <w:t xml:space="preserve"> </w:t>
      </w:r>
      <w:r>
        <w:rPr>
          <w:rFonts w:hint="eastAsia"/>
          <w:rtl/>
        </w:rPr>
        <w:t>،</w:t>
      </w:r>
      <w:r>
        <w:rPr>
          <w:rtl/>
        </w:rPr>
        <w:t xml:space="preserve"> فرده عليه، قال </w:t>
      </w:r>
      <w:r>
        <w:rPr>
          <w:rFonts w:hint="eastAsia"/>
          <w:rtl/>
        </w:rPr>
        <w:t>الرجل</w:t>
      </w:r>
      <w:r>
        <w:rPr>
          <w:rtl/>
        </w:rPr>
        <w:t xml:space="preserve"> : يا رسول الله : قد استعمل غلامي. فقال </w:t>
      </w:r>
      <w:r>
        <w:rPr>
          <w:rFonts w:ascii="AGA Arabesque" w:hAnsi="AGA Arabesque"/>
          <w:sz w:val="36"/>
        </w:rPr>
        <w:t></w:t>
      </w:r>
      <w:r>
        <w:rPr>
          <w:rtl/>
        </w:rPr>
        <w:t xml:space="preserve"> : «</w:t>
      </w:r>
      <w:r>
        <w:rPr>
          <w:rFonts w:hint="cs"/>
          <w:rtl/>
        </w:rPr>
        <w:t xml:space="preserve"> </w:t>
      </w:r>
      <w:r>
        <w:rPr>
          <w:rFonts w:cs="DecoType Naskh Special"/>
          <w:rtl/>
        </w:rPr>
        <w:t>ال</w:t>
      </w:r>
      <w:r>
        <w:rPr>
          <w:rFonts w:cs="DecoType Naskh Special" w:hint="cs"/>
          <w:rtl/>
        </w:rPr>
        <w:t>ـ</w:t>
      </w:r>
      <w:r>
        <w:rPr>
          <w:rFonts w:cs="DecoType Naskh Special"/>
          <w:rtl/>
        </w:rPr>
        <w:t>خ</w:t>
      </w:r>
      <w:r>
        <w:rPr>
          <w:rFonts w:cs="DecoType Naskh Special" w:hint="cs"/>
          <w:rtl/>
        </w:rPr>
        <w:t>ـ</w:t>
      </w:r>
      <w:r>
        <w:rPr>
          <w:rFonts w:cs="DecoType Naskh Special"/>
          <w:rtl/>
        </w:rPr>
        <w:t>راج</w:t>
      </w:r>
      <w:r>
        <w:rPr>
          <w:rFonts w:cs="DecoType Naskh Special" w:hint="cs"/>
          <w:rtl/>
        </w:rPr>
        <w:t>ُ</w:t>
      </w:r>
      <w:r>
        <w:rPr>
          <w:rFonts w:cs="DecoType Naskh Special"/>
          <w:rtl/>
        </w:rPr>
        <w:t xml:space="preserve"> بالض</w:t>
      </w:r>
      <w:r>
        <w:rPr>
          <w:rFonts w:cs="DecoType Naskh Special" w:hint="cs"/>
          <w:rtl/>
        </w:rPr>
        <w:t>َّ</w:t>
      </w:r>
      <w:r>
        <w:rPr>
          <w:rFonts w:cs="DecoType Naskh Special"/>
          <w:rtl/>
        </w:rPr>
        <w:t>م</w:t>
      </w:r>
      <w:r>
        <w:rPr>
          <w:rFonts w:cs="DecoType Naskh Special" w:hint="cs"/>
          <w:rtl/>
        </w:rPr>
        <w:t>َ</w:t>
      </w:r>
      <w:r>
        <w:rPr>
          <w:rFonts w:cs="DecoType Naskh Special"/>
          <w:rtl/>
        </w:rPr>
        <w:t>ان</w:t>
      </w:r>
      <w:r>
        <w:rPr>
          <w:rFonts w:cs="DecoType Naskh Special" w:hint="cs"/>
          <w:rtl/>
        </w:rPr>
        <w:t>ِ</w:t>
      </w:r>
      <w:r>
        <w:rPr>
          <w:rFonts w:hint="cs"/>
          <w:rtl/>
        </w:rPr>
        <w:t xml:space="preserve"> </w:t>
      </w:r>
      <w:r>
        <w:rPr>
          <w:rtl/>
        </w:rPr>
        <w:t>»</w:t>
      </w:r>
      <w:r>
        <w:rPr>
          <w:vertAlign w:val="superscript"/>
          <w:rtl/>
        </w:rPr>
        <w:t>(</w:t>
      </w:r>
      <w:r>
        <w:rPr>
          <w:rStyle w:val="a7"/>
          <w:rtl/>
        </w:rPr>
        <w:footnoteReference w:id="2750"/>
      </w:r>
      <w:r>
        <w:rPr>
          <w:vertAlign w:val="superscript"/>
          <w:rtl/>
        </w:rPr>
        <w:t>)</w:t>
      </w:r>
      <w:r>
        <w:rPr>
          <w:rtl/>
        </w:rPr>
        <w:t>.</w:t>
      </w:r>
    </w:p>
    <w:p w:rsidR="00C10469" w:rsidRDefault="00C10469" w:rsidP="00C10469">
      <w:pPr>
        <w:rPr>
          <w:rtl/>
        </w:rPr>
      </w:pPr>
      <w:r>
        <w:rPr>
          <w:rFonts w:hint="eastAsia"/>
          <w:rtl/>
        </w:rPr>
        <w:lastRenderedPageBreak/>
        <w:t>ق</w:t>
      </w:r>
      <w:r>
        <w:rPr>
          <w:rFonts w:hint="cs"/>
          <w:rtl/>
        </w:rPr>
        <w:t>ـ</w:t>
      </w:r>
      <w:r>
        <w:rPr>
          <w:rFonts w:hint="eastAsia"/>
          <w:rtl/>
        </w:rPr>
        <w:t>ال</w:t>
      </w:r>
      <w:r>
        <w:rPr>
          <w:rtl/>
        </w:rPr>
        <w:t xml:space="preserve"> أب</w:t>
      </w:r>
      <w:r>
        <w:rPr>
          <w:rFonts w:hint="cs"/>
          <w:rtl/>
        </w:rPr>
        <w:t>ُـ</w:t>
      </w:r>
      <w:r>
        <w:rPr>
          <w:rtl/>
        </w:rPr>
        <w:t>و ع</w:t>
      </w:r>
      <w:r>
        <w:rPr>
          <w:rFonts w:hint="cs"/>
          <w:rtl/>
        </w:rPr>
        <w:t>ُـ</w:t>
      </w:r>
      <w:r>
        <w:rPr>
          <w:rtl/>
        </w:rPr>
        <w:t>ب</w:t>
      </w:r>
      <w:r>
        <w:rPr>
          <w:rFonts w:hint="cs"/>
          <w:rtl/>
        </w:rPr>
        <w:t>ِـ</w:t>
      </w:r>
      <w:r>
        <w:rPr>
          <w:rtl/>
        </w:rPr>
        <w:t>ي</w:t>
      </w:r>
      <w:r>
        <w:rPr>
          <w:rFonts w:hint="cs"/>
          <w:rtl/>
        </w:rPr>
        <w:t>ـ</w:t>
      </w:r>
      <w:r>
        <w:rPr>
          <w:rtl/>
        </w:rPr>
        <w:t>د</w:t>
      </w:r>
      <w:r>
        <w:rPr>
          <w:rFonts w:hint="cs"/>
          <w:rtl/>
        </w:rPr>
        <w:t>ِ</w:t>
      </w:r>
      <w:r>
        <w:rPr>
          <w:rtl/>
        </w:rPr>
        <w:t xml:space="preserve"> الله</w:t>
      </w:r>
      <w:r>
        <w:rPr>
          <w:vertAlign w:val="superscript"/>
          <w:rtl/>
        </w:rPr>
        <w:t>(</w:t>
      </w:r>
      <w:r>
        <w:rPr>
          <w:rStyle w:val="a7"/>
          <w:rtl/>
        </w:rPr>
        <w:footnoteReference w:id="2751"/>
      </w:r>
      <w:r>
        <w:rPr>
          <w:vertAlign w:val="superscript"/>
          <w:rtl/>
        </w:rPr>
        <w:t xml:space="preserve">) </w:t>
      </w:r>
      <w:r>
        <w:rPr>
          <w:rtl/>
        </w:rPr>
        <w:t>:</w:t>
      </w:r>
      <w:r>
        <w:rPr>
          <w:rFonts w:hint="cs"/>
          <w:rtl/>
        </w:rPr>
        <w:t xml:space="preserve"> </w:t>
      </w:r>
      <w:r>
        <w:rPr>
          <w:rtl/>
        </w:rPr>
        <w:t>«ال</w:t>
      </w:r>
      <w:r>
        <w:rPr>
          <w:rFonts w:hint="cs"/>
          <w:rtl/>
        </w:rPr>
        <w:t>ـ</w:t>
      </w:r>
      <w:r>
        <w:rPr>
          <w:rtl/>
        </w:rPr>
        <w:t>خ</w:t>
      </w:r>
      <w:r>
        <w:rPr>
          <w:rFonts w:hint="cs"/>
          <w:rtl/>
        </w:rPr>
        <w:t>ـ</w:t>
      </w:r>
      <w:r>
        <w:rPr>
          <w:rtl/>
        </w:rPr>
        <w:t>راج ف</w:t>
      </w:r>
      <w:r>
        <w:rPr>
          <w:rFonts w:hint="cs"/>
          <w:rtl/>
        </w:rPr>
        <w:t>ـ</w:t>
      </w:r>
      <w:r>
        <w:rPr>
          <w:rtl/>
        </w:rPr>
        <w:t>ي ه</w:t>
      </w:r>
      <w:r>
        <w:rPr>
          <w:rFonts w:hint="cs"/>
          <w:rtl/>
        </w:rPr>
        <w:t>ـ</w:t>
      </w:r>
      <w:r>
        <w:rPr>
          <w:rtl/>
        </w:rPr>
        <w:t>ذا ال</w:t>
      </w:r>
      <w:r>
        <w:rPr>
          <w:rFonts w:hint="cs"/>
          <w:rtl/>
        </w:rPr>
        <w:t>ـ</w:t>
      </w:r>
      <w:r>
        <w:rPr>
          <w:rtl/>
        </w:rPr>
        <w:t>ح</w:t>
      </w:r>
      <w:r>
        <w:rPr>
          <w:rFonts w:hint="cs"/>
          <w:rtl/>
        </w:rPr>
        <w:t>ـ</w:t>
      </w:r>
      <w:r>
        <w:rPr>
          <w:rtl/>
        </w:rPr>
        <w:t>دي</w:t>
      </w:r>
      <w:r>
        <w:rPr>
          <w:rFonts w:hint="cs"/>
          <w:rtl/>
        </w:rPr>
        <w:t>ـ</w:t>
      </w:r>
      <w:r>
        <w:rPr>
          <w:rtl/>
        </w:rPr>
        <w:t>ث : غ</w:t>
      </w:r>
      <w:r>
        <w:rPr>
          <w:rFonts w:hint="cs"/>
          <w:rtl/>
        </w:rPr>
        <w:t>ـ</w:t>
      </w:r>
      <w:r>
        <w:rPr>
          <w:rtl/>
        </w:rPr>
        <w:t>لّ</w:t>
      </w:r>
      <w:r>
        <w:rPr>
          <w:rFonts w:hint="cs"/>
          <w:rtl/>
        </w:rPr>
        <w:t>ـ</w:t>
      </w:r>
      <w:r>
        <w:rPr>
          <w:rtl/>
        </w:rPr>
        <w:t>ةُ ع</w:t>
      </w:r>
      <w:r>
        <w:rPr>
          <w:rFonts w:hint="cs"/>
          <w:rtl/>
        </w:rPr>
        <w:t>ـ</w:t>
      </w:r>
      <w:r>
        <w:rPr>
          <w:rtl/>
        </w:rPr>
        <w:t>ب</w:t>
      </w:r>
      <w:r>
        <w:rPr>
          <w:rFonts w:hint="cs"/>
          <w:rtl/>
        </w:rPr>
        <w:t>ـ</w:t>
      </w:r>
      <w:r>
        <w:rPr>
          <w:rtl/>
        </w:rPr>
        <w:t>دٍ ي</w:t>
      </w:r>
      <w:r>
        <w:rPr>
          <w:rFonts w:hint="cs"/>
          <w:rtl/>
        </w:rPr>
        <w:t>ـ</w:t>
      </w:r>
      <w:r>
        <w:rPr>
          <w:rtl/>
        </w:rPr>
        <w:t>ش</w:t>
      </w:r>
      <w:r>
        <w:rPr>
          <w:rFonts w:hint="cs"/>
          <w:rtl/>
        </w:rPr>
        <w:t>ـ</w:t>
      </w:r>
      <w:r>
        <w:rPr>
          <w:rtl/>
        </w:rPr>
        <w:t>ت</w:t>
      </w:r>
      <w:r>
        <w:rPr>
          <w:rFonts w:hint="cs"/>
          <w:rtl/>
        </w:rPr>
        <w:t>ـ</w:t>
      </w:r>
      <w:r>
        <w:rPr>
          <w:rtl/>
        </w:rPr>
        <w:t>ري</w:t>
      </w:r>
      <w:r>
        <w:rPr>
          <w:rFonts w:hint="cs"/>
          <w:rtl/>
        </w:rPr>
        <w:t>ـ</w:t>
      </w:r>
      <w:r>
        <w:rPr>
          <w:rtl/>
        </w:rPr>
        <w:t>ه</w:t>
      </w:r>
      <w:r>
        <w:rPr>
          <w:rStyle w:val="a7"/>
          <w:rtl/>
        </w:rPr>
        <w:footnoteReference w:id="2752"/>
      </w:r>
      <w:r>
        <w:rPr>
          <w:rtl/>
        </w:rPr>
        <w:t xml:space="preserve"> </w:t>
      </w:r>
      <w:r>
        <w:rPr>
          <w:rFonts w:hint="eastAsia"/>
          <w:rtl/>
        </w:rPr>
        <w:t>ال</w:t>
      </w:r>
      <w:r>
        <w:rPr>
          <w:rFonts w:hint="cs"/>
          <w:rtl/>
        </w:rPr>
        <w:t>ـ</w:t>
      </w:r>
      <w:r>
        <w:rPr>
          <w:rFonts w:hint="eastAsia"/>
          <w:rtl/>
        </w:rPr>
        <w:t>رج</w:t>
      </w:r>
      <w:r>
        <w:rPr>
          <w:rFonts w:hint="cs"/>
          <w:rtl/>
        </w:rPr>
        <w:t>ـ</w:t>
      </w:r>
      <w:r>
        <w:rPr>
          <w:rFonts w:hint="eastAsia"/>
          <w:rtl/>
        </w:rPr>
        <w:t>ل،</w:t>
      </w:r>
      <w:r>
        <w:rPr>
          <w:rtl/>
        </w:rPr>
        <w:t xml:space="preserve"> ف</w:t>
      </w:r>
      <w:r>
        <w:rPr>
          <w:rFonts w:hint="cs"/>
          <w:rtl/>
        </w:rPr>
        <w:t>ـ</w:t>
      </w:r>
      <w:r>
        <w:rPr>
          <w:rtl/>
        </w:rPr>
        <w:t>ي</w:t>
      </w:r>
      <w:r>
        <w:rPr>
          <w:rFonts w:hint="cs"/>
          <w:rtl/>
        </w:rPr>
        <w:t>ـ</w:t>
      </w:r>
      <w:r>
        <w:rPr>
          <w:rtl/>
        </w:rPr>
        <w:t>س</w:t>
      </w:r>
      <w:r>
        <w:rPr>
          <w:rFonts w:hint="cs"/>
          <w:rtl/>
        </w:rPr>
        <w:t>ـ</w:t>
      </w:r>
      <w:r>
        <w:rPr>
          <w:rtl/>
        </w:rPr>
        <w:t>ت</w:t>
      </w:r>
      <w:r>
        <w:rPr>
          <w:rFonts w:hint="cs"/>
          <w:rtl/>
        </w:rPr>
        <w:t>ـ</w:t>
      </w:r>
      <w:r>
        <w:rPr>
          <w:rtl/>
        </w:rPr>
        <w:t>عْ</w:t>
      </w:r>
      <w:r>
        <w:rPr>
          <w:rFonts w:hint="cs"/>
          <w:rtl/>
        </w:rPr>
        <w:t>ـ</w:t>
      </w:r>
      <w:r>
        <w:rPr>
          <w:rtl/>
        </w:rPr>
        <w:t>مل</w:t>
      </w:r>
      <w:r>
        <w:rPr>
          <w:rFonts w:hint="cs"/>
          <w:rtl/>
        </w:rPr>
        <w:t>ـ</w:t>
      </w:r>
      <w:r>
        <w:rPr>
          <w:rtl/>
        </w:rPr>
        <w:t>ه زم</w:t>
      </w:r>
      <w:r>
        <w:rPr>
          <w:rFonts w:hint="cs"/>
          <w:rtl/>
        </w:rPr>
        <w:t>ـ</w:t>
      </w:r>
      <w:r>
        <w:rPr>
          <w:rtl/>
        </w:rPr>
        <w:t>انً</w:t>
      </w:r>
      <w:r>
        <w:rPr>
          <w:rFonts w:hint="cs"/>
          <w:rtl/>
        </w:rPr>
        <w:t>ـ</w:t>
      </w:r>
      <w:r>
        <w:rPr>
          <w:rtl/>
        </w:rPr>
        <w:t>ا، ث</w:t>
      </w:r>
      <w:r>
        <w:rPr>
          <w:rFonts w:hint="cs"/>
          <w:rtl/>
        </w:rPr>
        <w:t>ـ</w:t>
      </w:r>
      <w:r>
        <w:rPr>
          <w:rtl/>
        </w:rPr>
        <w:t>م يَ</w:t>
      </w:r>
      <w:r>
        <w:rPr>
          <w:rFonts w:hint="cs"/>
          <w:rtl/>
        </w:rPr>
        <w:t>ـ</w:t>
      </w:r>
      <w:r>
        <w:rPr>
          <w:rtl/>
        </w:rPr>
        <w:t>عثُر منه على عيب دَلَّسَهُ</w:t>
      </w:r>
      <w:r>
        <w:rPr>
          <w:rStyle w:val="a7"/>
          <w:rtl/>
        </w:rPr>
        <w:footnoteReference w:id="2753"/>
      </w:r>
      <w:r>
        <w:rPr>
          <w:rtl/>
        </w:rPr>
        <w:t xml:space="preserve"> </w:t>
      </w:r>
      <w:r>
        <w:rPr>
          <w:rFonts w:hint="eastAsia"/>
          <w:rtl/>
        </w:rPr>
        <w:t>و</w:t>
      </w:r>
      <w:r>
        <w:rPr>
          <w:rStyle w:val="a7"/>
          <w:rtl/>
        </w:rPr>
        <w:footnoteReference w:id="2754"/>
      </w:r>
      <w:r>
        <w:rPr>
          <w:rtl/>
        </w:rPr>
        <w:t xml:space="preserve"> </w:t>
      </w:r>
      <w:r>
        <w:rPr>
          <w:rFonts w:hint="eastAsia"/>
          <w:rtl/>
        </w:rPr>
        <w:t>أخفاه</w:t>
      </w:r>
      <w:r>
        <w:rPr>
          <w:rStyle w:val="a7"/>
          <w:rtl/>
        </w:rPr>
        <w:footnoteReference w:id="2755"/>
      </w:r>
      <w:r>
        <w:rPr>
          <w:rtl/>
        </w:rPr>
        <w:t xml:space="preserve"> </w:t>
      </w:r>
      <w:r>
        <w:rPr>
          <w:rFonts w:hint="eastAsia"/>
          <w:rtl/>
        </w:rPr>
        <w:t>البائع،</w:t>
      </w:r>
      <w:r>
        <w:rPr>
          <w:rtl/>
        </w:rPr>
        <w:t xml:space="preserve"> فيردُّهُ ويأخذ جميع الثمن</w:t>
      </w:r>
      <w:r>
        <w:rPr>
          <w:rFonts w:hint="cs"/>
          <w:rtl/>
        </w:rPr>
        <w:t>،</w:t>
      </w:r>
      <w:r>
        <w:rPr>
          <w:rtl/>
        </w:rPr>
        <w:t xml:space="preserve"> [فيفوز]</w:t>
      </w:r>
      <w:r>
        <w:rPr>
          <w:rStyle w:val="a7"/>
          <w:rtl/>
        </w:rPr>
        <w:footnoteReference w:id="2756"/>
      </w:r>
      <w:r>
        <w:rPr>
          <w:rtl/>
        </w:rPr>
        <w:t xml:space="preserve"> </w:t>
      </w:r>
    </w:p>
    <w:p w:rsidR="00C10469" w:rsidRDefault="00C10469">
      <w:pPr>
        <w:ind w:firstLine="0"/>
        <w:rPr>
          <w:rtl/>
        </w:rPr>
      </w:pPr>
      <w:r>
        <w:rPr>
          <w:rFonts w:hint="eastAsia"/>
          <w:rtl/>
        </w:rPr>
        <w:lastRenderedPageBreak/>
        <w:t>بغلّته</w:t>
      </w:r>
      <w:r>
        <w:rPr>
          <w:rtl/>
        </w:rPr>
        <w:t xml:space="preserve"> كلّه</w:t>
      </w:r>
      <w:r>
        <w:rPr>
          <w:vertAlign w:val="superscript"/>
          <w:rtl/>
        </w:rPr>
        <w:t>(</w:t>
      </w:r>
      <w:r>
        <w:rPr>
          <w:rStyle w:val="a7"/>
          <w:rtl/>
        </w:rPr>
        <w:footnoteReference w:id="2757"/>
      </w:r>
      <w:r>
        <w:rPr>
          <w:vertAlign w:val="superscript"/>
          <w:rtl/>
        </w:rPr>
        <w:t>)</w:t>
      </w:r>
      <w:r>
        <w:rPr>
          <w:rtl/>
        </w:rPr>
        <w:t xml:space="preserve"> </w:t>
      </w:r>
      <w:r>
        <w:rPr>
          <w:rFonts w:hint="eastAsia"/>
          <w:rtl/>
        </w:rPr>
        <w:t>لأنه</w:t>
      </w:r>
      <w:r>
        <w:rPr>
          <w:vertAlign w:val="superscript"/>
          <w:rtl/>
        </w:rPr>
        <w:t>(</w:t>
      </w:r>
      <w:r>
        <w:rPr>
          <w:rStyle w:val="a7"/>
          <w:rtl/>
        </w:rPr>
        <w:footnoteReference w:id="2758"/>
      </w:r>
      <w:r>
        <w:rPr>
          <w:vertAlign w:val="superscript"/>
          <w:rtl/>
        </w:rPr>
        <w:t>)</w:t>
      </w:r>
      <w:r>
        <w:rPr>
          <w:rtl/>
        </w:rPr>
        <w:t xml:space="preserve"> </w:t>
      </w:r>
      <w:r>
        <w:rPr>
          <w:rFonts w:hint="eastAsia"/>
          <w:rtl/>
        </w:rPr>
        <w:t>كان</w:t>
      </w:r>
      <w:r>
        <w:rPr>
          <w:rtl/>
        </w:rPr>
        <w:t xml:space="preserve"> في ضمانه»</w:t>
      </w:r>
      <w:r>
        <w:rPr>
          <w:vertAlign w:val="superscript"/>
          <w:rtl/>
        </w:rPr>
        <w:t>(</w:t>
      </w:r>
      <w:r>
        <w:rPr>
          <w:rStyle w:val="a7"/>
          <w:rtl/>
        </w:rPr>
        <w:footnoteReference w:id="2759"/>
      </w:r>
      <w:r>
        <w:rPr>
          <w:vertAlign w:val="superscript"/>
          <w:rtl/>
        </w:rPr>
        <w:t>)</w:t>
      </w:r>
      <w:r>
        <w:rPr>
          <w:rtl/>
        </w:rPr>
        <w:t>.</w:t>
      </w:r>
    </w:p>
    <w:p w:rsidR="00C10469" w:rsidRDefault="00C10469">
      <w:pPr>
        <w:rPr>
          <w:rtl/>
        </w:rPr>
      </w:pPr>
      <w:r>
        <w:rPr>
          <w:rFonts w:hint="eastAsia"/>
          <w:rtl/>
        </w:rPr>
        <w:t>«وقال</w:t>
      </w:r>
      <w:r>
        <w:rPr>
          <w:rtl/>
        </w:rPr>
        <w:t xml:space="preserve"> أصحابنا في (خيار العيب): إن الزيادة </w:t>
      </w:r>
      <w:r>
        <w:rPr>
          <w:rFonts w:hint="eastAsia"/>
          <w:rtl/>
        </w:rPr>
        <w:t>المنفصلة</w:t>
      </w:r>
      <w:r>
        <w:rPr>
          <w:rtl/>
        </w:rPr>
        <w:t xml:space="preserve"> غير المتولدة من الأصل لا تمنع الرّد بالعيب</w:t>
      </w:r>
      <w:r>
        <w:rPr>
          <w:vertAlign w:val="superscript"/>
          <w:rtl/>
        </w:rPr>
        <w:t>(</w:t>
      </w:r>
      <w:r>
        <w:rPr>
          <w:rStyle w:val="a7"/>
          <w:rtl/>
        </w:rPr>
        <w:footnoteReference w:id="2760"/>
      </w:r>
      <w:r>
        <w:rPr>
          <w:vertAlign w:val="superscript"/>
          <w:rtl/>
        </w:rPr>
        <w:t>)</w:t>
      </w:r>
      <w:r>
        <w:rPr>
          <w:rFonts w:hint="eastAsia"/>
          <w:rtl/>
        </w:rPr>
        <w:t>؛</w:t>
      </w:r>
      <w:r>
        <w:rPr>
          <w:rtl/>
        </w:rPr>
        <w:t xml:space="preserve"> </w:t>
      </w:r>
      <w:r>
        <w:rPr>
          <w:rFonts w:hint="eastAsia"/>
          <w:rtl/>
        </w:rPr>
        <w:t>كالكسب</w:t>
      </w:r>
      <w:r>
        <w:rPr>
          <w:rtl/>
        </w:rPr>
        <w:t xml:space="preserve"> والغلة، وتُسلَّم</w:t>
      </w:r>
      <w:r>
        <w:rPr>
          <w:rStyle w:val="a7"/>
          <w:rtl/>
        </w:rPr>
        <w:footnoteReference w:id="2761"/>
      </w:r>
      <w:r>
        <w:rPr>
          <w:rtl/>
        </w:rPr>
        <w:t xml:space="preserve"> </w:t>
      </w:r>
      <w:r>
        <w:rPr>
          <w:rFonts w:hint="eastAsia"/>
          <w:rtl/>
        </w:rPr>
        <w:t>للمشتري،</w:t>
      </w:r>
      <w:r>
        <w:rPr>
          <w:rtl/>
        </w:rPr>
        <w:t xml:space="preserve"> ولا يضره حصولها مجانًا : لأنه</w:t>
      </w:r>
      <w:r>
        <w:rPr>
          <w:rFonts w:hint="cs"/>
          <w:vertAlign w:val="superscript"/>
          <w:rtl/>
        </w:rPr>
        <w:t>(6)</w:t>
      </w:r>
      <w:r>
        <w:rPr>
          <w:rtl/>
        </w:rPr>
        <w:t xml:space="preserve"> </w:t>
      </w:r>
      <w:r>
        <w:rPr>
          <w:rFonts w:hint="eastAsia"/>
          <w:rtl/>
        </w:rPr>
        <w:t>لم</w:t>
      </w:r>
      <w:r>
        <w:rPr>
          <w:rtl/>
        </w:rPr>
        <w:t xml:space="preserve"> يكن</w:t>
      </w:r>
      <w:r>
        <w:rPr>
          <w:vertAlign w:val="superscript"/>
          <w:rtl/>
        </w:rPr>
        <w:t>(</w:t>
      </w:r>
      <w:r>
        <w:rPr>
          <w:rStyle w:val="a7"/>
          <w:rtl/>
        </w:rPr>
        <w:footnoteReference w:id="2762"/>
      </w:r>
      <w:r>
        <w:rPr>
          <w:vertAlign w:val="superscript"/>
          <w:rtl/>
        </w:rPr>
        <w:t>)</w:t>
      </w:r>
      <w:r>
        <w:rPr>
          <w:rtl/>
        </w:rPr>
        <w:t xml:space="preserve"> </w:t>
      </w:r>
      <w:r>
        <w:rPr>
          <w:rFonts w:hint="eastAsia"/>
          <w:rtl/>
        </w:rPr>
        <w:t>جزءًا</w:t>
      </w:r>
      <w:r>
        <w:rPr>
          <w:rtl/>
        </w:rPr>
        <w:t xml:space="preserve"> من المبيع</w:t>
      </w:r>
      <w:r>
        <w:rPr>
          <w:rFonts w:hint="cs"/>
          <w:rtl/>
        </w:rPr>
        <w:t>،</w:t>
      </w:r>
      <w:r>
        <w:rPr>
          <w:rtl/>
        </w:rPr>
        <w:t xml:space="preserve"> فلم يملكه</w:t>
      </w:r>
      <w:r>
        <w:rPr>
          <w:vertAlign w:val="superscript"/>
          <w:rtl/>
        </w:rPr>
        <w:t>(</w:t>
      </w:r>
      <w:r>
        <w:rPr>
          <w:rFonts w:hint="cs"/>
          <w:vertAlign w:val="superscript"/>
          <w:rtl/>
        </w:rPr>
        <w:t>6</w:t>
      </w:r>
      <w:r>
        <w:rPr>
          <w:vertAlign w:val="superscript"/>
          <w:rtl/>
        </w:rPr>
        <w:t>)</w:t>
      </w:r>
      <w:r>
        <w:rPr>
          <w:rtl/>
        </w:rPr>
        <w:t xml:space="preserve"> </w:t>
      </w:r>
      <w:r>
        <w:rPr>
          <w:rFonts w:hint="eastAsia"/>
          <w:rtl/>
        </w:rPr>
        <w:t>بالثمن؛</w:t>
      </w:r>
      <w:r>
        <w:rPr>
          <w:rtl/>
        </w:rPr>
        <w:t xml:space="preserve"> بل بالضمان</w:t>
      </w:r>
      <w:r>
        <w:rPr>
          <w:rStyle w:val="a7"/>
          <w:rtl/>
        </w:rPr>
        <w:footnoteReference w:id="2763"/>
      </w:r>
      <w:r>
        <w:rPr>
          <w:rtl/>
        </w:rPr>
        <w:t>.</w:t>
      </w:r>
    </w:p>
    <w:p w:rsidR="00C10469" w:rsidRDefault="00C10469">
      <w:pPr>
        <w:rPr>
          <w:rtl/>
        </w:rPr>
      </w:pPr>
      <w:r>
        <w:rPr>
          <w:rFonts w:hint="eastAsia"/>
          <w:rtl/>
        </w:rPr>
        <w:lastRenderedPageBreak/>
        <w:t>وبمثله</w:t>
      </w:r>
      <w:r>
        <w:rPr>
          <w:rtl/>
        </w:rPr>
        <w:t xml:space="preserve"> يطيب الربح</w:t>
      </w:r>
      <w:r>
        <w:rPr>
          <w:rStyle w:val="a7"/>
          <w:rtl/>
        </w:rPr>
        <w:footnoteReference w:id="2764"/>
      </w:r>
      <w:r>
        <w:rPr>
          <w:rFonts w:hint="cs"/>
          <w:rtl/>
        </w:rPr>
        <w:t xml:space="preserve">؛ </w:t>
      </w:r>
      <w:r>
        <w:rPr>
          <w:rFonts w:hint="eastAsia"/>
          <w:rtl/>
        </w:rPr>
        <w:t>للحديث»</w:t>
      </w:r>
      <w:r>
        <w:rPr>
          <w:vertAlign w:val="superscript"/>
          <w:rtl/>
        </w:rPr>
        <w:t>(</w:t>
      </w:r>
      <w:r>
        <w:rPr>
          <w:rStyle w:val="a7"/>
          <w:rtl/>
        </w:rPr>
        <w:footnoteReference w:id="2765"/>
      </w:r>
      <w:r>
        <w:rPr>
          <w:vertAlign w:val="superscript"/>
          <w:rtl/>
        </w:rPr>
        <w:t>)</w:t>
      </w:r>
      <w:r>
        <w:rPr>
          <w:rtl/>
        </w:rPr>
        <w:t>.</w:t>
      </w:r>
    </w:p>
    <w:p w:rsidR="00C10469" w:rsidRDefault="00C10469">
      <w:pPr>
        <w:rPr>
          <w:rtl/>
        </w:rPr>
      </w:pPr>
      <w:r>
        <w:rPr>
          <w:rFonts w:hint="eastAsia"/>
          <w:rtl/>
        </w:rPr>
        <w:t>«وذكر</w:t>
      </w:r>
      <w:r>
        <w:rPr>
          <w:rtl/>
        </w:rPr>
        <w:t xml:space="preserve"> فخر الإسلام في أصوله</w:t>
      </w:r>
      <w:r>
        <w:rPr>
          <w:vertAlign w:val="superscript"/>
          <w:rtl/>
        </w:rPr>
        <w:t>(</w:t>
      </w:r>
      <w:r>
        <w:rPr>
          <w:rStyle w:val="a7"/>
          <w:rtl/>
        </w:rPr>
        <w:footnoteReference w:id="2766"/>
      </w:r>
      <w:r>
        <w:rPr>
          <w:vertAlign w:val="superscript"/>
          <w:rtl/>
        </w:rPr>
        <w:t>)</w:t>
      </w:r>
      <w:r>
        <w:rPr>
          <w:rtl/>
        </w:rPr>
        <w:t xml:space="preserve"> : أن هذا الحديث من جوامع الك</w:t>
      </w:r>
      <w:r>
        <w:rPr>
          <w:rFonts w:hint="cs"/>
          <w:rtl/>
        </w:rPr>
        <w:t>ـ</w:t>
      </w:r>
      <w:r>
        <w:rPr>
          <w:rtl/>
        </w:rPr>
        <w:t xml:space="preserve">لم، لا يجوز </w:t>
      </w:r>
    </w:p>
    <w:p w:rsidR="00C10469" w:rsidRDefault="00C10469">
      <w:pPr>
        <w:ind w:firstLine="0"/>
        <w:rPr>
          <w:rtl/>
        </w:rPr>
      </w:pPr>
      <w:r>
        <w:rPr>
          <w:rFonts w:hint="eastAsia"/>
          <w:rtl/>
        </w:rPr>
        <w:lastRenderedPageBreak/>
        <w:t>ن</w:t>
      </w:r>
      <w:r>
        <w:rPr>
          <w:rFonts w:hint="cs"/>
          <w:rtl/>
        </w:rPr>
        <w:t>ـ</w:t>
      </w:r>
      <w:r>
        <w:rPr>
          <w:rFonts w:hint="eastAsia"/>
          <w:rtl/>
        </w:rPr>
        <w:t>ق</w:t>
      </w:r>
      <w:r>
        <w:rPr>
          <w:rFonts w:hint="cs"/>
          <w:rtl/>
        </w:rPr>
        <w:t>ـ</w:t>
      </w:r>
      <w:r>
        <w:rPr>
          <w:rFonts w:hint="eastAsia"/>
          <w:rtl/>
        </w:rPr>
        <w:t>ل</w:t>
      </w:r>
      <w:r>
        <w:rPr>
          <w:rFonts w:hint="cs"/>
          <w:rtl/>
        </w:rPr>
        <w:t>ـ</w:t>
      </w:r>
      <w:r>
        <w:rPr>
          <w:rFonts w:hint="eastAsia"/>
          <w:rtl/>
        </w:rPr>
        <w:t>ه</w:t>
      </w:r>
      <w:r>
        <w:rPr>
          <w:rtl/>
        </w:rPr>
        <w:t xml:space="preserve"> </w:t>
      </w:r>
      <w:r>
        <w:rPr>
          <w:rFonts w:hint="eastAsia"/>
          <w:rtl/>
        </w:rPr>
        <w:t>بال</w:t>
      </w:r>
      <w:r>
        <w:rPr>
          <w:rFonts w:hint="cs"/>
          <w:rtl/>
        </w:rPr>
        <w:t>ـ</w:t>
      </w:r>
      <w:r>
        <w:rPr>
          <w:rFonts w:hint="eastAsia"/>
          <w:rtl/>
        </w:rPr>
        <w:t>م</w:t>
      </w:r>
      <w:r>
        <w:rPr>
          <w:rFonts w:hint="cs"/>
          <w:rtl/>
        </w:rPr>
        <w:t>ـ</w:t>
      </w:r>
      <w:r>
        <w:rPr>
          <w:rFonts w:hint="eastAsia"/>
          <w:rtl/>
        </w:rPr>
        <w:t>ع</w:t>
      </w:r>
      <w:r>
        <w:rPr>
          <w:rFonts w:hint="cs"/>
          <w:rtl/>
        </w:rPr>
        <w:t>ـ</w:t>
      </w:r>
      <w:r>
        <w:rPr>
          <w:rFonts w:hint="eastAsia"/>
          <w:rtl/>
        </w:rPr>
        <w:t>نى»</w:t>
      </w:r>
      <w:r>
        <w:rPr>
          <w:vertAlign w:val="superscript"/>
          <w:rtl/>
        </w:rPr>
        <w:t>(</w:t>
      </w:r>
      <w:r>
        <w:rPr>
          <w:rStyle w:val="a7"/>
          <w:rtl/>
        </w:rPr>
        <w:footnoteReference w:id="2767"/>
      </w:r>
      <w:r>
        <w:rPr>
          <w:vertAlign w:val="superscript"/>
          <w:rtl/>
        </w:rPr>
        <w:t>)</w:t>
      </w:r>
      <w:r>
        <w:rPr>
          <w:rtl/>
        </w:rPr>
        <w:t>.</w:t>
      </w:r>
    </w:p>
    <w:p w:rsidR="00C10469" w:rsidRDefault="00C10469">
      <w:pPr>
        <w:rPr>
          <w:spacing w:val="8"/>
          <w:rtl/>
        </w:rPr>
      </w:pPr>
      <w:r>
        <w:rPr>
          <w:rFonts w:hint="eastAsia"/>
          <w:spacing w:val="8"/>
          <w:rtl/>
        </w:rPr>
        <w:t>و</w:t>
      </w:r>
      <w:r>
        <w:rPr>
          <w:rFonts w:hint="cs"/>
          <w:spacing w:val="8"/>
          <w:rtl/>
        </w:rPr>
        <w:t>ا</w:t>
      </w:r>
      <w:r>
        <w:rPr>
          <w:rFonts w:hint="eastAsia"/>
          <w:spacing w:val="8"/>
          <w:rtl/>
        </w:rPr>
        <w:t>علم</w:t>
      </w:r>
      <w:r>
        <w:rPr>
          <w:spacing w:val="8"/>
          <w:rtl/>
        </w:rPr>
        <w:t xml:space="preserve"> أن</w:t>
      </w:r>
      <w:r>
        <w:rPr>
          <w:rFonts w:hint="cs"/>
          <w:spacing w:val="8"/>
          <w:rtl/>
        </w:rPr>
        <w:t>ه</w:t>
      </w:r>
      <w:r>
        <w:rPr>
          <w:spacing w:val="8"/>
          <w:rtl/>
        </w:rPr>
        <w:t xml:space="preserve"> </w:t>
      </w:r>
      <w:r>
        <w:rPr>
          <w:rFonts w:ascii="AGA Arabesque" w:hAnsi="AGA Arabesque"/>
          <w:sz w:val="36"/>
        </w:rPr>
        <w:t></w:t>
      </w:r>
      <w:r>
        <w:rPr>
          <w:spacing w:val="8"/>
          <w:rtl/>
        </w:rPr>
        <w:t xml:space="preserve"> </w:t>
      </w:r>
      <w:r>
        <w:rPr>
          <w:rFonts w:hint="cs"/>
          <w:spacing w:val="8"/>
          <w:rtl/>
        </w:rPr>
        <w:t xml:space="preserve">: </w:t>
      </w:r>
      <w:r>
        <w:rPr>
          <w:rFonts w:hint="eastAsia"/>
          <w:spacing w:val="8"/>
          <w:rtl/>
        </w:rPr>
        <w:t>«قض</w:t>
      </w:r>
      <w:r>
        <w:rPr>
          <w:rFonts w:hint="cs"/>
          <w:spacing w:val="8"/>
          <w:rtl/>
        </w:rPr>
        <w:t>ى</w:t>
      </w:r>
      <w:r>
        <w:rPr>
          <w:spacing w:val="8"/>
          <w:rtl/>
        </w:rPr>
        <w:t xml:space="preserve"> بذلك في ضمان الـملك، وجعل الخراج لمن هو مالكه»</w:t>
      </w:r>
      <w:r>
        <w:rPr>
          <w:spacing w:val="8"/>
          <w:vertAlign w:val="superscript"/>
          <w:rtl/>
        </w:rPr>
        <w:t>(</w:t>
      </w:r>
      <w:r>
        <w:rPr>
          <w:rStyle w:val="a7"/>
          <w:spacing w:val="8"/>
          <w:rtl/>
        </w:rPr>
        <w:footnoteReference w:id="2768"/>
      </w:r>
      <w:r>
        <w:rPr>
          <w:spacing w:val="8"/>
          <w:vertAlign w:val="superscript"/>
          <w:rtl/>
        </w:rPr>
        <w:t>)</w:t>
      </w:r>
      <w:r>
        <w:rPr>
          <w:rFonts w:hint="eastAsia"/>
          <w:spacing w:val="8"/>
          <w:rtl/>
        </w:rPr>
        <w:t>؛</w:t>
      </w:r>
      <w:r>
        <w:rPr>
          <w:spacing w:val="8"/>
          <w:rtl/>
        </w:rPr>
        <w:t xml:space="preserve"> </w:t>
      </w:r>
      <w:r>
        <w:rPr>
          <w:rFonts w:hint="eastAsia"/>
          <w:spacing w:val="8"/>
          <w:rtl/>
        </w:rPr>
        <w:t>ولهذا</w:t>
      </w:r>
      <w:r>
        <w:rPr>
          <w:spacing w:val="8"/>
          <w:rtl/>
        </w:rPr>
        <w:t xml:space="preserve"> خراج</w:t>
      </w:r>
      <w:r>
        <w:rPr>
          <w:rStyle w:val="a7"/>
          <w:spacing w:val="8"/>
          <w:rtl/>
        </w:rPr>
        <w:footnoteReference w:id="2769"/>
      </w:r>
      <w:r>
        <w:rPr>
          <w:spacing w:val="8"/>
          <w:rtl/>
        </w:rPr>
        <w:t xml:space="preserve"> </w:t>
      </w:r>
      <w:r>
        <w:rPr>
          <w:rFonts w:hint="eastAsia"/>
          <w:spacing w:val="8"/>
          <w:rtl/>
        </w:rPr>
        <w:t>المبيع</w:t>
      </w:r>
      <w:r>
        <w:rPr>
          <w:spacing w:val="8"/>
          <w:rtl/>
        </w:rPr>
        <w:t xml:space="preserve"> قبل قبضه (الـمشتري)</w:t>
      </w:r>
      <w:r>
        <w:rPr>
          <w:spacing w:val="8"/>
          <w:vertAlign w:val="superscript"/>
          <w:rtl/>
        </w:rPr>
        <w:t>(</w:t>
      </w:r>
      <w:r>
        <w:rPr>
          <w:rStyle w:val="a7"/>
          <w:spacing w:val="8"/>
          <w:rtl/>
        </w:rPr>
        <w:footnoteReference w:id="2770"/>
      </w:r>
      <w:r>
        <w:rPr>
          <w:spacing w:val="8"/>
          <w:vertAlign w:val="superscript"/>
          <w:rtl/>
        </w:rPr>
        <w:t>)</w:t>
      </w:r>
      <w:r>
        <w:rPr>
          <w:spacing w:val="8"/>
          <w:rtl/>
        </w:rPr>
        <w:t xml:space="preserve"> </w:t>
      </w:r>
      <w:r>
        <w:rPr>
          <w:rFonts w:hint="eastAsia"/>
          <w:spacing w:val="8"/>
          <w:rtl/>
        </w:rPr>
        <w:t>لا</w:t>
      </w:r>
      <w:r>
        <w:rPr>
          <w:spacing w:val="8"/>
          <w:rtl/>
        </w:rPr>
        <w:t xml:space="preserve"> يكون للبائع مع أنه في ضمانه؛ لع</w:t>
      </w:r>
      <w:r>
        <w:rPr>
          <w:rFonts w:hint="cs"/>
          <w:spacing w:val="8"/>
          <w:rtl/>
        </w:rPr>
        <w:t>ـ</w:t>
      </w:r>
      <w:r>
        <w:rPr>
          <w:spacing w:val="8"/>
          <w:rtl/>
        </w:rPr>
        <w:t>دم ال</w:t>
      </w:r>
      <w:r>
        <w:rPr>
          <w:rFonts w:hint="cs"/>
          <w:spacing w:val="8"/>
          <w:rtl/>
        </w:rPr>
        <w:t>ـ</w:t>
      </w:r>
      <w:r>
        <w:rPr>
          <w:spacing w:val="8"/>
          <w:rtl/>
        </w:rPr>
        <w:t xml:space="preserve">ملك، فإن المبيع في يده كالرهن إن لم يقبض </w:t>
      </w:r>
      <w:r>
        <w:rPr>
          <w:rFonts w:hint="eastAsia"/>
          <w:spacing w:val="8"/>
          <w:rtl/>
        </w:rPr>
        <w:t>الثمن،</w:t>
      </w:r>
      <w:r>
        <w:rPr>
          <w:spacing w:val="8"/>
          <w:rtl/>
        </w:rPr>
        <w:t xml:space="preserve"> أو </w:t>
      </w:r>
      <w:r>
        <w:rPr>
          <w:rFonts w:hint="cs"/>
          <w:spacing w:val="8"/>
          <w:rtl/>
        </w:rPr>
        <w:t>كا</w:t>
      </w:r>
      <w:r>
        <w:rPr>
          <w:spacing w:val="8"/>
          <w:rtl/>
        </w:rPr>
        <w:t>لوديعة إن قبضه</w:t>
      </w:r>
      <w:r>
        <w:rPr>
          <w:rStyle w:val="a7"/>
          <w:spacing w:val="8"/>
          <w:rtl/>
        </w:rPr>
        <w:footnoteReference w:id="2771"/>
      </w:r>
      <w:r>
        <w:rPr>
          <w:spacing w:val="8"/>
          <w:rtl/>
        </w:rPr>
        <w:t>.</w:t>
      </w:r>
    </w:p>
    <w:p w:rsidR="00C10469" w:rsidRDefault="00C10469">
      <w:pPr>
        <w:rPr>
          <w:rtl/>
        </w:rPr>
      </w:pPr>
      <w:r>
        <w:rPr>
          <w:rFonts w:hint="eastAsia"/>
          <w:rtl/>
        </w:rPr>
        <w:t>وخراج</w:t>
      </w:r>
      <w:r>
        <w:rPr>
          <w:rtl/>
        </w:rPr>
        <w:t xml:space="preserve"> الرّهن والوديعة لمالكهما.</w:t>
      </w:r>
    </w:p>
    <w:p w:rsidR="00C10469" w:rsidRDefault="00C10469">
      <w:pPr>
        <w:rPr>
          <w:spacing w:val="6"/>
          <w:rtl/>
        </w:rPr>
      </w:pPr>
      <w:r>
        <w:rPr>
          <w:rFonts w:hint="eastAsia"/>
          <w:spacing w:val="6"/>
          <w:rtl/>
        </w:rPr>
        <w:t>وكذا</w:t>
      </w:r>
      <w:r>
        <w:rPr>
          <w:spacing w:val="6"/>
          <w:rtl/>
        </w:rPr>
        <w:t xml:space="preserve"> خراج المغصوب </w:t>
      </w:r>
      <w:r>
        <w:rPr>
          <w:rFonts w:hint="eastAsia"/>
          <w:spacing w:val="6"/>
          <w:rtl/>
        </w:rPr>
        <w:t>لا</w:t>
      </w:r>
      <w:r>
        <w:rPr>
          <w:spacing w:val="6"/>
          <w:rtl/>
        </w:rPr>
        <w:t xml:space="preserve"> يطيب للغاصب مع أنه في ضمانه؛ لأنه لا يملك المغصوب</w:t>
      </w:r>
      <w:r>
        <w:rPr>
          <w:rStyle w:val="a7"/>
          <w:spacing w:val="6"/>
          <w:rtl/>
        </w:rPr>
        <w:footnoteReference w:id="2772"/>
      </w:r>
      <w:r>
        <w:rPr>
          <w:spacing w:val="6"/>
          <w:rtl/>
        </w:rPr>
        <w:t xml:space="preserve"> </w:t>
      </w:r>
      <w:r>
        <w:rPr>
          <w:rFonts w:hint="eastAsia"/>
          <w:spacing w:val="6"/>
          <w:rtl/>
        </w:rPr>
        <w:t>قبل</w:t>
      </w:r>
      <w:r>
        <w:rPr>
          <w:spacing w:val="6"/>
          <w:rtl/>
        </w:rPr>
        <w:t xml:space="preserve"> الضمان، ويتصدق به لاستفادته</w:t>
      </w:r>
      <w:r>
        <w:rPr>
          <w:rStyle w:val="a7"/>
          <w:spacing w:val="6"/>
          <w:rtl/>
        </w:rPr>
        <w:footnoteReference w:id="2773"/>
      </w:r>
      <w:r>
        <w:rPr>
          <w:spacing w:val="6"/>
          <w:rtl/>
        </w:rPr>
        <w:t xml:space="preserve"> </w:t>
      </w:r>
      <w:r>
        <w:rPr>
          <w:rFonts w:hint="eastAsia"/>
          <w:spacing w:val="6"/>
          <w:rtl/>
        </w:rPr>
        <w:t>ببدل</w:t>
      </w:r>
      <w:r>
        <w:rPr>
          <w:rStyle w:val="a7"/>
          <w:spacing w:val="6"/>
          <w:rtl/>
        </w:rPr>
        <w:footnoteReference w:id="2774"/>
      </w:r>
      <w:r>
        <w:rPr>
          <w:spacing w:val="6"/>
          <w:rtl/>
        </w:rPr>
        <w:t xml:space="preserve"> </w:t>
      </w:r>
      <w:r>
        <w:rPr>
          <w:rFonts w:hint="eastAsia"/>
          <w:spacing w:val="6"/>
          <w:rtl/>
        </w:rPr>
        <w:t>خبيث،</w:t>
      </w:r>
      <w:r>
        <w:rPr>
          <w:spacing w:val="6"/>
          <w:rtl/>
        </w:rPr>
        <w:t xml:space="preserve"> وهو التصرف في مال الغير، بخلاف المشتري؛ لأن المبي</w:t>
      </w:r>
      <w:r>
        <w:rPr>
          <w:rFonts w:hint="cs"/>
          <w:spacing w:val="6"/>
          <w:rtl/>
        </w:rPr>
        <w:t>ـ</w:t>
      </w:r>
      <w:r>
        <w:rPr>
          <w:spacing w:val="6"/>
          <w:rtl/>
        </w:rPr>
        <w:t xml:space="preserve">ع </w:t>
      </w:r>
      <w:r>
        <w:rPr>
          <w:rFonts w:hint="eastAsia"/>
          <w:spacing w:val="6"/>
          <w:rtl/>
        </w:rPr>
        <w:t>صار</w:t>
      </w:r>
      <w:r>
        <w:rPr>
          <w:spacing w:val="6"/>
          <w:rtl/>
        </w:rPr>
        <w:t xml:space="preserve"> ملكه بالعقد</w:t>
      </w:r>
      <w:r>
        <w:rPr>
          <w:spacing w:val="6"/>
          <w:vertAlign w:val="superscript"/>
          <w:rtl/>
        </w:rPr>
        <w:t>(</w:t>
      </w:r>
      <w:r>
        <w:rPr>
          <w:rStyle w:val="a7"/>
          <w:spacing w:val="6"/>
          <w:rtl/>
        </w:rPr>
        <w:footnoteReference w:id="2775"/>
      </w:r>
      <w:r>
        <w:rPr>
          <w:spacing w:val="6"/>
          <w:vertAlign w:val="superscript"/>
          <w:rtl/>
        </w:rPr>
        <w:t>)</w:t>
      </w:r>
      <w:r>
        <w:rPr>
          <w:spacing w:val="6"/>
          <w:rtl/>
        </w:rPr>
        <w:t xml:space="preserve"> - كما مرّ تفصيله في باب الألف</w:t>
      </w:r>
      <w:r>
        <w:rPr>
          <w:spacing w:val="6"/>
          <w:vertAlign w:val="superscript"/>
          <w:rtl/>
        </w:rPr>
        <w:t>(</w:t>
      </w:r>
      <w:r>
        <w:rPr>
          <w:rStyle w:val="a7"/>
          <w:spacing w:val="6"/>
          <w:rtl/>
        </w:rPr>
        <w:footnoteReference w:id="2776"/>
      </w:r>
      <w:r>
        <w:rPr>
          <w:spacing w:val="6"/>
          <w:vertAlign w:val="superscript"/>
          <w:rtl/>
        </w:rPr>
        <w:t>)</w:t>
      </w:r>
      <w:r>
        <w:rPr>
          <w:spacing w:val="6"/>
          <w:rtl/>
        </w:rPr>
        <w:t>-.</w:t>
      </w:r>
    </w:p>
    <w:p w:rsidR="00C10469" w:rsidRDefault="00C10469">
      <w:pPr>
        <w:rPr>
          <w:rtl/>
        </w:rPr>
        <w:sectPr w:rsidR="00C10469" w:rsidSect="00C10469">
          <w:headerReference w:type="default" r:id="rId17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73038" w:rsidRDefault="00C10469">
      <w:pPr>
        <w:pStyle w:val="a9"/>
        <w:rPr>
          <w:rFonts w:cs="AL-Mateen"/>
          <w:rtl/>
          <w:lang w:val="en-US"/>
        </w:rPr>
      </w:pPr>
      <w:r w:rsidRPr="00873038">
        <w:rPr>
          <w:rFonts w:cs="AL-Mateen" w:hint="cs"/>
          <w:rtl/>
          <w:lang w:val="en-US"/>
        </w:rPr>
        <w:lastRenderedPageBreak/>
        <w:t>[الـقـاعـدة الـحـاديـة والـعـشـرون بـعـد الـمـائـة ]</w:t>
      </w:r>
    </w:p>
    <w:p w:rsidR="00C10469" w:rsidRDefault="00C10469">
      <w:pPr>
        <w:rPr>
          <w:rtl/>
        </w:rPr>
      </w:pPr>
      <w:r>
        <w:rPr>
          <w:rFonts w:cs="Monotype Koufi" w:hint="cs"/>
          <w:rtl/>
        </w:rPr>
        <w:t>الدَّاخلُ تَحْتَ العَقْدِ عملٌ سليمٌ، والمُفْسَدُ غيرُ داخلٍ</w:t>
      </w:r>
      <w:r>
        <w:rPr>
          <w:rFonts w:hint="cs"/>
          <w:vertAlign w:val="superscript"/>
          <w:rtl/>
        </w:rPr>
        <w:t>(</w:t>
      </w:r>
      <w:r>
        <w:rPr>
          <w:rStyle w:val="a7"/>
          <w:rtl/>
        </w:rPr>
        <w:footnoteReference w:id="2777"/>
      </w:r>
      <w:r>
        <w:rPr>
          <w:rFonts w:hint="cs"/>
          <w:vertAlign w:val="superscript"/>
          <w:rtl/>
        </w:rPr>
        <w:t>)</w:t>
      </w:r>
      <w:r>
        <w:rPr>
          <w:rFonts w:hint="cs"/>
          <w:rtl/>
        </w:rPr>
        <w:t xml:space="preserve"> :</w:t>
      </w:r>
    </w:p>
    <w:p w:rsidR="00C10469" w:rsidRDefault="00C10469">
      <w:pPr>
        <w:rPr>
          <w:rtl/>
        </w:rPr>
      </w:pPr>
      <w:r>
        <w:rPr>
          <w:rFonts w:hint="cs"/>
          <w:b/>
          <w:bCs/>
          <w:rtl/>
        </w:rPr>
        <w:t>ولهذا</w:t>
      </w:r>
      <w:r>
        <w:rPr>
          <w:rFonts w:hint="cs"/>
          <w:rtl/>
        </w:rPr>
        <w:t xml:space="preserve"> : لو استأجر حمّالاً لنقل الدن</w:t>
      </w:r>
      <w:r>
        <w:rPr>
          <w:rFonts w:hint="cs"/>
          <w:vertAlign w:val="superscript"/>
          <w:rtl/>
        </w:rPr>
        <w:t>(</w:t>
      </w:r>
      <w:r>
        <w:rPr>
          <w:rStyle w:val="a7"/>
          <w:rtl/>
        </w:rPr>
        <w:footnoteReference w:id="2778"/>
      </w:r>
      <w:r>
        <w:rPr>
          <w:rFonts w:hint="cs"/>
          <w:vertAlign w:val="superscript"/>
          <w:rtl/>
        </w:rPr>
        <w:t>)</w:t>
      </w:r>
      <w:r>
        <w:rPr>
          <w:rFonts w:hint="cs"/>
          <w:rtl/>
        </w:rPr>
        <w:t xml:space="preserve"> من مكان</w:t>
      </w:r>
      <w:r>
        <w:rPr>
          <w:rStyle w:val="a7"/>
          <w:rtl/>
        </w:rPr>
        <w:footnoteReference w:id="2779"/>
      </w:r>
      <w:r>
        <w:rPr>
          <w:rFonts w:hint="cs"/>
          <w:rtl/>
        </w:rPr>
        <w:t xml:space="preserve"> إلى مكان، فانكسر الدن في الطريق : ضَمِنَ الحمّالُ</w:t>
      </w:r>
      <w:r>
        <w:rPr>
          <w:rStyle w:val="a7"/>
          <w:rtl/>
        </w:rPr>
        <w:footnoteReference w:id="2780"/>
      </w:r>
      <w:r>
        <w:rPr>
          <w:rFonts w:hint="cs"/>
          <w:rtl/>
        </w:rPr>
        <w:t xml:space="preserve"> قيمَتَهُ؛ لأن المعقود عمل سليم، ولم يوجد، والعمل المفسَد </w:t>
      </w:r>
      <w:r>
        <w:rPr>
          <w:rFonts w:hint="cs"/>
          <w:rtl/>
        </w:rPr>
        <w:lastRenderedPageBreak/>
        <w:t>لا يدخل تحت العقد، فلم يبق أجيرًا. ومالكه مخير إن شاء ضمَّن قيمَتَهُ في مكان حمله بلا أجر، وإن شاء ضمَّن قيمته في مكان</w:t>
      </w:r>
      <w:r>
        <w:rPr>
          <w:rStyle w:val="a7"/>
          <w:rtl/>
        </w:rPr>
        <w:footnoteReference w:id="2781"/>
      </w:r>
      <w:r>
        <w:rPr>
          <w:rFonts w:hint="cs"/>
          <w:rtl/>
        </w:rPr>
        <w:t xml:space="preserve"> كسره بحصة أجره</w:t>
      </w:r>
      <w:r>
        <w:rPr>
          <w:rFonts w:hint="cs"/>
          <w:vertAlign w:val="superscript"/>
          <w:rtl/>
        </w:rPr>
        <w:t>(</w:t>
      </w:r>
      <w:r>
        <w:rPr>
          <w:rStyle w:val="a7"/>
          <w:rtl/>
        </w:rPr>
        <w:footnoteReference w:id="2782"/>
      </w:r>
      <w:r>
        <w:rPr>
          <w:rFonts w:hint="cs"/>
          <w:vertAlign w:val="superscript"/>
          <w:rtl/>
        </w:rPr>
        <w:t>)</w:t>
      </w:r>
      <w:r>
        <w:rPr>
          <w:rFonts w:hint="cs"/>
          <w:rtl/>
        </w:rPr>
        <w:t>؛ لأن فيه وجهين :</w:t>
      </w:r>
    </w:p>
    <w:p w:rsidR="00C10469" w:rsidRDefault="00C10469">
      <w:pPr>
        <w:rPr>
          <w:rtl/>
        </w:rPr>
      </w:pPr>
      <w:r>
        <w:rPr>
          <w:rFonts w:hint="cs"/>
          <w:b/>
          <w:bCs/>
          <w:rtl/>
        </w:rPr>
        <w:t xml:space="preserve">أحدهما </w:t>
      </w:r>
      <w:r>
        <w:rPr>
          <w:rFonts w:hint="cs"/>
          <w:rtl/>
        </w:rPr>
        <w:t>: أن الحمل شيء واحد، فكان متعديًا من الابتداء، فضمّنه بلا أجر.</w:t>
      </w:r>
    </w:p>
    <w:p w:rsidR="00C10469" w:rsidRDefault="00C10469">
      <w:pPr>
        <w:rPr>
          <w:spacing w:val="4"/>
          <w:rtl/>
        </w:rPr>
      </w:pPr>
      <w:r>
        <w:rPr>
          <w:rFonts w:hint="cs"/>
          <w:b/>
          <w:bCs/>
          <w:spacing w:val="4"/>
          <w:rtl/>
        </w:rPr>
        <w:t>والثاني</w:t>
      </w:r>
      <w:r>
        <w:rPr>
          <w:rFonts w:hint="cs"/>
          <w:spacing w:val="4"/>
          <w:rtl/>
        </w:rPr>
        <w:t xml:space="preserve"> : أن ابتداء الحمل حصل بأمره، فلم يكن متعديًا، وإنما صار تعديًا عند الكسر، فضمن</w:t>
      </w:r>
      <w:r>
        <w:rPr>
          <w:rStyle w:val="a7"/>
          <w:spacing w:val="4"/>
          <w:rtl/>
        </w:rPr>
        <w:footnoteReference w:id="2783"/>
      </w:r>
      <w:r>
        <w:rPr>
          <w:rFonts w:hint="cs"/>
          <w:spacing w:val="4"/>
          <w:rtl/>
        </w:rPr>
        <w:t xml:space="preserve"> قيمته عند الكسر، وأعطاه أجرته بحصته، فيختار المالك ويميل في أي وجه شاء</w:t>
      </w:r>
      <w:r>
        <w:rPr>
          <w:rFonts w:hint="cs"/>
          <w:spacing w:val="4"/>
          <w:vertAlign w:val="superscript"/>
          <w:rtl/>
        </w:rPr>
        <w:t>(</w:t>
      </w:r>
      <w:r>
        <w:rPr>
          <w:rStyle w:val="a7"/>
          <w:spacing w:val="4"/>
          <w:rtl/>
        </w:rPr>
        <w:footnoteReference w:id="2784"/>
      </w:r>
      <w:r>
        <w:rPr>
          <w:rFonts w:hint="cs"/>
          <w:spacing w:val="4"/>
          <w:vertAlign w:val="superscript"/>
          <w:rtl/>
        </w:rPr>
        <w:t>)</w:t>
      </w:r>
      <w:r>
        <w:rPr>
          <w:rFonts w:hint="cs"/>
          <w:spacing w:val="4"/>
          <w:rtl/>
        </w:rPr>
        <w:t>.</w:t>
      </w:r>
    </w:p>
    <w:p w:rsidR="00C10469" w:rsidRDefault="00C10469">
      <w:pPr>
        <w:rPr>
          <w:spacing w:val="4"/>
          <w:rtl/>
        </w:rPr>
      </w:pPr>
    </w:p>
    <w:p w:rsidR="00C10469" w:rsidRDefault="00C10469">
      <w:pPr>
        <w:rPr>
          <w:spacing w:val="4"/>
          <w:rtl/>
        </w:rPr>
      </w:pPr>
    </w:p>
    <w:p w:rsidR="00C10469" w:rsidRPr="00CB22E9" w:rsidRDefault="00C10469">
      <w:pPr>
        <w:jc w:val="center"/>
        <w:rPr>
          <w:spacing w:val="4"/>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4"/>
          <w:rtl/>
        </w:rPr>
        <w:sectPr w:rsidR="00C10469" w:rsidSect="00C10469">
          <w:headerReference w:type="default" r:id="rId17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854AA" w:rsidRDefault="00C10469">
      <w:pPr>
        <w:pStyle w:val="a9"/>
        <w:rPr>
          <w:rFonts w:cs="AL-Mateen"/>
          <w:rtl/>
          <w:lang w:val="en-US"/>
        </w:rPr>
      </w:pPr>
      <w:r w:rsidRPr="009854AA">
        <w:rPr>
          <w:rFonts w:cs="AL-Mateen" w:hint="cs"/>
          <w:rtl/>
          <w:lang w:val="en-US"/>
        </w:rPr>
        <w:lastRenderedPageBreak/>
        <w:t>[ الـقـاعـدة الـثانـيـة والعـشـرون بـعـد الـمـائـة ]</w:t>
      </w:r>
    </w:p>
    <w:p w:rsidR="00C10469" w:rsidRDefault="00C10469">
      <w:pPr>
        <w:rPr>
          <w:rtl/>
        </w:rPr>
      </w:pPr>
      <w:r>
        <w:rPr>
          <w:rFonts w:cs="Monotype Koufi" w:hint="cs"/>
          <w:rtl/>
        </w:rPr>
        <w:t>دَرْءُ المفاسِدِ</w:t>
      </w:r>
      <w:r>
        <w:rPr>
          <w:rStyle w:val="a7"/>
          <w:rtl/>
        </w:rPr>
        <w:footnoteReference w:id="2785"/>
      </w:r>
      <w:r>
        <w:rPr>
          <w:rFonts w:cs="Monotype Koufi" w:hint="cs"/>
          <w:rtl/>
        </w:rPr>
        <w:t xml:space="preserve"> أولَى مِنْ جَلْبِ المَصَالِحِ</w:t>
      </w:r>
      <w:r>
        <w:rPr>
          <w:rFonts w:hint="cs"/>
          <w:vertAlign w:val="superscript"/>
          <w:rtl/>
        </w:rPr>
        <w:t>(</w:t>
      </w:r>
      <w:r>
        <w:rPr>
          <w:rStyle w:val="a7"/>
          <w:rtl/>
        </w:rPr>
        <w:footnoteReference w:id="2786"/>
      </w:r>
      <w:r>
        <w:rPr>
          <w:rFonts w:hint="cs"/>
          <w:vertAlign w:val="superscript"/>
          <w:rtl/>
        </w:rPr>
        <w:t>)</w:t>
      </w:r>
      <w:r>
        <w:rPr>
          <w:rFonts w:hint="cs"/>
          <w:rtl/>
        </w:rPr>
        <w:t xml:space="preserve"> :</w:t>
      </w:r>
    </w:p>
    <w:p w:rsidR="00C10469" w:rsidRDefault="00C10469">
      <w:pPr>
        <w:rPr>
          <w:rtl/>
        </w:rPr>
      </w:pPr>
      <w:r>
        <w:rPr>
          <w:rFonts w:hint="cs"/>
          <w:rtl/>
        </w:rPr>
        <w:lastRenderedPageBreak/>
        <w:t>فإذا تعارض</w:t>
      </w:r>
      <w:r>
        <w:rPr>
          <w:rFonts w:hint="cs"/>
          <w:vertAlign w:val="superscript"/>
          <w:rtl/>
        </w:rPr>
        <w:t>(</w:t>
      </w:r>
      <w:r>
        <w:rPr>
          <w:rStyle w:val="a7"/>
          <w:rtl/>
        </w:rPr>
        <w:footnoteReference w:id="2787"/>
      </w:r>
      <w:r>
        <w:rPr>
          <w:rFonts w:hint="cs"/>
          <w:vertAlign w:val="superscript"/>
          <w:rtl/>
        </w:rPr>
        <w:t>)</w:t>
      </w:r>
      <w:r>
        <w:rPr>
          <w:rFonts w:hint="cs"/>
          <w:rtl/>
        </w:rPr>
        <w:t xml:space="preserve"> مفسدة ومصلحة : قدم دفع المفسدة غالبًا؛ لأن اعتناء الشرع بالمنهيات أشد من اعتنائه</w:t>
      </w:r>
      <w:r>
        <w:rPr>
          <w:rStyle w:val="a7"/>
          <w:rtl/>
        </w:rPr>
        <w:footnoteReference w:id="2788"/>
      </w:r>
      <w:r>
        <w:rPr>
          <w:rFonts w:hint="cs"/>
          <w:rtl/>
        </w:rPr>
        <w:t xml:space="preserve"> بالمأمورات.</w:t>
      </w:r>
    </w:p>
    <w:p w:rsidR="00C10469" w:rsidRDefault="00C10469">
      <w:pPr>
        <w:rPr>
          <w:spacing w:val="8"/>
          <w:rtl/>
        </w:rPr>
      </w:pPr>
      <w:r>
        <w:rPr>
          <w:rFonts w:hint="cs"/>
          <w:spacing w:val="8"/>
          <w:rtl/>
        </w:rPr>
        <w:t>وروى في (الكـشـف)</w:t>
      </w:r>
      <w:r>
        <w:rPr>
          <w:rFonts w:hint="cs"/>
          <w:spacing w:val="8"/>
          <w:vertAlign w:val="superscript"/>
          <w:rtl/>
        </w:rPr>
        <w:t>(</w:t>
      </w:r>
      <w:r>
        <w:rPr>
          <w:rStyle w:val="a7"/>
          <w:spacing w:val="8"/>
          <w:rtl/>
        </w:rPr>
        <w:footnoteReference w:id="2789"/>
      </w:r>
      <w:r>
        <w:rPr>
          <w:rFonts w:hint="cs"/>
          <w:spacing w:val="8"/>
          <w:vertAlign w:val="superscript"/>
          <w:rtl/>
        </w:rPr>
        <w:t>)</w:t>
      </w:r>
      <w:r>
        <w:rPr>
          <w:rFonts w:hint="cs"/>
          <w:spacing w:val="8"/>
          <w:rtl/>
        </w:rPr>
        <w:t xml:space="preserve"> حديثًا : </w:t>
      </w:r>
      <w:r>
        <w:rPr>
          <w:rFonts w:hint="eastAsia"/>
          <w:spacing w:val="8"/>
          <w:rtl/>
        </w:rPr>
        <w:t>«</w:t>
      </w:r>
      <w:r>
        <w:rPr>
          <w:rFonts w:cs="DecoType Naskh Special" w:hint="cs"/>
          <w:spacing w:val="8"/>
          <w:sz w:val="36"/>
          <w:rtl/>
        </w:rPr>
        <w:t>لتـرْكُ</w:t>
      </w:r>
      <w:r>
        <w:rPr>
          <w:rStyle w:val="a7"/>
          <w:spacing w:val="8"/>
          <w:rtl/>
        </w:rPr>
        <w:footnoteReference w:id="2790"/>
      </w:r>
      <w:r>
        <w:rPr>
          <w:rFonts w:hint="cs"/>
          <w:spacing w:val="8"/>
          <w:rtl/>
        </w:rPr>
        <w:t xml:space="preserve"> </w:t>
      </w:r>
      <w:r>
        <w:rPr>
          <w:rFonts w:cs="DecoType Naskh Special" w:hint="cs"/>
          <w:spacing w:val="8"/>
          <w:sz w:val="36"/>
          <w:rtl/>
        </w:rPr>
        <w:t xml:space="preserve">ذرَّةٍ ممَّا نَهَى الله عنه أفضلُ مِنْ </w:t>
      </w:r>
      <w:r>
        <w:rPr>
          <w:rFonts w:cs="DecoType Naskh Special" w:hint="cs"/>
          <w:spacing w:val="8"/>
          <w:sz w:val="36"/>
          <w:rtl/>
        </w:rPr>
        <w:lastRenderedPageBreak/>
        <w:t>عبادةِ الثَّقلينِ</w:t>
      </w:r>
      <w:r>
        <w:rPr>
          <w:rFonts w:hint="eastAsia"/>
          <w:spacing w:val="8"/>
          <w:rtl/>
        </w:rPr>
        <w:t>»</w:t>
      </w:r>
      <w:r>
        <w:rPr>
          <w:rFonts w:hint="cs"/>
          <w:spacing w:val="8"/>
          <w:vertAlign w:val="superscript"/>
          <w:rtl/>
        </w:rPr>
        <w:t>(</w:t>
      </w:r>
      <w:r>
        <w:rPr>
          <w:rStyle w:val="a7"/>
          <w:spacing w:val="8"/>
          <w:rtl/>
        </w:rPr>
        <w:footnoteReference w:id="2791"/>
      </w:r>
      <w:r>
        <w:rPr>
          <w:rFonts w:hint="cs"/>
          <w:spacing w:val="8"/>
          <w:vertAlign w:val="superscript"/>
          <w:rtl/>
        </w:rPr>
        <w:t>)</w:t>
      </w:r>
      <w:r>
        <w:rPr>
          <w:rFonts w:hint="cs"/>
          <w:spacing w:val="8"/>
          <w:rtl/>
        </w:rPr>
        <w:t>.</w:t>
      </w:r>
    </w:p>
    <w:p w:rsidR="00C10469" w:rsidRDefault="00C10469">
      <w:pPr>
        <w:rPr>
          <w:rtl/>
        </w:rPr>
      </w:pPr>
      <w:r>
        <w:rPr>
          <w:rFonts w:hint="cs"/>
          <w:rtl/>
        </w:rPr>
        <w:t>ومن ثمَّ جاز ترك الواجب دفعًا للمشقة، ولم يُسامَحْ في الإقدام على المنهيات، خصوصًا الكبائر</w:t>
      </w:r>
      <w:r>
        <w:rPr>
          <w:rStyle w:val="a7"/>
          <w:rtl/>
        </w:rPr>
        <w:footnoteReference w:id="2792"/>
      </w:r>
      <w:r>
        <w:rPr>
          <w:rFonts w:hint="cs"/>
          <w:rtl/>
        </w:rPr>
        <w:t>.</w:t>
      </w:r>
    </w:p>
    <w:p w:rsidR="00C10469" w:rsidRDefault="00C10469" w:rsidP="00C10469">
      <w:pPr>
        <w:ind w:left="989" w:hanging="422"/>
        <w:rPr>
          <w:rtl/>
        </w:rPr>
      </w:pPr>
      <w:r>
        <w:rPr>
          <w:rtl/>
        </w:rPr>
        <w:t>•</w:t>
      </w:r>
      <w:r>
        <w:rPr>
          <w:rFonts w:hint="cs"/>
          <w:rtl/>
        </w:rPr>
        <w:t xml:space="preserve">  ومن ذلك : ما ذكره البزازي</w:t>
      </w:r>
      <w:r>
        <w:rPr>
          <w:rFonts w:hint="cs"/>
          <w:vertAlign w:val="superscript"/>
          <w:rtl/>
        </w:rPr>
        <w:t>(</w:t>
      </w:r>
      <w:r>
        <w:rPr>
          <w:rStyle w:val="a7"/>
          <w:rtl/>
        </w:rPr>
        <w:footnoteReference w:id="2793"/>
      </w:r>
      <w:r>
        <w:rPr>
          <w:rFonts w:hint="cs"/>
          <w:vertAlign w:val="superscript"/>
          <w:rtl/>
        </w:rPr>
        <w:t>)</w:t>
      </w:r>
      <w:r>
        <w:rPr>
          <w:rFonts w:hint="cs"/>
          <w:rtl/>
        </w:rPr>
        <w:t xml:space="preserve"> في فتاواه</w:t>
      </w:r>
      <w:r>
        <w:rPr>
          <w:rStyle w:val="a7"/>
          <w:rtl/>
        </w:rPr>
        <w:footnoteReference w:id="2794"/>
      </w:r>
      <w:r>
        <w:rPr>
          <w:rFonts w:hint="cs"/>
          <w:rtl/>
        </w:rPr>
        <w:t xml:space="preserve"> : </w:t>
      </w:r>
      <w:r>
        <w:rPr>
          <w:rFonts w:hint="eastAsia"/>
          <w:rtl/>
        </w:rPr>
        <w:t>«</w:t>
      </w:r>
      <w:r>
        <w:rPr>
          <w:rFonts w:hint="cs"/>
          <w:rtl/>
        </w:rPr>
        <w:t>وهو : لم يجد سُتْرة</w:t>
      </w:r>
      <w:r>
        <w:rPr>
          <w:rStyle w:val="a7"/>
          <w:rtl/>
        </w:rPr>
        <w:footnoteReference w:id="2795"/>
      </w:r>
      <w:r>
        <w:rPr>
          <w:rFonts w:hint="cs"/>
          <w:rtl/>
        </w:rPr>
        <w:t xml:space="preserve"> : تَرَكَ الاستنجاءَ ولو على شطّ النّهر؛ لأن النهي</w:t>
      </w:r>
      <w:r>
        <w:rPr>
          <w:rStyle w:val="a7"/>
          <w:rtl/>
        </w:rPr>
        <w:footnoteReference w:id="2796"/>
      </w:r>
      <w:r>
        <w:rPr>
          <w:rFonts w:hint="cs"/>
          <w:rtl/>
        </w:rPr>
        <w:t xml:space="preserve"> راجح على الأمر، حتى </w:t>
      </w:r>
      <w:r>
        <w:rPr>
          <w:rFonts w:hint="cs"/>
          <w:rtl/>
        </w:rPr>
        <w:lastRenderedPageBreak/>
        <w:t>استوعب النّهيُ الأزمانَ، ولم يقتضِ</w:t>
      </w:r>
      <w:r>
        <w:rPr>
          <w:rStyle w:val="a7"/>
          <w:rtl/>
        </w:rPr>
        <w:footnoteReference w:id="2797"/>
      </w:r>
      <w:r>
        <w:rPr>
          <w:rFonts w:hint="cs"/>
          <w:rtl/>
        </w:rPr>
        <w:t xml:space="preserve"> الأمر التكرار</w:t>
      </w:r>
      <w:r>
        <w:rPr>
          <w:rFonts w:hint="eastAsia"/>
          <w:rtl/>
        </w:rPr>
        <w:t>»</w:t>
      </w:r>
      <w:r>
        <w:rPr>
          <w:rFonts w:hint="cs"/>
          <w:vertAlign w:val="superscript"/>
          <w:rtl/>
        </w:rPr>
        <w:t>(</w:t>
      </w:r>
      <w:r>
        <w:rPr>
          <w:rStyle w:val="a7"/>
          <w:rtl/>
        </w:rPr>
        <w:footnoteReference w:id="2798"/>
      </w:r>
      <w:r>
        <w:rPr>
          <w:rFonts w:hint="cs"/>
          <w:vertAlign w:val="superscript"/>
          <w:rtl/>
        </w:rPr>
        <w:t>)</w:t>
      </w:r>
      <w:r>
        <w:rPr>
          <w:rFonts w:hint="cs"/>
          <w:rtl/>
        </w:rPr>
        <w:t>.</w:t>
      </w:r>
      <w:r>
        <w:rPr>
          <w:rFonts w:hint="cs"/>
          <w:vertAlign w:val="superscript"/>
          <w:rtl/>
        </w:rPr>
        <w:t xml:space="preserve"> </w:t>
      </w:r>
    </w:p>
    <w:p w:rsidR="00C10469" w:rsidRDefault="00C10469" w:rsidP="00C10469">
      <w:pPr>
        <w:ind w:left="989" w:hanging="422"/>
        <w:rPr>
          <w:rtl/>
        </w:rPr>
      </w:pPr>
      <w:r>
        <w:rPr>
          <w:rtl/>
        </w:rPr>
        <w:t>•</w:t>
      </w:r>
      <w:r>
        <w:rPr>
          <w:rFonts w:hint="cs"/>
          <w:rtl/>
        </w:rPr>
        <w:t xml:space="preserve">  ومن ذلك : المبالغة في المضمضة والاستنشاق</w:t>
      </w:r>
      <w:r>
        <w:rPr>
          <w:rStyle w:val="a7"/>
          <w:rtl/>
        </w:rPr>
        <w:footnoteReference w:id="2799"/>
      </w:r>
      <w:r>
        <w:rPr>
          <w:rFonts w:hint="cs"/>
          <w:rtl/>
        </w:rPr>
        <w:t xml:space="preserve"> مسنونة، وتكره</w:t>
      </w:r>
      <w:r>
        <w:rPr>
          <w:rStyle w:val="a7"/>
          <w:rtl/>
        </w:rPr>
        <w:footnoteReference w:id="2800"/>
      </w:r>
      <w:r>
        <w:rPr>
          <w:rFonts w:hint="cs"/>
          <w:rtl/>
        </w:rPr>
        <w:t xml:space="preserve"> للصائم.</w:t>
      </w:r>
    </w:p>
    <w:p w:rsidR="00C10469" w:rsidRDefault="00C10469" w:rsidP="00C10469">
      <w:pPr>
        <w:ind w:left="989" w:hanging="422"/>
        <w:rPr>
          <w:rtl/>
        </w:rPr>
      </w:pPr>
      <w:r>
        <w:rPr>
          <w:rtl/>
        </w:rPr>
        <w:t>•</w:t>
      </w:r>
      <w:r>
        <w:rPr>
          <w:rFonts w:hint="cs"/>
          <w:rtl/>
        </w:rPr>
        <w:t xml:space="preserve">  و[تخليل]</w:t>
      </w:r>
      <w:r>
        <w:rPr>
          <w:rStyle w:val="a7"/>
          <w:rtl/>
        </w:rPr>
        <w:footnoteReference w:id="2801"/>
      </w:r>
      <w:r>
        <w:rPr>
          <w:rFonts w:hint="cs"/>
          <w:rtl/>
        </w:rPr>
        <w:t xml:space="preserve"> اللحية سنّة في الوضوء، ويكره للمُحرِم.</w:t>
      </w:r>
    </w:p>
    <w:p w:rsidR="00C10469" w:rsidRDefault="00C10469" w:rsidP="00C10469">
      <w:pPr>
        <w:spacing w:line="228" w:lineRule="auto"/>
        <w:rPr>
          <w:spacing w:val="-6"/>
          <w:rtl/>
        </w:rPr>
      </w:pPr>
      <w:r>
        <w:rPr>
          <w:rFonts w:hint="cs"/>
          <w:spacing w:val="-6"/>
          <w:rtl/>
        </w:rPr>
        <w:t>وإنما قلنا : قُدِّم دفعُ المفسدة غالباً</w:t>
      </w:r>
      <w:r>
        <w:rPr>
          <w:rFonts w:hint="cs"/>
          <w:spacing w:val="-6"/>
          <w:vertAlign w:val="superscript"/>
          <w:rtl/>
        </w:rPr>
        <w:t>(</w:t>
      </w:r>
      <w:r>
        <w:rPr>
          <w:rStyle w:val="a7"/>
          <w:spacing w:val="-6"/>
          <w:rtl/>
        </w:rPr>
        <w:footnoteReference w:id="2802"/>
      </w:r>
      <w:r>
        <w:rPr>
          <w:rFonts w:hint="cs"/>
          <w:spacing w:val="-6"/>
          <w:vertAlign w:val="superscript"/>
          <w:rtl/>
        </w:rPr>
        <w:t>)</w:t>
      </w:r>
      <w:r>
        <w:rPr>
          <w:rFonts w:hint="cs"/>
          <w:spacing w:val="-6"/>
          <w:rtl/>
        </w:rPr>
        <w:t>؛ لأن المصلحة قد تراعى لغلبتها على المفسدة.</w:t>
      </w:r>
    </w:p>
    <w:p w:rsidR="00C10469" w:rsidRDefault="00C10469" w:rsidP="00972B5B">
      <w:pPr>
        <w:spacing w:line="228" w:lineRule="auto"/>
        <w:ind w:left="1287" w:firstLine="0"/>
        <w:rPr>
          <w:rtl/>
        </w:rPr>
      </w:pPr>
      <w:r>
        <w:rPr>
          <w:rFonts w:ascii="Wingdings" w:hAnsi="Wingdings" w:cs="Wingdings"/>
          <w:szCs w:val="20"/>
        </w:rPr>
        <w:lastRenderedPageBreak/>
        <w:t></w:t>
      </w:r>
      <w:r>
        <w:rPr>
          <w:rFonts w:hint="cs"/>
          <w:rtl/>
        </w:rPr>
        <w:t xml:space="preserve"> فمن ذلك : الصلاة مع اختلال</w:t>
      </w:r>
      <w:r>
        <w:rPr>
          <w:rStyle w:val="a7"/>
          <w:rtl/>
        </w:rPr>
        <w:footnoteReference w:id="2803"/>
      </w:r>
      <w:r>
        <w:rPr>
          <w:rFonts w:hint="cs"/>
          <w:rtl/>
        </w:rPr>
        <w:t xml:space="preserve"> [شرط]</w:t>
      </w:r>
      <w:r>
        <w:rPr>
          <w:rStyle w:val="a7"/>
          <w:rtl/>
        </w:rPr>
        <w:footnoteReference w:id="2804"/>
      </w:r>
      <w:r>
        <w:rPr>
          <w:rFonts w:hint="cs"/>
          <w:rtl/>
        </w:rPr>
        <w:t xml:space="preserve"> من شروطها - من الطهارة، والسترة</w:t>
      </w:r>
      <w:r>
        <w:rPr>
          <w:rFonts w:hint="cs"/>
          <w:vertAlign w:val="superscript"/>
          <w:rtl/>
        </w:rPr>
        <w:t>(</w:t>
      </w:r>
      <w:r>
        <w:rPr>
          <w:rStyle w:val="a7"/>
          <w:rtl/>
        </w:rPr>
        <w:footnoteReference w:id="2805"/>
      </w:r>
      <w:r>
        <w:rPr>
          <w:rFonts w:hint="cs"/>
          <w:vertAlign w:val="superscript"/>
          <w:rtl/>
        </w:rPr>
        <w:t>)</w:t>
      </w:r>
      <w:r>
        <w:rPr>
          <w:rFonts w:hint="cs"/>
          <w:rtl/>
        </w:rPr>
        <w:t>، أو الاستقبال - فإن في</w:t>
      </w:r>
      <w:r>
        <w:rPr>
          <w:rStyle w:val="a7"/>
          <w:rtl/>
        </w:rPr>
        <w:footnoteReference w:id="2806"/>
      </w:r>
      <w:r>
        <w:rPr>
          <w:rFonts w:hint="cs"/>
          <w:rtl/>
        </w:rPr>
        <w:t xml:space="preserve"> كـل ذلك مـفْسَدة؛ لما فيه</w:t>
      </w:r>
      <w:r>
        <w:rPr>
          <w:rStyle w:val="a7"/>
          <w:rtl/>
        </w:rPr>
        <w:footnoteReference w:id="2807"/>
      </w:r>
      <w:r>
        <w:rPr>
          <w:rFonts w:hint="cs"/>
          <w:rtl/>
        </w:rPr>
        <w:t xml:space="preserve"> من [ترك]</w:t>
      </w:r>
      <w:r>
        <w:rPr>
          <w:rStyle w:val="a7"/>
          <w:rtl/>
        </w:rPr>
        <w:footnoteReference w:id="2808"/>
      </w:r>
      <w:r>
        <w:rPr>
          <w:rFonts w:hint="cs"/>
          <w:rtl/>
        </w:rPr>
        <w:t xml:space="preserve"> الإجلال بجلال الله تعالى في أنْ لا يُناجَى إلاّ على أكمل الأحوال</w:t>
      </w:r>
      <w:r>
        <w:rPr>
          <w:rStyle w:val="a7"/>
          <w:rtl/>
        </w:rPr>
        <w:footnoteReference w:id="2809"/>
      </w:r>
      <w:r>
        <w:rPr>
          <w:rFonts w:hint="cs"/>
          <w:rtl/>
        </w:rPr>
        <w:t>. ومتى تعذّر شيء من ذلك جازت الصلاة بدونه؛ تقديمًا لمصلحة الصلاة على هذه المفسدة.</w:t>
      </w:r>
    </w:p>
    <w:p w:rsidR="00C10469" w:rsidRDefault="00C10469" w:rsidP="00C10469">
      <w:pPr>
        <w:spacing w:line="540" w:lineRule="exact"/>
        <w:ind w:left="1287" w:firstLine="0"/>
        <w:rPr>
          <w:rtl/>
        </w:rPr>
      </w:pPr>
      <w:r>
        <w:rPr>
          <w:rFonts w:ascii="Wingdings" w:hAnsi="Wingdings" w:cs="Wingdings"/>
          <w:szCs w:val="20"/>
        </w:rPr>
        <w:t></w:t>
      </w:r>
      <w:r>
        <w:rPr>
          <w:rFonts w:hint="cs"/>
          <w:rtl/>
        </w:rPr>
        <w:t xml:space="preserve"> ومنه : الكذب مفسدة محرَّمة</w:t>
      </w:r>
      <w:r>
        <w:rPr>
          <w:rStyle w:val="a7"/>
          <w:rtl/>
        </w:rPr>
        <w:footnoteReference w:id="2810"/>
      </w:r>
      <w:r>
        <w:rPr>
          <w:rFonts w:hint="cs"/>
          <w:rtl/>
        </w:rPr>
        <w:t>، ومتى تضمّن جلب مصلحة تربو عليه : جاز؛ كالكذب للإصلاح بين الناس، وعلى الزوجة لإصلاحها.</w:t>
      </w:r>
    </w:p>
    <w:p w:rsidR="00C10469" w:rsidRDefault="00C10469">
      <w:pPr>
        <w:rPr>
          <w:rtl/>
        </w:rPr>
      </w:pPr>
      <w:r>
        <w:rPr>
          <w:rFonts w:hint="cs"/>
          <w:rtl/>
        </w:rPr>
        <w:t>وهذا النوع راجع إلى ارتكاب</w:t>
      </w:r>
      <w:r>
        <w:rPr>
          <w:rStyle w:val="a7"/>
          <w:rtl/>
        </w:rPr>
        <w:footnoteReference w:id="2811"/>
      </w:r>
      <w:r>
        <w:rPr>
          <w:rFonts w:hint="cs"/>
          <w:rtl/>
        </w:rPr>
        <w:t xml:space="preserve"> أخف المفسدتين في الحقيقة</w:t>
      </w:r>
      <w:r>
        <w:rPr>
          <w:rFonts w:hint="cs"/>
          <w:vertAlign w:val="superscript"/>
          <w:rtl/>
        </w:rPr>
        <w:t>(</w:t>
      </w:r>
      <w:r>
        <w:rPr>
          <w:rStyle w:val="a7"/>
          <w:rtl/>
        </w:rPr>
        <w:footnoteReference w:id="2812"/>
      </w:r>
      <w:r>
        <w:rPr>
          <w:rFonts w:hint="cs"/>
          <w:vertAlign w:val="superscript"/>
          <w:rtl/>
        </w:rPr>
        <w:t>)</w:t>
      </w:r>
      <w:r>
        <w:rPr>
          <w:rFonts w:hint="cs"/>
          <w:rtl/>
        </w:rPr>
        <w:t>.</w:t>
      </w: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7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C3FF0" w:rsidRDefault="00C10469">
      <w:pPr>
        <w:pStyle w:val="a9"/>
        <w:rPr>
          <w:rFonts w:cs="AL-Mateen"/>
          <w:rtl/>
        </w:rPr>
      </w:pPr>
      <w:r w:rsidRPr="009C3FF0">
        <w:rPr>
          <w:rFonts w:cs="AL-Mateen" w:hint="cs"/>
          <w:rtl/>
        </w:rPr>
        <w:lastRenderedPageBreak/>
        <w:t>[ الـقـاعـدة الـثـالـثـة والـعـشـرون بـعـد الـمـائـة ]</w:t>
      </w:r>
    </w:p>
    <w:p w:rsidR="00C10469" w:rsidRDefault="00C10469">
      <w:pPr>
        <w:rPr>
          <w:rtl/>
        </w:rPr>
      </w:pPr>
      <w:r>
        <w:rPr>
          <w:rFonts w:cs="Monotype Koufi" w:hint="cs"/>
          <w:rtl/>
        </w:rPr>
        <w:t>الدَّفْعُ بَعْدَ الحُكْمِ صحيحٌ إلاّ فِي المسألةِ</w:t>
      </w:r>
      <w:r>
        <w:rPr>
          <w:rStyle w:val="a7"/>
          <w:rtl/>
        </w:rPr>
        <w:footnoteReference w:id="2813"/>
      </w:r>
      <w:r>
        <w:rPr>
          <w:rFonts w:hint="cs"/>
          <w:rtl/>
        </w:rPr>
        <w:t xml:space="preserve"> </w:t>
      </w:r>
      <w:r>
        <w:rPr>
          <w:rFonts w:cs="Monotype Koufi" w:hint="cs"/>
          <w:rtl/>
        </w:rPr>
        <w:t>[المُخَمَّسَةِ]</w:t>
      </w:r>
      <w:r>
        <w:rPr>
          <w:rFonts w:hint="cs"/>
          <w:vertAlign w:val="superscript"/>
          <w:rtl/>
        </w:rPr>
        <w:t>(</w:t>
      </w:r>
      <w:r>
        <w:rPr>
          <w:rStyle w:val="a7"/>
          <w:rtl/>
        </w:rPr>
        <w:footnoteReference w:id="2814"/>
      </w:r>
      <w:r>
        <w:rPr>
          <w:rFonts w:hint="cs"/>
          <w:vertAlign w:val="superscript"/>
          <w:rtl/>
        </w:rPr>
        <w:t>)</w:t>
      </w:r>
      <w:r>
        <w:rPr>
          <w:rFonts w:hint="cs"/>
          <w:rtl/>
        </w:rPr>
        <w:t xml:space="preserve"> : </w:t>
      </w:r>
    </w:p>
    <w:p w:rsidR="00C10469" w:rsidRDefault="00C10469">
      <w:pPr>
        <w:rPr>
          <w:rtl/>
        </w:rPr>
      </w:pPr>
      <w:r>
        <w:rPr>
          <w:rFonts w:hint="cs"/>
          <w:rtl/>
        </w:rPr>
        <w:lastRenderedPageBreak/>
        <w:t>فإذا ادعى زيد ثوبًا في يد عمرو، و[عمرو]</w:t>
      </w:r>
      <w:r>
        <w:rPr>
          <w:rStyle w:val="a7"/>
          <w:rtl/>
        </w:rPr>
        <w:footnoteReference w:id="2815"/>
      </w:r>
      <w:r>
        <w:rPr>
          <w:rFonts w:hint="cs"/>
          <w:rtl/>
        </w:rPr>
        <w:t xml:space="preserve"> خاصمه</w:t>
      </w:r>
      <w:r>
        <w:rPr>
          <w:rStyle w:val="a7"/>
          <w:rtl/>
        </w:rPr>
        <w:footnoteReference w:id="2816"/>
      </w:r>
      <w:r>
        <w:rPr>
          <w:rFonts w:hint="cs"/>
          <w:rtl/>
        </w:rPr>
        <w:t xml:space="preserve"> بالإنكار، فأقام زيد البيّنة، وحُكم له به، ثم قال عمرو- على طريق الدفع -: الثوب عندي وديعة، ويدي ليس بيد الخصومة</w:t>
      </w:r>
      <w:r>
        <w:rPr>
          <w:rStyle w:val="a7"/>
          <w:rtl/>
        </w:rPr>
        <w:footnoteReference w:id="2817"/>
      </w:r>
      <w:r>
        <w:rPr>
          <w:rFonts w:hint="cs"/>
          <w:rtl/>
        </w:rPr>
        <w:t>: لا يُلتفت إلى قوله، ولم [تُسمع]</w:t>
      </w:r>
      <w:r>
        <w:rPr>
          <w:rStyle w:val="a7"/>
          <w:rtl/>
        </w:rPr>
        <w:footnoteReference w:id="2818"/>
      </w:r>
      <w:r>
        <w:rPr>
          <w:rFonts w:hint="cs"/>
          <w:rtl/>
        </w:rPr>
        <w:t xml:space="preserve"> دعواه؛ لأن </w:t>
      </w:r>
      <w:r>
        <w:rPr>
          <w:rFonts w:hint="eastAsia"/>
          <w:rtl/>
        </w:rPr>
        <w:t>«</w:t>
      </w:r>
      <w:r>
        <w:rPr>
          <w:rFonts w:hint="cs"/>
          <w:rtl/>
        </w:rPr>
        <w:t>التناقض يمنع الدعوى</w:t>
      </w:r>
      <w:r>
        <w:rPr>
          <w:rFonts w:hint="eastAsia"/>
          <w:rtl/>
        </w:rPr>
        <w:t>»</w:t>
      </w:r>
      <w:r>
        <w:rPr>
          <w:rFonts w:hint="cs"/>
          <w:vertAlign w:val="superscript"/>
          <w:rtl/>
        </w:rPr>
        <w:t>(</w:t>
      </w:r>
      <w:r>
        <w:rPr>
          <w:rStyle w:val="a7"/>
          <w:rtl/>
        </w:rPr>
        <w:footnoteReference w:id="2819"/>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79"/>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4508FF" w:rsidRDefault="00C10469">
      <w:pPr>
        <w:pStyle w:val="a9"/>
        <w:rPr>
          <w:rFonts w:cs="AL-Mateen"/>
          <w:rtl/>
        </w:rPr>
      </w:pPr>
      <w:r w:rsidRPr="004508FF">
        <w:rPr>
          <w:rFonts w:cs="AL-Mateen" w:hint="cs"/>
          <w:rtl/>
        </w:rPr>
        <w:lastRenderedPageBreak/>
        <w:t>[ القاعدة الـرابعة والعشـرون بعد المائة ]</w:t>
      </w:r>
    </w:p>
    <w:p w:rsidR="00C10469" w:rsidRDefault="00C10469">
      <w:pPr>
        <w:rPr>
          <w:rtl/>
        </w:rPr>
      </w:pPr>
      <w:r>
        <w:rPr>
          <w:rFonts w:cs="Monotype Koufi" w:hint="cs"/>
          <w:rtl/>
        </w:rPr>
        <w:t>دَفْعُ ما ليسَ بواجبٍ</w:t>
      </w:r>
      <w:r>
        <w:rPr>
          <w:rStyle w:val="a7"/>
          <w:rtl/>
        </w:rPr>
        <w:footnoteReference w:id="2820"/>
      </w:r>
      <w:r>
        <w:rPr>
          <w:rFonts w:cs="Monotype Koufi" w:hint="cs"/>
          <w:rtl/>
        </w:rPr>
        <w:t>عليهِ يَسْتَرِدُّهُ</w:t>
      </w:r>
      <w:r>
        <w:rPr>
          <w:rStyle w:val="a7"/>
          <w:rtl/>
        </w:rPr>
        <w:footnoteReference w:id="2821"/>
      </w:r>
      <w:r>
        <w:rPr>
          <w:rFonts w:hint="cs"/>
          <w:vertAlign w:val="superscript"/>
          <w:rtl/>
        </w:rPr>
        <w:t>(</w:t>
      </w:r>
      <w:r>
        <w:rPr>
          <w:rStyle w:val="a7"/>
          <w:rtl/>
        </w:rPr>
        <w:footnoteReference w:id="2822"/>
      </w:r>
      <w:r>
        <w:rPr>
          <w:rFonts w:hint="cs"/>
          <w:vertAlign w:val="superscript"/>
          <w:rtl/>
        </w:rPr>
        <w:t>)</w:t>
      </w:r>
      <w:r>
        <w:rPr>
          <w:rFonts w:hint="cs"/>
          <w:rtl/>
        </w:rPr>
        <w:t xml:space="preserve"> :</w:t>
      </w:r>
    </w:p>
    <w:p w:rsidR="00C10469" w:rsidRDefault="00C10469">
      <w:pPr>
        <w:rPr>
          <w:rtl/>
        </w:rPr>
      </w:pPr>
      <w:r>
        <w:rPr>
          <w:rFonts w:hint="cs"/>
          <w:rtl/>
        </w:rPr>
        <w:lastRenderedPageBreak/>
        <w:t>وفروعها كثيرة: منها ما أُدَّي</w:t>
      </w:r>
      <w:r>
        <w:rPr>
          <w:rStyle w:val="a7"/>
          <w:rtl/>
        </w:rPr>
        <w:footnoteReference w:id="2823"/>
      </w:r>
      <w:r>
        <w:rPr>
          <w:rFonts w:hint="cs"/>
          <w:rtl/>
        </w:rPr>
        <w:t xml:space="preserve"> على طريق الرشوة</w:t>
      </w:r>
      <w:r>
        <w:rPr>
          <w:rFonts w:hint="cs"/>
          <w:vertAlign w:val="superscript"/>
          <w:rtl/>
        </w:rPr>
        <w:t>(</w:t>
      </w:r>
      <w:r>
        <w:rPr>
          <w:rStyle w:val="a7"/>
          <w:rtl/>
        </w:rPr>
        <w:footnoteReference w:id="2824"/>
      </w:r>
      <w:r>
        <w:rPr>
          <w:rFonts w:hint="cs"/>
          <w:vertAlign w:val="superscript"/>
          <w:rtl/>
        </w:rPr>
        <w:t xml:space="preserve">) </w:t>
      </w:r>
      <w:r>
        <w:rPr>
          <w:rFonts w:hint="cs"/>
          <w:rtl/>
        </w:rPr>
        <w:t>.</w:t>
      </w:r>
    </w:p>
    <w:p w:rsidR="00C10469" w:rsidRDefault="00C10469">
      <w:pPr>
        <w:rPr>
          <w:rtl/>
        </w:rPr>
      </w:pPr>
      <w:r>
        <w:rPr>
          <w:rFonts w:hint="cs"/>
          <w:b/>
          <w:bCs/>
          <w:rtl/>
        </w:rPr>
        <w:t>وقال ابن نـجيـم</w:t>
      </w:r>
      <w:r>
        <w:rPr>
          <w:rFonts w:hint="cs"/>
          <w:rtl/>
        </w:rPr>
        <w:t xml:space="preserve"> فـي (الأشـبـاه[و]</w:t>
      </w:r>
      <w:r>
        <w:rPr>
          <w:rStyle w:val="a7"/>
          <w:rtl/>
        </w:rPr>
        <w:footnoteReference w:id="2825"/>
      </w:r>
      <w:r>
        <w:rPr>
          <w:rFonts w:hint="cs"/>
          <w:rtl/>
        </w:rPr>
        <w:t xml:space="preserve">النـظـائـر) : </w:t>
      </w:r>
      <w:r>
        <w:rPr>
          <w:rFonts w:hint="eastAsia"/>
          <w:rtl/>
        </w:rPr>
        <w:t>«</w:t>
      </w:r>
      <w:r>
        <w:rPr>
          <w:rFonts w:hint="cs"/>
          <w:rtl/>
        </w:rPr>
        <w:t>لو[استأجر]</w:t>
      </w:r>
      <w:r>
        <w:rPr>
          <w:rStyle w:val="a7"/>
          <w:rtl/>
        </w:rPr>
        <w:footnoteReference w:id="2826"/>
      </w:r>
      <w:r>
        <w:rPr>
          <w:rFonts w:hint="cs"/>
          <w:rtl/>
        </w:rPr>
        <w:t xml:space="preserve">دارًا سنة بأجر معلوم، فسكنها سنتين ودفـع أجـرتـهـمـا : لـيـس لـه الاسـتـرداد. والتـخريـج علـى خلافـه! </w:t>
      </w:r>
      <w:r>
        <w:rPr>
          <w:rFonts w:hint="eastAsia"/>
          <w:rtl/>
        </w:rPr>
        <w:t>»</w:t>
      </w:r>
      <w:r>
        <w:rPr>
          <w:rFonts w:hint="cs"/>
          <w:vertAlign w:val="superscript"/>
          <w:rtl/>
        </w:rPr>
        <w:t>(</w:t>
      </w:r>
      <w:r>
        <w:rPr>
          <w:rStyle w:val="a7"/>
          <w:rtl/>
        </w:rPr>
        <w:footnoteReference w:id="2827"/>
      </w:r>
      <w:r>
        <w:rPr>
          <w:rFonts w:hint="cs"/>
          <w:vertAlign w:val="superscript"/>
          <w:rtl/>
        </w:rPr>
        <w:t>)</w:t>
      </w:r>
      <w:r>
        <w:rPr>
          <w:rFonts w:hint="cs"/>
          <w:rtl/>
        </w:rPr>
        <w:t>.</w:t>
      </w:r>
    </w:p>
    <w:p w:rsidR="00C10469" w:rsidRDefault="00C10469">
      <w:pPr>
        <w:rPr>
          <w:rtl/>
        </w:rPr>
      </w:pPr>
      <w:r>
        <w:rPr>
          <w:rFonts w:hint="cs"/>
          <w:b/>
          <w:bCs/>
          <w:rtl/>
        </w:rPr>
        <w:t>أقول مجيباً</w:t>
      </w:r>
      <w:r>
        <w:rPr>
          <w:rFonts w:hint="cs"/>
          <w:rtl/>
        </w:rPr>
        <w:t xml:space="preserve"> لما أورده : إن الاسترداد</w:t>
      </w:r>
      <w:r>
        <w:rPr>
          <w:rStyle w:val="a7"/>
          <w:rtl/>
        </w:rPr>
        <w:footnoteReference w:id="2828"/>
      </w:r>
      <w:r>
        <w:rPr>
          <w:rFonts w:hint="cs"/>
          <w:rtl/>
        </w:rPr>
        <w:t xml:space="preserve"> فيما إذا [دفعه]</w:t>
      </w:r>
      <w:r>
        <w:rPr>
          <w:rStyle w:val="a7"/>
          <w:rtl/>
        </w:rPr>
        <w:footnoteReference w:id="2829"/>
      </w:r>
      <w:r>
        <w:rPr>
          <w:rFonts w:hint="cs"/>
          <w:rtl/>
        </w:rPr>
        <w:t>بلا غرض صحيح.</w:t>
      </w:r>
    </w:p>
    <w:p w:rsidR="00C10469" w:rsidRDefault="00C10469">
      <w:pPr>
        <w:rPr>
          <w:rtl/>
        </w:rPr>
      </w:pPr>
      <w:r>
        <w:rPr>
          <w:rFonts w:hint="cs"/>
          <w:rtl/>
        </w:rPr>
        <w:t>أما إذا دفعه لغرض : لا يجوز الاسترداد</w:t>
      </w:r>
      <w:r>
        <w:rPr>
          <w:rStyle w:val="a7"/>
          <w:rtl/>
        </w:rPr>
        <w:footnoteReference w:id="2830"/>
      </w:r>
      <w:r>
        <w:rPr>
          <w:rFonts w:hint="cs"/>
          <w:rtl/>
        </w:rPr>
        <w:t xml:space="preserve"> فيه ما دام الغرض باقيًا؛ لئلا يكون ساعيًا في نقض ما أوجبه</w:t>
      </w:r>
      <w:r>
        <w:rPr>
          <w:rFonts w:hint="cs"/>
          <w:vertAlign w:val="superscript"/>
          <w:rtl/>
        </w:rPr>
        <w:t>(</w:t>
      </w:r>
      <w:r>
        <w:rPr>
          <w:rStyle w:val="a7"/>
          <w:rtl/>
        </w:rPr>
        <w:footnoteReference w:id="2831"/>
      </w:r>
      <w:r>
        <w:rPr>
          <w:rFonts w:hint="cs"/>
          <w:vertAlign w:val="superscript"/>
          <w:rtl/>
        </w:rPr>
        <w:t>)</w:t>
      </w:r>
      <w:r>
        <w:rPr>
          <w:rFonts w:hint="cs"/>
          <w:rtl/>
        </w:rPr>
        <w:t>.</w:t>
      </w:r>
    </w:p>
    <w:p w:rsidR="00C10469" w:rsidRDefault="00C10469">
      <w:pPr>
        <w:rPr>
          <w:rtl/>
        </w:rPr>
      </w:pPr>
      <w:r>
        <w:rPr>
          <w:rFonts w:hint="cs"/>
          <w:rtl/>
        </w:rPr>
        <w:lastRenderedPageBreak/>
        <w:t>وهذا كمن عجّل الزكاة، ودفعها إلى الساعي : فإنه ليس له استردادها</w:t>
      </w:r>
      <w:r>
        <w:rPr>
          <w:rStyle w:val="a7"/>
          <w:rtl/>
        </w:rPr>
        <w:footnoteReference w:id="2832"/>
      </w:r>
      <w:r>
        <w:rPr>
          <w:rFonts w:hint="cs"/>
          <w:rtl/>
        </w:rPr>
        <w:t>؛ لأن الدفع كان لغرض، وهو أن يصير زكاة بعد الحول - كذا في (العناية)</w:t>
      </w:r>
      <w:r>
        <w:rPr>
          <w:rFonts w:hint="cs"/>
          <w:vertAlign w:val="superscript"/>
          <w:rtl/>
        </w:rPr>
        <w:t>(</w:t>
      </w:r>
      <w:r>
        <w:rPr>
          <w:rStyle w:val="a7"/>
          <w:rtl/>
        </w:rPr>
        <w:footnoteReference w:id="2833"/>
      </w:r>
      <w:r>
        <w:rPr>
          <w:rFonts w:hint="cs"/>
          <w:vertAlign w:val="superscript"/>
          <w:rtl/>
        </w:rPr>
        <w:t>)</w:t>
      </w:r>
      <w:r>
        <w:rPr>
          <w:rFonts w:hint="cs"/>
          <w:rtl/>
        </w:rPr>
        <w:t>-.</w:t>
      </w:r>
    </w:p>
    <w:p w:rsidR="00C10469" w:rsidRDefault="00C10469">
      <w:pPr>
        <w:rPr>
          <w:rtl/>
        </w:rPr>
      </w:pPr>
      <w:r>
        <w:rPr>
          <w:rFonts w:hint="cs"/>
          <w:rtl/>
        </w:rPr>
        <w:t xml:space="preserve"> [والغرض]</w:t>
      </w:r>
      <w:r>
        <w:rPr>
          <w:rStyle w:val="a7"/>
          <w:rtl/>
        </w:rPr>
        <w:footnoteReference w:id="2834"/>
      </w:r>
      <w:r>
        <w:rPr>
          <w:rFonts w:hint="cs"/>
          <w:rtl/>
        </w:rPr>
        <w:t xml:space="preserve"> في الـمسألة الـتي</w:t>
      </w:r>
      <w:r>
        <w:rPr>
          <w:rStyle w:val="a7"/>
          <w:rtl/>
        </w:rPr>
        <w:footnoteReference w:id="2835"/>
      </w:r>
      <w:r>
        <w:rPr>
          <w:rFonts w:hint="cs"/>
          <w:rtl/>
        </w:rPr>
        <w:t xml:space="preserve"> ذكرناها</w:t>
      </w:r>
      <w:r>
        <w:rPr>
          <w:rFonts w:hint="cs"/>
          <w:vertAlign w:val="superscript"/>
          <w:rtl/>
        </w:rPr>
        <w:t>(</w:t>
      </w:r>
      <w:r>
        <w:rPr>
          <w:rStyle w:val="a7"/>
          <w:rtl/>
        </w:rPr>
        <w:footnoteReference w:id="2836"/>
      </w:r>
      <w:r>
        <w:rPr>
          <w:rFonts w:hint="cs"/>
          <w:vertAlign w:val="superscript"/>
          <w:rtl/>
        </w:rPr>
        <w:t>)</w:t>
      </w:r>
      <w:r>
        <w:rPr>
          <w:rFonts w:hint="cs"/>
          <w:rtl/>
        </w:rPr>
        <w:t xml:space="preserve"> التحـرز عن مأثم الغصب، وتطييب خاطر المالك.</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8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A7E20" w:rsidRDefault="00C10469">
      <w:pPr>
        <w:pStyle w:val="a9"/>
        <w:rPr>
          <w:rFonts w:cs="AL-Mateen"/>
          <w:rtl/>
        </w:rPr>
      </w:pPr>
      <w:r w:rsidRPr="008A7E20">
        <w:rPr>
          <w:rFonts w:cs="AL-Mateen" w:hint="cs"/>
          <w:rtl/>
        </w:rPr>
        <w:lastRenderedPageBreak/>
        <w:t>[ الـقـاعـدة الـخـامـسـة والـعـشـرون بـعـد الـمـائـة ]</w:t>
      </w:r>
    </w:p>
    <w:p w:rsidR="00C10469" w:rsidRDefault="00C10469">
      <w:pPr>
        <w:rPr>
          <w:rtl/>
        </w:rPr>
      </w:pPr>
      <w:r>
        <w:rPr>
          <w:rFonts w:cs="Monotype Koufi" w:hint="cs"/>
          <w:rtl/>
        </w:rPr>
        <w:t>الدَّفعُ</w:t>
      </w:r>
      <w:r>
        <w:rPr>
          <w:rStyle w:val="a7"/>
          <w:rtl/>
        </w:rPr>
        <w:footnoteReference w:id="2837"/>
      </w:r>
      <w:r>
        <w:rPr>
          <w:rFonts w:cs="Monotype Koufi" w:hint="cs"/>
          <w:rtl/>
        </w:rPr>
        <w:t xml:space="preserve"> إذا كان لغرضٍ : لايجوزُ الاسترادُ مادامَ باقِياً</w:t>
      </w:r>
      <w:r>
        <w:rPr>
          <w:rFonts w:hint="cs"/>
          <w:vertAlign w:val="superscript"/>
          <w:rtl/>
        </w:rPr>
        <w:t>(</w:t>
      </w:r>
      <w:r>
        <w:rPr>
          <w:rStyle w:val="a7"/>
          <w:rtl/>
        </w:rPr>
        <w:footnoteReference w:id="2838"/>
      </w:r>
      <w:r>
        <w:rPr>
          <w:rFonts w:hint="cs"/>
          <w:vertAlign w:val="superscript"/>
          <w:rtl/>
        </w:rPr>
        <w:t>)</w:t>
      </w:r>
      <w:r>
        <w:rPr>
          <w:rFonts w:hint="cs"/>
          <w:rtl/>
        </w:rPr>
        <w:t xml:space="preserve"> :</w:t>
      </w:r>
    </w:p>
    <w:p w:rsidR="00C10469" w:rsidRDefault="00C10469">
      <w:pPr>
        <w:rPr>
          <w:rtl/>
        </w:rPr>
      </w:pPr>
      <w:r>
        <w:rPr>
          <w:rFonts w:hint="cs"/>
          <w:rtl/>
        </w:rPr>
        <w:t>ذُكِرَ</w:t>
      </w:r>
      <w:r>
        <w:rPr>
          <w:rStyle w:val="a7"/>
          <w:rtl/>
        </w:rPr>
        <w:footnoteReference w:id="2839"/>
      </w:r>
      <w:r>
        <w:rPr>
          <w:rFonts w:hint="cs"/>
          <w:rtl/>
        </w:rPr>
        <w:t xml:space="preserve"> هذا الأصل</w:t>
      </w:r>
      <w:r>
        <w:rPr>
          <w:rStyle w:val="a7"/>
          <w:rtl/>
        </w:rPr>
        <w:footnoteReference w:id="2840"/>
      </w:r>
      <w:r>
        <w:rPr>
          <w:rFonts w:hint="cs"/>
          <w:rtl/>
        </w:rPr>
        <w:t xml:space="preserve"> في الأصل المتقدم تبعًا</w:t>
      </w:r>
      <w:r>
        <w:rPr>
          <w:rFonts w:hint="cs"/>
          <w:vertAlign w:val="superscript"/>
          <w:rtl/>
        </w:rPr>
        <w:t>(</w:t>
      </w:r>
      <w:r>
        <w:rPr>
          <w:rStyle w:val="a7"/>
          <w:rtl/>
        </w:rPr>
        <w:footnoteReference w:id="2841"/>
      </w:r>
      <w:r>
        <w:rPr>
          <w:rFonts w:hint="cs"/>
          <w:vertAlign w:val="superscript"/>
          <w:rtl/>
        </w:rPr>
        <w:t>)</w:t>
      </w:r>
      <w:r>
        <w:rPr>
          <w:rFonts w:hint="cs"/>
          <w:rtl/>
        </w:rPr>
        <w:t xml:space="preserve"> وههنا مستقلاً.</w:t>
      </w:r>
    </w:p>
    <w:p w:rsidR="00C10469" w:rsidRDefault="00C10469">
      <w:pPr>
        <w:rPr>
          <w:rtl/>
        </w:rPr>
      </w:pPr>
      <w:r>
        <w:rPr>
          <w:rFonts w:hint="cs"/>
          <w:b/>
          <w:bCs/>
          <w:rtl/>
        </w:rPr>
        <w:t>ومن فروعه</w:t>
      </w:r>
      <w:r>
        <w:rPr>
          <w:rFonts w:hint="cs"/>
          <w:rtl/>
        </w:rPr>
        <w:t xml:space="preserve"> : </w:t>
      </w:r>
      <w:r>
        <w:rPr>
          <w:rFonts w:hint="eastAsia"/>
          <w:rtl/>
        </w:rPr>
        <w:t>«</w:t>
      </w:r>
      <w:r>
        <w:rPr>
          <w:rFonts w:hint="cs"/>
          <w:rtl/>
        </w:rPr>
        <w:t>رجل كفل عن رجل بأمره بألف عليه، فقضى الأصيلُ الكفيلَ قبل أن يعطي الكفيلُ الألفَ صاحبَ المال قائلاً : إنّي</w:t>
      </w:r>
      <w:r>
        <w:rPr>
          <w:rStyle w:val="a7"/>
          <w:rtl/>
        </w:rPr>
        <w:footnoteReference w:id="2842"/>
      </w:r>
      <w:r>
        <w:rPr>
          <w:rFonts w:hint="cs"/>
          <w:rtl/>
        </w:rPr>
        <w:t xml:space="preserve"> لا [آ]</w:t>
      </w:r>
      <w:r>
        <w:rPr>
          <w:rStyle w:val="a7"/>
          <w:rtl/>
        </w:rPr>
        <w:footnoteReference w:id="2843"/>
      </w:r>
      <w:r>
        <w:rPr>
          <w:rFonts w:hint="cs"/>
          <w:rtl/>
        </w:rPr>
        <w:t>من أن يأخذ الطالب منك حقه، فخذها</w:t>
      </w:r>
      <w:r>
        <w:rPr>
          <w:rStyle w:val="a7"/>
          <w:rtl/>
        </w:rPr>
        <w:footnoteReference w:id="2844"/>
      </w:r>
      <w:r>
        <w:rPr>
          <w:rFonts w:hint="cs"/>
          <w:rtl/>
        </w:rPr>
        <w:t xml:space="preserve"> قبل أن تؤدى</w:t>
      </w:r>
      <w:r>
        <w:rPr>
          <w:rStyle w:val="a7"/>
          <w:rtl/>
        </w:rPr>
        <w:footnoteReference w:id="2845"/>
      </w:r>
      <w:r>
        <w:rPr>
          <w:rFonts w:hint="cs"/>
          <w:rtl/>
        </w:rPr>
        <w:t>. فقبضه : ليس للأصيل</w:t>
      </w:r>
      <w:r>
        <w:rPr>
          <w:rStyle w:val="a7"/>
          <w:rtl/>
        </w:rPr>
        <w:footnoteReference w:id="2846"/>
      </w:r>
      <w:r>
        <w:rPr>
          <w:rFonts w:hint="cs"/>
          <w:rtl/>
        </w:rPr>
        <w:t xml:space="preserve"> أن يرجع </w:t>
      </w:r>
      <w:r>
        <w:rPr>
          <w:rFonts w:hint="cs"/>
          <w:rtl/>
        </w:rPr>
        <w:lastRenderedPageBreak/>
        <w:t>فيها</w:t>
      </w:r>
      <w:r>
        <w:rPr>
          <w:rFonts w:hint="cs"/>
          <w:vertAlign w:val="superscript"/>
          <w:rtl/>
        </w:rPr>
        <w:t>(</w:t>
      </w:r>
      <w:r>
        <w:rPr>
          <w:rStyle w:val="a7"/>
          <w:rtl/>
        </w:rPr>
        <w:footnoteReference w:id="2847"/>
      </w:r>
      <w:r>
        <w:rPr>
          <w:rFonts w:hint="cs"/>
          <w:vertAlign w:val="superscript"/>
          <w:rtl/>
        </w:rPr>
        <w:t>)</w:t>
      </w:r>
      <w:r>
        <w:rPr>
          <w:rFonts w:hint="cs"/>
          <w:rtl/>
        </w:rPr>
        <w:t>؛ لأنه</w:t>
      </w:r>
      <w:r>
        <w:rPr>
          <w:rStyle w:val="a7"/>
          <w:rtl/>
        </w:rPr>
        <w:footnoteReference w:id="2848"/>
      </w:r>
      <w:r>
        <w:rPr>
          <w:rFonts w:hint="cs"/>
          <w:rtl/>
        </w:rPr>
        <w:t xml:space="preserve"> تعلق به حق القابض وهو الكفيل، على احتمال قضائه الدين، فيما</w:t>
      </w:r>
      <w:r>
        <w:rPr>
          <w:rStyle w:val="a7"/>
          <w:rtl/>
        </w:rPr>
        <w:footnoteReference w:id="2849"/>
      </w:r>
      <w:r>
        <w:rPr>
          <w:rFonts w:hint="cs"/>
          <w:rtl/>
        </w:rPr>
        <w:t xml:space="preserve"> لم يبطل هذا الاحتمال - بأداء الأصيل بنفسه حق الطّالب - ليس له أن يسترده على مقتضى الأصل الذي ذكرناه في صدر الكلام؛ لئلا يكون ساعيًا في نقض ما أوجبه</w:t>
      </w:r>
      <w:r>
        <w:rPr>
          <w:rFonts w:hint="cs"/>
          <w:vertAlign w:val="superscript"/>
          <w:rtl/>
        </w:rPr>
        <w:t>(</w:t>
      </w:r>
      <w:r>
        <w:rPr>
          <w:rStyle w:val="a7"/>
          <w:rtl/>
        </w:rPr>
        <w:footnoteReference w:id="2850"/>
      </w:r>
      <w:r>
        <w:rPr>
          <w:rFonts w:hint="cs"/>
          <w:vertAlign w:val="superscript"/>
          <w:rtl/>
        </w:rPr>
        <w:t>)</w:t>
      </w:r>
      <w:r>
        <w:rPr>
          <w:rFonts w:hint="eastAsia"/>
          <w:rtl/>
        </w:rPr>
        <w:t>»</w:t>
      </w:r>
      <w:r>
        <w:rPr>
          <w:rFonts w:hint="cs"/>
          <w:rtl/>
        </w:rPr>
        <w:t>.</w:t>
      </w:r>
    </w:p>
    <w:p w:rsidR="00C10469" w:rsidRDefault="00C10469">
      <w:pPr>
        <w:rPr>
          <w:rtl/>
        </w:rPr>
      </w:pPr>
      <w:r>
        <w:rPr>
          <w:rFonts w:hint="cs"/>
          <w:rtl/>
        </w:rPr>
        <w:t>كذا في (العناية)</w:t>
      </w:r>
      <w:r>
        <w:rPr>
          <w:rFonts w:hint="cs"/>
          <w:vertAlign w:val="superscript"/>
          <w:rtl/>
        </w:rPr>
        <w:t>(</w:t>
      </w:r>
      <w:r>
        <w:rPr>
          <w:rStyle w:val="a7"/>
          <w:rtl/>
        </w:rPr>
        <w:footnoteReference w:id="2851"/>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8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F167D8" w:rsidRDefault="00C10469">
      <w:pPr>
        <w:pStyle w:val="a9"/>
        <w:rPr>
          <w:rFonts w:cs="AL-Mateen"/>
          <w:rtl/>
        </w:rPr>
      </w:pPr>
      <w:r w:rsidRPr="00F167D8">
        <w:rPr>
          <w:rFonts w:cs="AL-Mateen" w:hint="cs"/>
          <w:rtl/>
        </w:rPr>
        <w:lastRenderedPageBreak/>
        <w:t>[ الـقـاعـدة الـسـادسـة والـعـشـرون بعد الـمـائـة ]</w:t>
      </w:r>
    </w:p>
    <w:p w:rsidR="00C10469" w:rsidRDefault="00C10469">
      <w:pPr>
        <w:rPr>
          <w:rtl/>
        </w:rPr>
      </w:pPr>
      <w:r>
        <w:rPr>
          <w:rFonts w:cs="Monotype Koufi" w:hint="cs"/>
          <w:rtl/>
        </w:rPr>
        <w:t>الدَّلاَلَةُ</w:t>
      </w:r>
      <w:r>
        <w:rPr>
          <w:rStyle w:val="a7"/>
          <w:rtl/>
        </w:rPr>
        <w:footnoteReference w:id="2852"/>
      </w:r>
      <w:r>
        <w:rPr>
          <w:rFonts w:hint="cs"/>
          <w:rtl/>
        </w:rPr>
        <w:t xml:space="preserve"> </w:t>
      </w:r>
      <w:r>
        <w:rPr>
          <w:rFonts w:cs="Monotype Koufi" w:hint="cs"/>
          <w:rtl/>
        </w:rPr>
        <w:t>[تعملُ]</w:t>
      </w:r>
      <w:r>
        <w:rPr>
          <w:rStyle w:val="a7"/>
          <w:rtl/>
        </w:rPr>
        <w:footnoteReference w:id="2853"/>
      </w:r>
      <w:r>
        <w:rPr>
          <w:rFonts w:hint="cs"/>
          <w:rtl/>
        </w:rPr>
        <w:t xml:space="preserve"> </w:t>
      </w:r>
      <w:r>
        <w:rPr>
          <w:rFonts w:cs="Monotype Koufi" w:hint="cs"/>
          <w:rtl/>
        </w:rPr>
        <w:t>عَمَلَ الصَّرِيحِ إذَا لَمْ يُوجَدْ صَرِيحٌ يُعَارِضُهَا</w:t>
      </w:r>
      <w:r>
        <w:rPr>
          <w:rFonts w:hint="cs"/>
          <w:vertAlign w:val="superscript"/>
          <w:rtl/>
        </w:rPr>
        <w:t>(</w:t>
      </w:r>
      <w:r>
        <w:rPr>
          <w:rStyle w:val="a7"/>
          <w:rtl/>
        </w:rPr>
        <w:footnoteReference w:id="2854"/>
      </w:r>
      <w:r>
        <w:rPr>
          <w:rFonts w:hint="cs"/>
          <w:vertAlign w:val="superscript"/>
          <w:rtl/>
        </w:rPr>
        <w:t>)</w:t>
      </w:r>
      <w:r>
        <w:rPr>
          <w:rFonts w:hint="cs"/>
          <w:rtl/>
        </w:rPr>
        <w:t>:</w:t>
      </w:r>
    </w:p>
    <w:p w:rsidR="00C10469" w:rsidRDefault="00C10469">
      <w:pPr>
        <w:rPr>
          <w:rtl/>
        </w:rPr>
      </w:pPr>
      <w:r>
        <w:rPr>
          <w:rFonts w:hint="cs"/>
          <w:rtl/>
        </w:rPr>
        <w:t>فروع هذا الأصل كثيرة :</w:t>
      </w:r>
    </w:p>
    <w:p w:rsidR="00C10469" w:rsidRDefault="00C10469">
      <w:pPr>
        <w:rPr>
          <w:rtl/>
        </w:rPr>
      </w:pPr>
      <w:r>
        <w:rPr>
          <w:rFonts w:hint="cs"/>
          <w:b/>
          <w:bCs/>
          <w:rtl/>
        </w:rPr>
        <w:t>ومنها</w:t>
      </w:r>
      <w:r>
        <w:rPr>
          <w:rStyle w:val="a7"/>
          <w:rtl/>
        </w:rPr>
        <w:footnoteReference w:id="2855"/>
      </w:r>
      <w:r>
        <w:rPr>
          <w:rFonts w:hint="cs"/>
          <w:rtl/>
        </w:rPr>
        <w:t xml:space="preserve"> : إذا قام أحدُ العاقدين بعد الإيجاب وقبل القبول : بطل الإيجاب؛ لأن القيام يدل على الإعراض.</w:t>
      </w:r>
    </w:p>
    <w:p w:rsidR="00C10469" w:rsidRDefault="00C10469">
      <w:pPr>
        <w:rPr>
          <w:rtl/>
        </w:rPr>
      </w:pPr>
      <w:r>
        <w:rPr>
          <w:rFonts w:hint="cs"/>
          <w:b/>
          <w:bCs/>
          <w:rtl/>
        </w:rPr>
        <w:t>ولا يقال</w:t>
      </w:r>
      <w:r>
        <w:rPr>
          <w:rFonts w:hint="cs"/>
          <w:rtl/>
        </w:rPr>
        <w:t xml:space="preserve"> : إذا قام أحدهما وقال : </w:t>
      </w:r>
      <w:r>
        <w:rPr>
          <w:rFonts w:hint="eastAsia"/>
          <w:rtl/>
        </w:rPr>
        <w:t>«</w:t>
      </w:r>
      <w:r>
        <w:rPr>
          <w:rFonts w:hint="cs"/>
          <w:rtl/>
        </w:rPr>
        <w:t xml:space="preserve"> قَبِلْتُ </w:t>
      </w:r>
      <w:r>
        <w:rPr>
          <w:rFonts w:hint="eastAsia"/>
          <w:rtl/>
        </w:rPr>
        <w:t>»</w:t>
      </w:r>
      <w:r>
        <w:rPr>
          <w:rFonts w:hint="cs"/>
          <w:rtl/>
        </w:rPr>
        <w:t xml:space="preserve"> لا ينفذ، مع أن لفظَ </w:t>
      </w:r>
      <w:r>
        <w:rPr>
          <w:rFonts w:hint="eastAsia"/>
          <w:rtl/>
        </w:rPr>
        <w:t>«</w:t>
      </w:r>
      <w:r>
        <w:rPr>
          <w:rFonts w:hint="cs"/>
          <w:rtl/>
        </w:rPr>
        <w:t>قَبِلْتُ</w:t>
      </w:r>
      <w:r>
        <w:rPr>
          <w:rFonts w:hint="eastAsia"/>
          <w:rtl/>
        </w:rPr>
        <w:t>»</w:t>
      </w:r>
      <w:r>
        <w:rPr>
          <w:rFonts w:hint="cs"/>
          <w:rtl/>
        </w:rPr>
        <w:t xml:space="preserve"> صريحٌ، وعمل الدلالة مقيّد بعدم تعارض الصّريح!.</w:t>
      </w:r>
    </w:p>
    <w:p w:rsidR="00C10469" w:rsidRDefault="00C10469">
      <w:pPr>
        <w:rPr>
          <w:rtl/>
        </w:rPr>
      </w:pPr>
      <w:r>
        <w:rPr>
          <w:rFonts w:hint="cs"/>
          <w:b/>
          <w:bCs/>
          <w:rtl/>
        </w:rPr>
        <w:t>لأن</w:t>
      </w:r>
      <w:r>
        <w:rPr>
          <w:rFonts w:hint="cs"/>
          <w:rtl/>
        </w:rPr>
        <w:t xml:space="preserve"> الصريح وقع بعد عمل الدلالة، فلا يعارضها</w:t>
      </w:r>
      <w:r>
        <w:rPr>
          <w:rFonts w:hint="cs"/>
          <w:vertAlign w:val="superscript"/>
          <w:rtl/>
        </w:rPr>
        <w:t>(</w:t>
      </w:r>
      <w:r>
        <w:rPr>
          <w:rStyle w:val="a7"/>
          <w:rtl/>
        </w:rPr>
        <w:footnoteReference w:id="2856"/>
      </w:r>
      <w:r>
        <w:rPr>
          <w:rFonts w:hint="cs"/>
          <w:vertAlign w:val="superscript"/>
          <w:rtl/>
        </w:rPr>
        <w:t>)</w:t>
      </w:r>
      <w:r>
        <w:rPr>
          <w:rFonts w:hint="cs"/>
          <w:rtl/>
        </w:rPr>
        <w:t>:</w:t>
      </w:r>
    </w:p>
    <w:p w:rsidR="00C10469" w:rsidRDefault="00C10469">
      <w:pPr>
        <w:rPr>
          <w:rtl/>
        </w:rPr>
      </w:pPr>
      <w:r>
        <w:rPr>
          <w:rFonts w:hint="cs"/>
          <w:b/>
          <w:bCs/>
          <w:rtl/>
        </w:rPr>
        <w:t>فإن قيل</w:t>
      </w:r>
      <w:r>
        <w:rPr>
          <w:rFonts w:hint="cs"/>
          <w:rtl/>
        </w:rPr>
        <w:t xml:space="preserve"> : قد ذُكر في الأصلين المقدمين</w:t>
      </w:r>
      <w:r>
        <w:rPr>
          <w:rFonts w:hint="cs"/>
          <w:vertAlign w:val="superscript"/>
          <w:rtl/>
        </w:rPr>
        <w:t>(</w:t>
      </w:r>
      <w:r>
        <w:rPr>
          <w:rStyle w:val="a7"/>
          <w:rtl/>
        </w:rPr>
        <w:footnoteReference w:id="2857"/>
      </w:r>
      <w:r>
        <w:rPr>
          <w:rFonts w:hint="cs"/>
          <w:vertAlign w:val="superscript"/>
          <w:rtl/>
        </w:rPr>
        <w:t>)</w:t>
      </w:r>
      <w:r>
        <w:rPr>
          <w:rFonts w:hint="cs"/>
          <w:rtl/>
        </w:rPr>
        <w:t xml:space="preserve"> : </w:t>
      </w:r>
      <w:r>
        <w:rPr>
          <w:rFonts w:hint="eastAsia"/>
          <w:rtl/>
        </w:rPr>
        <w:t>«</w:t>
      </w:r>
      <w:r>
        <w:rPr>
          <w:rFonts w:hint="cs"/>
          <w:rtl/>
        </w:rPr>
        <w:t>لئـلا يـكون سـاعـيًا في نقض ما أوجبه</w:t>
      </w:r>
      <w:r>
        <w:rPr>
          <w:rFonts w:hint="eastAsia"/>
          <w:rtl/>
        </w:rPr>
        <w:t>»</w:t>
      </w:r>
      <w:r>
        <w:rPr>
          <w:rFonts w:hint="cs"/>
          <w:rtl/>
        </w:rPr>
        <w:t>، وهذا يقتضي أن لا يبطل</w:t>
      </w:r>
      <w:r>
        <w:rPr>
          <w:rStyle w:val="a7"/>
          <w:rtl/>
        </w:rPr>
        <w:footnoteReference w:id="2858"/>
      </w:r>
      <w:r>
        <w:rPr>
          <w:rFonts w:hint="cs"/>
          <w:rtl/>
        </w:rPr>
        <w:t xml:space="preserve"> الإيجاب بقيام الموجِب عن المجلس، ولا قائل به!.</w:t>
      </w:r>
    </w:p>
    <w:p w:rsidR="00C10469" w:rsidRDefault="00C10469">
      <w:pPr>
        <w:rPr>
          <w:rtl/>
        </w:rPr>
        <w:sectPr w:rsidR="00C10469" w:rsidSect="00C10469">
          <w:headerReference w:type="default" r:id="rId182"/>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rtl/>
        </w:rPr>
        <w:lastRenderedPageBreak/>
        <w:t>قلنا</w:t>
      </w:r>
      <w:r>
        <w:rPr>
          <w:rFonts w:hint="cs"/>
          <w:rtl/>
        </w:rPr>
        <w:t xml:space="preserve"> : الإيجاب</w:t>
      </w:r>
      <w:r>
        <w:rPr>
          <w:rStyle w:val="a7"/>
          <w:rtl/>
        </w:rPr>
        <w:footnoteReference w:id="2859"/>
      </w:r>
      <w:r>
        <w:rPr>
          <w:rFonts w:hint="cs"/>
          <w:rtl/>
        </w:rPr>
        <w:t xml:space="preserve"> بلا قبول لا يتمّ، فكان كمن [يجيب بلا قبول]</w:t>
      </w:r>
      <w:r>
        <w:rPr>
          <w:rStyle w:val="a7"/>
          <w:rtl/>
        </w:rPr>
        <w:footnoteReference w:id="2860"/>
      </w:r>
      <w:r>
        <w:rPr>
          <w:rFonts w:hint="cs"/>
          <w:rtl/>
        </w:rPr>
        <w:t>.</w:t>
      </w:r>
      <w:r>
        <w:rPr>
          <w:rtl/>
        </w:rPr>
        <w:t xml:space="preserve"> </w:t>
      </w:r>
    </w:p>
    <w:p w:rsidR="00C10469" w:rsidRPr="00095FE9" w:rsidRDefault="00C10469">
      <w:pPr>
        <w:pStyle w:val="a9"/>
        <w:rPr>
          <w:rFonts w:cs="AL-Mateen"/>
          <w:rtl/>
        </w:rPr>
      </w:pPr>
      <w:r w:rsidRPr="00095FE9">
        <w:rPr>
          <w:rFonts w:cs="AL-Mateen" w:hint="cs"/>
          <w:rtl/>
        </w:rPr>
        <w:lastRenderedPageBreak/>
        <w:t>[ الـقـاعـدة الـسـابـعـة والعـشـرون بـعـد الـمـائـة ]</w:t>
      </w:r>
    </w:p>
    <w:p w:rsidR="00C10469" w:rsidRDefault="00C10469">
      <w:pPr>
        <w:rPr>
          <w:rtl/>
        </w:rPr>
      </w:pPr>
      <w:r>
        <w:rPr>
          <w:rFonts w:cs="Monotype Koufi" w:hint="cs"/>
          <w:rtl/>
        </w:rPr>
        <w:t>دليلُ الشَّيءِ فِي الأمورِ الباطنةِ يقومُ مقامَهُ</w:t>
      </w:r>
      <w:r>
        <w:rPr>
          <w:rFonts w:hint="cs"/>
          <w:vertAlign w:val="superscript"/>
          <w:rtl/>
        </w:rPr>
        <w:t>(</w:t>
      </w:r>
      <w:r>
        <w:rPr>
          <w:rStyle w:val="a7"/>
          <w:rtl/>
        </w:rPr>
        <w:footnoteReference w:id="2861"/>
      </w:r>
      <w:r>
        <w:rPr>
          <w:rFonts w:hint="cs"/>
          <w:vertAlign w:val="superscript"/>
          <w:rtl/>
        </w:rPr>
        <w:t>)</w:t>
      </w:r>
      <w:r>
        <w:rPr>
          <w:rFonts w:hint="cs"/>
          <w:rtl/>
        </w:rPr>
        <w:t xml:space="preserve"> : </w:t>
      </w:r>
    </w:p>
    <w:p w:rsidR="00C10469" w:rsidRDefault="00C10469">
      <w:pPr>
        <w:rPr>
          <w:spacing w:val="-4"/>
          <w:rtl/>
        </w:rPr>
      </w:pPr>
      <w:r>
        <w:rPr>
          <w:rFonts w:hint="cs"/>
          <w:b/>
          <w:bCs/>
          <w:spacing w:val="-4"/>
          <w:rtl/>
        </w:rPr>
        <w:lastRenderedPageBreak/>
        <w:t>ولهذا</w:t>
      </w:r>
      <w:r>
        <w:rPr>
          <w:rFonts w:hint="cs"/>
          <w:spacing w:val="-4"/>
          <w:rtl/>
        </w:rPr>
        <w:t xml:space="preserve"> : مداواة </w:t>
      </w:r>
      <w:r>
        <w:rPr>
          <w:rFonts w:hint="cs"/>
          <w:rtl/>
        </w:rPr>
        <w:t>المشتري جُرْحَ</w:t>
      </w:r>
      <w:r>
        <w:rPr>
          <w:rFonts w:hint="cs"/>
          <w:spacing w:val="-4"/>
          <w:rtl/>
        </w:rPr>
        <w:t xml:space="preserve"> الجارية المشتراة يمنع الرّد</w:t>
      </w:r>
      <w:r>
        <w:rPr>
          <w:rFonts w:hint="cs"/>
          <w:spacing w:val="-4"/>
          <w:vertAlign w:val="superscript"/>
          <w:rtl/>
        </w:rPr>
        <w:t>(</w:t>
      </w:r>
      <w:r>
        <w:rPr>
          <w:rStyle w:val="a7"/>
          <w:spacing w:val="-4"/>
          <w:rtl/>
        </w:rPr>
        <w:footnoteReference w:id="2862"/>
      </w:r>
      <w:r>
        <w:rPr>
          <w:rFonts w:hint="cs"/>
          <w:spacing w:val="-4"/>
          <w:vertAlign w:val="superscript"/>
          <w:rtl/>
        </w:rPr>
        <w:t>)</w:t>
      </w:r>
      <w:r>
        <w:rPr>
          <w:rFonts w:hint="cs"/>
          <w:spacing w:val="-4"/>
          <w:rtl/>
        </w:rPr>
        <w:t xml:space="preserve">؛ </w:t>
      </w:r>
      <w:r>
        <w:rPr>
          <w:rFonts w:hint="eastAsia"/>
          <w:spacing w:val="-4"/>
          <w:rtl/>
        </w:rPr>
        <w:t>«</w:t>
      </w:r>
      <w:r>
        <w:rPr>
          <w:rFonts w:hint="cs"/>
          <w:spacing w:val="-4"/>
          <w:rtl/>
        </w:rPr>
        <w:t>لأن ذلك دليل قصد [الاستبقاء]</w:t>
      </w:r>
      <w:r>
        <w:rPr>
          <w:rStyle w:val="a7"/>
          <w:spacing w:val="-4"/>
          <w:rtl/>
        </w:rPr>
        <w:footnoteReference w:id="2863"/>
      </w:r>
      <w:r>
        <w:rPr>
          <w:rFonts w:hint="cs"/>
          <w:spacing w:val="-4"/>
          <w:rtl/>
        </w:rPr>
        <w:t>؛ لأن المداواة : إزالة العيب، وهي تمنع الرّد؛ لأنّ نقيضَه (وهو قيام العيب) شرطٌ للتمكن من الرّد، [فتكون]</w:t>
      </w:r>
      <w:r>
        <w:rPr>
          <w:rStyle w:val="a7"/>
          <w:spacing w:val="-4"/>
          <w:rtl/>
        </w:rPr>
        <w:footnoteReference w:id="2864"/>
      </w:r>
      <w:r>
        <w:rPr>
          <w:rFonts w:hint="cs"/>
          <w:spacing w:val="-4"/>
          <w:rtl/>
        </w:rPr>
        <w:t xml:space="preserve"> المداواة دليل قصد الإمساك</w:t>
      </w:r>
      <w:r>
        <w:rPr>
          <w:rFonts w:hint="eastAsia"/>
          <w:spacing w:val="-4"/>
          <w:rtl/>
        </w:rPr>
        <w:t>»</w:t>
      </w:r>
      <w:r>
        <w:rPr>
          <w:rFonts w:hint="cs"/>
          <w:spacing w:val="-4"/>
          <w:vertAlign w:val="superscript"/>
          <w:rtl/>
        </w:rPr>
        <w:t>(</w:t>
      </w:r>
      <w:r>
        <w:rPr>
          <w:rStyle w:val="a7"/>
          <w:spacing w:val="-4"/>
          <w:rtl/>
        </w:rPr>
        <w:footnoteReference w:id="2865"/>
      </w:r>
      <w:r>
        <w:rPr>
          <w:rFonts w:hint="cs"/>
          <w:spacing w:val="-4"/>
          <w:vertAlign w:val="superscript"/>
          <w:rtl/>
        </w:rPr>
        <w:t>)</w:t>
      </w:r>
      <w:r>
        <w:rPr>
          <w:rFonts w:hint="cs"/>
          <w:spacing w:val="-4"/>
          <w:rtl/>
        </w:rPr>
        <w:t>، وقصد الإمساك من الأمور الباطنة، والمداواة تدل</w:t>
      </w:r>
      <w:r>
        <w:rPr>
          <w:rStyle w:val="a7"/>
          <w:spacing w:val="-4"/>
          <w:rtl/>
        </w:rPr>
        <w:footnoteReference w:id="2866"/>
      </w:r>
      <w:r>
        <w:rPr>
          <w:rFonts w:hint="cs"/>
          <w:spacing w:val="-4"/>
          <w:rtl/>
        </w:rPr>
        <w:t xml:space="preserve"> عليه، فيقوم</w:t>
      </w:r>
      <w:r>
        <w:rPr>
          <w:rFonts w:hint="cs"/>
          <w:spacing w:val="-4"/>
          <w:vertAlign w:val="superscript"/>
          <w:rtl/>
        </w:rPr>
        <w:t>(</w:t>
      </w:r>
      <w:r>
        <w:rPr>
          <w:rStyle w:val="a7"/>
          <w:spacing w:val="-4"/>
          <w:rtl/>
        </w:rPr>
        <w:footnoteReference w:id="2867"/>
      </w:r>
      <w:r>
        <w:rPr>
          <w:rFonts w:hint="cs"/>
          <w:spacing w:val="-4"/>
          <w:vertAlign w:val="superscript"/>
          <w:rtl/>
        </w:rPr>
        <w:t>)</w:t>
      </w:r>
      <w:r>
        <w:rPr>
          <w:rFonts w:hint="cs"/>
          <w:spacing w:val="-4"/>
          <w:rtl/>
        </w:rPr>
        <w:t xml:space="preserve"> المداواة مقام قصد الإمساك.</w:t>
      </w:r>
    </w:p>
    <w:p w:rsidR="00C10469" w:rsidRDefault="00C10469">
      <w:pPr>
        <w:rPr>
          <w:rtl/>
        </w:rPr>
      </w:pPr>
      <w:r>
        <w:rPr>
          <w:rFonts w:hint="eastAsia"/>
          <w:rtl/>
        </w:rPr>
        <w:t>«</w:t>
      </w:r>
      <w:r>
        <w:rPr>
          <w:rFonts w:hint="cs"/>
          <w:rtl/>
        </w:rPr>
        <w:t>وله ذلك</w:t>
      </w:r>
      <w:r>
        <w:rPr>
          <w:rFonts w:hint="cs"/>
          <w:vertAlign w:val="superscript"/>
          <w:rtl/>
        </w:rPr>
        <w:t>(</w:t>
      </w:r>
      <w:r>
        <w:rPr>
          <w:rStyle w:val="a7"/>
          <w:rtl/>
        </w:rPr>
        <w:footnoteReference w:id="2868"/>
      </w:r>
      <w:r>
        <w:rPr>
          <w:rFonts w:hint="cs"/>
          <w:vertAlign w:val="superscript"/>
          <w:rtl/>
        </w:rPr>
        <w:t>)</w:t>
      </w:r>
      <w:r>
        <w:rPr>
          <w:rFonts w:hint="cs"/>
          <w:rtl/>
        </w:rPr>
        <w:t xml:space="preserve"> بعيب آخر؛ لأن الرّضا بعيب لا يستلزم</w:t>
      </w:r>
      <w:r>
        <w:rPr>
          <w:rStyle w:val="a7"/>
          <w:rtl/>
        </w:rPr>
        <w:footnoteReference w:id="2869"/>
      </w:r>
      <w:r>
        <w:rPr>
          <w:rFonts w:hint="cs"/>
          <w:rtl/>
        </w:rPr>
        <w:t xml:space="preserve"> رضاه بغيره.</w:t>
      </w:r>
    </w:p>
    <w:p w:rsidR="00C10469" w:rsidRDefault="00C10469">
      <w:pPr>
        <w:rPr>
          <w:rtl/>
        </w:rPr>
      </w:pPr>
      <w:r>
        <w:rPr>
          <w:rFonts w:hint="cs"/>
          <w:rtl/>
        </w:rPr>
        <w:t>وكذا الركوب لحاجته</w:t>
      </w:r>
      <w:r>
        <w:rPr>
          <w:rFonts w:hint="eastAsia"/>
          <w:rtl/>
        </w:rPr>
        <w:t>»</w:t>
      </w:r>
      <w:r>
        <w:rPr>
          <w:rFonts w:hint="cs"/>
          <w:vertAlign w:val="superscript"/>
          <w:rtl/>
        </w:rPr>
        <w:t>(</w:t>
      </w:r>
      <w:r>
        <w:rPr>
          <w:rStyle w:val="a7"/>
          <w:rtl/>
        </w:rPr>
        <w:footnoteReference w:id="2870"/>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83"/>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6D732C" w:rsidRDefault="00C10469">
      <w:pPr>
        <w:pStyle w:val="a9"/>
        <w:rPr>
          <w:rFonts w:cs="AL-Mateen"/>
          <w:rtl/>
        </w:rPr>
      </w:pPr>
      <w:r w:rsidRPr="006D732C">
        <w:rPr>
          <w:rFonts w:cs="AL-Mateen" w:hint="cs"/>
          <w:rtl/>
        </w:rPr>
        <w:lastRenderedPageBreak/>
        <w:t>[ الـقـاعـدة الـثـامـنـة والـعـشـرون بـعـد الـمـائـة ]</w:t>
      </w:r>
    </w:p>
    <w:p w:rsidR="00C10469" w:rsidRDefault="00C10469">
      <w:pPr>
        <w:rPr>
          <w:rtl/>
        </w:rPr>
      </w:pPr>
      <w:r>
        <w:rPr>
          <w:rFonts w:cs="Monotype Koufi" w:hint="cs"/>
          <w:rtl/>
        </w:rPr>
        <w:t>الدُّيُونُ تُقْضَى بأَمثَالِهَا</w:t>
      </w:r>
      <w:r>
        <w:rPr>
          <w:rFonts w:hint="cs"/>
          <w:vertAlign w:val="superscript"/>
          <w:rtl/>
        </w:rPr>
        <w:t>(</w:t>
      </w:r>
      <w:r>
        <w:rPr>
          <w:rStyle w:val="a7"/>
          <w:rtl/>
        </w:rPr>
        <w:footnoteReference w:id="2871"/>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عُرِّفَ الدينُ في (الحاوي</w:t>
      </w:r>
      <w:r>
        <w:rPr>
          <w:rStyle w:val="a7"/>
          <w:rtl/>
        </w:rPr>
        <w:footnoteReference w:id="2872"/>
      </w:r>
      <w:r>
        <w:rPr>
          <w:rFonts w:hint="cs"/>
          <w:rtl/>
        </w:rPr>
        <w:t xml:space="preserve"> القُدْسِيّ)</w:t>
      </w:r>
      <w:r>
        <w:rPr>
          <w:rFonts w:hint="cs"/>
          <w:vertAlign w:val="superscript"/>
          <w:rtl/>
        </w:rPr>
        <w:t>(</w:t>
      </w:r>
      <w:r>
        <w:rPr>
          <w:rStyle w:val="a7"/>
          <w:rtl/>
        </w:rPr>
        <w:footnoteReference w:id="2873"/>
      </w:r>
      <w:r>
        <w:rPr>
          <w:rFonts w:hint="cs"/>
          <w:vertAlign w:val="superscript"/>
          <w:rtl/>
        </w:rPr>
        <w:t>)</w:t>
      </w:r>
      <w:r>
        <w:rPr>
          <w:rFonts w:hint="cs"/>
          <w:rtl/>
        </w:rPr>
        <w:t xml:space="preserve"> بأنه عبارة عن : </w:t>
      </w:r>
      <w:r>
        <w:rPr>
          <w:rFonts w:hint="eastAsia"/>
          <w:rtl/>
        </w:rPr>
        <w:t>«</w:t>
      </w:r>
      <w:r>
        <w:rPr>
          <w:rFonts w:hint="cs"/>
          <w:rtl/>
        </w:rPr>
        <w:t>مالٍ حكميٍّ يـحدث</w:t>
      </w:r>
    </w:p>
    <w:p w:rsidR="00C10469" w:rsidRDefault="00C10469">
      <w:pPr>
        <w:spacing w:line="560" w:lineRule="exact"/>
        <w:ind w:firstLine="0"/>
        <w:rPr>
          <w:rtl/>
        </w:rPr>
      </w:pPr>
      <w:r>
        <w:rPr>
          <w:rFonts w:hint="cs"/>
          <w:rtl/>
        </w:rPr>
        <w:lastRenderedPageBreak/>
        <w:t>في الذمة ببيع أو استهلاك أو غيرهما</w:t>
      </w:r>
      <w:r>
        <w:rPr>
          <w:rFonts w:hint="eastAsia"/>
          <w:rtl/>
        </w:rPr>
        <w:t>»</w:t>
      </w:r>
      <w:r>
        <w:rPr>
          <w:rFonts w:hint="cs"/>
          <w:vertAlign w:val="superscript"/>
          <w:rtl/>
        </w:rPr>
        <w:t>(</w:t>
      </w:r>
      <w:r>
        <w:rPr>
          <w:rStyle w:val="a7"/>
        </w:rPr>
        <w:footnoteReference w:id="2874"/>
      </w:r>
      <w:r>
        <w:rPr>
          <w:rFonts w:hint="cs"/>
          <w:vertAlign w:val="superscript"/>
          <w:rtl/>
        </w:rPr>
        <w:t>)</w:t>
      </w:r>
      <w:r>
        <w:rPr>
          <w:rFonts w:hint="cs"/>
          <w:rtl/>
        </w:rPr>
        <w:t>.</w:t>
      </w:r>
    </w:p>
    <w:p w:rsidR="00C10469" w:rsidRDefault="00C10469">
      <w:pPr>
        <w:spacing w:line="560" w:lineRule="exact"/>
        <w:rPr>
          <w:rtl/>
        </w:rPr>
      </w:pPr>
      <w:r>
        <w:rPr>
          <w:rFonts w:hint="cs"/>
          <w:rtl/>
        </w:rPr>
        <w:t>وإيفاؤه لا يكون إلا بطريق المقاصّة عند أبي حنيفة -رحمه الله-.</w:t>
      </w:r>
    </w:p>
    <w:p w:rsidR="00C10469" w:rsidRDefault="00C10469">
      <w:pPr>
        <w:spacing w:line="540" w:lineRule="exact"/>
        <w:rPr>
          <w:spacing w:val="-4"/>
          <w:rtl/>
        </w:rPr>
      </w:pPr>
      <w:r>
        <w:rPr>
          <w:rFonts w:hint="cs"/>
          <w:b/>
          <w:bCs/>
          <w:spacing w:val="-4"/>
          <w:rtl/>
        </w:rPr>
        <w:t>مثاله</w:t>
      </w:r>
      <w:r>
        <w:rPr>
          <w:rFonts w:hint="cs"/>
          <w:spacing w:val="-4"/>
          <w:rtl/>
        </w:rPr>
        <w:t xml:space="preserve"> : إذا اشترى ثوبًا بعشرة دراهم : صار الثوب ملكًا له، وأحدث الشراء في ذمته عشرة دراهم</w:t>
      </w:r>
      <w:r>
        <w:rPr>
          <w:rStyle w:val="a7"/>
          <w:spacing w:val="-4"/>
          <w:rtl/>
        </w:rPr>
        <w:footnoteReference w:id="2875"/>
      </w:r>
      <w:r>
        <w:rPr>
          <w:rFonts w:hint="cs"/>
          <w:spacing w:val="-4"/>
          <w:rtl/>
        </w:rPr>
        <w:t xml:space="preserve"> ملكًا للبائع. فإذا دفع</w:t>
      </w:r>
      <w:r>
        <w:rPr>
          <w:rStyle w:val="a7"/>
          <w:spacing w:val="-4"/>
          <w:rtl/>
        </w:rPr>
        <w:footnoteReference w:id="2876"/>
      </w:r>
      <w:r>
        <w:rPr>
          <w:rFonts w:hint="cs"/>
          <w:spacing w:val="-4"/>
          <w:rtl/>
        </w:rPr>
        <w:t xml:space="preserve"> المشتري عشرة إلى البائع وجب مثلها في ذمة البائع</w:t>
      </w:r>
      <w:r>
        <w:rPr>
          <w:rFonts w:hint="cs"/>
          <w:spacing w:val="-4"/>
          <w:vertAlign w:val="superscript"/>
          <w:rtl/>
        </w:rPr>
        <w:t>(</w:t>
      </w:r>
      <w:r>
        <w:rPr>
          <w:rStyle w:val="a7"/>
          <w:spacing w:val="-4"/>
          <w:rtl/>
        </w:rPr>
        <w:footnoteReference w:id="2877"/>
      </w:r>
      <w:r>
        <w:rPr>
          <w:rFonts w:hint="cs"/>
          <w:spacing w:val="-4"/>
          <w:vertAlign w:val="superscript"/>
          <w:rtl/>
        </w:rPr>
        <w:t>)</w:t>
      </w:r>
      <w:r>
        <w:rPr>
          <w:rFonts w:hint="cs"/>
          <w:spacing w:val="-4"/>
          <w:rtl/>
        </w:rPr>
        <w:t>، وقد وجب للبائع على المشتري عشرة بدلاً عن الثوب، ووجب للمشتري على البائع</w:t>
      </w:r>
      <w:r>
        <w:rPr>
          <w:rStyle w:val="a7"/>
          <w:spacing w:val="-4"/>
          <w:rtl/>
        </w:rPr>
        <w:footnoteReference w:id="2878"/>
      </w:r>
      <w:r>
        <w:rPr>
          <w:rFonts w:hint="cs"/>
          <w:spacing w:val="-4"/>
          <w:rtl/>
        </w:rPr>
        <w:t xml:space="preserve"> مثلها بدلاً عن المدفوعة إليه، فالتقيا قصاصًا.</w:t>
      </w:r>
    </w:p>
    <w:p w:rsidR="00C10469" w:rsidRDefault="00C10469">
      <w:pPr>
        <w:rPr>
          <w:spacing w:val="8"/>
          <w:rtl/>
        </w:rPr>
      </w:pPr>
      <w:r>
        <w:rPr>
          <w:rFonts w:hint="cs"/>
          <w:spacing w:val="8"/>
          <w:rtl/>
        </w:rPr>
        <w:lastRenderedPageBreak/>
        <w:t>وتفرع على أن طريق إيفائه إنما هو المقاصة : أنه لو أبرأه عنه بعد قضائه</w:t>
      </w:r>
      <w:r>
        <w:rPr>
          <w:rStyle w:val="a7"/>
          <w:spacing w:val="8"/>
          <w:rtl/>
        </w:rPr>
        <w:footnoteReference w:id="2879"/>
      </w:r>
      <w:r>
        <w:rPr>
          <w:rFonts w:hint="cs"/>
          <w:spacing w:val="8"/>
          <w:rtl/>
        </w:rPr>
        <w:t>: صحَّ، ورجع المديون على الدائن بما دفعه</w:t>
      </w:r>
      <w:r>
        <w:rPr>
          <w:rFonts w:hint="eastAsia"/>
          <w:spacing w:val="8"/>
          <w:rtl/>
        </w:rPr>
        <w:t>»</w:t>
      </w:r>
      <w:r>
        <w:rPr>
          <w:rFonts w:hint="cs"/>
          <w:spacing w:val="8"/>
          <w:vertAlign w:val="superscript"/>
          <w:rtl/>
        </w:rPr>
        <w:t>(</w:t>
      </w:r>
      <w:r>
        <w:rPr>
          <w:rStyle w:val="a7"/>
          <w:spacing w:val="8"/>
          <w:rtl/>
        </w:rPr>
        <w:footnoteReference w:id="2880"/>
      </w:r>
      <w:r>
        <w:rPr>
          <w:rFonts w:hint="cs"/>
          <w:spacing w:val="8"/>
          <w:vertAlign w:val="superscript"/>
          <w:rtl/>
        </w:rPr>
        <w:t>)</w:t>
      </w:r>
      <w:r>
        <w:rPr>
          <w:rFonts w:hint="cs"/>
          <w:spacing w:val="8"/>
          <w:rtl/>
        </w:rPr>
        <w:t xml:space="preserve">؛ </w:t>
      </w:r>
      <w:r>
        <w:rPr>
          <w:rFonts w:hint="eastAsia"/>
          <w:spacing w:val="8"/>
          <w:rtl/>
        </w:rPr>
        <w:t>«</w:t>
      </w:r>
      <w:r>
        <w:rPr>
          <w:rFonts w:hint="cs"/>
          <w:spacing w:val="8"/>
          <w:rtl/>
        </w:rPr>
        <w:t>لأن الساقط بالقضاء المطالبة، لا أصل الدين، [فيرجع المديون]</w:t>
      </w:r>
      <w:r>
        <w:rPr>
          <w:rFonts w:hint="cs"/>
          <w:spacing w:val="8"/>
          <w:vertAlign w:val="superscript"/>
          <w:rtl/>
        </w:rPr>
        <w:t>(</w:t>
      </w:r>
      <w:r>
        <w:rPr>
          <w:rStyle w:val="a7"/>
          <w:spacing w:val="8"/>
          <w:rtl/>
        </w:rPr>
        <w:footnoteReference w:id="2881"/>
      </w:r>
      <w:r>
        <w:rPr>
          <w:rFonts w:hint="cs"/>
          <w:spacing w:val="8"/>
          <w:vertAlign w:val="superscript"/>
          <w:rtl/>
        </w:rPr>
        <w:t>)</w:t>
      </w:r>
      <w:r>
        <w:rPr>
          <w:rFonts w:hint="cs"/>
          <w:spacing w:val="8"/>
          <w:rtl/>
        </w:rPr>
        <w:t xml:space="preserve"> بما أدّاهُ إذا أبرأه براءة إسقاط. وإذا أبرأه براءة استيفاء فلا رجوع</w:t>
      </w:r>
      <w:r>
        <w:rPr>
          <w:rFonts w:hint="eastAsia"/>
          <w:spacing w:val="8"/>
          <w:rtl/>
        </w:rPr>
        <w:t>»</w:t>
      </w:r>
      <w:r>
        <w:rPr>
          <w:rFonts w:hint="cs"/>
          <w:spacing w:val="8"/>
          <w:vertAlign w:val="superscript"/>
          <w:rtl/>
        </w:rPr>
        <w:t>(</w:t>
      </w:r>
      <w:r>
        <w:rPr>
          <w:rStyle w:val="a7"/>
          <w:spacing w:val="8"/>
          <w:rtl/>
        </w:rPr>
        <w:footnoteReference w:id="2882"/>
      </w:r>
      <w:r>
        <w:rPr>
          <w:rFonts w:hint="cs"/>
          <w:spacing w:val="8"/>
          <w:vertAlign w:val="superscript"/>
          <w:rtl/>
        </w:rPr>
        <w:t>)</w:t>
      </w:r>
      <w:r>
        <w:rPr>
          <w:rFonts w:hint="cs"/>
          <w:spacing w:val="8"/>
          <w:rtl/>
        </w:rPr>
        <w:t>.</w:t>
      </w:r>
    </w:p>
    <w:p w:rsidR="00C10469" w:rsidRDefault="00C10469">
      <w:pPr>
        <w:rPr>
          <w:spacing w:val="8"/>
          <w:rtl/>
        </w:rPr>
      </w:pPr>
      <w:r>
        <w:rPr>
          <w:rFonts w:hint="cs"/>
          <w:b/>
          <w:bCs/>
          <w:spacing w:val="8"/>
          <w:rtl/>
        </w:rPr>
        <w:t>وتقـريره</w:t>
      </w:r>
      <w:r>
        <w:rPr>
          <w:rFonts w:hint="cs"/>
          <w:spacing w:val="8"/>
          <w:rtl/>
        </w:rPr>
        <w:t xml:space="preserve"> : أن المديون إذا دفع مـثل ما استـقرض</w:t>
      </w:r>
      <w:r>
        <w:rPr>
          <w:rStyle w:val="a7"/>
          <w:spacing w:val="8"/>
          <w:rtl/>
        </w:rPr>
        <w:footnoteReference w:id="2883"/>
      </w:r>
      <w:r>
        <w:rPr>
          <w:rFonts w:hint="cs"/>
          <w:spacing w:val="8"/>
          <w:rtl/>
        </w:rPr>
        <w:t xml:space="preserve"> إلى الدائن كان الـمدفوع ديـناً له على الـدائن</w:t>
      </w:r>
      <w:r>
        <w:rPr>
          <w:rStyle w:val="a7"/>
          <w:spacing w:val="8"/>
          <w:rtl/>
        </w:rPr>
        <w:footnoteReference w:id="2884"/>
      </w:r>
      <w:r>
        <w:rPr>
          <w:rFonts w:hint="cs"/>
          <w:spacing w:val="8"/>
          <w:rtl/>
        </w:rPr>
        <w:t xml:space="preserve"> على ما قرّرنا، و</w:t>
      </w:r>
      <w:r>
        <w:rPr>
          <w:rStyle w:val="a7"/>
          <w:spacing w:val="8"/>
          <w:rtl/>
        </w:rPr>
        <w:footnoteReference w:id="2885"/>
      </w:r>
      <w:r>
        <w:rPr>
          <w:rFonts w:hint="cs"/>
          <w:spacing w:val="8"/>
          <w:rtl/>
        </w:rPr>
        <w:t xml:space="preserve"> لكن لا يطالبه؛ لأن عليه دينًا مثله للدائن. </w:t>
      </w:r>
    </w:p>
    <w:p w:rsidR="00C10469" w:rsidRPr="0085007B" w:rsidRDefault="00C10469" w:rsidP="00C10469">
      <w:pPr>
        <w:ind w:left="848" w:hanging="281"/>
        <w:rPr>
          <w:spacing w:val="2"/>
          <w:rtl/>
        </w:rPr>
      </w:pPr>
      <w:r w:rsidRPr="0085007B">
        <w:rPr>
          <w:spacing w:val="2"/>
          <w:rtl/>
        </w:rPr>
        <w:t>•</w:t>
      </w:r>
      <w:r w:rsidRPr="0085007B">
        <w:rPr>
          <w:rFonts w:hint="cs"/>
          <w:spacing w:val="2"/>
          <w:rtl/>
        </w:rPr>
        <w:t xml:space="preserve">  فإذا أبرأه الدائن براءة إسقاط : سقط ما عليه، وبقي ما أدى دينًا له على الدائن فيطلبه.</w:t>
      </w:r>
    </w:p>
    <w:p w:rsidR="00C10469" w:rsidRDefault="00C10469" w:rsidP="00C10469">
      <w:pPr>
        <w:ind w:left="848" w:hanging="281"/>
        <w:rPr>
          <w:spacing w:val="2"/>
          <w:rtl/>
        </w:rPr>
        <w:sectPr w:rsidR="00C10469" w:rsidSect="00C10469">
          <w:headerReference w:type="default" r:id="rId18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tl/>
        </w:rPr>
        <w:t>•</w:t>
      </w:r>
      <w:r>
        <w:rPr>
          <w:rFonts w:hint="cs"/>
          <w:rtl/>
        </w:rPr>
        <w:t xml:space="preserve">  </w:t>
      </w:r>
      <w:r w:rsidRPr="0085007B">
        <w:rPr>
          <w:rFonts w:hint="cs"/>
          <w:spacing w:val="2"/>
          <w:rtl/>
        </w:rPr>
        <w:t>وأمّا إذا أبرأه براءة استيفاء؛ بأن يقول : استوفيتُ</w:t>
      </w:r>
      <w:r w:rsidRPr="0085007B">
        <w:rPr>
          <w:rStyle w:val="a7"/>
          <w:spacing w:val="2"/>
          <w:rtl/>
        </w:rPr>
        <w:footnoteReference w:id="2886"/>
      </w:r>
      <w:r w:rsidRPr="0085007B">
        <w:rPr>
          <w:rFonts w:hint="cs"/>
          <w:spacing w:val="2"/>
          <w:rtl/>
        </w:rPr>
        <w:t xml:space="preserve"> الدين منك : فقوله </w:t>
      </w:r>
      <w:r w:rsidRPr="0085007B">
        <w:rPr>
          <w:rFonts w:hint="cs"/>
          <w:spacing w:val="2"/>
          <w:rtl/>
        </w:rPr>
        <w:lastRenderedPageBreak/>
        <w:t>اعتراف بما</w:t>
      </w:r>
      <w:r w:rsidRPr="0085007B">
        <w:rPr>
          <w:rStyle w:val="a7"/>
          <w:spacing w:val="2"/>
          <w:rtl/>
        </w:rPr>
        <w:footnoteReference w:id="2887"/>
      </w:r>
      <w:r w:rsidRPr="0085007B">
        <w:rPr>
          <w:rFonts w:hint="cs"/>
          <w:spacing w:val="2"/>
          <w:rtl/>
        </w:rPr>
        <w:t xml:space="preserve"> جرى بينهما من الإيفاء والاستيفاء، لا</w:t>
      </w:r>
      <w:r w:rsidRPr="0085007B">
        <w:rPr>
          <w:rStyle w:val="a7"/>
          <w:spacing w:val="2"/>
          <w:rtl/>
        </w:rPr>
        <w:footnoteReference w:id="2888"/>
      </w:r>
      <w:r w:rsidRPr="0085007B">
        <w:rPr>
          <w:rFonts w:hint="cs"/>
          <w:spacing w:val="2"/>
          <w:rtl/>
        </w:rPr>
        <w:t xml:space="preserve"> مسقط لشيء.</w:t>
      </w:r>
    </w:p>
    <w:p w:rsidR="00C10469" w:rsidRPr="00F71D7F" w:rsidRDefault="00C10469">
      <w:pPr>
        <w:pStyle w:val="a9"/>
        <w:rPr>
          <w:rFonts w:cs="AL-Mateen"/>
          <w:rtl/>
        </w:rPr>
      </w:pPr>
      <w:r w:rsidRPr="00F71D7F">
        <w:rPr>
          <w:rFonts w:cs="AL-Mateen" w:hint="cs"/>
          <w:rtl/>
        </w:rPr>
        <w:lastRenderedPageBreak/>
        <w:t>[ الـقـاعـدة الـتـاسـعـة والـعـشـرون بـعـد الـمـائـة ]</w:t>
      </w:r>
    </w:p>
    <w:p w:rsidR="00C10469" w:rsidRDefault="00C10469">
      <w:pPr>
        <w:ind w:left="567" w:right="567" w:firstLine="0"/>
        <w:rPr>
          <w:rtl/>
        </w:rPr>
      </w:pPr>
      <w:r>
        <w:rPr>
          <w:rFonts w:cs="Monotype Koufi" w:hint="cs"/>
          <w:rtl/>
        </w:rPr>
        <w:t>ذِكْرُ بَعْضِ مَا لاَ يَتَجَزَّأُ كَذِكْرِ كُلِّهِ</w:t>
      </w:r>
      <w:r>
        <w:rPr>
          <w:rFonts w:hint="cs"/>
          <w:vertAlign w:val="superscript"/>
          <w:rtl/>
        </w:rPr>
        <w:t>(</w:t>
      </w:r>
      <w:r>
        <w:rPr>
          <w:rStyle w:val="a7"/>
          <w:rtl/>
        </w:rPr>
        <w:footnoteReference w:id="2889"/>
      </w:r>
      <w:r>
        <w:rPr>
          <w:rFonts w:hint="cs"/>
          <w:vertAlign w:val="superscript"/>
          <w:rtl/>
        </w:rPr>
        <w:t>)</w:t>
      </w:r>
      <w:r>
        <w:rPr>
          <w:rFonts w:hint="cs"/>
          <w:rtl/>
        </w:rPr>
        <w:t xml:space="preserve"> :</w:t>
      </w:r>
    </w:p>
    <w:p w:rsidR="00C10469" w:rsidRDefault="00C10469">
      <w:pPr>
        <w:rPr>
          <w:spacing w:val="-8"/>
          <w:rtl/>
        </w:rPr>
      </w:pPr>
      <w:r>
        <w:rPr>
          <w:rFonts w:hint="eastAsia"/>
          <w:spacing w:val="-8"/>
          <w:rtl/>
        </w:rPr>
        <w:lastRenderedPageBreak/>
        <w:t>«</w:t>
      </w:r>
      <w:r>
        <w:rPr>
          <w:rFonts w:hint="cs"/>
          <w:spacing w:val="-8"/>
          <w:rtl/>
        </w:rPr>
        <w:t>فإذا طلّق نصفَ تطليقة</w:t>
      </w:r>
      <w:r>
        <w:rPr>
          <w:rStyle w:val="a7"/>
          <w:spacing w:val="-8"/>
          <w:rtl/>
        </w:rPr>
        <w:footnoteReference w:id="2890"/>
      </w:r>
      <w:r>
        <w:rPr>
          <w:rFonts w:hint="cs"/>
          <w:spacing w:val="-8"/>
          <w:rtl/>
        </w:rPr>
        <w:t xml:space="preserve"> وقعت واحدة</w:t>
      </w:r>
      <w:r>
        <w:rPr>
          <w:rFonts w:hint="cs"/>
          <w:spacing w:val="-8"/>
          <w:vertAlign w:val="superscript"/>
          <w:rtl/>
        </w:rPr>
        <w:t>(</w:t>
      </w:r>
      <w:r>
        <w:rPr>
          <w:rStyle w:val="a7"/>
          <w:spacing w:val="-8"/>
          <w:rtl/>
        </w:rPr>
        <w:footnoteReference w:id="2891"/>
      </w:r>
      <w:r>
        <w:rPr>
          <w:rFonts w:hint="cs"/>
          <w:spacing w:val="-8"/>
          <w:vertAlign w:val="superscript"/>
          <w:rtl/>
        </w:rPr>
        <w:t>)</w:t>
      </w:r>
      <w:r>
        <w:rPr>
          <w:rFonts w:hint="cs"/>
          <w:spacing w:val="-8"/>
          <w:rtl/>
        </w:rPr>
        <w:t>، أو [طلق]</w:t>
      </w:r>
      <w:r>
        <w:rPr>
          <w:rStyle w:val="a7"/>
          <w:spacing w:val="-8"/>
          <w:rtl/>
        </w:rPr>
        <w:footnoteReference w:id="2892"/>
      </w:r>
      <w:r>
        <w:rPr>
          <w:rFonts w:hint="cs"/>
          <w:spacing w:val="-8"/>
          <w:rtl/>
        </w:rPr>
        <w:t xml:space="preserve"> نصف المرأة : طَلُقَتْ</w:t>
      </w:r>
      <w:r>
        <w:rPr>
          <w:rFonts w:hint="eastAsia"/>
          <w:spacing w:val="-8"/>
          <w:rtl/>
        </w:rPr>
        <w:t>»</w:t>
      </w:r>
      <w:r>
        <w:rPr>
          <w:rFonts w:hint="cs"/>
          <w:spacing w:val="-8"/>
          <w:vertAlign w:val="superscript"/>
          <w:rtl/>
        </w:rPr>
        <w:t>(</w:t>
      </w:r>
      <w:r>
        <w:rPr>
          <w:rStyle w:val="a7"/>
          <w:spacing w:val="-8"/>
          <w:rtl/>
        </w:rPr>
        <w:footnoteReference w:id="2893"/>
      </w:r>
      <w:r>
        <w:rPr>
          <w:rFonts w:hint="cs"/>
          <w:spacing w:val="-8"/>
          <w:vertAlign w:val="superscript"/>
          <w:rtl/>
        </w:rPr>
        <w:t>)</w:t>
      </w:r>
      <w:r>
        <w:rPr>
          <w:rFonts w:hint="cs"/>
          <w:spacing w:val="-8"/>
          <w:rtl/>
        </w:rPr>
        <w:t xml:space="preserve"> كُلُّها.</w:t>
      </w:r>
    </w:p>
    <w:p w:rsidR="00C10469" w:rsidRDefault="00C10469">
      <w:pPr>
        <w:rPr>
          <w:rtl/>
        </w:rPr>
      </w:pPr>
      <w:r>
        <w:rPr>
          <w:rFonts w:hint="cs"/>
          <w:b/>
          <w:bCs/>
          <w:rtl/>
        </w:rPr>
        <w:t>ولا يقال</w:t>
      </w:r>
      <w:r>
        <w:rPr>
          <w:rFonts w:hint="cs"/>
          <w:rtl/>
        </w:rPr>
        <w:t xml:space="preserve"> : إذا عتق</w:t>
      </w:r>
      <w:r>
        <w:rPr>
          <w:rStyle w:val="a7"/>
          <w:rtl/>
        </w:rPr>
        <w:footnoteReference w:id="2894"/>
      </w:r>
      <w:r>
        <w:rPr>
          <w:rFonts w:hint="cs"/>
          <w:rtl/>
        </w:rPr>
        <w:t xml:space="preserve"> بعض عبده لم يعتق كله عند أبي حنيفة، فلا يكون ذكر بعضه كذكر كله!.</w:t>
      </w:r>
    </w:p>
    <w:p w:rsidR="00C10469" w:rsidRDefault="00C10469">
      <w:pPr>
        <w:rPr>
          <w:rtl/>
        </w:rPr>
      </w:pPr>
      <w:r>
        <w:rPr>
          <w:rFonts w:hint="cs"/>
          <w:b/>
          <w:bCs/>
          <w:rtl/>
        </w:rPr>
        <w:t>لأن</w:t>
      </w:r>
      <w:r>
        <w:rPr>
          <w:rFonts w:hint="cs"/>
          <w:rtl/>
        </w:rPr>
        <w:t xml:space="preserve"> الكلام فيما لا يتجزأ، والعتق ممّا يتجزأ</w:t>
      </w:r>
      <w:r>
        <w:rPr>
          <w:rFonts w:hint="cs"/>
          <w:vertAlign w:val="superscript"/>
          <w:rtl/>
        </w:rPr>
        <w:t>(</w:t>
      </w:r>
      <w:r>
        <w:rPr>
          <w:rStyle w:val="a7"/>
          <w:rtl/>
        </w:rPr>
        <w:footnoteReference w:id="2895"/>
      </w:r>
      <w:r>
        <w:rPr>
          <w:rFonts w:hint="cs"/>
          <w:vertAlign w:val="superscript"/>
          <w:rtl/>
        </w:rPr>
        <w:t>)</w:t>
      </w:r>
      <w:r>
        <w:rPr>
          <w:rFonts w:hint="cs"/>
          <w:rtl/>
        </w:rPr>
        <w:t>.</w:t>
      </w:r>
    </w:p>
    <w:p w:rsidR="00C10469" w:rsidRDefault="00C10469">
      <w:pPr>
        <w:jc w:val="center"/>
        <w:rPr>
          <w:rFonts w:ascii="AGA Arabesque" w:hAnsi="AGA Arabesque"/>
          <w:sz w:val="50"/>
          <w:szCs w:val="50"/>
        </w:rPr>
        <w:sectPr w:rsidR="00C10469" w:rsidSect="00C10469">
          <w:headerReference w:type="default" r:id="rId185"/>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98234C" w:rsidRDefault="00C10469">
      <w:pPr>
        <w:pStyle w:val="a9"/>
        <w:rPr>
          <w:rFonts w:cs="AL-Mateen"/>
          <w:rtl/>
        </w:rPr>
      </w:pPr>
      <w:r w:rsidRPr="0098234C">
        <w:rPr>
          <w:rFonts w:cs="AL-Mateen" w:hint="cs"/>
          <w:rtl/>
        </w:rPr>
        <w:lastRenderedPageBreak/>
        <w:t>[ الـقـاعـدة الـثـلاثـون بـعـد الـمـائـة ]</w:t>
      </w:r>
    </w:p>
    <w:p w:rsidR="00C10469" w:rsidRDefault="00C10469">
      <w:pPr>
        <w:rPr>
          <w:rtl/>
        </w:rPr>
      </w:pPr>
      <w:r>
        <w:rPr>
          <w:rFonts w:cs="Monotype Koufi" w:hint="cs"/>
          <w:rtl/>
        </w:rPr>
        <w:t>الرُّؤْيَةُ مِنَ الزُّجَاجِ رُؤْيَةٌ حقيقةً</w:t>
      </w:r>
      <w:r>
        <w:rPr>
          <w:rFonts w:hint="cs"/>
          <w:vertAlign w:val="superscript"/>
          <w:rtl/>
        </w:rPr>
        <w:t>(</w:t>
      </w:r>
      <w:r>
        <w:rPr>
          <w:rStyle w:val="a7"/>
          <w:rtl/>
        </w:rPr>
        <w:footnoteReference w:id="2896"/>
      </w:r>
      <w:r>
        <w:rPr>
          <w:rFonts w:hint="cs"/>
          <w:vertAlign w:val="superscript"/>
          <w:rtl/>
        </w:rPr>
        <w:t>)</w:t>
      </w:r>
      <w:r>
        <w:rPr>
          <w:rFonts w:hint="cs"/>
          <w:rtl/>
        </w:rPr>
        <w:t xml:space="preserve"> :</w:t>
      </w:r>
    </w:p>
    <w:p w:rsidR="00C10469" w:rsidRDefault="00C10469">
      <w:pPr>
        <w:rPr>
          <w:rtl/>
        </w:rPr>
      </w:pPr>
      <w:r>
        <w:rPr>
          <w:rFonts w:hint="cs"/>
          <w:b/>
          <w:bCs/>
          <w:rtl/>
        </w:rPr>
        <w:lastRenderedPageBreak/>
        <w:t>ولذا</w:t>
      </w:r>
      <w:r>
        <w:rPr>
          <w:rFonts w:hint="cs"/>
          <w:rtl/>
        </w:rPr>
        <w:t xml:space="preserve"> : حرم أصل</w:t>
      </w:r>
      <w:r>
        <w:rPr>
          <w:rFonts w:hint="cs"/>
          <w:vertAlign w:val="superscript"/>
          <w:rtl/>
        </w:rPr>
        <w:t>(</w:t>
      </w:r>
      <w:r>
        <w:rPr>
          <w:rStyle w:val="a7"/>
          <w:rtl/>
        </w:rPr>
        <w:footnoteReference w:id="2897"/>
      </w:r>
      <w:r>
        <w:rPr>
          <w:rFonts w:hint="cs"/>
          <w:vertAlign w:val="superscript"/>
          <w:rtl/>
        </w:rPr>
        <w:t>)</w:t>
      </w:r>
      <w:r>
        <w:rPr>
          <w:rFonts w:hint="cs"/>
          <w:rtl/>
        </w:rPr>
        <w:t xml:space="preserve"> [المنظور]</w:t>
      </w:r>
      <w:r>
        <w:rPr>
          <w:rStyle w:val="a7"/>
          <w:rtl/>
        </w:rPr>
        <w:footnoteReference w:id="2898"/>
      </w:r>
      <w:r>
        <w:rPr>
          <w:rFonts w:hint="cs"/>
          <w:rtl/>
        </w:rPr>
        <w:t xml:space="preserve"> إلى فرجها الدّاخل من الزجاج</w:t>
      </w:r>
      <w:r>
        <w:rPr>
          <w:rStyle w:val="a7"/>
          <w:rtl/>
        </w:rPr>
        <w:footnoteReference w:id="2899"/>
      </w:r>
      <w:r>
        <w:rPr>
          <w:rFonts w:hint="cs"/>
          <w:rtl/>
        </w:rPr>
        <w:t xml:space="preserve"> وفرعها</w:t>
      </w:r>
      <w:r>
        <w:rPr>
          <w:rFonts w:hint="cs"/>
          <w:vertAlign w:val="superscript"/>
          <w:rtl/>
        </w:rPr>
        <w:t>(</w:t>
      </w:r>
      <w:r>
        <w:rPr>
          <w:rStyle w:val="a7"/>
          <w:rtl/>
        </w:rPr>
        <w:footnoteReference w:id="2900"/>
      </w:r>
      <w:r>
        <w:rPr>
          <w:rFonts w:hint="cs"/>
          <w:vertAlign w:val="superscript"/>
          <w:rtl/>
        </w:rPr>
        <w:t>)</w:t>
      </w:r>
      <w:r>
        <w:rPr>
          <w:rFonts w:hint="cs"/>
          <w:rtl/>
        </w:rPr>
        <w:t>.</w:t>
      </w:r>
    </w:p>
    <w:p w:rsidR="00C10469" w:rsidRDefault="00C10469">
      <w:pPr>
        <w:rPr>
          <w:rtl/>
        </w:rPr>
      </w:pPr>
      <w:r>
        <w:rPr>
          <w:rFonts w:hint="cs"/>
          <w:rtl/>
        </w:rPr>
        <w:t>واستثنى البعض من هذا الأصل : أن رؤية المشتري [الدّهنَ]</w:t>
      </w:r>
      <w:r>
        <w:rPr>
          <w:rStyle w:val="a7"/>
          <w:rtl/>
        </w:rPr>
        <w:footnoteReference w:id="2901"/>
      </w:r>
      <w:r>
        <w:rPr>
          <w:rFonts w:hint="cs"/>
          <w:rtl/>
        </w:rPr>
        <w:t xml:space="preserve"> من وراء</w:t>
      </w:r>
      <w:r>
        <w:rPr>
          <w:rStyle w:val="a7"/>
          <w:rtl/>
        </w:rPr>
        <w:footnoteReference w:id="2902"/>
      </w:r>
      <w:r>
        <w:rPr>
          <w:rFonts w:hint="cs"/>
          <w:rtl/>
        </w:rPr>
        <w:t xml:space="preserve"> الزجاج لا يسقط</w:t>
      </w:r>
      <w:r>
        <w:rPr>
          <w:rStyle w:val="a7"/>
          <w:rtl/>
        </w:rPr>
        <w:footnoteReference w:id="2903"/>
      </w:r>
      <w:r>
        <w:rPr>
          <w:rFonts w:hint="cs"/>
          <w:rtl/>
        </w:rPr>
        <w:t xml:space="preserve"> خياره</w:t>
      </w:r>
      <w:r>
        <w:rPr>
          <w:rFonts w:hint="cs"/>
          <w:vertAlign w:val="superscript"/>
          <w:rtl/>
        </w:rPr>
        <w:t>(</w:t>
      </w:r>
      <w:r>
        <w:rPr>
          <w:rStyle w:val="a7"/>
          <w:rtl/>
        </w:rPr>
        <w:footnoteReference w:id="2904"/>
      </w:r>
      <w:r>
        <w:rPr>
          <w:rFonts w:hint="cs"/>
          <w:vertAlign w:val="superscript"/>
          <w:rtl/>
        </w:rPr>
        <w:t>)</w:t>
      </w:r>
      <w:r>
        <w:rPr>
          <w:rFonts w:hint="cs"/>
          <w:rtl/>
        </w:rPr>
        <w:t>.</w:t>
      </w:r>
    </w:p>
    <w:p w:rsidR="00C10469" w:rsidRDefault="00C10469">
      <w:pPr>
        <w:rPr>
          <w:rtl/>
        </w:rPr>
      </w:pPr>
      <w:r>
        <w:rPr>
          <w:rFonts w:hint="cs"/>
          <w:rtl/>
        </w:rPr>
        <w:lastRenderedPageBreak/>
        <w:t>وعلل صاحب (الدرر) عند ذكر هذه المسألة بأنها</w:t>
      </w:r>
      <w:r>
        <w:t xml:space="preserve"> </w:t>
      </w:r>
      <w:r>
        <w:rPr>
          <w:rFonts w:hint="cs"/>
          <w:rtl/>
        </w:rPr>
        <w:t xml:space="preserve"> : </w:t>
      </w:r>
      <w:r>
        <w:rPr>
          <w:rFonts w:hint="eastAsia"/>
          <w:rtl/>
        </w:rPr>
        <w:t>«</w:t>
      </w:r>
      <w:r>
        <w:rPr>
          <w:rFonts w:hint="cs"/>
          <w:rtl/>
        </w:rPr>
        <w:t>لا تكون رؤية حقيقية؛ لوجود الحائل</w:t>
      </w:r>
      <w:r>
        <w:rPr>
          <w:rFonts w:hint="eastAsia"/>
          <w:rtl/>
        </w:rPr>
        <w:t>»</w:t>
      </w:r>
      <w:r>
        <w:rPr>
          <w:rFonts w:hint="cs"/>
          <w:vertAlign w:val="superscript"/>
          <w:rtl/>
        </w:rPr>
        <w:t>(</w:t>
      </w:r>
      <w:r>
        <w:rPr>
          <w:rStyle w:val="a7"/>
          <w:rtl/>
        </w:rPr>
        <w:footnoteReference w:id="2905"/>
      </w:r>
      <w:r>
        <w:rPr>
          <w:rFonts w:hint="cs"/>
          <w:vertAlign w:val="superscript"/>
          <w:rtl/>
        </w:rPr>
        <w:t>)</w:t>
      </w:r>
      <w:r>
        <w:rPr>
          <w:rFonts w:hint="cs"/>
          <w:rtl/>
        </w:rPr>
        <w:t>.</w:t>
      </w:r>
    </w:p>
    <w:p w:rsidR="00C10469" w:rsidRDefault="00C10469">
      <w:pPr>
        <w:rPr>
          <w:spacing w:val="10"/>
          <w:rtl/>
        </w:rPr>
      </w:pPr>
      <w:r>
        <w:rPr>
          <w:rFonts w:hint="cs"/>
          <w:spacing w:val="10"/>
          <w:rtl/>
        </w:rPr>
        <w:t>ولم يصب؛ بل العلة التامة : أنَّ [الدهن]</w:t>
      </w:r>
      <w:r>
        <w:rPr>
          <w:rStyle w:val="a7"/>
          <w:spacing w:val="10"/>
          <w:rtl/>
        </w:rPr>
        <w:footnoteReference w:id="2906"/>
      </w:r>
      <w:r>
        <w:rPr>
          <w:rFonts w:hint="cs"/>
          <w:spacing w:val="10"/>
          <w:rtl/>
        </w:rPr>
        <w:t xml:space="preserve"> ممّا يطعم، فيشترط</w:t>
      </w:r>
      <w:r>
        <w:rPr>
          <w:rStyle w:val="a7"/>
          <w:spacing w:val="10"/>
          <w:rtl/>
        </w:rPr>
        <w:footnoteReference w:id="2907"/>
      </w:r>
      <w:r>
        <w:rPr>
          <w:rFonts w:hint="cs"/>
          <w:spacing w:val="10"/>
          <w:rtl/>
        </w:rPr>
        <w:t xml:space="preserve"> لسقوط خيار الرؤية وخيار العيب فيه الذوقُ - كما شُرط</w:t>
      </w:r>
      <w:r>
        <w:rPr>
          <w:rStyle w:val="a7"/>
          <w:spacing w:val="10"/>
          <w:rtl/>
        </w:rPr>
        <w:footnoteReference w:id="2908"/>
      </w:r>
      <w:r>
        <w:rPr>
          <w:rFonts w:hint="cs"/>
          <w:spacing w:val="10"/>
          <w:rtl/>
        </w:rPr>
        <w:t xml:space="preserve"> في المشمومات الشم - ولا يكفي الرؤية ولو</w:t>
      </w:r>
      <w:r>
        <w:rPr>
          <w:rStyle w:val="a7"/>
          <w:spacing w:val="10"/>
          <w:rtl/>
        </w:rPr>
        <w:footnoteReference w:id="2909"/>
      </w:r>
      <w:r>
        <w:rPr>
          <w:rFonts w:hint="cs"/>
          <w:spacing w:val="10"/>
          <w:rtl/>
        </w:rPr>
        <w:t xml:space="preserve"> في الـخارج، فإن المراد من الرؤية : العلم بالمقصود - على ما صرحوا به-</w:t>
      </w:r>
      <w:r>
        <w:rPr>
          <w:rFonts w:hint="cs"/>
          <w:spacing w:val="10"/>
          <w:vertAlign w:val="superscript"/>
          <w:rtl/>
        </w:rPr>
        <w:t>(</w:t>
      </w:r>
      <w:r>
        <w:rPr>
          <w:rStyle w:val="a7"/>
          <w:spacing w:val="10"/>
          <w:rtl/>
        </w:rPr>
        <w:footnoteReference w:id="2910"/>
      </w:r>
      <w:r>
        <w:rPr>
          <w:rFonts w:hint="cs"/>
          <w:spacing w:val="10"/>
          <w:vertAlign w:val="superscript"/>
          <w:rtl/>
        </w:rPr>
        <w:t>)</w:t>
      </w:r>
      <w:r>
        <w:rPr>
          <w:rFonts w:hint="cs"/>
          <w:spacing w:val="10"/>
          <w:rtl/>
        </w:rPr>
        <w:t>.</w:t>
      </w:r>
    </w:p>
    <w:p w:rsidR="00C10469" w:rsidRDefault="00C10469">
      <w:pPr>
        <w:rPr>
          <w:spacing w:val="-4"/>
          <w:rtl/>
        </w:rPr>
      </w:pPr>
      <w:r>
        <w:rPr>
          <w:rFonts w:hint="cs"/>
          <w:spacing w:val="-4"/>
          <w:rtl/>
        </w:rPr>
        <w:t>وسمعت</w:t>
      </w:r>
      <w:r>
        <w:rPr>
          <w:rStyle w:val="a7"/>
          <w:spacing w:val="-4"/>
          <w:rtl/>
        </w:rPr>
        <w:footnoteReference w:id="2911"/>
      </w:r>
      <w:r>
        <w:rPr>
          <w:rFonts w:hint="cs"/>
          <w:spacing w:val="-4"/>
          <w:rtl/>
        </w:rPr>
        <w:t xml:space="preserve"> من بعض الفضلاء يقول : إن الرؤية من وراء الزجاج ليس</w:t>
      </w:r>
      <w:r>
        <w:rPr>
          <w:rFonts w:hint="cs"/>
          <w:spacing w:val="-4"/>
          <w:vertAlign w:val="superscript"/>
          <w:rtl/>
        </w:rPr>
        <w:t>(</w:t>
      </w:r>
      <w:r>
        <w:rPr>
          <w:rStyle w:val="a7"/>
          <w:spacing w:val="-4"/>
          <w:rtl/>
        </w:rPr>
        <w:footnoteReference w:id="2912"/>
      </w:r>
      <w:r>
        <w:rPr>
          <w:rFonts w:hint="cs"/>
          <w:spacing w:val="-4"/>
          <w:vertAlign w:val="superscript"/>
          <w:rtl/>
        </w:rPr>
        <w:t>)</w:t>
      </w:r>
      <w:r>
        <w:rPr>
          <w:rFonts w:hint="cs"/>
          <w:spacing w:val="-4"/>
          <w:rtl/>
        </w:rPr>
        <w:t xml:space="preserve"> برؤية</w:t>
      </w:r>
      <w:r>
        <w:rPr>
          <w:rStyle w:val="a7"/>
          <w:spacing w:val="-4"/>
          <w:rtl/>
        </w:rPr>
        <w:footnoteReference w:id="2913"/>
      </w:r>
      <w:r>
        <w:rPr>
          <w:rFonts w:hint="cs"/>
          <w:spacing w:val="-4"/>
          <w:rtl/>
        </w:rPr>
        <w:t xml:space="preserve"> حقيقة، وفرَّع عليه المسألة التي ذَكر في خيار الرؤية، واستثنى من هذا الأصل المسألة التي ذكر في المصاهرة على خلاف ما قلنا</w:t>
      </w:r>
      <w:r>
        <w:rPr>
          <w:rStyle w:val="a7"/>
          <w:spacing w:val="-4"/>
          <w:rtl/>
        </w:rPr>
        <w:footnoteReference w:id="2914"/>
      </w:r>
      <w:r>
        <w:rPr>
          <w:rFonts w:hint="cs"/>
          <w:spacing w:val="-4"/>
          <w:rtl/>
        </w:rPr>
        <w:t xml:space="preserve"> وعلّل تخلفها بأن الأصل في البُضع الاحتياط.</w:t>
      </w:r>
    </w:p>
    <w:p w:rsidR="00C10469" w:rsidRDefault="00C10469">
      <w:pPr>
        <w:rPr>
          <w:rtl/>
        </w:rPr>
      </w:pPr>
      <w:r>
        <w:rPr>
          <w:rFonts w:hint="cs"/>
          <w:rtl/>
        </w:rPr>
        <w:lastRenderedPageBreak/>
        <w:t>ولكن الحق ما ذكرنا؛ لأن الشيوخ يضعون الزجاج</w:t>
      </w:r>
      <w:r>
        <w:rPr>
          <w:rFonts w:hint="cs"/>
          <w:vertAlign w:val="superscript"/>
          <w:rtl/>
        </w:rPr>
        <w:t>(</w:t>
      </w:r>
      <w:r>
        <w:rPr>
          <w:rStyle w:val="a7"/>
          <w:rtl/>
        </w:rPr>
        <w:footnoteReference w:id="2915"/>
      </w:r>
      <w:r>
        <w:rPr>
          <w:rFonts w:hint="cs"/>
          <w:vertAlign w:val="superscript"/>
          <w:rtl/>
        </w:rPr>
        <w:t>)</w:t>
      </w:r>
      <w:r>
        <w:rPr>
          <w:rFonts w:hint="cs"/>
          <w:rtl/>
        </w:rPr>
        <w:t xml:space="preserve"> على أنوفهم وينظرون به إلى الخطوط والدراهم والجواهر واللآلئ، ولم يقل أحد بأنهم لم يروا حقيقة !! بل رؤيتهم من</w:t>
      </w:r>
      <w:r>
        <w:rPr>
          <w:rStyle w:val="a7"/>
          <w:rtl/>
        </w:rPr>
        <w:footnoteReference w:id="2916"/>
      </w:r>
      <w:r>
        <w:rPr>
          <w:rFonts w:hint="cs"/>
          <w:rtl/>
        </w:rPr>
        <w:t xml:space="preserve"> وراء الزجاج أقوى من رؤيتهم بعدمه.</w:t>
      </w:r>
    </w:p>
    <w:p w:rsidR="00C10469" w:rsidRDefault="00C10469">
      <w:pPr>
        <w:rPr>
          <w:rtl/>
        </w:rPr>
      </w:pPr>
      <w:r>
        <w:rPr>
          <w:rFonts w:hint="cs"/>
          <w:rtl/>
        </w:rPr>
        <w:t>و</w:t>
      </w:r>
      <w:r>
        <w:rPr>
          <w:rStyle w:val="a7"/>
          <w:rtl/>
        </w:rPr>
        <w:footnoteReference w:id="2917"/>
      </w:r>
      <w:r>
        <w:rPr>
          <w:rFonts w:hint="cs"/>
          <w:rtl/>
        </w:rPr>
        <w:t xml:space="preserve"> ما أحسن قول من قال :</w:t>
      </w:r>
    </w:p>
    <w:p w:rsidR="00C10469" w:rsidRDefault="00C10469">
      <w:pPr>
        <w:rPr>
          <w:b/>
          <w:bCs/>
          <w:rtl/>
        </w:rPr>
      </w:pPr>
      <w:r>
        <w:rPr>
          <w:rFonts w:hint="cs"/>
          <w:b/>
          <w:bCs/>
          <w:rtl/>
        </w:rPr>
        <w:t>در جشم عينك في نهم در موسم ديداريار</w:t>
      </w:r>
      <w:r>
        <w:rPr>
          <w:rStyle w:val="a7"/>
          <w:b/>
          <w:rtl/>
        </w:rPr>
        <w:footnoteReference w:id="2918"/>
      </w:r>
    </w:p>
    <w:p w:rsidR="00C10469" w:rsidRDefault="00C10469">
      <w:pPr>
        <w:jc w:val="right"/>
        <w:rPr>
          <w:b/>
          <w:bCs/>
          <w:rtl/>
        </w:rPr>
      </w:pPr>
      <w:r>
        <w:rPr>
          <w:rFonts w:hint="cs"/>
          <w:b/>
          <w:bCs/>
          <w:rtl/>
        </w:rPr>
        <w:t>يعني كه بهر ديدنت جشم</w:t>
      </w:r>
      <w:r>
        <w:rPr>
          <w:rStyle w:val="a7"/>
          <w:b/>
          <w:rtl/>
        </w:rPr>
        <w:footnoteReference w:id="2919"/>
      </w:r>
      <w:r>
        <w:rPr>
          <w:rFonts w:hint="cs"/>
          <w:b/>
          <w:bCs/>
          <w:rtl/>
        </w:rPr>
        <w:t xml:space="preserve"> همى باشد جهار</w:t>
      </w:r>
      <w:r>
        <w:rPr>
          <w:rFonts w:hint="cs"/>
          <w:b/>
          <w:bCs/>
          <w:vertAlign w:val="superscript"/>
          <w:rtl/>
        </w:rPr>
        <w:t>(</w:t>
      </w:r>
      <w:r>
        <w:rPr>
          <w:rStyle w:val="a7"/>
          <w:b/>
          <w:rtl/>
        </w:rPr>
        <w:footnoteReference w:id="2920"/>
      </w:r>
      <w:r>
        <w:rPr>
          <w:rFonts w:hint="cs"/>
          <w:b/>
          <w:bCs/>
          <w:vertAlign w:val="superscript"/>
          <w:rtl/>
        </w:rPr>
        <w:t>)(</w:t>
      </w:r>
      <w:r>
        <w:rPr>
          <w:rStyle w:val="a7"/>
          <w:b/>
          <w:rtl/>
        </w:rPr>
        <w:footnoteReference w:id="2921"/>
      </w:r>
      <w:r>
        <w:rPr>
          <w:rFonts w:hint="cs"/>
          <w:b/>
          <w:bCs/>
          <w:vertAlign w:val="superscript"/>
          <w:rtl/>
        </w:rPr>
        <w:t>)</w:t>
      </w:r>
      <w:r>
        <w:rPr>
          <w:rFonts w:hint="cs"/>
          <w:b/>
          <w:bCs/>
          <w:rtl/>
        </w:rPr>
        <w:t>.</w:t>
      </w:r>
    </w:p>
    <w:p w:rsidR="00C10469" w:rsidRDefault="00C10469">
      <w:pPr>
        <w:rPr>
          <w:rtl/>
        </w:rPr>
      </w:pPr>
      <w:r>
        <w:rPr>
          <w:rFonts w:hint="cs"/>
          <w:rtl/>
        </w:rPr>
        <w:lastRenderedPageBreak/>
        <w:t>ولئن سلّمنا</w:t>
      </w:r>
      <w:r>
        <w:rPr>
          <w:rStyle w:val="a7"/>
          <w:rtl/>
        </w:rPr>
        <w:footnoteReference w:id="2922"/>
      </w:r>
      <w:r>
        <w:rPr>
          <w:rFonts w:hint="cs"/>
          <w:rtl/>
        </w:rPr>
        <w:t xml:space="preserve"> أن الزجاج يُرى الشيء فيما وراءه على غير لون وجرمٍ كان الشيء عليه، لا نسلم أن رؤية المشتري ليس بحقيقة، كالعكس في المرآة</w:t>
      </w:r>
      <w:r>
        <w:rPr>
          <w:rFonts w:hint="cs"/>
          <w:vertAlign w:val="superscript"/>
          <w:rtl/>
        </w:rPr>
        <w:t>(</w:t>
      </w:r>
      <w:r>
        <w:rPr>
          <w:rStyle w:val="a7"/>
          <w:rtl/>
        </w:rPr>
        <w:footnoteReference w:id="2923"/>
      </w:r>
      <w:r>
        <w:rPr>
          <w:rFonts w:hint="cs"/>
          <w:vertAlign w:val="superscript"/>
          <w:rtl/>
        </w:rPr>
        <w:t>)</w:t>
      </w:r>
      <w:r>
        <w:rPr>
          <w:rFonts w:hint="cs"/>
          <w:rtl/>
        </w:rPr>
        <w:t>؛ بل الزجاج يورث الغلظ</w:t>
      </w:r>
      <w:r>
        <w:rPr>
          <w:rStyle w:val="a7"/>
          <w:rtl/>
        </w:rPr>
        <w:footnoteReference w:id="2924"/>
      </w:r>
      <w:r>
        <w:rPr>
          <w:rFonts w:hint="cs"/>
          <w:rtl/>
        </w:rPr>
        <w:t xml:space="preserve"> في أوصافه.</w:t>
      </w:r>
    </w:p>
    <w:p w:rsidR="00C10469" w:rsidRDefault="00C10469">
      <w:pPr>
        <w:rPr>
          <w:rtl/>
        </w:rPr>
      </w:pPr>
      <w:r>
        <w:rPr>
          <w:rFonts w:hint="cs"/>
          <w:rtl/>
        </w:rPr>
        <w:t>وبهذا الاعتبار لا يبعد عدم سقوط خيار المشتري. ومع هذا عدم صحة إيراد الدليل الذي أورده صاحب (الدرر) لا يخفى على من له ذوق سليم</w:t>
      </w:r>
      <w:r>
        <w:rPr>
          <w:rFonts w:hint="cs"/>
          <w:vertAlign w:val="superscript"/>
          <w:rtl/>
        </w:rPr>
        <w:t>(</w:t>
      </w:r>
      <w:r>
        <w:rPr>
          <w:rStyle w:val="a7"/>
          <w:rtl/>
        </w:rPr>
        <w:footnoteReference w:id="2925"/>
      </w:r>
      <w:r>
        <w:rPr>
          <w:rFonts w:hint="cs"/>
          <w:vertAlign w:val="superscript"/>
          <w:rtl/>
        </w:rPr>
        <w:t>)</w:t>
      </w:r>
      <w:r>
        <w:rPr>
          <w:rFonts w:hint="cs"/>
          <w:rtl/>
        </w:rPr>
        <w:t xml:space="preserve">؛ لأن هذا </w:t>
      </w:r>
      <w:r>
        <w:rPr>
          <w:rFonts w:hint="cs"/>
          <w:rtl/>
        </w:rPr>
        <w:lastRenderedPageBreak/>
        <w:t>إنما يكون دليلاً في المرئيّات، لا في المطعومات والمشمومات</w:t>
      </w:r>
      <w:r>
        <w:rPr>
          <w:rFonts w:hint="cs"/>
          <w:vertAlign w:val="superscript"/>
          <w:rtl/>
        </w:rPr>
        <w:t>(</w:t>
      </w:r>
      <w:r>
        <w:rPr>
          <w:rStyle w:val="a7"/>
          <w:rtl/>
        </w:rPr>
        <w:footnoteReference w:id="2926"/>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632824"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8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C742F4" w:rsidRDefault="00C10469">
      <w:pPr>
        <w:pStyle w:val="a9"/>
        <w:rPr>
          <w:rFonts w:cs="AL-Mateen"/>
          <w:rtl/>
        </w:rPr>
      </w:pPr>
      <w:r w:rsidRPr="00C742F4">
        <w:rPr>
          <w:rFonts w:cs="AL-Mateen" w:hint="cs"/>
          <w:rtl/>
        </w:rPr>
        <w:lastRenderedPageBreak/>
        <w:t>[ القـاعـدة الـحـاديـة والـثـلاثـون بـعـد الـمـائـة ]</w:t>
      </w:r>
    </w:p>
    <w:p w:rsidR="00C10469" w:rsidRDefault="00C10469">
      <w:pPr>
        <w:rPr>
          <w:rtl/>
        </w:rPr>
      </w:pPr>
      <w:r>
        <w:rPr>
          <w:rFonts w:cs="Monotype Koufi" w:hint="cs"/>
          <w:rtl/>
        </w:rPr>
        <w:t>الرّجُوعُ مِنَ</w:t>
      </w:r>
      <w:r>
        <w:rPr>
          <w:rStyle w:val="a7"/>
          <w:rtl/>
        </w:rPr>
        <w:footnoteReference w:id="2927"/>
      </w:r>
      <w:r>
        <w:rPr>
          <w:rFonts w:hint="cs"/>
          <w:rtl/>
        </w:rPr>
        <w:t xml:space="preserve"> </w:t>
      </w:r>
      <w:r>
        <w:rPr>
          <w:rFonts w:cs="Monotype Koufi" w:hint="cs"/>
          <w:rtl/>
        </w:rPr>
        <w:t>الإقْرَارِ بَاطِلٌ</w:t>
      </w:r>
      <w:r>
        <w:rPr>
          <w:rFonts w:hint="cs"/>
          <w:vertAlign w:val="superscript"/>
          <w:rtl/>
        </w:rPr>
        <w:t>(</w:t>
      </w:r>
      <w:r>
        <w:rPr>
          <w:rStyle w:val="a7"/>
          <w:rtl/>
        </w:rPr>
        <w:footnoteReference w:id="2928"/>
      </w:r>
      <w:r>
        <w:rPr>
          <w:rFonts w:hint="cs"/>
          <w:vertAlign w:val="superscript"/>
          <w:rtl/>
        </w:rPr>
        <w:t>)</w:t>
      </w:r>
      <w:r>
        <w:rPr>
          <w:rFonts w:hint="cs"/>
          <w:rtl/>
        </w:rPr>
        <w:t xml:space="preserve"> :</w:t>
      </w:r>
    </w:p>
    <w:p w:rsidR="00C10469" w:rsidRDefault="00C10469">
      <w:pPr>
        <w:rPr>
          <w:rtl/>
        </w:rPr>
      </w:pPr>
      <w:r>
        <w:rPr>
          <w:rFonts w:hint="cs"/>
          <w:rtl/>
        </w:rPr>
        <w:t>ومعنى هذا الأصل ظاهر.</w:t>
      </w:r>
    </w:p>
    <w:p w:rsidR="00C10469" w:rsidRDefault="00C10469">
      <w:pPr>
        <w:rPr>
          <w:rtl/>
        </w:rPr>
      </w:pPr>
      <w:r>
        <w:rPr>
          <w:rFonts w:hint="cs"/>
          <w:rtl/>
        </w:rPr>
        <w:t>وفروعها كثيرة، ومنها : لو قال : له عليّ ألف من [ثمن]</w:t>
      </w:r>
      <w:r>
        <w:rPr>
          <w:rStyle w:val="a7"/>
          <w:rtl/>
        </w:rPr>
        <w:footnoteReference w:id="2929"/>
      </w:r>
      <w:r>
        <w:rPr>
          <w:rFonts w:hint="cs"/>
          <w:rtl/>
        </w:rPr>
        <w:t xml:space="preserve"> قنٍّ</w:t>
      </w:r>
      <w:r>
        <w:rPr>
          <w:rStyle w:val="a7"/>
          <w:rtl/>
        </w:rPr>
        <w:footnoteReference w:id="2930"/>
      </w:r>
      <w:r>
        <w:rPr>
          <w:rFonts w:hint="cs"/>
          <w:rtl/>
        </w:rPr>
        <w:t xml:space="preserve"> اشتريته منه ولم أقبضه -ولم يذكر</w:t>
      </w:r>
      <w:r>
        <w:rPr>
          <w:rStyle w:val="a7"/>
          <w:rtl/>
        </w:rPr>
        <w:footnoteReference w:id="2931"/>
      </w:r>
      <w:r>
        <w:rPr>
          <w:rFonts w:hint="cs"/>
          <w:rtl/>
        </w:rPr>
        <w:t xml:space="preserve"> قنًّا بعينه</w:t>
      </w:r>
      <w:r>
        <w:rPr>
          <w:rStyle w:val="a7"/>
          <w:rtl/>
        </w:rPr>
        <w:footnoteReference w:id="2932"/>
      </w:r>
      <w:r>
        <w:rPr>
          <w:rFonts w:hint="cs"/>
          <w:rtl/>
        </w:rPr>
        <w:t xml:space="preserve">- : لزم الألف، و </w:t>
      </w:r>
      <w:r>
        <w:rPr>
          <w:rFonts w:hint="eastAsia"/>
          <w:rtl/>
        </w:rPr>
        <w:t>«</w:t>
      </w:r>
      <w:r>
        <w:rPr>
          <w:rFonts w:hint="cs"/>
          <w:rtl/>
        </w:rPr>
        <w:t>لا يصدّق في قوله : (ما قبضت) عند أبي حنيفة، وَصَلَ أَوْ فَصَلَ</w:t>
      </w:r>
      <w:r>
        <w:rPr>
          <w:rFonts w:hint="cs"/>
          <w:vertAlign w:val="superscript"/>
          <w:rtl/>
        </w:rPr>
        <w:t>(</w:t>
      </w:r>
      <w:r>
        <w:rPr>
          <w:rStyle w:val="a7"/>
          <w:rtl/>
        </w:rPr>
        <w:footnoteReference w:id="2933"/>
      </w:r>
      <w:r>
        <w:rPr>
          <w:rFonts w:hint="cs"/>
          <w:vertAlign w:val="superscript"/>
          <w:rtl/>
        </w:rPr>
        <w:t>)</w:t>
      </w:r>
      <w:r>
        <w:rPr>
          <w:rFonts w:hint="cs"/>
          <w:rtl/>
        </w:rPr>
        <w:t>؛ لأنـه رجوع عمّا أقرّ به.</w:t>
      </w:r>
    </w:p>
    <w:p w:rsidR="00C10469" w:rsidRDefault="00C10469">
      <w:pPr>
        <w:rPr>
          <w:rtl/>
        </w:rPr>
      </w:pPr>
      <w:r>
        <w:rPr>
          <w:rFonts w:hint="cs"/>
          <w:rtl/>
        </w:rPr>
        <w:lastRenderedPageBreak/>
        <w:t>وقالا</w:t>
      </w:r>
      <w:r>
        <w:rPr>
          <w:rFonts w:hint="cs"/>
          <w:vertAlign w:val="superscript"/>
          <w:rtl/>
        </w:rPr>
        <w:t>(</w:t>
      </w:r>
      <w:r>
        <w:rPr>
          <w:rStyle w:val="a7"/>
          <w:rtl/>
        </w:rPr>
        <w:footnoteReference w:id="2934"/>
      </w:r>
      <w:r>
        <w:rPr>
          <w:rFonts w:hint="cs"/>
          <w:vertAlign w:val="superscript"/>
          <w:rtl/>
        </w:rPr>
        <w:t>)</w:t>
      </w:r>
      <w:r>
        <w:rPr>
          <w:rFonts w:hint="cs"/>
          <w:rtl/>
        </w:rPr>
        <w:t xml:space="preserve"> : إن وَصَلَ صُدِّق، وإن فصل لم يُصدَّق؛ لأنه بيان تغيير، فصحّ موصولاً لا مفصولاً، كالاستثناء والشرط</w:t>
      </w:r>
      <w:r>
        <w:rPr>
          <w:rFonts w:hint="eastAsia"/>
          <w:rtl/>
        </w:rPr>
        <w:t>»</w:t>
      </w:r>
      <w:r>
        <w:rPr>
          <w:rFonts w:hint="cs"/>
          <w:vertAlign w:val="superscript"/>
          <w:rtl/>
        </w:rPr>
        <w:t>(</w:t>
      </w:r>
      <w:r>
        <w:rPr>
          <w:rStyle w:val="a7"/>
          <w:rtl/>
        </w:rPr>
        <w:footnoteReference w:id="2935"/>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1902"/>
        </w:tabs>
        <w:rPr>
          <w:rtl/>
        </w:rPr>
        <w:sectPr w:rsidR="00C10469" w:rsidSect="00C10469">
          <w:headerReference w:type="default" r:id="rId18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tl/>
        </w:rPr>
        <w:tab/>
      </w:r>
    </w:p>
    <w:p w:rsidR="00C10469" w:rsidRPr="00A82309" w:rsidRDefault="00C10469">
      <w:pPr>
        <w:pStyle w:val="a9"/>
        <w:rPr>
          <w:rFonts w:cs="AL-Mateen"/>
          <w:rtl/>
        </w:rPr>
      </w:pPr>
      <w:r w:rsidRPr="00A82309">
        <w:rPr>
          <w:rFonts w:cs="AL-Mateen" w:hint="cs"/>
          <w:rtl/>
        </w:rPr>
        <w:lastRenderedPageBreak/>
        <w:t>[ الـقـاعـدة الـثـانـيـة والـثـلاثـون بـعـد الـمـائـة ]</w:t>
      </w:r>
    </w:p>
    <w:p w:rsidR="00C10469" w:rsidRDefault="00C10469">
      <w:pPr>
        <w:rPr>
          <w:rtl/>
        </w:rPr>
      </w:pPr>
      <w:r>
        <w:rPr>
          <w:rFonts w:cs="Monotype Koufi" w:hint="cs"/>
          <w:rtl/>
        </w:rPr>
        <w:t>الرُّجُوعُ فِي الهِبَةِ - وَلَوْ بِالتَّرَاضِي - فَسْخٌ لِعَقْدِ الهِبَةِ مِنَ الأَصْلِ، وَ</w:t>
      </w:r>
      <w:r>
        <w:rPr>
          <w:rStyle w:val="a7"/>
          <w:rtl/>
        </w:rPr>
        <w:footnoteReference w:id="2936"/>
      </w:r>
      <w:r>
        <w:rPr>
          <w:rFonts w:hint="cs"/>
          <w:rtl/>
        </w:rPr>
        <w:t xml:space="preserve"> </w:t>
      </w:r>
      <w:r>
        <w:rPr>
          <w:rFonts w:cs="Monotype Koufi" w:hint="cs"/>
          <w:rtl/>
        </w:rPr>
        <w:t>إِعَادَةُ المِلْكِ القَديم لا هبةً</w:t>
      </w:r>
      <w:r>
        <w:rPr>
          <w:rFonts w:hint="cs"/>
          <w:vertAlign w:val="superscript"/>
          <w:rtl/>
        </w:rPr>
        <w:t>(</w:t>
      </w:r>
      <w:r>
        <w:rPr>
          <w:rStyle w:val="a7"/>
          <w:rtl/>
        </w:rPr>
        <w:footnoteReference w:id="2937"/>
      </w:r>
      <w:r>
        <w:rPr>
          <w:rFonts w:hint="cs"/>
          <w:vertAlign w:val="superscript"/>
          <w:rtl/>
        </w:rPr>
        <w:t>)</w:t>
      </w:r>
      <w:r>
        <w:rPr>
          <w:rFonts w:hint="cs"/>
          <w:rtl/>
        </w:rPr>
        <w:t xml:space="preserve"> :</w:t>
      </w:r>
    </w:p>
    <w:p w:rsidR="00C10469" w:rsidRDefault="00C10469">
      <w:pPr>
        <w:rPr>
          <w:rtl/>
        </w:rPr>
      </w:pPr>
      <w:r>
        <w:rPr>
          <w:rFonts w:hint="cs"/>
          <w:b/>
          <w:bCs/>
          <w:rtl/>
        </w:rPr>
        <w:t>ولذا</w:t>
      </w:r>
      <w:r>
        <w:rPr>
          <w:rFonts w:hint="cs"/>
          <w:rtl/>
        </w:rPr>
        <w:t xml:space="preserve"> : لم يشترط القبض في الموهوب باعتبار</w:t>
      </w:r>
      <w:r>
        <w:rPr>
          <w:rStyle w:val="a7"/>
          <w:rtl/>
        </w:rPr>
        <w:footnoteReference w:id="2938"/>
      </w:r>
      <w:r>
        <w:rPr>
          <w:rFonts w:hint="cs"/>
          <w:rtl/>
        </w:rPr>
        <w:t xml:space="preserve"> الأول، و</w:t>
      </w:r>
      <w:r>
        <w:rPr>
          <w:rStyle w:val="a7"/>
          <w:rtl/>
        </w:rPr>
        <w:footnoteReference w:id="2939"/>
      </w:r>
      <w:r>
        <w:rPr>
          <w:rFonts w:hint="cs"/>
          <w:rtl/>
        </w:rPr>
        <w:t xml:space="preserve"> صح الرجوع في المُشَاع القابِل للقسمة</w:t>
      </w:r>
      <w:r>
        <w:rPr>
          <w:rStyle w:val="a7"/>
          <w:rtl/>
        </w:rPr>
        <w:footnoteReference w:id="2940"/>
      </w:r>
      <w:r>
        <w:rPr>
          <w:rFonts w:hint="cs"/>
          <w:rtl/>
        </w:rPr>
        <w:t>، كنصف [دار]</w:t>
      </w:r>
      <w:r>
        <w:rPr>
          <w:rStyle w:val="a7"/>
          <w:rtl/>
        </w:rPr>
        <w:footnoteReference w:id="2941"/>
      </w:r>
      <w:r>
        <w:rPr>
          <w:rFonts w:hint="cs"/>
          <w:rtl/>
        </w:rPr>
        <w:t xml:space="preserve"> وُهبَتْ. ولو كان [هبة]</w:t>
      </w:r>
      <w:r>
        <w:rPr>
          <w:rStyle w:val="a7"/>
          <w:rtl/>
        </w:rPr>
        <w:footnoteReference w:id="2942"/>
      </w:r>
      <w:r>
        <w:rPr>
          <w:rFonts w:hint="cs"/>
          <w:rtl/>
        </w:rPr>
        <w:t xml:space="preserve"> لـما صـحّ فـيـه</w:t>
      </w:r>
      <w:r>
        <w:rPr>
          <w:rFonts w:hint="cs"/>
          <w:vertAlign w:val="superscript"/>
          <w:rtl/>
        </w:rPr>
        <w:t>(</w:t>
      </w:r>
      <w:r>
        <w:rPr>
          <w:rStyle w:val="a7"/>
          <w:rtl/>
        </w:rPr>
        <w:footnoteReference w:id="2943"/>
      </w:r>
      <w:r>
        <w:rPr>
          <w:rFonts w:hint="cs"/>
          <w:vertAlign w:val="superscript"/>
          <w:rtl/>
        </w:rPr>
        <w:t>)</w:t>
      </w:r>
      <w:r>
        <w:rPr>
          <w:rFonts w:hint="cs"/>
          <w:rtl/>
        </w:rPr>
        <w:t>.</w:t>
      </w:r>
    </w:p>
    <w:p w:rsidR="00C10469" w:rsidRPr="00813CBB" w:rsidRDefault="00C10469">
      <w:pPr>
        <w:rPr>
          <w:spacing w:val="-2"/>
          <w:rtl/>
        </w:rPr>
      </w:pPr>
      <w:r w:rsidRPr="00813CBB">
        <w:rPr>
          <w:rFonts w:hint="cs"/>
          <w:spacing w:val="-2"/>
          <w:rtl/>
        </w:rPr>
        <w:t>و</w:t>
      </w:r>
      <w:r w:rsidRPr="00813CBB">
        <w:rPr>
          <w:rStyle w:val="a7"/>
          <w:spacing w:val="-2"/>
          <w:rtl/>
        </w:rPr>
        <w:footnoteReference w:id="2944"/>
      </w:r>
      <w:r w:rsidRPr="00813CBB">
        <w:rPr>
          <w:rFonts w:hint="cs"/>
          <w:spacing w:val="-2"/>
          <w:rtl/>
        </w:rPr>
        <w:t xml:space="preserve"> ذلـك</w:t>
      </w:r>
      <w:r w:rsidRPr="00813CBB">
        <w:rPr>
          <w:rStyle w:val="a7"/>
          <w:spacing w:val="-2"/>
          <w:rtl/>
        </w:rPr>
        <w:footnoteReference w:id="2945"/>
      </w:r>
      <w:r w:rsidRPr="00813CBB">
        <w:rPr>
          <w:rFonts w:hint="cs"/>
          <w:spacing w:val="-2"/>
          <w:rtl/>
        </w:rPr>
        <w:t xml:space="preserve"> حـيـلـة</w:t>
      </w:r>
      <w:r w:rsidRPr="00813CBB">
        <w:rPr>
          <w:rStyle w:val="a7"/>
          <w:spacing w:val="-2"/>
          <w:rtl/>
        </w:rPr>
        <w:footnoteReference w:id="2946"/>
      </w:r>
      <w:r w:rsidRPr="00813CBB">
        <w:rPr>
          <w:rFonts w:hint="cs"/>
          <w:spacing w:val="-2"/>
          <w:rtl/>
        </w:rPr>
        <w:t xml:space="preserve"> لـمـن أراد أن يـهـب لأجـنــبي نـصـف </w:t>
      </w:r>
    </w:p>
    <w:p w:rsidR="00C10469" w:rsidRDefault="00C10469">
      <w:pPr>
        <w:ind w:firstLine="0"/>
        <w:rPr>
          <w:spacing w:val="-4"/>
          <w:rtl/>
        </w:rPr>
      </w:pPr>
      <w:r>
        <w:rPr>
          <w:rFonts w:hint="cs"/>
          <w:spacing w:val="-4"/>
          <w:rtl/>
        </w:rPr>
        <w:lastRenderedPageBreak/>
        <w:t>مـشاع</w:t>
      </w:r>
      <w:r>
        <w:rPr>
          <w:rFonts w:hint="cs"/>
          <w:spacing w:val="-4"/>
          <w:vertAlign w:val="superscript"/>
          <w:rtl/>
        </w:rPr>
        <w:t>(</w:t>
      </w:r>
      <w:r>
        <w:rPr>
          <w:rStyle w:val="a7"/>
          <w:spacing w:val="-4"/>
          <w:rtl/>
        </w:rPr>
        <w:footnoteReference w:id="2947"/>
      </w:r>
      <w:r>
        <w:rPr>
          <w:rFonts w:hint="cs"/>
          <w:spacing w:val="-4"/>
          <w:vertAlign w:val="superscript"/>
          <w:rtl/>
        </w:rPr>
        <w:t>)</w:t>
      </w:r>
      <w:r>
        <w:rPr>
          <w:rFonts w:hint="cs"/>
          <w:spacing w:val="-4"/>
          <w:rtl/>
        </w:rPr>
        <w:t xml:space="preserve"> قبل التقسيم</w:t>
      </w:r>
      <w:r>
        <w:rPr>
          <w:rStyle w:val="a7"/>
          <w:spacing w:val="-4"/>
          <w:rtl/>
        </w:rPr>
        <w:footnoteReference w:id="2948"/>
      </w:r>
      <w:r>
        <w:rPr>
          <w:rFonts w:hint="cs"/>
          <w:spacing w:val="-4"/>
          <w:rtl/>
        </w:rPr>
        <w:t>، فإنه يهب كل الدار ثم يرجع في النصف فيكون الواهب شريكًا للموهوب له في الدار.</w:t>
      </w:r>
    </w:p>
    <w:p w:rsidR="00C10469" w:rsidRDefault="00C10469">
      <w:pPr>
        <w:rPr>
          <w:spacing w:val="6"/>
          <w:rtl/>
        </w:rPr>
      </w:pPr>
      <w:r>
        <w:rPr>
          <w:rFonts w:hint="cs"/>
          <w:spacing w:val="6"/>
          <w:rtl/>
        </w:rPr>
        <w:t xml:space="preserve">وهذا ما قـالوا : </w:t>
      </w:r>
      <w:r>
        <w:rPr>
          <w:rFonts w:hint="eastAsia"/>
          <w:spacing w:val="6"/>
          <w:rtl/>
        </w:rPr>
        <w:t>«</w:t>
      </w:r>
      <w:r>
        <w:rPr>
          <w:rFonts w:hint="cs"/>
          <w:spacing w:val="6"/>
          <w:rtl/>
        </w:rPr>
        <w:t>إن القـبض إنـما يعتبر في انتقال الملك، لا في عود</w:t>
      </w:r>
      <w:r>
        <w:rPr>
          <w:rStyle w:val="a7"/>
          <w:spacing w:val="6"/>
          <w:rtl/>
        </w:rPr>
        <w:footnoteReference w:id="2949"/>
      </w:r>
      <w:r>
        <w:rPr>
          <w:rFonts w:hint="cs"/>
          <w:spacing w:val="6"/>
          <w:rtl/>
        </w:rPr>
        <w:t xml:space="preserve"> الملك القديم</w:t>
      </w:r>
      <w:r>
        <w:rPr>
          <w:rFonts w:hint="eastAsia"/>
          <w:spacing w:val="6"/>
          <w:rtl/>
        </w:rPr>
        <w:t>»</w:t>
      </w:r>
      <w:r>
        <w:rPr>
          <w:rFonts w:hint="cs"/>
          <w:spacing w:val="6"/>
          <w:vertAlign w:val="superscript"/>
          <w:rtl/>
        </w:rPr>
        <w:t>(</w:t>
      </w:r>
      <w:r>
        <w:rPr>
          <w:rStyle w:val="a7"/>
          <w:spacing w:val="6"/>
          <w:rtl/>
        </w:rPr>
        <w:footnoteReference w:id="2950"/>
      </w:r>
      <w:r>
        <w:rPr>
          <w:rFonts w:hint="cs"/>
          <w:spacing w:val="6"/>
          <w:vertAlign w:val="superscript"/>
          <w:rtl/>
        </w:rPr>
        <w:t>)</w:t>
      </w:r>
      <w:r>
        <w:rPr>
          <w:rFonts w:hint="cs"/>
          <w:spacing w:val="6"/>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pPr>
    </w:p>
    <w:p w:rsidR="00C10469" w:rsidRDefault="00C10469">
      <w:pPr>
        <w:rPr>
          <w:rtl/>
        </w:rPr>
        <w:sectPr w:rsidR="00C10469" w:rsidSect="00C10469">
          <w:headerReference w:type="default" r:id="rId18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C60BA" w:rsidRDefault="00C10469">
      <w:pPr>
        <w:pStyle w:val="a9"/>
        <w:rPr>
          <w:rFonts w:cs="AL-Mateen"/>
          <w:rtl/>
        </w:rPr>
      </w:pPr>
      <w:r w:rsidRPr="008C60BA">
        <w:rPr>
          <w:rFonts w:cs="AL-Mateen" w:hint="cs"/>
          <w:rtl/>
        </w:rPr>
        <w:lastRenderedPageBreak/>
        <w:t>[ الـقـاعـدة الـثـالـثـة والـثـلاثـون بـعـد الـمـائـة ]</w:t>
      </w:r>
    </w:p>
    <w:p w:rsidR="00C10469" w:rsidRDefault="00C10469">
      <w:pPr>
        <w:rPr>
          <w:spacing w:val="-6"/>
          <w:rtl/>
        </w:rPr>
      </w:pPr>
      <w:r>
        <w:rPr>
          <w:rFonts w:cs="Monotype Koufi" w:hint="cs"/>
          <w:spacing w:val="-6"/>
          <w:rtl/>
        </w:rPr>
        <w:t>الرُّجُوعُ إثباتٌ فِي المَاضِي ونفيٌ فِي الحَالِ، والجُحُودُ نفيٌ فِيهِمَا</w:t>
      </w:r>
      <w:r>
        <w:rPr>
          <w:rFonts w:hint="cs"/>
          <w:spacing w:val="-6"/>
          <w:vertAlign w:val="superscript"/>
          <w:rtl/>
        </w:rPr>
        <w:t>(</w:t>
      </w:r>
      <w:r>
        <w:rPr>
          <w:rStyle w:val="a7"/>
          <w:spacing w:val="-6"/>
          <w:rtl/>
        </w:rPr>
        <w:footnoteReference w:id="2951"/>
      </w:r>
      <w:r>
        <w:rPr>
          <w:rFonts w:hint="cs"/>
          <w:spacing w:val="-6"/>
          <w:vertAlign w:val="superscript"/>
          <w:rtl/>
        </w:rPr>
        <w:t>)</w:t>
      </w:r>
      <w:r>
        <w:rPr>
          <w:rFonts w:hint="cs"/>
          <w:spacing w:val="-6"/>
          <w:rtl/>
        </w:rPr>
        <w:t xml:space="preserve"> :</w:t>
      </w:r>
    </w:p>
    <w:p w:rsidR="00C10469" w:rsidRDefault="00C10469">
      <w:pPr>
        <w:rPr>
          <w:rtl/>
        </w:rPr>
      </w:pPr>
      <w:r>
        <w:rPr>
          <w:rFonts w:hint="cs"/>
          <w:rtl/>
        </w:rPr>
        <w:t>فإذا جحد الموصِي الوصيَّة ومات، وأقام الموصى له البيّنة على الإيصاء بالتاريخ المقدم على الجحود : يقبل، ويستحق بالمُوصَى [به]</w:t>
      </w:r>
      <w:r>
        <w:rPr>
          <w:rStyle w:val="a7"/>
          <w:rtl/>
        </w:rPr>
        <w:footnoteReference w:id="2952"/>
      </w:r>
      <w:r>
        <w:rPr>
          <w:rFonts w:hint="cs"/>
          <w:rtl/>
        </w:rPr>
        <w:t>؛ لأنه أخبر بعدم وجود الوصيّة، وأثبتها الموصى له بالبينة، والموجود لا يُنفى بالنفي</w:t>
      </w:r>
      <w:r>
        <w:rPr>
          <w:rFonts w:hint="cs"/>
          <w:vertAlign w:val="superscript"/>
          <w:rtl/>
        </w:rPr>
        <w:t>(</w:t>
      </w:r>
      <w:r>
        <w:rPr>
          <w:rStyle w:val="a7"/>
          <w:rtl/>
        </w:rPr>
        <w:footnoteReference w:id="2953"/>
      </w:r>
      <w:r>
        <w:rPr>
          <w:rFonts w:hint="cs"/>
          <w:vertAlign w:val="superscript"/>
          <w:rtl/>
        </w:rPr>
        <w:t>)</w:t>
      </w:r>
      <w:r>
        <w:rPr>
          <w:rFonts w:hint="cs"/>
          <w:rtl/>
        </w:rPr>
        <w:t>.</w:t>
      </w:r>
    </w:p>
    <w:p w:rsidR="00C10469" w:rsidRDefault="00C10469" w:rsidP="00C10469">
      <w:pPr>
        <w:rPr>
          <w:rtl/>
        </w:rPr>
      </w:pPr>
      <w:r>
        <w:rPr>
          <w:rFonts w:hint="cs"/>
          <w:rtl/>
        </w:rPr>
        <w:t>وبالرجوع [في]</w:t>
      </w:r>
      <w:r>
        <w:rPr>
          <w:rStyle w:val="a7"/>
          <w:rtl/>
        </w:rPr>
        <w:footnoteReference w:id="2954"/>
      </w:r>
      <w:r>
        <w:rPr>
          <w:rFonts w:hint="cs"/>
          <w:rtl/>
        </w:rPr>
        <w:t xml:space="preserve"> حياته لا يستحق الموصى له به؛ لأنه أثبت وجود الوصية، وأنشأ الرجوع عنها إنشاء شرعيًا؛ فصح.</w:t>
      </w:r>
    </w:p>
    <w:p w:rsidR="00C10469" w:rsidRDefault="00C10469">
      <w:pPr>
        <w:rPr>
          <w:rtl/>
        </w:rPr>
      </w:pPr>
      <w:r>
        <w:rPr>
          <w:rFonts w:hint="cs"/>
          <w:rtl/>
        </w:rPr>
        <w:t>وكذا إذا ادّعت المرأة النكاح فجحده الزوج: ليس برجوع، فلا يحكم بالتفريق</w:t>
      </w:r>
      <w:r>
        <w:rPr>
          <w:rFonts w:hint="cs"/>
          <w:vertAlign w:val="superscript"/>
          <w:rtl/>
        </w:rPr>
        <w:t>(</w:t>
      </w:r>
      <w:r>
        <w:rPr>
          <w:rStyle w:val="a7"/>
          <w:rtl/>
        </w:rPr>
        <w:footnoteReference w:id="2955"/>
      </w:r>
      <w:r>
        <w:rPr>
          <w:rFonts w:hint="cs"/>
          <w:vertAlign w:val="superscript"/>
          <w:rtl/>
        </w:rPr>
        <w:t>)</w:t>
      </w:r>
      <w:r>
        <w:rPr>
          <w:rFonts w:hint="cs"/>
          <w:rtl/>
        </w:rPr>
        <w:t>.</w:t>
      </w:r>
    </w:p>
    <w:p w:rsidR="00C10469" w:rsidRDefault="00C10469">
      <w:pPr>
        <w:jc w:val="center"/>
        <w:rPr>
          <w:rtl/>
        </w:rPr>
        <w:sectPr w:rsidR="00C10469" w:rsidSect="00C10469">
          <w:headerReference w:type="default" r:id="rId18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2C2A98" w:rsidRDefault="00C10469">
      <w:pPr>
        <w:pStyle w:val="a9"/>
        <w:rPr>
          <w:rFonts w:cs="AL-Mateen"/>
          <w:rtl/>
        </w:rPr>
      </w:pPr>
      <w:r w:rsidRPr="002C2A98">
        <w:rPr>
          <w:rFonts w:cs="AL-Mateen" w:hint="cs"/>
          <w:rtl/>
        </w:rPr>
        <w:lastRenderedPageBreak/>
        <w:t>[ الـقـاعـدة الـرابـعـة والـثـلاثـون بـعـد الـمـائـة ]</w:t>
      </w:r>
    </w:p>
    <w:p w:rsidR="00C10469" w:rsidRDefault="00C10469">
      <w:pPr>
        <w:rPr>
          <w:rtl/>
        </w:rPr>
      </w:pPr>
      <w:r>
        <w:rPr>
          <w:rFonts w:cs="Monotype Koufi" w:hint="cs"/>
          <w:rtl/>
        </w:rPr>
        <w:t>رَدُّ عَيْنِ المَغْصُوبِ هُوَ المُوجَبُ الأصْلِيُّ</w:t>
      </w:r>
      <w:r>
        <w:rPr>
          <w:rFonts w:hint="cs"/>
          <w:vertAlign w:val="superscript"/>
          <w:rtl/>
        </w:rPr>
        <w:t>(</w:t>
      </w:r>
      <w:r>
        <w:rPr>
          <w:rStyle w:val="a7"/>
          <w:rtl/>
        </w:rPr>
        <w:footnoteReference w:id="2956"/>
      </w:r>
      <w:r>
        <w:rPr>
          <w:rFonts w:hint="cs"/>
          <w:vertAlign w:val="superscript"/>
          <w:rtl/>
        </w:rPr>
        <w:t>)</w:t>
      </w:r>
      <w:r>
        <w:rPr>
          <w:rFonts w:hint="cs"/>
          <w:rtl/>
        </w:rPr>
        <w:t xml:space="preserve"> :</w:t>
      </w:r>
    </w:p>
    <w:p w:rsidR="00C10469" w:rsidRDefault="00C10469">
      <w:pPr>
        <w:rPr>
          <w:rtl/>
        </w:rPr>
      </w:pPr>
      <w:r>
        <w:rPr>
          <w:rFonts w:hint="cs"/>
          <w:rtl/>
        </w:rPr>
        <w:lastRenderedPageBreak/>
        <w:t>فحـينـئذٍ : ردّ قيمتـه هالكًا مخلِّصٌ</w:t>
      </w:r>
      <w:r>
        <w:rPr>
          <w:rStyle w:val="a7"/>
          <w:rtl/>
        </w:rPr>
        <w:footnoteReference w:id="2957"/>
      </w:r>
      <w:r>
        <w:rPr>
          <w:rFonts w:hint="cs"/>
          <w:rtl/>
        </w:rPr>
        <w:t xml:space="preserve"> خَلَفًا</w:t>
      </w:r>
      <w:r>
        <w:rPr>
          <w:rFonts w:hint="cs"/>
          <w:vertAlign w:val="superscript"/>
          <w:rtl/>
        </w:rPr>
        <w:t>(</w:t>
      </w:r>
      <w:r>
        <w:rPr>
          <w:rStyle w:val="a7"/>
          <w:rtl/>
        </w:rPr>
        <w:footnoteReference w:id="2958"/>
      </w:r>
      <w:r>
        <w:rPr>
          <w:rFonts w:hint="cs"/>
          <w:vertAlign w:val="superscript"/>
          <w:rtl/>
        </w:rPr>
        <w:t>)</w:t>
      </w:r>
      <w:r>
        <w:rPr>
          <w:rFonts w:hint="cs"/>
          <w:rtl/>
        </w:rPr>
        <w:t>؛ لأنه قاصرٌ، [إذْ]</w:t>
      </w:r>
      <w:r>
        <w:rPr>
          <w:rStyle w:val="a7"/>
          <w:rtl/>
        </w:rPr>
        <w:footnoteReference w:id="2959"/>
      </w:r>
      <w:r>
        <w:rPr>
          <w:rFonts w:hint="cs"/>
          <w:rtl/>
        </w:rPr>
        <w:t xml:space="preserve"> الكمال في ردّ العين والمالية.</w:t>
      </w:r>
    </w:p>
    <w:p w:rsidR="00C10469" w:rsidRDefault="00C10469">
      <w:pPr>
        <w:rPr>
          <w:rtl/>
        </w:rPr>
      </w:pPr>
      <w:r>
        <w:rPr>
          <w:rFonts w:hint="cs"/>
          <w:rtl/>
        </w:rPr>
        <w:t>وقيل</w:t>
      </w:r>
      <w:r>
        <w:rPr>
          <w:rStyle w:val="a7"/>
          <w:rtl/>
        </w:rPr>
        <w:footnoteReference w:id="2960"/>
      </w:r>
      <w:r>
        <w:rPr>
          <w:rFonts w:hint="cs"/>
          <w:rtl/>
        </w:rPr>
        <w:t xml:space="preserve"> : الموجب الأصلي : القيمة، وردّ العين مخلِّصٌ</w:t>
      </w:r>
      <w:r>
        <w:rPr>
          <w:rStyle w:val="a7"/>
          <w:rtl/>
        </w:rPr>
        <w:footnoteReference w:id="2961"/>
      </w:r>
      <w:r>
        <w:rPr>
          <w:rFonts w:hint="cs"/>
          <w:rtl/>
        </w:rPr>
        <w:t>. والأول أصح.</w:t>
      </w:r>
    </w:p>
    <w:p w:rsidR="00C10469" w:rsidRDefault="00C10469">
      <w:pPr>
        <w:rPr>
          <w:rtl/>
        </w:rPr>
      </w:pPr>
      <w:r>
        <w:rPr>
          <w:rFonts w:hint="cs"/>
          <w:rtl/>
        </w:rPr>
        <w:t>ويظهر ذلك</w:t>
      </w:r>
      <w:r>
        <w:rPr>
          <w:rFonts w:hint="cs"/>
          <w:vertAlign w:val="superscript"/>
          <w:rtl/>
        </w:rPr>
        <w:t>(</w:t>
      </w:r>
      <w:r>
        <w:rPr>
          <w:rStyle w:val="a7"/>
          <w:rtl/>
        </w:rPr>
        <w:footnoteReference w:id="2962"/>
      </w:r>
      <w:r>
        <w:rPr>
          <w:rFonts w:hint="cs"/>
          <w:vertAlign w:val="superscript"/>
          <w:rtl/>
        </w:rPr>
        <w:t>)</w:t>
      </w:r>
      <w:r>
        <w:rPr>
          <w:rFonts w:hint="cs"/>
          <w:rtl/>
        </w:rPr>
        <w:t xml:space="preserve"> في بعض الأحكام :</w:t>
      </w:r>
    </w:p>
    <w:p w:rsidR="00C10469" w:rsidRDefault="00C10469" w:rsidP="00C10469">
      <w:pPr>
        <w:ind w:left="989" w:hanging="357"/>
        <w:rPr>
          <w:spacing w:val="6"/>
          <w:rtl/>
        </w:rPr>
      </w:pPr>
      <w:r>
        <w:rPr>
          <w:b/>
          <w:bCs/>
          <w:spacing w:val="6"/>
          <w:rtl/>
        </w:rPr>
        <w:t>•</w:t>
      </w:r>
      <w:r>
        <w:rPr>
          <w:rFonts w:hint="cs"/>
          <w:b/>
          <w:bCs/>
          <w:spacing w:val="6"/>
          <w:rtl/>
        </w:rPr>
        <w:t xml:space="preserve">  فمنها</w:t>
      </w:r>
      <w:r>
        <w:rPr>
          <w:rFonts w:hint="cs"/>
          <w:spacing w:val="6"/>
          <w:rtl/>
        </w:rPr>
        <w:t xml:space="preserve"> : إذا أبرأ الغاصبَ عن الضمان حال قيام العين</w:t>
      </w:r>
      <w:r>
        <w:rPr>
          <w:rStyle w:val="a7"/>
          <w:spacing w:val="6"/>
          <w:rtl/>
        </w:rPr>
        <w:footnoteReference w:id="2963"/>
      </w:r>
      <w:r>
        <w:rPr>
          <w:rFonts w:hint="cs"/>
          <w:spacing w:val="6"/>
          <w:rtl/>
        </w:rPr>
        <w:t xml:space="preserve"> : فإنه يبرأ، حتى لو هلك بعد ذلك في يده لا ضمان عليه، ولو لم يكن وجوب</w:t>
      </w:r>
      <w:r>
        <w:rPr>
          <w:rStyle w:val="a7"/>
          <w:spacing w:val="6"/>
          <w:rtl/>
        </w:rPr>
        <w:footnoteReference w:id="2964"/>
      </w:r>
      <w:r>
        <w:rPr>
          <w:rFonts w:hint="cs"/>
          <w:spacing w:val="6"/>
          <w:rtl/>
        </w:rPr>
        <w:t xml:space="preserve"> القيمة على الغاصب في الحال ثابتًا لما صحّ الإبراء؛ لأن </w:t>
      </w:r>
      <w:r>
        <w:rPr>
          <w:rFonts w:hint="eastAsia"/>
          <w:spacing w:val="6"/>
          <w:rtl/>
        </w:rPr>
        <w:t>«</w:t>
      </w:r>
      <w:r>
        <w:rPr>
          <w:rFonts w:hint="cs"/>
          <w:spacing w:val="6"/>
          <w:rtl/>
        </w:rPr>
        <w:t>الإبراء عن الأعيان لا يصح</w:t>
      </w:r>
      <w:r>
        <w:rPr>
          <w:rFonts w:hint="eastAsia"/>
          <w:spacing w:val="6"/>
          <w:rtl/>
        </w:rPr>
        <w:t>»</w:t>
      </w:r>
      <w:r>
        <w:rPr>
          <w:rFonts w:hint="cs"/>
          <w:spacing w:val="6"/>
          <w:rtl/>
        </w:rPr>
        <w:t>- كما مرّ في باب الألف</w:t>
      </w:r>
      <w:r>
        <w:rPr>
          <w:rFonts w:hint="cs"/>
          <w:spacing w:val="6"/>
          <w:vertAlign w:val="superscript"/>
          <w:rtl/>
        </w:rPr>
        <w:t>(</w:t>
      </w:r>
      <w:r>
        <w:rPr>
          <w:rStyle w:val="a7"/>
          <w:spacing w:val="6"/>
          <w:rtl/>
        </w:rPr>
        <w:footnoteReference w:id="2965"/>
      </w:r>
      <w:r>
        <w:rPr>
          <w:rFonts w:hint="cs"/>
          <w:spacing w:val="6"/>
          <w:vertAlign w:val="superscript"/>
          <w:rtl/>
        </w:rPr>
        <w:t>)</w:t>
      </w:r>
      <w:r>
        <w:rPr>
          <w:rFonts w:hint="cs"/>
          <w:spacing w:val="6"/>
          <w:rtl/>
        </w:rPr>
        <w:t>-.</w:t>
      </w:r>
    </w:p>
    <w:p w:rsidR="00C10469" w:rsidRDefault="00C10469" w:rsidP="00C10469">
      <w:pPr>
        <w:ind w:left="989" w:hanging="357"/>
        <w:rPr>
          <w:rtl/>
        </w:rPr>
      </w:pPr>
      <w:r>
        <w:rPr>
          <w:b/>
          <w:bCs/>
          <w:rtl/>
        </w:rPr>
        <w:t>•</w:t>
      </w:r>
      <w:r>
        <w:rPr>
          <w:rFonts w:hint="cs"/>
          <w:b/>
          <w:bCs/>
          <w:rtl/>
        </w:rPr>
        <w:t xml:space="preserve">  ومنها</w:t>
      </w:r>
      <w:r>
        <w:rPr>
          <w:rFonts w:hint="cs"/>
          <w:rtl/>
        </w:rPr>
        <w:t xml:space="preserve"> : إذا كان لأحدٍ نصابُ الزكاة في ملكه، وقد غصب شيئًا</w:t>
      </w:r>
      <w:r>
        <w:rPr>
          <w:rStyle w:val="a7"/>
          <w:rtl/>
        </w:rPr>
        <w:footnoteReference w:id="2966"/>
      </w:r>
      <w:r>
        <w:rPr>
          <w:rFonts w:hint="cs"/>
          <w:rtl/>
        </w:rPr>
        <w:t xml:space="preserve">وهو </w:t>
      </w:r>
      <w:r>
        <w:rPr>
          <w:rFonts w:hint="cs"/>
          <w:rtl/>
        </w:rPr>
        <w:lastRenderedPageBreak/>
        <w:t>قائم في يده : لا يـجب علـيه الـزكاة إذا [انـتقص]</w:t>
      </w:r>
      <w:r>
        <w:rPr>
          <w:rStyle w:val="a7"/>
          <w:rtl/>
        </w:rPr>
        <w:footnoteReference w:id="2967"/>
      </w:r>
      <w:r>
        <w:rPr>
          <w:rFonts w:hint="cs"/>
          <w:rtl/>
        </w:rPr>
        <w:t xml:space="preserve"> النصابَ بمقابلة وجوب قيمة المغصوب.</w:t>
      </w:r>
    </w:p>
    <w:p w:rsidR="00C10469" w:rsidRDefault="00C10469" w:rsidP="00C10469">
      <w:pPr>
        <w:ind w:left="989" w:hanging="357"/>
        <w:rPr>
          <w:rtl/>
        </w:rPr>
      </w:pPr>
      <w:r>
        <w:rPr>
          <w:b/>
          <w:bCs/>
          <w:rtl/>
        </w:rPr>
        <w:t>•</w:t>
      </w:r>
      <w:r>
        <w:rPr>
          <w:rFonts w:hint="cs"/>
          <w:b/>
          <w:bCs/>
          <w:rtl/>
        </w:rPr>
        <w:t xml:space="preserve">  ومنها :</w:t>
      </w:r>
      <w:r>
        <w:rPr>
          <w:rFonts w:hint="cs"/>
          <w:rtl/>
        </w:rPr>
        <w:t xml:space="preserve"> صحة الكفالة مع أنَّ الكفالة لا تصح بالعين.</w:t>
      </w:r>
    </w:p>
    <w:p w:rsidR="00C10469" w:rsidRDefault="00C10469">
      <w:pPr>
        <w:rPr>
          <w:rtl/>
        </w:rPr>
      </w:pPr>
      <w:r>
        <w:rPr>
          <w:rFonts w:hint="cs"/>
          <w:b/>
          <w:bCs/>
          <w:rtl/>
        </w:rPr>
        <w:t>والجواب</w:t>
      </w:r>
      <w:r>
        <w:rPr>
          <w:rFonts w:hint="cs"/>
          <w:rtl/>
        </w:rPr>
        <w:t xml:space="preserve"> - من طرفِ مَنْ جعل</w:t>
      </w:r>
      <w:r>
        <w:rPr>
          <w:rStyle w:val="a7"/>
          <w:rtl/>
        </w:rPr>
        <w:footnoteReference w:id="2968"/>
      </w:r>
      <w:r>
        <w:rPr>
          <w:rFonts w:hint="cs"/>
          <w:rtl/>
        </w:rPr>
        <w:t xml:space="preserve"> العين أصلاً - عن الأوَّليين</w:t>
      </w:r>
      <w:r>
        <w:rPr>
          <w:rFonts w:hint="cs"/>
          <w:vertAlign w:val="superscript"/>
          <w:rtl/>
        </w:rPr>
        <w:t>(</w:t>
      </w:r>
      <w:r>
        <w:rPr>
          <w:rStyle w:val="a7"/>
          <w:rtl/>
        </w:rPr>
        <w:footnoteReference w:id="2969"/>
      </w:r>
      <w:r>
        <w:rPr>
          <w:rFonts w:hint="cs"/>
          <w:vertAlign w:val="superscript"/>
          <w:rtl/>
        </w:rPr>
        <w:t>)</w:t>
      </w:r>
      <w:r>
        <w:rPr>
          <w:rFonts w:hint="cs"/>
          <w:rtl/>
        </w:rPr>
        <w:t xml:space="preserve">  إنما هو بفَرَضِيَّةِ</w:t>
      </w:r>
      <w:r>
        <w:rPr>
          <w:rFonts w:hint="cs"/>
          <w:vertAlign w:val="superscript"/>
          <w:rtl/>
        </w:rPr>
        <w:t>(</w:t>
      </w:r>
      <w:r>
        <w:rPr>
          <w:rStyle w:val="a7"/>
          <w:rtl/>
        </w:rPr>
        <w:footnoteReference w:id="2970"/>
      </w:r>
      <w:r>
        <w:rPr>
          <w:rFonts w:hint="cs"/>
          <w:vertAlign w:val="superscript"/>
          <w:rtl/>
        </w:rPr>
        <w:t>)</w:t>
      </w:r>
      <w:r>
        <w:rPr>
          <w:rFonts w:hint="cs"/>
          <w:rtl/>
        </w:rPr>
        <w:t xml:space="preserve"> أن يوجد، فله شبهة الوجود في الحال، والقيمة والدين كذلك، فكان الإبراء صحيحًا</w:t>
      </w:r>
      <w:r>
        <w:rPr>
          <w:rStyle w:val="a7"/>
          <w:rtl/>
        </w:rPr>
        <w:footnoteReference w:id="2971"/>
      </w:r>
      <w:r>
        <w:rPr>
          <w:rFonts w:hint="cs"/>
          <w:rtl/>
        </w:rPr>
        <w:t>، والزكاة [ساقـطـة]</w:t>
      </w:r>
      <w:r>
        <w:rPr>
          <w:rStyle w:val="a7"/>
          <w:rtl/>
        </w:rPr>
        <w:footnoteReference w:id="2972"/>
      </w:r>
      <w:r>
        <w:rPr>
          <w:rFonts w:hint="cs"/>
          <w:rtl/>
        </w:rPr>
        <w:t>.</w:t>
      </w:r>
    </w:p>
    <w:p w:rsidR="00C10469" w:rsidRDefault="00C10469">
      <w:pPr>
        <w:rPr>
          <w:rtl/>
        </w:rPr>
      </w:pPr>
      <w:r>
        <w:rPr>
          <w:rFonts w:hint="cs"/>
          <w:rtl/>
        </w:rPr>
        <w:t>وعن المسألة [الثالثة]</w:t>
      </w:r>
      <w:r>
        <w:rPr>
          <w:rStyle w:val="a7"/>
          <w:rtl/>
        </w:rPr>
        <w:footnoteReference w:id="2973"/>
      </w:r>
      <w:r>
        <w:rPr>
          <w:rFonts w:hint="cs"/>
          <w:rtl/>
        </w:rPr>
        <w:t xml:space="preserve"> : بأن الكفالة بالأعيان المضمونة بنفسها صحيحة </w:t>
      </w:r>
      <w:r>
        <w:rPr>
          <w:rFonts w:hint="cs"/>
          <w:rtl/>
        </w:rPr>
        <w:lastRenderedPageBreak/>
        <w:t>والمغصوب منها</w:t>
      </w:r>
      <w:r>
        <w:rPr>
          <w:rFonts w:hint="cs"/>
          <w:vertAlign w:val="superscript"/>
          <w:rtl/>
        </w:rPr>
        <w:t>(</w:t>
      </w:r>
      <w:r>
        <w:rPr>
          <w:rStyle w:val="a7"/>
          <w:rtl/>
        </w:rPr>
        <w:footnoteReference w:id="2974"/>
      </w:r>
      <w:r>
        <w:rPr>
          <w:rFonts w:hint="cs"/>
          <w:vertAlign w:val="superscript"/>
          <w:rtl/>
        </w:rPr>
        <w:t>)</w:t>
      </w:r>
      <w:r>
        <w:rPr>
          <w:rFonts w:hint="cs"/>
          <w:rtl/>
        </w:rPr>
        <w:t>. - وقد تقدم في باب الألف أنواع الأعيان</w:t>
      </w:r>
      <w:r>
        <w:rPr>
          <w:rStyle w:val="a7"/>
          <w:rtl/>
        </w:rPr>
        <w:footnoteReference w:id="2975"/>
      </w:r>
      <w:r>
        <w:rPr>
          <w:rFonts w:hint="cs"/>
          <w:rtl/>
        </w:rPr>
        <w:t xml:space="preserve"> وأحكامها</w:t>
      </w:r>
      <w:r>
        <w:rPr>
          <w:rFonts w:hint="cs"/>
          <w:vertAlign w:val="superscript"/>
          <w:rtl/>
        </w:rPr>
        <w:t>(</w:t>
      </w:r>
      <w:r>
        <w:rPr>
          <w:rStyle w:val="a7"/>
          <w:rtl/>
        </w:rPr>
        <w:footnoteReference w:id="2976"/>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90"/>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2757AC" w:rsidRDefault="00C10469">
      <w:pPr>
        <w:pStyle w:val="a9"/>
        <w:rPr>
          <w:rFonts w:cs="AL-Mateen"/>
          <w:rtl/>
        </w:rPr>
      </w:pPr>
      <w:r w:rsidRPr="002757AC">
        <w:rPr>
          <w:rFonts w:cs="AL-Mateen" w:hint="cs"/>
          <w:rtl/>
        </w:rPr>
        <w:lastRenderedPageBreak/>
        <w:t>[ الـقـاعـدة الـخامـسـة والـثـلاثـون بـعـد الـمـائـة ]</w:t>
      </w:r>
    </w:p>
    <w:p w:rsidR="00C10469" w:rsidRDefault="00C10469">
      <w:pPr>
        <w:rPr>
          <w:rtl/>
        </w:rPr>
      </w:pPr>
      <w:r>
        <w:rPr>
          <w:rFonts w:cs="Monotype Koufi" w:hint="cs"/>
          <w:rtl/>
        </w:rPr>
        <w:t>الرَّسُولُ مُعبّرٌ وسَفيرٌ، فَكَلاَمُهُ كَكَلاَمِ المُرْسِلِ</w:t>
      </w:r>
      <w:r>
        <w:rPr>
          <w:rFonts w:hint="cs"/>
          <w:vertAlign w:val="superscript"/>
          <w:rtl/>
        </w:rPr>
        <w:t>(</w:t>
      </w:r>
      <w:r>
        <w:rPr>
          <w:rStyle w:val="a7"/>
          <w:rtl/>
        </w:rPr>
        <w:footnoteReference w:id="2977"/>
      </w:r>
      <w:r>
        <w:rPr>
          <w:rFonts w:hint="cs"/>
          <w:vertAlign w:val="superscript"/>
          <w:rtl/>
        </w:rPr>
        <w:t>)</w:t>
      </w:r>
      <w:r>
        <w:rPr>
          <w:rFonts w:hint="cs"/>
          <w:rtl/>
        </w:rPr>
        <w:t xml:space="preserve"> :</w:t>
      </w:r>
    </w:p>
    <w:p w:rsidR="00C10469" w:rsidRDefault="00C10469">
      <w:pPr>
        <w:rPr>
          <w:rtl/>
        </w:rPr>
      </w:pPr>
      <w:r>
        <w:rPr>
          <w:rFonts w:hint="cs"/>
          <w:rtl/>
        </w:rPr>
        <w:t>فإذا قال لِرَسُولِهِ : بِعْتُ هذا من فلان الغائب [بكذا]</w:t>
      </w:r>
      <w:r>
        <w:rPr>
          <w:rStyle w:val="a7"/>
          <w:rtl/>
        </w:rPr>
        <w:footnoteReference w:id="2978"/>
      </w:r>
      <w:r>
        <w:rPr>
          <w:rFonts w:hint="cs"/>
          <w:rtl/>
        </w:rPr>
        <w:t>، فَاذْهَبْ</w:t>
      </w:r>
      <w:r>
        <w:rPr>
          <w:rStyle w:val="a7"/>
          <w:rtl/>
        </w:rPr>
        <w:footnoteReference w:id="2979"/>
      </w:r>
      <w:r>
        <w:rPr>
          <w:rFonts w:hint="cs"/>
          <w:rtl/>
        </w:rPr>
        <w:t xml:space="preserve"> وأخبره. وجاء الرسول وأخبر المُرْسَل إليه</w:t>
      </w:r>
      <w:r>
        <w:rPr>
          <w:rFonts w:hint="cs"/>
          <w:vertAlign w:val="superscript"/>
          <w:rtl/>
        </w:rPr>
        <w:t>(</w:t>
      </w:r>
      <w:r>
        <w:rPr>
          <w:rStyle w:val="a7"/>
          <w:rtl/>
        </w:rPr>
        <w:footnoteReference w:id="2980"/>
      </w:r>
      <w:r>
        <w:rPr>
          <w:rFonts w:hint="cs"/>
          <w:vertAlign w:val="superscript"/>
          <w:rtl/>
        </w:rPr>
        <w:t>)</w:t>
      </w:r>
      <w:r>
        <w:rPr>
          <w:rFonts w:hint="cs"/>
          <w:rtl/>
        </w:rPr>
        <w:t>، فقال المرسَلُ إليه في مجلس البلوغ</w:t>
      </w:r>
      <w:r>
        <w:rPr>
          <w:rFonts w:hint="cs"/>
          <w:vertAlign w:val="superscript"/>
          <w:rtl/>
        </w:rPr>
        <w:t>(</w:t>
      </w:r>
      <w:r>
        <w:rPr>
          <w:rStyle w:val="a7"/>
          <w:rtl/>
        </w:rPr>
        <w:footnoteReference w:id="2981"/>
      </w:r>
      <w:r>
        <w:rPr>
          <w:rFonts w:hint="cs"/>
          <w:vertAlign w:val="superscript"/>
          <w:rtl/>
        </w:rPr>
        <w:t>)</w:t>
      </w:r>
      <w:r>
        <w:rPr>
          <w:rFonts w:hint="cs"/>
          <w:rtl/>
        </w:rPr>
        <w:t xml:space="preserve"> : اشتريته، أو قبلتُه : تمَّ البيع به</w:t>
      </w:r>
      <w:r>
        <w:rPr>
          <w:rFonts w:hint="cs"/>
          <w:vertAlign w:val="superscript"/>
          <w:rtl/>
        </w:rPr>
        <w:t>(</w:t>
      </w:r>
      <w:r>
        <w:rPr>
          <w:rStyle w:val="a7"/>
          <w:rtl/>
        </w:rPr>
        <w:footnoteReference w:id="2982"/>
      </w:r>
      <w:r>
        <w:rPr>
          <w:rFonts w:hint="cs"/>
          <w:vertAlign w:val="superscript"/>
          <w:rtl/>
        </w:rPr>
        <w:t>)</w:t>
      </w:r>
      <w:r>
        <w:rPr>
          <w:rFonts w:hint="cs"/>
          <w:rtl/>
        </w:rPr>
        <w:t>.</w:t>
      </w:r>
    </w:p>
    <w:p w:rsidR="00C10469" w:rsidRDefault="00C10469">
      <w:pPr>
        <w:rPr>
          <w:rtl/>
        </w:rPr>
      </w:pPr>
    </w:p>
    <w:p w:rsidR="00C10469" w:rsidRPr="008B6908" w:rsidRDefault="00C10469" w:rsidP="00C10469">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rtl/>
        </w:rPr>
        <w:sectPr w:rsidR="00C10469" w:rsidSect="00C10469">
          <w:headerReference w:type="default" r:id="rId19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C41DE" w:rsidRDefault="00C10469">
      <w:pPr>
        <w:pStyle w:val="a9"/>
        <w:rPr>
          <w:rFonts w:cs="AL-Mateen"/>
          <w:rtl/>
        </w:rPr>
      </w:pPr>
      <w:r w:rsidRPr="00FC41DE">
        <w:rPr>
          <w:rFonts w:cs="AL-Mateen" w:hint="cs"/>
          <w:rtl/>
        </w:rPr>
        <w:lastRenderedPageBreak/>
        <w:t>[ الـقـاعـدة الـسـادسـة والـثـلاثـون بـعـد الـمـائـة ]</w:t>
      </w:r>
    </w:p>
    <w:p w:rsidR="00C10469" w:rsidRDefault="00C10469">
      <w:pPr>
        <w:rPr>
          <w:rtl/>
        </w:rPr>
      </w:pPr>
      <w:r>
        <w:rPr>
          <w:rFonts w:cs="Monotype Koufi" w:hint="cs"/>
          <w:rtl/>
        </w:rPr>
        <w:t>الزِّيَادَةُ المُنفَصِلَةُ غَيْرُ المُتَوَلِّدَةِ مِنَ الأصْلِ لاَ تَمْنَعُ الرَّدَّ بالعَيْبِ</w:t>
      </w:r>
      <w:r>
        <w:rPr>
          <w:rFonts w:hint="cs"/>
          <w:vertAlign w:val="superscript"/>
          <w:rtl/>
        </w:rPr>
        <w:t>(</w:t>
      </w:r>
      <w:r>
        <w:rPr>
          <w:rStyle w:val="a7"/>
          <w:rtl/>
        </w:rPr>
        <w:footnoteReference w:id="2983"/>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اعلم أن الزيادة إما متصلة، أو منفصلة، وكل منهما</w:t>
      </w:r>
      <w:r>
        <w:rPr>
          <w:rStyle w:val="a7"/>
          <w:rtl/>
        </w:rPr>
        <w:footnoteReference w:id="2984"/>
      </w:r>
      <w:r>
        <w:rPr>
          <w:rFonts w:hint="cs"/>
          <w:rtl/>
        </w:rPr>
        <w:t xml:space="preserve"> إمّا متولّدة من المبيع، أو غير متولدة:</w:t>
      </w:r>
    </w:p>
    <w:p w:rsidR="00C10469" w:rsidRDefault="00C10469">
      <w:pPr>
        <w:rPr>
          <w:rtl/>
        </w:rPr>
      </w:pPr>
      <w:r>
        <w:rPr>
          <w:rFonts w:hint="cs"/>
          <w:b/>
          <w:bCs/>
          <w:rtl/>
        </w:rPr>
        <w:t>فالمتصلة</w:t>
      </w:r>
      <w:r>
        <w:rPr>
          <w:rFonts w:hint="cs"/>
          <w:rtl/>
        </w:rPr>
        <w:t xml:space="preserve"> المتولدة؛ كالجمال</w:t>
      </w:r>
      <w:r>
        <w:rPr>
          <w:rStyle w:val="a7"/>
          <w:rtl/>
        </w:rPr>
        <w:footnoteReference w:id="2985"/>
      </w:r>
      <w:r>
        <w:rPr>
          <w:rFonts w:hint="cs"/>
          <w:rtl/>
        </w:rPr>
        <w:t xml:space="preserve"> والحُسن : لا يمنع</w:t>
      </w:r>
      <w:r>
        <w:rPr>
          <w:rFonts w:hint="cs"/>
          <w:vertAlign w:val="superscript"/>
          <w:rtl/>
        </w:rPr>
        <w:t>(</w:t>
      </w:r>
      <w:r>
        <w:rPr>
          <w:rStyle w:val="a7"/>
          <w:rtl/>
        </w:rPr>
        <w:footnoteReference w:id="2986"/>
      </w:r>
      <w:r>
        <w:rPr>
          <w:rFonts w:hint="cs"/>
          <w:vertAlign w:val="superscript"/>
          <w:rtl/>
        </w:rPr>
        <w:t>)</w:t>
      </w:r>
      <w:r>
        <w:rPr>
          <w:rFonts w:hint="cs"/>
          <w:rtl/>
        </w:rPr>
        <w:t xml:space="preserve"> الرّد في ظاهر الرواية</w:t>
      </w:r>
      <w:r>
        <w:rPr>
          <w:rFonts w:hint="cs"/>
          <w:vertAlign w:val="superscript"/>
          <w:rtl/>
        </w:rPr>
        <w:t>(</w:t>
      </w:r>
      <w:r>
        <w:rPr>
          <w:rStyle w:val="a7"/>
          <w:rtl/>
        </w:rPr>
        <w:footnoteReference w:id="2987"/>
      </w:r>
      <w:r>
        <w:rPr>
          <w:rFonts w:hint="cs"/>
          <w:vertAlign w:val="superscript"/>
          <w:rtl/>
        </w:rPr>
        <w:t>)</w:t>
      </w:r>
      <w:r>
        <w:rPr>
          <w:rFonts w:hint="cs"/>
          <w:rtl/>
        </w:rPr>
        <w:t>.</w:t>
      </w:r>
    </w:p>
    <w:p w:rsidR="00C10469" w:rsidRDefault="00C10469">
      <w:pPr>
        <w:rPr>
          <w:rtl/>
        </w:rPr>
      </w:pPr>
      <w:r>
        <w:rPr>
          <w:rFonts w:hint="cs"/>
          <w:rtl/>
        </w:rPr>
        <w:lastRenderedPageBreak/>
        <w:t>وغير المتولدة ؛ كالصبغ والخياطة : يمنع</w:t>
      </w:r>
      <w:r>
        <w:rPr>
          <w:rFonts w:hint="cs"/>
          <w:vertAlign w:val="superscript"/>
          <w:rtl/>
        </w:rPr>
        <w:t>(</w:t>
      </w:r>
      <w:r>
        <w:rPr>
          <w:rStyle w:val="a7"/>
          <w:rtl/>
        </w:rPr>
        <w:footnoteReference w:id="2988"/>
      </w:r>
      <w:r>
        <w:rPr>
          <w:rFonts w:hint="cs"/>
          <w:vertAlign w:val="superscript"/>
          <w:rtl/>
        </w:rPr>
        <w:t>)</w:t>
      </w:r>
      <w:r>
        <w:rPr>
          <w:rFonts w:hint="cs"/>
          <w:rtl/>
        </w:rPr>
        <w:t xml:space="preserve"> عنه بالاتفاق.</w:t>
      </w:r>
    </w:p>
    <w:p w:rsidR="00C10469" w:rsidRDefault="00C10469">
      <w:pPr>
        <w:rPr>
          <w:rtl/>
        </w:rPr>
      </w:pPr>
      <w:r>
        <w:rPr>
          <w:rFonts w:hint="cs"/>
          <w:rtl/>
        </w:rPr>
        <w:t xml:space="preserve">وأمّا </w:t>
      </w:r>
      <w:r>
        <w:rPr>
          <w:rFonts w:hint="cs"/>
          <w:b/>
          <w:bCs/>
          <w:rtl/>
        </w:rPr>
        <w:t>المنفصلة</w:t>
      </w:r>
      <w:r>
        <w:rPr>
          <w:rFonts w:hint="cs"/>
          <w:rtl/>
        </w:rPr>
        <w:t xml:space="preserve"> المتولدة ؛ كالولد والثمر : تمنع عنه.</w:t>
      </w:r>
    </w:p>
    <w:p w:rsidR="00C10469" w:rsidRDefault="00C10469">
      <w:pPr>
        <w:rPr>
          <w:rtl/>
        </w:rPr>
      </w:pPr>
      <w:r>
        <w:rPr>
          <w:rFonts w:hint="cs"/>
          <w:rtl/>
        </w:rPr>
        <w:t>وغير المتولدة؛ كالكسب : لا يمنع</w:t>
      </w:r>
      <w:r>
        <w:rPr>
          <w:rFonts w:hint="cs"/>
          <w:vertAlign w:val="superscript"/>
          <w:rtl/>
        </w:rPr>
        <w:t>(</w:t>
      </w:r>
      <w:r>
        <w:rPr>
          <w:rStyle w:val="a7"/>
          <w:rtl/>
        </w:rPr>
        <w:footnoteReference w:id="2989"/>
      </w:r>
      <w:r>
        <w:rPr>
          <w:rFonts w:hint="cs"/>
          <w:vertAlign w:val="superscript"/>
          <w:rtl/>
        </w:rPr>
        <w:t>)</w:t>
      </w:r>
      <w:r>
        <w:rPr>
          <w:rFonts w:hint="cs"/>
          <w:rtl/>
        </w:rPr>
        <w:t>. لكن طريق ذلك أن يفسخ العقد في الأصل دون الزيادة، ويسلِّم</w:t>
      </w:r>
      <w:r>
        <w:rPr>
          <w:rStyle w:val="a7"/>
          <w:rtl/>
        </w:rPr>
        <w:footnoteReference w:id="2990"/>
      </w:r>
      <w:r>
        <w:rPr>
          <w:rFonts w:hint="cs"/>
          <w:rtl/>
        </w:rPr>
        <w:t xml:space="preserve"> الزيادة للمشتري مجانًا، بخلاف الولد.</w:t>
      </w:r>
    </w:p>
    <w:p w:rsidR="00C10469" w:rsidRDefault="00C10469">
      <w:pPr>
        <w:rPr>
          <w:rtl/>
        </w:rPr>
      </w:pPr>
      <w:r>
        <w:rPr>
          <w:rFonts w:hint="cs"/>
          <w:b/>
          <w:bCs/>
          <w:rtl/>
        </w:rPr>
        <w:t>والفرق بينهما</w:t>
      </w:r>
      <w:r>
        <w:rPr>
          <w:rFonts w:hint="cs"/>
          <w:rtl/>
        </w:rPr>
        <w:t xml:space="preserve"> : أن الكسب ليس بمبيع بحالٍ ما؛ لأنه تولّد من المنافع، والمنافع غير الأعيان، والولد متولِّد من المبيع، فيكون له حكم المبيع، فلا يجوز</w:t>
      </w:r>
      <w:r>
        <w:rPr>
          <w:rStyle w:val="a7"/>
          <w:rtl/>
        </w:rPr>
        <w:footnoteReference w:id="2991"/>
      </w:r>
      <w:r>
        <w:rPr>
          <w:rFonts w:hint="cs"/>
          <w:rtl/>
        </w:rPr>
        <w:t xml:space="preserve"> أن يسلّم مجانًا؛ لما</w:t>
      </w:r>
      <w:r>
        <w:rPr>
          <w:rStyle w:val="a7"/>
          <w:rtl/>
        </w:rPr>
        <w:footnoteReference w:id="2992"/>
      </w:r>
      <w:r>
        <w:rPr>
          <w:rFonts w:hint="cs"/>
          <w:rtl/>
        </w:rPr>
        <w:t xml:space="preserve"> فيه من الرّبا</w:t>
      </w:r>
      <w:r>
        <w:rPr>
          <w:rFonts w:hint="eastAsia"/>
          <w:rtl/>
        </w:rPr>
        <w:t>»</w:t>
      </w:r>
      <w:r>
        <w:rPr>
          <w:rFonts w:hint="cs"/>
          <w:rtl/>
        </w:rPr>
        <w:t>- كذا في (العناية)</w:t>
      </w:r>
      <w:r>
        <w:rPr>
          <w:rFonts w:hint="cs"/>
          <w:vertAlign w:val="superscript"/>
          <w:rtl/>
        </w:rPr>
        <w:t>(</w:t>
      </w:r>
      <w:r>
        <w:rPr>
          <w:rStyle w:val="a7"/>
          <w:rtl/>
        </w:rPr>
        <w:footnoteReference w:id="2993"/>
      </w:r>
      <w:r>
        <w:rPr>
          <w:rFonts w:hint="cs"/>
          <w:vertAlign w:val="superscript"/>
          <w:rtl/>
        </w:rPr>
        <w:t>)</w:t>
      </w:r>
      <w:r>
        <w:rPr>
          <w:rFonts w:hint="cs"/>
          <w:rtl/>
        </w:rPr>
        <w:t>-.</w:t>
      </w:r>
    </w:p>
    <w:p w:rsidR="00C10469" w:rsidRDefault="00C10469">
      <w:pPr>
        <w:rPr>
          <w:rtl/>
        </w:rPr>
      </w:pPr>
      <w:r>
        <w:rPr>
          <w:rFonts w:hint="cs"/>
          <w:rtl/>
        </w:rPr>
        <w:t>والفرق بين البيع والغصب مرّ في باب الألف</w:t>
      </w:r>
      <w:r>
        <w:rPr>
          <w:rFonts w:hint="cs"/>
          <w:vertAlign w:val="superscript"/>
          <w:rtl/>
        </w:rPr>
        <w:t>(</w:t>
      </w:r>
      <w:r>
        <w:rPr>
          <w:rStyle w:val="a7"/>
          <w:rtl/>
        </w:rPr>
        <w:footnoteReference w:id="2994"/>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934A37"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9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F7BC3" w:rsidRDefault="00C10469">
      <w:pPr>
        <w:pStyle w:val="a9"/>
        <w:rPr>
          <w:rFonts w:cs="AL-Mateen"/>
          <w:rtl/>
        </w:rPr>
      </w:pPr>
      <w:r w:rsidRPr="007F7BC3">
        <w:rPr>
          <w:rFonts w:cs="AL-Mateen" w:hint="cs"/>
          <w:rtl/>
        </w:rPr>
        <w:lastRenderedPageBreak/>
        <w:t>[ الـقـاعـدة الـسـابـعـة والـثـلاثـون بـعـد الـمـائـة ]</w:t>
      </w:r>
    </w:p>
    <w:p w:rsidR="00C10469" w:rsidRDefault="00C10469">
      <w:pPr>
        <w:rPr>
          <w:rtl/>
        </w:rPr>
      </w:pPr>
      <w:r>
        <w:rPr>
          <w:rFonts w:cs="Monotype Koufi" w:hint="cs"/>
          <w:rtl/>
        </w:rPr>
        <w:t>السَّاقِطُ لاَ يَعُوْدُ</w:t>
      </w:r>
      <w:r>
        <w:rPr>
          <w:rFonts w:hint="cs"/>
          <w:vertAlign w:val="superscript"/>
          <w:rtl/>
        </w:rPr>
        <w:t>(</w:t>
      </w:r>
      <w:r>
        <w:rPr>
          <w:rStyle w:val="a7"/>
          <w:rtl/>
        </w:rPr>
        <w:footnoteReference w:id="2995"/>
      </w:r>
      <w:r>
        <w:rPr>
          <w:rFonts w:hint="cs"/>
          <w:vertAlign w:val="superscript"/>
          <w:rtl/>
        </w:rPr>
        <w:t>)</w:t>
      </w:r>
      <w:r>
        <w:rPr>
          <w:rFonts w:hint="cs"/>
          <w:rtl/>
        </w:rPr>
        <w:t xml:space="preserve"> :</w:t>
      </w:r>
    </w:p>
    <w:p w:rsidR="00C10469" w:rsidRDefault="00C10469">
      <w:pPr>
        <w:rPr>
          <w:rtl/>
        </w:rPr>
      </w:pPr>
      <w:r>
        <w:rPr>
          <w:rFonts w:hint="cs"/>
          <w:rtl/>
        </w:rPr>
        <w:t>المراد</w:t>
      </w:r>
      <w:r>
        <w:rPr>
          <w:rStyle w:val="a7"/>
          <w:rtl/>
        </w:rPr>
        <w:footnoteReference w:id="2996"/>
      </w:r>
      <w:r>
        <w:rPr>
          <w:rFonts w:hint="cs"/>
          <w:rtl/>
        </w:rPr>
        <w:t xml:space="preserve"> بالسقوط : انعدام مـقتـضي الـحكـم، [لا عـدم عـمله لـمانع، فـإذا كـان </w:t>
      </w:r>
      <w:r>
        <w:rPr>
          <w:rFonts w:hint="cs"/>
          <w:rtl/>
        </w:rPr>
        <w:lastRenderedPageBreak/>
        <w:t>مـقـتـضي الحكم]</w:t>
      </w:r>
      <w:r>
        <w:rPr>
          <w:rStyle w:val="a7"/>
          <w:rtl/>
        </w:rPr>
        <w:footnoteReference w:id="2997"/>
      </w:r>
      <w:r>
        <w:rPr>
          <w:rFonts w:hint="cs"/>
          <w:rtl/>
        </w:rPr>
        <w:t xml:space="preserve"> مـوجـودًا، ولا يعمل لمانع، فإذا زال المانع يعمل ويعود</w:t>
      </w:r>
      <w:r>
        <w:rPr>
          <w:rFonts w:hint="cs"/>
          <w:vertAlign w:val="superscript"/>
          <w:rtl/>
        </w:rPr>
        <w:t>(</w:t>
      </w:r>
      <w:r>
        <w:rPr>
          <w:rStyle w:val="a7"/>
          <w:rtl/>
        </w:rPr>
        <w:footnoteReference w:id="2998"/>
      </w:r>
      <w:r>
        <w:rPr>
          <w:rFonts w:hint="cs"/>
          <w:vertAlign w:val="superscript"/>
          <w:rtl/>
        </w:rPr>
        <w:t>)</w:t>
      </w:r>
      <w:r>
        <w:rPr>
          <w:rFonts w:hint="cs"/>
          <w:rtl/>
        </w:rPr>
        <w:t>؛ كالنفقة بعد سقوطها بالنشوز [تعود]</w:t>
      </w:r>
      <w:r>
        <w:rPr>
          <w:rStyle w:val="a7"/>
          <w:rtl/>
        </w:rPr>
        <w:footnoteReference w:id="2999"/>
      </w:r>
      <w:r>
        <w:rPr>
          <w:rFonts w:hint="cs"/>
          <w:rtl/>
        </w:rPr>
        <w:t xml:space="preserve"> بالرجوع؛ لأن مقتضي النفقة (الزوجية) وهي موجودة، وإنما لا يعمل</w:t>
      </w:r>
      <w:r>
        <w:rPr>
          <w:rStyle w:val="a7"/>
          <w:rtl/>
        </w:rPr>
        <w:footnoteReference w:id="3000"/>
      </w:r>
      <w:r>
        <w:rPr>
          <w:rFonts w:hint="cs"/>
          <w:rtl/>
        </w:rPr>
        <w:t xml:space="preserve"> لمانع وهو النشوز، فإذا زال المانع بالرجوع إلى زوجها عاد الممنوع</w:t>
      </w:r>
      <w:r>
        <w:rPr>
          <w:rStyle w:val="a7"/>
          <w:rtl/>
        </w:rPr>
        <w:footnoteReference w:id="3001"/>
      </w:r>
      <w:r>
        <w:rPr>
          <w:rFonts w:hint="cs"/>
          <w:rtl/>
        </w:rPr>
        <w:t>، وهو من باب زوال المانع، لا من باب عود الساقط</w:t>
      </w:r>
      <w:r>
        <w:rPr>
          <w:rFonts w:hint="cs"/>
          <w:vertAlign w:val="superscript"/>
          <w:rtl/>
        </w:rPr>
        <w:t>(</w:t>
      </w:r>
      <w:r>
        <w:rPr>
          <w:rStyle w:val="a7"/>
          <w:rtl/>
        </w:rPr>
        <w:footnoteReference w:id="3002"/>
      </w:r>
      <w:r>
        <w:rPr>
          <w:rFonts w:hint="cs"/>
          <w:vertAlign w:val="superscript"/>
          <w:rtl/>
        </w:rPr>
        <w:t>)</w:t>
      </w:r>
      <w:r>
        <w:rPr>
          <w:rFonts w:hint="cs"/>
          <w:rtl/>
        </w:rPr>
        <w:t>.</w:t>
      </w:r>
    </w:p>
    <w:p w:rsidR="00C10469" w:rsidRDefault="00C10469">
      <w:pPr>
        <w:rPr>
          <w:spacing w:val="-2"/>
          <w:rtl/>
        </w:rPr>
      </w:pPr>
      <w:r>
        <w:rPr>
          <w:rFonts w:hint="cs"/>
          <w:spacing w:val="-2"/>
          <w:rtl/>
        </w:rPr>
        <w:t>ومن فروع هذا الأصل : لو أجاز الوارث الوصّية في الزيادة على الثلث : جاز؛ لأن الامتناع لحقِّه، وهو [أسقطه]</w:t>
      </w:r>
      <w:r>
        <w:rPr>
          <w:rStyle w:val="a7"/>
          <w:spacing w:val="-2"/>
          <w:rtl/>
        </w:rPr>
        <w:footnoteReference w:id="3003"/>
      </w:r>
      <w:r>
        <w:rPr>
          <w:rFonts w:hint="cs"/>
          <w:spacing w:val="-2"/>
          <w:rtl/>
        </w:rPr>
        <w:t>، فليس له أن يرجع عنه؛ لأن السّاقط</w:t>
      </w:r>
      <w:r>
        <w:rPr>
          <w:rStyle w:val="a7"/>
          <w:spacing w:val="-2"/>
          <w:rtl/>
        </w:rPr>
        <w:footnoteReference w:id="3004"/>
      </w:r>
      <w:r>
        <w:rPr>
          <w:rFonts w:hint="cs"/>
          <w:spacing w:val="-2"/>
          <w:rtl/>
        </w:rPr>
        <w:t xml:space="preserve"> لا يعود</w:t>
      </w:r>
      <w:r>
        <w:rPr>
          <w:rFonts w:hint="cs"/>
          <w:spacing w:val="-2"/>
          <w:vertAlign w:val="superscript"/>
          <w:rtl/>
        </w:rPr>
        <w:t>(</w:t>
      </w:r>
      <w:r>
        <w:rPr>
          <w:rStyle w:val="a7"/>
          <w:spacing w:val="-2"/>
          <w:rtl/>
        </w:rPr>
        <w:footnoteReference w:id="3005"/>
      </w:r>
      <w:r>
        <w:rPr>
          <w:rFonts w:hint="cs"/>
          <w:spacing w:val="-2"/>
          <w:vertAlign w:val="superscript"/>
          <w:rtl/>
        </w:rPr>
        <w:t>)</w:t>
      </w:r>
      <w:r>
        <w:rPr>
          <w:rFonts w:hint="cs"/>
          <w:spacing w:val="-2"/>
          <w:rtl/>
        </w:rPr>
        <w:t>.</w:t>
      </w:r>
    </w:p>
    <w:p w:rsidR="00C10469" w:rsidRDefault="00C10469">
      <w:pPr>
        <w:rPr>
          <w:spacing w:val="-2"/>
          <w:rtl/>
        </w:rPr>
      </w:pPr>
    </w:p>
    <w:p w:rsidR="00C10469" w:rsidRDefault="00C10469">
      <w:pPr>
        <w:rPr>
          <w:spacing w:val="-2"/>
          <w:rtl/>
        </w:rPr>
      </w:pPr>
    </w:p>
    <w:p w:rsidR="00C10469" w:rsidRDefault="00C10469">
      <w:pPr>
        <w:jc w:val="center"/>
        <w:rPr>
          <w:spacing w:val="-2"/>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2"/>
          <w:rtl/>
        </w:rPr>
        <w:sectPr w:rsidR="00C10469" w:rsidSect="00C10469">
          <w:headerReference w:type="default" r:id="rId19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115CB" w:rsidRDefault="00C10469">
      <w:pPr>
        <w:pStyle w:val="a9"/>
        <w:rPr>
          <w:rFonts w:cs="AL-Mateen"/>
          <w:rtl/>
        </w:rPr>
      </w:pPr>
      <w:r w:rsidRPr="001115CB">
        <w:rPr>
          <w:rFonts w:cs="AL-Mateen" w:hint="cs"/>
          <w:rtl/>
        </w:rPr>
        <w:lastRenderedPageBreak/>
        <w:t>[ الـقـاعـدة الـثـامـنـة والـثـلاثـون بـعـد الـمـائـة ]</w:t>
      </w:r>
    </w:p>
    <w:p w:rsidR="00C10469" w:rsidRDefault="00C10469">
      <w:pPr>
        <w:rPr>
          <w:rtl/>
        </w:rPr>
      </w:pPr>
      <w:r>
        <w:rPr>
          <w:rFonts w:cs="Monotype Koufi" w:hint="cs"/>
          <w:rtl/>
        </w:rPr>
        <w:t>السَّبَبُ يُسْتَعَارُ للمُسَبَّبِ دُونَ عَكْسِهِ</w:t>
      </w:r>
      <w:r>
        <w:rPr>
          <w:rFonts w:hint="cs"/>
          <w:vertAlign w:val="superscript"/>
          <w:rtl/>
        </w:rPr>
        <w:t>(</w:t>
      </w:r>
      <w:r>
        <w:rPr>
          <w:rStyle w:val="a7"/>
          <w:rtl/>
        </w:rPr>
        <w:footnoteReference w:id="3006"/>
      </w:r>
      <w:r>
        <w:rPr>
          <w:rFonts w:hint="cs"/>
          <w:vertAlign w:val="superscript"/>
          <w:rtl/>
        </w:rPr>
        <w:t>)</w:t>
      </w:r>
      <w:r>
        <w:rPr>
          <w:rFonts w:hint="cs"/>
          <w:rtl/>
        </w:rPr>
        <w:t xml:space="preserve"> :</w:t>
      </w:r>
    </w:p>
    <w:p w:rsidR="00C10469" w:rsidRDefault="00C10469">
      <w:pPr>
        <w:rPr>
          <w:rtl/>
        </w:rPr>
      </w:pPr>
      <w:r>
        <w:rPr>
          <w:rFonts w:hint="eastAsia"/>
          <w:rtl/>
        </w:rPr>
        <w:lastRenderedPageBreak/>
        <w:t>«</w:t>
      </w:r>
      <w:r>
        <w:rPr>
          <w:rFonts w:hint="cs"/>
          <w:rtl/>
        </w:rPr>
        <w:t>لاستغناء السَّبب عن المسبَّب</w:t>
      </w:r>
      <w:r>
        <w:rPr>
          <w:rStyle w:val="a7"/>
          <w:rtl/>
        </w:rPr>
        <w:footnoteReference w:id="3007"/>
      </w:r>
      <w:r>
        <w:rPr>
          <w:rFonts w:hint="cs"/>
          <w:rtl/>
        </w:rPr>
        <w:t xml:space="preserve"> : وافتقار المسبَّب إلى السَّبب</w:t>
      </w:r>
      <w:r>
        <w:rPr>
          <w:rFonts w:hint="eastAsia"/>
          <w:rtl/>
        </w:rPr>
        <w:t>»</w:t>
      </w:r>
      <w:r>
        <w:rPr>
          <w:rFonts w:hint="cs"/>
          <w:vertAlign w:val="superscript"/>
          <w:rtl/>
        </w:rPr>
        <w:t>(</w:t>
      </w:r>
      <w:r>
        <w:rPr>
          <w:rStyle w:val="a7"/>
          <w:rtl/>
        </w:rPr>
        <w:footnoteReference w:id="3008"/>
      </w:r>
      <w:r>
        <w:rPr>
          <w:rFonts w:hint="cs"/>
          <w:vertAlign w:val="superscript"/>
          <w:rtl/>
        </w:rPr>
        <w:t>)</w:t>
      </w:r>
      <w:r>
        <w:rPr>
          <w:rFonts w:hint="cs"/>
          <w:rtl/>
        </w:rPr>
        <w:t>؛ لأن المسبَّب</w:t>
      </w:r>
      <w:r>
        <w:rPr>
          <w:rStyle w:val="a7"/>
          <w:rtl/>
        </w:rPr>
        <w:footnoteReference w:id="3009"/>
      </w:r>
      <w:r>
        <w:rPr>
          <w:rFonts w:hint="cs"/>
          <w:rtl/>
        </w:rPr>
        <w:t xml:space="preserve"> ليس بمقصود.</w:t>
      </w:r>
    </w:p>
    <w:p w:rsidR="00C10469" w:rsidRDefault="00C10469">
      <w:pPr>
        <w:rPr>
          <w:spacing w:val="-6"/>
          <w:rtl/>
        </w:rPr>
      </w:pPr>
      <w:r>
        <w:rPr>
          <w:rFonts w:hint="cs"/>
          <w:spacing w:val="-6"/>
          <w:rtl/>
        </w:rPr>
        <w:t>يعني : لا يجوز استعارة المسبَّب (وهو الحكم) للسبب</w:t>
      </w:r>
      <w:r>
        <w:rPr>
          <w:rStyle w:val="a7"/>
          <w:spacing w:val="-6"/>
          <w:rtl/>
        </w:rPr>
        <w:footnoteReference w:id="3010"/>
      </w:r>
      <w:r>
        <w:rPr>
          <w:rFonts w:hint="cs"/>
          <w:spacing w:val="-6"/>
          <w:rtl/>
        </w:rPr>
        <w:t>؛ حتى لا يجوز استعارة الألفاظ التي ثبت بها ملك المتعة</w:t>
      </w:r>
      <w:r>
        <w:rPr>
          <w:rStyle w:val="a7"/>
          <w:spacing w:val="-6"/>
          <w:rtl/>
        </w:rPr>
        <w:footnoteReference w:id="3011"/>
      </w:r>
      <w:r>
        <w:rPr>
          <w:rFonts w:hint="cs"/>
          <w:spacing w:val="-6"/>
          <w:rtl/>
        </w:rPr>
        <w:t xml:space="preserve"> لثبوت ملك الرقبة، ولا استعارة الألفاظ التي يزول بها ملك المتعة</w:t>
      </w:r>
      <w:r>
        <w:rPr>
          <w:rStyle w:val="a7"/>
          <w:spacing w:val="-6"/>
          <w:rtl/>
        </w:rPr>
        <w:footnoteReference w:id="3012"/>
      </w:r>
      <w:r>
        <w:rPr>
          <w:rFonts w:hint="cs"/>
          <w:spacing w:val="-6"/>
          <w:rtl/>
        </w:rPr>
        <w:t xml:space="preserve"> لزوال ملك الرقبة</w:t>
      </w:r>
      <w:r>
        <w:rPr>
          <w:rFonts w:hint="cs"/>
          <w:spacing w:val="-6"/>
          <w:vertAlign w:val="superscript"/>
          <w:rtl/>
        </w:rPr>
        <w:t>(</w:t>
      </w:r>
      <w:r>
        <w:rPr>
          <w:rStyle w:val="a7"/>
          <w:spacing w:val="-6"/>
          <w:rtl/>
        </w:rPr>
        <w:footnoteReference w:id="3013"/>
      </w:r>
      <w:r>
        <w:rPr>
          <w:rFonts w:hint="cs"/>
          <w:spacing w:val="-6"/>
          <w:vertAlign w:val="superscript"/>
          <w:rtl/>
        </w:rPr>
        <w:t>)</w:t>
      </w:r>
      <w:r>
        <w:rPr>
          <w:rFonts w:hint="cs"/>
          <w:spacing w:val="-6"/>
          <w:rtl/>
        </w:rPr>
        <w:t>؛ فلهذا لا يجوز استعارة النكاح للبيع، ولا الطلاق</w:t>
      </w:r>
      <w:r>
        <w:rPr>
          <w:rStyle w:val="a7"/>
          <w:spacing w:val="-6"/>
          <w:rtl/>
        </w:rPr>
        <w:footnoteReference w:id="3014"/>
      </w:r>
      <w:r>
        <w:rPr>
          <w:rFonts w:hint="cs"/>
          <w:spacing w:val="-6"/>
          <w:rtl/>
        </w:rPr>
        <w:t xml:space="preserve"> </w:t>
      </w:r>
      <w:r>
        <w:rPr>
          <w:rFonts w:hint="cs"/>
          <w:spacing w:val="-6"/>
          <w:rtl/>
        </w:rPr>
        <w:lastRenderedPageBreak/>
        <w:t>للعتاق، حتى لوقال المولى للمشتري : أنـكحـتـك أمـتي هذه</w:t>
      </w:r>
      <w:r>
        <w:rPr>
          <w:rStyle w:val="a7"/>
          <w:spacing w:val="-6"/>
          <w:rtl/>
        </w:rPr>
        <w:footnoteReference w:id="3015"/>
      </w:r>
      <w:r>
        <w:rPr>
          <w:rFonts w:hint="cs"/>
          <w:spacing w:val="-6"/>
          <w:rtl/>
        </w:rPr>
        <w:t xml:space="preserve"> بكذا- وأراد البيع-. وقال المشتري : قبلت : لا ينفذ البيع.</w:t>
      </w:r>
    </w:p>
    <w:p w:rsidR="00C10469" w:rsidRDefault="00C10469">
      <w:pPr>
        <w:rPr>
          <w:rtl/>
        </w:rPr>
      </w:pPr>
      <w:r>
        <w:rPr>
          <w:rFonts w:hint="cs"/>
          <w:rtl/>
        </w:rPr>
        <w:t xml:space="preserve">أوقال المولى لأمته : طلقتكِ </w:t>
      </w:r>
      <w:r>
        <w:rPr>
          <w:rtl/>
        </w:rPr>
        <w:t>–</w:t>
      </w:r>
      <w:r>
        <w:rPr>
          <w:rFonts w:hint="cs"/>
          <w:rtl/>
        </w:rPr>
        <w:t xml:space="preserve"> وأراد به</w:t>
      </w:r>
      <w:r>
        <w:rPr>
          <w:rStyle w:val="a7"/>
          <w:rtl/>
        </w:rPr>
        <w:footnoteReference w:id="3016"/>
      </w:r>
      <w:r>
        <w:rPr>
          <w:rFonts w:hint="cs"/>
          <w:rtl/>
        </w:rPr>
        <w:t xml:space="preserve"> العتق- : لم [تعتق]</w:t>
      </w:r>
      <w:r>
        <w:rPr>
          <w:rStyle w:val="a7"/>
          <w:rtl/>
        </w:rPr>
        <w:footnoteReference w:id="3017"/>
      </w:r>
      <w:r>
        <w:rPr>
          <w:rFonts w:hint="cs"/>
          <w:rtl/>
        </w:rPr>
        <w:t xml:space="preserve"> عندنا</w:t>
      </w:r>
      <w:r>
        <w:rPr>
          <w:rFonts w:hint="cs"/>
          <w:vertAlign w:val="superscript"/>
          <w:rtl/>
        </w:rPr>
        <w:t>(</w:t>
      </w:r>
      <w:r>
        <w:rPr>
          <w:rStyle w:val="a7"/>
          <w:rtl/>
        </w:rPr>
        <w:footnoteReference w:id="3018"/>
      </w:r>
      <w:r>
        <w:rPr>
          <w:rFonts w:hint="cs"/>
          <w:vertAlign w:val="superscript"/>
          <w:rtl/>
        </w:rPr>
        <w:t>)</w:t>
      </w:r>
      <w:r>
        <w:rPr>
          <w:rFonts w:hint="cs"/>
          <w:rtl/>
        </w:rPr>
        <w:t xml:space="preserve">. </w:t>
      </w:r>
      <w:r>
        <w:rPr>
          <w:rFonts w:hint="eastAsia"/>
          <w:rtl/>
        </w:rPr>
        <w:t>«</w:t>
      </w:r>
      <w:r>
        <w:rPr>
          <w:rFonts w:hint="cs"/>
          <w:rtl/>
        </w:rPr>
        <w:t>إلا إذا كان [السبب]</w:t>
      </w:r>
      <w:r>
        <w:rPr>
          <w:rStyle w:val="a7"/>
          <w:rtl/>
        </w:rPr>
        <w:footnoteReference w:id="3019"/>
      </w:r>
      <w:r>
        <w:rPr>
          <w:rFonts w:hint="cs"/>
          <w:rtl/>
        </w:rPr>
        <w:t xml:space="preserve"> مختصًّا به، كقوله تعالى : </w:t>
      </w:r>
      <w:r>
        <w:rPr>
          <w:color w:val="000000"/>
          <w:sz w:val="28"/>
          <w:szCs w:val="28"/>
        </w:rPr>
        <w:sym w:font="HQPB2" w:char="F0E2"/>
      </w:r>
      <w:r>
        <w:rPr>
          <w:color w:val="000000"/>
          <w:sz w:val="28"/>
          <w:szCs w:val="28"/>
          <w:rtl/>
        </w:rPr>
        <w:t xml:space="preserve"> </w:t>
      </w:r>
      <w:r>
        <w:rPr>
          <w:color w:val="000000"/>
          <w:sz w:val="28"/>
          <w:szCs w:val="28"/>
        </w:rPr>
        <w:sym w:font="HQPB4" w:char="F0FE"/>
      </w:r>
      <w:r>
        <w:rPr>
          <w:color w:val="000000"/>
          <w:sz w:val="28"/>
          <w:szCs w:val="28"/>
        </w:rPr>
        <w:sym w:font="HQPB2" w:char="F092"/>
      </w:r>
      <w:r>
        <w:rPr>
          <w:color w:val="000000"/>
          <w:sz w:val="28"/>
          <w:szCs w:val="28"/>
        </w:rPr>
        <w:sym w:font="HQPB4" w:char="F0CE"/>
      </w:r>
      <w:r>
        <w:rPr>
          <w:color w:val="000000"/>
          <w:sz w:val="28"/>
          <w:szCs w:val="28"/>
        </w:rPr>
        <w:sym w:font="HQPB4" w:char="F06F"/>
      </w:r>
      <w:r>
        <w:rPr>
          <w:color w:val="000000"/>
          <w:sz w:val="28"/>
          <w:szCs w:val="28"/>
        </w:rPr>
        <w:sym w:font="HQPB2" w:char="F054"/>
      </w:r>
      <w:r>
        <w:rPr>
          <w:color w:val="000000"/>
          <w:sz w:val="28"/>
          <w:szCs w:val="28"/>
        </w:rPr>
        <w:sym w:font="HQPB4" w:char="F0CE"/>
      </w:r>
      <w:r>
        <w:rPr>
          <w:color w:val="000000"/>
          <w:sz w:val="28"/>
          <w:szCs w:val="28"/>
        </w:rPr>
        <w:sym w:font="HQPB1" w:char="F029"/>
      </w:r>
      <w:r>
        <w:rPr>
          <w:color w:val="000000"/>
          <w:sz w:val="28"/>
          <w:szCs w:val="28"/>
          <w:rtl/>
        </w:rPr>
        <w:t xml:space="preserve"> </w:t>
      </w:r>
      <w:r>
        <w:rPr>
          <w:color w:val="000000"/>
          <w:sz w:val="28"/>
          <w:szCs w:val="28"/>
        </w:rPr>
        <w:sym w:font="HQPB4" w:char="F0FB"/>
      </w:r>
      <w:r>
        <w:rPr>
          <w:color w:val="000000"/>
          <w:sz w:val="28"/>
          <w:szCs w:val="28"/>
        </w:rPr>
        <w:sym w:font="HQPB2" w:char="F0D3"/>
      </w:r>
      <w:r>
        <w:rPr>
          <w:color w:val="000000"/>
          <w:sz w:val="28"/>
          <w:szCs w:val="28"/>
        </w:rPr>
        <w:sym w:font="HQPB4" w:char="F0CD"/>
      </w:r>
      <w:r>
        <w:rPr>
          <w:color w:val="000000"/>
          <w:sz w:val="28"/>
          <w:szCs w:val="28"/>
        </w:rPr>
        <w:sym w:font="HQPB2" w:char="F05F"/>
      </w:r>
      <w:r>
        <w:rPr>
          <w:color w:val="000000"/>
          <w:sz w:val="28"/>
          <w:szCs w:val="28"/>
        </w:rPr>
        <w:sym w:font="HQPB3" w:char="F031"/>
      </w:r>
      <w:r>
        <w:rPr>
          <w:color w:val="000000"/>
          <w:sz w:val="28"/>
          <w:szCs w:val="28"/>
        </w:rPr>
        <w:sym w:font="HQPB5" w:char="F075"/>
      </w:r>
      <w:r>
        <w:rPr>
          <w:color w:val="000000"/>
          <w:sz w:val="28"/>
          <w:szCs w:val="28"/>
        </w:rPr>
        <w:sym w:font="HQPB1" w:char="F091"/>
      </w:r>
      <w:r>
        <w:rPr>
          <w:color w:val="000000"/>
          <w:sz w:val="28"/>
          <w:szCs w:val="28"/>
        </w:rPr>
        <w:sym w:font="HQPB5" w:char="F072"/>
      </w:r>
      <w:r>
        <w:rPr>
          <w:color w:val="000000"/>
          <w:sz w:val="28"/>
          <w:szCs w:val="28"/>
        </w:rPr>
        <w:sym w:font="HQPB1" w:char="F026"/>
      </w:r>
      <w:r>
        <w:rPr>
          <w:color w:val="000000"/>
          <w:sz w:val="28"/>
          <w:szCs w:val="28"/>
          <w:rtl/>
        </w:rPr>
        <w:t xml:space="preserve"> </w:t>
      </w:r>
      <w:r>
        <w:rPr>
          <w:color w:val="000000"/>
          <w:sz w:val="28"/>
          <w:szCs w:val="28"/>
        </w:rPr>
        <w:sym w:font="HQPB4" w:char="F0E7"/>
      </w:r>
      <w:r>
        <w:rPr>
          <w:color w:val="000000"/>
          <w:sz w:val="28"/>
          <w:szCs w:val="28"/>
        </w:rPr>
        <w:sym w:font="HQPB1" w:char="F08E"/>
      </w:r>
      <w:r>
        <w:rPr>
          <w:color w:val="000000"/>
          <w:sz w:val="28"/>
          <w:szCs w:val="28"/>
        </w:rPr>
        <w:sym w:font="HQPB4" w:char="F0C5"/>
      </w:r>
      <w:r>
        <w:rPr>
          <w:color w:val="000000"/>
          <w:sz w:val="28"/>
          <w:szCs w:val="28"/>
        </w:rPr>
        <w:sym w:font="HQPB1" w:char="F0C7"/>
      </w:r>
      <w:r>
        <w:rPr>
          <w:color w:val="000000"/>
          <w:sz w:val="28"/>
          <w:szCs w:val="28"/>
        </w:rPr>
        <w:sym w:font="HQPB4" w:char="F0F4"/>
      </w:r>
      <w:r>
        <w:rPr>
          <w:color w:val="000000"/>
          <w:sz w:val="28"/>
          <w:szCs w:val="28"/>
        </w:rPr>
        <w:sym w:font="HQPB1" w:char="F0E3"/>
      </w:r>
      <w:r>
        <w:rPr>
          <w:color w:val="000000"/>
          <w:sz w:val="28"/>
          <w:szCs w:val="28"/>
        </w:rPr>
        <w:sym w:font="HQPB5" w:char="F072"/>
      </w:r>
      <w:r>
        <w:rPr>
          <w:color w:val="000000"/>
          <w:sz w:val="28"/>
          <w:szCs w:val="28"/>
        </w:rPr>
        <w:sym w:font="HQPB1" w:char="F026"/>
      </w:r>
      <w:r>
        <w:rPr>
          <w:color w:val="000000"/>
          <w:sz w:val="28"/>
          <w:szCs w:val="28"/>
          <w:rtl/>
        </w:rPr>
        <w:t xml:space="preserve"> </w:t>
      </w:r>
      <w:r>
        <w:rPr>
          <w:color w:val="000000"/>
          <w:sz w:val="28"/>
          <w:szCs w:val="28"/>
        </w:rPr>
        <w:sym w:font="HQPB1" w:char="F023"/>
      </w:r>
      <w:r>
        <w:rPr>
          <w:color w:val="000000"/>
          <w:sz w:val="28"/>
          <w:szCs w:val="28"/>
        </w:rPr>
        <w:sym w:font="HQPB4" w:char="F05C"/>
      </w:r>
      <w:r>
        <w:rPr>
          <w:color w:val="000000"/>
          <w:sz w:val="28"/>
          <w:szCs w:val="28"/>
        </w:rPr>
        <w:sym w:font="HQPB1" w:char="F08D"/>
      </w:r>
      <w:r>
        <w:rPr>
          <w:color w:val="000000"/>
          <w:sz w:val="28"/>
          <w:szCs w:val="28"/>
        </w:rPr>
        <w:sym w:font="HQPB4" w:char="F0F4"/>
      </w:r>
      <w:r>
        <w:rPr>
          <w:color w:val="000000"/>
          <w:sz w:val="28"/>
          <w:szCs w:val="28"/>
        </w:rPr>
        <w:sym w:font="HQPB2" w:char="F04A"/>
      </w:r>
      <w:r>
        <w:rPr>
          <w:color w:val="000000"/>
          <w:sz w:val="28"/>
          <w:szCs w:val="28"/>
        </w:rPr>
        <w:sym w:font="HQPB5" w:char="F079"/>
      </w:r>
      <w:r>
        <w:rPr>
          <w:color w:val="000000"/>
          <w:sz w:val="28"/>
          <w:szCs w:val="28"/>
        </w:rPr>
        <w:sym w:font="HQPB1" w:char="F07A"/>
      </w:r>
      <w:r>
        <w:rPr>
          <w:color w:val="000000"/>
          <w:sz w:val="28"/>
          <w:szCs w:val="28"/>
          <w:rtl/>
        </w:rPr>
        <w:t xml:space="preserve"> </w:t>
      </w:r>
      <w:r>
        <w:rPr>
          <w:color w:val="000000"/>
          <w:sz w:val="28"/>
          <w:szCs w:val="28"/>
        </w:rPr>
        <w:sym w:font="HQPB4" w:char="F028"/>
      </w:r>
      <w:r>
        <w:rPr>
          <w:color w:val="000000"/>
          <w:sz w:val="28"/>
          <w:szCs w:val="28"/>
          <w:rtl/>
        </w:rPr>
        <w:t xml:space="preserve">  </w:t>
      </w:r>
      <w:r>
        <w:rPr>
          <w:color w:val="000000"/>
          <w:sz w:val="28"/>
          <w:szCs w:val="28"/>
        </w:rPr>
        <w:sym w:font="HQPB2" w:char="F0E1"/>
      </w:r>
      <w:r>
        <w:rPr>
          <w:rFonts w:hint="cs"/>
          <w:vertAlign w:val="superscript"/>
          <w:rtl/>
        </w:rPr>
        <w:t xml:space="preserve"> (</w:t>
      </w:r>
      <w:r>
        <w:rPr>
          <w:rStyle w:val="a7"/>
          <w:rtl/>
        </w:rPr>
        <w:footnoteReference w:id="3020"/>
      </w:r>
      <w:r>
        <w:rPr>
          <w:rFonts w:hint="cs"/>
          <w:vertAlign w:val="superscript"/>
          <w:rtl/>
        </w:rPr>
        <w:t>)</w:t>
      </w:r>
      <w:r>
        <w:rPr>
          <w:rFonts w:hint="eastAsia"/>
          <w:rtl/>
        </w:rPr>
        <w:t>»</w:t>
      </w:r>
      <w:r>
        <w:rPr>
          <w:rFonts w:hint="cs"/>
          <w:vertAlign w:val="superscript"/>
          <w:rtl/>
        </w:rPr>
        <w:t>(</w:t>
      </w:r>
      <w:r>
        <w:rPr>
          <w:rStyle w:val="a7"/>
          <w:rtl/>
        </w:rPr>
        <w:footnoteReference w:id="3021"/>
      </w:r>
      <w:r>
        <w:rPr>
          <w:rFonts w:hint="cs"/>
          <w:vertAlign w:val="superscript"/>
          <w:rtl/>
        </w:rPr>
        <w:t>)</w:t>
      </w:r>
      <w:r>
        <w:rPr>
          <w:rFonts w:hint="cs"/>
          <w:rtl/>
        </w:rPr>
        <w:t xml:space="preserve"> ففي هذه الآية استعير اسم المسبَّب</w:t>
      </w:r>
      <w:r>
        <w:rPr>
          <w:rStyle w:val="a7"/>
          <w:rtl/>
        </w:rPr>
        <w:footnoteReference w:id="3022"/>
      </w:r>
      <w:r>
        <w:rPr>
          <w:rFonts w:hint="cs"/>
          <w:rtl/>
        </w:rPr>
        <w:t xml:space="preserve"> (وهو الخمر) للسّبب (وهو العنب) لاختصاص الخمر بالعنب؛ وهذا لأنه إذا كان مختصًّا</w:t>
      </w:r>
      <w:r>
        <w:rPr>
          <w:rStyle w:val="a7"/>
          <w:rtl/>
        </w:rPr>
        <w:footnoteReference w:id="3023"/>
      </w:r>
      <w:r>
        <w:rPr>
          <w:rFonts w:hint="cs"/>
          <w:rtl/>
        </w:rPr>
        <w:t xml:space="preserve"> يصير في معنى المعلول مع </w:t>
      </w:r>
      <w:r>
        <w:rPr>
          <w:rFonts w:hint="cs"/>
          <w:rtl/>
        </w:rPr>
        <w:lastRenderedPageBreak/>
        <w:t>العلة، من حيث إنّه لم يحصل إلاّ به، و[المعلول]</w:t>
      </w:r>
      <w:r>
        <w:rPr>
          <w:rStyle w:val="a7"/>
          <w:rtl/>
        </w:rPr>
        <w:footnoteReference w:id="3024"/>
      </w:r>
      <w:r>
        <w:rPr>
          <w:rFonts w:hint="cs"/>
          <w:rtl/>
        </w:rPr>
        <w:t xml:space="preserve"> يُستعار للعلة وبالعكس</w:t>
      </w:r>
      <w:r>
        <w:rPr>
          <w:rFonts w:hint="cs"/>
          <w:vertAlign w:val="superscript"/>
          <w:rtl/>
        </w:rPr>
        <w:t>(</w:t>
      </w:r>
      <w:r>
        <w:rPr>
          <w:rStyle w:val="a7"/>
          <w:rtl/>
        </w:rPr>
        <w:footnoteReference w:id="3025"/>
      </w:r>
      <w:r>
        <w:rPr>
          <w:rFonts w:hint="cs"/>
          <w:vertAlign w:val="superscript"/>
          <w:rtl/>
        </w:rPr>
        <w:t>)</w:t>
      </w:r>
      <w:r>
        <w:rPr>
          <w:rFonts w:hint="cs"/>
          <w:rtl/>
        </w:rPr>
        <w:t>.</w:t>
      </w:r>
    </w:p>
    <w:p w:rsidR="00C10469" w:rsidRDefault="00C10469">
      <w:pPr>
        <w:rPr>
          <w:rtl/>
        </w:rPr>
      </w:pPr>
      <w:r>
        <w:rPr>
          <w:rFonts w:hint="cs"/>
          <w:b/>
          <w:bCs/>
          <w:rtl/>
        </w:rPr>
        <w:t>والفرق بين العلّة والسّبب</w:t>
      </w:r>
      <w:r>
        <w:rPr>
          <w:rFonts w:hint="cs"/>
          <w:rtl/>
        </w:rPr>
        <w:t xml:space="preserve"> : </w:t>
      </w:r>
      <w:r>
        <w:rPr>
          <w:rFonts w:hint="eastAsia"/>
          <w:rtl/>
        </w:rPr>
        <w:t>«</w:t>
      </w:r>
      <w:r>
        <w:rPr>
          <w:rFonts w:hint="cs"/>
          <w:rtl/>
        </w:rPr>
        <w:t>أن ما يفضي إلى شيء إن كان إفضاؤه داعيًا</w:t>
      </w:r>
      <w:r>
        <w:rPr>
          <w:rFonts w:hint="cs"/>
          <w:vertAlign w:val="superscript"/>
          <w:rtl/>
        </w:rPr>
        <w:t>(</w:t>
      </w:r>
      <w:r>
        <w:rPr>
          <w:rStyle w:val="a7"/>
          <w:rtl/>
        </w:rPr>
        <w:footnoteReference w:id="3026"/>
      </w:r>
      <w:r>
        <w:rPr>
          <w:rFonts w:hint="cs"/>
          <w:vertAlign w:val="superscript"/>
          <w:rtl/>
        </w:rPr>
        <w:t>)</w:t>
      </w:r>
      <w:r>
        <w:rPr>
          <w:rFonts w:hint="cs"/>
          <w:rtl/>
        </w:rPr>
        <w:t xml:space="preserve"> سمي علة، وإلاّ سمي سببًا محضًا</w:t>
      </w:r>
      <w:r>
        <w:rPr>
          <w:rStyle w:val="a7"/>
          <w:rtl/>
        </w:rPr>
        <w:footnoteReference w:id="3027"/>
      </w:r>
      <w:r>
        <w:rPr>
          <w:rFonts w:hint="eastAsia"/>
          <w:rtl/>
        </w:rPr>
        <w:t>»</w:t>
      </w:r>
      <w:r>
        <w:rPr>
          <w:rFonts w:hint="cs"/>
          <w:vertAlign w:val="superscript"/>
          <w:rtl/>
        </w:rPr>
        <w:t>(</w:t>
      </w:r>
      <w:r>
        <w:rPr>
          <w:rStyle w:val="a7"/>
          <w:rtl/>
        </w:rPr>
        <w:footnoteReference w:id="3028"/>
      </w:r>
      <w:r>
        <w:rPr>
          <w:rFonts w:hint="cs"/>
          <w:vertAlign w:val="superscript"/>
          <w:rtl/>
        </w:rPr>
        <w:t>)</w:t>
      </w:r>
      <w:r>
        <w:rPr>
          <w:rFonts w:hint="cs"/>
          <w:rtl/>
        </w:rPr>
        <w:t>.</w:t>
      </w:r>
    </w:p>
    <w:p w:rsidR="00C10469" w:rsidRDefault="00C10469">
      <w:pPr>
        <w:rPr>
          <w:rtl/>
        </w:rPr>
      </w:pPr>
      <w:r>
        <w:rPr>
          <w:rFonts w:hint="cs"/>
          <w:rtl/>
        </w:rPr>
        <w:t>وتفصيله في كتب الأصول في باب (وجوه استعمال النظم)</w:t>
      </w:r>
      <w:r>
        <w:rPr>
          <w:rFonts w:hint="cs"/>
          <w:vertAlign w:val="superscript"/>
          <w:rtl/>
        </w:rPr>
        <w:t>(</w:t>
      </w:r>
      <w:r>
        <w:rPr>
          <w:rStyle w:val="a7"/>
          <w:rtl/>
        </w:rPr>
        <w:footnoteReference w:id="3029"/>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865611"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9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B7E6A" w:rsidRDefault="00C10469">
      <w:pPr>
        <w:pStyle w:val="a9"/>
        <w:rPr>
          <w:rFonts w:cs="AL-Mateen"/>
          <w:rtl/>
        </w:rPr>
      </w:pPr>
      <w:r w:rsidRPr="001B7E6A">
        <w:rPr>
          <w:rFonts w:cs="AL-Mateen" w:hint="cs"/>
          <w:rtl/>
        </w:rPr>
        <w:lastRenderedPageBreak/>
        <w:t>[ الـقـاعـدة الـتـاسـعـة والـثـلاثـون بـعـد الـمـائة ]</w:t>
      </w:r>
    </w:p>
    <w:p w:rsidR="00C10469" w:rsidRDefault="00C10469">
      <w:pPr>
        <w:rPr>
          <w:rtl/>
        </w:rPr>
      </w:pPr>
      <w:r>
        <w:rPr>
          <w:rFonts w:cs="Monotype Koufi" w:hint="cs"/>
          <w:rtl/>
        </w:rPr>
        <w:t>السُّؤالُ مُعَادٌ فِي الجَوَابِ</w:t>
      </w:r>
      <w:r>
        <w:rPr>
          <w:rFonts w:hint="cs"/>
          <w:rtl/>
        </w:rPr>
        <w:t xml:space="preserve"> </w:t>
      </w:r>
      <w:r>
        <w:rPr>
          <w:rFonts w:hint="cs"/>
          <w:vertAlign w:val="superscript"/>
          <w:rtl/>
        </w:rPr>
        <w:t>(</w:t>
      </w:r>
      <w:r>
        <w:rPr>
          <w:rStyle w:val="a7"/>
          <w:rtl/>
        </w:rPr>
        <w:footnoteReference w:id="3030"/>
      </w:r>
      <w:r>
        <w:rPr>
          <w:rFonts w:hint="cs"/>
          <w:vertAlign w:val="superscript"/>
          <w:rtl/>
        </w:rPr>
        <w:t>)</w:t>
      </w:r>
      <w:r>
        <w:rPr>
          <w:rFonts w:hint="cs"/>
          <w:rtl/>
        </w:rPr>
        <w:t xml:space="preserve"> :</w:t>
      </w:r>
    </w:p>
    <w:p w:rsidR="00C10469" w:rsidRDefault="00C10469">
      <w:pPr>
        <w:rPr>
          <w:rtl/>
        </w:rPr>
      </w:pPr>
      <w:r>
        <w:rPr>
          <w:rFonts w:hint="cs"/>
          <w:rtl/>
        </w:rPr>
        <w:lastRenderedPageBreak/>
        <w:t xml:space="preserve">فلو قال أحد : </w:t>
      </w:r>
      <w:r>
        <w:rPr>
          <w:rFonts w:hint="eastAsia"/>
          <w:rtl/>
        </w:rPr>
        <w:t>«</w:t>
      </w:r>
      <w:r>
        <w:rPr>
          <w:rFonts w:hint="cs"/>
          <w:rtl/>
        </w:rPr>
        <w:t>امرأة زيد طالق، أو عبده حرّ، و</w:t>
      </w:r>
      <w:r>
        <w:rPr>
          <w:rFonts w:hint="cs"/>
          <w:vertAlign w:val="superscript"/>
          <w:rtl/>
        </w:rPr>
        <w:t>(</w:t>
      </w:r>
      <w:r>
        <w:rPr>
          <w:rStyle w:val="a7"/>
          <w:rtl/>
        </w:rPr>
        <w:footnoteReference w:id="3031"/>
      </w:r>
      <w:r>
        <w:rPr>
          <w:rFonts w:hint="cs"/>
          <w:vertAlign w:val="superscript"/>
          <w:rtl/>
        </w:rPr>
        <w:t>)</w:t>
      </w:r>
      <w:r>
        <w:rPr>
          <w:rFonts w:hint="cs"/>
          <w:rtl/>
        </w:rPr>
        <w:t>عليه المشي إلى بيت الله تعالى إن دخل هذه الدار. فقال زيد : (نعم) : كان حالفًا</w:t>
      </w:r>
      <w:r>
        <w:rPr>
          <w:rFonts w:hint="cs"/>
          <w:vertAlign w:val="superscript"/>
          <w:rtl/>
        </w:rPr>
        <w:t>(</w:t>
      </w:r>
      <w:r>
        <w:rPr>
          <w:rStyle w:val="a7"/>
          <w:rtl/>
        </w:rPr>
        <w:footnoteReference w:id="3032"/>
      </w:r>
      <w:r>
        <w:rPr>
          <w:rFonts w:hint="cs"/>
          <w:vertAlign w:val="superscript"/>
          <w:rtl/>
        </w:rPr>
        <w:t>)</w:t>
      </w:r>
      <w:r>
        <w:rPr>
          <w:rFonts w:hint="cs"/>
          <w:rtl/>
        </w:rPr>
        <w:t>؛ لأن الجواب يتضمن إعادة ما في السّؤال</w:t>
      </w:r>
      <w:r>
        <w:rPr>
          <w:rFonts w:hint="eastAsia"/>
          <w:rtl/>
        </w:rPr>
        <w:t>»</w:t>
      </w:r>
      <w:r>
        <w:rPr>
          <w:rFonts w:hint="cs"/>
          <w:rtl/>
        </w:rPr>
        <w:t>- كذا في (البزازية)</w:t>
      </w:r>
      <w:r>
        <w:rPr>
          <w:rFonts w:hint="cs"/>
          <w:vertAlign w:val="superscript"/>
          <w:rtl/>
        </w:rPr>
        <w:t>(</w:t>
      </w:r>
      <w:r>
        <w:rPr>
          <w:rStyle w:val="a7"/>
          <w:rtl/>
        </w:rPr>
        <w:footnoteReference w:id="3033"/>
      </w:r>
      <w:r>
        <w:rPr>
          <w:rFonts w:hint="cs"/>
          <w:vertAlign w:val="superscript"/>
          <w:rtl/>
        </w:rPr>
        <w:t>)</w:t>
      </w:r>
      <w:r>
        <w:rPr>
          <w:rFonts w:hint="cs"/>
          <w:rtl/>
        </w:rPr>
        <w:t>-.</w:t>
      </w:r>
    </w:p>
    <w:p w:rsidR="00C10469" w:rsidRDefault="00C10469">
      <w:pPr>
        <w:rPr>
          <w:rtl/>
        </w:rPr>
      </w:pPr>
      <w:r>
        <w:rPr>
          <w:rFonts w:hint="cs"/>
          <w:rtl/>
        </w:rPr>
        <w:t>ومن فروعها : لو قيل</w:t>
      </w:r>
      <w:r>
        <w:rPr>
          <w:rStyle w:val="a7"/>
          <w:rtl/>
        </w:rPr>
        <w:footnoteReference w:id="3034"/>
      </w:r>
      <w:r>
        <w:rPr>
          <w:rFonts w:hint="cs"/>
          <w:rtl/>
        </w:rPr>
        <w:t xml:space="preserve"> : </w:t>
      </w:r>
      <w:r>
        <w:rPr>
          <w:rFonts w:hint="eastAsia"/>
          <w:rtl/>
        </w:rPr>
        <w:t>«</w:t>
      </w:r>
      <w:r>
        <w:rPr>
          <w:rFonts w:hint="cs"/>
          <w:rtl/>
        </w:rPr>
        <w:t>أَلَسْتَ طلَّقتَ امرأتك؟. فقال : (بلى): طَلُقَتْ؛ لأنه جواب الاستفهام بالإثبات. ولو قال : (نعم): لا؛ لأنّه جواب الاستفهام بالنفي، كأنه قال : نعم ما طلقتُ</w:t>
      </w:r>
      <w:r>
        <w:rPr>
          <w:rFonts w:hint="eastAsia"/>
          <w:rtl/>
        </w:rPr>
        <w:t>»</w:t>
      </w:r>
      <w:r>
        <w:rPr>
          <w:rFonts w:hint="cs"/>
          <w:vertAlign w:val="superscript"/>
          <w:rtl/>
        </w:rPr>
        <w:t>(</w:t>
      </w:r>
      <w:r>
        <w:rPr>
          <w:rStyle w:val="a7"/>
          <w:rtl/>
        </w:rPr>
        <w:footnoteReference w:id="3035"/>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4D1E7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9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44ABE" w:rsidRDefault="00C10469">
      <w:pPr>
        <w:pStyle w:val="a9"/>
        <w:rPr>
          <w:rFonts w:cs="AL-Mateen"/>
          <w:rtl/>
        </w:rPr>
      </w:pPr>
      <w:r w:rsidRPr="00844ABE">
        <w:rPr>
          <w:rFonts w:cs="AL-Mateen" w:hint="cs"/>
          <w:rtl/>
        </w:rPr>
        <w:lastRenderedPageBreak/>
        <w:t>[ الـقـاعـدة الأربـعـون بـعـد المـائـة ]</w:t>
      </w:r>
    </w:p>
    <w:p w:rsidR="00C10469" w:rsidRDefault="00C10469">
      <w:pPr>
        <w:rPr>
          <w:rtl/>
        </w:rPr>
      </w:pPr>
      <w:r>
        <w:rPr>
          <w:rFonts w:cs="Monotype Koufi" w:hint="cs"/>
          <w:rtl/>
        </w:rPr>
        <w:t>السِّرَايَةُ [تَكُونُ فِي الأُمُورِ]</w:t>
      </w:r>
      <w:r>
        <w:rPr>
          <w:rStyle w:val="a7"/>
          <w:rtl/>
        </w:rPr>
        <w:footnoteReference w:id="3036"/>
      </w:r>
      <w:r>
        <w:rPr>
          <w:rFonts w:hint="cs"/>
          <w:rtl/>
        </w:rPr>
        <w:t xml:space="preserve"> </w:t>
      </w:r>
      <w:r>
        <w:rPr>
          <w:rFonts w:cs="Monotype Koufi" w:hint="cs"/>
          <w:rtl/>
        </w:rPr>
        <w:t>الشَّرْعِيَّةِ لاَ الحَقِيْقَةِ</w:t>
      </w:r>
      <w:r>
        <w:rPr>
          <w:rFonts w:hint="cs"/>
          <w:vertAlign w:val="superscript"/>
          <w:rtl/>
        </w:rPr>
        <w:t>(</w:t>
      </w:r>
      <w:r>
        <w:rPr>
          <w:rStyle w:val="a7"/>
          <w:rtl/>
        </w:rPr>
        <w:footnoteReference w:id="3037"/>
      </w:r>
      <w:r>
        <w:rPr>
          <w:rFonts w:hint="cs"/>
          <w:vertAlign w:val="superscript"/>
          <w:rtl/>
        </w:rPr>
        <w:t>)</w:t>
      </w:r>
      <w:r>
        <w:rPr>
          <w:rFonts w:hint="cs"/>
          <w:rtl/>
        </w:rPr>
        <w:t xml:space="preserve"> :</w:t>
      </w:r>
    </w:p>
    <w:p w:rsidR="00C10469" w:rsidRDefault="00C10469">
      <w:pPr>
        <w:rPr>
          <w:rtl/>
        </w:rPr>
      </w:pPr>
      <w:r>
        <w:rPr>
          <w:rFonts w:hint="cs"/>
          <w:rtl/>
        </w:rPr>
        <w:lastRenderedPageBreak/>
        <w:t>فلو ولدتْ مأذونةٌ مديونةٌ ولدًا</w:t>
      </w:r>
      <w:r>
        <w:rPr>
          <w:rFonts w:hint="cs"/>
          <w:vertAlign w:val="superscript"/>
          <w:rtl/>
        </w:rPr>
        <w:t>(</w:t>
      </w:r>
      <w:r>
        <w:rPr>
          <w:rStyle w:val="a7"/>
          <w:rtl/>
        </w:rPr>
        <w:footnoteReference w:id="3038"/>
      </w:r>
      <w:r>
        <w:rPr>
          <w:rFonts w:hint="cs"/>
          <w:vertAlign w:val="superscript"/>
          <w:rtl/>
        </w:rPr>
        <w:t>)</w:t>
      </w:r>
      <w:r>
        <w:rPr>
          <w:rFonts w:hint="cs"/>
          <w:rtl/>
        </w:rPr>
        <w:t xml:space="preserve"> :لا يدفع معها بجنايتها؛ لأن الدفع فعل محسوس، فلا يسري منها إلى ولدها، كالحدّ والقصاص، فإنّ</w:t>
      </w:r>
      <w:r>
        <w:rPr>
          <w:rStyle w:val="a7"/>
          <w:rtl/>
        </w:rPr>
        <w:footnoteReference w:id="3039"/>
      </w:r>
      <w:r>
        <w:rPr>
          <w:rFonts w:hint="cs"/>
          <w:rtl/>
        </w:rPr>
        <w:t xml:space="preserve"> الوصف الحقيقي في محل لا يمكن أن ينتقل إلى غيره.</w:t>
      </w:r>
    </w:p>
    <w:p w:rsidR="00C10469" w:rsidRDefault="00C10469">
      <w:pPr>
        <w:spacing w:line="580" w:lineRule="exact"/>
        <w:rPr>
          <w:rtl/>
        </w:rPr>
      </w:pPr>
      <w:r>
        <w:rPr>
          <w:rFonts w:hint="cs"/>
          <w:rtl/>
        </w:rPr>
        <w:t>و[يـبـاع]</w:t>
      </w:r>
      <w:r>
        <w:rPr>
          <w:rStyle w:val="a7"/>
          <w:rtl/>
        </w:rPr>
        <w:footnoteReference w:id="3040"/>
      </w:r>
      <w:r>
        <w:rPr>
          <w:rFonts w:hint="cs"/>
          <w:rtl/>
        </w:rPr>
        <w:t xml:space="preserve"> الولد لديْنِها</w:t>
      </w:r>
      <w:r>
        <w:rPr>
          <w:rStyle w:val="a7"/>
          <w:rtl/>
        </w:rPr>
        <w:footnoteReference w:id="3041"/>
      </w:r>
      <w:r>
        <w:rPr>
          <w:rFonts w:hint="cs"/>
          <w:rtl/>
        </w:rPr>
        <w:t xml:space="preserve">؛ لأنّ الدّين وصف شرعي يسري إلى الولد كالملك والرق </w:t>
      </w:r>
      <w:r>
        <w:rPr>
          <w:rFonts w:hint="cs"/>
          <w:rtl/>
        </w:rPr>
        <w:lastRenderedPageBreak/>
        <w:t xml:space="preserve">والحرية. </w:t>
      </w:r>
    </w:p>
    <w:p w:rsidR="00C10469" w:rsidRDefault="00C10469">
      <w:pPr>
        <w:rPr>
          <w:rtl/>
        </w:rPr>
      </w:pPr>
      <w:r>
        <w:rPr>
          <w:rFonts w:hint="cs"/>
          <w:rtl/>
        </w:rPr>
        <w:t>كذا في (العناية)</w:t>
      </w:r>
      <w:r>
        <w:rPr>
          <w:rFonts w:hint="cs"/>
          <w:vertAlign w:val="superscript"/>
          <w:rtl/>
        </w:rPr>
        <w:t>(</w:t>
      </w:r>
      <w:r>
        <w:rPr>
          <w:rStyle w:val="a7"/>
          <w:rtl/>
        </w:rPr>
        <w:footnoteReference w:id="3042"/>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39518C"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19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5914B9" w:rsidRDefault="00C10469">
      <w:pPr>
        <w:pStyle w:val="a9"/>
        <w:rPr>
          <w:rFonts w:cs="AL-Mateen"/>
          <w:rtl/>
        </w:rPr>
      </w:pPr>
      <w:r w:rsidRPr="005914B9">
        <w:rPr>
          <w:rFonts w:cs="AL-Mateen" w:hint="cs"/>
          <w:rtl/>
        </w:rPr>
        <w:lastRenderedPageBreak/>
        <w:t>[ الـقـاعـدة الـحـاديـة والأربـعـون بـعـد الـمـائـة ]</w:t>
      </w:r>
    </w:p>
    <w:p w:rsidR="00C10469" w:rsidRDefault="00C10469">
      <w:pPr>
        <w:rPr>
          <w:rtl/>
        </w:rPr>
      </w:pPr>
      <w:r>
        <w:rPr>
          <w:rFonts w:cs="Monotype Koufi" w:hint="cs"/>
          <w:rtl/>
        </w:rPr>
        <w:t>السَّلاَمَةُ لَيْسَتْ بِشَرْطٍ فِي التَّبَرُّعَاتِ</w:t>
      </w:r>
      <w:r>
        <w:rPr>
          <w:rFonts w:hint="cs"/>
          <w:rtl/>
        </w:rPr>
        <w:t xml:space="preserve"> </w:t>
      </w:r>
      <w:r>
        <w:rPr>
          <w:rStyle w:val="a7"/>
          <w:rtl/>
        </w:rPr>
        <w:footnoteReference w:id="3043"/>
      </w:r>
      <w:r>
        <w:rPr>
          <w:rFonts w:hint="cs"/>
          <w:vertAlign w:val="superscript"/>
          <w:rtl/>
        </w:rPr>
        <w:t>(</w:t>
      </w:r>
      <w:r>
        <w:rPr>
          <w:rStyle w:val="a7"/>
          <w:rtl/>
        </w:rPr>
        <w:footnoteReference w:id="3044"/>
      </w:r>
      <w:r>
        <w:rPr>
          <w:rFonts w:hint="cs"/>
          <w:vertAlign w:val="superscript"/>
          <w:rtl/>
        </w:rPr>
        <w:t>)</w:t>
      </w:r>
      <w:r>
        <w:rPr>
          <w:rFonts w:hint="cs"/>
          <w:rtl/>
        </w:rPr>
        <w:t xml:space="preserve"> :</w:t>
      </w:r>
    </w:p>
    <w:p w:rsidR="00C10469" w:rsidRDefault="00C10469">
      <w:pPr>
        <w:rPr>
          <w:rtl/>
        </w:rPr>
      </w:pPr>
      <w:r>
        <w:rPr>
          <w:rFonts w:hint="cs"/>
          <w:rtl/>
        </w:rPr>
        <w:t>فإن هلك الموهوب في يد الموهوب له فاستحق فضمن : لم يرجع على واهبه؛ لعدم اشتراط السّلامة؛ ولأن الموهوب له لا يملك المال المدفوع إليه مقابلاً بمال، ففي</w:t>
      </w:r>
      <w:r>
        <w:rPr>
          <w:rStyle w:val="a7"/>
          <w:rtl/>
        </w:rPr>
        <w:footnoteReference w:id="3045"/>
      </w:r>
      <w:r>
        <w:rPr>
          <w:rFonts w:hint="cs"/>
          <w:rtl/>
        </w:rPr>
        <w:t xml:space="preserve"> مثل هذا لا رُجوع - كما سيأتي في باب الفاء إن شاء الله</w:t>
      </w:r>
      <w:r>
        <w:rPr>
          <w:rFonts w:hint="cs"/>
          <w:vertAlign w:val="superscript"/>
          <w:rtl/>
        </w:rPr>
        <w:t>(</w:t>
      </w:r>
      <w:r>
        <w:rPr>
          <w:rStyle w:val="a7"/>
          <w:rtl/>
        </w:rPr>
        <w:footnoteReference w:id="3046"/>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9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BE6B5F" w:rsidRDefault="00C10469">
      <w:pPr>
        <w:pStyle w:val="a9"/>
        <w:rPr>
          <w:rFonts w:cs="AL-Mateen"/>
          <w:rtl/>
        </w:rPr>
      </w:pPr>
      <w:r w:rsidRPr="00BE6B5F">
        <w:rPr>
          <w:rFonts w:cs="AL-Mateen"/>
          <w:rtl/>
        </w:rPr>
        <w:lastRenderedPageBreak/>
        <w:t>[ الـقـاعـدة الـ</w:t>
      </w:r>
      <w:r w:rsidRPr="00BE6B5F">
        <w:rPr>
          <w:rFonts w:cs="AL-Mateen" w:hint="cs"/>
          <w:rtl/>
        </w:rPr>
        <w:t>ث</w:t>
      </w:r>
      <w:r w:rsidRPr="00BE6B5F">
        <w:rPr>
          <w:rFonts w:cs="AL-Mateen"/>
          <w:rtl/>
        </w:rPr>
        <w:t>ـا</w:t>
      </w:r>
      <w:r w:rsidRPr="00BE6B5F">
        <w:rPr>
          <w:rFonts w:cs="AL-Mateen" w:hint="cs"/>
          <w:rtl/>
        </w:rPr>
        <w:t>ن</w:t>
      </w:r>
      <w:r w:rsidRPr="00BE6B5F">
        <w:rPr>
          <w:rFonts w:cs="AL-Mateen"/>
          <w:rtl/>
        </w:rPr>
        <w:t xml:space="preserve">يـة </w:t>
      </w:r>
      <w:r w:rsidRPr="00BE6B5F">
        <w:rPr>
          <w:rFonts w:cs="AL-Mateen" w:hint="eastAsia"/>
          <w:rtl/>
        </w:rPr>
        <w:t>والأربـعـون</w:t>
      </w:r>
      <w:r w:rsidRPr="00BE6B5F">
        <w:rPr>
          <w:rFonts w:cs="AL-Mateen"/>
          <w:rtl/>
        </w:rPr>
        <w:t xml:space="preserve"> بـعـد الـمـائـة ]</w:t>
      </w:r>
    </w:p>
    <w:p w:rsidR="00C10469" w:rsidRDefault="00C10469">
      <w:pPr>
        <w:rPr>
          <w:rtl/>
        </w:rPr>
      </w:pPr>
      <w:r>
        <w:rPr>
          <w:rFonts w:cs="Monotype Koufi" w:hint="cs"/>
          <w:rtl/>
        </w:rPr>
        <w:t>السُّكُوتُ عَنِ [التَّبَعِ]</w:t>
      </w:r>
      <w:r>
        <w:rPr>
          <w:rStyle w:val="a7"/>
          <w:rtl/>
        </w:rPr>
        <w:footnoteReference w:id="3047"/>
      </w:r>
      <w:r>
        <w:rPr>
          <w:rFonts w:hint="cs"/>
          <w:rtl/>
        </w:rPr>
        <w:t xml:space="preserve"> </w:t>
      </w:r>
      <w:r>
        <w:rPr>
          <w:rFonts w:cs="Monotype Koufi" w:hint="cs"/>
          <w:rtl/>
        </w:rPr>
        <w:t>لاَ يُوجِبُ فَسَادَ العَقْدِ</w:t>
      </w:r>
      <w:r>
        <w:rPr>
          <w:rStyle w:val="a7"/>
          <w:b/>
          <w:rtl/>
        </w:rPr>
        <w:footnoteReference w:id="3048"/>
      </w:r>
      <w:r>
        <w:rPr>
          <w:rFonts w:cs="Monotype Koufi" w:hint="cs"/>
          <w:rtl/>
        </w:rPr>
        <w:t xml:space="preserve"> فِي الأَصْلِ</w:t>
      </w:r>
      <w:r>
        <w:rPr>
          <w:rFonts w:hint="cs"/>
          <w:vertAlign w:val="superscript"/>
          <w:rtl/>
        </w:rPr>
        <w:t>(</w:t>
      </w:r>
      <w:r>
        <w:rPr>
          <w:rStyle w:val="a7"/>
          <w:rtl/>
        </w:rPr>
        <w:footnoteReference w:id="3049"/>
      </w:r>
      <w:r>
        <w:rPr>
          <w:rFonts w:hint="cs"/>
          <w:vertAlign w:val="superscript"/>
          <w:rtl/>
        </w:rPr>
        <w:t>)</w:t>
      </w:r>
      <w:r>
        <w:rPr>
          <w:rFonts w:hint="cs"/>
          <w:rtl/>
        </w:rPr>
        <w:t xml:space="preserve"> :</w:t>
      </w:r>
    </w:p>
    <w:p w:rsidR="00C10469" w:rsidRDefault="00C10469">
      <w:pPr>
        <w:rPr>
          <w:rtl/>
        </w:rPr>
      </w:pPr>
      <w:r>
        <w:rPr>
          <w:rFonts w:hint="cs"/>
          <w:rtl/>
        </w:rPr>
        <w:t>فإذا</w:t>
      </w:r>
      <w:r>
        <w:rPr>
          <w:rStyle w:val="a7"/>
          <w:rtl/>
        </w:rPr>
        <w:footnoteReference w:id="3050"/>
      </w:r>
      <w:r>
        <w:rPr>
          <w:rFonts w:hint="cs"/>
          <w:rtl/>
        </w:rPr>
        <w:t xml:space="preserve"> شرطا</w:t>
      </w:r>
      <w:r>
        <w:rPr>
          <w:rStyle w:val="a7"/>
          <w:rtl/>
        </w:rPr>
        <w:footnoteReference w:id="3051"/>
      </w:r>
      <w:r>
        <w:rPr>
          <w:rFonts w:hint="cs"/>
          <w:rtl/>
        </w:rPr>
        <w:t xml:space="preserve"> في المزارعة</w:t>
      </w:r>
      <w:r>
        <w:rPr>
          <w:rFonts w:hint="cs"/>
          <w:vertAlign w:val="superscript"/>
          <w:rtl/>
        </w:rPr>
        <w:t>(</w:t>
      </w:r>
      <w:r>
        <w:rPr>
          <w:rStyle w:val="a7"/>
          <w:rtl/>
        </w:rPr>
        <w:footnoteReference w:id="3052"/>
      </w:r>
      <w:r>
        <w:rPr>
          <w:rFonts w:hint="cs"/>
          <w:vertAlign w:val="superscript"/>
          <w:rtl/>
        </w:rPr>
        <w:t>)</w:t>
      </w:r>
      <w:r>
        <w:rPr>
          <w:rFonts w:hint="cs"/>
          <w:rtl/>
        </w:rPr>
        <w:t xml:space="preserve"> الحبّ نصفين، ولم يتعرضا للـتِّـبن</w:t>
      </w:r>
      <w:r>
        <w:rPr>
          <w:rFonts w:hint="cs"/>
          <w:vertAlign w:val="superscript"/>
          <w:rtl/>
        </w:rPr>
        <w:t>(</w:t>
      </w:r>
      <w:r>
        <w:rPr>
          <w:rStyle w:val="a7"/>
          <w:rtl/>
        </w:rPr>
        <w:footnoteReference w:id="3053"/>
      </w:r>
      <w:r>
        <w:rPr>
          <w:rFonts w:hint="cs"/>
          <w:vertAlign w:val="superscript"/>
          <w:rtl/>
        </w:rPr>
        <w:t>)</w:t>
      </w:r>
      <w:r>
        <w:rPr>
          <w:rFonts w:hint="cs"/>
          <w:rtl/>
        </w:rPr>
        <w:t xml:space="preserve"> : صَحّت.</w:t>
      </w:r>
    </w:p>
    <w:p w:rsidR="00C10469" w:rsidRDefault="00C10469">
      <w:pPr>
        <w:rPr>
          <w:rtl/>
        </w:rPr>
      </w:pPr>
      <w:r>
        <w:rPr>
          <w:rFonts w:hint="cs"/>
          <w:rtl/>
        </w:rPr>
        <w:t>وينبغي أن يكون التبن لصاحب البذْر؛ لأنه نـمـاء مـلكه.</w:t>
      </w:r>
    </w:p>
    <w:p w:rsidR="00C10469" w:rsidRDefault="00C10469">
      <w:pPr>
        <w:rPr>
          <w:rtl/>
        </w:rPr>
      </w:pPr>
      <w:r>
        <w:rPr>
          <w:rFonts w:hint="cs"/>
          <w:rtl/>
        </w:rPr>
        <w:t>كذا في (الهداية)</w:t>
      </w:r>
      <w:r>
        <w:rPr>
          <w:rFonts w:hint="cs"/>
          <w:vertAlign w:val="superscript"/>
          <w:rtl/>
        </w:rPr>
        <w:t>(</w:t>
      </w:r>
      <w:r>
        <w:rPr>
          <w:rStyle w:val="a7"/>
          <w:rtl/>
        </w:rPr>
        <w:footnoteReference w:id="3054"/>
      </w:r>
      <w:r>
        <w:rPr>
          <w:rFonts w:hint="cs"/>
          <w:vertAlign w:val="superscript"/>
          <w:rtl/>
        </w:rPr>
        <w:t>)</w:t>
      </w:r>
      <w:r>
        <w:rPr>
          <w:rFonts w:hint="cs"/>
          <w:rtl/>
        </w:rPr>
        <w:t>.</w:t>
      </w: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198"/>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4836D9" w:rsidRDefault="00C10469">
      <w:pPr>
        <w:pStyle w:val="a9"/>
        <w:rPr>
          <w:rFonts w:cs="AL-Mateen"/>
          <w:rtl/>
        </w:rPr>
      </w:pPr>
      <w:r w:rsidRPr="004836D9">
        <w:rPr>
          <w:rFonts w:cs="AL-Mateen"/>
          <w:rtl/>
        </w:rPr>
        <w:lastRenderedPageBreak/>
        <w:t>[ الـقـاعـدة الـ</w:t>
      </w:r>
      <w:r w:rsidRPr="004836D9">
        <w:rPr>
          <w:rFonts w:cs="AL-Mateen" w:hint="cs"/>
          <w:rtl/>
        </w:rPr>
        <w:t>ث</w:t>
      </w:r>
      <w:r w:rsidRPr="004836D9">
        <w:rPr>
          <w:rFonts w:cs="AL-Mateen"/>
          <w:rtl/>
        </w:rPr>
        <w:t>ـا</w:t>
      </w:r>
      <w:r w:rsidRPr="004836D9">
        <w:rPr>
          <w:rFonts w:cs="AL-Mateen" w:hint="cs"/>
          <w:rtl/>
        </w:rPr>
        <w:t>لـث</w:t>
      </w:r>
      <w:r w:rsidRPr="004836D9">
        <w:rPr>
          <w:rFonts w:cs="AL-Mateen"/>
          <w:rtl/>
        </w:rPr>
        <w:t xml:space="preserve">ـة </w:t>
      </w:r>
      <w:r w:rsidRPr="004836D9">
        <w:rPr>
          <w:rFonts w:cs="AL-Mateen" w:hint="eastAsia"/>
          <w:rtl/>
        </w:rPr>
        <w:t>والأربـعـون</w:t>
      </w:r>
      <w:r w:rsidRPr="004836D9">
        <w:rPr>
          <w:rFonts w:cs="AL-Mateen"/>
          <w:rtl/>
        </w:rPr>
        <w:t xml:space="preserve"> بـعـد الـمـائـة ]</w:t>
      </w:r>
    </w:p>
    <w:p w:rsidR="00C10469" w:rsidRDefault="00C10469">
      <w:pPr>
        <w:rPr>
          <w:rtl/>
        </w:rPr>
      </w:pPr>
      <w:r>
        <w:rPr>
          <w:rFonts w:cs="Monotype Koufi" w:hint="cs"/>
          <w:rtl/>
        </w:rPr>
        <w:t>السُّكُوتُ فِي مَوْضِعِ الحَاجَةِ إلى البَيَانِ تَمَامُ البَيَانِ</w:t>
      </w:r>
      <w:r>
        <w:rPr>
          <w:rFonts w:hint="cs"/>
          <w:vertAlign w:val="superscript"/>
          <w:rtl/>
        </w:rPr>
        <w:t>(</w:t>
      </w:r>
      <w:r>
        <w:rPr>
          <w:rStyle w:val="a7"/>
          <w:rtl/>
        </w:rPr>
        <w:footnoteReference w:id="3055"/>
      </w:r>
      <w:r>
        <w:rPr>
          <w:rFonts w:hint="cs"/>
          <w:vertAlign w:val="superscript"/>
          <w:rtl/>
        </w:rPr>
        <w:t>)</w:t>
      </w:r>
      <w:r>
        <w:rPr>
          <w:rFonts w:hint="cs"/>
          <w:rtl/>
        </w:rPr>
        <w:t xml:space="preserve"> :</w:t>
      </w:r>
    </w:p>
    <w:p w:rsidR="00C10469" w:rsidRDefault="00C10469" w:rsidP="00C10469">
      <w:pPr>
        <w:rPr>
          <w:rtl/>
        </w:rPr>
      </w:pPr>
      <w:r>
        <w:rPr>
          <w:rFonts w:hint="cs"/>
          <w:rtl/>
        </w:rPr>
        <w:lastRenderedPageBreak/>
        <w:t>فروع هذا الأصل أكثر من أن [تحصى]</w:t>
      </w:r>
      <w:r>
        <w:rPr>
          <w:rStyle w:val="a7"/>
          <w:rtl/>
        </w:rPr>
        <w:footnoteReference w:id="3056"/>
      </w:r>
      <w:r>
        <w:rPr>
          <w:rFonts w:hint="cs"/>
          <w:rtl/>
        </w:rPr>
        <w:t xml:space="preserve"> :</w:t>
      </w:r>
    </w:p>
    <w:p w:rsidR="00C10469" w:rsidRDefault="00C10469" w:rsidP="00C10469">
      <w:pPr>
        <w:rPr>
          <w:spacing w:val="-6"/>
          <w:rtl/>
        </w:rPr>
      </w:pPr>
      <w:r>
        <w:rPr>
          <w:rFonts w:hint="cs"/>
          <w:b/>
          <w:bCs/>
          <w:spacing w:val="-6"/>
          <w:rtl/>
        </w:rPr>
        <w:t>فمنها</w:t>
      </w:r>
      <w:r>
        <w:rPr>
          <w:rFonts w:hint="cs"/>
          <w:spacing w:val="-6"/>
          <w:rtl/>
        </w:rPr>
        <w:t xml:space="preserve"> : رجلٌ </w:t>
      </w:r>
      <w:r>
        <w:rPr>
          <w:rFonts w:hint="cs"/>
          <w:rtl/>
        </w:rPr>
        <w:t>زوّج رجلاً بغير</w:t>
      </w:r>
      <w:r>
        <w:rPr>
          <w:rFonts w:hint="cs"/>
          <w:spacing w:val="-6"/>
          <w:rtl/>
        </w:rPr>
        <w:t xml:space="preserve"> أمرِهِ، فهنأه القومُ، فسكت : يصير سكوتُه رضًا</w:t>
      </w:r>
      <w:r>
        <w:rPr>
          <w:rFonts w:hint="cs"/>
          <w:spacing w:val="-6"/>
          <w:vertAlign w:val="superscript"/>
          <w:rtl/>
        </w:rPr>
        <w:t>(</w:t>
      </w:r>
      <w:r>
        <w:rPr>
          <w:rStyle w:val="a7"/>
          <w:spacing w:val="-6"/>
          <w:rtl/>
        </w:rPr>
        <w:footnoteReference w:id="3057"/>
      </w:r>
      <w:r>
        <w:rPr>
          <w:rFonts w:hint="cs"/>
          <w:spacing w:val="-6"/>
          <w:vertAlign w:val="superscript"/>
          <w:rtl/>
        </w:rPr>
        <w:t>)</w:t>
      </w:r>
      <w:r>
        <w:rPr>
          <w:rFonts w:hint="cs"/>
          <w:spacing w:val="-6"/>
          <w:rtl/>
        </w:rPr>
        <w:t xml:space="preserve">. </w:t>
      </w:r>
    </w:p>
    <w:p w:rsidR="00C10469" w:rsidRDefault="00C10469" w:rsidP="00C10469">
      <w:pPr>
        <w:rPr>
          <w:rtl/>
        </w:rPr>
      </w:pPr>
      <w:r>
        <w:rPr>
          <w:rFonts w:hint="cs"/>
          <w:rtl/>
        </w:rPr>
        <w:t>وهذا الأصل يكون حجة على الشافعي فيما قال : يجمع</w:t>
      </w:r>
      <w:r>
        <w:rPr>
          <w:rStyle w:val="a7"/>
          <w:rtl/>
        </w:rPr>
        <w:footnoteReference w:id="3058"/>
      </w:r>
      <w:r>
        <w:rPr>
          <w:rFonts w:hint="cs"/>
          <w:rtl/>
        </w:rPr>
        <w:t xml:space="preserve"> الحدّ والنفي في الزّنا</w:t>
      </w:r>
      <w:r>
        <w:rPr>
          <w:rFonts w:hint="cs"/>
          <w:vertAlign w:val="superscript"/>
          <w:rtl/>
        </w:rPr>
        <w:t>(</w:t>
      </w:r>
      <w:r>
        <w:rPr>
          <w:rStyle w:val="a7"/>
          <w:rtl/>
        </w:rPr>
        <w:footnoteReference w:id="3059"/>
      </w:r>
      <w:r>
        <w:rPr>
          <w:rFonts w:hint="cs"/>
          <w:vertAlign w:val="superscript"/>
          <w:rtl/>
        </w:rPr>
        <w:t>)</w:t>
      </w:r>
      <w:r>
        <w:rPr>
          <w:rFonts w:hint="cs"/>
          <w:rtl/>
        </w:rPr>
        <w:t xml:space="preserve">؛ لقوله </w:t>
      </w:r>
      <w:r>
        <w:rPr>
          <w:rFonts w:ascii="AGA Arabesque" w:hAnsi="AGA Arabesque"/>
          <w:sz w:val="36"/>
        </w:rPr>
        <w:t></w:t>
      </w:r>
      <w:r>
        <w:rPr>
          <w:rFonts w:hint="cs"/>
          <w:rtl/>
        </w:rPr>
        <w:t xml:space="preserve"> : </w:t>
      </w:r>
      <w:r>
        <w:rPr>
          <w:rFonts w:cs="DecoType Naskh Special" w:hint="eastAsia"/>
          <w:rtl/>
        </w:rPr>
        <w:t>«</w:t>
      </w:r>
      <w:r>
        <w:rPr>
          <w:rFonts w:cs="DecoType Naskh Special" w:hint="cs"/>
          <w:rtl/>
        </w:rPr>
        <w:t xml:space="preserve"> </w:t>
      </w:r>
      <w:r>
        <w:rPr>
          <w:rFonts w:cs="DecoType Naskh Special" w:hint="cs"/>
          <w:sz w:val="36"/>
          <w:rtl/>
        </w:rPr>
        <w:t>البكـرُ [بالبكـر]</w:t>
      </w:r>
      <w:r>
        <w:rPr>
          <w:rStyle w:val="a7"/>
          <w:rtl/>
        </w:rPr>
        <w:footnoteReference w:id="3060"/>
      </w:r>
      <w:r>
        <w:rPr>
          <w:rFonts w:hint="cs"/>
          <w:rtl/>
        </w:rPr>
        <w:t xml:space="preserve"> </w:t>
      </w:r>
      <w:r>
        <w:rPr>
          <w:rFonts w:cs="DecoType Naskh Special" w:hint="cs"/>
          <w:rtl/>
        </w:rPr>
        <w:t>جلدُ مِائة [و]</w:t>
      </w:r>
      <w:r>
        <w:rPr>
          <w:rStyle w:val="a7"/>
          <w:rtl/>
        </w:rPr>
        <w:footnoteReference w:id="3061"/>
      </w:r>
      <w:r>
        <w:rPr>
          <w:rFonts w:hint="cs"/>
          <w:rtl/>
        </w:rPr>
        <w:t xml:space="preserve"> </w:t>
      </w:r>
      <w:r>
        <w:rPr>
          <w:rFonts w:cs="DecoType Naskh Special" w:hint="cs"/>
          <w:rtl/>
        </w:rPr>
        <w:t>تغـريبُ  سنة</w:t>
      </w:r>
      <w:r>
        <w:rPr>
          <w:rFonts w:hint="eastAsia"/>
          <w:rtl/>
        </w:rPr>
        <w:t>»</w:t>
      </w:r>
      <w:r>
        <w:rPr>
          <w:rFonts w:hint="cs"/>
          <w:vertAlign w:val="superscript"/>
          <w:rtl/>
        </w:rPr>
        <w:t>(</w:t>
      </w:r>
      <w:r>
        <w:rPr>
          <w:rStyle w:val="a7"/>
          <w:rtl/>
        </w:rPr>
        <w:footnoteReference w:id="3062"/>
      </w:r>
      <w:r>
        <w:rPr>
          <w:rFonts w:hint="cs"/>
          <w:vertAlign w:val="superscript"/>
          <w:rtl/>
        </w:rPr>
        <w:t>)</w:t>
      </w:r>
      <w:r>
        <w:rPr>
          <w:rFonts w:hint="cs"/>
          <w:rtl/>
        </w:rPr>
        <w:t>.</w:t>
      </w:r>
    </w:p>
    <w:p w:rsidR="00C10469" w:rsidRDefault="00C10469" w:rsidP="00C10469">
      <w:pPr>
        <w:rPr>
          <w:rtl/>
        </w:rPr>
      </w:pPr>
      <w:r>
        <w:rPr>
          <w:rFonts w:hint="cs"/>
          <w:rtl/>
        </w:rPr>
        <w:t xml:space="preserve">وقوله تعالى </w:t>
      </w:r>
      <w:r>
        <w:rPr>
          <w:color w:val="000000"/>
          <w:sz w:val="30"/>
          <w:szCs w:val="30"/>
        </w:rPr>
        <w:sym w:font="HQPB2" w:char="F0E2"/>
      </w:r>
      <w:r>
        <w:rPr>
          <w:rFonts w:hint="cs"/>
          <w:rtl/>
        </w:rPr>
        <w:t xml:space="preserve"> </w:t>
      </w:r>
      <w:r>
        <w:rPr>
          <w:color w:val="000000"/>
        </w:rPr>
        <w:sym w:font="HQPB5" w:char="0028"/>
      </w:r>
      <w:r>
        <w:rPr>
          <w:color w:val="000000"/>
          <w:sz w:val="32"/>
          <w:szCs w:val="32"/>
        </w:rPr>
        <w:sym w:font="HQPB1" w:char="0023"/>
      </w:r>
      <w:r>
        <w:rPr>
          <w:color w:val="000000"/>
          <w:sz w:val="32"/>
          <w:szCs w:val="32"/>
        </w:rPr>
        <w:sym w:font="HQPB2" w:char="0072"/>
      </w:r>
      <w:r>
        <w:rPr>
          <w:color w:val="000000"/>
          <w:sz w:val="32"/>
          <w:szCs w:val="32"/>
        </w:rPr>
        <w:sym w:font="HQPB4" w:char="00E0"/>
      </w:r>
      <w:r>
        <w:rPr>
          <w:color w:val="000000"/>
          <w:sz w:val="32"/>
          <w:szCs w:val="32"/>
        </w:rPr>
        <w:sym w:font="HQPB3" w:char="0024"/>
      </w:r>
      <w:r>
        <w:rPr>
          <w:color w:val="000000"/>
          <w:sz w:val="32"/>
          <w:szCs w:val="32"/>
        </w:rPr>
        <w:sym w:font="HQPB4" w:char="00CE"/>
      </w:r>
      <w:r>
        <w:rPr>
          <w:color w:val="000000"/>
          <w:sz w:val="32"/>
          <w:szCs w:val="32"/>
        </w:rPr>
        <w:sym w:font="HQPB3" w:char="0023"/>
      </w:r>
      <w:r>
        <w:rPr>
          <w:color w:val="000000"/>
          <w:sz w:val="32"/>
          <w:szCs w:val="32"/>
        </w:rPr>
        <w:sym w:font="HQPB4" w:char="00F4"/>
      </w:r>
      <w:r>
        <w:rPr>
          <w:color w:val="000000"/>
          <w:sz w:val="32"/>
          <w:szCs w:val="32"/>
        </w:rPr>
        <w:sym w:font="HQPB1" w:char="005F"/>
      </w:r>
      <w:r>
        <w:rPr>
          <w:color w:val="000000"/>
          <w:sz w:val="32"/>
          <w:szCs w:val="32"/>
        </w:rPr>
        <w:sym w:font="HQPB5" w:char="0024"/>
      </w:r>
      <w:r>
        <w:rPr>
          <w:color w:val="000000"/>
          <w:sz w:val="32"/>
          <w:szCs w:val="32"/>
        </w:rPr>
        <w:sym w:font="HQPB1" w:char="0024"/>
      </w:r>
      <w:r>
        <w:rPr>
          <w:color w:val="000000"/>
          <w:sz w:val="32"/>
          <w:szCs w:val="32"/>
        </w:rPr>
        <w:sym w:font="HQPB5" w:char="0073"/>
      </w:r>
      <w:r>
        <w:rPr>
          <w:color w:val="000000"/>
          <w:sz w:val="32"/>
          <w:szCs w:val="32"/>
        </w:rPr>
        <w:sym w:font="HQPB1" w:char="00F9"/>
      </w:r>
      <w:r>
        <w:rPr>
          <w:rFonts w:hint="cs"/>
          <w:b/>
          <w:bCs/>
          <w:rtl/>
        </w:rPr>
        <w:t xml:space="preserve"> </w:t>
      </w:r>
      <w:r>
        <w:rPr>
          <w:sz w:val="28"/>
          <w:szCs w:val="28"/>
        </w:rPr>
        <w:sym w:font="HQPB2" w:char="F0E1"/>
      </w:r>
      <w:r>
        <w:rPr>
          <w:rFonts w:hint="cs"/>
          <w:vertAlign w:val="superscript"/>
          <w:rtl/>
        </w:rPr>
        <w:t xml:space="preserve"> (</w:t>
      </w:r>
      <w:r>
        <w:rPr>
          <w:rStyle w:val="a7"/>
          <w:rtl/>
        </w:rPr>
        <w:footnoteReference w:id="3063"/>
      </w:r>
      <w:r>
        <w:rPr>
          <w:rFonts w:hint="cs"/>
          <w:vertAlign w:val="superscript"/>
          <w:rtl/>
        </w:rPr>
        <w:t>)</w:t>
      </w:r>
      <w:r>
        <w:rPr>
          <w:rFonts w:hint="cs"/>
          <w:rtl/>
        </w:rPr>
        <w:t>.</w:t>
      </w:r>
    </w:p>
    <w:p w:rsidR="00C10469" w:rsidRDefault="00C10469">
      <w:pPr>
        <w:rPr>
          <w:rtl/>
        </w:rPr>
      </w:pPr>
      <w:r>
        <w:rPr>
          <w:rFonts w:hint="cs"/>
          <w:rtl/>
        </w:rPr>
        <w:t>حيث لم يذكر التغريب، فيكون السكوت عنه بيانًا وناسخًا للحديث</w:t>
      </w:r>
      <w:r>
        <w:rPr>
          <w:rFonts w:hint="cs"/>
          <w:vertAlign w:val="superscript"/>
          <w:rtl/>
        </w:rPr>
        <w:t>(</w:t>
      </w:r>
      <w:r>
        <w:rPr>
          <w:rStyle w:val="a7"/>
          <w:rtl/>
        </w:rPr>
        <w:footnoteReference w:id="3064"/>
      </w:r>
      <w:r>
        <w:rPr>
          <w:rFonts w:hint="cs"/>
          <w:vertAlign w:val="superscript"/>
          <w:rtl/>
        </w:rPr>
        <w:t>)</w:t>
      </w:r>
      <w:r>
        <w:rPr>
          <w:rFonts w:hint="cs"/>
          <w:rtl/>
        </w:rPr>
        <w:t>.</w:t>
      </w:r>
    </w:p>
    <w:p w:rsidR="00C10469" w:rsidRDefault="00C10469">
      <w:pPr>
        <w:rPr>
          <w:rtl/>
        </w:rPr>
      </w:pPr>
      <w:r>
        <w:rPr>
          <w:rFonts w:hint="cs"/>
          <w:b/>
          <w:bCs/>
          <w:rtl/>
        </w:rPr>
        <w:lastRenderedPageBreak/>
        <w:t>وخرج</w:t>
      </w:r>
      <w:r>
        <w:rPr>
          <w:rFonts w:hint="cs"/>
          <w:rtl/>
        </w:rPr>
        <w:t xml:space="preserve"> عن هذا الأصل مسائل :</w:t>
      </w:r>
    </w:p>
    <w:p w:rsidR="00C10469" w:rsidRDefault="00C10469" w:rsidP="00C10469">
      <w:pPr>
        <w:spacing w:line="500" w:lineRule="exact"/>
        <w:ind w:left="737" w:firstLine="0"/>
        <w:rPr>
          <w:spacing w:val="-6"/>
          <w:rtl/>
        </w:rPr>
      </w:pPr>
      <w:r>
        <w:rPr>
          <w:spacing w:val="-6"/>
          <w:rtl/>
        </w:rPr>
        <w:t>•</w:t>
      </w:r>
      <w:r>
        <w:rPr>
          <w:rFonts w:hint="cs"/>
          <w:spacing w:val="-6"/>
          <w:rtl/>
        </w:rPr>
        <w:t xml:space="preserve">  [</w:t>
      </w:r>
      <w:r>
        <w:rPr>
          <w:rFonts w:hint="cs"/>
          <w:b/>
          <w:bCs/>
          <w:spacing w:val="-6"/>
          <w:rtl/>
        </w:rPr>
        <w:t>منها</w:t>
      </w:r>
      <w:r>
        <w:rPr>
          <w:rFonts w:hint="cs"/>
          <w:spacing w:val="-6"/>
          <w:rtl/>
        </w:rPr>
        <w:t>]</w:t>
      </w:r>
      <w:r>
        <w:rPr>
          <w:rStyle w:val="a7"/>
          <w:spacing w:val="-6"/>
          <w:rtl/>
        </w:rPr>
        <w:footnoteReference w:id="3065"/>
      </w:r>
      <w:r>
        <w:rPr>
          <w:rFonts w:hint="cs"/>
          <w:spacing w:val="-6"/>
          <w:rtl/>
        </w:rPr>
        <w:t xml:space="preserve"> : رأى أجنبـيًّا يبيع ماله، ولم ينهه : لم يكن وكيلاً  بسكوته</w:t>
      </w:r>
      <w:r>
        <w:rPr>
          <w:rFonts w:hint="cs"/>
          <w:spacing w:val="-6"/>
          <w:vertAlign w:val="superscript"/>
          <w:rtl/>
        </w:rPr>
        <w:t>(</w:t>
      </w:r>
      <w:r>
        <w:rPr>
          <w:rStyle w:val="a7"/>
          <w:spacing w:val="-6"/>
          <w:rtl/>
        </w:rPr>
        <w:footnoteReference w:id="3066"/>
      </w:r>
      <w:r>
        <w:rPr>
          <w:rFonts w:hint="cs"/>
          <w:spacing w:val="-6"/>
          <w:vertAlign w:val="superscript"/>
          <w:rtl/>
        </w:rPr>
        <w:t>)</w:t>
      </w:r>
      <w:r>
        <w:rPr>
          <w:rFonts w:hint="cs"/>
          <w:spacing w:val="-6"/>
          <w:rtl/>
        </w:rPr>
        <w:t>.</w:t>
      </w:r>
    </w:p>
    <w:p w:rsidR="00C10469" w:rsidRDefault="00C10469" w:rsidP="00C10469">
      <w:pPr>
        <w:spacing w:line="500" w:lineRule="exact"/>
        <w:ind w:left="737" w:firstLine="0"/>
        <w:rPr>
          <w:rtl/>
        </w:rPr>
      </w:pPr>
      <w:r>
        <w:rPr>
          <w:b/>
          <w:bCs/>
          <w:rtl/>
        </w:rPr>
        <w:t>•</w:t>
      </w:r>
      <w:r>
        <w:rPr>
          <w:rFonts w:hint="cs"/>
          <w:b/>
          <w:bCs/>
          <w:rtl/>
        </w:rPr>
        <w:t xml:space="preserve">  ومنها :</w:t>
      </w:r>
      <w:r>
        <w:rPr>
          <w:rFonts w:hint="cs"/>
          <w:rtl/>
        </w:rPr>
        <w:t xml:space="preserve"> لو رأى غيره يتلف ماله وسكت : لا يكون إذنًا بإتلافه.</w:t>
      </w:r>
    </w:p>
    <w:p w:rsidR="00C10469" w:rsidRDefault="00C10469" w:rsidP="00C10469">
      <w:pPr>
        <w:spacing w:line="500" w:lineRule="exact"/>
        <w:ind w:left="737" w:firstLine="0"/>
      </w:pPr>
      <w:r>
        <w:rPr>
          <w:b/>
          <w:bCs/>
          <w:rtl/>
        </w:rPr>
        <w:t>•</w:t>
      </w:r>
      <w:r>
        <w:rPr>
          <w:rFonts w:hint="cs"/>
          <w:b/>
          <w:bCs/>
          <w:rtl/>
        </w:rPr>
        <w:t xml:space="preserve">  ومنها :</w:t>
      </w:r>
      <w:r>
        <w:rPr>
          <w:rFonts w:hint="cs"/>
          <w:rtl/>
        </w:rPr>
        <w:t xml:space="preserve"> لو سكت عن وطء أمته : لا يسقط المهر.</w:t>
      </w:r>
    </w:p>
    <w:p w:rsidR="00C10469" w:rsidRDefault="00C10469" w:rsidP="00C10469">
      <w:pPr>
        <w:spacing w:line="500" w:lineRule="exact"/>
        <w:ind w:left="737" w:firstLine="0"/>
        <w:rPr>
          <w:rtl/>
        </w:rPr>
      </w:pPr>
      <w:r>
        <w:rPr>
          <w:rtl/>
        </w:rPr>
        <w:t>•</w:t>
      </w:r>
      <w:r>
        <w:rPr>
          <w:rFonts w:hint="cs"/>
          <w:rtl/>
        </w:rPr>
        <w:t xml:space="preserve">  وكذا عن قطع</w:t>
      </w:r>
      <w:r>
        <w:rPr>
          <w:rStyle w:val="a7"/>
          <w:rtl/>
        </w:rPr>
        <w:footnoteReference w:id="3067"/>
      </w:r>
      <w:r>
        <w:rPr>
          <w:rFonts w:hint="cs"/>
          <w:rtl/>
        </w:rPr>
        <w:t xml:space="preserve"> عضوها</w:t>
      </w:r>
      <w:r>
        <w:rPr>
          <w:rFonts w:hint="cs"/>
          <w:vertAlign w:val="superscript"/>
          <w:rtl/>
        </w:rPr>
        <w:t>(</w:t>
      </w:r>
      <w:r>
        <w:rPr>
          <w:rStyle w:val="a7"/>
          <w:rtl/>
        </w:rPr>
        <w:footnoteReference w:id="3068"/>
      </w:r>
      <w:r>
        <w:rPr>
          <w:rFonts w:hint="cs"/>
          <w:vertAlign w:val="superscript"/>
          <w:rtl/>
        </w:rPr>
        <w:t>)</w:t>
      </w:r>
      <w:r>
        <w:rPr>
          <w:rFonts w:hint="cs"/>
          <w:rtl/>
        </w:rPr>
        <w:t>.</w:t>
      </w:r>
    </w:p>
    <w:p w:rsidR="00C10469" w:rsidRDefault="00C10469" w:rsidP="00C10469">
      <w:pPr>
        <w:spacing w:line="500" w:lineRule="exact"/>
        <w:ind w:left="737" w:firstLine="0"/>
        <w:rPr>
          <w:spacing w:val="-6"/>
          <w:rtl/>
        </w:rPr>
      </w:pPr>
      <w:r>
        <w:rPr>
          <w:b/>
          <w:bCs/>
          <w:spacing w:val="-6"/>
          <w:rtl/>
        </w:rPr>
        <w:lastRenderedPageBreak/>
        <w:t>•</w:t>
      </w:r>
      <w:r>
        <w:rPr>
          <w:rFonts w:hint="cs"/>
          <w:b/>
          <w:bCs/>
          <w:spacing w:val="-6"/>
          <w:rtl/>
        </w:rPr>
        <w:t xml:space="preserve">  ومنها</w:t>
      </w:r>
      <w:r>
        <w:rPr>
          <w:rFonts w:hint="cs"/>
          <w:spacing w:val="-6"/>
          <w:rtl/>
        </w:rPr>
        <w:t xml:space="preserve"> : لو رأى أجنبيًّا يستعمل عينًا من أعيانه : لا يكون إعارةً بسكوته</w:t>
      </w:r>
      <w:r>
        <w:rPr>
          <w:rFonts w:hint="cs"/>
          <w:spacing w:val="-6"/>
          <w:vertAlign w:val="superscript"/>
          <w:rtl/>
        </w:rPr>
        <w:t>(</w:t>
      </w:r>
      <w:r>
        <w:rPr>
          <w:rStyle w:val="a7"/>
          <w:spacing w:val="-6"/>
          <w:rtl/>
        </w:rPr>
        <w:footnoteReference w:id="3069"/>
      </w:r>
      <w:r>
        <w:rPr>
          <w:rFonts w:hint="cs"/>
          <w:spacing w:val="-6"/>
          <w:vertAlign w:val="superscript"/>
          <w:rtl/>
        </w:rPr>
        <w:t>)</w:t>
      </w:r>
      <w:r>
        <w:rPr>
          <w:rFonts w:hint="cs"/>
          <w:spacing w:val="-6"/>
          <w:rtl/>
        </w:rPr>
        <w:t>.</w:t>
      </w:r>
    </w:p>
    <w:p w:rsidR="00C10469" w:rsidRDefault="00C10469" w:rsidP="00C10469">
      <w:pPr>
        <w:spacing w:line="500" w:lineRule="exact"/>
        <w:ind w:left="737" w:firstLine="0"/>
        <w:rPr>
          <w:rtl/>
        </w:rPr>
      </w:pPr>
      <w:r>
        <w:rPr>
          <w:b/>
          <w:bCs/>
          <w:spacing w:val="-6"/>
          <w:rtl/>
        </w:rPr>
        <w:t>•</w:t>
      </w:r>
      <w:r>
        <w:rPr>
          <w:rFonts w:hint="cs"/>
          <w:b/>
          <w:bCs/>
          <w:spacing w:val="-6"/>
          <w:rtl/>
        </w:rPr>
        <w:t xml:space="preserve">  ومنها</w:t>
      </w:r>
      <w:r>
        <w:rPr>
          <w:rFonts w:hint="cs"/>
          <w:rtl/>
        </w:rPr>
        <w:t xml:space="preserve"> : لو رأى المرتهنُ الراهنَ يبيع الرهنَ، وسكتَ : لا يبطل الرّهنُ.</w:t>
      </w:r>
    </w:p>
    <w:p w:rsidR="00C10469" w:rsidRDefault="00C10469" w:rsidP="00C10469">
      <w:pPr>
        <w:spacing w:line="228" w:lineRule="auto"/>
        <w:ind w:left="1131" w:hanging="394"/>
        <w:rPr>
          <w:spacing w:val="6"/>
          <w:rtl/>
        </w:rPr>
      </w:pPr>
      <w:r>
        <w:rPr>
          <w:b/>
          <w:bCs/>
          <w:spacing w:val="-6"/>
          <w:rtl/>
        </w:rPr>
        <w:t>•</w:t>
      </w:r>
      <w:r>
        <w:rPr>
          <w:rFonts w:hint="cs"/>
          <w:b/>
          <w:bCs/>
          <w:spacing w:val="-6"/>
          <w:rtl/>
        </w:rPr>
        <w:t xml:space="preserve">  ومنها</w:t>
      </w:r>
      <w:r>
        <w:rPr>
          <w:rFonts w:hint="cs"/>
          <w:spacing w:val="6"/>
          <w:rtl/>
        </w:rPr>
        <w:t xml:space="preserve"> : لو رأى [قِنَّهُ]</w:t>
      </w:r>
      <w:r>
        <w:rPr>
          <w:rStyle w:val="a7"/>
          <w:spacing w:val="6"/>
          <w:rtl/>
        </w:rPr>
        <w:footnoteReference w:id="3070"/>
      </w:r>
      <w:r>
        <w:rPr>
          <w:rFonts w:hint="cs"/>
          <w:spacing w:val="6"/>
          <w:rtl/>
        </w:rPr>
        <w:t xml:space="preserve"> يتزوّج، وسكت ولم ينهه : لا يصير إذنًا له في النّكاح</w:t>
      </w:r>
      <w:r>
        <w:rPr>
          <w:rFonts w:hint="cs"/>
          <w:spacing w:val="6"/>
          <w:vertAlign w:val="superscript"/>
          <w:rtl/>
        </w:rPr>
        <w:t>(</w:t>
      </w:r>
      <w:r>
        <w:rPr>
          <w:rStyle w:val="a7"/>
          <w:spacing w:val="6"/>
          <w:rtl/>
        </w:rPr>
        <w:footnoteReference w:id="3071"/>
      </w:r>
      <w:r>
        <w:rPr>
          <w:rFonts w:hint="cs"/>
          <w:spacing w:val="6"/>
          <w:vertAlign w:val="superscript"/>
          <w:rtl/>
        </w:rPr>
        <w:t>)</w:t>
      </w:r>
      <w:r>
        <w:rPr>
          <w:rFonts w:hint="cs"/>
          <w:spacing w:val="6"/>
          <w:rtl/>
        </w:rPr>
        <w:t>.</w:t>
      </w:r>
    </w:p>
    <w:p w:rsidR="00C10469" w:rsidRDefault="00C10469" w:rsidP="00C10469">
      <w:pPr>
        <w:spacing w:line="228" w:lineRule="auto"/>
        <w:ind w:left="1131" w:hanging="394"/>
        <w:rPr>
          <w:rtl/>
        </w:rPr>
      </w:pPr>
      <w:r>
        <w:rPr>
          <w:b/>
          <w:bCs/>
          <w:spacing w:val="-6"/>
          <w:rtl/>
        </w:rPr>
        <w:t>•</w:t>
      </w:r>
      <w:r>
        <w:rPr>
          <w:rFonts w:hint="cs"/>
          <w:b/>
          <w:bCs/>
          <w:spacing w:val="-6"/>
          <w:rtl/>
        </w:rPr>
        <w:t xml:space="preserve">  ومنها</w:t>
      </w:r>
      <w:r>
        <w:rPr>
          <w:rFonts w:hint="cs"/>
          <w:rtl/>
        </w:rPr>
        <w:t xml:space="preserve"> : لو تزوّجت غير كفو، فسكوت الولي عن مطالبة التفريق ليس برضًا وإن طال.</w:t>
      </w:r>
    </w:p>
    <w:p w:rsidR="00C10469" w:rsidRDefault="00C10469" w:rsidP="00C10469">
      <w:pPr>
        <w:spacing w:line="228" w:lineRule="auto"/>
        <w:ind w:left="737" w:firstLine="0"/>
        <w:rPr>
          <w:rtl/>
        </w:rPr>
      </w:pPr>
      <w:r>
        <w:rPr>
          <w:b/>
          <w:bCs/>
          <w:rtl/>
        </w:rPr>
        <w:t>•</w:t>
      </w:r>
      <w:r>
        <w:rPr>
          <w:rFonts w:hint="cs"/>
          <w:b/>
          <w:bCs/>
          <w:rtl/>
        </w:rPr>
        <w:t xml:space="preserve">  وكذا :</w:t>
      </w:r>
      <w:r>
        <w:rPr>
          <w:rFonts w:hint="cs"/>
          <w:rtl/>
        </w:rPr>
        <w:t xml:space="preserve"> سكوت امرأةِ العنِّين ليس برضًا، ولو أقامت معه سنين.</w:t>
      </w:r>
      <w:r>
        <w:rPr>
          <w:rStyle w:val="a7"/>
          <w:rtl/>
        </w:rPr>
        <w:footnoteReference w:id="3072"/>
      </w:r>
      <w:r>
        <w:rPr>
          <w:rFonts w:hint="cs"/>
          <w:vertAlign w:val="superscript"/>
          <w:rtl/>
        </w:rPr>
        <w:t>(</w:t>
      </w:r>
      <w:r>
        <w:rPr>
          <w:rStyle w:val="a7"/>
          <w:rtl/>
        </w:rPr>
        <w:footnoteReference w:id="3073"/>
      </w:r>
      <w:r>
        <w:rPr>
          <w:rFonts w:hint="cs"/>
          <w:vertAlign w:val="superscript"/>
          <w:rtl/>
        </w:rPr>
        <w:t>)</w:t>
      </w:r>
    </w:p>
    <w:p w:rsidR="00C10469" w:rsidRDefault="00C10469" w:rsidP="00C10469">
      <w:pPr>
        <w:spacing w:line="228" w:lineRule="auto"/>
        <w:rPr>
          <w:spacing w:val="-12"/>
          <w:rtl/>
        </w:rPr>
      </w:pPr>
      <w:r>
        <w:rPr>
          <w:rFonts w:hint="cs"/>
          <w:b/>
          <w:bCs/>
          <w:spacing w:val="-12"/>
          <w:rtl/>
        </w:rPr>
        <w:t xml:space="preserve">والجواب </w:t>
      </w:r>
      <w:r>
        <w:rPr>
          <w:rFonts w:hint="cs"/>
          <w:spacing w:val="-12"/>
          <w:rtl/>
        </w:rPr>
        <w:t>: أن الظاهر في هذه المسائل الرضا، والرضا  منعدم  في مـثلها في حق</w:t>
      </w:r>
      <w:r>
        <w:rPr>
          <w:rStyle w:val="a7"/>
          <w:spacing w:val="-12"/>
          <w:rtl/>
        </w:rPr>
        <w:footnoteReference w:id="3074"/>
      </w:r>
      <w:r>
        <w:rPr>
          <w:rFonts w:hint="cs"/>
          <w:spacing w:val="-12"/>
          <w:rtl/>
        </w:rPr>
        <w:t xml:space="preserve"> العامل</w:t>
      </w:r>
      <w:r>
        <w:rPr>
          <w:rFonts w:hint="cs"/>
          <w:spacing w:val="-12"/>
          <w:vertAlign w:val="superscript"/>
          <w:rtl/>
        </w:rPr>
        <w:t>(</w:t>
      </w:r>
      <w:r>
        <w:rPr>
          <w:rStyle w:val="a7"/>
          <w:spacing w:val="-12"/>
          <w:rtl/>
        </w:rPr>
        <w:footnoteReference w:id="3075"/>
      </w:r>
      <w:r>
        <w:rPr>
          <w:rFonts w:hint="cs"/>
          <w:spacing w:val="-12"/>
          <w:vertAlign w:val="superscript"/>
          <w:rtl/>
        </w:rPr>
        <w:t>)</w:t>
      </w:r>
      <w:r>
        <w:rPr>
          <w:rFonts w:hint="cs"/>
          <w:spacing w:val="-12"/>
          <w:rtl/>
        </w:rPr>
        <w:t xml:space="preserve">؛ </w:t>
      </w:r>
    </w:p>
    <w:p w:rsidR="00C10469" w:rsidRDefault="00C10469">
      <w:pPr>
        <w:ind w:firstLine="0"/>
        <w:rPr>
          <w:rtl/>
        </w:rPr>
      </w:pPr>
      <w:r>
        <w:rPr>
          <w:rFonts w:hint="cs"/>
          <w:rtl/>
        </w:rPr>
        <w:lastRenderedPageBreak/>
        <w:t>ولـهذا</w:t>
      </w:r>
      <w:r>
        <w:rPr>
          <w:rStyle w:val="a7"/>
          <w:rtl/>
        </w:rPr>
        <w:footnoteReference w:id="3076"/>
      </w:r>
      <w:r>
        <w:rPr>
          <w:rFonts w:hint="cs"/>
          <w:rtl/>
        </w:rPr>
        <w:t xml:space="preserve"> [تـسمـع]</w:t>
      </w:r>
      <w:r>
        <w:rPr>
          <w:rStyle w:val="a7"/>
          <w:rtl/>
        </w:rPr>
        <w:footnoteReference w:id="3077"/>
      </w:r>
      <w:r>
        <w:rPr>
          <w:rFonts w:hint="cs"/>
          <w:rtl/>
        </w:rPr>
        <w:t xml:space="preserve"> دعـوى الـمغصوب منه بعد زمان، ولم يعتبر سكوته</w:t>
      </w:r>
      <w:r>
        <w:rPr>
          <w:rFonts w:hint="cs"/>
          <w:vertAlign w:val="superscript"/>
          <w:rtl/>
        </w:rPr>
        <w:t>(</w:t>
      </w:r>
      <w:r>
        <w:rPr>
          <w:rStyle w:val="a7"/>
          <w:rtl/>
        </w:rPr>
        <w:footnoteReference w:id="3078"/>
      </w:r>
      <w:r>
        <w:rPr>
          <w:rFonts w:hint="cs"/>
          <w:vertAlign w:val="superscript"/>
          <w:rtl/>
        </w:rPr>
        <w:t>)</w:t>
      </w:r>
      <w:r>
        <w:rPr>
          <w:rFonts w:hint="cs"/>
          <w:rtl/>
        </w:rPr>
        <w:t>.</w:t>
      </w:r>
    </w:p>
    <w:p w:rsidR="00C10469" w:rsidRDefault="00C10469">
      <w:pPr>
        <w:ind w:firstLine="0"/>
        <w:rPr>
          <w:rtl/>
        </w:rPr>
      </w:pPr>
    </w:p>
    <w:p w:rsidR="00C10469" w:rsidRDefault="00C10469">
      <w:pPr>
        <w:ind w:firstLine="0"/>
        <w:rPr>
          <w:rtl/>
        </w:rPr>
      </w:pPr>
    </w:p>
    <w:p w:rsidR="00C10469"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19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53EDD" w:rsidRDefault="00C10469">
      <w:pPr>
        <w:pStyle w:val="a9"/>
        <w:rPr>
          <w:rFonts w:cs="AL-Mateen"/>
          <w:rtl/>
        </w:rPr>
      </w:pPr>
      <w:r w:rsidRPr="00053EDD">
        <w:rPr>
          <w:rFonts w:cs="AL-Mateen" w:hint="cs"/>
          <w:rtl/>
        </w:rPr>
        <w:lastRenderedPageBreak/>
        <w:t>[ الـقـاعـدة الـرابـعـة والأربـعـون بـعـد الـمـائـة ]</w:t>
      </w:r>
    </w:p>
    <w:p w:rsidR="00C10469" w:rsidRDefault="00C10469">
      <w:pPr>
        <w:rPr>
          <w:rtl/>
        </w:rPr>
      </w:pPr>
      <w:r>
        <w:rPr>
          <w:rFonts w:cs="Monotype Koufi" w:hint="cs"/>
          <w:rtl/>
        </w:rPr>
        <w:t>السُّلْطَانُ وَلِيُّ مَنْ لاَ وَلِيَّ لَهُ</w:t>
      </w:r>
      <w:r>
        <w:rPr>
          <w:rFonts w:hint="cs"/>
          <w:vertAlign w:val="superscript"/>
          <w:rtl/>
        </w:rPr>
        <w:t>(</w:t>
      </w:r>
      <w:r>
        <w:rPr>
          <w:rStyle w:val="a7"/>
          <w:rtl/>
        </w:rPr>
        <w:footnoteReference w:id="3079"/>
      </w:r>
      <w:r>
        <w:rPr>
          <w:rFonts w:hint="cs"/>
          <w:vertAlign w:val="superscript"/>
          <w:rtl/>
        </w:rPr>
        <w:t>)</w:t>
      </w:r>
      <w:r>
        <w:rPr>
          <w:rFonts w:hint="cs"/>
          <w:rtl/>
        </w:rPr>
        <w:t xml:space="preserve"> :</w:t>
      </w:r>
    </w:p>
    <w:p w:rsidR="00C10469" w:rsidRDefault="00C10469">
      <w:pPr>
        <w:rPr>
          <w:rtl/>
        </w:rPr>
      </w:pPr>
      <w:r>
        <w:rPr>
          <w:rFonts w:hint="cs"/>
          <w:rtl/>
        </w:rPr>
        <w:lastRenderedPageBreak/>
        <w:t xml:space="preserve">فـلـو </w:t>
      </w:r>
      <w:r>
        <w:rPr>
          <w:rFonts w:hint="eastAsia"/>
          <w:rtl/>
        </w:rPr>
        <w:t>«</w:t>
      </w:r>
      <w:r>
        <w:rPr>
          <w:rFonts w:hint="cs"/>
          <w:rtl/>
        </w:rPr>
        <w:t>قـتـل رجـلٌ عـمـدًا رجـلاً لا</w:t>
      </w:r>
      <w:r>
        <w:rPr>
          <w:rStyle w:val="a7"/>
          <w:rtl/>
        </w:rPr>
        <w:footnoteReference w:id="3080"/>
      </w:r>
      <w:r>
        <w:rPr>
          <w:rFonts w:hint="cs"/>
          <w:rtl/>
        </w:rPr>
        <w:t xml:space="preserve"> وليّ لـه : فـللســلطان</w:t>
      </w:r>
      <w:r>
        <w:rPr>
          <w:rStyle w:val="a7"/>
          <w:rtl/>
        </w:rPr>
        <w:footnoteReference w:id="3081"/>
      </w:r>
    </w:p>
    <w:p w:rsidR="00C10469" w:rsidRDefault="00C10469">
      <w:pPr>
        <w:rPr>
          <w:rtl/>
        </w:rPr>
      </w:pPr>
      <w:r>
        <w:rPr>
          <w:rFonts w:hint="cs"/>
          <w:rtl/>
        </w:rPr>
        <w:lastRenderedPageBreak/>
        <w:t>قـتـلُـهُ</w:t>
      </w:r>
      <w:r>
        <w:rPr>
          <w:rFonts w:hint="cs"/>
          <w:vertAlign w:val="superscript"/>
          <w:rtl/>
        </w:rPr>
        <w:t>(</w:t>
      </w:r>
      <w:r>
        <w:rPr>
          <w:rStyle w:val="a7"/>
          <w:rtl/>
        </w:rPr>
        <w:footnoteReference w:id="3082"/>
      </w:r>
      <w:r>
        <w:rPr>
          <w:rFonts w:hint="cs"/>
          <w:vertAlign w:val="superscript"/>
          <w:rtl/>
        </w:rPr>
        <w:t>)</w:t>
      </w:r>
      <w:r>
        <w:rPr>
          <w:rFonts w:hint="cs"/>
          <w:rtl/>
        </w:rPr>
        <w:t>، لا الـعـفـو؛ لأن فيه ضرر العامة</w:t>
      </w:r>
      <w:r>
        <w:rPr>
          <w:rFonts w:hint="eastAsia"/>
          <w:rtl/>
        </w:rPr>
        <w:t>»</w:t>
      </w:r>
      <w:r>
        <w:rPr>
          <w:rFonts w:hint="cs"/>
          <w:vertAlign w:val="superscript"/>
          <w:rtl/>
        </w:rPr>
        <w:t>(</w:t>
      </w:r>
      <w:r>
        <w:rPr>
          <w:rStyle w:val="a7"/>
          <w:rtl/>
        </w:rPr>
        <w:footnoteReference w:id="3083"/>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0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20446" w:rsidRDefault="00C10469">
      <w:pPr>
        <w:pStyle w:val="a9"/>
        <w:rPr>
          <w:rFonts w:cs="AL-Mateen"/>
          <w:rtl/>
        </w:rPr>
      </w:pPr>
      <w:r w:rsidRPr="00B20446">
        <w:rPr>
          <w:rFonts w:cs="AL-Mateen" w:hint="cs"/>
          <w:rtl/>
        </w:rPr>
        <w:lastRenderedPageBreak/>
        <w:t>[ الـقـاعـدة الـخـامـسـة والأربـعـون بـعـد الـمـائـة ]</w:t>
      </w:r>
    </w:p>
    <w:p w:rsidR="00C10469" w:rsidRDefault="00C10469">
      <w:pPr>
        <w:rPr>
          <w:rtl/>
        </w:rPr>
      </w:pPr>
      <w:r>
        <w:rPr>
          <w:rFonts w:cs="Monotype Koufi" w:hint="cs"/>
          <w:rtl/>
        </w:rPr>
        <w:t>الشَّرْطُ يُقَابِلُ المَشْرُوطَ [جُمْلَةً]</w:t>
      </w:r>
      <w:r>
        <w:rPr>
          <w:rStyle w:val="a7"/>
          <w:rtl/>
        </w:rPr>
        <w:footnoteReference w:id="3084"/>
      </w:r>
      <w:r>
        <w:rPr>
          <w:rFonts w:hint="cs"/>
          <w:rtl/>
        </w:rPr>
        <w:t xml:space="preserve"> </w:t>
      </w:r>
      <w:r>
        <w:rPr>
          <w:rFonts w:cs="Monotype Koufi" w:hint="cs"/>
          <w:rtl/>
        </w:rPr>
        <w:t>وَلاَ يُقَابِلُهُ أَجْزَاءً</w:t>
      </w:r>
      <w:r>
        <w:rPr>
          <w:rFonts w:hint="cs"/>
          <w:vertAlign w:val="superscript"/>
          <w:rtl/>
        </w:rPr>
        <w:t>(</w:t>
      </w:r>
      <w:r>
        <w:rPr>
          <w:rStyle w:val="a7"/>
          <w:rtl/>
        </w:rPr>
        <w:footnoteReference w:id="3085"/>
      </w:r>
      <w:r>
        <w:rPr>
          <w:rFonts w:hint="cs"/>
          <w:vertAlign w:val="superscript"/>
          <w:rtl/>
        </w:rPr>
        <w:t>)</w:t>
      </w:r>
      <w:r>
        <w:rPr>
          <w:rFonts w:hint="cs"/>
          <w:rtl/>
        </w:rPr>
        <w:t xml:space="preserve"> :</w:t>
      </w:r>
    </w:p>
    <w:p w:rsidR="00C10469" w:rsidRDefault="00C10469">
      <w:pPr>
        <w:rPr>
          <w:rtl/>
        </w:rPr>
      </w:pPr>
      <w:r>
        <w:rPr>
          <w:rFonts w:hint="cs"/>
          <w:rtl/>
        </w:rPr>
        <w:t>فإذا كاتب عبديه</w:t>
      </w:r>
      <w:r>
        <w:rPr>
          <w:rStyle w:val="a7"/>
          <w:rtl/>
        </w:rPr>
        <w:footnoteReference w:id="3086"/>
      </w:r>
      <w:r>
        <w:rPr>
          <w:rFonts w:hint="cs"/>
          <w:rtl/>
        </w:rPr>
        <w:t xml:space="preserve"> بعقد واحد بألف، فأدّى أحدُهُمَا نصفَهُ : لا يعتق حتى [يؤدي]</w:t>
      </w:r>
      <w:r>
        <w:rPr>
          <w:rStyle w:val="a7"/>
          <w:rtl/>
        </w:rPr>
        <w:footnoteReference w:id="3087"/>
      </w:r>
      <w:r>
        <w:rPr>
          <w:rFonts w:hint="cs"/>
          <w:rtl/>
        </w:rPr>
        <w:t xml:space="preserve"> الآخرُ نصفَه الآخر؛ لأن معنى قوله : </w:t>
      </w:r>
      <w:r>
        <w:rPr>
          <w:rFonts w:hint="eastAsia"/>
          <w:rtl/>
        </w:rPr>
        <w:t>«</w:t>
      </w:r>
      <w:r>
        <w:rPr>
          <w:rFonts w:hint="cs"/>
          <w:rtl/>
        </w:rPr>
        <w:t>كاتبْتُكما بألف : إنْ أدّيتما ألفًا</w:t>
      </w:r>
      <w:r>
        <w:rPr>
          <w:rStyle w:val="a7"/>
          <w:rtl/>
        </w:rPr>
        <w:footnoteReference w:id="3088"/>
      </w:r>
      <w:r>
        <w:rPr>
          <w:rFonts w:hint="cs"/>
          <w:rtl/>
        </w:rPr>
        <w:t xml:space="preserve"> فأنتما حرّان. فكأنه قال لكلٍّ منهما : إنْ أدّيتَ الألفَ فأنت حرّ. فيكون عتق كل واحد معلّقًا بأداء الألف، ولا يحصل عتقه بأداء</w:t>
      </w:r>
      <w:r>
        <w:rPr>
          <w:rStyle w:val="a7"/>
          <w:rtl/>
        </w:rPr>
        <w:footnoteReference w:id="3089"/>
      </w:r>
      <w:r>
        <w:rPr>
          <w:rFonts w:hint="cs"/>
          <w:rtl/>
        </w:rPr>
        <w:t xml:space="preserve"> نصفه؛ لئلا يقابل الشرطُ المشروطَ أجزاء</w:t>
      </w:r>
      <w:r>
        <w:rPr>
          <w:rStyle w:val="a7"/>
          <w:rtl/>
        </w:rPr>
        <w:footnoteReference w:id="3090"/>
      </w:r>
      <w:r>
        <w:rPr>
          <w:rFonts w:hint="cs"/>
          <w:rtl/>
        </w:rPr>
        <w:t>، والأصل يقتضي المقابلة جملةً</w:t>
      </w:r>
      <w:r>
        <w:rPr>
          <w:rFonts w:hint="eastAsia"/>
          <w:rtl/>
        </w:rPr>
        <w:t>»</w:t>
      </w:r>
      <w:r>
        <w:rPr>
          <w:rFonts w:hint="cs"/>
          <w:vertAlign w:val="superscript"/>
          <w:rtl/>
        </w:rPr>
        <w:t>(</w:t>
      </w:r>
      <w:r>
        <w:rPr>
          <w:rStyle w:val="a7"/>
          <w:rtl/>
        </w:rPr>
        <w:footnoteReference w:id="3091"/>
      </w:r>
      <w:r>
        <w:rPr>
          <w:rFonts w:hint="cs"/>
          <w:vertAlign w:val="superscript"/>
          <w:rtl/>
        </w:rPr>
        <w:t>)</w:t>
      </w:r>
      <w:r>
        <w:rPr>
          <w:rFonts w:hint="cs"/>
          <w:rtl/>
        </w:rPr>
        <w:t>.</w:t>
      </w:r>
    </w:p>
    <w:p w:rsidR="00C10469" w:rsidRDefault="00C10469">
      <w:pPr>
        <w:rPr>
          <w:rtl/>
        </w:rPr>
      </w:pPr>
    </w:p>
    <w:p w:rsidR="00C10469" w:rsidRDefault="00C10469">
      <w:pPr>
        <w:rPr>
          <w:rtl/>
        </w:rPr>
      </w:pPr>
    </w:p>
    <w:p w:rsidR="00C10469" w:rsidRPr="004542AD"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2360"/>
        </w:tabs>
        <w:ind w:firstLine="0"/>
        <w:rPr>
          <w:rtl/>
        </w:rPr>
        <w:sectPr w:rsidR="00C10469" w:rsidSect="00C10469">
          <w:headerReference w:type="default" r:id="rId20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F1EF2" w:rsidRDefault="00C10469">
      <w:pPr>
        <w:pStyle w:val="a9"/>
        <w:rPr>
          <w:rFonts w:cs="AL-Mateen"/>
          <w:rtl/>
        </w:rPr>
      </w:pPr>
      <w:r w:rsidRPr="006F1EF2">
        <w:rPr>
          <w:rFonts w:cs="AL-Mateen" w:hint="cs"/>
          <w:rtl/>
        </w:rPr>
        <w:lastRenderedPageBreak/>
        <w:t>[ الـقـاعـدة الـسـادسـة والأربـعـون بـعـد الـمـائـة ]</w:t>
      </w:r>
    </w:p>
    <w:p w:rsidR="00C10469" w:rsidRDefault="00C10469">
      <w:pPr>
        <w:rPr>
          <w:rtl/>
        </w:rPr>
      </w:pPr>
      <w:r>
        <w:rPr>
          <w:rFonts w:cs="Monotype Koufi" w:hint="cs"/>
          <w:rtl/>
        </w:rPr>
        <w:t>شَرْطُ الوَاقِفِ كَنَصِّ الشَّارِعِ</w:t>
      </w:r>
      <w:r>
        <w:rPr>
          <w:rFonts w:hint="cs"/>
          <w:vertAlign w:val="superscript"/>
          <w:rtl/>
        </w:rPr>
        <w:t>(</w:t>
      </w:r>
      <w:r>
        <w:rPr>
          <w:rStyle w:val="a7"/>
          <w:rtl/>
        </w:rPr>
        <w:footnoteReference w:id="3092"/>
      </w:r>
      <w:r>
        <w:rPr>
          <w:rFonts w:hint="cs"/>
          <w:vertAlign w:val="superscript"/>
          <w:rtl/>
        </w:rPr>
        <w:t>)</w:t>
      </w:r>
      <w:r>
        <w:rPr>
          <w:rFonts w:hint="cs"/>
          <w:rtl/>
        </w:rPr>
        <w:t xml:space="preserve"> :</w:t>
      </w:r>
    </w:p>
    <w:p w:rsidR="00C10469" w:rsidRDefault="00C10469">
      <w:pPr>
        <w:rPr>
          <w:rtl/>
        </w:rPr>
      </w:pPr>
      <w:r>
        <w:rPr>
          <w:rFonts w:hint="cs"/>
          <w:b/>
          <w:bCs/>
          <w:rtl/>
        </w:rPr>
        <w:lastRenderedPageBreak/>
        <w:t>ولهذا</w:t>
      </w:r>
      <w:r>
        <w:rPr>
          <w:rFonts w:hint="cs"/>
          <w:rtl/>
        </w:rPr>
        <w:t xml:space="preserve"> قـالوا : القضاء بخلاف شرط الواقف كالقضاء بخلاف النص، فلا ينفذ؛ لأنه حكم</w:t>
      </w:r>
      <w:r>
        <w:rPr>
          <w:rStyle w:val="a7"/>
          <w:rtl/>
        </w:rPr>
        <w:footnoteReference w:id="3093"/>
      </w:r>
      <w:r>
        <w:rPr>
          <w:rFonts w:hint="cs"/>
          <w:rtl/>
        </w:rPr>
        <w:t xml:space="preserve"> لا دليل عليه.</w:t>
      </w:r>
    </w:p>
    <w:p w:rsidR="00C10469" w:rsidRDefault="00C10469">
      <w:pPr>
        <w:rPr>
          <w:rtl/>
        </w:rPr>
      </w:pPr>
      <w:r>
        <w:rPr>
          <w:rFonts w:hint="cs"/>
          <w:rtl/>
        </w:rPr>
        <w:t xml:space="preserve">وقال صاحب (الهداية) - في بيان عدم نفاذ الأحكام - : </w:t>
      </w:r>
      <w:r>
        <w:rPr>
          <w:rFonts w:hint="eastAsia"/>
          <w:rtl/>
        </w:rPr>
        <w:t>«</w:t>
      </w:r>
      <w:r>
        <w:rPr>
          <w:rFonts w:hint="cs"/>
          <w:rtl/>
        </w:rPr>
        <w:t>أو يكون قولاً لا دليل عليه</w:t>
      </w:r>
      <w:r>
        <w:rPr>
          <w:rFonts w:hint="eastAsia"/>
          <w:rtl/>
        </w:rPr>
        <w:t>»</w:t>
      </w:r>
      <w:r>
        <w:rPr>
          <w:rFonts w:hint="cs"/>
          <w:vertAlign w:val="superscript"/>
          <w:rtl/>
        </w:rPr>
        <w:t>(</w:t>
      </w:r>
      <w:r>
        <w:rPr>
          <w:rStyle w:val="a7"/>
          <w:rtl/>
        </w:rPr>
        <w:footnoteReference w:id="3094"/>
      </w:r>
      <w:r>
        <w:rPr>
          <w:rFonts w:hint="cs"/>
          <w:vertAlign w:val="superscript"/>
          <w:rtl/>
        </w:rPr>
        <w:t>)</w:t>
      </w:r>
      <w:r>
        <w:rPr>
          <w:rFonts w:hint="cs"/>
          <w:rtl/>
        </w:rPr>
        <w:t>. سواء كان شرطه</w:t>
      </w:r>
      <w:r>
        <w:rPr>
          <w:rStyle w:val="a7"/>
          <w:rtl/>
        </w:rPr>
        <w:footnoteReference w:id="3095"/>
      </w:r>
      <w:r>
        <w:rPr>
          <w:rFonts w:hint="cs"/>
          <w:rtl/>
        </w:rPr>
        <w:t xml:space="preserve"> في الوقف</w:t>
      </w:r>
      <w:r>
        <w:rPr>
          <w:rStyle w:val="a7"/>
          <w:rtl/>
        </w:rPr>
        <w:footnoteReference w:id="3096"/>
      </w:r>
      <w:r>
        <w:rPr>
          <w:rFonts w:hint="cs"/>
          <w:rtl/>
        </w:rPr>
        <w:t xml:space="preserve"> نصًّا أو ظاهرًا؛ ولهذا قالوا : يجب عمارة الوقف سواء شرط الواقف العمارةَ أوْلا، فإنها - وإن لم [تكُّن]</w:t>
      </w:r>
      <w:r>
        <w:rPr>
          <w:rStyle w:val="a7"/>
          <w:rtl/>
        </w:rPr>
        <w:footnoteReference w:id="3097"/>
      </w:r>
      <w:r>
        <w:rPr>
          <w:rFonts w:hint="cs"/>
          <w:rtl/>
        </w:rPr>
        <w:t xml:space="preserve"> مشروطة نصًّا فهي - مشروطة اقتضاءً -كما مرّ في باب الثاء</w:t>
      </w:r>
      <w:r>
        <w:rPr>
          <w:rFonts w:hint="cs"/>
          <w:vertAlign w:val="superscript"/>
          <w:rtl/>
        </w:rPr>
        <w:t>(</w:t>
      </w:r>
      <w:r>
        <w:rPr>
          <w:rStyle w:val="a7"/>
          <w:rtl/>
        </w:rPr>
        <w:footnoteReference w:id="3098"/>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tabs>
          <w:tab w:val="left" w:pos="1267"/>
        </w:tabs>
        <w:ind w:firstLine="0"/>
        <w:rPr>
          <w:rtl/>
        </w:rPr>
        <w:sectPr w:rsidR="00C10469" w:rsidSect="00C10469">
          <w:headerReference w:type="default" r:id="rId202"/>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tl/>
        </w:rPr>
        <w:tab/>
      </w:r>
    </w:p>
    <w:p w:rsidR="00C10469" w:rsidRPr="00DF60C9" w:rsidRDefault="00C10469">
      <w:pPr>
        <w:pStyle w:val="a9"/>
        <w:rPr>
          <w:rFonts w:cs="AL-Mateen"/>
          <w:rtl/>
        </w:rPr>
      </w:pPr>
      <w:r w:rsidRPr="00DF60C9">
        <w:rPr>
          <w:rFonts w:cs="AL-Mateen" w:hint="cs"/>
          <w:rtl/>
        </w:rPr>
        <w:lastRenderedPageBreak/>
        <w:t>[ الـقـاعـدة الـسـابـعـة والأربـعـون بـعـد الـمـائـة ]</w:t>
      </w:r>
    </w:p>
    <w:p w:rsidR="00C10469" w:rsidRDefault="00C10469">
      <w:pPr>
        <w:rPr>
          <w:rtl/>
        </w:rPr>
      </w:pPr>
      <w:r>
        <w:rPr>
          <w:rFonts w:cs="Monotype Koufi" w:hint="cs"/>
          <w:rtl/>
        </w:rPr>
        <w:t>شَرْطُ وُجُودِ الشَّيءِ لاَ يَجِبُ أَنْ يَكُونَ بِجَميعِ أَجْزَائِهَ شرطًا لِبَقَاءِ ذَلِكَ الشَّيءِ</w:t>
      </w:r>
      <w:r>
        <w:rPr>
          <w:rFonts w:hint="cs"/>
          <w:vertAlign w:val="superscript"/>
          <w:rtl/>
        </w:rPr>
        <w:t>(</w:t>
      </w:r>
      <w:r>
        <w:rPr>
          <w:rStyle w:val="a7"/>
          <w:rtl/>
        </w:rPr>
        <w:footnoteReference w:id="3099"/>
      </w:r>
      <w:r>
        <w:rPr>
          <w:rFonts w:hint="cs"/>
          <w:vertAlign w:val="superscript"/>
          <w:rtl/>
        </w:rPr>
        <w:t>)</w:t>
      </w:r>
      <w:r>
        <w:rPr>
          <w:rFonts w:hint="cs"/>
          <w:rtl/>
        </w:rPr>
        <w:t>:</w:t>
      </w:r>
    </w:p>
    <w:p w:rsidR="00C10469" w:rsidRDefault="00C10469">
      <w:pPr>
        <w:rPr>
          <w:spacing w:val="-10"/>
          <w:rtl/>
        </w:rPr>
      </w:pPr>
      <w:r>
        <w:rPr>
          <w:rFonts w:hint="cs"/>
          <w:spacing w:val="-10"/>
          <w:sz w:val="34"/>
          <w:szCs w:val="34"/>
          <w:rtl/>
        </w:rPr>
        <w:t xml:space="preserve">هذا الأصل مناسب للأصل الذي ذكرناه في باب (الباء)، وهو : </w:t>
      </w:r>
      <w:r>
        <w:rPr>
          <w:rFonts w:hint="eastAsia"/>
          <w:spacing w:val="-10"/>
          <w:sz w:val="34"/>
          <w:szCs w:val="34"/>
          <w:rtl/>
        </w:rPr>
        <w:t>«</w:t>
      </w:r>
      <w:r>
        <w:rPr>
          <w:rFonts w:hint="cs"/>
          <w:spacing w:val="-10"/>
          <w:sz w:val="34"/>
          <w:szCs w:val="34"/>
          <w:rtl/>
        </w:rPr>
        <w:t>البقاء أسهل من الابتداء</w:t>
      </w:r>
      <w:r>
        <w:rPr>
          <w:rFonts w:hint="eastAsia"/>
          <w:spacing w:val="-10"/>
          <w:sz w:val="34"/>
          <w:szCs w:val="34"/>
          <w:rtl/>
        </w:rPr>
        <w:t>»</w:t>
      </w:r>
      <w:r>
        <w:rPr>
          <w:rFonts w:hint="cs"/>
          <w:spacing w:val="-10"/>
          <w:vertAlign w:val="superscript"/>
          <w:rtl/>
        </w:rPr>
        <w:t>(</w:t>
      </w:r>
      <w:r>
        <w:rPr>
          <w:rStyle w:val="a7"/>
          <w:spacing w:val="-10"/>
          <w:rtl/>
        </w:rPr>
        <w:footnoteReference w:id="3100"/>
      </w:r>
      <w:r>
        <w:rPr>
          <w:rFonts w:hint="cs"/>
          <w:spacing w:val="-10"/>
          <w:vertAlign w:val="superscript"/>
          <w:rtl/>
        </w:rPr>
        <w:t>)</w:t>
      </w:r>
      <w:r>
        <w:rPr>
          <w:rFonts w:hint="cs"/>
          <w:spacing w:val="-10"/>
          <w:rtl/>
        </w:rPr>
        <w:t>.</w:t>
      </w:r>
    </w:p>
    <w:p w:rsidR="00C10469" w:rsidRDefault="00C10469">
      <w:pPr>
        <w:rPr>
          <w:spacing w:val="-8"/>
          <w:rtl/>
        </w:rPr>
      </w:pPr>
      <w:r>
        <w:rPr>
          <w:rFonts w:hint="cs"/>
          <w:spacing w:val="-8"/>
          <w:rtl/>
        </w:rPr>
        <w:t>وكذا قريب من الأصل الذي ذُكر فيه</w:t>
      </w:r>
      <w:r>
        <w:rPr>
          <w:rFonts w:hint="cs"/>
          <w:spacing w:val="-8"/>
          <w:vertAlign w:val="superscript"/>
          <w:rtl/>
        </w:rPr>
        <w:t>(</w:t>
      </w:r>
      <w:r>
        <w:rPr>
          <w:rStyle w:val="a7"/>
          <w:spacing w:val="-8"/>
          <w:rtl/>
        </w:rPr>
        <w:footnoteReference w:id="3101"/>
      </w:r>
      <w:r>
        <w:rPr>
          <w:rFonts w:hint="cs"/>
          <w:spacing w:val="-8"/>
          <w:vertAlign w:val="superscript"/>
          <w:rtl/>
        </w:rPr>
        <w:t>)</w:t>
      </w:r>
      <w:r>
        <w:rPr>
          <w:rFonts w:hint="cs"/>
          <w:spacing w:val="-8"/>
          <w:rtl/>
        </w:rPr>
        <w:t xml:space="preserve">، وهو : </w:t>
      </w:r>
      <w:r>
        <w:rPr>
          <w:rFonts w:hint="eastAsia"/>
          <w:spacing w:val="-8"/>
          <w:rtl/>
        </w:rPr>
        <w:t>«</w:t>
      </w:r>
      <w:r>
        <w:rPr>
          <w:rFonts w:hint="cs"/>
          <w:spacing w:val="-8"/>
          <w:rtl/>
        </w:rPr>
        <w:t>بقاء الحكم مستغنٍ عن بقاء العلة</w:t>
      </w:r>
      <w:r>
        <w:rPr>
          <w:rFonts w:hint="eastAsia"/>
          <w:spacing w:val="-8"/>
          <w:rtl/>
        </w:rPr>
        <w:t>»</w:t>
      </w:r>
      <w:r>
        <w:rPr>
          <w:rFonts w:hint="cs"/>
          <w:spacing w:val="-8"/>
          <w:vertAlign w:val="superscript"/>
          <w:rtl/>
        </w:rPr>
        <w:t>(</w:t>
      </w:r>
      <w:r>
        <w:rPr>
          <w:rStyle w:val="a7"/>
          <w:spacing w:val="-8"/>
          <w:rtl/>
        </w:rPr>
        <w:footnoteReference w:id="3102"/>
      </w:r>
      <w:r>
        <w:rPr>
          <w:rFonts w:hint="cs"/>
          <w:spacing w:val="-8"/>
          <w:vertAlign w:val="superscript"/>
          <w:rtl/>
        </w:rPr>
        <w:t>)</w:t>
      </w:r>
      <w:r>
        <w:rPr>
          <w:rFonts w:hint="cs"/>
          <w:spacing w:val="-8"/>
          <w:rtl/>
        </w:rPr>
        <w:t>.</w:t>
      </w:r>
    </w:p>
    <w:p w:rsidR="00C10469" w:rsidRDefault="00C10469">
      <w:pPr>
        <w:rPr>
          <w:rtl/>
        </w:rPr>
      </w:pPr>
      <w:r>
        <w:rPr>
          <w:rFonts w:hint="cs"/>
          <w:rtl/>
        </w:rPr>
        <w:t>فيكون فروعهما</w:t>
      </w:r>
      <w:r>
        <w:rPr>
          <w:rFonts w:hint="cs"/>
          <w:vertAlign w:val="superscript"/>
          <w:rtl/>
        </w:rPr>
        <w:t>(</w:t>
      </w:r>
      <w:r>
        <w:rPr>
          <w:rStyle w:val="a7"/>
          <w:rtl/>
        </w:rPr>
        <w:footnoteReference w:id="3103"/>
      </w:r>
      <w:r>
        <w:rPr>
          <w:rFonts w:hint="cs"/>
          <w:vertAlign w:val="superscript"/>
          <w:rtl/>
        </w:rPr>
        <w:t>)</w:t>
      </w:r>
      <w:r>
        <w:rPr>
          <w:rFonts w:hint="cs"/>
          <w:rtl/>
        </w:rPr>
        <w:t xml:space="preserve"> فروعًا لهذا الأصل.</w:t>
      </w:r>
    </w:p>
    <w:p w:rsidR="00C10469" w:rsidRDefault="00C10469">
      <w:pPr>
        <w:rPr>
          <w:rtl/>
        </w:rPr>
      </w:pPr>
      <w:r>
        <w:rPr>
          <w:rFonts w:hint="cs"/>
          <w:rtl/>
        </w:rPr>
        <w:t>وجعل المولى خُسرو في (درره) في آخر كتاب القضاء</w:t>
      </w:r>
      <w:r>
        <w:rPr>
          <w:rFonts w:hint="cs"/>
          <w:vertAlign w:val="superscript"/>
          <w:rtl/>
        </w:rPr>
        <w:t>(</w:t>
      </w:r>
      <w:r>
        <w:rPr>
          <w:rStyle w:val="a7"/>
          <w:rtl/>
        </w:rPr>
        <w:footnoteReference w:id="3104"/>
      </w:r>
      <w:r>
        <w:rPr>
          <w:rFonts w:hint="cs"/>
          <w:vertAlign w:val="superscript"/>
          <w:rtl/>
        </w:rPr>
        <w:t>)</w:t>
      </w:r>
      <w:r>
        <w:rPr>
          <w:rFonts w:hint="cs"/>
          <w:rtl/>
        </w:rPr>
        <w:t xml:space="preserve"> (ثبوتَ رجوع أحد المُحَكِّمَيْنِ قبل الحكم) من فروع هذا الأصل؛ حيث قال : </w:t>
      </w:r>
      <w:r>
        <w:rPr>
          <w:rFonts w:hint="eastAsia"/>
          <w:rtl/>
        </w:rPr>
        <w:t>«</w:t>
      </w:r>
      <w:r>
        <w:rPr>
          <w:rFonts w:hint="cs"/>
          <w:rtl/>
        </w:rPr>
        <w:t>فإن قيل : التحكيم ثبت</w:t>
      </w:r>
      <w:r>
        <w:rPr>
          <w:rStyle w:val="a7"/>
          <w:rtl/>
        </w:rPr>
        <w:footnoteReference w:id="3105"/>
      </w:r>
      <w:r>
        <w:rPr>
          <w:rFonts w:hint="cs"/>
          <w:rtl/>
        </w:rPr>
        <w:t xml:space="preserve"> باتفاقهما</w:t>
      </w:r>
      <w:r>
        <w:rPr>
          <w:rStyle w:val="a7"/>
          <w:rtl/>
        </w:rPr>
        <w:footnoteReference w:id="3106"/>
      </w:r>
      <w:r>
        <w:rPr>
          <w:rFonts w:hint="cs"/>
          <w:rtl/>
        </w:rPr>
        <w:t>، فينبغي</w:t>
      </w:r>
      <w:r>
        <w:rPr>
          <w:rStyle w:val="a7"/>
          <w:rtl/>
        </w:rPr>
        <w:footnoteReference w:id="3107"/>
      </w:r>
      <w:r>
        <w:rPr>
          <w:rFonts w:hint="cs"/>
          <w:rtl/>
        </w:rPr>
        <w:t xml:space="preserve"> أن لا يصح الإخراج [إ]</w:t>
      </w:r>
      <w:r>
        <w:rPr>
          <w:rStyle w:val="a7"/>
          <w:rtl/>
        </w:rPr>
        <w:footnoteReference w:id="3108"/>
      </w:r>
      <w:r>
        <w:rPr>
          <w:rFonts w:hint="cs"/>
          <w:rtl/>
        </w:rPr>
        <w:t>لا  باتفاقهما!</w:t>
      </w:r>
      <w:r>
        <w:rPr>
          <w:rFonts w:hint="eastAsia"/>
          <w:rtl/>
        </w:rPr>
        <w:t>»</w:t>
      </w:r>
      <w:r>
        <w:rPr>
          <w:rFonts w:hint="cs"/>
          <w:rtl/>
        </w:rPr>
        <w:t>.</w:t>
      </w:r>
    </w:p>
    <w:p w:rsidR="00C10469" w:rsidRDefault="00C10469">
      <w:pPr>
        <w:rPr>
          <w:rtl/>
        </w:rPr>
      </w:pPr>
      <w:r>
        <w:rPr>
          <w:rFonts w:hint="cs"/>
          <w:rtl/>
        </w:rPr>
        <w:lastRenderedPageBreak/>
        <w:t>ثم قال</w:t>
      </w:r>
      <w:r>
        <w:rPr>
          <w:rStyle w:val="a7"/>
          <w:rtl/>
        </w:rPr>
        <w:footnoteReference w:id="3109"/>
      </w:r>
      <w:r>
        <w:rPr>
          <w:rFonts w:hint="cs"/>
          <w:rtl/>
        </w:rPr>
        <w:t xml:space="preserve"> مجيبًا عن هذا الاعتراض</w:t>
      </w:r>
      <w:r>
        <w:rPr>
          <w:rStyle w:val="a7"/>
          <w:rtl/>
        </w:rPr>
        <w:footnoteReference w:id="3110"/>
      </w:r>
      <w:r>
        <w:rPr>
          <w:rFonts w:hint="cs"/>
          <w:rtl/>
        </w:rPr>
        <w:t xml:space="preserve"> بقوله</w:t>
      </w:r>
      <w:r>
        <w:rPr>
          <w:rFonts w:hint="cs"/>
          <w:vertAlign w:val="superscript"/>
          <w:rtl/>
        </w:rPr>
        <w:t>(</w:t>
      </w:r>
      <w:r>
        <w:rPr>
          <w:rStyle w:val="a7"/>
          <w:rtl/>
        </w:rPr>
        <w:footnoteReference w:id="3111"/>
      </w:r>
      <w:r>
        <w:rPr>
          <w:rFonts w:hint="cs"/>
          <w:vertAlign w:val="superscript"/>
          <w:rtl/>
        </w:rPr>
        <w:t>)</w:t>
      </w:r>
      <w:r>
        <w:rPr>
          <w:rFonts w:hint="cs"/>
          <w:rtl/>
        </w:rPr>
        <w:t xml:space="preserve">  : </w:t>
      </w:r>
      <w:r>
        <w:rPr>
          <w:rFonts w:hint="eastAsia"/>
          <w:rtl/>
        </w:rPr>
        <w:t>«</w:t>
      </w:r>
      <w:r>
        <w:rPr>
          <w:rFonts w:hint="cs"/>
          <w:rtl/>
        </w:rPr>
        <w:t>قلنا شرط وجود الشيء لا يجب</w:t>
      </w:r>
    </w:p>
    <w:p w:rsidR="00C10469" w:rsidRDefault="00C10469">
      <w:pPr>
        <w:ind w:firstLine="0"/>
        <w:rPr>
          <w:rtl/>
        </w:rPr>
      </w:pPr>
      <w:r>
        <w:rPr>
          <w:rFonts w:hint="cs"/>
          <w:rtl/>
        </w:rPr>
        <w:t>أن يكون بجميع أجزائه شرطًا لبقاء</w:t>
      </w:r>
      <w:r>
        <w:rPr>
          <w:rStyle w:val="a7"/>
          <w:rtl/>
        </w:rPr>
        <w:footnoteReference w:id="3112"/>
      </w:r>
      <w:r>
        <w:rPr>
          <w:rFonts w:hint="cs"/>
          <w:rtl/>
        </w:rPr>
        <w:t xml:space="preserve"> ذلك الشيء</w:t>
      </w:r>
      <w:r>
        <w:rPr>
          <w:rFonts w:hint="eastAsia"/>
          <w:rtl/>
        </w:rPr>
        <w:t>»</w:t>
      </w:r>
      <w:r>
        <w:rPr>
          <w:rFonts w:hint="cs"/>
          <w:vertAlign w:val="superscript"/>
          <w:rtl/>
        </w:rPr>
        <w:t>(</w:t>
      </w:r>
      <w:r>
        <w:rPr>
          <w:rStyle w:val="a7"/>
          <w:rtl/>
        </w:rPr>
        <w:footnoteReference w:id="3113"/>
      </w:r>
      <w:r>
        <w:rPr>
          <w:rFonts w:hint="cs"/>
          <w:vertAlign w:val="superscript"/>
          <w:rtl/>
        </w:rPr>
        <w:t>)</w:t>
      </w:r>
      <w:r>
        <w:rPr>
          <w:rFonts w:hint="cs"/>
          <w:rtl/>
        </w:rPr>
        <w:t>.</w:t>
      </w:r>
    </w:p>
    <w:p w:rsidR="00C10469" w:rsidRDefault="00C10469">
      <w:pPr>
        <w:rPr>
          <w:spacing w:val="-6"/>
          <w:rtl/>
        </w:rPr>
      </w:pPr>
      <w:r>
        <w:rPr>
          <w:rFonts w:hint="cs"/>
          <w:b/>
          <w:bCs/>
          <w:spacing w:val="-6"/>
          <w:rtl/>
        </w:rPr>
        <w:t>أقول</w:t>
      </w:r>
      <w:r>
        <w:rPr>
          <w:rFonts w:hint="cs"/>
          <w:spacing w:val="-6"/>
          <w:rtl/>
        </w:rPr>
        <w:t>: لا يخفى على من له</w:t>
      </w:r>
      <w:r>
        <w:rPr>
          <w:rStyle w:val="a7"/>
          <w:spacing w:val="-6"/>
          <w:rtl/>
        </w:rPr>
        <w:footnoteReference w:id="3114"/>
      </w:r>
      <w:r>
        <w:rPr>
          <w:rFonts w:hint="cs"/>
          <w:spacing w:val="-6"/>
          <w:rtl/>
        </w:rPr>
        <w:t xml:space="preserve"> ذوق سليم أنّ هذا الأصل يكون دليلاً على خلاف مراده.</w:t>
      </w:r>
    </w:p>
    <w:p w:rsidR="00C10469" w:rsidRDefault="00C10469">
      <w:pPr>
        <w:rPr>
          <w:spacing w:val="8"/>
          <w:rtl/>
        </w:rPr>
      </w:pPr>
      <w:r>
        <w:rPr>
          <w:rFonts w:hint="cs"/>
          <w:b/>
          <w:bCs/>
          <w:spacing w:val="8"/>
          <w:rtl/>
        </w:rPr>
        <w:t>وتقريره</w:t>
      </w:r>
      <w:r>
        <w:rPr>
          <w:rFonts w:hint="cs"/>
          <w:spacing w:val="8"/>
          <w:rtl/>
        </w:rPr>
        <w:t xml:space="preserve"> : أن شرط صحة التحكيم : اتفاق المحكِّمَيْن في التقليد</w:t>
      </w:r>
      <w:r>
        <w:rPr>
          <w:rFonts w:hint="cs"/>
          <w:spacing w:val="8"/>
          <w:vertAlign w:val="superscript"/>
          <w:rtl/>
        </w:rPr>
        <w:t>(</w:t>
      </w:r>
      <w:r>
        <w:rPr>
          <w:rStyle w:val="a7"/>
          <w:spacing w:val="8"/>
          <w:rtl/>
        </w:rPr>
        <w:footnoteReference w:id="3115"/>
      </w:r>
      <w:r>
        <w:rPr>
          <w:rFonts w:hint="cs"/>
          <w:spacing w:val="8"/>
          <w:vertAlign w:val="superscript"/>
          <w:rtl/>
        </w:rPr>
        <w:t>)</w:t>
      </w:r>
      <w:r>
        <w:rPr>
          <w:rFonts w:hint="cs"/>
          <w:spacing w:val="8"/>
          <w:rtl/>
        </w:rPr>
        <w:t>، فإذا لم يكن هذا الشرط بجميع أجزائه شرطًا لبقائه : يلزم بقاء صحة التحكيم بأحد شطري الشرط (وهو بقاء رضا أحد المحكِّمَين) والمراد عدم</w:t>
      </w:r>
      <w:r>
        <w:rPr>
          <w:rStyle w:val="a7"/>
          <w:spacing w:val="8"/>
          <w:rtl/>
        </w:rPr>
        <w:footnoteReference w:id="3116"/>
      </w:r>
      <w:r>
        <w:rPr>
          <w:rFonts w:hint="cs"/>
          <w:spacing w:val="8"/>
          <w:rtl/>
        </w:rPr>
        <w:t xml:space="preserve"> بقاء صحة التحكيم، وذكره في (العناية) الأكملية</w:t>
      </w:r>
      <w:r>
        <w:rPr>
          <w:rFonts w:hint="cs"/>
          <w:spacing w:val="8"/>
          <w:vertAlign w:val="superscript"/>
          <w:rtl/>
        </w:rPr>
        <w:t>(</w:t>
      </w:r>
      <w:r>
        <w:rPr>
          <w:rStyle w:val="a7"/>
          <w:spacing w:val="8"/>
          <w:rtl/>
        </w:rPr>
        <w:footnoteReference w:id="3117"/>
      </w:r>
      <w:r>
        <w:rPr>
          <w:rFonts w:hint="cs"/>
          <w:spacing w:val="8"/>
          <w:vertAlign w:val="superscript"/>
          <w:rtl/>
        </w:rPr>
        <w:t>)</w:t>
      </w:r>
      <w:r>
        <w:rPr>
          <w:rFonts w:hint="cs"/>
          <w:spacing w:val="8"/>
          <w:rtl/>
        </w:rPr>
        <w:t xml:space="preserve"> : </w:t>
      </w:r>
      <w:r>
        <w:rPr>
          <w:rFonts w:hint="eastAsia"/>
          <w:spacing w:val="8"/>
          <w:rtl/>
        </w:rPr>
        <w:t>«</w:t>
      </w:r>
      <w:r>
        <w:rPr>
          <w:rFonts w:hint="cs"/>
          <w:spacing w:val="8"/>
          <w:rtl/>
        </w:rPr>
        <w:t>ولكل واحد من المحكِّمَين أن يرجع قبل أن يُحكم عليهما؛ لأنه مقلَّدٌ من جهتهما؛ لاتفاقهما  على ذلك، فلا يحكم إلا برضاهما جميعاً؛ لأن ما كان وجوده من شيئين لابّد من وجودهما، وأما عدمه فلا يحتاج إلى عدمهما</w:t>
      </w:r>
      <w:r>
        <w:rPr>
          <w:rStyle w:val="a7"/>
          <w:spacing w:val="8"/>
          <w:rtl/>
        </w:rPr>
        <w:footnoteReference w:id="3118"/>
      </w:r>
      <w:r>
        <w:rPr>
          <w:rFonts w:hint="cs"/>
          <w:spacing w:val="8"/>
          <w:rtl/>
        </w:rPr>
        <w:t>؛ بل</w:t>
      </w:r>
      <w:r>
        <w:rPr>
          <w:rFonts w:hint="cs"/>
          <w:spacing w:val="8"/>
          <w:vertAlign w:val="superscript"/>
          <w:rtl/>
        </w:rPr>
        <w:t>(</w:t>
      </w:r>
      <w:r>
        <w:rPr>
          <w:rStyle w:val="a7"/>
          <w:spacing w:val="8"/>
          <w:rtl/>
        </w:rPr>
        <w:footnoteReference w:id="3119"/>
      </w:r>
      <w:r>
        <w:rPr>
          <w:rFonts w:hint="cs"/>
          <w:spacing w:val="8"/>
          <w:vertAlign w:val="superscript"/>
          <w:rtl/>
        </w:rPr>
        <w:t>)</w:t>
      </w:r>
      <w:r>
        <w:rPr>
          <w:rFonts w:hint="cs"/>
          <w:spacing w:val="8"/>
          <w:rtl/>
        </w:rPr>
        <w:t xml:space="preserve"> بعدم أحدهما.</w:t>
      </w:r>
    </w:p>
    <w:p w:rsidR="00C10469" w:rsidRDefault="00C10469">
      <w:pPr>
        <w:spacing w:line="520" w:lineRule="exact"/>
        <w:rPr>
          <w:rtl/>
        </w:rPr>
      </w:pPr>
      <w:r>
        <w:rPr>
          <w:rFonts w:hint="cs"/>
          <w:rtl/>
        </w:rPr>
        <w:lastRenderedPageBreak/>
        <w:t>وبهذا خرج</w:t>
      </w:r>
      <w:r>
        <w:rPr>
          <w:rStyle w:val="a7"/>
          <w:rtl/>
        </w:rPr>
        <w:footnoteReference w:id="3120"/>
      </w:r>
      <w:r>
        <w:rPr>
          <w:rFonts w:hint="cs"/>
          <w:rtl/>
        </w:rPr>
        <w:t xml:space="preserve"> الجواب عما قيل : ينبغي [أن]</w:t>
      </w:r>
      <w:r>
        <w:rPr>
          <w:rStyle w:val="a7"/>
          <w:rtl/>
        </w:rPr>
        <w:footnoteReference w:id="3121"/>
      </w:r>
      <w:r>
        <w:rPr>
          <w:rFonts w:hint="cs"/>
          <w:rtl/>
        </w:rPr>
        <w:t xml:space="preserve"> لا يصحّ الإخراج إلا باتفاقهما كما لا يصح التحكيم إلا باتفاقهما.</w:t>
      </w:r>
    </w:p>
    <w:p w:rsidR="00C10469" w:rsidRDefault="00C10469">
      <w:pPr>
        <w:rPr>
          <w:b/>
          <w:bCs/>
          <w:rtl/>
        </w:rPr>
      </w:pPr>
    </w:p>
    <w:p w:rsidR="00C10469" w:rsidRDefault="00C10469">
      <w:pPr>
        <w:rPr>
          <w:rtl/>
        </w:rPr>
      </w:pPr>
      <w:r>
        <w:rPr>
          <w:rFonts w:hint="cs"/>
          <w:b/>
          <w:bCs/>
          <w:rtl/>
        </w:rPr>
        <w:t xml:space="preserve">فإن قيل : </w:t>
      </w:r>
      <w:r>
        <w:rPr>
          <w:rFonts w:hint="cs"/>
          <w:rtl/>
        </w:rPr>
        <w:t>إخراج</w:t>
      </w:r>
      <w:r>
        <w:rPr>
          <w:rFonts w:hint="cs"/>
          <w:b/>
          <w:bCs/>
          <w:rtl/>
        </w:rPr>
        <w:t xml:space="preserve"> </w:t>
      </w:r>
      <w:r>
        <w:rPr>
          <w:rFonts w:hint="cs"/>
          <w:rtl/>
        </w:rPr>
        <w:t>أحدهما سعي</w:t>
      </w:r>
      <w:r>
        <w:rPr>
          <w:rStyle w:val="a7"/>
          <w:rtl/>
        </w:rPr>
        <w:footnoteReference w:id="3122"/>
      </w:r>
      <w:r>
        <w:rPr>
          <w:rFonts w:hint="cs"/>
          <w:rtl/>
        </w:rPr>
        <w:t xml:space="preserve"> في</w:t>
      </w:r>
      <w:r>
        <w:rPr>
          <w:rFonts w:hint="cs"/>
          <w:b/>
          <w:bCs/>
          <w:rtl/>
        </w:rPr>
        <w:t xml:space="preserve"> </w:t>
      </w:r>
      <w:r>
        <w:rPr>
          <w:rFonts w:hint="cs"/>
          <w:rtl/>
        </w:rPr>
        <w:t>نقض ما تم من جهته</w:t>
      </w:r>
      <w:r>
        <w:rPr>
          <w:rFonts w:hint="cs"/>
          <w:vertAlign w:val="superscript"/>
          <w:rtl/>
        </w:rPr>
        <w:t>(</w:t>
      </w:r>
      <w:r>
        <w:rPr>
          <w:rStyle w:val="a7"/>
          <w:rtl/>
        </w:rPr>
        <w:footnoteReference w:id="3123"/>
      </w:r>
      <w:r>
        <w:rPr>
          <w:rFonts w:hint="cs"/>
          <w:vertAlign w:val="superscript"/>
          <w:rtl/>
        </w:rPr>
        <w:t>)</w:t>
      </w:r>
      <w:r>
        <w:rPr>
          <w:rFonts w:hint="cs"/>
          <w:rtl/>
        </w:rPr>
        <w:t>!.</w:t>
      </w:r>
    </w:p>
    <w:p w:rsidR="00C10469" w:rsidRDefault="00C10469">
      <w:pPr>
        <w:rPr>
          <w:rtl/>
        </w:rPr>
      </w:pPr>
      <w:r>
        <w:rPr>
          <w:rFonts w:hint="cs"/>
          <w:b/>
          <w:bCs/>
          <w:rtl/>
        </w:rPr>
        <w:t>قلنا</w:t>
      </w:r>
      <w:r>
        <w:rPr>
          <w:rFonts w:hint="cs"/>
          <w:rtl/>
        </w:rPr>
        <w:t xml:space="preserve"> : ما تمّ الأمر، و إنما التمام بعد الحكم</w:t>
      </w:r>
      <w:r>
        <w:rPr>
          <w:rFonts w:hint="eastAsia"/>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A31CDA"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0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CA4AF8" w:rsidRDefault="00C10469">
      <w:pPr>
        <w:pStyle w:val="a9"/>
        <w:rPr>
          <w:rFonts w:cs="AL-Mateen"/>
          <w:rtl/>
        </w:rPr>
      </w:pPr>
      <w:r w:rsidRPr="00CA4AF8">
        <w:rPr>
          <w:rFonts w:cs="AL-Mateen"/>
          <w:rtl/>
        </w:rPr>
        <w:lastRenderedPageBreak/>
        <w:t>[ الـقـاعـدة الـ</w:t>
      </w:r>
      <w:r w:rsidRPr="00CA4AF8">
        <w:rPr>
          <w:rFonts w:cs="AL-Mateen" w:hint="cs"/>
          <w:rtl/>
        </w:rPr>
        <w:t>ث</w:t>
      </w:r>
      <w:r w:rsidRPr="00CA4AF8">
        <w:rPr>
          <w:rFonts w:cs="AL-Mateen"/>
          <w:rtl/>
        </w:rPr>
        <w:t>ـا</w:t>
      </w:r>
      <w:r w:rsidRPr="00CA4AF8">
        <w:rPr>
          <w:rFonts w:cs="AL-Mateen" w:hint="cs"/>
          <w:rtl/>
        </w:rPr>
        <w:t>مـن</w:t>
      </w:r>
      <w:r w:rsidRPr="00CA4AF8">
        <w:rPr>
          <w:rFonts w:cs="AL-Mateen"/>
          <w:rtl/>
        </w:rPr>
        <w:t xml:space="preserve">ـة </w:t>
      </w:r>
      <w:r w:rsidRPr="00CA4AF8">
        <w:rPr>
          <w:rFonts w:cs="AL-Mateen" w:hint="eastAsia"/>
          <w:rtl/>
        </w:rPr>
        <w:t>والأربـعـون</w:t>
      </w:r>
      <w:r w:rsidRPr="00CA4AF8">
        <w:rPr>
          <w:rFonts w:cs="AL-Mateen"/>
          <w:rtl/>
        </w:rPr>
        <w:t xml:space="preserve"> بـعـد الـمـائـة ]</w:t>
      </w:r>
    </w:p>
    <w:p w:rsidR="00C10469" w:rsidRDefault="00C10469">
      <w:pPr>
        <w:rPr>
          <w:rtl/>
        </w:rPr>
      </w:pPr>
      <w:r>
        <w:rPr>
          <w:rFonts w:cs="Monotype Koufi" w:hint="cs"/>
          <w:rtl/>
        </w:rPr>
        <w:t>الشَّهَادَةُ إذَا بَطَلَتْ فِي البَعْضِ</w:t>
      </w:r>
      <w:r>
        <w:rPr>
          <w:rStyle w:val="a7"/>
          <w:rtl/>
        </w:rPr>
        <w:footnoteReference w:id="3124"/>
      </w:r>
      <w:r>
        <w:rPr>
          <w:rFonts w:hint="cs"/>
          <w:rtl/>
        </w:rPr>
        <w:t xml:space="preserve"> </w:t>
      </w:r>
      <w:r>
        <w:rPr>
          <w:rFonts w:cs="Monotype Koufi" w:hint="cs"/>
          <w:rtl/>
        </w:rPr>
        <w:t>بَطَلَتْ في الكُلِّ</w:t>
      </w:r>
      <w:r>
        <w:rPr>
          <w:rFonts w:hint="cs"/>
          <w:vertAlign w:val="superscript"/>
          <w:rtl/>
        </w:rPr>
        <w:t>(</w:t>
      </w:r>
      <w:r>
        <w:rPr>
          <w:rStyle w:val="a7"/>
          <w:rtl/>
        </w:rPr>
        <w:footnoteReference w:id="3125"/>
      </w:r>
      <w:r>
        <w:rPr>
          <w:rFonts w:hint="cs"/>
          <w:vertAlign w:val="superscript"/>
          <w:rtl/>
        </w:rPr>
        <w:t>)</w:t>
      </w:r>
      <w:r>
        <w:rPr>
          <w:rFonts w:hint="cs"/>
          <w:rtl/>
        </w:rPr>
        <w:t xml:space="preserve"> :</w:t>
      </w:r>
    </w:p>
    <w:p w:rsidR="00C10469" w:rsidRDefault="00C10469">
      <w:pPr>
        <w:rPr>
          <w:rtl/>
        </w:rPr>
      </w:pPr>
      <w:r>
        <w:rPr>
          <w:rFonts w:hint="cs"/>
          <w:rtl/>
        </w:rPr>
        <w:t xml:space="preserve">ذكر في (العتاق) من (الظهيرية) : </w:t>
      </w:r>
      <w:r>
        <w:rPr>
          <w:rFonts w:hint="eastAsia"/>
          <w:rtl/>
        </w:rPr>
        <w:t>«</w:t>
      </w:r>
      <w:r>
        <w:rPr>
          <w:rFonts w:hint="cs"/>
          <w:rtl/>
        </w:rPr>
        <w:t>إذا كان عبدٌ بين مسلم ونصرانيّ</w:t>
      </w:r>
      <w:r>
        <w:rPr>
          <w:rStyle w:val="a7"/>
          <w:rtl/>
        </w:rPr>
        <w:footnoteReference w:id="3126"/>
      </w:r>
      <w:r>
        <w:rPr>
          <w:rFonts w:hint="cs"/>
          <w:rtl/>
        </w:rPr>
        <w:t>، فشهد نصرانيّان عليهما بالعتق : فإنّها تقبل في حقّ النصرانيّ فقط</w:t>
      </w:r>
      <w:r>
        <w:rPr>
          <w:rFonts w:hint="eastAsia"/>
          <w:rtl/>
        </w:rPr>
        <w:t>»</w:t>
      </w:r>
      <w:r>
        <w:rPr>
          <w:rFonts w:hint="cs"/>
          <w:vertAlign w:val="superscript"/>
          <w:rtl/>
        </w:rPr>
        <w:t>(</w:t>
      </w:r>
      <w:r>
        <w:rPr>
          <w:rStyle w:val="a7"/>
          <w:rtl/>
        </w:rPr>
        <w:footnoteReference w:id="3127"/>
      </w:r>
      <w:r>
        <w:rPr>
          <w:rFonts w:hint="cs"/>
          <w:vertAlign w:val="superscript"/>
          <w:rtl/>
        </w:rPr>
        <w:t>)</w:t>
      </w:r>
      <w:r>
        <w:rPr>
          <w:rFonts w:hint="cs"/>
          <w:rtl/>
        </w:rPr>
        <w:t>. فيتوهّم من هذا عدم اطّراد هذا الأصل.</w:t>
      </w:r>
    </w:p>
    <w:p w:rsidR="00C10469" w:rsidRDefault="00C10469">
      <w:pPr>
        <w:rPr>
          <w:rtl/>
        </w:rPr>
      </w:pPr>
      <w:r>
        <w:rPr>
          <w:rFonts w:hint="cs"/>
          <w:b/>
          <w:bCs/>
          <w:rtl/>
        </w:rPr>
        <w:t xml:space="preserve">وجوابه : </w:t>
      </w:r>
      <w:r>
        <w:rPr>
          <w:rFonts w:hint="cs"/>
          <w:rtl/>
        </w:rPr>
        <w:t>أن النصرانيّ أهلٌ للشهادة، فلم [تبطل]</w:t>
      </w:r>
      <w:r>
        <w:rPr>
          <w:rStyle w:val="a7"/>
          <w:rtl/>
        </w:rPr>
        <w:footnoteReference w:id="3128"/>
      </w:r>
      <w:r>
        <w:rPr>
          <w:rFonts w:hint="cs"/>
          <w:rtl/>
        </w:rPr>
        <w:t xml:space="preserve"> شهادته لا في البعض ولا في الكلّ، وإنما لم [تقبل]</w:t>
      </w:r>
      <w:r>
        <w:rPr>
          <w:rStyle w:val="a7"/>
          <w:rtl/>
        </w:rPr>
        <w:footnoteReference w:id="3129"/>
      </w:r>
      <w:r>
        <w:rPr>
          <w:rFonts w:hint="cs"/>
          <w:rtl/>
        </w:rPr>
        <w:t xml:space="preserve"> في حق المسلم؛ لأنه لا ولاية له عليه، وبحثنا فيما تبطل به </w:t>
      </w:r>
      <w:r>
        <w:rPr>
          <w:rFonts w:hint="cs"/>
          <w:rtl/>
        </w:rPr>
        <w:lastRenderedPageBreak/>
        <w:t>الشهادة في البعض بمعنىً في الشاهد؛ كما لو شهد لأجنبيّ وابنِهِ</w:t>
      </w:r>
      <w:r>
        <w:rPr>
          <w:rFonts w:hint="cs"/>
          <w:vertAlign w:val="superscript"/>
          <w:rtl/>
        </w:rPr>
        <w:t>(</w:t>
      </w:r>
      <w:r>
        <w:rPr>
          <w:rStyle w:val="a7"/>
          <w:rtl/>
        </w:rPr>
        <w:footnoteReference w:id="3130"/>
      </w:r>
      <w:r>
        <w:rPr>
          <w:rFonts w:hint="cs"/>
          <w:vertAlign w:val="superscript"/>
          <w:rtl/>
        </w:rPr>
        <w:t>)</w:t>
      </w:r>
      <w:r>
        <w:rPr>
          <w:rFonts w:hint="cs"/>
          <w:rtl/>
        </w:rPr>
        <w:t>، فَشهادته [تبطل]</w:t>
      </w:r>
      <w:r>
        <w:rPr>
          <w:rStyle w:val="a7"/>
          <w:rtl/>
        </w:rPr>
        <w:footnoteReference w:id="3131"/>
      </w:r>
      <w:r>
        <w:rPr>
          <w:rFonts w:hint="cs"/>
          <w:rtl/>
        </w:rPr>
        <w:t xml:space="preserve"> في حق ابنه</w:t>
      </w:r>
      <w:r>
        <w:rPr>
          <w:rFonts w:hint="cs"/>
          <w:vertAlign w:val="superscript"/>
          <w:rtl/>
        </w:rPr>
        <w:t>(</w:t>
      </w:r>
      <w:r>
        <w:rPr>
          <w:rStyle w:val="a7"/>
          <w:rtl/>
        </w:rPr>
        <w:footnoteReference w:id="3132"/>
      </w:r>
      <w:r>
        <w:rPr>
          <w:rFonts w:hint="cs"/>
          <w:vertAlign w:val="superscript"/>
          <w:rtl/>
        </w:rPr>
        <w:t>)</w:t>
      </w:r>
      <w:r>
        <w:rPr>
          <w:rFonts w:hint="cs"/>
          <w:rtl/>
        </w:rPr>
        <w:t>؛ لأن</w:t>
      </w:r>
      <w:r>
        <w:rPr>
          <w:rStyle w:val="a7"/>
          <w:rtl/>
        </w:rPr>
        <w:footnoteReference w:id="3133"/>
      </w:r>
      <w:r>
        <w:rPr>
          <w:rFonts w:hint="cs"/>
          <w:rtl/>
        </w:rPr>
        <w:t xml:space="preserve"> رأفة الأبوّة [تورث]</w:t>
      </w:r>
      <w:r>
        <w:rPr>
          <w:rStyle w:val="a7"/>
          <w:rtl/>
        </w:rPr>
        <w:footnoteReference w:id="3134"/>
      </w:r>
      <w:r>
        <w:rPr>
          <w:rFonts w:hint="cs"/>
          <w:rtl/>
        </w:rPr>
        <w:t xml:space="preserve"> شبهة ارتكاب الكذب، فتبطل في حق الأجنبي أيضًا على مقتضى هذا الأصل.</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0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76DBB" w:rsidRDefault="00C10469">
      <w:pPr>
        <w:pStyle w:val="a9"/>
        <w:rPr>
          <w:rFonts w:cs="AL-Mateen"/>
          <w:rtl/>
        </w:rPr>
      </w:pPr>
      <w:r w:rsidRPr="00476DBB">
        <w:rPr>
          <w:rFonts w:cs="AL-Mateen"/>
          <w:rtl/>
        </w:rPr>
        <w:lastRenderedPageBreak/>
        <w:t>[ الـقـاعـدة الـ</w:t>
      </w:r>
      <w:r w:rsidRPr="00476DBB">
        <w:rPr>
          <w:rFonts w:cs="AL-Mateen" w:hint="cs"/>
          <w:rtl/>
        </w:rPr>
        <w:t>ت</w:t>
      </w:r>
      <w:r w:rsidRPr="00476DBB">
        <w:rPr>
          <w:rFonts w:cs="AL-Mateen"/>
          <w:rtl/>
        </w:rPr>
        <w:t>ـا</w:t>
      </w:r>
      <w:r w:rsidRPr="00476DBB">
        <w:rPr>
          <w:rFonts w:cs="AL-Mateen" w:hint="cs"/>
          <w:rtl/>
        </w:rPr>
        <w:t>سـع</w:t>
      </w:r>
      <w:r w:rsidRPr="00476DBB">
        <w:rPr>
          <w:rFonts w:cs="AL-Mateen"/>
          <w:rtl/>
        </w:rPr>
        <w:t xml:space="preserve">ـة </w:t>
      </w:r>
      <w:r w:rsidRPr="00476DBB">
        <w:rPr>
          <w:rFonts w:cs="AL-Mateen" w:hint="eastAsia"/>
          <w:rtl/>
        </w:rPr>
        <w:t>والأربـعـون</w:t>
      </w:r>
      <w:r w:rsidRPr="00476DBB">
        <w:rPr>
          <w:rFonts w:cs="AL-Mateen"/>
          <w:rtl/>
        </w:rPr>
        <w:t xml:space="preserve"> بـعـد الـمـائـة ]</w:t>
      </w:r>
    </w:p>
    <w:p w:rsidR="00C10469" w:rsidRDefault="00C10469">
      <w:pPr>
        <w:rPr>
          <w:rtl/>
        </w:rPr>
      </w:pPr>
      <w:r>
        <w:rPr>
          <w:rFonts w:cs="Monotype Koufi" w:hint="cs"/>
          <w:rtl/>
        </w:rPr>
        <w:t>الشَّهَادَةُ بِالمَجْهُولِ غَيْرُ صَحِيحَةٍ</w:t>
      </w:r>
      <w:r>
        <w:rPr>
          <w:rFonts w:hint="cs"/>
          <w:vertAlign w:val="superscript"/>
          <w:rtl/>
        </w:rPr>
        <w:t>(</w:t>
      </w:r>
      <w:r>
        <w:rPr>
          <w:rStyle w:val="a7"/>
          <w:rtl/>
        </w:rPr>
        <w:footnoteReference w:id="3135"/>
      </w:r>
      <w:r>
        <w:rPr>
          <w:rFonts w:hint="cs"/>
          <w:vertAlign w:val="superscript"/>
          <w:rtl/>
        </w:rPr>
        <w:t>)</w:t>
      </w:r>
      <w:r>
        <w:rPr>
          <w:rFonts w:hint="cs"/>
          <w:rtl/>
        </w:rPr>
        <w:t>:</w:t>
      </w:r>
    </w:p>
    <w:p w:rsidR="00C10469" w:rsidRDefault="00C10469">
      <w:pPr>
        <w:rPr>
          <w:rtl/>
        </w:rPr>
      </w:pPr>
      <w:r>
        <w:rPr>
          <w:rFonts w:hint="cs"/>
          <w:b/>
          <w:bCs/>
          <w:rtl/>
        </w:rPr>
        <w:t xml:space="preserve">واستثنى البعض </w:t>
      </w:r>
      <w:r>
        <w:rPr>
          <w:rFonts w:hint="cs"/>
          <w:rtl/>
        </w:rPr>
        <w:t>من هذا الأصل : ما إذا شهدوا أنّه كفل بنفسِ فلانٍ وقالوا : لا نعرفه : تُقبل</w:t>
      </w:r>
      <w:r>
        <w:rPr>
          <w:rFonts w:hint="cs"/>
          <w:vertAlign w:val="superscript"/>
          <w:rtl/>
        </w:rPr>
        <w:t>(</w:t>
      </w:r>
      <w:r>
        <w:rPr>
          <w:rStyle w:val="a7"/>
          <w:rtl/>
        </w:rPr>
        <w:footnoteReference w:id="3136"/>
      </w:r>
      <w:r>
        <w:rPr>
          <w:rFonts w:hint="cs"/>
          <w:vertAlign w:val="superscript"/>
          <w:rtl/>
        </w:rPr>
        <w:t>)</w:t>
      </w:r>
      <w:r>
        <w:rPr>
          <w:rFonts w:hint="cs"/>
          <w:rtl/>
        </w:rPr>
        <w:t>.</w:t>
      </w:r>
    </w:p>
    <w:p w:rsidR="00C10469" w:rsidRDefault="00C10469">
      <w:pPr>
        <w:rPr>
          <w:rtl/>
        </w:rPr>
      </w:pPr>
      <w:r>
        <w:rPr>
          <w:rFonts w:hint="cs"/>
          <w:b/>
          <w:bCs/>
          <w:rtl/>
        </w:rPr>
        <w:t xml:space="preserve">أقول : </w:t>
      </w:r>
      <w:r>
        <w:rPr>
          <w:rFonts w:hint="cs"/>
          <w:rtl/>
        </w:rPr>
        <w:t>الحق أنّ هذه المسألة ليست من هذا الباب؛ بل من باب:</w:t>
      </w:r>
      <w:r>
        <w:rPr>
          <w:rStyle w:val="a7"/>
          <w:rtl/>
        </w:rPr>
        <w:footnoteReference w:id="3137"/>
      </w:r>
      <w:r>
        <w:rPr>
          <w:rFonts w:hint="eastAsia"/>
          <w:rtl/>
        </w:rPr>
        <w:t>«</w:t>
      </w:r>
      <w:r>
        <w:rPr>
          <w:rFonts w:hint="cs"/>
          <w:rtl/>
        </w:rPr>
        <w:t>شهادة قاصرة يتمها غيرهم</w:t>
      </w:r>
      <w:r>
        <w:rPr>
          <w:rFonts w:hint="eastAsia"/>
          <w:rtl/>
        </w:rPr>
        <w:t>»</w:t>
      </w:r>
      <w:r>
        <w:rPr>
          <w:rFonts w:hint="cs"/>
          <w:vertAlign w:val="superscript"/>
          <w:rtl/>
        </w:rPr>
        <w:t xml:space="preserve"> (</w:t>
      </w:r>
      <w:r>
        <w:rPr>
          <w:rStyle w:val="a7"/>
          <w:rtl/>
        </w:rPr>
        <w:footnoteReference w:id="3138"/>
      </w:r>
      <w:r>
        <w:rPr>
          <w:rFonts w:hint="cs"/>
          <w:vertAlign w:val="superscript"/>
          <w:rtl/>
        </w:rPr>
        <w:t>)</w:t>
      </w:r>
      <w:r>
        <w:rPr>
          <w:rFonts w:hint="cs"/>
          <w:rtl/>
        </w:rPr>
        <w:t>؛ لأنّا نحتاج في مثل هذه الدعوى إلى إثبات [حُكْمَين]</w:t>
      </w:r>
      <w:r>
        <w:rPr>
          <w:rStyle w:val="a7"/>
          <w:rtl/>
        </w:rPr>
        <w:footnoteReference w:id="3139"/>
      </w:r>
      <w:r>
        <w:rPr>
          <w:rFonts w:hint="cs"/>
          <w:rtl/>
        </w:rPr>
        <w:t xml:space="preserve"> :</w:t>
      </w:r>
    </w:p>
    <w:p w:rsidR="00C10469" w:rsidRDefault="00C10469">
      <w:pPr>
        <w:rPr>
          <w:rtl/>
        </w:rPr>
      </w:pPr>
      <w:r>
        <w:rPr>
          <w:rFonts w:hint="cs"/>
          <w:b/>
          <w:bCs/>
          <w:rtl/>
        </w:rPr>
        <w:t>أحدهما</w:t>
      </w:r>
      <w:r>
        <w:rPr>
          <w:rFonts w:hint="cs"/>
          <w:rtl/>
        </w:rPr>
        <w:t xml:space="preserve"> : كون</w:t>
      </w:r>
      <w:r>
        <w:rPr>
          <w:rStyle w:val="a7"/>
          <w:rtl/>
        </w:rPr>
        <w:footnoteReference w:id="3140"/>
      </w:r>
      <w:r>
        <w:rPr>
          <w:rFonts w:hint="cs"/>
          <w:rtl/>
        </w:rPr>
        <w:t xml:space="preserve"> المقر كفيلاً بالشخص</w:t>
      </w:r>
      <w:r>
        <w:rPr>
          <w:rStyle w:val="a7"/>
          <w:rtl/>
        </w:rPr>
        <w:footnoteReference w:id="3141"/>
      </w:r>
      <w:r>
        <w:rPr>
          <w:rFonts w:hint="cs"/>
          <w:rtl/>
        </w:rPr>
        <w:t xml:space="preserve"> المسمى باسمٍ أقَرَّ به</w:t>
      </w:r>
      <w:r>
        <w:rPr>
          <w:rFonts w:hint="cs"/>
          <w:vertAlign w:val="superscript"/>
          <w:rtl/>
        </w:rPr>
        <w:t>(</w:t>
      </w:r>
      <w:r>
        <w:rPr>
          <w:rStyle w:val="a7"/>
          <w:rtl/>
        </w:rPr>
        <w:footnoteReference w:id="3142"/>
      </w:r>
      <w:r>
        <w:rPr>
          <w:rFonts w:hint="cs"/>
          <w:vertAlign w:val="superscript"/>
          <w:rtl/>
        </w:rPr>
        <w:t>)</w:t>
      </w:r>
      <w:r>
        <w:rPr>
          <w:rFonts w:hint="cs"/>
          <w:rtl/>
        </w:rPr>
        <w:t>.</w:t>
      </w:r>
    </w:p>
    <w:p w:rsidR="00C10469" w:rsidRDefault="00C10469">
      <w:pPr>
        <w:rPr>
          <w:rtl/>
        </w:rPr>
      </w:pPr>
      <w:r>
        <w:rPr>
          <w:rFonts w:hint="cs"/>
          <w:b/>
          <w:bCs/>
          <w:rtl/>
        </w:rPr>
        <w:t>والآخر</w:t>
      </w:r>
      <w:r>
        <w:rPr>
          <w:rFonts w:hint="cs"/>
          <w:rtl/>
        </w:rPr>
        <w:t xml:space="preserve"> : تعيين [الشخص]</w:t>
      </w:r>
      <w:r>
        <w:rPr>
          <w:rStyle w:val="a7"/>
          <w:rtl/>
        </w:rPr>
        <w:footnoteReference w:id="3143"/>
      </w:r>
      <w:r>
        <w:rPr>
          <w:rFonts w:hint="cs"/>
          <w:rtl/>
        </w:rPr>
        <w:t xml:space="preserve"> المذكور.</w:t>
      </w:r>
    </w:p>
    <w:p w:rsidR="00C10469" w:rsidRDefault="00C10469">
      <w:pPr>
        <w:rPr>
          <w:rtl/>
        </w:rPr>
      </w:pPr>
      <w:r>
        <w:rPr>
          <w:rFonts w:hint="cs"/>
          <w:rtl/>
        </w:rPr>
        <w:lastRenderedPageBreak/>
        <w:t>فلا فرق بـين أن يثـبت</w:t>
      </w:r>
      <w:r>
        <w:rPr>
          <w:rStyle w:val="a7"/>
          <w:rtl/>
        </w:rPr>
        <w:footnoteReference w:id="3144"/>
      </w:r>
      <w:r>
        <w:rPr>
          <w:rFonts w:hint="cs"/>
          <w:rtl/>
        </w:rPr>
        <w:t xml:space="preserve"> كلا الحكمين</w:t>
      </w:r>
      <w:r>
        <w:rPr>
          <w:rStyle w:val="a7"/>
          <w:rtl/>
        </w:rPr>
        <w:footnoteReference w:id="3145"/>
      </w:r>
      <w:r>
        <w:rPr>
          <w:rFonts w:hint="cs"/>
          <w:rtl/>
        </w:rPr>
        <w:t xml:space="preserve"> بشهادة فريق، أو فريقين؛ مثل : إن شهدوا</w:t>
      </w:r>
      <w:r>
        <w:rPr>
          <w:rStyle w:val="a7"/>
          <w:rtl/>
        </w:rPr>
        <w:footnoteReference w:id="3146"/>
      </w:r>
      <w:r>
        <w:rPr>
          <w:rFonts w:hint="cs"/>
          <w:rtl/>
        </w:rPr>
        <w:t xml:space="preserve"> على الاسم والنسب ولم يعرفا الرجل بعينه</w:t>
      </w:r>
      <w:r>
        <w:rPr>
          <w:rStyle w:val="a7"/>
          <w:rtl/>
        </w:rPr>
        <w:footnoteReference w:id="3147"/>
      </w:r>
      <w:r>
        <w:rPr>
          <w:rFonts w:hint="cs"/>
          <w:rtl/>
        </w:rPr>
        <w:t>، فشهدا آخران أنه المسمى بهذا الاسم : تقبل.</w:t>
      </w:r>
    </w:p>
    <w:p w:rsidR="00C10469" w:rsidRDefault="00C10469">
      <w:pPr>
        <w:rPr>
          <w:spacing w:val="-8"/>
          <w:rtl/>
        </w:rPr>
      </w:pPr>
      <w:r>
        <w:rPr>
          <w:rFonts w:hint="cs"/>
          <w:spacing w:val="-8"/>
          <w:rtl/>
        </w:rPr>
        <w:t>- كذا في الكتب</w:t>
      </w:r>
      <w:r>
        <w:rPr>
          <w:rStyle w:val="a7"/>
          <w:spacing w:val="-8"/>
          <w:rtl/>
        </w:rPr>
        <w:footnoteReference w:id="3148"/>
      </w:r>
      <w:r>
        <w:rPr>
          <w:rFonts w:hint="cs"/>
          <w:spacing w:val="-8"/>
          <w:rtl/>
        </w:rPr>
        <w:t xml:space="preserve"> المشهورة</w:t>
      </w:r>
      <w:r>
        <w:rPr>
          <w:rFonts w:hint="cs"/>
          <w:spacing w:val="-8"/>
          <w:vertAlign w:val="superscript"/>
          <w:rtl/>
        </w:rPr>
        <w:t>(</w:t>
      </w:r>
      <w:r>
        <w:rPr>
          <w:rStyle w:val="a7"/>
          <w:spacing w:val="-8"/>
          <w:rtl/>
        </w:rPr>
        <w:footnoteReference w:id="3149"/>
      </w:r>
      <w:r>
        <w:rPr>
          <w:rFonts w:hint="cs"/>
          <w:spacing w:val="-8"/>
          <w:vertAlign w:val="superscript"/>
          <w:rtl/>
        </w:rPr>
        <w:t>)</w:t>
      </w:r>
      <w:r>
        <w:rPr>
          <w:rFonts w:hint="cs"/>
          <w:spacing w:val="-8"/>
          <w:rtl/>
        </w:rPr>
        <w:t>- وسيأتي بعض فروع هذا الأصل -إن شاء الله</w:t>
      </w:r>
      <w:r>
        <w:rPr>
          <w:rFonts w:hint="cs"/>
          <w:spacing w:val="-8"/>
          <w:vertAlign w:val="superscript"/>
          <w:rtl/>
        </w:rPr>
        <w:t>(</w:t>
      </w:r>
      <w:r>
        <w:rPr>
          <w:rStyle w:val="a7"/>
          <w:spacing w:val="-8"/>
          <w:rtl/>
        </w:rPr>
        <w:footnoteReference w:id="3150"/>
      </w:r>
      <w:r>
        <w:rPr>
          <w:rFonts w:hint="cs"/>
          <w:spacing w:val="-8"/>
          <w:vertAlign w:val="superscript"/>
          <w:rtl/>
        </w:rPr>
        <w:t>)</w:t>
      </w:r>
      <w:r>
        <w:rPr>
          <w:rFonts w:hint="cs"/>
          <w:spacing w:val="-8"/>
          <w:rtl/>
        </w:rPr>
        <w:t>-.</w:t>
      </w:r>
    </w:p>
    <w:p w:rsidR="00C10469" w:rsidRPr="006F37C9" w:rsidRDefault="00C10469" w:rsidP="006F37C9">
      <w:pPr>
        <w:rPr>
          <w:spacing w:val="-8"/>
          <w:rtl/>
        </w:rPr>
      </w:pPr>
      <w:r w:rsidRPr="006F37C9">
        <w:rPr>
          <w:rFonts w:hint="cs"/>
          <w:b/>
          <w:bCs/>
          <w:spacing w:val="-8"/>
          <w:rtl/>
        </w:rPr>
        <w:t>وممّا يجب أن يُعلم في هذا الباب</w:t>
      </w:r>
      <w:r w:rsidRPr="006F37C9">
        <w:rPr>
          <w:rFonts w:hint="cs"/>
          <w:spacing w:val="-8"/>
          <w:rtl/>
        </w:rPr>
        <w:t xml:space="preserve"> : أن الشهادة بالمجهول إنما لا تصح</w:t>
      </w:r>
      <w:r w:rsidRPr="006F37C9">
        <w:rPr>
          <w:rStyle w:val="a7"/>
          <w:spacing w:val="-8"/>
          <w:rtl/>
        </w:rPr>
        <w:footnoteReference w:id="3151"/>
      </w:r>
      <w:r w:rsidRPr="006F37C9">
        <w:rPr>
          <w:rFonts w:hint="cs"/>
          <w:spacing w:val="-8"/>
          <w:rtl/>
        </w:rPr>
        <w:t xml:space="preserve"> إذا كانت الشهادة خالية عن الفائدة، وإلاّ تُقبل؛ كما إذا شهدوا</w:t>
      </w:r>
      <w:r w:rsidRPr="006F37C9">
        <w:rPr>
          <w:rStyle w:val="a7"/>
          <w:spacing w:val="-8"/>
          <w:rtl/>
        </w:rPr>
        <w:footnoteReference w:id="3152"/>
      </w:r>
      <w:r w:rsidRPr="006F37C9">
        <w:rPr>
          <w:rFonts w:hint="cs"/>
          <w:spacing w:val="-8"/>
          <w:rtl/>
        </w:rPr>
        <w:t xml:space="preserve"> برهنٍ لا يعرفونه، أو</w:t>
      </w:r>
      <w:r w:rsidR="006F37C9" w:rsidRPr="006F37C9">
        <w:rPr>
          <w:rFonts w:hint="cs"/>
          <w:spacing w:val="-8"/>
          <w:rtl/>
        </w:rPr>
        <w:t xml:space="preserve"> ب</w:t>
      </w:r>
      <w:r w:rsidRPr="006F37C9">
        <w:rPr>
          <w:rFonts w:hint="cs"/>
          <w:spacing w:val="-8"/>
          <w:rtl/>
        </w:rPr>
        <w:t>غصب</w:t>
      </w:r>
      <w:r w:rsidRPr="006F37C9">
        <w:rPr>
          <w:rStyle w:val="a7"/>
          <w:spacing w:val="-8"/>
          <w:rtl/>
        </w:rPr>
        <w:footnoteReference w:id="3153"/>
      </w:r>
      <w:r w:rsidRPr="006F37C9">
        <w:rPr>
          <w:rFonts w:hint="cs"/>
          <w:spacing w:val="-8"/>
          <w:rtl/>
        </w:rPr>
        <w:t xml:space="preserve"> شيء مجهول - كما في (الكافي)</w:t>
      </w:r>
      <w:r w:rsidRPr="006F37C9">
        <w:rPr>
          <w:rFonts w:hint="cs"/>
          <w:spacing w:val="-8"/>
          <w:vertAlign w:val="superscript"/>
          <w:rtl/>
        </w:rPr>
        <w:t>(</w:t>
      </w:r>
      <w:r w:rsidRPr="006F37C9">
        <w:rPr>
          <w:rStyle w:val="a7"/>
          <w:spacing w:val="-8"/>
          <w:rtl/>
        </w:rPr>
        <w:footnoteReference w:id="3154"/>
      </w:r>
      <w:r w:rsidRPr="006F37C9">
        <w:rPr>
          <w:rFonts w:hint="cs"/>
          <w:spacing w:val="-8"/>
          <w:vertAlign w:val="superscript"/>
          <w:rtl/>
        </w:rPr>
        <w:t>)</w:t>
      </w:r>
      <w:r w:rsidRPr="006F37C9">
        <w:rPr>
          <w:rFonts w:hint="cs"/>
          <w:spacing w:val="-8"/>
          <w:rtl/>
        </w:rPr>
        <w:t>-، والفائدة : وجوب الإجبار</w:t>
      </w:r>
      <w:r w:rsidRPr="006F37C9">
        <w:rPr>
          <w:rStyle w:val="a7"/>
          <w:spacing w:val="-8"/>
          <w:rtl/>
        </w:rPr>
        <w:footnoteReference w:id="3155"/>
      </w:r>
      <w:r w:rsidRPr="006F37C9">
        <w:rPr>
          <w:rFonts w:hint="cs"/>
          <w:spacing w:val="-8"/>
          <w:rtl/>
        </w:rPr>
        <w:t xml:space="preserve"> على البيان</w:t>
      </w:r>
      <w:r w:rsidRPr="006F37C9">
        <w:rPr>
          <w:rStyle w:val="a7"/>
          <w:spacing w:val="-8"/>
          <w:rtl/>
        </w:rPr>
        <w:footnoteReference w:id="3156"/>
      </w:r>
      <w:r w:rsidRPr="006F37C9">
        <w:rPr>
          <w:rFonts w:hint="cs"/>
          <w:spacing w:val="-8"/>
          <w:rtl/>
        </w:rPr>
        <w:t>.</w:t>
      </w:r>
    </w:p>
    <w:p w:rsidR="00C10469" w:rsidRDefault="00C10469" w:rsidP="006F37C9">
      <w:pPr>
        <w:rPr>
          <w:rtl/>
        </w:rPr>
      </w:pPr>
      <w:r>
        <w:rPr>
          <w:rFonts w:hint="cs"/>
          <w:rtl/>
        </w:rPr>
        <w:t>وبهذا التقرير بقي الأصل مطردًا.</w:t>
      </w: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0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817C5" w:rsidRDefault="00C10469">
      <w:pPr>
        <w:pStyle w:val="a9"/>
        <w:rPr>
          <w:rFonts w:cs="AL-Mateen"/>
          <w:rtl/>
        </w:rPr>
      </w:pPr>
      <w:r w:rsidRPr="008817C5">
        <w:rPr>
          <w:rFonts w:cs="AL-Mateen"/>
          <w:rtl/>
        </w:rPr>
        <w:lastRenderedPageBreak/>
        <w:t xml:space="preserve">[ الـقـاعـدة </w:t>
      </w:r>
      <w:r w:rsidRPr="008817C5">
        <w:rPr>
          <w:rFonts w:cs="AL-Mateen" w:hint="cs"/>
          <w:rtl/>
        </w:rPr>
        <w:t>الـخـمـسـون</w:t>
      </w:r>
      <w:r w:rsidRPr="008817C5">
        <w:rPr>
          <w:rFonts w:cs="AL-Mateen"/>
          <w:rtl/>
        </w:rPr>
        <w:t xml:space="preserve"> بـعـد الـمـائـة ]</w:t>
      </w:r>
    </w:p>
    <w:p w:rsidR="00C10469" w:rsidRDefault="00C10469">
      <w:pPr>
        <w:rPr>
          <w:rtl/>
        </w:rPr>
      </w:pPr>
      <w:r>
        <w:rPr>
          <w:rFonts w:cs="Monotype Koufi" w:hint="cs"/>
          <w:rtl/>
        </w:rPr>
        <w:t>شَهَادَةٌ قَاصِرَةٌ يُتِمُّهَا غَيْرُهُمْ : تُقْبَلُ</w:t>
      </w:r>
      <w:r>
        <w:rPr>
          <w:rFonts w:hint="cs"/>
          <w:vertAlign w:val="superscript"/>
          <w:rtl/>
        </w:rPr>
        <w:t>(</w:t>
      </w:r>
      <w:r>
        <w:rPr>
          <w:rStyle w:val="a7"/>
          <w:rtl/>
        </w:rPr>
        <w:footnoteReference w:id="3157"/>
      </w:r>
      <w:r>
        <w:rPr>
          <w:rFonts w:hint="cs"/>
          <w:vertAlign w:val="superscript"/>
          <w:rtl/>
        </w:rPr>
        <w:t>)</w:t>
      </w:r>
      <w:r>
        <w:rPr>
          <w:rFonts w:hint="cs"/>
          <w:rtl/>
        </w:rPr>
        <w:t xml:space="preserve"> :</w:t>
      </w:r>
    </w:p>
    <w:p w:rsidR="00C10469" w:rsidRDefault="00C10469" w:rsidP="00C10469">
      <w:pPr>
        <w:ind w:left="848" w:hanging="281"/>
        <w:rPr>
          <w:rtl/>
        </w:rPr>
      </w:pPr>
      <w:r>
        <w:rPr>
          <w:b/>
          <w:bCs/>
          <w:rtl/>
        </w:rPr>
        <w:t>•</w:t>
      </w:r>
      <w:r>
        <w:rPr>
          <w:rFonts w:hint="cs"/>
          <w:b/>
          <w:bCs/>
          <w:rtl/>
        </w:rPr>
        <w:t xml:space="preserve">  ولذا</w:t>
      </w:r>
      <w:r>
        <w:rPr>
          <w:rStyle w:val="a7"/>
          <w:rtl/>
        </w:rPr>
        <w:footnoteReference w:id="3158"/>
      </w:r>
      <w:r>
        <w:rPr>
          <w:rFonts w:hint="cs"/>
          <w:rtl/>
        </w:rPr>
        <w:t xml:space="preserve"> : </w:t>
      </w:r>
      <w:r>
        <w:rPr>
          <w:rFonts w:hint="eastAsia"/>
          <w:rtl/>
        </w:rPr>
        <w:t>«</w:t>
      </w:r>
      <w:r>
        <w:rPr>
          <w:rFonts w:hint="cs"/>
          <w:rtl/>
        </w:rPr>
        <w:t>إذا شهدا</w:t>
      </w:r>
      <w:r>
        <w:rPr>
          <w:rStyle w:val="a7"/>
          <w:rtl/>
        </w:rPr>
        <w:footnoteReference w:id="3159"/>
      </w:r>
      <w:r>
        <w:rPr>
          <w:rFonts w:hint="cs"/>
          <w:rtl/>
        </w:rPr>
        <w:t xml:space="preserve"> بدار</w:t>
      </w:r>
      <w:r>
        <w:rPr>
          <w:rStyle w:val="a7"/>
          <w:rtl/>
        </w:rPr>
        <w:footnoteReference w:id="3160"/>
      </w:r>
      <w:r>
        <w:rPr>
          <w:rFonts w:hint="cs"/>
          <w:rtl/>
        </w:rPr>
        <w:t xml:space="preserve"> بلا ذكر أنّها في يد الخصم، [فشهد]</w:t>
      </w:r>
      <w:r>
        <w:rPr>
          <w:rStyle w:val="a7"/>
          <w:rtl/>
        </w:rPr>
        <w:footnoteReference w:id="3161"/>
      </w:r>
      <w:r>
        <w:rPr>
          <w:rFonts w:hint="cs"/>
          <w:rtl/>
        </w:rPr>
        <w:t xml:space="preserve"> به آخران : فإنهما تقبلان؛ لأن الحاجة إلى الشهادة [لإثبات]</w:t>
      </w:r>
      <w:r>
        <w:rPr>
          <w:rStyle w:val="a7"/>
          <w:rtl/>
        </w:rPr>
        <w:footnoteReference w:id="3162"/>
      </w:r>
      <w:r>
        <w:rPr>
          <w:rFonts w:hint="cs"/>
          <w:rtl/>
        </w:rPr>
        <w:t xml:space="preserve"> يد المدعى عليه؛ حتى يصير خصمًا في إثبات الملك للمدعي. ولا فرق في ذلك بين أن يثبت كلا الحكمين</w:t>
      </w:r>
      <w:r>
        <w:rPr>
          <w:rStyle w:val="a7"/>
          <w:rtl/>
        </w:rPr>
        <w:footnoteReference w:id="3163"/>
      </w:r>
      <w:r>
        <w:rPr>
          <w:rFonts w:hint="cs"/>
          <w:rtl/>
        </w:rPr>
        <w:t xml:space="preserve"> بشهادة فريق واحد، أو فريقين</w:t>
      </w:r>
      <w:r>
        <w:rPr>
          <w:rFonts w:hint="eastAsia"/>
          <w:rtl/>
        </w:rPr>
        <w:t>»</w:t>
      </w:r>
      <w:r>
        <w:rPr>
          <w:rFonts w:hint="cs"/>
          <w:vertAlign w:val="superscript"/>
          <w:rtl/>
        </w:rPr>
        <w:t>(</w:t>
      </w:r>
      <w:r>
        <w:rPr>
          <w:rStyle w:val="a7"/>
          <w:rtl/>
        </w:rPr>
        <w:footnoteReference w:id="3164"/>
      </w:r>
      <w:r>
        <w:rPr>
          <w:rFonts w:hint="cs"/>
          <w:vertAlign w:val="superscript"/>
          <w:rtl/>
        </w:rPr>
        <w:t>)</w:t>
      </w:r>
      <w:r>
        <w:rPr>
          <w:rFonts w:hint="cs"/>
          <w:rtl/>
        </w:rPr>
        <w:t>.</w:t>
      </w:r>
    </w:p>
    <w:p w:rsidR="00C10469" w:rsidRDefault="00C10469" w:rsidP="00C10469">
      <w:pPr>
        <w:ind w:left="848" w:hanging="281"/>
        <w:rPr>
          <w:rtl/>
        </w:rPr>
      </w:pPr>
      <w:r>
        <w:rPr>
          <w:b/>
          <w:bCs/>
          <w:rtl/>
        </w:rPr>
        <w:t>•</w:t>
      </w:r>
      <w:r>
        <w:rPr>
          <w:rFonts w:hint="cs"/>
          <w:b/>
          <w:bCs/>
          <w:rtl/>
        </w:rPr>
        <w:t xml:space="preserve">  ومنها</w:t>
      </w:r>
      <w:r>
        <w:rPr>
          <w:rFonts w:hint="cs"/>
          <w:rtl/>
        </w:rPr>
        <w:t xml:space="preserve"> : </w:t>
      </w:r>
      <w:r>
        <w:rPr>
          <w:rFonts w:hint="eastAsia"/>
          <w:rtl/>
        </w:rPr>
        <w:t>«</w:t>
      </w:r>
      <w:r>
        <w:rPr>
          <w:rFonts w:hint="cs"/>
          <w:rtl/>
        </w:rPr>
        <w:t>لو شهدا بالملك في المحدود</w:t>
      </w:r>
      <w:r>
        <w:rPr>
          <w:rFonts w:hint="cs"/>
          <w:vertAlign w:val="superscript"/>
          <w:rtl/>
        </w:rPr>
        <w:t>(</w:t>
      </w:r>
      <w:r>
        <w:rPr>
          <w:rStyle w:val="a7"/>
          <w:rtl/>
        </w:rPr>
        <w:footnoteReference w:id="3165"/>
      </w:r>
      <w:r>
        <w:rPr>
          <w:rFonts w:hint="cs"/>
          <w:vertAlign w:val="superscript"/>
          <w:rtl/>
        </w:rPr>
        <w:t>)</w:t>
      </w:r>
      <w:r>
        <w:rPr>
          <w:rFonts w:hint="cs"/>
          <w:rtl/>
        </w:rPr>
        <w:t>، وآخران بالحدود : حيث يقبلان؛ لما ذكر</w:t>
      </w:r>
      <w:r>
        <w:rPr>
          <w:rFonts w:hint="eastAsia"/>
          <w:rtl/>
        </w:rPr>
        <w:t>»</w:t>
      </w:r>
      <w:r>
        <w:rPr>
          <w:rFonts w:hint="cs"/>
          <w:vertAlign w:val="superscript"/>
          <w:rtl/>
        </w:rPr>
        <w:t>(</w:t>
      </w:r>
      <w:r>
        <w:rPr>
          <w:rStyle w:val="a7"/>
          <w:rtl/>
        </w:rPr>
        <w:footnoteReference w:id="3166"/>
      </w:r>
      <w:r>
        <w:rPr>
          <w:rFonts w:hint="cs"/>
          <w:vertAlign w:val="superscript"/>
          <w:rtl/>
        </w:rPr>
        <w:t>)</w:t>
      </w:r>
      <w:r>
        <w:rPr>
          <w:rFonts w:hint="cs"/>
          <w:rtl/>
        </w:rPr>
        <w:t>.</w:t>
      </w:r>
    </w:p>
    <w:p w:rsidR="00C10469" w:rsidRDefault="00C10469" w:rsidP="00C10469">
      <w:pPr>
        <w:ind w:left="848" w:hanging="281"/>
        <w:rPr>
          <w:rtl/>
        </w:rPr>
        <w:sectPr w:rsidR="00C10469" w:rsidSect="00C10469">
          <w:headerReference w:type="default" r:id="rId20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b/>
          <w:bCs/>
          <w:spacing w:val="-6"/>
          <w:sz w:val="35"/>
          <w:szCs w:val="35"/>
          <w:rtl/>
        </w:rPr>
        <w:t>•</w:t>
      </w:r>
      <w:r>
        <w:rPr>
          <w:rFonts w:hint="cs"/>
          <w:b/>
          <w:bCs/>
          <w:spacing w:val="-6"/>
          <w:sz w:val="35"/>
          <w:szCs w:val="35"/>
          <w:rtl/>
        </w:rPr>
        <w:t xml:space="preserve">  ومنها</w:t>
      </w:r>
      <w:r>
        <w:rPr>
          <w:rFonts w:hint="cs"/>
          <w:spacing w:val="-6"/>
          <w:sz w:val="35"/>
          <w:szCs w:val="35"/>
          <w:rtl/>
        </w:rPr>
        <w:t xml:space="preserve"> : ما ذكر في الأصل المتقدم</w:t>
      </w:r>
      <w:r>
        <w:rPr>
          <w:rFonts w:hint="cs"/>
          <w:spacing w:val="-6"/>
          <w:vertAlign w:val="superscript"/>
          <w:rtl/>
        </w:rPr>
        <w:t>(</w:t>
      </w:r>
      <w:r>
        <w:rPr>
          <w:rStyle w:val="a7"/>
          <w:spacing w:val="-6"/>
          <w:rtl/>
        </w:rPr>
        <w:footnoteReference w:id="3167"/>
      </w:r>
      <w:r>
        <w:rPr>
          <w:rFonts w:hint="cs"/>
          <w:spacing w:val="-6"/>
          <w:vertAlign w:val="superscript"/>
          <w:rtl/>
        </w:rPr>
        <w:t>)</w:t>
      </w:r>
      <w:r>
        <w:rPr>
          <w:rFonts w:hint="cs"/>
          <w:spacing w:val="-6"/>
          <w:rtl/>
        </w:rPr>
        <w:t xml:space="preserve">. </w:t>
      </w:r>
      <w:r>
        <w:rPr>
          <w:rFonts w:hint="cs"/>
          <w:spacing w:val="-6"/>
          <w:sz w:val="35"/>
          <w:szCs w:val="35"/>
          <w:rtl/>
        </w:rPr>
        <w:t>وفيها</w:t>
      </w:r>
      <w:r>
        <w:rPr>
          <w:rStyle w:val="a7"/>
          <w:spacing w:val="-6"/>
          <w:rtl/>
        </w:rPr>
        <w:footnoteReference w:id="3168"/>
      </w:r>
      <w:r>
        <w:rPr>
          <w:rFonts w:hint="cs"/>
          <w:spacing w:val="-6"/>
          <w:rtl/>
        </w:rPr>
        <w:t xml:space="preserve"> </w:t>
      </w:r>
      <w:r>
        <w:rPr>
          <w:rFonts w:hint="cs"/>
          <w:spacing w:val="-6"/>
          <w:sz w:val="35"/>
          <w:szCs w:val="35"/>
          <w:rtl/>
        </w:rPr>
        <w:t>نظائر تُركتْ؛ احـترازًا عن التطويل.</w:t>
      </w:r>
      <w:r>
        <w:rPr>
          <w:rtl/>
        </w:rPr>
        <w:t xml:space="preserve"> </w:t>
      </w:r>
    </w:p>
    <w:p w:rsidR="00C10469" w:rsidRPr="00F25E30" w:rsidRDefault="00C10469">
      <w:pPr>
        <w:pStyle w:val="a9"/>
        <w:rPr>
          <w:rFonts w:cs="AL-Mateen"/>
          <w:rtl/>
        </w:rPr>
      </w:pPr>
      <w:r w:rsidRPr="00F25E30">
        <w:rPr>
          <w:rFonts w:cs="AL-Mateen"/>
          <w:rtl/>
        </w:rPr>
        <w:lastRenderedPageBreak/>
        <w:t>[ الـقـاعـدة الـ</w:t>
      </w:r>
      <w:r w:rsidRPr="00F25E30">
        <w:rPr>
          <w:rFonts w:cs="AL-Mateen" w:hint="cs"/>
          <w:rtl/>
        </w:rPr>
        <w:t>ح</w:t>
      </w:r>
      <w:r w:rsidRPr="00F25E30">
        <w:rPr>
          <w:rFonts w:cs="AL-Mateen"/>
          <w:rtl/>
        </w:rPr>
        <w:t>ـاد</w:t>
      </w:r>
      <w:r w:rsidRPr="00F25E30">
        <w:rPr>
          <w:rFonts w:cs="AL-Mateen" w:hint="cs"/>
          <w:rtl/>
        </w:rPr>
        <w:t>ي</w:t>
      </w:r>
      <w:r w:rsidRPr="00F25E30">
        <w:rPr>
          <w:rFonts w:cs="AL-Mateen"/>
          <w:rtl/>
        </w:rPr>
        <w:t xml:space="preserve">ـة </w:t>
      </w:r>
      <w:r w:rsidRPr="00F25E30">
        <w:rPr>
          <w:rFonts w:cs="AL-Mateen" w:hint="eastAsia"/>
          <w:rtl/>
        </w:rPr>
        <w:t>وال</w:t>
      </w:r>
      <w:r w:rsidRPr="00F25E30">
        <w:rPr>
          <w:rFonts w:cs="AL-Mateen" w:hint="cs"/>
          <w:rtl/>
        </w:rPr>
        <w:t>ـخـمـس</w:t>
      </w:r>
      <w:r w:rsidRPr="00F25E30">
        <w:rPr>
          <w:rFonts w:cs="AL-Mateen" w:hint="eastAsia"/>
          <w:rtl/>
        </w:rPr>
        <w:t>ـون</w:t>
      </w:r>
      <w:r w:rsidRPr="00F25E30">
        <w:rPr>
          <w:rFonts w:cs="AL-Mateen"/>
          <w:rtl/>
        </w:rPr>
        <w:t xml:space="preserve"> بـعـد الـمـائـة ]</w:t>
      </w:r>
    </w:p>
    <w:p w:rsidR="00C10469" w:rsidRDefault="00C10469">
      <w:pPr>
        <w:rPr>
          <w:rtl/>
        </w:rPr>
      </w:pPr>
      <w:r>
        <w:rPr>
          <w:rFonts w:cs="Monotype Koufi" w:hint="cs"/>
          <w:rtl/>
        </w:rPr>
        <w:t>الشَّيُء إِذَا ثَبَتَ ثَبَتَ</w:t>
      </w:r>
      <w:r>
        <w:rPr>
          <w:rStyle w:val="a7"/>
          <w:rtl/>
        </w:rPr>
        <w:footnoteReference w:id="3169"/>
      </w:r>
      <w:r>
        <w:rPr>
          <w:rFonts w:hint="cs"/>
          <w:rtl/>
        </w:rPr>
        <w:t xml:space="preserve"> </w:t>
      </w:r>
      <w:r>
        <w:rPr>
          <w:rFonts w:cs="Monotype Koufi" w:hint="cs"/>
          <w:rtl/>
        </w:rPr>
        <w:t>بِجَميعِ [لَوَازِمِهِ]</w:t>
      </w:r>
      <w:r>
        <w:rPr>
          <w:rFonts w:hint="cs"/>
          <w:vertAlign w:val="superscript"/>
          <w:rtl/>
        </w:rPr>
        <w:t>(</w:t>
      </w:r>
      <w:r>
        <w:rPr>
          <w:rStyle w:val="a7"/>
          <w:rtl/>
        </w:rPr>
        <w:footnoteReference w:id="3170"/>
      </w:r>
      <w:r>
        <w:rPr>
          <w:rFonts w:hint="cs"/>
          <w:vertAlign w:val="superscript"/>
          <w:rtl/>
        </w:rPr>
        <w:t>)</w:t>
      </w:r>
      <w:r>
        <w:rPr>
          <w:rFonts w:hint="cs"/>
          <w:rtl/>
        </w:rPr>
        <w:t xml:space="preserve"> :</w:t>
      </w:r>
    </w:p>
    <w:p w:rsidR="00C10469" w:rsidRDefault="00C10469">
      <w:pPr>
        <w:pStyle w:val="ab"/>
        <w:rPr>
          <w:rtl/>
        </w:rPr>
      </w:pPr>
      <w:r>
        <w:rPr>
          <w:rFonts w:hint="cs"/>
          <w:rtl/>
        </w:rPr>
        <w:t>يعني ثبت اقتضاءً. هذا ليس على إطلاقه؛ بل هو في موضع لا يتصور الانفكاك بين اللازم والملزوم، كما في اللزوم العقليّ.</w:t>
      </w:r>
    </w:p>
    <w:p w:rsidR="00C10469" w:rsidRDefault="00C10469">
      <w:pPr>
        <w:rPr>
          <w:rtl/>
        </w:rPr>
      </w:pPr>
      <w:r>
        <w:rPr>
          <w:rFonts w:hint="cs"/>
          <w:rtl/>
        </w:rPr>
        <w:t>فإذا ادعى دارًا في يد رجل أنها ملكه، وأنكر ذو اليد، وأقام البينةَ أن الدارَ دارُهُ اشتراهُ من زيد</w:t>
      </w:r>
      <w:r>
        <w:rPr>
          <w:rStyle w:val="a7"/>
          <w:rtl/>
        </w:rPr>
        <w:footnoteReference w:id="3171"/>
      </w:r>
      <w:r>
        <w:rPr>
          <w:rFonts w:hint="cs"/>
          <w:rtl/>
        </w:rPr>
        <w:t xml:space="preserve"> : فالقضـاءُ</w:t>
      </w:r>
      <w:r>
        <w:rPr>
          <w:rFonts w:hint="cs"/>
          <w:vertAlign w:val="superscript"/>
          <w:rtl/>
        </w:rPr>
        <w:t>(</w:t>
      </w:r>
      <w:r>
        <w:rPr>
          <w:rStyle w:val="a7"/>
          <w:rtl/>
        </w:rPr>
        <w:footnoteReference w:id="3172"/>
      </w:r>
      <w:r>
        <w:rPr>
          <w:rFonts w:hint="cs"/>
          <w:vertAlign w:val="superscript"/>
          <w:rtl/>
        </w:rPr>
        <w:t>)</w:t>
      </w:r>
      <w:r>
        <w:rPr>
          <w:rFonts w:hint="cs"/>
          <w:rtl/>
        </w:rPr>
        <w:t xml:space="preserve"> على الحـاضر قـضاءٌ على الغائـب؛ لأن مـا يـدَّعى على الغائب سبب لازم لما يدعى على الحاضر</w:t>
      </w:r>
      <w:r>
        <w:rPr>
          <w:rFonts w:hint="cs"/>
          <w:vertAlign w:val="superscript"/>
          <w:rtl/>
        </w:rPr>
        <w:t>(</w:t>
      </w:r>
      <w:r>
        <w:rPr>
          <w:rStyle w:val="a7"/>
          <w:rtl/>
        </w:rPr>
        <w:footnoteReference w:id="3173"/>
      </w:r>
      <w:r>
        <w:rPr>
          <w:rFonts w:hint="cs"/>
          <w:vertAlign w:val="superscript"/>
          <w:rtl/>
        </w:rPr>
        <w:t>)</w:t>
      </w:r>
      <w:r>
        <w:rPr>
          <w:rFonts w:hint="cs"/>
          <w:rtl/>
        </w:rPr>
        <w:t>، فإذا ثبت الملزوم ثبت اللازم. وإن حضر الغائب وأنكر البيـع : لا يُلـتفت إلى إنكاره؛ على مقتضى هذا الأصل</w:t>
      </w:r>
      <w:r>
        <w:rPr>
          <w:rFonts w:hint="cs"/>
          <w:vertAlign w:val="superscript"/>
          <w:rtl/>
        </w:rPr>
        <w:t>(</w:t>
      </w:r>
      <w:r>
        <w:rPr>
          <w:rStyle w:val="a7"/>
          <w:rtl/>
        </w:rPr>
        <w:footnoteReference w:id="3174"/>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 الأصل : ما قال أبو حنـيفة : لو علّق طلاقها</w:t>
      </w:r>
      <w:r>
        <w:rPr>
          <w:rStyle w:val="a7"/>
          <w:rtl/>
        </w:rPr>
        <w:footnoteReference w:id="3175"/>
      </w:r>
      <w:r>
        <w:rPr>
          <w:rFonts w:hint="cs"/>
          <w:rtl/>
        </w:rPr>
        <w:t xml:space="preserve"> [بولادتها]</w:t>
      </w:r>
      <w:r>
        <w:rPr>
          <w:rStyle w:val="a7"/>
          <w:rtl/>
        </w:rPr>
        <w:footnoteReference w:id="3176"/>
      </w:r>
      <w:r>
        <w:rPr>
          <w:rFonts w:hint="cs"/>
          <w:rtl/>
        </w:rPr>
        <w:t xml:space="preserve"> فشهدت امرأة بها</w:t>
      </w:r>
      <w:r>
        <w:rPr>
          <w:rFonts w:hint="cs"/>
          <w:vertAlign w:val="superscript"/>
          <w:rtl/>
        </w:rPr>
        <w:t>(</w:t>
      </w:r>
      <w:r>
        <w:rPr>
          <w:rStyle w:val="a7"/>
          <w:rtl/>
        </w:rPr>
        <w:footnoteReference w:id="3177"/>
      </w:r>
      <w:r>
        <w:rPr>
          <w:rFonts w:hint="cs"/>
          <w:vertAlign w:val="superscript"/>
          <w:rtl/>
        </w:rPr>
        <w:t>)</w:t>
      </w:r>
      <w:r>
        <w:rPr>
          <w:rFonts w:hint="cs"/>
          <w:rtl/>
        </w:rPr>
        <w:t xml:space="preserve"> : </w:t>
      </w:r>
    </w:p>
    <w:p w:rsidR="00C10469" w:rsidRDefault="00C10469">
      <w:pPr>
        <w:ind w:firstLine="0"/>
        <w:rPr>
          <w:rtl/>
        </w:rPr>
      </w:pPr>
      <w:r>
        <w:rPr>
          <w:rFonts w:hint="cs"/>
          <w:rtl/>
        </w:rPr>
        <w:lastRenderedPageBreak/>
        <w:t>لـم يـقـع الـطـلاق</w:t>
      </w:r>
      <w:r>
        <w:rPr>
          <w:rFonts w:hint="cs"/>
          <w:vertAlign w:val="superscript"/>
          <w:rtl/>
        </w:rPr>
        <w:t>(</w:t>
      </w:r>
      <w:r>
        <w:rPr>
          <w:rStyle w:val="a7"/>
          <w:rtl/>
        </w:rPr>
        <w:footnoteReference w:id="3178"/>
      </w:r>
      <w:r>
        <w:rPr>
          <w:rFonts w:hint="cs"/>
          <w:vertAlign w:val="superscript"/>
          <w:rtl/>
        </w:rPr>
        <w:t>)</w:t>
      </w:r>
      <w:r>
        <w:rPr>
          <w:rFonts w:hint="cs"/>
          <w:rtl/>
        </w:rPr>
        <w:t xml:space="preserve">. </w:t>
      </w:r>
    </w:p>
    <w:p w:rsidR="00C10469" w:rsidRDefault="00C10469" w:rsidP="00C10469">
      <w:pPr>
        <w:rPr>
          <w:rtl/>
        </w:rPr>
      </w:pPr>
      <w:r>
        <w:rPr>
          <w:rFonts w:hint="cs"/>
          <w:rtl/>
        </w:rPr>
        <w:t>مع</w:t>
      </w:r>
      <w:r>
        <w:rPr>
          <w:rStyle w:val="a7"/>
          <w:rtl/>
        </w:rPr>
        <w:footnoteReference w:id="3179"/>
      </w:r>
      <w:r>
        <w:rPr>
          <w:rFonts w:hint="cs"/>
          <w:rtl/>
        </w:rPr>
        <w:t xml:space="preserve"> أن الطلاق معلَّق بولادتها، والمعلق بالشيء لازم من لوازمه ولم يثبت</w:t>
      </w:r>
      <w:r>
        <w:rPr>
          <w:rStyle w:val="a7"/>
          <w:rtl/>
        </w:rPr>
        <w:footnoteReference w:id="3180"/>
      </w:r>
      <w:r>
        <w:rPr>
          <w:rFonts w:hint="cs"/>
          <w:rtl/>
        </w:rPr>
        <w:t xml:space="preserve"> !.</w:t>
      </w:r>
    </w:p>
    <w:p w:rsidR="00C10469" w:rsidRDefault="00C10469">
      <w:pPr>
        <w:rPr>
          <w:rtl/>
        </w:rPr>
      </w:pPr>
      <w:r>
        <w:rPr>
          <w:rFonts w:hint="cs"/>
          <w:b/>
          <w:bCs/>
          <w:rtl/>
        </w:rPr>
        <w:t>والجواب</w:t>
      </w:r>
      <w:r>
        <w:rPr>
          <w:rFonts w:hint="cs"/>
          <w:rtl/>
        </w:rPr>
        <w:t xml:space="preserve"> : أن الطلاق ليس ممّا لا يتصور انفكاكه عن الولادة؛ لأن كلاًّ منهما</w:t>
      </w:r>
      <w:r>
        <w:rPr>
          <w:rFonts w:hint="cs"/>
          <w:vertAlign w:val="superscript"/>
          <w:rtl/>
        </w:rPr>
        <w:t>(</w:t>
      </w:r>
      <w:r>
        <w:rPr>
          <w:rStyle w:val="a7"/>
          <w:rtl/>
        </w:rPr>
        <w:footnoteReference w:id="3181"/>
      </w:r>
      <w:r>
        <w:rPr>
          <w:rFonts w:hint="cs"/>
          <w:vertAlign w:val="superscript"/>
          <w:rtl/>
        </w:rPr>
        <w:t>)</w:t>
      </w:r>
      <w:r>
        <w:rPr>
          <w:rFonts w:hint="cs"/>
          <w:rtl/>
        </w:rPr>
        <w:t xml:space="preserve"> يوجد بدون الآخر، و[إنما]</w:t>
      </w:r>
      <w:r>
        <w:rPr>
          <w:rStyle w:val="a7"/>
          <w:rtl/>
        </w:rPr>
        <w:footnoteReference w:id="3182"/>
      </w:r>
      <w:r>
        <w:rPr>
          <w:rFonts w:hint="cs"/>
          <w:rtl/>
        </w:rPr>
        <w:t xml:space="preserve"> قيّدنا الأصل بعدم انفكاك اللازم عن الملزوم.</w:t>
      </w:r>
    </w:p>
    <w:p w:rsidR="00C10469" w:rsidRDefault="00C10469">
      <w:pPr>
        <w:rPr>
          <w:rtl/>
        </w:rPr>
      </w:pPr>
      <w:r>
        <w:rPr>
          <w:rFonts w:hint="cs"/>
          <w:rtl/>
        </w:rPr>
        <w:t xml:space="preserve">وأشار إليه صاحب (الهداية) بقوله : </w:t>
      </w:r>
      <w:r>
        <w:rPr>
          <w:rFonts w:hint="eastAsia"/>
          <w:rtl/>
        </w:rPr>
        <w:t>«</w:t>
      </w:r>
      <w:r>
        <w:rPr>
          <w:rFonts w:hint="cs"/>
          <w:rtl/>
        </w:rPr>
        <w:t>الطلاق [ينفك]</w:t>
      </w:r>
      <w:r>
        <w:rPr>
          <w:rStyle w:val="a7"/>
          <w:rtl/>
        </w:rPr>
        <w:footnoteReference w:id="3183"/>
      </w:r>
      <w:r>
        <w:rPr>
          <w:rFonts w:hint="cs"/>
          <w:rtl/>
        </w:rPr>
        <w:t xml:space="preserve"> عنها</w:t>
      </w:r>
      <w:r>
        <w:rPr>
          <w:rFonts w:hint="eastAsia"/>
          <w:rtl/>
        </w:rPr>
        <w:t>»</w:t>
      </w:r>
      <w:r>
        <w:rPr>
          <w:rFonts w:hint="cs"/>
          <w:vertAlign w:val="superscript"/>
          <w:rtl/>
        </w:rPr>
        <w:t>(</w:t>
      </w:r>
      <w:r>
        <w:rPr>
          <w:rStyle w:val="a7"/>
          <w:rtl/>
        </w:rPr>
        <w:footnoteReference w:id="3184"/>
      </w:r>
      <w:r>
        <w:rPr>
          <w:rFonts w:hint="cs"/>
          <w:vertAlign w:val="superscript"/>
          <w:rtl/>
        </w:rPr>
        <w:t>)</w:t>
      </w:r>
      <w:r>
        <w:rPr>
          <w:rFonts w:hint="cs"/>
          <w:rtl/>
        </w:rPr>
        <w:t>.</w:t>
      </w:r>
    </w:p>
    <w:p w:rsidR="00C10469" w:rsidRDefault="00C10469">
      <w:pPr>
        <w:rPr>
          <w:rtl/>
        </w:rPr>
      </w:pPr>
      <w:r>
        <w:rPr>
          <w:rFonts w:hint="cs"/>
          <w:rtl/>
        </w:rPr>
        <w:t>ولها نظائر قد ذكرنا بعضها في باب الألف</w:t>
      </w:r>
      <w:r>
        <w:rPr>
          <w:rFonts w:hint="cs"/>
          <w:vertAlign w:val="superscript"/>
          <w:rtl/>
        </w:rPr>
        <w:t>(</w:t>
      </w:r>
      <w:r>
        <w:rPr>
          <w:rStyle w:val="a7"/>
          <w:rtl/>
        </w:rPr>
        <w:footnoteReference w:id="3185"/>
      </w:r>
      <w:r>
        <w:rPr>
          <w:rFonts w:hint="cs"/>
          <w:vertAlign w:val="superscript"/>
          <w:rtl/>
        </w:rPr>
        <w:t>)</w:t>
      </w:r>
      <w:r>
        <w:rPr>
          <w:rFonts w:hint="cs"/>
          <w:rtl/>
        </w:rPr>
        <w:t>، وتركنا بعضها في هذه الجريدة؛ اكتفاء بهذا القيد.</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20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6E5F39" w:rsidRDefault="00C10469">
      <w:pPr>
        <w:pStyle w:val="a9"/>
        <w:rPr>
          <w:rFonts w:cs="AL-Mateen"/>
          <w:rtl/>
        </w:rPr>
      </w:pPr>
      <w:r w:rsidRPr="006E5F39">
        <w:rPr>
          <w:rFonts w:cs="AL-Mateen"/>
          <w:rtl/>
        </w:rPr>
        <w:lastRenderedPageBreak/>
        <w:t>[ الـقـاعـدة الـ</w:t>
      </w:r>
      <w:r w:rsidRPr="006E5F39">
        <w:rPr>
          <w:rFonts w:cs="AL-Mateen" w:hint="cs"/>
          <w:rtl/>
        </w:rPr>
        <w:t>ث</w:t>
      </w:r>
      <w:r w:rsidRPr="006E5F39">
        <w:rPr>
          <w:rFonts w:cs="AL-Mateen"/>
          <w:rtl/>
        </w:rPr>
        <w:t>ـا</w:t>
      </w:r>
      <w:r w:rsidRPr="006E5F39">
        <w:rPr>
          <w:rFonts w:cs="AL-Mateen" w:hint="cs"/>
          <w:rtl/>
        </w:rPr>
        <w:t>ن</w:t>
      </w:r>
      <w:r w:rsidRPr="006E5F39">
        <w:rPr>
          <w:rFonts w:cs="AL-Mateen"/>
          <w:rtl/>
        </w:rPr>
        <w:t>ـ</w:t>
      </w:r>
      <w:r w:rsidRPr="006E5F39">
        <w:rPr>
          <w:rFonts w:cs="AL-Mateen" w:hint="cs"/>
          <w:rtl/>
        </w:rPr>
        <w:t>يـ</w:t>
      </w:r>
      <w:r w:rsidRPr="006E5F39">
        <w:rPr>
          <w:rFonts w:cs="AL-Mateen"/>
          <w:rtl/>
        </w:rPr>
        <w:t>ة والـخـمـسـون بـعـد الـمـائـ</w:t>
      </w:r>
      <w:r w:rsidRPr="006E5F39">
        <w:rPr>
          <w:rFonts w:cs="AL-Mateen" w:hint="cs"/>
          <w:rtl/>
        </w:rPr>
        <w:t>ة</w:t>
      </w:r>
      <w:r w:rsidRPr="006E5F39">
        <w:rPr>
          <w:rFonts w:cs="AL-Mateen"/>
          <w:rtl/>
        </w:rPr>
        <w:t xml:space="preserve"> ]</w:t>
      </w:r>
    </w:p>
    <w:p w:rsidR="00C10469" w:rsidRDefault="00C10469">
      <w:pPr>
        <w:rPr>
          <w:rtl/>
        </w:rPr>
      </w:pPr>
      <w:r>
        <w:rPr>
          <w:rFonts w:cs="Monotype Koufi" w:hint="cs"/>
          <w:rtl/>
        </w:rPr>
        <w:t>الشَّيءُ إِنَّمَا يُلْحَقُ بِغَيْرِهِ إِذَا تَسَاوَيَا مِنْ جَمِيعِ الوُجُوهِ</w:t>
      </w:r>
      <w:r>
        <w:rPr>
          <w:rFonts w:hint="cs"/>
          <w:vertAlign w:val="superscript"/>
          <w:rtl/>
        </w:rPr>
        <w:t>(</w:t>
      </w:r>
      <w:r>
        <w:rPr>
          <w:rStyle w:val="a7"/>
          <w:rtl/>
        </w:rPr>
        <w:footnoteReference w:id="3186"/>
      </w:r>
      <w:r>
        <w:rPr>
          <w:rFonts w:hint="cs"/>
          <w:vertAlign w:val="superscript"/>
          <w:rtl/>
        </w:rPr>
        <w:t>)</w:t>
      </w:r>
      <w:r>
        <w:rPr>
          <w:rFonts w:hint="cs"/>
          <w:rtl/>
        </w:rPr>
        <w:t xml:space="preserve"> :</w:t>
      </w:r>
    </w:p>
    <w:p w:rsidR="00C10469" w:rsidRDefault="00C10469">
      <w:r>
        <w:rPr>
          <w:rFonts w:hint="cs"/>
          <w:rtl/>
        </w:rPr>
        <w:t>اعلم أن التسـاوي فـي جـمـيع الوجوه إنما يـكون شـرطًا للإلحاق إذا</w:t>
      </w:r>
    </w:p>
    <w:p w:rsidR="00C10469" w:rsidRDefault="00C10469">
      <w:pPr>
        <w:ind w:firstLine="0"/>
        <w:rPr>
          <w:spacing w:val="-4"/>
          <w:rtl/>
        </w:rPr>
      </w:pPr>
      <w:r>
        <w:rPr>
          <w:rFonts w:hint="cs"/>
          <w:spacing w:val="-4"/>
          <w:rtl/>
        </w:rPr>
        <w:lastRenderedPageBreak/>
        <w:t>لم يكن في الحكم مناط</w:t>
      </w:r>
      <w:r>
        <w:rPr>
          <w:rStyle w:val="a7"/>
          <w:spacing w:val="-4"/>
          <w:rtl/>
        </w:rPr>
        <w:footnoteReference w:id="3187"/>
      </w:r>
      <w:r>
        <w:rPr>
          <w:rFonts w:hint="cs"/>
          <w:spacing w:val="-4"/>
          <w:rtl/>
        </w:rPr>
        <w:t xml:space="preserve"> (أي : [علة]</w:t>
      </w:r>
      <w:r>
        <w:rPr>
          <w:rFonts w:hint="cs"/>
          <w:spacing w:val="-4"/>
          <w:vertAlign w:val="superscript"/>
          <w:rtl/>
        </w:rPr>
        <w:t>(</w:t>
      </w:r>
      <w:r>
        <w:rPr>
          <w:rStyle w:val="a7"/>
          <w:spacing w:val="-4"/>
          <w:rtl/>
        </w:rPr>
        <w:footnoteReference w:id="3188"/>
      </w:r>
      <w:r>
        <w:rPr>
          <w:rFonts w:hint="cs"/>
          <w:spacing w:val="-4"/>
          <w:vertAlign w:val="superscript"/>
          <w:rtl/>
        </w:rPr>
        <w:t>)</w:t>
      </w:r>
      <w:r>
        <w:rPr>
          <w:rFonts w:hint="cs"/>
          <w:spacing w:val="-4"/>
          <w:rtl/>
        </w:rPr>
        <w:t xml:space="preserve">) يتعلّق به الحكم؛ </w:t>
      </w:r>
      <w:r>
        <w:rPr>
          <w:rFonts w:hint="eastAsia"/>
          <w:spacing w:val="-4"/>
          <w:rtl/>
        </w:rPr>
        <w:t>«</w:t>
      </w:r>
      <w:r>
        <w:rPr>
          <w:rFonts w:hint="cs"/>
          <w:spacing w:val="-4"/>
          <w:rtl/>
        </w:rPr>
        <w:t>لأن ما لا</w:t>
      </w:r>
      <w:r>
        <w:rPr>
          <w:rStyle w:val="a7"/>
          <w:spacing w:val="-4"/>
          <w:rtl/>
        </w:rPr>
        <w:footnoteReference w:id="3189"/>
      </w:r>
      <w:r>
        <w:rPr>
          <w:rFonts w:hint="cs"/>
          <w:spacing w:val="-4"/>
          <w:rtl/>
        </w:rPr>
        <w:t xml:space="preserve"> يدركُ بالرأي</w:t>
      </w:r>
      <w:r>
        <w:rPr>
          <w:rFonts w:hint="cs"/>
          <w:spacing w:val="-4"/>
          <w:vertAlign w:val="superscript"/>
          <w:rtl/>
        </w:rPr>
        <w:t>(</w:t>
      </w:r>
      <w:r>
        <w:rPr>
          <w:rStyle w:val="a7"/>
          <w:spacing w:val="-4"/>
          <w:rtl/>
        </w:rPr>
        <w:footnoteReference w:id="3190"/>
      </w:r>
      <w:r>
        <w:rPr>
          <w:rFonts w:hint="cs"/>
          <w:spacing w:val="-4"/>
          <w:vertAlign w:val="superscript"/>
          <w:rtl/>
        </w:rPr>
        <w:t>)</w:t>
      </w:r>
      <w:r>
        <w:rPr>
          <w:rFonts w:hint="cs"/>
          <w:spacing w:val="-4"/>
          <w:rtl/>
        </w:rPr>
        <w:t xml:space="preserve"> لا يمكن تعديته</w:t>
      </w:r>
      <w:r>
        <w:rPr>
          <w:rFonts w:hint="eastAsia"/>
          <w:spacing w:val="-4"/>
          <w:rtl/>
        </w:rPr>
        <w:t>»</w:t>
      </w:r>
      <w:r>
        <w:rPr>
          <w:rFonts w:hint="cs"/>
          <w:spacing w:val="-4"/>
          <w:vertAlign w:val="superscript"/>
          <w:rtl/>
        </w:rPr>
        <w:t>(</w:t>
      </w:r>
      <w:r>
        <w:rPr>
          <w:rStyle w:val="a7"/>
          <w:spacing w:val="-4"/>
          <w:rtl/>
        </w:rPr>
        <w:footnoteReference w:id="3191"/>
      </w:r>
      <w:r>
        <w:rPr>
          <w:rFonts w:hint="cs"/>
          <w:spacing w:val="-4"/>
          <w:vertAlign w:val="superscript"/>
          <w:rtl/>
        </w:rPr>
        <w:t>)</w:t>
      </w:r>
      <w:r>
        <w:rPr>
          <w:rFonts w:hint="cs"/>
          <w:spacing w:val="-4"/>
          <w:rtl/>
        </w:rPr>
        <w:t>، كقضاء سنة الفجر في ليلة التعريس</w:t>
      </w:r>
      <w:r>
        <w:rPr>
          <w:rFonts w:hint="cs"/>
          <w:spacing w:val="-4"/>
          <w:vertAlign w:val="superscript"/>
          <w:rtl/>
        </w:rPr>
        <w:t>(</w:t>
      </w:r>
      <w:r>
        <w:rPr>
          <w:rStyle w:val="a7"/>
          <w:spacing w:val="-4"/>
          <w:rtl/>
        </w:rPr>
        <w:footnoteReference w:id="3192"/>
      </w:r>
      <w:r>
        <w:rPr>
          <w:rFonts w:hint="cs"/>
          <w:spacing w:val="-4"/>
          <w:vertAlign w:val="superscript"/>
          <w:rtl/>
        </w:rPr>
        <w:t>)</w:t>
      </w:r>
      <w:r>
        <w:rPr>
          <w:rFonts w:hint="cs"/>
          <w:spacing w:val="-4"/>
          <w:rtl/>
        </w:rPr>
        <w:t xml:space="preserve"> قبل الزوال على خلاف القياس لا يتعدى إلى سُنن</w:t>
      </w:r>
      <w:r>
        <w:rPr>
          <w:rStyle w:val="a7"/>
          <w:spacing w:val="-4"/>
          <w:rtl/>
        </w:rPr>
        <w:footnoteReference w:id="3193"/>
      </w:r>
      <w:r>
        <w:rPr>
          <w:rFonts w:hint="cs"/>
          <w:spacing w:val="-4"/>
          <w:rtl/>
        </w:rPr>
        <w:t xml:space="preserve"> غير الفجر، وبعد الزوال</w:t>
      </w:r>
      <w:r>
        <w:rPr>
          <w:rFonts w:hint="cs"/>
          <w:spacing w:val="-4"/>
          <w:vertAlign w:val="superscript"/>
          <w:rtl/>
        </w:rPr>
        <w:t>(</w:t>
      </w:r>
      <w:r>
        <w:rPr>
          <w:rStyle w:val="a7"/>
          <w:spacing w:val="-4"/>
          <w:rtl/>
        </w:rPr>
        <w:footnoteReference w:id="3194"/>
      </w:r>
      <w:r>
        <w:rPr>
          <w:rFonts w:hint="cs"/>
          <w:spacing w:val="-4"/>
          <w:vertAlign w:val="superscript"/>
          <w:rtl/>
        </w:rPr>
        <w:t>)</w:t>
      </w:r>
      <w:r>
        <w:rPr>
          <w:rFonts w:hint="cs"/>
          <w:spacing w:val="-4"/>
          <w:rtl/>
        </w:rPr>
        <w:t>؛ بل يقتصر في</w:t>
      </w:r>
      <w:r>
        <w:rPr>
          <w:rStyle w:val="a7"/>
          <w:spacing w:val="-4"/>
          <w:rtl/>
        </w:rPr>
        <w:footnoteReference w:id="3195"/>
      </w:r>
      <w:r>
        <w:rPr>
          <w:rFonts w:hint="cs"/>
          <w:spacing w:val="-4"/>
          <w:rtl/>
        </w:rPr>
        <w:t xml:space="preserve"> </w:t>
      </w:r>
      <w:r>
        <w:rPr>
          <w:rFonts w:hint="cs"/>
          <w:spacing w:val="-4"/>
          <w:rtl/>
        </w:rPr>
        <w:lastRenderedPageBreak/>
        <w:t>مورده</w:t>
      </w:r>
      <w:r>
        <w:rPr>
          <w:rFonts w:hint="cs"/>
          <w:spacing w:val="-4"/>
          <w:vertAlign w:val="superscript"/>
          <w:rtl/>
        </w:rPr>
        <w:t>(</w:t>
      </w:r>
      <w:r>
        <w:rPr>
          <w:rStyle w:val="a7"/>
          <w:spacing w:val="-4"/>
          <w:rtl/>
        </w:rPr>
        <w:footnoteReference w:id="3196"/>
      </w:r>
      <w:r>
        <w:rPr>
          <w:rFonts w:hint="cs"/>
          <w:spacing w:val="-4"/>
          <w:vertAlign w:val="superscript"/>
          <w:rtl/>
        </w:rPr>
        <w:t>)</w:t>
      </w:r>
      <w:r>
        <w:rPr>
          <w:rFonts w:hint="cs"/>
          <w:spacing w:val="-4"/>
          <w:rtl/>
        </w:rPr>
        <w:t>.</w:t>
      </w:r>
    </w:p>
    <w:p w:rsidR="00C10469" w:rsidRDefault="00C10469" w:rsidP="00C10469">
      <w:pPr>
        <w:rPr>
          <w:spacing w:val="-6"/>
          <w:rtl/>
        </w:rPr>
      </w:pPr>
      <w:r>
        <w:rPr>
          <w:rFonts w:hint="eastAsia"/>
          <w:spacing w:val="-6"/>
          <w:rtl/>
        </w:rPr>
        <w:t>«</w:t>
      </w:r>
      <w:r>
        <w:rPr>
          <w:rFonts w:hint="cs"/>
          <w:spacing w:val="-6"/>
          <w:rtl/>
        </w:rPr>
        <w:t>إلا إذا كان غيره في [معناه]</w:t>
      </w:r>
      <w:r>
        <w:rPr>
          <w:rStyle w:val="a7"/>
          <w:spacing w:val="-6"/>
          <w:rtl/>
        </w:rPr>
        <w:footnoteReference w:id="3197"/>
      </w:r>
      <w:r>
        <w:rPr>
          <w:rFonts w:hint="cs"/>
          <w:spacing w:val="-6"/>
          <w:rtl/>
        </w:rPr>
        <w:t xml:space="preserve"> من كلّ وجه؛ بحيث يعلم يقينًا أنهما لا يفترقان إلاّ في الاسم</w:t>
      </w:r>
      <w:r>
        <w:rPr>
          <w:rFonts w:hint="eastAsia"/>
          <w:spacing w:val="-6"/>
          <w:rtl/>
        </w:rPr>
        <w:t>»</w:t>
      </w:r>
      <w:r>
        <w:rPr>
          <w:rFonts w:hint="cs"/>
          <w:spacing w:val="-6"/>
          <w:vertAlign w:val="superscript"/>
          <w:rtl/>
        </w:rPr>
        <w:t>(</w:t>
      </w:r>
      <w:r>
        <w:rPr>
          <w:rStyle w:val="a7"/>
          <w:spacing w:val="-6"/>
          <w:rtl/>
        </w:rPr>
        <w:footnoteReference w:id="3198"/>
      </w:r>
      <w:r>
        <w:rPr>
          <w:rFonts w:hint="cs"/>
          <w:spacing w:val="-6"/>
          <w:vertAlign w:val="superscript"/>
          <w:rtl/>
        </w:rPr>
        <w:t>)</w:t>
      </w:r>
      <w:r>
        <w:rPr>
          <w:rFonts w:hint="cs"/>
          <w:spacing w:val="-6"/>
          <w:rtl/>
        </w:rPr>
        <w:t>، فالحكم حينئذ</w:t>
      </w:r>
      <w:r>
        <w:rPr>
          <w:rStyle w:val="a7"/>
          <w:spacing w:val="-6"/>
          <w:rtl/>
        </w:rPr>
        <w:footnoteReference w:id="3199"/>
      </w:r>
      <w:r>
        <w:rPr>
          <w:rFonts w:hint="cs"/>
          <w:spacing w:val="-6"/>
          <w:rtl/>
        </w:rPr>
        <w:t xml:space="preserve"> يثبت</w:t>
      </w:r>
      <w:r>
        <w:rPr>
          <w:rStyle w:val="a7"/>
          <w:spacing w:val="-6"/>
          <w:rtl/>
        </w:rPr>
        <w:footnoteReference w:id="3200"/>
      </w:r>
      <w:r>
        <w:rPr>
          <w:rFonts w:hint="cs"/>
          <w:spacing w:val="-6"/>
          <w:rtl/>
        </w:rPr>
        <w:t xml:space="preserve"> بدلالة النص لا بالقياس؛ لأن ورود النص في أحدهما ورودٌ</w:t>
      </w:r>
      <w:r>
        <w:rPr>
          <w:rStyle w:val="a7"/>
          <w:spacing w:val="-6"/>
          <w:rtl/>
        </w:rPr>
        <w:footnoteReference w:id="3201"/>
      </w:r>
      <w:r>
        <w:rPr>
          <w:rFonts w:hint="cs"/>
          <w:spacing w:val="-6"/>
          <w:rtl/>
        </w:rPr>
        <w:t xml:space="preserve"> في حقِّ الآخر؛ لأن التساوي في جميع الوجوه جعلهما</w:t>
      </w:r>
      <w:r>
        <w:rPr>
          <w:rStyle w:val="a7"/>
          <w:spacing w:val="-6"/>
          <w:rtl/>
        </w:rPr>
        <w:footnoteReference w:id="3202"/>
      </w:r>
      <w:r>
        <w:rPr>
          <w:rFonts w:hint="cs"/>
          <w:spacing w:val="-6"/>
          <w:rtl/>
        </w:rPr>
        <w:t xml:space="preserve"> كشيء واحد</w:t>
      </w:r>
      <w:r>
        <w:rPr>
          <w:rFonts w:hint="cs"/>
          <w:spacing w:val="-6"/>
          <w:vertAlign w:val="superscript"/>
          <w:rtl/>
        </w:rPr>
        <w:t>(</w:t>
      </w:r>
      <w:r>
        <w:rPr>
          <w:rStyle w:val="a7"/>
          <w:spacing w:val="-6"/>
          <w:rtl/>
        </w:rPr>
        <w:footnoteReference w:id="3203"/>
      </w:r>
      <w:r>
        <w:rPr>
          <w:rFonts w:hint="cs"/>
          <w:spacing w:val="-6"/>
          <w:vertAlign w:val="superscript"/>
          <w:rtl/>
        </w:rPr>
        <w:t>)</w:t>
      </w:r>
      <w:r>
        <w:rPr>
          <w:rFonts w:hint="cs"/>
          <w:spacing w:val="-6"/>
          <w:rtl/>
        </w:rPr>
        <w:t>.</w:t>
      </w:r>
    </w:p>
    <w:p w:rsidR="00C10469" w:rsidRDefault="00C10469" w:rsidP="00C10469">
      <w:pPr>
        <w:spacing w:line="216" w:lineRule="auto"/>
        <w:ind w:firstLine="0"/>
        <w:rPr>
          <w:rtl/>
        </w:rPr>
      </w:pPr>
      <w:r>
        <w:rPr>
          <w:rFonts w:hint="cs"/>
          <w:rtl/>
        </w:rPr>
        <w:tab/>
        <w:t xml:space="preserve">ولهذا: ورود النّص في القيء والرعاف، وهـو قـولـه </w:t>
      </w:r>
      <w:r>
        <w:rPr>
          <w:rFonts w:ascii="AGA Arabesque" w:hAnsi="AGA Arabesque"/>
          <w:sz w:val="36"/>
        </w:rPr>
        <w:t></w:t>
      </w:r>
      <w:r>
        <w:rPr>
          <w:rFonts w:hint="cs"/>
          <w:rtl/>
        </w:rPr>
        <w:t xml:space="preserve"> : </w:t>
      </w:r>
      <w:r>
        <w:rPr>
          <w:rFonts w:hint="eastAsia"/>
          <w:rtl/>
        </w:rPr>
        <w:t>«</w:t>
      </w:r>
      <w:r>
        <w:rPr>
          <w:rFonts w:cs="DecoType Naskh" w:hint="cs"/>
          <w:sz w:val="36"/>
          <w:rtl/>
        </w:rPr>
        <w:t>مَنْ قَاءَ أو رَعَفَ في صلاتِهِ فلينصـرِفْ وليتوضَّأْ، و[ليبْنِ]</w:t>
      </w:r>
      <w:r>
        <w:rPr>
          <w:rStyle w:val="a7"/>
          <w:rFonts w:cs="DecoType Naskh"/>
          <w:rtl/>
        </w:rPr>
        <w:footnoteReference w:id="3204"/>
      </w:r>
      <w:r>
        <w:rPr>
          <w:rFonts w:cs="DecoType Naskh" w:hint="cs"/>
          <w:rtl/>
        </w:rPr>
        <w:t xml:space="preserve"> </w:t>
      </w:r>
      <w:r>
        <w:rPr>
          <w:rFonts w:cs="DecoType Naskh" w:hint="cs"/>
          <w:sz w:val="36"/>
          <w:rtl/>
        </w:rPr>
        <w:t>على صلاتِهِ، ما لم يتكلّمْ</w:t>
      </w:r>
      <w:r>
        <w:rPr>
          <w:rFonts w:hint="eastAsia"/>
          <w:rtl/>
        </w:rPr>
        <w:t>»</w:t>
      </w:r>
      <w:r>
        <w:rPr>
          <w:rFonts w:hint="cs"/>
          <w:vertAlign w:val="superscript"/>
          <w:rtl/>
        </w:rPr>
        <w:t>(</w:t>
      </w:r>
      <w:r>
        <w:rPr>
          <w:rStyle w:val="a7"/>
          <w:rtl/>
        </w:rPr>
        <w:footnoteReference w:id="3205"/>
      </w:r>
      <w:r>
        <w:rPr>
          <w:rFonts w:hint="cs"/>
          <w:vertAlign w:val="superscript"/>
          <w:rtl/>
        </w:rPr>
        <w:t>)</w:t>
      </w:r>
      <w:r>
        <w:rPr>
          <w:rFonts w:hint="cs"/>
          <w:rtl/>
        </w:rPr>
        <w:t xml:space="preserve"> كـورودِهِ في</w:t>
      </w:r>
    </w:p>
    <w:p w:rsidR="00C10469" w:rsidRDefault="00C10469">
      <w:pPr>
        <w:ind w:firstLine="0"/>
        <w:rPr>
          <w:rtl/>
        </w:rPr>
      </w:pPr>
      <w:r>
        <w:rPr>
          <w:rFonts w:hint="cs"/>
          <w:rtl/>
        </w:rPr>
        <w:lastRenderedPageBreak/>
        <w:t>الفصد</w:t>
      </w:r>
      <w:r>
        <w:rPr>
          <w:rFonts w:hint="cs"/>
          <w:vertAlign w:val="superscript"/>
          <w:rtl/>
        </w:rPr>
        <w:t>(</w:t>
      </w:r>
      <w:r>
        <w:rPr>
          <w:rStyle w:val="a7"/>
          <w:rtl/>
        </w:rPr>
        <w:footnoteReference w:id="3206"/>
      </w:r>
      <w:r>
        <w:rPr>
          <w:rFonts w:hint="cs"/>
          <w:vertAlign w:val="superscript"/>
          <w:rtl/>
        </w:rPr>
        <w:t>)</w:t>
      </w:r>
      <w:r>
        <w:rPr>
          <w:rFonts w:hint="cs"/>
          <w:rtl/>
        </w:rPr>
        <w:t xml:space="preserve"> والحجامة والجراحة وغيرها</w:t>
      </w:r>
      <w:r>
        <w:rPr>
          <w:rFonts w:hint="cs"/>
          <w:vertAlign w:val="superscript"/>
          <w:rtl/>
        </w:rPr>
        <w:t>(</w:t>
      </w:r>
      <w:r>
        <w:rPr>
          <w:rStyle w:val="a7"/>
          <w:rtl/>
        </w:rPr>
        <w:footnoteReference w:id="3207"/>
      </w:r>
      <w:r>
        <w:rPr>
          <w:rFonts w:hint="cs"/>
          <w:vertAlign w:val="superscript"/>
          <w:rtl/>
        </w:rPr>
        <w:t>)</w:t>
      </w:r>
      <w:r>
        <w:rPr>
          <w:rFonts w:hint="cs"/>
          <w:rtl/>
        </w:rPr>
        <w:t>.</w:t>
      </w:r>
    </w:p>
    <w:p w:rsidR="00C10469" w:rsidRDefault="00C10469">
      <w:pPr>
        <w:rPr>
          <w:rtl/>
        </w:rPr>
      </w:pPr>
      <w:r>
        <w:rPr>
          <w:rFonts w:hint="cs"/>
          <w:rtl/>
        </w:rPr>
        <w:t>وأما إذا كان في الحكم مناط فالحكم يدور عليه؛ كجواز السَّلم في [المذروعات]</w:t>
      </w:r>
      <w:r>
        <w:rPr>
          <w:rStyle w:val="a7"/>
          <w:rtl/>
        </w:rPr>
        <w:footnoteReference w:id="3208"/>
      </w:r>
      <w:r>
        <w:rPr>
          <w:rFonts w:hint="cs"/>
          <w:rtl/>
        </w:rPr>
        <w:t xml:space="preserve"> بالقـياس عـلى الـموزونات والـمكيلات مع تفاوتهما فيما هو أعظم التفاوت، وهو كون المذروع</w:t>
      </w:r>
      <w:r>
        <w:rPr>
          <w:rStyle w:val="a7"/>
          <w:rtl/>
        </w:rPr>
        <w:footnoteReference w:id="3209"/>
      </w:r>
      <w:r>
        <w:rPr>
          <w:rFonts w:hint="cs"/>
          <w:rtl/>
        </w:rPr>
        <w:t xml:space="preserve"> قِيمِيًّا وهـما مثـليّـان؛ لأن فيه مناط الحكم [وهو]</w:t>
      </w:r>
      <w:r>
        <w:rPr>
          <w:rStyle w:val="a7"/>
          <w:rtl/>
        </w:rPr>
        <w:footnoteReference w:id="3210"/>
      </w:r>
      <w:r>
        <w:rPr>
          <w:rFonts w:hint="cs"/>
          <w:rtl/>
        </w:rPr>
        <w:t xml:space="preserve"> ضبط الصفة ومعرفة المقدار؛ لدفع</w:t>
      </w:r>
      <w:r>
        <w:rPr>
          <w:rStyle w:val="a7"/>
          <w:rtl/>
        </w:rPr>
        <w:footnoteReference w:id="3211"/>
      </w:r>
      <w:r>
        <w:rPr>
          <w:rFonts w:hint="cs"/>
          <w:rtl/>
        </w:rPr>
        <w:t xml:space="preserve"> النزاع، فجاز إلحاق المذروعات</w:t>
      </w:r>
      <w:r>
        <w:rPr>
          <w:rStyle w:val="a7"/>
          <w:rtl/>
        </w:rPr>
        <w:footnoteReference w:id="3212"/>
      </w:r>
      <w:r>
        <w:rPr>
          <w:rFonts w:hint="cs"/>
          <w:rtl/>
        </w:rPr>
        <w:t xml:space="preserve"> [بالموزونات]</w:t>
      </w:r>
      <w:r>
        <w:rPr>
          <w:rStyle w:val="a7"/>
          <w:rtl/>
        </w:rPr>
        <w:footnoteReference w:id="3213"/>
      </w:r>
      <w:r>
        <w:rPr>
          <w:rFonts w:hint="cs"/>
          <w:rtl/>
        </w:rPr>
        <w:t xml:space="preserve"> والمكيلات؛ لحصول المقصود بذلك</w:t>
      </w:r>
      <w:r>
        <w:rPr>
          <w:rFonts w:hint="cs"/>
          <w:vertAlign w:val="superscript"/>
          <w:rtl/>
        </w:rPr>
        <w:t>(</w:t>
      </w:r>
      <w:r>
        <w:rPr>
          <w:rStyle w:val="a7"/>
          <w:rtl/>
        </w:rPr>
        <w:footnoteReference w:id="3214"/>
      </w:r>
      <w:r>
        <w:rPr>
          <w:rFonts w:hint="cs"/>
          <w:vertAlign w:val="superscript"/>
          <w:rtl/>
        </w:rPr>
        <w:t>)</w:t>
      </w:r>
      <w:r>
        <w:rPr>
          <w:rFonts w:hint="cs"/>
          <w:rtl/>
        </w:rPr>
        <w:t>.</w:t>
      </w:r>
    </w:p>
    <w:p w:rsidR="00C10469" w:rsidRDefault="00C10469">
      <w:pPr>
        <w:rPr>
          <w:rtl/>
        </w:rPr>
      </w:pPr>
      <w:r>
        <w:rPr>
          <w:rFonts w:hint="cs"/>
          <w:rtl/>
        </w:rPr>
        <w:t>وفيه بحث طويل [الذَّيل]</w:t>
      </w:r>
      <w:r>
        <w:rPr>
          <w:rStyle w:val="a7"/>
          <w:rtl/>
        </w:rPr>
        <w:footnoteReference w:id="3215"/>
      </w:r>
      <w:r>
        <w:rPr>
          <w:rFonts w:hint="cs"/>
          <w:rtl/>
        </w:rPr>
        <w:t>، لا يليق [بهذا]</w:t>
      </w:r>
      <w:r>
        <w:rPr>
          <w:rStyle w:val="a7"/>
          <w:rtl/>
        </w:rPr>
        <w:footnoteReference w:id="3216"/>
      </w:r>
      <w:r>
        <w:rPr>
          <w:rFonts w:hint="cs"/>
          <w:rtl/>
        </w:rPr>
        <w:t xml:space="preserve"> المختصر، فمن أراد التفصيل فليراجع في كتب الأصول، في باب (القياس)</w:t>
      </w:r>
      <w:r>
        <w:rPr>
          <w:rFonts w:hint="cs"/>
          <w:vertAlign w:val="superscript"/>
          <w:rtl/>
        </w:rPr>
        <w:t>(</w:t>
      </w:r>
      <w:r>
        <w:rPr>
          <w:rStyle w:val="a7"/>
          <w:rtl/>
        </w:rPr>
        <w:footnoteReference w:id="3217"/>
      </w:r>
      <w:r>
        <w:rPr>
          <w:rFonts w:hint="cs"/>
          <w:vertAlign w:val="superscript"/>
          <w:rtl/>
        </w:rPr>
        <w:t>)</w:t>
      </w:r>
      <w:r>
        <w:rPr>
          <w:rFonts w:hint="cs"/>
          <w:rtl/>
        </w:rPr>
        <w:t>.</w:t>
      </w:r>
    </w:p>
    <w:p w:rsidR="00C10469" w:rsidRDefault="00C10469">
      <w:pPr>
        <w:ind w:firstLine="0"/>
        <w:rPr>
          <w:rtl/>
        </w:rPr>
        <w:sectPr w:rsidR="00C10469" w:rsidSect="00C10469">
          <w:headerReference w:type="default" r:id="rId20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83F14" w:rsidRDefault="00C10469">
      <w:pPr>
        <w:pStyle w:val="a9"/>
        <w:rPr>
          <w:rFonts w:cs="AL-Mateen"/>
          <w:rtl/>
        </w:rPr>
      </w:pPr>
      <w:r w:rsidRPr="00683F14">
        <w:rPr>
          <w:rFonts w:cs="AL-Mateen" w:hint="cs"/>
          <w:rtl/>
        </w:rPr>
        <w:lastRenderedPageBreak/>
        <w:t>[ الـقـاعـدة الـثـالـثـة والـخـمـسـون بـعـد الـمـائـة ]</w:t>
      </w:r>
    </w:p>
    <w:p w:rsidR="00C10469" w:rsidRDefault="00C10469">
      <w:pPr>
        <w:rPr>
          <w:rtl/>
        </w:rPr>
      </w:pPr>
      <w:r>
        <w:rPr>
          <w:rFonts w:cs="Monotype Koufi" w:hint="cs"/>
          <w:rtl/>
        </w:rPr>
        <w:t>[الصَّرِيْحُ]</w:t>
      </w:r>
      <w:r>
        <w:rPr>
          <w:rStyle w:val="a7"/>
          <w:rtl/>
        </w:rPr>
        <w:footnoteReference w:id="3218"/>
      </w:r>
      <w:r>
        <w:rPr>
          <w:rFonts w:hint="cs"/>
          <w:rtl/>
        </w:rPr>
        <w:t xml:space="preserve"> </w:t>
      </w:r>
      <w:r>
        <w:rPr>
          <w:rFonts w:cs="Monotype Koufi" w:hint="cs"/>
          <w:rtl/>
        </w:rPr>
        <w:t>يُفَوِّتُ</w:t>
      </w:r>
      <w:r>
        <w:rPr>
          <w:rStyle w:val="a7"/>
          <w:rtl/>
        </w:rPr>
        <w:footnoteReference w:id="3219"/>
      </w:r>
      <w:r>
        <w:rPr>
          <w:rFonts w:hint="cs"/>
          <w:rtl/>
        </w:rPr>
        <w:t xml:space="preserve"> </w:t>
      </w:r>
      <w:r>
        <w:rPr>
          <w:rFonts w:cs="Monotype Koufi" w:hint="cs"/>
          <w:rtl/>
        </w:rPr>
        <w:t>الدَّلاَلَةَ</w:t>
      </w:r>
      <w:r>
        <w:rPr>
          <w:rFonts w:hint="cs"/>
          <w:vertAlign w:val="superscript"/>
          <w:rtl/>
        </w:rPr>
        <w:t>(</w:t>
      </w:r>
      <w:r>
        <w:rPr>
          <w:rStyle w:val="a7"/>
          <w:rtl/>
        </w:rPr>
        <w:footnoteReference w:id="3220"/>
      </w:r>
      <w:r>
        <w:rPr>
          <w:rFonts w:hint="cs"/>
          <w:vertAlign w:val="superscript"/>
          <w:rtl/>
        </w:rPr>
        <w:t>)</w:t>
      </w:r>
      <w:r>
        <w:rPr>
          <w:rFonts w:hint="cs"/>
          <w:rtl/>
        </w:rPr>
        <w:t xml:space="preserve"> :</w:t>
      </w:r>
    </w:p>
    <w:p w:rsidR="00C10469" w:rsidRDefault="00C10469">
      <w:pPr>
        <w:rPr>
          <w:rtl/>
        </w:rPr>
      </w:pPr>
      <w:r>
        <w:rPr>
          <w:rFonts w:hint="cs"/>
          <w:rtl/>
        </w:rPr>
        <w:lastRenderedPageBreak/>
        <w:t>فإذا ادعى اثنان شراء عبد من آخر ولم يؤرخا : يحكم لذي اليد</w:t>
      </w:r>
      <w:r>
        <w:rPr>
          <w:rStyle w:val="a7"/>
          <w:rtl/>
        </w:rPr>
        <w:footnoteReference w:id="3221"/>
      </w:r>
      <w:r>
        <w:rPr>
          <w:rFonts w:hint="cs"/>
          <w:rtl/>
        </w:rPr>
        <w:t>؛ لأن اليد دلت على سبق الشراء</w:t>
      </w:r>
      <w:r>
        <w:rPr>
          <w:rStyle w:val="a7"/>
          <w:rtl/>
        </w:rPr>
        <w:footnoteReference w:id="3222"/>
      </w:r>
      <w:r>
        <w:rPr>
          <w:rFonts w:hint="cs"/>
          <w:rtl/>
        </w:rPr>
        <w:t xml:space="preserve"> -على ما مر تحقيقه في باب الألف في بيان : </w:t>
      </w:r>
      <w:r>
        <w:rPr>
          <w:rFonts w:hint="eastAsia"/>
          <w:rtl/>
        </w:rPr>
        <w:t>«</w:t>
      </w:r>
      <w:r>
        <w:rPr>
          <w:rFonts w:hint="cs"/>
          <w:rtl/>
        </w:rPr>
        <w:t>الأصل إضافة الحادث إلى أقرب أوقاته</w:t>
      </w:r>
      <w:r>
        <w:rPr>
          <w:rFonts w:hint="eastAsia"/>
          <w:rtl/>
        </w:rPr>
        <w:t>»</w:t>
      </w:r>
      <w:r>
        <w:rPr>
          <w:rFonts w:hint="cs"/>
          <w:vertAlign w:val="superscript"/>
          <w:rtl/>
        </w:rPr>
        <w:t>(</w:t>
      </w:r>
      <w:r>
        <w:rPr>
          <w:rStyle w:val="a7"/>
          <w:rtl/>
        </w:rPr>
        <w:footnoteReference w:id="3223"/>
      </w:r>
      <w:r>
        <w:rPr>
          <w:rFonts w:hint="cs"/>
          <w:vertAlign w:val="superscript"/>
          <w:rtl/>
        </w:rPr>
        <w:t>)</w:t>
      </w:r>
      <w:r>
        <w:rPr>
          <w:rFonts w:hint="cs"/>
          <w:rtl/>
        </w:rPr>
        <w:t>-.</w:t>
      </w:r>
    </w:p>
    <w:p w:rsidR="00C10469" w:rsidRDefault="00C10469">
      <w:pPr>
        <w:rPr>
          <w:rtl/>
        </w:rPr>
      </w:pPr>
      <w:r>
        <w:rPr>
          <w:rFonts w:hint="cs"/>
          <w:rtl/>
        </w:rPr>
        <w:t>فإن شهدَ شهودُ الخارجِ أنَّ شراءه قبل شراء صاحب اليد : يحكم للخارج؛ لأن سبق الشراء في المسألة الأولى ثـابـت بدلالة اليد، وفي الثانية بشهادة الشهود بالتصريح، فيرجّح</w:t>
      </w:r>
      <w:r>
        <w:rPr>
          <w:rFonts w:hint="cs"/>
          <w:vertAlign w:val="superscript"/>
          <w:rtl/>
        </w:rPr>
        <w:t>(</w:t>
      </w:r>
      <w:r>
        <w:rPr>
          <w:rStyle w:val="a7"/>
          <w:rtl/>
        </w:rPr>
        <w:footnoteReference w:id="3224"/>
      </w:r>
      <w:r>
        <w:rPr>
          <w:rFonts w:hint="cs"/>
          <w:vertAlign w:val="superscript"/>
          <w:rtl/>
        </w:rPr>
        <w:t>)</w:t>
      </w:r>
      <w:r>
        <w:rPr>
          <w:rFonts w:hint="cs"/>
          <w:rtl/>
        </w:rPr>
        <w:t>.</w:t>
      </w:r>
    </w:p>
    <w:p w:rsidR="00C10469" w:rsidRDefault="00C10469">
      <w:pPr>
        <w:rPr>
          <w:rtl/>
        </w:rPr>
      </w:pPr>
      <w:r>
        <w:rPr>
          <w:rFonts w:hint="cs"/>
          <w:rtl/>
        </w:rPr>
        <w:t>وفروع هذا الأصل ممّا لا يكاد إحصاؤه.</w:t>
      </w:r>
    </w:p>
    <w:p w:rsidR="00C10469" w:rsidRDefault="00C10469">
      <w:pPr>
        <w:rPr>
          <w:rtl/>
        </w:rPr>
      </w:pPr>
      <w:r>
        <w:rPr>
          <w:rFonts w:hint="cs"/>
          <w:b/>
          <w:bCs/>
          <w:rtl/>
        </w:rPr>
        <w:t>وخرج</w:t>
      </w:r>
      <w:r>
        <w:rPr>
          <w:rFonts w:hint="cs"/>
          <w:rtl/>
        </w:rPr>
        <w:t xml:space="preserve"> عن هذا الأصل مسائل : </w:t>
      </w:r>
    </w:p>
    <w:p w:rsidR="00C10469" w:rsidRDefault="00C10469" w:rsidP="00C10469">
      <w:pPr>
        <w:ind w:left="848" w:hanging="281"/>
        <w:rPr>
          <w:spacing w:val="-8"/>
          <w:rtl/>
        </w:rPr>
      </w:pPr>
      <w:r>
        <w:rPr>
          <w:b/>
          <w:bCs/>
          <w:spacing w:val="-8"/>
          <w:rtl/>
        </w:rPr>
        <w:t>•</w:t>
      </w:r>
      <w:r>
        <w:rPr>
          <w:rFonts w:hint="cs"/>
          <w:b/>
          <w:bCs/>
          <w:spacing w:val="-8"/>
          <w:rtl/>
        </w:rPr>
        <w:t xml:space="preserve">  ومنها</w:t>
      </w:r>
      <w:r>
        <w:rPr>
          <w:rStyle w:val="a7"/>
          <w:spacing w:val="-8"/>
          <w:rtl/>
        </w:rPr>
        <w:footnoteReference w:id="3225"/>
      </w:r>
      <w:r>
        <w:rPr>
          <w:rFonts w:hint="cs"/>
          <w:spacing w:val="-8"/>
          <w:rtl/>
        </w:rPr>
        <w:t xml:space="preserve"> : لو طلّق حاملاً منكرًا وطأها، فراجعها، فجاءت بولد لأقل من ستة أشهر: صحّت الرّجعة؛ لأن الولادة لأقل من ستة أشهر من وقت الطلاق</w:t>
      </w:r>
      <w:r>
        <w:rPr>
          <w:rStyle w:val="a7"/>
          <w:spacing w:val="-8"/>
          <w:rtl/>
        </w:rPr>
        <w:footnoteReference w:id="3226"/>
      </w:r>
      <w:r>
        <w:rPr>
          <w:rFonts w:hint="cs"/>
          <w:spacing w:val="-8"/>
          <w:rtl/>
        </w:rPr>
        <w:t xml:space="preserve"> يدل</w:t>
      </w:r>
      <w:r>
        <w:rPr>
          <w:rFonts w:hint="cs"/>
          <w:spacing w:val="-8"/>
          <w:vertAlign w:val="superscript"/>
          <w:rtl/>
        </w:rPr>
        <w:t>(</w:t>
      </w:r>
      <w:r>
        <w:rPr>
          <w:rStyle w:val="a7"/>
          <w:spacing w:val="-8"/>
          <w:rtl/>
        </w:rPr>
        <w:footnoteReference w:id="3227"/>
      </w:r>
      <w:r>
        <w:rPr>
          <w:rFonts w:hint="cs"/>
          <w:spacing w:val="-8"/>
          <w:vertAlign w:val="superscript"/>
          <w:rtl/>
        </w:rPr>
        <w:t>)</w:t>
      </w:r>
      <w:r>
        <w:rPr>
          <w:rFonts w:hint="cs"/>
          <w:spacing w:val="-8"/>
          <w:rtl/>
        </w:rPr>
        <w:t xml:space="preserve"> على وجود الحمل وقت الطلاق، فلا عبرة لإنكاره الوطء؛ لأن الشرع </w:t>
      </w:r>
      <w:r>
        <w:rPr>
          <w:rFonts w:hint="cs"/>
          <w:spacing w:val="-8"/>
          <w:rtl/>
        </w:rPr>
        <w:lastRenderedPageBreak/>
        <w:t>كذَّبه بجعل الولد للفراش، ويحكم النسب له</w:t>
      </w:r>
      <w:r>
        <w:rPr>
          <w:rFonts w:hint="cs"/>
          <w:spacing w:val="-8"/>
          <w:vertAlign w:val="superscript"/>
          <w:rtl/>
        </w:rPr>
        <w:t>(</w:t>
      </w:r>
      <w:r>
        <w:rPr>
          <w:rStyle w:val="a7"/>
          <w:spacing w:val="-8"/>
          <w:rtl/>
        </w:rPr>
        <w:footnoteReference w:id="3228"/>
      </w:r>
      <w:r>
        <w:rPr>
          <w:rFonts w:hint="cs"/>
          <w:spacing w:val="-8"/>
          <w:vertAlign w:val="superscript"/>
          <w:rtl/>
        </w:rPr>
        <w:t>)</w:t>
      </w:r>
      <w:r>
        <w:rPr>
          <w:rFonts w:hint="cs"/>
          <w:spacing w:val="-8"/>
          <w:rtl/>
        </w:rPr>
        <w:t>.</w:t>
      </w:r>
    </w:p>
    <w:p w:rsidR="00C10469" w:rsidRDefault="00C10469" w:rsidP="00C10469">
      <w:pPr>
        <w:ind w:left="567" w:firstLine="564"/>
        <w:rPr>
          <w:rtl/>
        </w:rPr>
      </w:pPr>
      <w:r>
        <w:rPr>
          <w:rFonts w:hint="cs"/>
          <w:rtl/>
        </w:rPr>
        <w:t>فعلى هذا : قول الزوج : لم أجامعها. صريح في عدم الجماع، وثبوت النسب دليل على وجوده، ومع هذا اعتبر الدليل ولم يعتبر الصّريح</w:t>
      </w:r>
      <w:r>
        <w:rPr>
          <w:rFonts w:hint="cs"/>
          <w:vertAlign w:val="superscript"/>
          <w:rtl/>
        </w:rPr>
        <w:t>(</w:t>
      </w:r>
      <w:r>
        <w:rPr>
          <w:rStyle w:val="a7"/>
          <w:rtl/>
        </w:rPr>
        <w:footnoteReference w:id="3229"/>
      </w:r>
      <w:r>
        <w:rPr>
          <w:rFonts w:hint="cs"/>
          <w:vertAlign w:val="superscript"/>
          <w:rtl/>
        </w:rPr>
        <w:t>)</w:t>
      </w:r>
      <w:r>
        <w:rPr>
          <w:rFonts w:hint="cs"/>
          <w:rtl/>
        </w:rPr>
        <w:t>.</w:t>
      </w:r>
    </w:p>
    <w:p w:rsidR="00C10469" w:rsidRDefault="00C10469" w:rsidP="00C10469">
      <w:pPr>
        <w:ind w:left="848" w:hanging="281"/>
        <w:rPr>
          <w:rtl/>
        </w:rPr>
      </w:pPr>
      <w:r>
        <w:rPr>
          <w:b/>
          <w:bCs/>
          <w:rtl/>
        </w:rPr>
        <w:t>•</w:t>
      </w:r>
      <w:r>
        <w:rPr>
          <w:rFonts w:hint="cs"/>
          <w:b/>
          <w:bCs/>
          <w:rtl/>
        </w:rPr>
        <w:t xml:space="preserve">  ومنها</w:t>
      </w:r>
      <w:r>
        <w:rPr>
          <w:rFonts w:hint="cs"/>
          <w:rtl/>
        </w:rPr>
        <w:t xml:space="preserve"> : أنه طلق امرأته التي ولدت قبل الطلاق منكرًا وطأها، فراجعها: صحت بالدليل المذكور في المسألة الأولى</w:t>
      </w:r>
      <w:r>
        <w:rPr>
          <w:rFonts w:hint="cs"/>
          <w:vertAlign w:val="superscript"/>
          <w:rtl/>
        </w:rPr>
        <w:t>(</w:t>
      </w:r>
      <w:r>
        <w:rPr>
          <w:rStyle w:val="a7"/>
          <w:rtl/>
        </w:rPr>
        <w:footnoteReference w:id="3230"/>
      </w:r>
      <w:r>
        <w:rPr>
          <w:rFonts w:hint="cs"/>
          <w:vertAlign w:val="superscript"/>
          <w:rtl/>
        </w:rPr>
        <w:t>)(</w:t>
      </w:r>
      <w:r>
        <w:rPr>
          <w:rStyle w:val="a7"/>
          <w:rtl/>
        </w:rPr>
        <w:footnoteReference w:id="3231"/>
      </w:r>
      <w:r>
        <w:rPr>
          <w:rFonts w:hint="cs"/>
          <w:vertAlign w:val="superscript"/>
          <w:rtl/>
        </w:rPr>
        <w:t>)</w:t>
      </w:r>
      <w:r>
        <w:rPr>
          <w:rFonts w:hint="cs"/>
          <w:rtl/>
        </w:rPr>
        <w:t>.</w:t>
      </w:r>
    </w:p>
    <w:p w:rsidR="00C10469" w:rsidRDefault="00C10469" w:rsidP="00C10469">
      <w:pPr>
        <w:ind w:left="848" w:firstLine="0"/>
        <w:rPr>
          <w:rtl/>
        </w:rPr>
      </w:pPr>
      <w:r>
        <w:rPr>
          <w:rFonts w:hint="cs"/>
          <w:b/>
          <w:bCs/>
          <w:rtl/>
        </w:rPr>
        <w:t>والجواب</w:t>
      </w:r>
      <w:r>
        <w:rPr>
          <w:rFonts w:hint="cs"/>
          <w:rtl/>
        </w:rPr>
        <w:t xml:space="preserve"> : أن الدلالة من الشارع أقوى من</w:t>
      </w:r>
      <w:r>
        <w:rPr>
          <w:rStyle w:val="a7"/>
          <w:rtl/>
        </w:rPr>
        <w:footnoteReference w:id="3232"/>
      </w:r>
      <w:r>
        <w:rPr>
          <w:rFonts w:hint="cs"/>
          <w:rtl/>
        </w:rPr>
        <w:t xml:space="preserve"> الصّريح الصادر من العبد؛ لاحتمال الكذب منه دون الشارع</w:t>
      </w:r>
      <w:r>
        <w:rPr>
          <w:rFonts w:hint="cs"/>
          <w:vertAlign w:val="superscript"/>
          <w:rtl/>
        </w:rPr>
        <w:t>(</w:t>
      </w:r>
      <w:r>
        <w:rPr>
          <w:rStyle w:val="a7"/>
          <w:rtl/>
        </w:rPr>
        <w:footnoteReference w:id="3233"/>
      </w:r>
      <w:r>
        <w:rPr>
          <w:rFonts w:hint="cs"/>
          <w:vertAlign w:val="superscript"/>
          <w:rtl/>
        </w:rPr>
        <w:t>)</w:t>
      </w:r>
      <w:r>
        <w:rPr>
          <w:rFonts w:hint="cs"/>
          <w:rtl/>
        </w:rPr>
        <w:t>.</w:t>
      </w:r>
    </w:p>
    <w:p w:rsidR="00C10469" w:rsidRDefault="00C10469" w:rsidP="00C10469">
      <w:pPr>
        <w:ind w:left="848" w:hanging="281"/>
        <w:rPr>
          <w:rtl/>
        </w:rPr>
      </w:pPr>
      <w:r>
        <w:rPr>
          <w:b/>
          <w:bCs/>
          <w:rtl/>
        </w:rPr>
        <w:t>•</w:t>
      </w:r>
      <w:r>
        <w:rPr>
          <w:rFonts w:hint="cs"/>
          <w:b/>
          <w:bCs/>
          <w:rtl/>
        </w:rPr>
        <w:t xml:space="preserve">  ومنها</w:t>
      </w:r>
      <w:r>
        <w:rPr>
          <w:rFonts w:hint="cs"/>
          <w:rtl/>
        </w:rPr>
        <w:t xml:space="preserve"> : إذا أجاب</w:t>
      </w:r>
      <w:r>
        <w:rPr>
          <w:rFonts w:hint="cs"/>
          <w:vertAlign w:val="superscript"/>
          <w:rtl/>
        </w:rPr>
        <w:t>(</w:t>
      </w:r>
      <w:r>
        <w:rPr>
          <w:rStyle w:val="a7"/>
          <w:rtl/>
        </w:rPr>
        <w:footnoteReference w:id="3234"/>
      </w:r>
      <w:r>
        <w:rPr>
          <w:rFonts w:hint="cs"/>
          <w:vertAlign w:val="superscript"/>
          <w:rtl/>
        </w:rPr>
        <w:t>)</w:t>
      </w:r>
      <w:r>
        <w:rPr>
          <w:rFonts w:hint="cs"/>
          <w:rtl/>
        </w:rPr>
        <w:t xml:space="preserve"> أحد العاقدين، فأيُّهما قام من المجلس قَبْلَ</w:t>
      </w:r>
      <w:r>
        <w:rPr>
          <w:rStyle w:val="a7"/>
          <w:rtl/>
        </w:rPr>
        <w:footnoteReference w:id="3235"/>
      </w:r>
      <w:r>
        <w:rPr>
          <w:rFonts w:hint="cs"/>
          <w:rtl/>
        </w:rPr>
        <w:t xml:space="preserve"> القبول: بطل الإيجاب؛ لأن القيام دليل الإعراض والرجوع. فلو قال بعد القيام: (قبلتُ) : لا يعتبر قوله، مع أن قوله (قبلت) صريح، والقيام دليل الإعراض، ورُجح</w:t>
      </w:r>
      <w:r>
        <w:rPr>
          <w:rFonts w:hint="cs"/>
          <w:vertAlign w:val="superscript"/>
          <w:rtl/>
        </w:rPr>
        <w:t>(</w:t>
      </w:r>
      <w:r>
        <w:rPr>
          <w:rStyle w:val="a7"/>
          <w:rtl/>
        </w:rPr>
        <w:footnoteReference w:id="3236"/>
      </w:r>
      <w:r>
        <w:rPr>
          <w:rFonts w:hint="cs"/>
          <w:vertAlign w:val="superscript"/>
          <w:rtl/>
        </w:rPr>
        <w:t>)</w:t>
      </w:r>
      <w:r>
        <w:rPr>
          <w:rFonts w:hint="cs"/>
          <w:rtl/>
        </w:rPr>
        <w:t xml:space="preserve"> الدلالة على الصريح على خلاف مقتضى الأصل.</w:t>
      </w:r>
    </w:p>
    <w:p w:rsidR="00C10469" w:rsidRDefault="00C10469">
      <w:pPr>
        <w:rPr>
          <w:rtl/>
        </w:rPr>
      </w:pPr>
      <w:r>
        <w:rPr>
          <w:rFonts w:hint="cs"/>
          <w:b/>
          <w:bCs/>
          <w:rtl/>
        </w:rPr>
        <w:t>والجواب</w:t>
      </w:r>
      <w:r>
        <w:rPr>
          <w:rFonts w:hint="cs"/>
          <w:rtl/>
        </w:rPr>
        <w:t xml:space="preserve"> : أن الصـريح وُجـد بعد عمـل الدلالة (وهو إبطالها للإيجاب</w:t>
      </w:r>
      <w:r>
        <w:rPr>
          <w:rStyle w:val="a7"/>
          <w:rtl/>
        </w:rPr>
        <w:footnoteReference w:id="3237"/>
      </w:r>
      <w:r>
        <w:rPr>
          <w:rFonts w:hint="cs"/>
          <w:rtl/>
        </w:rPr>
        <w:t>)</w:t>
      </w:r>
      <w:r>
        <w:rPr>
          <w:rFonts w:hint="cs"/>
          <w:vertAlign w:val="superscript"/>
          <w:rtl/>
        </w:rPr>
        <w:t>(</w:t>
      </w:r>
      <w:r>
        <w:rPr>
          <w:rStyle w:val="a7"/>
          <w:rtl/>
        </w:rPr>
        <w:footnoteReference w:id="3238"/>
      </w:r>
      <w:r>
        <w:rPr>
          <w:rFonts w:hint="cs"/>
          <w:vertAlign w:val="superscript"/>
          <w:rtl/>
        </w:rPr>
        <w:t>)</w:t>
      </w:r>
      <w:r>
        <w:rPr>
          <w:rFonts w:hint="cs"/>
          <w:rtl/>
        </w:rPr>
        <w:t xml:space="preserve"> فلا </w:t>
      </w:r>
      <w:r>
        <w:rPr>
          <w:rFonts w:hint="cs"/>
          <w:rtl/>
        </w:rPr>
        <w:lastRenderedPageBreak/>
        <w:t>يعارضها</w:t>
      </w:r>
      <w:r>
        <w:rPr>
          <w:rFonts w:hint="cs"/>
          <w:vertAlign w:val="superscript"/>
          <w:rtl/>
        </w:rPr>
        <w:t>(</w:t>
      </w:r>
      <w:r>
        <w:rPr>
          <w:rStyle w:val="a7"/>
          <w:rtl/>
        </w:rPr>
        <w:footnoteReference w:id="3239"/>
      </w:r>
      <w:r>
        <w:rPr>
          <w:rFonts w:hint="cs"/>
          <w:vertAlign w:val="superscript"/>
          <w:rtl/>
        </w:rPr>
        <w:t>)</w:t>
      </w:r>
      <w:r>
        <w:rPr>
          <w:rFonts w:hint="cs"/>
          <w:rtl/>
        </w:rPr>
        <w:t>.</w:t>
      </w:r>
    </w:p>
    <w:p w:rsidR="00C10469" w:rsidRDefault="00C10469">
      <w:pPr>
        <w:jc w:val="center"/>
        <w:rPr>
          <w:rFonts w:ascii="AGA Arabesque" w:hAnsi="AGA Arabesque"/>
          <w:sz w:val="50"/>
          <w:szCs w:val="50"/>
        </w:rPr>
        <w:sectPr w:rsidR="00C10469" w:rsidSect="00C10469">
          <w:headerReference w:type="default" r:id="rId209"/>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25317B" w:rsidRDefault="00C10469">
      <w:pPr>
        <w:pStyle w:val="a9"/>
        <w:rPr>
          <w:rFonts w:cs="AL-Mateen"/>
          <w:rtl/>
        </w:rPr>
      </w:pPr>
      <w:r w:rsidRPr="0025317B">
        <w:rPr>
          <w:rFonts w:cs="AL-Mateen" w:hint="cs"/>
          <w:rtl/>
        </w:rPr>
        <w:lastRenderedPageBreak/>
        <w:t>[ الـقـاعـدة الـرابـعـة والـخـمـسـون بـعـد الـمـائـة ]</w:t>
      </w:r>
    </w:p>
    <w:p w:rsidR="00C10469" w:rsidRDefault="00C10469">
      <w:pPr>
        <w:rPr>
          <w:rtl/>
        </w:rPr>
      </w:pPr>
      <w:r>
        <w:rPr>
          <w:rFonts w:cs="Monotype Koufi" w:hint="cs"/>
          <w:rtl/>
        </w:rPr>
        <w:t>صِحَّةُ الحَلِفِ غَيْرُ مُفَارِقَةٍ</w:t>
      </w:r>
      <w:r>
        <w:rPr>
          <w:rStyle w:val="a7"/>
          <w:rtl/>
        </w:rPr>
        <w:footnoteReference w:id="3240"/>
      </w:r>
      <w:r>
        <w:rPr>
          <w:rFonts w:hint="cs"/>
          <w:rtl/>
        </w:rPr>
        <w:t xml:space="preserve"> </w:t>
      </w:r>
      <w:r>
        <w:rPr>
          <w:rFonts w:cs="Monotype Koufi" w:hint="cs"/>
          <w:rtl/>
        </w:rPr>
        <w:t>عَنْ صِحَّةِ الإِقْرَارِ، وَعَدَمُهَا عَنْ عَدَمِهَا</w:t>
      </w:r>
      <w:r>
        <w:rPr>
          <w:rFonts w:hint="cs"/>
          <w:vertAlign w:val="superscript"/>
          <w:rtl/>
        </w:rPr>
        <w:t>(</w:t>
      </w:r>
      <w:r>
        <w:rPr>
          <w:rStyle w:val="a7"/>
          <w:rtl/>
        </w:rPr>
        <w:footnoteReference w:id="3241"/>
      </w:r>
      <w:r>
        <w:rPr>
          <w:rFonts w:hint="cs"/>
          <w:vertAlign w:val="superscript"/>
          <w:rtl/>
        </w:rPr>
        <w:t>)</w:t>
      </w:r>
      <w:r>
        <w:rPr>
          <w:rFonts w:hint="cs"/>
          <w:rtl/>
        </w:rPr>
        <w:t xml:space="preserve"> :</w:t>
      </w:r>
    </w:p>
    <w:p w:rsidR="00C10469" w:rsidRDefault="00C10469">
      <w:pPr>
        <w:rPr>
          <w:rtl/>
        </w:rPr>
      </w:pPr>
      <w:r>
        <w:rPr>
          <w:rFonts w:hint="cs"/>
          <w:b/>
          <w:bCs/>
          <w:rtl/>
        </w:rPr>
        <w:t>وحاصله</w:t>
      </w:r>
      <w:r>
        <w:rPr>
          <w:rFonts w:hint="cs"/>
          <w:rtl/>
        </w:rPr>
        <w:t xml:space="preserve"> : أن من يصح إقراره؛ كالوكيل : يصحّ استحلافه</w:t>
      </w:r>
      <w:r>
        <w:rPr>
          <w:rStyle w:val="a7"/>
          <w:rtl/>
        </w:rPr>
        <w:footnoteReference w:id="3242"/>
      </w:r>
      <w:r>
        <w:rPr>
          <w:rFonts w:hint="cs"/>
          <w:rtl/>
        </w:rPr>
        <w:t>. فالوكيل بالبيع والخصومة بالرد بالعيب من جهة</w:t>
      </w:r>
      <w:r>
        <w:rPr>
          <w:rStyle w:val="a7"/>
          <w:rtl/>
        </w:rPr>
        <w:footnoteReference w:id="3243"/>
      </w:r>
      <w:r>
        <w:rPr>
          <w:rFonts w:hint="cs"/>
          <w:rtl/>
        </w:rPr>
        <w:t xml:space="preserve"> المالك يستحلف؛ لأن اليمين لرجاء النكول، ولو أقرّ الوكيل صحّ إقراره على المُوكِّل، فكذا نكوله.</w:t>
      </w:r>
    </w:p>
    <w:p w:rsidR="00C10469" w:rsidRDefault="00C10469">
      <w:pPr>
        <w:rPr>
          <w:rtl/>
        </w:rPr>
      </w:pPr>
      <w:r>
        <w:rPr>
          <w:rFonts w:hint="cs"/>
          <w:rtl/>
        </w:rPr>
        <w:lastRenderedPageBreak/>
        <w:t>ومـن لا يـصـح إقـراره</w:t>
      </w:r>
      <w:r>
        <w:rPr>
          <w:rStyle w:val="a7"/>
          <w:rtl/>
        </w:rPr>
        <w:footnoteReference w:id="3244"/>
      </w:r>
      <w:r>
        <w:rPr>
          <w:rFonts w:hint="cs"/>
          <w:rtl/>
        </w:rPr>
        <w:t>؛ كـالوصي إذا خوصم في عـيـبِ عينٍ باعه</w:t>
      </w:r>
      <w:r>
        <w:rPr>
          <w:rFonts w:hint="cs"/>
          <w:vertAlign w:val="superscript"/>
          <w:rtl/>
        </w:rPr>
        <w:t>(</w:t>
      </w:r>
      <w:r>
        <w:rPr>
          <w:rStyle w:val="a7"/>
          <w:rtl/>
        </w:rPr>
        <w:footnoteReference w:id="3245"/>
      </w:r>
      <w:r>
        <w:rPr>
          <w:rFonts w:hint="cs"/>
          <w:vertAlign w:val="superscript"/>
          <w:rtl/>
        </w:rPr>
        <w:t>)</w:t>
      </w:r>
      <w:r>
        <w:rPr>
          <w:rFonts w:hint="cs"/>
          <w:rtl/>
        </w:rPr>
        <w:t xml:space="preserve"> </w:t>
      </w:r>
    </w:p>
    <w:p w:rsidR="00C10469" w:rsidRDefault="00C10469">
      <w:pPr>
        <w:ind w:firstLine="0"/>
        <w:rPr>
          <w:rtl/>
        </w:rPr>
      </w:pPr>
      <w:r>
        <w:rPr>
          <w:rFonts w:hint="cs"/>
          <w:rtl/>
        </w:rPr>
        <w:t>للصغير : لا يصح استحلافه؛ لأن اليمين لرجاء النكول -كما مرّ-</w:t>
      </w:r>
      <w:r>
        <w:rPr>
          <w:rFonts w:hint="cs"/>
          <w:vertAlign w:val="superscript"/>
          <w:rtl/>
        </w:rPr>
        <w:t>(</w:t>
      </w:r>
      <w:r>
        <w:rPr>
          <w:rStyle w:val="a7"/>
          <w:rtl/>
        </w:rPr>
        <w:footnoteReference w:id="3246"/>
      </w:r>
      <w:r>
        <w:rPr>
          <w:rFonts w:hint="cs"/>
          <w:vertAlign w:val="superscript"/>
          <w:rtl/>
        </w:rPr>
        <w:t>)</w:t>
      </w:r>
      <w:r>
        <w:rPr>
          <w:rFonts w:hint="cs"/>
          <w:rtl/>
        </w:rPr>
        <w:t>، ولو أقرّ الوصيّ</w:t>
      </w:r>
      <w:r>
        <w:rPr>
          <w:rStyle w:val="a7"/>
          <w:rtl/>
        </w:rPr>
        <w:footnoteReference w:id="3247"/>
      </w:r>
      <w:r>
        <w:rPr>
          <w:rFonts w:hint="cs"/>
          <w:rtl/>
        </w:rPr>
        <w:t xml:space="preserve"> صريحًا</w:t>
      </w:r>
      <w:r>
        <w:rPr>
          <w:rStyle w:val="a7"/>
          <w:rtl/>
        </w:rPr>
        <w:footnoteReference w:id="3248"/>
      </w:r>
      <w:r>
        <w:rPr>
          <w:rFonts w:hint="cs"/>
          <w:rtl/>
        </w:rPr>
        <w:t>: لا يصحّ، فكذا</w:t>
      </w:r>
      <w:r>
        <w:rPr>
          <w:rStyle w:val="a7"/>
          <w:rtl/>
        </w:rPr>
        <w:footnoteReference w:id="3249"/>
      </w:r>
      <w:r>
        <w:rPr>
          <w:rFonts w:hint="cs"/>
          <w:rtl/>
        </w:rPr>
        <w:t xml:space="preserve"> لا يُستحلف</w:t>
      </w:r>
      <w:r>
        <w:rPr>
          <w:rFonts w:hint="cs"/>
          <w:vertAlign w:val="superscript"/>
          <w:rtl/>
        </w:rPr>
        <w:t>(</w:t>
      </w:r>
      <w:r>
        <w:rPr>
          <w:rStyle w:val="a7"/>
          <w:rtl/>
        </w:rPr>
        <w:footnoteReference w:id="3250"/>
      </w:r>
      <w:r>
        <w:rPr>
          <w:rFonts w:hint="cs"/>
          <w:vertAlign w:val="superscript"/>
          <w:rtl/>
        </w:rPr>
        <w:t>)</w:t>
      </w:r>
      <w:r>
        <w:rPr>
          <w:rFonts w:hint="cs"/>
          <w:rtl/>
        </w:rPr>
        <w:t>.</w:t>
      </w:r>
    </w:p>
    <w:p w:rsidR="00C10469" w:rsidRDefault="00C10469" w:rsidP="00C10469">
      <w:pPr>
        <w:rPr>
          <w:spacing w:val="-4"/>
          <w:rtl/>
        </w:rPr>
      </w:pPr>
      <w:r>
        <w:rPr>
          <w:rFonts w:hint="cs"/>
          <w:spacing w:val="-4"/>
          <w:rtl/>
        </w:rPr>
        <w:t>وجعل صاحبُ (الدرر) (الوكالةَ) و(الوصايةَ) في وَتَرٍ واحد- حيث قال في كتاب (الدعوى)</w:t>
      </w:r>
      <w:r>
        <w:rPr>
          <w:rFonts w:hint="cs"/>
          <w:spacing w:val="-4"/>
          <w:vertAlign w:val="superscript"/>
          <w:rtl/>
        </w:rPr>
        <w:t>(</w:t>
      </w:r>
      <w:r>
        <w:rPr>
          <w:rStyle w:val="a7"/>
          <w:spacing w:val="-4"/>
          <w:rtl/>
        </w:rPr>
        <w:footnoteReference w:id="3251"/>
      </w:r>
      <w:r>
        <w:rPr>
          <w:rFonts w:hint="cs"/>
          <w:spacing w:val="-4"/>
          <w:vertAlign w:val="superscript"/>
          <w:rtl/>
        </w:rPr>
        <w:t>)</w:t>
      </w:r>
      <w:r>
        <w:rPr>
          <w:rFonts w:hint="cs"/>
          <w:spacing w:val="-4"/>
          <w:rtl/>
        </w:rPr>
        <w:t xml:space="preserve">: </w:t>
      </w:r>
      <w:r>
        <w:rPr>
          <w:rFonts w:hint="eastAsia"/>
          <w:spacing w:val="-4"/>
          <w:rtl/>
        </w:rPr>
        <w:t>«</w:t>
      </w:r>
      <w:r>
        <w:rPr>
          <w:rFonts w:hint="cs"/>
          <w:spacing w:val="-4"/>
          <w:rtl/>
        </w:rPr>
        <w:t>النيابة [تجري]</w:t>
      </w:r>
      <w:r>
        <w:rPr>
          <w:rStyle w:val="a7"/>
          <w:spacing w:val="-4"/>
          <w:rtl/>
        </w:rPr>
        <w:footnoteReference w:id="3252"/>
      </w:r>
      <w:r>
        <w:rPr>
          <w:rFonts w:hint="cs"/>
          <w:spacing w:val="-4"/>
          <w:rtl/>
        </w:rPr>
        <w:t xml:space="preserve"> في الاستحلاف لا الحلف</w:t>
      </w:r>
      <w:r>
        <w:rPr>
          <w:rFonts w:hint="cs"/>
          <w:spacing w:val="-4"/>
          <w:vertAlign w:val="superscript"/>
          <w:rtl/>
        </w:rPr>
        <w:t>(</w:t>
      </w:r>
      <w:r>
        <w:rPr>
          <w:rStyle w:val="a7"/>
          <w:spacing w:val="-4"/>
          <w:rtl/>
        </w:rPr>
        <w:footnoteReference w:id="3253"/>
      </w:r>
      <w:r>
        <w:rPr>
          <w:rFonts w:hint="cs"/>
          <w:spacing w:val="-4"/>
          <w:vertAlign w:val="superscript"/>
          <w:rtl/>
        </w:rPr>
        <w:t>)</w:t>
      </w:r>
      <w:r>
        <w:rPr>
          <w:rFonts w:hint="cs"/>
          <w:spacing w:val="-4"/>
          <w:rtl/>
        </w:rPr>
        <w:t xml:space="preserve">، فالوكيل والوصي </w:t>
      </w:r>
      <w:r>
        <w:rPr>
          <w:rFonts w:hint="cs"/>
          <w:spacing w:val="-4"/>
          <w:rtl/>
        </w:rPr>
        <w:lastRenderedPageBreak/>
        <w:t>والمتولّي وأب</w:t>
      </w:r>
      <w:r>
        <w:rPr>
          <w:rFonts w:hint="cs"/>
          <w:spacing w:val="-4"/>
          <w:vertAlign w:val="superscript"/>
          <w:rtl/>
        </w:rPr>
        <w:t>(</w:t>
      </w:r>
      <w:r>
        <w:rPr>
          <w:rStyle w:val="a7"/>
          <w:spacing w:val="-4"/>
          <w:rtl/>
        </w:rPr>
        <w:footnoteReference w:id="3254"/>
      </w:r>
      <w:r>
        <w:rPr>
          <w:rFonts w:hint="cs"/>
          <w:spacing w:val="-4"/>
          <w:vertAlign w:val="superscript"/>
          <w:rtl/>
        </w:rPr>
        <w:t>)</w:t>
      </w:r>
      <w:r>
        <w:rPr>
          <w:rFonts w:hint="cs"/>
          <w:spacing w:val="-4"/>
          <w:rtl/>
        </w:rPr>
        <w:t xml:space="preserve"> الصغير</w:t>
      </w:r>
      <w:r>
        <w:rPr>
          <w:rStyle w:val="a7"/>
          <w:spacing w:val="-4"/>
          <w:rtl/>
        </w:rPr>
        <w:footnoteReference w:id="3255"/>
      </w:r>
      <w:r>
        <w:rPr>
          <w:rFonts w:hint="cs"/>
          <w:spacing w:val="-4"/>
          <w:rtl/>
        </w:rPr>
        <w:t xml:space="preserve"> يَستحلِف ولا يَحْلِف، إلا إذا صحّ إقراره على الأصيل</w:t>
      </w:r>
      <w:r>
        <w:rPr>
          <w:rFonts w:hint="eastAsia"/>
          <w:spacing w:val="-4"/>
          <w:rtl/>
        </w:rPr>
        <w:t>»</w:t>
      </w:r>
      <w:r>
        <w:rPr>
          <w:rFonts w:hint="cs"/>
          <w:spacing w:val="-4"/>
          <w:vertAlign w:val="superscript"/>
          <w:rtl/>
        </w:rPr>
        <w:t>(</w:t>
      </w:r>
      <w:r>
        <w:rPr>
          <w:rStyle w:val="a7"/>
          <w:spacing w:val="-4"/>
          <w:rtl/>
        </w:rPr>
        <w:footnoteReference w:id="3256"/>
      </w:r>
      <w:r>
        <w:rPr>
          <w:rFonts w:hint="cs"/>
          <w:spacing w:val="-4"/>
          <w:vertAlign w:val="superscript"/>
          <w:rtl/>
        </w:rPr>
        <w:t>)</w:t>
      </w:r>
      <w:r>
        <w:rPr>
          <w:rFonts w:hint="cs"/>
          <w:spacing w:val="-4"/>
          <w:rtl/>
        </w:rPr>
        <w:t>- ممّا</w:t>
      </w:r>
      <w:r>
        <w:rPr>
          <w:rFonts w:hint="cs"/>
          <w:spacing w:val="-4"/>
          <w:vertAlign w:val="superscript"/>
          <w:rtl/>
        </w:rPr>
        <w:t>(</w:t>
      </w:r>
      <w:r>
        <w:rPr>
          <w:rStyle w:val="a7"/>
          <w:spacing w:val="-4"/>
          <w:rtl/>
        </w:rPr>
        <w:footnoteReference w:id="3257"/>
      </w:r>
      <w:r>
        <w:rPr>
          <w:rFonts w:hint="cs"/>
          <w:spacing w:val="-4"/>
          <w:vertAlign w:val="superscript"/>
          <w:rtl/>
        </w:rPr>
        <w:t>)</w:t>
      </w:r>
      <w:r>
        <w:rPr>
          <w:rFonts w:hint="cs"/>
          <w:spacing w:val="-4"/>
          <w:rtl/>
        </w:rPr>
        <w:t xml:space="preserve"> لا يكاد يصح؛ لأنه يفهم</w:t>
      </w:r>
      <w:r>
        <w:rPr>
          <w:rStyle w:val="a7"/>
          <w:spacing w:val="-4"/>
          <w:rtl/>
        </w:rPr>
        <w:footnoteReference w:id="3258"/>
      </w:r>
      <w:r>
        <w:rPr>
          <w:rFonts w:hint="cs"/>
          <w:spacing w:val="-4"/>
          <w:rtl/>
        </w:rPr>
        <w:t xml:space="preserve"> من</w:t>
      </w:r>
      <w:r>
        <w:rPr>
          <w:rStyle w:val="a7"/>
          <w:spacing w:val="-4"/>
          <w:rtl/>
        </w:rPr>
        <w:footnoteReference w:id="3259"/>
      </w:r>
      <w:r>
        <w:rPr>
          <w:rFonts w:hint="cs"/>
          <w:spacing w:val="-4"/>
          <w:rtl/>
        </w:rPr>
        <w:t xml:space="preserve"> عبارته أنَّ الوصي والوكيل قد يصح إقرارهما وقد لا يصح!. والصحيح</w:t>
      </w:r>
      <w:r>
        <w:rPr>
          <w:rStyle w:val="a7"/>
          <w:spacing w:val="-4"/>
          <w:rtl/>
        </w:rPr>
        <w:footnoteReference w:id="3260"/>
      </w:r>
      <w:r>
        <w:rPr>
          <w:rFonts w:hint="cs"/>
          <w:spacing w:val="-4"/>
          <w:rtl/>
        </w:rPr>
        <w:t xml:space="preserve"> أن إقرار الوكيل صحيح، وإقرار الوصي غير صحيح</w:t>
      </w:r>
      <w:r>
        <w:rPr>
          <w:rFonts w:hint="cs"/>
          <w:spacing w:val="-4"/>
          <w:vertAlign w:val="superscript"/>
          <w:rtl/>
        </w:rPr>
        <w:t>(</w:t>
      </w:r>
      <w:r>
        <w:rPr>
          <w:rStyle w:val="a7"/>
          <w:spacing w:val="-4"/>
          <w:rtl/>
        </w:rPr>
        <w:footnoteReference w:id="3261"/>
      </w:r>
      <w:r>
        <w:rPr>
          <w:rFonts w:hint="cs"/>
          <w:spacing w:val="-4"/>
          <w:vertAlign w:val="superscript"/>
          <w:rtl/>
        </w:rPr>
        <w:t>)</w:t>
      </w:r>
      <w:r>
        <w:rPr>
          <w:rFonts w:hint="cs"/>
          <w:spacing w:val="-4"/>
          <w:rtl/>
        </w:rPr>
        <w:t>.</w:t>
      </w:r>
    </w:p>
    <w:p w:rsidR="00C10469" w:rsidRDefault="00C10469" w:rsidP="00C10469">
      <w:pPr>
        <w:rPr>
          <w:rtl/>
        </w:rPr>
      </w:pPr>
      <w:r>
        <w:rPr>
          <w:rFonts w:hint="cs"/>
          <w:rtl/>
        </w:rPr>
        <w:lastRenderedPageBreak/>
        <w:t xml:space="preserve">وقوله : </w:t>
      </w:r>
      <w:r>
        <w:rPr>
          <w:rFonts w:hint="eastAsia"/>
          <w:rtl/>
        </w:rPr>
        <w:t>«</w:t>
      </w:r>
      <w:r>
        <w:rPr>
          <w:rFonts w:hint="cs"/>
          <w:rtl/>
        </w:rPr>
        <w:t>الـنـيـابـة [تـجـري]</w:t>
      </w:r>
      <w:r>
        <w:rPr>
          <w:rStyle w:val="a7"/>
          <w:rtl/>
        </w:rPr>
        <w:footnoteReference w:id="3262"/>
      </w:r>
      <w:r>
        <w:rPr>
          <w:rFonts w:hint="cs"/>
          <w:rtl/>
        </w:rPr>
        <w:t xml:space="preserve"> فـي الاسـتـحلاف، لا الـحلف</w:t>
      </w:r>
      <w:r>
        <w:rPr>
          <w:rFonts w:hint="eastAsia"/>
          <w:rtl/>
        </w:rPr>
        <w:t>»</w:t>
      </w:r>
      <w:r>
        <w:rPr>
          <w:rFonts w:hint="cs"/>
          <w:rtl/>
        </w:rPr>
        <w:t xml:space="preserve"> إنْ اعـتـبـر أصـلاً بـذاتـه -كـمـا يـفـهـم  مـن عبارة (العمادية)</w:t>
      </w:r>
      <w:r>
        <w:rPr>
          <w:rFonts w:hint="cs"/>
          <w:vertAlign w:val="superscript"/>
          <w:rtl/>
        </w:rPr>
        <w:t>(</w:t>
      </w:r>
      <w:r>
        <w:rPr>
          <w:rStyle w:val="a7"/>
          <w:rtl/>
        </w:rPr>
        <w:footnoteReference w:id="3263"/>
      </w:r>
      <w:r>
        <w:rPr>
          <w:rFonts w:hint="cs"/>
          <w:vertAlign w:val="superscript"/>
          <w:rtl/>
        </w:rPr>
        <w:t>)</w:t>
      </w:r>
      <w:r>
        <w:rPr>
          <w:rFonts w:hint="cs"/>
          <w:rtl/>
        </w:rPr>
        <w:t xml:space="preserve"> - </w:t>
      </w:r>
    </w:p>
    <w:p w:rsidR="00C10469" w:rsidRDefault="00C10469">
      <w:pPr>
        <w:ind w:firstLine="0"/>
        <w:rPr>
          <w:rtl/>
        </w:rPr>
      </w:pPr>
      <w:r>
        <w:rPr>
          <w:rFonts w:hint="cs"/>
          <w:rtl/>
        </w:rPr>
        <w:lastRenderedPageBreak/>
        <w:t>يرد عليه النقض [بتحليف]</w:t>
      </w:r>
      <w:r>
        <w:rPr>
          <w:rStyle w:val="a7"/>
          <w:rtl/>
        </w:rPr>
        <w:footnoteReference w:id="3264"/>
      </w:r>
      <w:r>
        <w:rPr>
          <w:rFonts w:hint="cs"/>
          <w:rtl/>
        </w:rPr>
        <w:t xml:space="preserve"> الوكيل، إلاّ أن يقال : هذا فيما يتعلّق حقوق</w:t>
      </w:r>
      <w:r>
        <w:rPr>
          <w:rFonts w:hint="cs"/>
          <w:vertAlign w:val="superscript"/>
          <w:rtl/>
        </w:rPr>
        <w:t>(</w:t>
      </w:r>
      <w:r>
        <w:rPr>
          <w:rStyle w:val="a7"/>
          <w:rtl/>
        </w:rPr>
        <w:footnoteReference w:id="3265"/>
      </w:r>
      <w:r>
        <w:rPr>
          <w:rFonts w:hint="cs"/>
          <w:vertAlign w:val="superscript"/>
          <w:rtl/>
        </w:rPr>
        <w:t>)</w:t>
      </w:r>
      <w:r>
        <w:rPr>
          <w:rFonts w:hint="cs"/>
          <w:rtl/>
        </w:rPr>
        <w:t xml:space="preserve"> العقد بالموكل، ففيه لا يحلف، كنكاحٍ، وخلع، وصلح عن إنكار، ودم عمد، وعتق </w:t>
      </w:r>
      <w:r>
        <w:rPr>
          <w:rFonts w:hint="cs"/>
          <w:rtl/>
        </w:rPr>
        <w:lastRenderedPageBreak/>
        <w:t>على مال وكتابة، وهبة، وتصدق، وإعارة، [و]</w:t>
      </w:r>
      <w:r>
        <w:rPr>
          <w:rStyle w:val="a7"/>
          <w:rtl/>
        </w:rPr>
        <w:footnoteReference w:id="3266"/>
      </w:r>
      <w:r>
        <w:rPr>
          <w:rFonts w:hint="cs"/>
          <w:rtl/>
        </w:rPr>
        <w:t xml:space="preserve"> إيداع، ورهن، وإقراض.</w:t>
      </w:r>
    </w:p>
    <w:p w:rsidR="00C10469" w:rsidRDefault="00C10469">
      <w:pPr>
        <w:rPr>
          <w:rtl/>
        </w:rPr>
      </w:pPr>
      <w:r>
        <w:rPr>
          <w:rFonts w:hint="cs"/>
          <w:rtl/>
        </w:rPr>
        <w:t>وأمّا إذا تعلّق</w:t>
      </w:r>
      <w:r>
        <w:rPr>
          <w:rFonts w:hint="cs"/>
          <w:vertAlign w:val="superscript"/>
          <w:rtl/>
        </w:rPr>
        <w:t>(</w:t>
      </w:r>
      <w:r>
        <w:rPr>
          <w:rStyle w:val="a7"/>
          <w:rtl/>
        </w:rPr>
        <w:footnoteReference w:id="3267"/>
      </w:r>
      <w:r>
        <w:rPr>
          <w:rFonts w:hint="cs"/>
          <w:vertAlign w:val="superscript"/>
          <w:rtl/>
        </w:rPr>
        <w:t>)</w:t>
      </w:r>
      <w:r>
        <w:rPr>
          <w:rFonts w:hint="cs"/>
          <w:rtl/>
        </w:rPr>
        <w:t xml:space="preserve"> حقوق العقد بالوكيل، كالبيع والشراء وغير ذلك : يحلف الوكيل إذا لم يكن محجورًا؛ لأن الوكيل [تتعلّق]</w:t>
      </w:r>
      <w:r>
        <w:rPr>
          <w:rStyle w:val="a7"/>
          <w:rtl/>
        </w:rPr>
        <w:footnoteReference w:id="3268"/>
      </w:r>
      <w:r>
        <w:rPr>
          <w:rFonts w:hint="cs"/>
          <w:rtl/>
        </w:rPr>
        <w:t xml:space="preserve"> الحقوق به فيكون كالأصيل</w:t>
      </w:r>
      <w:r>
        <w:rPr>
          <w:rFonts w:hint="cs"/>
          <w:vertAlign w:val="superscript"/>
          <w:rtl/>
        </w:rPr>
        <w:t>(</w:t>
      </w:r>
      <w:r>
        <w:rPr>
          <w:rStyle w:val="a7"/>
          <w:rtl/>
        </w:rPr>
        <w:footnoteReference w:id="3269"/>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210"/>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396D8C" w:rsidRDefault="00C10469">
      <w:pPr>
        <w:pStyle w:val="a9"/>
        <w:rPr>
          <w:rFonts w:cs="AL-Mateen"/>
          <w:rtl/>
        </w:rPr>
      </w:pPr>
      <w:r w:rsidRPr="00396D8C">
        <w:rPr>
          <w:rFonts w:cs="AL-Mateen" w:hint="cs"/>
          <w:rtl/>
        </w:rPr>
        <w:lastRenderedPageBreak/>
        <w:t>[ الـقـاعـدة الـخـامـسـة والـخـمـسـون بـعـد الـمـائـة ]</w:t>
      </w:r>
    </w:p>
    <w:p w:rsidR="00C10469" w:rsidRDefault="00C10469">
      <w:pPr>
        <w:rPr>
          <w:rtl/>
        </w:rPr>
      </w:pPr>
      <w:r>
        <w:rPr>
          <w:rFonts w:cs="Monotype Koufi" w:hint="cs"/>
          <w:rtl/>
        </w:rPr>
        <w:t>الضَّرَرُ يُزَالُ</w:t>
      </w:r>
      <w:r>
        <w:rPr>
          <w:rFonts w:hint="cs"/>
          <w:vertAlign w:val="superscript"/>
          <w:rtl/>
        </w:rPr>
        <w:t>(</w:t>
      </w:r>
      <w:r>
        <w:rPr>
          <w:rStyle w:val="a7"/>
          <w:rtl/>
        </w:rPr>
        <w:footnoteReference w:id="3270"/>
      </w:r>
      <w:r>
        <w:rPr>
          <w:rFonts w:hint="cs"/>
          <w:vertAlign w:val="superscript"/>
          <w:rtl/>
        </w:rPr>
        <w:t>)</w:t>
      </w:r>
      <w:r>
        <w:rPr>
          <w:rFonts w:hint="cs"/>
          <w:rtl/>
        </w:rPr>
        <w:t xml:space="preserve"> :</w:t>
      </w:r>
    </w:p>
    <w:p w:rsidR="00C10469" w:rsidRDefault="00C10469">
      <w:pPr>
        <w:rPr>
          <w:rtl/>
        </w:rPr>
      </w:pPr>
      <w:r>
        <w:rPr>
          <w:rFonts w:hint="cs"/>
          <w:rtl/>
        </w:rPr>
        <w:lastRenderedPageBreak/>
        <w:t xml:space="preserve">أصلها قوله </w:t>
      </w:r>
      <w:r>
        <w:rPr>
          <w:rFonts w:ascii="AGA Arabesque" w:hAnsi="AGA Arabesque"/>
          <w:sz w:val="36"/>
        </w:rPr>
        <w:t></w:t>
      </w:r>
      <w:r>
        <w:rPr>
          <w:rFonts w:ascii="AGA Arabesque" w:hAnsi="AGA Arabesque" w:hint="cs"/>
          <w:sz w:val="36"/>
          <w:rtl/>
        </w:rPr>
        <w:t>:</w:t>
      </w:r>
      <w:r>
        <w:rPr>
          <w:rFonts w:hint="cs"/>
          <w:rtl/>
        </w:rPr>
        <w:t xml:space="preserve"> </w:t>
      </w:r>
      <w:r>
        <w:rPr>
          <w:rFonts w:hint="eastAsia"/>
          <w:rtl/>
        </w:rPr>
        <w:t>«</w:t>
      </w:r>
      <w:r>
        <w:rPr>
          <w:rFonts w:hint="cs"/>
          <w:rtl/>
        </w:rPr>
        <w:t xml:space="preserve"> </w:t>
      </w:r>
      <w:r>
        <w:rPr>
          <w:rFonts w:cs="DecoType Naskh" w:hint="cs"/>
          <w:sz w:val="36"/>
          <w:rtl/>
        </w:rPr>
        <w:t>لا ضَـرَرَ ولا ضِـرَارَ في الدّينِ</w:t>
      </w:r>
      <w:r>
        <w:rPr>
          <w:rFonts w:hint="cs"/>
          <w:b/>
          <w:bCs/>
          <w:rtl/>
        </w:rPr>
        <w:t xml:space="preserve"> </w:t>
      </w:r>
      <w:r>
        <w:rPr>
          <w:rFonts w:hint="eastAsia"/>
          <w:rtl/>
        </w:rPr>
        <w:t>»</w:t>
      </w:r>
      <w:r>
        <w:rPr>
          <w:rFonts w:hint="cs"/>
          <w:vertAlign w:val="superscript"/>
          <w:rtl/>
        </w:rPr>
        <w:t>(</w:t>
      </w:r>
      <w:r>
        <w:rPr>
          <w:rStyle w:val="a7"/>
          <w:rtl/>
        </w:rPr>
        <w:footnoteReference w:id="3271"/>
      </w:r>
      <w:r>
        <w:rPr>
          <w:rFonts w:hint="cs"/>
          <w:vertAlign w:val="superscript"/>
          <w:rtl/>
        </w:rPr>
        <w:t>)</w:t>
      </w:r>
      <w:r>
        <w:rPr>
          <w:rFonts w:hint="cs"/>
          <w:rtl/>
        </w:rPr>
        <w:t>.</w:t>
      </w:r>
    </w:p>
    <w:p w:rsidR="00C10469" w:rsidRDefault="00C10469">
      <w:pPr>
        <w:ind w:firstLine="0"/>
        <w:rPr>
          <w:rtl/>
        </w:rPr>
      </w:pPr>
      <w:r>
        <w:rPr>
          <w:rFonts w:hint="cs"/>
          <w:rtl/>
        </w:rPr>
        <w:lastRenderedPageBreak/>
        <w:t xml:space="preserve">أي : </w:t>
      </w:r>
      <w:r>
        <w:rPr>
          <w:rFonts w:hint="eastAsia"/>
          <w:rtl/>
        </w:rPr>
        <w:t>«</w:t>
      </w:r>
      <w:r>
        <w:rPr>
          <w:rFonts w:hint="cs"/>
          <w:rtl/>
        </w:rPr>
        <w:t>لا يضّر الرجل أخاه ابتداءً ولا جزاء</w:t>
      </w:r>
      <w:r>
        <w:rPr>
          <w:rStyle w:val="a7"/>
          <w:rtl/>
        </w:rPr>
        <w:footnoteReference w:id="3272"/>
      </w:r>
      <w:r>
        <w:rPr>
          <w:rFonts w:hint="cs"/>
          <w:rtl/>
        </w:rPr>
        <w:t>. وذكر[ه]</w:t>
      </w:r>
      <w:r>
        <w:rPr>
          <w:rFonts w:hint="cs"/>
          <w:vertAlign w:val="superscript"/>
          <w:rtl/>
        </w:rPr>
        <w:t>(</w:t>
      </w:r>
      <w:r>
        <w:rPr>
          <w:rStyle w:val="a7"/>
          <w:rtl/>
        </w:rPr>
        <w:footnoteReference w:id="3273"/>
      </w:r>
      <w:r>
        <w:rPr>
          <w:rFonts w:hint="cs"/>
          <w:vertAlign w:val="superscript"/>
          <w:rtl/>
        </w:rPr>
        <w:t>)</w:t>
      </w:r>
      <w:r>
        <w:rPr>
          <w:rFonts w:hint="cs"/>
          <w:rtl/>
        </w:rPr>
        <w:t xml:space="preserve"> أصحابنا في كتاب الغصب والشفعة وغيرهما</w:t>
      </w:r>
      <w:r>
        <w:rPr>
          <w:rFonts w:hint="eastAsia"/>
          <w:rtl/>
        </w:rPr>
        <w:t>»</w:t>
      </w:r>
      <w:r>
        <w:rPr>
          <w:rFonts w:hint="cs"/>
          <w:vertAlign w:val="superscript"/>
          <w:rtl/>
        </w:rPr>
        <w:t>(</w:t>
      </w:r>
      <w:r>
        <w:rPr>
          <w:rStyle w:val="a7"/>
          <w:rtl/>
        </w:rPr>
        <w:footnoteReference w:id="3274"/>
      </w:r>
      <w:r>
        <w:rPr>
          <w:rFonts w:hint="cs"/>
          <w:vertAlign w:val="superscript"/>
          <w:rtl/>
        </w:rPr>
        <w:t>)</w:t>
      </w:r>
      <w:r>
        <w:rPr>
          <w:rFonts w:hint="cs"/>
          <w:rtl/>
        </w:rPr>
        <w:t>.</w:t>
      </w:r>
    </w:p>
    <w:p w:rsidR="00C10469" w:rsidRDefault="00C10469">
      <w:pPr>
        <w:rPr>
          <w:rtl/>
        </w:rPr>
      </w:pPr>
      <w:r>
        <w:rPr>
          <w:rFonts w:hint="eastAsia"/>
          <w:rtl/>
        </w:rPr>
        <w:t>«</w:t>
      </w:r>
      <w:r>
        <w:rPr>
          <w:rFonts w:hint="cs"/>
          <w:b/>
          <w:bCs/>
          <w:rtl/>
        </w:rPr>
        <w:t>و يـبـتـني</w:t>
      </w:r>
      <w:r>
        <w:rPr>
          <w:rStyle w:val="a7"/>
          <w:b/>
          <w:rtl/>
        </w:rPr>
        <w:footnoteReference w:id="3275"/>
      </w:r>
      <w:r>
        <w:rPr>
          <w:rFonts w:hint="cs"/>
          <w:b/>
          <w:bCs/>
          <w:rtl/>
        </w:rPr>
        <w:t xml:space="preserve"> على هذه القاعدة</w:t>
      </w:r>
      <w:r>
        <w:rPr>
          <w:rFonts w:hint="cs"/>
          <w:rtl/>
        </w:rPr>
        <w:t xml:space="preserve"> :كثيرٌ من أبواب الفقه، فمن ذلك :</w:t>
      </w:r>
    </w:p>
    <w:p w:rsidR="00C10469" w:rsidRDefault="00C10469">
      <w:pPr>
        <w:rPr>
          <w:rtl/>
        </w:rPr>
        <w:sectPr w:rsidR="00C10469" w:rsidSect="00C10469">
          <w:headerReference w:type="default" r:id="rId21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t>الرّد بالعيب، وجميع الخيارات، والحجر، والشفعة، والقصاص، والحدود، والكفارات، وضمان المتلفات، والجبر على القِسْمَةِ، ونصب الأئمة والقضاة، ودفع الصائل</w:t>
      </w:r>
      <w:r>
        <w:rPr>
          <w:rStyle w:val="a7"/>
          <w:rtl/>
        </w:rPr>
        <w:footnoteReference w:id="3276"/>
      </w:r>
      <w:r>
        <w:rPr>
          <w:rFonts w:hint="cs"/>
          <w:rtl/>
        </w:rPr>
        <w:t>، وقتال المشركين</w:t>
      </w:r>
      <w:r>
        <w:rPr>
          <w:rStyle w:val="a7"/>
          <w:rtl/>
        </w:rPr>
        <w:footnoteReference w:id="3277"/>
      </w:r>
      <w:r>
        <w:rPr>
          <w:rFonts w:hint="cs"/>
          <w:rtl/>
        </w:rPr>
        <w:t xml:space="preserve"> والبغاة، وغيرها</w:t>
      </w:r>
      <w:r>
        <w:rPr>
          <w:rFonts w:hint="eastAsia"/>
          <w:rtl/>
        </w:rPr>
        <w:t>»</w:t>
      </w:r>
      <w:r>
        <w:rPr>
          <w:rFonts w:hint="cs"/>
          <w:vertAlign w:val="superscript"/>
          <w:rtl/>
        </w:rPr>
        <w:t>(</w:t>
      </w:r>
      <w:r>
        <w:rPr>
          <w:rStyle w:val="a7"/>
          <w:rtl/>
        </w:rPr>
        <w:footnoteReference w:id="3278"/>
      </w:r>
      <w:r>
        <w:rPr>
          <w:rFonts w:hint="cs"/>
          <w:vertAlign w:val="superscript"/>
          <w:rtl/>
        </w:rPr>
        <w:t>)</w:t>
      </w:r>
      <w:r>
        <w:rPr>
          <w:rFonts w:hint="cs"/>
          <w:rtl/>
        </w:rPr>
        <w:t>.</w:t>
      </w:r>
    </w:p>
    <w:p w:rsidR="00C10469" w:rsidRPr="005B750F" w:rsidRDefault="00C10469">
      <w:pPr>
        <w:pStyle w:val="a9"/>
        <w:rPr>
          <w:rFonts w:cs="AL-Mateen"/>
          <w:rtl/>
        </w:rPr>
      </w:pPr>
      <w:r w:rsidRPr="005B750F">
        <w:rPr>
          <w:rFonts w:cs="AL-Mateen" w:hint="cs"/>
          <w:rtl/>
        </w:rPr>
        <w:lastRenderedPageBreak/>
        <w:t>[ الـقـاعـدة الـسـادسـة والـخـمـسـون بـعـد الـمـائـة ]</w:t>
      </w:r>
    </w:p>
    <w:p w:rsidR="00C10469" w:rsidRDefault="00C10469">
      <w:pPr>
        <w:rPr>
          <w:rtl/>
        </w:rPr>
      </w:pPr>
      <w:r>
        <w:rPr>
          <w:rFonts w:cs="Monotype Koufi" w:hint="cs"/>
          <w:rtl/>
        </w:rPr>
        <w:t>الضَّرُورَاتُ [تُبِيحُ]</w:t>
      </w:r>
      <w:r>
        <w:rPr>
          <w:rStyle w:val="a7"/>
          <w:rtl/>
        </w:rPr>
        <w:footnoteReference w:id="3279"/>
      </w:r>
      <w:r>
        <w:rPr>
          <w:rFonts w:hint="cs"/>
          <w:rtl/>
        </w:rPr>
        <w:t xml:space="preserve"> </w:t>
      </w:r>
      <w:r>
        <w:rPr>
          <w:rFonts w:cs="Monotype Koufi" w:hint="cs"/>
          <w:rtl/>
        </w:rPr>
        <w:t>المَحْظُورَاتِ</w:t>
      </w:r>
      <w:r>
        <w:rPr>
          <w:rFonts w:hint="cs"/>
          <w:vertAlign w:val="superscript"/>
          <w:rtl/>
        </w:rPr>
        <w:t>(</w:t>
      </w:r>
      <w:r>
        <w:rPr>
          <w:rStyle w:val="a7"/>
          <w:rtl/>
        </w:rPr>
        <w:footnoteReference w:id="3280"/>
      </w:r>
      <w:r>
        <w:rPr>
          <w:rFonts w:hint="cs"/>
          <w:vertAlign w:val="superscript"/>
          <w:rtl/>
        </w:rPr>
        <w:t>)</w:t>
      </w:r>
      <w:r>
        <w:rPr>
          <w:rFonts w:hint="cs"/>
          <w:rtl/>
        </w:rPr>
        <w:t xml:space="preserve"> :</w:t>
      </w:r>
    </w:p>
    <w:p w:rsidR="00C10469" w:rsidRDefault="00C10469" w:rsidP="00C10469">
      <w:pPr>
        <w:spacing w:line="221" w:lineRule="auto"/>
        <w:rPr>
          <w:rtl/>
        </w:rPr>
      </w:pPr>
      <w:r>
        <w:rPr>
          <w:rFonts w:hint="cs"/>
          <w:b/>
          <w:bCs/>
          <w:rtl/>
        </w:rPr>
        <w:lastRenderedPageBreak/>
        <w:t xml:space="preserve">ولذا </w:t>
      </w:r>
      <w:r>
        <w:rPr>
          <w:rFonts w:hint="cs"/>
          <w:rtl/>
        </w:rPr>
        <w:t>: [جاز]</w:t>
      </w:r>
      <w:r>
        <w:rPr>
          <w:rStyle w:val="a7"/>
          <w:rtl/>
        </w:rPr>
        <w:footnoteReference w:id="3281"/>
      </w:r>
      <w:r>
        <w:rPr>
          <w:rFonts w:hint="cs"/>
          <w:rtl/>
        </w:rPr>
        <w:t xml:space="preserve"> أكل الميتة عند المخمصة، وإِسَاغَةُ اللُّقمةِ بِالخَمْرِ، والتّلفظ بكلمة الكفر مُكرهًا-بشرط اطمئنان القلب على الإيمان- وإتلاف مال الغير، وأخذ مال الممتنع عن أداء</w:t>
      </w:r>
      <w:r>
        <w:rPr>
          <w:rStyle w:val="a7"/>
          <w:rtl/>
        </w:rPr>
        <w:footnoteReference w:id="3282"/>
      </w:r>
      <w:r>
        <w:rPr>
          <w:rFonts w:hint="cs"/>
          <w:rtl/>
        </w:rPr>
        <w:t xml:space="preserve"> الدين بغيـر إذنـه، ودفـع</w:t>
      </w:r>
      <w:r>
        <w:rPr>
          <w:rStyle w:val="a7"/>
          <w:rtl/>
        </w:rPr>
        <w:footnoteReference w:id="3283"/>
      </w:r>
      <w:r>
        <w:rPr>
          <w:rFonts w:hint="cs"/>
          <w:rtl/>
        </w:rPr>
        <w:t xml:space="preserve"> الصـائـل</w:t>
      </w:r>
      <w:r>
        <w:rPr>
          <w:rFonts w:hint="cs"/>
          <w:vertAlign w:val="superscript"/>
          <w:rtl/>
        </w:rPr>
        <w:t>(</w:t>
      </w:r>
      <w:r>
        <w:rPr>
          <w:rStyle w:val="a7"/>
          <w:rtl/>
        </w:rPr>
        <w:footnoteReference w:id="3284"/>
      </w:r>
      <w:r>
        <w:rPr>
          <w:rFonts w:hint="cs"/>
          <w:vertAlign w:val="superscript"/>
          <w:rtl/>
        </w:rPr>
        <w:t>)</w:t>
      </w:r>
      <w:r>
        <w:rPr>
          <w:rFonts w:hint="cs"/>
          <w:rtl/>
        </w:rPr>
        <w:t>.</w:t>
      </w:r>
    </w:p>
    <w:p w:rsidR="00C10469" w:rsidRDefault="00C10469" w:rsidP="00C10469">
      <w:pPr>
        <w:spacing w:line="221" w:lineRule="auto"/>
        <w:rPr>
          <w:spacing w:val="-12"/>
          <w:rtl/>
        </w:rPr>
      </w:pPr>
      <w:r>
        <w:rPr>
          <w:rFonts w:hint="cs"/>
          <w:spacing w:val="-12"/>
          <w:rtl/>
        </w:rPr>
        <w:t>وأكثر هذه المسائل يصّح أن يكون</w:t>
      </w:r>
      <w:r>
        <w:rPr>
          <w:rFonts w:hint="cs"/>
          <w:spacing w:val="-12"/>
          <w:vertAlign w:val="superscript"/>
          <w:rtl/>
        </w:rPr>
        <w:t>(</w:t>
      </w:r>
      <w:r>
        <w:rPr>
          <w:rStyle w:val="a7"/>
          <w:spacing w:val="-12"/>
          <w:rtl/>
        </w:rPr>
        <w:footnoteReference w:id="3285"/>
      </w:r>
      <w:r>
        <w:rPr>
          <w:rFonts w:hint="cs"/>
          <w:spacing w:val="-12"/>
          <w:vertAlign w:val="superscript"/>
          <w:rtl/>
        </w:rPr>
        <w:t>)</w:t>
      </w:r>
      <w:r>
        <w:rPr>
          <w:rFonts w:hint="cs"/>
          <w:spacing w:val="-12"/>
          <w:rtl/>
        </w:rPr>
        <w:t xml:space="preserve"> من فروع</w:t>
      </w:r>
      <w:r>
        <w:rPr>
          <w:rStyle w:val="a7"/>
          <w:spacing w:val="-12"/>
          <w:rtl/>
        </w:rPr>
        <w:footnoteReference w:id="3286"/>
      </w:r>
      <w:r>
        <w:rPr>
          <w:rFonts w:hint="cs"/>
          <w:spacing w:val="-12"/>
          <w:rtl/>
        </w:rPr>
        <w:t xml:space="preserve"> القاعدة المتقدمة على وجه التداخل</w:t>
      </w:r>
      <w:r>
        <w:rPr>
          <w:rFonts w:hint="cs"/>
          <w:spacing w:val="-12"/>
          <w:vertAlign w:val="superscript"/>
          <w:rtl/>
        </w:rPr>
        <w:t>(</w:t>
      </w:r>
      <w:r>
        <w:rPr>
          <w:rStyle w:val="a7"/>
          <w:spacing w:val="-12"/>
          <w:rtl/>
        </w:rPr>
        <w:footnoteReference w:id="3287"/>
      </w:r>
      <w:r>
        <w:rPr>
          <w:rFonts w:hint="cs"/>
          <w:spacing w:val="-12"/>
          <w:vertAlign w:val="superscript"/>
          <w:rtl/>
        </w:rPr>
        <w:t>)</w:t>
      </w:r>
      <w:r>
        <w:rPr>
          <w:rFonts w:hint="cs"/>
          <w:spacing w:val="-12"/>
          <w:rtl/>
        </w:rPr>
        <w:t>.</w:t>
      </w:r>
    </w:p>
    <w:p w:rsidR="00C10469" w:rsidRDefault="00C10469">
      <w:pPr>
        <w:rPr>
          <w:rtl/>
        </w:rPr>
      </w:pPr>
      <w:r>
        <w:rPr>
          <w:rFonts w:hint="cs"/>
          <w:rtl/>
        </w:rPr>
        <w:lastRenderedPageBreak/>
        <w:t>وهذه القاعدة [مشروطة]</w:t>
      </w:r>
      <w:r>
        <w:rPr>
          <w:rStyle w:val="a7"/>
          <w:rtl/>
        </w:rPr>
        <w:footnoteReference w:id="3288"/>
      </w:r>
      <w:r>
        <w:rPr>
          <w:rFonts w:hint="cs"/>
          <w:rtl/>
        </w:rPr>
        <w:t xml:space="preserve"> بأن لا[تكون]</w:t>
      </w:r>
      <w:r>
        <w:rPr>
          <w:rStyle w:val="a7"/>
          <w:rtl/>
        </w:rPr>
        <w:footnoteReference w:id="3289"/>
      </w:r>
      <w:r>
        <w:rPr>
          <w:rFonts w:hint="cs"/>
          <w:rtl/>
        </w:rPr>
        <w:t xml:space="preserve"> حرمة[الشيء في نظر]</w:t>
      </w:r>
      <w:r>
        <w:rPr>
          <w:rStyle w:val="a7"/>
          <w:rtl/>
        </w:rPr>
        <w:footnoteReference w:id="3290"/>
      </w:r>
      <w:r>
        <w:rPr>
          <w:rFonts w:hint="cs"/>
          <w:rtl/>
        </w:rPr>
        <w:t xml:space="preserve"> الشرع أعظم من مُهجة المُضطر؛ ولذا قالوا : لو أُكره على قتل غيره بِقَتْلٍ : لا يُرخَّص له؛ لأن مفسدة قتل غيره أعظم من مفسدة قتل نفسه</w:t>
      </w:r>
      <w:r>
        <w:rPr>
          <w:rFonts w:hint="cs"/>
          <w:vertAlign w:val="superscript"/>
          <w:rtl/>
        </w:rPr>
        <w:t>(</w:t>
      </w:r>
      <w:r>
        <w:rPr>
          <w:rStyle w:val="a7"/>
          <w:rtl/>
        </w:rPr>
        <w:footnoteReference w:id="3291"/>
      </w:r>
      <w:r>
        <w:rPr>
          <w:rFonts w:hint="cs"/>
          <w:vertAlign w:val="superscript"/>
          <w:rtl/>
        </w:rPr>
        <w:t>)</w:t>
      </w:r>
      <w:r>
        <w:rPr>
          <w:rFonts w:hint="cs"/>
          <w:rtl/>
        </w:rPr>
        <w:t>.</w:t>
      </w:r>
    </w:p>
    <w:p w:rsidR="00C10469" w:rsidRDefault="00C10469">
      <w:pPr>
        <w:rPr>
          <w:rtl/>
        </w:rPr>
      </w:pPr>
      <w:r>
        <w:rPr>
          <w:rFonts w:hint="cs"/>
          <w:rtl/>
        </w:rPr>
        <w:t>و</w:t>
      </w:r>
      <w:r>
        <w:rPr>
          <w:rStyle w:val="a7"/>
          <w:rtl/>
        </w:rPr>
        <w:footnoteReference w:id="3292"/>
      </w:r>
      <w:r>
        <w:rPr>
          <w:rFonts w:hint="cs"/>
          <w:rtl/>
        </w:rPr>
        <w:t xml:space="preserve"> نظائره كثيرة في كتب الأصول، في باب الرخصة</w:t>
      </w:r>
      <w:r>
        <w:rPr>
          <w:rFonts w:hint="cs"/>
          <w:vertAlign w:val="superscript"/>
          <w:rtl/>
        </w:rPr>
        <w:t>(</w:t>
      </w:r>
      <w:r>
        <w:rPr>
          <w:rStyle w:val="a7"/>
          <w:rtl/>
        </w:rPr>
        <w:footnoteReference w:id="3293"/>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4367F2"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1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637A8" w:rsidRDefault="00C10469">
      <w:pPr>
        <w:pStyle w:val="a9"/>
        <w:rPr>
          <w:rFonts w:cs="AL-Mateen"/>
          <w:rtl/>
        </w:rPr>
      </w:pPr>
      <w:r w:rsidRPr="00A637A8">
        <w:rPr>
          <w:rFonts w:cs="AL-Mateen"/>
          <w:rtl/>
        </w:rPr>
        <w:lastRenderedPageBreak/>
        <w:t>[ الـقـاعـدة الـ</w:t>
      </w:r>
      <w:r w:rsidRPr="00A637A8">
        <w:rPr>
          <w:rFonts w:cs="AL-Mateen" w:hint="cs"/>
          <w:rtl/>
        </w:rPr>
        <w:t>س</w:t>
      </w:r>
      <w:r w:rsidRPr="00A637A8">
        <w:rPr>
          <w:rFonts w:cs="AL-Mateen"/>
          <w:rtl/>
        </w:rPr>
        <w:t>ـا</w:t>
      </w:r>
      <w:r w:rsidRPr="00A637A8">
        <w:rPr>
          <w:rFonts w:cs="AL-Mateen" w:hint="cs"/>
          <w:rtl/>
        </w:rPr>
        <w:t>بـع</w:t>
      </w:r>
      <w:r w:rsidRPr="00A637A8">
        <w:rPr>
          <w:rFonts w:cs="AL-Mateen"/>
          <w:rtl/>
        </w:rPr>
        <w:t xml:space="preserve">ـة </w:t>
      </w:r>
      <w:r w:rsidRPr="00A637A8">
        <w:rPr>
          <w:rFonts w:cs="AL-Mateen" w:hint="eastAsia"/>
          <w:rtl/>
        </w:rPr>
        <w:t>والـخـمـسـون</w:t>
      </w:r>
      <w:r w:rsidRPr="00A637A8">
        <w:rPr>
          <w:rFonts w:cs="AL-Mateen"/>
          <w:rtl/>
        </w:rPr>
        <w:t xml:space="preserve"> بـعـد الـمـائـة ]</w:t>
      </w:r>
    </w:p>
    <w:p w:rsidR="00C10469" w:rsidRDefault="00C10469">
      <w:pPr>
        <w:rPr>
          <w:rtl/>
        </w:rPr>
      </w:pPr>
      <w:r>
        <w:rPr>
          <w:rFonts w:cs="Monotype Koufi" w:hint="cs"/>
          <w:bCs/>
          <w:rtl/>
        </w:rPr>
        <w:t>الضَّرَرُ لا يُزالُ بالضَّرَرِ</w:t>
      </w:r>
      <w:r>
        <w:rPr>
          <w:rFonts w:hint="cs"/>
          <w:vertAlign w:val="superscript"/>
          <w:rtl/>
        </w:rPr>
        <w:t>(</w:t>
      </w:r>
      <w:r>
        <w:rPr>
          <w:rStyle w:val="a7"/>
          <w:rtl/>
        </w:rPr>
        <w:footnoteReference w:id="3294"/>
      </w:r>
      <w:r>
        <w:rPr>
          <w:rFonts w:hint="cs"/>
          <w:vertAlign w:val="superscript"/>
          <w:rtl/>
        </w:rPr>
        <w:t xml:space="preserve">) </w:t>
      </w:r>
      <w:r>
        <w:rPr>
          <w:rFonts w:hint="cs"/>
          <w:rtl/>
        </w:rPr>
        <w:t>:</w:t>
      </w:r>
    </w:p>
    <w:p w:rsidR="00C10469" w:rsidRDefault="00C10469">
      <w:pPr>
        <w:rPr>
          <w:rtl/>
        </w:rPr>
      </w:pPr>
      <w:r>
        <w:rPr>
          <w:rFonts w:hint="cs"/>
          <w:b/>
          <w:bCs/>
          <w:rtl/>
        </w:rPr>
        <w:lastRenderedPageBreak/>
        <w:t xml:space="preserve">ومن فروعها </w:t>
      </w:r>
      <w:r>
        <w:rPr>
          <w:rFonts w:hint="cs"/>
          <w:rtl/>
        </w:rPr>
        <w:t>: عدم وجوب العمارة على الشريك، فإنَّ</w:t>
      </w:r>
      <w:r>
        <w:rPr>
          <w:rStyle w:val="a7"/>
          <w:rtl/>
        </w:rPr>
        <w:footnoteReference w:id="3295"/>
      </w:r>
      <w:r>
        <w:rPr>
          <w:rFonts w:hint="cs"/>
          <w:rtl/>
        </w:rPr>
        <w:t xml:space="preserve"> الدار إذا كانت بين</w:t>
      </w:r>
      <w:r>
        <w:rPr>
          <w:rStyle w:val="a7"/>
          <w:rtl/>
        </w:rPr>
        <w:footnoteReference w:id="3296"/>
      </w:r>
      <w:r>
        <w:rPr>
          <w:rFonts w:hint="cs"/>
          <w:rtl/>
        </w:rPr>
        <w:t xml:space="preserve"> الرّجلين واحتاجت إلى العمارة، وأبى أحدُهما : لا يجبر. فإن أعمرها الآخر ليس له أن يرجع على شريكه إلا إذا أعمرها بأمر القاضي.</w:t>
      </w:r>
    </w:p>
    <w:p w:rsidR="00C10469" w:rsidRDefault="00C10469">
      <w:pPr>
        <w:rPr>
          <w:rtl/>
        </w:rPr>
      </w:pPr>
      <w:r>
        <w:rPr>
          <w:rFonts w:hint="cs"/>
          <w:rtl/>
        </w:rPr>
        <w:t>هكذا يفهم من عبارة القوم في باب الحيطانِ</w:t>
      </w:r>
      <w:r>
        <w:rPr>
          <w:rFonts w:hint="cs"/>
          <w:vertAlign w:val="superscript"/>
          <w:rtl/>
        </w:rPr>
        <w:t>(</w:t>
      </w:r>
      <w:r>
        <w:rPr>
          <w:rStyle w:val="a7"/>
          <w:rtl/>
        </w:rPr>
        <w:footnoteReference w:id="3297"/>
      </w:r>
      <w:r>
        <w:rPr>
          <w:rFonts w:hint="cs"/>
          <w:vertAlign w:val="superscript"/>
          <w:rtl/>
        </w:rPr>
        <w:t>)</w:t>
      </w:r>
      <w:r>
        <w:rPr>
          <w:rFonts w:hint="cs"/>
          <w:rtl/>
        </w:rPr>
        <w:t>.</w:t>
      </w:r>
    </w:p>
    <w:p w:rsidR="00C10469" w:rsidRDefault="00C10469">
      <w:pPr>
        <w:rPr>
          <w:rtl/>
        </w:rPr>
      </w:pPr>
      <w:r>
        <w:rPr>
          <w:rFonts w:hint="cs"/>
          <w:rtl/>
        </w:rPr>
        <w:t>وفيها</w:t>
      </w:r>
      <w:r>
        <w:rPr>
          <w:rFonts w:hint="cs"/>
          <w:vertAlign w:val="superscript"/>
          <w:rtl/>
        </w:rPr>
        <w:t>(</w:t>
      </w:r>
      <w:r>
        <w:rPr>
          <w:rStyle w:val="a7"/>
          <w:rtl/>
        </w:rPr>
        <w:footnoteReference w:id="3298"/>
      </w:r>
      <w:r>
        <w:rPr>
          <w:rFonts w:hint="cs"/>
          <w:vertAlign w:val="superscript"/>
          <w:rtl/>
        </w:rPr>
        <w:t>)</w:t>
      </w:r>
      <w:r>
        <w:rPr>
          <w:rFonts w:hint="cs"/>
          <w:rtl/>
        </w:rPr>
        <w:t xml:space="preserve"> مسائل : يجبر فيها الشّريك!.</w:t>
      </w:r>
    </w:p>
    <w:p w:rsidR="00C10469" w:rsidRDefault="00C10469">
      <w:pPr>
        <w:rPr>
          <w:rtl/>
        </w:rPr>
      </w:pPr>
      <w:r>
        <w:rPr>
          <w:rFonts w:hint="cs"/>
          <w:rtl/>
        </w:rPr>
        <w:t xml:space="preserve">ويعلم بهذا أن هذا الأصل ليس بمطلق،  مع أن </w:t>
      </w:r>
      <w:r>
        <w:rPr>
          <w:rFonts w:hint="eastAsia"/>
          <w:rtl/>
        </w:rPr>
        <w:t>«</w:t>
      </w:r>
      <w:r>
        <w:rPr>
          <w:rFonts w:hint="cs"/>
          <w:rtl/>
        </w:rPr>
        <w:t>[الضرر]</w:t>
      </w:r>
      <w:r>
        <w:rPr>
          <w:rStyle w:val="a7"/>
          <w:rtl/>
        </w:rPr>
        <w:footnoteReference w:id="3299"/>
      </w:r>
      <w:r>
        <w:rPr>
          <w:rFonts w:hint="cs"/>
          <w:rtl/>
        </w:rPr>
        <w:t xml:space="preserve"> الخاص يتحمّل لأجل دفع[الضرر]</w:t>
      </w:r>
      <w:r>
        <w:rPr>
          <w:rFonts w:hint="cs"/>
          <w:b/>
          <w:bCs/>
          <w:vertAlign w:val="superscript"/>
          <w:rtl/>
        </w:rPr>
        <w:t>5</w:t>
      </w:r>
      <w:r>
        <w:rPr>
          <w:rFonts w:hint="cs"/>
          <w:rtl/>
        </w:rPr>
        <w:t xml:space="preserve"> العام</w:t>
      </w:r>
      <w:r>
        <w:rPr>
          <w:rFonts w:hint="eastAsia"/>
          <w:rtl/>
        </w:rPr>
        <w:t>»</w:t>
      </w:r>
      <w:r>
        <w:rPr>
          <w:rFonts w:hint="cs"/>
          <w:rtl/>
        </w:rPr>
        <w:t xml:space="preserve"> و</w:t>
      </w:r>
      <w:r>
        <w:rPr>
          <w:rFonts w:hint="eastAsia"/>
          <w:rtl/>
        </w:rPr>
        <w:t>«</w:t>
      </w:r>
      <w:r>
        <w:rPr>
          <w:rFonts w:hint="cs"/>
          <w:rtl/>
        </w:rPr>
        <w:t>إذا كـان أحد الضـررين أعـظـم [ضـرراً]</w:t>
      </w:r>
      <w:r>
        <w:rPr>
          <w:rStyle w:val="a7"/>
          <w:rtl/>
        </w:rPr>
        <w:footnoteReference w:id="3300"/>
      </w:r>
      <w:r>
        <w:rPr>
          <w:rFonts w:hint="cs"/>
          <w:rtl/>
        </w:rPr>
        <w:t xml:space="preserve"> فإن الأشدّ يزالُ بالأخَف</w:t>
      </w:r>
      <w:r>
        <w:rPr>
          <w:rFonts w:hint="eastAsia"/>
          <w:rtl/>
        </w:rPr>
        <w:t>»</w:t>
      </w:r>
      <w:r>
        <w:rPr>
          <w:rFonts w:hint="cs"/>
          <w:vertAlign w:val="superscript"/>
          <w:rtl/>
        </w:rPr>
        <w:t>(</w:t>
      </w:r>
      <w:r>
        <w:rPr>
          <w:rStyle w:val="a7"/>
          <w:rtl/>
        </w:rPr>
        <w:footnoteReference w:id="3301"/>
      </w:r>
      <w:r>
        <w:rPr>
          <w:rFonts w:hint="cs"/>
          <w:vertAlign w:val="superscript"/>
          <w:rtl/>
        </w:rPr>
        <w:t>)</w:t>
      </w:r>
      <w:r>
        <w:rPr>
          <w:rFonts w:hint="cs"/>
          <w:rtl/>
        </w:rPr>
        <w:t>.</w:t>
      </w:r>
    </w:p>
    <w:p w:rsidR="00C10469" w:rsidRDefault="00C10469" w:rsidP="00C10469">
      <w:pPr>
        <w:ind w:left="848" w:hanging="281"/>
        <w:rPr>
          <w:rtl/>
        </w:rPr>
      </w:pPr>
      <w:r>
        <w:rPr>
          <w:rtl/>
        </w:rPr>
        <w:lastRenderedPageBreak/>
        <w:t>•</w:t>
      </w:r>
      <w:r>
        <w:rPr>
          <w:rFonts w:hint="cs"/>
          <w:rtl/>
        </w:rPr>
        <w:t xml:space="preserve">  </w:t>
      </w:r>
      <w:r>
        <w:rPr>
          <w:rFonts w:hint="eastAsia"/>
          <w:rtl/>
        </w:rPr>
        <w:t>«</w:t>
      </w:r>
      <w:r>
        <w:rPr>
          <w:rFonts w:hint="cs"/>
          <w:b/>
          <w:bCs/>
          <w:rtl/>
        </w:rPr>
        <w:t>ومن ذلك</w:t>
      </w:r>
      <w:r>
        <w:rPr>
          <w:rFonts w:hint="cs"/>
          <w:vertAlign w:val="superscript"/>
          <w:rtl/>
        </w:rPr>
        <w:t>(</w:t>
      </w:r>
      <w:r>
        <w:rPr>
          <w:rStyle w:val="a7"/>
          <w:rtl/>
        </w:rPr>
        <w:footnoteReference w:id="3302"/>
      </w:r>
      <w:r>
        <w:rPr>
          <w:rFonts w:hint="cs"/>
          <w:vertAlign w:val="superscript"/>
          <w:rtl/>
        </w:rPr>
        <w:t>)</w:t>
      </w:r>
      <w:r>
        <w:rPr>
          <w:rFonts w:hint="cs"/>
          <w:rtl/>
        </w:rPr>
        <w:t xml:space="preserve"> : الإِجْبَارُ على قضاء الدّينِ، والنفقات الواجبة، وحَبْسُ الأبِ إذا امتنع عن الإنفاق.</w:t>
      </w:r>
    </w:p>
    <w:p w:rsidR="00C10469" w:rsidRDefault="00C10469" w:rsidP="00C10469">
      <w:pPr>
        <w:ind w:left="848" w:hanging="281"/>
        <w:rPr>
          <w:rtl/>
        </w:rPr>
      </w:pPr>
      <w:r>
        <w:rPr>
          <w:b/>
          <w:bCs/>
          <w:rtl/>
        </w:rPr>
        <w:t>•</w:t>
      </w:r>
      <w:r>
        <w:rPr>
          <w:rFonts w:hint="cs"/>
          <w:b/>
          <w:bCs/>
          <w:rtl/>
        </w:rPr>
        <w:t xml:space="preserve">  ومنها</w:t>
      </w:r>
      <w:r>
        <w:rPr>
          <w:rFonts w:hint="cs"/>
          <w:rtl/>
        </w:rPr>
        <w:t xml:space="preserve"> : لو غصب أرضًا فبنى فيها، أو غرس - فإن كان</w:t>
      </w:r>
      <w:r>
        <w:rPr>
          <w:rFonts w:hint="cs"/>
          <w:vertAlign w:val="superscript"/>
          <w:rtl/>
        </w:rPr>
        <w:t>(</w:t>
      </w:r>
      <w:r>
        <w:rPr>
          <w:rStyle w:val="a7"/>
          <w:rtl/>
        </w:rPr>
        <w:footnoteReference w:id="3303"/>
      </w:r>
      <w:r>
        <w:rPr>
          <w:rFonts w:hint="cs"/>
          <w:vertAlign w:val="superscript"/>
          <w:rtl/>
        </w:rPr>
        <w:t>)</w:t>
      </w:r>
      <w:r>
        <w:rPr>
          <w:rFonts w:hint="cs"/>
          <w:rtl/>
        </w:rPr>
        <w:t xml:space="preserve"> قيمة</w:t>
      </w:r>
      <w:r>
        <w:rPr>
          <w:rStyle w:val="a7"/>
          <w:rtl/>
        </w:rPr>
        <w:footnoteReference w:id="3304"/>
      </w:r>
      <w:r>
        <w:rPr>
          <w:rFonts w:hint="cs"/>
          <w:rtl/>
        </w:rPr>
        <w:t xml:space="preserve"> [الأرض]</w:t>
      </w:r>
      <w:r>
        <w:rPr>
          <w:rStyle w:val="a7"/>
          <w:rtl/>
        </w:rPr>
        <w:footnoteReference w:id="3305"/>
      </w:r>
      <w:r>
        <w:rPr>
          <w:rFonts w:hint="cs"/>
          <w:rtl/>
        </w:rPr>
        <w:t xml:space="preserve"> الأكثر</w:t>
      </w:r>
      <w:r>
        <w:rPr>
          <w:rFonts w:hint="cs"/>
          <w:vertAlign w:val="superscript"/>
          <w:rtl/>
        </w:rPr>
        <w:t>(</w:t>
      </w:r>
      <w:r>
        <w:rPr>
          <w:rStyle w:val="a7"/>
          <w:rtl/>
        </w:rPr>
        <w:footnoteReference w:id="3306"/>
      </w:r>
      <w:r>
        <w:rPr>
          <w:rFonts w:hint="cs"/>
          <w:vertAlign w:val="superscript"/>
          <w:rtl/>
        </w:rPr>
        <w:t>)</w:t>
      </w:r>
      <w:r>
        <w:rPr>
          <w:rFonts w:hint="cs"/>
          <w:rtl/>
        </w:rPr>
        <w:t>: قُلعا ورُدّت. وإلاّ ضمن قيمتها</w:t>
      </w:r>
      <w:r>
        <w:rPr>
          <w:rFonts w:hint="eastAsia"/>
          <w:rtl/>
        </w:rPr>
        <w:t>»</w:t>
      </w:r>
      <w:r>
        <w:rPr>
          <w:rFonts w:hint="cs"/>
          <w:vertAlign w:val="superscript"/>
          <w:rtl/>
        </w:rPr>
        <w:t>(</w:t>
      </w:r>
      <w:r>
        <w:rPr>
          <w:rStyle w:val="a7"/>
          <w:rtl/>
        </w:rPr>
        <w:footnoteReference w:id="3307"/>
      </w:r>
      <w:r>
        <w:rPr>
          <w:rFonts w:hint="cs"/>
          <w:vertAlign w:val="superscript"/>
          <w:rtl/>
        </w:rPr>
        <w:t>)</w:t>
      </w:r>
      <w:r>
        <w:rPr>
          <w:rFonts w:hint="cs"/>
          <w:rtl/>
        </w:rPr>
        <w:t>.</w:t>
      </w:r>
    </w:p>
    <w:p w:rsidR="00C10469" w:rsidRDefault="00C10469">
      <w:pPr>
        <w:rPr>
          <w:rtl/>
        </w:rPr>
      </w:pPr>
      <w:r>
        <w:rPr>
          <w:rFonts w:hint="cs"/>
          <w:rtl/>
        </w:rPr>
        <w:t>وعليه فروع كثيرة.</w:t>
      </w:r>
    </w:p>
    <w:p w:rsidR="00C10469" w:rsidRDefault="00C10469">
      <w:pPr>
        <w:rPr>
          <w:rtl/>
        </w:rPr>
      </w:pPr>
      <w:r>
        <w:rPr>
          <w:rFonts w:hint="cs"/>
          <w:rtl/>
        </w:rPr>
        <w:t xml:space="preserve">فالأقرب إلى الصحة أن يقال : </w:t>
      </w:r>
      <w:r>
        <w:rPr>
          <w:rFonts w:hint="eastAsia"/>
          <w:rtl/>
        </w:rPr>
        <w:t>«</w:t>
      </w:r>
      <w:r>
        <w:rPr>
          <w:rFonts w:hint="cs"/>
          <w:rtl/>
        </w:rPr>
        <w:t>الضرر لا يزال بمثله</w:t>
      </w:r>
      <w:r>
        <w:rPr>
          <w:rFonts w:hint="eastAsia"/>
          <w:rtl/>
        </w:rPr>
        <w:t>»</w:t>
      </w:r>
      <w:r>
        <w:rPr>
          <w:rFonts w:hint="cs"/>
          <w:rtl/>
        </w:rPr>
        <w:t>، وبه يُعلَمُ حال الأشد.</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1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B15F2" w:rsidRDefault="00C10469">
      <w:pPr>
        <w:pStyle w:val="a9"/>
        <w:rPr>
          <w:rFonts w:cs="AL-Mateen"/>
          <w:rtl/>
        </w:rPr>
      </w:pPr>
      <w:r w:rsidRPr="009B15F2">
        <w:rPr>
          <w:rFonts w:cs="AL-Mateen"/>
          <w:rtl/>
        </w:rPr>
        <w:lastRenderedPageBreak/>
        <w:t>[ الـقـاعـدة الـ</w:t>
      </w:r>
      <w:r w:rsidRPr="009B15F2">
        <w:rPr>
          <w:rFonts w:cs="AL-Mateen" w:hint="cs"/>
          <w:rtl/>
        </w:rPr>
        <w:t>ث</w:t>
      </w:r>
      <w:r w:rsidRPr="009B15F2">
        <w:rPr>
          <w:rFonts w:cs="AL-Mateen"/>
          <w:rtl/>
        </w:rPr>
        <w:t>ـامـ</w:t>
      </w:r>
      <w:r w:rsidRPr="009B15F2">
        <w:rPr>
          <w:rFonts w:cs="AL-Mateen" w:hint="cs"/>
          <w:rtl/>
        </w:rPr>
        <w:t>ن</w:t>
      </w:r>
      <w:r w:rsidRPr="009B15F2">
        <w:rPr>
          <w:rFonts w:cs="AL-Mateen"/>
          <w:rtl/>
        </w:rPr>
        <w:t xml:space="preserve">ـة </w:t>
      </w:r>
      <w:r w:rsidRPr="009B15F2">
        <w:rPr>
          <w:rFonts w:cs="AL-Mateen" w:hint="eastAsia"/>
          <w:rtl/>
        </w:rPr>
        <w:t>والـخـمـسـون</w:t>
      </w:r>
      <w:r w:rsidRPr="009B15F2">
        <w:rPr>
          <w:rFonts w:cs="AL-Mateen"/>
          <w:rtl/>
        </w:rPr>
        <w:t xml:space="preserve"> بـعـد الـمـائـة ]</w:t>
      </w:r>
    </w:p>
    <w:p w:rsidR="00C10469" w:rsidRDefault="00C10469">
      <w:pPr>
        <w:rPr>
          <w:rtl/>
        </w:rPr>
      </w:pPr>
      <w:r>
        <w:rPr>
          <w:rFonts w:cs="Monotype Koufi" w:hint="cs"/>
          <w:rtl/>
        </w:rPr>
        <w:t>الضَّرَرُ مَدْفُوعٌ بِقَدْرِ الإمْكَانِ</w:t>
      </w:r>
      <w:r>
        <w:rPr>
          <w:rFonts w:hint="cs"/>
          <w:vertAlign w:val="superscript"/>
          <w:rtl/>
        </w:rPr>
        <w:t>(</w:t>
      </w:r>
      <w:r>
        <w:rPr>
          <w:rStyle w:val="a7"/>
          <w:rtl/>
        </w:rPr>
        <w:footnoteReference w:id="3308"/>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فإذا كفل بنفسِ رجلٍ : لا يتـوقف تسليمه إلى قبول المكفول له - مع أنّ [تسليم]</w:t>
      </w:r>
      <w:r>
        <w:rPr>
          <w:rStyle w:val="a7"/>
          <w:rtl/>
        </w:rPr>
        <w:footnoteReference w:id="3309"/>
      </w:r>
      <w:r>
        <w:rPr>
          <w:rFonts w:hint="cs"/>
          <w:rtl/>
        </w:rPr>
        <w:t xml:space="preserve"> النفس يحتاج إليه وقتًا بعد وقت حتى يصل</w:t>
      </w:r>
      <w:r>
        <w:rPr>
          <w:rStyle w:val="a7"/>
          <w:rtl/>
        </w:rPr>
        <w:footnoteReference w:id="3310"/>
      </w:r>
      <w:r>
        <w:rPr>
          <w:rFonts w:hint="cs"/>
          <w:rtl/>
        </w:rPr>
        <w:t xml:space="preserve"> إليه حـقـه-؛ لأنه لو</w:t>
      </w:r>
      <w:r>
        <w:rPr>
          <w:rStyle w:val="a7"/>
          <w:rtl/>
        </w:rPr>
        <w:footnoteReference w:id="3311"/>
      </w:r>
      <w:r>
        <w:rPr>
          <w:rFonts w:hint="cs"/>
          <w:rtl/>
        </w:rPr>
        <w:t xml:space="preserve"> </w:t>
      </w:r>
      <w:r>
        <w:rPr>
          <w:rFonts w:hint="cs"/>
          <w:rtl/>
        </w:rPr>
        <w:lastRenderedPageBreak/>
        <w:t>توقّف</w:t>
      </w:r>
      <w:r>
        <w:rPr>
          <w:rFonts w:hint="cs"/>
          <w:vertAlign w:val="superscript"/>
          <w:rtl/>
        </w:rPr>
        <w:t>(</w:t>
      </w:r>
      <w:r>
        <w:rPr>
          <w:rStyle w:val="a7"/>
          <w:rtl/>
        </w:rPr>
        <w:footnoteReference w:id="3312"/>
      </w:r>
      <w:r>
        <w:rPr>
          <w:rFonts w:hint="cs"/>
          <w:vertAlign w:val="superscript"/>
          <w:rtl/>
        </w:rPr>
        <w:t>)</w:t>
      </w:r>
      <w:r>
        <w:rPr>
          <w:rFonts w:hint="cs"/>
          <w:rtl/>
        </w:rPr>
        <w:t xml:space="preserve"> </w:t>
      </w:r>
    </w:p>
    <w:p w:rsidR="00C10469" w:rsidRDefault="00C10469">
      <w:pPr>
        <w:ind w:firstLine="0"/>
        <w:rPr>
          <w:rtl/>
        </w:rPr>
      </w:pPr>
      <w:r>
        <w:rPr>
          <w:rFonts w:hint="cs"/>
          <w:rtl/>
        </w:rPr>
        <w:t>لربّما امـتـنع عن ذلـك؛ إبـقاءً لـحق نـفسه، فـيتضـرر به الكفـيل</w:t>
      </w:r>
      <w:r>
        <w:rPr>
          <w:rStyle w:val="a7"/>
          <w:rtl/>
        </w:rPr>
        <w:footnoteReference w:id="3313"/>
      </w:r>
      <w:r>
        <w:rPr>
          <w:rFonts w:hint="cs"/>
          <w:rtl/>
        </w:rPr>
        <w:t>. فينـدفع الضـرر عنـه</w:t>
      </w:r>
      <w:r>
        <w:rPr>
          <w:rFonts w:hint="eastAsia"/>
          <w:rtl/>
        </w:rPr>
        <w:t>»</w:t>
      </w:r>
      <w:r>
        <w:rPr>
          <w:rFonts w:hint="cs"/>
          <w:vertAlign w:val="superscript"/>
          <w:rtl/>
        </w:rPr>
        <w:t>(</w:t>
      </w:r>
      <w:r>
        <w:rPr>
          <w:rStyle w:val="a7"/>
          <w:rtl/>
        </w:rPr>
        <w:footnoteReference w:id="3314"/>
      </w:r>
      <w:r>
        <w:rPr>
          <w:rFonts w:hint="cs"/>
          <w:vertAlign w:val="superscript"/>
          <w:rtl/>
        </w:rPr>
        <w:t>)</w:t>
      </w:r>
      <w:r>
        <w:rPr>
          <w:rFonts w:hint="cs"/>
          <w:rtl/>
        </w:rPr>
        <w:t>.</w:t>
      </w:r>
    </w:p>
    <w:p w:rsidR="00C10469" w:rsidRDefault="00C10469">
      <w:pPr>
        <w:ind w:firstLine="0"/>
        <w:rPr>
          <w:rtl/>
        </w:rPr>
      </w:pPr>
    </w:p>
    <w:p w:rsidR="00C10469" w:rsidRDefault="00C10469">
      <w:pPr>
        <w:ind w:firstLine="0"/>
        <w:rPr>
          <w:rtl/>
        </w:rPr>
      </w:pPr>
    </w:p>
    <w:p w:rsidR="00C10469" w:rsidRDefault="00C10469">
      <w:pPr>
        <w:ind w:firstLine="0"/>
        <w:rPr>
          <w:rtl/>
        </w:rPr>
      </w:pPr>
    </w:p>
    <w:p w:rsidR="00C10469" w:rsidRPr="00330F1E"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21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B053F" w:rsidRDefault="00C10469">
      <w:pPr>
        <w:pStyle w:val="a9"/>
        <w:rPr>
          <w:rFonts w:cs="AL-Mateen"/>
          <w:rtl/>
        </w:rPr>
      </w:pPr>
      <w:r w:rsidRPr="00BB053F">
        <w:rPr>
          <w:rFonts w:cs="AL-Mateen"/>
          <w:rtl/>
        </w:rPr>
        <w:lastRenderedPageBreak/>
        <w:t>[ الـقـاعـدة الـ</w:t>
      </w:r>
      <w:r w:rsidRPr="00BB053F">
        <w:rPr>
          <w:rFonts w:cs="AL-Mateen" w:hint="cs"/>
          <w:rtl/>
        </w:rPr>
        <w:t>ت</w:t>
      </w:r>
      <w:r w:rsidRPr="00BB053F">
        <w:rPr>
          <w:rFonts w:cs="AL-Mateen"/>
          <w:rtl/>
        </w:rPr>
        <w:t>ـاسـ</w:t>
      </w:r>
      <w:r w:rsidRPr="00BB053F">
        <w:rPr>
          <w:rFonts w:cs="AL-Mateen" w:hint="cs"/>
          <w:rtl/>
        </w:rPr>
        <w:t>عـ</w:t>
      </w:r>
      <w:r w:rsidRPr="00BB053F">
        <w:rPr>
          <w:rFonts w:cs="AL-Mateen"/>
          <w:rtl/>
        </w:rPr>
        <w:t xml:space="preserve">ة </w:t>
      </w:r>
      <w:r w:rsidRPr="00BB053F">
        <w:rPr>
          <w:rFonts w:cs="AL-Mateen" w:hint="eastAsia"/>
          <w:rtl/>
        </w:rPr>
        <w:t>والـخـمـسـون</w:t>
      </w:r>
      <w:r w:rsidRPr="00BB053F">
        <w:rPr>
          <w:rFonts w:cs="AL-Mateen"/>
          <w:rtl/>
        </w:rPr>
        <w:t xml:space="preserve"> بـعـد الـمـائـة ]</w:t>
      </w:r>
    </w:p>
    <w:p w:rsidR="00C10469" w:rsidRDefault="00C10469">
      <w:pPr>
        <w:rPr>
          <w:rtl/>
        </w:rPr>
      </w:pPr>
      <w:r>
        <w:rPr>
          <w:rFonts w:cs="Monotype Koufi" w:hint="cs"/>
          <w:rtl/>
        </w:rPr>
        <w:t>الضَّمَانُ بالتَغْريرِ مَخْصُوصٌ</w:t>
      </w:r>
      <w:r>
        <w:rPr>
          <w:rStyle w:val="a7"/>
          <w:rtl/>
        </w:rPr>
        <w:footnoteReference w:id="3315"/>
      </w:r>
      <w:r>
        <w:rPr>
          <w:rFonts w:hint="cs"/>
          <w:rtl/>
        </w:rPr>
        <w:t xml:space="preserve"> </w:t>
      </w:r>
      <w:r>
        <w:rPr>
          <w:rFonts w:cs="Monotype Koufi" w:hint="cs"/>
          <w:rtl/>
        </w:rPr>
        <w:t>بِالمُعَاوَضَاتِ</w:t>
      </w:r>
      <w:r>
        <w:rPr>
          <w:rFonts w:hint="cs"/>
          <w:vertAlign w:val="superscript"/>
          <w:rtl/>
        </w:rPr>
        <w:t>(</w:t>
      </w:r>
      <w:r>
        <w:rPr>
          <w:rStyle w:val="a7"/>
          <w:rtl/>
        </w:rPr>
        <w:footnoteReference w:id="3316"/>
      </w:r>
      <w:r>
        <w:rPr>
          <w:rFonts w:hint="cs"/>
          <w:vertAlign w:val="superscript"/>
          <w:rtl/>
        </w:rPr>
        <w:t>)</w:t>
      </w:r>
      <w:r>
        <w:rPr>
          <w:rFonts w:hint="cs"/>
          <w:rtl/>
        </w:rPr>
        <w:t xml:space="preserve"> :</w:t>
      </w:r>
    </w:p>
    <w:p w:rsidR="00C10469" w:rsidRDefault="00C10469">
      <w:pPr>
        <w:rPr>
          <w:rtl/>
        </w:rPr>
      </w:pPr>
      <w:r>
        <w:rPr>
          <w:rFonts w:hint="eastAsia"/>
          <w:rtl/>
        </w:rPr>
        <w:t>«</w:t>
      </w:r>
      <w:r>
        <w:rPr>
          <w:rFonts w:hint="cs"/>
          <w:b/>
          <w:bCs/>
          <w:rtl/>
        </w:rPr>
        <w:t xml:space="preserve">ولذا قالوا </w:t>
      </w:r>
      <w:r>
        <w:rPr>
          <w:rFonts w:hint="cs"/>
          <w:rtl/>
        </w:rPr>
        <w:t>: إن الرّجل إذا سأل غيره عَنْ أَمْن الطريق فقال : اسلك هذا الطريق، فإنه آمن. فَسَلَكَهُ فإذا فيه لصوصٌ سلبوا أمواله : لم يضمن المخبِرُ شيئًا؛ لما أنّه</w:t>
      </w:r>
      <w:r>
        <w:rPr>
          <w:rStyle w:val="a7"/>
          <w:rtl/>
        </w:rPr>
        <w:footnoteReference w:id="3317"/>
      </w:r>
      <w:r>
        <w:rPr>
          <w:rFonts w:hint="cs"/>
          <w:rtl/>
        </w:rPr>
        <w:t xml:space="preserve"> غرور فيما ليس بمعاوضة.</w:t>
      </w:r>
    </w:p>
    <w:p w:rsidR="00C10469" w:rsidRDefault="00C10469">
      <w:pPr>
        <w:rPr>
          <w:rtl/>
        </w:rPr>
      </w:pPr>
      <w:r>
        <w:rPr>
          <w:rFonts w:hint="cs"/>
          <w:rtl/>
        </w:rPr>
        <w:lastRenderedPageBreak/>
        <w:t>وكذلك</w:t>
      </w:r>
      <w:r>
        <w:rPr>
          <w:rFonts w:hint="cs"/>
          <w:vertAlign w:val="superscript"/>
          <w:rtl/>
        </w:rPr>
        <w:t>(</w:t>
      </w:r>
      <w:r>
        <w:rPr>
          <w:rStyle w:val="a7"/>
          <w:rtl/>
        </w:rPr>
        <w:footnoteReference w:id="3318"/>
      </w:r>
      <w:r>
        <w:rPr>
          <w:rFonts w:hint="cs"/>
          <w:vertAlign w:val="superscript"/>
          <w:rtl/>
        </w:rPr>
        <w:t>)</w:t>
      </w:r>
      <w:r>
        <w:rPr>
          <w:rFonts w:hint="cs"/>
          <w:rtl/>
        </w:rPr>
        <w:t xml:space="preserve"> لو قال</w:t>
      </w:r>
      <w:r>
        <w:rPr>
          <w:rStyle w:val="a7"/>
          <w:rtl/>
        </w:rPr>
        <w:footnoteReference w:id="3319"/>
      </w:r>
      <w:r>
        <w:rPr>
          <w:rFonts w:hint="cs"/>
          <w:rtl/>
        </w:rPr>
        <w:t xml:space="preserve"> :كُلْ هذا الطعام، فإنه غير مسموم. فأكل، فظهر بخلافه؛ لكونه [تغريرًا]</w:t>
      </w:r>
      <w:r>
        <w:rPr>
          <w:rStyle w:val="a7"/>
          <w:rtl/>
        </w:rPr>
        <w:footnoteReference w:id="3320"/>
      </w:r>
      <w:r>
        <w:rPr>
          <w:rFonts w:hint="cs"/>
          <w:rtl/>
        </w:rPr>
        <w:t xml:space="preserve"> في غير المعاوضة</w:t>
      </w:r>
      <w:r>
        <w:rPr>
          <w:rFonts w:hint="eastAsia"/>
          <w:rtl/>
        </w:rPr>
        <w:t>»</w:t>
      </w:r>
      <w:r>
        <w:rPr>
          <w:rFonts w:hint="cs"/>
          <w:vertAlign w:val="superscript"/>
          <w:rtl/>
        </w:rPr>
        <w:t>(</w:t>
      </w:r>
      <w:r>
        <w:rPr>
          <w:rStyle w:val="a7"/>
          <w:rtl/>
        </w:rPr>
        <w:footnoteReference w:id="3321"/>
      </w:r>
      <w:r>
        <w:rPr>
          <w:rFonts w:hint="cs"/>
          <w:vertAlign w:val="superscript"/>
          <w:rtl/>
        </w:rPr>
        <w:t>)</w:t>
      </w:r>
      <w:r>
        <w:rPr>
          <w:rFonts w:hint="cs"/>
          <w:rtl/>
        </w:rPr>
        <w:t>.</w:t>
      </w:r>
    </w:p>
    <w:p w:rsidR="00C10469" w:rsidRDefault="00C10469">
      <w:pPr>
        <w:rPr>
          <w:rtl/>
        </w:rPr>
      </w:pPr>
      <w:r>
        <w:rPr>
          <w:rFonts w:hint="cs"/>
          <w:rtl/>
        </w:rPr>
        <w:t>وسيأتي زيادة تفصيل في باب الميم إن شاء الله</w:t>
      </w:r>
      <w:r>
        <w:rPr>
          <w:rFonts w:hint="cs"/>
          <w:vertAlign w:val="superscript"/>
          <w:rtl/>
        </w:rPr>
        <w:t>(</w:t>
      </w:r>
      <w:r>
        <w:rPr>
          <w:rStyle w:val="a7"/>
          <w:rtl/>
        </w:rPr>
        <w:footnoteReference w:id="3322"/>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pPr>
    </w:p>
    <w:p w:rsidR="00C10469" w:rsidRDefault="00C10469">
      <w:pPr>
        <w:rPr>
          <w:rtl/>
        </w:rPr>
        <w:sectPr w:rsidR="00C10469" w:rsidSect="00C10469">
          <w:headerReference w:type="default" r:id="rId21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62EA2" w:rsidRDefault="00C10469">
      <w:pPr>
        <w:pStyle w:val="a9"/>
        <w:rPr>
          <w:rFonts w:cs="AL-Mateen"/>
          <w:rtl/>
        </w:rPr>
      </w:pPr>
      <w:r w:rsidRPr="00A62EA2">
        <w:rPr>
          <w:rFonts w:cs="AL-Mateen" w:hint="cs"/>
          <w:rtl/>
        </w:rPr>
        <w:lastRenderedPageBreak/>
        <w:t>[ الـقـاعـدة الـسـتـون بـعـد الـمـائـة ]</w:t>
      </w:r>
    </w:p>
    <w:p w:rsidR="00C10469" w:rsidRDefault="00C10469">
      <w:pPr>
        <w:rPr>
          <w:rtl/>
        </w:rPr>
      </w:pPr>
      <w:r>
        <w:rPr>
          <w:rFonts w:cs="Monotype Koufi" w:hint="cs"/>
          <w:rtl/>
        </w:rPr>
        <w:t>طَرَفَي</w:t>
      </w:r>
      <w:r>
        <w:rPr>
          <w:rFonts w:hint="cs"/>
          <w:vertAlign w:val="superscript"/>
          <w:rtl/>
        </w:rPr>
        <w:t>(</w:t>
      </w:r>
      <w:r>
        <w:rPr>
          <w:rStyle w:val="a7"/>
          <w:rtl/>
        </w:rPr>
        <w:footnoteReference w:id="3323"/>
      </w:r>
      <w:r>
        <w:rPr>
          <w:rFonts w:hint="cs"/>
          <w:vertAlign w:val="superscript"/>
          <w:rtl/>
        </w:rPr>
        <w:t>)</w:t>
      </w:r>
      <w:r>
        <w:rPr>
          <w:rFonts w:cs="Monotype Koufi" w:hint="cs"/>
          <w:rtl/>
        </w:rPr>
        <w:t xml:space="preserve"> التَّرْجِيحِ إذا تَعَارَضَا كانَ الرُّجْحَانُ في الذَّاتِ أَحَقَّ مِنْهُ في الحالِ</w:t>
      </w:r>
      <w:r>
        <w:rPr>
          <w:rFonts w:hint="cs"/>
          <w:vertAlign w:val="superscript"/>
          <w:rtl/>
        </w:rPr>
        <w:t>(</w:t>
      </w:r>
      <w:r>
        <w:rPr>
          <w:rStyle w:val="a7"/>
          <w:rtl/>
        </w:rPr>
        <w:footnoteReference w:id="3324"/>
      </w:r>
      <w:r>
        <w:rPr>
          <w:rFonts w:hint="cs"/>
          <w:vertAlign w:val="superscript"/>
          <w:rtl/>
        </w:rPr>
        <w:t>)</w:t>
      </w:r>
      <w:r>
        <w:rPr>
          <w:rFonts w:hint="cs"/>
          <w:rtl/>
        </w:rPr>
        <w:t xml:space="preserve"> :</w:t>
      </w:r>
    </w:p>
    <w:p w:rsidR="00C10469" w:rsidRDefault="00C10469">
      <w:pPr>
        <w:rPr>
          <w:rtl/>
        </w:rPr>
      </w:pPr>
      <w:r>
        <w:rPr>
          <w:rFonts w:hint="cs"/>
          <w:rtl/>
        </w:rPr>
        <w:lastRenderedPageBreak/>
        <w:t>فإذا غصب مالاً وغيّره، فزال اسمه : ضَمِنَهُ وَمَلَكَهُ.</w:t>
      </w:r>
    </w:p>
    <w:p w:rsidR="00C10469" w:rsidRDefault="00C10469">
      <w:pPr>
        <w:rPr>
          <w:rtl/>
        </w:rPr>
      </w:pPr>
      <w:r>
        <w:rPr>
          <w:rFonts w:hint="cs"/>
          <w:rtl/>
        </w:rPr>
        <w:t>أما الضمان؛ فلكونه متعديًا. وأما الملك؛ فلأنه أحدث صنعة متقوّمة؛ فإن قيمة الشاة تزداد بطبخها وشيّها، وكذا قيمة الحنطة تزداد بجعلها دقيقًا. وإحداثها صيّر حق</w:t>
      </w:r>
      <w:r>
        <w:rPr>
          <w:rStyle w:val="a7"/>
          <w:rtl/>
        </w:rPr>
        <w:footnoteReference w:id="3325"/>
      </w:r>
      <w:r>
        <w:rPr>
          <w:rFonts w:hint="cs"/>
          <w:rtl/>
        </w:rPr>
        <w:t xml:space="preserve"> المالك هالكًا من وجهٍ؛ حتى تبدّل الاسم، وفات أعظم المنافع. وحق الغاصب في الصنعة قائم من كل وجه، فيكون راجحًا؛ على مقتضى هذا الأصل</w:t>
      </w:r>
      <w:r>
        <w:rPr>
          <w:rFonts w:hint="cs"/>
          <w:vertAlign w:val="superscript"/>
          <w:rtl/>
        </w:rPr>
        <w:t>(</w:t>
      </w:r>
      <w:r>
        <w:rPr>
          <w:rStyle w:val="a7"/>
          <w:rtl/>
        </w:rPr>
        <w:footnoteReference w:id="3326"/>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1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F79D5" w:rsidRDefault="00C10469">
      <w:pPr>
        <w:pStyle w:val="a9"/>
        <w:rPr>
          <w:rFonts w:cs="AL-Mateen"/>
          <w:rtl/>
        </w:rPr>
      </w:pPr>
      <w:r w:rsidRPr="00BF79D5">
        <w:rPr>
          <w:rFonts w:cs="AL-Mateen" w:hint="cs"/>
          <w:rtl/>
        </w:rPr>
        <w:lastRenderedPageBreak/>
        <w:t>[ القـاعـدة الـحـاديـة والـسـتـون بـعـد الـمـائـة ]</w:t>
      </w:r>
    </w:p>
    <w:p w:rsidR="00C10469" w:rsidRDefault="00C10469">
      <w:pPr>
        <w:rPr>
          <w:rtl/>
        </w:rPr>
      </w:pPr>
      <w:r>
        <w:rPr>
          <w:rFonts w:cs="Monotype Koufi" w:hint="cs"/>
          <w:rtl/>
        </w:rPr>
        <w:t>العَادَةُ مُحَكَّمَةٌ</w:t>
      </w:r>
      <w:r>
        <w:rPr>
          <w:rFonts w:hint="cs"/>
          <w:vertAlign w:val="superscript"/>
          <w:rtl/>
        </w:rPr>
        <w:t xml:space="preserve"> (</w:t>
      </w:r>
      <w:r>
        <w:rPr>
          <w:rStyle w:val="a7"/>
          <w:rtl/>
        </w:rPr>
        <w:footnoteReference w:id="3327"/>
      </w:r>
      <w:r>
        <w:rPr>
          <w:rFonts w:hint="cs"/>
          <w:vertAlign w:val="superscript"/>
          <w:rtl/>
        </w:rPr>
        <w:t>)</w:t>
      </w:r>
      <w:r>
        <w:rPr>
          <w:rFonts w:hint="cs"/>
          <w:rtl/>
        </w:rPr>
        <w:t xml:space="preserve"> :</w:t>
      </w:r>
    </w:p>
    <w:p w:rsidR="00C10469" w:rsidRDefault="00C10469">
      <w:pPr>
        <w:rPr>
          <w:rtl/>
        </w:rPr>
      </w:pPr>
      <w:r>
        <w:rPr>
          <w:rFonts w:hint="cs"/>
          <w:rtl/>
        </w:rPr>
        <w:lastRenderedPageBreak/>
        <w:t xml:space="preserve">وأصلها قوله </w:t>
      </w:r>
      <w:r>
        <w:rPr>
          <w:rFonts w:ascii="AGA Arabesque" w:hAnsi="AGA Arabesque"/>
          <w:sz w:val="36"/>
        </w:rPr>
        <w:t></w:t>
      </w:r>
      <w:r>
        <w:rPr>
          <w:rFonts w:ascii="AGA Arabesque" w:hAnsi="AGA Arabesque" w:hint="cs"/>
          <w:sz w:val="36"/>
          <w:rtl/>
        </w:rPr>
        <w:t xml:space="preserve"> :</w:t>
      </w:r>
      <w:r>
        <w:rPr>
          <w:rFonts w:hint="cs"/>
          <w:rtl/>
        </w:rPr>
        <w:t xml:space="preserve"> </w:t>
      </w:r>
      <w:r>
        <w:rPr>
          <w:rFonts w:hint="eastAsia"/>
          <w:rtl/>
        </w:rPr>
        <w:t>«</w:t>
      </w:r>
      <w:r>
        <w:rPr>
          <w:rFonts w:hint="cs"/>
          <w:rtl/>
        </w:rPr>
        <w:t xml:space="preserve"> </w:t>
      </w:r>
      <w:r>
        <w:rPr>
          <w:rFonts w:cs="DecoType Naskh" w:hint="cs"/>
          <w:sz w:val="36"/>
          <w:rtl/>
        </w:rPr>
        <w:t>مَا رَآهُ المسلمونَ حَسَنًا فَهُوَ عِنْدَ الله حَسَنٌ</w:t>
      </w:r>
      <w:r>
        <w:rPr>
          <w:rFonts w:cs="Al-Kharashi 62" w:hint="cs"/>
          <w:sz w:val="36"/>
          <w:rtl/>
        </w:rPr>
        <w:t xml:space="preserve"> </w:t>
      </w:r>
      <w:r>
        <w:rPr>
          <w:rFonts w:hint="eastAsia"/>
          <w:rtl/>
        </w:rPr>
        <w:t>»</w:t>
      </w:r>
      <w:r>
        <w:rPr>
          <w:rFonts w:hint="cs"/>
          <w:vertAlign w:val="superscript"/>
          <w:rtl/>
        </w:rPr>
        <w:t>(</w:t>
      </w:r>
      <w:r>
        <w:rPr>
          <w:rStyle w:val="a7"/>
          <w:rtl/>
        </w:rPr>
        <w:footnoteReference w:id="3328"/>
      </w:r>
      <w:r>
        <w:rPr>
          <w:rFonts w:hint="cs"/>
          <w:vertAlign w:val="superscript"/>
          <w:rtl/>
        </w:rPr>
        <w:t>)</w:t>
      </w:r>
      <w:r>
        <w:rPr>
          <w:rFonts w:hint="cs"/>
          <w:rtl/>
        </w:rPr>
        <w:t>.</w:t>
      </w:r>
    </w:p>
    <w:p w:rsidR="00C10469" w:rsidRDefault="00C10469">
      <w:pPr>
        <w:rPr>
          <w:spacing w:val="-4"/>
          <w:rtl/>
        </w:rPr>
      </w:pPr>
      <w:r>
        <w:rPr>
          <w:rFonts w:hint="cs"/>
          <w:spacing w:val="-4"/>
          <w:rtl/>
        </w:rPr>
        <w:lastRenderedPageBreak/>
        <w:t>واعلم أن اعتبار العادة و</w:t>
      </w:r>
      <w:r>
        <w:rPr>
          <w:rStyle w:val="a7"/>
          <w:spacing w:val="-4"/>
          <w:rtl/>
        </w:rPr>
        <w:footnoteReference w:id="3329"/>
      </w:r>
      <w:r>
        <w:rPr>
          <w:rFonts w:hint="cs"/>
          <w:spacing w:val="-4"/>
          <w:rtl/>
        </w:rPr>
        <w:t>العرف رُجع إليه في الفقه [في]</w:t>
      </w:r>
      <w:r>
        <w:rPr>
          <w:rStyle w:val="a7"/>
          <w:spacing w:val="-4"/>
          <w:rtl/>
        </w:rPr>
        <w:footnoteReference w:id="3330"/>
      </w:r>
      <w:r>
        <w:rPr>
          <w:rFonts w:hint="cs"/>
          <w:spacing w:val="-4"/>
          <w:rtl/>
        </w:rPr>
        <w:t xml:space="preserve"> مسائل كثيرة، حتى جعلوا ذلك أصلاً فقالوا في الأصول : في باب ما تترك الحقيقة به</w:t>
      </w:r>
      <w:r>
        <w:rPr>
          <w:rStyle w:val="a7"/>
          <w:spacing w:val="-4"/>
          <w:rtl/>
        </w:rPr>
        <w:footnoteReference w:id="3331"/>
      </w:r>
      <w:r>
        <w:rPr>
          <w:rFonts w:hint="cs"/>
          <w:spacing w:val="-4"/>
          <w:rtl/>
        </w:rPr>
        <w:t xml:space="preserve"> : بدلالة الاستعمال</w:t>
      </w:r>
      <w:r>
        <w:rPr>
          <w:rFonts w:hint="cs"/>
          <w:spacing w:val="-4"/>
          <w:vertAlign w:val="superscript"/>
          <w:rtl/>
        </w:rPr>
        <w:t>(</w:t>
      </w:r>
      <w:r>
        <w:rPr>
          <w:rStyle w:val="a7"/>
          <w:spacing w:val="-4"/>
          <w:rtl/>
        </w:rPr>
        <w:footnoteReference w:id="3332"/>
      </w:r>
      <w:r>
        <w:rPr>
          <w:rFonts w:hint="cs"/>
          <w:spacing w:val="-4"/>
          <w:vertAlign w:val="superscript"/>
          <w:rtl/>
        </w:rPr>
        <w:t>)</w:t>
      </w:r>
      <w:r>
        <w:rPr>
          <w:rFonts w:hint="cs"/>
          <w:spacing w:val="-4"/>
          <w:rtl/>
        </w:rPr>
        <w:t>.</w:t>
      </w:r>
    </w:p>
    <w:p w:rsidR="00C10469" w:rsidRDefault="00C10469">
      <w:pPr>
        <w:rPr>
          <w:rtl/>
        </w:rPr>
      </w:pPr>
      <w:r>
        <w:rPr>
          <w:rFonts w:hint="cs"/>
          <w:rtl/>
        </w:rPr>
        <w:lastRenderedPageBreak/>
        <w:t xml:space="preserve">والعادة : </w:t>
      </w:r>
      <w:r>
        <w:rPr>
          <w:rFonts w:hint="eastAsia"/>
          <w:rtl/>
        </w:rPr>
        <w:t>«</w:t>
      </w:r>
      <w:r>
        <w:rPr>
          <w:rFonts w:hint="cs"/>
          <w:rtl/>
        </w:rPr>
        <w:t>عبارة عمّا يستقر في النفوس من الأمور المتكررة المعقولة عند الطباع السليمة</w:t>
      </w:r>
      <w:r>
        <w:rPr>
          <w:rFonts w:hint="eastAsia"/>
          <w:rtl/>
        </w:rPr>
        <w:t>»</w:t>
      </w:r>
      <w:r>
        <w:rPr>
          <w:rFonts w:hint="cs"/>
          <w:vertAlign w:val="superscript"/>
          <w:rtl/>
        </w:rPr>
        <w:t>(</w:t>
      </w:r>
      <w:r>
        <w:rPr>
          <w:rStyle w:val="a7"/>
          <w:rtl/>
        </w:rPr>
        <w:footnoteReference w:id="3333"/>
      </w:r>
      <w:r>
        <w:rPr>
          <w:rFonts w:hint="cs"/>
          <w:vertAlign w:val="superscript"/>
          <w:rtl/>
        </w:rPr>
        <w:t>)</w:t>
      </w:r>
      <w:r>
        <w:rPr>
          <w:rFonts w:hint="cs"/>
          <w:rtl/>
        </w:rPr>
        <w:t>. فما</w:t>
      </w:r>
      <w:r>
        <w:rPr>
          <w:rFonts w:hint="cs"/>
          <w:vertAlign w:val="superscript"/>
          <w:rtl/>
        </w:rPr>
        <w:t>(</w:t>
      </w:r>
      <w:r>
        <w:rPr>
          <w:rStyle w:val="a7"/>
          <w:rtl/>
        </w:rPr>
        <w:footnoteReference w:id="3334"/>
      </w:r>
      <w:r>
        <w:rPr>
          <w:rFonts w:hint="cs"/>
          <w:vertAlign w:val="superscript"/>
          <w:rtl/>
        </w:rPr>
        <w:t>)</w:t>
      </w:r>
      <w:r>
        <w:rPr>
          <w:rFonts w:hint="cs"/>
          <w:rtl/>
        </w:rPr>
        <w:t xml:space="preserve"> فرّع على هذا الأصل : </w:t>
      </w:r>
      <w:r>
        <w:rPr>
          <w:rFonts w:hint="eastAsia"/>
          <w:rtl/>
        </w:rPr>
        <w:t>«</w:t>
      </w:r>
      <w:r>
        <w:rPr>
          <w:rFonts w:hint="cs"/>
          <w:rtl/>
        </w:rPr>
        <w:t>الحيض والنفاس : قالوا : لو زاد الدم على أكثر الحيض والنفاس : تُردّ إلى أيام عادتها</w:t>
      </w:r>
      <w:r>
        <w:rPr>
          <w:rFonts w:hint="eastAsia"/>
          <w:rtl/>
        </w:rPr>
        <w:t>»</w:t>
      </w:r>
      <w:r>
        <w:rPr>
          <w:rFonts w:hint="cs"/>
          <w:vertAlign w:val="superscript"/>
          <w:rtl/>
        </w:rPr>
        <w:t>(</w:t>
      </w:r>
      <w:r>
        <w:rPr>
          <w:rStyle w:val="a7"/>
          <w:rtl/>
        </w:rPr>
        <w:footnoteReference w:id="3335"/>
      </w:r>
      <w:r>
        <w:rPr>
          <w:rFonts w:hint="cs"/>
          <w:vertAlign w:val="superscript"/>
          <w:rtl/>
        </w:rPr>
        <w:t>)</w:t>
      </w:r>
      <w:r>
        <w:rPr>
          <w:rFonts w:hint="cs"/>
          <w:rtl/>
        </w:rPr>
        <w:t>.</w:t>
      </w:r>
    </w:p>
    <w:p w:rsidR="00C10469" w:rsidRDefault="00C10469">
      <w:pPr>
        <w:rPr>
          <w:rtl/>
        </w:rPr>
      </w:pPr>
      <w:r>
        <w:rPr>
          <w:rFonts w:hint="cs"/>
          <w:rtl/>
        </w:rPr>
        <w:t>واعـلـم أن الـعرف غـيـر مـعتـبـر في الـمنـصوص عـليه؛ ولـهذا يـعـتـبـر الـعرف فـي الأمـوال الـربويـة في كونه كيليًّا أو وزنيًّا فيما لا نصّ في كونه كيليًّا أو وزنيًّا. وأما المنصوص على كيله أو وزنه، فلا اعتبار بالعرف فيه عند أبي حنيفة</w:t>
      </w:r>
      <w:r>
        <w:rPr>
          <w:rStyle w:val="a7"/>
          <w:rtl/>
        </w:rPr>
        <w:footnoteReference w:id="3336"/>
      </w:r>
      <w:r>
        <w:rPr>
          <w:rFonts w:hint="cs"/>
          <w:rtl/>
        </w:rPr>
        <w:t xml:space="preserve"> وأبي يوسف.</w:t>
      </w:r>
    </w:p>
    <w:p w:rsidR="00C10469" w:rsidRDefault="00C10469">
      <w:pPr>
        <w:rPr>
          <w:rtl/>
        </w:rPr>
      </w:pPr>
      <w:r>
        <w:rPr>
          <w:rFonts w:hint="cs"/>
          <w:rtl/>
        </w:rPr>
        <w:lastRenderedPageBreak/>
        <w:t>فما</w:t>
      </w:r>
      <w:r>
        <w:rPr>
          <w:rFonts w:hint="cs"/>
          <w:vertAlign w:val="superscript"/>
          <w:rtl/>
        </w:rPr>
        <w:t>(</w:t>
      </w:r>
      <w:r>
        <w:rPr>
          <w:rStyle w:val="a7"/>
          <w:rtl/>
        </w:rPr>
        <w:footnoteReference w:id="3337"/>
      </w:r>
      <w:r>
        <w:rPr>
          <w:rFonts w:hint="cs"/>
          <w:vertAlign w:val="superscript"/>
          <w:rtl/>
        </w:rPr>
        <w:t>)</w:t>
      </w:r>
      <w:r>
        <w:rPr>
          <w:rFonts w:hint="cs"/>
          <w:rtl/>
        </w:rPr>
        <w:t xml:space="preserve"> قال محمد بن الفضل</w:t>
      </w:r>
      <w:r>
        <w:rPr>
          <w:rFonts w:hint="cs"/>
          <w:vertAlign w:val="superscript"/>
          <w:rtl/>
        </w:rPr>
        <w:t>(</w:t>
      </w:r>
      <w:r>
        <w:rPr>
          <w:rStyle w:val="a7"/>
          <w:rtl/>
        </w:rPr>
        <w:footnoteReference w:id="3338"/>
      </w:r>
      <w:r>
        <w:rPr>
          <w:rFonts w:hint="cs"/>
          <w:vertAlign w:val="superscript"/>
          <w:rtl/>
        </w:rPr>
        <w:t>)</w:t>
      </w:r>
      <w:r>
        <w:rPr>
          <w:rFonts w:hint="cs"/>
          <w:rtl/>
        </w:rPr>
        <w:t xml:space="preserve"> : بأن</w:t>
      </w:r>
      <w:r>
        <w:rPr>
          <w:rStyle w:val="a7"/>
          <w:rtl/>
        </w:rPr>
        <w:footnoteReference w:id="3339"/>
      </w:r>
      <w:r>
        <w:rPr>
          <w:rFonts w:hint="cs"/>
          <w:rtl/>
        </w:rPr>
        <w:t xml:space="preserve"> السرّة إلى موضع</w:t>
      </w:r>
      <w:r>
        <w:rPr>
          <w:rStyle w:val="a7"/>
          <w:rtl/>
        </w:rPr>
        <w:footnoteReference w:id="3340"/>
      </w:r>
      <w:r>
        <w:rPr>
          <w:rFonts w:hint="cs"/>
          <w:rtl/>
        </w:rPr>
        <w:t xml:space="preserve">  نبات الشَّعر من العانة ليست بعورة؛ لتعامل الناس : بعيد</w:t>
      </w:r>
      <w:r>
        <w:rPr>
          <w:rStyle w:val="a7"/>
          <w:rtl/>
        </w:rPr>
        <w:footnoteReference w:id="3341"/>
      </w:r>
      <w:r>
        <w:rPr>
          <w:rFonts w:hint="cs"/>
          <w:vertAlign w:val="superscript"/>
          <w:rtl/>
        </w:rPr>
        <w:t>(</w:t>
      </w:r>
      <w:r>
        <w:rPr>
          <w:rStyle w:val="a7"/>
          <w:rtl/>
        </w:rPr>
        <w:footnoteReference w:id="3342"/>
      </w:r>
      <w:r>
        <w:rPr>
          <w:rFonts w:hint="cs"/>
          <w:vertAlign w:val="superscript"/>
          <w:rtl/>
        </w:rPr>
        <w:t>)</w:t>
      </w:r>
      <w:r>
        <w:rPr>
          <w:rFonts w:hint="cs"/>
          <w:rtl/>
        </w:rPr>
        <w:t>؛ لأن التعامل بخلاف النص لا يعتبر.</w:t>
      </w:r>
    </w:p>
    <w:p w:rsidR="00C10469" w:rsidRDefault="00C10469">
      <w:pPr>
        <w:rPr>
          <w:rtl/>
        </w:rPr>
      </w:pPr>
      <w:r>
        <w:rPr>
          <w:rFonts w:hint="cs"/>
          <w:rtl/>
        </w:rPr>
        <w:t>كذا في [الظهيريّة]</w:t>
      </w:r>
      <w:r>
        <w:rPr>
          <w:rStyle w:val="a7"/>
          <w:rtl/>
        </w:rPr>
        <w:footnoteReference w:id="3343"/>
      </w:r>
      <w:r>
        <w:rPr>
          <w:rFonts w:hint="cs"/>
          <w:vertAlign w:val="superscript"/>
          <w:rtl/>
        </w:rPr>
        <w:t>(</w:t>
      </w:r>
      <w:r>
        <w:rPr>
          <w:rStyle w:val="a7"/>
          <w:rtl/>
        </w:rPr>
        <w:footnoteReference w:id="3344"/>
      </w:r>
      <w:r>
        <w:rPr>
          <w:rFonts w:hint="cs"/>
          <w:vertAlign w:val="superscript"/>
          <w:rtl/>
        </w:rPr>
        <w:t>)</w:t>
      </w:r>
      <w:r>
        <w:rPr>
          <w:rFonts w:hint="cs"/>
          <w:rtl/>
        </w:rPr>
        <w:t>.</w:t>
      </w: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1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8536F" w:rsidRDefault="00C10469">
      <w:pPr>
        <w:pStyle w:val="a9"/>
        <w:rPr>
          <w:rFonts w:cs="AL-Mateen"/>
          <w:rtl/>
        </w:rPr>
      </w:pPr>
      <w:r w:rsidRPr="00A8536F">
        <w:rPr>
          <w:rFonts w:cs="AL-Mateen"/>
          <w:rtl/>
        </w:rPr>
        <w:lastRenderedPageBreak/>
        <w:t>[ الـقـاعـدة الـ</w:t>
      </w:r>
      <w:r w:rsidRPr="00A8536F">
        <w:rPr>
          <w:rFonts w:cs="AL-Mateen" w:hint="cs"/>
          <w:rtl/>
        </w:rPr>
        <w:t>ث</w:t>
      </w:r>
      <w:r w:rsidRPr="00A8536F">
        <w:rPr>
          <w:rFonts w:cs="AL-Mateen"/>
          <w:rtl/>
        </w:rPr>
        <w:t>ـا</w:t>
      </w:r>
      <w:r w:rsidRPr="00A8536F">
        <w:rPr>
          <w:rFonts w:cs="AL-Mateen" w:hint="cs"/>
          <w:rtl/>
        </w:rPr>
        <w:t>ن</w:t>
      </w:r>
      <w:r w:rsidRPr="00A8536F">
        <w:rPr>
          <w:rFonts w:cs="AL-Mateen"/>
          <w:rtl/>
        </w:rPr>
        <w:t>ـ</w:t>
      </w:r>
      <w:r w:rsidRPr="00A8536F">
        <w:rPr>
          <w:rFonts w:cs="AL-Mateen" w:hint="cs"/>
          <w:rtl/>
        </w:rPr>
        <w:t>يـ</w:t>
      </w:r>
      <w:r w:rsidRPr="00A8536F">
        <w:rPr>
          <w:rFonts w:cs="AL-Mateen"/>
          <w:rtl/>
        </w:rPr>
        <w:t>ة والـسـ</w:t>
      </w:r>
      <w:r w:rsidRPr="00A8536F">
        <w:rPr>
          <w:rFonts w:cs="AL-Mateen" w:hint="cs"/>
          <w:rtl/>
        </w:rPr>
        <w:t>تـ</w:t>
      </w:r>
      <w:r w:rsidRPr="00A8536F">
        <w:rPr>
          <w:rFonts w:cs="AL-Mateen"/>
          <w:rtl/>
        </w:rPr>
        <w:t>ون بـعـد الـمـائـ</w:t>
      </w:r>
      <w:r w:rsidRPr="00A8536F">
        <w:rPr>
          <w:rFonts w:cs="AL-Mateen" w:hint="cs"/>
          <w:rtl/>
        </w:rPr>
        <w:t>ة</w:t>
      </w:r>
      <w:r w:rsidRPr="00A8536F">
        <w:rPr>
          <w:rFonts w:cs="AL-Mateen"/>
          <w:rtl/>
        </w:rPr>
        <w:t xml:space="preserve"> ]</w:t>
      </w:r>
    </w:p>
    <w:p w:rsidR="00C10469" w:rsidRDefault="00C10469">
      <w:pPr>
        <w:rPr>
          <w:rtl/>
        </w:rPr>
      </w:pPr>
      <w:r>
        <w:rPr>
          <w:rFonts w:cs="Monotype Koufi" w:hint="cs"/>
          <w:rtl/>
        </w:rPr>
        <w:t>العَامُّ يُوجِبُ الحُكْمَ فِيمَا يَتَنَاوَلُهُ يَقِينًا</w:t>
      </w:r>
      <w:r>
        <w:rPr>
          <w:rFonts w:hint="cs"/>
          <w:vertAlign w:val="superscript"/>
          <w:rtl/>
        </w:rPr>
        <w:t>(</w:t>
      </w:r>
      <w:r>
        <w:rPr>
          <w:rStyle w:val="a7"/>
          <w:rtl/>
        </w:rPr>
        <w:footnoteReference w:id="3345"/>
      </w:r>
      <w:r>
        <w:rPr>
          <w:rFonts w:hint="cs"/>
          <w:vertAlign w:val="superscript"/>
          <w:rtl/>
        </w:rPr>
        <w:t>)</w:t>
      </w:r>
      <w:r>
        <w:rPr>
          <w:rFonts w:hint="cs"/>
          <w:rtl/>
        </w:rPr>
        <w:t xml:space="preserve"> :</w:t>
      </w:r>
    </w:p>
    <w:p w:rsidR="00C10469" w:rsidRDefault="00C10469">
      <w:pPr>
        <w:rPr>
          <w:spacing w:val="-2"/>
          <w:rtl/>
        </w:rPr>
      </w:pPr>
      <w:r>
        <w:rPr>
          <w:rFonts w:hint="cs"/>
          <w:spacing w:val="-2"/>
          <w:rtl/>
        </w:rPr>
        <w:lastRenderedPageBreak/>
        <w:t>لأنّ الصيغة وُضعت لمعنى، يكون ذلك المعنى</w:t>
      </w:r>
      <w:r>
        <w:rPr>
          <w:rStyle w:val="a7"/>
          <w:spacing w:val="-2"/>
          <w:rtl/>
        </w:rPr>
        <w:footnoteReference w:id="3346"/>
      </w:r>
      <w:r>
        <w:rPr>
          <w:rFonts w:hint="cs"/>
          <w:spacing w:val="-2"/>
          <w:rtl/>
        </w:rPr>
        <w:t xml:space="preserve"> لازمًا له حتى يقوم الدليل بخلافه. فسقط احتمال الخصوص، فلا يجوز تخصيصه بالقياس وخبر الواحد</w:t>
      </w:r>
      <w:r>
        <w:rPr>
          <w:rFonts w:hint="cs"/>
          <w:spacing w:val="-2"/>
          <w:vertAlign w:val="superscript"/>
          <w:rtl/>
        </w:rPr>
        <w:t>(</w:t>
      </w:r>
      <w:r>
        <w:rPr>
          <w:rStyle w:val="a7"/>
          <w:spacing w:val="-2"/>
          <w:rtl/>
        </w:rPr>
        <w:footnoteReference w:id="3347"/>
      </w:r>
      <w:r>
        <w:rPr>
          <w:rFonts w:hint="cs"/>
          <w:spacing w:val="-2"/>
          <w:vertAlign w:val="superscript"/>
          <w:rtl/>
        </w:rPr>
        <w:t>)</w:t>
      </w:r>
      <w:r>
        <w:rPr>
          <w:rFonts w:hint="cs"/>
          <w:spacing w:val="-2"/>
          <w:rtl/>
        </w:rPr>
        <w:t xml:space="preserve">؛ </w:t>
      </w:r>
      <w:r>
        <w:rPr>
          <w:rFonts w:hint="eastAsia"/>
          <w:spacing w:val="-2"/>
          <w:rtl/>
        </w:rPr>
        <w:t>«</w:t>
      </w:r>
      <w:r>
        <w:rPr>
          <w:rFonts w:hint="cs"/>
          <w:spacing w:val="-2"/>
          <w:rtl/>
        </w:rPr>
        <w:t>لأنهما ظنيّان، والعام قبل الخصوص قطعي، والظن لا يعارض القطعي</w:t>
      </w:r>
      <w:r>
        <w:rPr>
          <w:rStyle w:val="a7"/>
          <w:spacing w:val="-2"/>
          <w:rtl/>
        </w:rPr>
        <w:footnoteReference w:id="3348"/>
      </w:r>
      <w:r>
        <w:rPr>
          <w:rFonts w:hint="eastAsia"/>
          <w:spacing w:val="-2"/>
          <w:rtl/>
        </w:rPr>
        <w:t>»</w:t>
      </w:r>
      <w:r>
        <w:rPr>
          <w:rFonts w:hint="cs"/>
          <w:spacing w:val="-2"/>
          <w:vertAlign w:val="superscript"/>
          <w:rtl/>
        </w:rPr>
        <w:t>(</w:t>
      </w:r>
      <w:r>
        <w:rPr>
          <w:rStyle w:val="a7"/>
          <w:spacing w:val="-2"/>
          <w:rtl/>
        </w:rPr>
        <w:footnoteReference w:id="3349"/>
      </w:r>
      <w:r>
        <w:rPr>
          <w:rFonts w:hint="cs"/>
          <w:spacing w:val="-2"/>
          <w:vertAlign w:val="superscript"/>
          <w:rtl/>
        </w:rPr>
        <w:t>)</w:t>
      </w:r>
      <w:r>
        <w:rPr>
          <w:rFonts w:hint="cs"/>
          <w:spacing w:val="-2"/>
          <w:rtl/>
        </w:rPr>
        <w:t>؛ ولذا</w:t>
      </w:r>
      <w:r>
        <w:rPr>
          <w:rStyle w:val="a7"/>
          <w:spacing w:val="-2"/>
          <w:rtl/>
        </w:rPr>
        <w:footnoteReference w:id="3350"/>
      </w:r>
      <w:r>
        <w:rPr>
          <w:rFonts w:hint="cs"/>
          <w:spacing w:val="-2"/>
          <w:rtl/>
        </w:rPr>
        <w:t xml:space="preserve"> : لا يجوز تخصيص</w:t>
      </w:r>
      <w:r>
        <w:rPr>
          <w:rStyle w:val="a7"/>
          <w:spacing w:val="-2"/>
          <w:rtl/>
        </w:rPr>
        <w:footnoteReference w:id="3351"/>
      </w:r>
      <w:r>
        <w:rPr>
          <w:rFonts w:hint="cs"/>
          <w:spacing w:val="-2"/>
          <w:rtl/>
        </w:rPr>
        <w:t xml:space="preserve"> قوله تعالى :</w:t>
      </w:r>
      <w:r>
        <w:rPr>
          <w:color w:val="000000"/>
          <w:spacing w:val="-2"/>
          <w:sz w:val="28"/>
          <w:szCs w:val="28"/>
        </w:rPr>
        <w:t xml:space="preserve"> </w:t>
      </w:r>
      <w:r>
        <w:rPr>
          <w:color w:val="000000"/>
          <w:spacing w:val="-2"/>
          <w:sz w:val="28"/>
          <w:szCs w:val="28"/>
        </w:rPr>
        <w:sym w:font="HQPB2" w:char="F0E2"/>
      </w:r>
      <w:r>
        <w:rPr>
          <w:rFonts w:hint="cs"/>
          <w:spacing w:val="-2"/>
          <w:rtl/>
        </w:rPr>
        <w:t xml:space="preserve"> </w:t>
      </w:r>
      <w:r>
        <w:rPr>
          <w:color w:val="000000"/>
          <w:spacing w:val="-2"/>
          <w:sz w:val="28"/>
          <w:szCs w:val="28"/>
        </w:rPr>
        <w:sym w:font="HQPB2" w:char="F060"/>
      </w:r>
      <w:r>
        <w:rPr>
          <w:color w:val="000000"/>
          <w:spacing w:val="-2"/>
          <w:sz w:val="28"/>
          <w:szCs w:val="28"/>
        </w:rPr>
        <w:sym w:font="HQPB5" w:char="F074"/>
      </w:r>
      <w:r>
        <w:rPr>
          <w:color w:val="000000"/>
          <w:spacing w:val="-2"/>
          <w:sz w:val="28"/>
          <w:szCs w:val="28"/>
        </w:rPr>
        <w:sym w:font="HQPB2" w:char="F042"/>
      </w:r>
      <w:r>
        <w:rPr>
          <w:color w:val="000000"/>
          <w:spacing w:val="-2"/>
          <w:sz w:val="28"/>
          <w:szCs w:val="28"/>
        </w:rPr>
        <w:sym w:font="HQPB5" w:char="F075"/>
      </w:r>
      <w:r>
        <w:rPr>
          <w:color w:val="000000"/>
          <w:spacing w:val="-2"/>
          <w:sz w:val="28"/>
          <w:szCs w:val="28"/>
        </w:rPr>
        <w:sym w:font="HQPB2" w:char="F072"/>
      </w:r>
      <w:r>
        <w:rPr>
          <w:color w:val="000000"/>
          <w:spacing w:val="-2"/>
          <w:sz w:val="28"/>
          <w:szCs w:val="28"/>
          <w:rtl/>
        </w:rPr>
        <w:t xml:space="preserve"> </w:t>
      </w:r>
      <w:r>
        <w:rPr>
          <w:color w:val="000000"/>
          <w:spacing w:val="-2"/>
          <w:sz w:val="28"/>
          <w:szCs w:val="28"/>
        </w:rPr>
        <w:sym w:font="HQPB2" w:char="F0BC"/>
      </w:r>
      <w:r>
        <w:rPr>
          <w:color w:val="000000"/>
          <w:spacing w:val="-2"/>
          <w:sz w:val="28"/>
          <w:szCs w:val="28"/>
        </w:rPr>
        <w:sym w:font="HQPB4" w:char="F0E3"/>
      </w:r>
      <w:r>
        <w:rPr>
          <w:color w:val="000000"/>
          <w:spacing w:val="-2"/>
          <w:sz w:val="28"/>
          <w:szCs w:val="28"/>
        </w:rPr>
        <w:sym w:font="HQPB3" w:char="F026"/>
      </w:r>
      <w:r>
        <w:rPr>
          <w:color w:val="000000"/>
          <w:spacing w:val="-2"/>
          <w:sz w:val="28"/>
          <w:szCs w:val="28"/>
        </w:rPr>
        <w:sym w:font="HQPB5" w:char="F073"/>
      </w:r>
      <w:r>
        <w:rPr>
          <w:color w:val="000000"/>
          <w:spacing w:val="-2"/>
          <w:sz w:val="28"/>
          <w:szCs w:val="28"/>
        </w:rPr>
        <w:sym w:font="HQPB3" w:char="F023"/>
      </w:r>
      <w:r>
        <w:rPr>
          <w:color w:val="000000"/>
          <w:spacing w:val="-2"/>
          <w:sz w:val="28"/>
          <w:szCs w:val="28"/>
        </w:rPr>
        <w:sym w:font="HQPB5" w:char="F079"/>
      </w:r>
      <w:r>
        <w:rPr>
          <w:color w:val="000000"/>
          <w:spacing w:val="-2"/>
          <w:sz w:val="28"/>
          <w:szCs w:val="28"/>
        </w:rPr>
        <w:sym w:font="HQPB1" w:char="F07A"/>
      </w:r>
      <w:r>
        <w:rPr>
          <w:color w:val="000000"/>
          <w:spacing w:val="-2"/>
          <w:sz w:val="28"/>
          <w:szCs w:val="28"/>
        </w:rPr>
        <w:sym w:font="HQPB5" w:char="F079"/>
      </w:r>
      <w:r>
        <w:rPr>
          <w:color w:val="000000"/>
          <w:spacing w:val="-2"/>
          <w:sz w:val="28"/>
          <w:szCs w:val="28"/>
        </w:rPr>
        <w:sym w:font="HQPB1" w:char="F08A"/>
      </w:r>
      <w:r>
        <w:rPr>
          <w:color w:val="000000"/>
          <w:spacing w:val="-2"/>
          <w:sz w:val="28"/>
          <w:szCs w:val="28"/>
          <w:rtl/>
        </w:rPr>
        <w:t xml:space="preserve"> </w:t>
      </w:r>
      <w:r>
        <w:rPr>
          <w:color w:val="000000"/>
          <w:spacing w:val="-2"/>
          <w:sz w:val="28"/>
          <w:szCs w:val="28"/>
        </w:rPr>
        <w:lastRenderedPageBreak/>
        <w:sym w:font="HQPB5" w:char="F074"/>
      </w:r>
      <w:r>
        <w:rPr>
          <w:color w:val="000000"/>
          <w:spacing w:val="-2"/>
          <w:sz w:val="28"/>
          <w:szCs w:val="28"/>
        </w:rPr>
        <w:sym w:font="HQPB2" w:char="F062"/>
      </w:r>
      <w:r>
        <w:rPr>
          <w:color w:val="000000"/>
          <w:spacing w:val="-2"/>
          <w:sz w:val="28"/>
          <w:szCs w:val="28"/>
        </w:rPr>
        <w:sym w:font="HQPB1" w:char="F025"/>
      </w:r>
      <w:r>
        <w:rPr>
          <w:color w:val="000000"/>
          <w:spacing w:val="-2"/>
          <w:sz w:val="28"/>
          <w:szCs w:val="28"/>
        </w:rPr>
        <w:sym w:font="HQPB5" w:char="F078"/>
      </w:r>
      <w:r>
        <w:rPr>
          <w:color w:val="000000"/>
          <w:spacing w:val="-2"/>
          <w:sz w:val="28"/>
          <w:szCs w:val="28"/>
        </w:rPr>
        <w:sym w:font="HQPB2" w:char="F02E"/>
      </w:r>
      <w:r>
        <w:rPr>
          <w:color w:val="000000"/>
          <w:spacing w:val="-2"/>
          <w:sz w:val="28"/>
          <w:szCs w:val="28"/>
          <w:rtl/>
        </w:rPr>
        <w:t xml:space="preserve"> </w:t>
      </w:r>
      <w:r>
        <w:rPr>
          <w:color w:val="000000"/>
          <w:spacing w:val="-2"/>
          <w:sz w:val="28"/>
          <w:szCs w:val="28"/>
        </w:rPr>
        <w:sym w:font="HQPB1" w:char="F024"/>
      </w:r>
      <w:r>
        <w:rPr>
          <w:color w:val="000000"/>
          <w:spacing w:val="-2"/>
          <w:sz w:val="28"/>
          <w:szCs w:val="28"/>
        </w:rPr>
        <w:sym w:font="HQPB4" w:char="F059"/>
      </w:r>
      <w:r>
        <w:rPr>
          <w:color w:val="000000"/>
          <w:spacing w:val="-2"/>
          <w:sz w:val="28"/>
          <w:szCs w:val="28"/>
        </w:rPr>
        <w:sym w:font="HQPB2" w:char="F059"/>
      </w:r>
      <w:r>
        <w:rPr>
          <w:color w:val="000000"/>
          <w:spacing w:val="-2"/>
          <w:sz w:val="28"/>
          <w:szCs w:val="28"/>
        </w:rPr>
        <w:sym w:font="HQPB4" w:char="F0CF"/>
      </w:r>
      <w:r>
        <w:rPr>
          <w:color w:val="000000"/>
          <w:spacing w:val="-2"/>
          <w:sz w:val="28"/>
          <w:szCs w:val="28"/>
        </w:rPr>
        <w:sym w:font="HQPB2" w:char="F042"/>
      </w:r>
      <w:r>
        <w:rPr>
          <w:color w:val="000000"/>
          <w:spacing w:val="-2"/>
          <w:sz w:val="28"/>
          <w:szCs w:val="28"/>
        </w:rPr>
        <w:sym w:font="HQPB1" w:char="F023"/>
      </w:r>
      <w:r>
        <w:rPr>
          <w:color w:val="000000"/>
          <w:spacing w:val="-2"/>
          <w:sz w:val="28"/>
          <w:szCs w:val="28"/>
        </w:rPr>
        <w:sym w:font="HQPB5" w:char="F075"/>
      </w:r>
      <w:r>
        <w:rPr>
          <w:color w:val="000000"/>
          <w:spacing w:val="-2"/>
          <w:sz w:val="28"/>
          <w:szCs w:val="28"/>
        </w:rPr>
        <w:sym w:font="HQPB2" w:char="F0E4"/>
      </w:r>
      <w:r>
        <w:rPr>
          <w:color w:val="000000"/>
          <w:spacing w:val="-2"/>
          <w:sz w:val="28"/>
          <w:szCs w:val="28"/>
          <w:rtl/>
        </w:rPr>
        <w:t xml:space="preserve"> </w:t>
      </w:r>
      <w:r>
        <w:rPr>
          <w:color w:val="000000"/>
          <w:spacing w:val="-2"/>
          <w:sz w:val="28"/>
          <w:szCs w:val="28"/>
        </w:rPr>
        <w:sym w:font="HQPB4" w:char="F033"/>
      </w:r>
      <w:r>
        <w:rPr>
          <w:color w:val="000000"/>
          <w:spacing w:val="-2"/>
          <w:sz w:val="28"/>
          <w:szCs w:val="28"/>
          <w:rtl/>
        </w:rPr>
        <w:t xml:space="preserve"> </w:t>
      </w:r>
      <w:r>
        <w:rPr>
          <w:color w:val="000000"/>
          <w:spacing w:val="-2"/>
          <w:sz w:val="28"/>
          <w:szCs w:val="28"/>
        </w:rPr>
        <w:sym w:font="HQPB2" w:char="F0E1"/>
      </w:r>
      <w:r>
        <w:rPr>
          <w:rFonts w:hint="cs"/>
          <w:spacing w:val="-2"/>
          <w:vertAlign w:val="superscript"/>
          <w:rtl/>
        </w:rPr>
        <w:t xml:space="preserve"> (</w:t>
      </w:r>
      <w:r>
        <w:rPr>
          <w:rStyle w:val="a7"/>
          <w:spacing w:val="-2"/>
          <w:rtl/>
        </w:rPr>
        <w:footnoteReference w:id="3352"/>
      </w:r>
      <w:r>
        <w:rPr>
          <w:rFonts w:hint="cs"/>
          <w:spacing w:val="-2"/>
          <w:vertAlign w:val="superscript"/>
          <w:rtl/>
        </w:rPr>
        <w:t>)</w:t>
      </w:r>
      <w:r>
        <w:rPr>
          <w:rFonts w:hint="cs"/>
          <w:spacing w:val="-2"/>
          <w:rtl/>
        </w:rPr>
        <w:t xml:space="preserve"> [بـخـبـر]</w:t>
      </w:r>
      <w:r>
        <w:rPr>
          <w:rStyle w:val="a7"/>
          <w:spacing w:val="-2"/>
          <w:rtl/>
        </w:rPr>
        <w:footnoteReference w:id="3353"/>
      </w:r>
      <w:r>
        <w:rPr>
          <w:rFonts w:hint="cs"/>
          <w:spacing w:val="-2"/>
          <w:rtl/>
        </w:rPr>
        <w:t xml:space="preserve"> الـواحد، وهو : </w:t>
      </w:r>
      <w:r>
        <w:rPr>
          <w:rFonts w:hint="eastAsia"/>
          <w:spacing w:val="-2"/>
          <w:rtl/>
        </w:rPr>
        <w:t>«</w:t>
      </w:r>
      <w:r>
        <w:rPr>
          <w:rFonts w:hint="cs"/>
          <w:spacing w:val="-2"/>
          <w:rtl/>
        </w:rPr>
        <w:t>الحرم</w:t>
      </w:r>
      <w:r>
        <w:rPr>
          <w:rStyle w:val="a7"/>
          <w:spacing w:val="-2"/>
          <w:rtl/>
        </w:rPr>
        <w:footnoteReference w:id="3354"/>
      </w:r>
      <w:r>
        <w:rPr>
          <w:rFonts w:hint="cs"/>
          <w:spacing w:val="-2"/>
          <w:rtl/>
        </w:rPr>
        <w:t xml:space="preserve"> [لا]</w:t>
      </w:r>
      <w:r>
        <w:rPr>
          <w:rStyle w:val="a7"/>
          <w:spacing w:val="-2"/>
          <w:rtl/>
        </w:rPr>
        <w:footnoteReference w:id="3355"/>
      </w:r>
      <w:r>
        <w:rPr>
          <w:rFonts w:hint="cs"/>
          <w:spacing w:val="-2"/>
          <w:rtl/>
        </w:rPr>
        <w:t xml:space="preserve"> يفيد</w:t>
      </w:r>
      <w:r>
        <w:rPr>
          <w:rStyle w:val="a7"/>
          <w:spacing w:val="-2"/>
          <w:rtl/>
        </w:rPr>
        <w:footnoteReference w:id="3356"/>
      </w:r>
      <w:r>
        <w:rPr>
          <w:rFonts w:hint="cs"/>
          <w:spacing w:val="-2"/>
          <w:rtl/>
        </w:rPr>
        <w:t xml:space="preserve"> عاصيًا، ولا فارًّا بدم</w:t>
      </w:r>
      <w:r>
        <w:rPr>
          <w:rFonts w:hint="eastAsia"/>
          <w:spacing w:val="-2"/>
          <w:rtl/>
        </w:rPr>
        <w:t>»</w:t>
      </w:r>
      <w:r>
        <w:rPr>
          <w:rFonts w:hint="cs"/>
          <w:spacing w:val="-2"/>
          <w:vertAlign w:val="superscript"/>
          <w:rtl/>
        </w:rPr>
        <w:t>(</w:t>
      </w:r>
      <w:r>
        <w:rPr>
          <w:rStyle w:val="a7"/>
          <w:spacing w:val="-2"/>
          <w:rtl/>
        </w:rPr>
        <w:footnoteReference w:id="3357"/>
      </w:r>
      <w:r>
        <w:rPr>
          <w:rFonts w:hint="cs"/>
          <w:spacing w:val="-2"/>
          <w:vertAlign w:val="superscript"/>
          <w:rtl/>
        </w:rPr>
        <w:t>)</w:t>
      </w:r>
      <w:r>
        <w:rPr>
          <w:rFonts w:hint="cs"/>
          <w:spacing w:val="-2"/>
          <w:rtl/>
        </w:rPr>
        <w:t xml:space="preserve">، </w:t>
      </w:r>
      <w:r>
        <w:rPr>
          <w:rFonts w:hint="eastAsia"/>
          <w:spacing w:val="-2"/>
          <w:rtl/>
        </w:rPr>
        <w:t>«</w:t>
      </w:r>
      <w:r>
        <w:rPr>
          <w:rFonts w:hint="cs"/>
          <w:spacing w:val="-2"/>
          <w:rtl/>
        </w:rPr>
        <w:t>و[لا]</w:t>
      </w:r>
      <w:r>
        <w:rPr>
          <w:rStyle w:val="a7"/>
          <w:spacing w:val="-2"/>
          <w:rtl/>
        </w:rPr>
        <w:footnoteReference w:id="3358"/>
      </w:r>
      <w:r>
        <w:rPr>
          <w:rFonts w:hint="cs"/>
          <w:spacing w:val="-2"/>
          <w:rtl/>
        </w:rPr>
        <w:t xml:space="preserve"> بالقياس على من أنشأ</w:t>
      </w:r>
      <w:r>
        <w:rPr>
          <w:rStyle w:val="a7"/>
          <w:spacing w:val="-2"/>
          <w:rtl/>
        </w:rPr>
        <w:footnoteReference w:id="3359"/>
      </w:r>
      <w:r>
        <w:rPr>
          <w:rFonts w:hint="cs"/>
          <w:spacing w:val="-2"/>
          <w:rtl/>
        </w:rPr>
        <w:t xml:space="preserve"> القتل في </w:t>
      </w:r>
      <w:r>
        <w:rPr>
          <w:rFonts w:hint="cs"/>
          <w:spacing w:val="-2"/>
          <w:rtl/>
        </w:rPr>
        <w:lastRenderedPageBreak/>
        <w:t>الحرم، ولا</w:t>
      </w:r>
      <w:r>
        <w:rPr>
          <w:rStyle w:val="a7"/>
          <w:spacing w:val="-2"/>
          <w:rtl/>
        </w:rPr>
        <w:footnoteReference w:id="3360"/>
      </w:r>
      <w:r>
        <w:rPr>
          <w:rFonts w:hint="cs"/>
          <w:spacing w:val="-2"/>
          <w:rtl/>
        </w:rPr>
        <w:t xml:space="preserve"> على الأطراف؛ لأنها [تجري]</w:t>
      </w:r>
      <w:r>
        <w:rPr>
          <w:rStyle w:val="a7"/>
          <w:spacing w:val="-2"/>
          <w:rtl/>
        </w:rPr>
        <w:footnoteReference w:id="3361"/>
      </w:r>
      <w:r>
        <w:rPr>
          <w:rFonts w:hint="cs"/>
          <w:spacing w:val="-2"/>
          <w:rtl/>
        </w:rPr>
        <w:t xml:space="preserve"> مجرى الأموال، فلا يتناولها النص</w:t>
      </w:r>
      <w:r>
        <w:rPr>
          <w:rFonts w:hint="eastAsia"/>
          <w:spacing w:val="-2"/>
          <w:rtl/>
        </w:rPr>
        <w:t>»</w:t>
      </w:r>
      <w:r>
        <w:rPr>
          <w:rFonts w:hint="cs"/>
          <w:spacing w:val="-2"/>
          <w:vertAlign w:val="superscript"/>
          <w:rtl/>
        </w:rPr>
        <w:t>(</w:t>
      </w:r>
      <w:r>
        <w:rPr>
          <w:rStyle w:val="a7"/>
          <w:spacing w:val="-2"/>
          <w:rtl/>
        </w:rPr>
        <w:footnoteReference w:id="3362"/>
      </w:r>
      <w:r>
        <w:rPr>
          <w:rFonts w:hint="cs"/>
          <w:spacing w:val="-2"/>
          <w:vertAlign w:val="superscript"/>
          <w:rtl/>
        </w:rPr>
        <w:t>)</w:t>
      </w:r>
      <w:r>
        <w:rPr>
          <w:rFonts w:hint="cs"/>
          <w:spacing w:val="-2"/>
          <w:rtl/>
        </w:rPr>
        <w:t>.</w:t>
      </w:r>
    </w:p>
    <w:p w:rsidR="00C10469" w:rsidRDefault="00C10469">
      <w:pPr>
        <w:rPr>
          <w:rtl/>
        </w:rPr>
      </w:pPr>
      <w:r>
        <w:rPr>
          <w:rFonts w:hint="cs"/>
          <w:rtl/>
        </w:rPr>
        <w:t>وفروعها كثيرة.</w:t>
      </w:r>
    </w:p>
    <w:p w:rsidR="00C10469" w:rsidRDefault="00C10469">
      <w:pPr>
        <w:rPr>
          <w:rtl/>
        </w:rPr>
      </w:pPr>
      <w:r>
        <w:rPr>
          <w:rFonts w:hint="cs"/>
          <w:b/>
          <w:bCs/>
          <w:rtl/>
        </w:rPr>
        <w:t>وخرج</w:t>
      </w:r>
      <w:r>
        <w:rPr>
          <w:rFonts w:hint="cs"/>
          <w:rtl/>
        </w:rPr>
        <w:t xml:space="preserve"> عن هذا الأصل :</w:t>
      </w:r>
    </w:p>
    <w:p w:rsidR="00C10469" w:rsidRDefault="00C10469" w:rsidP="00C10469">
      <w:pPr>
        <w:ind w:left="567" w:firstLine="0"/>
        <w:rPr>
          <w:rtl/>
        </w:rPr>
      </w:pPr>
      <w:r>
        <w:rPr>
          <w:rFonts w:ascii="Wingdings" w:hAnsi="Wingdings"/>
        </w:rPr>
        <w:t></w:t>
      </w:r>
      <w:r>
        <w:rPr>
          <w:rFonts w:hint="cs"/>
          <w:rtl/>
        </w:rPr>
        <w:t xml:space="preserve"> أنّ أمّ شقيقه</w:t>
      </w:r>
      <w:r>
        <w:rPr>
          <w:rStyle w:val="a7"/>
          <w:rtl/>
        </w:rPr>
        <w:footnoteReference w:id="3363"/>
      </w:r>
      <w:r>
        <w:rPr>
          <w:rFonts w:hint="cs"/>
          <w:rtl/>
        </w:rPr>
        <w:t xml:space="preserve"> من الرضاع</w:t>
      </w:r>
      <w:r>
        <w:rPr>
          <w:rStyle w:val="a7"/>
          <w:rtl/>
        </w:rPr>
        <w:footnoteReference w:id="3364"/>
      </w:r>
      <w:r>
        <w:rPr>
          <w:rFonts w:hint="cs"/>
          <w:rtl/>
        </w:rPr>
        <w:t xml:space="preserve"> لا [تحرم]</w:t>
      </w:r>
      <w:r>
        <w:rPr>
          <w:rStyle w:val="a7"/>
          <w:rtl/>
        </w:rPr>
        <w:footnoteReference w:id="3365"/>
      </w:r>
      <w:r>
        <w:rPr>
          <w:rFonts w:hint="cs"/>
          <w:rtl/>
        </w:rPr>
        <w:t xml:space="preserve"> عـلى الرضـيع</w:t>
      </w:r>
      <w:r>
        <w:rPr>
          <w:rFonts w:hint="cs"/>
          <w:vertAlign w:val="superscript"/>
          <w:rtl/>
        </w:rPr>
        <w:t>(</w:t>
      </w:r>
      <w:r>
        <w:rPr>
          <w:rStyle w:val="a7"/>
          <w:rtl/>
        </w:rPr>
        <w:footnoteReference w:id="3366"/>
      </w:r>
      <w:r>
        <w:rPr>
          <w:rFonts w:hint="cs"/>
          <w:vertAlign w:val="superscript"/>
          <w:rtl/>
        </w:rPr>
        <w:t>)</w:t>
      </w:r>
      <w:r>
        <w:rPr>
          <w:rFonts w:hint="cs"/>
          <w:rtl/>
        </w:rPr>
        <w:t>، مع</w:t>
      </w:r>
      <w:r>
        <w:rPr>
          <w:rStyle w:val="a7"/>
          <w:rtl/>
        </w:rPr>
        <w:footnoteReference w:id="3367"/>
      </w:r>
      <w:r>
        <w:rPr>
          <w:rFonts w:hint="cs"/>
          <w:rtl/>
        </w:rPr>
        <w:t xml:space="preserve"> أنّ قوله تعالى: </w:t>
      </w:r>
      <w:r>
        <w:rPr>
          <w:color w:val="000000"/>
          <w:sz w:val="28"/>
          <w:szCs w:val="28"/>
        </w:rPr>
        <w:sym w:font="HQPB2" w:char="F0E2"/>
      </w:r>
      <w:r>
        <w:rPr>
          <w:color w:val="000000"/>
          <w:sz w:val="28"/>
          <w:szCs w:val="28"/>
          <w:rtl/>
        </w:rPr>
        <w:t xml:space="preserve"> </w:t>
      </w:r>
      <w:r>
        <w:rPr>
          <w:color w:val="000000"/>
          <w:sz w:val="28"/>
          <w:szCs w:val="28"/>
        </w:rPr>
        <w:sym w:font="HQPB4" w:char="F0E3"/>
      </w:r>
      <w:r>
        <w:rPr>
          <w:color w:val="000000"/>
          <w:sz w:val="28"/>
          <w:szCs w:val="28"/>
        </w:rPr>
        <w:sym w:font="HQPB2" w:char="F04E"/>
      </w:r>
      <w:r>
        <w:rPr>
          <w:color w:val="000000"/>
          <w:sz w:val="28"/>
          <w:szCs w:val="28"/>
        </w:rPr>
        <w:sym w:font="HQPB4" w:char="F0E0"/>
      </w:r>
      <w:r>
        <w:rPr>
          <w:color w:val="000000"/>
          <w:sz w:val="28"/>
          <w:szCs w:val="28"/>
        </w:rPr>
        <w:sym w:font="HQPB2" w:char="F036"/>
      </w:r>
      <w:r>
        <w:rPr>
          <w:color w:val="000000"/>
          <w:sz w:val="28"/>
          <w:szCs w:val="28"/>
        </w:rPr>
        <w:sym w:font="HQPB4" w:char="F0E7"/>
      </w:r>
      <w:r>
        <w:rPr>
          <w:color w:val="000000"/>
          <w:sz w:val="28"/>
          <w:szCs w:val="28"/>
        </w:rPr>
        <w:sym w:font="HQPB1" w:char="F046"/>
      </w:r>
      <w:r>
        <w:rPr>
          <w:color w:val="000000"/>
          <w:sz w:val="28"/>
          <w:szCs w:val="28"/>
        </w:rPr>
        <w:sym w:font="HQPB2" w:char="F0BB"/>
      </w:r>
      <w:r>
        <w:rPr>
          <w:color w:val="000000"/>
          <w:sz w:val="28"/>
          <w:szCs w:val="28"/>
        </w:rPr>
        <w:sym w:font="HQPB5" w:char="F079"/>
      </w:r>
      <w:r>
        <w:rPr>
          <w:color w:val="000000"/>
          <w:sz w:val="28"/>
          <w:szCs w:val="28"/>
        </w:rPr>
        <w:sym w:font="HQPB2" w:char="F067"/>
      </w:r>
      <w:r>
        <w:rPr>
          <w:color w:val="000000"/>
          <w:sz w:val="28"/>
          <w:szCs w:val="28"/>
        </w:rPr>
        <w:sym w:font="HQPB4" w:char="F0A8"/>
      </w:r>
      <w:r>
        <w:rPr>
          <w:color w:val="000000"/>
          <w:sz w:val="28"/>
          <w:szCs w:val="28"/>
        </w:rPr>
        <w:sym w:font="HQPB2" w:char="F042"/>
      </w:r>
      <w:r>
        <w:rPr>
          <w:color w:val="000000"/>
          <w:sz w:val="28"/>
          <w:szCs w:val="28"/>
        </w:rPr>
        <w:sym w:font="HQPB4" w:char="F0E9"/>
      </w:r>
      <w:r>
        <w:rPr>
          <w:color w:val="000000"/>
          <w:sz w:val="28"/>
          <w:szCs w:val="28"/>
        </w:rPr>
        <w:sym w:font="HQPB1" w:char="F026"/>
      </w:r>
      <w:r>
        <w:rPr>
          <w:color w:val="000000"/>
          <w:sz w:val="28"/>
          <w:szCs w:val="28"/>
        </w:rPr>
        <w:sym w:font="HQPB5" w:char="F075"/>
      </w:r>
      <w:r>
        <w:rPr>
          <w:color w:val="000000"/>
          <w:sz w:val="28"/>
          <w:szCs w:val="28"/>
        </w:rPr>
        <w:sym w:font="HQPB2" w:char="F072"/>
      </w:r>
      <w:r>
        <w:rPr>
          <w:color w:val="000000"/>
          <w:sz w:val="28"/>
          <w:szCs w:val="28"/>
          <w:rtl/>
        </w:rPr>
        <w:t xml:space="preserve"> </w:t>
      </w:r>
      <w:r>
        <w:rPr>
          <w:color w:val="000000"/>
          <w:sz w:val="28"/>
          <w:szCs w:val="28"/>
        </w:rPr>
        <w:sym w:font="HQPB4" w:char="F0FB"/>
      </w:r>
      <w:r>
        <w:rPr>
          <w:color w:val="000000"/>
          <w:sz w:val="28"/>
          <w:szCs w:val="28"/>
        </w:rPr>
        <w:sym w:font="HQPB2" w:char="F0D3"/>
      </w:r>
      <w:r>
        <w:rPr>
          <w:color w:val="000000"/>
          <w:sz w:val="28"/>
          <w:szCs w:val="28"/>
        </w:rPr>
        <w:sym w:font="HQPB4" w:char="F0C9"/>
      </w:r>
      <w:r>
        <w:rPr>
          <w:color w:val="000000"/>
          <w:sz w:val="28"/>
          <w:szCs w:val="28"/>
        </w:rPr>
        <w:sym w:font="HQPB1" w:char="F04C"/>
      </w:r>
      <w:r>
        <w:rPr>
          <w:color w:val="000000"/>
          <w:sz w:val="28"/>
          <w:szCs w:val="28"/>
        </w:rPr>
        <w:sym w:font="HQPB2" w:char="F0BB"/>
      </w:r>
      <w:r>
        <w:rPr>
          <w:color w:val="000000"/>
          <w:sz w:val="28"/>
          <w:szCs w:val="28"/>
        </w:rPr>
        <w:sym w:font="HQPB4" w:char="F0A9"/>
      </w:r>
      <w:r>
        <w:rPr>
          <w:color w:val="000000"/>
          <w:sz w:val="28"/>
          <w:szCs w:val="28"/>
        </w:rPr>
        <w:sym w:font="HQPB2" w:char="F039"/>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lastRenderedPageBreak/>
        <w:sym w:font="HQPB4" w:char="F0F6"/>
      </w:r>
      <w:r>
        <w:rPr>
          <w:color w:val="000000"/>
          <w:sz w:val="28"/>
          <w:szCs w:val="28"/>
        </w:rPr>
        <w:sym w:font="HQPB2" w:char="F04E"/>
      </w:r>
      <w:r>
        <w:rPr>
          <w:color w:val="000000"/>
          <w:sz w:val="28"/>
          <w:szCs w:val="28"/>
        </w:rPr>
        <w:sym w:font="HQPB4" w:char="F0E4"/>
      </w:r>
      <w:r>
        <w:rPr>
          <w:color w:val="000000"/>
          <w:sz w:val="28"/>
          <w:szCs w:val="28"/>
        </w:rPr>
        <w:sym w:font="HQPB2" w:char="F033"/>
      </w:r>
      <w:r>
        <w:rPr>
          <w:color w:val="000000"/>
          <w:sz w:val="28"/>
          <w:szCs w:val="28"/>
        </w:rPr>
        <w:sym w:font="HQPB5" w:char="F06F"/>
      </w:r>
      <w:r>
        <w:rPr>
          <w:color w:val="000000"/>
          <w:sz w:val="28"/>
          <w:szCs w:val="28"/>
        </w:rPr>
        <w:sym w:font="HQPB2" w:char="F059"/>
      </w:r>
      <w:r>
        <w:rPr>
          <w:color w:val="000000"/>
          <w:sz w:val="28"/>
          <w:szCs w:val="28"/>
        </w:rPr>
        <w:sym w:font="HQPB4" w:char="F0F7"/>
      </w:r>
      <w:r>
        <w:rPr>
          <w:color w:val="000000"/>
          <w:sz w:val="28"/>
          <w:szCs w:val="28"/>
        </w:rPr>
        <w:sym w:font="HQPB1" w:char="F0E8"/>
      </w:r>
      <w:r>
        <w:rPr>
          <w:color w:val="000000"/>
          <w:sz w:val="28"/>
          <w:szCs w:val="28"/>
        </w:rPr>
        <w:sym w:font="HQPB5" w:char="F07C"/>
      </w:r>
      <w:r>
        <w:rPr>
          <w:color w:val="000000"/>
          <w:sz w:val="28"/>
          <w:szCs w:val="28"/>
        </w:rPr>
        <w:sym w:font="HQPB1" w:char="F0CA"/>
      </w:r>
      <w:r>
        <w:rPr>
          <w:color w:val="000000"/>
          <w:sz w:val="28"/>
          <w:szCs w:val="28"/>
        </w:rPr>
        <w:sym w:font="HQPB4" w:char="F0F6"/>
      </w:r>
      <w:r>
        <w:rPr>
          <w:color w:val="000000"/>
          <w:sz w:val="28"/>
          <w:szCs w:val="28"/>
        </w:rPr>
        <w:sym w:font="HQPB1" w:char="F091"/>
      </w:r>
      <w:r>
        <w:rPr>
          <w:color w:val="000000"/>
          <w:sz w:val="28"/>
          <w:szCs w:val="28"/>
        </w:rPr>
        <w:sym w:font="HQPB5" w:char="F072"/>
      </w:r>
      <w:r>
        <w:rPr>
          <w:color w:val="000000"/>
          <w:sz w:val="28"/>
          <w:szCs w:val="28"/>
        </w:rPr>
        <w:sym w:font="HQPB1" w:char="F026"/>
      </w:r>
      <w:r>
        <w:rPr>
          <w:color w:val="000000"/>
          <w:sz w:val="28"/>
          <w:szCs w:val="28"/>
          <w:rtl/>
        </w:rPr>
        <w:t xml:space="preserve"> </w:t>
      </w:r>
      <w:r>
        <w:rPr>
          <w:color w:val="000000"/>
          <w:sz w:val="28"/>
          <w:szCs w:val="28"/>
        </w:rPr>
        <w:sym w:font="HQPB2" w:char="F0E1"/>
      </w:r>
      <w:r>
        <w:rPr>
          <w:rFonts w:hint="cs"/>
          <w:vertAlign w:val="superscript"/>
          <w:rtl/>
        </w:rPr>
        <w:t xml:space="preserve"> (</w:t>
      </w:r>
      <w:r>
        <w:rPr>
          <w:rStyle w:val="a7"/>
          <w:rtl/>
        </w:rPr>
        <w:footnoteReference w:id="3368"/>
      </w:r>
      <w:r>
        <w:rPr>
          <w:rFonts w:hint="cs"/>
          <w:vertAlign w:val="superscript"/>
          <w:rtl/>
        </w:rPr>
        <w:t>)</w:t>
      </w:r>
      <w:r>
        <w:rPr>
          <w:rFonts w:hint="cs"/>
          <w:rtl/>
        </w:rPr>
        <w:t xml:space="preserve"> عامٌ لم يخص منه شيء بالتخصيص</w:t>
      </w:r>
      <w:r>
        <w:rPr>
          <w:rFonts w:hint="cs"/>
          <w:vertAlign w:val="superscript"/>
          <w:rtl/>
        </w:rPr>
        <w:t>(</w:t>
      </w:r>
      <w:r>
        <w:rPr>
          <w:rStyle w:val="a7"/>
          <w:rtl/>
        </w:rPr>
        <w:footnoteReference w:id="3369"/>
      </w:r>
      <w:r>
        <w:rPr>
          <w:rFonts w:hint="cs"/>
          <w:vertAlign w:val="superscript"/>
          <w:rtl/>
        </w:rPr>
        <w:t>)</w:t>
      </w:r>
      <w:r>
        <w:rPr>
          <w:rFonts w:hint="cs"/>
          <w:rtl/>
        </w:rPr>
        <w:t>، على [خلاف]</w:t>
      </w:r>
      <w:r>
        <w:rPr>
          <w:rStyle w:val="a7"/>
          <w:rtl/>
        </w:rPr>
        <w:footnoteReference w:id="3370"/>
      </w:r>
      <w:r>
        <w:rPr>
          <w:rFonts w:hint="cs"/>
          <w:rtl/>
        </w:rPr>
        <w:t xml:space="preserve"> مقتضى هذا الأصل</w:t>
      </w:r>
      <w:r>
        <w:rPr>
          <w:rFonts w:hint="cs"/>
          <w:vertAlign w:val="superscript"/>
          <w:rtl/>
        </w:rPr>
        <w:t>(</w:t>
      </w:r>
      <w:r>
        <w:rPr>
          <w:rStyle w:val="a7"/>
          <w:rtl/>
        </w:rPr>
        <w:footnoteReference w:id="3371"/>
      </w:r>
      <w:r>
        <w:rPr>
          <w:rFonts w:hint="cs"/>
          <w:vertAlign w:val="superscript"/>
          <w:rtl/>
        </w:rPr>
        <w:t>)</w:t>
      </w:r>
      <w:r>
        <w:rPr>
          <w:rFonts w:hint="cs"/>
          <w:rtl/>
        </w:rPr>
        <w:t>.</w:t>
      </w:r>
    </w:p>
    <w:p w:rsidR="00C10469" w:rsidRDefault="00C10469" w:rsidP="00C10469">
      <w:pPr>
        <w:rPr>
          <w:rFonts w:cs="Al-Kharashi 62"/>
          <w:sz w:val="36"/>
          <w:rtl/>
        </w:rPr>
      </w:pPr>
      <w:r>
        <w:rPr>
          <w:rFonts w:ascii="Wingdings" w:hAnsi="Wingdings"/>
        </w:rPr>
        <w:t></w:t>
      </w:r>
      <w:r>
        <w:rPr>
          <w:rFonts w:hint="cs"/>
          <w:rtl/>
        </w:rPr>
        <w:t xml:space="preserve"> وكـذا طـلاق الـنـائـم [لـيـس بـواقـع]</w:t>
      </w:r>
      <w:r>
        <w:rPr>
          <w:rStyle w:val="a7"/>
          <w:rtl/>
        </w:rPr>
        <w:footnoteReference w:id="3372"/>
      </w:r>
      <w:r>
        <w:rPr>
          <w:rFonts w:hint="cs"/>
          <w:rtl/>
        </w:rPr>
        <w:t xml:space="preserve"> مـع</w:t>
      </w:r>
      <w:r>
        <w:rPr>
          <w:rStyle w:val="a7"/>
          <w:rtl/>
        </w:rPr>
        <w:footnoteReference w:id="3373"/>
      </w:r>
      <w:r>
        <w:rPr>
          <w:rFonts w:hint="cs"/>
          <w:rtl/>
        </w:rPr>
        <w:t xml:space="preserve"> أنَّ قـولـه </w:t>
      </w:r>
      <w:r>
        <w:rPr>
          <w:rFonts w:ascii="AGA Arabesque" w:hAnsi="AGA Arabesque"/>
          <w:sz w:val="36"/>
        </w:rPr>
        <w:t></w:t>
      </w:r>
      <w:r>
        <w:rPr>
          <w:rFonts w:hint="cs"/>
          <w:rtl/>
        </w:rPr>
        <w:t xml:space="preserve"> : </w:t>
      </w:r>
      <w:r>
        <w:rPr>
          <w:rFonts w:hint="eastAsia"/>
          <w:rtl/>
        </w:rPr>
        <w:t>«</w:t>
      </w:r>
      <w:r>
        <w:rPr>
          <w:rFonts w:cs="DecoType Naskh Extensions" w:hint="cs"/>
          <w:sz w:val="32"/>
          <w:szCs w:val="32"/>
          <w:rtl/>
        </w:rPr>
        <w:t>كــــــــلُّ الطَّـــــــلاقِ</w:t>
      </w:r>
      <w:r>
        <w:rPr>
          <w:rStyle w:val="a7"/>
          <w:rtl/>
        </w:rPr>
        <w:footnoteReference w:id="3374"/>
      </w:r>
      <w:r>
        <w:rPr>
          <w:rFonts w:hint="cs"/>
          <w:rtl/>
        </w:rPr>
        <w:t xml:space="preserve"> </w:t>
      </w:r>
      <w:r>
        <w:rPr>
          <w:rFonts w:cs="DecoType Naskh" w:hint="cs"/>
          <w:sz w:val="32"/>
          <w:szCs w:val="32"/>
          <w:rtl/>
        </w:rPr>
        <w:t>واقـــــــعٌ إلاّ طــــــــلاق الــــصـــــــــــبّـــــــــي والـــــــــمـــــــــجــــــــــنــــــــــــون</w:t>
      </w:r>
      <w:r>
        <w:rPr>
          <w:rFonts w:hint="eastAsia"/>
          <w:rtl/>
        </w:rPr>
        <w:t>»</w:t>
      </w:r>
      <w:r>
        <w:rPr>
          <w:rFonts w:hint="cs"/>
          <w:vertAlign w:val="superscript"/>
          <w:rtl/>
        </w:rPr>
        <w:t>(</w:t>
      </w:r>
      <w:r>
        <w:rPr>
          <w:rStyle w:val="a7"/>
          <w:bCs w:val="0"/>
          <w:rtl/>
        </w:rPr>
        <w:footnoteReference w:id="3375"/>
      </w:r>
      <w:r>
        <w:rPr>
          <w:rFonts w:hint="cs"/>
          <w:vertAlign w:val="superscript"/>
          <w:rtl/>
        </w:rPr>
        <w:t>)</w:t>
      </w:r>
      <w:r>
        <w:rPr>
          <w:rFonts w:cs="Al-Kharashi 62" w:hint="cs"/>
          <w:sz w:val="36"/>
          <w:rtl/>
        </w:rPr>
        <w:t xml:space="preserve"> </w:t>
      </w:r>
    </w:p>
    <w:p w:rsidR="00C10469" w:rsidRDefault="00C10469">
      <w:pPr>
        <w:ind w:left="207" w:right="207" w:firstLine="720"/>
        <w:rPr>
          <w:rtl/>
        </w:rPr>
      </w:pPr>
      <w:r>
        <w:rPr>
          <w:rFonts w:hint="cs"/>
          <w:rtl/>
        </w:rPr>
        <w:lastRenderedPageBreak/>
        <w:t>عامٌّ لم</w:t>
      </w:r>
      <w:r>
        <w:rPr>
          <w:rStyle w:val="a7"/>
          <w:rtl/>
        </w:rPr>
        <w:footnoteReference w:id="3376"/>
      </w:r>
      <w:r>
        <w:rPr>
          <w:rFonts w:hint="cs"/>
          <w:rtl/>
        </w:rPr>
        <w:t xml:space="preserve"> يلحقه خصوص</w:t>
      </w:r>
      <w:r>
        <w:rPr>
          <w:rFonts w:hint="cs"/>
          <w:vertAlign w:val="superscript"/>
          <w:rtl/>
        </w:rPr>
        <w:t>(</w:t>
      </w:r>
      <w:r>
        <w:rPr>
          <w:rStyle w:val="a7"/>
          <w:rtl/>
        </w:rPr>
        <w:footnoteReference w:id="3377"/>
      </w:r>
      <w:r>
        <w:rPr>
          <w:rFonts w:hint="cs"/>
          <w:vertAlign w:val="superscript"/>
          <w:rtl/>
        </w:rPr>
        <w:t>)</w:t>
      </w:r>
      <w:r>
        <w:rPr>
          <w:rFonts w:hint="cs"/>
          <w:rtl/>
        </w:rPr>
        <w:t>.</w:t>
      </w:r>
    </w:p>
    <w:p w:rsidR="00C10469" w:rsidRDefault="00C10469" w:rsidP="00C10469">
      <w:pPr>
        <w:ind w:left="989" w:hanging="269"/>
        <w:rPr>
          <w:rtl/>
        </w:rPr>
      </w:pPr>
      <w:r>
        <w:rPr>
          <w:rtl/>
        </w:rPr>
        <w:t>•</w:t>
      </w:r>
      <w:r>
        <w:rPr>
          <w:rFonts w:hint="cs"/>
          <w:rtl/>
        </w:rPr>
        <w:t xml:space="preserve"> </w:t>
      </w:r>
      <w:r>
        <w:rPr>
          <w:rFonts w:hint="eastAsia"/>
          <w:rtl/>
        </w:rPr>
        <w:t>«</w:t>
      </w:r>
      <w:r>
        <w:rPr>
          <w:rFonts w:hint="cs"/>
          <w:b/>
          <w:bCs/>
          <w:rtl/>
        </w:rPr>
        <w:t>الجواب</w:t>
      </w:r>
      <w:r>
        <w:rPr>
          <w:rStyle w:val="a7"/>
          <w:rtl/>
        </w:rPr>
        <w:footnoteReference w:id="3378"/>
      </w:r>
      <w:r>
        <w:rPr>
          <w:rFonts w:hint="cs"/>
          <w:rtl/>
        </w:rPr>
        <w:t xml:space="preserve"> </w:t>
      </w:r>
      <w:r>
        <w:rPr>
          <w:rFonts w:hint="cs"/>
          <w:b/>
          <w:bCs/>
          <w:rtl/>
        </w:rPr>
        <w:t>[عن]</w:t>
      </w:r>
      <w:r>
        <w:rPr>
          <w:rStyle w:val="a7"/>
          <w:rtl/>
        </w:rPr>
        <w:footnoteReference w:id="3379"/>
      </w:r>
      <w:r>
        <w:rPr>
          <w:rFonts w:hint="cs"/>
          <w:rtl/>
        </w:rPr>
        <w:t xml:space="preserve"> </w:t>
      </w:r>
      <w:r>
        <w:rPr>
          <w:rFonts w:hint="cs"/>
          <w:b/>
          <w:bCs/>
          <w:rtl/>
        </w:rPr>
        <w:t>الأول</w:t>
      </w:r>
      <w:r>
        <w:rPr>
          <w:rFonts w:hint="cs"/>
          <w:rtl/>
        </w:rPr>
        <w:t xml:space="preserve"> : أنَّ النصّ يوجب عموم الحرمة من أجل </w:t>
      </w:r>
      <w:r>
        <w:rPr>
          <w:rtl/>
        </w:rPr>
        <w:br/>
      </w:r>
      <w:r>
        <w:rPr>
          <w:rFonts w:hint="cs"/>
          <w:rtl/>
        </w:rPr>
        <w:t>الرضاع</w:t>
      </w:r>
      <w:r>
        <w:rPr>
          <w:rStyle w:val="a7"/>
          <w:rtl/>
        </w:rPr>
        <w:footnoteReference w:id="3380"/>
      </w:r>
      <w:r>
        <w:rPr>
          <w:rFonts w:hint="cs"/>
          <w:rtl/>
        </w:rPr>
        <w:t xml:space="preserve"> أينما</w:t>
      </w:r>
      <w:r>
        <w:rPr>
          <w:rStyle w:val="a7"/>
          <w:rtl/>
        </w:rPr>
        <w:footnoteReference w:id="3381"/>
      </w:r>
      <w:r>
        <w:rPr>
          <w:rFonts w:hint="cs"/>
          <w:rtl/>
        </w:rPr>
        <w:t xml:space="preserve"> ثبت</w:t>
      </w:r>
      <w:r>
        <w:rPr>
          <w:rFonts w:hint="cs"/>
          <w:vertAlign w:val="superscript"/>
          <w:rtl/>
        </w:rPr>
        <w:t>(</w:t>
      </w:r>
      <w:r>
        <w:rPr>
          <w:rStyle w:val="a7"/>
          <w:rtl/>
        </w:rPr>
        <w:footnoteReference w:id="3382"/>
      </w:r>
      <w:r>
        <w:rPr>
          <w:rFonts w:hint="cs"/>
          <w:vertAlign w:val="superscript"/>
          <w:rtl/>
        </w:rPr>
        <w:t>)</w:t>
      </w:r>
      <w:r>
        <w:rPr>
          <w:rFonts w:hint="cs"/>
          <w:rtl/>
        </w:rPr>
        <w:t xml:space="preserve"> الحرمة لأجل</w:t>
      </w:r>
      <w:r>
        <w:rPr>
          <w:rStyle w:val="a7"/>
          <w:rtl/>
        </w:rPr>
        <w:footnoteReference w:id="3383"/>
      </w:r>
      <w:r>
        <w:rPr>
          <w:rFonts w:hint="cs"/>
          <w:rtl/>
        </w:rPr>
        <w:t xml:space="preserve"> النّسب، وحرمة أمّ شقيقه</w:t>
      </w:r>
      <w:r>
        <w:rPr>
          <w:rStyle w:val="a7"/>
          <w:rtl/>
        </w:rPr>
        <w:footnoteReference w:id="3384"/>
      </w:r>
      <w:r>
        <w:rPr>
          <w:rFonts w:hint="cs"/>
          <w:rtl/>
        </w:rPr>
        <w:t xml:space="preserve"> لا لأجل النسب؛ بل لكونها أمًّا له أو منكوحة أبيه. بدليل حرمتها عليه بدون كونها أمّ شقيقه</w:t>
      </w:r>
      <w:r>
        <w:rPr>
          <w:rStyle w:val="a7"/>
          <w:rtl/>
        </w:rPr>
        <w:footnoteReference w:id="3385"/>
      </w:r>
      <w:r>
        <w:rPr>
          <w:rFonts w:hint="cs"/>
          <w:rtl/>
        </w:rPr>
        <w:t xml:space="preserve"> من النسب.</w:t>
      </w:r>
    </w:p>
    <w:p w:rsidR="00C10469" w:rsidRDefault="00C10469" w:rsidP="00C10469">
      <w:pPr>
        <w:ind w:left="989" w:hanging="269"/>
        <w:rPr>
          <w:rtl/>
        </w:rPr>
      </w:pPr>
      <w:r>
        <w:rPr>
          <w:b/>
          <w:bCs/>
          <w:rtl/>
        </w:rPr>
        <w:t>•</w:t>
      </w:r>
      <w:r>
        <w:rPr>
          <w:rFonts w:hint="cs"/>
          <w:b/>
          <w:bCs/>
          <w:rtl/>
        </w:rPr>
        <w:t xml:space="preserve">  وعن الثاني</w:t>
      </w:r>
      <w:r>
        <w:rPr>
          <w:rFonts w:hint="cs"/>
          <w:rtl/>
        </w:rPr>
        <w:t xml:space="preserve"> : أن الرسول </w:t>
      </w:r>
      <w:r>
        <w:rPr>
          <w:rFonts w:ascii="AGA Arabesque" w:hAnsi="AGA Arabesque"/>
          <w:sz w:val="36"/>
        </w:rPr>
        <w:t></w:t>
      </w:r>
      <w:r>
        <w:rPr>
          <w:rFonts w:hint="cs"/>
          <w:rtl/>
        </w:rPr>
        <w:t xml:space="preserve"> في حديث معروف جمع بين الصبي والمجنون والنائم في كونهم مرفوعيّ القلم</w:t>
      </w:r>
      <w:r>
        <w:rPr>
          <w:rFonts w:hint="cs"/>
          <w:vertAlign w:val="superscript"/>
          <w:rtl/>
        </w:rPr>
        <w:t>(</w:t>
      </w:r>
      <w:r>
        <w:rPr>
          <w:rStyle w:val="a7"/>
          <w:rtl/>
        </w:rPr>
        <w:footnoteReference w:id="3386"/>
      </w:r>
      <w:r>
        <w:rPr>
          <w:rFonts w:hint="cs"/>
          <w:vertAlign w:val="superscript"/>
          <w:rtl/>
        </w:rPr>
        <w:t>)</w:t>
      </w:r>
      <w:r>
        <w:rPr>
          <w:rFonts w:hint="cs"/>
          <w:rtl/>
        </w:rPr>
        <w:t>؛ لعدم العقل أو لقصُوره.</w:t>
      </w:r>
    </w:p>
    <w:p w:rsidR="00C10469" w:rsidRDefault="00C10469">
      <w:pPr>
        <w:rPr>
          <w:rtl/>
        </w:rPr>
      </w:pPr>
      <w:r>
        <w:rPr>
          <w:rFonts w:hint="cs"/>
          <w:rtl/>
        </w:rPr>
        <w:lastRenderedPageBreak/>
        <w:t>ثم لاشكّ أنّ استثناء الصبي والمجنون في هذا الحديث</w:t>
      </w:r>
      <w:r>
        <w:rPr>
          <w:rStyle w:val="a7"/>
          <w:rtl/>
        </w:rPr>
        <w:footnoteReference w:id="3387"/>
      </w:r>
      <w:r>
        <w:rPr>
          <w:rFonts w:hint="cs"/>
          <w:rtl/>
        </w:rPr>
        <w:t xml:space="preserve"> لهذا المعنى أيضًا، فصار تقدير</w:t>
      </w:r>
      <w:r>
        <w:rPr>
          <w:rStyle w:val="a7"/>
          <w:rtl/>
        </w:rPr>
        <w:footnoteReference w:id="3388"/>
      </w:r>
      <w:r>
        <w:rPr>
          <w:rFonts w:hint="cs"/>
          <w:rtl/>
        </w:rPr>
        <w:t xml:space="preserve"> الحديث : (إلاّ طلاق الصبي</w:t>
      </w:r>
      <w:r>
        <w:rPr>
          <w:rStyle w:val="a7"/>
          <w:rtl/>
        </w:rPr>
        <w:footnoteReference w:id="3389"/>
      </w:r>
      <w:r>
        <w:rPr>
          <w:rFonts w:hint="cs"/>
          <w:rtl/>
        </w:rPr>
        <w:t>، والمجنون، ومن يمثّل</w:t>
      </w:r>
      <w:r>
        <w:rPr>
          <w:rStyle w:val="a7"/>
          <w:rtl/>
        </w:rPr>
        <w:footnoteReference w:id="3390"/>
      </w:r>
      <w:r>
        <w:rPr>
          <w:rFonts w:hint="cs"/>
          <w:rtl/>
        </w:rPr>
        <w:t xml:space="preserve"> حالهما).</w:t>
      </w:r>
    </w:p>
    <w:p w:rsidR="00C10469" w:rsidRDefault="00C10469">
      <w:pPr>
        <w:rPr>
          <w:rtl/>
        </w:rPr>
      </w:pPr>
      <w:r>
        <w:rPr>
          <w:rFonts w:hint="cs"/>
          <w:rtl/>
        </w:rPr>
        <w:t>ولهذا قلنا : إن من زال عقلُهُ بشرب</w:t>
      </w:r>
      <w:r>
        <w:rPr>
          <w:rStyle w:val="a7"/>
          <w:rtl/>
        </w:rPr>
        <w:footnoteReference w:id="3391"/>
      </w:r>
      <w:r>
        <w:rPr>
          <w:rFonts w:hint="cs"/>
          <w:rtl/>
        </w:rPr>
        <w:t xml:space="preserve"> الدواء أو بالصّداع</w:t>
      </w:r>
      <w:r>
        <w:rPr>
          <w:rStyle w:val="a7"/>
          <w:rtl/>
        </w:rPr>
        <w:footnoteReference w:id="3392"/>
      </w:r>
      <w:r>
        <w:rPr>
          <w:rFonts w:hint="cs"/>
          <w:rtl/>
        </w:rPr>
        <w:t xml:space="preserve"> لا يقع طلاقه أيضًا، </w:t>
      </w:r>
      <w:r>
        <w:rPr>
          <w:rFonts w:hint="cs"/>
          <w:rtl/>
        </w:rPr>
        <w:lastRenderedPageBreak/>
        <w:t>فثبت الحكمُ في النائم بدلالة النصّ، لا بالقياس</w:t>
      </w:r>
      <w:r>
        <w:rPr>
          <w:rFonts w:hint="eastAsia"/>
          <w:rtl/>
        </w:rPr>
        <w:t>»</w:t>
      </w:r>
      <w:r>
        <w:rPr>
          <w:rFonts w:hint="cs"/>
          <w:vertAlign w:val="superscript"/>
          <w:rtl/>
        </w:rPr>
        <w:t>(</w:t>
      </w:r>
      <w:r>
        <w:rPr>
          <w:rStyle w:val="a7"/>
          <w:rtl/>
        </w:rPr>
        <w:footnoteReference w:id="3393"/>
      </w:r>
      <w:r>
        <w:rPr>
          <w:rFonts w:hint="cs"/>
          <w:vertAlign w:val="superscript"/>
          <w:rtl/>
        </w:rPr>
        <w:t>)</w:t>
      </w:r>
      <w:r>
        <w:rPr>
          <w:rFonts w:hint="cs"/>
          <w:rtl/>
        </w:rPr>
        <w:t>.</w:t>
      </w:r>
    </w:p>
    <w:p w:rsidR="00C10469" w:rsidRDefault="00C10469">
      <w:pPr>
        <w:rPr>
          <w:rtl/>
        </w:rPr>
      </w:pPr>
    </w:p>
    <w:p w:rsidR="00C10469" w:rsidRPr="006B0964"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pPr>
    </w:p>
    <w:p w:rsidR="00C10469" w:rsidRDefault="00C10469">
      <w:pPr>
        <w:ind w:firstLine="0"/>
        <w:rPr>
          <w:rtl/>
        </w:rPr>
        <w:sectPr w:rsidR="00C10469" w:rsidSect="00C10469">
          <w:headerReference w:type="default" r:id="rId21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123F5" w:rsidRDefault="00C10469">
      <w:pPr>
        <w:pStyle w:val="a9"/>
        <w:rPr>
          <w:rFonts w:cs="AL-Mateen"/>
          <w:rtl/>
        </w:rPr>
      </w:pPr>
      <w:r w:rsidRPr="006123F5">
        <w:rPr>
          <w:rFonts w:cs="AL-Mateen" w:hint="cs"/>
          <w:rtl/>
        </w:rPr>
        <w:lastRenderedPageBreak/>
        <w:t>[ الـقـاعـدة الـثـالـثـة والـسـتـون بـعـد الـمـائـة ]</w:t>
      </w:r>
    </w:p>
    <w:p w:rsidR="00C10469" w:rsidRDefault="00C10469">
      <w:pPr>
        <w:rPr>
          <w:rtl/>
        </w:rPr>
      </w:pPr>
      <w:r>
        <w:rPr>
          <w:rFonts w:cs="Monotype Koufi" w:hint="cs"/>
          <w:rtl/>
        </w:rPr>
        <w:t>العَامُّ بَعْدَ التَّخْصِيصِ</w:t>
      </w:r>
      <w:r>
        <w:rPr>
          <w:rStyle w:val="a7"/>
          <w:rtl/>
        </w:rPr>
        <w:footnoteReference w:id="3394"/>
      </w:r>
      <w:r>
        <w:rPr>
          <w:rFonts w:hint="cs"/>
          <w:rtl/>
        </w:rPr>
        <w:t xml:space="preserve"> </w:t>
      </w:r>
      <w:r>
        <w:rPr>
          <w:rFonts w:cs="Monotype Koufi" w:hint="cs"/>
          <w:rtl/>
        </w:rPr>
        <w:t>يَبْقَى حُجَّةً لاَ عَلَى [اليَقِينِ]</w:t>
      </w:r>
      <w:r>
        <w:rPr>
          <w:rStyle w:val="a7"/>
          <w:rtl/>
        </w:rPr>
        <w:footnoteReference w:id="3395"/>
      </w:r>
      <w:r>
        <w:rPr>
          <w:rFonts w:hint="cs"/>
          <w:rtl/>
        </w:rPr>
        <w:t xml:space="preserve"> </w:t>
      </w:r>
      <w:r>
        <w:rPr>
          <w:rFonts w:cs="Monotype Koufi" w:hint="cs"/>
          <w:rtl/>
        </w:rPr>
        <w:t>عِنْدَنَا</w:t>
      </w:r>
      <w:r>
        <w:rPr>
          <w:rFonts w:hint="cs"/>
          <w:vertAlign w:val="superscript"/>
          <w:rtl/>
        </w:rPr>
        <w:t>(</w:t>
      </w:r>
      <w:r>
        <w:rPr>
          <w:rStyle w:val="a7"/>
          <w:rtl/>
        </w:rPr>
        <w:footnoteReference w:id="3396"/>
      </w:r>
      <w:r>
        <w:rPr>
          <w:rFonts w:hint="cs"/>
          <w:vertAlign w:val="superscript"/>
          <w:rtl/>
        </w:rPr>
        <w:t>)</w:t>
      </w:r>
      <w:r>
        <w:rPr>
          <w:rFonts w:hint="cs"/>
          <w:rtl/>
        </w:rPr>
        <w:t xml:space="preserve"> </w:t>
      </w:r>
      <w:r>
        <w:rPr>
          <w:rFonts w:hint="cs"/>
          <w:rtl/>
        </w:rPr>
        <w:lastRenderedPageBreak/>
        <w:t>:</w:t>
      </w:r>
    </w:p>
    <w:p w:rsidR="00C10469" w:rsidRDefault="00C10469">
      <w:pPr>
        <w:rPr>
          <w:rtl/>
        </w:rPr>
      </w:pPr>
      <w:r>
        <w:rPr>
          <w:rFonts w:hint="cs"/>
          <w:rtl/>
        </w:rPr>
        <w:t>[فلما وقع الشك في أصله يجوز أن يعارضه القياس؛ لأنه يحتمل]</w:t>
      </w:r>
      <w:r>
        <w:rPr>
          <w:rStyle w:val="a7"/>
          <w:rtl/>
        </w:rPr>
        <w:footnoteReference w:id="3397"/>
      </w:r>
      <w:r>
        <w:rPr>
          <w:rFonts w:hint="cs"/>
          <w:rtl/>
        </w:rPr>
        <w:t xml:space="preserve"> أن لا</w:t>
      </w:r>
      <w:r>
        <w:rPr>
          <w:rStyle w:val="a7"/>
          <w:rtl/>
        </w:rPr>
        <w:footnoteReference w:id="3398"/>
      </w:r>
      <w:r>
        <w:rPr>
          <w:rFonts w:hint="cs"/>
          <w:rtl/>
        </w:rPr>
        <w:t xml:space="preserve"> يكون الوصف الذي جعله المجتهد</w:t>
      </w:r>
      <w:r>
        <w:rPr>
          <w:rStyle w:val="a7"/>
          <w:rtl/>
        </w:rPr>
        <w:footnoteReference w:id="3399"/>
      </w:r>
      <w:r>
        <w:rPr>
          <w:rFonts w:hint="cs"/>
          <w:rtl/>
        </w:rPr>
        <w:t xml:space="preserve"> مناط الحكم مناطًا.</w:t>
      </w:r>
    </w:p>
    <w:p w:rsidR="00C10469" w:rsidRDefault="00C10469">
      <w:pPr>
        <w:rPr>
          <w:spacing w:val="6"/>
          <w:rtl/>
        </w:rPr>
      </w:pPr>
      <w:r>
        <w:rPr>
          <w:rFonts w:hint="cs"/>
          <w:spacing w:val="6"/>
          <w:rtl/>
        </w:rPr>
        <w:t>والدليل على ما يبقى العمومات المخصوصة</w:t>
      </w:r>
      <w:r>
        <w:rPr>
          <w:rStyle w:val="a7"/>
          <w:spacing w:val="6"/>
          <w:rtl/>
        </w:rPr>
        <w:footnoteReference w:id="3400"/>
      </w:r>
      <w:r>
        <w:rPr>
          <w:rFonts w:hint="cs"/>
          <w:spacing w:val="6"/>
          <w:rtl/>
        </w:rPr>
        <w:t xml:space="preserve"> حجة : </w:t>
      </w:r>
      <w:r>
        <w:rPr>
          <w:rFonts w:hint="eastAsia"/>
          <w:spacing w:val="6"/>
          <w:rtl/>
        </w:rPr>
        <w:t>«</w:t>
      </w:r>
      <w:r>
        <w:rPr>
          <w:rFonts w:hint="cs"/>
          <w:spacing w:val="6"/>
          <w:rtl/>
        </w:rPr>
        <w:t>أنّا توارثنا الاحتجاج بالعمومات المخصوصة من السلف من غير [نكير]</w:t>
      </w:r>
      <w:r>
        <w:rPr>
          <w:rStyle w:val="a7"/>
          <w:spacing w:val="6"/>
          <w:rtl/>
        </w:rPr>
        <w:footnoteReference w:id="3401"/>
      </w:r>
      <w:r>
        <w:rPr>
          <w:rFonts w:hint="cs"/>
          <w:spacing w:val="6"/>
          <w:rtl/>
        </w:rPr>
        <w:t xml:space="preserve"> ؛فذلك آية كونها حجة بعد التخصيص.</w:t>
      </w:r>
    </w:p>
    <w:p w:rsidR="00C10469" w:rsidRDefault="00C10469">
      <w:pPr>
        <w:rPr>
          <w:rtl/>
        </w:rPr>
      </w:pPr>
      <w:r>
        <w:rPr>
          <w:rFonts w:hint="cs"/>
          <w:rtl/>
        </w:rPr>
        <w:lastRenderedPageBreak/>
        <w:t>وتقريره</w:t>
      </w:r>
      <w:r>
        <w:rPr>
          <w:rFonts w:hint="cs"/>
          <w:vertAlign w:val="superscript"/>
          <w:rtl/>
        </w:rPr>
        <w:t>(</w:t>
      </w:r>
      <w:r>
        <w:rPr>
          <w:rStyle w:val="a7"/>
          <w:rtl/>
        </w:rPr>
        <w:footnoteReference w:id="3402"/>
      </w:r>
      <w:r>
        <w:rPr>
          <w:rFonts w:hint="cs"/>
          <w:vertAlign w:val="superscript"/>
          <w:rtl/>
        </w:rPr>
        <w:t>)</w:t>
      </w:r>
      <w:r>
        <w:rPr>
          <w:rFonts w:hint="cs"/>
          <w:rtl/>
        </w:rPr>
        <w:t xml:space="preserve"> : أن عليًّا </w:t>
      </w:r>
      <w:r>
        <w:rPr>
          <w:rFonts w:ascii="AGA Arabesque" w:hAnsi="AGA Arabesque"/>
          <w:sz w:val="36"/>
        </w:rPr>
        <w:t></w:t>
      </w:r>
      <w:r>
        <w:rPr>
          <w:rFonts w:hint="cs"/>
          <w:rtl/>
        </w:rPr>
        <w:t xml:space="preserve"> حرّم الجمع بين الأختين وطئًا [بملك]</w:t>
      </w:r>
      <w:r>
        <w:rPr>
          <w:rStyle w:val="a7"/>
          <w:rtl/>
        </w:rPr>
        <w:footnoteReference w:id="3403"/>
      </w:r>
      <w:r>
        <w:rPr>
          <w:rFonts w:hint="cs"/>
          <w:rtl/>
        </w:rPr>
        <w:t xml:space="preserve"> اليمين، و</w:t>
      </w:r>
      <w:r>
        <w:rPr>
          <w:rStyle w:val="a7"/>
          <w:rtl/>
        </w:rPr>
        <w:footnoteReference w:id="3404"/>
      </w:r>
      <w:r>
        <w:rPr>
          <w:rFonts w:hint="cs"/>
          <w:rtl/>
        </w:rPr>
        <w:t>قال : [أحلتهما]</w:t>
      </w:r>
      <w:r>
        <w:rPr>
          <w:rStyle w:val="a7"/>
          <w:rtl/>
        </w:rPr>
        <w:footnoteReference w:id="3405"/>
      </w:r>
      <w:r>
        <w:rPr>
          <w:rFonts w:hint="cs"/>
          <w:rtl/>
        </w:rPr>
        <w:t xml:space="preserve"> آية، وهي قوله تعالى : </w:t>
      </w:r>
      <w:r>
        <w:rPr>
          <w:color w:val="000000"/>
          <w:sz w:val="28"/>
          <w:szCs w:val="28"/>
        </w:rPr>
        <w:sym w:font="HQPB2" w:char="F0E2"/>
      </w:r>
      <w:r>
        <w:rPr>
          <w:color w:val="000000"/>
          <w:sz w:val="28"/>
          <w:szCs w:val="28"/>
          <w:rtl/>
        </w:rPr>
        <w:t xml:space="preserve"> </w:t>
      </w:r>
      <w:r>
        <w:rPr>
          <w:color w:val="000000"/>
          <w:sz w:val="28"/>
          <w:szCs w:val="28"/>
        </w:rPr>
        <w:sym w:font="HQPB4" w:char="F0F7"/>
      </w:r>
      <w:r>
        <w:rPr>
          <w:color w:val="000000"/>
          <w:sz w:val="28"/>
          <w:szCs w:val="28"/>
        </w:rPr>
        <w:sym w:font="HQPB2" w:char="F072"/>
      </w:r>
      <w:r>
        <w:rPr>
          <w:color w:val="000000"/>
          <w:sz w:val="28"/>
          <w:szCs w:val="28"/>
        </w:rPr>
        <w:sym w:font="HQPB5" w:char="F072"/>
      </w:r>
      <w:r>
        <w:rPr>
          <w:color w:val="000000"/>
          <w:sz w:val="28"/>
          <w:szCs w:val="28"/>
        </w:rPr>
        <w:sym w:font="HQPB1" w:char="F026"/>
      </w:r>
      <w:r>
        <w:rPr>
          <w:color w:val="000000"/>
          <w:sz w:val="28"/>
          <w:szCs w:val="28"/>
          <w:rtl/>
        </w:rPr>
        <w:t xml:space="preserve"> </w:t>
      </w:r>
      <w:r>
        <w:rPr>
          <w:color w:val="000000"/>
          <w:sz w:val="28"/>
          <w:szCs w:val="28"/>
        </w:rPr>
        <w:sym w:font="HQPB1" w:char="F024"/>
      </w:r>
      <w:r>
        <w:rPr>
          <w:color w:val="000000"/>
          <w:sz w:val="28"/>
          <w:szCs w:val="28"/>
        </w:rPr>
        <w:sym w:font="HQPB5" w:char="F074"/>
      </w:r>
      <w:r>
        <w:rPr>
          <w:color w:val="000000"/>
          <w:sz w:val="28"/>
          <w:szCs w:val="28"/>
        </w:rPr>
        <w:sym w:font="HQPB2" w:char="F042"/>
      </w:r>
      <w:r>
        <w:rPr>
          <w:color w:val="000000"/>
          <w:sz w:val="28"/>
          <w:szCs w:val="28"/>
          <w:rtl/>
        </w:rPr>
        <w:t xml:space="preserve"> </w:t>
      </w:r>
      <w:r>
        <w:rPr>
          <w:color w:val="000000"/>
          <w:sz w:val="28"/>
          <w:szCs w:val="28"/>
        </w:rPr>
        <w:sym w:font="HQPB4" w:char="F0F4"/>
      </w:r>
      <w:r>
        <w:rPr>
          <w:color w:val="000000"/>
          <w:sz w:val="28"/>
          <w:szCs w:val="28"/>
        </w:rPr>
        <w:sym w:font="HQPB1" w:char="F04D"/>
      </w:r>
      <w:r>
        <w:rPr>
          <w:color w:val="000000"/>
          <w:sz w:val="28"/>
          <w:szCs w:val="28"/>
        </w:rPr>
        <w:sym w:font="HQPB5" w:char="F073"/>
      </w:r>
      <w:r>
        <w:rPr>
          <w:color w:val="000000"/>
          <w:sz w:val="28"/>
          <w:szCs w:val="28"/>
        </w:rPr>
        <w:sym w:font="HQPB2" w:char="F033"/>
      </w:r>
      <w:r>
        <w:rPr>
          <w:color w:val="000000"/>
          <w:sz w:val="28"/>
          <w:szCs w:val="28"/>
        </w:rPr>
        <w:sym w:font="HQPB5" w:char="F06E"/>
      </w:r>
      <w:r>
        <w:rPr>
          <w:color w:val="000000"/>
          <w:sz w:val="28"/>
          <w:szCs w:val="28"/>
        </w:rPr>
        <w:sym w:font="HQPB2" w:char="F03D"/>
      </w:r>
      <w:r>
        <w:rPr>
          <w:color w:val="000000"/>
          <w:sz w:val="28"/>
          <w:szCs w:val="28"/>
        </w:rPr>
        <w:sym w:font="HQPB5" w:char="F074"/>
      </w:r>
      <w:r>
        <w:rPr>
          <w:color w:val="000000"/>
          <w:sz w:val="28"/>
          <w:szCs w:val="28"/>
        </w:rPr>
        <w:sym w:font="HQPB2" w:char="F042"/>
      </w:r>
      <w:r>
        <w:rPr>
          <w:color w:val="000000"/>
          <w:sz w:val="28"/>
          <w:szCs w:val="28"/>
          <w:rtl/>
        </w:rPr>
        <w:t xml:space="preserve"> </w:t>
      </w:r>
      <w:r>
        <w:rPr>
          <w:color w:val="000000"/>
          <w:sz w:val="28"/>
          <w:szCs w:val="28"/>
        </w:rPr>
        <w:sym w:font="HQPB4" w:char="F0F6"/>
      </w:r>
      <w:r>
        <w:rPr>
          <w:color w:val="000000"/>
          <w:sz w:val="28"/>
          <w:szCs w:val="28"/>
        </w:rPr>
        <w:sym w:font="HQPB2" w:char="F04E"/>
      </w:r>
      <w:r>
        <w:rPr>
          <w:color w:val="000000"/>
          <w:sz w:val="28"/>
          <w:szCs w:val="28"/>
        </w:rPr>
        <w:sym w:font="HQPB4" w:char="F0E5"/>
      </w:r>
      <w:r>
        <w:rPr>
          <w:color w:val="000000"/>
          <w:sz w:val="28"/>
          <w:szCs w:val="28"/>
        </w:rPr>
        <w:sym w:font="HQPB2" w:char="F06B"/>
      </w:r>
      <w:r>
        <w:rPr>
          <w:color w:val="000000"/>
          <w:sz w:val="28"/>
          <w:szCs w:val="28"/>
        </w:rPr>
        <w:sym w:font="HQPB4" w:char="F0DF"/>
      </w:r>
      <w:r>
        <w:rPr>
          <w:color w:val="000000"/>
          <w:sz w:val="28"/>
          <w:szCs w:val="28"/>
        </w:rPr>
        <w:sym w:font="HQPB2" w:char="F05D"/>
      </w:r>
      <w:r>
        <w:rPr>
          <w:color w:val="000000"/>
          <w:sz w:val="28"/>
          <w:szCs w:val="28"/>
        </w:rPr>
        <w:sym w:font="HQPB2" w:char="F0BB"/>
      </w:r>
      <w:r>
        <w:rPr>
          <w:color w:val="000000"/>
          <w:sz w:val="28"/>
          <w:szCs w:val="28"/>
        </w:rPr>
        <w:sym w:font="HQPB5" w:char="F079"/>
      </w:r>
      <w:r>
        <w:rPr>
          <w:color w:val="000000"/>
          <w:sz w:val="28"/>
          <w:szCs w:val="28"/>
        </w:rPr>
        <w:sym w:font="HQPB2" w:char="F04A"/>
      </w:r>
      <w:r>
        <w:rPr>
          <w:color w:val="000000"/>
          <w:sz w:val="28"/>
          <w:szCs w:val="28"/>
        </w:rPr>
        <w:sym w:font="HQPB4" w:char="F0F7"/>
      </w:r>
      <w:r>
        <w:rPr>
          <w:color w:val="000000"/>
          <w:sz w:val="28"/>
          <w:szCs w:val="28"/>
        </w:rPr>
        <w:sym w:font="HQPB2" w:char="F083"/>
      </w:r>
      <w:r>
        <w:rPr>
          <w:color w:val="000000"/>
          <w:sz w:val="28"/>
          <w:szCs w:val="28"/>
        </w:rPr>
        <w:sym w:font="HQPB5" w:char="F072"/>
      </w:r>
      <w:r>
        <w:rPr>
          <w:color w:val="000000"/>
          <w:sz w:val="28"/>
          <w:szCs w:val="28"/>
        </w:rPr>
        <w:sym w:font="HQPB1" w:char="F026"/>
      </w:r>
      <w:r>
        <w:rPr>
          <w:color w:val="000000"/>
          <w:sz w:val="28"/>
          <w:szCs w:val="28"/>
          <w:rtl/>
        </w:rPr>
        <w:t xml:space="preserve"> </w:t>
      </w:r>
      <w:r>
        <w:rPr>
          <w:color w:val="000000"/>
          <w:sz w:val="28"/>
          <w:szCs w:val="28"/>
        </w:rPr>
        <w:sym w:font="HQPB2" w:char="F0E1"/>
      </w:r>
      <w:r>
        <w:rPr>
          <w:rFonts w:hint="cs"/>
          <w:vertAlign w:val="superscript"/>
          <w:rtl/>
        </w:rPr>
        <w:t xml:space="preserve"> (</w:t>
      </w:r>
      <w:r>
        <w:rPr>
          <w:rStyle w:val="a7"/>
          <w:rtl/>
        </w:rPr>
        <w:footnoteReference w:id="3406"/>
      </w:r>
      <w:r>
        <w:rPr>
          <w:rFonts w:hint="cs"/>
          <w:vertAlign w:val="superscript"/>
          <w:rtl/>
        </w:rPr>
        <w:t>)</w:t>
      </w:r>
      <w:r>
        <w:rPr>
          <w:rFonts w:hint="cs"/>
          <w:rtl/>
        </w:rPr>
        <w:t xml:space="preserve">، وحرّمتهما آية، وهي: </w:t>
      </w:r>
      <w:r>
        <w:rPr>
          <w:color w:val="000000"/>
          <w:sz w:val="28"/>
          <w:szCs w:val="28"/>
        </w:rPr>
        <w:sym w:font="HQPB2" w:char="F0E2"/>
      </w:r>
      <w:r>
        <w:rPr>
          <w:color w:val="000000"/>
          <w:sz w:val="28"/>
          <w:szCs w:val="28"/>
          <w:rtl/>
        </w:rPr>
        <w:t xml:space="preserve"> </w:t>
      </w:r>
      <w:r>
        <w:rPr>
          <w:color w:val="000000"/>
          <w:sz w:val="28"/>
          <w:szCs w:val="28"/>
        </w:rPr>
        <w:sym w:font="HQPB2" w:char="F062"/>
      </w:r>
      <w:r>
        <w:rPr>
          <w:color w:val="000000"/>
          <w:sz w:val="28"/>
          <w:szCs w:val="28"/>
        </w:rPr>
        <w:sym w:font="HQPB5" w:char="F072"/>
      </w:r>
      <w:r>
        <w:rPr>
          <w:color w:val="000000"/>
          <w:sz w:val="28"/>
          <w:szCs w:val="28"/>
        </w:rPr>
        <w:sym w:font="HQPB1" w:char="F026"/>
      </w:r>
      <w:r>
        <w:rPr>
          <w:color w:val="000000"/>
          <w:sz w:val="28"/>
          <w:szCs w:val="28"/>
        </w:rPr>
        <w:sym w:font="HQPB5" w:char="F075"/>
      </w:r>
      <w:r>
        <w:rPr>
          <w:color w:val="000000"/>
          <w:sz w:val="28"/>
          <w:szCs w:val="28"/>
        </w:rPr>
        <w:sym w:font="HQPB2" w:char="F072"/>
      </w:r>
      <w:r>
        <w:rPr>
          <w:color w:val="000000"/>
          <w:sz w:val="28"/>
          <w:szCs w:val="28"/>
          <w:rtl/>
        </w:rPr>
        <w:t xml:space="preserve"> </w:t>
      </w:r>
      <w:r>
        <w:rPr>
          <w:color w:val="000000"/>
          <w:sz w:val="28"/>
          <w:szCs w:val="28"/>
        </w:rPr>
        <w:sym w:font="HQPB5" w:char="F028"/>
      </w:r>
      <w:r>
        <w:rPr>
          <w:color w:val="000000"/>
          <w:sz w:val="28"/>
          <w:szCs w:val="28"/>
        </w:rPr>
        <w:sym w:font="HQPB1" w:char="F023"/>
      </w:r>
      <w:r>
        <w:rPr>
          <w:color w:val="000000"/>
          <w:sz w:val="28"/>
          <w:szCs w:val="28"/>
        </w:rPr>
        <w:sym w:font="HQPB2" w:char="F071"/>
      </w:r>
      <w:r>
        <w:rPr>
          <w:color w:val="000000"/>
          <w:sz w:val="28"/>
          <w:szCs w:val="28"/>
        </w:rPr>
        <w:sym w:font="HQPB4" w:char="F0E3"/>
      </w:r>
      <w:r>
        <w:rPr>
          <w:color w:val="000000"/>
          <w:sz w:val="28"/>
          <w:szCs w:val="28"/>
        </w:rPr>
        <w:sym w:font="HQPB1" w:char="F0E8"/>
      </w:r>
      <w:r>
        <w:rPr>
          <w:color w:val="000000"/>
          <w:sz w:val="28"/>
          <w:szCs w:val="28"/>
        </w:rPr>
        <w:sym w:font="HQPB5" w:char="F079"/>
      </w:r>
      <w:r>
        <w:rPr>
          <w:color w:val="000000"/>
          <w:sz w:val="28"/>
          <w:szCs w:val="28"/>
        </w:rPr>
        <w:sym w:font="HQPB2" w:char="F04A"/>
      </w:r>
      <w:r>
        <w:rPr>
          <w:color w:val="000000"/>
          <w:sz w:val="28"/>
          <w:szCs w:val="28"/>
        </w:rPr>
        <w:sym w:font="HQPB4" w:char="F0F4"/>
      </w:r>
      <w:r>
        <w:rPr>
          <w:color w:val="000000"/>
          <w:sz w:val="28"/>
          <w:szCs w:val="28"/>
        </w:rPr>
        <w:sym w:font="HQPB1" w:char="F066"/>
      </w:r>
      <w:r>
        <w:rPr>
          <w:color w:val="000000"/>
          <w:sz w:val="28"/>
          <w:szCs w:val="28"/>
        </w:rPr>
        <w:sym w:font="HQPB5" w:char="F073"/>
      </w:r>
      <w:r>
        <w:rPr>
          <w:color w:val="000000"/>
          <w:sz w:val="28"/>
          <w:szCs w:val="28"/>
        </w:rPr>
        <w:sym w:font="HQPB1" w:char="F03F"/>
      </w:r>
      <w:r>
        <w:rPr>
          <w:color w:val="000000"/>
          <w:sz w:val="28"/>
          <w:szCs w:val="28"/>
          <w:rtl/>
        </w:rPr>
        <w:t xml:space="preserve"> </w:t>
      </w:r>
      <w:r>
        <w:rPr>
          <w:color w:val="000000"/>
          <w:sz w:val="28"/>
          <w:szCs w:val="28"/>
        </w:rPr>
        <w:sym w:font="HQPB5" w:char="F09A"/>
      </w:r>
      <w:r>
        <w:rPr>
          <w:color w:val="000000"/>
          <w:sz w:val="28"/>
          <w:szCs w:val="28"/>
        </w:rPr>
        <w:sym w:font="HQPB2" w:char="F0FA"/>
      </w:r>
      <w:r>
        <w:rPr>
          <w:color w:val="000000"/>
          <w:sz w:val="28"/>
          <w:szCs w:val="28"/>
        </w:rPr>
        <w:sym w:font="HQPB4" w:char="F0F7"/>
      </w:r>
      <w:r>
        <w:rPr>
          <w:color w:val="000000"/>
          <w:sz w:val="28"/>
          <w:szCs w:val="28"/>
        </w:rPr>
        <w:sym w:font="HQPB2" w:char="F0FC"/>
      </w:r>
      <w:r>
        <w:rPr>
          <w:color w:val="000000"/>
          <w:sz w:val="28"/>
          <w:szCs w:val="28"/>
        </w:rPr>
        <w:sym w:font="HQPB5" w:char="F074"/>
      </w:r>
      <w:r>
        <w:rPr>
          <w:color w:val="000000"/>
          <w:sz w:val="28"/>
          <w:szCs w:val="28"/>
        </w:rPr>
        <w:sym w:font="HQPB1" w:char="F02F"/>
      </w:r>
      <w:r>
        <w:rPr>
          <w:color w:val="000000"/>
          <w:sz w:val="28"/>
          <w:szCs w:val="28"/>
          <w:rtl/>
        </w:rPr>
        <w:t xml:space="preserve"> </w:t>
      </w:r>
      <w:r>
        <w:rPr>
          <w:color w:val="000000"/>
          <w:sz w:val="28"/>
          <w:szCs w:val="28"/>
        </w:rPr>
        <w:sym w:font="HQPB4" w:char="F0C8"/>
      </w:r>
      <w:r>
        <w:rPr>
          <w:color w:val="000000"/>
          <w:sz w:val="28"/>
          <w:szCs w:val="28"/>
        </w:rPr>
        <w:sym w:font="HQPB2" w:char="F0FB"/>
      </w:r>
      <w:r>
        <w:rPr>
          <w:color w:val="000000"/>
          <w:sz w:val="28"/>
          <w:szCs w:val="28"/>
        </w:rPr>
        <w:sym w:font="HQPB4" w:char="F0F7"/>
      </w:r>
      <w:r>
        <w:rPr>
          <w:color w:val="000000"/>
          <w:sz w:val="28"/>
          <w:szCs w:val="28"/>
        </w:rPr>
        <w:sym w:font="HQPB2" w:char="F0FC"/>
      </w:r>
      <w:r>
        <w:rPr>
          <w:color w:val="000000"/>
          <w:sz w:val="28"/>
          <w:szCs w:val="28"/>
        </w:rPr>
        <w:sym w:font="HQPB5" w:char="F074"/>
      </w:r>
      <w:r>
        <w:rPr>
          <w:color w:val="000000"/>
          <w:sz w:val="28"/>
          <w:szCs w:val="28"/>
        </w:rPr>
        <w:sym w:font="HQPB1" w:char="F047"/>
      </w:r>
      <w:r>
        <w:rPr>
          <w:color w:val="000000"/>
          <w:sz w:val="28"/>
          <w:szCs w:val="28"/>
        </w:rPr>
        <w:sym w:font="HQPB4" w:char="F0F7"/>
      </w:r>
      <w:r>
        <w:rPr>
          <w:color w:val="000000"/>
          <w:sz w:val="28"/>
          <w:szCs w:val="28"/>
        </w:rPr>
        <w:sym w:font="HQPB1" w:char="F07A"/>
      </w:r>
      <w:r>
        <w:rPr>
          <w:color w:val="000000"/>
          <w:sz w:val="28"/>
          <w:szCs w:val="28"/>
        </w:rPr>
        <w:sym w:font="HQPB5" w:char="F057"/>
      </w:r>
      <w:r>
        <w:rPr>
          <w:color w:val="000000"/>
          <w:sz w:val="28"/>
          <w:szCs w:val="28"/>
        </w:rPr>
        <w:sym w:font="HQPB2" w:char="F07B"/>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2" w:char="F0E1"/>
      </w:r>
      <w:r>
        <w:rPr>
          <w:rFonts w:hint="cs"/>
          <w:vertAlign w:val="superscript"/>
          <w:rtl/>
        </w:rPr>
        <w:t xml:space="preserve"> (</w:t>
      </w:r>
      <w:r>
        <w:rPr>
          <w:rStyle w:val="a7"/>
          <w:rtl/>
        </w:rPr>
        <w:footnoteReference w:id="3407"/>
      </w:r>
      <w:r>
        <w:rPr>
          <w:rFonts w:hint="cs"/>
          <w:vertAlign w:val="superscript"/>
          <w:rtl/>
        </w:rPr>
        <w:t>)(</w:t>
      </w:r>
      <w:r>
        <w:rPr>
          <w:rStyle w:val="a7"/>
          <w:rtl/>
        </w:rPr>
        <w:footnoteReference w:id="3408"/>
      </w:r>
      <w:r>
        <w:rPr>
          <w:rFonts w:hint="cs"/>
          <w:vertAlign w:val="superscript"/>
          <w:rtl/>
        </w:rPr>
        <w:t>)</w:t>
      </w:r>
      <w:r>
        <w:rPr>
          <w:rFonts w:hint="cs"/>
          <w:rtl/>
        </w:rPr>
        <w:t xml:space="preserve"> وهي عامّ</w:t>
      </w:r>
      <w:r>
        <w:rPr>
          <w:rFonts w:hint="cs"/>
          <w:vertAlign w:val="superscript"/>
          <w:rtl/>
        </w:rPr>
        <w:t>(</w:t>
      </w:r>
      <w:r>
        <w:rPr>
          <w:rStyle w:val="a7"/>
          <w:rtl/>
        </w:rPr>
        <w:footnoteReference w:id="3409"/>
      </w:r>
      <w:r>
        <w:rPr>
          <w:rFonts w:hint="cs"/>
          <w:vertAlign w:val="superscript"/>
          <w:rtl/>
        </w:rPr>
        <w:t>)</w:t>
      </w:r>
      <w:r>
        <w:rPr>
          <w:rFonts w:hint="cs"/>
          <w:rtl/>
        </w:rPr>
        <w:t>؛ لأن معناه : حرم عليكم الجمع بين الأختين، والجمع</w:t>
      </w:r>
      <w:r>
        <w:rPr>
          <w:rFonts w:hint="cs"/>
          <w:vertAlign w:val="superscript"/>
          <w:rtl/>
        </w:rPr>
        <w:t>(</w:t>
      </w:r>
      <w:r>
        <w:rPr>
          <w:rStyle w:val="a7"/>
          <w:rtl/>
        </w:rPr>
        <w:footnoteReference w:id="3410"/>
      </w:r>
      <w:r>
        <w:rPr>
          <w:rFonts w:hint="cs"/>
          <w:vertAlign w:val="superscript"/>
          <w:rtl/>
        </w:rPr>
        <w:t>)</w:t>
      </w:r>
      <w:r>
        <w:rPr>
          <w:rFonts w:hint="cs"/>
          <w:rtl/>
        </w:rPr>
        <w:t xml:space="preserve"> اسم </w:t>
      </w:r>
      <w:r>
        <w:rPr>
          <w:rFonts w:hint="cs"/>
          <w:rtl/>
        </w:rPr>
        <w:lastRenderedPageBreak/>
        <w:t>الجنس المحلى باللاّم فيتناول الجمع نكاحًا وملكًا.</w:t>
      </w:r>
    </w:p>
    <w:p w:rsidR="00C10469" w:rsidRDefault="00C10469">
      <w:pPr>
        <w:rPr>
          <w:rtl/>
        </w:rPr>
      </w:pPr>
      <w:r>
        <w:rPr>
          <w:rFonts w:hint="cs"/>
          <w:rtl/>
        </w:rPr>
        <w:t>كذا في (الكشف)</w:t>
      </w:r>
      <w:r>
        <w:rPr>
          <w:rFonts w:hint="cs"/>
          <w:vertAlign w:val="superscript"/>
          <w:rtl/>
        </w:rPr>
        <w:t>(</w:t>
      </w:r>
      <w:r>
        <w:rPr>
          <w:rStyle w:val="a7"/>
          <w:rtl/>
        </w:rPr>
        <w:footnoteReference w:id="3411"/>
      </w:r>
      <w:r>
        <w:rPr>
          <w:rFonts w:hint="cs"/>
          <w:vertAlign w:val="superscript"/>
          <w:rtl/>
        </w:rPr>
        <w:t>)</w:t>
      </w:r>
      <w:r>
        <w:rPr>
          <w:rFonts w:hint="cs"/>
          <w:rtl/>
        </w:rPr>
        <w:t>. فوقعت المعارضة</w:t>
      </w:r>
      <w:r>
        <w:rPr>
          <w:rStyle w:val="a7"/>
          <w:rtl/>
        </w:rPr>
        <w:footnoteReference w:id="3412"/>
      </w:r>
      <w:r>
        <w:rPr>
          <w:rFonts w:hint="cs"/>
          <w:rtl/>
        </w:rPr>
        <w:t xml:space="preserve"> فَرَجَّح</w:t>
      </w:r>
      <w:r>
        <w:rPr>
          <w:rFonts w:hint="cs"/>
          <w:vertAlign w:val="superscript"/>
          <w:rtl/>
        </w:rPr>
        <w:t>(</w:t>
      </w:r>
      <w:r>
        <w:rPr>
          <w:rStyle w:val="a7"/>
          <w:rtl/>
        </w:rPr>
        <w:footnoteReference w:id="3413"/>
      </w:r>
      <w:r>
        <w:rPr>
          <w:rFonts w:hint="cs"/>
          <w:vertAlign w:val="superscript"/>
          <w:rtl/>
        </w:rPr>
        <w:t>)</w:t>
      </w:r>
      <w:r>
        <w:rPr>
          <w:rFonts w:hint="cs"/>
          <w:rtl/>
        </w:rPr>
        <w:t xml:space="preserve"> المحرِّم احتياطًا.</w:t>
      </w:r>
    </w:p>
    <w:p w:rsidR="00C10469" w:rsidRDefault="00C10469">
      <w:pPr>
        <w:rPr>
          <w:rtl/>
        </w:rPr>
      </w:pPr>
      <w:r>
        <w:rPr>
          <w:rFonts w:hint="cs"/>
          <w:rtl/>
        </w:rPr>
        <w:t>ووافقه</w:t>
      </w:r>
      <w:r>
        <w:rPr>
          <w:rFonts w:hint="cs"/>
          <w:vertAlign w:val="superscript"/>
          <w:rtl/>
        </w:rPr>
        <w:t>(</w:t>
      </w:r>
      <w:r>
        <w:rPr>
          <w:rStyle w:val="a7"/>
          <w:rtl/>
        </w:rPr>
        <w:footnoteReference w:id="3414"/>
      </w:r>
      <w:r>
        <w:rPr>
          <w:rFonts w:hint="cs"/>
          <w:vertAlign w:val="superscript"/>
          <w:rtl/>
        </w:rPr>
        <w:t>)</w:t>
      </w:r>
      <w:r>
        <w:rPr>
          <w:rFonts w:hint="cs"/>
          <w:rtl/>
        </w:rPr>
        <w:t xml:space="preserve"> عثمانُ </w:t>
      </w:r>
      <w:r>
        <w:rPr>
          <w:rFonts w:ascii="AGA Arabesque" w:hAnsi="AGA Arabesque"/>
          <w:sz w:val="36"/>
        </w:rPr>
        <w:t></w:t>
      </w:r>
      <w:r>
        <w:rPr>
          <w:rFonts w:hint="cs"/>
          <w:rtl/>
        </w:rPr>
        <w:t xml:space="preserve"> في هذا الاستدلال، إلا أنّه رجّـح الـموجِـب للـحلّ</w:t>
      </w:r>
      <w:r>
        <w:rPr>
          <w:rStyle w:val="a7"/>
          <w:rtl/>
        </w:rPr>
        <w:footnoteReference w:id="3415"/>
      </w:r>
      <w:r>
        <w:rPr>
          <w:rFonts w:hint="cs"/>
          <w:rtl/>
        </w:rPr>
        <w:t>؛ إذْ الأصل الحلّ</w:t>
      </w:r>
      <w:r>
        <w:rPr>
          <w:rStyle w:val="a7"/>
          <w:rtl/>
        </w:rPr>
        <w:footnoteReference w:id="3416"/>
      </w:r>
      <w:r>
        <w:rPr>
          <w:rFonts w:hint="cs"/>
          <w:vertAlign w:val="superscript"/>
          <w:rtl/>
        </w:rPr>
        <w:t>(</w:t>
      </w:r>
      <w:r>
        <w:rPr>
          <w:rStyle w:val="a7"/>
          <w:rtl/>
        </w:rPr>
        <w:footnoteReference w:id="3417"/>
      </w:r>
      <w:r>
        <w:rPr>
          <w:rFonts w:hint="cs"/>
          <w:vertAlign w:val="superscript"/>
          <w:rtl/>
        </w:rPr>
        <w:t>)</w:t>
      </w:r>
      <w:r>
        <w:rPr>
          <w:rFonts w:hint="cs"/>
          <w:rtl/>
        </w:rPr>
        <w:t>.</w:t>
      </w:r>
    </w:p>
    <w:p w:rsidR="00C10469" w:rsidRDefault="00C10469">
      <w:pPr>
        <w:rPr>
          <w:rtl/>
        </w:rPr>
      </w:pPr>
      <w:r>
        <w:rPr>
          <w:rFonts w:hint="cs"/>
          <w:rtl/>
        </w:rPr>
        <w:lastRenderedPageBreak/>
        <w:t>فاستدلالهما بعموم الآيتين مع خصوصهما</w:t>
      </w:r>
      <w:r>
        <w:rPr>
          <w:rStyle w:val="a7"/>
          <w:rtl/>
        </w:rPr>
        <w:footnoteReference w:id="3418"/>
      </w:r>
      <w:r>
        <w:rPr>
          <w:rFonts w:hint="cs"/>
          <w:rtl/>
        </w:rPr>
        <w:t xml:space="preserve"> آية</w:t>
      </w:r>
      <w:r>
        <w:rPr>
          <w:rFonts w:hint="cs"/>
          <w:vertAlign w:val="superscript"/>
          <w:rtl/>
        </w:rPr>
        <w:t>(</w:t>
      </w:r>
      <w:r>
        <w:rPr>
          <w:rStyle w:val="a7"/>
          <w:rtl/>
        </w:rPr>
        <w:footnoteReference w:id="3419"/>
      </w:r>
      <w:r>
        <w:rPr>
          <w:rFonts w:hint="cs"/>
          <w:vertAlign w:val="superscript"/>
          <w:rtl/>
        </w:rPr>
        <w:t>)</w:t>
      </w:r>
      <w:r>
        <w:rPr>
          <w:rFonts w:hint="cs"/>
          <w:rtl/>
        </w:rPr>
        <w:t xml:space="preserve"> كونهما</w:t>
      </w:r>
      <w:r>
        <w:rPr>
          <w:rStyle w:val="a7"/>
          <w:rtl/>
        </w:rPr>
        <w:footnoteReference w:id="3420"/>
      </w:r>
      <w:r>
        <w:rPr>
          <w:rFonts w:hint="cs"/>
          <w:rtl/>
        </w:rPr>
        <w:t xml:space="preserve"> حجة بعد التخصيص. وقد خصّ من الأوّل [الأمة]</w:t>
      </w:r>
      <w:r>
        <w:rPr>
          <w:rStyle w:val="a7"/>
          <w:rtl/>
        </w:rPr>
        <w:footnoteReference w:id="3421"/>
      </w:r>
      <w:r>
        <w:rPr>
          <w:rFonts w:hint="cs"/>
          <w:rtl/>
        </w:rPr>
        <w:t xml:space="preserve"> المجوسية والأخت من الرضاع </w:t>
      </w:r>
      <w:r>
        <w:rPr>
          <w:rFonts w:hint="cs"/>
          <w:rtl/>
        </w:rPr>
        <w:lastRenderedPageBreak/>
        <w:t>و[أخت]</w:t>
      </w:r>
      <w:r>
        <w:rPr>
          <w:rStyle w:val="a7"/>
          <w:rtl/>
        </w:rPr>
        <w:footnoteReference w:id="3422"/>
      </w:r>
      <w:r>
        <w:rPr>
          <w:rFonts w:hint="cs"/>
          <w:rtl/>
        </w:rPr>
        <w:t xml:space="preserve"> المنكوحة. ومن الثاني</w:t>
      </w:r>
      <w:r>
        <w:rPr>
          <w:rFonts w:hint="cs"/>
          <w:vertAlign w:val="superscript"/>
          <w:rtl/>
        </w:rPr>
        <w:t>(</w:t>
      </w:r>
      <w:r>
        <w:rPr>
          <w:rStyle w:val="a7"/>
          <w:rtl/>
        </w:rPr>
        <w:footnoteReference w:id="3423"/>
      </w:r>
      <w:r>
        <w:rPr>
          <w:rFonts w:hint="cs"/>
          <w:vertAlign w:val="superscript"/>
          <w:rtl/>
        </w:rPr>
        <w:t>)</w:t>
      </w:r>
      <w:r>
        <w:rPr>
          <w:rFonts w:hint="cs"/>
          <w:rtl/>
        </w:rPr>
        <w:t xml:space="preserve"> : الجمع بينهما للخدمة. واستدلالهما بمحضر من الصحابة ولم ينكر عليهما أحدٌ، فحلَّ الاستدلالُ بالعموماتِ المخصوصةِ محلّ</w:t>
      </w:r>
      <w:r>
        <w:rPr>
          <w:rStyle w:val="a7"/>
          <w:rtl/>
        </w:rPr>
        <w:footnoteReference w:id="3424"/>
      </w:r>
      <w:r>
        <w:rPr>
          <w:rFonts w:hint="cs"/>
          <w:rtl/>
        </w:rPr>
        <w:t xml:space="preserve"> الإجماع</w:t>
      </w:r>
      <w:r>
        <w:rPr>
          <w:rFonts w:hint="eastAsia"/>
          <w:rtl/>
        </w:rPr>
        <w:t>»</w:t>
      </w:r>
      <w:r>
        <w:rPr>
          <w:rFonts w:hint="cs"/>
          <w:vertAlign w:val="superscript"/>
          <w:rtl/>
        </w:rPr>
        <w:t>(</w:t>
      </w:r>
      <w:r>
        <w:rPr>
          <w:rStyle w:val="a7"/>
          <w:rtl/>
        </w:rPr>
        <w:footnoteReference w:id="3425"/>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AF2EE5"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1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0511B" w:rsidRDefault="00C10469">
      <w:pPr>
        <w:pStyle w:val="a9"/>
        <w:rPr>
          <w:rFonts w:cs="AL-Mateen"/>
          <w:rtl/>
        </w:rPr>
      </w:pPr>
      <w:r w:rsidRPr="0060511B">
        <w:rPr>
          <w:rFonts w:cs="AL-Mateen" w:hint="cs"/>
          <w:rtl/>
        </w:rPr>
        <w:lastRenderedPageBreak/>
        <w:t>[ الـقـاعـدة الـرابـعـة والـسـتـون بـعـد الـمـائـة ]</w:t>
      </w:r>
    </w:p>
    <w:p w:rsidR="00C10469" w:rsidRDefault="00C10469">
      <w:pPr>
        <w:rPr>
          <w:rtl/>
        </w:rPr>
      </w:pPr>
      <w:r>
        <w:rPr>
          <w:rFonts w:cs="Monotype Koufi" w:hint="cs"/>
          <w:rtl/>
        </w:rPr>
        <w:t>العادَةُ المُطَّرِدَةُ تُنَزَّلُ منزِلَةَ الشَّرْطِ</w:t>
      </w:r>
      <w:r>
        <w:rPr>
          <w:rFonts w:hint="cs"/>
          <w:vertAlign w:val="superscript"/>
          <w:rtl/>
        </w:rPr>
        <w:t>(</w:t>
      </w:r>
      <w:r>
        <w:rPr>
          <w:rStyle w:val="a7"/>
          <w:rtl/>
        </w:rPr>
        <w:footnoteReference w:id="3426"/>
      </w:r>
      <w:r>
        <w:rPr>
          <w:rFonts w:hint="cs"/>
          <w:vertAlign w:val="superscript"/>
          <w:rtl/>
        </w:rPr>
        <w:t>)</w:t>
      </w:r>
      <w:r>
        <w:rPr>
          <w:rFonts w:hint="cs"/>
          <w:rtl/>
        </w:rPr>
        <w:t xml:space="preserve"> : </w:t>
      </w:r>
    </w:p>
    <w:p w:rsidR="00C10469" w:rsidRDefault="00C10469">
      <w:pPr>
        <w:rPr>
          <w:rtl/>
        </w:rPr>
      </w:pPr>
      <w:r>
        <w:rPr>
          <w:rFonts w:hint="cs"/>
          <w:b/>
          <w:bCs/>
          <w:rtl/>
        </w:rPr>
        <w:lastRenderedPageBreak/>
        <w:t>ولهذا قالوا</w:t>
      </w:r>
      <w:r>
        <w:rPr>
          <w:rFonts w:hint="cs"/>
          <w:rtl/>
        </w:rPr>
        <w:t xml:space="preserve"> : </w:t>
      </w:r>
      <w:r>
        <w:rPr>
          <w:rFonts w:hint="eastAsia"/>
          <w:rtl/>
        </w:rPr>
        <w:t>«</w:t>
      </w:r>
      <w:r>
        <w:rPr>
          <w:rFonts w:hint="cs"/>
          <w:rtl/>
        </w:rPr>
        <w:t>لو دفع ثوبًا إلى خياط [ليخيطه]</w:t>
      </w:r>
      <w:r>
        <w:rPr>
          <w:rStyle w:val="a7"/>
          <w:rtl/>
        </w:rPr>
        <w:footnoteReference w:id="3427"/>
      </w:r>
      <w:r>
        <w:rPr>
          <w:rFonts w:hint="cs"/>
          <w:rtl/>
        </w:rPr>
        <w:t xml:space="preserve"> له، أو إلى صباغ ليصبغه</w:t>
      </w:r>
      <w:r>
        <w:rPr>
          <w:rStyle w:val="a7"/>
          <w:rtl/>
        </w:rPr>
        <w:footnoteReference w:id="3428"/>
      </w:r>
      <w:r>
        <w:rPr>
          <w:rFonts w:hint="cs"/>
          <w:rtl/>
        </w:rPr>
        <w:t xml:space="preserve"> له، ولم يعيّن له أجرًا، ثم اختلفا في [وجوده و]</w:t>
      </w:r>
      <w:r>
        <w:rPr>
          <w:rStyle w:val="a7"/>
          <w:rtl/>
        </w:rPr>
        <w:footnoteReference w:id="3429"/>
      </w:r>
      <w:r>
        <w:rPr>
          <w:rFonts w:hint="cs"/>
          <w:rtl/>
        </w:rPr>
        <w:t xml:space="preserve"> عدمه</w:t>
      </w:r>
      <w:r>
        <w:rPr>
          <w:rFonts w:hint="cs"/>
          <w:vertAlign w:val="superscript"/>
          <w:rtl/>
        </w:rPr>
        <w:t>(</w:t>
      </w:r>
      <w:r>
        <w:rPr>
          <w:rStyle w:val="a7"/>
          <w:rtl/>
        </w:rPr>
        <w:footnoteReference w:id="3430"/>
      </w:r>
      <w:r>
        <w:rPr>
          <w:rFonts w:hint="cs"/>
          <w:vertAlign w:val="superscript"/>
          <w:rtl/>
        </w:rPr>
        <w:t>)</w:t>
      </w:r>
      <w:r>
        <w:rPr>
          <w:rFonts w:hint="cs"/>
          <w:rtl/>
        </w:rPr>
        <w:t xml:space="preserve"> :</w:t>
      </w:r>
    </w:p>
    <w:p w:rsidR="00C10469" w:rsidRDefault="00C10469" w:rsidP="00C10469">
      <w:pPr>
        <w:ind w:left="989" w:hanging="269"/>
        <w:rPr>
          <w:rtl/>
        </w:rPr>
      </w:pPr>
      <w:r>
        <w:rPr>
          <w:rtl/>
        </w:rPr>
        <w:t>•</w:t>
      </w:r>
      <w:r>
        <w:rPr>
          <w:rFonts w:hint="cs"/>
          <w:rtl/>
        </w:rPr>
        <w:t xml:space="preserve">  قال أبو حنيفة : لا أجر له.</w:t>
      </w:r>
    </w:p>
    <w:p w:rsidR="00C10469" w:rsidRDefault="00C10469" w:rsidP="00C10469">
      <w:pPr>
        <w:ind w:left="989" w:hanging="269"/>
        <w:rPr>
          <w:rtl/>
        </w:rPr>
      </w:pPr>
      <w:r>
        <w:rPr>
          <w:rtl/>
        </w:rPr>
        <w:t>•</w:t>
      </w:r>
      <w:r>
        <w:rPr>
          <w:rFonts w:hint="cs"/>
          <w:rtl/>
        </w:rPr>
        <w:t xml:space="preserve"> وقال أبو يوسف : إن</w:t>
      </w:r>
      <w:r>
        <w:rPr>
          <w:rStyle w:val="a7"/>
          <w:rtl/>
        </w:rPr>
        <w:footnoteReference w:id="3431"/>
      </w:r>
      <w:r>
        <w:rPr>
          <w:rFonts w:hint="cs"/>
          <w:rtl/>
        </w:rPr>
        <w:t xml:space="preserve"> كان الصّباغ</w:t>
      </w:r>
      <w:r>
        <w:rPr>
          <w:rStyle w:val="a7"/>
          <w:rtl/>
        </w:rPr>
        <w:footnoteReference w:id="3432"/>
      </w:r>
      <w:r>
        <w:rPr>
          <w:rFonts w:hint="cs"/>
          <w:rtl/>
        </w:rPr>
        <w:t xml:space="preserve"> حَرِيْفًا (أي : معامِلاً)</w:t>
      </w:r>
      <w:r>
        <w:rPr>
          <w:rFonts w:hint="cs"/>
          <w:vertAlign w:val="superscript"/>
          <w:rtl/>
        </w:rPr>
        <w:t>(</w:t>
      </w:r>
      <w:r>
        <w:rPr>
          <w:rStyle w:val="a7"/>
          <w:rtl/>
        </w:rPr>
        <w:footnoteReference w:id="3433"/>
      </w:r>
      <w:r>
        <w:rPr>
          <w:rFonts w:hint="cs"/>
          <w:vertAlign w:val="superscript"/>
          <w:rtl/>
        </w:rPr>
        <w:t>)</w:t>
      </w:r>
      <w:r>
        <w:rPr>
          <w:rFonts w:hint="cs"/>
          <w:rtl/>
        </w:rPr>
        <w:t xml:space="preserve"> له : فله</w:t>
      </w:r>
      <w:r>
        <w:rPr>
          <w:rStyle w:val="a7"/>
          <w:rtl/>
        </w:rPr>
        <w:footnoteReference w:id="3434"/>
      </w:r>
      <w:r>
        <w:rPr>
          <w:rFonts w:hint="cs"/>
          <w:rtl/>
        </w:rPr>
        <w:t xml:space="preserve"> الأجر، وإلاّ لا.</w:t>
      </w:r>
    </w:p>
    <w:p w:rsidR="00C10469" w:rsidRDefault="00C10469" w:rsidP="00C10469">
      <w:pPr>
        <w:ind w:left="989" w:hanging="269"/>
        <w:rPr>
          <w:rtl/>
        </w:rPr>
      </w:pPr>
      <w:r>
        <w:rPr>
          <w:rtl/>
        </w:rPr>
        <w:t>•</w:t>
      </w:r>
      <w:r>
        <w:rPr>
          <w:rFonts w:hint="cs"/>
          <w:rtl/>
        </w:rPr>
        <w:t xml:space="preserve"> وقال محمد : إن كان الصبّاغ معروفًا بهذه الصنعة بالأجر، وقيام حاله بها: كان القول قوله، وإلا فلا اعتبار للظاهر المعروف المعتاد.</w:t>
      </w:r>
    </w:p>
    <w:p w:rsidR="00C10469" w:rsidRDefault="00C10469" w:rsidP="00C10469">
      <w:pPr>
        <w:ind w:left="989" w:hanging="269"/>
        <w:rPr>
          <w:rtl/>
        </w:rPr>
      </w:pPr>
      <w:r>
        <w:rPr>
          <w:rtl/>
        </w:rPr>
        <w:t>•</w:t>
      </w:r>
      <w:r>
        <w:rPr>
          <w:rFonts w:hint="cs"/>
          <w:rtl/>
        </w:rPr>
        <w:t xml:space="preserve"> وقال الزيلعي : والفتوى على قول محمد</w:t>
      </w:r>
      <w:r>
        <w:rPr>
          <w:rFonts w:hint="eastAsia"/>
          <w:rtl/>
        </w:rPr>
        <w:t>»</w:t>
      </w:r>
      <w:r>
        <w:rPr>
          <w:rFonts w:hint="cs"/>
          <w:vertAlign w:val="superscript"/>
          <w:rtl/>
        </w:rPr>
        <w:t>(</w:t>
      </w:r>
      <w:r>
        <w:rPr>
          <w:rStyle w:val="a7"/>
          <w:rtl/>
        </w:rPr>
        <w:footnoteReference w:id="3435"/>
      </w:r>
      <w:r>
        <w:rPr>
          <w:rFonts w:hint="cs"/>
          <w:vertAlign w:val="superscript"/>
          <w:rtl/>
        </w:rPr>
        <w:t>)</w:t>
      </w:r>
      <w:r>
        <w:rPr>
          <w:rFonts w:hint="cs"/>
          <w:rtl/>
        </w:rPr>
        <w:t xml:space="preserve">. </w:t>
      </w:r>
    </w:p>
    <w:p w:rsidR="00C10469" w:rsidRDefault="00C10469">
      <w:pPr>
        <w:rPr>
          <w:rtl/>
        </w:rPr>
      </w:pPr>
      <w:r>
        <w:rPr>
          <w:rFonts w:hint="eastAsia"/>
          <w:rtl/>
        </w:rPr>
        <w:lastRenderedPageBreak/>
        <w:t>«</w:t>
      </w:r>
      <w:r>
        <w:rPr>
          <w:rFonts w:hint="cs"/>
          <w:rtl/>
        </w:rPr>
        <w:t>ولا خصوصية لصابغ</w:t>
      </w:r>
      <w:r>
        <w:rPr>
          <w:rStyle w:val="a7"/>
          <w:rtl/>
        </w:rPr>
        <w:footnoteReference w:id="3436"/>
      </w:r>
      <w:r>
        <w:rPr>
          <w:rFonts w:hint="cs"/>
          <w:rtl/>
        </w:rPr>
        <w:t>؛ بل كلّ صانعٍ نصب نفسه للعمل بأجر، فإن السكوت كالاشتراط</w:t>
      </w:r>
      <w:r>
        <w:rPr>
          <w:rStyle w:val="a7"/>
          <w:rtl/>
        </w:rPr>
        <w:footnoteReference w:id="3437"/>
      </w:r>
      <w:r>
        <w:rPr>
          <w:rFonts w:hint="cs"/>
          <w:rtl/>
        </w:rPr>
        <w:t>.</w:t>
      </w:r>
    </w:p>
    <w:p w:rsidR="00C10469" w:rsidRDefault="00C10469">
      <w:pPr>
        <w:rPr>
          <w:rtl/>
        </w:rPr>
      </w:pPr>
      <w:r>
        <w:rPr>
          <w:rFonts w:hint="cs"/>
          <w:rtl/>
        </w:rPr>
        <w:t>و</w:t>
      </w:r>
      <w:r>
        <w:rPr>
          <w:rStyle w:val="a7"/>
          <w:rtl/>
        </w:rPr>
        <w:footnoteReference w:id="3438"/>
      </w:r>
      <w:r>
        <w:rPr>
          <w:rFonts w:hint="cs"/>
          <w:rtl/>
        </w:rPr>
        <w:t xml:space="preserve"> من هذا القـبيل : نـزول الـخان</w:t>
      </w:r>
      <w:r>
        <w:rPr>
          <w:rFonts w:hint="cs"/>
          <w:vertAlign w:val="superscript"/>
          <w:rtl/>
        </w:rPr>
        <w:t>(</w:t>
      </w:r>
      <w:r>
        <w:rPr>
          <w:rStyle w:val="a7"/>
          <w:rtl/>
        </w:rPr>
        <w:footnoteReference w:id="3439"/>
      </w:r>
      <w:r>
        <w:rPr>
          <w:rFonts w:hint="cs"/>
          <w:vertAlign w:val="superscript"/>
          <w:rtl/>
        </w:rPr>
        <w:t>)</w:t>
      </w:r>
      <w:r>
        <w:rPr>
          <w:rFonts w:hint="cs"/>
          <w:rtl/>
        </w:rPr>
        <w:t>، ودخـول الـحمام والدّلال - كما في (البزازية)</w:t>
      </w:r>
      <w:r>
        <w:rPr>
          <w:rFonts w:hint="cs"/>
          <w:vertAlign w:val="superscript"/>
          <w:rtl/>
        </w:rPr>
        <w:t>(</w:t>
      </w:r>
      <w:r>
        <w:rPr>
          <w:rStyle w:val="a7"/>
          <w:rtl/>
        </w:rPr>
        <w:footnoteReference w:id="3440"/>
      </w:r>
      <w:r>
        <w:rPr>
          <w:rFonts w:hint="cs"/>
          <w:vertAlign w:val="superscript"/>
          <w:rtl/>
        </w:rPr>
        <w:t>)</w:t>
      </w:r>
      <w:r>
        <w:rPr>
          <w:rFonts w:hint="cs"/>
          <w:rtl/>
        </w:rPr>
        <w:t>-.</w:t>
      </w:r>
    </w:p>
    <w:p w:rsidR="00C10469" w:rsidRDefault="00C10469">
      <w:pPr>
        <w:rPr>
          <w:rtl/>
        </w:rPr>
      </w:pPr>
      <w:r>
        <w:rPr>
          <w:rFonts w:hint="cs"/>
          <w:rtl/>
        </w:rPr>
        <w:t>ومن هذا القبيل الـمعدّ للاستغلال. فعلى الـمفتى بـه : صارت عادته كالمشروط صريحًا</w:t>
      </w:r>
      <w:r>
        <w:rPr>
          <w:rFonts w:hint="eastAsia"/>
          <w:rtl/>
        </w:rPr>
        <w:t>»</w:t>
      </w:r>
      <w:r>
        <w:rPr>
          <w:rFonts w:hint="cs"/>
          <w:vertAlign w:val="superscript"/>
          <w:rtl/>
        </w:rPr>
        <w:t>(</w:t>
      </w:r>
      <w:r>
        <w:rPr>
          <w:rStyle w:val="a7"/>
          <w:rtl/>
        </w:rPr>
        <w:footnoteReference w:id="3441"/>
      </w:r>
      <w:r>
        <w:rPr>
          <w:rFonts w:hint="cs"/>
          <w:vertAlign w:val="superscript"/>
          <w:rtl/>
        </w:rPr>
        <w:t>)</w:t>
      </w:r>
      <w:r>
        <w:rPr>
          <w:rFonts w:hint="cs"/>
          <w:rtl/>
        </w:rPr>
        <w:t>.</w:t>
      </w:r>
    </w:p>
    <w:p w:rsidR="00C10469" w:rsidRDefault="00C10469">
      <w:pPr>
        <w:rPr>
          <w:rtl/>
        </w:rPr>
      </w:pPr>
      <w:r>
        <w:rPr>
          <w:rFonts w:hint="cs"/>
          <w:rtl/>
        </w:rPr>
        <w:t xml:space="preserve">وذكر </w:t>
      </w:r>
      <w:r>
        <w:rPr>
          <w:rFonts w:hint="eastAsia"/>
          <w:rtl/>
        </w:rPr>
        <w:t>«</w:t>
      </w:r>
      <w:r>
        <w:rPr>
          <w:rFonts w:hint="cs"/>
          <w:rtl/>
        </w:rPr>
        <w:t>في (البزازية) : المشروط عرفًا كالمشروط</w:t>
      </w:r>
      <w:r>
        <w:rPr>
          <w:rStyle w:val="a7"/>
          <w:rtl/>
        </w:rPr>
        <w:footnoteReference w:id="3442"/>
      </w:r>
      <w:r>
        <w:rPr>
          <w:rFonts w:hint="cs"/>
          <w:rtl/>
        </w:rPr>
        <w:t xml:space="preserve"> شرعًا</w:t>
      </w:r>
      <w:r>
        <w:rPr>
          <w:rFonts w:hint="eastAsia"/>
          <w:rtl/>
        </w:rPr>
        <w:t>»</w:t>
      </w:r>
      <w:r>
        <w:rPr>
          <w:rFonts w:hint="cs"/>
          <w:vertAlign w:val="superscript"/>
          <w:rtl/>
        </w:rPr>
        <w:t>(</w:t>
      </w:r>
      <w:r>
        <w:rPr>
          <w:rStyle w:val="a7"/>
          <w:rtl/>
        </w:rPr>
        <w:footnoteReference w:id="3443"/>
      </w:r>
      <w:r>
        <w:rPr>
          <w:rFonts w:hint="cs"/>
          <w:vertAlign w:val="superscript"/>
          <w:rtl/>
        </w:rPr>
        <w:t>)</w:t>
      </w:r>
      <w:r>
        <w:rPr>
          <w:rFonts w:hint="cs"/>
          <w:rtl/>
        </w:rPr>
        <w:t>.</w:t>
      </w:r>
    </w:p>
    <w:p w:rsidR="00C10469" w:rsidRDefault="00C10469">
      <w:pPr>
        <w:rPr>
          <w:rtl/>
        </w:rPr>
      </w:pPr>
      <w:r>
        <w:rPr>
          <w:rFonts w:hint="eastAsia"/>
          <w:rtl/>
        </w:rPr>
        <w:t>«</w:t>
      </w:r>
      <w:r>
        <w:rPr>
          <w:rFonts w:hint="cs"/>
          <w:rtl/>
        </w:rPr>
        <w:t>ومن هذا القبيل : لو جهّز الأب بنته جهازًا [و]</w:t>
      </w:r>
      <w:r>
        <w:rPr>
          <w:rStyle w:val="a7"/>
          <w:rtl/>
        </w:rPr>
        <w:footnoteReference w:id="3444"/>
      </w:r>
      <w:r>
        <w:rPr>
          <w:rFonts w:hint="cs"/>
          <w:rtl/>
        </w:rPr>
        <w:t xml:space="preserve"> دفعه لها، ثم ادعى أنه </w:t>
      </w:r>
      <w:r>
        <w:rPr>
          <w:rFonts w:hint="cs"/>
          <w:rtl/>
        </w:rPr>
        <w:lastRenderedPageBreak/>
        <w:t>عاريّة، ولا [بينة]</w:t>
      </w:r>
      <w:r>
        <w:rPr>
          <w:rStyle w:val="a7"/>
          <w:rtl/>
        </w:rPr>
        <w:footnoteReference w:id="3445"/>
      </w:r>
      <w:r>
        <w:rPr>
          <w:rFonts w:hint="cs"/>
          <w:rtl/>
        </w:rPr>
        <w:t xml:space="preserve"> ففيه اختلاف : [والفتوى]</w:t>
      </w:r>
      <w:r>
        <w:rPr>
          <w:rStyle w:val="a7"/>
          <w:rtl/>
        </w:rPr>
        <w:footnoteReference w:id="3446"/>
      </w:r>
      <w:r>
        <w:rPr>
          <w:rFonts w:hint="cs"/>
          <w:rtl/>
        </w:rPr>
        <w:t xml:space="preserve"> أنه لو كان الـعرف مستمرًّا أنَّ الأب يدفع ذلك الجهاز ملكًا لا عارية : لم يقبل</w:t>
      </w:r>
      <w:r>
        <w:rPr>
          <w:rStyle w:val="a7"/>
          <w:rtl/>
        </w:rPr>
        <w:footnoteReference w:id="3447"/>
      </w:r>
      <w:r>
        <w:rPr>
          <w:rFonts w:hint="cs"/>
          <w:rtl/>
        </w:rPr>
        <w:t xml:space="preserve"> قوله، ولو كان العرف مشتركًا</w:t>
      </w:r>
      <w:r>
        <w:rPr>
          <w:rFonts w:hint="cs"/>
          <w:vertAlign w:val="superscript"/>
          <w:rtl/>
        </w:rPr>
        <w:t>(</w:t>
      </w:r>
      <w:r>
        <w:rPr>
          <w:rStyle w:val="a7"/>
          <w:rtl/>
        </w:rPr>
        <w:footnoteReference w:id="3448"/>
      </w:r>
      <w:r>
        <w:rPr>
          <w:rFonts w:hint="cs"/>
          <w:vertAlign w:val="superscript"/>
          <w:rtl/>
        </w:rPr>
        <w:t>)</w:t>
      </w:r>
      <w:r>
        <w:rPr>
          <w:rFonts w:hint="cs"/>
          <w:rtl/>
        </w:rPr>
        <w:t>: فالقول للأب -كذا في شرح منظومة ابن وهبان</w:t>
      </w:r>
      <w:r>
        <w:rPr>
          <w:rFonts w:hint="cs"/>
          <w:vertAlign w:val="superscript"/>
          <w:rtl/>
        </w:rPr>
        <w:t>(</w:t>
      </w:r>
      <w:r>
        <w:rPr>
          <w:rStyle w:val="a7"/>
          <w:rtl/>
        </w:rPr>
        <w:footnoteReference w:id="3449"/>
      </w:r>
      <w:r>
        <w:rPr>
          <w:rFonts w:hint="cs"/>
          <w:vertAlign w:val="superscript"/>
          <w:rtl/>
        </w:rPr>
        <w:t>)</w:t>
      </w:r>
      <w:r>
        <w:rPr>
          <w:rFonts w:hint="cs"/>
          <w:rtl/>
        </w:rPr>
        <w:t>-.</w:t>
      </w:r>
    </w:p>
    <w:p w:rsidR="00C10469" w:rsidRDefault="00C10469">
      <w:pPr>
        <w:rPr>
          <w:rtl/>
        </w:rPr>
      </w:pPr>
      <w:r>
        <w:rPr>
          <w:rFonts w:hint="cs"/>
          <w:rtl/>
        </w:rPr>
        <w:lastRenderedPageBreak/>
        <w:t>وقال قاضي خان : وعندي أن الأب إن كان من كِرام الناس وأشرافهم</w:t>
      </w:r>
      <w:r>
        <w:rPr>
          <w:rStyle w:val="a7"/>
          <w:rtl/>
        </w:rPr>
        <w:footnoteReference w:id="3450"/>
      </w:r>
      <w:r>
        <w:rPr>
          <w:rFonts w:hint="cs"/>
          <w:rtl/>
        </w:rPr>
        <w:t>: لم يقبل قوله، وإن كان [من]</w:t>
      </w:r>
      <w:r>
        <w:rPr>
          <w:rStyle w:val="a7"/>
          <w:rtl/>
        </w:rPr>
        <w:footnoteReference w:id="3451"/>
      </w:r>
      <w:r>
        <w:rPr>
          <w:rFonts w:hint="cs"/>
          <w:rtl/>
        </w:rPr>
        <w:t xml:space="preserve"> أوساط الناس : كان القول له</w:t>
      </w:r>
      <w:r>
        <w:rPr>
          <w:rFonts w:hint="cs"/>
          <w:vertAlign w:val="superscript"/>
          <w:rtl/>
        </w:rPr>
        <w:t>(</w:t>
      </w:r>
      <w:r>
        <w:rPr>
          <w:rStyle w:val="a7"/>
          <w:rtl/>
        </w:rPr>
        <w:footnoteReference w:id="3452"/>
      </w:r>
      <w:r>
        <w:rPr>
          <w:rFonts w:hint="cs"/>
          <w:vertAlign w:val="superscript"/>
          <w:rtl/>
        </w:rPr>
        <w:t>)</w:t>
      </w:r>
      <w:r>
        <w:rPr>
          <w:rFonts w:hint="cs"/>
          <w:rtl/>
        </w:rPr>
        <w:t>.</w:t>
      </w:r>
    </w:p>
    <w:p w:rsidR="00C10469" w:rsidRDefault="00C10469">
      <w:pPr>
        <w:rPr>
          <w:rtl/>
        </w:rPr>
      </w:pPr>
      <w:r>
        <w:rPr>
          <w:rFonts w:hint="cs"/>
          <w:rtl/>
        </w:rPr>
        <w:lastRenderedPageBreak/>
        <w:t>وفي (الكبرى)</w:t>
      </w:r>
      <w:r>
        <w:rPr>
          <w:rFonts w:hint="cs"/>
          <w:vertAlign w:val="superscript"/>
          <w:rtl/>
        </w:rPr>
        <w:t>(</w:t>
      </w:r>
      <w:r>
        <w:rPr>
          <w:rStyle w:val="a7"/>
          <w:rtl/>
        </w:rPr>
        <w:footnoteReference w:id="3453"/>
      </w:r>
      <w:r>
        <w:rPr>
          <w:rFonts w:hint="cs"/>
          <w:vertAlign w:val="superscript"/>
          <w:rtl/>
        </w:rPr>
        <w:t>)</w:t>
      </w:r>
      <w:r>
        <w:rPr>
          <w:rFonts w:hint="cs"/>
          <w:rtl/>
        </w:rPr>
        <w:t xml:space="preserve"> :</w:t>
      </w:r>
    </w:p>
    <w:p w:rsidR="00C10469" w:rsidRDefault="00C10469">
      <w:pPr>
        <w:rPr>
          <w:rtl/>
        </w:rPr>
      </w:pPr>
      <w:r>
        <w:rPr>
          <w:rFonts w:hint="cs"/>
          <w:rtl/>
        </w:rPr>
        <w:lastRenderedPageBreak/>
        <w:t xml:space="preserve"> إن القول للزوج بشهادة الظاهر</w:t>
      </w:r>
      <w:r>
        <w:rPr>
          <w:rFonts w:hint="eastAsia"/>
          <w:rtl/>
        </w:rPr>
        <w:t>»</w:t>
      </w:r>
      <w:r>
        <w:rPr>
          <w:rFonts w:hint="cs"/>
          <w:vertAlign w:val="superscript"/>
          <w:rtl/>
        </w:rPr>
        <w:t>(</w:t>
      </w:r>
      <w:r>
        <w:rPr>
          <w:rStyle w:val="a7"/>
          <w:rtl/>
        </w:rPr>
        <w:footnoteReference w:id="3454"/>
      </w:r>
      <w:r>
        <w:rPr>
          <w:rFonts w:hint="cs"/>
          <w:vertAlign w:val="superscript"/>
          <w:rtl/>
        </w:rPr>
        <w:t>)</w:t>
      </w:r>
      <w:r>
        <w:rPr>
          <w:rFonts w:hint="cs"/>
          <w:rtl/>
        </w:rPr>
        <w:t>.</w:t>
      </w:r>
    </w:p>
    <w:p w:rsidR="00C10469" w:rsidRDefault="00C10469" w:rsidP="00C10469">
      <w:pPr>
        <w:spacing w:line="228" w:lineRule="auto"/>
        <w:rPr>
          <w:rtl/>
        </w:rPr>
      </w:pPr>
      <w:r>
        <w:rPr>
          <w:rFonts w:hint="cs"/>
          <w:rtl/>
        </w:rPr>
        <w:t xml:space="preserve">ومنها : لو </w:t>
      </w:r>
      <w:r>
        <w:rPr>
          <w:rFonts w:hint="eastAsia"/>
          <w:rtl/>
        </w:rPr>
        <w:t>«</w:t>
      </w:r>
      <w:r>
        <w:rPr>
          <w:rFonts w:hint="cs"/>
          <w:rtl/>
        </w:rPr>
        <w:t>دفع غلامه إلى حائك مدّة معلومة لتعليم النَّسجِ</w:t>
      </w:r>
      <w:r>
        <w:rPr>
          <w:rFonts w:hint="cs"/>
          <w:vertAlign w:val="superscript"/>
          <w:rtl/>
        </w:rPr>
        <w:t>(</w:t>
      </w:r>
      <w:r>
        <w:rPr>
          <w:rStyle w:val="a7"/>
          <w:rtl/>
        </w:rPr>
        <w:footnoteReference w:id="3455"/>
      </w:r>
      <w:r>
        <w:rPr>
          <w:rFonts w:hint="cs"/>
          <w:vertAlign w:val="superscript"/>
          <w:rtl/>
        </w:rPr>
        <w:t>)</w:t>
      </w:r>
      <w:r>
        <w:rPr>
          <w:rFonts w:hint="cs"/>
          <w:rtl/>
        </w:rPr>
        <w:t>، ولم يشترط الأجر</w:t>
      </w:r>
      <w:r>
        <w:rPr>
          <w:rStyle w:val="a7"/>
          <w:rtl/>
        </w:rPr>
        <w:footnoteReference w:id="3456"/>
      </w:r>
      <w:r>
        <w:rPr>
          <w:rFonts w:hint="cs"/>
          <w:rtl/>
        </w:rPr>
        <w:t xml:space="preserve"> على أحد، فلما عُلِّم العملَ، طلبَ الأستاذُ الأجرَ من المولى، والمولى من الأستاذ : يُنظر إلى عرف أهل البلدة في ذلك العمل.</w:t>
      </w:r>
    </w:p>
    <w:p w:rsidR="00C10469" w:rsidRDefault="00C10469" w:rsidP="00C10469">
      <w:pPr>
        <w:spacing w:line="228" w:lineRule="auto"/>
        <w:rPr>
          <w:rtl/>
        </w:rPr>
      </w:pPr>
      <w:r>
        <w:rPr>
          <w:rFonts w:hint="cs"/>
          <w:rtl/>
        </w:rPr>
        <w:lastRenderedPageBreak/>
        <w:t>وكذا لو دفع ابنه</w:t>
      </w:r>
      <w:r>
        <w:rPr>
          <w:rFonts w:hint="eastAsia"/>
          <w:rtl/>
        </w:rPr>
        <w:t>»</w:t>
      </w:r>
      <w:r>
        <w:rPr>
          <w:rFonts w:hint="cs"/>
          <w:vertAlign w:val="superscript"/>
          <w:rtl/>
        </w:rPr>
        <w:t>(</w:t>
      </w:r>
      <w:r>
        <w:rPr>
          <w:rStyle w:val="a7"/>
          <w:rtl/>
        </w:rPr>
        <w:footnoteReference w:id="3457"/>
      </w:r>
      <w:r>
        <w:rPr>
          <w:rFonts w:hint="cs"/>
          <w:vertAlign w:val="superscript"/>
          <w:rtl/>
        </w:rPr>
        <w:t>)</w:t>
      </w:r>
      <w:r>
        <w:rPr>
          <w:rFonts w:hint="cs"/>
          <w:rtl/>
        </w:rPr>
        <w:t>.</w:t>
      </w:r>
    </w:p>
    <w:p w:rsidR="00C10469" w:rsidRDefault="00C10469" w:rsidP="00C10469">
      <w:pPr>
        <w:spacing w:line="228" w:lineRule="auto"/>
        <w:rPr>
          <w:rtl/>
        </w:rPr>
      </w:pPr>
      <w:r>
        <w:rPr>
          <w:rFonts w:hint="cs"/>
          <w:rtl/>
        </w:rPr>
        <w:t>وذكـر ابـن نـجـيـم فـي (الأشـبـاه</w:t>
      </w:r>
      <w:r>
        <w:rPr>
          <w:rStyle w:val="a7"/>
          <w:rtl/>
        </w:rPr>
        <w:footnoteReference w:id="3458"/>
      </w:r>
      <w:r>
        <w:rPr>
          <w:rFonts w:hint="cs"/>
          <w:rtl/>
        </w:rPr>
        <w:t xml:space="preserve"> والـنـظـائـر): </w:t>
      </w:r>
      <w:r>
        <w:rPr>
          <w:rFonts w:hint="eastAsia"/>
          <w:rtl/>
        </w:rPr>
        <w:t>«</w:t>
      </w:r>
      <w:r>
        <w:rPr>
          <w:rFonts w:hint="cs"/>
          <w:rtl/>
        </w:rPr>
        <w:t xml:space="preserve">على اعتبار </w:t>
      </w:r>
    </w:p>
    <w:p w:rsidR="00C10469" w:rsidRDefault="00C10469">
      <w:pPr>
        <w:spacing w:line="580" w:lineRule="exact"/>
        <w:ind w:firstLine="0"/>
        <w:rPr>
          <w:rtl/>
        </w:rPr>
      </w:pPr>
      <w:r>
        <w:rPr>
          <w:rFonts w:hint="cs"/>
          <w:rtl/>
        </w:rPr>
        <w:t>عرف</w:t>
      </w:r>
      <w:r>
        <w:rPr>
          <w:rFonts w:hint="cs"/>
          <w:vertAlign w:val="superscript"/>
          <w:rtl/>
        </w:rPr>
        <w:t>(</w:t>
      </w:r>
      <w:r>
        <w:rPr>
          <w:rStyle w:val="a7"/>
          <w:rtl/>
        </w:rPr>
        <w:footnoteReference w:id="3459"/>
      </w:r>
      <w:r>
        <w:rPr>
          <w:rFonts w:hint="cs"/>
          <w:vertAlign w:val="superscript"/>
          <w:rtl/>
        </w:rPr>
        <w:t>)</w:t>
      </w:r>
      <w:r>
        <w:rPr>
          <w:rFonts w:hint="cs"/>
          <w:rtl/>
        </w:rPr>
        <w:t>الخاص : قد</w:t>
      </w:r>
      <w:r>
        <w:rPr>
          <w:rStyle w:val="a7"/>
          <w:rtl/>
        </w:rPr>
        <w:footnoteReference w:id="3460"/>
      </w:r>
      <w:r>
        <w:rPr>
          <w:rFonts w:hint="cs"/>
          <w:rtl/>
        </w:rPr>
        <w:t xml:space="preserve"> تـعارف الـفقـهاءُ بالقاهرة النـزولَ عـن الوظائف بمال يُعطى</w:t>
      </w:r>
      <w:r>
        <w:rPr>
          <w:rStyle w:val="a7"/>
          <w:rtl/>
        </w:rPr>
        <w:footnoteReference w:id="3461"/>
      </w:r>
      <w:r>
        <w:rPr>
          <w:rFonts w:hint="cs"/>
          <w:rtl/>
        </w:rPr>
        <w:t>[لصاحبها و]</w:t>
      </w:r>
      <w:r>
        <w:rPr>
          <w:rStyle w:val="a7"/>
          <w:rtl/>
        </w:rPr>
        <w:footnoteReference w:id="3462"/>
      </w:r>
      <w:r>
        <w:rPr>
          <w:rFonts w:hint="cs"/>
          <w:rtl/>
        </w:rPr>
        <w:t>تعارفوا ذلك: فينبغي</w:t>
      </w:r>
      <w:r>
        <w:rPr>
          <w:rStyle w:val="a7"/>
          <w:rtl/>
        </w:rPr>
        <w:footnoteReference w:id="3463"/>
      </w:r>
      <w:r>
        <w:rPr>
          <w:rFonts w:hint="cs"/>
          <w:rtl/>
        </w:rPr>
        <w:t xml:space="preserve"> الجواز. وقد رأيـت بعـضًا من علمائـنا</w:t>
      </w:r>
      <w:r>
        <w:rPr>
          <w:rStyle w:val="a7"/>
          <w:rtl/>
        </w:rPr>
        <w:footnoteReference w:id="3464"/>
      </w:r>
      <w:r>
        <w:rPr>
          <w:rFonts w:hint="cs"/>
          <w:rtl/>
        </w:rPr>
        <w:t xml:space="preserve"> أَفتـوا بـجوازها، واحتجّوا بهذه المسألة، وقالوا : لـو أُنْـزِل</w:t>
      </w:r>
      <w:r>
        <w:rPr>
          <w:rFonts w:hint="cs"/>
          <w:vertAlign w:val="superscript"/>
          <w:rtl/>
        </w:rPr>
        <w:t>(</w:t>
      </w:r>
      <w:r>
        <w:rPr>
          <w:rStyle w:val="a7"/>
          <w:rtl/>
        </w:rPr>
        <w:footnoteReference w:id="3465"/>
      </w:r>
      <w:r>
        <w:rPr>
          <w:rFonts w:hint="cs"/>
          <w:vertAlign w:val="superscript"/>
          <w:rtl/>
        </w:rPr>
        <w:t>)</w:t>
      </w:r>
      <w:r>
        <w:rPr>
          <w:rFonts w:hint="cs"/>
          <w:rtl/>
        </w:rPr>
        <w:t xml:space="preserve"> له وقَبـض مـنـه الـمبلغ</w:t>
      </w:r>
      <w:r>
        <w:rPr>
          <w:rStyle w:val="a7"/>
          <w:rtl/>
        </w:rPr>
        <w:footnoteReference w:id="3466"/>
      </w:r>
      <w:r>
        <w:rPr>
          <w:rFonts w:hint="cs"/>
          <w:rtl/>
        </w:rPr>
        <w:t xml:space="preserve"> ثم أراد الـرجـوع عليه : لا يملك</w:t>
      </w:r>
      <w:r>
        <w:rPr>
          <w:rFonts w:hint="eastAsia"/>
          <w:rtl/>
        </w:rPr>
        <w:t>»</w:t>
      </w:r>
      <w:r>
        <w:rPr>
          <w:rFonts w:hint="cs"/>
          <w:vertAlign w:val="superscript"/>
          <w:rtl/>
        </w:rPr>
        <w:t>(</w:t>
      </w:r>
      <w:r>
        <w:rPr>
          <w:rStyle w:val="a7"/>
          <w:rtl/>
        </w:rPr>
        <w:footnoteReference w:id="3467"/>
      </w:r>
      <w:r>
        <w:rPr>
          <w:rFonts w:hint="cs"/>
          <w:vertAlign w:val="superscript"/>
          <w:rtl/>
        </w:rPr>
        <w:t>)</w:t>
      </w:r>
      <w:r>
        <w:rPr>
          <w:rFonts w:hint="cs"/>
          <w:rtl/>
        </w:rPr>
        <w:t>.</w:t>
      </w:r>
    </w:p>
    <w:p w:rsidR="00C10469" w:rsidRDefault="00C10469">
      <w:pPr>
        <w:spacing w:line="580" w:lineRule="exact"/>
        <w:rPr>
          <w:vertAlign w:val="superscript"/>
          <w:rtl/>
        </w:rPr>
      </w:pPr>
      <w:r>
        <w:rPr>
          <w:rFonts w:hint="cs"/>
          <w:b/>
          <w:bCs/>
          <w:rtl/>
        </w:rPr>
        <w:lastRenderedPageBreak/>
        <w:t>أقول</w:t>
      </w:r>
      <w:r>
        <w:rPr>
          <w:rFonts w:hint="cs"/>
          <w:rtl/>
        </w:rPr>
        <w:t xml:space="preserve"> : لا ينبغي أن يُفتي [بِـ]</w:t>
      </w:r>
      <w:r>
        <w:rPr>
          <w:rStyle w:val="a7"/>
          <w:rtl/>
        </w:rPr>
        <w:footnoteReference w:id="3468"/>
      </w:r>
      <w:r>
        <w:rPr>
          <w:rFonts w:hint="cs"/>
          <w:rtl/>
        </w:rPr>
        <w:t xml:space="preserve">ـهذه الـمسـألـة؛ لأنه قال بعد ذلك : إن </w:t>
      </w:r>
      <w:r>
        <w:rPr>
          <w:rFonts w:hint="eastAsia"/>
          <w:rtl/>
        </w:rPr>
        <w:t>«</w:t>
      </w:r>
      <w:r>
        <w:rPr>
          <w:rFonts w:hint="cs"/>
          <w:rtl/>
        </w:rPr>
        <w:t>الحقوق المجرّدة لا يجوز الاعتياض عنها</w:t>
      </w:r>
      <w:r>
        <w:rPr>
          <w:rFonts w:hint="eastAsia"/>
          <w:rtl/>
        </w:rPr>
        <w:t>»</w:t>
      </w:r>
      <w:r>
        <w:rPr>
          <w:rFonts w:hint="cs"/>
          <w:vertAlign w:val="superscript"/>
          <w:rtl/>
        </w:rPr>
        <w:t>(</w:t>
      </w:r>
      <w:r>
        <w:rPr>
          <w:rStyle w:val="a7"/>
          <w:rtl/>
        </w:rPr>
        <w:footnoteReference w:id="3469"/>
      </w:r>
      <w:r>
        <w:rPr>
          <w:rFonts w:hint="cs"/>
          <w:vertAlign w:val="superscript"/>
          <w:rtl/>
        </w:rPr>
        <w:t xml:space="preserve">) </w:t>
      </w:r>
    </w:p>
    <w:p w:rsidR="00C10469" w:rsidRDefault="00C10469">
      <w:pPr>
        <w:spacing w:line="600" w:lineRule="exact"/>
        <w:rPr>
          <w:rtl/>
        </w:rPr>
      </w:pPr>
      <w:r>
        <w:rPr>
          <w:rFonts w:hint="cs"/>
          <w:rtl/>
        </w:rPr>
        <w:t>وفرّع</w:t>
      </w:r>
      <w:r>
        <w:rPr>
          <w:rStyle w:val="a7"/>
          <w:rtl/>
        </w:rPr>
        <w:footnoteReference w:id="3470"/>
      </w:r>
      <w:r>
        <w:rPr>
          <w:rFonts w:hint="cs"/>
          <w:rtl/>
        </w:rPr>
        <w:t xml:space="preserve"> عليه</w:t>
      </w:r>
      <w:r>
        <w:rPr>
          <w:rFonts w:hint="cs"/>
          <w:vertAlign w:val="superscript"/>
          <w:rtl/>
        </w:rPr>
        <w:t>(</w:t>
      </w:r>
      <w:r>
        <w:rPr>
          <w:rStyle w:val="a7"/>
          <w:rtl/>
        </w:rPr>
        <w:footnoteReference w:id="3471"/>
      </w:r>
      <w:r>
        <w:rPr>
          <w:rFonts w:hint="cs"/>
          <w:vertAlign w:val="superscript"/>
          <w:rtl/>
        </w:rPr>
        <w:t xml:space="preserve">) </w:t>
      </w:r>
      <w:r>
        <w:rPr>
          <w:rFonts w:hint="cs"/>
          <w:rtl/>
        </w:rPr>
        <w:t>الاعتياض عن</w:t>
      </w:r>
      <w:r>
        <w:rPr>
          <w:rStyle w:val="a7"/>
          <w:rtl/>
        </w:rPr>
        <w:footnoteReference w:id="3472"/>
      </w:r>
      <w:r>
        <w:rPr>
          <w:rFonts w:hint="cs"/>
          <w:rtl/>
        </w:rPr>
        <w:t xml:space="preserve"> الوظائف بِـ [الأوقاف]</w:t>
      </w:r>
      <w:r>
        <w:rPr>
          <w:rStyle w:val="a7"/>
          <w:rtl/>
        </w:rPr>
        <w:footnoteReference w:id="3473"/>
      </w:r>
      <w:r>
        <w:rPr>
          <w:rFonts w:hint="cs"/>
          <w:vertAlign w:val="superscript"/>
          <w:rtl/>
        </w:rPr>
        <w:t>(</w:t>
      </w:r>
      <w:r>
        <w:rPr>
          <w:rStyle w:val="a7"/>
          <w:rtl/>
        </w:rPr>
        <w:footnoteReference w:id="3474"/>
      </w:r>
      <w:r>
        <w:rPr>
          <w:rFonts w:hint="cs"/>
          <w:vertAlign w:val="superscript"/>
          <w:rtl/>
        </w:rPr>
        <w:t>)</w:t>
      </w:r>
      <w:r>
        <w:rPr>
          <w:rFonts w:hint="cs"/>
          <w:rtl/>
        </w:rPr>
        <w:t>.وهذا خلافٌ لما</w:t>
      </w:r>
      <w:r>
        <w:rPr>
          <w:rStyle w:val="a7"/>
          <w:rtl/>
        </w:rPr>
        <w:footnoteReference w:id="3475"/>
      </w:r>
      <w:r>
        <w:rPr>
          <w:rFonts w:hint="cs"/>
          <w:rtl/>
        </w:rPr>
        <w:t xml:space="preserve"> قاله. مع أنه</w:t>
      </w:r>
      <w:r>
        <w:rPr>
          <w:rStyle w:val="a7"/>
          <w:rtl/>
        </w:rPr>
        <w:footnoteReference w:id="3476"/>
      </w:r>
      <w:r>
        <w:rPr>
          <w:rFonts w:hint="cs"/>
          <w:rtl/>
        </w:rPr>
        <w:t xml:space="preserve"> ليس إلاّ رشوة محضة، فلو صحّ ما قال لجاز</w:t>
      </w:r>
      <w:r>
        <w:rPr>
          <w:rStyle w:val="a7"/>
          <w:rtl/>
        </w:rPr>
        <w:footnoteReference w:id="3477"/>
      </w:r>
      <w:r>
        <w:rPr>
          <w:rFonts w:hint="cs"/>
          <w:rtl/>
        </w:rPr>
        <w:t xml:space="preserve"> الارتـشاء</w:t>
      </w:r>
      <w:r>
        <w:rPr>
          <w:rStyle w:val="a7"/>
          <w:rtl/>
        </w:rPr>
        <w:footnoteReference w:id="3478"/>
      </w:r>
      <w:r>
        <w:rPr>
          <w:rFonts w:hint="cs"/>
          <w:rtl/>
        </w:rPr>
        <w:t xml:space="preserve"> في المتعارف</w:t>
      </w:r>
      <w:r>
        <w:rPr>
          <w:rStyle w:val="a7"/>
          <w:rtl/>
        </w:rPr>
        <w:footnoteReference w:id="3479"/>
      </w:r>
      <w:r>
        <w:rPr>
          <w:rFonts w:hint="cs"/>
          <w:rtl/>
        </w:rPr>
        <w:t xml:space="preserve"> بين الخواص و[العوام]</w:t>
      </w:r>
      <w:r>
        <w:rPr>
          <w:rStyle w:val="a7"/>
          <w:rtl/>
        </w:rPr>
        <w:footnoteReference w:id="3480"/>
      </w:r>
      <w:r>
        <w:rPr>
          <w:rFonts w:hint="cs"/>
          <w:rtl/>
        </w:rPr>
        <w:t>،فهل يرضى به من يتقي الله؟!.</w:t>
      </w:r>
    </w:p>
    <w:p w:rsidR="00C10469" w:rsidRDefault="00C10469">
      <w:pPr>
        <w:rPr>
          <w:rtl/>
        </w:rPr>
      </w:pPr>
      <w:r>
        <w:rPr>
          <w:rFonts w:hint="cs"/>
          <w:rtl/>
        </w:rPr>
        <w:lastRenderedPageBreak/>
        <w:t>وقد ذكرنا في الأصل المتقدم</w:t>
      </w:r>
      <w:r>
        <w:rPr>
          <w:rFonts w:hint="cs"/>
          <w:vertAlign w:val="superscript"/>
          <w:rtl/>
        </w:rPr>
        <w:t>(</w:t>
      </w:r>
      <w:r>
        <w:rPr>
          <w:rStyle w:val="a7"/>
          <w:rtl/>
        </w:rPr>
        <w:footnoteReference w:id="3481"/>
      </w:r>
      <w:r>
        <w:rPr>
          <w:rFonts w:hint="cs"/>
          <w:vertAlign w:val="superscript"/>
          <w:rtl/>
        </w:rPr>
        <w:t>)</w:t>
      </w:r>
      <w:r>
        <w:rPr>
          <w:rFonts w:hint="cs"/>
          <w:rtl/>
        </w:rPr>
        <w:t xml:space="preserve"> -[نقلاً]</w:t>
      </w:r>
      <w:r>
        <w:rPr>
          <w:rStyle w:val="a7"/>
          <w:rtl/>
        </w:rPr>
        <w:footnoteReference w:id="3482"/>
      </w:r>
      <w:r>
        <w:rPr>
          <w:rFonts w:hint="cs"/>
          <w:rtl/>
        </w:rPr>
        <w:t xml:space="preserve"> عن (الظهيريّة)</w:t>
      </w:r>
      <w:r>
        <w:rPr>
          <w:rStyle w:val="a7"/>
          <w:rtl/>
        </w:rPr>
        <w:footnoteReference w:id="3483"/>
      </w:r>
      <w:r>
        <w:rPr>
          <w:rFonts w:hint="cs"/>
          <w:rtl/>
        </w:rPr>
        <w:t xml:space="preserve"> -: أن المتعارف</w:t>
      </w:r>
      <w:r>
        <w:rPr>
          <w:rStyle w:val="a7"/>
          <w:rtl/>
        </w:rPr>
        <w:footnoteReference w:id="3484"/>
      </w:r>
      <w:r>
        <w:rPr>
          <w:rFonts w:hint="cs"/>
          <w:rtl/>
        </w:rPr>
        <w:t xml:space="preserve"> بخلاف النص لا يعتبر</w:t>
      </w:r>
      <w:r>
        <w:rPr>
          <w:rStyle w:val="a7"/>
          <w:rtl/>
        </w:rPr>
        <w:footnoteReference w:id="3485"/>
      </w:r>
      <w:r>
        <w:rPr>
          <w:rFonts w:hint="cs"/>
          <w:rtl/>
        </w:rPr>
        <w:t>.</w:t>
      </w:r>
    </w:p>
    <w:p w:rsidR="00C10469" w:rsidRPr="009E5B3C"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2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E3954" w:rsidRDefault="00C10469">
      <w:pPr>
        <w:pStyle w:val="a9"/>
        <w:rPr>
          <w:rFonts w:cs="AL-Mateen"/>
          <w:rtl/>
        </w:rPr>
      </w:pPr>
      <w:r w:rsidRPr="009E3954">
        <w:rPr>
          <w:rFonts w:cs="AL-Mateen" w:hint="cs"/>
          <w:rtl/>
        </w:rPr>
        <w:lastRenderedPageBreak/>
        <w:t>[ الـقـاعـدة الـخـامـسـة والـسـتـون بـعـد الـمـائـة ]</w:t>
      </w:r>
    </w:p>
    <w:p w:rsidR="00C10469" w:rsidRDefault="00C10469">
      <w:pPr>
        <w:rPr>
          <w:rtl/>
        </w:rPr>
      </w:pPr>
      <w:r>
        <w:rPr>
          <w:rFonts w:cs="Monotype Koufi" w:hint="cs"/>
          <w:rtl/>
        </w:rPr>
        <w:t>العِبْرَةُ لآخِرِ جُزْئَيِ العِلَّةِ</w:t>
      </w:r>
      <w:r>
        <w:rPr>
          <w:rFonts w:hint="cs"/>
          <w:vertAlign w:val="superscript"/>
          <w:rtl/>
        </w:rPr>
        <w:t>(</w:t>
      </w:r>
      <w:r>
        <w:rPr>
          <w:rStyle w:val="a7"/>
          <w:rtl/>
        </w:rPr>
        <w:footnoteReference w:id="3486"/>
      </w:r>
      <w:r>
        <w:rPr>
          <w:rFonts w:hint="cs"/>
          <w:vertAlign w:val="superscript"/>
          <w:rtl/>
        </w:rPr>
        <w:t>)</w:t>
      </w:r>
      <w:r>
        <w:rPr>
          <w:rFonts w:hint="cs"/>
          <w:rtl/>
        </w:rPr>
        <w:t xml:space="preserve"> :</w:t>
      </w:r>
    </w:p>
    <w:p w:rsidR="00C10469" w:rsidRDefault="00C10469">
      <w:pPr>
        <w:rPr>
          <w:rtl/>
        </w:rPr>
      </w:pPr>
      <w:r>
        <w:rPr>
          <w:rFonts w:hint="cs"/>
          <w:rtl/>
        </w:rPr>
        <w:lastRenderedPageBreak/>
        <w:t>ذُكر في أصول الفقه</w:t>
      </w:r>
      <w:r>
        <w:rPr>
          <w:rFonts w:hint="cs"/>
          <w:vertAlign w:val="superscript"/>
          <w:rtl/>
        </w:rPr>
        <w:t>(</w:t>
      </w:r>
      <w:r>
        <w:rPr>
          <w:rStyle w:val="a7"/>
          <w:rtl/>
        </w:rPr>
        <w:footnoteReference w:id="3487"/>
      </w:r>
      <w:r>
        <w:rPr>
          <w:rFonts w:hint="cs"/>
          <w:vertAlign w:val="superscript"/>
          <w:rtl/>
        </w:rPr>
        <w:t>)</w:t>
      </w:r>
      <w:r>
        <w:rPr>
          <w:rFonts w:hint="cs"/>
          <w:rtl/>
        </w:rPr>
        <w:t xml:space="preserve"> : العلة إذا كانت ذاتَ وصفين : يعتبر آخر الوصفين علةً حكمًا ومعنى؛ لكونه مؤثّرًا، ولوجود الحكم عنده؛ </w:t>
      </w:r>
      <w:r>
        <w:rPr>
          <w:rFonts w:hint="eastAsia"/>
          <w:rtl/>
        </w:rPr>
        <w:t>«</w:t>
      </w:r>
      <w:r>
        <w:rPr>
          <w:rFonts w:hint="cs"/>
          <w:rtl/>
        </w:rPr>
        <w:t>لأن العلة تتمّ [بالوصفين]</w:t>
      </w:r>
      <w:r>
        <w:rPr>
          <w:rStyle w:val="a7"/>
          <w:rtl/>
        </w:rPr>
        <w:footnoteReference w:id="3488"/>
      </w:r>
      <w:r>
        <w:rPr>
          <w:rFonts w:hint="cs"/>
          <w:rtl/>
        </w:rPr>
        <w:t xml:space="preserve"> جميعًا، فلا يكون أحدهما علة حقيقة</w:t>
      </w:r>
      <w:r>
        <w:rPr>
          <w:rFonts w:hint="eastAsia"/>
          <w:rtl/>
        </w:rPr>
        <w:t>»</w:t>
      </w:r>
      <w:r>
        <w:rPr>
          <w:rFonts w:hint="cs"/>
          <w:vertAlign w:val="superscript"/>
          <w:rtl/>
        </w:rPr>
        <w:t>(</w:t>
      </w:r>
      <w:r>
        <w:rPr>
          <w:rStyle w:val="a7"/>
          <w:rtl/>
        </w:rPr>
        <w:footnoteReference w:id="3489"/>
      </w:r>
      <w:r>
        <w:rPr>
          <w:rFonts w:hint="cs"/>
          <w:vertAlign w:val="superscript"/>
          <w:rtl/>
        </w:rPr>
        <w:t>)</w:t>
      </w:r>
      <w:r>
        <w:rPr>
          <w:rFonts w:hint="cs"/>
          <w:rtl/>
        </w:rPr>
        <w:t>.</w:t>
      </w:r>
    </w:p>
    <w:p w:rsidR="00C10469" w:rsidRDefault="00C10469">
      <w:pPr>
        <w:rPr>
          <w:rtl/>
        </w:rPr>
      </w:pPr>
      <w:r>
        <w:rPr>
          <w:rFonts w:hint="cs"/>
          <w:b/>
          <w:bCs/>
          <w:rtl/>
        </w:rPr>
        <w:t>ومن فروع هذا الأصل</w:t>
      </w:r>
      <w:r>
        <w:rPr>
          <w:rFonts w:hint="cs"/>
          <w:rtl/>
        </w:rPr>
        <w:t xml:space="preserve"> : إذا تملّك أحدٌ قريبَهُ : يكون مُعْتَقًا؛ وعلّة العتق : القرابة والتملّك، وإذا تأخر الملك يضاف العتق إليه؛ لكونه آخر جزئي العلة، فيصح به الكفارة لو نواها</w:t>
      </w:r>
      <w:r>
        <w:rPr>
          <w:rStyle w:val="a7"/>
          <w:rtl/>
        </w:rPr>
        <w:footnoteReference w:id="3490"/>
      </w:r>
      <w:r>
        <w:rPr>
          <w:rFonts w:hint="cs"/>
          <w:rtl/>
        </w:rPr>
        <w:t xml:space="preserve"> عند الشراء. ولو لم يكن الحكم مضافًا إلى الوصف [الأخير]</w:t>
      </w:r>
      <w:r>
        <w:rPr>
          <w:rStyle w:val="a7"/>
          <w:rtl/>
        </w:rPr>
        <w:footnoteReference w:id="3491"/>
      </w:r>
      <w:r>
        <w:rPr>
          <w:rFonts w:hint="cs"/>
          <w:rtl/>
        </w:rPr>
        <w:t>؛ بل إلى المجموع: لَمَا كان الشراء إعتاقًا، ولَمَا وقع عن الكفارة</w:t>
      </w:r>
      <w:r>
        <w:rPr>
          <w:rFonts w:hint="cs"/>
          <w:vertAlign w:val="superscript"/>
          <w:rtl/>
        </w:rPr>
        <w:t>(</w:t>
      </w:r>
      <w:r>
        <w:rPr>
          <w:rStyle w:val="a7"/>
          <w:rtl/>
        </w:rPr>
        <w:footnoteReference w:id="3492"/>
      </w:r>
      <w:r>
        <w:rPr>
          <w:rFonts w:hint="cs"/>
          <w:vertAlign w:val="superscript"/>
          <w:rtl/>
        </w:rPr>
        <w:t>)</w:t>
      </w:r>
      <w:r>
        <w:rPr>
          <w:rFonts w:hint="cs"/>
          <w:rtl/>
        </w:rPr>
        <w:t>.</w:t>
      </w:r>
    </w:p>
    <w:p w:rsidR="00C10469" w:rsidRDefault="00C10469">
      <w:pPr>
        <w:rPr>
          <w:spacing w:val="6"/>
          <w:rtl/>
        </w:rPr>
      </w:pPr>
      <w:r>
        <w:rPr>
          <w:rFonts w:hint="cs"/>
          <w:spacing w:val="6"/>
          <w:rtl/>
        </w:rPr>
        <w:t>وأما إذا تأخّرت القرابة، كما إذا ورث</w:t>
      </w:r>
      <w:r>
        <w:rPr>
          <w:rStyle w:val="a7"/>
          <w:spacing w:val="6"/>
          <w:rtl/>
        </w:rPr>
        <w:footnoteReference w:id="3493"/>
      </w:r>
      <w:r>
        <w:rPr>
          <w:rFonts w:hint="cs"/>
          <w:spacing w:val="6"/>
          <w:rtl/>
        </w:rPr>
        <w:t xml:space="preserve"> قريبه : فحينئذٍ يضاف الملك إليها، فإذا</w:t>
      </w:r>
      <w:r>
        <w:rPr>
          <w:rStyle w:val="a7"/>
          <w:spacing w:val="6"/>
          <w:rtl/>
        </w:rPr>
        <w:footnoteReference w:id="3494"/>
      </w:r>
      <w:r>
        <w:rPr>
          <w:rFonts w:hint="cs"/>
          <w:spacing w:val="6"/>
          <w:rtl/>
        </w:rPr>
        <w:t xml:space="preserve"> ورثه اثنـين</w:t>
      </w:r>
      <w:r>
        <w:rPr>
          <w:rFonts w:hint="cs"/>
          <w:spacing w:val="6"/>
          <w:vertAlign w:val="superscript"/>
          <w:rtl/>
        </w:rPr>
        <w:t>(</w:t>
      </w:r>
      <w:r>
        <w:rPr>
          <w:rStyle w:val="a7"/>
          <w:spacing w:val="6"/>
          <w:rtl/>
        </w:rPr>
        <w:footnoteReference w:id="3495"/>
      </w:r>
      <w:r>
        <w:rPr>
          <w:rFonts w:hint="cs"/>
          <w:spacing w:val="6"/>
          <w:vertAlign w:val="superscript"/>
          <w:rtl/>
        </w:rPr>
        <w:t>)</w:t>
      </w:r>
      <w:r>
        <w:rPr>
          <w:rFonts w:hint="cs"/>
          <w:spacing w:val="6"/>
          <w:rtl/>
        </w:rPr>
        <w:t xml:space="preserve"> وأحدهما قريبه : يُعتَق بالقرابة، ولا يضمن</w:t>
      </w:r>
      <w:r>
        <w:rPr>
          <w:rStyle w:val="a7"/>
          <w:spacing w:val="6"/>
          <w:rtl/>
        </w:rPr>
        <w:footnoteReference w:id="3496"/>
      </w:r>
      <w:r>
        <w:rPr>
          <w:rFonts w:hint="cs"/>
          <w:spacing w:val="6"/>
          <w:rtl/>
        </w:rPr>
        <w:t xml:space="preserve"> قيمة صاحبه؛ لعدم صنعه</w:t>
      </w:r>
      <w:r>
        <w:rPr>
          <w:rFonts w:hint="cs"/>
          <w:spacing w:val="6"/>
          <w:vertAlign w:val="superscript"/>
          <w:rtl/>
        </w:rPr>
        <w:t>(</w:t>
      </w:r>
      <w:r>
        <w:rPr>
          <w:rStyle w:val="a7"/>
          <w:spacing w:val="6"/>
          <w:rtl/>
        </w:rPr>
        <w:footnoteReference w:id="3497"/>
      </w:r>
      <w:r>
        <w:rPr>
          <w:rFonts w:hint="cs"/>
          <w:spacing w:val="6"/>
          <w:vertAlign w:val="superscript"/>
          <w:rtl/>
        </w:rPr>
        <w:t>)</w:t>
      </w:r>
      <w:r>
        <w:rPr>
          <w:rFonts w:hint="cs"/>
          <w:spacing w:val="6"/>
          <w:rtl/>
        </w:rPr>
        <w:t>.</w:t>
      </w:r>
    </w:p>
    <w:p w:rsidR="00C10469" w:rsidRDefault="00C10469">
      <w:pPr>
        <w:rPr>
          <w:rtl/>
        </w:rPr>
      </w:pPr>
      <w:r>
        <w:rPr>
          <w:rFonts w:hint="cs"/>
          <w:rtl/>
        </w:rPr>
        <w:lastRenderedPageBreak/>
        <w:t>وأما إذا ورثا</w:t>
      </w:r>
      <w:r>
        <w:rPr>
          <w:rStyle w:val="a7"/>
          <w:rtl/>
        </w:rPr>
        <w:footnoteReference w:id="3498"/>
      </w:r>
      <w:r>
        <w:rPr>
          <w:rFonts w:hint="cs"/>
          <w:rtl/>
        </w:rPr>
        <w:t xml:space="preserve"> عبدًا مجهولَ النَّسبِ، ثم ادّعى أحدُهما أنَّه ابنُهُ : يُضاف العتقُ إلى دعواه؛ لأنه</w:t>
      </w:r>
      <w:r>
        <w:rPr>
          <w:rStyle w:val="a7"/>
          <w:rtl/>
        </w:rPr>
        <w:footnoteReference w:id="3499"/>
      </w:r>
      <w:r>
        <w:rPr>
          <w:rFonts w:hint="cs"/>
          <w:rtl/>
        </w:rPr>
        <w:t xml:space="preserve"> آخر جزئي العلة، فَيَغْرُمُ لشريكه قيمَة نصيبه</w:t>
      </w:r>
      <w:r>
        <w:rPr>
          <w:rStyle w:val="a7"/>
          <w:rtl/>
        </w:rPr>
        <w:footnoteReference w:id="3500"/>
      </w:r>
      <w:r>
        <w:rPr>
          <w:rFonts w:hint="cs"/>
          <w:rtl/>
        </w:rPr>
        <w:t>؛ لأن العبد يصير معتَقًا بِصُنْعِهِ؛ لأنه ادعى القرابة</w:t>
      </w:r>
      <w:r>
        <w:rPr>
          <w:rFonts w:hint="cs"/>
          <w:vertAlign w:val="superscript"/>
          <w:rtl/>
        </w:rPr>
        <w:t>(</w:t>
      </w:r>
      <w:r>
        <w:rPr>
          <w:rStyle w:val="a7"/>
          <w:rtl/>
        </w:rPr>
        <w:footnoteReference w:id="3501"/>
      </w:r>
      <w:r>
        <w:rPr>
          <w:rFonts w:hint="cs"/>
          <w:vertAlign w:val="superscript"/>
          <w:rtl/>
        </w:rPr>
        <w:t>)</w:t>
      </w:r>
      <w:r>
        <w:rPr>
          <w:rFonts w:hint="cs"/>
          <w:rtl/>
        </w:rPr>
        <w:t>.</w:t>
      </w:r>
    </w:p>
    <w:p w:rsidR="00C10469" w:rsidRDefault="00C10469" w:rsidP="00803EA0">
      <w:pPr>
        <w:rPr>
          <w:rtl/>
        </w:rPr>
      </w:pPr>
      <w:r>
        <w:rPr>
          <w:rFonts w:hint="cs"/>
          <w:b/>
          <w:bCs/>
          <w:spacing w:val="8"/>
          <w:rtl/>
        </w:rPr>
        <w:t>ومن فروعها</w:t>
      </w:r>
      <w:r>
        <w:rPr>
          <w:rFonts w:hint="cs"/>
          <w:spacing w:val="8"/>
          <w:rtl/>
        </w:rPr>
        <w:t>: أن [الرجل]</w:t>
      </w:r>
      <w:r>
        <w:rPr>
          <w:rStyle w:val="a7"/>
          <w:spacing w:val="8"/>
          <w:rtl/>
        </w:rPr>
        <w:footnoteReference w:id="3502"/>
      </w:r>
      <w:r>
        <w:rPr>
          <w:rFonts w:hint="cs"/>
          <w:spacing w:val="8"/>
          <w:rtl/>
        </w:rPr>
        <w:t xml:space="preserve"> يجوز أن يلبس ما سَدَاه</w:t>
      </w:r>
      <w:r>
        <w:rPr>
          <w:rFonts w:hint="cs"/>
          <w:spacing w:val="8"/>
          <w:vertAlign w:val="superscript"/>
          <w:rtl/>
        </w:rPr>
        <w:t>(</w:t>
      </w:r>
      <w:r>
        <w:rPr>
          <w:rStyle w:val="a7"/>
          <w:spacing w:val="8"/>
          <w:rtl/>
        </w:rPr>
        <w:footnoteReference w:id="3503"/>
      </w:r>
      <w:r>
        <w:rPr>
          <w:rFonts w:hint="cs"/>
          <w:spacing w:val="8"/>
          <w:vertAlign w:val="superscript"/>
          <w:rtl/>
        </w:rPr>
        <w:t>)</w:t>
      </w:r>
      <w:r>
        <w:rPr>
          <w:rFonts w:hint="cs"/>
          <w:spacing w:val="8"/>
          <w:rtl/>
        </w:rPr>
        <w:t xml:space="preserve"> من</w:t>
      </w:r>
      <w:r>
        <w:rPr>
          <w:rStyle w:val="a7"/>
          <w:spacing w:val="8"/>
          <w:rtl/>
        </w:rPr>
        <w:footnoteReference w:id="3504"/>
      </w:r>
      <w:r>
        <w:rPr>
          <w:rFonts w:hint="cs"/>
          <w:spacing w:val="8"/>
          <w:rtl/>
        </w:rPr>
        <w:t xml:space="preserve"> حرير ولُحْمَتُهُ</w:t>
      </w:r>
      <w:r>
        <w:rPr>
          <w:rFonts w:hint="cs"/>
          <w:spacing w:val="8"/>
          <w:vertAlign w:val="superscript"/>
          <w:rtl/>
        </w:rPr>
        <w:t>(</w:t>
      </w:r>
      <w:r>
        <w:rPr>
          <w:rStyle w:val="a7"/>
          <w:spacing w:val="8"/>
          <w:rtl/>
        </w:rPr>
        <w:footnoteReference w:id="3505"/>
      </w:r>
      <w:r>
        <w:rPr>
          <w:rFonts w:hint="cs"/>
          <w:spacing w:val="8"/>
          <w:vertAlign w:val="superscript"/>
          <w:rtl/>
        </w:rPr>
        <w:t>)</w:t>
      </w:r>
      <w:r>
        <w:rPr>
          <w:rFonts w:hint="cs"/>
          <w:spacing w:val="8"/>
          <w:rtl/>
        </w:rPr>
        <w:t xml:space="preserve"> غيره؛ لأن الثوب إنما يصير ثوبًا بالنسج</w:t>
      </w:r>
      <w:r>
        <w:rPr>
          <w:rStyle w:val="a7"/>
          <w:spacing w:val="8"/>
          <w:rtl/>
        </w:rPr>
        <w:footnoteReference w:id="3506"/>
      </w:r>
      <w:r>
        <w:rPr>
          <w:rFonts w:hint="cs"/>
          <w:spacing w:val="8"/>
          <w:rtl/>
        </w:rPr>
        <w:t>، والجزء الآخر لَحْمتُهُ وهي ليست بحرام</w:t>
      </w:r>
      <w:r>
        <w:rPr>
          <w:rFonts w:hint="cs"/>
          <w:spacing w:val="8"/>
          <w:vertAlign w:val="superscript"/>
          <w:rtl/>
        </w:rPr>
        <w:t>(</w:t>
      </w:r>
      <w:r>
        <w:rPr>
          <w:rStyle w:val="a7"/>
          <w:spacing w:val="8"/>
          <w:rtl/>
        </w:rPr>
        <w:footnoteReference w:id="3507"/>
      </w:r>
      <w:r>
        <w:rPr>
          <w:rFonts w:hint="cs"/>
          <w:spacing w:val="8"/>
          <w:vertAlign w:val="superscript"/>
          <w:rtl/>
        </w:rPr>
        <w:t>)</w:t>
      </w:r>
      <w:r>
        <w:rPr>
          <w:rFonts w:hint="cs"/>
          <w:spacing w:val="8"/>
          <w:rtl/>
        </w:rPr>
        <w:t>.</w:t>
      </w:r>
    </w:p>
    <w:p w:rsidR="00C10469" w:rsidRPr="00051E10" w:rsidRDefault="00C10469" w:rsidP="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2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A7C9D" w:rsidRDefault="00C10469">
      <w:pPr>
        <w:pStyle w:val="a9"/>
        <w:rPr>
          <w:rFonts w:cs="AL-Mateen"/>
          <w:rtl/>
        </w:rPr>
      </w:pPr>
      <w:r w:rsidRPr="00FA7C9D">
        <w:rPr>
          <w:rFonts w:cs="AL-Mateen"/>
          <w:rtl/>
        </w:rPr>
        <w:lastRenderedPageBreak/>
        <w:t xml:space="preserve">[ </w:t>
      </w:r>
      <w:r w:rsidRPr="00FA7C9D">
        <w:rPr>
          <w:rFonts w:cs="AL-Mateen" w:hint="eastAsia"/>
          <w:rtl/>
        </w:rPr>
        <w:t>الـقـاعـدة</w:t>
      </w:r>
      <w:r w:rsidRPr="00FA7C9D">
        <w:rPr>
          <w:rFonts w:cs="AL-Mateen"/>
          <w:rtl/>
        </w:rPr>
        <w:t xml:space="preserve"> ال</w:t>
      </w:r>
      <w:r w:rsidRPr="00FA7C9D">
        <w:rPr>
          <w:rFonts w:cs="AL-Mateen" w:hint="cs"/>
          <w:rtl/>
        </w:rPr>
        <w:t>سادسة و ال</w:t>
      </w:r>
      <w:r w:rsidRPr="00FA7C9D">
        <w:rPr>
          <w:rFonts w:cs="AL-Mateen"/>
          <w:rtl/>
        </w:rPr>
        <w:t>ـسـ</w:t>
      </w:r>
      <w:r w:rsidRPr="00FA7C9D">
        <w:rPr>
          <w:rFonts w:cs="AL-Mateen" w:hint="cs"/>
          <w:rtl/>
        </w:rPr>
        <w:t xml:space="preserve">تون بعد المائة </w:t>
      </w:r>
      <w:r w:rsidRPr="00FA7C9D">
        <w:rPr>
          <w:rFonts w:cs="AL-Mateen"/>
          <w:rtl/>
        </w:rPr>
        <w:t xml:space="preserve"> ]</w:t>
      </w:r>
      <w:r w:rsidRPr="00FA7C9D">
        <w:rPr>
          <w:rFonts w:cs="AL-Mateen" w:hint="cs"/>
          <w:rtl/>
        </w:rPr>
        <w:t xml:space="preserve"> </w:t>
      </w:r>
    </w:p>
    <w:p w:rsidR="00C10469" w:rsidRDefault="00C10469">
      <w:pPr>
        <w:pStyle w:val="aa"/>
        <w:rPr>
          <w:bCs w:val="0"/>
          <w:rtl/>
        </w:rPr>
      </w:pPr>
      <w:r>
        <w:rPr>
          <w:rFonts w:hint="cs"/>
          <w:bCs w:val="0"/>
          <w:rtl/>
        </w:rPr>
        <w:t>الع</w:t>
      </w:r>
      <w:r>
        <w:rPr>
          <w:rFonts w:hint="cs"/>
          <w:bCs w:val="0"/>
          <w:rtl/>
          <w:lang w:bidi="ar-AE"/>
        </w:rPr>
        <w:t>ِ</w:t>
      </w:r>
      <w:r>
        <w:rPr>
          <w:rFonts w:hint="cs"/>
          <w:bCs w:val="0"/>
          <w:rtl/>
        </w:rPr>
        <w:t>بْرَةُ</w:t>
      </w:r>
      <w:r>
        <w:rPr>
          <w:rStyle w:val="a7"/>
          <w:bCs/>
          <w:rtl/>
        </w:rPr>
        <w:footnoteReference w:id="3508"/>
      </w:r>
      <w:r>
        <w:rPr>
          <w:rFonts w:hint="cs"/>
          <w:bCs w:val="0"/>
          <w:rtl/>
        </w:rPr>
        <w:t xml:space="preserve"> للملفُوظِ نَصًّّا دُونَ المَقْصُودِ</w:t>
      </w:r>
      <w:r>
        <w:rPr>
          <w:rFonts w:cs="Traditional Arabic" w:hint="cs"/>
          <w:bCs w:val="0"/>
          <w:spacing w:val="-4"/>
          <w:vertAlign w:val="superscript"/>
          <w:rtl/>
          <w:lang w:val="en-GB"/>
        </w:rPr>
        <w:t>(</w:t>
      </w:r>
      <w:r>
        <w:rPr>
          <w:rStyle w:val="a7"/>
          <w:bCs/>
          <w:spacing w:val="-4"/>
          <w:rtl/>
          <w:lang w:val="en-GB"/>
        </w:rPr>
        <w:footnoteReference w:id="3509"/>
      </w:r>
      <w:r>
        <w:rPr>
          <w:rFonts w:cs="Traditional Arabic" w:hint="cs"/>
          <w:bCs w:val="0"/>
          <w:spacing w:val="-4"/>
          <w:vertAlign w:val="superscript"/>
          <w:rtl/>
          <w:lang w:val="en-GB"/>
        </w:rPr>
        <w:t>)</w:t>
      </w:r>
      <w:r>
        <w:rPr>
          <w:rFonts w:hint="cs"/>
          <w:bCs w:val="0"/>
          <w:rtl/>
        </w:rPr>
        <w:t xml:space="preserve"> :</w:t>
      </w:r>
    </w:p>
    <w:p w:rsidR="00C10469" w:rsidRDefault="00C10469">
      <w:pPr>
        <w:rPr>
          <w:spacing w:val="-4"/>
          <w:rtl/>
        </w:rPr>
      </w:pPr>
      <w:r>
        <w:rPr>
          <w:rFonts w:hint="eastAsia"/>
          <w:spacing w:val="-4"/>
          <w:rtl/>
        </w:rPr>
        <w:t>«</w:t>
      </w:r>
      <w:r>
        <w:rPr>
          <w:rFonts w:hint="cs"/>
          <w:spacing w:val="-4"/>
          <w:rtl/>
        </w:rPr>
        <w:t>ذُكر في (مجمو</w:t>
      </w:r>
      <w:r>
        <w:rPr>
          <w:rFonts w:hint="cs"/>
          <w:rtl/>
        </w:rPr>
        <w:t xml:space="preserve">ع </w:t>
      </w:r>
      <w:r>
        <w:rPr>
          <w:rFonts w:hint="cs"/>
          <w:spacing w:val="-4"/>
          <w:rtl/>
        </w:rPr>
        <w:t>النوازل)</w:t>
      </w:r>
      <w:r>
        <w:rPr>
          <w:rFonts w:hint="cs"/>
          <w:spacing w:val="-4"/>
          <w:vertAlign w:val="superscript"/>
          <w:rtl/>
        </w:rPr>
        <w:t>(</w:t>
      </w:r>
      <w:r>
        <w:rPr>
          <w:rStyle w:val="a7"/>
          <w:spacing w:val="-4"/>
          <w:rtl/>
        </w:rPr>
        <w:footnoteReference w:id="3510"/>
      </w:r>
      <w:r>
        <w:rPr>
          <w:rFonts w:hint="cs"/>
          <w:spacing w:val="-4"/>
          <w:vertAlign w:val="superscript"/>
          <w:rtl/>
        </w:rPr>
        <w:t>)</w:t>
      </w:r>
      <w:r>
        <w:rPr>
          <w:rFonts w:hint="cs"/>
          <w:spacing w:val="-4"/>
          <w:rtl/>
        </w:rPr>
        <w:t xml:space="preserve"> : اتفق مشايخنا في هذا الزمان على أن (بيع الوفاء)</w:t>
      </w:r>
      <w:r>
        <w:rPr>
          <w:rFonts w:hint="cs"/>
          <w:spacing w:val="-4"/>
          <w:vertAlign w:val="superscript"/>
          <w:rtl/>
        </w:rPr>
        <w:t>(</w:t>
      </w:r>
      <w:r>
        <w:rPr>
          <w:rStyle w:val="a7"/>
          <w:spacing w:val="-4"/>
          <w:rtl/>
        </w:rPr>
        <w:footnoteReference w:id="3511"/>
      </w:r>
      <w:r>
        <w:rPr>
          <w:rFonts w:hint="cs"/>
          <w:spacing w:val="-4"/>
          <w:vertAlign w:val="superscript"/>
          <w:rtl/>
        </w:rPr>
        <w:t>)</w:t>
      </w:r>
      <w:r>
        <w:rPr>
          <w:rFonts w:hint="cs"/>
          <w:spacing w:val="-4"/>
          <w:rtl/>
        </w:rPr>
        <w:t xml:space="preserve"> بيع على ما كان عليه بعض السلف؛ لأنهما تلفّّظا بلفظ البـيع من غـير ذكر شرط فيه، والعبرة للملفوظ.</w:t>
      </w:r>
    </w:p>
    <w:p w:rsidR="00C10469" w:rsidRDefault="00C10469">
      <w:pPr>
        <w:rPr>
          <w:spacing w:val="-4"/>
          <w:rtl/>
        </w:rPr>
      </w:pPr>
      <w:r>
        <w:rPr>
          <w:rFonts w:hint="cs"/>
          <w:spacing w:val="-4"/>
          <w:rtl/>
        </w:rPr>
        <w:lastRenderedPageBreak/>
        <w:t>كمن تزوج امرأة وقَصْدُه أن يطلقها بعدما جامعها</w:t>
      </w:r>
      <w:r>
        <w:rPr>
          <w:rFonts w:hint="cs"/>
          <w:spacing w:val="-4"/>
          <w:vertAlign w:val="superscript"/>
          <w:rtl/>
        </w:rPr>
        <w:t>(</w:t>
      </w:r>
      <w:r>
        <w:rPr>
          <w:rStyle w:val="a7"/>
          <w:spacing w:val="-4"/>
          <w:rtl/>
        </w:rPr>
        <w:footnoteReference w:id="3512"/>
      </w:r>
      <w:r>
        <w:rPr>
          <w:rFonts w:hint="cs"/>
          <w:spacing w:val="-4"/>
          <w:vertAlign w:val="superscript"/>
          <w:rtl/>
        </w:rPr>
        <w:t>)</w:t>
      </w:r>
      <w:r>
        <w:rPr>
          <w:rFonts w:hint="cs"/>
          <w:spacing w:val="-4"/>
          <w:rtl/>
        </w:rPr>
        <w:t>: صحّ العقد</w:t>
      </w:r>
      <w:r>
        <w:rPr>
          <w:rFonts w:hint="eastAsia"/>
          <w:spacing w:val="-4"/>
          <w:rtl/>
        </w:rPr>
        <w:t>»</w:t>
      </w:r>
      <w:r>
        <w:rPr>
          <w:rFonts w:hint="cs"/>
          <w:spacing w:val="-4"/>
          <w:vertAlign w:val="superscript"/>
          <w:rtl/>
        </w:rPr>
        <w:t>(</w:t>
      </w:r>
      <w:r>
        <w:rPr>
          <w:rStyle w:val="a7"/>
          <w:spacing w:val="-4"/>
          <w:rtl/>
        </w:rPr>
        <w:footnoteReference w:id="3513"/>
      </w:r>
      <w:r>
        <w:rPr>
          <w:rFonts w:hint="cs"/>
          <w:spacing w:val="-4"/>
          <w:vertAlign w:val="superscript"/>
          <w:rtl/>
        </w:rPr>
        <w:t>)</w:t>
      </w:r>
      <w:r>
        <w:rPr>
          <w:rFonts w:hint="cs"/>
          <w:spacing w:val="-4"/>
          <w:rtl/>
        </w:rPr>
        <w:t>، مع أنه إذا تزوجها بهذا الشرط [صريحاً]</w:t>
      </w:r>
      <w:r>
        <w:rPr>
          <w:rStyle w:val="a7"/>
          <w:spacing w:val="-4"/>
          <w:rtl/>
        </w:rPr>
        <w:footnoteReference w:id="3514"/>
      </w:r>
      <w:r>
        <w:rPr>
          <w:rFonts w:hint="cs"/>
          <w:spacing w:val="-4"/>
          <w:rtl/>
        </w:rPr>
        <w:t xml:space="preserve"> لا يصح.</w:t>
      </w:r>
    </w:p>
    <w:p w:rsidR="00C10469" w:rsidRDefault="00C10469">
      <w:pPr>
        <w:rPr>
          <w:spacing w:val="10"/>
          <w:rtl/>
        </w:rPr>
      </w:pPr>
      <w:r>
        <w:rPr>
          <w:rFonts w:hint="cs"/>
          <w:spacing w:val="10"/>
          <w:rtl/>
        </w:rPr>
        <w:t xml:space="preserve">وقال قَاضي خان : </w:t>
      </w:r>
      <w:r>
        <w:rPr>
          <w:rFonts w:hint="eastAsia"/>
          <w:spacing w:val="10"/>
          <w:rtl/>
        </w:rPr>
        <w:t>«</w:t>
      </w:r>
      <w:r>
        <w:rPr>
          <w:rFonts w:hint="cs"/>
          <w:spacing w:val="10"/>
          <w:rtl/>
        </w:rPr>
        <w:t>الصحيح أنه إن كان بلفظ البيع لا يكون [رهنًا]</w:t>
      </w:r>
      <w:r>
        <w:rPr>
          <w:rStyle w:val="a7"/>
          <w:spacing w:val="10"/>
          <w:rtl/>
        </w:rPr>
        <w:footnoteReference w:id="3515"/>
      </w:r>
      <w:r>
        <w:rPr>
          <w:rFonts w:hint="cs"/>
          <w:spacing w:val="10"/>
          <w:rtl/>
        </w:rPr>
        <w:t>؛ لأنَّ كلاًّ منهما عقدٌ مستقل شرعًا، لكلٍّ منهما أحكام مستقلة؛ بل يكون بيعًا على مقتضى هذا الأصل.</w:t>
      </w:r>
    </w:p>
    <w:p w:rsidR="00C10469" w:rsidRDefault="00C10469" w:rsidP="00C10469">
      <w:pPr>
        <w:rPr>
          <w:rtl/>
        </w:rPr>
      </w:pPr>
      <w:r>
        <w:rPr>
          <w:rFonts w:hint="cs"/>
          <w:rtl/>
        </w:rPr>
        <w:t>وأما إذا قال البائع : بعتك بيعَ الوفاء، أو بيع الجائز - وعندهما</w:t>
      </w:r>
      <w:r>
        <w:rPr>
          <w:rFonts w:hint="cs"/>
          <w:vertAlign w:val="superscript"/>
          <w:rtl/>
        </w:rPr>
        <w:t>(</w:t>
      </w:r>
      <w:r>
        <w:rPr>
          <w:rStyle w:val="a7"/>
          <w:spacing w:val="2"/>
          <w:rtl/>
        </w:rPr>
        <w:footnoteReference w:id="3516"/>
      </w:r>
      <w:r>
        <w:rPr>
          <w:rFonts w:hint="cs"/>
          <w:vertAlign w:val="superscript"/>
          <w:rtl/>
        </w:rPr>
        <w:t>)</w:t>
      </w:r>
      <w:r>
        <w:rPr>
          <w:rFonts w:hint="cs"/>
          <w:rtl/>
        </w:rPr>
        <w:t xml:space="preserve"> : بيع غير لازم-: فإنه أيضا</w:t>
      </w:r>
      <w:r>
        <w:rPr>
          <w:rStyle w:val="a7"/>
          <w:spacing w:val="2"/>
          <w:rtl/>
        </w:rPr>
        <w:footnoteReference w:id="3517"/>
      </w:r>
      <w:r>
        <w:rPr>
          <w:rFonts w:hint="cs"/>
          <w:rtl/>
        </w:rPr>
        <w:t xml:space="preserve"> يفسده عملاً بزعمهما.</w:t>
      </w:r>
    </w:p>
    <w:p w:rsidR="00C10469" w:rsidRDefault="00C10469" w:rsidP="00C10469">
      <w:pPr>
        <w:rPr>
          <w:rtl/>
        </w:rPr>
      </w:pPr>
      <w:r>
        <w:rPr>
          <w:rFonts w:hint="cs"/>
          <w:rtl/>
        </w:rPr>
        <w:t>وإن ذُكر [البيع]</w:t>
      </w:r>
      <w:r>
        <w:rPr>
          <w:rStyle w:val="a7"/>
          <w:spacing w:val="-10"/>
          <w:rtl/>
        </w:rPr>
        <w:footnoteReference w:id="3518"/>
      </w:r>
      <w:r>
        <w:rPr>
          <w:rFonts w:hint="cs"/>
          <w:rtl/>
        </w:rPr>
        <w:t xml:space="preserve"> بغير شرط ثم ذكراه</w:t>
      </w:r>
      <w:r>
        <w:rPr>
          <w:rStyle w:val="a7"/>
          <w:spacing w:val="-10"/>
          <w:rtl/>
        </w:rPr>
        <w:footnoteReference w:id="3519"/>
      </w:r>
      <w:r>
        <w:rPr>
          <w:rFonts w:hint="cs"/>
          <w:rtl/>
        </w:rPr>
        <w:t xml:space="preserve"> على وجه الميعاد : جاز البيع؛ لخلوّه عن المُفسِد، ويلزم الوفاءُ به؛ لأن المواعيد قد [تكونُ]</w:t>
      </w:r>
      <w:r>
        <w:rPr>
          <w:rStyle w:val="a7"/>
          <w:spacing w:val="-10"/>
          <w:rtl/>
        </w:rPr>
        <w:footnoteReference w:id="3520"/>
      </w:r>
      <w:r>
        <w:rPr>
          <w:rFonts w:hint="cs"/>
          <w:rtl/>
        </w:rPr>
        <w:t xml:space="preserve"> لازمة، فيجعل  هذا  المـيعاد </w:t>
      </w:r>
      <w:r>
        <w:rPr>
          <w:rFonts w:hint="cs"/>
          <w:rtl/>
        </w:rPr>
        <w:lastRenderedPageBreak/>
        <w:t>لازماً</w:t>
      </w:r>
      <w:r>
        <w:rPr>
          <w:rStyle w:val="a7"/>
          <w:spacing w:val="-10"/>
          <w:rtl/>
        </w:rPr>
        <w:footnoteReference w:id="3521"/>
      </w:r>
      <w:r>
        <w:rPr>
          <w:rFonts w:hint="cs"/>
          <w:rtl/>
        </w:rPr>
        <w:t xml:space="preserve"> </w:t>
      </w:r>
    </w:p>
    <w:p w:rsidR="00C10469" w:rsidRDefault="00C10469">
      <w:pPr>
        <w:ind w:firstLine="0"/>
        <w:rPr>
          <w:rtl/>
        </w:rPr>
      </w:pPr>
      <w:r>
        <w:rPr>
          <w:rFonts w:hint="cs"/>
          <w:rtl/>
        </w:rPr>
        <w:t>لـحـاجــة النــاس</w:t>
      </w:r>
      <w:r>
        <w:rPr>
          <w:rFonts w:hint="eastAsia"/>
          <w:rtl/>
        </w:rPr>
        <w:t>»</w:t>
      </w:r>
      <w:r>
        <w:rPr>
          <w:rFonts w:hint="cs"/>
          <w:vertAlign w:val="superscript"/>
          <w:rtl/>
        </w:rPr>
        <w:t>(</w:t>
      </w:r>
      <w:r>
        <w:rPr>
          <w:rStyle w:val="a7"/>
          <w:spacing w:val="-10"/>
          <w:rtl/>
        </w:rPr>
        <w:footnoteReference w:id="3522"/>
      </w:r>
      <w:r>
        <w:rPr>
          <w:rFonts w:hint="cs"/>
          <w:vertAlign w:val="superscript"/>
          <w:rtl/>
        </w:rPr>
        <w:t>)</w:t>
      </w:r>
      <w:r>
        <w:rPr>
          <w:rFonts w:hint="cs"/>
          <w:rtl/>
        </w:rPr>
        <w:t>.</w:t>
      </w:r>
    </w:p>
    <w:p w:rsidR="00C10469" w:rsidRDefault="00C10469">
      <w:pPr>
        <w:rPr>
          <w:spacing w:val="-4"/>
          <w:rtl/>
        </w:rPr>
      </w:pPr>
      <w:r>
        <w:rPr>
          <w:rFonts w:hint="cs"/>
          <w:b/>
          <w:bCs/>
          <w:spacing w:val="-4"/>
          <w:rtl/>
        </w:rPr>
        <w:t xml:space="preserve">أقول : </w:t>
      </w:r>
      <w:r>
        <w:rPr>
          <w:rFonts w:hint="cs"/>
          <w:spacing w:val="-4"/>
          <w:rtl/>
        </w:rPr>
        <w:t>يُتوهم أنّ هذا الأصل مخالف لما</w:t>
      </w:r>
      <w:r>
        <w:rPr>
          <w:rStyle w:val="a7"/>
          <w:spacing w:val="-4"/>
          <w:rtl/>
        </w:rPr>
        <w:footnoteReference w:id="3523"/>
      </w:r>
      <w:r>
        <w:rPr>
          <w:rFonts w:hint="cs"/>
          <w:spacing w:val="-4"/>
          <w:rtl/>
        </w:rPr>
        <w:t xml:space="preserve"> قال القوم : </w:t>
      </w:r>
      <w:r>
        <w:rPr>
          <w:rFonts w:hint="eastAsia"/>
          <w:spacing w:val="-4"/>
          <w:rtl/>
        </w:rPr>
        <w:t>«</w:t>
      </w:r>
      <w:r>
        <w:rPr>
          <w:rFonts w:hint="cs"/>
          <w:spacing w:val="-4"/>
          <w:rtl/>
        </w:rPr>
        <w:t>إن العبرة في التصرفات للمقاصد والمعاني، لا</w:t>
      </w:r>
      <w:r>
        <w:rPr>
          <w:rStyle w:val="a7"/>
          <w:spacing w:val="-4"/>
          <w:rtl/>
        </w:rPr>
        <w:footnoteReference w:id="3524"/>
      </w:r>
      <w:r>
        <w:rPr>
          <w:rFonts w:hint="cs"/>
          <w:spacing w:val="-4"/>
          <w:rtl/>
        </w:rPr>
        <w:t xml:space="preserve"> للألفاظ والمباني</w:t>
      </w:r>
      <w:r>
        <w:rPr>
          <w:rFonts w:hint="eastAsia"/>
          <w:spacing w:val="-4"/>
          <w:rtl/>
        </w:rPr>
        <w:t>»</w:t>
      </w:r>
      <w:r>
        <w:rPr>
          <w:rFonts w:hint="cs"/>
          <w:spacing w:val="-4"/>
          <w:vertAlign w:val="superscript"/>
          <w:rtl/>
        </w:rPr>
        <w:t>(</w:t>
      </w:r>
      <w:r>
        <w:rPr>
          <w:rStyle w:val="a7"/>
          <w:spacing w:val="-4"/>
          <w:rtl/>
        </w:rPr>
        <w:footnoteReference w:id="3525"/>
      </w:r>
      <w:r>
        <w:rPr>
          <w:rFonts w:hint="cs"/>
          <w:spacing w:val="-4"/>
          <w:vertAlign w:val="superscript"/>
          <w:rtl/>
        </w:rPr>
        <w:t>)</w:t>
      </w:r>
      <w:r>
        <w:rPr>
          <w:rFonts w:hint="cs"/>
          <w:spacing w:val="-4"/>
          <w:rtl/>
        </w:rPr>
        <w:t>.</w:t>
      </w:r>
    </w:p>
    <w:p w:rsidR="00C10469" w:rsidRDefault="00C10469">
      <w:pPr>
        <w:rPr>
          <w:spacing w:val="-4"/>
          <w:rtl/>
        </w:rPr>
      </w:pPr>
      <w:r>
        <w:rPr>
          <w:rFonts w:hint="cs"/>
          <w:b/>
          <w:bCs/>
          <w:spacing w:val="-4"/>
          <w:rtl/>
        </w:rPr>
        <w:t>والجواب</w:t>
      </w:r>
      <w:r>
        <w:rPr>
          <w:rFonts w:hint="cs"/>
          <w:spacing w:val="-4"/>
          <w:rtl/>
        </w:rPr>
        <w:t xml:space="preserve"> :الاعتبارُ للمعاني عند قرينةٍ [صارفة]</w:t>
      </w:r>
      <w:r>
        <w:rPr>
          <w:rStyle w:val="a7"/>
          <w:spacing w:val="-4"/>
          <w:rtl/>
        </w:rPr>
        <w:footnoteReference w:id="3526"/>
      </w:r>
      <w:r>
        <w:rPr>
          <w:rFonts w:hint="cs"/>
          <w:spacing w:val="-4"/>
          <w:rtl/>
        </w:rPr>
        <w:t xml:space="preserve"> عن إرادة اللفظ</w:t>
      </w:r>
      <w:r>
        <w:rPr>
          <w:rStyle w:val="a7"/>
          <w:spacing w:val="-4"/>
          <w:rtl/>
        </w:rPr>
        <w:footnoteReference w:id="3527"/>
      </w:r>
      <w:r>
        <w:rPr>
          <w:rFonts w:hint="cs"/>
          <w:spacing w:val="-4"/>
          <w:rtl/>
        </w:rPr>
        <w:t>، كما إذا شرطا براءة الأصيل في الكفالة [تكون]</w:t>
      </w:r>
      <w:r>
        <w:rPr>
          <w:rStyle w:val="a7"/>
          <w:spacing w:val="-4"/>
          <w:rtl/>
        </w:rPr>
        <w:footnoteReference w:id="3528"/>
      </w:r>
      <w:r>
        <w:rPr>
          <w:rFonts w:hint="cs"/>
          <w:spacing w:val="-4"/>
          <w:rtl/>
        </w:rPr>
        <w:t xml:space="preserve"> حوالة بقرينة براءة الأصيل</w:t>
      </w:r>
      <w:r>
        <w:rPr>
          <w:rFonts w:hint="cs"/>
          <w:spacing w:val="-4"/>
          <w:vertAlign w:val="superscript"/>
          <w:rtl/>
        </w:rPr>
        <w:t>(</w:t>
      </w:r>
      <w:r>
        <w:rPr>
          <w:rStyle w:val="a7"/>
          <w:spacing w:val="-4"/>
          <w:rtl/>
        </w:rPr>
        <w:footnoteReference w:id="3529"/>
      </w:r>
      <w:r>
        <w:rPr>
          <w:rFonts w:hint="cs"/>
          <w:spacing w:val="-4"/>
          <w:vertAlign w:val="superscript"/>
          <w:rtl/>
        </w:rPr>
        <w:t>)</w:t>
      </w:r>
      <w:r>
        <w:rPr>
          <w:rFonts w:hint="cs"/>
          <w:spacing w:val="-4"/>
          <w:rtl/>
        </w:rPr>
        <w:t>.</w:t>
      </w:r>
    </w:p>
    <w:p w:rsidR="00C10469" w:rsidRDefault="00C10469">
      <w:pPr>
        <w:rPr>
          <w:spacing w:val="-4"/>
          <w:rtl/>
        </w:rPr>
      </w:pPr>
      <w:r>
        <w:rPr>
          <w:rFonts w:hint="cs"/>
          <w:spacing w:val="-4"/>
          <w:rtl/>
        </w:rPr>
        <w:t xml:space="preserve"> وهذا يكون جوابًا لمن قال : إن بيعَ الوفاء رهنٌ مطلقًا.</w:t>
      </w:r>
    </w:p>
    <w:p w:rsidR="00C10469" w:rsidRDefault="00C10469">
      <w:pPr>
        <w:rPr>
          <w:spacing w:val="-4"/>
          <w:rtl/>
        </w:rPr>
      </w:pPr>
    </w:p>
    <w:p w:rsidR="00C10469" w:rsidRDefault="00C10469">
      <w:pPr>
        <w:rPr>
          <w:spacing w:val="-4"/>
          <w:rtl/>
        </w:rPr>
      </w:pPr>
    </w:p>
    <w:p w:rsidR="00C10469" w:rsidRDefault="00C10469">
      <w:pPr>
        <w:rPr>
          <w:spacing w:val="-4"/>
          <w:rtl/>
        </w:rPr>
      </w:pPr>
    </w:p>
    <w:p w:rsidR="00C10469" w:rsidRPr="00BB6BDB" w:rsidRDefault="00C10469">
      <w:pPr>
        <w:jc w:val="center"/>
        <w:rPr>
          <w:spacing w:val="-4"/>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4"/>
          <w:rtl/>
        </w:rPr>
        <w:sectPr w:rsidR="00C10469" w:rsidSect="00C10469">
          <w:headerReference w:type="default" r:id="rId22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B5957" w:rsidRDefault="00C10469">
      <w:pPr>
        <w:pStyle w:val="a9"/>
        <w:rPr>
          <w:rFonts w:cs="AL-Mateen"/>
        </w:rPr>
      </w:pPr>
      <w:r w:rsidRPr="003B5957">
        <w:rPr>
          <w:rFonts w:cs="AL-Mateen"/>
          <w:rtl/>
        </w:rPr>
        <w:lastRenderedPageBreak/>
        <w:t xml:space="preserve">[ </w:t>
      </w:r>
      <w:r w:rsidRPr="003B5957">
        <w:rPr>
          <w:rFonts w:cs="AL-Mateen" w:hint="eastAsia"/>
          <w:rtl/>
        </w:rPr>
        <w:t>الـقـاعـدة</w:t>
      </w:r>
      <w:r w:rsidRPr="003B5957">
        <w:rPr>
          <w:rFonts w:cs="AL-Mateen"/>
          <w:rtl/>
        </w:rPr>
        <w:t xml:space="preserve"> الـس</w:t>
      </w:r>
      <w:r w:rsidRPr="003B5957">
        <w:rPr>
          <w:rFonts w:cs="AL-Mateen" w:hint="cs"/>
          <w:rtl/>
        </w:rPr>
        <w:t>اب</w:t>
      </w:r>
      <w:r w:rsidRPr="003B5957">
        <w:rPr>
          <w:rFonts w:cs="AL-Mateen"/>
          <w:rtl/>
        </w:rPr>
        <w:t>ـعـة والــسـ</w:t>
      </w:r>
      <w:r w:rsidRPr="003B5957">
        <w:rPr>
          <w:rFonts w:cs="AL-Mateen" w:hint="cs"/>
          <w:rtl/>
        </w:rPr>
        <w:t>ت</w:t>
      </w:r>
      <w:r w:rsidRPr="003B5957">
        <w:rPr>
          <w:rFonts w:cs="AL-Mateen"/>
          <w:rtl/>
        </w:rPr>
        <w:t>ـون</w:t>
      </w:r>
      <w:r w:rsidRPr="003B5957">
        <w:rPr>
          <w:rFonts w:cs="AL-Mateen" w:hint="cs"/>
          <w:rtl/>
        </w:rPr>
        <w:t xml:space="preserve"> بعد المائة</w:t>
      </w:r>
      <w:r w:rsidRPr="003B5957">
        <w:rPr>
          <w:rFonts w:cs="AL-Mateen"/>
          <w:rtl/>
        </w:rPr>
        <w:t xml:space="preserve"> ]</w:t>
      </w:r>
    </w:p>
    <w:p w:rsidR="00C10469" w:rsidRDefault="00C10469">
      <w:pPr>
        <w:pStyle w:val="aa"/>
        <w:rPr>
          <w:bCs w:val="0"/>
          <w:rtl/>
        </w:rPr>
      </w:pPr>
      <w:r>
        <w:rPr>
          <w:rFonts w:hint="cs"/>
          <w:bCs w:val="0"/>
          <w:rtl/>
        </w:rPr>
        <w:t>العُرْفُ قاضٍ على الوَضْعِ</w:t>
      </w:r>
      <w:r>
        <w:rPr>
          <w:rFonts w:cs="Traditional Arabic" w:hint="cs"/>
          <w:bCs w:val="0"/>
          <w:vertAlign w:val="superscript"/>
          <w:rtl/>
          <w:lang w:val="en-GB"/>
        </w:rPr>
        <w:t>(</w:t>
      </w:r>
      <w:r>
        <w:rPr>
          <w:rStyle w:val="a7"/>
          <w:bCs/>
          <w:rtl/>
          <w:lang w:val="en-GB"/>
        </w:rPr>
        <w:footnoteReference w:id="3530"/>
      </w:r>
      <w:r>
        <w:rPr>
          <w:rFonts w:cs="Traditional Arabic" w:hint="cs"/>
          <w:bCs w:val="0"/>
          <w:vertAlign w:val="superscript"/>
          <w:rtl/>
          <w:lang w:val="en-GB"/>
        </w:rPr>
        <w:t>)</w:t>
      </w:r>
      <w:r>
        <w:rPr>
          <w:rFonts w:hint="cs"/>
          <w:bCs w:val="0"/>
          <w:rtl/>
        </w:rPr>
        <w:t xml:space="preserve"> :</w:t>
      </w:r>
    </w:p>
    <w:p w:rsidR="00C10469" w:rsidRDefault="00C10469">
      <w:pPr>
        <w:rPr>
          <w:rtl/>
        </w:rPr>
      </w:pPr>
      <w:r>
        <w:rPr>
          <w:rFonts w:hint="cs"/>
          <w:rtl/>
        </w:rPr>
        <w:t>أي راجح على الوضع؛ ولهذا قالوا الوكيل بالتّقاضي لا يملك القبض، مع أن التقاضي يدلّ على القبض بالوضع -يقال</w:t>
      </w:r>
      <w:r>
        <w:rPr>
          <w:rStyle w:val="a7"/>
          <w:rtl/>
        </w:rPr>
        <w:footnoteReference w:id="3531"/>
      </w:r>
      <w:r>
        <w:rPr>
          <w:rFonts w:hint="cs"/>
          <w:rtl/>
        </w:rPr>
        <w:t xml:space="preserve"> : [اقتضيتُ]</w:t>
      </w:r>
      <w:r>
        <w:rPr>
          <w:rStyle w:val="a7"/>
          <w:rtl/>
        </w:rPr>
        <w:footnoteReference w:id="3532"/>
      </w:r>
      <w:r>
        <w:rPr>
          <w:rFonts w:hint="cs"/>
          <w:rtl/>
        </w:rPr>
        <w:t xml:space="preserve"> حقي، أي قبضتُهُ، فإنه مطاوع قضى- لكن العرف</w:t>
      </w:r>
      <w:r>
        <w:rPr>
          <w:rStyle w:val="a7"/>
          <w:rtl/>
        </w:rPr>
        <w:footnoteReference w:id="3533"/>
      </w:r>
      <w:r>
        <w:rPr>
          <w:rFonts w:hint="cs"/>
          <w:rtl/>
        </w:rPr>
        <w:t xml:space="preserve"> بخلافه، فيرجّح</w:t>
      </w:r>
      <w:r>
        <w:rPr>
          <w:rFonts w:hint="cs"/>
          <w:vertAlign w:val="superscript"/>
          <w:rtl/>
        </w:rPr>
        <w:t>(</w:t>
      </w:r>
      <w:r>
        <w:rPr>
          <w:rStyle w:val="a7"/>
          <w:rtl/>
        </w:rPr>
        <w:footnoteReference w:id="3534"/>
      </w:r>
      <w:r>
        <w:rPr>
          <w:rFonts w:hint="cs"/>
          <w:vertAlign w:val="superscript"/>
          <w:rtl/>
        </w:rPr>
        <w:t>)</w:t>
      </w:r>
      <w:r>
        <w:rPr>
          <w:rFonts w:hint="cs"/>
          <w:rtl/>
        </w:rPr>
        <w:t xml:space="preserve">. </w:t>
      </w:r>
    </w:p>
    <w:p w:rsidR="00C10469" w:rsidRDefault="00C10469">
      <w:pPr>
        <w:rPr>
          <w:spacing w:val="-6"/>
          <w:rtl/>
        </w:rPr>
      </w:pPr>
      <w:r>
        <w:rPr>
          <w:rFonts w:hint="cs"/>
          <w:spacing w:val="-6"/>
          <w:rtl/>
        </w:rPr>
        <w:t>والفتوى على أن الوكيل بالتقاضي لا يملك القبض؛ لظهور الخيانة في الوكلاء</w:t>
      </w:r>
      <w:r>
        <w:rPr>
          <w:rFonts w:hint="cs"/>
          <w:spacing w:val="-6"/>
          <w:vertAlign w:val="superscript"/>
          <w:rtl/>
        </w:rPr>
        <w:t>(</w:t>
      </w:r>
      <w:r>
        <w:rPr>
          <w:rStyle w:val="a7"/>
          <w:spacing w:val="-6"/>
          <w:rtl/>
        </w:rPr>
        <w:footnoteReference w:id="3535"/>
      </w:r>
      <w:r>
        <w:rPr>
          <w:rFonts w:hint="cs"/>
          <w:spacing w:val="-6"/>
          <w:vertAlign w:val="superscript"/>
          <w:rtl/>
        </w:rPr>
        <w:t>)</w:t>
      </w:r>
      <w:r>
        <w:rPr>
          <w:rFonts w:hint="cs"/>
          <w:spacing w:val="-6"/>
          <w:rtl/>
        </w:rPr>
        <w:t>.</w:t>
      </w:r>
    </w:p>
    <w:p w:rsidR="00C10469" w:rsidRDefault="00C10469">
      <w:pPr>
        <w:rPr>
          <w:spacing w:val="-6"/>
          <w:rtl/>
        </w:rPr>
      </w:pPr>
    </w:p>
    <w:p w:rsidR="00C10469" w:rsidRDefault="00C10469">
      <w:pPr>
        <w:rPr>
          <w:spacing w:val="-6"/>
          <w:rtl/>
        </w:rPr>
      </w:pPr>
    </w:p>
    <w:p w:rsidR="00C10469" w:rsidRDefault="00C10469">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6"/>
          <w:rtl/>
        </w:rPr>
        <w:sectPr w:rsidR="00C10469" w:rsidSect="00C10469">
          <w:headerReference w:type="default" r:id="rId22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852B7" w:rsidRDefault="00C10469">
      <w:pPr>
        <w:pStyle w:val="a9"/>
        <w:rPr>
          <w:rFonts w:cs="AL-Mateen"/>
        </w:rPr>
      </w:pPr>
      <w:r w:rsidRPr="000852B7">
        <w:rPr>
          <w:rFonts w:cs="AL-Mateen"/>
          <w:rtl/>
        </w:rPr>
        <w:lastRenderedPageBreak/>
        <w:t xml:space="preserve">[ </w:t>
      </w:r>
      <w:r w:rsidRPr="000852B7">
        <w:rPr>
          <w:rFonts w:cs="AL-Mateen" w:hint="eastAsia"/>
          <w:rtl/>
        </w:rPr>
        <w:t>الـقـاعـدة</w:t>
      </w:r>
      <w:r w:rsidRPr="000852B7">
        <w:rPr>
          <w:rFonts w:cs="AL-Mateen"/>
          <w:rtl/>
        </w:rPr>
        <w:t xml:space="preserve"> الـ</w:t>
      </w:r>
      <w:r w:rsidRPr="000852B7">
        <w:rPr>
          <w:rFonts w:cs="AL-Mateen" w:hint="cs"/>
          <w:rtl/>
        </w:rPr>
        <w:t>ث</w:t>
      </w:r>
      <w:r w:rsidRPr="000852B7">
        <w:rPr>
          <w:rFonts w:cs="AL-Mateen"/>
          <w:rtl/>
        </w:rPr>
        <w:t>ـا</w:t>
      </w:r>
      <w:r w:rsidRPr="000852B7">
        <w:rPr>
          <w:rFonts w:cs="AL-Mateen" w:hint="cs"/>
          <w:rtl/>
        </w:rPr>
        <w:t>من</w:t>
      </w:r>
      <w:r w:rsidRPr="000852B7">
        <w:rPr>
          <w:rFonts w:cs="AL-Mateen"/>
          <w:rtl/>
        </w:rPr>
        <w:t>ـة والــسـ</w:t>
      </w:r>
      <w:r w:rsidRPr="000852B7">
        <w:rPr>
          <w:rFonts w:cs="AL-Mateen" w:hint="cs"/>
          <w:rtl/>
        </w:rPr>
        <w:t>ت</w:t>
      </w:r>
      <w:r w:rsidRPr="000852B7">
        <w:rPr>
          <w:rFonts w:cs="AL-Mateen"/>
          <w:rtl/>
        </w:rPr>
        <w:t xml:space="preserve">ـون </w:t>
      </w:r>
      <w:r w:rsidRPr="000852B7">
        <w:rPr>
          <w:rFonts w:cs="AL-Mateen" w:hint="cs"/>
          <w:rtl/>
        </w:rPr>
        <w:t>بعد المائة</w:t>
      </w:r>
      <w:r w:rsidRPr="000852B7">
        <w:rPr>
          <w:rFonts w:cs="AL-Mateen"/>
          <w:rtl/>
        </w:rPr>
        <w:t>]</w:t>
      </w:r>
    </w:p>
    <w:p w:rsidR="00C10469" w:rsidRDefault="00C10469">
      <w:pPr>
        <w:pStyle w:val="aa"/>
        <w:rPr>
          <w:bCs w:val="0"/>
          <w:rtl/>
        </w:rPr>
      </w:pPr>
      <w:r>
        <w:rPr>
          <w:rFonts w:hint="cs"/>
          <w:bCs w:val="0"/>
          <w:rtl/>
        </w:rPr>
        <w:t>العَقْدُ مَتَى انْفَسَخَ بقضاءِ القاضِي لا يَعُودُ إلاَّ بِتَجْدِيدِهِ</w:t>
      </w:r>
      <w:r>
        <w:rPr>
          <w:rStyle w:val="a7"/>
          <w:bCs/>
          <w:rtl/>
        </w:rPr>
        <w:footnoteReference w:id="3536"/>
      </w:r>
      <w:r>
        <w:rPr>
          <w:rFonts w:cs="Traditional Arabic" w:hint="cs"/>
          <w:bCs w:val="0"/>
          <w:vertAlign w:val="superscript"/>
          <w:rtl/>
          <w:lang w:val="en-GB"/>
        </w:rPr>
        <w:t>(</w:t>
      </w:r>
      <w:r>
        <w:rPr>
          <w:rStyle w:val="a7"/>
          <w:bCs/>
          <w:rtl/>
          <w:lang w:val="en-GB"/>
        </w:rPr>
        <w:footnoteReference w:id="3537"/>
      </w:r>
      <w:r>
        <w:rPr>
          <w:rFonts w:cs="Traditional Arabic" w:hint="cs"/>
          <w:bCs w:val="0"/>
          <w:vertAlign w:val="superscript"/>
          <w:rtl/>
          <w:lang w:val="en-GB"/>
        </w:rPr>
        <w:t>)</w:t>
      </w:r>
      <w:r>
        <w:rPr>
          <w:rFonts w:hint="cs"/>
          <w:bCs w:val="0"/>
          <w:rtl/>
        </w:rPr>
        <w:t xml:space="preserve"> :</w:t>
      </w:r>
    </w:p>
    <w:p w:rsidR="00C10469" w:rsidRDefault="00C10469">
      <w:pPr>
        <w:rPr>
          <w:rtl/>
        </w:rPr>
      </w:pPr>
      <w:r>
        <w:rPr>
          <w:rFonts w:hint="cs"/>
          <w:b/>
          <w:bCs/>
          <w:rtl/>
        </w:rPr>
        <w:t>ومن فروع</w:t>
      </w:r>
      <w:r>
        <w:rPr>
          <w:rFonts w:hint="cs"/>
          <w:rtl/>
        </w:rPr>
        <w:t xml:space="preserve"> هذا الأصل : ادَّعى اثنان [عينًا]</w:t>
      </w:r>
      <w:r>
        <w:rPr>
          <w:rStyle w:val="a7"/>
          <w:rtl/>
        </w:rPr>
        <w:footnoteReference w:id="3538"/>
      </w:r>
      <w:r>
        <w:rPr>
          <w:rFonts w:hint="cs"/>
          <w:rtl/>
        </w:rPr>
        <w:t>، كلٌّ منهما [اشتراها]</w:t>
      </w:r>
      <w:r>
        <w:rPr>
          <w:rStyle w:val="a7"/>
          <w:rtl/>
        </w:rPr>
        <w:footnoteReference w:id="3539"/>
      </w:r>
      <w:r>
        <w:rPr>
          <w:rFonts w:hint="cs"/>
          <w:rtl/>
        </w:rPr>
        <w:t xml:space="preserve"> منه</w:t>
      </w:r>
      <w:r>
        <w:rPr>
          <w:rFonts w:hint="cs"/>
          <w:vertAlign w:val="superscript"/>
          <w:rtl/>
        </w:rPr>
        <w:t>(</w:t>
      </w:r>
      <w:r>
        <w:rPr>
          <w:rStyle w:val="a7"/>
          <w:rtl/>
        </w:rPr>
        <w:footnoteReference w:id="3540"/>
      </w:r>
      <w:r>
        <w:rPr>
          <w:rFonts w:hint="cs"/>
          <w:vertAlign w:val="superscript"/>
          <w:rtl/>
        </w:rPr>
        <w:t>)</w:t>
      </w:r>
      <w:r>
        <w:rPr>
          <w:rFonts w:hint="cs"/>
          <w:rtl/>
        </w:rPr>
        <w:t xml:space="preserve"> [وأقاما]</w:t>
      </w:r>
      <w:r>
        <w:rPr>
          <w:rStyle w:val="a7"/>
          <w:rtl/>
        </w:rPr>
        <w:footnoteReference w:id="3541"/>
      </w:r>
      <w:r>
        <w:rPr>
          <w:rFonts w:hint="cs"/>
          <w:rtl/>
        </w:rPr>
        <w:t xml:space="preserve"> بينة</w:t>
      </w:r>
      <w:r>
        <w:rPr>
          <w:rStyle w:val="a7"/>
          <w:rtl/>
        </w:rPr>
        <w:footnoteReference w:id="3542"/>
      </w:r>
      <w:r>
        <w:rPr>
          <w:rFonts w:hint="cs"/>
          <w:rtl/>
        </w:rPr>
        <w:t xml:space="preserve"> بلا توقيت، فكلٌّ منهما</w:t>
      </w:r>
      <w:r>
        <w:rPr>
          <w:rStyle w:val="a7"/>
          <w:rtl/>
        </w:rPr>
        <w:footnoteReference w:id="3543"/>
      </w:r>
      <w:r>
        <w:rPr>
          <w:rFonts w:hint="cs"/>
          <w:rtl/>
        </w:rPr>
        <w:t xml:space="preserve"> بالخيار :</w:t>
      </w:r>
    </w:p>
    <w:p w:rsidR="00C10469" w:rsidRDefault="00C10469" w:rsidP="00C10469">
      <w:pPr>
        <w:ind w:left="989" w:hanging="422"/>
        <w:rPr>
          <w:rtl/>
        </w:rPr>
      </w:pPr>
      <w:r>
        <w:rPr>
          <w:rtl/>
        </w:rPr>
        <w:t>•</w:t>
      </w:r>
      <w:r>
        <w:rPr>
          <w:rFonts w:hint="cs"/>
          <w:rtl/>
        </w:rPr>
        <w:t xml:space="preserve">  إن شاء أخذ نصف المدعَى بنصف ثمنٍ شهَّد به بينةً</w:t>
      </w:r>
      <w:r>
        <w:rPr>
          <w:rFonts w:hint="cs"/>
          <w:vertAlign w:val="superscript"/>
          <w:rtl/>
        </w:rPr>
        <w:t>(</w:t>
      </w:r>
      <w:r>
        <w:rPr>
          <w:rStyle w:val="a7"/>
          <w:rtl/>
        </w:rPr>
        <w:footnoteReference w:id="3544"/>
      </w:r>
      <w:r>
        <w:rPr>
          <w:rFonts w:hint="cs"/>
          <w:vertAlign w:val="superscript"/>
          <w:rtl/>
        </w:rPr>
        <w:t>)</w:t>
      </w:r>
      <w:r>
        <w:rPr>
          <w:rFonts w:hint="cs"/>
          <w:rtl/>
        </w:rPr>
        <w:t>، ورجع على البائع بنصف ثمنه.</w:t>
      </w:r>
    </w:p>
    <w:p w:rsidR="00C10469" w:rsidRDefault="00C10469" w:rsidP="00C10469">
      <w:pPr>
        <w:ind w:left="989" w:hanging="422"/>
        <w:rPr>
          <w:rtl/>
        </w:rPr>
      </w:pPr>
      <w:r>
        <w:rPr>
          <w:rtl/>
        </w:rPr>
        <w:t>•</w:t>
      </w:r>
      <w:r>
        <w:rPr>
          <w:rFonts w:hint="cs"/>
          <w:rtl/>
        </w:rPr>
        <w:t xml:space="preserve">  وإن شاء ترك؛ لأن شرط العقد</w:t>
      </w:r>
      <w:r>
        <w:rPr>
          <w:rStyle w:val="a7"/>
          <w:rtl/>
        </w:rPr>
        <w:footnoteReference w:id="3545"/>
      </w:r>
      <w:r>
        <w:rPr>
          <w:rFonts w:hint="cs"/>
          <w:rtl/>
        </w:rPr>
        <w:t xml:space="preserve"> الذي يدّعيه (وهو اتحاد الصفقة) قد تغيّر عليه، ولعل</w:t>
      </w:r>
      <w:r>
        <w:rPr>
          <w:rStyle w:val="a7"/>
          <w:rtl/>
        </w:rPr>
        <w:footnoteReference w:id="3546"/>
      </w:r>
      <w:r>
        <w:rPr>
          <w:rFonts w:hint="cs"/>
          <w:rtl/>
        </w:rPr>
        <w:t xml:space="preserve"> رغبته في تملك الكل، فلم يحصل.</w:t>
      </w:r>
    </w:p>
    <w:p w:rsidR="00C10469" w:rsidRDefault="00C10469">
      <w:pPr>
        <w:rPr>
          <w:rtl/>
        </w:rPr>
      </w:pPr>
      <w:r>
        <w:rPr>
          <w:rFonts w:hint="cs"/>
          <w:rtl/>
        </w:rPr>
        <w:lastRenderedPageBreak/>
        <w:t>ولو ترك أحَدُهما بعد القضاء لم يأخذ الآخرُ كلها</w:t>
      </w:r>
      <w:r>
        <w:rPr>
          <w:rStyle w:val="a7"/>
          <w:rtl/>
        </w:rPr>
        <w:footnoteReference w:id="3547"/>
      </w:r>
      <w:r>
        <w:rPr>
          <w:rFonts w:hint="cs"/>
          <w:rtl/>
        </w:rPr>
        <w:t xml:space="preserve"> إلا بتجديد العقد، على مقتضى هذا [الأصل]</w:t>
      </w:r>
      <w:r>
        <w:rPr>
          <w:rStyle w:val="a7"/>
          <w:rtl/>
        </w:rPr>
        <w:footnoteReference w:id="3548"/>
      </w:r>
      <w:r>
        <w:rPr>
          <w:rFonts w:hint="cs"/>
          <w:vertAlign w:val="superscript"/>
          <w:rtl/>
        </w:rPr>
        <w:t>(</w:t>
      </w:r>
      <w:r>
        <w:rPr>
          <w:rStyle w:val="a7"/>
          <w:rtl/>
        </w:rPr>
        <w:footnoteReference w:id="3549"/>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2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B137F" w:rsidRDefault="00C10469">
      <w:pPr>
        <w:pStyle w:val="a9"/>
        <w:rPr>
          <w:rFonts w:cs="AL-Mateen"/>
        </w:rPr>
      </w:pPr>
      <w:r w:rsidRPr="000B137F">
        <w:rPr>
          <w:rFonts w:cs="AL-Mateen"/>
          <w:rtl/>
        </w:rPr>
        <w:lastRenderedPageBreak/>
        <w:t xml:space="preserve">[ </w:t>
      </w:r>
      <w:r w:rsidRPr="000B137F">
        <w:rPr>
          <w:rFonts w:cs="AL-Mateen" w:hint="eastAsia"/>
          <w:rtl/>
        </w:rPr>
        <w:t>الـقـاعـدة</w:t>
      </w:r>
      <w:r w:rsidRPr="000B137F">
        <w:rPr>
          <w:rFonts w:cs="AL-Mateen"/>
          <w:rtl/>
        </w:rPr>
        <w:t xml:space="preserve"> الـتـاسـعـة والــسـ</w:t>
      </w:r>
      <w:r w:rsidRPr="000B137F">
        <w:rPr>
          <w:rFonts w:cs="AL-Mateen" w:hint="cs"/>
          <w:rtl/>
        </w:rPr>
        <w:t>ت</w:t>
      </w:r>
      <w:r w:rsidRPr="000B137F">
        <w:rPr>
          <w:rFonts w:cs="AL-Mateen"/>
          <w:rtl/>
        </w:rPr>
        <w:t xml:space="preserve">ـون </w:t>
      </w:r>
      <w:r w:rsidRPr="000B137F">
        <w:rPr>
          <w:rFonts w:cs="AL-Mateen" w:hint="cs"/>
          <w:rtl/>
        </w:rPr>
        <w:t>بعد المائة</w:t>
      </w:r>
      <w:r w:rsidRPr="000B137F">
        <w:rPr>
          <w:rFonts w:cs="AL-Mateen"/>
          <w:rtl/>
        </w:rPr>
        <w:t>]</w:t>
      </w:r>
    </w:p>
    <w:p w:rsidR="00C10469" w:rsidRDefault="00C10469">
      <w:pPr>
        <w:pStyle w:val="aa"/>
        <w:rPr>
          <w:bCs w:val="0"/>
          <w:rtl/>
        </w:rPr>
      </w:pPr>
      <w:r>
        <w:rPr>
          <w:rFonts w:hint="cs"/>
          <w:bCs w:val="0"/>
          <w:rtl/>
        </w:rPr>
        <w:t>عَقْدُ الرّهنِ تبرُّعٌ مِنْ جَانِبِ الرَّاهِنِ</w:t>
      </w:r>
      <w:r>
        <w:rPr>
          <w:rFonts w:cs="Traditional Arabic" w:hint="cs"/>
          <w:bCs w:val="0"/>
          <w:vertAlign w:val="superscript"/>
          <w:rtl/>
          <w:lang w:val="en-GB"/>
        </w:rPr>
        <w:t>(</w:t>
      </w:r>
      <w:r>
        <w:rPr>
          <w:rStyle w:val="a7"/>
          <w:bCs/>
          <w:rtl/>
          <w:lang w:val="en-GB"/>
        </w:rPr>
        <w:footnoteReference w:id="3550"/>
      </w:r>
      <w:r>
        <w:rPr>
          <w:rFonts w:cs="Traditional Arabic" w:hint="cs"/>
          <w:bCs w:val="0"/>
          <w:vertAlign w:val="superscript"/>
          <w:rtl/>
          <w:lang w:val="en-GB"/>
        </w:rPr>
        <w:t>)</w:t>
      </w:r>
      <w:r>
        <w:rPr>
          <w:rFonts w:hint="cs"/>
          <w:bCs w:val="0"/>
          <w:rtl/>
        </w:rPr>
        <w:t xml:space="preserve"> : </w:t>
      </w:r>
    </w:p>
    <w:p w:rsidR="00C10469" w:rsidRDefault="00C10469">
      <w:pPr>
        <w:rPr>
          <w:rtl/>
        </w:rPr>
      </w:pPr>
      <w:r>
        <w:rPr>
          <w:rFonts w:hint="cs"/>
          <w:rtl/>
        </w:rPr>
        <w:t>فإذا اشترى على أن يرهن</w:t>
      </w:r>
      <w:r>
        <w:rPr>
          <w:rStyle w:val="a7"/>
          <w:rtl/>
        </w:rPr>
        <w:footnoteReference w:id="3551"/>
      </w:r>
      <w:r>
        <w:rPr>
          <w:rFonts w:hint="cs"/>
          <w:rtl/>
        </w:rPr>
        <w:t xml:space="preserve"> شيئًا معيّـنًا لثمنه، وأبى</w:t>
      </w:r>
      <w:r>
        <w:rPr>
          <w:rStyle w:val="a7"/>
          <w:rtl/>
        </w:rPr>
        <w:footnoteReference w:id="3552"/>
      </w:r>
      <w:r>
        <w:rPr>
          <w:rFonts w:hint="cs"/>
          <w:rtl/>
        </w:rPr>
        <w:t xml:space="preserve"> المشتري أن يرهن ما سمّاه : صحّ الشراء، ولا يجبر على الوفاء</w:t>
      </w:r>
      <w:r>
        <w:rPr>
          <w:rFonts w:hint="cs"/>
          <w:vertAlign w:val="superscript"/>
          <w:rtl/>
        </w:rPr>
        <w:t>(</w:t>
      </w:r>
      <w:r>
        <w:rPr>
          <w:rStyle w:val="a7"/>
          <w:rtl/>
        </w:rPr>
        <w:footnoteReference w:id="3553"/>
      </w:r>
      <w:r>
        <w:rPr>
          <w:rFonts w:hint="cs"/>
          <w:vertAlign w:val="superscript"/>
          <w:rtl/>
        </w:rPr>
        <w:t>)</w:t>
      </w:r>
      <w:r>
        <w:rPr>
          <w:rFonts w:hint="cs"/>
          <w:rtl/>
        </w:rPr>
        <w:t>، فللبائع فسخه</w:t>
      </w:r>
      <w:r>
        <w:rPr>
          <w:rStyle w:val="a7"/>
          <w:rtl/>
        </w:rPr>
        <w:footnoteReference w:id="3554"/>
      </w:r>
      <w:r>
        <w:rPr>
          <w:rFonts w:hint="cs"/>
          <w:rtl/>
        </w:rPr>
        <w:t xml:space="preserve"> إلا إذا سُلّم ثمنه</w:t>
      </w:r>
      <w:r>
        <w:rPr>
          <w:rStyle w:val="a7"/>
          <w:rtl/>
        </w:rPr>
        <w:footnoteReference w:id="3555"/>
      </w:r>
      <w:r>
        <w:rPr>
          <w:rFonts w:hint="cs"/>
          <w:rtl/>
        </w:rPr>
        <w:t xml:space="preserve"> حالاًّ أو قيمة الرهن [رهنا]</w:t>
      </w:r>
      <w:r>
        <w:rPr>
          <w:rStyle w:val="a7"/>
          <w:rtl/>
        </w:rPr>
        <w:footnoteReference w:id="3556"/>
      </w:r>
      <w:r>
        <w:rPr>
          <w:rFonts w:hint="cs"/>
          <w:rtl/>
        </w:rPr>
        <w:t>؛ لأن رضاه بالبيع كان بهذا الشرط، فبدونه لا يكون راضيًا، وإذا لم يتم رضاه كان له</w:t>
      </w:r>
      <w:r>
        <w:rPr>
          <w:rStyle w:val="a7"/>
          <w:rtl/>
        </w:rPr>
        <w:footnoteReference w:id="3557"/>
      </w:r>
      <w:r>
        <w:rPr>
          <w:rFonts w:hint="cs"/>
          <w:rtl/>
        </w:rPr>
        <w:t xml:space="preserve"> أن يفسخ أو يرضى بـترك الـرّهن، إلا إذا كان كما ذكر؛ لـحصول المقصود حينئذ</w:t>
      </w:r>
      <w:r>
        <w:rPr>
          <w:rFonts w:hint="eastAsia"/>
          <w:rtl/>
        </w:rPr>
        <w:t>»</w:t>
      </w:r>
      <w:r>
        <w:rPr>
          <w:rFonts w:hint="cs"/>
          <w:vertAlign w:val="superscript"/>
          <w:rtl/>
        </w:rPr>
        <w:t>(</w:t>
      </w:r>
      <w:r>
        <w:rPr>
          <w:rStyle w:val="a7"/>
          <w:rtl/>
        </w:rPr>
        <w:footnoteReference w:id="3558"/>
      </w:r>
      <w:r>
        <w:rPr>
          <w:rFonts w:hint="cs"/>
          <w:vertAlign w:val="superscript"/>
          <w:rtl/>
        </w:rPr>
        <w:t>)</w:t>
      </w:r>
      <w:r>
        <w:rPr>
          <w:rFonts w:hint="cs"/>
          <w:rtl/>
        </w:rPr>
        <w:t>.</w:t>
      </w:r>
    </w:p>
    <w:p w:rsidR="00C10469" w:rsidRDefault="00C10469">
      <w:pPr>
        <w:rPr>
          <w:spacing w:val="4"/>
          <w:rtl/>
        </w:rPr>
      </w:pPr>
      <w:r>
        <w:rPr>
          <w:rFonts w:hint="cs"/>
          <w:b/>
          <w:bCs/>
          <w:spacing w:val="4"/>
          <w:rtl/>
        </w:rPr>
        <w:t>فإن قيل</w:t>
      </w:r>
      <w:r>
        <w:rPr>
          <w:rFonts w:hint="cs"/>
          <w:spacing w:val="4"/>
          <w:rtl/>
        </w:rPr>
        <w:t xml:space="preserve"> : كيف يصح العقد بشـرط لا يقـتضيـه العقد، وفيـه نـفع لأحد العاقِدَين؟!.</w:t>
      </w:r>
    </w:p>
    <w:p w:rsidR="00C10469" w:rsidRDefault="00C10469">
      <w:pPr>
        <w:rPr>
          <w:rtl/>
        </w:rPr>
      </w:pPr>
      <w:r>
        <w:rPr>
          <w:rFonts w:hint="cs"/>
          <w:b/>
          <w:bCs/>
          <w:rtl/>
        </w:rPr>
        <w:lastRenderedPageBreak/>
        <w:t>يقال :يصح بالاستحسان</w:t>
      </w:r>
      <w:r>
        <w:rPr>
          <w:rStyle w:val="a7"/>
          <w:b/>
          <w:rtl/>
        </w:rPr>
        <w:footnoteReference w:id="3559"/>
      </w:r>
      <w:r>
        <w:rPr>
          <w:rFonts w:hint="cs"/>
          <w:b/>
          <w:bCs/>
          <w:rtl/>
        </w:rPr>
        <w:t>، ووجهه</w:t>
      </w:r>
      <w:r>
        <w:rPr>
          <w:rFonts w:hint="cs"/>
          <w:rtl/>
        </w:rPr>
        <w:t xml:space="preserve"> : أنه إذا شرط الرهن وهو معيّن: اعتبرنا فيه معنى</w:t>
      </w:r>
      <w:r>
        <w:rPr>
          <w:rStyle w:val="a7"/>
          <w:rtl/>
        </w:rPr>
        <w:footnoteReference w:id="3560"/>
      </w:r>
      <w:r>
        <w:rPr>
          <w:rFonts w:hint="cs"/>
          <w:rtl/>
        </w:rPr>
        <w:t xml:space="preserve"> الشرط (وهو توكيد موجب العقد، لا</w:t>
      </w:r>
      <w:r>
        <w:rPr>
          <w:rStyle w:val="a7"/>
          <w:rtl/>
        </w:rPr>
        <w:footnoteReference w:id="3561"/>
      </w:r>
      <w:r>
        <w:rPr>
          <w:rFonts w:hint="cs"/>
          <w:rtl/>
        </w:rPr>
        <w:t xml:space="preserve"> عين الشرط)؛ لأن المقصود</w:t>
      </w:r>
      <w:r>
        <w:rPr>
          <w:rStyle w:val="a7"/>
          <w:rtl/>
        </w:rPr>
        <w:footnoteReference w:id="3562"/>
      </w:r>
      <w:r>
        <w:rPr>
          <w:rFonts w:hint="cs"/>
          <w:rtl/>
        </w:rPr>
        <w:t xml:space="preserve"> بالرهن التوثيق</w:t>
      </w:r>
      <w:r>
        <w:rPr>
          <w:rStyle w:val="a7"/>
          <w:rtl/>
        </w:rPr>
        <w:footnoteReference w:id="3563"/>
      </w:r>
      <w:r>
        <w:rPr>
          <w:rFonts w:hint="cs"/>
          <w:rtl/>
        </w:rPr>
        <w:t xml:space="preserve"> بالثمن، فاشتراطه</w:t>
      </w:r>
      <w:r>
        <w:rPr>
          <w:rFonts w:hint="cs"/>
          <w:vertAlign w:val="superscript"/>
          <w:rtl/>
        </w:rPr>
        <w:t>(</w:t>
      </w:r>
      <w:r>
        <w:rPr>
          <w:rStyle w:val="a7"/>
          <w:rtl/>
        </w:rPr>
        <w:footnoteReference w:id="3564"/>
      </w:r>
      <w:r>
        <w:rPr>
          <w:rFonts w:hint="cs"/>
          <w:vertAlign w:val="superscript"/>
          <w:rtl/>
        </w:rPr>
        <w:t>)</w:t>
      </w:r>
      <w:r>
        <w:rPr>
          <w:rFonts w:hint="cs"/>
          <w:rtl/>
        </w:rPr>
        <w:t xml:space="preserve"> في معنى  اشتراط زيادة وصف الجودة للثمن، ولو شرط في البيع ثمنًا جيدًا كان البيعُ جائزًا، فكذا في اشتراط الرهن، فإنه شرط لاستيفاء الثمن، وهو ملائم للعقد، فكان ممّا يقتضيه العقد.</w:t>
      </w:r>
    </w:p>
    <w:p w:rsidR="00C10469" w:rsidRDefault="00C10469" w:rsidP="00C10469">
      <w:pPr>
        <w:ind w:firstLine="564"/>
        <w:rPr>
          <w:rtl/>
        </w:rPr>
      </w:pPr>
      <w:r>
        <w:rPr>
          <w:rFonts w:hint="cs"/>
          <w:rtl/>
        </w:rPr>
        <w:t>وأما إذا لم يكن</w:t>
      </w:r>
      <w:r>
        <w:rPr>
          <w:rStyle w:val="a7"/>
          <w:rtl/>
        </w:rPr>
        <w:footnoteReference w:id="3565"/>
      </w:r>
      <w:r>
        <w:rPr>
          <w:rFonts w:hint="cs"/>
          <w:rtl/>
        </w:rPr>
        <w:t xml:space="preserve"> الرهن معيّنًا : اعتبرنا عين الشرط</w:t>
      </w:r>
      <w:r>
        <w:rPr>
          <w:rStyle w:val="a7"/>
          <w:rtl/>
        </w:rPr>
        <w:footnoteReference w:id="3566"/>
      </w:r>
      <w:r>
        <w:rPr>
          <w:rFonts w:hint="cs"/>
          <w:rtl/>
        </w:rPr>
        <w:t>، فيفسد العقدُ؛ لأنه [يفضي]</w:t>
      </w:r>
      <w:r>
        <w:rPr>
          <w:rStyle w:val="a7"/>
          <w:rtl/>
        </w:rPr>
        <w:footnoteReference w:id="3567"/>
      </w:r>
      <w:r>
        <w:rPr>
          <w:rFonts w:hint="cs"/>
          <w:rtl/>
        </w:rPr>
        <w:t xml:space="preserve"> إلى النـزاع؛ إذْ قِيَمُ الأشياء مختلفة، فربما لا يرضى البائع بما يُرهن من</w:t>
      </w:r>
      <w:r>
        <w:rPr>
          <w:rStyle w:val="a7"/>
          <w:rtl/>
        </w:rPr>
        <w:footnoteReference w:id="3568"/>
      </w:r>
      <w:r>
        <w:rPr>
          <w:rFonts w:hint="cs"/>
          <w:rtl/>
        </w:rPr>
        <w:t xml:space="preserve"> المشتري لثمنه.</w:t>
      </w:r>
    </w:p>
    <w:p w:rsidR="00C10469" w:rsidRDefault="00C10469" w:rsidP="00803EA0">
      <w:pPr>
        <w:spacing w:line="228" w:lineRule="auto"/>
        <w:ind w:firstLine="564"/>
        <w:rPr>
          <w:rtl/>
        </w:rPr>
      </w:pPr>
      <w:r>
        <w:rPr>
          <w:rFonts w:hint="cs"/>
          <w:rtl/>
        </w:rPr>
        <w:t>كذا يفهم من عبارة صاحب (الدرر)</w:t>
      </w:r>
      <w:r>
        <w:rPr>
          <w:rFonts w:hint="cs"/>
          <w:vertAlign w:val="superscript"/>
          <w:rtl/>
        </w:rPr>
        <w:t>(</w:t>
      </w:r>
      <w:r>
        <w:rPr>
          <w:rStyle w:val="a7"/>
          <w:rtl/>
        </w:rPr>
        <w:footnoteReference w:id="3569"/>
      </w:r>
      <w:r>
        <w:rPr>
          <w:rFonts w:hint="cs"/>
          <w:vertAlign w:val="superscript"/>
          <w:rtl/>
        </w:rPr>
        <w:t>)</w:t>
      </w:r>
      <w:r>
        <w:rPr>
          <w:rFonts w:hint="cs"/>
          <w:rtl/>
        </w:rPr>
        <w:t>.</w:t>
      </w:r>
    </w:p>
    <w:p w:rsidR="00803EA0" w:rsidRDefault="00803EA0" w:rsidP="00803EA0">
      <w:pPr>
        <w:spacing w:line="228" w:lineRule="auto"/>
        <w:ind w:firstLine="564"/>
        <w:rPr>
          <w:rtl/>
        </w:rPr>
      </w:pPr>
    </w:p>
    <w:p w:rsidR="00C10469" w:rsidRDefault="00C10469" w:rsidP="00803EA0">
      <w:pPr>
        <w:jc w:val="center"/>
        <w:rPr>
          <w:rtl/>
        </w:rPr>
        <w:sectPr w:rsidR="00C10469" w:rsidSect="00C10469">
          <w:headerReference w:type="default" r:id="rId225"/>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r>
        <w:rPr>
          <w:rtl/>
        </w:rPr>
        <w:tab/>
      </w:r>
    </w:p>
    <w:p w:rsidR="00C10469" w:rsidRPr="00F2133B" w:rsidRDefault="00C10469">
      <w:pPr>
        <w:pStyle w:val="a9"/>
        <w:rPr>
          <w:rFonts w:cs="AL-Mateen"/>
        </w:rPr>
      </w:pPr>
      <w:r w:rsidRPr="00F2133B">
        <w:rPr>
          <w:rFonts w:cs="AL-Mateen"/>
          <w:rtl/>
        </w:rPr>
        <w:lastRenderedPageBreak/>
        <w:t xml:space="preserve">[ </w:t>
      </w:r>
      <w:r w:rsidRPr="00F2133B">
        <w:rPr>
          <w:rFonts w:cs="AL-Mateen" w:hint="eastAsia"/>
          <w:rtl/>
        </w:rPr>
        <w:t>الـقـاعـدة</w:t>
      </w:r>
      <w:r w:rsidRPr="00F2133B">
        <w:rPr>
          <w:rFonts w:cs="AL-Mateen"/>
          <w:rtl/>
        </w:rPr>
        <w:t xml:space="preserve"> الـس</w:t>
      </w:r>
      <w:r w:rsidRPr="00F2133B">
        <w:rPr>
          <w:rFonts w:cs="AL-Mateen" w:hint="cs"/>
          <w:rtl/>
        </w:rPr>
        <w:t>ب</w:t>
      </w:r>
      <w:r w:rsidRPr="00F2133B">
        <w:rPr>
          <w:rFonts w:cs="AL-Mateen"/>
          <w:rtl/>
        </w:rPr>
        <w:t>ـع</w:t>
      </w:r>
      <w:r w:rsidRPr="00F2133B">
        <w:rPr>
          <w:rFonts w:cs="AL-Mateen" w:hint="cs"/>
          <w:rtl/>
        </w:rPr>
        <w:t xml:space="preserve">ون بعد المائة </w:t>
      </w:r>
      <w:r w:rsidRPr="00F2133B">
        <w:rPr>
          <w:rFonts w:cs="AL-Mateen"/>
          <w:rtl/>
        </w:rPr>
        <w:t>]</w:t>
      </w:r>
    </w:p>
    <w:p w:rsidR="00C10469" w:rsidRDefault="00C10469">
      <w:pPr>
        <w:pStyle w:val="aa"/>
        <w:rPr>
          <w:bCs w:val="0"/>
          <w:rtl/>
        </w:rPr>
      </w:pPr>
      <w:r>
        <w:rPr>
          <w:rFonts w:hint="cs"/>
          <w:bCs w:val="0"/>
          <w:rtl/>
        </w:rPr>
        <w:t>العَمَلُ بالظَّاهِرِ هُوَ الأَصْلُ؛ لِدَفْعِ الضَّرَرِ عَنِ النَّاسِ</w:t>
      </w:r>
      <w:r>
        <w:rPr>
          <w:rFonts w:cs="Traditional Arabic" w:hint="cs"/>
          <w:bCs w:val="0"/>
          <w:spacing w:val="-4"/>
          <w:vertAlign w:val="superscript"/>
          <w:rtl/>
          <w:lang w:val="en-GB"/>
        </w:rPr>
        <w:t>(</w:t>
      </w:r>
      <w:r>
        <w:rPr>
          <w:rStyle w:val="a7"/>
          <w:bCs/>
          <w:spacing w:val="-4"/>
          <w:rtl/>
          <w:lang w:val="en-GB"/>
        </w:rPr>
        <w:footnoteReference w:id="3570"/>
      </w:r>
      <w:r>
        <w:rPr>
          <w:rFonts w:cs="Traditional Arabic" w:hint="cs"/>
          <w:bCs w:val="0"/>
          <w:spacing w:val="-4"/>
          <w:vertAlign w:val="superscript"/>
          <w:rtl/>
          <w:lang w:val="en-GB"/>
        </w:rPr>
        <w:t>)</w:t>
      </w:r>
      <w:r>
        <w:rPr>
          <w:rFonts w:hint="cs"/>
          <w:bCs w:val="0"/>
          <w:rtl/>
        </w:rPr>
        <w:t xml:space="preserve"> : </w:t>
      </w:r>
    </w:p>
    <w:p w:rsidR="00C10469" w:rsidRDefault="00C10469" w:rsidP="00C10469">
      <w:pPr>
        <w:rPr>
          <w:spacing w:val="6"/>
        </w:rPr>
      </w:pPr>
      <w:r>
        <w:rPr>
          <w:rtl/>
        </w:rPr>
        <w:t>•</w:t>
      </w:r>
      <w:r>
        <w:rPr>
          <w:rFonts w:hint="cs"/>
          <w:rtl/>
        </w:rPr>
        <w:t xml:space="preserve">  فـــإذا </w:t>
      </w:r>
      <w:r>
        <w:rPr>
          <w:rFonts w:hint="eastAsia"/>
          <w:rtl/>
        </w:rPr>
        <w:t>«</w:t>
      </w:r>
      <w:r>
        <w:rPr>
          <w:rFonts w:hint="cs"/>
          <w:spacing w:val="6"/>
          <w:rtl/>
        </w:rPr>
        <w:t>اشــتـــرى</w:t>
      </w:r>
      <w:r>
        <w:rPr>
          <w:rStyle w:val="a7"/>
          <w:spacing w:val="6"/>
          <w:rtl/>
        </w:rPr>
        <w:footnoteReference w:id="3571"/>
      </w:r>
      <w:r>
        <w:rPr>
          <w:rFonts w:hint="cs"/>
          <w:spacing w:val="6"/>
          <w:rtl/>
        </w:rPr>
        <w:t xml:space="preserve"> [عـــبــــدٌ]</w:t>
      </w:r>
      <w:r>
        <w:rPr>
          <w:rStyle w:val="a7"/>
          <w:spacing w:val="6"/>
          <w:rtl/>
        </w:rPr>
        <w:footnoteReference w:id="3572"/>
      </w:r>
      <w:r>
        <w:rPr>
          <w:rFonts w:hint="cs"/>
          <w:spacing w:val="6"/>
          <w:rtl/>
        </w:rPr>
        <w:t xml:space="preserve"> </w:t>
      </w:r>
      <w:r>
        <w:rPr>
          <w:rFonts w:hint="cs"/>
          <w:spacing w:val="-4"/>
          <w:rtl/>
        </w:rPr>
        <w:t>وبــــاع</w:t>
      </w:r>
    </w:p>
    <w:p w:rsidR="00C10469" w:rsidRDefault="00C10469" w:rsidP="00C10469">
      <w:pPr>
        <w:spacing w:line="540" w:lineRule="exact"/>
        <w:ind w:left="1094" w:firstLine="0"/>
        <w:rPr>
          <w:spacing w:val="-4"/>
          <w:rtl/>
        </w:rPr>
      </w:pPr>
      <w:r>
        <w:rPr>
          <w:rFonts w:hint="cs"/>
          <w:spacing w:val="-4"/>
          <w:rtl/>
        </w:rPr>
        <w:lastRenderedPageBreak/>
        <w:t>ساكتًا</w:t>
      </w:r>
      <w:r>
        <w:rPr>
          <w:rFonts w:hint="cs"/>
          <w:spacing w:val="-4"/>
          <w:vertAlign w:val="superscript"/>
          <w:rtl/>
        </w:rPr>
        <w:t>(</w:t>
      </w:r>
      <w:r>
        <w:rPr>
          <w:rStyle w:val="a7"/>
          <w:spacing w:val="-4"/>
          <w:rtl/>
        </w:rPr>
        <w:footnoteReference w:id="3573"/>
      </w:r>
      <w:r>
        <w:rPr>
          <w:rFonts w:hint="cs"/>
          <w:spacing w:val="-4"/>
          <w:vertAlign w:val="superscript"/>
          <w:rtl/>
        </w:rPr>
        <w:t>)</w:t>
      </w:r>
      <w:r>
        <w:rPr>
          <w:rFonts w:hint="cs"/>
          <w:spacing w:val="-4"/>
          <w:rtl/>
        </w:rPr>
        <w:t xml:space="preserve"> عن إِذنِهِ وَحَجْرِهِ : فهو مأذون</w:t>
      </w:r>
      <w:r>
        <w:rPr>
          <w:rFonts w:hint="eastAsia"/>
          <w:spacing w:val="-4"/>
          <w:rtl/>
        </w:rPr>
        <w:t>»</w:t>
      </w:r>
      <w:r>
        <w:rPr>
          <w:rFonts w:hint="cs"/>
          <w:spacing w:val="-4"/>
          <w:vertAlign w:val="superscript"/>
          <w:rtl/>
        </w:rPr>
        <w:t>(</w:t>
      </w:r>
      <w:r>
        <w:rPr>
          <w:rStyle w:val="a7"/>
          <w:spacing w:val="-4"/>
          <w:rtl/>
        </w:rPr>
        <w:footnoteReference w:id="3574"/>
      </w:r>
      <w:r>
        <w:rPr>
          <w:rFonts w:hint="cs"/>
          <w:spacing w:val="-4"/>
          <w:vertAlign w:val="superscript"/>
          <w:rtl/>
        </w:rPr>
        <w:t>)</w:t>
      </w:r>
      <w:r>
        <w:rPr>
          <w:rFonts w:hint="cs"/>
          <w:spacing w:val="-4"/>
          <w:rtl/>
        </w:rPr>
        <w:t>؛ لأن الظاهر أنه مأذون؛ لأن أمور المسلمين محمولة على</w:t>
      </w:r>
      <w:r>
        <w:rPr>
          <w:rStyle w:val="a7"/>
          <w:spacing w:val="-4"/>
          <w:rtl/>
        </w:rPr>
        <w:footnoteReference w:id="3575"/>
      </w:r>
      <w:r>
        <w:rPr>
          <w:rFonts w:hint="cs"/>
          <w:spacing w:val="-4"/>
          <w:rtl/>
        </w:rPr>
        <w:t xml:space="preserve"> الصّلاح ما أمكن، ولا يثبت الجواز إلاّ بالإذن، فوجب أن يحمل عليه؛ حملاً على الصلاح، ولأن الناس تعاملوا</w:t>
      </w:r>
      <w:r>
        <w:rPr>
          <w:rStyle w:val="a7"/>
          <w:spacing w:val="-4"/>
          <w:rtl/>
        </w:rPr>
        <w:footnoteReference w:id="3576"/>
      </w:r>
      <w:r>
        <w:rPr>
          <w:rFonts w:hint="cs"/>
          <w:spacing w:val="-4"/>
          <w:rtl/>
        </w:rPr>
        <w:t xml:space="preserve"> ذلك</w:t>
      </w:r>
      <w:r>
        <w:rPr>
          <w:rFonts w:hint="cs"/>
          <w:spacing w:val="-4"/>
          <w:vertAlign w:val="superscript"/>
          <w:rtl/>
        </w:rPr>
        <w:t>(</w:t>
      </w:r>
      <w:r>
        <w:rPr>
          <w:rStyle w:val="a7"/>
          <w:spacing w:val="-4"/>
          <w:rtl/>
        </w:rPr>
        <w:footnoteReference w:id="3577"/>
      </w:r>
      <w:r>
        <w:rPr>
          <w:rFonts w:hint="cs"/>
          <w:spacing w:val="-4"/>
          <w:vertAlign w:val="superscript"/>
          <w:rtl/>
        </w:rPr>
        <w:t>)</w:t>
      </w:r>
      <w:r>
        <w:rPr>
          <w:rFonts w:hint="cs"/>
          <w:spacing w:val="-4"/>
          <w:rtl/>
        </w:rPr>
        <w:t xml:space="preserve"> و</w:t>
      </w:r>
      <w:r>
        <w:rPr>
          <w:rFonts w:hint="eastAsia"/>
          <w:spacing w:val="-4"/>
          <w:rtl/>
        </w:rPr>
        <w:t>«</w:t>
      </w:r>
      <w:r>
        <w:rPr>
          <w:rFonts w:hint="cs"/>
          <w:spacing w:val="-4"/>
          <w:rtl/>
        </w:rPr>
        <w:t>إجماع المسلمين</w:t>
      </w:r>
      <w:r>
        <w:rPr>
          <w:rStyle w:val="a7"/>
          <w:spacing w:val="-4"/>
          <w:rtl/>
        </w:rPr>
        <w:footnoteReference w:id="3578"/>
      </w:r>
      <w:r>
        <w:rPr>
          <w:rFonts w:hint="cs"/>
          <w:spacing w:val="-4"/>
          <w:rtl/>
        </w:rPr>
        <w:t xml:space="preserve"> حجة، يخص به الأثر، ويترك القياس والنظر</w:t>
      </w:r>
      <w:r>
        <w:rPr>
          <w:rFonts w:hint="eastAsia"/>
          <w:spacing w:val="-4"/>
          <w:rtl/>
        </w:rPr>
        <w:t>»</w:t>
      </w:r>
      <w:r>
        <w:rPr>
          <w:rFonts w:hint="cs"/>
          <w:spacing w:val="-4"/>
          <w:rtl/>
        </w:rPr>
        <w:t>- كما ذُكر تفصيل ذلك في باب الألف</w:t>
      </w:r>
      <w:r>
        <w:rPr>
          <w:rFonts w:hint="cs"/>
          <w:spacing w:val="-4"/>
          <w:vertAlign w:val="superscript"/>
          <w:rtl/>
        </w:rPr>
        <w:t>(</w:t>
      </w:r>
      <w:r>
        <w:rPr>
          <w:rStyle w:val="a7"/>
          <w:spacing w:val="-4"/>
          <w:rtl/>
        </w:rPr>
        <w:footnoteReference w:id="3579"/>
      </w:r>
      <w:r>
        <w:rPr>
          <w:rFonts w:hint="cs"/>
          <w:spacing w:val="-4"/>
          <w:vertAlign w:val="superscript"/>
          <w:rtl/>
        </w:rPr>
        <w:t>)</w:t>
      </w:r>
      <w:r>
        <w:rPr>
          <w:rFonts w:hint="cs"/>
          <w:spacing w:val="-4"/>
          <w:rtl/>
        </w:rPr>
        <w:t>-.</w:t>
      </w:r>
    </w:p>
    <w:p w:rsidR="00C10469" w:rsidRDefault="00C10469" w:rsidP="00992F62">
      <w:pPr>
        <w:spacing w:line="520" w:lineRule="exact"/>
        <w:ind w:left="737" w:firstLine="0"/>
        <w:rPr>
          <w:spacing w:val="-10"/>
          <w:rtl/>
        </w:rPr>
      </w:pPr>
      <w:r>
        <w:rPr>
          <w:spacing w:val="-4"/>
          <w:rtl/>
        </w:rPr>
        <w:t>•</w:t>
      </w:r>
      <w:r>
        <w:rPr>
          <w:rFonts w:hint="cs"/>
          <w:spacing w:val="-4"/>
          <w:rtl/>
        </w:rPr>
        <w:t xml:space="preserve">  ومن فروعها</w:t>
      </w:r>
      <w:r>
        <w:rPr>
          <w:rStyle w:val="a7"/>
          <w:spacing w:val="-4"/>
          <w:rtl/>
        </w:rPr>
        <w:footnoteReference w:id="3580"/>
      </w:r>
      <w:r>
        <w:rPr>
          <w:rFonts w:hint="cs"/>
          <w:spacing w:val="-4"/>
          <w:rtl/>
        </w:rPr>
        <w:t xml:space="preserve"> : - ما ذكر في (الحاوي)</w:t>
      </w:r>
      <w:r>
        <w:rPr>
          <w:rFonts w:hint="cs"/>
          <w:spacing w:val="-4"/>
          <w:vertAlign w:val="superscript"/>
          <w:rtl/>
        </w:rPr>
        <w:t>(</w:t>
      </w:r>
      <w:r>
        <w:rPr>
          <w:rStyle w:val="a7"/>
          <w:spacing w:val="-4"/>
          <w:rtl/>
        </w:rPr>
        <w:footnoteReference w:id="3581"/>
      </w:r>
      <w:r>
        <w:rPr>
          <w:rFonts w:hint="cs"/>
          <w:spacing w:val="-4"/>
          <w:vertAlign w:val="superscript"/>
          <w:rtl/>
        </w:rPr>
        <w:t>)</w:t>
      </w:r>
      <w:r>
        <w:rPr>
          <w:rFonts w:hint="cs"/>
          <w:spacing w:val="-4"/>
          <w:rtl/>
        </w:rPr>
        <w:t xml:space="preserve"> : </w:t>
      </w:r>
      <w:r>
        <w:rPr>
          <w:rFonts w:hint="eastAsia"/>
          <w:spacing w:val="-4"/>
          <w:rtl/>
        </w:rPr>
        <w:t>«</w:t>
      </w:r>
      <w:r>
        <w:rPr>
          <w:rFonts w:hint="cs"/>
          <w:spacing w:val="-4"/>
          <w:rtl/>
        </w:rPr>
        <w:t xml:space="preserve"> رجل كان يـتصرف في </w:t>
      </w:r>
      <w:r>
        <w:rPr>
          <w:rFonts w:hint="cs"/>
          <w:spacing w:val="-4"/>
          <w:rtl/>
        </w:rPr>
        <w:lastRenderedPageBreak/>
        <w:t>غلاّت</w:t>
      </w:r>
      <w:r w:rsidR="00992F62">
        <w:rPr>
          <w:spacing w:val="-4"/>
        </w:rPr>
        <w:t xml:space="preserve"> </w:t>
      </w:r>
      <w:r>
        <w:rPr>
          <w:rFonts w:hint="cs"/>
          <w:spacing w:val="-10"/>
          <w:rtl/>
        </w:rPr>
        <w:t>امرأته، ويدفع ذهبها بالمرابحة</w:t>
      </w:r>
      <w:r>
        <w:rPr>
          <w:rStyle w:val="a7"/>
          <w:spacing w:val="-10"/>
          <w:rtl/>
        </w:rPr>
        <w:footnoteReference w:id="3582"/>
      </w:r>
      <w:r>
        <w:rPr>
          <w:rFonts w:hint="cs"/>
          <w:spacing w:val="-10"/>
          <w:rtl/>
        </w:rPr>
        <w:t>، ثم ماتت، فادعى ورثتُها</w:t>
      </w:r>
      <w:r>
        <w:rPr>
          <w:rFonts w:hint="cs"/>
          <w:spacing w:val="-10"/>
          <w:vertAlign w:val="superscript"/>
          <w:rtl/>
        </w:rPr>
        <w:t>(</w:t>
      </w:r>
      <w:r>
        <w:rPr>
          <w:rStyle w:val="a7"/>
          <w:spacing w:val="-10"/>
          <w:rtl/>
        </w:rPr>
        <w:footnoteReference w:id="3583"/>
      </w:r>
      <w:r>
        <w:rPr>
          <w:rFonts w:hint="cs"/>
          <w:spacing w:val="-10"/>
          <w:vertAlign w:val="superscript"/>
          <w:rtl/>
        </w:rPr>
        <w:t>)</w:t>
      </w:r>
      <w:r>
        <w:rPr>
          <w:rFonts w:hint="cs"/>
          <w:spacing w:val="-10"/>
          <w:rtl/>
        </w:rPr>
        <w:t xml:space="preserve"> : كنتَ تتصرف في مالها بغير إذنها فعليك الضمان. فقال الزوج : بل بإذنها : فالقول قول الزوج</w:t>
      </w:r>
      <w:r>
        <w:rPr>
          <w:rFonts w:hint="cs"/>
          <w:spacing w:val="-10"/>
          <w:vertAlign w:val="superscript"/>
          <w:rtl/>
        </w:rPr>
        <w:t>(</w:t>
      </w:r>
      <w:r>
        <w:rPr>
          <w:rStyle w:val="a7"/>
          <w:spacing w:val="-10"/>
          <w:rtl/>
        </w:rPr>
        <w:footnoteReference w:id="3584"/>
      </w:r>
      <w:r>
        <w:rPr>
          <w:rFonts w:hint="cs"/>
          <w:spacing w:val="-10"/>
          <w:vertAlign w:val="superscript"/>
          <w:rtl/>
        </w:rPr>
        <w:t>)</w:t>
      </w:r>
      <w:r>
        <w:rPr>
          <w:rFonts w:hint="cs"/>
          <w:spacing w:val="-10"/>
          <w:rtl/>
        </w:rPr>
        <w:t>.</w:t>
      </w:r>
    </w:p>
    <w:p w:rsidR="00C10469" w:rsidRDefault="00C10469" w:rsidP="00D9740C">
      <w:pPr>
        <w:ind w:left="139" w:firstLine="283"/>
        <w:jc w:val="both"/>
        <w:rPr>
          <w:spacing w:val="-6"/>
          <w:rtl/>
        </w:rPr>
        <w:sectPr w:rsidR="00C10469" w:rsidSect="00C10469">
          <w:headerReference w:type="default" r:id="rId22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spacing w:val="-6"/>
          <w:rtl/>
        </w:rPr>
        <w:t>قال أستاذنا</w:t>
      </w:r>
      <w:r>
        <w:rPr>
          <w:rFonts w:hint="cs"/>
          <w:spacing w:val="-6"/>
          <w:vertAlign w:val="superscript"/>
          <w:rtl/>
        </w:rPr>
        <w:t>(</w:t>
      </w:r>
      <w:r>
        <w:rPr>
          <w:rStyle w:val="a7"/>
          <w:spacing w:val="-6"/>
          <w:rtl/>
        </w:rPr>
        <w:footnoteReference w:id="3585"/>
      </w:r>
      <w:r>
        <w:rPr>
          <w:rFonts w:hint="cs"/>
          <w:spacing w:val="-6"/>
          <w:vertAlign w:val="superscript"/>
          <w:rtl/>
        </w:rPr>
        <w:t>)</w:t>
      </w:r>
      <w:r>
        <w:rPr>
          <w:rFonts w:hint="cs"/>
          <w:spacing w:val="-6"/>
          <w:rtl/>
        </w:rPr>
        <w:t xml:space="preserve"> : وهذا حسن، ينبغي أن يحفظ، فإن السبَبَ الموجِبَ للضمان موجود؛ إلا إذا ثبت [إذنها]</w:t>
      </w:r>
      <w:r>
        <w:rPr>
          <w:rStyle w:val="a7"/>
          <w:spacing w:val="-6"/>
          <w:rtl/>
        </w:rPr>
        <w:footnoteReference w:id="3586"/>
      </w:r>
      <w:r>
        <w:rPr>
          <w:rFonts w:hint="cs"/>
          <w:spacing w:val="-6"/>
          <w:rtl/>
        </w:rPr>
        <w:t>، ومع هذا القول له؛ لأن الظاهر شاهدٌ والظاهر</w:t>
      </w:r>
      <w:r>
        <w:rPr>
          <w:rFonts w:hint="cs"/>
          <w:spacing w:val="-6"/>
          <w:vertAlign w:val="superscript"/>
          <w:rtl/>
        </w:rPr>
        <w:t>(</w:t>
      </w:r>
      <w:r>
        <w:rPr>
          <w:rStyle w:val="a7"/>
          <w:spacing w:val="-6"/>
          <w:rtl/>
        </w:rPr>
        <w:footnoteReference w:id="3587"/>
      </w:r>
      <w:r>
        <w:rPr>
          <w:rFonts w:hint="cs"/>
          <w:spacing w:val="-6"/>
          <w:vertAlign w:val="superscript"/>
          <w:rtl/>
        </w:rPr>
        <w:t>)</w:t>
      </w:r>
      <w:r>
        <w:rPr>
          <w:rFonts w:hint="cs"/>
          <w:spacing w:val="-6"/>
          <w:rtl/>
        </w:rPr>
        <w:t xml:space="preserve"> أن الرجل لا يتصرف مثل هذا التصرف في مال امرأته إلا بإذنها، والظاهر يكفي للدفع</w:t>
      </w:r>
      <w:r>
        <w:rPr>
          <w:rFonts w:hint="eastAsia"/>
          <w:spacing w:val="-6"/>
          <w:rtl/>
        </w:rPr>
        <w:t>»</w:t>
      </w:r>
      <w:r>
        <w:rPr>
          <w:rFonts w:hint="cs"/>
          <w:spacing w:val="-6"/>
          <w:vertAlign w:val="superscript"/>
          <w:rtl/>
        </w:rPr>
        <w:t>(</w:t>
      </w:r>
      <w:r>
        <w:rPr>
          <w:rStyle w:val="a7"/>
          <w:spacing w:val="-6"/>
          <w:rtl/>
        </w:rPr>
        <w:footnoteReference w:id="3588"/>
      </w:r>
      <w:r>
        <w:rPr>
          <w:rFonts w:hint="cs"/>
          <w:spacing w:val="-6"/>
          <w:vertAlign w:val="superscript"/>
          <w:rtl/>
        </w:rPr>
        <w:t>)</w:t>
      </w:r>
      <w:r>
        <w:rPr>
          <w:rFonts w:hint="cs"/>
          <w:spacing w:val="-6"/>
          <w:rtl/>
        </w:rPr>
        <w:t>.</w:t>
      </w:r>
    </w:p>
    <w:p w:rsidR="00C10469" w:rsidRPr="00BF49B4" w:rsidRDefault="00C10469">
      <w:pPr>
        <w:pStyle w:val="a9"/>
        <w:rPr>
          <w:rFonts w:cs="AL-Mateen"/>
        </w:rPr>
      </w:pPr>
      <w:r w:rsidRPr="00BF49B4">
        <w:rPr>
          <w:rFonts w:cs="AL-Mateen"/>
          <w:rtl/>
        </w:rPr>
        <w:lastRenderedPageBreak/>
        <w:t xml:space="preserve">[ </w:t>
      </w:r>
      <w:r w:rsidRPr="00BF49B4">
        <w:rPr>
          <w:rFonts w:cs="AL-Mateen" w:hint="eastAsia"/>
          <w:rtl/>
        </w:rPr>
        <w:t>الـقـاعـدة</w:t>
      </w:r>
      <w:r w:rsidRPr="00BF49B4">
        <w:rPr>
          <w:rFonts w:cs="AL-Mateen"/>
          <w:rtl/>
        </w:rPr>
        <w:t xml:space="preserve"> الـ</w:t>
      </w:r>
      <w:r w:rsidRPr="00BF49B4">
        <w:rPr>
          <w:rFonts w:cs="AL-Mateen" w:hint="cs"/>
          <w:rtl/>
        </w:rPr>
        <w:t>ح</w:t>
      </w:r>
      <w:r w:rsidRPr="00BF49B4">
        <w:rPr>
          <w:rFonts w:cs="AL-Mateen"/>
          <w:rtl/>
        </w:rPr>
        <w:t>ـا</w:t>
      </w:r>
      <w:r w:rsidRPr="00BF49B4">
        <w:rPr>
          <w:rFonts w:cs="AL-Mateen" w:hint="cs"/>
          <w:rtl/>
        </w:rPr>
        <w:t>دي</w:t>
      </w:r>
      <w:r w:rsidRPr="00BF49B4">
        <w:rPr>
          <w:rFonts w:cs="AL-Mateen"/>
          <w:rtl/>
        </w:rPr>
        <w:t>ـة والــس</w:t>
      </w:r>
      <w:r w:rsidRPr="00BF49B4">
        <w:rPr>
          <w:rFonts w:cs="AL-Mateen" w:hint="cs"/>
          <w:rtl/>
        </w:rPr>
        <w:t>ب</w:t>
      </w:r>
      <w:r w:rsidRPr="00BF49B4">
        <w:rPr>
          <w:rFonts w:cs="AL-Mateen"/>
          <w:rtl/>
        </w:rPr>
        <w:t xml:space="preserve">ـعـون </w:t>
      </w:r>
      <w:r w:rsidRPr="00BF49B4">
        <w:rPr>
          <w:rFonts w:cs="AL-Mateen" w:hint="cs"/>
          <w:rtl/>
        </w:rPr>
        <w:t>بعد المائة</w:t>
      </w:r>
      <w:r w:rsidRPr="00BF49B4">
        <w:rPr>
          <w:rFonts w:cs="AL-Mateen"/>
          <w:rtl/>
        </w:rPr>
        <w:t>]</w:t>
      </w:r>
    </w:p>
    <w:p w:rsidR="00C10469" w:rsidRDefault="00C10469">
      <w:pPr>
        <w:pStyle w:val="aa"/>
        <w:rPr>
          <w:bCs w:val="0"/>
          <w:spacing w:val="-4"/>
          <w:rtl/>
        </w:rPr>
      </w:pPr>
      <w:r>
        <w:rPr>
          <w:rFonts w:hint="cs"/>
          <w:bCs w:val="0"/>
          <w:rtl/>
        </w:rPr>
        <w:t>العِوَضُ يُوَزَّعُ عَلَى المُعَوَّضِ أَجْزَاءً</w:t>
      </w:r>
      <w:r>
        <w:rPr>
          <w:rFonts w:cs="Traditional Arabic" w:hint="cs"/>
          <w:bCs w:val="0"/>
          <w:spacing w:val="-4"/>
          <w:vertAlign w:val="superscript"/>
          <w:rtl/>
          <w:lang w:val="en-GB"/>
        </w:rPr>
        <w:t>(</w:t>
      </w:r>
      <w:r>
        <w:rPr>
          <w:rStyle w:val="a7"/>
          <w:bCs/>
          <w:spacing w:val="-4"/>
          <w:rtl/>
          <w:lang w:val="en-GB"/>
        </w:rPr>
        <w:footnoteReference w:id="3589"/>
      </w:r>
      <w:r>
        <w:rPr>
          <w:rFonts w:cs="Traditional Arabic" w:hint="cs"/>
          <w:bCs w:val="0"/>
          <w:spacing w:val="-4"/>
          <w:vertAlign w:val="superscript"/>
          <w:rtl/>
          <w:lang w:val="en-GB"/>
        </w:rPr>
        <w:t>)</w:t>
      </w:r>
      <w:r>
        <w:rPr>
          <w:rFonts w:hint="cs"/>
          <w:bCs w:val="0"/>
          <w:spacing w:val="-4"/>
          <w:rtl/>
        </w:rPr>
        <w:t xml:space="preserve"> :</w:t>
      </w:r>
    </w:p>
    <w:p w:rsidR="00C10469" w:rsidRDefault="00C10469">
      <w:pPr>
        <w:rPr>
          <w:spacing w:val="-4"/>
          <w:rtl/>
        </w:rPr>
      </w:pPr>
      <w:r>
        <w:rPr>
          <w:rFonts w:hint="cs"/>
          <w:spacing w:val="-4"/>
          <w:rtl/>
        </w:rPr>
        <w:t>ضرورة المقابلة</w:t>
      </w:r>
      <w:r>
        <w:rPr>
          <w:rStyle w:val="a7"/>
          <w:spacing w:val="-4"/>
          <w:rtl/>
        </w:rPr>
        <w:footnoteReference w:id="3590"/>
      </w:r>
      <w:r>
        <w:rPr>
          <w:rFonts w:hint="cs"/>
          <w:spacing w:val="-4"/>
          <w:rtl/>
        </w:rPr>
        <w:t>. والشرط على خلافه</w:t>
      </w:r>
      <w:r>
        <w:rPr>
          <w:rStyle w:val="a7"/>
          <w:spacing w:val="-4"/>
          <w:rtl/>
        </w:rPr>
        <w:footnoteReference w:id="3591"/>
      </w:r>
      <w:r>
        <w:rPr>
          <w:rFonts w:hint="cs"/>
          <w:spacing w:val="-4"/>
          <w:rtl/>
        </w:rPr>
        <w:t>، فإنه يقابل المشروط جملة، ولا يقابله أجزاء -على ما مرّ في باب الشين</w:t>
      </w:r>
      <w:r>
        <w:rPr>
          <w:rFonts w:hint="cs"/>
          <w:spacing w:val="-4"/>
          <w:vertAlign w:val="superscript"/>
          <w:rtl/>
        </w:rPr>
        <w:t>(</w:t>
      </w:r>
      <w:r>
        <w:rPr>
          <w:rStyle w:val="a7"/>
          <w:spacing w:val="-4"/>
          <w:rtl/>
        </w:rPr>
        <w:footnoteReference w:id="3592"/>
      </w:r>
      <w:r>
        <w:rPr>
          <w:rFonts w:hint="cs"/>
          <w:spacing w:val="-4"/>
          <w:vertAlign w:val="superscript"/>
          <w:rtl/>
        </w:rPr>
        <w:t>)</w:t>
      </w:r>
      <w:r>
        <w:rPr>
          <w:rFonts w:hint="cs"/>
          <w:spacing w:val="-4"/>
          <w:rtl/>
        </w:rPr>
        <w:t>-.</w:t>
      </w:r>
    </w:p>
    <w:p w:rsidR="00C10469" w:rsidRDefault="00C10469">
      <w:pPr>
        <w:rPr>
          <w:spacing w:val="-4"/>
          <w:rtl/>
        </w:rPr>
      </w:pPr>
      <w:r>
        <w:rPr>
          <w:rFonts w:hint="cs"/>
          <w:b/>
          <w:bCs/>
          <w:spacing w:val="-4"/>
          <w:rtl/>
        </w:rPr>
        <w:t>ومن فروع هذا الأصل</w:t>
      </w:r>
      <w:r>
        <w:rPr>
          <w:rFonts w:hint="cs"/>
          <w:spacing w:val="-4"/>
          <w:rtl/>
        </w:rPr>
        <w:t xml:space="preserve"> : </w:t>
      </w:r>
      <w:r>
        <w:rPr>
          <w:rFonts w:hint="cs"/>
          <w:rtl/>
        </w:rPr>
        <w:t>أنّ لِمُوَصَّلِ</w:t>
      </w:r>
      <w:r>
        <w:rPr>
          <w:rFonts w:hint="cs"/>
          <w:spacing w:val="-4"/>
          <w:rtl/>
        </w:rPr>
        <w:t xml:space="preserve"> العبد الآبق إلى مولاه من مدّة</w:t>
      </w:r>
      <w:r>
        <w:rPr>
          <w:rStyle w:val="a7"/>
          <w:spacing w:val="-4"/>
          <w:rtl/>
        </w:rPr>
        <w:footnoteReference w:id="3593"/>
      </w:r>
      <w:r>
        <w:rPr>
          <w:rFonts w:hint="cs"/>
          <w:spacing w:val="-4"/>
          <w:rtl/>
        </w:rPr>
        <w:t xml:space="preserve"> سفرٍ</w:t>
      </w:r>
      <w:r>
        <w:rPr>
          <w:rStyle w:val="a7"/>
          <w:spacing w:val="-4"/>
          <w:rtl/>
        </w:rPr>
        <w:footnoteReference w:id="3594"/>
      </w:r>
      <w:r>
        <w:rPr>
          <w:rFonts w:hint="cs"/>
          <w:spacing w:val="-4"/>
          <w:rtl/>
        </w:rPr>
        <w:t xml:space="preserve"> أو أكثر أربعون</w:t>
      </w:r>
      <w:r>
        <w:rPr>
          <w:rFonts w:hint="cs"/>
          <w:spacing w:val="-4"/>
          <w:vertAlign w:val="superscript"/>
          <w:rtl/>
        </w:rPr>
        <w:t>(</w:t>
      </w:r>
      <w:r>
        <w:rPr>
          <w:rStyle w:val="a7"/>
          <w:spacing w:val="-4"/>
          <w:rtl/>
        </w:rPr>
        <w:footnoteReference w:id="3595"/>
      </w:r>
      <w:r>
        <w:rPr>
          <w:rFonts w:hint="cs"/>
          <w:spacing w:val="-4"/>
          <w:vertAlign w:val="superscript"/>
          <w:rtl/>
        </w:rPr>
        <w:t>)</w:t>
      </w:r>
      <w:r>
        <w:rPr>
          <w:rFonts w:hint="cs"/>
          <w:spacing w:val="-4"/>
          <w:rtl/>
        </w:rPr>
        <w:t xml:space="preserve"> درهمًا، وإن لم يَعْدِلْها (أي : إن لم يبلغ قيمة الآبق إلى أربعين درهمًا).</w:t>
      </w:r>
    </w:p>
    <w:p w:rsidR="00C10469" w:rsidRDefault="00C10469">
      <w:pPr>
        <w:rPr>
          <w:spacing w:val="-4"/>
          <w:rtl/>
        </w:rPr>
      </w:pPr>
      <w:r>
        <w:rPr>
          <w:rFonts w:hint="cs"/>
          <w:spacing w:val="-4"/>
          <w:rtl/>
        </w:rPr>
        <w:t>هكذا قال صاحب (الدرر)</w:t>
      </w:r>
      <w:r>
        <w:rPr>
          <w:rFonts w:hint="cs"/>
          <w:spacing w:val="-4"/>
          <w:vertAlign w:val="superscript"/>
          <w:rtl/>
        </w:rPr>
        <w:t>(</w:t>
      </w:r>
      <w:r>
        <w:rPr>
          <w:rStyle w:val="a7"/>
          <w:spacing w:val="-4"/>
          <w:rtl/>
        </w:rPr>
        <w:footnoteReference w:id="3596"/>
      </w:r>
      <w:r>
        <w:rPr>
          <w:rFonts w:hint="cs"/>
          <w:spacing w:val="-4"/>
          <w:vertAlign w:val="superscript"/>
          <w:rtl/>
        </w:rPr>
        <w:t>)</w:t>
      </w:r>
      <w:r>
        <w:rPr>
          <w:rFonts w:hint="cs"/>
          <w:spacing w:val="-4"/>
          <w:rtl/>
        </w:rPr>
        <w:t>.</w:t>
      </w:r>
    </w:p>
    <w:p w:rsidR="00C10469" w:rsidRDefault="00C10469">
      <w:pPr>
        <w:spacing w:line="500" w:lineRule="exact"/>
        <w:rPr>
          <w:spacing w:val="-4"/>
          <w:rtl/>
        </w:rPr>
      </w:pPr>
      <w:r>
        <w:rPr>
          <w:rFonts w:hint="cs"/>
          <w:spacing w:val="-4"/>
          <w:rtl/>
        </w:rPr>
        <w:lastRenderedPageBreak/>
        <w:t>وذكر في (الهداية) على وجه الرجحان :</w:t>
      </w:r>
    </w:p>
    <w:p w:rsidR="00C10469" w:rsidRDefault="00C10469" w:rsidP="00C10469">
      <w:pPr>
        <w:ind w:left="851" w:hanging="284"/>
        <w:rPr>
          <w:spacing w:val="-4"/>
          <w:rtl/>
        </w:rPr>
      </w:pPr>
      <w:r>
        <w:rPr>
          <w:spacing w:val="-4"/>
          <w:rtl/>
        </w:rPr>
        <w:t>•</w:t>
      </w:r>
      <w:r>
        <w:rPr>
          <w:rFonts w:hint="cs"/>
          <w:spacing w:val="-4"/>
          <w:rtl/>
        </w:rPr>
        <w:t xml:space="preserve">  </w:t>
      </w:r>
      <w:r>
        <w:rPr>
          <w:rFonts w:hint="eastAsia"/>
          <w:spacing w:val="-4"/>
          <w:rtl/>
        </w:rPr>
        <w:t>«</w:t>
      </w:r>
      <w:r>
        <w:rPr>
          <w:rFonts w:hint="cs"/>
          <w:spacing w:val="-4"/>
          <w:rtl/>
        </w:rPr>
        <w:t xml:space="preserve"> إن كانتْ قيمته أقل من أربعين يُقضى له [بقيمته]</w:t>
      </w:r>
      <w:r>
        <w:rPr>
          <w:rStyle w:val="a7"/>
          <w:spacing w:val="-4"/>
          <w:rtl/>
        </w:rPr>
        <w:footnoteReference w:id="3597"/>
      </w:r>
      <w:r>
        <w:rPr>
          <w:rFonts w:hint="cs"/>
          <w:spacing w:val="-4"/>
          <w:rtl/>
        </w:rPr>
        <w:t xml:space="preserve"> إلاّ درهمًا</w:t>
      </w:r>
      <w:r>
        <w:rPr>
          <w:rFonts w:hint="cs"/>
          <w:spacing w:val="-4"/>
          <w:vertAlign w:val="superscript"/>
          <w:rtl/>
        </w:rPr>
        <w:t>(</w:t>
      </w:r>
      <w:r>
        <w:rPr>
          <w:rStyle w:val="a7"/>
          <w:spacing w:val="-4"/>
          <w:rtl/>
        </w:rPr>
        <w:footnoteReference w:id="3598"/>
      </w:r>
      <w:r>
        <w:rPr>
          <w:rFonts w:hint="cs"/>
          <w:spacing w:val="-4"/>
          <w:vertAlign w:val="superscript"/>
          <w:rtl/>
        </w:rPr>
        <w:t>)</w:t>
      </w:r>
      <w:r>
        <w:rPr>
          <w:rFonts w:hint="cs"/>
          <w:spacing w:val="-4"/>
          <w:rtl/>
        </w:rPr>
        <w:t>. ثم قال : وهذا قول محمد -رحمه الله-.</w:t>
      </w:r>
    </w:p>
    <w:p w:rsidR="00C10469" w:rsidRDefault="00C10469" w:rsidP="00C10469">
      <w:pPr>
        <w:ind w:left="851" w:hanging="284"/>
        <w:rPr>
          <w:spacing w:val="-8"/>
          <w:rtl/>
        </w:rPr>
      </w:pPr>
      <w:r>
        <w:rPr>
          <w:spacing w:val="-8"/>
          <w:sz w:val="34"/>
          <w:szCs w:val="34"/>
          <w:rtl/>
        </w:rPr>
        <w:t>•</w:t>
      </w:r>
      <w:r>
        <w:rPr>
          <w:rFonts w:hint="cs"/>
          <w:spacing w:val="-8"/>
          <w:sz w:val="34"/>
          <w:szCs w:val="34"/>
          <w:rtl/>
        </w:rPr>
        <w:t xml:space="preserve">  وقال أبو يوسف : له أربعون</w:t>
      </w:r>
      <w:r>
        <w:rPr>
          <w:rStyle w:val="a7"/>
          <w:spacing w:val="-8"/>
          <w:rtl/>
        </w:rPr>
        <w:footnoteReference w:id="3599"/>
      </w:r>
      <w:r>
        <w:rPr>
          <w:rFonts w:hint="cs"/>
          <w:spacing w:val="-8"/>
          <w:rtl/>
        </w:rPr>
        <w:t xml:space="preserve"> درهَمًا</w:t>
      </w:r>
      <w:r>
        <w:rPr>
          <w:rStyle w:val="a7"/>
          <w:spacing w:val="-8"/>
          <w:rtl/>
        </w:rPr>
        <w:footnoteReference w:id="3600"/>
      </w:r>
      <w:r>
        <w:rPr>
          <w:rFonts w:hint="cs"/>
          <w:spacing w:val="-8"/>
          <w:rtl/>
        </w:rPr>
        <w:t>؛ لأن التقدير</w:t>
      </w:r>
      <w:r>
        <w:rPr>
          <w:rStyle w:val="a7"/>
          <w:spacing w:val="-8"/>
          <w:rtl/>
        </w:rPr>
        <w:footnoteReference w:id="3601"/>
      </w:r>
      <w:r>
        <w:rPr>
          <w:rFonts w:hint="cs"/>
          <w:spacing w:val="-8"/>
          <w:rtl/>
        </w:rPr>
        <w:t xml:space="preserve"> بها</w:t>
      </w:r>
      <w:r>
        <w:rPr>
          <w:rStyle w:val="a7"/>
          <w:spacing w:val="-8"/>
          <w:rtl/>
        </w:rPr>
        <w:footnoteReference w:id="3602"/>
      </w:r>
      <w:r>
        <w:rPr>
          <w:rFonts w:hint="cs"/>
          <w:spacing w:val="-8"/>
          <w:rtl/>
        </w:rPr>
        <w:t xml:space="preserve"> ثبت بالنّص</w:t>
      </w:r>
      <w:r>
        <w:rPr>
          <w:rFonts w:hint="cs"/>
          <w:spacing w:val="-8"/>
          <w:vertAlign w:val="superscript"/>
          <w:rtl/>
        </w:rPr>
        <w:t>(</w:t>
      </w:r>
      <w:r>
        <w:rPr>
          <w:rStyle w:val="a7"/>
          <w:spacing w:val="-8"/>
          <w:rtl/>
        </w:rPr>
        <w:footnoteReference w:id="3603"/>
      </w:r>
      <w:r>
        <w:rPr>
          <w:rFonts w:hint="cs"/>
          <w:spacing w:val="-8"/>
          <w:vertAlign w:val="superscript"/>
          <w:rtl/>
        </w:rPr>
        <w:t>)</w:t>
      </w:r>
      <w:r>
        <w:rPr>
          <w:rFonts w:hint="cs"/>
          <w:spacing w:val="-8"/>
          <w:rtl/>
        </w:rPr>
        <w:t>، فلا ينقص عنها؛ ولهذا لا يجوز الصلح على الزيادة؛ بخلاف الصلح على الأقل</w:t>
      </w:r>
      <w:r>
        <w:rPr>
          <w:rStyle w:val="a7"/>
          <w:spacing w:val="-8"/>
          <w:rtl/>
        </w:rPr>
        <w:footnoteReference w:id="3604"/>
      </w:r>
      <w:r>
        <w:rPr>
          <w:rFonts w:hint="cs"/>
          <w:spacing w:val="-8"/>
          <w:rtl/>
        </w:rPr>
        <w:t xml:space="preserve">؛ لأنه حطّ </w:t>
      </w:r>
      <w:r>
        <w:rPr>
          <w:rFonts w:hint="cs"/>
          <w:spacing w:val="-8"/>
          <w:rtl/>
        </w:rPr>
        <w:lastRenderedPageBreak/>
        <w:t>منه.</w:t>
      </w:r>
    </w:p>
    <w:p w:rsidR="00C10469" w:rsidRDefault="00C10469">
      <w:pPr>
        <w:rPr>
          <w:spacing w:val="8"/>
          <w:rtl/>
        </w:rPr>
      </w:pPr>
      <w:r>
        <w:rPr>
          <w:rFonts w:hint="cs"/>
          <w:spacing w:val="8"/>
          <w:rtl/>
        </w:rPr>
        <w:t>ولمحمّد -رحمه الله- : أن المقصودَ حَمْلُ الغير على الرّد</w:t>
      </w:r>
      <w:r>
        <w:rPr>
          <w:rStyle w:val="a7"/>
          <w:spacing w:val="8"/>
          <w:rtl/>
        </w:rPr>
        <w:footnoteReference w:id="3605"/>
      </w:r>
      <w:r>
        <w:rPr>
          <w:rFonts w:hint="cs"/>
          <w:spacing w:val="8"/>
          <w:rtl/>
        </w:rPr>
        <w:t xml:space="preserve"> ليجيء</w:t>
      </w:r>
      <w:r>
        <w:rPr>
          <w:rStyle w:val="a7"/>
          <w:spacing w:val="8"/>
          <w:rtl/>
        </w:rPr>
        <w:footnoteReference w:id="3606"/>
      </w:r>
      <w:r>
        <w:rPr>
          <w:rFonts w:hint="cs"/>
          <w:spacing w:val="8"/>
          <w:rtl/>
        </w:rPr>
        <w:t xml:space="preserve"> مال</w:t>
      </w:r>
      <w:r>
        <w:rPr>
          <w:rStyle w:val="a7"/>
          <w:spacing w:val="8"/>
          <w:rtl/>
        </w:rPr>
        <w:footnoteReference w:id="3607"/>
      </w:r>
      <w:r>
        <w:rPr>
          <w:rFonts w:hint="cs"/>
          <w:spacing w:val="8"/>
          <w:rtl/>
        </w:rPr>
        <w:t xml:space="preserve"> المالك</w:t>
      </w:r>
      <w:r>
        <w:rPr>
          <w:rFonts w:hint="cs"/>
          <w:spacing w:val="8"/>
          <w:vertAlign w:val="superscript"/>
          <w:rtl/>
        </w:rPr>
        <w:t>(</w:t>
      </w:r>
      <w:r>
        <w:rPr>
          <w:rStyle w:val="a7"/>
          <w:spacing w:val="8"/>
          <w:rtl/>
        </w:rPr>
        <w:footnoteReference w:id="3608"/>
      </w:r>
      <w:r>
        <w:rPr>
          <w:rFonts w:hint="cs"/>
          <w:spacing w:val="8"/>
          <w:vertAlign w:val="superscript"/>
          <w:rtl/>
        </w:rPr>
        <w:t>)</w:t>
      </w:r>
      <w:r>
        <w:rPr>
          <w:rFonts w:hint="cs"/>
          <w:spacing w:val="8"/>
          <w:rtl/>
        </w:rPr>
        <w:t>، فيُنتقص</w:t>
      </w:r>
      <w:r>
        <w:rPr>
          <w:rStyle w:val="a7"/>
          <w:spacing w:val="8"/>
          <w:rtl/>
        </w:rPr>
        <w:footnoteReference w:id="3609"/>
      </w:r>
      <w:r>
        <w:rPr>
          <w:rFonts w:hint="cs"/>
          <w:spacing w:val="8"/>
          <w:rtl/>
        </w:rPr>
        <w:t xml:space="preserve"> درهم؛ لِيَسْلَمَ له شيءٌ تحقيقًا للفائدة </w:t>
      </w:r>
      <w:r>
        <w:rPr>
          <w:rFonts w:hint="eastAsia"/>
          <w:spacing w:val="8"/>
          <w:rtl/>
        </w:rPr>
        <w:t>»</w:t>
      </w:r>
      <w:r>
        <w:rPr>
          <w:rFonts w:hint="cs"/>
          <w:spacing w:val="8"/>
          <w:vertAlign w:val="superscript"/>
          <w:rtl/>
        </w:rPr>
        <w:t>(</w:t>
      </w:r>
      <w:r>
        <w:rPr>
          <w:rStyle w:val="a7"/>
          <w:spacing w:val="8"/>
          <w:rtl/>
        </w:rPr>
        <w:footnoteReference w:id="3610"/>
      </w:r>
      <w:r>
        <w:rPr>
          <w:rFonts w:hint="cs"/>
          <w:spacing w:val="8"/>
          <w:vertAlign w:val="superscript"/>
          <w:rtl/>
        </w:rPr>
        <w:t>)</w:t>
      </w:r>
      <w:r>
        <w:rPr>
          <w:rFonts w:hint="cs"/>
          <w:spacing w:val="8"/>
          <w:rtl/>
        </w:rPr>
        <w:t xml:space="preserve">. وهذا </w:t>
      </w:r>
      <w:r>
        <w:rPr>
          <w:rFonts w:hint="eastAsia"/>
          <w:spacing w:val="8"/>
          <w:rtl/>
        </w:rPr>
        <w:t>«</w:t>
      </w:r>
      <w:r>
        <w:rPr>
          <w:rFonts w:hint="cs"/>
          <w:spacing w:val="8"/>
          <w:rtl/>
        </w:rPr>
        <w:t>إن أشهد [أنّه]</w:t>
      </w:r>
      <w:r>
        <w:rPr>
          <w:rFonts w:hint="cs"/>
          <w:spacing w:val="8"/>
          <w:vertAlign w:val="superscript"/>
          <w:rtl/>
        </w:rPr>
        <w:t>(</w:t>
      </w:r>
      <w:r>
        <w:rPr>
          <w:rStyle w:val="a7"/>
          <w:spacing w:val="8"/>
          <w:rtl/>
        </w:rPr>
        <w:footnoteReference w:id="3611"/>
      </w:r>
      <w:r>
        <w:rPr>
          <w:rFonts w:hint="cs"/>
          <w:spacing w:val="8"/>
          <w:vertAlign w:val="superscript"/>
          <w:rtl/>
        </w:rPr>
        <w:t>)</w:t>
      </w:r>
      <w:r>
        <w:rPr>
          <w:rFonts w:hint="cs"/>
          <w:spacing w:val="8"/>
          <w:rtl/>
        </w:rPr>
        <w:t xml:space="preserve"> أخَذَهُ للرّد</w:t>
      </w:r>
      <w:r>
        <w:rPr>
          <w:rFonts w:hint="eastAsia"/>
          <w:spacing w:val="8"/>
          <w:rtl/>
        </w:rPr>
        <w:t>»</w:t>
      </w:r>
      <w:r>
        <w:rPr>
          <w:rFonts w:hint="cs"/>
          <w:spacing w:val="8"/>
          <w:vertAlign w:val="superscript"/>
          <w:rtl/>
        </w:rPr>
        <w:t>(</w:t>
      </w:r>
      <w:r>
        <w:rPr>
          <w:rStyle w:val="a7"/>
          <w:spacing w:val="8"/>
          <w:rtl/>
        </w:rPr>
        <w:footnoteReference w:id="3612"/>
      </w:r>
      <w:r>
        <w:rPr>
          <w:rFonts w:hint="cs"/>
          <w:spacing w:val="8"/>
          <w:vertAlign w:val="superscript"/>
          <w:rtl/>
        </w:rPr>
        <w:t>)</w:t>
      </w:r>
      <w:r>
        <w:rPr>
          <w:rFonts w:hint="cs"/>
          <w:spacing w:val="8"/>
          <w:rtl/>
        </w:rPr>
        <w:t>.</w:t>
      </w:r>
    </w:p>
    <w:p w:rsidR="00C10469" w:rsidRDefault="00C10469">
      <w:pPr>
        <w:rPr>
          <w:spacing w:val="-4"/>
          <w:rtl/>
        </w:rPr>
      </w:pPr>
      <w:r>
        <w:rPr>
          <w:rFonts w:hint="cs"/>
          <w:spacing w:val="-4"/>
          <w:rtl/>
        </w:rPr>
        <w:t>ولموصَّله من أقل منها بحسابه</w:t>
      </w:r>
      <w:r>
        <w:rPr>
          <w:rFonts w:hint="cs"/>
          <w:spacing w:val="-4"/>
          <w:vertAlign w:val="superscript"/>
          <w:rtl/>
        </w:rPr>
        <w:t>(</w:t>
      </w:r>
      <w:r>
        <w:rPr>
          <w:rStyle w:val="a7"/>
          <w:spacing w:val="-4"/>
          <w:rtl/>
        </w:rPr>
        <w:footnoteReference w:id="3613"/>
      </w:r>
      <w:r>
        <w:rPr>
          <w:rFonts w:hint="cs"/>
          <w:spacing w:val="-4"/>
          <w:vertAlign w:val="superscript"/>
          <w:rtl/>
        </w:rPr>
        <w:t>)</w:t>
      </w:r>
      <w:r>
        <w:rPr>
          <w:rFonts w:hint="cs"/>
          <w:spacing w:val="-4"/>
          <w:rtl/>
        </w:rPr>
        <w:t>، فمن أوصله من مسيرة</w:t>
      </w:r>
      <w:r>
        <w:rPr>
          <w:rStyle w:val="a7"/>
          <w:spacing w:val="-4"/>
          <w:rtl/>
        </w:rPr>
        <w:footnoteReference w:id="3614"/>
      </w:r>
      <w:r>
        <w:rPr>
          <w:rFonts w:hint="cs"/>
          <w:spacing w:val="-4"/>
          <w:rtl/>
        </w:rPr>
        <w:t xml:space="preserve"> يوم له ثلاثة عشر درهمًا وثلثُ درهمٍ، بتوزيع العوض على المعوض أجزاءً</w:t>
      </w:r>
      <w:r>
        <w:rPr>
          <w:rFonts w:hint="cs"/>
          <w:spacing w:val="-4"/>
          <w:vertAlign w:val="superscript"/>
          <w:rtl/>
        </w:rPr>
        <w:t>(</w:t>
      </w:r>
      <w:r>
        <w:rPr>
          <w:rStyle w:val="a7"/>
          <w:spacing w:val="-4"/>
          <w:rtl/>
        </w:rPr>
        <w:footnoteReference w:id="3615"/>
      </w:r>
      <w:r>
        <w:rPr>
          <w:rFonts w:hint="cs"/>
          <w:spacing w:val="-4"/>
          <w:vertAlign w:val="superscript"/>
          <w:rtl/>
        </w:rPr>
        <w:t>)</w:t>
      </w:r>
      <w:r>
        <w:rPr>
          <w:rFonts w:hint="cs"/>
          <w:spacing w:val="-4"/>
          <w:rtl/>
        </w:rPr>
        <w:t>.</w:t>
      </w:r>
    </w:p>
    <w:p w:rsidR="00C10469" w:rsidRPr="009727D7" w:rsidRDefault="00D9740C">
      <w:pPr>
        <w:pStyle w:val="a9"/>
        <w:rPr>
          <w:rFonts w:cs="AL-Mateen"/>
        </w:rPr>
      </w:pPr>
      <w:r w:rsidRPr="009727D7">
        <w:rPr>
          <w:rFonts w:cs="AL-Mateen"/>
          <w:rtl/>
        </w:rPr>
        <w:lastRenderedPageBreak/>
        <w:t xml:space="preserve"> </w:t>
      </w:r>
      <w:r w:rsidR="00C10469" w:rsidRPr="009727D7">
        <w:rPr>
          <w:rFonts w:cs="AL-Mateen"/>
          <w:rtl/>
        </w:rPr>
        <w:t xml:space="preserve">[ </w:t>
      </w:r>
      <w:r w:rsidR="00C10469" w:rsidRPr="009727D7">
        <w:rPr>
          <w:rFonts w:cs="AL-Mateen" w:hint="eastAsia"/>
          <w:rtl/>
        </w:rPr>
        <w:t>الـقـاعـدة</w:t>
      </w:r>
      <w:r w:rsidR="00C10469" w:rsidRPr="009727D7">
        <w:rPr>
          <w:rFonts w:cs="AL-Mateen"/>
          <w:rtl/>
        </w:rPr>
        <w:t xml:space="preserve"> الـ</w:t>
      </w:r>
      <w:r w:rsidR="00C10469" w:rsidRPr="009727D7">
        <w:rPr>
          <w:rFonts w:cs="AL-Mateen" w:hint="cs"/>
          <w:rtl/>
        </w:rPr>
        <w:t>ث</w:t>
      </w:r>
      <w:r w:rsidR="00C10469" w:rsidRPr="009727D7">
        <w:rPr>
          <w:rFonts w:cs="AL-Mateen"/>
          <w:rtl/>
        </w:rPr>
        <w:t>ـا</w:t>
      </w:r>
      <w:r w:rsidR="00C10469" w:rsidRPr="009727D7">
        <w:rPr>
          <w:rFonts w:cs="AL-Mateen" w:hint="cs"/>
          <w:rtl/>
        </w:rPr>
        <w:t>ني</w:t>
      </w:r>
      <w:r w:rsidR="00C10469" w:rsidRPr="009727D7">
        <w:rPr>
          <w:rFonts w:cs="AL-Mateen"/>
          <w:rtl/>
        </w:rPr>
        <w:t>ـة والــس</w:t>
      </w:r>
      <w:r w:rsidR="00C10469" w:rsidRPr="009727D7">
        <w:rPr>
          <w:rFonts w:cs="AL-Mateen" w:hint="cs"/>
          <w:rtl/>
        </w:rPr>
        <w:t>ب</w:t>
      </w:r>
      <w:r w:rsidR="00C10469" w:rsidRPr="009727D7">
        <w:rPr>
          <w:rFonts w:cs="AL-Mateen"/>
          <w:rtl/>
        </w:rPr>
        <w:t>ـعـون</w:t>
      </w:r>
      <w:r w:rsidR="00C10469" w:rsidRPr="009727D7">
        <w:rPr>
          <w:rFonts w:cs="AL-Mateen" w:hint="cs"/>
          <w:rtl/>
        </w:rPr>
        <w:t xml:space="preserve"> بعد المائة</w:t>
      </w:r>
      <w:r w:rsidR="00C10469" w:rsidRPr="009727D7">
        <w:rPr>
          <w:rFonts w:cs="AL-Mateen"/>
          <w:rtl/>
        </w:rPr>
        <w:t xml:space="preserve"> ]</w:t>
      </w:r>
    </w:p>
    <w:p w:rsidR="00C10469" w:rsidRDefault="00C10469">
      <w:pPr>
        <w:pStyle w:val="aa"/>
        <w:rPr>
          <w:bCs w:val="0"/>
          <w:spacing w:val="-4"/>
          <w:rtl/>
        </w:rPr>
      </w:pPr>
      <w:r>
        <w:rPr>
          <w:rFonts w:hint="cs"/>
          <w:bCs w:val="0"/>
          <w:rtl/>
        </w:rPr>
        <w:t xml:space="preserve"> الغُرْمُ بِالغُنْمِ</w:t>
      </w:r>
      <w:r>
        <w:rPr>
          <w:rFonts w:cs="Traditional Arabic" w:hint="cs"/>
          <w:bCs w:val="0"/>
          <w:vertAlign w:val="superscript"/>
          <w:rtl/>
          <w:lang w:val="en-GB"/>
        </w:rPr>
        <w:t>(</w:t>
      </w:r>
      <w:r>
        <w:rPr>
          <w:rStyle w:val="a7"/>
          <w:bCs/>
          <w:rtl/>
          <w:lang w:val="en-GB"/>
        </w:rPr>
        <w:footnoteReference w:id="3616"/>
      </w:r>
      <w:r>
        <w:rPr>
          <w:rFonts w:cs="Traditional Arabic" w:hint="cs"/>
          <w:bCs w:val="0"/>
          <w:vertAlign w:val="superscript"/>
          <w:rtl/>
          <w:lang w:val="en-GB"/>
        </w:rPr>
        <w:t>)</w:t>
      </w:r>
      <w:r>
        <w:rPr>
          <w:rFonts w:hint="cs"/>
          <w:bCs w:val="0"/>
          <w:spacing w:val="-4"/>
          <w:rtl/>
        </w:rPr>
        <w:t xml:space="preserve"> :</w:t>
      </w:r>
    </w:p>
    <w:p w:rsidR="00C10469" w:rsidRDefault="00C10469">
      <w:pPr>
        <w:rPr>
          <w:spacing w:val="10"/>
          <w:rtl/>
        </w:rPr>
      </w:pPr>
      <w:r>
        <w:rPr>
          <w:rFonts w:hint="cs"/>
          <w:spacing w:val="10"/>
          <w:rtl/>
        </w:rPr>
        <w:lastRenderedPageBreak/>
        <w:t xml:space="preserve">فإذا وُجد </w:t>
      </w:r>
      <w:r>
        <w:rPr>
          <w:rFonts w:hint="cs"/>
          <w:rtl/>
        </w:rPr>
        <w:t>القتيل في</w:t>
      </w:r>
      <w:r>
        <w:rPr>
          <w:rFonts w:hint="cs"/>
          <w:spacing w:val="10"/>
          <w:rtl/>
        </w:rPr>
        <w:t xml:space="preserve"> الشارِع الأعظم والسجن والجامعِ [تكونُ]</w:t>
      </w:r>
      <w:r>
        <w:rPr>
          <w:rStyle w:val="a7"/>
          <w:spacing w:val="10"/>
          <w:rtl/>
        </w:rPr>
        <w:footnoteReference w:id="3617"/>
      </w:r>
      <w:r>
        <w:rPr>
          <w:rFonts w:hint="cs"/>
          <w:spacing w:val="10"/>
          <w:rtl/>
        </w:rPr>
        <w:t xml:space="preserve"> الديةُ على بيت المال؛ لأنّ</w:t>
      </w:r>
      <w:r>
        <w:rPr>
          <w:rStyle w:val="a7"/>
          <w:spacing w:val="10"/>
          <w:rtl/>
        </w:rPr>
        <w:footnoteReference w:id="3618"/>
      </w:r>
      <w:r>
        <w:rPr>
          <w:rFonts w:hint="cs"/>
          <w:spacing w:val="10"/>
          <w:rtl/>
        </w:rPr>
        <w:t xml:space="preserve"> دية مَنْ لا وَلىّ له لبيت المال، فيتحمَّل الغرامة في مقابلة هذه الغنيمة</w:t>
      </w:r>
      <w:r>
        <w:rPr>
          <w:rFonts w:hint="cs"/>
          <w:spacing w:val="10"/>
          <w:vertAlign w:val="superscript"/>
          <w:rtl/>
        </w:rPr>
        <w:t>(</w:t>
      </w:r>
      <w:r>
        <w:rPr>
          <w:rStyle w:val="a7"/>
          <w:spacing w:val="10"/>
          <w:rtl/>
        </w:rPr>
        <w:footnoteReference w:id="3619"/>
      </w:r>
      <w:r>
        <w:rPr>
          <w:rFonts w:hint="cs"/>
          <w:spacing w:val="10"/>
          <w:vertAlign w:val="superscript"/>
          <w:rtl/>
        </w:rPr>
        <w:t>)</w:t>
      </w:r>
      <w:r>
        <w:rPr>
          <w:rFonts w:hint="cs"/>
          <w:spacing w:val="10"/>
          <w:rtl/>
        </w:rPr>
        <w:t>.</w:t>
      </w:r>
    </w:p>
    <w:p w:rsidR="00C10469" w:rsidRDefault="00C10469">
      <w:pPr>
        <w:rPr>
          <w:rtl/>
        </w:rPr>
      </w:pPr>
      <w:r>
        <w:rPr>
          <w:rFonts w:hint="cs"/>
          <w:rtl/>
        </w:rPr>
        <w:t>وفروع هذا الأصلِ مما لا يكاد إحصاؤه.</w:t>
      </w:r>
    </w:p>
    <w:p w:rsidR="00C10469" w:rsidRDefault="00C10469">
      <w:pPr>
        <w:rPr>
          <w:rtl/>
        </w:rPr>
      </w:pPr>
    </w:p>
    <w:p w:rsidR="00C10469" w:rsidRDefault="00C10469">
      <w:pPr>
        <w:rPr>
          <w:rtl/>
        </w:rPr>
      </w:pPr>
    </w:p>
    <w:p w:rsidR="00C10469" w:rsidRPr="00395016"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2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83657" w:rsidRDefault="00C10469">
      <w:pPr>
        <w:pStyle w:val="a9"/>
        <w:rPr>
          <w:rFonts w:cs="AL-Mateen"/>
        </w:rPr>
      </w:pPr>
      <w:r w:rsidRPr="00983657">
        <w:rPr>
          <w:rFonts w:cs="AL-Mateen"/>
          <w:rtl/>
        </w:rPr>
        <w:lastRenderedPageBreak/>
        <w:t xml:space="preserve">[ </w:t>
      </w:r>
      <w:r w:rsidRPr="00983657">
        <w:rPr>
          <w:rFonts w:cs="AL-Mateen" w:hint="eastAsia"/>
          <w:rtl/>
        </w:rPr>
        <w:t>الـقـاعـدة</w:t>
      </w:r>
      <w:r w:rsidRPr="00983657">
        <w:rPr>
          <w:rFonts w:cs="AL-Mateen"/>
          <w:rtl/>
        </w:rPr>
        <w:t xml:space="preserve"> الـ</w:t>
      </w:r>
      <w:r w:rsidRPr="00983657">
        <w:rPr>
          <w:rFonts w:cs="AL-Mateen" w:hint="cs"/>
          <w:rtl/>
        </w:rPr>
        <w:t>ث</w:t>
      </w:r>
      <w:r w:rsidRPr="00983657">
        <w:rPr>
          <w:rFonts w:cs="AL-Mateen"/>
          <w:rtl/>
        </w:rPr>
        <w:t>ـ</w:t>
      </w:r>
      <w:r w:rsidRPr="00983657">
        <w:rPr>
          <w:rFonts w:cs="AL-Mateen" w:hint="cs"/>
          <w:rtl/>
        </w:rPr>
        <w:t>الث</w:t>
      </w:r>
      <w:r w:rsidRPr="00983657">
        <w:rPr>
          <w:rFonts w:cs="AL-Mateen"/>
          <w:rtl/>
        </w:rPr>
        <w:t>ـة والــس</w:t>
      </w:r>
      <w:r w:rsidRPr="00983657">
        <w:rPr>
          <w:rFonts w:cs="AL-Mateen" w:hint="cs"/>
          <w:rtl/>
        </w:rPr>
        <w:t>ب</w:t>
      </w:r>
      <w:r w:rsidRPr="00983657">
        <w:rPr>
          <w:rFonts w:cs="AL-Mateen"/>
          <w:rtl/>
        </w:rPr>
        <w:t>ـعـون</w:t>
      </w:r>
      <w:r w:rsidRPr="00983657">
        <w:rPr>
          <w:rFonts w:cs="AL-Mateen" w:hint="cs"/>
          <w:rtl/>
        </w:rPr>
        <w:t xml:space="preserve"> بعد المائة</w:t>
      </w:r>
      <w:r w:rsidRPr="00983657">
        <w:rPr>
          <w:rFonts w:cs="AL-Mateen"/>
          <w:rtl/>
        </w:rPr>
        <w:t xml:space="preserve"> ]</w:t>
      </w:r>
    </w:p>
    <w:p w:rsidR="00C10469" w:rsidRDefault="00C10469">
      <w:pPr>
        <w:pStyle w:val="aa"/>
        <w:rPr>
          <w:bCs w:val="0"/>
          <w:rtl/>
        </w:rPr>
      </w:pPr>
      <w:r>
        <w:rPr>
          <w:rFonts w:hint="cs"/>
          <w:bCs w:val="0"/>
          <w:rtl/>
        </w:rPr>
        <w:t>الفَتْوَى فِي حَقِّ الجَاهِلِ كالاجتهادِ</w:t>
      </w:r>
      <w:r>
        <w:rPr>
          <w:rStyle w:val="a7"/>
          <w:bCs/>
          <w:rtl/>
        </w:rPr>
        <w:footnoteReference w:id="3620"/>
      </w:r>
      <w:r>
        <w:rPr>
          <w:rFonts w:hint="cs"/>
          <w:bCs w:val="0"/>
          <w:rtl/>
        </w:rPr>
        <w:t xml:space="preserve"> فِي حقِّ المُجْتَهِدِ</w:t>
      </w:r>
      <w:r>
        <w:rPr>
          <w:rFonts w:cs="Traditional Arabic" w:hint="cs"/>
          <w:bCs w:val="0"/>
          <w:vertAlign w:val="superscript"/>
          <w:rtl/>
          <w:lang w:val="en-GB"/>
        </w:rPr>
        <w:t>(</w:t>
      </w:r>
      <w:r>
        <w:rPr>
          <w:rStyle w:val="a7"/>
          <w:bCs/>
          <w:rtl/>
          <w:lang w:val="en-GB"/>
        </w:rPr>
        <w:footnoteReference w:id="3621"/>
      </w:r>
      <w:r>
        <w:rPr>
          <w:rFonts w:cs="Traditional Arabic" w:hint="cs"/>
          <w:bCs w:val="0"/>
          <w:vertAlign w:val="superscript"/>
          <w:rtl/>
          <w:lang w:val="en-GB"/>
        </w:rPr>
        <w:t>)</w:t>
      </w:r>
      <w:r>
        <w:rPr>
          <w:rFonts w:hint="cs"/>
          <w:bCs w:val="0"/>
          <w:rtl/>
        </w:rPr>
        <w:t xml:space="preserve"> :</w:t>
      </w:r>
    </w:p>
    <w:p w:rsidR="00C10469" w:rsidRDefault="00C10469">
      <w:pPr>
        <w:rPr>
          <w:rtl/>
        </w:rPr>
      </w:pPr>
      <w:r>
        <w:rPr>
          <w:rFonts w:hint="cs"/>
          <w:rtl/>
        </w:rPr>
        <w:t xml:space="preserve"> </w:t>
      </w:r>
      <w:r>
        <w:rPr>
          <w:rFonts w:hint="cs"/>
          <w:b/>
          <w:bCs/>
          <w:rtl/>
        </w:rPr>
        <w:t>بشرط</w:t>
      </w:r>
      <w:r>
        <w:rPr>
          <w:rFonts w:hint="cs"/>
          <w:rtl/>
        </w:rPr>
        <w:t xml:space="preserve"> : أن يكون المفتي مشتهرًا بالعلم، عالـمـًا بالأحكام الشرعية في </w:t>
      </w:r>
      <w:r>
        <w:rPr>
          <w:rFonts w:hint="cs"/>
          <w:rtl/>
        </w:rPr>
        <w:lastRenderedPageBreak/>
        <w:t>المعاملات والعبادات، سيّما في الاعتقاديات.</w:t>
      </w:r>
    </w:p>
    <w:p w:rsidR="00C10469" w:rsidRDefault="00C10469">
      <w:pPr>
        <w:rPr>
          <w:rtl/>
        </w:rPr>
      </w:pPr>
      <w:r>
        <w:rPr>
          <w:rFonts w:hint="cs"/>
          <w:rtl/>
        </w:rPr>
        <w:t>وإياكم والمبتدعين الضّالين المُضلَّين، وإنا شاهدنا</w:t>
      </w:r>
      <w:r>
        <w:rPr>
          <w:rStyle w:val="a7"/>
          <w:rtl/>
        </w:rPr>
        <w:footnoteReference w:id="3622"/>
      </w:r>
      <w:r>
        <w:rPr>
          <w:rFonts w:hint="cs"/>
          <w:rtl/>
        </w:rPr>
        <w:t xml:space="preserve"> في زماننا كثيرًا من [العوامّ]</w:t>
      </w:r>
      <w:r>
        <w:rPr>
          <w:rStyle w:val="a7"/>
          <w:rtl/>
        </w:rPr>
        <w:footnoteReference w:id="3623"/>
      </w:r>
      <w:r>
        <w:rPr>
          <w:rFonts w:hint="cs"/>
          <w:rtl/>
        </w:rPr>
        <w:t xml:space="preserve"> أصْغَوا [إلى]</w:t>
      </w:r>
      <w:r>
        <w:rPr>
          <w:rStyle w:val="a7"/>
          <w:rtl/>
        </w:rPr>
        <w:footnoteReference w:id="3624"/>
      </w:r>
      <w:r>
        <w:rPr>
          <w:rFonts w:hint="cs"/>
          <w:rtl/>
        </w:rPr>
        <w:t xml:space="preserve"> مَقالتهم المزخرفة، وغيروا</w:t>
      </w:r>
      <w:r>
        <w:rPr>
          <w:rFonts w:hint="cs"/>
          <w:vertAlign w:val="superscript"/>
          <w:rtl/>
        </w:rPr>
        <w:t>(</w:t>
      </w:r>
      <w:r>
        <w:rPr>
          <w:rStyle w:val="a7"/>
          <w:rtl/>
        </w:rPr>
        <w:footnoteReference w:id="3625"/>
      </w:r>
      <w:r>
        <w:rPr>
          <w:rFonts w:hint="cs"/>
          <w:vertAlign w:val="superscript"/>
          <w:rtl/>
        </w:rPr>
        <w:t>)</w:t>
      </w:r>
      <w:r>
        <w:rPr>
          <w:rFonts w:hint="cs"/>
          <w:rtl/>
        </w:rPr>
        <w:t xml:space="preserve"> بدلائلهم الباطلة الضعيفة، فوقعوا في ورطة [الغواية]</w:t>
      </w:r>
      <w:r>
        <w:rPr>
          <w:rStyle w:val="a7"/>
          <w:rtl/>
        </w:rPr>
        <w:footnoteReference w:id="3626"/>
      </w:r>
      <w:r>
        <w:rPr>
          <w:rFonts w:hint="cs"/>
          <w:rtl/>
        </w:rPr>
        <w:t xml:space="preserve"> حائرين، و سلكوا في طريق الضلالة</w:t>
      </w:r>
      <w:r>
        <w:rPr>
          <w:rStyle w:val="a7"/>
          <w:rtl/>
        </w:rPr>
        <w:footnoteReference w:id="3627"/>
      </w:r>
      <w:r>
        <w:rPr>
          <w:rFonts w:hint="cs"/>
          <w:rtl/>
        </w:rPr>
        <w:t xml:space="preserve"> سامرين.</w:t>
      </w:r>
    </w:p>
    <w:p w:rsidR="00C10469" w:rsidRDefault="00C10469">
      <w:pPr>
        <w:rPr>
          <w:rtl/>
        </w:rPr>
      </w:pPr>
    </w:p>
    <w:p w:rsidR="00C10469" w:rsidRDefault="00C10469">
      <w:pPr>
        <w:rPr>
          <w:rtl/>
        </w:rPr>
      </w:pPr>
    </w:p>
    <w:p w:rsidR="00C10469" w:rsidRPr="00EE7FBB"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2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47FB1" w:rsidRDefault="00C10469">
      <w:pPr>
        <w:pStyle w:val="a9"/>
        <w:rPr>
          <w:rFonts w:cs="AL-Mateen"/>
        </w:rPr>
      </w:pPr>
      <w:r w:rsidRPr="00147FB1">
        <w:rPr>
          <w:rFonts w:cs="AL-Mateen"/>
          <w:rtl/>
        </w:rPr>
        <w:lastRenderedPageBreak/>
        <w:t xml:space="preserve">[ </w:t>
      </w:r>
      <w:r w:rsidRPr="00147FB1">
        <w:rPr>
          <w:rFonts w:cs="AL-Mateen" w:hint="eastAsia"/>
          <w:rtl/>
        </w:rPr>
        <w:t>الـقـاعـدة</w:t>
      </w:r>
      <w:r w:rsidRPr="00147FB1">
        <w:rPr>
          <w:rFonts w:cs="AL-Mateen"/>
          <w:rtl/>
        </w:rPr>
        <w:t xml:space="preserve"> الـ</w:t>
      </w:r>
      <w:r w:rsidRPr="00147FB1">
        <w:rPr>
          <w:rFonts w:cs="AL-Mateen" w:hint="cs"/>
          <w:rtl/>
        </w:rPr>
        <w:t>ر</w:t>
      </w:r>
      <w:r w:rsidRPr="00147FB1">
        <w:rPr>
          <w:rFonts w:cs="AL-Mateen"/>
          <w:rtl/>
        </w:rPr>
        <w:t>ا</w:t>
      </w:r>
      <w:r w:rsidRPr="00147FB1">
        <w:rPr>
          <w:rFonts w:cs="AL-Mateen" w:hint="cs"/>
          <w:rtl/>
        </w:rPr>
        <w:t>ب</w:t>
      </w:r>
      <w:r w:rsidRPr="00147FB1">
        <w:rPr>
          <w:rFonts w:cs="AL-Mateen"/>
          <w:rtl/>
        </w:rPr>
        <w:t>ـعـة والــس</w:t>
      </w:r>
      <w:r w:rsidRPr="00147FB1">
        <w:rPr>
          <w:rFonts w:cs="AL-Mateen" w:hint="cs"/>
          <w:rtl/>
        </w:rPr>
        <w:t>ب</w:t>
      </w:r>
      <w:r w:rsidRPr="00147FB1">
        <w:rPr>
          <w:rFonts w:cs="AL-Mateen"/>
          <w:rtl/>
        </w:rPr>
        <w:t xml:space="preserve">ـعـون </w:t>
      </w:r>
      <w:r w:rsidRPr="00147FB1">
        <w:rPr>
          <w:rFonts w:cs="AL-Mateen" w:hint="cs"/>
          <w:rtl/>
        </w:rPr>
        <w:t>بعد المائة</w:t>
      </w:r>
      <w:r w:rsidRPr="00147FB1">
        <w:rPr>
          <w:rFonts w:cs="AL-Mateen"/>
          <w:rtl/>
        </w:rPr>
        <w:t>]</w:t>
      </w:r>
    </w:p>
    <w:p w:rsidR="00C10469" w:rsidRDefault="00C10469">
      <w:pPr>
        <w:pStyle w:val="aa"/>
        <w:rPr>
          <w:bCs w:val="0"/>
          <w:rtl/>
        </w:rPr>
      </w:pPr>
      <w:r>
        <w:rPr>
          <w:rFonts w:hint="cs"/>
          <w:bCs w:val="0"/>
          <w:rtl/>
        </w:rPr>
        <w:t>فِي كُلِّ مَوْضِعٍ يملكُ</w:t>
      </w:r>
      <w:r>
        <w:rPr>
          <w:rStyle w:val="a7"/>
          <w:bCs/>
          <w:rtl/>
        </w:rPr>
        <w:footnoteReference w:id="3628"/>
      </w:r>
      <w:r>
        <w:rPr>
          <w:rFonts w:hint="cs"/>
          <w:bCs w:val="0"/>
          <w:rtl/>
        </w:rPr>
        <w:t xml:space="preserve"> المدفوعُ إليهِ المالَ المدفوعَ إليهِ مقابَلاً بِمِلْكٍ</w:t>
      </w:r>
      <w:r>
        <w:rPr>
          <w:rStyle w:val="a7"/>
          <w:bCs/>
          <w:rtl/>
        </w:rPr>
        <w:footnoteReference w:id="3629"/>
      </w:r>
      <w:r>
        <w:rPr>
          <w:rFonts w:hint="cs"/>
          <w:bCs w:val="0"/>
          <w:rtl/>
        </w:rPr>
        <w:t xml:space="preserve"> : فإنَّ المأمورَ</w:t>
      </w:r>
      <w:r>
        <w:rPr>
          <w:rStyle w:val="a7"/>
          <w:bCs/>
          <w:rtl/>
        </w:rPr>
        <w:footnoteReference w:id="3630"/>
      </w:r>
      <w:r>
        <w:rPr>
          <w:rFonts w:hint="cs"/>
          <w:bCs w:val="0"/>
          <w:rtl/>
        </w:rPr>
        <w:t xml:space="preserve"> يرجعُ بِلاَ شَرْطٍ ، وإلاَّ فَلاَ</w:t>
      </w:r>
      <w:r>
        <w:rPr>
          <w:rStyle w:val="a7"/>
          <w:bCs/>
          <w:rtl/>
        </w:rPr>
        <w:footnoteReference w:id="3631"/>
      </w:r>
      <w:r>
        <w:rPr>
          <w:rFonts w:cs="Traditional Arabic" w:hint="cs"/>
          <w:bCs w:val="0"/>
          <w:vertAlign w:val="superscript"/>
          <w:rtl/>
          <w:lang w:val="en-GB"/>
        </w:rPr>
        <w:t>(</w:t>
      </w:r>
      <w:r>
        <w:rPr>
          <w:rStyle w:val="a7"/>
          <w:bCs/>
          <w:rtl/>
          <w:lang w:val="en-GB"/>
        </w:rPr>
        <w:footnoteReference w:id="3632"/>
      </w:r>
      <w:r>
        <w:rPr>
          <w:rFonts w:cs="Traditional Arabic" w:hint="cs"/>
          <w:bCs w:val="0"/>
          <w:vertAlign w:val="superscript"/>
          <w:rtl/>
          <w:lang w:val="en-GB"/>
        </w:rPr>
        <w:t>)</w:t>
      </w:r>
      <w:r>
        <w:rPr>
          <w:rFonts w:hint="cs"/>
          <w:bCs w:val="0"/>
          <w:rtl/>
        </w:rPr>
        <w:t xml:space="preserve"> : </w:t>
      </w:r>
    </w:p>
    <w:p w:rsidR="00C10469" w:rsidRDefault="00C10469" w:rsidP="00C10469">
      <w:pPr>
        <w:ind w:left="848" w:hanging="281"/>
        <w:rPr>
          <w:spacing w:val="-6"/>
          <w:rtl/>
        </w:rPr>
      </w:pPr>
      <w:r>
        <w:rPr>
          <w:spacing w:val="-6"/>
          <w:rtl/>
        </w:rPr>
        <w:lastRenderedPageBreak/>
        <w:t>•</w:t>
      </w:r>
      <w:r>
        <w:rPr>
          <w:rFonts w:hint="cs"/>
          <w:spacing w:val="-6"/>
          <w:rtl/>
        </w:rPr>
        <w:t xml:space="preserve">  فإن أمره بالإنفاق</w:t>
      </w:r>
      <w:r>
        <w:rPr>
          <w:rStyle w:val="a7"/>
          <w:spacing w:val="-6"/>
          <w:rtl/>
        </w:rPr>
        <w:footnoteReference w:id="3633"/>
      </w:r>
      <w:r>
        <w:rPr>
          <w:rFonts w:hint="cs"/>
          <w:spacing w:val="-6"/>
          <w:rtl/>
        </w:rPr>
        <w:t xml:space="preserve"> عليه، أو</w:t>
      </w:r>
      <w:r>
        <w:rPr>
          <w:rStyle w:val="a7"/>
          <w:spacing w:val="-6"/>
          <w:rtl/>
        </w:rPr>
        <w:footnoteReference w:id="3634"/>
      </w:r>
      <w:r>
        <w:rPr>
          <w:rFonts w:hint="cs"/>
          <w:spacing w:val="-6"/>
          <w:rtl/>
        </w:rPr>
        <w:t xml:space="preserve"> بقضاء دينه ففعل : يرجع إلى</w:t>
      </w:r>
      <w:r>
        <w:rPr>
          <w:rStyle w:val="a7"/>
          <w:spacing w:val="-6"/>
          <w:rtl/>
        </w:rPr>
        <w:footnoteReference w:id="3635"/>
      </w:r>
      <w:r>
        <w:rPr>
          <w:rFonts w:hint="cs"/>
          <w:spacing w:val="-6"/>
          <w:rtl/>
        </w:rPr>
        <w:t xml:space="preserve"> آمره، وإن لم يشترطا الرجوع؛ لأن</w:t>
      </w:r>
      <w:r>
        <w:rPr>
          <w:rStyle w:val="a7"/>
          <w:spacing w:val="-6"/>
          <w:rtl/>
        </w:rPr>
        <w:footnoteReference w:id="3636"/>
      </w:r>
      <w:r>
        <w:rPr>
          <w:rFonts w:hint="cs"/>
          <w:spacing w:val="-6"/>
          <w:rtl/>
        </w:rPr>
        <w:t xml:space="preserve"> المدفوع إليه يملك المال المدفوع إليه مقابلاً بمال في ذمته</w:t>
      </w:r>
      <w:r>
        <w:rPr>
          <w:rFonts w:hint="cs"/>
          <w:spacing w:val="-6"/>
          <w:vertAlign w:val="superscript"/>
          <w:rtl/>
        </w:rPr>
        <w:t>(</w:t>
      </w:r>
      <w:r>
        <w:rPr>
          <w:rStyle w:val="a7"/>
          <w:spacing w:val="-6"/>
          <w:rtl/>
        </w:rPr>
        <w:footnoteReference w:id="3637"/>
      </w:r>
      <w:r>
        <w:rPr>
          <w:rFonts w:hint="cs"/>
          <w:spacing w:val="-6"/>
          <w:vertAlign w:val="superscript"/>
          <w:rtl/>
        </w:rPr>
        <w:t>)</w:t>
      </w:r>
      <w:r>
        <w:rPr>
          <w:rFonts w:hint="cs"/>
          <w:spacing w:val="-6"/>
          <w:rtl/>
        </w:rPr>
        <w:t>.</w:t>
      </w:r>
    </w:p>
    <w:p w:rsidR="00C10469" w:rsidRDefault="00C10469" w:rsidP="00C10469">
      <w:pPr>
        <w:ind w:left="848" w:hanging="281"/>
        <w:rPr>
          <w:rtl/>
        </w:rPr>
      </w:pPr>
      <w:r>
        <w:rPr>
          <w:rtl/>
        </w:rPr>
        <w:t>•</w:t>
      </w:r>
      <w:r>
        <w:rPr>
          <w:rFonts w:hint="cs"/>
          <w:rtl/>
        </w:rPr>
        <w:t xml:space="preserve">  ولو أمره بالتعويض عن هبة</w:t>
      </w:r>
      <w:r>
        <w:rPr>
          <w:rStyle w:val="a7"/>
          <w:rtl/>
        </w:rPr>
        <w:footnoteReference w:id="3638"/>
      </w:r>
      <w:r>
        <w:rPr>
          <w:rFonts w:hint="cs"/>
          <w:rtl/>
        </w:rPr>
        <w:t>، أو بالإطعام عن كفارته، أو بأداء زكاة ماله، أو</w:t>
      </w:r>
      <w:r>
        <w:rPr>
          <w:rStyle w:val="a7"/>
          <w:rtl/>
        </w:rPr>
        <w:footnoteReference w:id="3639"/>
      </w:r>
      <w:r>
        <w:rPr>
          <w:rFonts w:hint="cs"/>
          <w:rtl/>
        </w:rPr>
        <w:t xml:space="preserve"> بأن يهب فلاناً عنه، ففعل : لا يرجع المأمور على الآمر بلا</w:t>
      </w:r>
      <w:r>
        <w:rPr>
          <w:rStyle w:val="a7"/>
          <w:rtl/>
        </w:rPr>
        <w:footnoteReference w:id="3640"/>
      </w:r>
      <w:r>
        <w:rPr>
          <w:rFonts w:hint="cs"/>
          <w:rtl/>
        </w:rPr>
        <w:t xml:space="preserve"> شرط الرجوع بشيء</w:t>
      </w:r>
      <w:r>
        <w:rPr>
          <w:rFonts w:hint="cs"/>
          <w:vertAlign w:val="superscript"/>
          <w:rtl/>
        </w:rPr>
        <w:t>(</w:t>
      </w:r>
      <w:r>
        <w:rPr>
          <w:rStyle w:val="a7"/>
          <w:rtl/>
        </w:rPr>
        <w:footnoteReference w:id="3641"/>
      </w:r>
      <w:r>
        <w:rPr>
          <w:rFonts w:hint="cs"/>
          <w:vertAlign w:val="superscript"/>
          <w:rtl/>
        </w:rPr>
        <w:t>)</w:t>
      </w:r>
      <w:r>
        <w:rPr>
          <w:rFonts w:hint="cs"/>
          <w:rtl/>
        </w:rPr>
        <w:t>؛ لأن المدفوع إليه لا يملك المال المدفوع إليه مقابلاً بمال؛ بل بالتبرع، فلا يرجع</w:t>
      </w:r>
      <w:r>
        <w:rPr>
          <w:rStyle w:val="a7"/>
          <w:rtl/>
        </w:rPr>
        <w:footnoteReference w:id="3642"/>
      </w:r>
      <w:r>
        <w:rPr>
          <w:rFonts w:hint="cs"/>
          <w:rtl/>
        </w:rPr>
        <w:t xml:space="preserve"> على مقتضى</w:t>
      </w:r>
      <w:r>
        <w:rPr>
          <w:rStyle w:val="a7"/>
          <w:rtl/>
        </w:rPr>
        <w:footnoteReference w:id="3643"/>
      </w:r>
      <w:r>
        <w:rPr>
          <w:rFonts w:hint="cs"/>
          <w:rtl/>
        </w:rPr>
        <w:t xml:space="preserve"> هذا الأصل.</w:t>
      </w:r>
    </w:p>
    <w:p w:rsidR="00C10469" w:rsidRDefault="00C10469">
      <w:pPr>
        <w:rPr>
          <w:rtl/>
        </w:rPr>
      </w:pPr>
      <w:r>
        <w:rPr>
          <w:rFonts w:hint="cs"/>
          <w:rtl/>
        </w:rPr>
        <w:t>وهذا مما يجب حفظه، فإن كثيرًا من الناس غافلون عنه.</w:t>
      </w:r>
    </w:p>
    <w:p w:rsidR="00C10469" w:rsidRDefault="00C10469">
      <w:pPr>
        <w:rPr>
          <w:rtl/>
        </w:rPr>
      </w:pPr>
    </w:p>
    <w:p w:rsidR="00C10469" w:rsidRDefault="00C10469">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rtl/>
        </w:rPr>
        <w:sectPr w:rsidR="00C10469" w:rsidSect="00C10469">
          <w:headerReference w:type="default" r:id="rId22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644D92" w:rsidRDefault="00C10469">
      <w:pPr>
        <w:pStyle w:val="a9"/>
        <w:rPr>
          <w:rFonts w:cs="AL-Mateen"/>
        </w:rPr>
      </w:pPr>
      <w:r w:rsidRPr="00644D92">
        <w:rPr>
          <w:rFonts w:cs="AL-Mateen"/>
          <w:rtl/>
        </w:rPr>
        <w:lastRenderedPageBreak/>
        <w:t xml:space="preserve">[ </w:t>
      </w:r>
      <w:r w:rsidRPr="00644D92">
        <w:rPr>
          <w:rFonts w:cs="AL-Mateen" w:hint="eastAsia"/>
          <w:rtl/>
        </w:rPr>
        <w:t>الـقـاعـدة</w:t>
      </w:r>
      <w:r w:rsidRPr="00644D92">
        <w:rPr>
          <w:rFonts w:cs="AL-Mateen" w:hint="cs"/>
          <w:rtl/>
        </w:rPr>
        <w:t xml:space="preserve"> </w:t>
      </w:r>
      <w:r w:rsidRPr="00644D92">
        <w:rPr>
          <w:rFonts w:cs="AL-Mateen"/>
          <w:rtl/>
        </w:rPr>
        <w:t xml:space="preserve"> الـ</w:t>
      </w:r>
      <w:r w:rsidRPr="00644D92">
        <w:rPr>
          <w:rFonts w:cs="AL-Mateen" w:hint="cs"/>
          <w:rtl/>
        </w:rPr>
        <w:t>خ</w:t>
      </w:r>
      <w:r w:rsidRPr="00644D92">
        <w:rPr>
          <w:rFonts w:cs="AL-Mateen"/>
          <w:rtl/>
        </w:rPr>
        <w:t>ـ</w:t>
      </w:r>
      <w:r w:rsidRPr="00644D92">
        <w:rPr>
          <w:rFonts w:cs="AL-Mateen" w:hint="cs"/>
          <w:rtl/>
        </w:rPr>
        <w:t>ام</w:t>
      </w:r>
      <w:r w:rsidRPr="00644D92">
        <w:rPr>
          <w:rFonts w:cs="AL-Mateen"/>
          <w:rtl/>
        </w:rPr>
        <w:t>ســة</w:t>
      </w:r>
      <w:r w:rsidRPr="00644D92">
        <w:rPr>
          <w:rFonts w:cs="AL-Mateen" w:hint="cs"/>
          <w:rtl/>
        </w:rPr>
        <w:t xml:space="preserve"> و</w:t>
      </w:r>
      <w:r w:rsidRPr="00644D92">
        <w:rPr>
          <w:rFonts w:cs="AL-Mateen"/>
          <w:rtl/>
        </w:rPr>
        <w:t xml:space="preserve"> الــسـ</w:t>
      </w:r>
      <w:r w:rsidRPr="00644D92">
        <w:rPr>
          <w:rFonts w:cs="AL-Mateen" w:hint="cs"/>
          <w:rtl/>
        </w:rPr>
        <w:t>ب</w:t>
      </w:r>
      <w:r w:rsidRPr="00644D92">
        <w:rPr>
          <w:rFonts w:cs="AL-Mateen"/>
          <w:rtl/>
        </w:rPr>
        <w:t>عـون</w:t>
      </w:r>
      <w:r w:rsidRPr="00644D92">
        <w:rPr>
          <w:rFonts w:cs="AL-Mateen" w:hint="cs"/>
          <w:rtl/>
        </w:rPr>
        <w:t xml:space="preserve"> بعد المائة</w:t>
      </w:r>
      <w:r w:rsidRPr="00644D92">
        <w:rPr>
          <w:rFonts w:cs="AL-Mateen"/>
          <w:rtl/>
        </w:rPr>
        <w:t xml:space="preserve"> ]</w:t>
      </w:r>
    </w:p>
    <w:p w:rsidR="00C10469" w:rsidRDefault="00C10469">
      <w:pPr>
        <w:pStyle w:val="aa"/>
        <w:rPr>
          <w:bCs w:val="0"/>
          <w:rtl/>
        </w:rPr>
      </w:pPr>
      <w:r>
        <w:rPr>
          <w:rFonts w:hint="cs"/>
          <w:bCs w:val="0"/>
          <w:rtl/>
        </w:rPr>
        <w:t>الفَرْعُ</w:t>
      </w:r>
      <w:r>
        <w:rPr>
          <w:rStyle w:val="a7"/>
          <w:bCs/>
          <w:rtl/>
        </w:rPr>
        <w:footnoteReference w:id="3644"/>
      </w:r>
      <w:r>
        <w:rPr>
          <w:rFonts w:hint="cs"/>
          <w:bCs w:val="0"/>
          <w:rtl/>
        </w:rPr>
        <w:t xml:space="preserve"> [المُخْتَصُّ]</w:t>
      </w:r>
      <w:r>
        <w:rPr>
          <w:rStyle w:val="a7"/>
          <w:bCs/>
          <w:rtl/>
        </w:rPr>
        <w:footnoteReference w:id="3645"/>
      </w:r>
      <w:r>
        <w:rPr>
          <w:rFonts w:hint="cs"/>
          <w:bCs w:val="0"/>
          <w:rtl/>
        </w:rPr>
        <w:t xml:space="preserve"> بأصلِ وُجُودِهِ يَدُلَّ [على]</w:t>
      </w:r>
      <w:r>
        <w:rPr>
          <w:rStyle w:val="a7"/>
          <w:bCs/>
          <w:rtl/>
        </w:rPr>
        <w:footnoteReference w:id="3646"/>
      </w:r>
      <w:r>
        <w:rPr>
          <w:rFonts w:hint="cs"/>
          <w:bCs w:val="0"/>
          <w:rtl/>
        </w:rPr>
        <w:t xml:space="preserve"> وُجُودِ أصْلِهِ</w:t>
      </w:r>
      <w:r>
        <w:rPr>
          <w:rFonts w:cs="Traditional Arabic" w:hint="cs"/>
          <w:bCs w:val="0"/>
          <w:spacing w:val="-4"/>
          <w:vertAlign w:val="superscript"/>
          <w:rtl/>
          <w:lang w:val="en-GB"/>
        </w:rPr>
        <w:t>(</w:t>
      </w:r>
      <w:r>
        <w:rPr>
          <w:rStyle w:val="a7"/>
          <w:bCs/>
          <w:spacing w:val="-4"/>
          <w:rtl/>
          <w:lang w:val="en-GB"/>
        </w:rPr>
        <w:footnoteReference w:id="3647"/>
      </w:r>
      <w:r>
        <w:rPr>
          <w:rFonts w:cs="Traditional Arabic" w:hint="cs"/>
          <w:bCs w:val="0"/>
          <w:spacing w:val="-4"/>
          <w:vertAlign w:val="superscript"/>
          <w:rtl/>
          <w:lang w:val="en-GB"/>
        </w:rPr>
        <w:t>)</w:t>
      </w:r>
      <w:r>
        <w:rPr>
          <w:rFonts w:hint="cs"/>
          <w:bCs w:val="0"/>
          <w:rtl/>
        </w:rPr>
        <w:t xml:space="preserve"> :</w:t>
      </w:r>
    </w:p>
    <w:p w:rsidR="00C10469" w:rsidRDefault="00C10469">
      <w:pPr>
        <w:rPr>
          <w:spacing w:val="-4"/>
          <w:rtl/>
        </w:rPr>
      </w:pPr>
      <w:r>
        <w:rPr>
          <w:rFonts w:hint="cs"/>
          <w:rtl/>
        </w:rPr>
        <w:t xml:space="preserve">قال صاحب (الهداية) : </w:t>
      </w:r>
      <w:r>
        <w:rPr>
          <w:rFonts w:hint="eastAsia"/>
          <w:spacing w:val="-4"/>
          <w:rtl/>
        </w:rPr>
        <w:t>«</w:t>
      </w:r>
      <w:r>
        <w:rPr>
          <w:rFonts w:hint="cs"/>
          <w:spacing w:val="-4"/>
          <w:rtl/>
        </w:rPr>
        <w:t>إذا دفع الوكيلُ بالشراء الثمن من ماله، وقبض المبيع : لم يكن متبرّعًا، فله أن يرجع على الموكل؛ لأنه انعقدت مبادلة حكمية بينهما</w:t>
      </w:r>
      <w:r>
        <w:rPr>
          <w:rFonts w:hint="eastAsia"/>
          <w:spacing w:val="-4"/>
          <w:rtl/>
        </w:rPr>
        <w:t>»</w:t>
      </w:r>
      <w:r>
        <w:rPr>
          <w:rFonts w:hint="cs"/>
          <w:spacing w:val="-4"/>
          <w:vertAlign w:val="superscript"/>
          <w:rtl/>
        </w:rPr>
        <w:t>(</w:t>
      </w:r>
      <w:r>
        <w:rPr>
          <w:rStyle w:val="a7"/>
          <w:spacing w:val="-4"/>
          <w:rtl/>
        </w:rPr>
        <w:footnoteReference w:id="3648"/>
      </w:r>
      <w:r>
        <w:rPr>
          <w:rFonts w:hint="cs"/>
          <w:spacing w:val="-4"/>
          <w:vertAlign w:val="superscript"/>
          <w:rtl/>
        </w:rPr>
        <w:t>)</w:t>
      </w:r>
      <w:r>
        <w:rPr>
          <w:rFonts w:hint="cs"/>
          <w:spacing w:val="-4"/>
          <w:rtl/>
        </w:rPr>
        <w:t xml:space="preserve">، </w:t>
      </w:r>
      <w:r>
        <w:rPr>
          <w:rFonts w:hint="eastAsia"/>
          <w:spacing w:val="-4"/>
          <w:rtl/>
        </w:rPr>
        <w:t>«</w:t>
      </w:r>
      <w:r>
        <w:rPr>
          <w:rFonts w:hint="cs"/>
          <w:spacing w:val="-4"/>
          <w:rtl/>
        </w:rPr>
        <w:t>فصار الوكيل كالبائع من الموكل</w:t>
      </w:r>
      <w:r>
        <w:rPr>
          <w:rFonts w:hint="cs"/>
          <w:spacing w:val="-4"/>
          <w:vertAlign w:val="superscript"/>
          <w:rtl/>
        </w:rPr>
        <w:t>(</w:t>
      </w:r>
      <w:r>
        <w:rPr>
          <w:rStyle w:val="a7"/>
          <w:spacing w:val="-4"/>
          <w:rtl/>
        </w:rPr>
        <w:footnoteReference w:id="3649"/>
      </w:r>
      <w:r>
        <w:rPr>
          <w:rFonts w:hint="cs"/>
          <w:spacing w:val="-4"/>
          <w:vertAlign w:val="superscript"/>
          <w:rtl/>
        </w:rPr>
        <w:t>)</w:t>
      </w:r>
      <w:r>
        <w:rPr>
          <w:rFonts w:hint="cs"/>
          <w:spacing w:val="-4"/>
          <w:rtl/>
        </w:rPr>
        <w:t>؛ لثبوت أمارتها، وهي إذا اختلف الوكيل والموكل في مقدار الثمن يتحالفان، وإذا وجد الموكل</w:t>
      </w:r>
      <w:r>
        <w:rPr>
          <w:rStyle w:val="a7"/>
          <w:spacing w:val="-4"/>
          <w:rtl/>
        </w:rPr>
        <w:footnoteReference w:id="3650"/>
      </w:r>
      <w:r>
        <w:rPr>
          <w:rFonts w:hint="cs"/>
          <w:spacing w:val="-4"/>
          <w:rtl/>
        </w:rPr>
        <w:t xml:space="preserve"> عيبًا بالمشترى يردّه على الوكيل، و ذلك من خواصّ المبادلة</w:t>
      </w:r>
      <w:r>
        <w:rPr>
          <w:rFonts w:hint="eastAsia"/>
          <w:spacing w:val="-4"/>
          <w:rtl/>
        </w:rPr>
        <w:t>»</w:t>
      </w:r>
      <w:r>
        <w:rPr>
          <w:rStyle w:val="a7"/>
          <w:spacing w:val="-4"/>
          <w:rtl/>
        </w:rPr>
        <w:footnoteReference w:id="3651"/>
      </w:r>
      <w:r>
        <w:rPr>
          <w:rFonts w:hint="cs"/>
          <w:spacing w:val="-4"/>
          <w:vertAlign w:val="superscript"/>
          <w:rtl/>
        </w:rPr>
        <w:t>(</w:t>
      </w:r>
      <w:r>
        <w:rPr>
          <w:rStyle w:val="a7"/>
          <w:spacing w:val="-4"/>
          <w:rtl/>
        </w:rPr>
        <w:footnoteReference w:id="3652"/>
      </w:r>
      <w:r>
        <w:rPr>
          <w:rFonts w:hint="cs"/>
          <w:spacing w:val="-4"/>
          <w:vertAlign w:val="superscript"/>
          <w:rtl/>
        </w:rPr>
        <w:t>)</w:t>
      </w:r>
      <w:r>
        <w:rPr>
          <w:rFonts w:hint="cs"/>
          <w:spacing w:val="-4"/>
          <w:rtl/>
        </w:rPr>
        <w:t xml:space="preserve"> فيكون دليلاً عليها.</w:t>
      </w:r>
    </w:p>
    <w:p w:rsidR="00C10469" w:rsidRDefault="00C10469">
      <w:pPr>
        <w:rPr>
          <w:spacing w:val="-4"/>
          <w:rtl/>
        </w:rPr>
      </w:pPr>
      <w:r>
        <w:rPr>
          <w:rFonts w:hint="cs"/>
          <w:b/>
          <w:bCs/>
          <w:spacing w:val="-4"/>
          <w:rtl/>
        </w:rPr>
        <w:t>وأوردوا الاعتراض عليه</w:t>
      </w:r>
      <w:r>
        <w:rPr>
          <w:rFonts w:hint="cs"/>
          <w:spacing w:val="-4"/>
          <w:rtl/>
        </w:rPr>
        <w:t xml:space="preserve"> : بأنَّ هذه الأحكام ليست دليلاً على عدم كون الوكيل متبرعًا؛ بل هو دليل مبادلة حكمية بينهما.</w:t>
      </w:r>
    </w:p>
    <w:p w:rsidR="00C10469" w:rsidRDefault="00C10469">
      <w:pPr>
        <w:rPr>
          <w:spacing w:val="-4"/>
          <w:rtl/>
        </w:rPr>
      </w:pPr>
      <w:r>
        <w:rPr>
          <w:rFonts w:hint="cs"/>
          <w:b/>
          <w:bCs/>
          <w:spacing w:val="-4"/>
          <w:rtl/>
        </w:rPr>
        <w:t xml:space="preserve">فأجيب </w:t>
      </w:r>
      <w:r>
        <w:rPr>
          <w:rFonts w:hint="cs"/>
          <w:spacing w:val="-4"/>
          <w:rtl/>
        </w:rPr>
        <w:t>عن هذا الاعتراض : بهذا الأصل الذي ذكرناه في صدد الكلام</w:t>
      </w:r>
      <w:r>
        <w:rPr>
          <w:rFonts w:hint="cs"/>
          <w:spacing w:val="-4"/>
          <w:vertAlign w:val="superscript"/>
          <w:rtl/>
        </w:rPr>
        <w:t>(</w:t>
      </w:r>
      <w:r>
        <w:rPr>
          <w:rStyle w:val="a7"/>
          <w:spacing w:val="-4"/>
          <w:rtl/>
        </w:rPr>
        <w:footnoteReference w:id="3653"/>
      </w:r>
      <w:r>
        <w:rPr>
          <w:rFonts w:hint="cs"/>
          <w:spacing w:val="-4"/>
          <w:vertAlign w:val="superscript"/>
          <w:rtl/>
        </w:rPr>
        <w:t>)</w:t>
      </w:r>
      <w:r>
        <w:rPr>
          <w:rFonts w:hint="cs"/>
          <w:spacing w:val="-4"/>
          <w:rtl/>
        </w:rPr>
        <w:t>.</w:t>
      </w:r>
    </w:p>
    <w:p w:rsidR="00C10469" w:rsidRDefault="00C10469">
      <w:pPr>
        <w:rPr>
          <w:spacing w:val="-4"/>
          <w:rtl/>
        </w:rPr>
      </w:pPr>
      <w:r>
        <w:rPr>
          <w:rFonts w:hint="cs"/>
          <w:b/>
          <w:bCs/>
          <w:spacing w:val="-4"/>
          <w:rtl/>
        </w:rPr>
        <w:lastRenderedPageBreak/>
        <w:t>وتقريره</w:t>
      </w:r>
      <w:r>
        <w:rPr>
          <w:rFonts w:hint="cs"/>
          <w:spacing w:val="-4"/>
          <w:rtl/>
        </w:rPr>
        <w:t xml:space="preserve"> : أن هذه الأحكام من فروع المبادلة خاصّة، فإذا وجدنا من هذه الأحكام [يُستدل]</w:t>
      </w:r>
      <w:r>
        <w:rPr>
          <w:rStyle w:val="a7"/>
          <w:spacing w:val="-4"/>
          <w:rtl/>
        </w:rPr>
        <w:footnoteReference w:id="3654"/>
      </w:r>
      <w:r>
        <w:rPr>
          <w:rFonts w:hint="cs"/>
          <w:spacing w:val="-4"/>
          <w:rtl/>
        </w:rPr>
        <w:t xml:space="preserve"> بوجود المبادلة، و المبادلة</w:t>
      </w:r>
      <w:r>
        <w:rPr>
          <w:rStyle w:val="a7"/>
          <w:spacing w:val="-4"/>
          <w:rtl/>
        </w:rPr>
        <w:footnoteReference w:id="3655"/>
      </w:r>
      <w:r>
        <w:rPr>
          <w:rFonts w:hint="cs"/>
          <w:spacing w:val="-4"/>
          <w:rtl/>
        </w:rPr>
        <w:t xml:space="preserve"> تدل على عدم كون [الوكيل]</w:t>
      </w:r>
      <w:r>
        <w:rPr>
          <w:rStyle w:val="a7"/>
          <w:spacing w:val="-4"/>
          <w:rtl/>
        </w:rPr>
        <w:footnoteReference w:id="3656"/>
      </w:r>
      <w:r>
        <w:rPr>
          <w:rFonts w:hint="cs"/>
          <w:spacing w:val="-4"/>
          <w:rtl/>
        </w:rPr>
        <w:t xml:space="preserve"> متبرَّعًا، [فتكون]</w:t>
      </w:r>
      <w:r>
        <w:rPr>
          <w:rStyle w:val="a7"/>
          <w:spacing w:val="-4"/>
          <w:rtl/>
        </w:rPr>
        <w:footnoteReference w:id="3657"/>
      </w:r>
      <w:r>
        <w:rPr>
          <w:rFonts w:hint="cs"/>
          <w:spacing w:val="-4"/>
          <w:rtl/>
        </w:rPr>
        <w:t xml:space="preserve"> هذه الأحكام دليلاً [على]</w:t>
      </w:r>
      <w:r>
        <w:rPr>
          <w:rStyle w:val="a7"/>
          <w:spacing w:val="-4"/>
          <w:rtl/>
        </w:rPr>
        <w:footnoteReference w:id="3658"/>
      </w:r>
      <w:r>
        <w:rPr>
          <w:rFonts w:hint="cs"/>
          <w:spacing w:val="-4"/>
          <w:rtl/>
        </w:rPr>
        <w:t xml:space="preserve"> عدم كونه متبرعًا بواسطة المبادلة.</w:t>
      </w:r>
    </w:p>
    <w:p w:rsidR="00C10469" w:rsidRDefault="00C10469">
      <w:pPr>
        <w:rPr>
          <w:spacing w:val="-4"/>
          <w:rtl/>
        </w:rPr>
      </w:pPr>
    </w:p>
    <w:p w:rsidR="00C10469" w:rsidRDefault="00C10469">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4"/>
          <w:rtl/>
        </w:rPr>
        <w:sectPr w:rsidR="00C10469" w:rsidSect="00C10469">
          <w:headerReference w:type="default" r:id="rId23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C34480" w:rsidRDefault="00C10469">
      <w:pPr>
        <w:pStyle w:val="a9"/>
        <w:rPr>
          <w:rFonts w:cs="AL-Mateen"/>
        </w:rPr>
      </w:pPr>
      <w:r w:rsidRPr="00C34480">
        <w:rPr>
          <w:rFonts w:cs="AL-Mateen"/>
          <w:rtl/>
        </w:rPr>
        <w:lastRenderedPageBreak/>
        <w:t xml:space="preserve">[ </w:t>
      </w:r>
      <w:r w:rsidRPr="00C34480">
        <w:rPr>
          <w:rFonts w:cs="AL-Mateen" w:hint="eastAsia"/>
          <w:rtl/>
        </w:rPr>
        <w:t>الـقـاعـدة</w:t>
      </w:r>
      <w:r w:rsidRPr="00C34480">
        <w:rPr>
          <w:rFonts w:cs="AL-Mateen"/>
          <w:rtl/>
        </w:rPr>
        <w:t xml:space="preserve"> الـ</w:t>
      </w:r>
      <w:r w:rsidRPr="00C34480">
        <w:rPr>
          <w:rFonts w:cs="AL-Mateen" w:hint="cs"/>
          <w:rtl/>
        </w:rPr>
        <w:t>س</w:t>
      </w:r>
      <w:r w:rsidRPr="00C34480">
        <w:rPr>
          <w:rFonts w:cs="AL-Mateen"/>
          <w:rtl/>
        </w:rPr>
        <w:t>ـا</w:t>
      </w:r>
      <w:r w:rsidRPr="00C34480">
        <w:rPr>
          <w:rFonts w:cs="AL-Mateen" w:hint="cs"/>
          <w:rtl/>
        </w:rPr>
        <w:t>دس</w:t>
      </w:r>
      <w:r w:rsidRPr="00C34480">
        <w:rPr>
          <w:rFonts w:cs="AL-Mateen"/>
          <w:rtl/>
        </w:rPr>
        <w:t>ــة والــس</w:t>
      </w:r>
      <w:r w:rsidRPr="00C34480">
        <w:rPr>
          <w:rFonts w:cs="AL-Mateen" w:hint="cs"/>
          <w:rtl/>
        </w:rPr>
        <w:t>ب</w:t>
      </w:r>
      <w:r w:rsidRPr="00C34480">
        <w:rPr>
          <w:rFonts w:cs="AL-Mateen"/>
          <w:rtl/>
        </w:rPr>
        <w:t>ـعـون</w:t>
      </w:r>
      <w:r w:rsidRPr="00C34480">
        <w:rPr>
          <w:rFonts w:cs="AL-Mateen" w:hint="cs"/>
          <w:rtl/>
        </w:rPr>
        <w:t xml:space="preserve"> بعد المائة</w:t>
      </w:r>
      <w:r w:rsidRPr="00C34480">
        <w:rPr>
          <w:rFonts w:cs="AL-Mateen"/>
          <w:rtl/>
        </w:rPr>
        <w:t xml:space="preserve"> ]</w:t>
      </w:r>
    </w:p>
    <w:p w:rsidR="00C10469" w:rsidRDefault="00C10469">
      <w:pPr>
        <w:pStyle w:val="aa"/>
        <w:rPr>
          <w:bCs w:val="0"/>
          <w:rtl/>
        </w:rPr>
      </w:pPr>
      <w:r>
        <w:rPr>
          <w:rFonts w:hint="cs"/>
          <w:bCs w:val="0"/>
          <w:rtl/>
        </w:rPr>
        <w:t>القَدِيمُ يُتْرَكُ عَلَى قِدَمِهِ</w:t>
      </w:r>
      <w:r>
        <w:rPr>
          <w:rFonts w:cs="Traditional Arabic" w:hint="cs"/>
          <w:bCs w:val="0"/>
          <w:vertAlign w:val="superscript"/>
          <w:rtl/>
          <w:lang w:val="en-GB"/>
        </w:rPr>
        <w:t>(</w:t>
      </w:r>
      <w:r>
        <w:rPr>
          <w:rStyle w:val="a7"/>
          <w:bCs/>
          <w:rtl/>
          <w:lang w:val="en-GB"/>
        </w:rPr>
        <w:footnoteReference w:id="3659"/>
      </w:r>
      <w:r>
        <w:rPr>
          <w:rFonts w:cs="Traditional Arabic" w:hint="cs"/>
          <w:bCs w:val="0"/>
          <w:vertAlign w:val="superscript"/>
          <w:rtl/>
          <w:lang w:val="en-GB"/>
        </w:rPr>
        <w:t>)</w:t>
      </w:r>
      <w:r>
        <w:rPr>
          <w:rFonts w:hint="cs"/>
          <w:bCs w:val="0"/>
          <w:rtl/>
        </w:rPr>
        <w:t xml:space="preserve"> : </w:t>
      </w:r>
    </w:p>
    <w:p w:rsidR="00C10469" w:rsidRDefault="00C10469">
      <w:pPr>
        <w:rPr>
          <w:rtl/>
        </w:rPr>
      </w:pPr>
      <w:r>
        <w:rPr>
          <w:rFonts w:hint="cs"/>
          <w:b/>
          <w:bCs/>
          <w:rtl/>
        </w:rPr>
        <w:lastRenderedPageBreak/>
        <w:t>فروع هذا الأصل كثيرة</w:t>
      </w:r>
      <w:r>
        <w:rPr>
          <w:rFonts w:hint="cs"/>
          <w:rtl/>
        </w:rPr>
        <w:t xml:space="preserve"> :</w:t>
      </w:r>
    </w:p>
    <w:p w:rsidR="00C10469" w:rsidRDefault="00C10469">
      <w:pPr>
        <w:rPr>
          <w:rtl/>
        </w:rPr>
      </w:pPr>
      <w:r>
        <w:rPr>
          <w:rFonts w:hint="cs"/>
          <w:b/>
          <w:bCs/>
          <w:rtl/>
        </w:rPr>
        <w:t>منها</w:t>
      </w:r>
      <w:r>
        <w:rPr>
          <w:rFonts w:hint="cs"/>
          <w:rtl/>
        </w:rPr>
        <w:t xml:space="preserve"> : إذا كانت القسمة في الشرب بالكُوَى</w:t>
      </w:r>
      <w:r>
        <w:rPr>
          <w:rFonts w:hint="cs"/>
          <w:vertAlign w:val="superscript"/>
          <w:rtl/>
        </w:rPr>
        <w:t>(</w:t>
      </w:r>
      <w:r>
        <w:rPr>
          <w:rStyle w:val="a7"/>
          <w:rtl/>
        </w:rPr>
        <w:footnoteReference w:id="3660"/>
      </w:r>
      <w:r>
        <w:rPr>
          <w:rFonts w:hint="cs"/>
          <w:vertAlign w:val="superscript"/>
          <w:rtl/>
        </w:rPr>
        <w:t>)</w:t>
      </w:r>
      <w:r>
        <w:rPr>
          <w:rFonts w:hint="cs"/>
          <w:rtl/>
        </w:rPr>
        <w:t xml:space="preserve"> : يُترك على قدمه، ويمنع عن القسمة بالأيام</w:t>
      </w:r>
      <w:r>
        <w:rPr>
          <w:rFonts w:hint="cs"/>
          <w:vertAlign w:val="superscript"/>
          <w:rtl/>
        </w:rPr>
        <w:t>(</w:t>
      </w:r>
      <w:r>
        <w:rPr>
          <w:rStyle w:val="a7"/>
          <w:rtl/>
        </w:rPr>
        <w:footnoteReference w:id="3661"/>
      </w:r>
      <w:r>
        <w:rPr>
          <w:rFonts w:hint="cs"/>
          <w:vertAlign w:val="superscript"/>
          <w:rtl/>
        </w:rPr>
        <w:t>)</w:t>
      </w:r>
      <w:r>
        <w:rPr>
          <w:rFonts w:hint="cs"/>
          <w:rtl/>
        </w:rPr>
        <w:t>.</w:t>
      </w:r>
    </w:p>
    <w:p w:rsidR="00C10469" w:rsidRDefault="00C10469">
      <w:pPr>
        <w:rPr>
          <w:spacing w:val="-6"/>
          <w:rtl/>
        </w:rPr>
        <w:sectPr w:rsidR="00C10469" w:rsidSect="00C10469">
          <w:headerReference w:type="default" r:id="rId23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spacing w:val="-6"/>
          <w:rtl/>
        </w:rPr>
        <w:t>وهـذا الأصـل داخـل في الأصـل الـذي ذُكـر في بـاب العين</w:t>
      </w:r>
      <w:r>
        <w:rPr>
          <w:rStyle w:val="a7"/>
          <w:spacing w:val="-6"/>
          <w:rtl/>
        </w:rPr>
        <w:footnoteReference w:id="3662"/>
      </w:r>
      <w:r>
        <w:rPr>
          <w:rFonts w:hint="cs"/>
          <w:spacing w:val="-6"/>
          <w:rtl/>
        </w:rPr>
        <w:t xml:space="preserve">، وهو: </w:t>
      </w:r>
      <w:r>
        <w:rPr>
          <w:rFonts w:hint="eastAsia"/>
          <w:spacing w:val="-6"/>
          <w:rtl/>
        </w:rPr>
        <w:t>«</w:t>
      </w:r>
      <w:r>
        <w:rPr>
          <w:rFonts w:hint="cs"/>
          <w:spacing w:val="-6"/>
          <w:rtl/>
        </w:rPr>
        <w:t>العادة محكمة</w:t>
      </w:r>
      <w:r>
        <w:rPr>
          <w:rFonts w:hint="eastAsia"/>
          <w:spacing w:val="-6"/>
          <w:rtl/>
        </w:rPr>
        <w:t>»</w:t>
      </w:r>
      <w:r>
        <w:rPr>
          <w:rFonts w:hint="cs"/>
          <w:spacing w:val="-6"/>
          <w:vertAlign w:val="superscript"/>
          <w:rtl/>
        </w:rPr>
        <w:t>(</w:t>
      </w:r>
      <w:r>
        <w:rPr>
          <w:rStyle w:val="a7"/>
          <w:spacing w:val="-6"/>
          <w:rtl/>
        </w:rPr>
        <w:footnoteReference w:id="3663"/>
      </w:r>
      <w:r>
        <w:rPr>
          <w:rFonts w:hint="cs"/>
          <w:spacing w:val="-6"/>
          <w:vertAlign w:val="superscript"/>
          <w:rtl/>
        </w:rPr>
        <w:t>)</w:t>
      </w:r>
      <w:r>
        <w:rPr>
          <w:rFonts w:hint="cs"/>
          <w:spacing w:val="-6"/>
          <w:rtl/>
        </w:rPr>
        <w:t>.</w:t>
      </w:r>
    </w:p>
    <w:p w:rsidR="00C10469" w:rsidRPr="00296519" w:rsidRDefault="00C10469">
      <w:pPr>
        <w:pStyle w:val="a9"/>
        <w:rPr>
          <w:rFonts w:cs="AL-Mateen"/>
        </w:rPr>
      </w:pPr>
      <w:r w:rsidRPr="00296519">
        <w:rPr>
          <w:rFonts w:cs="AL-Mateen"/>
          <w:rtl/>
        </w:rPr>
        <w:lastRenderedPageBreak/>
        <w:t xml:space="preserve">[ </w:t>
      </w:r>
      <w:r w:rsidRPr="00296519">
        <w:rPr>
          <w:rFonts w:cs="AL-Mateen" w:hint="eastAsia"/>
          <w:rtl/>
        </w:rPr>
        <w:t>الـقـاعـدة</w:t>
      </w:r>
      <w:r w:rsidRPr="00296519">
        <w:rPr>
          <w:rFonts w:cs="AL-Mateen"/>
          <w:rtl/>
        </w:rPr>
        <w:t xml:space="preserve"> الـ</w:t>
      </w:r>
      <w:r w:rsidRPr="00296519">
        <w:rPr>
          <w:rFonts w:cs="AL-Mateen" w:hint="cs"/>
          <w:rtl/>
        </w:rPr>
        <w:t>س</w:t>
      </w:r>
      <w:r w:rsidRPr="00296519">
        <w:rPr>
          <w:rFonts w:cs="AL-Mateen"/>
          <w:rtl/>
        </w:rPr>
        <w:t>ـا</w:t>
      </w:r>
      <w:r w:rsidRPr="00296519">
        <w:rPr>
          <w:rFonts w:cs="AL-Mateen" w:hint="cs"/>
          <w:rtl/>
        </w:rPr>
        <w:t>ب</w:t>
      </w:r>
      <w:r w:rsidRPr="00296519">
        <w:rPr>
          <w:rFonts w:cs="AL-Mateen"/>
          <w:rtl/>
        </w:rPr>
        <w:t>ـعـة والــس</w:t>
      </w:r>
      <w:r w:rsidRPr="00296519">
        <w:rPr>
          <w:rFonts w:cs="AL-Mateen" w:hint="cs"/>
          <w:rtl/>
        </w:rPr>
        <w:t>ب</w:t>
      </w:r>
      <w:r w:rsidRPr="00296519">
        <w:rPr>
          <w:rFonts w:cs="AL-Mateen"/>
          <w:rtl/>
        </w:rPr>
        <w:t>ـعـون</w:t>
      </w:r>
      <w:r w:rsidRPr="00296519">
        <w:rPr>
          <w:rFonts w:cs="AL-Mateen" w:hint="cs"/>
          <w:rtl/>
        </w:rPr>
        <w:t xml:space="preserve"> بعد المائة</w:t>
      </w:r>
      <w:r w:rsidRPr="00296519">
        <w:rPr>
          <w:rFonts w:cs="AL-Mateen"/>
          <w:rtl/>
        </w:rPr>
        <w:t xml:space="preserve"> ]</w:t>
      </w:r>
    </w:p>
    <w:p w:rsidR="00C10469" w:rsidRDefault="00C10469">
      <w:pPr>
        <w:pStyle w:val="aa"/>
        <w:rPr>
          <w:bCs w:val="0"/>
          <w:rtl/>
        </w:rPr>
      </w:pPr>
      <w:r>
        <w:rPr>
          <w:rFonts w:hint="cs"/>
          <w:bCs w:val="0"/>
          <w:rtl/>
        </w:rPr>
        <w:t>قَدْ [يَثْبُتُ]</w:t>
      </w:r>
      <w:r>
        <w:rPr>
          <w:rStyle w:val="a7"/>
          <w:bCs/>
          <w:rtl/>
        </w:rPr>
        <w:footnoteReference w:id="3664"/>
      </w:r>
      <w:r>
        <w:rPr>
          <w:rFonts w:hint="cs"/>
          <w:bCs w:val="0"/>
          <w:rtl/>
        </w:rPr>
        <w:t xml:space="preserve"> الفَرْعُ و إِنْ لَمْ يَثْبُتِ الأَصْلُ</w:t>
      </w:r>
      <w:r>
        <w:rPr>
          <w:rFonts w:cs="Traditional Arabic" w:hint="cs"/>
          <w:bCs w:val="0"/>
          <w:vertAlign w:val="superscript"/>
          <w:rtl/>
          <w:lang w:val="en-GB"/>
        </w:rPr>
        <w:t>(</w:t>
      </w:r>
      <w:r>
        <w:rPr>
          <w:rStyle w:val="a7"/>
          <w:bCs/>
          <w:rtl/>
          <w:lang w:val="en-GB"/>
        </w:rPr>
        <w:footnoteReference w:id="3665"/>
      </w:r>
      <w:r>
        <w:rPr>
          <w:rFonts w:cs="Traditional Arabic" w:hint="cs"/>
          <w:bCs w:val="0"/>
          <w:vertAlign w:val="superscript"/>
          <w:rtl/>
          <w:lang w:val="en-GB"/>
        </w:rPr>
        <w:t>)</w:t>
      </w:r>
      <w:r>
        <w:rPr>
          <w:rFonts w:hint="cs"/>
          <w:bCs w:val="0"/>
          <w:rtl/>
        </w:rPr>
        <w:t xml:space="preserve"> : </w:t>
      </w:r>
    </w:p>
    <w:p w:rsidR="00C10469" w:rsidRDefault="00C10469">
      <w:pPr>
        <w:rPr>
          <w:rtl/>
        </w:rPr>
      </w:pPr>
      <w:r>
        <w:rPr>
          <w:rFonts w:hint="cs"/>
          <w:rtl/>
        </w:rPr>
        <w:lastRenderedPageBreak/>
        <w:t>اعتبر البعضُ هذا الكلام من أصول الفقه</w:t>
      </w:r>
      <w:r>
        <w:rPr>
          <w:rFonts w:hint="cs"/>
          <w:vertAlign w:val="superscript"/>
          <w:rtl/>
        </w:rPr>
        <w:t>(</w:t>
      </w:r>
      <w:r>
        <w:rPr>
          <w:rStyle w:val="a7"/>
          <w:rtl/>
        </w:rPr>
        <w:footnoteReference w:id="3666"/>
      </w:r>
      <w:r>
        <w:rPr>
          <w:rFonts w:hint="cs"/>
          <w:vertAlign w:val="superscript"/>
          <w:rtl/>
        </w:rPr>
        <w:t>)</w:t>
      </w:r>
      <w:r>
        <w:rPr>
          <w:rFonts w:hint="cs"/>
          <w:rtl/>
        </w:rPr>
        <w:t>، و[فرّعوا]</w:t>
      </w:r>
      <w:r>
        <w:rPr>
          <w:rStyle w:val="a7"/>
          <w:rtl/>
        </w:rPr>
        <w:footnoteReference w:id="3667"/>
      </w:r>
      <w:r>
        <w:rPr>
          <w:rFonts w:hint="cs"/>
          <w:rtl/>
        </w:rPr>
        <w:t xml:space="preserve"> عليه مسائل : </w:t>
      </w:r>
    </w:p>
    <w:p w:rsidR="00C10469" w:rsidRDefault="00C10469" w:rsidP="00C10469">
      <w:pPr>
        <w:ind w:left="989" w:hanging="422"/>
        <w:rPr>
          <w:spacing w:val="-4"/>
          <w:rtl/>
        </w:rPr>
      </w:pPr>
      <w:r>
        <w:rPr>
          <w:rtl/>
        </w:rPr>
        <w:t>•</w:t>
      </w:r>
      <w:r>
        <w:rPr>
          <w:rFonts w:hint="cs"/>
          <w:rtl/>
        </w:rPr>
        <w:t xml:space="preserve">  منها : </w:t>
      </w:r>
      <w:r>
        <w:rPr>
          <w:rFonts w:hint="eastAsia"/>
          <w:spacing w:val="-4"/>
          <w:rtl/>
        </w:rPr>
        <w:t>«</w:t>
      </w:r>
      <w:r>
        <w:rPr>
          <w:rFonts w:hint="cs"/>
          <w:spacing w:val="-4"/>
          <w:rtl/>
        </w:rPr>
        <w:t>لو قال : لزيد على عمرو ألف، وأنا ضامن به. فأنكر عمرو</w:t>
      </w:r>
      <w:r>
        <w:rPr>
          <w:rStyle w:val="a7"/>
          <w:spacing w:val="-4"/>
          <w:rtl/>
        </w:rPr>
        <w:footnoteReference w:id="3668"/>
      </w:r>
      <w:r>
        <w:rPr>
          <w:rFonts w:hint="cs"/>
          <w:spacing w:val="-4"/>
          <w:rtl/>
        </w:rPr>
        <w:t xml:space="preserve"> : لزم الكفيل إذا ادّعاها زيد دون الأصيل</w:t>
      </w:r>
      <w:r>
        <w:rPr>
          <w:rStyle w:val="a7"/>
          <w:spacing w:val="-4"/>
          <w:rtl/>
        </w:rPr>
        <w:footnoteReference w:id="3669"/>
      </w:r>
      <w:r>
        <w:rPr>
          <w:rFonts w:hint="cs"/>
          <w:spacing w:val="-4"/>
          <w:rtl/>
        </w:rPr>
        <w:t>.</w:t>
      </w:r>
    </w:p>
    <w:p w:rsidR="00C10469" w:rsidRDefault="00C10469" w:rsidP="00C10469">
      <w:pPr>
        <w:ind w:left="912" w:hanging="345"/>
        <w:rPr>
          <w:spacing w:val="-4"/>
          <w:rtl/>
        </w:rPr>
      </w:pPr>
      <w:r>
        <w:rPr>
          <w:spacing w:val="-4"/>
          <w:rtl/>
        </w:rPr>
        <w:lastRenderedPageBreak/>
        <w:t>•</w:t>
      </w:r>
      <w:r>
        <w:rPr>
          <w:rFonts w:hint="cs"/>
          <w:spacing w:val="-4"/>
          <w:rtl/>
        </w:rPr>
        <w:t xml:space="preserve">  ومنها : لو ادعى الزوج الخلعَ، فأنكرت المرأة : بانت ولم يثبت المال الذي هو الأصل في الخلع.</w:t>
      </w:r>
    </w:p>
    <w:p w:rsidR="00C10469" w:rsidRDefault="00C10469" w:rsidP="00C10469">
      <w:pPr>
        <w:ind w:left="912" w:hanging="345"/>
        <w:rPr>
          <w:spacing w:val="-4"/>
          <w:rtl/>
        </w:rPr>
      </w:pPr>
      <w:r>
        <w:rPr>
          <w:spacing w:val="-4"/>
          <w:rtl/>
        </w:rPr>
        <w:t>•</w:t>
      </w:r>
      <w:r>
        <w:rPr>
          <w:rFonts w:hint="cs"/>
          <w:spacing w:val="-4"/>
          <w:rtl/>
        </w:rPr>
        <w:t xml:space="preserve">  ومنها : لو قال: بعت عبدي من زيد</w:t>
      </w:r>
      <w:r>
        <w:rPr>
          <w:rStyle w:val="a7"/>
          <w:spacing w:val="-4"/>
          <w:rtl/>
        </w:rPr>
        <w:footnoteReference w:id="3670"/>
      </w:r>
      <w:r>
        <w:rPr>
          <w:rFonts w:hint="cs"/>
          <w:spacing w:val="-4"/>
          <w:rtl/>
        </w:rPr>
        <w:t>، فأَعْتَقَهُ.</w:t>
      </w:r>
      <w:r>
        <w:rPr>
          <w:rStyle w:val="a7"/>
          <w:spacing w:val="-4"/>
          <w:rtl/>
        </w:rPr>
        <w:footnoteReference w:id="3671"/>
      </w:r>
      <w:r>
        <w:rPr>
          <w:rFonts w:hint="cs"/>
          <w:spacing w:val="-4"/>
          <w:rtl/>
        </w:rPr>
        <w:t xml:space="preserve"> فأنكر زيد : عُتِقَ العبدُ، ولم يثبت المالُ.</w:t>
      </w:r>
    </w:p>
    <w:p w:rsidR="00C10469" w:rsidRDefault="00C10469" w:rsidP="00C10469">
      <w:pPr>
        <w:ind w:left="989" w:hanging="422"/>
        <w:rPr>
          <w:spacing w:val="-4"/>
          <w:rtl/>
        </w:rPr>
      </w:pPr>
      <w:r>
        <w:rPr>
          <w:rFonts w:hint="cs"/>
          <w:spacing w:val="-4"/>
          <w:rtl/>
        </w:rPr>
        <w:t>ومنها : لو قال : بعتُهُ من نفسه. فأنكر</w:t>
      </w:r>
      <w:r>
        <w:rPr>
          <w:rStyle w:val="a7"/>
          <w:spacing w:val="-4"/>
          <w:rtl/>
        </w:rPr>
        <w:footnoteReference w:id="3672"/>
      </w:r>
      <w:r>
        <w:rPr>
          <w:rFonts w:hint="cs"/>
          <w:spacing w:val="-4"/>
          <w:rtl/>
        </w:rPr>
        <w:t xml:space="preserve"> العبدُ : عُتِقَ بلا عوض</w:t>
      </w:r>
      <w:r>
        <w:rPr>
          <w:rFonts w:hint="eastAsia"/>
          <w:spacing w:val="-4"/>
          <w:rtl/>
        </w:rPr>
        <w:t>»</w:t>
      </w:r>
      <w:r>
        <w:rPr>
          <w:rFonts w:hint="cs"/>
          <w:spacing w:val="-4"/>
          <w:vertAlign w:val="superscript"/>
          <w:rtl/>
        </w:rPr>
        <w:t>(</w:t>
      </w:r>
      <w:r>
        <w:rPr>
          <w:rStyle w:val="a7"/>
          <w:spacing w:val="-4"/>
          <w:rtl/>
        </w:rPr>
        <w:footnoteReference w:id="3673"/>
      </w:r>
      <w:r>
        <w:rPr>
          <w:rFonts w:hint="cs"/>
          <w:spacing w:val="-4"/>
          <w:vertAlign w:val="superscript"/>
          <w:rtl/>
        </w:rPr>
        <w:t>)</w:t>
      </w:r>
      <w:r>
        <w:rPr>
          <w:rFonts w:hint="cs"/>
          <w:spacing w:val="-4"/>
          <w:rtl/>
        </w:rPr>
        <w:t>.</w:t>
      </w:r>
    </w:p>
    <w:p w:rsidR="00C10469" w:rsidRDefault="00C10469">
      <w:pPr>
        <w:rPr>
          <w:spacing w:val="-4"/>
          <w:rtl/>
        </w:rPr>
      </w:pPr>
      <w:r>
        <w:rPr>
          <w:rFonts w:hint="cs"/>
          <w:b/>
          <w:bCs/>
          <w:spacing w:val="-4"/>
          <w:rtl/>
        </w:rPr>
        <w:t>أقول</w:t>
      </w:r>
      <w:r>
        <w:rPr>
          <w:rFonts w:hint="cs"/>
          <w:spacing w:val="-4"/>
          <w:rtl/>
        </w:rPr>
        <w:t xml:space="preserve"> : و الحق أنه ليس من الأصول</w:t>
      </w:r>
      <w:r>
        <w:rPr>
          <w:rFonts w:hint="cs"/>
          <w:spacing w:val="-4"/>
          <w:vertAlign w:val="superscript"/>
          <w:rtl/>
        </w:rPr>
        <w:t>(</w:t>
      </w:r>
      <w:r>
        <w:rPr>
          <w:rStyle w:val="a7"/>
          <w:spacing w:val="-4"/>
          <w:rtl/>
        </w:rPr>
        <w:footnoteReference w:id="3674"/>
      </w:r>
      <w:r>
        <w:rPr>
          <w:rFonts w:hint="cs"/>
          <w:spacing w:val="-4"/>
          <w:vertAlign w:val="superscript"/>
          <w:rtl/>
        </w:rPr>
        <w:t>)</w:t>
      </w:r>
      <w:r>
        <w:rPr>
          <w:rFonts w:hint="cs"/>
          <w:spacing w:val="-4"/>
          <w:rtl/>
        </w:rPr>
        <w:t xml:space="preserve"> .</w:t>
      </w:r>
    </w:p>
    <w:p w:rsidR="00C10469" w:rsidRDefault="00C10469">
      <w:pPr>
        <w:rPr>
          <w:spacing w:val="-8"/>
          <w:rtl/>
        </w:rPr>
      </w:pPr>
      <w:r>
        <w:rPr>
          <w:rFonts w:hint="cs"/>
          <w:spacing w:val="-8"/>
          <w:rtl/>
        </w:rPr>
        <w:t>ويدل عليه إصدار</w:t>
      </w:r>
      <w:r>
        <w:rPr>
          <w:rStyle w:val="a7"/>
          <w:spacing w:val="-8"/>
          <w:rtl/>
        </w:rPr>
        <w:footnoteReference w:id="3675"/>
      </w:r>
      <w:r>
        <w:rPr>
          <w:rFonts w:hint="cs"/>
          <w:spacing w:val="-8"/>
          <w:rtl/>
        </w:rPr>
        <w:t xml:space="preserve"> الكلام بلفظٍ وضع للتقليل</w:t>
      </w:r>
      <w:r>
        <w:rPr>
          <w:rStyle w:val="a7"/>
          <w:spacing w:val="-8"/>
          <w:rtl/>
        </w:rPr>
        <w:footnoteReference w:id="3676"/>
      </w:r>
      <w:r>
        <w:rPr>
          <w:rFonts w:hint="cs"/>
          <w:spacing w:val="-8"/>
          <w:rtl/>
        </w:rPr>
        <w:t xml:space="preserve">، وهو </w:t>
      </w:r>
      <w:r>
        <w:rPr>
          <w:rFonts w:hint="eastAsia"/>
          <w:spacing w:val="-8"/>
          <w:rtl/>
        </w:rPr>
        <w:t>«</w:t>
      </w:r>
      <w:r>
        <w:rPr>
          <w:rFonts w:hint="cs"/>
          <w:spacing w:val="-8"/>
          <w:rtl/>
        </w:rPr>
        <w:t>قد</w:t>
      </w:r>
      <w:r>
        <w:rPr>
          <w:rFonts w:hint="eastAsia"/>
          <w:spacing w:val="-8"/>
          <w:rtl/>
        </w:rPr>
        <w:t>»</w:t>
      </w:r>
      <w:r>
        <w:rPr>
          <w:rFonts w:hint="cs"/>
          <w:spacing w:val="-8"/>
          <w:vertAlign w:val="superscript"/>
          <w:rtl/>
        </w:rPr>
        <w:t>(</w:t>
      </w:r>
      <w:r>
        <w:rPr>
          <w:rStyle w:val="a7"/>
          <w:spacing w:val="-8"/>
          <w:rtl/>
        </w:rPr>
        <w:footnoteReference w:id="3677"/>
      </w:r>
      <w:r>
        <w:rPr>
          <w:rFonts w:hint="cs"/>
          <w:spacing w:val="-8"/>
          <w:vertAlign w:val="superscript"/>
          <w:rtl/>
        </w:rPr>
        <w:t>)</w:t>
      </w:r>
      <w:r>
        <w:rPr>
          <w:rFonts w:hint="cs"/>
          <w:spacing w:val="-8"/>
          <w:rtl/>
        </w:rPr>
        <w:t xml:space="preserve">؛ بل هذه المسائل ممّا </w:t>
      </w:r>
      <w:r>
        <w:rPr>
          <w:rFonts w:hint="cs"/>
          <w:spacing w:val="-8"/>
          <w:rtl/>
        </w:rPr>
        <w:lastRenderedPageBreak/>
        <w:t>[تخلَّفت]</w:t>
      </w:r>
      <w:r>
        <w:rPr>
          <w:rStyle w:val="a7"/>
          <w:spacing w:val="-8"/>
          <w:rtl/>
        </w:rPr>
        <w:footnoteReference w:id="3678"/>
      </w:r>
      <w:r>
        <w:rPr>
          <w:rFonts w:hint="cs"/>
          <w:spacing w:val="-8"/>
          <w:rtl/>
        </w:rPr>
        <w:t xml:space="preserve"> من الأصل الذي ذكرناه في باب الشين</w:t>
      </w:r>
      <w:r>
        <w:rPr>
          <w:rFonts w:hint="cs"/>
          <w:spacing w:val="-8"/>
          <w:vertAlign w:val="superscript"/>
          <w:rtl/>
        </w:rPr>
        <w:t>(</w:t>
      </w:r>
      <w:r>
        <w:rPr>
          <w:rStyle w:val="a7"/>
          <w:spacing w:val="-8"/>
          <w:rtl/>
        </w:rPr>
        <w:footnoteReference w:id="3679"/>
      </w:r>
      <w:r>
        <w:rPr>
          <w:rFonts w:hint="cs"/>
          <w:spacing w:val="-8"/>
          <w:vertAlign w:val="superscript"/>
          <w:rtl/>
        </w:rPr>
        <w:t>)</w:t>
      </w:r>
      <w:r>
        <w:rPr>
          <w:rFonts w:hint="cs"/>
          <w:spacing w:val="-8"/>
          <w:rtl/>
        </w:rPr>
        <w:t xml:space="preserve"> وهو : </w:t>
      </w:r>
      <w:r>
        <w:rPr>
          <w:rFonts w:hint="eastAsia"/>
          <w:spacing w:val="-8"/>
          <w:rtl/>
        </w:rPr>
        <w:t>«</w:t>
      </w:r>
      <w:r>
        <w:rPr>
          <w:rFonts w:hint="cs"/>
          <w:spacing w:val="-8"/>
          <w:rtl/>
        </w:rPr>
        <w:t>الشيء إذا ثبت [ثبت]</w:t>
      </w:r>
      <w:r>
        <w:rPr>
          <w:rStyle w:val="a7"/>
          <w:spacing w:val="-8"/>
          <w:rtl/>
        </w:rPr>
        <w:footnoteReference w:id="3680"/>
      </w:r>
      <w:r>
        <w:rPr>
          <w:rFonts w:hint="cs"/>
          <w:spacing w:val="-8"/>
          <w:rtl/>
        </w:rPr>
        <w:t xml:space="preserve"> بجميع</w:t>
      </w:r>
    </w:p>
    <w:p w:rsidR="00C10469" w:rsidRDefault="00C10469">
      <w:pPr>
        <w:ind w:firstLine="0"/>
        <w:rPr>
          <w:spacing w:val="-8"/>
          <w:rtl/>
        </w:rPr>
      </w:pPr>
      <w:r>
        <w:rPr>
          <w:rFonts w:hint="cs"/>
          <w:spacing w:val="-8"/>
          <w:rtl/>
        </w:rPr>
        <w:t>لوازمه</w:t>
      </w:r>
      <w:r>
        <w:rPr>
          <w:rFonts w:hint="eastAsia"/>
          <w:spacing w:val="-8"/>
          <w:rtl/>
        </w:rPr>
        <w:t>»</w:t>
      </w:r>
      <w:r>
        <w:rPr>
          <w:rFonts w:hint="cs"/>
          <w:spacing w:val="-8"/>
          <w:rtl/>
        </w:rPr>
        <w:t xml:space="preserve"> فالدَّين</w:t>
      </w:r>
      <w:r>
        <w:rPr>
          <w:rStyle w:val="a7"/>
          <w:spacing w:val="-8"/>
          <w:rtl/>
        </w:rPr>
        <w:footnoteReference w:id="3681"/>
      </w:r>
      <w:r>
        <w:rPr>
          <w:rFonts w:hint="cs"/>
          <w:spacing w:val="-8"/>
          <w:rtl/>
        </w:rPr>
        <w:t xml:space="preserve"> [لازم]</w:t>
      </w:r>
      <w:r>
        <w:rPr>
          <w:rStyle w:val="a7"/>
          <w:spacing w:val="-8"/>
          <w:rtl/>
        </w:rPr>
        <w:footnoteReference w:id="3682"/>
      </w:r>
      <w:r>
        <w:rPr>
          <w:rFonts w:hint="cs"/>
          <w:spacing w:val="-8"/>
          <w:rtl/>
        </w:rPr>
        <w:t xml:space="preserve"> للكفالة</w:t>
      </w:r>
      <w:r>
        <w:rPr>
          <w:rStyle w:val="a7"/>
          <w:spacing w:val="-8"/>
          <w:rtl/>
        </w:rPr>
        <w:footnoteReference w:id="3683"/>
      </w:r>
      <w:r>
        <w:rPr>
          <w:rFonts w:hint="cs"/>
          <w:spacing w:val="-8"/>
          <w:rtl/>
        </w:rPr>
        <w:t>، والمـال للخلـع والبيـع. ومـع هذا ثبت الملزوم ولم يثبت اللازم!.</w:t>
      </w:r>
    </w:p>
    <w:p w:rsidR="00C10469" w:rsidRDefault="00C10469">
      <w:pPr>
        <w:rPr>
          <w:spacing w:val="-4"/>
          <w:rtl/>
        </w:rPr>
      </w:pPr>
      <w:r>
        <w:rPr>
          <w:rFonts w:hint="cs"/>
          <w:b/>
          <w:bCs/>
          <w:spacing w:val="-4"/>
          <w:rtl/>
        </w:rPr>
        <w:t>فالجواب</w:t>
      </w:r>
      <w:r>
        <w:rPr>
          <w:rFonts w:hint="cs"/>
          <w:spacing w:val="-4"/>
          <w:rtl/>
        </w:rPr>
        <w:t xml:space="preserve"> : أن </w:t>
      </w:r>
      <w:r>
        <w:rPr>
          <w:rFonts w:hint="eastAsia"/>
          <w:spacing w:val="-4"/>
          <w:rtl/>
        </w:rPr>
        <w:t>«</w:t>
      </w:r>
      <w:r>
        <w:rPr>
          <w:rFonts w:hint="cs"/>
          <w:spacing w:val="-4"/>
          <w:rtl/>
        </w:rPr>
        <w:t>إقرار</w:t>
      </w:r>
      <w:r>
        <w:rPr>
          <w:rStyle w:val="a7"/>
          <w:spacing w:val="-4"/>
          <w:rtl/>
        </w:rPr>
        <w:footnoteReference w:id="3684"/>
      </w:r>
      <w:r>
        <w:rPr>
          <w:rFonts w:hint="cs"/>
          <w:spacing w:val="-4"/>
          <w:rtl/>
        </w:rPr>
        <w:t xml:space="preserve"> الإنسان ليس بحجة على غيره</w:t>
      </w:r>
      <w:r>
        <w:rPr>
          <w:rFonts w:hint="eastAsia"/>
          <w:spacing w:val="-4"/>
          <w:rtl/>
        </w:rPr>
        <w:t>»</w:t>
      </w:r>
      <w:r>
        <w:rPr>
          <w:rFonts w:hint="cs"/>
          <w:spacing w:val="-4"/>
          <w:vertAlign w:val="superscript"/>
          <w:rtl/>
        </w:rPr>
        <w:t>(</w:t>
      </w:r>
      <w:r>
        <w:rPr>
          <w:rStyle w:val="a7"/>
          <w:spacing w:val="-4"/>
          <w:rtl/>
        </w:rPr>
        <w:footnoteReference w:id="3685"/>
      </w:r>
      <w:r>
        <w:rPr>
          <w:rFonts w:hint="cs"/>
          <w:spacing w:val="-4"/>
          <w:vertAlign w:val="superscript"/>
          <w:rtl/>
        </w:rPr>
        <w:t>)</w:t>
      </w:r>
      <w:r>
        <w:rPr>
          <w:rFonts w:hint="cs"/>
          <w:spacing w:val="-4"/>
          <w:rtl/>
        </w:rPr>
        <w:t>، ففي هذه المسائل الكفيل والزوج والمولى يؤاخذون</w:t>
      </w:r>
      <w:r>
        <w:rPr>
          <w:rStyle w:val="a7"/>
          <w:spacing w:val="-4"/>
          <w:rtl/>
        </w:rPr>
        <w:footnoteReference w:id="3686"/>
      </w:r>
      <w:r>
        <w:rPr>
          <w:rFonts w:hint="cs"/>
          <w:spacing w:val="-4"/>
          <w:rtl/>
        </w:rPr>
        <w:t xml:space="preserve"> بإقرارهم، ولا يتجاوز إقرارهم إلى الغير</w:t>
      </w:r>
      <w:r>
        <w:rPr>
          <w:rFonts w:hint="cs"/>
          <w:spacing w:val="-4"/>
          <w:vertAlign w:val="superscript"/>
          <w:rtl/>
        </w:rPr>
        <w:t>(</w:t>
      </w:r>
      <w:r>
        <w:rPr>
          <w:rStyle w:val="a7"/>
          <w:spacing w:val="-4"/>
          <w:rtl/>
        </w:rPr>
        <w:footnoteReference w:id="3687"/>
      </w:r>
      <w:r>
        <w:rPr>
          <w:rFonts w:hint="cs"/>
          <w:spacing w:val="-4"/>
          <w:vertAlign w:val="superscript"/>
          <w:rtl/>
        </w:rPr>
        <w:t>)</w:t>
      </w:r>
      <w:r>
        <w:rPr>
          <w:rFonts w:hint="cs"/>
          <w:spacing w:val="-4"/>
          <w:rtl/>
        </w:rPr>
        <w:t>.</w:t>
      </w:r>
    </w:p>
    <w:p w:rsidR="00C10469" w:rsidRDefault="00C10469">
      <w:pPr>
        <w:rPr>
          <w:spacing w:val="-4"/>
          <w:rtl/>
        </w:rPr>
      </w:pPr>
    </w:p>
    <w:p w:rsidR="00C10469" w:rsidRDefault="00C10469">
      <w:pPr>
        <w:rPr>
          <w:spacing w:val="-4"/>
          <w:rtl/>
        </w:rPr>
      </w:pPr>
    </w:p>
    <w:p w:rsidR="00C10469" w:rsidRDefault="00C10469">
      <w:pPr>
        <w:jc w:val="center"/>
        <w:rPr>
          <w:spacing w:val="-4"/>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4"/>
          <w:rtl/>
        </w:rPr>
        <w:sectPr w:rsidR="00C10469" w:rsidSect="00C10469">
          <w:headerReference w:type="default" r:id="rId23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87DB3" w:rsidRDefault="00C10469">
      <w:pPr>
        <w:pStyle w:val="a9"/>
        <w:rPr>
          <w:rFonts w:cs="AL-Mateen"/>
          <w:rtl/>
        </w:rPr>
      </w:pPr>
      <w:r w:rsidRPr="00487DB3">
        <w:rPr>
          <w:rFonts w:cs="AL-Mateen" w:hint="cs"/>
          <w:rtl/>
        </w:rPr>
        <w:lastRenderedPageBreak/>
        <w:t>[القاعدة الثامنة و السبعون بعد المائة]</w:t>
      </w:r>
    </w:p>
    <w:p w:rsidR="00C10469" w:rsidRDefault="00C10469">
      <w:pPr>
        <w:pStyle w:val="aa"/>
        <w:rPr>
          <w:bCs w:val="0"/>
          <w:rtl/>
        </w:rPr>
      </w:pPr>
      <w:r>
        <w:rPr>
          <w:rFonts w:hint="cs"/>
          <w:bCs w:val="0"/>
          <w:rtl/>
        </w:rPr>
        <w:t>قَدْ [يثبُتُ]</w:t>
      </w:r>
      <w:r>
        <w:rPr>
          <w:rStyle w:val="a7"/>
          <w:bCs/>
          <w:rtl/>
        </w:rPr>
        <w:footnoteReference w:id="3688"/>
      </w:r>
      <w:r>
        <w:rPr>
          <w:rFonts w:hint="cs"/>
          <w:bCs w:val="0"/>
          <w:rtl/>
        </w:rPr>
        <w:t xml:space="preserve"> ضِمْنًا [ما]</w:t>
      </w:r>
      <w:r>
        <w:rPr>
          <w:rStyle w:val="a7"/>
          <w:bCs/>
          <w:rtl/>
        </w:rPr>
        <w:footnoteReference w:id="3689"/>
      </w:r>
      <w:r>
        <w:rPr>
          <w:rFonts w:hint="cs"/>
          <w:bCs w:val="0"/>
          <w:rtl/>
        </w:rPr>
        <w:t xml:space="preserve"> لا يثبُتُ قَصْدًا</w:t>
      </w:r>
      <w:r>
        <w:rPr>
          <w:rFonts w:cs="Traditional Arabic" w:hint="cs"/>
          <w:bCs w:val="0"/>
          <w:vertAlign w:val="superscript"/>
          <w:rtl/>
          <w:lang w:val="en-GB"/>
        </w:rPr>
        <w:t xml:space="preserve"> (</w:t>
      </w:r>
      <w:r>
        <w:rPr>
          <w:rStyle w:val="a7"/>
          <w:bCs/>
          <w:rtl/>
          <w:lang w:val="en-GB"/>
        </w:rPr>
        <w:footnoteReference w:id="3690"/>
      </w:r>
      <w:r>
        <w:rPr>
          <w:rFonts w:cs="Traditional Arabic" w:hint="cs"/>
          <w:bCs w:val="0"/>
          <w:vertAlign w:val="superscript"/>
          <w:rtl/>
          <w:lang w:val="en-GB"/>
        </w:rPr>
        <w:t>)</w:t>
      </w:r>
      <w:r>
        <w:rPr>
          <w:rFonts w:hint="cs"/>
          <w:bCs w:val="0"/>
          <w:rtl/>
        </w:rPr>
        <w:t xml:space="preserve"> :</w:t>
      </w:r>
    </w:p>
    <w:p w:rsidR="00C10469" w:rsidRDefault="00C10469">
      <w:pPr>
        <w:rPr>
          <w:sz w:val="36"/>
          <w:rtl/>
        </w:rPr>
      </w:pPr>
      <w:r>
        <w:rPr>
          <w:rFonts w:hint="cs"/>
          <w:rtl/>
        </w:rPr>
        <w:lastRenderedPageBreak/>
        <w:t xml:space="preserve">اعلم أن القصد أصلٌ في ثبوت أكثر أحكام العقود، والقصد فعل القلب لا يمكن الاطلاع عليه إلاّ بواسطة اللسان، فإذا صدر الإيجاب و القبول من </w:t>
      </w:r>
      <w:r>
        <w:rPr>
          <w:rFonts w:hint="cs"/>
          <w:sz w:val="36"/>
          <w:rtl/>
        </w:rPr>
        <w:t>المكلف، ولا مانع من اعتباره: حكمنا بثبوته قصدًا؛ [لصيانة]</w:t>
      </w:r>
      <w:r>
        <w:rPr>
          <w:rStyle w:val="a7"/>
          <w:spacing w:val="-4"/>
          <w:sz w:val="36"/>
          <w:rtl/>
        </w:rPr>
        <w:footnoteReference w:id="3691"/>
      </w:r>
      <w:r>
        <w:rPr>
          <w:rFonts w:hint="cs"/>
          <w:sz w:val="36"/>
          <w:rtl/>
        </w:rPr>
        <w:t xml:space="preserve"> تصرفِ المكلّف</w:t>
      </w:r>
      <w:r>
        <w:rPr>
          <w:rStyle w:val="a7"/>
          <w:spacing w:val="-4"/>
          <w:sz w:val="36"/>
          <w:rtl/>
        </w:rPr>
        <w:footnoteReference w:id="3692"/>
      </w:r>
      <w:r>
        <w:rPr>
          <w:rFonts w:hint="cs"/>
          <w:sz w:val="36"/>
          <w:rtl/>
        </w:rPr>
        <w:t xml:space="preserve"> عن </w:t>
      </w:r>
      <w:r>
        <w:rPr>
          <w:rFonts w:hint="cs"/>
          <w:sz w:val="36"/>
          <w:rtl/>
        </w:rPr>
        <w:lastRenderedPageBreak/>
        <w:t>الفساد. فعلى هذا ما ذُكر في صدر الكلام ليس من الأصول، وإنْ صورَهُ</w:t>
      </w:r>
      <w:r>
        <w:rPr>
          <w:rStyle w:val="a7"/>
          <w:spacing w:val="-4"/>
          <w:sz w:val="36"/>
          <w:rtl/>
        </w:rPr>
        <w:footnoteReference w:id="3693"/>
      </w:r>
      <w:r>
        <w:rPr>
          <w:rFonts w:hint="cs"/>
          <w:sz w:val="36"/>
          <w:rtl/>
        </w:rPr>
        <w:t xml:space="preserve"> البعض على</w:t>
      </w:r>
      <w:r>
        <w:rPr>
          <w:rStyle w:val="a7"/>
          <w:spacing w:val="-4"/>
          <w:sz w:val="36"/>
          <w:rtl/>
        </w:rPr>
        <w:footnoteReference w:id="3694"/>
      </w:r>
      <w:r>
        <w:rPr>
          <w:rFonts w:hint="cs"/>
          <w:sz w:val="36"/>
          <w:rtl/>
        </w:rPr>
        <w:t xml:space="preserve"> صورة الأصل</w:t>
      </w:r>
      <w:r>
        <w:rPr>
          <w:rFonts w:hint="cs"/>
          <w:sz w:val="36"/>
          <w:vertAlign w:val="superscript"/>
          <w:rtl/>
        </w:rPr>
        <w:t>(</w:t>
      </w:r>
      <w:r>
        <w:rPr>
          <w:rStyle w:val="a7"/>
          <w:spacing w:val="-4"/>
          <w:sz w:val="36"/>
          <w:rtl/>
        </w:rPr>
        <w:footnoteReference w:id="3695"/>
      </w:r>
      <w:r>
        <w:rPr>
          <w:rFonts w:hint="cs"/>
          <w:sz w:val="36"/>
          <w:vertAlign w:val="superscript"/>
          <w:rtl/>
        </w:rPr>
        <w:t>)</w:t>
      </w:r>
      <w:r>
        <w:rPr>
          <w:rFonts w:hint="cs"/>
          <w:sz w:val="36"/>
          <w:rtl/>
        </w:rPr>
        <w:t>، وفرّع عليه مسائل. وسنذكره</w:t>
      </w:r>
      <w:r>
        <w:rPr>
          <w:rFonts w:hint="cs"/>
          <w:sz w:val="36"/>
          <w:vertAlign w:val="superscript"/>
          <w:rtl/>
        </w:rPr>
        <w:t>(</w:t>
      </w:r>
      <w:r>
        <w:rPr>
          <w:rStyle w:val="a7"/>
          <w:spacing w:val="-4"/>
          <w:sz w:val="36"/>
          <w:rtl/>
        </w:rPr>
        <w:footnoteReference w:id="3696"/>
      </w:r>
      <w:r>
        <w:rPr>
          <w:rFonts w:hint="cs"/>
          <w:sz w:val="36"/>
          <w:vertAlign w:val="superscript"/>
          <w:rtl/>
        </w:rPr>
        <w:t>)</w:t>
      </w:r>
      <w:r>
        <w:rPr>
          <w:rFonts w:hint="cs"/>
          <w:sz w:val="36"/>
          <w:rtl/>
        </w:rPr>
        <w:t xml:space="preserve"> إن شاء الله تعالى</w:t>
      </w:r>
      <w:r>
        <w:rPr>
          <w:rStyle w:val="a7"/>
          <w:spacing w:val="-4"/>
          <w:sz w:val="36"/>
          <w:rtl/>
        </w:rPr>
        <w:footnoteReference w:id="3697"/>
      </w:r>
      <w:r>
        <w:rPr>
          <w:rFonts w:hint="cs"/>
          <w:sz w:val="36"/>
          <w:rtl/>
        </w:rPr>
        <w:t>.</w:t>
      </w:r>
    </w:p>
    <w:p w:rsidR="00C10469" w:rsidRDefault="00C10469">
      <w:pPr>
        <w:rPr>
          <w:sz w:val="36"/>
          <w:rtl/>
        </w:rPr>
      </w:pPr>
      <w:r>
        <w:rPr>
          <w:rFonts w:hint="cs"/>
          <w:sz w:val="36"/>
          <w:rtl/>
        </w:rPr>
        <w:lastRenderedPageBreak/>
        <w:t>و الحق أنّ هذه المسائل مما تخلّفت</w:t>
      </w:r>
      <w:r>
        <w:rPr>
          <w:rStyle w:val="a7"/>
          <w:sz w:val="36"/>
          <w:rtl/>
        </w:rPr>
        <w:footnoteReference w:id="3698"/>
      </w:r>
      <w:r>
        <w:rPr>
          <w:rFonts w:hint="cs"/>
          <w:sz w:val="36"/>
          <w:rtl/>
        </w:rPr>
        <w:t xml:space="preserve"> عن الأصل الذي</w:t>
      </w:r>
      <w:r>
        <w:rPr>
          <w:rStyle w:val="a7"/>
          <w:sz w:val="36"/>
          <w:rtl/>
        </w:rPr>
        <w:footnoteReference w:id="3699"/>
      </w:r>
      <w:r>
        <w:rPr>
          <w:rFonts w:hint="cs"/>
          <w:sz w:val="36"/>
          <w:rtl/>
        </w:rPr>
        <w:t xml:space="preserve"> ذكرناه، وهو : أن القصدَ أصل في ثبوت أحكام العقود في الحقيقة.</w:t>
      </w:r>
    </w:p>
    <w:p w:rsidR="00C10469" w:rsidRDefault="00C10469">
      <w:pPr>
        <w:rPr>
          <w:sz w:val="36"/>
          <w:rtl/>
        </w:rPr>
      </w:pPr>
      <w:r>
        <w:rPr>
          <w:rFonts w:hint="cs"/>
          <w:sz w:val="36"/>
          <w:rtl/>
        </w:rPr>
        <w:t>فمن المسائل التي وعدتُ ذكرَها</w:t>
      </w:r>
      <w:r>
        <w:rPr>
          <w:rFonts w:hint="cs"/>
          <w:sz w:val="36"/>
          <w:vertAlign w:val="superscript"/>
          <w:rtl/>
        </w:rPr>
        <w:t>(</w:t>
      </w:r>
      <w:r>
        <w:rPr>
          <w:rStyle w:val="a7"/>
          <w:sz w:val="36"/>
          <w:rtl/>
        </w:rPr>
        <w:footnoteReference w:id="3700"/>
      </w:r>
      <w:r>
        <w:rPr>
          <w:rFonts w:hint="cs"/>
          <w:sz w:val="36"/>
          <w:vertAlign w:val="superscript"/>
          <w:rtl/>
        </w:rPr>
        <w:t>)</w:t>
      </w:r>
      <w:r>
        <w:rPr>
          <w:rFonts w:hint="cs"/>
          <w:sz w:val="36"/>
          <w:rtl/>
        </w:rPr>
        <w:t xml:space="preserve"> :</w:t>
      </w:r>
    </w:p>
    <w:p w:rsidR="00C10469" w:rsidRDefault="00C10469" w:rsidP="00C10469">
      <w:pPr>
        <w:ind w:left="706" w:hanging="329"/>
        <w:rPr>
          <w:spacing w:val="-6"/>
          <w:sz w:val="36"/>
          <w:rtl/>
        </w:rPr>
      </w:pPr>
      <w:r>
        <w:rPr>
          <w:spacing w:val="-6"/>
          <w:rtl/>
        </w:rPr>
        <w:t>•</w:t>
      </w:r>
      <w:r>
        <w:rPr>
          <w:rFonts w:hint="cs"/>
          <w:spacing w:val="-6"/>
          <w:rtl/>
        </w:rPr>
        <w:t xml:space="preserve">  </w:t>
      </w:r>
      <w:r>
        <w:rPr>
          <w:rFonts w:hint="eastAsia"/>
          <w:spacing w:val="-6"/>
          <w:rtl/>
        </w:rPr>
        <w:t>«</w:t>
      </w:r>
      <w:r>
        <w:rPr>
          <w:rFonts w:hint="cs"/>
          <w:spacing w:val="-6"/>
          <w:sz w:val="36"/>
          <w:rtl/>
        </w:rPr>
        <w:t>شرى ما لم يَرَهُ، فوكّل وكيلاً بقبضه، فقال الوكيل- بعد رؤية المبيع وقبل</w:t>
      </w:r>
      <w:r>
        <w:rPr>
          <w:rStyle w:val="a7"/>
          <w:spacing w:val="-6"/>
          <w:sz w:val="36"/>
          <w:rtl/>
        </w:rPr>
        <w:footnoteReference w:id="3701"/>
      </w:r>
      <w:r>
        <w:rPr>
          <w:rFonts w:hint="cs"/>
          <w:spacing w:val="-6"/>
          <w:sz w:val="36"/>
          <w:rtl/>
        </w:rPr>
        <w:t xml:space="preserve"> قبضه- : أسقطتُ الخيار (أعني خيار الرؤية) : لم يسقط خيار</w:t>
      </w:r>
      <w:r>
        <w:rPr>
          <w:rStyle w:val="a7"/>
          <w:spacing w:val="-6"/>
          <w:sz w:val="36"/>
          <w:rtl/>
        </w:rPr>
        <w:footnoteReference w:id="3702"/>
      </w:r>
      <w:r>
        <w:rPr>
          <w:rFonts w:hint="cs"/>
          <w:spacing w:val="-6"/>
          <w:sz w:val="36"/>
          <w:rtl/>
        </w:rPr>
        <w:t xml:space="preserve"> الموكل.</w:t>
      </w:r>
    </w:p>
    <w:p w:rsidR="00C10469" w:rsidRDefault="00C10469" w:rsidP="00C10469">
      <w:pPr>
        <w:rPr>
          <w:rtl/>
        </w:rPr>
      </w:pPr>
      <w:r>
        <w:rPr>
          <w:rFonts w:hint="cs"/>
          <w:sz w:val="36"/>
          <w:rtl/>
        </w:rPr>
        <w:t xml:space="preserve">  ولو قبضه الوكيل وهو يراه : سقط خيار رؤية موكِّله عند أبي حنيفة</w:t>
      </w:r>
      <w:r>
        <w:rPr>
          <w:rFonts w:hint="eastAsia"/>
          <w:rtl/>
        </w:rPr>
        <w:t>»</w:t>
      </w:r>
      <w:r>
        <w:rPr>
          <w:rFonts w:hint="cs"/>
          <w:vertAlign w:val="superscript"/>
          <w:rtl/>
        </w:rPr>
        <w:t>(</w:t>
      </w:r>
      <w:r>
        <w:rPr>
          <w:rStyle w:val="a7"/>
          <w:rtl/>
        </w:rPr>
        <w:footnoteReference w:id="3703"/>
      </w:r>
      <w:r>
        <w:rPr>
          <w:rFonts w:hint="cs"/>
          <w:vertAlign w:val="superscript"/>
          <w:rtl/>
        </w:rPr>
        <w:t>)</w:t>
      </w:r>
      <w:r>
        <w:rPr>
          <w:rFonts w:hint="cs"/>
          <w:rtl/>
        </w:rPr>
        <w:t>.</w:t>
      </w:r>
    </w:p>
    <w:p w:rsidR="00C10469" w:rsidRDefault="00C10469" w:rsidP="00C10469">
      <w:pPr>
        <w:ind w:left="706" w:hanging="329"/>
        <w:rPr>
          <w:rtl/>
        </w:rPr>
      </w:pPr>
      <w:r>
        <w:rPr>
          <w:rFonts w:hint="cs"/>
          <w:b/>
          <w:bCs/>
          <w:rtl/>
        </w:rPr>
        <w:t xml:space="preserve">    والجواب عن التخَلُّف</w:t>
      </w:r>
      <w:r>
        <w:rPr>
          <w:rFonts w:hint="cs"/>
          <w:rtl/>
        </w:rPr>
        <w:t xml:space="preserve"> : أنه وكّله بالقبض، لا بإسقاط الخيار، فلا يملك التصرف فيه أصالةً.</w:t>
      </w:r>
    </w:p>
    <w:p w:rsidR="00C10469" w:rsidRDefault="00C10469" w:rsidP="00C10469">
      <w:pPr>
        <w:ind w:left="706" w:hanging="329"/>
        <w:rPr>
          <w:sz w:val="36"/>
          <w:rtl/>
        </w:rPr>
      </w:pPr>
      <w:r>
        <w:rPr>
          <w:rFonts w:hint="cs"/>
          <w:rtl/>
        </w:rPr>
        <w:t xml:space="preserve">   فأما إذا قبضه مقارنًا بالرؤية : سقط</w:t>
      </w:r>
      <w:r>
        <w:rPr>
          <w:rStyle w:val="a7"/>
          <w:rtl/>
        </w:rPr>
        <w:footnoteReference w:id="3704"/>
      </w:r>
      <w:r>
        <w:rPr>
          <w:rFonts w:hint="cs"/>
          <w:rtl/>
        </w:rPr>
        <w:t xml:space="preserve"> خيار الموكل اقتضاء ضرورة تصحيح تصرف الوكيل فيما [أُمِر به وهو القبض؛ لأن تصرف الوكيل فيما]</w:t>
      </w:r>
      <w:r>
        <w:rPr>
          <w:rStyle w:val="a7"/>
          <w:rtl/>
        </w:rPr>
        <w:footnoteReference w:id="3705"/>
      </w:r>
      <w:r>
        <w:rPr>
          <w:rFonts w:hint="cs"/>
          <w:rtl/>
        </w:rPr>
        <w:t xml:space="preserve"> لا </w:t>
      </w:r>
      <w:r>
        <w:rPr>
          <w:rFonts w:hint="cs"/>
          <w:rtl/>
        </w:rPr>
        <w:lastRenderedPageBreak/>
        <w:t>يملك الموكل لا يصح</w:t>
      </w:r>
      <w:r>
        <w:rPr>
          <w:rStyle w:val="a7"/>
          <w:rtl/>
        </w:rPr>
        <w:footnoteReference w:id="3706"/>
      </w:r>
      <w:r>
        <w:rPr>
          <w:rFonts w:hint="cs"/>
          <w:rtl/>
        </w:rPr>
        <w:t>.</w:t>
      </w:r>
    </w:p>
    <w:p w:rsidR="00C10469" w:rsidRDefault="00C10469" w:rsidP="00C10469">
      <w:pPr>
        <w:ind w:left="706" w:hanging="329"/>
        <w:rPr>
          <w:spacing w:val="-16"/>
          <w:rtl/>
        </w:rPr>
      </w:pPr>
      <w:r>
        <w:rPr>
          <w:rFonts w:hint="cs"/>
          <w:b/>
          <w:bCs/>
          <w:spacing w:val="-16"/>
          <w:sz w:val="36"/>
          <w:rtl/>
        </w:rPr>
        <w:t xml:space="preserve">    وقال الإمامان</w:t>
      </w:r>
      <w:r>
        <w:rPr>
          <w:rFonts w:hint="cs"/>
          <w:b/>
          <w:bCs/>
          <w:spacing w:val="-16"/>
          <w:sz w:val="36"/>
          <w:vertAlign w:val="superscript"/>
          <w:rtl/>
        </w:rPr>
        <w:t>(</w:t>
      </w:r>
      <w:r>
        <w:rPr>
          <w:rStyle w:val="a7"/>
          <w:b/>
          <w:spacing w:val="-16"/>
          <w:sz w:val="36"/>
          <w:rtl/>
        </w:rPr>
        <w:footnoteReference w:id="3707"/>
      </w:r>
      <w:r>
        <w:rPr>
          <w:rFonts w:hint="cs"/>
          <w:b/>
          <w:bCs/>
          <w:spacing w:val="-16"/>
          <w:sz w:val="36"/>
          <w:vertAlign w:val="superscript"/>
          <w:rtl/>
        </w:rPr>
        <w:t>)</w:t>
      </w:r>
      <w:r>
        <w:rPr>
          <w:rFonts w:hint="cs"/>
          <w:spacing w:val="-16"/>
          <w:sz w:val="36"/>
          <w:rtl/>
        </w:rPr>
        <w:t xml:space="preserve"> : لا</w:t>
      </w:r>
      <w:r>
        <w:rPr>
          <w:rStyle w:val="a7"/>
          <w:spacing w:val="-16"/>
          <w:sz w:val="36"/>
          <w:rtl/>
        </w:rPr>
        <w:footnoteReference w:id="3708"/>
      </w:r>
      <w:r>
        <w:rPr>
          <w:rFonts w:hint="cs"/>
          <w:spacing w:val="-16"/>
          <w:sz w:val="36"/>
          <w:rtl/>
        </w:rPr>
        <w:t xml:space="preserve"> يسقط</w:t>
      </w:r>
      <w:r>
        <w:rPr>
          <w:rStyle w:val="a7"/>
          <w:spacing w:val="-16"/>
          <w:sz w:val="36"/>
          <w:rtl/>
        </w:rPr>
        <w:footnoteReference w:id="3709"/>
      </w:r>
      <w:r>
        <w:rPr>
          <w:rFonts w:hint="cs"/>
          <w:spacing w:val="-16"/>
          <w:sz w:val="36"/>
          <w:rtl/>
        </w:rPr>
        <w:t xml:space="preserve"> </w:t>
      </w:r>
      <w:r>
        <w:rPr>
          <w:rFonts w:hint="cs"/>
          <w:spacing w:val="-16"/>
          <w:rtl/>
        </w:rPr>
        <w:t>خيار الموكل وإن كان القبض مقارنًا بالرؤية؛ قياسًا على ما إذا قبضه مستورًا ثم رآه، فإنه لا يسقط خيار الرؤية عن الموكل اتفاقًا</w:t>
      </w:r>
      <w:r>
        <w:rPr>
          <w:rFonts w:hint="cs"/>
          <w:spacing w:val="-16"/>
          <w:vertAlign w:val="superscript"/>
          <w:rtl/>
        </w:rPr>
        <w:t>(</w:t>
      </w:r>
      <w:r>
        <w:rPr>
          <w:rStyle w:val="a7"/>
          <w:spacing w:val="-16"/>
          <w:rtl/>
        </w:rPr>
        <w:footnoteReference w:id="3710"/>
      </w:r>
      <w:r>
        <w:rPr>
          <w:rFonts w:hint="cs"/>
          <w:spacing w:val="-16"/>
          <w:vertAlign w:val="superscript"/>
          <w:rtl/>
        </w:rPr>
        <w:t>)</w:t>
      </w:r>
      <w:r>
        <w:rPr>
          <w:rFonts w:hint="cs"/>
          <w:spacing w:val="-16"/>
          <w:rtl/>
        </w:rPr>
        <w:t>.</w:t>
      </w:r>
    </w:p>
    <w:p w:rsidR="00C10469" w:rsidRDefault="00C10469" w:rsidP="00C10469">
      <w:pPr>
        <w:ind w:left="706" w:hanging="329"/>
        <w:rPr>
          <w:rtl/>
        </w:rPr>
      </w:pPr>
      <w:r>
        <w:rPr>
          <w:rFonts w:hint="cs"/>
          <w:b/>
          <w:bCs/>
          <w:rtl/>
        </w:rPr>
        <w:t xml:space="preserve">   والجواب عن طرف</w:t>
      </w:r>
      <w:r>
        <w:rPr>
          <w:rStyle w:val="a7"/>
          <w:b/>
          <w:rtl/>
        </w:rPr>
        <w:footnoteReference w:id="3711"/>
      </w:r>
      <w:r>
        <w:rPr>
          <w:rFonts w:hint="cs"/>
          <w:b/>
          <w:bCs/>
          <w:rtl/>
        </w:rPr>
        <w:t xml:space="preserve"> أبي حنيفة</w:t>
      </w:r>
      <w:r>
        <w:rPr>
          <w:rFonts w:hint="cs"/>
          <w:rtl/>
        </w:rPr>
        <w:t xml:space="preserve"> : أن التوكيل ينتهي بالقبض، فلا يملك إسقاطه قصدًا بعد القبض لِصَيْرُورِيَّتِهِ</w:t>
      </w:r>
      <w:r>
        <w:rPr>
          <w:rStyle w:val="a7"/>
          <w:rtl/>
        </w:rPr>
        <w:footnoteReference w:id="3712"/>
      </w:r>
      <w:r>
        <w:rPr>
          <w:rFonts w:hint="cs"/>
          <w:rtl/>
        </w:rPr>
        <w:t xml:space="preserve"> أجنـبـيًّا. فعلى هذا لا [تخلو]</w:t>
      </w:r>
      <w:r>
        <w:rPr>
          <w:rStyle w:val="a7"/>
          <w:rtl/>
        </w:rPr>
        <w:footnoteReference w:id="3713"/>
      </w:r>
      <w:r>
        <w:rPr>
          <w:rFonts w:hint="cs"/>
          <w:rtl/>
        </w:rPr>
        <w:t xml:space="preserve"> عبارة ابن نجيم في (أشباهه)</w:t>
      </w:r>
      <w:r>
        <w:rPr>
          <w:rFonts w:hint="cs"/>
          <w:vertAlign w:val="superscript"/>
          <w:rtl/>
        </w:rPr>
        <w:t>(</w:t>
      </w:r>
      <w:r>
        <w:rPr>
          <w:rStyle w:val="a7"/>
          <w:rtl/>
        </w:rPr>
        <w:footnoteReference w:id="3714"/>
      </w:r>
      <w:r>
        <w:rPr>
          <w:rFonts w:hint="cs"/>
          <w:vertAlign w:val="superscript"/>
          <w:rtl/>
        </w:rPr>
        <w:t>)</w:t>
      </w:r>
      <w:r>
        <w:rPr>
          <w:rFonts w:hint="cs"/>
          <w:rtl/>
        </w:rPr>
        <w:t xml:space="preserve"> -عند ذكر هذه المسألة- عن التشويش.</w:t>
      </w:r>
    </w:p>
    <w:p w:rsidR="00C10469" w:rsidRDefault="00C10469" w:rsidP="00C10469">
      <w:pPr>
        <w:ind w:left="706" w:hanging="329"/>
        <w:rPr>
          <w:rtl/>
        </w:rPr>
      </w:pPr>
      <w:r>
        <w:rPr>
          <w:rtl/>
        </w:rPr>
        <w:t>•</w:t>
      </w:r>
      <w:r>
        <w:rPr>
          <w:rFonts w:hint="cs"/>
          <w:rtl/>
        </w:rPr>
        <w:t xml:space="preserve"> ومنها : قِنٌّ لهما أعتقه أحدهما وهو موسر : فلو شرى</w:t>
      </w:r>
      <w:r>
        <w:rPr>
          <w:rStyle w:val="a7"/>
          <w:rtl/>
        </w:rPr>
        <w:footnoteReference w:id="3715"/>
      </w:r>
      <w:r>
        <w:rPr>
          <w:rFonts w:hint="cs"/>
          <w:rtl/>
        </w:rPr>
        <w:t xml:space="preserve"> المُعتِق قصدًا نصيبَ الساكت لم يجز، ولا يتمكن الساكت من نقل ملكه إلى أحد.</w:t>
      </w:r>
    </w:p>
    <w:p w:rsidR="00C10469" w:rsidRDefault="00C10469" w:rsidP="00C10469">
      <w:pPr>
        <w:ind w:right="377"/>
        <w:rPr>
          <w:rtl/>
        </w:rPr>
      </w:pPr>
      <w:r>
        <w:rPr>
          <w:rFonts w:hint="cs"/>
          <w:rtl/>
        </w:rPr>
        <w:t xml:space="preserve"> لكن لو أدى المُعتق الضمان إلى الساكت مَلَكَ نصيبه</w:t>
      </w:r>
      <w:r>
        <w:rPr>
          <w:rFonts w:hint="eastAsia"/>
          <w:rtl/>
        </w:rPr>
        <w:t>»</w:t>
      </w:r>
      <w:r>
        <w:rPr>
          <w:rFonts w:hint="cs"/>
          <w:vertAlign w:val="superscript"/>
          <w:rtl/>
        </w:rPr>
        <w:t>(</w:t>
      </w:r>
      <w:r>
        <w:rPr>
          <w:rStyle w:val="a7"/>
          <w:rtl/>
        </w:rPr>
        <w:footnoteReference w:id="3716"/>
      </w:r>
      <w:r>
        <w:rPr>
          <w:rFonts w:hint="cs"/>
          <w:vertAlign w:val="superscript"/>
          <w:rtl/>
        </w:rPr>
        <w:t>)</w:t>
      </w:r>
      <w:r>
        <w:rPr>
          <w:rFonts w:hint="cs"/>
          <w:rtl/>
        </w:rPr>
        <w:t>.</w:t>
      </w:r>
    </w:p>
    <w:p w:rsidR="00C10469" w:rsidRPr="00A86883" w:rsidRDefault="00C10469" w:rsidP="00C10469">
      <w:pPr>
        <w:ind w:left="706" w:hanging="329"/>
        <w:rPr>
          <w:rtl/>
        </w:rPr>
      </w:pPr>
      <w:r w:rsidRPr="00A86883">
        <w:rPr>
          <w:rFonts w:hint="cs"/>
          <w:b/>
          <w:bCs/>
          <w:rtl/>
        </w:rPr>
        <w:lastRenderedPageBreak/>
        <w:t xml:space="preserve">   والجواب</w:t>
      </w:r>
      <w:r w:rsidRPr="00A86883">
        <w:rPr>
          <w:rFonts w:hint="cs"/>
          <w:rtl/>
        </w:rPr>
        <w:t xml:space="preserve"> : أن معتَق البعض صار كالمكاتب؛ لأنه يملكه</w:t>
      </w:r>
      <w:r w:rsidRPr="00A86883">
        <w:rPr>
          <w:rFonts w:hint="cs"/>
          <w:vertAlign w:val="superscript"/>
          <w:rtl/>
        </w:rPr>
        <w:t>(</w:t>
      </w:r>
      <w:r w:rsidRPr="00A86883">
        <w:rPr>
          <w:rStyle w:val="a7"/>
          <w:rtl/>
        </w:rPr>
        <w:footnoteReference w:id="3717"/>
      </w:r>
      <w:r w:rsidRPr="00A86883">
        <w:rPr>
          <w:rFonts w:hint="cs"/>
          <w:vertAlign w:val="superscript"/>
          <w:rtl/>
        </w:rPr>
        <w:t>)</w:t>
      </w:r>
      <w:r w:rsidRPr="00A86883">
        <w:rPr>
          <w:rFonts w:hint="cs"/>
          <w:rtl/>
        </w:rPr>
        <w:t xml:space="preserve"> رقبةً لايـدًا</w:t>
      </w:r>
      <w:r w:rsidRPr="00A86883">
        <w:rPr>
          <w:rFonts w:hint="cs"/>
          <w:vertAlign w:val="superscript"/>
          <w:rtl/>
        </w:rPr>
        <w:t>(</w:t>
      </w:r>
      <w:r w:rsidRPr="00A86883">
        <w:rPr>
          <w:rStyle w:val="a7"/>
          <w:rtl/>
        </w:rPr>
        <w:footnoteReference w:id="3718"/>
      </w:r>
      <w:r w:rsidRPr="00A86883">
        <w:rPr>
          <w:rFonts w:hint="cs"/>
          <w:vertAlign w:val="superscript"/>
          <w:rtl/>
        </w:rPr>
        <w:t>)</w:t>
      </w:r>
      <w:r w:rsidRPr="00A86883">
        <w:rPr>
          <w:rFonts w:hint="cs"/>
          <w:rtl/>
        </w:rPr>
        <w:t>، فلا</w:t>
      </w:r>
    </w:p>
    <w:p w:rsidR="00C10469" w:rsidRDefault="00C10469" w:rsidP="00C10469">
      <w:pPr>
        <w:ind w:left="706" w:hanging="329"/>
        <w:rPr>
          <w:spacing w:val="-6"/>
          <w:rtl/>
        </w:rPr>
      </w:pPr>
      <w:r>
        <w:rPr>
          <w:rFonts w:hint="cs"/>
          <w:spacing w:val="-6"/>
          <w:rtl/>
        </w:rPr>
        <w:t xml:space="preserve">   يتصور قدرة التسليم، وهو شرط في صحة البيع، والكتابة موقوف</w:t>
      </w:r>
      <w:r>
        <w:rPr>
          <w:rFonts w:hint="cs"/>
          <w:spacing w:val="-6"/>
          <w:vertAlign w:val="superscript"/>
          <w:rtl/>
        </w:rPr>
        <w:t>(</w:t>
      </w:r>
      <w:r>
        <w:rPr>
          <w:rStyle w:val="a7"/>
          <w:spacing w:val="-6"/>
          <w:rtl/>
        </w:rPr>
        <w:footnoteReference w:id="3719"/>
      </w:r>
      <w:r>
        <w:rPr>
          <w:rFonts w:hint="cs"/>
          <w:spacing w:val="-6"/>
          <w:vertAlign w:val="superscript"/>
          <w:rtl/>
        </w:rPr>
        <w:t xml:space="preserve">) </w:t>
      </w:r>
      <w:r>
        <w:rPr>
          <w:rFonts w:hint="cs"/>
          <w:spacing w:val="-6"/>
          <w:rtl/>
        </w:rPr>
        <w:t>على رضا المولى، فإن رضي الساكت يستسعيه؛ لأن الاستسعاء</w:t>
      </w:r>
      <w:r>
        <w:rPr>
          <w:rFonts w:hint="cs"/>
          <w:spacing w:val="-6"/>
          <w:vertAlign w:val="superscript"/>
          <w:rtl/>
        </w:rPr>
        <w:t>(</w:t>
      </w:r>
      <w:r>
        <w:rPr>
          <w:rStyle w:val="a7"/>
          <w:spacing w:val="-6"/>
          <w:rtl/>
        </w:rPr>
        <w:footnoteReference w:id="3720"/>
      </w:r>
      <w:r>
        <w:rPr>
          <w:rFonts w:hint="cs"/>
          <w:spacing w:val="-6"/>
          <w:vertAlign w:val="superscript"/>
          <w:rtl/>
        </w:rPr>
        <w:t>)</w:t>
      </w:r>
      <w:r>
        <w:rPr>
          <w:rFonts w:hint="cs"/>
          <w:spacing w:val="-6"/>
          <w:rtl/>
        </w:rPr>
        <w:t xml:space="preserve"> قائم مقام بدل الكتابة</w:t>
      </w:r>
      <w:r>
        <w:rPr>
          <w:rStyle w:val="a7"/>
          <w:spacing w:val="-6"/>
          <w:rtl/>
        </w:rPr>
        <w:footnoteReference w:id="3721"/>
      </w:r>
      <w:r>
        <w:rPr>
          <w:rFonts w:hint="cs"/>
          <w:spacing w:val="-6"/>
          <w:rtl/>
        </w:rPr>
        <w:t>. وإن لم يرضَ: ضمن المعتِق إن كان موسرًا؛ دفعًا للضّرر بقدر الإمكان</w:t>
      </w:r>
      <w:r>
        <w:rPr>
          <w:rFonts w:hint="cs"/>
          <w:spacing w:val="-6"/>
          <w:vertAlign w:val="superscript"/>
          <w:rtl/>
        </w:rPr>
        <w:t>(</w:t>
      </w:r>
      <w:r>
        <w:rPr>
          <w:rStyle w:val="a7"/>
          <w:spacing w:val="-6"/>
          <w:rtl/>
        </w:rPr>
        <w:footnoteReference w:id="3722"/>
      </w:r>
      <w:r>
        <w:rPr>
          <w:rFonts w:hint="cs"/>
          <w:spacing w:val="-6"/>
          <w:vertAlign w:val="superscript"/>
          <w:rtl/>
        </w:rPr>
        <w:t>)</w:t>
      </w:r>
      <w:r>
        <w:rPr>
          <w:rFonts w:hint="cs"/>
          <w:spacing w:val="-6"/>
          <w:rtl/>
        </w:rPr>
        <w:t xml:space="preserve"> عن الساكت، فإذا ضمنه انتقل الملك إلى المعتِق ضرورة عدم جواز الجمع بين البدل والمبدل منه.</w:t>
      </w:r>
    </w:p>
    <w:p w:rsidR="00C10469" w:rsidRDefault="00C10469" w:rsidP="00C10469">
      <w:pPr>
        <w:ind w:left="706" w:hanging="329"/>
        <w:rPr>
          <w:rtl/>
        </w:rPr>
      </w:pPr>
      <w:r>
        <w:rPr>
          <w:rtl/>
        </w:rPr>
        <w:t>•</w:t>
      </w:r>
      <w:r>
        <w:rPr>
          <w:rFonts w:hint="cs"/>
          <w:rtl/>
        </w:rPr>
        <w:t xml:space="preserve"> ومنها : </w:t>
      </w:r>
      <w:r>
        <w:rPr>
          <w:rFonts w:hint="eastAsia"/>
          <w:rtl/>
        </w:rPr>
        <w:t>«</w:t>
      </w:r>
      <w:r>
        <w:rPr>
          <w:rFonts w:hint="cs"/>
          <w:rtl/>
        </w:rPr>
        <w:t xml:space="preserve">فضولي زوّجه امرأةً برضاها، ثم وكّله رجلٌ بعده قبل الإجازة بأن </w:t>
      </w:r>
      <w:r>
        <w:rPr>
          <w:rFonts w:hint="cs"/>
          <w:rtl/>
        </w:rPr>
        <w:lastRenderedPageBreak/>
        <w:t>يزوجه</w:t>
      </w:r>
      <w:r>
        <w:rPr>
          <w:rStyle w:val="a7"/>
          <w:rtl/>
        </w:rPr>
        <w:footnoteReference w:id="3723"/>
      </w:r>
      <w:r>
        <w:rPr>
          <w:rFonts w:hint="cs"/>
          <w:rtl/>
        </w:rPr>
        <w:t xml:space="preserve"> امرأة. فقال</w:t>
      </w:r>
      <w:r>
        <w:rPr>
          <w:rFonts w:hint="cs"/>
          <w:vertAlign w:val="superscript"/>
          <w:rtl/>
        </w:rPr>
        <w:t>(</w:t>
      </w:r>
      <w:r>
        <w:rPr>
          <w:rStyle w:val="a7"/>
          <w:rtl/>
        </w:rPr>
        <w:footnoteReference w:id="3724"/>
      </w:r>
      <w:r>
        <w:rPr>
          <w:rFonts w:hint="cs"/>
          <w:vertAlign w:val="superscript"/>
          <w:rtl/>
        </w:rPr>
        <w:t>)</w:t>
      </w:r>
      <w:r>
        <w:rPr>
          <w:rFonts w:hint="cs"/>
          <w:rtl/>
        </w:rPr>
        <w:t xml:space="preserve"> : نقضت ذلك النكاح : لم ينقض</w:t>
      </w:r>
      <w:r>
        <w:rPr>
          <w:rStyle w:val="a7"/>
          <w:rtl/>
        </w:rPr>
        <w:footnoteReference w:id="3725"/>
      </w:r>
      <w:r>
        <w:rPr>
          <w:rFonts w:hint="cs"/>
          <w:rtl/>
        </w:rPr>
        <w:t>.</w:t>
      </w:r>
    </w:p>
    <w:p w:rsidR="00C10469" w:rsidRDefault="00C10469" w:rsidP="00C10469">
      <w:pPr>
        <w:ind w:left="706" w:hanging="329"/>
        <w:rPr>
          <w:spacing w:val="-6"/>
          <w:rtl/>
        </w:rPr>
      </w:pPr>
      <w:r>
        <w:rPr>
          <w:rFonts w:hint="cs"/>
          <w:spacing w:val="-6"/>
          <w:rtl/>
        </w:rPr>
        <w:t xml:space="preserve">   ولو لم</w:t>
      </w:r>
      <w:r>
        <w:rPr>
          <w:rStyle w:val="a7"/>
          <w:spacing w:val="-6"/>
          <w:rtl/>
        </w:rPr>
        <w:footnoteReference w:id="3726"/>
      </w:r>
      <w:r>
        <w:rPr>
          <w:rFonts w:hint="cs"/>
          <w:spacing w:val="-6"/>
          <w:rtl/>
        </w:rPr>
        <w:t xml:space="preserve"> ينقضه قولاً، ولكن</w:t>
      </w:r>
      <w:r>
        <w:rPr>
          <w:rStyle w:val="a7"/>
          <w:spacing w:val="-6"/>
          <w:rtl/>
        </w:rPr>
        <w:footnoteReference w:id="3727"/>
      </w:r>
      <w:r>
        <w:rPr>
          <w:rFonts w:hint="cs"/>
          <w:spacing w:val="-6"/>
          <w:rtl/>
        </w:rPr>
        <w:t xml:space="preserve"> زوجه إياها</w:t>
      </w:r>
      <w:r>
        <w:rPr>
          <w:rStyle w:val="a7"/>
          <w:spacing w:val="-6"/>
          <w:rtl/>
        </w:rPr>
        <w:footnoteReference w:id="3728"/>
      </w:r>
      <w:r>
        <w:rPr>
          <w:rFonts w:hint="cs"/>
          <w:spacing w:val="-6"/>
          <w:rtl/>
        </w:rPr>
        <w:t xml:space="preserve"> بعد ذلك : انتقض الأول</w:t>
      </w:r>
      <w:r>
        <w:rPr>
          <w:rFonts w:hint="eastAsia"/>
          <w:spacing w:val="-6"/>
          <w:rtl/>
        </w:rPr>
        <w:t>»</w:t>
      </w:r>
      <w:r>
        <w:rPr>
          <w:rFonts w:hint="cs"/>
          <w:spacing w:val="-6"/>
          <w:vertAlign w:val="superscript"/>
          <w:rtl/>
        </w:rPr>
        <w:t>(</w:t>
      </w:r>
      <w:r>
        <w:rPr>
          <w:rStyle w:val="a7"/>
          <w:spacing w:val="-6"/>
          <w:rtl/>
        </w:rPr>
        <w:footnoteReference w:id="3729"/>
      </w:r>
      <w:r>
        <w:rPr>
          <w:rFonts w:hint="cs"/>
          <w:spacing w:val="-6"/>
          <w:vertAlign w:val="superscript"/>
          <w:rtl/>
        </w:rPr>
        <w:t>)</w:t>
      </w:r>
      <w:r>
        <w:rPr>
          <w:rFonts w:hint="cs"/>
          <w:spacing w:val="-6"/>
          <w:rtl/>
        </w:rPr>
        <w:t>.</w:t>
      </w:r>
    </w:p>
    <w:p w:rsidR="00C10469" w:rsidRDefault="00C10469" w:rsidP="00C10469">
      <w:pPr>
        <w:ind w:left="706" w:hanging="329"/>
        <w:rPr>
          <w:rtl/>
        </w:rPr>
      </w:pPr>
      <w:r>
        <w:rPr>
          <w:rFonts w:hint="cs"/>
          <w:b/>
          <w:bCs/>
          <w:rtl/>
        </w:rPr>
        <w:t xml:space="preserve">    والجواب</w:t>
      </w:r>
      <w:r>
        <w:rPr>
          <w:rFonts w:hint="cs"/>
          <w:rtl/>
        </w:rPr>
        <w:t xml:space="preserve"> : أن العقدين تعارضا فَرُجِّح</w:t>
      </w:r>
      <w:r>
        <w:rPr>
          <w:rStyle w:val="a7"/>
          <w:rtl/>
        </w:rPr>
        <w:footnoteReference w:id="3730"/>
      </w:r>
      <w:r>
        <w:rPr>
          <w:rFonts w:hint="cs"/>
          <w:rtl/>
        </w:rPr>
        <w:t xml:space="preserve"> الثاني؛ لأن الأول موقوف لا يتم إلا بالإجازة، والثاني منّجز تام، فرُجّح</w:t>
      </w:r>
      <w:r>
        <w:rPr>
          <w:rStyle w:val="a7"/>
          <w:rtl/>
        </w:rPr>
        <w:footnoteReference w:id="3731"/>
      </w:r>
      <w:r>
        <w:rPr>
          <w:rFonts w:hint="cs"/>
          <w:rtl/>
        </w:rPr>
        <w:t>.</w:t>
      </w:r>
    </w:p>
    <w:p w:rsidR="00C10469" w:rsidRDefault="00C10469" w:rsidP="00C10469">
      <w:pPr>
        <w:ind w:left="706" w:hanging="329"/>
        <w:rPr>
          <w:spacing w:val="-8"/>
          <w:rtl/>
        </w:rPr>
      </w:pPr>
      <w:r>
        <w:rPr>
          <w:rtl/>
        </w:rPr>
        <w:t>•</w:t>
      </w:r>
      <w:r>
        <w:rPr>
          <w:rFonts w:hint="cs"/>
          <w:rtl/>
        </w:rPr>
        <w:t xml:space="preserve">  ومنها : </w:t>
      </w:r>
      <w:r>
        <w:rPr>
          <w:rFonts w:hint="eastAsia"/>
          <w:spacing w:val="-8"/>
          <w:rtl/>
        </w:rPr>
        <w:t>«</w:t>
      </w:r>
      <w:r>
        <w:rPr>
          <w:rFonts w:hint="cs"/>
          <w:spacing w:val="-8"/>
          <w:rtl/>
        </w:rPr>
        <w:t>شرى كرَّ برٍّ عينًا، وأَمَرَ المشتري البائعَ بقبضه للمشتري : لم يصح.</w:t>
      </w:r>
    </w:p>
    <w:p w:rsidR="00C10469" w:rsidRDefault="00C10469" w:rsidP="00C10469">
      <w:pPr>
        <w:ind w:left="706" w:hanging="329"/>
        <w:rPr>
          <w:spacing w:val="-8"/>
          <w:rtl/>
        </w:rPr>
      </w:pPr>
      <w:r>
        <w:rPr>
          <w:rFonts w:hint="cs"/>
          <w:spacing w:val="-8"/>
          <w:rtl/>
        </w:rPr>
        <w:lastRenderedPageBreak/>
        <w:t xml:space="preserve">    ولو دفع إليه [غِرارةً]</w:t>
      </w:r>
      <w:r>
        <w:rPr>
          <w:rFonts w:hint="cs"/>
          <w:spacing w:val="-8"/>
          <w:vertAlign w:val="superscript"/>
          <w:rtl/>
        </w:rPr>
        <w:t>(</w:t>
      </w:r>
      <w:r>
        <w:rPr>
          <w:rStyle w:val="a7"/>
          <w:spacing w:val="-8"/>
          <w:rtl/>
        </w:rPr>
        <w:footnoteReference w:id="3732"/>
      </w:r>
      <w:r>
        <w:rPr>
          <w:rFonts w:hint="cs"/>
          <w:spacing w:val="-8"/>
          <w:vertAlign w:val="superscript"/>
          <w:rtl/>
        </w:rPr>
        <w:t>)</w:t>
      </w:r>
      <w:r>
        <w:rPr>
          <w:rFonts w:hint="cs"/>
          <w:spacing w:val="-8"/>
          <w:rtl/>
        </w:rPr>
        <w:t xml:space="preserve"> وأمره</w:t>
      </w:r>
      <w:r>
        <w:rPr>
          <w:rStyle w:val="a7"/>
          <w:spacing w:val="-8"/>
          <w:rtl/>
        </w:rPr>
        <w:footnoteReference w:id="3733"/>
      </w:r>
      <w:r>
        <w:rPr>
          <w:rFonts w:hint="cs"/>
          <w:spacing w:val="-8"/>
          <w:rtl/>
        </w:rPr>
        <w:t xml:space="preserve"> أن يكيله فيها</w:t>
      </w:r>
      <w:r>
        <w:rPr>
          <w:rStyle w:val="a7"/>
          <w:spacing w:val="-8"/>
          <w:rtl/>
        </w:rPr>
        <w:footnoteReference w:id="3734"/>
      </w:r>
      <w:r>
        <w:rPr>
          <w:rFonts w:hint="cs"/>
          <w:spacing w:val="-8"/>
          <w:rtl/>
        </w:rPr>
        <w:t xml:space="preserve"> : صح؛ إذْ البائع لا</w:t>
      </w:r>
      <w:r>
        <w:rPr>
          <w:rStyle w:val="a7"/>
          <w:spacing w:val="-8"/>
          <w:rtl/>
        </w:rPr>
        <w:footnoteReference w:id="3735"/>
      </w:r>
      <w:r>
        <w:rPr>
          <w:rFonts w:hint="cs"/>
          <w:spacing w:val="-8"/>
          <w:rtl/>
        </w:rPr>
        <w:t xml:space="preserve"> يصح</w:t>
      </w:r>
      <w:r>
        <w:rPr>
          <w:rStyle w:val="a7"/>
          <w:spacing w:val="-8"/>
          <w:rtl/>
        </w:rPr>
        <w:footnoteReference w:id="3736"/>
      </w:r>
      <w:r>
        <w:rPr>
          <w:rFonts w:hint="cs"/>
          <w:spacing w:val="-8"/>
          <w:rtl/>
        </w:rPr>
        <w:t xml:space="preserve"> وكيلاً عن المشتري في القبض قصدًا، ويصلح</w:t>
      </w:r>
      <w:r>
        <w:rPr>
          <w:rStyle w:val="a7"/>
          <w:spacing w:val="-8"/>
          <w:rtl/>
        </w:rPr>
        <w:footnoteReference w:id="3737"/>
      </w:r>
      <w:r>
        <w:rPr>
          <w:rFonts w:hint="cs"/>
          <w:spacing w:val="-8"/>
          <w:rtl/>
        </w:rPr>
        <w:t xml:space="preserve"> ضمنًا وحكمًا</w:t>
      </w:r>
      <w:r>
        <w:rPr>
          <w:rFonts w:hint="eastAsia"/>
          <w:spacing w:val="-8"/>
          <w:rtl/>
        </w:rPr>
        <w:t>»</w:t>
      </w:r>
      <w:r>
        <w:rPr>
          <w:rFonts w:hint="cs"/>
          <w:spacing w:val="-8"/>
          <w:vertAlign w:val="superscript"/>
          <w:rtl/>
        </w:rPr>
        <w:t>(</w:t>
      </w:r>
      <w:r>
        <w:rPr>
          <w:rStyle w:val="a7"/>
          <w:spacing w:val="-8"/>
          <w:rtl/>
        </w:rPr>
        <w:footnoteReference w:id="3738"/>
      </w:r>
      <w:r>
        <w:rPr>
          <w:rFonts w:hint="cs"/>
          <w:spacing w:val="-8"/>
          <w:vertAlign w:val="superscript"/>
          <w:rtl/>
        </w:rPr>
        <w:t>)</w:t>
      </w:r>
      <w:r>
        <w:rPr>
          <w:rFonts w:hint="cs"/>
          <w:spacing w:val="-8"/>
          <w:rtl/>
        </w:rPr>
        <w:t>.</w:t>
      </w:r>
    </w:p>
    <w:p w:rsidR="00C10469" w:rsidRDefault="00C10469" w:rsidP="00C10469">
      <w:pPr>
        <w:ind w:left="706" w:hanging="329"/>
        <w:rPr>
          <w:rtl/>
        </w:rPr>
      </w:pPr>
      <w:r>
        <w:rPr>
          <w:rFonts w:hint="cs"/>
          <w:b/>
          <w:bCs/>
          <w:rtl/>
        </w:rPr>
        <w:t xml:space="preserve">    والجواب</w:t>
      </w:r>
      <w:r>
        <w:rPr>
          <w:rFonts w:hint="cs"/>
          <w:rtl/>
        </w:rPr>
        <w:t xml:space="preserve"> : أَمْرُ المشتري بالكيل فيها ليس بتوكيل البائع في القبض؛ بل أمره بالكيل فيها طلب أداء مـا وجب</w:t>
      </w:r>
      <w:r>
        <w:rPr>
          <w:rStyle w:val="a7"/>
          <w:rtl/>
        </w:rPr>
        <w:footnoteReference w:id="3739"/>
      </w:r>
      <w:r>
        <w:rPr>
          <w:rFonts w:hint="cs"/>
          <w:rtl/>
        </w:rPr>
        <w:t xml:space="preserve"> على البائع، وهو تسليم المبيع، فكيله في طرف</w:t>
      </w:r>
      <w:r>
        <w:rPr>
          <w:rStyle w:val="a7"/>
          <w:rtl/>
        </w:rPr>
        <w:footnoteReference w:id="3740"/>
      </w:r>
      <w:r>
        <w:rPr>
          <w:rFonts w:hint="cs"/>
          <w:rtl/>
        </w:rPr>
        <w:t xml:space="preserve"> المشـتري تـسليم لا قبض، فيبقى</w:t>
      </w:r>
      <w:r>
        <w:rPr>
          <w:rStyle w:val="a7"/>
          <w:rtl/>
        </w:rPr>
        <w:footnoteReference w:id="3741"/>
      </w:r>
      <w:r>
        <w:rPr>
          <w:rFonts w:hint="cs"/>
          <w:rtl/>
        </w:rPr>
        <w:t xml:space="preserve"> في يده أمانة، فإن هلك في يده لا يضمن.</w:t>
      </w:r>
    </w:p>
    <w:p w:rsidR="00C10469" w:rsidRDefault="00C10469" w:rsidP="00490363">
      <w:pPr>
        <w:rPr>
          <w:spacing w:val="-8"/>
          <w:rtl/>
        </w:rPr>
      </w:pPr>
      <w:r>
        <w:rPr>
          <w:rFonts w:hint="cs"/>
          <w:rtl/>
        </w:rPr>
        <w:t>ولهذه المسائل نظائر، تركتُ ذكرها؛ لظهور جوابها عن التخلف</w:t>
      </w:r>
      <w:r>
        <w:rPr>
          <w:rStyle w:val="a7"/>
          <w:spacing w:val="-8"/>
          <w:rtl/>
        </w:rPr>
        <w:footnoteReference w:id="3742"/>
      </w:r>
      <w:r>
        <w:rPr>
          <w:rFonts w:hint="cs"/>
          <w:rtl/>
        </w:rPr>
        <w:t xml:space="preserve"> بأدنى تأمل، بعدما سمعنا هذه الأجوبة.</w:t>
      </w:r>
    </w:p>
    <w:p w:rsidR="00C10469" w:rsidRDefault="00C10469" w:rsidP="00490363">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3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65469" w:rsidRDefault="00C10469">
      <w:pPr>
        <w:pStyle w:val="a9"/>
        <w:rPr>
          <w:rFonts w:cs="AL-Mateen"/>
          <w:rtl/>
        </w:rPr>
      </w:pPr>
      <w:r w:rsidRPr="00065469">
        <w:rPr>
          <w:rFonts w:cs="AL-Mateen" w:hint="cs"/>
          <w:rtl/>
        </w:rPr>
        <w:lastRenderedPageBreak/>
        <w:t>[ الـقـاعـدة الـتـاسـعـة والـسـبـعـون بـعـد الـمـائـة ]</w:t>
      </w:r>
    </w:p>
    <w:p w:rsidR="00C10469" w:rsidRDefault="00C10469">
      <w:pPr>
        <w:rPr>
          <w:rtl/>
        </w:rPr>
      </w:pPr>
      <w:r>
        <w:rPr>
          <w:rFonts w:cs="Monotype Koufi" w:hint="cs"/>
          <w:rtl/>
        </w:rPr>
        <w:t>الق</w:t>
      </w:r>
      <w:r>
        <w:rPr>
          <w:rFonts w:cs="Monotype Koufi" w:hint="cs"/>
          <w:rtl/>
          <w:lang w:bidi="ar-AE"/>
        </w:rPr>
        <w:t>َ</w:t>
      </w:r>
      <w:r>
        <w:rPr>
          <w:rFonts w:cs="Monotype Koufi" w:hint="cs"/>
          <w:rtl/>
        </w:rPr>
        <w:t>بْضُ إنَّمَا يُعْتَبَرُ فِي انتقالِ المِلْكِ لاَ فِي دَعْوَى المِلْكِ القَدِيمِ</w:t>
      </w:r>
      <w:r>
        <w:rPr>
          <w:rFonts w:hint="cs"/>
          <w:vertAlign w:val="superscript"/>
          <w:rtl/>
        </w:rPr>
        <w:t>(</w:t>
      </w:r>
      <w:r>
        <w:rPr>
          <w:rStyle w:val="a7"/>
          <w:rtl/>
        </w:rPr>
        <w:footnoteReference w:id="3743"/>
      </w:r>
      <w:r>
        <w:rPr>
          <w:rFonts w:hint="cs"/>
          <w:vertAlign w:val="superscript"/>
          <w:rtl/>
        </w:rPr>
        <w:t>)</w:t>
      </w:r>
      <w:r>
        <w:rPr>
          <w:rFonts w:hint="cs"/>
          <w:rtl/>
        </w:rPr>
        <w:t>:</w:t>
      </w:r>
    </w:p>
    <w:p w:rsidR="00C10469" w:rsidRDefault="00C10469">
      <w:pPr>
        <w:rPr>
          <w:rtl/>
        </w:rPr>
      </w:pPr>
      <w:r>
        <w:rPr>
          <w:rFonts w:hint="cs"/>
          <w:b/>
          <w:bCs/>
          <w:rtl/>
        </w:rPr>
        <w:t>ولهذا</w:t>
      </w:r>
      <w:r>
        <w:rPr>
          <w:rFonts w:hint="cs"/>
          <w:rtl/>
        </w:rPr>
        <w:t xml:space="preserve"> قالوا : الرجوعُ في الهبة - سواء كان بتراضٍ أو حكم قاضٍ - فسخٌ لا هبة، فلم يشترط قبضه، ولا يمنعه الشيوع؛ لأن بالرجوع عاد الملك القديم</w:t>
      </w:r>
      <w:r>
        <w:rPr>
          <w:rFonts w:hint="cs"/>
          <w:vertAlign w:val="superscript"/>
          <w:rtl/>
        </w:rPr>
        <w:t>(</w:t>
      </w:r>
      <w:r>
        <w:rPr>
          <w:rStyle w:val="a7"/>
          <w:rtl/>
        </w:rPr>
        <w:footnoteReference w:id="3744"/>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1B19DE"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3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1A457F" w:rsidRDefault="00C10469">
      <w:pPr>
        <w:pStyle w:val="a9"/>
        <w:rPr>
          <w:rFonts w:cs="AL-Mateen"/>
        </w:rPr>
      </w:pPr>
      <w:r w:rsidRPr="001A457F">
        <w:rPr>
          <w:rFonts w:cs="AL-Mateen" w:hint="cs"/>
          <w:rtl/>
        </w:rPr>
        <w:lastRenderedPageBreak/>
        <w:t>[ الـقـاعـدة الـثـمـانـون بـعـد الـمـائـة ]</w:t>
      </w:r>
    </w:p>
    <w:p w:rsidR="00C10469" w:rsidRDefault="00C10469">
      <w:pPr>
        <w:rPr>
          <w:rtl/>
        </w:rPr>
      </w:pPr>
      <w:r>
        <w:rPr>
          <w:rFonts w:cs="Monotype Koufi" w:hint="cs"/>
          <w:rtl/>
        </w:rPr>
        <w:t>القضاءُ مقتصرٌ على المقضيِّ عليهِ ولا يتعدَّى إلى غَيرِهِ</w:t>
      </w:r>
      <w:r>
        <w:rPr>
          <w:rFonts w:hint="cs"/>
          <w:vertAlign w:val="superscript"/>
          <w:rtl/>
        </w:rPr>
        <w:t>(</w:t>
      </w:r>
      <w:r>
        <w:rPr>
          <w:rStyle w:val="a7"/>
          <w:rtl/>
        </w:rPr>
        <w:footnoteReference w:id="3745"/>
      </w:r>
      <w:r>
        <w:rPr>
          <w:rFonts w:hint="cs"/>
          <w:vertAlign w:val="superscript"/>
          <w:rtl/>
        </w:rPr>
        <w:t>)</w:t>
      </w:r>
      <w:r>
        <w:rPr>
          <w:rFonts w:hint="cs"/>
          <w:rtl/>
        </w:rPr>
        <w:t xml:space="preserve"> :</w:t>
      </w:r>
    </w:p>
    <w:p w:rsidR="00C10469" w:rsidRDefault="00C10469">
      <w:pPr>
        <w:rPr>
          <w:rtl/>
        </w:rPr>
      </w:pPr>
      <w:r>
        <w:rPr>
          <w:rFonts w:hint="cs"/>
          <w:b/>
          <w:bCs/>
          <w:rtl/>
        </w:rPr>
        <w:t>واستُثني من هذا الأصل مسائل</w:t>
      </w:r>
      <w:r>
        <w:rPr>
          <w:rFonts w:hint="cs"/>
          <w:rtl/>
        </w:rPr>
        <w:t xml:space="preserve"> :</w:t>
      </w:r>
    </w:p>
    <w:p w:rsidR="00C10469" w:rsidRDefault="00C10469" w:rsidP="00C10469">
      <w:pPr>
        <w:ind w:left="848" w:hanging="281"/>
        <w:rPr>
          <w:rtl/>
        </w:rPr>
      </w:pPr>
      <w:r>
        <w:rPr>
          <w:b/>
          <w:bCs/>
          <w:rtl/>
        </w:rPr>
        <w:t>•</w:t>
      </w:r>
      <w:r>
        <w:rPr>
          <w:rFonts w:hint="cs"/>
          <w:b/>
          <w:bCs/>
          <w:rtl/>
        </w:rPr>
        <w:t xml:space="preserve">  منها</w:t>
      </w:r>
      <w:r>
        <w:rPr>
          <w:rFonts w:hint="cs"/>
          <w:rtl/>
        </w:rPr>
        <w:t xml:space="preserve"> : </w:t>
      </w:r>
      <w:r>
        <w:rPr>
          <w:rFonts w:hint="eastAsia"/>
          <w:spacing w:val="-8"/>
          <w:rtl/>
        </w:rPr>
        <w:t>«</w:t>
      </w:r>
      <w:r>
        <w:rPr>
          <w:rFonts w:hint="cs"/>
          <w:rtl/>
        </w:rPr>
        <w:t>الحكم بالحرية الأصلية حكم على الكافة</w:t>
      </w:r>
      <w:r>
        <w:rPr>
          <w:rFonts w:hint="cs"/>
          <w:vertAlign w:val="superscript"/>
          <w:rtl/>
        </w:rPr>
        <w:t>(</w:t>
      </w:r>
      <w:r>
        <w:rPr>
          <w:rStyle w:val="a7"/>
          <w:rtl/>
        </w:rPr>
        <w:footnoteReference w:id="3746"/>
      </w:r>
      <w:r>
        <w:rPr>
          <w:rFonts w:hint="cs"/>
          <w:vertAlign w:val="superscript"/>
          <w:rtl/>
        </w:rPr>
        <w:t>)</w:t>
      </w:r>
      <w:r>
        <w:rPr>
          <w:rFonts w:hint="cs"/>
          <w:rtl/>
        </w:rPr>
        <w:t>، حتى لا [تُسمع]</w:t>
      </w:r>
      <w:r>
        <w:rPr>
          <w:rStyle w:val="a7"/>
          <w:rtl/>
        </w:rPr>
        <w:footnoteReference w:id="3747"/>
      </w:r>
      <w:r>
        <w:rPr>
          <w:rFonts w:hint="cs"/>
          <w:rtl/>
        </w:rPr>
        <w:t xml:space="preserve"> دعوى الملك من أحد، كذا العتقُ وفروعه</w:t>
      </w:r>
      <w:r>
        <w:rPr>
          <w:rFonts w:hint="eastAsia"/>
          <w:spacing w:val="-8"/>
          <w:rtl/>
        </w:rPr>
        <w:t>»</w:t>
      </w:r>
      <w:r>
        <w:rPr>
          <w:rFonts w:hint="cs"/>
          <w:vertAlign w:val="superscript"/>
          <w:rtl/>
        </w:rPr>
        <w:t>(</w:t>
      </w:r>
      <w:r>
        <w:rPr>
          <w:rStyle w:val="a7"/>
          <w:rtl/>
        </w:rPr>
        <w:footnoteReference w:id="3748"/>
      </w:r>
      <w:r>
        <w:rPr>
          <w:rFonts w:hint="cs"/>
          <w:vertAlign w:val="superscript"/>
          <w:rtl/>
        </w:rPr>
        <w:t>)</w:t>
      </w:r>
      <w:r>
        <w:rPr>
          <w:rFonts w:hint="cs"/>
          <w:rtl/>
        </w:rPr>
        <w:t xml:space="preserve"> ، كالولاء وغيره.</w:t>
      </w:r>
    </w:p>
    <w:p w:rsidR="00C10469" w:rsidRDefault="00C10469" w:rsidP="00C10469">
      <w:pPr>
        <w:ind w:left="848" w:hanging="281"/>
        <w:rPr>
          <w:rtl/>
        </w:rPr>
      </w:pPr>
      <w:r>
        <w:rPr>
          <w:rFonts w:hint="cs"/>
          <w:b/>
          <w:bCs/>
          <w:rtl/>
        </w:rPr>
        <w:t xml:space="preserve">    والجواب </w:t>
      </w:r>
      <w:r>
        <w:rPr>
          <w:rFonts w:hint="cs"/>
          <w:rtl/>
        </w:rPr>
        <w:t xml:space="preserve">: </w:t>
      </w:r>
      <w:r>
        <w:rPr>
          <w:rFonts w:hint="eastAsia"/>
          <w:spacing w:val="-8"/>
          <w:rtl/>
        </w:rPr>
        <w:t>«</w:t>
      </w:r>
      <w:r>
        <w:rPr>
          <w:rFonts w:hint="cs"/>
          <w:rtl/>
        </w:rPr>
        <w:t>أن الحرية حق الله تعالى، حتى لا يجوز استرقاق الحرّ</w:t>
      </w:r>
      <w:r>
        <w:rPr>
          <w:rStyle w:val="a7"/>
          <w:rtl/>
        </w:rPr>
        <w:footnoteReference w:id="3749"/>
      </w:r>
      <w:r>
        <w:rPr>
          <w:rFonts w:hint="cs"/>
          <w:rtl/>
        </w:rPr>
        <w:t xml:space="preserve"> برضاه، والناس كلهم  خصوم في إثبات حقوق الله تعالى نيابةً عن الله تعالى؛ [لكونهم]</w:t>
      </w:r>
      <w:r>
        <w:rPr>
          <w:rStyle w:val="a7"/>
          <w:rtl/>
        </w:rPr>
        <w:footnoteReference w:id="3750"/>
      </w:r>
      <w:r>
        <w:rPr>
          <w:rFonts w:hint="cs"/>
          <w:rtl/>
        </w:rPr>
        <w:t xml:space="preserve">  عبيده، فكان حضور الواحد كحضور الكل</w:t>
      </w:r>
      <w:r>
        <w:rPr>
          <w:rStyle w:val="a7"/>
          <w:rtl/>
        </w:rPr>
        <w:footnoteReference w:id="3751"/>
      </w:r>
      <w:r>
        <w:rPr>
          <w:rFonts w:hint="cs"/>
          <w:rtl/>
        </w:rPr>
        <w:t>.</w:t>
      </w:r>
    </w:p>
    <w:p w:rsidR="00C10469" w:rsidRDefault="00C10469" w:rsidP="00C10469">
      <w:pPr>
        <w:ind w:left="848" w:hanging="281"/>
        <w:rPr>
          <w:rtl/>
        </w:rPr>
      </w:pPr>
      <w:r>
        <w:rPr>
          <w:rFonts w:hint="cs"/>
          <w:rtl/>
        </w:rPr>
        <w:t xml:space="preserve">    بخلاف الملك؛ لأنه حق العبد خاصة، فلا ينتصب الحاضر خصمًا [عن</w:t>
      </w:r>
      <w:r>
        <w:rPr>
          <w:rStyle w:val="a7"/>
          <w:rtl/>
        </w:rPr>
        <w:footnoteReference w:id="3752"/>
      </w:r>
      <w:r>
        <w:rPr>
          <w:rFonts w:hint="cs"/>
          <w:rtl/>
        </w:rPr>
        <w:t xml:space="preserve"> الغائب؛ لعدم ما يُوجب انتصابه خصمًا]</w:t>
      </w:r>
      <w:r>
        <w:rPr>
          <w:rStyle w:val="a7"/>
          <w:rtl/>
        </w:rPr>
        <w:footnoteReference w:id="3753"/>
      </w:r>
      <w:r>
        <w:rPr>
          <w:rFonts w:hint="eastAsia"/>
          <w:spacing w:val="-8"/>
          <w:rtl/>
        </w:rPr>
        <w:t>»</w:t>
      </w:r>
      <w:r>
        <w:rPr>
          <w:rFonts w:hint="cs"/>
          <w:spacing w:val="-8"/>
          <w:vertAlign w:val="superscript"/>
          <w:rtl/>
        </w:rPr>
        <w:t>(</w:t>
      </w:r>
      <w:r>
        <w:rPr>
          <w:rStyle w:val="a7"/>
          <w:spacing w:val="-8"/>
          <w:rtl/>
        </w:rPr>
        <w:footnoteReference w:id="3754"/>
      </w:r>
      <w:r>
        <w:rPr>
          <w:rFonts w:hint="cs"/>
          <w:spacing w:val="-8"/>
          <w:vertAlign w:val="superscript"/>
          <w:rtl/>
        </w:rPr>
        <w:t>)</w:t>
      </w:r>
      <w:r>
        <w:rPr>
          <w:rFonts w:hint="cs"/>
          <w:spacing w:val="-8"/>
          <w:rtl/>
        </w:rPr>
        <w:t>.</w:t>
      </w:r>
    </w:p>
    <w:p w:rsidR="00C10469" w:rsidRDefault="00C10469" w:rsidP="00C10469">
      <w:pPr>
        <w:spacing w:line="264" w:lineRule="auto"/>
        <w:ind w:left="851" w:hanging="284"/>
        <w:rPr>
          <w:rtl/>
        </w:rPr>
      </w:pPr>
      <w:r>
        <w:rPr>
          <w:b/>
          <w:bCs/>
          <w:rtl/>
        </w:rPr>
        <w:lastRenderedPageBreak/>
        <w:t>•</w:t>
      </w:r>
      <w:r>
        <w:rPr>
          <w:rFonts w:hint="cs"/>
          <w:b/>
          <w:bCs/>
          <w:rtl/>
        </w:rPr>
        <w:t xml:space="preserve">  ومنها</w:t>
      </w:r>
      <w:r>
        <w:rPr>
          <w:rFonts w:hint="cs"/>
          <w:rtl/>
        </w:rPr>
        <w:t xml:space="preserve"> : </w:t>
      </w:r>
      <w:r>
        <w:rPr>
          <w:rFonts w:hint="eastAsia"/>
          <w:spacing w:val="-8"/>
          <w:rtl/>
        </w:rPr>
        <w:t>«</w:t>
      </w:r>
      <w:r>
        <w:rPr>
          <w:rFonts w:hint="cs"/>
          <w:rtl/>
        </w:rPr>
        <w:t>من تلقى الملك من جهته</w:t>
      </w:r>
      <w:r>
        <w:rPr>
          <w:rStyle w:val="a7"/>
          <w:rtl/>
        </w:rPr>
        <w:footnoteReference w:id="3755"/>
      </w:r>
      <w:r>
        <w:rPr>
          <w:rFonts w:hint="cs"/>
          <w:rtl/>
        </w:rPr>
        <w:t xml:space="preserve"> يصير مقضيًّا</w:t>
      </w:r>
      <w:r>
        <w:rPr>
          <w:rStyle w:val="a7"/>
          <w:rtl/>
        </w:rPr>
        <w:footnoteReference w:id="3756"/>
      </w:r>
      <w:r>
        <w:rPr>
          <w:rFonts w:hint="cs"/>
          <w:rtl/>
        </w:rPr>
        <w:t xml:space="preserve"> عليه أيضاً؛ لتعدي</w:t>
      </w:r>
      <w:r>
        <w:rPr>
          <w:rStyle w:val="a7"/>
          <w:rtl/>
        </w:rPr>
        <w:footnoteReference w:id="3757"/>
      </w:r>
      <w:r>
        <w:rPr>
          <w:rFonts w:hint="cs"/>
          <w:rtl/>
        </w:rPr>
        <w:t xml:space="preserve"> أثر القضاء إليه؛ لاتّحاد الملك، فمن قُضي</w:t>
      </w:r>
      <w:r>
        <w:rPr>
          <w:rStyle w:val="a7"/>
          <w:rtl/>
        </w:rPr>
        <w:footnoteReference w:id="3758"/>
      </w:r>
      <w:r>
        <w:rPr>
          <w:rFonts w:hint="cs"/>
          <w:rtl/>
        </w:rPr>
        <w:t xml:space="preserve"> عليه في حادثة لم يصر</w:t>
      </w:r>
      <w:r>
        <w:rPr>
          <w:rStyle w:val="a7"/>
          <w:rtl/>
        </w:rPr>
        <w:footnoteReference w:id="3759"/>
      </w:r>
      <w:r>
        <w:rPr>
          <w:rFonts w:hint="cs"/>
          <w:rtl/>
        </w:rPr>
        <w:t xml:space="preserve"> مقضيًّا</w:t>
      </w:r>
      <w:r>
        <w:rPr>
          <w:rStyle w:val="a7"/>
          <w:rtl/>
        </w:rPr>
        <w:footnoteReference w:id="3760"/>
      </w:r>
      <w:r>
        <w:rPr>
          <w:rFonts w:hint="cs"/>
          <w:rtl/>
        </w:rPr>
        <w:t xml:space="preserve"> له فيها بتلك الجهة</w:t>
      </w:r>
      <w:r>
        <w:rPr>
          <w:rFonts w:hint="eastAsia"/>
          <w:spacing w:val="-8"/>
          <w:rtl/>
        </w:rPr>
        <w:t>»</w:t>
      </w:r>
      <w:r>
        <w:rPr>
          <w:rFonts w:hint="cs"/>
          <w:spacing w:val="-8"/>
          <w:vertAlign w:val="superscript"/>
          <w:rtl/>
        </w:rPr>
        <w:t>(</w:t>
      </w:r>
      <w:r>
        <w:rPr>
          <w:rStyle w:val="a7"/>
          <w:spacing w:val="-8"/>
          <w:rtl/>
        </w:rPr>
        <w:footnoteReference w:id="3761"/>
      </w:r>
      <w:r>
        <w:rPr>
          <w:rFonts w:hint="cs"/>
          <w:spacing w:val="-8"/>
          <w:vertAlign w:val="superscript"/>
          <w:rtl/>
        </w:rPr>
        <w:t>)</w:t>
      </w:r>
      <w:r>
        <w:rPr>
          <w:rFonts w:hint="cs"/>
          <w:spacing w:val="-8"/>
          <w:rtl/>
        </w:rPr>
        <w:t>.</w:t>
      </w:r>
    </w:p>
    <w:p w:rsidR="00C10469" w:rsidRDefault="00C10469" w:rsidP="00C10469">
      <w:pPr>
        <w:spacing w:line="264" w:lineRule="auto"/>
        <w:ind w:left="851" w:hanging="284"/>
        <w:rPr>
          <w:rtl/>
        </w:rPr>
      </w:pPr>
      <w:r>
        <w:rPr>
          <w:b/>
          <w:bCs/>
          <w:rtl/>
        </w:rPr>
        <w:t>•</w:t>
      </w:r>
      <w:r>
        <w:rPr>
          <w:rFonts w:hint="cs"/>
          <w:b/>
          <w:bCs/>
          <w:rtl/>
        </w:rPr>
        <w:t xml:space="preserve">  ومنها</w:t>
      </w:r>
      <w:r>
        <w:rPr>
          <w:rFonts w:hint="cs"/>
          <w:rtl/>
        </w:rPr>
        <w:t>: الحكم بالنكاح حكم على الكافة</w:t>
      </w:r>
      <w:r>
        <w:rPr>
          <w:rFonts w:hint="cs"/>
          <w:vertAlign w:val="superscript"/>
          <w:rtl/>
        </w:rPr>
        <w:t>(</w:t>
      </w:r>
      <w:r>
        <w:rPr>
          <w:rStyle w:val="a7"/>
          <w:rtl/>
        </w:rPr>
        <w:footnoteReference w:id="3762"/>
      </w:r>
      <w:r>
        <w:rPr>
          <w:rFonts w:hint="cs"/>
          <w:vertAlign w:val="superscript"/>
          <w:rtl/>
        </w:rPr>
        <w:t>)</w:t>
      </w:r>
      <w:r>
        <w:rPr>
          <w:rFonts w:hint="cs"/>
          <w:rtl/>
        </w:rPr>
        <w:t>.</w:t>
      </w:r>
    </w:p>
    <w:p w:rsidR="00C10469" w:rsidRDefault="00C10469" w:rsidP="00C10469">
      <w:pPr>
        <w:spacing w:line="264" w:lineRule="auto"/>
        <w:ind w:left="851" w:hanging="284"/>
        <w:rPr>
          <w:rtl/>
        </w:rPr>
      </w:pPr>
      <w:r>
        <w:rPr>
          <w:rFonts w:hint="cs"/>
          <w:b/>
          <w:bCs/>
          <w:rtl/>
        </w:rPr>
        <w:t xml:space="preserve">   والجواب </w:t>
      </w:r>
      <w:r>
        <w:rPr>
          <w:rFonts w:hint="cs"/>
          <w:rtl/>
        </w:rPr>
        <w:t>: أن في النكاح حرمة الفرج على غير الزوج، وحرمة الفرج حق الله تعالى</w:t>
      </w:r>
      <w:r>
        <w:rPr>
          <w:rStyle w:val="a7"/>
          <w:rtl/>
        </w:rPr>
        <w:footnoteReference w:id="3763"/>
      </w:r>
      <w:r>
        <w:rPr>
          <w:rFonts w:hint="cs"/>
          <w:rtl/>
        </w:rPr>
        <w:t>، حتى لا يجوز البذل فيه، فالقول فيه كالقول</w:t>
      </w:r>
      <w:r>
        <w:rPr>
          <w:rStyle w:val="a7"/>
          <w:rtl/>
        </w:rPr>
        <w:footnoteReference w:id="3764"/>
      </w:r>
      <w:r>
        <w:rPr>
          <w:rFonts w:hint="cs"/>
          <w:rtl/>
        </w:rPr>
        <w:t xml:space="preserve"> في العتق.</w:t>
      </w:r>
    </w:p>
    <w:p w:rsidR="00C10469" w:rsidRDefault="00C10469" w:rsidP="00C10469">
      <w:pPr>
        <w:spacing w:line="264" w:lineRule="auto"/>
        <w:ind w:left="851" w:hanging="284"/>
        <w:rPr>
          <w:rtl/>
        </w:rPr>
      </w:pPr>
      <w:r>
        <w:rPr>
          <w:rFonts w:hint="cs"/>
          <w:b/>
          <w:bCs/>
          <w:rtl/>
        </w:rPr>
        <w:t xml:space="preserve">   واعلم أن القضاء بالعتق على قسمين</w:t>
      </w:r>
      <w:r>
        <w:rPr>
          <w:rFonts w:hint="cs"/>
          <w:rtl/>
        </w:rPr>
        <w:t xml:space="preserve"> :</w:t>
      </w:r>
    </w:p>
    <w:p w:rsidR="00C10469" w:rsidRDefault="00C10469" w:rsidP="00C10469">
      <w:pPr>
        <w:spacing w:line="264" w:lineRule="auto"/>
        <w:ind w:left="851" w:hanging="284"/>
        <w:rPr>
          <w:rtl/>
        </w:rPr>
      </w:pPr>
      <w:r>
        <w:rPr>
          <w:rFonts w:hint="cs"/>
          <w:b/>
          <w:bCs/>
          <w:rtl/>
        </w:rPr>
        <w:t xml:space="preserve">   أحدهما</w:t>
      </w:r>
      <w:r>
        <w:rPr>
          <w:rFonts w:hint="cs"/>
          <w:rtl/>
        </w:rPr>
        <w:t xml:space="preserve"> : العتق في ملكٍ مطلق، فالحكم به حكم على الكافة.</w:t>
      </w:r>
    </w:p>
    <w:p w:rsidR="00C10469" w:rsidRPr="00A15C66" w:rsidRDefault="00C10469" w:rsidP="00C10469">
      <w:pPr>
        <w:spacing w:line="264" w:lineRule="auto"/>
        <w:ind w:left="851" w:hanging="284"/>
        <w:rPr>
          <w:rtl/>
        </w:rPr>
      </w:pPr>
      <w:r w:rsidRPr="00A15C66">
        <w:rPr>
          <w:rFonts w:hint="cs"/>
          <w:b/>
          <w:bCs/>
          <w:rtl/>
        </w:rPr>
        <w:t xml:space="preserve">  والثاني</w:t>
      </w:r>
      <w:r w:rsidRPr="00A15C66">
        <w:rPr>
          <w:rFonts w:hint="cs"/>
          <w:rtl/>
        </w:rPr>
        <w:t xml:space="preserve"> : القضاء بالعتق في ملك مؤرّخ، والحكم به حكم على الكافة من </w:t>
      </w:r>
      <w:r w:rsidRPr="00A15C66">
        <w:rPr>
          <w:rFonts w:hint="cs"/>
          <w:rtl/>
        </w:rPr>
        <w:lastRenderedPageBreak/>
        <w:t>وقت</w:t>
      </w:r>
      <w:r w:rsidRPr="00A15C66">
        <w:rPr>
          <w:rStyle w:val="a7"/>
          <w:rtl/>
        </w:rPr>
        <w:footnoteReference w:id="3765"/>
      </w:r>
      <w:r w:rsidRPr="00A15C66">
        <w:rPr>
          <w:rFonts w:hint="cs"/>
          <w:rtl/>
        </w:rPr>
        <w:t xml:space="preserve"> </w:t>
      </w:r>
    </w:p>
    <w:p w:rsidR="00C10469" w:rsidRDefault="00C10469" w:rsidP="00C10469">
      <w:pPr>
        <w:spacing w:line="264" w:lineRule="auto"/>
        <w:ind w:left="851" w:hanging="284"/>
        <w:rPr>
          <w:spacing w:val="-8"/>
          <w:rtl/>
        </w:rPr>
      </w:pPr>
      <w:r>
        <w:rPr>
          <w:rFonts w:hint="cs"/>
          <w:spacing w:val="-8"/>
          <w:rtl/>
        </w:rPr>
        <w:t xml:space="preserve">   التاريخ، ولا يكون قضاءً قبله</w:t>
      </w:r>
      <w:r>
        <w:rPr>
          <w:rFonts w:hint="cs"/>
          <w:spacing w:val="-8"/>
          <w:vertAlign w:val="superscript"/>
          <w:rtl/>
        </w:rPr>
        <w:t>(</w:t>
      </w:r>
      <w:r>
        <w:rPr>
          <w:rStyle w:val="a7"/>
          <w:spacing w:val="-8"/>
          <w:rtl/>
        </w:rPr>
        <w:footnoteReference w:id="3766"/>
      </w:r>
      <w:r>
        <w:rPr>
          <w:rFonts w:hint="cs"/>
          <w:spacing w:val="-8"/>
          <w:vertAlign w:val="superscript"/>
          <w:rtl/>
        </w:rPr>
        <w:t>)</w:t>
      </w:r>
      <w:r>
        <w:rPr>
          <w:rFonts w:hint="cs"/>
          <w:spacing w:val="-8"/>
          <w:rtl/>
        </w:rPr>
        <w:t>.</w:t>
      </w:r>
    </w:p>
    <w:p w:rsidR="00C10469" w:rsidRDefault="00C10469" w:rsidP="00C10469">
      <w:pPr>
        <w:spacing w:line="264" w:lineRule="auto"/>
        <w:ind w:left="851" w:hanging="284"/>
        <w:rPr>
          <w:rtl/>
        </w:rPr>
      </w:pPr>
      <w:r>
        <w:rPr>
          <w:rFonts w:hint="cs"/>
          <w:rtl/>
        </w:rPr>
        <w:t xml:space="preserve">   فإذا ادعى الملكَ أحدٌ بالتاريخ الأسبق، وبرهن : تُقبل، ويفسخ الحكم [بحريته]</w:t>
      </w:r>
      <w:r>
        <w:rPr>
          <w:rStyle w:val="a7"/>
          <w:rtl/>
        </w:rPr>
        <w:footnoteReference w:id="3767"/>
      </w:r>
      <w:r>
        <w:rPr>
          <w:rFonts w:hint="cs"/>
          <w:rtl/>
        </w:rPr>
        <w:t>، ويجعل ملكًا للمدّعي</w:t>
      </w:r>
      <w:r>
        <w:rPr>
          <w:rFonts w:hint="cs"/>
          <w:vertAlign w:val="superscript"/>
          <w:rtl/>
        </w:rPr>
        <w:t>(</w:t>
      </w:r>
      <w:r>
        <w:rPr>
          <w:rStyle w:val="a7"/>
          <w:rtl/>
        </w:rPr>
        <w:footnoteReference w:id="3768"/>
      </w:r>
      <w:r>
        <w:rPr>
          <w:rFonts w:hint="cs"/>
          <w:vertAlign w:val="superscript"/>
          <w:rtl/>
        </w:rPr>
        <w:t>)</w:t>
      </w:r>
      <w:r>
        <w:rPr>
          <w:rFonts w:hint="cs"/>
          <w:rtl/>
        </w:rPr>
        <w:t>.</w:t>
      </w:r>
    </w:p>
    <w:p w:rsidR="00C10469" w:rsidRDefault="00C10469" w:rsidP="00C10469">
      <w:pPr>
        <w:spacing w:line="264" w:lineRule="auto"/>
        <w:ind w:left="851" w:hanging="284"/>
        <w:rPr>
          <w:rtl/>
        </w:rPr>
      </w:pPr>
      <w:r>
        <w:rPr>
          <w:rFonts w:hint="cs"/>
          <w:rtl/>
        </w:rPr>
        <w:t xml:space="preserve">   كذا القول في النكاح. يعنى إذا ادعى</w:t>
      </w:r>
      <w:r>
        <w:rPr>
          <w:rStyle w:val="a7"/>
          <w:rtl/>
        </w:rPr>
        <w:footnoteReference w:id="3769"/>
      </w:r>
      <w:r>
        <w:rPr>
          <w:rFonts w:hint="cs"/>
          <w:rtl/>
        </w:rPr>
        <w:t xml:space="preserve"> أحدٌ النكاح بالتاريخ الأسبق وبرهن : تقبل، ويفسخ النكاح المقضي به.</w:t>
      </w:r>
    </w:p>
    <w:p w:rsidR="00C10469" w:rsidRDefault="00C10469" w:rsidP="00C10469">
      <w:pPr>
        <w:spacing w:line="264" w:lineRule="auto"/>
        <w:ind w:left="851" w:hanging="284"/>
      </w:pPr>
      <w:r>
        <w:rPr>
          <w:b/>
          <w:bCs/>
          <w:rtl/>
        </w:rPr>
        <w:t>•</w:t>
      </w:r>
      <w:r>
        <w:rPr>
          <w:rFonts w:hint="cs"/>
          <w:b/>
          <w:bCs/>
          <w:rtl/>
        </w:rPr>
        <w:t xml:space="preserve">  ومنها</w:t>
      </w:r>
      <w:r>
        <w:rPr>
          <w:rFonts w:hint="cs"/>
          <w:rtl/>
        </w:rPr>
        <w:t xml:space="preserve"> : النسب</w:t>
      </w:r>
      <w:r>
        <w:rPr>
          <w:rStyle w:val="a7"/>
          <w:rtl/>
        </w:rPr>
        <w:footnoteReference w:id="3770"/>
      </w:r>
      <w:r>
        <w:rPr>
          <w:rFonts w:hint="cs"/>
          <w:vertAlign w:val="superscript"/>
          <w:rtl/>
        </w:rPr>
        <w:t>(</w:t>
      </w:r>
      <w:r>
        <w:rPr>
          <w:rStyle w:val="a7"/>
          <w:rtl/>
        </w:rPr>
        <w:footnoteReference w:id="3771"/>
      </w:r>
      <w:r>
        <w:rPr>
          <w:rFonts w:hint="cs"/>
          <w:vertAlign w:val="superscript"/>
          <w:rtl/>
        </w:rPr>
        <w:t>)</w:t>
      </w:r>
      <w:r>
        <w:rPr>
          <w:rFonts w:hint="cs"/>
          <w:rtl/>
        </w:rPr>
        <w:t>.</w:t>
      </w:r>
    </w:p>
    <w:p w:rsidR="00C10469" w:rsidRDefault="00C10469" w:rsidP="00C10469">
      <w:pPr>
        <w:spacing w:line="264" w:lineRule="auto"/>
        <w:ind w:left="851" w:hanging="284"/>
      </w:pPr>
      <w:r>
        <w:rPr>
          <w:rFonts w:hint="cs"/>
          <w:rtl/>
        </w:rPr>
        <w:t xml:space="preserve">    فالجواب فيه كالجواب في النكاح؛ لأن فيه حرمة الفروج، فإن الشهود يحتاجون إلى تعيين جهة النسب، [فتحرم]</w:t>
      </w:r>
      <w:r>
        <w:rPr>
          <w:rStyle w:val="a7"/>
          <w:rtl/>
        </w:rPr>
        <w:footnoteReference w:id="3772"/>
      </w:r>
      <w:r>
        <w:rPr>
          <w:rFonts w:hint="cs"/>
          <w:rtl/>
        </w:rPr>
        <w:t xml:space="preserve"> موطوءة الأب وأصولها وفروعها وسائر المحرمات.</w:t>
      </w:r>
    </w:p>
    <w:p w:rsidR="00C10469" w:rsidRDefault="00C10469">
      <w:pPr>
        <w:ind w:left="567" w:right="567" w:firstLine="0"/>
        <w:rPr>
          <w:rtl/>
        </w:rPr>
      </w:pPr>
    </w:p>
    <w:p w:rsidR="00C10469" w:rsidRDefault="00C10469">
      <w:pPr>
        <w:ind w:left="567" w:right="567" w:firstLine="0"/>
        <w:rPr>
          <w:rtl/>
        </w:rPr>
      </w:pPr>
    </w:p>
    <w:p w:rsidR="00C10469" w:rsidRPr="002F68B0" w:rsidRDefault="00C10469">
      <w:pPr>
        <w:ind w:left="567" w:right="567"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left="567" w:right="567" w:firstLine="0"/>
        <w:rPr>
          <w:rtl/>
        </w:rPr>
        <w:sectPr w:rsidR="00C10469" w:rsidSect="00C10469">
          <w:headerReference w:type="default" r:id="rId23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83994" w:rsidRDefault="00C10469">
      <w:pPr>
        <w:pStyle w:val="a9"/>
        <w:rPr>
          <w:rFonts w:cs="AL-Mateen"/>
          <w:rtl/>
        </w:rPr>
      </w:pPr>
      <w:r w:rsidRPr="00F83994">
        <w:rPr>
          <w:rFonts w:cs="AL-Mateen" w:hint="cs"/>
          <w:rtl/>
        </w:rPr>
        <w:lastRenderedPageBreak/>
        <w:t>[القاعدة الحادية والثمانون بعد المائة]</w:t>
      </w:r>
    </w:p>
    <w:p w:rsidR="00C10469" w:rsidRDefault="00C10469">
      <w:pPr>
        <w:rPr>
          <w:rtl/>
        </w:rPr>
      </w:pPr>
      <w:r>
        <w:rPr>
          <w:rFonts w:cs="Monotype Koufi" w:hint="cs"/>
          <w:rtl/>
        </w:rPr>
        <w:t>القضاءُ على الغائِبِ لا يجوزُ، إلاّ أَنْ يَكُونَ مَا يُدّعَى بِهِ على الغائبِ سببًا لازمًا لما يُدّعى بِهِ على الحاضِرِ</w:t>
      </w:r>
      <w:r>
        <w:rPr>
          <w:rFonts w:hint="cs"/>
          <w:vertAlign w:val="superscript"/>
          <w:rtl/>
        </w:rPr>
        <w:t>(</w:t>
      </w:r>
      <w:r>
        <w:rPr>
          <w:rStyle w:val="a7"/>
          <w:rtl/>
        </w:rPr>
        <w:footnoteReference w:id="3773"/>
      </w:r>
      <w:r>
        <w:rPr>
          <w:rFonts w:hint="cs"/>
          <w:vertAlign w:val="superscript"/>
          <w:rtl/>
        </w:rPr>
        <w:t>)</w:t>
      </w:r>
      <w:r>
        <w:rPr>
          <w:rFonts w:hint="cs"/>
          <w:rtl/>
        </w:rPr>
        <w:t xml:space="preserve"> :</w:t>
      </w:r>
    </w:p>
    <w:p w:rsidR="00C10469" w:rsidRDefault="00C10469" w:rsidP="00C10469">
      <w:pPr>
        <w:ind w:left="989" w:hanging="425"/>
        <w:rPr>
          <w:rtl/>
        </w:rPr>
      </w:pPr>
      <w:r>
        <w:rPr>
          <w:rtl/>
        </w:rPr>
        <w:t>•</w:t>
      </w:r>
      <w:r>
        <w:rPr>
          <w:rFonts w:hint="cs"/>
          <w:rtl/>
        </w:rPr>
        <w:t xml:space="preserve">   سواء كان المدَّعَى واحداً، كما إذا </w:t>
      </w:r>
      <w:r>
        <w:rPr>
          <w:rFonts w:hint="eastAsia"/>
          <w:spacing w:val="-8"/>
          <w:rtl/>
        </w:rPr>
        <w:t>«</w:t>
      </w:r>
      <w:r>
        <w:rPr>
          <w:rFonts w:hint="cs"/>
          <w:rtl/>
        </w:rPr>
        <w:t>ادّعى دارًا في يد رجلٍ أنها ملكه، وأنكر ذو اليد، فأقام البينة أن الدار دارُهُ اشتراه من فلان [الغائب]</w:t>
      </w:r>
      <w:r>
        <w:rPr>
          <w:rStyle w:val="a7"/>
          <w:rtl/>
        </w:rPr>
        <w:footnoteReference w:id="3774"/>
      </w:r>
      <w:r>
        <w:rPr>
          <w:rFonts w:hint="cs"/>
          <w:rtl/>
        </w:rPr>
        <w:t>، وهو يملكها : فإنّ المدّعَى (وهو الدار) شئ واحد، وما ادُّعي على الغائب (وهو الشراء) سبب لثبوت ما يُدّعى على الـحاضر؛ لأن الشراء من المالك سبب لازم للملك لا محالة</w:t>
      </w:r>
      <w:r>
        <w:rPr>
          <w:rFonts w:hint="eastAsia"/>
          <w:spacing w:val="-8"/>
          <w:rtl/>
        </w:rPr>
        <w:t>»</w:t>
      </w:r>
      <w:r>
        <w:rPr>
          <w:rFonts w:hint="cs"/>
          <w:spacing w:val="-8"/>
          <w:vertAlign w:val="superscript"/>
          <w:rtl/>
        </w:rPr>
        <w:t>(</w:t>
      </w:r>
      <w:r>
        <w:rPr>
          <w:rStyle w:val="a7"/>
          <w:spacing w:val="-8"/>
          <w:rtl/>
        </w:rPr>
        <w:footnoteReference w:id="3775"/>
      </w:r>
      <w:r>
        <w:rPr>
          <w:rFonts w:hint="cs"/>
          <w:spacing w:val="-8"/>
          <w:vertAlign w:val="superscript"/>
          <w:rtl/>
        </w:rPr>
        <w:t>)</w:t>
      </w:r>
      <w:r>
        <w:rPr>
          <w:rFonts w:hint="cs"/>
          <w:spacing w:val="-8"/>
          <w:rtl/>
        </w:rPr>
        <w:t>.</w:t>
      </w:r>
    </w:p>
    <w:p w:rsidR="00C10469" w:rsidRDefault="00C10469" w:rsidP="00C10469">
      <w:pPr>
        <w:ind w:left="989" w:hanging="425"/>
        <w:rPr>
          <w:rtl/>
        </w:rPr>
      </w:pPr>
      <w:r>
        <w:rPr>
          <w:rtl/>
        </w:rPr>
        <w:lastRenderedPageBreak/>
        <w:t>•</w:t>
      </w:r>
      <w:r>
        <w:rPr>
          <w:rFonts w:hint="cs"/>
          <w:rtl/>
        </w:rPr>
        <w:t xml:space="preserve">  أو شيئين  مختلفين؛ </w:t>
      </w:r>
      <w:r>
        <w:rPr>
          <w:rFonts w:hint="eastAsia"/>
          <w:spacing w:val="-8"/>
          <w:rtl/>
        </w:rPr>
        <w:t>«</w:t>
      </w:r>
      <w:r>
        <w:rPr>
          <w:rFonts w:hint="cs"/>
          <w:rtl/>
        </w:rPr>
        <w:t>كما إذا شهد شاهدان لرجل على رجل بحق من الحقوق، فقال المشهود عليه: هما عبدا</w:t>
      </w:r>
      <w:r>
        <w:rPr>
          <w:rStyle w:val="a7"/>
          <w:rtl/>
        </w:rPr>
        <w:footnoteReference w:id="3776"/>
      </w:r>
      <w:r>
        <w:rPr>
          <w:rFonts w:hint="cs"/>
          <w:rtl/>
        </w:rPr>
        <w:t xml:space="preserve"> فلان الغائب. فأقام المشهود له بيّنة أنّ [فلانًا]</w:t>
      </w:r>
      <w:r>
        <w:rPr>
          <w:rStyle w:val="a7"/>
          <w:rtl/>
        </w:rPr>
        <w:footnoteReference w:id="3777"/>
      </w:r>
      <w:r>
        <w:rPr>
          <w:rFonts w:hint="cs"/>
          <w:rtl/>
        </w:rPr>
        <w:t xml:space="preserve"> الغائب أعتقهما وهو يملكهما : تقبل هذه الشهادة. والمدّعى شيئان: المال على الحاضر، والعتق على الغائب، [والمدعى على الغائب]</w:t>
      </w:r>
      <w:r>
        <w:rPr>
          <w:rStyle w:val="a7"/>
          <w:rtl/>
        </w:rPr>
        <w:footnoteReference w:id="3778"/>
      </w:r>
      <w:r>
        <w:rPr>
          <w:rFonts w:hint="cs"/>
          <w:rtl/>
        </w:rPr>
        <w:t xml:space="preserve"> سببُ</w:t>
      </w:r>
      <w:r>
        <w:rPr>
          <w:rStyle w:val="a7"/>
          <w:rtl/>
        </w:rPr>
        <w:footnoteReference w:id="3779"/>
      </w:r>
      <w:r>
        <w:rPr>
          <w:rFonts w:hint="cs"/>
          <w:rtl/>
        </w:rPr>
        <w:t xml:space="preserve"> المدعى على الحاضر لا محالة؛ لأن ولاية الشهادة لا[تنفكّ]</w:t>
      </w:r>
      <w:r>
        <w:rPr>
          <w:rStyle w:val="a7"/>
          <w:rtl/>
        </w:rPr>
        <w:footnoteReference w:id="3780"/>
      </w:r>
      <w:r>
        <w:rPr>
          <w:rFonts w:hint="cs"/>
          <w:rtl/>
        </w:rPr>
        <w:t xml:space="preserve"> عن العتق بحال.</w:t>
      </w:r>
    </w:p>
    <w:p w:rsidR="00C10469" w:rsidRDefault="00C10469">
      <w:pPr>
        <w:rPr>
          <w:rtl/>
        </w:rPr>
      </w:pPr>
      <w:r>
        <w:rPr>
          <w:rFonts w:hint="cs"/>
          <w:rtl/>
        </w:rPr>
        <w:t>فالقضاء</w:t>
      </w:r>
      <w:r>
        <w:rPr>
          <w:rStyle w:val="a7"/>
          <w:rtl/>
        </w:rPr>
        <w:footnoteReference w:id="3781"/>
      </w:r>
      <w:r>
        <w:rPr>
          <w:rFonts w:hint="cs"/>
          <w:rtl/>
        </w:rPr>
        <w:t xml:space="preserve"> فيهما</w:t>
      </w:r>
      <w:r>
        <w:rPr>
          <w:rFonts w:hint="cs"/>
          <w:vertAlign w:val="superscript"/>
          <w:rtl/>
        </w:rPr>
        <w:t>(</w:t>
      </w:r>
      <w:r>
        <w:rPr>
          <w:rStyle w:val="a7"/>
          <w:rtl/>
        </w:rPr>
        <w:footnoteReference w:id="3782"/>
      </w:r>
      <w:r>
        <w:rPr>
          <w:rFonts w:hint="cs"/>
          <w:vertAlign w:val="superscript"/>
          <w:rtl/>
        </w:rPr>
        <w:t>)</w:t>
      </w:r>
      <w:r>
        <w:rPr>
          <w:rFonts w:hint="cs"/>
          <w:rtl/>
        </w:rPr>
        <w:t xml:space="preserve"> على الحاضر قضاءٌ على الغائب؛ لأن المدّعَى شئ واحد في الأوّل، أو كشيء واحد في الثاني؛ لعدم الانفكاك، فإذا حضر الغائب، وأنكر : لا يلتفت إلى إنكاره، ولا يحتاج إلى إعادة البيّنة.</w:t>
      </w:r>
    </w:p>
    <w:p w:rsidR="00C10469" w:rsidRDefault="00C10469">
      <w:pPr>
        <w:rPr>
          <w:rtl/>
        </w:rPr>
      </w:pPr>
      <w:r>
        <w:rPr>
          <w:rFonts w:hint="cs"/>
          <w:rtl/>
        </w:rPr>
        <w:t>ولهما نظائر في الكتب المبسوطة</w:t>
      </w:r>
      <w:r>
        <w:rPr>
          <w:rFonts w:hint="eastAsia"/>
          <w:spacing w:val="-8"/>
          <w:rtl/>
        </w:rPr>
        <w:t>»</w:t>
      </w:r>
      <w:r>
        <w:rPr>
          <w:rFonts w:hint="cs"/>
          <w:spacing w:val="-8"/>
          <w:vertAlign w:val="superscript"/>
          <w:rtl/>
        </w:rPr>
        <w:t>(</w:t>
      </w:r>
      <w:r>
        <w:rPr>
          <w:rStyle w:val="a7"/>
          <w:spacing w:val="-8"/>
          <w:rtl/>
        </w:rPr>
        <w:footnoteReference w:id="3783"/>
      </w:r>
      <w:r>
        <w:rPr>
          <w:rFonts w:hint="cs"/>
          <w:spacing w:val="-8"/>
          <w:vertAlign w:val="superscript"/>
          <w:rtl/>
        </w:rPr>
        <w:t>)</w:t>
      </w:r>
      <w:r>
        <w:rPr>
          <w:rFonts w:hint="cs"/>
          <w:rtl/>
        </w:rPr>
        <w:t xml:space="preserve"> تركتُ [تفصيلها]</w:t>
      </w:r>
      <w:r>
        <w:rPr>
          <w:rStyle w:val="a7"/>
          <w:rtl/>
        </w:rPr>
        <w:footnoteReference w:id="3784"/>
      </w:r>
      <w:r>
        <w:rPr>
          <w:rFonts w:hint="cs"/>
          <w:rtl/>
        </w:rPr>
        <w:t xml:space="preserve"> في هذه الجريدة؛ اكتفاء </w:t>
      </w:r>
      <w:r>
        <w:rPr>
          <w:rFonts w:hint="cs"/>
          <w:rtl/>
        </w:rPr>
        <w:lastRenderedPageBreak/>
        <w:t xml:space="preserve">بذكر السبّب اللازم، فإنَّ </w:t>
      </w:r>
      <w:r>
        <w:rPr>
          <w:rFonts w:hint="eastAsia"/>
          <w:spacing w:val="-8"/>
          <w:rtl/>
        </w:rPr>
        <w:t>«</w:t>
      </w:r>
      <w:r>
        <w:rPr>
          <w:rFonts w:hint="cs"/>
          <w:rtl/>
        </w:rPr>
        <w:t>الشيء إذا ثَبَتَ ثَبَتَ بلوازمه</w:t>
      </w:r>
      <w:r>
        <w:rPr>
          <w:rFonts w:hint="eastAsia"/>
          <w:spacing w:val="-8"/>
          <w:rtl/>
        </w:rPr>
        <w:t>»</w:t>
      </w:r>
      <w:r>
        <w:rPr>
          <w:rFonts w:hint="cs"/>
          <w:spacing w:val="-8"/>
          <w:vertAlign w:val="superscript"/>
          <w:rtl/>
        </w:rPr>
        <w:t>(</w:t>
      </w:r>
      <w:r>
        <w:rPr>
          <w:rStyle w:val="a7"/>
          <w:spacing w:val="-8"/>
          <w:rtl/>
        </w:rPr>
        <w:footnoteReference w:id="3785"/>
      </w:r>
      <w:r>
        <w:rPr>
          <w:rFonts w:hint="cs"/>
          <w:spacing w:val="-8"/>
          <w:vertAlign w:val="superscript"/>
          <w:rtl/>
        </w:rPr>
        <w:t>)</w:t>
      </w:r>
      <w:r>
        <w:rPr>
          <w:rFonts w:hint="cs"/>
          <w:rtl/>
        </w:rPr>
        <w:t>.</w:t>
      </w:r>
    </w:p>
    <w:p w:rsidR="00C10469" w:rsidRDefault="00C10469">
      <w:pPr>
        <w:rPr>
          <w:rtl/>
        </w:rPr>
      </w:pPr>
      <w:r>
        <w:rPr>
          <w:rFonts w:hint="cs"/>
          <w:b/>
          <w:bCs/>
          <w:rtl/>
        </w:rPr>
        <w:t>وخرج</w:t>
      </w:r>
      <w:r>
        <w:rPr>
          <w:rFonts w:hint="cs"/>
          <w:rtl/>
        </w:rPr>
        <w:t xml:space="preserve"> في بدءِ النظر عن هذا الأصل</w:t>
      </w:r>
      <w:r>
        <w:rPr>
          <w:rStyle w:val="a7"/>
          <w:rtl/>
        </w:rPr>
        <w:footnoteReference w:id="3786"/>
      </w:r>
      <w:r>
        <w:rPr>
          <w:rFonts w:hint="cs"/>
          <w:rtl/>
        </w:rPr>
        <w:t xml:space="preserve"> : ما</w:t>
      </w:r>
      <w:r>
        <w:rPr>
          <w:rFonts w:hint="eastAsia"/>
          <w:spacing w:val="-8"/>
          <w:rtl/>
        </w:rPr>
        <w:t>«</w:t>
      </w:r>
      <w:r>
        <w:rPr>
          <w:rFonts w:hint="cs"/>
          <w:rtl/>
        </w:rPr>
        <w:t>إذا قال رجل لامرأة رجلٍ غائبٍ</w:t>
      </w:r>
      <w:r>
        <w:rPr>
          <w:rStyle w:val="a7"/>
          <w:rtl/>
        </w:rPr>
        <w:footnoteReference w:id="3787"/>
      </w:r>
      <w:r>
        <w:rPr>
          <w:rFonts w:hint="cs"/>
          <w:rtl/>
        </w:rPr>
        <w:t>: إنّ زوجَكِ [فلانًا]</w:t>
      </w:r>
      <w:r>
        <w:rPr>
          <w:rStyle w:val="a7"/>
          <w:rtl/>
        </w:rPr>
        <w:footnoteReference w:id="3788"/>
      </w:r>
      <w:r>
        <w:rPr>
          <w:rFonts w:hint="cs"/>
          <w:rtl/>
        </w:rPr>
        <w:t xml:space="preserve"> الغائبَ وكلّني أن أَحْمِلَكِ إليه. فقالت: إنه طلقني ثلاثًا. وأقامت على ذلك بينة: قبلت بينّتها في حقَّ قَصْرِ يَد الوكيل عنها، لا</w:t>
      </w:r>
      <w:r>
        <w:rPr>
          <w:rStyle w:val="a7"/>
          <w:rtl/>
        </w:rPr>
        <w:footnoteReference w:id="3789"/>
      </w:r>
      <w:r>
        <w:rPr>
          <w:rFonts w:hint="cs"/>
          <w:rtl/>
        </w:rPr>
        <w:t xml:space="preserve"> في حقّ إثبات الطلاق على الغائب</w:t>
      </w:r>
      <w:r>
        <w:rPr>
          <w:rFonts w:hint="eastAsia"/>
          <w:spacing w:val="-8"/>
          <w:rtl/>
        </w:rPr>
        <w:t>»</w:t>
      </w:r>
      <w:r>
        <w:rPr>
          <w:rFonts w:hint="cs"/>
          <w:spacing w:val="-8"/>
          <w:vertAlign w:val="superscript"/>
          <w:rtl/>
        </w:rPr>
        <w:t>(</w:t>
      </w:r>
      <w:r>
        <w:rPr>
          <w:rStyle w:val="a7"/>
          <w:spacing w:val="-8"/>
          <w:rtl/>
        </w:rPr>
        <w:footnoteReference w:id="3790"/>
      </w:r>
      <w:r>
        <w:rPr>
          <w:rFonts w:hint="cs"/>
          <w:spacing w:val="-8"/>
          <w:vertAlign w:val="superscript"/>
          <w:rtl/>
        </w:rPr>
        <w:t>)</w:t>
      </w:r>
      <w:r>
        <w:rPr>
          <w:rFonts w:hint="cs"/>
          <w:rtl/>
        </w:rPr>
        <w:t xml:space="preserve"> مع أن المدّعى على الغائب (وهو الطلاق) سببٌ</w:t>
      </w:r>
      <w:r>
        <w:rPr>
          <w:rStyle w:val="a7"/>
          <w:rtl/>
        </w:rPr>
        <w:footnoteReference w:id="3791"/>
      </w:r>
      <w:r>
        <w:rPr>
          <w:rFonts w:hint="cs"/>
          <w:rtl/>
        </w:rPr>
        <w:t xml:space="preserve"> لثبوت</w:t>
      </w:r>
      <w:r>
        <w:rPr>
          <w:rStyle w:val="a7"/>
          <w:rtl/>
        </w:rPr>
        <w:footnoteReference w:id="3792"/>
      </w:r>
      <w:r>
        <w:rPr>
          <w:rFonts w:hint="cs"/>
          <w:rtl/>
        </w:rPr>
        <w:t xml:space="preserve"> المدّعى على الحاضر (وهو قصر اليد).</w:t>
      </w:r>
    </w:p>
    <w:p w:rsidR="00C10469" w:rsidRDefault="00C10469">
      <w:pPr>
        <w:rPr>
          <w:spacing w:val="6"/>
          <w:rtl/>
        </w:rPr>
      </w:pPr>
      <w:r>
        <w:rPr>
          <w:rFonts w:hint="cs"/>
          <w:b/>
          <w:bCs/>
          <w:spacing w:val="6"/>
          <w:rtl/>
        </w:rPr>
        <w:t>والجواب</w:t>
      </w:r>
      <w:r>
        <w:rPr>
          <w:rFonts w:hint="cs"/>
          <w:spacing w:val="6"/>
          <w:rtl/>
        </w:rPr>
        <w:t xml:space="preserve"> : </w:t>
      </w:r>
      <w:r>
        <w:rPr>
          <w:rFonts w:hint="eastAsia"/>
          <w:spacing w:val="6"/>
          <w:rtl/>
        </w:rPr>
        <w:t>«</w:t>
      </w:r>
      <w:r>
        <w:rPr>
          <w:rFonts w:hint="cs"/>
          <w:spacing w:val="6"/>
          <w:rtl/>
        </w:rPr>
        <w:t>أن المدَّعى على الغائب</w:t>
      </w:r>
      <w:r>
        <w:rPr>
          <w:rStyle w:val="a7"/>
          <w:spacing w:val="6"/>
          <w:rtl/>
        </w:rPr>
        <w:footnoteReference w:id="3793"/>
      </w:r>
      <w:r>
        <w:rPr>
          <w:rFonts w:hint="cs"/>
          <w:spacing w:val="6"/>
          <w:rtl/>
        </w:rPr>
        <w:t xml:space="preserve"> (وهو الطلاق) ليس بسبب لازم لثبوت ما يدعى على الحاضر (وهو قصر يده)، فإن الطلاق متى تحقق قد لا يوجب قصر يد الوكيل بأن</w:t>
      </w:r>
      <w:r>
        <w:rPr>
          <w:rStyle w:val="a7"/>
          <w:spacing w:val="6"/>
          <w:rtl/>
        </w:rPr>
        <w:footnoteReference w:id="3794"/>
      </w:r>
      <w:r>
        <w:rPr>
          <w:rFonts w:hint="cs"/>
          <w:spacing w:val="6"/>
          <w:rtl/>
        </w:rPr>
        <w:t xml:space="preserve"> لم يكن وكيلاً بالحمل</w:t>
      </w:r>
      <w:r>
        <w:rPr>
          <w:rFonts w:hint="cs"/>
          <w:spacing w:val="6"/>
          <w:vertAlign w:val="superscript"/>
          <w:rtl/>
        </w:rPr>
        <w:t>(</w:t>
      </w:r>
      <w:r>
        <w:rPr>
          <w:rStyle w:val="a7"/>
          <w:spacing w:val="6"/>
          <w:rtl/>
        </w:rPr>
        <w:footnoteReference w:id="3795"/>
      </w:r>
      <w:r>
        <w:rPr>
          <w:rFonts w:hint="cs"/>
          <w:spacing w:val="6"/>
          <w:vertAlign w:val="superscript"/>
          <w:rtl/>
        </w:rPr>
        <w:t>)</w:t>
      </w:r>
      <w:r>
        <w:rPr>
          <w:rFonts w:hint="cs"/>
          <w:spacing w:val="6"/>
          <w:rtl/>
        </w:rPr>
        <w:t xml:space="preserve"> قبل الطلاق، وقد يوجب بأن كان وكيلاً بالحمل قبل الطلاق، فكان الـمدَّعى على الغائب</w:t>
      </w:r>
      <w:r>
        <w:rPr>
          <w:rStyle w:val="a7"/>
          <w:spacing w:val="6"/>
          <w:rtl/>
        </w:rPr>
        <w:footnoteReference w:id="3796"/>
      </w:r>
      <w:r>
        <w:rPr>
          <w:rFonts w:hint="cs"/>
          <w:spacing w:val="6"/>
          <w:rtl/>
        </w:rPr>
        <w:t xml:space="preserve"> </w:t>
      </w:r>
      <w:r>
        <w:rPr>
          <w:rFonts w:hint="cs"/>
          <w:spacing w:val="6"/>
          <w:rtl/>
        </w:rPr>
        <w:lastRenderedPageBreak/>
        <w:t>سببًا لثبوت المدعى على الحاضر من وجهٍ دون وجه. فـقلنا : يقضى بقصر اليد دون الطلاق؛ عملاً بهما</w:t>
      </w:r>
      <w:r>
        <w:rPr>
          <w:rFonts w:hint="eastAsia"/>
          <w:spacing w:val="6"/>
          <w:rtl/>
        </w:rPr>
        <w:t>»</w:t>
      </w:r>
      <w:r>
        <w:rPr>
          <w:rFonts w:hint="cs"/>
          <w:spacing w:val="6"/>
          <w:rtl/>
        </w:rPr>
        <w:t>. كذا في (العناية)</w:t>
      </w:r>
      <w:r>
        <w:rPr>
          <w:rFonts w:hint="cs"/>
          <w:spacing w:val="6"/>
          <w:vertAlign w:val="superscript"/>
          <w:rtl/>
        </w:rPr>
        <w:t>(</w:t>
      </w:r>
      <w:r>
        <w:rPr>
          <w:rStyle w:val="a7"/>
          <w:spacing w:val="6"/>
          <w:rtl/>
        </w:rPr>
        <w:footnoteReference w:id="3797"/>
      </w:r>
      <w:r>
        <w:rPr>
          <w:rFonts w:hint="cs"/>
          <w:spacing w:val="6"/>
          <w:vertAlign w:val="superscript"/>
          <w:rtl/>
        </w:rPr>
        <w:t>)</w:t>
      </w:r>
      <w:r>
        <w:rPr>
          <w:rFonts w:hint="cs"/>
          <w:spacing w:val="6"/>
          <w:rtl/>
        </w:rPr>
        <w:t>.</w:t>
      </w:r>
    </w:p>
    <w:p w:rsidR="00C10469" w:rsidRDefault="00C10469">
      <w:pPr>
        <w:rPr>
          <w:spacing w:val="-4"/>
          <w:rtl/>
        </w:rPr>
      </w:pPr>
      <w:r>
        <w:rPr>
          <w:rFonts w:hint="cs"/>
          <w:spacing w:val="-4"/>
          <w:rtl/>
        </w:rPr>
        <w:t xml:space="preserve"> ولهذا قيدنا السبب باللزوم</w:t>
      </w:r>
      <w:r>
        <w:rPr>
          <w:rFonts w:hint="cs"/>
          <w:spacing w:val="-4"/>
          <w:vertAlign w:val="superscript"/>
          <w:rtl/>
        </w:rPr>
        <w:t>(</w:t>
      </w:r>
      <w:r>
        <w:rPr>
          <w:rStyle w:val="a7"/>
          <w:spacing w:val="-4"/>
          <w:rtl/>
        </w:rPr>
        <w:footnoteReference w:id="3798"/>
      </w:r>
      <w:r>
        <w:rPr>
          <w:rFonts w:hint="cs"/>
          <w:spacing w:val="-4"/>
          <w:vertAlign w:val="superscript"/>
          <w:rtl/>
        </w:rPr>
        <w:t>)</w:t>
      </w:r>
      <w:r>
        <w:rPr>
          <w:rFonts w:hint="cs"/>
          <w:spacing w:val="-4"/>
          <w:rtl/>
        </w:rPr>
        <w:t>. ومن سكت عن هذا القيد -كما في (الهداية)</w:t>
      </w:r>
      <w:r>
        <w:rPr>
          <w:rFonts w:hint="cs"/>
          <w:spacing w:val="-4"/>
          <w:vertAlign w:val="superscript"/>
          <w:rtl/>
        </w:rPr>
        <w:t>(</w:t>
      </w:r>
      <w:r>
        <w:rPr>
          <w:rStyle w:val="a7"/>
          <w:spacing w:val="-4"/>
          <w:rtl/>
        </w:rPr>
        <w:footnoteReference w:id="3799"/>
      </w:r>
      <w:r>
        <w:rPr>
          <w:rFonts w:hint="cs"/>
          <w:spacing w:val="-4"/>
          <w:vertAlign w:val="superscript"/>
          <w:rtl/>
        </w:rPr>
        <w:t>)</w:t>
      </w:r>
      <w:r>
        <w:rPr>
          <w:rFonts w:hint="cs"/>
          <w:spacing w:val="-4"/>
          <w:rtl/>
        </w:rPr>
        <w:t xml:space="preserve"> وغيرها- اكتفى بالإطلاق؛ لأن المطلق ينصرف إلى الكمال</w:t>
      </w:r>
      <w:r>
        <w:rPr>
          <w:rFonts w:hint="cs"/>
          <w:spacing w:val="-4"/>
          <w:vertAlign w:val="superscript"/>
          <w:rtl/>
        </w:rPr>
        <w:t>(</w:t>
      </w:r>
      <w:r>
        <w:rPr>
          <w:rStyle w:val="a7"/>
          <w:spacing w:val="-4"/>
          <w:rtl/>
        </w:rPr>
        <w:footnoteReference w:id="3800"/>
      </w:r>
      <w:r>
        <w:rPr>
          <w:rFonts w:hint="cs"/>
          <w:spacing w:val="-4"/>
          <w:vertAlign w:val="superscript"/>
          <w:rtl/>
        </w:rPr>
        <w:t>)</w:t>
      </w:r>
      <w:r>
        <w:rPr>
          <w:rFonts w:hint="cs"/>
          <w:spacing w:val="-4"/>
          <w:rtl/>
        </w:rPr>
        <w:t>.</w:t>
      </w:r>
    </w:p>
    <w:p w:rsidR="00C10469" w:rsidRDefault="00C10469">
      <w:pPr>
        <w:rPr>
          <w:spacing w:val="-4"/>
          <w:rtl/>
        </w:rPr>
      </w:pPr>
    </w:p>
    <w:p w:rsidR="00C10469" w:rsidRDefault="00C10469">
      <w:pPr>
        <w:rPr>
          <w:spacing w:val="-4"/>
          <w:rtl/>
        </w:rPr>
      </w:pPr>
    </w:p>
    <w:p w:rsidR="00C10469" w:rsidRDefault="00C10469">
      <w:pPr>
        <w:rPr>
          <w:spacing w:val="-4"/>
          <w:rtl/>
        </w:rPr>
      </w:pPr>
    </w:p>
    <w:p w:rsidR="00C10469" w:rsidRPr="00330F48" w:rsidRDefault="00C10469">
      <w:pPr>
        <w:jc w:val="center"/>
        <w:rPr>
          <w:spacing w:val="-4"/>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4"/>
          <w:rtl/>
        </w:rPr>
        <w:sectPr w:rsidR="00C10469" w:rsidSect="00C10469">
          <w:headerReference w:type="default" r:id="rId23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ED1022" w:rsidRDefault="00C10469">
      <w:pPr>
        <w:pStyle w:val="a9"/>
        <w:rPr>
          <w:rFonts w:cs="AL-Mateen"/>
          <w:rtl/>
        </w:rPr>
      </w:pPr>
      <w:r w:rsidRPr="00ED1022">
        <w:rPr>
          <w:rFonts w:cs="AL-Mateen" w:hint="cs"/>
          <w:rtl/>
        </w:rPr>
        <w:lastRenderedPageBreak/>
        <w:t>[القاعدة الثانية والثمانون بعد الـمائـة]</w:t>
      </w:r>
    </w:p>
    <w:p w:rsidR="00C10469" w:rsidRDefault="00C10469">
      <w:r>
        <w:rPr>
          <w:rFonts w:cs="Monotype Koufi" w:hint="cs"/>
          <w:rtl/>
        </w:rPr>
        <w:t xml:space="preserve"> القَضَاءُ الضِّمْنِيُّ لا يُشتَرَطُ لَهُ الدّعْوَى والخُصُومَةُ</w:t>
      </w:r>
      <w:r>
        <w:rPr>
          <w:rFonts w:hint="cs"/>
          <w:vertAlign w:val="superscript"/>
          <w:rtl/>
        </w:rPr>
        <w:t>(</w:t>
      </w:r>
      <w:r>
        <w:rPr>
          <w:rStyle w:val="a7"/>
          <w:rtl/>
        </w:rPr>
        <w:footnoteReference w:id="3801"/>
      </w:r>
      <w:r>
        <w:rPr>
          <w:rFonts w:hint="cs"/>
          <w:vertAlign w:val="superscript"/>
          <w:rtl/>
        </w:rPr>
        <w:t>)</w:t>
      </w:r>
      <w:r>
        <w:rPr>
          <w:rFonts w:cs="Monotype Koufi" w:hint="cs"/>
          <w:rtl/>
        </w:rPr>
        <w:t xml:space="preserve"> :</w:t>
      </w:r>
    </w:p>
    <w:p w:rsidR="00C10469" w:rsidRDefault="00C10469">
      <w:pPr>
        <w:rPr>
          <w:rtl/>
        </w:rPr>
      </w:pPr>
      <w:r>
        <w:rPr>
          <w:rFonts w:hint="cs"/>
          <w:rtl/>
        </w:rPr>
        <w:t>وإذا برهن أنه كان لأبيه على هذا ألف، ومات عن أخيه</w:t>
      </w:r>
      <w:r>
        <w:rPr>
          <w:rStyle w:val="a7"/>
          <w:rtl/>
        </w:rPr>
        <w:footnoteReference w:id="3802"/>
      </w:r>
      <w:r>
        <w:rPr>
          <w:rFonts w:hint="cs"/>
          <w:rtl/>
        </w:rPr>
        <w:t xml:space="preserve"> الغائب وعنه: يُقضى عليه بالكلّ؛ لانتصاب أحد</w:t>
      </w:r>
      <w:r>
        <w:rPr>
          <w:rStyle w:val="a7"/>
          <w:rtl/>
        </w:rPr>
        <w:footnoteReference w:id="3803"/>
      </w:r>
      <w:r>
        <w:rPr>
          <w:rFonts w:hint="cs"/>
          <w:rtl/>
        </w:rPr>
        <w:t xml:space="preserve"> الورثة خصمًا عن الكل، ولا يحتاج إلى إعادتها، ولا يشترط الدعوى والخُصومة من الغائب. كذا ذكر في (البزازية)</w:t>
      </w:r>
      <w:r>
        <w:rPr>
          <w:rFonts w:hint="cs"/>
          <w:vertAlign w:val="superscript"/>
          <w:rtl/>
        </w:rPr>
        <w:t>(</w:t>
      </w:r>
      <w:r>
        <w:rPr>
          <w:rStyle w:val="a7"/>
          <w:rtl/>
        </w:rPr>
        <w:footnoteReference w:id="3804"/>
      </w:r>
      <w:r>
        <w:rPr>
          <w:rFonts w:hint="cs"/>
          <w:vertAlign w:val="superscript"/>
          <w:rtl/>
        </w:rPr>
        <w:t>)</w:t>
      </w:r>
      <w:r>
        <w:rPr>
          <w:rFonts w:hint="cs"/>
          <w:rtl/>
        </w:rPr>
        <w:t>.</w:t>
      </w:r>
    </w:p>
    <w:p w:rsidR="00C10469" w:rsidRDefault="00C10469">
      <w:pPr>
        <w:rPr>
          <w:rtl/>
        </w:rPr>
      </w:pPr>
      <w:r>
        <w:rPr>
          <w:rFonts w:hint="cs"/>
          <w:rtl/>
        </w:rPr>
        <w:lastRenderedPageBreak/>
        <w:t>وكذا إذا ادعى عقارًا</w:t>
      </w:r>
      <w:r>
        <w:rPr>
          <w:rFonts w:hint="cs"/>
          <w:vertAlign w:val="superscript"/>
          <w:rtl/>
        </w:rPr>
        <w:t>(</w:t>
      </w:r>
      <w:r>
        <w:rPr>
          <w:rStyle w:val="a7"/>
          <w:rtl/>
        </w:rPr>
        <w:footnoteReference w:id="3805"/>
      </w:r>
      <w:r>
        <w:rPr>
          <w:rFonts w:hint="cs"/>
          <w:vertAlign w:val="superscript"/>
          <w:rtl/>
        </w:rPr>
        <w:t>)</w:t>
      </w:r>
      <w:r>
        <w:rPr>
          <w:rFonts w:hint="cs"/>
          <w:rtl/>
        </w:rPr>
        <w:t xml:space="preserve"> أو منقولاً</w:t>
      </w:r>
      <w:r>
        <w:rPr>
          <w:rStyle w:val="a7"/>
          <w:rtl/>
        </w:rPr>
        <w:footnoteReference w:id="3806"/>
      </w:r>
      <w:r>
        <w:rPr>
          <w:rFonts w:hint="cs"/>
          <w:rtl/>
        </w:rPr>
        <w:t xml:space="preserve">  يقضى له</w:t>
      </w:r>
      <w:r>
        <w:rPr>
          <w:rFonts w:hint="cs"/>
          <w:vertAlign w:val="superscript"/>
          <w:rtl/>
        </w:rPr>
        <w:t>(</w:t>
      </w:r>
      <w:r>
        <w:rPr>
          <w:rStyle w:val="a7"/>
          <w:rtl/>
        </w:rPr>
        <w:footnoteReference w:id="3807"/>
      </w:r>
      <w:r>
        <w:rPr>
          <w:rFonts w:hint="cs"/>
          <w:vertAlign w:val="superscript"/>
          <w:rtl/>
        </w:rPr>
        <w:t>)</w:t>
      </w:r>
      <w:r>
        <w:rPr>
          <w:rFonts w:hint="cs"/>
          <w:rtl/>
        </w:rPr>
        <w:t>.</w:t>
      </w:r>
    </w:p>
    <w:p w:rsidR="00C10469" w:rsidRDefault="00C10469">
      <w:pPr>
        <w:rPr>
          <w:rtl/>
        </w:rPr>
      </w:pPr>
      <w:r>
        <w:rPr>
          <w:rFonts w:hint="cs"/>
          <w:rtl/>
        </w:rPr>
        <w:t>وإذا قضى لهما فهل يُؤخذ منها حصة الغائب أم</w:t>
      </w:r>
      <w:r>
        <w:rPr>
          <w:rStyle w:val="a7"/>
          <w:rtl/>
        </w:rPr>
        <w:footnoteReference w:id="3808"/>
      </w:r>
      <w:r>
        <w:rPr>
          <w:rFonts w:hint="cs"/>
          <w:rtl/>
        </w:rPr>
        <w:t xml:space="preserve"> يُترك في يد المدعى عليه؟.</w:t>
      </w:r>
    </w:p>
    <w:p w:rsidR="00C10469" w:rsidRDefault="00C10469" w:rsidP="00C10469">
      <w:pPr>
        <w:spacing w:line="228" w:lineRule="auto"/>
        <w:ind w:left="987" w:hanging="420"/>
        <w:rPr>
          <w:rtl/>
        </w:rPr>
      </w:pPr>
      <w:r>
        <w:rPr>
          <w:rtl/>
        </w:rPr>
        <w:t>•</w:t>
      </w:r>
      <w:r>
        <w:rPr>
          <w:rFonts w:hint="cs"/>
          <w:rtl/>
        </w:rPr>
        <w:t xml:space="preserve">   قال الإمام : إذا كان المُدعى </w:t>
      </w:r>
      <w:r>
        <w:rPr>
          <w:rFonts w:hint="cs"/>
          <w:b/>
          <w:bCs/>
          <w:rtl/>
        </w:rPr>
        <w:t xml:space="preserve">عقارًا : </w:t>
      </w:r>
      <w:r>
        <w:rPr>
          <w:rFonts w:hint="cs"/>
          <w:rtl/>
        </w:rPr>
        <w:t>يأخذ الحاضرُ نصفَهُ ويَتْرُكُ باقيه مع ذي اليد بلا تكفيله</w:t>
      </w:r>
      <w:r>
        <w:rPr>
          <w:rFonts w:hint="cs"/>
          <w:vertAlign w:val="superscript"/>
          <w:rtl/>
        </w:rPr>
        <w:t>(</w:t>
      </w:r>
      <w:r>
        <w:rPr>
          <w:rStyle w:val="a7"/>
          <w:rtl/>
        </w:rPr>
        <w:footnoteReference w:id="3809"/>
      </w:r>
      <w:r>
        <w:rPr>
          <w:rFonts w:hint="cs"/>
          <w:vertAlign w:val="superscript"/>
          <w:rtl/>
        </w:rPr>
        <w:t>)</w:t>
      </w:r>
      <w:r>
        <w:rPr>
          <w:rFonts w:hint="cs"/>
          <w:rtl/>
        </w:rPr>
        <w:t>، جحد دعواه أوْ لا.</w:t>
      </w:r>
    </w:p>
    <w:p w:rsidR="00C10469" w:rsidRDefault="00C10469" w:rsidP="00C10469">
      <w:pPr>
        <w:spacing w:line="228" w:lineRule="auto"/>
        <w:ind w:left="987" w:hanging="420"/>
        <w:rPr>
          <w:rtl/>
        </w:rPr>
      </w:pPr>
      <w:r>
        <w:rPr>
          <w:sz w:val="34"/>
          <w:szCs w:val="34"/>
          <w:rtl/>
        </w:rPr>
        <w:t>•</w:t>
      </w:r>
      <w:r>
        <w:rPr>
          <w:rFonts w:hint="cs"/>
          <w:sz w:val="34"/>
          <w:szCs w:val="34"/>
          <w:rtl/>
        </w:rPr>
        <w:t xml:space="preserve">   وقالا: إذا جحده ذو اليد أخذه القاضي منه، ويجعله في يدِ أمينٍ حتى يَقْدُمَ الغائب، وإن لم يجحد ترك [النصف]</w:t>
      </w:r>
      <w:r>
        <w:rPr>
          <w:rStyle w:val="a7"/>
          <w:rtl/>
        </w:rPr>
        <w:footnoteReference w:id="3810"/>
      </w:r>
      <w:r>
        <w:rPr>
          <w:rFonts w:hint="cs"/>
          <w:rtl/>
        </w:rPr>
        <w:t xml:space="preserve"> </w:t>
      </w:r>
      <w:r>
        <w:rPr>
          <w:rFonts w:hint="cs"/>
          <w:sz w:val="34"/>
          <w:szCs w:val="34"/>
          <w:rtl/>
        </w:rPr>
        <w:t>الآخر في يده حتى يقدم الغائب، ويأخذه، ولا يحتاج إلى إعـادة البيـنة</w:t>
      </w:r>
      <w:r>
        <w:rPr>
          <w:rStyle w:val="a7"/>
          <w:rtl/>
        </w:rPr>
        <w:footnoteReference w:id="3811"/>
      </w:r>
      <w:r>
        <w:rPr>
          <w:rFonts w:hint="cs"/>
          <w:rtl/>
        </w:rPr>
        <w:t xml:space="preserve">؛ </w:t>
      </w:r>
      <w:r>
        <w:rPr>
          <w:rFonts w:hint="cs"/>
          <w:sz w:val="34"/>
          <w:szCs w:val="34"/>
          <w:rtl/>
        </w:rPr>
        <w:t>لأن الجاحد</w:t>
      </w:r>
      <w:r>
        <w:rPr>
          <w:rStyle w:val="a7"/>
          <w:rtl/>
        </w:rPr>
        <w:footnoteReference w:id="3812"/>
      </w:r>
      <w:r>
        <w:rPr>
          <w:rFonts w:hint="cs"/>
          <w:rtl/>
        </w:rPr>
        <w:t xml:space="preserve"> خائن فيؤخذ منه، والمُقرّ أمين فيترك في يده.</w:t>
      </w:r>
    </w:p>
    <w:p w:rsidR="00C10469" w:rsidRDefault="00C10469">
      <w:pPr>
        <w:rPr>
          <w:spacing w:val="10"/>
          <w:rtl/>
        </w:rPr>
      </w:pPr>
      <w:r>
        <w:rPr>
          <w:rFonts w:hint="cs"/>
          <w:spacing w:val="10"/>
          <w:rtl/>
        </w:rPr>
        <w:lastRenderedPageBreak/>
        <w:t>وله</w:t>
      </w:r>
      <w:r>
        <w:rPr>
          <w:rStyle w:val="a7"/>
          <w:spacing w:val="10"/>
          <w:rtl/>
        </w:rPr>
        <w:footnoteReference w:id="3813"/>
      </w:r>
      <w:r>
        <w:rPr>
          <w:rFonts w:hint="cs"/>
          <w:spacing w:val="10"/>
          <w:rtl/>
        </w:rPr>
        <w:t xml:space="preserve"> : أنّ اليد الثابتة لا [تنـزع]</w:t>
      </w:r>
      <w:r>
        <w:rPr>
          <w:rStyle w:val="a7"/>
          <w:spacing w:val="10"/>
          <w:rtl/>
        </w:rPr>
        <w:footnoteReference w:id="3814"/>
      </w:r>
      <w:r>
        <w:rPr>
          <w:rFonts w:hint="cs"/>
          <w:spacing w:val="10"/>
          <w:rtl/>
        </w:rPr>
        <w:t xml:space="preserve"> بلا ضرورة</w:t>
      </w:r>
      <w:r>
        <w:rPr>
          <w:rFonts w:hint="cs"/>
          <w:spacing w:val="10"/>
          <w:vertAlign w:val="superscript"/>
          <w:rtl/>
        </w:rPr>
        <w:t>(</w:t>
      </w:r>
      <w:r>
        <w:rPr>
          <w:rStyle w:val="a7"/>
          <w:spacing w:val="10"/>
          <w:rtl/>
        </w:rPr>
        <w:footnoteReference w:id="3815"/>
      </w:r>
      <w:r>
        <w:rPr>
          <w:rFonts w:hint="cs"/>
          <w:spacing w:val="10"/>
          <w:vertAlign w:val="superscript"/>
          <w:rtl/>
        </w:rPr>
        <w:t>)</w:t>
      </w:r>
      <w:r>
        <w:rPr>
          <w:rFonts w:hint="cs"/>
          <w:spacing w:val="10"/>
          <w:rtl/>
        </w:rPr>
        <w:t>؛ لأن القضاء وقع للميت بالكل، وللوارث ضمنًا، ولا وراثة إلا بثبوت الملك [للمورّث]</w:t>
      </w:r>
      <w:r>
        <w:rPr>
          <w:rStyle w:val="a7"/>
          <w:spacing w:val="10"/>
          <w:rtl/>
        </w:rPr>
        <w:footnoteReference w:id="3816"/>
      </w:r>
      <w:r>
        <w:rPr>
          <w:rFonts w:hint="cs"/>
          <w:spacing w:val="10"/>
          <w:rtl/>
        </w:rPr>
        <w:t>، واحتمال كـونه مختار الميّت، فلا يُنقِصُ</w:t>
      </w:r>
      <w:r>
        <w:rPr>
          <w:rStyle w:val="a7"/>
          <w:spacing w:val="10"/>
          <w:rtl/>
        </w:rPr>
        <w:footnoteReference w:id="3817"/>
      </w:r>
      <w:r>
        <w:rPr>
          <w:rFonts w:hint="cs"/>
          <w:spacing w:val="10"/>
          <w:rtl/>
        </w:rPr>
        <w:t xml:space="preserve"> يَـدَهُ، كما لو</w:t>
      </w:r>
      <w:r>
        <w:rPr>
          <w:rStyle w:val="a7"/>
          <w:spacing w:val="10"/>
          <w:rtl/>
        </w:rPr>
        <w:footnoteReference w:id="3818"/>
      </w:r>
      <w:r>
        <w:rPr>
          <w:rFonts w:hint="cs"/>
          <w:spacing w:val="10"/>
          <w:rtl/>
        </w:rPr>
        <w:t xml:space="preserve"> كان مـقرًّا، وجحـوده بطل بـقضاء القاضي</w:t>
      </w:r>
      <w:r>
        <w:rPr>
          <w:rFonts w:hint="cs"/>
          <w:spacing w:val="10"/>
          <w:vertAlign w:val="superscript"/>
          <w:rtl/>
        </w:rPr>
        <w:t>(</w:t>
      </w:r>
      <w:r>
        <w:rPr>
          <w:rStyle w:val="a7"/>
          <w:spacing w:val="10"/>
          <w:rtl/>
        </w:rPr>
        <w:footnoteReference w:id="3819"/>
      </w:r>
      <w:r>
        <w:rPr>
          <w:rFonts w:hint="cs"/>
          <w:spacing w:val="10"/>
          <w:vertAlign w:val="superscript"/>
          <w:rtl/>
        </w:rPr>
        <w:t>)</w:t>
      </w:r>
      <w:r>
        <w:rPr>
          <w:rFonts w:hint="cs"/>
          <w:spacing w:val="10"/>
          <w:rtl/>
        </w:rPr>
        <w:t>.</w:t>
      </w:r>
    </w:p>
    <w:p w:rsidR="00C10469" w:rsidRDefault="00C10469">
      <w:pPr>
        <w:rPr>
          <w:rtl/>
        </w:rPr>
      </w:pPr>
      <w:r>
        <w:rPr>
          <w:rFonts w:hint="eastAsia"/>
          <w:spacing w:val="-8"/>
          <w:rtl/>
        </w:rPr>
        <w:t>«</w:t>
      </w:r>
      <w:r>
        <w:rPr>
          <w:rFonts w:hint="cs"/>
          <w:rtl/>
        </w:rPr>
        <w:t xml:space="preserve">كذا </w:t>
      </w:r>
      <w:r>
        <w:rPr>
          <w:rFonts w:hint="cs"/>
          <w:b/>
          <w:bCs/>
          <w:rtl/>
        </w:rPr>
        <w:t>المنقول</w:t>
      </w:r>
      <w:r>
        <w:rPr>
          <w:rFonts w:hint="cs"/>
          <w:rtl/>
        </w:rPr>
        <w:t xml:space="preserve"> : في الأصحّ</w:t>
      </w:r>
      <w:r>
        <w:rPr>
          <w:rFonts w:hint="cs"/>
          <w:vertAlign w:val="superscript"/>
          <w:rtl/>
        </w:rPr>
        <w:t>(</w:t>
      </w:r>
      <w:r>
        <w:rPr>
          <w:rStyle w:val="a7"/>
          <w:rtl/>
        </w:rPr>
        <w:footnoteReference w:id="3820"/>
      </w:r>
      <w:r>
        <w:rPr>
          <w:rFonts w:hint="cs"/>
          <w:vertAlign w:val="superscript"/>
          <w:rtl/>
        </w:rPr>
        <w:t>)</w:t>
      </w:r>
      <w:r>
        <w:rPr>
          <w:rFonts w:hint="cs"/>
          <w:rtl/>
        </w:rPr>
        <w:t>.</w:t>
      </w:r>
    </w:p>
    <w:p w:rsidR="00C10469" w:rsidRDefault="00C10469">
      <w:pPr>
        <w:rPr>
          <w:rtl/>
        </w:rPr>
      </w:pPr>
      <w:r>
        <w:rPr>
          <w:rFonts w:hint="cs"/>
          <w:rtl/>
        </w:rPr>
        <w:t>وقيل : يؤخذ منه اتفاقًا</w:t>
      </w:r>
      <w:r>
        <w:rPr>
          <w:rFonts w:hint="cs"/>
          <w:vertAlign w:val="superscript"/>
          <w:rtl/>
        </w:rPr>
        <w:t xml:space="preserve"> (</w:t>
      </w:r>
      <w:r>
        <w:rPr>
          <w:rStyle w:val="a7"/>
          <w:rtl/>
        </w:rPr>
        <w:footnoteReference w:id="3821"/>
      </w:r>
      <w:r>
        <w:rPr>
          <w:rFonts w:hint="cs"/>
          <w:vertAlign w:val="superscript"/>
          <w:rtl/>
        </w:rPr>
        <w:t>)</w:t>
      </w:r>
      <w:r>
        <w:rPr>
          <w:rFonts w:hint="cs"/>
          <w:rtl/>
        </w:rPr>
        <w:t xml:space="preserve">؛ لاحتياج المنقول إلى الحفظ، والنّزع من يده أبلغ في </w:t>
      </w:r>
      <w:r>
        <w:rPr>
          <w:rFonts w:hint="cs"/>
          <w:rtl/>
        </w:rPr>
        <w:lastRenderedPageBreak/>
        <w:t>الحفظ، كَيْلاَ يتلفه. وأما العقار فمحفوظ</w:t>
      </w:r>
      <w:r>
        <w:rPr>
          <w:rStyle w:val="a7"/>
          <w:rtl/>
        </w:rPr>
        <w:footnoteReference w:id="3822"/>
      </w:r>
      <w:r>
        <w:rPr>
          <w:rFonts w:hint="cs"/>
          <w:rtl/>
        </w:rPr>
        <w:t xml:space="preserve"> بنفسه. </w:t>
      </w:r>
    </w:p>
    <w:p w:rsidR="00C10469" w:rsidRDefault="00C10469">
      <w:pPr>
        <w:rPr>
          <w:rtl/>
        </w:rPr>
      </w:pPr>
      <w:r>
        <w:rPr>
          <w:rFonts w:hint="cs"/>
          <w:rtl/>
        </w:rPr>
        <w:t>وقيل</w:t>
      </w:r>
      <w:r>
        <w:rPr>
          <w:rStyle w:val="a7"/>
          <w:rtl/>
        </w:rPr>
        <w:footnoteReference w:id="3823"/>
      </w:r>
      <w:r>
        <w:rPr>
          <w:rFonts w:hint="cs"/>
          <w:rtl/>
        </w:rPr>
        <w:t xml:space="preserve"> : المنقول يُترك النصْف</w:t>
      </w:r>
      <w:r>
        <w:rPr>
          <w:rFonts w:hint="cs"/>
          <w:vertAlign w:val="superscript"/>
          <w:rtl/>
        </w:rPr>
        <w:t>(</w:t>
      </w:r>
      <w:r>
        <w:rPr>
          <w:rStyle w:val="a7"/>
          <w:rtl/>
        </w:rPr>
        <w:footnoteReference w:id="3824"/>
      </w:r>
      <w:r>
        <w:rPr>
          <w:rFonts w:hint="cs"/>
          <w:vertAlign w:val="superscript"/>
          <w:rtl/>
        </w:rPr>
        <w:t>)</w:t>
      </w:r>
      <w:r>
        <w:rPr>
          <w:rFonts w:hint="cs"/>
          <w:rtl/>
        </w:rPr>
        <w:t xml:space="preserve"> في يد ذي اليد اتَّفاقًا</w:t>
      </w:r>
      <w:r>
        <w:rPr>
          <w:rFonts w:hint="cs"/>
          <w:vertAlign w:val="superscript"/>
          <w:rtl/>
        </w:rPr>
        <w:t>(</w:t>
      </w:r>
      <w:r>
        <w:rPr>
          <w:rStyle w:val="a7"/>
          <w:rtl/>
        </w:rPr>
        <w:footnoteReference w:id="3825"/>
      </w:r>
      <w:r>
        <w:rPr>
          <w:rFonts w:hint="cs"/>
          <w:vertAlign w:val="superscript"/>
          <w:rtl/>
        </w:rPr>
        <w:t>)</w:t>
      </w:r>
      <w:r>
        <w:rPr>
          <w:rFonts w:hint="cs"/>
          <w:rtl/>
        </w:rPr>
        <w:t>.</w:t>
      </w:r>
    </w:p>
    <w:p w:rsidR="00C10469" w:rsidRDefault="00C10469">
      <w:pPr>
        <w:rPr>
          <w:spacing w:val="-4"/>
          <w:rtl/>
        </w:rPr>
      </w:pPr>
      <w:r>
        <w:rPr>
          <w:rFonts w:hint="cs"/>
          <w:spacing w:val="-4"/>
          <w:rtl/>
        </w:rPr>
        <w:lastRenderedPageBreak/>
        <w:t>وهذا أصحّ؛ لأن المنقول يحتاج إلى الحفظ، والترك في يده أبلغ في الحفظ؛ لأن المال في يد الضمين أشدّ حفظًا، وأنه بالإنكار صار ضامنًا، ولو وضع في يد العدل كان أمينًا فيه، فلو تلف لم يضمن</w:t>
      </w:r>
      <w:r>
        <w:rPr>
          <w:rFonts w:hint="eastAsia"/>
          <w:spacing w:val="-4"/>
          <w:rtl/>
        </w:rPr>
        <w:t>»</w:t>
      </w:r>
      <w:r>
        <w:rPr>
          <w:rFonts w:hint="cs"/>
          <w:spacing w:val="-4"/>
          <w:vertAlign w:val="superscript"/>
          <w:rtl/>
        </w:rPr>
        <w:t>(</w:t>
      </w:r>
      <w:r>
        <w:rPr>
          <w:rStyle w:val="a7"/>
          <w:spacing w:val="-4"/>
          <w:rtl/>
        </w:rPr>
        <w:footnoteReference w:id="3826"/>
      </w:r>
      <w:r>
        <w:rPr>
          <w:rFonts w:hint="cs"/>
          <w:spacing w:val="-4"/>
          <w:vertAlign w:val="superscript"/>
          <w:rtl/>
        </w:rPr>
        <w:t>)</w:t>
      </w:r>
      <w:r>
        <w:rPr>
          <w:rFonts w:hint="cs"/>
          <w:spacing w:val="-4"/>
          <w:rtl/>
        </w:rPr>
        <w:t>، وإن أبى ذو اليد عن الحفظ ينبغي أن يأخذه القاضي، ويجعله في يد عدل؛ لئلا يلزم إلزام الضرر عليه بلا رضاه. ولم [أَرَ ذلك]</w:t>
      </w:r>
      <w:r>
        <w:rPr>
          <w:rFonts w:hint="cs"/>
          <w:spacing w:val="-4"/>
          <w:vertAlign w:val="superscript"/>
          <w:rtl/>
        </w:rPr>
        <w:t>(</w:t>
      </w:r>
      <w:r>
        <w:rPr>
          <w:rStyle w:val="a7"/>
          <w:spacing w:val="-4"/>
          <w:rtl/>
        </w:rPr>
        <w:footnoteReference w:id="3827"/>
      </w:r>
      <w:r>
        <w:rPr>
          <w:rFonts w:hint="cs"/>
          <w:spacing w:val="-4"/>
          <w:vertAlign w:val="superscript"/>
          <w:rtl/>
        </w:rPr>
        <w:t>)</w:t>
      </w:r>
      <w:r>
        <w:rPr>
          <w:rFonts w:hint="cs"/>
          <w:spacing w:val="-4"/>
          <w:rtl/>
        </w:rPr>
        <w:t xml:space="preserve"> الآن.</w:t>
      </w:r>
    </w:p>
    <w:p w:rsidR="00C10469" w:rsidRDefault="00C10469">
      <w:pPr>
        <w:rPr>
          <w:rtl/>
        </w:rPr>
      </w:pPr>
      <w:r>
        <w:rPr>
          <w:rFonts w:hint="cs"/>
          <w:rtl/>
        </w:rPr>
        <w:t xml:space="preserve">وفرّع ابن نجيم في (أشباهه) على هذا الأصل : ما </w:t>
      </w:r>
      <w:r>
        <w:rPr>
          <w:rFonts w:hint="eastAsia"/>
          <w:spacing w:val="-8"/>
          <w:rtl/>
        </w:rPr>
        <w:t>«</w:t>
      </w:r>
      <w:r>
        <w:rPr>
          <w:rFonts w:hint="cs"/>
          <w:rtl/>
        </w:rPr>
        <w:t xml:space="preserve"> لَوِ ادعى الكفالة بمال بإذنه، وأنكر [الدين]</w:t>
      </w:r>
      <w:r>
        <w:rPr>
          <w:rFonts w:hint="cs"/>
          <w:vertAlign w:val="superscript"/>
          <w:rtl/>
        </w:rPr>
        <w:t>(</w:t>
      </w:r>
      <w:r>
        <w:rPr>
          <w:rStyle w:val="a7"/>
          <w:rtl/>
        </w:rPr>
        <w:footnoteReference w:id="3828"/>
      </w:r>
      <w:r>
        <w:rPr>
          <w:rFonts w:hint="cs"/>
          <w:vertAlign w:val="superscript"/>
          <w:rtl/>
        </w:rPr>
        <w:t>)</w:t>
      </w:r>
      <w:r>
        <w:rPr>
          <w:rFonts w:hint="cs"/>
          <w:rtl/>
        </w:rPr>
        <w:t>، فبرهن</w:t>
      </w:r>
      <w:r>
        <w:rPr>
          <w:rStyle w:val="a7"/>
          <w:rtl/>
        </w:rPr>
        <w:footnoteReference w:id="3829"/>
      </w:r>
      <w:r>
        <w:rPr>
          <w:rFonts w:hint="cs"/>
          <w:rtl/>
        </w:rPr>
        <w:t xml:space="preserve"> على الكفيل بالدين، وقضى عليه بها</w:t>
      </w:r>
      <w:r>
        <w:rPr>
          <w:rStyle w:val="a7"/>
          <w:rtl/>
        </w:rPr>
        <w:footnoteReference w:id="3830"/>
      </w:r>
      <w:r>
        <w:rPr>
          <w:rFonts w:hint="cs"/>
          <w:rtl/>
        </w:rPr>
        <w:t xml:space="preserve"> : كان القضاء عليه قصدًا، وعلى الأصيل</w:t>
      </w:r>
      <w:r>
        <w:rPr>
          <w:rStyle w:val="a7"/>
          <w:rtl/>
        </w:rPr>
        <w:footnoteReference w:id="3831"/>
      </w:r>
      <w:r>
        <w:rPr>
          <w:rFonts w:hint="cs"/>
          <w:rtl/>
        </w:rPr>
        <w:t xml:space="preserve"> الغائب ضمنًا</w:t>
      </w:r>
      <w:r>
        <w:rPr>
          <w:rFonts w:hint="eastAsia"/>
          <w:spacing w:val="-8"/>
          <w:rtl/>
        </w:rPr>
        <w:t>»</w:t>
      </w:r>
      <w:r>
        <w:rPr>
          <w:rFonts w:hint="cs"/>
          <w:spacing w:val="-8"/>
          <w:vertAlign w:val="superscript"/>
          <w:rtl/>
        </w:rPr>
        <w:t>(</w:t>
      </w:r>
      <w:r>
        <w:rPr>
          <w:rStyle w:val="a7"/>
          <w:spacing w:val="-8"/>
          <w:rtl/>
        </w:rPr>
        <w:footnoteReference w:id="3832"/>
      </w:r>
      <w:r>
        <w:rPr>
          <w:rFonts w:hint="cs"/>
          <w:spacing w:val="-8"/>
          <w:vertAlign w:val="superscript"/>
          <w:rtl/>
        </w:rPr>
        <w:t>)</w:t>
      </w:r>
      <w:r>
        <w:rPr>
          <w:rFonts w:hint="cs"/>
          <w:spacing w:val="-8"/>
          <w:rtl/>
        </w:rPr>
        <w:t>.</w:t>
      </w:r>
    </w:p>
    <w:p w:rsidR="00C10469" w:rsidRPr="00026582" w:rsidRDefault="00C10469">
      <w:pPr>
        <w:spacing w:line="560" w:lineRule="exact"/>
        <w:rPr>
          <w:spacing w:val="-6"/>
          <w:rtl/>
        </w:rPr>
      </w:pPr>
      <w:r w:rsidRPr="00026582">
        <w:rPr>
          <w:rFonts w:hint="cs"/>
          <w:b/>
          <w:bCs/>
          <w:spacing w:val="-6"/>
          <w:rtl/>
        </w:rPr>
        <w:lastRenderedPageBreak/>
        <w:t>أقول</w:t>
      </w:r>
      <w:r w:rsidRPr="00026582">
        <w:rPr>
          <w:rStyle w:val="a7"/>
          <w:spacing w:val="-6"/>
          <w:rtl/>
        </w:rPr>
        <w:footnoteReference w:id="3833"/>
      </w:r>
      <w:r w:rsidRPr="00026582">
        <w:rPr>
          <w:rFonts w:hint="cs"/>
          <w:spacing w:val="-6"/>
          <w:rtl/>
        </w:rPr>
        <w:t xml:space="preserve"> : إن هذه المسألة [ليست]</w:t>
      </w:r>
      <w:r w:rsidRPr="00026582">
        <w:rPr>
          <w:rStyle w:val="a7"/>
          <w:spacing w:val="-6"/>
          <w:rtl/>
        </w:rPr>
        <w:footnoteReference w:id="3834"/>
      </w:r>
      <w:r w:rsidRPr="00026582">
        <w:rPr>
          <w:rFonts w:hint="cs"/>
          <w:spacing w:val="-6"/>
          <w:rtl/>
        </w:rPr>
        <w:t xml:space="preserve"> من فروع هذا الأصل؛ بل من فروع [الأصل]</w:t>
      </w:r>
      <w:r w:rsidRPr="00026582">
        <w:rPr>
          <w:rStyle w:val="a7"/>
          <w:spacing w:val="-6"/>
          <w:rtl/>
        </w:rPr>
        <w:footnoteReference w:id="3835"/>
      </w:r>
      <w:r w:rsidRPr="00026582">
        <w:rPr>
          <w:rFonts w:hint="cs"/>
          <w:spacing w:val="-6"/>
          <w:rtl/>
        </w:rPr>
        <w:t xml:space="preserve"> المتقدم</w:t>
      </w:r>
      <w:r w:rsidRPr="00026582">
        <w:rPr>
          <w:rFonts w:hint="cs"/>
          <w:spacing w:val="-6"/>
          <w:vertAlign w:val="superscript"/>
          <w:rtl/>
        </w:rPr>
        <w:t>(</w:t>
      </w:r>
      <w:r w:rsidRPr="00026582">
        <w:rPr>
          <w:rStyle w:val="a7"/>
          <w:spacing w:val="-6"/>
          <w:rtl/>
        </w:rPr>
        <w:footnoteReference w:id="3836"/>
      </w:r>
      <w:r w:rsidRPr="00026582">
        <w:rPr>
          <w:rFonts w:hint="cs"/>
          <w:spacing w:val="-6"/>
          <w:vertAlign w:val="superscript"/>
          <w:rtl/>
        </w:rPr>
        <w:t>)</w:t>
      </w:r>
      <w:r w:rsidRPr="00026582">
        <w:rPr>
          <w:rFonts w:hint="cs"/>
          <w:spacing w:val="-6"/>
          <w:rtl/>
        </w:rPr>
        <w:t>؛ كما إذا شهدا بحقّ، فقال المشهود عليه : هما عبدَا فلانٍ الغائب. فأقام المشهود له بيّنةً أنّ [فلانًا]</w:t>
      </w:r>
      <w:r w:rsidRPr="00026582">
        <w:rPr>
          <w:rStyle w:val="a7"/>
          <w:spacing w:val="-6"/>
          <w:rtl/>
        </w:rPr>
        <w:footnoteReference w:id="3837"/>
      </w:r>
      <w:r w:rsidRPr="00026582">
        <w:rPr>
          <w:rFonts w:hint="cs"/>
          <w:spacing w:val="-6"/>
          <w:rtl/>
        </w:rPr>
        <w:t xml:space="preserve"> الغائب أعتقهما وهو يملكهما : تقبل هذه الشهادة؛ على ما مّر في [الأصل]</w:t>
      </w:r>
      <w:r w:rsidRPr="00026582">
        <w:rPr>
          <w:rStyle w:val="a7"/>
          <w:spacing w:val="-6"/>
          <w:rtl/>
        </w:rPr>
        <w:footnoteReference w:id="3838"/>
      </w:r>
      <w:r w:rsidRPr="00026582">
        <w:rPr>
          <w:rFonts w:hint="cs"/>
          <w:spacing w:val="-6"/>
          <w:rtl/>
        </w:rPr>
        <w:t xml:space="preserve"> المتقدم</w:t>
      </w:r>
      <w:r w:rsidRPr="00026582">
        <w:rPr>
          <w:rFonts w:hint="cs"/>
          <w:spacing w:val="-6"/>
          <w:vertAlign w:val="superscript"/>
          <w:rtl/>
        </w:rPr>
        <w:t>(</w:t>
      </w:r>
      <w:r w:rsidRPr="00026582">
        <w:rPr>
          <w:rStyle w:val="a7"/>
          <w:spacing w:val="-6"/>
          <w:rtl/>
        </w:rPr>
        <w:footnoteReference w:id="3839"/>
      </w:r>
      <w:r w:rsidRPr="00026582">
        <w:rPr>
          <w:rFonts w:hint="cs"/>
          <w:spacing w:val="-6"/>
          <w:vertAlign w:val="superscript"/>
          <w:rtl/>
        </w:rPr>
        <w:t>)</w:t>
      </w:r>
      <w:r w:rsidRPr="00026582">
        <w:rPr>
          <w:rFonts w:hint="cs"/>
          <w:spacing w:val="-6"/>
          <w:rtl/>
        </w:rPr>
        <w:t>؛ لأن المدعى على الغائب (وهو الدين) سببُ المدَّعى على الحاضر لا محالة؛ لأن صحة الكفالة لا [تنفكّ]</w:t>
      </w:r>
      <w:r w:rsidRPr="00026582">
        <w:rPr>
          <w:rStyle w:val="a7"/>
          <w:spacing w:val="-6"/>
          <w:rtl/>
        </w:rPr>
        <w:footnoteReference w:id="3840"/>
      </w:r>
      <w:r w:rsidRPr="00026582">
        <w:rPr>
          <w:rFonts w:hint="cs"/>
          <w:spacing w:val="-6"/>
          <w:rtl/>
        </w:rPr>
        <w:t xml:space="preserve"> عن الدين</w:t>
      </w:r>
      <w:r w:rsidRPr="00026582">
        <w:rPr>
          <w:rStyle w:val="a7"/>
          <w:spacing w:val="-6"/>
          <w:rtl/>
        </w:rPr>
        <w:footnoteReference w:id="3841"/>
      </w:r>
      <w:r w:rsidRPr="00026582">
        <w:rPr>
          <w:rFonts w:hint="cs"/>
          <w:spacing w:val="-6"/>
          <w:rtl/>
        </w:rPr>
        <w:t xml:space="preserve"> الصحيح (وهو ما لا يسقط إلاّ بالأداء أو</w:t>
      </w:r>
      <w:r w:rsidRPr="00026582">
        <w:rPr>
          <w:rStyle w:val="a7"/>
          <w:spacing w:val="-6"/>
          <w:rtl/>
        </w:rPr>
        <w:footnoteReference w:id="3842"/>
      </w:r>
      <w:r w:rsidRPr="00026582">
        <w:rPr>
          <w:rFonts w:hint="cs"/>
          <w:spacing w:val="-6"/>
          <w:rtl/>
        </w:rPr>
        <w:t xml:space="preserve"> الإبراء)</w:t>
      </w:r>
      <w:r w:rsidRPr="00026582">
        <w:rPr>
          <w:rFonts w:hint="cs"/>
          <w:spacing w:val="-6"/>
          <w:vertAlign w:val="superscript"/>
          <w:rtl/>
        </w:rPr>
        <w:t>(</w:t>
      </w:r>
      <w:r w:rsidRPr="00026582">
        <w:rPr>
          <w:rStyle w:val="a7"/>
          <w:spacing w:val="-6"/>
          <w:rtl/>
        </w:rPr>
        <w:footnoteReference w:id="3843"/>
      </w:r>
      <w:r w:rsidRPr="00026582">
        <w:rPr>
          <w:rFonts w:hint="cs"/>
          <w:spacing w:val="-6"/>
          <w:vertAlign w:val="superscript"/>
          <w:rtl/>
        </w:rPr>
        <w:t>)</w:t>
      </w:r>
      <w:r w:rsidRPr="00026582">
        <w:rPr>
          <w:rFonts w:hint="cs"/>
          <w:spacing w:val="-6"/>
          <w:rtl/>
        </w:rPr>
        <w:t>.</w:t>
      </w:r>
    </w:p>
    <w:p w:rsidR="00C10469" w:rsidRDefault="00C10469">
      <w:pPr>
        <w:spacing w:line="600" w:lineRule="exact"/>
        <w:rPr>
          <w:spacing w:val="8"/>
          <w:rtl/>
        </w:rPr>
      </w:pPr>
      <w:r>
        <w:rPr>
          <w:rFonts w:hint="cs"/>
          <w:spacing w:val="8"/>
          <w:rtl/>
        </w:rPr>
        <w:lastRenderedPageBreak/>
        <w:t>واعلم : إنما</w:t>
      </w:r>
      <w:r>
        <w:rPr>
          <w:rFonts w:hint="cs"/>
          <w:spacing w:val="8"/>
          <w:vertAlign w:val="superscript"/>
          <w:rtl/>
        </w:rPr>
        <w:t>(</w:t>
      </w:r>
      <w:r>
        <w:rPr>
          <w:rStyle w:val="a7"/>
          <w:spacing w:val="8"/>
          <w:rtl/>
        </w:rPr>
        <w:footnoteReference w:id="3844"/>
      </w:r>
      <w:r>
        <w:rPr>
          <w:rFonts w:hint="cs"/>
          <w:spacing w:val="8"/>
          <w:vertAlign w:val="superscript"/>
          <w:rtl/>
        </w:rPr>
        <w:t>)</w:t>
      </w:r>
      <w:r>
        <w:rPr>
          <w:rFonts w:hint="cs"/>
          <w:spacing w:val="8"/>
          <w:rtl/>
        </w:rPr>
        <w:t xml:space="preserve"> يتعدى الحكم في هذه المسألة إذا كانت الكفالة بالأمر. وأمّا بدونه [يقتصر]</w:t>
      </w:r>
      <w:r>
        <w:rPr>
          <w:rStyle w:val="a7"/>
          <w:spacing w:val="8"/>
          <w:rtl/>
        </w:rPr>
        <w:footnoteReference w:id="3845"/>
      </w:r>
      <w:r>
        <w:rPr>
          <w:rFonts w:hint="cs"/>
          <w:spacing w:val="8"/>
          <w:rtl/>
        </w:rPr>
        <w:t xml:space="preserve"> القضاء على الكفيل، ولا يرجع بما ادّى على الغائب ؛ لأن الكفالة</w:t>
      </w:r>
    </w:p>
    <w:p w:rsidR="00C10469" w:rsidRDefault="00C10469">
      <w:pPr>
        <w:ind w:firstLine="0"/>
        <w:rPr>
          <w:spacing w:val="8"/>
          <w:rtl/>
        </w:rPr>
      </w:pPr>
      <w:r>
        <w:rPr>
          <w:rFonts w:hint="cs"/>
          <w:spacing w:val="8"/>
          <w:rtl/>
        </w:rPr>
        <w:t>بالأمر : تبّـرعٌ ابـتـداءً، ومـعاوضةٌ انـتـهاءً، وبـغـير</w:t>
      </w:r>
      <w:r>
        <w:rPr>
          <w:rStyle w:val="a7"/>
          <w:spacing w:val="8"/>
          <w:rtl/>
        </w:rPr>
        <w:footnoteReference w:id="3846"/>
      </w:r>
      <w:r>
        <w:rPr>
          <w:rFonts w:hint="cs"/>
          <w:spacing w:val="8"/>
          <w:rtl/>
        </w:rPr>
        <w:t xml:space="preserve"> أمره : تبرُّعٌ ابتداءً وانتهاء</w:t>
      </w:r>
      <w:r>
        <w:rPr>
          <w:rFonts w:hint="cs"/>
          <w:spacing w:val="8"/>
          <w:vertAlign w:val="superscript"/>
          <w:rtl/>
        </w:rPr>
        <w:t>(</w:t>
      </w:r>
      <w:r>
        <w:rPr>
          <w:rStyle w:val="a7"/>
          <w:spacing w:val="8"/>
          <w:rtl/>
        </w:rPr>
        <w:footnoteReference w:id="3847"/>
      </w:r>
      <w:r>
        <w:rPr>
          <w:rFonts w:hint="cs"/>
          <w:spacing w:val="8"/>
          <w:vertAlign w:val="superscript"/>
          <w:rtl/>
        </w:rPr>
        <w:t>)</w:t>
      </w:r>
      <w:r>
        <w:rPr>
          <w:rFonts w:hint="cs"/>
          <w:spacing w:val="8"/>
          <w:rtl/>
        </w:rPr>
        <w:t>.</w:t>
      </w:r>
    </w:p>
    <w:p w:rsidR="00C10469" w:rsidRPr="00026582" w:rsidRDefault="00C10469">
      <w:pPr>
        <w:rPr>
          <w:spacing w:val="-14"/>
          <w:rtl/>
        </w:rPr>
      </w:pPr>
      <w:r w:rsidRPr="00026582">
        <w:rPr>
          <w:rFonts w:hint="cs"/>
          <w:spacing w:val="-14"/>
          <w:rtl/>
        </w:rPr>
        <w:t>وذكر أصحاب المتون مسألة</w:t>
      </w:r>
      <w:r w:rsidRPr="00026582">
        <w:rPr>
          <w:rFonts w:hint="cs"/>
          <w:spacing w:val="-14"/>
          <w:vertAlign w:val="superscript"/>
          <w:rtl/>
        </w:rPr>
        <w:t>(</w:t>
      </w:r>
      <w:r w:rsidRPr="00026582">
        <w:rPr>
          <w:rStyle w:val="a7"/>
          <w:spacing w:val="-14"/>
          <w:rtl/>
        </w:rPr>
        <w:footnoteReference w:id="3848"/>
      </w:r>
      <w:r w:rsidRPr="00026582">
        <w:rPr>
          <w:rFonts w:hint="cs"/>
          <w:spacing w:val="-14"/>
          <w:vertAlign w:val="superscript"/>
          <w:rtl/>
        </w:rPr>
        <w:t>)</w:t>
      </w:r>
      <w:r w:rsidRPr="00026582">
        <w:rPr>
          <w:rFonts w:hint="cs"/>
          <w:spacing w:val="-14"/>
          <w:rtl/>
        </w:rPr>
        <w:t xml:space="preserve"> : </w:t>
      </w:r>
      <w:r w:rsidRPr="00026582">
        <w:rPr>
          <w:rFonts w:hint="eastAsia"/>
          <w:spacing w:val="-14"/>
          <w:rtl/>
        </w:rPr>
        <w:t>«</w:t>
      </w:r>
      <w:r w:rsidRPr="00026582">
        <w:rPr>
          <w:rFonts w:hint="cs"/>
          <w:spacing w:val="-14"/>
          <w:rtl/>
        </w:rPr>
        <w:t>وهي : كَفَلَ بما ذاب عليه، أو قضى له، أو بما لزمه له</w:t>
      </w:r>
      <w:r w:rsidRPr="00026582">
        <w:rPr>
          <w:rFonts w:hint="cs"/>
          <w:spacing w:val="-14"/>
          <w:vertAlign w:val="superscript"/>
          <w:rtl/>
        </w:rPr>
        <w:t>(</w:t>
      </w:r>
      <w:r w:rsidRPr="00026582">
        <w:rPr>
          <w:rStyle w:val="a7"/>
          <w:spacing w:val="-14"/>
          <w:rtl/>
        </w:rPr>
        <w:footnoteReference w:id="3849"/>
      </w:r>
      <w:r w:rsidRPr="00026582">
        <w:rPr>
          <w:rFonts w:hint="cs"/>
          <w:spacing w:val="-14"/>
          <w:vertAlign w:val="superscript"/>
          <w:rtl/>
        </w:rPr>
        <w:t xml:space="preserve">) </w:t>
      </w:r>
      <w:r w:rsidRPr="00026582">
        <w:rPr>
          <w:rFonts w:hint="cs"/>
          <w:spacing w:val="-14"/>
          <w:rtl/>
        </w:rPr>
        <w:t>فغاب الأصيل، فبرهن المدّعي على الكفيل أنّ له على الأصل</w:t>
      </w:r>
      <w:r w:rsidRPr="00026582">
        <w:rPr>
          <w:rStyle w:val="a7"/>
          <w:spacing w:val="-14"/>
          <w:rtl/>
        </w:rPr>
        <w:footnoteReference w:id="3850"/>
      </w:r>
      <w:r w:rsidRPr="00026582">
        <w:rPr>
          <w:rFonts w:hint="cs"/>
          <w:spacing w:val="-14"/>
          <w:rtl/>
        </w:rPr>
        <w:t xml:space="preserve"> كذا : رُدّ</w:t>
      </w:r>
      <w:r w:rsidRPr="00026582">
        <w:rPr>
          <w:rFonts w:hint="eastAsia"/>
          <w:spacing w:val="-14"/>
          <w:rtl/>
        </w:rPr>
        <w:t>»</w:t>
      </w:r>
      <w:r w:rsidRPr="00026582">
        <w:rPr>
          <w:rFonts w:hint="cs"/>
          <w:spacing w:val="-14"/>
          <w:rtl/>
        </w:rPr>
        <w:t xml:space="preserve"> على خلاف المسألة التي ذكرنا !!.</w:t>
      </w:r>
    </w:p>
    <w:p w:rsidR="00C10469" w:rsidRDefault="00C10469">
      <w:pPr>
        <w:rPr>
          <w:spacing w:val="8"/>
          <w:rtl/>
        </w:rPr>
      </w:pPr>
      <w:r>
        <w:rPr>
          <w:rFonts w:hint="cs"/>
          <w:b/>
          <w:bCs/>
          <w:spacing w:val="8"/>
          <w:rtl/>
        </w:rPr>
        <w:t>والجواب</w:t>
      </w:r>
      <w:r>
        <w:rPr>
          <w:rFonts w:hint="cs"/>
          <w:spacing w:val="8"/>
          <w:rtl/>
        </w:rPr>
        <w:t xml:space="preserve"> : أن (ما) في هذه الصورة شرطية</w:t>
      </w:r>
      <w:r>
        <w:rPr>
          <w:rFonts w:hint="cs"/>
          <w:spacing w:val="8"/>
          <w:vertAlign w:val="superscript"/>
          <w:rtl/>
        </w:rPr>
        <w:t>(</w:t>
      </w:r>
      <w:r>
        <w:rPr>
          <w:rStyle w:val="a7"/>
          <w:spacing w:val="8"/>
          <w:rtl/>
        </w:rPr>
        <w:footnoteReference w:id="3851"/>
      </w:r>
      <w:r>
        <w:rPr>
          <w:rFonts w:hint="cs"/>
          <w:spacing w:val="8"/>
          <w:vertAlign w:val="superscript"/>
          <w:rtl/>
        </w:rPr>
        <w:t>)</w:t>
      </w:r>
      <w:r>
        <w:rPr>
          <w:rFonts w:hint="cs"/>
          <w:spacing w:val="8"/>
          <w:rtl/>
        </w:rPr>
        <w:t>. معناه</w:t>
      </w:r>
      <w:r>
        <w:rPr>
          <w:rFonts w:hint="cs"/>
          <w:spacing w:val="8"/>
          <w:vertAlign w:val="superscript"/>
          <w:rtl/>
        </w:rPr>
        <w:t>(</w:t>
      </w:r>
      <w:r>
        <w:rPr>
          <w:rStyle w:val="a7"/>
          <w:spacing w:val="8"/>
          <w:rtl/>
        </w:rPr>
        <w:footnoteReference w:id="3852"/>
      </w:r>
      <w:r>
        <w:rPr>
          <w:rFonts w:hint="cs"/>
          <w:spacing w:val="8"/>
          <w:vertAlign w:val="superscript"/>
          <w:rtl/>
        </w:rPr>
        <w:t>)</w:t>
      </w:r>
      <w:r>
        <w:rPr>
          <w:rFonts w:hint="cs"/>
          <w:spacing w:val="8"/>
          <w:rtl/>
        </w:rPr>
        <w:t xml:space="preserve"> : إنْ ثبتَ الدينُ </w:t>
      </w:r>
      <w:r>
        <w:rPr>
          <w:rFonts w:hint="cs"/>
          <w:spacing w:val="8"/>
          <w:rtl/>
        </w:rPr>
        <w:lastRenderedPageBreak/>
        <w:t>عليه فأنا ضامن. وهذا شرط ملائم للكفالة</w:t>
      </w:r>
      <w:r>
        <w:rPr>
          <w:rStyle w:val="a7"/>
          <w:spacing w:val="8"/>
          <w:rtl/>
        </w:rPr>
        <w:footnoteReference w:id="3853"/>
      </w:r>
      <w:r>
        <w:rPr>
          <w:rFonts w:hint="cs"/>
          <w:spacing w:val="8"/>
          <w:rtl/>
        </w:rPr>
        <w:t>، [فتتوقَّف]</w:t>
      </w:r>
      <w:r>
        <w:rPr>
          <w:rStyle w:val="a7"/>
          <w:spacing w:val="8"/>
          <w:rtl/>
        </w:rPr>
        <w:footnoteReference w:id="3854"/>
      </w:r>
      <w:r>
        <w:rPr>
          <w:rFonts w:hint="cs"/>
          <w:spacing w:val="8"/>
          <w:rtl/>
        </w:rPr>
        <w:t xml:space="preserve"> الكفالة على وجود الشرط (وهو الحكم عليه بوجوب الدّين)، ولم يوجد</w:t>
      </w:r>
      <w:r>
        <w:rPr>
          <w:rStyle w:val="a7"/>
          <w:spacing w:val="8"/>
          <w:rtl/>
        </w:rPr>
        <w:footnoteReference w:id="3855"/>
      </w:r>
      <w:r>
        <w:rPr>
          <w:rFonts w:hint="cs"/>
          <w:spacing w:val="8"/>
          <w:rtl/>
        </w:rPr>
        <w:t>؛ لأن الحكم على الغائب لا يجوز، حتى إذا قال المدعي : حكم عليه قاضٍ من القضاة</w:t>
      </w:r>
      <w:r>
        <w:rPr>
          <w:rFonts w:hint="cs"/>
          <w:spacing w:val="8"/>
          <w:vertAlign w:val="superscript"/>
          <w:rtl/>
        </w:rPr>
        <w:t>(</w:t>
      </w:r>
      <w:r>
        <w:rPr>
          <w:rStyle w:val="a7"/>
          <w:spacing w:val="8"/>
          <w:rtl/>
        </w:rPr>
        <w:footnoteReference w:id="3856"/>
      </w:r>
      <w:r>
        <w:rPr>
          <w:rFonts w:hint="cs"/>
          <w:spacing w:val="8"/>
          <w:vertAlign w:val="superscript"/>
          <w:rtl/>
        </w:rPr>
        <w:t>)</w:t>
      </w:r>
      <w:r>
        <w:rPr>
          <w:rFonts w:hint="cs"/>
          <w:spacing w:val="8"/>
          <w:rtl/>
        </w:rPr>
        <w:t xml:space="preserve"> : تقبل بيّنته؛ لوجود الشرط، [فتصحّ]</w:t>
      </w:r>
      <w:r>
        <w:rPr>
          <w:rStyle w:val="a7"/>
          <w:spacing w:val="8"/>
          <w:rtl/>
        </w:rPr>
        <w:footnoteReference w:id="3857"/>
      </w:r>
      <w:r>
        <w:rPr>
          <w:rFonts w:hint="cs"/>
          <w:spacing w:val="8"/>
          <w:rtl/>
        </w:rPr>
        <w:t xml:space="preserve"> الكفالة، ويحكم على الكفيل.</w:t>
      </w:r>
    </w:p>
    <w:p w:rsidR="00C10469" w:rsidRDefault="00C10469" w:rsidP="00C10469">
      <w:pPr>
        <w:jc w:val="center"/>
        <w:rPr>
          <w:rFonts w:ascii="AGA Arabesque" w:hAnsi="AGA Arabesque"/>
          <w:sz w:val="50"/>
          <w:szCs w:val="50"/>
          <w:rtl/>
        </w:rPr>
        <w:sectPr w:rsidR="00C10469" w:rsidSect="00C10469">
          <w:headerReference w:type="default" r:id="rId23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041A31" w:rsidRDefault="00C10469">
      <w:pPr>
        <w:pStyle w:val="a9"/>
        <w:rPr>
          <w:rFonts w:cs="AL-Mateen"/>
          <w:rtl/>
        </w:rPr>
      </w:pPr>
      <w:r w:rsidRPr="00041A31">
        <w:rPr>
          <w:rFonts w:cs="AL-Mateen" w:hint="cs"/>
          <w:rtl/>
        </w:rPr>
        <w:lastRenderedPageBreak/>
        <w:t>[ الـقـاعـدة الـثـالـثـة والـثـمـانـون بـعـد الـمـائـة ]</w:t>
      </w:r>
    </w:p>
    <w:p w:rsidR="00C10469" w:rsidRDefault="00C10469">
      <w:pPr>
        <w:rPr>
          <w:spacing w:val="6"/>
          <w:rtl/>
        </w:rPr>
      </w:pPr>
      <w:r>
        <w:rPr>
          <w:rFonts w:cs="Monotype Koufi" w:hint="cs"/>
          <w:rtl/>
        </w:rPr>
        <w:t>القَوْلُ قَوْلُ القَابِضِ</w:t>
      </w:r>
      <w:r>
        <w:rPr>
          <w:rFonts w:hint="cs"/>
          <w:spacing w:val="6"/>
          <w:vertAlign w:val="superscript"/>
          <w:rtl/>
        </w:rPr>
        <w:t>(</w:t>
      </w:r>
      <w:r>
        <w:rPr>
          <w:rStyle w:val="a7"/>
          <w:spacing w:val="6"/>
          <w:rtl/>
        </w:rPr>
        <w:footnoteReference w:id="3858"/>
      </w:r>
      <w:r>
        <w:rPr>
          <w:rFonts w:hint="cs"/>
          <w:spacing w:val="6"/>
          <w:vertAlign w:val="superscript"/>
          <w:rtl/>
        </w:rPr>
        <w:t>)</w:t>
      </w:r>
      <w:r>
        <w:rPr>
          <w:rFonts w:hint="cs"/>
          <w:spacing w:val="6"/>
          <w:rtl/>
        </w:rPr>
        <w:t xml:space="preserve"> :</w:t>
      </w:r>
    </w:p>
    <w:p w:rsidR="00C10469" w:rsidRDefault="00C10469">
      <w:pPr>
        <w:rPr>
          <w:spacing w:val="6"/>
          <w:rtl/>
        </w:rPr>
      </w:pPr>
      <w:r>
        <w:rPr>
          <w:rFonts w:hint="cs"/>
          <w:spacing w:val="6"/>
          <w:rtl/>
        </w:rPr>
        <w:t xml:space="preserve">سواء كان </w:t>
      </w:r>
      <w:r>
        <w:rPr>
          <w:rFonts w:hint="cs"/>
          <w:rtl/>
        </w:rPr>
        <w:t>القابض ضَمينًا</w:t>
      </w:r>
      <w:r>
        <w:rPr>
          <w:rFonts w:hint="cs"/>
          <w:spacing w:val="6"/>
          <w:rtl/>
        </w:rPr>
        <w:t xml:space="preserve"> (كالغاصب) أو أمينًا (كالمُودع).</w:t>
      </w:r>
    </w:p>
    <w:p w:rsidR="00C10469" w:rsidRDefault="00C10469">
      <w:pPr>
        <w:rPr>
          <w:spacing w:val="6"/>
          <w:rtl/>
        </w:rPr>
      </w:pPr>
      <w:r>
        <w:rPr>
          <w:rFonts w:hint="cs"/>
          <w:spacing w:val="6"/>
          <w:rtl/>
        </w:rPr>
        <w:t>فإذا وقع الاختلاف في مقدار المغصوب، أو الوديعة : فالقول قول الغاصب والمودَع</w:t>
      </w:r>
      <w:r>
        <w:rPr>
          <w:rFonts w:hint="cs"/>
          <w:spacing w:val="6"/>
          <w:vertAlign w:val="superscript"/>
          <w:rtl/>
        </w:rPr>
        <w:t>(</w:t>
      </w:r>
      <w:r>
        <w:rPr>
          <w:rStyle w:val="a7"/>
          <w:spacing w:val="6"/>
          <w:rtl/>
        </w:rPr>
        <w:footnoteReference w:id="3859"/>
      </w:r>
      <w:r>
        <w:rPr>
          <w:rFonts w:hint="cs"/>
          <w:spacing w:val="6"/>
          <w:vertAlign w:val="superscript"/>
          <w:rtl/>
        </w:rPr>
        <w:t>)</w:t>
      </w:r>
      <w:r>
        <w:rPr>
          <w:rFonts w:hint="cs"/>
          <w:spacing w:val="6"/>
          <w:rtl/>
        </w:rPr>
        <w:t>.</w:t>
      </w:r>
    </w:p>
    <w:p w:rsidR="00C10469" w:rsidRDefault="00C10469">
      <w:pPr>
        <w:rPr>
          <w:spacing w:val="6"/>
          <w:rtl/>
        </w:rPr>
      </w:pPr>
      <w:r>
        <w:rPr>
          <w:rFonts w:hint="cs"/>
          <w:spacing w:val="6"/>
          <w:rtl/>
        </w:rPr>
        <w:t>ومن فروع هذا الأصل : اشترى زيتًا في زِقٍّ</w:t>
      </w:r>
      <w:r>
        <w:rPr>
          <w:rFonts w:hint="cs"/>
          <w:spacing w:val="6"/>
          <w:vertAlign w:val="superscript"/>
          <w:rtl/>
        </w:rPr>
        <w:t>(</w:t>
      </w:r>
      <w:r>
        <w:rPr>
          <w:rStyle w:val="a7"/>
          <w:spacing w:val="6"/>
          <w:rtl/>
        </w:rPr>
        <w:footnoteReference w:id="3860"/>
      </w:r>
      <w:r>
        <w:rPr>
          <w:rFonts w:hint="cs"/>
          <w:spacing w:val="6"/>
          <w:vertAlign w:val="superscript"/>
          <w:rtl/>
        </w:rPr>
        <w:t>)</w:t>
      </w:r>
      <w:r>
        <w:rPr>
          <w:rFonts w:hint="cs"/>
          <w:spacing w:val="6"/>
          <w:rtl/>
        </w:rPr>
        <w:t xml:space="preserve"> على أن يوزن الزِّقُّ ويُطرح وزنه، فردَّ المشتري الزقَّ، فوُزن وجاء عشرة أرطال، فقال البائع : الزّق غير هذا وهو خمسة أرطال : فالقول قول المشتري؛ لأن هذا الاختلاف:</w:t>
      </w:r>
    </w:p>
    <w:p w:rsidR="00C10469" w:rsidRDefault="00C10469" w:rsidP="00C10469">
      <w:pPr>
        <w:ind w:left="848" w:hanging="281"/>
        <w:rPr>
          <w:spacing w:val="8"/>
          <w:rtl/>
        </w:rPr>
      </w:pPr>
      <w:r>
        <w:rPr>
          <w:spacing w:val="8"/>
          <w:rtl/>
        </w:rPr>
        <w:t>•</w:t>
      </w:r>
      <w:r>
        <w:rPr>
          <w:rFonts w:hint="cs"/>
          <w:spacing w:val="8"/>
          <w:rtl/>
        </w:rPr>
        <w:t xml:space="preserve">  إن اعتبر في الزّق المقبوض فالمشتري قابض، والقول قوله على مقتضى </w:t>
      </w:r>
      <w:r>
        <w:rPr>
          <w:rFonts w:hint="cs"/>
          <w:spacing w:val="8"/>
          <w:rtl/>
        </w:rPr>
        <w:lastRenderedPageBreak/>
        <w:t>هذا الأصل.</w:t>
      </w:r>
    </w:p>
    <w:p w:rsidR="00C10469" w:rsidRDefault="00C10469" w:rsidP="00C10469">
      <w:pPr>
        <w:ind w:left="848" w:hanging="281"/>
        <w:rPr>
          <w:spacing w:val="8"/>
          <w:rtl/>
        </w:rPr>
      </w:pPr>
      <w:r>
        <w:rPr>
          <w:spacing w:val="8"/>
          <w:rtl/>
        </w:rPr>
        <w:t>•</w:t>
      </w:r>
      <w:r>
        <w:rPr>
          <w:rFonts w:hint="cs"/>
          <w:spacing w:val="8"/>
          <w:rtl/>
        </w:rPr>
        <w:t xml:space="preserve">  وإن اعتبر الاختلاف في مقدار الزّيت، فهو في الحقيقة اختلاف في مقدار الثمن، فيكون القول أيضًا للمشتري؛ لأنه ينكر الزيادة، والقول قول المنكر مع يمينه</w:t>
      </w:r>
      <w:r>
        <w:rPr>
          <w:rFonts w:hint="cs"/>
          <w:spacing w:val="8"/>
          <w:vertAlign w:val="superscript"/>
          <w:rtl/>
        </w:rPr>
        <w:t>(</w:t>
      </w:r>
      <w:r>
        <w:rPr>
          <w:rStyle w:val="a7"/>
          <w:spacing w:val="8"/>
          <w:rtl/>
        </w:rPr>
        <w:footnoteReference w:id="3861"/>
      </w:r>
      <w:r>
        <w:rPr>
          <w:rFonts w:hint="cs"/>
          <w:spacing w:val="8"/>
          <w:vertAlign w:val="superscript"/>
          <w:rtl/>
        </w:rPr>
        <w:t>)</w:t>
      </w:r>
      <w:r>
        <w:rPr>
          <w:rFonts w:hint="cs"/>
          <w:spacing w:val="8"/>
          <w:rtl/>
        </w:rPr>
        <w:t>.</w:t>
      </w:r>
    </w:p>
    <w:p w:rsidR="00C10469" w:rsidRDefault="00C10469">
      <w:pPr>
        <w:rPr>
          <w:spacing w:val="-8"/>
          <w:rtl/>
        </w:rPr>
      </w:pPr>
      <w:r>
        <w:rPr>
          <w:rFonts w:hint="cs"/>
          <w:b/>
          <w:bCs/>
          <w:spacing w:val="6"/>
          <w:rtl/>
        </w:rPr>
        <w:t>ويرد على هذا</w:t>
      </w:r>
      <w:r>
        <w:rPr>
          <w:rFonts w:hint="cs"/>
          <w:spacing w:val="6"/>
          <w:rtl/>
        </w:rPr>
        <w:t xml:space="preserve"> : </w:t>
      </w:r>
      <w:r>
        <w:rPr>
          <w:rFonts w:hint="eastAsia"/>
          <w:spacing w:val="-8"/>
          <w:rtl/>
        </w:rPr>
        <w:t>«</w:t>
      </w:r>
      <w:r>
        <w:rPr>
          <w:rFonts w:hint="cs"/>
          <w:spacing w:val="-8"/>
          <w:rtl/>
        </w:rPr>
        <w:t>أن الاختلاف في الثمن يوجب التحالف، لا التحليف</w:t>
      </w:r>
      <w:r>
        <w:rPr>
          <w:rFonts w:hint="cs"/>
          <w:spacing w:val="-8"/>
          <w:vertAlign w:val="superscript"/>
          <w:rtl/>
        </w:rPr>
        <w:t>(</w:t>
      </w:r>
      <w:r>
        <w:rPr>
          <w:rStyle w:val="a7"/>
          <w:spacing w:val="-8"/>
          <w:rtl/>
        </w:rPr>
        <w:footnoteReference w:id="3862"/>
      </w:r>
      <w:r>
        <w:rPr>
          <w:rFonts w:hint="cs"/>
          <w:spacing w:val="-8"/>
          <w:vertAlign w:val="superscript"/>
          <w:rtl/>
        </w:rPr>
        <w:t>)</w:t>
      </w:r>
      <w:r>
        <w:rPr>
          <w:rFonts w:hint="cs"/>
          <w:spacing w:val="-8"/>
          <w:rtl/>
        </w:rPr>
        <w:t>!.</w:t>
      </w:r>
    </w:p>
    <w:p w:rsidR="00C10469" w:rsidRDefault="00C10469">
      <w:pPr>
        <w:rPr>
          <w:rtl/>
        </w:rPr>
      </w:pPr>
      <w:r>
        <w:rPr>
          <w:rFonts w:hint="cs"/>
          <w:b/>
          <w:bCs/>
          <w:rtl/>
        </w:rPr>
        <w:t>وأجيب</w:t>
      </w:r>
      <w:r>
        <w:rPr>
          <w:rFonts w:hint="cs"/>
          <w:rtl/>
        </w:rPr>
        <w:t xml:space="preserve"> : بأنه يوجبه</w:t>
      </w:r>
      <w:r>
        <w:rPr>
          <w:rStyle w:val="a7"/>
          <w:rtl/>
        </w:rPr>
        <w:footnoteReference w:id="3863"/>
      </w:r>
      <w:r>
        <w:rPr>
          <w:rFonts w:hint="cs"/>
          <w:rtl/>
        </w:rPr>
        <w:t xml:space="preserve"> إذا كان قصدًا، وهذا ضمني؛ لوقوعه في ضمن الاختلاف في الزّقّ. والفقه</w:t>
      </w:r>
      <w:r>
        <w:rPr>
          <w:rFonts w:hint="cs"/>
          <w:vertAlign w:val="superscript"/>
          <w:rtl/>
        </w:rPr>
        <w:t>(</w:t>
      </w:r>
      <w:r>
        <w:rPr>
          <w:rStyle w:val="a7"/>
          <w:rtl/>
        </w:rPr>
        <w:footnoteReference w:id="3864"/>
      </w:r>
      <w:r>
        <w:rPr>
          <w:rFonts w:hint="cs"/>
          <w:vertAlign w:val="superscript"/>
          <w:rtl/>
        </w:rPr>
        <w:t>)</w:t>
      </w:r>
      <w:r>
        <w:rPr>
          <w:rFonts w:hint="cs"/>
          <w:rtl/>
        </w:rPr>
        <w:t xml:space="preserve"> فيه أن الاختلاف الابتدائي في الثمن إنما يوجب التحالف ضرورةَ أنَّ كلَّ  واحدٍ منهما [مدَّعٍ]</w:t>
      </w:r>
      <w:r>
        <w:rPr>
          <w:rStyle w:val="a7"/>
          <w:rtl/>
        </w:rPr>
        <w:footnoteReference w:id="3865"/>
      </w:r>
      <w:r>
        <w:rPr>
          <w:rFonts w:hint="cs"/>
          <w:rtl/>
        </w:rPr>
        <w:t xml:space="preserve"> عقدًا آخر.</w:t>
      </w:r>
    </w:p>
    <w:p w:rsidR="00C10469" w:rsidRDefault="00C10469">
      <w:pPr>
        <w:rPr>
          <w:rtl/>
        </w:rPr>
        <w:sectPr w:rsidR="00C10469" w:rsidSect="00C10469">
          <w:headerReference w:type="default" r:id="rId238"/>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t>وأما الاختلاف بـناء على اختلافـهما فـي الزق، فلا يوجب الاختلاف في العقد</w:t>
      </w:r>
      <w:r>
        <w:rPr>
          <w:rFonts w:hint="eastAsia"/>
          <w:rtl/>
        </w:rPr>
        <w:t>»</w:t>
      </w:r>
      <w:r>
        <w:rPr>
          <w:rFonts w:hint="cs"/>
          <w:vertAlign w:val="superscript"/>
          <w:rtl/>
        </w:rPr>
        <w:t>(</w:t>
      </w:r>
      <w:r>
        <w:rPr>
          <w:rStyle w:val="a7"/>
          <w:rtl/>
        </w:rPr>
        <w:footnoteReference w:id="3866"/>
      </w:r>
      <w:r>
        <w:rPr>
          <w:rFonts w:hint="cs"/>
          <w:vertAlign w:val="superscript"/>
          <w:rtl/>
        </w:rPr>
        <w:t>)</w:t>
      </w:r>
      <w:r>
        <w:rPr>
          <w:rFonts w:hint="cs"/>
          <w:rtl/>
        </w:rPr>
        <w:t>؛ لأن الاخـتلاف في</w:t>
      </w:r>
      <w:r>
        <w:rPr>
          <w:rStyle w:val="a7"/>
          <w:rtl/>
        </w:rPr>
        <w:footnoteReference w:id="3867"/>
      </w:r>
      <w:r>
        <w:rPr>
          <w:rFonts w:hint="cs"/>
          <w:rtl/>
        </w:rPr>
        <w:t xml:space="preserve"> الـزق ليس بـمقصود به، ولا مـعقود عليه؛  </w:t>
      </w:r>
      <w:r>
        <w:rPr>
          <w:rFonts w:hint="cs"/>
          <w:rtl/>
        </w:rPr>
        <w:lastRenderedPageBreak/>
        <w:t>[فكان]</w:t>
      </w:r>
      <w:r>
        <w:rPr>
          <w:rStyle w:val="a7"/>
          <w:rtl/>
        </w:rPr>
        <w:footnoteReference w:id="3868"/>
      </w:r>
      <w:r>
        <w:rPr>
          <w:rFonts w:hint="cs"/>
          <w:rtl/>
        </w:rPr>
        <w:t xml:space="preserve"> الاختلاف فيما يثبت تبعًا؛ لأن حكم التـبع</w:t>
      </w:r>
      <w:r>
        <w:rPr>
          <w:rStyle w:val="a7"/>
          <w:rtl/>
        </w:rPr>
        <w:footnoteReference w:id="3869"/>
      </w:r>
      <w:r>
        <w:rPr>
          <w:rFonts w:hint="cs"/>
          <w:rtl/>
        </w:rPr>
        <w:t xml:space="preserve"> لا يخالف حكم الأصل</w:t>
      </w:r>
      <w:r>
        <w:rPr>
          <w:rStyle w:val="a7"/>
          <w:rtl/>
        </w:rPr>
        <w:footnoteReference w:id="3870"/>
      </w:r>
      <w:r>
        <w:rPr>
          <w:rFonts w:hint="cs"/>
          <w:rtl/>
        </w:rPr>
        <w:t>.</w:t>
      </w:r>
    </w:p>
    <w:p w:rsidR="00C10469" w:rsidRPr="00544919" w:rsidRDefault="00C10469">
      <w:pPr>
        <w:pStyle w:val="a9"/>
        <w:rPr>
          <w:rFonts w:cs="AL-Mateen"/>
          <w:rtl/>
          <w:lang w:val="en-US"/>
        </w:rPr>
      </w:pPr>
      <w:r w:rsidRPr="00544919">
        <w:rPr>
          <w:rFonts w:cs="AL-Mateen" w:hint="cs"/>
          <w:rtl/>
          <w:lang w:val="en-US"/>
        </w:rPr>
        <w:lastRenderedPageBreak/>
        <w:t>[ الـقـاعـدة الـرابـعـة والـثـمـانـون بـعـد الـمـائـة ]</w:t>
      </w:r>
    </w:p>
    <w:p w:rsidR="00C10469" w:rsidRDefault="00C10469">
      <w:pPr>
        <w:rPr>
          <w:spacing w:val="6"/>
          <w:rtl/>
        </w:rPr>
      </w:pPr>
      <w:r>
        <w:rPr>
          <w:rFonts w:cs="Monotype Koufi" w:hint="cs"/>
          <w:rtl/>
        </w:rPr>
        <w:t>الكِتَابُ مِنَ الغَائِبِ كَالخِطَابِ مِنَ الحَاضِرِ</w:t>
      </w:r>
      <w:r>
        <w:rPr>
          <w:rFonts w:hint="cs"/>
          <w:spacing w:val="6"/>
          <w:vertAlign w:val="superscript"/>
          <w:rtl/>
        </w:rPr>
        <w:t>(</w:t>
      </w:r>
      <w:r>
        <w:rPr>
          <w:rStyle w:val="a7"/>
          <w:spacing w:val="6"/>
          <w:rtl/>
        </w:rPr>
        <w:footnoteReference w:id="3871"/>
      </w:r>
      <w:r>
        <w:rPr>
          <w:rFonts w:hint="cs"/>
          <w:spacing w:val="6"/>
          <w:vertAlign w:val="superscript"/>
          <w:rtl/>
        </w:rPr>
        <w:t>)</w:t>
      </w:r>
      <w:r>
        <w:rPr>
          <w:rFonts w:hint="cs"/>
          <w:spacing w:val="6"/>
          <w:rtl/>
        </w:rPr>
        <w:t xml:space="preserve"> :</w:t>
      </w:r>
    </w:p>
    <w:p w:rsidR="00C10469" w:rsidRDefault="00C10469">
      <w:pPr>
        <w:rPr>
          <w:spacing w:val="-4"/>
          <w:rtl/>
        </w:rPr>
      </w:pPr>
      <w:r>
        <w:rPr>
          <w:rFonts w:hint="cs"/>
          <w:spacing w:val="-4"/>
          <w:rtl/>
        </w:rPr>
        <w:t xml:space="preserve">فإذا كتـب </w:t>
      </w:r>
      <w:r>
        <w:rPr>
          <w:rFonts w:hint="cs"/>
          <w:rtl/>
        </w:rPr>
        <w:t>البـائـع -</w:t>
      </w:r>
      <w:r>
        <w:rPr>
          <w:rFonts w:hint="cs"/>
          <w:spacing w:val="-4"/>
          <w:rtl/>
        </w:rPr>
        <w:t xml:space="preserve"> بعد العنـوان</w:t>
      </w:r>
      <w:r>
        <w:rPr>
          <w:rFonts w:hint="cs"/>
          <w:spacing w:val="-4"/>
          <w:vertAlign w:val="superscript"/>
          <w:rtl/>
        </w:rPr>
        <w:t>(</w:t>
      </w:r>
      <w:r>
        <w:rPr>
          <w:rStyle w:val="a7"/>
          <w:spacing w:val="-4"/>
          <w:rtl/>
        </w:rPr>
        <w:footnoteReference w:id="3872"/>
      </w:r>
      <w:r>
        <w:rPr>
          <w:rFonts w:hint="cs"/>
          <w:spacing w:val="-4"/>
          <w:vertAlign w:val="superscript"/>
          <w:rtl/>
        </w:rPr>
        <w:t>)</w:t>
      </w:r>
      <w:r>
        <w:rPr>
          <w:rFonts w:hint="cs"/>
          <w:spacing w:val="-4"/>
          <w:rtl/>
        </w:rPr>
        <w:t xml:space="preserve">- : </w:t>
      </w:r>
      <w:r>
        <w:rPr>
          <w:rFonts w:hint="eastAsia"/>
          <w:spacing w:val="-4"/>
          <w:rtl/>
        </w:rPr>
        <w:t>«</w:t>
      </w:r>
      <w:r>
        <w:rPr>
          <w:rFonts w:hint="cs"/>
          <w:spacing w:val="-4"/>
          <w:rtl/>
        </w:rPr>
        <w:t xml:space="preserve"> أمـا بـعـد : فـقـد بعتك</w:t>
      </w:r>
    </w:p>
    <w:p w:rsidR="00C10469" w:rsidRDefault="00C10469">
      <w:pPr>
        <w:ind w:firstLine="0"/>
        <w:rPr>
          <w:spacing w:val="-8"/>
          <w:rtl/>
        </w:rPr>
      </w:pPr>
      <w:r>
        <w:rPr>
          <w:rFonts w:hint="cs"/>
          <w:spacing w:val="-4"/>
          <w:rtl/>
        </w:rPr>
        <w:lastRenderedPageBreak/>
        <w:t xml:space="preserve"> عبـدي</w:t>
      </w:r>
      <w:r>
        <w:rPr>
          <w:rStyle w:val="a7"/>
          <w:spacing w:val="-4"/>
          <w:rtl/>
        </w:rPr>
        <w:footnoteReference w:id="3873"/>
      </w:r>
      <w:r>
        <w:rPr>
          <w:rFonts w:hint="cs"/>
          <w:spacing w:val="-4"/>
          <w:rtl/>
        </w:rPr>
        <w:t xml:space="preserve"> فلانًا بكذا</w:t>
      </w:r>
      <w:r>
        <w:rPr>
          <w:rFonts w:hint="eastAsia"/>
          <w:spacing w:val="-4"/>
          <w:rtl/>
        </w:rPr>
        <w:t>»</w:t>
      </w:r>
      <w:r>
        <w:rPr>
          <w:rFonts w:hint="cs"/>
          <w:spacing w:val="-4"/>
          <w:rtl/>
        </w:rPr>
        <w:t>.</w:t>
      </w:r>
      <w:r>
        <w:rPr>
          <w:rFonts w:hint="cs"/>
          <w:spacing w:val="-8"/>
          <w:rtl/>
        </w:rPr>
        <w:t xml:space="preserve"> فوصل الكتاب إلى [المكتوب]</w:t>
      </w:r>
      <w:r>
        <w:rPr>
          <w:rStyle w:val="a7"/>
          <w:spacing w:val="-8"/>
          <w:rtl/>
        </w:rPr>
        <w:footnoteReference w:id="3874"/>
      </w:r>
      <w:r>
        <w:rPr>
          <w:rFonts w:hint="cs"/>
          <w:spacing w:val="-8"/>
          <w:rtl/>
        </w:rPr>
        <w:t xml:space="preserve"> إليه، فقال في مجلس بلوغ الكتاب-: اشتريتُه، أو قبلته : تمّ البيع على مقتضى</w:t>
      </w:r>
      <w:r>
        <w:rPr>
          <w:rStyle w:val="a7"/>
          <w:spacing w:val="-8"/>
          <w:rtl/>
        </w:rPr>
        <w:footnoteReference w:id="3875"/>
      </w:r>
      <w:r>
        <w:rPr>
          <w:rFonts w:hint="cs"/>
          <w:spacing w:val="-8"/>
          <w:rtl/>
        </w:rPr>
        <w:t xml:space="preserve"> هذا الأصل</w:t>
      </w:r>
      <w:r>
        <w:rPr>
          <w:rFonts w:hint="cs"/>
          <w:spacing w:val="-8"/>
          <w:vertAlign w:val="superscript"/>
          <w:rtl/>
        </w:rPr>
        <w:t>(</w:t>
      </w:r>
      <w:r>
        <w:rPr>
          <w:rStyle w:val="a7"/>
          <w:spacing w:val="-8"/>
          <w:rtl/>
        </w:rPr>
        <w:footnoteReference w:id="3876"/>
      </w:r>
      <w:r>
        <w:rPr>
          <w:rFonts w:hint="cs"/>
          <w:spacing w:val="-8"/>
          <w:vertAlign w:val="superscript"/>
          <w:rtl/>
        </w:rPr>
        <w:t>)</w:t>
      </w:r>
      <w:r>
        <w:rPr>
          <w:rFonts w:hint="cs"/>
          <w:spacing w:val="-8"/>
          <w:rtl/>
        </w:rPr>
        <w:t>.</w:t>
      </w:r>
    </w:p>
    <w:p w:rsidR="00C10469" w:rsidRDefault="00C10469">
      <w:pPr>
        <w:ind w:firstLine="0"/>
        <w:rPr>
          <w:spacing w:val="-8"/>
          <w:rtl/>
        </w:rPr>
      </w:pPr>
    </w:p>
    <w:p w:rsidR="00C10469" w:rsidRDefault="00C10469">
      <w:pPr>
        <w:ind w:firstLine="0"/>
        <w:rPr>
          <w:spacing w:val="-8"/>
          <w:rtl/>
        </w:rPr>
      </w:pPr>
    </w:p>
    <w:p w:rsidR="00C10469" w:rsidRDefault="00C10469">
      <w:pPr>
        <w:ind w:firstLine="0"/>
        <w:jc w:val="center"/>
        <w:rPr>
          <w:rFonts w:ascii="AGA Arabesque" w:hAnsi="AGA Arabesque"/>
          <w:sz w:val="50"/>
          <w:szCs w:val="50"/>
        </w:rPr>
        <w:sectPr w:rsidR="00C10469" w:rsidSect="00C10469">
          <w:headerReference w:type="default" r:id="rId239"/>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114004" w:rsidRDefault="00C10469">
      <w:pPr>
        <w:pStyle w:val="a9"/>
        <w:rPr>
          <w:rFonts w:cs="AL-Mateen"/>
          <w:spacing w:val="-8"/>
          <w:rtl/>
        </w:rPr>
      </w:pPr>
      <w:r w:rsidRPr="00114004">
        <w:rPr>
          <w:rFonts w:cs="AL-Mateen" w:hint="cs"/>
          <w:rtl/>
          <w:lang w:val="en-US"/>
        </w:rPr>
        <w:lastRenderedPageBreak/>
        <w:t>[ الـقـاعـدة الـخامـسـة والـثـمـانـون بـعـد الـمـائـة ]</w:t>
      </w:r>
    </w:p>
    <w:p w:rsidR="00C10469" w:rsidRDefault="00C10469">
      <w:pPr>
        <w:rPr>
          <w:spacing w:val="-8"/>
          <w:rtl/>
        </w:rPr>
      </w:pPr>
      <w:r>
        <w:rPr>
          <w:rFonts w:cs="Monotype Koufi" w:hint="cs"/>
          <w:rtl/>
        </w:rPr>
        <w:t>كُلُّ كفالةٍ تَنْعَقِدُ غَيْرُ موجِبةٍ للرّدِ لا [تَنْقَلِبُ]</w:t>
      </w:r>
      <w:r>
        <w:rPr>
          <w:rStyle w:val="a7"/>
          <w:spacing w:val="-8"/>
          <w:rtl/>
        </w:rPr>
        <w:footnoteReference w:id="3877"/>
      </w:r>
      <w:r>
        <w:rPr>
          <w:rFonts w:hint="cs"/>
          <w:spacing w:val="-8"/>
          <w:rtl/>
        </w:rPr>
        <w:t xml:space="preserve"> </w:t>
      </w:r>
      <w:r>
        <w:rPr>
          <w:rFonts w:cs="Monotype Koufi" w:hint="cs"/>
          <w:rtl/>
        </w:rPr>
        <w:t>[مُوجِبَةً]</w:t>
      </w:r>
      <w:r>
        <w:rPr>
          <w:rStyle w:val="a7"/>
          <w:spacing w:val="-8"/>
          <w:rtl/>
        </w:rPr>
        <w:footnoteReference w:id="3878"/>
      </w:r>
      <w:r>
        <w:rPr>
          <w:rFonts w:hint="cs"/>
          <w:spacing w:val="-8"/>
          <w:rtl/>
        </w:rPr>
        <w:t xml:space="preserve"> </w:t>
      </w:r>
      <w:r>
        <w:rPr>
          <w:rFonts w:cs="Monotype Koufi" w:hint="cs"/>
          <w:rtl/>
        </w:rPr>
        <w:t>أبدًا</w:t>
      </w:r>
      <w:r>
        <w:rPr>
          <w:rFonts w:hint="cs"/>
          <w:spacing w:val="-8"/>
          <w:vertAlign w:val="superscript"/>
          <w:rtl/>
        </w:rPr>
        <w:t>(</w:t>
      </w:r>
      <w:r>
        <w:rPr>
          <w:rStyle w:val="a7"/>
          <w:spacing w:val="-8"/>
          <w:rtl/>
        </w:rPr>
        <w:footnoteReference w:id="3879"/>
      </w:r>
      <w:r>
        <w:rPr>
          <w:rFonts w:hint="cs"/>
          <w:spacing w:val="-8"/>
          <w:vertAlign w:val="superscript"/>
          <w:rtl/>
        </w:rPr>
        <w:t>)</w:t>
      </w:r>
      <w:r>
        <w:rPr>
          <w:rFonts w:hint="cs"/>
          <w:spacing w:val="-8"/>
          <w:rtl/>
        </w:rPr>
        <w:t>.</w:t>
      </w:r>
    </w:p>
    <w:p w:rsidR="00C10469" w:rsidRDefault="00C10469">
      <w:pPr>
        <w:rPr>
          <w:spacing w:val="-8"/>
          <w:rtl/>
        </w:rPr>
      </w:pPr>
      <w:r>
        <w:rPr>
          <w:rFonts w:hint="cs"/>
          <w:spacing w:val="-8"/>
          <w:rtl/>
        </w:rPr>
        <w:t>فإذا كفل بدون</w:t>
      </w:r>
      <w:r>
        <w:rPr>
          <w:rStyle w:val="a7"/>
          <w:spacing w:val="-8"/>
          <w:rtl/>
        </w:rPr>
        <w:footnoteReference w:id="3880"/>
      </w:r>
      <w:r>
        <w:rPr>
          <w:rFonts w:hint="cs"/>
          <w:spacing w:val="-8"/>
          <w:rtl/>
        </w:rPr>
        <w:t xml:space="preserve"> </w:t>
      </w:r>
      <w:r>
        <w:rPr>
          <w:rFonts w:hint="cs"/>
          <w:rtl/>
        </w:rPr>
        <w:t>أمر المكفول</w:t>
      </w:r>
      <w:r>
        <w:rPr>
          <w:rFonts w:hint="cs"/>
          <w:spacing w:val="-8"/>
          <w:rtl/>
        </w:rPr>
        <w:t xml:space="preserve"> عنه : لا يرجع بما أدّى؛ لأنه متبرع، وإنْ أجاز المكفول عنه بعد العلم</w:t>
      </w:r>
      <w:r>
        <w:rPr>
          <w:rFonts w:hint="cs"/>
          <w:spacing w:val="-8"/>
          <w:vertAlign w:val="superscript"/>
          <w:rtl/>
        </w:rPr>
        <w:t>(</w:t>
      </w:r>
      <w:r>
        <w:rPr>
          <w:rStyle w:val="a7"/>
          <w:spacing w:val="-8"/>
          <w:rtl/>
        </w:rPr>
        <w:footnoteReference w:id="3881"/>
      </w:r>
      <w:r>
        <w:rPr>
          <w:rFonts w:hint="cs"/>
          <w:spacing w:val="-8"/>
          <w:vertAlign w:val="superscript"/>
          <w:rtl/>
        </w:rPr>
        <w:t>)</w:t>
      </w:r>
      <w:r>
        <w:rPr>
          <w:rFonts w:hint="cs"/>
          <w:spacing w:val="-8"/>
          <w:rtl/>
        </w:rPr>
        <w:t>؛ لأن بقاء الحكم (وهو عدم جواز الرجوع) مستغنٍ عن بقاء العلّة -كما مرّ في باب الباء</w:t>
      </w:r>
      <w:r>
        <w:rPr>
          <w:rFonts w:hint="cs"/>
          <w:spacing w:val="-8"/>
          <w:vertAlign w:val="superscript"/>
          <w:rtl/>
        </w:rPr>
        <w:t>(</w:t>
      </w:r>
      <w:r>
        <w:rPr>
          <w:rStyle w:val="a7"/>
          <w:spacing w:val="-8"/>
          <w:rtl/>
        </w:rPr>
        <w:footnoteReference w:id="3882"/>
      </w:r>
      <w:r>
        <w:rPr>
          <w:rFonts w:hint="cs"/>
          <w:spacing w:val="-8"/>
          <w:vertAlign w:val="superscript"/>
          <w:rtl/>
        </w:rPr>
        <w:t>)</w:t>
      </w:r>
      <w:r>
        <w:rPr>
          <w:rFonts w:hint="cs"/>
          <w:spacing w:val="-8"/>
          <w:rtl/>
        </w:rPr>
        <w:t>-.</w:t>
      </w:r>
    </w:p>
    <w:p w:rsidR="00C10469" w:rsidRDefault="00C10469">
      <w:pPr>
        <w:rPr>
          <w:spacing w:val="-8"/>
          <w:rtl/>
        </w:rPr>
      </w:pPr>
    </w:p>
    <w:p w:rsidR="00C10469" w:rsidRDefault="00C10469">
      <w:pPr>
        <w:rPr>
          <w:spacing w:val="-8"/>
          <w:rtl/>
        </w:rPr>
      </w:pPr>
    </w:p>
    <w:p w:rsidR="00C10469" w:rsidRDefault="00C10469">
      <w:pPr>
        <w:jc w:val="center"/>
        <w:rPr>
          <w:spacing w:val="-8"/>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8"/>
          <w:rtl/>
        </w:rPr>
        <w:sectPr w:rsidR="00C10469" w:rsidSect="00C10469">
          <w:headerReference w:type="default" r:id="rId24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75558" w:rsidRDefault="00C10469">
      <w:pPr>
        <w:pStyle w:val="a9"/>
        <w:rPr>
          <w:rFonts w:cs="AL-Mateen"/>
          <w:rtl/>
        </w:rPr>
      </w:pPr>
      <w:r w:rsidRPr="00F75558">
        <w:rPr>
          <w:rFonts w:cs="AL-Mateen" w:hint="cs"/>
          <w:rtl/>
        </w:rPr>
        <w:lastRenderedPageBreak/>
        <w:t>[ الـقـاعـدة الـسـادسـة والـثـمـانـون بـعـد الـمـائـة ]</w:t>
      </w:r>
    </w:p>
    <w:p w:rsidR="00C10469" w:rsidRDefault="00C10469">
      <w:pPr>
        <w:rPr>
          <w:rtl/>
        </w:rPr>
      </w:pPr>
      <w:r>
        <w:rPr>
          <w:rFonts w:cs="Monotype Koufi" w:hint="cs"/>
          <w:rtl/>
        </w:rPr>
        <w:t>ك</w:t>
      </w:r>
      <w:r>
        <w:rPr>
          <w:rFonts w:cs="Monotype Koufi" w:hint="cs"/>
          <w:rtl/>
          <w:lang w:bidi="ar-AE"/>
        </w:rPr>
        <w:t>َ</w:t>
      </w:r>
      <w:r>
        <w:rPr>
          <w:rFonts w:cs="Monotype Koufi" w:hint="cs"/>
          <w:rtl/>
        </w:rPr>
        <w:t>لِمَةُ (كُلٍّ) إِذَا دَخَلَتْ عَلَى النَّكِرَةِ أوجَبَتْ عُمُومَ أَفْرَادِهَا عَلَى سَبِيلِ الشُّمُولِ دُوْنَ التِّكْرَارِ</w:t>
      </w:r>
      <w:r>
        <w:rPr>
          <w:rFonts w:hint="cs"/>
          <w:vertAlign w:val="superscript"/>
          <w:rtl/>
        </w:rPr>
        <w:t>(</w:t>
      </w:r>
      <w:r>
        <w:rPr>
          <w:rStyle w:val="a7"/>
          <w:rtl/>
        </w:rPr>
        <w:footnoteReference w:id="3883"/>
      </w:r>
      <w:r>
        <w:rPr>
          <w:rFonts w:hint="cs"/>
          <w:vertAlign w:val="superscript"/>
          <w:rtl/>
        </w:rPr>
        <w:t>)</w:t>
      </w:r>
      <w:r>
        <w:rPr>
          <w:rFonts w:hint="cs"/>
          <w:rtl/>
        </w:rPr>
        <w:t xml:space="preserve"> :</w:t>
      </w:r>
    </w:p>
    <w:p w:rsidR="00C10469" w:rsidRDefault="00C10469">
      <w:pPr>
        <w:rPr>
          <w:rtl/>
        </w:rPr>
      </w:pPr>
      <w:r>
        <w:rPr>
          <w:rFonts w:hint="cs"/>
          <w:rtl/>
        </w:rPr>
        <w:lastRenderedPageBreak/>
        <w:t xml:space="preserve">فلو </w:t>
      </w:r>
      <w:r>
        <w:rPr>
          <w:rFonts w:hint="eastAsia"/>
          <w:rtl/>
        </w:rPr>
        <w:t>«</w:t>
      </w:r>
      <w:r>
        <w:rPr>
          <w:rFonts w:hint="cs"/>
          <w:rtl/>
        </w:rPr>
        <w:t>قال : كُلُّ امرأةٍ أتزوجها</w:t>
      </w:r>
      <w:r>
        <w:rPr>
          <w:rStyle w:val="a7"/>
          <w:rtl/>
        </w:rPr>
        <w:footnoteReference w:id="3884"/>
      </w:r>
      <w:r>
        <w:rPr>
          <w:rFonts w:hint="cs"/>
          <w:rtl/>
        </w:rPr>
        <w:t xml:space="preserve"> فهي طالق : تطلق كلُّ امرأة يتزوجها على العموم. ولو تزوّج امرأة مرّتين : لم تطلق في المرّة الثانية، ويُجعل كل فرد كأن ليس معه غيرُهُ، ويسمى هذا الكلُّ إفرادِيًّا</w:t>
      </w:r>
      <w:r>
        <w:rPr>
          <w:rFonts w:hint="cs"/>
          <w:vertAlign w:val="superscript"/>
          <w:rtl/>
        </w:rPr>
        <w:t>(</w:t>
      </w:r>
      <w:r>
        <w:rPr>
          <w:rStyle w:val="a7"/>
          <w:rtl/>
        </w:rPr>
        <w:footnoteReference w:id="3885"/>
      </w:r>
      <w:r>
        <w:rPr>
          <w:rFonts w:hint="cs"/>
          <w:vertAlign w:val="superscript"/>
          <w:rtl/>
        </w:rPr>
        <w:t>)</w:t>
      </w:r>
      <w:r>
        <w:rPr>
          <w:rFonts w:hint="cs"/>
          <w:rtl/>
        </w:rPr>
        <w:t>، فلو قال : كل امرأة لي تدخل هذه الدار فهي طالق. وله أربع نسوة، فذَخَلَتْ واحدةٌ : طَلُقَتْ، ولا يُنتظر لوقوع الطلاق عليها دُخُولُ الباقيات؛ لأن كلمة (كلّ) لمّا دخلت على النكرة [أَوْجَبت]</w:t>
      </w:r>
      <w:r>
        <w:rPr>
          <w:rStyle w:val="a7"/>
          <w:rtl/>
        </w:rPr>
        <w:footnoteReference w:id="3886"/>
      </w:r>
      <w:r>
        <w:rPr>
          <w:rFonts w:hint="cs"/>
          <w:rtl/>
        </w:rPr>
        <w:t xml:space="preserve"> عمومَ الأفراد، فصار كأنه قال لكلِّ واحدةٍ : إن دخلتِ هذه الدار، فأنت طالق</w:t>
      </w:r>
      <w:r>
        <w:rPr>
          <w:rFonts w:hint="eastAsia"/>
          <w:rtl/>
        </w:rPr>
        <w:t>»</w:t>
      </w:r>
      <w:r>
        <w:rPr>
          <w:rFonts w:hint="cs"/>
          <w:vertAlign w:val="superscript"/>
          <w:rtl/>
        </w:rPr>
        <w:t>(</w:t>
      </w:r>
      <w:r>
        <w:rPr>
          <w:rStyle w:val="a7"/>
          <w:rtl/>
        </w:rPr>
        <w:footnoteReference w:id="3887"/>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4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BB11C4" w:rsidRDefault="00C10469">
      <w:pPr>
        <w:pStyle w:val="a9"/>
        <w:rPr>
          <w:rFonts w:cs="AL-Mateen"/>
          <w:rtl/>
        </w:rPr>
      </w:pPr>
      <w:r w:rsidRPr="00BB11C4">
        <w:rPr>
          <w:rFonts w:cs="AL-Mateen" w:hint="cs"/>
          <w:rtl/>
        </w:rPr>
        <w:lastRenderedPageBreak/>
        <w:t>[ الـقـاعـدة الـسـابـعـة والـثـمـانـون بـعـد الـمـائـة ]</w:t>
      </w:r>
    </w:p>
    <w:p w:rsidR="00C10469" w:rsidRDefault="00C10469">
      <w:pPr>
        <w:rPr>
          <w:rtl/>
        </w:rPr>
      </w:pPr>
      <w:r>
        <w:rPr>
          <w:rFonts w:cs="Monotype Koufi" w:hint="cs"/>
          <w:rtl/>
        </w:rPr>
        <w:t>ك</w:t>
      </w:r>
      <w:r>
        <w:rPr>
          <w:rFonts w:cs="Monotype Koufi" w:hint="cs"/>
          <w:rtl/>
          <w:lang w:bidi="ar-AE"/>
        </w:rPr>
        <w:t>َ</w:t>
      </w:r>
      <w:r>
        <w:rPr>
          <w:rFonts w:cs="Monotype Koufi" w:hint="cs"/>
          <w:rtl/>
        </w:rPr>
        <w:t>لِمَةُ (كُلٍّ) إِذَا دَخَلَتْ عَلَى المَعْرِفَةِ أوْجَبَتْ عُمُومَ أجْزَائِهِ</w:t>
      </w:r>
      <w:r>
        <w:rPr>
          <w:rFonts w:hint="cs"/>
          <w:vertAlign w:val="superscript"/>
          <w:rtl/>
        </w:rPr>
        <w:t>(</w:t>
      </w:r>
      <w:r>
        <w:rPr>
          <w:rStyle w:val="a7"/>
          <w:rtl/>
        </w:rPr>
        <w:footnoteReference w:id="3888"/>
      </w:r>
      <w:r>
        <w:rPr>
          <w:rFonts w:hint="cs"/>
          <w:vertAlign w:val="superscript"/>
          <w:rtl/>
        </w:rPr>
        <w:t>)</w:t>
      </w:r>
      <w:r>
        <w:rPr>
          <w:rFonts w:hint="cs"/>
          <w:rtl/>
        </w:rPr>
        <w:t xml:space="preserve"> :</w:t>
      </w:r>
    </w:p>
    <w:p w:rsidR="00C10469" w:rsidRDefault="00C10469">
      <w:pPr>
        <w:rPr>
          <w:rtl/>
        </w:rPr>
      </w:pPr>
      <w:r>
        <w:rPr>
          <w:rFonts w:hint="cs"/>
          <w:rtl/>
        </w:rPr>
        <w:t>وسمِّيَ هـذا الـكـل مـجمـوعيًّا</w:t>
      </w:r>
      <w:r>
        <w:rPr>
          <w:rFonts w:hint="cs"/>
          <w:vertAlign w:val="superscript"/>
          <w:rtl/>
        </w:rPr>
        <w:t>(</w:t>
      </w:r>
      <w:r>
        <w:rPr>
          <w:rStyle w:val="a7"/>
          <w:rtl/>
        </w:rPr>
        <w:footnoteReference w:id="3889"/>
      </w:r>
      <w:r>
        <w:rPr>
          <w:rFonts w:hint="cs"/>
          <w:vertAlign w:val="superscript"/>
          <w:rtl/>
        </w:rPr>
        <w:t>)</w:t>
      </w:r>
      <w:r>
        <w:rPr>
          <w:rFonts w:hint="cs"/>
          <w:rtl/>
        </w:rPr>
        <w:t>؛ ولـهذا قـال مـحمد -رحمه الله- في (الجامع)</w:t>
      </w:r>
      <w:r>
        <w:rPr>
          <w:rFonts w:hint="cs"/>
          <w:vertAlign w:val="superscript"/>
          <w:rtl/>
        </w:rPr>
        <w:t>(</w:t>
      </w:r>
      <w:r>
        <w:rPr>
          <w:rStyle w:val="a7"/>
          <w:rtl/>
        </w:rPr>
        <w:footnoteReference w:id="3890"/>
      </w:r>
      <w:r>
        <w:rPr>
          <w:rFonts w:hint="cs"/>
          <w:vertAlign w:val="superscript"/>
          <w:rtl/>
        </w:rPr>
        <w:t>)</w:t>
      </w:r>
      <w:r>
        <w:rPr>
          <w:rFonts w:hint="cs"/>
          <w:rtl/>
        </w:rPr>
        <w:t xml:space="preserve"> : لو قـال أنت طـالق كـل الـتـطلـيـقة: يـقـع</w:t>
      </w:r>
      <w:r>
        <w:rPr>
          <w:rFonts w:hint="cs"/>
          <w:vertAlign w:val="superscript"/>
          <w:rtl/>
        </w:rPr>
        <w:t>(</w:t>
      </w:r>
      <w:r>
        <w:rPr>
          <w:rStyle w:val="a7"/>
          <w:rtl/>
        </w:rPr>
        <w:footnoteReference w:id="3891"/>
      </w:r>
      <w:r>
        <w:rPr>
          <w:rFonts w:hint="cs"/>
          <w:vertAlign w:val="superscript"/>
          <w:rtl/>
        </w:rPr>
        <w:t>)</w:t>
      </w:r>
      <w:r>
        <w:rPr>
          <w:rFonts w:hint="cs"/>
          <w:rtl/>
        </w:rPr>
        <w:t xml:space="preserve"> واحـدة؛ </w:t>
      </w:r>
    </w:p>
    <w:p w:rsidR="00C10469" w:rsidRDefault="00C10469">
      <w:pPr>
        <w:ind w:firstLine="0"/>
        <w:rPr>
          <w:rtl/>
        </w:rPr>
      </w:pPr>
      <w:r>
        <w:rPr>
          <w:rFonts w:hint="cs"/>
          <w:rtl/>
        </w:rPr>
        <w:lastRenderedPageBreak/>
        <w:t>لأنها</w:t>
      </w:r>
      <w:r>
        <w:rPr>
          <w:rFonts w:hint="cs"/>
          <w:vertAlign w:val="superscript"/>
          <w:rtl/>
        </w:rPr>
        <w:t>(</w:t>
      </w:r>
      <w:r>
        <w:rPr>
          <w:rStyle w:val="a7"/>
          <w:rtl/>
        </w:rPr>
        <w:footnoteReference w:id="3892"/>
      </w:r>
      <w:r>
        <w:rPr>
          <w:rFonts w:hint="cs"/>
          <w:vertAlign w:val="superscript"/>
          <w:rtl/>
        </w:rPr>
        <w:t>)</w:t>
      </w:r>
      <w:r>
        <w:rPr>
          <w:rFonts w:hint="cs"/>
          <w:rtl/>
        </w:rPr>
        <w:t xml:space="preserve"> : عـمـوم أجـزائها. ولو قال أنت طالق كل تطليقة : يقع</w:t>
      </w:r>
      <w:r>
        <w:rPr>
          <w:rStyle w:val="a7"/>
          <w:rtl/>
        </w:rPr>
        <w:footnoteReference w:id="3893"/>
      </w:r>
      <w:r>
        <w:rPr>
          <w:rFonts w:hint="cs"/>
          <w:rtl/>
        </w:rPr>
        <w:t xml:space="preserve"> الثلاث؛ لأنها عموم أفرادها</w:t>
      </w:r>
      <w:r>
        <w:rPr>
          <w:rFonts w:hint="cs"/>
          <w:vertAlign w:val="superscript"/>
          <w:rtl/>
        </w:rPr>
        <w:t>(</w:t>
      </w:r>
      <w:r>
        <w:rPr>
          <w:rStyle w:val="a7"/>
          <w:rtl/>
        </w:rPr>
        <w:footnoteReference w:id="3894"/>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AF2460"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4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F4A68" w:rsidRDefault="00C10469">
      <w:pPr>
        <w:pStyle w:val="a9"/>
        <w:rPr>
          <w:rFonts w:cs="AL-Mateen"/>
          <w:rtl/>
          <w:lang w:val="en-US"/>
        </w:rPr>
      </w:pPr>
      <w:r w:rsidRPr="00AF4A68">
        <w:rPr>
          <w:rFonts w:cs="AL-Mateen"/>
          <w:rtl/>
          <w:lang w:val="en-US"/>
        </w:rPr>
        <w:lastRenderedPageBreak/>
        <w:t>[ الـقـاعـدة الـ</w:t>
      </w:r>
      <w:r w:rsidRPr="00AF4A68">
        <w:rPr>
          <w:rFonts w:cs="AL-Mateen" w:hint="cs"/>
          <w:rtl/>
          <w:lang w:val="en-US"/>
        </w:rPr>
        <w:t>ثام</w:t>
      </w:r>
      <w:r w:rsidRPr="00AF4A68">
        <w:rPr>
          <w:rFonts w:cs="AL-Mateen"/>
          <w:rtl/>
          <w:lang w:val="en-US"/>
        </w:rPr>
        <w:t>ـ</w:t>
      </w:r>
      <w:r w:rsidRPr="00AF4A68">
        <w:rPr>
          <w:rFonts w:cs="AL-Mateen" w:hint="cs"/>
          <w:rtl/>
          <w:lang w:val="en-US"/>
        </w:rPr>
        <w:t>ن</w:t>
      </w:r>
      <w:r w:rsidRPr="00AF4A68">
        <w:rPr>
          <w:rFonts w:cs="AL-Mateen"/>
          <w:rtl/>
          <w:lang w:val="en-US"/>
        </w:rPr>
        <w:t xml:space="preserve">ـة </w:t>
      </w:r>
      <w:r w:rsidRPr="00AF4A68">
        <w:rPr>
          <w:rFonts w:cs="AL-Mateen" w:hint="eastAsia"/>
          <w:rtl/>
          <w:lang w:val="en-US"/>
        </w:rPr>
        <w:t>والـثـمـانـون</w:t>
      </w:r>
      <w:r w:rsidRPr="00AF4A68">
        <w:rPr>
          <w:rFonts w:cs="AL-Mateen"/>
          <w:rtl/>
          <w:lang w:val="en-US"/>
        </w:rPr>
        <w:t xml:space="preserve"> بـعـد الـمـائـة ]</w:t>
      </w:r>
    </w:p>
    <w:p w:rsidR="00C10469" w:rsidRDefault="00C10469">
      <w:pPr>
        <w:rPr>
          <w:rtl/>
        </w:rPr>
      </w:pPr>
      <w:r>
        <w:rPr>
          <w:rFonts w:cs="Monotype Koufi" w:hint="cs"/>
          <w:rtl/>
        </w:rPr>
        <w:t>ك</w:t>
      </w:r>
      <w:r>
        <w:rPr>
          <w:rFonts w:cs="Monotype Koufi" w:hint="cs"/>
          <w:rtl/>
          <w:lang w:bidi="ar-AE"/>
        </w:rPr>
        <w:t>ُ</w:t>
      </w:r>
      <w:r>
        <w:rPr>
          <w:rFonts w:cs="Monotype Koufi" w:hint="cs"/>
          <w:rtl/>
        </w:rPr>
        <w:t>لُّ شرطٍ يغيِّرُ حكمَ الشَّرْعِ يَكُونُ باطِلاً</w:t>
      </w:r>
      <w:r>
        <w:rPr>
          <w:rFonts w:hint="cs"/>
          <w:vertAlign w:val="superscript"/>
          <w:rtl/>
        </w:rPr>
        <w:t>(</w:t>
      </w:r>
      <w:r>
        <w:rPr>
          <w:rStyle w:val="a7"/>
          <w:rtl/>
        </w:rPr>
        <w:footnoteReference w:id="3895"/>
      </w:r>
      <w:r>
        <w:rPr>
          <w:rFonts w:hint="cs"/>
          <w:vertAlign w:val="superscript"/>
          <w:rtl/>
        </w:rPr>
        <w:t>)</w:t>
      </w:r>
      <w:r>
        <w:rPr>
          <w:rFonts w:hint="cs"/>
          <w:rtl/>
        </w:rPr>
        <w:t xml:space="preserve"> :</w:t>
      </w:r>
    </w:p>
    <w:p w:rsidR="00C10469" w:rsidRDefault="00C10469">
      <w:pPr>
        <w:rPr>
          <w:rtl/>
        </w:rPr>
      </w:pPr>
      <w:r>
        <w:rPr>
          <w:rFonts w:hint="cs"/>
          <w:b/>
          <w:bCs/>
          <w:rtl/>
        </w:rPr>
        <w:t>ومن فروع هذا الأصل</w:t>
      </w:r>
      <w:r>
        <w:rPr>
          <w:rFonts w:hint="cs"/>
          <w:rtl/>
        </w:rPr>
        <w:t xml:space="preserve"> : شرط الضمان في الوديعة باطل</w:t>
      </w:r>
      <w:r>
        <w:rPr>
          <w:rFonts w:hint="cs"/>
          <w:vertAlign w:val="superscript"/>
          <w:rtl/>
        </w:rPr>
        <w:t>(</w:t>
      </w:r>
      <w:r>
        <w:rPr>
          <w:rStyle w:val="a7"/>
          <w:rtl/>
        </w:rPr>
        <w:footnoteReference w:id="3896"/>
      </w:r>
      <w:r>
        <w:rPr>
          <w:rFonts w:hint="cs"/>
          <w:vertAlign w:val="superscript"/>
          <w:rtl/>
        </w:rPr>
        <w:t>)</w:t>
      </w:r>
      <w:r>
        <w:rPr>
          <w:rFonts w:hint="cs"/>
          <w:rtl/>
        </w:rPr>
        <w:t>.</w:t>
      </w:r>
    </w:p>
    <w:p w:rsidR="00C10469" w:rsidRDefault="00C10469">
      <w:pPr>
        <w:rPr>
          <w:rtl/>
        </w:rPr>
      </w:pPr>
      <w:r>
        <w:rPr>
          <w:rFonts w:hint="cs"/>
          <w:b/>
          <w:bCs/>
          <w:rtl/>
        </w:rPr>
        <w:lastRenderedPageBreak/>
        <w:t>وخرج</w:t>
      </w:r>
      <w:r>
        <w:rPr>
          <w:rFonts w:hint="cs"/>
          <w:rtl/>
        </w:rPr>
        <w:t xml:space="preserve"> عن هذا الأصل : إذا بيع النّعل</w:t>
      </w:r>
      <w:r>
        <w:rPr>
          <w:rStyle w:val="a7"/>
          <w:rtl/>
        </w:rPr>
        <w:footnoteReference w:id="3897"/>
      </w:r>
      <w:r>
        <w:rPr>
          <w:rFonts w:hint="cs"/>
          <w:rtl/>
        </w:rPr>
        <w:t xml:space="preserve"> مع شرط التشريك : جاز، مع أن النبي </w:t>
      </w:r>
      <w:r>
        <w:rPr>
          <w:rFonts w:ascii="AGA Arabesque" w:hAnsi="AGA Arabesque"/>
          <w:spacing w:val="-8"/>
          <w:sz w:val="36"/>
        </w:rPr>
        <w:t></w:t>
      </w:r>
      <w:r>
        <w:rPr>
          <w:rFonts w:hint="cs"/>
          <w:rtl/>
        </w:rPr>
        <w:t xml:space="preserve"> : نهى عن بيعٍ وشرطٍ</w:t>
      </w:r>
      <w:r>
        <w:rPr>
          <w:rFonts w:hint="cs"/>
          <w:vertAlign w:val="superscript"/>
          <w:rtl/>
        </w:rPr>
        <w:t>(</w:t>
      </w:r>
      <w:r>
        <w:rPr>
          <w:rStyle w:val="a7"/>
          <w:rtl/>
        </w:rPr>
        <w:footnoteReference w:id="3898"/>
      </w:r>
      <w:r>
        <w:rPr>
          <w:rFonts w:hint="cs"/>
          <w:vertAlign w:val="superscript"/>
          <w:rtl/>
        </w:rPr>
        <w:t>)</w:t>
      </w:r>
      <w:r>
        <w:rPr>
          <w:rFonts w:hint="cs"/>
          <w:rtl/>
        </w:rPr>
        <w:t xml:space="preserve"> لا يقتضيه العقد، وفيه نفعٌ</w:t>
      </w:r>
      <w:r>
        <w:rPr>
          <w:rStyle w:val="a7"/>
          <w:rtl/>
        </w:rPr>
        <w:footnoteReference w:id="3899"/>
      </w:r>
      <w:r>
        <w:rPr>
          <w:rFonts w:hint="cs"/>
          <w:rtl/>
        </w:rPr>
        <w:t xml:space="preserve"> لأحد العاقدين</w:t>
      </w:r>
      <w:r>
        <w:rPr>
          <w:rStyle w:val="a7"/>
          <w:rtl/>
        </w:rPr>
        <w:footnoteReference w:id="3900"/>
      </w:r>
      <w:r>
        <w:rPr>
          <w:rFonts w:hint="cs"/>
          <w:rtl/>
        </w:rPr>
        <w:t>. فعلى هذا التقدير هذا الأصل يقتضي بطلانه!.</w:t>
      </w:r>
    </w:p>
    <w:p w:rsidR="00C10469" w:rsidRDefault="00C10469">
      <w:pPr>
        <w:rPr>
          <w:rtl/>
        </w:rPr>
      </w:pPr>
      <w:r>
        <w:rPr>
          <w:rFonts w:hint="cs"/>
          <w:b/>
          <w:bCs/>
          <w:rtl/>
        </w:rPr>
        <w:t>فالجواب</w:t>
      </w:r>
      <w:r>
        <w:rPr>
          <w:rFonts w:hint="cs"/>
          <w:rtl/>
        </w:rPr>
        <w:t xml:space="preserve"> : أنَّ نهيَهُ </w:t>
      </w:r>
      <w:r>
        <w:rPr>
          <w:rFonts w:ascii="AGA Arabesque" w:hAnsi="AGA Arabesque"/>
          <w:sz w:val="36"/>
        </w:rPr>
        <w:t></w:t>
      </w:r>
      <w:r>
        <w:rPr>
          <w:rFonts w:hint="cs"/>
          <w:rtl/>
        </w:rPr>
        <w:t xml:space="preserve"> معلول : لوقوع</w:t>
      </w:r>
      <w:r>
        <w:rPr>
          <w:rStyle w:val="a7"/>
          <w:spacing w:val="-8"/>
          <w:rtl/>
        </w:rPr>
        <w:footnoteReference w:id="3901"/>
      </w:r>
      <w:r>
        <w:rPr>
          <w:rFonts w:hint="cs"/>
          <w:rtl/>
        </w:rPr>
        <w:t xml:space="preserve"> النزاع</w:t>
      </w:r>
      <w:r>
        <w:rPr>
          <w:rStyle w:val="a7"/>
          <w:spacing w:val="-8"/>
          <w:rtl/>
        </w:rPr>
        <w:footnoteReference w:id="3902"/>
      </w:r>
      <w:r>
        <w:rPr>
          <w:rFonts w:hint="cs"/>
          <w:rtl/>
        </w:rPr>
        <w:t xml:space="preserve"> المخرِجِ للعقد عن المقصود، وهو قطع المنازعة، والمنازعة ههنا منقطعة بالعرف، فكان موافقًا لهذا الحديث، فلم يبق من الموانع إلاّ القياس، والعرف قاضٍ عليه. وقد مرّ تفصيله في باب الثاء</w:t>
      </w:r>
      <w:r>
        <w:rPr>
          <w:rFonts w:hint="cs"/>
          <w:vertAlign w:val="superscript"/>
          <w:rtl/>
        </w:rPr>
        <w:t>(</w:t>
      </w:r>
      <w:r>
        <w:rPr>
          <w:rStyle w:val="a7"/>
          <w:spacing w:val="-8"/>
          <w:rtl/>
        </w:rPr>
        <w:footnoteReference w:id="3903"/>
      </w:r>
      <w:r>
        <w:rPr>
          <w:rFonts w:hint="cs"/>
          <w:vertAlign w:val="superscript"/>
          <w:rtl/>
        </w:rPr>
        <w:t>)</w:t>
      </w:r>
      <w:r>
        <w:rPr>
          <w:rStyle w:val="a7"/>
          <w:spacing w:val="-8"/>
          <w:rtl/>
        </w:rPr>
        <w:footnoteReference w:id="3904"/>
      </w:r>
      <w:r>
        <w:rPr>
          <w:rFonts w:hint="cs"/>
          <w:rtl/>
        </w:rPr>
        <w:t>.</w:t>
      </w:r>
    </w:p>
    <w:p w:rsidR="00C10469" w:rsidRDefault="00C10469">
      <w:pPr>
        <w:ind w:firstLine="0"/>
        <w:rPr>
          <w:spacing w:val="-8"/>
          <w:rtl/>
        </w:rPr>
      </w:pPr>
    </w:p>
    <w:p w:rsidR="00C10469" w:rsidRDefault="00C10469">
      <w:pPr>
        <w:ind w:firstLine="0"/>
        <w:rPr>
          <w:spacing w:val="-8"/>
          <w:rtl/>
        </w:rPr>
      </w:pPr>
    </w:p>
    <w:p w:rsidR="00C10469" w:rsidRDefault="00C10469">
      <w:pPr>
        <w:ind w:firstLine="0"/>
        <w:rPr>
          <w:spacing w:val="-8"/>
          <w:rtl/>
        </w:rPr>
      </w:pPr>
    </w:p>
    <w:p w:rsidR="00C10469" w:rsidRDefault="00C10469">
      <w:pPr>
        <w:ind w:firstLine="0"/>
        <w:jc w:val="center"/>
        <w:rPr>
          <w:spacing w:val="-8"/>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rsidP="00C10469">
      <w:pPr>
        <w:ind w:firstLine="720"/>
        <w:rPr>
          <w:spacing w:val="-8"/>
          <w:rtl/>
        </w:rPr>
        <w:sectPr w:rsidR="00C10469" w:rsidSect="00C10469">
          <w:headerReference w:type="default" r:id="rId24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61680" w:rsidRDefault="00C10469">
      <w:pPr>
        <w:pStyle w:val="a9"/>
        <w:rPr>
          <w:rFonts w:cs="AL-Mateen"/>
          <w:rtl/>
          <w:lang w:val="en-US"/>
        </w:rPr>
      </w:pPr>
      <w:r w:rsidRPr="00761680">
        <w:rPr>
          <w:rFonts w:cs="AL-Mateen"/>
          <w:rtl/>
          <w:lang w:val="en-US"/>
        </w:rPr>
        <w:lastRenderedPageBreak/>
        <w:t>[ الـقـاعـدة الـ</w:t>
      </w:r>
      <w:r w:rsidRPr="00761680">
        <w:rPr>
          <w:rFonts w:cs="AL-Mateen" w:hint="cs"/>
          <w:rtl/>
          <w:lang w:val="en-US"/>
        </w:rPr>
        <w:t>تاس</w:t>
      </w:r>
      <w:r w:rsidRPr="00761680">
        <w:rPr>
          <w:rFonts w:cs="AL-Mateen"/>
          <w:rtl/>
          <w:lang w:val="en-US"/>
        </w:rPr>
        <w:t xml:space="preserve">ـعـة </w:t>
      </w:r>
      <w:r w:rsidRPr="00761680">
        <w:rPr>
          <w:rFonts w:cs="AL-Mateen" w:hint="eastAsia"/>
          <w:rtl/>
          <w:lang w:val="en-US"/>
        </w:rPr>
        <w:t>والـثـمـانـون</w:t>
      </w:r>
      <w:r w:rsidRPr="00761680">
        <w:rPr>
          <w:rFonts w:cs="AL-Mateen"/>
          <w:rtl/>
          <w:lang w:val="en-US"/>
        </w:rPr>
        <w:t xml:space="preserve"> بـعـد الـمـائـة ]</w:t>
      </w:r>
    </w:p>
    <w:p w:rsidR="00C10469" w:rsidRDefault="00C10469">
      <w:pPr>
        <w:ind w:firstLine="0"/>
        <w:rPr>
          <w:rtl/>
        </w:rPr>
      </w:pPr>
      <w:r>
        <w:rPr>
          <w:rFonts w:cs="Monotype Koufi" w:hint="cs"/>
          <w:rtl/>
        </w:rPr>
        <w:t>كُلُّ ما يَتَرَتَّبُ عليها</w:t>
      </w:r>
      <w:r>
        <w:rPr>
          <w:rStyle w:val="a7"/>
          <w:rtl/>
        </w:rPr>
        <w:footnoteReference w:id="3905"/>
      </w:r>
      <w:r>
        <w:rPr>
          <w:rFonts w:hint="cs"/>
          <w:rtl/>
        </w:rPr>
        <w:t xml:space="preserve"> </w:t>
      </w:r>
      <w:r>
        <w:rPr>
          <w:rFonts w:cs="Monotype Koufi" w:hint="cs"/>
          <w:rtl/>
        </w:rPr>
        <w:t>البيِّنَةُ</w:t>
      </w:r>
      <w:r>
        <w:rPr>
          <w:rStyle w:val="a7"/>
          <w:rtl/>
        </w:rPr>
        <w:footnoteReference w:id="3906"/>
      </w:r>
      <w:r>
        <w:rPr>
          <w:rFonts w:hint="cs"/>
          <w:rtl/>
        </w:rPr>
        <w:t xml:space="preserve"> </w:t>
      </w:r>
      <w:r>
        <w:rPr>
          <w:rFonts w:cs="Monotype Koufi" w:hint="cs"/>
          <w:rtl/>
        </w:rPr>
        <w:t>يترتَّبُ عَلَيْهَا التَّحْلِيفُ، سِوَى بيّنةٍ أُقِيمَتْ لإثباتِ الخُصُومَةِ</w:t>
      </w:r>
      <w:r>
        <w:rPr>
          <w:rFonts w:hint="cs"/>
          <w:vertAlign w:val="superscript"/>
          <w:rtl/>
        </w:rPr>
        <w:t>(</w:t>
      </w:r>
      <w:r>
        <w:rPr>
          <w:rStyle w:val="a7"/>
          <w:rtl/>
        </w:rPr>
        <w:footnoteReference w:id="3907"/>
      </w:r>
      <w:r>
        <w:rPr>
          <w:rFonts w:hint="cs"/>
          <w:vertAlign w:val="superscript"/>
          <w:rtl/>
        </w:rPr>
        <w:t>)</w:t>
      </w:r>
      <w:r>
        <w:rPr>
          <w:rFonts w:hint="cs"/>
          <w:rtl/>
        </w:rPr>
        <w:t>:</w:t>
      </w:r>
    </w:p>
    <w:p w:rsidR="00C10469" w:rsidRDefault="00C10469">
      <w:pPr>
        <w:rPr>
          <w:spacing w:val="-8"/>
          <w:rtl/>
        </w:rPr>
      </w:pPr>
      <w:r>
        <w:rPr>
          <w:rFonts w:hint="cs"/>
          <w:rtl/>
        </w:rPr>
        <w:t xml:space="preserve">فإن فيها لا يترتَّبُ التحليف. وإنما قيدناها بهذا القيد؛ لئلا يرد النقض على هذا الأصل بِـ </w:t>
      </w:r>
      <w:r>
        <w:rPr>
          <w:rFonts w:hint="eastAsia"/>
          <w:spacing w:val="-8"/>
          <w:rtl/>
        </w:rPr>
        <w:t>«</w:t>
      </w:r>
      <w:r>
        <w:rPr>
          <w:rFonts w:hint="cs"/>
          <w:spacing w:val="-8"/>
          <w:rtl/>
        </w:rPr>
        <w:t>أن دعوى الوكالة</w:t>
      </w:r>
      <w:r>
        <w:rPr>
          <w:rStyle w:val="a7"/>
          <w:spacing w:val="-8"/>
          <w:rtl/>
        </w:rPr>
        <w:footnoteReference w:id="3908"/>
      </w:r>
      <w:r>
        <w:rPr>
          <w:rFonts w:hint="cs"/>
          <w:spacing w:val="-8"/>
          <w:rtl/>
        </w:rPr>
        <w:t xml:space="preserve"> يترتب عليها البينة دون التحليف</w:t>
      </w:r>
      <w:r>
        <w:rPr>
          <w:rFonts w:hint="eastAsia"/>
          <w:spacing w:val="-8"/>
          <w:rtl/>
        </w:rPr>
        <w:t>»</w:t>
      </w:r>
      <w:r>
        <w:rPr>
          <w:rFonts w:hint="cs"/>
          <w:spacing w:val="-8"/>
          <w:vertAlign w:val="superscript"/>
          <w:rtl/>
        </w:rPr>
        <w:t>(</w:t>
      </w:r>
      <w:r>
        <w:rPr>
          <w:rStyle w:val="a7"/>
          <w:spacing w:val="-8"/>
          <w:rtl/>
        </w:rPr>
        <w:footnoteReference w:id="3909"/>
      </w:r>
      <w:r>
        <w:rPr>
          <w:rFonts w:hint="cs"/>
          <w:spacing w:val="-8"/>
          <w:vertAlign w:val="superscript"/>
          <w:rtl/>
        </w:rPr>
        <w:t>)</w:t>
      </w:r>
      <w:r>
        <w:rPr>
          <w:rFonts w:hint="cs"/>
          <w:spacing w:val="-8"/>
          <w:rtl/>
        </w:rPr>
        <w:t>.</w:t>
      </w:r>
    </w:p>
    <w:p w:rsidR="00C10469" w:rsidRDefault="00C10469">
      <w:pPr>
        <w:rPr>
          <w:spacing w:val="-6"/>
          <w:rtl/>
        </w:rPr>
      </w:pPr>
      <w:r>
        <w:rPr>
          <w:rFonts w:hint="cs"/>
          <w:b/>
          <w:bCs/>
          <w:spacing w:val="-6"/>
          <w:rtl/>
        </w:rPr>
        <w:t>وكذا</w:t>
      </w:r>
      <w:r>
        <w:rPr>
          <w:rFonts w:hint="cs"/>
          <w:spacing w:val="-6"/>
          <w:rtl/>
        </w:rPr>
        <w:t xml:space="preserve"> : إذا لم يجد المشتري البينة على قيام العيب عنده</w:t>
      </w:r>
      <w:r>
        <w:rPr>
          <w:rFonts w:hint="cs"/>
          <w:spacing w:val="-6"/>
          <w:vertAlign w:val="superscript"/>
          <w:rtl/>
        </w:rPr>
        <w:t>(</w:t>
      </w:r>
      <w:r>
        <w:rPr>
          <w:rStyle w:val="a7"/>
          <w:spacing w:val="-6"/>
          <w:rtl/>
        </w:rPr>
        <w:footnoteReference w:id="3910"/>
      </w:r>
      <w:r>
        <w:rPr>
          <w:rFonts w:hint="cs"/>
          <w:spacing w:val="-6"/>
          <w:vertAlign w:val="superscript"/>
          <w:rtl/>
        </w:rPr>
        <w:t>)</w:t>
      </w:r>
      <w:r>
        <w:rPr>
          <w:rFonts w:hint="cs"/>
          <w:spacing w:val="-6"/>
          <w:rtl/>
        </w:rPr>
        <w:t xml:space="preserve">، وأراد تحليف البائع بالله: ما يعلم أنه آبق عند المشـتري : لا يحلّف عند أبي حنيفة، مع أن </w:t>
      </w:r>
      <w:r w:rsidRPr="009D28C5">
        <w:rPr>
          <w:rFonts w:hint="cs"/>
          <w:spacing w:val="-4"/>
          <w:rtl/>
        </w:rPr>
        <w:t>بيـنة  الـمشتري  مقبولة</w:t>
      </w:r>
      <w:r w:rsidRPr="009D28C5">
        <w:rPr>
          <w:rFonts w:hint="cs"/>
          <w:spacing w:val="-4"/>
          <w:vertAlign w:val="superscript"/>
          <w:rtl/>
        </w:rPr>
        <w:t>(</w:t>
      </w:r>
      <w:r w:rsidRPr="009D28C5">
        <w:rPr>
          <w:rStyle w:val="a7"/>
          <w:spacing w:val="-4"/>
          <w:rtl/>
        </w:rPr>
        <w:footnoteReference w:id="3911"/>
      </w:r>
      <w:r w:rsidRPr="009D28C5">
        <w:rPr>
          <w:rFonts w:hint="cs"/>
          <w:spacing w:val="-4"/>
          <w:vertAlign w:val="superscript"/>
          <w:rtl/>
        </w:rPr>
        <w:t>)</w:t>
      </w:r>
      <w:r w:rsidRPr="009D28C5">
        <w:rPr>
          <w:rFonts w:hint="cs"/>
          <w:spacing w:val="-4"/>
          <w:rtl/>
        </w:rPr>
        <w:t>؛</w:t>
      </w:r>
      <w:r>
        <w:rPr>
          <w:rFonts w:hint="cs"/>
          <w:spacing w:val="-6"/>
          <w:rtl/>
        </w:rPr>
        <w:t xml:space="preserve"> </w:t>
      </w:r>
    </w:p>
    <w:p w:rsidR="00C10469" w:rsidRDefault="00C10469">
      <w:pPr>
        <w:ind w:firstLine="0"/>
        <w:rPr>
          <w:spacing w:val="-8"/>
          <w:rtl/>
        </w:rPr>
      </w:pPr>
      <w:r>
        <w:rPr>
          <w:rFonts w:hint="cs"/>
          <w:spacing w:val="-8"/>
          <w:rtl/>
        </w:rPr>
        <w:lastRenderedPageBreak/>
        <w:t xml:space="preserve">لأن </w:t>
      </w:r>
      <w:r>
        <w:rPr>
          <w:rFonts w:hint="eastAsia"/>
          <w:spacing w:val="-8"/>
          <w:rtl/>
        </w:rPr>
        <w:t>«</w:t>
      </w:r>
      <w:r>
        <w:rPr>
          <w:rFonts w:hint="cs"/>
          <w:spacing w:val="-8"/>
          <w:rtl/>
        </w:rPr>
        <w:t>التحليف شرع لقطع</w:t>
      </w:r>
      <w:r>
        <w:rPr>
          <w:rStyle w:val="a7"/>
          <w:spacing w:val="-8"/>
          <w:rtl/>
        </w:rPr>
        <w:footnoteReference w:id="3912"/>
      </w:r>
      <w:r>
        <w:rPr>
          <w:rFonts w:hint="cs"/>
          <w:spacing w:val="-8"/>
          <w:rtl/>
        </w:rPr>
        <w:t xml:space="preserve"> الخصومة، فكان مقتضيًا سابقيّة الخصم، فلن يكون</w:t>
      </w:r>
      <w:r>
        <w:rPr>
          <w:rStyle w:val="a7"/>
          <w:spacing w:val="-8"/>
          <w:rtl/>
        </w:rPr>
        <w:footnoteReference w:id="3913"/>
      </w:r>
      <w:r>
        <w:rPr>
          <w:rFonts w:hint="cs"/>
          <w:spacing w:val="-8"/>
          <w:rtl/>
        </w:rPr>
        <w:t xml:space="preserve"> المشتري ههنا خصمًا إلا بعد إثبات قيام العيب في يده</w:t>
      </w:r>
      <w:r>
        <w:rPr>
          <w:rFonts w:hint="eastAsia"/>
          <w:spacing w:val="-8"/>
          <w:rtl/>
        </w:rPr>
        <w:t>»</w:t>
      </w:r>
      <w:r>
        <w:rPr>
          <w:rFonts w:hint="cs"/>
          <w:spacing w:val="-8"/>
          <w:vertAlign w:val="superscript"/>
          <w:rtl/>
        </w:rPr>
        <w:t>(</w:t>
      </w:r>
      <w:r>
        <w:rPr>
          <w:rStyle w:val="a7"/>
          <w:spacing w:val="-8"/>
          <w:rtl/>
        </w:rPr>
        <w:footnoteReference w:id="3914"/>
      </w:r>
      <w:r>
        <w:rPr>
          <w:rFonts w:hint="cs"/>
          <w:spacing w:val="-8"/>
          <w:vertAlign w:val="superscript"/>
          <w:rtl/>
        </w:rPr>
        <w:t>)</w:t>
      </w:r>
      <w:r>
        <w:rPr>
          <w:rFonts w:hint="cs"/>
          <w:spacing w:val="-8"/>
          <w:rtl/>
        </w:rPr>
        <w:t xml:space="preserve"> في المسألة الثانية.</w:t>
      </w:r>
    </w:p>
    <w:p w:rsidR="00C10469" w:rsidRDefault="00C10469">
      <w:pPr>
        <w:rPr>
          <w:rtl/>
        </w:rPr>
      </w:pPr>
      <w:r>
        <w:rPr>
          <w:rFonts w:hint="cs"/>
          <w:rtl/>
        </w:rPr>
        <w:t>وكذا لا يكون الوكيل خصمًا إلا بعد</w:t>
      </w:r>
      <w:r>
        <w:rPr>
          <w:rStyle w:val="a7"/>
          <w:spacing w:val="-8"/>
          <w:rtl/>
        </w:rPr>
        <w:footnoteReference w:id="3915"/>
      </w:r>
      <w:r>
        <w:rPr>
          <w:rFonts w:hint="cs"/>
          <w:rtl/>
        </w:rPr>
        <w:t xml:space="preserve"> إثبات الوكالة في المسألة الأولى.</w:t>
      </w:r>
    </w:p>
    <w:p w:rsidR="00C10469" w:rsidRDefault="00C10469">
      <w:pPr>
        <w:rPr>
          <w:rtl/>
        </w:rPr>
      </w:pPr>
      <w:r>
        <w:rPr>
          <w:rFonts w:hint="cs"/>
          <w:b/>
          <w:bCs/>
          <w:rtl/>
        </w:rPr>
        <w:t>ومن النظائر</w:t>
      </w:r>
      <w:r>
        <w:rPr>
          <w:rFonts w:hint="cs"/>
          <w:rtl/>
        </w:rPr>
        <w:t xml:space="preserve"> : ادّعَى دارًا في يد فلانٍ يحتاج إلى إثبات يد المُدَّعى عليه بالبينة حتى يكون خصمًا</w:t>
      </w:r>
      <w:r>
        <w:rPr>
          <w:rStyle w:val="a7"/>
          <w:spacing w:val="-8"/>
          <w:rtl/>
        </w:rPr>
        <w:footnoteReference w:id="3916"/>
      </w:r>
      <w:r>
        <w:rPr>
          <w:rFonts w:hint="cs"/>
          <w:rtl/>
        </w:rPr>
        <w:t>، ولا يترتب عليها التحليف.</w:t>
      </w:r>
    </w:p>
    <w:p w:rsidR="00C10469" w:rsidRDefault="00C10469">
      <w:pPr>
        <w:rPr>
          <w:rtl/>
        </w:rPr>
      </w:pPr>
      <w:r>
        <w:rPr>
          <w:rFonts w:hint="cs"/>
          <w:b/>
          <w:bCs/>
          <w:rtl/>
        </w:rPr>
        <w:t>وخرج</w:t>
      </w:r>
      <w:r>
        <w:rPr>
          <w:rFonts w:hint="cs"/>
          <w:rtl/>
        </w:rPr>
        <w:t xml:space="preserve"> عن هذا الأصل : أن البينة تقبل في الحدود</w:t>
      </w:r>
      <w:r>
        <w:rPr>
          <w:rStyle w:val="a7"/>
          <w:rtl/>
        </w:rPr>
        <w:footnoteReference w:id="3917"/>
      </w:r>
      <w:r>
        <w:rPr>
          <w:rFonts w:hint="cs"/>
          <w:vertAlign w:val="superscript"/>
          <w:rtl/>
        </w:rPr>
        <w:t>(</w:t>
      </w:r>
      <w:r>
        <w:rPr>
          <w:rStyle w:val="a7"/>
          <w:rtl/>
        </w:rPr>
        <w:footnoteReference w:id="3918"/>
      </w:r>
      <w:r>
        <w:rPr>
          <w:rFonts w:hint="cs"/>
          <w:vertAlign w:val="superscript"/>
          <w:rtl/>
        </w:rPr>
        <w:t>)</w:t>
      </w:r>
      <w:r>
        <w:rPr>
          <w:rFonts w:hint="cs"/>
          <w:rtl/>
        </w:rPr>
        <w:t>، ولا يترتب عليها [التحليف]</w:t>
      </w:r>
      <w:r>
        <w:rPr>
          <w:rStyle w:val="a7"/>
          <w:rtl/>
        </w:rPr>
        <w:footnoteReference w:id="3919"/>
      </w:r>
      <w:r>
        <w:rPr>
          <w:rFonts w:hint="cs"/>
          <w:rtl/>
        </w:rPr>
        <w:t xml:space="preserve"> مع أن هذه البينة لم [تقم]</w:t>
      </w:r>
      <w:r>
        <w:rPr>
          <w:rStyle w:val="a7"/>
          <w:rtl/>
        </w:rPr>
        <w:footnoteReference w:id="3920"/>
      </w:r>
      <w:r>
        <w:rPr>
          <w:rFonts w:hint="cs"/>
          <w:rtl/>
        </w:rPr>
        <w:t xml:space="preserve"> لإثبات الخصومة.</w:t>
      </w:r>
    </w:p>
    <w:p w:rsidR="00C10469" w:rsidRDefault="00C10469">
      <w:pPr>
        <w:rPr>
          <w:rtl/>
        </w:rPr>
        <w:sectPr w:rsidR="00C10469" w:rsidSect="00C10469">
          <w:headerReference w:type="default" r:id="rId24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rtl/>
        </w:rPr>
        <w:t>والجواب</w:t>
      </w:r>
      <w:r>
        <w:rPr>
          <w:rFonts w:hint="cs"/>
          <w:rtl/>
        </w:rPr>
        <w:t xml:space="preserve"> : </w:t>
      </w:r>
      <w:r>
        <w:rPr>
          <w:rFonts w:hint="eastAsia"/>
          <w:spacing w:val="-8"/>
          <w:rtl/>
        </w:rPr>
        <w:t>«</w:t>
      </w:r>
      <w:r>
        <w:rPr>
          <w:rFonts w:hint="cs"/>
          <w:spacing w:val="-8"/>
          <w:rtl/>
        </w:rPr>
        <w:t>الحدود تندرئ</w:t>
      </w:r>
      <w:r>
        <w:rPr>
          <w:rStyle w:val="a7"/>
          <w:spacing w:val="-8"/>
          <w:rtl/>
        </w:rPr>
        <w:footnoteReference w:id="3921"/>
      </w:r>
      <w:r>
        <w:rPr>
          <w:rFonts w:hint="cs"/>
          <w:spacing w:val="-8"/>
          <w:rtl/>
        </w:rPr>
        <w:t xml:space="preserve"> بالشبهات</w:t>
      </w:r>
      <w:r>
        <w:rPr>
          <w:rFonts w:hint="eastAsia"/>
          <w:spacing w:val="-8"/>
          <w:rtl/>
        </w:rPr>
        <w:t>»</w:t>
      </w:r>
      <w:r>
        <w:rPr>
          <w:rFonts w:hint="cs"/>
          <w:spacing w:val="-8"/>
          <w:vertAlign w:val="superscript"/>
          <w:rtl/>
        </w:rPr>
        <w:t>(</w:t>
      </w:r>
      <w:r>
        <w:rPr>
          <w:rStyle w:val="a7"/>
          <w:spacing w:val="-8"/>
          <w:rtl/>
        </w:rPr>
        <w:footnoteReference w:id="3922"/>
      </w:r>
      <w:r>
        <w:rPr>
          <w:rFonts w:hint="cs"/>
          <w:spacing w:val="-8"/>
          <w:vertAlign w:val="superscript"/>
          <w:rtl/>
        </w:rPr>
        <w:t>)</w:t>
      </w:r>
      <w:r>
        <w:rPr>
          <w:rFonts w:hint="cs"/>
          <w:spacing w:val="-8"/>
          <w:rtl/>
        </w:rPr>
        <w:t>، فلا [تثبت]</w:t>
      </w:r>
      <w:r>
        <w:rPr>
          <w:rStyle w:val="a7"/>
          <w:spacing w:val="-8"/>
          <w:rtl/>
        </w:rPr>
        <w:footnoteReference w:id="3923"/>
      </w:r>
      <w:r>
        <w:rPr>
          <w:rFonts w:hint="cs"/>
          <w:spacing w:val="-8"/>
          <w:rtl/>
        </w:rPr>
        <w:t xml:space="preserve"> بالنكول.</w:t>
      </w:r>
      <w:r>
        <w:rPr>
          <w:rtl/>
        </w:rPr>
        <w:t xml:space="preserve"> </w:t>
      </w:r>
    </w:p>
    <w:p w:rsidR="00C10469" w:rsidRPr="007C21AE" w:rsidRDefault="00C10469">
      <w:pPr>
        <w:pStyle w:val="a9"/>
        <w:rPr>
          <w:rFonts w:cs="AL-Mateen"/>
          <w:rtl/>
          <w:lang w:val="en-US"/>
        </w:rPr>
      </w:pPr>
      <w:r w:rsidRPr="007C21AE">
        <w:rPr>
          <w:rFonts w:cs="AL-Mateen"/>
          <w:rtl/>
          <w:lang w:val="en-US"/>
        </w:rPr>
        <w:lastRenderedPageBreak/>
        <w:t xml:space="preserve">[ الـقـاعـدة </w:t>
      </w:r>
      <w:r w:rsidRPr="007C21AE">
        <w:rPr>
          <w:rFonts w:cs="AL-Mateen" w:hint="eastAsia"/>
          <w:rtl/>
          <w:lang w:val="en-US"/>
        </w:rPr>
        <w:t>الـ</w:t>
      </w:r>
      <w:r w:rsidRPr="007C21AE">
        <w:rPr>
          <w:rFonts w:cs="AL-Mateen" w:hint="cs"/>
          <w:rtl/>
          <w:lang w:val="en-US"/>
        </w:rPr>
        <w:t>ت</w:t>
      </w:r>
      <w:r w:rsidRPr="007C21AE">
        <w:rPr>
          <w:rFonts w:cs="AL-Mateen" w:hint="eastAsia"/>
          <w:rtl/>
          <w:lang w:val="en-US"/>
        </w:rPr>
        <w:t>ـ</w:t>
      </w:r>
      <w:r w:rsidRPr="007C21AE">
        <w:rPr>
          <w:rFonts w:cs="AL-Mateen" w:hint="cs"/>
          <w:rtl/>
          <w:lang w:val="en-US"/>
        </w:rPr>
        <w:t>س</w:t>
      </w:r>
      <w:r w:rsidRPr="007C21AE">
        <w:rPr>
          <w:rFonts w:cs="AL-Mateen" w:hint="eastAsia"/>
          <w:rtl/>
          <w:lang w:val="en-US"/>
        </w:rPr>
        <w:t>ـ</w:t>
      </w:r>
      <w:r w:rsidRPr="007C21AE">
        <w:rPr>
          <w:rFonts w:cs="AL-Mateen" w:hint="cs"/>
          <w:rtl/>
          <w:lang w:val="en-US"/>
        </w:rPr>
        <w:t>ع</w:t>
      </w:r>
      <w:r w:rsidRPr="007C21AE">
        <w:rPr>
          <w:rFonts w:cs="AL-Mateen" w:hint="eastAsia"/>
          <w:rtl/>
          <w:lang w:val="en-US"/>
        </w:rPr>
        <w:t>ـون</w:t>
      </w:r>
      <w:r w:rsidRPr="007C21AE">
        <w:rPr>
          <w:rFonts w:cs="AL-Mateen"/>
          <w:rtl/>
          <w:lang w:val="en-US"/>
        </w:rPr>
        <w:t xml:space="preserve"> بـعـد الـمـائـة ]</w:t>
      </w:r>
    </w:p>
    <w:p w:rsidR="00C10469" w:rsidRDefault="00C10469">
      <w:pPr>
        <w:rPr>
          <w:rtl/>
        </w:rPr>
      </w:pPr>
      <w:r>
        <w:rPr>
          <w:rFonts w:cs="Monotype Koufi" w:hint="cs"/>
          <w:rtl/>
        </w:rPr>
        <w:t>كُلُّ مَا هُوَ وَاجِبُ [الرَّفْعِ]</w:t>
      </w:r>
      <w:r>
        <w:rPr>
          <w:rStyle w:val="a7"/>
          <w:spacing w:val="-10"/>
          <w:rtl/>
        </w:rPr>
        <w:footnoteReference w:id="3924"/>
      </w:r>
      <w:r>
        <w:rPr>
          <w:rFonts w:cs="Monotype Koufi" w:hint="cs"/>
          <w:bCs/>
          <w:rtl/>
        </w:rPr>
        <w:t xml:space="preserve"> </w:t>
      </w:r>
      <w:r>
        <w:rPr>
          <w:rFonts w:cs="Monotype Koufi" w:hint="cs"/>
          <w:rtl/>
        </w:rPr>
        <w:t>بِالاستِرْدَادِ لا يَجُوزُ تَقْرِيرُهُ</w:t>
      </w:r>
      <w:r>
        <w:rPr>
          <w:rStyle w:val="a7"/>
          <w:spacing w:val="-10"/>
          <w:rtl/>
        </w:rPr>
        <w:footnoteReference w:id="3925"/>
      </w:r>
      <w:r>
        <w:rPr>
          <w:rFonts w:hint="cs"/>
          <w:spacing w:val="-10"/>
          <w:vertAlign w:val="superscript"/>
          <w:rtl/>
        </w:rPr>
        <w:t xml:space="preserve"> (</w:t>
      </w:r>
      <w:r>
        <w:rPr>
          <w:rStyle w:val="a7"/>
          <w:spacing w:val="-10"/>
          <w:rtl/>
        </w:rPr>
        <w:footnoteReference w:id="3926"/>
      </w:r>
      <w:r>
        <w:rPr>
          <w:rFonts w:hint="cs"/>
          <w:spacing w:val="-10"/>
          <w:vertAlign w:val="superscript"/>
          <w:rtl/>
        </w:rPr>
        <w:t>)</w:t>
      </w:r>
      <w:r>
        <w:rPr>
          <w:rFonts w:hint="cs"/>
          <w:rtl/>
        </w:rPr>
        <w:t>:</w:t>
      </w:r>
    </w:p>
    <w:p w:rsidR="00C10469" w:rsidRDefault="00C10469">
      <w:pPr>
        <w:rPr>
          <w:spacing w:val="-10"/>
          <w:rtl/>
        </w:rPr>
      </w:pPr>
      <w:r>
        <w:rPr>
          <w:rFonts w:hint="cs"/>
          <w:b/>
          <w:bCs/>
          <w:spacing w:val="-10"/>
          <w:rtl/>
        </w:rPr>
        <w:t xml:space="preserve">ولهذا قالوا </w:t>
      </w:r>
      <w:r>
        <w:rPr>
          <w:rFonts w:hint="cs"/>
          <w:spacing w:val="-10"/>
          <w:rtl/>
        </w:rPr>
        <w:t>: المشتـري</w:t>
      </w:r>
      <w:r>
        <w:rPr>
          <w:rStyle w:val="a7"/>
          <w:spacing w:val="-10"/>
          <w:rtl/>
        </w:rPr>
        <w:footnoteReference w:id="3927"/>
      </w:r>
      <w:r>
        <w:rPr>
          <w:rFonts w:hint="cs"/>
          <w:spacing w:val="-10"/>
          <w:rtl/>
        </w:rPr>
        <w:t xml:space="preserve"> لا يملك الـمبيع </w:t>
      </w:r>
      <w:r>
        <w:rPr>
          <w:rFonts w:hint="cs"/>
          <w:rtl/>
        </w:rPr>
        <w:t xml:space="preserve">في </w:t>
      </w:r>
      <w:r>
        <w:rPr>
          <w:rFonts w:hint="cs"/>
          <w:spacing w:val="-10"/>
          <w:rtl/>
        </w:rPr>
        <w:t>البيـع الفاسـد قبـل القبـض، ويملك بعده</w:t>
      </w:r>
      <w:r>
        <w:rPr>
          <w:rFonts w:hint="cs"/>
          <w:spacing w:val="-10"/>
          <w:vertAlign w:val="superscript"/>
          <w:rtl/>
        </w:rPr>
        <w:t>(</w:t>
      </w:r>
      <w:r>
        <w:rPr>
          <w:rStyle w:val="a7"/>
          <w:spacing w:val="-10"/>
          <w:rtl/>
        </w:rPr>
        <w:footnoteReference w:id="3928"/>
      </w:r>
      <w:r>
        <w:rPr>
          <w:rFonts w:hint="cs"/>
          <w:spacing w:val="-10"/>
          <w:vertAlign w:val="superscript"/>
          <w:rtl/>
        </w:rPr>
        <w:t>)</w:t>
      </w:r>
      <w:r>
        <w:rPr>
          <w:rFonts w:hint="cs"/>
          <w:spacing w:val="-10"/>
          <w:rtl/>
        </w:rPr>
        <w:t xml:space="preserve">؛ </w:t>
      </w:r>
      <w:r>
        <w:rPr>
          <w:rFonts w:hint="eastAsia"/>
          <w:spacing w:val="-10"/>
          <w:rtl/>
        </w:rPr>
        <w:t>«</w:t>
      </w:r>
      <w:r>
        <w:rPr>
          <w:rFonts w:hint="cs"/>
          <w:spacing w:val="-10"/>
          <w:rtl/>
        </w:rPr>
        <w:t xml:space="preserve">لأنه لو ملكه قبل القبض لوجـب تسليـم الثمن، ووجـب على البـائـع تسليم المبيع؛ لأنهما </w:t>
      </w:r>
      <w:r>
        <w:rPr>
          <w:rFonts w:hint="cs"/>
          <w:spacing w:val="-10"/>
          <w:rtl/>
        </w:rPr>
        <w:lastRenderedPageBreak/>
        <w:t>من مواجب العقد، فتقرّر الفساد وهو لا [يجوز]</w:t>
      </w:r>
      <w:r>
        <w:rPr>
          <w:rStyle w:val="a7"/>
          <w:spacing w:val="-10"/>
          <w:rtl/>
        </w:rPr>
        <w:footnoteReference w:id="3929"/>
      </w:r>
      <w:r>
        <w:rPr>
          <w:rFonts w:hint="cs"/>
          <w:spacing w:val="-10"/>
          <w:rtl/>
        </w:rPr>
        <w:t>؛ لأنه واجب الرفع</w:t>
      </w:r>
      <w:r>
        <w:rPr>
          <w:rStyle w:val="a7"/>
          <w:spacing w:val="-10"/>
          <w:rtl/>
        </w:rPr>
        <w:footnoteReference w:id="3930"/>
      </w:r>
      <w:r>
        <w:rPr>
          <w:rFonts w:hint="cs"/>
          <w:spacing w:val="-10"/>
          <w:rtl/>
        </w:rPr>
        <w:t xml:space="preserve"> بالاسترداد</w:t>
      </w:r>
      <w:r>
        <w:rPr>
          <w:rFonts w:hint="cs"/>
          <w:spacing w:val="-10"/>
          <w:vertAlign w:val="superscript"/>
          <w:rtl/>
        </w:rPr>
        <w:t>(</w:t>
      </w:r>
      <w:r>
        <w:rPr>
          <w:rStyle w:val="a7"/>
          <w:spacing w:val="-10"/>
          <w:rtl/>
        </w:rPr>
        <w:footnoteReference w:id="3931"/>
      </w:r>
      <w:r>
        <w:rPr>
          <w:rFonts w:hint="cs"/>
          <w:spacing w:val="-10"/>
          <w:vertAlign w:val="superscript"/>
          <w:rtl/>
        </w:rPr>
        <w:t>)</w:t>
      </w:r>
      <w:r>
        <w:rPr>
          <w:rFonts w:hint="cs"/>
          <w:spacing w:val="-10"/>
          <w:rtl/>
        </w:rPr>
        <w:t>، ولما كان واجب الرّد بالاسترداد فلأن يكون</w:t>
      </w:r>
      <w:r>
        <w:rPr>
          <w:rStyle w:val="a7"/>
          <w:spacing w:val="-10"/>
          <w:rtl/>
        </w:rPr>
        <w:footnoteReference w:id="3932"/>
      </w:r>
      <w:r>
        <w:rPr>
          <w:rFonts w:hint="cs"/>
          <w:spacing w:val="-10"/>
          <w:rtl/>
        </w:rPr>
        <w:t xml:space="preserve"> واجب الرفع</w:t>
      </w:r>
      <w:r>
        <w:rPr>
          <w:rStyle w:val="a7"/>
          <w:spacing w:val="-10"/>
          <w:rtl/>
        </w:rPr>
        <w:footnoteReference w:id="3933"/>
      </w:r>
      <w:r>
        <w:rPr>
          <w:rFonts w:hint="cs"/>
          <w:spacing w:val="-10"/>
          <w:rtl/>
        </w:rPr>
        <w:t xml:space="preserve"> بالامتناع عن مطالبة أحد</w:t>
      </w:r>
      <w:r>
        <w:rPr>
          <w:rStyle w:val="a7"/>
          <w:spacing w:val="-10"/>
          <w:rtl/>
        </w:rPr>
        <w:footnoteReference w:id="3934"/>
      </w:r>
      <w:r>
        <w:rPr>
          <w:rFonts w:hint="cs"/>
          <w:spacing w:val="-10"/>
          <w:rtl/>
        </w:rPr>
        <w:t xml:space="preserve"> [المتعاقدين]</w:t>
      </w:r>
      <w:r>
        <w:rPr>
          <w:rStyle w:val="a7"/>
          <w:spacing w:val="-10"/>
          <w:rtl/>
        </w:rPr>
        <w:footnoteReference w:id="3935"/>
      </w:r>
      <w:r>
        <w:rPr>
          <w:rFonts w:hint="cs"/>
          <w:spacing w:val="-10"/>
          <w:rtl/>
        </w:rPr>
        <w:t xml:space="preserve"> أولى؛ لكونه أسهل؛لسلامته عن المطالبة والإحضار والتسليم ثم الرفع</w:t>
      </w:r>
      <w:r>
        <w:rPr>
          <w:rStyle w:val="a7"/>
          <w:spacing w:val="-10"/>
          <w:rtl/>
        </w:rPr>
        <w:footnoteReference w:id="3936"/>
      </w:r>
      <w:r>
        <w:rPr>
          <w:rFonts w:hint="cs"/>
          <w:spacing w:val="-10"/>
          <w:rtl/>
        </w:rPr>
        <w:t xml:space="preserve"> بالاسترداد</w:t>
      </w:r>
      <w:r>
        <w:rPr>
          <w:rFonts w:hint="eastAsia"/>
          <w:spacing w:val="-10"/>
          <w:rtl/>
        </w:rPr>
        <w:t>»</w:t>
      </w:r>
      <w:r>
        <w:rPr>
          <w:rFonts w:hint="cs"/>
          <w:spacing w:val="-10"/>
          <w:vertAlign w:val="superscript"/>
          <w:rtl/>
        </w:rPr>
        <w:t>(</w:t>
      </w:r>
      <w:r>
        <w:rPr>
          <w:rStyle w:val="a7"/>
          <w:spacing w:val="-10"/>
          <w:rtl/>
        </w:rPr>
        <w:footnoteReference w:id="3937"/>
      </w:r>
      <w:r>
        <w:rPr>
          <w:rFonts w:hint="cs"/>
          <w:spacing w:val="-10"/>
          <w:vertAlign w:val="superscript"/>
          <w:rtl/>
        </w:rPr>
        <w:t>)</w:t>
      </w:r>
      <w:r>
        <w:rPr>
          <w:rFonts w:hint="cs"/>
          <w:spacing w:val="-10"/>
          <w:rtl/>
        </w:rPr>
        <w:t>.</w:t>
      </w:r>
    </w:p>
    <w:p w:rsidR="00C10469" w:rsidRDefault="00C10469">
      <w:pPr>
        <w:rPr>
          <w:spacing w:val="-8"/>
          <w:rtl/>
        </w:rPr>
      </w:pPr>
      <w:r>
        <w:rPr>
          <w:rFonts w:hint="cs"/>
          <w:b/>
          <w:bCs/>
          <w:spacing w:val="-8"/>
          <w:rtl/>
        </w:rPr>
        <w:t>وخرج</w:t>
      </w:r>
      <w:r>
        <w:rPr>
          <w:rFonts w:hint="cs"/>
          <w:spacing w:val="-8"/>
          <w:rtl/>
        </w:rPr>
        <w:t xml:space="preserve"> عن هذا الأصل : ما إذا [قبض]</w:t>
      </w:r>
      <w:r>
        <w:rPr>
          <w:rStyle w:val="a7"/>
          <w:spacing w:val="-8"/>
          <w:rtl/>
        </w:rPr>
        <w:footnoteReference w:id="3938"/>
      </w:r>
      <w:r>
        <w:rPr>
          <w:rFonts w:hint="cs"/>
          <w:spacing w:val="-8"/>
          <w:rtl/>
        </w:rPr>
        <w:t xml:space="preserve"> المشتري المبيع في [البيع]</w:t>
      </w:r>
      <w:r>
        <w:rPr>
          <w:rStyle w:val="a7"/>
          <w:spacing w:val="-8"/>
          <w:rtl/>
        </w:rPr>
        <w:footnoteReference w:id="3939"/>
      </w:r>
      <w:r>
        <w:rPr>
          <w:rFonts w:hint="cs"/>
          <w:spacing w:val="-8"/>
          <w:rtl/>
        </w:rPr>
        <w:t xml:space="preserve"> الفاسد يملكه، وهذا عين تقرير الفساد</w:t>
      </w:r>
      <w:r>
        <w:rPr>
          <w:rFonts w:hint="cs"/>
          <w:spacing w:val="-8"/>
          <w:vertAlign w:val="superscript"/>
          <w:rtl/>
        </w:rPr>
        <w:t>(</w:t>
      </w:r>
      <w:r>
        <w:rPr>
          <w:rStyle w:val="a7"/>
          <w:spacing w:val="-8"/>
          <w:rtl/>
        </w:rPr>
        <w:footnoteReference w:id="3940"/>
      </w:r>
      <w:r>
        <w:rPr>
          <w:rFonts w:hint="cs"/>
          <w:spacing w:val="-8"/>
          <w:vertAlign w:val="superscript"/>
          <w:rtl/>
        </w:rPr>
        <w:t>)</w:t>
      </w:r>
      <w:r>
        <w:rPr>
          <w:rFonts w:hint="cs"/>
          <w:spacing w:val="-8"/>
          <w:rtl/>
        </w:rPr>
        <w:t>.</w:t>
      </w:r>
    </w:p>
    <w:p w:rsidR="00C10469" w:rsidRDefault="00C10469">
      <w:pPr>
        <w:rPr>
          <w:spacing w:val="-8"/>
          <w:rtl/>
        </w:rPr>
      </w:pPr>
      <w:r>
        <w:rPr>
          <w:rFonts w:hint="cs"/>
          <w:b/>
          <w:bCs/>
          <w:spacing w:val="-8"/>
          <w:rtl/>
        </w:rPr>
        <w:t xml:space="preserve">والجواب </w:t>
      </w:r>
      <w:r>
        <w:rPr>
          <w:rFonts w:hint="cs"/>
          <w:spacing w:val="-8"/>
          <w:rtl/>
        </w:rPr>
        <w:t xml:space="preserve">: </w:t>
      </w:r>
      <w:r>
        <w:rPr>
          <w:rFonts w:hint="eastAsia"/>
          <w:spacing w:val="-8"/>
          <w:rtl/>
        </w:rPr>
        <w:t>«</w:t>
      </w:r>
      <w:r>
        <w:rPr>
          <w:rFonts w:hint="cs"/>
          <w:spacing w:val="-8"/>
          <w:rtl/>
        </w:rPr>
        <w:t>أن تقرير الفساد</w:t>
      </w:r>
      <w:r>
        <w:rPr>
          <w:rStyle w:val="a7"/>
          <w:spacing w:val="-8"/>
          <w:rtl/>
        </w:rPr>
        <w:footnoteReference w:id="3941"/>
      </w:r>
      <w:r>
        <w:rPr>
          <w:rFonts w:hint="cs"/>
          <w:spacing w:val="-8"/>
          <w:rtl/>
        </w:rPr>
        <w:t xml:space="preserve"> بعد القبض ثبت في ضمن الضمان، فإنّ القبض يوجب الضمان، فإن لم ينتقل الملك من المضمون له إلى الضامن لاجتمع البدلان في </w:t>
      </w:r>
      <w:r>
        <w:rPr>
          <w:rFonts w:hint="cs"/>
          <w:spacing w:val="-8"/>
          <w:rtl/>
        </w:rPr>
        <w:lastRenderedPageBreak/>
        <w:t>ملك البائع وهو شخص واحد فلا يجوز</w:t>
      </w:r>
      <w:r>
        <w:rPr>
          <w:rFonts w:hint="eastAsia"/>
          <w:spacing w:val="-8"/>
          <w:rtl/>
        </w:rPr>
        <w:t>»</w:t>
      </w:r>
      <w:r>
        <w:rPr>
          <w:rFonts w:hint="cs"/>
          <w:spacing w:val="-8"/>
          <w:vertAlign w:val="superscript"/>
          <w:rtl/>
        </w:rPr>
        <w:t>(</w:t>
      </w:r>
      <w:r>
        <w:rPr>
          <w:rStyle w:val="a7"/>
          <w:spacing w:val="-8"/>
          <w:rtl/>
        </w:rPr>
        <w:footnoteReference w:id="3942"/>
      </w:r>
      <w:r>
        <w:rPr>
          <w:rFonts w:hint="cs"/>
          <w:spacing w:val="-8"/>
          <w:vertAlign w:val="superscript"/>
          <w:rtl/>
        </w:rPr>
        <w:t>)</w:t>
      </w:r>
      <w:r>
        <w:rPr>
          <w:rFonts w:hint="cs"/>
          <w:spacing w:val="-8"/>
          <w:rtl/>
        </w:rPr>
        <w:t>، و</w:t>
      </w:r>
      <w:r>
        <w:rPr>
          <w:rFonts w:hint="eastAsia"/>
          <w:spacing w:val="-8"/>
          <w:rtl/>
        </w:rPr>
        <w:t>«</w:t>
      </w:r>
      <w:r>
        <w:rPr>
          <w:rFonts w:hint="cs"/>
          <w:spacing w:val="-8"/>
          <w:rtl/>
        </w:rPr>
        <w:t>قد ثبت ضمنًا مالا يثبت</w:t>
      </w:r>
      <w:r>
        <w:rPr>
          <w:rStyle w:val="a7"/>
          <w:spacing w:val="-8"/>
          <w:rtl/>
        </w:rPr>
        <w:footnoteReference w:id="3943"/>
      </w:r>
      <w:r>
        <w:rPr>
          <w:rFonts w:hint="cs"/>
          <w:spacing w:val="-8"/>
          <w:rtl/>
        </w:rPr>
        <w:t xml:space="preserve"> قصدًا</w:t>
      </w:r>
      <w:r>
        <w:rPr>
          <w:rFonts w:hint="eastAsia"/>
          <w:spacing w:val="-8"/>
          <w:rtl/>
        </w:rPr>
        <w:t>»</w:t>
      </w:r>
      <w:r>
        <w:rPr>
          <w:rFonts w:hint="cs"/>
          <w:spacing w:val="-8"/>
          <w:vertAlign w:val="superscript"/>
          <w:rtl/>
        </w:rPr>
        <w:t>(</w:t>
      </w:r>
      <w:r>
        <w:rPr>
          <w:rStyle w:val="a7"/>
          <w:spacing w:val="-8"/>
          <w:rtl/>
        </w:rPr>
        <w:footnoteReference w:id="3944"/>
      </w:r>
      <w:r>
        <w:rPr>
          <w:rFonts w:hint="cs"/>
          <w:spacing w:val="-8"/>
          <w:vertAlign w:val="superscript"/>
          <w:rtl/>
        </w:rPr>
        <w:t>)</w:t>
      </w:r>
      <w:r>
        <w:rPr>
          <w:rFonts w:hint="cs"/>
          <w:spacing w:val="-8"/>
          <w:rtl/>
        </w:rPr>
        <w:t>.</w:t>
      </w:r>
    </w:p>
    <w:p w:rsidR="00C10469" w:rsidRDefault="00C10469">
      <w:pPr>
        <w:rPr>
          <w:rtl/>
        </w:rPr>
        <w:sectPr w:rsidR="00C10469" w:rsidSect="00C10469">
          <w:headerReference w:type="default" r:id="rId245"/>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spacing w:val="-8"/>
          <w:rtl/>
        </w:rPr>
        <w:t>وفيه بحث تُرك بيانه؛[احترازًا]</w:t>
      </w:r>
      <w:r>
        <w:rPr>
          <w:rStyle w:val="a7"/>
          <w:spacing w:val="-8"/>
          <w:rtl/>
        </w:rPr>
        <w:footnoteReference w:id="3945"/>
      </w:r>
      <w:r>
        <w:rPr>
          <w:rFonts w:hint="cs"/>
          <w:spacing w:val="-8"/>
          <w:rtl/>
        </w:rPr>
        <w:t xml:space="preserve"> عن التطويل.</w:t>
      </w:r>
      <w:r>
        <w:rPr>
          <w:rFonts w:hint="cs"/>
          <w:rtl/>
        </w:rPr>
        <w:t xml:space="preserve"> </w:t>
      </w:r>
    </w:p>
    <w:p w:rsidR="00C10469" w:rsidRPr="0030015F" w:rsidRDefault="00C10469">
      <w:pPr>
        <w:pStyle w:val="a9"/>
        <w:rPr>
          <w:rFonts w:cs="AL-Mateen"/>
          <w:rtl/>
        </w:rPr>
      </w:pPr>
      <w:r w:rsidRPr="0030015F">
        <w:rPr>
          <w:rFonts w:cs="AL-Mateen" w:hint="cs"/>
          <w:rtl/>
        </w:rPr>
        <w:lastRenderedPageBreak/>
        <w:t>[القاعدة الحادية والتسعون بعد المائة]</w:t>
      </w:r>
    </w:p>
    <w:p w:rsidR="00C10469" w:rsidRDefault="00C10469">
      <w:pPr>
        <w:rPr>
          <w:spacing w:val="-8"/>
          <w:rtl/>
        </w:rPr>
      </w:pPr>
      <w:r>
        <w:rPr>
          <w:rFonts w:cs="Monotype Koufi" w:hint="cs"/>
          <w:rtl/>
        </w:rPr>
        <w:t>كُلُّ مُخيّرٍ بينَ شَيئَينِ إذَا اختارَ أحدَهُمَا: تعيّنَ عليهِ، ولا يعُودُ على الآخَرِ</w:t>
      </w:r>
      <w:r>
        <w:rPr>
          <w:rFonts w:hint="cs"/>
          <w:spacing w:val="-8"/>
          <w:vertAlign w:val="superscript"/>
          <w:rtl/>
        </w:rPr>
        <w:t>(</w:t>
      </w:r>
      <w:r>
        <w:rPr>
          <w:rStyle w:val="a7"/>
          <w:spacing w:val="-8"/>
          <w:rtl/>
        </w:rPr>
        <w:footnoteReference w:id="3946"/>
      </w:r>
      <w:r>
        <w:rPr>
          <w:rFonts w:hint="cs"/>
          <w:spacing w:val="-8"/>
          <w:vertAlign w:val="superscript"/>
          <w:rtl/>
        </w:rPr>
        <w:t>)</w:t>
      </w:r>
      <w:r>
        <w:rPr>
          <w:rFonts w:hint="cs"/>
          <w:spacing w:val="-8"/>
          <w:rtl/>
        </w:rPr>
        <w:t>:</w:t>
      </w:r>
    </w:p>
    <w:p w:rsidR="00C10469" w:rsidRDefault="00C10469" w:rsidP="00C10469">
      <w:pPr>
        <w:ind w:left="1131" w:hanging="283"/>
        <w:rPr>
          <w:spacing w:val="-8"/>
          <w:rtl/>
        </w:rPr>
      </w:pPr>
      <w:r>
        <w:rPr>
          <w:spacing w:val="-8"/>
          <w:rtl/>
        </w:rPr>
        <w:t>•</w:t>
      </w:r>
      <w:r>
        <w:rPr>
          <w:rFonts w:hint="cs"/>
          <w:spacing w:val="-8"/>
          <w:rtl/>
        </w:rPr>
        <w:t xml:space="preserve"> </w:t>
      </w:r>
      <w:r>
        <w:rPr>
          <w:rFonts w:hint="eastAsia"/>
          <w:spacing w:val="-8"/>
          <w:rtl/>
        </w:rPr>
        <w:t>«</w:t>
      </w:r>
      <w:r>
        <w:rPr>
          <w:rFonts w:hint="cs"/>
          <w:spacing w:val="-8"/>
          <w:rtl/>
        </w:rPr>
        <w:t xml:space="preserve">فالمغصوب منه إذا اختار </w:t>
      </w:r>
      <w:r>
        <w:rPr>
          <w:rFonts w:hint="cs"/>
          <w:rtl/>
        </w:rPr>
        <w:t>تضمين أحد</w:t>
      </w:r>
      <w:r>
        <w:rPr>
          <w:rFonts w:hint="cs"/>
          <w:spacing w:val="-8"/>
          <w:rtl/>
        </w:rPr>
        <w:t xml:space="preserve"> الغاصبين (أي: الغاصبُ والغاصبُ من الغاصب) ثم تَوِيَ</w:t>
      </w:r>
      <w:r>
        <w:rPr>
          <w:rFonts w:hint="cs"/>
          <w:spacing w:val="-8"/>
          <w:vertAlign w:val="superscript"/>
          <w:rtl/>
        </w:rPr>
        <w:t>(</w:t>
      </w:r>
      <w:r>
        <w:rPr>
          <w:rStyle w:val="a7"/>
          <w:spacing w:val="-8"/>
          <w:rtl/>
        </w:rPr>
        <w:footnoteReference w:id="3947"/>
      </w:r>
      <w:r>
        <w:rPr>
          <w:rFonts w:hint="cs"/>
          <w:spacing w:val="-8"/>
          <w:vertAlign w:val="superscript"/>
          <w:rtl/>
        </w:rPr>
        <w:t>)</w:t>
      </w:r>
      <w:r>
        <w:rPr>
          <w:rFonts w:hint="cs"/>
          <w:spacing w:val="-8"/>
          <w:rtl/>
        </w:rPr>
        <w:t xml:space="preserve"> ما عليه لم</w:t>
      </w:r>
      <w:r>
        <w:rPr>
          <w:rStyle w:val="a7"/>
          <w:spacing w:val="-8"/>
          <w:rtl/>
        </w:rPr>
        <w:footnoteReference w:id="3948"/>
      </w:r>
      <w:r>
        <w:rPr>
          <w:rFonts w:hint="cs"/>
          <w:spacing w:val="-8"/>
          <w:rtl/>
        </w:rPr>
        <w:t xml:space="preserve"> يرجع على الآخر.</w:t>
      </w:r>
    </w:p>
    <w:p w:rsidR="00C10469" w:rsidRDefault="00C10469" w:rsidP="00C10469">
      <w:pPr>
        <w:ind w:left="1131" w:hanging="283"/>
        <w:rPr>
          <w:spacing w:val="-8"/>
          <w:rtl/>
        </w:rPr>
      </w:pPr>
      <w:r>
        <w:rPr>
          <w:spacing w:val="-8"/>
          <w:rtl/>
        </w:rPr>
        <w:t>•</w:t>
      </w:r>
      <w:r>
        <w:rPr>
          <w:rFonts w:hint="cs"/>
          <w:spacing w:val="-8"/>
          <w:rtl/>
        </w:rPr>
        <w:t xml:space="preserve"> والمولى إذا أعتق عبده المديون، فاختار الغرماء استسعاء العبد ثم تَوِي</w:t>
      </w:r>
      <w:r>
        <w:rPr>
          <w:rStyle w:val="a7"/>
          <w:spacing w:val="-8"/>
          <w:rtl/>
        </w:rPr>
        <w:footnoteReference w:id="3949"/>
      </w:r>
      <w:r>
        <w:rPr>
          <w:rFonts w:hint="cs"/>
          <w:spacing w:val="-8"/>
          <w:rtl/>
        </w:rPr>
        <w:t xml:space="preserve"> عليهم: لم</w:t>
      </w:r>
      <w:r>
        <w:rPr>
          <w:rFonts w:hint="eastAsia"/>
          <w:spacing w:val="-8"/>
          <w:rtl/>
        </w:rPr>
        <w:t> </w:t>
      </w:r>
      <w:r>
        <w:rPr>
          <w:rFonts w:hint="cs"/>
          <w:spacing w:val="-8"/>
          <w:rtl/>
        </w:rPr>
        <w:t xml:space="preserve">يرجعوا على المولى بشيء </w:t>
      </w:r>
      <w:r>
        <w:rPr>
          <w:rFonts w:hint="eastAsia"/>
          <w:spacing w:val="-8"/>
          <w:rtl/>
        </w:rPr>
        <w:t>»</w:t>
      </w:r>
      <w:r>
        <w:rPr>
          <w:rFonts w:hint="cs"/>
          <w:spacing w:val="-8"/>
          <w:vertAlign w:val="superscript"/>
          <w:rtl/>
        </w:rPr>
        <w:t>(</w:t>
      </w:r>
      <w:r>
        <w:rPr>
          <w:rStyle w:val="a7"/>
          <w:spacing w:val="-8"/>
          <w:rtl/>
        </w:rPr>
        <w:footnoteReference w:id="3950"/>
      </w:r>
      <w:r>
        <w:rPr>
          <w:rFonts w:hint="cs"/>
          <w:spacing w:val="-8"/>
          <w:vertAlign w:val="superscript"/>
          <w:rtl/>
        </w:rPr>
        <w:t>)</w:t>
      </w:r>
      <w:r>
        <w:rPr>
          <w:rFonts w:hint="cs"/>
          <w:spacing w:val="-8"/>
          <w:rtl/>
        </w:rPr>
        <w:t>.</w:t>
      </w:r>
    </w:p>
    <w:p w:rsidR="00C10469" w:rsidRDefault="00C10469">
      <w:pPr>
        <w:rPr>
          <w:spacing w:val="-8"/>
          <w:rtl/>
        </w:rPr>
      </w:pPr>
      <w:r>
        <w:rPr>
          <w:rFonts w:hint="cs"/>
          <w:b/>
          <w:bCs/>
          <w:spacing w:val="-8"/>
          <w:rtl/>
        </w:rPr>
        <w:t>وخرج</w:t>
      </w:r>
      <w:r>
        <w:rPr>
          <w:rFonts w:hint="cs"/>
          <w:spacing w:val="-8"/>
          <w:rtl/>
        </w:rPr>
        <w:t xml:space="preserve"> عن هذا الأصل : إذا تَوِي</w:t>
      </w:r>
      <w:r>
        <w:rPr>
          <w:rStyle w:val="a7"/>
          <w:spacing w:val="-8"/>
          <w:rtl/>
        </w:rPr>
        <w:footnoteReference w:id="3951"/>
      </w:r>
      <w:r>
        <w:rPr>
          <w:rFonts w:hint="cs"/>
          <w:spacing w:val="-8"/>
          <w:rtl/>
        </w:rPr>
        <w:t xml:space="preserve"> ما للمحتال</w:t>
      </w:r>
      <w:r>
        <w:rPr>
          <w:rFonts w:hint="cs"/>
          <w:spacing w:val="-8"/>
          <w:vertAlign w:val="superscript"/>
          <w:rtl/>
        </w:rPr>
        <w:t>(</w:t>
      </w:r>
      <w:r>
        <w:rPr>
          <w:rStyle w:val="a7"/>
          <w:spacing w:val="-8"/>
          <w:rtl/>
        </w:rPr>
        <w:footnoteReference w:id="3952"/>
      </w:r>
      <w:r>
        <w:rPr>
          <w:rFonts w:hint="cs"/>
          <w:spacing w:val="-8"/>
          <w:vertAlign w:val="superscript"/>
          <w:rtl/>
        </w:rPr>
        <w:t>)</w:t>
      </w:r>
      <w:r>
        <w:rPr>
          <w:rFonts w:hint="cs"/>
          <w:spacing w:val="-8"/>
          <w:rtl/>
        </w:rPr>
        <w:t xml:space="preserve"> بـموت  المحتال عليه مفلسًا  وبغـير</w:t>
      </w:r>
    </w:p>
    <w:p w:rsidR="00C10469" w:rsidRDefault="00C10469">
      <w:pPr>
        <w:spacing w:line="500" w:lineRule="exact"/>
        <w:ind w:firstLine="0"/>
        <w:rPr>
          <w:spacing w:val="-8"/>
          <w:rtl/>
        </w:rPr>
      </w:pPr>
      <w:r>
        <w:rPr>
          <w:rFonts w:hint="cs"/>
          <w:spacing w:val="-8"/>
          <w:rtl/>
        </w:rPr>
        <w:lastRenderedPageBreak/>
        <w:t xml:space="preserve"> ذلك يرجع على المحيل</w:t>
      </w:r>
      <w:r>
        <w:rPr>
          <w:rFonts w:hint="cs"/>
          <w:spacing w:val="-8"/>
          <w:vertAlign w:val="superscript"/>
          <w:rtl/>
        </w:rPr>
        <w:t>(</w:t>
      </w:r>
      <w:r>
        <w:rPr>
          <w:rStyle w:val="a7"/>
          <w:spacing w:val="-8"/>
          <w:rtl/>
        </w:rPr>
        <w:footnoteReference w:id="3953"/>
      </w:r>
      <w:r>
        <w:rPr>
          <w:rFonts w:hint="cs"/>
          <w:spacing w:val="-8"/>
          <w:vertAlign w:val="superscript"/>
          <w:rtl/>
        </w:rPr>
        <w:t>)</w:t>
      </w:r>
      <w:r>
        <w:rPr>
          <w:rFonts w:hint="cs"/>
          <w:spacing w:val="-8"/>
          <w:rtl/>
        </w:rPr>
        <w:t xml:space="preserve">، مع </w:t>
      </w:r>
      <w:r>
        <w:rPr>
          <w:rFonts w:hint="eastAsia"/>
          <w:spacing w:val="-8"/>
          <w:rtl/>
        </w:rPr>
        <w:t>«</w:t>
      </w:r>
      <w:r>
        <w:rPr>
          <w:rFonts w:hint="cs"/>
          <w:spacing w:val="-8"/>
          <w:rtl/>
        </w:rPr>
        <w:t>أن المحال</w:t>
      </w:r>
      <w:r>
        <w:rPr>
          <w:rStyle w:val="a7"/>
          <w:spacing w:val="-8"/>
          <w:rtl/>
        </w:rPr>
        <w:footnoteReference w:id="3954"/>
      </w:r>
      <w:r>
        <w:rPr>
          <w:rFonts w:hint="cs"/>
          <w:spacing w:val="-8"/>
          <w:rtl/>
        </w:rPr>
        <w:t xml:space="preserve"> وقت الحوالة مخيّر بين أن يقبل الحوالة فينتقل</w:t>
      </w:r>
      <w:r>
        <w:rPr>
          <w:rStyle w:val="a7"/>
          <w:spacing w:val="-8"/>
          <w:rtl/>
        </w:rPr>
        <w:footnoteReference w:id="3955"/>
      </w:r>
      <w:r>
        <w:rPr>
          <w:rFonts w:hint="cs"/>
          <w:spacing w:val="-8"/>
          <w:rtl/>
        </w:rPr>
        <w:t xml:space="preserve"> حقه إلى ذمة المحال عليه، وبين أن يأباها إبقاءً لحقّه في ذمة المحيل</w:t>
      </w:r>
      <w:r>
        <w:rPr>
          <w:rFonts w:hint="eastAsia"/>
          <w:spacing w:val="-8"/>
          <w:rtl/>
        </w:rPr>
        <w:t>»</w:t>
      </w:r>
      <w:r>
        <w:rPr>
          <w:rFonts w:hint="cs"/>
          <w:spacing w:val="-8"/>
          <w:vertAlign w:val="superscript"/>
          <w:rtl/>
        </w:rPr>
        <w:t>(</w:t>
      </w:r>
      <w:r>
        <w:rPr>
          <w:rStyle w:val="a7"/>
          <w:spacing w:val="-8"/>
          <w:rtl/>
        </w:rPr>
        <w:footnoteReference w:id="3956"/>
      </w:r>
      <w:r>
        <w:rPr>
          <w:rFonts w:hint="cs"/>
          <w:spacing w:val="-8"/>
          <w:vertAlign w:val="superscript"/>
          <w:rtl/>
        </w:rPr>
        <w:t>)</w:t>
      </w:r>
      <w:r>
        <w:rPr>
          <w:rFonts w:hint="cs"/>
          <w:spacing w:val="-8"/>
          <w:rtl/>
        </w:rPr>
        <w:t>، فهذا الأصل يقتضي</w:t>
      </w:r>
      <w:r>
        <w:rPr>
          <w:rStyle w:val="a7"/>
          <w:spacing w:val="-8"/>
          <w:rtl/>
        </w:rPr>
        <w:footnoteReference w:id="3957"/>
      </w:r>
      <w:r>
        <w:rPr>
          <w:rFonts w:hint="cs"/>
          <w:spacing w:val="-8"/>
          <w:rtl/>
        </w:rPr>
        <w:t xml:space="preserve"> أن لا يرجع على المحيل؛ لأنه اختار</w:t>
      </w:r>
      <w:r>
        <w:rPr>
          <w:rStyle w:val="a7"/>
          <w:spacing w:val="-8"/>
          <w:rtl/>
        </w:rPr>
        <w:footnoteReference w:id="3958"/>
      </w:r>
      <w:r>
        <w:rPr>
          <w:rFonts w:hint="cs"/>
          <w:spacing w:val="-8"/>
          <w:rtl/>
        </w:rPr>
        <w:t xml:space="preserve"> الحوالة.</w:t>
      </w:r>
    </w:p>
    <w:p w:rsidR="00C10469" w:rsidRDefault="00C10469">
      <w:pPr>
        <w:spacing w:line="500" w:lineRule="exact"/>
        <w:rPr>
          <w:spacing w:val="-8"/>
          <w:rtl/>
        </w:rPr>
      </w:pPr>
      <w:r>
        <w:rPr>
          <w:rFonts w:hint="cs"/>
          <w:b/>
          <w:bCs/>
          <w:spacing w:val="-8"/>
          <w:rtl/>
        </w:rPr>
        <w:t>والجواب</w:t>
      </w:r>
      <w:r>
        <w:rPr>
          <w:rFonts w:hint="cs"/>
          <w:spacing w:val="-8"/>
          <w:rtl/>
        </w:rPr>
        <w:t xml:space="preserve">: أن قوله: </w:t>
      </w:r>
      <w:r>
        <w:rPr>
          <w:rFonts w:hint="eastAsia"/>
          <w:spacing w:val="-8"/>
          <w:rtl/>
        </w:rPr>
        <w:t>«</w:t>
      </w:r>
      <w:r>
        <w:rPr>
          <w:rFonts w:hint="cs"/>
          <w:spacing w:val="-8"/>
          <w:rtl/>
        </w:rPr>
        <w:t>إذا اختارَ أحدَهُمَا تعيّن عليه: إماَّ أن يريد به شيئين أحدهما أصل</w:t>
      </w:r>
      <w:r>
        <w:rPr>
          <w:rStyle w:val="a7"/>
          <w:spacing w:val="-8"/>
          <w:rtl/>
        </w:rPr>
        <w:footnoteReference w:id="3959"/>
      </w:r>
      <w:r>
        <w:rPr>
          <w:rFonts w:hint="cs"/>
          <w:spacing w:val="-8"/>
          <w:rtl/>
        </w:rPr>
        <w:t>، والآخر [خلف]</w:t>
      </w:r>
      <w:r>
        <w:rPr>
          <w:rStyle w:val="a7"/>
          <w:spacing w:val="-8"/>
          <w:rtl/>
        </w:rPr>
        <w:footnoteReference w:id="3960"/>
      </w:r>
      <w:r>
        <w:rPr>
          <w:rFonts w:hint="cs"/>
          <w:spacing w:val="-8"/>
          <w:rtl/>
        </w:rPr>
        <w:t xml:space="preserve"> عنه. </w:t>
      </w:r>
      <w:r>
        <w:rPr>
          <w:rFonts w:hint="cs"/>
          <w:spacing w:val="-12"/>
          <w:rtl/>
        </w:rPr>
        <w:t>[أ]</w:t>
      </w:r>
      <w:r>
        <w:rPr>
          <w:rStyle w:val="a7"/>
          <w:spacing w:val="-12"/>
          <w:rtl/>
        </w:rPr>
        <w:footnoteReference w:id="3961"/>
      </w:r>
      <w:r>
        <w:rPr>
          <w:rFonts w:hint="cs"/>
          <w:spacing w:val="-12"/>
          <w:rtl/>
        </w:rPr>
        <w:t>و</w:t>
      </w:r>
      <w:r>
        <w:rPr>
          <w:rFonts w:hint="cs"/>
          <w:spacing w:val="-8"/>
          <w:rtl/>
        </w:rPr>
        <w:t xml:space="preserve">  كل واحد</w:t>
      </w:r>
      <w:r>
        <w:rPr>
          <w:rStyle w:val="a7"/>
          <w:spacing w:val="-8"/>
          <w:rtl/>
        </w:rPr>
        <w:footnoteReference w:id="3962"/>
      </w:r>
      <w:r>
        <w:rPr>
          <w:rFonts w:hint="cs"/>
          <w:spacing w:val="-8"/>
          <w:rtl/>
        </w:rPr>
        <w:t xml:space="preserve"> منهما أصل: </w:t>
      </w:r>
    </w:p>
    <w:p w:rsidR="00C10469" w:rsidRDefault="00C10469" w:rsidP="00C10469">
      <w:pPr>
        <w:ind w:left="1131" w:hanging="283"/>
        <w:rPr>
          <w:spacing w:val="-8"/>
          <w:rtl/>
        </w:rPr>
      </w:pPr>
      <w:r>
        <w:rPr>
          <w:spacing w:val="-8"/>
          <w:rtl/>
        </w:rPr>
        <w:t>•</w:t>
      </w:r>
      <w:r>
        <w:rPr>
          <w:rFonts w:hint="cs"/>
          <w:spacing w:val="-8"/>
          <w:rtl/>
        </w:rPr>
        <w:t xml:space="preserve">  فإن كان الثاني فليس مماّ نحن فيه، فقياسه عليه فاسد. </w:t>
      </w:r>
    </w:p>
    <w:p w:rsidR="00C10469" w:rsidRDefault="00C10469" w:rsidP="00C10469">
      <w:pPr>
        <w:ind w:left="1131" w:hanging="283"/>
        <w:rPr>
          <w:rtl/>
        </w:rPr>
        <w:sectPr w:rsidR="00C10469" w:rsidSect="00C10469">
          <w:headerReference w:type="default" r:id="rId24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spacing w:val="-8"/>
          <w:rtl/>
        </w:rPr>
        <w:t>•</w:t>
      </w:r>
      <w:r>
        <w:rPr>
          <w:rFonts w:hint="cs"/>
          <w:spacing w:val="-8"/>
          <w:rtl/>
        </w:rPr>
        <w:t xml:space="preserve">  وإن كان الأول فلا نسلّم أنه إذا اختار أحدهما تعيَّن؛ بل إذا اختار [الخلف]</w:t>
      </w:r>
      <w:r>
        <w:rPr>
          <w:rStyle w:val="a7"/>
          <w:spacing w:val="-8"/>
          <w:rtl/>
        </w:rPr>
        <w:footnoteReference w:id="3963"/>
      </w:r>
      <w:r>
        <w:rPr>
          <w:rFonts w:hint="cs"/>
          <w:spacing w:val="-8"/>
          <w:rtl/>
        </w:rPr>
        <w:t>ولم يحصل المقصود كان له الرجوع إلى الأصل؛ لأن اختيار</w:t>
      </w:r>
      <w:r>
        <w:rPr>
          <w:rStyle w:val="a7"/>
          <w:spacing w:val="-8"/>
          <w:rtl/>
        </w:rPr>
        <w:footnoteReference w:id="3964"/>
      </w:r>
      <w:r>
        <w:rPr>
          <w:rFonts w:hint="cs"/>
          <w:spacing w:val="-8"/>
          <w:rtl/>
        </w:rPr>
        <w:t xml:space="preserve"> </w:t>
      </w:r>
      <w:r>
        <w:rPr>
          <w:rFonts w:hint="cs"/>
          <w:spacing w:val="-8"/>
          <w:rtl/>
        </w:rPr>
        <w:lastRenderedPageBreak/>
        <w:t>[الخلف]</w:t>
      </w:r>
      <w:r>
        <w:rPr>
          <w:rStyle w:val="a7"/>
          <w:spacing w:val="-8"/>
          <w:rtl/>
        </w:rPr>
        <w:footnoteReference w:id="3965"/>
      </w:r>
      <w:r>
        <w:rPr>
          <w:rFonts w:hint="cs"/>
          <w:spacing w:val="-8"/>
          <w:rtl/>
        </w:rPr>
        <w:t xml:space="preserve"> وترك الأصل لم يكن إلا للتوثّق</w:t>
      </w:r>
      <w:r>
        <w:rPr>
          <w:rFonts w:hint="eastAsia"/>
          <w:spacing w:val="-8"/>
          <w:rtl/>
        </w:rPr>
        <w:t>»</w:t>
      </w:r>
      <w:r>
        <w:rPr>
          <w:rFonts w:hint="cs"/>
          <w:spacing w:val="-8"/>
          <w:rtl/>
        </w:rPr>
        <w:t>.</w:t>
      </w:r>
      <w:r>
        <w:rPr>
          <w:rFonts w:hint="cs"/>
          <w:spacing w:val="-8"/>
          <w:vertAlign w:val="superscript"/>
          <w:rtl/>
        </w:rPr>
        <w:t>(</w:t>
      </w:r>
      <w:r>
        <w:rPr>
          <w:rStyle w:val="a7"/>
          <w:spacing w:val="-8"/>
          <w:rtl/>
        </w:rPr>
        <w:footnoteReference w:id="3966"/>
      </w:r>
      <w:r>
        <w:rPr>
          <w:rFonts w:hint="cs"/>
          <w:spacing w:val="-8"/>
          <w:vertAlign w:val="superscript"/>
          <w:rtl/>
        </w:rPr>
        <w:t>)</w:t>
      </w:r>
      <w:r>
        <w:rPr>
          <w:rFonts w:hint="cs"/>
          <w:spacing w:val="-8"/>
          <w:rtl/>
        </w:rPr>
        <w:t xml:space="preserve"> والتعيين ينافي التّوثق.</w:t>
      </w:r>
      <w:r>
        <w:rPr>
          <w:rtl/>
        </w:rPr>
        <w:t xml:space="preserve"> </w:t>
      </w:r>
    </w:p>
    <w:p w:rsidR="00C10469" w:rsidRPr="00032E7E" w:rsidRDefault="00C10469">
      <w:pPr>
        <w:pStyle w:val="a9"/>
        <w:rPr>
          <w:rFonts w:cs="AL-Mateen"/>
          <w:rtl/>
        </w:rPr>
      </w:pPr>
      <w:r w:rsidRPr="00032E7E">
        <w:rPr>
          <w:rFonts w:cs="AL-Mateen" w:hint="cs"/>
          <w:rtl/>
        </w:rPr>
        <w:lastRenderedPageBreak/>
        <w:t>[القاعدة الثانية والتسعون بعد المائة]</w:t>
      </w:r>
    </w:p>
    <w:p w:rsidR="00C10469" w:rsidRDefault="00C10469">
      <w:pPr>
        <w:rPr>
          <w:spacing w:val="-8"/>
          <w:rtl/>
        </w:rPr>
      </w:pPr>
      <w:r>
        <w:rPr>
          <w:rFonts w:cs="Monotype Koufi" w:hint="cs"/>
          <w:rtl/>
        </w:rPr>
        <w:t>الكَيْلِيُّ و الوَزْنِيُّ مَبِيعٌ بِأعيَانِهِمَا، ثمنٌ</w:t>
      </w:r>
      <w:r>
        <w:rPr>
          <w:rStyle w:val="a7"/>
          <w:rtl/>
        </w:rPr>
        <w:footnoteReference w:id="3967"/>
      </w:r>
      <w:r>
        <w:rPr>
          <w:rFonts w:cs="Monotype Koufi" w:hint="cs"/>
          <w:bCs/>
          <w:rtl/>
        </w:rPr>
        <w:t xml:space="preserve"> </w:t>
      </w:r>
      <w:r>
        <w:rPr>
          <w:rFonts w:cs="Monotype Koufi" w:hint="cs"/>
          <w:rtl/>
        </w:rPr>
        <w:t>بأَوْصَافِهِمَا</w:t>
      </w:r>
      <w:r>
        <w:rPr>
          <w:rFonts w:hint="cs"/>
          <w:spacing w:val="-8"/>
          <w:vertAlign w:val="superscript"/>
          <w:rtl/>
        </w:rPr>
        <w:t>(</w:t>
      </w:r>
      <w:r>
        <w:rPr>
          <w:rStyle w:val="a7"/>
          <w:spacing w:val="-8"/>
          <w:rtl/>
        </w:rPr>
        <w:footnoteReference w:id="3968"/>
      </w:r>
      <w:r>
        <w:rPr>
          <w:rFonts w:hint="cs"/>
          <w:spacing w:val="-8"/>
          <w:vertAlign w:val="superscript"/>
          <w:rtl/>
        </w:rPr>
        <w:t>)</w:t>
      </w:r>
      <w:r>
        <w:rPr>
          <w:rFonts w:hint="cs"/>
          <w:spacing w:val="-8"/>
          <w:rtl/>
        </w:rPr>
        <w:t>:</w:t>
      </w:r>
    </w:p>
    <w:p w:rsidR="00C10469" w:rsidRDefault="00C10469">
      <w:pPr>
        <w:rPr>
          <w:spacing w:val="-8"/>
          <w:rtl/>
        </w:rPr>
      </w:pPr>
      <w:r>
        <w:rPr>
          <w:rFonts w:hint="cs"/>
          <w:spacing w:val="-8"/>
          <w:rtl/>
        </w:rPr>
        <w:t xml:space="preserve"> </w:t>
      </w:r>
      <w:r>
        <w:rPr>
          <w:rFonts w:hint="eastAsia"/>
          <w:spacing w:val="-8"/>
          <w:rtl/>
        </w:rPr>
        <w:t>«</w:t>
      </w:r>
      <w:r>
        <w:rPr>
          <w:rFonts w:hint="cs"/>
          <w:spacing w:val="-8"/>
          <w:rtl/>
        </w:rPr>
        <w:t>فلو عُـيَّـنَا تعلّقَ</w:t>
      </w:r>
      <w:r>
        <w:rPr>
          <w:rStyle w:val="a7"/>
          <w:spacing w:val="-8"/>
          <w:rtl/>
        </w:rPr>
        <w:footnoteReference w:id="3969"/>
      </w:r>
      <w:r>
        <w:rPr>
          <w:rFonts w:hint="cs"/>
          <w:spacing w:val="-8"/>
          <w:rtl/>
        </w:rPr>
        <w:t xml:space="preserve"> </w:t>
      </w:r>
      <w:r>
        <w:rPr>
          <w:rFonts w:hint="cs"/>
          <w:rtl/>
        </w:rPr>
        <w:t>العقدُ بأعيانهما</w:t>
      </w:r>
      <w:r>
        <w:rPr>
          <w:rFonts w:hint="cs"/>
          <w:spacing w:val="-8"/>
          <w:rtl/>
        </w:rPr>
        <w:t xml:space="preserve"> [و]</w:t>
      </w:r>
      <w:r>
        <w:rPr>
          <w:rStyle w:val="a7"/>
          <w:spacing w:val="-8"/>
          <w:rtl/>
        </w:rPr>
        <w:footnoteReference w:id="3970"/>
      </w:r>
      <w:r>
        <w:rPr>
          <w:rFonts w:hint="cs"/>
          <w:spacing w:val="-8"/>
          <w:rtl/>
        </w:rPr>
        <w:t xml:space="preserve"> يكون</w:t>
      </w:r>
      <w:r>
        <w:rPr>
          <w:rStyle w:val="a7"/>
          <w:spacing w:val="-8"/>
          <w:rtl/>
        </w:rPr>
        <w:footnoteReference w:id="3971"/>
      </w:r>
      <w:r>
        <w:rPr>
          <w:rFonts w:hint="cs"/>
          <w:spacing w:val="-8"/>
          <w:rtl/>
        </w:rPr>
        <w:t xml:space="preserve"> مبـيعًا. ولو وُصِفا</w:t>
      </w:r>
      <w:r>
        <w:rPr>
          <w:rStyle w:val="a7"/>
          <w:spacing w:val="-8"/>
          <w:rtl/>
        </w:rPr>
        <w:footnoteReference w:id="3972"/>
      </w:r>
      <w:r>
        <w:rPr>
          <w:rFonts w:hint="cs"/>
          <w:spacing w:val="-8"/>
          <w:rtl/>
        </w:rPr>
        <w:t xml:space="preserve"> ولم يُعيّنا</w:t>
      </w:r>
      <w:r>
        <w:rPr>
          <w:rStyle w:val="a7"/>
          <w:spacing w:val="-8"/>
          <w:rtl/>
        </w:rPr>
        <w:footnoteReference w:id="3973"/>
      </w:r>
      <w:r>
        <w:rPr>
          <w:rFonts w:hint="cs"/>
          <w:spacing w:val="-8"/>
          <w:rtl/>
        </w:rPr>
        <w:t xml:space="preserve">  صار </w:t>
      </w:r>
      <w:r>
        <w:rPr>
          <w:rFonts w:hint="cs"/>
          <w:spacing w:val="-8"/>
          <w:rtl/>
        </w:rPr>
        <w:lastRenderedPageBreak/>
        <w:t>حكمهما كحكم الدنانير</w:t>
      </w:r>
      <w:r>
        <w:rPr>
          <w:rFonts w:hint="eastAsia"/>
          <w:spacing w:val="-8"/>
          <w:rtl/>
        </w:rPr>
        <w:t>»</w:t>
      </w:r>
      <w:r>
        <w:rPr>
          <w:rFonts w:hint="cs"/>
          <w:spacing w:val="-8"/>
          <w:vertAlign w:val="superscript"/>
          <w:rtl/>
        </w:rPr>
        <w:t>(</w:t>
      </w:r>
      <w:r>
        <w:rPr>
          <w:rStyle w:val="a7"/>
          <w:spacing w:val="-8"/>
          <w:rtl/>
        </w:rPr>
        <w:footnoteReference w:id="3974"/>
      </w:r>
      <w:r>
        <w:rPr>
          <w:rFonts w:hint="cs"/>
          <w:spacing w:val="-8"/>
          <w:vertAlign w:val="superscript"/>
          <w:rtl/>
        </w:rPr>
        <w:t>)</w:t>
      </w:r>
      <w:r>
        <w:rPr>
          <w:rFonts w:hint="cs"/>
          <w:spacing w:val="-8"/>
          <w:rtl/>
        </w:rPr>
        <w:t>، فيكون</w:t>
      </w:r>
      <w:r>
        <w:rPr>
          <w:rStyle w:val="a7"/>
          <w:spacing w:val="-8"/>
          <w:rtl/>
        </w:rPr>
        <w:footnoteReference w:id="3975"/>
      </w:r>
      <w:r>
        <w:rPr>
          <w:rFonts w:hint="cs"/>
          <w:spacing w:val="-8"/>
          <w:rtl/>
        </w:rPr>
        <w:t xml:space="preserve"> ثمنًا.</w:t>
      </w:r>
    </w:p>
    <w:p w:rsidR="00C10469" w:rsidRDefault="00C10469">
      <w:pPr>
        <w:rPr>
          <w:spacing w:val="-8"/>
          <w:rtl/>
        </w:rPr>
      </w:pPr>
      <w:r>
        <w:rPr>
          <w:rFonts w:hint="cs"/>
          <w:spacing w:val="-8"/>
          <w:rtl/>
        </w:rPr>
        <w:t xml:space="preserve">فإذا </w:t>
      </w:r>
      <w:r>
        <w:rPr>
          <w:rFonts w:hint="eastAsia"/>
          <w:spacing w:val="-8"/>
          <w:rtl/>
        </w:rPr>
        <w:t>«</w:t>
      </w:r>
      <w:r>
        <w:rPr>
          <w:rFonts w:hint="cs"/>
          <w:spacing w:val="-8"/>
          <w:rtl/>
        </w:rPr>
        <w:t>استثنى وزنيًّا،  أو كيليا من دراهم : صح قيمته</w:t>
      </w:r>
      <w:r>
        <w:rPr>
          <w:rFonts w:hint="cs"/>
          <w:spacing w:val="-8"/>
          <w:vertAlign w:val="superscript"/>
          <w:rtl/>
        </w:rPr>
        <w:t>(</w:t>
      </w:r>
      <w:r>
        <w:rPr>
          <w:rStyle w:val="a7"/>
          <w:spacing w:val="-8"/>
          <w:rtl/>
        </w:rPr>
        <w:footnoteReference w:id="3976"/>
      </w:r>
      <w:r>
        <w:rPr>
          <w:rFonts w:hint="cs"/>
          <w:spacing w:val="-8"/>
          <w:vertAlign w:val="superscript"/>
          <w:rtl/>
        </w:rPr>
        <w:t>)</w:t>
      </w:r>
      <w:r>
        <w:rPr>
          <w:rFonts w:hint="cs"/>
          <w:spacing w:val="-8"/>
          <w:rtl/>
        </w:rPr>
        <w:t>. يعني لو قال : له علّى مائة درهم إلا دينارًا، و</w:t>
      </w:r>
      <w:r>
        <w:rPr>
          <w:rFonts w:hint="cs"/>
          <w:spacing w:val="-8"/>
          <w:vertAlign w:val="superscript"/>
          <w:rtl/>
        </w:rPr>
        <w:t>(</w:t>
      </w:r>
      <w:r>
        <w:rPr>
          <w:rStyle w:val="a7"/>
          <w:spacing w:val="-8"/>
          <w:rtl/>
        </w:rPr>
        <w:footnoteReference w:id="3977"/>
      </w:r>
      <w:r>
        <w:rPr>
          <w:rFonts w:hint="cs"/>
          <w:spacing w:val="-8"/>
          <w:vertAlign w:val="superscript"/>
          <w:rtl/>
        </w:rPr>
        <w:t xml:space="preserve">) </w:t>
      </w:r>
      <w:r>
        <w:rPr>
          <w:rFonts w:hint="cs"/>
          <w:spacing w:val="-8"/>
          <w:rtl/>
        </w:rPr>
        <w:t>إلاّ قفيز حنطةٍ : صحّ عند أبي حنيفة وأبي يوسف، ولزمه مائة درهم إلا قيمة الدينار أو القفيز استحسانًا.</w:t>
      </w:r>
    </w:p>
    <w:p w:rsidR="00C10469" w:rsidRDefault="00C10469">
      <w:pPr>
        <w:rPr>
          <w:spacing w:val="-8"/>
          <w:rtl/>
        </w:rPr>
      </w:pPr>
      <w:r>
        <w:rPr>
          <w:rFonts w:hint="cs"/>
          <w:b/>
          <w:bCs/>
          <w:spacing w:val="-8"/>
          <w:rtl/>
        </w:rPr>
        <w:t xml:space="preserve">والقياس </w:t>
      </w:r>
      <w:r>
        <w:rPr>
          <w:rFonts w:hint="cs"/>
          <w:spacing w:val="-8"/>
          <w:rtl/>
        </w:rPr>
        <w:t>: أن لا يصح</w:t>
      </w:r>
      <w:r>
        <w:rPr>
          <w:rFonts w:hint="cs"/>
          <w:spacing w:val="-8"/>
          <w:vertAlign w:val="superscript"/>
          <w:rtl/>
        </w:rPr>
        <w:t>(</w:t>
      </w:r>
      <w:r>
        <w:rPr>
          <w:rStyle w:val="a7"/>
          <w:spacing w:val="-8"/>
          <w:rtl/>
        </w:rPr>
        <w:footnoteReference w:id="3978"/>
      </w:r>
      <w:r>
        <w:rPr>
          <w:rFonts w:hint="cs"/>
          <w:spacing w:val="-8"/>
          <w:vertAlign w:val="superscript"/>
          <w:rtl/>
        </w:rPr>
        <w:t>)</w:t>
      </w:r>
      <w:r>
        <w:rPr>
          <w:rFonts w:hint="cs"/>
          <w:spacing w:val="-8"/>
          <w:rtl/>
        </w:rPr>
        <w:t>؛ لأن الاستثناء إخراج بعض ما تناوله صدر الكلام، على معنى أنّه لولا الاستثناء لكان داخلاً تحت الصدر. وهذا لا يتصور في خلاف الجنس</w:t>
      </w:r>
      <w:r>
        <w:rPr>
          <w:rFonts w:hint="eastAsia"/>
          <w:spacing w:val="-8"/>
          <w:rtl/>
        </w:rPr>
        <w:t>»</w:t>
      </w:r>
      <w:r>
        <w:rPr>
          <w:rFonts w:hint="cs"/>
          <w:spacing w:val="-8"/>
          <w:vertAlign w:val="superscript"/>
          <w:rtl/>
        </w:rPr>
        <w:t>(</w:t>
      </w:r>
      <w:r>
        <w:rPr>
          <w:rStyle w:val="a7"/>
          <w:spacing w:val="-8"/>
          <w:rtl/>
        </w:rPr>
        <w:footnoteReference w:id="3979"/>
      </w:r>
      <w:r>
        <w:rPr>
          <w:rFonts w:hint="cs"/>
          <w:spacing w:val="-8"/>
          <w:vertAlign w:val="superscript"/>
          <w:rtl/>
        </w:rPr>
        <w:t>)</w:t>
      </w:r>
      <w:r>
        <w:rPr>
          <w:rFonts w:hint="cs"/>
          <w:spacing w:val="-8"/>
          <w:rtl/>
        </w:rPr>
        <w:t>.</w:t>
      </w:r>
    </w:p>
    <w:p w:rsidR="00C10469" w:rsidRDefault="00C10469">
      <w:pPr>
        <w:rPr>
          <w:spacing w:val="-8"/>
          <w:rtl/>
        </w:rPr>
      </w:pPr>
      <w:r>
        <w:rPr>
          <w:rFonts w:hint="cs"/>
          <w:b/>
          <w:bCs/>
          <w:spacing w:val="-8"/>
          <w:rtl/>
        </w:rPr>
        <w:t xml:space="preserve">وصحّحاه </w:t>
      </w:r>
      <w:r>
        <w:rPr>
          <w:rFonts w:hint="cs"/>
          <w:spacing w:val="-8"/>
          <w:rtl/>
        </w:rPr>
        <w:t>: بأن المقدّرات</w:t>
      </w:r>
      <w:r>
        <w:rPr>
          <w:rStyle w:val="a7"/>
          <w:spacing w:val="-8"/>
          <w:rtl/>
        </w:rPr>
        <w:footnoteReference w:id="3980"/>
      </w:r>
      <w:r>
        <w:rPr>
          <w:rFonts w:hint="cs"/>
          <w:spacing w:val="-8"/>
          <w:rtl/>
        </w:rPr>
        <w:t xml:space="preserve"> جنسٌ واحد معنى، وكانت في حكم الثبوت في الذمة كجنس واحد معنى، </w:t>
      </w:r>
      <w:r>
        <w:rPr>
          <w:rFonts w:hint="eastAsia"/>
          <w:spacing w:val="-8"/>
          <w:rtl/>
        </w:rPr>
        <w:t>«</w:t>
      </w:r>
      <w:r>
        <w:rPr>
          <w:rFonts w:hint="cs"/>
          <w:spacing w:val="-8"/>
          <w:rtl/>
        </w:rPr>
        <w:t>فالاستثناء تكلّمٌ بالباقي</w:t>
      </w:r>
      <w:r>
        <w:rPr>
          <w:rFonts w:hint="eastAsia"/>
          <w:spacing w:val="-8"/>
          <w:rtl/>
        </w:rPr>
        <w:t>»</w:t>
      </w:r>
      <w:r>
        <w:rPr>
          <w:rFonts w:hint="cs"/>
          <w:spacing w:val="-8"/>
          <w:vertAlign w:val="superscript"/>
          <w:rtl/>
        </w:rPr>
        <w:t>(</w:t>
      </w:r>
      <w:r>
        <w:rPr>
          <w:rStyle w:val="a7"/>
          <w:spacing w:val="-8"/>
          <w:rtl/>
        </w:rPr>
        <w:footnoteReference w:id="3981"/>
      </w:r>
      <w:r>
        <w:rPr>
          <w:rFonts w:hint="cs"/>
          <w:spacing w:val="-8"/>
          <w:vertAlign w:val="superscript"/>
          <w:rtl/>
        </w:rPr>
        <w:t>)</w:t>
      </w:r>
      <w:r>
        <w:rPr>
          <w:rFonts w:hint="cs"/>
          <w:spacing w:val="-8"/>
          <w:rtl/>
        </w:rPr>
        <w:t xml:space="preserve"> معنى لا صورة</w:t>
      </w:r>
      <w:r>
        <w:rPr>
          <w:rFonts w:hint="cs"/>
          <w:spacing w:val="-8"/>
          <w:vertAlign w:val="superscript"/>
          <w:rtl/>
        </w:rPr>
        <w:t>(</w:t>
      </w:r>
      <w:r>
        <w:rPr>
          <w:rStyle w:val="a7"/>
          <w:spacing w:val="-8"/>
          <w:rtl/>
        </w:rPr>
        <w:footnoteReference w:id="3982"/>
      </w:r>
      <w:r>
        <w:rPr>
          <w:rFonts w:hint="cs"/>
          <w:spacing w:val="-8"/>
          <w:vertAlign w:val="superscript"/>
          <w:rtl/>
        </w:rPr>
        <w:t>)</w:t>
      </w:r>
      <w:r>
        <w:rPr>
          <w:rFonts w:hint="cs"/>
          <w:spacing w:val="-8"/>
          <w:rtl/>
        </w:rPr>
        <w:t xml:space="preserve"> .</w:t>
      </w:r>
    </w:p>
    <w:p w:rsidR="00C10469" w:rsidRDefault="00C10469">
      <w:pPr>
        <w:rPr>
          <w:spacing w:val="-8"/>
          <w:rtl/>
        </w:rPr>
      </w:pPr>
    </w:p>
    <w:p w:rsidR="00C10469" w:rsidRDefault="00C10469" w:rsidP="00C10469">
      <w:pPr>
        <w:jc w:val="center"/>
        <w:rPr>
          <w:rFonts w:ascii="AGA Arabesque" w:hAnsi="AGA Arabesque"/>
          <w:sz w:val="50"/>
          <w:szCs w:val="50"/>
        </w:rPr>
        <w:sectPr w:rsidR="00C10469" w:rsidSect="00C10469">
          <w:headerReference w:type="default" r:id="rId24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7163DA" w:rsidRDefault="00C10469">
      <w:pPr>
        <w:pStyle w:val="a9"/>
        <w:rPr>
          <w:rFonts w:cs="AL-Mateen"/>
          <w:rtl/>
        </w:rPr>
      </w:pPr>
      <w:r w:rsidRPr="007163DA">
        <w:rPr>
          <w:rFonts w:cs="AL-Mateen" w:hint="cs"/>
          <w:rtl/>
        </w:rPr>
        <w:lastRenderedPageBreak/>
        <w:t>[القاعدة الثالثة والتسعون بعد المائة]</w:t>
      </w:r>
    </w:p>
    <w:p w:rsidR="00C10469" w:rsidRDefault="00C10469">
      <w:pPr>
        <w:rPr>
          <w:spacing w:val="-8"/>
          <w:rtl/>
        </w:rPr>
      </w:pPr>
      <w:r>
        <w:rPr>
          <w:rFonts w:cs="Monotype Koufi" w:hint="cs"/>
          <w:rtl/>
        </w:rPr>
        <w:t>لا ي</w:t>
      </w:r>
      <w:r>
        <w:rPr>
          <w:rFonts w:cs="Monotype Koufi" w:hint="cs"/>
          <w:rtl/>
          <w:lang w:bidi="ar-AE"/>
        </w:rPr>
        <w:t>ُ</w:t>
      </w:r>
      <w:r>
        <w:rPr>
          <w:rFonts w:cs="Monotype Koufi" w:hint="cs"/>
          <w:rtl/>
        </w:rPr>
        <w:t>بَالَى</w:t>
      </w:r>
      <w:r>
        <w:rPr>
          <w:rStyle w:val="a7"/>
          <w:spacing w:val="-8"/>
          <w:rtl/>
        </w:rPr>
        <w:footnoteReference w:id="3983"/>
      </w:r>
      <w:r>
        <w:rPr>
          <w:rFonts w:hint="cs"/>
          <w:spacing w:val="-8"/>
          <w:rtl/>
        </w:rPr>
        <w:t xml:space="preserve"> </w:t>
      </w:r>
      <w:r>
        <w:rPr>
          <w:rFonts w:cs="Monotype Koufi" w:hint="cs"/>
          <w:rtl/>
        </w:rPr>
        <w:t>باختلافِ الأَسْبَابِ عندَ سَلاَمَةِ المَقْصُودِ</w:t>
      </w:r>
      <w:r>
        <w:rPr>
          <w:rFonts w:hint="cs"/>
          <w:spacing w:val="-8"/>
          <w:vertAlign w:val="superscript"/>
          <w:rtl/>
        </w:rPr>
        <w:t>(</w:t>
      </w:r>
      <w:r>
        <w:rPr>
          <w:rStyle w:val="a7"/>
          <w:spacing w:val="-8"/>
          <w:rtl/>
        </w:rPr>
        <w:footnoteReference w:id="3984"/>
      </w:r>
      <w:r>
        <w:rPr>
          <w:rFonts w:hint="cs"/>
          <w:spacing w:val="-8"/>
          <w:vertAlign w:val="superscript"/>
          <w:rtl/>
        </w:rPr>
        <w:t xml:space="preserve">) </w:t>
      </w:r>
      <w:r>
        <w:rPr>
          <w:rFonts w:hint="cs"/>
          <w:spacing w:val="-8"/>
          <w:rtl/>
        </w:rPr>
        <w:t>:</w:t>
      </w:r>
    </w:p>
    <w:p w:rsidR="00C10469" w:rsidRDefault="00C10469">
      <w:pPr>
        <w:rPr>
          <w:b/>
          <w:bCs/>
          <w:rtl/>
        </w:rPr>
      </w:pPr>
      <w:r>
        <w:rPr>
          <w:rFonts w:hint="cs"/>
          <w:b/>
          <w:bCs/>
          <w:rtl/>
        </w:rPr>
        <w:t xml:space="preserve">ومن فروع هذا الأصل : </w:t>
      </w:r>
    </w:p>
    <w:p w:rsidR="00C10469" w:rsidRDefault="00C10469" w:rsidP="00C10469">
      <w:pPr>
        <w:ind w:left="989" w:hanging="357"/>
        <w:rPr>
          <w:spacing w:val="10"/>
          <w:rtl/>
        </w:rPr>
      </w:pPr>
      <w:r>
        <w:rPr>
          <w:spacing w:val="10"/>
          <w:rtl/>
        </w:rPr>
        <w:t>•</w:t>
      </w:r>
      <w:r>
        <w:rPr>
          <w:rFonts w:hint="cs"/>
          <w:spacing w:val="10"/>
          <w:rtl/>
        </w:rPr>
        <w:t xml:space="preserve">  إذا قبضتْ نصفَ مهرها، </w:t>
      </w:r>
      <w:r>
        <w:rPr>
          <w:rFonts w:hint="cs"/>
          <w:rtl/>
        </w:rPr>
        <w:t>فوهبت</w:t>
      </w:r>
      <w:r>
        <w:rPr>
          <w:rFonts w:hint="cs"/>
          <w:spacing w:val="10"/>
          <w:rtl/>
        </w:rPr>
        <w:t xml:space="preserve"> الكلَّ (أي النصف المقبوض، والنصف الذي لم يُقبضها</w:t>
      </w:r>
      <w:r>
        <w:rPr>
          <w:rStyle w:val="a7"/>
          <w:spacing w:val="10"/>
          <w:rtl/>
        </w:rPr>
        <w:footnoteReference w:id="3985"/>
      </w:r>
      <w:r>
        <w:rPr>
          <w:rFonts w:hint="cs"/>
          <w:spacing w:val="10"/>
          <w:rtl/>
        </w:rPr>
        <w:t xml:space="preserve"> بعد)، ثم طلّقها قبل الدخول : لا يرجع</w:t>
      </w:r>
      <w:r>
        <w:rPr>
          <w:rStyle w:val="a7"/>
          <w:spacing w:val="10"/>
          <w:rtl/>
        </w:rPr>
        <w:footnoteReference w:id="3986"/>
      </w:r>
      <w:r>
        <w:rPr>
          <w:rFonts w:hint="cs"/>
          <w:spacing w:val="10"/>
          <w:rtl/>
        </w:rPr>
        <w:t xml:space="preserve"> الزوج عليها</w:t>
      </w:r>
      <w:r>
        <w:rPr>
          <w:rStyle w:val="a7"/>
          <w:spacing w:val="10"/>
          <w:rtl/>
        </w:rPr>
        <w:footnoteReference w:id="3987"/>
      </w:r>
      <w:r>
        <w:rPr>
          <w:rFonts w:hint="cs"/>
          <w:spacing w:val="10"/>
          <w:rtl/>
        </w:rPr>
        <w:t xml:space="preserve"> بشيء</w:t>
      </w:r>
      <w:r>
        <w:rPr>
          <w:rFonts w:hint="cs"/>
          <w:spacing w:val="10"/>
          <w:vertAlign w:val="superscript"/>
          <w:rtl/>
        </w:rPr>
        <w:t>(</w:t>
      </w:r>
      <w:r>
        <w:rPr>
          <w:rStyle w:val="a7"/>
          <w:spacing w:val="10"/>
          <w:rtl/>
        </w:rPr>
        <w:footnoteReference w:id="3988"/>
      </w:r>
      <w:r>
        <w:rPr>
          <w:rFonts w:hint="cs"/>
          <w:spacing w:val="10"/>
          <w:vertAlign w:val="superscript"/>
          <w:rtl/>
        </w:rPr>
        <w:t>)</w:t>
      </w:r>
      <w:r>
        <w:rPr>
          <w:rFonts w:hint="cs"/>
          <w:spacing w:val="10"/>
          <w:rtl/>
        </w:rPr>
        <w:t xml:space="preserve">؛ إذْ سلمَ للزوْج عينُ مـا اسـتوجبه بالـطلاق قـبل الدخول. </w:t>
      </w:r>
    </w:p>
    <w:p w:rsidR="00C10469" w:rsidRDefault="00C10469" w:rsidP="00C10469">
      <w:pPr>
        <w:ind w:left="1097" w:firstLine="0"/>
        <w:rPr>
          <w:rtl/>
        </w:rPr>
      </w:pPr>
      <w:r>
        <w:rPr>
          <w:rFonts w:hint="cs"/>
          <w:rtl/>
        </w:rPr>
        <w:t>غايته : أن هذه السّلامة حصلَتْ بسبب</w:t>
      </w:r>
      <w:r>
        <w:rPr>
          <w:rStyle w:val="a7"/>
          <w:rtl/>
        </w:rPr>
        <w:footnoteReference w:id="3989"/>
      </w:r>
      <w:r>
        <w:rPr>
          <w:rFonts w:hint="cs"/>
          <w:rtl/>
        </w:rPr>
        <w:t xml:space="preserve"> آخر غير الطلاق (يعني </w:t>
      </w:r>
      <w:r>
        <w:rPr>
          <w:rFonts w:hint="cs"/>
          <w:rtl/>
        </w:rPr>
        <w:lastRenderedPageBreak/>
        <w:t>بالهبة). فالمقصود حاصل، فلا يبالى اختلاف</w:t>
      </w:r>
      <w:r>
        <w:rPr>
          <w:rStyle w:val="a7"/>
          <w:rtl/>
        </w:rPr>
        <w:footnoteReference w:id="3990"/>
      </w:r>
      <w:r>
        <w:rPr>
          <w:rFonts w:hint="cs"/>
          <w:rtl/>
        </w:rPr>
        <w:t xml:space="preserve"> السببين</w:t>
      </w:r>
      <w:r>
        <w:rPr>
          <w:rFonts w:hint="cs"/>
          <w:vertAlign w:val="superscript"/>
          <w:rtl/>
        </w:rPr>
        <w:t>(</w:t>
      </w:r>
      <w:r>
        <w:rPr>
          <w:rStyle w:val="a7"/>
          <w:rtl/>
        </w:rPr>
        <w:footnoteReference w:id="3991"/>
      </w:r>
      <w:r>
        <w:rPr>
          <w:rFonts w:hint="cs"/>
          <w:vertAlign w:val="superscript"/>
          <w:rtl/>
        </w:rPr>
        <w:t>)</w:t>
      </w:r>
      <w:r>
        <w:rPr>
          <w:rFonts w:hint="cs"/>
          <w:rtl/>
        </w:rPr>
        <w:t>.</w:t>
      </w:r>
    </w:p>
    <w:p w:rsidR="00C10469" w:rsidRDefault="00C10469" w:rsidP="00C10469">
      <w:pPr>
        <w:ind w:left="989" w:hanging="357"/>
        <w:rPr>
          <w:spacing w:val="-8"/>
          <w:rtl/>
        </w:rPr>
      </w:pPr>
      <w:r>
        <w:rPr>
          <w:spacing w:val="-8"/>
          <w:rtl/>
        </w:rPr>
        <w:t>•</w:t>
      </w:r>
      <w:r>
        <w:rPr>
          <w:rFonts w:hint="cs"/>
          <w:spacing w:val="-8"/>
          <w:rtl/>
        </w:rPr>
        <w:t xml:space="preserve">  </w:t>
      </w:r>
      <w:r>
        <w:rPr>
          <w:rFonts w:hint="eastAsia"/>
          <w:spacing w:val="-8"/>
          <w:rtl/>
        </w:rPr>
        <w:t>«</w:t>
      </w:r>
      <w:r>
        <w:rPr>
          <w:rFonts w:hint="cs"/>
          <w:spacing w:val="-8"/>
          <w:rtl/>
        </w:rPr>
        <w:t>كمن يقول لآخر : عليّ</w:t>
      </w:r>
      <w:r>
        <w:rPr>
          <w:rStyle w:val="a7"/>
          <w:spacing w:val="-8"/>
          <w:rtl/>
        </w:rPr>
        <w:footnoteReference w:id="3992"/>
      </w:r>
      <w:r>
        <w:rPr>
          <w:rFonts w:hint="cs"/>
          <w:spacing w:val="-8"/>
          <w:rtl/>
        </w:rPr>
        <w:t xml:space="preserve"> ألف درهم من ثمن هذه الجارية التي اشتريتها منك.</w:t>
      </w:r>
    </w:p>
    <w:p w:rsidR="00C10469" w:rsidRDefault="00C10469" w:rsidP="00C10469">
      <w:pPr>
        <w:ind w:left="989" w:hanging="357"/>
        <w:rPr>
          <w:spacing w:val="-8"/>
          <w:rtl/>
        </w:rPr>
      </w:pPr>
      <w:r>
        <w:rPr>
          <w:rFonts w:hint="cs"/>
          <w:spacing w:val="-8"/>
          <w:rtl/>
        </w:rPr>
        <w:t xml:space="preserve">    وقال الآخر : الجارية</w:t>
      </w:r>
      <w:r>
        <w:rPr>
          <w:rStyle w:val="a7"/>
          <w:spacing w:val="-8"/>
          <w:rtl/>
        </w:rPr>
        <w:footnoteReference w:id="3993"/>
      </w:r>
      <w:r>
        <w:rPr>
          <w:rFonts w:hint="cs"/>
          <w:spacing w:val="-8"/>
          <w:rtl/>
        </w:rPr>
        <w:t xml:space="preserve"> جاريتك ولي عليك ألف: </w:t>
      </w:r>
    </w:p>
    <w:p w:rsidR="00C10469" w:rsidRDefault="00C10469" w:rsidP="00C10469">
      <w:pPr>
        <w:ind w:left="989" w:hanging="357"/>
        <w:rPr>
          <w:spacing w:val="-8"/>
          <w:rtl/>
        </w:rPr>
      </w:pPr>
      <w:r>
        <w:rPr>
          <w:rFonts w:hint="cs"/>
          <w:spacing w:val="-8"/>
          <w:rtl/>
        </w:rPr>
        <w:t xml:space="preserve">    لزمه المال؛ لحصول المقصود، وإن كذّبه في السبب</w:t>
      </w:r>
      <w:r>
        <w:rPr>
          <w:rStyle w:val="a7"/>
          <w:spacing w:val="-8"/>
          <w:rtl/>
        </w:rPr>
        <w:footnoteReference w:id="3994"/>
      </w:r>
      <w:r>
        <w:rPr>
          <w:rFonts w:hint="cs"/>
          <w:spacing w:val="-8"/>
          <w:rtl/>
        </w:rPr>
        <w:t xml:space="preserve"> (وهو بيع الجارية)</w:t>
      </w:r>
      <w:r>
        <w:rPr>
          <w:rFonts w:hint="eastAsia"/>
          <w:spacing w:val="-8"/>
          <w:rtl/>
        </w:rPr>
        <w:t>»</w:t>
      </w:r>
      <w:r>
        <w:rPr>
          <w:rFonts w:hint="cs"/>
          <w:spacing w:val="-8"/>
          <w:vertAlign w:val="superscript"/>
          <w:rtl/>
        </w:rPr>
        <w:t>(</w:t>
      </w:r>
      <w:r>
        <w:rPr>
          <w:rStyle w:val="a7"/>
          <w:spacing w:val="-8"/>
          <w:rtl/>
        </w:rPr>
        <w:footnoteReference w:id="3995"/>
      </w:r>
      <w:r>
        <w:rPr>
          <w:rFonts w:hint="cs"/>
          <w:spacing w:val="-8"/>
          <w:vertAlign w:val="superscript"/>
          <w:rtl/>
        </w:rPr>
        <w:t>)</w:t>
      </w:r>
      <w:r>
        <w:rPr>
          <w:rFonts w:hint="cs"/>
          <w:spacing w:val="-8"/>
          <w:rtl/>
        </w:rPr>
        <w:t xml:space="preserve"> على مقتضى هذا الأصل.</w:t>
      </w:r>
    </w:p>
    <w:p w:rsidR="00C10469" w:rsidRDefault="00C10469" w:rsidP="00C10469">
      <w:pPr>
        <w:ind w:left="989" w:hanging="357"/>
        <w:rPr>
          <w:rtl/>
        </w:rPr>
      </w:pPr>
      <w:r>
        <w:rPr>
          <w:rtl/>
        </w:rPr>
        <w:t>•</w:t>
      </w:r>
      <w:r>
        <w:rPr>
          <w:rFonts w:hint="cs"/>
          <w:rtl/>
        </w:rPr>
        <w:t xml:space="preserve">  وإنْ قَبِضَتِ الكلَّ، فوهبتْه</w:t>
      </w:r>
      <w:r>
        <w:rPr>
          <w:rFonts w:hint="cs"/>
          <w:vertAlign w:val="superscript"/>
          <w:rtl/>
        </w:rPr>
        <w:t>(</w:t>
      </w:r>
      <w:r>
        <w:rPr>
          <w:rStyle w:val="a7"/>
          <w:rtl/>
        </w:rPr>
        <w:footnoteReference w:id="3996"/>
      </w:r>
      <w:r>
        <w:rPr>
          <w:rFonts w:hint="cs"/>
          <w:vertAlign w:val="superscript"/>
          <w:rtl/>
        </w:rPr>
        <w:t>)</w:t>
      </w:r>
      <w:r>
        <w:rPr>
          <w:rFonts w:hint="cs"/>
          <w:rtl/>
        </w:rPr>
        <w:t>، ثم طلقها قبل الدخول : يرجع الزوج بالنصف؛ إذْ لم يسـلم للزوج عين ما استوجبه بالطلاق قبل الدخول؛ لأنه</w:t>
      </w:r>
      <w:r>
        <w:rPr>
          <w:rStyle w:val="a7"/>
          <w:rtl/>
        </w:rPr>
        <w:footnoteReference w:id="3997"/>
      </w:r>
      <w:r>
        <w:rPr>
          <w:rFonts w:hint="cs"/>
          <w:rtl/>
        </w:rPr>
        <w:t xml:space="preserve"> يستحق به نصف المهر، فالواجب عليه دفع نصفٍ</w:t>
      </w:r>
      <w:r>
        <w:rPr>
          <w:rFonts w:hint="cs"/>
          <w:vertAlign w:val="superscript"/>
          <w:rtl/>
        </w:rPr>
        <w:t>(</w:t>
      </w:r>
      <w:r>
        <w:rPr>
          <w:rStyle w:val="a7"/>
          <w:rtl/>
        </w:rPr>
        <w:footnoteReference w:id="3998"/>
      </w:r>
      <w:r>
        <w:rPr>
          <w:rFonts w:hint="cs"/>
          <w:vertAlign w:val="superscript"/>
          <w:rtl/>
        </w:rPr>
        <w:t>)</w:t>
      </w:r>
      <w:r>
        <w:rPr>
          <w:rFonts w:hint="cs"/>
          <w:rtl/>
        </w:rPr>
        <w:t xml:space="preserve"> الآخر، فَدَفْعُ </w:t>
      </w:r>
      <w:r>
        <w:rPr>
          <w:rFonts w:hint="cs"/>
          <w:rtl/>
        </w:rPr>
        <w:lastRenderedPageBreak/>
        <w:t xml:space="preserve">ما زاد على النّصف ليس بواجب عليه، فيستـرده </w:t>
      </w:r>
      <w:r>
        <w:rPr>
          <w:rtl/>
        </w:rPr>
        <w:t>–</w:t>
      </w:r>
      <w:r>
        <w:rPr>
          <w:rFonts w:hint="cs"/>
          <w:rtl/>
        </w:rPr>
        <w:t>كـما مـرّ في بـاب الـدال</w:t>
      </w:r>
      <w:r>
        <w:rPr>
          <w:rFonts w:hint="cs"/>
          <w:vertAlign w:val="superscript"/>
          <w:rtl/>
        </w:rPr>
        <w:t>(</w:t>
      </w:r>
      <w:r>
        <w:rPr>
          <w:rStyle w:val="a7"/>
          <w:rtl/>
        </w:rPr>
        <w:footnoteReference w:id="3999"/>
      </w:r>
      <w:r>
        <w:rPr>
          <w:rFonts w:hint="cs"/>
          <w:vertAlign w:val="superscript"/>
          <w:rtl/>
        </w:rPr>
        <w:t>)</w:t>
      </w:r>
      <w:r>
        <w:rPr>
          <w:rFonts w:hint="cs"/>
          <w:rtl/>
        </w:rPr>
        <w:t>- وما [وهبته]</w:t>
      </w:r>
      <w:r>
        <w:rPr>
          <w:rStyle w:val="a7"/>
          <w:rtl/>
        </w:rPr>
        <w:footnoteReference w:id="4000"/>
      </w:r>
      <w:r>
        <w:rPr>
          <w:rFonts w:hint="cs"/>
          <w:rtl/>
        </w:rPr>
        <w:t xml:space="preserve"> المرأة قبل الطلاق ليس بمهر؛ لأن الدنانير والدراهم لا[تتعين]</w:t>
      </w:r>
      <w:r>
        <w:rPr>
          <w:rStyle w:val="a7"/>
          <w:rtl/>
        </w:rPr>
        <w:footnoteReference w:id="4001"/>
      </w:r>
      <w:r>
        <w:rPr>
          <w:rFonts w:hint="cs"/>
          <w:rtl/>
        </w:rPr>
        <w:t xml:space="preserve"> بالتعيين [في العقود و الفسوخ]</w:t>
      </w:r>
      <w:r>
        <w:rPr>
          <w:rStyle w:val="a7"/>
          <w:rtl/>
        </w:rPr>
        <w:footnoteReference w:id="4002"/>
      </w:r>
      <w:r>
        <w:rPr>
          <w:rFonts w:hint="cs"/>
          <w:rtl/>
        </w:rPr>
        <w:t>، فكان</w:t>
      </w:r>
      <w:r>
        <w:rPr>
          <w:rFonts w:hint="cs"/>
          <w:vertAlign w:val="superscript"/>
          <w:rtl/>
        </w:rPr>
        <w:t>(</w:t>
      </w:r>
      <w:r>
        <w:rPr>
          <w:rStyle w:val="a7"/>
          <w:rtl/>
        </w:rPr>
        <w:footnoteReference w:id="4003"/>
      </w:r>
      <w:r>
        <w:rPr>
          <w:rFonts w:hint="cs"/>
          <w:vertAlign w:val="superscript"/>
          <w:rtl/>
        </w:rPr>
        <w:t>)</w:t>
      </w:r>
      <w:r>
        <w:rPr>
          <w:rFonts w:hint="cs"/>
          <w:rtl/>
        </w:rPr>
        <w:t xml:space="preserve"> هبةُ هذه الألْف كهبة ألفٍ أخرى</w:t>
      </w:r>
      <w:r>
        <w:rPr>
          <w:rFonts w:hint="cs"/>
          <w:vertAlign w:val="superscript"/>
          <w:rtl/>
        </w:rPr>
        <w:t>(</w:t>
      </w:r>
      <w:r>
        <w:rPr>
          <w:rStyle w:val="a7"/>
          <w:rtl/>
        </w:rPr>
        <w:footnoteReference w:id="4004"/>
      </w:r>
      <w:r>
        <w:rPr>
          <w:rFonts w:hint="cs"/>
          <w:vertAlign w:val="superscript"/>
          <w:rtl/>
        </w:rPr>
        <w:t>)</w:t>
      </w:r>
      <w:r>
        <w:rPr>
          <w:rFonts w:hint="cs"/>
          <w:rtl/>
        </w:rPr>
        <w:t>.</w:t>
      </w:r>
    </w:p>
    <w:p w:rsidR="00C10469" w:rsidRDefault="00C10469" w:rsidP="00C10469">
      <w:pPr>
        <w:rPr>
          <w:spacing w:val="-6"/>
          <w:rtl/>
        </w:rPr>
      </w:pPr>
      <w:r>
        <w:rPr>
          <w:rFonts w:hint="cs"/>
          <w:b/>
          <w:bCs/>
          <w:spacing w:val="-6"/>
          <w:rtl/>
        </w:rPr>
        <w:lastRenderedPageBreak/>
        <w:t>لا يقـال</w:t>
      </w:r>
      <w:r>
        <w:rPr>
          <w:rStyle w:val="a7"/>
          <w:spacing w:val="-6"/>
          <w:rtl/>
        </w:rPr>
        <w:footnoteReference w:id="4005"/>
      </w:r>
      <w:r>
        <w:rPr>
          <w:rFonts w:hint="cs"/>
          <w:spacing w:val="-6"/>
          <w:rtl/>
        </w:rPr>
        <w:t>: إن اخـتلاف الأسـباب تنـزَّل</w:t>
      </w:r>
      <w:r w:rsidRPr="00A214A2">
        <w:rPr>
          <w:rFonts w:hint="cs"/>
          <w:spacing w:val="-6"/>
          <w:vertAlign w:val="superscript"/>
          <w:rtl/>
        </w:rPr>
        <w:t>(</w:t>
      </w:r>
      <w:r w:rsidRPr="00A214A2">
        <w:rPr>
          <w:rStyle w:val="a7"/>
          <w:spacing w:val="-6"/>
          <w:rtl/>
        </w:rPr>
        <w:footnoteReference w:id="4006"/>
      </w:r>
      <w:r w:rsidRPr="00A214A2">
        <w:rPr>
          <w:rFonts w:hint="cs"/>
          <w:spacing w:val="-6"/>
          <w:vertAlign w:val="superscript"/>
          <w:rtl/>
        </w:rPr>
        <w:t>)</w:t>
      </w:r>
      <w:r>
        <w:rPr>
          <w:rFonts w:hint="cs"/>
          <w:spacing w:val="-6"/>
          <w:rtl/>
        </w:rPr>
        <w:t xml:space="preserve"> منـزلة اختلاف الأعيان، كما في قصة بريرة</w:t>
      </w:r>
      <w:r>
        <w:rPr>
          <w:rFonts w:hint="cs"/>
          <w:spacing w:val="-6"/>
          <w:vertAlign w:val="superscript"/>
          <w:rtl/>
        </w:rPr>
        <w:t>(</w:t>
      </w:r>
      <w:r>
        <w:rPr>
          <w:rStyle w:val="a7"/>
          <w:spacing w:val="-6"/>
          <w:rtl/>
        </w:rPr>
        <w:footnoteReference w:id="4007"/>
      </w:r>
      <w:r>
        <w:rPr>
          <w:rFonts w:hint="cs"/>
          <w:spacing w:val="-6"/>
          <w:vertAlign w:val="superscript"/>
          <w:rtl/>
        </w:rPr>
        <w:t>)</w:t>
      </w:r>
      <w:r>
        <w:rPr>
          <w:rFonts w:hint="cs"/>
          <w:spacing w:val="-6"/>
          <w:rtl/>
        </w:rPr>
        <w:t xml:space="preserve">، حيث قال </w:t>
      </w:r>
      <w:r>
        <w:rPr>
          <w:rFonts w:ascii="AGA Arabesque" w:hAnsi="AGA Arabesque"/>
          <w:spacing w:val="-6"/>
          <w:sz w:val="36"/>
        </w:rPr>
        <w:t></w:t>
      </w:r>
      <w:r>
        <w:rPr>
          <w:rFonts w:hint="cs"/>
          <w:spacing w:val="-6"/>
          <w:rtl/>
        </w:rPr>
        <w:t xml:space="preserve"> : </w:t>
      </w:r>
      <w:r>
        <w:rPr>
          <w:rFonts w:hint="eastAsia"/>
          <w:spacing w:val="-6"/>
          <w:rtl/>
        </w:rPr>
        <w:t>«</w:t>
      </w:r>
      <w:r>
        <w:rPr>
          <w:rFonts w:cs="DecoType Naskh" w:hint="cs"/>
          <w:spacing w:val="-6"/>
          <w:sz w:val="34"/>
          <w:szCs w:val="34"/>
          <w:rtl/>
        </w:rPr>
        <w:t>هي لكِ</w:t>
      </w:r>
      <w:r>
        <w:rPr>
          <w:rStyle w:val="a7"/>
          <w:spacing w:val="-6"/>
          <w:rtl/>
        </w:rPr>
        <w:footnoteReference w:id="4008"/>
      </w:r>
      <w:r>
        <w:rPr>
          <w:rFonts w:hint="cs"/>
          <w:spacing w:val="-6"/>
          <w:rtl/>
        </w:rPr>
        <w:t xml:space="preserve"> </w:t>
      </w:r>
      <w:r>
        <w:rPr>
          <w:rFonts w:cs="DecoType Naskh" w:hint="cs"/>
          <w:spacing w:val="-6"/>
          <w:sz w:val="34"/>
          <w:szCs w:val="34"/>
          <w:rtl/>
        </w:rPr>
        <w:t>صدقةٌ، ولنا هديّةٌ</w:t>
      </w:r>
      <w:r>
        <w:rPr>
          <w:rFonts w:hint="eastAsia"/>
          <w:spacing w:val="-6"/>
          <w:rtl/>
        </w:rPr>
        <w:t>»</w:t>
      </w:r>
      <w:r>
        <w:rPr>
          <w:rFonts w:hint="cs"/>
          <w:spacing w:val="-6"/>
          <w:vertAlign w:val="superscript"/>
          <w:rtl/>
        </w:rPr>
        <w:t>(</w:t>
      </w:r>
      <w:r>
        <w:rPr>
          <w:rStyle w:val="a7"/>
          <w:spacing w:val="-6"/>
          <w:rtl/>
        </w:rPr>
        <w:footnoteReference w:id="4009"/>
      </w:r>
      <w:r>
        <w:rPr>
          <w:rFonts w:hint="cs"/>
          <w:spacing w:val="-6"/>
          <w:vertAlign w:val="superscript"/>
          <w:rtl/>
        </w:rPr>
        <w:t>)</w:t>
      </w:r>
      <w:r>
        <w:rPr>
          <w:rFonts w:hint="cs"/>
          <w:spacing w:val="-6"/>
          <w:rtl/>
        </w:rPr>
        <w:t xml:space="preserve">. </w:t>
      </w:r>
    </w:p>
    <w:p w:rsidR="00C10469" w:rsidRDefault="00C10469">
      <w:pPr>
        <w:rPr>
          <w:spacing w:val="-8"/>
          <w:rtl/>
        </w:rPr>
      </w:pPr>
      <w:r>
        <w:rPr>
          <w:rFonts w:hint="cs"/>
          <w:spacing w:val="-8"/>
          <w:rtl/>
        </w:rPr>
        <w:t>وهذا يوهم التدافع بين هذين الأصلين</w:t>
      </w:r>
      <w:r>
        <w:rPr>
          <w:rFonts w:hint="cs"/>
          <w:spacing w:val="-8"/>
          <w:vertAlign w:val="superscript"/>
          <w:rtl/>
        </w:rPr>
        <w:t>(</w:t>
      </w:r>
      <w:r>
        <w:rPr>
          <w:rStyle w:val="a7"/>
          <w:spacing w:val="-8"/>
          <w:rtl/>
        </w:rPr>
        <w:footnoteReference w:id="4010"/>
      </w:r>
      <w:r>
        <w:rPr>
          <w:rFonts w:hint="cs"/>
          <w:spacing w:val="-8"/>
          <w:vertAlign w:val="superscript"/>
          <w:rtl/>
        </w:rPr>
        <w:t>)</w:t>
      </w:r>
      <w:r>
        <w:rPr>
          <w:rFonts w:hint="cs"/>
          <w:spacing w:val="-8"/>
          <w:rtl/>
        </w:rPr>
        <w:t>؛ لأنّ ذا بالنظر إلى غير العاقدين. أما بالنظر إليهما فلا يُنزَّل</w:t>
      </w:r>
      <w:r>
        <w:rPr>
          <w:rFonts w:hint="cs"/>
          <w:spacing w:val="-8"/>
          <w:vertAlign w:val="superscript"/>
          <w:rtl/>
        </w:rPr>
        <w:t>(</w:t>
      </w:r>
      <w:r>
        <w:rPr>
          <w:rStyle w:val="a7"/>
          <w:spacing w:val="-8"/>
          <w:rtl/>
        </w:rPr>
        <w:footnoteReference w:id="4011"/>
      </w:r>
      <w:r>
        <w:rPr>
          <w:rFonts w:hint="cs"/>
          <w:spacing w:val="-8"/>
          <w:vertAlign w:val="superscript"/>
          <w:rtl/>
        </w:rPr>
        <w:t>)</w:t>
      </w:r>
      <w:r>
        <w:rPr>
          <w:rFonts w:hint="cs"/>
          <w:spacing w:val="-8"/>
          <w:rtl/>
        </w:rPr>
        <w:t xml:space="preserve"> منـزلةَ اختلاف الأعيان</w:t>
      </w:r>
      <w:r>
        <w:rPr>
          <w:rFonts w:hint="cs"/>
          <w:spacing w:val="-8"/>
          <w:vertAlign w:val="superscript"/>
          <w:rtl/>
        </w:rPr>
        <w:t>(</w:t>
      </w:r>
      <w:r>
        <w:rPr>
          <w:rStyle w:val="a7"/>
          <w:spacing w:val="-8"/>
          <w:rtl/>
        </w:rPr>
        <w:footnoteReference w:id="4012"/>
      </w:r>
      <w:r>
        <w:rPr>
          <w:rFonts w:hint="cs"/>
          <w:spacing w:val="-8"/>
          <w:vertAlign w:val="superscript"/>
          <w:rtl/>
        </w:rPr>
        <w:t>)</w:t>
      </w:r>
      <w:r>
        <w:rPr>
          <w:rFonts w:hint="cs"/>
          <w:spacing w:val="-8"/>
          <w:rtl/>
        </w:rPr>
        <w:t>.</w:t>
      </w:r>
    </w:p>
    <w:p w:rsidR="00C10469" w:rsidRDefault="00C10469">
      <w:pPr>
        <w:rPr>
          <w:spacing w:val="-8"/>
          <w:rtl/>
        </w:rPr>
      </w:pPr>
      <w:r>
        <w:rPr>
          <w:rFonts w:hint="cs"/>
          <w:b/>
          <w:bCs/>
          <w:spacing w:val="-8"/>
          <w:rtl/>
        </w:rPr>
        <w:t>ولا يلزم على هذا</w:t>
      </w:r>
      <w:r>
        <w:rPr>
          <w:rFonts w:hint="cs"/>
          <w:spacing w:val="-8"/>
          <w:rtl/>
        </w:rPr>
        <w:t xml:space="preserve"> : ما إذا اشترى عبدًا، فحطّ البائعُ عشرَ الثمن، ثم وجد به عيبًا ينقص عشرَ الثمن، فإنه</w:t>
      </w:r>
      <w:r>
        <w:rPr>
          <w:rFonts w:hint="cs"/>
          <w:spacing w:val="-8"/>
          <w:vertAlign w:val="superscript"/>
          <w:rtl/>
        </w:rPr>
        <w:t>(</w:t>
      </w:r>
      <w:r>
        <w:rPr>
          <w:rStyle w:val="a7"/>
          <w:spacing w:val="-8"/>
          <w:rtl/>
        </w:rPr>
        <w:footnoteReference w:id="4013"/>
      </w:r>
      <w:r>
        <w:rPr>
          <w:rFonts w:hint="cs"/>
          <w:spacing w:val="-8"/>
          <w:vertAlign w:val="superscript"/>
          <w:rtl/>
        </w:rPr>
        <w:t>)</w:t>
      </w:r>
      <w:r>
        <w:rPr>
          <w:rFonts w:hint="cs"/>
          <w:spacing w:val="-8"/>
          <w:rtl/>
        </w:rPr>
        <w:t xml:space="preserve"> يرجع بنقصان العيب وإن حصل هذا بالحطّ.</w:t>
      </w:r>
    </w:p>
    <w:p w:rsidR="00C10469" w:rsidRDefault="00C10469">
      <w:pPr>
        <w:rPr>
          <w:spacing w:val="-8"/>
          <w:rtl/>
        </w:rPr>
      </w:pPr>
      <w:r>
        <w:rPr>
          <w:rFonts w:hint="cs"/>
          <w:b/>
          <w:bCs/>
          <w:spacing w:val="-8"/>
          <w:rtl/>
        </w:rPr>
        <w:t>لأن</w:t>
      </w:r>
      <w:r>
        <w:rPr>
          <w:rFonts w:hint="cs"/>
          <w:spacing w:val="-8"/>
          <w:rtl/>
        </w:rPr>
        <w:t xml:space="preserve"> موجب الرد بالعين سقوط بعض الثمن، وهذا لا يحصل بالحطّ؛ لأن العشر خرج من كونه ثمنًا؛ لالتحاقه بأصل العقد، فكان العقد واقعًا على ما وراءه</w:t>
      </w:r>
      <w:r>
        <w:rPr>
          <w:rStyle w:val="a7"/>
          <w:spacing w:val="-8"/>
          <w:rtl/>
        </w:rPr>
        <w:footnoteReference w:id="4014"/>
      </w:r>
      <w:r>
        <w:rPr>
          <w:rFonts w:hint="cs"/>
          <w:spacing w:val="-8"/>
          <w:rtl/>
        </w:rPr>
        <w:t>.</w:t>
      </w:r>
    </w:p>
    <w:p w:rsidR="00C10469" w:rsidRDefault="00C10469">
      <w:pPr>
        <w:spacing w:line="480" w:lineRule="exact"/>
        <w:rPr>
          <w:rtl/>
        </w:rPr>
      </w:pPr>
      <w:r>
        <w:rPr>
          <w:rFonts w:hint="cs"/>
          <w:b/>
          <w:bCs/>
          <w:rtl/>
        </w:rPr>
        <w:lastRenderedPageBreak/>
        <w:t>فإن قيل يشكل على هذا الأصل</w:t>
      </w:r>
      <w:r>
        <w:rPr>
          <w:rFonts w:hint="cs"/>
          <w:vertAlign w:val="superscript"/>
          <w:rtl/>
        </w:rPr>
        <w:t>(</w:t>
      </w:r>
      <w:r>
        <w:rPr>
          <w:rStyle w:val="a7"/>
          <w:rtl/>
        </w:rPr>
        <w:footnoteReference w:id="4015"/>
      </w:r>
      <w:r>
        <w:rPr>
          <w:rFonts w:hint="cs"/>
          <w:vertAlign w:val="superscript"/>
          <w:rtl/>
        </w:rPr>
        <w:t>)</w:t>
      </w:r>
      <w:r>
        <w:rPr>
          <w:rFonts w:hint="cs"/>
          <w:rtl/>
        </w:rPr>
        <w:t>: ما إذا</w:t>
      </w:r>
      <w:r>
        <w:rPr>
          <w:rStyle w:val="a7"/>
          <w:rtl/>
        </w:rPr>
        <w:footnoteReference w:id="4016"/>
      </w:r>
      <w:r>
        <w:rPr>
          <w:rFonts w:hint="cs"/>
          <w:rtl/>
        </w:rPr>
        <w:t xml:space="preserve"> قال الرجل لآخر : بعتَني هذه الجارية بكذا. وقال المولى : زوَّجتها</w:t>
      </w:r>
      <w:r>
        <w:rPr>
          <w:rStyle w:val="a7"/>
          <w:rtl/>
        </w:rPr>
        <w:footnoteReference w:id="4017"/>
      </w:r>
      <w:r>
        <w:rPr>
          <w:rFonts w:hint="cs"/>
          <w:rtl/>
        </w:rPr>
        <w:t xml:space="preserve"> منك</w:t>
      </w:r>
      <w:r>
        <w:rPr>
          <w:rFonts w:hint="cs"/>
          <w:vertAlign w:val="superscript"/>
          <w:rtl/>
        </w:rPr>
        <w:t>(</w:t>
      </w:r>
      <w:r>
        <w:rPr>
          <w:rStyle w:val="a7"/>
          <w:rtl/>
        </w:rPr>
        <w:footnoteReference w:id="4018"/>
      </w:r>
      <w:r>
        <w:rPr>
          <w:rFonts w:hint="cs"/>
          <w:vertAlign w:val="superscript"/>
          <w:rtl/>
        </w:rPr>
        <w:t>)</w:t>
      </w:r>
      <w:r>
        <w:rPr>
          <w:rFonts w:hint="cs"/>
          <w:rtl/>
        </w:rPr>
        <w:t xml:space="preserve"> : لا [يحل]</w:t>
      </w:r>
      <w:r>
        <w:rPr>
          <w:rStyle w:val="a7"/>
          <w:rtl/>
        </w:rPr>
        <w:footnoteReference w:id="4019"/>
      </w:r>
      <w:r>
        <w:rPr>
          <w:rFonts w:hint="cs"/>
          <w:rtl/>
        </w:rPr>
        <w:t xml:space="preserve"> له وطؤها؛ لاختلاف السبب، مع أن المقصود قد حصل؛ لأن كلّ واحد من السببين</w:t>
      </w:r>
      <w:r>
        <w:rPr>
          <w:rStyle w:val="a7"/>
          <w:rtl/>
        </w:rPr>
        <w:footnoteReference w:id="4020"/>
      </w:r>
      <w:r>
        <w:rPr>
          <w:rFonts w:hint="cs"/>
          <w:rtl/>
        </w:rPr>
        <w:t xml:space="preserve"> (أعني الشراء والتزوّج)</w:t>
      </w:r>
      <w:r>
        <w:rPr>
          <w:rStyle w:val="a7"/>
          <w:rtl/>
        </w:rPr>
        <w:footnoteReference w:id="4021"/>
      </w:r>
      <w:r>
        <w:rPr>
          <w:rFonts w:hint="cs"/>
          <w:rtl/>
        </w:rPr>
        <w:t xml:space="preserve"> يُثبت حلَّ الوطء !!.</w:t>
      </w:r>
    </w:p>
    <w:p w:rsidR="00C10469" w:rsidRDefault="00C10469">
      <w:pPr>
        <w:rPr>
          <w:spacing w:val="-8"/>
          <w:rtl/>
        </w:rPr>
      </w:pPr>
      <w:r>
        <w:rPr>
          <w:rFonts w:hint="cs"/>
          <w:b/>
          <w:bCs/>
          <w:spacing w:val="-8"/>
          <w:rtl/>
        </w:rPr>
        <w:t>وأجيب</w:t>
      </w:r>
      <w:r>
        <w:rPr>
          <w:rFonts w:hint="cs"/>
          <w:spacing w:val="-8"/>
          <w:rtl/>
        </w:rPr>
        <w:t xml:space="preserve"> : بأن فيه اختلاف السّبب والحكم جميعًا. أما السبب فظاهر؛ لـمَا</w:t>
      </w:r>
      <w:r>
        <w:rPr>
          <w:rStyle w:val="a7"/>
          <w:spacing w:val="-8"/>
          <w:rtl/>
        </w:rPr>
        <w:footnoteReference w:id="4022"/>
      </w:r>
      <w:r>
        <w:rPr>
          <w:rFonts w:hint="cs"/>
          <w:spacing w:val="-8"/>
          <w:rtl/>
        </w:rPr>
        <w:t xml:space="preserve"> أنّ الشراء غير التزوّج. وأما الحكم</w:t>
      </w:r>
      <w:r>
        <w:rPr>
          <w:rStyle w:val="a7"/>
          <w:spacing w:val="-8"/>
          <w:rtl/>
        </w:rPr>
        <w:footnoteReference w:id="4023"/>
      </w:r>
      <w:r>
        <w:rPr>
          <w:rFonts w:hint="cs"/>
          <w:spacing w:val="-8"/>
          <w:rtl/>
        </w:rPr>
        <w:t xml:space="preserve"> فلأَنّ ملك اليمين يغاير ملك النكاح حكمًا؛ لأن النكاح يثبت الحل مقصودًا، والبيع لا يثبته، فلو</w:t>
      </w:r>
      <w:r>
        <w:rPr>
          <w:rFonts w:hint="cs"/>
          <w:spacing w:val="-8"/>
          <w:vertAlign w:val="superscript"/>
          <w:rtl/>
        </w:rPr>
        <w:t>(</w:t>
      </w:r>
      <w:r>
        <w:rPr>
          <w:rStyle w:val="a7"/>
          <w:spacing w:val="-8"/>
          <w:rtl/>
        </w:rPr>
        <w:footnoteReference w:id="4024"/>
      </w:r>
      <w:r>
        <w:rPr>
          <w:rFonts w:hint="cs"/>
          <w:spacing w:val="-8"/>
          <w:vertAlign w:val="superscript"/>
          <w:rtl/>
        </w:rPr>
        <w:t>)</w:t>
      </w:r>
      <w:r>
        <w:rPr>
          <w:rFonts w:hint="cs"/>
          <w:spacing w:val="-8"/>
          <w:rtl/>
        </w:rPr>
        <w:t xml:space="preserve"> أثبته لا يكون مقصودًا</w:t>
      </w:r>
      <w:r>
        <w:rPr>
          <w:rStyle w:val="a7"/>
          <w:spacing w:val="-8"/>
          <w:rtl/>
        </w:rPr>
        <w:footnoteReference w:id="4025"/>
      </w:r>
      <w:r>
        <w:rPr>
          <w:rFonts w:hint="cs"/>
          <w:spacing w:val="-8"/>
          <w:rtl/>
        </w:rPr>
        <w:t>، وهما</w:t>
      </w:r>
      <w:r>
        <w:rPr>
          <w:rStyle w:val="a7"/>
          <w:spacing w:val="-8"/>
          <w:rtl/>
        </w:rPr>
        <w:footnoteReference w:id="4026"/>
      </w:r>
      <w:r>
        <w:rPr>
          <w:rFonts w:hint="cs"/>
          <w:spacing w:val="-8"/>
          <w:rtl/>
        </w:rPr>
        <w:t xml:space="preserve"> لا يجتمعان، فعند الاختلاف لا يثبت واحد منهما يقينًا، فصار كأنهما لم يثبتا أصلاً؛ للتدافع في الحكم، فلم يثبت الحلّ؛ لما</w:t>
      </w:r>
      <w:r>
        <w:rPr>
          <w:rStyle w:val="a7"/>
          <w:spacing w:val="-8"/>
          <w:rtl/>
        </w:rPr>
        <w:footnoteReference w:id="4027"/>
      </w:r>
      <w:r>
        <w:rPr>
          <w:rFonts w:hint="cs"/>
          <w:spacing w:val="-8"/>
          <w:rtl/>
        </w:rPr>
        <w:t xml:space="preserve"> أنَّ الموضع موضع الاحْتياط.</w:t>
      </w:r>
    </w:p>
    <w:p w:rsidR="00C10469" w:rsidRDefault="00C10469">
      <w:pPr>
        <w:rPr>
          <w:spacing w:val="-8"/>
          <w:rtl/>
        </w:rPr>
      </w:pPr>
      <w:r>
        <w:rPr>
          <w:rFonts w:hint="cs"/>
          <w:spacing w:val="-8"/>
          <w:rtl/>
        </w:rPr>
        <w:t>وأما فيما نحن بصدده</w:t>
      </w:r>
      <w:r>
        <w:rPr>
          <w:rFonts w:hint="cs"/>
          <w:spacing w:val="-8"/>
          <w:vertAlign w:val="superscript"/>
          <w:rtl/>
        </w:rPr>
        <w:t>(</w:t>
      </w:r>
      <w:r>
        <w:rPr>
          <w:rStyle w:val="a7"/>
          <w:spacing w:val="-8"/>
          <w:rtl/>
        </w:rPr>
        <w:footnoteReference w:id="4028"/>
      </w:r>
      <w:r>
        <w:rPr>
          <w:rFonts w:hint="cs"/>
          <w:spacing w:val="-8"/>
          <w:vertAlign w:val="superscript"/>
          <w:rtl/>
        </w:rPr>
        <w:t>)</w:t>
      </w:r>
      <w:r>
        <w:rPr>
          <w:rFonts w:hint="cs"/>
          <w:spacing w:val="-8"/>
          <w:rtl/>
        </w:rPr>
        <w:t xml:space="preserve"> فحكم السببين واحد؛ لأن كلاًّ منهما</w:t>
      </w:r>
      <w:r>
        <w:rPr>
          <w:rStyle w:val="a7"/>
          <w:spacing w:val="-8"/>
          <w:rtl/>
        </w:rPr>
        <w:footnoteReference w:id="4029"/>
      </w:r>
      <w:r>
        <w:rPr>
          <w:rFonts w:hint="cs"/>
          <w:spacing w:val="-8"/>
          <w:rtl/>
        </w:rPr>
        <w:t xml:space="preserve"> يثبت الملك </w:t>
      </w:r>
      <w:r>
        <w:rPr>
          <w:rFonts w:hint="cs"/>
          <w:spacing w:val="-8"/>
          <w:rtl/>
        </w:rPr>
        <w:lastRenderedPageBreak/>
        <w:t>مقصودًا، وفي كل منهما وصول ما يستحقه الزوج إليه.</w:t>
      </w:r>
    </w:p>
    <w:p w:rsidR="00C10469" w:rsidRDefault="00C10469">
      <w:pPr>
        <w:rPr>
          <w:spacing w:val="-8"/>
          <w:rtl/>
        </w:rPr>
      </w:pPr>
      <w:r>
        <w:rPr>
          <w:rFonts w:hint="cs"/>
          <w:spacing w:val="-8"/>
          <w:rtl/>
        </w:rPr>
        <w:t>كذا في (الكفاية)</w:t>
      </w:r>
      <w:r>
        <w:rPr>
          <w:rFonts w:hint="cs"/>
          <w:spacing w:val="-8"/>
          <w:vertAlign w:val="superscript"/>
          <w:rtl/>
        </w:rPr>
        <w:t>(</w:t>
      </w:r>
      <w:r>
        <w:rPr>
          <w:rStyle w:val="a7"/>
          <w:spacing w:val="-8"/>
          <w:rtl/>
        </w:rPr>
        <w:footnoteReference w:id="4030"/>
      </w:r>
      <w:r>
        <w:rPr>
          <w:rFonts w:hint="cs"/>
          <w:spacing w:val="-8"/>
          <w:vertAlign w:val="superscript"/>
          <w:rtl/>
        </w:rPr>
        <w:t>)</w:t>
      </w:r>
      <w:r>
        <w:rPr>
          <w:rFonts w:hint="cs"/>
          <w:spacing w:val="-8"/>
          <w:rtl/>
        </w:rPr>
        <w:t>.</w:t>
      </w:r>
    </w:p>
    <w:p w:rsidR="00C10469" w:rsidRDefault="00C10469">
      <w:pPr>
        <w:rPr>
          <w:sz w:val="24"/>
          <w:szCs w:val="24"/>
          <w:rtl/>
        </w:rPr>
      </w:pPr>
    </w:p>
    <w:p w:rsidR="00C10469" w:rsidRDefault="00C10469">
      <w:pPr>
        <w:rPr>
          <w:sz w:val="24"/>
          <w:szCs w:val="24"/>
          <w:rtl/>
        </w:rPr>
      </w:pPr>
    </w:p>
    <w:p w:rsidR="00C10469" w:rsidRDefault="00C10469">
      <w:pPr>
        <w:rPr>
          <w:sz w:val="24"/>
          <w:szCs w:val="24"/>
          <w:rtl/>
        </w:rPr>
      </w:pPr>
    </w:p>
    <w:p w:rsidR="00C10469" w:rsidRDefault="00C10469">
      <w:pPr>
        <w:rPr>
          <w:sz w:val="24"/>
          <w:szCs w:val="24"/>
          <w:rtl/>
        </w:rPr>
      </w:pPr>
    </w:p>
    <w:p w:rsidR="00C10469" w:rsidRDefault="00C10469">
      <w:pPr>
        <w:rPr>
          <w:sz w:val="24"/>
          <w:szCs w:val="24"/>
          <w:rtl/>
        </w:rPr>
      </w:pPr>
    </w:p>
    <w:p w:rsidR="00C10469" w:rsidRDefault="00C10469">
      <w:pPr>
        <w:jc w:val="center"/>
        <w:rPr>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jc w:val="center"/>
        <w:rPr>
          <w:sz w:val="24"/>
          <w:szCs w:val="24"/>
          <w:rtl/>
        </w:rPr>
        <w:sectPr w:rsidR="00C10469" w:rsidSect="00C10469">
          <w:headerReference w:type="default" r:id="rId24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0434A" w:rsidRDefault="00C10469">
      <w:pPr>
        <w:pStyle w:val="a9"/>
        <w:rPr>
          <w:rFonts w:cs="AL-Mateen"/>
          <w:rtl/>
        </w:rPr>
      </w:pPr>
      <w:r w:rsidRPr="0080434A">
        <w:rPr>
          <w:rFonts w:cs="AL-Mateen" w:hint="cs"/>
          <w:rtl/>
        </w:rPr>
        <w:lastRenderedPageBreak/>
        <w:t>[القاعدة الـرابعة والتسعون بعد المائة]</w:t>
      </w:r>
    </w:p>
    <w:p w:rsidR="00C10469" w:rsidRDefault="00C10469">
      <w:pPr>
        <w:rPr>
          <w:spacing w:val="-8"/>
          <w:rtl/>
        </w:rPr>
      </w:pPr>
      <w:r>
        <w:rPr>
          <w:rFonts w:cs="Monotype Koufi" w:hint="cs"/>
          <w:rtl/>
        </w:rPr>
        <w:t>لا ي</w:t>
      </w:r>
      <w:r>
        <w:rPr>
          <w:rFonts w:cs="Monotype Koufi" w:hint="cs"/>
          <w:rtl/>
          <w:lang w:bidi="ar-AE"/>
        </w:rPr>
        <w:t>َ</w:t>
      </w:r>
      <w:r>
        <w:rPr>
          <w:rFonts w:cs="Monotype Koufi" w:hint="cs"/>
          <w:rtl/>
        </w:rPr>
        <w:t>جُوزُ للمدَّعَى عليهِ الإنكارُ إذا كَانَ عالمًا بالحَقِّ</w:t>
      </w:r>
      <w:r>
        <w:rPr>
          <w:rFonts w:hint="cs"/>
          <w:spacing w:val="-8"/>
          <w:vertAlign w:val="superscript"/>
          <w:rtl/>
        </w:rPr>
        <w:t>(</w:t>
      </w:r>
      <w:r>
        <w:rPr>
          <w:rStyle w:val="a7"/>
          <w:spacing w:val="-8"/>
          <w:rtl/>
        </w:rPr>
        <w:footnoteReference w:id="4031"/>
      </w:r>
      <w:r>
        <w:rPr>
          <w:rFonts w:hint="cs"/>
          <w:spacing w:val="-8"/>
          <w:vertAlign w:val="superscript"/>
          <w:rtl/>
        </w:rPr>
        <w:t>)</w:t>
      </w:r>
      <w:r>
        <w:rPr>
          <w:rFonts w:hint="cs"/>
          <w:spacing w:val="-8"/>
          <w:rtl/>
        </w:rPr>
        <w:t>:</w:t>
      </w:r>
    </w:p>
    <w:p w:rsidR="00C10469" w:rsidRDefault="00C10469">
      <w:pPr>
        <w:rPr>
          <w:rtl/>
        </w:rPr>
      </w:pPr>
      <w:r>
        <w:rPr>
          <w:rFonts w:hint="cs"/>
          <w:b/>
          <w:bCs/>
          <w:rtl/>
        </w:rPr>
        <w:t>أَخرجَ</w:t>
      </w:r>
      <w:r>
        <w:rPr>
          <w:rFonts w:hint="cs"/>
          <w:rtl/>
        </w:rPr>
        <w:t xml:space="preserve"> من هذا الأصل ابنُ نجيم في (أشباهه) مسألتين</w:t>
      </w:r>
      <w:r>
        <w:rPr>
          <w:rFonts w:hint="cs"/>
          <w:vertAlign w:val="superscript"/>
          <w:rtl/>
        </w:rPr>
        <w:t>(</w:t>
      </w:r>
      <w:r>
        <w:rPr>
          <w:rStyle w:val="a7"/>
          <w:rtl/>
        </w:rPr>
        <w:footnoteReference w:id="4032"/>
      </w:r>
      <w:r>
        <w:rPr>
          <w:rFonts w:hint="cs"/>
          <w:vertAlign w:val="superscript"/>
          <w:rtl/>
        </w:rPr>
        <w:t>)</w:t>
      </w:r>
      <w:r>
        <w:rPr>
          <w:rFonts w:hint="cs"/>
          <w:rtl/>
        </w:rPr>
        <w:t>:</w:t>
      </w:r>
    </w:p>
    <w:p w:rsidR="00C10469" w:rsidRDefault="00C10469">
      <w:pPr>
        <w:rPr>
          <w:rtl/>
        </w:rPr>
      </w:pPr>
      <w:r>
        <w:rPr>
          <w:rFonts w:hint="cs"/>
          <w:b/>
          <w:bCs/>
          <w:rtl/>
        </w:rPr>
        <w:t xml:space="preserve"> إحديهما</w:t>
      </w:r>
      <w:r>
        <w:rPr>
          <w:rFonts w:hint="cs"/>
          <w:b/>
          <w:bCs/>
          <w:vertAlign w:val="superscript"/>
          <w:rtl/>
        </w:rPr>
        <w:t>(</w:t>
      </w:r>
      <w:r>
        <w:rPr>
          <w:rStyle w:val="a7"/>
          <w:b/>
          <w:rtl/>
        </w:rPr>
        <w:footnoteReference w:id="4033"/>
      </w:r>
      <w:r>
        <w:rPr>
          <w:rFonts w:hint="cs"/>
          <w:b/>
          <w:bCs/>
          <w:vertAlign w:val="superscript"/>
          <w:rtl/>
        </w:rPr>
        <w:t>)</w:t>
      </w:r>
      <w:r>
        <w:rPr>
          <w:rFonts w:hint="cs"/>
          <w:rtl/>
        </w:rPr>
        <w:t>: ادعى المشتري العيب، فإن للبائع إنكاره.</w:t>
      </w:r>
    </w:p>
    <w:p w:rsidR="00C10469" w:rsidRDefault="00C10469">
      <w:pPr>
        <w:rPr>
          <w:rtl/>
        </w:rPr>
      </w:pPr>
      <w:r>
        <w:rPr>
          <w:rFonts w:hint="cs"/>
          <w:b/>
          <w:bCs/>
          <w:rtl/>
        </w:rPr>
        <w:t>والجواب</w:t>
      </w:r>
      <w:r>
        <w:rPr>
          <w:rFonts w:hint="cs"/>
          <w:rtl/>
        </w:rPr>
        <w:t>: إنكار البائع لأنْ يقيم المشتري البيّنَة إنما يجوز ليتمكن عن</w:t>
      </w:r>
      <w:r>
        <w:rPr>
          <w:rFonts w:hint="cs"/>
          <w:vertAlign w:val="superscript"/>
          <w:rtl/>
        </w:rPr>
        <w:t>(</w:t>
      </w:r>
      <w:r>
        <w:rPr>
          <w:rStyle w:val="a7"/>
          <w:rtl/>
        </w:rPr>
        <w:footnoteReference w:id="4034"/>
      </w:r>
      <w:r>
        <w:rPr>
          <w:rFonts w:hint="cs"/>
          <w:vertAlign w:val="superscript"/>
          <w:rtl/>
        </w:rPr>
        <w:t>)</w:t>
      </w:r>
      <w:r>
        <w:rPr>
          <w:rFonts w:hint="cs"/>
          <w:rtl/>
        </w:rPr>
        <w:t xml:space="preserve"> الرّد على بائعه. وهذا من باب</w:t>
      </w:r>
      <w:r>
        <w:rPr>
          <w:rStyle w:val="a7"/>
          <w:rtl/>
        </w:rPr>
        <w:footnoteReference w:id="4035"/>
      </w:r>
      <w:r>
        <w:rPr>
          <w:rFonts w:hint="cs"/>
          <w:rtl/>
        </w:rPr>
        <w:t xml:space="preserve"> الحيل. وقد ذُكر في باب الحاء</w:t>
      </w:r>
      <w:r>
        <w:rPr>
          <w:rFonts w:hint="cs"/>
          <w:vertAlign w:val="superscript"/>
          <w:rtl/>
        </w:rPr>
        <w:t>(</w:t>
      </w:r>
      <w:r>
        <w:rPr>
          <w:rStyle w:val="a7"/>
          <w:rtl/>
        </w:rPr>
        <w:footnoteReference w:id="4036"/>
      </w:r>
      <w:r>
        <w:rPr>
          <w:rFonts w:hint="cs"/>
          <w:vertAlign w:val="superscript"/>
          <w:rtl/>
        </w:rPr>
        <w:t>)</w:t>
      </w:r>
      <w:r>
        <w:rPr>
          <w:rFonts w:hint="cs"/>
          <w:rtl/>
        </w:rPr>
        <w:t>:</w:t>
      </w:r>
      <w:r>
        <w:rPr>
          <w:rFonts w:hint="eastAsia"/>
          <w:rtl/>
        </w:rPr>
        <w:t>«</w:t>
      </w:r>
      <w:r>
        <w:rPr>
          <w:rFonts w:hint="cs"/>
          <w:rtl/>
        </w:rPr>
        <w:t>الحيلة لدفع الضرر عن نفسه جائِز</w:t>
      </w:r>
      <w:r>
        <w:rPr>
          <w:rFonts w:hint="cs"/>
          <w:vertAlign w:val="superscript"/>
          <w:rtl/>
        </w:rPr>
        <w:t>(</w:t>
      </w:r>
      <w:r>
        <w:rPr>
          <w:rStyle w:val="a7"/>
          <w:rtl/>
        </w:rPr>
        <w:footnoteReference w:id="4037"/>
      </w:r>
      <w:r>
        <w:rPr>
          <w:rFonts w:hint="cs"/>
          <w:vertAlign w:val="superscript"/>
          <w:rtl/>
        </w:rPr>
        <w:t>)</w:t>
      </w:r>
      <w:r>
        <w:rPr>
          <w:rFonts w:hint="cs"/>
          <w:rtl/>
        </w:rPr>
        <w:t>، وإن تضرّر الغير في ضمنه</w:t>
      </w:r>
      <w:r>
        <w:rPr>
          <w:rtl/>
        </w:rPr>
        <w:t>»</w:t>
      </w:r>
      <w:r>
        <w:rPr>
          <w:rFonts w:hint="cs"/>
          <w:rtl/>
        </w:rPr>
        <w:t>.</w:t>
      </w:r>
    </w:p>
    <w:p w:rsidR="00C10469" w:rsidRDefault="00C10469">
      <w:pPr>
        <w:rPr>
          <w:rtl/>
        </w:rPr>
      </w:pPr>
      <w:r>
        <w:rPr>
          <w:rFonts w:hint="cs"/>
          <w:b/>
          <w:bCs/>
          <w:rtl/>
        </w:rPr>
        <w:lastRenderedPageBreak/>
        <w:t>والثانية</w:t>
      </w:r>
      <w:r>
        <w:rPr>
          <w:rFonts w:hint="cs"/>
          <w:rtl/>
        </w:rPr>
        <w:t>: الوصيّ إذا عَلِمَ بالدين على الميت فللوصيّ إنكاره!.</w:t>
      </w:r>
    </w:p>
    <w:p w:rsidR="00C10469" w:rsidRDefault="00C10469">
      <w:pPr>
        <w:rPr>
          <w:rtl/>
        </w:rPr>
      </w:pPr>
      <w:r>
        <w:rPr>
          <w:rFonts w:hint="cs"/>
          <w:b/>
          <w:bCs/>
          <w:rtl/>
        </w:rPr>
        <w:t xml:space="preserve">والجواب </w:t>
      </w:r>
      <w:r>
        <w:rPr>
          <w:rFonts w:hint="cs"/>
          <w:rtl/>
        </w:rPr>
        <w:t>: إن إقرار الوصيّ غير صحيح، فإقراره عبث لا يجب عليه.</w:t>
      </w:r>
    </w:p>
    <w:p w:rsidR="00C10469" w:rsidRDefault="00C10469">
      <w:pPr>
        <w:rPr>
          <w:rtl/>
        </w:rPr>
      </w:pPr>
      <w:r>
        <w:rPr>
          <w:rFonts w:hint="cs"/>
          <w:b/>
          <w:bCs/>
          <w:rtl/>
        </w:rPr>
        <w:t xml:space="preserve">أقول </w:t>
      </w:r>
      <w:r>
        <w:rPr>
          <w:rFonts w:hint="cs"/>
          <w:rtl/>
        </w:rPr>
        <w:t>: [التخلف]</w:t>
      </w:r>
      <w:r>
        <w:rPr>
          <w:rStyle w:val="a7"/>
          <w:rtl/>
        </w:rPr>
        <w:footnoteReference w:id="4038"/>
      </w:r>
      <w:r>
        <w:rPr>
          <w:rFonts w:hint="cs"/>
          <w:rtl/>
        </w:rPr>
        <w:t xml:space="preserve"> عن هذا الأصل ليس بمنحصر على هذين</w:t>
      </w:r>
      <w:r>
        <w:rPr>
          <w:rFonts w:hint="cs"/>
          <w:vertAlign w:val="superscript"/>
          <w:rtl/>
        </w:rPr>
        <w:t>(</w:t>
      </w:r>
      <w:r>
        <w:rPr>
          <w:rStyle w:val="a7"/>
          <w:rtl/>
        </w:rPr>
        <w:footnoteReference w:id="4039"/>
      </w:r>
      <w:r>
        <w:rPr>
          <w:rFonts w:hint="cs"/>
          <w:vertAlign w:val="superscript"/>
          <w:rtl/>
        </w:rPr>
        <w:t>)</w:t>
      </w:r>
      <w:r>
        <w:rPr>
          <w:rFonts w:hint="cs"/>
          <w:rtl/>
        </w:rPr>
        <w:t xml:space="preserve"> المسألتين؛ بل </w:t>
      </w:r>
      <w:r>
        <w:rPr>
          <w:rFonts w:hint="eastAsia"/>
          <w:rtl/>
        </w:rPr>
        <w:t>«</w:t>
      </w:r>
      <w:r>
        <w:rPr>
          <w:rFonts w:hint="cs"/>
          <w:rtl/>
        </w:rPr>
        <w:t>في كل موضع يتوقع الضررُ من غير المقرّ لولا البينة جاز له الإنكار</w:t>
      </w:r>
      <w:r>
        <w:rPr>
          <w:rtl/>
        </w:rPr>
        <w:t>»</w:t>
      </w:r>
      <w:r>
        <w:rPr>
          <w:rFonts w:hint="cs"/>
          <w:vertAlign w:val="superscript"/>
          <w:rtl/>
        </w:rPr>
        <w:t>(</w:t>
      </w:r>
      <w:r>
        <w:rPr>
          <w:rStyle w:val="a7"/>
          <w:rtl/>
        </w:rPr>
        <w:footnoteReference w:id="4040"/>
      </w:r>
      <w:r>
        <w:rPr>
          <w:rFonts w:hint="cs"/>
          <w:vertAlign w:val="superscript"/>
          <w:rtl/>
        </w:rPr>
        <w:t>)</w:t>
      </w:r>
      <w:r>
        <w:rPr>
          <w:rFonts w:hint="cs"/>
          <w:rtl/>
        </w:rPr>
        <w:t>:</w:t>
      </w:r>
    </w:p>
    <w:p w:rsidR="00C10469" w:rsidRDefault="00C10469" w:rsidP="00C10469">
      <w:pPr>
        <w:ind w:left="989" w:hanging="422"/>
        <w:rPr>
          <w:rtl/>
        </w:rPr>
      </w:pPr>
      <w:r>
        <w:rPr>
          <w:b/>
          <w:bCs/>
          <w:rtl/>
        </w:rPr>
        <w:t>•</w:t>
      </w:r>
      <w:r>
        <w:rPr>
          <w:rFonts w:hint="cs"/>
          <w:b/>
          <w:bCs/>
          <w:rtl/>
        </w:rPr>
        <w:t xml:space="preserve">  ومنها </w:t>
      </w:r>
      <w:r>
        <w:rPr>
          <w:rFonts w:hint="cs"/>
          <w:rtl/>
        </w:rPr>
        <w:t>: جاز إنكار المُسْتَحَقَّ عليه؛ لأن يقيم المستحِقُّ البيّنةَ؛ ليتمكن من الرجوع على بائعه.</w:t>
      </w:r>
    </w:p>
    <w:p w:rsidR="00C10469" w:rsidRDefault="00C10469" w:rsidP="00C10469">
      <w:pPr>
        <w:ind w:left="989" w:hanging="422"/>
        <w:rPr>
          <w:rtl/>
        </w:rPr>
      </w:pPr>
      <w:r>
        <w:rPr>
          <w:b/>
          <w:bCs/>
          <w:rtl/>
        </w:rPr>
        <w:t>•</w:t>
      </w:r>
      <w:r>
        <w:rPr>
          <w:rFonts w:hint="cs"/>
          <w:b/>
          <w:bCs/>
          <w:rtl/>
        </w:rPr>
        <w:t xml:space="preserve">  وكذا</w:t>
      </w:r>
      <w:r>
        <w:rPr>
          <w:rStyle w:val="a7"/>
          <w:b/>
          <w:rtl/>
        </w:rPr>
        <w:footnoteReference w:id="4041"/>
      </w:r>
      <w:r>
        <w:rPr>
          <w:rFonts w:hint="cs"/>
          <w:b/>
          <w:bCs/>
          <w:rtl/>
        </w:rPr>
        <w:t xml:space="preserve"> </w:t>
      </w:r>
      <w:r>
        <w:rPr>
          <w:rFonts w:hint="cs"/>
          <w:rtl/>
        </w:rPr>
        <w:t>: إذا علم أحدُ الورثة بالدين على الميّت: جاز إنكاره؛ لأن يقيم الدائن البينة</w:t>
      </w:r>
      <w:r>
        <w:rPr>
          <w:rStyle w:val="a7"/>
          <w:rtl/>
        </w:rPr>
        <w:footnoteReference w:id="4042"/>
      </w:r>
      <w:r>
        <w:rPr>
          <w:rFonts w:hint="cs"/>
          <w:rtl/>
        </w:rPr>
        <w:t xml:space="preserve"> للتعدي.</w:t>
      </w:r>
    </w:p>
    <w:p w:rsidR="00C10469" w:rsidRDefault="00C10469" w:rsidP="00C10469">
      <w:pPr>
        <w:ind w:left="989" w:hanging="422"/>
      </w:pPr>
      <w:r>
        <w:rPr>
          <w:b/>
          <w:bCs/>
          <w:rtl/>
        </w:rPr>
        <w:t>•</w:t>
      </w:r>
      <w:r>
        <w:rPr>
          <w:rFonts w:hint="cs"/>
          <w:b/>
          <w:bCs/>
          <w:rtl/>
        </w:rPr>
        <w:t xml:space="preserve">  وجاز</w:t>
      </w:r>
      <w:r>
        <w:rPr>
          <w:rFonts w:hint="cs"/>
          <w:rtl/>
        </w:rPr>
        <w:t xml:space="preserve"> إنكار المدعى عليه الوكالة؛ لأن يقيم الوكيل البينة لدفع الضرر.</w:t>
      </w:r>
    </w:p>
    <w:p w:rsidR="00C10469" w:rsidRDefault="00C10469">
      <w:pPr>
        <w:ind w:left="567" w:right="567" w:firstLine="0"/>
        <w:rPr>
          <w:rtl/>
        </w:rPr>
      </w:pPr>
    </w:p>
    <w:p w:rsidR="00C10469" w:rsidRDefault="00C10469">
      <w:pPr>
        <w:ind w:left="567" w:right="567" w:firstLine="0"/>
        <w:rPr>
          <w:rtl/>
        </w:rPr>
      </w:pPr>
    </w:p>
    <w:p w:rsidR="00C10469" w:rsidRDefault="00C10469">
      <w:pPr>
        <w:ind w:left="567" w:right="567" w:firstLine="0"/>
        <w:jc w:val="center"/>
        <w:rPr>
          <w:rFonts w:ascii="AGA Arabesque" w:hAnsi="AGA Arabesque"/>
          <w:sz w:val="50"/>
          <w:szCs w:val="50"/>
        </w:rPr>
        <w:sectPr w:rsidR="00C10469" w:rsidSect="00C10469">
          <w:headerReference w:type="default" r:id="rId249"/>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153AF9" w:rsidRDefault="00C10469">
      <w:pPr>
        <w:pStyle w:val="a9"/>
        <w:rPr>
          <w:rFonts w:cs="AL-Mateen"/>
          <w:rtl/>
        </w:rPr>
      </w:pPr>
      <w:r w:rsidRPr="00153AF9">
        <w:rPr>
          <w:rFonts w:cs="AL-Mateen" w:hint="cs"/>
          <w:rtl/>
        </w:rPr>
        <w:lastRenderedPageBreak/>
        <w:t>[القاعدة الخامسة والتسعون بعد المائة]</w:t>
      </w:r>
    </w:p>
    <w:p w:rsidR="00C10469" w:rsidRDefault="00C10469">
      <w:pPr>
        <w:rPr>
          <w:rtl/>
        </w:rPr>
      </w:pPr>
      <w:r>
        <w:rPr>
          <w:rFonts w:cs="Monotype Koufi" w:hint="cs"/>
          <w:rtl/>
        </w:rPr>
        <w:t>لاَ ثَوَابَ إلا بالنِّيَّةِ</w:t>
      </w:r>
      <w:r>
        <w:rPr>
          <w:rStyle w:val="a7"/>
          <w:rtl/>
        </w:rPr>
        <w:footnoteReference w:id="4043"/>
      </w:r>
      <w:r>
        <w:rPr>
          <w:rFonts w:hint="cs"/>
          <w:vertAlign w:val="superscript"/>
          <w:rtl/>
        </w:rPr>
        <w:t>(</w:t>
      </w:r>
      <w:r>
        <w:rPr>
          <w:rStyle w:val="a7"/>
          <w:rtl/>
        </w:rPr>
        <w:footnoteReference w:id="4044"/>
      </w:r>
      <w:r>
        <w:rPr>
          <w:rFonts w:hint="cs"/>
          <w:vertAlign w:val="superscript"/>
          <w:rtl/>
        </w:rPr>
        <w:t>)</w:t>
      </w:r>
      <w:r>
        <w:rPr>
          <w:rFonts w:hint="cs"/>
          <w:rtl/>
        </w:rPr>
        <w:t xml:space="preserve">: </w:t>
      </w:r>
    </w:p>
    <w:p w:rsidR="00C10469" w:rsidRDefault="00C10469">
      <w:pPr>
        <w:rPr>
          <w:rtl/>
        </w:rPr>
      </w:pPr>
      <w:r>
        <w:rPr>
          <w:rFonts w:hint="cs"/>
          <w:rtl/>
        </w:rPr>
        <w:t xml:space="preserve">إذْ قال النبي </w:t>
      </w:r>
      <w:r>
        <w:rPr>
          <w:rFonts w:ascii="AGA Arabesque" w:hAnsi="AGA Arabesque"/>
          <w:sz w:val="36"/>
        </w:rPr>
        <w:t></w:t>
      </w:r>
      <w:r>
        <w:rPr>
          <w:rFonts w:hint="cs"/>
          <w:rtl/>
        </w:rPr>
        <w:t xml:space="preserve"> : </w:t>
      </w:r>
      <w:r>
        <w:rPr>
          <w:rFonts w:hint="eastAsia"/>
          <w:rtl/>
        </w:rPr>
        <w:t>«</w:t>
      </w:r>
      <w:r>
        <w:rPr>
          <w:rFonts w:hint="cs"/>
          <w:rtl/>
        </w:rPr>
        <w:t xml:space="preserve"> </w:t>
      </w:r>
      <w:r>
        <w:rPr>
          <w:rFonts w:cs="DecoType Naskh Variants" w:hint="cs"/>
          <w:sz w:val="36"/>
          <w:rtl/>
        </w:rPr>
        <w:t>إنَّـــمَـــا الأَعمَــالُ بالنِّـــيَّـــاتِ</w:t>
      </w:r>
      <w:r>
        <w:rPr>
          <w:rFonts w:cs="Al-Kharashi 62" w:hint="cs"/>
          <w:sz w:val="36"/>
          <w:rtl/>
        </w:rPr>
        <w:t xml:space="preserve"> </w:t>
      </w:r>
      <w:r>
        <w:rPr>
          <w:rtl/>
        </w:rPr>
        <w:t>»</w:t>
      </w:r>
      <w:r>
        <w:rPr>
          <w:rFonts w:hint="cs"/>
          <w:vertAlign w:val="superscript"/>
          <w:rtl/>
        </w:rPr>
        <w:t>(</w:t>
      </w:r>
      <w:r>
        <w:rPr>
          <w:rStyle w:val="a7"/>
          <w:rtl/>
        </w:rPr>
        <w:footnoteReference w:id="4045"/>
      </w:r>
      <w:r>
        <w:rPr>
          <w:rFonts w:hint="cs"/>
          <w:vertAlign w:val="superscript"/>
          <w:rtl/>
        </w:rPr>
        <w:t>)</w:t>
      </w:r>
      <w:r>
        <w:rPr>
          <w:rFonts w:hint="cs"/>
          <w:rtl/>
        </w:rPr>
        <w:t>.</w:t>
      </w:r>
    </w:p>
    <w:p w:rsidR="00C10469" w:rsidRDefault="00C10469">
      <w:pPr>
        <w:rPr>
          <w:rtl/>
        </w:rPr>
      </w:pPr>
      <w:r>
        <w:rPr>
          <w:rFonts w:hint="cs"/>
          <w:rtl/>
        </w:rPr>
        <w:t xml:space="preserve">وهذا الحديث </w:t>
      </w:r>
      <w:r>
        <w:rPr>
          <w:rFonts w:hint="eastAsia"/>
          <w:rtl/>
        </w:rPr>
        <w:t>«</w:t>
      </w:r>
      <w:r>
        <w:rPr>
          <w:rFonts w:hint="cs"/>
          <w:rtl/>
        </w:rPr>
        <w:t>من باب المقتضى؛ لكثرة وجود الأعمال بدونها، فقدّروا مضافًا، أي حكم الأعمال.</w:t>
      </w:r>
    </w:p>
    <w:p w:rsidR="00C10469" w:rsidRDefault="00C10469">
      <w:pPr>
        <w:rPr>
          <w:rtl/>
        </w:rPr>
      </w:pPr>
      <w:r>
        <w:rPr>
          <w:rFonts w:hint="cs"/>
          <w:b/>
          <w:bCs/>
          <w:rtl/>
        </w:rPr>
        <w:lastRenderedPageBreak/>
        <w:t>وهو</w:t>
      </w:r>
      <w:r>
        <w:rPr>
          <w:rFonts w:hint="cs"/>
          <w:vertAlign w:val="superscript"/>
          <w:rtl/>
        </w:rPr>
        <w:t>(</w:t>
      </w:r>
      <w:r>
        <w:rPr>
          <w:rStyle w:val="a7"/>
          <w:rtl/>
        </w:rPr>
        <w:footnoteReference w:id="4046"/>
      </w:r>
      <w:r>
        <w:rPr>
          <w:rFonts w:hint="cs"/>
          <w:vertAlign w:val="superscript"/>
          <w:rtl/>
        </w:rPr>
        <w:t>)</w:t>
      </w:r>
      <w:r>
        <w:rPr>
          <w:rFonts w:hint="cs"/>
          <w:rtl/>
        </w:rPr>
        <w:t xml:space="preserve"> </w:t>
      </w:r>
      <w:r>
        <w:rPr>
          <w:rFonts w:hint="cs"/>
          <w:b/>
          <w:bCs/>
          <w:rtl/>
        </w:rPr>
        <w:t>نوعان</w:t>
      </w:r>
      <w:r>
        <w:rPr>
          <w:rFonts w:hint="cs"/>
          <w:rtl/>
        </w:rPr>
        <w:t>:</w:t>
      </w:r>
    </w:p>
    <w:p w:rsidR="00C10469" w:rsidRDefault="00C10469" w:rsidP="00C10469">
      <w:pPr>
        <w:ind w:left="774" w:right="1097" w:firstLine="0"/>
        <w:rPr>
          <w:rtl/>
        </w:rPr>
      </w:pPr>
      <w:r>
        <w:rPr>
          <w:rtl/>
        </w:rPr>
        <w:t>•</w:t>
      </w:r>
      <w:r>
        <w:rPr>
          <w:rFonts w:hint="cs"/>
          <w:rtl/>
        </w:rPr>
        <w:t xml:space="preserve">  أخروى : وهو الثواب واستحقاق العذاب.</w:t>
      </w:r>
    </w:p>
    <w:p w:rsidR="00C10469" w:rsidRDefault="00C10469" w:rsidP="00C10469">
      <w:pPr>
        <w:ind w:left="774" w:right="1097" w:firstLine="0"/>
        <w:rPr>
          <w:rtl/>
        </w:rPr>
      </w:pPr>
      <w:r>
        <w:rPr>
          <w:rtl/>
        </w:rPr>
        <w:t>•</w:t>
      </w:r>
      <w:r>
        <w:rPr>
          <w:rFonts w:hint="cs"/>
          <w:rtl/>
        </w:rPr>
        <w:t xml:space="preserve">  ودنيوي : وهو الصحة والفساد.</w:t>
      </w:r>
      <w:r>
        <w:rPr>
          <w:rFonts w:hint="eastAsia"/>
          <w:rtl/>
        </w:rPr>
        <w:t xml:space="preserve"> </w:t>
      </w:r>
    </w:p>
    <w:p w:rsidR="00C10469" w:rsidRDefault="00C10469" w:rsidP="00C10469">
      <w:pPr>
        <w:ind w:left="567" w:firstLine="0"/>
        <w:rPr>
          <w:rtl/>
        </w:rPr>
      </w:pPr>
      <w:r>
        <w:rPr>
          <w:rFonts w:hint="cs"/>
          <w:rtl/>
        </w:rPr>
        <w:t>والأخروى مراد بالإجماع</w:t>
      </w:r>
      <w:r>
        <w:rPr>
          <w:rFonts w:hint="cs"/>
          <w:vertAlign w:val="superscript"/>
          <w:rtl/>
        </w:rPr>
        <w:t>(</w:t>
      </w:r>
      <w:r>
        <w:rPr>
          <w:rStyle w:val="a7"/>
          <w:rtl/>
        </w:rPr>
        <w:footnoteReference w:id="4047"/>
      </w:r>
      <w:r>
        <w:rPr>
          <w:rFonts w:hint="cs"/>
          <w:vertAlign w:val="superscript"/>
          <w:rtl/>
        </w:rPr>
        <w:t>)</w:t>
      </w:r>
      <w:r>
        <w:rPr>
          <w:rtl/>
        </w:rPr>
        <w:t>»</w:t>
      </w:r>
      <w:r>
        <w:rPr>
          <w:rFonts w:hint="cs"/>
          <w:vertAlign w:val="superscript"/>
          <w:rtl/>
        </w:rPr>
        <w:t>(</w:t>
      </w:r>
      <w:r>
        <w:rPr>
          <w:rStyle w:val="a7"/>
          <w:rtl/>
        </w:rPr>
        <w:footnoteReference w:id="4048"/>
      </w:r>
      <w:r>
        <w:rPr>
          <w:rFonts w:hint="cs"/>
          <w:vertAlign w:val="superscript"/>
          <w:rtl/>
        </w:rPr>
        <w:t>)</w:t>
      </w:r>
      <w:r>
        <w:rPr>
          <w:rFonts w:hint="cs"/>
          <w:rtl/>
        </w:rPr>
        <w:t>.</w:t>
      </w:r>
    </w:p>
    <w:p w:rsidR="00C10469" w:rsidRDefault="00C10469">
      <w:pPr>
        <w:rPr>
          <w:rtl/>
        </w:rPr>
      </w:pPr>
      <w:r>
        <w:rPr>
          <w:rFonts w:hint="cs"/>
          <w:rtl/>
        </w:rPr>
        <w:t xml:space="preserve"> فعلى هذا : النيّة شرطٌ في العبادات المحضة؛ لأن المقصود في العبادة المحضة: الثواب، فإذا خلت</w:t>
      </w:r>
      <w:r>
        <w:rPr>
          <w:rStyle w:val="a7"/>
          <w:rtl/>
        </w:rPr>
        <w:footnoteReference w:id="4049"/>
      </w:r>
      <w:r>
        <w:rPr>
          <w:rFonts w:hint="cs"/>
          <w:rtl/>
        </w:rPr>
        <w:t xml:space="preserve"> عن المقصود لا يكون لها صحةً؛ لأنها لم [تشرع]</w:t>
      </w:r>
      <w:r>
        <w:rPr>
          <w:rStyle w:val="a7"/>
          <w:rtl/>
        </w:rPr>
        <w:footnoteReference w:id="4050"/>
      </w:r>
      <w:r>
        <w:rPr>
          <w:rFonts w:hint="cs"/>
          <w:rtl/>
        </w:rPr>
        <w:t xml:space="preserve"> إلا لكونها عبادة، على أنّا أُمرنا بالإخلاص في العبادة بقوله تعالى : </w:t>
      </w:r>
      <w:r>
        <w:rPr>
          <w:color w:val="000000"/>
          <w:sz w:val="28"/>
          <w:szCs w:val="28"/>
        </w:rPr>
        <w:sym w:font="HQPB2" w:char="F0E2"/>
      </w:r>
      <w:r>
        <w:rPr>
          <w:color w:val="000000"/>
          <w:sz w:val="28"/>
          <w:szCs w:val="28"/>
          <w:rtl/>
        </w:rPr>
        <w:t xml:space="preserve"> </w:t>
      </w:r>
      <w:r>
        <w:rPr>
          <w:color w:val="000000"/>
          <w:sz w:val="28"/>
          <w:szCs w:val="28"/>
        </w:rPr>
        <w:sym w:font="HQPB5" w:char="F021"/>
      </w:r>
      <w:r>
        <w:rPr>
          <w:color w:val="000000"/>
          <w:sz w:val="28"/>
          <w:szCs w:val="28"/>
        </w:rPr>
        <w:sym w:font="HQPB1" w:char="F024"/>
      </w:r>
      <w:r>
        <w:rPr>
          <w:color w:val="000000"/>
          <w:sz w:val="28"/>
          <w:szCs w:val="28"/>
        </w:rPr>
        <w:sym w:font="HQPB5" w:char="F074"/>
      </w:r>
      <w:r>
        <w:rPr>
          <w:color w:val="000000"/>
          <w:sz w:val="28"/>
          <w:szCs w:val="28"/>
        </w:rPr>
        <w:sym w:font="HQPB2" w:char="F042"/>
      </w:r>
      <w:r>
        <w:rPr>
          <w:color w:val="000000"/>
          <w:sz w:val="28"/>
          <w:szCs w:val="28"/>
        </w:rPr>
        <w:sym w:font="HQPB5" w:char="F075"/>
      </w:r>
      <w:r>
        <w:rPr>
          <w:color w:val="000000"/>
          <w:sz w:val="28"/>
          <w:szCs w:val="28"/>
        </w:rPr>
        <w:sym w:font="HQPB2" w:char="F072"/>
      </w:r>
      <w:r>
        <w:rPr>
          <w:color w:val="000000"/>
          <w:sz w:val="28"/>
          <w:szCs w:val="28"/>
          <w:rtl/>
        </w:rPr>
        <w:t xml:space="preserve"> </w:t>
      </w:r>
      <w:r>
        <w:rPr>
          <w:color w:val="000000"/>
          <w:sz w:val="28"/>
          <w:szCs w:val="28"/>
        </w:rPr>
        <w:sym w:font="HQPB5" w:char="F028"/>
      </w:r>
      <w:r>
        <w:rPr>
          <w:color w:val="000000"/>
          <w:sz w:val="28"/>
          <w:szCs w:val="28"/>
        </w:rPr>
        <w:sym w:font="HQPB1" w:char="F023"/>
      </w:r>
      <w:r>
        <w:rPr>
          <w:color w:val="000000"/>
          <w:sz w:val="28"/>
          <w:szCs w:val="28"/>
        </w:rPr>
        <w:sym w:font="HQPB4" w:char="F0FF"/>
      </w:r>
      <w:r>
        <w:rPr>
          <w:color w:val="000000"/>
          <w:sz w:val="28"/>
          <w:szCs w:val="28"/>
        </w:rPr>
        <w:sym w:font="HQPB2" w:char="F072"/>
      </w:r>
      <w:r>
        <w:rPr>
          <w:color w:val="000000"/>
          <w:sz w:val="28"/>
          <w:szCs w:val="28"/>
        </w:rPr>
        <w:sym w:font="HQPB4" w:char="F0E2"/>
      </w:r>
      <w:r>
        <w:rPr>
          <w:color w:val="000000"/>
          <w:sz w:val="28"/>
          <w:szCs w:val="28"/>
        </w:rPr>
        <w:sym w:font="HQPB1" w:char="F090"/>
      </w:r>
      <w:r>
        <w:rPr>
          <w:color w:val="000000"/>
          <w:sz w:val="28"/>
          <w:szCs w:val="28"/>
        </w:rPr>
        <w:sym w:font="HQPB4" w:char="F0C9"/>
      </w:r>
      <w:r>
        <w:rPr>
          <w:color w:val="000000"/>
          <w:sz w:val="28"/>
          <w:szCs w:val="28"/>
        </w:rPr>
        <w:sym w:font="HQPB2" w:char="F044"/>
      </w:r>
      <w:r>
        <w:rPr>
          <w:color w:val="000000"/>
          <w:sz w:val="28"/>
          <w:szCs w:val="28"/>
        </w:rPr>
        <w:sym w:font="HQPB4" w:char="F0E9"/>
      </w:r>
      <w:r>
        <w:rPr>
          <w:color w:val="000000"/>
          <w:sz w:val="28"/>
          <w:szCs w:val="28"/>
        </w:rPr>
        <w:sym w:font="HQPB1" w:char="F026"/>
      </w:r>
      <w:r>
        <w:rPr>
          <w:color w:val="000000"/>
          <w:sz w:val="28"/>
          <w:szCs w:val="28"/>
          <w:rtl/>
        </w:rPr>
        <w:t xml:space="preserve"> </w:t>
      </w:r>
      <w:r>
        <w:rPr>
          <w:color w:val="000000"/>
          <w:sz w:val="28"/>
          <w:szCs w:val="28"/>
        </w:rPr>
        <w:sym w:font="HQPB5" w:char="F09E"/>
      </w:r>
      <w:r>
        <w:rPr>
          <w:color w:val="000000"/>
          <w:sz w:val="28"/>
          <w:szCs w:val="28"/>
        </w:rPr>
        <w:sym w:font="HQPB2" w:char="F077"/>
      </w:r>
      <w:r>
        <w:rPr>
          <w:color w:val="000000"/>
          <w:sz w:val="28"/>
          <w:szCs w:val="28"/>
        </w:rPr>
        <w:sym w:font="HQPB4" w:char="F0CE"/>
      </w:r>
      <w:r>
        <w:rPr>
          <w:color w:val="000000"/>
          <w:sz w:val="28"/>
          <w:szCs w:val="28"/>
        </w:rPr>
        <w:sym w:font="HQPB1" w:char="F029"/>
      </w:r>
      <w:r>
        <w:rPr>
          <w:color w:val="000000"/>
          <w:sz w:val="28"/>
          <w:szCs w:val="28"/>
          <w:rtl/>
        </w:rPr>
        <w:t xml:space="preserve"> </w:t>
      </w:r>
      <w:r>
        <w:rPr>
          <w:color w:val="000000"/>
          <w:sz w:val="28"/>
          <w:szCs w:val="28"/>
        </w:rPr>
        <w:sym w:font="HQPB5" w:char="F028"/>
      </w:r>
      <w:r>
        <w:rPr>
          <w:color w:val="000000"/>
          <w:sz w:val="28"/>
          <w:szCs w:val="28"/>
        </w:rPr>
        <w:sym w:font="HQPB1" w:char="F023"/>
      </w:r>
      <w:r>
        <w:rPr>
          <w:color w:val="000000"/>
          <w:sz w:val="28"/>
          <w:szCs w:val="28"/>
        </w:rPr>
        <w:sym w:font="HQPB2" w:char="F072"/>
      </w:r>
      <w:r>
        <w:rPr>
          <w:color w:val="000000"/>
          <w:sz w:val="28"/>
          <w:szCs w:val="28"/>
        </w:rPr>
        <w:sym w:font="HQPB4" w:char="F0DF"/>
      </w:r>
      <w:r>
        <w:rPr>
          <w:color w:val="000000"/>
          <w:sz w:val="28"/>
          <w:szCs w:val="28"/>
        </w:rPr>
        <w:sym w:font="HQPB1" w:char="F089"/>
      </w:r>
      <w:r>
        <w:rPr>
          <w:color w:val="000000"/>
          <w:sz w:val="28"/>
          <w:szCs w:val="28"/>
        </w:rPr>
        <w:sym w:font="HQPB4" w:char="F0E7"/>
      </w:r>
      <w:r>
        <w:rPr>
          <w:color w:val="000000"/>
          <w:sz w:val="28"/>
          <w:szCs w:val="28"/>
        </w:rPr>
        <w:sym w:font="HQPB1" w:char="F036"/>
      </w:r>
      <w:r>
        <w:rPr>
          <w:color w:val="000000"/>
          <w:sz w:val="28"/>
          <w:szCs w:val="28"/>
        </w:rPr>
        <w:sym w:font="HQPB4" w:char="F0F7"/>
      </w:r>
      <w:r>
        <w:rPr>
          <w:color w:val="000000"/>
          <w:sz w:val="28"/>
          <w:szCs w:val="28"/>
        </w:rPr>
        <w:sym w:font="HQPB1" w:char="F0E8"/>
      </w:r>
      <w:r>
        <w:rPr>
          <w:color w:val="000000"/>
          <w:sz w:val="28"/>
          <w:szCs w:val="28"/>
        </w:rPr>
        <w:sym w:font="HQPB5" w:char="F075"/>
      </w:r>
      <w:r>
        <w:rPr>
          <w:color w:val="000000"/>
          <w:sz w:val="28"/>
          <w:szCs w:val="28"/>
        </w:rPr>
        <w:sym w:font="HQPB2" w:char="F08B"/>
      </w:r>
      <w:r>
        <w:rPr>
          <w:color w:val="000000"/>
          <w:sz w:val="28"/>
          <w:szCs w:val="28"/>
        </w:rPr>
        <w:sym w:font="HQPB4" w:char="F0CF"/>
      </w:r>
      <w:r>
        <w:rPr>
          <w:color w:val="000000"/>
          <w:sz w:val="28"/>
          <w:szCs w:val="28"/>
        </w:rPr>
        <w:sym w:font="HQPB2" w:char="F039"/>
      </w:r>
      <w:r>
        <w:rPr>
          <w:color w:val="000000"/>
          <w:sz w:val="28"/>
          <w:szCs w:val="28"/>
          <w:rtl/>
        </w:rPr>
        <w:t xml:space="preserve"> </w:t>
      </w:r>
      <w:r>
        <w:rPr>
          <w:color w:val="000000"/>
          <w:sz w:val="28"/>
          <w:szCs w:val="28"/>
        </w:rPr>
        <w:sym w:font="HQPB5" w:char="F0A9"/>
      </w:r>
      <w:r>
        <w:rPr>
          <w:color w:val="000000"/>
          <w:sz w:val="28"/>
          <w:szCs w:val="28"/>
        </w:rPr>
        <w:sym w:font="HQPB1" w:char="F021"/>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5" w:char="F074"/>
      </w:r>
      <w:r>
        <w:rPr>
          <w:color w:val="000000"/>
          <w:sz w:val="28"/>
          <w:szCs w:val="28"/>
        </w:rPr>
        <w:sym w:font="HQPB2" w:char="F0FB"/>
      </w:r>
      <w:r>
        <w:rPr>
          <w:color w:val="000000"/>
          <w:sz w:val="28"/>
          <w:szCs w:val="28"/>
        </w:rPr>
        <w:sym w:font="HQPB2" w:char="F0FC"/>
      </w:r>
      <w:r>
        <w:rPr>
          <w:color w:val="000000"/>
          <w:sz w:val="28"/>
          <w:szCs w:val="28"/>
        </w:rPr>
        <w:sym w:font="HQPB4" w:char="F0C5"/>
      </w:r>
      <w:r>
        <w:rPr>
          <w:color w:val="000000"/>
          <w:sz w:val="28"/>
          <w:szCs w:val="28"/>
        </w:rPr>
        <w:sym w:font="HQPB1" w:char="F0C1"/>
      </w:r>
      <w:r>
        <w:rPr>
          <w:color w:val="000000"/>
          <w:sz w:val="28"/>
          <w:szCs w:val="28"/>
        </w:rPr>
        <w:sym w:font="HQPB4" w:char="F0CE"/>
      </w:r>
      <w:r>
        <w:rPr>
          <w:color w:val="000000"/>
          <w:sz w:val="28"/>
          <w:szCs w:val="28"/>
        </w:rPr>
        <w:sym w:font="HQPB2" w:char="F03D"/>
      </w:r>
      <w:r>
        <w:rPr>
          <w:color w:val="000000"/>
          <w:sz w:val="28"/>
          <w:szCs w:val="28"/>
        </w:rPr>
        <w:sym w:font="HQPB4" w:char="F0F8"/>
      </w:r>
      <w:r>
        <w:rPr>
          <w:color w:val="000000"/>
          <w:sz w:val="28"/>
          <w:szCs w:val="28"/>
        </w:rPr>
        <w:sym w:font="HQPB1" w:char="F083"/>
      </w:r>
      <w:r>
        <w:rPr>
          <w:color w:val="000000"/>
          <w:sz w:val="28"/>
          <w:szCs w:val="28"/>
        </w:rPr>
        <w:sym w:font="HQPB4" w:char="F0E8"/>
      </w:r>
      <w:r>
        <w:rPr>
          <w:color w:val="000000"/>
          <w:sz w:val="28"/>
          <w:szCs w:val="28"/>
        </w:rPr>
        <w:sym w:font="HQPB2" w:char="F043"/>
      </w:r>
      <w:r>
        <w:rPr>
          <w:color w:val="000000"/>
          <w:sz w:val="28"/>
          <w:szCs w:val="28"/>
          <w:rtl/>
        </w:rPr>
        <w:t xml:space="preserve"> </w:t>
      </w:r>
      <w:r>
        <w:rPr>
          <w:color w:val="000000"/>
          <w:sz w:val="28"/>
          <w:szCs w:val="28"/>
        </w:rPr>
        <w:sym w:font="HQPB4" w:char="F0E3"/>
      </w:r>
      <w:r>
        <w:rPr>
          <w:color w:val="000000"/>
          <w:sz w:val="28"/>
          <w:szCs w:val="28"/>
        </w:rPr>
        <w:sym w:font="HQPB3" w:char="F026"/>
      </w:r>
      <w:r>
        <w:rPr>
          <w:color w:val="000000"/>
          <w:sz w:val="28"/>
          <w:szCs w:val="28"/>
        </w:rPr>
        <w:sym w:font="HQPB5" w:char="F073"/>
      </w:r>
      <w:r>
        <w:rPr>
          <w:color w:val="000000"/>
          <w:sz w:val="28"/>
          <w:szCs w:val="28"/>
        </w:rPr>
        <w:sym w:font="HQPB3" w:char="F021"/>
      </w:r>
      <w:r>
        <w:rPr>
          <w:color w:val="000000"/>
          <w:sz w:val="28"/>
          <w:szCs w:val="28"/>
          <w:rtl/>
        </w:rPr>
        <w:t xml:space="preserve"> </w:t>
      </w:r>
      <w:r>
        <w:rPr>
          <w:color w:val="000000"/>
          <w:sz w:val="28"/>
          <w:szCs w:val="28"/>
        </w:rPr>
        <w:sym w:font="HQPB5" w:char="F074"/>
      </w:r>
      <w:r>
        <w:rPr>
          <w:color w:val="000000"/>
          <w:sz w:val="28"/>
          <w:szCs w:val="28"/>
        </w:rPr>
        <w:sym w:font="HQPB2" w:char="F0FB"/>
      </w:r>
      <w:r>
        <w:rPr>
          <w:color w:val="000000"/>
          <w:sz w:val="28"/>
          <w:szCs w:val="28"/>
        </w:rPr>
        <w:sym w:font="HQPB2" w:char="F0EF"/>
      </w:r>
      <w:r>
        <w:rPr>
          <w:color w:val="000000"/>
          <w:sz w:val="28"/>
          <w:szCs w:val="28"/>
        </w:rPr>
        <w:sym w:font="HQPB4" w:char="F0CF"/>
      </w:r>
      <w:r>
        <w:rPr>
          <w:color w:val="000000"/>
          <w:sz w:val="28"/>
          <w:szCs w:val="28"/>
        </w:rPr>
        <w:sym w:font="HQPB4" w:char="F065"/>
      </w:r>
      <w:r>
        <w:rPr>
          <w:color w:val="000000"/>
          <w:sz w:val="28"/>
          <w:szCs w:val="28"/>
        </w:rPr>
        <w:sym w:font="HQPB3" w:char="F024"/>
      </w:r>
      <w:r>
        <w:rPr>
          <w:color w:val="000000"/>
          <w:sz w:val="28"/>
          <w:szCs w:val="28"/>
        </w:rPr>
        <w:sym w:font="HQPB3" w:char="F021"/>
      </w:r>
      <w:r>
        <w:rPr>
          <w:color w:val="000000"/>
          <w:sz w:val="28"/>
          <w:szCs w:val="28"/>
        </w:rPr>
        <w:sym w:font="HQPB5" w:char="F024"/>
      </w:r>
      <w:r>
        <w:rPr>
          <w:color w:val="000000"/>
          <w:sz w:val="28"/>
          <w:szCs w:val="28"/>
        </w:rPr>
        <w:sym w:font="HQPB1" w:char="F023"/>
      </w:r>
      <w:r>
        <w:rPr>
          <w:color w:val="000000"/>
          <w:sz w:val="28"/>
          <w:szCs w:val="28"/>
          <w:rtl/>
        </w:rPr>
        <w:t xml:space="preserve"> </w:t>
      </w:r>
      <w:r>
        <w:rPr>
          <w:color w:val="000000"/>
          <w:sz w:val="28"/>
          <w:szCs w:val="28"/>
        </w:rPr>
        <w:sym w:font="HQPB2" w:char="F0E1"/>
      </w:r>
      <w:r>
        <w:rPr>
          <w:rFonts w:hint="cs"/>
          <w:vertAlign w:val="superscript"/>
          <w:rtl/>
        </w:rPr>
        <w:t xml:space="preserve"> (</w:t>
      </w:r>
      <w:r>
        <w:rPr>
          <w:rStyle w:val="a7"/>
          <w:rtl/>
        </w:rPr>
        <w:footnoteReference w:id="4051"/>
      </w:r>
      <w:r>
        <w:rPr>
          <w:rFonts w:hint="cs"/>
          <w:vertAlign w:val="superscript"/>
          <w:rtl/>
        </w:rPr>
        <w:t xml:space="preserve">) </w:t>
      </w:r>
      <w:r>
        <w:rPr>
          <w:rFonts w:hint="cs"/>
          <w:rtl/>
        </w:rPr>
        <w:t xml:space="preserve">الآية. </w:t>
      </w:r>
      <w:r>
        <w:rPr>
          <w:rFonts w:hint="eastAsia"/>
          <w:rtl/>
        </w:rPr>
        <w:t>«</w:t>
      </w:r>
      <w:r>
        <w:rPr>
          <w:rFonts w:hint="cs"/>
          <w:rtl/>
        </w:rPr>
        <w:t>ومخلصين : حال عن العابدين، والأحوالُ [مشروطة]</w:t>
      </w:r>
      <w:r>
        <w:rPr>
          <w:rStyle w:val="a7"/>
          <w:rtl/>
        </w:rPr>
        <w:footnoteReference w:id="4052"/>
      </w:r>
      <w:r>
        <w:rPr>
          <w:rFonts w:hint="cs"/>
          <w:rtl/>
        </w:rPr>
        <w:t xml:space="preserve">، فيكون كل </w:t>
      </w:r>
      <w:r>
        <w:rPr>
          <w:rFonts w:hint="cs"/>
          <w:rtl/>
        </w:rPr>
        <w:lastRenderedPageBreak/>
        <w:t>عبادة مشروطة بالنية</w:t>
      </w:r>
      <w:r>
        <w:rPr>
          <w:rtl/>
        </w:rPr>
        <w:t>»</w:t>
      </w:r>
      <w:r>
        <w:rPr>
          <w:rFonts w:hint="cs"/>
          <w:vertAlign w:val="superscript"/>
          <w:rtl/>
        </w:rPr>
        <w:t>(</w:t>
      </w:r>
      <w:r>
        <w:rPr>
          <w:rStyle w:val="a7"/>
          <w:rtl/>
        </w:rPr>
        <w:footnoteReference w:id="4053"/>
      </w:r>
      <w:r>
        <w:rPr>
          <w:rFonts w:hint="cs"/>
          <w:vertAlign w:val="superscript"/>
          <w:rtl/>
        </w:rPr>
        <w:t>)</w:t>
      </w:r>
      <w:r>
        <w:rPr>
          <w:rFonts w:hint="cs"/>
          <w:rtl/>
        </w:rPr>
        <w:t>؛ لأن الإخلاص لا يكون إلا بالنية.</w:t>
      </w:r>
    </w:p>
    <w:p w:rsidR="00C10469" w:rsidRPr="00026582" w:rsidRDefault="00C10469">
      <w:pPr>
        <w:rPr>
          <w:spacing w:val="-6"/>
          <w:rtl/>
        </w:rPr>
      </w:pPr>
      <w:r w:rsidRPr="00026582">
        <w:rPr>
          <w:rFonts w:hint="cs"/>
          <w:b/>
          <w:bCs/>
          <w:spacing w:val="-6"/>
          <w:rtl/>
        </w:rPr>
        <w:t xml:space="preserve">وخرج </w:t>
      </w:r>
      <w:r w:rsidRPr="00026582">
        <w:rPr>
          <w:rFonts w:hint="cs"/>
          <w:spacing w:val="-6"/>
          <w:rtl/>
        </w:rPr>
        <w:t xml:space="preserve">عن هذا الأصل </w:t>
      </w:r>
      <w:r w:rsidRPr="00026582">
        <w:rPr>
          <w:rFonts w:hint="cs"/>
          <w:b/>
          <w:bCs/>
          <w:spacing w:val="-6"/>
          <w:rtl/>
        </w:rPr>
        <w:t xml:space="preserve">: </w:t>
      </w:r>
      <w:r w:rsidRPr="00026582">
        <w:rPr>
          <w:rFonts w:hint="cs"/>
          <w:spacing w:val="-6"/>
          <w:rtl/>
        </w:rPr>
        <w:t>النية في الوضوء</w:t>
      </w:r>
      <w:r w:rsidRPr="00026582">
        <w:rPr>
          <w:rStyle w:val="a7"/>
          <w:spacing w:val="-6"/>
          <w:rtl/>
        </w:rPr>
        <w:footnoteReference w:id="4054"/>
      </w:r>
      <w:r w:rsidRPr="00026582">
        <w:rPr>
          <w:rFonts w:hint="cs"/>
          <w:spacing w:val="-6"/>
          <w:rtl/>
        </w:rPr>
        <w:t>، فإنه</w:t>
      </w:r>
      <w:r w:rsidRPr="00026582">
        <w:rPr>
          <w:rFonts w:hint="cs"/>
          <w:spacing w:val="-6"/>
          <w:vertAlign w:val="superscript"/>
          <w:rtl/>
        </w:rPr>
        <w:t>(</w:t>
      </w:r>
      <w:r w:rsidRPr="00026582">
        <w:rPr>
          <w:rStyle w:val="a7"/>
          <w:spacing w:val="-6"/>
          <w:rtl/>
        </w:rPr>
        <w:footnoteReference w:id="4055"/>
      </w:r>
      <w:r w:rsidRPr="00026582">
        <w:rPr>
          <w:rFonts w:hint="cs"/>
          <w:spacing w:val="-6"/>
          <w:vertAlign w:val="superscript"/>
          <w:rtl/>
        </w:rPr>
        <w:t>)</w:t>
      </w:r>
      <w:r w:rsidRPr="00026582">
        <w:rPr>
          <w:rFonts w:hint="cs"/>
          <w:spacing w:val="-6"/>
          <w:rtl/>
        </w:rPr>
        <w:t xml:space="preserve"> ليس بشرط</w:t>
      </w:r>
      <w:r w:rsidRPr="00026582">
        <w:rPr>
          <w:rStyle w:val="a7"/>
          <w:spacing w:val="-6"/>
          <w:rtl/>
        </w:rPr>
        <w:footnoteReference w:id="4056"/>
      </w:r>
      <w:r w:rsidRPr="00026582">
        <w:rPr>
          <w:rFonts w:hint="cs"/>
          <w:spacing w:val="-6"/>
          <w:rtl/>
        </w:rPr>
        <w:t xml:space="preserve"> عندنا</w:t>
      </w:r>
      <w:r w:rsidRPr="00026582">
        <w:rPr>
          <w:rFonts w:hint="cs"/>
          <w:spacing w:val="-6"/>
          <w:vertAlign w:val="superscript"/>
          <w:rtl/>
        </w:rPr>
        <w:t>(</w:t>
      </w:r>
      <w:r w:rsidRPr="00026582">
        <w:rPr>
          <w:rStyle w:val="a7"/>
          <w:spacing w:val="-6"/>
          <w:rtl/>
        </w:rPr>
        <w:footnoteReference w:id="4057"/>
      </w:r>
      <w:r w:rsidRPr="00026582">
        <w:rPr>
          <w:rFonts w:hint="cs"/>
          <w:spacing w:val="-6"/>
          <w:vertAlign w:val="superscript"/>
          <w:rtl/>
        </w:rPr>
        <w:t>)</w:t>
      </w:r>
      <w:r w:rsidRPr="00026582">
        <w:rPr>
          <w:rFonts w:hint="cs"/>
          <w:spacing w:val="-6"/>
          <w:rtl/>
        </w:rPr>
        <w:t xml:space="preserve"> مع أنّه عبادة، </w:t>
      </w:r>
      <w:r w:rsidRPr="00026582">
        <w:rPr>
          <w:rFonts w:hint="eastAsia"/>
          <w:spacing w:val="-6"/>
          <w:rtl/>
        </w:rPr>
        <w:t>«</w:t>
      </w:r>
      <w:r w:rsidRPr="00026582">
        <w:rPr>
          <w:rFonts w:hint="cs"/>
          <w:spacing w:val="-6"/>
          <w:rtl/>
        </w:rPr>
        <w:t>و</w:t>
      </w:r>
      <w:r w:rsidRPr="00026582">
        <w:rPr>
          <w:rStyle w:val="a7"/>
          <w:spacing w:val="-6"/>
          <w:rtl/>
        </w:rPr>
        <w:footnoteReference w:id="4058"/>
      </w:r>
      <w:r w:rsidRPr="00026582">
        <w:rPr>
          <w:rFonts w:hint="cs"/>
          <w:spacing w:val="-6"/>
          <w:rtl/>
        </w:rPr>
        <w:t>العبادة: ما يأتي به المكلف على خلافِ هوى نفسِهِ</w:t>
      </w:r>
      <w:r w:rsidRPr="00026582">
        <w:rPr>
          <w:rFonts w:hint="cs"/>
          <w:spacing w:val="-6"/>
          <w:vertAlign w:val="superscript"/>
          <w:rtl/>
        </w:rPr>
        <w:t>ِ(</w:t>
      </w:r>
      <w:r w:rsidRPr="00026582">
        <w:rPr>
          <w:rStyle w:val="a7"/>
          <w:spacing w:val="-6"/>
          <w:rtl/>
        </w:rPr>
        <w:footnoteReference w:id="4059"/>
      </w:r>
      <w:r w:rsidRPr="00026582">
        <w:rPr>
          <w:rFonts w:hint="cs"/>
          <w:spacing w:val="-6"/>
          <w:vertAlign w:val="superscript"/>
          <w:rtl/>
        </w:rPr>
        <w:t>)</w:t>
      </w:r>
      <w:r w:rsidRPr="00026582">
        <w:rPr>
          <w:rFonts w:hint="cs"/>
          <w:spacing w:val="-6"/>
          <w:rtl/>
        </w:rPr>
        <w:t>، والوضوء بهذه المثابة</w:t>
      </w:r>
      <w:r w:rsidRPr="00026582">
        <w:rPr>
          <w:spacing w:val="-6"/>
          <w:rtl/>
        </w:rPr>
        <w:t>»</w:t>
      </w:r>
      <w:r w:rsidRPr="00026582">
        <w:rPr>
          <w:rFonts w:hint="cs"/>
          <w:spacing w:val="-6"/>
          <w:vertAlign w:val="superscript"/>
          <w:rtl/>
        </w:rPr>
        <w:t>(</w:t>
      </w:r>
      <w:r w:rsidRPr="00026582">
        <w:rPr>
          <w:rStyle w:val="a7"/>
          <w:spacing w:val="-6"/>
          <w:rtl/>
        </w:rPr>
        <w:footnoteReference w:id="4060"/>
      </w:r>
      <w:r w:rsidRPr="00026582">
        <w:rPr>
          <w:rFonts w:hint="cs"/>
          <w:spacing w:val="-6"/>
          <w:vertAlign w:val="superscript"/>
          <w:rtl/>
        </w:rPr>
        <w:t>)</w:t>
      </w:r>
      <w:r w:rsidRPr="00026582">
        <w:rPr>
          <w:rFonts w:hint="cs"/>
          <w:spacing w:val="-6"/>
          <w:rtl/>
        </w:rPr>
        <w:t>.</w:t>
      </w:r>
    </w:p>
    <w:p w:rsidR="00C10469" w:rsidRDefault="00C10469">
      <w:pPr>
        <w:rPr>
          <w:spacing w:val="4"/>
          <w:rtl/>
        </w:rPr>
        <w:sectPr w:rsidR="00C10469" w:rsidSect="00C10469">
          <w:headerReference w:type="default" r:id="rId250"/>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spacing w:val="4"/>
          <w:rtl/>
        </w:rPr>
        <w:t xml:space="preserve">والجواب </w:t>
      </w:r>
      <w:r>
        <w:rPr>
          <w:rFonts w:hint="cs"/>
          <w:spacing w:val="4"/>
          <w:rtl/>
        </w:rPr>
        <w:t>: أنّ الوضوء ليس عبادة محضة مقصودة؛ بل شرع شرطًا</w:t>
      </w:r>
      <w:r>
        <w:rPr>
          <w:rStyle w:val="a7"/>
          <w:spacing w:val="4"/>
          <w:rtl/>
        </w:rPr>
        <w:footnoteReference w:id="4061"/>
      </w:r>
      <w:r>
        <w:rPr>
          <w:rFonts w:hint="cs"/>
          <w:spacing w:val="4"/>
          <w:rtl/>
        </w:rPr>
        <w:t xml:space="preserve"> لجواز الصلاة، فإذا خلا عن الثواب انتفى كونه عبادة، لكن لا يلزم من هذا انتفاء </w:t>
      </w:r>
      <w:r>
        <w:rPr>
          <w:rFonts w:hint="cs"/>
          <w:spacing w:val="4"/>
          <w:rtl/>
        </w:rPr>
        <w:lastRenderedPageBreak/>
        <w:t>صحَّتِهِ؛ إذْ لا يَصْدُقُ أنه لم يشرع إلا لكونه</w:t>
      </w:r>
      <w:r>
        <w:rPr>
          <w:rStyle w:val="a7"/>
          <w:spacing w:val="4"/>
          <w:rtl/>
        </w:rPr>
        <w:footnoteReference w:id="4062"/>
      </w:r>
      <w:r>
        <w:rPr>
          <w:rFonts w:hint="cs"/>
          <w:spacing w:val="4"/>
          <w:rtl/>
        </w:rPr>
        <w:t xml:space="preserve"> عبادة، فبقي</w:t>
      </w:r>
      <w:r>
        <w:rPr>
          <w:rFonts w:hint="cs"/>
          <w:spacing w:val="4"/>
          <w:vertAlign w:val="superscript"/>
          <w:rtl/>
        </w:rPr>
        <w:t>(</w:t>
      </w:r>
      <w:r>
        <w:rPr>
          <w:rStyle w:val="a7"/>
          <w:spacing w:val="4"/>
          <w:rtl/>
        </w:rPr>
        <w:footnoteReference w:id="4063"/>
      </w:r>
      <w:r>
        <w:rPr>
          <w:rFonts w:hint="cs"/>
          <w:spacing w:val="4"/>
          <w:vertAlign w:val="superscript"/>
          <w:rtl/>
        </w:rPr>
        <w:t>)</w:t>
      </w:r>
      <w:r>
        <w:rPr>
          <w:rFonts w:hint="cs"/>
          <w:spacing w:val="4"/>
          <w:rtl/>
        </w:rPr>
        <w:t xml:space="preserve"> صحته، بمعنى أنه مفتاح للصلاة، كما في سائر الشـروط، كـتـطهير</w:t>
      </w:r>
      <w:r>
        <w:rPr>
          <w:rStyle w:val="a7"/>
          <w:spacing w:val="4"/>
          <w:rtl/>
        </w:rPr>
        <w:footnoteReference w:id="4064"/>
      </w:r>
      <w:r>
        <w:rPr>
          <w:rFonts w:hint="cs"/>
          <w:spacing w:val="4"/>
          <w:rtl/>
        </w:rPr>
        <w:t xml:space="preserve"> الثوب والمكان، فإنه لا يشترط النية في شيء منها</w:t>
      </w:r>
      <w:r>
        <w:rPr>
          <w:rFonts w:hint="cs"/>
          <w:spacing w:val="4"/>
          <w:vertAlign w:val="superscript"/>
          <w:rtl/>
        </w:rPr>
        <w:t>(</w:t>
      </w:r>
      <w:r>
        <w:rPr>
          <w:rStyle w:val="a7"/>
          <w:spacing w:val="4"/>
          <w:rtl/>
        </w:rPr>
        <w:footnoteReference w:id="4065"/>
      </w:r>
      <w:r>
        <w:rPr>
          <w:rFonts w:hint="cs"/>
          <w:spacing w:val="4"/>
          <w:vertAlign w:val="superscript"/>
          <w:rtl/>
        </w:rPr>
        <w:t>)</w:t>
      </w:r>
      <w:r>
        <w:rPr>
          <w:rFonts w:hint="cs"/>
          <w:spacing w:val="4"/>
          <w:rtl/>
        </w:rPr>
        <w:t>.</w:t>
      </w:r>
    </w:p>
    <w:p w:rsidR="00C10469" w:rsidRPr="00D062C5" w:rsidRDefault="00C10469">
      <w:pPr>
        <w:pStyle w:val="a9"/>
        <w:rPr>
          <w:rFonts w:cs="AL-Mateen"/>
          <w:rtl/>
        </w:rPr>
      </w:pPr>
      <w:r w:rsidRPr="00D062C5">
        <w:rPr>
          <w:rFonts w:cs="AL-Mateen" w:hint="cs"/>
          <w:rtl/>
        </w:rPr>
        <w:lastRenderedPageBreak/>
        <w:t>[القاعدة السادسة والتسعون بعد المائة]</w:t>
      </w:r>
    </w:p>
    <w:p w:rsidR="00C10469" w:rsidRDefault="00C10469">
      <w:pPr>
        <w:rPr>
          <w:rtl/>
        </w:rPr>
      </w:pPr>
      <w:r>
        <w:rPr>
          <w:rFonts w:cs="Monotype Koufi" w:hint="cs"/>
          <w:rtl/>
        </w:rPr>
        <w:t xml:space="preserve">  لا يَمْلِكُ أحدٌ إثباتَ ملكٍ لغيرِهِ</w:t>
      </w:r>
      <w:r>
        <w:rPr>
          <w:rStyle w:val="a7"/>
          <w:rtl/>
        </w:rPr>
        <w:footnoteReference w:id="4066"/>
      </w:r>
      <w:r>
        <w:rPr>
          <w:rFonts w:hint="cs"/>
          <w:rtl/>
        </w:rPr>
        <w:t xml:space="preserve"> </w:t>
      </w:r>
      <w:r>
        <w:rPr>
          <w:rFonts w:cs="Monotype Koufi" w:hint="cs"/>
          <w:rtl/>
        </w:rPr>
        <w:t>بلا اخْتِيَارِهِ</w:t>
      </w:r>
      <w:r>
        <w:rPr>
          <w:rFonts w:hint="cs"/>
          <w:vertAlign w:val="superscript"/>
          <w:rtl/>
        </w:rPr>
        <w:t>(</w:t>
      </w:r>
      <w:r>
        <w:rPr>
          <w:rStyle w:val="a7"/>
          <w:rtl/>
        </w:rPr>
        <w:footnoteReference w:id="4067"/>
      </w:r>
      <w:r>
        <w:rPr>
          <w:rFonts w:hint="cs"/>
          <w:vertAlign w:val="superscript"/>
          <w:rtl/>
        </w:rPr>
        <w:t>)</w:t>
      </w:r>
      <w:r>
        <w:rPr>
          <w:rFonts w:hint="cs"/>
          <w:rtl/>
        </w:rPr>
        <w:t>:</w:t>
      </w:r>
    </w:p>
    <w:p w:rsidR="00C10469" w:rsidRDefault="00C10469" w:rsidP="00C10469">
      <w:pPr>
        <w:ind w:left="989" w:hanging="357"/>
        <w:rPr>
          <w:rtl/>
        </w:rPr>
      </w:pPr>
      <w:r>
        <w:rPr>
          <w:rtl/>
        </w:rPr>
        <w:t>•</w:t>
      </w:r>
      <w:r>
        <w:rPr>
          <w:rFonts w:hint="cs"/>
          <w:rtl/>
        </w:rPr>
        <w:t xml:space="preserve">  فلا يملك الموصى له الموصى به بلا قبولٍ بعد موت الموصي؛ لأن أوان ثبوت حكمه بعد الموت</w:t>
      </w:r>
      <w:r>
        <w:rPr>
          <w:rStyle w:val="a7"/>
          <w:rtl/>
        </w:rPr>
        <w:footnoteReference w:id="4068"/>
      </w:r>
      <w:r>
        <w:rPr>
          <w:rFonts w:hint="cs"/>
          <w:vertAlign w:val="superscript"/>
          <w:rtl/>
        </w:rPr>
        <w:t>(</w:t>
      </w:r>
      <w:r>
        <w:rPr>
          <w:rStyle w:val="a7"/>
          <w:rtl/>
        </w:rPr>
        <w:footnoteReference w:id="4069"/>
      </w:r>
      <w:r>
        <w:rPr>
          <w:rFonts w:hint="cs"/>
          <w:vertAlign w:val="superscript"/>
          <w:rtl/>
        </w:rPr>
        <w:t>)</w:t>
      </w:r>
      <w:r>
        <w:rPr>
          <w:rFonts w:hint="cs"/>
          <w:rtl/>
        </w:rPr>
        <w:t>.</w:t>
      </w:r>
    </w:p>
    <w:p w:rsidR="00C10469" w:rsidRDefault="00C10469" w:rsidP="00C10469">
      <w:pPr>
        <w:ind w:left="989" w:hanging="357"/>
        <w:rPr>
          <w:rtl/>
        </w:rPr>
      </w:pPr>
      <w:r>
        <w:rPr>
          <w:rtl/>
        </w:rPr>
        <w:t>•</w:t>
      </w:r>
      <w:r>
        <w:rPr>
          <w:rFonts w:hint="cs"/>
          <w:rtl/>
        </w:rPr>
        <w:t xml:space="preserve">  ولا يملك الموهوب له الهبة بلا قبول</w:t>
      </w:r>
      <w:r>
        <w:rPr>
          <w:rFonts w:hint="cs"/>
          <w:vertAlign w:val="superscript"/>
          <w:rtl/>
        </w:rPr>
        <w:t>(</w:t>
      </w:r>
      <w:r>
        <w:rPr>
          <w:rStyle w:val="a7"/>
          <w:rtl/>
        </w:rPr>
        <w:footnoteReference w:id="4070"/>
      </w:r>
      <w:r>
        <w:rPr>
          <w:rFonts w:hint="cs"/>
          <w:vertAlign w:val="superscript"/>
          <w:rtl/>
        </w:rPr>
        <w:t>)</w:t>
      </w:r>
      <w:r>
        <w:rPr>
          <w:rFonts w:hint="cs"/>
          <w:rtl/>
        </w:rPr>
        <w:t xml:space="preserve">. </w:t>
      </w:r>
    </w:p>
    <w:p w:rsidR="00C10469" w:rsidRDefault="00C10469" w:rsidP="00C10469">
      <w:pPr>
        <w:ind w:left="989" w:hanging="357"/>
        <w:rPr>
          <w:spacing w:val="-8"/>
          <w:rtl/>
        </w:rPr>
      </w:pPr>
      <w:r>
        <w:rPr>
          <w:spacing w:val="-8"/>
          <w:rtl/>
        </w:rPr>
        <w:t>•</w:t>
      </w:r>
      <w:r>
        <w:rPr>
          <w:rFonts w:hint="cs"/>
          <w:spacing w:val="-8"/>
          <w:rtl/>
        </w:rPr>
        <w:t xml:space="preserve">  ويسقط حقّهما بالرّد، ولا يعود حقهما بعد الرّد؛ لأن </w:t>
      </w:r>
      <w:r>
        <w:rPr>
          <w:rFonts w:hint="eastAsia"/>
          <w:spacing w:val="-8"/>
          <w:rtl/>
        </w:rPr>
        <w:t>«</w:t>
      </w:r>
      <w:r>
        <w:rPr>
          <w:rFonts w:hint="cs"/>
          <w:spacing w:val="-8"/>
          <w:rtl/>
        </w:rPr>
        <w:t>الساقط لا يعود</w:t>
      </w:r>
      <w:r>
        <w:rPr>
          <w:spacing w:val="-8"/>
          <w:rtl/>
        </w:rPr>
        <w:t>»</w:t>
      </w:r>
      <w:r>
        <w:rPr>
          <w:rFonts w:hint="cs"/>
          <w:spacing w:val="-8"/>
          <w:vertAlign w:val="superscript"/>
          <w:rtl/>
        </w:rPr>
        <w:t>(</w:t>
      </w:r>
      <w:r>
        <w:rPr>
          <w:rStyle w:val="a7"/>
          <w:spacing w:val="-8"/>
          <w:rtl/>
        </w:rPr>
        <w:footnoteReference w:id="4071"/>
      </w:r>
      <w:r>
        <w:rPr>
          <w:rFonts w:hint="cs"/>
          <w:spacing w:val="-8"/>
          <w:vertAlign w:val="superscript"/>
          <w:rtl/>
        </w:rPr>
        <w:t>)</w:t>
      </w:r>
      <w:r>
        <w:rPr>
          <w:rFonts w:hint="cs"/>
          <w:spacing w:val="-8"/>
          <w:rtl/>
        </w:rPr>
        <w:t>.</w:t>
      </w:r>
    </w:p>
    <w:p w:rsidR="00C10469" w:rsidRDefault="00C10469">
      <w:pPr>
        <w:rPr>
          <w:rtl/>
        </w:rPr>
      </w:pPr>
      <w:r>
        <w:rPr>
          <w:rFonts w:hint="eastAsia"/>
          <w:spacing w:val="-2"/>
          <w:rtl/>
        </w:rPr>
        <w:lastRenderedPageBreak/>
        <w:t>«</w:t>
      </w:r>
      <w:r>
        <w:rPr>
          <w:rFonts w:hint="cs"/>
          <w:b/>
          <w:bCs/>
          <w:spacing w:val="-2"/>
          <w:rtl/>
        </w:rPr>
        <w:t>والقياس</w:t>
      </w:r>
      <w:r>
        <w:rPr>
          <w:rFonts w:hint="cs"/>
          <w:spacing w:val="-2"/>
          <w:rtl/>
        </w:rPr>
        <w:t xml:space="preserve"> في الوصية يأبى جوازَها؛ لأنه تمليك</w:t>
      </w:r>
      <w:r>
        <w:rPr>
          <w:rStyle w:val="a7"/>
          <w:spacing w:val="-2"/>
          <w:rtl/>
        </w:rPr>
        <w:footnoteReference w:id="4072"/>
      </w:r>
      <w:r>
        <w:rPr>
          <w:rFonts w:hint="cs"/>
          <w:spacing w:val="-2"/>
          <w:rtl/>
        </w:rPr>
        <w:t xml:space="preserve"> مضاف إلى حال زوال مالكيته، ولو أضافه إلى</w:t>
      </w:r>
      <w:r>
        <w:rPr>
          <w:rStyle w:val="a7"/>
          <w:spacing w:val="-2"/>
          <w:rtl/>
        </w:rPr>
        <w:footnoteReference w:id="4073"/>
      </w:r>
      <w:r>
        <w:rPr>
          <w:rFonts w:hint="cs"/>
          <w:spacing w:val="-2"/>
          <w:rtl/>
        </w:rPr>
        <w:t xml:space="preserve"> حال قيامها (بأن يقول: ملّكتُكَ غدًا) كان باطلاً، فهذا أولى.</w:t>
      </w:r>
      <w:r>
        <w:rPr>
          <w:rFonts w:hint="cs"/>
          <w:rtl/>
        </w:rPr>
        <w:t xml:space="preserve"> </w:t>
      </w:r>
      <w:r>
        <w:rPr>
          <w:rFonts w:hint="cs"/>
          <w:b/>
          <w:bCs/>
          <w:rtl/>
        </w:rPr>
        <w:t>واستحسنوا</w:t>
      </w:r>
      <w:r>
        <w:rPr>
          <w:rFonts w:hint="cs"/>
          <w:rtl/>
        </w:rPr>
        <w:t>؛ لحاجة الناس إليها</w:t>
      </w:r>
      <w:r>
        <w:rPr>
          <w:rtl/>
        </w:rPr>
        <w:t>»</w:t>
      </w:r>
      <w:r>
        <w:rPr>
          <w:rFonts w:hint="cs"/>
          <w:vertAlign w:val="superscript"/>
          <w:rtl/>
        </w:rPr>
        <w:t>(</w:t>
      </w:r>
      <w:r>
        <w:rPr>
          <w:rStyle w:val="a7"/>
          <w:rtl/>
        </w:rPr>
        <w:footnoteReference w:id="4074"/>
      </w:r>
      <w:r>
        <w:rPr>
          <w:rFonts w:hint="cs"/>
          <w:vertAlign w:val="superscript"/>
          <w:rtl/>
        </w:rPr>
        <w:t>)</w:t>
      </w:r>
      <w:r>
        <w:rPr>
          <w:rFonts w:hint="cs"/>
          <w:rtl/>
        </w:rPr>
        <w:t>.</w:t>
      </w:r>
    </w:p>
    <w:p w:rsidR="00C10469" w:rsidRDefault="00C10469">
      <w:pPr>
        <w:rPr>
          <w:rtl/>
        </w:rPr>
      </w:pPr>
      <w:r>
        <w:rPr>
          <w:rFonts w:hint="cs"/>
          <w:b/>
          <w:bCs/>
          <w:rtl/>
        </w:rPr>
        <w:t xml:space="preserve">وخرج </w:t>
      </w:r>
      <w:r>
        <w:rPr>
          <w:rFonts w:hint="cs"/>
          <w:rtl/>
        </w:rPr>
        <w:t>عن هذا الأصل مسائل :</w:t>
      </w:r>
    </w:p>
    <w:p w:rsidR="00C10469" w:rsidRDefault="00C10469" w:rsidP="00C10469">
      <w:pPr>
        <w:ind w:left="989" w:hanging="357"/>
        <w:rPr>
          <w:rtl/>
        </w:rPr>
      </w:pPr>
      <w:r>
        <w:rPr>
          <w:b/>
          <w:bCs/>
          <w:rtl/>
        </w:rPr>
        <w:t>•</w:t>
      </w:r>
      <w:r>
        <w:rPr>
          <w:rFonts w:hint="cs"/>
          <w:b/>
          <w:bCs/>
          <w:rtl/>
        </w:rPr>
        <w:t xml:space="preserve">  منها </w:t>
      </w:r>
      <w:r>
        <w:rPr>
          <w:rFonts w:hint="cs"/>
          <w:rtl/>
        </w:rPr>
        <w:t>: الـميراث ليس بموقوف على القبول، ولا يرتدّ بالردّ</w:t>
      </w:r>
      <w:r>
        <w:rPr>
          <w:rFonts w:hint="cs"/>
          <w:vertAlign w:val="superscript"/>
          <w:rtl/>
        </w:rPr>
        <w:t>(</w:t>
      </w:r>
      <w:r>
        <w:rPr>
          <w:rStyle w:val="a7"/>
          <w:rtl/>
        </w:rPr>
        <w:footnoteReference w:id="4075"/>
      </w:r>
      <w:r>
        <w:rPr>
          <w:rFonts w:hint="cs"/>
          <w:vertAlign w:val="superscript"/>
          <w:rtl/>
        </w:rPr>
        <w:t>)</w:t>
      </w:r>
      <w:r>
        <w:rPr>
          <w:rFonts w:hint="cs"/>
          <w:rtl/>
        </w:rPr>
        <w:t>.</w:t>
      </w:r>
    </w:p>
    <w:p w:rsidR="00C10469" w:rsidRDefault="00C10469" w:rsidP="00C10469">
      <w:pPr>
        <w:ind w:left="848" w:firstLine="33"/>
        <w:rPr>
          <w:spacing w:val="10"/>
          <w:rtl/>
        </w:rPr>
      </w:pPr>
      <w:r>
        <w:rPr>
          <w:rFonts w:hint="cs"/>
          <w:b/>
          <w:bCs/>
          <w:spacing w:val="10"/>
          <w:rtl/>
        </w:rPr>
        <w:t xml:space="preserve">والجواب </w:t>
      </w:r>
      <w:r>
        <w:rPr>
          <w:rFonts w:hint="cs"/>
          <w:spacing w:val="10"/>
          <w:rtl/>
        </w:rPr>
        <w:t>: أن القبول تصرّفٌ من العبد، فيعمل فيما كان</w:t>
      </w:r>
      <w:r>
        <w:rPr>
          <w:rStyle w:val="a7"/>
          <w:spacing w:val="10"/>
          <w:rtl/>
        </w:rPr>
        <w:footnoteReference w:id="4076"/>
      </w:r>
      <w:r>
        <w:rPr>
          <w:rFonts w:hint="cs"/>
          <w:spacing w:val="10"/>
          <w:rtl/>
        </w:rPr>
        <w:t xml:space="preserve"> من جهة العبد، كما في الوصية والهبة، بخلاف الميراث، فإنه من جهة الشرع، لا صنع للعبد فيه، فلا يُعمَل تصرّف العبد</w:t>
      </w:r>
      <w:r>
        <w:rPr>
          <w:rFonts w:hint="cs"/>
          <w:spacing w:val="10"/>
          <w:vertAlign w:val="superscript"/>
          <w:rtl/>
        </w:rPr>
        <w:t>(</w:t>
      </w:r>
      <w:r>
        <w:rPr>
          <w:rStyle w:val="a7"/>
          <w:spacing w:val="10"/>
          <w:rtl/>
        </w:rPr>
        <w:footnoteReference w:id="4077"/>
      </w:r>
      <w:r>
        <w:rPr>
          <w:rFonts w:hint="cs"/>
          <w:spacing w:val="10"/>
          <w:vertAlign w:val="superscript"/>
          <w:rtl/>
        </w:rPr>
        <w:t>)</w:t>
      </w:r>
      <w:r>
        <w:rPr>
          <w:rFonts w:hint="cs"/>
          <w:spacing w:val="10"/>
          <w:rtl/>
        </w:rPr>
        <w:t>.</w:t>
      </w:r>
    </w:p>
    <w:p w:rsidR="00C10469" w:rsidRDefault="00C10469" w:rsidP="00C10469">
      <w:pPr>
        <w:ind w:left="989" w:hanging="357"/>
        <w:rPr>
          <w:rtl/>
        </w:rPr>
      </w:pPr>
      <w:r>
        <w:rPr>
          <w:b/>
          <w:bCs/>
          <w:rtl/>
        </w:rPr>
        <w:t>•</w:t>
      </w:r>
      <w:r>
        <w:rPr>
          <w:rFonts w:hint="cs"/>
          <w:b/>
          <w:bCs/>
          <w:rtl/>
        </w:rPr>
        <w:t xml:space="preserve"> ومنها </w:t>
      </w:r>
      <w:r>
        <w:rPr>
          <w:rFonts w:hint="cs"/>
          <w:rtl/>
        </w:rPr>
        <w:t>: إذا مات الموصي، ثمّ الموصى له بلا قبول، فهو لورثته</w:t>
      </w:r>
      <w:r>
        <w:rPr>
          <w:rStyle w:val="a7"/>
          <w:rtl/>
        </w:rPr>
        <w:footnoteReference w:id="4078"/>
      </w:r>
      <w:r>
        <w:rPr>
          <w:rFonts w:hint="cs"/>
          <w:vertAlign w:val="superscript"/>
          <w:rtl/>
        </w:rPr>
        <w:t>(</w:t>
      </w:r>
      <w:r>
        <w:rPr>
          <w:rStyle w:val="a7"/>
          <w:rtl/>
        </w:rPr>
        <w:footnoteReference w:id="4079"/>
      </w:r>
      <w:r>
        <w:rPr>
          <w:rFonts w:hint="cs"/>
          <w:vertAlign w:val="superscript"/>
          <w:rtl/>
        </w:rPr>
        <w:t>)</w:t>
      </w:r>
      <w:r>
        <w:rPr>
          <w:rFonts w:hint="cs"/>
          <w:rtl/>
        </w:rPr>
        <w:t xml:space="preserve">. فعلى مقتضى هذا الأصل: </w:t>
      </w:r>
      <w:r>
        <w:rPr>
          <w:rFonts w:hint="eastAsia"/>
          <w:rtl/>
        </w:rPr>
        <w:t>«</w:t>
      </w:r>
      <w:r>
        <w:rPr>
          <w:rFonts w:hint="cs"/>
          <w:rtl/>
        </w:rPr>
        <w:t>القياس: أن يبطل</w:t>
      </w:r>
      <w:r>
        <w:rPr>
          <w:rFonts w:hint="cs"/>
          <w:vertAlign w:val="superscript"/>
          <w:rtl/>
        </w:rPr>
        <w:t>(</w:t>
      </w:r>
      <w:r>
        <w:rPr>
          <w:rStyle w:val="a7"/>
          <w:rtl/>
        </w:rPr>
        <w:footnoteReference w:id="4080"/>
      </w:r>
      <w:r>
        <w:rPr>
          <w:rFonts w:hint="cs"/>
          <w:vertAlign w:val="superscript"/>
          <w:rtl/>
        </w:rPr>
        <w:t>)</w:t>
      </w:r>
      <w:r>
        <w:rPr>
          <w:rFonts w:hint="cs"/>
          <w:rtl/>
        </w:rPr>
        <w:t xml:space="preserve"> الوصيّة؛ لأن الملك موقوف على القبول، فصار كمشترٍ مات قبل قبوله بعد</w:t>
      </w:r>
      <w:r>
        <w:rPr>
          <w:rStyle w:val="a7"/>
          <w:rtl/>
        </w:rPr>
        <w:footnoteReference w:id="4081"/>
      </w:r>
      <w:r>
        <w:rPr>
          <w:rFonts w:hint="cs"/>
          <w:rtl/>
        </w:rPr>
        <w:t xml:space="preserve"> إيجاب البائع.</w:t>
      </w:r>
    </w:p>
    <w:p w:rsidR="00C10469" w:rsidRDefault="00C10469" w:rsidP="00C10469">
      <w:pPr>
        <w:spacing w:line="520" w:lineRule="exact"/>
        <w:ind w:left="1094" w:firstLine="17"/>
        <w:rPr>
          <w:rtl/>
        </w:rPr>
      </w:pPr>
      <w:r>
        <w:rPr>
          <w:rFonts w:hint="cs"/>
          <w:b/>
          <w:bCs/>
          <w:rtl/>
        </w:rPr>
        <w:lastRenderedPageBreak/>
        <w:t xml:space="preserve">والجواب </w:t>
      </w:r>
      <w:r>
        <w:rPr>
          <w:rFonts w:hint="cs"/>
          <w:rtl/>
        </w:rPr>
        <w:t>: أنّ الوصية من جانب الموصِي قد تمّت بموته تمامًا لا يلحقه</w:t>
      </w:r>
      <w:r>
        <w:rPr>
          <w:rStyle w:val="a7"/>
          <w:rtl/>
        </w:rPr>
        <w:footnoteReference w:id="4082"/>
      </w:r>
      <w:r>
        <w:rPr>
          <w:rFonts w:hint="cs"/>
          <w:rtl/>
        </w:rPr>
        <w:t xml:space="preserve"> الفَسخُ من جهته، وإنما توقفت لِحَقَّ المُوصى له، فإذا مات دخل في ملكه، كما في بيعٍ شُرِطَ فيه الخيار للمشتري إذا مات قبل الإجازة</w:t>
      </w:r>
      <w:r>
        <w:rPr>
          <w:rtl/>
        </w:rPr>
        <w:t>»</w:t>
      </w:r>
      <w:r>
        <w:rPr>
          <w:rFonts w:hint="cs"/>
          <w:vertAlign w:val="superscript"/>
          <w:rtl/>
        </w:rPr>
        <w:t>(</w:t>
      </w:r>
      <w:r>
        <w:rPr>
          <w:rStyle w:val="a7"/>
          <w:rtl/>
        </w:rPr>
        <w:footnoteReference w:id="4083"/>
      </w:r>
      <w:r>
        <w:rPr>
          <w:rFonts w:hint="cs"/>
          <w:vertAlign w:val="superscript"/>
          <w:rtl/>
        </w:rPr>
        <w:t>)</w:t>
      </w:r>
      <w:r>
        <w:rPr>
          <w:rFonts w:hint="cs"/>
          <w:rtl/>
        </w:rPr>
        <w:t>.</w:t>
      </w:r>
    </w:p>
    <w:p w:rsidR="00C10469" w:rsidRDefault="00C10469" w:rsidP="00C10469">
      <w:pPr>
        <w:spacing w:line="520" w:lineRule="exact"/>
        <w:ind w:left="989" w:hanging="255"/>
        <w:rPr>
          <w:rtl/>
        </w:rPr>
      </w:pPr>
      <w:r>
        <w:rPr>
          <w:b/>
          <w:bCs/>
          <w:rtl/>
        </w:rPr>
        <w:t>•</w:t>
      </w:r>
      <w:r>
        <w:rPr>
          <w:rFonts w:hint="cs"/>
          <w:b/>
          <w:bCs/>
          <w:rtl/>
        </w:rPr>
        <w:t xml:space="preserve"> ومنها </w:t>
      </w:r>
      <w:r>
        <w:rPr>
          <w:rFonts w:hint="cs"/>
          <w:rtl/>
        </w:rPr>
        <w:t xml:space="preserve">: ما </w:t>
      </w:r>
      <w:r>
        <w:rPr>
          <w:rFonts w:hint="eastAsia"/>
          <w:rtl/>
        </w:rPr>
        <w:t>«</w:t>
      </w:r>
      <w:r>
        <w:rPr>
          <w:rFonts w:hint="cs"/>
          <w:rtl/>
        </w:rPr>
        <w:t>قال الزيلعيّ : إذا أوصى للجنين : يدخل في ملكه من غير قبول استحسانًا؛ لعدم مَنْ يلي عليه حتى يقبل عنه</w:t>
      </w:r>
      <w:r>
        <w:rPr>
          <w:rtl/>
        </w:rPr>
        <w:t>»</w:t>
      </w:r>
      <w:r>
        <w:rPr>
          <w:rFonts w:hint="cs"/>
          <w:vertAlign w:val="superscript"/>
          <w:rtl/>
        </w:rPr>
        <w:t>(</w:t>
      </w:r>
      <w:r>
        <w:rPr>
          <w:rStyle w:val="a7"/>
          <w:rtl/>
        </w:rPr>
        <w:footnoteReference w:id="4084"/>
      </w:r>
      <w:r>
        <w:rPr>
          <w:rFonts w:hint="cs"/>
          <w:vertAlign w:val="superscript"/>
          <w:rtl/>
        </w:rPr>
        <w:t>)</w:t>
      </w:r>
      <w:r>
        <w:rPr>
          <w:rFonts w:hint="cs"/>
          <w:rtl/>
        </w:rPr>
        <w:t>.</w:t>
      </w:r>
    </w:p>
    <w:p w:rsidR="00C10469" w:rsidRDefault="00C10469" w:rsidP="00C10469">
      <w:pPr>
        <w:spacing w:line="520" w:lineRule="exact"/>
        <w:ind w:left="989" w:hanging="255"/>
        <w:rPr>
          <w:spacing w:val="-10"/>
          <w:rtl/>
        </w:rPr>
      </w:pPr>
      <w:r>
        <w:rPr>
          <w:b/>
          <w:bCs/>
          <w:spacing w:val="-10"/>
          <w:sz w:val="36"/>
          <w:rtl/>
        </w:rPr>
        <w:t>•</w:t>
      </w:r>
      <w:r>
        <w:rPr>
          <w:rFonts w:hint="cs"/>
          <w:b/>
          <w:bCs/>
          <w:spacing w:val="-10"/>
          <w:sz w:val="36"/>
          <w:rtl/>
        </w:rPr>
        <w:t xml:space="preserve">  ومنها</w:t>
      </w:r>
      <w:r>
        <w:rPr>
          <w:rFonts w:hint="cs"/>
          <w:spacing w:val="-10"/>
          <w:sz w:val="36"/>
          <w:rtl/>
        </w:rPr>
        <w:t xml:space="preserve">: </w:t>
      </w:r>
      <w:r>
        <w:rPr>
          <w:rFonts w:hint="eastAsia"/>
          <w:spacing w:val="-10"/>
          <w:sz w:val="36"/>
          <w:rtl/>
        </w:rPr>
        <w:t>«</w:t>
      </w:r>
      <w:r>
        <w:rPr>
          <w:rFonts w:hint="cs"/>
          <w:spacing w:val="-10"/>
          <w:sz w:val="36"/>
          <w:rtl/>
        </w:rPr>
        <w:t>ما إذا وهب</w:t>
      </w:r>
      <w:r>
        <w:rPr>
          <w:rStyle w:val="a7"/>
          <w:spacing w:val="-10"/>
          <w:rtl/>
        </w:rPr>
        <w:footnoteReference w:id="4085"/>
      </w:r>
      <w:r>
        <w:rPr>
          <w:rFonts w:hint="cs"/>
          <w:spacing w:val="-10"/>
          <w:rtl/>
        </w:rPr>
        <w:t xml:space="preserve"> </w:t>
      </w:r>
      <w:r>
        <w:rPr>
          <w:rFonts w:hint="cs"/>
          <w:spacing w:val="-10"/>
          <w:sz w:val="36"/>
          <w:rtl/>
        </w:rPr>
        <w:t>للعبد وَقَبِلَهُ بغير إذن السيد : يملكه</w:t>
      </w:r>
      <w:r>
        <w:rPr>
          <w:rStyle w:val="a7"/>
          <w:spacing w:val="-10"/>
          <w:rtl/>
        </w:rPr>
        <w:footnoteReference w:id="4086"/>
      </w:r>
      <w:r>
        <w:rPr>
          <w:rFonts w:hint="cs"/>
          <w:spacing w:val="-10"/>
          <w:rtl/>
        </w:rPr>
        <w:t xml:space="preserve"> السيد بغير اختياره</w:t>
      </w:r>
      <w:r>
        <w:rPr>
          <w:spacing w:val="-10"/>
          <w:rtl/>
        </w:rPr>
        <w:t>»</w:t>
      </w:r>
      <w:r>
        <w:rPr>
          <w:rFonts w:hint="cs"/>
          <w:spacing w:val="-10"/>
          <w:vertAlign w:val="superscript"/>
          <w:rtl/>
        </w:rPr>
        <w:t>(</w:t>
      </w:r>
      <w:r>
        <w:rPr>
          <w:rStyle w:val="a7"/>
          <w:spacing w:val="-10"/>
          <w:rtl/>
        </w:rPr>
        <w:footnoteReference w:id="4087"/>
      </w:r>
      <w:r>
        <w:rPr>
          <w:rFonts w:hint="cs"/>
          <w:spacing w:val="-10"/>
          <w:vertAlign w:val="superscript"/>
          <w:rtl/>
        </w:rPr>
        <w:t>)</w:t>
      </w:r>
      <w:r>
        <w:rPr>
          <w:rFonts w:hint="cs"/>
          <w:spacing w:val="-10"/>
          <w:rtl/>
        </w:rPr>
        <w:t>.</w:t>
      </w:r>
    </w:p>
    <w:p w:rsidR="00C10469" w:rsidRDefault="00C10469">
      <w:pPr>
        <w:spacing w:line="500" w:lineRule="exact"/>
        <w:rPr>
          <w:rtl/>
        </w:rPr>
        <w:sectPr w:rsidR="00C10469" w:rsidSect="00C10469">
          <w:headerReference w:type="default" r:id="rId25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rtl/>
        </w:rPr>
        <w:t xml:space="preserve">والجواب </w:t>
      </w:r>
      <w:r>
        <w:rPr>
          <w:rFonts w:hint="cs"/>
          <w:rtl/>
        </w:rPr>
        <w:t xml:space="preserve">: أنّ العَبد يملك الهبة بالقبول، ثم ينتقل إلى المولى. ويدّل على تملّكه قوله </w:t>
      </w:r>
      <w:r>
        <w:rPr>
          <w:rFonts w:ascii="AGA Arabesque" w:hAnsi="AGA Arabesque"/>
          <w:sz w:val="36"/>
        </w:rPr>
        <w:t></w:t>
      </w:r>
      <w:r>
        <w:rPr>
          <w:rFonts w:hint="cs"/>
          <w:rtl/>
        </w:rPr>
        <w:t xml:space="preserve"> : </w:t>
      </w:r>
      <w:r>
        <w:rPr>
          <w:rFonts w:hint="eastAsia"/>
          <w:rtl/>
        </w:rPr>
        <w:t>«</w:t>
      </w:r>
      <w:r>
        <w:rPr>
          <w:rFonts w:hint="cs"/>
          <w:rtl/>
        </w:rPr>
        <w:t xml:space="preserve"> </w:t>
      </w:r>
      <w:r>
        <w:rPr>
          <w:rFonts w:cs="DecoType Naskh Variants" w:hint="cs"/>
          <w:sz w:val="36"/>
          <w:rtl/>
        </w:rPr>
        <w:t>العبدُ وما يملكهُ لمولاه</w:t>
      </w:r>
      <w:r>
        <w:rPr>
          <w:rFonts w:cs="Al-Kharashi 62" w:hint="cs"/>
          <w:sz w:val="36"/>
          <w:rtl/>
        </w:rPr>
        <w:t xml:space="preserve"> </w:t>
      </w:r>
      <w:r>
        <w:rPr>
          <w:rtl/>
        </w:rPr>
        <w:t>»</w:t>
      </w:r>
      <w:r>
        <w:rPr>
          <w:rStyle w:val="a7"/>
          <w:rtl/>
        </w:rPr>
        <w:footnoteReference w:id="4088"/>
      </w:r>
      <w:r>
        <w:rPr>
          <w:rFonts w:hint="cs"/>
          <w:vertAlign w:val="superscript"/>
          <w:rtl/>
        </w:rPr>
        <w:t>(</w:t>
      </w:r>
      <w:r>
        <w:rPr>
          <w:rStyle w:val="a7"/>
          <w:rtl/>
        </w:rPr>
        <w:footnoteReference w:id="4089"/>
      </w:r>
      <w:r>
        <w:rPr>
          <w:rFonts w:hint="cs"/>
          <w:vertAlign w:val="superscript"/>
          <w:rtl/>
        </w:rPr>
        <w:t>)</w:t>
      </w:r>
      <w:r>
        <w:rPr>
          <w:rFonts w:hint="cs"/>
          <w:rtl/>
        </w:rPr>
        <w:t>، وتملك المولى من العبد من جهة الشرع لا صُنْعَ للعبد فيه، فلا يُعمل فيه تصرف العبد -كما مرّ-</w:t>
      </w:r>
      <w:r>
        <w:rPr>
          <w:rFonts w:hint="cs"/>
          <w:vertAlign w:val="superscript"/>
          <w:rtl/>
        </w:rPr>
        <w:t>(</w:t>
      </w:r>
      <w:r>
        <w:rPr>
          <w:rStyle w:val="a7"/>
          <w:rtl/>
        </w:rPr>
        <w:footnoteReference w:id="4090"/>
      </w:r>
      <w:r>
        <w:rPr>
          <w:rFonts w:hint="cs"/>
          <w:vertAlign w:val="superscript"/>
          <w:rtl/>
        </w:rPr>
        <w:t>)</w:t>
      </w:r>
      <w:r>
        <w:rPr>
          <w:rFonts w:hint="cs"/>
          <w:rtl/>
        </w:rPr>
        <w:t xml:space="preserve">. وذكر ابن </w:t>
      </w:r>
      <w:r>
        <w:rPr>
          <w:rFonts w:hint="cs"/>
          <w:rtl/>
        </w:rPr>
        <w:lastRenderedPageBreak/>
        <w:t>نجيم في (أشباهه)</w:t>
      </w:r>
      <w:r>
        <w:rPr>
          <w:rFonts w:hint="cs"/>
          <w:vertAlign w:val="superscript"/>
          <w:rtl/>
        </w:rPr>
        <w:t>(</w:t>
      </w:r>
      <w:r>
        <w:rPr>
          <w:rStyle w:val="a7"/>
          <w:rtl/>
        </w:rPr>
        <w:footnoteReference w:id="4091"/>
      </w:r>
      <w:r>
        <w:rPr>
          <w:rFonts w:hint="cs"/>
          <w:vertAlign w:val="superscript"/>
          <w:rtl/>
        </w:rPr>
        <w:t>)</w:t>
      </w:r>
      <w:r>
        <w:rPr>
          <w:rFonts w:hint="cs"/>
          <w:rtl/>
        </w:rPr>
        <w:t xml:space="preserve"> [نظائر]</w:t>
      </w:r>
      <w:r>
        <w:rPr>
          <w:rStyle w:val="a7"/>
          <w:rtl/>
        </w:rPr>
        <w:footnoteReference w:id="4092"/>
      </w:r>
      <w:r>
        <w:rPr>
          <w:rFonts w:hint="cs"/>
          <w:rtl/>
        </w:rPr>
        <w:t xml:space="preserve"> ولم أتعَرّض</w:t>
      </w:r>
      <w:r>
        <w:rPr>
          <w:rStyle w:val="a7"/>
          <w:rtl/>
        </w:rPr>
        <w:footnoteReference w:id="4093"/>
      </w:r>
      <w:r>
        <w:rPr>
          <w:rFonts w:hint="cs"/>
          <w:rtl/>
        </w:rPr>
        <w:t xml:space="preserve"> إلى جوابها؛ لغاية</w:t>
      </w:r>
      <w:r>
        <w:rPr>
          <w:rStyle w:val="a7"/>
          <w:rtl/>
        </w:rPr>
        <w:footnoteReference w:id="4094"/>
      </w:r>
      <w:r>
        <w:rPr>
          <w:rFonts w:hint="cs"/>
          <w:rtl/>
        </w:rPr>
        <w:t xml:space="preserve"> وضوحها.</w:t>
      </w:r>
      <w:r>
        <w:rPr>
          <w:rtl/>
        </w:rPr>
        <w:t xml:space="preserve"> </w:t>
      </w:r>
    </w:p>
    <w:p w:rsidR="00C10469" w:rsidRPr="00B971F9" w:rsidRDefault="00C10469">
      <w:pPr>
        <w:pStyle w:val="a9"/>
        <w:rPr>
          <w:rFonts w:cs="AL-Mateen"/>
          <w:rtl/>
        </w:rPr>
      </w:pPr>
      <w:r>
        <w:rPr>
          <w:rFonts w:cs="AL-Mateen" w:hint="cs"/>
          <w:rtl/>
        </w:rPr>
        <w:lastRenderedPageBreak/>
        <w:t>[القاعدة السابعة و</w:t>
      </w:r>
      <w:r w:rsidRPr="00B971F9">
        <w:rPr>
          <w:rFonts w:cs="AL-Mateen" w:hint="cs"/>
          <w:rtl/>
        </w:rPr>
        <w:t>التسعون بعد المائة]</w:t>
      </w:r>
    </w:p>
    <w:p w:rsidR="00C10469" w:rsidRDefault="00C10469">
      <w:pPr>
        <w:rPr>
          <w:rtl/>
        </w:rPr>
      </w:pPr>
      <w:r>
        <w:rPr>
          <w:rFonts w:cs="Monotype Koufi" w:hint="cs"/>
          <w:rtl/>
        </w:rPr>
        <w:t>لاَ تَأْثِيرَ للعَزِيمَةِ في تَغْيِيرِ الحَقِيقَةِ</w:t>
      </w:r>
      <w:r>
        <w:rPr>
          <w:rFonts w:hint="cs"/>
          <w:vertAlign w:val="superscript"/>
          <w:rtl/>
        </w:rPr>
        <w:t>(</w:t>
      </w:r>
      <w:r>
        <w:rPr>
          <w:rStyle w:val="a7"/>
          <w:rtl/>
        </w:rPr>
        <w:footnoteReference w:id="4095"/>
      </w:r>
      <w:r>
        <w:rPr>
          <w:rFonts w:hint="cs"/>
          <w:vertAlign w:val="superscript"/>
          <w:rtl/>
        </w:rPr>
        <w:t>)</w:t>
      </w:r>
      <w:r>
        <w:rPr>
          <w:rFonts w:hint="cs"/>
          <w:rtl/>
        </w:rPr>
        <w:t>:</w:t>
      </w:r>
    </w:p>
    <w:p w:rsidR="00C10469" w:rsidRDefault="00C10469">
      <w:pPr>
        <w:rPr>
          <w:rtl/>
        </w:rPr>
      </w:pPr>
      <w:r>
        <w:rPr>
          <w:rFonts w:hint="cs"/>
          <w:b/>
          <w:bCs/>
          <w:rtl/>
        </w:rPr>
        <w:t xml:space="preserve">ولـهذا </w:t>
      </w:r>
      <w:r>
        <w:rPr>
          <w:rFonts w:hint="cs"/>
          <w:rtl/>
        </w:rPr>
        <w:t>: جـاز بـيـعُ الأب عَرْضَ</w:t>
      </w:r>
      <w:r>
        <w:rPr>
          <w:rFonts w:hint="cs"/>
          <w:vertAlign w:val="superscript"/>
          <w:rtl/>
        </w:rPr>
        <w:t>(</w:t>
      </w:r>
      <w:r>
        <w:rPr>
          <w:rStyle w:val="a7"/>
          <w:rtl/>
        </w:rPr>
        <w:footnoteReference w:id="4096"/>
      </w:r>
      <w:r>
        <w:rPr>
          <w:rFonts w:hint="cs"/>
          <w:vertAlign w:val="superscript"/>
          <w:rtl/>
        </w:rPr>
        <w:t>)</w:t>
      </w:r>
      <w:r>
        <w:rPr>
          <w:rFonts w:hint="cs"/>
          <w:rtl/>
        </w:rPr>
        <w:t xml:space="preserve"> ولـدِهِ الـغائــب لنـفقـتـه، </w:t>
      </w:r>
    </w:p>
    <w:p w:rsidR="00C10469" w:rsidRDefault="00C10469">
      <w:pPr>
        <w:ind w:firstLine="0"/>
        <w:rPr>
          <w:rtl/>
        </w:rPr>
      </w:pPr>
      <w:r>
        <w:rPr>
          <w:rFonts w:hint="cs"/>
          <w:rtl/>
        </w:rPr>
        <w:lastRenderedPageBreak/>
        <w:t>وإن لم يجز تقدير النفقة</w:t>
      </w:r>
      <w:r>
        <w:rPr>
          <w:rStyle w:val="a7"/>
          <w:rtl/>
        </w:rPr>
        <w:footnoteReference w:id="4097"/>
      </w:r>
      <w:r>
        <w:rPr>
          <w:rFonts w:hint="cs"/>
          <w:rtl/>
        </w:rPr>
        <w:t xml:space="preserve"> في مال الغائب للإنفاق</w:t>
      </w:r>
      <w:r>
        <w:rPr>
          <w:rStyle w:val="a7"/>
          <w:rtl/>
        </w:rPr>
        <w:footnoteReference w:id="4098"/>
      </w:r>
      <w:r>
        <w:rPr>
          <w:rFonts w:hint="cs"/>
          <w:rtl/>
        </w:rPr>
        <w:t>، على ما ذُكر في المعتبرات</w:t>
      </w:r>
      <w:r>
        <w:rPr>
          <w:rFonts w:hint="cs"/>
          <w:vertAlign w:val="superscript"/>
          <w:rtl/>
        </w:rPr>
        <w:t>(</w:t>
      </w:r>
      <w:r>
        <w:rPr>
          <w:rStyle w:val="a7"/>
          <w:rtl/>
        </w:rPr>
        <w:footnoteReference w:id="4099"/>
      </w:r>
      <w:r>
        <w:rPr>
          <w:rFonts w:hint="cs"/>
          <w:vertAlign w:val="superscript"/>
          <w:rtl/>
        </w:rPr>
        <w:t>)</w:t>
      </w:r>
      <w:r>
        <w:rPr>
          <w:rFonts w:hint="cs"/>
          <w:rtl/>
        </w:rPr>
        <w:t>.</w:t>
      </w:r>
    </w:p>
    <w:p w:rsidR="00C10469" w:rsidRDefault="00C10469">
      <w:pPr>
        <w:rPr>
          <w:rtl/>
        </w:rPr>
      </w:pPr>
      <w:r>
        <w:rPr>
          <w:rFonts w:hint="cs"/>
          <w:b/>
          <w:bCs/>
          <w:rtl/>
        </w:rPr>
        <w:t>وعلّلوا</w:t>
      </w:r>
      <w:r>
        <w:rPr>
          <w:rFonts w:hint="cs"/>
          <w:rtl/>
        </w:rPr>
        <w:t xml:space="preserve"> جواز البيع في هذه المسألة: بأن للأب ولايةَ بيع عروضِهِ للحفظِ</w:t>
      </w:r>
      <w:r>
        <w:rPr>
          <w:rFonts w:hint="cs"/>
          <w:vertAlign w:val="superscript"/>
          <w:rtl/>
        </w:rPr>
        <w:t>(</w:t>
      </w:r>
      <w:r>
        <w:rPr>
          <w:rStyle w:val="a7"/>
          <w:rtl/>
        </w:rPr>
        <w:footnoteReference w:id="4100"/>
      </w:r>
      <w:r>
        <w:rPr>
          <w:rFonts w:hint="cs"/>
          <w:vertAlign w:val="superscript"/>
          <w:rtl/>
        </w:rPr>
        <w:t>)</w:t>
      </w:r>
      <w:r>
        <w:rPr>
          <w:rFonts w:hint="cs"/>
          <w:rtl/>
        </w:rPr>
        <w:t xml:space="preserve">، </w:t>
      </w:r>
      <w:r>
        <w:rPr>
          <w:rFonts w:hint="eastAsia"/>
          <w:rtl/>
        </w:rPr>
        <w:t>«</w:t>
      </w:r>
      <w:r>
        <w:rPr>
          <w:rFonts w:hint="cs"/>
          <w:rtl/>
        </w:rPr>
        <w:t>فإذا جاز بيعه فالثمن</w:t>
      </w:r>
      <w:r>
        <w:rPr>
          <w:rStyle w:val="a7"/>
          <w:rtl/>
        </w:rPr>
        <w:footnoteReference w:id="4101"/>
      </w:r>
      <w:r>
        <w:rPr>
          <w:rFonts w:hint="cs"/>
          <w:rtl/>
        </w:rPr>
        <w:t xml:space="preserve"> من جنس حقِّه، وهو النفقة، فله الاستيفاء منه</w:t>
      </w:r>
      <w:r>
        <w:rPr>
          <w:rtl/>
        </w:rPr>
        <w:t>»</w:t>
      </w:r>
      <w:r>
        <w:rPr>
          <w:rFonts w:hint="cs"/>
          <w:vertAlign w:val="superscript"/>
          <w:rtl/>
        </w:rPr>
        <w:t>(</w:t>
      </w:r>
      <w:r>
        <w:rPr>
          <w:rStyle w:val="a7"/>
          <w:rtl/>
        </w:rPr>
        <w:footnoteReference w:id="4102"/>
      </w:r>
      <w:r>
        <w:rPr>
          <w:rFonts w:hint="cs"/>
          <w:vertAlign w:val="superscript"/>
          <w:rtl/>
        </w:rPr>
        <w:t>)</w:t>
      </w:r>
      <w:r>
        <w:rPr>
          <w:rFonts w:hint="cs"/>
          <w:rtl/>
        </w:rPr>
        <w:t>.</w:t>
      </w:r>
    </w:p>
    <w:p w:rsidR="00C10469" w:rsidRDefault="00C10469">
      <w:pPr>
        <w:rPr>
          <w:rtl/>
        </w:rPr>
      </w:pPr>
      <w:r>
        <w:rPr>
          <w:rFonts w:hint="cs"/>
          <w:b/>
          <w:bCs/>
          <w:rtl/>
        </w:rPr>
        <w:t>واعتُرض عليهم</w:t>
      </w:r>
      <w:r>
        <w:rPr>
          <w:rFonts w:hint="cs"/>
          <w:rtl/>
        </w:rPr>
        <w:t xml:space="preserve">: </w:t>
      </w:r>
      <w:r>
        <w:rPr>
          <w:rFonts w:hint="eastAsia"/>
          <w:rtl/>
        </w:rPr>
        <w:t>«</w:t>
      </w:r>
      <w:r>
        <w:rPr>
          <w:rFonts w:hint="cs"/>
          <w:rtl/>
        </w:rPr>
        <w:t>بأنه كذلك، لكن الغرض</w:t>
      </w:r>
      <w:r>
        <w:rPr>
          <w:rStyle w:val="a7"/>
          <w:rtl/>
        </w:rPr>
        <w:footnoteReference w:id="4103"/>
      </w:r>
      <w:r>
        <w:rPr>
          <w:rFonts w:hint="cs"/>
          <w:rtl/>
        </w:rPr>
        <w:t xml:space="preserve"> أنه يبيعه لنفقته</w:t>
      </w:r>
      <w:r>
        <w:rPr>
          <w:rStyle w:val="a7"/>
          <w:rtl/>
        </w:rPr>
        <w:footnoteReference w:id="4104"/>
      </w:r>
      <w:r>
        <w:rPr>
          <w:rFonts w:hint="cs"/>
          <w:rtl/>
        </w:rPr>
        <w:t xml:space="preserve">، وإنما صحّ بيعه </w:t>
      </w:r>
      <w:r>
        <w:rPr>
          <w:rFonts w:hint="cs"/>
          <w:rtl/>
        </w:rPr>
        <w:lastRenderedPageBreak/>
        <w:t>أنْ لو كان قصده البيع للحفظ</w:t>
      </w:r>
      <w:r>
        <w:rPr>
          <w:rtl/>
        </w:rPr>
        <w:t>»</w:t>
      </w:r>
      <w:r>
        <w:rPr>
          <w:rFonts w:hint="cs"/>
          <w:vertAlign w:val="superscript"/>
          <w:rtl/>
        </w:rPr>
        <w:t>(</w:t>
      </w:r>
      <w:r>
        <w:rPr>
          <w:rStyle w:val="a7"/>
          <w:rtl/>
        </w:rPr>
        <w:footnoteReference w:id="4105"/>
      </w:r>
      <w:r>
        <w:rPr>
          <w:rFonts w:hint="cs"/>
          <w:vertAlign w:val="superscript"/>
          <w:rtl/>
        </w:rPr>
        <w:t>)</w:t>
      </w:r>
      <w:r>
        <w:rPr>
          <w:rFonts w:hint="cs"/>
          <w:rtl/>
        </w:rPr>
        <w:t>.</w:t>
      </w:r>
    </w:p>
    <w:p w:rsidR="00C10469" w:rsidRDefault="00C10469">
      <w:pPr>
        <w:rPr>
          <w:rtl/>
        </w:rPr>
      </w:pPr>
      <w:r>
        <w:rPr>
          <w:rFonts w:hint="cs"/>
          <w:b/>
          <w:bCs/>
          <w:rtl/>
        </w:rPr>
        <w:t>وأجابوا</w:t>
      </w:r>
      <w:r>
        <w:rPr>
          <w:rFonts w:hint="cs"/>
          <w:rtl/>
        </w:rPr>
        <w:t xml:space="preserve"> بهذا الأصل، يعني أن حقيقة جواز البيع لا يتغير</w:t>
      </w:r>
      <w:r>
        <w:rPr>
          <w:rFonts w:hint="cs"/>
          <w:vertAlign w:val="superscript"/>
          <w:rtl/>
        </w:rPr>
        <w:t>(</w:t>
      </w:r>
      <w:r>
        <w:rPr>
          <w:rStyle w:val="a7"/>
          <w:rtl/>
        </w:rPr>
        <w:footnoteReference w:id="4106"/>
      </w:r>
      <w:r>
        <w:rPr>
          <w:rFonts w:hint="cs"/>
          <w:vertAlign w:val="superscript"/>
          <w:rtl/>
        </w:rPr>
        <w:t>)</w:t>
      </w:r>
      <w:r>
        <w:rPr>
          <w:rFonts w:hint="cs"/>
          <w:rtl/>
        </w:rPr>
        <w:t xml:space="preserve"> بقصده الإنفاق.</w:t>
      </w:r>
    </w:p>
    <w:p w:rsidR="00C10469" w:rsidRDefault="00C10469">
      <w:pPr>
        <w:rPr>
          <w:rtl/>
        </w:rPr>
      </w:pPr>
      <w:r>
        <w:rPr>
          <w:rFonts w:hint="eastAsia"/>
          <w:rtl/>
        </w:rPr>
        <w:t>«</w:t>
      </w:r>
      <w:r>
        <w:rPr>
          <w:rFonts w:hint="cs"/>
          <w:b/>
          <w:bCs/>
          <w:rtl/>
        </w:rPr>
        <w:t>لا يقال</w:t>
      </w:r>
      <w:r>
        <w:rPr>
          <w:rFonts w:hint="cs"/>
          <w:rtl/>
        </w:rPr>
        <w:t>: [عارض]</w:t>
      </w:r>
      <w:r>
        <w:rPr>
          <w:rStyle w:val="a7"/>
          <w:rtl/>
        </w:rPr>
        <w:footnoteReference w:id="4107"/>
      </w:r>
      <w:r>
        <w:rPr>
          <w:rFonts w:hint="cs"/>
          <w:rtl/>
        </w:rPr>
        <w:t xml:space="preserve"> جهةَ الحفظِ جهةُ الإتلاف بالإنفاق!.</w:t>
      </w:r>
    </w:p>
    <w:p w:rsidR="00C10469" w:rsidRDefault="00C10469">
      <w:pPr>
        <w:rPr>
          <w:spacing w:val="6"/>
          <w:rtl/>
        </w:rPr>
      </w:pPr>
      <w:r>
        <w:rPr>
          <w:rFonts w:hint="cs"/>
          <w:b/>
          <w:bCs/>
          <w:spacing w:val="6"/>
          <w:rtl/>
        </w:rPr>
        <w:t>لأنا</w:t>
      </w:r>
      <w:r>
        <w:rPr>
          <w:rFonts w:hint="cs"/>
          <w:spacing w:val="6"/>
          <w:rtl/>
        </w:rPr>
        <w:t xml:space="preserve"> نـقول : الإتلاف بعد وجـوب النـفقة، وفـي حال</w:t>
      </w:r>
      <w:r>
        <w:rPr>
          <w:rStyle w:val="a7"/>
          <w:spacing w:val="6"/>
          <w:rtl/>
        </w:rPr>
        <w:footnoteReference w:id="4108"/>
      </w:r>
      <w:r>
        <w:rPr>
          <w:rFonts w:hint="cs"/>
          <w:spacing w:val="6"/>
          <w:rtl/>
        </w:rPr>
        <w:t xml:space="preserve"> البيع لم يجب، فلا يُعاَرِضُ</w:t>
      </w:r>
      <w:r>
        <w:rPr>
          <w:spacing w:val="6"/>
          <w:rtl/>
        </w:rPr>
        <w:t>»</w:t>
      </w:r>
      <w:r>
        <w:rPr>
          <w:rFonts w:hint="cs"/>
          <w:spacing w:val="6"/>
          <w:vertAlign w:val="superscript"/>
          <w:rtl/>
        </w:rPr>
        <w:t>(</w:t>
      </w:r>
      <w:r>
        <w:rPr>
          <w:rStyle w:val="a7"/>
          <w:spacing w:val="6"/>
          <w:rtl/>
        </w:rPr>
        <w:footnoteReference w:id="4109"/>
      </w:r>
      <w:r>
        <w:rPr>
          <w:rFonts w:hint="cs"/>
          <w:spacing w:val="6"/>
          <w:vertAlign w:val="superscript"/>
          <w:rtl/>
        </w:rPr>
        <w:t>)(</w:t>
      </w:r>
      <w:r>
        <w:rPr>
          <w:rStyle w:val="a7"/>
          <w:spacing w:val="6"/>
          <w:rtl/>
        </w:rPr>
        <w:footnoteReference w:id="4110"/>
      </w:r>
      <w:r>
        <w:rPr>
          <w:rFonts w:hint="cs"/>
          <w:spacing w:val="6"/>
          <w:vertAlign w:val="superscript"/>
          <w:rtl/>
        </w:rPr>
        <w:t>)</w:t>
      </w:r>
      <w:r>
        <w:rPr>
          <w:rFonts w:hint="cs"/>
          <w:spacing w:val="6"/>
          <w:rtl/>
        </w:rPr>
        <w:t>.</w:t>
      </w:r>
    </w:p>
    <w:p w:rsidR="00C10469" w:rsidRDefault="00C10469">
      <w:pPr>
        <w:rPr>
          <w:rtl/>
        </w:rPr>
      </w:pPr>
      <w:r>
        <w:rPr>
          <w:rFonts w:hint="cs"/>
          <w:b/>
          <w:bCs/>
          <w:rtl/>
        </w:rPr>
        <w:t>وخرج</w:t>
      </w:r>
      <w:r>
        <w:rPr>
          <w:rFonts w:hint="cs"/>
          <w:rtl/>
        </w:rPr>
        <w:t xml:space="preserve"> عن هذا الأصل: ما لو وجب على الغني زكاة، فأعطى فقيرًا مالاً من جنس ما وجب عليه بنية الهبةِ: تغيَّر الحكم بعزيمته فلا يقع عن الزكاة</w:t>
      </w:r>
      <w:r>
        <w:rPr>
          <w:rFonts w:hint="cs"/>
          <w:vertAlign w:val="superscript"/>
          <w:rtl/>
        </w:rPr>
        <w:t>(</w:t>
      </w:r>
      <w:r>
        <w:rPr>
          <w:rStyle w:val="a7"/>
          <w:rtl/>
        </w:rPr>
        <w:footnoteReference w:id="4111"/>
      </w:r>
      <w:r>
        <w:rPr>
          <w:rFonts w:hint="cs"/>
          <w:vertAlign w:val="superscript"/>
          <w:rtl/>
        </w:rPr>
        <w:t>)</w:t>
      </w:r>
      <w:r>
        <w:rPr>
          <w:rFonts w:hint="cs"/>
          <w:rtl/>
        </w:rPr>
        <w:t>.</w:t>
      </w:r>
    </w:p>
    <w:p w:rsidR="00C10469" w:rsidRDefault="00C10469">
      <w:pPr>
        <w:rPr>
          <w:rtl/>
        </w:rPr>
      </w:pPr>
      <w:r>
        <w:rPr>
          <w:rFonts w:hint="cs"/>
          <w:b/>
          <w:bCs/>
          <w:rtl/>
        </w:rPr>
        <w:t>والجواب</w:t>
      </w:r>
      <w:r>
        <w:rPr>
          <w:rFonts w:hint="cs"/>
          <w:rtl/>
        </w:rPr>
        <w:t>: أن الزكاة عبادة، والغرض من العبادات ثواب</w:t>
      </w:r>
      <w:r>
        <w:rPr>
          <w:rStyle w:val="a7"/>
          <w:rtl/>
        </w:rPr>
        <w:footnoteReference w:id="4112"/>
      </w:r>
      <w:r>
        <w:rPr>
          <w:rFonts w:hint="cs"/>
          <w:rtl/>
        </w:rPr>
        <w:t>، و</w:t>
      </w:r>
      <w:r>
        <w:rPr>
          <w:rFonts w:hint="eastAsia"/>
          <w:rtl/>
        </w:rPr>
        <w:t>«</w:t>
      </w:r>
      <w:r>
        <w:rPr>
          <w:rFonts w:hint="cs"/>
          <w:rtl/>
        </w:rPr>
        <w:t>لا ثواب إلا بالنية</w:t>
      </w:r>
      <w:r>
        <w:rPr>
          <w:rtl/>
        </w:rPr>
        <w:t>»</w:t>
      </w:r>
      <w:r>
        <w:rPr>
          <w:rFonts w:hint="cs"/>
          <w:vertAlign w:val="superscript"/>
          <w:rtl/>
        </w:rPr>
        <w:t>(</w:t>
      </w:r>
      <w:r>
        <w:rPr>
          <w:rStyle w:val="a7"/>
          <w:rtl/>
        </w:rPr>
        <w:footnoteReference w:id="4113"/>
      </w:r>
      <w:r>
        <w:rPr>
          <w:rFonts w:hint="cs"/>
          <w:vertAlign w:val="superscript"/>
          <w:rtl/>
        </w:rPr>
        <w:t>)</w:t>
      </w:r>
      <w:r>
        <w:rPr>
          <w:rFonts w:hint="cs"/>
          <w:rtl/>
        </w:rPr>
        <w:t>، ولا صحة لعبادة خالية عن الغرض.</w:t>
      </w:r>
    </w:p>
    <w:p w:rsidR="00C10469" w:rsidRDefault="00C10469">
      <w:pPr>
        <w:rPr>
          <w:rtl/>
        </w:rPr>
      </w:pPr>
    </w:p>
    <w:p w:rsidR="00C10469" w:rsidRPr="001F2FE6"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5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5B6EBC" w:rsidRDefault="00C10469">
      <w:pPr>
        <w:pStyle w:val="a9"/>
        <w:rPr>
          <w:rFonts w:cs="AL-Mateen"/>
          <w:rtl/>
        </w:rPr>
      </w:pPr>
      <w:r w:rsidRPr="005B6EBC">
        <w:rPr>
          <w:rFonts w:cs="AL-Mateen" w:hint="cs"/>
          <w:rtl/>
        </w:rPr>
        <w:lastRenderedPageBreak/>
        <w:t>[القاعدة الثامنة والتسعون بعد المائة]</w:t>
      </w:r>
    </w:p>
    <w:p w:rsidR="00C10469" w:rsidRDefault="00C10469">
      <w:pPr>
        <w:rPr>
          <w:rtl/>
        </w:rPr>
      </w:pPr>
      <w:r>
        <w:rPr>
          <w:rFonts w:cs="Monotype Koufi" w:hint="cs"/>
          <w:rtl/>
        </w:rPr>
        <w:t>لا يصحُّ تَأْجِيلُ الأَعْيَانِ</w:t>
      </w:r>
      <w:r>
        <w:rPr>
          <w:rFonts w:hint="cs"/>
          <w:vertAlign w:val="superscript"/>
          <w:rtl/>
        </w:rPr>
        <w:t>(</w:t>
      </w:r>
      <w:r>
        <w:rPr>
          <w:rStyle w:val="a7"/>
          <w:rtl/>
        </w:rPr>
        <w:footnoteReference w:id="4114"/>
      </w:r>
      <w:r>
        <w:rPr>
          <w:rFonts w:hint="cs"/>
          <w:vertAlign w:val="superscript"/>
          <w:rtl/>
        </w:rPr>
        <w:t>)</w:t>
      </w:r>
      <w:r>
        <w:rPr>
          <w:rFonts w:hint="cs"/>
          <w:rtl/>
        </w:rPr>
        <w:t>:</w:t>
      </w:r>
    </w:p>
    <w:p w:rsidR="00C10469" w:rsidRDefault="00C10469">
      <w:pPr>
        <w:rPr>
          <w:rtl/>
        </w:rPr>
      </w:pPr>
      <w:r>
        <w:rPr>
          <w:rFonts w:hint="eastAsia"/>
          <w:rtl/>
        </w:rPr>
        <w:t>«</w:t>
      </w:r>
      <w:r>
        <w:rPr>
          <w:rFonts w:hint="cs"/>
          <w:rtl/>
        </w:rPr>
        <w:t>لأن الأجلَ</w:t>
      </w:r>
      <w:r>
        <w:rPr>
          <w:rStyle w:val="a7"/>
          <w:rtl/>
        </w:rPr>
        <w:footnoteReference w:id="4115"/>
      </w:r>
      <w:r>
        <w:rPr>
          <w:rFonts w:hint="cs"/>
          <w:rtl/>
        </w:rPr>
        <w:t xml:space="preserve"> شُرع رفقًا للتحصيل، والعين حاصلة</w:t>
      </w:r>
      <w:r>
        <w:rPr>
          <w:rtl/>
        </w:rPr>
        <w:t>»</w:t>
      </w:r>
      <w:r>
        <w:rPr>
          <w:rFonts w:hint="cs"/>
          <w:vertAlign w:val="superscript"/>
          <w:rtl/>
        </w:rPr>
        <w:t>(</w:t>
      </w:r>
      <w:r>
        <w:rPr>
          <w:rStyle w:val="a7"/>
          <w:rtl/>
        </w:rPr>
        <w:footnoteReference w:id="4116"/>
      </w:r>
      <w:r>
        <w:rPr>
          <w:rFonts w:hint="cs"/>
          <w:vertAlign w:val="superscript"/>
          <w:rtl/>
        </w:rPr>
        <w:t>)</w:t>
      </w:r>
      <w:r>
        <w:rPr>
          <w:rFonts w:hint="cs"/>
          <w:rtl/>
        </w:rPr>
        <w:t>؛ ولذا فسد البيع بشرط التأجيل في المبيع</w:t>
      </w:r>
      <w:r>
        <w:rPr>
          <w:rFonts w:hint="cs"/>
          <w:vertAlign w:val="superscript"/>
          <w:rtl/>
        </w:rPr>
        <w:t>(</w:t>
      </w:r>
      <w:r>
        <w:rPr>
          <w:rStyle w:val="a7"/>
          <w:rtl/>
        </w:rPr>
        <w:footnoteReference w:id="4117"/>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 الأصل: (السّلمُ)، والقياس</w:t>
      </w:r>
      <w:r>
        <w:rPr>
          <w:rStyle w:val="a7"/>
          <w:rtl/>
        </w:rPr>
        <w:footnoteReference w:id="4118"/>
      </w:r>
      <w:r>
        <w:rPr>
          <w:rFonts w:hint="cs"/>
          <w:rtl/>
        </w:rPr>
        <w:t xml:space="preserve"> يأبى</w:t>
      </w:r>
      <w:r>
        <w:rPr>
          <w:rStyle w:val="a7"/>
          <w:rtl/>
        </w:rPr>
        <w:footnoteReference w:id="4119"/>
      </w:r>
      <w:r>
        <w:rPr>
          <w:rFonts w:hint="cs"/>
          <w:rtl/>
        </w:rPr>
        <w:t xml:space="preserve"> جوازه؛ لأنه بيعُ المعدوم، فَضلاً عن كونه مُؤجَّلاً</w:t>
      </w:r>
      <w:r>
        <w:rPr>
          <w:rFonts w:hint="cs"/>
          <w:vertAlign w:val="superscript"/>
          <w:rtl/>
        </w:rPr>
        <w:t>(</w:t>
      </w:r>
      <w:r>
        <w:rPr>
          <w:rStyle w:val="a7"/>
          <w:rtl/>
        </w:rPr>
        <w:footnoteReference w:id="4120"/>
      </w:r>
      <w:r>
        <w:rPr>
          <w:rFonts w:hint="cs"/>
          <w:vertAlign w:val="superscript"/>
          <w:rtl/>
        </w:rPr>
        <w:t>)</w:t>
      </w:r>
      <w:r>
        <w:rPr>
          <w:rFonts w:hint="cs"/>
          <w:rtl/>
        </w:rPr>
        <w:t xml:space="preserve">. </w:t>
      </w:r>
    </w:p>
    <w:p w:rsidR="00C10469" w:rsidRDefault="00C10469">
      <w:pPr>
        <w:rPr>
          <w:rFonts w:cs="Al-Kharashi 62"/>
          <w:sz w:val="36"/>
          <w:rtl/>
        </w:rPr>
      </w:pPr>
      <w:r>
        <w:rPr>
          <w:rFonts w:hint="cs"/>
          <w:b/>
          <w:bCs/>
          <w:rtl/>
        </w:rPr>
        <w:lastRenderedPageBreak/>
        <w:t xml:space="preserve">والجواب </w:t>
      </w:r>
      <w:r>
        <w:rPr>
          <w:rFonts w:hint="cs"/>
          <w:rtl/>
        </w:rPr>
        <w:t xml:space="preserve">: تُرِكَ القياس بالنّص، فـإنّ النبي  </w:t>
      </w:r>
      <w:r>
        <w:rPr>
          <w:rFonts w:ascii="AGA Arabesque" w:hAnsi="AGA Arabesque"/>
          <w:sz w:val="36"/>
        </w:rPr>
        <w:t></w:t>
      </w:r>
      <w:r>
        <w:rPr>
          <w:rFonts w:ascii="AGA Arabesque" w:hAnsi="AGA Arabesque" w:hint="cs"/>
          <w:sz w:val="36"/>
          <w:rtl/>
        </w:rPr>
        <w:t xml:space="preserve"> </w:t>
      </w:r>
      <w:r>
        <w:rPr>
          <w:rFonts w:hint="cs"/>
          <w:rtl/>
        </w:rPr>
        <w:t xml:space="preserve"> </w:t>
      </w:r>
      <w:r>
        <w:rPr>
          <w:rFonts w:cs="DecoType Naskh Variants" w:hint="cs"/>
          <w:sz w:val="36"/>
          <w:rtl/>
        </w:rPr>
        <w:t>نَهَى عَنْ بَيْعِ مَا لَيْسَ عِنْدَ الإنسانِ</w:t>
      </w:r>
    </w:p>
    <w:p w:rsidR="00C10469" w:rsidRDefault="00C10469">
      <w:pPr>
        <w:spacing w:line="580" w:lineRule="exact"/>
        <w:rPr>
          <w:rtl/>
        </w:rPr>
      </w:pPr>
      <w:r>
        <w:rPr>
          <w:rFonts w:cs="DecoType Naskh Variants" w:hint="cs"/>
          <w:sz w:val="36"/>
          <w:rtl/>
        </w:rPr>
        <w:lastRenderedPageBreak/>
        <w:t xml:space="preserve"> ورخَّصَ في السَّلَمِ</w:t>
      </w:r>
      <w:r>
        <w:rPr>
          <w:rFonts w:hint="cs"/>
          <w:vertAlign w:val="superscript"/>
          <w:rtl/>
        </w:rPr>
        <w:t>(</w:t>
      </w:r>
      <w:r>
        <w:rPr>
          <w:rStyle w:val="a7"/>
          <w:rtl/>
        </w:rPr>
        <w:footnoteReference w:id="4121"/>
      </w:r>
      <w:r>
        <w:rPr>
          <w:rFonts w:hint="cs"/>
          <w:vertAlign w:val="superscript"/>
          <w:rtl/>
        </w:rPr>
        <w:t>)(</w:t>
      </w:r>
      <w:r>
        <w:rPr>
          <w:rStyle w:val="a7"/>
          <w:rtl/>
        </w:rPr>
        <w:footnoteReference w:id="4122"/>
      </w:r>
      <w:r>
        <w:rPr>
          <w:rFonts w:hint="cs"/>
          <w:vertAlign w:val="superscript"/>
          <w:rtl/>
        </w:rPr>
        <w:t>)</w:t>
      </w:r>
      <w:r>
        <w:rPr>
          <w:rFonts w:hint="cs"/>
          <w:rtl/>
        </w:rPr>
        <w:t xml:space="preserve">. </w:t>
      </w:r>
    </w:p>
    <w:p w:rsidR="00C10469" w:rsidRDefault="00C10469">
      <w:pPr>
        <w:ind w:firstLine="0"/>
        <w:rPr>
          <w:rtl/>
        </w:rPr>
      </w:pPr>
      <w:r>
        <w:rPr>
          <w:rFonts w:hint="cs"/>
          <w:rtl/>
        </w:rPr>
        <w:lastRenderedPageBreak/>
        <w:t>فينحصر على مورده</w:t>
      </w:r>
      <w:r>
        <w:rPr>
          <w:rFonts w:hint="cs"/>
          <w:vertAlign w:val="superscript"/>
          <w:rtl/>
        </w:rPr>
        <w:t>(</w:t>
      </w:r>
      <w:r>
        <w:rPr>
          <w:rStyle w:val="a7"/>
          <w:rtl/>
        </w:rPr>
        <w:footnoteReference w:id="4123"/>
      </w:r>
      <w:r>
        <w:rPr>
          <w:rFonts w:hint="cs"/>
          <w:vertAlign w:val="superscript"/>
          <w:rtl/>
        </w:rPr>
        <w:t>)</w:t>
      </w:r>
      <w:r>
        <w:rPr>
          <w:rFonts w:hint="cs"/>
          <w:rtl/>
        </w:rPr>
        <w:t xml:space="preserve">. </w:t>
      </w:r>
    </w:p>
    <w:p w:rsidR="00C10469" w:rsidRDefault="00C10469">
      <w:pPr>
        <w:ind w:firstLine="0"/>
        <w:rPr>
          <w:rtl/>
        </w:rPr>
      </w:pPr>
      <w:r>
        <w:rPr>
          <w:rFonts w:hint="cs"/>
          <w:rtl/>
        </w:rPr>
        <w:t>وجواز السّلم ثابت بالكتاب والسنة -كما ذكر في المفصلات</w:t>
      </w:r>
      <w:r>
        <w:rPr>
          <w:rStyle w:val="a7"/>
          <w:rtl/>
        </w:rPr>
        <w:footnoteReference w:id="4124"/>
      </w:r>
      <w:r>
        <w:rPr>
          <w:rFonts w:hint="cs"/>
          <w:vertAlign w:val="superscript"/>
          <w:rtl/>
        </w:rPr>
        <w:t>(</w:t>
      </w:r>
      <w:r>
        <w:rPr>
          <w:rStyle w:val="a7"/>
          <w:rtl/>
        </w:rPr>
        <w:footnoteReference w:id="4125"/>
      </w:r>
      <w:r>
        <w:rPr>
          <w:rFonts w:hint="cs"/>
          <w:vertAlign w:val="superscript"/>
          <w:rtl/>
        </w:rPr>
        <w:t>)</w:t>
      </w:r>
      <w:r>
        <w:rPr>
          <w:rFonts w:hint="cs"/>
          <w:rtl/>
        </w:rPr>
        <w:t>-.</w:t>
      </w:r>
    </w:p>
    <w:p w:rsidR="00C10469" w:rsidRDefault="00C10469">
      <w:pPr>
        <w:ind w:firstLine="0"/>
        <w:rPr>
          <w:rtl/>
        </w:rPr>
      </w:pPr>
    </w:p>
    <w:p w:rsidR="00C10469" w:rsidRDefault="00C10469">
      <w:pPr>
        <w:ind w:firstLine="0"/>
        <w:rPr>
          <w:rtl/>
        </w:rPr>
      </w:pPr>
    </w:p>
    <w:p w:rsidR="00C10469" w:rsidRDefault="00C10469">
      <w:pPr>
        <w:ind w:firstLine="0"/>
        <w:rPr>
          <w:rtl/>
        </w:rPr>
      </w:pPr>
    </w:p>
    <w:p w:rsidR="00C10469" w:rsidRPr="006076CB"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25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324D3C" w:rsidRDefault="00C10469">
      <w:pPr>
        <w:pStyle w:val="a9"/>
        <w:rPr>
          <w:rFonts w:cs="AL-Mateen"/>
          <w:rtl/>
        </w:rPr>
      </w:pPr>
      <w:r w:rsidRPr="00324D3C">
        <w:rPr>
          <w:rFonts w:cs="AL-Mateen" w:hint="cs"/>
          <w:rtl/>
        </w:rPr>
        <w:lastRenderedPageBreak/>
        <w:t>[القاعدة التاسعة والتسعون بعد المائة]</w:t>
      </w:r>
    </w:p>
    <w:p w:rsidR="00C10469" w:rsidRDefault="00C10469">
      <w:pPr>
        <w:rPr>
          <w:rtl/>
        </w:rPr>
      </w:pPr>
      <w:r>
        <w:rPr>
          <w:rFonts w:cs="Monotype Koufi" w:hint="cs"/>
          <w:rtl/>
        </w:rPr>
        <w:t>لاَ يَصِحُّ تَمْلِيكُ الدَّيْنِ مِنْ غَيْرِ مَنْ عَلَيْهِ الدّينُ</w:t>
      </w:r>
      <w:r>
        <w:rPr>
          <w:rFonts w:hint="cs"/>
          <w:vertAlign w:val="superscript"/>
          <w:rtl/>
        </w:rPr>
        <w:t>(</w:t>
      </w:r>
      <w:r>
        <w:rPr>
          <w:rStyle w:val="a7"/>
          <w:rtl/>
        </w:rPr>
        <w:footnoteReference w:id="4126"/>
      </w:r>
      <w:r>
        <w:rPr>
          <w:rFonts w:hint="cs"/>
          <w:vertAlign w:val="superscript"/>
          <w:rtl/>
        </w:rPr>
        <w:t>)</w:t>
      </w:r>
      <w:r>
        <w:rPr>
          <w:rFonts w:hint="cs"/>
          <w:rtl/>
        </w:rPr>
        <w:t>:</w:t>
      </w:r>
    </w:p>
    <w:p w:rsidR="00C10469" w:rsidRDefault="00C10469">
      <w:pPr>
        <w:rPr>
          <w:rtl/>
        </w:rPr>
      </w:pPr>
      <w:r>
        <w:rPr>
          <w:rFonts w:hint="cs"/>
          <w:rtl/>
        </w:rPr>
        <w:t>وفروع هذا الأصل أكثرُ من أن</w:t>
      </w:r>
      <w:r>
        <w:rPr>
          <w:rStyle w:val="a7"/>
          <w:rtl/>
        </w:rPr>
        <w:footnoteReference w:id="4127"/>
      </w:r>
      <w:r>
        <w:rPr>
          <w:rFonts w:hint="cs"/>
          <w:rtl/>
        </w:rPr>
        <w:t xml:space="preserve"> [تُحصى]</w:t>
      </w:r>
      <w:r>
        <w:rPr>
          <w:rStyle w:val="a7"/>
          <w:rtl/>
        </w:rPr>
        <w:footnoteReference w:id="4128"/>
      </w:r>
      <w:r>
        <w:rPr>
          <w:rFonts w:hint="cs"/>
          <w:rtl/>
        </w:rPr>
        <w:t>.</w:t>
      </w:r>
    </w:p>
    <w:p w:rsidR="00C10469" w:rsidRDefault="00C10469">
      <w:pPr>
        <w:rPr>
          <w:rtl/>
        </w:rPr>
      </w:pPr>
      <w:r>
        <w:rPr>
          <w:rFonts w:hint="cs"/>
          <w:rtl/>
        </w:rPr>
        <w:t>واعلم أن عدم صحة تمليكه : إذا لم يسلَّطْهُ على قبضه</w:t>
      </w:r>
      <w:r>
        <w:rPr>
          <w:rStyle w:val="a7"/>
          <w:rtl/>
        </w:rPr>
        <w:footnoteReference w:id="4129"/>
      </w:r>
      <w:r>
        <w:rPr>
          <w:rFonts w:hint="cs"/>
          <w:rtl/>
        </w:rPr>
        <w:t>، وأما إذا سلّطه: يكون</w:t>
      </w:r>
      <w:r>
        <w:rPr>
          <w:rStyle w:val="a7"/>
          <w:rtl/>
        </w:rPr>
        <w:footnoteReference w:id="4130"/>
      </w:r>
      <w:r>
        <w:rPr>
          <w:rFonts w:hint="cs"/>
          <w:rtl/>
        </w:rPr>
        <w:t xml:space="preserve"> وكيلاً قابضًا للموكّل ثم لنفسه</w:t>
      </w:r>
      <w:r>
        <w:rPr>
          <w:rFonts w:hint="cs"/>
          <w:vertAlign w:val="superscript"/>
          <w:rtl/>
        </w:rPr>
        <w:t>(</w:t>
      </w:r>
      <w:r>
        <w:rPr>
          <w:rStyle w:val="a7"/>
          <w:rtl/>
        </w:rPr>
        <w:footnoteReference w:id="4131"/>
      </w:r>
      <w:r>
        <w:rPr>
          <w:rFonts w:hint="cs"/>
          <w:vertAlign w:val="superscript"/>
          <w:rtl/>
        </w:rPr>
        <w:t>)</w:t>
      </w:r>
      <w:r>
        <w:rPr>
          <w:rFonts w:hint="cs"/>
          <w:rtl/>
        </w:rPr>
        <w:t>.</w:t>
      </w:r>
    </w:p>
    <w:p w:rsidR="00C10469" w:rsidRDefault="00C10469">
      <w:pPr>
        <w:rPr>
          <w:rtl/>
        </w:rPr>
      </w:pPr>
      <w:r>
        <w:rPr>
          <w:rFonts w:hint="cs"/>
          <w:rtl/>
        </w:rPr>
        <w:t xml:space="preserve">فإذا </w:t>
      </w:r>
      <w:r>
        <w:rPr>
          <w:rFonts w:hint="eastAsia"/>
          <w:rtl/>
        </w:rPr>
        <w:t>«</w:t>
      </w:r>
      <w:r>
        <w:rPr>
          <w:rFonts w:hint="cs"/>
          <w:rtl/>
        </w:rPr>
        <w:t>وهب له دينًا على رجلٍ وأمره بقبضه: جاز</w:t>
      </w:r>
      <w:r>
        <w:rPr>
          <w:rtl/>
        </w:rPr>
        <w:t>»</w:t>
      </w:r>
      <w:r>
        <w:rPr>
          <w:rFonts w:hint="cs"/>
          <w:vertAlign w:val="superscript"/>
          <w:rtl/>
        </w:rPr>
        <w:t>(</w:t>
      </w:r>
      <w:r>
        <w:rPr>
          <w:rStyle w:val="a7"/>
          <w:rtl/>
        </w:rPr>
        <w:footnoteReference w:id="4132"/>
      </w:r>
      <w:r>
        <w:rPr>
          <w:rFonts w:hint="cs"/>
          <w:vertAlign w:val="superscript"/>
          <w:rtl/>
        </w:rPr>
        <w:t>)</w:t>
      </w:r>
      <w:r>
        <w:rPr>
          <w:rFonts w:hint="cs"/>
          <w:rtl/>
        </w:rPr>
        <w:t>.</w:t>
      </w:r>
    </w:p>
    <w:p w:rsidR="00C10469" w:rsidRDefault="00C10469">
      <w:pPr>
        <w:rPr>
          <w:rtl/>
        </w:rPr>
      </w:pPr>
      <w:r>
        <w:rPr>
          <w:rFonts w:hint="eastAsia"/>
          <w:rtl/>
        </w:rPr>
        <w:t>«</w:t>
      </w:r>
      <w:r>
        <w:rPr>
          <w:rFonts w:hint="cs"/>
          <w:rtl/>
        </w:rPr>
        <w:t>وفرّع [الإمام]</w:t>
      </w:r>
      <w:r>
        <w:rPr>
          <w:rStyle w:val="a7"/>
          <w:rtl/>
        </w:rPr>
        <w:footnoteReference w:id="4133"/>
      </w:r>
      <w:r>
        <w:rPr>
          <w:rFonts w:hint="cs"/>
          <w:rtl/>
        </w:rPr>
        <w:t xml:space="preserve"> الأعظم</w:t>
      </w:r>
      <w:r>
        <w:rPr>
          <w:rFonts w:hint="cs"/>
          <w:vertAlign w:val="superscript"/>
          <w:rtl/>
        </w:rPr>
        <w:t>(</w:t>
      </w:r>
      <w:r>
        <w:rPr>
          <w:rStyle w:val="a7"/>
          <w:rtl/>
        </w:rPr>
        <w:footnoteReference w:id="4134"/>
      </w:r>
      <w:r>
        <w:rPr>
          <w:rFonts w:hint="cs"/>
          <w:vertAlign w:val="superscript"/>
          <w:rtl/>
        </w:rPr>
        <w:t>)</w:t>
      </w:r>
      <w:r>
        <w:rPr>
          <w:rFonts w:hint="cs"/>
          <w:rtl/>
        </w:rPr>
        <w:t xml:space="preserve"> على هذا الأصل: أنّه وكلّه بشراء عبد بما عليه، ولم </w:t>
      </w:r>
      <w:r>
        <w:rPr>
          <w:rFonts w:hint="cs"/>
          <w:rtl/>
        </w:rPr>
        <w:lastRenderedPageBreak/>
        <w:t xml:space="preserve">يعيَّن المبيعَ والبائعَ: لم يصح التوكيل. </w:t>
      </w:r>
    </w:p>
    <w:p w:rsidR="00C10469" w:rsidRDefault="00C10469">
      <w:pPr>
        <w:ind w:firstLine="0"/>
        <w:rPr>
          <w:rtl/>
        </w:rPr>
      </w:pPr>
      <w:r>
        <w:rPr>
          <w:rFonts w:hint="cs"/>
          <w:rtl/>
        </w:rPr>
        <w:t>وصحّ إنْ عيّن أحدَهماَ</w:t>
      </w:r>
      <w:r>
        <w:rPr>
          <w:rtl/>
        </w:rPr>
        <w:t>»</w:t>
      </w:r>
      <w:r>
        <w:rPr>
          <w:rFonts w:hint="cs"/>
          <w:vertAlign w:val="superscript"/>
          <w:rtl/>
        </w:rPr>
        <w:t>(</w:t>
      </w:r>
      <w:r>
        <w:rPr>
          <w:rStyle w:val="a7"/>
          <w:rtl/>
        </w:rPr>
        <w:footnoteReference w:id="4135"/>
      </w:r>
      <w:r>
        <w:rPr>
          <w:rFonts w:hint="cs"/>
          <w:vertAlign w:val="superscript"/>
          <w:rtl/>
        </w:rPr>
        <w:t>)</w:t>
      </w:r>
      <w:r>
        <w:rPr>
          <w:rFonts w:hint="cs"/>
          <w:rtl/>
        </w:rPr>
        <w:t>.</w:t>
      </w:r>
    </w:p>
    <w:p w:rsidR="00C10469" w:rsidRDefault="00C10469">
      <w:pPr>
        <w:rPr>
          <w:rtl/>
        </w:rPr>
      </w:pPr>
      <w:r>
        <w:rPr>
          <w:rFonts w:hint="eastAsia"/>
          <w:rtl/>
        </w:rPr>
        <w:t>«</w:t>
      </w:r>
      <w:r>
        <w:rPr>
          <w:rFonts w:hint="cs"/>
          <w:b/>
          <w:bCs/>
          <w:rtl/>
        </w:rPr>
        <w:t>وتقريره</w:t>
      </w:r>
      <w:r>
        <w:rPr>
          <w:rFonts w:hint="cs"/>
          <w:rtl/>
        </w:rPr>
        <w:t>: أن الدراهم والدنانير [تتعين]</w:t>
      </w:r>
      <w:r>
        <w:rPr>
          <w:rStyle w:val="a7"/>
          <w:rtl/>
        </w:rPr>
        <w:footnoteReference w:id="4136"/>
      </w:r>
      <w:r>
        <w:rPr>
          <w:rFonts w:hint="cs"/>
          <w:rtl/>
        </w:rPr>
        <w:t xml:space="preserve"> في الوكالات عنده</w:t>
      </w:r>
      <w:r>
        <w:rPr>
          <w:rFonts w:hint="cs"/>
          <w:vertAlign w:val="superscript"/>
          <w:rtl/>
        </w:rPr>
        <w:t>(</w:t>
      </w:r>
      <w:r>
        <w:rPr>
          <w:rStyle w:val="a7"/>
          <w:rtl/>
        </w:rPr>
        <w:footnoteReference w:id="4137"/>
      </w:r>
      <w:r>
        <w:rPr>
          <w:rFonts w:hint="cs"/>
          <w:vertAlign w:val="superscript"/>
          <w:rtl/>
        </w:rPr>
        <w:t>)</w:t>
      </w:r>
      <w:r>
        <w:rPr>
          <w:rFonts w:hint="cs"/>
          <w:rtl/>
        </w:rPr>
        <w:t xml:space="preserve">، وإذا تعينت كان هذا تمليك الدين من غير من عليه الدين من غير أن يوكّله بالقبض. وذلك لا </w:t>
      </w:r>
      <w:r>
        <w:rPr>
          <w:rFonts w:hint="cs"/>
          <w:rtl/>
        </w:rPr>
        <w:lastRenderedPageBreak/>
        <w:t xml:space="preserve">يجوز؛ لعدم القدرة على التسليم، وذلك لأن </w:t>
      </w:r>
      <w:r>
        <w:rPr>
          <w:rFonts w:hint="eastAsia"/>
          <w:rtl/>
        </w:rPr>
        <w:t>«</w:t>
      </w:r>
      <w:r>
        <w:rPr>
          <w:rFonts w:hint="cs"/>
          <w:rtl/>
        </w:rPr>
        <w:t>الديون تقضى بأمثالها</w:t>
      </w:r>
      <w:r>
        <w:rPr>
          <w:rtl/>
        </w:rPr>
        <w:t>»</w:t>
      </w:r>
      <w:r>
        <w:rPr>
          <w:rFonts w:hint="cs"/>
          <w:vertAlign w:val="superscript"/>
          <w:rtl/>
        </w:rPr>
        <w:t>(</w:t>
      </w:r>
      <w:r>
        <w:rPr>
          <w:rStyle w:val="a7"/>
          <w:rtl/>
        </w:rPr>
        <w:footnoteReference w:id="4138"/>
      </w:r>
      <w:r>
        <w:rPr>
          <w:rFonts w:hint="cs"/>
          <w:vertAlign w:val="superscript"/>
          <w:rtl/>
        </w:rPr>
        <w:t>)</w:t>
      </w:r>
      <w:r>
        <w:rPr>
          <w:rFonts w:hint="cs"/>
          <w:rtl/>
        </w:rPr>
        <w:t>، فكان ما أدّى المديون إلى البائع ملك المديون، ولا يملكه الدائن قبل القبض، والأمر بدفع مالا يملكه باطل، وصار كما إذا قال: أعطِ مَالِيَ عليك</w:t>
      </w:r>
      <w:r>
        <w:rPr>
          <w:rStyle w:val="a7"/>
          <w:rtl/>
        </w:rPr>
        <w:footnoteReference w:id="4139"/>
      </w:r>
      <w:r>
        <w:rPr>
          <w:rFonts w:hint="cs"/>
          <w:rtl/>
        </w:rPr>
        <w:t xml:space="preserve"> مَنْ شئت. فإنه باطل؛ لأنه أمر بتصرف</w:t>
      </w:r>
      <w:r>
        <w:rPr>
          <w:rFonts w:hint="cs"/>
          <w:vertAlign w:val="superscript"/>
          <w:rtl/>
        </w:rPr>
        <w:t>(</w:t>
      </w:r>
      <w:r>
        <w:rPr>
          <w:rStyle w:val="a7"/>
          <w:rtl/>
        </w:rPr>
        <w:footnoteReference w:id="4140"/>
      </w:r>
      <w:r>
        <w:rPr>
          <w:rFonts w:hint="cs"/>
          <w:vertAlign w:val="superscript"/>
          <w:rtl/>
        </w:rPr>
        <w:t>)</w:t>
      </w:r>
      <w:r>
        <w:rPr>
          <w:rFonts w:hint="cs"/>
          <w:rtl/>
        </w:rPr>
        <w:t xml:space="preserve"> مالا يملكه الآمر إلا بالقبض إلى ما يختاره المديون بنفسه. بخلاف ما إذا كان الموكلُ عيّن البائع، فإن التوكيل صحيح لازم للآمر؛ لأنه يعتبر البائع وكيلاً عنه ضمنًا في القبض أوّلاً، ثم يتملكه، وذلك ليس بتمليك</w:t>
      </w:r>
      <w:r>
        <w:rPr>
          <w:rStyle w:val="a7"/>
          <w:rtl/>
        </w:rPr>
        <w:footnoteReference w:id="4141"/>
      </w:r>
      <w:r>
        <w:rPr>
          <w:rFonts w:hint="cs"/>
          <w:rtl/>
        </w:rPr>
        <w:t xml:space="preserve"> [الدين مِن غير]</w:t>
      </w:r>
      <w:r>
        <w:rPr>
          <w:rStyle w:val="a7"/>
          <w:rtl/>
        </w:rPr>
        <w:footnoteReference w:id="4142"/>
      </w:r>
      <w:r>
        <w:rPr>
          <w:rFonts w:hint="cs"/>
          <w:rtl/>
        </w:rPr>
        <w:t xml:space="preserve"> مَنْ عليه الدين</w:t>
      </w:r>
      <w:r>
        <w:rPr>
          <w:rtl/>
        </w:rPr>
        <w:t>»</w:t>
      </w:r>
      <w:r>
        <w:rPr>
          <w:rFonts w:hint="cs"/>
          <w:vertAlign w:val="superscript"/>
          <w:rtl/>
        </w:rPr>
        <w:t>(</w:t>
      </w:r>
      <w:r>
        <w:rPr>
          <w:rStyle w:val="a7"/>
          <w:rtl/>
        </w:rPr>
        <w:footnoteReference w:id="4143"/>
      </w:r>
      <w:r>
        <w:rPr>
          <w:rFonts w:hint="cs"/>
          <w:vertAlign w:val="superscript"/>
          <w:rtl/>
        </w:rPr>
        <w:t>)</w:t>
      </w:r>
      <w:r>
        <w:rPr>
          <w:rFonts w:hint="cs"/>
          <w:rtl/>
        </w:rPr>
        <w:t>.</w:t>
      </w:r>
    </w:p>
    <w:p w:rsidR="00C10469" w:rsidRDefault="00C10469">
      <w:pPr>
        <w:rPr>
          <w:rtl/>
        </w:rPr>
      </w:pPr>
      <w:r>
        <w:rPr>
          <w:rFonts w:hint="cs"/>
          <w:b/>
          <w:bCs/>
          <w:rtl/>
        </w:rPr>
        <w:t>وكذا</w:t>
      </w:r>
      <w:r>
        <w:rPr>
          <w:rFonts w:hint="cs"/>
          <w:rtl/>
        </w:rPr>
        <w:t xml:space="preserve"> : إذا عيّن المبيع؛ لأن تعيين المبيع يستلزم تعيين البائع</w:t>
      </w:r>
      <w:r>
        <w:rPr>
          <w:rFonts w:hint="cs"/>
          <w:vertAlign w:val="superscript"/>
          <w:rtl/>
        </w:rPr>
        <w:t>(</w:t>
      </w:r>
      <w:r>
        <w:rPr>
          <w:rStyle w:val="a7"/>
          <w:rtl/>
        </w:rPr>
        <w:footnoteReference w:id="4144"/>
      </w:r>
      <w:r>
        <w:rPr>
          <w:rFonts w:hint="cs"/>
          <w:vertAlign w:val="superscript"/>
          <w:rtl/>
        </w:rPr>
        <w:t>)</w:t>
      </w:r>
      <w:r>
        <w:rPr>
          <w:rFonts w:hint="cs"/>
          <w:rtl/>
        </w:rPr>
        <w:t xml:space="preserve">. </w:t>
      </w:r>
    </w:p>
    <w:p w:rsidR="00C10469" w:rsidRDefault="00C10469">
      <w:pPr>
        <w:rPr>
          <w:rtl/>
        </w:rPr>
      </w:pPr>
      <w:r>
        <w:rPr>
          <w:rFonts w:hint="cs"/>
          <w:rtl/>
        </w:rPr>
        <w:t>بخلاف ما إذا أمره بالتصدّق على الفقراء مع عدم تعيين أحد منهم: فإنه يجوز؛ لأنه جعل المال لله تعالى وهو معلوم</w:t>
      </w:r>
      <w:r>
        <w:rPr>
          <w:rFonts w:hint="cs"/>
          <w:vertAlign w:val="superscript"/>
          <w:rtl/>
        </w:rPr>
        <w:t>(</w:t>
      </w:r>
      <w:r>
        <w:rPr>
          <w:rStyle w:val="a7"/>
          <w:rtl/>
        </w:rPr>
        <w:footnoteReference w:id="4145"/>
      </w:r>
      <w:r>
        <w:rPr>
          <w:rFonts w:hint="cs"/>
          <w:vertAlign w:val="superscript"/>
          <w:rtl/>
        </w:rPr>
        <w:t>)</w:t>
      </w:r>
      <w:r>
        <w:rPr>
          <w:rFonts w:hint="cs"/>
          <w:rtl/>
        </w:rPr>
        <w:t>.</w:t>
      </w:r>
    </w:p>
    <w:p w:rsidR="00C10469" w:rsidRDefault="00C10469">
      <w:pPr>
        <w:rPr>
          <w:rtl/>
        </w:rPr>
      </w:pPr>
      <w:r>
        <w:rPr>
          <w:rFonts w:hint="cs"/>
          <w:rtl/>
        </w:rPr>
        <w:t>وبهذا : خرج الجواب لمن قال بخروج هذه المسألة عن هذا الأصل.</w:t>
      </w:r>
    </w:p>
    <w:p w:rsidR="00C10469" w:rsidRDefault="00C10469">
      <w:pPr>
        <w:rPr>
          <w:rtl/>
        </w:rPr>
      </w:pPr>
      <w:r>
        <w:rPr>
          <w:rFonts w:hint="cs"/>
          <w:rtl/>
        </w:rPr>
        <w:t xml:space="preserve">وقال البعض : </w:t>
      </w:r>
      <w:r>
        <w:rPr>
          <w:rFonts w:hint="cs"/>
          <w:b/>
          <w:bCs/>
          <w:rtl/>
        </w:rPr>
        <w:t xml:space="preserve">خرج </w:t>
      </w:r>
      <w:r>
        <w:rPr>
          <w:rFonts w:hint="cs"/>
          <w:rtl/>
        </w:rPr>
        <w:t>عن هذا الأصل: الحوالة</w:t>
      </w:r>
      <w:r>
        <w:rPr>
          <w:rFonts w:hint="cs"/>
          <w:vertAlign w:val="superscript"/>
          <w:rtl/>
        </w:rPr>
        <w:t>(</w:t>
      </w:r>
      <w:r>
        <w:rPr>
          <w:rStyle w:val="a7"/>
          <w:rtl/>
        </w:rPr>
        <w:footnoteReference w:id="4146"/>
      </w:r>
      <w:r>
        <w:rPr>
          <w:rFonts w:hint="cs"/>
          <w:vertAlign w:val="superscript"/>
          <w:rtl/>
        </w:rPr>
        <w:t>)</w:t>
      </w:r>
      <w:r>
        <w:rPr>
          <w:rFonts w:hint="cs"/>
          <w:rtl/>
        </w:rPr>
        <w:t>.</w:t>
      </w:r>
    </w:p>
    <w:p w:rsidR="00C10469" w:rsidRDefault="00C10469">
      <w:pPr>
        <w:rPr>
          <w:rtl/>
        </w:rPr>
      </w:pPr>
      <w:r>
        <w:rPr>
          <w:rFonts w:hint="cs"/>
          <w:b/>
          <w:bCs/>
          <w:rtl/>
        </w:rPr>
        <w:t>والجواب</w:t>
      </w:r>
      <w:r>
        <w:rPr>
          <w:rFonts w:hint="cs"/>
          <w:rtl/>
        </w:rPr>
        <w:t xml:space="preserve">: يفهم عمّا قررنا: ففي الحوالة يصير المحتال وكيلاً للمحيل في القبض </w:t>
      </w:r>
      <w:r>
        <w:rPr>
          <w:rFonts w:hint="cs"/>
          <w:rtl/>
        </w:rPr>
        <w:lastRenderedPageBreak/>
        <w:t>عن المحتال عليه أوّلاً، ثم يتملكه.كذا يفهم من عبارة (الهداية)</w:t>
      </w:r>
      <w:r>
        <w:rPr>
          <w:rFonts w:hint="cs"/>
          <w:vertAlign w:val="superscript"/>
          <w:rtl/>
        </w:rPr>
        <w:t>(</w:t>
      </w:r>
      <w:r>
        <w:rPr>
          <w:rStyle w:val="a7"/>
          <w:rtl/>
        </w:rPr>
        <w:footnoteReference w:id="4147"/>
      </w:r>
      <w:r>
        <w:rPr>
          <w:rFonts w:hint="cs"/>
          <w:vertAlign w:val="superscript"/>
          <w:rtl/>
        </w:rPr>
        <w:t>)</w:t>
      </w:r>
      <w:r>
        <w:rPr>
          <w:rFonts w:hint="cs"/>
          <w:rtl/>
        </w:rPr>
        <w:t>.</w:t>
      </w:r>
    </w:p>
    <w:p w:rsidR="00C10469" w:rsidRDefault="00C10469">
      <w:pPr>
        <w:rPr>
          <w:rtl/>
        </w:rPr>
      </w:pPr>
    </w:p>
    <w:p w:rsidR="00C10469" w:rsidRDefault="00C10469">
      <w:pPr>
        <w:jc w:val="center"/>
        <w:rPr>
          <w:rFonts w:ascii="AGA Arabesque" w:hAnsi="AGA Arabesque"/>
          <w:sz w:val="50"/>
          <w:szCs w:val="50"/>
        </w:rPr>
        <w:sectPr w:rsidR="00C10469" w:rsidSect="00C10469">
          <w:headerReference w:type="default" r:id="rId25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256726" w:rsidRDefault="00C10469">
      <w:pPr>
        <w:pStyle w:val="a9"/>
        <w:rPr>
          <w:rFonts w:cs="AL-Mateen"/>
          <w:rtl/>
        </w:rPr>
      </w:pPr>
      <w:r w:rsidRPr="00256726">
        <w:rPr>
          <w:rFonts w:cs="AL-Mateen" w:hint="cs"/>
          <w:rtl/>
        </w:rPr>
        <w:lastRenderedPageBreak/>
        <w:t>[القاعدة الـمائتان]</w:t>
      </w:r>
    </w:p>
    <w:p w:rsidR="00C10469" w:rsidRDefault="00C10469">
      <w:pPr>
        <w:rPr>
          <w:rtl/>
        </w:rPr>
      </w:pPr>
      <w:r>
        <w:rPr>
          <w:rFonts w:cs="Monotype Koufi" w:hint="cs"/>
          <w:rtl/>
        </w:rPr>
        <w:t>لا عِبْرَةَ بالظَّنِّ البَيّنِ خطؤُهُ</w:t>
      </w:r>
      <w:r>
        <w:rPr>
          <w:rFonts w:hint="cs"/>
          <w:vertAlign w:val="superscript"/>
          <w:rtl/>
        </w:rPr>
        <w:t>(</w:t>
      </w:r>
      <w:r>
        <w:rPr>
          <w:rStyle w:val="a7"/>
          <w:rtl/>
        </w:rPr>
        <w:footnoteReference w:id="4148"/>
      </w:r>
      <w:r>
        <w:rPr>
          <w:rFonts w:hint="cs"/>
          <w:vertAlign w:val="superscript"/>
          <w:rtl/>
        </w:rPr>
        <w:t>)</w:t>
      </w:r>
      <w:r>
        <w:rPr>
          <w:rFonts w:hint="cs"/>
          <w:rtl/>
        </w:rPr>
        <w:t xml:space="preserve">: </w:t>
      </w:r>
    </w:p>
    <w:p w:rsidR="00C10469" w:rsidRDefault="00C10469">
      <w:pPr>
        <w:rPr>
          <w:spacing w:val="-6"/>
          <w:rtl/>
        </w:rPr>
      </w:pPr>
      <w:r>
        <w:rPr>
          <w:rFonts w:hint="cs"/>
          <w:b/>
          <w:bCs/>
          <w:spacing w:val="-6"/>
          <w:rtl/>
        </w:rPr>
        <w:lastRenderedPageBreak/>
        <w:t xml:space="preserve">ولهذا </w:t>
      </w:r>
      <w:r>
        <w:rPr>
          <w:rFonts w:hint="cs"/>
          <w:spacing w:val="-6"/>
          <w:rtl/>
        </w:rPr>
        <w:t xml:space="preserve">: </w:t>
      </w:r>
      <w:r>
        <w:rPr>
          <w:rFonts w:hint="eastAsia"/>
          <w:spacing w:val="-6"/>
          <w:rtl/>
        </w:rPr>
        <w:t>«</w:t>
      </w:r>
      <w:r>
        <w:rPr>
          <w:rFonts w:hint="cs"/>
          <w:spacing w:val="-6"/>
          <w:rtl/>
        </w:rPr>
        <w:t xml:space="preserve"> قالوا : لو ظنّ أنّ وقت الفجر ضاق، ولم</w:t>
      </w:r>
      <w:r>
        <w:rPr>
          <w:rStyle w:val="a7"/>
          <w:spacing w:val="-6"/>
          <w:rtl/>
        </w:rPr>
        <w:t xml:space="preserve"> </w:t>
      </w:r>
      <w:r>
        <w:rPr>
          <w:rStyle w:val="a7"/>
          <w:spacing w:val="-6"/>
          <w:rtl/>
        </w:rPr>
        <w:footnoteReference w:id="4149"/>
      </w:r>
      <w:r>
        <w:rPr>
          <w:rFonts w:hint="cs"/>
          <w:spacing w:val="-6"/>
          <w:rtl/>
        </w:rPr>
        <w:t xml:space="preserve"> يقضِ عشاءً عليه، وصلّى الفجر، ثم تبيّن أنه كان في الوقت سعة : يبطل الفجر</w:t>
      </w:r>
      <w:r>
        <w:rPr>
          <w:rFonts w:hint="cs"/>
          <w:spacing w:val="-6"/>
          <w:vertAlign w:val="superscript"/>
          <w:rtl/>
        </w:rPr>
        <w:t>(</w:t>
      </w:r>
      <w:r>
        <w:rPr>
          <w:rStyle w:val="a7"/>
          <w:spacing w:val="-6"/>
          <w:rtl/>
        </w:rPr>
        <w:footnoteReference w:id="4150"/>
      </w:r>
      <w:r>
        <w:rPr>
          <w:rFonts w:hint="cs"/>
          <w:spacing w:val="-6"/>
          <w:vertAlign w:val="superscript"/>
          <w:rtl/>
        </w:rPr>
        <w:t>)</w:t>
      </w:r>
      <w:r>
        <w:rPr>
          <w:rFonts w:hint="cs"/>
          <w:spacing w:val="-6"/>
          <w:rtl/>
        </w:rPr>
        <w:t>. فإذا بطل يُنظرُ: فإن كان في</w:t>
      </w:r>
      <w:r>
        <w:rPr>
          <w:rStyle w:val="a7"/>
          <w:spacing w:val="-6"/>
          <w:rtl/>
        </w:rPr>
        <w:footnoteReference w:id="4151"/>
      </w:r>
      <w:r>
        <w:rPr>
          <w:rFonts w:hint="cs"/>
          <w:spacing w:val="-6"/>
          <w:rtl/>
        </w:rPr>
        <w:t xml:space="preserve"> الوقت سعة : يصلّي</w:t>
      </w:r>
      <w:r>
        <w:rPr>
          <w:rStyle w:val="a7"/>
          <w:spacing w:val="-6"/>
          <w:rtl/>
        </w:rPr>
        <w:footnoteReference w:id="4152"/>
      </w:r>
      <w:r>
        <w:rPr>
          <w:rFonts w:hint="cs"/>
          <w:spacing w:val="-6"/>
          <w:rtl/>
        </w:rPr>
        <w:t xml:space="preserve"> العشاء ثم يعيد الفجر، [فإن لم يكن فيه سعة : يعيد الفجر]</w:t>
      </w:r>
      <w:r>
        <w:rPr>
          <w:rStyle w:val="a7"/>
          <w:spacing w:val="-6"/>
          <w:rtl/>
        </w:rPr>
        <w:footnoteReference w:id="4153"/>
      </w:r>
      <w:r>
        <w:rPr>
          <w:rFonts w:hint="cs"/>
          <w:spacing w:val="-6"/>
          <w:rtl/>
        </w:rPr>
        <w:t xml:space="preserve"> فقط</w:t>
      </w:r>
      <w:r>
        <w:rPr>
          <w:spacing w:val="-6"/>
          <w:rtl/>
        </w:rPr>
        <w:t>»</w:t>
      </w:r>
      <w:r>
        <w:rPr>
          <w:rFonts w:hint="cs"/>
          <w:spacing w:val="-6"/>
          <w:vertAlign w:val="superscript"/>
          <w:rtl/>
        </w:rPr>
        <w:t>(</w:t>
      </w:r>
      <w:r>
        <w:rPr>
          <w:rStyle w:val="a7"/>
          <w:spacing w:val="-6"/>
          <w:rtl/>
        </w:rPr>
        <w:footnoteReference w:id="4154"/>
      </w:r>
      <w:r>
        <w:rPr>
          <w:rFonts w:hint="cs"/>
          <w:spacing w:val="-6"/>
          <w:vertAlign w:val="superscript"/>
          <w:rtl/>
        </w:rPr>
        <w:t>)</w:t>
      </w:r>
      <w:r>
        <w:rPr>
          <w:rFonts w:hint="cs"/>
          <w:spacing w:val="-6"/>
          <w:rtl/>
        </w:rPr>
        <w:t>.</w:t>
      </w:r>
    </w:p>
    <w:p w:rsidR="00C10469" w:rsidRDefault="00C10469">
      <w:pPr>
        <w:rPr>
          <w:rtl/>
        </w:rPr>
      </w:pPr>
      <w:r>
        <w:rPr>
          <w:rFonts w:hint="cs"/>
          <w:rtl/>
        </w:rPr>
        <w:t>وفروع</w:t>
      </w:r>
      <w:r>
        <w:rPr>
          <w:rStyle w:val="a7"/>
          <w:rtl/>
        </w:rPr>
        <w:footnoteReference w:id="4155"/>
      </w:r>
      <w:r>
        <w:rPr>
          <w:rFonts w:hint="cs"/>
          <w:rtl/>
        </w:rPr>
        <w:t xml:space="preserve"> هذا الأصل كثيرة.</w:t>
      </w:r>
    </w:p>
    <w:p w:rsidR="00C10469" w:rsidRDefault="00C10469">
      <w:pPr>
        <w:rPr>
          <w:rtl/>
        </w:rPr>
      </w:pPr>
      <w:r>
        <w:rPr>
          <w:rFonts w:hint="cs"/>
          <w:rtl/>
        </w:rPr>
        <w:t>واعلم أنّ الظن متى لاقى فصلاً مجتهدًا فيه، أو شبهة حكميّة : وقع معتبرًا</w:t>
      </w:r>
      <w:r>
        <w:rPr>
          <w:rStyle w:val="a7"/>
          <w:rtl/>
        </w:rPr>
        <w:footnoteReference w:id="4156"/>
      </w:r>
      <w:r>
        <w:rPr>
          <w:rFonts w:hint="cs"/>
          <w:vertAlign w:val="superscript"/>
          <w:rtl/>
        </w:rPr>
        <w:t>(</w:t>
      </w:r>
      <w:r>
        <w:rPr>
          <w:rStyle w:val="a7"/>
          <w:rtl/>
        </w:rPr>
        <w:footnoteReference w:id="4157"/>
      </w:r>
      <w:r>
        <w:rPr>
          <w:rFonts w:hint="cs"/>
          <w:vertAlign w:val="superscript"/>
          <w:rtl/>
        </w:rPr>
        <w:t>)</w:t>
      </w:r>
      <w:r>
        <w:rPr>
          <w:rFonts w:hint="cs"/>
          <w:rtl/>
        </w:rPr>
        <w:t xml:space="preserve"> وإن كان خطأً؛ ولهذا </w:t>
      </w:r>
      <w:r>
        <w:rPr>
          <w:rFonts w:hint="eastAsia"/>
          <w:rtl/>
        </w:rPr>
        <w:t>«</w:t>
      </w:r>
      <w:r>
        <w:rPr>
          <w:rFonts w:hint="cs"/>
          <w:rtl/>
        </w:rPr>
        <w:t>روي عن محمد -رحمه الله- فيمن ترك صلاة يومٍ وليلة، وجعل يقضي</w:t>
      </w:r>
      <w:r>
        <w:rPr>
          <w:rStyle w:val="a7"/>
          <w:rtl/>
        </w:rPr>
        <w:footnoteReference w:id="4158"/>
      </w:r>
      <w:r>
        <w:rPr>
          <w:rFonts w:hint="cs"/>
          <w:rtl/>
        </w:rPr>
        <w:t xml:space="preserve"> من الغد قبل كلِّ وقتيّةٍ فائِتةً : فالـوقـتـياتُ فـاسـدةٌ إلاّ الـعشاء الأخيرة؛ لأنه لا فائتة عليه في ظنه حال أدائه، وفي وجوب الترتيب خلاف  </w:t>
      </w:r>
      <w:r>
        <w:rPr>
          <w:rFonts w:hint="cs"/>
          <w:rtl/>
        </w:rPr>
        <w:lastRenderedPageBreak/>
        <w:t>الشافعي</w:t>
      </w:r>
      <w:r>
        <w:rPr>
          <w:rFonts w:hint="cs"/>
          <w:vertAlign w:val="superscript"/>
          <w:rtl/>
        </w:rPr>
        <w:t>(</w:t>
      </w:r>
      <w:r>
        <w:rPr>
          <w:rStyle w:val="a7"/>
          <w:rtl/>
        </w:rPr>
        <w:footnoteReference w:id="4159"/>
      </w:r>
      <w:r>
        <w:rPr>
          <w:rFonts w:hint="cs"/>
          <w:vertAlign w:val="superscript"/>
          <w:rtl/>
        </w:rPr>
        <w:t>)</w:t>
      </w:r>
      <w:r>
        <w:rPr>
          <w:rFonts w:hint="cs"/>
          <w:rtl/>
        </w:rPr>
        <w:t xml:space="preserve">، </w:t>
      </w:r>
    </w:p>
    <w:p w:rsidR="00C10469" w:rsidRDefault="00C10469">
      <w:pPr>
        <w:ind w:firstLine="0"/>
        <w:rPr>
          <w:rtl/>
        </w:rPr>
      </w:pPr>
      <w:r>
        <w:rPr>
          <w:rFonts w:hint="cs"/>
          <w:rtl/>
        </w:rPr>
        <w:t>فكان ظنه موافقًا</w:t>
      </w:r>
      <w:r>
        <w:rPr>
          <w:rStyle w:val="a7"/>
          <w:rtl/>
        </w:rPr>
        <w:footnoteReference w:id="4160"/>
      </w:r>
      <w:r>
        <w:rPr>
          <w:rFonts w:hint="cs"/>
          <w:rtl/>
        </w:rPr>
        <w:t xml:space="preserve"> لرأيه</w:t>
      </w:r>
      <w:r>
        <w:rPr>
          <w:rtl/>
        </w:rPr>
        <w:t>»</w:t>
      </w:r>
      <w:r>
        <w:rPr>
          <w:rFonts w:hint="cs"/>
          <w:vertAlign w:val="superscript"/>
          <w:rtl/>
        </w:rPr>
        <w:t>(</w:t>
      </w:r>
      <w:r>
        <w:rPr>
          <w:rStyle w:val="a7"/>
          <w:rtl/>
        </w:rPr>
        <w:footnoteReference w:id="4161"/>
      </w:r>
      <w:r>
        <w:rPr>
          <w:rFonts w:hint="cs"/>
          <w:vertAlign w:val="superscript"/>
          <w:rtl/>
        </w:rPr>
        <w:t>)</w:t>
      </w:r>
      <w:r>
        <w:rPr>
          <w:rFonts w:hint="cs"/>
          <w:rtl/>
        </w:rPr>
        <w:t>.</w:t>
      </w:r>
    </w:p>
    <w:p w:rsidR="00C10469" w:rsidRDefault="00C10469">
      <w:pPr>
        <w:rPr>
          <w:spacing w:val="-4"/>
          <w:rtl/>
        </w:rPr>
      </w:pPr>
      <w:r>
        <w:rPr>
          <w:rFonts w:hint="eastAsia"/>
          <w:spacing w:val="-4"/>
          <w:rtl/>
        </w:rPr>
        <w:t>«</w:t>
      </w:r>
      <w:r>
        <w:rPr>
          <w:rFonts w:hint="cs"/>
          <w:b/>
          <w:bCs/>
          <w:spacing w:val="-4"/>
          <w:rtl/>
        </w:rPr>
        <w:t xml:space="preserve">ونُوقض </w:t>
      </w:r>
      <w:r>
        <w:rPr>
          <w:rFonts w:hint="cs"/>
          <w:spacing w:val="-4"/>
          <w:rtl/>
        </w:rPr>
        <w:t>: بما إذا صلّى الظهر على غير وضوء ناسيًا، ثم صلّى العصر على وضوء ذاكرًا</w:t>
      </w:r>
      <w:r>
        <w:rPr>
          <w:rStyle w:val="a7"/>
          <w:spacing w:val="-4"/>
          <w:rtl/>
        </w:rPr>
        <w:footnoteReference w:id="4162"/>
      </w:r>
      <w:r>
        <w:rPr>
          <w:rFonts w:hint="cs"/>
          <w:spacing w:val="-4"/>
          <w:rtl/>
        </w:rPr>
        <w:t xml:space="preserve"> للظّهر، وهو يظن أنه يجزئه : فعليه أن يعيدهما جميعًا. وعلى ما</w:t>
      </w:r>
      <w:r>
        <w:rPr>
          <w:rStyle w:val="a7"/>
          <w:spacing w:val="-4"/>
          <w:rtl/>
        </w:rPr>
        <w:footnoteReference w:id="4163"/>
      </w:r>
      <w:r>
        <w:rPr>
          <w:rFonts w:hint="cs"/>
          <w:spacing w:val="-4"/>
          <w:rtl/>
        </w:rPr>
        <w:t xml:space="preserve"> ذكر ههنا -أنه لا فائتة عليه في ظنه حال أدائها -: كان ينبغي أن لا يجب عليه قضاء العصر ثانيًا؛ لما</w:t>
      </w:r>
      <w:r>
        <w:rPr>
          <w:rStyle w:val="a7"/>
          <w:spacing w:val="-4"/>
          <w:rtl/>
        </w:rPr>
        <w:footnoteReference w:id="4164"/>
      </w:r>
      <w:r>
        <w:rPr>
          <w:rFonts w:hint="cs"/>
          <w:spacing w:val="-4"/>
          <w:rtl/>
        </w:rPr>
        <w:t xml:space="preserve"> أنّه</w:t>
      </w:r>
      <w:r>
        <w:rPr>
          <w:rStyle w:val="a7"/>
          <w:spacing w:val="-4"/>
          <w:rtl/>
        </w:rPr>
        <w:footnoteReference w:id="4165"/>
      </w:r>
      <w:r>
        <w:rPr>
          <w:rFonts w:hint="cs"/>
          <w:spacing w:val="-4"/>
          <w:rtl/>
        </w:rPr>
        <w:t xml:space="preserve"> [لما]</w:t>
      </w:r>
      <w:r>
        <w:rPr>
          <w:rStyle w:val="a7"/>
          <w:spacing w:val="-4"/>
          <w:rtl/>
        </w:rPr>
        <w:footnoteReference w:id="4166"/>
      </w:r>
      <w:r>
        <w:rPr>
          <w:rFonts w:hint="cs"/>
          <w:spacing w:val="-4"/>
          <w:rtl/>
        </w:rPr>
        <w:t xml:space="preserve"> قضى الظهر وقع</w:t>
      </w:r>
      <w:r>
        <w:rPr>
          <w:rStyle w:val="a7"/>
          <w:spacing w:val="-4"/>
          <w:rtl/>
        </w:rPr>
        <w:footnoteReference w:id="4167"/>
      </w:r>
      <w:r>
        <w:rPr>
          <w:rFonts w:hint="cs"/>
          <w:spacing w:val="-4"/>
          <w:rtl/>
        </w:rPr>
        <w:t xml:space="preserve"> في ظنّه أنه قضى جميعهما، ولم يبق عليه شيء من الفائتَةِ، والترتيب غير واجب على مذهب الشافعي، فكان ظنّه أيضًا موافقًا لمذهبه كما ذكرتم</w:t>
      </w:r>
      <w:r>
        <w:rPr>
          <w:rStyle w:val="a7"/>
          <w:spacing w:val="-4"/>
          <w:rtl/>
        </w:rPr>
        <w:footnoteReference w:id="4168"/>
      </w:r>
      <w:r>
        <w:rPr>
          <w:rFonts w:hint="cs"/>
          <w:spacing w:val="-4"/>
          <w:rtl/>
        </w:rPr>
        <w:t>!!.</w:t>
      </w:r>
    </w:p>
    <w:p w:rsidR="00C10469" w:rsidRDefault="00C10469">
      <w:pPr>
        <w:rPr>
          <w:rtl/>
        </w:rPr>
      </w:pPr>
      <w:r>
        <w:rPr>
          <w:rFonts w:hint="cs"/>
          <w:b/>
          <w:bCs/>
          <w:rtl/>
        </w:rPr>
        <w:lastRenderedPageBreak/>
        <w:t>وأجيب</w:t>
      </w:r>
      <w:r>
        <w:rPr>
          <w:rStyle w:val="a7"/>
          <w:b/>
          <w:rtl/>
        </w:rPr>
        <w:footnoteReference w:id="4169"/>
      </w:r>
      <w:r>
        <w:rPr>
          <w:rFonts w:hint="cs"/>
          <w:rtl/>
        </w:rPr>
        <w:t>: بأن فساد الصلاة بترك الطهارة فسادٌ قوى مجمعٌ عليه، فظهر أثره فيما يؤدي بعده. وأما فسادها بسبب ترك الترتيب فضعيف</w:t>
      </w:r>
      <w:r>
        <w:rPr>
          <w:rStyle w:val="a7"/>
          <w:rtl/>
        </w:rPr>
        <w:footnoteReference w:id="4170"/>
      </w:r>
      <w:r>
        <w:rPr>
          <w:rFonts w:hint="cs"/>
          <w:rtl/>
        </w:rPr>
        <w:t xml:space="preserve"> مختلف فيه، فلا يتعدى حكمه إلى صلاة أخرى</w:t>
      </w:r>
      <w:r>
        <w:rPr>
          <w:rtl/>
        </w:rPr>
        <w:t>»</w:t>
      </w:r>
      <w:r>
        <w:rPr>
          <w:rFonts w:hint="cs"/>
          <w:rtl/>
        </w:rPr>
        <w:t>. كذا في (العناية)</w:t>
      </w:r>
      <w:r>
        <w:rPr>
          <w:rFonts w:hint="cs"/>
          <w:vertAlign w:val="superscript"/>
          <w:rtl/>
        </w:rPr>
        <w:t>(</w:t>
      </w:r>
      <w:r>
        <w:rPr>
          <w:rStyle w:val="a7"/>
          <w:rtl/>
        </w:rPr>
        <w:footnoteReference w:id="4171"/>
      </w:r>
      <w:r>
        <w:rPr>
          <w:rFonts w:hint="cs"/>
          <w:vertAlign w:val="superscript"/>
          <w:rtl/>
        </w:rPr>
        <w:t>)</w:t>
      </w:r>
      <w:r>
        <w:rPr>
          <w:rFonts w:hint="cs"/>
          <w:rtl/>
        </w:rPr>
        <w:t xml:space="preserve"> .</w:t>
      </w:r>
    </w:p>
    <w:p w:rsidR="00C10469" w:rsidRDefault="00C10469">
      <w:pPr>
        <w:rPr>
          <w:rtl/>
        </w:rPr>
      </w:pPr>
      <w:r>
        <w:rPr>
          <w:rFonts w:hint="cs"/>
          <w:b/>
          <w:bCs/>
          <w:rtl/>
        </w:rPr>
        <w:t>وخرج</w:t>
      </w:r>
      <w:r>
        <w:rPr>
          <w:rFonts w:hint="cs"/>
          <w:rtl/>
        </w:rPr>
        <w:t xml:space="preserve"> عن الأصل الذي ذكرنا في صدد الكلام مسائل: </w:t>
      </w:r>
    </w:p>
    <w:p w:rsidR="00C10469" w:rsidRDefault="00C10469" w:rsidP="00C10469">
      <w:pPr>
        <w:ind w:left="848" w:hanging="281"/>
        <w:rPr>
          <w:rtl/>
        </w:rPr>
      </w:pPr>
      <w:r>
        <w:rPr>
          <w:b/>
          <w:bCs/>
          <w:rtl/>
        </w:rPr>
        <w:t>•</w:t>
      </w:r>
      <w:r>
        <w:rPr>
          <w:rFonts w:hint="cs"/>
          <w:b/>
          <w:bCs/>
          <w:rtl/>
        </w:rPr>
        <w:t xml:space="preserve">  منها </w:t>
      </w:r>
      <w:r>
        <w:rPr>
          <w:rFonts w:hint="cs"/>
          <w:rtl/>
        </w:rPr>
        <w:t>: لو ظنه</w:t>
      </w:r>
      <w:r>
        <w:rPr>
          <w:rStyle w:val="a7"/>
          <w:rtl/>
        </w:rPr>
        <w:footnoteReference w:id="4172"/>
      </w:r>
      <w:r>
        <w:rPr>
          <w:rFonts w:hint="cs"/>
          <w:rtl/>
        </w:rPr>
        <w:t xml:space="preserve"> مصرفًا للزكاة، فدفع</w:t>
      </w:r>
      <w:r>
        <w:rPr>
          <w:rFonts w:hint="cs"/>
          <w:vertAlign w:val="superscript"/>
          <w:rtl/>
        </w:rPr>
        <w:t>(</w:t>
      </w:r>
      <w:r>
        <w:rPr>
          <w:rStyle w:val="a7"/>
          <w:rtl/>
        </w:rPr>
        <w:footnoteReference w:id="4173"/>
      </w:r>
      <w:r>
        <w:rPr>
          <w:rFonts w:hint="cs"/>
          <w:vertAlign w:val="superscript"/>
          <w:rtl/>
        </w:rPr>
        <w:t>)</w:t>
      </w:r>
      <w:r>
        <w:rPr>
          <w:rFonts w:hint="cs"/>
          <w:rtl/>
        </w:rPr>
        <w:t>، ثم تبيّن أنه ولده، أو ذمّي : أجزأه عند أبي حنيفة ومحمد -رحمهما الله-</w:t>
      </w:r>
      <w:r>
        <w:rPr>
          <w:rFonts w:hint="cs"/>
          <w:vertAlign w:val="superscript"/>
          <w:rtl/>
        </w:rPr>
        <w:t>(</w:t>
      </w:r>
      <w:r>
        <w:rPr>
          <w:rStyle w:val="a7"/>
          <w:rtl/>
        </w:rPr>
        <w:footnoteReference w:id="4174"/>
      </w:r>
      <w:r>
        <w:rPr>
          <w:rFonts w:hint="cs"/>
          <w:vertAlign w:val="superscript"/>
          <w:rtl/>
        </w:rPr>
        <w:t>)</w:t>
      </w:r>
      <w:r>
        <w:rPr>
          <w:rFonts w:hint="cs"/>
          <w:rtl/>
        </w:rPr>
        <w:t>!.</w:t>
      </w:r>
    </w:p>
    <w:p w:rsidR="00C10469" w:rsidRDefault="00C10469" w:rsidP="00C10469">
      <w:pPr>
        <w:ind w:left="851" w:hanging="284"/>
        <w:rPr>
          <w:spacing w:val="-8"/>
          <w:rtl/>
        </w:rPr>
      </w:pPr>
      <w:r>
        <w:rPr>
          <w:rFonts w:hint="cs"/>
          <w:b/>
          <w:bCs/>
          <w:spacing w:val="-8"/>
          <w:sz w:val="34"/>
          <w:szCs w:val="34"/>
          <w:rtl/>
        </w:rPr>
        <w:t xml:space="preserve">    والجواب</w:t>
      </w:r>
      <w:r>
        <w:rPr>
          <w:rFonts w:hint="cs"/>
          <w:spacing w:val="-8"/>
          <w:sz w:val="34"/>
          <w:szCs w:val="34"/>
          <w:rtl/>
        </w:rPr>
        <w:t>: أن فيه شبهة في المحلّ بقيام</w:t>
      </w:r>
      <w:r>
        <w:rPr>
          <w:rStyle w:val="a7"/>
          <w:spacing w:val="-8"/>
          <w:rtl/>
        </w:rPr>
        <w:footnoteReference w:id="4175"/>
      </w:r>
      <w:r>
        <w:rPr>
          <w:rFonts w:hint="cs"/>
          <w:spacing w:val="-8"/>
          <w:rtl/>
        </w:rPr>
        <w:t xml:space="preserve"> </w:t>
      </w:r>
      <w:r>
        <w:rPr>
          <w:rFonts w:hint="cs"/>
          <w:spacing w:val="-8"/>
          <w:sz w:val="34"/>
          <w:szCs w:val="34"/>
          <w:rtl/>
        </w:rPr>
        <w:t>دليل نافٍ</w:t>
      </w:r>
      <w:r>
        <w:rPr>
          <w:rStyle w:val="a7"/>
          <w:spacing w:val="-8"/>
          <w:rtl/>
        </w:rPr>
        <w:footnoteReference w:id="4176"/>
      </w:r>
      <w:r>
        <w:rPr>
          <w:rFonts w:hint="cs"/>
          <w:spacing w:val="-8"/>
          <w:rtl/>
        </w:rPr>
        <w:t xml:space="preserve"> </w:t>
      </w:r>
      <w:r>
        <w:rPr>
          <w:rFonts w:hint="cs"/>
          <w:spacing w:val="-8"/>
          <w:sz w:val="34"/>
          <w:szCs w:val="34"/>
          <w:rtl/>
        </w:rPr>
        <w:t>للحرمة ذاتًا، أي: إذا نظرنا إلى الدليل - مع قطع النظر عن المانع - يكون منافيًا لعدم كونه مصرفًا. والدليل في الولد</w:t>
      </w:r>
      <w:r>
        <w:rPr>
          <w:rFonts w:hint="cs"/>
          <w:spacing w:val="-8"/>
          <w:rtl/>
        </w:rPr>
        <w:t xml:space="preserve"> : حديث معن بن يزيد</w:t>
      </w:r>
      <w:r>
        <w:rPr>
          <w:rFonts w:hint="cs"/>
          <w:spacing w:val="-8"/>
          <w:vertAlign w:val="superscript"/>
          <w:rtl/>
        </w:rPr>
        <w:t>(</w:t>
      </w:r>
      <w:r>
        <w:rPr>
          <w:rStyle w:val="a7"/>
          <w:spacing w:val="-8"/>
          <w:rtl/>
        </w:rPr>
        <w:footnoteReference w:id="4177"/>
      </w:r>
      <w:r>
        <w:rPr>
          <w:rFonts w:hint="cs"/>
          <w:spacing w:val="-8"/>
          <w:vertAlign w:val="superscript"/>
          <w:rtl/>
        </w:rPr>
        <w:t>)</w:t>
      </w:r>
      <w:r>
        <w:rPr>
          <w:rFonts w:hint="cs"/>
          <w:spacing w:val="-8"/>
          <w:rtl/>
        </w:rPr>
        <w:t xml:space="preserve">، فإنه </w:t>
      </w:r>
      <w:r>
        <w:rPr>
          <w:rFonts w:ascii="AGA Arabesque" w:hAnsi="AGA Arabesque"/>
          <w:spacing w:val="-8"/>
          <w:sz w:val="36"/>
        </w:rPr>
        <w:t></w:t>
      </w:r>
      <w:r>
        <w:rPr>
          <w:rFonts w:hint="cs"/>
          <w:spacing w:val="-8"/>
          <w:rtl/>
        </w:rPr>
        <w:t xml:space="preserve"> قال : </w:t>
      </w:r>
      <w:r>
        <w:rPr>
          <w:rFonts w:hint="eastAsia"/>
          <w:spacing w:val="-8"/>
          <w:rtl/>
        </w:rPr>
        <w:t>«</w:t>
      </w:r>
      <w:r>
        <w:rPr>
          <w:rFonts w:cs="DecoType Naskh" w:hint="cs"/>
          <w:spacing w:val="-8"/>
          <w:rtl/>
        </w:rPr>
        <w:t xml:space="preserve"> </w:t>
      </w:r>
      <w:r>
        <w:rPr>
          <w:rFonts w:cs="DecoType Naskh" w:hint="cs"/>
          <w:spacing w:val="-8"/>
          <w:sz w:val="36"/>
          <w:rtl/>
        </w:rPr>
        <w:t xml:space="preserve">يا يزيدُ، لكَ ما نويتَ، ويا مَعْنُ، لكَ ما أخذْتَ </w:t>
      </w:r>
      <w:r>
        <w:rPr>
          <w:spacing w:val="-8"/>
          <w:rtl/>
        </w:rPr>
        <w:lastRenderedPageBreak/>
        <w:t>»</w:t>
      </w:r>
      <w:r>
        <w:rPr>
          <w:rFonts w:hint="cs"/>
          <w:spacing w:val="-8"/>
          <w:vertAlign w:val="superscript"/>
          <w:rtl/>
        </w:rPr>
        <w:t>(</w:t>
      </w:r>
      <w:r>
        <w:rPr>
          <w:rStyle w:val="a7"/>
          <w:spacing w:val="-8"/>
          <w:rtl/>
        </w:rPr>
        <w:footnoteReference w:id="4178"/>
      </w:r>
      <w:r>
        <w:rPr>
          <w:rFonts w:hint="cs"/>
          <w:spacing w:val="-8"/>
          <w:vertAlign w:val="superscript"/>
          <w:rtl/>
        </w:rPr>
        <w:t>)</w:t>
      </w:r>
      <w:r>
        <w:rPr>
          <w:rFonts w:hint="cs"/>
          <w:spacing w:val="-8"/>
          <w:rtl/>
        </w:rPr>
        <w:t>.</w:t>
      </w:r>
    </w:p>
    <w:p w:rsidR="00C10469" w:rsidRDefault="00C10469" w:rsidP="00C10469">
      <w:pPr>
        <w:spacing w:line="221" w:lineRule="auto"/>
        <w:rPr>
          <w:rtl/>
        </w:rPr>
      </w:pPr>
      <w:r>
        <w:rPr>
          <w:rFonts w:hint="cs"/>
          <w:rtl/>
        </w:rPr>
        <w:t>(وقد دفع إليه وكيلُ أبيه صدقة).</w:t>
      </w:r>
    </w:p>
    <w:p w:rsidR="00C10469" w:rsidRDefault="00C10469" w:rsidP="00C10469">
      <w:pPr>
        <w:spacing w:line="221" w:lineRule="auto"/>
        <w:rPr>
          <w:rtl/>
        </w:rPr>
      </w:pPr>
      <w:r>
        <w:rPr>
          <w:rFonts w:hint="cs"/>
          <w:rtl/>
        </w:rPr>
        <w:t xml:space="preserve">وفي الذمّى قوله </w:t>
      </w:r>
      <w:r>
        <w:rPr>
          <w:rFonts w:ascii="AGA Arabesque" w:hAnsi="AGA Arabesque"/>
          <w:sz w:val="36"/>
        </w:rPr>
        <w:t></w:t>
      </w:r>
      <w:r>
        <w:rPr>
          <w:rFonts w:hint="cs"/>
          <w:rtl/>
        </w:rPr>
        <w:t xml:space="preserve"> : </w:t>
      </w:r>
      <w:r>
        <w:rPr>
          <w:rFonts w:hint="eastAsia"/>
          <w:rtl/>
        </w:rPr>
        <w:t>«</w:t>
      </w:r>
      <w:r>
        <w:rPr>
          <w:rFonts w:hint="cs"/>
          <w:rtl/>
        </w:rPr>
        <w:t xml:space="preserve"> </w:t>
      </w:r>
      <w:r>
        <w:rPr>
          <w:rFonts w:cs="DecoType Naskh Variants" w:hint="cs"/>
          <w:sz w:val="36"/>
          <w:rtl/>
        </w:rPr>
        <w:t>تَصدَّقُوا على أهلِ الأديانِ كُلِّـــهَــا</w:t>
      </w:r>
      <w:r>
        <w:rPr>
          <w:rFonts w:cs="DecoType Naskh Variants" w:hint="cs"/>
          <w:b/>
          <w:bCs/>
          <w:rtl/>
        </w:rPr>
        <w:t xml:space="preserve"> </w:t>
      </w:r>
      <w:r>
        <w:rPr>
          <w:rFonts w:hint="eastAsia"/>
          <w:rtl/>
        </w:rPr>
        <w:t>»</w:t>
      </w:r>
      <w:r>
        <w:rPr>
          <w:rFonts w:hint="cs"/>
          <w:vertAlign w:val="superscript"/>
          <w:rtl/>
        </w:rPr>
        <w:t>(</w:t>
      </w:r>
      <w:r>
        <w:rPr>
          <w:rStyle w:val="a7"/>
          <w:rtl/>
        </w:rPr>
        <w:footnoteReference w:id="4179"/>
      </w:r>
      <w:r>
        <w:rPr>
          <w:rFonts w:hint="cs"/>
          <w:vertAlign w:val="superscript"/>
          <w:rtl/>
        </w:rPr>
        <w:t>)</w:t>
      </w:r>
      <w:r>
        <w:rPr>
          <w:rFonts w:hint="cs"/>
          <w:rtl/>
        </w:rPr>
        <w:t>.</w:t>
      </w:r>
    </w:p>
    <w:p w:rsidR="00C10469" w:rsidRDefault="00C10469" w:rsidP="00C10469">
      <w:pPr>
        <w:spacing w:line="221" w:lineRule="auto"/>
        <w:ind w:left="989" w:hanging="283"/>
        <w:rPr>
          <w:rtl/>
        </w:rPr>
      </w:pPr>
      <w:r>
        <w:rPr>
          <w:b/>
          <w:bCs/>
          <w:rtl/>
        </w:rPr>
        <w:t>•</w:t>
      </w:r>
      <w:r>
        <w:rPr>
          <w:rFonts w:hint="cs"/>
          <w:b/>
          <w:bCs/>
          <w:rtl/>
        </w:rPr>
        <w:t xml:space="preserve">  ومنها</w:t>
      </w:r>
      <w:r>
        <w:rPr>
          <w:rFonts w:hint="cs"/>
          <w:rtl/>
        </w:rPr>
        <w:t xml:space="preserve"> : لو ظنّه مصرفًا، فدفع، ثم تبيّن أنه غنيٌّ أو هاشميٌّ: فلا إعادة</w:t>
      </w:r>
      <w:r>
        <w:rPr>
          <w:rStyle w:val="a7"/>
          <w:rtl/>
        </w:rPr>
        <w:footnoteReference w:id="4180"/>
      </w:r>
      <w:r>
        <w:rPr>
          <w:rFonts w:hint="cs"/>
          <w:rtl/>
        </w:rPr>
        <w:t xml:space="preserve"> </w:t>
      </w:r>
      <w:r>
        <w:rPr>
          <w:rFonts w:hint="cs"/>
          <w:rtl/>
        </w:rPr>
        <w:lastRenderedPageBreak/>
        <w:t>عليه</w:t>
      </w:r>
      <w:r>
        <w:rPr>
          <w:rStyle w:val="a7"/>
          <w:rtl/>
        </w:rPr>
        <w:footnoteReference w:id="4181"/>
      </w:r>
      <w:r>
        <w:rPr>
          <w:rFonts w:hint="cs"/>
          <w:rtl/>
        </w:rPr>
        <w:t xml:space="preserve"> عندهما</w:t>
      </w:r>
      <w:r>
        <w:rPr>
          <w:rFonts w:hint="cs"/>
          <w:vertAlign w:val="superscript"/>
          <w:rtl/>
        </w:rPr>
        <w:t>(</w:t>
      </w:r>
      <w:r>
        <w:rPr>
          <w:rStyle w:val="a7"/>
          <w:rtl/>
        </w:rPr>
        <w:footnoteReference w:id="4182"/>
      </w:r>
      <w:r>
        <w:rPr>
          <w:rFonts w:hint="cs"/>
          <w:vertAlign w:val="superscript"/>
          <w:rtl/>
        </w:rPr>
        <w:t>)</w:t>
      </w:r>
      <w:r>
        <w:rPr>
          <w:rFonts w:hint="cs"/>
          <w:rtl/>
        </w:rPr>
        <w:t xml:space="preserve"> أيضًا</w:t>
      </w:r>
      <w:r>
        <w:rPr>
          <w:rFonts w:hint="cs"/>
          <w:vertAlign w:val="superscript"/>
          <w:rtl/>
        </w:rPr>
        <w:t>(</w:t>
      </w:r>
      <w:r>
        <w:rPr>
          <w:rStyle w:val="a7"/>
          <w:rtl/>
        </w:rPr>
        <w:footnoteReference w:id="4183"/>
      </w:r>
      <w:r>
        <w:rPr>
          <w:rFonts w:hint="cs"/>
          <w:vertAlign w:val="superscript"/>
          <w:rtl/>
        </w:rPr>
        <w:t>)</w:t>
      </w:r>
      <w:r>
        <w:rPr>
          <w:rFonts w:hint="cs"/>
          <w:rtl/>
        </w:rPr>
        <w:t>.</w:t>
      </w:r>
    </w:p>
    <w:p w:rsidR="00C10469" w:rsidRDefault="00C10469" w:rsidP="00C10469">
      <w:pPr>
        <w:ind w:left="989" w:hanging="283"/>
        <w:rPr>
          <w:rtl/>
        </w:rPr>
      </w:pPr>
      <w:r>
        <w:rPr>
          <w:rFonts w:hint="cs"/>
          <w:b/>
          <w:bCs/>
          <w:rtl/>
        </w:rPr>
        <w:t xml:space="preserve">    والجواب</w:t>
      </w:r>
      <w:r>
        <w:rPr>
          <w:rFonts w:hint="cs"/>
          <w:rtl/>
        </w:rPr>
        <w:t xml:space="preserve"> : </w:t>
      </w:r>
      <w:r>
        <w:rPr>
          <w:rFonts w:hint="eastAsia"/>
          <w:rtl/>
        </w:rPr>
        <w:t>«</w:t>
      </w:r>
      <w:r>
        <w:rPr>
          <w:rFonts w:hint="cs"/>
          <w:rtl/>
        </w:rPr>
        <w:t>أن الوقوف على هذه الأشياء بالاجتهاد دون القطع، فيُبنى</w:t>
      </w:r>
      <w:r>
        <w:rPr>
          <w:rStyle w:val="a7"/>
          <w:rtl/>
        </w:rPr>
        <w:footnoteReference w:id="4184"/>
      </w:r>
      <w:r>
        <w:rPr>
          <w:rFonts w:hint="cs"/>
          <w:rtl/>
        </w:rPr>
        <w:t xml:space="preserve"> الأمر فيها على ما يقع</w:t>
      </w:r>
      <w:r>
        <w:rPr>
          <w:rStyle w:val="a7"/>
          <w:rtl/>
        </w:rPr>
        <w:footnoteReference w:id="4185"/>
      </w:r>
      <w:r>
        <w:rPr>
          <w:rFonts w:hint="cs"/>
          <w:rtl/>
        </w:rPr>
        <w:t xml:space="preserve"> عنده .كما إذا اشتبهت عليه القبلة</w:t>
      </w:r>
      <w:r>
        <w:rPr>
          <w:rFonts w:hint="eastAsia"/>
          <w:rtl/>
        </w:rPr>
        <w:t>»</w:t>
      </w:r>
      <w:r>
        <w:rPr>
          <w:rFonts w:hint="cs"/>
          <w:vertAlign w:val="superscript"/>
          <w:rtl/>
        </w:rPr>
        <w:t>(</w:t>
      </w:r>
      <w:r>
        <w:rPr>
          <w:rStyle w:val="a7"/>
          <w:rtl/>
        </w:rPr>
        <w:footnoteReference w:id="4186"/>
      </w:r>
      <w:r>
        <w:rPr>
          <w:rFonts w:hint="cs"/>
          <w:vertAlign w:val="superscript"/>
          <w:rtl/>
        </w:rPr>
        <w:t>)</w:t>
      </w:r>
      <w:r>
        <w:rPr>
          <w:rFonts w:hint="cs"/>
          <w:rtl/>
        </w:rPr>
        <w:t>.</w:t>
      </w:r>
    </w:p>
    <w:p w:rsidR="00C10469" w:rsidRDefault="00C10469" w:rsidP="00C10469">
      <w:pPr>
        <w:ind w:left="989" w:hanging="283"/>
        <w:rPr>
          <w:rtl/>
        </w:rPr>
      </w:pPr>
      <w:r>
        <w:rPr>
          <w:b/>
          <w:bCs/>
          <w:rtl/>
        </w:rPr>
        <w:t>•</w:t>
      </w:r>
      <w:r>
        <w:rPr>
          <w:rFonts w:hint="cs"/>
          <w:b/>
          <w:bCs/>
          <w:rtl/>
        </w:rPr>
        <w:t xml:space="preserve">  ومنها</w:t>
      </w:r>
      <w:r>
        <w:rPr>
          <w:rFonts w:hint="cs"/>
          <w:rtl/>
        </w:rPr>
        <w:t xml:space="preserve"> : </w:t>
      </w:r>
      <w:r>
        <w:rPr>
          <w:rFonts w:hint="eastAsia"/>
          <w:rtl/>
        </w:rPr>
        <w:t>«</w:t>
      </w:r>
      <w:r>
        <w:rPr>
          <w:rFonts w:hint="cs"/>
          <w:rtl/>
        </w:rPr>
        <w:t>صلّى في ثوب وعنده أنه نجس، ثم ظهر أنه طاهر</w:t>
      </w:r>
      <w:r>
        <w:rPr>
          <w:rStyle w:val="a7"/>
          <w:rtl/>
        </w:rPr>
        <w:footnoteReference w:id="4187"/>
      </w:r>
      <w:r>
        <w:rPr>
          <w:rFonts w:hint="cs"/>
          <w:rtl/>
        </w:rPr>
        <w:t xml:space="preserve"> : أعَاد.</w:t>
      </w:r>
    </w:p>
    <w:p w:rsidR="00C10469" w:rsidRDefault="00C10469" w:rsidP="00C10469">
      <w:pPr>
        <w:ind w:left="989" w:hanging="283"/>
        <w:rPr>
          <w:rtl/>
        </w:rPr>
      </w:pPr>
      <w:r>
        <w:rPr>
          <w:b/>
          <w:bCs/>
          <w:rtl/>
        </w:rPr>
        <w:t>•</w:t>
      </w:r>
      <w:r>
        <w:rPr>
          <w:rFonts w:hint="cs"/>
          <w:b/>
          <w:bCs/>
          <w:rtl/>
        </w:rPr>
        <w:t xml:space="preserve">  وكذا</w:t>
      </w:r>
      <w:r>
        <w:rPr>
          <w:rFonts w:hint="cs"/>
          <w:rtl/>
        </w:rPr>
        <w:t xml:space="preserve"> : لو صلى وعنده أنه محدث فظهر [أنه]</w:t>
      </w:r>
      <w:r>
        <w:rPr>
          <w:rStyle w:val="a7"/>
          <w:rtl/>
        </w:rPr>
        <w:footnoteReference w:id="4188"/>
      </w:r>
      <w:r>
        <w:rPr>
          <w:rFonts w:hint="cs"/>
          <w:rtl/>
        </w:rPr>
        <w:t xml:space="preserve"> متوضئ</w:t>
      </w:r>
      <w:r>
        <w:rPr>
          <w:rFonts w:hint="eastAsia"/>
          <w:rtl/>
        </w:rPr>
        <w:t>»</w:t>
      </w:r>
      <w:r>
        <w:rPr>
          <w:rFonts w:hint="cs"/>
          <w:vertAlign w:val="superscript"/>
          <w:rtl/>
        </w:rPr>
        <w:t>(</w:t>
      </w:r>
      <w:r>
        <w:rPr>
          <w:rStyle w:val="a7"/>
          <w:rtl/>
        </w:rPr>
        <w:footnoteReference w:id="4189"/>
      </w:r>
      <w:r>
        <w:rPr>
          <w:rFonts w:hint="cs"/>
          <w:vertAlign w:val="superscript"/>
          <w:rtl/>
        </w:rPr>
        <w:t>)</w:t>
      </w:r>
      <w:r>
        <w:rPr>
          <w:rFonts w:hint="cs"/>
          <w:rtl/>
        </w:rPr>
        <w:t>.</w:t>
      </w:r>
    </w:p>
    <w:p w:rsidR="00C10469" w:rsidRDefault="00C10469" w:rsidP="00C10469">
      <w:pPr>
        <w:ind w:left="989" w:hanging="283"/>
        <w:rPr>
          <w:rtl/>
        </w:rPr>
      </w:pPr>
      <w:r>
        <w:rPr>
          <w:b/>
          <w:bCs/>
          <w:rtl/>
        </w:rPr>
        <w:t>•</w:t>
      </w:r>
      <w:r>
        <w:rPr>
          <w:rFonts w:hint="cs"/>
          <w:b/>
          <w:bCs/>
          <w:rtl/>
        </w:rPr>
        <w:t xml:space="preserve">  وكذا</w:t>
      </w:r>
      <w:r>
        <w:rPr>
          <w:rFonts w:hint="cs"/>
          <w:rtl/>
        </w:rPr>
        <w:t xml:space="preserve"> : </w:t>
      </w:r>
      <w:r>
        <w:rPr>
          <w:rFonts w:hint="eastAsia"/>
          <w:rtl/>
        </w:rPr>
        <w:t>«</w:t>
      </w:r>
      <w:r>
        <w:rPr>
          <w:rFonts w:hint="cs"/>
          <w:rtl/>
        </w:rPr>
        <w:t>لو صلى الفَرْضَ، وعنده</w:t>
      </w:r>
      <w:r>
        <w:rPr>
          <w:rStyle w:val="a7"/>
          <w:rtl/>
        </w:rPr>
        <w:footnoteReference w:id="4190"/>
      </w:r>
      <w:r>
        <w:rPr>
          <w:rFonts w:hint="cs"/>
          <w:rtl/>
        </w:rPr>
        <w:t xml:space="preserve"> أنّ الوقت لم يدخل. فظهر أنه كان قد دخل : لم يُجزه فيها</w:t>
      </w:r>
      <w:r>
        <w:rPr>
          <w:rFonts w:hint="eastAsia"/>
          <w:rtl/>
        </w:rPr>
        <w:t>»</w:t>
      </w:r>
      <w:r>
        <w:rPr>
          <w:rFonts w:hint="cs"/>
          <w:vertAlign w:val="superscript"/>
          <w:rtl/>
        </w:rPr>
        <w:t>(</w:t>
      </w:r>
      <w:r>
        <w:rPr>
          <w:rStyle w:val="a7"/>
          <w:rtl/>
        </w:rPr>
        <w:footnoteReference w:id="4191"/>
      </w:r>
      <w:r>
        <w:rPr>
          <w:rFonts w:hint="cs"/>
          <w:vertAlign w:val="superscript"/>
          <w:rtl/>
        </w:rPr>
        <w:t>)</w:t>
      </w:r>
      <w:r>
        <w:rPr>
          <w:rFonts w:hint="cs"/>
          <w:rtl/>
        </w:rPr>
        <w:t xml:space="preserve">. </w:t>
      </w:r>
    </w:p>
    <w:p w:rsidR="00C10469" w:rsidRDefault="00C10469">
      <w:pPr>
        <w:pStyle w:val="a9"/>
        <w:rPr>
          <w:spacing w:val="-4"/>
          <w:rtl/>
        </w:rPr>
        <w:sectPr w:rsidR="00C10469" w:rsidSect="00C10469">
          <w:headerReference w:type="default" r:id="rId255"/>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spacing w:val="-4"/>
          <w:rtl/>
        </w:rPr>
        <w:t xml:space="preserve">    والجواب</w:t>
      </w:r>
      <w:r>
        <w:rPr>
          <w:rFonts w:hint="cs"/>
          <w:spacing w:val="-4"/>
          <w:rtl/>
        </w:rPr>
        <w:t xml:space="preserve"> : أن الصلاة</w:t>
      </w:r>
      <w:r>
        <w:rPr>
          <w:rStyle w:val="a7"/>
          <w:spacing w:val="-4"/>
          <w:rtl/>
        </w:rPr>
        <w:footnoteReference w:id="4192"/>
      </w:r>
      <w:r>
        <w:rPr>
          <w:rFonts w:hint="cs"/>
          <w:spacing w:val="-4"/>
          <w:rtl/>
        </w:rPr>
        <w:t xml:space="preserve"> عبادة، والعبادة الخالية عن نية القرب لا تصح. والظاهر </w:t>
      </w:r>
    </w:p>
    <w:p w:rsidR="00C10469" w:rsidRPr="00BF2C5C" w:rsidRDefault="00C10469">
      <w:pPr>
        <w:pStyle w:val="a9"/>
        <w:rPr>
          <w:rFonts w:cs="AL-Mateen"/>
          <w:rtl/>
          <w:lang w:val="en-US"/>
        </w:rPr>
      </w:pPr>
      <w:r w:rsidRPr="00BF2C5C">
        <w:rPr>
          <w:rFonts w:cs="AL-Mateen" w:hint="cs"/>
          <w:rtl/>
          <w:lang w:val="en-US"/>
        </w:rPr>
        <w:lastRenderedPageBreak/>
        <w:t xml:space="preserve"> [ الـقـاعـدة الـحـاديـة بـعـد الـمـائـتـيـن ]</w:t>
      </w:r>
    </w:p>
    <w:p w:rsidR="00C10469" w:rsidRDefault="00C10469">
      <w:pPr>
        <w:rPr>
          <w:rtl/>
        </w:rPr>
      </w:pPr>
      <w:r>
        <w:rPr>
          <w:rFonts w:cs="Monotype Koufi" w:hint="cs"/>
          <w:rtl/>
        </w:rPr>
        <w:t>لاَ تَصِحُّ الكفالةُ إلاّ بِدَيْنٍ صَحِيحٍ</w:t>
      </w:r>
      <w:r>
        <w:rPr>
          <w:rFonts w:hint="cs"/>
          <w:vertAlign w:val="superscript"/>
          <w:rtl/>
        </w:rPr>
        <w:t>(</w:t>
      </w:r>
      <w:r>
        <w:rPr>
          <w:rStyle w:val="a7"/>
          <w:rtl/>
        </w:rPr>
        <w:footnoteReference w:id="4193"/>
      </w:r>
      <w:r>
        <w:rPr>
          <w:rFonts w:hint="cs"/>
          <w:vertAlign w:val="superscript"/>
          <w:rtl/>
        </w:rPr>
        <w:t>)</w:t>
      </w:r>
      <w:r>
        <w:rPr>
          <w:rFonts w:hint="cs"/>
          <w:rtl/>
        </w:rPr>
        <w:t xml:space="preserve"> :</w:t>
      </w:r>
    </w:p>
    <w:p w:rsidR="00C10469" w:rsidRDefault="00C10469">
      <w:pPr>
        <w:rPr>
          <w:rtl/>
        </w:rPr>
      </w:pPr>
      <w:r>
        <w:rPr>
          <w:rFonts w:hint="eastAsia"/>
          <w:rtl/>
        </w:rPr>
        <w:t>«</w:t>
      </w:r>
      <w:r>
        <w:rPr>
          <w:rFonts w:hint="cs"/>
          <w:rtl/>
        </w:rPr>
        <w:t>[وهو ما]</w:t>
      </w:r>
      <w:r>
        <w:rPr>
          <w:rStyle w:val="a7"/>
          <w:rtl/>
        </w:rPr>
        <w:footnoteReference w:id="4194"/>
      </w:r>
      <w:r>
        <w:rPr>
          <w:rFonts w:hint="cs"/>
          <w:rtl/>
        </w:rPr>
        <w:t xml:space="preserve"> لا يسقط</w:t>
      </w:r>
      <w:r>
        <w:rPr>
          <w:rStyle w:val="a7"/>
          <w:rtl/>
        </w:rPr>
        <w:footnoteReference w:id="4195"/>
      </w:r>
      <w:r>
        <w:rPr>
          <w:rFonts w:hint="cs"/>
          <w:rtl/>
        </w:rPr>
        <w:t xml:space="preserve"> إلا بالأداء أو الإبراء. فلا يصح بغيره</w:t>
      </w:r>
      <w:r>
        <w:rPr>
          <w:rFonts w:hint="cs"/>
          <w:vertAlign w:val="superscript"/>
          <w:rtl/>
        </w:rPr>
        <w:t>(</w:t>
      </w:r>
      <w:r>
        <w:rPr>
          <w:rStyle w:val="a7"/>
          <w:rtl/>
        </w:rPr>
        <w:footnoteReference w:id="4196"/>
      </w:r>
      <w:r>
        <w:rPr>
          <w:rFonts w:hint="cs"/>
          <w:vertAlign w:val="superscript"/>
          <w:rtl/>
        </w:rPr>
        <w:t>)</w:t>
      </w:r>
      <w:r>
        <w:rPr>
          <w:rFonts w:hint="cs"/>
          <w:rtl/>
        </w:rPr>
        <w:t>؛ كبدل الكتابة؛ فإنه يسقط بالتعجيز</w:t>
      </w:r>
      <w:r>
        <w:rPr>
          <w:rFonts w:hint="eastAsia"/>
          <w:rtl/>
        </w:rPr>
        <w:t>»</w:t>
      </w:r>
      <w:r>
        <w:rPr>
          <w:rFonts w:hint="cs"/>
          <w:vertAlign w:val="superscript"/>
          <w:rtl/>
        </w:rPr>
        <w:t>(</w:t>
      </w:r>
      <w:r>
        <w:rPr>
          <w:rStyle w:val="a7"/>
          <w:rtl/>
        </w:rPr>
        <w:footnoteReference w:id="4197"/>
      </w:r>
      <w:r>
        <w:rPr>
          <w:rFonts w:hint="cs"/>
          <w:vertAlign w:val="superscript"/>
          <w:rtl/>
        </w:rPr>
        <w:t>)</w:t>
      </w:r>
      <w:r>
        <w:rPr>
          <w:rFonts w:hint="cs"/>
          <w:rtl/>
        </w:rPr>
        <w:t xml:space="preserve">. </w:t>
      </w:r>
    </w:p>
    <w:p w:rsidR="00C10469" w:rsidRDefault="00C10469">
      <w:pPr>
        <w:rPr>
          <w:rtl/>
        </w:rPr>
      </w:pPr>
      <w:r>
        <w:rPr>
          <w:rFonts w:hint="cs"/>
          <w:b/>
          <w:bCs/>
          <w:rtl/>
        </w:rPr>
        <w:t>واستثنى</w:t>
      </w:r>
      <w:r>
        <w:rPr>
          <w:rFonts w:hint="cs"/>
          <w:rtl/>
        </w:rPr>
        <w:t xml:space="preserve"> ابن نجيم في (أشباهه) من هذا الأصل، حيث قال : </w:t>
      </w:r>
      <w:r>
        <w:rPr>
          <w:rFonts w:hint="eastAsia"/>
          <w:rtl/>
        </w:rPr>
        <w:t>«</w:t>
      </w:r>
      <w:r>
        <w:rPr>
          <w:rFonts w:hint="cs"/>
          <w:rtl/>
        </w:rPr>
        <w:t>إلا في مسألةٍ</w:t>
      </w:r>
      <w:r>
        <w:rPr>
          <w:rFonts w:hint="cs"/>
          <w:vertAlign w:val="superscript"/>
          <w:rtl/>
        </w:rPr>
        <w:t>(</w:t>
      </w:r>
      <w:r>
        <w:rPr>
          <w:rStyle w:val="a7"/>
          <w:rtl/>
        </w:rPr>
        <w:footnoteReference w:id="4198"/>
      </w:r>
      <w:r>
        <w:rPr>
          <w:rFonts w:hint="cs"/>
          <w:vertAlign w:val="superscript"/>
          <w:rtl/>
        </w:rPr>
        <w:t>)</w:t>
      </w:r>
      <w:r>
        <w:rPr>
          <w:rFonts w:hint="cs"/>
          <w:rtl/>
        </w:rPr>
        <w:t>لم أرَ من أَوْضَحَهاَ: قالوا : لو كَفَلَ بالنفقة المقرّرة</w:t>
      </w:r>
      <w:r>
        <w:rPr>
          <w:rStyle w:val="a7"/>
          <w:rtl/>
        </w:rPr>
        <w:footnoteReference w:id="4199"/>
      </w:r>
      <w:r>
        <w:rPr>
          <w:rFonts w:hint="cs"/>
          <w:rtl/>
        </w:rPr>
        <w:t xml:space="preserve"> الماضية : صحَّتْ، مع أنها تسقط </w:t>
      </w:r>
      <w:r>
        <w:rPr>
          <w:rFonts w:hint="cs"/>
          <w:rtl/>
        </w:rPr>
        <w:lastRenderedPageBreak/>
        <w:t>- بدون الأداء والإبراء - بموت أحدهما!</w:t>
      </w:r>
      <w:r>
        <w:rPr>
          <w:rFonts w:hint="eastAsia"/>
          <w:rtl/>
        </w:rPr>
        <w:t>»</w:t>
      </w:r>
      <w:r>
        <w:rPr>
          <w:rFonts w:hint="cs"/>
          <w:vertAlign w:val="superscript"/>
          <w:rtl/>
        </w:rPr>
        <w:t>(</w:t>
      </w:r>
      <w:r>
        <w:rPr>
          <w:rStyle w:val="a7"/>
          <w:rtl/>
        </w:rPr>
        <w:footnoteReference w:id="4200"/>
      </w:r>
      <w:r>
        <w:rPr>
          <w:rFonts w:hint="cs"/>
          <w:vertAlign w:val="superscript"/>
          <w:rtl/>
        </w:rPr>
        <w:t>)</w:t>
      </w:r>
      <w:r>
        <w:rPr>
          <w:rFonts w:hint="cs"/>
          <w:rtl/>
        </w:rPr>
        <w:t>.</w:t>
      </w:r>
    </w:p>
    <w:p w:rsidR="00C10469" w:rsidRDefault="00C10469">
      <w:pPr>
        <w:rPr>
          <w:spacing w:val="6"/>
          <w:rtl/>
        </w:rPr>
      </w:pPr>
      <w:r>
        <w:rPr>
          <w:rFonts w:hint="cs"/>
          <w:b/>
          <w:bCs/>
          <w:spacing w:val="6"/>
          <w:rtl/>
        </w:rPr>
        <w:t xml:space="preserve">أقول </w:t>
      </w:r>
      <w:r>
        <w:rPr>
          <w:rFonts w:hint="cs"/>
          <w:spacing w:val="6"/>
          <w:rtl/>
        </w:rPr>
        <w:t xml:space="preserve">: مراد القول بقولهم: </w:t>
      </w:r>
      <w:r>
        <w:rPr>
          <w:rFonts w:hint="eastAsia"/>
          <w:spacing w:val="6"/>
          <w:rtl/>
        </w:rPr>
        <w:t>«</w:t>
      </w:r>
      <w:r>
        <w:rPr>
          <w:rFonts w:hint="cs"/>
          <w:spacing w:val="6"/>
          <w:rtl/>
        </w:rPr>
        <w:t>لا يسقط</w:t>
      </w:r>
      <w:r>
        <w:rPr>
          <w:rStyle w:val="a7"/>
          <w:spacing w:val="6"/>
          <w:rtl/>
        </w:rPr>
        <w:footnoteReference w:id="4201"/>
      </w:r>
      <w:r>
        <w:rPr>
          <w:rFonts w:hint="cs"/>
          <w:spacing w:val="6"/>
          <w:rtl/>
        </w:rPr>
        <w:t xml:space="preserve"> ...الخ</w:t>
      </w:r>
      <w:r>
        <w:rPr>
          <w:rStyle w:val="a7"/>
          <w:spacing w:val="6"/>
          <w:rtl/>
        </w:rPr>
        <w:footnoteReference w:id="4202"/>
      </w:r>
      <w:r>
        <w:rPr>
          <w:rFonts w:hint="eastAsia"/>
          <w:spacing w:val="6"/>
          <w:rtl/>
        </w:rPr>
        <w:t>»</w:t>
      </w:r>
      <w:r>
        <w:rPr>
          <w:rFonts w:hint="cs"/>
          <w:spacing w:val="6"/>
          <w:vertAlign w:val="superscript"/>
          <w:rtl/>
        </w:rPr>
        <w:t>(</w:t>
      </w:r>
      <w:r>
        <w:rPr>
          <w:rStyle w:val="a7"/>
          <w:spacing w:val="6"/>
          <w:rtl/>
        </w:rPr>
        <w:footnoteReference w:id="4203"/>
      </w:r>
      <w:r>
        <w:rPr>
          <w:rFonts w:hint="cs"/>
          <w:spacing w:val="6"/>
          <w:vertAlign w:val="superscript"/>
          <w:rtl/>
        </w:rPr>
        <w:t xml:space="preserve">) </w:t>
      </w:r>
      <w:r>
        <w:rPr>
          <w:rFonts w:hint="cs"/>
          <w:spacing w:val="6"/>
          <w:rtl/>
        </w:rPr>
        <w:t>: عدم سقوطه في الحياة. وإلاّ يلزم أن لا يصّح</w:t>
      </w:r>
      <w:r>
        <w:rPr>
          <w:rFonts w:hint="cs"/>
          <w:spacing w:val="6"/>
          <w:vertAlign w:val="superscript"/>
          <w:rtl/>
        </w:rPr>
        <w:t>(</w:t>
      </w:r>
      <w:r>
        <w:rPr>
          <w:rStyle w:val="a7"/>
          <w:spacing w:val="6"/>
          <w:rtl/>
        </w:rPr>
        <w:footnoteReference w:id="4204"/>
      </w:r>
      <w:r>
        <w:rPr>
          <w:rFonts w:hint="cs"/>
          <w:spacing w:val="6"/>
          <w:vertAlign w:val="superscript"/>
          <w:rtl/>
        </w:rPr>
        <w:t>)</w:t>
      </w:r>
      <w:r>
        <w:rPr>
          <w:rFonts w:hint="cs"/>
          <w:spacing w:val="6"/>
          <w:rtl/>
        </w:rPr>
        <w:t xml:space="preserve"> الكفالة في جميع الديون؛ لأنها تسقط بموت المديون مفلسًا. ومن نظر إلى نظائره يتّضح له صحة ما قلنا. فإن</w:t>
      </w:r>
      <w:r>
        <w:rPr>
          <w:rStyle w:val="a7"/>
          <w:spacing w:val="6"/>
          <w:rtl/>
        </w:rPr>
        <w:footnoteReference w:id="4205"/>
      </w:r>
      <w:r>
        <w:rPr>
          <w:rFonts w:hint="cs"/>
          <w:spacing w:val="6"/>
          <w:rtl/>
        </w:rPr>
        <w:t xml:space="preserve"> الكفالة بالخراج تصحّ</w:t>
      </w:r>
      <w:r>
        <w:rPr>
          <w:rFonts w:hint="cs"/>
          <w:spacing w:val="6"/>
          <w:vertAlign w:val="superscript"/>
          <w:rtl/>
        </w:rPr>
        <w:t>(</w:t>
      </w:r>
      <w:r>
        <w:rPr>
          <w:rStyle w:val="a7"/>
          <w:spacing w:val="6"/>
          <w:rtl/>
        </w:rPr>
        <w:footnoteReference w:id="4206"/>
      </w:r>
      <w:r>
        <w:rPr>
          <w:rFonts w:hint="cs"/>
          <w:spacing w:val="6"/>
          <w:vertAlign w:val="superscript"/>
          <w:rtl/>
        </w:rPr>
        <w:t>)</w:t>
      </w:r>
      <w:r>
        <w:rPr>
          <w:rFonts w:hint="cs"/>
          <w:spacing w:val="6"/>
          <w:rtl/>
        </w:rPr>
        <w:t xml:space="preserve">، مع أنّ الخراج يسقط بالموت. </w:t>
      </w:r>
    </w:p>
    <w:p w:rsidR="00C10469" w:rsidRDefault="00C10469">
      <w:pPr>
        <w:rPr>
          <w:spacing w:val="6"/>
          <w:rtl/>
        </w:rPr>
      </w:pPr>
      <w:r>
        <w:rPr>
          <w:rFonts w:hint="cs"/>
          <w:spacing w:val="6"/>
          <w:rtl/>
        </w:rPr>
        <w:t>وما ذكر في هذا الكتاب</w:t>
      </w:r>
      <w:r>
        <w:rPr>
          <w:rFonts w:hint="cs"/>
          <w:spacing w:val="6"/>
          <w:vertAlign w:val="superscript"/>
          <w:rtl/>
        </w:rPr>
        <w:t>(</w:t>
      </w:r>
      <w:r>
        <w:rPr>
          <w:rStyle w:val="a7"/>
          <w:spacing w:val="6"/>
          <w:rtl/>
        </w:rPr>
        <w:footnoteReference w:id="4207"/>
      </w:r>
      <w:r>
        <w:rPr>
          <w:rFonts w:hint="cs"/>
          <w:spacing w:val="6"/>
          <w:vertAlign w:val="superscript"/>
          <w:rtl/>
        </w:rPr>
        <w:t>)</w:t>
      </w:r>
      <w:r>
        <w:rPr>
          <w:rFonts w:hint="cs"/>
          <w:spacing w:val="6"/>
          <w:rtl/>
        </w:rPr>
        <w:t xml:space="preserve"> ليس ممّا التزمنا بيانه.</w:t>
      </w:r>
    </w:p>
    <w:p w:rsidR="00C10469" w:rsidRDefault="00C10469">
      <w:pPr>
        <w:rPr>
          <w:spacing w:val="6"/>
          <w:rtl/>
        </w:rPr>
      </w:pPr>
    </w:p>
    <w:p w:rsidR="00C10469" w:rsidRDefault="00C10469">
      <w:pPr>
        <w:rPr>
          <w:spacing w:val="6"/>
          <w:rtl/>
        </w:rPr>
      </w:pPr>
    </w:p>
    <w:p w:rsidR="00C10469" w:rsidRDefault="00C10469">
      <w:pPr>
        <w:rPr>
          <w:spacing w:val="6"/>
          <w:rtl/>
        </w:rPr>
      </w:pPr>
    </w:p>
    <w:p w:rsidR="00C10469" w:rsidRPr="00101E07" w:rsidRDefault="00C10469">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6"/>
          <w:rtl/>
        </w:rPr>
      </w:pPr>
    </w:p>
    <w:p w:rsidR="00C10469" w:rsidRDefault="00C10469">
      <w:pPr>
        <w:rPr>
          <w:spacing w:val="6"/>
          <w:rtl/>
        </w:rPr>
      </w:pPr>
    </w:p>
    <w:p w:rsidR="00C10469" w:rsidRDefault="00C10469">
      <w:pPr>
        <w:rPr>
          <w:spacing w:val="6"/>
          <w:rtl/>
        </w:rPr>
      </w:pPr>
    </w:p>
    <w:p w:rsidR="00C10469" w:rsidRDefault="00C10469" w:rsidP="00C10469">
      <w:pPr>
        <w:ind w:firstLine="0"/>
        <w:rPr>
          <w:rtl/>
        </w:rPr>
      </w:pPr>
    </w:p>
    <w:p w:rsidR="00C10469" w:rsidRDefault="00C10469">
      <w:pPr>
        <w:rPr>
          <w:spacing w:val="6"/>
          <w:rtl/>
        </w:rPr>
        <w:sectPr w:rsidR="00C10469" w:rsidSect="00C10469">
          <w:headerReference w:type="default" r:id="rId25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E220B0" w:rsidRDefault="00C10469">
      <w:pPr>
        <w:pStyle w:val="a9"/>
        <w:rPr>
          <w:rFonts w:cs="AL-Mateen"/>
          <w:rtl/>
        </w:rPr>
      </w:pPr>
      <w:r w:rsidRPr="00E220B0">
        <w:rPr>
          <w:rFonts w:cs="AL-Mateen" w:hint="cs"/>
          <w:rtl/>
        </w:rPr>
        <w:lastRenderedPageBreak/>
        <w:t>[ الـقـاعـدة الـثـانـيـة بـعـد الـمـائـتـيـن ]</w:t>
      </w:r>
    </w:p>
    <w:p w:rsidR="00C10469" w:rsidRDefault="00C10469">
      <w:pPr>
        <w:rPr>
          <w:rtl/>
        </w:rPr>
      </w:pPr>
      <w:r>
        <w:rPr>
          <w:rFonts w:cs="Monotype Koufi" w:hint="cs"/>
          <w:rtl/>
        </w:rPr>
        <w:t>لا يُعْتَمَدُ عَلَى[الخَطِّ]</w:t>
      </w:r>
      <w:r>
        <w:rPr>
          <w:rStyle w:val="a7"/>
          <w:rtl/>
        </w:rPr>
        <w:footnoteReference w:id="4208"/>
      </w:r>
      <w:r>
        <w:rPr>
          <w:rFonts w:cs="Monotype Koufi" w:hint="cs"/>
          <w:rtl/>
        </w:rPr>
        <w:t>،</w:t>
      </w:r>
      <w:r>
        <w:rPr>
          <w:rFonts w:hint="cs"/>
          <w:rtl/>
        </w:rPr>
        <w:t xml:space="preserve"> </w:t>
      </w:r>
      <w:r>
        <w:rPr>
          <w:rFonts w:cs="Monotype Koufi" w:hint="cs"/>
          <w:rtl/>
        </w:rPr>
        <w:t>ولا يُعْمَلُ بِهِ</w:t>
      </w:r>
      <w:r>
        <w:rPr>
          <w:rFonts w:hint="cs"/>
          <w:vertAlign w:val="superscript"/>
          <w:rtl/>
        </w:rPr>
        <w:t>(</w:t>
      </w:r>
      <w:r>
        <w:rPr>
          <w:rStyle w:val="a7"/>
          <w:rtl/>
        </w:rPr>
        <w:footnoteReference w:id="4209"/>
      </w:r>
      <w:r>
        <w:rPr>
          <w:rFonts w:hint="cs"/>
          <w:vertAlign w:val="superscript"/>
          <w:rtl/>
        </w:rPr>
        <w:t>)</w:t>
      </w:r>
      <w:r>
        <w:rPr>
          <w:rFonts w:hint="cs"/>
          <w:rtl/>
        </w:rPr>
        <w:t>:</w:t>
      </w:r>
    </w:p>
    <w:p w:rsidR="00C10469" w:rsidRDefault="00C10469">
      <w:pPr>
        <w:rPr>
          <w:rtl/>
        </w:rPr>
      </w:pPr>
      <w:r>
        <w:rPr>
          <w:rFonts w:hint="cs"/>
          <w:b/>
          <w:bCs/>
          <w:rtl/>
        </w:rPr>
        <w:lastRenderedPageBreak/>
        <w:t xml:space="preserve">ولهذا </w:t>
      </w:r>
      <w:r>
        <w:rPr>
          <w:rFonts w:hint="cs"/>
          <w:rtl/>
        </w:rPr>
        <w:t>: لو ادّعى رجلٌ مالاً على رجلٍ، فأنكر المدعى عليه، فأخرج المدعي خطًّا بإقرار المُدعى عليه بذلك المال، وقال : هذا خطّ المدّعى عليه. وأقرّ</w:t>
      </w:r>
      <w:r>
        <w:rPr>
          <w:rStyle w:val="a7"/>
          <w:rtl/>
        </w:rPr>
        <w:footnoteReference w:id="4210"/>
      </w:r>
      <w:r>
        <w:rPr>
          <w:rFonts w:hint="cs"/>
          <w:rtl/>
        </w:rPr>
        <w:t xml:space="preserve"> المدعى عليه بأنه خطّه، وأنكر الدين : اختلفوا</w:t>
      </w:r>
      <w:r>
        <w:rPr>
          <w:rStyle w:val="a7"/>
          <w:rtl/>
        </w:rPr>
        <w:footnoteReference w:id="4211"/>
      </w:r>
      <w:r>
        <w:rPr>
          <w:rFonts w:hint="cs"/>
          <w:rtl/>
        </w:rPr>
        <w:t xml:space="preserve"> فيه : </w:t>
      </w:r>
    </w:p>
    <w:p w:rsidR="00C10469" w:rsidRDefault="00C10469" w:rsidP="00C10469">
      <w:pPr>
        <w:rPr>
          <w:rtl/>
        </w:rPr>
      </w:pPr>
      <w:r>
        <w:rPr>
          <w:rtl/>
        </w:rPr>
        <w:t>•</w:t>
      </w:r>
      <w:r>
        <w:rPr>
          <w:rFonts w:hint="cs"/>
          <w:rtl/>
        </w:rPr>
        <w:t xml:space="preserve">  قال بعضهم : يَقْضِي القاضي على المدعى عليه بذلك المال.</w:t>
      </w:r>
    </w:p>
    <w:p w:rsidR="00C10469" w:rsidRDefault="00C10469" w:rsidP="00C10469">
      <w:pPr>
        <w:rPr>
          <w:rtl/>
        </w:rPr>
      </w:pPr>
      <w:r>
        <w:rPr>
          <w:rtl/>
        </w:rPr>
        <w:t>•</w:t>
      </w:r>
      <w:r>
        <w:rPr>
          <w:rFonts w:hint="cs"/>
          <w:rtl/>
        </w:rPr>
        <w:t xml:space="preserve">  وقال بعضهم : لا يقضي.</w:t>
      </w:r>
    </w:p>
    <w:p w:rsidR="00C10469" w:rsidRDefault="00C10469" w:rsidP="00C10469">
      <w:pPr>
        <w:rPr>
          <w:rtl/>
        </w:rPr>
      </w:pPr>
      <w:r>
        <w:rPr>
          <w:rFonts w:hint="cs"/>
          <w:rtl/>
        </w:rPr>
        <w:t xml:space="preserve">    وهو الصّحيح؛ لأن الإنسان قد يكتب مثل هذا الخطّ للممارسة</w:t>
      </w:r>
      <w:r>
        <w:rPr>
          <w:rFonts w:hint="cs"/>
          <w:vertAlign w:val="superscript"/>
          <w:rtl/>
        </w:rPr>
        <w:t>(</w:t>
      </w:r>
      <w:r>
        <w:rPr>
          <w:rStyle w:val="a7"/>
          <w:rtl/>
        </w:rPr>
        <w:footnoteReference w:id="4212"/>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 الأصل مسائل : </w:t>
      </w:r>
    </w:p>
    <w:p w:rsidR="00C10469" w:rsidRDefault="00C10469" w:rsidP="00C10469">
      <w:pPr>
        <w:ind w:left="720" w:firstLine="0"/>
        <w:rPr>
          <w:spacing w:val="-4"/>
          <w:rtl/>
        </w:rPr>
      </w:pPr>
      <w:r>
        <w:rPr>
          <w:rFonts w:ascii="Wingdings" w:hAnsi="Wingdings"/>
          <w:b/>
          <w:bCs/>
          <w:spacing w:val="-4"/>
        </w:rPr>
        <w:t></w:t>
      </w:r>
      <w:r>
        <w:rPr>
          <w:rFonts w:hint="cs"/>
          <w:b/>
          <w:bCs/>
          <w:spacing w:val="-4"/>
          <w:rtl/>
        </w:rPr>
        <w:t xml:space="preserve"> فمنها </w:t>
      </w:r>
      <w:r>
        <w:rPr>
          <w:rFonts w:hint="cs"/>
          <w:spacing w:val="-4"/>
          <w:rtl/>
        </w:rPr>
        <w:t>: لو ادعى رجلٌ مالاً على رجل، فأنكر المدّعى عليه، فأخرج المدّعي خطًّا على وجه الرّسالة، مُصَدَّرًا</w:t>
      </w:r>
      <w:r>
        <w:rPr>
          <w:rStyle w:val="a7"/>
          <w:spacing w:val="-4"/>
          <w:rtl/>
        </w:rPr>
        <w:footnoteReference w:id="4213"/>
      </w:r>
      <w:r>
        <w:rPr>
          <w:rFonts w:hint="cs"/>
          <w:spacing w:val="-4"/>
          <w:rtl/>
        </w:rPr>
        <w:t xml:space="preserve"> مُعَنْوَنًا</w:t>
      </w:r>
      <w:r>
        <w:rPr>
          <w:rFonts w:hint="cs"/>
          <w:spacing w:val="-4"/>
          <w:vertAlign w:val="superscript"/>
          <w:rtl/>
        </w:rPr>
        <w:t>(</w:t>
      </w:r>
      <w:r>
        <w:rPr>
          <w:rStyle w:val="a7"/>
          <w:spacing w:val="-4"/>
          <w:rtl/>
        </w:rPr>
        <w:footnoteReference w:id="4214"/>
      </w:r>
      <w:r>
        <w:rPr>
          <w:rFonts w:hint="cs"/>
          <w:spacing w:val="-4"/>
          <w:vertAlign w:val="superscript"/>
          <w:rtl/>
        </w:rPr>
        <w:t>)</w:t>
      </w:r>
      <w:r>
        <w:rPr>
          <w:rFonts w:hint="cs"/>
          <w:spacing w:val="-4"/>
          <w:rtl/>
        </w:rPr>
        <w:t>، مبـيّـنًا</w:t>
      </w:r>
      <w:r>
        <w:rPr>
          <w:rStyle w:val="a7"/>
          <w:spacing w:val="-4"/>
          <w:rtl/>
        </w:rPr>
        <w:footnoteReference w:id="4215"/>
      </w:r>
      <w:r>
        <w:rPr>
          <w:rFonts w:hint="cs"/>
          <w:spacing w:val="-4"/>
          <w:rtl/>
        </w:rPr>
        <w:t xml:space="preserve"> بأنّ</w:t>
      </w:r>
      <w:r>
        <w:rPr>
          <w:rStyle w:val="a7"/>
          <w:spacing w:val="-4"/>
          <w:rtl/>
        </w:rPr>
        <w:footnoteReference w:id="4216"/>
      </w:r>
      <w:r>
        <w:rPr>
          <w:rFonts w:hint="cs"/>
          <w:spacing w:val="-4"/>
          <w:rtl/>
        </w:rPr>
        <w:t xml:space="preserve"> عليه ذلك المال.</w:t>
      </w:r>
    </w:p>
    <w:p w:rsidR="00C10469" w:rsidRDefault="00C10469">
      <w:pPr>
        <w:ind w:left="720" w:right="720" w:firstLine="0"/>
        <w:rPr>
          <w:rtl/>
        </w:rPr>
      </w:pPr>
      <w:r>
        <w:rPr>
          <w:rFonts w:hint="cs"/>
          <w:rtl/>
        </w:rPr>
        <w:t xml:space="preserve"> وقال المدعى عليه: هذا خطَّي، ولكن ليس عليّ هذا المال: يُقضى عليه بالمال، ولا يلتفت على</w:t>
      </w:r>
      <w:r>
        <w:rPr>
          <w:rStyle w:val="a7"/>
          <w:rtl/>
        </w:rPr>
        <w:footnoteReference w:id="4217"/>
      </w:r>
      <w:r>
        <w:rPr>
          <w:rFonts w:hint="cs"/>
          <w:rtl/>
        </w:rPr>
        <w:t xml:space="preserve"> إنكاره</w:t>
      </w:r>
      <w:r>
        <w:rPr>
          <w:rFonts w:hint="cs"/>
          <w:vertAlign w:val="superscript"/>
          <w:rtl/>
        </w:rPr>
        <w:t>(</w:t>
      </w:r>
      <w:r>
        <w:rPr>
          <w:rStyle w:val="a7"/>
          <w:rtl/>
        </w:rPr>
        <w:footnoteReference w:id="4218"/>
      </w:r>
      <w:r>
        <w:rPr>
          <w:rFonts w:hint="cs"/>
          <w:vertAlign w:val="superscript"/>
          <w:rtl/>
        </w:rPr>
        <w:t>)</w:t>
      </w:r>
      <w:r>
        <w:rPr>
          <w:rFonts w:hint="cs"/>
          <w:rtl/>
        </w:rPr>
        <w:t>.</w:t>
      </w:r>
    </w:p>
    <w:p w:rsidR="00C10469" w:rsidRDefault="00C10469">
      <w:pPr>
        <w:ind w:firstLine="720"/>
        <w:rPr>
          <w:rtl/>
        </w:rPr>
      </w:pPr>
      <w:r>
        <w:rPr>
          <w:rFonts w:hint="cs"/>
          <w:b/>
          <w:bCs/>
          <w:rtl/>
        </w:rPr>
        <w:lastRenderedPageBreak/>
        <w:t xml:space="preserve">والجواب </w:t>
      </w:r>
      <w:r>
        <w:rPr>
          <w:rFonts w:hint="cs"/>
          <w:rtl/>
        </w:rPr>
        <w:t xml:space="preserve">: أن </w:t>
      </w:r>
      <w:r>
        <w:rPr>
          <w:rFonts w:hint="eastAsia"/>
          <w:rtl/>
        </w:rPr>
        <w:t>«</w:t>
      </w:r>
      <w:r>
        <w:rPr>
          <w:rFonts w:hint="cs"/>
          <w:rtl/>
        </w:rPr>
        <w:t>الكتاب عن الغائب كالخطاب عن الحاضر</w:t>
      </w:r>
      <w:r>
        <w:rPr>
          <w:rFonts w:hint="eastAsia"/>
          <w:rtl/>
        </w:rPr>
        <w:t>»</w:t>
      </w:r>
      <w:r>
        <w:rPr>
          <w:rFonts w:hint="cs"/>
          <w:vertAlign w:val="superscript"/>
          <w:rtl/>
        </w:rPr>
        <w:t>(</w:t>
      </w:r>
      <w:r>
        <w:rPr>
          <w:rStyle w:val="a7"/>
          <w:rtl/>
        </w:rPr>
        <w:footnoteReference w:id="4219"/>
      </w:r>
      <w:r>
        <w:rPr>
          <w:rFonts w:hint="cs"/>
          <w:vertAlign w:val="superscript"/>
          <w:rtl/>
        </w:rPr>
        <w:t>)</w:t>
      </w:r>
      <w:r>
        <w:rPr>
          <w:rFonts w:hint="cs"/>
          <w:rtl/>
        </w:rPr>
        <w:t>.</w:t>
      </w:r>
    </w:p>
    <w:p w:rsidR="00C10469" w:rsidRDefault="00C10469" w:rsidP="00C10469">
      <w:pPr>
        <w:ind w:left="989" w:hanging="269"/>
        <w:rPr>
          <w:rtl/>
        </w:rPr>
      </w:pPr>
      <w:r>
        <w:rPr>
          <w:rFonts w:ascii="Wingdings" w:hAnsi="Wingdings"/>
          <w:b/>
          <w:bCs/>
        </w:rPr>
        <w:t></w:t>
      </w:r>
      <w:r>
        <w:rPr>
          <w:rFonts w:hint="cs"/>
          <w:b/>
          <w:bCs/>
          <w:rtl/>
        </w:rPr>
        <w:t xml:space="preserve"> ومنها </w:t>
      </w:r>
      <w:r>
        <w:rPr>
          <w:rFonts w:hint="cs"/>
          <w:rtl/>
        </w:rPr>
        <w:t>: أن البراءات السلطانية بالوظائف في زماننا</w:t>
      </w:r>
      <w:r>
        <w:rPr>
          <w:rFonts w:hint="cs"/>
          <w:vertAlign w:val="superscript"/>
          <w:rtl/>
        </w:rPr>
        <w:t>(</w:t>
      </w:r>
      <w:r>
        <w:rPr>
          <w:rStyle w:val="a7"/>
          <w:rtl/>
        </w:rPr>
        <w:footnoteReference w:id="4220"/>
      </w:r>
      <w:r>
        <w:rPr>
          <w:rFonts w:hint="cs"/>
          <w:vertAlign w:val="superscript"/>
          <w:rtl/>
        </w:rPr>
        <w:t>)</w:t>
      </w:r>
      <w:r>
        <w:rPr>
          <w:rFonts w:hint="cs"/>
          <w:rtl/>
        </w:rPr>
        <w:t>، وكِتَابُ أهل الحرب بطلب الأمان عن الإمام: يعمل بها</w:t>
      </w:r>
      <w:r>
        <w:rPr>
          <w:rFonts w:hint="cs"/>
          <w:vertAlign w:val="superscript"/>
          <w:rtl/>
        </w:rPr>
        <w:t>(</w:t>
      </w:r>
      <w:r>
        <w:rPr>
          <w:rStyle w:val="a7"/>
          <w:rtl/>
        </w:rPr>
        <w:footnoteReference w:id="4221"/>
      </w:r>
      <w:r>
        <w:rPr>
          <w:rFonts w:hint="cs"/>
          <w:vertAlign w:val="superscript"/>
          <w:rtl/>
        </w:rPr>
        <w:t>)</w:t>
      </w:r>
      <w:r>
        <w:rPr>
          <w:rFonts w:hint="cs"/>
          <w:rtl/>
        </w:rPr>
        <w:t>.</w:t>
      </w:r>
    </w:p>
    <w:p w:rsidR="00C10469" w:rsidRDefault="00C10469" w:rsidP="00C10469">
      <w:pPr>
        <w:ind w:left="989" w:hanging="269"/>
        <w:rPr>
          <w:rtl/>
        </w:rPr>
      </w:pPr>
      <w:r>
        <w:rPr>
          <w:rFonts w:hint="cs"/>
          <w:b/>
          <w:bCs/>
          <w:rtl/>
        </w:rPr>
        <w:t xml:space="preserve">    وأُجيب </w:t>
      </w:r>
      <w:r>
        <w:rPr>
          <w:rFonts w:hint="cs"/>
          <w:rtl/>
        </w:rPr>
        <w:t>: بأن التزوير</w:t>
      </w:r>
      <w:r>
        <w:rPr>
          <w:rStyle w:val="a7"/>
          <w:rtl/>
        </w:rPr>
        <w:footnoteReference w:id="4222"/>
      </w:r>
      <w:r>
        <w:rPr>
          <w:rFonts w:hint="cs"/>
          <w:rtl/>
        </w:rPr>
        <w:t xml:space="preserve"> في مثل هذا نادرٌ، لا يدور الحكمُ عليه</w:t>
      </w:r>
      <w:r>
        <w:rPr>
          <w:rFonts w:hint="cs"/>
          <w:vertAlign w:val="superscript"/>
          <w:rtl/>
        </w:rPr>
        <w:t>(</w:t>
      </w:r>
      <w:r>
        <w:rPr>
          <w:rStyle w:val="a7"/>
          <w:rtl/>
        </w:rPr>
        <w:footnoteReference w:id="4223"/>
      </w:r>
      <w:r>
        <w:rPr>
          <w:rFonts w:hint="cs"/>
          <w:vertAlign w:val="superscript"/>
          <w:rtl/>
        </w:rPr>
        <w:t>)</w:t>
      </w:r>
      <w:r>
        <w:rPr>
          <w:rFonts w:hint="cs"/>
          <w:rtl/>
        </w:rPr>
        <w:t>.</w:t>
      </w:r>
    </w:p>
    <w:p w:rsidR="00C10469" w:rsidRDefault="00C10469" w:rsidP="00C10469">
      <w:pPr>
        <w:ind w:left="989" w:hanging="269"/>
        <w:rPr>
          <w:rtl/>
        </w:rPr>
      </w:pPr>
      <w:r>
        <w:rPr>
          <w:rFonts w:ascii="Wingdings" w:hAnsi="Wingdings"/>
          <w:b/>
          <w:bCs/>
        </w:rPr>
        <w:t></w:t>
      </w:r>
      <w:r>
        <w:rPr>
          <w:rFonts w:hint="cs"/>
          <w:b/>
          <w:bCs/>
          <w:rtl/>
        </w:rPr>
        <w:t xml:space="preserve"> ومنها </w:t>
      </w:r>
      <w:r>
        <w:rPr>
          <w:rFonts w:hint="cs"/>
          <w:rtl/>
        </w:rPr>
        <w:t>: دفتر الصّراف</w:t>
      </w:r>
      <w:r>
        <w:rPr>
          <w:rFonts w:hint="cs"/>
          <w:vertAlign w:val="superscript"/>
          <w:rtl/>
        </w:rPr>
        <w:t>(</w:t>
      </w:r>
      <w:r>
        <w:rPr>
          <w:rStyle w:val="a7"/>
          <w:rtl/>
        </w:rPr>
        <w:footnoteReference w:id="4224"/>
      </w:r>
      <w:r>
        <w:rPr>
          <w:rFonts w:hint="cs"/>
          <w:vertAlign w:val="superscript"/>
          <w:rtl/>
        </w:rPr>
        <w:t>)</w:t>
      </w:r>
      <w:r>
        <w:rPr>
          <w:rFonts w:hint="cs"/>
          <w:rtl/>
        </w:rPr>
        <w:t>، والسمسار، و[البيّاع]</w:t>
      </w:r>
      <w:r>
        <w:rPr>
          <w:rStyle w:val="a7"/>
          <w:rtl/>
        </w:rPr>
        <w:footnoteReference w:id="4225"/>
      </w:r>
      <w:r>
        <w:rPr>
          <w:rFonts w:hint="cs"/>
          <w:rtl/>
        </w:rPr>
        <w:t>، والعمّال: يُعمل به</w:t>
      </w:r>
      <w:r>
        <w:rPr>
          <w:rFonts w:hint="cs"/>
          <w:vertAlign w:val="superscript"/>
          <w:rtl/>
        </w:rPr>
        <w:t>(</w:t>
      </w:r>
      <w:r>
        <w:rPr>
          <w:rStyle w:val="a7"/>
          <w:rtl/>
        </w:rPr>
        <w:footnoteReference w:id="4226"/>
      </w:r>
      <w:r>
        <w:rPr>
          <w:rFonts w:hint="cs"/>
          <w:vertAlign w:val="superscript"/>
          <w:rtl/>
        </w:rPr>
        <w:t>)</w:t>
      </w:r>
      <w:r>
        <w:rPr>
          <w:rFonts w:hint="cs"/>
          <w:rtl/>
        </w:rPr>
        <w:t>.</w:t>
      </w:r>
    </w:p>
    <w:p w:rsidR="00C10469" w:rsidRDefault="00C10469" w:rsidP="00C10469">
      <w:pPr>
        <w:ind w:left="989" w:hanging="269"/>
        <w:rPr>
          <w:rtl/>
        </w:rPr>
      </w:pPr>
      <w:r>
        <w:rPr>
          <w:rFonts w:hint="cs"/>
          <w:b/>
          <w:bCs/>
          <w:rtl/>
        </w:rPr>
        <w:t xml:space="preserve">وأجيب </w:t>
      </w:r>
      <w:r>
        <w:rPr>
          <w:rFonts w:hint="cs"/>
          <w:rtl/>
        </w:rPr>
        <w:t xml:space="preserve">: بأن </w:t>
      </w:r>
      <w:r>
        <w:rPr>
          <w:rFonts w:hint="eastAsia"/>
          <w:rtl/>
        </w:rPr>
        <w:t>«</w:t>
      </w:r>
      <w:r>
        <w:rPr>
          <w:rFonts w:hint="cs"/>
          <w:rtl/>
        </w:rPr>
        <w:t>العرف قاضٍ على القياس</w:t>
      </w:r>
      <w:r>
        <w:rPr>
          <w:rFonts w:hint="eastAsia"/>
          <w:rtl/>
        </w:rPr>
        <w:t>»</w:t>
      </w:r>
      <w:r>
        <w:rPr>
          <w:rFonts w:hint="cs"/>
          <w:vertAlign w:val="superscript"/>
          <w:rtl/>
        </w:rPr>
        <w:t>(</w:t>
      </w:r>
      <w:r>
        <w:rPr>
          <w:rStyle w:val="a7"/>
          <w:rtl/>
        </w:rPr>
        <w:footnoteReference w:id="4227"/>
      </w:r>
      <w:r>
        <w:rPr>
          <w:rFonts w:hint="cs"/>
          <w:vertAlign w:val="superscript"/>
          <w:rtl/>
        </w:rPr>
        <w:t>)</w:t>
      </w:r>
      <w:r>
        <w:rPr>
          <w:rFonts w:hint="cs"/>
          <w:rtl/>
        </w:rPr>
        <w:t>.</w:t>
      </w:r>
    </w:p>
    <w:p w:rsidR="00C10469" w:rsidRDefault="00C10469">
      <w:pPr>
        <w:rPr>
          <w:rtl/>
        </w:rPr>
        <w:sectPr w:rsidR="00C10469" w:rsidSect="00C10469">
          <w:headerReference w:type="default" r:id="rId25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rtl/>
        </w:rPr>
        <w:lastRenderedPageBreak/>
        <w:t>واعترض</w:t>
      </w:r>
      <w:r>
        <w:rPr>
          <w:rStyle w:val="a7"/>
          <w:rtl/>
        </w:rPr>
        <w:footnoteReference w:id="4228"/>
      </w:r>
      <w:r>
        <w:rPr>
          <w:rFonts w:hint="cs"/>
          <w:rtl/>
        </w:rPr>
        <w:t xml:space="preserve"> : بأن الخطّ يشبه الخطّ، فكيف [يعملون بها]؟</w:t>
      </w:r>
      <w:r>
        <w:rPr>
          <w:rStyle w:val="a7"/>
          <w:rtl/>
        </w:rPr>
        <w:footnoteReference w:id="4229"/>
      </w:r>
      <w:r>
        <w:rPr>
          <w:rFonts w:hint="cs"/>
          <w:vertAlign w:val="superscript"/>
          <w:rtl/>
        </w:rPr>
        <w:t>(</w:t>
      </w:r>
      <w:r>
        <w:rPr>
          <w:rStyle w:val="a7"/>
          <w:rtl/>
        </w:rPr>
        <w:footnoteReference w:id="4230"/>
      </w:r>
      <w:r>
        <w:rPr>
          <w:rFonts w:hint="cs"/>
          <w:vertAlign w:val="superscript"/>
          <w:rtl/>
        </w:rPr>
        <w:t>)</w:t>
      </w:r>
      <w:r>
        <w:rPr>
          <w:rFonts w:hint="cs"/>
          <w:rtl/>
        </w:rPr>
        <w:t>.</w:t>
      </w:r>
    </w:p>
    <w:p w:rsidR="00C10469" w:rsidRPr="00753FE8" w:rsidRDefault="00C10469">
      <w:pPr>
        <w:pStyle w:val="a9"/>
        <w:rPr>
          <w:rFonts w:cs="AL-Mateen"/>
          <w:rtl/>
        </w:rPr>
      </w:pPr>
      <w:r w:rsidRPr="00753FE8">
        <w:rPr>
          <w:rFonts w:cs="AL-Mateen" w:hint="cs"/>
          <w:rtl/>
        </w:rPr>
        <w:lastRenderedPageBreak/>
        <w:t>[القاعدة الثالثة بعد الـمائتـيـن]</w:t>
      </w:r>
    </w:p>
    <w:p w:rsidR="00C10469" w:rsidRDefault="00C10469">
      <w:pPr>
        <w:rPr>
          <w:rtl/>
        </w:rPr>
      </w:pPr>
      <w:r>
        <w:rPr>
          <w:rFonts w:cs="Monotype Koufi" w:hint="cs"/>
          <w:rtl/>
        </w:rPr>
        <w:t>لا يُحلِّفُ القَاضِي عَلَى حقٍّ</w:t>
      </w:r>
      <w:r>
        <w:rPr>
          <w:rStyle w:val="a7"/>
          <w:rtl/>
        </w:rPr>
        <w:footnoteReference w:id="4231"/>
      </w:r>
      <w:r>
        <w:rPr>
          <w:rFonts w:hint="cs"/>
          <w:rtl/>
        </w:rPr>
        <w:t xml:space="preserve"> </w:t>
      </w:r>
      <w:r>
        <w:rPr>
          <w:rFonts w:cs="Monotype Koufi" w:hint="cs"/>
          <w:rtl/>
        </w:rPr>
        <w:t>[مَجْهُولٍ]</w:t>
      </w:r>
      <w:r>
        <w:rPr>
          <w:rStyle w:val="a7"/>
          <w:rtl/>
        </w:rPr>
        <w:footnoteReference w:id="4232"/>
      </w:r>
      <w:r>
        <w:rPr>
          <w:rFonts w:hint="cs"/>
          <w:vertAlign w:val="superscript"/>
          <w:rtl/>
        </w:rPr>
        <w:t>(</w:t>
      </w:r>
      <w:r>
        <w:rPr>
          <w:rStyle w:val="a7"/>
          <w:rtl/>
        </w:rPr>
        <w:footnoteReference w:id="4233"/>
      </w:r>
      <w:r>
        <w:rPr>
          <w:rFonts w:hint="cs"/>
          <w:vertAlign w:val="superscript"/>
          <w:rtl/>
        </w:rPr>
        <w:t>)</w:t>
      </w:r>
      <w:r>
        <w:rPr>
          <w:rFonts w:hint="cs"/>
          <w:rtl/>
        </w:rPr>
        <w:t xml:space="preserve">: </w:t>
      </w:r>
    </w:p>
    <w:p w:rsidR="00C10469" w:rsidRDefault="00C10469">
      <w:pPr>
        <w:rPr>
          <w:rtl/>
        </w:rPr>
      </w:pPr>
      <w:r>
        <w:rPr>
          <w:rFonts w:hint="cs"/>
          <w:rtl/>
        </w:rPr>
        <w:t>لأن التحليفَ مبنيٌّ على صحة الدعوى، وشُرِطَ لصحتها: إحضار</w:t>
      </w:r>
      <w:r>
        <w:rPr>
          <w:rStyle w:val="a7"/>
          <w:rtl/>
        </w:rPr>
        <w:footnoteReference w:id="4234"/>
      </w:r>
      <w:r>
        <w:rPr>
          <w:rFonts w:hint="cs"/>
          <w:rtl/>
        </w:rPr>
        <w:t xml:space="preserve"> ما يَدّعي المدعي إن أمكن، وذِكْرُ قيمته إن تعذَّر</w:t>
      </w:r>
      <w:r>
        <w:rPr>
          <w:rFonts w:hint="cs"/>
          <w:vertAlign w:val="superscript"/>
          <w:rtl/>
        </w:rPr>
        <w:t>(</w:t>
      </w:r>
      <w:r>
        <w:rPr>
          <w:rStyle w:val="a7"/>
          <w:rtl/>
        </w:rPr>
        <w:footnoteReference w:id="4235"/>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w:t>
      </w:r>
      <w:r>
        <w:rPr>
          <w:rStyle w:val="a7"/>
          <w:rtl/>
        </w:rPr>
        <w:footnoteReference w:id="4236"/>
      </w:r>
      <w:r>
        <w:rPr>
          <w:rFonts w:hint="cs"/>
          <w:rtl/>
        </w:rPr>
        <w:t xml:space="preserve"> الأصل مسائل : </w:t>
      </w:r>
    </w:p>
    <w:p w:rsidR="00C10469" w:rsidRDefault="00C10469" w:rsidP="00C10469">
      <w:pPr>
        <w:rPr>
          <w:rtl/>
        </w:rPr>
      </w:pPr>
      <w:r>
        <w:rPr>
          <w:b/>
          <w:bCs/>
          <w:rtl/>
        </w:rPr>
        <w:lastRenderedPageBreak/>
        <w:t>•</w:t>
      </w:r>
      <w:r>
        <w:rPr>
          <w:rFonts w:hint="cs"/>
          <w:b/>
          <w:bCs/>
          <w:rtl/>
        </w:rPr>
        <w:t xml:space="preserve">  منها </w:t>
      </w:r>
      <w:r>
        <w:rPr>
          <w:rFonts w:hint="cs"/>
          <w:rtl/>
        </w:rPr>
        <w:t xml:space="preserve">: </w:t>
      </w:r>
      <w:r>
        <w:rPr>
          <w:rFonts w:hint="eastAsia"/>
          <w:rtl/>
        </w:rPr>
        <w:t>«</w:t>
      </w:r>
      <w:r>
        <w:rPr>
          <w:rFonts w:hint="cs"/>
          <w:rtl/>
        </w:rPr>
        <w:t xml:space="preserve">لو قال المدّعي : غَصَبْتَ منّي عين كذا، ولا أدري قيمته : </w:t>
      </w:r>
    </w:p>
    <w:p w:rsidR="00C10469" w:rsidRDefault="00C10469" w:rsidP="00C10469">
      <w:pPr>
        <w:ind w:left="989" w:hanging="422"/>
        <w:rPr>
          <w:rtl/>
        </w:rPr>
      </w:pPr>
      <w:r>
        <w:rPr>
          <w:rFonts w:hint="cs"/>
          <w:rtl/>
        </w:rPr>
        <w:t xml:space="preserve">     قالوا : [تسمع]</w:t>
      </w:r>
      <w:r>
        <w:rPr>
          <w:rStyle w:val="a7"/>
          <w:rtl/>
        </w:rPr>
        <w:footnoteReference w:id="4237"/>
      </w:r>
      <w:r>
        <w:rPr>
          <w:rFonts w:hint="cs"/>
          <w:rtl/>
        </w:rPr>
        <w:t xml:space="preserve"> دعواه؛ لأن الإنسان ربما لا يعرف قيمة مَالِِهِ، فلو</w:t>
      </w:r>
      <w:r>
        <w:rPr>
          <w:rStyle w:val="a7"/>
          <w:rtl/>
        </w:rPr>
        <w:footnoteReference w:id="4238"/>
      </w:r>
      <w:r>
        <w:rPr>
          <w:rFonts w:hint="cs"/>
          <w:rtl/>
        </w:rPr>
        <w:t xml:space="preserve"> كلّف بيان القيمة لتضرّر</w:t>
      </w:r>
      <w:r>
        <w:rPr>
          <w:rStyle w:val="a7"/>
          <w:rtl/>
        </w:rPr>
        <w:footnoteReference w:id="4239"/>
      </w:r>
      <w:r>
        <w:rPr>
          <w:rFonts w:hint="cs"/>
          <w:rtl/>
        </w:rPr>
        <w:t xml:space="preserve"> بالعجز</w:t>
      </w:r>
      <w:r>
        <w:rPr>
          <w:rFonts w:hint="eastAsia"/>
          <w:rtl/>
        </w:rPr>
        <w:t>»</w:t>
      </w:r>
      <w:r>
        <w:rPr>
          <w:rFonts w:hint="cs"/>
          <w:vertAlign w:val="superscript"/>
          <w:rtl/>
        </w:rPr>
        <w:t>(</w:t>
      </w:r>
      <w:r>
        <w:rPr>
          <w:rStyle w:val="a7"/>
          <w:rtl/>
        </w:rPr>
        <w:footnoteReference w:id="4240"/>
      </w:r>
      <w:r>
        <w:rPr>
          <w:rFonts w:hint="cs"/>
          <w:vertAlign w:val="superscript"/>
          <w:rtl/>
        </w:rPr>
        <w:t>)</w:t>
      </w:r>
      <w:r>
        <w:rPr>
          <w:rFonts w:hint="cs"/>
          <w:rtl/>
        </w:rPr>
        <w:t>.</w:t>
      </w:r>
    </w:p>
    <w:p w:rsidR="00C10469" w:rsidRDefault="00C10469" w:rsidP="00C10469">
      <w:pPr>
        <w:ind w:left="989" w:hanging="422"/>
        <w:rPr>
          <w:spacing w:val="-6"/>
          <w:rtl/>
        </w:rPr>
      </w:pPr>
      <w:r>
        <w:rPr>
          <w:rFonts w:hint="cs"/>
          <w:b/>
          <w:bCs/>
          <w:spacing w:val="-6"/>
          <w:rtl/>
        </w:rPr>
        <w:t xml:space="preserve">    وأتمّ هذا الدليلَ</w:t>
      </w:r>
      <w:r>
        <w:rPr>
          <w:rFonts w:hint="cs"/>
          <w:spacing w:val="-6"/>
          <w:rtl/>
        </w:rPr>
        <w:t xml:space="preserve"> صاحبُ (الدرر)، حيث قال : </w:t>
      </w:r>
      <w:r>
        <w:rPr>
          <w:rFonts w:hint="eastAsia"/>
          <w:spacing w:val="-6"/>
          <w:rtl/>
        </w:rPr>
        <w:t>«</w:t>
      </w:r>
      <w:r>
        <w:rPr>
          <w:rFonts w:hint="cs"/>
          <w:spacing w:val="-6"/>
          <w:rtl/>
        </w:rPr>
        <w:t>فائدة صحة الدعوى مع هذه الجهالة الفاحشة : توجّه</w:t>
      </w:r>
      <w:r>
        <w:rPr>
          <w:rFonts w:hint="cs"/>
          <w:spacing w:val="-6"/>
          <w:vertAlign w:val="superscript"/>
          <w:rtl/>
        </w:rPr>
        <w:t>(</w:t>
      </w:r>
      <w:r>
        <w:rPr>
          <w:rStyle w:val="a7"/>
          <w:spacing w:val="-6"/>
          <w:rtl/>
        </w:rPr>
        <w:footnoteReference w:id="4241"/>
      </w:r>
      <w:r>
        <w:rPr>
          <w:rFonts w:hint="cs"/>
          <w:spacing w:val="-6"/>
          <w:vertAlign w:val="superscript"/>
          <w:rtl/>
        </w:rPr>
        <w:t>)</w:t>
      </w:r>
      <w:r>
        <w:rPr>
          <w:rFonts w:hint="cs"/>
          <w:spacing w:val="-6"/>
          <w:rtl/>
        </w:rPr>
        <w:t xml:space="preserve"> اليمين على الـخـصم إذا أنـكر، والجبر</w:t>
      </w:r>
      <w:r>
        <w:rPr>
          <w:rStyle w:val="a7"/>
          <w:spacing w:val="-6"/>
          <w:rtl/>
        </w:rPr>
        <w:footnoteReference w:id="4242"/>
      </w:r>
      <w:r>
        <w:rPr>
          <w:rFonts w:hint="cs"/>
          <w:spacing w:val="-6"/>
          <w:rtl/>
        </w:rPr>
        <w:t xml:space="preserve"> على البيـان إذا أقرّ</w:t>
      </w:r>
      <w:r>
        <w:rPr>
          <w:rFonts w:hint="eastAsia"/>
          <w:spacing w:val="-6"/>
          <w:rtl/>
        </w:rPr>
        <w:t>»</w:t>
      </w:r>
      <w:r>
        <w:rPr>
          <w:rFonts w:hint="cs"/>
          <w:spacing w:val="-6"/>
          <w:vertAlign w:val="superscript"/>
          <w:rtl/>
        </w:rPr>
        <w:t>(</w:t>
      </w:r>
      <w:r>
        <w:rPr>
          <w:rStyle w:val="a7"/>
          <w:spacing w:val="-6"/>
          <w:rtl/>
        </w:rPr>
        <w:footnoteReference w:id="4243"/>
      </w:r>
      <w:r>
        <w:rPr>
          <w:rFonts w:hint="cs"/>
          <w:spacing w:val="-6"/>
          <w:vertAlign w:val="superscript"/>
          <w:rtl/>
        </w:rPr>
        <w:t>)</w:t>
      </w:r>
      <w:r>
        <w:rPr>
          <w:rFonts w:hint="cs"/>
          <w:spacing w:val="-6"/>
          <w:rtl/>
        </w:rPr>
        <w:t>.</w:t>
      </w:r>
    </w:p>
    <w:p w:rsidR="00C10469" w:rsidRDefault="00C10469" w:rsidP="00C10469">
      <w:pPr>
        <w:ind w:left="989" w:hanging="422"/>
        <w:rPr>
          <w:spacing w:val="-6"/>
          <w:rtl/>
        </w:rPr>
      </w:pPr>
      <w:r>
        <w:rPr>
          <w:rFonts w:hint="cs"/>
          <w:b/>
          <w:bCs/>
          <w:spacing w:val="-6"/>
          <w:rtl/>
        </w:rPr>
        <w:t xml:space="preserve">     وورد النقض عليه </w:t>
      </w:r>
      <w:r>
        <w:rPr>
          <w:rFonts w:hint="cs"/>
          <w:spacing w:val="-6"/>
          <w:rtl/>
        </w:rPr>
        <w:t>: بأن هذا مخالف لما ذَكَرَ</w:t>
      </w:r>
      <w:r>
        <w:rPr>
          <w:rFonts w:hint="cs"/>
          <w:spacing w:val="-6"/>
          <w:vertAlign w:val="superscript"/>
          <w:rtl/>
        </w:rPr>
        <w:t>(</w:t>
      </w:r>
      <w:r>
        <w:rPr>
          <w:rStyle w:val="a7"/>
          <w:spacing w:val="-6"/>
          <w:rtl/>
        </w:rPr>
        <w:footnoteReference w:id="4244"/>
      </w:r>
      <w:r>
        <w:rPr>
          <w:rFonts w:hint="cs"/>
          <w:spacing w:val="-6"/>
          <w:vertAlign w:val="superscript"/>
          <w:rtl/>
        </w:rPr>
        <w:t>)</w:t>
      </w:r>
      <w:r>
        <w:rPr>
          <w:rFonts w:hint="cs"/>
          <w:spacing w:val="-6"/>
          <w:rtl/>
        </w:rPr>
        <w:t xml:space="preserve"> من اشتراط الإشارة، وبيان القيمة، والفائدة التي ذكرها توجد في جميع الدعاوى</w:t>
      </w:r>
      <w:r>
        <w:rPr>
          <w:rStyle w:val="a7"/>
          <w:spacing w:val="-6"/>
          <w:rtl/>
        </w:rPr>
        <w:footnoteReference w:id="4245"/>
      </w:r>
      <w:r>
        <w:rPr>
          <w:rFonts w:hint="cs"/>
          <w:spacing w:val="-6"/>
          <w:rtl/>
        </w:rPr>
        <w:t>، فما فائدة الشرط؟!.</w:t>
      </w:r>
    </w:p>
    <w:p w:rsidR="00C10469" w:rsidRDefault="00C10469" w:rsidP="00C10469">
      <w:pPr>
        <w:ind w:left="706" w:hanging="139"/>
        <w:rPr>
          <w:rtl/>
        </w:rPr>
      </w:pPr>
      <w:r>
        <w:rPr>
          <w:rFonts w:hint="cs"/>
          <w:b/>
          <w:bCs/>
          <w:rtl/>
        </w:rPr>
        <w:t xml:space="preserve">  </w:t>
      </w:r>
      <w:r>
        <w:rPr>
          <w:b/>
          <w:bCs/>
          <w:rtl/>
        </w:rPr>
        <w:t>•</w:t>
      </w:r>
      <w:r>
        <w:rPr>
          <w:rFonts w:hint="cs"/>
          <w:b/>
          <w:bCs/>
          <w:rtl/>
        </w:rPr>
        <w:t xml:space="preserve">   ومنها </w:t>
      </w:r>
      <w:r>
        <w:rPr>
          <w:rFonts w:hint="cs"/>
          <w:rtl/>
        </w:rPr>
        <w:t>: إذا اتهم القاضي وَصِيَّ اليتيم ومُتولي الوقف</w:t>
      </w:r>
      <w:r>
        <w:rPr>
          <w:rFonts w:hint="cs"/>
          <w:vertAlign w:val="superscript"/>
          <w:rtl/>
        </w:rPr>
        <w:t>(</w:t>
      </w:r>
      <w:r>
        <w:rPr>
          <w:rStyle w:val="a7"/>
          <w:rtl/>
        </w:rPr>
        <w:footnoteReference w:id="4246"/>
      </w:r>
      <w:r>
        <w:rPr>
          <w:rFonts w:hint="cs"/>
          <w:vertAlign w:val="superscript"/>
          <w:rtl/>
        </w:rPr>
        <w:t>)</w:t>
      </w:r>
      <w:r>
        <w:rPr>
          <w:rFonts w:hint="cs"/>
          <w:rtl/>
        </w:rPr>
        <w:t>.</w:t>
      </w:r>
    </w:p>
    <w:p w:rsidR="00C10469" w:rsidRDefault="00C10469" w:rsidP="00C10469">
      <w:pPr>
        <w:ind w:left="706" w:hanging="139"/>
        <w:rPr>
          <w:rtl/>
        </w:rPr>
      </w:pPr>
      <w:r>
        <w:rPr>
          <w:rFonts w:hint="cs"/>
          <w:b/>
          <w:bCs/>
          <w:rtl/>
        </w:rPr>
        <w:t xml:space="preserve">       وأُجيب</w:t>
      </w:r>
      <w:r>
        <w:rPr>
          <w:rFonts w:hint="cs"/>
          <w:rtl/>
        </w:rPr>
        <w:t xml:space="preserve"> : بأن القاضي يحلفهما نظرًا لليتيم والوقف.</w:t>
      </w:r>
    </w:p>
    <w:p w:rsidR="00C10469" w:rsidRDefault="00C10469" w:rsidP="00C10469">
      <w:pPr>
        <w:ind w:left="1131" w:hanging="564"/>
        <w:rPr>
          <w:spacing w:val="6"/>
          <w:rtl/>
        </w:rPr>
      </w:pPr>
      <w:r>
        <w:rPr>
          <w:rFonts w:hint="cs"/>
          <w:b/>
          <w:bCs/>
          <w:spacing w:val="6"/>
          <w:rtl/>
        </w:rPr>
        <w:t xml:space="preserve">  </w:t>
      </w:r>
      <w:r>
        <w:rPr>
          <w:b/>
          <w:bCs/>
          <w:spacing w:val="6"/>
          <w:rtl/>
        </w:rPr>
        <w:t>•</w:t>
      </w:r>
      <w:r>
        <w:rPr>
          <w:rFonts w:hint="cs"/>
          <w:b/>
          <w:bCs/>
          <w:spacing w:val="6"/>
          <w:rtl/>
        </w:rPr>
        <w:t xml:space="preserve">  ومنها </w:t>
      </w:r>
      <w:r>
        <w:rPr>
          <w:rFonts w:hint="cs"/>
          <w:spacing w:val="6"/>
          <w:rtl/>
        </w:rPr>
        <w:t>: إذا ادعـى المودِع على المودَع خيانة مطلقة : فإنه يحلفه -</w:t>
      </w:r>
      <w:r>
        <w:rPr>
          <w:rFonts w:hint="cs"/>
          <w:spacing w:val="6"/>
          <w:rtl/>
        </w:rPr>
        <w:lastRenderedPageBreak/>
        <w:t>كما في (القنية)</w:t>
      </w:r>
      <w:r>
        <w:rPr>
          <w:rFonts w:hint="cs"/>
          <w:spacing w:val="6"/>
          <w:vertAlign w:val="superscript"/>
          <w:rtl/>
        </w:rPr>
        <w:t>(</w:t>
      </w:r>
      <w:r>
        <w:rPr>
          <w:rStyle w:val="a7"/>
          <w:spacing w:val="6"/>
          <w:rtl/>
        </w:rPr>
        <w:footnoteReference w:id="4247"/>
      </w:r>
      <w:r>
        <w:rPr>
          <w:rFonts w:hint="cs"/>
          <w:spacing w:val="6"/>
          <w:vertAlign w:val="superscript"/>
          <w:rtl/>
        </w:rPr>
        <w:t>)</w:t>
      </w:r>
      <w:r>
        <w:rPr>
          <w:rFonts w:hint="cs"/>
          <w:spacing w:val="6"/>
          <w:rtl/>
        </w:rPr>
        <w:t xml:space="preserve">-. </w:t>
      </w:r>
    </w:p>
    <w:p w:rsidR="00C10469" w:rsidRDefault="00C10469" w:rsidP="00C10469">
      <w:pPr>
        <w:ind w:left="989" w:hanging="422"/>
        <w:rPr>
          <w:rtl/>
        </w:rPr>
      </w:pPr>
      <w:r>
        <w:rPr>
          <w:b/>
          <w:bCs/>
          <w:rtl/>
        </w:rPr>
        <w:t>•</w:t>
      </w:r>
      <w:r>
        <w:rPr>
          <w:rFonts w:hint="cs"/>
          <w:b/>
          <w:bCs/>
          <w:rtl/>
        </w:rPr>
        <w:t xml:space="preserve">  ومنها </w:t>
      </w:r>
      <w:r>
        <w:rPr>
          <w:rFonts w:hint="cs"/>
          <w:rtl/>
        </w:rPr>
        <w:t>: ادعى الرهن المجهول.</w:t>
      </w:r>
    </w:p>
    <w:p w:rsidR="00C10469" w:rsidRDefault="00C10469" w:rsidP="00C10469">
      <w:pPr>
        <w:ind w:left="989" w:hanging="422"/>
        <w:rPr>
          <w:rtl/>
        </w:rPr>
      </w:pPr>
      <w:r>
        <w:rPr>
          <w:b/>
          <w:bCs/>
          <w:rtl/>
        </w:rPr>
        <w:t>•</w:t>
      </w:r>
      <w:r>
        <w:rPr>
          <w:rFonts w:hint="cs"/>
          <w:b/>
          <w:bCs/>
          <w:rtl/>
        </w:rPr>
        <w:t xml:space="preserve">  ومنها </w:t>
      </w:r>
      <w:r>
        <w:rPr>
          <w:rFonts w:hint="cs"/>
          <w:rtl/>
        </w:rPr>
        <w:t>: في [دعوى]</w:t>
      </w:r>
      <w:r>
        <w:rPr>
          <w:rStyle w:val="a7"/>
          <w:rtl/>
        </w:rPr>
        <w:footnoteReference w:id="4248"/>
      </w:r>
      <w:r>
        <w:rPr>
          <w:rFonts w:hint="cs"/>
          <w:rtl/>
        </w:rPr>
        <w:t xml:space="preserve"> السرقة المجهولة</w:t>
      </w:r>
      <w:r>
        <w:rPr>
          <w:rFonts w:hint="cs"/>
          <w:vertAlign w:val="superscript"/>
          <w:rtl/>
        </w:rPr>
        <w:t>(</w:t>
      </w:r>
      <w:r>
        <w:rPr>
          <w:rStyle w:val="a7"/>
          <w:rtl/>
        </w:rPr>
        <w:footnoteReference w:id="4249"/>
      </w:r>
      <w:r>
        <w:rPr>
          <w:rFonts w:hint="cs"/>
          <w:vertAlign w:val="superscript"/>
          <w:rtl/>
        </w:rPr>
        <w:t>)</w:t>
      </w:r>
      <w:r>
        <w:rPr>
          <w:rFonts w:hint="cs"/>
          <w:rtl/>
        </w:rPr>
        <w:t>.</w:t>
      </w:r>
    </w:p>
    <w:p w:rsidR="00C10469" w:rsidRDefault="00C10469" w:rsidP="00C10469">
      <w:pPr>
        <w:ind w:left="989" w:hanging="422"/>
        <w:rPr>
          <w:spacing w:val="-6"/>
          <w:rtl/>
        </w:rPr>
      </w:pPr>
      <w:r>
        <w:rPr>
          <w:rFonts w:hint="cs"/>
          <w:spacing w:val="-6"/>
          <w:rtl/>
        </w:rPr>
        <w:t xml:space="preserve">    ولم أرَ الآن جوابًا شافيًا لهذه المسائل. وأظن أن الأصل الذي ذُكر في صدر الكلام ليس بمطلق؛ بل مخصوص في [المعاوضات]</w:t>
      </w:r>
      <w:r>
        <w:rPr>
          <w:rStyle w:val="a7"/>
          <w:spacing w:val="-6"/>
          <w:rtl/>
        </w:rPr>
        <w:footnoteReference w:id="4250"/>
      </w:r>
      <w:r>
        <w:rPr>
          <w:rFonts w:hint="cs"/>
          <w:spacing w:val="-6"/>
          <w:rtl/>
        </w:rPr>
        <w:t>؛ لأن العوض لابدّ أن يكون معلومًا. ومن تأملّ حق التأمّل في المستثنيات والمستثنى منها اتضح له</w:t>
      </w:r>
      <w:r>
        <w:rPr>
          <w:rStyle w:val="a7"/>
          <w:spacing w:val="-6"/>
          <w:rtl/>
        </w:rPr>
        <w:footnoteReference w:id="4251"/>
      </w:r>
      <w:r>
        <w:rPr>
          <w:rFonts w:hint="cs"/>
          <w:spacing w:val="-6"/>
          <w:rtl/>
        </w:rPr>
        <w:t xml:space="preserve"> إصابتي</w:t>
      </w:r>
      <w:r>
        <w:rPr>
          <w:rStyle w:val="a7"/>
          <w:spacing w:val="-6"/>
          <w:rtl/>
        </w:rPr>
        <w:footnoteReference w:id="4252"/>
      </w:r>
      <w:r>
        <w:rPr>
          <w:rFonts w:hint="cs"/>
          <w:spacing w:val="-6"/>
          <w:rtl/>
        </w:rPr>
        <w:t xml:space="preserve"> في ظنّي - والله أعلم-.</w:t>
      </w:r>
    </w:p>
    <w:p w:rsidR="00C10469" w:rsidRDefault="00C10469">
      <w:pPr>
        <w:rPr>
          <w:spacing w:val="-6"/>
          <w:rtl/>
        </w:rPr>
      </w:pPr>
    </w:p>
    <w:p w:rsidR="00C10469" w:rsidRDefault="00C10469">
      <w:pPr>
        <w:rPr>
          <w:spacing w:val="-6"/>
          <w:rtl/>
        </w:rPr>
      </w:pPr>
    </w:p>
    <w:p w:rsidR="00C10469" w:rsidRDefault="00C10469">
      <w:pPr>
        <w:rPr>
          <w:spacing w:val="-6"/>
          <w:rtl/>
        </w:rPr>
      </w:pPr>
    </w:p>
    <w:p w:rsidR="00C10469" w:rsidRPr="00555664" w:rsidRDefault="00C10469">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spacing w:val="-6"/>
          <w:rtl/>
        </w:rPr>
        <w:sectPr w:rsidR="00C10469" w:rsidSect="00C10469">
          <w:headerReference w:type="default" r:id="rId25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F65D52" w:rsidRDefault="00C10469">
      <w:pPr>
        <w:pStyle w:val="a9"/>
        <w:rPr>
          <w:rFonts w:cs="AL-Mateen"/>
          <w:rtl/>
        </w:rPr>
      </w:pPr>
      <w:r w:rsidRPr="00F65D52">
        <w:rPr>
          <w:rFonts w:cs="AL-Mateen" w:hint="cs"/>
          <w:rtl/>
        </w:rPr>
        <w:lastRenderedPageBreak/>
        <w:t>[الـقـاعـدة الـرابـعـة بـعـد الـمـائـتـيـن]</w:t>
      </w:r>
    </w:p>
    <w:p w:rsidR="00C10469" w:rsidRDefault="00C10469">
      <w:pPr>
        <w:rPr>
          <w:rtl/>
        </w:rPr>
      </w:pPr>
      <w:r>
        <w:rPr>
          <w:rFonts w:cs="Monotype Koufi" w:hint="cs"/>
          <w:rtl/>
        </w:rPr>
        <w:t>لاَ [تُسمَعُ]</w:t>
      </w:r>
      <w:r>
        <w:rPr>
          <w:rStyle w:val="a7"/>
          <w:rtl/>
        </w:rPr>
        <w:footnoteReference w:id="4253"/>
      </w:r>
      <w:r>
        <w:rPr>
          <w:rFonts w:hint="cs"/>
          <w:rtl/>
        </w:rPr>
        <w:t xml:space="preserve"> </w:t>
      </w:r>
      <w:r>
        <w:rPr>
          <w:rFonts w:cs="Monotype Koufi" w:hint="cs"/>
          <w:rtl/>
        </w:rPr>
        <w:t>الدَّعوَى بَعْدَ الإبْرَاءِ العامِّ إلاّ بحقٍّ حادِثٍ بَعْدَهُ</w:t>
      </w:r>
      <w:r>
        <w:rPr>
          <w:rStyle w:val="a7"/>
          <w:rtl/>
        </w:rPr>
        <w:footnoteReference w:id="4254"/>
      </w:r>
      <w:r>
        <w:rPr>
          <w:rFonts w:hint="cs"/>
          <w:vertAlign w:val="superscript"/>
          <w:rtl/>
        </w:rPr>
        <w:t>(</w:t>
      </w:r>
      <w:r>
        <w:rPr>
          <w:rStyle w:val="a7"/>
          <w:rtl/>
        </w:rPr>
        <w:footnoteReference w:id="4255"/>
      </w:r>
      <w:r>
        <w:rPr>
          <w:rFonts w:hint="cs"/>
          <w:vertAlign w:val="superscript"/>
          <w:rtl/>
        </w:rPr>
        <w:t>)</w:t>
      </w:r>
      <w:r>
        <w:rPr>
          <w:rFonts w:hint="cs"/>
          <w:rtl/>
        </w:rPr>
        <w:t>:</w:t>
      </w:r>
    </w:p>
    <w:p w:rsidR="00C10469" w:rsidRDefault="00C10469">
      <w:pPr>
        <w:rPr>
          <w:rtl/>
        </w:rPr>
      </w:pPr>
      <w:r>
        <w:rPr>
          <w:rFonts w:hint="cs"/>
          <w:rtl/>
        </w:rPr>
        <w:lastRenderedPageBreak/>
        <w:t>حتى [يسقط]</w:t>
      </w:r>
      <w:r>
        <w:rPr>
          <w:rStyle w:val="a7"/>
          <w:rtl/>
        </w:rPr>
        <w:footnoteReference w:id="4256"/>
      </w:r>
      <w:r>
        <w:rPr>
          <w:rFonts w:hint="cs"/>
          <w:rtl/>
        </w:rPr>
        <w:t xml:space="preserve"> حق الشفعة</w:t>
      </w:r>
      <w:r>
        <w:rPr>
          <w:rFonts w:hint="cs"/>
          <w:vertAlign w:val="superscript"/>
          <w:rtl/>
        </w:rPr>
        <w:t>(</w:t>
      </w:r>
      <w:r>
        <w:rPr>
          <w:rStyle w:val="a7"/>
          <w:rtl/>
        </w:rPr>
        <w:footnoteReference w:id="4257"/>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 الأصل مسائل :</w:t>
      </w:r>
    </w:p>
    <w:p w:rsidR="00C10469" w:rsidRDefault="00C10469" w:rsidP="00C10469">
      <w:pPr>
        <w:spacing w:line="264" w:lineRule="auto"/>
        <w:ind w:left="850" w:hanging="357"/>
        <w:rPr>
          <w:rtl/>
        </w:rPr>
      </w:pPr>
      <w:r>
        <w:rPr>
          <w:b/>
          <w:bCs/>
          <w:rtl/>
        </w:rPr>
        <w:t>•</w:t>
      </w:r>
      <w:r>
        <w:rPr>
          <w:rFonts w:hint="cs"/>
          <w:b/>
          <w:bCs/>
          <w:rtl/>
        </w:rPr>
        <w:t xml:space="preserve">  فمنها</w:t>
      </w:r>
      <w:r>
        <w:rPr>
          <w:rFonts w:hint="cs"/>
          <w:rtl/>
        </w:rPr>
        <w:t xml:space="preserve"> : ما لو ادعى مالاً على آخر، فقال الخصم - على وجه الدفع -: أنت أبرأتني عن دعواك. وبرهن، فادّعى المدّعي - ثانيًا - : أنه أقرّ</w:t>
      </w:r>
      <w:r>
        <w:rPr>
          <w:rFonts w:hint="cs"/>
          <w:vertAlign w:val="superscript"/>
          <w:rtl/>
        </w:rPr>
        <w:t>(</w:t>
      </w:r>
      <w:r>
        <w:rPr>
          <w:rStyle w:val="a7"/>
          <w:rtl/>
        </w:rPr>
        <w:footnoteReference w:id="4258"/>
      </w:r>
      <w:r>
        <w:rPr>
          <w:rFonts w:hint="cs"/>
          <w:vertAlign w:val="superscript"/>
          <w:rtl/>
        </w:rPr>
        <w:t>)</w:t>
      </w:r>
      <w:r>
        <w:rPr>
          <w:rFonts w:hint="cs"/>
          <w:rtl/>
        </w:rPr>
        <w:t xml:space="preserve"> بعد الإبراء : تسمع دعواه!.</w:t>
      </w:r>
    </w:p>
    <w:p w:rsidR="00C10469" w:rsidRDefault="00C10469" w:rsidP="00C10469">
      <w:pPr>
        <w:spacing w:line="264" w:lineRule="auto"/>
        <w:ind w:left="850" w:hanging="357"/>
        <w:rPr>
          <w:rtl/>
        </w:rPr>
      </w:pPr>
      <w:r>
        <w:rPr>
          <w:rFonts w:hint="cs"/>
          <w:b/>
          <w:bCs/>
          <w:rtl/>
        </w:rPr>
        <w:t xml:space="preserve">     والجواب</w:t>
      </w:r>
      <w:r>
        <w:rPr>
          <w:rFonts w:hint="cs"/>
          <w:rtl/>
        </w:rPr>
        <w:t xml:space="preserve"> : أن الإبراء يرتّد بالرّد. فمن الجائز : أن يكون عليه الدين بعدم القبول</w:t>
      </w:r>
      <w:r>
        <w:rPr>
          <w:rStyle w:val="a7"/>
          <w:rtl/>
        </w:rPr>
        <w:footnoteReference w:id="4259"/>
      </w:r>
      <w:r>
        <w:rPr>
          <w:rFonts w:hint="cs"/>
          <w:rtl/>
        </w:rPr>
        <w:t xml:space="preserve">. حتى إذا كان الخصم قال - في الأوّل - : أبْرَأْتَنِي، وقَبِـلْـتُـهُ، </w:t>
      </w:r>
      <w:r>
        <w:rPr>
          <w:rtl/>
        </w:rPr>
        <w:br/>
      </w:r>
      <w:r>
        <w:rPr>
          <w:rFonts w:hint="cs"/>
          <w:rtl/>
        </w:rPr>
        <w:t>أو صدّقتُكَ في ذلك: لا يصحّ دعوى دفع</w:t>
      </w:r>
      <w:r>
        <w:rPr>
          <w:rStyle w:val="a7"/>
          <w:rtl/>
        </w:rPr>
        <w:footnoteReference w:id="4260"/>
      </w:r>
      <w:r>
        <w:rPr>
          <w:rFonts w:hint="cs"/>
          <w:rtl/>
        </w:rPr>
        <w:t xml:space="preserve"> الدفع. كذا في الفتاوى [الظهيرية]</w:t>
      </w:r>
      <w:r>
        <w:rPr>
          <w:rStyle w:val="a7"/>
          <w:rtl/>
        </w:rPr>
        <w:footnoteReference w:id="4261"/>
      </w:r>
      <w:r>
        <w:rPr>
          <w:rFonts w:hint="cs"/>
          <w:vertAlign w:val="superscript"/>
          <w:rtl/>
        </w:rPr>
        <w:t>(</w:t>
      </w:r>
      <w:r>
        <w:rPr>
          <w:rStyle w:val="a7"/>
          <w:rtl/>
        </w:rPr>
        <w:footnoteReference w:id="4262"/>
      </w:r>
      <w:r>
        <w:rPr>
          <w:rFonts w:hint="cs"/>
          <w:vertAlign w:val="superscript"/>
          <w:rtl/>
        </w:rPr>
        <w:t>)</w:t>
      </w:r>
      <w:r>
        <w:rPr>
          <w:rFonts w:hint="cs"/>
          <w:rtl/>
        </w:rPr>
        <w:t>.</w:t>
      </w:r>
    </w:p>
    <w:p w:rsidR="00C10469" w:rsidRDefault="00C10469" w:rsidP="00C10469">
      <w:pPr>
        <w:ind w:left="848" w:hanging="357"/>
        <w:rPr>
          <w:rtl/>
        </w:rPr>
      </w:pPr>
      <w:r>
        <w:rPr>
          <w:b/>
          <w:bCs/>
          <w:rtl/>
        </w:rPr>
        <w:lastRenderedPageBreak/>
        <w:t>•</w:t>
      </w:r>
      <w:r>
        <w:rPr>
          <w:rFonts w:hint="cs"/>
          <w:b/>
          <w:bCs/>
          <w:rtl/>
        </w:rPr>
        <w:t xml:space="preserve">  ومنها</w:t>
      </w:r>
      <w:r>
        <w:rPr>
          <w:rFonts w:hint="cs"/>
          <w:rtl/>
        </w:rPr>
        <w:t xml:space="preserve"> : ضمان الدّرك : لا يسقط بالإبراء العام</w:t>
      </w:r>
      <w:r>
        <w:rPr>
          <w:rFonts w:hint="cs"/>
          <w:vertAlign w:val="superscript"/>
          <w:rtl/>
        </w:rPr>
        <w:t>(</w:t>
      </w:r>
      <w:r>
        <w:rPr>
          <w:rStyle w:val="a7"/>
          <w:rtl/>
        </w:rPr>
        <w:footnoteReference w:id="4263"/>
      </w:r>
      <w:r>
        <w:rPr>
          <w:rFonts w:hint="cs"/>
          <w:vertAlign w:val="superscript"/>
          <w:rtl/>
        </w:rPr>
        <w:t>)</w:t>
      </w:r>
      <w:r>
        <w:rPr>
          <w:rFonts w:hint="cs"/>
          <w:rtl/>
        </w:rPr>
        <w:t>.</w:t>
      </w:r>
    </w:p>
    <w:p w:rsidR="00C10469" w:rsidRDefault="00C10469" w:rsidP="00C10469">
      <w:pPr>
        <w:ind w:left="848" w:hanging="357"/>
        <w:rPr>
          <w:rtl/>
        </w:rPr>
      </w:pPr>
      <w:r>
        <w:rPr>
          <w:rFonts w:hint="cs"/>
          <w:rtl/>
        </w:rPr>
        <w:t xml:space="preserve">   لأن ضمانه موقوف على ظهور المُسْتَحَقّ في المبيع، ولم يوجد بعد.</w:t>
      </w:r>
    </w:p>
    <w:p w:rsidR="00C10469" w:rsidRDefault="00C10469" w:rsidP="00C10469">
      <w:pPr>
        <w:ind w:left="850" w:hanging="357"/>
        <w:rPr>
          <w:spacing w:val="-4"/>
          <w:rtl/>
        </w:rPr>
      </w:pPr>
      <w:r>
        <w:rPr>
          <w:spacing w:val="-4"/>
          <w:rtl/>
        </w:rPr>
        <w:t>•</w:t>
      </w:r>
      <w:r>
        <w:rPr>
          <w:rFonts w:hint="cs"/>
          <w:spacing w:val="-4"/>
          <w:rtl/>
        </w:rPr>
        <w:t xml:space="preserve">    و</w:t>
      </w:r>
      <w:r>
        <w:rPr>
          <w:rStyle w:val="a7"/>
          <w:spacing w:val="-4"/>
          <w:rtl/>
        </w:rPr>
        <w:footnoteReference w:id="4264"/>
      </w:r>
      <w:r>
        <w:rPr>
          <w:rFonts w:hint="cs"/>
          <w:b/>
          <w:bCs/>
          <w:spacing w:val="-4"/>
          <w:rtl/>
        </w:rPr>
        <w:t>منها</w:t>
      </w:r>
      <w:r>
        <w:rPr>
          <w:rFonts w:hint="cs"/>
          <w:spacing w:val="-4"/>
          <w:rtl/>
        </w:rPr>
        <w:t xml:space="preserve"> : قال أحد الورثة : لا دعوى لي</w:t>
      </w:r>
      <w:r>
        <w:rPr>
          <w:rStyle w:val="a7"/>
          <w:spacing w:val="-4"/>
          <w:rtl/>
        </w:rPr>
        <w:footnoteReference w:id="4265"/>
      </w:r>
      <w:r>
        <w:rPr>
          <w:rFonts w:hint="cs"/>
          <w:spacing w:val="-4"/>
          <w:rtl/>
        </w:rPr>
        <w:t xml:space="preserve"> في التركة. ثم ادّعى : تسمع دعواه</w:t>
      </w:r>
      <w:r>
        <w:rPr>
          <w:rFonts w:hint="cs"/>
          <w:spacing w:val="-4"/>
          <w:vertAlign w:val="superscript"/>
          <w:rtl/>
        </w:rPr>
        <w:t>(</w:t>
      </w:r>
      <w:r>
        <w:rPr>
          <w:rStyle w:val="a7"/>
          <w:spacing w:val="-4"/>
          <w:rtl/>
        </w:rPr>
        <w:footnoteReference w:id="4266"/>
      </w:r>
      <w:r>
        <w:rPr>
          <w:rFonts w:hint="cs"/>
          <w:spacing w:val="-4"/>
          <w:vertAlign w:val="superscript"/>
          <w:rtl/>
        </w:rPr>
        <w:t>)</w:t>
      </w:r>
      <w:r>
        <w:rPr>
          <w:rFonts w:hint="cs"/>
          <w:spacing w:val="-4"/>
          <w:rtl/>
        </w:rPr>
        <w:t>.</w:t>
      </w:r>
    </w:p>
    <w:p w:rsidR="00C10469" w:rsidRDefault="00C10469" w:rsidP="00C10469">
      <w:pPr>
        <w:ind w:left="850" w:hanging="357"/>
        <w:rPr>
          <w:rtl/>
        </w:rPr>
      </w:pPr>
      <w:r>
        <w:rPr>
          <w:rFonts w:hint="cs"/>
          <w:b/>
          <w:bCs/>
          <w:rtl/>
        </w:rPr>
        <w:t xml:space="preserve">     والجواب</w:t>
      </w:r>
      <w:r>
        <w:rPr>
          <w:rFonts w:hint="cs"/>
          <w:rtl/>
        </w:rPr>
        <w:t xml:space="preserve"> : ما ثبت شرعًا من حقٍّ لازم لا يسقط بالإسقاط.</w:t>
      </w:r>
    </w:p>
    <w:p w:rsidR="00C10469" w:rsidRDefault="00C10469" w:rsidP="00C10469">
      <w:pPr>
        <w:spacing w:line="264" w:lineRule="auto"/>
        <w:ind w:left="850" w:hanging="357"/>
        <w:rPr>
          <w:rtl/>
        </w:rPr>
      </w:pPr>
      <w:r>
        <w:rPr>
          <w:b/>
          <w:bCs/>
          <w:rtl/>
        </w:rPr>
        <w:t>•</w:t>
      </w:r>
      <w:r>
        <w:rPr>
          <w:rFonts w:hint="cs"/>
          <w:b/>
          <w:bCs/>
          <w:rtl/>
        </w:rPr>
        <w:t xml:space="preserve">   ومنها</w:t>
      </w:r>
      <w:r>
        <w:rPr>
          <w:rFonts w:hint="cs"/>
          <w:rtl/>
        </w:rPr>
        <w:t xml:space="preserve"> : إذا أبرأ الوارثُ الوصيَّ إبراءً عامًّا : بأن أقرّ أنه قبض تركة أبيه، ثم ادعى عليه عينًا، وبرهن : تقبل</w:t>
      </w:r>
      <w:r>
        <w:rPr>
          <w:rFonts w:hint="cs"/>
          <w:vertAlign w:val="superscript"/>
          <w:rtl/>
        </w:rPr>
        <w:t>(</w:t>
      </w:r>
      <w:r>
        <w:rPr>
          <w:rStyle w:val="a7"/>
          <w:rtl/>
        </w:rPr>
        <w:footnoteReference w:id="4267"/>
      </w:r>
      <w:r>
        <w:rPr>
          <w:rFonts w:hint="cs"/>
          <w:vertAlign w:val="superscript"/>
          <w:rtl/>
        </w:rPr>
        <w:t>)</w:t>
      </w:r>
      <w:r>
        <w:rPr>
          <w:rFonts w:hint="cs"/>
          <w:rtl/>
        </w:rPr>
        <w:t>.</w:t>
      </w:r>
    </w:p>
    <w:p w:rsidR="00C10469" w:rsidRDefault="00C10469" w:rsidP="00C10469">
      <w:pPr>
        <w:ind w:left="850" w:hanging="357"/>
        <w:rPr>
          <w:rtl/>
        </w:rPr>
      </w:pPr>
      <w:r>
        <w:rPr>
          <w:rFonts w:hint="cs"/>
          <w:rtl/>
        </w:rPr>
        <w:t xml:space="preserve">     لأن التركة أعيان، و</w:t>
      </w:r>
      <w:r>
        <w:rPr>
          <w:rFonts w:hint="eastAsia"/>
          <w:rtl/>
        </w:rPr>
        <w:t>«</w:t>
      </w:r>
      <w:r>
        <w:rPr>
          <w:rFonts w:hint="cs"/>
          <w:rtl/>
        </w:rPr>
        <w:t>الإبراء عن الأعيان لا يصح</w:t>
      </w:r>
      <w:r>
        <w:rPr>
          <w:rFonts w:hint="eastAsia"/>
          <w:rtl/>
        </w:rPr>
        <w:t>»</w:t>
      </w:r>
      <w:r>
        <w:rPr>
          <w:rStyle w:val="a7"/>
          <w:rtl/>
        </w:rPr>
        <w:footnoteReference w:id="4268"/>
      </w:r>
      <w:r>
        <w:rPr>
          <w:rFonts w:hint="cs"/>
          <w:vertAlign w:val="superscript"/>
          <w:rtl/>
        </w:rPr>
        <w:t>(</w:t>
      </w:r>
      <w:r>
        <w:rPr>
          <w:rStyle w:val="a7"/>
          <w:rtl/>
        </w:rPr>
        <w:footnoteReference w:id="4269"/>
      </w:r>
      <w:r>
        <w:rPr>
          <w:rFonts w:hint="cs"/>
          <w:vertAlign w:val="superscript"/>
          <w:rtl/>
        </w:rPr>
        <w:t>)</w:t>
      </w:r>
      <w:r>
        <w:rPr>
          <w:rFonts w:hint="cs"/>
          <w:rtl/>
        </w:rPr>
        <w:t>.</w:t>
      </w:r>
    </w:p>
    <w:p w:rsidR="00C10469" w:rsidRDefault="00C10469" w:rsidP="00C10469">
      <w:pPr>
        <w:ind w:left="850" w:hanging="357"/>
        <w:rPr>
          <w:rtl/>
        </w:rPr>
      </w:pPr>
      <w:r>
        <w:rPr>
          <w:b/>
          <w:bCs/>
          <w:rtl/>
        </w:rPr>
        <w:lastRenderedPageBreak/>
        <w:t>•</w:t>
      </w:r>
      <w:r>
        <w:rPr>
          <w:rFonts w:hint="cs"/>
          <w:b/>
          <w:bCs/>
          <w:rtl/>
        </w:rPr>
        <w:t xml:space="preserve">  ومنها</w:t>
      </w:r>
      <w:r>
        <w:rPr>
          <w:rFonts w:hint="cs"/>
          <w:rtl/>
        </w:rPr>
        <w:t xml:space="preserve"> - ما ذكر في دعوى (البزازية)-: الإبراء العام في ضمن عقد فاسد لا يمنع</w:t>
      </w:r>
      <w:r>
        <w:rPr>
          <w:rStyle w:val="a7"/>
          <w:rtl/>
        </w:rPr>
        <w:footnoteReference w:id="4270"/>
      </w:r>
      <w:r>
        <w:rPr>
          <w:rFonts w:hint="cs"/>
          <w:rtl/>
        </w:rPr>
        <w:t xml:space="preserve"> الدعوى</w:t>
      </w:r>
      <w:r>
        <w:rPr>
          <w:rFonts w:hint="cs"/>
          <w:vertAlign w:val="superscript"/>
          <w:rtl/>
        </w:rPr>
        <w:t xml:space="preserve"> (</w:t>
      </w:r>
      <w:r>
        <w:rPr>
          <w:rStyle w:val="a7"/>
          <w:rtl/>
        </w:rPr>
        <w:footnoteReference w:id="4271"/>
      </w:r>
      <w:r>
        <w:rPr>
          <w:rFonts w:hint="cs"/>
          <w:vertAlign w:val="superscript"/>
          <w:rtl/>
        </w:rPr>
        <w:t>)</w:t>
      </w:r>
      <w:r>
        <w:rPr>
          <w:rFonts w:hint="cs"/>
          <w:rtl/>
        </w:rPr>
        <w:t>.</w:t>
      </w:r>
    </w:p>
    <w:p w:rsidR="00C10469" w:rsidRDefault="00C10469" w:rsidP="00C10469">
      <w:pPr>
        <w:spacing w:line="264" w:lineRule="auto"/>
        <w:ind w:left="850" w:hanging="357"/>
        <w:rPr>
          <w:rtl/>
        </w:rPr>
      </w:pPr>
      <w:r>
        <w:rPr>
          <w:rFonts w:hint="cs"/>
          <w:b/>
          <w:bCs/>
          <w:rtl/>
        </w:rPr>
        <w:t xml:space="preserve">    والجواب</w:t>
      </w:r>
      <w:r>
        <w:rPr>
          <w:rFonts w:hint="cs"/>
          <w:rtl/>
        </w:rPr>
        <w:t xml:space="preserve"> : أن الشرع يوجِبُ على كلٍّ من العاقدين فسخَهُ قبل القبض. وكذا بعده ما دام في يد المشتري.</w:t>
      </w:r>
    </w:p>
    <w:p w:rsidR="00C10469" w:rsidRDefault="00C10469" w:rsidP="00C10469">
      <w:pPr>
        <w:spacing w:line="264" w:lineRule="auto"/>
        <w:ind w:left="850" w:hanging="357"/>
        <w:rPr>
          <w:rtl/>
        </w:rPr>
      </w:pPr>
      <w:r>
        <w:rPr>
          <w:rFonts w:hint="cs"/>
          <w:rtl/>
        </w:rPr>
        <w:t xml:space="preserve">    فلو منع الإبراءُ صحّةَ الدعوى لزم تغييرُ المشروع، وذلك باطل</w:t>
      </w:r>
      <w:r>
        <w:rPr>
          <w:rFonts w:hint="cs"/>
          <w:vertAlign w:val="superscript"/>
          <w:rtl/>
        </w:rPr>
        <w:t>(</w:t>
      </w:r>
      <w:r>
        <w:rPr>
          <w:rStyle w:val="a7"/>
          <w:rtl/>
        </w:rPr>
        <w:footnoteReference w:id="4272"/>
      </w:r>
      <w:r>
        <w:rPr>
          <w:rFonts w:hint="cs"/>
          <w:vertAlign w:val="superscript"/>
          <w:rtl/>
        </w:rPr>
        <w:t>)</w:t>
      </w:r>
      <w:r>
        <w:rPr>
          <w:rFonts w:hint="cs"/>
          <w:rtl/>
        </w:rPr>
        <w:t>؛ لما</w:t>
      </w:r>
      <w:r>
        <w:rPr>
          <w:rStyle w:val="a7"/>
          <w:rtl/>
        </w:rPr>
        <w:footnoteReference w:id="4273"/>
      </w:r>
      <w:r>
        <w:rPr>
          <w:rFonts w:hint="cs"/>
          <w:rtl/>
        </w:rPr>
        <w:t xml:space="preserve"> قلنا : إنّ ما ثبت شرعًا من حق لازم لا يسقط بالإسقاط</w:t>
      </w:r>
      <w:r>
        <w:rPr>
          <w:rFonts w:hint="cs"/>
          <w:vertAlign w:val="superscript"/>
          <w:rtl/>
        </w:rPr>
        <w:t>(</w:t>
      </w:r>
      <w:r>
        <w:rPr>
          <w:rStyle w:val="a7"/>
          <w:rtl/>
        </w:rPr>
        <w:footnoteReference w:id="4274"/>
      </w:r>
      <w:r>
        <w:rPr>
          <w:rFonts w:hint="cs"/>
          <w:vertAlign w:val="superscript"/>
          <w:rtl/>
        </w:rPr>
        <w:t>)</w:t>
      </w:r>
      <w:r>
        <w:rPr>
          <w:rFonts w:hint="cs"/>
          <w:rtl/>
        </w:rPr>
        <w:t>.</w:t>
      </w:r>
    </w:p>
    <w:p w:rsidR="00C10469" w:rsidRDefault="00C10469" w:rsidP="00C10469">
      <w:pPr>
        <w:spacing w:line="264" w:lineRule="auto"/>
        <w:ind w:left="850" w:hanging="357"/>
        <w:rPr>
          <w:rtl/>
        </w:rPr>
      </w:pPr>
      <w:r>
        <w:rPr>
          <w:rFonts w:hint="cs"/>
          <w:rtl/>
        </w:rPr>
        <w:t xml:space="preserve">    وفي هذا [المستثنيات]</w:t>
      </w:r>
      <w:r>
        <w:rPr>
          <w:rFonts w:hint="cs"/>
          <w:vertAlign w:val="superscript"/>
          <w:rtl/>
        </w:rPr>
        <w:t>(</w:t>
      </w:r>
      <w:r>
        <w:rPr>
          <w:rStyle w:val="a7"/>
          <w:rtl/>
        </w:rPr>
        <w:footnoteReference w:id="4275"/>
      </w:r>
      <w:r>
        <w:rPr>
          <w:rFonts w:hint="cs"/>
          <w:vertAlign w:val="superscript"/>
          <w:rtl/>
        </w:rPr>
        <w:t>)</w:t>
      </w:r>
      <w:r>
        <w:rPr>
          <w:rFonts w:hint="cs"/>
          <w:rtl/>
        </w:rPr>
        <w:t xml:space="preserve"> [نظائر]</w:t>
      </w:r>
      <w:r>
        <w:rPr>
          <w:rStyle w:val="a7"/>
          <w:rtl/>
        </w:rPr>
        <w:footnoteReference w:id="4276"/>
      </w:r>
      <w:r>
        <w:rPr>
          <w:rFonts w:hint="cs"/>
          <w:rtl/>
        </w:rPr>
        <w:t xml:space="preserve"> لم أذكرها؛ [احترازًا]</w:t>
      </w:r>
      <w:r>
        <w:rPr>
          <w:rStyle w:val="a7"/>
          <w:rtl/>
        </w:rPr>
        <w:footnoteReference w:id="4277"/>
      </w:r>
      <w:r>
        <w:rPr>
          <w:rFonts w:hint="cs"/>
          <w:rtl/>
        </w:rPr>
        <w:t xml:space="preserve"> عن التطويل، مع أن جوابها يظهر بأدنى تأمل.</w:t>
      </w:r>
    </w:p>
    <w:p w:rsidR="00C10469" w:rsidRDefault="00C10469">
      <w:pPr>
        <w:rPr>
          <w:rtl/>
        </w:rPr>
      </w:pPr>
    </w:p>
    <w:p w:rsidR="00C10469" w:rsidRDefault="00C10469">
      <w:pPr>
        <w:rPr>
          <w:rtl/>
        </w:rPr>
      </w:pPr>
    </w:p>
    <w:p w:rsidR="00C10469" w:rsidRDefault="00C10469">
      <w:pPr>
        <w:rPr>
          <w:rtl/>
        </w:rPr>
      </w:pPr>
    </w:p>
    <w:p w:rsidR="00C10469" w:rsidRPr="00A45577"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5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240FF" w:rsidRDefault="00C10469">
      <w:pPr>
        <w:pStyle w:val="a9"/>
        <w:rPr>
          <w:rFonts w:cs="AL-Mateen"/>
          <w:rtl/>
        </w:rPr>
      </w:pPr>
      <w:r w:rsidRPr="007240FF">
        <w:rPr>
          <w:rFonts w:cs="AL-Mateen" w:hint="cs"/>
          <w:rtl/>
        </w:rPr>
        <w:lastRenderedPageBreak/>
        <w:t>[ الـقـاعـدة الـخـامـسـة بـعـد الـمـائـتـيـن ]</w:t>
      </w:r>
    </w:p>
    <w:p w:rsidR="00C10469" w:rsidRDefault="00C10469">
      <w:pPr>
        <w:rPr>
          <w:rtl/>
        </w:rPr>
      </w:pPr>
      <w:r>
        <w:rPr>
          <w:rFonts w:cs="Monotype Koufi" w:hint="cs"/>
          <w:rtl/>
        </w:rPr>
        <w:t>لاَ تُسْمَعُ البيِّنَةُ عَلَى المُقِرِّ</w:t>
      </w:r>
      <w:r>
        <w:rPr>
          <w:rFonts w:hint="cs"/>
          <w:vertAlign w:val="superscript"/>
          <w:rtl/>
        </w:rPr>
        <w:t>(</w:t>
      </w:r>
      <w:r>
        <w:rPr>
          <w:rStyle w:val="a7"/>
          <w:rtl/>
        </w:rPr>
        <w:footnoteReference w:id="4278"/>
      </w:r>
      <w:r>
        <w:rPr>
          <w:rFonts w:hint="cs"/>
          <w:vertAlign w:val="superscript"/>
          <w:rtl/>
        </w:rPr>
        <w:t>)</w:t>
      </w:r>
      <w:r>
        <w:rPr>
          <w:rFonts w:hint="cs"/>
          <w:rtl/>
        </w:rPr>
        <w:t xml:space="preserve">: </w:t>
      </w:r>
    </w:p>
    <w:p w:rsidR="00C10469" w:rsidRDefault="00C10469" w:rsidP="00490363">
      <w:pPr>
        <w:spacing w:line="460" w:lineRule="exact"/>
        <w:rPr>
          <w:rtl/>
        </w:rPr>
      </w:pPr>
      <w:r>
        <w:rPr>
          <w:rFonts w:hint="cs"/>
          <w:rtl/>
        </w:rPr>
        <w:t>هذا ليـس بـمطلق؛ فإن</w:t>
      </w:r>
      <w:r>
        <w:rPr>
          <w:rFonts w:hint="eastAsia"/>
          <w:rtl/>
        </w:rPr>
        <w:t>«</w:t>
      </w:r>
      <w:r>
        <w:rPr>
          <w:rFonts w:hint="cs"/>
          <w:rtl/>
        </w:rPr>
        <w:t>البيّنة في موضع يتوقع الضرر من غير المقرّ لولاها تسمع</w:t>
      </w:r>
      <w:r>
        <w:rPr>
          <w:rStyle w:val="a7"/>
          <w:rtl/>
        </w:rPr>
        <w:footnoteReference w:id="4279"/>
      </w:r>
      <w:r>
        <w:rPr>
          <w:rFonts w:hint="cs"/>
          <w:rtl/>
        </w:rPr>
        <w:t xml:space="preserve"> على المقرّ</w:t>
      </w:r>
      <w:r>
        <w:rPr>
          <w:rFonts w:hint="eastAsia"/>
          <w:rtl/>
        </w:rPr>
        <w:t>»</w:t>
      </w:r>
      <w:r>
        <w:rPr>
          <w:rFonts w:hint="cs"/>
          <w:vertAlign w:val="superscript"/>
          <w:rtl/>
        </w:rPr>
        <w:t>(</w:t>
      </w:r>
      <w:r>
        <w:rPr>
          <w:rStyle w:val="a7"/>
          <w:rtl/>
        </w:rPr>
        <w:footnoteReference w:id="4280"/>
      </w:r>
      <w:r>
        <w:rPr>
          <w:rFonts w:hint="cs"/>
          <w:vertAlign w:val="superscript"/>
          <w:rtl/>
        </w:rPr>
        <w:t>)</w:t>
      </w:r>
      <w:r>
        <w:rPr>
          <w:rFonts w:hint="cs"/>
          <w:rtl/>
        </w:rPr>
        <w:t>.</w:t>
      </w:r>
    </w:p>
    <w:p w:rsidR="00C10469" w:rsidRDefault="00C10469" w:rsidP="00490363">
      <w:pPr>
        <w:spacing w:line="460" w:lineRule="exact"/>
        <w:ind w:firstLine="720"/>
        <w:rPr>
          <w:rtl/>
        </w:rPr>
      </w:pPr>
      <w:r>
        <w:rPr>
          <w:b/>
          <w:bCs/>
          <w:rtl/>
        </w:rPr>
        <w:t>•</w:t>
      </w:r>
      <w:r>
        <w:rPr>
          <w:rFonts w:hint="cs"/>
          <w:b/>
          <w:bCs/>
          <w:rtl/>
        </w:rPr>
        <w:t xml:space="preserve">  ولذا </w:t>
      </w:r>
      <w:r>
        <w:rPr>
          <w:rFonts w:hint="cs"/>
          <w:rtl/>
        </w:rPr>
        <w:t>: إذا أقّر الوارث بدين على الميّت : تسمع البينة عليه؛ للتعدي</w:t>
      </w:r>
      <w:r>
        <w:rPr>
          <w:rFonts w:hint="cs"/>
          <w:vertAlign w:val="superscript"/>
          <w:rtl/>
        </w:rPr>
        <w:t>(</w:t>
      </w:r>
      <w:r>
        <w:rPr>
          <w:rStyle w:val="a7"/>
          <w:rtl/>
        </w:rPr>
        <w:footnoteReference w:id="4281"/>
      </w:r>
      <w:r>
        <w:rPr>
          <w:rFonts w:hint="cs"/>
          <w:vertAlign w:val="superscript"/>
          <w:rtl/>
        </w:rPr>
        <w:t>)</w:t>
      </w:r>
      <w:r>
        <w:rPr>
          <w:rFonts w:hint="cs"/>
          <w:rtl/>
        </w:rPr>
        <w:t>.</w:t>
      </w:r>
    </w:p>
    <w:p w:rsidR="00C10469" w:rsidRDefault="00C10469" w:rsidP="00490363">
      <w:pPr>
        <w:spacing w:line="460" w:lineRule="exact"/>
        <w:rPr>
          <w:rtl/>
        </w:rPr>
      </w:pPr>
      <w:r>
        <w:rPr>
          <w:rFonts w:hint="cs"/>
          <w:b/>
          <w:bCs/>
          <w:rtl/>
        </w:rPr>
        <w:t xml:space="preserve"> </w:t>
      </w:r>
      <w:r>
        <w:rPr>
          <w:b/>
          <w:bCs/>
          <w:rtl/>
        </w:rPr>
        <w:t>•</w:t>
      </w:r>
      <w:r>
        <w:rPr>
          <w:rFonts w:hint="cs"/>
          <w:b/>
          <w:bCs/>
          <w:rtl/>
        </w:rPr>
        <w:t xml:space="preserve">  وكذا</w:t>
      </w:r>
      <w:r>
        <w:rPr>
          <w:rStyle w:val="a7"/>
          <w:b/>
          <w:rtl/>
        </w:rPr>
        <w:footnoteReference w:id="4282"/>
      </w:r>
      <w:r>
        <w:rPr>
          <w:rFonts w:hint="cs"/>
          <w:rtl/>
        </w:rPr>
        <w:t xml:space="preserve"> : لو أقرّ المدعى عليه بالوصاية، أو الوكالة: تسمع البينة.</w:t>
      </w:r>
    </w:p>
    <w:p w:rsidR="00C10469" w:rsidRDefault="00C10469" w:rsidP="00490363">
      <w:pPr>
        <w:spacing w:line="460" w:lineRule="exact"/>
        <w:ind w:left="-360" w:firstLine="927"/>
        <w:rPr>
          <w:rtl/>
        </w:rPr>
      </w:pPr>
      <w:r>
        <w:rPr>
          <w:rFonts w:hint="cs"/>
          <w:b/>
          <w:bCs/>
          <w:rtl/>
        </w:rPr>
        <w:t xml:space="preserve"> </w:t>
      </w:r>
      <w:r>
        <w:rPr>
          <w:b/>
          <w:bCs/>
          <w:rtl/>
        </w:rPr>
        <w:t>•</w:t>
      </w:r>
      <w:r>
        <w:rPr>
          <w:rFonts w:hint="cs"/>
          <w:b/>
          <w:bCs/>
          <w:rtl/>
        </w:rPr>
        <w:t xml:space="preserve">  وكذا</w:t>
      </w:r>
      <w:r>
        <w:rPr>
          <w:rFonts w:hint="cs"/>
          <w:rtl/>
        </w:rPr>
        <w:t xml:space="preserve"> : المستحق عليه إذا أقر بأن المُدّعى حق المُسْتَحِق : تسمع</w:t>
      </w:r>
      <w:r>
        <w:rPr>
          <w:rFonts w:hint="cs"/>
          <w:vertAlign w:val="superscript"/>
          <w:rtl/>
        </w:rPr>
        <w:t>(</w:t>
      </w:r>
      <w:r>
        <w:rPr>
          <w:rStyle w:val="a7"/>
          <w:rtl/>
        </w:rPr>
        <w:footnoteReference w:id="4283"/>
      </w:r>
      <w:r>
        <w:rPr>
          <w:rFonts w:hint="cs"/>
          <w:vertAlign w:val="superscript"/>
          <w:rtl/>
        </w:rPr>
        <w:t>)</w:t>
      </w:r>
      <w:r>
        <w:rPr>
          <w:rFonts w:hint="cs"/>
          <w:rtl/>
        </w:rPr>
        <w:t>.</w:t>
      </w:r>
    </w:p>
    <w:p w:rsidR="00C10469" w:rsidRDefault="00C10469" w:rsidP="00490363">
      <w:pPr>
        <w:spacing w:line="460" w:lineRule="exact"/>
        <w:rPr>
          <w:rtl/>
        </w:rPr>
      </w:pPr>
      <w:r>
        <w:rPr>
          <w:rFonts w:hint="cs"/>
          <w:rtl/>
        </w:rPr>
        <w:t>ولهذه</w:t>
      </w:r>
      <w:r>
        <w:rPr>
          <w:rStyle w:val="a7"/>
          <w:rtl/>
        </w:rPr>
        <w:footnoteReference w:id="4284"/>
      </w:r>
      <w:r>
        <w:rPr>
          <w:rFonts w:hint="cs"/>
          <w:rtl/>
        </w:rPr>
        <w:t xml:space="preserve"> المسائل نظائر.</w:t>
      </w:r>
    </w:p>
    <w:p w:rsidR="00C10469" w:rsidRDefault="00C10469" w:rsidP="00490363">
      <w:pPr>
        <w:spacing w:line="460" w:lineRule="exact"/>
        <w:rPr>
          <w:rtl/>
        </w:rPr>
      </w:pPr>
      <w:r>
        <w:rPr>
          <w:rFonts w:hint="cs"/>
          <w:rtl/>
        </w:rPr>
        <w:t>وجواب الكل : دفع ضرر يتوقع من الغير.</w:t>
      </w:r>
    </w:p>
    <w:p w:rsidR="00C10469" w:rsidRDefault="00C10469">
      <w:pPr>
        <w:rPr>
          <w:rtl/>
        </w:rPr>
        <w:sectPr w:rsidR="00C10469" w:rsidSect="00C10469">
          <w:headerReference w:type="default" r:id="rId26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8B48D7" w:rsidRDefault="00C10469">
      <w:pPr>
        <w:pStyle w:val="a9"/>
        <w:rPr>
          <w:rFonts w:cs="AL-Mateen"/>
          <w:rtl/>
        </w:rPr>
      </w:pPr>
      <w:r w:rsidRPr="008B48D7">
        <w:rPr>
          <w:rFonts w:cs="AL-Mateen" w:hint="cs"/>
          <w:rtl/>
        </w:rPr>
        <w:lastRenderedPageBreak/>
        <w:t>[ الـقـاعـدة الـسـادسـة بـعـد الـمـائـتـيـن ] *</w:t>
      </w:r>
    </w:p>
    <w:p w:rsidR="00C10469" w:rsidRDefault="00C10469">
      <w:pPr>
        <w:rPr>
          <w:rtl/>
        </w:rPr>
      </w:pPr>
      <w:r>
        <w:rPr>
          <w:rFonts w:cs="Monotype Koufi" w:hint="cs"/>
          <w:rtl/>
        </w:rPr>
        <w:t>[ لاَ يَنْتَصِبُ أَحَدٌ خَصْمًا عَنْ أَحَدٍ [بغيرِ إِذْنِهِ]</w:t>
      </w:r>
      <w:r>
        <w:rPr>
          <w:rStyle w:val="a7"/>
          <w:rtl/>
        </w:rPr>
        <w:footnoteReference w:id="4285"/>
      </w:r>
      <w:r>
        <w:rPr>
          <w:rFonts w:hint="cs"/>
          <w:rtl/>
        </w:rPr>
        <w:t xml:space="preserve"> </w:t>
      </w:r>
      <w:r>
        <w:rPr>
          <w:rFonts w:cs="Monotype Koufi" w:hint="cs"/>
          <w:rtl/>
        </w:rPr>
        <w:t>قَصْدًا، وَكَالَةً ونِيَابَةً</w:t>
      </w:r>
      <w:r>
        <w:rPr>
          <w:rFonts w:hint="cs"/>
          <w:rtl/>
        </w:rPr>
        <w:t xml:space="preserve"> </w:t>
      </w:r>
      <w:r>
        <w:rPr>
          <w:rFonts w:cs="Monotype Koufi" w:hint="cs"/>
          <w:rtl/>
        </w:rPr>
        <w:t>وَوِلايَةً</w:t>
      </w:r>
      <w:r>
        <w:rPr>
          <w:rFonts w:hint="cs"/>
          <w:vertAlign w:val="superscript"/>
          <w:rtl/>
        </w:rPr>
        <w:t>(</w:t>
      </w:r>
      <w:r>
        <w:rPr>
          <w:rStyle w:val="a7"/>
          <w:rtl/>
        </w:rPr>
        <w:footnoteReference w:id="4286"/>
      </w:r>
      <w:r>
        <w:rPr>
          <w:rFonts w:hint="cs"/>
          <w:vertAlign w:val="superscript"/>
          <w:rtl/>
        </w:rPr>
        <w:t>)</w:t>
      </w:r>
      <w:r>
        <w:rPr>
          <w:rFonts w:hint="cs"/>
          <w:rtl/>
        </w:rPr>
        <w:t>:</w:t>
      </w:r>
    </w:p>
    <w:p w:rsidR="00C10469" w:rsidRDefault="00C10469">
      <w:pPr>
        <w:rPr>
          <w:rtl/>
        </w:rPr>
      </w:pPr>
      <w:r>
        <w:rPr>
          <w:rFonts w:hint="cs"/>
          <w:b/>
          <w:bCs/>
          <w:rtl/>
        </w:rPr>
        <w:t xml:space="preserve">ولذا </w:t>
      </w:r>
      <w:r>
        <w:rPr>
          <w:rFonts w:hint="cs"/>
          <w:rtl/>
        </w:rPr>
        <w:t>: إذا اشترك الدين بين الشريكين، لا بجهة الإرث : فأحدهما لا ينتصب خصمًا عن الباقي عند أبي حنيفة -رحمه الله-</w:t>
      </w:r>
      <w:r>
        <w:rPr>
          <w:rFonts w:hint="cs"/>
          <w:vertAlign w:val="superscript"/>
          <w:rtl/>
        </w:rPr>
        <w:t>(</w:t>
      </w:r>
      <w:r>
        <w:rPr>
          <w:rStyle w:val="a7"/>
          <w:rtl/>
        </w:rPr>
        <w:footnoteReference w:id="4287"/>
      </w:r>
      <w:r>
        <w:rPr>
          <w:rFonts w:hint="cs"/>
          <w:vertAlign w:val="superscript"/>
          <w:rtl/>
        </w:rPr>
        <w:t>)</w:t>
      </w:r>
      <w:r>
        <w:rPr>
          <w:rFonts w:hint="cs"/>
          <w:rtl/>
        </w:rPr>
        <w:t>.</w:t>
      </w:r>
    </w:p>
    <w:p w:rsidR="00C10469" w:rsidRDefault="00C10469">
      <w:pPr>
        <w:rPr>
          <w:rtl/>
        </w:rPr>
      </w:pPr>
      <w:r>
        <w:rPr>
          <w:rFonts w:hint="cs"/>
          <w:rtl/>
        </w:rPr>
        <w:lastRenderedPageBreak/>
        <w:t>بخلاف ما إذا اشترك بها</w:t>
      </w:r>
      <w:r>
        <w:rPr>
          <w:rFonts w:hint="cs"/>
          <w:vertAlign w:val="superscript"/>
          <w:rtl/>
        </w:rPr>
        <w:t>(</w:t>
      </w:r>
      <w:r>
        <w:rPr>
          <w:rStyle w:val="a7"/>
          <w:rtl/>
        </w:rPr>
        <w:footnoteReference w:id="4288"/>
      </w:r>
      <w:r>
        <w:rPr>
          <w:rFonts w:hint="cs"/>
          <w:vertAlign w:val="superscript"/>
          <w:rtl/>
        </w:rPr>
        <w:t>)</w:t>
      </w:r>
      <w:r>
        <w:rPr>
          <w:rFonts w:hint="cs"/>
          <w:rtl/>
        </w:rPr>
        <w:t>، فأحدهم ينتصب خصمًا عن الباقي</w:t>
      </w:r>
      <w:r>
        <w:rPr>
          <w:rFonts w:hint="cs"/>
          <w:vertAlign w:val="superscript"/>
          <w:rtl/>
        </w:rPr>
        <w:t>(</w:t>
      </w:r>
      <w:r>
        <w:rPr>
          <w:rStyle w:val="a7"/>
          <w:rtl/>
        </w:rPr>
        <w:footnoteReference w:id="4289"/>
      </w:r>
      <w:r>
        <w:rPr>
          <w:rFonts w:hint="cs"/>
          <w:vertAlign w:val="superscript"/>
          <w:rtl/>
        </w:rPr>
        <w:t>)</w:t>
      </w:r>
    </w:p>
    <w:p w:rsidR="00C10469" w:rsidRDefault="00C10469">
      <w:pPr>
        <w:rPr>
          <w:rtl/>
        </w:rPr>
      </w:pPr>
      <w:r>
        <w:rPr>
          <w:rFonts w:hint="cs"/>
          <w:b/>
          <w:bCs/>
          <w:rtl/>
        </w:rPr>
        <w:t>وكذا :</w:t>
      </w:r>
      <w:r>
        <w:rPr>
          <w:rFonts w:hint="cs"/>
          <w:rtl/>
        </w:rPr>
        <w:t xml:space="preserve"> أحد الموقوف عليهم ينتصب خصمًا عن الباقي</w:t>
      </w:r>
      <w:r>
        <w:rPr>
          <w:rFonts w:hint="cs"/>
          <w:vertAlign w:val="superscript"/>
          <w:rtl/>
        </w:rPr>
        <w:t>(</w:t>
      </w:r>
      <w:r>
        <w:rPr>
          <w:rStyle w:val="a7"/>
          <w:rtl/>
        </w:rPr>
        <w:footnoteReference w:id="4290"/>
      </w:r>
      <w:r>
        <w:rPr>
          <w:rFonts w:hint="cs"/>
          <w:vertAlign w:val="superscript"/>
          <w:rtl/>
        </w:rPr>
        <w:t>)</w:t>
      </w:r>
      <w:r>
        <w:rPr>
          <w:rFonts w:hint="cs"/>
          <w:rtl/>
        </w:rPr>
        <w:t xml:space="preserve">. </w:t>
      </w:r>
    </w:p>
    <w:p w:rsidR="00C10469" w:rsidRDefault="00C10469">
      <w:pPr>
        <w:rPr>
          <w:rtl/>
        </w:rPr>
      </w:pPr>
      <w:r>
        <w:rPr>
          <w:rFonts w:hint="cs"/>
          <w:b/>
          <w:bCs/>
          <w:rtl/>
        </w:rPr>
        <w:t>وسرُّه</w:t>
      </w:r>
      <w:r>
        <w:rPr>
          <w:rFonts w:hint="cs"/>
          <w:rtl/>
        </w:rPr>
        <w:t xml:space="preserve"> : أنّ كلَّ أحدٍ</w:t>
      </w:r>
      <w:r>
        <w:rPr>
          <w:rStyle w:val="a7"/>
          <w:rtl/>
        </w:rPr>
        <w:footnoteReference w:id="4291"/>
      </w:r>
      <w:r>
        <w:rPr>
          <w:rFonts w:hint="cs"/>
          <w:rtl/>
        </w:rPr>
        <w:t xml:space="preserve"> من الورثةِ والموقوفِ عليهم [نائبٌ]</w:t>
      </w:r>
      <w:r>
        <w:rPr>
          <w:rStyle w:val="a7"/>
          <w:rtl/>
        </w:rPr>
        <w:footnoteReference w:id="4292"/>
      </w:r>
      <w:r>
        <w:rPr>
          <w:rFonts w:hint="cs"/>
          <w:rtl/>
        </w:rPr>
        <w:t xml:space="preserve"> عن الميت.</w:t>
      </w:r>
    </w:p>
    <w:p w:rsidR="00C10469" w:rsidRDefault="00C10469">
      <w:pPr>
        <w:rPr>
          <w:rtl/>
        </w:rPr>
      </w:pPr>
      <w:r>
        <w:rPr>
          <w:rFonts w:hint="cs"/>
          <w:rtl/>
        </w:rPr>
        <w:t>فإذا ثبت</w:t>
      </w:r>
      <w:r>
        <w:rPr>
          <w:rStyle w:val="a7"/>
          <w:rtl/>
        </w:rPr>
        <w:footnoteReference w:id="4293"/>
      </w:r>
      <w:r>
        <w:rPr>
          <w:rFonts w:hint="cs"/>
          <w:rtl/>
        </w:rPr>
        <w:t xml:space="preserve"> شيء للميت أو عليه بخصومة أحدهم ينتقل على جميعهم.</w:t>
      </w:r>
    </w:p>
    <w:p w:rsidR="00C10469" w:rsidRDefault="00C10469">
      <w:pPr>
        <w:rPr>
          <w:spacing w:val="10"/>
          <w:rtl/>
        </w:rPr>
      </w:pPr>
      <w:r>
        <w:rPr>
          <w:rFonts w:hint="cs"/>
          <w:spacing w:val="10"/>
          <w:rtl/>
        </w:rPr>
        <w:t>فلا يرد النقض في هذا الأصل [بهاتين]</w:t>
      </w:r>
      <w:r>
        <w:rPr>
          <w:rStyle w:val="a7"/>
          <w:spacing w:val="10"/>
          <w:rtl/>
        </w:rPr>
        <w:footnoteReference w:id="4294"/>
      </w:r>
      <w:r>
        <w:rPr>
          <w:rFonts w:hint="cs"/>
          <w:spacing w:val="10"/>
          <w:rtl/>
        </w:rPr>
        <w:t xml:space="preserve"> المسألتين. وإليه أشير بقولهم : </w:t>
      </w:r>
      <w:r>
        <w:rPr>
          <w:rFonts w:hint="eastAsia"/>
          <w:spacing w:val="10"/>
          <w:rtl/>
        </w:rPr>
        <w:t>«</w:t>
      </w:r>
      <w:r>
        <w:rPr>
          <w:rFonts w:hint="cs"/>
          <w:spacing w:val="10"/>
          <w:rtl/>
        </w:rPr>
        <w:t>قصدًا</w:t>
      </w:r>
      <w:r>
        <w:rPr>
          <w:rFonts w:hint="eastAsia"/>
          <w:spacing w:val="10"/>
          <w:rtl/>
        </w:rPr>
        <w:t>»</w:t>
      </w:r>
      <w:r>
        <w:rPr>
          <w:rFonts w:hint="cs"/>
          <w:spacing w:val="10"/>
          <w:vertAlign w:val="superscript"/>
          <w:rtl/>
        </w:rPr>
        <w:t>(</w:t>
      </w:r>
      <w:r>
        <w:rPr>
          <w:rStyle w:val="a7"/>
          <w:spacing w:val="10"/>
          <w:rtl/>
        </w:rPr>
        <w:footnoteReference w:id="4295"/>
      </w:r>
      <w:r>
        <w:rPr>
          <w:rFonts w:hint="cs"/>
          <w:spacing w:val="10"/>
          <w:vertAlign w:val="superscript"/>
          <w:rtl/>
        </w:rPr>
        <w:t>)</w:t>
      </w:r>
      <w:r>
        <w:rPr>
          <w:rFonts w:hint="cs"/>
          <w:spacing w:val="10"/>
          <w:rtl/>
        </w:rPr>
        <w:t xml:space="preserve"> فليتأمّل.</w:t>
      </w:r>
    </w:p>
    <w:p w:rsidR="00C10469" w:rsidRDefault="00C10469">
      <w:pPr>
        <w:rPr>
          <w:spacing w:val="10"/>
          <w:rtl/>
        </w:rPr>
      </w:pPr>
    </w:p>
    <w:p w:rsidR="00C10469" w:rsidRDefault="00C10469">
      <w:pPr>
        <w:rPr>
          <w:spacing w:val="10"/>
          <w:rtl/>
        </w:rPr>
      </w:pPr>
    </w:p>
    <w:p w:rsidR="00C10469" w:rsidRPr="009755E1" w:rsidRDefault="00C10469">
      <w:pPr>
        <w:jc w:val="center"/>
        <w:rPr>
          <w:spacing w:val="1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spacing w:val="10"/>
          <w:rtl/>
        </w:rPr>
        <w:sectPr w:rsidR="00C10469" w:rsidSect="00C10469">
          <w:headerReference w:type="default" r:id="rId26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0F3CD0" w:rsidRDefault="00C10469">
      <w:pPr>
        <w:pStyle w:val="a9"/>
        <w:rPr>
          <w:rFonts w:cs="AL-Mateen"/>
          <w:rtl/>
        </w:rPr>
      </w:pPr>
      <w:r w:rsidRPr="000F3CD0">
        <w:rPr>
          <w:rFonts w:cs="AL-Mateen" w:hint="cs"/>
          <w:rtl/>
        </w:rPr>
        <w:lastRenderedPageBreak/>
        <w:t>[ الـقـاعـدة الـسـابـعـة بـعـد الـمـائـتـيـن ]</w:t>
      </w:r>
    </w:p>
    <w:p w:rsidR="00C10469" w:rsidRDefault="00C10469">
      <w:pPr>
        <w:rPr>
          <w:rtl/>
        </w:rPr>
      </w:pPr>
      <w:r>
        <w:rPr>
          <w:rFonts w:cs="Monotype Koufi" w:hint="cs"/>
          <w:rtl/>
        </w:rPr>
        <w:t>لاَ عِبْرَةَ لاختلافِ السَّبَبِ مع اتّحادِ الحُكْمِ</w:t>
      </w:r>
      <w:r>
        <w:rPr>
          <w:rFonts w:hint="cs"/>
          <w:vertAlign w:val="superscript"/>
          <w:rtl/>
        </w:rPr>
        <w:t>(</w:t>
      </w:r>
      <w:r>
        <w:rPr>
          <w:rStyle w:val="a7"/>
          <w:rtl/>
        </w:rPr>
        <w:footnoteReference w:id="4296"/>
      </w:r>
      <w:r>
        <w:rPr>
          <w:rFonts w:hint="cs"/>
          <w:vertAlign w:val="superscript"/>
          <w:rtl/>
        </w:rPr>
        <w:t>)</w:t>
      </w:r>
      <w:r>
        <w:rPr>
          <w:rFonts w:hint="cs"/>
          <w:rtl/>
        </w:rPr>
        <w:t>.</w:t>
      </w:r>
    </w:p>
    <w:p w:rsidR="00C10469" w:rsidRDefault="00C10469">
      <w:pPr>
        <w:rPr>
          <w:rtl/>
        </w:rPr>
      </w:pPr>
      <w:r>
        <w:rPr>
          <w:rFonts w:hint="cs"/>
          <w:b/>
          <w:bCs/>
          <w:spacing w:val="-10"/>
          <w:rtl/>
        </w:rPr>
        <w:t>ولذا</w:t>
      </w:r>
      <w:r>
        <w:rPr>
          <w:rStyle w:val="a7"/>
          <w:b/>
          <w:spacing w:val="-10"/>
          <w:rtl/>
        </w:rPr>
        <w:footnoteReference w:id="4297"/>
      </w:r>
      <w:r>
        <w:rPr>
          <w:rFonts w:hint="cs"/>
          <w:spacing w:val="-10"/>
          <w:rtl/>
        </w:rPr>
        <w:t xml:space="preserve">: جاز استئجار حصته عن الدار مِن شريكه، مع أن استئجار المشاع لا يجوز؛ </w:t>
      </w:r>
      <w:r>
        <w:rPr>
          <w:rFonts w:hint="eastAsia"/>
          <w:spacing w:val="-10"/>
          <w:rtl/>
        </w:rPr>
        <w:t>«</w:t>
      </w:r>
      <w:r>
        <w:rPr>
          <w:rFonts w:hint="cs"/>
          <w:spacing w:val="-10"/>
          <w:rtl/>
        </w:rPr>
        <w:t>لأن المقصود منها الانتفاع، وهو أمر [حسي]</w:t>
      </w:r>
      <w:r>
        <w:rPr>
          <w:rStyle w:val="a7"/>
          <w:spacing w:val="-10"/>
          <w:rtl/>
        </w:rPr>
        <w:footnoteReference w:id="4298"/>
      </w:r>
      <w:r>
        <w:rPr>
          <w:rFonts w:hint="cs"/>
          <w:spacing w:val="-10"/>
          <w:rtl/>
        </w:rPr>
        <w:t xml:space="preserve"> لا يمكن في المشاع، ولا</w:t>
      </w:r>
      <w:r>
        <w:rPr>
          <w:rStyle w:val="a7"/>
          <w:spacing w:val="-10"/>
          <w:rtl/>
        </w:rPr>
        <w:footnoteReference w:id="4299"/>
      </w:r>
      <w:r>
        <w:rPr>
          <w:rFonts w:hint="cs"/>
          <w:spacing w:val="-10"/>
          <w:rtl/>
        </w:rPr>
        <w:t xml:space="preserve"> يتصور بالشيوع تسليمه؛ فلا يجوز</w:t>
      </w:r>
      <w:r>
        <w:rPr>
          <w:rFonts w:hint="eastAsia"/>
          <w:spacing w:val="-6"/>
          <w:rtl/>
        </w:rPr>
        <w:t>»</w:t>
      </w:r>
      <w:r>
        <w:rPr>
          <w:rFonts w:hint="cs"/>
          <w:spacing w:val="-6"/>
          <w:vertAlign w:val="superscript"/>
          <w:rtl/>
        </w:rPr>
        <w:t>(</w:t>
      </w:r>
      <w:r>
        <w:rPr>
          <w:rStyle w:val="a7"/>
          <w:spacing w:val="-6"/>
          <w:rtl/>
        </w:rPr>
        <w:footnoteReference w:id="4300"/>
      </w:r>
      <w:r>
        <w:rPr>
          <w:rFonts w:hint="cs"/>
          <w:spacing w:val="-6"/>
          <w:vertAlign w:val="superscript"/>
          <w:rtl/>
        </w:rPr>
        <w:t>)</w:t>
      </w:r>
      <w:r>
        <w:rPr>
          <w:rFonts w:hint="cs"/>
          <w:spacing w:val="-6"/>
          <w:rtl/>
        </w:rPr>
        <w:t xml:space="preserve">. فأما من شريكه: </w:t>
      </w:r>
      <w:r>
        <w:rPr>
          <w:rFonts w:hint="eastAsia"/>
          <w:spacing w:val="-6"/>
          <w:rtl/>
        </w:rPr>
        <w:t>«</w:t>
      </w:r>
      <w:r>
        <w:rPr>
          <w:rFonts w:hint="cs"/>
          <w:spacing w:val="-6"/>
          <w:rtl/>
        </w:rPr>
        <w:t>فكلُّ المنفعةِ [تحدث]</w:t>
      </w:r>
      <w:r>
        <w:rPr>
          <w:rFonts w:hint="cs"/>
          <w:spacing w:val="-6"/>
          <w:vertAlign w:val="superscript"/>
          <w:rtl/>
        </w:rPr>
        <w:t>(</w:t>
      </w:r>
      <w:r>
        <w:rPr>
          <w:rStyle w:val="a7"/>
          <w:spacing w:val="-6"/>
          <w:rtl/>
        </w:rPr>
        <w:footnoteReference w:id="4301"/>
      </w:r>
      <w:r>
        <w:rPr>
          <w:rFonts w:hint="cs"/>
          <w:spacing w:val="-6"/>
          <w:vertAlign w:val="superscript"/>
          <w:rtl/>
        </w:rPr>
        <w:t>)</w:t>
      </w:r>
      <w:r>
        <w:rPr>
          <w:rFonts w:hint="cs"/>
          <w:spacing w:val="-6"/>
          <w:rtl/>
        </w:rPr>
        <w:t xml:space="preserve"> في ملكه، فالبعض </w:t>
      </w:r>
      <w:r>
        <w:rPr>
          <w:rFonts w:hint="cs"/>
          <w:spacing w:val="-6"/>
          <w:rtl/>
        </w:rPr>
        <w:lastRenderedPageBreak/>
        <w:t>بحكم الملك الحقيقي، والبعض بحكم</w:t>
      </w:r>
      <w:r>
        <w:rPr>
          <w:rStyle w:val="a7"/>
          <w:spacing w:val="-6"/>
          <w:rtl/>
        </w:rPr>
        <w:footnoteReference w:id="4302"/>
      </w:r>
      <w:r>
        <w:rPr>
          <w:rFonts w:hint="cs"/>
          <w:spacing w:val="-6"/>
          <w:rtl/>
        </w:rPr>
        <w:t xml:space="preserve"> الإجارة، فلا يظهر معنى الشيوع، وإنما يظهر الاختلاف في حـق السبب،</w:t>
      </w:r>
      <w:r>
        <w:rPr>
          <w:rFonts w:hint="cs"/>
          <w:rtl/>
        </w:rPr>
        <w:t xml:space="preserve"> ولا عبرة له مع اتحاد الحكم</w:t>
      </w:r>
      <w:r>
        <w:rPr>
          <w:rFonts w:hint="eastAsia"/>
          <w:rtl/>
        </w:rPr>
        <w:t>»</w:t>
      </w:r>
      <w:r>
        <w:rPr>
          <w:rFonts w:hint="cs"/>
          <w:vertAlign w:val="superscript"/>
          <w:rtl/>
        </w:rPr>
        <w:t>(</w:t>
      </w:r>
      <w:r>
        <w:rPr>
          <w:rStyle w:val="a7"/>
          <w:rtl/>
        </w:rPr>
        <w:footnoteReference w:id="4303"/>
      </w:r>
      <w:r>
        <w:rPr>
          <w:rFonts w:hint="cs"/>
          <w:vertAlign w:val="superscript"/>
          <w:rtl/>
        </w:rPr>
        <w:t>)</w:t>
      </w:r>
      <w:r>
        <w:rPr>
          <w:rFonts w:hint="cs"/>
          <w:rtl/>
        </w:rPr>
        <w:t xml:space="preserve">، وقد مرّ التفصيل وجواب ما خرج عن الأصل في قولهم: </w:t>
      </w:r>
      <w:r>
        <w:rPr>
          <w:rFonts w:hint="eastAsia"/>
          <w:rtl/>
        </w:rPr>
        <w:t>«</w:t>
      </w:r>
      <w:r>
        <w:rPr>
          <w:rFonts w:hint="cs"/>
          <w:rtl/>
        </w:rPr>
        <w:t>لا يبالى باختلاف الأسباب عند سلامة المقصود</w:t>
      </w:r>
      <w:r>
        <w:rPr>
          <w:rFonts w:hint="cs"/>
          <w:vertAlign w:val="superscript"/>
          <w:rtl/>
        </w:rPr>
        <w:t>(</w:t>
      </w:r>
      <w:r>
        <w:rPr>
          <w:rStyle w:val="a7"/>
          <w:rtl/>
        </w:rPr>
        <w:footnoteReference w:id="4304"/>
      </w:r>
      <w:r>
        <w:rPr>
          <w:rFonts w:hint="cs"/>
          <w:vertAlign w:val="superscript"/>
          <w:rtl/>
        </w:rPr>
        <w:t>)</w:t>
      </w:r>
      <w:r>
        <w:rPr>
          <w:rFonts w:hint="eastAsia"/>
          <w:rtl/>
        </w:rPr>
        <w:t>»</w:t>
      </w:r>
      <w:r>
        <w:rPr>
          <w:rFonts w:hint="cs"/>
          <w:rtl/>
        </w:rPr>
        <w:t>]</w:t>
      </w:r>
      <w:r>
        <w:rPr>
          <w:rStyle w:val="a7"/>
          <w:rtl/>
        </w:rPr>
        <w:footnoteReference w:id="4305"/>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DD62C1"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6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2C1E19" w:rsidRDefault="00C10469">
      <w:pPr>
        <w:pStyle w:val="a9"/>
        <w:rPr>
          <w:rFonts w:cs="AL-Mateen"/>
          <w:rtl/>
        </w:rPr>
      </w:pPr>
      <w:r w:rsidRPr="002C1E19">
        <w:rPr>
          <w:rFonts w:cs="AL-Mateen" w:hint="cs"/>
          <w:rtl/>
        </w:rPr>
        <w:lastRenderedPageBreak/>
        <w:t>[ الـقـاعـدة الـثـامـنـة بـعـد الـمـائـتـيـن ]</w:t>
      </w:r>
    </w:p>
    <w:p w:rsidR="00C10469" w:rsidRDefault="00C10469">
      <w:pPr>
        <w:rPr>
          <w:rtl/>
        </w:rPr>
      </w:pPr>
      <w:r>
        <w:rPr>
          <w:rFonts w:cs="Monotype Koufi" w:hint="cs"/>
          <w:rtl/>
        </w:rPr>
        <w:t>لاَ</w:t>
      </w:r>
      <w:r>
        <w:rPr>
          <w:rStyle w:val="a7"/>
          <w:rtl/>
        </w:rPr>
        <w:footnoteReference w:id="4306"/>
      </w:r>
      <w:r>
        <w:rPr>
          <w:rFonts w:hint="cs"/>
          <w:rtl/>
        </w:rPr>
        <w:t xml:space="preserve"> </w:t>
      </w:r>
      <w:r>
        <w:rPr>
          <w:rFonts w:cs="Monotype Koufi" w:hint="cs"/>
          <w:rtl/>
        </w:rPr>
        <w:t>[تُقَوَّمُ]</w:t>
      </w:r>
      <w:r>
        <w:rPr>
          <w:rStyle w:val="a7"/>
          <w:rtl/>
        </w:rPr>
        <w:footnoteReference w:id="4307"/>
      </w:r>
      <w:r>
        <w:rPr>
          <w:rFonts w:hint="cs"/>
          <w:rtl/>
        </w:rPr>
        <w:t xml:space="preserve"> </w:t>
      </w:r>
      <w:r>
        <w:rPr>
          <w:rFonts w:cs="Monotype Koufi" w:hint="cs"/>
          <w:rtl/>
        </w:rPr>
        <w:t>المنافِعُ في أنفُسِهَا، وإنَّمَا</w:t>
      </w:r>
      <w:r>
        <w:rPr>
          <w:rStyle w:val="a7"/>
          <w:rtl/>
        </w:rPr>
        <w:footnoteReference w:id="4308"/>
      </w:r>
      <w:r>
        <w:rPr>
          <w:rFonts w:hint="cs"/>
          <w:rtl/>
        </w:rPr>
        <w:t xml:space="preserve"> </w:t>
      </w:r>
      <w:r>
        <w:rPr>
          <w:rFonts w:cs="Monotype Koufi" w:hint="cs"/>
          <w:rtl/>
        </w:rPr>
        <w:t>[تَتَقَوَّمُ]</w:t>
      </w:r>
      <w:r>
        <w:rPr>
          <w:rStyle w:val="a7"/>
          <w:rtl/>
        </w:rPr>
        <w:footnoteReference w:id="4309"/>
      </w:r>
      <w:r>
        <w:rPr>
          <w:rFonts w:cs="Monotype Koufi" w:hint="cs"/>
          <w:rtl/>
        </w:rPr>
        <w:t>؛</w:t>
      </w:r>
      <w:r>
        <w:rPr>
          <w:rFonts w:hint="cs"/>
          <w:rtl/>
        </w:rPr>
        <w:t xml:space="preserve"> </w:t>
      </w:r>
      <w:r>
        <w:rPr>
          <w:rFonts w:cs="Monotype Koufi" w:hint="cs"/>
          <w:rtl/>
        </w:rPr>
        <w:t>لدَفْعِ ضرورةِ</w:t>
      </w:r>
      <w:r>
        <w:rPr>
          <w:rFonts w:hint="cs"/>
          <w:rtl/>
        </w:rPr>
        <w:t xml:space="preserve"> </w:t>
      </w:r>
      <w:r>
        <w:rPr>
          <w:rFonts w:cs="Monotype Koufi" w:hint="cs"/>
          <w:rtl/>
        </w:rPr>
        <w:t>الحاجةِ</w:t>
      </w:r>
      <w:r>
        <w:rPr>
          <w:rFonts w:hint="cs"/>
          <w:vertAlign w:val="superscript"/>
          <w:rtl/>
        </w:rPr>
        <w:t>(</w:t>
      </w:r>
      <w:r>
        <w:rPr>
          <w:rStyle w:val="a7"/>
          <w:rtl/>
        </w:rPr>
        <w:footnoteReference w:id="4310"/>
      </w:r>
      <w:r>
        <w:rPr>
          <w:rFonts w:hint="cs"/>
          <w:vertAlign w:val="superscript"/>
          <w:rtl/>
        </w:rPr>
        <w:t>)</w:t>
      </w:r>
      <w:r>
        <w:rPr>
          <w:rFonts w:hint="cs"/>
          <w:rtl/>
        </w:rPr>
        <w:t>:-</w:t>
      </w:r>
    </w:p>
    <w:p w:rsidR="00C10469" w:rsidRDefault="00C10469">
      <w:pPr>
        <w:rPr>
          <w:rtl/>
        </w:rPr>
      </w:pPr>
      <w:r>
        <w:rPr>
          <w:rFonts w:hint="cs"/>
          <w:rtl/>
        </w:rPr>
        <w:lastRenderedPageBreak/>
        <w:t>وفيه خلاف لزفر</w:t>
      </w:r>
      <w:r>
        <w:rPr>
          <w:rStyle w:val="a7"/>
          <w:rtl/>
        </w:rPr>
        <w:footnoteReference w:id="4311"/>
      </w:r>
      <w:r>
        <w:rPr>
          <w:rFonts w:hint="cs"/>
          <w:rtl/>
        </w:rPr>
        <w:t xml:space="preserve"> والشافعي: </w:t>
      </w:r>
    </w:p>
    <w:p w:rsidR="00C10469" w:rsidRDefault="00C10469" w:rsidP="00C10469">
      <w:pPr>
        <w:ind w:left="1273" w:hanging="346"/>
        <w:rPr>
          <w:rtl/>
        </w:rPr>
      </w:pPr>
      <w:r>
        <w:rPr>
          <w:rtl/>
        </w:rPr>
        <w:t>•</w:t>
      </w:r>
      <w:r>
        <w:rPr>
          <w:rFonts w:hint="cs"/>
          <w:rtl/>
        </w:rPr>
        <w:t xml:space="preserve">  فإذا فسدت الإجارة بالشروط المُفسِدَةِ، والمسمى معلوم : يجب أجر المثل بالغًا ما بلغ عندهما؛ اعتبارًا ببيع الأعيان</w:t>
      </w:r>
      <w:r>
        <w:rPr>
          <w:rFonts w:hint="cs"/>
          <w:vertAlign w:val="superscript"/>
          <w:rtl/>
        </w:rPr>
        <w:t>(</w:t>
      </w:r>
      <w:r>
        <w:rPr>
          <w:rStyle w:val="a7"/>
          <w:rtl/>
        </w:rPr>
        <w:footnoteReference w:id="4312"/>
      </w:r>
      <w:r>
        <w:rPr>
          <w:rFonts w:hint="cs"/>
          <w:vertAlign w:val="superscript"/>
          <w:rtl/>
        </w:rPr>
        <w:t>)</w:t>
      </w:r>
      <w:r>
        <w:rPr>
          <w:rFonts w:hint="cs"/>
          <w:rtl/>
        </w:rPr>
        <w:t>، فإذا فسدت وجبت القيمة بالغةً ما بلغت</w:t>
      </w:r>
      <w:r>
        <w:rPr>
          <w:rFonts w:hint="cs"/>
          <w:vertAlign w:val="superscript"/>
          <w:rtl/>
        </w:rPr>
        <w:t>(</w:t>
      </w:r>
      <w:r>
        <w:rPr>
          <w:rStyle w:val="a7"/>
          <w:rtl/>
        </w:rPr>
        <w:footnoteReference w:id="4313"/>
      </w:r>
      <w:r>
        <w:rPr>
          <w:rFonts w:hint="cs"/>
          <w:vertAlign w:val="superscript"/>
          <w:rtl/>
        </w:rPr>
        <w:t>)</w:t>
      </w:r>
      <w:r>
        <w:rPr>
          <w:rFonts w:hint="cs"/>
          <w:rtl/>
        </w:rPr>
        <w:t>.</w:t>
      </w:r>
    </w:p>
    <w:p w:rsidR="00C10469" w:rsidRDefault="00C10469" w:rsidP="00C10469">
      <w:pPr>
        <w:ind w:left="1273" w:hanging="346"/>
        <w:rPr>
          <w:rtl/>
        </w:rPr>
      </w:pPr>
      <w:r>
        <w:rPr>
          <w:rtl/>
        </w:rPr>
        <w:t>•</w:t>
      </w:r>
      <w:r>
        <w:rPr>
          <w:rFonts w:hint="cs"/>
          <w:rtl/>
        </w:rPr>
        <w:t xml:space="preserve">  </w:t>
      </w:r>
      <w:r>
        <w:rPr>
          <w:rFonts w:hint="eastAsia"/>
          <w:rtl/>
        </w:rPr>
        <w:t>«</w:t>
      </w:r>
      <w:r>
        <w:rPr>
          <w:rFonts w:hint="cs"/>
          <w:rtl/>
        </w:rPr>
        <w:t>ولنا : أنّ تقوّم المنافع ضرورة دفعِ الحاجة بالعقد</w:t>
      </w:r>
      <w:r>
        <w:rPr>
          <w:rStyle w:val="a7"/>
          <w:rtl/>
        </w:rPr>
        <w:footnoteReference w:id="4314"/>
      </w:r>
      <w:r>
        <w:rPr>
          <w:rFonts w:hint="cs"/>
          <w:rtl/>
        </w:rPr>
        <w:t>، والضروريّ يُقدَّرُ</w:t>
      </w:r>
      <w:r>
        <w:rPr>
          <w:rStyle w:val="a7"/>
          <w:rtl/>
        </w:rPr>
        <w:footnoteReference w:id="4315"/>
      </w:r>
      <w:r>
        <w:rPr>
          <w:rFonts w:hint="cs"/>
          <w:rtl/>
        </w:rPr>
        <w:t xml:space="preserve"> بقدر الضرورة</w:t>
      </w:r>
      <w:r>
        <w:rPr>
          <w:rFonts w:hint="cs"/>
          <w:vertAlign w:val="superscript"/>
          <w:rtl/>
        </w:rPr>
        <w:t>(</w:t>
      </w:r>
      <w:r>
        <w:rPr>
          <w:rStyle w:val="a7"/>
          <w:rtl/>
        </w:rPr>
        <w:footnoteReference w:id="4316"/>
      </w:r>
      <w:r>
        <w:rPr>
          <w:rFonts w:hint="cs"/>
          <w:vertAlign w:val="superscript"/>
          <w:rtl/>
        </w:rPr>
        <w:t>)</w:t>
      </w:r>
      <w:r>
        <w:rPr>
          <w:rFonts w:hint="cs"/>
          <w:rtl/>
        </w:rPr>
        <w:t>،[والضرورة]</w:t>
      </w:r>
      <w:r>
        <w:rPr>
          <w:rFonts w:hint="cs"/>
          <w:vertAlign w:val="superscript"/>
          <w:rtl/>
        </w:rPr>
        <w:t>(</w:t>
      </w:r>
      <w:r>
        <w:rPr>
          <w:rStyle w:val="a7"/>
          <w:rtl/>
        </w:rPr>
        <w:footnoteReference w:id="4317"/>
      </w:r>
      <w:r>
        <w:rPr>
          <w:rFonts w:hint="cs"/>
          <w:vertAlign w:val="superscript"/>
          <w:rtl/>
        </w:rPr>
        <w:t>)</w:t>
      </w:r>
      <w:r>
        <w:rPr>
          <w:rFonts w:hint="cs"/>
          <w:rtl/>
        </w:rPr>
        <w:t xml:space="preserve"> تندفع بالصحيحة، فيكتفى بها</w:t>
      </w:r>
      <w:r>
        <w:rPr>
          <w:rFonts w:hint="eastAsia"/>
          <w:rtl/>
        </w:rPr>
        <w:t>»</w:t>
      </w:r>
      <w:r>
        <w:rPr>
          <w:rFonts w:hint="cs"/>
          <w:vertAlign w:val="superscript"/>
          <w:rtl/>
        </w:rPr>
        <w:t>(</w:t>
      </w:r>
      <w:r>
        <w:rPr>
          <w:rStyle w:val="a7"/>
          <w:rtl/>
        </w:rPr>
        <w:footnoteReference w:id="4318"/>
      </w:r>
      <w:r>
        <w:rPr>
          <w:rFonts w:hint="cs"/>
          <w:vertAlign w:val="superscript"/>
          <w:rtl/>
        </w:rPr>
        <w:t>)</w:t>
      </w:r>
      <w:r>
        <w:rPr>
          <w:rFonts w:hint="cs"/>
          <w:rtl/>
        </w:rPr>
        <w:t>.</w:t>
      </w:r>
    </w:p>
    <w:p w:rsidR="00C10469" w:rsidRDefault="00C10469" w:rsidP="00035BE3">
      <w:pPr>
        <w:spacing w:line="460" w:lineRule="exact"/>
        <w:rPr>
          <w:rtl/>
        </w:rPr>
      </w:pPr>
      <w:r>
        <w:rPr>
          <w:rFonts w:hint="cs"/>
          <w:rtl/>
        </w:rPr>
        <w:lastRenderedPageBreak/>
        <w:t xml:space="preserve">يعني : </w:t>
      </w:r>
      <w:r>
        <w:rPr>
          <w:rFonts w:hint="eastAsia"/>
          <w:rtl/>
        </w:rPr>
        <w:t>«</w:t>
      </w:r>
      <w:r>
        <w:rPr>
          <w:rFonts w:hint="cs"/>
          <w:rtl/>
        </w:rPr>
        <w:t>لماّ لم [تتقوَّم]</w:t>
      </w:r>
      <w:r>
        <w:rPr>
          <w:rStyle w:val="a7"/>
          <w:rtl/>
        </w:rPr>
        <w:footnoteReference w:id="4319"/>
      </w:r>
      <w:r>
        <w:rPr>
          <w:rFonts w:hint="cs"/>
          <w:rtl/>
        </w:rPr>
        <w:t xml:space="preserve"> المنافع في أنفسها وجب الرجوع على ما قُوَّمت به في العقد، وسقط ما زاد عليه؛ لرضا العاقدين بالإسقاط.</w:t>
      </w:r>
    </w:p>
    <w:p w:rsidR="00C10469" w:rsidRDefault="00C10469" w:rsidP="00035BE3">
      <w:pPr>
        <w:spacing w:line="460" w:lineRule="exact"/>
        <w:rPr>
          <w:rtl/>
        </w:rPr>
      </w:pPr>
      <w:r>
        <w:rPr>
          <w:rFonts w:hint="cs"/>
          <w:rtl/>
        </w:rPr>
        <w:t>وأما إذا جُهل المسمّى انْتَفَى</w:t>
      </w:r>
      <w:r>
        <w:rPr>
          <w:rStyle w:val="a7"/>
          <w:rtl/>
        </w:rPr>
        <w:footnoteReference w:id="4320"/>
      </w:r>
      <w:r>
        <w:rPr>
          <w:rFonts w:hint="cs"/>
          <w:rtl/>
        </w:rPr>
        <w:t xml:space="preserve"> [المرجَّح]</w:t>
      </w:r>
      <w:r>
        <w:rPr>
          <w:rStyle w:val="a7"/>
          <w:rtl/>
        </w:rPr>
        <w:footnoteReference w:id="4321"/>
      </w:r>
      <w:r>
        <w:rPr>
          <w:rFonts w:hint="cs"/>
          <w:rtl/>
        </w:rPr>
        <w:t>، ووجب الموجب الأصلي (وهو وجوب القيمة) بالغةً ما بلغت</w:t>
      </w:r>
      <w:r>
        <w:rPr>
          <w:rFonts w:hint="eastAsia"/>
          <w:rtl/>
        </w:rPr>
        <w:t>»</w:t>
      </w:r>
      <w:r>
        <w:rPr>
          <w:rFonts w:hint="cs"/>
          <w:vertAlign w:val="superscript"/>
          <w:rtl/>
        </w:rPr>
        <w:t>(</w:t>
      </w:r>
      <w:r>
        <w:rPr>
          <w:rStyle w:val="a7"/>
          <w:rtl/>
        </w:rPr>
        <w:footnoteReference w:id="4322"/>
      </w:r>
      <w:r>
        <w:rPr>
          <w:rFonts w:hint="cs"/>
          <w:vertAlign w:val="superscript"/>
          <w:rtl/>
        </w:rPr>
        <w:t>)</w:t>
      </w:r>
      <w:r>
        <w:rPr>
          <w:rFonts w:hint="cs"/>
          <w:rtl/>
        </w:rPr>
        <w:t>.</w:t>
      </w:r>
    </w:p>
    <w:p w:rsidR="00C10469" w:rsidRDefault="00C10469" w:rsidP="00035BE3">
      <w:pPr>
        <w:spacing w:line="460" w:lineRule="exact"/>
        <w:rPr>
          <w:rtl/>
        </w:rPr>
      </w:pPr>
      <w:r>
        <w:rPr>
          <w:rFonts w:hint="cs"/>
          <w:b/>
          <w:bCs/>
          <w:rtl/>
        </w:rPr>
        <w:t>والحاصل</w:t>
      </w:r>
      <w:r>
        <w:rPr>
          <w:rFonts w:hint="cs"/>
          <w:rtl/>
        </w:rPr>
        <w:t>: إذا كان المسمّى: [معلو]</w:t>
      </w:r>
      <w:r>
        <w:rPr>
          <w:rStyle w:val="a7"/>
          <w:rtl/>
        </w:rPr>
        <w:footnoteReference w:id="4323"/>
      </w:r>
      <w:r>
        <w:rPr>
          <w:rFonts w:hint="cs"/>
          <w:rtl/>
        </w:rPr>
        <w:t>ماً [تتقوّم]</w:t>
      </w:r>
      <w:r>
        <w:rPr>
          <w:rStyle w:val="a7"/>
          <w:rtl/>
        </w:rPr>
        <w:footnoteReference w:id="4324"/>
      </w:r>
      <w:r>
        <w:rPr>
          <w:rFonts w:hint="cs"/>
          <w:rtl/>
        </w:rPr>
        <w:t xml:space="preserve"> المنافع بالعقد، فيجب الأقل من المسمّى وأجر</w:t>
      </w:r>
      <w:r>
        <w:rPr>
          <w:rStyle w:val="a7"/>
          <w:rtl/>
        </w:rPr>
        <w:footnoteReference w:id="4325"/>
      </w:r>
      <w:r>
        <w:rPr>
          <w:rFonts w:hint="cs"/>
          <w:rtl/>
        </w:rPr>
        <w:t xml:space="preserve"> المثل.</w:t>
      </w:r>
    </w:p>
    <w:p w:rsidR="00C10469" w:rsidRDefault="00C10469" w:rsidP="00035BE3">
      <w:pPr>
        <w:spacing w:line="460" w:lineRule="exact"/>
        <w:rPr>
          <w:rtl/>
        </w:rPr>
      </w:pPr>
      <w:r>
        <w:rPr>
          <w:rFonts w:hint="cs"/>
          <w:rtl/>
        </w:rPr>
        <w:t>وأما إذا</w:t>
      </w:r>
      <w:r>
        <w:rPr>
          <w:rStyle w:val="a7"/>
          <w:rtl/>
        </w:rPr>
        <w:footnoteReference w:id="4326"/>
      </w:r>
      <w:r>
        <w:rPr>
          <w:rFonts w:hint="cs"/>
          <w:rtl/>
        </w:rPr>
        <w:t xml:space="preserve"> كان مجهولاً: فلا يمكن التقوّم بالعقد</w:t>
      </w:r>
      <w:r>
        <w:rPr>
          <w:rStyle w:val="a7"/>
          <w:rtl/>
        </w:rPr>
        <w:footnoteReference w:id="4327"/>
      </w:r>
      <w:r>
        <w:rPr>
          <w:rFonts w:hint="cs"/>
          <w:rtl/>
        </w:rPr>
        <w:t>، فيقوّم بالموجب الأصلي (وهو وجوب القيمة) بالغة ما بلغت.</w:t>
      </w:r>
    </w:p>
    <w:p w:rsidR="00C10469" w:rsidRDefault="00C10469" w:rsidP="00035BE3">
      <w:pPr>
        <w:spacing w:line="460" w:lineRule="exact"/>
        <w:jc w:val="center"/>
        <w:rPr>
          <w:rFonts w:ascii="AGA Arabesque" w:hAnsi="AGA Arabesque"/>
          <w:sz w:val="50"/>
          <w:szCs w:val="50"/>
        </w:rPr>
        <w:sectPr w:rsidR="00C10469" w:rsidSect="00C10469">
          <w:headerReference w:type="default" r:id="rId263"/>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587543" w:rsidRDefault="00C10469">
      <w:pPr>
        <w:pStyle w:val="a9"/>
        <w:rPr>
          <w:rFonts w:cs="AL-Mateen"/>
          <w:rtl/>
        </w:rPr>
      </w:pPr>
      <w:r w:rsidRPr="00587543">
        <w:rPr>
          <w:rFonts w:cs="AL-Mateen"/>
          <w:rtl/>
        </w:rPr>
        <w:lastRenderedPageBreak/>
        <w:t>[ الـقـاعـدة الـ</w:t>
      </w:r>
      <w:r w:rsidRPr="00587543">
        <w:rPr>
          <w:rFonts w:cs="AL-Mateen" w:hint="cs"/>
          <w:rtl/>
        </w:rPr>
        <w:t>ت</w:t>
      </w:r>
      <w:r w:rsidRPr="00587543">
        <w:rPr>
          <w:rFonts w:cs="AL-Mateen"/>
          <w:rtl/>
        </w:rPr>
        <w:t>ـا</w:t>
      </w:r>
      <w:r w:rsidRPr="00587543">
        <w:rPr>
          <w:rFonts w:cs="AL-Mateen" w:hint="cs"/>
          <w:rtl/>
        </w:rPr>
        <w:t>س</w:t>
      </w:r>
      <w:r w:rsidRPr="00587543">
        <w:rPr>
          <w:rFonts w:cs="AL-Mateen"/>
          <w:rtl/>
        </w:rPr>
        <w:t>ـ</w:t>
      </w:r>
      <w:r w:rsidRPr="00587543">
        <w:rPr>
          <w:rFonts w:cs="AL-Mateen" w:hint="cs"/>
          <w:rtl/>
        </w:rPr>
        <w:t>ع</w:t>
      </w:r>
      <w:r w:rsidRPr="00587543">
        <w:rPr>
          <w:rFonts w:cs="AL-Mateen"/>
          <w:rtl/>
        </w:rPr>
        <w:t>ـة بـعـد الـمـائـ</w:t>
      </w:r>
      <w:r w:rsidRPr="00587543">
        <w:rPr>
          <w:rFonts w:cs="AL-Mateen" w:hint="cs"/>
          <w:rtl/>
        </w:rPr>
        <w:t>تـيـن</w:t>
      </w:r>
      <w:r w:rsidRPr="00587543">
        <w:rPr>
          <w:rFonts w:cs="AL-Mateen"/>
          <w:rtl/>
        </w:rPr>
        <w:t xml:space="preserve"> ]</w:t>
      </w:r>
    </w:p>
    <w:p w:rsidR="00C10469" w:rsidRDefault="00C10469">
      <w:pPr>
        <w:ind w:firstLine="0"/>
        <w:rPr>
          <w:rtl/>
        </w:rPr>
      </w:pPr>
      <w:r>
        <w:rPr>
          <w:rFonts w:cs="Monotype Koufi" w:hint="cs"/>
          <w:rtl/>
        </w:rPr>
        <w:t>لا مَسَاغَ لِلاجْتِهَادِ فِي مَوْرِدِ النَّصِّ</w:t>
      </w:r>
      <w:r>
        <w:rPr>
          <w:rFonts w:hint="cs"/>
          <w:vertAlign w:val="superscript"/>
          <w:rtl/>
        </w:rPr>
        <w:t>(</w:t>
      </w:r>
      <w:r>
        <w:rPr>
          <w:rStyle w:val="a7"/>
          <w:rtl/>
        </w:rPr>
        <w:footnoteReference w:id="4328"/>
      </w:r>
      <w:r>
        <w:rPr>
          <w:rFonts w:hint="cs"/>
          <w:vertAlign w:val="superscript"/>
          <w:rtl/>
        </w:rPr>
        <w:t>)</w:t>
      </w:r>
      <w:r>
        <w:rPr>
          <w:rFonts w:hint="cs"/>
          <w:rtl/>
        </w:rPr>
        <w:t xml:space="preserve"> :</w:t>
      </w:r>
    </w:p>
    <w:p w:rsidR="00C10469" w:rsidRDefault="00C10469">
      <w:pPr>
        <w:rPr>
          <w:rtl/>
        </w:rPr>
      </w:pPr>
      <w:r>
        <w:rPr>
          <w:rFonts w:hint="cs"/>
          <w:rtl/>
        </w:rPr>
        <w:lastRenderedPageBreak/>
        <w:t>فلا يعتبر خلافه، ولا ينفذ بالقضاء.</w:t>
      </w:r>
    </w:p>
    <w:p w:rsidR="00C10469" w:rsidRDefault="00C10469">
      <w:pPr>
        <w:spacing w:line="600" w:lineRule="exact"/>
        <w:rPr>
          <w:rtl/>
        </w:rPr>
      </w:pPr>
      <w:r>
        <w:rPr>
          <w:rFonts w:hint="cs"/>
          <w:b/>
          <w:bCs/>
          <w:rtl/>
        </w:rPr>
        <w:t>ولذا</w:t>
      </w:r>
      <w:r>
        <w:rPr>
          <w:rFonts w:hint="cs"/>
          <w:rtl/>
        </w:rPr>
        <w:t xml:space="preserve"> : إذا حكم</w:t>
      </w:r>
      <w:r>
        <w:rPr>
          <w:rStyle w:val="a7"/>
          <w:rtl/>
        </w:rPr>
        <w:footnoteReference w:id="4329"/>
      </w:r>
      <w:r>
        <w:rPr>
          <w:rFonts w:hint="cs"/>
          <w:rtl/>
        </w:rPr>
        <w:t xml:space="preserve"> القاضي بجواز بيع متروك التسمية، وبحلّ</w:t>
      </w:r>
      <w:r>
        <w:rPr>
          <w:rStyle w:val="a7"/>
          <w:rtl/>
        </w:rPr>
        <w:footnoteReference w:id="4330"/>
      </w:r>
      <w:r>
        <w:rPr>
          <w:rFonts w:hint="cs"/>
          <w:rtl/>
        </w:rPr>
        <w:t xml:space="preserve"> أكله : لا يَنْفُذ، مع أن بيعه وأكله جائز عند الشافعي</w:t>
      </w:r>
      <w:r>
        <w:rPr>
          <w:rFonts w:hint="cs"/>
          <w:vertAlign w:val="superscript"/>
          <w:rtl/>
        </w:rPr>
        <w:t>(</w:t>
      </w:r>
      <w:r>
        <w:rPr>
          <w:rStyle w:val="a7"/>
          <w:rtl/>
        </w:rPr>
        <w:footnoteReference w:id="4331"/>
      </w:r>
      <w:r>
        <w:rPr>
          <w:rFonts w:hint="cs"/>
          <w:vertAlign w:val="superscript"/>
          <w:rtl/>
        </w:rPr>
        <w:t>)</w:t>
      </w:r>
      <w:r>
        <w:rPr>
          <w:rFonts w:hint="cs"/>
          <w:rtl/>
        </w:rPr>
        <w:t>؛ لأن حرمته منصوص [عليها]</w:t>
      </w:r>
      <w:r>
        <w:rPr>
          <w:rStyle w:val="a7"/>
          <w:rtl/>
        </w:rPr>
        <w:footnoteReference w:id="4332"/>
      </w:r>
      <w:r>
        <w:rPr>
          <w:rFonts w:hint="cs"/>
          <w:rtl/>
        </w:rPr>
        <w:t xml:space="preserve"> بقوله تعالى: </w:t>
      </w:r>
      <w:r>
        <w:rPr>
          <w:rFonts w:cs="Times New Roman"/>
          <w:color w:val="000000"/>
          <w:sz w:val="30"/>
          <w:szCs w:val="30"/>
        </w:rPr>
        <w:sym w:font="HQPB2" w:char="F0E2"/>
      </w:r>
      <w:r>
        <w:rPr>
          <w:rFonts w:cs="Times New Roman"/>
          <w:color w:val="000000"/>
          <w:sz w:val="30"/>
          <w:szCs w:val="30"/>
          <w:rtl/>
        </w:rPr>
        <w:t xml:space="preserve"> </w:t>
      </w:r>
      <w:r>
        <w:rPr>
          <w:rFonts w:cs="Times New Roman"/>
          <w:color w:val="000000"/>
          <w:sz w:val="30"/>
          <w:szCs w:val="30"/>
        </w:rPr>
        <w:sym w:font="HQPB5" w:char="F09F"/>
      </w:r>
      <w:r>
        <w:rPr>
          <w:rFonts w:cs="Times New Roman"/>
          <w:color w:val="000000"/>
          <w:sz w:val="30"/>
          <w:szCs w:val="30"/>
        </w:rPr>
        <w:sym w:font="HQPB2" w:char="F077"/>
      </w:r>
      <w:r>
        <w:rPr>
          <w:rFonts w:cs="Times New Roman"/>
          <w:color w:val="000000"/>
          <w:sz w:val="30"/>
          <w:szCs w:val="30"/>
        </w:rPr>
        <w:sym w:font="HQPB5" w:char="F075"/>
      </w:r>
      <w:r>
        <w:rPr>
          <w:rFonts w:cs="Times New Roman"/>
          <w:color w:val="000000"/>
          <w:sz w:val="30"/>
          <w:szCs w:val="30"/>
        </w:rPr>
        <w:sym w:font="HQPB2" w:char="F072"/>
      </w:r>
      <w:r>
        <w:rPr>
          <w:rFonts w:cs="Times New Roman"/>
          <w:color w:val="000000"/>
          <w:sz w:val="30"/>
          <w:szCs w:val="30"/>
          <w:rtl/>
        </w:rPr>
        <w:t xml:space="preserve"> </w:t>
      </w:r>
      <w:r>
        <w:rPr>
          <w:rFonts w:cs="Times New Roman"/>
          <w:color w:val="000000"/>
          <w:sz w:val="30"/>
          <w:szCs w:val="30"/>
        </w:rPr>
        <w:sym w:font="HQPB5" w:char="F028"/>
      </w:r>
      <w:r>
        <w:rPr>
          <w:rFonts w:cs="Times New Roman"/>
          <w:color w:val="000000"/>
          <w:sz w:val="30"/>
          <w:szCs w:val="30"/>
        </w:rPr>
        <w:sym w:font="HQPB1" w:char="F023"/>
      </w:r>
      <w:r>
        <w:rPr>
          <w:rFonts w:cs="Times New Roman"/>
          <w:color w:val="000000"/>
          <w:sz w:val="30"/>
          <w:szCs w:val="30"/>
        </w:rPr>
        <w:sym w:font="HQPB2" w:char="F071"/>
      </w:r>
      <w:r>
        <w:rPr>
          <w:rFonts w:cs="Times New Roman"/>
          <w:color w:val="000000"/>
          <w:sz w:val="30"/>
          <w:szCs w:val="30"/>
        </w:rPr>
        <w:sym w:font="HQPB4" w:char="F0E8"/>
      </w:r>
      <w:r>
        <w:rPr>
          <w:rFonts w:cs="Times New Roman"/>
          <w:color w:val="000000"/>
          <w:sz w:val="30"/>
          <w:szCs w:val="30"/>
        </w:rPr>
        <w:sym w:font="HQPB2" w:char="F03D"/>
      </w:r>
      <w:r>
        <w:rPr>
          <w:rFonts w:cs="Times New Roman"/>
          <w:color w:val="000000"/>
          <w:sz w:val="30"/>
          <w:szCs w:val="30"/>
        </w:rPr>
        <w:sym w:font="HQPB4" w:char="F0E0"/>
      </w:r>
      <w:r>
        <w:rPr>
          <w:rFonts w:cs="Times New Roman"/>
          <w:color w:val="000000"/>
          <w:sz w:val="30"/>
          <w:szCs w:val="30"/>
        </w:rPr>
        <w:sym w:font="HQPB2" w:char="F032"/>
      </w:r>
      <w:r>
        <w:rPr>
          <w:rFonts w:cs="Times New Roman"/>
          <w:color w:val="000000"/>
          <w:sz w:val="30"/>
          <w:szCs w:val="30"/>
        </w:rPr>
        <w:sym w:font="HQPB4" w:char="F0F9"/>
      </w:r>
      <w:r>
        <w:rPr>
          <w:rFonts w:cs="Times New Roman"/>
          <w:color w:val="000000"/>
          <w:sz w:val="30"/>
          <w:szCs w:val="30"/>
        </w:rPr>
        <w:sym w:font="HQPB1" w:char="F027"/>
      </w:r>
      <w:r>
        <w:rPr>
          <w:rFonts w:cs="Times New Roman"/>
          <w:color w:val="000000"/>
          <w:sz w:val="30"/>
          <w:szCs w:val="30"/>
        </w:rPr>
        <w:sym w:font="HQPB5" w:char="F073"/>
      </w:r>
      <w:r>
        <w:rPr>
          <w:rFonts w:cs="Times New Roman"/>
          <w:color w:val="000000"/>
          <w:sz w:val="30"/>
          <w:szCs w:val="30"/>
        </w:rPr>
        <w:sym w:font="HQPB1" w:char="F03F"/>
      </w:r>
      <w:r>
        <w:rPr>
          <w:rFonts w:cs="Times New Roman"/>
          <w:color w:val="000000"/>
          <w:sz w:val="30"/>
          <w:szCs w:val="30"/>
          <w:rtl/>
        </w:rPr>
        <w:t xml:space="preserve"> </w:t>
      </w:r>
      <w:r>
        <w:rPr>
          <w:rFonts w:cs="Times New Roman"/>
          <w:color w:val="000000"/>
          <w:sz w:val="30"/>
          <w:szCs w:val="30"/>
        </w:rPr>
        <w:sym w:font="HQPB1" w:char="F024"/>
      </w:r>
      <w:r>
        <w:rPr>
          <w:rFonts w:cs="Times New Roman"/>
          <w:color w:val="000000"/>
          <w:sz w:val="30"/>
          <w:szCs w:val="30"/>
        </w:rPr>
        <w:sym w:font="HQPB4" w:char="F0A3"/>
      </w:r>
      <w:r>
        <w:rPr>
          <w:rFonts w:cs="Times New Roman"/>
          <w:color w:val="000000"/>
          <w:sz w:val="30"/>
          <w:szCs w:val="30"/>
        </w:rPr>
        <w:sym w:font="HQPB2" w:char="F04A"/>
      </w:r>
      <w:r>
        <w:rPr>
          <w:rFonts w:cs="Times New Roman"/>
          <w:color w:val="000000"/>
          <w:sz w:val="30"/>
          <w:szCs w:val="30"/>
        </w:rPr>
        <w:sym w:font="HQPB4" w:char="F0CF"/>
      </w:r>
      <w:r>
        <w:rPr>
          <w:rFonts w:cs="Times New Roman"/>
          <w:color w:val="000000"/>
          <w:sz w:val="30"/>
          <w:szCs w:val="30"/>
        </w:rPr>
        <w:sym w:font="HQPB2" w:char="F042"/>
      </w:r>
      <w:r>
        <w:rPr>
          <w:rFonts w:cs="Times New Roman"/>
          <w:color w:val="000000"/>
          <w:sz w:val="30"/>
          <w:szCs w:val="30"/>
          <w:rtl/>
        </w:rPr>
        <w:t xml:space="preserve"> </w:t>
      </w:r>
      <w:r>
        <w:rPr>
          <w:rFonts w:cs="Times New Roman"/>
          <w:color w:val="000000"/>
          <w:sz w:val="30"/>
          <w:szCs w:val="30"/>
        </w:rPr>
        <w:sym w:font="HQPB4" w:char="F0F3"/>
      </w:r>
      <w:r>
        <w:rPr>
          <w:rFonts w:cs="Times New Roman"/>
          <w:color w:val="000000"/>
          <w:sz w:val="30"/>
          <w:szCs w:val="30"/>
        </w:rPr>
        <w:sym w:font="HQPB2" w:char="F04F"/>
      </w:r>
      <w:r>
        <w:rPr>
          <w:rFonts w:cs="Times New Roman"/>
          <w:color w:val="000000"/>
          <w:sz w:val="30"/>
          <w:szCs w:val="30"/>
        </w:rPr>
        <w:sym w:font="HQPB5" w:char="F073"/>
      </w:r>
      <w:r>
        <w:rPr>
          <w:rFonts w:cs="Times New Roman"/>
          <w:color w:val="000000"/>
          <w:sz w:val="30"/>
          <w:szCs w:val="30"/>
        </w:rPr>
        <w:sym w:font="HQPB2" w:char="F039"/>
      </w:r>
      <w:r>
        <w:rPr>
          <w:rFonts w:cs="Times New Roman"/>
          <w:color w:val="000000"/>
          <w:sz w:val="30"/>
          <w:szCs w:val="30"/>
          <w:rtl/>
        </w:rPr>
        <w:t xml:space="preserve"> </w:t>
      </w:r>
      <w:r>
        <w:rPr>
          <w:rFonts w:cs="Times New Roman"/>
          <w:color w:val="000000"/>
          <w:sz w:val="30"/>
          <w:szCs w:val="30"/>
        </w:rPr>
        <w:sym w:font="HQPB4" w:char="F0CC"/>
      </w:r>
      <w:r>
        <w:rPr>
          <w:rFonts w:cs="Times New Roman"/>
          <w:color w:val="000000"/>
          <w:sz w:val="30"/>
          <w:szCs w:val="30"/>
        </w:rPr>
        <w:sym w:font="HQPB1" w:char="F08D"/>
      </w:r>
      <w:r>
        <w:rPr>
          <w:rFonts w:cs="Times New Roman"/>
          <w:color w:val="000000"/>
          <w:sz w:val="30"/>
          <w:szCs w:val="30"/>
        </w:rPr>
        <w:sym w:font="HQPB5" w:char="F078"/>
      </w:r>
      <w:r>
        <w:rPr>
          <w:rFonts w:cs="Times New Roman"/>
          <w:color w:val="000000"/>
          <w:sz w:val="30"/>
          <w:szCs w:val="30"/>
        </w:rPr>
        <w:sym w:font="HQPB2" w:char="F02E"/>
      </w:r>
      <w:r>
        <w:rPr>
          <w:rFonts w:cs="Times New Roman"/>
          <w:color w:val="000000"/>
          <w:sz w:val="30"/>
          <w:szCs w:val="30"/>
        </w:rPr>
        <w:sym w:font="HQPB4" w:char="F0F5"/>
      </w:r>
      <w:r>
        <w:rPr>
          <w:rFonts w:cs="Times New Roman"/>
          <w:color w:val="000000"/>
          <w:sz w:val="30"/>
          <w:szCs w:val="30"/>
        </w:rPr>
        <w:sym w:font="HQPB1" w:char="F08B"/>
      </w:r>
      <w:r>
        <w:rPr>
          <w:rFonts w:cs="Times New Roman"/>
          <w:color w:val="000000"/>
          <w:sz w:val="30"/>
          <w:szCs w:val="30"/>
        </w:rPr>
        <w:sym w:font="HQPB4" w:char="F0E3"/>
      </w:r>
      <w:r>
        <w:rPr>
          <w:rFonts w:cs="Times New Roman"/>
          <w:color w:val="000000"/>
          <w:sz w:val="30"/>
          <w:szCs w:val="30"/>
        </w:rPr>
        <w:sym w:font="HQPB2" w:char="F083"/>
      </w:r>
      <w:r>
        <w:rPr>
          <w:rFonts w:cs="Times New Roman"/>
          <w:color w:val="000000"/>
          <w:sz w:val="30"/>
          <w:szCs w:val="30"/>
          <w:rtl/>
        </w:rPr>
        <w:t xml:space="preserve"> </w:t>
      </w:r>
      <w:r>
        <w:rPr>
          <w:rFonts w:cs="Times New Roman"/>
          <w:color w:val="000000"/>
          <w:sz w:val="30"/>
          <w:szCs w:val="30"/>
        </w:rPr>
        <w:sym w:font="HQPB4" w:char="F0DE"/>
      </w:r>
      <w:r>
        <w:rPr>
          <w:rFonts w:cs="Times New Roman"/>
          <w:color w:val="000000"/>
          <w:sz w:val="30"/>
          <w:szCs w:val="30"/>
        </w:rPr>
        <w:sym w:font="HQPB2" w:char="F04F"/>
      </w:r>
      <w:r>
        <w:rPr>
          <w:rFonts w:cs="Times New Roman"/>
          <w:color w:val="000000"/>
          <w:sz w:val="30"/>
          <w:szCs w:val="30"/>
        </w:rPr>
        <w:sym w:font="HQPB4" w:char="F0F3"/>
      </w:r>
      <w:r>
        <w:rPr>
          <w:rFonts w:cs="Times New Roman"/>
          <w:color w:val="000000"/>
          <w:sz w:val="30"/>
          <w:szCs w:val="30"/>
        </w:rPr>
        <w:sym w:font="HQPB1" w:char="F099"/>
      </w:r>
      <w:r>
        <w:rPr>
          <w:rFonts w:cs="Times New Roman"/>
          <w:color w:val="000000"/>
          <w:sz w:val="30"/>
          <w:szCs w:val="30"/>
        </w:rPr>
        <w:sym w:font="HQPB5" w:char="F024"/>
      </w:r>
      <w:r>
        <w:rPr>
          <w:rFonts w:cs="Times New Roman"/>
          <w:color w:val="000000"/>
          <w:sz w:val="30"/>
          <w:szCs w:val="30"/>
        </w:rPr>
        <w:sym w:font="HQPB1" w:char="F023"/>
      </w:r>
      <w:r>
        <w:rPr>
          <w:rFonts w:cs="Times New Roman"/>
          <w:color w:val="000000"/>
          <w:sz w:val="30"/>
          <w:szCs w:val="30"/>
          <w:rtl/>
        </w:rPr>
        <w:t xml:space="preserve"> </w:t>
      </w:r>
      <w:r>
        <w:rPr>
          <w:rFonts w:cs="Times New Roman"/>
          <w:color w:val="000000"/>
          <w:sz w:val="30"/>
          <w:szCs w:val="30"/>
        </w:rPr>
        <w:sym w:font="HQPB5" w:char="F0AB"/>
      </w:r>
      <w:r>
        <w:rPr>
          <w:rFonts w:cs="Times New Roman"/>
          <w:color w:val="000000"/>
          <w:sz w:val="30"/>
          <w:szCs w:val="30"/>
        </w:rPr>
        <w:sym w:font="HQPB1" w:char="F021"/>
      </w:r>
      <w:r>
        <w:rPr>
          <w:rFonts w:cs="Times New Roman"/>
          <w:color w:val="000000"/>
          <w:sz w:val="30"/>
          <w:szCs w:val="30"/>
        </w:rPr>
        <w:sym w:font="HQPB5" w:char="F024"/>
      </w:r>
      <w:r>
        <w:rPr>
          <w:rFonts w:cs="Times New Roman"/>
          <w:color w:val="000000"/>
          <w:sz w:val="30"/>
          <w:szCs w:val="30"/>
        </w:rPr>
        <w:sym w:font="HQPB1" w:char="F023"/>
      </w:r>
      <w:r>
        <w:rPr>
          <w:rFonts w:cs="Times New Roman"/>
          <w:color w:val="000000"/>
          <w:sz w:val="30"/>
          <w:szCs w:val="30"/>
          <w:rtl/>
        </w:rPr>
        <w:t xml:space="preserve"> </w:t>
      </w:r>
      <w:r>
        <w:rPr>
          <w:rFonts w:cs="Times New Roman" w:hint="cs"/>
          <w:color w:val="000000"/>
          <w:sz w:val="30"/>
          <w:szCs w:val="30"/>
          <w:rtl/>
        </w:rPr>
        <w:t xml:space="preserve"> </w:t>
      </w:r>
      <w:r>
        <w:rPr>
          <w:rFonts w:cs="DecoType Naskh Swashes" w:hint="cs"/>
          <w:color w:val="000000"/>
          <w:sz w:val="36"/>
          <w:rtl/>
        </w:rPr>
        <w:t>عَلَيْهِ</w:t>
      </w:r>
      <w:r>
        <w:rPr>
          <w:rFonts w:cs="Times New Roman"/>
          <w:color w:val="000000"/>
          <w:sz w:val="30"/>
          <w:szCs w:val="30"/>
        </w:rPr>
        <w:sym w:font="HQPB2" w:char="F0E1"/>
      </w:r>
      <w:r>
        <w:rPr>
          <w:rFonts w:cs="Times New Roman" w:hint="cs"/>
          <w:color w:val="000000"/>
          <w:sz w:val="30"/>
          <w:szCs w:val="30"/>
          <w:rtl/>
        </w:rPr>
        <w:t xml:space="preserve"> </w:t>
      </w:r>
      <w:r>
        <w:rPr>
          <w:rFonts w:cs="Times New Roman"/>
          <w:color w:val="000000"/>
          <w:sz w:val="30"/>
          <w:szCs w:val="30"/>
          <w:rtl/>
        </w:rPr>
        <w:t xml:space="preserve"> </w:t>
      </w:r>
      <w:r>
        <w:rPr>
          <w:rFonts w:hint="cs"/>
          <w:vertAlign w:val="superscript"/>
          <w:rtl/>
        </w:rPr>
        <w:t>(</w:t>
      </w:r>
      <w:r>
        <w:rPr>
          <w:rStyle w:val="a7"/>
          <w:rtl/>
        </w:rPr>
        <w:footnoteReference w:id="4333"/>
      </w:r>
      <w:r>
        <w:rPr>
          <w:rFonts w:hint="cs"/>
          <w:vertAlign w:val="superscript"/>
          <w:rtl/>
        </w:rPr>
        <w:t>)</w:t>
      </w:r>
      <w:r>
        <w:rPr>
          <w:rFonts w:hint="cs"/>
          <w:rtl/>
        </w:rPr>
        <w:t>.</w:t>
      </w:r>
    </w:p>
    <w:p w:rsidR="00C10469" w:rsidRDefault="00C10469">
      <w:pPr>
        <w:spacing w:line="560" w:lineRule="exact"/>
        <w:rPr>
          <w:spacing w:val="4"/>
          <w:rtl/>
        </w:rPr>
      </w:pPr>
      <w:r>
        <w:rPr>
          <w:rFonts w:hint="cs"/>
          <w:b/>
          <w:bCs/>
          <w:spacing w:val="4"/>
          <w:rtl/>
        </w:rPr>
        <w:t>وتقريره</w:t>
      </w:r>
      <w:r>
        <w:rPr>
          <w:rFonts w:hint="cs"/>
          <w:spacing w:val="4"/>
          <w:rtl/>
        </w:rPr>
        <w:t xml:space="preserve"> : أن النهي في هذه الآية عامّ لا يلحقه خصوص؛ فلا يجوز التخصيص بالقياس وخبر الواحد، وهو قوله </w:t>
      </w:r>
      <w:r>
        <w:rPr>
          <w:rFonts w:ascii="AGA Arabesque" w:hAnsi="AGA Arabesque"/>
          <w:spacing w:val="4"/>
          <w:sz w:val="36"/>
        </w:rPr>
        <w:t></w:t>
      </w:r>
      <w:r>
        <w:rPr>
          <w:rFonts w:hint="cs"/>
          <w:spacing w:val="4"/>
          <w:rtl/>
        </w:rPr>
        <w:t xml:space="preserve"> : </w:t>
      </w:r>
      <w:r>
        <w:rPr>
          <w:rFonts w:hint="eastAsia"/>
          <w:spacing w:val="4"/>
          <w:rtl/>
        </w:rPr>
        <w:t>«</w:t>
      </w:r>
      <w:r>
        <w:rPr>
          <w:rFonts w:hint="cs"/>
          <w:spacing w:val="4"/>
          <w:rtl/>
        </w:rPr>
        <w:t xml:space="preserve"> </w:t>
      </w:r>
      <w:r>
        <w:rPr>
          <w:rFonts w:cs="DecoType Naskh" w:hint="cs"/>
          <w:spacing w:val="4"/>
          <w:sz w:val="36"/>
          <w:rtl/>
        </w:rPr>
        <w:t xml:space="preserve">الـمُسْلِمُ يَذْبَحُ على اسمِ الله تعالى، سَمّى أوْ لا يسمِّ </w:t>
      </w:r>
      <w:r>
        <w:rPr>
          <w:rFonts w:hint="eastAsia"/>
          <w:spacing w:val="4"/>
          <w:rtl/>
        </w:rPr>
        <w:t>»</w:t>
      </w:r>
      <w:r>
        <w:rPr>
          <w:rFonts w:hint="cs"/>
          <w:spacing w:val="4"/>
          <w:vertAlign w:val="superscript"/>
          <w:rtl/>
        </w:rPr>
        <w:t>(</w:t>
      </w:r>
      <w:r>
        <w:rPr>
          <w:rStyle w:val="a7"/>
          <w:spacing w:val="4"/>
          <w:rtl/>
        </w:rPr>
        <w:footnoteReference w:id="4334"/>
      </w:r>
      <w:r>
        <w:rPr>
          <w:rFonts w:hint="cs"/>
          <w:spacing w:val="4"/>
          <w:vertAlign w:val="superscript"/>
          <w:rtl/>
        </w:rPr>
        <w:t>)</w:t>
      </w:r>
      <w:r>
        <w:rPr>
          <w:rFonts w:hint="cs"/>
          <w:spacing w:val="4"/>
          <w:rtl/>
        </w:rPr>
        <w:t>.</w:t>
      </w:r>
    </w:p>
    <w:p w:rsidR="00C10469" w:rsidRDefault="00C10469">
      <w:pPr>
        <w:rPr>
          <w:rtl/>
        </w:rPr>
      </w:pPr>
      <w:r>
        <w:rPr>
          <w:rFonts w:hint="cs"/>
          <w:b/>
          <w:bCs/>
          <w:rtl/>
        </w:rPr>
        <w:lastRenderedPageBreak/>
        <w:t>فإن قيل</w:t>
      </w:r>
      <w:r>
        <w:rPr>
          <w:rFonts w:hint="cs"/>
          <w:rtl/>
        </w:rPr>
        <w:t xml:space="preserve"> : قد خصّص منه الناسي، حيث قالوا : لو ترك الذابح التسمية</w:t>
      </w:r>
      <w:r>
        <w:rPr>
          <w:rStyle w:val="a7"/>
          <w:rtl/>
        </w:rPr>
        <w:footnoteReference w:id="4335"/>
      </w:r>
      <w:r>
        <w:rPr>
          <w:rFonts w:hint="cs"/>
          <w:rtl/>
        </w:rPr>
        <w:t xml:space="preserve"> ناسيًا حلّ أكله؛ فلا يصح التمسّك بها.</w:t>
      </w:r>
    </w:p>
    <w:p w:rsidR="00C10469" w:rsidRDefault="00C10469">
      <w:pPr>
        <w:rPr>
          <w:spacing w:val="6"/>
          <w:rtl/>
        </w:rPr>
      </w:pPr>
      <w:r>
        <w:rPr>
          <w:rFonts w:hint="cs"/>
          <w:b/>
          <w:bCs/>
          <w:spacing w:val="6"/>
          <w:rtl/>
        </w:rPr>
        <w:t>قلنا</w:t>
      </w:r>
      <w:r>
        <w:rPr>
          <w:rFonts w:hint="cs"/>
          <w:spacing w:val="6"/>
          <w:rtl/>
        </w:rPr>
        <w:t xml:space="preserve"> : الناسي [ذاكر]</w:t>
      </w:r>
      <w:r>
        <w:rPr>
          <w:rStyle w:val="a7"/>
          <w:spacing w:val="6"/>
          <w:rtl/>
        </w:rPr>
        <w:footnoteReference w:id="4336"/>
      </w:r>
      <w:r>
        <w:rPr>
          <w:rFonts w:hint="cs"/>
          <w:spacing w:val="6"/>
          <w:rtl/>
        </w:rPr>
        <w:t xml:space="preserve"> حكـمًا؛ لأن النـسـيان مرفوع بالحديث : قال النبي </w:t>
      </w:r>
      <w:r>
        <w:rPr>
          <w:rFonts w:ascii="AGA Arabesque" w:hAnsi="AGA Arabesque"/>
          <w:spacing w:val="6"/>
          <w:sz w:val="36"/>
        </w:rPr>
        <w:t></w:t>
      </w:r>
      <w:r>
        <w:rPr>
          <w:rFonts w:hint="cs"/>
          <w:spacing w:val="6"/>
          <w:rtl/>
        </w:rPr>
        <w:t xml:space="preserve"> : </w:t>
      </w:r>
      <w:r>
        <w:rPr>
          <w:rFonts w:hint="eastAsia"/>
          <w:spacing w:val="6"/>
          <w:rtl/>
        </w:rPr>
        <w:t>«</w:t>
      </w:r>
      <w:r>
        <w:rPr>
          <w:rFonts w:cs="DecoType Naskh" w:hint="cs"/>
          <w:spacing w:val="6"/>
          <w:sz w:val="36"/>
          <w:rtl/>
        </w:rPr>
        <w:t>رُفِعَ عنْ أمّتي الخطأُ والنّسيانُ</w:t>
      </w:r>
      <w:r>
        <w:rPr>
          <w:rFonts w:hint="eastAsia"/>
          <w:spacing w:val="6"/>
          <w:rtl/>
        </w:rPr>
        <w:t>»</w:t>
      </w:r>
      <w:r>
        <w:rPr>
          <w:rFonts w:hint="cs"/>
          <w:spacing w:val="6"/>
          <w:vertAlign w:val="superscript"/>
          <w:rtl/>
        </w:rPr>
        <w:t>(</w:t>
      </w:r>
      <w:r>
        <w:rPr>
          <w:rStyle w:val="a7"/>
          <w:spacing w:val="6"/>
          <w:rtl/>
        </w:rPr>
        <w:footnoteReference w:id="4337"/>
      </w:r>
      <w:r>
        <w:rPr>
          <w:rFonts w:hint="cs"/>
          <w:spacing w:val="6"/>
          <w:vertAlign w:val="superscript"/>
          <w:rtl/>
        </w:rPr>
        <w:t>)</w:t>
      </w:r>
      <w:r>
        <w:rPr>
          <w:rFonts w:hint="cs"/>
          <w:spacing w:val="6"/>
          <w:rtl/>
        </w:rPr>
        <w:t>.</w:t>
      </w:r>
    </w:p>
    <w:p w:rsidR="00C10469" w:rsidRDefault="00C10469">
      <w:pPr>
        <w:ind w:firstLine="0"/>
        <w:rPr>
          <w:rtl/>
        </w:rPr>
        <w:sectPr w:rsidR="00C10469" w:rsidSect="00C10469">
          <w:headerReference w:type="default" r:id="rId26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lastRenderedPageBreak/>
        <w:t>فالشرع في هذه الحالة أقام التركَ مقامَ الذكر؛ [تخفيفًا]</w:t>
      </w:r>
      <w:r>
        <w:rPr>
          <w:rStyle w:val="a7"/>
          <w:rtl/>
        </w:rPr>
        <w:footnoteReference w:id="4338"/>
      </w:r>
      <w:r>
        <w:rPr>
          <w:rFonts w:hint="cs"/>
          <w:rtl/>
        </w:rPr>
        <w:t xml:space="preserve"> عليه</w:t>
      </w:r>
      <w:r>
        <w:rPr>
          <w:rStyle w:val="a7"/>
          <w:rtl/>
        </w:rPr>
        <w:footnoteReference w:id="4339"/>
      </w:r>
      <w:r>
        <w:rPr>
          <w:rFonts w:hint="cs"/>
          <w:vertAlign w:val="superscript"/>
          <w:rtl/>
        </w:rPr>
        <w:t>(</w:t>
      </w:r>
      <w:r>
        <w:rPr>
          <w:rStyle w:val="a7"/>
          <w:rtl/>
        </w:rPr>
        <w:footnoteReference w:id="4340"/>
      </w:r>
      <w:r>
        <w:rPr>
          <w:rFonts w:hint="cs"/>
          <w:vertAlign w:val="superscript"/>
          <w:rtl/>
        </w:rPr>
        <w:t>)</w:t>
      </w:r>
      <w:r>
        <w:rPr>
          <w:rFonts w:hint="cs"/>
          <w:rtl/>
        </w:rPr>
        <w:t>.</w:t>
      </w:r>
    </w:p>
    <w:p w:rsidR="00C10469" w:rsidRPr="00C34FA1" w:rsidRDefault="00C10469">
      <w:pPr>
        <w:pStyle w:val="a9"/>
        <w:rPr>
          <w:rFonts w:cs="AL-Mateen"/>
          <w:rtl/>
        </w:rPr>
      </w:pPr>
      <w:r w:rsidRPr="00C34FA1">
        <w:rPr>
          <w:rFonts w:cs="AL-Mateen"/>
          <w:rtl/>
        </w:rPr>
        <w:lastRenderedPageBreak/>
        <w:t>[ الـقـاعـدة الـ</w:t>
      </w:r>
      <w:r w:rsidRPr="00C34FA1">
        <w:rPr>
          <w:rFonts w:cs="AL-Mateen" w:hint="cs"/>
          <w:rtl/>
        </w:rPr>
        <w:t>ع</w:t>
      </w:r>
      <w:r w:rsidRPr="00C34FA1">
        <w:rPr>
          <w:rFonts w:cs="AL-Mateen"/>
          <w:rtl/>
        </w:rPr>
        <w:t>ـا</w:t>
      </w:r>
      <w:r w:rsidRPr="00C34FA1">
        <w:rPr>
          <w:rFonts w:cs="AL-Mateen" w:hint="cs"/>
          <w:rtl/>
        </w:rPr>
        <w:t>ش</w:t>
      </w:r>
      <w:r w:rsidRPr="00C34FA1">
        <w:rPr>
          <w:rFonts w:cs="AL-Mateen"/>
          <w:rtl/>
        </w:rPr>
        <w:t>ـ</w:t>
      </w:r>
      <w:r w:rsidRPr="00C34FA1">
        <w:rPr>
          <w:rFonts w:cs="AL-Mateen" w:hint="cs"/>
          <w:rtl/>
        </w:rPr>
        <w:t>ر</w:t>
      </w:r>
      <w:r w:rsidRPr="00C34FA1">
        <w:rPr>
          <w:rFonts w:cs="AL-Mateen"/>
          <w:rtl/>
        </w:rPr>
        <w:t>ة بـعـد الـمـائـ</w:t>
      </w:r>
      <w:r w:rsidRPr="00C34FA1">
        <w:rPr>
          <w:rFonts w:cs="AL-Mateen" w:hint="cs"/>
          <w:rtl/>
        </w:rPr>
        <w:t>تـيـن</w:t>
      </w:r>
      <w:r w:rsidRPr="00C34FA1">
        <w:rPr>
          <w:rFonts w:cs="AL-Mateen"/>
          <w:rtl/>
        </w:rPr>
        <w:t xml:space="preserve"> ]</w:t>
      </w:r>
    </w:p>
    <w:p w:rsidR="00C10469" w:rsidRDefault="00C10469">
      <w:pPr>
        <w:ind w:firstLine="0"/>
        <w:rPr>
          <w:rtl/>
        </w:rPr>
      </w:pPr>
      <w:r>
        <w:rPr>
          <w:rFonts w:cs="Monotype Koufi" w:hint="cs"/>
          <w:rtl/>
        </w:rPr>
        <w:t>لاَ يَجُوزُ إِرَادَةُ المَعْنَى الحَقِيقِيِّ وَالمَجَازِيِّ  مِنْ لَفْظٍ وَاحِدٍ</w:t>
      </w:r>
      <w:r>
        <w:rPr>
          <w:rFonts w:hint="cs"/>
          <w:vertAlign w:val="superscript"/>
          <w:rtl/>
        </w:rPr>
        <w:t>(</w:t>
      </w:r>
      <w:r>
        <w:rPr>
          <w:rStyle w:val="a7"/>
          <w:rtl/>
        </w:rPr>
        <w:footnoteReference w:id="4341"/>
      </w:r>
      <w:r>
        <w:rPr>
          <w:rFonts w:hint="cs"/>
          <w:vertAlign w:val="superscript"/>
          <w:rtl/>
        </w:rPr>
        <w:t>)</w:t>
      </w:r>
      <w:r>
        <w:rPr>
          <w:rFonts w:hint="cs"/>
          <w:rtl/>
        </w:rPr>
        <w:t xml:space="preserve"> :</w:t>
      </w:r>
    </w:p>
    <w:p w:rsidR="00C10469" w:rsidRDefault="00C10469">
      <w:pPr>
        <w:rPr>
          <w:spacing w:val="-6"/>
          <w:rtl/>
        </w:rPr>
      </w:pPr>
      <w:r>
        <w:rPr>
          <w:rFonts w:hint="eastAsia"/>
          <w:spacing w:val="-6"/>
          <w:rtl/>
        </w:rPr>
        <w:lastRenderedPageBreak/>
        <w:t>«</w:t>
      </w:r>
      <w:r>
        <w:rPr>
          <w:rFonts w:hint="cs"/>
          <w:spacing w:val="-6"/>
          <w:rtl/>
        </w:rPr>
        <w:t>لأن الحقيقة : ما</w:t>
      </w:r>
      <w:r>
        <w:rPr>
          <w:rStyle w:val="a7"/>
          <w:spacing w:val="-6"/>
          <w:rtl/>
        </w:rPr>
        <w:footnoteReference w:id="4342"/>
      </w:r>
      <w:r>
        <w:rPr>
          <w:rFonts w:hint="cs"/>
          <w:spacing w:val="-6"/>
          <w:rtl/>
        </w:rPr>
        <w:t xml:space="preserve"> يُثبَتُ</w:t>
      </w:r>
      <w:r>
        <w:rPr>
          <w:rFonts w:hint="cs"/>
          <w:spacing w:val="-6"/>
          <w:vertAlign w:val="superscript"/>
          <w:rtl/>
        </w:rPr>
        <w:t>(</w:t>
      </w:r>
      <w:r>
        <w:rPr>
          <w:rStyle w:val="a7"/>
          <w:spacing w:val="-6"/>
          <w:rtl/>
        </w:rPr>
        <w:footnoteReference w:id="4343"/>
      </w:r>
      <w:r>
        <w:rPr>
          <w:rFonts w:hint="cs"/>
          <w:spacing w:val="-6"/>
          <w:vertAlign w:val="superscript"/>
          <w:rtl/>
        </w:rPr>
        <w:t>)</w:t>
      </w:r>
      <w:r>
        <w:rPr>
          <w:rFonts w:hint="cs"/>
          <w:spacing w:val="-6"/>
          <w:rtl/>
        </w:rPr>
        <w:t xml:space="preserve"> في موضعه. </w:t>
      </w:r>
      <w:r>
        <w:rPr>
          <w:rFonts w:hint="cs"/>
          <w:rtl/>
        </w:rPr>
        <w:t>والمجاز: ما جاز</w:t>
      </w:r>
      <w:r>
        <w:rPr>
          <w:rFonts w:hint="cs"/>
          <w:spacing w:val="-6"/>
          <w:rtl/>
        </w:rPr>
        <w:t xml:space="preserve"> عنه. وبينهما تنافٍ</w:t>
      </w:r>
      <w:r>
        <w:rPr>
          <w:rFonts w:hint="eastAsia"/>
          <w:spacing w:val="-6"/>
          <w:rtl/>
        </w:rPr>
        <w:t>»</w:t>
      </w:r>
      <w:r>
        <w:rPr>
          <w:rFonts w:hint="cs"/>
          <w:spacing w:val="-6"/>
          <w:vertAlign w:val="superscript"/>
          <w:rtl/>
        </w:rPr>
        <w:t>(</w:t>
      </w:r>
      <w:r>
        <w:rPr>
          <w:rStyle w:val="a7"/>
          <w:spacing w:val="-6"/>
          <w:rtl/>
        </w:rPr>
        <w:footnoteReference w:id="4344"/>
      </w:r>
      <w:r>
        <w:rPr>
          <w:rFonts w:hint="cs"/>
          <w:spacing w:val="-6"/>
          <w:vertAlign w:val="superscript"/>
          <w:rtl/>
        </w:rPr>
        <w:t>)</w:t>
      </w:r>
      <w:r>
        <w:rPr>
          <w:rFonts w:hint="cs"/>
          <w:spacing w:val="-6"/>
          <w:rtl/>
        </w:rPr>
        <w:t>.</w:t>
      </w:r>
    </w:p>
    <w:p w:rsidR="00C10469" w:rsidRDefault="00C10469">
      <w:pPr>
        <w:rPr>
          <w:rtl/>
        </w:rPr>
      </w:pPr>
      <w:r>
        <w:rPr>
          <w:rFonts w:hint="eastAsia"/>
          <w:rtl/>
        </w:rPr>
        <w:t>«</w:t>
      </w:r>
      <w:r>
        <w:rPr>
          <w:rFonts w:hint="cs"/>
          <w:rtl/>
        </w:rPr>
        <w:t>فـإذا أوصـى [بـثـلث]</w:t>
      </w:r>
      <w:r>
        <w:rPr>
          <w:rStyle w:val="a7"/>
          <w:rtl/>
        </w:rPr>
        <w:footnoteReference w:id="4345"/>
      </w:r>
      <w:r>
        <w:rPr>
          <w:rFonts w:hint="cs"/>
          <w:rtl/>
        </w:rPr>
        <w:t xml:space="preserve"> ماله لبني فلان- وله بنون وبنو بنيه - : كان المال لبنيه دون بني بنيه</w:t>
      </w:r>
      <w:r>
        <w:rPr>
          <w:rStyle w:val="a7"/>
          <w:rtl/>
        </w:rPr>
        <w:footnoteReference w:id="4346"/>
      </w:r>
      <w:r>
        <w:rPr>
          <w:rFonts w:hint="cs"/>
          <w:rtl/>
        </w:rPr>
        <w:t>.</w:t>
      </w:r>
    </w:p>
    <w:p w:rsidR="00C10469" w:rsidRDefault="00C10469">
      <w:pPr>
        <w:rPr>
          <w:rtl/>
        </w:rPr>
      </w:pPr>
      <w:r>
        <w:rPr>
          <w:rFonts w:hint="cs"/>
          <w:rtl/>
        </w:rPr>
        <w:t>ولو أوصى لمواليه، ولا معتِقَ له، وله</w:t>
      </w:r>
      <w:r>
        <w:rPr>
          <w:rFonts w:hint="cs"/>
          <w:vertAlign w:val="superscript"/>
          <w:rtl/>
        </w:rPr>
        <w:t>(</w:t>
      </w:r>
      <w:r>
        <w:rPr>
          <w:rStyle w:val="a7"/>
          <w:rtl/>
        </w:rPr>
        <w:footnoteReference w:id="4347"/>
      </w:r>
      <w:r>
        <w:rPr>
          <w:rFonts w:hint="cs"/>
          <w:vertAlign w:val="superscript"/>
          <w:rtl/>
        </w:rPr>
        <w:t>)</w:t>
      </w:r>
      <w:r>
        <w:rPr>
          <w:rFonts w:hint="cs"/>
          <w:rtl/>
        </w:rPr>
        <w:t xml:space="preserve"> معتَقٌ واحدٌ، فالمعتَقُ يستحق النصف، وكان النصف الباقي مردودًا</w:t>
      </w:r>
      <w:r>
        <w:rPr>
          <w:rStyle w:val="a7"/>
          <w:rtl/>
        </w:rPr>
        <w:footnoteReference w:id="4348"/>
      </w:r>
      <w:r>
        <w:rPr>
          <w:rFonts w:hint="cs"/>
          <w:rtl/>
        </w:rPr>
        <w:t xml:space="preserve"> إلى الورثة، ولا يكون لموالي مواليه شيء؛ لأن الحقيقة </w:t>
      </w:r>
      <w:r>
        <w:rPr>
          <w:rFonts w:hint="cs"/>
          <w:rtl/>
        </w:rPr>
        <w:lastRenderedPageBreak/>
        <w:t>أريدت بهذا اللفظ، فلا يراد المجاز.</w:t>
      </w:r>
    </w:p>
    <w:p w:rsidR="00C10469" w:rsidRDefault="00C10469">
      <w:pPr>
        <w:rPr>
          <w:rtl/>
        </w:rPr>
      </w:pPr>
      <w:r>
        <w:rPr>
          <w:rFonts w:hint="cs"/>
          <w:rtl/>
        </w:rPr>
        <w:t>بخلافه : لو كان له</w:t>
      </w:r>
      <w:r>
        <w:rPr>
          <w:rStyle w:val="a7"/>
          <w:rtl/>
        </w:rPr>
        <w:footnoteReference w:id="4349"/>
      </w:r>
      <w:r>
        <w:rPr>
          <w:rFonts w:hint="cs"/>
          <w:rtl/>
        </w:rPr>
        <w:t xml:space="preserve"> [معتِق]</w:t>
      </w:r>
      <w:r>
        <w:rPr>
          <w:rStyle w:val="a7"/>
          <w:rtl/>
        </w:rPr>
        <w:footnoteReference w:id="4350"/>
      </w:r>
      <w:r>
        <w:rPr>
          <w:rFonts w:hint="cs"/>
          <w:rtl/>
        </w:rPr>
        <w:t>؛ لأنه مشترك بينهما، ولا عموم له، فكان الموصى له أحدهما، وذلك مجهول</w:t>
      </w:r>
      <w:r>
        <w:rPr>
          <w:rFonts w:hint="eastAsia"/>
          <w:rtl/>
        </w:rPr>
        <w:t>»</w:t>
      </w:r>
      <w:r>
        <w:rPr>
          <w:rFonts w:hint="cs"/>
          <w:vertAlign w:val="superscript"/>
          <w:rtl/>
        </w:rPr>
        <w:t>(</w:t>
      </w:r>
      <w:r>
        <w:rPr>
          <w:rStyle w:val="a7"/>
          <w:rtl/>
        </w:rPr>
        <w:footnoteReference w:id="4351"/>
      </w:r>
      <w:r>
        <w:rPr>
          <w:rFonts w:hint="cs"/>
          <w:vertAlign w:val="superscript"/>
          <w:rtl/>
        </w:rPr>
        <w:t>)</w:t>
      </w:r>
      <w:r>
        <w:rPr>
          <w:rFonts w:hint="cs"/>
          <w:rtl/>
        </w:rPr>
        <w:t xml:space="preserve">، </w:t>
      </w:r>
      <w:r>
        <w:rPr>
          <w:rFonts w:hint="eastAsia"/>
          <w:rtl/>
        </w:rPr>
        <w:t>«</w:t>
      </w:r>
      <w:r>
        <w:rPr>
          <w:rFonts w:hint="cs"/>
          <w:rtl/>
        </w:rPr>
        <w:t>ولا يمكن القول بالتعيين بالتأمّل في مقصودٍ</w:t>
      </w:r>
      <w:r>
        <w:rPr>
          <w:rFonts w:hint="cs"/>
          <w:vertAlign w:val="superscript"/>
          <w:rtl/>
        </w:rPr>
        <w:t>(</w:t>
      </w:r>
      <w:r>
        <w:rPr>
          <w:rStyle w:val="a7"/>
          <w:rtl/>
        </w:rPr>
        <w:footnoteReference w:id="4352"/>
      </w:r>
      <w:r>
        <w:rPr>
          <w:rFonts w:hint="cs"/>
          <w:vertAlign w:val="superscript"/>
          <w:rtl/>
        </w:rPr>
        <w:t>)</w:t>
      </w:r>
      <w:r>
        <w:rPr>
          <w:rFonts w:hint="cs"/>
          <w:rtl/>
        </w:rPr>
        <w:t>؛ لأن مقاصد الناس مختلِفٌ</w:t>
      </w:r>
      <w:r>
        <w:rPr>
          <w:rFonts w:hint="cs"/>
          <w:vertAlign w:val="superscript"/>
          <w:rtl/>
        </w:rPr>
        <w:t xml:space="preserve"> (</w:t>
      </w:r>
      <w:r>
        <w:rPr>
          <w:rStyle w:val="a7"/>
          <w:rtl/>
        </w:rPr>
        <w:footnoteReference w:id="4353"/>
      </w:r>
      <w:r>
        <w:rPr>
          <w:rFonts w:hint="cs"/>
          <w:vertAlign w:val="superscript"/>
          <w:rtl/>
        </w:rPr>
        <w:t>)</w:t>
      </w:r>
      <w:r>
        <w:rPr>
          <w:rFonts w:hint="cs"/>
          <w:rtl/>
        </w:rPr>
        <w:t xml:space="preserve"> :</w:t>
      </w:r>
    </w:p>
    <w:p w:rsidR="00C10469" w:rsidRDefault="00C10469" w:rsidP="00C10469">
      <w:pPr>
        <w:ind w:left="346" w:firstLine="0"/>
        <w:rPr>
          <w:rtl/>
        </w:rPr>
      </w:pPr>
      <w:r>
        <w:rPr>
          <w:rtl/>
        </w:rPr>
        <w:t>•</w:t>
      </w:r>
      <w:r>
        <w:rPr>
          <w:rFonts w:hint="cs"/>
          <w:rtl/>
        </w:rPr>
        <w:t xml:space="preserve">  فمنهم : من يقصد الأعلى؛ مُجازَاةً للإنعام.</w:t>
      </w:r>
    </w:p>
    <w:p w:rsidR="00C10469" w:rsidRDefault="00C10469" w:rsidP="00C10469">
      <w:pPr>
        <w:ind w:left="346" w:firstLine="0"/>
        <w:rPr>
          <w:rtl/>
        </w:rPr>
      </w:pPr>
      <w:r>
        <w:rPr>
          <w:rtl/>
        </w:rPr>
        <w:t>•</w:t>
      </w:r>
      <w:r>
        <w:rPr>
          <w:rFonts w:hint="cs"/>
          <w:rtl/>
        </w:rPr>
        <w:t xml:space="preserve">  ومنهم : من يقصد الأسفل؛ تَتْميمًا في الإحسان</w:t>
      </w:r>
      <w:r>
        <w:rPr>
          <w:rFonts w:hint="cs"/>
          <w:vertAlign w:val="superscript"/>
          <w:rtl/>
        </w:rPr>
        <w:t>(</w:t>
      </w:r>
      <w:r>
        <w:rPr>
          <w:rStyle w:val="a7"/>
          <w:rtl/>
        </w:rPr>
        <w:footnoteReference w:id="4354"/>
      </w:r>
      <w:r>
        <w:rPr>
          <w:rFonts w:hint="cs"/>
          <w:vertAlign w:val="superscript"/>
          <w:rtl/>
        </w:rPr>
        <w:t>)</w:t>
      </w:r>
      <w:r>
        <w:rPr>
          <w:rFonts w:hint="cs"/>
          <w:rtl/>
        </w:rPr>
        <w:t>.</w:t>
      </w:r>
    </w:p>
    <w:p w:rsidR="00C10469" w:rsidRDefault="00C10469">
      <w:pPr>
        <w:rPr>
          <w:rtl/>
        </w:rPr>
      </w:pPr>
      <w:r>
        <w:rPr>
          <w:rFonts w:hint="cs"/>
          <w:rtl/>
        </w:rPr>
        <w:t>وانقطع رجاء البيان بالموت</w:t>
      </w:r>
      <w:r>
        <w:rPr>
          <w:rFonts w:hint="cs"/>
          <w:vertAlign w:val="superscript"/>
          <w:rtl/>
        </w:rPr>
        <w:t>(</w:t>
      </w:r>
      <w:r>
        <w:rPr>
          <w:rStyle w:val="a7"/>
          <w:spacing w:val="6"/>
          <w:rtl/>
        </w:rPr>
        <w:footnoteReference w:id="4355"/>
      </w:r>
      <w:r>
        <w:rPr>
          <w:rFonts w:hint="cs"/>
          <w:vertAlign w:val="superscript"/>
          <w:rtl/>
        </w:rPr>
        <w:t>)</w:t>
      </w:r>
      <w:r>
        <w:rPr>
          <w:rFonts w:hint="cs"/>
          <w:rtl/>
        </w:rPr>
        <w:t>، فكان موصى له [أحدهما]</w:t>
      </w:r>
      <w:r>
        <w:rPr>
          <w:rStyle w:val="a7"/>
          <w:spacing w:val="6"/>
          <w:rtl/>
        </w:rPr>
        <w:footnoteReference w:id="4356"/>
      </w:r>
      <w:r>
        <w:rPr>
          <w:rFonts w:hint="cs"/>
          <w:rtl/>
        </w:rPr>
        <w:t>، وهو مجهول، وجهالة الموصى له [تمنع]</w:t>
      </w:r>
      <w:r>
        <w:rPr>
          <w:rStyle w:val="a7"/>
          <w:spacing w:val="6"/>
          <w:rtl/>
        </w:rPr>
        <w:footnoteReference w:id="4357"/>
      </w:r>
      <w:r>
        <w:rPr>
          <w:rFonts w:hint="cs"/>
          <w:rtl/>
        </w:rPr>
        <w:t xml:space="preserve"> صحة</w:t>
      </w:r>
      <w:r>
        <w:rPr>
          <w:rStyle w:val="a7"/>
          <w:spacing w:val="6"/>
          <w:rtl/>
        </w:rPr>
        <w:footnoteReference w:id="4358"/>
      </w:r>
      <w:r>
        <w:rPr>
          <w:rFonts w:hint="cs"/>
          <w:rtl/>
        </w:rPr>
        <w:t xml:space="preserve"> التملك؛ لأن التمليك للمجهول لا </w:t>
      </w:r>
      <w:r>
        <w:rPr>
          <w:rFonts w:hint="cs"/>
          <w:rtl/>
        </w:rPr>
        <w:lastRenderedPageBreak/>
        <w:t>يصحّ</w:t>
      </w:r>
      <w:r>
        <w:rPr>
          <w:rStyle w:val="a7"/>
          <w:spacing w:val="6"/>
          <w:rtl/>
        </w:rPr>
        <w:footnoteReference w:id="4359"/>
      </w:r>
      <w:r>
        <w:rPr>
          <w:rFonts w:hint="eastAsia"/>
          <w:rtl/>
        </w:rPr>
        <w:t>»</w:t>
      </w:r>
      <w:r>
        <w:rPr>
          <w:rFonts w:hint="cs"/>
          <w:vertAlign w:val="superscript"/>
          <w:rtl/>
        </w:rPr>
        <w:t>(</w:t>
      </w:r>
      <w:r>
        <w:rPr>
          <w:rStyle w:val="a7"/>
          <w:spacing w:val="6"/>
          <w:rtl/>
        </w:rPr>
        <w:footnoteReference w:id="4360"/>
      </w:r>
      <w:r>
        <w:rPr>
          <w:rFonts w:hint="cs"/>
          <w:vertAlign w:val="superscript"/>
          <w:rtl/>
        </w:rPr>
        <w:t>)</w:t>
      </w:r>
      <w:r>
        <w:rPr>
          <w:rFonts w:hint="cs"/>
          <w:rtl/>
        </w:rPr>
        <w:t>.</w:t>
      </w:r>
    </w:p>
    <w:p w:rsidR="00C10469" w:rsidRDefault="00C10469">
      <w:pPr>
        <w:rPr>
          <w:rtl/>
        </w:rPr>
      </w:pPr>
      <w:r>
        <w:rPr>
          <w:rFonts w:hint="eastAsia"/>
          <w:rtl/>
        </w:rPr>
        <w:t>«</w:t>
      </w:r>
      <w:r>
        <w:rPr>
          <w:rFonts w:hint="cs"/>
          <w:rtl/>
        </w:rPr>
        <w:t>بخلاف ما لو حلف : لا يكلم مواليه؛ لأنه نكرة في موضع النفي فيعمّ</w:t>
      </w:r>
      <w:r>
        <w:rPr>
          <w:rFonts w:hint="cs"/>
          <w:vertAlign w:val="superscript"/>
          <w:rtl/>
        </w:rPr>
        <w:t>(</w:t>
      </w:r>
      <w:r>
        <w:rPr>
          <w:rStyle w:val="a7"/>
          <w:rtl/>
        </w:rPr>
        <w:footnoteReference w:id="4361"/>
      </w:r>
      <w:r>
        <w:rPr>
          <w:rFonts w:hint="cs"/>
          <w:vertAlign w:val="superscript"/>
          <w:rtl/>
        </w:rPr>
        <w:t>)</w:t>
      </w:r>
      <w:r>
        <w:rPr>
          <w:rFonts w:hint="eastAsia"/>
          <w:rtl/>
        </w:rPr>
        <w:t>»</w:t>
      </w:r>
      <w:r>
        <w:rPr>
          <w:rFonts w:hint="cs"/>
          <w:vertAlign w:val="superscript"/>
          <w:rtl/>
        </w:rPr>
        <w:t>(</w:t>
      </w:r>
      <w:r>
        <w:rPr>
          <w:rStyle w:val="a7"/>
          <w:rtl/>
        </w:rPr>
        <w:footnoteReference w:id="4362"/>
      </w:r>
      <w:r>
        <w:rPr>
          <w:rFonts w:hint="cs"/>
          <w:vertAlign w:val="superscript"/>
          <w:rtl/>
        </w:rPr>
        <w:t>)</w:t>
      </w:r>
      <w:r>
        <w:rPr>
          <w:rFonts w:hint="cs"/>
          <w:rtl/>
        </w:rPr>
        <w:t>.</w:t>
      </w:r>
    </w:p>
    <w:p w:rsidR="00C10469" w:rsidRDefault="00C10469">
      <w:pPr>
        <w:rPr>
          <w:rtl/>
        </w:rPr>
      </w:pPr>
      <w:r>
        <w:rPr>
          <w:rFonts w:hint="cs"/>
          <w:b/>
          <w:bCs/>
          <w:rtl/>
        </w:rPr>
        <w:t>وخرج</w:t>
      </w:r>
      <w:r>
        <w:rPr>
          <w:rFonts w:hint="cs"/>
          <w:rtl/>
        </w:rPr>
        <w:t xml:space="preserve"> عن هذا الأصل مسائل :</w:t>
      </w:r>
    </w:p>
    <w:p w:rsidR="00C10469" w:rsidRDefault="00C10469" w:rsidP="00C10469">
      <w:pPr>
        <w:ind w:left="848" w:hanging="216"/>
        <w:rPr>
          <w:rtl/>
        </w:rPr>
      </w:pPr>
      <w:r>
        <w:rPr>
          <w:b/>
          <w:bCs/>
          <w:spacing w:val="-4"/>
          <w:rtl/>
        </w:rPr>
        <w:t>•</w:t>
      </w:r>
      <w:r>
        <w:rPr>
          <w:rFonts w:hint="cs"/>
          <w:b/>
          <w:bCs/>
          <w:spacing w:val="-4"/>
          <w:rtl/>
        </w:rPr>
        <w:t xml:space="preserve"> فمنها</w:t>
      </w:r>
      <w:r>
        <w:rPr>
          <w:rFonts w:hint="cs"/>
          <w:spacing w:val="-4"/>
          <w:rtl/>
        </w:rPr>
        <w:t xml:space="preserve"> : ما إذا استأمنوا</w:t>
      </w:r>
      <w:r>
        <w:rPr>
          <w:rFonts w:hint="cs"/>
          <w:spacing w:val="-4"/>
          <w:vertAlign w:val="superscript"/>
          <w:rtl/>
        </w:rPr>
        <w:t>(</w:t>
      </w:r>
      <w:r>
        <w:rPr>
          <w:rStyle w:val="a7"/>
          <w:spacing w:val="-4"/>
          <w:rtl/>
        </w:rPr>
        <w:footnoteReference w:id="4363"/>
      </w:r>
      <w:r>
        <w:rPr>
          <w:rFonts w:hint="cs"/>
          <w:spacing w:val="-4"/>
          <w:vertAlign w:val="superscript"/>
          <w:rtl/>
        </w:rPr>
        <w:t>)</w:t>
      </w:r>
      <w:r>
        <w:rPr>
          <w:rFonts w:hint="cs"/>
          <w:spacing w:val="-4"/>
          <w:rtl/>
        </w:rPr>
        <w:t xml:space="preserve"> على مواليهم وأبنائهم : فإنه</w:t>
      </w:r>
      <w:r>
        <w:rPr>
          <w:rStyle w:val="a7"/>
          <w:spacing w:val="-4"/>
          <w:rtl/>
        </w:rPr>
        <w:footnoteReference w:id="4364"/>
      </w:r>
      <w:r>
        <w:rPr>
          <w:rFonts w:hint="cs"/>
          <w:spacing w:val="-4"/>
          <w:rtl/>
        </w:rPr>
        <w:t xml:space="preserve"> نسبت</w:t>
      </w:r>
      <w:r>
        <w:rPr>
          <w:rStyle w:val="a7"/>
          <w:spacing w:val="-4"/>
          <w:rtl/>
        </w:rPr>
        <w:footnoteReference w:id="4365"/>
      </w:r>
      <w:r>
        <w:rPr>
          <w:rFonts w:hint="cs"/>
          <w:spacing w:val="-4"/>
          <w:rtl/>
        </w:rPr>
        <w:t xml:space="preserve"> الأمان</w:t>
      </w:r>
      <w:r>
        <w:rPr>
          <w:rStyle w:val="a7"/>
          <w:spacing w:val="-4"/>
          <w:rtl/>
        </w:rPr>
        <w:footnoteReference w:id="4366"/>
      </w:r>
      <w:r>
        <w:rPr>
          <w:rFonts w:hint="cs"/>
          <w:spacing w:val="-4"/>
          <w:rtl/>
        </w:rPr>
        <w:t xml:space="preserve"> </w:t>
      </w:r>
      <w:r>
        <w:rPr>
          <w:rFonts w:hint="cs"/>
          <w:spacing w:val="-4"/>
          <w:rtl/>
        </w:rPr>
        <w:lastRenderedPageBreak/>
        <w:t>لأبناء الأبناء و[موالي الموالي، كما نَسَبْتَ للأبناء]</w:t>
      </w:r>
      <w:r>
        <w:rPr>
          <w:rFonts w:hint="cs"/>
          <w:spacing w:val="-4"/>
          <w:vertAlign w:val="superscript"/>
          <w:rtl/>
        </w:rPr>
        <w:t>(</w:t>
      </w:r>
      <w:r>
        <w:rPr>
          <w:rStyle w:val="a7"/>
          <w:spacing w:val="-4"/>
          <w:rtl/>
        </w:rPr>
        <w:footnoteReference w:id="4367"/>
      </w:r>
      <w:r>
        <w:rPr>
          <w:rFonts w:hint="cs"/>
          <w:spacing w:val="-4"/>
          <w:vertAlign w:val="superscript"/>
          <w:rtl/>
        </w:rPr>
        <w:t>)</w:t>
      </w:r>
      <w:r>
        <w:rPr>
          <w:rFonts w:hint="cs"/>
          <w:spacing w:val="-4"/>
          <w:rtl/>
        </w:rPr>
        <w:t xml:space="preserve"> والموالي</w:t>
      </w:r>
      <w:r>
        <w:rPr>
          <w:rFonts w:hint="cs"/>
          <w:spacing w:val="-4"/>
          <w:vertAlign w:val="superscript"/>
          <w:rtl/>
        </w:rPr>
        <w:t>(</w:t>
      </w:r>
      <w:r>
        <w:rPr>
          <w:rStyle w:val="a7"/>
          <w:spacing w:val="-4"/>
          <w:rtl/>
        </w:rPr>
        <w:footnoteReference w:id="4368"/>
      </w:r>
      <w:r>
        <w:rPr>
          <w:rFonts w:hint="cs"/>
          <w:spacing w:val="-4"/>
          <w:vertAlign w:val="superscript"/>
          <w:rtl/>
        </w:rPr>
        <w:t>)</w:t>
      </w:r>
      <w:r>
        <w:rPr>
          <w:rFonts w:hint="cs"/>
          <w:spacing w:val="-4"/>
          <w:rtl/>
        </w:rPr>
        <w:t xml:space="preserve">!. </w:t>
      </w:r>
      <w:r>
        <w:rPr>
          <w:rFonts w:hint="cs"/>
          <w:b/>
          <w:bCs/>
          <w:rtl/>
        </w:rPr>
        <w:t>والجواب</w:t>
      </w:r>
      <w:r>
        <w:rPr>
          <w:rFonts w:hint="cs"/>
          <w:rtl/>
        </w:rPr>
        <w:t xml:space="preserve"> : </w:t>
      </w:r>
      <w:r>
        <w:rPr>
          <w:rFonts w:hint="eastAsia"/>
          <w:rtl/>
        </w:rPr>
        <w:t>«</w:t>
      </w:r>
      <w:r>
        <w:rPr>
          <w:rFonts w:hint="cs"/>
          <w:rtl/>
        </w:rPr>
        <w:t>أن  الأبناء والموالي [تتناول]</w:t>
      </w:r>
      <w:r>
        <w:rPr>
          <w:rFonts w:hint="cs"/>
          <w:vertAlign w:val="superscript"/>
          <w:rtl/>
        </w:rPr>
        <w:t>(</w:t>
      </w:r>
      <w:r>
        <w:rPr>
          <w:rStyle w:val="a7"/>
          <w:rtl/>
        </w:rPr>
        <w:footnoteReference w:id="4369"/>
      </w:r>
      <w:r>
        <w:rPr>
          <w:rFonts w:hint="cs"/>
          <w:vertAlign w:val="superscript"/>
          <w:rtl/>
        </w:rPr>
        <w:t>)</w:t>
      </w:r>
      <w:r>
        <w:rPr>
          <w:rFonts w:hint="cs"/>
          <w:rtl/>
        </w:rPr>
        <w:t xml:space="preserve"> الفروع؛ وذلك يكفي لعصمة الدم فيهم بطريق التبعيّة؛ لأنها</w:t>
      </w:r>
      <w:r>
        <w:rPr>
          <w:rFonts w:hint="cs"/>
          <w:vertAlign w:val="superscript"/>
          <w:rtl/>
        </w:rPr>
        <w:t>(</w:t>
      </w:r>
      <w:r>
        <w:rPr>
          <w:rStyle w:val="a7"/>
          <w:rtl/>
        </w:rPr>
        <w:footnoteReference w:id="4370"/>
      </w:r>
      <w:r>
        <w:rPr>
          <w:rFonts w:hint="cs"/>
          <w:vertAlign w:val="superscript"/>
          <w:rtl/>
        </w:rPr>
        <w:t>)</w:t>
      </w:r>
      <w:r>
        <w:rPr>
          <w:rFonts w:hint="cs"/>
          <w:rtl/>
        </w:rPr>
        <w:t xml:space="preserve"> ممّا يثبت</w:t>
      </w:r>
      <w:r>
        <w:rPr>
          <w:rStyle w:val="a7"/>
          <w:rtl/>
        </w:rPr>
        <w:footnoteReference w:id="4371"/>
      </w:r>
      <w:r>
        <w:rPr>
          <w:rFonts w:hint="cs"/>
          <w:rtl/>
        </w:rPr>
        <w:t xml:space="preserve"> بالشبهات</w:t>
      </w:r>
      <w:r>
        <w:rPr>
          <w:rFonts w:hint="eastAsia"/>
          <w:rtl/>
        </w:rPr>
        <w:t>»</w:t>
      </w:r>
      <w:r>
        <w:rPr>
          <w:rFonts w:hint="cs"/>
          <w:vertAlign w:val="superscript"/>
          <w:rtl/>
        </w:rPr>
        <w:t>(</w:t>
      </w:r>
      <w:r>
        <w:rPr>
          <w:rStyle w:val="a7"/>
          <w:rtl/>
        </w:rPr>
        <w:footnoteReference w:id="4372"/>
      </w:r>
      <w:r>
        <w:rPr>
          <w:rFonts w:hint="cs"/>
          <w:vertAlign w:val="superscript"/>
          <w:rtl/>
        </w:rPr>
        <w:t>)</w:t>
      </w:r>
      <w:r>
        <w:rPr>
          <w:rFonts w:hint="cs"/>
          <w:rtl/>
        </w:rPr>
        <w:t>.</w:t>
      </w:r>
    </w:p>
    <w:p w:rsidR="00C10469" w:rsidRDefault="00C10469" w:rsidP="00C10469">
      <w:pPr>
        <w:ind w:left="848" w:hanging="216"/>
        <w:rPr>
          <w:rtl/>
        </w:rPr>
      </w:pPr>
      <w:r>
        <w:rPr>
          <w:rFonts w:hint="cs"/>
          <w:rtl/>
        </w:rPr>
        <w:t xml:space="preserve">   ألا يُرى إذا قال المسلم للكافر : (انزل) ويريد قتلَهُ</w:t>
      </w:r>
      <w:r>
        <w:rPr>
          <w:rFonts w:hint="cs"/>
          <w:vertAlign w:val="superscript"/>
          <w:rtl/>
        </w:rPr>
        <w:t>(</w:t>
      </w:r>
      <w:r>
        <w:rPr>
          <w:rStyle w:val="a7"/>
          <w:rtl/>
        </w:rPr>
        <w:footnoteReference w:id="4373"/>
      </w:r>
      <w:r>
        <w:rPr>
          <w:rFonts w:hint="cs"/>
          <w:vertAlign w:val="superscript"/>
          <w:rtl/>
        </w:rPr>
        <w:t>)</w:t>
      </w:r>
      <w:r>
        <w:rPr>
          <w:rFonts w:hint="cs"/>
          <w:rtl/>
        </w:rPr>
        <w:t>. أو دعاه إلى نفسه بالإشارة؛ ليقتله</w:t>
      </w:r>
      <w:r>
        <w:rPr>
          <w:rStyle w:val="a7"/>
          <w:rtl/>
        </w:rPr>
        <w:footnoteReference w:id="4374"/>
      </w:r>
      <w:r>
        <w:rPr>
          <w:rFonts w:hint="cs"/>
          <w:rtl/>
        </w:rPr>
        <w:t xml:space="preserve">- ويظن الكافرُ أمانًا </w:t>
      </w:r>
      <w:r>
        <w:rPr>
          <w:rtl/>
        </w:rPr>
        <w:t>–</w:t>
      </w:r>
      <w:r>
        <w:rPr>
          <w:rFonts w:hint="cs"/>
          <w:rtl/>
        </w:rPr>
        <w:t xml:space="preserve"> فجاء : ثبت الأمان بصورة المسالمة، وإن كان ذلك مخاصمة حقيقة</w:t>
      </w:r>
      <w:r>
        <w:rPr>
          <w:rFonts w:hint="cs"/>
          <w:vertAlign w:val="superscript"/>
          <w:rtl/>
        </w:rPr>
        <w:t>(</w:t>
      </w:r>
      <w:r>
        <w:rPr>
          <w:rStyle w:val="a7"/>
          <w:rtl/>
        </w:rPr>
        <w:footnoteReference w:id="4375"/>
      </w:r>
      <w:r>
        <w:rPr>
          <w:rFonts w:hint="cs"/>
          <w:vertAlign w:val="superscript"/>
          <w:rtl/>
        </w:rPr>
        <w:t>)</w:t>
      </w:r>
      <w:r>
        <w:rPr>
          <w:rFonts w:hint="cs"/>
          <w:rtl/>
        </w:rPr>
        <w:t>.</w:t>
      </w:r>
    </w:p>
    <w:p w:rsidR="00C10469" w:rsidRDefault="00C10469" w:rsidP="00C10469">
      <w:pPr>
        <w:ind w:left="848" w:hanging="216"/>
        <w:rPr>
          <w:rtl/>
        </w:rPr>
      </w:pPr>
      <w:r>
        <w:rPr>
          <w:rFonts w:hint="cs"/>
          <w:b/>
          <w:bCs/>
          <w:rtl/>
        </w:rPr>
        <w:t xml:space="preserve">   فإن قيل</w:t>
      </w:r>
      <w:r>
        <w:rPr>
          <w:rFonts w:hint="cs"/>
          <w:rtl/>
        </w:rPr>
        <w:t xml:space="preserve"> : الأجداد والجدّات غير داخلين في الاستئمان على الآباء </w:t>
      </w:r>
      <w:r>
        <w:rPr>
          <w:rFonts w:hint="cs"/>
          <w:rtl/>
        </w:rPr>
        <w:lastRenderedPageBreak/>
        <w:t>والأمهات، مع أن الاسم يتناولهم</w:t>
      </w:r>
      <w:r>
        <w:rPr>
          <w:rStyle w:val="a7"/>
          <w:rtl/>
        </w:rPr>
        <w:footnoteReference w:id="4376"/>
      </w:r>
      <w:r>
        <w:rPr>
          <w:rFonts w:hint="cs"/>
          <w:rtl/>
        </w:rPr>
        <w:t xml:space="preserve"> صورةً</w:t>
      </w:r>
      <w:r>
        <w:rPr>
          <w:rFonts w:hint="cs"/>
          <w:vertAlign w:val="superscript"/>
          <w:rtl/>
        </w:rPr>
        <w:t>(</w:t>
      </w:r>
      <w:r>
        <w:rPr>
          <w:rStyle w:val="a7"/>
          <w:rtl/>
        </w:rPr>
        <w:footnoteReference w:id="4377"/>
      </w:r>
      <w:r>
        <w:rPr>
          <w:rFonts w:hint="cs"/>
          <w:vertAlign w:val="superscript"/>
          <w:rtl/>
        </w:rPr>
        <w:t>)</w:t>
      </w:r>
      <w:r>
        <w:rPr>
          <w:rFonts w:hint="cs"/>
          <w:rtl/>
        </w:rPr>
        <w:t>!.</w:t>
      </w:r>
    </w:p>
    <w:p w:rsidR="00C10469" w:rsidRDefault="00C10469" w:rsidP="00C10469">
      <w:pPr>
        <w:ind w:left="848" w:hanging="216"/>
        <w:rPr>
          <w:rtl/>
        </w:rPr>
      </w:pPr>
      <w:r>
        <w:rPr>
          <w:rFonts w:hint="cs"/>
          <w:b/>
          <w:bCs/>
          <w:spacing w:val="-8"/>
          <w:sz w:val="36"/>
          <w:rtl/>
        </w:rPr>
        <w:t xml:space="preserve">   والجواب</w:t>
      </w:r>
      <w:r>
        <w:rPr>
          <w:rFonts w:hint="cs"/>
          <w:spacing w:val="-8"/>
          <w:sz w:val="36"/>
          <w:rtl/>
        </w:rPr>
        <w:t xml:space="preserve"> : </w:t>
      </w:r>
      <w:r>
        <w:rPr>
          <w:rFonts w:hint="eastAsia"/>
          <w:spacing w:val="-8"/>
          <w:sz w:val="36"/>
          <w:rtl/>
        </w:rPr>
        <w:t>«</w:t>
      </w:r>
      <w:r>
        <w:rPr>
          <w:rFonts w:hint="cs"/>
          <w:spacing w:val="-8"/>
          <w:sz w:val="36"/>
          <w:rtl/>
        </w:rPr>
        <w:t>أن اعتبار الصورة [بثبوت الحكم في محلّ آخر]</w:t>
      </w:r>
      <w:r>
        <w:rPr>
          <w:rStyle w:val="a7"/>
          <w:spacing w:val="-8"/>
          <w:rtl/>
        </w:rPr>
        <w:footnoteReference w:id="4378"/>
      </w:r>
      <w:r>
        <w:rPr>
          <w:rFonts w:hint="cs"/>
          <w:spacing w:val="-8"/>
          <w:rtl/>
        </w:rPr>
        <w:t xml:space="preserve"> غير محلّ الحقيقة </w:t>
      </w:r>
      <w:r>
        <w:rPr>
          <w:rFonts w:hint="cs"/>
          <w:rtl/>
        </w:rPr>
        <w:t>لا شكّ أنه</w:t>
      </w:r>
      <w:r>
        <w:rPr>
          <w:rStyle w:val="a7"/>
          <w:rtl/>
        </w:rPr>
        <w:footnoteReference w:id="4379"/>
      </w:r>
      <w:r>
        <w:rPr>
          <w:rFonts w:hint="cs"/>
          <w:rtl/>
        </w:rPr>
        <w:t xml:space="preserve"> بطريق التبعيّة، فاعـتبر ذلك في مـحلٍّ هو تبع من كلّ وجه، كأبْنَاءِ</w:t>
      </w:r>
      <w:r>
        <w:rPr>
          <w:rFonts w:hint="cs"/>
          <w:vertAlign w:val="superscript"/>
          <w:rtl/>
        </w:rPr>
        <w:t>(</w:t>
      </w:r>
      <w:r>
        <w:rPr>
          <w:rStyle w:val="a7"/>
          <w:rtl/>
        </w:rPr>
        <w:footnoteReference w:id="4380"/>
      </w:r>
      <w:r>
        <w:rPr>
          <w:rFonts w:hint="cs"/>
          <w:vertAlign w:val="superscript"/>
          <w:rtl/>
        </w:rPr>
        <w:t>)</w:t>
      </w:r>
      <w:r>
        <w:rPr>
          <w:rFonts w:hint="cs"/>
          <w:rtl/>
        </w:rPr>
        <w:t xml:space="preserve"> الأبْناء، فلا يلزم من ذلك</w:t>
      </w:r>
      <w:r>
        <w:rPr>
          <w:rStyle w:val="a7"/>
          <w:rtl/>
        </w:rPr>
        <w:footnoteReference w:id="4381"/>
      </w:r>
      <w:r>
        <w:rPr>
          <w:rFonts w:hint="cs"/>
          <w:rtl/>
        </w:rPr>
        <w:t xml:space="preserve"> اعتباره في محلٍّ هو</w:t>
      </w:r>
      <w:r>
        <w:rPr>
          <w:rStyle w:val="a7"/>
          <w:rtl/>
        </w:rPr>
        <w:footnoteReference w:id="4382"/>
      </w:r>
      <w:r>
        <w:rPr>
          <w:rFonts w:hint="cs"/>
          <w:rtl/>
        </w:rPr>
        <w:t xml:space="preserve"> أصل من وجه، كالأجداد</w:t>
      </w:r>
      <w:r>
        <w:rPr>
          <w:rFonts w:hint="cs"/>
          <w:vertAlign w:val="superscript"/>
          <w:rtl/>
        </w:rPr>
        <w:t>(</w:t>
      </w:r>
      <w:r>
        <w:rPr>
          <w:rStyle w:val="a7"/>
          <w:rtl/>
        </w:rPr>
        <w:footnoteReference w:id="4383"/>
      </w:r>
      <w:r>
        <w:rPr>
          <w:rFonts w:hint="cs"/>
          <w:vertAlign w:val="superscript"/>
          <w:rtl/>
        </w:rPr>
        <w:t>)</w:t>
      </w:r>
      <w:r>
        <w:rPr>
          <w:rFonts w:hint="cs"/>
          <w:rtl/>
        </w:rPr>
        <w:t xml:space="preserve"> والجدات</w:t>
      </w:r>
      <w:r>
        <w:rPr>
          <w:rFonts w:hint="eastAsia"/>
          <w:rtl/>
        </w:rPr>
        <w:t>»</w:t>
      </w:r>
      <w:r>
        <w:rPr>
          <w:rFonts w:hint="cs"/>
          <w:vertAlign w:val="superscript"/>
          <w:rtl/>
        </w:rPr>
        <w:t>(</w:t>
      </w:r>
      <w:r>
        <w:rPr>
          <w:rStyle w:val="a7"/>
          <w:rtl/>
        </w:rPr>
        <w:footnoteReference w:id="4384"/>
      </w:r>
      <w:r>
        <w:rPr>
          <w:rFonts w:hint="cs"/>
          <w:vertAlign w:val="superscript"/>
          <w:rtl/>
        </w:rPr>
        <w:t>)</w:t>
      </w:r>
      <w:r>
        <w:rPr>
          <w:rFonts w:hint="cs"/>
          <w:rtl/>
        </w:rPr>
        <w:t>، فإنهم أصول لا توابع.</w:t>
      </w:r>
    </w:p>
    <w:p w:rsidR="00C10469" w:rsidRDefault="00C10469" w:rsidP="00035BE3">
      <w:pPr>
        <w:spacing w:line="460" w:lineRule="exact"/>
        <w:ind w:left="848" w:hanging="216"/>
        <w:rPr>
          <w:spacing w:val="-6"/>
          <w:rtl/>
        </w:rPr>
      </w:pPr>
      <w:r>
        <w:rPr>
          <w:b/>
          <w:bCs/>
          <w:spacing w:val="-6"/>
          <w:rtl/>
        </w:rPr>
        <w:t>•</w:t>
      </w:r>
      <w:r>
        <w:rPr>
          <w:rFonts w:hint="cs"/>
          <w:b/>
          <w:bCs/>
          <w:spacing w:val="-6"/>
          <w:rtl/>
        </w:rPr>
        <w:t xml:space="preserve"> ومنها</w:t>
      </w:r>
      <w:r>
        <w:rPr>
          <w:rFonts w:hint="cs"/>
          <w:spacing w:val="-6"/>
          <w:rtl/>
        </w:rPr>
        <w:t xml:space="preserve"> : لو </w:t>
      </w:r>
      <w:r>
        <w:rPr>
          <w:rFonts w:hint="eastAsia"/>
          <w:spacing w:val="-6"/>
          <w:rtl/>
        </w:rPr>
        <w:t>«</w:t>
      </w:r>
      <w:r>
        <w:rPr>
          <w:rFonts w:hint="cs"/>
          <w:spacing w:val="-6"/>
          <w:rtl/>
        </w:rPr>
        <w:t>حلف : لا يضع قدمه في دار فلان : يحنث</w:t>
      </w:r>
      <w:r>
        <w:rPr>
          <w:rFonts w:hint="cs"/>
          <w:spacing w:val="-6"/>
          <w:vertAlign w:val="superscript"/>
          <w:rtl/>
        </w:rPr>
        <w:t>(</w:t>
      </w:r>
      <w:r>
        <w:rPr>
          <w:rStyle w:val="a7"/>
          <w:spacing w:val="-6"/>
          <w:rtl/>
        </w:rPr>
        <w:footnoteReference w:id="4385"/>
      </w:r>
      <w:r>
        <w:rPr>
          <w:rFonts w:hint="cs"/>
          <w:spacing w:val="-6"/>
          <w:vertAlign w:val="superscript"/>
          <w:rtl/>
        </w:rPr>
        <w:t>)</w:t>
      </w:r>
      <w:r>
        <w:rPr>
          <w:rFonts w:hint="cs"/>
          <w:spacing w:val="-6"/>
          <w:rtl/>
        </w:rPr>
        <w:t xml:space="preserve"> بالملك</w:t>
      </w:r>
      <w:r>
        <w:rPr>
          <w:rStyle w:val="a7"/>
          <w:spacing w:val="-6"/>
          <w:rtl/>
        </w:rPr>
        <w:footnoteReference w:id="4386"/>
      </w:r>
      <w:r>
        <w:rPr>
          <w:rFonts w:hint="cs"/>
          <w:spacing w:val="-6"/>
          <w:rtl/>
        </w:rPr>
        <w:t xml:space="preserve"> والإجارة والإعارة</w:t>
      </w:r>
      <w:r>
        <w:rPr>
          <w:rFonts w:hint="eastAsia"/>
          <w:spacing w:val="-6"/>
          <w:rtl/>
        </w:rPr>
        <w:t>»</w:t>
      </w:r>
      <w:r>
        <w:rPr>
          <w:rFonts w:hint="cs"/>
          <w:spacing w:val="-6"/>
          <w:vertAlign w:val="superscript"/>
          <w:rtl/>
        </w:rPr>
        <w:t>(</w:t>
      </w:r>
      <w:r>
        <w:rPr>
          <w:rStyle w:val="a7"/>
          <w:spacing w:val="-6"/>
          <w:rtl/>
        </w:rPr>
        <w:footnoteReference w:id="4387"/>
      </w:r>
      <w:r>
        <w:rPr>
          <w:rFonts w:hint="cs"/>
          <w:spacing w:val="-6"/>
          <w:vertAlign w:val="superscript"/>
          <w:rtl/>
        </w:rPr>
        <w:t>)</w:t>
      </w:r>
      <w:r>
        <w:rPr>
          <w:rFonts w:hint="cs"/>
          <w:spacing w:val="-6"/>
          <w:rtl/>
        </w:rPr>
        <w:t xml:space="preserve">، وفيه جمع بين الحقيقة والمجاز؛ </w:t>
      </w:r>
      <w:r>
        <w:rPr>
          <w:rFonts w:hint="eastAsia"/>
          <w:spacing w:val="-6"/>
          <w:rtl/>
        </w:rPr>
        <w:t>«</w:t>
      </w:r>
      <w:r>
        <w:rPr>
          <w:rFonts w:hint="cs"/>
          <w:spacing w:val="-6"/>
          <w:rtl/>
        </w:rPr>
        <w:t>لأن (دارَ</w:t>
      </w:r>
      <w:r>
        <w:rPr>
          <w:rStyle w:val="a7"/>
          <w:spacing w:val="-6"/>
          <w:rtl/>
        </w:rPr>
        <w:footnoteReference w:id="4388"/>
      </w:r>
      <w:r>
        <w:rPr>
          <w:rFonts w:hint="cs"/>
          <w:spacing w:val="-6"/>
          <w:rtl/>
        </w:rPr>
        <w:t xml:space="preserve"> فلانٍ) حقيقةٌ في</w:t>
      </w:r>
      <w:r>
        <w:rPr>
          <w:rStyle w:val="a7"/>
          <w:spacing w:val="-6"/>
          <w:rtl/>
        </w:rPr>
        <w:footnoteReference w:id="4389"/>
      </w:r>
      <w:r>
        <w:rPr>
          <w:rFonts w:hint="cs"/>
          <w:spacing w:val="-6"/>
          <w:rtl/>
        </w:rPr>
        <w:t xml:space="preserve"> الملك، والدار التي سكن فيها بإعارة، أو إجارة</w:t>
      </w:r>
      <w:r>
        <w:rPr>
          <w:rFonts w:hint="cs"/>
          <w:spacing w:val="-6"/>
          <w:vertAlign w:val="superscript"/>
          <w:rtl/>
        </w:rPr>
        <w:t>(</w:t>
      </w:r>
      <w:r>
        <w:rPr>
          <w:rStyle w:val="a7"/>
          <w:spacing w:val="-6"/>
          <w:rtl/>
        </w:rPr>
        <w:footnoteReference w:id="4390"/>
      </w:r>
      <w:r>
        <w:rPr>
          <w:rFonts w:hint="cs"/>
          <w:spacing w:val="-6"/>
          <w:vertAlign w:val="superscript"/>
          <w:rtl/>
        </w:rPr>
        <w:t>)</w:t>
      </w:r>
      <w:r>
        <w:rPr>
          <w:rFonts w:hint="cs"/>
          <w:spacing w:val="-6"/>
          <w:rtl/>
        </w:rPr>
        <w:t xml:space="preserve"> : مجاز؛ لصحة </w:t>
      </w:r>
      <w:r>
        <w:rPr>
          <w:rFonts w:hint="cs"/>
          <w:spacing w:val="-6"/>
          <w:rtl/>
        </w:rPr>
        <w:lastRenderedPageBreak/>
        <w:t>النفي في غير الملك دونه، ووضع القدم حقيقةٌ فيما إذا كان</w:t>
      </w:r>
      <w:r>
        <w:rPr>
          <w:rStyle w:val="a7"/>
          <w:spacing w:val="-6"/>
          <w:rtl/>
        </w:rPr>
        <w:footnoteReference w:id="4391"/>
      </w:r>
      <w:r>
        <w:rPr>
          <w:rFonts w:hint="cs"/>
          <w:spacing w:val="-6"/>
          <w:rtl/>
        </w:rPr>
        <w:t xml:space="preserve"> حافيًا</w:t>
      </w:r>
      <w:r>
        <w:rPr>
          <w:rStyle w:val="a7"/>
          <w:spacing w:val="-6"/>
          <w:rtl/>
        </w:rPr>
        <w:footnoteReference w:id="4392"/>
      </w:r>
      <w:r>
        <w:rPr>
          <w:rFonts w:hint="cs"/>
          <w:spacing w:val="-6"/>
          <w:rtl/>
        </w:rPr>
        <w:t xml:space="preserve"> وراجلاً، ومجازٌ</w:t>
      </w:r>
      <w:r>
        <w:rPr>
          <w:rStyle w:val="a7"/>
          <w:spacing w:val="-6"/>
          <w:rtl/>
        </w:rPr>
        <w:footnoteReference w:id="4393"/>
      </w:r>
      <w:r>
        <w:rPr>
          <w:rFonts w:hint="cs"/>
          <w:spacing w:val="-6"/>
          <w:rtl/>
        </w:rPr>
        <w:t xml:space="preserve"> فيما إذا كان راكبًا!</w:t>
      </w:r>
      <w:r>
        <w:rPr>
          <w:rFonts w:hint="eastAsia"/>
          <w:spacing w:val="-6"/>
          <w:rtl/>
        </w:rPr>
        <w:t>»</w:t>
      </w:r>
      <w:r>
        <w:rPr>
          <w:rFonts w:hint="cs"/>
          <w:spacing w:val="-6"/>
          <w:vertAlign w:val="superscript"/>
          <w:rtl/>
        </w:rPr>
        <w:t>(</w:t>
      </w:r>
      <w:r>
        <w:rPr>
          <w:rStyle w:val="a7"/>
          <w:spacing w:val="-6"/>
          <w:rtl/>
        </w:rPr>
        <w:footnoteReference w:id="4394"/>
      </w:r>
      <w:r>
        <w:rPr>
          <w:rFonts w:hint="cs"/>
          <w:spacing w:val="-6"/>
          <w:vertAlign w:val="superscript"/>
          <w:rtl/>
        </w:rPr>
        <w:t>)</w:t>
      </w:r>
      <w:r>
        <w:rPr>
          <w:rFonts w:hint="cs"/>
          <w:spacing w:val="-6"/>
          <w:rtl/>
        </w:rPr>
        <w:t>.</w:t>
      </w:r>
    </w:p>
    <w:p w:rsidR="00C10469" w:rsidRDefault="00C10469" w:rsidP="00035BE3">
      <w:pPr>
        <w:spacing w:line="460" w:lineRule="exact"/>
        <w:ind w:left="989" w:hanging="357"/>
        <w:rPr>
          <w:spacing w:val="-6"/>
          <w:rtl/>
        </w:rPr>
      </w:pPr>
      <w:r>
        <w:rPr>
          <w:rFonts w:hint="cs"/>
          <w:b/>
          <w:bCs/>
          <w:spacing w:val="-6"/>
          <w:rtl/>
        </w:rPr>
        <w:t xml:space="preserve">    والجواب </w:t>
      </w:r>
      <w:r>
        <w:rPr>
          <w:rFonts w:hint="cs"/>
          <w:spacing w:val="-6"/>
          <w:rtl/>
        </w:rPr>
        <w:t xml:space="preserve">: </w:t>
      </w:r>
      <w:r>
        <w:rPr>
          <w:rFonts w:hint="eastAsia"/>
          <w:spacing w:val="-6"/>
          <w:rtl/>
        </w:rPr>
        <w:t>«</w:t>
      </w:r>
      <w:r>
        <w:rPr>
          <w:rFonts w:hint="cs"/>
          <w:spacing w:val="-6"/>
          <w:rtl/>
        </w:rPr>
        <w:t>أنَّ هذا ليس من قبيل جمع الحقيقة والمجاز</w:t>
      </w:r>
      <w:r>
        <w:rPr>
          <w:rFonts w:hint="cs"/>
          <w:spacing w:val="-6"/>
          <w:vertAlign w:val="superscript"/>
          <w:rtl/>
        </w:rPr>
        <w:t>(</w:t>
      </w:r>
      <w:r>
        <w:rPr>
          <w:rStyle w:val="a7"/>
          <w:spacing w:val="-6"/>
          <w:rtl/>
        </w:rPr>
        <w:footnoteReference w:id="4395"/>
      </w:r>
      <w:r>
        <w:rPr>
          <w:rFonts w:hint="cs"/>
          <w:spacing w:val="-6"/>
          <w:vertAlign w:val="superscript"/>
          <w:rtl/>
        </w:rPr>
        <w:t>)</w:t>
      </w:r>
      <w:r>
        <w:rPr>
          <w:rFonts w:hint="cs"/>
          <w:spacing w:val="-6"/>
          <w:rtl/>
        </w:rPr>
        <w:t>؛ بل باعتبار عموم المجاز، أي : صار اللفظ</w:t>
      </w:r>
      <w:r>
        <w:rPr>
          <w:rFonts w:hint="cs"/>
          <w:spacing w:val="-6"/>
          <w:vertAlign w:val="superscript"/>
          <w:rtl/>
        </w:rPr>
        <w:t>(</w:t>
      </w:r>
      <w:r>
        <w:rPr>
          <w:rStyle w:val="a7"/>
          <w:spacing w:val="-6"/>
          <w:rtl/>
        </w:rPr>
        <w:footnoteReference w:id="4396"/>
      </w:r>
      <w:r>
        <w:rPr>
          <w:rFonts w:hint="cs"/>
          <w:spacing w:val="-6"/>
          <w:vertAlign w:val="superscript"/>
          <w:rtl/>
        </w:rPr>
        <w:t>)</w:t>
      </w:r>
      <w:r>
        <w:rPr>
          <w:rFonts w:hint="cs"/>
          <w:spacing w:val="-6"/>
          <w:rtl/>
        </w:rPr>
        <w:t xml:space="preserve"> مجازًا عن شيء، ذلك الشيء عام</w:t>
      </w:r>
      <w:r>
        <w:rPr>
          <w:rFonts w:hint="eastAsia"/>
          <w:spacing w:val="-6"/>
          <w:rtl/>
        </w:rPr>
        <w:t>»</w:t>
      </w:r>
      <w:r>
        <w:rPr>
          <w:rFonts w:hint="cs"/>
          <w:spacing w:val="-6"/>
          <w:vertAlign w:val="superscript"/>
          <w:rtl/>
        </w:rPr>
        <w:t>(</w:t>
      </w:r>
      <w:r>
        <w:rPr>
          <w:rStyle w:val="a7"/>
          <w:spacing w:val="-6"/>
          <w:rtl/>
        </w:rPr>
        <w:footnoteReference w:id="4397"/>
      </w:r>
      <w:r>
        <w:rPr>
          <w:rFonts w:hint="cs"/>
          <w:spacing w:val="-6"/>
          <w:vertAlign w:val="superscript"/>
          <w:rtl/>
        </w:rPr>
        <w:t>)</w:t>
      </w:r>
      <w:r>
        <w:rPr>
          <w:rFonts w:hint="cs"/>
          <w:spacing w:val="-6"/>
          <w:rtl/>
        </w:rPr>
        <w:t>، فَيَعُم.</w:t>
      </w:r>
    </w:p>
    <w:p w:rsidR="00C10469" w:rsidRDefault="00C10469" w:rsidP="00035BE3">
      <w:pPr>
        <w:spacing w:line="460" w:lineRule="exact"/>
        <w:ind w:left="989" w:hanging="357"/>
        <w:rPr>
          <w:rtl/>
        </w:rPr>
      </w:pPr>
      <w:r>
        <w:rPr>
          <w:b/>
          <w:bCs/>
          <w:rtl/>
        </w:rPr>
        <w:t>•</w:t>
      </w:r>
      <w:r>
        <w:rPr>
          <w:rFonts w:hint="cs"/>
          <w:b/>
          <w:bCs/>
          <w:rtl/>
        </w:rPr>
        <w:t xml:space="preserve">  ومنها </w:t>
      </w:r>
      <w:r>
        <w:rPr>
          <w:rFonts w:hint="cs"/>
          <w:rtl/>
        </w:rPr>
        <w:t>: لو قال : عبده حرّ يوم يقدم فلان. [فـ]</w:t>
      </w:r>
      <w:r>
        <w:rPr>
          <w:rFonts w:hint="cs"/>
          <w:vertAlign w:val="superscript"/>
          <w:rtl/>
        </w:rPr>
        <w:t>(</w:t>
      </w:r>
      <w:r>
        <w:rPr>
          <w:rStyle w:val="a7"/>
          <w:rtl/>
        </w:rPr>
        <w:footnoteReference w:id="4398"/>
      </w:r>
      <w:r>
        <w:rPr>
          <w:rFonts w:hint="cs"/>
          <w:vertAlign w:val="superscript"/>
          <w:rtl/>
        </w:rPr>
        <w:t>)</w:t>
      </w:r>
      <w:r>
        <w:rPr>
          <w:rFonts w:hint="cs"/>
          <w:rtl/>
        </w:rPr>
        <w:t xml:space="preserve"> قدم ليلاً أو نهارًا : عَتَقَ مع أن اليوم يستعمل للنهار حقيقة، وللوقت مجازًا، وفيه جمع بين الحقيقة والمجاز</w:t>
      </w:r>
      <w:r>
        <w:rPr>
          <w:rFonts w:hint="cs"/>
          <w:vertAlign w:val="superscript"/>
          <w:rtl/>
        </w:rPr>
        <w:t>(</w:t>
      </w:r>
      <w:r>
        <w:rPr>
          <w:rStyle w:val="a7"/>
          <w:rtl/>
        </w:rPr>
        <w:footnoteReference w:id="4399"/>
      </w:r>
      <w:r>
        <w:rPr>
          <w:rFonts w:hint="cs"/>
          <w:vertAlign w:val="superscript"/>
          <w:rtl/>
        </w:rPr>
        <w:t>)</w:t>
      </w:r>
      <w:r>
        <w:rPr>
          <w:rFonts w:hint="cs"/>
          <w:rtl/>
        </w:rPr>
        <w:t>!.</w:t>
      </w:r>
    </w:p>
    <w:p w:rsidR="00C10469" w:rsidRDefault="00C10469" w:rsidP="00035BE3">
      <w:pPr>
        <w:spacing w:line="460" w:lineRule="exact"/>
        <w:ind w:left="848" w:hanging="216"/>
      </w:pPr>
      <w:r>
        <w:rPr>
          <w:rFonts w:hint="cs"/>
          <w:b/>
          <w:bCs/>
          <w:rtl/>
        </w:rPr>
        <w:t xml:space="preserve">    والجواب</w:t>
      </w:r>
      <w:r>
        <w:rPr>
          <w:rFonts w:hint="cs"/>
          <w:rtl/>
        </w:rPr>
        <w:t xml:space="preserve"> : كالجواب في المسألة المتقدمة</w:t>
      </w:r>
      <w:r>
        <w:rPr>
          <w:rFonts w:hint="cs"/>
          <w:vertAlign w:val="superscript"/>
          <w:rtl/>
        </w:rPr>
        <w:t>(</w:t>
      </w:r>
      <w:r>
        <w:rPr>
          <w:rStyle w:val="a7"/>
          <w:rtl/>
        </w:rPr>
        <w:footnoteReference w:id="4400"/>
      </w:r>
      <w:r>
        <w:rPr>
          <w:rFonts w:hint="cs"/>
          <w:vertAlign w:val="superscript"/>
          <w:rtl/>
        </w:rPr>
        <w:t>)</w:t>
      </w:r>
      <w:r>
        <w:rPr>
          <w:rFonts w:hint="cs"/>
          <w:rtl/>
        </w:rPr>
        <w:t>.</w:t>
      </w:r>
    </w:p>
    <w:p w:rsidR="00C10469" w:rsidRDefault="00C10469" w:rsidP="00035BE3">
      <w:pPr>
        <w:spacing w:line="460" w:lineRule="exact"/>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6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2F12DC" w:rsidRDefault="00C10469">
      <w:pPr>
        <w:pStyle w:val="a9"/>
        <w:rPr>
          <w:rFonts w:cs="AL-Mateen"/>
          <w:rtl/>
        </w:rPr>
      </w:pPr>
      <w:r w:rsidRPr="002F12DC">
        <w:rPr>
          <w:rFonts w:cs="AL-Mateen" w:hint="cs"/>
          <w:rtl/>
        </w:rPr>
        <w:lastRenderedPageBreak/>
        <w:t>[ الـقـاعـدة الـحـاديـة عـشـرة بـعـد الـمـائـتـين ]</w:t>
      </w:r>
    </w:p>
    <w:p w:rsidR="00C10469" w:rsidRDefault="00C10469">
      <w:pPr>
        <w:rPr>
          <w:rtl/>
        </w:rPr>
      </w:pPr>
      <w:r>
        <w:rPr>
          <w:rFonts w:cs="Monotype Koufi" w:hint="cs"/>
          <w:rtl/>
        </w:rPr>
        <w:t>لاَ عِبْرَةَ لِتَارِيخِ الغَيْبَةِ</w:t>
      </w:r>
      <w:r>
        <w:rPr>
          <w:rFonts w:hint="cs"/>
          <w:vertAlign w:val="superscript"/>
          <w:rtl/>
        </w:rPr>
        <w:t>(</w:t>
      </w:r>
      <w:r>
        <w:rPr>
          <w:rStyle w:val="a7"/>
          <w:rtl/>
        </w:rPr>
        <w:footnoteReference w:id="4401"/>
      </w:r>
      <w:r>
        <w:rPr>
          <w:rFonts w:hint="cs"/>
          <w:vertAlign w:val="superscript"/>
          <w:rtl/>
        </w:rPr>
        <w:t>)</w:t>
      </w:r>
      <w:r>
        <w:rPr>
          <w:rFonts w:hint="cs"/>
          <w:rtl/>
        </w:rPr>
        <w:t xml:space="preserve"> :</w:t>
      </w:r>
    </w:p>
    <w:p w:rsidR="00C10469" w:rsidRDefault="00C10469">
      <w:pPr>
        <w:rPr>
          <w:rtl/>
        </w:rPr>
      </w:pPr>
      <w:r>
        <w:rPr>
          <w:rFonts w:hint="cs"/>
          <w:rtl/>
        </w:rPr>
        <w:lastRenderedPageBreak/>
        <w:t xml:space="preserve">اعتبر صاحبُ (الدرر) هذا الكلام في باب (الاستحقاق)، وفرّع عليه : </w:t>
      </w:r>
    </w:p>
    <w:p w:rsidR="00C10469" w:rsidRDefault="00C10469">
      <w:pPr>
        <w:rPr>
          <w:rtl/>
        </w:rPr>
      </w:pPr>
      <w:r>
        <w:rPr>
          <w:rFonts w:hint="cs"/>
          <w:rtl/>
        </w:rPr>
        <w:t>ما</w:t>
      </w:r>
      <w:r>
        <w:rPr>
          <w:rStyle w:val="a7"/>
          <w:rtl/>
        </w:rPr>
        <w:footnoteReference w:id="4402"/>
      </w:r>
      <w:r>
        <w:rPr>
          <w:rFonts w:hint="cs"/>
          <w:rtl/>
        </w:rPr>
        <w:t xml:space="preserve"> لو قال المستحق : غابت عني منذ سنة.</w:t>
      </w:r>
    </w:p>
    <w:p w:rsidR="00C10469" w:rsidRDefault="00C10469">
      <w:pPr>
        <w:spacing w:line="600" w:lineRule="exact"/>
        <w:rPr>
          <w:rtl/>
        </w:rPr>
      </w:pPr>
      <w:r>
        <w:rPr>
          <w:rFonts w:hint="cs"/>
          <w:rtl/>
        </w:rPr>
        <w:t>فقال الخصم : لي بيّنة</w:t>
      </w:r>
      <w:r>
        <w:rPr>
          <w:rStyle w:val="a7"/>
          <w:rtl/>
        </w:rPr>
        <w:footnoteReference w:id="4403"/>
      </w:r>
      <w:r>
        <w:rPr>
          <w:rFonts w:hint="cs"/>
          <w:rtl/>
        </w:rPr>
        <w:t xml:space="preserve"> أنها كانت ملكًا له</w:t>
      </w:r>
      <w:r>
        <w:rPr>
          <w:rFonts w:hint="cs"/>
          <w:vertAlign w:val="superscript"/>
          <w:rtl/>
        </w:rPr>
        <w:t>(</w:t>
      </w:r>
      <w:r>
        <w:rPr>
          <w:rStyle w:val="a7"/>
          <w:rtl/>
        </w:rPr>
        <w:footnoteReference w:id="4404"/>
      </w:r>
      <w:r>
        <w:rPr>
          <w:rFonts w:hint="cs"/>
          <w:vertAlign w:val="superscript"/>
          <w:rtl/>
        </w:rPr>
        <w:t>)</w:t>
      </w:r>
      <w:r>
        <w:rPr>
          <w:rFonts w:hint="cs"/>
          <w:rtl/>
        </w:rPr>
        <w:t xml:space="preserve"> منذ سنتين :</w:t>
      </w:r>
    </w:p>
    <w:p w:rsidR="00C10469" w:rsidRDefault="00C10469">
      <w:pPr>
        <w:spacing w:line="600" w:lineRule="exact"/>
        <w:rPr>
          <w:rtl/>
        </w:rPr>
      </w:pPr>
      <w:r>
        <w:rPr>
          <w:rFonts w:hint="cs"/>
          <w:rtl/>
        </w:rPr>
        <w:t>لا [تندفع]</w:t>
      </w:r>
      <w:r>
        <w:rPr>
          <w:rStyle w:val="a7"/>
          <w:rtl/>
        </w:rPr>
        <w:footnoteReference w:id="4405"/>
      </w:r>
      <w:r>
        <w:rPr>
          <w:rFonts w:hint="cs"/>
          <w:rtl/>
        </w:rPr>
        <w:t xml:space="preserve"> الخصومة</w:t>
      </w:r>
      <w:r>
        <w:rPr>
          <w:rFonts w:hint="cs"/>
          <w:vertAlign w:val="superscript"/>
          <w:rtl/>
        </w:rPr>
        <w:t>(</w:t>
      </w:r>
      <w:r>
        <w:rPr>
          <w:rStyle w:val="a7"/>
          <w:rtl/>
        </w:rPr>
        <w:footnoteReference w:id="4406"/>
      </w:r>
      <w:r>
        <w:rPr>
          <w:rFonts w:hint="cs"/>
          <w:vertAlign w:val="superscript"/>
          <w:rtl/>
        </w:rPr>
        <w:t>)</w:t>
      </w:r>
      <w:r>
        <w:rPr>
          <w:rFonts w:hint="cs"/>
          <w:rtl/>
        </w:rPr>
        <w:t>.</w:t>
      </w:r>
    </w:p>
    <w:p w:rsidR="00C10469" w:rsidRDefault="00C10469">
      <w:pPr>
        <w:spacing w:line="600" w:lineRule="exact"/>
        <w:rPr>
          <w:rtl/>
        </w:rPr>
      </w:pPr>
      <w:r>
        <w:rPr>
          <w:rFonts w:hint="cs"/>
          <w:rtl/>
        </w:rPr>
        <w:t>ثم جعل</w:t>
      </w:r>
      <w:r>
        <w:rPr>
          <w:rStyle w:val="a7"/>
          <w:rtl/>
        </w:rPr>
        <w:footnoteReference w:id="4407"/>
      </w:r>
      <w:r>
        <w:rPr>
          <w:rFonts w:hint="cs"/>
          <w:rtl/>
        </w:rPr>
        <w:t xml:space="preserve"> هذه المسألة في كـتـاب (الدعوى) فرعًا على قولهم : </w:t>
      </w:r>
      <w:r>
        <w:rPr>
          <w:rFonts w:hint="eastAsia"/>
          <w:rtl/>
        </w:rPr>
        <w:t>«</w:t>
      </w:r>
      <w:r>
        <w:rPr>
          <w:rFonts w:hint="cs"/>
          <w:rtl/>
        </w:rPr>
        <w:t>التاريخ لا يعتبر حـالـة الان</w:t>
      </w:r>
      <w:r>
        <w:rPr>
          <w:rFonts w:hint="cs"/>
          <w:rtl/>
          <w:lang w:bidi="ar-AE"/>
        </w:rPr>
        <w:t>ـ</w:t>
      </w:r>
      <w:r>
        <w:rPr>
          <w:rFonts w:hint="cs"/>
          <w:rtl/>
        </w:rPr>
        <w:t>فـراد</w:t>
      </w:r>
      <w:r>
        <w:rPr>
          <w:rFonts w:hint="eastAsia"/>
          <w:rtl/>
        </w:rPr>
        <w:t>»</w:t>
      </w:r>
      <w:r>
        <w:rPr>
          <w:rFonts w:hint="cs"/>
          <w:rtl/>
        </w:rPr>
        <w:t>.</w:t>
      </w:r>
    </w:p>
    <w:p w:rsidR="00C10469" w:rsidRDefault="00C10469">
      <w:pPr>
        <w:spacing w:line="600" w:lineRule="exact"/>
        <w:rPr>
          <w:rtl/>
        </w:rPr>
      </w:pPr>
      <w:r>
        <w:rPr>
          <w:rFonts w:hint="cs"/>
          <w:rtl/>
        </w:rPr>
        <w:t xml:space="preserve">حيث قال : </w:t>
      </w:r>
      <w:r>
        <w:rPr>
          <w:rFonts w:hint="eastAsia"/>
          <w:rtl/>
        </w:rPr>
        <w:t>«</w:t>
      </w:r>
      <w:r>
        <w:rPr>
          <w:rFonts w:hint="cs"/>
          <w:rtl/>
        </w:rPr>
        <w:t>ادّعى : أن هذا العبد لي غاب عني منذ</w:t>
      </w:r>
      <w:r>
        <w:rPr>
          <w:rStyle w:val="a7"/>
          <w:rtl/>
        </w:rPr>
        <w:footnoteReference w:id="4408"/>
      </w:r>
      <w:r>
        <w:rPr>
          <w:rFonts w:hint="cs"/>
          <w:rtl/>
        </w:rPr>
        <w:t xml:space="preserve"> شهر.</w:t>
      </w:r>
    </w:p>
    <w:p w:rsidR="00C10469" w:rsidRDefault="00C10469">
      <w:pPr>
        <w:spacing w:line="600" w:lineRule="exact"/>
        <w:rPr>
          <w:rtl/>
        </w:rPr>
      </w:pPr>
      <w:r>
        <w:rPr>
          <w:rFonts w:hint="cs"/>
          <w:rtl/>
        </w:rPr>
        <w:t>وقال ذو اليد : إنه لي منذ سنة :</w:t>
      </w:r>
    </w:p>
    <w:p w:rsidR="00C10469" w:rsidRDefault="00C10469">
      <w:pPr>
        <w:spacing w:line="600" w:lineRule="exact"/>
        <w:rPr>
          <w:rtl/>
        </w:rPr>
      </w:pPr>
      <w:r>
        <w:rPr>
          <w:rFonts w:hint="cs"/>
          <w:rtl/>
        </w:rPr>
        <w:t xml:space="preserve">يقضى للمدّعي، ولا يلتفت إلى بيّنة المدعى عليه؛ لأن ما ذكر المُدعي تاريخ </w:t>
      </w:r>
      <w:r>
        <w:rPr>
          <w:rFonts w:hint="cs"/>
          <w:rtl/>
        </w:rPr>
        <w:lastRenderedPageBreak/>
        <w:t>غيبة العبد</w:t>
      </w:r>
      <w:r>
        <w:rPr>
          <w:rStyle w:val="a7"/>
          <w:rtl/>
        </w:rPr>
        <w:footnoteReference w:id="4409"/>
      </w:r>
      <w:r>
        <w:rPr>
          <w:rFonts w:hint="cs"/>
          <w:rtl/>
        </w:rPr>
        <w:t xml:space="preserve"> عن يده، لا تاريخ ملكه، فكان دعواه في الـملك خاليًا عن التاريخ. </w:t>
      </w:r>
    </w:p>
    <w:p w:rsidR="00C10469" w:rsidRDefault="00C10469">
      <w:pPr>
        <w:rPr>
          <w:rtl/>
        </w:rPr>
      </w:pPr>
      <w:r>
        <w:rPr>
          <w:rFonts w:hint="cs"/>
          <w:rtl/>
        </w:rPr>
        <w:t>وصاحب اليد ذَكرَ التاريخ، لكن التاريخ حالة الانفراد</w:t>
      </w:r>
      <w:r>
        <w:rPr>
          <w:rStyle w:val="a7"/>
          <w:rtl/>
        </w:rPr>
        <w:footnoteReference w:id="4410"/>
      </w:r>
      <w:r>
        <w:rPr>
          <w:rFonts w:hint="cs"/>
          <w:rtl/>
        </w:rPr>
        <w:t xml:space="preserve"> [لا]</w:t>
      </w:r>
      <w:r>
        <w:rPr>
          <w:rStyle w:val="a7"/>
          <w:rtl/>
        </w:rPr>
        <w:footnoteReference w:id="4411"/>
      </w:r>
      <w:r>
        <w:rPr>
          <w:rFonts w:hint="cs"/>
          <w:rtl/>
        </w:rPr>
        <w:t xml:space="preserve"> يعتبر</w:t>
      </w:r>
      <w:r>
        <w:rPr>
          <w:rFonts w:hint="eastAsia"/>
          <w:rtl/>
        </w:rPr>
        <w:t>»</w:t>
      </w:r>
      <w:r>
        <w:rPr>
          <w:rFonts w:hint="cs"/>
          <w:vertAlign w:val="superscript"/>
          <w:rtl/>
        </w:rPr>
        <w:t>(</w:t>
      </w:r>
      <w:r>
        <w:rPr>
          <w:rStyle w:val="a7"/>
          <w:rtl/>
        </w:rPr>
        <w:footnoteReference w:id="4412"/>
      </w:r>
      <w:r>
        <w:rPr>
          <w:rFonts w:hint="cs"/>
          <w:vertAlign w:val="superscript"/>
          <w:rtl/>
        </w:rPr>
        <w:t>)</w:t>
      </w:r>
      <w:r>
        <w:rPr>
          <w:rFonts w:hint="cs"/>
          <w:rtl/>
        </w:rPr>
        <w:t>.</w:t>
      </w:r>
    </w:p>
    <w:p w:rsidR="00C10469" w:rsidRDefault="00C10469">
      <w:pPr>
        <w:rPr>
          <w:spacing w:val="-6"/>
          <w:rtl/>
        </w:rPr>
      </w:pPr>
      <w:r>
        <w:rPr>
          <w:rFonts w:hint="cs"/>
          <w:spacing w:val="-6"/>
          <w:rtl/>
        </w:rPr>
        <w:t>فلا يخفى -على من تأمل حقّ التأمل- أنه أخطأ في الأول، وأصاب في الثاني</w:t>
      </w:r>
      <w:r>
        <w:rPr>
          <w:rFonts w:hint="cs"/>
          <w:spacing w:val="-6"/>
          <w:vertAlign w:val="superscript"/>
          <w:rtl/>
        </w:rPr>
        <w:t>(</w:t>
      </w:r>
      <w:r>
        <w:rPr>
          <w:rStyle w:val="a7"/>
          <w:spacing w:val="-6"/>
          <w:rtl/>
        </w:rPr>
        <w:footnoteReference w:id="4413"/>
      </w:r>
      <w:r>
        <w:rPr>
          <w:rFonts w:hint="cs"/>
          <w:spacing w:val="-6"/>
          <w:vertAlign w:val="superscript"/>
          <w:rtl/>
        </w:rPr>
        <w:t>)</w:t>
      </w:r>
      <w:r>
        <w:rPr>
          <w:rFonts w:hint="cs"/>
          <w:spacing w:val="-6"/>
          <w:rtl/>
        </w:rPr>
        <w:t>.</w:t>
      </w:r>
    </w:p>
    <w:p w:rsidR="00C10469" w:rsidRDefault="00C10469">
      <w:pPr>
        <w:rPr>
          <w:rtl/>
        </w:rPr>
      </w:pPr>
    </w:p>
    <w:p w:rsidR="00C10469" w:rsidRDefault="00C10469">
      <w:pPr>
        <w:rPr>
          <w:rtl/>
        </w:rPr>
      </w:pPr>
    </w:p>
    <w:p w:rsidR="00C10469" w:rsidRDefault="00C10469">
      <w:pPr>
        <w:rPr>
          <w:rtl/>
        </w:rPr>
      </w:pPr>
    </w:p>
    <w:p w:rsidR="00C10469" w:rsidRPr="00B77EAC"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6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D679B4" w:rsidRDefault="00C10469">
      <w:pPr>
        <w:pStyle w:val="a9"/>
        <w:rPr>
          <w:rFonts w:cs="AL-Mateen"/>
          <w:rtl/>
        </w:rPr>
      </w:pPr>
      <w:r w:rsidRPr="00D679B4">
        <w:rPr>
          <w:rFonts w:cs="AL-Mateen" w:hint="cs"/>
          <w:rtl/>
        </w:rPr>
        <w:lastRenderedPageBreak/>
        <w:t>[ الـقـاعـدة الـثـانـيـة عـشـرة بـعـد الـمـائـتـيـن ]</w:t>
      </w:r>
    </w:p>
    <w:p w:rsidR="00C10469" w:rsidRDefault="00C10469">
      <w:pPr>
        <w:rPr>
          <w:rtl/>
        </w:rPr>
      </w:pPr>
      <w:r>
        <w:rPr>
          <w:rFonts w:cs="Monotype Koufi" w:hint="cs"/>
          <w:rtl/>
        </w:rPr>
        <w:t>لاَ يَجُوزُ تَفْرِيقُ الصَّفْقَةِ قَبْلَ التَّمَامِ</w:t>
      </w:r>
      <w:r>
        <w:rPr>
          <w:rFonts w:hint="cs"/>
          <w:vertAlign w:val="superscript"/>
          <w:rtl/>
        </w:rPr>
        <w:t>(</w:t>
      </w:r>
      <w:r>
        <w:rPr>
          <w:rStyle w:val="a7"/>
          <w:rtl/>
        </w:rPr>
        <w:footnoteReference w:id="4414"/>
      </w:r>
      <w:r>
        <w:rPr>
          <w:rFonts w:hint="cs"/>
          <w:vertAlign w:val="superscript"/>
          <w:rtl/>
        </w:rPr>
        <w:t>)</w:t>
      </w:r>
      <w:r>
        <w:rPr>
          <w:rFonts w:hint="cs"/>
          <w:rtl/>
        </w:rPr>
        <w:t xml:space="preserve"> :</w:t>
      </w:r>
    </w:p>
    <w:p w:rsidR="00C10469" w:rsidRDefault="00C10469">
      <w:pPr>
        <w:rPr>
          <w:rtl/>
        </w:rPr>
      </w:pPr>
      <w:r>
        <w:rPr>
          <w:rFonts w:hint="cs"/>
          <w:rtl/>
        </w:rPr>
        <w:t xml:space="preserve">لأن النبي </w:t>
      </w:r>
      <w:r>
        <w:rPr>
          <w:rFonts w:ascii="AGA Arabesque" w:hAnsi="AGA Arabesque"/>
          <w:sz w:val="36"/>
        </w:rPr>
        <w:t></w:t>
      </w:r>
      <w:r>
        <w:rPr>
          <w:rFonts w:hint="cs"/>
          <w:rtl/>
        </w:rPr>
        <w:t xml:space="preserve">  </w:t>
      </w:r>
      <w:r>
        <w:rPr>
          <w:rFonts w:cs="DecoType Naskh" w:hint="cs"/>
          <w:sz w:val="36"/>
          <w:rtl/>
        </w:rPr>
        <w:t>نهى عن تفـريقها</w:t>
      </w:r>
      <w:r>
        <w:rPr>
          <w:rFonts w:hint="cs"/>
          <w:vertAlign w:val="superscript"/>
          <w:rtl/>
        </w:rPr>
        <w:t>(</w:t>
      </w:r>
      <w:r>
        <w:rPr>
          <w:rStyle w:val="a7"/>
          <w:rtl/>
        </w:rPr>
        <w:footnoteReference w:id="4415"/>
      </w:r>
      <w:r>
        <w:rPr>
          <w:rFonts w:hint="cs"/>
          <w:vertAlign w:val="superscript"/>
          <w:rtl/>
        </w:rPr>
        <w:t>)</w:t>
      </w:r>
      <w:r>
        <w:rPr>
          <w:rFonts w:hint="cs"/>
          <w:rtl/>
        </w:rPr>
        <w:t>.</w:t>
      </w:r>
    </w:p>
    <w:p w:rsidR="00C10469" w:rsidRDefault="00C10469">
      <w:pPr>
        <w:rPr>
          <w:spacing w:val="10"/>
          <w:rtl/>
        </w:rPr>
      </w:pPr>
      <w:r>
        <w:rPr>
          <w:rFonts w:hint="eastAsia"/>
          <w:spacing w:val="10"/>
          <w:rtl/>
        </w:rPr>
        <w:t>«</w:t>
      </w:r>
      <w:r>
        <w:rPr>
          <w:rFonts w:hint="cs"/>
          <w:spacing w:val="10"/>
          <w:rtl/>
        </w:rPr>
        <w:t xml:space="preserve">والصفقة : ضرب </w:t>
      </w:r>
      <w:r>
        <w:rPr>
          <w:rFonts w:hint="cs"/>
          <w:rtl/>
        </w:rPr>
        <w:t>اليد على</w:t>
      </w:r>
      <w:r>
        <w:rPr>
          <w:rFonts w:hint="cs"/>
          <w:spacing w:val="10"/>
          <w:rtl/>
        </w:rPr>
        <w:t xml:space="preserve"> اليد في البيع والبيعة</w:t>
      </w:r>
      <w:r>
        <w:rPr>
          <w:rStyle w:val="a7"/>
          <w:spacing w:val="10"/>
          <w:rtl/>
        </w:rPr>
        <w:footnoteReference w:id="4416"/>
      </w:r>
      <w:r>
        <w:rPr>
          <w:rFonts w:hint="cs"/>
          <w:spacing w:val="10"/>
          <w:rtl/>
        </w:rPr>
        <w:t>. ثم جعلت عبارة عن العقد نفسه</w:t>
      </w:r>
      <w:r>
        <w:rPr>
          <w:rFonts w:hint="eastAsia"/>
          <w:spacing w:val="10"/>
          <w:rtl/>
        </w:rPr>
        <w:t>»</w:t>
      </w:r>
      <w:r>
        <w:rPr>
          <w:rFonts w:hint="cs"/>
          <w:spacing w:val="10"/>
          <w:vertAlign w:val="superscript"/>
          <w:rtl/>
        </w:rPr>
        <w:t>(</w:t>
      </w:r>
      <w:r>
        <w:rPr>
          <w:rStyle w:val="a7"/>
          <w:spacing w:val="10"/>
          <w:rtl/>
        </w:rPr>
        <w:footnoteReference w:id="4417"/>
      </w:r>
      <w:r>
        <w:rPr>
          <w:rFonts w:hint="cs"/>
          <w:spacing w:val="10"/>
          <w:vertAlign w:val="superscript"/>
          <w:rtl/>
        </w:rPr>
        <w:t>)</w:t>
      </w:r>
      <w:r>
        <w:rPr>
          <w:rFonts w:hint="cs"/>
          <w:spacing w:val="10"/>
          <w:rtl/>
        </w:rPr>
        <w:t>.</w:t>
      </w:r>
    </w:p>
    <w:p w:rsidR="00C10469" w:rsidRDefault="00C10469">
      <w:pPr>
        <w:rPr>
          <w:rtl/>
        </w:rPr>
      </w:pPr>
      <w:r>
        <w:rPr>
          <w:rFonts w:hint="eastAsia"/>
          <w:rtl/>
        </w:rPr>
        <w:lastRenderedPageBreak/>
        <w:t>«</w:t>
      </w:r>
      <w:r>
        <w:rPr>
          <w:rFonts w:hint="cs"/>
          <w:rtl/>
        </w:rPr>
        <w:t>والعقد يحتاج إلى مبيعٍ وثمنٍ، [وبائع]</w:t>
      </w:r>
      <w:r>
        <w:rPr>
          <w:rFonts w:hint="cs"/>
          <w:vertAlign w:val="superscript"/>
          <w:rtl/>
        </w:rPr>
        <w:t>(</w:t>
      </w:r>
      <w:r>
        <w:rPr>
          <w:rStyle w:val="a7"/>
          <w:rtl/>
        </w:rPr>
        <w:footnoteReference w:id="4418"/>
      </w:r>
      <w:r>
        <w:rPr>
          <w:rFonts w:hint="cs"/>
          <w:vertAlign w:val="superscript"/>
          <w:rtl/>
        </w:rPr>
        <w:t>)</w:t>
      </w:r>
      <w:r>
        <w:rPr>
          <w:rFonts w:hint="cs"/>
          <w:rtl/>
        </w:rPr>
        <w:t xml:space="preserve"> ومشتر،ٍ وبيع وشراء. وباتحّاد هذه الأشياء</w:t>
      </w:r>
      <w:r>
        <w:rPr>
          <w:rStyle w:val="a7"/>
          <w:rtl/>
        </w:rPr>
        <w:footnoteReference w:id="4419"/>
      </w:r>
      <w:r>
        <w:rPr>
          <w:rFonts w:hint="cs"/>
          <w:rtl/>
        </w:rPr>
        <w:t xml:space="preserve"> مع بعض يحصل اتّحاد الصفقة</w:t>
      </w:r>
      <w:r>
        <w:rPr>
          <w:rStyle w:val="a7"/>
          <w:rtl/>
        </w:rPr>
        <w:footnoteReference w:id="4420"/>
      </w:r>
      <w:r>
        <w:rPr>
          <w:rFonts w:hint="cs"/>
          <w:rtl/>
        </w:rPr>
        <w:t>، وبتفَرُّقِها يحصل تفرُّقُها.</w:t>
      </w:r>
    </w:p>
    <w:p w:rsidR="00C10469" w:rsidRDefault="00C10469" w:rsidP="00C10469">
      <w:pPr>
        <w:ind w:left="771" w:firstLine="0"/>
        <w:rPr>
          <w:rtl/>
        </w:rPr>
      </w:pPr>
      <w:r>
        <w:rPr>
          <w:b/>
          <w:bCs/>
          <w:rtl/>
        </w:rPr>
        <w:t>•</w:t>
      </w:r>
      <w:r>
        <w:rPr>
          <w:rFonts w:hint="cs"/>
          <w:b/>
          <w:bCs/>
          <w:rtl/>
        </w:rPr>
        <w:t xml:space="preserve">  فإ</w:t>
      </w:r>
      <w:r>
        <w:rPr>
          <w:rFonts w:hint="cs"/>
          <w:rtl/>
        </w:rPr>
        <w:t>[</w:t>
      </w:r>
      <w:r>
        <w:rPr>
          <w:rFonts w:hint="cs"/>
          <w:b/>
          <w:bCs/>
          <w:rtl/>
        </w:rPr>
        <w:t>ذ</w:t>
      </w:r>
      <w:r>
        <w:rPr>
          <w:rFonts w:hint="cs"/>
          <w:rtl/>
        </w:rPr>
        <w:t>]</w:t>
      </w:r>
      <w:r>
        <w:rPr>
          <w:rStyle w:val="a7"/>
          <w:b/>
          <w:rtl/>
        </w:rPr>
        <w:footnoteReference w:id="4421"/>
      </w:r>
      <w:r>
        <w:rPr>
          <w:rFonts w:hint="cs"/>
          <w:rtl/>
        </w:rPr>
        <w:t>ا اتحد الجميع اتحّد</w:t>
      </w:r>
      <w:r>
        <w:rPr>
          <w:rFonts w:hint="cs"/>
          <w:vertAlign w:val="superscript"/>
          <w:rtl/>
        </w:rPr>
        <w:t>(</w:t>
      </w:r>
      <w:r>
        <w:rPr>
          <w:rStyle w:val="a7"/>
          <w:rtl/>
        </w:rPr>
        <w:footnoteReference w:id="4422"/>
      </w:r>
      <w:r>
        <w:rPr>
          <w:rFonts w:hint="cs"/>
          <w:vertAlign w:val="superscript"/>
          <w:rtl/>
        </w:rPr>
        <w:t>)</w:t>
      </w:r>
      <w:r>
        <w:rPr>
          <w:rFonts w:hint="cs"/>
          <w:rtl/>
        </w:rPr>
        <w:t xml:space="preserve"> الصفقة.</w:t>
      </w:r>
    </w:p>
    <w:p w:rsidR="00C10469" w:rsidRDefault="00C10469" w:rsidP="00C10469">
      <w:pPr>
        <w:ind w:left="771" w:firstLine="0"/>
        <w:rPr>
          <w:rtl/>
        </w:rPr>
      </w:pPr>
      <w:r>
        <w:rPr>
          <w:b/>
          <w:bCs/>
          <w:rtl/>
        </w:rPr>
        <w:t>•</w:t>
      </w:r>
      <w:r>
        <w:rPr>
          <w:rFonts w:hint="cs"/>
          <w:b/>
          <w:bCs/>
          <w:rtl/>
        </w:rPr>
        <w:t xml:space="preserve">  وكذا</w:t>
      </w:r>
      <w:r>
        <w:rPr>
          <w:rFonts w:hint="cs"/>
          <w:rtl/>
        </w:rPr>
        <w:t xml:space="preserve"> : إذا اتّحد سوى المبيع</w:t>
      </w:r>
      <w:r>
        <w:rPr>
          <w:rStyle w:val="a7"/>
          <w:rtl/>
        </w:rPr>
        <w:footnoteReference w:id="4423"/>
      </w:r>
      <w:r>
        <w:rPr>
          <w:rFonts w:hint="cs"/>
          <w:rtl/>
        </w:rPr>
        <w:t>؛ كقوله : بعتهما</w:t>
      </w:r>
      <w:r>
        <w:rPr>
          <w:rFonts w:hint="cs"/>
          <w:vertAlign w:val="superscript"/>
          <w:rtl/>
        </w:rPr>
        <w:t>(</w:t>
      </w:r>
      <w:r>
        <w:rPr>
          <w:rStyle w:val="a7"/>
          <w:rtl/>
        </w:rPr>
        <w:footnoteReference w:id="4424"/>
      </w:r>
      <w:r>
        <w:rPr>
          <w:rFonts w:hint="cs"/>
          <w:vertAlign w:val="superscript"/>
          <w:rtl/>
        </w:rPr>
        <w:t>)</w:t>
      </w:r>
      <w:r>
        <w:rPr>
          <w:rFonts w:hint="cs"/>
          <w:rtl/>
        </w:rPr>
        <w:t xml:space="preserve"> بمائة. فقال : قبلتُ.</w:t>
      </w:r>
    </w:p>
    <w:p w:rsidR="00C10469" w:rsidRDefault="00C10469" w:rsidP="00C10469">
      <w:pPr>
        <w:ind w:left="771" w:firstLine="0"/>
        <w:rPr>
          <w:rtl/>
        </w:rPr>
      </w:pPr>
      <w:r>
        <w:rPr>
          <w:rtl/>
        </w:rPr>
        <w:t>•</w:t>
      </w:r>
      <w:r>
        <w:rPr>
          <w:rFonts w:hint="cs"/>
          <w:rtl/>
        </w:rPr>
        <w:t xml:space="preserve">  و</w:t>
      </w:r>
      <w:r>
        <w:rPr>
          <w:rStyle w:val="a7"/>
          <w:rtl/>
        </w:rPr>
        <w:footnoteReference w:id="4425"/>
      </w:r>
      <w:r>
        <w:rPr>
          <w:rFonts w:hint="cs"/>
          <w:rtl/>
        </w:rPr>
        <w:t xml:space="preserve"> اتحاد الجميع سوى الثَّمن لا يتصور إلاّ مع تعدُّد المبيع؛ كإن قال : بعتهما</w:t>
      </w:r>
      <w:r>
        <w:rPr>
          <w:rStyle w:val="a7"/>
          <w:rtl/>
        </w:rPr>
        <w:footnoteReference w:id="4426"/>
      </w:r>
      <w:r>
        <w:rPr>
          <w:rFonts w:hint="cs"/>
          <w:rtl/>
        </w:rPr>
        <w:t xml:space="preserve"> بمائة. فقال : قبلت أحدَهُمَا بستِّين، والآخر بأربعين.</w:t>
      </w:r>
    </w:p>
    <w:p w:rsidR="00C10469" w:rsidRDefault="00C10469">
      <w:pPr>
        <w:ind w:left="377" w:right="377" w:firstLine="720"/>
        <w:rPr>
          <w:rtl/>
        </w:rPr>
      </w:pPr>
      <w:r>
        <w:rPr>
          <w:rFonts w:hint="cs"/>
          <w:rtl/>
        </w:rPr>
        <w:lastRenderedPageBreak/>
        <w:t>وذلك يكون صفقة واحدة أيضًا.</w:t>
      </w:r>
    </w:p>
    <w:p w:rsidR="00C10469" w:rsidRDefault="00C10469" w:rsidP="00C10469">
      <w:pPr>
        <w:ind w:left="706" w:hanging="329"/>
        <w:rPr>
          <w:rtl/>
        </w:rPr>
      </w:pPr>
      <w:r>
        <w:rPr>
          <w:b/>
          <w:bCs/>
          <w:rtl/>
        </w:rPr>
        <w:t>•</w:t>
      </w:r>
      <w:r>
        <w:rPr>
          <w:rFonts w:hint="cs"/>
          <w:b/>
          <w:bCs/>
          <w:rtl/>
        </w:rPr>
        <w:t xml:space="preserve">  وكذا</w:t>
      </w:r>
      <w:r>
        <w:rPr>
          <w:rFonts w:hint="cs"/>
          <w:rtl/>
        </w:rPr>
        <w:t xml:space="preserve"> : إذا اتحد الـجمـيع سوى البائـع؛ كإن قال : بعنا</w:t>
      </w:r>
      <w:r>
        <w:rPr>
          <w:rFonts w:hint="cs"/>
          <w:vertAlign w:val="superscript"/>
          <w:rtl/>
        </w:rPr>
        <w:t>(</w:t>
      </w:r>
      <w:r>
        <w:rPr>
          <w:rStyle w:val="a7"/>
          <w:rtl/>
        </w:rPr>
        <w:footnoteReference w:id="4427"/>
      </w:r>
      <w:r>
        <w:rPr>
          <w:rFonts w:hint="cs"/>
          <w:vertAlign w:val="superscript"/>
          <w:rtl/>
        </w:rPr>
        <w:t>)</w:t>
      </w:r>
      <w:r>
        <w:rPr>
          <w:rFonts w:hint="cs"/>
          <w:rtl/>
        </w:rPr>
        <w:t xml:space="preserve"> منك هذا بمائة. فقال : قبلت ...</w:t>
      </w:r>
      <w:r>
        <w:rPr>
          <w:rFonts w:hint="eastAsia"/>
          <w:rtl/>
        </w:rPr>
        <w:t>»</w:t>
      </w:r>
      <w:r>
        <w:rPr>
          <w:rFonts w:hint="cs"/>
          <w:rtl/>
        </w:rPr>
        <w:t>.</w:t>
      </w:r>
    </w:p>
    <w:p w:rsidR="00C10469" w:rsidRDefault="00C10469" w:rsidP="00C10469">
      <w:pPr>
        <w:ind w:left="706" w:hanging="329"/>
        <w:rPr>
          <w:rtl/>
        </w:rPr>
      </w:pPr>
      <w:r>
        <w:rPr>
          <w:b/>
          <w:bCs/>
          <w:rtl/>
        </w:rPr>
        <w:t>•</w:t>
      </w:r>
      <w:r>
        <w:rPr>
          <w:rFonts w:hint="cs"/>
          <w:b/>
          <w:bCs/>
          <w:rtl/>
        </w:rPr>
        <w:t xml:space="preserve">  وكذا</w:t>
      </w:r>
      <w:r>
        <w:rPr>
          <w:rFonts w:hint="cs"/>
          <w:rtl/>
        </w:rPr>
        <w:t xml:space="preserve"> : إذا</w:t>
      </w:r>
      <w:r>
        <w:rPr>
          <w:rStyle w:val="a7"/>
          <w:rtl/>
        </w:rPr>
        <w:footnoteReference w:id="4428"/>
      </w:r>
      <w:r>
        <w:rPr>
          <w:rFonts w:hint="cs"/>
          <w:rtl/>
        </w:rPr>
        <w:t xml:space="preserve"> </w:t>
      </w:r>
      <w:r>
        <w:rPr>
          <w:rFonts w:hint="eastAsia"/>
          <w:rtl/>
        </w:rPr>
        <w:t>«</w:t>
      </w:r>
      <w:r>
        <w:rPr>
          <w:rFonts w:hint="cs"/>
          <w:rtl/>
        </w:rPr>
        <w:t>اتحد الجميع سوى المشتري؛ كإن قال</w:t>
      </w:r>
      <w:r>
        <w:rPr>
          <w:rStyle w:val="a7"/>
          <w:rtl/>
        </w:rPr>
        <w:footnoteReference w:id="4429"/>
      </w:r>
      <w:r>
        <w:rPr>
          <w:rFonts w:hint="cs"/>
          <w:rtl/>
        </w:rPr>
        <w:t xml:space="preserve"> : بعته منكما</w:t>
      </w:r>
      <w:r>
        <w:rPr>
          <w:rFonts w:hint="cs"/>
          <w:vertAlign w:val="superscript"/>
          <w:rtl/>
        </w:rPr>
        <w:t>(</w:t>
      </w:r>
      <w:r>
        <w:rPr>
          <w:rFonts w:hint="cs"/>
          <w:b/>
          <w:bCs/>
          <w:vertAlign w:val="superscript"/>
          <w:rtl/>
        </w:rPr>
        <w:t>4</w:t>
      </w:r>
      <w:r>
        <w:rPr>
          <w:rFonts w:hint="cs"/>
          <w:vertAlign w:val="superscript"/>
          <w:rtl/>
        </w:rPr>
        <w:t>)</w:t>
      </w:r>
      <w:r>
        <w:rPr>
          <w:rFonts w:hint="cs"/>
          <w:rtl/>
        </w:rPr>
        <w:t xml:space="preserve"> بمائة. فقالا</w:t>
      </w:r>
      <w:r>
        <w:rPr>
          <w:rFonts w:hint="cs"/>
          <w:vertAlign w:val="superscript"/>
          <w:rtl/>
        </w:rPr>
        <w:t>(</w:t>
      </w:r>
      <w:r>
        <w:rPr>
          <w:rStyle w:val="a7"/>
          <w:rtl/>
        </w:rPr>
        <w:footnoteReference w:id="4430"/>
      </w:r>
      <w:r>
        <w:rPr>
          <w:rFonts w:hint="cs"/>
          <w:vertAlign w:val="superscript"/>
          <w:rtl/>
        </w:rPr>
        <w:t>)</w:t>
      </w:r>
      <w:r>
        <w:rPr>
          <w:rStyle w:val="a7"/>
          <w:rtl/>
        </w:rPr>
        <w:footnoteReference w:id="4431"/>
      </w:r>
      <w:r>
        <w:rPr>
          <w:rFonts w:hint="cs"/>
          <w:rtl/>
        </w:rPr>
        <w:t xml:space="preserve"> : قبلنا : </w:t>
      </w:r>
    </w:p>
    <w:p w:rsidR="00C10469" w:rsidRDefault="00C10469">
      <w:pPr>
        <w:rPr>
          <w:spacing w:val="-8"/>
          <w:rtl/>
        </w:rPr>
      </w:pPr>
      <w:r>
        <w:rPr>
          <w:rFonts w:hint="cs"/>
          <w:spacing w:val="-8"/>
          <w:rtl/>
        </w:rPr>
        <w:t>ففي جميع هذه الصّور : يوجب</w:t>
      </w:r>
      <w:r>
        <w:rPr>
          <w:rFonts w:hint="cs"/>
          <w:spacing w:val="-8"/>
          <w:vertAlign w:val="superscript"/>
          <w:rtl/>
        </w:rPr>
        <w:t>(</w:t>
      </w:r>
      <w:r>
        <w:rPr>
          <w:rStyle w:val="a7"/>
          <w:spacing w:val="-8"/>
          <w:rtl/>
        </w:rPr>
        <w:footnoteReference w:id="4432"/>
      </w:r>
      <w:r>
        <w:rPr>
          <w:rFonts w:hint="cs"/>
          <w:spacing w:val="-8"/>
          <w:vertAlign w:val="superscript"/>
          <w:rtl/>
        </w:rPr>
        <w:t>)</w:t>
      </w:r>
      <w:r>
        <w:rPr>
          <w:rFonts w:hint="cs"/>
          <w:spacing w:val="-8"/>
          <w:rtl/>
        </w:rPr>
        <w:t xml:space="preserve"> اتحاد الصفقة، فلا يجوز تفريقها قبل التمام</w:t>
      </w:r>
      <w:r>
        <w:rPr>
          <w:rFonts w:hint="eastAsia"/>
          <w:spacing w:val="-8"/>
          <w:rtl/>
        </w:rPr>
        <w:t>»</w:t>
      </w:r>
      <w:r>
        <w:rPr>
          <w:rFonts w:hint="cs"/>
          <w:spacing w:val="-8"/>
          <w:vertAlign w:val="superscript"/>
          <w:rtl/>
        </w:rPr>
        <w:t>(</w:t>
      </w:r>
      <w:r>
        <w:rPr>
          <w:rStyle w:val="a7"/>
          <w:spacing w:val="-8"/>
          <w:rtl/>
        </w:rPr>
        <w:footnoteReference w:id="4433"/>
      </w:r>
      <w:r>
        <w:rPr>
          <w:rFonts w:hint="cs"/>
          <w:spacing w:val="-8"/>
          <w:vertAlign w:val="superscript"/>
          <w:rtl/>
        </w:rPr>
        <w:t>)</w:t>
      </w:r>
      <w:r>
        <w:rPr>
          <w:rFonts w:hint="cs"/>
          <w:spacing w:val="-8"/>
          <w:rtl/>
        </w:rPr>
        <w:t>.</w:t>
      </w:r>
    </w:p>
    <w:p w:rsidR="00C10469" w:rsidRDefault="00C10469">
      <w:pPr>
        <w:rPr>
          <w:rtl/>
        </w:rPr>
      </w:pPr>
      <w:r>
        <w:rPr>
          <w:rFonts w:hint="eastAsia"/>
          <w:rtl/>
        </w:rPr>
        <w:t>«</w:t>
      </w:r>
      <w:r>
        <w:rPr>
          <w:rFonts w:hint="cs"/>
          <w:rtl/>
        </w:rPr>
        <w:t>وتفُّرقُ الجميع</w:t>
      </w:r>
      <w:r>
        <w:rPr>
          <w:rStyle w:val="a7"/>
          <w:rtl/>
        </w:rPr>
        <w:footnoteReference w:id="4434"/>
      </w:r>
      <w:r>
        <w:rPr>
          <w:rFonts w:hint="cs"/>
          <w:rtl/>
        </w:rPr>
        <w:t xml:space="preserve"> يوجبُ تفرُّق الصفقة. فكذا تفرق المبيع والثمن إن كان بتكرير لفظ البيـع</w:t>
      </w:r>
      <w:r>
        <w:rPr>
          <w:rFonts w:hint="cs"/>
          <w:vertAlign w:val="superscript"/>
          <w:rtl/>
        </w:rPr>
        <w:t>(</w:t>
      </w:r>
      <w:r>
        <w:rPr>
          <w:rStyle w:val="a7"/>
          <w:rtl/>
        </w:rPr>
        <w:footnoteReference w:id="4435"/>
      </w:r>
      <w:r>
        <w:rPr>
          <w:rFonts w:hint="cs"/>
          <w:vertAlign w:val="superscript"/>
          <w:rtl/>
        </w:rPr>
        <w:t>)</w:t>
      </w:r>
      <w:r>
        <w:rPr>
          <w:rFonts w:hint="cs"/>
          <w:rtl/>
        </w:rPr>
        <w:t>.</w:t>
      </w:r>
    </w:p>
    <w:p w:rsidR="00C10469" w:rsidRDefault="00C10469">
      <w:pPr>
        <w:rPr>
          <w:rtl/>
        </w:rPr>
      </w:pPr>
      <w:r>
        <w:rPr>
          <w:rFonts w:hint="cs"/>
          <w:rtl/>
        </w:rPr>
        <w:t>وكذا تفرقهما بتكرير لفظ الشراء.</w:t>
      </w:r>
    </w:p>
    <w:p w:rsidR="00C10469" w:rsidRDefault="00C10469">
      <w:pPr>
        <w:rPr>
          <w:rtl/>
        </w:rPr>
      </w:pPr>
      <w:r>
        <w:rPr>
          <w:rFonts w:hint="cs"/>
          <w:rtl/>
        </w:rPr>
        <w:t>وهذا كله قياسًا واستحسانًا.</w:t>
      </w:r>
    </w:p>
    <w:p w:rsidR="00C10469" w:rsidRDefault="00C10469">
      <w:pPr>
        <w:rPr>
          <w:rtl/>
        </w:rPr>
      </w:pPr>
      <w:r>
        <w:rPr>
          <w:rFonts w:hint="cs"/>
          <w:rtl/>
        </w:rPr>
        <w:t>وأمّا تعدُّد البائع مع</w:t>
      </w:r>
      <w:r>
        <w:rPr>
          <w:rStyle w:val="a7"/>
          <w:rtl/>
        </w:rPr>
        <w:footnoteReference w:id="4436"/>
      </w:r>
      <w:r>
        <w:rPr>
          <w:rFonts w:hint="cs"/>
          <w:rtl/>
        </w:rPr>
        <w:t xml:space="preserve"> تعدُّد الثمن والمبيع بلا تكرير لفظ البيع، وتفَرُّق المشتري مع تفرّق المبيع والثمن بدون تكرير لفظ الشراء : فيوجب التفرق</w:t>
      </w:r>
      <w:r>
        <w:rPr>
          <w:rFonts w:hint="cs"/>
          <w:vertAlign w:val="superscript"/>
          <w:rtl/>
        </w:rPr>
        <w:t>(</w:t>
      </w:r>
      <w:r>
        <w:rPr>
          <w:rStyle w:val="a7"/>
          <w:rtl/>
        </w:rPr>
        <w:footnoteReference w:id="4437"/>
      </w:r>
      <w:r>
        <w:rPr>
          <w:rFonts w:hint="cs"/>
          <w:vertAlign w:val="superscript"/>
          <w:rtl/>
        </w:rPr>
        <w:t>)</w:t>
      </w:r>
      <w:r>
        <w:rPr>
          <w:rFonts w:hint="cs"/>
          <w:rtl/>
        </w:rPr>
        <w:t xml:space="preserve"> استحسانًا.</w:t>
      </w:r>
    </w:p>
    <w:p w:rsidR="00C10469" w:rsidRDefault="00C10469">
      <w:pPr>
        <w:rPr>
          <w:spacing w:val="-8"/>
          <w:rtl/>
        </w:rPr>
      </w:pPr>
      <w:r>
        <w:rPr>
          <w:rFonts w:hint="cs"/>
          <w:spacing w:val="-8"/>
          <w:rtl/>
        </w:rPr>
        <w:lastRenderedPageBreak/>
        <w:t>وقيل : لا يوجب التفرُّق على قول أبي حنيفة، ويوجبه على قول صاحبيه</w:t>
      </w:r>
      <w:r>
        <w:rPr>
          <w:rFonts w:hint="cs"/>
          <w:spacing w:val="-8"/>
          <w:vertAlign w:val="superscript"/>
          <w:rtl/>
        </w:rPr>
        <w:t>(</w:t>
      </w:r>
      <w:r>
        <w:rPr>
          <w:rStyle w:val="a7"/>
          <w:spacing w:val="-8"/>
          <w:rtl/>
        </w:rPr>
        <w:footnoteReference w:id="4438"/>
      </w:r>
      <w:r>
        <w:rPr>
          <w:rFonts w:hint="cs"/>
          <w:spacing w:val="-8"/>
          <w:vertAlign w:val="superscript"/>
          <w:rtl/>
        </w:rPr>
        <w:t>)</w:t>
      </w:r>
      <w:r>
        <w:rPr>
          <w:rFonts w:hint="eastAsia"/>
          <w:spacing w:val="-8"/>
          <w:rtl/>
        </w:rPr>
        <w:t>»</w:t>
      </w:r>
      <w:r>
        <w:rPr>
          <w:rFonts w:hint="cs"/>
          <w:spacing w:val="-8"/>
          <w:vertAlign w:val="superscript"/>
          <w:rtl/>
        </w:rPr>
        <w:t>(</w:t>
      </w:r>
      <w:r>
        <w:rPr>
          <w:rStyle w:val="a7"/>
          <w:spacing w:val="-8"/>
          <w:rtl/>
        </w:rPr>
        <w:footnoteReference w:id="4439"/>
      </w:r>
      <w:r>
        <w:rPr>
          <w:rFonts w:hint="cs"/>
          <w:spacing w:val="-8"/>
          <w:vertAlign w:val="superscript"/>
          <w:rtl/>
        </w:rPr>
        <w:t>)</w:t>
      </w:r>
      <w:r>
        <w:rPr>
          <w:rFonts w:hint="cs"/>
          <w:spacing w:val="-8"/>
          <w:rtl/>
        </w:rPr>
        <w:t>.</w:t>
      </w:r>
    </w:p>
    <w:p w:rsidR="00C10469" w:rsidRDefault="00C10469">
      <w:pPr>
        <w:spacing w:line="500" w:lineRule="exact"/>
        <w:rPr>
          <w:spacing w:val="-12"/>
          <w:sz w:val="36"/>
          <w:rtl/>
        </w:rPr>
      </w:pPr>
      <w:r>
        <w:rPr>
          <w:rFonts w:hint="cs"/>
          <w:b/>
          <w:bCs/>
          <w:spacing w:val="-12"/>
          <w:sz w:val="36"/>
          <w:rtl/>
        </w:rPr>
        <w:t>ومن فروع هذا الأصل</w:t>
      </w:r>
      <w:r>
        <w:rPr>
          <w:rFonts w:hint="cs"/>
          <w:spacing w:val="-12"/>
          <w:sz w:val="36"/>
          <w:rtl/>
        </w:rPr>
        <w:t xml:space="preserve"> : </w:t>
      </w:r>
      <w:r>
        <w:rPr>
          <w:rFonts w:hint="eastAsia"/>
          <w:spacing w:val="-12"/>
          <w:sz w:val="36"/>
          <w:rtl/>
        </w:rPr>
        <w:t>«</w:t>
      </w:r>
      <w:r>
        <w:rPr>
          <w:rFonts w:hint="cs"/>
          <w:spacing w:val="-12"/>
          <w:sz w:val="36"/>
          <w:rtl/>
        </w:rPr>
        <w:t>إذا أوجَب البيع في شيئين فصاعدًا، فأراد المشتري قبول العقد في أحدهما</w:t>
      </w:r>
      <w:r>
        <w:rPr>
          <w:rStyle w:val="a7"/>
          <w:spacing w:val="-12"/>
          <w:sz w:val="36"/>
          <w:szCs w:val="36"/>
          <w:rtl/>
        </w:rPr>
        <w:footnoteReference w:id="4440"/>
      </w:r>
      <w:r>
        <w:rPr>
          <w:rFonts w:hint="cs"/>
          <w:spacing w:val="-12"/>
          <w:sz w:val="36"/>
          <w:rtl/>
        </w:rPr>
        <w:t xml:space="preserve"> لا غير : فإن [كانت]</w:t>
      </w:r>
      <w:r>
        <w:rPr>
          <w:rStyle w:val="a7"/>
          <w:spacing w:val="-12"/>
          <w:sz w:val="36"/>
          <w:szCs w:val="36"/>
          <w:rtl/>
        </w:rPr>
        <w:footnoteReference w:id="4441"/>
      </w:r>
      <w:r>
        <w:rPr>
          <w:rFonts w:hint="cs"/>
          <w:spacing w:val="-12"/>
          <w:sz w:val="36"/>
          <w:rtl/>
        </w:rPr>
        <w:t xml:space="preserve"> الصفقة واحدة - على ما مرّ تفصيله</w:t>
      </w:r>
      <w:r>
        <w:rPr>
          <w:rFonts w:hint="cs"/>
          <w:spacing w:val="-12"/>
          <w:sz w:val="36"/>
          <w:vertAlign w:val="superscript"/>
          <w:rtl/>
        </w:rPr>
        <w:t xml:space="preserve"> (</w:t>
      </w:r>
      <w:r>
        <w:rPr>
          <w:rStyle w:val="a7"/>
          <w:spacing w:val="-12"/>
          <w:sz w:val="36"/>
          <w:szCs w:val="36"/>
          <w:rtl/>
        </w:rPr>
        <w:footnoteReference w:id="4442"/>
      </w:r>
      <w:r>
        <w:rPr>
          <w:rFonts w:hint="cs"/>
          <w:spacing w:val="-12"/>
          <w:sz w:val="36"/>
          <w:vertAlign w:val="superscript"/>
          <w:rtl/>
        </w:rPr>
        <w:t>)</w:t>
      </w:r>
      <w:r>
        <w:rPr>
          <w:rFonts w:hint="cs"/>
          <w:spacing w:val="-12"/>
          <w:sz w:val="36"/>
          <w:rtl/>
        </w:rPr>
        <w:t>- ليس له ذلك</w:t>
      </w:r>
      <w:r>
        <w:rPr>
          <w:rFonts w:hint="eastAsia"/>
          <w:spacing w:val="-12"/>
          <w:sz w:val="36"/>
          <w:rtl/>
        </w:rPr>
        <w:t>»</w:t>
      </w:r>
      <w:r>
        <w:rPr>
          <w:rFonts w:hint="cs"/>
          <w:spacing w:val="-12"/>
          <w:sz w:val="36"/>
          <w:vertAlign w:val="superscript"/>
          <w:rtl/>
        </w:rPr>
        <w:t>(</w:t>
      </w:r>
      <w:r>
        <w:rPr>
          <w:rStyle w:val="a7"/>
          <w:spacing w:val="-12"/>
          <w:sz w:val="36"/>
          <w:szCs w:val="36"/>
          <w:rtl/>
        </w:rPr>
        <w:footnoteReference w:id="4443"/>
      </w:r>
      <w:r>
        <w:rPr>
          <w:rFonts w:hint="cs"/>
          <w:spacing w:val="-12"/>
          <w:sz w:val="36"/>
          <w:vertAlign w:val="superscript"/>
          <w:rtl/>
        </w:rPr>
        <w:t>)</w:t>
      </w:r>
      <w:r>
        <w:rPr>
          <w:rFonts w:hint="cs"/>
          <w:spacing w:val="-12"/>
          <w:sz w:val="36"/>
          <w:rtl/>
        </w:rPr>
        <w:t>.</w:t>
      </w:r>
    </w:p>
    <w:p w:rsidR="00C10469" w:rsidRDefault="00C10469">
      <w:pPr>
        <w:rPr>
          <w:rtl/>
        </w:rPr>
      </w:pPr>
      <w:r>
        <w:rPr>
          <w:rFonts w:hint="cs"/>
          <w:b/>
          <w:bCs/>
          <w:rtl/>
        </w:rPr>
        <w:t>وإن قيل</w:t>
      </w:r>
      <w:r>
        <w:rPr>
          <w:rFonts w:hint="cs"/>
          <w:rtl/>
        </w:rPr>
        <w:t xml:space="preserve"> : النهي عن تفريقها مطلقًا، وقد قيّدتم بما قبل التمام، فيكون متروك الظاهر، فمثله مرجوح!.</w:t>
      </w:r>
    </w:p>
    <w:p w:rsidR="00C10469" w:rsidRDefault="00C10469">
      <w:pPr>
        <w:rPr>
          <w:rtl/>
        </w:rPr>
      </w:pPr>
      <w:r>
        <w:rPr>
          <w:rFonts w:hint="cs"/>
          <w:b/>
          <w:bCs/>
          <w:rtl/>
        </w:rPr>
        <w:t>والجواب</w:t>
      </w:r>
      <w:r>
        <w:rPr>
          <w:rFonts w:hint="cs"/>
          <w:rtl/>
        </w:rPr>
        <w:t xml:space="preserve"> : أنَّ النهي إنّما هو عن التفريق</w:t>
      </w:r>
      <w:r>
        <w:rPr>
          <w:rStyle w:val="a7"/>
          <w:rtl/>
        </w:rPr>
        <w:footnoteReference w:id="4444"/>
      </w:r>
      <w:r>
        <w:rPr>
          <w:rFonts w:hint="cs"/>
          <w:rtl/>
        </w:rPr>
        <w:t xml:space="preserve">، والتقييد بما قبل التمام بالقياس على ابتداء الصفقة، فإنه إذا أوجب البيع في شيئين لا يملك المشتري القبول في أحدهما؛ لما فيه من الإضرار بالبائع؛ لجريان العادة فيما بين الناس بضمّ الرديء إلى الجيّد </w:t>
      </w:r>
      <w:r>
        <w:rPr>
          <w:rFonts w:hint="cs"/>
          <w:rtl/>
        </w:rPr>
        <w:lastRenderedPageBreak/>
        <w:t>ترويجًا له به</w:t>
      </w:r>
      <w:r>
        <w:rPr>
          <w:rFonts w:hint="cs"/>
          <w:vertAlign w:val="superscript"/>
          <w:rtl/>
        </w:rPr>
        <w:t>(</w:t>
      </w:r>
      <w:r>
        <w:rPr>
          <w:rStyle w:val="a7"/>
          <w:rtl/>
        </w:rPr>
        <w:footnoteReference w:id="4445"/>
      </w:r>
      <w:r>
        <w:rPr>
          <w:rFonts w:hint="cs"/>
          <w:vertAlign w:val="superscript"/>
          <w:rtl/>
        </w:rPr>
        <w:t>)</w:t>
      </w:r>
      <w:r>
        <w:rPr>
          <w:rFonts w:hint="cs"/>
          <w:rtl/>
        </w:rPr>
        <w:t>. فيلزم بيع الجيّد بأقل من قيمته. وهو ضرر لا محالة في هذه الصورة</w:t>
      </w:r>
      <w:r>
        <w:rPr>
          <w:rFonts w:hint="cs"/>
          <w:vertAlign w:val="superscript"/>
          <w:rtl/>
        </w:rPr>
        <w:t>(</w:t>
      </w:r>
      <w:r>
        <w:rPr>
          <w:rStyle w:val="a7"/>
          <w:rtl/>
        </w:rPr>
        <w:footnoteReference w:id="4446"/>
      </w:r>
      <w:r>
        <w:rPr>
          <w:rFonts w:hint="cs"/>
          <w:vertAlign w:val="superscript"/>
          <w:rtl/>
        </w:rPr>
        <w:t>)</w:t>
      </w:r>
      <w:r>
        <w:rPr>
          <w:rFonts w:hint="cs"/>
          <w:rtl/>
        </w:rPr>
        <w:t>.</w:t>
      </w:r>
    </w:p>
    <w:p w:rsidR="00C10469" w:rsidRDefault="00C10469" w:rsidP="00C10469">
      <w:pPr>
        <w:pStyle w:val="a9"/>
        <w:rPr>
          <w:rFonts w:ascii="Traditional Arabic" w:hAnsi="Traditional Arabic" w:cs="Traditional Arabic"/>
          <w:rtl/>
          <w:lang w:val="en-US"/>
        </w:rPr>
      </w:pPr>
      <w:r w:rsidRPr="00F052B3">
        <w:rPr>
          <w:rFonts w:ascii="Traditional Arabic" w:hAnsi="Traditional Arabic" w:cs="Traditional Arabic"/>
          <w:rtl/>
          <w:lang w:val="en-US"/>
        </w:rPr>
        <w:t>وكذا</w:t>
      </w:r>
      <w:r w:rsidRPr="00F052B3">
        <w:rPr>
          <w:rStyle w:val="a7"/>
          <w:rFonts w:ascii="Traditional Arabic" w:hAnsi="Traditional Arabic"/>
          <w:rtl/>
          <w:lang w:val="en-US"/>
        </w:rPr>
        <w:footnoteReference w:id="4447"/>
      </w:r>
      <w:r w:rsidRPr="00F052B3">
        <w:rPr>
          <w:rFonts w:ascii="Traditional Arabic" w:hAnsi="Traditional Arabic" w:cs="Traditional Arabic"/>
          <w:rtl/>
          <w:lang w:val="en-US"/>
        </w:rPr>
        <w:t xml:space="preserve"> إذا أوجب</w:t>
      </w:r>
      <w:r w:rsidRPr="00F052B3">
        <w:rPr>
          <w:rStyle w:val="a7"/>
          <w:rFonts w:ascii="Traditional Arabic" w:hAnsi="Traditional Arabic"/>
          <w:rtl/>
          <w:lang w:val="en-US"/>
        </w:rPr>
        <w:footnoteReference w:id="4448"/>
      </w:r>
      <w:r w:rsidRPr="00F052B3">
        <w:rPr>
          <w:rFonts w:ascii="Traditional Arabic" w:hAnsi="Traditional Arabic" w:cs="Traditional Arabic"/>
          <w:rtl/>
          <w:lang w:val="en-US"/>
        </w:rPr>
        <w:t xml:space="preserve"> البيع في عين واحد</w:t>
      </w:r>
      <w:r w:rsidRPr="00F052B3">
        <w:rPr>
          <w:rFonts w:ascii="Traditional Arabic" w:hAnsi="Traditional Arabic" w:cs="Traditional Arabic"/>
          <w:vertAlign w:val="superscript"/>
          <w:rtl/>
          <w:lang w:val="en-US"/>
        </w:rPr>
        <w:t>(</w:t>
      </w:r>
      <w:r w:rsidRPr="00F052B3">
        <w:rPr>
          <w:rStyle w:val="a7"/>
          <w:rFonts w:ascii="Traditional Arabic" w:hAnsi="Traditional Arabic"/>
          <w:rtl/>
          <w:lang w:val="en-US"/>
        </w:rPr>
        <w:footnoteReference w:id="4449"/>
      </w:r>
      <w:r w:rsidRPr="00F052B3">
        <w:rPr>
          <w:rFonts w:ascii="Traditional Arabic" w:hAnsi="Traditional Arabic" w:cs="Traditional Arabic"/>
          <w:vertAlign w:val="superscript"/>
          <w:rtl/>
          <w:lang w:val="en-US"/>
        </w:rPr>
        <w:t>)</w:t>
      </w:r>
      <w:r w:rsidRPr="00F052B3">
        <w:rPr>
          <w:rFonts w:ascii="Traditional Arabic" w:hAnsi="Traditional Arabic" w:cs="Traditional Arabic"/>
          <w:rtl/>
          <w:lang w:val="en-US"/>
        </w:rPr>
        <w:t xml:space="preserve"> : لا يملك المشتري القبول في نصفها [لتضرُّر]</w:t>
      </w:r>
      <w:r w:rsidRPr="00F052B3">
        <w:rPr>
          <w:rStyle w:val="a7"/>
          <w:rFonts w:ascii="Traditional Arabic" w:hAnsi="Traditional Arabic"/>
          <w:rtl/>
          <w:lang w:val="en-US"/>
        </w:rPr>
        <w:footnoteReference w:id="4450"/>
      </w:r>
      <w:r w:rsidRPr="00F052B3">
        <w:rPr>
          <w:rFonts w:ascii="Traditional Arabic" w:hAnsi="Traditional Arabic" w:cs="Traditional Arabic"/>
          <w:rtl/>
          <w:lang w:val="en-US"/>
        </w:rPr>
        <w:t xml:space="preserve"> البائع للشركة</w:t>
      </w:r>
      <w:r w:rsidRPr="00F052B3">
        <w:rPr>
          <w:rFonts w:ascii="Traditional Arabic" w:hAnsi="Traditional Arabic" w:cs="Traditional Arabic"/>
          <w:vertAlign w:val="superscript"/>
          <w:rtl/>
          <w:lang w:val="en-US"/>
        </w:rPr>
        <w:t>(</w:t>
      </w:r>
      <w:r w:rsidRPr="00F052B3">
        <w:rPr>
          <w:rStyle w:val="a7"/>
          <w:rFonts w:ascii="Traditional Arabic" w:hAnsi="Traditional Arabic"/>
          <w:rtl/>
          <w:lang w:val="en-US"/>
        </w:rPr>
        <w:footnoteReference w:id="4451"/>
      </w:r>
      <w:r w:rsidRPr="00F052B3">
        <w:rPr>
          <w:rFonts w:ascii="Traditional Arabic" w:hAnsi="Traditional Arabic" w:cs="Traditional Arabic"/>
          <w:vertAlign w:val="superscript"/>
          <w:rtl/>
          <w:lang w:val="en-US"/>
        </w:rPr>
        <w:t>)</w:t>
      </w:r>
      <w:r w:rsidRPr="00F052B3">
        <w:rPr>
          <w:rFonts w:ascii="Traditional Arabic" w:hAnsi="Traditional Arabic" w:cs="Traditional Arabic"/>
          <w:rtl/>
          <w:lang w:val="en-US"/>
        </w:rPr>
        <w:t>. وبعد تمام الصفقة لا يتضرر البائع بشيء ما، فيجوز تفريقها؛ لعدم علّة عدم الجواز</w:t>
      </w:r>
      <w:r w:rsidRPr="00F052B3">
        <w:rPr>
          <w:rFonts w:ascii="Traditional Arabic" w:hAnsi="Traditional Arabic" w:cs="Traditional Arabic"/>
          <w:vertAlign w:val="superscript"/>
          <w:rtl/>
          <w:lang w:val="en-US"/>
        </w:rPr>
        <w:t>(</w:t>
      </w:r>
      <w:r w:rsidRPr="00F052B3">
        <w:rPr>
          <w:rStyle w:val="a7"/>
          <w:rFonts w:ascii="Traditional Arabic" w:hAnsi="Traditional Arabic"/>
          <w:rtl/>
          <w:lang w:val="en-US"/>
        </w:rPr>
        <w:footnoteReference w:id="4452"/>
      </w:r>
      <w:r w:rsidRPr="00F052B3">
        <w:rPr>
          <w:rFonts w:ascii="Traditional Arabic" w:hAnsi="Traditional Arabic" w:cs="Traditional Arabic"/>
          <w:vertAlign w:val="superscript"/>
          <w:rtl/>
          <w:lang w:val="en-US"/>
        </w:rPr>
        <w:t>)</w:t>
      </w:r>
      <w:r w:rsidRPr="00F052B3">
        <w:rPr>
          <w:rFonts w:ascii="Traditional Arabic" w:hAnsi="Traditional Arabic" w:cs="Traditional Arabic"/>
          <w:rtl/>
          <w:lang w:val="en-US"/>
        </w:rPr>
        <w:t>؛ لأنّ النهي معلّلٌ بالضرر، فإنه إذا باع شيئين بصفقة واحدة، فقبضهما المشتري</w:t>
      </w:r>
      <w:r w:rsidRPr="00F052B3">
        <w:rPr>
          <w:rStyle w:val="a7"/>
          <w:rFonts w:ascii="Traditional Arabic" w:hAnsi="Traditional Arabic"/>
          <w:rtl/>
          <w:lang w:val="en-US"/>
        </w:rPr>
        <w:footnoteReference w:id="4453"/>
      </w:r>
      <w:r w:rsidRPr="00F052B3">
        <w:rPr>
          <w:rFonts w:ascii="Traditional Arabic" w:hAnsi="Traditional Arabic" w:cs="Traditional Arabic"/>
          <w:rtl/>
          <w:lang w:val="en-US"/>
        </w:rPr>
        <w:t>، فاستحق أحدهما : لا يَرُدُّ الآخر؛ لأن الصفقة قد تمَّت، حتى لا يرتّدُ إلاّ بالرضا أو بحكم القاضي، فإذا أخذ المستَحِقُّ أحدهما بحكم القاضي لا يتضرر البائع، لا</w:t>
      </w:r>
      <w:r w:rsidRPr="00F052B3">
        <w:rPr>
          <w:rStyle w:val="a7"/>
          <w:rFonts w:ascii="Traditional Arabic" w:hAnsi="Traditional Arabic"/>
          <w:rtl/>
          <w:lang w:val="en-US"/>
        </w:rPr>
        <w:footnoteReference w:id="4454"/>
      </w:r>
      <w:r w:rsidRPr="00F052B3">
        <w:rPr>
          <w:rFonts w:ascii="Traditional Arabic" w:hAnsi="Traditional Arabic" w:cs="Traditional Arabic"/>
          <w:rtl/>
          <w:lang w:val="en-US"/>
        </w:rPr>
        <w:t xml:space="preserve"> بضرر الشركة ولا بضرر بيع الجيّد بأقل من ثمنه؛ لأنه يرجع بحصته، فيجوز التفريق. </w:t>
      </w:r>
    </w:p>
    <w:p w:rsidR="00C10469" w:rsidRDefault="00C10469" w:rsidP="00C10469">
      <w:pPr>
        <w:pStyle w:val="a9"/>
        <w:rPr>
          <w:rFonts w:ascii="Traditional Arabic" w:hAnsi="Traditional Arabic" w:cs="Traditional Arabic"/>
          <w:rtl/>
          <w:lang w:val="en-US"/>
        </w:rPr>
      </w:pPr>
    </w:p>
    <w:p w:rsidR="00C10469" w:rsidRDefault="00C10469" w:rsidP="00C10469">
      <w:pPr>
        <w:pStyle w:val="a9"/>
        <w:rPr>
          <w:rFonts w:ascii="Traditional Arabic" w:hAnsi="Traditional Arabic" w:cs="Traditional Arabic"/>
          <w:rtl/>
          <w:lang w:val="en-US"/>
        </w:rPr>
      </w:pPr>
    </w:p>
    <w:p w:rsidR="00C10469" w:rsidRDefault="00C10469" w:rsidP="00C10469">
      <w:pPr>
        <w:pStyle w:val="a9"/>
        <w:rPr>
          <w:rFonts w:ascii="Traditional Arabic" w:hAnsi="Traditional Arabic" w:cs="Traditional Arabic"/>
          <w:lang w:val="en-US"/>
        </w:rPr>
      </w:pPr>
    </w:p>
    <w:p w:rsidR="00C10469" w:rsidRPr="00F052B3" w:rsidRDefault="00C10469" w:rsidP="00803EA0">
      <w:pPr>
        <w:jc w:val="center"/>
        <w:rPr>
          <w:rFonts w:ascii="Traditional Arabic" w:hAnsi="Traditional Arabic"/>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r w:rsidRPr="00F052B3">
        <w:rPr>
          <w:rFonts w:ascii="Traditional Arabic" w:hAnsi="Traditional Arabic"/>
          <w:rtl/>
        </w:rPr>
        <w:t xml:space="preserve"> </w:t>
      </w:r>
    </w:p>
    <w:p w:rsidR="00C10469" w:rsidRDefault="00C10469">
      <w:pPr>
        <w:rPr>
          <w:rtl/>
        </w:rPr>
        <w:sectPr w:rsidR="00C10469" w:rsidSect="00C10469">
          <w:headerReference w:type="default" r:id="rId26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A477BB" w:rsidRDefault="00C10469">
      <w:pPr>
        <w:pStyle w:val="a9"/>
        <w:rPr>
          <w:rFonts w:cs="AL-Mateen"/>
          <w:rtl/>
        </w:rPr>
      </w:pPr>
      <w:r w:rsidRPr="00A477BB">
        <w:rPr>
          <w:rFonts w:cs="AL-Mateen" w:hint="cs"/>
          <w:rtl/>
        </w:rPr>
        <w:lastRenderedPageBreak/>
        <w:t>[ الـقـاعـدة الـثـالـثـة عـشـرة بـعـد الـمـائـتـيـن ]</w:t>
      </w:r>
    </w:p>
    <w:p w:rsidR="00C10469" w:rsidRDefault="00C10469">
      <w:pPr>
        <w:rPr>
          <w:rtl/>
        </w:rPr>
      </w:pPr>
      <w:r>
        <w:rPr>
          <w:rFonts w:cs="Monotype Koufi" w:hint="cs"/>
          <w:rtl/>
        </w:rPr>
        <w:t>اللَّفْظُ إِذَا كَانَ لَهُ مَعْنًى حَقِيقِيٌّ [مُسْتَعْمَلٌ]</w:t>
      </w:r>
      <w:r>
        <w:rPr>
          <w:rStyle w:val="a7"/>
          <w:rtl/>
        </w:rPr>
        <w:footnoteReference w:id="4455"/>
      </w:r>
      <w:r>
        <w:rPr>
          <w:rFonts w:hint="cs"/>
          <w:rtl/>
        </w:rPr>
        <w:t xml:space="preserve">، </w:t>
      </w:r>
      <w:r>
        <w:rPr>
          <w:rFonts w:cs="Monotype Koufi" w:hint="cs"/>
          <w:rtl/>
        </w:rPr>
        <w:t>وَمَعْنًى مَجَازِيٌّ مُتَعَارَفٌ</w:t>
      </w:r>
      <w:r>
        <w:rPr>
          <w:rStyle w:val="a7"/>
          <w:rtl/>
        </w:rPr>
        <w:footnoteReference w:id="4456"/>
      </w:r>
      <w:r>
        <w:rPr>
          <w:rFonts w:hint="cs"/>
          <w:rtl/>
        </w:rPr>
        <w:t xml:space="preserve"> </w:t>
      </w:r>
      <w:r>
        <w:rPr>
          <w:rFonts w:cs="Monotype Koufi" w:hint="cs"/>
          <w:rtl/>
        </w:rPr>
        <w:t xml:space="preserve">: يُرَجَّحُ المَعْنَى الحَقِيقِيُّ عندَ أَبِي حنيفةَ -رَحِمَهُ اللَّهُ- وعندَهُمَا </w:t>
      </w:r>
      <w:r>
        <w:rPr>
          <w:rFonts w:cs="Monotype Koufi" w:hint="cs"/>
          <w:b/>
          <w:bCs/>
          <w:rtl/>
        </w:rPr>
        <w:t>-</w:t>
      </w:r>
      <w:r>
        <w:rPr>
          <w:rFonts w:cs="Monotype Koufi" w:hint="cs"/>
          <w:rtl/>
        </w:rPr>
        <w:t xml:space="preserve"> رَحِمَهُمَا اللَّهُ- : المَجَازِيُّ</w:t>
      </w:r>
      <w:r>
        <w:rPr>
          <w:rFonts w:hint="cs"/>
          <w:vertAlign w:val="superscript"/>
          <w:rtl/>
        </w:rPr>
        <w:t>(</w:t>
      </w:r>
      <w:r>
        <w:rPr>
          <w:rStyle w:val="a7"/>
          <w:rtl/>
        </w:rPr>
        <w:footnoteReference w:id="4457"/>
      </w:r>
      <w:r>
        <w:rPr>
          <w:rFonts w:hint="cs"/>
          <w:vertAlign w:val="superscript"/>
          <w:rtl/>
        </w:rPr>
        <w:t>)</w:t>
      </w:r>
      <w:r>
        <w:rPr>
          <w:rFonts w:hint="cs"/>
          <w:rtl/>
        </w:rPr>
        <w:t>.</w:t>
      </w:r>
    </w:p>
    <w:p w:rsidR="00C10469" w:rsidRDefault="00C10469">
      <w:pPr>
        <w:ind w:left="207" w:right="207" w:firstLine="720"/>
        <w:rPr>
          <w:rtl/>
        </w:rPr>
      </w:pPr>
      <w:r>
        <w:rPr>
          <w:rFonts w:ascii="Wingdings" w:hAnsi="Wingdings" w:cs="Wingdings"/>
          <w:szCs w:val="20"/>
        </w:rPr>
        <w:lastRenderedPageBreak/>
        <w:t></w:t>
      </w:r>
      <w:r>
        <w:rPr>
          <w:rFonts w:hint="cs"/>
          <w:b/>
          <w:bCs/>
          <w:rtl/>
        </w:rPr>
        <w:t xml:space="preserve"> ولهذا</w:t>
      </w:r>
      <w:r>
        <w:rPr>
          <w:rFonts w:hint="cs"/>
          <w:rtl/>
        </w:rPr>
        <w:t xml:space="preserve"> : لو حلف</w:t>
      </w:r>
      <w:r>
        <w:rPr>
          <w:rStyle w:val="a7"/>
          <w:rtl/>
        </w:rPr>
        <w:footnoteReference w:id="4458"/>
      </w:r>
      <w:r>
        <w:rPr>
          <w:rFonts w:hint="cs"/>
          <w:rtl/>
        </w:rPr>
        <w:t xml:space="preserve"> أن لا يأكل من هذا </w:t>
      </w:r>
      <w:r>
        <w:rPr>
          <w:rFonts w:hint="cs"/>
          <w:b/>
          <w:bCs/>
          <w:rtl/>
        </w:rPr>
        <w:t>البُر</w:t>
      </w:r>
      <w:r>
        <w:rPr>
          <w:rFonts w:hint="cs"/>
          <w:rtl/>
        </w:rPr>
        <w:t xml:space="preserve">ّ : </w:t>
      </w:r>
    </w:p>
    <w:p w:rsidR="00C10469" w:rsidRDefault="00C10469" w:rsidP="00C10469">
      <w:pPr>
        <w:ind w:left="916" w:firstLine="0"/>
        <w:rPr>
          <w:rtl/>
        </w:rPr>
      </w:pPr>
      <w:r>
        <w:rPr>
          <w:rtl/>
        </w:rPr>
        <w:t>•</w:t>
      </w:r>
      <w:r>
        <w:rPr>
          <w:rFonts w:hint="cs"/>
          <w:rtl/>
        </w:rPr>
        <w:t xml:space="preserve">  لا</w:t>
      </w:r>
      <w:r>
        <w:rPr>
          <w:rStyle w:val="a7"/>
          <w:rtl/>
        </w:rPr>
        <w:footnoteReference w:id="4459"/>
      </w:r>
      <w:r>
        <w:rPr>
          <w:rFonts w:hint="cs"/>
          <w:rtl/>
        </w:rPr>
        <w:t xml:space="preserve"> يحنث عنده إلا بأكله [قضمًا]</w:t>
      </w:r>
      <w:r>
        <w:rPr>
          <w:rFonts w:hint="cs"/>
          <w:vertAlign w:val="superscript"/>
          <w:rtl/>
        </w:rPr>
        <w:t>(</w:t>
      </w:r>
      <w:r>
        <w:rPr>
          <w:rStyle w:val="a7"/>
          <w:rtl/>
        </w:rPr>
        <w:footnoteReference w:id="4460"/>
      </w:r>
      <w:r>
        <w:rPr>
          <w:rFonts w:hint="cs"/>
          <w:vertAlign w:val="superscript"/>
          <w:rtl/>
        </w:rPr>
        <w:t>)</w:t>
      </w:r>
      <w:r>
        <w:rPr>
          <w:rFonts w:hint="cs"/>
          <w:rtl/>
        </w:rPr>
        <w:t>؛ لأن هذا حقيقة في أكل البُرَّ.</w:t>
      </w:r>
    </w:p>
    <w:p w:rsidR="00C10469" w:rsidRDefault="00C10469" w:rsidP="00C10469">
      <w:pPr>
        <w:ind w:left="916" w:firstLine="0"/>
        <w:rPr>
          <w:rtl/>
        </w:rPr>
      </w:pPr>
      <w:r>
        <w:rPr>
          <w:rtl/>
        </w:rPr>
        <w:lastRenderedPageBreak/>
        <w:t>•</w:t>
      </w:r>
      <w:r>
        <w:rPr>
          <w:rFonts w:hint="cs"/>
          <w:rtl/>
        </w:rPr>
        <w:t xml:space="preserve">  وعندهما : يحنث بأكله مطلقًا؛ عملاً بعموم المجاز. </w:t>
      </w:r>
    </w:p>
    <w:p w:rsidR="00C10469" w:rsidRDefault="00C10469" w:rsidP="00C10469">
      <w:pPr>
        <w:ind w:left="1274" w:right="-142" w:hanging="347"/>
        <w:rPr>
          <w:rtl/>
        </w:rPr>
      </w:pPr>
      <w:r>
        <w:rPr>
          <w:rFonts w:ascii="Wingdings" w:hAnsi="Wingdings" w:cs="Wingdings"/>
          <w:szCs w:val="20"/>
        </w:rPr>
        <w:t></w:t>
      </w:r>
      <w:r>
        <w:rPr>
          <w:rFonts w:hint="cs"/>
          <w:rtl/>
        </w:rPr>
        <w:t xml:space="preserve"> ويحنث في </w:t>
      </w:r>
      <w:r>
        <w:rPr>
          <w:rFonts w:hint="cs"/>
          <w:b/>
          <w:bCs/>
          <w:rtl/>
        </w:rPr>
        <w:t>الدقيق</w:t>
      </w:r>
      <w:r>
        <w:rPr>
          <w:rFonts w:hint="cs"/>
          <w:rtl/>
        </w:rPr>
        <w:t xml:space="preserve"> : بأكل ما اتّخذ منه، لا بأكله سويقًا</w:t>
      </w:r>
      <w:r>
        <w:rPr>
          <w:rStyle w:val="a7"/>
          <w:rtl/>
        </w:rPr>
        <w:footnoteReference w:id="4461"/>
      </w:r>
      <w:r>
        <w:rPr>
          <w:rFonts w:hint="cs"/>
          <w:rtl/>
        </w:rPr>
        <w:t>؛ لأنه مهجور</w:t>
      </w:r>
      <w:r>
        <w:rPr>
          <w:rFonts w:hint="cs"/>
          <w:vertAlign w:val="superscript"/>
          <w:rtl/>
        </w:rPr>
        <w:t>(</w:t>
      </w:r>
      <w:r>
        <w:rPr>
          <w:rStyle w:val="a7"/>
          <w:rtl/>
        </w:rPr>
        <w:footnoteReference w:id="4462"/>
      </w:r>
      <w:r>
        <w:rPr>
          <w:rFonts w:hint="cs"/>
          <w:vertAlign w:val="superscript"/>
          <w:rtl/>
        </w:rPr>
        <w:t>)</w:t>
      </w:r>
      <w:r>
        <w:rPr>
          <w:rFonts w:hint="cs"/>
          <w:rtl/>
        </w:rPr>
        <w:t xml:space="preserve"> عادةً، فلا يكون حقيقة مستعملاً. فانصرف إلى ما اتخذ منه، خبزًا كان أو غيره بالاتفاق</w:t>
      </w:r>
      <w:r>
        <w:rPr>
          <w:rFonts w:hint="cs"/>
          <w:vertAlign w:val="superscript"/>
          <w:rtl/>
        </w:rPr>
        <w:t>(</w:t>
      </w:r>
      <w:r>
        <w:rPr>
          <w:rStyle w:val="a7"/>
          <w:rtl/>
        </w:rPr>
        <w:footnoteReference w:id="4463"/>
      </w:r>
      <w:r>
        <w:rPr>
          <w:rFonts w:hint="cs"/>
          <w:vertAlign w:val="superscript"/>
          <w:rtl/>
        </w:rPr>
        <w:t>)</w:t>
      </w:r>
      <w:r>
        <w:rPr>
          <w:rFonts w:hint="cs"/>
          <w:rtl/>
        </w:rPr>
        <w:t>.</w:t>
      </w:r>
    </w:p>
    <w:p w:rsidR="00C10469" w:rsidRDefault="00C10469" w:rsidP="00C10469">
      <w:pPr>
        <w:ind w:left="1287" w:firstLine="0"/>
        <w:rPr>
          <w:spacing w:val="8"/>
          <w:rtl/>
        </w:rPr>
      </w:pPr>
      <w:r>
        <w:rPr>
          <w:rFonts w:hint="cs"/>
          <w:b/>
          <w:bCs/>
          <w:spacing w:val="8"/>
          <w:rtl/>
        </w:rPr>
        <w:t>وخرج</w:t>
      </w:r>
      <w:r>
        <w:rPr>
          <w:rFonts w:hint="cs"/>
          <w:spacing w:val="8"/>
          <w:rtl/>
        </w:rPr>
        <w:t xml:space="preserve"> عن هذا الأصل </w:t>
      </w:r>
      <w:r>
        <w:rPr>
          <w:spacing w:val="8"/>
          <w:rtl/>
        </w:rPr>
        <w:t>–</w:t>
      </w:r>
      <w:r>
        <w:rPr>
          <w:rFonts w:hint="cs"/>
          <w:spacing w:val="8"/>
          <w:rtl/>
        </w:rPr>
        <w:t xml:space="preserve">باعتبار قولهما- : لو قال : حملتك على دابتي هذه </w:t>
      </w:r>
      <w:r>
        <w:rPr>
          <w:spacing w:val="8"/>
          <w:rtl/>
        </w:rPr>
        <w:t>–</w:t>
      </w:r>
      <w:r>
        <w:rPr>
          <w:rFonts w:hint="cs"/>
          <w:spacing w:val="8"/>
          <w:rtl/>
        </w:rPr>
        <w:t>ولم ينوِ- : ينصرف إلى الإعارة، مع أنَّ [الإركاب]</w:t>
      </w:r>
      <w:r>
        <w:rPr>
          <w:rStyle w:val="a7"/>
          <w:spacing w:val="8"/>
          <w:rtl/>
        </w:rPr>
        <w:footnoteReference w:id="4464"/>
      </w:r>
      <w:r>
        <w:rPr>
          <w:rFonts w:hint="cs"/>
          <w:spacing w:val="8"/>
          <w:rtl/>
        </w:rPr>
        <w:t xml:space="preserve"> معناه الحقيقي، والهبة معناه المجازي المتعارف!.</w:t>
      </w:r>
    </w:p>
    <w:p w:rsidR="00C10469" w:rsidRDefault="00C10469" w:rsidP="00C10469">
      <w:pPr>
        <w:ind w:left="567" w:firstLine="720"/>
        <w:rPr>
          <w:rtl/>
        </w:rPr>
      </w:pPr>
      <w:r>
        <w:rPr>
          <w:rFonts w:hint="cs"/>
          <w:rtl/>
        </w:rPr>
        <w:lastRenderedPageBreak/>
        <w:t>فمقتضى قولهما أن يُرجّح المجاز المتعارف</w:t>
      </w:r>
      <w:r>
        <w:rPr>
          <w:rFonts w:hint="cs"/>
          <w:vertAlign w:val="superscript"/>
          <w:rtl/>
        </w:rPr>
        <w:t>(</w:t>
      </w:r>
      <w:r>
        <w:rPr>
          <w:rStyle w:val="a7"/>
          <w:rtl/>
        </w:rPr>
        <w:footnoteReference w:id="4465"/>
      </w:r>
      <w:r>
        <w:rPr>
          <w:rFonts w:hint="cs"/>
          <w:vertAlign w:val="superscript"/>
          <w:rtl/>
        </w:rPr>
        <w:t>)</w:t>
      </w:r>
      <w:r>
        <w:rPr>
          <w:rFonts w:hint="cs"/>
          <w:rtl/>
        </w:rPr>
        <w:t>.</w:t>
      </w:r>
    </w:p>
    <w:p w:rsidR="00C10469" w:rsidRDefault="00C10469">
      <w:pPr>
        <w:rPr>
          <w:rtl/>
        </w:rPr>
      </w:pPr>
      <w:r>
        <w:rPr>
          <w:rFonts w:hint="cs"/>
          <w:b/>
          <w:bCs/>
          <w:rtl/>
        </w:rPr>
        <w:t>والجواب</w:t>
      </w:r>
      <w:r>
        <w:rPr>
          <w:rFonts w:hint="cs"/>
          <w:rtl/>
        </w:rPr>
        <w:t xml:space="preserve"> : أن الحمل على المتيقن</w:t>
      </w:r>
      <w:r>
        <w:rPr>
          <w:rStyle w:val="a7"/>
          <w:rtl/>
        </w:rPr>
        <w:footnoteReference w:id="4466"/>
      </w:r>
      <w:r>
        <w:rPr>
          <w:rFonts w:hint="cs"/>
          <w:rtl/>
        </w:rPr>
        <w:t xml:space="preserve"> أولى؛ لئلا يلزم الأعلى بالشك.</w:t>
      </w:r>
    </w:p>
    <w:p w:rsidR="00C10469" w:rsidRDefault="00C10469">
      <w:pPr>
        <w:rPr>
          <w:rtl/>
        </w:rPr>
      </w:pPr>
      <w:r>
        <w:rPr>
          <w:rFonts w:hint="cs"/>
          <w:b/>
          <w:bCs/>
          <w:rtl/>
        </w:rPr>
        <w:t>وتقريره</w:t>
      </w:r>
      <w:r>
        <w:rPr>
          <w:rFonts w:hint="cs"/>
          <w:rtl/>
        </w:rPr>
        <w:t xml:space="preserve"> : أن العارية تمليك المنافع، والهبة تمليك العين والمنافع، فتمليك المنافع متيقّن، وتمليك العين مشكوك، فالحمل على المتيقن أولى</w:t>
      </w:r>
      <w:r>
        <w:rPr>
          <w:rFonts w:hint="cs"/>
          <w:vertAlign w:val="superscript"/>
          <w:rtl/>
        </w:rPr>
        <w:t>(</w:t>
      </w:r>
      <w:r>
        <w:rPr>
          <w:rStyle w:val="a7"/>
          <w:rtl/>
        </w:rPr>
        <w:footnoteReference w:id="4467"/>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6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E4F59" w:rsidRDefault="00C10469">
      <w:pPr>
        <w:pStyle w:val="a9"/>
        <w:rPr>
          <w:rFonts w:cs="AL-Mateen"/>
        </w:rPr>
      </w:pPr>
      <w:r w:rsidRPr="007E4F59">
        <w:rPr>
          <w:rFonts w:cs="AL-Mateen"/>
          <w:rtl/>
        </w:rPr>
        <w:lastRenderedPageBreak/>
        <w:t xml:space="preserve">[ </w:t>
      </w:r>
      <w:r w:rsidRPr="007E4F59">
        <w:rPr>
          <w:rFonts w:cs="AL-Mateen" w:hint="eastAsia"/>
          <w:rtl/>
        </w:rPr>
        <w:t>الـقـاعـدة</w:t>
      </w:r>
      <w:r w:rsidRPr="007E4F59">
        <w:rPr>
          <w:rFonts w:cs="AL-Mateen"/>
          <w:rtl/>
        </w:rPr>
        <w:t xml:space="preserve"> الـ</w:t>
      </w:r>
      <w:r w:rsidRPr="007E4F59">
        <w:rPr>
          <w:rFonts w:cs="AL-Mateen" w:hint="cs"/>
          <w:rtl/>
        </w:rPr>
        <w:t>رابـعـ</w:t>
      </w:r>
      <w:r w:rsidRPr="007E4F59">
        <w:rPr>
          <w:rFonts w:cs="AL-Mateen"/>
          <w:rtl/>
        </w:rPr>
        <w:t>ة عـشـرة بـعـد الـمـائـتـيـن ]</w:t>
      </w:r>
    </w:p>
    <w:p w:rsidR="00C10469" w:rsidRDefault="00C10469">
      <w:pPr>
        <w:rPr>
          <w:rtl/>
        </w:rPr>
      </w:pPr>
      <w:r>
        <w:rPr>
          <w:rFonts w:cs="Monotype Koufi" w:hint="cs"/>
          <w:rtl/>
        </w:rPr>
        <w:t>لَوْ حَكَى مَا لاَ يَمْلِكُ استئنافَهُ للحالِ لا [يصدَّقُ]</w:t>
      </w:r>
      <w:r>
        <w:rPr>
          <w:rStyle w:val="a7"/>
          <w:rtl/>
        </w:rPr>
        <w:footnoteReference w:id="4468"/>
      </w:r>
      <w:r>
        <w:rPr>
          <w:rFonts w:hint="cs"/>
          <w:rtl/>
        </w:rPr>
        <w:t xml:space="preserve"> </w:t>
      </w:r>
      <w:r>
        <w:rPr>
          <w:rFonts w:cs="Monotype Koufi" w:hint="cs"/>
          <w:rtl/>
        </w:rPr>
        <w:t>فيمَا حَكَى بِلاَ</w:t>
      </w:r>
      <w:r>
        <w:rPr>
          <w:rFonts w:hint="cs"/>
          <w:rtl/>
        </w:rPr>
        <w:t xml:space="preserve"> </w:t>
      </w:r>
      <w:r>
        <w:rPr>
          <w:rFonts w:cs="Monotype Koufi" w:hint="cs"/>
          <w:rtl/>
        </w:rPr>
        <w:t>بَيِّنَةٍ</w:t>
      </w:r>
      <w:r>
        <w:rPr>
          <w:rFonts w:hint="cs"/>
          <w:vertAlign w:val="superscript"/>
          <w:rtl/>
        </w:rPr>
        <w:t>(</w:t>
      </w:r>
      <w:r>
        <w:rPr>
          <w:rStyle w:val="a7"/>
          <w:rtl/>
        </w:rPr>
        <w:footnoteReference w:id="4469"/>
      </w:r>
      <w:r>
        <w:rPr>
          <w:rFonts w:hint="cs"/>
          <w:vertAlign w:val="superscript"/>
          <w:rtl/>
        </w:rPr>
        <w:t>)</w:t>
      </w:r>
      <w:r>
        <w:rPr>
          <w:rFonts w:hint="cs"/>
          <w:rtl/>
        </w:rPr>
        <w:t xml:space="preserve"> :</w:t>
      </w:r>
    </w:p>
    <w:p w:rsidR="00C10469" w:rsidRDefault="00C10469">
      <w:pPr>
        <w:rPr>
          <w:rtl/>
        </w:rPr>
      </w:pPr>
      <w:r>
        <w:rPr>
          <w:rFonts w:hint="cs"/>
          <w:b/>
          <w:bCs/>
          <w:rtl/>
        </w:rPr>
        <w:t>ولذا</w:t>
      </w:r>
      <w:r>
        <w:rPr>
          <w:rFonts w:hint="cs"/>
          <w:rtl/>
        </w:rPr>
        <w:t xml:space="preserve"> : إذا قال مُدَّعي الشُفْعة : علمتُ أمسِ</w:t>
      </w:r>
      <w:r>
        <w:rPr>
          <w:rStyle w:val="a7"/>
          <w:rtl/>
        </w:rPr>
        <w:footnoteReference w:id="4470"/>
      </w:r>
      <w:r>
        <w:rPr>
          <w:rFonts w:hint="cs"/>
          <w:rtl/>
        </w:rPr>
        <w:t>، وطلبتُ الشفعةَ : كُلَّفَ إقامة البينة، ولا يقبل</w:t>
      </w:r>
      <w:r>
        <w:rPr>
          <w:rStyle w:val="a7"/>
          <w:rtl/>
        </w:rPr>
        <w:footnoteReference w:id="4471"/>
      </w:r>
      <w:r>
        <w:rPr>
          <w:rFonts w:hint="cs"/>
          <w:rtl/>
        </w:rPr>
        <w:t xml:space="preserve"> قوله إلاّ بالبينة؛ لأن من له الشفعة إذا أخَّرَ طلب المُوَاثَبَةِ</w:t>
      </w:r>
      <w:r>
        <w:rPr>
          <w:rFonts w:hint="cs"/>
          <w:vertAlign w:val="superscript"/>
          <w:rtl/>
        </w:rPr>
        <w:t>(</w:t>
      </w:r>
      <w:r>
        <w:rPr>
          <w:rStyle w:val="a7"/>
          <w:rtl/>
        </w:rPr>
        <w:footnoteReference w:id="4472"/>
      </w:r>
      <w:r>
        <w:rPr>
          <w:rFonts w:hint="cs"/>
          <w:vertAlign w:val="superscript"/>
          <w:rtl/>
        </w:rPr>
        <w:t>)</w:t>
      </w:r>
      <w:r>
        <w:rPr>
          <w:rFonts w:hint="cs"/>
          <w:rtl/>
        </w:rPr>
        <w:t xml:space="preserve"> : لا يملك استئنافَه</w:t>
      </w:r>
      <w:r>
        <w:rPr>
          <w:rFonts w:hint="cs"/>
          <w:vertAlign w:val="superscript"/>
          <w:rtl/>
        </w:rPr>
        <w:t>(</w:t>
      </w:r>
      <w:r>
        <w:rPr>
          <w:rStyle w:val="a7"/>
          <w:rtl/>
        </w:rPr>
        <w:footnoteReference w:id="4473"/>
      </w:r>
      <w:r>
        <w:rPr>
          <w:rFonts w:hint="cs"/>
          <w:vertAlign w:val="superscript"/>
          <w:rtl/>
        </w:rPr>
        <w:t>)</w:t>
      </w:r>
      <w:r>
        <w:rPr>
          <w:rFonts w:hint="cs"/>
          <w:rtl/>
        </w:rPr>
        <w:t>.</w:t>
      </w:r>
    </w:p>
    <w:p w:rsidR="00C10469" w:rsidRDefault="00C10469">
      <w:pPr>
        <w:rPr>
          <w:rtl/>
        </w:rPr>
        <w:sectPr w:rsidR="00C10469" w:rsidSect="00C10469">
          <w:headerReference w:type="default" r:id="rId269"/>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t>ولو قال للمرأة</w:t>
      </w:r>
      <w:r>
        <w:rPr>
          <w:rStyle w:val="a7"/>
          <w:rtl/>
        </w:rPr>
        <w:footnoteReference w:id="4474"/>
      </w:r>
      <w:r>
        <w:rPr>
          <w:rFonts w:hint="cs"/>
          <w:rtl/>
        </w:rPr>
        <w:t xml:space="preserve"> : إنما زوجتك أمسِ عند الشاهدين. فصدّقتْهُ : صح النكاح [و]</w:t>
      </w:r>
      <w:r>
        <w:rPr>
          <w:rStyle w:val="a7"/>
          <w:rtl/>
        </w:rPr>
        <w:footnoteReference w:id="4475"/>
      </w:r>
      <w:r>
        <w:rPr>
          <w:rFonts w:hint="cs"/>
          <w:rtl/>
        </w:rPr>
        <w:t xml:space="preserve"> لا تكلّف إقامة البينة؛ لأنها [تملك]</w:t>
      </w:r>
      <w:r>
        <w:rPr>
          <w:rStyle w:val="a7"/>
          <w:rtl/>
        </w:rPr>
        <w:footnoteReference w:id="4476"/>
      </w:r>
      <w:r>
        <w:rPr>
          <w:rFonts w:hint="cs"/>
          <w:rtl/>
        </w:rPr>
        <w:t xml:space="preserve"> استئنافه، فيثبت النكاح بالتصادق</w:t>
      </w:r>
      <w:r>
        <w:rPr>
          <w:rStyle w:val="a7"/>
          <w:rtl/>
        </w:rPr>
        <w:footnoteReference w:id="4477"/>
      </w:r>
      <w:r>
        <w:rPr>
          <w:rFonts w:hint="cs"/>
          <w:rtl/>
        </w:rPr>
        <w:t>.</w:t>
      </w:r>
    </w:p>
    <w:p w:rsidR="00C10469" w:rsidRPr="00BE7BB1" w:rsidRDefault="00C10469">
      <w:pPr>
        <w:pStyle w:val="a9"/>
        <w:rPr>
          <w:rFonts w:cs="AL-Mateen"/>
          <w:rtl/>
          <w:lang w:val="en-US"/>
        </w:rPr>
      </w:pPr>
      <w:r w:rsidRPr="00BE7BB1">
        <w:rPr>
          <w:rFonts w:cs="AL-Mateen" w:hint="cs"/>
          <w:rtl/>
          <w:lang w:val="en-US"/>
        </w:rPr>
        <w:lastRenderedPageBreak/>
        <w:t>[الـقـاعـدة الـخـامـسـة عـشـرة بـعـد الـمـائـتـيـن]</w:t>
      </w:r>
    </w:p>
    <w:p w:rsidR="00C10469" w:rsidRDefault="00C10469">
      <w:pPr>
        <w:rPr>
          <w:rtl/>
        </w:rPr>
      </w:pPr>
      <w:r>
        <w:rPr>
          <w:rFonts w:cs="Monotype Koufi" w:hint="cs"/>
          <w:spacing w:val="-4"/>
          <w:rtl/>
        </w:rPr>
        <w:t>مَا لاَ يَكُونُ لاِزَمًا مِنَ التَّصَرُّفَاتِ يَكُونُ لِدَوَامِهِ حُكْمُ الابتدَاءِ</w:t>
      </w:r>
      <w:r>
        <w:rPr>
          <w:rFonts w:hint="cs"/>
          <w:vertAlign w:val="superscript"/>
          <w:rtl/>
        </w:rPr>
        <w:t>(</w:t>
      </w:r>
      <w:r>
        <w:rPr>
          <w:rStyle w:val="a7"/>
          <w:rtl/>
        </w:rPr>
        <w:footnoteReference w:id="4478"/>
      </w:r>
      <w:r>
        <w:rPr>
          <w:rFonts w:hint="cs"/>
          <w:vertAlign w:val="superscript"/>
          <w:rtl/>
        </w:rPr>
        <w:t>)</w:t>
      </w:r>
      <w:r>
        <w:rPr>
          <w:rFonts w:hint="cs"/>
          <w:rtl/>
        </w:rPr>
        <w:t>:</w:t>
      </w:r>
    </w:p>
    <w:p w:rsidR="00C10469" w:rsidRDefault="00C10469">
      <w:pPr>
        <w:rPr>
          <w:rtl/>
        </w:rPr>
      </w:pPr>
      <w:r>
        <w:rPr>
          <w:rFonts w:hint="cs"/>
          <w:rtl/>
        </w:rPr>
        <w:t>فيشترط لبقائه في كل ساعة ما يشترط</w:t>
      </w:r>
      <w:r>
        <w:rPr>
          <w:rStyle w:val="a7"/>
          <w:rtl/>
        </w:rPr>
        <w:footnoteReference w:id="4479"/>
      </w:r>
      <w:r>
        <w:rPr>
          <w:rFonts w:hint="cs"/>
          <w:rtl/>
        </w:rPr>
        <w:t xml:space="preserve"> للابتداء</w:t>
      </w:r>
      <w:r>
        <w:rPr>
          <w:rFonts w:hint="cs"/>
          <w:vertAlign w:val="superscript"/>
          <w:rtl/>
        </w:rPr>
        <w:t>(</w:t>
      </w:r>
      <w:r>
        <w:rPr>
          <w:rStyle w:val="a7"/>
          <w:rtl/>
        </w:rPr>
        <w:footnoteReference w:id="4480"/>
      </w:r>
      <w:r>
        <w:rPr>
          <w:rFonts w:hint="cs"/>
          <w:vertAlign w:val="superscript"/>
          <w:rtl/>
        </w:rPr>
        <w:t>)</w:t>
      </w:r>
      <w:r>
        <w:rPr>
          <w:rFonts w:hint="cs"/>
          <w:rtl/>
        </w:rPr>
        <w:t>.</w:t>
      </w:r>
    </w:p>
    <w:p w:rsidR="00C10469" w:rsidRDefault="00C10469">
      <w:pPr>
        <w:rPr>
          <w:rtl/>
        </w:rPr>
      </w:pPr>
      <w:r>
        <w:rPr>
          <w:rFonts w:hint="cs"/>
          <w:b/>
          <w:bCs/>
          <w:rtl/>
        </w:rPr>
        <w:t>ومن فروعه</w:t>
      </w:r>
      <w:r>
        <w:rPr>
          <w:rFonts w:hint="cs"/>
          <w:rtl/>
        </w:rPr>
        <w:t xml:space="preserve"> :</w:t>
      </w:r>
    </w:p>
    <w:p w:rsidR="00C10469" w:rsidRPr="00332C58" w:rsidRDefault="00C10469" w:rsidP="00C10469">
      <w:pPr>
        <w:ind w:left="706" w:hanging="139"/>
        <w:rPr>
          <w:rtl/>
        </w:rPr>
      </w:pPr>
      <w:r>
        <w:rPr>
          <w:rtl/>
        </w:rPr>
        <w:t>•</w:t>
      </w:r>
      <w:r>
        <w:rPr>
          <w:rFonts w:hint="cs"/>
          <w:rtl/>
        </w:rPr>
        <w:t xml:space="preserve"> </w:t>
      </w:r>
      <w:r w:rsidRPr="00332C58">
        <w:rPr>
          <w:rFonts w:hint="cs"/>
          <w:rtl/>
        </w:rPr>
        <w:t>الوكيل ينعزل بعزل الموكِّل، و[بعزل]</w:t>
      </w:r>
      <w:r w:rsidRPr="00332C58">
        <w:rPr>
          <w:rStyle w:val="a7"/>
          <w:rtl/>
        </w:rPr>
        <w:footnoteReference w:id="4481"/>
      </w:r>
      <w:r w:rsidRPr="00332C58">
        <w:rPr>
          <w:rFonts w:hint="cs"/>
          <w:rtl/>
        </w:rPr>
        <w:t xml:space="preserve"> نفسه، وموت الموكل، وبجنون</w:t>
      </w:r>
      <w:r w:rsidRPr="00332C58">
        <w:rPr>
          <w:rStyle w:val="a7"/>
          <w:rtl/>
        </w:rPr>
        <w:footnoteReference w:id="4482"/>
      </w:r>
      <w:r w:rsidRPr="00332C58">
        <w:rPr>
          <w:rFonts w:hint="cs"/>
          <w:rtl/>
        </w:rPr>
        <w:t xml:space="preserve"> أحدِهِمَا، والحكم بلحوقه بدار الحرب مرتدًّا؛ لأن ما</w:t>
      </w:r>
      <w:r w:rsidRPr="00332C58">
        <w:rPr>
          <w:rStyle w:val="a7"/>
          <w:rtl/>
        </w:rPr>
        <w:footnoteReference w:id="4483"/>
      </w:r>
      <w:r w:rsidRPr="00332C58">
        <w:rPr>
          <w:rFonts w:hint="cs"/>
          <w:rtl/>
        </w:rPr>
        <w:t xml:space="preserve"> يقابل هذه الأشياء شرط لصحة الوكالة ابتداءً، فيكون شرطًا لبقائه، فإن المقيّد بالشرط يفوت </w:t>
      </w:r>
      <w:r w:rsidRPr="00332C58">
        <w:rPr>
          <w:rFonts w:hint="cs"/>
          <w:rtl/>
        </w:rPr>
        <w:lastRenderedPageBreak/>
        <w:t>بفواته</w:t>
      </w:r>
      <w:r w:rsidRPr="00332C58">
        <w:rPr>
          <w:rStyle w:val="a7"/>
          <w:rtl/>
        </w:rPr>
        <w:footnoteReference w:id="4484"/>
      </w:r>
      <w:r w:rsidRPr="00332C58">
        <w:rPr>
          <w:rFonts w:hint="cs"/>
          <w:vertAlign w:val="superscript"/>
          <w:rtl/>
        </w:rPr>
        <w:t>(</w:t>
      </w:r>
      <w:r w:rsidRPr="00332C58">
        <w:rPr>
          <w:rStyle w:val="a7"/>
          <w:rtl/>
        </w:rPr>
        <w:footnoteReference w:id="4485"/>
      </w:r>
      <w:r w:rsidRPr="00332C58">
        <w:rPr>
          <w:rFonts w:hint="cs"/>
          <w:vertAlign w:val="superscript"/>
          <w:rtl/>
        </w:rPr>
        <w:t>)</w:t>
      </w:r>
      <w:r w:rsidRPr="00332C58">
        <w:rPr>
          <w:rFonts w:hint="cs"/>
          <w:rtl/>
        </w:rPr>
        <w:t>.</w:t>
      </w:r>
    </w:p>
    <w:p w:rsidR="00C10469" w:rsidRDefault="00C10469" w:rsidP="00C10469">
      <w:pPr>
        <w:ind w:left="706" w:hanging="329"/>
        <w:rPr>
          <w:rtl/>
        </w:rPr>
      </w:pPr>
      <w:r>
        <w:rPr>
          <w:b/>
          <w:bCs/>
          <w:rtl/>
        </w:rPr>
        <w:t>•</w:t>
      </w:r>
      <w:r>
        <w:rPr>
          <w:rFonts w:hint="cs"/>
          <w:b/>
          <w:bCs/>
          <w:rtl/>
        </w:rPr>
        <w:t xml:space="preserve">  وكذا</w:t>
      </w:r>
      <w:r>
        <w:rPr>
          <w:rFonts w:hint="cs"/>
          <w:rtl/>
        </w:rPr>
        <w:t xml:space="preserve"> : العبد المأذون ينحجر بإباقة</w:t>
      </w:r>
      <w:r>
        <w:rPr>
          <w:rStyle w:val="a7"/>
          <w:rtl/>
        </w:rPr>
        <w:footnoteReference w:id="4486"/>
      </w:r>
      <w:r>
        <w:rPr>
          <w:rFonts w:hint="cs"/>
          <w:rtl/>
        </w:rPr>
        <w:t>، وبموت مولاه، وجنونه مُطبقًا، ولحوقه بدار الحرب</w:t>
      </w:r>
      <w:r>
        <w:rPr>
          <w:rStyle w:val="a7"/>
          <w:rtl/>
        </w:rPr>
        <w:footnoteReference w:id="4487"/>
      </w:r>
      <w:r>
        <w:rPr>
          <w:rFonts w:hint="cs"/>
          <w:rtl/>
        </w:rPr>
        <w:t xml:space="preserve"> مرتدًّا؛ لانتفاء الأهلية</w:t>
      </w:r>
      <w:r>
        <w:rPr>
          <w:rStyle w:val="a7"/>
          <w:rtl/>
        </w:rPr>
        <w:footnoteReference w:id="4488"/>
      </w:r>
      <w:r>
        <w:rPr>
          <w:rFonts w:hint="cs"/>
          <w:rtl/>
        </w:rPr>
        <w:t>، فكأنّه يأذن له ابتداءً في كل ساعة، فتركه على ما كان عليه كإنشاء الإذن، فيشترط قيام الأهلية في تلك الساعة، كما يشترط</w:t>
      </w:r>
      <w:r>
        <w:rPr>
          <w:rStyle w:val="a7"/>
          <w:rtl/>
        </w:rPr>
        <w:footnoteReference w:id="4489"/>
      </w:r>
      <w:r>
        <w:rPr>
          <w:rFonts w:hint="cs"/>
          <w:rtl/>
        </w:rPr>
        <w:t xml:space="preserve"> في الابتداء</w:t>
      </w:r>
      <w:r>
        <w:rPr>
          <w:rFonts w:hint="cs"/>
          <w:vertAlign w:val="superscript"/>
          <w:rtl/>
        </w:rPr>
        <w:t>(</w:t>
      </w:r>
      <w:r>
        <w:rPr>
          <w:rStyle w:val="a7"/>
          <w:rtl/>
        </w:rPr>
        <w:footnoteReference w:id="4490"/>
      </w:r>
      <w:r>
        <w:rPr>
          <w:rFonts w:hint="cs"/>
          <w:vertAlign w:val="superscript"/>
          <w:rtl/>
        </w:rPr>
        <w:t>)</w:t>
      </w:r>
      <w:r>
        <w:rPr>
          <w:rFonts w:hint="cs"/>
          <w:rtl/>
        </w:rPr>
        <w:t>.</w:t>
      </w:r>
    </w:p>
    <w:p w:rsidR="00C10469" w:rsidRDefault="00C10469">
      <w:pPr>
        <w:ind w:left="377" w:right="377" w:firstLine="720"/>
        <w:rPr>
          <w:rtl/>
        </w:rPr>
      </w:pPr>
      <w:r>
        <w:rPr>
          <w:rFonts w:hint="cs"/>
          <w:rtl/>
        </w:rPr>
        <w:t>وهذا الدليل شاملٌ [لجميع]</w:t>
      </w:r>
      <w:r>
        <w:rPr>
          <w:rStyle w:val="a7"/>
          <w:rtl/>
        </w:rPr>
        <w:footnoteReference w:id="4491"/>
      </w:r>
      <w:r>
        <w:rPr>
          <w:rFonts w:hint="cs"/>
          <w:rtl/>
        </w:rPr>
        <w:t xml:space="preserve"> هذه الصور. </w:t>
      </w:r>
    </w:p>
    <w:p w:rsidR="00C10469" w:rsidRDefault="00C10469">
      <w:pPr>
        <w:rPr>
          <w:rtl/>
        </w:rPr>
      </w:pPr>
      <w:r>
        <w:rPr>
          <w:rFonts w:hint="cs"/>
          <w:rtl/>
        </w:rPr>
        <w:t xml:space="preserve">وعلّل صاحب (الدرر) -كونَ العبد المأذون محجورًا بإباقه- : بأن </w:t>
      </w:r>
      <w:r>
        <w:rPr>
          <w:rFonts w:hint="eastAsia"/>
          <w:rtl/>
        </w:rPr>
        <w:t>«</w:t>
      </w:r>
      <w:r>
        <w:rPr>
          <w:rFonts w:hint="cs"/>
          <w:rtl/>
        </w:rPr>
        <w:t>المولى</w:t>
      </w:r>
      <w:r>
        <w:rPr>
          <w:rStyle w:val="a7"/>
          <w:rtl/>
        </w:rPr>
        <w:footnoteReference w:id="4492"/>
      </w:r>
      <w:r>
        <w:rPr>
          <w:rFonts w:hint="cs"/>
          <w:rtl/>
        </w:rPr>
        <w:t xml:space="preserve"> لا يرضى بتصرف عبده الخارج عن طاعته</w:t>
      </w:r>
      <w:r>
        <w:rPr>
          <w:rFonts w:hint="cs"/>
          <w:vertAlign w:val="superscript"/>
          <w:rtl/>
        </w:rPr>
        <w:t>(</w:t>
      </w:r>
      <w:r>
        <w:rPr>
          <w:rStyle w:val="a7"/>
          <w:rtl/>
        </w:rPr>
        <w:footnoteReference w:id="4493"/>
      </w:r>
      <w:r>
        <w:rPr>
          <w:rFonts w:hint="cs"/>
          <w:vertAlign w:val="superscript"/>
          <w:rtl/>
        </w:rPr>
        <w:t>)</w:t>
      </w:r>
      <w:r>
        <w:rPr>
          <w:rFonts w:hint="cs"/>
          <w:rtl/>
        </w:rPr>
        <w:t>، فكان حجرًا عليه دلالةً</w:t>
      </w:r>
      <w:r>
        <w:rPr>
          <w:rFonts w:hint="eastAsia"/>
          <w:rtl/>
        </w:rPr>
        <w:t>»</w:t>
      </w:r>
      <w:r>
        <w:rPr>
          <w:rFonts w:hint="cs"/>
          <w:vertAlign w:val="superscript"/>
          <w:rtl/>
        </w:rPr>
        <w:t>(</w:t>
      </w:r>
      <w:r>
        <w:rPr>
          <w:rStyle w:val="a7"/>
          <w:rtl/>
        </w:rPr>
        <w:footnoteReference w:id="4494"/>
      </w:r>
      <w:r>
        <w:rPr>
          <w:rFonts w:hint="cs"/>
          <w:vertAlign w:val="superscript"/>
          <w:rtl/>
        </w:rPr>
        <w:t>)</w:t>
      </w:r>
      <w:r>
        <w:rPr>
          <w:rFonts w:hint="cs"/>
          <w:rtl/>
        </w:rPr>
        <w:t>.</w:t>
      </w:r>
    </w:p>
    <w:p w:rsidR="00C10469" w:rsidRDefault="00C10469">
      <w:pPr>
        <w:rPr>
          <w:rtl/>
        </w:rPr>
      </w:pPr>
      <w:r>
        <w:rPr>
          <w:rFonts w:hint="cs"/>
          <w:rtl/>
        </w:rPr>
        <w:t>وفيه إشارة إلى أن الإذن  للآبق</w:t>
      </w:r>
      <w:r>
        <w:rPr>
          <w:rStyle w:val="a7"/>
          <w:rtl/>
        </w:rPr>
        <w:footnoteReference w:id="4495"/>
      </w:r>
      <w:r>
        <w:rPr>
          <w:rFonts w:hint="cs"/>
          <w:rtl/>
        </w:rPr>
        <w:t xml:space="preserve"> صحيح؛ لأن الإذن صريح في الرضا، </w:t>
      </w:r>
      <w:r>
        <w:rPr>
          <w:rFonts w:hint="cs"/>
          <w:rtl/>
        </w:rPr>
        <w:lastRenderedPageBreak/>
        <w:t>و</w:t>
      </w:r>
      <w:r>
        <w:rPr>
          <w:rFonts w:hint="eastAsia"/>
          <w:rtl/>
        </w:rPr>
        <w:t>«</w:t>
      </w:r>
      <w:r>
        <w:rPr>
          <w:rFonts w:hint="cs"/>
          <w:rtl/>
        </w:rPr>
        <w:t>الصريح</w:t>
      </w:r>
      <w:r>
        <w:rPr>
          <w:rStyle w:val="a7"/>
          <w:rtl/>
        </w:rPr>
        <w:footnoteReference w:id="4496"/>
      </w:r>
      <w:r>
        <w:rPr>
          <w:rFonts w:hint="cs"/>
          <w:rtl/>
        </w:rPr>
        <w:t xml:space="preserve"> يفوق</w:t>
      </w:r>
      <w:r>
        <w:rPr>
          <w:rStyle w:val="a7"/>
          <w:rtl/>
        </w:rPr>
        <w:footnoteReference w:id="4497"/>
      </w:r>
      <w:r>
        <w:rPr>
          <w:rFonts w:hint="cs"/>
          <w:rtl/>
        </w:rPr>
        <w:t xml:space="preserve"> الدلالة</w:t>
      </w:r>
      <w:r>
        <w:rPr>
          <w:rFonts w:hint="eastAsia"/>
          <w:rtl/>
        </w:rPr>
        <w:t>»</w:t>
      </w:r>
      <w:r>
        <w:rPr>
          <w:rFonts w:hint="cs"/>
          <w:vertAlign w:val="superscript"/>
          <w:rtl/>
        </w:rPr>
        <w:t>(</w:t>
      </w:r>
      <w:r>
        <w:rPr>
          <w:rStyle w:val="a7"/>
          <w:rtl/>
        </w:rPr>
        <w:footnoteReference w:id="4498"/>
      </w:r>
      <w:r>
        <w:rPr>
          <w:rFonts w:hint="cs"/>
          <w:vertAlign w:val="superscript"/>
          <w:rtl/>
        </w:rPr>
        <w:t>)</w:t>
      </w:r>
      <w:r>
        <w:rPr>
          <w:rFonts w:hint="cs"/>
          <w:rtl/>
        </w:rPr>
        <w:t>، فلا يعمل</w:t>
      </w:r>
      <w:r>
        <w:rPr>
          <w:rStyle w:val="a7"/>
          <w:rtl/>
        </w:rPr>
        <w:footnoteReference w:id="4499"/>
      </w:r>
      <w:r>
        <w:rPr>
          <w:rFonts w:hint="cs"/>
          <w:rtl/>
        </w:rPr>
        <w:t xml:space="preserve"> [بالدلالة]</w:t>
      </w:r>
      <w:r>
        <w:rPr>
          <w:rStyle w:val="a7"/>
          <w:rtl/>
        </w:rPr>
        <w:footnoteReference w:id="4500"/>
      </w:r>
      <w:r>
        <w:rPr>
          <w:rFonts w:hint="cs"/>
          <w:rtl/>
        </w:rPr>
        <w:t xml:space="preserve"> عند وجود الصريح.</w:t>
      </w:r>
    </w:p>
    <w:p w:rsidR="00C10469" w:rsidRDefault="00C10469">
      <w:pPr>
        <w:rPr>
          <w:rtl/>
        </w:rPr>
      </w:pPr>
      <w:r>
        <w:rPr>
          <w:rFonts w:hint="cs"/>
          <w:rtl/>
        </w:rPr>
        <w:t>ويؤيده ما قال ابن نجيم في كتاب (الدعوى)</w:t>
      </w:r>
      <w:r>
        <w:rPr>
          <w:rFonts w:hint="cs"/>
          <w:vertAlign w:val="superscript"/>
          <w:rtl/>
        </w:rPr>
        <w:t>(</w:t>
      </w:r>
      <w:r>
        <w:rPr>
          <w:rStyle w:val="a7"/>
          <w:rtl/>
        </w:rPr>
        <w:footnoteReference w:id="4501"/>
      </w:r>
      <w:r>
        <w:rPr>
          <w:rFonts w:hint="cs"/>
          <w:vertAlign w:val="superscript"/>
          <w:rtl/>
        </w:rPr>
        <w:t>)</w:t>
      </w:r>
      <w:r>
        <w:rPr>
          <w:rFonts w:hint="cs"/>
          <w:rtl/>
        </w:rPr>
        <w:t xml:space="preserve"> : </w:t>
      </w:r>
      <w:r>
        <w:rPr>
          <w:rFonts w:hint="eastAsia"/>
          <w:rtl/>
        </w:rPr>
        <w:t>«</w:t>
      </w:r>
      <w:r>
        <w:rPr>
          <w:rFonts w:hint="cs"/>
          <w:rtl/>
        </w:rPr>
        <w:t>الإذن للآبق</w:t>
      </w:r>
      <w:r>
        <w:rPr>
          <w:rStyle w:val="a7"/>
          <w:rtl/>
        </w:rPr>
        <w:footnoteReference w:id="4502"/>
      </w:r>
      <w:r>
        <w:rPr>
          <w:rFonts w:hint="cs"/>
          <w:rtl/>
        </w:rPr>
        <w:t xml:space="preserve"> صحيح، فإذا</w:t>
      </w:r>
      <w:r>
        <w:rPr>
          <w:rFonts w:hint="cs"/>
          <w:vertAlign w:val="superscript"/>
          <w:rtl/>
        </w:rPr>
        <w:t>(</w:t>
      </w:r>
      <w:r>
        <w:rPr>
          <w:rStyle w:val="a7"/>
          <w:rtl/>
        </w:rPr>
        <w:footnoteReference w:id="4503"/>
      </w:r>
      <w:r>
        <w:rPr>
          <w:rFonts w:hint="cs"/>
          <w:vertAlign w:val="superscript"/>
          <w:rtl/>
        </w:rPr>
        <w:t>)</w:t>
      </w:r>
      <w:r>
        <w:rPr>
          <w:rFonts w:hint="cs"/>
          <w:rtl/>
        </w:rPr>
        <w:t xml:space="preserve"> أبق المأذون صار محجورًا عليه. ذكره الزيلعي في (القضاء)</w:t>
      </w:r>
      <w:r>
        <w:rPr>
          <w:rFonts w:hint="eastAsia"/>
          <w:rtl/>
        </w:rPr>
        <w:t>»</w:t>
      </w:r>
      <w:r>
        <w:rPr>
          <w:rFonts w:hint="cs"/>
          <w:vertAlign w:val="superscript"/>
          <w:rtl/>
        </w:rPr>
        <w:t>(</w:t>
      </w:r>
      <w:r>
        <w:rPr>
          <w:rStyle w:val="a7"/>
          <w:rtl/>
        </w:rPr>
        <w:footnoteReference w:id="4504"/>
      </w:r>
      <w:r>
        <w:rPr>
          <w:rFonts w:hint="cs"/>
          <w:vertAlign w:val="superscript"/>
          <w:rtl/>
        </w:rPr>
        <w:t>)</w:t>
      </w:r>
      <w:r>
        <w:rPr>
          <w:rFonts w:hint="cs"/>
          <w:rtl/>
        </w:rPr>
        <w:t>.</w:t>
      </w:r>
    </w:p>
    <w:p w:rsidR="00C10469" w:rsidRDefault="00C10469">
      <w:pPr>
        <w:rPr>
          <w:rtl/>
        </w:rPr>
      </w:pPr>
      <w:r>
        <w:rPr>
          <w:rFonts w:hint="cs"/>
          <w:rtl/>
        </w:rPr>
        <w:t>ثم قال في كتاب (المأذون)</w:t>
      </w:r>
      <w:r>
        <w:rPr>
          <w:rStyle w:val="a7"/>
          <w:rtl/>
        </w:rPr>
        <w:footnoteReference w:id="4505"/>
      </w:r>
      <w:r>
        <w:rPr>
          <w:rFonts w:hint="cs"/>
          <w:vertAlign w:val="superscript"/>
          <w:rtl/>
        </w:rPr>
        <w:t>(</w:t>
      </w:r>
      <w:r>
        <w:rPr>
          <w:rStyle w:val="a7"/>
          <w:rtl/>
        </w:rPr>
        <w:footnoteReference w:id="4506"/>
      </w:r>
      <w:r>
        <w:rPr>
          <w:rFonts w:hint="cs"/>
          <w:vertAlign w:val="superscript"/>
          <w:rtl/>
        </w:rPr>
        <w:t>)</w:t>
      </w:r>
      <w:r>
        <w:rPr>
          <w:rFonts w:hint="cs"/>
          <w:rtl/>
        </w:rPr>
        <w:t xml:space="preserve"> : </w:t>
      </w:r>
      <w:r>
        <w:rPr>
          <w:rFonts w:hint="eastAsia"/>
          <w:rtl/>
        </w:rPr>
        <w:t>«</w:t>
      </w:r>
      <w:r>
        <w:rPr>
          <w:rFonts w:hint="cs"/>
          <w:rtl/>
        </w:rPr>
        <w:t xml:space="preserve">لا يصح الإذنُ للآبق، والمغصوب </w:t>
      </w:r>
      <w:r>
        <w:rPr>
          <w:rFonts w:hint="cs"/>
          <w:rtl/>
        </w:rPr>
        <w:lastRenderedPageBreak/>
        <w:t>المجحود</w:t>
      </w:r>
      <w:r>
        <w:rPr>
          <w:rFonts w:hint="cs"/>
          <w:vertAlign w:val="superscript"/>
          <w:rtl/>
        </w:rPr>
        <w:t>(</w:t>
      </w:r>
      <w:r>
        <w:rPr>
          <w:rStyle w:val="a7"/>
          <w:rtl/>
        </w:rPr>
        <w:footnoteReference w:id="4507"/>
      </w:r>
      <w:r>
        <w:rPr>
          <w:rFonts w:hint="cs"/>
          <w:vertAlign w:val="superscript"/>
          <w:rtl/>
        </w:rPr>
        <w:t>)</w:t>
      </w:r>
      <w:r>
        <w:rPr>
          <w:rFonts w:hint="cs"/>
          <w:rtl/>
        </w:rPr>
        <w:t xml:space="preserve"> ولابينة</w:t>
      </w:r>
      <w:r>
        <w:rPr>
          <w:rStyle w:val="a7"/>
          <w:rtl/>
        </w:rPr>
        <w:footnoteReference w:id="4508"/>
      </w:r>
      <w:r>
        <w:rPr>
          <w:rFonts w:hint="cs"/>
          <w:rtl/>
        </w:rPr>
        <w:t>، ولا يصير محجورًا بهما</w:t>
      </w:r>
      <w:r>
        <w:rPr>
          <w:rFonts w:hint="cs"/>
          <w:vertAlign w:val="superscript"/>
          <w:rtl/>
        </w:rPr>
        <w:t>(</w:t>
      </w:r>
      <w:r>
        <w:rPr>
          <w:rStyle w:val="a7"/>
          <w:rtl/>
        </w:rPr>
        <w:footnoteReference w:id="4509"/>
      </w:r>
      <w:r>
        <w:rPr>
          <w:rFonts w:hint="cs"/>
          <w:vertAlign w:val="superscript"/>
          <w:rtl/>
        </w:rPr>
        <w:t>)</w:t>
      </w:r>
      <w:r>
        <w:rPr>
          <w:rFonts w:hint="cs"/>
          <w:rtl/>
        </w:rPr>
        <w:t xml:space="preserve"> على الصحيح</w:t>
      </w:r>
      <w:r>
        <w:rPr>
          <w:rFonts w:hint="eastAsia"/>
          <w:rtl/>
        </w:rPr>
        <w:t>»</w:t>
      </w:r>
      <w:r>
        <w:rPr>
          <w:rFonts w:hint="cs"/>
          <w:vertAlign w:val="superscript"/>
          <w:rtl/>
        </w:rPr>
        <w:t>(</w:t>
      </w:r>
      <w:r>
        <w:rPr>
          <w:rStyle w:val="a7"/>
          <w:rtl/>
        </w:rPr>
        <w:footnoteReference w:id="4510"/>
      </w:r>
      <w:r>
        <w:rPr>
          <w:rFonts w:hint="cs"/>
          <w:vertAlign w:val="superscript"/>
          <w:rtl/>
        </w:rPr>
        <w:t>)</w:t>
      </w:r>
      <w:r>
        <w:rPr>
          <w:rFonts w:hint="cs"/>
          <w:rtl/>
        </w:rPr>
        <w:t>.</w:t>
      </w:r>
    </w:p>
    <w:p w:rsidR="00C10469" w:rsidRDefault="00C10469">
      <w:pPr>
        <w:rPr>
          <w:rtl/>
        </w:rPr>
      </w:pPr>
      <w:r>
        <w:rPr>
          <w:rFonts w:hint="cs"/>
          <w:rtl/>
        </w:rPr>
        <w:t>وهذا مخالف لما قال في كتاب (الدعوى).</w:t>
      </w:r>
    </w:p>
    <w:p w:rsidR="00C10469" w:rsidRDefault="00C10469">
      <w:pPr>
        <w:rPr>
          <w:rtl/>
        </w:rPr>
      </w:pPr>
      <w:r>
        <w:rPr>
          <w:rFonts w:hint="cs"/>
          <w:rtl/>
        </w:rPr>
        <w:t>وقال بعضٌ من الفضلاء في حاشيته : والتوفيق ممكن</w:t>
      </w:r>
      <w:r>
        <w:rPr>
          <w:rStyle w:val="a7"/>
          <w:rtl/>
        </w:rPr>
        <w:footnoteReference w:id="4511"/>
      </w:r>
      <w:r>
        <w:rPr>
          <w:rFonts w:hint="cs"/>
          <w:vertAlign w:val="superscript"/>
          <w:rtl/>
        </w:rPr>
        <w:t>(</w:t>
      </w:r>
      <w:r>
        <w:rPr>
          <w:rStyle w:val="a7"/>
          <w:rtl/>
        </w:rPr>
        <w:footnoteReference w:id="4512"/>
      </w:r>
      <w:r>
        <w:rPr>
          <w:rFonts w:hint="cs"/>
          <w:vertAlign w:val="superscript"/>
          <w:rtl/>
        </w:rPr>
        <w:t>)</w:t>
      </w:r>
      <w:r>
        <w:rPr>
          <w:rFonts w:hint="cs"/>
          <w:rtl/>
        </w:rPr>
        <w:t>.</w:t>
      </w:r>
    </w:p>
    <w:p w:rsidR="00C10469" w:rsidRDefault="00C10469">
      <w:pPr>
        <w:rPr>
          <w:rtl/>
        </w:rPr>
      </w:pPr>
      <w:r>
        <w:rPr>
          <w:rFonts w:hint="cs"/>
          <w:rtl/>
        </w:rPr>
        <w:t>وأظن أن التوفيق بقوله</w:t>
      </w:r>
      <w:r>
        <w:rPr>
          <w:rFonts w:hint="cs"/>
          <w:vertAlign w:val="superscript"/>
          <w:rtl/>
        </w:rPr>
        <w:t>(</w:t>
      </w:r>
      <w:r>
        <w:rPr>
          <w:rStyle w:val="a7"/>
          <w:rtl/>
        </w:rPr>
        <w:footnoteReference w:id="4513"/>
      </w:r>
      <w:r>
        <w:rPr>
          <w:rFonts w:hint="cs"/>
          <w:vertAlign w:val="superscript"/>
          <w:rtl/>
        </w:rPr>
        <w:t>)</w:t>
      </w:r>
      <w:r>
        <w:rPr>
          <w:rFonts w:hint="cs"/>
          <w:rtl/>
        </w:rPr>
        <w:t xml:space="preserve"> :</w:t>
      </w:r>
      <w:r>
        <w:rPr>
          <w:rFonts w:hint="eastAsia"/>
          <w:rtl/>
        </w:rPr>
        <w:t xml:space="preserve"> «</w:t>
      </w:r>
      <w:r>
        <w:rPr>
          <w:rFonts w:hint="cs"/>
          <w:rtl/>
        </w:rPr>
        <w:t>على الصحيح</w:t>
      </w:r>
      <w:r>
        <w:rPr>
          <w:rFonts w:hint="eastAsia"/>
          <w:rtl/>
        </w:rPr>
        <w:t>»</w:t>
      </w:r>
      <w:r>
        <w:rPr>
          <w:rFonts w:hint="cs"/>
          <w:rtl/>
        </w:rPr>
        <w:t>؛ لأن هذا القيد</w:t>
      </w:r>
      <w:r>
        <w:rPr>
          <w:rStyle w:val="a7"/>
          <w:rtl/>
        </w:rPr>
        <w:footnoteReference w:id="4514"/>
      </w:r>
      <w:r>
        <w:rPr>
          <w:rFonts w:hint="cs"/>
          <w:rtl/>
        </w:rPr>
        <w:t xml:space="preserve"> يدل على اختلاف الروايتين. ففيما ذكر في كتاب (الدعوى) روايـة، وفيـما ذكره</w:t>
      </w:r>
      <w:r>
        <w:rPr>
          <w:rStyle w:val="a7"/>
          <w:rtl/>
        </w:rPr>
        <w:footnoteReference w:id="4515"/>
      </w:r>
      <w:r>
        <w:rPr>
          <w:rFonts w:hint="cs"/>
          <w:rtl/>
        </w:rPr>
        <w:t xml:space="preserve"> في باب (المأذون) رواية أخرى.</w:t>
      </w:r>
    </w:p>
    <w:p w:rsidR="00C10469" w:rsidRDefault="00C10469">
      <w:pPr>
        <w:rPr>
          <w:rtl/>
        </w:rPr>
      </w:pPr>
      <w:r>
        <w:rPr>
          <w:rFonts w:hint="cs"/>
          <w:rtl/>
        </w:rPr>
        <w:t xml:space="preserve">ولكن قوله : </w:t>
      </w:r>
      <w:r>
        <w:rPr>
          <w:rFonts w:hint="eastAsia"/>
          <w:rtl/>
        </w:rPr>
        <w:t>«</w:t>
      </w:r>
      <w:r>
        <w:rPr>
          <w:rFonts w:hint="cs"/>
          <w:rtl/>
        </w:rPr>
        <w:t>وعلى الصحيح</w:t>
      </w:r>
      <w:r>
        <w:rPr>
          <w:rFonts w:hint="eastAsia"/>
          <w:rtl/>
        </w:rPr>
        <w:t>»</w:t>
      </w:r>
      <w:r>
        <w:rPr>
          <w:rFonts w:hint="cs"/>
          <w:rtl/>
        </w:rPr>
        <w:t xml:space="preserve"> مخالف لما في المتون</w:t>
      </w:r>
      <w:r>
        <w:rPr>
          <w:rFonts w:hint="cs"/>
          <w:vertAlign w:val="superscript"/>
          <w:rtl/>
        </w:rPr>
        <w:t>(</w:t>
      </w:r>
      <w:r>
        <w:rPr>
          <w:rStyle w:val="a7"/>
          <w:rtl/>
        </w:rPr>
        <w:footnoteReference w:id="4516"/>
      </w:r>
      <w:r>
        <w:rPr>
          <w:rFonts w:hint="cs"/>
          <w:vertAlign w:val="superscript"/>
          <w:rtl/>
        </w:rPr>
        <w:t>)</w:t>
      </w:r>
      <w:r>
        <w:rPr>
          <w:rFonts w:hint="cs"/>
          <w:rtl/>
        </w:rPr>
        <w:t xml:space="preserve">. </w:t>
      </w:r>
    </w:p>
    <w:p w:rsidR="00C10469" w:rsidRDefault="00C10469">
      <w:pPr>
        <w:rPr>
          <w:rtl/>
        </w:rPr>
      </w:pPr>
      <w:r>
        <w:rPr>
          <w:rFonts w:hint="cs"/>
          <w:rtl/>
        </w:rPr>
        <w:lastRenderedPageBreak/>
        <w:t xml:space="preserve">فمحلّ قوله : </w:t>
      </w:r>
      <w:r>
        <w:rPr>
          <w:rFonts w:hint="eastAsia"/>
          <w:rtl/>
        </w:rPr>
        <w:t>«</w:t>
      </w:r>
      <w:r>
        <w:rPr>
          <w:rFonts w:hint="cs"/>
          <w:rtl/>
        </w:rPr>
        <w:t>على الصـحيـح</w:t>
      </w:r>
      <w:r>
        <w:rPr>
          <w:rFonts w:hint="eastAsia"/>
          <w:rtl/>
        </w:rPr>
        <w:t>»</w:t>
      </w:r>
      <w:r>
        <w:rPr>
          <w:rFonts w:hint="cs"/>
          <w:rtl/>
        </w:rPr>
        <w:t xml:space="preserve"> فـيما ذكره في بـاب (الدعوى)</w:t>
      </w:r>
      <w:r>
        <w:rPr>
          <w:rStyle w:val="a7"/>
          <w:rtl/>
        </w:rPr>
        <w:footnoteReference w:id="4517"/>
      </w:r>
      <w:r>
        <w:rPr>
          <w:rFonts w:hint="cs"/>
          <w:rtl/>
        </w:rPr>
        <w:t xml:space="preserve"> -والله أعلم بالصواب-.</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7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E5E59" w:rsidRDefault="00C10469">
      <w:pPr>
        <w:pStyle w:val="a9"/>
        <w:rPr>
          <w:rFonts w:cs="AL-Mateen"/>
          <w:rtl/>
        </w:rPr>
      </w:pPr>
      <w:r w:rsidRPr="009E5E59">
        <w:rPr>
          <w:rFonts w:cs="AL-Mateen" w:hint="cs"/>
          <w:rtl/>
        </w:rPr>
        <w:lastRenderedPageBreak/>
        <w:t>[ الـقـاعـدة الـسـادسـة عـشـرة بـعـد الـمـائـتـيـن ]</w:t>
      </w:r>
    </w:p>
    <w:p w:rsidR="00C10469" w:rsidRDefault="00C10469">
      <w:pPr>
        <w:rPr>
          <w:rtl/>
        </w:rPr>
      </w:pPr>
      <w:r>
        <w:rPr>
          <w:rFonts w:cs="Monotype Koufi" w:hint="cs"/>
          <w:rtl/>
        </w:rPr>
        <w:t>مَا ثَبَتَ في زمانٍ يُحْكَمُ بِبَقَائِهِ مَا لَمْ يُوجَدِ المُزِيلُ</w:t>
      </w:r>
      <w:r>
        <w:rPr>
          <w:rFonts w:hint="cs"/>
          <w:vertAlign w:val="superscript"/>
          <w:rtl/>
        </w:rPr>
        <w:t>(</w:t>
      </w:r>
      <w:r>
        <w:rPr>
          <w:rStyle w:val="a7"/>
          <w:rtl/>
        </w:rPr>
        <w:footnoteReference w:id="4518"/>
      </w:r>
      <w:r>
        <w:rPr>
          <w:rFonts w:hint="cs"/>
          <w:vertAlign w:val="superscript"/>
          <w:rtl/>
        </w:rPr>
        <w:t>)</w:t>
      </w:r>
      <w:r>
        <w:rPr>
          <w:rFonts w:hint="cs"/>
          <w:rtl/>
        </w:rPr>
        <w:t>:</w:t>
      </w:r>
    </w:p>
    <w:p w:rsidR="00C10469" w:rsidRDefault="00C10469">
      <w:pPr>
        <w:rPr>
          <w:spacing w:val="-6"/>
          <w:rtl/>
        </w:rPr>
      </w:pPr>
      <w:r>
        <w:rPr>
          <w:rFonts w:hint="eastAsia"/>
          <w:spacing w:val="-6"/>
          <w:rtl/>
        </w:rPr>
        <w:t>«</w:t>
      </w:r>
      <w:r>
        <w:rPr>
          <w:rFonts w:hint="cs"/>
          <w:spacing w:val="-6"/>
          <w:rtl/>
        </w:rPr>
        <w:t>فإن ادعى الملكَ في الحال وشهد الشهود : أن هذا العين كان ملكه في الحال أو في الماضي : تقبل</w:t>
      </w:r>
      <w:r>
        <w:rPr>
          <w:rFonts w:hint="eastAsia"/>
          <w:spacing w:val="-6"/>
          <w:rtl/>
        </w:rPr>
        <w:t>»</w:t>
      </w:r>
      <w:r>
        <w:rPr>
          <w:rFonts w:hint="cs"/>
          <w:spacing w:val="-6"/>
          <w:vertAlign w:val="superscript"/>
          <w:rtl/>
        </w:rPr>
        <w:t>(</w:t>
      </w:r>
      <w:r>
        <w:rPr>
          <w:rStyle w:val="a7"/>
          <w:spacing w:val="-6"/>
          <w:rtl/>
        </w:rPr>
        <w:footnoteReference w:id="4519"/>
      </w:r>
      <w:r>
        <w:rPr>
          <w:rFonts w:hint="cs"/>
          <w:spacing w:val="-6"/>
          <w:vertAlign w:val="superscript"/>
          <w:rtl/>
        </w:rPr>
        <w:t>)</w:t>
      </w:r>
      <w:r>
        <w:rPr>
          <w:rFonts w:hint="cs"/>
          <w:spacing w:val="-6"/>
          <w:rtl/>
        </w:rPr>
        <w:t>، ويحكم ببقاء الملك له، ما لم يُثبت الخصم  تلقي الملك منه بسبب</w:t>
      </w:r>
      <w:r>
        <w:rPr>
          <w:rStyle w:val="a7"/>
          <w:spacing w:val="-6"/>
          <w:rtl/>
        </w:rPr>
        <w:footnoteReference w:id="4520"/>
      </w:r>
      <w:r>
        <w:rPr>
          <w:rFonts w:hint="cs"/>
          <w:spacing w:val="-6"/>
          <w:rtl/>
        </w:rPr>
        <w:t>.</w:t>
      </w:r>
    </w:p>
    <w:p w:rsidR="00C10469" w:rsidRDefault="00C10469" w:rsidP="00C10469">
      <w:pPr>
        <w:ind w:firstLine="0"/>
        <w:jc w:val="center"/>
        <w:rPr>
          <w:rFonts w:ascii="AGA Arabesque" w:hAnsi="AGA Arabesque"/>
          <w:sz w:val="50"/>
          <w:szCs w:val="50"/>
        </w:rPr>
        <w:sectPr w:rsidR="00C10469" w:rsidSect="00C10469">
          <w:headerReference w:type="default" r:id="rId271"/>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F2076F" w:rsidRDefault="00C10469">
      <w:pPr>
        <w:pStyle w:val="a9"/>
        <w:rPr>
          <w:rFonts w:cs="AL-Mateen"/>
          <w:rtl/>
        </w:rPr>
      </w:pPr>
      <w:r w:rsidRPr="00F2076F">
        <w:rPr>
          <w:rFonts w:cs="AL-Mateen" w:hint="cs"/>
          <w:rtl/>
        </w:rPr>
        <w:lastRenderedPageBreak/>
        <w:t>[ الـقـاعـدة الـسـابـعـة  عـشــرة بـعـد الـمـائـتـيـن ]</w:t>
      </w:r>
    </w:p>
    <w:p w:rsidR="00C10469" w:rsidRDefault="00C10469">
      <w:pPr>
        <w:rPr>
          <w:rtl/>
        </w:rPr>
      </w:pPr>
      <w:r>
        <w:rPr>
          <w:rFonts w:cs="Monotype Koufi" w:hint="cs"/>
          <w:rtl/>
        </w:rPr>
        <w:t>مَا فِي الذِّمَّةِ لاَ يَتَعَيَّنُ إلاَّ بِالقَبْضِ</w:t>
      </w:r>
      <w:r>
        <w:rPr>
          <w:rFonts w:hint="cs"/>
          <w:vertAlign w:val="superscript"/>
          <w:rtl/>
        </w:rPr>
        <w:t>(</w:t>
      </w:r>
      <w:r>
        <w:rPr>
          <w:rStyle w:val="a7"/>
          <w:rtl/>
        </w:rPr>
        <w:footnoteReference w:id="4521"/>
      </w:r>
      <w:r>
        <w:rPr>
          <w:rFonts w:hint="cs"/>
          <w:vertAlign w:val="superscript"/>
          <w:rtl/>
        </w:rPr>
        <w:t>)</w:t>
      </w:r>
      <w:r>
        <w:rPr>
          <w:rFonts w:hint="cs"/>
          <w:rtl/>
        </w:rPr>
        <w:t xml:space="preserve"> : </w:t>
      </w:r>
    </w:p>
    <w:p w:rsidR="00C10469" w:rsidRDefault="00C10469">
      <w:pPr>
        <w:rPr>
          <w:rtl/>
        </w:rPr>
      </w:pPr>
      <w:r>
        <w:rPr>
          <w:rFonts w:hint="cs"/>
          <w:b/>
          <w:bCs/>
          <w:rtl/>
        </w:rPr>
        <w:t>ولذا</w:t>
      </w:r>
      <w:r>
        <w:rPr>
          <w:rFonts w:hint="cs"/>
          <w:rtl/>
        </w:rPr>
        <w:t xml:space="preserve"> : </w:t>
      </w:r>
      <w:r>
        <w:rPr>
          <w:rFonts w:hint="eastAsia"/>
          <w:rtl/>
        </w:rPr>
        <w:t>«</w:t>
      </w:r>
      <w:r>
        <w:rPr>
          <w:rFonts w:hint="cs"/>
          <w:rtl/>
        </w:rPr>
        <w:t>لو كان لهما دين بسبب واحدٍ، فقبض أحدُهما نصيبَه : فإنّ لشريكه أن يشاركه فيما قبض؛ لأن تقسيم ما لا يتعيَّن غير ممكن</w:t>
      </w:r>
      <w:r>
        <w:rPr>
          <w:rFonts w:hint="eastAsia"/>
          <w:rtl/>
        </w:rPr>
        <w:t>»</w:t>
      </w:r>
      <w:r>
        <w:rPr>
          <w:rFonts w:hint="cs"/>
          <w:vertAlign w:val="superscript"/>
          <w:rtl/>
        </w:rPr>
        <w:t>(</w:t>
      </w:r>
      <w:r>
        <w:rPr>
          <w:rStyle w:val="a7"/>
          <w:rtl/>
        </w:rPr>
        <w:footnoteReference w:id="4522"/>
      </w:r>
      <w:r>
        <w:rPr>
          <w:rFonts w:hint="cs"/>
          <w:vertAlign w:val="superscript"/>
          <w:rtl/>
        </w:rPr>
        <w:t>)</w:t>
      </w:r>
      <w:r>
        <w:rPr>
          <w:rFonts w:hint="cs"/>
          <w:rtl/>
        </w:rPr>
        <w:t>. فما دفع الدّائن يكون لهما، وقبضُ الواحد يكون لنفسِهِ ولشريكه على وفق الدفع. والدفع مقدَّم، فيترتب القبض عليه. فإن شاء الآخر يشاركه فيما قبض. والمقصود</w:t>
      </w:r>
      <w:r>
        <w:rPr>
          <w:rStyle w:val="a7"/>
          <w:rtl/>
        </w:rPr>
        <w:footnoteReference w:id="4523"/>
      </w:r>
      <w:r>
        <w:rPr>
          <w:rFonts w:hint="cs"/>
          <w:rtl/>
        </w:rPr>
        <w:t xml:space="preserve"> حاصل بأيّ وجه كان.</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pPr>
    </w:p>
    <w:p w:rsidR="00C10469" w:rsidRDefault="00C10469">
      <w:pPr>
        <w:rPr>
          <w:rtl/>
        </w:rPr>
        <w:sectPr w:rsidR="00C10469" w:rsidSect="00C10469">
          <w:headerReference w:type="default" r:id="rId27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D816D2" w:rsidRDefault="00C10469">
      <w:pPr>
        <w:pStyle w:val="a9"/>
        <w:rPr>
          <w:rFonts w:cs="AL-Mateen"/>
          <w:rtl/>
        </w:rPr>
      </w:pPr>
      <w:r w:rsidRPr="00D816D2">
        <w:rPr>
          <w:rFonts w:cs="AL-Mateen" w:hint="cs"/>
          <w:rtl/>
        </w:rPr>
        <w:lastRenderedPageBreak/>
        <w:t>[ الـقـاعـدة الـثـامـنـة عـشــرة بـعـد الـمـائـتـيـن ]</w:t>
      </w:r>
    </w:p>
    <w:p w:rsidR="00C10469" w:rsidRDefault="00C10469">
      <w:pPr>
        <w:rPr>
          <w:rtl/>
        </w:rPr>
      </w:pPr>
      <w:r>
        <w:rPr>
          <w:rFonts w:cs="Monotype Koufi" w:hint="cs"/>
          <w:rtl/>
        </w:rPr>
        <w:t>ما حَرُمَ أَخْذُهُ حَرُمَ إعْطَاؤُهُ</w:t>
      </w:r>
      <w:r>
        <w:rPr>
          <w:rStyle w:val="a7"/>
          <w:rtl/>
        </w:rPr>
        <w:footnoteReference w:id="4524"/>
      </w:r>
      <w:r>
        <w:rPr>
          <w:rFonts w:hint="cs"/>
          <w:vertAlign w:val="superscript"/>
          <w:rtl/>
        </w:rPr>
        <w:t>(</w:t>
      </w:r>
      <w:r>
        <w:rPr>
          <w:rStyle w:val="a7"/>
          <w:rtl/>
        </w:rPr>
        <w:footnoteReference w:id="4525"/>
      </w:r>
      <w:r>
        <w:rPr>
          <w:rFonts w:hint="cs"/>
          <w:vertAlign w:val="superscript"/>
          <w:rtl/>
        </w:rPr>
        <w:t>)</w:t>
      </w:r>
      <w:r>
        <w:rPr>
          <w:rFonts w:hint="cs"/>
          <w:rtl/>
        </w:rPr>
        <w:t xml:space="preserve"> :</w:t>
      </w:r>
    </w:p>
    <w:p w:rsidR="00C10469" w:rsidRDefault="00C10469">
      <w:pPr>
        <w:rPr>
          <w:rtl/>
        </w:rPr>
      </w:pPr>
      <w:r>
        <w:rPr>
          <w:rFonts w:hint="cs"/>
          <w:rtl/>
        </w:rPr>
        <w:t>فَحَرُمَ الاستقراض بالرّبح، كما حرم الإقراض به</w:t>
      </w:r>
      <w:r>
        <w:rPr>
          <w:rFonts w:hint="cs"/>
          <w:vertAlign w:val="superscript"/>
          <w:rtl/>
        </w:rPr>
        <w:t>(</w:t>
      </w:r>
      <w:r>
        <w:rPr>
          <w:rStyle w:val="a7"/>
          <w:rtl/>
        </w:rPr>
        <w:footnoteReference w:id="4526"/>
      </w:r>
      <w:r>
        <w:rPr>
          <w:rFonts w:hint="cs"/>
          <w:vertAlign w:val="superscript"/>
          <w:rtl/>
        </w:rPr>
        <w:t>)</w:t>
      </w:r>
      <w:r>
        <w:rPr>
          <w:rFonts w:hint="cs"/>
          <w:rtl/>
        </w:rPr>
        <w:t>.</w:t>
      </w:r>
    </w:p>
    <w:p w:rsidR="00C10469" w:rsidRDefault="00C10469" w:rsidP="00C10469">
      <w:pPr>
        <w:rPr>
          <w:rtl/>
        </w:rPr>
      </w:pPr>
      <w:r>
        <w:rPr>
          <w:b/>
          <w:bCs/>
          <w:rtl/>
        </w:rPr>
        <w:t>•</w:t>
      </w:r>
      <w:r>
        <w:rPr>
          <w:rFonts w:hint="cs"/>
          <w:b/>
          <w:bCs/>
          <w:rtl/>
        </w:rPr>
        <w:t xml:space="preserve">  وفي (القنية)</w:t>
      </w:r>
      <w:r>
        <w:rPr>
          <w:rFonts w:hint="cs"/>
          <w:rtl/>
        </w:rPr>
        <w:t xml:space="preserve"> : جاز للمحتاج الاستقراض بالربح.</w:t>
      </w:r>
    </w:p>
    <w:p w:rsidR="00C10469" w:rsidRDefault="00C10469" w:rsidP="00C10469">
      <w:pPr>
        <w:ind w:left="848" w:hanging="284"/>
        <w:rPr>
          <w:spacing w:val="4"/>
          <w:rtl/>
        </w:rPr>
      </w:pPr>
      <w:r>
        <w:rPr>
          <w:rFonts w:hint="cs"/>
          <w:b/>
          <w:bCs/>
          <w:spacing w:val="4"/>
          <w:rtl/>
        </w:rPr>
        <w:t xml:space="preserve">   فالجواب</w:t>
      </w:r>
      <w:r>
        <w:rPr>
          <w:rFonts w:hint="cs"/>
          <w:spacing w:val="4"/>
          <w:rtl/>
        </w:rPr>
        <w:t xml:space="preserve"> على هذا التقدير : أنه من باب الضرورة؛ لأن : </w:t>
      </w:r>
      <w:r>
        <w:rPr>
          <w:rFonts w:hint="eastAsia"/>
          <w:spacing w:val="4"/>
          <w:rtl/>
        </w:rPr>
        <w:t>«</w:t>
      </w:r>
      <w:r>
        <w:rPr>
          <w:rFonts w:hint="cs"/>
          <w:spacing w:val="4"/>
          <w:rtl/>
        </w:rPr>
        <w:t>الحاجة تُنزّل منزلة الضرورة عامةً كانت</w:t>
      </w:r>
      <w:r>
        <w:rPr>
          <w:rStyle w:val="a7"/>
          <w:spacing w:val="4"/>
          <w:rtl/>
        </w:rPr>
        <w:footnoteReference w:id="4527"/>
      </w:r>
      <w:r>
        <w:rPr>
          <w:rFonts w:hint="cs"/>
          <w:spacing w:val="4"/>
          <w:rtl/>
        </w:rPr>
        <w:t xml:space="preserve"> أو خاصة</w:t>
      </w:r>
      <w:r>
        <w:rPr>
          <w:rFonts w:hint="eastAsia"/>
          <w:spacing w:val="4"/>
          <w:rtl/>
        </w:rPr>
        <w:t>»</w:t>
      </w:r>
      <w:r>
        <w:rPr>
          <w:rFonts w:hint="cs"/>
          <w:spacing w:val="4"/>
          <w:rtl/>
        </w:rPr>
        <w:t xml:space="preserve">. -وقد مرّ في باب </w:t>
      </w:r>
      <w:r>
        <w:rPr>
          <w:rFonts w:hint="cs"/>
          <w:spacing w:val="4"/>
          <w:rtl/>
        </w:rPr>
        <w:lastRenderedPageBreak/>
        <w:t>الحاء</w:t>
      </w:r>
      <w:r>
        <w:rPr>
          <w:rFonts w:hint="cs"/>
          <w:spacing w:val="4"/>
          <w:vertAlign w:val="superscript"/>
          <w:rtl/>
        </w:rPr>
        <w:t>(</w:t>
      </w:r>
      <w:r>
        <w:rPr>
          <w:rStyle w:val="a7"/>
          <w:spacing w:val="4"/>
          <w:rtl/>
        </w:rPr>
        <w:footnoteReference w:id="4528"/>
      </w:r>
      <w:r>
        <w:rPr>
          <w:rFonts w:hint="cs"/>
          <w:spacing w:val="4"/>
          <w:vertAlign w:val="superscript"/>
          <w:rtl/>
        </w:rPr>
        <w:t>)</w:t>
      </w:r>
      <w:r>
        <w:rPr>
          <w:rFonts w:hint="cs"/>
          <w:spacing w:val="4"/>
          <w:rtl/>
        </w:rPr>
        <w:t>-.</w:t>
      </w:r>
    </w:p>
    <w:p w:rsidR="00C10469" w:rsidRDefault="00C10469" w:rsidP="00C10469">
      <w:pPr>
        <w:ind w:left="848" w:hanging="284"/>
        <w:rPr>
          <w:rtl/>
        </w:rPr>
      </w:pPr>
      <w:r>
        <w:rPr>
          <w:b/>
          <w:bCs/>
          <w:rtl/>
        </w:rPr>
        <w:t>•</w:t>
      </w:r>
      <w:r>
        <w:rPr>
          <w:rFonts w:hint="cs"/>
          <w:b/>
          <w:bCs/>
          <w:rtl/>
        </w:rPr>
        <w:t xml:space="preserve">  وكذا : خـرج عـن هـذا الأصل</w:t>
      </w:r>
      <w:r>
        <w:rPr>
          <w:rFonts w:hint="cs"/>
          <w:rtl/>
        </w:rPr>
        <w:t xml:space="preserve"> : دفـع </w:t>
      </w:r>
      <w:r>
        <w:rPr>
          <w:rFonts w:hint="eastAsia"/>
          <w:rtl/>
        </w:rPr>
        <w:t>«</w:t>
      </w:r>
      <w:r>
        <w:rPr>
          <w:rFonts w:hint="cs"/>
          <w:rtl/>
        </w:rPr>
        <w:t>الـرشـوة لخوفٍ على نفسه أو ماله</w:t>
      </w:r>
      <w:r>
        <w:rPr>
          <w:rFonts w:hint="eastAsia"/>
          <w:rtl/>
        </w:rPr>
        <w:t>»</w:t>
      </w:r>
      <w:r>
        <w:rPr>
          <w:rFonts w:hint="cs"/>
          <w:vertAlign w:val="superscript"/>
          <w:rtl/>
        </w:rPr>
        <w:t>(</w:t>
      </w:r>
      <w:r>
        <w:rPr>
          <w:rStyle w:val="a7"/>
          <w:rtl/>
        </w:rPr>
        <w:footnoteReference w:id="4529"/>
      </w:r>
      <w:r>
        <w:rPr>
          <w:rFonts w:hint="cs"/>
          <w:vertAlign w:val="superscript"/>
          <w:rtl/>
        </w:rPr>
        <w:t>)</w:t>
      </w:r>
      <w:r>
        <w:rPr>
          <w:rFonts w:hint="cs"/>
          <w:rtl/>
        </w:rPr>
        <w:t>.</w:t>
      </w:r>
    </w:p>
    <w:p w:rsidR="00C10469" w:rsidRDefault="00C10469" w:rsidP="00C10469">
      <w:pPr>
        <w:ind w:left="848" w:hanging="284"/>
        <w:rPr>
          <w:rtl/>
        </w:rPr>
      </w:pPr>
      <w:r>
        <w:rPr>
          <w:b/>
          <w:bCs/>
          <w:rtl/>
        </w:rPr>
        <w:t>•</w:t>
      </w:r>
      <w:r>
        <w:rPr>
          <w:rFonts w:hint="cs"/>
          <w:b/>
          <w:bCs/>
          <w:rtl/>
        </w:rPr>
        <w:t xml:space="preserve">  وكذا</w:t>
      </w:r>
      <w:r>
        <w:rPr>
          <w:rFonts w:hint="cs"/>
          <w:rtl/>
        </w:rPr>
        <w:t xml:space="preserve"> : </w:t>
      </w:r>
      <w:r>
        <w:rPr>
          <w:rFonts w:hint="eastAsia"/>
          <w:rtl/>
        </w:rPr>
        <w:t>«</w:t>
      </w:r>
      <w:r>
        <w:rPr>
          <w:rFonts w:hint="cs"/>
          <w:rtl/>
        </w:rPr>
        <w:t>إعطاء شيء لمن يخاف هَجوَه</w:t>
      </w:r>
      <w:r>
        <w:rPr>
          <w:rStyle w:val="a7"/>
          <w:rtl/>
        </w:rPr>
        <w:footnoteReference w:id="4530"/>
      </w:r>
      <w:r>
        <w:rPr>
          <w:rFonts w:hint="eastAsia"/>
          <w:rtl/>
        </w:rPr>
        <w:t>»</w:t>
      </w:r>
      <w:r>
        <w:rPr>
          <w:rFonts w:hint="cs"/>
          <w:vertAlign w:val="superscript"/>
          <w:rtl/>
        </w:rPr>
        <w:t>(</w:t>
      </w:r>
      <w:r>
        <w:rPr>
          <w:rStyle w:val="a7"/>
          <w:rtl/>
        </w:rPr>
        <w:footnoteReference w:id="4531"/>
      </w:r>
      <w:r>
        <w:rPr>
          <w:rFonts w:hint="cs"/>
          <w:vertAlign w:val="superscript"/>
          <w:rtl/>
        </w:rPr>
        <w:t>)</w:t>
      </w:r>
      <w:r>
        <w:rPr>
          <w:rFonts w:hint="cs"/>
          <w:rtl/>
        </w:rPr>
        <w:t>.</w:t>
      </w:r>
    </w:p>
    <w:p w:rsidR="00C10469" w:rsidRDefault="00C10469" w:rsidP="00C10469">
      <w:pPr>
        <w:ind w:left="848" w:hanging="284"/>
        <w:rPr>
          <w:rtl/>
        </w:rPr>
      </w:pPr>
      <w:r>
        <w:rPr>
          <w:b/>
          <w:bCs/>
          <w:rtl/>
        </w:rPr>
        <w:t>•</w:t>
      </w:r>
      <w:r>
        <w:rPr>
          <w:rFonts w:hint="cs"/>
          <w:b/>
          <w:bCs/>
          <w:rtl/>
        </w:rPr>
        <w:t xml:space="preserve">  وكذا </w:t>
      </w:r>
      <w:r>
        <w:rPr>
          <w:rFonts w:hint="cs"/>
          <w:rtl/>
        </w:rPr>
        <w:t>: إذا</w:t>
      </w:r>
      <w:r>
        <w:rPr>
          <w:rStyle w:val="a7"/>
          <w:rtl/>
        </w:rPr>
        <w:footnoteReference w:id="4532"/>
      </w:r>
      <w:r>
        <w:rPr>
          <w:rFonts w:hint="cs"/>
          <w:rtl/>
        </w:rPr>
        <w:t xml:space="preserve"> خاف الوصيّ أن يستولي غاصبٌ على مال</w:t>
      </w:r>
      <w:r>
        <w:rPr>
          <w:rStyle w:val="a7"/>
          <w:rtl/>
        </w:rPr>
        <w:footnoteReference w:id="4533"/>
      </w:r>
      <w:r>
        <w:rPr>
          <w:rFonts w:hint="cs"/>
          <w:rtl/>
        </w:rPr>
        <w:t xml:space="preserve"> الصبيّ : جاز أداء شيء ليتخلّصه</w:t>
      </w:r>
      <w:r>
        <w:rPr>
          <w:rFonts w:hint="cs"/>
          <w:vertAlign w:val="superscript"/>
          <w:rtl/>
        </w:rPr>
        <w:t>(</w:t>
      </w:r>
      <w:r>
        <w:rPr>
          <w:rStyle w:val="a7"/>
          <w:rtl/>
        </w:rPr>
        <w:footnoteReference w:id="4534"/>
      </w:r>
      <w:r>
        <w:rPr>
          <w:rFonts w:hint="cs"/>
          <w:vertAlign w:val="superscript"/>
          <w:rtl/>
        </w:rPr>
        <w:t>)</w:t>
      </w:r>
      <w:r>
        <w:rPr>
          <w:rFonts w:hint="cs"/>
          <w:rtl/>
        </w:rPr>
        <w:t>. كذا في (الخلاصة)</w:t>
      </w:r>
      <w:r>
        <w:rPr>
          <w:rFonts w:hint="cs"/>
          <w:vertAlign w:val="superscript"/>
          <w:rtl/>
        </w:rPr>
        <w:t>(</w:t>
      </w:r>
      <w:r>
        <w:rPr>
          <w:rStyle w:val="a7"/>
          <w:rtl/>
        </w:rPr>
        <w:footnoteReference w:id="4535"/>
      </w:r>
      <w:r>
        <w:rPr>
          <w:rFonts w:hint="cs"/>
          <w:vertAlign w:val="superscript"/>
          <w:rtl/>
        </w:rPr>
        <w:t>)</w:t>
      </w:r>
      <w:r>
        <w:rPr>
          <w:rFonts w:hint="cs"/>
          <w:rtl/>
        </w:rPr>
        <w:t>.</w:t>
      </w:r>
    </w:p>
    <w:p w:rsidR="00C10469" w:rsidRDefault="00C10469">
      <w:pPr>
        <w:rPr>
          <w:rtl/>
        </w:rPr>
      </w:pPr>
      <w:r>
        <w:rPr>
          <w:rFonts w:hint="cs"/>
          <w:b/>
          <w:bCs/>
          <w:rtl/>
        </w:rPr>
        <w:lastRenderedPageBreak/>
        <w:t xml:space="preserve">   والجواب</w:t>
      </w:r>
      <w:r>
        <w:rPr>
          <w:rFonts w:hint="cs"/>
          <w:rtl/>
        </w:rPr>
        <w:t xml:space="preserve"> : أنّ هذا من باب : </w:t>
      </w:r>
      <w:r>
        <w:rPr>
          <w:rFonts w:hint="eastAsia"/>
          <w:rtl/>
        </w:rPr>
        <w:t>«</w:t>
      </w:r>
      <w:r>
        <w:rPr>
          <w:rFonts w:hint="cs"/>
          <w:rtl/>
        </w:rPr>
        <w:t>العمل بأهون الشّرين</w:t>
      </w:r>
      <w:r>
        <w:rPr>
          <w:rFonts w:hint="eastAsia"/>
          <w:rtl/>
        </w:rPr>
        <w:t>»</w:t>
      </w:r>
      <w:r>
        <w:rPr>
          <w:rFonts w:hint="cs"/>
          <w:vertAlign w:val="superscript"/>
          <w:rtl/>
        </w:rPr>
        <w:t>(</w:t>
      </w:r>
      <w:r>
        <w:rPr>
          <w:rStyle w:val="a7"/>
          <w:rtl/>
        </w:rPr>
        <w:footnoteReference w:id="4536"/>
      </w:r>
      <w:r>
        <w:rPr>
          <w:rFonts w:hint="cs"/>
          <w:vertAlign w:val="superscript"/>
          <w:rtl/>
        </w:rPr>
        <w:t>)</w:t>
      </w:r>
      <w:r>
        <w:rPr>
          <w:rFonts w:hint="cs"/>
          <w:rtl/>
        </w:rPr>
        <w:t>.</w:t>
      </w:r>
    </w:p>
    <w:p w:rsidR="00C10469" w:rsidRDefault="00C10469" w:rsidP="00C10469">
      <w:pPr>
        <w:ind w:left="848" w:hanging="284"/>
        <w:rPr>
          <w:rtl/>
        </w:rPr>
      </w:pPr>
      <w:r>
        <w:rPr>
          <w:b/>
          <w:bCs/>
          <w:rtl/>
        </w:rPr>
        <w:t>•</w:t>
      </w:r>
      <w:r>
        <w:rPr>
          <w:rFonts w:hint="cs"/>
          <w:b/>
          <w:bCs/>
          <w:rtl/>
        </w:rPr>
        <w:t xml:space="preserve">  ومن مقتضى هذا الأصل</w:t>
      </w:r>
      <w:r>
        <w:rPr>
          <w:rFonts w:hint="cs"/>
          <w:rtl/>
        </w:rPr>
        <w:t xml:space="preserve"> : أَنْ لا يحل دفع الصدقة</w:t>
      </w:r>
      <w:r>
        <w:rPr>
          <w:rStyle w:val="a7"/>
          <w:rtl/>
        </w:rPr>
        <w:footnoteReference w:id="4537"/>
      </w:r>
      <w:r>
        <w:rPr>
          <w:rFonts w:hint="cs"/>
          <w:rtl/>
        </w:rPr>
        <w:t xml:space="preserve"> لمن يَسأل</w:t>
      </w:r>
      <w:r>
        <w:rPr>
          <w:rStyle w:val="a7"/>
          <w:rtl/>
        </w:rPr>
        <w:footnoteReference w:id="4538"/>
      </w:r>
      <w:r>
        <w:rPr>
          <w:rFonts w:hint="cs"/>
          <w:rtl/>
        </w:rPr>
        <w:t xml:space="preserve"> ومعه قوت يومه. إلا أن يُقال : إن الصدقة هنا هبة، كالتصدق على الغني</w:t>
      </w:r>
      <w:r>
        <w:rPr>
          <w:rFonts w:hint="cs"/>
          <w:vertAlign w:val="superscript"/>
          <w:rtl/>
        </w:rPr>
        <w:t>(</w:t>
      </w:r>
      <w:r>
        <w:rPr>
          <w:rStyle w:val="a7"/>
          <w:rtl/>
        </w:rPr>
        <w:footnoteReference w:id="4539"/>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7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7A3C88" w:rsidRDefault="00C10469">
      <w:pPr>
        <w:pStyle w:val="a9"/>
        <w:rPr>
          <w:rFonts w:cs="AL-Mateen"/>
          <w:rtl/>
        </w:rPr>
      </w:pPr>
      <w:r w:rsidRPr="007A3C88">
        <w:rPr>
          <w:rFonts w:cs="AL-Mateen" w:hint="cs"/>
          <w:rtl/>
        </w:rPr>
        <w:lastRenderedPageBreak/>
        <w:t>[ الـقـاعـدة التـاسـعـة عـشـرة بعد الـمـائـتـيـن ]</w:t>
      </w:r>
    </w:p>
    <w:p w:rsidR="00C10469" w:rsidRDefault="00C10469">
      <w:pPr>
        <w:rPr>
          <w:rtl/>
        </w:rPr>
      </w:pPr>
      <w:r>
        <w:rPr>
          <w:rFonts w:cs="Monotype Koufi" w:hint="cs"/>
          <w:rtl/>
        </w:rPr>
        <w:t>مَا ثَبَتَ [لِجَمَاعَةٍ]</w:t>
      </w:r>
      <w:r>
        <w:rPr>
          <w:rStyle w:val="a7"/>
          <w:rtl/>
        </w:rPr>
        <w:footnoteReference w:id="4540"/>
      </w:r>
      <w:r>
        <w:rPr>
          <w:rFonts w:hint="cs"/>
          <w:rtl/>
        </w:rPr>
        <w:t xml:space="preserve"> </w:t>
      </w:r>
      <w:r>
        <w:rPr>
          <w:rFonts w:cs="Monotype Koufi" w:hint="cs"/>
          <w:rtl/>
        </w:rPr>
        <w:t>فَهُوَ بَيْنَهُمْ عَلَى سَبِيلِ الاشْتِرَاكِ</w:t>
      </w:r>
      <w:r>
        <w:rPr>
          <w:rFonts w:hint="cs"/>
          <w:vertAlign w:val="superscript"/>
          <w:rtl/>
        </w:rPr>
        <w:t>(</w:t>
      </w:r>
      <w:r>
        <w:rPr>
          <w:rStyle w:val="a7"/>
          <w:rtl/>
        </w:rPr>
        <w:footnoteReference w:id="4541"/>
      </w:r>
      <w:r>
        <w:rPr>
          <w:rFonts w:hint="cs"/>
          <w:vertAlign w:val="superscript"/>
          <w:rtl/>
        </w:rPr>
        <w:t>)</w:t>
      </w:r>
      <w:r>
        <w:rPr>
          <w:rFonts w:hint="cs"/>
          <w:rtl/>
        </w:rPr>
        <w:t xml:space="preserve"> :</w:t>
      </w:r>
    </w:p>
    <w:p w:rsidR="00C10469" w:rsidRDefault="00C10469" w:rsidP="00C10469">
      <w:pPr>
        <w:rPr>
          <w:rtl/>
        </w:rPr>
      </w:pPr>
      <w:r>
        <w:rPr>
          <w:rFonts w:hint="cs"/>
          <w:b/>
          <w:bCs/>
          <w:rtl/>
        </w:rPr>
        <w:t xml:space="preserve">ولهذا </w:t>
      </w:r>
      <w:r>
        <w:rPr>
          <w:rFonts w:hint="cs"/>
          <w:rtl/>
        </w:rPr>
        <w:t>: لا يجوز تصرف أحد الوكيلين وحده إذا كان توكيلهما بكلام واحد؛ لأن حق التصرف ثبت لهما، لا لكل واحدٍ منهما على سبيل الكمال.</w:t>
      </w:r>
    </w:p>
    <w:p w:rsidR="00C10469" w:rsidRDefault="00C10469" w:rsidP="00C10469">
      <w:pPr>
        <w:rPr>
          <w:rtl/>
        </w:rPr>
      </w:pPr>
      <w:r>
        <w:rPr>
          <w:rFonts w:hint="cs"/>
          <w:rtl/>
        </w:rPr>
        <w:t>وجاز تصرف أحدهما في الخصومة؛ لتعذُّر الاجتماع فيها؛ [لإفضائِهِ]</w:t>
      </w:r>
      <w:r>
        <w:rPr>
          <w:rStyle w:val="a7"/>
          <w:rtl/>
        </w:rPr>
        <w:footnoteReference w:id="4542"/>
      </w:r>
      <w:r>
        <w:rPr>
          <w:rFonts w:hint="cs"/>
          <w:rtl/>
        </w:rPr>
        <w:t xml:space="preserve"> إلى الشغب في مجلس القضاء</w:t>
      </w:r>
      <w:r>
        <w:rPr>
          <w:rFonts w:hint="cs"/>
          <w:vertAlign w:val="superscript"/>
          <w:rtl/>
        </w:rPr>
        <w:t>(</w:t>
      </w:r>
      <w:r>
        <w:rPr>
          <w:rStyle w:val="a7"/>
          <w:rtl/>
        </w:rPr>
        <w:footnoteReference w:id="4543"/>
      </w:r>
      <w:r>
        <w:rPr>
          <w:rFonts w:hint="cs"/>
          <w:vertAlign w:val="superscript"/>
          <w:rtl/>
        </w:rPr>
        <w:t>)</w:t>
      </w:r>
    </w:p>
    <w:p w:rsidR="00C10469" w:rsidRDefault="00C10469" w:rsidP="00C10469">
      <w:pPr>
        <w:rPr>
          <w:rtl/>
        </w:rPr>
      </w:pPr>
      <w:r>
        <w:rPr>
          <w:rFonts w:hint="cs"/>
          <w:rtl/>
        </w:rPr>
        <w:t xml:space="preserve">وفي </w:t>
      </w:r>
      <w:r>
        <w:rPr>
          <w:rFonts w:hint="eastAsia"/>
          <w:rtl/>
        </w:rPr>
        <w:t>«</w:t>
      </w:r>
      <w:r>
        <w:rPr>
          <w:rFonts w:hint="cs"/>
          <w:rtl/>
        </w:rPr>
        <w:t>ردّ الوديعة، وقضاء دين، وطلاقٍ وعتقٍ لم يُعَوَّضَا</w:t>
      </w:r>
      <w:r>
        <w:rPr>
          <w:rFonts w:hint="cs"/>
          <w:vertAlign w:val="superscript"/>
          <w:rtl/>
        </w:rPr>
        <w:t>(</w:t>
      </w:r>
      <w:r>
        <w:rPr>
          <w:rStyle w:val="a7"/>
          <w:rtl/>
        </w:rPr>
        <w:footnoteReference w:id="4544"/>
      </w:r>
      <w:r>
        <w:rPr>
          <w:rFonts w:hint="cs"/>
          <w:vertAlign w:val="superscript"/>
          <w:rtl/>
        </w:rPr>
        <w:t>)</w:t>
      </w:r>
      <w:r>
        <w:rPr>
          <w:rFonts w:hint="cs"/>
          <w:rtl/>
        </w:rPr>
        <w:t>؛ لأن كلّ واحد منهما معبَّرٌ</w:t>
      </w:r>
      <w:r>
        <w:rPr>
          <w:rStyle w:val="a7"/>
          <w:rtl/>
        </w:rPr>
        <w:footnoteReference w:id="4545"/>
      </w:r>
      <w:r>
        <w:rPr>
          <w:rFonts w:hint="cs"/>
          <w:rtl/>
        </w:rPr>
        <w:t xml:space="preserve"> محضٌ، وعبارة الواحد والمثنى سواء.</w:t>
      </w:r>
    </w:p>
    <w:p w:rsidR="00C10469" w:rsidRDefault="00C10469" w:rsidP="00C10469">
      <w:pPr>
        <w:rPr>
          <w:spacing w:val="-14"/>
          <w:rtl/>
        </w:rPr>
      </w:pPr>
      <w:r>
        <w:rPr>
          <w:rFonts w:hint="cs"/>
          <w:spacing w:val="-14"/>
          <w:rtl/>
        </w:rPr>
        <w:t>بخلاف ما إذا قال لهما: طلقاها إن</w:t>
      </w:r>
      <w:r>
        <w:rPr>
          <w:rStyle w:val="a7"/>
          <w:spacing w:val="-14"/>
          <w:rtl/>
        </w:rPr>
        <w:footnoteReference w:id="4546"/>
      </w:r>
      <w:r>
        <w:rPr>
          <w:rFonts w:hint="cs"/>
          <w:spacing w:val="-14"/>
          <w:rtl/>
        </w:rPr>
        <w:t xml:space="preserve"> شئـتما. أو قال: [أمرها]</w:t>
      </w:r>
      <w:r>
        <w:rPr>
          <w:rStyle w:val="a7"/>
          <w:spacing w:val="-14"/>
          <w:rtl/>
        </w:rPr>
        <w:footnoteReference w:id="4547"/>
      </w:r>
      <w:r>
        <w:rPr>
          <w:rFonts w:hint="cs"/>
          <w:spacing w:val="-14"/>
          <w:rtl/>
        </w:rPr>
        <w:t xml:space="preserve"> بـيديكما</w:t>
      </w:r>
      <w:r>
        <w:rPr>
          <w:rStyle w:val="a7"/>
          <w:spacing w:val="-14"/>
          <w:rtl/>
        </w:rPr>
        <w:footnoteReference w:id="4548"/>
      </w:r>
      <w:r>
        <w:rPr>
          <w:rFonts w:hint="cs"/>
          <w:spacing w:val="-14"/>
          <w:rtl/>
        </w:rPr>
        <w:t>.  أو كان الطلاق</w:t>
      </w:r>
    </w:p>
    <w:p w:rsidR="00C10469" w:rsidRDefault="00C10469" w:rsidP="00035BE3">
      <w:pPr>
        <w:ind w:firstLine="0"/>
        <w:rPr>
          <w:rtl/>
        </w:rPr>
      </w:pPr>
      <w:r>
        <w:rPr>
          <w:rFonts w:hint="cs"/>
          <w:rtl/>
        </w:rPr>
        <w:lastRenderedPageBreak/>
        <w:t>والعتق بِعِوَضٍ؛ لأنه يحتاج إلى الرأي</w:t>
      </w:r>
      <w:r>
        <w:rPr>
          <w:rFonts w:hint="eastAsia"/>
          <w:rtl/>
        </w:rPr>
        <w:t>»</w:t>
      </w:r>
      <w:r>
        <w:rPr>
          <w:rFonts w:hint="cs"/>
          <w:vertAlign w:val="superscript"/>
          <w:rtl/>
        </w:rPr>
        <w:t>(</w:t>
      </w:r>
      <w:r>
        <w:rPr>
          <w:rStyle w:val="a7"/>
          <w:spacing w:val="-14"/>
          <w:rtl/>
        </w:rPr>
        <w:footnoteReference w:id="4549"/>
      </w:r>
      <w:r>
        <w:rPr>
          <w:rFonts w:hint="cs"/>
          <w:vertAlign w:val="superscript"/>
          <w:rtl/>
        </w:rPr>
        <w:t>)</w:t>
      </w:r>
      <w:r>
        <w:rPr>
          <w:rFonts w:hint="cs"/>
          <w:rtl/>
        </w:rPr>
        <w:t>، والظاهر أن الموكَّل لا يرضى برأي حدهما.</w:t>
      </w:r>
    </w:p>
    <w:p w:rsidR="00C10469" w:rsidRDefault="00C10469">
      <w:pPr>
        <w:rPr>
          <w:rtl/>
        </w:rPr>
      </w:pPr>
      <w:r>
        <w:rPr>
          <w:rFonts w:hint="cs"/>
          <w:rtl/>
        </w:rPr>
        <w:t>واعلم أن هذا الأصل ليس بجارٍ على إطلاقه؛ بل مقيّد بكون الحق ممّا يتجزَّأ وأما إذا كان ممّا لا يتجزّأ : يثبت لكل أحد</w:t>
      </w:r>
      <w:r>
        <w:rPr>
          <w:rStyle w:val="a7"/>
          <w:rtl/>
        </w:rPr>
        <w:footnoteReference w:id="4550"/>
      </w:r>
      <w:r>
        <w:rPr>
          <w:rFonts w:hint="cs"/>
          <w:rtl/>
        </w:rPr>
        <w:t xml:space="preserve"> على سبيل الكمال</w:t>
      </w:r>
      <w:r>
        <w:rPr>
          <w:rFonts w:hint="cs"/>
          <w:vertAlign w:val="superscript"/>
          <w:rtl/>
        </w:rPr>
        <w:t>(</w:t>
      </w:r>
      <w:r>
        <w:rPr>
          <w:rStyle w:val="a7"/>
          <w:rtl/>
        </w:rPr>
        <w:footnoteReference w:id="4551"/>
      </w:r>
      <w:r>
        <w:rPr>
          <w:rFonts w:hint="cs"/>
          <w:vertAlign w:val="superscript"/>
          <w:rtl/>
        </w:rPr>
        <w:t>)</w:t>
      </w:r>
      <w:r>
        <w:rPr>
          <w:rFonts w:hint="cs"/>
          <w:rtl/>
        </w:rPr>
        <w:t xml:space="preserve">. </w:t>
      </w:r>
    </w:p>
    <w:p w:rsidR="00C10469" w:rsidRDefault="00C10469">
      <w:pPr>
        <w:rPr>
          <w:rtl/>
        </w:rPr>
      </w:pPr>
      <w:r>
        <w:rPr>
          <w:rFonts w:hint="cs"/>
          <w:rtl/>
        </w:rPr>
        <w:t>حتى قالوا : إذا كانت  الجارية بين شريكين، فادعى أحدٌ الخوف على شريكه</w:t>
      </w:r>
      <w:r>
        <w:rPr>
          <w:rStyle w:val="a7"/>
          <w:rtl/>
        </w:rPr>
        <w:footnoteReference w:id="4552"/>
      </w:r>
      <w:r>
        <w:rPr>
          <w:rFonts w:hint="cs"/>
          <w:rtl/>
        </w:rPr>
        <w:t>، وطلب الوضع عند عدل : لا يُجَاب إلى ذلك، مع أن أصحابَنَا [احتاطُوا]</w:t>
      </w:r>
      <w:r>
        <w:rPr>
          <w:rFonts w:hint="cs"/>
          <w:vertAlign w:val="superscript"/>
          <w:rtl/>
        </w:rPr>
        <w:t>(</w:t>
      </w:r>
      <w:r>
        <w:rPr>
          <w:rStyle w:val="a7"/>
          <w:rtl/>
        </w:rPr>
        <w:footnoteReference w:id="4553"/>
      </w:r>
      <w:r>
        <w:rPr>
          <w:rFonts w:hint="cs"/>
          <w:vertAlign w:val="superscript"/>
          <w:rtl/>
        </w:rPr>
        <w:t>)</w:t>
      </w:r>
      <w:r>
        <w:rPr>
          <w:rFonts w:hint="cs"/>
          <w:rtl/>
        </w:rPr>
        <w:t xml:space="preserve"> في الفروج. وإنما تكون</w:t>
      </w:r>
      <w:r>
        <w:rPr>
          <w:rStyle w:val="a7"/>
          <w:rtl/>
        </w:rPr>
        <w:footnoteReference w:id="4554"/>
      </w:r>
      <w:r>
        <w:rPr>
          <w:rFonts w:hint="cs"/>
          <w:rtl/>
        </w:rPr>
        <w:t xml:space="preserve"> عند كلٍّ يومًا</w:t>
      </w:r>
      <w:r>
        <w:rPr>
          <w:rFonts w:hint="cs"/>
          <w:vertAlign w:val="superscript"/>
          <w:rtl/>
        </w:rPr>
        <w:t>(</w:t>
      </w:r>
      <w:r>
        <w:rPr>
          <w:rStyle w:val="a7"/>
          <w:rtl/>
        </w:rPr>
        <w:footnoteReference w:id="4555"/>
      </w:r>
      <w:r>
        <w:rPr>
          <w:rFonts w:hint="cs"/>
          <w:vertAlign w:val="superscript"/>
          <w:rtl/>
        </w:rPr>
        <w:t>)</w:t>
      </w:r>
      <w:r>
        <w:rPr>
          <w:rFonts w:hint="cs"/>
          <w:rtl/>
        </w:rPr>
        <w:t>؛ لأن استخدام المملوك مما لا يتجزأ، فيثبت لكل</w:t>
      </w:r>
      <w:r>
        <w:rPr>
          <w:rStyle w:val="a7"/>
          <w:rtl/>
        </w:rPr>
        <w:footnoteReference w:id="4556"/>
      </w:r>
      <w:r>
        <w:rPr>
          <w:rFonts w:hint="cs"/>
          <w:rtl/>
        </w:rPr>
        <w:t xml:space="preserve"> واحد منهما على سبيل الكمال</w:t>
      </w:r>
      <w:r>
        <w:rPr>
          <w:rFonts w:hint="cs"/>
          <w:vertAlign w:val="superscript"/>
          <w:rtl/>
        </w:rPr>
        <w:t>(</w:t>
      </w:r>
      <w:r>
        <w:rPr>
          <w:rStyle w:val="a7"/>
          <w:rtl/>
        </w:rPr>
        <w:footnoteReference w:id="4557"/>
      </w:r>
      <w:r>
        <w:rPr>
          <w:rFonts w:hint="cs"/>
          <w:vertAlign w:val="superscript"/>
          <w:rtl/>
        </w:rPr>
        <w:t>)</w:t>
      </w:r>
      <w:r>
        <w:rPr>
          <w:rFonts w:hint="cs"/>
          <w:rtl/>
        </w:rPr>
        <w:t>؛ فلا ينازعه أحد في نوبته.</w:t>
      </w:r>
    </w:p>
    <w:p w:rsidR="00C10469" w:rsidRDefault="00C10469" w:rsidP="00C10469">
      <w:pPr>
        <w:jc w:val="center"/>
        <w:rPr>
          <w:rFonts w:ascii="AGA Arabesque" w:hAnsi="AGA Arabesque"/>
          <w:sz w:val="50"/>
          <w:szCs w:val="50"/>
        </w:rPr>
        <w:sectPr w:rsidR="00C10469" w:rsidSect="00C10469">
          <w:headerReference w:type="default" r:id="rId274"/>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Pr="00C66800" w:rsidRDefault="00C10469">
      <w:pPr>
        <w:pStyle w:val="a9"/>
        <w:rPr>
          <w:rFonts w:cs="AL-Mateen"/>
          <w:rtl/>
        </w:rPr>
      </w:pPr>
      <w:r w:rsidRPr="00C66800">
        <w:rPr>
          <w:rFonts w:cs="AL-Mateen" w:hint="cs"/>
          <w:rtl/>
        </w:rPr>
        <w:lastRenderedPageBreak/>
        <w:t>[ الـقـاعـدة الـعـشـرون بـعـد الـمـائـتـيـن ]</w:t>
      </w:r>
    </w:p>
    <w:p w:rsidR="00C10469" w:rsidRDefault="00C10469">
      <w:pPr>
        <w:rPr>
          <w:rtl/>
        </w:rPr>
      </w:pPr>
      <w:r>
        <w:rPr>
          <w:rFonts w:cs="Monotype Koufi" w:hint="cs"/>
          <w:rtl/>
        </w:rPr>
        <w:t>مَا أُبِيحَ</w:t>
      </w:r>
      <w:r>
        <w:rPr>
          <w:rStyle w:val="a7"/>
          <w:rtl/>
        </w:rPr>
        <w:footnoteReference w:id="4558"/>
      </w:r>
      <w:r>
        <w:rPr>
          <w:rFonts w:hint="cs"/>
          <w:rtl/>
        </w:rPr>
        <w:t xml:space="preserve"> </w:t>
      </w:r>
      <w:r>
        <w:rPr>
          <w:rFonts w:cs="Monotype Koufi" w:hint="cs"/>
          <w:rtl/>
        </w:rPr>
        <w:t>للضَّرُورَةِ يَتَقَدَّرُ بِقَدْرِهَا</w:t>
      </w:r>
      <w:r>
        <w:rPr>
          <w:rFonts w:hint="cs"/>
          <w:vertAlign w:val="superscript"/>
          <w:rtl/>
        </w:rPr>
        <w:t>(</w:t>
      </w:r>
      <w:r>
        <w:rPr>
          <w:rStyle w:val="a7"/>
          <w:rtl/>
        </w:rPr>
        <w:footnoteReference w:id="4559"/>
      </w:r>
      <w:r>
        <w:rPr>
          <w:rFonts w:hint="cs"/>
          <w:vertAlign w:val="superscript"/>
          <w:rtl/>
        </w:rPr>
        <w:t>)</w:t>
      </w:r>
      <w:r>
        <w:rPr>
          <w:rFonts w:hint="cs"/>
          <w:rtl/>
        </w:rPr>
        <w:t xml:space="preserve"> :</w:t>
      </w:r>
    </w:p>
    <w:p w:rsidR="00C10469" w:rsidRDefault="00C10469">
      <w:pPr>
        <w:rPr>
          <w:rtl/>
        </w:rPr>
      </w:pPr>
      <w:r>
        <w:rPr>
          <w:rFonts w:hint="eastAsia"/>
          <w:rtl/>
        </w:rPr>
        <w:t>«</w:t>
      </w:r>
      <w:r>
        <w:rPr>
          <w:rFonts w:hint="cs"/>
          <w:b/>
          <w:bCs/>
          <w:rtl/>
        </w:rPr>
        <w:t>ومن فروعه</w:t>
      </w:r>
      <w:r>
        <w:rPr>
          <w:rFonts w:hint="cs"/>
          <w:rtl/>
        </w:rPr>
        <w:t xml:space="preserve"> : المضطر لا يأكل من الميتة إلاّ قدر سدَّ الرَّمق</w:t>
      </w:r>
      <w:r>
        <w:rPr>
          <w:rFonts w:hint="eastAsia"/>
          <w:rtl/>
        </w:rPr>
        <w:t>»</w:t>
      </w:r>
      <w:r>
        <w:rPr>
          <w:rFonts w:hint="cs"/>
          <w:vertAlign w:val="superscript"/>
          <w:rtl/>
        </w:rPr>
        <w:t>(</w:t>
      </w:r>
      <w:r>
        <w:rPr>
          <w:rStyle w:val="a7"/>
          <w:rtl/>
        </w:rPr>
        <w:footnoteReference w:id="4560"/>
      </w:r>
      <w:r>
        <w:rPr>
          <w:rFonts w:hint="cs"/>
          <w:vertAlign w:val="superscript"/>
          <w:rtl/>
        </w:rPr>
        <w:t>)</w:t>
      </w:r>
      <w:r>
        <w:rPr>
          <w:rFonts w:hint="cs"/>
          <w:rtl/>
        </w:rPr>
        <w:t>.</w:t>
      </w:r>
    </w:p>
    <w:p w:rsidR="00C10469" w:rsidRDefault="00C10469">
      <w:pPr>
        <w:rPr>
          <w:rtl/>
        </w:rPr>
      </w:pPr>
      <w:r>
        <w:rPr>
          <w:rFonts w:hint="eastAsia"/>
          <w:rtl/>
        </w:rPr>
        <w:t>«</w:t>
      </w:r>
      <w:r>
        <w:rPr>
          <w:rFonts w:hint="cs"/>
          <w:rtl/>
        </w:rPr>
        <w:t>وأفتوا بالعفو</w:t>
      </w:r>
      <w:r>
        <w:rPr>
          <w:rStyle w:val="a7"/>
          <w:rtl/>
        </w:rPr>
        <w:footnoteReference w:id="4561"/>
      </w:r>
      <w:r>
        <w:rPr>
          <w:rFonts w:hint="cs"/>
          <w:rtl/>
        </w:rPr>
        <w:t xml:space="preserve"> عن بول السَّنُّور</w:t>
      </w:r>
      <w:r>
        <w:rPr>
          <w:rFonts w:hint="cs"/>
          <w:vertAlign w:val="superscript"/>
          <w:rtl/>
        </w:rPr>
        <w:t>(</w:t>
      </w:r>
      <w:r>
        <w:rPr>
          <w:rStyle w:val="a7"/>
          <w:rtl/>
        </w:rPr>
        <w:footnoteReference w:id="4562"/>
      </w:r>
      <w:r>
        <w:rPr>
          <w:rFonts w:hint="cs"/>
          <w:vertAlign w:val="superscript"/>
          <w:rtl/>
        </w:rPr>
        <w:t>)</w:t>
      </w:r>
      <w:r>
        <w:rPr>
          <w:rFonts w:hint="cs"/>
          <w:rtl/>
        </w:rPr>
        <w:t xml:space="preserve"> في الثياب دون الأواني؛ لأنه لا ضرورة في الأواني؛ لجريان العادة بتخميرِها</w:t>
      </w:r>
      <w:r>
        <w:rPr>
          <w:rStyle w:val="a7"/>
          <w:rtl/>
        </w:rPr>
        <w:footnoteReference w:id="4563"/>
      </w:r>
      <w:r>
        <w:rPr>
          <w:rFonts w:hint="cs"/>
          <w:rtl/>
        </w:rPr>
        <w:t>.</w:t>
      </w:r>
      <w:r>
        <w:rPr>
          <w:rFonts w:hint="cs"/>
          <w:vertAlign w:val="superscript"/>
          <w:rtl/>
        </w:rPr>
        <w:t xml:space="preserve"> </w:t>
      </w:r>
    </w:p>
    <w:p w:rsidR="00C10469" w:rsidRDefault="00C10469" w:rsidP="00035BE3">
      <w:pPr>
        <w:rPr>
          <w:rtl/>
        </w:rPr>
      </w:pPr>
      <w:r w:rsidRPr="003C47DE">
        <w:rPr>
          <w:rFonts w:hint="cs"/>
          <w:rtl/>
        </w:rPr>
        <w:t>وفرّق البعض [في]</w:t>
      </w:r>
      <w:r w:rsidRPr="003C47DE">
        <w:rPr>
          <w:rFonts w:hint="cs"/>
          <w:vertAlign w:val="superscript"/>
          <w:rtl/>
        </w:rPr>
        <w:t>(</w:t>
      </w:r>
      <w:r w:rsidRPr="003C47DE">
        <w:rPr>
          <w:rStyle w:val="a7"/>
          <w:rtl/>
        </w:rPr>
        <w:footnoteReference w:id="4564"/>
      </w:r>
      <w:r w:rsidRPr="003C47DE">
        <w:rPr>
          <w:rFonts w:hint="cs"/>
          <w:vertAlign w:val="superscript"/>
          <w:rtl/>
        </w:rPr>
        <w:t>)</w:t>
      </w:r>
      <w:r w:rsidRPr="003C47DE">
        <w:rPr>
          <w:rFonts w:hint="cs"/>
          <w:rtl/>
        </w:rPr>
        <w:t xml:space="preserve"> (البعر)</w:t>
      </w:r>
      <w:r w:rsidRPr="003C47DE">
        <w:rPr>
          <w:rFonts w:hint="cs"/>
          <w:vertAlign w:val="superscript"/>
          <w:rtl/>
        </w:rPr>
        <w:t>(</w:t>
      </w:r>
      <w:r w:rsidRPr="003C47DE">
        <w:rPr>
          <w:rStyle w:val="a7"/>
          <w:rtl/>
        </w:rPr>
        <w:footnoteReference w:id="4565"/>
      </w:r>
      <w:r w:rsidRPr="003C47DE">
        <w:rPr>
          <w:rFonts w:hint="cs"/>
          <w:vertAlign w:val="superscript"/>
          <w:rtl/>
        </w:rPr>
        <w:t>)</w:t>
      </w:r>
      <w:r w:rsidRPr="003C47DE">
        <w:rPr>
          <w:rFonts w:hint="cs"/>
          <w:rtl/>
        </w:rPr>
        <w:t xml:space="preserve"> بين</w:t>
      </w:r>
      <w:r w:rsidRPr="006F0544">
        <w:rPr>
          <w:rFonts w:hint="cs"/>
          <w:spacing w:val="-2"/>
          <w:rtl/>
        </w:rPr>
        <w:t xml:space="preserve"> </w:t>
      </w:r>
      <w:r w:rsidRPr="003C47DE">
        <w:rPr>
          <w:rFonts w:hint="cs"/>
          <w:rtl/>
        </w:rPr>
        <w:t>آبار الفلوات وبين</w:t>
      </w:r>
      <w:r w:rsidRPr="003C47DE">
        <w:rPr>
          <w:rStyle w:val="a7"/>
          <w:rtl/>
        </w:rPr>
        <w:footnoteReference w:id="4566"/>
      </w:r>
      <w:r w:rsidRPr="003C47DE">
        <w:rPr>
          <w:rFonts w:hint="cs"/>
          <w:vertAlign w:val="superscript"/>
          <w:rtl/>
        </w:rPr>
        <w:t>(</w:t>
      </w:r>
      <w:r w:rsidRPr="003C47DE">
        <w:rPr>
          <w:rStyle w:val="a7"/>
          <w:rtl/>
        </w:rPr>
        <w:footnoteReference w:id="4567"/>
      </w:r>
      <w:r w:rsidRPr="003C47DE">
        <w:rPr>
          <w:rFonts w:hint="cs"/>
          <w:vertAlign w:val="superscript"/>
          <w:rtl/>
        </w:rPr>
        <w:t>)</w:t>
      </w:r>
      <w:r w:rsidRPr="003C47DE">
        <w:rPr>
          <w:rFonts w:hint="cs"/>
          <w:rtl/>
        </w:rPr>
        <w:t xml:space="preserve"> آبار الأمصار، </w:t>
      </w:r>
      <w:r w:rsidRPr="003C47DE">
        <w:rPr>
          <w:rFonts w:hint="cs"/>
          <w:rtl/>
        </w:rPr>
        <w:lastRenderedPageBreak/>
        <w:t>وقـال:</w:t>
      </w:r>
      <w:r w:rsidR="00035BE3">
        <w:rPr>
          <w:rFonts w:hint="cs"/>
          <w:rtl/>
        </w:rPr>
        <w:t xml:space="preserve"> </w:t>
      </w:r>
      <w:r>
        <w:rPr>
          <w:rFonts w:hint="cs"/>
          <w:rtl/>
        </w:rPr>
        <w:t>يعفى</w:t>
      </w:r>
      <w:r>
        <w:rPr>
          <w:rStyle w:val="a7"/>
          <w:rtl/>
        </w:rPr>
        <w:footnoteReference w:id="4568"/>
      </w:r>
      <w:r>
        <w:rPr>
          <w:rFonts w:hint="cs"/>
          <w:rtl/>
        </w:rPr>
        <w:t xml:space="preserve"> عن قليله في آبار الفـلوات؛ للضـرورة؛ لأنه ليس لها رؤوس حـاجـزة، والإبل [تبعر]</w:t>
      </w:r>
      <w:r>
        <w:rPr>
          <w:rFonts w:hint="cs"/>
          <w:vertAlign w:val="superscript"/>
          <w:rtl/>
        </w:rPr>
        <w:t>(</w:t>
      </w:r>
      <w:r>
        <w:rPr>
          <w:rStyle w:val="a7"/>
          <w:rtl/>
        </w:rPr>
        <w:footnoteReference w:id="4569"/>
      </w:r>
      <w:r>
        <w:rPr>
          <w:rFonts w:hint="cs"/>
          <w:vertAlign w:val="superscript"/>
          <w:rtl/>
        </w:rPr>
        <w:t>)</w:t>
      </w:r>
      <w:r>
        <w:rPr>
          <w:rFonts w:hint="cs"/>
          <w:rtl/>
        </w:rPr>
        <w:t xml:space="preserve"> حولها، ولا يعفى في آبار الأمصار؛ لعدم الضرورة</w:t>
      </w:r>
      <w:r>
        <w:rPr>
          <w:rFonts w:hint="eastAsia"/>
          <w:rtl/>
        </w:rPr>
        <w:t>»</w:t>
      </w:r>
      <w:r>
        <w:rPr>
          <w:rFonts w:hint="cs"/>
          <w:vertAlign w:val="superscript"/>
          <w:rtl/>
        </w:rPr>
        <w:t>(</w:t>
      </w:r>
      <w:r>
        <w:rPr>
          <w:rStyle w:val="a7"/>
          <w:rtl/>
        </w:rPr>
        <w:footnoteReference w:id="4570"/>
      </w:r>
      <w:r>
        <w:rPr>
          <w:rFonts w:hint="cs"/>
          <w:vertAlign w:val="superscript"/>
          <w:rtl/>
        </w:rPr>
        <w:t>)</w:t>
      </w:r>
      <w:r>
        <w:rPr>
          <w:rFonts w:hint="cs"/>
          <w:rtl/>
        </w:rPr>
        <w:t>.</w:t>
      </w:r>
    </w:p>
    <w:p w:rsidR="00C10469" w:rsidRDefault="00C10469">
      <w:pPr>
        <w:ind w:firstLine="0"/>
        <w:rPr>
          <w:rtl/>
        </w:rPr>
      </w:pPr>
    </w:p>
    <w:p w:rsidR="00C10469" w:rsidRDefault="00C10469">
      <w:pPr>
        <w:ind w:firstLine="0"/>
        <w:rPr>
          <w:rtl/>
        </w:rPr>
      </w:pPr>
    </w:p>
    <w:p w:rsidR="00C10469" w:rsidRPr="006C2F85" w:rsidRDefault="00C10469">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ind w:firstLine="0"/>
        <w:rPr>
          <w:rtl/>
        </w:rPr>
        <w:sectPr w:rsidR="00C10469" w:rsidSect="00C10469">
          <w:headerReference w:type="default" r:id="rId27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41711F" w:rsidRDefault="00C10469">
      <w:pPr>
        <w:pStyle w:val="a9"/>
        <w:rPr>
          <w:rFonts w:cs="AL-Mateen"/>
          <w:rtl/>
        </w:rPr>
      </w:pPr>
      <w:r w:rsidRPr="0041711F">
        <w:rPr>
          <w:rFonts w:cs="AL-Mateen" w:hint="cs"/>
          <w:rtl/>
        </w:rPr>
        <w:lastRenderedPageBreak/>
        <w:t>[ الـقـاعـدة الـحـاديـة والـعـشـرون بـعـد الـمـائـتـيـن ]</w:t>
      </w:r>
    </w:p>
    <w:p w:rsidR="00C10469" w:rsidRDefault="00C10469">
      <w:pPr>
        <w:rPr>
          <w:rtl/>
        </w:rPr>
      </w:pPr>
      <w:r>
        <w:rPr>
          <w:rFonts w:cs="Monotype Koufi" w:hint="cs"/>
          <w:rtl/>
        </w:rPr>
        <w:t>مَا ثَبَتَ عَلَى خِلاَفِ القِيَاسِ فَغَيْرُهُ لاَ يُقَاسُ عَلَيْهِ</w:t>
      </w:r>
      <w:r>
        <w:rPr>
          <w:rStyle w:val="a7"/>
          <w:rtl/>
        </w:rPr>
        <w:footnoteReference w:id="4571"/>
      </w:r>
      <w:r>
        <w:rPr>
          <w:rFonts w:hint="cs"/>
          <w:vertAlign w:val="superscript"/>
          <w:rtl/>
        </w:rPr>
        <w:t>(</w:t>
      </w:r>
      <w:r>
        <w:rPr>
          <w:rStyle w:val="a7"/>
          <w:rtl/>
        </w:rPr>
        <w:footnoteReference w:id="4572"/>
      </w:r>
      <w:r>
        <w:rPr>
          <w:rFonts w:hint="cs"/>
          <w:vertAlign w:val="superscript"/>
          <w:rtl/>
        </w:rPr>
        <w:t>)</w:t>
      </w:r>
      <w:r>
        <w:rPr>
          <w:rFonts w:hint="cs"/>
          <w:rtl/>
        </w:rPr>
        <w:t xml:space="preserve"> :</w:t>
      </w:r>
    </w:p>
    <w:p w:rsidR="00C10469" w:rsidRDefault="00C10469">
      <w:pPr>
        <w:rPr>
          <w:rtl/>
        </w:rPr>
      </w:pPr>
      <w:r>
        <w:rPr>
          <w:rFonts w:hint="cs"/>
          <w:b/>
          <w:bCs/>
          <w:rtl/>
        </w:rPr>
        <w:lastRenderedPageBreak/>
        <w:t>ولذا</w:t>
      </w:r>
      <w:r>
        <w:rPr>
          <w:rFonts w:hint="cs"/>
          <w:rtl/>
        </w:rPr>
        <w:t xml:space="preserve"> : لا يقاس على قضاء سنة الفجر ليلة التعريس</w:t>
      </w:r>
      <w:r>
        <w:rPr>
          <w:rFonts w:hint="cs"/>
          <w:vertAlign w:val="superscript"/>
          <w:rtl/>
        </w:rPr>
        <w:t>(</w:t>
      </w:r>
      <w:r>
        <w:rPr>
          <w:rStyle w:val="a7"/>
          <w:rtl/>
        </w:rPr>
        <w:footnoteReference w:id="4573"/>
      </w:r>
      <w:r>
        <w:rPr>
          <w:rFonts w:hint="cs"/>
          <w:vertAlign w:val="superscript"/>
          <w:rtl/>
        </w:rPr>
        <w:t>)</w:t>
      </w:r>
      <w:r>
        <w:rPr>
          <w:rFonts w:hint="cs"/>
          <w:rtl/>
        </w:rPr>
        <w:t xml:space="preserve"> سائرُ السنة -كما مرّ تفصيله في باب الشين</w:t>
      </w:r>
      <w:r>
        <w:rPr>
          <w:rFonts w:hint="cs"/>
          <w:vertAlign w:val="superscript"/>
          <w:rtl/>
        </w:rPr>
        <w:t>(</w:t>
      </w:r>
      <w:r>
        <w:rPr>
          <w:rStyle w:val="a7"/>
          <w:rtl/>
        </w:rPr>
        <w:footnoteReference w:id="4574"/>
      </w:r>
      <w:r>
        <w:rPr>
          <w:rFonts w:hint="cs"/>
          <w:vertAlign w:val="superscript"/>
          <w:rtl/>
        </w:rPr>
        <w:t>)</w:t>
      </w:r>
      <w:r>
        <w:rPr>
          <w:rFonts w:hint="cs"/>
          <w:rtl/>
        </w:rPr>
        <w:t>-.</w:t>
      </w:r>
    </w:p>
    <w:p w:rsidR="00C10469" w:rsidRDefault="00C10469" w:rsidP="00C10469">
      <w:pPr>
        <w:spacing w:line="264" w:lineRule="auto"/>
        <w:rPr>
          <w:rtl/>
        </w:rPr>
      </w:pPr>
      <w:r>
        <w:rPr>
          <w:rFonts w:hint="cs"/>
          <w:b/>
          <w:bCs/>
          <w:rtl/>
        </w:rPr>
        <w:lastRenderedPageBreak/>
        <w:t xml:space="preserve">وخرج </w:t>
      </w:r>
      <w:r>
        <w:rPr>
          <w:rFonts w:hint="cs"/>
          <w:rtl/>
        </w:rPr>
        <w:t xml:space="preserve">عن هذا الأصل في بدء النظر : ما لو </w:t>
      </w:r>
      <w:r>
        <w:rPr>
          <w:rFonts w:hint="eastAsia"/>
          <w:rtl/>
        </w:rPr>
        <w:t>«</w:t>
      </w:r>
      <w:r>
        <w:rPr>
          <w:rFonts w:hint="cs"/>
          <w:rtl/>
        </w:rPr>
        <w:t>شرى</w:t>
      </w:r>
      <w:r>
        <w:rPr>
          <w:rStyle w:val="a7"/>
          <w:rtl/>
        </w:rPr>
        <w:footnoteReference w:id="4575"/>
      </w:r>
      <w:r>
        <w:rPr>
          <w:rFonts w:hint="cs"/>
          <w:rtl/>
        </w:rPr>
        <w:t xml:space="preserve"> على أنه إن لم ينقد الثمن إلى ثلاثة أيّام فلا بيع : صح. وإلى أكثر : لا</w:t>
      </w:r>
      <w:r>
        <w:rPr>
          <w:rFonts w:hint="eastAsia"/>
          <w:rtl/>
        </w:rPr>
        <w:t>»</w:t>
      </w:r>
      <w:r>
        <w:rPr>
          <w:rFonts w:hint="cs"/>
          <w:vertAlign w:val="superscript"/>
          <w:rtl/>
        </w:rPr>
        <w:t>(</w:t>
      </w:r>
      <w:r>
        <w:rPr>
          <w:rStyle w:val="a7"/>
          <w:rtl/>
        </w:rPr>
        <w:footnoteReference w:id="4576"/>
      </w:r>
      <w:r>
        <w:rPr>
          <w:rFonts w:hint="cs"/>
          <w:vertAlign w:val="superscript"/>
          <w:rtl/>
        </w:rPr>
        <w:t>)</w:t>
      </w:r>
      <w:r>
        <w:rPr>
          <w:rFonts w:hint="cs"/>
          <w:rtl/>
        </w:rPr>
        <w:t>؛ قياسًا على النص الوارد في شرط الخيار</w:t>
      </w:r>
      <w:r>
        <w:rPr>
          <w:rStyle w:val="a7"/>
          <w:rtl/>
        </w:rPr>
        <w:footnoteReference w:id="4577"/>
      </w:r>
      <w:r>
        <w:rPr>
          <w:rFonts w:hint="cs"/>
          <w:rtl/>
        </w:rPr>
        <w:t xml:space="preserve"> وهو على خلاف القياس</w:t>
      </w:r>
      <w:r>
        <w:rPr>
          <w:rFonts w:hint="cs"/>
          <w:vertAlign w:val="superscript"/>
          <w:rtl/>
        </w:rPr>
        <w:t>(</w:t>
      </w:r>
      <w:r>
        <w:rPr>
          <w:rStyle w:val="a7"/>
          <w:rtl/>
        </w:rPr>
        <w:footnoteReference w:id="4578"/>
      </w:r>
      <w:r>
        <w:rPr>
          <w:rFonts w:hint="cs"/>
          <w:vertAlign w:val="superscript"/>
          <w:rtl/>
        </w:rPr>
        <w:t>)</w:t>
      </w:r>
      <w:r>
        <w:rPr>
          <w:rFonts w:hint="cs"/>
          <w:rtl/>
        </w:rPr>
        <w:t>.</w:t>
      </w:r>
    </w:p>
    <w:p w:rsidR="00C10469" w:rsidRDefault="00C10469" w:rsidP="00C10469">
      <w:pPr>
        <w:spacing w:line="264" w:lineRule="auto"/>
        <w:rPr>
          <w:rtl/>
        </w:rPr>
      </w:pPr>
      <w:r>
        <w:rPr>
          <w:rFonts w:hint="cs"/>
          <w:b/>
          <w:bCs/>
          <w:rtl/>
        </w:rPr>
        <w:t>والجواب</w:t>
      </w:r>
      <w:r>
        <w:rPr>
          <w:rFonts w:hint="cs"/>
          <w:rtl/>
        </w:rPr>
        <w:t xml:space="preserve"> : أن هـذا الـحكم ثـابـت بـدلالة النـصّ لا بالقيـاس عليه؛ لأنه عـينُ خيار</w:t>
      </w:r>
      <w:r>
        <w:rPr>
          <w:rStyle w:val="a7"/>
          <w:rtl/>
        </w:rPr>
        <w:footnoteReference w:id="4579"/>
      </w:r>
      <w:r>
        <w:rPr>
          <w:rFonts w:hint="cs"/>
          <w:rtl/>
        </w:rPr>
        <w:t xml:space="preserve"> الشـرط؛ لأن خيار الشرط إنـما شُـرِعَ ليَـدْفَـعَ بالفسخ : الضررَ من</w:t>
      </w:r>
      <w:r>
        <w:rPr>
          <w:rStyle w:val="a7"/>
          <w:rtl/>
        </w:rPr>
        <w:footnoteReference w:id="4580"/>
      </w:r>
      <w:r>
        <w:rPr>
          <w:rFonts w:hint="cs"/>
          <w:rtl/>
        </w:rPr>
        <w:t xml:space="preserve"> نفسه، سواء كان الضرر المماطلة، أو غيره، فيكون ملحقًا به</w:t>
      </w:r>
      <w:r>
        <w:rPr>
          <w:rFonts w:hint="cs"/>
          <w:vertAlign w:val="superscript"/>
          <w:rtl/>
        </w:rPr>
        <w:t>(</w:t>
      </w:r>
      <w:r>
        <w:rPr>
          <w:rStyle w:val="a7"/>
          <w:rtl/>
        </w:rPr>
        <w:footnoteReference w:id="4581"/>
      </w:r>
      <w:r>
        <w:rPr>
          <w:rFonts w:hint="cs"/>
          <w:vertAlign w:val="superscript"/>
          <w:rtl/>
        </w:rPr>
        <w:t>)</w:t>
      </w:r>
      <w:r>
        <w:rPr>
          <w:rFonts w:hint="cs"/>
          <w:rtl/>
        </w:rPr>
        <w:t>. صرَّح [به]</w:t>
      </w:r>
      <w:r>
        <w:rPr>
          <w:rStyle w:val="a7"/>
          <w:rtl/>
        </w:rPr>
        <w:footnoteReference w:id="4582"/>
      </w:r>
      <w:r>
        <w:rPr>
          <w:rFonts w:hint="cs"/>
          <w:rtl/>
        </w:rPr>
        <w:t xml:space="preserve"> </w:t>
      </w:r>
    </w:p>
    <w:p w:rsidR="00C10469" w:rsidRDefault="00C10469">
      <w:pPr>
        <w:ind w:firstLine="0"/>
        <w:rPr>
          <w:rtl/>
        </w:rPr>
      </w:pPr>
      <w:r>
        <w:rPr>
          <w:rFonts w:hint="cs"/>
          <w:rtl/>
        </w:rPr>
        <w:lastRenderedPageBreak/>
        <w:t>صدر الشريعة</w:t>
      </w:r>
      <w:r>
        <w:rPr>
          <w:rFonts w:hint="cs"/>
          <w:vertAlign w:val="superscript"/>
          <w:rtl/>
        </w:rPr>
        <w:t>(</w:t>
      </w:r>
      <w:r>
        <w:rPr>
          <w:rStyle w:val="a7"/>
          <w:rtl/>
        </w:rPr>
        <w:footnoteReference w:id="4583"/>
      </w:r>
      <w:r>
        <w:rPr>
          <w:rFonts w:hint="cs"/>
          <w:vertAlign w:val="superscript"/>
          <w:rtl/>
        </w:rPr>
        <w:t>)(</w:t>
      </w:r>
      <w:r>
        <w:rPr>
          <w:rStyle w:val="a7"/>
          <w:rtl/>
        </w:rPr>
        <w:footnoteReference w:id="4584"/>
      </w:r>
      <w:r>
        <w:rPr>
          <w:rFonts w:hint="cs"/>
          <w:vertAlign w:val="superscript"/>
          <w:rtl/>
        </w:rPr>
        <w:t>)</w:t>
      </w:r>
      <w:r>
        <w:rPr>
          <w:rFonts w:hint="cs"/>
          <w:rtl/>
        </w:rPr>
        <w:t>.</w:t>
      </w:r>
    </w:p>
    <w:p w:rsidR="00C10469" w:rsidRDefault="00C10469">
      <w:pPr>
        <w:rPr>
          <w:rtl/>
        </w:rPr>
      </w:pPr>
      <w:r>
        <w:rPr>
          <w:rFonts w:hint="cs"/>
          <w:rtl/>
        </w:rPr>
        <w:t>وقرر الزيلعّي كون هذه المسألة من عين خيار الشرط</w:t>
      </w:r>
      <w:r>
        <w:rPr>
          <w:rFonts w:hint="cs"/>
          <w:vertAlign w:val="superscript"/>
          <w:rtl/>
        </w:rPr>
        <w:t>(</w:t>
      </w:r>
      <w:r>
        <w:rPr>
          <w:rStyle w:val="a7"/>
          <w:rtl/>
        </w:rPr>
        <w:footnoteReference w:id="4585"/>
      </w:r>
      <w:r>
        <w:rPr>
          <w:rFonts w:hint="cs"/>
          <w:vertAlign w:val="superscript"/>
          <w:rtl/>
        </w:rPr>
        <w:t>)</w:t>
      </w:r>
      <w:r>
        <w:rPr>
          <w:rFonts w:hint="cs"/>
          <w:rtl/>
        </w:rPr>
        <w:t>:</w:t>
      </w:r>
    </w:p>
    <w:p w:rsidR="00C10469" w:rsidRDefault="00C10469">
      <w:pPr>
        <w:rPr>
          <w:rtl/>
        </w:rPr>
      </w:pPr>
      <w:r>
        <w:rPr>
          <w:rFonts w:hint="cs"/>
          <w:b/>
          <w:bCs/>
          <w:rtl/>
        </w:rPr>
        <w:t>يمكن أن يجاب</w:t>
      </w:r>
      <w:r>
        <w:rPr>
          <w:rFonts w:hint="cs"/>
          <w:rtl/>
        </w:rPr>
        <w:t xml:space="preserve"> عنه : بأن النصّ الوارد في شرط الخيار معلّل بدفع الضرر، فلا يكون على خلاف القياس</w:t>
      </w:r>
      <w:r>
        <w:rPr>
          <w:rFonts w:hint="cs"/>
          <w:vertAlign w:val="superscript"/>
          <w:rtl/>
        </w:rPr>
        <w:t>(</w:t>
      </w:r>
      <w:r>
        <w:rPr>
          <w:rStyle w:val="a7"/>
          <w:rtl/>
        </w:rPr>
        <w:footnoteReference w:id="4586"/>
      </w:r>
      <w:r>
        <w:rPr>
          <w:rFonts w:hint="cs"/>
          <w:vertAlign w:val="superscript"/>
          <w:rtl/>
        </w:rPr>
        <w:t>)</w:t>
      </w:r>
      <w:r>
        <w:rPr>
          <w:rFonts w:hint="cs"/>
          <w:rtl/>
        </w:rPr>
        <w:t>.</w:t>
      </w:r>
    </w:p>
    <w:p w:rsidR="00C10469" w:rsidRDefault="00C10469">
      <w:pPr>
        <w:rPr>
          <w:rtl/>
        </w:rPr>
      </w:pPr>
      <w:r>
        <w:rPr>
          <w:rFonts w:hint="cs"/>
          <w:rtl/>
        </w:rPr>
        <w:lastRenderedPageBreak/>
        <w:t>وقد تقرر في الأصول أن</w:t>
      </w:r>
      <w:r>
        <w:rPr>
          <w:rStyle w:val="a7"/>
          <w:rtl/>
        </w:rPr>
        <w:footnoteReference w:id="4587"/>
      </w:r>
      <w:r>
        <w:rPr>
          <w:rFonts w:hint="cs"/>
          <w:rtl/>
        </w:rPr>
        <w:t xml:space="preserve"> </w:t>
      </w:r>
      <w:r>
        <w:rPr>
          <w:rFonts w:hint="eastAsia"/>
          <w:rtl/>
        </w:rPr>
        <w:t>«</w:t>
      </w:r>
      <w:r>
        <w:rPr>
          <w:rFonts w:hint="cs"/>
          <w:rtl/>
        </w:rPr>
        <w:t>التساوي في جميع الوجوه إنّما يكون شرطًا للإلحاق إذا لم يكن في الحكم مناط</w:t>
      </w:r>
      <w:r>
        <w:rPr>
          <w:rFonts w:hint="eastAsia"/>
          <w:rtl/>
        </w:rPr>
        <w:t>»</w:t>
      </w:r>
      <w:r>
        <w:rPr>
          <w:rFonts w:hint="cs"/>
          <w:vertAlign w:val="superscript"/>
          <w:rtl/>
        </w:rPr>
        <w:t>(</w:t>
      </w:r>
      <w:r>
        <w:rPr>
          <w:rStyle w:val="a7"/>
          <w:rtl/>
        </w:rPr>
        <w:footnoteReference w:id="4588"/>
      </w:r>
      <w:r>
        <w:rPr>
          <w:rFonts w:hint="cs"/>
          <w:vertAlign w:val="superscript"/>
          <w:rtl/>
        </w:rPr>
        <w:t>)</w:t>
      </w:r>
      <w:r>
        <w:rPr>
          <w:rFonts w:hint="cs"/>
          <w:rtl/>
        </w:rPr>
        <w:t>؛ لأن ما لا يدرك بالرأي لا يمكن تعديته.</w:t>
      </w:r>
    </w:p>
    <w:p w:rsidR="00C10469" w:rsidRDefault="00C10469">
      <w:pPr>
        <w:rPr>
          <w:rtl/>
        </w:rPr>
      </w:pPr>
      <w:r>
        <w:rPr>
          <w:rFonts w:hint="cs"/>
          <w:rtl/>
        </w:rPr>
        <w:t>وأما إذا كان في الحكم مناطٌ، فالحكم يدور عليه؛ كجواز السّلم في المذروعات بالقياس على الموزونات، والمكيلات، مع تفاوتهما فيما هُوَ أعظم التفاوت (وهو كون المذروع قِيميًّا وهما مثليّان)؛ لأن فيه مناط الحكم : ضبط الصفة ومعرفة المقدار. وهذا يحصل بالذرع، كما يحصل بالكيل والوزن</w:t>
      </w:r>
      <w:r>
        <w:rPr>
          <w:rFonts w:hint="cs"/>
          <w:vertAlign w:val="superscript"/>
          <w:rtl/>
        </w:rPr>
        <w:t>(</w:t>
      </w:r>
      <w:r>
        <w:rPr>
          <w:rStyle w:val="a7"/>
          <w:rtl/>
        </w:rPr>
        <w:footnoteReference w:id="4589"/>
      </w:r>
      <w:r>
        <w:rPr>
          <w:rFonts w:hint="cs"/>
          <w:vertAlign w:val="superscript"/>
          <w:rtl/>
        </w:rPr>
        <w:t>)</w:t>
      </w:r>
      <w:r>
        <w:rPr>
          <w:rFonts w:hint="cs"/>
          <w:rtl/>
        </w:rPr>
        <w:t>.</w:t>
      </w:r>
    </w:p>
    <w:p w:rsidR="00C10469" w:rsidRDefault="00C10469">
      <w:pPr>
        <w:rPr>
          <w:rtl/>
        </w:rPr>
      </w:pPr>
    </w:p>
    <w:p w:rsidR="00C10469" w:rsidRDefault="00C10469">
      <w:pPr>
        <w:rPr>
          <w:rtl/>
        </w:rPr>
      </w:pPr>
    </w:p>
    <w:p w:rsidR="00C10469" w:rsidRDefault="00C10469">
      <w:pPr>
        <w:rPr>
          <w:rtl/>
        </w:rPr>
      </w:pPr>
    </w:p>
    <w:p w:rsidR="00C10469" w:rsidRPr="00A5067B" w:rsidRDefault="00C10469">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C10469" w:rsidRDefault="00C10469">
      <w:pPr>
        <w:rPr>
          <w:rtl/>
        </w:rPr>
        <w:sectPr w:rsidR="00C10469" w:rsidSect="00C10469">
          <w:headerReference w:type="default" r:id="rId27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C10469" w:rsidRPr="009121E8" w:rsidRDefault="00C10469">
      <w:pPr>
        <w:pStyle w:val="a9"/>
        <w:rPr>
          <w:rFonts w:cs="AL-Mateen"/>
          <w:rtl/>
        </w:rPr>
      </w:pPr>
      <w:r w:rsidRPr="009121E8">
        <w:rPr>
          <w:rFonts w:cs="AL-Mateen" w:hint="cs"/>
          <w:rtl/>
        </w:rPr>
        <w:lastRenderedPageBreak/>
        <w:t>[ الـقـاعـدة الـثـانـيـة والـعـشـرون بـعـد الـمـائـتـيـن ]</w:t>
      </w:r>
    </w:p>
    <w:p w:rsidR="00C10469" w:rsidRDefault="00C10469">
      <w:pPr>
        <w:rPr>
          <w:rtl/>
        </w:rPr>
      </w:pPr>
      <w:r>
        <w:rPr>
          <w:rFonts w:cs="Monotype Koufi" w:hint="cs"/>
          <w:rtl/>
        </w:rPr>
        <w:t>م</w:t>
      </w:r>
      <w:r>
        <w:rPr>
          <w:rFonts w:cs="Monotype Koufi" w:hint="cs"/>
          <w:rtl/>
          <w:lang w:bidi="ar-AE"/>
        </w:rPr>
        <w:t>َ</w:t>
      </w:r>
      <w:r>
        <w:rPr>
          <w:rFonts w:cs="Monotype Koufi" w:hint="cs"/>
          <w:rtl/>
        </w:rPr>
        <w:t>ا عَمَّتْ بَلِيَّتُهُ خَفَّتْ قَضِيَّتُهُ</w:t>
      </w:r>
      <w:r>
        <w:rPr>
          <w:rFonts w:hint="cs"/>
          <w:vertAlign w:val="superscript"/>
          <w:rtl/>
        </w:rPr>
        <w:t>(</w:t>
      </w:r>
      <w:r>
        <w:rPr>
          <w:rStyle w:val="a7"/>
          <w:rtl/>
        </w:rPr>
        <w:footnoteReference w:id="4590"/>
      </w:r>
      <w:r>
        <w:rPr>
          <w:rFonts w:hint="cs"/>
          <w:vertAlign w:val="superscript"/>
          <w:rtl/>
        </w:rPr>
        <w:t>)</w:t>
      </w:r>
      <w:r>
        <w:rPr>
          <w:rFonts w:hint="cs"/>
          <w:rtl/>
        </w:rPr>
        <w:t xml:space="preserve"> :</w:t>
      </w:r>
    </w:p>
    <w:p w:rsidR="00C10469" w:rsidRDefault="00C10469">
      <w:pPr>
        <w:rPr>
          <w:rtl/>
        </w:rPr>
      </w:pPr>
      <w:r>
        <w:rPr>
          <w:rFonts w:hint="cs"/>
          <w:rtl/>
        </w:rPr>
        <w:lastRenderedPageBreak/>
        <w:t>ولهذا أفتوا بالعفو</w:t>
      </w:r>
      <w:r>
        <w:rPr>
          <w:rStyle w:val="a7"/>
          <w:rtl/>
        </w:rPr>
        <w:footnoteReference w:id="4591"/>
      </w:r>
      <w:r>
        <w:rPr>
          <w:rFonts w:hint="cs"/>
          <w:rtl/>
        </w:rPr>
        <w:t xml:space="preserve"> عن بول السَّنُّور في الثياب؛ لعموم البلوى</w:t>
      </w:r>
      <w:r>
        <w:rPr>
          <w:rFonts w:hint="cs"/>
          <w:vertAlign w:val="superscript"/>
          <w:rtl/>
        </w:rPr>
        <w:t>(</w:t>
      </w:r>
      <w:r>
        <w:rPr>
          <w:rStyle w:val="a7"/>
          <w:rtl/>
        </w:rPr>
        <w:footnoteReference w:id="4592"/>
      </w:r>
      <w:r>
        <w:rPr>
          <w:rFonts w:hint="cs"/>
          <w:vertAlign w:val="superscript"/>
          <w:rtl/>
        </w:rPr>
        <w:t>)</w:t>
      </w:r>
      <w:r>
        <w:rPr>
          <w:rFonts w:hint="cs"/>
          <w:rtl/>
        </w:rPr>
        <w:t>.</w:t>
      </w:r>
    </w:p>
    <w:p w:rsidR="00C10469" w:rsidRDefault="00C10469">
      <w:pPr>
        <w:rPr>
          <w:rtl/>
        </w:rPr>
      </w:pPr>
      <w:r>
        <w:rPr>
          <w:rFonts w:hint="cs"/>
          <w:rtl/>
        </w:rPr>
        <w:t>ويعتبر</w:t>
      </w:r>
      <w:r>
        <w:rPr>
          <w:rStyle w:val="a7"/>
          <w:rtl/>
        </w:rPr>
        <w:footnoteReference w:id="4593"/>
      </w:r>
      <w:r>
        <w:rPr>
          <w:rFonts w:hint="cs"/>
          <w:rtl/>
        </w:rPr>
        <w:t xml:space="preserve"> هذا الأصل بقدر الضرورة؛ ولهذا لم يعفوا في الأواني</w:t>
      </w:r>
      <w:r>
        <w:rPr>
          <w:rFonts w:hint="cs"/>
          <w:vertAlign w:val="superscript"/>
          <w:rtl/>
        </w:rPr>
        <w:t>(</w:t>
      </w:r>
      <w:r>
        <w:rPr>
          <w:rStyle w:val="a7"/>
          <w:rtl/>
        </w:rPr>
        <w:footnoteReference w:id="4594"/>
      </w:r>
      <w:r>
        <w:rPr>
          <w:rFonts w:hint="cs"/>
          <w:vertAlign w:val="superscript"/>
          <w:rtl/>
        </w:rPr>
        <w:t>)</w:t>
      </w:r>
      <w:r>
        <w:rPr>
          <w:rFonts w:hint="cs"/>
          <w:rtl/>
        </w:rPr>
        <w:t>، لأنه لا</w:t>
      </w:r>
      <w:r>
        <w:rPr>
          <w:rStyle w:val="a7"/>
          <w:rtl/>
        </w:rPr>
        <w:footnoteReference w:id="4595"/>
      </w:r>
      <w:r>
        <w:rPr>
          <w:rFonts w:hint="cs"/>
          <w:rtl/>
        </w:rPr>
        <w:t xml:space="preserve"> ضرورة؛ [لجريان]</w:t>
      </w:r>
      <w:r>
        <w:rPr>
          <w:rStyle w:val="a7"/>
          <w:rtl/>
        </w:rPr>
        <w:footnoteReference w:id="4596"/>
      </w:r>
      <w:r>
        <w:rPr>
          <w:rFonts w:hint="cs"/>
          <w:rtl/>
        </w:rPr>
        <w:t xml:space="preserve"> العادة بتخمُّرها</w:t>
      </w:r>
      <w:r>
        <w:rPr>
          <w:rStyle w:val="a7"/>
          <w:rtl/>
        </w:rPr>
        <w:footnoteReference w:id="4597"/>
      </w:r>
      <w:r>
        <w:rPr>
          <w:rFonts w:hint="cs"/>
          <w:rtl/>
        </w:rPr>
        <w:t>.</w:t>
      </w:r>
    </w:p>
    <w:p w:rsidR="00C10469" w:rsidRDefault="00C10469">
      <w:pPr>
        <w:rPr>
          <w:rtl/>
        </w:rPr>
      </w:pPr>
      <w:r>
        <w:rPr>
          <w:rFonts w:hint="cs"/>
          <w:rtl/>
        </w:rPr>
        <w:t xml:space="preserve">والأصل فيه : </w:t>
      </w:r>
      <w:r>
        <w:rPr>
          <w:rFonts w:hint="eastAsia"/>
          <w:rtl/>
        </w:rPr>
        <w:t>«</w:t>
      </w:r>
      <w:r>
        <w:rPr>
          <w:rFonts w:hint="cs"/>
          <w:rtl/>
        </w:rPr>
        <w:t>ما أبيح للضرورة يتقدّر</w:t>
      </w:r>
      <w:r>
        <w:rPr>
          <w:rStyle w:val="a7"/>
          <w:rtl/>
        </w:rPr>
        <w:footnoteReference w:id="4598"/>
      </w:r>
      <w:r>
        <w:rPr>
          <w:rFonts w:hint="cs"/>
          <w:rtl/>
        </w:rPr>
        <w:t xml:space="preserve"> بقدرها</w:t>
      </w:r>
      <w:r>
        <w:rPr>
          <w:rFonts w:hint="eastAsia"/>
          <w:rtl/>
        </w:rPr>
        <w:t>»</w:t>
      </w:r>
      <w:r>
        <w:rPr>
          <w:rFonts w:hint="cs"/>
          <w:rtl/>
        </w:rPr>
        <w:t xml:space="preserve"> -كما مرّ</w:t>
      </w:r>
      <w:r>
        <w:rPr>
          <w:rFonts w:hint="cs"/>
          <w:vertAlign w:val="superscript"/>
          <w:rtl/>
        </w:rPr>
        <w:t>(</w:t>
      </w:r>
      <w:r>
        <w:rPr>
          <w:rStyle w:val="a7"/>
          <w:rtl/>
        </w:rPr>
        <w:footnoteReference w:id="4599"/>
      </w:r>
      <w:r>
        <w:rPr>
          <w:rFonts w:hint="cs"/>
          <w:vertAlign w:val="superscript"/>
          <w:rtl/>
        </w:rPr>
        <w:t>)</w:t>
      </w:r>
      <w:r>
        <w:rPr>
          <w:rFonts w:hint="cs"/>
          <w:rtl/>
        </w:rPr>
        <w:t>-.</w:t>
      </w:r>
    </w:p>
    <w:p w:rsidR="00C10469" w:rsidRDefault="00C10469">
      <w:pPr>
        <w:rPr>
          <w:spacing w:val="-6"/>
          <w:rtl/>
        </w:rPr>
      </w:pPr>
      <w:r>
        <w:rPr>
          <w:rFonts w:hint="cs"/>
          <w:b/>
          <w:bCs/>
          <w:spacing w:val="-6"/>
          <w:rtl/>
        </w:rPr>
        <w:lastRenderedPageBreak/>
        <w:t>واعلم</w:t>
      </w:r>
      <w:r>
        <w:rPr>
          <w:rFonts w:hint="cs"/>
          <w:spacing w:val="-6"/>
          <w:rtl/>
        </w:rPr>
        <w:t xml:space="preserve"> : أن الحرج إنما يعتبر </w:t>
      </w:r>
      <w:r>
        <w:rPr>
          <w:rFonts w:hint="eastAsia"/>
          <w:spacing w:val="-6"/>
          <w:rtl/>
        </w:rPr>
        <w:t>«</w:t>
      </w:r>
      <w:r>
        <w:rPr>
          <w:rFonts w:hint="cs"/>
          <w:spacing w:val="-6"/>
          <w:rtl/>
        </w:rPr>
        <w:t>في موضع لا نص فيه، وأما مع النص : بخلافه</w:t>
      </w:r>
      <w:r>
        <w:rPr>
          <w:rFonts w:hint="eastAsia"/>
          <w:spacing w:val="-6"/>
          <w:rtl/>
        </w:rPr>
        <w:t>»</w:t>
      </w:r>
      <w:r>
        <w:rPr>
          <w:rFonts w:hint="cs"/>
          <w:spacing w:val="-6"/>
          <w:vertAlign w:val="superscript"/>
          <w:rtl/>
        </w:rPr>
        <w:t>(</w:t>
      </w:r>
      <w:r>
        <w:rPr>
          <w:rStyle w:val="a7"/>
          <w:spacing w:val="-6"/>
          <w:rtl/>
        </w:rPr>
        <w:footnoteReference w:id="4600"/>
      </w:r>
      <w:r>
        <w:rPr>
          <w:rFonts w:hint="cs"/>
          <w:spacing w:val="-6"/>
          <w:vertAlign w:val="superscript"/>
          <w:rtl/>
        </w:rPr>
        <w:t>)</w:t>
      </w:r>
      <w:r>
        <w:rPr>
          <w:rFonts w:hint="cs"/>
          <w:spacing w:val="-6"/>
          <w:rtl/>
        </w:rPr>
        <w:t>.</w:t>
      </w:r>
    </w:p>
    <w:p w:rsidR="003D5367" w:rsidRDefault="00C10469" w:rsidP="003D5367">
      <w:pPr>
        <w:rPr>
          <w:rtl/>
        </w:rPr>
        <w:sectPr w:rsidR="003D5367" w:rsidSect="00C10469">
          <w:headerReference w:type="default" r:id="rId27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eastAsia"/>
          <w:rtl/>
        </w:rPr>
        <w:t>«</w:t>
      </w:r>
      <w:r>
        <w:rPr>
          <w:rFonts w:hint="cs"/>
          <w:rtl/>
        </w:rPr>
        <w:t xml:space="preserve">وقال الزيلعي في باب (الأنجاس) : إن الإمام يقول : بتغليظ نجاسة الأرواث لقوله </w:t>
      </w:r>
      <w:r>
        <w:rPr>
          <w:rFonts w:ascii="AGA Arabesque" w:hAnsi="AGA Arabesque"/>
          <w:sz w:val="36"/>
        </w:rPr>
        <w:t></w:t>
      </w:r>
      <w:r>
        <w:rPr>
          <w:rFonts w:hint="cs"/>
          <w:rtl/>
        </w:rPr>
        <w:t xml:space="preserve"> :</w:t>
      </w:r>
      <w:r>
        <w:rPr>
          <w:rFonts w:hint="eastAsia"/>
          <w:rtl/>
        </w:rPr>
        <w:t xml:space="preserve"> «</w:t>
      </w:r>
      <w:r>
        <w:rPr>
          <w:rFonts w:hint="cs"/>
          <w:rtl/>
        </w:rPr>
        <w:t xml:space="preserve"> </w:t>
      </w:r>
      <w:r>
        <w:rPr>
          <w:rFonts w:cs="DecoType Naskh" w:hint="cs"/>
          <w:sz w:val="36"/>
          <w:rtl/>
        </w:rPr>
        <w:t xml:space="preserve">إنه رِكسٌ </w:t>
      </w:r>
      <w:r>
        <w:rPr>
          <w:rFonts w:hint="cs"/>
          <w:sz w:val="36"/>
          <w:rtl/>
        </w:rPr>
        <w:t xml:space="preserve"> </w:t>
      </w:r>
      <w:r>
        <w:rPr>
          <w:rStyle w:val="a7"/>
          <w:rtl/>
        </w:rPr>
        <w:footnoteReference w:id="4601"/>
      </w:r>
      <w:r>
        <w:rPr>
          <w:rFonts w:hint="eastAsia"/>
          <w:rtl/>
        </w:rPr>
        <w:t>»</w:t>
      </w:r>
      <w:r>
        <w:rPr>
          <w:rFonts w:hint="cs"/>
          <w:vertAlign w:val="superscript"/>
          <w:rtl/>
        </w:rPr>
        <w:t>(</w:t>
      </w:r>
      <w:r>
        <w:rPr>
          <w:rStyle w:val="a7"/>
          <w:rtl/>
        </w:rPr>
        <w:footnoteReference w:id="4602"/>
      </w:r>
      <w:r>
        <w:rPr>
          <w:rFonts w:hint="cs"/>
          <w:vertAlign w:val="superscript"/>
          <w:rtl/>
        </w:rPr>
        <w:t>)</w:t>
      </w:r>
      <w:r>
        <w:rPr>
          <w:rFonts w:hint="cs"/>
          <w:rtl/>
        </w:rPr>
        <w:t xml:space="preserve"> أي : نجس</w:t>
      </w:r>
      <w:r>
        <w:rPr>
          <w:rFonts w:hint="cs"/>
          <w:vertAlign w:val="superscript"/>
          <w:rtl/>
        </w:rPr>
        <w:t>(</w:t>
      </w:r>
      <w:r>
        <w:rPr>
          <w:rStyle w:val="a7"/>
          <w:rtl/>
        </w:rPr>
        <w:footnoteReference w:id="4603"/>
      </w:r>
      <w:r>
        <w:rPr>
          <w:rFonts w:hint="cs"/>
          <w:vertAlign w:val="superscript"/>
          <w:rtl/>
        </w:rPr>
        <w:t>)</w:t>
      </w:r>
      <w:r>
        <w:rPr>
          <w:rFonts w:hint="cs"/>
          <w:rtl/>
        </w:rPr>
        <w:t>. ولا اعتبار بالبلوى في موضع النص، كما في بول الآدمي، فإن البلوى</w:t>
      </w:r>
      <w:r>
        <w:rPr>
          <w:rStyle w:val="a7"/>
          <w:rtl/>
        </w:rPr>
        <w:footnoteReference w:id="4604"/>
      </w:r>
      <w:r>
        <w:rPr>
          <w:rFonts w:hint="cs"/>
          <w:rtl/>
        </w:rPr>
        <w:t xml:space="preserve"> فيه أعمّ</w:t>
      </w:r>
      <w:r>
        <w:rPr>
          <w:rFonts w:hint="eastAsia"/>
          <w:rtl/>
        </w:rPr>
        <w:t>»</w:t>
      </w:r>
      <w:r>
        <w:rPr>
          <w:rFonts w:hint="cs"/>
          <w:vertAlign w:val="superscript"/>
          <w:rtl/>
        </w:rPr>
        <w:t>(</w:t>
      </w:r>
      <w:r>
        <w:rPr>
          <w:rStyle w:val="a7"/>
          <w:rtl/>
        </w:rPr>
        <w:footnoteReference w:id="4605"/>
      </w:r>
      <w:r>
        <w:rPr>
          <w:rFonts w:hint="cs"/>
          <w:vertAlign w:val="superscript"/>
          <w:rtl/>
        </w:rPr>
        <w:t>)</w:t>
      </w:r>
      <w:r>
        <w:rPr>
          <w:rFonts w:hint="cs"/>
          <w:rtl/>
        </w:rPr>
        <w:t>.</w:t>
      </w:r>
    </w:p>
    <w:p w:rsidR="003D5367" w:rsidRPr="00D15298" w:rsidRDefault="003D5367">
      <w:pPr>
        <w:pStyle w:val="a9"/>
        <w:rPr>
          <w:rFonts w:cs="AL-Mateen"/>
          <w:rtl/>
        </w:rPr>
      </w:pPr>
      <w:r w:rsidRPr="00D15298">
        <w:rPr>
          <w:rFonts w:cs="AL-Mateen"/>
          <w:rtl/>
        </w:rPr>
        <w:lastRenderedPageBreak/>
        <w:t>[ الـقـاعـدة الـثـا</w:t>
      </w:r>
      <w:r w:rsidRPr="00D15298">
        <w:rPr>
          <w:rFonts w:cs="AL-Mateen" w:hint="cs"/>
          <w:rtl/>
        </w:rPr>
        <w:t>ل</w:t>
      </w:r>
      <w:r w:rsidRPr="00D15298">
        <w:rPr>
          <w:rFonts w:cs="AL-Mateen"/>
          <w:rtl/>
        </w:rPr>
        <w:t>ـ</w:t>
      </w:r>
      <w:r w:rsidRPr="00D15298">
        <w:rPr>
          <w:rFonts w:cs="AL-Mateen" w:hint="cs"/>
          <w:rtl/>
        </w:rPr>
        <w:t>ث</w:t>
      </w:r>
      <w:r w:rsidRPr="00D15298">
        <w:rPr>
          <w:rFonts w:cs="AL-Mateen"/>
          <w:rtl/>
        </w:rPr>
        <w:t xml:space="preserve">ـة </w:t>
      </w:r>
      <w:r w:rsidRPr="00D15298">
        <w:rPr>
          <w:rFonts w:cs="AL-Mateen" w:hint="eastAsia"/>
          <w:rtl/>
        </w:rPr>
        <w:t>والـعـشـرون</w:t>
      </w:r>
      <w:r w:rsidRPr="00D15298">
        <w:rPr>
          <w:rFonts w:cs="AL-Mateen"/>
          <w:rtl/>
        </w:rPr>
        <w:t xml:space="preserve"> بـعـد الـمـائـتـيـن ]</w:t>
      </w:r>
    </w:p>
    <w:p w:rsidR="003D5367" w:rsidRDefault="003D5367">
      <w:pPr>
        <w:rPr>
          <w:rtl/>
        </w:rPr>
      </w:pPr>
      <w:r>
        <w:rPr>
          <w:rFonts w:cs="Monotype Koufi" w:hint="eastAsia"/>
          <w:rtl/>
        </w:rPr>
        <w:t>«</w:t>
      </w:r>
      <w:r>
        <w:rPr>
          <w:rFonts w:cs="Monotype Koufi" w:hint="cs"/>
          <w:rtl/>
        </w:rPr>
        <w:t>ما قَبِلَ البَيْعَ قَبِلَ الرّهنَ إلاَّ فِي أَرْبَعَةٍ</w:t>
      </w:r>
      <w:r>
        <w:rPr>
          <w:rFonts w:hint="cs"/>
          <w:vertAlign w:val="superscript"/>
          <w:rtl/>
        </w:rPr>
        <w:t>(</w:t>
      </w:r>
      <w:r>
        <w:rPr>
          <w:rStyle w:val="a7"/>
          <w:rtl/>
        </w:rPr>
        <w:footnoteReference w:id="4606"/>
      </w:r>
      <w:r>
        <w:rPr>
          <w:rFonts w:hint="cs"/>
          <w:vertAlign w:val="superscript"/>
          <w:rtl/>
        </w:rPr>
        <w:t>)</w:t>
      </w:r>
      <w:r>
        <w:rPr>
          <w:rFonts w:hint="cs"/>
          <w:rtl/>
        </w:rPr>
        <w:t xml:space="preserve"> :</w:t>
      </w:r>
    </w:p>
    <w:p w:rsidR="003D5367" w:rsidRDefault="003D5367" w:rsidP="003D5367">
      <w:pPr>
        <w:rPr>
          <w:rtl/>
        </w:rPr>
      </w:pPr>
      <w:r>
        <w:rPr>
          <w:rtl/>
        </w:rPr>
        <w:t>•</w:t>
      </w:r>
      <w:r>
        <w:rPr>
          <w:rFonts w:hint="cs"/>
          <w:rtl/>
        </w:rPr>
        <w:t xml:space="preserve">  بيع المشاع جائزٌ، لا رهنُهُ</w:t>
      </w:r>
      <w:r>
        <w:rPr>
          <w:rFonts w:hint="cs"/>
          <w:vertAlign w:val="superscript"/>
          <w:rtl/>
        </w:rPr>
        <w:t>(</w:t>
      </w:r>
      <w:r>
        <w:rPr>
          <w:rStyle w:val="a7"/>
          <w:rtl/>
        </w:rPr>
        <w:footnoteReference w:id="4607"/>
      </w:r>
      <w:r>
        <w:rPr>
          <w:rFonts w:hint="cs"/>
          <w:vertAlign w:val="superscript"/>
          <w:rtl/>
        </w:rPr>
        <w:t>)</w:t>
      </w:r>
      <w:r>
        <w:rPr>
          <w:rFonts w:hint="cs"/>
          <w:rtl/>
        </w:rPr>
        <w:t>.</w:t>
      </w:r>
    </w:p>
    <w:p w:rsidR="003D5367" w:rsidRDefault="003D5367" w:rsidP="003D5367">
      <w:pPr>
        <w:ind w:right="1287"/>
        <w:rPr>
          <w:rtl/>
        </w:rPr>
      </w:pPr>
      <w:r>
        <w:rPr>
          <w:rtl/>
        </w:rPr>
        <w:t>•</w:t>
      </w:r>
      <w:r>
        <w:rPr>
          <w:rFonts w:hint="cs"/>
          <w:rtl/>
        </w:rPr>
        <w:t xml:space="preserve">  بيع المشغول جائز، لا رهنُهُ</w:t>
      </w:r>
      <w:r>
        <w:rPr>
          <w:rFonts w:hint="cs"/>
          <w:vertAlign w:val="superscript"/>
          <w:rtl/>
        </w:rPr>
        <w:t>(</w:t>
      </w:r>
      <w:r>
        <w:rPr>
          <w:rStyle w:val="a7"/>
          <w:rtl/>
        </w:rPr>
        <w:footnoteReference w:id="4608"/>
      </w:r>
      <w:r>
        <w:rPr>
          <w:rFonts w:hint="cs"/>
          <w:vertAlign w:val="superscript"/>
          <w:rtl/>
        </w:rPr>
        <w:t>)</w:t>
      </w:r>
      <w:r>
        <w:rPr>
          <w:rFonts w:hint="cs"/>
          <w:rtl/>
        </w:rPr>
        <w:t>.</w:t>
      </w:r>
    </w:p>
    <w:p w:rsidR="003D5367" w:rsidRDefault="003D5367" w:rsidP="003D5367">
      <w:pPr>
        <w:ind w:left="954" w:hanging="390"/>
        <w:rPr>
          <w:rtl/>
        </w:rPr>
      </w:pPr>
      <w:r>
        <w:rPr>
          <w:rtl/>
        </w:rPr>
        <w:lastRenderedPageBreak/>
        <w:t>•</w:t>
      </w:r>
      <w:r>
        <w:rPr>
          <w:rFonts w:hint="cs"/>
          <w:rtl/>
        </w:rPr>
        <w:t xml:space="preserve">  بيع المتصل بغيره</w:t>
      </w:r>
      <w:r>
        <w:rPr>
          <w:rFonts w:hint="cs"/>
          <w:vertAlign w:val="superscript"/>
          <w:rtl/>
        </w:rPr>
        <w:t>(</w:t>
      </w:r>
      <w:r>
        <w:rPr>
          <w:rStyle w:val="a7"/>
          <w:rtl/>
        </w:rPr>
        <w:footnoteReference w:id="4609"/>
      </w:r>
      <w:r>
        <w:rPr>
          <w:rFonts w:hint="cs"/>
          <w:vertAlign w:val="superscript"/>
          <w:rtl/>
        </w:rPr>
        <w:t>)</w:t>
      </w:r>
      <w:r>
        <w:rPr>
          <w:rFonts w:hint="cs"/>
          <w:rtl/>
        </w:rPr>
        <w:t xml:space="preserve"> جائز، لا [رهنه]</w:t>
      </w:r>
      <w:r>
        <w:rPr>
          <w:rStyle w:val="a7"/>
          <w:rtl/>
        </w:rPr>
        <w:footnoteReference w:id="4610"/>
      </w:r>
      <w:r>
        <w:rPr>
          <w:rFonts w:hint="eastAsia"/>
          <w:rtl/>
        </w:rPr>
        <w:t>»</w:t>
      </w:r>
      <w:r>
        <w:rPr>
          <w:rFonts w:hint="cs"/>
          <w:vertAlign w:val="superscript"/>
          <w:rtl/>
        </w:rPr>
        <w:t>(</w:t>
      </w:r>
      <w:r>
        <w:rPr>
          <w:rStyle w:val="a7"/>
          <w:rtl/>
        </w:rPr>
        <w:footnoteReference w:id="4611"/>
      </w:r>
      <w:r>
        <w:rPr>
          <w:rFonts w:hint="cs"/>
          <w:vertAlign w:val="superscript"/>
          <w:rtl/>
        </w:rPr>
        <w:t>)</w:t>
      </w:r>
      <w:r>
        <w:rPr>
          <w:rFonts w:hint="cs"/>
          <w:rtl/>
        </w:rPr>
        <w:t>؛ لأن الرهن تبرّع كالهبة والصدقة، فلا يكون لازمًا بمجرّد الإيجاب والقبول، فإذا قبضه لزم. وهذه المعاني مانعة للقبض، فلا يتم العقد. [وللراهن]</w:t>
      </w:r>
      <w:r>
        <w:rPr>
          <w:rStyle w:val="a7"/>
          <w:rtl/>
        </w:rPr>
        <w:footnoteReference w:id="4612"/>
      </w:r>
      <w:r>
        <w:rPr>
          <w:rFonts w:hint="cs"/>
          <w:rtl/>
        </w:rPr>
        <w:t xml:space="preserve"> تسليمه والرجوع عنه كالهبة. فما شرط لتمام الهبة</w:t>
      </w:r>
      <w:r>
        <w:rPr>
          <w:rStyle w:val="a7"/>
          <w:rtl/>
        </w:rPr>
        <w:footnoteReference w:id="4613"/>
      </w:r>
      <w:r>
        <w:rPr>
          <w:rFonts w:hint="cs"/>
          <w:rtl/>
        </w:rPr>
        <w:t xml:space="preserve"> شرط [لعقد]</w:t>
      </w:r>
      <w:r>
        <w:rPr>
          <w:rStyle w:val="a7"/>
          <w:rtl/>
        </w:rPr>
        <w:footnoteReference w:id="4614"/>
      </w:r>
      <w:r>
        <w:rPr>
          <w:rFonts w:hint="cs"/>
          <w:rtl/>
        </w:rPr>
        <w:t xml:space="preserve"> الرهن.</w:t>
      </w:r>
    </w:p>
    <w:p w:rsidR="003D5367" w:rsidRDefault="003D5367" w:rsidP="003D5367">
      <w:pPr>
        <w:ind w:left="989" w:hanging="425"/>
        <w:rPr>
          <w:rtl/>
        </w:rPr>
      </w:pPr>
      <w:r>
        <w:rPr>
          <w:rtl/>
        </w:rPr>
        <w:t>•</w:t>
      </w:r>
      <w:r>
        <w:rPr>
          <w:rFonts w:hint="cs"/>
          <w:rtl/>
        </w:rPr>
        <w:t xml:space="preserve">   وفي (شرح الأَقْطَع)</w:t>
      </w:r>
      <w:r>
        <w:rPr>
          <w:rFonts w:hint="cs"/>
          <w:vertAlign w:val="superscript"/>
          <w:rtl/>
        </w:rPr>
        <w:t>(</w:t>
      </w:r>
      <w:r>
        <w:rPr>
          <w:rStyle w:val="a7"/>
          <w:rtl/>
        </w:rPr>
        <w:footnoteReference w:id="4615"/>
      </w:r>
      <w:r>
        <w:rPr>
          <w:rFonts w:hint="cs"/>
          <w:vertAlign w:val="superscript"/>
          <w:rtl/>
        </w:rPr>
        <w:t>)</w:t>
      </w:r>
      <w:r>
        <w:rPr>
          <w:rFonts w:hint="cs"/>
          <w:rtl/>
        </w:rPr>
        <w:t xml:space="preserve"> : </w:t>
      </w:r>
    </w:p>
    <w:p w:rsidR="003D5367" w:rsidRDefault="003D5367" w:rsidP="003D5367">
      <w:pPr>
        <w:ind w:left="989" w:hanging="425"/>
        <w:rPr>
          <w:rtl/>
        </w:rPr>
      </w:pPr>
      <w:r>
        <w:rPr>
          <w:rFonts w:hint="cs"/>
          <w:rtl/>
        </w:rPr>
        <w:lastRenderedPageBreak/>
        <w:t xml:space="preserve">     </w:t>
      </w:r>
      <w:r>
        <w:rPr>
          <w:rFonts w:hint="eastAsia"/>
          <w:rtl/>
        </w:rPr>
        <w:t>«</w:t>
      </w:r>
      <w:r>
        <w:rPr>
          <w:rFonts w:hint="cs"/>
          <w:rtl/>
        </w:rPr>
        <w:t>بيعُ العبد المعلَّق عتقُه بالشرط</w:t>
      </w:r>
      <w:r>
        <w:rPr>
          <w:rStyle w:val="a7"/>
          <w:rtl/>
        </w:rPr>
        <w:footnoteReference w:id="4616"/>
      </w:r>
      <w:r>
        <w:rPr>
          <w:rFonts w:hint="cs"/>
          <w:rtl/>
        </w:rPr>
        <w:t xml:space="preserve"> قبل وجوده - في غير المدبّر</w:t>
      </w:r>
      <w:r>
        <w:rPr>
          <w:rFonts w:hint="cs"/>
          <w:vertAlign w:val="superscript"/>
          <w:rtl/>
        </w:rPr>
        <w:t>(</w:t>
      </w:r>
      <w:r>
        <w:rPr>
          <w:rStyle w:val="a7"/>
          <w:rtl/>
        </w:rPr>
        <w:footnoteReference w:id="4617"/>
      </w:r>
      <w:r>
        <w:rPr>
          <w:rFonts w:hint="cs"/>
          <w:vertAlign w:val="superscript"/>
          <w:rtl/>
        </w:rPr>
        <w:t>)</w:t>
      </w:r>
      <w:r>
        <w:rPr>
          <w:rFonts w:hint="cs"/>
          <w:rtl/>
        </w:rPr>
        <w:t xml:space="preserve"> - جائزٌ، لا رهنه</w:t>
      </w:r>
      <w:r>
        <w:rPr>
          <w:rFonts w:hint="eastAsia"/>
          <w:rtl/>
        </w:rPr>
        <w:t>»</w:t>
      </w:r>
      <w:r>
        <w:rPr>
          <w:rFonts w:hint="cs"/>
          <w:vertAlign w:val="superscript"/>
          <w:rtl/>
        </w:rPr>
        <w:t>(</w:t>
      </w:r>
      <w:r>
        <w:rPr>
          <w:rStyle w:val="a7"/>
          <w:rtl/>
        </w:rPr>
        <w:footnoteReference w:id="4618"/>
      </w:r>
      <w:r>
        <w:rPr>
          <w:rFonts w:hint="cs"/>
          <w:vertAlign w:val="superscript"/>
          <w:rtl/>
        </w:rPr>
        <w:t>)</w:t>
      </w:r>
      <w:r>
        <w:rPr>
          <w:rFonts w:hint="cs"/>
          <w:rtl/>
        </w:rPr>
        <w:t>؛ لأن المالية فيه [ضعيفة]</w:t>
      </w:r>
      <w:r>
        <w:rPr>
          <w:rStyle w:val="a7"/>
          <w:rtl/>
        </w:rPr>
        <w:footnoteReference w:id="4619"/>
      </w:r>
      <w:r>
        <w:rPr>
          <w:rFonts w:hint="cs"/>
          <w:rtl/>
        </w:rPr>
        <w:t>؛ لوقوعه في معرض الزّوال، فلا يكون وثيقة لجانب الاستيفاء مع احتمال [زوال]</w:t>
      </w:r>
      <w:r>
        <w:rPr>
          <w:rStyle w:val="a7"/>
          <w:rtl/>
        </w:rPr>
        <w:footnoteReference w:id="4620"/>
      </w:r>
      <w:r>
        <w:rPr>
          <w:rFonts w:hint="cs"/>
          <w:rtl/>
        </w:rPr>
        <w:t xml:space="preserve"> الـملك؛ لأنه بالارتهان لا يزول ملك الراهن فيعتق لوجـود الشـرط، فـيـفوت به مقصودُ </w:t>
      </w:r>
      <w:r>
        <w:rPr>
          <w:rFonts w:hint="cs"/>
          <w:rtl/>
        </w:rPr>
        <w:lastRenderedPageBreak/>
        <w:t>المُرتهِنِ وهو الوثاق.</w:t>
      </w:r>
    </w:p>
    <w:p w:rsidR="003D5367" w:rsidRDefault="003D5367" w:rsidP="003D5367">
      <w:pPr>
        <w:ind w:left="989" w:hanging="425"/>
        <w:rPr>
          <w:rtl/>
        </w:rPr>
      </w:pPr>
      <w:r>
        <w:rPr>
          <w:rFonts w:hint="cs"/>
          <w:rtl/>
        </w:rPr>
        <w:t xml:space="preserve">     وأما بالبيع يزول ملك البائع</w:t>
      </w:r>
      <w:r>
        <w:rPr>
          <w:rStyle w:val="a7"/>
          <w:rtl/>
        </w:rPr>
        <w:footnoteReference w:id="4621"/>
      </w:r>
      <w:r>
        <w:rPr>
          <w:rFonts w:hint="cs"/>
          <w:rtl/>
        </w:rPr>
        <w:t>، فيبطلُ التعليق، ولا يعتق بوجود الشرط، فلا يتضرّر المشتري.</w:t>
      </w:r>
    </w:p>
    <w:p w:rsidR="003D5367" w:rsidRDefault="003D5367">
      <w:pPr>
        <w:rPr>
          <w:rtl/>
        </w:rPr>
      </w:pPr>
      <w:r>
        <w:rPr>
          <w:rFonts w:hint="cs"/>
          <w:b/>
          <w:bCs/>
          <w:rtl/>
        </w:rPr>
        <w:t>ويرد عليه</w:t>
      </w:r>
      <w:r>
        <w:rPr>
          <w:rFonts w:hint="cs"/>
          <w:rtl/>
        </w:rPr>
        <w:t xml:space="preserve"> : أن هذا الاحتمال يوجد في الرهن إذا كان العبد غير مدبَّرٍ أيضًا؛ لأن من الجائز أن ينجز الراهنُ العتقَ، فيفوت مقصود</w:t>
      </w:r>
      <w:r>
        <w:rPr>
          <w:rStyle w:val="a7"/>
          <w:rtl/>
        </w:rPr>
        <w:footnoteReference w:id="4622"/>
      </w:r>
      <w:r>
        <w:rPr>
          <w:rFonts w:hint="cs"/>
          <w:rtl/>
        </w:rPr>
        <w:t xml:space="preserve"> المرتهن.</w:t>
      </w:r>
    </w:p>
    <w:p w:rsidR="003D5367" w:rsidRDefault="003D5367">
      <w:pPr>
        <w:rPr>
          <w:rtl/>
        </w:rPr>
      </w:pPr>
      <w:r>
        <w:rPr>
          <w:rFonts w:hint="cs"/>
          <w:b/>
          <w:bCs/>
          <w:rtl/>
        </w:rPr>
        <w:t>والجواب</w:t>
      </w:r>
      <w:r>
        <w:rPr>
          <w:rFonts w:hint="cs"/>
          <w:rtl/>
        </w:rPr>
        <w:t xml:space="preserve"> : أن التنجيز فعل اختياري [والظاهر أنه لا يتجاسر عليه قبل فكِّ الرهن على الصلاح، ولكن حينئذ يتوهم أن تعليق العتق بفعل اختياري]</w:t>
      </w:r>
      <w:r>
        <w:rPr>
          <w:rStyle w:val="a7"/>
          <w:rtl/>
        </w:rPr>
        <w:footnoteReference w:id="4623"/>
      </w:r>
      <w:r>
        <w:rPr>
          <w:rFonts w:hint="cs"/>
          <w:rtl/>
        </w:rPr>
        <w:t xml:space="preserve"> </w:t>
      </w:r>
      <w:r>
        <w:rPr>
          <w:rStyle w:val="a7"/>
          <w:rtl/>
        </w:rPr>
        <w:footnoteReference w:id="4624"/>
      </w:r>
      <w:r>
        <w:rPr>
          <w:rFonts w:hint="cs"/>
          <w:rtl/>
        </w:rPr>
        <w:t xml:space="preserve"> ينبغي أن لا يمنع جواز الرهن.</w:t>
      </w:r>
    </w:p>
    <w:p w:rsidR="003D5367" w:rsidRDefault="003D5367">
      <w:pPr>
        <w:rPr>
          <w:rtl/>
        </w:rPr>
      </w:pPr>
      <w:r>
        <w:rPr>
          <w:rFonts w:hint="cs"/>
          <w:rtl/>
        </w:rPr>
        <w:t>ولم أَرَ</w:t>
      </w:r>
      <w:r>
        <w:rPr>
          <w:rStyle w:val="a7"/>
          <w:rtl/>
        </w:rPr>
        <w:footnoteReference w:id="4625"/>
      </w:r>
      <w:r>
        <w:rPr>
          <w:rFonts w:hint="cs"/>
          <w:rtl/>
        </w:rPr>
        <w:t xml:space="preserve"> الآن، إلاّ أن يقال : المختارُ قد يضطرُّ في بعض الأحوال. فليتأمل!.</w:t>
      </w:r>
    </w:p>
    <w:p w:rsidR="003D5367" w:rsidRDefault="003D5367">
      <w:pPr>
        <w:rPr>
          <w:rtl/>
        </w:rPr>
      </w:pPr>
    </w:p>
    <w:p w:rsidR="003D5367" w:rsidRDefault="003D5367">
      <w:pPr>
        <w:rPr>
          <w:rtl/>
        </w:rPr>
      </w:pPr>
    </w:p>
    <w:p w:rsidR="003D5367" w:rsidRPr="00862758"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3D5367">
          <w:headerReference w:type="even" r:id="rId278"/>
          <w:headerReference w:type="default" r:id="rId279"/>
          <w:footerReference w:type="even" r:id="rId280"/>
          <w:footerReference w:type="default" r:id="rId28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F4699D" w:rsidRDefault="003D5367">
      <w:pPr>
        <w:pStyle w:val="a9"/>
        <w:rPr>
          <w:rFonts w:cs="AL-Mateen"/>
          <w:rtl/>
        </w:rPr>
      </w:pPr>
      <w:r w:rsidRPr="00F4699D">
        <w:rPr>
          <w:rFonts w:cs="AL-Mateen"/>
          <w:rtl/>
        </w:rPr>
        <w:lastRenderedPageBreak/>
        <w:t>[ الـقـاعـدة الـ</w:t>
      </w:r>
      <w:r w:rsidRPr="00F4699D">
        <w:rPr>
          <w:rFonts w:cs="AL-Mateen" w:hint="cs"/>
          <w:rtl/>
        </w:rPr>
        <w:t>ر</w:t>
      </w:r>
      <w:r w:rsidRPr="00F4699D">
        <w:rPr>
          <w:rFonts w:cs="AL-Mateen"/>
          <w:rtl/>
        </w:rPr>
        <w:t>ا</w:t>
      </w:r>
      <w:r w:rsidRPr="00F4699D">
        <w:rPr>
          <w:rFonts w:cs="AL-Mateen" w:hint="cs"/>
          <w:rtl/>
        </w:rPr>
        <w:t>ب</w:t>
      </w:r>
      <w:r w:rsidRPr="00F4699D">
        <w:rPr>
          <w:rFonts w:cs="AL-Mateen"/>
          <w:rtl/>
        </w:rPr>
        <w:t>ـ</w:t>
      </w:r>
      <w:r w:rsidRPr="00F4699D">
        <w:rPr>
          <w:rFonts w:cs="AL-Mateen" w:hint="cs"/>
          <w:rtl/>
        </w:rPr>
        <w:t>ع</w:t>
      </w:r>
      <w:r w:rsidRPr="00F4699D">
        <w:rPr>
          <w:rFonts w:cs="AL-Mateen"/>
          <w:rtl/>
        </w:rPr>
        <w:t xml:space="preserve">ـة والـعـشـرون </w:t>
      </w:r>
      <w:r w:rsidRPr="00F4699D">
        <w:rPr>
          <w:rFonts w:cs="AL-Mateen" w:hint="eastAsia"/>
          <w:rtl/>
        </w:rPr>
        <w:t>بـعـد</w:t>
      </w:r>
      <w:r w:rsidRPr="00F4699D">
        <w:rPr>
          <w:rFonts w:cs="AL-Mateen"/>
          <w:rtl/>
        </w:rPr>
        <w:t xml:space="preserve"> الـمـائـتـيـن ]</w:t>
      </w:r>
    </w:p>
    <w:p w:rsidR="003D5367" w:rsidRDefault="003D5367">
      <w:pPr>
        <w:rPr>
          <w:rtl/>
        </w:rPr>
      </w:pPr>
      <w:r>
        <w:rPr>
          <w:rFonts w:cs="Monotype Koufi" w:hint="eastAsia"/>
          <w:rtl/>
        </w:rPr>
        <w:t>«</w:t>
      </w:r>
      <w:r>
        <w:rPr>
          <w:rFonts w:cs="Monotype Koufi" w:hint="cs"/>
          <w:rtl/>
        </w:rPr>
        <w:t xml:space="preserve"> مَا لاَ يَصِحُّ إفرادُهُ</w:t>
      </w:r>
      <w:r>
        <w:rPr>
          <w:rStyle w:val="a7"/>
          <w:rtl/>
        </w:rPr>
        <w:footnoteReference w:id="4626"/>
      </w:r>
      <w:r>
        <w:rPr>
          <w:rFonts w:hint="cs"/>
          <w:rtl/>
        </w:rPr>
        <w:t xml:space="preserve"> </w:t>
      </w:r>
      <w:r>
        <w:rPr>
          <w:rFonts w:cs="Monotype Koufi" w:hint="cs"/>
          <w:rtl/>
        </w:rPr>
        <w:t>بالعَقْدِ لا يصّحُّ استِثْنَاؤُهُ مِنَ العَقْدِ</w:t>
      </w:r>
      <w:r>
        <w:rPr>
          <w:rFonts w:hint="cs"/>
          <w:vertAlign w:val="superscript"/>
          <w:rtl/>
        </w:rPr>
        <w:t>(</w:t>
      </w:r>
      <w:r>
        <w:rPr>
          <w:rStyle w:val="a7"/>
          <w:rtl/>
        </w:rPr>
        <w:footnoteReference w:id="4627"/>
      </w:r>
      <w:r>
        <w:rPr>
          <w:rFonts w:hint="cs"/>
          <w:vertAlign w:val="superscript"/>
          <w:rtl/>
        </w:rPr>
        <w:t>)</w:t>
      </w:r>
      <w:r>
        <w:rPr>
          <w:rFonts w:hint="cs"/>
          <w:rtl/>
        </w:rPr>
        <w:t xml:space="preserve"> :</w:t>
      </w:r>
    </w:p>
    <w:p w:rsidR="003D5367" w:rsidRDefault="003D5367">
      <w:pPr>
        <w:rPr>
          <w:rtl/>
        </w:rPr>
      </w:pPr>
      <w:r>
        <w:rPr>
          <w:rFonts w:hint="cs"/>
          <w:rtl/>
        </w:rPr>
        <w:t>والحمل من هذا القبيل</w:t>
      </w:r>
      <w:r>
        <w:rPr>
          <w:rFonts w:hint="eastAsia"/>
          <w:rtl/>
        </w:rPr>
        <w:t>»</w:t>
      </w:r>
      <w:r>
        <w:rPr>
          <w:rFonts w:hint="cs"/>
          <w:vertAlign w:val="superscript"/>
          <w:rtl/>
        </w:rPr>
        <w:t>(</w:t>
      </w:r>
      <w:r>
        <w:rPr>
          <w:rStyle w:val="a7"/>
          <w:rtl/>
        </w:rPr>
        <w:footnoteReference w:id="4628"/>
      </w:r>
      <w:r>
        <w:rPr>
          <w:rFonts w:hint="cs"/>
          <w:vertAlign w:val="superscript"/>
          <w:rtl/>
        </w:rPr>
        <w:t>)</w:t>
      </w:r>
      <w:r>
        <w:rPr>
          <w:rFonts w:hint="cs"/>
          <w:rtl/>
        </w:rPr>
        <w:t>، فينظر [في العقد]</w:t>
      </w:r>
      <w:r>
        <w:rPr>
          <w:rStyle w:val="a7"/>
          <w:rtl/>
        </w:rPr>
        <w:footnoteReference w:id="4629"/>
      </w:r>
      <w:r>
        <w:rPr>
          <w:rFonts w:hint="cs"/>
          <w:rtl/>
        </w:rPr>
        <w:t xml:space="preserve"> المستثنى منه :</w:t>
      </w:r>
    </w:p>
    <w:p w:rsidR="003D5367" w:rsidRDefault="003D5367" w:rsidP="003D5367">
      <w:pPr>
        <w:ind w:left="989" w:hanging="422"/>
        <w:rPr>
          <w:rtl/>
        </w:rPr>
      </w:pPr>
      <w:r>
        <w:rPr>
          <w:rtl/>
        </w:rPr>
        <w:t>•</w:t>
      </w:r>
      <w:r>
        <w:rPr>
          <w:rFonts w:hint="cs"/>
          <w:rtl/>
        </w:rPr>
        <w:t xml:space="preserve">   فإن كان العقد مما يفسد بالشروط الفاسدة</w:t>
      </w:r>
      <w:r>
        <w:rPr>
          <w:rStyle w:val="a7"/>
          <w:rtl/>
        </w:rPr>
        <w:footnoteReference w:id="4630"/>
      </w:r>
      <w:r>
        <w:rPr>
          <w:rFonts w:hint="cs"/>
          <w:rtl/>
        </w:rPr>
        <w:t xml:space="preserve"> بطل</w:t>
      </w:r>
      <w:r>
        <w:rPr>
          <w:rStyle w:val="a7"/>
          <w:rtl/>
        </w:rPr>
        <w:footnoteReference w:id="4631"/>
      </w:r>
      <w:r>
        <w:rPr>
          <w:rFonts w:hint="cs"/>
          <w:rtl/>
        </w:rPr>
        <w:t xml:space="preserve"> الاستثناء، وفسد العقد, كالبيع والإجارة والكتابة والرهن. فإذا باع جارية إلاّ حملها, أو آجر دارًا على</w:t>
      </w:r>
      <w:r>
        <w:rPr>
          <w:rStyle w:val="a7"/>
          <w:rtl/>
        </w:rPr>
        <w:footnoteReference w:id="4632"/>
      </w:r>
      <w:r>
        <w:rPr>
          <w:rFonts w:hint="cs"/>
          <w:rtl/>
        </w:rPr>
        <w:t xml:space="preserve"> جارية إلاّ حملها, أو كاتب عبده على جارية إلاّ حملها: فسد العقد؛ لأنها عقود تبطل بالشروط الفاسدة؛ لأنها</w:t>
      </w:r>
      <w:r>
        <w:rPr>
          <w:rFonts w:hint="cs"/>
          <w:vertAlign w:val="superscript"/>
          <w:rtl/>
        </w:rPr>
        <w:t>(</w:t>
      </w:r>
      <w:r>
        <w:rPr>
          <w:rStyle w:val="a7"/>
          <w:rtl/>
        </w:rPr>
        <w:footnoteReference w:id="4633"/>
      </w:r>
      <w:r>
        <w:rPr>
          <w:rFonts w:hint="cs"/>
          <w:vertAlign w:val="superscript"/>
          <w:rtl/>
        </w:rPr>
        <w:t>)</w:t>
      </w:r>
      <w:r>
        <w:rPr>
          <w:rFonts w:hint="cs"/>
          <w:rtl/>
        </w:rPr>
        <w:t xml:space="preserve"> من </w:t>
      </w:r>
      <w:r>
        <w:rPr>
          <w:rFonts w:hint="cs"/>
          <w:rtl/>
        </w:rPr>
        <w:lastRenderedPageBreak/>
        <w:t>المعاوضات, فتفسد</w:t>
      </w:r>
      <w:r>
        <w:rPr>
          <w:rStyle w:val="a7"/>
          <w:rtl/>
        </w:rPr>
        <w:footnoteReference w:id="4634"/>
      </w:r>
      <w:r>
        <w:rPr>
          <w:rFonts w:hint="cs"/>
          <w:rtl/>
        </w:rPr>
        <w:t xml:space="preserve"> بالشروط الفاسدة - كما تقرّر في المفصلات-</w:t>
      </w:r>
      <w:r>
        <w:rPr>
          <w:rFonts w:hint="cs"/>
          <w:vertAlign w:val="superscript"/>
          <w:rtl/>
        </w:rPr>
        <w:t>(</w:t>
      </w:r>
      <w:r>
        <w:rPr>
          <w:rStyle w:val="a7"/>
          <w:rtl/>
        </w:rPr>
        <w:footnoteReference w:id="4635"/>
      </w:r>
      <w:r>
        <w:rPr>
          <w:rFonts w:hint="cs"/>
          <w:vertAlign w:val="superscript"/>
          <w:rtl/>
        </w:rPr>
        <w:t>)</w:t>
      </w:r>
      <w:r>
        <w:rPr>
          <w:rFonts w:hint="cs"/>
          <w:rtl/>
        </w:rPr>
        <w:t xml:space="preserve">. </w:t>
      </w:r>
    </w:p>
    <w:p w:rsidR="003D5367" w:rsidRDefault="003D5367" w:rsidP="003D5367">
      <w:pPr>
        <w:ind w:left="989" w:hanging="422"/>
        <w:rPr>
          <w:rtl/>
        </w:rPr>
      </w:pPr>
      <w:r>
        <w:rPr>
          <w:rtl/>
        </w:rPr>
        <w:t>•</w:t>
      </w:r>
      <w:r>
        <w:rPr>
          <w:rFonts w:hint="cs"/>
          <w:rtl/>
        </w:rPr>
        <w:t xml:space="preserve">  وإن كان مماّّّ</w:t>
      </w:r>
      <w:r>
        <w:rPr>
          <w:rFonts w:hint="cs"/>
          <w:vertAlign w:val="superscript"/>
          <w:rtl/>
        </w:rPr>
        <w:t>(</w:t>
      </w:r>
      <w:r>
        <w:rPr>
          <w:rStyle w:val="a7"/>
          <w:rtl/>
        </w:rPr>
        <w:footnoteReference w:id="4636"/>
      </w:r>
      <w:r>
        <w:rPr>
          <w:rFonts w:hint="cs"/>
          <w:vertAlign w:val="superscript"/>
          <w:rtl/>
        </w:rPr>
        <w:t>)</w:t>
      </w:r>
      <w:r>
        <w:rPr>
          <w:rFonts w:hint="cs"/>
          <w:rtl/>
        </w:rPr>
        <w:t xml:space="preserve"> لا يفسد : بطل الاستثناء فقط, ولا يفسد العقد؛ كالهبة والصدقة والنكاح والخلع والصلح عن دم العمد, فإنها لا تبطل [بالشروط]</w:t>
      </w:r>
      <w:r>
        <w:rPr>
          <w:rStyle w:val="a7"/>
          <w:rtl/>
        </w:rPr>
        <w:footnoteReference w:id="4637"/>
      </w:r>
      <w:r>
        <w:rPr>
          <w:rFonts w:hint="cs"/>
          <w:rtl/>
        </w:rPr>
        <w:t xml:space="preserve"> الفاسدة</w:t>
      </w:r>
      <w:r>
        <w:rPr>
          <w:rStyle w:val="a7"/>
          <w:rtl/>
        </w:rPr>
        <w:footnoteReference w:id="4638"/>
      </w:r>
      <w:r>
        <w:rPr>
          <w:rFonts w:hint="cs"/>
          <w:rtl/>
        </w:rPr>
        <w:t>؛ لأنها ليست من المعاوضات؛ بل من التبرعات والإسقاطات</w:t>
      </w:r>
      <w:r>
        <w:rPr>
          <w:rFonts w:hint="cs"/>
          <w:vertAlign w:val="superscript"/>
          <w:rtl/>
        </w:rPr>
        <w:t>(</w:t>
      </w:r>
      <w:r>
        <w:rPr>
          <w:rStyle w:val="a7"/>
          <w:rtl/>
        </w:rPr>
        <w:footnoteReference w:id="4639"/>
      </w:r>
      <w:r>
        <w:rPr>
          <w:rFonts w:hint="cs"/>
          <w:vertAlign w:val="superscript"/>
          <w:rtl/>
        </w:rPr>
        <w:t>)</w:t>
      </w:r>
      <w:r>
        <w:rPr>
          <w:rFonts w:hint="cs"/>
          <w:rtl/>
        </w:rPr>
        <w:t>.</w:t>
      </w:r>
    </w:p>
    <w:p w:rsidR="003D5367" w:rsidRDefault="003D5367">
      <w:pPr>
        <w:spacing w:line="580" w:lineRule="exact"/>
        <w:rPr>
          <w:rtl/>
        </w:rPr>
      </w:pPr>
      <w:r>
        <w:rPr>
          <w:rFonts w:hint="cs"/>
          <w:b/>
          <w:bCs/>
          <w:rtl/>
        </w:rPr>
        <w:t xml:space="preserve">وخرج عن هذا الأصل : </w:t>
      </w:r>
      <w:r>
        <w:rPr>
          <w:rFonts w:hint="cs"/>
          <w:rtl/>
        </w:rPr>
        <w:t>لو أوصى بجاريته لرجل, واستثنى حملها- فإنه يصحّ, والحمل ميراث.</w:t>
      </w:r>
    </w:p>
    <w:p w:rsidR="003D5367" w:rsidRDefault="003D5367">
      <w:pPr>
        <w:spacing w:line="580" w:lineRule="exact"/>
        <w:rPr>
          <w:rtl/>
        </w:rPr>
      </w:pPr>
      <w:r>
        <w:rPr>
          <w:rFonts w:hint="cs"/>
          <w:b/>
          <w:bCs/>
          <w:rtl/>
        </w:rPr>
        <w:t>والجواب :</w:t>
      </w:r>
      <w:r>
        <w:rPr>
          <w:rFonts w:hint="cs"/>
          <w:rtl/>
        </w:rPr>
        <w:t xml:space="preserve"> أن الوصية أخت الميراث, والميراث ليس من العقود.</w:t>
      </w:r>
    </w:p>
    <w:p w:rsidR="003D5367" w:rsidRDefault="003D5367">
      <w:pPr>
        <w:spacing w:line="580" w:lineRule="exact"/>
        <w:rPr>
          <w:rtl/>
        </w:rPr>
      </w:pPr>
      <w:r>
        <w:rPr>
          <w:rFonts w:hint="cs"/>
          <w:rtl/>
        </w:rPr>
        <w:t>ألا يرى : أنه يصح قبول الموصى له بعد موت الموصي. ويدخل الموصى به في ملك ورثة الموصى له بدون القبول إذا مات</w:t>
      </w:r>
      <w:r>
        <w:rPr>
          <w:rStyle w:val="a7"/>
          <w:rtl/>
        </w:rPr>
        <w:footnoteReference w:id="4640"/>
      </w:r>
      <w:r>
        <w:rPr>
          <w:rFonts w:hint="cs"/>
          <w:rtl/>
        </w:rPr>
        <w:t xml:space="preserve"> الموصى له قبل القبول.</w:t>
      </w:r>
    </w:p>
    <w:p w:rsidR="003D5367" w:rsidRDefault="003D5367">
      <w:pPr>
        <w:spacing w:line="600" w:lineRule="exact"/>
        <w:rPr>
          <w:spacing w:val="-2"/>
          <w:rtl/>
        </w:rPr>
      </w:pPr>
      <w:r>
        <w:rPr>
          <w:rFonts w:hint="cs"/>
          <w:spacing w:val="-2"/>
          <w:rtl/>
        </w:rPr>
        <w:t>وهـذا الـجـواب بـعـينه : يكون جـوابًا فـيـما</w:t>
      </w:r>
      <w:r>
        <w:rPr>
          <w:rStyle w:val="a7"/>
          <w:spacing w:val="-2"/>
          <w:rtl/>
        </w:rPr>
        <w:footnoteReference w:id="4641"/>
      </w:r>
      <w:r>
        <w:rPr>
          <w:rFonts w:hint="cs"/>
          <w:spacing w:val="-2"/>
          <w:rtl/>
        </w:rPr>
        <w:t xml:space="preserve"> قـال البعض: بأن عدم صحة الاستثناء </w:t>
      </w:r>
      <w:r>
        <w:rPr>
          <w:rFonts w:hint="cs"/>
          <w:spacing w:val="-2"/>
          <w:rtl/>
        </w:rPr>
        <w:lastRenderedPageBreak/>
        <w:t>فيما لا يصح انفراده بالـعـقد يستـلزم صـحـة الاسـتثـناء فـيما يصح انفراده في العقد</w:t>
      </w:r>
      <w:r>
        <w:rPr>
          <w:rStyle w:val="a7"/>
          <w:spacing w:val="-2"/>
          <w:rtl/>
        </w:rPr>
        <w:footnoteReference w:id="4642"/>
      </w:r>
      <w:r>
        <w:rPr>
          <w:rFonts w:hint="cs"/>
          <w:spacing w:val="-2"/>
          <w:vertAlign w:val="superscript"/>
          <w:rtl/>
        </w:rPr>
        <w:t>(</w:t>
      </w:r>
      <w:r>
        <w:rPr>
          <w:rStyle w:val="a7"/>
          <w:spacing w:val="-2"/>
          <w:rtl/>
        </w:rPr>
        <w:footnoteReference w:id="4643"/>
      </w:r>
      <w:r>
        <w:rPr>
          <w:rFonts w:hint="cs"/>
          <w:spacing w:val="-2"/>
          <w:vertAlign w:val="superscript"/>
          <w:rtl/>
        </w:rPr>
        <w:t>)</w:t>
      </w:r>
      <w:r>
        <w:rPr>
          <w:rFonts w:hint="cs"/>
          <w:spacing w:val="-2"/>
          <w:rtl/>
        </w:rPr>
        <w:t>.</w:t>
      </w:r>
    </w:p>
    <w:p w:rsidR="003D5367" w:rsidRDefault="003D5367">
      <w:pPr>
        <w:rPr>
          <w:rtl/>
        </w:rPr>
      </w:pPr>
      <w:r>
        <w:rPr>
          <w:rFonts w:hint="cs"/>
          <w:b/>
          <w:bCs/>
          <w:rtl/>
        </w:rPr>
        <w:t>واعترض عليه :</w:t>
      </w:r>
      <w:r>
        <w:rPr>
          <w:rFonts w:hint="cs"/>
          <w:rtl/>
        </w:rPr>
        <w:t xml:space="preserve"> بأنه لو أوصـى بـخدمة الجارية لفلان, فالوصية يصح</w:t>
      </w:r>
      <w:r>
        <w:rPr>
          <w:rFonts w:hint="cs"/>
          <w:vertAlign w:val="superscript"/>
          <w:rtl/>
        </w:rPr>
        <w:t>(</w:t>
      </w:r>
      <w:r>
        <w:rPr>
          <w:rStyle w:val="a7"/>
          <w:rtl/>
        </w:rPr>
        <w:footnoteReference w:id="4644"/>
      </w:r>
      <w:r>
        <w:rPr>
          <w:rFonts w:hint="cs"/>
          <w:vertAlign w:val="superscript"/>
          <w:rtl/>
        </w:rPr>
        <w:t>)</w:t>
      </w:r>
      <w:r>
        <w:rPr>
          <w:rFonts w:hint="cs"/>
          <w:rtl/>
        </w:rPr>
        <w:t xml:space="preserve"> بانفراده ولم يصح استثناؤها.</w:t>
      </w:r>
    </w:p>
    <w:p w:rsidR="003D5367" w:rsidRDefault="003D5367">
      <w:pPr>
        <w:rPr>
          <w:rtl/>
        </w:rPr>
      </w:pPr>
      <w:r>
        <w:rPr>
          <w:rFonts w:hint="cs"/>
          <w:rtl/>
        </w:rPr>
        <w:t>فإذا قال : أوصيت بهذه الجارية إلا [خدمتها]</w:t>
      </w:r>
      <w:r>
        <w:rPr>
          <w:rStyle w:val="a7"/>
          <w:rtl/>
        </w:rPr>
        <w:footnoteReference w:id="4645"/>
      </w:r>
      <w:r>
        <w:rPr>
          <w:rFonts w:hint="cs"/>
          <w:rtl/>
        </w:rPr>
        <w:t>: [تصح]</w:t>
      </w:r>
      <w:r>
        <w:rPr>
          <w:rStyle w:val="a7"/>
          <w:rtl/>
        </w:rPr>
        <w:footnoteReference w:id="4646"/>
      </w:r>
      <w:r>
        <w:rPr>
          <w:rFonts w:hint="cs"/>
          <w:rtl/>
        </w:rPr>
        <w:t xml:space="preserve"> الوصية في الجارية, وبطل</w:t>
      </w:r>
      <w:r>
        <w:rPr>
          <w:rStyle w:val="a7"/>
          <w:rtl/>
        </w:rPr>
        <w:footnoteReference w:id="4647"/>
      </w:r>
      <w:r>
        <w:rPr>
          <w:rFonts w:hint="cs"/>
          <w:rtl/>
        </w:rPr>
        <w:t xml:space="preserve"> الاستثناء.</w:t>
      </w:r>
    </w:p>
    <w:p w:rsidR="003D5367" w:rsidRDefault="003D5367">
      <w:pPr>
        <w:rPr>
          <w:rtl/>
        </w:rPr>
      </w:pPr>
      <w:r>
        <w:rPr>
          <w:rFonts w:hint="cs"/>
          <w:b/>
          <w:bCs/>
          <w:rtl/>
        </w:rPr>
        <w:t>وقال البعض</w:t>
      </w:r>
      <w:r>
        <w:rPr>
          <w:rFonts w:hint="cs"/>
          <w:rtl/>
        </w:rPr>
        <w:t>: إن هذا العكس ليس بلازم</w:t>
      </w:r>
      <w:r>
        <w:rPr>
          <w:rStyle w:val="a7"/>
          <w:rtl/>
        </w:rPr>
        <w:footnoteReference w:id="4648"/>
      </w:r>
      <w:r>
        <w:rPr>
          <w:rFonts w:hint="cs"/>
          <w:rtl/>
        </w:rPr>
        <w:t>, فلا يحتاج إلى الجواب.</w:t>
      </w:r>
    </w:p>
    <w:p w:rsidR="003D5367" w:rsidRDefault="00035BE3" w:rsidP="00035BE3">
      <w:pPr>
        <w:tabs>
          <w:tab w:val="left" w:pos="1987"/>
        </w:tabs>
        <w:rPr>
          <w:rtl/>
        </w:rPr>
      </w:pPr>
      <w:r>
        <w:rPr>
          <w:rtl/>
        </w:rPr>
        <w:tab/>
      </w:r>
    </w:p>
    <w:p w:rsidR="003D5367" w:rsidRPr="007F7DD4"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0471F">
          <w:headerReference w:type="default" r:id="rId28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6C587C" w:rsidRDefault="003D5367">
      <w:pPr>
        <w:pStyle w:val="a9"/>
        <w:rPr>
          <w:rFonts w:cs="AL-Mateen"/>
          <w:rtl/>
          <w:lang w:val="en-US"/>
        </w:rPr>
      </w:pPr>
      <w:r w:rsidRPr="006C587C">
        <w:rPr>
          <w:rFonts w:cs="AL-Mateen" w:hint="cs"/>
          <w:rtl/>
          <w:lang w:val="en-US"/>
        </w:rPr>
        <w:lastRenderedPageBreak/>
        <w:t>[الـقـاعـدة الـخـامـسـة والـعـشـرون بـعـد الـمـائـتـيـن ]</w:t>
      </w:r>
    </w:p>
    <w:p w:rsidR="003D5367" w:rsidRDefault="003D5367">
      <w:pPr>
        <w:rPr>
          <w:rtl/>
        </w:rPr>
      </w:pPr>
      <w:r>
        <w:rPr>
          <w:rFonts w:cs="Monotype Koufi" w:hint="cs"/>
          <w:rtl/>
        </w:rPr>
        <w:t>الم</w:t>
      </w:r>
      <w:r>
        <w:rPr>
          <w:rFonts w:cs="Monotype Koufi" w:hint="cs"/>
          <w:rtl/>
          <w:lang w:bidi="ar-AE"/>
        </w:rPr>
        <w:t>ُ</w:t>
      </w:r>
      <w:r>
        <w:rPr>
          <w:rFonts w:cs="Monotype Koufi" w:hint="cs"/>
          <w:rtl/>
        </w:rPr>
        <w:t>بَاشِرُ ضَامِنٌ وإِنْ لَمْ يَتَعَمَّدْ, والمُسَبِّبُ لا إلاّ إذَا كَانَ مُتَعَمِّدًا</w:t>
      </w:r>
      <w:r>
        <w:rPr>
          <w:rFonts w:hint="cs"/>
          <w:vertAlign w:val="superscript"/>
          <w:rtl/>
        </w:rPr>
        <w:t>(</w:t>
      </w:r>
      <w:r>
        <w:rPr>
          <w:rStyle w:val="a7"/>
          <w:rtl/>
        </w:rPr>
        <w:footnoteReference w:id="4649"/>
      </w:r>
      <w:r>
        <w:rPr>
          <w:rFonts w:hint="cs"/>
          <w:vertAlign w:val="superscript"/>
          <w:rtl/>
        </w:rPr>
        <w:t>)</w:t>
      </w:r>
      <w:r>
        <w:rPr>
          <w:rFonts w:hint="cs"/>
          <w:rtl/>
        </w:rPr>
        <w:t>:</w:t>
      </w:r>
    </w:p>
    <w:p w:rsidR="003D5367" w:rsidRDefault="003D5367">
      <w:pPr>
        <w:rPr>
          <w:rtl/>
        </w:rPr>
      </w:pPr>
      <w:r>
        <w:rPr>
          <w:rFonts w:hint="cs"/>
          <w:rtl/>
        </w:rPr>
        <w:lastRenderedPageBreak/>
        <w:t>فإذا تزوج الرجل صغيرة و</w:t>
      </w:r>
      <w:r>
        <w:rPr>
          <w:rStyle w:val="a7"/>
          <w:rtl/>
        </w:rPr>
        <w:footnoteReference w:id="4650"/>
      </w:r>
      <w:r>
        <w:rPr>
          <w:rFonts w:hint="cs"/>
          <w:rtl/>
        </w:rPr>
        <w:t xml:space="preserve"> كبيرة, فأرضعت الكبيرة الصغيرة : حرمتا عليه؛ لأنه يصير جامعًا بين الأم والبنت رضاعًا, وذلك حرام, كالجمع بينهما نسبًا.</w:t>
      </w:r>
    </w:p>
    <w:p w:rsidR="003D5367" w:rsidRDefault="003D5367">
      <w:pPr>
        <w:rPr>
          <w:rtl/>
        </w:rPr>
      </w:pPr>
      <w:r>
        <w:rPr>
          <w:rFonts w:hint="cs"/>
          <w:rtl/>
        </w:rPr>
        <w:t>فإن كان لم يدخل بالكبيرة :فلا مهر لها, تعمدت الفساد أو لم [تَتَعَمَّدْ]</w:t>
      </w:r>
      <w:r>
        <w:rPr>
          <w:rStyle w:val="a7"/>
          <w:rtl/>
        </w:rPr>
        <w:footnoteReference w:id="4651"/>
      </w:r>
      <w:r>
        <w:rPr>
          <w:rFonts w:hint="cs"/>
          <w:rtl/>
        </w:rPr>
        <w:t>؛ لأنها باشرت بالفرقة قبل الدخول بالإرضاع.</w:t>
      </w:r>
    </w:p>
    <w:p w:rsidR="003D5367" w:rsidRDefault="003D5367">
      <w:pPr>
        <w:rPr>
          <w:rtl/>
        </w:rPr>
      </w:pPr>
      <w:r>
        <w:rPr>
          <w:rFonts w:hint="cs"/>
          <w:rtl/>
        </w:rPr>
        <w:t>وللصغيرة نصف المهر. ويرجع الزوج بما أدّى</w:t>
      </w:r>
      <w:r>
        <w:rPr>
          <w:rStyle w:val="a7"/>
          <w:rtl/>
        </w:rPr>
        <w:footnoteReference w:id="4652"/>
      </w:r>
      <w:r>
        <w:rPr>
          <w:rFonts w:hint="cs"/>
          <w:rtl/>
        </w:rPr>
        <w:t xml:space="preserve"> من نصف مهر الصغيرة على الكبيرة إن كانت تعمدت الفساد- بأن قصدت بالإرضاع: إفساد النكاح- وان لم [تتعمّد]</w:t>
      </w:r>
      <w:r>
        <w:rPr>
          <w:rStyle w:val="a7"/>
          <w:rtl/>
        </w:rPr>
        <w:footnoteReference w:id="4653"/>
      </w:r>
      <w:r>
        <w:rPr>
          <w:rFonts w:hint="cs"/>
          <w:rtl/>
        </w:rPr>
        <w:t xml:space="preserve"> - بأن قصدت دفع الهلاك عنها جوعًا- فلا شيء عليها وإن علمت</w:t>
      </w:r>
      <w:r>
        <w:rPr>
          <w:rStyle w:val="a7"/>
          <w:rtl/>
        </w:rPr>
        <w:footnoteReference w:id="4654"/>
      </w:r>
      <w:r>
        <w:rPr>
          <w:rFonts w:hint="cs"/>
          <w:rtl/>
        </w:rPr>
        <w:t xml:space="preserve"> أن الصغيرة امرأة زوجها</w:t>
      </w:r>
      <w:r>
        <w:rPr>
          <w:rStyle w:val="a7"/>
          <w:rtl/>
        </w:rPr>
        <w:footnoteReference w:id="4655"/>
      </w:r>
      <w:r>
        <w:rPr>
          <w:rFonts w:hint="cs"/>
          <w:rtl/>
        </w:rPr>
        <w:t>؛ لأنه لا [تكون]</w:t>
      </w:r>
      <w:r>
        <w:rPr>
          <w:rStyle w:val="a7"/>
          <w:rtl/>
        </w:rPr>
        <w:footnoteReference w:id="4656"/>
      </w:r>
      <w:r>
        <w:rPr>
          <w:rFonts w:hint="cs"/>
          <w:rtl/>
        </w:rPr>
        <w:t xml:space="preserve"> متعدية, فإنها مأمور[ة]</w:t>
      </w:r>
      <w:r>
        <w:rPr>
          <w:rStyle w:val="a7"/>
          <w:rtl/>
        </w:rPr>
        <w:footnoteReference w:id="4657"/>
      </w:r>
      <w:r>
        <w:rPr>
          <w:rFonts w:hint="cs"/>
          <w:rtl/>
        </w:rPr>
        <w:t xml:space="preserve"> بذلك :</w:t>
      </w:r>
    </w:p>
    <w:p w:rsidR="003D5367" w:rsidRDefault="003D5367">
      <w:pPr>
        <w:rPr>
          <w:rtl/>
        </w:rPr>
      </w:pPr>
      <w:r>
        <w:rPr>
          <w:rFonts w:hint="cs"/>
          <w:rtl/>
        </w:rPr>
        <w:lastRenderedPageBreak/>
        <w:t xml:space="preserve">قال النبي </w:t>
      </w:r>
      <w:r>
        <w:rPr>
          <w:rFonts w:ascii="AGA Arabesque" w:hAnsi="AGA Arabesque"/>
          <w:sz w:val="36"/>
        </w:rPr>
        <w:t></w:t>
      </w:r>
      <w:r>
        <w:rPr>
          <w:rFonts w:hint="cs"/>
          <w:rtl/>
        </w:rPr>
        <w:t xml:space="preserve"> : </w:t>
      </w:r>
      <w:r>
        <w:rPr>
          <w:rFonts w:hint="eastAsia"/>
          <w:rtl/>
        </w:rPr>
        <w:t>«</w:t>
      </w:r>
      <w:r>
        <w:rPr>
          <w:rFonts w:hint="cs"/>
          <w:rtl/>
        </w:rPr>
        <w:t xml:space="preserve"> </w:t>
      </w:r>
      <w:r>
        <w:rPr>
          <w:rFonts w:cs="DecoType Naskh" w:hint="cs"/>
          <w:sz w:val="36"/>
          <w:rtl/>
        </w:rPr>
        <w:t>أفضلُ الأعمالِ : إِشباعُ  كَبِدٍ جَائِعٍ</w:t>
      </w:r>
      <w:r>
        <w:rPr>
          <w:rFonts w:hint="cs"/>
          <w:sz w:val="36"/>
          <w:rtl/>
        </w:rPr>
        <w:t xml:space="preserve"> </w:t>
      </w:r>
      <w:r>
        <w:rPr>
          <w:rFonts w:hint="eastAsia"/>
          <w:rtl/>
        </w:rPr>
        <w:t>»</w:t>
      </w:r>
      <w:r>
        <w:rPr>
          <w:rFonts w:hint="cs"/>
          <w:vertAlign w:val="superscript"/>
          <w:rtl/>
        </w:rPr>
        <w:t>(</w:t>
      </w:r>
      <w:r>
        <w:rPr>
          <w:rStyle w:val="a7"/>
          <w:rtl/>
        </w:rPr>
        <w:footnoteReference w:id="4658"/>
      </w:r>
      <w:r>
        <w:rPr>
          <w:rFonts w:hint="cs"/>
          <w:vertAlign w:val="superscript"/>
          <w:rtl/>
        </w:rPr>
        <w:t>)</w:t>
      </w:r>
      <w:r>
        <w:rPr>
          <w:rFonts w:hint="cs"/>
          <w:rtl/>
        </w:rPr>
        <w:t>.</w:t>
      </w:r>
    </w:p>
    <w:p w:rsidR="003D5367" w:rsidRDefault="003D5367">
      <w:pPr>
        <w:rPr>
          <w:vertAlign w:val="superscript"/>
          <w:rtl/>
        </w:rPr>
      </w:pPr>
      <w:r>
        <w:rPr>
          <w:rFonts w:hint="cs"/>
          <w:rtl/>
        </w:rPr>
        <w:lastRenderedPageBreak/>
        <w:t>وعن محمد : أنه يرجع عليها في الوجهين جميعًا</w:t>
      </w:r>
      <w:r>
        <w:rPr>
          <w:rFonts w:hint="cs"/>
          <w:vertAlign w:val="superscript"/>
          <w:rtl/>
        </w:rPr>
        <w:t>(</w:t>
      </w:r>
      <w:r>
        <w:rPr>
          <w:rStyle w:val="a7"/>
          <w:rtl/>
        </w:rPr>
        <w:footnoteReference w:id="4659"/>
      </w:r>
      <w:r>
        <w:rPr>
          <w:rFonts w:hint="cs"/>
          <w:vertAlign w:val="superscript"/>
          <w:rtl/>
        </w:rPr>
        <w:t>)</w:t>
      </w:r>
      <w:r>
        <w:rPr>
          <w:rFonts w:hint="cs"/>
          <w:rtl/>
        </w:rPr>
        <w:t>؛ لأن من أصله : أن المسبب</w:t>
      </w:r>
      <w:r>
        <w:rPr>
          <w:rStyle w:val="a7"/>
          <w:rtl/>
        </w:rPr>
        <w:footnoteReference w:id="4660"/>
      </w:r>
      <w:r>
        <w:rPr>
          <w:rFonts w:hint="cs"/>
          <w:rtl/>
        </w:rPr>
        <w:t xml:space="preserve"> كالمباشر؛ ولهذا جَعَلَ فتح باب القفص والاصطبل, [وَحَلَّ]</w:t>
      </w:r>
      <w:r>
        <w:rPr>
          <w:rStyle w:val="a7"/>
          <w:rtl/>
        </w:rPr>
        <w:footnoteReference w:id="4661"/>
      </w:r>
      <w:r>
        <w:rPr>
          <w:rFonts w:hint="cs"/>
          <w:rtl/>
        </w:rPr>
        <w:t xml:space="preserve"> قيد</w:t>
      </w:r>
      <w:r>
        <w:rPr>
          <w:rStyle w:val="a7"/>
          <w:rtl/>
        </w:rPr>
        <w:footnoteReference w:id="4662"/>
      </w:r>
      <w:r>
        <w:rPr>
          <w:rFonts w:hint="cs"/>
          <w:rtl/>
        </w:rPr>
        <w:t xml:space="preserve"> الآبق موجبًا للضمان- على ما عرف في الأصول</w:t>
      </w:r>
      <w:r>
        <w:rPr>
          <w:rFonts w:hint="cs"/>
          <w:vertAlign w:val="superscript"/>
          <w:rtl/>
        </w:rPr>
        <w:t>(</w:t>
      </w:r>
      <w:r>
        <w:rPr>
          <w:rStyle w:val="a7"/>
          <w:rtl/>
        </w:rPr>
        <w:footnoteReference w:id="4663"/>
      </w:r>
      <w:r>
        <w:rPr>
          <w:rFonts w:hint="cs"/>
          <w:vertAlign w:val="superscript"/>
          <w:rtl/>
        </w:rPr>
        <w:t>)</w:t>
      </w:r>
      <w:r>
        <w:rPr>
          <w:rFonts w:hint="cs"/>
          <w:rtl/>
        </w:rPr>
        <w:t>-.</w:t>
      </w:r>
      <w:r>
        <w:rPr>
          <w:rFonts w:hint="cs"/>
          <w:vertAlign w:val="superscript"/>
          <w:rtl/>
        </w:rPr>
        <w:t xml:space="preserve">     </w:t>
      </w:r>
    </w:p>
    <w:p w:rsidR="003D5367" w:rsidRDefault="003D5367">
      <w:pPr>
        <w:rPr>
          <w:rtl/>
        </w:rPr>
      </w:pPr>
      <w:r>
        <w:rPr>
          <w:rFonts w:hint="cs"/>
          <w:rtl/>
        </w:rPr>
        <w:t>وفي المباشرة</w:t>
      </w:r>
      <w:r>
        <w:rPr>
          <w:rStyle w:val="a7"/>
          <w:rtl/>
        </w:rPr>
        <w:footnoteReference w:id="4664"/>
      </w:r>
      <w:r>
        <w:rPr>
          <w:rFonts w:hint="cs"/>
          <w:rtl/>
        </w:rPr>
        <w:t xml:space="preserve"> : المتعمد وغير المتعمد</w:t>
      </w:r>
      <w:r>
        <w:rPr>
          <w:rFonts w:hint="cs"/>
          <w:vertAlign w:val="superscript"/>
          <w:rtl/>
        </w:rPr>
        <w:t>(</w:t>
      </w:r>
      <w:r>
        <w:rPr>
          <w:rStyle w:val="a7"/>
          <w:rtl/>
        </w:rPr>
        <w:footnoteReference w:id="4665"/>
      </w:r>
      <w:r>
        <w:rPr>
          <w:rFonts w:hint="cs"/>
          <w:vertAlign w:val="superscript"/>
          <w:rtl/>
        </w:rPr>
        <w:t>)</w:t>
      </w:r>
      <w:r>
        <w:rPr>
          <w:rFonts w:hint="cs"/>
          <w:rtl/>
        </w:rPr>
        <w:t xml:space="preserve"> سواء فكذلك في التسبيب.</w:t>
      </w:r>
    </w:p>
    <w:p w:rsidR="003D5367" w:rsidRDefault="003D5367">
      <w:pPr>
        <w:rPr>
          <w:rtl/>
        </w:rPr>
      </w:pPr>
      <w:r>
        <w:rPr>
          <w:rFonts w:hint="cs"/>
          <w:b/>
          <w:bCs/>
          <w:rtl/>
        </w:rPr>
        <w:t>فإن قيل</w:t>
      </w:r>
      <w:r>
        <w:rPr>
          <w:rFonts w:hint="cs"/>
          <w:rtl/>
        </w:rPr>
        <w:t xml:space="preserve"> </w:t>
      </w:r>
      <w:r>
        <w:rPr>
          <w:rFonts w:hint="cs"/>
          <w:b/>
          <w:bCs/>
          <w:rtl/>
        </w:rPr>
        <w:t>:</w:t>
      </w:r>
      <w:r>
        <w:rPr>
          <w:rFonts w:hint="cs"/>
          <w:rtl/>
        </w:rPr>
        <w:t xml:space="preserve"> النكاح غير مضمون بالإتلاف؛ لكونه غير متقوّم في نفسه؛ لأنه ليس بملك عين, ولا منفعة على التحقيق؛ ولهذا لا يقدر على بيعه وهبته وإيجاره, وإنما هو ملك ضروري يظهر في حق الاستيفاء, فكيف يضمن ههنا؟!.</w:t>
      </w:r>
    </w:p>
    <w:p w:rsidR="003D5367" w:rsidRDefault="003D5367">
      <w:pPr>
        <w:rPr>
          <w:rtl/>
        </w:rPr>
      </w:pPr>
      <w:r>
        <w:rPr>
          <w:rFonts w:hint="cs"/>
          <w:b/>
          <w:bCs/>
          <w:rtl/>
        </w:rPr>
        <w:lastRenderedPageBreak/>
        <w:t>يقال</w:t>
      </w:r>
      <w:r>
        <w:rPr>
          <w:rFonts w:hint="cs"/>
          <w:rtl/>
        </w:rPr>
        <w:t xml:space="preserve"> </w:t>
      </w:r>
      <w:r>
        <w:rPr>
          <w:rFonts w:hint="cs"/>
          <w:b/>
          <w:bCs/>
          <w:rtl/>
        </w:rPr>
        <w:t>:</w:t>
      </w:r>
      <w:r>
        <w:rPr>
          <w:rFonts w:hint="cs"/>
          <w:rtl/>
        </w:rPr>
        <w:t xml:space="preserve"> إنّـها أكّـدت بالإرضـاع ما كـان عـلى شـرف</w:t>
      </w:r>
      <w:r>
        <w:rPr>
          <w:rStyle w:val="a7"/>
          <w:rtl/>
        </w:rPr>
        <w:footnoteReference w:id="4666"/>
      </w:r>
      <w:r>
        <w:rPr>
          <w:rFonts w:hint="cs"/>
          <w:rtl/>
        </w:rPr>
        <w:t xml:space="preserve"> السـقـوط</w:t>
      </w:r>
      <w:r>
        <w:rPr>
          <w:rStyle w:val="a7"/>
          <w:rtl/>
        </w:rPr>
        <w:footnoteReference w:id="4667"/>
      </w:r>
      <w:r>
        <w:rPr>
          <w:rFonts w:hint="cs"/>
          <w:rtl/>
        </w:rPr>
        <w:t xml:space="preserve"> (وهـو نـصـف الـمهر) بتـقـبيـل ابن الـزوج إذا بلغت حدّ الشهوة، و</w:t>
      </w:r>
      <w:r>
        <w:rPr>
          <w:rFonts w:hint="eastAsia"/>
          <w:rtl/>
        </w:rPr>
        <w:t>«</w:t>
      </w:r>
      <w:r>
        <w:rPr>
          <w:rFonts w:hint="cs"/>
          <w:rtl/>
        </w:rPr>
        <w:t>تأكيد ما كان في شرف السقوط يجرى مجرى الإتـلاف فـي إيـجـاب الضمان</w:t>
      </w:r>
      <w:r>
        <w:rPr>
          <w:rFonts w:hint="eastAsia"/>
          <w:rtl/>
        </w:rPr>
        <w:t>»</w:t>
      </w:r>
      <w:r>
        <w:rPr>
          <w:rFonts w:hint="cs"/>
          <w:rtl/>
        </w:rPr>
        <w:t xml:space="preserve"> -كما مرّ في باب التاء</w:t>
      </w:r>
      <w:r>
        <w:rPr>
          <w:rFonts w:hint="cs"/>
          <w:vertAlign w:val="superscript"/>
          <w:rtl/>
        </w:rPr>
        <w:t>(</w:t>
      </w:r>
      <w:r>
        <w:rPr>
          <w:rStyle w:val="a7"/>
          <w:rtl/>
        </w:rPr>
        <w:footnoteReference w:id="4668"/>
      </w:r>
      <w:r>
        <w:rPr>
          <w:rFonts w:hint="cs"/>
          <w:vertAlign w:val="superscript"/>
          <w:rtl/>
        </w:rPr>
        <w:t>)</w:t>
      </w:r>
      <w:r>
        <w:rPr>
          <w:rFonts w:hint="cs"/>
          <w:rtl/>
        </w:rPr>
        <w:t>-.</w:t>
      </w:r>
    </w:p>
    <w:p w:rsidR="003D5367" w:rsidRDefault="003D5367">
      <w:pPr>
        <w:rPr>
          <w:rtl/>
        </w:rPr>
      </w:pPr>
      <w:r>
        <w:rPr>
          <w:rFonts w:hint="cs"/>
          <w:b/>
          <w:bCs/>
          <w:rtl/>
        </w:rPr>
        <w:t>وإن قيل</w:t>
      </w:r>
      <w:r>
        <w:rPr>
          <w:rFonts w:hint="cs"/>
          <w:rtl/>
        </w:rPr>
        <w:t xml:space="preserve"> : العلة للفرقة : الارتضاع</w:t>
      </w:r>
      <w:r>
        <w:rPr>
          <w:rStyle w:val="a7"/>
          <w:rtl/>
        </w:rPr>
        <w:footnoteReference w:id="4669"/>
      </w:r>
      <w:r>
        <w:rPr>
          <w:rFonts w:hint="cs"/>
          <w:rtl/>
        </w:rPr>
        <w:t>, أي المصّ (وهي</w:t>
      </w:r>
      <w:r>
        <w:rPr>
          <w:rStyle w:val="a7"/>
          <w:rtl/>
        </w:rPr>
        <w:footnoteReference w:id="4670"/>
      </w:r>
      <w:r>
        <w:rPr>
          <w:rFonts w:hint="cs"/>
          <w:rtl/>
        </w:rPr>
        <w:t xml:space="preserve"> فعل الصغيرة) [فَلِمَ]</w:t>
      </w:r>
      <w:r>
        <w:rPr>
          <w:rStyle w:val="a7"/>
          <w:rtl/>
        </w:rPr>
        <w:footnoteReference w:id="4671"/>
      </w:r>
      <w:r>
        <w:rPr>
          <w:rFonts w:hint="cs"/>
          <w:rtl/>
        </w:rPr>
        <w:t xml:space="preserve"> لم يُضِفِ الفرقة إليها ؟!.</w:t>
      </w:r>
    </w:p>
    <w:p w:rsidR="003D5367" w:rsidRDefault="003D5367">
      <w:pPr>
        <w:rPr>
          <w:rtl/>
        </w:rPr>
      </w:pPr>
      <w:r>
        <w:rPr>
          <w:rFonts w:hint="cs"/>
          <w:b/>
          <w:bCs/>
          <w:rtl/>
        </w:rPr>
        <w:t>يقال :</w:t>
      </w:r>
      <w:r>
        <w:rPr>
          <w:rFonts w:hint="cs"/>
          <w:rtl/>
        </w:rPr>
        <w:t xml:space="preserve"> فعلها</w:t>
      </w:r>
      <w:r>
        <w:rPr>
          <w:rStyle w:val="a7"/>
          <w:rtl/>
        </w:rPr>
        <w:footnoteReference w:id="4672"/>
      </w:r>
      <w:r>
        <w:rPr>
          <w:rFonts w:hint="cs"/>
          <w:rtl/>
        </w:rPr>
        <w:t xml:space="preserve"> غير معتبرٍ شرعًا في إسقاط حقها.</w:t>
      </w:r>
    </w:p>
    <w:p w:rsidR="003D5367" w:rsidRDefault="003D5367">
      <w:pPr>
        <w:rPr>
          <w:rtl/>
        </w:rPr>
      </w:pPr>
      <w:r>
        <w:rPr>
          <w:rFonts w:hint="cs"/>
          <w:rtl/>
        </w:rPr>
        <w:t>ألا ترى</w:t>
      </w:r>
      <w:r>
        <w:rPr>
          <w:rStyle w:val="a7"/>
          <w:rtl/>
        </w:rPr>
        <w:footnoteReference w:id="4673"/>
      </w:r>
      <w:r>
        <w:rPr>
          <w:rFonts w:hint="cs"/>
          <w:rtl/>
        </w:rPr>
        <w:t xml:space="preserve"> أنها لو قتلت</w:t>
      </w:r>
      <w:r>
        <w:rPr>
          <w:rStyle w:val="a7"/>
          <w:rtl/>
        </w:rPr>
        <w:footnoteReference w:id="4674"/>
      </w:r>
      <w:r>
        <w:rPr>
          <w:rFonts w:hint="cs"/>
          <w:rtl/>
        </w:rPr>
        <w:t xml:space="preserve"> مُوَرِّثَها لم [تُحرَمْ]</w:t>
      </w:r>
      <w:r>
        <w:rPr>
          <w:rStyle w:val="a7"/>
          <w:rtl/>
        </w:rPr>
        <w:footnoteReference w:id="4675"/>
      </w:r>
      <w:r>
        <w:rPr>
          <w:rFonts w:hint="cs"/>
          <w:rtl/>
        </w:rPr>
        <w:t xml:space="preserve"> عن الميراث.</w:t>
      </w:r>
    </w:p>
    <w:p w:rsidR="003D5367" w:rsidRDefault="003D5367">
      <w:pPr>
        <w:rPr>
          <w:spacing w:val="-2"/>
          <w:rtl/>
        </w:rPr>
      </w:pPr>
      <w:r>
        <w:rPr>
          <w:rFonts w:hint="cs"/>
          <w:b/>
          <w:bCs/>
          <w:spacing w:val="-2"/>
          <w:rtl/>
        </w:rPr>
        <w:t>واعترض عليه</w:t>
      </w:r>
      <w:r>
        <w:rPr>
          <w:rFonts w:hint="cs"/>
          <w:spacing w:val="-2"/>
          <w:rtl/>
        </w:rPr>
        <w:t xml:space="preserve"> : بصغيرة مسلمة تحت مسلمٍ ارتدّ أبوها ولحق بها</w:t>
      </w:r>
      <w:r>
        <w:rPr>
          <w:rStyle w:val="a7"/>
          <w:spacing w:val="-2"/>
          <w:rtl/>
        </w:rPr>
        <w:footnoteReference w:id="4676"/>
      </w:r>
      <w:r>
        <w:rPr>
          <w:rFonts w:hint="cs"/>
          <w:spacing w:val="-2"/>
          <w:rtl/>
        </w:rPr>
        <w:t xml:space="preserve"> بدار الحرب : </w:t>
      </w:r>
      <w:r>
        <w:rPr>
          <w:rFonts w:hint="cs"/>
          <w:spacing w:val="-2"/>
          <w:rtl/>
        </w:rPr>
        <w:lastRenderedPageBreak/>
        <w:t>بانت من زوجها, ولا يقضى لها بشىء</w:t>
      </w:r>
      <w:r>
        <w:rPr>
          <w:rFonts w:hint="cs"/>
          <w:spacing w:val="-2"/>
          <w:vertAlign w:val="superscript"/>
          <w:rtl/>
        </w:rPr>
        <w:t>(</w:t>
      </w:r>
      <w:r>
        <w:rPr>
          <w:rStyle w:val="a7"/>
          <w:spacing w:val="-2"/>
          <w:rtl/>
        </w:rPr>
        <w:footnoteReference w:id="4677"/>
      </w:r>
      <w:r>
        <w:rPr>
          <w:rFonts w:hint="cs"/>
          <w:spacing w:val="-2"/>
          <w:vertAlign w:val="superscript"/>
          <w:rtl/>
        </w:rPr>
        <w:t>)</w:t>
      </w:r>
      <w:r>
        <w:rPr>
          <w:rFonts w:hint="cs"/>
          <w:spacing w:val="-2"/>
          <w:rtl/>
        </w:rPr>
        <w:t>, ولم يوجد الفعل منها!.</w:t>
      </w:r>
    </w:p>
    <w:p w:rsidR="003D5367" w:rsidRDefault="003D5367">
      <w:pPr>
        <w:rPr>
          <w:spacing w:val="-2"/>
          <w:rtl/>
        </w:rPr>
      </w:pPr>
      <w:r>
        <w:rPr>
          <w:rFonts w:hint="cs"/>
          <w:b/>
          <w:bCs/>
          <w:spacing w:val="-2"/>
          <w:rtl/>
        </w:rPr>
        <w:t>والجواب :</w:t>
      </w:r>
      <w:r>
        <w:rPr>
          <w:rFonts w:hint="cs"/>
          <w:spacing w:val="-2"/>
          <w:rtl/>
        </w:rPr>
        <w:t xml:space="preserve"> إنّا قد قلنا : كُلّما وقعت الفرقة بفعلٍ</w:t>
      </w:r>
      <w:r>
        <w:rPr>
          <w:rStyle w:val="a7"/>
          <w:spacing w:val="-2"/>
          <w:rtl/>
        </w:rPr>
        <w:footnoteReference w:id="4678"/>
      </w:r>
      <w:r>
        <w:rPr>
          <w:rFonts w:hint="cs"/>
          <w:spacing w:val="-2"/>
          <w:rtl/>
        </w:rPr>
        <w:t xml:space="preserve"> من جهتها [أسقطت حقها، ولم تلزم</w:t>
      </w:r>
      <w:r>
        <w:rPr>
          <w:rFonts w:hint="cs"/>
          <w:spacing w:val="-2"/>
          <w:vertAlign w:val="superscript"/>
          <w:rtl/>
        </w:rPr>
        <w:t>(</w:t>
      </w:r>
      <w:r>
        <w:rPr>
          <w:rStyle w:val="a7"/>
          <w:spacing w:val="-2"/>
          <w:rtl/>
        </w:rPr>
        <w:footnoteReference w:id="4679"/>
      </w:r>
      <w:r>
        <w:rPr>
          <w:rFonts w:hint="cs"/>
          <w:spacing w:val="-2"/>
          <w:vertAlign w:val="superscript"/>
          <w:rtl/>
        </w:rPr>
        <w:t>)</w:t>
      </w:r>
      <w:r>
        <w:rPr>
          <w:rFonts w:hint="cs"/>
          <w:spacing w:val="-2"/>
          <w:rtl/>
        </w:rPr>
        <w:t xml:space="preserve"> أنْ كلما لم يقع</w:t>
      </w:r>
      <w:r>
        <w:rPr>
          <w:rFonts w:hint="cs"/>
          <w:spacing w:val="-2"/>
          <w:vertAlign w:val="superscript"/>
          <w:rtl/>
        </w:rPr>
        <w:t>(</w:t>
      </w:r>
      <w:r>
        <w:rPr>
          <w:rStyle w:val="a7"/>
          <w:spacing w:val="-2"/>
          <w:rtl/>
        </w:rPr>
        <w:footnoteReference w:id="4680"/>
      </w:r>
      <w:r>
        <w:rPr>
          <w:rFonts w:hint="cs"/>
          <w:spacing w:val="-2"/>
          <w:vertAlign w:val="superscript"/>
          <w:rtl/>
        </w:rPr>
        <w:t>)</w:t>
      </w:r>
      <w:r>
        <w:rPr>
          <w:rFonts w:hint="cs"/>
          <w:spacing w:val="-2"/>
          <w:rtl/>
        </w:rPr>
        <w:t xml:space="preserve"> الفرقة بفعل من جهتها]</w:t>
      </w:r>
      <w:r>
        <w:rPr>
          <w:rStyle w:val="a7"/>
          <w:spacing w:val="-2"/>
          <w:rtl/>
        </w:rPr>
        <w:footnoteReference w:id="4681"/>
      </w:r>
      <w:r>
        <w:rPr>
          <w:rFonts w:hint="cs"/>
          <w:spacing w:val="-2"/>
          <w:rtl/>
        </w:rPr>
        <w:t xml:space="preserve"> لم يسقط حقها؛ لأنه إذا لحقها أمر أخرجها عن محليّة النكاح- كالرِّدَّةِ الحاصلة بتبعيَّة الأبوين- أسقط حقها.</w:t>
      </w:r>
    </w:p>
    <w:p w:rsidR="003D5367" w:rsidRDefault="003D5367">
      <w:pPr>
        <w:rPr>
          <w:rtl/>
        </w:rPr>
      </w:pPr>
      <w:r>
        <w:rPr>
          <w:rFonts w:hint="cs"/>
          <w:rtl/>
        </w:rPr>
        <w:t>والحاصل [أنّ]</w:t>
      </w:r>
      <w:r>
        <w:rPr>
          <w:rStyle w:val="a7"/>
          <w:rtl/>
        </w:rPr>
        <w:footnoteReference w:id="4682"/>
      </w:r>
      <w:r>
        <w:rPr>
          <w:rFonts w:hint="cs"/>
          <w:rtl/>
        </w:rPr>
        <w:t xml:space="preserve"> سقوطَ حقِّها لا يختصّ بوقوع الفرقة من جهتها؛ بل يسقط بسبب آخر, كما سقط به.</w:t>
      </w:r>
    </w:p>
    <w:p w:rsidR="003D5367" w:rsidRDefault="003D5367">
      <w:pPr>
        <w:rPr>
          <w:rtl/>
        </w:rPr>
      </w:pPr>
      <w:r>
        <w:rPr>
          <w:rFonts w:hint="cs"/>
          <w:rtl/>
        </w:rPr>
        <w:t xml:space="preserve"> كذا في (العناية)</w:t>
      </w:r>
      <w:r>
        <w:rPr>
          <w:rStyle w:val="a7"/>
          <w:rtl/>
        </w:rPr>
        <w:footnoteReference w:id="4683"/>
      </w:r>
      <w:r>
        <w:rPr>
          <w:rFonts w:hint="cs"/>
          <w:vertAlign w:val="superscript"/>
          <w:rtl/>
        </w:rPr>
        <w:t>(</w:t>
      </w:r>
      <w:r>
        <w:rPr>
          <w:rStyle w:val="a7"/>
          <w:rtl/>
        </w:rPr>
        <w:footnoteReference w:id="4684"/>
      </w:r>
      <w:r>
        <w:rPr>
          <w:rFonts w:hint="cs"/>
          <w:vertAlign w:val="superscript"/>
          <w:rtl/>
        </w:rPr>
        <w:t>)</w:t>
      </w:r>
      <w:r>
        <w:rPr>
          <w:rFonts w:hint="cs"/>
          <w:rtl/>
        </w:rPr>
        <w:t>.</w:t>
      </w:r>
    </w:p>
    <w:p w:rsidR="003D5367" w:rsidRDefault="003D5367">
      <w:pPr>
        <w:rPr>
          <w:rtl/>
        </w:rPr>
      </w:pPr>
    </w:p>
    <w:p w:rsidR="003D5367" w:rsidRDefault="003D5367">
      <w:pPr>
        <w:jc w:val="center"/>
        <w:rPr>
          <w:rtl/>
          <w:lang w:bidi="ar-AE"/>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0471F">
          <w:headerReference w:type="default" r:id="rId28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7F541E" w:rsidRDefault="003D5367">
      <w:pPr>
        <w:pStyle w:val="a9"/>
        <w:rPr>
          <w:rFonts w:cs="AL-Mateen"/>
          <w:rtl/>
          <w:lang w:val="en-US"/>
        </w:rPr>
      </w:pPr>
      <w:r w:rsidRPr="007F541E">
        <w:rPr>
          <w:rFonts w:cs="AL-Mateen" w:hint="cs"/>
          <w:rtl/>
          <w:lang w:val="en-US"/>
        </w:rPr>
        <w:lastRenderedPageBreak/>
        <w:t>[ الـقـاعـدة الـسـادسـة والـعـشـرون بـعـد الـمـائـتـيـن ]</w:t>
      </w:r>
    </w:p>
    <w:p w:rsidR="003D5367" w:rsidRDefault="003D5367">
      <w:pPr>
        <w:rPr>
          <w:rtl/>
        </w:rPr>
      </w:pPr>
      <w:r>
        <w:rPr>
          <w:rFonts w:cs="Monotype Koufi" w:hint="cs"/>
          <w:rtl/>
        </w:rPr>
        <w:t>المَظْلُومُ لاَ يَظْلِمُ غَيْرَهُ</w:t>
      </w:r>
      <w:r>
        <w:rPr>
          <w:rFonts w:hint="cs"/>
          <w:vertAlign w:val="superscript"/>
          <w:rtl/>
        </w:rPr>
        <w:t>(</w:t>
      </w:r>
      <w:r>
        <w:rPr>
          <w:rStyle w:val="a7"/>
          <w:rtl/>
        </w:rPr>
        <w:footnoteReference w:id="4685"/>
      </w:r>
      <w:r>
        <w:rPr>
          <w:rFonts w:hint="cs"/>
          <w:vertAlign w:val="superscript"/>
          <w:rtl/>
        </w:rPr>
        <w:t>)</w:t>
      </w:r>
      <w:r>
        <w:rPr>
          <w:rFonts w:hint="cs"/>
          <w:rtl/>
        </w:rPr>
        <w:t>:</w:t>
      </w:r>
    </w:p>
    <w:p w:rsidR="003D5367" w:rsidRDefault="003D5367">
      <w:pPr>
        <w:rPr>
          <w:rtl/>
        </w:rPr>
      </w:pPr>
      <w:r>
        <w:rPr>
          <w:rFonts w:hint="cs"/>
          <w:rtl/>
        </w:rPr>
        <w:t>فإذا دفع مصدِّقُ التوكيلِ</w:t>
      </w:r>
      <w:r>
        <w:rPr>
          <w:rFonts w:hint="cs"/>
          <w:vertAlign w:val="superscript"/>
          <w:rtl/>
        </w:rPr>
        <w:t>(</w:t>
      </w:r>
      <w:r>
        <w:rPr>
          <w:rStyle w:val="a7"/>
          <w:rtl/>
        </w:rPr>
        <w:footnoteReference w:id="4686"/>
      </w:r>
      <w:r>
        <w:rPr>
          <w:rFonts w:hint="cs"/>
          <w:vertAlign w:val="superscript"/>
          <w:rtl/>
        </w:rPr>
        <w:t>)</w:t>
      </w:r>
      <w:r>
        <w:rPr>
          <w:rFonts w:hint="cs"/>
          <w:rtl/>
        </w:rPr>
        <w:t xml:space="preserve"> الدينَ إلى الوكيل</w:t>
      </w:r>
      <w:r>
        <w:rPr>
          <w:rFonts w:hint="cs"/>
          <w:vertAlign w:val="superscript"/>
          <w:rtl/>
        </w:rPr>
        <w:t>(</w:t>
      </w:r>
      <w:r>
        <w:rPr>
          <w:rStyle w:val="a7"/>
          <w:rtl/>
        </w:rPr>
        <w:footnoteReference w:id="4687"/>
      </w:r>
      <w:r>
        <w:rPr>
          <w:rFonts w:hint="cs"/>
          <w:vertAlign w:val="superscript"/>
          <w:rtl/>
        </w:rPr>
        <w:t>)</w:t>
      </w:r>
      <w:r>
        <w:rPr>
          <w:rFonts w:hint="cs"/>
          <w:rtl/>
        </w:rPr>
        <w:t>, ثم حضر الدائن, وأنكر الوكالة : دفع إليه ثانيًا؛ [إذْ]</w:t>
      </w:r>
      <w:r>
        <w:rPr>
          <w:rStyle w:val="a7"/>
          <w:rtl/>
        </w:rPr>
        <w:footnoteReference w:id="4688"/>
      </w:r>
      <w:r>
        <w:rPr>
          <w:rFonts w:hint="cs"/>
          <w:rtl/>
        </w:rPr>
        <w:t xml:space="preserve"> لم يثبت الاستيفاء؛ لإنكاره الوكالة.</w:t>
      </w:r>
    </w:p>
    <w:p w:rsidR="003D5367" w:rsidRDefault="003D5367">
      <w:pPr>
        <w:rPr>
          <w:rtl/>
        </w:rPr>
      </w:pPr>
      <w:r>
        <w:rPr>
          <w:rFonts w:hint="cs"/>
          <w:rtl/>
        </w:rPr>
        <w:t>والقول فيه قوله مع يمينه, فيفسد الأداء ولم يرجع الدافع بما دفع على الوكيل إن كان ما قبض الوكيل قد هلك في يده؛ لأنه بتصديقه : اعترف</w:t>
      </w:r>
      <w:r>
        <w:rPr>
          <w:rStyle w:val="a7"/>
          <w:rtl/>
        </w:rPr>
        <w:footnoteReference w:id="4689"/>
      </w:r>
      <w:r>
        <w:rPr>
          <w:rFonts w:hint="cs"/>
          <w:rtl/>
        </w:rPr>
        <w:t xml:space="preserve"> بأن الوكيل مُحِقٌّ في </w:t>
      </w:r>
      <w:r>
        <w:rPr>
          <w:rFonts w:hint="cs"/>
          <w:rtl/>
        </w:rPr>
        <w:lastRenderedPageBreak/>
        <w:t>القبض, فبذلك كان معترفًا بأنّ ما أخذ الدائن [منه]</w:t>
      </w:r>
      <w:r>
        <w:rPr>
          <w:rStyle w:val="a7"/>
          <w:rtl/>
        </w:rPr>
        <w:footnoteReference w:id="4690"/>
      </w:r>
      <w:r>
        <w:rPr>
          <w:rFonts w:hint="cs"/>
          <w:rtl/>
        </w:rPr>
        <w:t xml:space="preserve"> ثانيًا ظلمٌ</w:t>
      </w:r>
      <w:r>
        <w:rPr>
          <w:rStyle w:val="a7"/>
          <w:rtl/>
        </w:rPr>
        <w:footnoteReference w:id="4691"/>
      </w:r>
      <w:r>
        <w:rPr>
          <w:rFonts w:hint="cs"/>
          <w:rtl/>
        </w:rPr>
        <w:t xml:space="preserve"> فكان به مظلومًا, فلا يظلم غيره</w:t>
      </w:r>
      <w:r>
        <w:rPr>
          <w:rFonts w:hint="cs"/>
          <w:vertAlign w:val="superscript"/>
          <w:rtl/>
        </w:rPr>
        <w:t>(</w:t>
      </w:r>
      <w:r>
        <w:rPr>
          <w:rStyle w:val="a7"/>
          <w:rtl/>
        </w:rPr>
        <w:footnoteReference w:id="4692"/>
      </w:r>
      <w:r>
        <w:rPr>
          <w:rFonts w:hint="cs"/>
          <w:vertAlign w:val="superscript"/>
          <w:rtl/>
        </w:rPr>
        <w:t>)</w:t>
      </w:r>
      <w:r>
        <w:rPr>
          <w:rFonts w:hint="cs"/>
          <w:rtl/>
        </w:rPr>
        <w:t xml:space="preserve">. </w:t>
      </w:r>
    </w:p>
    <w:p w:rsidR="003D5367" w:rsidRDefault="003D5367">
      <w:pPr>
        <w:rPr>
          <w:rtl/>
        </w:rPr>
      </w:pPr>
      <w:r>
        <w:rPr>
          <w:rFonts w:hint="cs"/>
          <w:b/>
          <w:bCs/>
          <w:rtl/>
        </w:rPr>
        <w:t>وخرج</w:t>
      </w:r>
      <w:r>
        <w:rPr>
          <w:rFonts w:hint="cs"/>
          <w:rtl/>
        </w:rPr>
        <w:t xml:space="preserve"> عن هذا الأصل : ما إذا أنكر الكفالة بالأمر, وأثبته الخصم بالبينة: يضمن ويرجع بما أدّى على الأصل</w:t>
      </w:r>
      <w:r>
        <w:rPr>
          <w:rStyle w:val="a7"/>
          <w:rtl/>
        </w:rPr>
        <w:footnoteReference w:id="4693"/>
      </w:r>
      <w:r>
        <w:rPr>
          <w:rFonts w:hint="cs"/>
          <w:rtl/>
        </w:rPr>
        <w:t>, مع أنّ الكفيل لـمّا أنكر الكفالة فقد زعم أن الطالب قد ظلمه، فكيف</w:t>
      </w:r>
      <w:r>
        <w:rPr>
          <w:rStyle w:val="a7"/>
          <w:rtl/>
        </w:rPr>
        <w:footnoteReference w:id="4694"/>
      </w:r>
      <w:r>
        <w:rPr>
          <w:rFonts w:hint="cs"/>
          <w:rtl/>
        </w:rPr>
        <w:t xml:space="preserve"> يظلم غيره ؟.</w:t>
      </w:r>
    </w:p>
    <w:p w:rsidR="003D5367" w:rsidRDefault="003D5367">
      <w:pPr>
        <w:rPr>
          <w:rtl/>
        </w:rPr>
      </w:pPr>
      <w:r>
        <w:rPr>
          <w:rFonts w:hint="cs"/>
          <w:b/>
          <w:bCs/>
          <w:rtl/>
        </w:rPr>
        <w:t>والجواب</w:t>
      </w:r>
      <w:r>
        <w:rPr>
          <w:rFonts w:hint="cs"/>
          <w:rtl/>
        </w:rPr>
        <w:t xml:space="preserve"> : لماّ قضى القاضي عليه صار مكذَّبًا شرعًا, فبطل ما زعمه- كما مرّ تفصيله في باب الثاء</w:t>
      </w:r>
      <w:r>
        <w:rPr>
          <w:rFonts w:hint="cs"/>
          <w:vertAlign w:val="superscript"/>
          <w:rtl/>
        </w:rPr>
        <w:t>(</w:t>
      </w:r>
      <w:r>
        <w:rPr>
          <w:rStyle w:val="a7"/>
          <w:rtl/>
        </w:rPr>
        <w:footnoteReference w:id="4695"/>
      </w:r>
      <w:r>
        <w:rPr>
          <w:rFonts w:hint="cs"/>
          <w:vertAlign w:val="superscript"/>
          <w:rtl/>
        </w:rPr>
        <w:t>)</w:t>
      </w:r>
      <w:r>
        <w:rPr>
          <w:rFonts w:hint="cs"/>
          <w:rtl/>
        </w:rPr>
        <w:t>-.</w:t>
      </w:r>
    </w:p>
    <w:p w:rsidR="003D5367" w:rsidRDefault="003D5367">
      <w:pPr>
        <w:rPr>
          <w:rtl/>
        </w:rPr>
      </w:pPr>
    </w:p>
    <w:p w:rsidR="003D5367" w:rsidRDefault="003D5367">
      <w:pPr>
        <w:rPr>
          <w:rtl/>
        </w:rPr>
      </w:pPr>
    </w:p>
    <w:p w:rsidR="003D5367"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0471F">
          <w:headerReference w:type="default" r:id="rId28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1B6CC5" w:rsidRDefault="003D5367">
      <w:pPr>
        <w:pStyle w:val="a9"/>
        <w:rPr>
          <w:rFonts w:cs="AL-Mateen"/>
          <w:rtl/>
          <w:lang w:val="en-US"/>
        </w:rPr>
      </w:pPr>
      <w:r w:rsidRPr="001B6CC5">
        <w:rPr>
          <w:rFonts w:cs="AL-Mateen" w:hint="cs"/>
          <w:rtl/>
          <w:lang w:val="en-US"/>
        </w:rPr>
        <w:lastRenderedPageBreak/>
        <w:t>[ الـقـاعـدة الـسـابـعـة والـعـشـرون بـعـد الـمـائـتـيـن ]</w:t>
      </w:r>
    </w:p>
    <w:p w:rsidR="003D5367" w:rsidRDefault="003D5367">
      <w:pPr>
        <w:rPr>
          <w:rtl/>
        </w:rPr>
      </w:pPr>
      <w:r>
        <w:rPr>
          <w:rFonts w:cs="Monotype Koufi" w:hint="cs"/>
          <w:rtl/>
        </w:rPr>
        <w:t>المَعْرِفَةُ لاَ تَدْخُلُ</w:t>
      </w:r>
      <w:r>
        <w:rPr>
          <w:rStyle w:val="a7"/>
          <w:rtl/>
        </w:rPr>
        <w:footnoteReference w:id="4696"/>
      </w:r>
      <w:r>
        <w:rPr>
          <w:rFonts w:hint="cs"/>
          <w:rtl/>
        </w:rPr>
        <w:t xml:space="preserve"> </w:t>
      </w:r>
      <w:r>
        <w:rPr>
          <w:rFonts w:cs="Monotype Koufi" w:hint="cs"/>
          <w:rtl/>
        </w:rPr>
        <w:t>تَحْتَ النَّكِرَةِ فِي الأَيْمَانِ</w:t>
      </w:r>
      <w:r>
        <w:rPr>
          <w:rStyle w:val="a7"/>
          <w:rtl/>
        </w:rPr>
        <w:footnoteReference w:id="4697"/>
      </w:r>
      <w:r>
        <w:rPr>
          <w:rFonts w:hint="cs"/>
          <w:rtl/>
        </w:rPr>
        <w:t xml:space="preserve"> </w:t>
      </w:r>
      <w:r>
        <w:rPr>
          <w:rFonts w:cs="Monotype Koufi" w:hint="cs"/>
          <w:rtl/>
        </w:rPr>
        <w:t>إلاَّ مَعْرِفَةً فِي</w:t>
      </w:r>
      <w:r>
        <w:rPr>
          <w:rStyle w:val="a7"/>
          <w:rtl/>
        </w:rPr>
        <w:footnoteReference w:id="4698"/>
      </w:r>
      <w:r>
        <w:rPr>
          <w:rFonts w:hint="cs"/>
          <w:rtl/>
        </w:rPr>
        <w:t xml:space="preserve"> </w:t>
      </w:r>
      <w:r>
        <w:rPr>
          <w:rFonts w:cs="Monotype Koufi" w:hint="cs"/>
          <w:rtl/>
        </w:rPr>
        <w:t>الجَزَاءِ</w:t>
      </w:r>
      <w:r>
        <w:rPr>
          <w:rFonts w:hint="cs"/>
          <w:vertAlign w:val="superscript"/>
          <w:rtl/>
        </w:rPr>
        <w:t>(</w:t>
      </w:r>
      <w:r>
        <w:rPr>
          <w:rStyle w:val="a7"/>
          <w:rtl/>
        </w:rPr>
        <w:footnoteReference w:id="4699"/>
      </w:r>
      <w:r>
        <w:rPr>
          <w:rFonts w:hint="cs"/>
          <w:vertAlign w:val="superscript"/>
          <w:rtl/>
        </w:rPr>
        <w:t>)</w:t>
      </w:r>
      <w:r>
        <w:rPr>
          <w:rFonts w:hint="cs"/>
          <w:rtl/>
        </w:rPr>
        <w:t>:</w:t>
      </w:r>
    </w:p>
    <w:p w:rsidR="003D5367" w:rsidRDefault="003D5367">
      <w:pPr>
        <w:rPr>
          <w:rtl/>
        </w:rPr>
      </w:pPr>
      <w:r>
        <w:rPr>
          <w:rFonts w:hint="cs"/>
          <w:b/>
          <w:bCs/>
          <w:rtl/>
        </w:rPr>
        <w:lastRenderedPageBreak/>
        <w:t>فإذا</w:t>
      </w:r>
      <w:r>
        <w:rPr>
          <w:rFonts w:hint="cs"/>
          <w:rtl/>
        </w:rPr>
        <w:t xml:space="preserve"> </w:t>
      </w:r>
      <w:r>
        <w:rPr>
          <w:rFonts w:hint="eastAsia"/>
          <w:rtl/>
        </w:rPr>
        <w:t>«</w:t>
      </w:r>
      <w:r>
        <w:rPr>
          <w:rFonts w:hint="cs"/>
          <w:rtl/>
        </w:rPr>
        <w:t xml:space="preserve"> قال : إن دخل</w:t>
      </w:r>
      <w:r>
        <w:rPr>
          <w:rStyle w:val="a7"/>
          <w:rtl/>
        </w:rPr>
        <w:footnoteReference w:id="4700"/>
      </w:r>
      <w:r>
        <w:rPr>
          <w:rFonts w:hint="cs"/>
          <w:rtl/>
        </w:rPr>
        <w:t xml:space="preserve"> داري هذه أحد, أو</w:t>
      </w:r>
      <w:r>
        <w:rPr>
          <w:rStyle w:val="a7"/>
          <w:rtl/>
        </w:rPr>
        <w:footnoteReference w:id="4701"/>
      </w:r>
      <w:r>
        <w:rPr>
          <w:rFonts w:hint="cs"/>
          <w:rtl/>
        </w:rPr>
        <w:t xml:space="preserve"> كلّم غلامي</w:t>
      </w:r>
      <w:r>
        <w:rPr>
          <w:rStyle w:val="a7"/>
          <w:rtl/>
        </w:rPr>
        <w:footnoteReference w:id="4702"/>
      </w:r>
      <w:r>
        <w:rPr>
          <w:rFonts w:hint="cs"/>
          <w:rtl/>
        </w:rPr>
        <w:t xml:space="preserve"> هذا, أو [ابني]</w:t>
      </w:r>
      <w:r>
        <w:rPr>
          <w:rStyle w:val="a7"/>
          <w:rtl/>
        </w:rPr>
        <w:footnoteReference w:id="4703"/>
      </w:r>
      <w:r>
        <w:rPr>
          <w:rFonts w:hint="cs"/>
          <w:rtl/>
        </w:rPr>
        <w:t xml:space="preserve"> هذا, أو أضاف إلى غيره</w:t>
      </w:r>
      <w:r>
        <w:rPr>
          <w:rFonts w:hint="eastAsia"/>
          <w:rtl/>
        </w:rPr>
        <w:t>»</w:t>
      </w:r>
      <w:r>
        <w:rPr>
          <w:rFonts w:hint="cs"/>
          <w:vertAlign w:val="superscript"/>
          <w:rtl/>
        </w:rPr>
        <w:t>(</w:t>
      </w:r>
      <w:r>
        <w:rPr>
          <w:rStyle w:val="a7"/>
          <w:rtl/>
        </w:rPr>
        <w:footnoteReference w:id="4704"/>
      </w:r>
      <w:r>
        <w:rPr>
          <w:rFonts w:hint="cs"/>
          <w:vertAlign w:val="superscript"/>
          <w:rtl/>
        </w:rPr>
        <w:t>)</w:t>
      </w:r>
      <w:r>
        <w:rPr>
          <w:rFonts w:hint="cs"/>
          <w:rtl/>
        </w:rPr>
        <w:t>، مثل أن يقول : إن دخل دار زيد أحد - لا يدخل المالك لتعريفه بالنسبة, ووقوعه في حيز الشرط</w:t>
      </w:r>
      <w:r>
        <w:rPr>
          <w:rFonts w:hint="cs"/>
          <w:vertAlign w:val="superscript"/>
          <w:rtl/>
        </w:rPr>
        <w:t>(</w:t>
      </w:r>
      <w:r>
        <w:rPr>
          <w:rStyle w:val="a7"/>
          <w:rtl/>
        </w:rPr>
        <w:footnoteReference w:id="4705"/>
      </w:r>
      <w:r>
        <w:rPr>
          <w:rFonts w:hint="cs"/>
          <w:vertAlign w:val="superscript"/>
          <w:rtl/>
        </w:rPr>
        <w:t>)</w:t>
      </w:r>
      <w:r>
        <w:rPr>
          <w:rFonts w:hint="cs"/>
          <w:rtl/>
        </w:rPr>
        <w:t xml:space="preserve"> .</w:t>
      </w:r>
    </w:p>
    <w:p w:rsidR="003D5367" w:rsidRDefault="003D5367">
      <w:pPr>
        <w:rPr>
          <w:spacing w:val="-6"/>
          <w:rtl/>
        </w:rPr>
      </w:pPr>
      <w:r>
        <w:rPr>
          <w:rFonts w:hint="cs"/>
          <w:spacing w:val="-6"/>
          <w:rtl/>
        </w:rPr>
        <w:t>أما</w:t>
      </w:r>
      <w:r>
        <w:rPr>
          <w:rStyle w:val="a7"/>
          <w:spacing w:val="-6"/>
          <w:rtl/>
        </w:rPr>
        <w:footnoteReference w:id="4706"/>
      </w:r>
      <w:r>
        <w:rPr>
          <w:rFonts w:hint="cs"/>
          <w:spacing w:val="-6"/>
          <w:rtl/>
        </w:rPr>
        <w:t xml:space="preserve"> إذا وقعت المعرفة في حيّز الجزاء : يدخل</w:t>
      </w:r>
      <w:r>
        <w:rPr>
          <w:rFonts w:hint="cs"/>
          <w:spacing w:val="-6"/>
          <w:vertAlign w:val="superscript"/>
          <w:rtl/>
        </w:rPr>
        <w:t>(</w:t>
      </w:r>
      <w:r>
        <w:rPr>
          <w:rStyle w:val="a7"/>
          <w:spacing w:val="-6"/>
          <w:rtl/>
        </w:rPr>
        <w:footnoteReference w:id="4707"/>
      </w:r>
      <w:r>
        <w:rPr>
          <w:rFonts w:hint="cs"/>
          <w:spacing w:val="-6"/>
          <w:vertAlign w:val="superscript"/>
          <w:rtl/>
        </w:rPr>
        <w:t>)</w:t>
      </w:r>
      <w:r>
        <w:rPr>
          <w:rFonts w:hint="cs"/>
          <w:spacing w:val="-6"/>
          <w:rtl/>
        </w:rPr>
        <w:t xml:space="preserve"> تحت النكرة, فإذا قال : إن دخل</w:t>
      </w:r>
      <w:r>
        <w:rPr>
          <w:rStyle w:val="a7"/>
          <w:spacing w:val="-6"/>
          <w:rtl/>
        </w:rPr>
        <w:footnoteReference w:id="4708"/>
      </w:r>
      <w:r>
        <w:rPr>
          <w:rFonts w:hint="cs"/>
          <w:spacing w:val="-6"/>
          <w:rtl/>
        </w:rPr>
        <w:t xml:space="preserve"> الدار فعبيده أحرار. وليس له عبد سوى زيد : يدخل [تحت]</w:t>
      </w:r>
      <w:r>
        <w:rPr>
          <w:rStyle w:val="a7"/>
          <w:spacing w:val="-6"/>
          <w:rtl/>
        </w:rPr>
        <w:footnoteReference w:id="4709"/>
      </w:r>
      <w:r>
        <w:rPr>
          <w:rFonts w:hint="cs"/>
          <w:spacing w:val="-6"/>
          <w:rtl/>
        </w:rPr>
        <w:t xml:space="preserve"> النكرة ويعتق</w:t>
      </w:r>
      <w:r>
        <w:rPr>
          <w:rFonts w:hint="cs"/>
          <w:spacing w:val="-6"/>
          <w:vertAlign w:val="superscript"/>
          <w:rtl/>
        </w:rPr>
        <w:t>(</w:t>
      </w:r>
      <w:r>
        <w:rPr>
          <w:rStyle w:val="a7"/>
          <w:spacing w:val="-6"/>
          <w:rtl/>
        </w:rPr>
        <w:footnoteReference w:id="4710"/>
      </w:r>
      <w:r>
        <w:rPr>
          <w:rFonts w:hint="cs"/>
          <w:spacing w:val="-6"/>
          <w:vertAlign w:val="superscript"/>
          <w:rtl/>
        </w:rPr>
        <w:t>)</w:t>
      </w:r>
      <w:r>
        <w:rPr>
          <w:rFonts w:hint="cs"/>
          <w:spacing w:val="-6"/>
          <w:rtl/>
        </w:rPr>
        <w:t>.</w:t>
      </w:r>
    </w:p>
    <w:p w:rsidR="003D5367" w:rsidRDefault="003D5367">
      <w:pPr>
        <w:rPr>
          <w:rtl/>
        </w:rPr>
      </w:pPr>
      <w:r>
        <w:rPr>
          <w:rFonts w:hint="cs"/>
          <w:b/>
          <w:bCs/>
          <w:rtl/>
        </w:rPr>
        <w:lastRenderedPageBreak/>
        <w:t>وكذا</w:t>
      </w:r>
      <w:r>
        <w:rPr>
          <w:rFonts w:hint="cs"/>
          <w:rtl/>
        </w:rPr>
        <w:t xml:space="preserve"> : إذا لم يُضِفْ</w:t>
      </w:r>
      <w:r>
        <w:rPr>
          <w:rFonts w:hint="cs"/>
          <w:vertAlign w:val="superscript"/>
          <w:rtl/>
        </w:rPr>
        <w:t>(</w:t>
      </w:r>
      <w:r>
        <w:rPr>
          <w:rStyle w:val="a7"/>
          <w:rtl/>
        </w:rPr>
        <w:footnoteReference w:id="4711"/>
      </w:r>
      <w:r>
        <w:rPr>
          <w:rFonts w:hint="cs"/>
          <w:vertAlign w:val="superscript"/>
          <w:rtl/>
        </w:rPr>
        <w:t>)</w:t>
      </w:r>
      <w:r>
        <w:rPr>
          <w:rFonts w:hint="cs"/>
          <w:rtl/>
        </w:rPr>
        <w:t xml:space="preserve"> مثل أن يقول : إن دخل دارًا</w:t>
      </w:r>
      <w:r>
        <w:rPr>
          <w:rStyle w:val="a7"/>
          <w:rtl/>
        </w:rPr>
        <w:footnoteReference w:id="4712"/>
      </w:r>
      <w:r>
        <w:rPr>
          <w:rFonts w:hint="cs"/>
          <w:rtl/>
        </w:rPr>
        <w:t xml:space="preserve"> أحد فعليّ كذ[ا]</w:t>
      </w:r>
      <w:r>
        <w:rPr>
          <w:rStyle w:val="a7"/>
          <w:rtl/>
        </w:rPr>
        <w:footnoteReference w:id="4713"/>
      </w:r>
      <w:r>
        <w:rPr>
          <w:rFonts w:hint="cs"/>
          <w:rtl/>
        </w:rPr>
        <w:t>. ودخل المالك : يحنث؛ لأنه لتنكيره يدخل</w:t>
      </w:r>
      <w:r>
        <w:rPr>
          <w:rFonts w:hint="cs"/>
          <w:vertAlign w:val="superscript"/>
          <w:rtl/>
        </w:rPr>
        <w:t>(</w:t>
      </w:r>
      <w:r>
        <w:rPr>
          <w:rStyle w:val="a7"/>
          <w:rtl/>
        </w:rPr>
        <w:footnoteReference w:id="4714"/>
      </w:r>
      <w:r>
        <w:rPr>
          <w:rFonts w:hint="cs"/>
          <w:vertAlign w:val="superscript"/>
          <w:rtl/>
        </w:rPr>
        <w:t>)</w:t>
      </w:r>
      <w:r>
        <w:rPr>
          <w:rFonts w:hint="cs"/>
          <w:rtl/>
        </w:rPr>
        <w:t xml:space="preserve"> تحت النكرة. إلا في الأجزاء، كاليد </w:t>
      </w:r>
      <w:r>
        <w:rPr>
          <w:rFonts w:hint="cs"/>
          <w:rtl/>
        </w:rPr>
        <w:lastRenderedPageBreak/>
        <w:t>والرأس, فإذا قال : إن قبَّل أحدٌ من [غلماني]</w:t>
      </w:r>
      <w:r>
        <w:rPr>
          <w:rStyle w:val="a7"/>
          <w:rtl/>
        </w:rPr>
        <w:footnoteReference w:id="4715"/>
      </w:r>
      <w:r>
        <w:rPr>
          <w:rFonts w:hint="cs"/>
          <w:rtl/>
        </w:rPr>
        <w:t xml:space="preserve"> يدًا : لا يحنثُ  بتقبيل أحد منهم يد نفسه؛ للاتصال</w:t>
      </w:r>
      <w:r>
        <w:rPr>
          <w:rFonts w:hint="cs"/>
          <w:vertAlign w:val="superscript"/>
          <w:rtl/>
        </w:rPr>
        <w:t>(</w:t>
      </w:r>
      <w:r>
        <w:rPr>
          <w:rStyle w:val="a7"/>
          <w:rtl/>
        </w:rPr>
        <w:footnoteReference w:id="4716"/>
      </w:r>
      <w:r>
        <w:rPr>
          <w:rFonts w:hint="cs"/>
          <w:vertAlign w:val="superscript"/>
          <w:rtl/>
        </w:rPr>
        <w:t>)</w:t>
      </w:r>
      <w:r>
        <w:rPr>
          <w:rFonts w:hint="cs"/>
          <w:rtl/>
        </w:rPr>
        <w:t>.</w:t>
      </w:r>
    </w:p>
    <w:p w:rsidR="003D5367" w:rsidRDefault="003D5367">
      <w:pPr>
        <w:rPr>
          <w:rtl/>
        </w:rPr>
      </w:pPr>
    </w:p>
    <w:p w:rsidR="003D5367" w:rsidRDefault="003D5367">
      <w:pPr>
        <w:rPr>
          <w:rtl/>
        </w:rPr>
      </w:pPr>
    </w:p>
    <w:p w:rsidR="003D5367" w:rsidRPr="00001D81"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0471F">
          <w:headerReference w:type="default" r:id="rId28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AF1DF3" w:rsidRDefault="003D5367">
      <w:pPr>
        <w:pStyle w:val="a9"/>
        <w:rPr>
          <w:rFonts w:cs="AL-Mateen"/>
          <w:rtl/>
          <w:lang w:val="en-US"/>
        </w:rPr>
      </w:pPr>
      <w:r w:rsidRPr="00AF1DF3">
        <w:rPr>
          <w:rFonts w:cs="AL-Mateen" w:hint="cs"/>
          <w:rtl/>
          <w:lang w:val="en-US"/>
        </w:rPr>
        <w:lastRenderedPageBreak/>
        <w:t>[ الـقـاعـدة الـثـامـنـة والـعـشـرون بـعـد الـمـائـتـيـن ]</w:t>
      </w:r>
    </w:p>
    <w:p w:rsidR="003D5367" w:rsidRDefault="003D5367">
      <w:pPr>
        <w:rPr>
          <w:rtl/>
        </w:rPr>
      </w:pPr>
      <w:r>
        <w:rPr>
          <w:rFonts w:cs="Monotype Koufi" w:hint="cs"/>
          <w:rtl/>
        </w:rPr>
        <w:t>المَعْلُومُ لاَ يُؤَخَّرُ للمَوْهُومِ</w:t>
      </w:r>
      <w:r>
        <w:rPr>
          <w:rFonts w:hint="cs"/>
          <w:vertAlign w:val="superscript"/>
          <w:rtl/>
        </w:rPr>
        <w:t>(</w:t>
      </w:r>
      <w:r>
        <w:rPr>
          <w:rStyle w:val="a7"/>
          <w:rtl/>
        </w:rPr>
        <w:footnoteReference w:id="4717"/>
      </w:r>
      <w:r>
        <w:rPr>
          <w:rFonts w:hint="cs"/>
          <w:vertAlign w:val="superscript"/>
          <w:rtl/>
        </w:rPr>
        <w:t>)</w:t>
      </w:r>
      <w:r>
        <w:rPr>
          <w:rFonts w:hint="cs"/>
          <w:rtl/>
        </w:rPr>
        <w:t>:</w:t>
      </w:r>
    </w:p>
    <w:p w:rsidR="003D5367" w:rsidRDefault="003D5367" w:rsidP="003D5367">
      <w:pPr>
        <w:spacing w:line="600" w:lineRule="exact"/>
        <w:ind w:left="849" w:hanging="284"/>
        <w:rPr>
          <w:rtl/>
        </w:rPr>
      </w:pPr>
      <w:r>
        <w:rPr>
          <w:rtl/>
        </w:rPr>
        <w:t>•</w:t>
      </w:r>
      <w:r>
        <w:rPr>
          <w:rFonts w:hint="cs"/>
          <w:rtl/>
        </w:rPr>
        <w:t xml:space="preserve">  </w:t>
      </w:r>
      <w:r>
        <w:rPr>
          <w:rFonts w:hint="eastAsia"/>
          <w:rtl/>
        </w:rPr>
        <w:t>«</w:t>
      </w:r>
      <w:r>
        <w:rPr>
          <w:rFonts w:hint="cs"/>
          <w:rtl/>
        </w:rPr>
        <w:t>فلو قطع يميني</w:t>
      </w:r>
      <w:r>
        <w:rPr>
          <w:rFonts w:hint="cs"/>
          <w:vertAlign w:val="superscript"/>
          <w:rtl/>
        </w:rPr>
        <w:t>(</w:t>
      </w:r>
      <w:r>
        <w:rPr>
          <w:rStyle w:val="a7"/>
          <w:rtl/>
        </w:rPr>
        <w:footnoteReference w:id="4718"/>
      </w:r>
      <w:r>
        <w:rPr>
          <w:rFonts w:hint="cs"/>
          <w:vertAlign w:val="superscript"/>
          <w:rtl/>
        </w:rPr>
        <w:t>)</w:t>
      </w:r>
      <w:r>
        <w:rPr>
          <w:rFonts w:hint="cs"/>
          <w:rtl/>
        </w:rPr>
        <w:t xml:space="preserve"> رجلين</w:t>
      </w:r>
      <w:r>
        <w:rPr>
          <w:rStyle w:val="a7"/>
          <w:rtl/>
        </w:rPr>
        <w:footnoteReference w:id="4719"/>
      </w:r>
      <w:r>
        <w:rPr>
          <w:rFonts w:hint="cs"/>
          <w:rtl/>
        </w:rPr>
        <w:t>, فحضر أحدهما : اقتُصَّ له, وللآخر نصف الدية.</w:t>
      </w:r>
    </w:p>
    <w:p w:rsidR="003D5367" w:rsidRDefault="003D5367" w:rsidP="003D5367">
      <w:pPr>
        <w:spacing w:line="600" w:lineRule="exact"/>
        <w:ind w:left="849" w:hanging="284"/>
      </w:pPr>
      <w:r>
        <w:rPr>
          <w:b/>
          <w:bCs/>
          <w:rtl/>
        </w:rPr>
        <w:t>•</w:t>
      </w:r>
      <w:r>
        <w:rPr>
          <w:rFonts w:hint="cs"/>
          <w:b/>
          <w:bCs/>
          <w:rtl/>
        </w:rPr>
        <w:t xml:space="preserve">  وكـذا</w:t>
      </w:r>
      <w:r>
        <w:rPr>
          <w:rFonts w:hint="cs"/>
          <w:rtl/>
        </w:rPr>
        <w:t xml:space="preserve"> : لـو حضـر أحد الشفيـعيـن : قُـضِيَ له</w:t>
      </w:r>
      <w:r>
        <w:rPr>
          <w:rStyle w:val="a7"/>
          <w:rtl/>
        </w:rPr>
        <w:footnoteReference w:id="4720"/>
      </w:r>
      <w:r>
        <w:rPr>
          <w:rFonts w:hint="cs"/>
          <w:rtl/>
        </w:rPr>
        <w:t xml:space="preserve"> [بكلّها]</w:t>
      </w:r>
      <w:r>
        <w:rPr>
          <w:rStyle w:val="a7"/>
          <w:rtl/>
        </w:rPr>
        <w:footnoteReference w:id="4721"/>
      </w:r>
      <w:r>
        <w:rPr>
          <w:rFonts w:hint="eastAsia"/>
          <w:rtl/>
        </w:rPr>
        <w:t>»</w:t>
      </w:r>
      <w:r>
        <w:rPr>
          <w:rFonts w:hint="cs"/>
          <w:vertAlign w:val="superscript"/>
          <w:rtl/>
        </w:rPr>
        <w:t>(</w:t>
      </w:r>
      <w:r>
        <w:rPr>
          <w:rStyle w:val="a7"/>
          <w:rtl/>
        </w:rPr>
        <w:footnoteReference w:id="4722"/>
      </w:r>
      <w:r>
        <w:rPr>
          <w:rFonts w:hint="cs"/>
          <w:vertAlign w:val="superscript"/>
          <w:rtl/>
        </w:rPr>
        <w:t>)</w:t>
      </w:r>
      <w:r>
        <w:rPr>
          <w:rFonts w:hint="cs"/>
          <w:rtl/>
        </w:rPr>
        <w:t>, ولا يؤخّر مع أن دعوى الآخر مُتوهّم</w:t>
      </w:r>
      <w:r>
        <w:rPr>
          <w:rFonts w:hint="cs"/>
          <w:vertAlign w:val="superscript"/>
          <w:rtl/>
        </w:rPr>
        <w:t>(</w:t>
      </w:r>
      <w:r>
        <w:rPr>
          <w:rStyle w:val="a7"/>
          <w:rtl/>
        </w:rPr>
        <w:footnoteReference w:id="4723"/>
      </w:r>
      <w:r>
        <w:rPr>
          <w:rFonts w:hint="cs"/>
          <w:vertAlign w:val="superscript"/>
          <w:rtl/>
        </w:rPr>
        <w:t>)</w:t>
      </w:r>
      <w:r>
        <w:rPr>
          <w:rFonts w:hint="cs"/>
          <w:rtl/>
        </w:rPr>
        <w:t>.</w:t>
      </w:r>
    </w:p>
    <w:p w:rsidR="003D5367" w:rsidRDefault="003D5367">
      <w:pPr>
        <w:spacing w:line="580" w:lineRule="exact"/>
        <w:rPr>
          <w:rtl/>
        </w:rPr>
      </w:pPr>
      <w:r>
        <w:rPr>
          <w:rFonts w:hint="cs"/>
          <w:b/>
          <w:bCs/>
          <w:rtl/>
        </w:rPr>
        <w:t>وقولهم</w:t>
      </w:r>
      <w:r>
        <w:rPr>
          <w:rFonts w:hint="cs"/>
          <w:rtl/>
        </w:rPr>
        <w:t xml:space="preserve"> : </w:t>
      </w:r>
      <w:r>
        <w:rPr>
          <w:rFonts w:hint="eastAsia"/>
          <w:rtl/>
        </w:rPr>
        <w:t>«</w:t>
      </w:r>
      <w:r>
        <w:rPr>
          <w:rFonts w:hint="cs"/>
          <w:rtl/>
        </w:rPr>
        <w:t>جاز إقامة البيّنة مع الإقرار في كل موضع [يتوقع]</w:t>
      </w:r>
      <w:r>
        <w:rPr>
          <w:rStyle w:val="a7"/>
          <w:rtl/>
        </w:rPr>
        <w:footnoteReference w:id="4724"/>
      </w:r>
      <w:r>
        <w:rPr>
          <w:rFonts w:hint="cs"/>
          <w:rtl/>
        </w:rPr>
        <w:t xml:space="preserve"> الضرر من غير </w:t>
      </w:r>
      <w:r>
        <w:rPr>
          <w:rFonts w:hint="cs"/>
          <w:rtl/>
        </w:rPr>
        <w:lastRenderedPageBreak/>
        <w:t>المقر لولاها</w:t>
      </w:r>
      <w:r>
        <w:rPr>
          <w:rFonts w:hint="eastAsia"/>
          <w:rtl/>
        </w:rPr>
        <w:t>»</w:t>
      </w:r>
      <w:r>
        <w:rPr>
          <w:rFonts w:hint="cs"/>
          <w:vertAlign w:val="superscript"/>
          <w:rtl/>
        </w:rPr>
        <w:t>(</w:t>
      </w:r>
      <w:r>
        <w:rPr>
          <w:rStyle w:val="a7"/>
          <w:rtl/>
        </w:rPr>
        <w:footnoteReference w:id="4725"/>
      </w:r>
      <w:r>
        <w:rPr>
          <w:rFonts w:hint="cs"/>
          <w:vertAlign w:val="superscript"/>
          <w:rtl/>
        </w:rPr>
        <w:t>)</w:t>
      </w:r>
      <w:r>
        <w:rPr>
          <w:rFonts w:hint="cs"/>
          <w:rtl/>
        </w:rPr>
        <w:t xml:space="preserve"> يقتضي جوازَ التأخير, على خلاف هذا الأصل؛ لأن جواز</w:t>
      </w:r>
      <w:r>
        <w:rPr>
          <w:rStyle w:val="a7"/>
          <w:rtl/>
        </w:rPr>
        <w:footnoteReference w:id="4726"/>
      </w:r>
      <w:r>
        <w:rPr>
          <w:rFonts w:hint="cs"/>
          <w:rtl/>
        </w:rPr>
        <w:t xml:space="preserve"> إقامة البينة بعد الإقرار يـستلزم تأخيـر الـحكم في الـمعلوم بالإقرار</w:t>
      </w:r>
      <w:r>
        <w:rPr>
          <w:rStyle w:val="a7"/>
          <w:rtl/>
        </w:rPr>
        <w:footnoteReference w:id="4727"/>
      </w:r>
      <w:r>
        <w:rPr>
          <w:rFonts w:hint="cs"/>
          <w:rtl/>
        </w:rPr>
        <w:t>, بدلالة كون جواز إقامة البينة بعد الحكم عبثًا.</w:t>
      </w:r>
    </w:p>
    <w:p w:rsidR="003D5367" w:rsidRDefault="003D5367">
      <w:pPr>
        <w:rPr>
          <w:rtl/>
        </w:rPr>
      </w:pPr>
      <w:r>
        <w:rPr>
          <w:rFonts w:hint="cs"/>
          <w:b/>
          <w:bCs/>
          <w:rtl/>
        </w:rPr>
        <w:t>وجوابه</w:t>
      </w:r>
      <w:r>
        <w:rPr>
          <w:rFonts w:hint="cs"/>
          <w:rtl/>
        </w:rPr>
        <w:t xml:space="preserve"> : قد مرّ في أول باب الجيم</w:t>
      </w:r>
      <w:r>
        <w:rPr>
          <w:rFonts w:hint="cs"/>
          <w:vertAlign w:val="superscript"/>
          <w:rtl/>
        </w:rPr>
        <w:t>(</w:t>
      </w:r>
      <w:r>
        <w:rPr>
          <w:rStyle w:val="a7"/>
          <w:rtl/>
        </w:rPr>
        <w:footnoteReference w:id="4728"/>
      </w:r>
      <w:r>
        <w:rPr>
          <w:rFonts w:hint="cs"/>
          <w:vertAlign w:val="superscript"/>
          <w:rtl/>
        </w:rPr>
        <w:t>)</w:t>
      </w:r>
      <w:r>
        <w:rPr>
          <w:rFonts w:hint="cs"/>
          <w:rtl/>
        </w:rPr>
        <w:t>.</w:t>
      </w:r>
    </w:p>
    <w:p w:rsidR="003D5367" w:rsidRDefault="003D5367">
      <w:pPr>
        <w:rPr>
          <w:rtl/>
        </w:rPr>
      </w:pPr>
    </w:p>
    <w:p w:rsidR="003D5367" w:rsidRDefault="003D5367">
      <w:pPr>
        <w:rPr>
          <w:rtl/>
        </w:rPr>
      </w:pPr>
    </w:p>
    <w:p w:rsidR="003D5367" w:rsidRDefault="003D5367">
      <w:pPr>
        <w:rPr>
          <w:rtl/>
        </w:rPr>
      </w:pPr>
    </w:p>
    <w:p w:rsidR="003D5367"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0471F">
          <w:headerReference w:type="default" r:id="rId28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C924A7" w:rsidRDefault="003D5367">
      <w:pPr>
        <w:pStyle w:val="a9"/>
        <w:rPr>
          <w:rFonts w:cs="AL-Mateen"/>
          <w:rtl/>
          <w:lang w:val="en-US"/>
        </w:rPr>
      </w:pPr>
      <w:r w:rsidRPr="00C924A7">
        <w:rPr>
          <w:rFonts w:cs="AL-Mateen" w:hint="cs"/>
          <w:rtl/>
          <w:lang w:val="en-US"/>
        </w:rPr>
        <w:lastRenderedPageBreak/>
        <w:t>[ الـقـاعـدة التـاسـعـة والـعـشـرون بـعـد الـمـائـتـيـن ]</w:t>
      </w:r>
    </w:p>
    <w:p w:rsidR="003D5367" w:rsidRDefault="003D5367">
      <w:pPr>
        <w:rPr>
          <w:rtl/>
        </w:rPr>
      </w:pPr>
      <w:r>
        <w:rPr>
          <w:rFonts w:cs="Monotype Koufi" w:hint="cs"/>
          <w:rtl/>
        </w:rPr>
        <w:t>المُعَلَّقُ بالشَّرْط معدومٌ قَبْلَهُ</w:t>
      </w:r>
      <w:r>
        <w:rPr>
          <w:rFonts w:hint="cs"/>
          <w:vertAlign w:val="superscript"/>
          <w:rtl/>
        </w:rPr>
        <w:t>(</w:t>
      </w:r>
      <w:r>
        <w:rPr>
          <w:rStyle w:val="a7"/>
          <w:rtl/>
        </w:rPr>
        <w:footnoteReference w:id="4729"/>
      </w:r>
      <w:r>
        <w:rPr>
          <w:rFonts w:hint="cs"/>
          <w:vertAlign w:val="superscript"/>
          <w:rtl/>
        </w:rPr>
        <w:t>)</w:t>
      </w:r>
      <w:r>
        <w:rPr>
          <w:rFonts w:hint="cs"/>
          <w:rtl/>
        </w:rPr>
        <w:t>:</w:t>
      </w:r>
    </w:p>
    <w:p w:rsidR="003D5367" w:rsidRDefault="003D5367">
      <w:pPr>
        <w:rPr>
          <w:rtl/>
        </w:rPr>
      </w:pPr>
      <w:r>
        <w:rPr>
          <w:rFonts w:hint="cs"/>
          <w:b/>
          <w:bCs/>
          <w:rtl/>
        </w:rPr>
        <w:t>ولهذا</w:t>
      </w:r>
      <w:r>
        <w:rPr>
          <w:rFonts w:hint="cs"/>
          <w:rtl/>
        </w:rPr>
        <w:t xml:space="preserve"> : إعتاق المشترى من الغاصب إذا شُرط الخيار للبائع في العقد [لا يجوز]</w:t>
      </w:r>
      <w:r>
        <w:rPr>
          <w:rStyle w:val="a7"/>
          <w:rtl/>
        </w:rPr>
        <w:footnoteReference w:id="4730"/>
      </w:r>
      <w:r>
        <w:rPr>
          <w:rFonts w:hint="cs"/>
          <w:rtl/>
        </w:rPr>
        <w:t>, فَقِرَانُ</w:t>
      </w:r>
      <w:r>
        <w:rPr>
          <w:rStyle w:val="a7"/>
          <w:rtl/>
        </w:rPr>
        <w:footnoteReference w:id="4731"/>
      </w:r>
      <w:r>
        <w:rPr>
          <w:rFonts w:hint="cs"/>
          <w:rtl/>
        </w:rPr>
        <w:t xml:space="preserve"> الشرط بالعقد يمنع كونه سببًا قبل وجود الشرط, فالبيع بشرط </w:t>
      </w:r>
      <w:r>
        <w:rPr>
          <w:rFonts w:hint="cs"/>
          <w:rtl/>
        </w:rPr>
        <w:lastRenderedPageBreak/>
        <w:t>الخيار للبائع لا يفيد الملك, ولو ثبت في المآل</w:t>
      </w:r>
      <w:r>
        <w:rPr>
          <w:rFonts w:hint="cs"/>
          <w:vertAlign w:val="superscript"/>
          <w:rtl/>
        </w:rPr>
        <w:t>(</w:t>
      </w:r>
      <w:r>
        <w:rPr>
          <w:rStyle w:val="a7"/>
          <w:rtl/>
        </w:rPr>
        <w:footnoteReference w:id="4732"/>
      </w:r>
      <w:r>
        <w:rPr>
          <w:rFonts w:hint="cs"/>
          <w:vertAlign w:val="superscript"/>
          <w:rtl/>
        </w:rPr>
        <w:t>)</w:t>
      </w:r>
      <w:r>
        <w:rPr>
          <w:rFonts w:hint="cs"/>
          <w:rtl/>
        </w:rPr>
        <w:t xml:space="preserve"> ثبت مستندًا, وهو</w:t>
      </w:r>
      <w:r>
        <w:rPr>
          <w:rStyle w:val="a7"/>
          <w:rtl/>
        </w:rPr>
        <w:footnoteReference w:id="4733"/>
      </w:r>
      <w:r>
        <w:rPr>
          <w:rFonts w:hint="cs"/>
          <w:rtl/>
        </w:rPr>
        <w:t xml:space="preserve"> ثابـت من وجـه دون وجـه</w:t>
      </w:r>
      <w:r>
        <w:rPr>
          <w:rFonts w:hint="cs"/>
          <w:vertAlign w:val="superscript"/>
          <w:rtl/>
        </w:rPr>
        <w:t>(</w:t>
      </w:r>
      <w:r>
        <w:rPr>
          <w:rStyle w:val="a7"/>
          <w:rtl/>
        </w:rPr>
        <w:footnoteReference w:id="4734"/>
      </w:r>
      <w:r>
        <w:rPr>
          <w:rFonts w:hint="cs"/>
          <w:vertAlign w:val="superscript"/>
          <w:rtl/>
        </w:rPr>
        <w:t>)</w:t>
      </w:r>
      <w:r>
        <w:rPr>
          <w:rFonts w:hint="cs"/>
          <w:rtl/>
        </w:rPr>
        <w:t>, و [المصحح]</w:t>
      </w:r>
      <w:r>
        <w:rPr>
          <w:rStyle w:val="a7"/>
          <w:rtl/>
        </w:rPr>
        <w:footnoteReference w:id="4735"/>
      </w:r>
      <w:r>
        <w:rPr>
          <w:rFonts w:hint="cs"/>
          <w:rtl/>
        </w:rPr>
        <w:t xml:space="preserve"> للإعتاق الملك الكامل</w:t>
      </w:r>
      <w:r>
        <w:rPr>
          <w:rFonts w:hint="cs"/>
          <w:vertAlign w:val="superscript"/>
          <w:rtl/>
        </w:rPr>
        <w:t>(</w:t>
      </w:r>
      <w:r>
        <w:rPr>
          <w:rStyle w:val="a7"/>
          <w:rtl/>
        </w:rPr>
        <w:footnoteReference w:id="4736"/>
      </w:r>
      <w:r>
        <w:rPr>
          <w:rFonts w:hint="cs"/>
          <w:vertAlign w:val="superscript"/>
          <w:rtl/>
        </w:rPr>
        <w:t>)</w:t>
      </w:r>
      <w:r>
        <w:rPr>
          <w:rFonts w:hint="cs"/>
          <w:rtl/>
        </w:rPr>
        <w:t xml:space="preserve">. </w:t>
      </w:r>
    </w:p>
    <w:p w:rsidR="003D5367" w:rsidRDefault="003D5367">
      <w:pPr>
        <w:rPr>
          <w:rtl/>
        </w:rPr>
      </w:pPr>
      <w:r>
        <w:rPr>
          <w:rFonts w:hint="cs"/>
          <w:rtl/>
        </w:rPr>
        <w:t xml:space="preserve">قال النبي </w:t>
      </w:r>
      <w:r>
        <w:rPr>
          <w:rFonts w:ascii="AGA Arabesque" w:hAnsi="AGA Arabesque"/>
          <w:sz w:val="36"/>
        </w:rPr>
        <w:t></w:t>
      </w:r>
      <w:r>
        <w:rPr>
          <w:rFonts w:hint="cs"/>
          <w:rtl/>
        </w:rPr>
        <w:t xml:space="preserve"> : </w:t>
      </w:r>
      <w:r>
        <w:rPr>
          <w:rFonts w:hint="eastAsia"/>
          <w:rtl/>
        </w:rPr>
        <w:t>«</w:t>
      </w:r>
      <w:r>
        <w:rPr>
          <w:rFonts w:hint="cs"/>
          <w:rtl/>
        </w:rPr>
        <w:t xml:space="preserve"> </w:t>
      </w:r>
      <w:r>
        <w:rPr>
          <w:rFonts w:cs="DecoType Naskh" w:hint="cs"/>
          <w:sz w:val="36"/>
          <w:rtl/>
        </w:rPr>
        <w:t>لا عِـتـــْـقَ فِيما لا يملِكُ بنو آدَمَ</w:t>
      </w:r>
      <w:r>
        <w:rPr>
          <w:rFonts w:hint="cs"/>
          <w:sz w:val="36"/>
          <w:rtl/>
        </w:rPr>
        <w:t xml:space="preserve"> </w:t>
      </w:r>
      <w:r>
        <w:rPr>
          <w:rFonts w:hint="eastAsia"/>
          <w:rtl/>
        </w:rPr>
        <w:t>»</w:t>
      </w:r>
      <w:r>
        <w:rPr>
          <w:rFonts w:hint="cs"/>
          <w:vertAlign w:val="superscript"/>
          <w:rtl/>
        </w:rPr>
        <w:t>(</w:t>
      </w:r>
      <w:r>
        <w:rPr>
          <w:rStyle w:val="a7"/>
          <w:rtl/>
        </w:rPr>
        <w:footnoteReference w:id="4737"/>
      </w:r>
      <w:r>
        <w:rPr>
          <w:rFonts w:hint="cs"/>
          <w:vertAlign w:val="superscript"/>
          <w:rtl/>
        </w:rPr>
        <w:t>)</w:t>
      </w:r>
      <w:r>
        <w:rPr>
          <w:rFonts w:hint="cs"/>
          <w:rtl/>
        </w:rPr>
        <w:t>.</w:t>
      </w:r>
    </w:p>
    <w:p w:rsidR="003D5367" w:rsidRDefault="003D5367">
      <w:pPr>
        <w:rPr>
          <w:rtl/>
        </w:rPr>
      </w:pPr>
      <w:r>
        <w:rPr>
          <w:rFonts w:hint="cs"/>
          <w:b/>
          <w:bCs/>
          <w:rtl/>
        </w:rPr>
        <w:lastRenderedPageBreak/>
        <w:t>وإن قيل</w:t>
      </w:r>
      <w:r>
        <w:rPr>
          <w:rFonts w:hint="cs"/>
          <w:rtl/>
        </w:rPr>
        <w:t xml:space="preserve"> : بيع الغاصب موقوف, والموقوف لا يفيد الملك</w:t>
      </w:r>
      <w:r>
        <w:rPr>
          <w:rStyle w:val="a7"/>
          <w:rtl/>
        </w:rPr>
        <w:footnoteReference w:id="4738"/>
      </w:r>
      <w:r>
        <w:rPr>
          <w:rFonts w:hint="cs"/>
          <w:rtl/>
        </w:rPr>
        <w:t xml:space="preserve"> أيضًا. فما وجه نفاذ إعتاق المشتري من الغاصب بغير شرط الخيار؟.</w:t>
      </w:r>
    </w:p>
    <w:p w:rsidR="003D5367" w:rsidRDefault="003D5367">
      <w:pPr>
        <w:rPr>
          <w:rtl/>
        </w:rPr>
      </w:pPr>
      <w:r>
        <w:rPr>
          <w:rFonts w:hint="cs"/>
          <w:b/>
          <w:bCs/>
          <w:rtl/>
        </w:rPr>
        <w:t>يقال</w:t>
      </w:r>
      <w:r>
        <w:rPr>
          <w:rFonts w:hint="cs"/>
          <w:rtl/>
        </w:rPr>
        <w:t xml:space="preserve"> : إنّ نفوذه بالاستحسان.</w:t>
      </w:r>
    </w:p>
    <w:p w:rsidR="003D5367" w:rsidRDefault="003D5367">
      <w:pPr>
        <w:rPr>
          <w:spacing w:val="-10"/>
          <w:rtl/>
        </w:rPr>
        <w:sectPr w:rsidR="003D5367" w:rsidSect="00F0471F">
          <w:headerReference w:type="default" r:id="rId287"/>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spacing w:val="-10"/>
          <w:rtl/>
        </w:rPr>
        <w:t>ووجهه</w:t>
      </w:r>
      <w:r>
        <w:rPr>
          <w:rFonts w:hint="cs"/>
          <w:spacing w:val="-10"/>
          <w:rtl/>
        </w:rPr>
        <w:t xml:space="preserve"> : أن الملك ثبت موقوفًا بتصرفٍ مطلقٍ عن البيع</w:t>
      </w:r>
      <w:r>
        <w:rPr>
          <w:rStyle w:val="a7"/>
          <w:spacing w:val="-10"/>
          <w:rtl/>
        </w:rPr>
        <w:footnoteReference w:id="4739"/>
      </w:r>
      <w:r>
        <w:rPr>
          <w:rFonts w:hint="cs"/>
          <w:spacing w:val="-10"/>
          <w:rtl/>
        </w:rPr>
        <w:t xml:space="preserve"> بشرط الخيار, وهو موضوع لإفادة الملك, ولا ضرر فيه لأحد العاقدين, ولا للمالك, فيتوقف الإعتاق مرتبًا عليه وينفذ بنفاذه، وصار كإعتاق المشتري من الراهن, وكإعتاق الوارث عبدًا من التركة وهي [مستغرقة]</w:t>
      </w:r>
      <w:r>
        <w:rPr>
          <w:rStyle w:val="a7"/>
          <w:spacing w:val="-10"/>
          <w:rtl/>
        </w:rPr>
        <w:footnoteReference w:id="4740"/>
      </w:r>
      <w:r>
        <w:rPr>
          <w:rFonts w:hint="cs"/>
          <w:spacing w:val="-10"/>
          <w:rtl/>
        </w:rPr>
        <w:t xml:space="preserve"> بالديون : يصحّ وينفذ</w:t>
      </w:r>
      <w:r>
        <w:rPr>
          <w:rStyle w:val="a7"/>
          <w:spacing w:val="-10"/>
          <w:rtl/>
        </w:rPr>
        <w:footnoteReference w:id="4741"/>
      </w:r>
      <w:r>
        <w:rPr>
          <w:rFonts w:hint="cs"/>
          <w:spacing w:val="-10"/>
          <w:rtl/>
        </w:rPr>
        <w:t xml:space="preserve"> إذا قضى الديون بعد</w:t>
      </w:r>
      <w:r>
        <w:rPr>
          <w:rStyle w:val="a7"/>
          <w:spacing w:val="-10"/>
          <w:rtl/>
        </w:rPr>
        <w:footnoteReference w:id="4742"/>
      </w:r>
      <w:r>
        <w:rPr>
          <w:rFonts w:hint="cs"/>
          <w:spacing w:val="-10"/>
          <w:rtl/>
        </w:rPr>
        <w:t xml:space="preserve"> ذلك</w:t>
      </w:r>
      <w:r>
        <w:rPr>
          <w:rFonts w:hint="cs"/>
          <w:spacing w:val="-10"/>
          <w:vertAlign w:val="superscript"/>
          <w:rtl/>
        </w:rPr>
        <w:t>(</w:t>
      </w:r>
      <w:r>
        <w:rPr>
          <w:rStyle w:val="a7"/>
          <w:spacing w:val="-10"/>
          <w:rtl/>
        </w:rPr>
        <w:footnoteReference w:id="4743"/>
      </w:r>
      <w:r>
        <w:rPr>
          <w:rFonts w:hint="cs"/>
          <w:spacing w:val="-10"/>
          <w:vertAlign w:val="superscript"/>
          <w:rtl/>
        </w:rPr>
        <w:t>)</w:t>
      </w:r>
      <w:r>
        <w:rPr>
          <w:rFonts w:hint="cs"/>
          <w:spacing w:val="-10"/>
          <w:rtl/>
        </w:rPr>
        <w:t>. كذا في (العناية)</w:t>
      </w:r>
      <w:r>
        <w:rPr>
          <w:rFonts w:hint="cs"/>
          <w:spacing w:val="-10"/>
          <w:vertAlign w:val="superscript"/>
          <w:rtl/>
        </w:rPr>
        <w:t>(</w:t>
      </w:r>
      <w:r>
        <w:rPr>
          <w:rStyle w:val="a7"/>
          <w:spacing w:val="-10"/>
          <w:rtl/>
        </w:rPr>
        <w:footnoteReference w:id="4744"/>
      </w:r>
      <w:r>
        <w:rPr>
          <w:rFonts w:hint="cs"/>
          <w:spacing w:val="-10"/>
          <w:vertAlign w:val="superscript"/>
          <w:rtl/>
        </w:rPr>
        <w:t>)</w:t>
      </w:r>
      <w:r>
        <w:rPr>
          <w:rFonts w:hint="cs"/>
          <w:spacing w:val="-10"/>
          <w:rtl/>
        </w:rPr>
        <w:t>.</w:t>
      </w:r>
    </w:p>
    <w:p w:rsidR="003D5367" w:rsidRPr="002C1E04" w:rsidRDefault="003D5367">
      <w:pPr>
        <w:pStyle w:val="a9"/>
        <w:rPr>
          <w:rFonts w:cs="AL-Mateen"/>
          <w:rtl/>
        </w:rPr>
      </w:pPr>
      <w:r w:rsidRPr="002C1E04">
        <w:rPr>
          <w:rFonts w:cs="AL-Mateen" w:hint="cs"/>
          <w:rtl/>
        </w:rPr>
        <w:lastRenderedPageBreak/>
        <w:t>[ الـقـاعـدة الـثـلاثـون بـعـد الـمـائـتـيـن  ]</w:t>
      </w:r>
    </w:p>
    <w:p w:rsidR="003D5367" w:rsidRDefault="003D5367">
      <w:pPr>
        <w:rPr>
          <w:rtl/>
        </w:rPr>
      </w:pPr>
      <w:r>
        <w:rPr>
          <w:rFonts w:cs="Monotype Koufi" w:hint="cs"/>
          <w:rtl/>
        </w:rPr>
        <w:t>المَغْرُورُ فِي المُعَاوَضَاتِ التي [تَقْتَضِي]</w:t>
      </w:r>
      <w:r>
        <w:rPr>
          <w:rStyle w:val="a7"/>
          <w:rtl/>
        </w:rPr>
        <w:footnoteReference w:id="4745"/>
      </w:r>
      <w:r>
        <w:rPr>
          <w:rFonts w:hint="cs"/>
          <w:rtl/>
        </w:rPr>
        <w:t xml:space="preserve"> </w:t>
      </w:r>
      <w:r>
        <w:rPr>
          <w:rFonts w:cs="Monotype Koufi" w:hint="cs"/>
          <w:rtl/>
        </w:rPr>
        <w:t>سَلاَمَةَ العِوَضَ جُعِلَ سببًا لِلضَّمَانِ؛ دَفْعًا للضَّرَرِ</w:t>
      </w:r>
      <w:r>
        <w:rPr>
          <w:rStyle w:val="a7"/>
          <w:rtl/>
        </w:rPr>
        <w:footnoteReference w:id="4746"/>
      </w:r>
      <w:r>
        <w:rPr>
          <w:rFonts w:hint="cs"/>
          <w:rtl/>
        </w:rPr>
        <w:t xml:space="preserve"> </w:t>
      </w:r>
      <w:r>
        <w:rPr>
          <w:rFonts w:cs="Monotype Koufi" w:hint="cs"/>
          <w:rtl/>
        </w:rPr>
        <w:t>بِقَدْرِ الإمْكَانِ</w:t>
      </w:r>
      <w:r>
        <w:rPr>
          <w:rFonts w:hint="cs"/>
          <w:vertAlign w:val="superscript"/>
          <w:rtl/>
        </w:rPr>
        <w:t>(</w:t>
      </w:r>
      <w:r>
        <w:rPr>
          <w:rStyle w:val="a7"/>
          <w:rtl/>
        </w:rPr>
        <w:footnoteReference w:id="4747"/>
      </w:r>
      <w:r>
        <w:rPr>
          <w:rFonts w:hint="cs"/>
          <w:vertAlign w:val="superscript"/>
          <w:rtl/>
        </w:rPr>
        <w:t>)</w:t>
      </w:r>
      <w:r>
        <w:rPr>
          <w:rFonts w:hint="cs"/>
          <w:rtl/>
        </w:rPr>
        <w:t>.</w:t>
      </w:r>
    </w:p>
    <w:p w:rsidR="003D5367" w:rsidRDefault="003D5367">
      <w:pPr>
        <w:rPr>
          <w:rtl/>
        </w:rPr>
      </w:pPr>
      <w:r>
        <w:rPr>
          <w:rFonts w:hint="cs"/>
          <w:b/>
          <w:bCs/>
          <w:rtl/>
        </w:rPr>
        <w:t>ومن فروعها</w:t>
      </w:r>
      <w:r>
        <w:rPr>
          <w:rFonts w:hint="cs"/>
          <w:rtl/>
        </w:rPr>
        <w:t xml:space="preserve"> : </w:t>
      </w:r>
    </w:p>
    <w:p w:rsidR="003D5367" w:rsidRDefault="003D5367" w:rsidP="003D5367">
      <w:pPr>
        <w:spacing w:line="500" w:lineRule="exact"/>
        <w:ind w:left="567" w:firstLine="0"/>
        <w:rPr>
          <w:rtl/>
        </w:rPr>
      </w:pPr>
      <w:r>
        <w:rPr>
          <w:rFonts w:ascii="Wingdings" w:hAnsi="Wingdings"/>
        </w:rPr>
        <w:t></w:t>
      </w:r>
      <w:r>
        <w:rPr>
          <w:rFonts w:hint="cs"/>
          <w:rtl/>
        </w:rPr>
        <w:t xml:space="preserve"> لو قال رجل لآخر : اشتَرْني فإنّي عبد. فاشتراه, فإذا هو حرّ: فإن كان البائع غائبًا غيبةً منقطعة, لا يُدْرى أين هو؟- رجع المشتري على العبد, والعبد على البائع </w:t>
      </w:r>
    </w:p>
    <w:p w:rsidR="003D5367" w:rsidRDefault="003D5367" w:rsidP="003D5367">
      <w:pPr>
        <w:spacing w:line="500" w:lineRule="exact"/>
        <w:ind w:right="720"/>
        <w:rPr>
          <w:rtl/>
        </w:rPr>
      </w:pPr>
      <w:r>
        <w:rPr>
          <w:rtl/>
        </w:rPr>
        <w:t>•</w:t>
      </w:r>
      <w:r>
        <w:rPr>
          <w:rFonts w:hint="cs"/>
          <w:rtl/>
        </w:rPr>
        <w:t xml:space="preserve"> عند أبي حنيفة ومحمد -رحمهما الله-. </w:t>
      </w:r>
    </w:p>
    <w:p w:rsidR="003D5367" w:rsidRDefault="003D5367" w:rsidP="003D5367">
      <w:pPr>
        <w:spacing w:line="500" w:lineRule="exact"/>
        <w:ind w:right="720"/>
        <w:rPr>
          <w:rtl/>
        </w:rPr>
      </w:pPr>
      <w:r>
        <w:rPr>
          <w:rtl/>
        </w:rPr>
        <w:t>•</w:t>
      </w:r>
      <w:r>
        <w:rPr>
          <w:rFonts w:hint="cs"/>
          <w:rtl/>
        </w:rPr>
        <w:t xml:space="preserve">  خلافاً لأبي يوسف.</w:t>
      </w:r>
    </w:p>
    <w:p w:rsidR="003D5367" w:rsidRDefault="003D5367">
      <w:pPr>
        <w:spacing w:line="500" w:lineRule="exact"/>
        <w:rPr>
          <w:rtl/>
        </w:rPr>
      </w:pPr>
      <w:r>
        <w:rPr>
          <w:rFonts w:hint="cs"/>
          <w:rtl/>
        </w:rPr>
        <w:lastRenderedPageBreak/>
        <w:t>لأن</w:t>
      </w:r>
      <w:r>
        <w:rPr>
          <w:rFonts w:hint="cs"/>
          <w:vertAlign w:val="superscript"/>
          <w:rtl/>
        </w:rPr>
        <w:t>(</w:t>
      </w:r>
      <w:r>
        <w:rPr>
          <w:rStyle w:val="a7"/>
          <w:rtl/>
        </w:rPr>
        <w:footnoteReference w:id="4748"/>
      </w:r>
      <w:r>
        <w:rPr>
          <w:rFonts w:hint="cs"/>
          <w:vertAlign w:val="superscript"/>
          <w:rtl/>
        </w:rPr>
        <w:t>)</w:t>
      </w:r>
      <w:r>
        <w:rPr>
          <w:rFonts w:hint="cs"/>
          <w:rtl/>
        </w:rPr>
        <w:t xml:space="preserve"> الـمشتـري اعتـمد فـي شـرائه على أمـره بـقوله : اشْتَرْنِي.</w:t>
      </w:r>
    </w:p>
    <w:p w:rsidR="003D5367" w:rsidRDefault="003D5367" w:rsidP="003D5367">
      <w:pPr>
        <w:spacing w:line="560" w:lineRule="exact"/>
        <w:ind w:left="567" w:firstLine="0"/>
        <w:rPr>
          <w:rtl/>
        </w:rPr>
      </w:pPr>
      <w:r>
        <w:rPr>
          <w:rFonts w:hint="cs"/>
          <w:rtl/>
        </w:rPr>
        <w:t>فحين أقرّ بالعبودية : غلب ظن المشتري بذلك, والمعتمِدُ على الشيء بأمر الغير وإقراره مغرورٌ من جهته, فيضمن على مقتضى هذا الأصل</w:t>
      </w:r>
      <w:r>
        <w:rPr>
          <w:rFonts w:hint="cs"/>
          <w:vertAlign w:val="superscript"/>
          <w:rtl/>
        </w:rPr>
        <w:t>(</w:t>
      </w:r>
      <w:r>
        <w:rPr>
          <w:rStyle w:val="a7"/>
          <w:rtl/>
        </w:rPr>
        <w:footnoteReference w:id="4749"/>
      </w:r>
      <w:r>
        <w:rPr>
          <w:rFonts w:hint="cs"/>
          <w:vertAlign w:val="superscript"/>
          <w:rtl/>
        </w:rPr>
        <w:t>)</w:t>
      </w:r>
      <w:r>
        <w:rPr>
          <w:rFonts w:hint="cs"/>
          <w:rtl/>
        </w:rPr>
        <w:t>.</w:t>
      </w:r>
    </w:p>
    <w:p w:rsidR="003D5367" w:rsidRDefault="003D5367" w:rsidP="003D5367">
      <w:pPr>
        <w:spacing w:line="228" w:lineRule="auto"/>
        <w:ind w:left="567" w:firstLine="0"/>
        <w:rPr>
          <w:rtl/>
        </w:rPr>
      </w:pPr>
      <w:r>
        <w:rPr>
          <w:rFonts w:ascii="Wingdings" w:hAnsi="Wingdings"/>
        </w:rPr>
        <w:t></w:t>
      </w:r>
      <w:r>
        <w:rPr>
          <w:rFonts w:hint="cs"/>
          <w:rtl/>
        </w:rPr>
        <w:t xml:space="preserve"> </w:t>
      </w:r>
      <w:r>
        <w:rPr>
          <w:rFonts w:hint="eastAsia"/>
          <w:rtl/>
        </w:rPr>
        <w:t>«</w:t>
      </w:r>
      <w:r>
        <w:rPr>
          <w:rFonts w:hint="cs"/>
          <w:rtl/>
        </w:rPr>
        <w:t>كما في المولى إذا قال لأهل السوق : هذا عبدي وقد أذنت له في التجارة, فبايعُوه. فبايعوه</w:t>
      </w:r>
      <w:r>
        <w:rPr>
          <w:rStyle w:val="a7"/>
          <w:rtl/>
        </w:rPr>
        <w:footnoteReference w:id="4750"/>
      </w:r>
      <w:r>
        <w:rPr>
          <w:rFonts w:hint="cs"/>
          <w:rtl/>
        </w:rPr>
        <w:t xml:space="preserve"> ولحقته ديونه</w:t>
      </w:r>
      <w:r>
        <w:rPr>
          <w:rStyle w:val="a7"/>
          <w:rtl/>
        </w:rPr>
        <w:footnoteReference w:id="4751"/>
      </w:r>
      <w:r>
        <w:rPr>
          <w:rFonts w:hint="cs"/>
          <w:rtl/>
        </w:rPr>
        <w:t>. ثم ظهر أنّه حرّ : فإنهم يرجعون على المولى بديونهم بقدر قيمته بحكم الغرور. وهذا غرور وقع في عقد المعاوضة</w:t>
      </w:r>
      <w:r>
        <w:rPr>
          <w:rStyle w:val="a7"/>
          <w:rtl/>
        </w:rPr>
        <w:footnoteReference w:id="4752"/>
      </w:r>
      <w:r>
        <w:rPr>
          <w:rFonts w:hint="cs"/>
          <w:rtl/>
        </w:rPr>
        <w:t xml:space="preserve">. </w:t>
      </w:r>
    </w:p>
    <w:p w:rsidR="003D5367" w:rsidRDefault="003D5367" w:rsidP="003D5367">
      <w:pPr>
        <w:spacing w:line="228" w:lineRule="auto"/>
        <w:ind w:left="567" w:right="567" w:firstLine="0"/>
        <w:rPr>
          <w:rtl/>
        </w:rPr>
      </w:pPr>
      <w:r>
        <w:rPr>
          <w:rFonts w:hint="cs"/>
          <w:rtl/>
        </w:rPr>
        <w:t>والعبد بظهور حريته أهلٌ للضمان, فيُجعلُ ضامنًا للثمن عند تعذّر رجوعه على البائع؛ دفعًا للضّرر</w:t>
      </w:r>
      <w:r>
        <w:rPr>
          <w:rStyle w:val="a7"/>
          <w:rtl/>
        </w:rPr>
        <w:footnoteReference w:id="4753"/>
      </w:r>
      <w:r>
        <w:rPr>
          <w:rFonts w:hint="cs"/>
          <w:rtl/>
        </w:rPr>
        <w:t>، ولا تعذّر</w:t>
      </w:r>
      <w:r>
        <w:rPr>
          <w:rStyle w:val="a7"/>
          <w:rtl/>
        </w:rPr>
        <w:footnoteReference w:id="4754"/>
      </w:r>
      <w:r>
        <w:rPr>
          <w:rFonts w:hint="cs"/>
          <w:rtl/>
        </w:rPr>
        <w:t xml:space="preserve"> إلاّ فيما لا يعرف مكانه</w:t>
      </w:r>
      <w:r>
        <w:rPr>
          <w:rFonts w:hint="eastAsia"/>
          <w:rtl/>
        </w:rPr>
        <w:t>»</w:t>
      </w:r>
      <w:r>
        <w:rPr>
          <w:rFonts w:hint="cs"/>
          <w:vertAlign w:val="superscript"/>
          <w:rtl/>
        </w:rPr>
        <w:t>(</w:t>
      </w:r>
      <w:r>
        <w:rPr>
          <w:rStyle w:val="a7"/>
          <w:rtl/>
        </w:rPr>
        <w:footnoteReference w:id="4755"/>
      </w:r>
      <w:r>
        <w:rPr>
          <w:rFonts w:hint="cs"/>
          <w:vertAlign w:val="superscript"/>
          <w:rtl/>
        </w:rPr>
        <w:t>)</w:t>
      </w:r>
      <w:r>
        <w:rPr>
          <w:rFonts w:hint="cs"/>
          <w:rtl/>
        </w:rPr>
        <w:t>.</w:t>
      </w:r>
    </w:p>
    <w:p w:rsidR="003D5367" w:rsidRDefault="003D5367" w:rsidP="00035BE3">
      <w:pPr>
        <w:spacing w:line="228" w:lineRule="auto"/>
        <w:rPr>
          <w:rtl/>
        </w:rPr>
      </w:pPr>
      <w:r>
        <w:rPr>
          <w:rFonts w:hint="cs"/>
          <w:b/>
          <w:bCs/>
          <w:rtl/>
        </w:rPr>
        <w:t>واعلم</w:t>
      </w:r>
      <w:r>
        <w:rPr>
          <w:rFonts w:hint="cs"/>
          <w:rtl/>
        </w:rPr>
        <w:t xml:space="preserve"> أنّ إيجابَ الغرورِ الضمانَ :  يختصُّ</w:t>
      </w:r>
      <w:r>
        <w:rPr>
          <w:rStyle w:val="a7"/>
          <w:rtl/>
        </w:rPr>
        <w:footnoteReference w:id="4756"/>
      </w:r>
      <w:r>
        <w:rPr>
          <w:rFonts w:hint="cs"/>
          <w:rtl/>
        </w:rPr>
        <w:t xml:space="preserve">  بالمعاوضات,</w:t>
      </w:r>
      <w:r>
        <w:rPr>
          <w:rStyle w:val="a7"/>
          <w:rtl/>
        </w:rPr>
        <w:footnoteReference w:id="4757"/>
      </w:r>
      <w:r>
        <w:rPr>
          <w:rFonts w:hint="cs"/>
          <w:vertAlign w:val="superscript"/>
          <w:rtl/>
        </w:rPr>
        <w:t>(</w:t>
      </w:r>
      <w:r>
        <w:rPr>
          <w:rStyle w:val="a7"/>
          <w:rtl/>
        </w:rPr>
        <w:footnoteReference w:id="4758"/>
      </w:r>
      <w:r>
        <w:rPr>
          <w:rFonts w:hint="cs"/>
          <w:vertAlign w:val="superscript"/>
          <w:rtl/>
        </w:rPr>
        <w:t>)</w:t>
      </w:r>
      <w:r>
        <w:rPr>
          <w:rFonts w:hint="cs"/>
          <w:rtl/>
        </w:rPr>
        <w:t xml:space="preserve"> </w:t>
      </w:r>
      <w:r>
        <w:rPr>
          <w:rFonts w:hint="eastAsia"/>
          <w:rtl/>
        </w:rPr>
        <w:t>«</w:t>
      </w:r>
      <w:r>
        <w:rPr>
          <w:rFonts w:hint="cs"/>
          <w:rtl/>
        </w:rPr>
        <w:t xml:space="preserve"> ولـهذا قالوا: </w:t>
      </w:r>
    </w:p>
    <w:p w:rsidR="003D5367" w:rsidRDefault="003D5367" w:rsidP="003D5367">
      <w:pPr>
        <w:spacing w:line="228" w:lineRule="auto"/>
        <w:ind w:left="707" w:hanging="140"/>
        <w:rPr>
          <w:spacing w:val="-14"/>
          <w:rtl/>
        </w:rPr>
      </w:pPr>
      <w:r>
        <w:rPr>
          <w:spacing w:val="-14"/>
          <w:sz w:val="35"/>
          <w:szCs w:val="35"/>
          <w:rtl/>
        </w:rPr>
        <w:lastRenderedPageBreak/>
        <w:t>•</w:t>
      </w:r>
      <w:r>
        <w:rPr>
          <w:rFonts w:hint="cs"/>
          <w:spacing w:val="-14"/>
          <w:sz w:val="35"/>
          <w:szCs w:val="35"/>
          <w:rtl/>
        </w:rPr>
        <w:t xml:space="preserve"> إنّ الرجل إذا سأل غيره من أهل الطريق</w:t>
      </w:r>
      <w:r>
        <w:rPr>
          <w:rFonts w:hint="cs"/>
          <w:spacing w:val="-14"/>
          <w:vertAlign w:val="superscript"/>
          <w:rtl/>
        </w:rPr>
        <w:t>(</w:t>
      </w:r>
      <w:r>
        <w:rPr>
          <w:rStyle w:val="a7"/>
          <w:spacing w:val="-14"/>
          <w:rtl/>
        </w:rPr>
        <w:footnoteReference w:id="4759"/>
      </w:r>
      <w:r>
        <w:rPr>
          <w:rFonts w:hint="cs"/>
          <w:spacing w:val="-14"/>
          <w:vertAlign w:val="superscript"/>
          <w:rtl/>
        </w:rPr>
        <w:t>)</w:t>
      </w:r>
      <w:r>
        <w:rPr>
          <w:rFonts w:hint="cs"/>
          <w:spacing w:val="-14"/>
          <w:rtl/>
        </w:rPr>
        <w:t xml:space="preserve">. </w:t>
      </w:r>
      <w:r>
        <w:rPr>
          <w:rFonts w:hint="cs"/>
          <w:spacing w:val="-14"/>
          <w:sz w:val="35"/>
          <w:szCs w:val="35"/>
          <w:rtl/>
        </w:rPr>
        <w:t>فقال: أسْلُكْ هذا الطريق, فإنه آمن. فسلك</w:t>
      </w:r>
      <w:r>
        <w:rPr>
          <w:rStyle w:val="a7"/>
          <w:spacing w:val="-14"/>
          <w:rtl/>
        </w:rPr>
        <w:footnoteReference w:id="4760"/>
      </w:r>
      <w:r>
        <w:rPr>
          <w:rFonts w:hint="cs"/>
          <w:spacing w:val="-14"/>
          <w:rtl/>
        </w:rPr>
        <w:t>. فإذا فيه لصوص سلبوا أموالَهُ :لم يضمن المُخبِرُ شيئًا؛ لأنه غرور فيما ليس بمعاوضة.</w:t>
      </w:r>
    </w:p>
    <w:p w:rsidR="003D5367" w:rsidRDefault="003D5367" w:rsidP="003D5367">
      <w:pPr>
        <w:ind w:left="849" w:hanging="282"/>
        <w:rPr>
          <w:rtl/>
        </w:rPr>
      </w:pPr>
      <w:r>
        <w:rPr>
          <w:rtl/>
        </w:rPr>
        <w:t>•</w:t>
      </w:r>
      <w:r>
        <w:rPr>
          <w:rFonts w:hint="cs"/>
          <w:rtl/>
        </w:rPr>
        <w:t xml:space="preserve"> وكذا لو قال : كُلْ هذا الطعام, فإنه غير مسموم. فأكل, وظهر</w:t>
      </w:r>
      <w:r>
        <w:rPr>
          <w:rStyle w:val="a7"/>
          <w:rtl/>
        </w:rPr>
        <w:footnoteReference w:id="4761"/>
      </w:r>
      <w:r>
        <w:rPr>
          <w:rFonts w:hint="cs"/>
          <w:rtl/>
        </w:rPr>
        <w:t xml:space="preserve"> خلافه : لا يضمن؛ لكونه تغريرًا في غير المعاوضة</w:t>
      </w:r>
      <w:r>
        <w:rPr>
          <w:rFonts w:hint="eastAsia"/>
          <w:rtl/>
        </w:rPr>
        <w:t>»</w:t>
      </w:r>
      <w:r>
        <w:rPr>
          <w:rFonts w:hint="cs"/>
          <w:vertAlign w:val="superscript"/>
          <w:rtl/>
        </w:rPr>
        <w:t>(</w:t>
      </w:r>
      <w:r>
        <w:rPr>
          <w:rStyle w:val="a7"/>
          <w:rtl/>
        </w:rPr>
        <w:footnoteReference w:id="4762"/>
      </w:r>
      <w:r>
        <w:rPr>
          <w:rFonts w:hint="cs"/>
          <w:vertAlign w:val="superscript"/>
          <w:rtl/>
        </w:rPr>
        <w:t>)</w:t>
      </w:r>
      <w:r>
        <w:rPr>
          <w:rFonts w:hint="cs"/>
          <w:rtl/>
        </w:rPr>
        <w:t>.</w:t>
      </w:r>
    </w:p>
    <w:p w:rsidR="003D5367" w:rsidRDefault="003D5367" w:rsidP="003D5367">
      <w:pPr>
        <w:ind w:left="849" w:hanging="282"/>
      </w:pPr>
      <w:r>
        <w:rPr>
          <w:rtl/>
        </w:rPr>
        <w:t>•</w:t>
      </w:r>
      <w:r>
        <w:rPr>
          <w:rFonts w:hint="cs"/>
          <w:rtl/>
        </w:rPr>
        <w:t xml:space="preserve"> وكذا : الرهن </w:t>
      </w:r>
      <w:r>
        <w:rPr>
          <w:rFonts w:hint="eastAsia"/>
          <w:rtl/>
        </w:rPr>
        <w:t>«</w:t>
      </w:r>
      <w:r>
        <w:rPr>
          <w:rFonts w:hint="cs"/>
          <w:rtl/>
        </w:rPr>
        <w:t>ليس بمعاوضة؛ بل هو وثيقة لاستيفاء عين حقِّه</w:t>
      </w:r>
      <w:r>
        <w:rPr>
          <w:rFonts w:hint="eastAsia"/>
          <w:rtl/>
        </w:rPr>
        <w:t>»</w:t>
      </w:r>
      <w:r>
        <w:rPr>
          <w:rFonts w:hint="cs"/>
          <w:vertAlign w:val="superscript"/>
          <w:rtl/>
        </w:rPr>
        <w:t>(</w:t>
      </w:r>
      <w:r>
        <w:rPr>
          <w:rStyle w:val="a7"/>
          <w:rtl/>
        </w:rPr>
        <w:footnoteReference w:id="4763"/>
      </w:r>
      <w:r>
        <w:rPr>
          <w:rFonts w:hint="cs"/>
          <w:vertAlign w:val="superscript"/>
          <w:rtl/>
        </w:rPr>
        <w:t>)</w:t>
      </w:r>
      <w:r>
        <w:rPr>
          <w:rFonts w:hint="cs"/>
          <w:rtl/>
        </w:rPr>
        <w:t>. فلو قال</w:t>
      </w:r>
      <w:r>
        <w:rPr>
          <w:rStyle w:val="a7"/>
          <w:rtl/>
        </w:rPr>
        <w:footnoteReference w:id="4764"/>
      </w:r>
      <w:r>
        <w:rPr>
          <w:rFonts w:hint="cs"/>
          <w:rtl/>
        </w:rPr>
        <w:t xml:space="preserve"> الرجل : ارتَـهِـنِّـي</w:t>
      </w:r>
      <w:r>
        <w:rPr>
          <w:rStyle w:val="a7"/>
          <w:rtl/>
        </w:rPr>
        <w:footnoteReference w:id="4765"/>
      </w:r>
      <w:r>
        <w:rPr>
          <w:rFonts w:hint="cs"/>
          <w:rtl/>
        </w:rPr>
        <w:t xml:space="preserve"> فإني عبد. فوجده حرًّا : لم يرجع الـمُرتَـهِنُ عليه</w:t>
      </w:r>
      <w:r>
        <w:rPr>
          <w:rFonts w:hint="cs"/>
          <w:vertAlign w:val="superscript"/>
          <w:rtl/>
        </w:rPr>
        <w:t>(</w:t>
      </w:r>
      <w:r>
        <w:rPr>
          <w:rStyle w:val="a7"/>
          <w:rtl/>
        </w:rPr>
        <w:footnoteReference w:id="4766"/>
      </w:r>
      <w:r>
        <w:rPr>
          <w:rFonts w:hint="cs"/>
          <w:vertAlign w:val="superscript"/>
          <w:rtl/>
        </w:rPr>
        <w:t>)</w:t>
      </w:r>
      <w:r>
        <w:rPr>
          <w:rFonts w:hint="cs"/>
          <w:rtl/>
        </w:rPr>
        <w:t>, وإن مات الرّاهن مفلسًا</w:t>
      </w:r>
      <w:r>
        <w:rPr>
          <w:rFonts w:hint="cs"/>
          <w:vertAlign w:val="superscript"/>
          <w:rtl/>
        </w:rPr>
        <w:t>(</w:t>
      </w:r>
      <w:r>
        <w:rPr>
          <w:rStyle w:val="a7"/>
          <w:rtl/>
        </w:rPr>
        <w:footnoteReference w:id="4767"/>
      </w:r>
      <w:r>
        <w:rPr>
          <w:rFonts w:hint="cs"/>
          <w:vertAlign w:val="superscript"/>
          <w:rtl/>
        </w:rPr>
        <w:t>)</w:t>
      </w:r>
      <w:r>
        <w:rPr>
          <w:rFonts w:hint="cs"/>
          <w:rtl/>
        </w:rPr>
        <w:t>.</w:t>
      </w:r>
    </w:p>
    <w:p w:rsidR="003D5367" w:rsidRDefault="003D5367">
      <w:pPr>
        <w:ind w:left="567" w:right="567" w:firstLine="0"/>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left="567" w:right="567" w:firstLine="0"/>
        <w:jc w:val="center"/>
        <w:rPr>
          <w:rtl/>
        </w:rPr>
        <w:sectPr w:rsidR="003D5367" w:rsidSect="00F0471F">
          <w:headerReference w:type="default" r:id="rId28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4C397D" w:rsidRDefault="003D5367">
      <w:pPr>
        <w:pStyle w:val="a9"/>
        <w:rPr>
          <w:rFonts w:cs="AL-Mateen"/>
          <w:rtl/>
        </w:rPr>
      </w:pPr>
      <w:r w:rsidRPr="004C397D">
        <w:rPr>
          <w:rFonts w:cs="AL-Mateen" w:hint="cs"/>
          <w:rtl/>
        </w:rPr>
        <w:lastRenderedPageBreak/>
        <w:t>[ الـقـاعـدة الـحـاديـة والثـلاثـون بـعـد الـمـائـتـيـن ]</w:t>
      </w:r>
    </w:p>
    <w:p w:rsidR="003D5367" w:rsidRDefault="003D5367">
      <w:pPr>
        <w:rPr>
          <w:rtl/>
        </w:rPr>
      </w:pPr>
      <w:r>
        <w:rPr>
          <w:rFonts w:cs="Monotype Koufi" w:hint="cs"/>
          <w:rtl/>
        </w:rPr>
        <w:t>المَقَاصِدُ فِي العَرْضِ والعقارِ يتعلّق</w:t>
      </w:r>
      <w:r>
        <w:rPr>
          <w:rFonts w:hint="cs"/>
          <w:vertAlign w:val="superscript"/>
          <w:rtl/>
        </w:rPr>
        <w:t>(</w:t>
      </w:r>
      <w:r>
        <w:rPr>
          <w:rStyle w:val="a7"/>
          <w:rtl/>
        </w:rPr>
        <w:footnoteReference w:id="4768"/>
      </w:r>
      <w:r>
        <w:rPr>
          <w:rFonts w:hint="cs"/>
          <w:vertAlign w:val="superscript"/>
          <w:rtl/>
        </w:rPr>
        <w:t>)</w:t>
      </w:r>
      <w:r>
        <w:rPr>
          <w:rFonts w:cs="Monotype Koufi" w:hint="cs"/>
          <w:rtl/>
        </w:rPr>
        <w:t xml:space="preserve"> بصورِهما وأعيانِهما</w:t>
      </w:r>
      <w:r>
        <w:rPr>
          <w:rFonts w:hint="cs"/>
          <w:vertAlign w:val="superscript"/>
          <w:rtl/>
        </w:rPr>
        <w:t>(</w:t>
      </w:r>
      <w:r>
        <w:rPr>
          <w:rStyle w:val="a7"/>
          <w:rtl/>
        </w:rPr>
        <w:footnoteReference w:id="4769"/>
      </w:r>
      <w:r>
        <w:rPr>
          <w:rFonts w:hint="cs"/>
          <w:vertAlign w:val="superscript"/>
          <w:rtl/>
        </w:rPr>
        <w:t>)</w:t>
      </w:r>
      <w:r>
        <w:rPr>
          <w:rFonts w:hint="cs"/>
          <w:rtl/>
        </w:rPr>
        <w:t>:</w:t>
      </w:r>
    </w:p>
    <w:p w:rsidR="003D5367" w:rsidRDefault="003D5367">
      <w:pPr>
        <w:rPr>
          <w:rtl/>
        </w:rPr>
        <w:sectPr w:rsidR="003D5367" w:rsidSect="00F0471F">
          <w:headerReference w:type="default" r:id="rId289"/>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b/>
          <w:bCs/>
          <w:rtl/>
        </w:rPr>
        <w:t xml:space="preserve">ولهذا </w:t>
      </w:r>
      <w:r>
        <w:rPr>
          <w:rFonts w:hint="cs"/>
          <w:rtl/>
        </w:rPr>
        <w:t xml:space="preserve">: </w:t>
      </w:r>
      <w:r>
        <w:rPr>
          <w:rFonts w:hint="eastAsia"/>
          <w:rtl/>
        </w:rPr>
        <w:t>«</w:t>
      </w:r>
      <w:r>
        <w:rPr>
          <w:rFonts w:hint="cs"/>
          <w:rtl/>
        </w:rPr>
        <w:t>لا يبيع القاضِي عرض المديونِ وعقارَه لدراهم</w:t>
      </w:r>
      <w:r>
        <w:rPr>
          <w:rStyle w:val="a7"/>
          <w:rtl/>
        </w:rPr>
        <w:footnoteReference w:id="4770"/>
      </w:r>
      <w:r>
        <w:rPr>
          <w:rFonts w:hint="cs"/>
          <w:rtl/>
        </w:rPr>
        <w:t xml:space="preserve">  دينه؛ إذ</w:t>
      </w:r>
      <w:r>
        <w:rPr>
          <w:rStyle w:val="a7"/>
          <w:rtl/>
        </w:rPr>
        <w:footnoteReference w:id="4771"/>
      </w:r>
      <w:r>
        <w:rPr>
          <w:rFonts w:hint="cs"/>
          <w:rtl/>
        </w:rPr>
        <w:t xml:space="preserve"> ليس </w:t>
      </w:r>
      <w:r>
        <w:rPr>
          <w:rFonts w:hint="cs"/>
          <w:rtl/>
        </w:rPr>
        <w:lastRenderedPageBreak/>
        <w:t>للقاضي أن ينظر لغرمائه على وجه يُلْحِق الضرر إلى المديون</w:t>
      </w:r>
      <w:r>
        <w:rPr>
          <w:rFonts w:hint="eastAsia"/>
          <w:rtl/>
        </w:rPr>
        <w:t>»</w:t>
      </w:r>
      <w:r>
        <w:rPr>
          <w:rFonts w:hint="cs"/>
          <w:vertAlign w:val="superscript"/>
          <w:rtl/>
        </w:rPr>
        <w:t>(</w:t>
      </w:r>
      <w:r>
        <w:rPr>
          <w:rStyle w:val="a7"/>
          <w:rtl/>
        </w:rPr>
        <w:footnoteReference w:id="4772"/>
      </w:r>
      <w:r>
        <w:rPr>
          <w:rFonts w:hint="cs"/>
          <w:vertAlign w:val="superscript"/>
          <w:rtl/>
        </w:rPr>
        <w:t>)</w:t>
      </w:r>
      <w:r>
        <w:rPr>
          <w:rFonts w:hint="cs"/>
          <w:rtl/>
        </w:rPr>
        <w:t>؛ لأن العروض والعقار من حوائجه الأصليّة, بخلاف بيع دنانيره لدراهم دينه, وبالعكس</w:t>
      </w:r>
      <w:r>
        <w:rPr>
          <w:rFonts w:hint="cs"/>
          <w:vertAlign w:val="superscript"/>
          <w:rtl/>
        </w:rPr>
        <w:t>(</w:t>
      </w:r>
      <w:r>
        <w:rPr>
          <w:rStyle w:val="a7"/>
          <w:rtl/>
        </w:rPr>
        <w:footnoteReference w:id="4773"/>
      </w:r>
      <w:r>
        <w:rPr>
          <w:rFonts w:hint="cs"/>
          <w:vertAlign w:val="superscript"/>
          <w:rtl/>
        </w:rPr>
        <w:t>)</w:t>
      </w:r>
      <w:r>
        <w:rPr>
          <w:rFonts w:hint="cs"/>
          <w:rtl/>
        </w:rPr>
        <w:t>؛ لأن المقصود في النقود : المالية, والمديون</w:t>
      </w:r>
      <w:r>
        <w:rPr>
          <w:rStyle w:val="a7"/>
          <w:rtl/>
        </w:rPr>
        <w:footnoteReference w:id="4774"/>
      </w:r>
      <w:r>
        <w:rPr>
          <w:rFonts w:hint="cs"/>
          <w:rtl/>
        </w:rPr>
        <w:t xml:space="preserve"> بها مُتَمَوِّل</w:t>
      </w:r>
      <w:r>
        <w:rPr>
          <w:rStyle w:val="a7"/>
          <w:rtl/>
        </w:rPr>
        <w:footnoteReference w:id="4775"/>
      </w:r>
      <w:r>
        <w:rPr>
          <w:rFonts w:hint="cs"/>
          <w:vertAlign w:val="superscript"/>
          <w:rtl/>
        </w:rPr>
        <w:t>(</w:t>
      </w:r>
      <w:r>
        <w:rPr>
          <w:rStyle w:val="a7"/>
          <w:rtl/>
        </w:rPr>
        <w:footnoteReference w:id="4776"/>
      </w:r>
      <w:r>
        <w:rPr>
          <w:rFonts w:hint="cs"/>
          <w:vertAlign w:val="superscript"/>
          <w:rtl/>
        </w:rPr>
        <w:t>)</w:t>
      </w:r>
      <w:r>
        <w:rPr>
          <w:rFonts w:hint="cs"/>
          <w:rtl/>
        </w:rPr>
        <w:t xml:space="preserve"> , والتماطل من المديون المتمول ظلم وجور, فجاز للقاضي أن ينظر لغرمائه, ويبيع دنانيره لدراهم دينه أو بالعكس؛ لأن النقود ليست من حوائجه الأصلية, ولا يتضّرر المديون</w:t>
      </w:r>
      <w:r>
        <w:rPr>
          <w:rStyle w:val="a7"/>
          <w:rtl/>
        </w:rPr>
        <w:footnoteReference w:id="4777"/>
      </w:r>
      <w:r>
        <w:rPr>
          <w:rFonts w:hint="cs"/>
          <w:rtl/>
        </w:rPr>
        <w:t xml:space="preserve"> ببيعه</w:t>
      </w:r>
      <w:r>
        <w:rPr>
          <w:rFonts w:hint="cs"/>
          <w:vertAlign w:val="superscript"/>
          <w:rtl/>
        </w:rPr>
        <w:t>(</w:t>
      </w:r>
      <w:r>
        <w:rPr>
          <w:rStyle w:val="a7"/>
          <w:rtl/>
        </w:rPr>
        <w:footnoteReference w:id="4778"/>
      </w:r>
      <w:r>
        <w:rPr>
          <w:rFonts w:hint="cs"/>
          <w:vertAlign w:val="superscript"/>
          <w:rtl/>
        </w:rPr>
        <w:t>)</w:t>
      </w:r>
      <w:r>
        <w:rPr>
          <w:rFonts w:hint="cs"/>
          <w:rtl/>
        </w:rPr>
        <w:t xml:space="preserve"> ؛ لأن أداء الدّين وبيع القاضي [مانع]</w:t>
      </w:r>
      <w:r>
        <w:rPr>
          <w:rFonts w:hint="cs"/>
          <w:vertAlign w:val="superscript"/>
          <w:rtl/>
        </w:rPr>
        <w:t>(</w:t>
      </w:r>
      <w:r>
        <w:rPr>
          <w:rStyle w:val="a7"/>
          <w:rtl/>
        </w:rPr>
        <w:footnoteReference w:id="4779"/>
      </w:r>
      <w:r>
        <w:rPr>
          <w:rFonts w:hint="cs"/>
          <w:vertAlign w:val="superscript"/>
          <w:rtl/>
        </w:rPr>
        <w:t>)</w:t>
      </w:r>
      <w:r>
        <w:rPr>
          <w:rFonts w:hint="cs"/>
          <w:rtl/>
        </w:rPr>
        <w:t xml:space="preserve"> للغريم باستيفاء دينه, وللمديون بأداء دينه, ومن </w:t>
      </w:r>
      <w:r>
        <w:rPr>
          <w:rFonts w:hint="cs"/>
          <w:rtl/>
        </w:rPr>
        <w:lastRenderedPageBreak/>
        <w:t>الجائز أن [ينفي]</w:t>
      </w:r>
      <w:r>
        <w:rPr>
          <w:rStyle w:val="a7"/>
          <w:rtl/>
        </w:rPr>
        <w:footnoteReference w:id="4780"/>
      </w:r>
      <w:r>
        <w:rPr>
          <w:rFonts w:hint="cs"/>
          <w:rtl/>
        </w:rPr>
        <w:t xml:space="preserve"> النقود</w:t>
      </w:r>
      <w:r>
        <w:rPr>
          <w:rStyle w:val="a7"/>
          <w:rtl/>
        </w:rPr>
        <w:footnoteReference w:id="4781"/>
      </w:r>
      <w:r>
        <w:rPr>
          <w:rFonts w:hint="cs"/>
          <w:rtl/>
        </w:rPr>
        <w:t xml:space="preserve"> ويبقى الدّين عليه, فيتضرر المديون بتقدير عدم البيع. </w:t>
      </w:r>
    </w:p>
    <w:p w:rsidR="003D5367" w:rsidRPr="002A4E79" w:rsidRDefault="003D5367">
      <w:pPr>
        <w:pStyle w:val="a9"/>
        <w:rPr>
          <w:rFonts w:cs="AL-Mateen"/>
          <w:rtl/>
        </w:rPr>
      </w:pPr>
      <w:r w:rsidRPr="002A4E79">
        <w:rPr>
          <w:rFonts w:cs="AL-Mateen" w:hint="cs"/>
          <w:rtl/>
        </w:rPr>
        <w:lastRenderedPageBreak/>
        <w:t xml:space="preserve">  [ الـقـاعـدة الـثـانـيـة والـثـلاثـون بـعـد الـمـائـتـيـن ]</w:t>
      </w:r>
    </w:p>
    <w:p w:rsidR="003D5367" w:rsidRDefault="003D5367">
      <w:pPr>
        <w:rPr>
          <w:rtl/>
        </w:rPr>
      </w:pPr>
      <w:r>
        <w:rPr>
          <w:rFonts w:cs="Monotype Koufi" w:hint="cs"/>
          <w:rtl/>
        </w:rPr>
        <w:t>المَقْضِيُّ عَلَيْهِ</w:t>
      </w:r>
      <w:r>
        <w:rPr>
          <w:rStyle w:val="a7"/>
          <w:rtl/>
        </w:rPr>
        <w:footnoteReference w:id="4782"/>
      </w:r>
      <w:r>
        <w:rPr>
          <w:rFonts w:hint="cs"/>
          <w:rtl/>
        </w:rPr>
        <w:t xml:space="preserve"> </w:t>
      </w:r>
      <w:r>
        <w:rPr>
          <w:rFonts w:cs="Monotype Koufi" w:hint="cs"/>
          <w:rtl/>
        </w:rPr>
        <w:t>فِي حَادِثَةٍ : لاَ تُسْمَعُ دَعْوَاهُ ولا بَيِّنَتُهُ</w:t>
      </w:r>
      <w:r>
        <w:rPr>
          <w:rFonts w:hint="cs"/>
          <w:vertAlign w:val="superscript"/>
          <w:rtl/>
        </w:rPr>
        <w:t>(</w:t>
      </w:r>
      <w:r>
        <w:rPr>
          <w:rStyle w:val="a7"/>
          <w:rtl/>
        </w:rPr>
        <w:footnoteReference w:id="4783"/>
      </w:r>
      <w:r>
        <w:rPr>
          <w:rFonts w:hint="cs"/>
          <w:vertAlign w:val="superscript"/>
          <w:rtl/>
        </w:rPr>
        <w:t>)</w:t>
      </w:r>
      <w:r>
        <w:rPr>
          <w:rFonts w:hint="cs"/>
          <w:rtl/>
        </w:rPr>
        <w:t>:</w:t>
      </w:r>
    </w:p>
    <w:p w:rsidR="003D5367" w:rsidRDefault="003D5367">
      <w:pPr>
        <w:rPr>
          <w:rtl/>
        </w:rPr>
      </w:pPr>
      <w:r>
        <w:rPr>
          <w:rFonts w:hint="cs"/>
          <w:b/>
          <w:bCs/>
          <w:rtl/>
        </w:rPr>
        <w:t>واستُثنـي</w:t>
      </w:r>
      <w:r>
        <w:rPr>
          <w:rFonts w:hint="cs"/>
          <w:rtl/>
        </w:rPr>
        <w:t xml:space="preserve"> عن هذا الأصل مسائل :  </w:t>
      </w:r>
    </w:p>
    <w:p w:rsidR="003D5367" w:rsidRPr="00971C21" w:rsidRDefault="003D5367" w:rsidP="003D5367">
      <w:pPr>
        <w:rPr>
          <w:spacing w:val="2"/>
        </w:rPr>
      </w:pPr>
      <w:r w:rsidRPr="00971C21">
        <w:rPr>
          <w:b/>
          <w:bCs/>
          <w:spacing w:val="2"/>
          <w:rtl/>
        </w:rPr>
        <w:t>•</w:t>
      </w:r>
      <w:r w:rsidRPr="00971C21">
        <w:rPr>
          <w:rFonts w:hint="cs"/>
          <w:b/>
          <w:bCs/>
          <w:spacing w:val="2"/>
          <w:rtl/>
        </w:rPr>
        <w:t xml:space="preserve">  ومنها</w:t>
      </w:r>
      <w:r w:rsidRPr="00971C21">
        <w:rPr>
          <w:rFonts w:hint="cs"/>
          <w:spacing w:val="2"/>
          <w:rtl/>
        </w:rPr>
        <w:t xml:space="preserve"> </w:t>
      </w:r>
      <w:r w:rsidRPr="00971C21">
        <w:rPr>
          <w:rFonts w:hint="cs"/>
          <w:spacing w:val="4"/>
          <w:rtl/>
        </w:rPr>
        <w:t>: إذا ادّعى</w:t>
      </w:r>
      <w:r w:rsidRPr="00971C21">
        <w:rPr>
          <w:rFonts w:hint="cs"/>
          <w:spacing w:val="2"/>
          <w:rtl/>
        </w:rPr>
        <w:t xml:space="preserve"> المقضيُّ عليه تـلقِّي الملك من الـمدَّع</w:t>
      </w:r>
      <w:r>
        <w:rPr>
          <w:rFonts w:hint="cs"/>
          <w:spacing w:val="2"/>
          <w:rtl/>
        </w:rPr>
        <w:t>ـ</w:t>
      </w:r>
      <w:r w:rsidRPr="00971C21">
        <w:rPr>
          <w:rFonts w:hint="cs"/>
          <w:spacing w:val="2"/>
          <w:rtl/>
        </w:rPr>
        <w:t>ي والنِّـتـاج</w:t>
      </w:r>
      <w:r w:rsidRPr="00971C21">
        <w:rPr>
          <w:rFonts w:hint="cs"/>
          <w:spacing w:val="2"/>
          <w:vertAlign w:val="superscript"/>
          <w:rtl/>
        </w:rPr>
        <w:t>(</w:t>
      </w:r>
      <w:r w:rsidRPr="00971C21">
        <w:rPr>
          <w:rStyle w:val="a7"/>
          <w:spacing w:val="2"/>
          <w:rtl/>
        </w:rPr>
        <w:footnoteReference w:id="4784"/>
      </w:r>
      <w:r w:rsidRPr="00971C21">
        <w:rPr>
          <w:rFonts w:hint="cs"/>
          <w:spacing w:val="2"/>
          <w:vertAlign w:val="superscript"/>
          <w:rtl/>
        </w:rPr>
        <w:t>)</w:t>
      </w:r>
      <w:r w:rsidRPr="00971C21">
        <w:rPr>
          <w:rFonts w:hint="cs"/>
          <w:spacing w:val="2"/>
          <w:rtl/>
        </w:rPr>
        <w:t xml:space="preserve">, </w:t>
      </w:r>
    </w:p>
    <w:p w:rsidR="003D5367" w:rsidRDefault="003D5367">
      <w:pPr>
        <w:rPr>
          <w:rtl/>
        </w:rPr>
      </w:pPr>
      <w:r>
        <w:rPr>
          <w:rFonts w:hint="cs"/>
          <w:rtl/>
        </w:rPr>
        <w:lastRenderedPageBreak/>
        <w:t>أو بطلان القضاء : [فتسمع]</w:t>
      </w:r>
      <w:r>
        <w:rPr>
          <w:rStyle w:val="a7"/>
          <w:rtl/>
        </w:rPr>
        <w:footnoteReference w:id="4785"/>
      </w:r>
      <w:r>
        <w:rPr>
          <w:rFonts w:hint="cs"/>
          <w:rtl/>
        </w:rPr>
        <w:t xml:space="preserve"> بينته، ويقضى له</w:t>
      </w:r>
      <w:r>
        <w:rPr>
          <w:rFonts w:hint="cs"/>
          <w:vertAlign w:val="superscript"/>
          <w:rtl/>
        </w:rPr>
        <w:t>(</w:t>
      </w:r>
      <w:r>
        <w:rPr>
          <w:rStyle w:val="a7"/>
          <w:rtl/>
        </w:rPr>
        <w:footnoteReference w:id="4786"/>
      </w:r>
      <w:r>
        <w:rPr>
          <w:rFonts w:hint="cs"/>
          <w:vertAlign w:val="superscript"/>
          <w:rtl/>
        </w:rPr>
        <w:t>)(</w:t>
      </w:r>
      <w:r>
        <w:rPr>
          <w:rStyle w:val="a7"/>
          <w:rtl/>
        </w:rPr>
        <w:footnoteReference w:id="4787"/>
      </w:r>
      <w:r>
        <w:rPr>
          <w:rFonts w:hint="cs"/>
          <w:vertAlign w:val="superscript"/>
          <w:rtl/>
        </w:rPr>
        <w:t>)</w:t>
      </w:r>
      <w:r>
        <w:rPr>
          <w:rFonts w:hint="cs"/>
          <w:rtl/>
        </w:rPr>
        <w:t>.</w:t>
      </w:r>
    </w:p>
    <w:p w:rsidR="003D5367" w:rsidRDefault="003D5367" w:rsidP="003D5367">
      <w:pPr>
        <w:ind w:left="567" w:firstLine="0"/>
        <w:rPr>
          <w:spacing w:val="-4"/>
          <w:rtl/>
        </w:rPr>
      </w:pPr>
      <w:r>
        <w:rPr>
          <w:rFonts w:hint="cs"/>
          <w:b/>
          <w:bCs/>
          <w:spacing w:val="-4"/>
          <w:rtl/>
        </w:rPr>
        <w:t>والجواب</w:t>
      </w:r>
      <w:r>
        <w:rPr>
          <w:rFonts w:hint="cs"/>
          <w:spacing w:val="-4"/>
          <w:rtl/>
        </w:rPr>
        <w:t xml:space="preserve"> : أنها من باب الدفع, وقد مرّ</w:t>
      </w:r>
      <w:r>
        <w:rPr>
          <w:rFonts w:hint="cs"/>
          <w:spacing w:val="-4"/>
          <w:vertAlign w:val="superscript"/>
          <w:rtl/>
        </w:rPr>
        <w:t>(</w:t>
      </w:r>
      <w:r>
        <w:rPr>
          <w:rStyle w:val="a7"/>
          <w:spacing w:val="-4"/>
          <w:rtl/>
        </w:rPr>
        <w:footnoteReference w:id="4788"/>
      </w:r>
      <w:r>
        <w:rPr>
          <w:rFonts w:hint="cs"/>
          <w:spacing w:val="-4"/>
          <w:vertAlign w:val="superscript"/>
          <w:rtl/>
        </w:rPr>
        <w:t>)</w:t>
      </w:r>
      <w:r>
        <w:rPr>
          <w:rFonts w:hint="cs"/>
          <w:spacing w:val="-4"/>
          <w:rtl/>
        </w:rPr>
        <w:t xml:space="preserve"> أنّ الدفع بواحد مما ذكر صحيح, قبل القضاء</w:t>
      </w:r>
      <w:r>
        <w:rPr>
          <w:rStyle w:val="a7"/>
          <w:spacing w:val="-4"/>
          <w:rtl/>
        </w:rPr>
        <w:footnoteReference w:id="4789"/>
      </w:r>
      <w:r>
        <w:rPr>
          <w:rFonts w:hint="cs"/>
          <w:spacing w:val="-4"/>
          <w:rtl/>
        </w:rPr>
        <w:t xml:space="preserve"> وبعده، وينتقض القضاء</w:t>
      </w:r>
      <w:r>
        <w:rPr>
          <w:rFonts w:hint="cs"/>
          <w:spacing w:val="-4"/>
          <w:vertAlign w:val="superscript"/>
          <w:rtl/>
        </w:rPr>
        <w:t>(</w:t>
      </w:r>
      <w:r>
        <w:rPr>
          <w:rStyle w:val="a7"/>
          <w:spacing w:val="-4"/>
          <w:rtl/>
        </w:rPr>
        <w:footnoteReference w:id="4790"/>
      </w:r>
      <w:r>
        <w:rPr>
          <w:rFonts w:hint="cs"/>
          <w:spacing w:val="-4"/>
          <w:vertAlign w:val="superscript"/>
          <w:rtl/>
        </w:rPr>
        <w:t>)</w:t>
      </w:r>
      <w:r>
        <w:rPr>
          <w:rFonts w:hint="cs"/>
          <w:spacing w:val="-4"/>
          <w:rtl/>
        </w:rPr>
        <w:t>؛ لأن</w:t>
      </w:r>
      <w:r>
        <w:rPr>
          <w:rFonts w:hint="cs"/>
          <w:spacing w:val="-4"/>
          <w:vertAlign w:val="superscript"/>
          <w:rtl/>
        </w:rPr>
        <w:t>(</w:t>
      </w:r>
      <w:r>
        <w:rPr>
          <w:rStyle w:val="a7"/>
          <w:spacing w:val="-4"/>
          <w:rtl/>
        </w:rPr>
        <w:footnoteReference w:id="4791"/>
      </w:r>
      <w:r>
        <w:rPr>
          <w:rFonts w:hint="cs"/>
          <w:spacing w:val="-4"/>
          <w:vertAlign w:val="superscript"/>
          <w:rtl/>
        </w:rPr>
        <w:t>)</w:t>
      </w:r>
      <w:r>
        <w:rPr>
          <w:rFonts w:hint="cs"/>
          <w:spacing w:val="-4"/>
          <w:rtl/>
        </w:rPr>
        <w:t xml:space="preserve"> ما ادّعى المقضي له غير ما ادعى المقضي عليه, فلا يكون دعواهما في حادثة واحدة؛ لأن المقضي له ادعى</w:t>
      </w:r>
      <w:r>
        <w:rPr>
          <w:rStyle w:val="a7"/>
          <w:spacing w:val="-4"/>
          <w:rtl/>
        </w:rPr>
        <w:footnoteReference w:id="4792"/>
      </w:r>
      <w:r>
        <w:rPr>
          <w:rFonts w:hint="cs"/>
          <w:spacing w:val="-4"/>
          <w:rtl/>
        </w:rPr>
        <w:t xml:space="preserve"> الملك المطلق، ودعوى المقضي عليه دعوى تلقي الملك والنتاج, أو بطلان القضاء. ففي قولهم : ينتقض القضاء نوعُ تـجوّز؛ لأن الانتقاض يَقْتَضي [الناقض]</w:t>
      </w:r>
      <w:r>
        <w:rPr>
          <w:rStyle w:val="a7"/>
          <w:spacing w:val="-4"/>
          <w:rtl/>
        </w:rPr>
        <w:footnoteReference w:id="4793"/>
      </w:r>
      <w:r>
        <w:rPr>
          <w:rFonts w:hint="cs"/>
          <w:spacing w:val="-4"/>
          <w:rtl/>
        </w:rPr>
        <w:t>.</w:t>
      </w:r>
    </w:p>
    <w:p w:rsidR="003D5367" w:rsidRDefault="003D5367">
      <w:pPr>
        <w:rPr>
          <w:rtl/>
        </w:rPr>
      </w:pPr>
      <w:r>
        <w:rPr>
          <w:rFonts w:hint="cs"/>
          <w:rtl/>
        </w:rPr>
        <w:t>واعلم أن عدم جواز استماع المقضي عليه [ليس]</w:t>
      </w:r>
      <w:r>
        <w:rPr>
          <w:rStyle w:val="a7"/>
          <w:rtl/>
        </w:rPr>
        <w:footnoteReference w:id="4794"/>
      </w:r>
      <w:r>
        <w:rPr>
          <w:rFonts w:hint="cs"/>
          <w:rtl/>
        </w:rPr>
        <w:t xml:space="preserve"> بمطلق؛ بل مقيّد بأن يكون القضاء بالبينة.</w:t>
      </w:r>
    </w:p>
    <w:p w:rsidR="003D5367" w:rsidRDefault="003D5367">
      <w:pPr>
        <w:rPr>
          <w:rtl/>
        </w:rPr>
      </w:pPr>
      <w:r>
        <w:rPr>
          <w:rFonts w:hint="cs"/>
          <w:rtl/>
        </w:rPr>
        <w:lastRenderedPageBreak/>
        <w:t>وأما إذا قُضِيَ عليه بالنكول : [تسمع]</w:t>
      </w:r>
      <w:r>
        <w:rPr>
          <w:rStyle w:val="a7"/>
          <w:rtl/>
        </w:rPr>
        <w:footnoteReference w:id="4795"/>
      </w:r>
      <w:r>
        <w:rPr>
          <w:rFonts w:hint="cs"/>
          <w:rtl/>
        </w:rPr>
        <w:t xml:space="preserve"> دعواه</w:t>
      </w:r>
      <w:r>
        <w:rPr>
          <w:rFonts w:hint="cs"/>
          <w:vertAlign w:val="superscript"/>
          <w:rtl/>
        </w:rPr>
        <w:t>(</w:t>
      </w:r>
      <w:r>
        <w:rPr>
          <w:rStyle w:val="a7"/>
          <w:rtl/>
        </w:rPr>
        <w:footnoteReference w:id="4796"/>
      </w:r>
      <w:r>
        <w:rPr>
          <w:rFonts w:hint="cs"/>
          <w:vertAlign w:val="superscript"/>
          <w:rtl/>
        </w:rPr>
        <w:t>)</w:t>
      </w:r>
      <w:r>
        <w:rPr>
          <w:rFonts w:hint="cs"/>
          <w:rtl/>
        </w:rPr>
        <w:t>.</w:t>
      </w:r>
    </w:p>
    <w:p w:rsidR="003D5367" w:rsidRDefault="003D5367" w:rsidP="003D5367">
      <w:pPr>
        <w:ind w:left="989" w:hanging="422"/>
        <w:rPr>
          <w:rtl/>
        </w:rPr>
      </w:pPr>
      <w:r>
        <w:rPr>
          <w:b/>
          <w:bCs/>
          <w:rtl/>
        </w:rPr>
        <w:t>•</w:t>
      </w:r>
      <w:r>
        <w:rPr>
          <w:rFonts w:hint="cs"/>
          <w:b/>
          <w:bCs/>
          <w:rtl/>
        </w:rPr>
        <w:t xml:space="preserve">   ومنها</w:t>
      </w:r>
      <w:r>
        <w:rPr>
          <w:rFonts w:hint="cs"/>
          <w:rtl/>
        </w:rPr>
        <w:t xml:space="preserve"> : ما لو ادعى رجل على رجلٍ مالاً, ويقضي القاضي للمدّعي [ببينة]</w:t>
      </w:r>
      <w:r>
        <w:rPr>
          <w:rStyle w:val="a7"/>
          <w:rtl/>
        </w:rPr>
        <w:footnoteReference w:id="4797"/>
      </w:r>
      <w:r>
        <w:rPr>
          <w:rFonts w:hint="cs"/>
          <w:rtl/>
        </w:rPr>
        <w:t>, ثم قال المدعي : كنت كاذبًا فيما ادعيتُ : يَسمع دعوى المقضيّ عليه</w:t>
      </w:r>
      <w:r>
        <w:rPr>
          <w:rStyle w:val="a7"/>
          <w:rtl/>
        </w:rPr>
        <w:footnoteReference w:id="4798"/>
      </w:r>
      <w:r>
        <w:rPr>
          <w:rFonts w:hint="cs"/>
          <w:rtl/>
        </w:rPr>
        <w:t xml:space="preserve"> ويبطل القضاء. وذلك داخل في دعوى بطلان القضاء.</w:t>
      </w:r>
    </w:p>
    <w:p w:rsidR="003D5367" w:rsidRDefault="003D5367" w:rsidP="003D5367">
      <w:pPr>
        <w:ind w:left="989" w:hanging="422"/>
        <w:rPr>
          <w:rtl/>
        </w:rPr>
      </w:pPr>
      <w:r>
        <w:rPr>
          <w:b/>
          <w:bCs/>
          <w:rtl/>
        </w:rPr>
        <w:t>•</w:t>
      </w:r>
      <w:r>
        <w:rPr>
          <w:rFonts w:hint="cs"/>
          <w:b/>
          <w:bCs/>
          <w:rtl/>
        </w:rPr>
        <w:t xml:space="preserve">   ويَرِدُ</w:t>
      </w:r>
      <w:r>
        <w:rPr>
          <w:rFonts w:hint="cs"/>
          <w:rtl/>
        </w:rPr>
        <w:t xml:space="preserve"> : أن العبد ادّعى حريّة نفسه, وقضى القاضي عليه [ببيّنة]</w:t>
      </w:r>
      <w:r>
        <w:rPr>
          <w:rStyle w:val="a7"/>
          <w:rtl/>
        </w:rPr>
        <w:footnoteReference w:id="4799"/>
      </w:r>
      <w:r>
        <w:rPr>
          <w:rFonts w:hint="cs"/>
          <w:rtl/>
        </w:rPr>
        <w:t xml:space="preserve"> أقَامها العبدُ, ثم قال العبد : كذبتُ, وأنا عبده : لا ينتقض القضاء في الصحيح.</w:t>
      </w:r>
    </w:p>
    <w:p w:rsidR="003D5367" w:rsidRDefault="003D5367" w:rsidP="003D5367">
      <w:pPr>
        <w:ind w:left="989" w:hanging="422"/>
        <w:rPr>
          <w:rtl/>
        </w:rPr>
      </w:pPr>
      <w:r>
        <w:rPr>
          <w:rFonts w:hint="cs"/>
          <w:b/>
          <w:bCs/>
          <w:rtl/>
        </w:rPr>
        <w:t xml:space="preserve">     والجواب</w:t>
      </w:r>
      <w:r>
        <w:rPr>
          <w:rFonts w:hint="cs"/>
          <w:rtl/>
        </w:rPr>
        <w:t xml:space="preserve"> : أن في الحرية حق الله تعالى, والعبد لا يقدر على إبطال حق الله تعالى, ولا كذلك</w:t>
      </w:r>
      <w:r>
        <w:rPr>
          <w:rFonts w:hint="cs"/>
          <w:vertAlign w:val="superscript"/>
          <w:rtl/>
        </w:rPr>
        <w:t>(</w:t>
      </w:r>
      <w:r>
        <w:rPr>
          <w:rStyle w:val="a7"/>
          <w:rtl/>
        </w:rPr>
        <w:footnoteReference w:id="4800"/>
      </w:r>
      <w:r>
        <w:rPr>
          <w:rFonts w:hint="cs"/>
          <w:vertAlign w:val="superscript"/>
          <w:rtl/>
        </w:rPr>
        <w:t>)</w:t>
      </w:r>
      <w:r>
        <w:rPr>
          <w:rFonts w:hint="cs"/>
          <w:rtl/>
        </w:rPr>
        <w:t xml:space="preserve"> الـمال؛ لأن الـمال حقُّ العبد, والعبد يقدر على إبطال حقه.</w:t>
      </w:r>
    </w:p>
    <w:p w:rsidR="003D5367" w:rsidRDefault="003D5367">
      <w:pPr>
        <w:rPr>
          <w:rtl/>
        </w:rPr>
      </w:pPr>
    </w:p>
    <w:p w:rsidR="003D5367" w:rsidRDefault="003D5367">
      <w:pPr>
        <w:rPr>
          <w:rtl/>
        </w:rPr>
      </w:pPr>
    </w:p>
    <w:p w:rsidR="003D5367" w:rsidRDefault="003D5367">
      <w:pPr>
        <w:rPr>
          <w:rtl/>
        </w:rPr>
      </w:pPr>
    </w:p>
    <w:p w:rsidR="003D5367"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pPr>
    </w:p>
    <w:p w:rsidR="003D5367" w:rsidRDefault="003D5367">
      <w:pPr>
        <w:rPr>
          <w:rtl/>
        </w:rPr>
        <w:sectPr w:rsidR="003D5367" w:rsidSect="00F0471F">
          <w:headerReference w:type="default" r:id="rId29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0D15C9" w:rsidRDefault="003D5367">
      <w:pPr>
        <w:pStyle w:val="a9"/>
        <w:rPr>
          <w:rFonts w:cs="AL-Mateen"/>
          <w:rtl/>
          <w:lang w:val="en-US"/>
        </w:rPr>
      </w:pPr>
      <w:r w:rsidRPr="000D15C9">
        <w:rPr>
          <w:rFonts w:cs="AL-Mateen" w:hint="cs"/>
          <w:rtl/>
          <w:lang w:val="en-US"/>
        </w:rPr>
        <w:lastRenderedPageBreak/>
        <w:t>[ الـقـاعـدة الـثـالـثـة والـثـلاثـون بـعـد الـمـائـتـيـن ]</w:t>
      </w:r>
    </w:p>
    <w:p w:rsidR="003D5367" w:rsidRDefault="003D5367">
      <w:pPr>
        <w:rPr>
          <w:rtl/>
        </w:rPr>
      </w:pPr>
      <w:r>
        <w:rPr>
          <w:rFonts w:cs="Monotype Koufi" w:hint="cs"/>
          <w:rtl/>
        </w:rPr>
        <w:t>المَقْبُوضُ عَلَى سَوْمِ الشِّرَاءِ مَضْمُونٌ بِقِيمَتِهِ</w:t>
      </w:r>
      <w:r>
        <w:rPr>
          <w:rFonts w:hint="cs"/>
          <w:vertAlign w:val="superscript"/>
          <w:rtl/>
        </w:rPr>
        <w:t>(</w:t>
      </w:r>
      <w:r>
        <w:rPr>
          <w:rStyle w:val="a7"/>
          <w:rtl/>
        </w:rPr>
        <w:footnoteReference w:id="4801"/>
      </w:r>
      <w:r>
        <w:rPr>
          <w:rFonts w:hint="cs"/>
          <w:vertAlign w:val="superscript"/>
          <w:rtl/>
        </w:rPr>
        <w:t>)</w:t>
      </w:r>
      <w:r>
        <w:rPr>
          <w:rFonts w:hint="cs"/>
          <w:rtl/>
        </w:rPr>
        <w:t>.</w:t>
      </w:r>
    </w:p>
    <w:p w:rsidR="003D5367" w:rsidRDefault="003D5367">
      <w:pPr>
        <w:spacing w:line="640" w:lineRule="exact"/>
        <w:rPr>
          <w:rtl/>
        </w:rPr>
      </w:pPr>
      <w:r>
        <w:rPr>
          <w:rFonts w:hint="cs"/>
          <w:rtl/>
        </w:rPr>
        <w:lastRenderedPageBreak/>
        <w:t>فإذا قال البائع للمشتري</w:t>
      </w:r>
      <w:r>
        <w:rPr>
          <w:rStyle w:val="a7"/>
          <w:rtl/>
        </w:rPr>
        <w:footnoteReference w:id="4802"/>
      </w:r>
      <w:r>
        <w:rPr>
          <w:rFonts w:hint="cs"/>
          <w:rtl/>
        </w:rPr>
        <w:t xml:space="preserve"> : اذهبْ بهذا, فإنْ رضيتَهُ</w:t>
      </w:r>
      <w:r>
        <w:rPr>
          <w:rStyle w:val="a7"/>
          <w:rtl/>
        </w:rPr>
        <w:footnoteReference w:id="4803"/>
      </w:r>
      <w:r>
        <w:rPr>
          <w:rFonts w:hint="cs"/>
          <w:rtl/>
        </w:rPr>
        <w:t xml:space="preserve"> اشتريتَهُ</w:t>
      </w:r>
      <w:r>
        <w:rPr>
          <w:rStyle w:val="a7"/>
          <w:rtl/>
        </w:rPr>
        <w:footnoteReference w:id="4804"/>
      </w:r>
      <w:r>
        <w:rPr>
          <w:rFonts w:hint="cs"/>
          <w:rtl/>
        </w:rPr>
        <w:t xml:space="preserve"> بعشرة. فذهب به, فهلك عنده : يضمن</w:t>
      </w:r>
      <w:r>
        <w:rPr>
          <w:rFonts w:hint="cs"/>
          <w:vertAlign w:val="superscript"/>
          <w:rtl/>
        </w:rPr>
        <w:t>(</w:t>
      </w:r>
      <w:r>
        <w:rPr>
          <w:rStyle w:val="a7"/>
          <w:rtl/>
        </w:rPr>
        <w:footnoteReference w:id="4805"/>
      </w:r>
      <w:r>
        <w:rPr>
          <w:rFonts w:hint="cs"/>
          <w:vertAlign w:val="superscript"/>
          <w:rtl/>
        </w:rPr>
        <w:t>)</w:t>
      </w:r>
      <w:r>
        <w:rPr>
          <w:rFonts w:hint="cs"/>
          <w:rtl/>
        </w:rPr>
        <w:t>.</w:t>
      </w:r>
    </w:p>
    <w:p w:rsidR="003D5367" w:rsidRDefault="003D5367">
      <w:pPr>
        <w:spacing w:line="640" w:lineRule="exact"/>
        <w:rPr>
          <w:rtl/>
        </w:rPr>
      </w:pPr>
      <w:r>
        <w:rPr>
          <w:rFonts w:hint="cs"/>
          <w:rtl/>
        </w:rPr>
        <w:t>و</w:t>
      </w:r>
      <w:r>
        <w:rPr>
          <w:rFonts w:hint="eastAsia"/>
          <w:rtl/>
        </w:rPr>
        <w:t>«</w:t>
      </w:r>
      <w:r>
        <w:rPr>
          <w:rFonts w:hint="cs"/>
          <w:rtl/>
        </w:rPr>
        <w:t>أمّا إذا لم يسمِّ الثمن, فذهب به, فهلك عنده : لا يضمن.</w:t>
      </w:r>
    </w:p>
    <w:p w:rsidR="003D5367" w:rsidRDefault="003D5367">
      <w:pPr>
        <w:spacing w:line="640" w:lineRule="exact"/>
        <w:rPr>
          <w:rtl/>
        </w:rPr>
      </w:pPr>
      <w:r>
        <w:rPr>
          <w:rFonts w:hint="cs"/>
          <w:rtl/>
        </w:rPr>
        <w:t>نص عليه [الفقيه]</w:t>
      </w:r>
      <w:r>
        <w:rPr>
          <w:rStyle w:val="a7"/>
          <w:rtl/>
        </w:rPr>
        <w:footnoteReference w:id="4806"/>
      </w:r>
      <w:r>
        <w:rPr>
          <w:rFonts w:hint="cs"/>
          <w:rtl/>
        </w:rPr>
        <w:t xml:space="preserve"> أبو اللّيث</w:t>
      </w:r>
      <w:r>
        <w:rPr>
          <w:rFonts w:hint="cs"/>
          <w:vertAlign w:val="superscript"/>
          <w:rtl/>
        </w:rPr>
        <w:t>(</w:t>
      </w:r>
      <w:r>
        <w:rPr>
          <w:rStyle w:val="a7"/>
          <w:rtl/>
        </w:rPr>
        <w:footnoteReference w:id="4807"/>
      </w:r>
      <w:r>
        <w:rPr>
          <w:rFonts w:hint="cs"/>
          <w:vertAlign w:val="superscript"/>
          <w:rtl/>
        </w:rPr>
        <w:t>)</w:t>
      </w:r>
      <w:r>
        <w:rPr>
          <w:rFonts w:hint="cs"/>
          <w:rtl/>
        </w:rPr>
        <w:t xml:space="preserve">. </w:t>
      </w:r>
    </w:p>
    <w:p w:rsidR="003D5367" w:rsidRDefault="003D5367">
      <w:pPr>
        <w:rPr>
          <w:rtl/>
        </w:rPr>
      </w:pPr>
      <w:r>
        <w:rPr>
          <w:rFonts w:hint="cs"/>
          <w:rtl/>
        </w:rPr>
        <w:lastRenderedPageBreak/>
        <w:t>قيل : وعليه الفتوى</w:t>
      </w:r>
      <w:r>
        <w:rPr>
          <w:rFonts w:hint="eastAsia"/>
          <w:rtl/>
        </w:rPr>
        <w:t>»</w:t>
      </w:r>
      <w:r>
        <w:rPr>
          <w:rFonts w:hint="cs"/>
          <w:vertAlign w:val="superscript"/>
          <w:rtl/>
        </w:rPr>
        <w:t>(</w:t>
      </w:r>
      <w:r>
        <w:rPr>
          <w:rStyle w:val="a7"/>
          <w:rtl/>
        </w:rPr>
        <w:footnoteReference w:id="4808"/>
      </w:r>
      <w:r>
        <w:rPr>
          <w:rFonts w:hint="cs"/>
          <w:vertAlign w:val="superscript"/>
          <w:rtl/>
        </w:rPr>
        <w:t>)</w:t>
      </w:r>
      <w:r>
        <w:rPr>
          <w:rFonts w:hint="cs"/>
          <w:rtl/>
        </w:rPr>
        <w:t>.</w:t>
      </w:r>
    </w:p>
    <w:p w:rsidR="003D5367" w:rsidRDefault="003D5367">
      <w:pPr>
        <w:rPr>
          <w:spacing w:val="12"/>
          <w:rtl/>
        </w:rPr>
      </w:pPr>
      <w:r>
        <w:rPr>
          <w:rFonts w:hint="cs"/>
          <w:b/>
          <w:bCs/>
          <w:spacing w:val="12"/>
          <w:rtl/>
        </w:rPr>
        <w:t>وخرج</w:t>
      </w:r>
      <w:r>
        <w:rPr>
          <w:rFonts w:hint="cs"/>
          <w:spacing w:val="12"/>
          <w:rtl/>
        </w:rPr>
        <w:t xml:space="preserve"> عن هذا الأصل : لو اشـترى ثوبـين على أن يأخذ أيّهما شاء, وقبضـهما, ثـم اخـتار</w:t>
      </w:r>
      <w:r>
        <w:rPr>
          <w:rStyle w:val="a7"/>
          <w:spacing w:val="12"/>
          <w:rtl/>
        </w:rPr>
        <w:footnoteReference w:id="4809"/>
      </w:r>
      <w:r>
        <w:rPr>
          <w:rFonts w:hint="cs"/>
          <w:spacing w:val="12"/>
          <w:rtl/>
        </w:rPr>
        <w:t xml:space="preserve"> أحدَهما, وهلك أو تعيَّب, ثم هلك الآخر قبل الرّد: لم</w:t>
      </w:r>
      <w:r>
        <w:rPr>
          <w:rStyle w:val="a7"/>
          <w:spacing w:val="12"/>
          <w:rtl/>
        </w:rPr>
        <w:footnoteReference w:id="4810"/>
      </w:r>
      <w:r>
        <w:rPr>
          <w:rFonts w:hint="cs"/>
          <w:spacing w:val="12"/>
          <w:rtl/>
        </w:rPr>
        <w:t xml:space="preserve"> يضمن, مع أن قـبض الآخر لا يكون أقـل من الـمقـبـوض على سـوم الشـراء</w:t>
      </w:r>
      <w:r>
        <w:rPr>
          <w:rFonts w:hint="cs"/>
          <w:spacing w:val="12"/>
          <w:vertAlign w:val="superscript"/>
          <w:rtl/>
        </w:rPr>
        <w:t>(</w:t>
      </w:r>
      <w:r>
        <w:rPr>
          <w:rStyle w:val="a7"/>
          <w:spacing w:val="12"/>
          <w:rtl/>
        </w:rPr>
        <w:footnoteReference w:id="4811"/>
      </w:r>
      <w:r>
        <w:rPr>
          <w:rFonts w:hint="cs"/>
          <w:spacing w:val="12"/>
          <w:vertAlign w:val="superscript"/>
          <w:rtl/>
        </w:rPr>
        <w:t>)</w:t>
      </w:r>
      <w:r>
        <w:rPr>
          <w:rFonts w:hint="cs"/>
          <w:spacing w:val="12"/>
          <w:rtl/>
        </w:rPr>
        <w:t xml:space="preserve">. </w:t>
      </w:r>
    </w:p>
    <w:p w:rsidR="003D5367" w:rsidRDefault="003D5367">
      <w:pPr>
        <w:rPr>
          <w:rtl/>
        </w:rPr>
      </w:pPr>
      <w:r>
        <w:rPr>
          <w:rFonts w:hint="cs"/>
          <w:b/>
          <w:bCs/>
          <w:rtl/>
        </w:rPr>
        <w:t>والجواب</w:t>
      </w:r>
      <w:r>
        <w:rPr>
          <w:rFonts w:hint="cs"/>
          <w:rtl/>
        </w:rPr>
        <w:t xml:space="preserve"> :</w:t>
      </w:r>
      <w:r>
        <w:rPr>
          <w:rFonts w:hint="eastAsia"/>
          <w:rtl/>
        </w:rPr>
        <w:t xml:space="preserve"> «</w:t>
      </w:r>
      <w:r>
        <w:rPr>
          <w:rFonts w:hint="cs"/>
          <w:rtl/>
        </w:rPr>
        <w:t>أنّه أقل من ذلك؛ لأن المقبوض على سوم الشراء مقبوض على جهة البيع, وهذا ليس كذلك؛ لأنه لـم يقبض آخـر لأنْ [يشتريه]</w:t>
      </w:r>
      <w:r>
        <w:rPr>
          <w:rStyle w:val="a7"/>
          <w:rtl/>
        </w:rPr>
        <w:footnoteReference w:id="4812"/>
      </w:r>
      <w:r>
        <w:rPr>
          <w:rFonts w:hint="cs"/>
          <w:rtl/>
        </w:rPr>
        <w:t>, وقد قبضه بإذن</w:t>
      </w:r>
      <w:r>
        <w:rPr>
          <w:rStyle w:val="a7"/>
          <w:rtl/>
        </w:rPr>
        <w:footnoteReference w:id="4813"/>
      </w:r>
      <w:r>
        <w:rPr>
          <w:rFonts w:hint="cs"/>
          <w:rtl/>
        </w:rPr>
        <w:t xml:space="preserve"> المالك, فكان أمانة</w:t>
      </w:r>
      <w:r>
        <w:rPr>
          <w:rFonts w:hint="eastAsia"/>
          <w:rtl/>
        </w:rPr>
        <w:t>»</w:t>
      </w:r>
      <w:r>
        <w:rPr>
          <w:rFonts w:hint="cs"/>
          <w:vertAlign w:val="superscript"/>
          <w:rtl/>
        </w:rPr>
        <w:t>(</w:t>
      </w:r>
      <w:r>
        <w:rPr>
          <w:rStyle w:val="a7"/>
          <w:rtl/>
        </w:rPr>
        <w:footnoteReference w:id="4814"/>
      </w:r>
      <w:r>
        <w:rPr>
          <w:rFonts w:hint="cs"/>
          <w:vertAlign w:val="superscript"/>
          <w:rtl/>
        </w:rPr>
        <w:t>)</w:t>
      </w:r>
      <w:r>
        <w:rPr>
          <w:rFonts w:hint="cs"/>
          <w:rtl/>
        </w:rPr>
        <w:t>.</w:t>
      </w:r>
    </w:p>
    <w:p w:rsidR="003D5367" w:rsidRDefault="003D5367">
      <w:pPr>
        <w:rPr>
          <w:rtl/>
        </w:rPr>
      </w:pPr>
      <w:r>
        <w:rPr>
          <w:rFonts w:hint="cs"/>
          <w:rtl/>
        </w:rPr>
        <w:t>كـذا في (العـنـايـة)</w:t>
      </w:r>
      <w:r>
        <w:rPr>
          <w:rFonts w:hint="cs"/>
          <w:vertAlign w:val="superscript"/>
          <w:rtl/>
        </w:rPr>
        <w:t>(</w:t>
      </w:r>
      <w:r>
        <w:rPr>
          <w:rStyle w:val="a7"/>
          <w:rtl/>
        </w:rPr>
        <w:footnoteReference w:id="4815"/>
      </w:r>
      <w:r>
        <w:rPr>
          <w:rFonts w:hint="cs"/>
          <w:vertAlign w:val="superscript"/>
          <w:rtl/>
        </w:rPr>
        <w:t>)</w:t>
      </w:r>
      <w:r>
        <w:rPr>
          <w:rFonts w:hint="cs"/>
          <w:rtl/>
        </w:rPr>
        <w:t xml:space="preserve">-. </w:t>
      </w:r>
    </w:p>
    <w:p w:rsidR="003D5367" w:rsidRDefault="003D5367">
      <w:pPr>
        <w:rPr>
          <w:rtl/>
        </w:rPr>
      </w:pPr>
      <w:r>
        <w:rPr>
          <w:rFonts w:hint="cs"/>
          <w:rtl/>
        </w:rPr>
        <w:lastRenderedPageBreak/>
        <w:t xml:space="preserve">وفـي (جـامـع الـفـصولـيـن) : </w:t>
      </w:r>
      <w:r>
        <w:rPr>
          <w:rFonts w:hint="eastAsia"/>
          <w:rtl/>
        </w:rPr>
        <w:t>«</w:t>
      </w:r>
      <w:r>
        <w:rPr>
          <w:rFonts w:hint="cs"/>
          <w:rtl/>
        </w:rPr>
        <w:t>الـمقبـوض على سـوم النـكاح مضمون أيضا</w:t>
      </w:r>
      <w:r>
        <w:rPr>
          <w:rFonts w:hint="eastAsia"/>
          <w:rtl/>
        </w:rPr>
        <w:t>»</w:t>
      </w:r>
      <w:r>
        <w:rPr>
          <w:rFonts w:hint="cs"/>
          <w:vertAlign w:val="superscript"/>
          <w:rtl/>
        </w:rPr>
        <w:t>(</w:t>
      </w:r>
      <w:r>
        <w:rPr>
          <w:rStyle w:val="a7"/>
          <w:rtl/>
        </w:rPr>
        <w:footnoteReference w:id="4816"/>
      </w:r>
      <w:r>
        <w:rPr>
          <w:rFonts w:hint="cs"/>
          <w:vertAlign w:val="superscript"/>
          <w:rtl/>
        </w:rPr>
        <w:t>)</w:t>
      </w:r>
      <w:r>
        <w:rPr>
          <w:rFonts w:hint="cs"/>
          <w:rtl/>
        </w:rPr>
        <w:t>.</w:t>
      </w:r>
    </w:p>
    <w:p w:rsidR="003D5367" w:rsidRDefault="003D5367">
      <w:pPr>
        <w:ind w:firstLine="0"/>
        <w:rPr>
          <w:rtl/>
        </w:rPr>
      </w:pPr>
    </w:p>
    <w:p w:rsidR="003D5367" w:rsidRDefault="003D5367">
      <w:pPr>
        <w:ind w:firstLine="0"/>
        <w:rPr>
          <w:rtl/>
        </w:rPr>
      </w:pPr>
    </w:p>
    <w:p w:rsidR="003D5367" w:rsidRDefault="003D5367">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firstLine="0"/>
        <w:rPr>
          <w:rtl/>
        </w:rPr>
        <w:sectPr w:rsidR="003D5367" w:rsidSect="00F0471F">
          <w:headerReference w:type="default" r:id="rId29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513C24" w:rsidRDefault="003D5367">
      <w:pPr>
        <w:pStyle w:val="a9"/>
        <w:rPr>
          <w:rFonts w:cs="AL-Mateen"/>
          <w:rtl/>
        </w:rPr>
      </w:pPr>
      <w:r w:rsidRPr="00513C24">
        <w:rPr>
          <w:rFonts w:cs="AL-Mateen" w:hint="cs"/>
          <w:rtl/>
        </w:rPr>
        <w:lastRenderedPageBreak/>
        <w:t>[ الـقـاعـدة الـرابـعـة والـثـلاثـون بـعـد الـمـائـتـيـن ]</w:t>
      </w:r>
    </w:p>
    <w:p w:rsidR="003D5367" w:rsidRDefault="003D5367">
      <w:pPr>
        <w:rPr>
          <w:rtl/>
        </w:rPr>
      </w:pPr>
      <w:r>
        <w:rPr>
          <w:rFonts w:cs="Monotype Koufi" w:hint="cs"/>
          <w:rtl/>
        </w:rPr>
        <w:t>المُمتَنِعُ عَادَةً كَالمُمْتَنِعِ حَقِيقَةً</w:t>
      </w:r>
      <w:r>
        <w:rPr>
          <w:rFonts w:hint="cs"/>
          <w:rtl/>
        </w:rPr>
        <w:t xml:space="preserve"> </w:t>
      </w:r>
      <w:r>
        <w:rPr>
          <w:rFonts w:hint="cs"/>
          <w:vertAlign w:val="superscript"/>
          <w:rtl/>
        </w:rPr>
        <w:t>(</w:t>
      </w:r>
      <w:r>
        <w:rPr>
          <w:rStyle w:val="a7"/>
          <w:rtl/>
        </w:rPr>
        <w:footnoteReference w:id="4817"/>
      </w:r>
      <w:r>
        <w:rPr>
          <w:rFonts w:hint="cs"/>
          <w:vertAlign w:val="superscript"/>
          <w:rtl/>
        </w:rPr>
        <w:t>)</w:t>
      </w:r>
      <w:r>
        <w:rPr>
          <w:rFonts w:hint="cs"/>
          <w:rtl/>
        </w:rPr>
        <w:t>:</w:t>
      </w:r>
    </w:p>
    <w:p w:rsidR="003D5367" w:rsidRDefault="003D5367">
      <w:pPr>
        <w:rPr>
          <w:rtl/>
        </w:rPr>
      </w:pPr>
      <w:r>
        <w:rPr>
          <w:rFonts w:hint="eastAsia"/>
          <w:rtl/>
        </w:rPr>
        <w:t>«</w:t>
      </w:r>
      <w:r>
        <w:rPr>
          <w:rFonts w:hint="cs"/>
          <w:b/>
          <w:bCs/>
          <w:rtl/>
        </w:rPr>
        <w:t>ولهذا</w:t>
      </w:r>
      <w:r>
        <w:rPr>
          <w:rFonts w:hint="cs"/>
          <w:rtl/>
        </w:rPr>
        <w:t xml:space="preserve"> : لزم على المقِرِّ : ما أقرّ به</w:t>
      </w:r>
      <w:r>
        <w:rPr>
          <w:rStyle w:val="a7"/>
          <w:rtl/>
        </w:rPr>
        <w:footnoteReference w:id="4818"/>
      </w:r>
      <w:r>
        <w:rPr>
          <w:rFonts w:hint="cs"/>
          <w:rtl/>
        </w:rPr>
        <w:t xml:space="preserve"> للمقَرِّ لَهُ؛ لأن إقرارَهُ للغير كاذبًا ممتنعٌ عادةً</w:t>
      </w:r>
      <w:r>
        <w:rPr>
          <w:rFonts w:hint="eastAsia"/>
          <w:rtl/>
        </w:rPr>
        <w:t>»</w:t>
      </w:r>
      <w:r>
        <w:rPr>
          <w:rFonts w:hint="cs"/>
          <w:vertAlign w:val="superscript"/>
          <w:rtl/>
        </w:rPr>
        <w:t>(</w:t>
      </w:r>
      <w:r>
        <w:rPr>
          <w:rStyle w:val="a7"/>
          <w:rtl/>
        </w:rPr>
        <w:footnoteReference w:id="4819"/>
      </w:r>
      <w:r>
        <w:rPr>
          <w:rFonts w:hint="cs"/>
          <w:vertAlign w:val="superscript"/>
          <w:rtl/>
        </w:rPr>
        <w:t>)</w:t>
      </w:r>
      <w:r>
        <w:rPr>
          <w:rFonts w:hint="cs"/>
          <w:rtl/>
        </w:rPr>
        <w:t>, و</w:t>
      </w:r>
      <w:r>
        <w:rPr>
          <w:rStyle w:val="a7"/>
          <w:rtl/>
        </w:rPr>
        <w:footnoteReference w:id="4820"/>
      </w:r>
      <w:r>
        <w:rPr>
          <w:rFonts w:hint="cs"/>
          <w:rtl/>
        </w:rPr>
        <w:t xml:space="preserve"> جَعَلَ الشرعُ امتناعَ العاديّ</w:t>
      </w:r>
      <w:r>
        <w:rPr>
          <w:rStyle w:val="a7"/>
          <w:rtl/>
        </w:rPr>
        <w:footnoteReference w:id="4821"/>
      </w:r>
      <w:r>
        <w:rPr>
          <w:rFonts w:hint="cs"/>
          <w:rtl/>
        </w:rPr>
        <w:t xml:space="preserve"> كامتناع الحقيقي, فتعين الصّدقُ, ولزم عليه ما أقرَّ به.</w:t>
      </w:r>
    </w:p>
    <w:p w:rsidR="003D5367" w:rsidRDefault="003D5367">
      <w:pPr>
        <w:rPr>
          <w:rtl/>
        </w:rPr>
      </w:pPr>
      <w:r>
        <w:rPr>
          <w:rFonts w:hint="cs"/>
          <w:b/>
          <w:bCs/>
          <w:rtl/>
        </w:rPr>
        <w:lastRenderedPageBreak/>
        <w:t>وتقريره</w:t>
      </w:r>
      <w:r>
        <w:rPr>
          <w:rFonts w:hint="cs"/>
          <w:rtl/>
        </w:rPr>
        <w:t xml:space="preserve"> : أن الإنسان مجبول على حبِّ</w:t>
      </w:r>
      <w:r>
        <w:rPr>
          <w:rStyle w:val="a7"/>
          <w:rtl/>
        </w:rPr>
        <w:footnoteReference w:id="4822"/>
      </w:r>
      <w:r>
        <w:rPr>
          <w:rFonts w:hint="cs"/>
          <w:rtl/>
        </w:rPr>
        <w:t xml:space="preserve"> المال بالطبع, فلا يُقِرُّ به للغير كاذبًا في العادة, وذلك ممكن في الحقيقة, ولكن الشرع ألحقه بالامتناع حقيقة.</w:t>
      </w:r>
    </w:p>
    <w:p w:rsidR="003D5367" w:rsidRDefault="003D5367">
      <w:pPr>
        <w:rPr>
          <w:rtl/>
        </w:rPr>
      </w:pPr>
      <w:r>
        <w:rPr>
          <w:rFonts w:hint="cs"/>
          <w:rtl/>
        </w:rPr>
        <w:t>ولا خلاف في هذا الأصل.</w:t>
      </w:r>
    </w:p>
    <w:p w:rsidR="003D5367" w:rsidRDefault="003D5367">
      <w:pPr>
        <w:rPr>
          <w:rtl/>
        </w:rPr>
      </w:pPr>
      <w:r>
        <w:rPr>
          <w:rFonts w:hint="cs"/>
          <w:rtl/>
        </w:rPr>
        <w:t xml:space="preserve">والاختلاف فيمن </w:t>
      </w:r>
      <w:r>
        <w:rPr>
          <w:rFonts w:hint="eastAsia"/>
          <w:rtl/>
        </w:rPr>
        <w:t>«</w:t>
      </w:r>
      <w:r>
        <w:rPr>
          <w:rFonts w:hint="cs"/>
          <w:rtl/>
        </w:rPr>
        <w:t>أقرّ بثوب</w:t>
      </w:r>
      <w:r>
        <w:rPr>
          <w:rStyle w:val="a7"/>
          <w:rtl/>
        </w:rPr>
        <w:footnoteReference w:id="4823"/>
      </w:r>
      <w:r>
        <w:rPr>
          <w:rFonts w:hint="cs"/>
          <w:rtl/>
        </w:rPr>
        <w:t xml:space="preserve"> في عشرة أثواب</w:t>
      </w:r>
      <w:r>
        <w:rPr>
          <w:rFonts w:hint="eastAsia"/>
          <w:rtl/>
        </w:rPr>
        <w:t>»</w:t>
      </w:r>
      <w:r>
        <w:rPr>
          <w:rFonts w:hint="cs"/>
          <w:rtl/>
        </w:rPr>
        <w:t xml:space="preserve"> : مبنيّ على أن العشرة: هل [تكون]</w:t>
      </w:r>
      <w:r>
        <w:rPr>
          <w:rStyle w:val="a7"/>
          <w:rtl/>
        </w:rPr>
        <w:footnoteReference w:id="4824"/>
      </w:r>
      <w:r>
        <w:rPr>
          <w:rFonts w:hint="cs"/>
          <w:rtl/>
        </w:rPr>
        <w:t xml:space="preserve"> ظرفًا</w:t>
      </w:r>
      <w:r>
        <w:rPr>
          <w:rStyle w:val="a7"/>
          <w:rtl/>
        </w:rPr>
        <w:footnoteReference w:id="4825"/>
      </w:r>
      <w:r>
        <w:rPr>
          <w:rFonts w:hint="cs"/>
          <w:rtl/>
        </w:rPr>
        <w:t xml:space="preserve"> للواحد عادةً أم لا؟</w:t>
      </w:r>
      <w:r>
        <w:rPr>
          <w:rFonts w:hint="cs"/>
          <w:vertAlign w:val="superscript"/>
          <w:rtl/>
        </w:rPr>
        <w:t>(</w:t>
      </w:r>
      <w:r>
        <w:rPr>
          <w:rStyle w:val="a7"/>
          <w:rtl/>
        </w:rPr>
        <w:footnoteReference w:id="4826"/>
      </w:r>
      <w:r>
        <w:rPr>
          <w:rFonts w:hint="cs"/>
          <w:vertAlign w:val="superscript"/>
          <w:rtl/>
        </w:rPr>
        <w:t xml:space="preserve">) </w:t>
      </w:r>
      <w:r>
        <w:rPr>
          <w:rFonts w:hint="cs"/>
          <w:rtl/>
        </w:rPr>
        <w:t>.</w:t>
      </w:r>
      <w:r>
        <w:rPr>
          <w:rFonts w:hint="eastAsia"/>
          <w:rtl/>
        </w:rPr>
        <w:t xml:space="preserve"> </w:t>
      </w:r>
    </w:p>
    <w:p w:rsidR="003D5367" w:rsidRDefault="003D5367" w:rsidP="003D5367">
      <w:pPr>
        <w:ind w:left="848" w:hanging="281"/>
        <w:rPr>
          <w:rtl/>
        </w:rPr>
      </w:pPr>
      <w:r>
        <w:rPr>
          <w:rtl/>
        </w:rPr>
        <w:t>•</w:t>
      </w:r>
      <w:r>
        <w:rPr>
          <w:rFonts w:hint="cs"/>
          <w:rtl/>
        </w:rPr>
        <w:t xml:space="preserve">  فقال أبو يوسف : لزمه ثوب واحد على مقتضى هذا الأصل؛ لأن العشرة لا تكون</w:t>
      </w:r>
      <w:r>
        <w:rPr>
          <w:rStyle w:val="a7"/>
          <w:rtl/>
        </w:rPr>
        <w:footnoteReference w:id="4827"/>
      </w:r>
      <w:r>
        <w:rPr>
          <w:rFonts w:hint="cs"/>
          <w:rtl/>
        </w:rPr>
        <w:t xml:space="preserve">  ظرفًا لواحدٍ عادة, فالامتناع عادة ملحق</w:t>
      </w:r>
      <w:r>
        <w:rPr>
          <w:rStyle w:val="a7"/>
          <w:rtl/>
        </w:rPr>
        <w:footnoteReference w:id="4828"/>
      </w:r>
      <w:r>
        <w:rPr>
          <w:rFonts w:hint="cs"/>
          <w:rtl/>
        </w:rPr>
        <w:t xml:space="preserve"> بالامتناع </w:t>
      </w:r>
      <w:r>
        <w:rPr>
          <w:rFonts w:hint="cs"/>
          <w:rtl/>
        </w:rPr>
        <w:lastRenderedPageBreak/>
        <w:t>حقيقة, وإن أمكن حقيقة.</w:t>
      </w:r>
    </w:p>
    <w:p w:rsidR="003D5367" w:rsidRDefault="003D5367" w:rsidP="003D5367">
      <w:pPr>
        <w:ind w:left="848" w:hanging="281"/>
        <w:rPr>
          <w:rtl/>
        </w:rPr>
      </w:pPr>
      <w:r>
        <w:rPr>
          <w:rtl/>
        </w:rPr>
        <w:t>•</w:t>
      </w:r>
      <w:r>
        <w:rPr>
          <w:rFonts w:hint="cs"/>
          <w:rtl/>
        </w:rPr>
        <w:t xml:space="preserve">  </w:t>
      </w:r>
      <w:r>
        <w:rPr>
          <w:rFonts w:hint="eastAsia"/>
          <w:rtl/>
        </w:rPr>
        <w:t>«</w:t>
      </w:r>
      <w:r>
        <w:rPr>
          <w:rFonts w:hint="cs"/>
          <w:rtl/>
        </w:rPr>
        <w:t>وقال محمد : لزم أحد عشر ثوبًا؛ لأن النفيس من الثياب قد يُلَّفُ [بعشرة]</w:t>
      </w:r>
      <w:r>
        <w:rPr>
          <w:rStyle w:val="a7"/>
          <w:rtl/>
        </w:rPr>
        <w:footnoteReference w:id="4829"/>
      </w:r>
      <w:r>
        <w:rPr>
          <w:rFonts w:hint="cs"/>
          <w:rtl/>
        </w:rPr>
        <w:t xml:space="preserve"> وأمكن جعله ظرفًا</w:t>
      </w:r>
      <w:r>
        <w:rPr>
          <w:rFonts w:hint="eastAsia"/>
          <w:rtl/>
        </w:rPr>
        <w:t>»</w:t>
      </w:r>
      <w:r>
        <w:rPr>
          <w:rFonts w:hint="cs"/>
          <w:rtl/>
        </w:rPr>
        <w:t>, فلا يكون امتناعًا</w:t>
      </w:r>
      <w:r>
        <w:rPr>
          <w:rStyle w:val="a7"/>
          <w:rtl/>
        </w:rPr>
        <w:footnoteReference w:id="4830"/>
      </w:r>
      <w:r>
        <w:rPr>
          <w:rFonts w:hint="cs"/>
          <w:rtl/>
        </w:rPr>
        <w:t xml:space="preserve"> حقيقةً ولا عادةً.</w:t>
      </w:r>
    </w:p>
    <w:p w:rsidR="003D5367" w:rsidRDefault="003D5367">
      <w:pPr>
        <w:rPr>
          <w:rtl/>
        </w:rPr>
      </w:pPr>
      <w:r>
        <w:rPr>
          <w:rFonts w:hint="cs"/>
          <w:rtl/>
        </w:rPr>
        <w:t>ذكره صاحب (الدرر) في كتاب (الإقرار)</w:t>
      </w:r>
      <w:r>
        <w:rPr>
          <w:rFonts w:hint="cs"/>
          <w:vertAlign w:val="superscript"/>
          <w:rtl/>
        </w:rPr>
        <w:t>(</w:t>
      </w:r>
      <w:r>
        <w:rPr>
          <w:rStyle w:val="a7"/>
          <w:rtl/>
        </w:rPr>
        <w:footnoteReference w:id="4831"/>
      </w:r>
      <w:r>
        <w:rPr>
          <w:rFonts w:hint="cs"/>
          <w:vertAlign w:val="superscript"/>
          <w:rtl/>
        </w:rPr>
        <w:t>)</w:t>
      </w:r>
      <w:r>
        <w:rPr>
          <w:rFonts w:hint="cs"/>
          <w:rtl/>
        </w:rPr>
        <w:t>.</w:t>
      </w:r>
    </w:p>
    <w:p w:rsidR="003D5367" w:rsidRDefault="003D5367">
      <w:pPr>
        <w:rPr>
          <w:rtl/>
        </w:rPr>
      </w:pPr>
    </w:p>
    <w:p w:rsidR="003D5367" w:rsidRDefault="003D5367">
      <w:pPr>
        <w:rPr>
          <w:rtl/>
        </w:rPr>
      </w:pPr>
    </w:p>
    <w:p w:rsidR="003D5367" w:rsidRPr="005719AB"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0471F">
          <w:headerReference w:type="default" r:id="rId29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156D51" w:rsidRDefault="003D5367" w:rsidP="003D5367">
      <w:pPr>
        <w:pStyle w:val="a9"/>
        <w:spacing w:line="216" w:lineRule="auto"/>
        <w:rPr>
          <w:rFonts w:cs="AL-Mateen"/>
          <w:rtl/>
          <w:lang w:val="en-US"/>
        </w:rPr>
      </w:pPr>
      <w:r w:rsidRPr="00156D51">
        <w:rPr>
          <w:rFonts w:cs="AL-Mateen" w:hint="cs"/>
          <w:rtl/>
          <w:lang w:val="en-US"/>
        </w:rPr>
        <w:lastRenderedPageBreak/>
        <w:t>[ الـقـاعـدة الـخـامـسـة والـثـلاثـون بـعـد الـمـائـتـيـن ]</w:t>
      </w:r>
    </w:p>
    <w:p w:rsidR="003D5367" w:rsidRDefault="003D5367" w:rsidP="003D5367">
      <w:pPr>
        <w:spacing w:line="216" w:lineRule="auto"/>
        <w:rPr>
          <w:rtl/>
        </w:rPr>
      </w:pPr>
      <w:r>
        <w:rPr>
          <w:rFonts w:cs="Monotype Koufi" w:hint="cs"/>
          <w:rtl/>
        </w:rPr>
        <w:t>مَنْ سَعَى فِي نَقْضِ مَا تمَّ مِنْ جِهَتِهِ فَسَعْيُهُ مَرْدُودٌ عَلَيْهِ</w:t>
      </w:r>
      <w:r>
        <w:rPr>
          <w:rFonts w:hint="cs"/>
          <w:vertAlign w:val="superscript"/>
          <w:rtl/>
        </w:rPr>
        <w:t>(</w:t>
      </w:r>
      <w:r>
        <w:rPr>
          <w:rStyle w:val="a7"/>
          <w:rtl/>
        </w:rPr>
        <w:footnoteReference w:id="4832"/>
      </w:r>
      <w:r>
        <w:rPr>
          <w:rFonts w:hint="cs"/>
          <w:vertAlign w:val="superscript"/>
          <w:rtl/>
        </w:rPr>
        <w:t>)</w:t>
      </w:r>
      <w:r>
        <w:rPr>
          <w:rFonts w:hint="cs"/>
          <w:rtl/>
        </w:rPr>
        <w:t>:</w:t>
      </w:r>
    </w:p>
    <w:p w:rsidR="003D5367" w:rsidRDefault="003D5367" w:rsidP="003D5367">
      <w:pPr>
        <w:spacing w:line="216" w:lineRule="auto"/>
        <w:ind w:left="567" w:firstLine="0"/>
        <w:rPr>
          <w:vertAlign w:val="superscript"/>
          <w:rtl/>
        </w:rPr>
      </w:pPr>
      <w:r>
        <w:rPr>
          <w:rFonts w:ascii="Wingdings" w:hAnsi="Wingdings"/>
        </w:rPr>
        <w:t></w:t>
      </w:r>
      <w:r>
        <w:rPr>
          <w:rFonts w:hint="cs"/>
          <w:rtl/>
        </w:rPr>
        <w:t xml:space="preserve"> </w:t>
      </w:r>
      <w:r>
        <w:rPr>
          <w:rFonts w:hint="cs"/>
          <w:b/>
          <w:bCs/>
          <w:rtl/>
        </w:rPr>
        <w:t>ولهذا</w:t>
      </w:r>
      <w:r>
        <w:rPr>
          <w:rFonts w:hint="cs"/>
          <w:rtl/>
        </w:rPr>
        <w:t xml:space="preserve"> : لا [تثبت]</w:t>
      </w:r>
      <w:r>
        <w:rPr>
          <w:rStyle w:val="a7"/>
          <w:rtl/>
        </w:rPr>
        <w:footnoteReference w:id="4833"/>
      </w:r>
      <w:r>
        <w:rPr>
          <w:rFonts w:hint="cs"/>
          <w:rtl/>
        </w:rPr>
        <w:t xml:space="preserve"> الشفعة لمن باع, وكيلاً كان</w:t>
      </w:r>
      <w:r>
        <w:rPr>
          <w:rStyle w:val="a7"/>
          <w:rtl/>
        </w:rPr>
        <w:footnoteReference w:id="4834"/>
      </w:r>
      <w:r>
        <w:rPr>
          <w:rFonts w:hint="cs"/>
          <w:rtl/>
        </w:rPr>
        <w:t xml:space="preserve"> أو أصيلاً</w:t>
      </w:r>
      <w:r>
        <w:rPr>
          <w:rStyle w:val="a7"/>
          <w:rtl/>
        </w:rPr>
        <w:footnoteReference w:id="4835"/>
      </w:r>
      <w:r>
        <w:rPr>
          <w:rFonts w:hint="cs"/>
          <w:rtl/>
        </w:rPr>
        <w:t xml:space="preserve"> [أ]</w:t>
      </w:r>
      <w:r>
        <w:rPr>
          <w:rStyle w:val="a7"/>
          <w:rtl/>
        </w:rPr>
        <w:footnoteReference w:id="4836"/>
      </w:r>
      <w:r>
        <w:rPr>
          <w:rFonts w:hint="cs"/>
          <w:rtl/>
        </w:rPr>
        <w:t>و بِيْعَ له (وهو الموكّل), ففي هذه الصور: يتمّ</w:t>
      </w:r>
      <w:r>
        <w:rPr>
          <w:rStyle w:val="a7"/>
          <w:rtl/>
        </w:rPr>
        <w:footnoteReference w:id="4837"/>
      </w:r>
      <w:r>
        <w:rPr>
          <w:rFonts w:hint="cs"/>
          <w:rtl/>
        </w:rPr>
        <w:t xml:space="preserve"> العقد من جهته, فلا يجوز </w:t>
      </w:r>
      <w:r>
        <w:rPr>
          <w:rFonts w:hint="cs"/>
          <w:rtl/>
        </w:rPr>
        <w:lastRenderedPageBreak/>
        <w:t>نقضه</w:t>
      </w:r>
      <w:r>
        <w:rPr>
          <w:rFonts w:hint="cs"/>
          <w:vertAlign w:val="superscript"/>
          <w:rtl/>
        </w:rPr>
        <w:t>(</w:t>
      </w:r>
      <w:r>
        <w:rPr>
          <w:rStyle w:val="a7"/>
          <w:rtl/>
        </w:rPr>
        <w:footnoteReference w:id="4838"/>
      </w:r>
      <w:r>
        <w:rPr>
          <w:rFonts w:hint="cs"/>
          <w:vertAlign w:val="superscript"/>
          <w:rtl/>
        </w:rPr>
        <w:t>)(</w:t>
      </w:r>
      <w:r>
        <w:rPr>
          <w:rStyle w:val="a7"/>
          <w:rtl/>
        </w:rPr>
        <w:footnoteReference w:id="4839"/>
      </w:r>
      <w:r>
        <w:rPr>
          <w:rFonts w:hint="cs"/>
          <w:vertAlign w:val="superscript"/>
          <w:rtl/>
        </w:rPr>
        <w:t>)</w:t>
      </w:r>
      <w:r>
        <w:rPr>
          <w:rFonts w:hint="cs"/>
          <w:rtl/>
        </w:rPr>
        <w:t>.</w:t>
      </w:r>
    </w:p>
    <w:p w:rsidR="003D5367" w:rsidRDefault="003D5367" w:rsidP="003D5367">
      <w:pPr>
        <w:ind w:left="567" w:firstLine="0"/>
        <w:rPr>
          <w:rtl/>
        </w:rPr>
      </w:pPr>
      <w:r>
        <w:rPr>
          <w:rFonts w:hint="cs"/>
          <w:rtl/>
        </w:rPr>
        <w:t>بخلاف المشتري, فإن الشفعة [تثبت]</w:t>
      </w:r>
      <w:r>
        <w:rPr>
          <w:rStyle w:val="a7"/>
          <w:rtl/>
        </w:rPr>
        <w:footnoteReference w:id="4840"/>
      </w:r>
      <w:r>
        <w:rPr>
          <w:rFonts w:hint="cs"/>
          <w:rtl/>
        </w:rPr>
        <w:t xml:space="preserve"> لمن شرى له؛ لأن فيه لا بيع</w:t>
      </w:r>
      <w:r>
        <w:rPr>
          <w:rStyle w:val="a7"/>
          <w:rtl/>
        </w:rPr>
        <w:footnoteReference w:id="4841"/>
      </w:r>
      <w:r>
        <w:rPr>
          <w:rFonts w:hint="cs"/>
          <w:rtl/>
        </w:rPr>
        <w:t xml:space="preserve"> في بعضه؛ بل في طلب الشفعة تقرير البيع</w:t>
      </w:r>
      <w:r>
        <w:rPr>
          <w:rFonts w:hint="cs"/>
          <w:vertAlign w:val="superscript"/>
          <w:rtl/>
        </w:rPr>
        <w:t>(</w:t>
      </w:r>
      <w:r>
        <w:rPr>
          <w:rStyle w:val="a7"/>
          <w:rtl/>
        </w:rPr>
        <w:footnoteReference w:id="4842"/>
      </w:r>
      <w:r>
        <w:rPr>
          <w:rFonts w:hint="cs"/>
          <w:vertAlign w:val="superscript"/>
          <w:rtl/>
        </w:rPr>
        <w:t>)</w:t>
      </w:r>
      <w:r>
        <w:rPr>
          <w:rFonts w:hint="cs"/>
          <w:rtl/>
        </w:rPr>
        <w:t>.</w:t>
      </w:r>
    </w:p>
    <w:p w:rsidR="003D5367" w:rsidRDefault="003D5367" w:rsidP="003D5367">
      <w:pPr>
        <w:ind w:left="567" w:firstLine="0"/>
        <w:rPr>
          <w:spacing w:val="-6"/>
          <w:rtl/>
        </w:rPr>
      </w:pPr>
      <w:r>
        <w:rPr>
          <w:rFonts w:ascii="Wingdings" w:hAnsi="Wingdings"/>
          <w:spacing w:val="-6"/>
        </w:rPr>
        <w:t></w:t>
      </w:r>
      <w:r>
        <w:rPr>
          <w:rFonts w:hint="cs"/>
          <w:spacing w:val="-6"/>
          <w:rtl/>
        </w:rPr>
        <w:t xml:space="preserve"> </w:t>
      </w:r>
      <w:r>
        <w:rPr>
          <w:rFonts w:hint="cs"/>
          <w:b/>
          <w:bCs/>
          <w:spacing w:val="-6"/>
          <w:rtl/>
        </w:rPr>
        <w:t>وكذا</w:t>
      </w:r>
      <w:r>
        <w:rPr>
          <w:rFonts w:hint="cs"/>
          <w:spacing w:val="-6"/>
          <w:rtl/>
        </w:rPr>
        <w:t xml:space="preserve"> : لا [تثبت]</w:t>
      </w:r>
      <w:r>
        <w:rPr>
          <w:rStyle w:val="a7"/>
          <w:spacing w:val="-6"/>
          <w:rtl/>
        </w:rPr>
        <w:footnoteReference w:id="4843"/>
      </w:r>
      <w:r>
        <w:rPr>
          <w:rFonts w:hint="cs"/>
          <w:spacing w:val="-6"/>
          <w:rtl/>
        </w:rPr>
        <w:t xml:space="preserve"> الشفعة- فلا يجوز دعوى الملك- لمن ضمن الدرك</w:t>
      </w:r>
      <w:r>
        <w:rPr>
          <w:rFonts w:hint="cs"/>
          <w:spacing w:val="-6"/>
          <w:vertAlign w:val="superscript"/>
          <w:rtl/>
        </w:rPr>
        <w:t>(</w:t>
      </w:r>
      <w:r>
        <w:rPr>
          <w:rStyle w:val="a7"/>
          <w:spacing w:val="-6"/>
          <w:rtl/>
        </w:rPr>
        <w:footnoteReference w:id="4844"/>
      </w:r>
      <w:r>
        <w:rPr>
          <w:rFonts w:hint="cs"/>
          <w:spacing w:val="-6"/>
          <w:vertAlign w:val="superscript"/>
          <w:rtl/>
        </w:rPr>
        <w:t>)</w:t>
      </w:r>
      <w:r>
        <w:rPr>
          <w:rFonts w:hint="cs"/>
          <w:spacing w:val="-6"/>
          <w:rtl/>
        </w:rPr>
        <w:t>؛ لأن الضمان تقرير</w:t>
      </w:r>
      <w:r>
        <w:rPr>
          <w:rStyle w:val="a7"/>
          <w:spacing w:val="-6"/>
          <w:rtl/>
        </w:rPr>
        <w:footnoteReference w:id="4845"/>
      </w:r>
      <w:r>
        <w:rPr>
          <w:rFonts w:hint="cs"/>
          <w:spacing w:val="-6"/>
          <w:rtl/>
        </w:rPr>
        <w:t xml:space="preserve"> البيع, وطلب الشفعة ودعوىَ الملك سعي في نقضه, فلا يجوز</w:t>
      </w:r>
      <w:r>
        <w:rPr>
          <w:rFonts w:hint="cs"/>
          <w:spacing w:val="-6"/>
          <w:vertAlign w:val="superscript"/>
          <w:rtl/>
        </w:rPr>
        <w:t>(</w:t>
      </w:r>
      <w:r>
        <w:rPr>
          <w:rStyle w:val="a7"/>
          <w:spacing w:val="-6"/>
          <w:rtl/>
        </w:rPr>
        <w:footnoteReference w:id="4846"/>
      </w:r>
      <w:r>
        <w:rPr>
          <w:rFonts w:hint="cs"/>
          <w:spacing w:val="-6"/>
          <w:vertAlign w:val="superscript"/>
          <w:rtl/>
        </w:rPr>
        <w:t>)</w:t>
      </w:r>
      <w:r>
        <w:rPr>
          <w:rFonts w:hint="cs"/>
          <w:spacing w:val="-6"/>
          <w:rtl/>
        </w:rPr>
        <w:t xml:space="preserve"> .</w:t>
      </w:r>
    </w:p>
    <w:p w:rsidR="003D5367" w:rsidRDefault="003D5367">
      <w:pPr>
        <w:rPr>
          <w:rtl/>
        </w:rPr>
      </w:pPr>
      <w:r>
        <w:rPr>
          <w:rFonts w:hint="cs"/>
          <w:rtl/>
        </w:rPr>
        <w:t>وفروعها كثيرة.</w:t>
      </w:r>
    </w:p>
    <w:p w:rsidR="003D5367" w:rsidRDefault="003D5367">
      <w:pPr>
        <w:rPr>
          <w:rtl/>
        </w:rPr>
      </w:pPr>
      <w:r>
        <w:rPr>
          <w:rFonts w:hint="cs"/>
          <w:b/>
          <w:bCs/>
          <w:rtl/>
        </w:rPr>
        <w:t>وخرج</w:t>
      </w:r>
      <w:r>
        <w:rPr>
          <w:rFonts w:hint="cs"/>
          <w:rtl/>
        </w:rPr>
        <w:t xml:space="preserve"> عن هذا الأصل في الظاهر مسائل :</w:t>
      </w:r>
    </w:p>
    <w:p w:rsidR="003D5367" w:rsidRDefault="003D5367" w:rsidP="003D5367">
      <w:pPr>
        <w:ind w:left="989" w:hanging="422"/>
        <w:rPr>
          <w:rtl/>
        </w:rPr>
      </w:pPr>
      <w:r>
        <w:rPr>
          <w:b/>
          <w:bCs/>
          <w:rtl/>
        </w:rPr>
        <w:lastRenderedPageBreak/>
        <w:t>•</w:t>
      </w:r>
      <w:r>
        <w:rPr>
          <w:rFonts w:hint="cs"/>
          <w:b/>
          <w:bCs/>
          <w:rtl/>
        </w:rPr>
        <w:t xml:space="preserve">  منها</w:t>
      </w:r>
      <w:r>
        <w:rPr>
          <w:rFonts w:hint="cs"/>
          <w:rtl/>
        </w:rPr>
        <w:t xml:space="preserve"> : </w:t>
      </w:r>
      <w:r>
        <w:rPr>
          <w:rFonts w:hint="eastAsia"/>
          <w:rtl/>
        </w:rPr>
        <w:t>«</w:t>
      </w:r>
      <w:r>
        <w:rPr>
          <w:rFonts w:hint="cs"/>
          <w:rtl/>
        </w:rPr>
        <w:t>اشترى عبدًا وقبضه, ثم ادّعى أن البائع باعه قبله من فلان الغائب بكذا, وبَرْهَنَ : فإنه [تقبل]</w:t>
      </w:r>
      <w:r>
        <w:rPr>
          <w:rStyle w:val="a7"/>
          <w:rtl/>
        </w:rPr>
        <w:footnoteReference w:id="4847"/>
      </w:r>
      <w:r>
        <w:rPr>
          <w:rFonts w:hint="eastAsia"/>
          <w:rtl/>
        </w:rPr>
        <w:t xml:space="preserve"> »</w:t>
      </w:r>
      <w:r>
        <w:rPr>
          <w:rFonts w:hint="cs"/>
          <w:vertAlign w:val="superscript"/>
          <w:rtl/>
        </w:rPr>
        <w:t>(</w:t>
      </w:r>
      <w:r>
        <w:rPr>
          <w:rStyle w:val="a7"/>
          <w:rtl/>
        </w:rPr>
        <w:footnoteReference w:id="4848"/>
      </w:r>
      <w:r>
        <w:rPr>
          <w:rFonts w:hint="cs"/>
          <w:vertAlign w:val="superscript"/>
          <w:rtl/>
        </w:rPr>
        <w:t>)</w:t>
      </w:r>
      <w:r>
        <w:rPr>
          <w:rFonts w:hint="cs"/>
          <w:rtl/>
        </w:rPr>
        <w:t>.</w:t>
      </w:r>
    </w:p>
    <w:p w:rsidR="003D5367" w:rsidRDefault="003D5367" w:rsidP="003D5367">
      <w:pPr>
        <w:ind w:left="989" w:hanging="422"/>
        <w:rPr>
          <w:spacing w:val="-10"/>
          <w:rtl/>
        </w:rPr>
      </w:pPr>
      <w:r>
        <w:rPr>
          <w:b/>
          <w:bCs/>
          <w:spacing w:val="-10"/>
          <w:rtl/>
        </w:rPr>
        <w:t>•</w:t>
      </w:r>
      <w:r>
        <w:rPr>
          <w:rFonts w:hint="cs"/>
          <w:b/>
          <w:bCs/>
          <w:spacing w:val="-10"/>
          <w:rtl/>
        </w:rPr>
        <w:t xml:space="preserve">   ومنها</w:t>
      </w:r>
      <w:r>
        <w:rPr>
          <w:rFonts w:hint="cs"/>
          <w:spacing w:val="-10"/>
          <w:rtl/>
        </w:rPr>
        <w:t xml:space="preserve"> : </w:t>
      </w:r>
      <w:r>
        <w:rPr>
          <w:rFonts w:hint="eastAsia"/>
          <w:spacing w:val="-10"/>
          <w:rtl/>
        </w:rPr>
        <w:t>«</w:t>
      </w:r>
      <w:r>
        <w:rPr>
          <w:rFonts w:hint="cs"/>
          <w:spacing w:val="-10"/>
          <w:rtl/>
        </w:rPr>
        <w:t>وهب جارية واستولدها الموهوب له, ثم ادّعى الواهب أنه كان دبَّرَهَا</w:t>
      </w:r>
      <w:r>
        <w:rPr>
          <w:rStyle w:val="a7"/>
          <w:spacing w:val="-10"/>
          <w:rtl/>
        </w:rPr>
        <w:footnoteReference w:id="4849"/>
      </w:r>
      <w:r>
        <w:rPr>
          <w:rFonts w:hint="cs"/>
          <w:spacing w:val="-10"/>
          <w:rtl/>
        </w:rPr>
        <w:t>, أو استولدها, وبَرْهَنَ : تُقْبَل [ويستردّها والعقر]</w:t>
      </w:r>
      <w:r>
        <w:rPr>
          <w:rStyle w:val="a7"/>
          <w:spacing w:val="-10"/>
          <w:rtl/>
        </w:rPr>
        <w:footnoteReference w:id="4850"/>
      </w:r>
      <w:r>
        <w:rPr>
          <w:rFonts w:hint="cs"/>
          <w:spacing w:val="-10"/>
          <w:rtl/>
        </w:rPr>
        <w:t>. كذا في (الخلاصة)</w:t>
      </w:r>
      <w:r>
        <w:rPr>
          <w:rFonts w:hint="eastAsia"/>
          <w:spacing w:val="-10"/>
          <w:rtl/>
        </w:rPr>
        <w:t>»</w:t>
      </w:r>
      <w:r>
        <w:rPr>
          <w:rFonts w:hint="cs"/>
          <w:spacing w:val="-10"/>
          <w:vertAlign w:val="superscript"/>
          <w:rtl/>
        </w:rPr>
        <w:t>(</w:t>
      </w:r>
      <w:r>
        <w:rPr>
          <w:rStyle w:val="a7"/>
          <w:spacing w:val="-10"/>
          <w:rtl/>
        </w:rPr>
        <w:footnoteReference w:id="4851"/>
      </w:r>
      <w:r>
        <w:rPr>
          <w:rFonts w:hint="cs"/>
          <w:spacing w:val="-10"/>
          <w:vertAlign w:val="superscript"/>
          <w:rtl/>
        </w:rPr>
        <w:t>)</w:t>
      </w:r>
      <w:r>
        <w:rPr>
          <w:rFonts w:hint="cs"/>
          <w:spacing w:val="-10"/>
          <w:rtl/>
        </w:rPr>
        <w:t>.</w:t>
      </w:r>
    </w:p>
    <w:p w:rsidR="003D5367" w:rsidRDefault="003D5367" w:rsidP="003D5367">
      <w:pPr>
        <w:ind w:left="989" w:hanging="422"/>
        <w:rPr>
          <w:rtl/>
        </w:rPr>
      </w:pPr>
      <w:r>
        <w:rPr>
          <w:rtl/>
        </w:rPr>
        <w:t>•</w:t>
      </w:r>
      <w:r>
        <w:rPr>
          <w:rFonts w:hint="cs"/>
          <w:rtl/>
        </w:rPr>
        <w:t xml:space="preserve">   </w:t>
      </w:r>
      <w:r>
        <w:rPr>
          <w:rFonts w:hint="eastAsia"/>
          <w:rtl/>
        </w:rPr>
        <w:t>«</w:t>
      </w:r>
      <w:r>
        <w:rPr>
          <w:rFonts w:hint="cs"/>
          <w:b/>
          <w:bCs/>
          <w:rtl/>
        </w:rPr>
        <w:t>ومنها</w:t>
      </w:r>
      <w:r>
        <w:rPr>
          <w:rFonts w:hint="cs"/>
          <w:rtl/>
        </w:rPr>
        <w:t xml:space="preserve"> : باعه, ثم ادعى أنه كان أعتقه</w:t>
      </w:r>
      <w:r>
        <w:rPr>
          <w:rFonts w:hint="eastAsia"/>
          <w:rtl/>
        </w:rPr>
        <w:t>»</w:t>
      </w:r>
      <w:r>
        <w:rPr>
          <w:rFonts w:hint="cs"/>
          <w:vertAlign w:val="superscript"/>
          <w:rtl/>
        </w:rPr>
        <w:t>(</w:t>
      </w:r>
      <w:r>
        <w:rPr>
          <w:rStyle w:val="a7"/>
          <w:rtl/>
        </w:rPr>
        <w:footnoteReference w:id="4852"/>
      </w:r>
      <w:r>
        <w:rPr>
          <w:rFonts w:hint="cs"/>
          <w:vertAlign w:val="superscript"/>
          <w:rtl/>
        </w:rPr>
        <w:t>)</w:t>
      </w:r>
      <w:r>
        <w:rPr>
          <w:rFonts w:hint="cs"/>
          <w:rtl/>
        </w:rPr>
        <w:t>.</w:t>
      </w:r>
    </w:p>
    <w:p w:rsidR="003D5367" w:rsidRDefault="003D5367" w:rsidP="003D5367">
      <w:pPr>
        <w:ind w:left="989" w:hanging="422"/>
        <w:rPr>
          <w:spacing w:val="-6"/>
          <w:rtl/>
        </w:rPr>
      </w:pPr>
      <w:r>
        <w:rPr>
          <w:rFonts w:hint="cs"/>
          <w:spacing w:val="-6"/>
          <w:rtl/>
        </w:rPr>
        <w:t xml:space="preserve">     وفي هذه المسألة: أورد ابن نجيم في محلّ الجواب ما ذُكر في ([فتح]</w:t>
      </w:r>
      <w:r>
        <w:rPr>
          <w:rStyle w:val="a7"/>
          <w:spacing w:val="-6"/>
          <w:rtl/>
        </w:rPr>
        <w:footnoteReference w:id="4853"/>
      </w:r>
      <w:r>
        <w:rPr>
          <w:rFonts w:hint="cs"/>
          <w:spacing w:val="-6"/>
          <w:rtl/>
        </w:rPr>
        <w:t xml:space="preserve"> القدير): </w:t>
      </w:r>
      <w:r>
        <w:rPr>
          <w:rFonts w:hint="eastAsia"/>
          <w:spacing w:val="-6"/>
          <w:rtl/>
        </w:rPr>
        <w:t>«</w:t>
      </w:r>
      <w:r>
        <w:rPr>
          <w:rFonts w:hint="cs"/>
          <w:spacing w:val="-6"/>
          <w:rtl/>
        </w:rPr>
        <w:t>نقلاً من</w:t>
      </w:r>
      <w:r>
        <w:rPr>
          <w:rStyle w:val="a7"/>
          <w:spacing w:val="-6"/>
          <w:rtl/>
        </w:rPr>
        <w:footnoteReference w:id="4854"/>
      </w:r>
      <w:r>
        <w:rPr>
          <w:rFonts w:hint="cs"/>
          <w:spacing w:val="-6"/>
          <w:rtl/>
        </w:rPr>
        <w:t xml:space="preserve"> المشايخ : [التناقض]</w:t>
      </w:r>
      <w:r>
        <w:rPr>
          <w:rFonts w:hint="cs"/>
          <w:spacing w:val="-6"/>
          <w:vertAlign w:val="superscript"/>
          <w:rtl/>
        </w:rPr>
        <w:t>(</w:t>
      </w:r>
      <w:r>
        <w:rPr>
          <w:rStyle w:val="a7"/>
          <w:spacing w:val="-6"/>
          <w:rtl/>
        </w:rPr>
        <w:footnoteReference w:id="4855"/>
      </w:r>
      <w:r>
        <w:rPr>
          <w:rFonts w:hint="cs"/>
          <w:spacing w:val="-6"/>
          <w:vertAlign w:val="superscript"/>
          <w:rtl/>
        </w:rPr>
        <w:t>)</w:t>
      </w:r>
      <w:r>
        <w:rPr>
          <w:rFonts w:hint="cs"/>
          <w:spacing w:val="-6"/>
          <w:rtl/>
        </w:rPr>
        <w:t xml:space="preserve"> لا يضرّ في الحريّة وفروعها</w:t>
      </w:r>
      <w:r>
        <w:rPr>
          <w:rFonts w:hint="eastAsia"/>
          <w:spacing w:val="-6"/>
          <w:rtl/>
        </w:rPr>
        <w:t>»</w:t>
      </w:r>
      <w:r>
        <w:rPr>
          <w:rFonts w:hint="cs"/>
          <w:spacing w:val="-6"/>
          <w:vertAlign w:val="superscript"/>
          <w:rtl/>
        </w:rPr>
        <w:t>(</w:t>
      </w:r>
      <w:r>
        <w:rPr>
          <w:rStyle w:val="a7"/>
          <w:spacing w:val="-6"/>
          <w:rtl/>
        </w:rPr>
        <w:footnoteReference w:id="4856"/>
      </w:r>
      <w:r>
        <w:rPr>
          <w:rFonts w:hint="cs"/>
          <w:spacing w:val="-6"/>
          <w:vertAlign w:val="superscript"/>
          <w:rtl/>
        </w:rPr>
        <w:t>)</w:t>
      </w:r>
      <w:r>
        <w:rPr>
          <w:rFonts w:hint="cs"/>
          <w:spacing w:val="-6"/>
          <w:rtl/>
        </w:rPr>
        <w:t>.</w:t>
      </w:r>
    </w:p>
    <w:p w:rsidR="003D5367" w:rsidRDefault="003D5367" w:rsidP="003D5367">
      <w:pPr>
        <w:ind w:left="989" w:hanging="422"/>
        <w:rPr>
          <w:spacing w:val="-10"/>
          <w:rtl/>
        </w:rPr>
      </w:pPr>
      <w:r>
        <w:rPr>
          <w:rFonts w:hint="cs"/>
          <w:b/>
          <w:bCs/>
          <w:spacing w:val="-10"/>
          <w:sz w:val="36"/>
          <w:rtl/>
        </w:rPr>
        <w:lastRenderedPageBreak/>
        <w:t xml:space="preserve">     والحق</w:t>
      </w:r>
      <w:r>
        <w:rPr>
          <w:rFonts w:hint="cs"/>
          <w:spacing w:val="-10"/>
          <w:sz w:val="36"/>
          <w:rtl/>
        </w:rPr>
        <w:t xml:space="preserve"> : أنه لا يكون</w:t>
      </w:r>
      <w:r>
        <w:rPr>
          <w:rStyle w:val="a7"/>
          <w:spacing w:val="-10"/>
          <w:rtl/>
        </w:rPr>
        <w:footnoteReference w:id="4857"/>
      </w:r>
      <w:r>
        <w:rPr>
          <w:rFonts w:hint="cs"/>
          <w:spacing w:val="-10"/>
          <w:rtl/>
        </w:rPr>
        <w:t xml:space="preserve"> </w:t>
      </w:r>
      <w:r>
        <w:rPr>
          <w:rFonts w:hint="cs"/>
          <w:spacing w:val="-10"/>
          <w:sz w:val="36"/>
          <w:rtl/>
        </w:rPr>
        <w:t>جوابًا شافيًا؛ لأن عدم اعتبار التناقض فيها معلّل بالخفاء</w:t>
      </w:r>
      <w:r>
        <w:rPr>
          <w:rFonts w:hint="cs"/>
          <w:spacing w:val="-10"/>
          <w:vertAlign w:val="superscript"/>
          <w:rtl/>
        </w:rPr>
        <w:t>(</w:t>
      </w:r>
      <w:r>
        <w:rPr>
          <w:rStyle w:val="a7"/>
          <w:spacing w:val="-10"/>
          <w:rtl/>
        </w:rPr>
        <w:footnoteReference w:id="4858"/>
      </w:r>
      <w:r>
        <w:rPr>
          <w:rFonts w:hint="cs"/>
          <w:spacing w:val="-10"/>
          <w:vertAlign w:val="superscript"/>
          <w:rtl/>
        </w:rPr>
        <w:t xml:space="preserve">) </w:t>
      </w:r>
      <w:r>
        <w:rPr>
          <w:rFonts w:hint="cs"/>
          <w:spacing w:val="-10"/>
          <w:sz w:val="36"/>
          <w:rtl/>
        </w:rPr>
        <w:t>, ولا خفاء ههنا, وإنما الخفاء لو ادّعى المشتري. وسيأتي</w:t>
      </w:r>
      <w:r>
        <w:rPr>
          <w:rStyle w:val="a7"/>
          <w:spacing w:val="-10"/>
          <w:rtl/>
        </w:rPr>
        <w:footnoteReference w:id="4859"/>
      </w:r>
      <w:r>
        <w:rPr>
          <w:rFonts w:hint="cs"/>
          <w:spacing w:val="-10"/>
          <w:rtl/>
        </w:rPr>
        <w:t xml:space="preserve"> </w:t>
      </w:r>
      <w:r>
        <w:rPr>
          <w:rFonts w:hint="cs"/>
          <w:spacing w:val="-10"/>
          <w:sz w:val="36"/>
          <w:rtl/>
        </w:rPr>
        <w:t>جوابه -إن شاء الله-</w:t>
      </w:r>
      <w:r>
        <w:rPr>
          <w:rFonts w:hint="cs"/>
          <w:spacing w:val="-10"/>
          <w:vertAlign w:val="superscript"/>
          <w:rtl/>
        </w:rPr>
        <w:t>(</w:t>
      </w:r>
      <w:r>
        <w:rPr>
          <w:rStyle w:val="a7"/>
          <w:spacing w:val="-10"/>
          <w:rtl/>
        </w:rPr>
        <w:footnoteReference w:id="4860"/>
      </w:r>
      <w:r>
        <w:rPr>
          <w:rFonts w:hint="cs"/>
          <w:spacing w:val="-10"/>
          <w:vertAlign w:val="superscript"/>
          <w:rtl/>
        </w:rPr>
        <w:t>)</w:t>
      </w:r>
      <w:r>
        <w:rPr>
          <w:rFonts w:hint="cs"/>
          <w:spacing w:val="-10"/>
          <w:rtl/>
        </w:rPr>
        <w:t>.</w:t>
      </w:r>
    </w:p>
    <w:p w:rsidR="003D5367" w:rsidRDefault="003D5367" w:rsidP="003D5367">
      <w:pPr>
        <w:ind w:left="989" w:hanging="422"/>
        <w:rPr>
          <w:spacing w:val="-4"/>
          <w:rtl/>
        </w:rPr>
      </w:pPr>
      <w:r>
        <w:rPr>
          <w:b/>
          <w:bCs/>
          <w:spacing w:val="-4"/>
          <w:sz w:val="34"/>
          <w:szCs w:val="34"/>
          <w:rtl/>
        </w:rPr>
        <w:t>•</w:t>
      </w:r>
      <w:r>
        <w:rPr>
          <w:rFonts w:hint="cs"/>
          <w:b/>
          <w:bCs/>
          <w:spacing w:val="-4"/>
          <w:sz w:val="34"/>
          <w:szCs w:val="34"/>
          <w:rtl/>
        </w:rPr>
        <w:t xml:space="preserve"> ومنها</w:t>
      </w:r>
      <w:r>
        <w:rPr>
          <w:rFonts w:hint="cs"/>
          <w:spacing w:val="-4"/>
          <w:sz w:val="34"/>
          <w:szCs w:val="34"/>
          <w:rtl/>
        </w:rPr>
        <w:t xml:space="preserve"> : </w:t>
      </w:r>
      <w:r>
        <w:rPr>
          <w:rFonts w:hint="eastAsia"/>
          <w:spacing w:val="-4"/>
          <w:sz w:val="34"/>
          <w:szCs w:val="34"/>
          <w:rtl/>
        </w:rPr>
        <w:t>«</w:t>
      </w:r>
      <w:r>
        <w:rPr>
          <w:rFonts w:hint="cs"/>
          <w:spacing w:val="-4"/>
          <w:sz w:val="34"/>
          <w:szCs w:val="34"/>
          <w:rtl/>
        </w:rPr>
        <w:t>اشترى أرضًا, ثم ادّعى [أنّ]</w:t>
      </w:r>
      <w:r>
        <w:rPr>
          <w:rStyle w:val="a7"/>
          <w:spacing w:val="-4"/>
          <w:rtl/>
        </w:rPr>
        <w:footnoteReference w:id="4861"/>
      </w:r>
      <w:r>
        <w:rPr>
          <w:rFonts w:hint="cs"/>
          <w:spacing w:val="-4"/>
          <w:rtl/>
        </w:rPr>
        <w:t xml:space="preserve"> </w:t>
      </w:r>
      <w:r>
        <w:rPr>
          <w:rFonts w:hint="cs"/>
          <w:spacing w:val="-4"/>
          <w:sz w:val="34"/>
          <w:szCs w:val="34"/>
          <w:rtl/>
        </w:rPr>
        <w:t>بائعها</w:t>
      </w:r>
      <w:r>
        <w:rPr>
          <w:rStyle w:val="a7"/>
          <w:spacing w:val="-4"/>
          <w:rtl/>
        </w:rPr>
        <w:footnoteReference w:id="4862"/>
      </w:r>
      <w:r>
        <w:rPr>
          <w:rFonts w:hint="cs"/>
          <w:spacing w:val="-4"/>
          <w:rtl/>
        </w:rPr>
        <w:t xml:space="preserve"> </w:t>
      </w:r>
      <w:r>
        <w:rPr>
          <w:rFonts w:hint="cs"/>
          <w:spacing w:val="-4"/>
          <w:sz w:val="34"/>
          <w:szCs w:val="34"/>
          <w:rtl/>
        </w:rPr>
        <w:t>كان</w:t>
      </w:r>
      <w:r>
        <w:rPr>
          <w:rStyle w:val="a7"/>
          <w:spacing w:val="-4"/>
          <w:rtl/>
        </w:rPr>
        <w:footnoteReference w:id="4863"/>
      </w:r>
      <w:r>
        <w:rPr>
          <w:rFonts w:hint="cs"/>
          <w:spacing w:val="-4"/>
          <w:rtl/>
        </w:rPr>
        <w:t xml:space="preserve"> </w:t>
      </w:r>
      <w:r>
        <w:rPr>
          <w:rFonts w:hint="cs"/>
          <w:spacing w:val="-4"/>
          <w:sz w:val="34"/>
          <w:szCs w:val="34"/>
          <w:rtl/>
        </w:rPr>
        <w:t>جعلها مقبرة أو مسجدًا</w:t>
      </w:r>
      <w:r>
        <w:rPr>
          <w:rFonts w:hint="eastAsia"/>
          <w:spacing w:val="-4"/>
          <w:sz w:val="34"/>
          <w:szCs w:val="34"/>
          <w:rtl/>
        </w:rPr>
        <w:t>»</w:t>
      </w:r>
      <w:r>
        <w:rPr>
          <w:rFonts w:hint="cs"/>
          <w:spacing w:val="-4"/>
          <w:vertAlign w:val="superscript"/>
          <w:rtl/>
        </w:rPr>
        <w:t>(</w:t>
      </w:r>
      <w:r>
        <w:rPr>
          <w:rStyle w:val="a7"/>
          <w:spacing w:val="-4"/>
          <w:rtl/>
        </w:rPr>
        <w:footnoteReference w:id="4864"/>
      </w:r>
      <w:r>
        <w:rPr>
          <w:rFonts w:hint="cs"/>
          <w:spacing w:val="-4"/>
          <w:vertAlign w:val="superscript"/>
          <w:rtl/>
        </w:rPr>
        <w:t>)</w:t>
      </w:r>
      <w:r>
        <w:rPr>
          <w:rFonts w:hint="cs"/>
          <w:spacing w:val="-4"/>
          <w:rtl/>
        </w:rPr>
        <w:t>.</w:t>
      </w:r>
    </w:p>
    <w:p w:rsidR="003D5367" w:rsidRDefault="003D5367" w:rsidP="003D5367">
      <w:pPr>
        <w:ind w:left="989" w:hanging="422"/>
        <w:rPr>
          <w:rtl/>
        </w:rPr>
      </w:pPr>
      <w:r>
        <w:rPr>
          <w:b/>
          <w:bCs/>
          <w:rtl/>
        </w:rPr>
        <w:t>•</w:t>
      </w:r>
      <w:r>
        <w:rPr>
          <w:rFonts w:hint="cs"/>
          <w:b/>
          <w:bCs/>
          <w:rtl/>
        </w:rPr>
        <w:t xml:space="preserve"> ومنها</w:t>
      </w:r>
      <w:r>
        <w:rPr>
          <w:rFonts w:hint="cs"/>
          <w:rtl/>
        </w:rPr>
        <w:t xml:space="preserve"> : </w:t>
      </w:r>
      <w:r>
        <w:rPr>
          <w:rFonts w:hint="eastAsia"/>
          <w:rtl/>
        </w:rPr>
        <w:t>«</w:t>
      </w:r>
      <w:r>
        <w:rPr>
          <w:rFonts w:hint="cs"/>
          <w:rtl/>
        </w:rPr>
        <w:t>باع الأب مال ولده, ثم ادّعى أنه وقع بغبن فاحش</w:t>
      </w:r>
      <w:r>
        <w:rPr>
          <w:rFonts w:hint="eastAsia"/>
          <w:rtl/>
        </w:rPr>
        <w:t>»</w:t>
      </w:r>
      <w:r>
        <w:rPr>
          <w:rStyle w:val="a7"/>
          <w:rtl/>
        </w:rPr>
        <w:footnoteReference w:id="4865"/>
      </w:r>
      <w:r>
        <w:rPr>
          <w:rFonts w:hint="cs"/>
          <w:vertAlign w:val="superscript"/>
          <w:rtl/>
        </w:rPr>
        <w:t>(</w:t>
      </w:r>
      <w:r>
        <w:rPr>
          <w:rStyle w:val="a7"/>
          <w:rtl/>
        </w:rPr>
        <w:footnoteReference w:id="4866"/>
      </w:r>
      <w:r>
        <w:rPr>
          <w:rFonts w:hint="cs"/>
          <w:vertAlign w:val="superscript"/>
          <w:rtl/>
        </w:rPr>
        <w:t>)</w:t>
      </w:r>
      <w:r>
        <w:rPr>
          <w:rFonts w:hint="cs"/>
          <w:rtl/>
        </w:rPr>
        <w:t>.</w:t>
      </w:r>
    </w:p>
    <w:p w:rsidR="003D5367" w:rsidRDefault="003D5367" w:rsidP="003D5367">
      <w:pPr>
        <w:ind w:left="989" w:hanging="422"/>
        <w:rPr>
          <w:rtl/>
        </w:rPr>
      </w:pPr>
      <w:r>
        <w:rPr>
          <w:b/>
          <w:bCs/>
          <w:rtl/>
        </w:rPr>
        <w:t>•</w:t>
      </w:r>
      <w:r>
        <w:rPr>
          <w:rFonts w:hint="cs"/>
          <w:b/>
          <w:bCs/>
          <w:rtl/>
        </w:rPr>
        <w:t xml:space="preserve"> وكذا</w:t>
      </w:r>
      <w:r>
        <w:rPr>
          <w:rFonts w:hint="cs"/>
          <w:rtl/>
        </w:rPr>
        <w:t xml:space="preserve"> : الوصيّ في مال اليتيم, والمتولي في مال الوقف</w:t>
      </w:r>
      <w:r>
        <w:rPr>
          <w:rFonts w:hint="cs"/>
          <w:vertAlign w:val="superscript"/>
          <w:rtl/>
        </w:rPr>
        <w:t>(</w:t>
      </w:r>
      <w:r>
        <w:rPr>
          <w:rStyle w:val="a7"/>
          <w:rtl/>
        </w:rPr>
        <w:footnoteReference w:id="4867"/>
      </w:r>
      <w:r>
        <w:rPr>
          <w:rFonts w:hint="cs"/>
          <w:vertAlign w:val="superscript"/>
          <w:rtl/>
        </w:rPr>
        <w:t>)</w:t>
      </w:r>
      <w:r>
        <w:rPr>
          <w:rFonts w:hint="cs"/>
          <w:rtl/>
        </w:rPr>
        <w:t>.</w:t>
      </w:r>
      <w:r>
        <w:rPr>
          <w:rFonts w:hint="cs"/>
          <w:vertAlign w:val="superscript"/>
          <w:rtl/>
        </w:rPr>
        <w:t xml:space="preserve"> </w:t>
      </w:r>
    </w:p>
    <w:p w:rsidR="003D5367" w:rsidRDefault="003D5367" w:rsidP="003D5367">
      <w:pPr>
        <w:ind w:left="989" w:hanging="422"/>
        <w:rPr>
          <w:rtl/>
        </w:rPr>
      </w:pPr>
      <w:r>
        <w:rPr>
          <w:b/>
          <w:bCs/>
          <w:rtl/>
        </w:rPr>
        <w:t>•</w:t>
      </w:r>
      <w:r>
        <w:rPr>
          <w:rFonts w:hint="cs"/>
          <w:b/>
          <w:bCs/>
          <w:rtl/>
        </w:rPr>
        <w:t xml:space="preserve"> وكذا</w:t>
      </w:r>
      <w:r>
        <w:rPr>
          <w:rFonts w:hint="cs"/>
          <w:rtl/>
        </w:rPr>
        <w:t xml:space="preserve"> : </w:t>
      </w:r>
      <w:r>
        <w:rPr>
          <w:rFonts w:hint="eastAsia"/>
          <w:rtl/>
        </w:rPr>
        <w:t>«</w:t>
      </w:r>
      <w:r>
        <w:rPr>
          <w:rFonts w:hint="cs"/>
          <w:rtl/>
        </w:rPr>
        <w:t>كلُّ من باع ثم ادعى الفساد</w:t>
      </w:r>
      <w:r>
        <w:rPr>
          <w:rFonts w:hint="eastAsia"/>
          <w:rtl/>
        </w:rPr>
        <w:t>»</w:t>
      </w:r>
      <w:r>
        <w:rPr>
          <w:rFonts w:hint="cs"/>
          <w:vertAlign w:val="superscript"/>
          <w:rtl/>
        </w:rPr>
        <w:t>(</w:t>
      </w:r>
      <w:r>
        <w:rPr>
          <w:rStyle w:val="a7"/>
          <w:rtl/>
        </w:rPr>
        <w:footnoteReference w:id="4868"/>
      </w:r>
      <w:r>
        <w:rPr>
          <w:rFonts w:hint="cs"/>
          <w:vertAlign w:val="superscript"/>
          <w:rtl/>
        </w:rPr>
        <w:t>)</w:t>
      </w:r>
      <w:r>
        <w:rPr>
          <w:rFonts w:hint="cs"/>
          <w:rtl/>
        </w:rPr>
        <w:t>.</w:t>
      </w:r>
    </w:p>
    <w:p w:rsidR="003D5367" w:rsidRDefault="003D5367">
      <w:pPr>
        <w:spacing w:line="500" w:lineRule="exact"/>
        <w:rPr>
          <w:spacing w:val="6"/>
          <w:rtl/>
        </w:rPr>
      </w:pPr>
      <w:r>
        <w:rPr>
          <w:rFonts w:hint="cs"/>
          <w:b/>
          <w:bCs/>
          <w:spacing w:val="6"/>
          <w:rtl/>
        </w:rPr>
        <w:t>والجواب</w:t>
      </w:r>
      <w:r>
        <w:rPr>
          <w:rFonts w:hint="cs"/>
          <w:spacing w:val="6"/>
          <w:rtl/>
        </w:rPr>
        <w:t xml:space="preserve"> : أن هذه العقود فاسدة, فالفساد يمنع العقد عن كونها</w:t>
      </w:r>
      <w:r>
        <w:rPr>
          <w:rFonts w:hint="cs"/>
          <w:spacing w:val="6"/>
          <w:vertAlign w:val="superscript"/>
          <w:rtl/>
        </w:rPr>
        <w:t>(</w:t>
      </w:r>
      <w:r>
        <w:rPr>
          <w:rStyle w:val="a7"/>
          <w:spacing w:val="6"/>
          <w:rtl/>
        </w:rPr>
        <w:footnoteReference w:id="4869"/>
      </w:r>
      <w:r>
        <w:rPr>
          <w:rFonts w:hint="cs"/>
          <w:spacing w:val="6"/>
          <w:vertAlign w:val="superscript"/>
          <w:rtl/>
        </w:rPr>
        <w:t>)</w:t>
      </w:r>
      <w:r>
        <w:rPr>
          <w:rFonts w:hint="cs"/>
          <w:spacing w:val="6"/>
          <w:rtl/>
        </w:rPr>
        <w:t xml:space="preserve"> </w:t>
      </w:r>
      <w:r>
        <w:rPr>
          <w:rFonts w:hint="cs"/>
          <w:spacing w:val="6"/>
          <w:rtl/>
        </w:rPr>
        <w:lastRenderedPageBreak/>
        <w:t>[تامةً]</w:t>
      </w:r>
      <w:r>
        <w:rPr>
          <w:rStyle w:val="a7"/>
          <w:spacing w:val="6"/>
          <w:rtl/>
        </w:rPr>
        <w:footnoteReference w:id="4870"/>
      </w:r>
      <w:r>
        <w:rPr>
          <w:rFonts w:hint="cs"/>
          <w:spacing w:val="6"/>
          <w:rtl/>
        </w:rPr>
        <w:t>, وكلامنا فيما تم من جهته.</w:t>
      </w:r>
    </w:p>
    <w:p w:rsidR="003D5367" w:rsidRDefault="003D5367">
      <w:pPr>
        <w:spacing w:line="520" w:lineRule="exact"/>
        <w:rPr>
          <w:spacing w:val="6"/>
          <w:rtl/>
        </w:rPr>
      </w:pPr>
      <w:r>
        <w:rPr>
          <w:rFonts w:hint="cs"/>
          <w:b/>
          <w:bCs/>
          <w:spacing w:val="6"/>
          <w:rtl/>
        </w:rPr>
        <w:t>ويرد</w:t>
      </w:r>
      <w:r>
        <w:rPr>
          <w:rFonts w:hint="cs"/>
          <w:spacing w:val="6"/>
          <w:rtl/>
        </w:rPr>
        <w:t xml:space="preserve"> على هذا : إذا باع المشتري بالعقد</w:t>
      </w:r>
      <w:r>
        <w:rPr>
          <w:rFonts w:hint="cs"/>
          <w:spacing w:val="6"/>
          <w:vertAlign w:val="superscript"/>
          <w:rtl/>
        </w:rPr>
        <w:t>(</w:t>
      </w:r>
      <w:r>
        <w:rPr>
          <w:rStyle w:val="a7"/>
          <w:spacing w:val="6"/>
          <w:rtl/>
        </w:rPr>
        <w:footnoteReference w:id="4871"/>
      </w:r>
      <w:r>
        <w:rPr>
          <w:rFonts w:hint="cs"/>
          <w:spacing w:val="6"/>
          <w:vertAlign w:val="superscript"/>
          <w:rtl/>
        </w:rPr>
        <w:t>)</w:t>
      </w:r>
      <w:r>
        <w:rPr>
          <w:rFonts w:hint="cs"/>
          <w:spacing w:val="6"/>
          <w:rtl/>
        </w:rPr>
        <w:t xml:space="preserve"> الفاسد بعد القبض بالعقد</w:t>
      </w:r>
      <w:r>
        <w:rPr>
          <w:rFonts w:hint="cs"/>
          <w:spacing w:val="6"/>
          <w:vertAlign w:val="superscript"/>
          <w:rtl/>
        </w:rPr>
        <w:t>(</w:t>
      </w:r>
      <w:r>
        <w:rPr>
          <w:rStyle w:val="a7"/>
          <w:spacing w:val="6"/>
          <w:rtl/>
        </w:rPr>
        <w:footnoteReference w:id="4872"/>
      </w:r>
      <w:r>
        <w:rPr>
          <w:rFonts w:hint="cs"/>
          <w:spacing w:val="6"/>
          <w:vertAlign w:val="superscript"/>
          <w:rtl/>
        </w:rPr>
        <w:t>)</w:t>
      </w:r>
      <w:r>
        <w:rPr>
          <w:rFonts w:hint="cs"/>
          <w:spacing w:val="6"/>
          <w:rtl/>
        </w:rPr>
        <w:t xml:space="preserve"> الصحيح : لا يملك الاسترداد</w:t>
      </w:r>
      <w:r>
        <w:rPr>
          <w:rFonts w:hint="cs"/>
          <w:spacing w:val="6"/>
          <w:vertAlign w:val="superscript"/>
          <w:rtl/>
        </w:rPr>
        <w:t>(</w:t>
      </w:r>
      <w:r>
        <w:rPr>
          <w:rStyle w:val="a7"/>
          <w:spacing w:val="6"/>
          <w:rtl/>
        </w:rPr>
        <w:footnoteReference w:id="4873"/>
      </w:r>
      <w:r>
        <w:rPr>
          <w:rFonts w:hint="cs"/>
          <w:spacing w:val="6"/>
          <w:vertAlign w:val="superscript"/>
          <w:rtl/>
        </w:rPr>
        <w:t>)</w:t>
      </w:r>
      <w:r>
        <w:rPr>
          <w:rFonts w:hint="cs"/>
          <w:spacing w:val="6"/>
          <w:rtl/>
        </w:rPr>
        <w:t>.</w:t>
      </w:r>
    </w:p>
    <w:p w:rsidR="003D5367" w:rsidRDefault="003D5367">
      <w:pPr>
        <w:spacing w:line="620" w:lineRule="exact"/>
        <w:rPr>
          <w:rtl/>
        </w:rPr>
      </w:pPr>
      <w:r>
        <w:rPr>
          <w:rFonts w:hint="cs"/>
          <w:b/>
          <w:bCs/>
          <w:rtl/>
        </w:rPr>
        <w:t>والجواب</w:t>
      </w:r>
      <w:r>
        <w:rPr>
          <w:rFonts w:hint="cs"/>
          <w:rtl/>
        </w:rPr>
        <w:t xml:space="preserve"> : أنه إذا</w:t>
      </w:r>
      <w:r>
        <w:rPr>
          <w:rStyle w:val="a7"/>
          <w:rtl/>
        </w:rPr>
        <w:footnoteReference w:id="4874"/>
      </w:r>
      <w:r>
        <w:rPr>
          <w:rFonts w:hint="cs"/>
          <w:rtl/>
        </w:rPr>
        <w:t xml:space="preserve"> باع انتهى؛ ولهذا لا يـملك</w:t>
      </w:r>
      <w:r>
        <w:rPr>
          <w:rFonts w:hint="cs"/>
          <w:vertAlign w:val="superscript"/>
          <w:rtl/>
        </w:rPr>
        <w:t>(</w:t>
      </w:r>
      <w:r>
        <w:rPr>
          <w:rStyle w:val="a7"/>
          <w:rtl/>
        </w:rPr>
        <w:footnoteReference w:id="4875"/>
      </w:r>
      <w:r>
        <w:rPr>
          <w:rFonts w:hint="cs"/>
          <w:vertAlign w:val="superscript"/>
          <w:rtl/>
        </w:rPr>
        <w:t>)</w:t>
      </w:r>
      <w:r>
        <w:rPr>
          <w:rFonts w:hint="cs"/>
          <w:rtl/>
        </w:rPr>
        <w:t xml:space="preserve"> الفسخ, والنهى تقرّر</w:t>
      </w:r>
      <w:r>
        <w:rPr>
          <w:rStyle w:val="a7"/>
          <w:rtl/>
        </w:rPr>
        <w:footnoteReference w:id="4876"/>
      </w:r>
      <w:r>
        <w:rPr>
          <w:rFonts w:hint="cs"/>
          <w:rtl/>
        </w:rPr>
        <w:t>, فإذا تقرّر فقد تمّ</w:t>
      </w:r>
      <w:r>
        <w:rPr>
          <w:rFonts w:hint="cs"/>
          <w:vertAlign w:val="superscript"/>
          <w:rtl/>
        </w:rPr>
        <w:t>(</w:t>
      </w:r>
      <w:r>
        <w:rPr>
          <w:rStyle w:val="a7"/>
          <w:rtl/>
        </w:rPr>
        <w:footnoteReference w:id="4877"/>
      </w:r>
      <w:r>
        <w:rPr>
          <w:rFonts w:hint="cs"/>
          <w:vertAlign w:val="superscript"/>
          <w:rtl/>
        </w:rPr>
        <w:t>)</w:t>
      </w:r>
      <w:r>
        <w:rPr>
          <w:rFonts w:hint="cs"/>
          <w:rtl/>
        </w:rPr>
        <w:t>, ولم يكن ذلك إلا من البائـع الأول ابـتداءً</w:t>
      </w:r>
      <w:r>
        <w:rPr>
          <w:rStyle w:val="a7"/>
          <w:rtl/>
        </w:rPr>
        <w:footnoteReference w:id="4878"/>
      </w:r>
      <w:r>
        <w:rPr>
          <w:rFonts w:hint="cs"/>
          <w:rtl/>
        </w:rPr>
        <w:t>، فـيـكون الاسترداد نقضًا لما تمّ من جهته.</w:t>
      </w:r>
    </w:p>
    <w:p w:rsidR="003D5367" w:rsidRDefault="003D5367">
      <w:pPr>
        <w:rPr>
          <w:rtl/>
        </w:rPr>
      </w:pPr>
    </w:p>
    <w:p w:rsidR="003D5367" w:rsidRDefault="003D5367">
      <w:pPr>
        <w:rPr>
          <w:rtl/>
        </w:rPr>
      </w:pPr>
    </w:p>
    <w:p w:rsidR="003D5367" w:rsidRDefault="003D5367">
      <w:pPr>
        <w:rPr>
          <w:rtl/>
        </w:rPr>
      </w:pPr>
    </w:p>
    <w:p w:rsidR="003D5367"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0471F">
          <w:headerReference w:type="default" r:id="rId29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8D4FE1" w:rsidRDefault="003D5367">
      <w:pPr>
        <w:pStyle w:val="a9"/>
        <w:rPr>
          <w:rFonts w:cs="AL-Mateen"/>
          <w:rtl/>
        </w:rPr>
      </w:pPr>
      <w:r w:rsidRPr="008D4FE1">
        <w:rPr>
          <w:rFonts w:cs="AL-Mateen" w:hint="cs"/>
          <w:rtl/>
        </w:rPr>
        <w:lastRenderedPageBreak/>
        <w:t>[ الـقـاعـدة الـسـادسـة والـثـلاثـون بـعـد الـمـائـتـيـن ]</w:t>
      </w:r>
    </w:p>
    <w:p w:rsidR="003D5367" w:rsidRDefault="003D5367">
      <w:pPr>
        <w:rPr>
          <w:rtl/>
        </w:rPr>
      </w:pPr>
      <w:r>
        <w:rPr>
          <w:rFonts w:cs="Monotype Koufi" w:hint="cs"/>
          <w:rtl/>
        </w:rPr>
        <w:t>مَنْ لاَ يَلِي غَيْرَهُ لا يَجُوزُ تَصَرُّفُهُ في حَقِّهِ</w:t>
      </w:r>
      <w:r>
        <w:rPr>
          <w:rFonts w:hint="cs"/>
          <w:vertAlign w:val="superscript"/>
          <w:rtl/>
        </w:rPr>
        <w:t>(</w:t>
      </w:r>
      <w:r>
        <w:rPr>
          <w:rStyle w:val="a7"/>
          <w:rtl/>
        </w:rPr>
        <w:footnoteReference w:id="4879"/>
      </w:r>
      <w:r>
        <w:rPr>
          <w:rFonts w:hint="cs"/>
          <w:vertAlign w:val="superscript"/>
          <w:rtl/>
        </w:rPr>
        <w:t>)</w:t>
      </w:r>
      <w:r>
        <w:rPr>
          <w:rFonts w:hint="cs"/>
          <w:rtl/>
        </w:rPr>
        <w:t>:</w:t>
      </w:r>
    </w:p>
    <w:p w:rsidR="003D5367" w:rsidRDefault="003D5367">
      <w:pPr>
        <w:rPr>
          <w:rtl/>
        </w:rPr>
      </w:pPr>
      <w:r>
        <w:rPr>
          <w:rFonts w:hint="eastAsia"/>
          <w:rtl/>
        </w:rPr>
        <w:t>«</w:t>
      </w:r>
      <w:r>
        <w:rPr>
          <w:rFonts w:hint="cs"/>
          <w:rtl/>
        </w:rPr>
        <w:t>فإذا باع عبدٌ</w:t>
      </w:r>
      <w:r>
        <w:rPr>
          <w:rStyle w:val="a7"/>
          <w:rtl/>
        </w:rPr>
        <w:footnoteReference w:id="4880"/>
      </w:r>
      <w:r>
        <w:rPr>
          <w:rFonts w:hint="cs"/>
          <w:rtl/>
        </w:rPr>
        <w:t xml:space="preserve"> أو مكاتبٌ أوذميٌّ مالَ صغيرهِ الحرِّ المسلمِ, أو اشترى [به]</w:t>
      </w:r>
      <w:r>
        <w:rPr>
          <w:rStyle w:val="a7"/>
          <w:rtl/>
        </w:rPr>
        <w:footnoteReference w:id="4881"/>
      </w:r>
      <w:r>
        <w:rPr>
          <w:rFonts w:hint="cs"/>
          <w:rtl/>
        </w:rPr>
        <w:t>, أو تُزَوَّجُ صغير[ة]</w:t>
      </w:r>
      <w:r>
        <w:rPr>
          <w:rStyle w:val="a7"/>
          <w:rtl/>
        </w:rPr>
        <w:footnoteReference w:id="4882"/>
      </w:r>
      <w:r>
        <w:rPr>
          <w:rFonts w:hint="cs"/>
          <w:rtl/>
        </w:rPr>
        <w:t xml:space="preserve"> كذلك : لا يجوز؛ لانتفاء ولايتهم</w:t>
      </w:r>
      <w:r>
        <w:rPr>
          <w:rFonts w:hint="eastAsia"/>
          <w:rtl/>
        </w:rPr>
        <w:t>»</w:t>
      </w:r>
      <w:r>
        <w:rPr>
          <w:rFonts w:hint="cs"/>
          <w:vertAlign w:val="superscript"/>
          <w:rtl/>
        </w:rPr>
        <w:t>(</w:t>
      </w:r>
      <w:r>
        <w:rPr>
          <w:rStyle w:val="a7"/>
          <w:rtl/>
        </w:rPr>
        <w:footnoteReference w:id="4883"/>
      </w:r>
      <w:r>
        <w:rPr>
          <w:rFonts w:hint="cs"/>
          <w:vertAlign w:val="superscript"/>
          <w:rtl/>
        </w:rPr>
        <w:t>)</w:t>
      </w:r>
      <w:r>
        <w:rPr>
          <w:rFonts w:hint="cs"/>
          <w:rtl/>
        </w:rPr>
        <w:t>.</w:t>
      </w:r>
    </w:p>
    <w:p w:rsidR="003D5367" w:rsidRDefault="003D5367">
      <w:pPr>
        <w:rPr>
          <w:rtl/>
        </w:rPr>
      </w:pPr>
      <w:r>
        <w:rPr>
          <w:rFonts w:hint="cs"/>
          <w:rtl/>
        </w:rPr>
        <w:t xml:space="preserve">وقال صاحب (الدرر)-في تعليله- : </w:t>
      </w:r>
      <w:r>
        <w:rPr>
          <w:rFonts w:hint="eastAsia"/>
          <w:rtl/>
        </w:rPr>
        <w:t>«</w:t>
      </w:r>
      <w:r>
        <w:rPr>
          <w:rFonts w:hint="cs"/>
          <w:rtl/>
        </w:rPr>
        <w:t>لأن صحّة التصرف مبنية على الولاية وإذا</w:t>
      </w:r>
      <w:r>
        <w:rPr>
          <w:rStyle w:val="a7"/>
          <w:rtl/>
        </w:rPr>
        <w:footnoteReference w:id="4884"/>
      </w:r>
      <w:r>
        <w:rPr>
          <w:rFonts w:hint="cs"/>
          <w:rtl/>
        </w:rPr>
        <w:t xml:space="preserve"> انتفت الثانية انتفت الأولى</w:t>
      </w:r>
      <w:r>
        <w:rPr>
          <w:rFonts w:hint="eastAsia"/>
          <w:rtl/>
        </w:rPr>
        <w:t>»</w:t>
      </w:r>
      <w:r>
        <w:rPr>
          <w:rFonts w:hint="cs"/>
          <w:vertAlign w:val="superscript"/>
          <w:rtl/>
        </w:rPr>
        <w:t>(</w:t>
      </w:r>
      <w:r>
        <w:rPr>
          <w:rStyle w:val="a7"/>
          <w:rtl/>
        </w:rPr>
        <w:footnoteReference w:id="4885"/>
      </w:r>
      <w:r>
        <w:rPr>
          <w:rFonts w:hint="cs"/>
          <w:vertAlign w:val="superscript"/>
          <w:rtl/>
        </w:rPr>
        <w:t>)</w:t>
      </w:r>
      <w:r>
        <w:rPr>
          <w:rFonts w:hint="cs"/>
          <w:rtl/>
        </w:rPr>
        <w:t>.</w:t>
      </w:r>
    </w:p>
    <w:p w:rsidR="003D5367" w:rsidRDefault="003D5367">
      <w:pPr>
        <w:rPr>
          <w:rtl/>
        </w:rPr>
      </w:pPr>
      <w:r>
        <w:rPr>
          <w:rFonts w:hint="cs"/>
          <w:rtl/>
        </w:rPr>
        <w:t>وهـذا سـهـو والصـواب : إذا انـتـفـت</w:t>
      </w:r>
      <w:r>
        <w:rPr>
          <w:rStyle w:val="a7"/>
          <w:rtl/>
        </w:rPr>
        <w:footnoteReference w:id="4886"/>
      </w:r>
      <w:r>
        <w:rPr>
          <w:rFonts w:hint="cs"/>
          <w:rtl/>
        </w:rPr>
        <w:t xml:space="preserve"> الأولى</w:t>
      </w:r>
      <w:r>
        <w:rPr>
          <w:rStyle w:val="a7"/>
          <w:rtl/>
        </w:rPr>
        <w:footnoteReference w:id="4887"/>
      </w:r>
      <w:r>
        <w:rPr>
          <w:rFonts w:hint="cs"/>
          <w:rtl/>
        </w:rPr>
        <w:t xml:space="preserve"> انـتـفت الـثـانـيـة؛ لأن انـتـفـاء الولاية لا</w:t>
      </w:r>
      <w:r>
        <w:rPr>
          <w:rStyle w:val="a7"/>
          <w:rtl/>
        </w:rPr>
        <w:footnoteReference w:id="4888"/>
      </w:r>
      <w:r>
        <w:rPr>
          <w:rFonts w:hint="cs"/>
          <w:rtl/>
        </w:rPr>
        <w:t xml:space="preserve"> يـسـتـلـزم  انـتـفـاء التصرف, </w:t>
      </w:r>
    </w:p>
    <w:p w:rsidR="003D5367" w:rsidRDefault="003D5367">
      <w:pPr>
        <w:ind w:firstLine="0"/>
        <w:rPr>
          <w:rtl/>
        </w:rPr>
      </w:pPr>
      <w:r>
        <w:rPr>
          <w:rFonts w:hint="cs"/>
          <w:rtl/>
        </w:rPr>
        <w:lastRenderedPageBreak/>
        <w:t>وانتفاء جواز التصرف [يستلزم]</w:t>
      </w:r>
      <w:r>
        <w:rPr>
          <w:rStyle w:val="a7"/>
          <w:rtl/>
        </w:rPr>
        <w:footnoteReference w:id="4889"/>
      </w:r>
      <w:r>
        <w:rPr>
          <w:rFonts w:hint="cs"/>
          <w:rtl/>
        </w:rPr>
        <w:t xml:space="preserve"> انتفاء</w:t>
      </w:r>
      <w:r>
        <w:rPr>
          <w:rStyle w:val="a7"/>
          <w:rtl/>
        </w:rPr>
        <w:footnoteReference w:id="4890"/>
      </w:r>
      <w:r>
        <w:rPr>
          <w:rFonts w:hint="cs"/>
          <w:rtl/>
        </w:rPr>
        <w:t xml:space="preserve"> الولاية</w:t>
      </w:r>
      <w:r>
        <w:rPr>
          <w:rFonts w:hint="cs"/>
          <w:vertAlign w:val="superscript"/>
          <w:rtl/>
        </w:rPr>
        <w:t>(</w:t>
      </w:r>
      <w:r>
        <w:rPr>
          <w:rStyle w:val="a7"/>
          <w:rtl/>
        </w:rPr>
        <w:footnoteReference w:id="4891"/>
      </w:r>
      <w:r>
        <w:rPr>
          <w:rFonts w:hint="cs"/>
          <w:vertAlign w:val="superscript"/>
          <w:rtl/>
        </w:rPr>
        <w:t>)</w:t>
      </w:r>
      <w:r>
        <w:rPr>
          <w:rFonts w:hint="cs"/>
          <w:rtl/>
        </w:rPr>
        <w:t>.</w:t>
      </w:r>
    </w:p>
    <w:p w:rsidR="003D5367" w:rsidRDefault="003D5367">
      <w:pPr>
        <w:ind w:firstLine="0"/>
        <w:rPr>
          <w:rtl/>
        </w:rPr>
      </w:pPr>
    </w:p>
    <w:p w:rsidR="003D5367" w:rsidRDefault="003D5367">
      <w:pPr>
        <w:ind w:firstLine="0"/>
        <w:rPr>
          <w:rtl/>
        </w:rPr>
      </w:pPr>
    </w:p>
    <w:p w:rsidR="003D5367" w:rsidRPr="00F25690" w:rsidRDefault="003D5367">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firstLine="0"/>
        <w:rPr>
          <w:rtl/>
        </w:rPr>
      </w:pPr>
    </w:p>
    <w:p w:rsidR="003D5367" w:rsidRDefault="003D5367">
      <w:pPr>
        <w:ind w:firstLine="0"/>
        <w:rPr>
          <w:rtl/>
        </w:rPr>
        <w:sectPr w:rsidR="003D5367" w:rsidSect="0070732C">
          <w:headerReference w:type="default" r:id="rId29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7D1B1E" w:rsidRDefault="003D5367">
      <w:pPr>
        <w:pStyle w:val="a9"/>
        <w:rPr>
          <w:rFonts w:cs="AL-Mateen"/>
        </w:rPr>
      </w:pPr>
      <w:r w:rsidRPr="007D1B1E">
        <w:rPr>
          <w:rFonts w:cs="AL-Mateen"/>
          <w:rtl/>
        </w:rPr>
        <w:lastRenderedPageBreak/>
        <w:t xml:space="preserve">[ </w:t>
      </w:r>
      <w:r w:rsidRPr="007D1B1E">
        <w:rPr>
          <w:rFonts w:cs="AL-Mateen" w:hint="eastAsia"/>
          <w:rtl/>
        </w:rPr>
        <w:t>الـقـاعـدة</w:t>
      </w:r>
      <w:r w:rsidRPr="007D1B1E">
        <w:rPr>
          <w:rFonts w:cs="AL-Mateen"/>
          <w:rtl/>
        </w:rPr>
        <w:t xml:space="preserve"> الـسـابـعـة والثـلاثـون بـعـد الـمـائـتـيـن ]</w:t>
      </w:r>
    </w:p>
    <w:p w:rsidR="003D5367" w:rsidRDefault="003D5367">
      <w:pPr>
        <w:pStyle w:val="aa"/>
        <w:rPr>
          <w:bCs w:val="0"/>
          <w:rtl/>
        </w:rPr>
      </w:pPr>
      <w:r>
        <w:rPr>
          <w:rFonts w:hint="eastAsia"/>
          <w:bCs w:val="0"/>
          <w:rtl/>
        </w:rPr>
        <w:t>مَنْ</w:t>
      </w:r>
      <w:r>
        <w:rPr>
          <w:bCs w:val="0"/>
          <w:rtl/>
        </w:rPr>
        <w:t xml:space="preserve"> جُعِلَ </w:t>
      </w:r>
      <w:r>
        <w:rPr>
          <w:rFonts w:hint="eastAsia"/>
          <w:bCs w:val="0"/>
          <w:rtl/>
        </w:rPr>
        <w:t>القوْلُ</w:t>
      </w:r>
      <w:r>
        <w:rPr>
          <w:bCs w:val="0"/>
          <w:rtl/>
        </w:rPr>
        <w:t xml:space="preserve"> قولَهُ، فِيمَا كَانَ هُوَ خَصْمًا فِيهِ، والشيءُ ممّا يَصِحُّ بَذْلُهُ : كَانَ القَوْلُ قَوْلَهُ مَعَ يَمِينِهِ :</w:t>
      </w:r>
      <w:r>
        <w:rPr>
          <w:rFonts w:hint="cs"/>
          <w:bCs w:val="0"/>
          <w:rtl/>
        </w:rPr>
        <w:t xml:space="preserve"> </w:t>
      </w:r>
    </w:p>
    <w:p w:rsidR="003D5367" w:rsidRDefault="003D5367">
      <w:pPr>
        <w:rPr>
          <w:rtl/>
        </w:rPr>
      </w:pPr>
      <w:r>
        <w:rPr>
          <w:rFonts w:hint="eastAsia"/>
          <w:rtl/>
        </w:rPr>
        <w:t>هكذا</w:t>
      </w:r>
      <w:r>
        <w:rPr>
          <w:rtl/>
        </w:rPr>
        <w:t xml:space="preserve"> ذكر في الأشباه</w:t>
      </w:r>
      <w:r>
        <w:rPr>
          <w:vertAlign w:val="superscript"/>
          <w:rtl/>
        </w:rPr>
        <w:t>(</w:t>
      </w:r>
      <w:r>
        <w:rPr>
          <w:rStyle w:val="a7"/>
          <w:rtl/>
        </w:rPr>
        <w:footnoteReference w:id="4892"/>
      </w:r>
      <w:r>
        <w:rPr>
          <w:vertAlign w:val="superscript"/>
          <w:rtl/>
        </w:rPr>
        <w:t>)</w:t>
      </w:r>
      <w:r>
        <w:rPr>
          <w:rtl/>
        </w:rPr>
        <w:t>.</w:t>
      </w:r>
    </w:p>
    <w:p w:rsidR="003D5367" w:rsidRDefault="003D5367">
      <w:pPr>
        <w:rPr>
          <w:rtl/>
        </w:rPr>
      </w:pPr>
      <w:r>
        <w:rPr>
          <w:rFonts w:hint="eastAsia"/>
          <w:b/>
          <w:bCs/>
          <w:rtl/>
        </w:rPr>
        <w:lastRenderedPageBreak/>
        <w:t>أقول</w:t>
      </w:r>
      <w:r>
        <w:rPr>
          <w:rtl/>
        </w:rPr>
        <w:t xml:space="preserve"> : هذا الأصل موضوع على قول أبي حنيفة –رحمه الله</w:t>
      </w:r>
      <w:r>
        <w:rPr>
          <w:vertAlign w:val="superscript"/>
          <w:rtl/>
        </w:rPr>
        <w:t>(</w:t>
      </w:r>
      <w:r>
        <w:rPr>
          <w:rStyle w:val="a7"/>
          <w:rtl/>
        </w:rPr>
        <w:footnoteReference w:id="4893"/>
      </w:r>
      <w:r>
        <w:rPr>
          <w:vertAlign w:val="superscript"/>
          <w:rtl/>
        </w:rPr>
        <w:t>)</w:t>
      </w:r>
      <w:r>
        <w:rPr>
          <w:rtl/>
        </w:rPr>
        <w:t xml:space="preserve">-، </w:t>
      </w:r>
      <w:r>
        <w:rPr>
          <w:rFonts w:hint="eastAsia"/>
          <w:rtl/>
        </w:rPr>
        <w:t>ولكن</w:t>
      </w:r>
      <w:r>
        <w:rPr>
          <w:rtl/>
        </w:rPr>
        <w:t xml:space="preserve"> يفهم منه: أن عدم الاستحلاف مخصوص فيما لا يصّح البذل.</w:t>
      </w:r>
    </w:p>
    <w:p w:rsidR="003D5367" w:rsidRDefault="003D5367">
      <w:pPr>
        <w:rPr>
          <w:rtl/>
        </w:rPr>
      </w:pPr>
      <w:r>
        <w:rPr>
          <w:rFonts w:hint="eastAsia"/>
          <w:rtl/>
        </w:rPr>
        <w:t>وليس</w:t>
      </w:r>
      <w:r>
        <w:rPr>
          <w:rtl/>
        </w:rPr>
        <w:t xml:space="preserve"> كذلك ؛ لأن في الحدود : لا يصح </w:t>
      </w:r>
      <w:r>
        <w:rPr>
          <w:rFonts w:hint="eastAsia"/>
          <w:rtl/>
        </w:rPr>
        <w:t>أيضًا</w:t>
      </w:r>
      <w:r>
        <w:rPr>
          <w:rtl/>
        </w:rPr>
        <w:t xml:space="preserve"> بالاتفاق</w:t>
      </w:r>
      <w:r>
        <w:rPr>
          <w:vertAlign w:val="superscript"/>
          <w:rtl/>
        </w:rPr>
        <w:t>(</w:t>
      </w:r>
      <w:r>
        <w:rPr>
          <w:rStyle w:val="a7"/>
          <w:rtl/>
        </w:rPr>
        <w:footnoteReference w:id="4894"/>
      </w:r>
      <w:r>
        <w:rPr>
          <w:vertAlign w:val="superscript"/>
          <w:rtl/>
        </w:rPr>
        <w:t>)</w:t>
      </w:r>
      <w:r>
        <w:rPr>
          <w:rtl/>
        </w:rPr>
        <w:t>.</w:t>
      </w:r>
    </w:p>
    <w:p w:rsidR="003D5367" w:rsidRDefault="003D5367">
      <w:pPr>
        <w:rPr>
          <w:spacing w:val="2"/>
          <w:rtl/>
        </w:rPr>
      </w:pPr>
      <w:r>
        <w:rPr>
          <w:rFonts w:hint="eastAsia"/>
          <w:spacing w:val="2"/>
          <w:rtl/>
        </w:rPr>
        <w:t>وقال</w:t>
      </w:r>
      <w:r>
        <w:rPr>
          <w:spacing w:val="2"/>
          <w:rtl/>
        </w:rPr>
        <w:t xml:space="preserve"> في (النهاية) : </w:t>
      </w:r>
      <w:r>
        <w:rPr>
          <w:rFonts w:hint="eastAsia"/>
          <w:spacing w:val="2"/>
          <w:rtl/>
        </w:rPr>
        <w:t>«</w:t>
      </w:r>
      <w:r>
        <w:rPr>
          <w:spacing w:val="2"/>
          <w:rtl/>
        </w:rPr>
        <w:t>لا يستحلف في الحدود</w:t>
      </w:r>
      <w:r>
        <w:rPr>
          <w:rStyle w:val="a7"/>
          <w:spacing w:val="2"/>
          <w:rtl/>
        </w:rPr>
        <w:footnoteReference w:id="4895"/>
      </w:r>
      <w:r>
        <w:rPr>
          <w:spacing w:val="2"/>
          <w:rtl/>
        </w:rPr>
        <w:t xml:space="preserve"> </w:t>
      </w:r>
      <w:r>
        <w:rPr>
          <w:rFonts w:hint="eastAsia"/>
          <w:spacing w:val="2"/>
          <w:rtl/>
        </w:rPr>
        <w:t>بالإجماع،</w:t>
      </w:r>
      <w:r>
        <w:rPr>
          <w:spacing w:val="2"/>
          <w:rtl/>
        </w:rPr>
        <w:t xml:space="preserve"> إلا إذا تضمن </w:t>
      </w:r>
      <w:r>
        <w:rPr>
          <w:spacing w:val="2"/>
          <w:rtl/>
        </w:rPr>
        <w:lastRenderedPageBreak/>
        <w:t>حق</w:t>
      </w:r>
      <w:r>
        <w:rPr>
          <w:rFonts w:hint="cs"/>
          <w:spacing w:val="2"/>
          <w:rtl/>
        </w:rPr>
        <w:t>ّ</w:t>
      </w:r>
      <w:r>
        <w:rPr>
          <w:spacing w:val="2"/>
          <w:rtl/>
        </w:rPr>
        <w:t>ًا</w:t>
      </w:r>
      <w:r>
        <w:rPr>
          <w:spacing w:val="2"/>
          <w:vertAlign w:val="superscript"/>
          <w:rtl/>
        </w:rPr>
        <w:t>(</w:t>
      </w:r>
      <w:r>
        <w:rPr>
          <w:rStyle w:val="a7"/>
          <w:spacing w:val="2"/>
          <w:rtl/>
        </w:rPr>
        <w:footnoteReference w:id="4896"/>
      </w:r>
      <w:r>
        <w:rPr>
          <w:spacing w:val="2"/>
          <w:vertAlign w:val="superscript"/>
          <w:rtl/>
        </w:rPr>
        <w:t>)</w:t>
      </w:r>
      <w:r>
        <w:rPr>
          <w:rFonts w:hint="eastAsia"/>
          <w:spacing w:val="2"/>
          <w:rtl/>
        </w:rPr>
        <w:t>؛</w:t>
      </w:r>
      <w:r>
        <w:rPr>
          <w:spacing w:val="2"/>
          <w:rtl/>
        </w:rPr>
        <w:t xml:space="preserve"> </w:t>
      </w:r>
      <w:r>
        <w:rPr>
          <w:rFonts w:hint="eastAsia"/>
          <w:spacing w:val="2"/>
          <w:rtl/>
        </w:rPr>
        <w:t>كمن</w:t>
      </w:r>
      <w:r>
        <w:rPr>
          <w:spacing w:val="2"/>
          <w:rtl/>
        </w:rPr>
        <w:t xml:space="preserve"> علّق</w:t>
      </w:r>
      <w:r>
        <w:rPr>
          <w:rStyle w:val="a7"/>
          <w:spacing w:val="2"/>
          <w:rtl/>
        </w:rPr>
        <w:footnoteReference w:id="4897"/>
      </w:r>
      <w:r>
        <w:rPr>
          <w:spacing w:val="2"/>
          <w:rtl/>
        </w:rPr>
        <w:t xml:space="preserve"> </w:t>
      </w:r>
      <w:r>
        <w:rPr>
          <w:rFonts w:hint="eastAsia"/>
          <w:spacing w:val="2"/>
          <w:rtl/>
        </w:rPr>
        <w:t>عتق</w:t>
      </w:r>
      <w:r>
        <w:rPr>
          <w:spacing w:val="2"/>
          <w:rtl/>
        </w:rPr>
        <w:t xml:space="preserve"> عبده بالزّنا، </w:t>
      </w:r>
      <w:r>
        <w:rPr>
          <w:spacing w:val="6"/>
          <w:rtl/>
        </w:rPr>
        <w:t xml:space="preserve">وادعى العبد أنه زنى، ولا بـيّـنة له </w:t>
      </w:r>
      <w:r>
        <w:rPr>
          <w:rFonts w:hint="eastAsia"/>
          <w:spacing w:val="6"/>
          <w:rtl/>
        </w:rPr>
        <w:t>عليه</w:t>
      </w:r>
      <w:r>
        <w:rPr>
          <w:spacing w:val="6"/>
          <w:rtl/>
        </w:rPr>
        <w:t>:</w:t>
      </w:r>
    </w:p>
    <w:p w:rsidR="003D5367" w:rsidRDefault="003D5367">
      <w:pPr>
        <w:ind w:firstLine="0"/>
        <w:rPr>
          <w:spacing w:val="2"/>
          <w:rtl/>
        </w:rPr>
      </w:pPr>
      <w:r>
        <w:rPr>
          <w:rFonts w:hint="eastAsia"/>
          <w:spacing w:val="2"/>
          <w:rtl/>
        </w:rPr>
        <w:t>يستحلف،</w:t>
      </w:r>
      <w:r>
        <w:rPr>
          <w:spacing w:val="2"/>
          <w:rtl/>
        </w:rPr>
        <w:t xml:space="preserve"> فإذا نكل : ثبت العتق لا الز</w:t>
      </w:r>
      <w:r>
        <w:rPr>
          <w:rFonts w:hint="cs"/>
          <w:spacing w:val="2"/>
          <w:rtl/>
        </w:rPr>
        <w:t>ّ</w:t>
      </w:r>
      <w:r>
        <w:rPr>
          <w:spacing w:val="2"/>
          <w:rtl/>
        </w:rPr>
        <w:t>ن</w:t>
      </w:r>
      <w:r>
        <w:rPr>
          <w:rFonts w:hint="cs"/>
          <w:spacing w:val="2"/>
          <w:rtl/>
        </w:rPr>
        <w:t>ى</w:t>
      </w:r>
      <w:r>
        <w:rPr>
          <w:spacing w:val="2"/>
          <w:rtl/>
        </w:rPr>
        <w:t>»</w:t>
      </w:r>
      <w:r>
        <w:rPr>
          <w:spacing w:val="2"/>
          <w:vertAlign w:val="superscript"/>
          <w:rtl/>
        </w:rPr>
        <w:t>(</w:t>
      </w:r>
      <w:r>
        <w:rPr>
          <w:rStyle w:val="a7"/>
          <w:spacing w:val="2"/>
          <w:rtl/>
        </w:rPr>
        <w:footnoteReference w:id="4898"/>
      </w:r>
      <w:r>
        <w:rPr>
          <w:spacing w:val="2"/>
          <w:vertAlign w:val="superscript"/>
          <w:rtl/>
        </w:rPr>
        <w:t>)</w:t>
      </w:r>
      <w:r>
        <w:rPr>
          <w:spacing w:val="2"/>
          <w:rtl/>
        </w:rPr>
        <w:t>.</w:t>
      </w:r>
    </w:p>
    <w:p w:rsidR="003D5367" w:rsidRDefault="003D5367">
      <w:pPr>
        <w:rPr>
          <w:spacing w:val="-6"/>
          <w:rtl/>
        </w:rPr>
      </w:pPr>
      <w:r>
        <w:rPr>
          <w:rFonts w:hint="eastAsia"/>
          <w:spacing w:val="-6"/>
          <w:rtl/>
        </w:rPr>
        <w:t>وعلى</w:t>
      </w:r>
      <w:r>
        <w:rPr>
          <w:spacing w:val="-6"/>
          <w:rtl/>
        </w:rPr>
        <w:t xml:space="preserve"> هذا الأصل يقتضي أن لا يحتاج في </w:t>
      </w:r>
      <w:r>
        <w:rPr>
          <w:rFonts w:hint="eastAsia"/>
          <w:spacing w:val="-6"/>
          <w:rtl/>
        </w:rPr>
        <w:t>السرقة</w:t>
      </w:r>
      <w:r>
        <w:rPr>
          <w:rStyle w:val="a7"/>
          <w:spacing w:val="-6"/>
          <w:rtl/>
        </w:rPr>
        <w:footnoteReference w:id="4899"/>
      </w:r>
      <w:r>
        <w:rPr>
          <w:spacing w:val="-6"/>
          <w:rtl/>
        </w:rPr>
        <w:t xml:space="preserve"> </w:t>
      </w:r>
      <w:r>
        <w:rPr>
          <w:rFonts w:hint="eastAsia"/>
          <w:spacing w:val="-6"/>
          <w:rtl/>
        </w:rPr>
        <w:t>إلى</w:t>
      </w:r>
      <w:r>
        <w:rPr>
          <w:spacing w:val="-6"/>
          <w:rtl/>
        </w:rPr>
        <w:t xml:space="preserve"> أن يقال للمسروق منه : «دَعْ ذكر السّرقة، وادّع تناول مَالِكَ، فيكون لك عليه </w:t>
      </w:r>
      <w:r>
        <w:rPr>
          <w:rFonts w:hint="eastAsia"/>
          <w:spacing w:val="-6"/>
          <w:rtl/>
        </w:rPr>
        <w:t>يمين»</w:t>
      </w:r>
      <w:r>
        <w:rPr>
          <w:spacing w:val="-6"/>
          <w:rtl/>
        </w:rPr>
        <w:t>- على ما ذكر في بعض الكتب</w:t>
      </w:r>
      <w:r>
        <w:rPr>
          <w:spacing w:val="-6"/>
          <w:vertAlign w:val="superscript"/>
          <w:rtl/>
        </w:rPr>
        <w:t>(</w:t>
      </w:r>
      <w:r>
        <w:rPr>
          <w:rStyle w:val="a7"/>
          <w:spacing w:val="-6"/>
          <w:rtl/>
        </w:rPr>
        <w:footnoteReference w:id="4900"/>
      </w:r>
      <w:r>
        <w:rPr>
          <w:spacing w:val="-6"/>
          <w:vertAlign w:val="superscript"/>
          <w:rtl/>
        </w:rPr>
        <w:t>)</w:t>
      </w:r>
      <w:r>
        <w:rPr>
          <w:spacing w:val="-6"/>
          <w:rtl/>
        </w:rPr>
        <w:t>-.</w:t>
      </w:r>
    </w:p>
    <w:p w:rsidR="003D5367" w:rsidRDefault="003D5367">
      <w:pPr>
        <w:rPr>
          <w:spacing w:val="-10"/>
          <w:rtl/>
        </w:rPr>
      </w:pPr>
      <w:r>
        <w:rPr>
          <w:rFonts w:hint="eastAsia"/>
          <w:spacing w:val="-10"/>
          <w:rtl/>
        </w:rPr>
        <w:t>وبه</w:t>
      </w:r>
      <w:r>
        <w:rPr>
          <w:spacing w:val="-10"/>
          <w:rtl/>
        </w:rPr>
        <w:t xml:space="preserve"> خرج الجواب </w:t>
      </w:r>
      <w:r>
        <w:rPr>
          <w:rFonts w:hint="eastAsia"/>
          <w:spacing w:val="-10"/>
          <w:rtl/>
        </w:rPr>
        <w:t>ممّا</w:t>
      </w:r>
      <w:r>
        <w:rPr>
          <w:spacing w:val="-10"/>
          <w:rtl/>
        </w:rPr>
        <w:t xml:space="preserve"> يتوهم في بعض</w:t>
      </w:r>
      <w:r>
        <w:rPr>
          <w:rStyle w:val="a7"/>
          <w:spacing w:val="-10"/>
          <w:rtl/>
        </w:rPr>
        <w:footnoteReference w:id="4901"/>
      </w:r>
      <w:r>
        <w:rPr>
          <w:spacing w:val="-10"/>
          <w:rtl/>
        </w:rPr>
        <w:t xml:space="preserve"> </w:t>
      </w:r>
      <w:r>
        <w:rPr>
          <w:rFonts w:hint="eastAsia"/>
          <w:spacing w:val="-10"/>
          <w:rtl/>
        </w:rPr>
        <w:t>المسائل</w:t>
      </w:r>
      <w:r>
        <w:rPr>
          <w:spacing w:val="-10"/>
          <w:rtl/>
        </w:rPr>
        <w:t xml:space="preserve"> </w:t>
      </w:r>
      <w:r>
        <w:rPr>
          <w:rFonts w:hint="eastAsia"/>
          <w:b/>
          <w:bCs/>
          <w:spacing w:val="-10"/>
          <w:rtl/>
        </w:rPr>
        <w:t>خروجها</w:t>
      </w:r>
      <w:r>
        <w:rPr>
          <w:spacing w:val="-10"/>
          <w:rtl/>
        </w:rPr>
        <w:t xml:space="preserve"> </w:t>
      </w:r>
      <w:r>
        <w:rPr>
          <w:rFonts w:hint="eastAsia"/>
          <w:spacing w:val="-10"/>
          <w:rtl/>
        </w:rPr>
        <w:t>عن</w:t>
      </w:r>
      <w:r>
        <w:rPr>
          <w:spacing w:val="-10"/>
          <w:rtl/>
        </w:rPr>
        <w:t xml:space="preserve"> هذا الأصل، حيث قالوا:</w:t>
      </w:r>
    </w:p>
    <w:p w:rsidR="003D5367" w:rsidRDefault="003D5367" w:rsidP="003D5367">
      <w:pPr>
        <w:ind w:left="848" w:hanging="281"/>
        <w:rPr>
          <w:rtl/>
        </w:rPr>
      </w:pPr>
      <w:r>
        <w:rPr>
          <w:rtl/>
        </w:rPr>
        <w:t>•</w:t>
      </w:r>
      <w:r>
        <w:rPr>
          <w:rFonts w:hint="cs"/>
          <w:rtl/>
        </w:rPr>
        <w:t xml:space="preserve">  </w:t>
      </w:r>
      <w:r>
        <w:rPr>
          <w:rFonts w:hint="eastAsia"/>
          <w:rtl/>
        </w:rPr>
        <w:t>«حُلِّفَ</w:t>
      </w:r>
      <w:r>
        <w:rPr>
          <w:vertAlign w:val="superscript"/>
          <w:rtl/>
        </w:rPr>
        <w:t>(</w:t>
      </w:r>
      <w:r>
        <w:rPr>
          <w:rStyle w:val="a7"/>
          <w:rtl/>
        </w:rPr>
        <w:footnoteReference w:id="4902"/>
      </w:r>
      <w:r>
        <w:rPr>
          <w:vertAlign w:val="superscript"/>
          <w:rtl/>
        </w:rPr>
        <w:t>)</w:t>
      </w:r>
      <w:r>
        <w:rPr>
          <w:rtl/>
        </w:rPr>
        <w:t xml:space="preserve"> </w:t>
      </w:r>
      <w:r>
        <w:rPr>
          <w:rFonts w:hint="eastAsia"/>
          <w:rtl/>
        </w:rPr>
        <w:t>السارقُ</w:t>
      </w:r>
      <w:r>
        <w:rPr>
          <w:rtl/>
        </w:rPr>
        <w:t xml:space="preserve"> : وإن نكل : ضمن ولا يقطع</w:t>
      </w:r>
      <w:r>
        <w:rPr>
          <w:rStyle w:val="a7"/>
          <w:rtl/>
        </w:rPr>
        <w:footnoteReference w:id="4903"/>
      </w:r>
      <w:r>
        <w:rPr>
          <w:rFonts w:hint="eastAsia"/>
          <w:rtl/>
        </w:rPr>
        <w:t>»</w:t>
      </w:r>
      <w:r>
        <w:rPr>
          <w:vertAlign w:val="superscript"/>
          <w:rtl/>
        </w:rPr>
        <w:t>(</w:t>
      </w:r>
      <w:r>
        <w:rPr>
          <w:rStyle w:val="a7"/>
          <w:rtl/>
        </w:rPr>
        <w:footnoteReference w:id="4904"/>
      </w:r>
      <w:r>
        <w:rPr>
          <w:vertAlign w:val="superscript"/>
          <w:rtl/>
        </w:rPr>
        <w:t>)</w:t>
      </w:r>
      <w:r>
        <w:rPr>
          <w:rtl/>
        </w:rPr>
        <w:t>.</w:t>
      </w:r>
    </w:p>
    <w:p w:rsidR="003D5367" w:rsidRDefault="003D5367" w:rsidP="003D5367">
      <w:pPr>
        <w:ind w:left="848" w:hanging="281"/>
        <w:rPr>
          <w:spacing w:val="6"/>
          <w:rtl/>
        </w:rPr>
      </w:pPr>
      <w:r>
        <w:rPr>
          <w:spacing w:val="6"/>
          <w:rtl/>
        </w:rPr>
        <w:t>•</w:t>
      </w:r>
      <w:r>
        <w:rPr>
          <w:rFonts w:hint="cs"/>
          <w:spacing w:val="6"/>
          <w:rtl/>
        </w:rPr>
        <w:t xml:space="preserve">  </w:t>
      </w:r>
      <w:r>
        <w:rPr>
          <w:rFonts w:hint="eastAsia"/>
          <w:spacing w:val="6"/>
          <w:rtl/>
        </w:rPr>
        <w:t>«كذا</w:t>
      </w:r>
      <w:r>
        <w:rPr>
          <w:spacing w:val="6"/>
          <w:rtl/>
        </w:rPr>
        <w:t xml:space="preserve"> الزوجة</w:t>
      </w:r>
      <w:r>
        <w:rPr>
          <w:spacing w:val="6"/>
          <w:vertAlign w:val="superscript"/>
          <w:rtl/>
        </w:rPr>
        <w:t>(</w:t>
      </w:r>
      <w:r>
        <w:rPr>
          <w:rStyle w:val="a7"/>
          <w:spacing w:val="6"/>
          <w:rtl/>
        </w:rPr>
        <w:footnoteReference w:id="4905"/>
      </w:r>
      <w:r>
        <w:rPr>
          <w:spacing w:val="6"/>
          <w:vertAlign w:val="superscript"/>
          <w:rtl/>
        </w:rPr>
        <w:t>)</w:t>
      </w:r>
      <w:r>
        <w:rPr>
          <w:spacing w:val="6"/>
          <w:rtl/>
        </w:rPr>
        <w:t xml:space="preserve"> : إذا ادّعت طلاقًا قبل الدخول</w:t>
      </w:r>
      <w:r>
        <w:rPr>
          <w:spacing w:val="6"/>
          <w:vertAlign w:val="superscript"/>
          <w:rtl/>
        </w:rPr>
        <w:t>(</w:t>
      </w:r>
      <w:r>
        <w:rPr>
          <w:rStyle w:val="a7"/>
          <w:spacing w:val="6"/>
          <w:rtl/>
        </w:rPr>
        <w:footnoteReference w:id="4906"/>
      </w:r>
      <w:r>
        <w:rPr>
          <w:spacing w:val="6"/>
          <w:vertAlign w:val="superscript"/>
          <w:rtl/>
        </w:rPr>
        <w:t>)</w:t>
      </w:r>
      <w:r>
        <w:rPr>
          <w:spacing w:val="6"/>
          <w:rtl/>
        </w:rPr>
        <w:t xml:space="preserve"> : فإن نكل </w:t>
      </w:r>
      <w:r>
        <w:rPr>
          <w:spacing w:val="6"/>
          <w:rtl/>
        </w:rPr>
        <w:lastRenderedPageBreak/>
        <w:t>ضمن نصف مهرها»</w:t>
      </w:r>
      <w:r>
        <w:rPr>
          <w:spacing w:val="6"/>
          <w:vertAlign w:val="superscript"/>
          <w:rtl/>
        </w:rPr>
        <w:t>(</w:t>
      </w:r>
      <w:r>
        <w:rPr>
          <w:rStyle w:val="a7"/>
          <w:spacing w:val="6"/>
          <w:rtl/>
        </w:rPr>
        <w:footnoteReference w:id="4907"/>
      </w:r>
      <w:r>
        <w:rPr>
          <w:spacing w:val="6"/>
          <w:vertAlign w:val="superscript"/>
          <w:rtl/>
        </w:rPr>
        <w:t>)</w:t>
      </w:r>
      <w:r>
        <w:rPr>
          <w:spacing w:val="6"/>
          <w:rtl/>
        </w:rPr>
        <w:t>.</w:t>
      </w:r>
    </w:p>
    <w:p w:rsidR="003D5367" w:rsidRDefault="003D5367" w:rsidP="003D5367">
      <w:pPr>
        <w:ind w:left="848" w:hanging="281"/>
        <w:rPr>
          <w:spacing w:val="-6"/>
          <w:rtl/>
        </w:rPr>
      </w:pPr>
      <w:r>
        <w:rPr>
          <w:rFonts w:hint="cs"/>
          <w:spacing w:val="-6"/>
          <w:rtl/>
        </w:rPr>
        <w:t xml:space="preserve">    </w:t>
      </w:r>
      <w:r>
        <w:rPr>
          <w:rFonts w:hint="eastAsia"/>
          <w:spacing w:val="-6"/>
          <w:rtl/>
        </w:rPr>
        <w:t>وفي</w:t>
      </w:r>
      <w:r>
        <w:rPr>
          <w:spacing w:val="-6"/>
          <w:rtl/>
        </w:rPr>
        <w:t xml:space="preserve"> هذه المسألة يتوهم أن دعواها دعوى نكاح، بخلاف ما إذا </w:t>
      </w:r>
      <w:r>
        <w:rPr>
          <w:rFonts w:hint="eastAsia"/>
          <w:spacing w:val="-6"/>
          <w:rtl/>
        </w:rPr>
        <w:t>ادعت</w:t>
      </w:r>
      <w:r>
        <w:rPr>
          <w:spacing w:val="-6"/>
          <w:rtl/>
        </w:rPr>
        <w:t xml:space="preserve"> بعد الدخول؛ لعدم التوهم فيها – كما مر تفصيله</w:t>
      </w:r>
      <w:r>
        <w:rPr>
          <w:rStyle w:val="a7"/>
          <w:spacing w:val="-6"/>
          <w:rtl/>
        </w:rPr>
        <w:footnoteReference w:id="4908"/>
      </w:r>
      <w:r>
        <w:rPr>
          <w:spacing w:val="-6"/>
          <w:rtl/>
        </w:rPr>
        <w:t xml:space="preserve"> </w:t>
      </w:r>
      <w:r>
        <w:rPr>
          <w:rFonts w:hint="eastAsia"/>
          <w:spacing w:val="-6"/>
          <w:rtl/>
        </w:rPr>
        <w:t>في</w:t>
      </w:r>
      <w:r>
        <w:rPr>
          <w:spacing w:val="-6"/>
          <w:rtl/>
        </w:rPr>
        <w:t xml:space="preserve"> باب الألف</w:t>
      </w:r>
      <w:r>
        <w:rPr>
          <w:spacing w:val="-6"/>
          <w:vertAlign w:val="superscript"/>
          <w:rtl/>
        </w:rPr>
        <w:t>(</w:t>
      </w:r>
      <w:r>
        <w:rPr>
          <w:rStyle w:val="a7"/>
          <w:spacing w:val="-6"/>
          <w:rtl/>
        </w:rPr>
        <w:footnoteReference w:id="4909"/>
      </w:r>
      <w:r>
        <w:rPr>
          <w:spacing w:val="-6"/>
          <w:vertAlign w:val="superscript"/>
          <w:rtl/>
        </w:rPr>
        <w:t>)</w:t>
      </w:r>
      <w:r>
        <w:rPr>
          <w:spacing w:val="-6"/>
          <w:rtl/>
        </w:rPr>
        <w:t>-.</w:t>
      </w:r>
    </w:p>
    <w:p w:rsidR="003D5367" w:rsidRDefault="003D5367" w:rsidP="003D5367">
      <w:pPr>
        <w:ind w:left="848" w:hanging="281"/>
        <w:rPr>
          <w:spacing w:val="-6"/>
          <w:rtl/>
        </w:rPr>
      </w:pPr>
      <w:r>
        <w:rPr>
          <w:spacing w:val="-6"/>
          <w:sz w:val="34"/>
          <w:szCs w:val="34"/>
          <w:rtl/>
        </w:rPr>
        <w:t>•</w:t>
      </w:r>
      <w:r>
        <w:rPr>
          <w:rFonts w:hint="cs"/>
          <w:spacing w:val="-6"/>
          <w:sz w:val="34"/>
          <w:szCs w:val="34"/>
          <w:rtl/>
        </w:rPr>
        <w:t xml:space="preserve"> </w:t>
      </w:r>
      <w:r>
        <w:rPr>
          <w:rFonts w:hint="eastAsia"/>
          <w:spacing w:val="-6"/>
          <w:sz w:val="34"/>
          <w:szCs w:val="34"/>
          <w:rtl/>
        </w:rPr>
        <w:t>«وكذا</w:t>
      </w:r>
      <w:r>
        <w:rPr>
          <w:spacing w:val="-6"/>
          <w:sz w:val="34"/>
          <w:szCs w:val="34"/>
          <w:rtl/>
        </w:rPr>
        <w:t xml:space="preserve"> </w:t>
      </w:r>
      <w:r>
        <w:rPr>
          <w:rFonts w:hint="eastAsia"/>
          <w:spacing w:val="-6"/>
          <w:sz w:val="34"/>
          <w:szCs w:val="34"/>
          <w:rtl/>
        </w:rPr>
        <w:t>النسبُ</w:t>
      </w:r>
      <w:r>
        <w:rPr>
          <w:rFonts w:hint="cs"/>
          <w:spacing w:val="-6"/>
          <w:sz w:val="34"/>
          <w:szCs w:val="34"/>
          <w:rtl/>
        </w:rPr>
        <w:t xml:space="preserve"> </w:t>
      </w:r>
      <w:r>
        <w:rPr>
          <w:spacing w:val="-6"/>
          <w:sz w:val="34"/>
          <w:szCs w:val="34"/>
          <w:rtl/>
        </w:rPr>
        <w:t>: إذا ادّعى حق</w:t>
      </w:r>
      <w:r>
        <w:rPr>
          <w:rFonts w:hint="cs"/>
          <w:spacing w:val="-6"/>
          <w:sz w:val="34"/>
          <w:szCs w:val="34"/>
          <w:rtl/>
        </w:rPr>
        <w:t>ّ</w:t>
      </w:r>
      <w:r>
        <w:rPr>
          <w:spacing w:val="-6"/>
          <w:sz w:val="34"/>
          <w:szCs w:val="34"/>
          <w:rtl/>
        </w:rPr>
        <w:t xml:space="preserve">ًا </w:t>
      </w:r>
      <w:r>
        <w:rPr>
          <w:rFonts w:hint="cs"/>
          <w:spacing w:val="-6"/>
          <w:sz w:val="34"/>
          <w:szCs w:val="34"/>
          <w:rtl/>
        </w:rPr>
        <w:t>-</w:t>
      </w:r>
      <w:r>
        <w:rPr>
          <w:spacing w:val="-6"/>
          <w:sz w:val="34"/>
          <w:szCs w:val="34"/>
          <w:rtl/>
        </w:rPr>
        <w:t>كإرث ونفقة-، فإن نكل قُضي بالمال والنفقة</w:t>
      </w:r>
      <w:r>
        <w:rPr>
          <w:spacing w:val="-6"/>
          <w:vertAlign w:val="superscript"/>
          <w:rtl/>
        </w:rPr>
        <w:t>(</w:t>
      </w:r>
      <w:r>
        <w:rPr>
          <w:rStyle w:val="a7"/>
          <w:spacing w:val="-6"/>
          <w:rtl/>
        </w:rPr>
        <w:footnoteReference w:id="4910"/>
      </w:r>
      <w:r>
        <w:rPr>
          <w:spacing w:val="-6"/>
          <w:vertAlign w:val="superscript"/>
          <w:rtl/>
        </w:rPr>
        <w:t>)</w:t>
      </w:r>
      <w:r>
        <w:rPr>
          <w:spacing w:val="-6"/>
          <w:rtl/>
        </w:rPr>
        <w:t>.</w:t>
      </w:r>
    </w:p>
    <w:p w:rsidR="003D5367" w:rsidRDefault="003D5367" w:rsidP="003D5367">
      <w:pPr>
        <w:ind w:left="848" w:hanging="281"/>
        <w:rPr>
          <w:rtl/>
        </w:rPr>
      </w:pPr>
      <w:r>
        <w:rPr>
          <w:rtl/>
        </w:rPr>
        <w:t>•</w:t>
      </w:r>
      <w:r>
        <w:rPr>
          <w:rFonts w:hint="cs"/>
          <w:rtl/>
        </w:rPr>
        <w:t xml:space="preserve"> </w:t>
      </w:r>
      <w:r>
        <w:rPr>
          <w:rFonts w:hint="eastAsia"/>
          <w:rtl/>
        </w:rPr>
        <w:t>و</w:t>
      </w:r>
      <w:r>
        <w:rPr>
          <w:rStyle w:val="a7"/>
          <w:rtl/>
        </w:rPr>
        <w:footnoteReference w:id="4911"/>
      </w:r>
      <w:r>
        <w:rPr>
          <w:rtl/>
        </w:rPr>
        <w:t xml:space="preserve"> </w:t>
      </w:r>
      <w:r>
        <w:rPr>
          <w:rFonts w:hint="eastAsia"/>
          <w:rtl/>
        </w:rPr>
        <w:t>حجرٌ</w:t>
      </w:r>
      <w:r>
        <w:rPr>
          <w:rtl/>
        </w:rPr>
        <w:t xml:space="preserve"> في اللّقيط</w:t>
      </w:r>
      <w:r>
        <w:rPr>
          <w:rStyle w:val="a7"/>
          <w:rtl/>
        </w:rPr>
        <w:footnoteReference w:id="4912"/>
      </w:r>
      <w:r>
        <w:rPr>
          <w:rtl/>
        </w:rPr>
        <w:t xml:space="preserve"> : بأن كان صبيٌّ في يد رجل [التقطه]</w:t>
      </w:r>
      <w:r>
        <w:rPr>
          <w:rStyle w:val="a7"/>
          <w:rtl/>
        </w:rPr>
        <w:footnoteReference w:id="4913"/>
      </w:r>
      <w:r>
        <w:rPr>
          <w:rtl/>
        </w:rPr>
        <w:t xml:space="preserve"> </w:t>
      </w:r>
      <w:r>
        <w:rPr>
          <w:rFonts w:hint="eastAsia"/>
          <w:rtl/>
        </w:rPr>
        <w:t>وهو</w:t>
      </w:r>
      <w:r>
        <w:rPr>
          <w:rtl/>
        </w:rPr>
        <w:t xml:space="preserve"> لا يعبّر</w:t>
      </w:r>
      <w:r>
        <w:rPr>
          <w:rStyle w:val="a7"/>
          <w:rtl/>
        </w:rPr>
        <w:footnoteReference w:id="4914"/>
      </w:r>
      <w:r>
        <w:rPr>
          <w:rtl/>
        </w:rPr>
        <w:t xml:space="preserve"> </w:t>
      </w:r>
      <w:r>
        <w:rPr>
          <w:rFonts w:hint="eastAsia"/>
          <w:rtl/>
        </w:rPr>
        <w:t>عن</w:t>
      </w:r>
      <w:r>
        <w:rPr>
          <w:rtl/>
        </w:rPr>
        <w:t xml:space="preserve"> نفسه، فادّعت [امرأة]</w:t>
      </w:r>
      <w:r>
        <w:rPr>
          <w:rStyle w:val="a7"/>
          <w:rtl/>
        </w:rPr>
        <w:footnoteReference w:id="4915"/>
      </w:r>
      <w:r>
        <w:rPr>
          <w:rtl/>
        </w:rPr>
        <w:t xml:space="preserve"> </w:t>
      </w:r>
      <w:r>
        <w:rPr>
          <w:rFonts w:hint="eastAsia"/>
          <w:rtl/>
        </w:rPr>
        <w:t>حرّة</w:t>
      </w:r>
      <w:r>
        <w:rPr>
          <w:rtl/>
        </w:rPr>
        <w:t xml:space="preserve"> الأصل : أنه أخوها؛ [تريد]</w:t>
      </w:r>
      <w:r>
        <w:rPr>
          <w:rStyle w:val="a7"/>
          <w:rtl/>
        </w:rPr>
        <w:footnoteReference w:id="4916"/>
      </w:r>
      <w:r>
        <w:rPr>
          <w:rtl/>
        </w:rPr>
        <w:t xml:space="preserve"> </w:t>
      </w:r>
      <w:r>
        <w:rPr>
          <w:rFonts w:hint="eastAsia"/>
          <w:rtl/>
        </w:rPr>
        <w:t>قصر</w:t>
      </w:r>
      <w:r>
        <w:rPr>
          <w:rtl/>
        </w:rPr>
        <w:t xml:space="preserve"> يَد</w:t>
      </w:r>
      <w:r>
        <w:rPr>
          <w:rFonts w:hint="cs"/>
          <w:rtl/>
        </w:rPr>
        <w:t>ِ</w:t>
      </w:r>
      <w:r>
        <w:rPr>
          <w:rtl/>
        </w:rPr>
        <w:t xml:space="preserve"> الملتقطِ؛ لما</w:t>
      </w:r>
      <w:r>
        <w:rPr>
          <w:rStyle w:val="a7"/>
          <w:rtl/>
        </w:rPr>
        <w:footnoteReference w:id="4917"/>
      </w:r>
      <w:r>
        <w:rPr>
          <w:rtl/>
        </w:rPr>
        <w:t xml:space="preserve"> </w:t>
      </w:r>
      <w:r>
        <w:rPr>
          <w:rFonts w:hint="eastAsia"/>
          <w:rtl/>
        </w:rPr>
        <w:t>لها</w:t>
      </w:r>
      <w:r>
        <w:rPr>
          <w:vertAlign w:val="superscript"/>
          <w:rtl/>
        </w:rPr>
        <w:t>(</w:t>
      </w:r>
      <w:r>
        <w:rPr>
          <w:rStyle w:val="a7"/>
          <w:rtl/>
        </w:rPr>
        <w:footnoteReference w:id="4918"/>
      </w:r>
      <w:r>
        <w:rPr>
          <w:vertAlign w:val="superscript"/>
          <w:rtl/>
        </w:rPr>
        <w:t>)</w:t>
      </w:r>
      <w:r>
        <w:rPr>
          <w:rtl/>
        </w:rPr>
        <w:t xml:space="preserve"> </w:t>
      </w:r>
      <w:r>
        <w:rPr>
          <w:rFonts w:hint="eastAsia"/>
          <w:rtl/>
        </w:rPr>
        <w:t>حق</w:t>
      </w:r>
      <w:r>
        <w:rPr>
          <w:rtl/>
        </w:rPr>
        <w:t xml:space="preserve"> الحضانة، وأرادت استحلافه فنكل : ثبت لها</w:t>
      </w:r>
      <w:r>
        <w:rPr>
          <w:vertAlign w:val="superscript"/>
          <w:rtl/>
        </w:rPr>
        <w:t>(</w:t>
      </w:r>
      <w:r>
        <w:rPr>
          <w:rStyle w:val="a7"/>
          <w:rtl/>
        </w:rPr>
        <w:footnoteReference w:id="4919"/>
      </w:r>
      <w:r>
        <w:rPr>
          <w:vertAlign w:val="superscript"/>
          <w:rtl/>
        </w:rPr>
        <w:t>)</w:t>
      </w:r>
      <w:r>
        <w:rPr>
          <w:rtl/>
        </w:rPr>
        <w:t xml:space="preserve"> </w:t>
      </w:r>
      <w:r>
        <w:rPr>
          <w:rFonts w:hint="eastAsia"/>
          <w:rtl/>
        </w:rPr>
        <w:t>حقّ</w:t>
      </w:r>
      <w:r>
        <w:rPr>
          <w:rtl/>
        </w:rPr>
        <w:t xml:space="preserve"> نقل الصبيّ إلى حجرها، لا النسب.</w:t>
      </w:r>
    </w:p>
    <w:p w:rsidR="003D5367" w:rsidRDefault="003D5367" w:rsidP="003D5367">
      <w:pPr>
        <w:ind w:left="848" w:hanging="281"/>
        <w:rPr>
          <w:rtl/>
        </w:rPr>
      </w:pPr>
      <w:r>
        <w:rPr>
          <w:rtl/>
        </w:rPr>
        <w:t>•</w:t>
      </w:r>
      <w:r>
        <w:rPr>
          <w:rFonts w:hint="cs"/>
          <w:rtl/>
        </w:rPr>
        <w:t xml:space="preserve"> </w:t>
      </w:r>
      <w:r>
        <w:rPr>
          <w:rFonts w:hint="eastAsia"/>
          <w:rtl/>
        </w:rPr>
        <w:t>وعتق</w:t>
      </w:r>
      <w:r>
        <w:rPr>
          <w:rtl/>
        </w:rPr>
        <w:t xml:space="preserve"> </w:t>
      </w:r>
      <w:r>
        <w:rPr>
          <w:rFonts w:hint="eastAsia"/>
          <w:rtl/>
        </w:rPr>
        <w:t>بالملك</w:t>
      </w:r>
      <w:r>
        <w:rPr>
          <w:rtl/>
        </w:rPr>
        <w:t xml:space="preserve"> : بأن ادعى عبد على مولاه أنه معتق</w:t>
      </w:r>
      <w:r>
        <w:rPr>
          <w:rFonts w:hint="cs"/>
          <w:vertAlign w:val="superscript"/>
          <w:rtl/>
        </w:rPr>
        <w:t>(</w:t>
      </w:r>
      <w:r>
        <w:rPr>
          <w:rStyle w:val="a7"/>
          <w:rtl/>
        </w:rPr>
        <w:footnoteReference w:id="4920"/>
      </w:r>
      <w:r>
        <w:rPr>
          <w:rFonts w:hint="cs"/>
          <w:vertAlign w:val="superscript"/>
          <w:rtl/>
        </w:rPr>
        <w:t>)</w:t>
      </w:r>
      <w:r>
        <w:rPr>
          <w:rFonts w:hint="eastAsia"/>
          <w:rtl/>
        </w:rPr>
        <w:t>؛</w:t>
      </w:r>
      <w:r>
        <w:rPr>
          <w:rtl/>
        </w:rPr>
        <w:t xml:space="preserve"> </w:t>
      </w:r>
      <w:r>
        <w:rPr>
          <w:rFonts w:hint="eastAsia"/>
          <w:rtl/>
        </w:rPr>
        <w:t>لأنه</w:t>
      </w:r>
      <w:r>
        <w:rPr>
          <w:rtl/>
        </w:rPr>
        <w:t xml:space="preserve"> أخوه، </w:t>
      </w:r>
      <w:r>
        <w:rPr>
          <w:rtl/>
        </w:rPr>
        <w:lastRenderedPageBreak/>
        <w:t>واستحلفه : فإن</w:t>
      </w:r>
      <w:r>
        <w:rPr>
          <w:vertAlign w:val="superscript"/>
          <w:rtl/>
        </w:rPr>
        <w:t>(</w:t>
      </w:r>
      <w:r>
        <w:rPr>
          <w:rStyle w:val="a7"/>
          <w:rtl/>
        </w:rPr>
        <w:footnoteReference w:id="4921"/>
      </w:r>
      <w:r>
        <w:rPr>
          <w:vertAlign w:val="superscript"/>
          <w:rtl/>
        </w:rPr>
        <w:t>)</w:t>
      </w:r>
      <w:r>
        <w:rPr>
          <w:rtl/>
        </w:rPr>
        <w:t xml:space="preserve"> </w:t>
      </w:r>
      <w:r>
        <w:rPr>
          <w:rFonts w:hint="eastAsia"/>
          <w:rtl/>
        </w:rPr>
        <w:t>نكل</w:t>
      </w:r>
      <w:r>
        <w:rPr>
          <w:rtl/>
        </w:rPr>
        <w:t xml:space="preserve"> قُضي بالعتق لا النسب.</w:t>
      </w:r>
    </w:p>
    <w:p w:rsidR="003D5367" w:rsidRDefault="003D5367" w:rsidP="003D5367">
      <w:pPr>
        <w:ind w:left="848" w:hanging="281"/>
        <w:rPr>
          <w:spacing w:val="6"/>
          <w:rtl/>
        </w:rPr>
      </w:pPr>
      <w:r>
        <w:rPr>
          <w:spacing w:val="6"/>
          <w:rtl/>
        </w:rPr>
        <w:t>•</w:t>
      </w:r>
      <w:r>
        <w:rPr>
          <w:rFonts w:hint="cs"/>
          <w:spacing w:val="6"/>
          <w:rtl/>
        </w:rPr>
        <w:t xml:space="preserve"> </w:t>
      </w:r>
      <w:r>
        <w:rPr>
          <w:rFonts w:hint="eastAsia"/>
          <w:spacing w:val="6"/>
          <w:rtl/>
        </w:rPr>
        <w:t>وامتناع</w:t>
      </w:r>
      <w:r>
        <w:rPr>
          <w:spacing w:val="6"/>
          <w:rtl/>
        </w:rPr>
        <w:t xml:space="preserve"> الرجوع في </w:t>
      </w:r>
      <w:r>
        <w:rPr>
          <w:rFonts w:hint="eastAsia"/>
          <w:spacing w:val="6"/>
          <w:rtl/>
        </w:rPr>
        <w:t>الهبة</w:t>
      </w:r>
      <w:r>
        <w:rPr>
          <w:spacing w:val="6"/>
          <w:rtl/>
        </w:rPr>
        <w:t xml:space="preserve"> : بأن أراد الواهب الرجوع في الهبة، فقال الموهوب له: أنا أخوك : فإن </w:t>
      </w:r>
      <w:r>
        <w:rPr>
          <w:rFonts w:hint="eastAsia"/>
          <w:spacing w:val="6"/>
          <w:rtl/>
        </w:rPr>
        <w:t>المدعى</w:t>
      </w:r>
      <w:r>
        <w:rPr>
          <w:spacing w:val="6"/>
          <w:rtl/>
        </w:rPr>
        <w:t xml:space="preserve"> عليه يُستحلف</w:t>
      </w:r>
      <w:r>
        <w:rPr>
          <w:spacing w:val="6"/>
          <w:vertAlign w:val="superscript"/>
          <w:rtl/>
        </w:rPr>
        <w:t>(</w:t>
      </w:r>
      <w:r>
        <w:rPr>
          <w:rStyle w:val="a7"/>
          <w:spacing w:val="6"/>
          <w:rtl/>
        </w:rPr>
        <w:footnoteReference w:id="4922"/>
      </w:r>
      <w:r>
        <w:rPr>
          <w:spacing w:val="6"/>
          <w:vertAlign w:val="superscript"/>
          <w:rtl/>
        </w:rPr>
        <w:t>)</w:t>
      </w:r>
      <w:r>
        <w:rPr>
          <w:rFonts w:hint="eastAsia"/>
          <w:spacing w:val="6"/>
          <w:rtl/>
        </w:rPr>
        <w:t>،</w:t>
      </w:r>
      <w:r>
        <w:rPr>
          <w:spacing w:val="6"/>
          <w:rtl/>
        </w:rPr>
        <w:t xml:space="preserve"> </w:t>
      </w:r>
      <w:r>
        <w:rPr>
          <w:rFonts w:hint="eastAsia"/>
          <w:spacing w:val="6"/>
          <w:rtl/>
        </w:rPr>
        <w:t>فإن</w:t>
      </w:r>
      <w:r>
        <w:rPr>
          <w:spacing w:val="6"/>
          <w:rtl/>
        </w:rPr>
        <w:t xml:space="preserve"> نكل قضي بامتناع الرجوع لا النسب»</w:t>
      </w:r>
      <w:r>
        <w:rPr>
          <w:spacing w:val="6"/>
          <w:vertAlign w:val="superscript"/>
          <w:rtl/>
        </w:rPr>
        <w:t>(</w:t>
      </w:r>
      <w:r>
        <w:rPr>
          <w:rStyle w:val="a7"/>
          <w:spacing w:val="6"/>
          <w:rtl/>
        </w:rPr>
        <w:footnoteReference w:id="4923"/>
      </w:r>
      <w:r>
        <w:rPr>
          <w:spacing w:val="6"/>
          <w:vertAlign w:val="superscript"/>
          <w:rtl/>
        </w:rPr>
        <w:t>)</w:t>
      </w:r>
      <w:r>
        <w:rPr>
          <w:spacing w:val="6"/>
          <w:rtl/>
        </w:rPr>
        <w:t>.</w:t>
      </w:r>
    </w:p>
    <w:p w:rsidR="003D5367" w:rsidRDefault="003D5367">
      <w:pPr>
        <w:rPr>
          <w:rtl/>
        </w:rPr>
      </w:pPr>
      <w:r>
        <w:rPr>
          <w:rFonts w:hint="eastAsia"/>
          <w:rtl/>
        </w:rPr>
        <w:t>والحاصل</w:t>
      </w:r>
      <w:r>
        <w:rPr>
          <w:rtl/>
        </w:rPr>
        <w:t xml:space="preserve"> : ثبت هذه الحقوق لا ما يصّح </w:t>
      </w:r>
      <w:r>
        <w:rPr>
          <w:rFonts w:hint="eastAsia"/>
          <w:rtl/>
        </w:rPr>
        <w:t>فيه</w:t>
      </w:r>
      <w:r>
        <w:rPr>
          <w:rtl/>
        </w:rPr>
        <w:t xml:space="preserve"> البذل</w:t>
      </w:r>
      <w:r>
        <w:rPr>
          <w:vertAlign w:val="superscript"/>
          <w:rtl/>
        </w:rPr>
        <w:t>(</w:t>
      </w:r>
      <w:r>
        <w:rPr>
          <w:rStyle w:val="a7"/>
          <w:rtl/>
        </w:rPr>
        <w:footnoteReference w:id="4924"/>
      </w:r>
      <w:r>
        <w:rPr>
          <w:vertAlign w:val="superscript"/>
          <w:rtl/>
        </w:rPr>
        <w:t>)</w:t>
      </w:r>
      <w:r>
        <w:rPr>
          <w:rtl/>
        </w:rPr>
        <w:t>.</w:t>
      </w:r>
    </w:p>
    <w:p w:rsidR="003D5367" w:rsidRDefault="003D5367">
      <w:pPr>
        <w:rPr>
          <w:rtl/>
        </w:rPr>
      </w:pPr>
      <w:r>
        <w:rPr>
          <w:rFonts w:hint="eastAsia"/>
          <w:rtl/>
        </w:rPr>
        <w:t>وممّا</w:t>
      </w:r>
      <w:r>
        <w:rPr>
          <w:rtl/>
        </w:rPr>
        <w:t xml:space="preserve"> </w:t>
      </w:r>
      <w:r>
        <w:rPr>
          <w:rFonts w:hint="eastAsia"/>
          <w:b/>
          <w:bCs/>
          <w:rtl/>
        </w:rPr>
        <w:t>خرج</w:t>
      </w:r>
      <w:r>
        <w:rPr>
          <w:rtl/>
        </w:rPr>
        <w:t xml:space="preserve"> </w:t>
      </w:r>
      <w:r>
        <w:rPr>
          <w:rFonts w:hint="eastAsia"/>
          <w:rtl/>
        </w:rPr>
        <w:t>عن</w:t>
      </w:r>
      <w:r>
        <w:rPr>
          <w:rtl/>
        </w:rPr>
        <w:t xml:space="preserve"> هذا الأصل : «إذا </w:t>
      </w:r>
      <w:r>
        <w:rPr>
          <w:rFonts w:hint="eastAsia"/>
          <w:rtl/>
        </w:rPr>
        <w:t>ادّعى</w:t>
      </w:r>
      <w:r>
        <w:rPr>
          <w:rtl/>
        </w:rPr>
        <w:t xml:space="preserve"> القصاص، وأنكر المدعى عليه</w:t>
      </w:r>
      <w:r>
        <w:rPr>
          <w:rStyle w:val="a7"/>
          <w:rtl/>
        </w:rPr>
        <w:footnoteReference w:id="4925"/>
      </w:r>
      <w:r>
        <w:rPr>
          <w:rtl/>
        </w:rPr>
        <w:t xml:space="preserve">: </w:t>
      </w:r>
      <w:r>
        <w:rPr>
          <w:rFonts w:hint="eastAsia"/>
          <w:rtl/>
        </w:rPr>
        <w:lastRenderedPageBreak/>
        <w:t>يستحلف</w:t>
      </w:r>
      <w:r>
        <w:rPr>
          <w:rtl/>
        </w:rPr>
        <w:t xml:space="preserve"> بالإجماع في النفس : </w:t>
      </w:r>
    </w:p>
    <w:p w:rsidR="003D5367" w:rsidRDefault="003D5367" w:rsidP="003D5367">
      <w:pPr>
        <w:ind w:left="848" w:hanging="281"/>
        <w:rPr>
          <w:rtl/>
        </w:rPr>
      </w:pPr>
      <w:r>
        <w:rPr>
          <w:rtl/>
        </w:rPr>
        <w:t>•</w:t>
      </w:r>
      <w:r>
        <w:rPr>
          <w:rFonts w:hint="cs"/>
          <w:rtl/>
        </w:rPr>
        <w:t xml:space="preserve">  </w:t>
      </w:r>
      <w:r>
        <w:rPr>
          <w:rFonts w:hint="eastAsia"/>
          <w:rtl/>
        </w:rPr>
        <w:t>فإن</w:t>
      </w:r>
      <w:r>
        <w:rPr>
          <w:rtl/>
        </w:rPr>
        <w:t xml:space="preserve"> </w:t>
      </w:r>
      <w:r>
        <w:rPr>
          <w:rFonts w:hint="eastAsia"/>
          <w:rtl/>
        </w:rPr>
        <w:t>نكل</w:t>
      </w:r>
      <w:r>
        <w:rPr>
          <w:rtl/>
        </w:rPr>
        <w:t xml:space="preserve"> يُحبس حتى يقرَّ أو يَحْلِفَ.</w:t>
      </w:r>
    </w:p>
    <w:p w:rsidR="003D5367" w:rsidRDefault="003D5367" w:rsidP="003D5367">
      <w:pPr>
        <w:ind w:left="848" w:hanging="281"/>
        <w:rPr>
          <w:rtl/>
        </w:rPr>
      </w:pPr>
      <w:r>
        <w:rPr>
          <w:rtl/>
        </w:rPr>
        <w:t>•</w:t>
      </w:r>
      <w:r>
        <w:rPr>
          <w:rFonts w:hint="cs"/>
          <w:rtl/>
        </w:rPr>
        <w:t xml:space="preserve">  </w:t>
      </w:r>
      <w:r>
        <w:rPr>
          <w:rFonts w:hint="eastAsia"/>
          <w:rtl/>
        </w:rPr>
        <w:t>وفيما</w:t>
      </w:r>
      <w:r>
        <w:rPr>
          <w:rtl/>
        </w:rPr>
        <w:t xml:space="preserve"> </w:t>
      </w:r>
      <w:r>
        <w:rPr>
          <w:rFonts w:hint="eastAsia"/>
          <w:rtl/>
        </w:rPr>
        <w:t>دون</w:t>
      </w:r>
      <w:r>
        <w:rPr>
          <w:rtl/>
        </w:rPr>
        <w:t xml:space="preserve"> النفس : يقتص عند أبي حنيفة.</w:t>
      </w:r>
    </w:p>
    <w:p w:rsidR="003D5367" w:rsidRDefault="003D5367" w:rsidP="003D5367">
      <w:pPr>
        <w:ind w:left="848" w:hanging="281"/>
        <w:rPr>
          <w:rtl/>
        </w:rPr>
      </w:pPr>
      <w:r>
        <w:rPr>
          <w:b/>
          <w:bCs/>
          <w:rtl/>
        </w:rPr>
        <w:t>•</w:t>
      </w:r>
      <w:r>
        <w:rPr>
          <w:rFonts w:hint="cs"/>
          <w:b/>
          <w:bCs/>
          <w:rtl/>
        </w:rPr>
        <w:t xml:space="preserve"> </w:t>
      </w:r>
      <w:r>
        <w:rPr>
          <w:rFonts w:hint="eastAsia"/>
          <w:b/>
          <w:bCs/>
          <w:rtl/>
        </w:rPr>
        <w:t>وعندهما</w:t>
      </w:r>
      <w:r>
        <w:rPr>
          <w:rtl/>
        </w:rPr>
        <w:t xml:space="preserve"> : يلزمُ</w:t>
      </w:r>
      <w:r>
        <w:rPr>
          <w:rStyle w:val="a7"/>
          <w:rtl/>
        </w:rPr>
        <w:footnoteReference w:id="4926"/>
      </w:r>
      <w:r>
        <w:rPr>
          <w:rtl/>
        </w:rPr>
        <w:t xml:space="preserve"> </w:t>
      </w:r>
      <w:r>
        <w:rPr>
          <w:rFonts w:hint="eastAsia"/>
          <w:rtl/>
        </w:rPr>
        <w:t>الدّية</w:t>
      </w:r>
      <w:r>
        <w:rPr>
          <w:rtl/>
        </w:rPr>
        <w:t xml:space="preserve"> فيهما؛ لأن القصاص فيما دون النفس عقوبة تندرئ بالشبهات ولا يثبت بالنكول</w:t>
      </w:r>
      <w:r>
        <w:rPr>
          <w:rStyle w:val="a7"/>
          <w:rtl/>
        </w:rPr>
        <w:footnoteReference w:id="4927"/>
      </w:r>
      <w:r>
        <w:rPr>
          <w:rFonts w:hint="eastAsia"/>
          <w:rtl/>
        </w:rPr>
        <w:t>،</w:t>
      </w:r>
      <w:r>
        <w:rPr>
          <w:rtl/>
        </w:rPr>
        <w:t xml:space="preserve"> </w:t>
      </w:r>
      <w:r>
        <w:rPr>
          <w:rFonts w:hint="eastAsia"/>
          <w:rtl/>
        </w:rPr>
        <w:t>كالقصاص</w:t>
      </w:r>
      <w:r>
        <w:rPr>
          <w:rtl/>
        </w:rPr>
        <w:t xml:space="preserve"> في النفس»</w:t>
      </w:r>
      <w:r>
        <w:rPr>
          <w:vertAlign w:val="superscript"/>
          <w:rtl/>
        </w:rPr>
        <w:t>(</w:t>
      </w:r>
      <w:r>
        <w:rPr>
          <w:rStyle w:val="a7"/>
          <w:rtl/>
        </w:rPr>
        <w:footnoteReference w:id="4928"/>
      </w:r>
      <w:r>
        <w:rPr>
          <w:vertAlign w:val="superscript"/>
          <w:rtl/>
        </w:rPr>
        <w:t>)</w:t>
      </w:r>
      <w:r>
        <w:rPr>
          <w:rtl/>
        </w:rPr>
        <w:t>.</w:t>
      </w:r>
    </w:p>
    <w:p w:rsidR="003D5367" w:rsidRDefault="003D5367">
      <w:pPr>
        <w:ind w:firstLine="0"/>
        <w:rPr>
          <w:rtl/>
        </w:rPr>
      </w:pPr>
      <w:r>
        <w:rPr>
          <w:rFonts w:hint="eastAsia"/>
          <w:b/>
          <w:bCs/>
          <w:rtl/>
        </w:rPr>
        <w:t>والجواب</w:t>
      </w:r>
      <w:r>
        <w:rPr>
          <w:vertAlign w:val="superscript"/>
          <w:rtl/>
        </w:rPr>
        <w:t>(</w:t>
      </w:r>
      <w:r>
        <w:rPr>
          <w:rStyle w:val="a7"/>
          <w:rtl/>
        </w:rPr>
        <w:footnoteReference w:id="4929"/>
      </w:r>
      <w:r>
        <w:rPr>
          <w:vertAlign w:val="superscript"/>
          <w:rtl/>
        </w:rPr>
        <w:t>)</w:t>
      </w:r>
      <w:r>
        <w:rPr>
          <w:rtl/>
        </w:rPr>
        <w:t xml:space="preserve"> </w:t>
      </w:r>
      <w:r>
        <w:rPr>
          <w:rFonts w:hint="eastAsia"/>
          <w:rtl/>
        </w:rPr>
        <w:t>في</w:t>
      </w:r>
      <w:r>
        <w:rPr>
          <w:rtl/>
        </w:rPr>
        <w:t xml:space="preserve"> المسائل السابقة</w:t>
      </w:r>
      <w:r>
        <w:rPr>
          <w:vertAlign w:val="superscript"/>
          <w:rtl/>
        </w:rPr>
        <w:t>(</w:t>
      </w:r>
      <w:r>
        <w:rPr>
          <w:rStyle w:val="a7"/>
          <w:rtl/>
        </w:rPr>
        <w:footnoteReference w:id="4930"/>
      </w:r>
      <w:r>
        <w:rPr>
          <w:vertAlign w:val="superscript"/>
          <w:rtl/>
        </w:rPr>
        <w:t>)</w:t>
      </w:r>
      <w:r>
        <w:rPr>
          <w:rtl/>
        </w:rPr>
        <w:t xml:space="preserve"> : والمدَّعى وإن كان ممّا لا يجوز بذله ولكن بدله الدّية (وهي مال)، فإذا لم يمكن </w:t>
      </w:r>
      <w:r>
        <w:rPr>
          <w:rFonts w:hint="eastAsia"/>
          <w:rtl/>
        </w:rPr>
        <w:t>البذل</w:t>
      </w:r>
      <w:r>
        <w:rPr>
          <w:rtl/>
        </w:rPr>
        <w:t xml:space="preserve"> يصار إلى البدل. والأطراف عند أبي حنيفة ممّا</w:t>
      </w:r>
      <w:r>
        <w:rPr>
          <w:rStyle w:val="a7"/>
          <w:rtl/>
        </w:rPr>
        <w:footnoteReference w:id="4931"/>
      </w:r>
      <w:r>
        <w:rPr>
          <w:rtl/>
        </w:rPr>
        <w:t xml:space="preserve"> </w:t>
      </w:r>
      <w:r>
        <w:rPr>
          <w:rFonts w:hint="eastAsia"/>
          <w:rtl/>
        </w:rPr>
        <w:t>يصح</w:t>
      </w:r>
      <w:r>
        <w:rPr>
          <w:rtl/>
        </w:rPr>
        <w:t xml:space="preserve"> [البذل]</w:t>
      </w:r>
      <w:r>
        <w:rPr>
          <w:rStyle w:val="a7"/>
          <w:rtl/>
        </w:rPr>
        <w:footnoteReference w:id="4932"/>
      </w:r>
      <w:r>
        <w:rPr>
          <w:rtl/>
        </w:rPr>
        <w:t xml:space="preserve"> </w:t>
      </w:r>
      <w:r>
        <w:rPr>
          <w:rFonts w:hint="eastAsia"/>
          <w:rtl/>
        </w:rPr>
        <w:t>فيه؛</w:t>
      </w:r>
      <w:r>
        <w:rPr>
          <w:rtl/>
        </w:rPr>
        <w:t xml:space="preserve"> لأن الأطراف يُسلك بها مسلك الأموال</w:t>
      </w:r>
      <w:r>
        <w:rPr>
          <w:rStyle w:val="a7"/>
          <w:rtl/>
        </w:rPr>
        <w:footnoteReference w:id="4933"/>
      </w:r>
      <w:r>
        <w:rPr>
          <w:rFonts w:hint="eastAsia"/>
          <w:rtl/>
        </w:rPr>
        <w:t>؛</w:t>
      </w:r>
      <w:r>
        <w:rPr>
          <w:rtl/>
        </w:rPr>
        <w:t xml:space="preserve"> </w:t>
      </w:r>
      <w:r>
        <w:rPr>
          <w:rFonts w:hint="eastAsia"/>
          <w:rtl/>
        </w:rPr>
        <w:t>لأنها</w:t>
      </w:r>
      <w:r>
        <w:rPr>
          <w:rtl/>
        </w:rPr>
        <w:t xml:space="preserve"> خلقت </w:t>
      </w:r>
      <w:r>
        <w:rPr>
          <w:rtl/>
        </w:rPr>
        <w:lastRenderedPageBreak/>
        <w:t>وقاية للنفس كالمال، فيجرى فيها البذل؛ ولهذا يُقتصّ فيها، بخلاف النفس</w:t>
      </w:r>
      <w:r>
        <w:rPr>
          <w:vertAlign w:val="superscript"/>
          <w:rtl/>
        </w:rPr>
        <w:t>(</w:t>
      </w:r>
      <w:r>
        <w:rPr>
          <w:rStyle w:val="a7"/>
          <w:rtl/>
        </w:rPr>
        <w:footnoteReference w:id="4934"/>
      </w:r>
      <w:r>
        <w:rPr>
          <w:vertAlign w:val="superscript"/>
          <w:rtl/>
        </w:rPr>
        <w:t>)</w:t>
      </w:r>
      <w:r>
        <w:rPr>
          <w:rtl/>
        </w:rPr>
        <w:t>.</w:t>
      </w:r>
    </w:p>
    <w:p w:rsidR="003D5367" w:rsidRDefault="003D5367">
      <w:pPr>
        <w:ind w:firstLine="0"/>
        <w:rPr>
          <w:rtl/>
        </w:rPr>
      </w:pPr>
    </w:p>
    <w:p w:rsidR="003D5367" w:rsidRDefault="003D5367">
      <w:pPr>
        <w:ind w:firstLine="0"/>
        <w:rPr>
          <w:rtl/>
        </w:rPr>
      </w:pPr>
    </w:p>
    <w:p w:rsidR="003D5367" w:rsidRDefault="003D5367">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firstLine="0"/>
        <w:rPr>
          <w:rtl/>
        </w:rPr>
        <w:sectPr w:rsidR="003D5367" w:rsidSect="0070732C">
          <w:headerReference w:type="default" r:id="rId29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B43141" w:rsidRDefault="003D5367">
      <w:pPr>
        <w:pStyle w:val="a9"/>
        <w:rPr>
          <w:rFonts w:cs="AL-Mateen"/>
          <w:rtl/>
        </w:rPr>
      </w:pPr>
      <w:r w:rsidRPr="00B43141">
        <w:rPr>
          <w:rFonts w:cs="AL-Mateen" w:hint="cs"/>
          <w:rtl/>
        </w:rPr>
        <w:lastRenderedPageBreak/>
        <w:t>[ الـقـاعـدة الـثـامـنـة والثـلاثـون بـعـد الـمـائـتـيـن ]</w:t>
      </w:r>
    </w:p>
    <w:p w:rsidR="003D5367" w:rsidRDefault="003D5367">
      <w:pPr>
        <w:rPr>
          <w:rtl/>
        </w:rPr>
      </w:pPr>
      <w:r>
        <w:rPr>
          <w:rFonts w:cs="Monotype Koufi" w:hint="cs"/>
          <w:rtl/>
        </w:rPr>
        <w:t>مَنْ عَمِلَ إِقْرَارُهُ</w:t>
      </w:r>
      <w:r>
        <w:rPr>
          <w:rStyle w:val="a7"/>
          <w:rtl/>
        </w:rPr>
        <w:footnoteReference w:id="4935"/>
      </w:r>
      <w:r>
        <w:rPr>
          <w:rFonts w:hint="cs"/>
          <w:rtl/>
        </w:rPr>
        <w:t xml:space="preserve"> </w:t>
      </w:r>
      <w:r>
        <w:rPr>
          <w:rFonts w:cs="Monotype Koufi" w:hint="cs"/>
          <w:rtl/>
        </w:rPr>
        <w:t>قُبِلَتْ بَيِّنَتُهُ، وإلاّ فَلاَ</w:t>
      </w:r>
      <w:r>
        <w:rPr>
          <w:rFonts w:hint="cs"/>
          <w:vertAlign w:val="superscript"/>
          <w:rtl/>
        </w:rPr>
        <w:t>(</w:t>
      </w:r>
      <w:r>
        <w:rPr>
          <w:rStyle w:val="a7"/>
          <w:rtl/>
        </w:rPr>
        <w:footnoteReference w:id="4936"/>
      </w:r>
      <w:r>
        <w:rPr>
          <w:rFonts w:hint="cs"/>
          <w:vertAlign w:val="superscript"/>
          <w:rtl/>
        </w:rPr>
        <w:t>)</w:t>
      </w:r>
      <w:r>
        <w:rPr>
          <w:rFonts w:hint="cs"/>
          <w:rtl/>
        </w:rPr>
        <w:t xml:space="preserve"> :</w:t>
      </w:r>
    </w:p>
    <w:p w:rsidR="003D5367" w:rsidRDefault="003D5367">
      <w:pPr>
        <w:rPr>
          <w:rtl/>
        </w:rPr>
      </w:pPr>
      <w:r>
        <w:rPr>
          <w:rFonts w:hint="eastAsia"/>
          <w:rtl/>
        </w:rPr>
        <w:t>«</w:t>
      </w:r>
      <w:r>
        <w:rPr>
          <w:rFonts w:hint="cs"/>
          <w:rtl/>
        </w:rPr>
        <w:t>فلو ادعى</w:t>
      </w:r>
      <w:r>
        <w:rPr>
          <w:rStyle w:val="a7"/>
          <w:rtl/>
        </w:rPr>
        <w:footnoteReference w:id="4937"/>
      </w:r>
      <w:r>
        <w:rPr>
          <w:rFonts w:hint="cs"/>
          <w:rtl/>
        </w:rPr>
        <w:t xml:space="preserve"> أنه</w:t>
      </w:r>
      <w:r>
        <w:rPr>
          <w:rStyle w:val="a7"/>
          <w:rtl/>
        </w:rPr>
        <w:footnoteReference w:id="4938"/>
      </w:r>
      <w:r>
        <w:rPr>
          <w:rFonts w:hint="cs"/>
          <w:rtl/>
        </w:rPr>
        <w:t xml:space="preserve"> أخوه أو جدّه أو ابنُ ابنِه : لا تقبل بينته</w:t>
      </w:r>
      <w:r>
        <w:rPr>
          <w:rFonts w:hint="eastAsia"/>
          <w:rtl/>
        </w:rPr>
        <w:t>»</w:t>
      </w:r>
      <w:r>
        <w:rPr>
          <w:rFonts w:hint="cs"/>
          <w:vertAlign w:val="superscript"/>
          <w:rtl/>
        </w:rPr>
        <w:t>(</w:t>
      </w:r>
      <w:r>
        <w:rPr>
          <w:rStyle w:val="a7"/>
          <w:rtl/>
        </w:rPr>
        <w:footnoteReference w:id="4939"/>
      </w:r>
      <w:r>
        <w:rPr>
          <w:rFonts w:hint="cs"/>
          <w:vertAlign w:val="superscript"/>
          <w:rtl/>
        </w:rPr>
        <w:t>)</w:t>
      </w:r>
      <w:r>
        <w:rPr>
          <w:rFonts w:hint="cs"/>
          <w:rtl/>
        </w:rPr>
        <w:t>؛ لأن إقرار المدّعى عليه فيها مما لا يصح؛ لأنه تحميل النسب على الغير، فلا [تسمع]</w:t>
      </w:r>
      <w:r>
        <w:rPr>
          <w:rStyle w:val="a7"/>
          <w:rtl/>
        </w:rPr>
        <w:footnoteReference w:id="4940"/>
      </w:r>
      <w:r>
        <w:rPr>
          <w:rFonts w:hint="cs"/>
          <w:rtl/>
        </w:rPr>
        <w:t xml:space="preserve"> البيّنة </w:t>
      </w:r>
      <w:r>
        <w:rPr>
          <w:rFonts w:hint="cs"/>
          <w:rtl/>
        </w:rPr>
        <w:lastRenderedPageBreak/>
        <w:t>عليه، كما لا يصح اقراره.</w:t>
      </w:r>
    </w:p>
    <w:p w:rsidR="003D5367" w:rsidRDefault="003D5367">
      <w:pPr>
        <w:rPr>
          <w:rtl/>
        </w:rPr>
      </w:pPr>
      <w:r>
        <w:rPr>
          <w:rFonts w:hint="eastAsia"/>
          <w:rtl/>
        </w:rPr>
        <w:t>«</w:t>
      </w:r>
      <w:r>
        <w:rPr>
          <w:rFonts w:hint="cs"/>
          <w:rtl/>
        </w:rPr>
        <w:t>بخلاف الأبوّة والبنوّة والزوجيّة والولاء</w:t>
      </w:r>
      <w:r>
        <w:rPr>
          <w:rFonts w:hint="eastAsia"/>
          <w:rtl/>
        </w:rPr>
        <w:t>»</w:t>
      </w:r>
      <w:r>
        <w:rPr>
          <w:rFonts w:hint="cs"/>
          <w:vertAlign w:val="superscript"/>
          <w:rtl/>
        </w:rPr>
        <w:t>(</w:t>
      </w:r>
      <w:r>
        <w:rPr>
          <w:rStyle w:val="a7"/>
          <w:rtl/>
        </w:rPr>
        <w:footnoteReference w:id="4941"/>
      </w:r>
      <w:r>
        <w:rPr>
          <w:rFonts w:hint="cs"/>
          <w:vertAlign w:val="superscript"/>
          <w:rtl/>
        </w:rPr>
        <w:t>)</w:t>
      </w:r>
      <w:r>
        <w:rPr>
          <w:rFonts w:hint="cs"/>
          <w:rtl/>
        </w:rPr>
        <w:t>؛ لأنَّ إقرار المدعى عليه ممّا يصح فيه، [فتسمع]</w:t>
      </w:r>
      <w:r>
        <w:rPr>
          <w:rStyle w:val="a7"/>
          <w:rtl/>
        </w:rPr>
        <w:footnoteReference w:id="4942"/>
      </w:r>
      <w:r>
        <w:rPr>
          <w:rFonts w:hint="cs"/>
          <w:rtl/>
        </w:rPr>
        <w:t xml:space="preserve"> البيّنة عليه، كما يصح إقراره.</w:t>
      </w:r>
    </w:p>
    <w:p w:rsidR="003D5367" w:rsidRDefault="003D5367">
      <w:pPr>
        <w:rPr>
          <w:spacing w:val="6"/>
          <w:rtl/>
        </w:rPr>
      </w:pPr>
      <w:r>
        <w:rPr>
          <w:rFonts w:hint="cs"/>
          <w:spacing w:val="6"/>
          <w:rtl/>
        </w:rPr>
        <w:t>وإذا ادعى حقًّا على المدعى عليه فيما لا يصح إقراره فيه، كإرث ونفقة أو حضانة : [تسمع]</w:t>
      </w:r>
      <w:r>
        <w:rPr>
          <w:rStyle w:val="a7"/>
          <w:spacing w:val="6"/>
          <w:rtl/>
        </w:rPr>
        <w:footnoteReference w:id="4943"/>
      </w:r>
      <w:r>
        <w:rPr>
          <w:rFonts w:hint="cs"/>
          <w:spacing w:val="6"/>
          <w:rtl/>
        </w:rPr>
        <w:t xml:space="preserve"> بينته</w:t>
      </w:r>
      <w:r>
        <w:rPr>
          <w:rStyle w:val="a7"/>
          <w:spacing w:val="6"/>
          <w:rtl/>
        </w:rPr>
        <w:footnoteReference w:id="4944"/>
      </w:r>
      <w:r>
        <w:rPr>
          <w:rFonts w:hint="cs"/>
          <w:spacing w:val="6"/>
          <w:rtl/>
        </w:rPr>
        <w:t>، ويثـبت الـحق لا</w:t>
      </w:r>
      <w:r>
        <w:rPr>
          <w:rStyle w:val="a7"/>
          <w:spacing w:val="6"/>
          <w:rtl/>
        </w:rPr>
        <w:footnoteReference w:id="4945"/>
      </w:r>
      <w:r>
        <w:rPr>
          <w:rFonts w:hint="cs"/>
          <w:spacing w:val="6"/>
          <w:rtl/>
        </w:rPr>
        <w:t xml:space="preserve"> النسب </w:t>
      </w:r>
      <w:r>
        <w:rPr>
          <w:spacing w:val="6"/>
          <w:rtl/>
        </w:rPr>
        <w:t>–</w:t>
      </w:r>
      <w:r>
        <w:rPr>
          <w:rFonts w:hint="cs"/>
          <w:spacing w:val="6"/>
          <w:rtl/>
        </w:rPr>
        <w:t xml:space="preserve"> كما مرّ تفصيله في الأصل المتقدم</w:t>
      </w:r>
      <w:r>
        <w:rPr>
          <w:rFonts w:hint="cs"/>
          <w:spacing w:val="6"/>
          <w:vertAlign w:val="superscript"/>
          <w:rtl/>
        </w:rPr>
        <w:t>(</w:t>
      </w:r>
      <w:r>
        <w:rPr>
          <w:rStyle w:val="a7"/>
          <w:spacing w:val="6"/>
          <w:rtl/>
        </w:rPr>
        <w:footnoteReference w:id="4946"/>
      </w:r>
      <w:r>
        <w:rPr>
          <w:rFonts w:hint="cs"/>
          <w:spacing w:val="6"/>
          <w:vertAlign w:val="superscript"/>
          <w:rtl/>
        </w:rPr>
        <w:t>)</w:t>
      </w:r>
      <w:r>
        <w:rPr>
          <w:rFonts w:hint="cs"/>
          <w:spacing w:val="6"/>
          <w:rtl/>
        </w:rPr>
        <w:t>-.</w:t>
      </w:r>
    </w:p>
    <w:p w:rsidR="003D5367" w:rsidRDefault="003D5367">
      <w:pPr>
        <w:rPr>
          <w:spacing w:val="6"/>
          <w:rtl/>
        </w:rPr>
      </w:pPr>
    </w:p>
    <w:p w:rsidR="003D5367" w:rsidRDefault="003D5367">
      <w:pPr>
        <w:rPr>
          <w:spacing w:val="6"/>
          <w:rtl/>
        </w:rPr>
      </w:pPr>
    </w:p>
    <w:p w:rsidR="003D5367" w:rsidRDefault="003D5367">
      <w:pPr>
        <w:rPr>
          <w:spacing w:val="6"/>
          <w:rtl/>
        </w:rPr>
      </w:pPr>
    </w:p>
    <w:p w:rsidR="003D5367" w:rsidRDefault="003D5367">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spacing w:val="6"/>
          <w:rtl/>
        </w:rPr>
        <w:sectPr w:rsidR="003D5367" w:rsidSect="0070732C">
          <w:headerReference w:type="default" r:id="rId29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FC65CB" w:rsidRDefault="003D5367">
      <w:pPr>
        <w:pStyle w:val="a9"/>
        <w:rPr>
          <w:rFonts w:cs="AL-Mateen"/>
          <w:rtl/>
        </w:rPr>
      </w:pPr>
      <w:r w:rsidRPr="00FC65CB">
        <w:rPr>
          <w:rFonts w:cs="AL-Mateen" w:hint="cs"/>
          <w:rtl/>
        </w:rPr>
        <w:lastRenderedPageBreak/>
        <w:t>[ الـقـاعـدة الـتـاسـعـة والثـلاثـون بـعـد الـمـائـتـيـن ]</w:t>
      </w:r>
    </w:p>
    <w:p w:rsidR="003D5367" w:rsidRDefault="003D5367">
      <w:pPr>
        <w:rPr>
          <w:rtl/>
        </w:rPr>
      </w:pPr>
      <w:r>
        <w:rPr>
          <w:rFonts w:cs="Monotype Koufi" w:hint="cs"/>
          <w:rtl/>
        </w:rPr>
        <w:t>مَنْ يَمْلِكُ</w:t>
      </w:r>
      <w:r>
        <w:rPr>
          <w:rStyle w:val="a7"/>
          <w:rtl/>
        </w:rPr>
        <w:footnoteReference w:id="4947"/>
      </w:r>
      <w:r>
        <w:rPr>
          <w:rFonts w:hint="cs"/>
          <w:rtl/>
        </w:rPr>
        <w:t xml:space="preserve"> </w:t>
      </w:r>
      <w:r>
        <w:rPr>
          <w:rFonts w:cs="Monotype Koufi" w:hint="cs"/>
          <w:rtl/>
        </w:rPr>
        <w:t>التَّنْجِيْزَ</w:t>
      </w:r>
      <w:r>
        <w:rPr>
          <w:rFonts w:hint="cs"/>
          <w:vertAlign w:val="superscript"/>
          <w:rtl/>
        </w:rPr>
        <w:t>(</w:t>
      </w:r>
      <w:r>
        <w:rPr>
          <w:rStyle w:val="a7"/>
          <w:rtl/>
        </w:rPr>
        <w:footnoteReference w:id="4948"/>
      </w:r>
      <w:r>
        <w:rPr>
          <w:rFonts w:hint="cs"/>
          <w:vertAlign w:val="superscript"/>
          <w:rtl/>
        </w:rPr>
        <w:t>)</w:t>
      </w:r>
      <w:r>
        <w:rPr>
          <w:rFonts w:hint="cs"/>
          <w:rtl/>
        </w:rPr>
        <w:t xml:space="preserve"> </w:t>
      </w:r>
      <w:r>
        <w:rPr>
          <w:rFonts w:cs="Monotype Koufi" w:hint="cs"/>
          <w:rtl/>
        </w:rPr>
        <w:t>يَمْلِكُ التَّعْلِيْقَ</w:t>
      </w:r>
      <w:r>
        <w:rPr>
          <w:rFonts w:hint="cs"/>
          <w:vertAlign w:val="superscript"/>
          <w:rtl/>
        </w:rPr>
        <w:t>(</w:t>
      </w:r>
      <w:r>
        <w:rPr>
          <w:rStyle w:val="a7"/>
          <w:rtl/>
        </w:rPr>
        <w:footnoteReference w:id="4949"/>
      </w:r>
      <w:r>
        <w:rPr>
          <w:rFonts w:hint="cs"/>
          <w:vertAlign w:val="superscript"/>
          <w:rtl/>
        </w:rPr>
        <w:t>)</w:t>
      </w:r>
      <w:r>
        <w:rPr>
          <w:rFonts w:hint="cs"/>
          <w:rtl/>
        </w:rPr>
        <w:t xml:space="preserve"> :</w:t>
      </w:r>
    </w:p>
    <w:p w:rsidR="003D5367" w:rsidRDefault="003D5367">
      <w:pPr>
        <w:rPr>
          <w:rtl/>
        </w:rPr>
      </w:pPr>
      <w:r>
        <w:rPr>
          <w:rFonts w:hint="cs"/>
          <w:b/>
          <w:bCs/>
          <w:rtl/>
        </w:rPr>
        <w:t>ولهذا</w:t>
      </w:r>
      <w:r>
        <w:rPr>
          <w:rFonts w:hint="cs"/>
          <w:rtl/>
        </w:rPr>
        <w:t xml:space="preserve"> : جاز للزوج والمولى تعليق الطلاق والإعتاق، كما جاز لهما التنجيز.</w:t>
      </w:r>
    </w:p>
    <w:p w:rsidR="003D5367" w:rsidRDefault="003D5367">
      <w:pPr>
        <w:rPr>
          <w:spacing w:val="-6"/>
          <w:rtl/>
        </w:rPr>
      </w:pPr>
      <w:r>
        <w:rPr>
          <w:rFonts w:hint="cs"/>
          <w:b/>
          <w:bCs/>
          <w:spacing w:val="-6"/>
          <w:rtl/>
        </w:rPr>
        <w:t>وخرج</w:t>
      </w:r>
      <w:r>
        <w:rPr>
          <w:rFonts w:hint="cs"/>
          <w:spacing w:val="-6"/>
          <w:rtl/>
        </w:rPr>
        <w:t xml:space="preserve"> عن هذا الأصل : مَنْ وُكِّل بالطلاق أو الإعتاق منجزًا لا يملك التعليق</w:t>
      </w:r>
      <w:r>
        <w:rPr>
          <w:rFonts w:hint="cs"/>
          <w:spacing w:val="-6"/>
          <w:vertAlign w:val="superscript"/>
          <w:rtl/>
        </w:rPr>
        <w:t>(</w:t>
      </w:r>
      <w:r>
        <w:rPr>
          <w:rStyle w:val="a7"/>
          <w:spacing w:val="-6"/>
          <w:rtl/>
        </w:rPr>
        <w:footnoteReference w:id="4950"/>
      </w:r>
      <w:r>
        <w:rPr>
          <w:rFonts w:hint="cs"/>
          <w:spacing w:val="-6"/>
          <w:vertAlign w:val="superscript"/>
          <w:rtl/>
        </w:rPr>
        <w:t>)</w:t>
      </w:r>
      <w:r>
        <w:rPr>
          <w:rFonts w:hint="cs"/>
          <w:spacing w:val="-6"/>
          <w:rtl/>
        </w:rPr>
        <w:t>.</w:t>
      </w:r>
    </w:p>
    <w:p w:rsidR="003D5367" w:rsidRDefault="003D5367">
      <w:pPr>
        <w:rPr>
          <w:spacing w:val="4"/>
          <w:rtl/>
        </w:rPr>
      </w:pPr>
      <w:r>
        <w:rPr>
          <w:rFonts w:hint="cs"/>
          <w:spacing w:val="4"/>
          <w:rtl/>
        </w:rPr>
        <w:t>فلو علّق طلاق امرأةِ موكِّلِهِ، أو علّق عتَق عبدِ موكِّله على كائن</w:t>
      </w:r>
      <w:r>
        <w:rPr>
          <w:rStyle w:val="a7"/>
          <w:spacing w:val="4"/>
          <w:rtl/>
        </w:rPr>
        <w:footnoteReference w:id="4951"/>
      </w:r>
      <w:r>
        <w:rPr>
          <w:rFonts w:hint="cs"/>
          <w:spacing w:val="4"/>
          <w:rtl/>
        </w:rPr>
        <w:t xml:space="preserve"> : لا يقع الطلاق والإعتاق.</w:t>
      </w:r>
    </w:p>
    <w:p w:rsidR="003D5367" w:rsidRDefault="003D5367">
      <w:pPr>
        <w:rPr>
          <w:rtl/>
        </w:rPr>
      </w:pPr>
      <w:r>
        <w:rPr>
          <w:rFonts w:hint="cs"/>
          <w:b/>
          <w:bCs/>
          <w:rtl/>
        </w:rPr>
        <w:t>والـجواب</w:t>
      </w:r>
      <w:r>
        <w:rPr>
          <w:rFonts w:hint="cs"/>
          <w:rtl/>
        </w:rPr>
        <w:t xml:space="preserve"> : أن</w:t>
      </w:r>
      <w:r>
        <w:rPr>
          <w:rStyle w:val="a7"/>
          <w:rtl/>
        </w:rPr>
        <w:footnoteReference w:id="4952"/>
      </w:r>
      <w:r>
        <w:rPr>
          <w:rFonts w:hint="cs"/>
          <w:rtl/>
        </w:rPr>
        <w:t xml:space="preserve"> الـمقاصد والـمعاني لا [تعتبر]</w:t>
      </w:r>
      <w:r>
        <w:rPr>
          <w:rStyle w:val="a7"/>
          <w:rtl/>
        </w:rPr>
        <w:footnoteReference w:id="4953"/>
      </w:r>
      <w:r>
        <w:rPr>
          <w:rFonts w:hint="cs"/>
          <w:rtl/>
        </w:rPr>
        <w:t xml:space="preserve">  في الطـلاق والإعـتاق</w:t>
      </w:r>
      <w:r>
        <w:rPr>
          <w:rStyle w:val="a7"/>
          <w:rtl/>
        </w:rPr>
        <w:footnoteReference w:id="4954"/>
      </w:r>
      <w:r>
        <w:rPr>
          <w:rFonts w:hint="cs"/>
          <w:rtl/>
        </w:rPr>
        <w:t xml:space="preserve">، </w:t>
      </w:r>
    </w:p>
    <w:p w:rsidR="003D5367" w:rsidRDefault="003D5367">
      <w:pPr>
        <w:ind w:firstLine="0"/>
        <w:rPr>
          <w:rtl/>
        </w:rPr>
      </w:pPr>
      <w:r>
        <w:rPr>
          <w:rFonts w:hint="cs"/>
          <w:rtl/>
        </w:rPr>
        <w:lastRenderedPageBreak/>
        <w:t>وإنما [تعتبر]</w:t>
      </w:r>
      <w:r>
        <w:rPr>
          <w:rStyle w:val="a7"/>
          <w:rtl/>
        </w:rPr>
        <w:footnoteReference w:id="4955"/>
      </w:r>
      <w:r>
        <w:rPr>
          <w:rFonts w:hint="cs"/>
          <w:rtl/>
        </w:rPr>
        <w:t xml:space="preserve"> الألفاظ، حتى إذا</w:t>
      </w:r>
      <w:r>
        <w:rPr>
          <w:rStyle w:val="a7"/>
          <w:rtl/>
        </w:rPr>
        <w:footnoteReference w:id="4956"/>
      </w:r>
      <w:r>
        <w:rPr>
          <w:rFonts w:hint="cs"/>
          <w:rtl/>
        </w:rPr>
        <w:t xml:space="preserve"> قال لعبده : إن أدَّيتَ إليّ كذا في كيسٍ أبيض فأنت حرّ. فأدّاه في كيس آخر : لا يعتق -وقد مرّ تفصيله في باب الألف</w:t>
      </w:r>
      <w:r>
        <w:rPr>
          <w:rFonts w:hint="cs"/>
          <w:vertAlign w:val="superscript"/>
          <w:rtl/>
        </w:rPr>
        <w:t>(</w:t>
      </w:r>
      <w:r>
        <w:rPr>
          <w:rStyle w:val="a7"/>
          <w:rtl/>
        </w:rPr>
        <w:footnoteReference w:id="4957"/>
      </w:r>
      <w:r>
        <w:rPr>
          <w:rFonts w:hint="cs"/>
          <w:vertAlign w:val="superscript"/>
          <w:rtl/>
        </w:rPr>
        <w:t>)</w:t>
      </w:r>
      <w:r>
        <w:rPr>
          <w:rFonts w:hint="cs"/>
          <w:rtl/>
        </w:rPr>
        <w:t>-.</w:t>
      </w:r>
    </w:p>
    <w:p w:rsidR="003D5367" w:rsidRDefault="003D5367">
      <w:pPr>
        <w:ind w:firstLine="0"/>
        <w:rPr>
          <w:rtl/>
        </w:rPr>
      </w:pPr>
    </w:p>
    <w:p w:rsidR="003D5367" w:rsidRDefault="003D5367">
      <w:pPr>
        <w:ind w:firstLine="0"/>
        <w:rPr>
          <w:rtl/>
        </w:rPr>
      </w:pPr>
    </w:p>
    <w:p w:rsidR="003D5367" w:rsidRDefault="003D5367">
      <w:pPr>
        <w:ind w:firstLine="0"/>
        <w:rPr>
          <w:rtl/>
        </w:rPr>
      </w:pPr>
    </w:p>
    <w:p w:rsidR="003D5367" w:rsidRPr="00710AEB" w:rsidRDefault="003D5367">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firstLine="0"/>
        <w:rPr>
          <w:rtl/>
        </w:rPr>
        <w:sectPr w:rsidR="003D5367" w:rsidSect="0070732C">
          <w:headerReference w:type="default" r:id="rId29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71253A" w:rsidRDefault="003D5367">
      <w:pPr>
        <w:pStyle w:val="a9"/>
        <w:rPr>
          <w:rFonts w:cs="AL-Mateen"/>
          <w:rtl/>
        </w:rPr>
      </w:pPr>
      <w:r w:rsidRPr="0071253A">
        <w:rPr>
          <w:rFonts w:cs="AL-Mateen" w:hint="cs"/>
          <w:rtl/>
        </w:rPr>
        <w:lastRenderedPageBreak/>
        <w:t>[ الـقـاعـدة الأربـعـون بـعـد الـمـائـتـيـن ]</w:t>
      </w:r>
    </w:p>
    <w:p w:rsidR="003D5367" w:rsidRDefault="003D5367">
      <w:pPr>
        <w:rPr>
          <w:rtl/>
        </w:rPr>
      </w:pPr>
      <w:r>
        <w:rPr>
          <w:rFonts w:cs="Monotype Koufi" w:hint="cs"/>
          <w:rtl/>
        </w:rPr>
        <w:t>مَنْ لاَ يَمْلِكُ التَّنْجِيزَ لاَ يَمْلِكُ التَّعْلِيقَ</w:t>
      </w:r>
      <w:r>
        <w:rPr>
          <w:rFonts w:hint="cs"/>
          <w:vertAlign w:val="superscript"/>
          <w:rtl/>
        </w:rPr>
        <w:t>(</w:t>
      </w:r>
      <w:r>
        <w:rPr>
          <w:rStyle w:val="a7"/>
          <w:rtl/>
        </w:rPr>
        <w:footnoteReference w:id="4958"/>
      </w:r>
      <w:r>
        <w:rPr>
          <w:rFonts w:hint="cs"/>
          <w:vertAlign w:val="superscript"/>
          <w:rtl/>
        </w:rPr>
        <w:t>)</w:t>
      </w:r>
      <w:r>
        <w:rPr>
          <w:rFonts w:hint="cs"/>
          <w:rtl/>
        </w:rPr>
        <w:t xml:space="preserve"> :</w:t>
      </w:r>
    </w:p>
    <w:p w:rsidR="003D5367" w:rsidRDefault="003D5367">
      <w:pPr>
        <w:rPr>
          <w:rtl/>
        </w:rPr>
      </w:pPr>
      <w:r>
        <w:rPr>
          <w:rFonts w:hint="cs"/>
          <w:rtl/>
        </w:rPr>
        <w:t>فلا تطلق [أجنبيّةٌ]</w:t>
      </w:r>
      <w:r>
        <w:rPr>
          <w:rStyle w:val="a7"/>
          <w:rtl/>
        </w:rPr>
        <w:footnoteReference w:id="4959"/>
      </w:r>
      <w:r>
        <w:rPr>
          <w:rFonts w:hint="cs"/>
          <w:rtl/>
        </w:rPr>
        <w:t xml:space="preserve"> قال لها : إن كلمتُكِ فأنتِ طالق. فنكحها و</w:t>
      </w:r>
      <w:r>
        <w:rPr>
          <w:rStyle w:val="a7"/>
          <w:rtl/>
        </w:rPr>
        <w:footnoteReference w:id="4960"/>
      </w:r>
      <w:r>
        <w:rPr>
          <w:rFonts w:hint="cs"/>
          <w:rtl/>
        </w:rPr>
        <w:t>كلّمها؛ لأنه لا يملك التنجيز، فإنه إذا قال لأجنبية : أنت طالق : لا يقع، فكذا</w:t>
      </w:r>
      <w:r>
        <w:rPr>
          <w:rStyle w:val="a7"/>
          <w:rtl/>
        </w:rPr>
        <w:footnoteReference w:id="4961"/>
      </w:r>
      <w:r>
        <w:rPr>
          <w:rFonts w:hint="cs"/>
          <w:rtl/>
        </w:rPr>
        <w:t xml:space="preserve"> إذا علّقه</w:t>
      </w:r>
      <w:r>
        <w:rPr>
          <w:rFonts w:hint="cs"/>
          <w:vertAlign w:val="superscript"/>
          <w:rtl/>
        </w:rPr>
        <w:t>(</w:t>
      </w:r>
      <w:r>
        <w:rPr>
          <w:rStyle w:val="a7"/>
          <w:rtl/>
        </w:rPr>
        <w:footnoteReference w:id="4962"/>
      </w:r>
      <w:r>
        <w:rPr>
          <w:rFonts w:hint="cs"/>
          <w:vertAlign w:val="superscript"/>
          <w:rtl/>
        </w:rPr>
        <w:t>)</w:t>
      </w:r>
      <w:r>
        <w:rPr>
          <w:rFonts w:hint="cs"/>
          <w:rtl/>
        </w:rPr>
        <w:t>؛ لأن محلَّ وقوع الطلاق الملكُ أو سببُ الملك، والمحلّ شرط ولم يوجد</w:t>
      </w:r>
      <w:r>
        <w:rPr>
          <w:rFonts w:hint="cs"/>
          <w:vertAlign w:val="superscript"/>
          <w:rtl/>
        </w:rPr>
        <w:t>(</w:t>
      </w:r>
      <w:r>
        <w:rPr>
          <w:rStyle w:val="a7"/>
          <w:rtl/>
        </w:rPr>
        <w:footnoteReference w:id="4963"/>
      </w:r>
      <w:r>
        <w:rPr>
          <w:rFonts w:hint="cs"/>
          <w:vertAlign w:val="superscript"/>
          <w:rtl/>
        </w:rPr>
        <w:t>)</w:t>
      </w:r>
      <w:r>
        <w:rPr>
          <w:rFonts w:hint="cs"/>
          <w:rtl/>
        </w:rPr>
        <w:t>.</w:t>
      </w:r>
    </w:p>
    <w:p w:rsidR="003D5367" w:rsidRDefault="003D5367">
      <w:pPr>
        <w:rPr>
          <w:rtl/>
        </w:rPr>
      </w:pPr>
      <w:r>
        <w:rPr>
          <w:rFonts w:hint="cs"/>
          <w:b/>
          <w:bCs/>
          <w:rtl/>
        </w:rPr>
        <w:t>وخـرج</w:t>
      </w:r>
      <w:r>
        <w:rPr>
          <w:rFonts w:hint="cs"/>
          <w:rtl/>
        </w:rPr>
        <w:t xml:space="preserve"> عـن هـذا الأصـل : مـا إذا أضـاف الطـلاق إلى سبب الـملك وقال </w:t>
      </w:r>
      <w:r>
        <w:rPr>
          <w:rFonts w:hint="cs"/>
          <w:rtl/>
        </w:rPr>
        <w:lastRenderedPageBreak/>
        <w:t>[لأجنبيّة]</w:t>
      </w:r>
      <w:r>
        <w:rPr>
          <w:rStyle w:val="a7"/>
          <w:rtl/>
        </w:rPr>
        <w:footnoteReference w:id="4964"/>
      </w:r>
      <w:r>
        <w:rPr>
          <w:rFonts w:hint="cs"/>
          <w:rtl/>
        </w:rPr>
        <w:t>: إن [تـزوجـتُكِ]</w:t>
      </w:r>
      <w:r>
        <w:rPr>
          <w:rStyle w:val="a7"/>
          <w:rtl/>
        </w:rPr>
        <w:footnoteReference w:id="4965"/>
      </w:r>
      <w:r>
        <w:rPr>
          <w:rFonts w:hint="cs"/>
          <w:rtl/>
        </w:rPr>
        <w:t xml:space="preserve"> فـأنـتِ طالـق. [فـتـزوجها]</w:t>
      </w:r>
      <w:r>
        <w:rPr>
          <w:rStyle w:val="a7"/>
          <w:rtl/>
        </w:rPr>
        <w:footnoteReference w:id="4966"/>
      </w:r>
      <w:r>
        <w:rPr>
          <w:rFonts w:hint="cs"/>
          <w:rtl/>
        </w:rPr>
        <w:t xml:space="preserve"> : </w:t>
      </w:r>
    </w:p>
    <w:p w:rsidR="003D5367" w:rsidRDefault="003D5367">
      <w:pPr>
        <w:ind w:firstLine="0"/>
        <w:rPr>
          <w:rtl/>
        </w:rPr>
      </w:pPr>
      <w:r>
        <w:rPr>
          <w:rFonts w:hint="cs"/>
          <w:rtl/>
        </w:rPr>
        <w:t>تطلق، مع أنه</w:t>
      </w:r>
      <w:r>
        <w:rPr>
          <w:rStyle w:val="a7"/>
          <w:rtl/>
        </w:rPr>
        <w:footnoteReference w:id="4967"/>
      </w:r>
      <w:r>
        <w:rPr>
          <w:rFonts w:hint="cs"/>
          <w:rtl/>
        </w:rPr>
        <w:t xml:space="preserve"> لا يملك التنجيز عند التعليق</w:t>
      </w:r>
      <w:r>
        <w:rPr>
          <w:rFonts w:hint="cs"/>
          <w:vertAlign w:val="superscript"/>
          <w:rtl/>
        </w:rPr>
        <w:t>(</w:t>
      </w:r>
      <w:r>
        <w:rPr>
          <w:rStyle w:val="a7"/>
          <w:rtl/>
        </w:rPr>
        <w:footnoteReference w:id="4968"/>
      </w:r>
      <w:r>
        <w:rPr>
          <w:rFonts w:hint="cs"/>
          <w:vertAlign w:val="superscript"/>
          <w:rtl/>
        </w:rPr>
        <w:t>)</w:t>
      </w:r>
      <w:r>
        <w:rPr>
          <w:rFonts w:hint="cs"/>
          <w:rtl/>
        </w:rPr>
        <w:t>!.</w:t>
      </w:r>
    </w:p>
    <w:p w:rsidR="003D5367" w:rsidRDefault="003D5367">
      <w:pPr>
        <w:rPr>
          <w:rtl/>
        </w:rPr>
      </w:pPr>
      <w:r>
        <w:rPr>
          <w:rFonts w:hint="cs"/>
          <w:b/>
          <w:bCs/>
          <w:rtl/>
        </w:rPr>
        <w:t>والجواب</w:t>
      </w:r>
      <w:r>
        <w:rPr>
          <w:rFonts w:hint="cs"/>
          <w:rtl/>
        </w:rPr>
        <w:t xml:space="preserve"> : أنَّ التعليق</w:t>
      </w:r>
      <w:r>
        <w:rPr>
          <w:rStyle w:val="a7"/>
          <w:rtl/>
        </w:rPr>
        <w:footnoteReference w:id="4969"/>
      </w:r>
      <w:r>
        <w:rPr>
          <w:rFonts w:hint="cs"/>
          <w:rtl/>
        </w:rPr>
        <w:t xml:space="preserve"> بالشرط عامل في السّبب دون الحكم عندنا؛ لأنه هو المذكور دون غيره</w:t>
      </w:r>
      <w:r>
        <w:rPr>
          <w:rFonts w:hint="cs"/>
          <w:vertAlign w:val="superscript"/>
          <w:rtl/>
        </w:rPr>
        <w:t>(</w:t>
      </w:r>
      <w:r>
        <w:rPr>
          <w:rStyle w:val="a7"/>
          <w:rtl/>
        </w:rPr>
        <w:footnoteReference w:id="4970"/>
      </w:r>
      <w:r>
        <w:rPr>
          <w:rFonts w:hint="cs"/>
          <w:vertAlign w:val="superscript"/>
          <w:rtl/>
        </w:rPr>
        <w:t>)</w:t>
      </w:r>
      <w:r>
        <w:rPr>
          <w:rFonts w:hint="cs"/>
          <w:rtl/>
        </w:rPr>
        <w:t>.</w:t>
      </w:r>
    </w:p>
    <w:p w:rsidR="003D5367" w:rsidRDefault="003D5367">
      <w:pPr>
        <w:spacing w:line="560" w:lineRule="exact"/>
        <w:rPr>
          <w:rtl/>
        </w:rPr>
      </w:pPr>
      <w:r>
        <w:rPr>
          <w:rFonts w:hint="eastAsia"/>
          <w:rtl/>
        </w:rPr>
        <w:t>«</w:t>
      </w:r>
      <w:r>
        <w:rPr>
          <w:rFonts w:hint="cs"/>
          <w:b/>
          <w:bCs/>
          <w:rtl/>
        </w:rPr>
        <w:t>تحقيقه</w:t>
      </w:r>
      <w:r>
        <w:rPr>
          <w:rFonts w:hint="cs"/>
          <w:rtl/>
        </w:rPr>
        <w:t xml:space="preserve"> : لأن</w:t>
      </w:r>
      <w:r>
        <w:rPr>
          <w:rFonts w:hint="cs"/>
          <w:vertAlign w:val="superscript"/>
          <w:rtl/>
        </w:rPr>
        <w:t>(</w:t>
      </w:r>
      <w:r>
        <w:rPr>
          <w:rStyle w:val="a7"/>
          <w:rtl/>
        </w:rPr>
        <w:footnoteReference w:id="4971"/>
      </w:r>
      <w:r>
        <w:rPr>
          <w:rFonts w:hint="cs"/>
          <w:vertAlign w:val="superscript"/>
          <w:rtl/>
        </w:rPr>
        <w:t>)</w:t>
      </w:r>
      <w:r>
        <w:rPr>
          <w:rFonts w:hint="cs"/>
          <w:rtl/>
        </w:rPr>
        <w:t xml:space="preserve"> التعليق عبارة عن إبقاء</w:t>
      </w:r>
      <w:r>
        <w:rPr>
          <w:rFonts w:hint="cs"/>
          <w:vertAlign w:val="superscript"/>
          <w:rtl/>
        </w:rPr>
        <w:t>(</w:t>
      </w:r>
      <w:r>
        <w:rPr>
          <w:rStyle w:val="a7"/>
          <w:rtl/>
        </w:rPr>
        <w:footnoteReference w:id="4972"/>
      </w:r>
      <w:r>
        <w:rPr>
          <w:rFonts w:hint="cs"/>
          <w:vertAlign w:val="superscript"/>
          <w:rtl/>
        </w:rPr>
        <w:t>)</w:t>
      </w:r>
      <w:r>
        <w:rPr>
          <w:rFonts w:hint="cs"/>
          <w:rtl/>
        </w:rPr>
        <w:t xml:space="preserve"> الحكم على تقدير الشرط، لا مطلقًا، فيكون</w:t>
      </w:r>
      <w:r>
        <w:rPr>
          <w:rStyle w:val="a7"/>
          <w:rtl/>
        </w:rPr>
        <w:footnoteReference w:id="4973"/>
      </w:r>
      <w:r>
        <w:rPr>
          <w:rFonts w:hint="cs"/>
          <w:rtl/>
        </w:rPr>
        <w:t xml:space="preserve"> مصدره</w:t>
      </w:r>
      <w:r>
        <w:rPr>
          <w:rFonts w:hint="cs"/>
          <w:vertAlign w:val="superscript"/>
          <w:rtl/>
        </w:rPr>
        <w:t>(</w:t>
      </w:r>
      <w:r>
        <w:rPr>
          <w:rStyle w:val="a7"/>
          <w:rtl/>
        </w:rPr>
        <w:footnoteReference w:id="4974"/>
      </w:r>
      <w:r>
        <w:rPr>
          <w:rFonts w:hint="cs"/>
          <w:vertAlign w:val="superscript"/>
          <w:rtl/>
        </w:rPr>
        <w:t>)</w:t>
      </w:r>
      <w:r>
        <w:rPr>
          <w:rFonts w:hint="cs"/>
          <w:rtl/>
        </w:rPr>
        <w:t xml:space="preserve"> إنشاء الطلاق على تقدير</w:t>
      </w:r>
      <w:r>
        <w:rPr>
          <w:rStyle w:val="a7"/>
          <w:rtl/>
        </w:rPr>
        <w:footnoteReference w:id="4975"/>
      </w:r>
      <w:r>
        <w:rPr>
          <w:rFonts w:hint="cs"/>
          <w:rtl/>
        </w:rPr>
        <w:t xml:space="preserve"> وجود الشرط، لا في الحال.</w:t>
      </w:r>
    </w:p>
    <w:p w:rsidR="003D5367" w:rsidRDefault="003D5367">
      <w:pPr>
        <w:spacing w:line="560" w:lineRule="exact"/>
        <w:rPr>
          <w:rtl/>
        </w:rPr>
      </w:pPr>
      <w:r>
        <w:rPr>
          <w:rFonts w:hint="cs"/>
          <w:rtl/>
        </w:rPr>
        <w:lastRenderedPageBreak/>
        <w:t>ألا يُرى</w:t>
      </w:r>
      <w:r>
        <w:rPr>
          <w:rStyle w:val="a7"/>
          <w:rtl/>
        </w:rPr>
        <w:footnoteReference w:id="4976"/>
      </w:r>
      <w:r>
        <w:rPr>
          <w:rFonts w:hint="cs"/>
          <w:rtl/>
        </w:rPr>
        <w:t xml:space="preserve"> : أنَّ أهل اللّغة اتفقوا على أن الجزاء متعلّق بالشرط</w:t>
      </w:r>
      <w:r>
        <w:rPr>
          <w:rFonts w:hint="eastAsia"/>
          <w:rtl/>
        </w:rPr>
        <w:t>»</w:t>
      </w:r>
      <w:r>
        <w:rPr>
          <w:rFonts w:hint="cs"/>
          <w:vertAlign w:val="superscript"/>
          <w:rtl/>
        </w:rPr>
        <w:t>(</w:t>
      </w:r>
      <w:r>
        <w:rPr>
          <w:rStyle w:val="a7"/>
          <w:rtl/>
        </w:rPr>
        <w:footnoteReference w:id="4977"/>
      </w:r>
      <w:r>
        <w:rPr>
          <w:rFonts w:hint="cs"/>
          <w:vertAlign w:val="superscript"/>
          <w:rtl/>
        </w:rPr>
        <w:t>)</w:t>
      </w:r>
      <w:r>
        <w:rPr>
          <w:rFonts w:hint="cs"/>
          <w:rtl/>
        </w:rPr>
        <w:t>.</w:t>
      </w:r>
    </w:p>
    <w:p w:rsidR="003D5367" w:rsidRDefault="003D5367">
      <w:pPr>
        <w:spacing w:line="560" w:lineRule="exact"/>
        <w:rPr>
          <w:rtl/>
        </w:rPr>
      </w:pPr>
      <w:r>
        <w:rPr>
          <w:rFonts w:hint="cs"/>
          <w:rtl/>
        </w:rPr>
        <w:t>فعبارته لا [تنعقد]</w:t>
      </w:r>
      <w:r>
        <w:rPr>
          <w:rStyle w:val="a7"/>
          <w:rtl/>
        </w:rPr>
        <w:footnoteReference w:id="4978"/>
      </w:r>
      <w:r>
        <w:rPr>
          <w:rFonts w:hint="cs"/>
          <w:rtl/>
        </w:rPr>
        <w:t xml:space="preserve"> سببًا قبل الاتصال بالمحل. وشرطية الملك إنما [تعتبر]</w:t>
      </w:r>
      <w:r>
        <w:rPr>
          <w:rStyle w:val="a7"/>
          <w:rtl/>
        </w:rPr>
        <w:footnoteReference w:id="4979"/>
      </w:r>
      <w:r>
        <w:rPr>
          <w:rFonts w:hint="cs"/>
          <w:rtl/>
        </w:rPr>
        <w:t xml:space="preserve"> عند انعقاد</w:t>
      </w:r>
      <w:r>
        <w:rPr>
          <w:rStyle w:val="a7"/>
          <w:rtl/>
        </w:rPr>
        <w:footnoteReference w:id="4980"/>
      </w:r>
      <w:r>
        <w:rPr>
          <w:rFonts w:hint="cs"/>
          <w:rtl/>
        </w:rPr>
        <w:t xml:space="preserve"> السَّبب.</w:t>
      </w:r>
    </w:p>
    <w:p w:rsidR="003D5367" w:rsidRDefault="003D5367">
      <w:pPr>
        <w:rPr>
          <w:rtl/>
        </w:rPr>
      </w:pPr>
      <w:r>
        <w:rPr>
          <w:rFonts w:hint="cs"/>
          <w:rtl/>
        </w:rPr>
        <w:t>فإذا قال : إن [تزوّجتكِ]</w:t>
      </w:r>
      <w:r>
        <w:rPr>
          <w:rStyle w:val="a7"/>
          <w:rtl/>
        </w:rPr>
        <w:footnoteReference w:id="4981"/>
      </w:r>
      <w:r>
        <w:rPr>
          <w:rFonts w:hint="cs"/>
          <w:rtl/>
        </w:rPr>
        <w:t xml:space="preserve"> فأنتِ طالق</w:t>
      </w:r>
      <w:r>
        <w:rPr>
          <w:rStyle w:val="a7"/>
          <w:rtl/>
        </w:rPr>
        <w:footnoteReference w:id="4982"/>
      </w:r>
      <w:r>
        <w:rPr>
          <w:rFonts w:hint="cs"/>
          <w:rtl/>
        </w:rPr>
        <w:t xml:space="preserve"> : لا [تنعقد]</w:t>
      </w:r>
      <w:r>
        <w:rPr>
          <w:rStyle w:val="a7"/>
          <w:rtl/>
        </w:rPr>
        <w:footnoteReference w:id="4983"/>
      </w:r>
      <w:r>
        <w:rPr>
          <w:rFonts w:hint="cs"/>
          <w:rtl/>
        </w:rPr>
        <w:t xml:space="preserve"> عبارته سببًا</w:t>
      </w:r>
      <w:r>
        <w:rPr>
          <w:rStyle w:val="a7"/>
          <w:rtl/>
        </w:rPr>
        <w:footnoteReference w:id="4984"/>
      </w:r>
      <w:r>
        <w:rPr>
          <w:rFonts w:hint="cs"/>
          <w:rtl/>
        </w:rPr>
        <w:t xml:space="preserve"> حتى نحتاج</w:t>
      </w:r>
      <w:r>
        <w:rPr>
          <w:rStyle w:val="a7"/>
          <w:rtl/>
        </w:rPr>
        <w:footnoteReference w:id="4985"/>
      </w:r>
      <w:r>
        <w:rPr>
          <w:rFonts w:hint="cs"/>
          <w:rtl/>
        </w:rPr>
        <w:t xml:space="preserve"> إلى المحل؛ لأن الشرط لا يكون سببًا قبل الاتصال، فإذا تزوّجها ينعقد سببًا بوجود الشرط، والملك موجود في ذلك الوقت، فيقع الطلاق</w:t>
      </w:r>
      <w:r>
        <w:rPr>
          <w:rFonts w:hint="cs"/>
          <w:vertAlign w:val="superscript"/>
          <w:rtl/>
        </w:rPr>
        <w:t>(</w:t>
      </w:r>
      <w:r>
        <w:rPr>
          <w:rStyle w:val="a7"/>
          <w:rtl/>
        </w:rPr>
        <w:footnoteReference w:id="4986"/>
      </w:r>
      <w:r>
        <w:rPr>
          <w:rFonts w:hint="cs"/>
          <w:vertAlign w:val="superscript"/>
          <w:rtl/>
        </w:rPr>
        <w:t>)</w:t>
      </w:r>
      <w:r>
        <w:rPr>
          <w:rFonts w:hint="cs"/>
          <w:rtl/>
        </w:rPr>
        <w:t>.</w:t>
      </w:r>
    </w:p>
    <w:p w:rsidR="003D5367" w:rsidRDefault="003D5367">
      <w:pPr>
        <w:rPr>
          <w:spacing w:val="-2"/>
          <w:rtl/>
        </w:rPr>
      </w:pPr>
      <w:r>
        <w:rPr>
          <w:rFonts w:hint="cs"/>
          <w:b/>
          <w:bCs/>
          <w:spacing w:val="-2"/>
          <w:rtl/>
        </w:rPr>
        <w:t>ولا يرد عليه</w:t>
      </w:r>
      <w:r>
        <w:rPr>
          <w:rFonts w:hint="cs"/>
          <w:spacing w:val="-2"/>
          <w:rtl/>
        </w:rPr>
        <w:t xml:space="preserve"> : لو قال لأجنبيّة : إن كلمتُكِ فأنتِ طالق. فنكحها وكلّمها : لا يقع</w:t>
      </w:r>
      <w:r>
        <w:rPr>
          <w:rStyle w:val="a7"/>
          <w:spacing w:val="-2"/>
          <w:rtl/>
        </w:rPr>
        <w:footnoteReference w:id="4987"/>
      </w:r>
      <w:r>
        <w:rPr>
          <w:rFonts w:hint="cs"/>
          <w:spacing w:val="-2"/>
          <w:rtl/>
        </w:rPr>
        <w:t xml:space="preserve"> مع أنَّ عبارته [تنعقد]</w:t>
      </w:r>
      <w:r>
        <w:rPr>
          <w:rStyle w:val="a7"/>
          <w:spacing w:val="-2"/>
          <w:rtl/>
        </w:rPr>
        <w:footnoteReference w:id="4988"/>
      </w:r>
      <w:r>
        <w:rPr>
          <w:rFonts w:hint="cs"/>
          <w:spacing w:val="-2"/>
          <w:rtl/>
        </w:rPr>
        <w:t xml:space="preserve"> سببًا في زمان التكلّم، والملك موجود في ذلك </w:t>
      </w:r>
      <w:r>
        <w:rPr>
          <w:rFonts w:hint="cs"/>
          <w:spacing w:val="-2"/>
          <w:rtl/>
        </w:rPr>
        <w:lastRenderedPageBreak/>
        <w:t>الوقت!.</w:t>
      </w:r>
    </w:p>
    <w:p w:rsidR="003D5367" w:rsidRDefault="003D5367">
      <w:pPr>
        <w:pStyle w:val="ab"/>
        <w:rPr>
          <w:rtl/>
        </w:rPr>
      </w:pPr>
      <w:r>
        <w:rPr>
          <w:rFonts w:hint="cs"/>
          <w:b/>
          <w:bCs/>
          <w:rtl/>
        </w:rPr>
        <w:t>لأن</w:t>
      </w:r>
      <w:r>
        <w:rPr>
          <w:rFonts w:hint="cs"/>
          <w:rtl/>
        </w:rPr>
        <w:t xml:space="preserve"> كلامَنَا فيما أضاف الطلاق إلى الملك أو سببه، مثل أن يقول : إن تزوجتك. وما ذُكر ليس مما نحن فيه.</w:t>
      </w:r>
    </w:p>
    <w:p w:rsidR="003D5367" w:rsidRDefault="003D5367">
      <w:pPr>
        <w:rPr>
          <w:rtl/>
        </w:rPr>
      </w:pPr>
      <w:r>
        <w:rPr>
          <w:rFonts w:hint="cs"/>
          <w:rtl/>
        </w:rPr>
        <w:t>وفيه خلاف الشافعي -رحمه الله- فإن عنده تعليق الشرط عامل في الحكم دون السبب</w:t>
      </w:r>
      <w:r>
        <w:rPr>
          <w:rFonts w:hint="cs"/>
          <w:vertAlign w:val="superscript"/>
          <w:rtl/>
        </w:rPr>
        <w:t>(</w:t>
      </w:r>
      <w:r>
        <w:rPr>
          <w:rStyle w:val="a7"/>
          <w:rtl/>
        </w:rPr>
        <w:footnoteReference w:id="4989"/>
      </w:r>
      <w:r>
        <w:rPr>
          <w:rFonts w:hint="cs"/>
          <w:vertAlign w:val="superscript"/>
          <w:rtl/>
        </w:rPr>
        <w:t>)</w:t>
      </w:r>
      <w:r>
        <w:rPr>
          <w:rFonts w:hint="cs"/>
          <w:rtl/>
        </w:rPr>
        <w:t>. فعبارته [تنعقد]</w:t>
      </w:r>
      <w:r>
        <w:rPr>
          <w:rStyle w:val="a7"/>
          <w:rtl/>
        </w:rPr>
        <w:footnoteReference w:id="4990"/>
      </w:r>
      <w:r>
        <w:rPr>
          <w:rFonts w:hint="cs"/>
          <w:rtl/>
        </w:rPr>
        <w:t xml:space="preserve"> سببًا</w:t>
      </w:r>
      <w:r>
        <w:rPr>
          <w:rStyle w:val="a7"/>
          <w:rtl/>
        </w:rPr>
        <w:footnoteReference w:id="4991"/>
      </w:r>
      <w:r>
        <w:rPr>
          <w:rFonts w:hint="cs"/>
          <w:rtl/>
        </w:rPr>
        <w:t xml:space="preserve"> وقت التلفّظ، والملك لم يوجد في ذلك الوقت، فلغت؛ لعدم المحل، والمحلّ القابل</w:t>
      </w:r>
      <w:r>
        <w:rPr>
          <w:rStyle w:val="a7"/>
          <w:rtl/>
        </w:rPr>
        <w:footnoteReference w:id="4992"/>
      </w:r>
      <w:r>
        <w:rPr>
          <w:rFonts w:hint="cs"/>
          <w:rtl/>
        </w:rPr>
        <w:t xml:space="preserve"> لذلك التصرف شرط في زمان صيرورة اللفظ سببًا، فيلغو بدونه</w:t>
      </w:r>
      <w:r>
        <w:rPr>
          <w:rFonts w:hint="cs"/>
          <w:vertAlign w:val="superscript"/>
          <w:rtl/>
        </w:rPr>
        <w:t>(</w:t>
      </w:r>
      <w:r>
        <w:rPr>
          <w:rStyle w:val="a7"/>
          <w:rtl/>
        </w:rPr>
        <w:footnoteReference w:id="4993"/>
      </w:r>
      <w:r>
        <w:rPr>
          <w:rFonts w:hint="cs"/>
          <w:vertAlign w:val="superscript"/>
          <w:rtl/>
        </w:rPr>
        <w:t>)</w:t>
      </w:r>
      <w:r>
        <w:rPr>
          <w:rFonts w:hint="cs"/>
          <w:rtl/>
        </w:rPr>
        <w:t>.</w:t>
      </w:r>
    </w:p>
    <w:p w:rsidR="003D5367" w:rsidRDefault="003D5367">
      <w:pPr>
        <w:rPr>
          <w:rtl/>
        </w:rPr>
      </w:pPr>
      <w:r>
        <w:rPr>
          <w:rFonts w:hint="cs"/>
          <w:rtl/>
        </w:rPr>
        <w:t>وكلّ واحد منهما</w:t>
      </w:r>
      <w:r>
        <w:rPr>
          <w:rFonts w:hint="cs"/>
          <w:vertAlign w:val="superscript"/>
          <w:rtl/>
        </w:rPr>
        <w:t>(</w:t>
      </w:r>
      <w:r>
        <w:rPr>
          <w:rStyle w:val="a7"/>
          <w:rtl/>
        </w:rPr>
        <w:footnoteReference w:id="4994"/>
      </w:r>
      <w:r>
        <w:rPr>
          <w:rFonts w:hint="cs"/>
          <w:vertAlign w:val="superscript"/>
          <w:rtl/>
        </w:rPr>
        <w:t>)</w:t>
      </w:r>
      <w:r>
        <w:rPr>
          <w:rFonts w:hint="cs"/>
          <w:rtl/>
        </w:rPr>
        <w:t xml:space="preserve"> أورد الأدلة من المعقولات</w:t>
      </w:r>
      <w:r>
        <w:rPr>
          <w:rStyle w:val="a7"/>
          <w:rtl/>
        </w:rPr>
        <w:footnoteReference w:id="4995"/>
      </w:r>
      <w:r>
        <w:rPr>
          <w:rFonts w:hint="cs"/>
          <w:rtl/>
        </w:rPr>
        <w:t xml:space="preserve"> والحسيات :</w:t>
      </w:r>
    </w:p>
    <w:p w:rsidR="003D5367" w:rsidRDefault="003D5367">
      <w:pPr>
        <w:rPr>
          <w:rtl/>
        </w:rPr>
      </w:pPr>
      <w:r>
        <w:rPr>
          <w:rFonts w:hint="cs"/>
          <w:rtl/>
        </w:rPr>
        <w:t xml:space="preserve">ومنها : ما قال أبو حنيفة : إن </w:t>
      </w:r>
      <w:r>
        <w:rPr>
          <w:rFonts w:hint="eastAsia"/>
          <w:rtl/>
        </w:rPr>
        <w:t>«</w:t>
      </w:r>
      <w:r>
        <w:rPr>
          <w:rFonts w:hint="cs"/>
          <w:rtl/>
        </w:rPr>
        <w:t>[الترس]</w:t>
      </w:r>
      <w:r>
        <w:rPr>
          <w:rStyle w:val="a7"/>
          <w:rtl/>
        </w:rPr>
        <w:footnoteReference w:id="4996"/>
      </w:r>
      <w:r>
        <w:rPr>
          <w:rFonts w:hint="cs"/>
          <w:rtl/>
        </w:rPr>
        <w:t xml:space="preserve"> إذا منع اتصال السهم بالمرمي إليه منع سببيّته</w:t>
      </w:r>
      <w:r>
        <w:rPr>
          <w:rStyle w:val="a7"/>
          <w:rtl/>
        </w:rPr>
        <w:footnoteReference w:id="4997"/>
      </w:r>
      <w:r>
        <w:rPr>
          <w:rFonts w:hint="eastAsia"/>
          <w:rtl/>
        </w:rPr>
        <w:t>»</w:t>
      </w:r>
      <w:r>
        <w:rPr>
          <w:rFonts w:hint="cs"/>
          <w:vertAlign w:val="superscript"/>
          <w:rtl/>
        </w:rPr>
        <w:t>(</w:t>
      </w:r>
      <w:r>
        <w:rPr>
          <w:rStyle w:val="a7"/>
          <w:rtl/>
        </w:rPr>
        <w:footnoteReference w:id="4998"/>
      </w:r>
      <w:r>
        <w:rPr>
          <w:rFonts w:hint="cs"/>
          <w:vertAlign w:val="superscript"/>
          <w:rtl/>
        </w:rPr>
        <w:t>)</w:t>
      </w:r>
      <w:r>
        <w:rPr>
          <w:rFonts w:hint="cs"/>
          <w:rtl/>
        </w:rPr>
        <w:t>.</w:t>
      </w:r>
    </w:p>
    <w:p w:rsidR="003D5367" w:rsidRDefault="003D5367">
      <w:pPr>
        <w:rPr>
          <w:rtl/>
        </w:rPr>
      </w:pPr>
      <w:r>
        <w:rPr>
          <w:rFonts w:hint="cs"/>
          <w:rtl/>
        </w:rPr>
        <w:lastRenderedPageBreak/>
        <w:t xml:space="preserve">وقال الشافعي </w:t>
      </w:r>
      <w:r>
        <w:rPr>
          <w:rtl/>
        </w:rPr>
        <w:t>–</w:t>
      </w:r>
      <w:r>
        <w:rPr>
          <w:rFonts w:hint="cs"/>
          <w:rtl/>
        </w:rPr>
        <w:t xml:space="preserve">رحمه الله- : </w:t>
      </w:r>
      <w:r>
        <w:rPr>
          <w:rFonts w:hint="eastAsia"/>
          <w:rtl/>
        </w:rPr>
        <w:t>«</w:t>
      </w:r>
      <w:r>
        <w:rPr>
          <w:rFonts w:hint="cs"/>
          <w:rtl/>
        </w:rPr>
        <w:t>إن تعليق</w:t>
      </w:r>
      <w:r>
        <w:rPr>
          <w:rStyle w:val="a7"/>
          <w:rtl/>
        </w:rPr>
        <w:footnoteReference w:id="4999"/>
      </w:r>
      <w:r>
        <w:rPr>
          <w:rFonts w:hint="cs"/>
          <w:rtl/>
        </w:rPr>
        <w:t xml:space="preserve"> القنديل لا يؤثر في ثقله</w:t>
      </w:r>
      <w:r>
        <w:rPr>
          <w:rStyle w:val="a7"/>
          <w:rtl/>
        </w:rPr>
        <w:footnoteReference w:id="5000"/>
      </w:r>
      <w:r>
        <w:rPr>
          <w:rFonts w:hint="cs"/>
          <w:rtl/>
        </w:rPr>
        <w:t xml:space="preserve"> الذي هو سبب السقوط بالمنع والإعدام؛ بل يؤثر في حكمه. وهو السقوط إلى الأرض</w:t>
      </w:r>
      <w:r>
        <w:rPr>
          <w:rFonts w:hint="eastAsia"/>
          <w:rtl/>
        </w:rPr>
        <w:t>»</w:t>
      </w:r>
      <w:r>
        <w:rPr>
          <w:rFonts w:hint="cs"/>
          <w:vertAlign w:val="superscript"/>
          <w:rtl/>
        </w:rPr>
        <w:t>(</w:t>
      </w:r>
      <w:r>
        <w:rPr>
          <w:rStyle w:val="a7"/>
          <w:rtl/>
        </w:rPr>
        <w:footnoteReference w:id="5001"/>
      </w:r>
      <w:r>
        <w:rPr>
          <w:rFonts w:hint="cs"/>
          <w:vertAlign w:val="superscript"/>
          <w:rtl/>
        </w:rPr>
        <w:t>)</w:t>
      </w:r>
      <w:r>
        <w:rPr>
          <w:rFonts w:hint="cs"/>
          <w:rtl/>
        </w:rPr>
        <w:t>.</w:t>
      </w:r>
    </w:p>
    <w:p w:rsidR="003D5367" w:rsidRDefault="003D5367">
      <w:pPr>
        <w:rPr>
          <w:rtl/>
        </w:rPr>
      </w:pPr>
      <w:r>
        <w:rPr>
          <w:rFonts w:hint="cs"/>
          <w:rtl/>
        </w:rPr>
        <w:t>وتحقيق هذا المحلّ يحتاج إلى التفصيل، في باب (معرفة وجوه الوقوف على أحكام النظم) من كتب الأصول</w:t>
      </w:r>
      <w:r>
        <w:rPr>
          <w:rFonts w:hint="cs"/>
          <w:vertAlign w:val="superscript"/>
          <w:rtl/>
        </w:rPr>
        <w:t>(</w:t>
      </w:r>
      <w:r>
        <w:rPr>
          <w:rStyle w:val="a7"/>
          <w:rtl/>
        </w:rPr>
        <w:footnoteReference w:id="5002"/>
      </w:r>
      <w:r>
        <w:rPr>
          <w:rFonts w:hint="cs"/>
          <w:vertAlign w:val="superscript"/>
          <w:rtl/>
        </w:rPr>
        <w:t>)</w:t>
      </w:r>
      <w:r>
        <w:rPr>
          <w:rFonts w:hint="cs"/>
          <w:rtl/>
        </w:rPr>
        <w:t>، فمن أراد فليراجع.</w:t>
      </w:r>
    </w:p>
    <w:p w:rsidR="003D5367" w:rsidRDefault="003D5367">
      <w:pPr>
        <w:rPr>
          <w:rtl/>
        </w:rPr>
      </w:pPr>
      <w:r>
        <w:rPr>
          <w:rFonts w:hint="cs"/>
          <w:rtl/>
        </w:rPr>
        <w:t xml:space="preserve"> </w:t>
      </w:r>
    </w:p>
    <w:p w:rsidR="003D5367" w:rsidRDefault="003D5367">
      <w:pPr>
        <w:rPr>
          <w:rtl/>
        </w:rPr>
      </w:pPr>
    </w:p>
    <w:p w:rsidR="003D5367" w:rsidRDefault="003D5367" w:rsidP="003D5367">
      <w:pPr>
        <w:ind w:firstLine="0"/>
        <w:jc w:val="center"/>
        <w:rPr>
          <w:rFonts w:ascii="AGA Arabesque" w:hAnsi="AGA Arabesque"/>
          <w:sz w:val="50"/>
          <w:szCs w:val="50"/>
        </w:rPr>
        <w:sectPr w:rsidR="003D5367" w:rsidSect="0070732C">
          <w:headerReference w:type="default" r:id="rId298"/>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Pr="0026139B" w:rsidRDefault="003D5367">
      <w:pPr>
        <w:pStyle w:val="a9"/>
        <w:rPr>
          <w:rFonts w:cs="AL-Mateen"/>
          <w:rtl/>
        </w:rPr>
      </w:pPr>
      <w:r w:rsidRPr="0026139B">
        <w:rPr>
          <w:rFonts w:cs="AL-Mateen"/>
          <w:rtl/>
        </w:rPr>
        <w:lastRenderedPageBreak/>
        <w:t>[ الـقـاعـدة الـ</w:t>
      </w:r>
      <w:r w:rsidRPr="0026139B">
        <w:rPr>
          <w:rFonts w:cs="AL-Mateen" w:hint="cs"/>
          <w:rtl/>
        </w:rPr>
        <w:t>ح</w:t>
      </w:r>
      <w:r w:rsidRPr="0026139B">
        <w:rPr>
          <w:rFonts w:cs="AL-Mateen"/>
          <w:rtl/>
        </w:rPr>
        <w:t>ـا</w:t>
      </w:r>
      <w:r w:rsidRPr="0026139B">
        <w:rPr>
          <w:rFonts w:cs="AL-Mateen" w:hint="cs"/>
          <w:rtl/>
        </w:rPr>
        <w:t>دي</w:t>
      </w:r>
      <w:r w:rsidRPr="0026139B">
        <w:rPr>
          <w:rFonts w:cs="AL-Mateen"/>
          <w:rtl/>
        </w:rPr>
        <w:t xml:space="preserve">ـة </w:t>
      </w:r>
      <w:r w:rsidRPr="0026139B">
        <w:rPr>
          <w:rFonts w:cs="AL-Mateen" w:hint="eastAsia"/>
          <w:rtl/>
        </w:rPr>
        <w:t>وال</w:t>
      </w:r>
      <w:r w:rsidRPr="0026139B">
        <w:rPr>
          <w:rFonts w:cs="AL-Mateen" w:hint="cs"/>
          <w:rtl/>
        </w:rPr>
        <w:t>أربـع</w:t>
      </w:r>
      <w:r w:rsidRPr="0026139B">
        <w:rPr>
          <w:rFonts w:cs="AL-Mateen" w:hint="eastAsia"/>
          <w:rtl/>
        </w:rPr>
        <w:t>ـون</w:t>
      </w:r>
      <w:r w:rsidRPr="0026139B">
        <w:rPr>
          <w:rFonts w:cs="AL-Mateen"/>
          <w:rtl/>
        </w:rPr>
        <w:t xml:space="preserve"> بـعـد الـمـائـتـيـن ]</w:t>
      </w:r>
    </w:p>
    <w:p w:rsidR="003D5367" w:rsidRDefault="003D5367">
      <w:pPr>
        <w:rPr>
          <w:rtl/>
        </w:rPr>
      </w:pPr>
      <w:r>
        <w:rPr>
          <w:rFonts w:cs="Monotype Koufi" w:hint="cs"/>
          <w:rtl/>
        </w:rPr>
        <w:t>مَنْ مَلَكَ شَيْئًا يَمْلِكُ مَا هُوَ [مِنْ]</w:t>
      </w:r>
      <w:r>
        <w:rPr>
          <w:rStyle w:val="a7"/>
          <w:rtl/>
        </w:rPr>
        <w:footnoteReference w:id="5003"/>
      </w:r>
      <w:r>
        <w:rPr>
          <w:rFonts w:hint="cs"/>
          <w:rtl/>
        </w:rPr>
        <w:t xml:space="preserve"> </w:t>
      </w:r>
      <w:r>
        <w:rPr>
          <w:rFonts w:cs="Monotype Koufi" w:hint="cs"/>
          <w:rtl/>
        </w:rPr>
        <w:t>ضَرُورَاتِهِ</w:t>
      </w:r>
      <w:r>
        <w:rPr>
          <w:rFonts w:hint="cs"/>
          <w:vertAlign w:val="superscript"/>
          <w:rtl/>
        </w:rPr>
        <w:t>(</w:t>
      </w:r>
      <w:r>
        <w:rPr>
          <w:rStyle w:val="a7"/>
          <w:rtl/>
        </w:rPr>
        <w:footnoteReference w:id="5004"/>
      </w:r>
      <w:r>
        <w:rPr>
          <w:rFonts w:hint="cs"/>
          <w:vertAlign w:val="superscript"/>
          <w:rtl/>
        </w:rPr>
        <w:t>)</w:t>
      </w:r>
      <w:r>
        <w:rPr>
          <w:rFonts w:hint="cs"/>
          <w:rtl/>
        </w:rPr>
        <w:t xml:space="preserve"> :</w:t>
      </w:r>
    </w:p>
    <w:p w:rsidR="003D5367" w:rsidRDefault="003D5367">
      <w:pPr>
        <w:rPr>
          <w:rtl/>
        </w:rPr>
      </w:pPr>
      <w:r>
        <w:rPr>
          <w:rFonts w:hint="cs"/>
          <w:b/>
          <w:bCs/>
          <w:rtl/>
        </w:rPr>
        <w:lastRenderedPageBreak/>
        <w:t>ولهذا</w:t>
      </w:r>
      <w:r>
        <w:rPr>
          <w:rFonts w:hint="cs"/>
          <w:rtl/>
        </w:rPr>
        <w:t xml:space="preserve"> : جاز [قبول]</w:t>
      </w:r>
      <w:r>
        <w:rPr>
          <w:rStyle w:val="a7"/>
          <w:rtl/>
        </w:rPr>
        <w:footnoteReference w:id="5005"/>
      </w:r>
      <w:r>
        <w:rPr>
          <w:rFonts w:hint="cs"/>
          <w:rtl/>
        </w:rPr>
        <w:t xml:space="preserve"> هديّةِ العبد المأذون</w:t>
      </w:r>
      <w:r>
        <w:rPr>
          <w:rStyle w:val="a7"/>
          <w:rtl/>
        </w:rPr>
        <w:footnoteReference w:id="5006"/>
      </w:r>
      <w:r>
        <w:rPr>
          <w:rFonts w:hint="cs"/>
          <w:rtl/>
        </w:rPr>
        <w:t xml:space="preserve"> بالتجارة، وإجابة دعوته، مع أنّه ليس [من ]</w:t>
      </w:r>
      <w:r>
        <w:rPr>
          <w:rStyle w:val="a7"/>
          <w:rtl/>
        </w:rPr>
        <w:footnoteReference w:id="5007"/>
      </w:r>
      <w:r>
        <w:rPr>
          <w:rFonts w:hint="cs"/>
          <w:rtl/>
        </w:rPr>
        <w:t xml:space="preserve"> أرباب التبرع؛ لأن هذا من ضرورات التجارة؛ لجذب قلوب أهل حرفته</w:t>
      </w:r>
      <w:r>
        <w:rPr>
          <w:rStyle w:val="a7"/>
          <w:rtl/>
        </w:rPr>
        <w:footnoteReference w:id="5008"/>
      </w:r>
      <w:r>
        <w:rPr>
          <w:rFonts w:hint="cs"/>
          <w:rtl/>
        </w:rPr>
        <w:t xml:space="preserve"> وتحصيل الألفة [بالمعاملين]</w:t>
      </w:r>
      <w:r>
        <w:rPr>
          <w:rStyle w:val="a7"/>
          <w:rtl/>
        </w:rPr>
        <w:footnoteReference w:id="5009"/>
      </w:r>
      <w:r>
        <w:rPr>
          <w:rFonts w:hint="cs"/>
          <w:vertAlign w:val="superscript"/>
          <w:rtl/>
        </w:rPr>
        <w:t>(</w:t>
      </w:r>
      <w:r>
        <w:rPr>
          <w:rStyle w:val="a7"/>
          <w:rtl/>
        </w:rPr>
        <w:footnoteReference w:id="5010"/>
      </w:r>
      <w:r>
        <w:rPr>
          <w:rFonts w:hint="cs"/>
          <w:vertAlign w:val="superscript"/>
          <w:rtl/>
        </w:rPr>
        <w:t>)</w:t>
      </w:r>
      <w:r>
        <w:rPr>
          <w:rFonts w:hint="cs"/>
          <w:rtl/>
        </w:rPr>
        <w:t>.</w:t>
      </w:r>
    </w:p>
    <w:p w:rsidR="003D5367" w:rsidRDefault="003D5367">
      <w:pPr>
        <w:rPr>
          <w:rtl/>
        </w:rPr>
      </w:pPr>
    </w:p>
    <w:p w:rsidR="003D5367" w:rsidRDefault="003D5367">
      <w:pPr>
        <w:rPr>
          <w:rtl/>
        </w:rPr>
      </w:pPr>
    </w:p>
    <w:p w:rsidR="003D5367" w:rsidRPr="00AB233C"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70732C">
          <w:headerReference w:type="default" r:id="rId29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D548E4" w:rsidRDefault="003D5367">
      <w:pPr>
        <w:pStyle w:val="a9"/>
        <w:rPr>
          <w:rFonts w:cs="AL-Mateen"/>
          <w:rtl/>
        </w:rPr>
      </w:pPr>
      <w:r w:rsidRPr="00D548E4">
        <w:rPr>
          <w:rFonts w:cs="AL-Mateen"/>
          <w:rtl/>
        </w:rPr>
        <w:lastRenderedPageBreak/>
        <w:t>[ الـقـاعـدة الـ</w:t>
      </w:r>
      <w:r w:rsidRPr="00D548E4">
        <w:rPr>
          <w:rFonts w:cs="AL-Mateen" w:hint="cs"/>
          <w:rtl/>
        </w:rPr>
        <w:t>ث</w:t>
      </w:r>
      <w:r w:rsidRPr="00D548E4">
        <w:rPr>
          <w:rFonts w:cs="AL-Mateen"/>
          <w:rtl/>
        </w:rPr>
        <w:t>ـا</w:t>
      </w:r>
      <w:r w:rsidRPr="00D548E4">
        <w:rPr>
          <w:rFonts w:cs="AL-Mateen" w:hint="cs"/>
          <w:rtl/>
        </w:rPr>
        <w:t>نـي</w:t>
      </w:r>
      <w:r w:rsidRPr="00D548E4">
        <w:rPr>
          <w:rFonts w:cs="AL-Mateen"/>
          <w:rtl/>
        </w:rPr>
        <w:t xml:space="preserve">ـة </w:t>
      </w:r>
      <w:r w:rsidRPr="00D548E4">
        <w:rPr>
          <w:rFonts w:cs="AL-Mateen" w:hint="eastAsia"/>
          <w:rtl/>
        </w:rPr>
        <w:t>وال</w:t>
      </w:r>
      <w:r w:rsidRPr="00D548E4">
        <w:rPr>
          <w:rFonts w:cs="AL-Mateen" w:hint="cs"/>
          <w:rtl/>
        </w:rPr>
        <w:t>أربـع</w:t>
      </w:r>
      <w:r w:rsidRPr="00D548E4">
        <w:rPr>
          <w:rFonts w:cs="AL-Mateen" w:hint="eastAsia"/>
          <w:rtl/>
        </w:rPr>
        <w:t>ـون</w:t>
      </w:r>
      <w:r w:rsidRPr="00D548E4">
        <w:rPr>
          <w:rFonts w:cs="AL-Mateen"/>
          <w:rtl/>
        </w:rPr>
        <w:t xml:space="preserve"> بـعـد الـمـائـتـيـن ]</w:t>
      </w:r>
    </w:p>
    <w:p w:rsidR="003D5367" w:rsidRDefault="003D5367">
      <w:pPr>
        <w:rPr>
          <w:rtl/>
        </w:rPr>
      </w:pPr>
      <w:r>
        <w:rPr>
          <w:rFonts w:cs="Monotype Koufi" w:hint="cs"/>
          <w:rtl/>
        </w:rPr>
        <w:t>مَنْ مَلَكَ شَيْئًا يَمْلِكُ كُلَّ جُزْءٍ مِنْ أجْزَائِهِ</w:t>
      </w:r>
      <w:r>
        <w:rPr>
          <w:rFonts w:hint="cs"/>
          <w:vertAlign w:val="superscript"/>
          <w:rtl/>
        </w:rPr>
        <w:t>(</w:t>
      </w:r>
      <w:r>
        <w:rPr>
          <w:rStyle w:val="a7"/>
          <w:rtl/>
        </w:rPr>
        <w:footnoteReference w:id="5011"/>
      </w:r>
      <w:r>
        <w:rPr>
          <w:rFonts w:hint="cs"/>
          <w:vertAlign w:val="superscript"/>
          <w:rtl/>
        </w:rPr>
        <w:t>)</w:t>
      </w:r>
      <w:r>
        <w:rPr>
          <w:rFonts w:hint="cs"/>
          <w:rtl/>
        </w:rPr>
        <w:t xml:space="preserve"> :</w:t>
      </w:r>
    </w:p>
    <w:p w:rsidR="003D5367" w:rsidRDefault="003D5367">
      <w:pPr>
        <w:rPr>
          <w:rtl/>
        </w:rPr>
      </w:pPr>
      <w:r>
        <w:rPr>
          <w:rFonts w:hint="cs"/>
          <w:b/>
          <w:bCs/>
          <w:rtl/>
        </w:rPr>
        <w:t>ولهذا</w:t>
      </w:r>
      <w:r>
        <w:rPr>
          <w:rFonts w:hint="cs"/>
          <w:rtl/>
        </w:rPr>
        <w:t xml:space="preserve"> : لو قال الزوج : طلِّقي نفسك ثلاثًا. فطلقتْ واحدةً :تطلق واحدة</w:t>
      </w:r>
      <w:r>
        <w:rPr>
          <w:rStyle w:val="a7"/>
          <w:rtl/>
        </w:rPr>
        <w:footnoteReference w:id="5012"/>
      </w:r>
      <w:r>
        <w:rPr>
          <w:rFonts w:hint="cs"/>
          <w:rtl/>
        </w:rPr>
        <w:t>؛ لأنه يملِّك</w:t>
      </w:r>
      <w:r>
        <w:rPr>
          <w:rFonts w:hint="cs"/>
          <w:vertAlign w:val="superscript"/>
          <w:rtl/>
        </w:rPr>
        <w:t>(</w:t>
      </w:r>
      <w:r>
        <w:rPr>
          <w:rStyle w:val="a7"/>
          <w:rtl/>
        </w:rPr>
        <w:footnoteReference w:id="5013"/>
      </w:r>
      <w:r>
        <w:rPr>
          <w:rFonts w:hint="cs"/>
          <w:vertAlign w:val="superscript"/>
          <w:rtl/>
        </w:rPr>
        <w:t>)</w:t>
      </w:r>
      <w:r>
        <w:rPr>
          <w:rFonts w:hint="cs"/>
          <w:rtl/>
        </w:rPr>
        <w:t xml:space="preserve"> الكلَّ، والواحدةُ جزءٌ من أجزائه، فتملكها</w:t>
      </w:r>
      <w:r>
        <w:rPr>
          <w:rStyle w:val="a7"/>
          <w:rtl/>
        </w:rPr>
        <w:footnoteReference w:id="5014"/>
      </w:r>
      <w:r>
        <w:rPr>
          <w:rFonts w:hint="cs"/>
          <w:vertAlign w:val="superscript"/>
          <w:rtl/>
        </w:rPr>
        <w:t>(</w:t>
      </w:r>
      <w:r>
        <w:rPr>
          <w:rStyle w:val="a7"/>
          <w:rtl/>
        </w:rPr>
        <w:footnoteReference w:id="5015"/>
      </w:r>
      <w:r>
        <w:rPr>
          <w:rFonts w:hint="cs"/>
          <w:vertAlign w:val="superscript"/>
          <w:rtl/>
        </w:rPr>
        <w:t>)</w:t>
      </w:r>
      <w:r>
        <w:rPr>
          <w:rFonts w:hint="cs"/>
          <w:rtl/>
        </w:rPr>
        <w:t>.</w:t>
      </w:r>
    </w:p>
    <w:p w:rsidR="003D5367" w:rsidRDefault="003D5367">
      <w:pPr>
        <w:rPr>
          <w:rtl/>
        </w:rPr>
      </w:pPr>
    </w:p>
    <w:p w:rsidR="003D5367" w:rsidRDefault="003D5367">
      <w:pPr>
        <w:rPr>
          <w:rtl/>
        </w:rPr>
      </w:pPr>
    </w:p>
    <w:p w:rsidR="003D5367" w:rsidRDefault="003D5367">
      <w:pPr>
        <w:jc w:val="center"/>
        <w:rPr>
          <w:rFonts w:ascii="AGA Arabesque" w:hAnsi="AGA Arabesque"/>
          <w:sz w:val="50"/>
          <w:szCs w:val="50"/>
        </w:rPr>
        <w:sectPr w:rsidR="003D5367" w:rsidSect="0070732C">
          <w:headerReference w:type="default" r:id="rId300"/>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Pr="003F3A0F" w:rsidRDefault="003D5367">
      <w:pPr>
        <w:pStyle w:val="a9"/>
        <w:rPr>
          <w:rFonts w:cs="AL-Mateen"/>
          <w:rtl/>
        </w:rPr>
      </w:pPr>
      <w:r w:rsidRPr="003F3A0F">
        <w:rPr>
          <w:rFonts w:cs="AL-Mateen"/>
          <w:rtl/>
        </w:rPr>
        <w:lastRenderedPageBreak/>
        <w:t>[ الـقـاعـدة الـ</w:t>
      </w:r>
      <w:r w:rsidRPr="003F3A0F">
        <w:rPr>
          <w:rFonts w:cs="AL-Mateen" w:hint="cs"/>
          <w:rtl/>
        </w:rPr>
        <w:t>ث</w:t>
      </w:r>
      <w:r w:rsidRPr="003F3A0F">
        <w:rPr>
          <w:rFonts w:cs="AL-Mateen"/>
          <w:rtl/>
        </w:rPr>
        <w:t>ـا</w:t>
      </w:r>
      <w:r w:rsidRPr="003F3A0F">
        <w:rPr>
          <w:rFonts w:cs="AL-Mateen" w:hint="cs"/>
          <w:rtl/>
        </w:rPr>
        <w:t>لـث</w:t>
      </w:r>
      <w:r w:rsidRPr="003F3A0F">
        <w:rPr>
          <w:rFonts w:cs="AL-Mateen"/>
          <w:rtl/>
        </w:rPr>
        <w:t xml:space="preserve">ـة </w:t>
      </w:r>
      <w:r w:rsidRPr="003F3A0F">
        <w:rPr>
          <w:rFonts w:cs="AL-Mateen" w:hint="eastAsia"/>
          <w:rtl/>
        </w:rPr>
        <w:t>وال</w:t>
      </w:r>
      <w:r w:rsidRPr="003F3A0F">
        <w:rPr>
          <w:rFonts w:cs="AL-Mateen" w:hint="cs"/>
          <w:rtl/>
        </w:rPr>
        <w:t>أربـع</w:t>
      </w:r>
      <w:r w:rsidRPr="003F3A0F">
        <w:rPr>
          <w:rFonts w:cs="AL-Mateen" w:hint="eastAsia"/>
          <w:rtl/>
        </w:rPr>
        <w:t>ـون</w:t>
      </w:r>
      <w:r w:rsidRPr="003F3A0F">
        <w:rPr>
          <w:rFonts w:cs="AL-Mateen"/>
          <w:rtl/>
        </w:rPr>
        <w:t xml:space="preserve"> بـعـد الـمـائـتـيـن ]</w:t>
      </w:r>
    </w:p>
    <w:p w:rsidR="003D5367" w:rsidRDefault="003D5367">
      <w:pPr>
        <w:rPr>
          <w:rtl/>
        </w:rPr>
      </w:pPr>
      <w:r>
        <w:rPr>
          <w:rFonts w:cs="Monotype Koufi" w:hint="cs"/>
          <w:spacing w:val="-2"/>
          <w:sz w:val="36"/>
          <w:rtl/>
        </w:rPr>
        <w:t>مَنْ عَمِلَ لِغَيْرِهِ عَمَلاً، وَلَحِقَهُ ضَمَانٌ : يَرْجِعُ على مَنْ وَقَعَ لَهُ العَمَلُ</w:t>
      </w:r>
      <w:r>
        <w:rPr>
          <w:rFonts w:hint="cs"/>
          <w:vertAlign w:val="superscript"/>
          <w:rtl/>
        </w:rPr>
        <w:t>(</w:t>
      </w:r>
      <w:r>
        <w:rPr>
          <w:rStyle w:val="a7"/>
          <w:rtl/>
        </w:rPr>
        <w:footnoteReference w:id="5016"/>
      </w:r>
      <w:r>
        <w:rPr>
          <w:rFonts w:hint="cs"/>
          <w:vertAlign w:val="superscript"/>
          <w:rtl/>
        </w:rPr>
        <w:t>)</w:t>
      </w:r>
      <w:r>
        <w:rPr>
          <w:rFonts w:hint="cs"/>
          <w:rtl/>
        </w:rPr>
        <w:t xml:space="preserve"> :</w:t>
      </w:r>
    </w:p>
    <w:p w:rsidR="003D5367" w:rsidRDefault="003D5367">
      <w:pPr>
        <w:spacing w:line="600" w:lineRule="exact"/>
        <w:rPr>
          <w:spacing w:val="-4"/>
          <w:rtl/>
        </w:rPr>
      </w:pPr>
      <w:r>
        <w:rPr>
          <w:rFonts w:hint="cs"/>
          <w:b/>
          <w:bCs/>
          <w:spacing w:val="-4"/>
          <w:rtl/>
        </w:rPr>
        <w:t>ومن فروع هذا الأصل</w:t>
      </w:r>
      <w:r>
        <w:rPr>
          <w:rFonts w:hint="cs"/>
          <w:spacing w:val="-4"/>
          <w:rtl/>
        </w:rPr>
        <w:t xml:space="preserve"> : </w:t>
      </w:r>
      <w:r>
        <w:rPr>
          <w:rFonts w:hint="eastAsia"/>
          <w:spacing w:val="-4"/>
          <w:rtl/>
        </w:rPr>
        <w:t>«</w:t>
      </w:r>
      <w:r>
        <w:rPr>
          <w:rFonts w:hint="cs"/>
          <w:spacing w:val="-4"/>
          <w:rtl/>
        </w:rPr>
        <w:t xml:space="preserve">باع </w:t>
      </w:r>
      <w:r>
        <w:rPr>
          <w:rFonts w:hint="cs"/>
          <w:rtl/>
        </w:rPr>
        <w:t>الوصيُّ للغرماء</w:t>
      </w:r>
      <w:r>
        <w:rPr>
          <w:rFonts w:hint="cs"/>
          <w:spacing w:val="-4"/>
          <w:rtl/>
        </w:rPr>
        <w:t xml:space="preserve"> بأمر القاضي، وقبض</w:t>
      </w:r>
      <w:r>
        <w:rPr>
          <w:rFonts w:hint="cs"/>
          <w:spacing w:val="-4"/>
          <w:vertAlign w:val="superscript"/>
          <w:rtl/>
        </w:rPr>
        <w:t>(</w:t>
      </w:r>
      <w:r>
        <w:rPr>
          <w:rStyle w:val="a7"/>
          <w:spacing w:val="-4"/>
          <w:rtl/>
        </w:rPr>
        <w:footnoteReference w:id="5017"/>
      </w:r>
      <w:r>
        <w:rPr>
          <w:rFonts w:hint="cs"/>
          <w:spacing w:val="-4"/>
          <w:vertAlign w:val="superscript"/>
          <w:rtl/>
        </w:rPr>
        <w:t>)</w:t>
      </w:r>
      <w:r>
        <w:rPr>
          <w:rFonts w:hint="cs"/>
          <w:spacing w:val="-4"/>
          <w:rtl/>
        </w:rPr>
        <w:t xml:space="preserve"> وضاع من يده، واستحق العبد، أو مات قبل قبضه : رجع المشتري على الوصّي</w:t>
      </w:r>
      <w:r>
        <w:rPr>
          <w:rFonts w:hint="cs"/>
          <w:spacing w:val="-4"/>
          <w:vertAlign w:val="superscript"/>
          <w:rtl/>
        </w:rPr>
        <w:t>(</w:t>
      </w:r>
      <w:r>
        <w:rPr>
          <w:rStyle w:val="a7"/>
          <w:spacing w:val="-4"/>
          <w:rtl/>
        </w:rPr>
        <w:footnoteReference w:id="5018"/>
      </w:r>
      <w:r>
        <w:rPr>
          <w:rFonts w:hint="cs"/>
          <w:spacing w:val="-4"/>
          <w:vertAlign w:val="superscript"/>
          <w:rtl/>
        </w:rPr>
        <w:t>)</w:t>
      </w:r>
      <w:r>
        <w:rPr>
          <w:rFonts w:hint="cs"/>
          <w:spacing w:val="-4"/>
          <w:rtl/>
        </w:rPr>
        <w:t>؛ لأن الرجوع من حقوق العقد، وحقوقه [ترجع]</w:t>
      </w:r>
      <w:r>
        <w:rPr>
          <w:rStyle w:val="a7"/>
          <w:spacing w:val="-4"/>
          <w:rtl/>
        </w:rPr>
        <w:footnoteReference w:id="5019"/>
      </w:r>
      <w:r>
        <w:rPr>
          <w:rFonts w:hint="cs"/>
          <w:spacing w:val="-4"/>
          <w:rtl/>
        </w:rPr>
        <w:t xml:space="preserve"> إلى العاقد (وهو الوصيّ) نيابةً عن الميّت، وإن نصبه القاضي؛ لأنَّ نَصْبَهُ يكون قائمًا مقام الميت، وحقوق العقد ترجع</w:t>
      </w:r>
      <w:r>
        <w:rPr>
          <w:rStyle w:val="a7"/>
          <w:spacing w:val="-4"/>
          <w:rtl/>
        </w:rPr>
        <w:footnoteReference w:id="5020"/>
      </w:r>
      <w:r>
        <w:rPr>
          <w:rFonts w:hint="cs"/>
          <w:spacing w:val="-4"/>
          <w:rtl/>
        </w:rPr>
        <w:t xml:space="preserve"> إليه لو باشره في حياته، فكذا ترجع</w:t>
      </w:r>
      <w:r>
        <w:rPr>
          <w:rFonts w:hint="cs"/>
          <w:spacing w:val="-4"/>
          <w:vertAlign w:val="superscript"/>
          <w:rtl/>
        </w:rPr>
        <w:t>5</w:t>
      </w:r>
      <w:r>
        <w:rPr>
          <w:rFonts w:hint="cs"/>
          <w:spacing w:val="-4"/>
          <w:rtl/>
        </w:rPr>
        <w:t xml:space="preserve"> إلى من قام مقامهُ. والوصّي يرجع على الغرماء؛ لأنه </w:t>
      </w:r>
      <w:r>
        <w:rPr>
          <w:rFonts w:hint="cs"/>
          <w:spacing w:val="-4"/>
          <w:rtl/>
        </w:rPr>
        <w:lastRenderedPageBreak/>
        <w:t>باع لهم، فكان عاملاً لهم، وهو مضطر في البيع بأمر القاضي. كذا في (الكافي)</w:t>
      </w:r>
      <w:r>
        <w:rPr>
          <w:rFonts w:hint="eastAsia"/>
          <w:spacing w:val="-4"/>
          <w:rtl/>
        </w:rPr>
        <w:t>»</w:t>
      </w:r>
      <w:r>
        <w:rPr>
          <w:rFonts w:hint="cs"/>
          <w:spacing w:val="-4"/>
          <w:vertAlign w:val="superscript"/>
          <w:rtl/>
        </w:rPr>
        <w:t>(</w:t>
      </w:r>
      <w:r>
        <w:rPr>
          <w:rStyle w:val="a7"/>
          <w:spacing w:val="-4"/>
          <w:rtl/>
        </w:rPr>
        <w:footnoteReference w:id="5021"/>
      </w:r>
      <w:r>
        <w:rPr>
          <w:rFonts w:hint="cs"/>
          <w:spacing w:val="-4"/>
          <w:vertAlign w:val="superscript"/>
          <w:rtl/>
        </w:rPr>
        <w:t>)</w:t>
      </w:r>
      <w:r>
        <w:rPr>
          <w:rFonts w:hint="cs"/>
          <w:spacing w:val="-4"/>
          <w:rtl/>
        </w:rPr>
        <w:t>.</w:t>
      </w:r>
    </w:p>
    <w:p w:rsidR="003D5367" w:rsidRDefault="003D5367">
      <w:pPr>
        <w:rPr>
          <w:rtl/>
        </w:rPr>
      </w:pPr>
      <w:r>
        <w:rPr>
          <w:rFonts w:hint="cs"/>
          <w:rtl/>
        </w:rPr>
        <w:t>وبهذا يعلم : لو باع بلا أمر القاضي لا يرجع الوصي على الغرماء؛ لأن الضمان وجب عليه بفعله</w:t>
      </w:r>
      <w:r>
        <w:rPr>
          <w:rFonts w:hint="cs"/>
          <w:vertAlign w:val="superscript"/>
          <w:rtl/>
        </w:rPr>
        <w:t>(</w:t>
      </w:r>
      <w:r>
        <w:rPr>
          <w:rStyle w:val="a7"/>
          <w:rtl/>
        </w:rPr>
        <w:footnoteReference w:id="5022"/>
      </w:r>
      <w:r>
        <w:rPr>
          <w:rFonts w:hint="cs"/>
          <w:vertAlign w:val="superscript"/>
          <w:rtl/>
        </w:rPr>
        <w:t>)</w:t>
      </w:r>
      <w:r>
        <w:rPr>
          <w:rFonts w:hint="cs"/>
          <w:rtl/>
        </w:rPr>
        <w:t>.</w:t>
      </w:r>
    </w:p>
    <w:p w:rsidR="003D5367" w:rsidRDefault="003D5367">
      <w:pPr>
        <w:rPr>
          <w:rtl/>
        </w:rPr>
      </w:pPr>
    </w:p>
    <w:p w:rsidR="003D5367" w:rsidRDefault="003D5367">
      <w:pPr>
        <w:rPr>
          <w:rtl/>
        </w:rPr>
      </w:pPr>
    </w:p>
    <w:p w:rsidR="003D5367" w:rsidRPr="00203CCF"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70732C">
          <w:headerReference w:type="default" r:id="rId30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66263B" w:rsidRDefault="003D5367">
      <w:pPr>
        <w:pStyle w:val="a9"/>
        <w:rPr>
          <w:rFonts w:cs="AL-Mateen"/>
          <w:rtl/>
        </w:rPr>
      </w:pPr>
      <w:r w:rsidRPr="0066263B">
        <w:rPr>
          <w:rFonts w:cs="AL-Mateen"/>
          <w:rtl/>
        </w:rPr>
        <w:lastRenderedPageBreak/>
        <w:t>[ الـقـاعـدة الـ</w:t>
      </w:r>
      <w:r w:rsidRPr="0066263B">
        <w:rPr>
          <w:rFonts w:cs="AL-Mateen" w:hint="cs"/>
          <w:rtl/>
        </w:rPr>
        <w:t>ر</w:t>
      </w:r>
      <w:r w:rsidRPr="0066263B">
        <w:rPr>
          <w:rFonts w:cs="AL-Mateen"/>
          <w:rtl/>
        </w:rPr>
        <w:t>ا</w:t>
      </w:r>
      <w:r w:rsidRPr="0066263B">
        <w:rPr>
          <w:rFonts w:cs="AL-Mateen" w:hint="cs"/>
          <w:rtl/>
        </w:rPr>
        <w:t>بـع</w:t>
      </w:r>
      <w:r w:rsidRPr="0066263B">
        <w:rPr>
          <w:rFonts w:cs="AL-Mateen"/>
          <w:rtl/>
        </w:rPr>
        <w:t xml:space="preserve">ـة والأربـعـون </w:t>
      </w:r>
      <w:r w:rsidRPr="0066263B">
        <w:rPr>
          <w:rFonts w:cs="AL-Mateen" w:hint="eastAsia"/>
          <w:rtl/>
        </w:rPr>
        <w:t>بـعـد</w:t>
      </w:r>
      <w:r w:rsidRPr="0066263B">
        <w:rPr>
          <w:rFonts w:cs="AL-Mateen"/>
          <w:rtl/>
        </w:rPr>
        <w:t xml:space="preserve"> الـمـائـتـيـن ]</w:t>
      </w:r>
    </w:p>
    <w:p w:rsidR="003D5367" w:rsidRDefault="003D5367">
      <w:pPr>
        <w:rPr>
          <w:rtl/>
        </w:rPr>
      </w:pPr>
      <w:r>
        <w:rPr>
          <w:rFonts w:cs="Monotype Koufi" w:hint="cs"/>
          <w:rtl/>
        </w:rPr>
        <w:t>مَنْ شَكّ [هَلْ]</w:t>
      </w:r>
      <w:r>
        <w:rPr>
          <w:rStyle w:val="a7"/>
          <w:rtl/>
        </w:rPr>
        <w:footnoteReference w:id="5023"/>
      </w:r>
      <w:r>
        <w:rPr>
          <w:rFonts w:hint="cs"/>
          <w:rtl/>
        </w:rPr>
        <w:t xml:space="preserve"> </w:t>
      </w:r>
      <w:r>
        <w:rPr>
          <w:rFonts w:cs="Monotype Koufi" w:hint="cs"/>
          <w:rtl/>
        </w:rPr>
        <w:t>فَعَلَ شيئًا [أوْ]</w:t>
      </w:r>
      <w:r>
        <w:rPr>
          <w:rStyle w:val="a7"/>
          <w:rtl/>
        </w:rPr>
        <w:footnoteReference w:id="5024"/>
      </w:r>
      <w:r>
        <w:rPr>
          <w:rFonts w:hint="cs"/>
          <w:rtl/>
        </w:rPr>
        <w:t xml:space="preserve"> </w:t>
      </w:r>
      <w:r>
        <w:rPr>
          <w:rFonts w:cs="Monotype Koufi" w:hint="cs"/>
          <w:rtl/>
        </w:rPr>
        <w:t>لا ؟:  فالأصلُ أنَّهُ لَمْ يَفْعَلْ</w:t>
      </w:r>
      <w:r>
        <w:rPr>
          <w:rFonts w:hint="cs"/>
          <w:vertAlign w:val="superscript"/>
          <w:rtl/>
        </w:rPr>
        <w:t>(</w:t>
      </w:r>
      <w:r>
        <w:rPr>
          <w:rStyle w:val="a7"/>
          <w:rtl/>
        </w:rPr>
        <w:footnoteReference w:id="5025"/>
      </w:r>
      <w:r>
        <w:rPr>
          <w:rFonts w:hint="cs"/>
          <w:vertAlign w:val="superscript"/>
          <w:rtl/>
        </w:rPr>
        <w:t>)</w:t>
      </w:r>
      <w:r>
        <w:rPr>
          <w:rFonts w:hint="cs"/>
          <w:rtl/>
        </w:rPr>
        <w:t xml:space="preserve"> :</w:t>
      </w:r>
    </w:p>
    <w:p w:rsidR="003D5367" w:rsidRDefault="003D5367">
      <w:pPr>
        <w:spacing w:line="640" w:lineRule="exact"/>
        <w:rPr>
          <w:rtl/>
        </w:rPr>
      </w:pPr>
      <w:r>
        <w:rPr>
          <w:rFonts w:hint="eastAsia"/>
          <w:rtl/>
        </w:rPr>
        <w:t>«</w:t>
      </w:r>
      <w:r>
        <w:rPr>
          <w:rFonts w:hint="cs"/>
          <w:rtl/>
        </w:rPr>
        <w:t>فمن شكَّ أنه توضّأ أم لا : فهو محدث</w:t>
      </w:r>
      <w:r>
        <w:rPr>
          <w:rFonts w:hint="eastAsia"/>
          <w:rtl/>
        </w:rPr>
        <w:t>»</w:t>
      </w:r>
      <w:r>
        <w:rPr>
          <w:rFonts w:hint="cs"/>
          <w:vertAlign w:val="superscript"/>
          <w:rtl/>
        </w:rPr>
        <w:t>(</w:t>
      </w:r>
      <w:r>
        <w:rPr>
          <w:rStyle w:val="a7"/>
          <w:rtl/>
        </w:rPr>
        <w:footnoteReference w:id="5026"/>
      </w:r>
      <w:r>
        <w:rPr>
          <w:rFonts w:hint="cs"/>
          <w:vertAlign w:val="superscript"/>
          <w:rtl/>
        </w:rPr>
        <w:t>)</w:t>
      </w:r>
      <w:r>
        <w:rPr>
          <w:rFonts w:hint="cs"/>
          <w:rtl/>
        </w:rPr>
        <w:t>.</w:t>
      </w:r>
    </w:p>
    <w:p w:rsidR="003D5367" w:rsidRDefault="003D5367">
      <w:pPr>
        <w:spacing w:line="640" w:lineRule="exact"/>
        <w:rPr>
          <w:rtl/>
        </w:rPr>
      </w:pPr>
      <w:r>
        <w:rPr>
          <w:rFonts w:hint="cs"/>
          <w:rtl/>
        </w:rPr>
        <w:t xml:space="preserve">ويدخل فيها قاعدة أخرى : </w:t>
      </w:r>
      <w:r>
        <w:rPr>
          <w:rFonts w:hint="eastAsia"/>
          <w:rtl/>
        </w:rPr>
        <w:t>«</w:t>
      </w:r>
      <w:r>
        <w:rPr>
          <w:rFonts w:hint="cs"/>
          <w:rtl/>
        </w:rPr>
        <w:t>مـن تيـقَّن الـفعلَ وشكَّ في القليل أو الكثير</w:t>
      </w:r>
      <w:r>
        <w:rPr>
          <w:rStyle w:val="a7"/>
          <w:rtl/>
        </w:rPr>
        <w:footnoteReference w:id="5027"/>
      </w:r>
      <w:r>
        <w:rPr>
          <w:rFonts w:hint="cs"/>
          <w:rtl/>
        </w:rPr>
        <w:t>:</w:t>
      </w:r>
    </w:p>
    <w:p w:rsidR="003D5367" w:rsidRDefault="003D5367">
      <w:pPr>
        <w:spacing w:line="640" w:lineRule="exact"/>
        <w:ind w:firstLine="0"/>
        <w:rPr>
          <w:rtl/>
        </w:rPr>
      </w:pPr>
      <w:r>
        <w:rPr>
          <w:rFonts w:hint="cs"/>
          <w:rtl/>
        </w:rPr>
        <w:lastRenderedPageBreak/>
        <w:t>حُمل على القليل؛ لأنه المتيقَّنُ</w:t>
      </w:r>
      <w:r>
        <w:rPr>
          <w:rFonts w:hint="eastAsia"/>
          <w:rtl/>
        </w:rPr>
        <w:t>»</w:t>
      </w:r>
      <w:r>
        <w:rPr>
          <w:rFonts w:hint="cs"/>
          <w:vertAlign w:val="superscript"/>
          <w:rtl/>
        </w:rPr>
        <w:t>(</w:t>
      </w:r>
      <w:r>
        <w:rPr>
          <w:rStyle w:val="a7"/>
          <w:rtl/>
        </w:rPr>
        <w:footnoteReference w:id="5028"/>
      </w:r>
      <w:r>
        <w:rPr>
          <w:rFonts w:hint="cs"/>
          <w:vertAlign w:val="superscript"/>
          <w:rtl/>
        </w:rPr>
        <w:t>)</w:t>
      </w:r>
      <w:r>
        <w:rPr>
          <w:rFonts w:hint="cs"/>
          <w:rtl/>
        </w:rPr>
        <w:t>.</w:t>
      </w:r>
    </w:p>
    <w:p w:rsidR="003D5367" w:rsidRDefault="003D5367">
      <w:pPr>
        <w:rPr>
          <w:rtl/>
        </w:rPr>
      </w:pPr>
      <w:r>
        <w:rPr>
          <w:rFonts w:hint="eastAsia"/>
          <w:rtl/>
        </w:rPr>
        <w:t>«</w:t>
      </w:r>
      <w:r>
        <w:rPr>
          <w:rFonts w:hint="cs"/>
          <w:rtl/>
        </w:rPr>
        <w:t>فإذا شك أنّه : كم صلّى؟ فإن كان أوّل مرّة : استأنف، وإن كثر</w:t>
      </w:r>
      <w:r>
        <w:rPr>
          <w:rStyle w:val="a7"/>
          <w:rtl/>
        </w:rPr>
        <w:footnoteReference w:id="5029"/>
      </w:r>
      <w:r>
        <w:rPr>
          <w:rFonts w:hint="cs"/>
          <w:rtl/>
        </w:rPr>
        <w:t xml:space="preserve"> : تـحَرَّى، وإلاّ أخذ بالأقل</w:t>
      </w:r>
      <w:r>
        <w:rPr>
          <w:rFonts w:hint="eastAsia"/>
          <w:rtl/>
        </w:rPr>
        <w:t>»</w:t>
      </w:r>
      <w:r>
        <w:rPr>
          <w:rFonts w:hint="cs"/>
          <w:vertAlign w:val="superscript"/>
          <w:rtl/>
        </w:rPr>
        <w:t>(</w:t>
      </w:r>
      <w:r>
        <w:rPr>
          <w:rStyle w:val="a7"/>
          <w:rtl/>
        </w:rPr>
        <w:footnoteReference w:id="5030"/>
      </w:r>
      <w:r>
        <w:rPr>
          <w:rFonts w:hint="cs"/>
          <w:vertAlign w:val="superscript"/>
          <w:rtl/>
        </w:rPr>
        <w:t>)</w:t>
      </w:r>
      <w:r>
        <w:rPr>
          <w:rFonts w:hint="cs"/>
          <w:rtl/>
        </w:rPr>
        <w:t>.</w:t>
      </w:r>
    </w:p>
    <w:p w:rsidR="003D5367" w:rsidRDefault="003D5367">
      <w:pPr>
        <w:rPr>
          <w:rtl/>
        </w:rPr>
      </w:pPr>
      <w:r>
        <w:rPr>
          <w:rFonts w:hint="cs"/>
          <w:rtl/>
        </w:rPr>
        <w:t xml:space="preserve">وفيها قاعدة أخرى : </w:t>
      </w:r>
      <w:r>
        <w:rPr>
          <w:rFonts w:hint="eastAsia"/>
          <w:rtl/>
        </w:rPr>
        <w:t>«</w:t>
      </w:r>
      <w:r>
        <w:rPr>
          <w:rFonts w:hint="cs"/>
          <w:rtl/>
        </w:rPr>
        <w:t>ما ثبت بيقين لا يُرفَعُ إلا بيقين</w:t>
      </w:r>
      <w:r>
        <w:rPr>
          <w:rFonts w:hint="eastAsia"/>
          <w:rtl/>
        </w:rPr>
        <w:t>»</w:t>
      </w:r>
      <w:r>
        <w:rPr>
          <w:rFonts w:hint="cs"/>
          <w:vertAlign w:val="superscript"/>
          <w:rtl/>
        </w:rPr>
        <w:t>(</w:t>
      </w:r>
      <w:r>
        <w:rPr>
          <w:rStyle w:val="a7"/>
          <w:rtl/>
        </w:rPr>
        <w:footnoteReference w:id="5031"/>
      </w:r>
      <w:r>
        <w:rPr>
          <w:rFonts w:hint="cs"/>
          <w:vertAlign w:val="superscript"/>
          <w:rtl/>
        </w:rPr>
        <w:t>)</w:t>
      </w:r>
      <w:r>
        <w:rPr>
          <w:rFonts w:hint="cs"/>
          <w:rtl/>
        </w:rPr>
        <w:t>. فمن تيقّن بالوضوء، وشك في نقضه : فهو على وضوئه.</w:t>
      </w:r>
    </w:p>
    <w:p w:rsidR="003D5367" w:rsidRDefault="003D5367">
      <w:pPr>
        <w:rPr>
          <w:spacing w:val="-8"/>
          <w:rtl/>
        </w:rPr>
      </w:pPr>
      <w:r>
        <w:rPr>
          <w:rFonts w:hint="cs"/>
          <w:spacing w:val="-8"/>
          <w:rtl/>
        </w:rPr>
        <w:t xml:space="preserve">والأصل المشهور فيه : </w:t>
      </w:r>
      <w:r>
        <w:rPr>
          <w:rFonts w:hint="eastAsia"/>
          <w:spacing w:val="-8"/>
          <w:rtl/>
        </w:rPr>
        <w:t>«</w:t>
      </w:r>
      <w:r>
        <w:rPr>
          <w:rFonts w:hint="cs"/>
          <w:spacing w:val="-8"/>
          <w:rtl/>
        </w:rPr>
        <w:t>اليقين لا يزول بالشك</w:t>
      </w:r>
      <w:r>
        <w:rPr>
          <w:rFonts w:hint="eastAsia"/>
          <w:spacing w:val="-8"/>
          <w:rtl/>
        </w:rPr>
        <w:t>»</w:t>
      </w:r>
      <w:r>
        <w:rPr>
          <w:rFonts w:hint="cs"/>
          <w:spacing w:val="-8"/>
          <w:vertAlign w:val="superscript"/>
          <w:rtl/>
        </w:rPr>
        <w:t>(</w:t>
      </w:r>
      <w:r>
        <w:rPr>
          <w:rStyle w:val="a7"/>
          <w:spacing w:val="-8"/>
          <w:rtl/>
        </w:rPr>
        <w:footnoteReference w:id="5032"/>
      </w:r>
      <w:r>
        <w:rPr>
          <w:rFonts w:hint="cs"/>
          <w:spacing w:val="-8"/>
          <w:vertAlign w:val="superscript"/>
          <w:rtl/>
        </w:rPr>
        <w:t>)</w:t>
      </w:r>
      <w:r>
        <w:rPr>
          <w:rFonts w:hint="cs"/>
          <w:spacing w:val="-8"/>
          <w:rtl/>
        </w:rPr>
        <w:t xml:space="preserve">. </w:t>
      </w:r>
    </w:p>
    <w:p w:rsidR="003D5367" w:rsidRDefault="003D5367">
      <w:pPr>
        <w:ind w:firstLine="0"/>
        <w:rPr>
          <w:spacing w:val="-8"/>
          <w:rtl/>
        </w:rPr>
      </w:pPr>
      <w:r>
        <w:rPr>
          <w:rFonts w:hint="cs"/>
          <w:spacing w:val="-8"/>
          <w:rtl/>
        </w:rPr>
        <w:lastRenderedPageBreak/>
        <w:t>والمراد باليقين : غالب الظّن</w:t>
      </w:r>
      <w:r>
        <w:rPr>
          <w:rFonts w:hint="cs"/>
          <w:spacing w:val="-8"/>
          <w:vertAlign w:val="superscript"/>
          <w:rtl/>
        </w:rPr>
        <w:t>(</w:t>
      </w:r>
      <w:r>
        <w:rPr>
          <w:rStyle w:val="a7"/>
          <w:spacing w:val="-8"/>
          <w:rtl/>
        </w:rPr>
        <w:footnoteReference w:id="5033"/>
      </w:r>
      <w:r>
        <w:rPr>
          <w:rFonts w:hint="cs"/>
          <w:spacing w:val="-8"/>
          <w:vertAlign w:val="superscript"/>
          <w:rtl/>
        </w:rPr>
        <w:t>)</w:t>
      </w:r>
      <w:r>
        <w:rPr>
          <w:rFonts w:hint="cs"/>
          <w:spacing w:val="-8"/>
          <w:rtl/>
        </w:rPr>
        <w:t>.</w:t>
      </w:r>
    </w:p>
    <w:p w:rsidR="003D5367" w:rsidRDefault="003D5367">
      <w:pPr>
        <w:ind w:firstLine="0"/>
        <w:rPr>
          <w:rtl/>
        </w:rPr>
      </w:pPr>
    </w:p>
    <w:p w:rsidR="003D5367" w:rsidRDefault="003D5367">
      <w:pPr>
        <w:ind w:firstLine="0"/>
        <w:rPr>
          <w:rtl/>
        </w:rPr>
      </w:pPr>
    </w:p>
    <w:p w:rsidR="003D5367" w:rsidRPr="0033091C" w:rsidRDefault="003D5367">
      <w:pPr>
        <w:ind w:firstLine="0"/>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firstLine="0"/>
        <w:rPr>
          <w:rtl/>
        </w:rPr>
      </w:pPr>
    </w:p>
    <w:p w:rsidR="003D5367" w:rsidRDefault="003D5367">
      <w:pPr>
        <w:ind w:firstLine="0"/>
        <w:rPr>
          <w:rtl/>
        </w:rPr>
        <w:sectPr w:rsidR="003D5367" w:rsidSect="00F6051F">
          <w:headerReference w:type="default" r:id="rId30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2F108D" w:rsidRDefault="003D5367">
      <w:pPr>
        <w:pStyle w:val="a9"/>
        <w:rPr>
          <w:rFonts w:cs="AL-Mateen"/>
          <w:rtl/>
        </w:rPr>
      </w:pPr>
      <w:r w:rsidRPr="002F108D">
        <w:rPr>
          <w:rFonts w:cs="AL-Mateen"/>
          <w:rtl/>
        </w:rPr>
        <w:lastRenderedPageBreak/>
        <w:t>[ الـقـاعـدة الـ</w:t>
      </w:r>
      <w:r w:rsidRPr="002F108D">
        <w:rPr>
          <w:rFonts w:cs="AL-Mateen" w:hint="cs"/>
          <w:rtl/>
        </w:rPr>
        <w:t>خ</w:t>
      </w:r>
      <w:r w:rsidRPr="002F108D">
        <w:rPr>
          <w:rFonts w:cs="AL-Mateen"/>
          <w:rtl/>
        </w:rPr>
        <w:t>ـا</w:t>
      </w:r>
      <w:r w:rsidRPr="002F108D">
        <w:rPr>
          <w:rFonts w:cs="AL-Mateen" w:hint="cs"/>
          <w:rtl/>
        </w:rPr>
        <w:t>مـس</w:t>
      </w:r>
      <w:r w:rsidRPr="002F108D">
        <w:rPr>
          <w:rFonts w:cs="AL-Mateen"/>
          <w:rtl/>
        </w:rPr>
        <w:t xml:space="preserve">ـة والأربـعـون </w:t>
      </w:r>
      <w:r w:rsidRPr="002F108D">
        <w:rPr>
          <w:rFonts w:cs="AL-Mateen" w:hint="eastAsia"/>
          <w:rtl/>
        </w:rPr>
        <w:t>بـعـد</w:t>
      </w:r>
      <w:r w:rsidRPr="002F108D">
        <w:rPr>
          <w:rFonts w:cs="AL-Mateen"/>
          <w:rtl/>
        </w:rPr>
        <w:t xml:space="preserve"> الـمـائـتـيـن ]</w:t>
      </w:r>
    </w:p>
    <w:p w:rsidR="003D5367" w:rsidRDefault="003D5367">
      <w:pPr>
        <w:rPr>
          <w:rtl/>
        </w:rPr>
      </w:pPr>
      <w:r>
        <w:rPr>
          <w:rFonts w:cs="Monotype Koufi" w:hint="cs"/>
          <w:rtl/>
        </w:rPr>
        <w:t>المَنْصُوصُ لاَ يَنُوْبُ أَخَاهُ</w:t>
      </w:r>
      <w:r>
        <w:rPr>
          <w:rFonts w:hint="cs"/>
          <w:vertAlign w:val="superscript"/>
          <w:rtl/>
        </w:rPr>
        <w:t>(</w:t>
      </w:r>
      <w:r>
        <w:rPr>
          <w:rStyle w:val="a7"/>
          <w:rtl/>
        </w:rPr>
        <w:footnoteReference w:id="5034"/>
      </w:r>
      <w:r>
        <w:rPr>
          <w:rFonts w:hint="cs"/>
          <w:vertAlign w:val="superscript"/>
          <w:rtl/>
        </w:rPr>
        <w:t>)</w:t>
      </w:r>
      <w:r>
        <w:rPr>
          <w:rFonts w:hint="cs"/>
          <w:rtl/>
        </w:rPr>
        <w:t xml:space="preserve"> :</w:t>
      </w:r>
    </w:p>
    <w:p w:rsidR="003D5367" w:rsidRDefault="003D5367">
      <w:pPr>
        <w:rPr>
          <w:rtl/>
        </w:rPr>
      </w:pPr>
      <w:r>
        <w:rPr>
          <w:rFonts w:hint="cs"/>
          <w:b/>
          <w:bCs/>
          <w:rtl/>
        </w:rPr>
        <w:t>أي</w:t>
      </w:r>
      <w:r>
        <w:rPr>
          <w:rStyle w:val="a7"/>
          <w:rtl/>
        </w:rPr>
        <w:footnoteReference w:id="5035"/>
      </w:r>
      <w:r>
        <w:rPr>
          <w:rFonts w:hint="cs"/>
          <w:rtl/>
        </w:rPr>
        <w:t xml:space="preserve"> : جنسه في كونه منصوصًا</w:t>
      </w:r>
      <w:r>
        <w:rPr>
          <w:rStyle w:val="a7"/>
          <w:rtl/>
        </w:rPr>
        <w:footnoteReference w:id="5036"/>
      </w:r>
      <w:r>
        <w:rPr>
          <w:rFonts w:hint="cs"/>
          <w:vertAlign w:val="superscript"/>
          <w:rtl/>
        </w:rPr>
        <w:t>(</w:t>
      </w:r>
      <w:r>
        <w:rPr>
          <w:rStyle w:val="a7"/>
          <w:rtl/>
        </w:rPr>
        <w:footnoteReference w:id="5037"/>
      </w:r>
      <w:r>
        <w:rPr>
          <w:rFonts w:hint="cs"/>
          <w:vertAlign w:val="superscript"/>
          <w:rtl/>
        </w:rPr>
        <w:t>)</w:t>
      </w:r>
      <w:r>
        <w:rPr>
          <w:rFonts w:hint="cs"/>
          <w:rtl/>
        </w:rPr>
        <w:t>.</w:t>
      </w:r>
    </w:p>
    <w:p w:rsidR="003D5367" w:rsidRDefault="003D5367">
      <w:pPr>
        <w:rPr>
          <w:rtl/>
        </w:rPr>
      </w:pPr>
      <w:r>
        <w:rPr>
          <w:rFonts w:hint="cs"/>
          <w:b/>
          <w:bCs/>
          <w:rtl/>
        </w:rPr>
        <w:lastRenderedPageBreak/>
        <w:t>لـهـذا</w:t>
      </w:r>
      <w:r>
        <w:rPr>
          <w:rFonts w:hint="cs"/>
          <w:rtl/>
        </w:rPr>
        <w:t xml:space="preserve"> : إذا تـعـيّـن</w:t>
      </w:r>
      <w:r>
        <w:rPr>
          <w:rFonts w:hint="cs"/>
          <w:vertAlign w:val="superscript"/>
          <w:rtl/>
        </w:rPr>
        <w:t>(</w:t>
      </w:r>
      <w:r>
        <w:rPr>
          <w:rStyle w:val="a7"/>
          <w:rtl/>
        </w:rPr>
        <w:footnoteReference w:id="5038"/>
      </w:r>
      <w:r>
        <w:rPr>
          <w:rFonts w:hint="cs"/>
          <w:vertAlign w:val="superscript"/>
          <w:rtl/>
        </w:rPr>
        <w:t>)</w:t>
      </w:r>
      <w:r>
        <w:rPr>
          <w:rFonts w:hint="cs"/>
          <w:rtl/>
        </w:rPr>
        <w:t xml:space="preserve"> الـكـفّـارة للـظهـار بـإطعام</w:t>
      </w:r>
      <w:r>
        <w:rPr>
          <w:rStyle w:val="a7"/>
          <w:rtl/>
        </w:rPr>
        <w:footnoteReference w:id="5039"/>
      </w:r>
      <w:r>
        <w:rPr>
          <w:rFonts w:hint="cs"/>
          <w:rtl/>
        </w:rPr>
        <w:t xml:space="preserve"> المساكـين </w:t>
      </w:r>
    </w:p>
    <w:p w:rsidR="003D5367" w:rsidRDefault="003D5367">
      <w:pPr>
        <w:ind w:firstLine="0"/>
        <w:rPr>
          <w:spacing w:val="-10"/>
          <w:rtl/>
        </w:rPr>
      </w:pPr>
      <w:r>
        <w:rPr>
          <w:rFonts w:hint="cs"/>
          <w:spacing w:val="-10"/>
          <w:rtl/>
        </w:rPr>
        <w:t>[كُلاًّ]</w:t>
      </w:r>
      <w:r>
        <w:rPr>
          <w:rStyle w:val="a7"/>
          <w:spacing w:val="-10"/>
          <w:rtl/>
        </w:rPr>
        <w:footnoteReference w:id="5040"/>
      </w:r>
      <w:r>
        <w:rPr>
          <w:rFonts w:hint="cs"/>
          <w:spacing w:val="-10"/>
          <w:rtl/>
        </w:rPr>
        <w:t xml:space="preserve"> قَدْرَ الفطرة، وأراد المكفّر</w:t>
      </w:r>
      <w:r>
        <w:rPr>
          <w:rStyle w:val="a7"/>
          <w:spacing w:val="-10"/>
          <w:rtl/>
        </w:rPr>
        <w:footnoteReference w:id="5041"/>
      </w:r>
      <w:r>
        <w:rPr>
          <w:rFonts w:hint="cs"/>
          <w:spacing w:val="-10"/>
          <w:rtl/>
        </w:rPr>
        <w:t xml:space="preserve"> دفع قيمته: إنما يجوز إذا كانت القيمة [من غير المنصوص.</w:t>
      </w:r>
    </w:p>
    <w:p w:rsidR="003D5367" w:rsidRDefault="003D5367">
      <w:pPr>
        <w:rPr>
          <w:rtl/>
        </w:rPr>
      </w:pPr>
      <w:r>
        <w:rPr>
          <w:rFonts w:hint="cs"/>
          <w:rtl/>
        </w:rPr>
        <w:t>والأشياء]</w:t>
      </w:r>
      <w:r>
        <w:rPr>
          <w:rStyle w:val="a7"/>
          <w:rtl/>
        </w:rPr>
        <w:footnoteReference w:id="5042"/>
      </w:r>
      <w:r>
        <w:rPr>
          <w:rFonts w:hint="cs"/>
          <w:rtl/>
        </w:rPr>
        <w:t xml:space="preserve"> المنصوصة في الفطرة أربعة :</w:t>
      </w:r>
    </w:p>
    <w:p w:rsidR="003D5367" w:rsidRDefault="003D5367">
      <w:pPr>
        <w:rPr>
          <w:rtl/>
        </w:rPr>
      </w:pPr>
      <w:r>
        <w:rPr>
          <w:rFonts w:hint="cs"/>
          <w:rtl/>
        </w:rPr>
        <w:t xml:space="preserve">البر </w:t>
      </w:r>
      <w:r>
        <w:rPr>
          <w:rtl/>
        </w:rPr>
        <w:t>–</w:t>
      </w:r>
      <w:r>
        <w:rPr>
          <w:rFonts w:hint="cs"/>
          <w:rtl/>
        </w:rPr>
        <w:t xml:space="preserve"> سواء كان دقيقًا</w:t>
      </w:r>
      <w:r>
        <w:rPr>
          <w:rStyle w:val="a7"/>
          <w:rtl/>
        </w:rPr>
        <w:footnoteReference w:id="5043"/>
      </w:r>
      <w:r>
        <w:rPr>
          <w:rFonts w:hint="cs"/>
          <w:rtl/>
        </w:rPr>
        <w:t xml:space="preserve"> أو سويقًا-، والزبيب</w:t>
      </w:r>
      <w:r>
        <w:rPr>
          <w:rStyle w:val="a7"/>
          <w:rtl/>
        </w:rPr>
        <w:footnoteReference w:id="5044"/>
      </w:r>
      <w:r>
        <w:rPr>
          <w:rFonts w:hint="cs"/>
          <w:rtl/>
        </w:rPr>
        <w:t>، والتمر، والشعير.</w:t>
      </w:r>
    </w:p>
    <w:p w:rsidR="003D5367" w:rsidRDefault="003D5367">
      <w:pPr>
        <w:rPr>
          <w:spacing w:val="-6"/>
          <w:rtl/>
        </w:rPr>
      </w:pPr>
      <w:r>
        <w:rPr>
          <w:rFonts w:hint="cs"/>
          <w:spacing w:val="-6"/>
          <w:rtl/>
        </w:rPr>
        <w:t>فإذا دفع ربع صاع من الأرُزّ ساوى نصفَ صاعٍ من البرّ، أو صاعًا من الشعير قيمةً يجزيه</w:t>
      </w:r>
      <w:r>
        <w:rPr>
          <w:rStyle w:val="a7"/>
          <w:spacing w:val="-6"/>
          <w:rtl/>
        </w:rPr>
        <w:footnoteReference w:id="5045"/>
      </w:r>
      <w:r>
        <w:rPr>
          <w:rFonts w:hint="cs"/>
          <w:spacing w:val="-6"/>
          <w:rtl/>
        </w:rPr>
        <w:t>؛ لأن الأرز ليس بمنصوص، فيعتبر قيمة نصفٍ</w:t>
      </w:r>
      <w:r>
        <w:rPr>
          <w:rStyle w:val="a7"/>
          <w:spacing w:val="-6"/>
          <w:rtl/>
        </w:rPr>
        <w:footnoteReference w:id="5046"/>
      </w:r>
      <w:r>
        <w:rPr>
          <w:rFonts w:hint="cs"/>
          <w:spacing w:val="-6"/>
          <w:rtl/>
        </w:rPr>
        <w:t xml:space="preserve"> من البرِّ، أو الصاع من الشعير.</w:t>
      </w:r>
    </w:p>
    <w:p w:rsidR="003D5367" w:rsidRDefault="003D5367">
      <w:pPr>
        <w:rPr>
          <w:spacing w:val="-6"/>
          <w:rtl/>
        </w:rPr>
      </w:pPr>
      <w:r>
        <w:rPr>
          <w:rFonts w:hint="cs"/>
          <w:spacing w:val="-6"/>
          <w:rtl/>
        </w:rPr>
        <w:t>وإن دفع ربع صاع من التمر ساوى نصف الصاع</w:t>
      </w:r>
      <w:r>
        <w:rPr>
          <w:rStyle w:val="a7"/>
          <w:spacing w:val="-6"/>
          <w:rtl/>
        </w:rPr>
        <w:footnoteReference w:id="5047"/>
      </w:r>
      <w:r>
        <w:rPr>
          <w:rFonts w:hint="cs"/>
          <w:spacing w:val="-6"/>
          <w:rtl/>
        </w:rPr>
        <w:t xml:space="preserve"> من البّر، أو الصاع من الشعير: لا يجوز؛ لأن التمر من الأشياء المنصوصة، فلا يعتبر قيمة [للغير]</w:t>
      </w:r>
      <w:r>
        <w:rPr>
          <w:rStyle w:val="a7"/>
          <w:spacing w:val="-6"/>
          <w:rtl/>
        </w:rPr>
        <w:footnoteReference w:id="5048"/>
      </w:r>
      <w:r>
        <w:rPr>
          <w:rFonts w:hint="cs"/>
          <w:spacing w:val="-6"/>
          <w:rtl/>
        </w:rPr>
        <w:t xml:space="preserve"> من </w:t>
      </w:r>
      <w:r>
        <w:rPr>
          <w:rFonts w:hint="cs"/>
          <w:spacing w:val="-6"/>
          <w:rtl/>
        </w:rPr>
        <w:lastRenderedPageBreak/>
        <w:t>المنصوصات</w:t>
      </w:r>
      <w:r>
        <w:rPr>
          <w:rStyle w:val="a7"/>
          <w:spacing w:val="-6"/>
          <w:rtl/>
        </w:rPr>
        <w:footnoteReference w:id="5049"/>
      </w:r>
      <w:r>
        <w:rPr>
          <w:rFonts w:hint="cs"/>
          <w:spacing w:val="-6"/>
          <w:vertAlign w:val="superscript"/>
          <w:rtl/>
        </w:rPr>
        <w:t>(</w:t>
      </w:r>
      <w:r>
        <w:rPr>
          <w:rStyle w:val="a7"/>
          <w:spacing w:val="-6"/>
          <w:rtl/>
        </w:rPr>
        <w:footnoteReference w:id="5050"/>
      </w:r>
      <w:r>
        <w:rPr>
          <w:rFonts w:hint="cs"/>
          <w:spacing w:val="-6"/>
          <w:vertAlign w:val="superscript"/>
          <w:rtl/>
        </w:rPr>
        <w:t>)</w:t>
      </w:r>
      <w:r>
        <w:rPr>
          <w:rFonts w:hint="cs"/>
          <w:spacing w:val="-6"/>
          <w:rtl/>
        </w:rPr>
        <w:t>.</w:t>
      </w:r>
    </w:p>
    <w:p w:rsidR="003D5367" w:rsidRDefault="003D5367">
      <w:pPr>
        <w:rPr>
          <w:spacing w:val="-6"/>
          <w:rtl/>
        </w:rPr>
      </w:pPr>
    </w:p>
    <w:p w:rsidR="003D5367" w:rsidRDefault="003D5367">
      <w:pPr>
        <w:rPr>
          <w:spacing w:val="-6"/>
          <w:rtl/>
        </w:rPr>
      </w:pPr>
    </w:p>
    <w:p w:rsidR="003D5367" w:rsidRPr="0024091A" w:rsidRDefault="003D5367">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firstLine="0"/>
        <w:rPr>
          <w:rtl/>
        </w:rPr>
        <w:sectPr w:rsidR="003D5367" w:rsidSect="00F6051F">
          <w:headerReference w:type="default" r:id="rId30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6F753C" w:rsidRDefault="003D5367">
      <w:pPr>
        <w:pStyle w:val="a9"/>
        <w:rPr>
          <w:rFonts w:cs="AL-Mateen"/>
          <w:rtl/>
        </w:rPr>
      </w:pPr>
      <w:r w:rsidRPr="006F753C">
        <w:rPr>
          <w:rFonts w:cs="AL-Mateen"/>
          <w:rtl/>
        </w:rPr>
        <w:lastRenderedPageBreak/>
        <w:t>[ الـقـاعـدة الـ</w:t>
      </w:r>
      <w:r w:rsidRPr="006F753C">
        <w:rPr>
          <w:rFonts w:cs="AL-Mateen" w:hint="cs"/>
          <w:rtl/>
        </w:rPr>
        <w:t>س</w:t>
      </w:r>
      <w:r w:rsidRPr="006F753C">
        <w:rPr>
          <w:rFonts w:cs="AL-Mateen"/>
          <w:rtl/>
        </w:rPr>
        <w:t>ـاد</w:t>
      </w:r>
      <w:r w:rsidRPr="006F753C">
        <w:rPr>
          <w:rFonts w:cs="AL-Mateen" w:hint="cs"/>
          <w:rtl/>
        </w:rPr>
        <w:t>س</w:t>
      </w:r>
      <w:r w:rsidRPr="006F753C">
        <w:rPr>
          <w:rFonts w:cs="AL-Mateen"/>
          <w:rtl/>
        </w:rPr>
        <w:t xml:space="preserve">ـة والأربـعـون </w:t>
      </w:r>
      <w:r w:rsidRPr="006F753C">
        <w:rPr>
          <w:rFonts w:cs="AL-Mateen" w:hint="eastAsia"/>
          <w:rtl/>
        </w:rPr>
        <w:t>بـعـد</w:t>
      </w:r>
      <w:r w:rsidRPr="006F753C">
        <w:rPr>
          <w:rFonts w:cs="AL-Mateen"/>
          <w:rtl/>
        </w:rPr>
        <w:t xml:space="preserve"> الـمـائـتـيـن ]</w:t>
      </w:r>
    </w:p>
    <w:p w:rsidR="003D5367" w:rsidRDefault="003D5367">
      <w:pPr>
        <w:rPr>
          <w:rtl/>
        </w:rPr>
      </w:pPr>
      <w:r>
        <w:rPr>
          <w:rFonts w:cs="Monotype Koufi" w:hint="cs"/>
          <w:rtl/>
        </w:rPr>
        <w:t>الموتُ يُنَافِي المُوجِبَ لاَ المُبْطِلَ</w:t>
      </w:r>
      <w:r>
        <w:rPr>
          <w:rFonts w:hint="cs"/>
          <w:vertAlign w:val="superscript"/>
          <w:rtl/>
        </w:rPr>
        <w:t>(</w:t>
      </w:r>
      <w:r>
        <w:rPr>
          <w:rStyle w:val="a7"/>
          <w:rtl/>
        </w:rPr>
        <w:footnoteReference w:id="5051"/>
      </w:r>
      <w:r>
        <w:rPr>
          <w:rFonts w:hint="cs"/>
          <w:vertAlign w:val="superscript"/>
          <w:rtl/>
        </w:rPr>
        <w:t>)</w:t>
      </w:r>
      <w:r>
        <w:rPr>
          <w:rFonts w:hint="cs"/>
          <w:rtl/>
        </w:rPr>
        <w:t xml:space="preserve"> :</w:t>
      </w:r>
    </w:p>
    <w:p w:rsidR="003D5367" w:rsidRDefault="003D5367">
      <w:pPr>
        <w:rPr>
          <w:spacing w:val="6"/>
          <w:rtl/>
        </w:rPr>
      </w:pPr>
      <w:r>
        <w:rPr>
          <w:rFonts w:hint="cs"/>
          <w:spacing w:val="6"/>
          <w:rtl/>
        </w:rPr>
        <w:t xml:space="preserve">فلو قال : </w:t>
      </w:r>
      <w:r>
        <w:rPr>
          <w:rFonts w:hint="cs"/>
          <w:rtl/>
        </w:rPr>
        <w:t>أنت طالق إن</w:t>
      </w:r>
      <w:r>
        <w:rPr>
          <w:rFonts w:hint="cs"/>
          <w:spacing w:val="6"/>
          <w:rtl/>
        </w:rPr>
        <w:t xml:space="preserve"> شاء الله تعالى. [و]</w:t>
      </w:r>
      <w:r>
        <w:rPr>
          <w:rStyle w:val="a7"/>
          <w:spacing w:val="6"/>
          <w:rtl/>
        </w:rPr>
        <w:footnoteReference w:id="5052"/>
      </w:r>
      <w:r>
        <w:rPr>
          <w:rFonts w:hint="cs"/>
          <w:spacing w:val="6"/>
          <w:rtl/>
        </w:rPr>
        <w:t xml:space="preserve"> ماتت</w:t>
      </w:r>
      <w:r>
        <w:rPr>
          <w:rStyle w:val="a7"/>
          <w:spacing w:val="6"/>
          <w:rtl/>
        </w:rPr>
        <w:footnoteReference w:id="5053"/>
      </w:r>
      <w:r>
        <w:rPr>
          <w:rFonts w:hint="cs"/>
          <w:spacing w:val="6"/>
          <w:rtl/>
        </w:rPr>
        <w:t xml:space="preserve"> قبل</w:t>
      </w:r>
      <w:r>
        <w:rPr>
          <w:rStyle w:val="a7"/>
          <w:spacing w:val="6"/>
          <w:rtl/>
        </w:rPr>
        <w:footnoteReference w:id="5054"/>
      </w:r>
      <w:r>
        <w:rPr>
          <w:rFonts w:hint="cs"/>
          <w:spacing w:val="6"/>
          <w:rtl/>
        </w:rPr>
        <w:t xml:space="preserve"> ذكر الشرط : </w:t>
      </w:r>
      <w:r>
        <w:rPr>
          <w:rFonts w:hint="eastAsia"/>
          <w:spacing w:val="6"/>
          <w:rtl/>
        </w:rPr>
        <w:t>«</w:t>
      </w:r>
      <w:r>
        <w:rPr>
          <w:rFonts w:hint="cs"/>
          <w:spacing w:val="6"/>
          <w:rtl/>
        </w:rPr>
        <w:t>لم يقع الطّلاق؛ لأن الكلام خرج بالاستثناء</w:t>
      </w:r>
      <w:r>
        <w:rPr>
          <w:rFonts w:hint="cs"/>
          <w:spacing w:val="6"/>
          <w:vertAlign w:val="superscript"/>
          <w:rtl/>
        </w:rPr>
        <w:t>(</w:t>
      </w:r>
      <w:r>
        <w:rPr>
          <w:rStyle w:val="a7"/>
          <w:spacing w:val="6"/>
          <w:rtl/>
        </w:rPr>
        <w:footnoteReference w:id="5055"/>
      </w:r>
      <w:r>
        <w:rPr>
          <w:rFonts w:hint="cs"/>
          <w:spacing w:val="6"/>
          <w:vertAlign w:val="superscript"/>
          <w:rtl/>
        </w:rPr>
        <w:t>)</w:t>
      </w:r>
      <w:r>
        <w:rPr>
          <w:rFonts w:hint="cs"/>
          <w:spacing w:val="6"/>
          <w:rtl/>
        </w:rPr>
        <w:t xml:space="preserve"> أن يكون إيجابًا، وإذا بطل الإيجاب بطل الحكم</w:t>
      </w:r>
      <w:r>
        <w:rPr>
          <w:rFonts w:hint="eastAsia"/>
          <w:spacing w:val="6"/>
          <w:rtl/>
        </w:rPr>
        <w:t>»</w:t>
      </w:r>
      <w:r>
        <w:rPr>
          <w:rFonts w:hint="cs"/>
          <w:spacing w:val="6"/>
          <w:vertAlign w:val="superscript"/>
          <w:rtl/>
        </w:rPr>
        <w:t>(</w:t>
      </w:r>
      <w:r>
        <w:rPr>
          <w:rStyle w:val="a7"/>
          <w:spacing w:val="6"/>
          <w:rtl/>
        </w:rPr>
        <w:footnoteReference w:id="5056"/>
      </w:r>
      <w:r>
        <w:rPr>
          <w:rFonts w:hint="cs"/>
          <w:spacing w:val="6"/>
          <w:vertAlign w:val="superscript"/>
          <w:rtl/>
        </w:rPr>
        <w:t>)</w:t>
      </w:r>
      <w:r>
        <w:rPr>
          <w:rFonts w:hint="cs"/>
          <w:spacing w:val="6"/>
          <w:rtl/>
        </w:rPr>
        <w:t>.</w:t>
      </w:r>
    </w:p>
    <w:p w:rsidR="003D5367" w:rsidRDefault="003D5367">
      <w:pPr>
        <w:rPr>
          <w:rtl/>
        </w:rPr>
      </w:pPr>
      <w:r>
        <w:rPr>
          <w:rFonts w:hint="cs"/>
          <w:b/>
          <w:bCs/>
          <w:rtl/>
        </w:rPr>
        <w:t>ولا يقال</w:t>
      </w:r>
      <w:r>
        <w:rPr>
          <w:rFonts w:hint="cs"/>
          <w:rtl/>
        </w:rPr>
        <w:t xml:space="preserve"> : </w:t>
      </w:r>
      <w:r>
        <w:rPr>
          <w:rFonts w:hint="eastAsia"/>
          <w:rtl/>
        </w:rPr>
        <w:t>«</w:t>
      </w:r>
      <w:r>
        <w:rPr>
          <w:rFonts w:hint="cs"/>
          <w:rtl/>
        </w:rPr>
        <w:t>الإيجاب يوجد</w:t>
      </w:r>
      <w:r>
        <w:rPr>
          <w:rFonts w:hint="cs"/>
          <w:vertAlign w:val="superscript"/>
          <w:rtl/>
        </w:rPr>
        <w:t>(</w:t>
      </w:r>
      <w:r>
        <w:rPr>
          <w:rStyle w:val="a7"/>
          <w:rtl/>
        </w:rPr>
        <w:footnoteReference w:id="5057"/>
      </w:r>
      <w:r>
        <w:rPr>
          <w:rFonts w:hint="cs"/>
          <w:vertAlign w:val="superscript"/>
          <w:rtl/>
        </w:rPr>
        <w:t>)</w:t>
      </w:r>
      <w:r>
        <w:rPr>
          <w:rFonts w:hint="cs"/>
          <w:rtl/>
        </w:rPr>
        <w:t xml:space="preserve"> في حياتها، والاستثناء بعدها، فيكون باطلاً؛ لعدم المحل، وإذا بطل الاستثناء صح الإيجاب، فيقع الطلاق!</w:t>
      </w:r>
      <w:r>
        <w:rPr>
          <w:rFonts w:hint="eastAsia"/>
          <w:rtl/>
        </w:rPr>
        <w:t>»</w:t>
      </w:r>
      <w:r>
        <w:rPr>
          <w:rFonts w:hint="cs"/>
          <w:vertAlign w:val="superscript"/>
          <w:rtl/>
        </w:rPr>
        <w:t>(</w:t>
      </w:r>
      <w:r>
        <w:rPr>
          <w:rStyle w:val="a7"/>
          <w:rtl/>
        </w:rPr>
        <w:footnoteReference w:id="5058"/>
      </w:r>
      <w:r>
        <w:rPr>
          <w:rFonts w:hint="cs"/>
          <w:vertAlign w:val="superscript"/>
          <w:rtl/>
        </w:rPr>
        <w:t>)</w:t>
      </w:r>
      <w:r>
        <w:rPr>
          <w:rFonts w:hint="cs"/>
          <w:rtl/>
        </w:rPr>
        <w:t>.</w:t>
      </w:r>
    </w:p>
    <w:p w:rsidR="003D5367" w:rsidRDefault="003D5367">
      <w:pPr>
        <w:rPr>
          <w:rtl/>
        </w:rPr>
      </w:pPr>
      <w:r>
        <w:rPr>
          <w:rFonts w:hint="cs"/>
          <w:b/>
          <w:bCs/>
          <w:rtl/>
        </w:rPr>
        <w:t>أجيب</w:t>
      </w:r>
      <w:r>
        <w:rPr>
          <w:rFonts w:hint="cs"/>
          <w:rtl/>
        </w:rPr>
        <w:t xml:space="preserve"> بأنَّ </w:t>
      </w:r>
      <w:r>
        <w:rPr>
          <w:rFonts w:hint="eastAsia"/>
          <w:rtl/>
        </w:rPr>
        <w:t>«</w:t>
      </w:r>
      <w:r>
        <w:rPr>
          <w:rFonts w:hint="cs"/>
          <w:rtl/>
        </w:rPr>
        <w:t xml:space="preserve">الموت ينافي الموجِبَ دون المبطل. يعني : أنَّ الإيجاب لو اتصل </w:t>
      </w:r>
      <w:r>
        <w:rPr>
          <w:rFonts w:hint="cs"/>
          <w:rtl/>
        </w:rPr>
        <w:lastRenderedPageBreak/>
        <w:t>بالموت، بأن تموتَ</w:t>
      </w:r>
      <w:r>
        <w:rPr>
          <w:rStyle w:val="a7"/>
          <w:rtl/>
        </w:rPr>
        <w:footnoteReference w:id="5059"/>
      </w:r>
      <w:r>
        <w:rPr>
          <w:rFonts w:hint="cs"/>
          <w:rtl/>
        </w:rPr>
        <w:t xml:space="preserve"> قبل تمام قوله : أنتِ طالق : بطل.</w:t>
      </w:r>
    </w:p>
    <w:p w:rsidR="003D5367" w:rsidRDefault="003D5367">
      <w:pPr>
        <w:rPr>
          <w:rtl/>
        </w:rPr>
      </w:pPr>
      <w:r>
        <w:rPr>
          <w:rFonts w:hint="cs"/>
          <w:rtl/>
        </w:rPr>
        <w:t>وأما المبطل (وهو الاستثناء أو الشرط) فلا يبطل؛ لأنَّ مبطل الشيء ما</w:t>
      </w:r>
      <w:r>
        <w:rPr>
          <w:rStyle w:val="a7"/>
          <w:rtl/>
        </w:rPr>
        <w:footnoteReference w:id="5060"/>
      </w:r>
      <w:r>
        <w:rPr>
          <w:rFonts w:hint="cs"/>
          <w:rtl/>
        </w:rPr>
        <w:t xml:space="preserve"> ينافيه، ولا منافاة بين مُبْطلٍ ومبطل، بخلاف الموجب (وهو قوله : أنت طالق) ينافي المبطل (وهو الاستثناء) فيبطله</w:t>
      </w:r>
      <w:r>
        <w:rPr>
          <w:rFonts w:hint="eastAsia"/>
          <w:rtl/>
        </w:rPr>
        <w:t>»</w:t>
      </w:r>
      <w:r>
        <w:rPr>
          <w:rFonts w:hint="cs"/>
          <w:vertAlign w:val="superscript"/>
          <w:rtl/>
        </w:rPr>
        <w:t>(</w:t>
      </w:r>
      <w:r>
        <w:rPr>
          <w:rStyle w:val="a7"/>
          <w:rtl/>
        </w:rPr>
        <w:footnoteReference w:id="5061"/>
      </w:r>
      <w:r>
        <w:rPr>
          <w:rFonts w:hint="cs"/>
          <w:vertAlign w:val="superscript"/>
          <w:rtl/>
        </w:rPr>
        <w:t>)</w:t>
      </w:r>
      <w:r>
        <w:rPr>
          <w:rFonts w:hint="cs"/>
          <w:rtl/>
        </w:rPr>
        <w:t>.</w:t>
      </w:r>
    </w:p>
    <w:p w:rsidR="003D5367" w:rsidRDefault="003D5367">
      <w:pPr>
        <w:rPr>
          <w:rtl/>
        </w:rPr>
      </w:pPr>
    </w:p>
    <w:p w:rsidR="003D5367" w:rsidRDefault="003D5367">
      <w:pPr>
        <w:rPr>
          <w:rtl/>
        </w:rPr>
      </w:pPr>
    </w:p>
    <w:p w:rsidR="003D5367" w:rsidRDefault="003D536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6051F">
          <w:headerReference w:type="default" r:id="rId30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4D3A77" w:rsidRDefault="003D5367">
      <w:pPr>
        <w:pStyle w:val="a9"/>
        <w:rPr>
          <w:rFonts w:cs="AL-Mateen"/>
          <w:rtl/>
        </w:rPr>
      </w:pPr>
      <w:r w:rsidRPr="004D3A77">
        <w:rPr>
          <w:rFonts w:cs="AL-Mateen" w:hint="cs"/>
          <w:rtl/>
        </w:rPr>
        <w:lastRenderedPageBreak/>
        <w:t>[ الـقـاعـدة الـسـابـعـة والأربـعـون بـعـد الـمـائـتـيـن ]</w:t>
      </w:r>
    </w:p>
    <w:p w:rsidR="003D5367" w:rsidRDefault="003D5367">
      <w:pPr>
        <w:rPr>
          <w:rtl/>
        </w:rPr>
      </w:pPr>
      <w:r>
        <w:rPr>
          <w:rFonts w:cs="Monotype Koufi" w:hint="cs"/>
          <w:rtl/>
        </w:rPr>
        <w:t>النَصُّ : مِنْ وُجُوهِ البَيَانِ، يَتَرَجَّحُ عَلَى الظَّاهِرِ، والمفسَّرُ عليهما، والمُحْكَمُ</w:t>
      </w:r>
      <w:r>
        <w:rPr>
          <w:rStyle w:val="a7"/>
          <w:rtl/>
        </w:rPr>
        <w:footnoteReference w:id="5062"/>
      </w:r>
      <w:r>
        <w:rPr>
          <w:rFonts w:hint="cs"/>
          <w:rtl/>
        </w:rPr>
        <w:t xml:space="preserve"> </w:t>
      </w:r>
      <w:r>
        <w:rPr>
          <w:rFonts w:cs="Monotype Koufi" w:hint="cs"/>
          <w:rtl/>
        </w:rPr>
        <w:t>على الكُلِّ</w:t>
      </w:r>
      <w:r>
        <w:rPr>
          <w:rFonts w:hint="cs"/>
          <w:vertAlign w:val="superscript"/>
          <w:rtl/>
        </w:rPr>
        <w:t>(</w:t>
      </w:r>
      <w:r>
        <w:rPr>
          <w:rStyle w:val="a7"/>
          <w:rtl/>
        </w:rPr>
        <w:footnoteReference w:id="5063"/>
      </w:r>
      <w:r>
        <w:rPr>
          <w:rFonts w:hint="cs"/>
          <w:vertAlign w:val="superscript"/>
          <w:rtl/>
        </w:rPr>
        <w:t>)</w:t>
      </w:r>
      <w:r>
        <w:rPr>
          <w:rFonts w:hint="cs"/>
          <w:rtl/>
        </w:rPr>
        <w:t xml:space="preserve"> :</w:t>
      </w:r>
    </w:p>
    <w:p w:rsidR="003D5367" w:rsidRDefault="003D5367">
      <w:pPr>
        <w:rPr>
          <w:rtl/>
        </w:rPr>
      </w:pPr>
      <w:r>
        <w:rPr>
          <w:rFonts w:hint="eastAsia"/>
          <w:rtl/>
        </w:rPr>
        <w:lastRenderedPageBreak/>
        <w:t>«</w:t>
      </w:r>
      <w:r>
        <w:rPr>
          <w:rFonts w:hint="cs"/>
          <w:rtl/>
        </w:rPr>
        <w:t>فعند التعارض يترجّح القويّ على الأدنى</w:t>
      </w:r>
      <w:r>
        <w:rPr>
          <w:rFonts w:hint="eastAsia"/>
          <w:rtl/>
        </w:rPr>
        <w:t>»</w:t>
      </w:r>
      <w:r>
        <w:rPr>
          <w:rFonts w:hint="cs"/>
          <w:vertAlign w:val="superscript"/>
          <w:rtl/>
        </w:rPr>
        <w:t>(</w:t>
      </w:r>
      <w:r>
        <w:rPr>
          <w:rStyle w:val="a7"/>
          <w:rtl/>
        </w:rPr>
        <w:footnoteReference w:id="5064"/>
      </w:r>
      <w:r>
        <w:rPr>
          <w:rFonts w:hint="cs"/>
          <w:vertAlign w:val="superscript"/>
          <w:rtl/>
        </w:rPr>
        <w:t>)</w:t>
      </w:r>
      <w:r>
        <w:rPr>
          <w:rFonts w:hint="cs"/>
          <w:rtl/>
        </w:rPr>
        <w:t>.</w:t>
      </w:r>
    </w:p>
    <w:p w:rsidR="003D5367" w:rsidRDefault="003D5367">
      <w:pPr>
        <w:rPr>
          <w:b/>
          <w:bCs/>
          <w:rtl/>
        </w:rPr>
      </w:pPr>
      <w:r>
        <w:rPr>
          <w:rFonts w:hint="cs"/>
          <w:b/>
          <w:bCs/>
          <w:rtl/>
        </w:rPr>
        <w:t xml:space="preserve"> </w:t>
      </w:r>
      <w:r>
        <w:rPr>
          <w:b/>
          <w:bCs/>
          <w:rtl/>
        </w:rPr>
        <w:t>•</w:t>
      </w:r>
      <w:r>
        <w:rPr>
          <w:rFonts w:hint="cs"/>
          <w:b/>
          <w:bCs/>
          <w:rtl/>
        </w:rPr>
        <w:t xml:space="preserve"> مثال التعارض بين الظاهر والنص :</w:t>
      </w:r>
    </w:p>
    <w:p w:rsidR="003D5367" w:rsidRDefault="003D5367" w:rsidP="003D5367">
      <w:pPr>
        <w:ind w:left="567" w:firstLine="0"/>
        <w:rPr>
          <w:rtl/>
        </w:rPr>
      </w:pPr>
      <w:r>
        <w:rPr>
          <w:rFonts w:hint="cs"/>
          <w:rtl/>
        </w:rPr>
        <w:t>ما [لو]</w:t>
      </w:r>
      <w:r>
        <w:rPr>
          <w:rFonts w:hint="cs"/>
          <w:vertAlign w:val="superscript"/>
          <w:rtl/>
        </w:rPr>
        <w:t>(</w:t>
      </w:r>
      <w:r>
        <w:rPr>
          <w:rStyle w:val="a7"/>
          <w:rtl/>
        </w:rPr>
        <w:footnoteReference w:id="5065"/>
      </w:r>
      <w:r>
        <w:rPr>
          <w:rFonts w:hint="cs"/>
          <w:vertAlign w:val="superscript"/>
          <w:rtl/>
        </w:rPr>
        <w:t>)</w:t>
      </w:r>
      <w:r>
        <w:rPr>
          <w:rFonts w:hint="cs"/>
          <w:rtl/>
        </w:rPr>
        <w:t xml:space="preserve"> قال الزوج لامرأته : طلِّقي نفسك. فقالت : أبنت نفسي : يقع تطليقة رجعيّة؛ لأن قولها</w:t>
      </w:r>
      <w:r>
        <w:rPr>
          <w:rStyle w:val="a7"/>
          <w:rtl/>
        </w:rPr>
        <w:footnoteReference w:id="5066"/>
      </w:r>
      <w:r>
        <w:rPr>
          <w:rFonts w:hint="cs"/>
          <w:rtl/>
        </w:rPr>
        <w:t xml:space="preserve"> (أبنتُ نفسي) ظاهرٌ في الإبانة؛ لأن الظاهرَ : ما ظهر المراد منه بنفس الصيغة، وقول الزوج لامرأته</w:t>
      </w:r>
      <w:r>
        <w:rPr>
          <w:rStyle w:val="a7"/>
          <w:rtl/>
        </w:rPr>
        <w:footnoteReference w:id="5067"/>
      </w:r>
      <w:r>
        <w:rPr>
          <w:rFonts w:hint="cs"/>
          <w:rtl/>
        </w:rPr>
        <w:t>: (طلقي نفسك) نصٌّ في الطلاق الرجعي. وكلامها خُرِّجَ جوابًا لِـ (طلّقي)، فرُجِّح</w:t>
      </w:r>
      <w:r>
        <w:rPr>
          <w:rStyle w:val="a7"/>
          <w:rtl/>
        </w:rPr>
        <w:footnoteReference w:id="5068"/>
      </w:r>
      <w:r>
        <w:rPr>
          <w:rFonts w:hint="cs"/>
          <w:rtl/>
        </w:rPr>
        <w:t xml:space="preserve"> النص على الظاهر؛ لأن النصّ ما زاد وضوحًا على الظاهر بمعنى في المتكلّم</w:t>
      </w:r>
      <w:r>
        <w:rPr>
          <w:rStyle w:val="a7"/>
          <w:rtl/>
        </w:rPr>
        <w:footnoteReference w:id="5069"/>
      </w:r>
      <w:r>
        <w:rPr>
          <w:rFonts w:hint="cs"/>
          <w:rtl/>
        </w:rPr>
        <w:t>.</w:t>
      </w:r>
    </w:p>
    <w:p w:rsidR="003D5367" w:rsidRDefault="003D5367" w:rsidP="003D5367">
      <w:pPr>
        <w:ind w:left="567" w:firstLine="0"/>
        <w:rPr>
          <w:rtl/>
        </w:rPr>
      </w:pPr>
      <w:r>
        <w:rPr>
          <w:rFonts w:hint="cs"/>
          <w:b/>
          <w:bCs/>
          <w:rtl/>
        </w:rPr>
        <w:t>وتقريره</w:t>
      </w:r>
      <w:r>
        <w:rPr>
          <w:rFonts w:hint="cs"/>
          <w:rtl/>
        </w:rPr>
        <w:t xml:space="preserve"> : أن الزوج فوّض إليها طلاقًا تَبِيْنُ به عند عدم المراجعة إلى انقضاء</w:t>
      </w:r>
      <w:r>
        <w:rPr>
          <w:rStyle w:val="a7"/>
          <w:rtl/>
        </w:rPr>
        <w:footnoteReference w:id="5070"/>
      </w:r>
      <w:r>
        <w:rPr>
          <w:rFonts w:hint="cs"/>
          <w:rtl/>
        </w:rPr>
        <w:t xml:space="preserve"> العدّة. فإذا قالت : (أبنتُ)، فقد أتت به</w:t>
      </w:r>
      <w:r>
        <w:rPr>
          <w:rStyle w:val="a7"/>
          <w:rtl/>
        </w:rPr>
        <w:footnoteReference w:id="5071"/>
      </w:r>
      <w:r>
        <w:rPr>
          <w:rFonts w:hint="cs"/>
          <w:rtl/>
        </w:rPr>
        <w:t>، وزادت وصفًا (وهو تعجّل</w:t>
      </w:r>
      <w:r>
        <w:rPr>
          <w:rStyle w:val="a7"/>
          <w:rtl/>
        </w:rPr>
        <w:footnoteReference w:id="5072"/>
      </w:r>
      <w:r>
        <w:rPr>
          <w:rFonts w:hint="cs"/>
          <w:rtl/>
        </w:rPr>
        <w:t xml:space="preserve"> الإبانة) فلا يمنع الموافقة في الأصل، ويلغو الوصف</w:t>
      </w:r>
      <w:r>
        <w:rPr>
          <w:rFonts w:hint="cs"/>
          <w:vertAlign w:val="superscript"/>
          <w:rtl/>
        </w:rPr>
        <w:t>(</w:t>
      </w:r>
      <w:r>
        <w:rPr>
          <w:rStyle w:val="a7"/>
          <w:rtl/>
        </w:rPr>
        <w:footnoteReference w:id="5073"/>
      </w:r>
      <w:r>
        <w:rPr>
          <w:rFonts w:hint="cs"/>
          <w:vertAlign w:val="superscript"/>
          <w:rtl/>
        </w:rPr>
        <w:t>)</w:t>
      </w:r>
      <w:r>
        <w:rPr>
          <w:rFonts w:hint="cs"/>
          <w:rtl/>
        </w:rPr>
        <w:t>.</w:t>
      </w:r>
    </w:p>
    <w:p w:rsidR="003D5367" w:rsidRDefault="003D5367">
      <w:pPr>
        <w:rPr>
          <w:b/>
          <w:bCs/>
          <w:rtl/>
        </w:rPr>
      </w:pPr>
      <w:r>
        <w:rPr>
          <w:rFonts w:ascii="Wingdings" w:hAnsi="Wingdings"/>
          <w:b/>
          <w:bCs/>
        </w:rPr>
        <w:t></w:t>
      </w:r>
      <w:r>
        <w:rPr>
          <w:rFonts w:hint="cs"/>
          <w:b/>
          <w:bCs/>
          <w:rtl/>
        </w:rPr>
        <w:t xml:space="preserve"> ومثال التعارض بين النصّ والمفسّر :</w:t>
      </w:r>
    </w:p>
    <w:p w:rsidR="003D5367" w:rsidRDefault="003D5367">
      <w:pPr>
        <w:rPr>
          <w:spacing w:val="-4"/>
          <w:rtl/>
        </w:rPr>
      </w:pPr>
      <w:r>
        <w:rPr>
          <w:rFonts w:hint="eastAsia"/>
          <w:spacing w:val="-4"/>
          <w:rtl/>
        </w:rPr>
        <w:lastRenderedPageBreak/>
        <w:t>«</w:t>
      </w:r>
      <w:r>
        <w:rPr>
          <w:rFonts w:hint="cs"/>
          <w:spacing w:val="-4"/>
          <w:rtl/>
        </w:rPr>
        <w:t>إذا تـزوج امـرأة إلى [شـهر]</w:t>
      </w:r>
      <w:r>
        <w:rPr>
          <w:rStyle w:val="a7"/>
          <w:spacing w:val="-4"/>
          <w:rtl/>
        </w:rPr>
        <w:footnoteReference w:id="5074"/>
      </w:r>
      <w:r>
        <w:rPr>
          <w:rFonts w:hint="cs"/>
          <w:spacing w:val="-4"/>
          <w:rtl/>
        </w:rPr>
        <w:t xml:space="preserve"> : أنه يكون مُتْعَةً</w:t>
      </w:r>
      <w:r>
        <w:rPr>
          <w:rStyle w:val="a7"/>
          <w:spacing w:val="-4"/>
          <w:rtl/>
        </w:rPr>
        <w:footnoteReference w:id="5075"/>
      </w:r>
      <w:r>
        <w:rPr>
          <w:rFonts w:hint="cs"/>
          <w:spacing w:val="-4"/>
          <w:rtl/>
        </w:rPr>
        <w:t>، لا نِكاحًا؛ لأن قـولـه :</w:t>
      </w:r>
    </w:p>
    <w:p w:rsidR="003D5367" w:rsidRDefault="003D5367" w:rsidP="003D5367">
      <w:pPr>
        <w:ind w:left="567" w:firstLine="0"/>
        <w:rPr>
          <w:spacing w:val="-4"/>
          <w:rtl/>
        </w:rPr>
      </w:pPr>
      <w:r>
        <w:rPr>
          <w:rFonts w:hint="cs"/>
          <w:spacing w:val="-4"/>
          <w:rtl/>
        </w:rPr>
        <w:t>(تزوجتكِ) نصٌّ في النكاح، لكنه يحتمل المتعة مجازًا. وقوله</w:t>
      </w:r>
      <w:r>
        <w:rPr>
          <w:rStyle w:val="a7"/>
          <w:spacing w:val="-4"/>
          <w:rtl/>
        </w:rPr>
        <w:footnoteReference w:id="5076"/>
      </w:r>
      <w:r>
        <w:rPr>
          <w:rFonts w:hint="cs"/>
          <w:spacing w:val="-4"/>
          <w:rtl/>
        </w:rPr>
        <w:t xml:space="preserve"> : (إلى شهر)</w:t>
      </w:r>
      <w:r>
        <w:rPr>
          <w:rStyle w:val="a7"/>
          <w:spacing w:val="-4"/>
          <w:rtl/>
        </w:rPr>
        <w:footnoteReference w:id="5077"/>
      </w:r>
      <w:r>
        <w:rPr>
          <w:rFonts w:hint="cs"/>
          <w:spacing w:val="-4"/>
          <w:rtl/>
        </w:rPr>
        <w:t xml:space="preserve"> : مفسِّر للمتعة. فلم يبق احتمال النكاح؛ لأنه</w:t>
      </w:r>
      <w:r>
        <w:rPr>
          <w:rFonts w:hint="cs"/>
          <w:spacing w:val="-4"/>
          <w:vertAlign w:val="superscript"/>
          <w:rtl/>
        </w:rPr>
        <w:t>(</w:t>
      </w:r>
      <w:r>
        <w:rPr>
          <w:rStyle w:val="a7"/>
          <w:spacing w:val="-4"/>
          <w:rtl/>
        </w:rPr>
        <w:footnoteReference w:id="5078"/>
      </w:r>
      <w:r>
        <w:rPr>
          <w:rFonts w:hint="cs"/>
          <w:spacing w:val="-4"/>
          <w:vertAlign w:val="superscript"/>
          <w:rtl/>
        </w:rPr>
        <w:t>)</w:t>
      </w:r>
      <w:r>
        <w:rPr>
          <w:rFonts w:hint="cs"/>
          <w:spacing w:val="-4"/>
          <w:rtl/>
        </w:rPr>
        <w:t xml:space="preserve"> لا يحتمل التوقيت بحال، فإذا [اجتمعتا]</w:t>
      </w:r>
      <w:r>
        <w:rPr>
          <w:rStyle w:val="a7"/>
          <w:spacing w:val="-4"/>
          <w:rtl/>
        </w:rPr>
        <w:footnoteReference w:id="5079"/>
      </w:r>
      <w:r>
        <w:rPr>
          <w:rFonts w:hint="cs"/>
          <w:spacing w:val="-4"/>
          <w:rtl/>
        </w:rPr>
        <w:t xml:space="preserve"> رجّحنا المفسّر، وحملنا النصّ عليه</w:t>
      </w:r>
      <w:r>
        <w:rPr>
          <w:rFonts w:hint="eastAsia"/>
          <w:spacing w:val="-4"/>
          <w:rtl/>
        </w:rPr>
        <w:t>»</w:t>
      </w:r>
      <w:r>
        <w:rPr>
          <w:rFonts w:hint="cs"/>
          <w:spacing w:val="-4"/>
          <w:vertAlign w:val="superscript"/>
          <w:rtl/>
        </w:rPr>
        <w:t>(</w:t>
      </w:r>
      <w:r>
        <w:rPr>
          <w:rStyle w:val="a7"/>
          <w:spacing w:val="-4"/>
          <w:rtl/>
        </w:rPr>
        <w:footnoteReference w:id="5080"/>
      </w:r>
      <w:r>
        <w:rPr>
          <w:rFonts w:hint="cs"/>
          <w:spacing w:val="-4"/>
          <w:vertAlign w:val="superscript"/>
          <w:rtl/>
        </w:rPr>
        <w:t>)</w:t>
      </w:r>
      <w:r>
        <w:rPr>
          <w:rFonts w:hint="cs"/>
          <w:spacing w:val="-4"/>
          <w:rtl/>
        </w:rPr>
        <w:t>.</w:t>
      </w:r>
    </w:p>
    <w:p w:rsidR="003D5367" w:rsidRDefault="003D5367">
      <w:pPr>
        <w:rPr>
          <w:b/>
          <w:bCs/>
          <w:rtl/>
        </w:rPr>
      </w:pPr>
      <w:r>
        <w:rPr>
          <w:rFonts w:ascii="Wingdings" w:hAnsi="Wingdings"/>
          <w:b/>
          <w:bCs/>
        </w:rPr>
        <w:t></w:t>
      </w:r>
      <w:r>
        <w:rPr>
          <w:rFonts w:hint="cs"/>
          <w:b/>
          <w:bCs/>
          <w:rtl/>
        </w:rPr>
        <w:t xml:space="preserve"> ومثال التعارض بين</w:t>
      </w:r>
      <w:r>
        <w:rPr>
          <w:rStyle w:val="a7"/>
          <w:b/>
          <w:rtl/>
        </w:rPr>
        <w:footnoteReference w:id="5081"/>
      </w:r>
      <w:r>
        <w:rPr>
          <w:rFonts w:hint="cs"/>
          <w:b/>
          <w:bCs/>
          <w:rtl/>
        </w:rPr>
        <w:t xml:space="preserve"> النص والمحكم :</w:t>
      </w:r>
    </w:p>
    <w:p w:rsidR="003D5367" w:rsidRDefault="003D5367" w:rsidP="003D5367">
      <w:pPr>
        <w:ind w:left="567" w:firstLine="0"/>
        <w:rPr>
          <w:rtl/>
        </w:rPr>
      </w:pPr>
      <w:r>
        <w:rPr>
          <w:rFonts w:hint="cs"/>
          <w:rtl/>
        </w:rPr>
        <w:t xml:space="preserve">قال: </w:t>
      </w:r>
      <w:r>
        <w:rPr>
          <w:rFonts w:hint="eastAsia"/>
          <w:rtl/>
        </w:rPr>
        <w:t>«</w:t>
      </w:r>
      <w:r>
        <w:rPr>
          <w:rFonts w:hint="cs"/>
          <w:rtl/>
        </w:rPr>
        <w:t>داري لك هبة سكنى : فإنه عارية لا هبة؛ لأن قوله : (داري لك) نصٌّ في تمليك الرقبة، ولكن يحتمل تمليك الـمـنفعة</w:t>
      </w:r>
      <w:r>
        <w:rPr>
          <w:rStyle w:val="a7"/>
          <w:rtl/>
        </w:rPr>
        <w:footnoteReference w:id="5082"/>
      </w:r>
      <w:r>
        <w:rPr>
          <w:rFonts w:hint="eastAsia"/>
          <w:rtl/>
        </w:rPr>
        <w:t>»</w:t>
      </w:r>
      <w:r>
        <w:rPr>
          <w:rFonts w:hint="cs"/>
          <w:vertAlign w:val="superscript"/>
          <w:rtl/>
        </w:rPr>
        <w:t>(</w:t>
      </w:r>
      <w:r>
        <w:rPr>
          <w:rStyle w:val="a7"/>
          <w:rtl/>
        </w:rPr>
        <w:footnoteReference w:id="5083"/>
      </w:r>
      <w:r>
        <w:rPr>
          <w:rFonts w:hint="cs"/>
          <w:vertAlign w:val="superscript"/>
          <w:rtl/>
        </w:rPr>
        <w:t>)</w:t>
      </w:r>
      <w:r>
        <w:rPr>
          <w:rFonts w:hint="eastAsia"/>
          <w:rtl/>
        </w:rPr>
        <w:t xml:space="preserve"> «</w:t>
      </w:r>
      <w:r>
        <w:rPr>
          <w:rFonts w:hint="cs"/>
          <w:rtl/>
        </w:rPr>
        <w:t>فكـان أوّل كـلامـه مـحتـملاً لتـمليـك السـكـنى</w:t>
      </w:r>
      <w:r>
        <w:rPr>
          <w:rStyle w:val="a7"/>
          <w:rtl/>
        </w:rPr>
        <w:footnoteReference w:id="5084"/>
      </w:r>
      <w:r>
        <w:rPr>
          <w:rFonts w:hint="cs"/>
          <w:rtl/>
        </w:rPr>
        <w:t xml:space="preserve">. وقـولـه: (سـكنى) مـحكمٌ في تـمليـك المنفعة </w:t>
      </w:r>
      <w:r>
        <w:rPr>
          <w:rFonts w:hint="cs"/>
          <w:rtl/>
        </w:rPr>
        <w:lastRenderedPageBreak/>
        <w:t>(بـمعنى أنـه لا يـحتمل إلا وجـهًا واحـدًا) فحينئذٍ</w:t>
      </w:r>
      <w:r>
        <w:rPr>
          <w:rFonts w:hint="cs"/>
          <w:vertAlign w:val="superscript"/>
          <w:rtl/>
        </w:rPr>
        <w:t>(</w:t>
      </w:r>
      <w:r>
        <w:rPr>
          <w:rStyle w:val="a7"/>
          <w:rtl/>
        </w:rPr>
        <w:footnoteReference w:id="5085"/>
      </w:r>
      <w:r>
        <w:rPr>
          <w:rFonts w:hint="cs"/>
          <w:vertAlign w:val="superscript"/>
          <w:rtl/>
        </w:rPr>
        <w:t>)</w:t>
      </w:r>
      <w:r>
        <w:rPr>
          <w:rFonts w:hint="cs"/>
          <w:rtl/>
        </w:rPr>
        <w:t xml:space="preserve"> </w:t>
      </w:r>
      <w:r w:rsidRPr="00EF5DFF">
        <w:rPr>
          <w:rFonts w:hint="cs"/>
          <w:spacing w:val="-2"/>
          <w:rtl/>
        </w:rPr>
        <w:t>لا يحتمل تمليك</w:t>
      </w:r>
      <w:r w:rsidRPr="00EF5DFF">
        <w:rPr>
          <w:rStyle w:val="a7"/>
          <w:spacing w:val="-2"/>
          <w:rtl/>
        </w:rPr>
        <w:footnoteReference w:id="5086"/>
      </w:r>
      <w:r w:rsidRPr="00EF5DFF">
        <w:rPr>
          <w:rFonts w:hint="cs"/>
          <w:spacing w:val="-2"/>
          <w:rtl/>
        </w:rPr>
        <w:t xml:space="preserve"> [الرقبة]</w:t>
      </w:r>
      <w:r w:rsidRPr="00EF5DFF">
        <w:rPr>
          <w:rStyle w:val="a7"/>
          <w:spacing w:val="-2"/>
          <w:rtl/>
        </w:rPr>
        <w:footnoteReference w:id="5087"/>
      </w:r>
      <w:r w:rsidRPr="00EF5DFF">
        <w:rPr>
          <w:rFonts w:hint="cs"/>
          <w:spacing w:val="-2"/>
          <w:rtl/>
        </w:rPr>
        <w:t xml:space="preserve"> وإ</w:t>
      </w:r>
      <w:r w:rsidRPr="00377684">
        <w:rPr>
          <w:rFonts w:hint="cs"/>
          <w:rtl/>
        </w:rPr>
        <w:t>ن  خـرج  تـفسيرًا</w:t>
      </w:r>
      <w:r w:rsidRPr="00EF5DFF">
        <w:rPr>
          <w:rFonts w:hint="cs"/>
          <w:spacing w:val="-2"/>
          <w:rtl/>
        </w:rPr>
        <w:t xml:space="preserve">  لأول</w:t>
      </w:r>
      <w:r w:rsidRPr="00EF5DFF">
        <w:rPr>
          <w:rStyle w:val="a7"/>
          <w:spacing w:val="-2"/>
          <w:rtl/>
        </w:rPr>
        <w:footnoteReference w:id="5088"/>
      </w:r>
      <w:r w:rsidRPr="00EF5DFF">
        <w:rPr>
          <w:rFonts w:hint="cs"/>
          <w:spacing w:val="-2"/>
          <w:rtl/>
        </w:rPr>
        <w:t xml:space="preserve"> </w:t>
      </w:r>
      <w:r w:rsidRPr="00377684">
        <w:rPr>
          <w:rFonts w:hint="cs"/>
          <w:spacing w:val="2"/>
          <w:rtl/>
        </w:rPr>
        <w:t>الكلام فيتغير</w:t>
      </w:r>
      <w:r w:rsidRPr="00EF5DFF">
        <w:rPr>
          <w:rStyle w:val="a7"/>
          <w:spacing w:val="-2"/>
          <w:rtl/>
        </w:rPr>
        <w:footnoteReference w:id="5089"/>
      </w:r>
      <w:r w:rsidRPr="00EF5DFF">
        <w:rPr>
          <w:rFonts w:hint="cs"/>
          <w:spacing w:val="-2"/>
          <w:rtl/>
        </w:rPr>
        <w:t xml:space="preserve"> </w:t>
      </w:r>
      <w:r>
        <w:rPr>
          <w:rFonts w:hint="cs"/>
          <w:rtl/>
        </w:rPr>
        <w:t>أول</w:t>
      </w:r>
    </w:p>
    <w:p w:rsidR="003D5367" w:rsidRDefault="003D5367">
      <w:pPr>
        <w:ind w:firstLine="0"/>
        <w:rPr>
          <w:rtl/>
        </w:rPr>
      </w:pPr>
      <w:r>
        <w:rPr>
          <w:rFonts w:hint="cs"/>
          <w:rtl/>
        </w:rPr>
        <w:t>الكلام</w:t>
      </w:r>
      <w:r>
        <w:rPr>
          <w:rStyle w:val="a7"/>
          <w:rtl/>
        </w:rPr>
        <w:footnoteReference w:id="5090"/>
      </w:r>
      <w:r>
        <w:rPr>
          <w:rFonts w:hint="cs"/>
          <w:rtl/>
        </w:rPr>
        <w:t>، فصار المحكم قاضيًا على المحتمل</w:t>
      </w:r>
      <w:r>
        <w:rPr>
          <w:rFonts w:hint="eastAsia"/>
          <w:rtl/>
        </w:rPr>
        <w:t>»</w:t>
      </w:r>
      <w:r>
        <w:rPr>
          <w:rFonts w:hint="cs"/>
          <w:vertAlign w:val="superscript"/>
          <w:rtl/>
        </w:rPr>
        <w:t>(</w:t>
      </w:r>
      <w:r>
        <w:rPr>
          <w:rStyle w:val="a7"/>
          <w:rtl/>
        </w:rPr>
        <w:footnoteReference w:id="5091"/>
      </w:r>
      <w:r>
        <w:rPr>
          <w:rFonts w:hint="cs"/>
          <w:vertAlign w:val="superscript"/>
          <w:rtl/>
        </w:rPr>
        <w:t>)</w:t>
      </w:r>
      <w:r>
        <w:rPr>
          <w:rFonts w:hint="cs"/>
          <w:rtl/>
        </w:rPr>
        <w:t>.</w:t>
      </w:r>
    </w:p>
    <w:p w:rsidR="003D5367" w:rsidRDefault="003D5367">
      <w:pPr>
        <w:ind w:firstLine="0"/>
        <w:rPr>
          <w:rtl/>
        </w:rPr>
      </w:pPr>
    </w:p>
    <w:p w:rsidR="003D5367" w:rsidRDefault="003D5367">
      <w:pPr>
        <w:ind w:firstLine="0"/>
        <w:rPr>
          <w:rtl/>
        </w:rPr>
      </w:pPr>
    </w:p>
    <w:p w:rsidR="003D5367" w:rsidRDefault="003D5367">
      <w:pPr>
        <w:jc w:val="cente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ind w:firstLine="0"/>
        <w:rPr>
          <w:rtl/>
        </w:rPr>
        <w:sectPr w:rsidR="003D5367" w:rsidSect="00F6051F">
          <w:headerReference w:type="default" r:id="rId30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010E0C" w:rsidRDefault="003D5367">
      <w:pPr>
        <w:pStyle w:val="a9"/>
        <w:rPr>
          <w:rFonts w:cs="AL-Mateen"/>
          <w:rtl/>
        </w:rPr>
      </w:pPr>
      <w:r w:rsidRPr="00010E0C">
        <w:rPr>
          <w:rFonts w:cs="AL-Mateen"/>
          <w:rtl/>
        </w:rPr>
        <w:lastRenderedPageBreak/>
        <w:t>[ الـقـاعـدة</w:t>
      </w:r>
      <w:r w:rsidRPr="00010E0C">
        <w:rPr>
          <w:rFonts w:cs="AL-Mateen" w:hint="cs"/>
          <w:rtl/>
        </w:rPr>
        <w:t xml:space="preserve"> الـثـامـنـة</w:t>
      </w:r>
      <w:r w:rsidRPr="00010E0C">
        <w:rPr>
          <w:rFonts w:cs="AL-Mateen"/>
          <w:rtl/>
        </w:rPr>
        <w:t xml:space="preserve"> </w:t>
      </w:r>
      <w:r w:rsidRPr="00010E0C">
        <w:rPr>
          <w:rFonts w:cs="AL-Mateen" w:hint="cs"/>
          <w:rtl/>
        </w:rPr>
        <w:t>و</w:t>
      </w:r>
      <w:r w:rsidRPr="00010E0C">
        <w:rPr>
          <w:rFonts w:cs="AL-Mateen"/>
          <w:rtl/>
        </w:rPr>
        <w:t xml:space="preserve">الأربـعـون </w:t>
      </w:r>
      <w:r w:rsidRPr="00010E0C">
        <w:rPr>
          <w:rFonts w:cs="AL-Mateen" w:hint="eastAsia"/>
          <w:rtl/>
        </w:rPr>
        <w:t>بـعـد</w:t>
      </w:r>
      <w:r w:rsidRPr="00010E0C">
        <w:rPr>
          <w:rFonts w:cs="AL-Mateen"/>
          <w:rtl/>
        </w:rPr>
        <w:t xml:space="preserve"> الـمـائـتـيـن ]</w:t>
      </w:r>
    </w:p>
    <w:p w:rsidR="003D5367" w:rsidRDefault="003D5367">
      <w:pPr>
        <w:rPr>
          <w:rtl/>
        </w:rPr>
      </w:pPr>
      <w:r>
        <w:rPr>
          <w:rFonts w:cs="Monotype Koufi" w:hint="cs"/>
          <w:rtl/>
        </w:rPr>
        <w:t>النَصُّ على خلافِ القياسِ يَقْتَصِرُ عَلَى مَوْرِدِهِ</w:t>
      </w:r>
      <w:r>
        <w:rPr>
          <w:rFonts w:hint="cs"/>
          <w:vertAlign w:val="superscript"/>
          <w:rtl/>
        </w:rPr>
        <w:t>(</w:t>
      </w:r>
      <w:r>
        <w:rPr>
          <w:rStyle w:val="a7"/>
          <w:rtl/>
        </w:rPr>
        <w:footnoteReference w:id="5092"/>
      </w:r>
      <w:r>
        <w:rPr>
          <w:rFonts w:hint="cs"/>
          <w:vertAlign w:val="superscript"/>
          <w:rtl/>
        </w:rPr>
        <w:t>)</w:t>
      </w:r>
      <w:r>
        <w:rPr>
          <w:rFonts w:hint="cs"/>
          <w:rtl/>
        </w:rPr>
        <w:t xml:space="preserve"> :</w:t>
      </w:r>
    </w:p>
    <w:p w:rsidR="003D5367" w:rsidRDefault="003D5367">
      <w:pPr>
        <w:rPr>
          <w:rtl/>
        </w:rPr>
      </w:pPr>
      <w:r>
        <w:rPr>
          <w:rFonts w:hint="cs"/>
          <w:rtl/>
        </w:rPr>
        <w:t xml:space="preserve">فقوله </w:t>
      </w:r>
      <w:r>
        <w:rPr>
          <w:rFonts w:ascii="AGA Arabesque" w:hAnsi="AGA Arabesque"/>
          <w:sz w:val="36"/>
        </w:rPr>
        <w:t></w:t>
      </w:r>
      <w:r>
        <w:rPr>
          <w:rFonts w:hint="cs"/>
          <w:rtl/>
        </w:rPr>
        <w:t xml:space="preserve"> لِـحَبَّان</w:t>
      </w:r>
      <w:r>
        <w:rPr>
          <w:rFonts w:hint="cs"/>
          <w:vertAlign w:val="superscript"/>
          <w:rtl/>
        </w:rPr>
        <w:t>(</w:t>
      </w:r>
      <w:r>
        <w:rPr>
          <w:rStyle w:val="a7"/>
          <w:rtl/>
        </w:rPr>
        <w:footnoteReference w:id="5093"/>
      </w:r>
      <w:r>
        <w:rPr>
          <w:rFonts w:hint="cs"/>
          <w:vertAlign w:val="superscript"/>
          <w:rtl/>
        </w:rPr>
        <w:t>)</w:t>
      </w:r>
      <w:r>
        <w:rPr>
          <w:rFonts w:hint="cs"/>
          <w:rtl/>
        </w:rPr>
        <w:t xml:space="preserve"> </w:t>
      </w:r>
      <w:r>
        <w:rPr>
          <w:rtl/>
        </w:rPr>
        <w:t>–</w:t>
      </w:r>
      <w:r>
        <w:rPr>
          <w:rFonts w:hint="cs"/>
          <w:rtl/>
        </w:rPr>
        <w:t xml:space="preserve"> فإنه إذا اشترى شيئًا يُغبن - : </w:t>
      </w:r>
      <w:r>
        <w:rPr>
          <w:rFonts w:hint="eastAsia"/>
          <w:rtl/>
        </w:rPr>
        <w:t>«</w:t>
      </w:r>
      <w:r>
        <w:rPr>
          <w:rFonts w:hint="cs"/>
          <w:rtl/>
        </w:rPr>
        <w:t xml:space="preserve"> </w:t>
      </w:r>
      <w:r>
        <w:rPr>
          <w:rFonts w:cs="DecoType Naskh" w:hint="cs"/>
          <w:sz w:val="34"/>
          <w:szCs w:val="34"/>
          <w:rtl/>
        </w:rPr>
        <w:t>إِذَا بَايَعْتَ [ فَقَُلْ : لا خِلابةَ]</w:t>
      </w:r>
      <w:r>
        <w:rPr>
          <w:rStyle w:val="a7"/>
          <w:rtl/>
        </w:rPr>
        <w:footnoteReference w:id="5094"/>
      </w:r>
      <w:r>
        <w:rPr>
          <w:rFonts w:cs="DecoType Naskh" w:hint="cs"/>
          <w:sz w:val="34"/>
          <w:szCs w:val="34"/>
          <w:rtl/>
        </w:rPr>
        <w:t>،</w:t>
      </w:r>
      <w:r>
        <w:rPr>
          <w:rFonts w:hint="cs"/>
          <w:rtl/>
        </w:rPr>
        <w:t xml:space="preserve"> </w:t>
      </w:r>
      <w:r>
        <w:rPr>
          <w:rFonts w:cs="DecoType Naskh" w:hint="cs"/>
          <w:sz w:val="34"/>
          <w:szCs w:val="34"/>
          <w:rtl/>
        </w:rPr>
        <w:t>وَلِيَ الخيارُ ثلاثةَ أيَّامٍ</w:t>
      </w:r>
      <w:r>
        <w:rPr>
          <w:rFonts w:hint="eastAsia"/>
          <w:rtl/>
        </w:rPr>
        <w:t>»</w:t>
      </w:r>
      <w:r>
        <w:rPr>
          <w:rFonts w:hint="cs"/>
          <w:vertAlign w:val="superscript"/>
          <w:rtl/>
        </w:rPr>
        <w:t>(</w:t>
      </w:r>
      <w:r>
        <w:rPr>
          <w:rStyle w:val="a7"/>
          <w:rtl/>
        </w:rPr>
        <w:footnoteReference w:id="5095"/>
      </w:r>
      <w:r>
        <w:rPr>
          <w:rFonts w:hint="cs"/>
          <w:vertAlign w:val="superscript"/>
          <w:rtl/>
        </w:rPr>
        <w:t>)</w:t>
      </w:r>
      <w:r>
        <w:rPr>
          <w:rFonts w:hint="cs"/>
          <w:rtl/>
        </w:rPr>
        <w:t>.</w:t>
      </w:r>
    </w:p>
    <w:p w:rsidR="003D5367" w:rsidRDefault="003D5367">
      <w:pPr>
        <w:rPr>
          <w:rtl/>
        </w:rPr>
      </w:pPr>
      <w:r>
        <w:rPr>
          <w:rFonts w:hint="cs"/>
          <w:rtl/>
        </w:rPr>
        <w:lastRenderedPageBreak/>
        <w:t xml:space="preserve">وهذا الحديث على خلاف القياس؛ لأن </w:t>
      </w:r>
      <w:r>
        <w:rPr>
          <w:rFonts w:hint="eastAsia"/>
          <w:rtl/>
        </w:rPr>
        <w:t>«</w:t>
      </w:r>
      <w:r>
        <w:rPr>
          <w:rFonts w:hint="cs"/>
          <w:rtl/>
        </w:rPr>
        <w:t>شرط الخيار يخالف [مقتضى]</w:t>
      </w:r>
      <w:r>
        <w:rPr>
          <w:rStyle w:val="a7"/>
          <w:rtl/>
        </w:rPr>
        <w:footnoteReference w:id="5096"/>
      </w:r>
      <w:r>
        <w:rPr>
          <w:rFonts w:hint="cs"/>
          <w:rtl/>
        </w:rPr>
        <w:t xml:space="preserve"> العقد (وهو اللزوم)، وكلّ ما هو كذلك فهو مفسد</w:t>
      </w:r>
      <w:r>
        <w:rPr>
          <w:rStyle w:val="a7"/>
          <w:rtl/>
        </w:rPr>
        <w:footnoteReference w:id="5097"/>
      </w:r>
      <w:r>
        <w:rPr>
          <w:rFonts w:hint="cs"/>
          <w:rtl/>
        </w:rPr>
        <w:t>. إلا أنّا جوزناه بهذا النص، فيقتصر على المدة المذكورة في الحديث</w:t>
      </w:r>
      <w:r>
        <w:rPr>
          <w:rFonts w:hint="eastAsia"/>
          <w:rtl/>
        </w:rPr>
        <w:t>»</w:t>
      </w:r>
      <w:r>
        <w:rPr>
          <w:rFonts w:hint="cs"/>
          <w:vertAlign w:val="superscript"/>
          <w:rtl/>
        </w:rPr>
        <w:t>(</w:t>
      </w:r>
      <w:r>
        <w:rPr>
          <w:rStyle w:val="a7"/>
          <w:rtl/>
        </w:rPr>
        <w:footnoteReference w:id="5098"/>
      </w:r>
      <w:r>
        <w:rPr>
          <w:rFonts w:hint="cs"/>
          <w:vertAlign w:val="superscript"/>
          <w:rtl/>
        </w:rPr>
        <w:t>)</w:t>
      </w:r>
      <w:r>
        <w:rPr>
          <w:rFonts w:hint="cs"/>
          <w:rtl/>
        </w:rPr>
        <w:t>، فلا يُتعدّى في</w:t>
      </w:r>
      <w:r>
        <w:rPr>
          <w:rStyle w:val="a7"/>
          <w:rtl/>
        </w:rPr>
        <w:footnoteReference w:id="5099"/>
      </w:r>
      <w:r>
        <w:rPr>
          <w:rFonts w:hint="cs"/>
          <w:rtl/>
        </w:rPr>
        <w:t xml:space="preserve"> مدته.</w:t>
      </w:r>
    </w:p>
    <w:p w:rsidR="003D5367" w:rsidRDefault="003D5367">
      <w:pPr>
        <w:rPr>
          <w:rtl/>
        </w:rPr>
      </w:pPr>
      <w:r>
        <w:rPr>
          <w:rFonts w:hint="cs"/>
          <w:rtl/>
        </w:rPr>
        <w:t>وقالا</w:t>
      </w:r>
      <w:r>
        <w:rPr>
          <w:rStyle w:val="a7"/>
          <w:rtl/>
        </w:rPr>
        <w:footnoteReference w:id="5100"/>
      </w:r>
      <w:r>
        <w:rPr>
          <w:rFonts w:hint="cs"/>
          <w:vertAlign w:val="superscript"/>
          <w:rtl/>
        </w:rPr>
        <w:t>(</w:t>
      </w:r>
      <w:r>
        <w:rPr>
          <w:rStyle w:val="a7"/>
          <w:rtl/>
        </w:rPr>
        <w:footnoteReference w:id="5101"/>
      </w:r>
      <w:r>
        <w:rPr>
          <w:rFonts w:hint="cs"/>
          <w:vertAlign w:val="superscript"/>
          <w:rtl/>
        </w:rPr>
        <w:t>)</w:t>
      </w:r>
      <w:r>
        <w:rPr>
          <w:rFonts w:hint="cs"/>
          <w:rtl/>
        </w:rPr>
        <w:t xml:space="preserve"> : جاز الخيار إلى شهر</w:t>
      </w:r>
      <w:r>
        <w:rPr>
          <w:rStyle w:val="a7"/>
          <w:rtl/>
        </w:rPr>
        <w:footnoteReference w:id="5102"/>
      </w:r>
      <w:r>
        <w:rPr>
          <w:rFonts w:hint="cs"/>
          <w:rtl/>
        </w:rPr>
        <w:t xml:space="preserve"> أو شهرين. </w:t>
      </w:r>
    </w:p>
    <w:p w:rsidR="003D5367" w:rsidRDefault="003D5367">
      <w:pPr>
        <w:ind w:firstLine="0"/>
        <w:rPr>
          <w:spacing w:val="-6"/>
          <w:rtl/>
        </w:rPr>
      </w:pPr>
      <w:r>
        <w:rPr>
          <w:rFonts w:hint="cs"/>
          <w:spacing w:val="-6"/>
          <w:sz w:val="34"/>
          <w:szCs w:val="34"/>
          <w:rtl/>
        </w:rPr>
        <w:lastRenderedPageBreak/>
        <w:t>ودليلهما حديث ابن عمر</w:t>
      </w:r>
      <w:r>
        <w:rPr>
          <w:rFonts w:hint="cs"/>
          <w:spacing w:val="-6"/>
          <w:vertAlign w:val="superscript"/>
          <w:rtl/>
        </w:rPr>
        <w:t>(</w:t>
      </w:r>
      <w:r>
        <w:rPr>
          <w:rStyle w:val="a7"/>
          <w:spacing w:val="-6"/>
          <w:rtl/>
        </w:rPr>
        <w:footnoteReference w:id="5103"/>
      </w:r>
      <w:r>
        <w:rPr>
          <w:rFonts w:hint="cs"/>
          <w:spacing w:val="-6"/>
          <w:vertAlign w:val="superscript"/>
          <w:rtl/>
        </w:rPr>
        <w:t>)</w:t>
      </w:r>
      <w:r>
        <w:rPr>
          <w:rFonts w:hint="cs"/>
          <w:spacing w:val="-6"/>
          <w:rtl/>
        </w:rPr>
        <w:t xml:space="preserve"> </w:t>
      </w:r>
      <w:r>
        <w:rPr>
          <w:rFonts w:hint="cs"/>
          <w:spacing w:val="-6"/>
          <w:sz w:val="34"/>
          <w:szCs w:val="34"/>
          <w:rtl/>
        </w:rPr>
        <w:t>رضي الله تعالى</w:t>
      </w:r>
      <w:r>
        <w:rPr>
          <w:rStyle w:val="a7"/>
          <w:spacing w:val="-6"/>
          <w:rtl/>
        </w:rPr>
        <w:footnoteReference w:id="5104"/>
      </w:r>
      <w:r>
        <w:rPr>
          <w:rFonts w:hint="cs"/>
          <w:spacing w:val="-6"/>
          <w:rtl/>
        </w:rPr>
        <w:t xml:space="preserve"> </w:t>
      </w:r>
      <w:r>
        <w:rPr>
          <w:rFonts w:hint="cs"/>
          <w:spacing w:val="-6"/>
          <w:sz w:val="34"/>
          <w:szCs w:val="34"/>
          <w:rtl/>
        </w:rPr>
        <w:t>عنهما:</w:t>
      </w:r>
      <w:r>
        <w:rPr>
          <w:rFonts w:hint="cs"/>
          <w:spacing w:val="-6"/>
          <w:rtl/>
        </w:rPr>
        <w:t xml:space="preserve"> </w:t>
      </w:r>
      <w:r>
        <w:rPr>
          <w:rFonts w:hint="eastAsia"/>
          <w:spacing w:val="-6"/>
          <w:rtl/>
        </w:rPr>
        <w:t>«</w:t>
      </w:r>
      <w:r>
        <w:rPr>
          <w:rFonts w:cs="DecoType Naskh" w:hint="cs"/>
          <w:spacing w:val="-6"/>
          <w:sz w:val="34"/>
          <w:szCs w:val="34"/>
          <w:rtl/>
        </w:rPr>
        <w:t>أن النبي</w:t>
      </w:r>
      <w:r>
        <w:rPr>
          <w:rFonts w:hint="cs"/>
          <w:spacing w:val="-6"/>
          <w:sz w:val="34"/>
          <w:szCs w:val="34"/>
          <w:rtl/>
        </w:rPr>
        <w:t xml:space="preserve"> </w:t>
      </w:r>
      <w:r>
        <w:rPr>
          <w:rFonts w:ascii="AGA Arabesque" w:hAnsi="AGA Arabesque"/>
          <w:spacing w:val="-6"/>
          <w:sz w:val="36"/>
        </w:rPr>
        <w:t></w:t>
      </w:r>
      <w:r>
        <w:rPr>
          <w:rFonts w:hint="cs"/>
          <w:spacing w:val="-6"/>
          <w:rtl/>
        </w:rPr>
        <w:t xml:space="preserve"> </w:t>
      </w:r>
      <w:r>
        <w:rPr>
          <w:rFonts w:cs="DecoType Naskh" w:hint="cs"/>
          <w:spacing w:val="-6"/>
          <w:sz w:val="34"/>
          <w:szCs w:val="34"/>
          <w:rtl/>
        </w:rPr>
        <w:t>أجازَ الخيارَ إلى شهـرين</w:t>
      </w:r>
      <w:r>
        <w:rPr>
          <w:rFonts w:hint="eastAsia"/>
          <w:spacing w:val="-6"/>
          <w:rtl/>
        </w:rPr>
        <w:t>»</w:t>
      </w:r>
      <w:r>
        <w:rPr>
          <w:rFonts w:hint="cs"/>
          <w:spacing w:val="-6"/>
          <w:vertAlign w:val="superscript"/>
          <w:rtl/>
        </w:rPr>
        <w:t>(</w:t>
      </w:r>
      <w:r>
        <w:rPr>
          <w:rStyle w:val="a7"/>
          <w:spacing w:val="-6"/>
          <w:rtl/>
        </w:rPr>
        <w:footnoteReference w:id="5105"/>
      </w:r>
      <w:r>
        <w:rPr>
          <w:rFonts w:hint="cs"/>
          <w:spacing w:val="-6"/>
          <w:vertAlign w:val="superscript"/>
          <w:rtl/>
        </w:rPr>
        <w:t>)</w:t>
      </w:r>
      <w:r>
        <w:rPr>
          <w:rFonts w:hint="cs"/>
          <w:spacing w:val="-6"/>
          <w:rtl/>
        </w:rPr>
        <w:t>.</w:t>
      </w:r>
    </w:p>
    <w:p w:rsidR="003D5367" w:rsidRDefault="003D5367" w:rsidP="003D5367">
      <w:pPr>
        <w:spacing w:line="228" w:lineRule="auto"/>
        <w:rPr>
          <w:rtl/>
        </w:rPr>
        <w:sectPr w:rsidR="003D5367" w:rsidSect="00F6051F">
          <w:headerReference w:type="default" r:id="rId306"/>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eastAsia"/>
          <w:rtl/>
        </w:rPr>
        <w:t>«</w:t>
      </w:r>
      <w:r>
        <w:rPr>
          <w:rFonts w:hint="cs"/>
          <w:rtl/>
        </w:rPr>
        <w:t>ولأن الخيار إنما شرط للحاجة إلى التأمل؛ ليندفع الغبن، وقد [تمسّ]</w:t>
      </w:r>
      <w:r>
        <w:rPr>
          <w:rStyle w:val="a7"/>
          <w:rtl/>
        </w:rPr>
        <w:footnoteReference w:id="5106"/>
      </w:r>
      <w:r>
        <w:rPr>
          <w:rFonts w:hint="cs"/>
          <w:rtl/>
        </w:rPr>
        <w:t xml:space="preserve"> الحاجة إلى الأكثر فكان كثير المدة كقليلها، فيلحق به، وصار كالتأجيل</w:t>
      </w:r>
      <w:r>
        <w:rPr>
          <w:rStyle w:val="a7"/>
          <w:rtl/>
        </w:rPr>
        <w:footnoteReference w:id="5107"/>
      </w:r>
      <w:r>
        <w:rPr>
          <w:rFonts w:hint="cs"/>
          <w:rtl/>
        </w:rPr>
        <w:t xml:space="preserve"> في الثمن، فإنه جائز، قلَّت المدّة أو كثرت</w:t>
      </w:r>
      <w:r>
        <w:rPr>
          <w:rFonts w:hint="eastAsia"/>
          <w:rtl/>
        </w:rPr>
        <w:t>»</w:t>
      </w:r>
      <w:r>
        <w:rPr>
          <w:rFonts w:hint="cs"/>
          <w:vertAlign w:val="superscript"/>
          <w:rtl/>
        </w:rPr>
        <w:t>(</w:t>
      </w:r>
      <w:r>
        <w:rPr>
          <w:rStyle w:val="a7"/>
          <w:rtl/>
        </w:rPr>
        <w:footnoteReference w:id="5108"/>
      </w:r>
      <w:r>
        <w:rPr>
          <w:rFonts w:hint="cs"/>
          <w:vertAlign w:val="superscript"/>
          <w:rtl/>
        </w:rPr>
        <w:t>)</w:t>
      </w:r>
      <w:r>
        <w:rPr>
          <w:rFonts w:hint="cs"/>
          <w:rtl/>
        </w:rPr>
        <w:t>.</w:t>
      </w:r>
    </w:p>
    <w:p w:rsidR="003D5367" w:rsidRPr="00DA1F31" w:rsidRDefault="003D5367">
      <w:pPr>
        <w:pStyle w:val="a9"/>
        <w:rPr>
          <w:rFonts w:cs="AL-Mateen"/>
          <w:rtl/>
        </w:rPr>
      </w:pPr>
      <w:r w:rsidRPr="00DA1F31">
        <w:rPr>
          <w:rFonts w:cs="AL-Mateen"/>
          <w:rtl/>
        </w:rPr>
        <w:lastRenderedPageBreak/>
        <w:t>[ الـقـاعـدة</w:t>
      </w:r>
      <w:r w:rsidRPr="00DA1F31">
        <w:rPr>
          <w:rFonts w:cs="AL-Mateen" w:hint="cs"/>
          <w:rtl/>
        </w:rPr>
        <w:t xml:space="preserve"> الـتـاسـعـة</w:t>
      </w:r>
      <w:r w:rsidRPr="00DA1F31">
        <w:rPr>
          <w:rFonts w:cs="AL-Mateen"/>
          <w:rtl/>
        </w:rPr>
        <w:t xml:space="preserve"> </w:t>
      </w:r>
      <w:r w:rsidRPr="00DA1F31">
        <w:rPr>
          <w:rFonts w:cs="AL-Mateen" w:hint="cs"/>
          <w:rtl/>
        </w:rPr>
        <w:t>و</w:t>
      </w:r>
      <w:r w:rsidRPr="00DA1F31">
        <w:rPr>
          <w:rFonts w:cs="AL-Mateen"/>
          <w:rtl/>
        </w:rPr>
        <w:t xml:space="preserve">الأربـعـون </w:t>
      </w:r>
      <w:r w:rsidRPr="00DA1F31">
        <w:rPr>
          <w:rFonts w:cs="AL-Mateen" w:hint="eastAsia"/>
          <w:rtl/>
        </w:rPr>
        <w:t>بـعـد</w:t>
      </w:r>
      <w:r w:rsidRPr="00DA1F31">
        <w:rPr>
          <w:rFonts w:cs="AL-Mateen"/>
          <w:rtl/>
        </w:rPr>
        <w:t xml:space="preserve"> الـمـائـتـيـن ]</w:t>
      </w:r>
    </w:p>
    <w:p w:rsidR="003D5367" w:rsidRDefault="003D5367">
      <w:pPr>
        <w:rPr>
          <w:rtl/>
        </w:rPr>
      </w:pPr>
      <w:r>
        <w:rPr>
          <w:rFonts w:cs="Monotype Koufi" w:hint="cs"/>
          <w:rtl/>
        </w:rPr>
        <w:t>النَّهْيُ يُقرِّرُ</w:t>
      </w:r>
      <w:r>
        <w:rPr>
          <w:rStyle w:val="a7"/>
          <w:rtl/>
        </w:rPr>
        <w:footnoteReference w:id="5109"/>
      </w:r>
      <w:r>
        <w:rPr>
          <w:rFonts w:hint="cs"/>
          <w:rtl/>
        </w:rPr>
        <w:t xml:space="preserve"> </w:t>
      </w:r>
      <w:r>
        <w:rPr>
          <w:rFonts w:cs="Monotype Koufi" w:hint="cs"/>
          <w:rtl/>
        </w:rPr>
        <w:t>المَشْرُوعِيَّةَ عِنْدَنَا</w:t>
      </w:r>
      <w:r>
        <w:rPr>
          <w:rStyle w:val="a7"/>
          <w:rtl/>
        </w:rPr>
        <w:footnoteReference w:id="5110"/>
      </w:r>
      <w:r>
        <w:rPr>
          <w:rFonts w:hint="cs"/>
          <w:vertAlign w:val="superscript"/>
          <w:rtl/>
        </w:rPr>
        <w:t>(</w:t>
      </w:r>
      <w:r>
        <w:rPr>
          <w:rStyle w:val="a7"/>
          <w:rtl/>
        </w:rPr>
        <w:footnoteReference w:id="5111"/>
      </w:r>
      <w:r>
        <w:rPr>
          <w:rFonts w:hint="cs"/>
          <w:vertAlign w:val="superscript"/>
          <w:rtl/>
        </w:rPr>
        <w:t>)</w:t>
      </w:r>
      <w:r>
        <w:rPr>
          <w:rFonts w:hint="cs"/>
          <w:rtl/>
        </w:rPr>
        <w:t xml:space="preserve"> :</w:t>
      </w:r>
    </w:p>
    <w:p w:rsidR="003D5367" w:rsidRDefault="003D5367">
      <w:pPr>
        <w:rPr>
          <w:rtl/>
        </w:rPr>
      </w:pPr>
      <w:r>
        <w:rPr>
          <w:rFonts w:hint="eastAsia"/>
          <w:rtl/>
        </w:rPr>
        <w:lastRenderedPageBreak/>
        <w:t>«</w:t>
      </w:r>
      <w:r>
        <w:rPr>
          <w:rFonts w:hint="cs"/>
          <w:rtl/>
        </w:rPr>
        <w:t>ليُتَصَوَّر</w:t>
      </w:r>
      <w:r>
        <w:rPr>
          <w:rStyle w:val="a7"/>
          <w:rtl/>
        </w:rPr>
        <w:footnoteReference w:id="5112"/>
      </w:r>
      <w:r>
        <w:rPr>
          <w:rFonts w:hint="cs"/>
          <w:rtl/>
        </w:rPr>
        <w:t xml:space="preserve"> النهي؛ ليكون العبد مبتـلى بين أن يترك باختياره فيثاب، وبين أن يأتي به فيعاقب</w:t>
      </w:r>
      <w:r>
        <w:rPr>
          <w:rFonts w:hint="eastAsia"/>
          <w:rtl/>
        </w:rPr>
        <w:t>»</w:t>
      </w:r>
      <w:r>
        <w:rPr>
          <w:rFonts w:hint="cs"/>
          <w:vertAlign w:val="superscript"/>
          <w:rtl/>
        </w:rPr>
        <w:t>(</w:t>
      </w:r>
      <w:r>
        <w:rPr>
          <w:rStyle w:val="a7"/>
          <w:rtl/>
        </w:rPr>
        <w:footnoteReference w:id="5113"/>
      </w:r>
      <w:r>
        <w:rPr>
          <w:rFonts w:hint="cs"/>
          <w:vertAlign w:val="superscript"/>
          <w:rtl/>
        </w:rPr>
        <w:t>)</w:t>
      </w:r>
      <w:r>
        <w:rPr>
          <w:rFonts w:hint="cs"/>
          <w:rtl/>
        </w:rPr>
        <w:t>.</w:t>
      </w:r>
    </w:p>
    <w:p w:rsidR="003D5367" w:rsidRDefault="003D5367" w:rsidP="003D5367">
      <w:pPr>
        <w:spacing w:line="264" w:lineRule="auto"/>
        <w:rPr>
          <w:rtl/>
        </w:rPr>
      </w:pPr>
      <w:r>
        <w:rPr>
          <w:rFonts w:hint="cs"/>
          <w:rtl/>
        </w:rPr>
        <w:t>فإذا قبض المشتري المبيع بشراء فاسد بإذن البائع صريحًا أو دلالة [والعوضان]</w:t>
      </w:r>
      <w:r>
        <w:rPr>
          <w:rStyle w:val="a7"/>
          <w:rtl/>
        </w:rPr>
        <w:footnoteReference w:id="5114"/>
      </w:r>
      <w:r>
        <w:rPr>
          <w:rFonts w:hint="cs"/>
          <w:rtl/>
        </w:rPr>
        <w:t xml:space="preserve"> مالان : يملكه</w:t>
      </w:r>
      <w:r>
        <w:rPr>
          <w:rFonts w:hint="cs"/>
          <w:vertAlign w:val="superscript"/>
          <w:rtl/>
        </w:rPr>
        <w:t>(</w:t>
      </w:r>
      <w:r>
        <w:rPr>
          <w:rStyle w:val="a7"/>
          <w:rtl/>
        </w:rPr>
        <w:footnoteReference w:id="5115"/>
      </w:r>
      <w:r>
        <w:rPr>
          <w:rFonts w:hint="cs"/>
          <w:vertAlign w:val="superscript"/>
          <w:rtl/>
        </w:rPr>
        <w:t>)</w:t>
      </w:r>
      <w:r>
        <w:rPr>
          <w:rFonts w:hint="cs"/>
          <w:rtl/>
        </w:rPr>
        <w:t>؛ ومن ملك شيئًا</w:t>
      </w:r>
      <w:r>
        <w:rPr>
          <w:rStyle w:val="a7"/>
          <w:rtl/>
        </w:rPr>
        <w:footnoteReference w:id="5116"/>
      </w:r>
      <w:r>
        <w:rPr>
          <w:rFonts w:hint="cs"/>
          <w:rtl/>
        </w:rPr>
        <w:t xml:space="preserve"> يملك</w:t>
      </w:r>
      <w:r>
        <w:rPr>
          <w:rStyle w:val="a7"/>
          <w:rtl/>
        </w:rPr>
        <w:footnoteReference w:id="5117"/>
      </w:r>
      <w:r>
        <w:rPr>
          <w:rFonts w:hint="cs"/>
          <w:rtl/>
        </w:rPr>
        <w:t xml:space="preserve"> التصرف فيه، سواء كان تصرفًا لا يحتمل النقض</w:t>
      </w:r>
      <w:r>
        <w:rPr>
          <w:rStyle w:val="a7"/>
          <w:rtl/>
        </w:rPr>
        <w:footnoteReference w:id="5118"/>
      </w:r>
      <w:r>
        <w:rPr>
          <w:rFonts w:hint="cs"/>
          <w:rtl/>
        </w:rPr>
        <w:t xml:space="preserve"> -كالإعتاق والتدبير- أو [يحتمل]</w:t>
      </w:r>
      <w:r>
        <w:rPr>
          <w:rStyle w:val="a7"/>
          <w:rtl/>
        </w:rPr>
        <w:footnoteReference w:id="5119"/>
      </w:r>
      <w:r>
        <w:rPr>
          <w:rFonts w:hint="cs"/>
          <w:rtl/>
        </w:rPr>
        <w:t xml:space="preserve">- كالبيع والهبة -وجواز التصرف </w:t>
      </w:r>
      <w:r>
        <w:rPr>
          <w:rFonts w:hint="cs"/>
          <w:rtl/>
        </w:rPr>
        <w:lastRenderedPageBreak/>
        <w:t>يقتضي مشروعيته</w:t>
      </w:r>
      <w:r>
        <w:rPr>
          <w:rStyle w:val="a7"/>
          <w:rtl/>
        </w:rPr>
        <w:footnoteReference w:id="5120"/>
      </w:r>
      <w:r>
        <w:rPr>
          <w:rFonts w:hint="cs"/>
          <w:rtl/>
        </w:rPr>
        <w:t>؛ لأن التصرف في ملك الغير لا يجوز، وإذا كان البيع وسائر التصرفات نافذة سقط حقّ استرداد البائع لتعلق حق العبد.</w:t>
      </w:r>
    </w:p>
    <w:p w:rsidR="003D5367" w:rsidRDefault="003D5367" w:rsidP="003D5367">
      <w:pPr>
        <w:spacing w:line="264" w:lineRule="auto"/>
        <w:rPr>
          <w:spacing w:val="-6"/>
          <w:rtl/>
        </w:rPr>
      </w:pPr>
      <w:r>
        <w:rPr>
          <w:rFonts w:hint="cs"/>
          <w:spacing w:val="-6"/>
          <w:rtl/>
        </w:rPr>
        <w:t>وإذا اجتمع حق الشرع وحق العبد يقدّم حق العبد؛ لحاجته</w:t>
      </w:r>
      <w:r>
        <w:rPr>
          <w:rStyle w:val="a7"/>
          <w:spacing w:val="-6"/>
          <w:rtl/>
        </w:rPr>
        <w:footnoteReference w:id="5121"/>
      </w:r>
      <w:r>
        <w:rPr>
          <w:rFonts w:hint="cs"/>
          <w:spacing w:val="-6"/>
          <w:rtl/>
        </w:rPr>
        <w:t>، وغنى</w:t>
      </w:r>
      <w:r>
        <w:rPr>
          <w:rStyle w:val="a7"/>
          <w:spacing w:val="-6"/>
          <w:rtl/>
        </w:rPr>
        <w:footnoteReference w:id="5122"/>
      </w:r>
      <w:r>
        <w:rPr>
          <w:rFonts w:hint="cs"/>
          <w:spacing w:val="-6"/>
          <w:rtl/>
        </w:rPr>
        <w:t xml:space="preserve"> الشرع</w:t>
      </w:r>
      <w:r>
        <w:rPr>
          <w:rFonts w:hint="cs"/>
          <w:spacing w:val="-6"/>
          <w:vertAlign w:val="superscript"/>
          <w:rtl/>
        </w:rPr>
        <w:t>(</w:t>
      </w:r>
      <w:r>
        <w:rPr>
          <w:rStyle w:val="a7"/>
          <w:spacing w:val="-6"/>
          <w:rtl/>
        </w:rPr>
        <w:footnoteReference w:id="5123"/>
      </w:r>
      <w:r>
        <w:rPr>
          <w:rFonts w:hint="cs"/>
          <w:spacing w:val="-6"/>
          <w:vertAlign w:val="superscript"/>
          <w:rtl/>
        </w:rPr>
        <w:t>)</w:t>
      </w:r>
      <w:r>
        <w:rPr>
          <w:rFonts w:hint="cs"/>
          <w:spacing w:val="-6"/>
          <w:rtl/>
        </w:rPr>
        <w:t>.</w:t>
      </w:r>
    </w:p>
    <w:p w:rsidR="003D5367" w:rsidRDefault="003D5367" w:rsidP="003D5367">
      <w:pPr>
        <w:spacing w:line="264" w:lineRule="auto"/>
        <w:rPr>
          <w:rtl/>
        </w:rPr>
      </w:pPr>
      <w:r>
        <w:rPr>
          <w:rFonts w:hint="cs"/>
          <w:b/>
          <w:bCs/>
          <w:rtl/>
        </w:rPr>
        <w:t>وخرج</w:t>
      </w:r>
      <w:r>
        <w:rPr>
          <w:rFonts w:hint="cs"/>
          <w:rtl/>
        </w:rPr>
        <w:t xml:space="preserve"> عن هذا الأصل : أن المشتَرَى بشراء فاسد </w:t>
      </w:r>
      <w:r>
        <w:rPr>
          <w:rFonts w:hint="eastAsia"/>
          <w:rtl/>
        </w:rPr>
        <w:t>«</w:t>
      </w:r>
      <w:r>
        <w:rPr>
          <w:rFonts w:hint="cs"/>
          <w:rtl/>
        </w:rPr>
        <w:t>لو كان مأكولاً لم يحلْ أكْلُهُ، ولو كانت جارية لا يحلُّ وطؤُها. ذُكِرَ في (شرح الطحاوي)</w:t>
      </w:r>
      <w:r>
        <w:rPr>
          <w:rStyle w:val="a7"/>
          <w:rtl/>
        </w:rPr>
        <w:footnoteReference w:id="5124"/>
      </w:r>
      <w:r>
        <w:rPr>
          <w:rFonts w:hint="eastAsia"/>
          <w:rtl/>
        </w:rPr>
        <w:t>»</w:t>
      </w:r>
      <w:r>
        <w:rPr>
          <w:rFonts w:hint="cs"/>
          <w:vertAlign w:val="superscript"/>
          <w:rtl/>
        </w:rPr>
        <w:t>(</w:t>
      </w:r>
      <w:r>
        <w:rPr>
          <w:rStyle w:val="a7"/>
          <w:rtl/>
        </w:rPr>
        <w:footnoteReference w:id="5125"/>
      </w:r>
      <w:r>
        <w:rPr>
          <w:rFonts w:hint="cs"/>
          <w:vertAlign w:val="superscript"/>
          <w:rtl/>
        </w:rPr>
        <w:t>)</w:t>
      </w:r>
      <w:r>
        <w:rPr>
          <w:rFonts w:hint="cs"/>
          <w:rtl/>
        </w:rPr>
        <w:t>.</w:t>
      </w:r>
    </w:p>
    <w:p w:rsidR="003D5367" w:rsidRDefault="003D5367">
      <w:pPr>
        <w:rPr>
          <w:rtl/>
        </w:rPr>
      </w:pPr>
      <w:r>
        <w:rPr>
          <w:rFonts w:hint="eastAsia"/>
          <w:rtl/>
        </w:rPr>
        <w:lastRenderedPageBreak/>
        <w:t>«</w:t>
      </w:r>
      <w:r>
        <w:rPr>
          <w:rFonts w:hint="cs"/>
          <w:b/>
          <w:bCs/>
          <w:rtl/>
        </w:rPr>
        <w:t>وأجيب</w:t>
      </w:r>
      <w:r>
        <w:rPr>
          <w:rFonts w:hint="cs"/>
          <w:rtl/>
        </w:rPr>
        <w:t xml:space="preserve"> : بالمنع، فإن محمدًا نصّ في كتاب (الاستحسان)</w:t>
      </w:r>
      <w:r>
        <w:rPr>
          <w:rFonts w:hint="cs"/>
          <w:vertAlign w:val="superscript"/>
          <w:rtl/>
        </w:rPr>
        <w:t>(</w:t>
      </w:r>
      <w:r>
        <w:rPr>
          <w:rStyle w:val="a7"/>
          <w:rtl/>
        </w:rPr>
        <w:footnoteReference w:id="5126"/>
      </w:r>
      <w:r>
        <w:rPr>
          <w:rFonts w:hint="cs"/>
          <w:vertAlign w:val="superscript"/>
          <w:rtl/>
        </w:rPr>
        <w:t>)</w:t>
      </w:r>
      <w:r>
        <w:rPr>
          <w:rFonts w:hint="cs"/>
          <w:rtl/>
        </w:rPr>
        <w:t xml:space="preserve"> على حلّ تناوله؛ </w:t>
      </w:r>
      <w:r>
        <w:rPr>
          <w:rFonts w:hint="cs"/>
          <w:rtl/>
        </w:rPr>
        <w:lastRenderedPageBreak/>
        <w:t>لأن البائع سلّطه على ذلك.</w:t>
      </w:r>
    </w:p>
    <w:p w:rsidR="003D5367" w:rsidRDefault="003D5367">
      <w:pPr>
        <w:rPr>
          <w:rtl/>
        </w:rPr>
      </w:pPr>
      <w:r>
        <w:rPr>
          <w:rFonts w:hint="cs"/>
          <w:rtl/>
        </w:rPr>
        <w:t>وذكر شمس الأئمة الحَلْوَانِيُّ : يكره الوطء ولا يحرم.</w:t>
      </w:r>
    </w:p>
    <w:p w:rsidR="003D5367" w:rsidRDefault="003D5367">
      <w:pPr>
        <w:rPr>
          <w:rtl/>
        </w:rPr>
      </w:pPr>
      <w:r>
        <w:rPr>
          <w:rFonts w:hint="cs"/>
          <w:rtl/>
        </w:rPr>
        <w:t>فالمذكور في (شرح الطحاوي) : يحمل على عدم الطيّب، فإن سلّم فالوطء</w:t>
      </w:r>
      <w:r>
        <w:rPr>
          <w:rStyle w:val="a7"/>
          <w:rtl/>
        </w:rPr>
        <w:footnoteReference w:id="5127"/>
      </w:r>
      <w:r>
        <w:rPr>
          <w:rFonts w:hint="cs"/>
          <w:rtl/>
        </w:rPr>
        <w:t xml:space="preserve"> ممّا لا يستباح بصريح التسليط، فبدلالته أولى. وجواز التصرف باعتبار أصل الملك، وهو ينفك عن صفة الحل</w:t>
      </w:r>
      <w:r>
        <w:rPr>
          <w:rFonts w:hint="eastAsia"/>
          <w:rtl/>
        </w:rPr>
        <w:t>»</w:t>
      </w:r>
      <w:r>
        <w:rPr>
          <w:rFonts w:hint="cs"/>
          <w:rtl/>
        </w:rPr>
        <w:t>. كذا في العناية</w:t>
      </w:r>
      <w:r>
        <w:rPr>
          <w:rFonts w:hint="cs"/>
          <w:vertAlign w:val="superscript"/>
          <w:rtl/>
        </w:rPr>
        <w:t>(</w:t>
      </w:r>
      <w:r>
        <w:rPr>
          <w:rStyle w:val="a7"/>
          <w:rtl/>
        </w:rPr>
        <w:footnoteReference w:id="5128"/>
      </w:r>
      <w:r>
        <w:rPr>
          <w:rFonts w:hint="cs"/>
          <w:vertAlign w:val="superscript"/>
          <w:rtl/>
        </w:rPr>
        <w:t>)</w:t>
      </w:r>
      <w:r>
        <w:rPr>
          <w:rFonts w:hint="cs"/>
          <w:rtl/>
        </w:rPr>
        <w:t>.</w:t>
      </w:r>
    </w:p>
    <w:p w:rsidR="003D5367" w:rsidRDefault="003D5367" w:rsidP="003D5367">
      <w:pPr>
        <w:rPr>
          <w:rtl/>
        </w:rPr>
      </w:pPr>
      <w:r>
        <w:rPr>
          <w:rFonts w:hint="cs"/>
          <w:b/>
          <w:bCs/>
          <w:rtl/>
        </w:rPr>
        <w:t>واعترض</w:t>
      </w:r>
      <w:r>
        <w:rPr>
          <w:rFonts w:hint="cs"/>
          <w:rtl/>
        </w:rPr>
        <w:t xml:space="preserve"> فيه</w:t>
      </w:r>
      <w:r>
        <w:rPr>
          <w:rStyle w:val="a7"/>
          <w:rtl/>
        </w:rPr>
        <w:footnoteReference w:id="5129"/>
      </w:r>
      <w:r>
        <w:rPr>
          <w:rFonts w:hint="cs"/>
          <w:vertAlign w:val="superscript"/>
          <w:rtl/>
        </w:rPr>
        <w:t>(</w:t>
      </w:r>
      <w:r>
        <w:rPr>
          <w:rStyle w:val="a7"/>
          <w:rtl/>
        </w:rPr>
        <w:footnoteReference w:id="5130"/>
      </w:r>
      <w:r>
        <w:rPr>
          <w:rFonts w:hint="cs"/>
          <w:vertAlign w:val="superscript"/>
          <w:rtl/>
        </w:rPr>
        <w:t>)</w:t>
      </w:r>
      <w:r>
        <w:rPr>
          <w:rFonts w:hint="cs"/>
          <w:rtl/>
        </w:rPr>
        <w:t xml:space="preserve"> بوجه آخر حيث قال : </w:t>
      </w:r>
      <w:r>
        <w:rPr>
          <w:rFonts w:hint="eastAsia"/>
          <w:rtl/>
        </w:rPr>
        <w:t>«</w:t>
      </w:r>
      <w:r>
        <w:rPr>
          <w:rFonts w:hint="cs"/>
          <w:rtl/>
        </w:rPr>
        <w:t xml:space="preserve">لو أفاد ذلك الملك لجاز للمشتري وطء جـاريةٍ اشتـراها بشراء </w:t>
      </w:r>
      <w:r>
        <w:rPr>
          <w:rFonts w:hint="cs"/>
          <w:spacing w:val="2"/>
          <w:rtl/>
        </w:rPr>
        <w:t>فـاسد، وجـاز [أخـذ]</w:t>
      </w:r>
      <w:r>
        <w:rPr>
          <w:rStyle w:val="a7"/>
          <w:b/>
          <w:spacing w:val="2"/>
          <w:rtl/>
        </w:rPr>
        <w:footnoteReference w:id="5131"/>
      </w:r>
      <w:r>
        <w:rPr>
          <w:rFonts w:hint="cs"/>
          <w:spacing w:val="2"/>
          <w:rtl/>
        </w:rPr>
        <w:t xml:space="preserve"> الشفـعة</w:t>
      </w:r>
      <w:r>
        <w:rPr>
          <w:rStyle w:val="a7"/>
          <w:spacing w:val="2"/>
          <w:rtl/>
        </w:rPr>
        <w:footnoteReference w:id="5132"/>
      </w:r>
      <w:r>
        <w:rPr>
          <w:rFonts w:hint="cs"/>
          <w:spacing w:val="2"/>
          <w:rtl/>
        </w:rPr>
        <w:t xml:space="preserve"> للشفيع في</w:t>
      </w:r>
      <w:r>
        <w:rPr>
          <w:rFonts w:hint="cs"/>
          <w:rtl/>
        </w:rPr>
        <w:t>[الدار]</w:t>
      </w:r>
      <w:r>
        <w:rPr>
          <w:rStyle w:val="a7"/>
          <w:rtl/>
        </w:rPr>
        <w:footnoteReference w:id="5133"/>
      </w:r>
      <w:r>
        <w:rPr>
          <w:rFonts w:hint="cs"/>
          <w:rtl/>
        </w:rPr>
        <w:t xml:space="preserve"> المشتراة</w:t>
      </w:r>
      <w:r>
        <w:rPr>
          <w:rStyle w:val="a7"/>
          <w:rtl/>
        </w:rPr>
        <w:footnoteReference w:id="5134"/>
      </w:r>
      <w:r>
        <w:rPr>
          <w:rFonts w:hint="cs"/>
          <w:rtl/>
        </w:rPr>
        <w:t xml:space="preserve"> بشراء فاسد. ويحل أكل طعام اشتراه كذلك.</w:t>
      </w:r>
    </w:p>
    <w:p w:rsidR="003D5367" w:rsidRDefault="003D5367">
      <w:pPr>
        <w:rPr>
          <w:rtl/>
        </w:rPr>
      </w:pPr>
      <w:r>
        <w:rPr>
          <w:rFonts w:hint="cs"/>
          <w:b/>
          <w:bCs/>
          <w:rtl/>
        </w:rPr>
        <w:lastRenderedPageBreak/>
        <w:t>فالجواب</w:t>
      </w:r>
      <w:r>
        <w:rPr>
          <w:rFonts w:hint="cs"/>
          <w:rtl/>
        </w:rPr>
        <w:t xml:space="preserve"> : إنما لم يحل وطؤها، وأكله</w:t>
      </w:r>
      <w:r>
        <w:rPr>
          <w:rFonts w:hint="cs"/>
          <w:vertAlign w:val="superscript"/>
          <w:rtl/>
        </w:rPr>
        <w:t>(</w:t>
      </w:r>
      <w:r>
        <w:rPr>
          <w:rStyle w:val="a7"/>
          <w:rtl/>
        </w:rPr>
        <w:footnoteReference w:id="5135"/>
      </w:r>
      <w:r>
        <w:rPr>
          <w:rFonts w:hint="cs"/>
          <w:vertAlign w:val="superscript"/>
          <w:rtl/>
        </w:rPr>
        <w:t>)</w:t>
      </w:r>
      <w:r>
        <w:rPr>
          <w:rFonts w:hint="cs"/>
          <w:rtl/>
        </w:rPr>
        <w:t>؛ لأن في الاشتغال بالوطء والأكل إعراضًا</w:t>
      </w:r>
    </w:p>
    <w:p w:rsidR="003D5367" w:rsidRDefault="003D5367">
      <w:pPr>
        <w:ind w:firstLine="0"/>
        <w:rPr>
          <w:rtl/>
        </w:rPr>
      </w:pPr>
      <w:r>
        <w:rPr>
          <w:rFonts w:hint="cs"/>
          <w:rtl/>
        </w:rPr>
        <w:t>عن الرّد، وفي القضاء بالشفعة تقرير الفساد وتأكيده فلا يجوز.</w:t>
      </w:r>
    </w:p>
    <w:p w:rsidR="003D5367" w:rsidRDefault="003D5367">
      <w:pPr>
        <w:rPr>
          <w:spacing w:val="-6"/>
          <w:rtl/>
        </w:rPr>
      </w:pPr>
      <w:r>
        <w:rPr>
          <w:rFonts w:hint="cs"/>
          <w:b/>
          <w:bCs/>
          <w:spacing w:val="-6"/>
          <w:rtl/>
        </w:rPr>
        <w:t>واعلم</w:t>
      </w:r>
      <w:r>
        <w:rPr>
          <w:rFonts w:hint="cs"/>
          <w:spacing w:val="-6"/>
          <w:rtl/>
        </w:rPr>
        <w:t>: أن المشايخ اختلفوا في مبنى جواز التصرّف للمشتري في المشترى بشرط فاسد:</w:t>
      </w:r>
    </w:p>
    <w:p w:rsidR="003D5367" w:rsidRDefault="003D5367" w:rsidP="003D5367">
      <w:pPr>
        <w:ind w:left="848" w:hanging="281"/>
        <w:rPr>
          <w:rtl/>
        </w:rPr>
      </w:pPr>
      <w:r>
        <w:rPr>
          <w:sz w:val="36"/>
          <w:rtl/>
        </w:rPr>
        <w:t>•</w:t>
      </w:r>
      <w:r>
        <w:rPr>
          <w:rFonts w:hint="cs"/>
          <w:sz w:val="36"/>
          <w:rtl/>
        </w:rPr>
        <w:t xml:space="preserve">  فذهب العراقـيّون: إلى أنه مبني على تسليط البائع على ذلك، لا على ملك [العين</w:t>
      </w:r>
      <w:r>
        <w:rPr>
          <w:rFonts w:hint="cs"/>
          <w:rtl/>
        </w:rPr>
        <w:t>]</w:t>
      </w:r>
      <w:r>
        <w:rPr>
          <w:rStyle w:val="a7"/>
          <w:rtl/>
        </w:rPr>
        <w:footnoteReference w:id="5136"/>
      </w:r>
      <w:r>
        <w:rPr>
          <w:rFonts w:hint="cs"/>
          <w:rtl/>
        </w:rPr>
        <w:t>.</w:t>
      </w:r>
    </w:p>
    <w:p w:rsidR="003D5367" w:rsidRDefault="003D5367" w:rsidP="003D5367">
      <w:pPr>
        <w:ind w:left="848" w:hanging="281"/>
        <w:rPr>
          <w:spacing w:val="8"/>
          <w:rtl/>
        </w:rPr>
      </w:pPr>
      <w:r>
        <w:rPr>
          <w:rFonts w:hint="cs"/>
          <w:spacing w:val="8"/>
          <w:rtl/>
        </w:rPr>
        <w:t xml:space="preserve">   واستدلوا بالمسائل</w:t>
      </w:r>
      <w:r>
        <w:rPr>
          <w:rStyle w:val="a7"/>
          <w:spacing w:val="8"/>
          <w:rtl/>
        </w:rPr>
        <w:footnoteReference w:id="5137"/>
      </w:r>
      <w:r>
        <w:rPr>
          <w:rFonts w:hint="cs"/>
          <w:spacing w:val="8"/>
          <w:rtl/>
        </w:rPr>
        <w:t xml:space="preserve"> المذكورة. قالوا : لو ملك</w:t>
      </w:r>
      <w:r>
        <w:rPr>
          <w:rStyle w:val="a7"/>
          <w:spacing w:val="8"/>
          <w:rtl/>
        </w:rPr>
        <w:footnoteReference w:id="5138"/>
      </w:r>
      <w:r>
        <w:rPr>
          <w:rFonts w:hint="cs"/>
          <w:spacing w:val="8"/>
          <w:rtl/>
        </w:rPr>
        <w:t xml:space="preserve"> العين يملك</w:t>
      </w:r>
      <w:r>
        <w:rPr>
          <w:rStyle w:val="a7"/>
          <w:spacing w:val="8"/>
          <w:rtl/>
        </w:rPr>
        <w:footnoteReference w:id="5139"/>
      </w:r>
      <w:r>
        <w:rPr>
          <w:rFonts w:hint="cs"/>
          <w:spacing w:val="8"/>
          <w:rtl/>
        </w:rPr>
        <w:t xml:space="preserve"> الأمور المذكورة، ولم يملكها.</w:t>
      </w:r>
    </w:p>
    <w:p w:rsidR="003D5367" w:rsidRDefault="003D5367" w:rsidP="003D5367">
      <w:pPr>
        <w:ind w:left="848" w:hanging="281"/>
        <w:rPr>
          <w:rtl/>
        </w:rPr>
      </w:pPr>
      <w:r>
        <w:rPr>
          <w:rtl/>
        </w:rPr>
        <w:t>•</w:t>
      </w:r>
      <w:r>
        <w:rPr>
          <w:rFonts w:hint="cs"/>
          <w:rtl/>
        </w:rPr>
        <w:t xml:space="preserve"> وذهب مشايخ بلخ : إلى أن جواز التصرف بناء</w:t>
      </w:r>
      <w:r>
        <w:rPr>
          <w:rStyle w:val="a7"/>
          <w:rtl/>
        </w:rPr>
        <w:footnoteReference w:id="5140"/>
      </w:r>
      <w:r>
        <w:rPr>
          <w:rFonts w:hint="cs"/>
          <w:rtl/>
        </w:rPr>
        <w:t xml:space="preserve"> على ملك [العين]</w:t>
      </w:r>
      <w:r>
        <w:rPr>
          <w:rStyle w:val="a7"/>
          <w:rtl/>
        </w:rPr>
        <w:footnoteReference w:id="5141"/>
      </w:r>
      <w:r>
        <w:rPr>
          <w:rFonts w:hint="cs"/>
          <w:rtl/>
        </w:rPr>
        <w:t>.</w:t>
      </w:r>
    </w:p>
    <w:p w:rsidR="003D5367" w:rsidRDefault="003D5367" w:rsidP="003D5367">
      <w:pPr>
        <w:ind w:left="848" w:hanging="281"/>
        <w:rPr>
          <w:spacing w:val="-8"/>
          <w:rtl/>
        </w:rPr>
      </w:pPr>
      <w:r>
        <w:rPr>
          <w:rFonts w:hint="cs"/>
          <w:spacing w:val="-8"/>
          <w:rtl/>
        </w:rPr>
        <w:t xml:space="preserve">   واستدلوا بما إذا اشترى دارًا بشراء فاسد وقبضها، [فبيع]</w:t>
      </w:r>
      <w:r>
        <w:rPr>
          <w:rFonts w:hint="cs"/>
          <w:spacing w:val="-8"/>
          <w:vertAlign w:val="superscript"/>
          <w:rtl/>
        </w:rPr>
        <w:t>(</w:t>
      </w:r>
      <w:r>
        <w:rPr>
          <w:rStyle w:val="a7"/>
          <w:spacing w:val="-8"/>
          <w:rtl/>
        </w:rPr>
        <w:footnoteReference w:id="5142"/>
      </w:r>
      <w:r>
        <w:rPr>
          <w:rFonts w:hint="cs"/>
          <w:spacing w:val="-8"/>
          <w:vertAlign w:val="superscript"/>
          <w:rtl/>
        </w:rPr>
        <w:t>)</w:t>
      </w:r>
      <w:r>
        <w:rPr>
          <w:rFonts w:hint="cs"/>
          <w:spacing w:val="-8"/>
          <w:rtl/>
        </w:rPr>
        <w:t xml:space="preserve"> بجنبها [دار]</w:t>
      </w:r>
      <w:r>
        <w:rPr>
          <w:rStyle w:val="a7"/>
          <w:spacing w:val="-8"/>
          <w:rtl/>
        </w:rPr>
        <w:footnoteReference w:id="5143"/>
      </w:r>
      <w:r>
        <w:rPr>
          <w:rFonts w:hint="cs"/>
          <w:spacing w:val="-8"/>
          <w:rtl/>
        </w:rPr>
        <w:t xml:space="preserve"> : فللمشتري أن يأخذها بالشفعة لنفسه. ولو اشترى جارية بشراء فاسد وقبضها، </w:t>
      </w:r>
      <w:r>
        <w:rPr>
          <w:rFonts w:hint="cs"/>
          <w:spacing w:val="-8"/>
          <w:rtl/>
        </w:rPr>
        <w:lastRenderedPageBreak/>
        <w:t>ثم ردّها عـلى البائـع : وجـب علـيـه الاستـبـراء.</w:t>
      </w:r>
    </w:p>
    <w:p w:rsidR="003D5367" w:rsidRDefault="003D5367" w:rsidP="003D5367">
      <w:pPr>
        <w:ind w:left="848" w:hanging="281"/>
        <w:rPr>
          <w:rtl/>
        </w:rPr>
      </w:pPr>
      <w:r>
        <w:rPr>
          <w:rFonts w:hint="cs"/>
          <w:rtl/>
        </w:rPr>
        <w:t xml:space="preserve">   ولو باع الأب أو الوصـيّ عـبدَ يتيمٍ</w:t>
      </w:r>
      <w:r>
        <w:rPr>
          <w:rStyle w:val="a7"/>
          <w:spacing w:val="-6"/>
          <w:sz w:val="36"/>
          <w:szCs w:val="36"/>
          <w:rtl/>
        </w:rPr>
        <w:footnoteReference w:id="5144"/>
      </w:r>
      <w:r>
        <w:rPr>
          <w:rFonts w:hint="cs"/>
          <w:rtl/>
        </w:rPr>
        <w:t xml:space="preserve"> بيعًا فـاسـدًا، وقـبضه المشتري، ثم أعتقه : جـاز عـتقـه.</w:t>
      </w:r>
    </w:p>
    <w:p w:rsidR="003D5367" w:rsidRDefault="003D5367" w:rsidP="003D5367">
      <w:pPr>
        <w:ind w:left="848" w:hanging="281"/>
        <w:rPr>
          <w:rtl/>
        </w:rPr>
      </w:pPr>
      <w:r>
        <w:rPr>
          <w:rFonts w:hint="cs"/>
          <w:rtl/>
        </w:rPr>
        <w:t>و[لو]</w:t>
      </w:r>
      <w:r>
        <w:rPr>
          <w:rStyle w:val="a7"/>
          <w:spacing w:val="-12"/>
          <w:sz w:val="35"/>
          <w:szCs w:val="35"/>
          <w:rtl/>
        </w:rPr>
        <w:footnoteReference w:id="5145"/>
      </w:r>
      <w:r>
        <w:rPr>
          <w:rFonts w:hint="cs"/>
          <w:rtl/>
        </w:rPr>
        <w:t xml:space="preserve"> كان عتقه على وجه التسليط: لما جازَ؛ لأنّ عتقهما أو تسليطهما على العتق</w:t>
      </w:r>
      <w:r>
        <w:rPr>
          <w:rStyle w:val="a7"/>
          <w:spacing w:val="-12"/>
          <w:sz w:val="35"/>
          <w:szCs w:val="35"/>
          <w:rtl/>
        </w:rPr>
        <w:footnoteReference w:id="5146"/>
      </w:r>
      <w:r>
        <w:rPr>
          <w:rFonts w:hint="cs"/>
          <w:rtl/>
        </w:rPr>
        <w:t xml:space="preserve"> لا يجوز.</w:t>
      </w:r>
    </w:p>
    <w:p w:rsidR="003D5367" w:rsidRDefault="003D5367">
      <w:pPr>
        <w:rPr>
          <w:rtl/>
        </w:rPr>
      </w:pPr>
      <w:r>
        <w:rPr>
          <w:rFonts w:hint="cs"/>
          <w:rtl/>
        </w:rPr>
        <w:t>فعلم بهذه الأحكام</w:t>
      </w:r>
      <w:r>
        <w:rPr>
          <w:rStyle w:val="a7"/>
          <w:rtl/>
        </w:rPr>
        <w:footnoteReference w:id="5147"/>
      </w:r>
      <w:r>
        <w:rPr>
          <w:rFonts w:hint="cs"/>
          <w:rtl/>
        </w:rPr>
        <w:t xml:space="preserve"> أنه يملك العين.</w:t>
      </w:r>
    </w:p>
    <w:p w:rsidR="003D5367" w:rsidRDefault="003D5367">
      <w:pPr>
        <w:rPr>
          <w:rtl/>
        </w:rPr>
      </w:pPr>
      <w:r>
        <w:rPr>
          <w:rFonts w:hint="cs"/>
          <w:rtl/>
        </w:rPr>
        <w:t>وأجابوا عن المسائل المذكورة بما ذكرنا قبل. وهو الأصح</w:t>
      </w:r>
      <w:r>
        <w:rPr>
          <w:rFonts w:hint="eastAsia"/>
          <w:rtl/>
        </w:rPr>
        <w:t>»</w:t>
      </w:r>
      <w:r>
        <w:rPr>
          <w:rFonts w:hint="cs"/>
          <w:vertAlign w:val="superscript"/>
          <w:rtl/>
        </w:rPr>
        <w:t>(</w:t>
      </w:r>
      <w:r>
        <w:rPr>
          <w:rStyle w:val="a7"/>
          <w:rtl/>
        </w:rPr>
        <w:footnoteReference w:id="5148"/>
      </w:r>
      <w:r>
        <w:rPr>
          <w:rFonts w:hint="cs"/>
          <w:vertAlign w:val="superscript"/>
          <w:rtl/>
        </w:rPr>
        <w:t>)</w:t>
      </w:r>
      <w:r>
        <w:rPr>
          <w:rFonts w:hint="cs"/>
          <w:rtl/>
        </w:rPr>
        <w:t>.</w:t>
      </w:r>
    </w:p>
    <w:p w:rsidR="003D5367" w:rsidRDefault="003D5367" w:rsidP="003D5367">
      <w:pPr>
        <w:rPr>
          <w:rtl/>
        </w:rPr>
      </w:pPr>
      <w:r>
        <w:rPr>
          <w:rFonts w:hint="eastAsia"/>
          <w:rtl/>
        </w:rPr>
        <w:t>«</w:t>
      </w:r>
      <w:r>
        <w:rPr>
          <w:rFonts w:hint="cs"/>
          <w:rtl/>
        </w:rPr>
        <w:t>وذكر البزدوي</w:t>
      </w:r>
      <w:r>
        <w:rPr>
          <w:rStyle w:val="a7"/>
          <w:rtl/>
        </w:rPr>
        <w:footnoteReference w:id="5149"/>
      </w:r>
      <w:r>
        <w:rPr>
          <w:rFonts w:hint="cs"/>
          <w:rtl/>
        </w:rPr>
        <w:t xml:space="preserve"> في (عناء الفقهاء)</w:t>
      </w:r>
      <w:r>
        <w:rPr>
          <w:rFonts w:hint="cs"/>
          <w:vertAlign w:val="superscript"/>
          <w:rtl/>
        </w:rPr>
        <w:t>(</w:t>
      </w:r>
      <w:r>
        <w:rPr>
          <w:rStyle w:val="a7"/>
          <w:rtl/>
        </w:rPr>
        <w:footnoteReference w:id="5150"/>
      </w:r>
      <w:r>
        <w:rPr>
          <w:rFonts w:hint="cs"/>
          <w:vertAlign w:val="superscript"/>
          <w:rtl/>
        </w:rPr>
        <w:t>)</w:t>
      </w:r>
      <w:r>
        <w:rPr>
          <w:rFonts w:hint="cs"/>
          <w:rtl/>
        </w:rPr>
        <w:t xml:space="preserve"> من جملة صور بيع الفاسد جملة العقود </w:t>
      </w:r>
      <w:r>
        <w:rPr>
          <w:rFonts w:hint="cs"/>
          <w:rtl/>
        </w:rPr>
        <w:lastRenderedPageBreak/>
        <w:t>الربوية فيملك العوض فيها بالقبض</w:t>
      </w:r>
      <w:r>
        <w:rPr>
          <w:rFonts w:hint="eastAsia"/>
          <w:rtl/>
        </w:rPr>
        <w:t>»</w:t>
      </w:r>
      <w:r>
        <w:rPr>
          <w:rFonts w:hint="cs"/>
          <w:vertAlign w:val="superscript"/>
          <w:rtl/>
        </w:rPr>
        <w:t>(</w:t>
      </w:r>
      <w:r>
        <w:rPr>
          <w:rStyle w:val="a7"/>
          <w:rtl/>
        </w:rPr>
        <w:footnoteReference w:id="5151"/>
      </w:r>
      <w:r>
        <w:rPr>
          <w:rFonts w:hint="cs"/>
          <w:vertAlign w:val="superscript"/>
          <w:rtl/>
        </w:rPr>
        <w:t>)</w:t>
      </w:r>
      <w:r>
        <w:rPr>
          <w:rFonts w:hint="cs"/>
          <w:rtl/>
        </w:rPr>
        <w:t>.</w:t>
      </w:r>
    </w:p>
    <w:p w:rsidR="003D5367" w:rsidRDefault="003D5367" w:rsidP="003D5367">
      <w:pPr>
        <w:rPr>
          <w:rtl/>
        </w:rPr>
      </w:pPr>
      <w:r>
        <w:rPr>
          <w:rFonts w:hint="cs"/>
          <w:rtl/>
        </w:rPr>
        <w:t>وأفتى صاحب (الإرشاد)</w:t>
      </w:r>
      <w:r>
        <w:rPr>
          <w:rFonts w:hint="cs"/>
          <w:vertAlign w:val="superscript"/>
          <w:rtl/>
        </w:rPr>
        <w:t>(</w:t>
      </w:r>
      <w:r>
        <w:rPr>
          <w:rStyle w:val="a7"/>
          <w:rtl/>
        </w:rPr>
        <w:footnoteReference w:id="5152"/>
      </w:r>
      <w:r>
        <w:rPr>
          <w:rFonts w:hint="cs"/>
          <w:vertAlign w:val="superscript"/>
          <w:rtl/>
        </w:rPr>
        <w:t>)</w:t>
      </w:r>
      <w:r>
        <w:rPr>
          <w:rFonts w:hint="cs"/>
          <w:rtl/>
        </w:rPr>
        <w:t xml:space="preserve"> فيـما استدان رجلٌ بشرط كـون كـلّ عـشـرة </w:t>
      </w:r>
    </w:p>
    <w:p w:rsidR="003D5367" w:rsidRDefault="003D5367">
      <w:pPr>
        <w:ind w:firstLine="0"/>
        <w:rPr>
          <w:rtl/>
        </w:rPr>
      </w:pPr>
      <w:r>
        <w:rPr>
          <w:rFonts w:hint="cs"/>
          <w:rtl/>
        </w:rPr>
        <w:lastRenderedPageBreak/>
        <w:t>دراهم</w:t>
      </w:r>
      <w:r>
        <w:rPr>
          <w:rStyle w:val="a7"/>
          <w:rtl/>
        </w:rPr>
        <w:footnoteReference w:id="5153"/>
      </w:r>
      <w:r>
        <w:rPr>
          <w:rFonts w:hint="cs"/>
          <w:rtl/>
        </w:rPr>
        <w:t xml:space="preserve"> أحد عشر ونصف درهم في كلّ سنة، وأدّاه الربح سنين : لا يحسب من رأس المال</w:t>
      </w:r>
      <w:r>
        <w:rPr>
          <w:rStyle w:val="a7"/>
          <w:rtl/>
        </w:rPr>
        <w:footnoteReference w:id="5154"/>
      </w:r>
      <w:r>
        <w:rPr>
          <w:rFonts w:hint="cs"/>
          <w:rtl/>
        </w:rPr>
        <w:t>، لارتكابه المنهي.</w:t>
      </w:r>
    </w:p>
    <w:p w:rsidR="003D5367" w:rsidRDefault="003D5367">
      <w:pPr>
        <w:rPr>
          <w:rtl/>
        </w:rPr>
      </w:pPr>
      <w:r>
        <w:rPr>
          <w:rFonts w:hint="cs"/>
          <w:rtl/>
        </w:rPr>
        <w:t>ومن أفتى بالرّد مقيّد</w:t>
      </w:r>
      <w:r>
        <w:rPr>
          <w:rStyle w:val="a7"/>
          <w:rtl/>
        </w:rPr>
        <w:footnoteReference w:id="5155"/>
      </w:r>
      <w:r>
        <w:rPr>
          <w:rFonts w:hint="cs"/>
          <w:rtl/>
        </w:rPr>
        <w:t xml:space="preserve"> بعدم التزام الرّبح، فعلى تقدير عدم الالزام يحتسب، فإن زاد على الأصل يستردّ الزيادة</w:t>
      </w:r>
      <w:r>
        <w:rPr>
          <w:rFonts w:hint="cs"/>
          <w:vertAlign w:val="superscript"/>
          <w:rtl/>
        </w:rPr>
        <w:t>(</w:t>
      </w:r>
      <w:r>
        <w:rPr>
          <w:rStyle w:val="a7"/>
          <w:rtl/>
        </w:rPr>
        <w:footnoteReference w:id="5156"/>
      </w:r>
      <w:r>
        <w:rPr>
          <w:rFonts w:hint="cs"/>
          <w:vertAlign w:val="superscript"/>
          <w:rtl/>
        </w:rPr>
        <w:t>)</w:t>
      </w:r>
      <w:r>
        <w:rPr>
          <w:rFonts w:hint="cs"/>
          <w:rtl/>
        </w:rPr>
        <w:t>.</w:t>
      </w:r>
    </w:p>
    <w:p w:rsidR="003D5367" w:rsidRDefault="003D5367">
      <w:pPr>
        <w:rPr>
          <w:rtl/>
        </w:rPr>
      </w:pPr>
    </w:p>
    <w:p w:rsidR="003D5367" w:rsidRDefault="003D5367">
      <w:pPr>
        <w:rPr>
          <w:rtl/>
        </w:rPr>
      </w:pPr>
    </w:p>
    <w:p w:rsidR="003D5367" w:rsidRPr="00965725" w:rsidRDefault="003D5367">
      <w:pPr>
        <w:ind w:firstLine="0"/>
        <w:jc w:val="cente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3D5367" w:rsidRDefault="003D5367">
      <w:pPr>
        <w:rPr>
          <w:rtl/>
        </w:rPr>
        <w:sectPr w:rsidR="003D5367" w:rsidSect="00F6051F">
          <w:headerReference w:type="default" r:id="rId30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3D5367" w:rsidRPr="00A51AEF" w:rsidRDefault="003D5367">
      <w:pPr>
        <w:pStyle w:val="a9"/>
        <w:rPr>
          <w:rFonts w:cs="AL-Mateen"/>
          <w:rtl/>
        </w:rPr>
      </w:pPr>
      <w:r w:rsidRPr="00A51AEF">
        <w:rPr>
          <w:rFonts w:cs="AL-Mateen"/>
          <w:rtl/>
        </w:rPr>
        <w:lastRenderedPageBreak/>
        <w:t>[ الـقـاعـدة</w:t>
      </w:r>
      <w:r w:rsidRPr="00A51AEF">
        <w:rPr>
          <w:rFonts w:cs="AL-Mateen" w:hint="cs"/>
          <w:rtl/>
        </w:rPr>
        <w:t xml:space="preserve"> </w:t>
      </w:r>
      <w:r w:rsidRPr="00A51AEF">
        <w:rPr>
          <w:rFonts w:cs="AL-Mateen"/>
          <w:rtl/>
        </w:rPr>
        <w:t>ال</w:t>
      </w:r>
      <w:r w:rsidRPr="00A51AEF">
        <w:rPr>
          <w:rFonts w:cs="AL-Mateen" w:hint="cs"/>
          <w:rtl/>
        </w:rPr>
        <w:t>ـخـمـس</w:t>
      </w:r>
      <w:r w:rsidRPr="00A51AEF">
        <w:rPr>
          <w:rFonts w:cs="AL-Mateen"/>
          <w:rtl/>
        </w:rPr>
        <w:t xml:space="preserve">ـون </w:t>
      </w:r>
      <w:r w:rsidRPr="00A51AEF">
        <w:rPr>
          <w:rFonts w:cs="AL-Mateen" w:hint="eastAsia"/>
          <w:rtl/>
        </w:rPr>
        <w:t>بـعـد</w:t>
      </w:r>
      <w:r w:rsidRPr="00A51AEF">
        <w:rPr>
          <w:rFonts w:cs="AL-Mateen"/>
          <w:rtl/>
        </w:rPr>
        <w:t xml:space="preserve"> الـمـائـتـيـن ]</w:t>
      </w:r>
    </w:p>
    <w:p w:rsidR="003D5367" w:rsidRDefault="003D5367">
      <w:pPr>
        <w:rPr>
          <w:rtl/>
        </w:rPr>
      </w:pPr>
      <w:r>
        <w:rPr>
          <w:rFonts w:cs="Monotype Koufi" w:hint="cs"/>
          <w:rtl/>
        </w:rPr>
        <w:t>النِيّةُ [تعملُ]</w:t>
      </w:r>
      <w:r>
        <w:rPr>
          <w:rStyle w:val="a7"/>
          <w:rtl/>
        </w:rPr>
        <w:footnoteReference w:id="5157"/>
      </w:r>
      <w:r>
        <w:rPr>
          <w:rFonts w:hint="cs"/>
          <w:rtl/>
        </w:rPr>
        <w:t xml:space="preserve"> </w:t>
      </w:r>
      <w:r>
        <w:rPr>
          <w:rFonts w:cs="Monotype Koufi" w:hint="cs"/>
          <w:rtl/>
        </w:rPr>
        <w:t>فِي المُحْتمِلاتِ، لاَ فِي المَوْضُوعَاتِ</w:t>
      </w:r>
      <w:r>
        <w:rPr>
          <w:rStyle w:val="a7"/>
          <w:rtl/>
        </w:rPr>
        <w:footnoteReference w:id="5158"/>
      </w:r>
      <w:r>
        <w:rPr>
          <w:rFonts w:hint="cs"/>
          <w:vertAlign w:val="superscript"/>
          <w:rtl/>
        </w:rPr>
        <w:t>(</w:t>
      </w:r>
      <w:r>
        <w:rPr>
          <w:rStyle w:val="a7"/>
          <w:rtl/>
        </w:rPr>
        <w:footnoteReference w:id="5159"/>
      </w:r>
      <w:r>
        <w:rPr>
          <w:rFonts w:hint="cs"/>
          <w:vertAlign w:val="superscript"/>
          <w:rtl/>
        </w:rPr>
        <w:t>)</w:t>
      </w:r>
      <w:r>
        <w:rPr>
          <w:rFonts w:hint="cs"/>
          <w:rtl/>
        </w:rPr>
        <w:t xml:space="preserve"> :</w:t>
      </w:r>
    </w:p>
    <w:p w:rsidR="003D5367" w:rsidRDefault="003D5367">
      <w:pPr>
        <w:rPr>
          <w:rtl/>
        </w:rPr>
      </w:pPr>
      <w:r>
        <w:rPr>
          <w:rFonts w:hint="cs"/>
          <w:rtl/>
        </w:rPr>
        <w:t>وفروع هذا الأصل كثيرة، وجملة كنايات الطلاق من هذا القبيل</w:t>
      </w:r>
      <w:r>
        <w:rPr>
          <w:rFonts w:hint="cs"/>
          <w:vertAlign w:val="superscript"/>
          <w:rtl/>
        </w:rPr>
        <w:t>(</w:t>
      </w:r>
      <w:r>
        <w:rPr>
          <w:rStyle w:val="a7"/>
          <w:rtl/>
        </w:rPr>
        <w:footnoteReference w:id="5160"/>
      </w:r>
      <w:r>
        <w:rPr>
          <w:rFonts w:hint="cs"/>
          <w:vertAlign w:val="superscript"/>
          <w:rtl/>
        </w:rPr>
        <w:t>)</w:t>
      </w:r>
      <w:r>
        <w:rPr>
          <w:rFonts w:hint="cs"/>
          <w:rtl/>
        </w:rPr>
        <w:t>.</w:t>
      </w:r>
    </w:p>
    <w:p w:rsidR="003D5367" w:rsidRDefault="003D5367">
      <w:pPr>
        <w:rPr>
          <w:spacing w:val="-10"/>
          <w:rtl/>
        </w:rPr>
      </w:pPr>
      <w:r>
        <w:rPr>
          <w:rFonts w:hint="cs"/>
          <w:b/>
          <w:bCs/>
          <w:spacing w:val="-10"/>
          <w:rtl/>
        </w:rPr>
        <w:t>وخـرج</w:t>
      </w:r>
      <w:r>
        <w:rPr>
          <w:rFonts w:hint="cs"/>
          <w:spacing w:val="-10"/>
          <w:rtl/>
        </w:rPr>
        <w:t xml:space="preserve"> عــن هـذا </w:t>
      </w:r>
      <w:r>
        <w:rPr>
          <w:rFonts w:hint="cs"/>
          <w:rtl/>
        </w:rPr>
        <w:t xml:space="preserve">الأصـل مـا ذكـر </w:t>
      </w:r>
      <w:r>
        <w:rPr>
          <w:rFonts w:hint="cs"/>
          <w:spacing w:val="-10"/>
          <w:rtl/>
        </w:rPr>
        <w:t xml:space="preserve"> فـي  (تـحـفـة الفـقهـاء)</w:t>
      </w:r>
      <w:r>
        <w:rPr>
          <w:rFonts w:hint="cs"/>
          <w:spacing w:val="-10"/>
          <w:vertAlign w:val="superscript"/>
          <w:rtl/>
        </w:rPr>
        <w:t>(</w:t>
      </w:r>
      <w:r>
        <w:rPr>
          <w:rStyle w:val="a7"/>
          <w:spacing w:val="-10"/>
          <w:rtl/>
        </w:rPr>
        <w:footnoteReference w:id="5161"/>
      </w:r>
      <w:r>
        <w:rPr>
          <w:rFonts w:hint="cs"/>
          <w:spacing w:val="-10"/>
          <w:vertAlign w:val="superscript"/>
          <w:rtl/>
        </w:rPr>
        <w:t>)</w:t>
      </w:r>
      <w:r>
        <w:rPr>
          <w:rFonts w:hint="cs"/>
          <w:spacing w:val="-10"/>
          <w:rtl/>
        </w:rPr>
        <w:t xml:space="preserve"> </w:t>
      </w:r>
    </w:p>
    <w:p w:rsidR="003D5367" w:rsidRDefault="003D5367">
      <w:pPr>
        <w:ind w:firstLine="0"/>
        <w:rPr>
          <w:spacing w:val="-10"/>
          <w:rtl/>
        </w:rPr>
      </w:pPr>
      <w:r>
        <w:rPr>
          <w:rFonts w:hint="cs"/>
          <w:spacing w:val="-10"/>
          <w:rtl/>
        </w:rPr>
        <w:lastRenderedPageBreak/>
        <w:t>و(شرح الطحاوي)</w:t>
      </w:r>
      <w:r>
        <w:rPr>
          <w:rFonts w:hint="cs"/>
          <w:spacing w:val="-10"/>
          <w:vertAlign w:val="superscript"/>
          <w:rtl/>
        </w:rPr>
        <w:t>(</w:t>
      </w:r>
      <w:r>
        <w:rPr>
          <w:rStyle w:val="a7"/>
          <w:spacing w:val="-10"/>
          <w:rtl/>
        </w:rPr>
        <w:footnoteReference w:id="5162"/>
      </w:r>
      <w:r>
        <w:rPr>
          <w:rFonts w:hint="cs"/>
          <w:spacing w:val="-10"/>
          <w:vertAlign w:val="superscript"/>
          <w:rtl/>
        </w:rPr>
        <w:t>)</w:t>
      </w:r>
      <w:r>
        <w:rPr>
          <w:rFonts w:hint="cs"/>
          <w:spacing w:val="-10"/>
          <w:rtl/>
        </w:rPr>
        <w:t xml:space="preserve">: </w:t>
      </w:r>
      <w:r>
        <w:rPr>
          <w:rFonts w:hint="eastAsia"/>
          <w:spacing w:val="-10"/>
          <w:rtl/>
        </w:rPr>
        <w:t>«</w:t>
      </w:r>
      <w:r>
        <w:rPr>
          <w:rFonts w:hint="cs"/>
          <w:spacing w:val="-10"/>
          <w:rtl/>
        </w:rPr>
        <w:t>إذا كان اللفظان أو أحدهما من الإيجاب والقبول مستقبلاً بدون نية الإيجاب في الحال لا ينعقد البيع.</w:t>
      </w:r>
    </w:p>
    <w:p w:rsidR="003D5367" w:rsidRDefault="003D5367">
      <w:pPr>
        <w:rPr>
          <w:rtl/>
        </w:rPr>
      </w:pPr>
      <w:r>
        <w:rPr>
          <w:rFonts w:hint="cs"/>
          <w:rtl/>
        </w:rPr>
        <w:t>وأما إذا كان المراد ذلك فينعقد البيع</w:t>
      </w:r>
      <w:r>
        <w:rPr>
          <w:rFonts w:hint="eastAsia"/>
          <w:rtl/>
        </w:rPr>
        <w:t>»</w:t>
      </w:r>
      <w:r>
        <w:rPr>
          <w:rFonts w:hint="cs"/>
          <w:vertAlign w:val="superscript"/>
          <w:rtl/>
        </w:rPr>
        <w:t>(</w:t>
      </w:r>
      <w:r>
        <w:rPr>
          <w:rStyle w:val="a7"/>
          <w:rtl/>
        </w:rPr>
        <w:footnoteReference w:id="5163"/>
      </w:r>
      <w:r>
        <w:rPr>
          <w:rFonts w:hint="cs"/>
          <w:vertAlign w:val="superscript"/>
          <w:rtl/>
        </w:rPr>
        <w:t>)</w:t>
      </w:r>
      <w:r>
        <w:rPr>
          <w:rFonts w:hint="cs"/>
          <w:rtl/>
        </w:rPr>
        <w:t>.</w:t>
      </w:r>
    </w:p>
    <w:p w:rsidR="003D5367" w:rsidRDefault="003D5367">
      <w:pPr>
        <w:rPr>
          <w:rtl/>
        </w:rPr>
      </w:pPr>
      <w:r>
        <w:rPr>
          <w:rFonts w:hint="cs"/>
          <w:rtl/>
        </w:rPr>
        <w:t xml:space="preserve">والمذكور في كتب الفقهاء : </w:t>
      </w:r>
      <w:r>
        <w:rPr>
          <w:rFonts w:hint="eastAsia"/>
          <w:rtl/>
        </w:rPr>
        <w:t>«</w:t>
      </w:r>
      <w:r>
        <w:rPr>
          <w:rFonts w:hint="cs"/>
          <w:rtl/>
        </w:rPr>
        <w:t>لا ينعقد بلفظين أحدهما المستقبل</w:t>
      </w:r>
      <w:r>
        <w:rPr>
          <w:rFonts w:hint="eastAsia"/>
          <w:rtl/>
        </w:rPr>
        <w:t>»</w:t>
      </w:r>
      <w:r>
        <w:rPr>
          <w:rFonts w:hint="cs"/>
          <w:vertAlign w:val="superscript"/>
          <w:rtl/>
        </w:rPr>
        <w:t>(</w:t>
      </w:r>
      <w:r>
        <w:rPr>
          <w:rStyle w:val="a7"/>
          <w:rtl/>
        </w:rPr>
        <w:footnoteReference w:id="5164"/>
      </w:r>
      <w:r>
        <w:rPr>
          <w:rFonts w:hint="cs"/>
          <w:vertAlign w:val="superscript"/>
          <w:rtl/>
        </w:rPr>
        <w:t>)</w:t>
      </w:r>
      <w:r>
        <w:rPr>
          <w:rFonts w:hint="cs"/>
          <w:rtl/>
        </w:rPr>
        <w:t xml:space="preserve"> :</w:t>
      </w:r>
    </w:p>
    <w:p w:rsidR="003D5367" w:rsidRDefault="003D5367">
      <w:pPr>
        <w:rPr>
          <w:rtl/>
        </w:rPr>
      </w:pPr>
      <w:r>
        <w:rPr>
          <w:rFonts w:hint="cs"/>
          <w:rtl/>
        </w:rPr>
        <w:t>فإن أُريد بالمستقبل ما يكون بالسين أو سوف</w:t>
      </w:r>
      <w:r>
        <w:rPr>
          <w:rStyle w:val="a7"/>
          <w:rtl/>
        </w:rPr>
        <w:footnoteReference w:id="5165"/>
      </w:r>
      <w:r>
        <w:rPr>
          <w:rFonts w:hint="cs"/>
          <w:rtl/>
        </w:rPr>
        <w:t xml:space="preserve"> فهو لا يحتمل الحال، ولا وُضِعَ لَهُ، فَنِيَّة الحال غير صحيحة</w:t>
      </w:r>
      <w:r>
        <w:rPr>
          <w:rStyle w:val="a7"/>
          <w:rtl/>
        </w:rPr>
        <w:footnoteReference w:id="5166"/>
      </w:r>
      <w:r>
        <w:rPr>
          <w:rFonts w:hint="cs"/>
          <w:rtl/>
        </w:rPr>
        <w:t>؛ لعدم [مصادفتها]</w:t>
      </w:r>
      <w:r>
        <w:rPr>
          <w:rStyle w:val="a7"/>
          <w:rtl/>
        </w:rPr>
        <w:footnoteReference w:id="5167"/>
      </w:r>
      <w:r>
        <w:rPr>
          <w:rFonts w:hint="cs"/>
          <w:rtl/>
        </w:rPr>
        <w:t xml:space="preserve"> المحلّ.</w:t>
      </w:r>
    </w:p>
    <w:p w:rsidR="003D5367" w:rsidRDefault="003D5367">
      <w:pPr>
        <w:rPr>
          <w:rtl/>
        </w:rPr>
      </w:pPr>
      <w:r>
        <w:rPr>
          <w:rFonts w:hint="cs"/>
          <w:rtl/>
        </w:rPr>
        <w:t>وإن أريد ما يحتمل الاستقبال (أعني صيغة المضارع) فهي عند الفقهاء [موضوعة]</w:t>
      </w:r>
      <w:r>
        <w:rPr>
          <w:rStyle w:val="a7"/>
          <w:rtl/>
        </w:rPr>
        <w:footnoteReference w:id="5168"/>
      </w:r>
      <w:r>
        <w:rPr>
          <w:rFonts w:hint="cs"/>
          <w:rtl/>
        </w:rPr>
        <w:t xml:space="preserve"> للحال</w:t>
      </w:r>
      <w:r>
        <w:rPr>
          <w:rStyle w:val="a7"/>
          <w:rtl/>
        </w:rPr>
        <w:footnoteReference w:id="5169"/>
      </w:r>
      <w:r>
        <w:rPr>
          <w:rFonts w:hint="cs"/>
          <w:rtl/>
        </w:rPr>
        <w:t>، فينبغي أن لا [تعمل]</w:t>
      </w:r>
      <w:r>
        <w:rPr>
          <w:rStyle w:val="a7"/>
          <w:rtl/>
        </w:rPr>
        <w:footnoteReference w:id="5170"/>
      </w:r>
      <w:r>
        <w:rPr>
          <w:rFonts w:hint="cs"/>
          <w:rtl/>
        </w:rPr>
        <w:t xml:space="preserve"> النية فيها على مقتضى هذا الأصل</w:t>
      </w:r>
      <w:r>
        <w:rPr>
          <w:rFonts w:hint="cs"/>
          <w:vertAlign w:val="superscript"/>
          <w:rtl/>
        </w:rPr>
        <w:t>(</w:t>
      </w:r>
      <w:r>
        <w:rPr>
          <w:rStyle w:val="a7"/>
          <w:rtl/>
        </w:rPr>
        <w:footnoteReference w:id="5171"/>
      </w:r>
      <w:r>
        <w:rPr>
          <w:rFonts w:hint="cs"/>
          <w:vertAlign w:val="superscript"/>
          <w:rtl/>
        </w:rPr>
        <w:t>)</w:t>
      </w:r>
      <w:r>
        <w:rPr>
          <w:rFonts w:hint="cs"/>
          <w:rtl/>
        </w:rPr>
        <w:t>.</w:t>
      </w:r>
    </w:p>
    <w:p w:rsidR="003D5367" w:rsidRDefault="003D5367">
      <w:pPr>
        <w:rPr>
          <w:rtl/>
        </w:rPr>
      </w:pPr>
      <w:r>
        <w:rPr>
          <w:rFonts w:hint="cs"/>
          <w:b/>
          <w:bCs/>
          <w:rtl/>
        </w:rPr>
        <w:lastRenderedPageBreak/>
        <w:t>والجواب</w:t>
      </w:r>
      <w:r>
        <w:rPr>
          <w:rFonts w:hint="cs"/>
          <w:rtl/>
        </w:rPr>
        <w:t xml:space="preserve"> : أن </w:t>
      </w:r>
      <w:r>
        <w:rPr>
          <w:rFonts w:hint="eastAsia"/>
          <w:rtl/>
        </w:rPr>
        <w:t>«</w:t>
      </w:r>
      <w:r>
        <w:rPr>
          <w:rFonts w:hint="cs"/>
          <w:rtl/>
        </w:rPr>
        <w:t>المضارع حقيقة في الحال في غير البيوع، والحقيقة الشرعية فيها هو اللفظ الماضي، والمضارع فيها مجاز فيحتاج إلى النية</w:t>
      </w:r>
      <w:r>
        <w:rPr>
          <w:rFonts w:hint="eastAsia"/>
          <w:rtl/>
        </w:rPr>
        <w:t>»</w:t>
      </w:r>
      <w:r>
        <w:rPr>
          <w:rFonts w:hint="cs"/>
          <w:vertAlign w:val="superscript"/>
          <w:rtl/>
        </w:rPr>
        <w:t>(</w:t>
      </w:r>
      <w:r>
        <w:rPr>
          <w:rStyle w:val="a7"/>
          <w:rtl/>
        </w:rPr>
        <w:footnoteReference w:id="5172"/>
      </w:r>
      <w:r>
        <w:rPr>
          <w:rFonts w:hint="cs"/>
          <w:vertAlign w:val="superscript"/>
          <w:rtl/>
        </w:rPr>
        <w:t>)</w:t>
      </w:r>
      <w:r>
        <w:rPr>
          <w:rFonts w:hint="cs"/>
          <w:rtl/>
        </w:rPr>
        <w:t>.</w:t>
      </w:r>
    </w:p>
    <w:p w:rsidR="003D5367" w:rsidRDefault="003D5367">
      <w:pPr>
        <w:rPr>
          <w:spacing w:val="6"/>
          <w:rtl/>
        </w:rPr>
      </w:pPr>
      <w:r>
        <w:rPr>
          <w:rFonts w:hint="cs"/>
          <w:spacing w:val="6"/>
          <w:rtl/>
        </w:rPr>
        <w:t>هذا إجمال ما ذكر في أوائل كتاب البيوع في (العناية)</w:t>
      </w:r>
      <w:r>
        <w:rPr>
          <w:rFonts w:hint="cs"/>
          <w:spacing w:val="6"/>
          <w:vertAlign w:val="superscript"/>
          <w:rtl/>
        </w:rPr>
        <w:t>(</w:t>
      </w:r>
      <w:r>
        <w:rPr>
          <w:rStyle w:val="a7"/>
          <w:spacing w:val="6"/>
          <w:rtl/>
        </w:rPr>
        <w:footnoteReference w:id="5173"/>
      </w:r>
      <w:r>
        <w:rPr>
          <w:rFonts w:hint="cs"/>
          <w:spacing w:val="6"/>
          <w:vertAlign w:val="superscript"/>
          <w:rtl/>
        </w:rPr>
        <w:t>)</w:t>
      </w:r>
      <w:r>
        <w:rPr>
          <w:rFonts w:hint="cs"/>
          <w:spacing w:val="6"/>
          <w:rtl/>
        </w:rPr>
        <w:t>، فإن أردت التفصيل</w:t>
      </w:r>
      <w:r>
        <w:rPr>
          <w:rStyle w:val="a7"/>
          <w:spacing w:val="6"/>
          <w:rtl/>
        </w:rPr>
        <w:footnoteReference w:id="5174"/>
      </w:r>
      <w:r>
        <w:rPr>
          <w:rFonts w:hint="cs"/>
          <w:spacing w:val="6"/>
          <w:rtl/>
        </w:rPr>
        <w:t xml:space="preserve"> [فراجعه]</w:t>
      </w:r>
      <w:r>
        <w:rPr>
          <w:rStyle w:val="a7"/>
          <w:spacing w:val="6"/>
          <w:rtl/>
        </w:rPr>
        <w:footnoteReference w:id="5175"/>
      </w:r>
      <w:r>
        <w:rPr>
          <w:rFonts w:hint="cs"/>
          <w:spacing w:val="6"/>
          <w:rtl/>
        </w:rPr>
        <w:t>.</w:t>
      </w:r>
    </w:p>
    <w:p w:rsidR="003D5367" w:rsidRDefault="003D5367">
      <w:pPr>
        <w:rPr>
          <w:spacing w:val="6"/>
          <w:rtl/>
        </w:rPr>
      </w:pPr>
    </w:p>
    <w:p w:rsidR="003D5367" w:rsidRDefault="003D5367">
      <w:pPr>
        <w:rPr>
          <w:spacing w:val="6"/>
          <w:rtl/>
        </w:rPr>
      </w:pPr>
    </w:p>
    <w:p w:rsidR="003D5367" w:rsidRDefault="003D5367">
      <w:pPr>
        <w:ind w:firstLine="0"/>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852BAC" w:rsidRDefault="00852BAC">
      <w:pPr>
        <w:ind w:firstLine="0"/>
        <w:jc w:val="center"/>
        <w:rPr>
          <w:rtl/>
        </w:rPr>
        <w:sectPr w:rsidR="00852BAC" w:rsidSect="00F6051F">
          <w:headerReference w:type="default" r:id="rId30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A51AEF" w:rsidRDefault="00A66747">
      <w:pPr>
        <w:pStyle w:val="a9"/>
        <w:rPr>
          <w:rFonts w:cs="AL-Mateen"/>
          <w:rtl/>
        </w:rPr>
      </w:pPr>
      <w:r w:rsidRPr="00A51AEF">
        <w:rPr>
          <w:rFonts w:cs="AL-Mateen"/>
          <w:rtl/>
        </w:rPr>
        <w:lastRenderedPageBreak/>
        <w:t>[ الـقـاعـدة</w:t>
      </w:r>
      <w:r w:rsidRPr="00A51AEF">
        <w:rPr>
          <w:rFonts w:cs="AL-Mateen" w:hint="cs"/>
          <w:rtl/>
        </w:rPr>
        <w:t xml:space="preserve"> </w:t>
      </w:r>
      <w:r w:rsidRPr="00A51AEF">
        <w:rPr>
          <w:rFonts w:cs="AL-Mateen"/>
          <w:rtl/>
        </w:rPr>
        <w:t>ال</w:t>
      </w:r>
      <w:r w:rsidRPr="00A51AEF">
        <w:rPr>
          <w:rFonts w:cs="AL-Mateen" w:hint="cs"/>
          <w:rtl/>
        </w:rPr>
        <w:t>ـخـمـس</w:t>
      </w:r>
      <w:r w:rsidRPr="00A51AEF">
        <w:rPr>
          <w:rFonts w:cs="AL-Mateen"/>
          <w:rtl/>
        </w:rPr>
        <w:t xml:space="preserve">ـون </w:t>
      </w:r>
      <w:r w:rsidRPr="00A51AEF">
        <w:rPr>
          <w:rFonts w:cs="AL-Mateen" w:hint="eastAsia"/>
          <w:rtl/>
        </w:rPr>
        <w:t>بـعـد</w:t>
      </w:r>
      <w:r w:rsidRPr="00A51AEF">
        <w:rPr>
          <w:rFonts w:cs="AL-Mateen"/>
          <w:rtl/>
        </w:rPr>
        <w:t xml:space="preserve"> الـمـائـتـيـن ]</w:t>
      </w:r>
    </w:p>
    <w:p w:rsidR="00A66747" w:rsidRDefault="00A66747">
      <w:pPr>
        <w:rPr>
          <w:rtl/>
        </w:rPr>
      </w:pPr>
      <w:r>
        <w:rPr>
          <w:rFonts w:cs="Monotype Koufi" w:hint="cs"/>
          <w:rtl/>
        </w:rPr>
        <w:t>النِيّةُ [تعملُ]</w:t>
      </w:r>
      <w:r>
        <w:rPr>
          <w:rStyle w:val="a7"/>
          <w:rtl/>
        </w:rPr>
        <w:footnoteReference w:id="5176"/>
      </w:r>
      <w:r>
        <w:rPr>
          <w:rFonts w:hint="cs"/>
          <w:rtl/>
        </w:rPr>
        <w:t xml:space="preserve"> </w:t>
      </w:r>
      <w:r>
        <w:rPr>
          <w:rFonts w:cs="Monotype Koufi" w:hint="cs"/>
          <w:rtl/>
        </w:rPr>
        <w:t>فِي المُحْتمِلاتِ، لاَ فِي المَوْضُوعَاتِ</w:t>
      </w:r>
      <w:r>
        <w:rPr>
          <w:rStyle w:val="a7"/>
          <w:rtl/>
        </w:rPr>
        <w:footnoteReference w:id="5177"/>
      </w:r>
      <w:r>
        <w:rPr>
          <w:rFonts w:hint="cs"/>
          <w:vertAlign w:val="superscript"/>
          <w:rtl/>
        </w:rPr>
        <w:t>(</w:t>
      </w:r>
      <w:r>
        <w:rPr>
          <w:rStyle w:val="a7"/>
          <w:rtl/>
        </w:rPr>
        <w:footnoteReference w:id="5178"/>
      </w:r>
      <w:r>
        <w:rPr>
          <w:rFonts w:hint="cs"/>
          <w:vertAlign w:val="superscript"/>
          <w:rtl/>
        </w:rPr>
        <w:t>)</w:t>
      </w:r>
      <w:r>
        <w:rPr>
          <w:rFonts w:hint="cs"/>
          <w:rtl/>
        </w:rPr>
        <w:t xml:space="preserve"> :</w:t>
      </w:r>
    </w:p>
    <w:p w:rsidR="00A66747" w:rsidRDefault="00A66747">
      <w:pPr>
        <w:rPr>
          <w:rtl/>
        </w:rPr>
      </w:pPr>
      <w:r>
        <w:rPr>
          <w:rFonts w:hint="cs"/>
          <w:rtl/>
        </w:rPr>
        <w:t>وفروع هذا الأصل كثيرة، وجملة كنايات الطلاق من هذا القبيل</w:t>
      </w:r>
      <w:r>
        <w:rPr>
          <w:rFonts w:hint="cs"/>
          <w:vertAlign w:val="superscript"/>
          <w:rtl/>
        </w:rPr>
        <w:t>(</w:t>
      </w:r>
      <w:r>
        <w:rPr>
          <w:rStyle w:val="a7"/>
          <w:rtl/>
        </w:rPr>
        <w:footnoteReference w:id="5179"/>
      </w:r>
      <w:r>
        <w:rPr>
          <w:rFonts w:hint="cs"/>
          <w:vertAlign w:val="superscript"/>
          <w:rtl/>
        </w:rPr>
        <w:t>)</w:t>
      </w:r>
      <w:r>
        <w:rPr>
          <w:rFonts w:hint="cs"/>
          <w:rtl/>
        </w:rPr>
        <w:t>.</w:t>
      </w:r>
    </w:p>
    <w:p w:rsidR="00A66747" w:rsidRDefault="00A66747">
      <w:pPr>
        <w:rPr>
          <w:spacing w:val="-10"/>
          <w:rtl/>
        </w:rPr>
      </w:pPr>
      <w:r>
        <w:rPr>
          <w:rFonts w:hint="cs"/>
          <w:b/>
          <w:bCs/>
          <w:spacing w:val="-10"/>
          <w:rtl/>
        </w:rPr>
        <w:t>وخـرج</w:t>
      </w:r>
      <w:r>
        <w:rPr>
          <w:rFonts w:hint="cs"/>
          <w:spacing w:val="-10"/>
          <w:rtl/>
        </w:rPr>
        <w:t xml:space="preserve"> عــن هـذا </w:t>
      </w:r>
      <w:r>
        <w:rPr>
          <w:rFonts w:hint="cs"/>
          <w:rtl/>
        </w:rPr>
        <w:t xml:space="preserve">الأصـل مـا ذكـر </w:t>
      </w:r>
      <w:r>
        <w:rPr>
          <w:rFonts w:hint="cs"/>
          <w:spacing w:val="-10"/>
          <w:rtl/>
        </w:rPr>
        <w:t xml:space="preserve"> فـي  (تـحـفـة الفـقهـاء)</w:t>
      </w:r>
      <w:r>
        <w:rPr>
          <w:rFonts w:hint="cs"/>
          <w:spacing w:val="-10"/>
          <w:vertAlign w:val="superscript"/>
          <w:rtl/>
        </w:rPr>
        <w:t>(</w:t>
      </w:r>
      <w:r>
        <w:rPr>
          <w:rStyle w:val="a7"/>
          <w:spacing w:val="-10"/>
          <w:rtl/>
        </w:rPr>
        <w:footnoteReference w:id="5180"/>
      </w:r>
      <w:r>
        <w:rPr>
          <w:rFonts w:hint="cs"/>
          <w:spacing w:val="-10"/>
          <w:vertAlign w:val="superscript"/>
          <w:rtl/>
        </w:rPr>
        <w:t>)</w:t>
      </w:r>
      <w:r>
        <w:rPr>
          <w:rFonts w:hint="cs"/>
          <w:spacing w:val="-10"/>
          <w:rtl/>
        </w:rPr>
        <w:t xml:space="preserve"> </w:t>
      </w:r>
    </w:p>
    <w:p w:rsidR="00A66747" w:rsidRDefault="00A66747">
      <w:pPr>
        <w:ind w:firstLine="0"/>
        <w:rPr>
          <w:spacing w:val="-10"/>
          <w:rtl/>
        </w:rPr>
      </w:pPr>
      <w:r>
        <w:rPr>
          <w:rFonts w:hint="cs"/>
          <w:spacing w:val="-10"/>
          <w:rtl/>
        </w:rPr>
        <w:lastRenderedPageBreak/>
        <w:t>و(شرح الطحاوي)</w:t>
      </w:r>
      <w:r>
        <w:rPr>
          <w:rFonts w:hint="cs"/>
          <w:spacing w:val="-10"/>
          <w:vertAlign w:val="superscript"/>
          <w:rtl/>
        </w:rPr>
        <w:t>(</w:t>
      </w:r>
      <w:r>
        <w:rPr>
          <w:rStyle w:val="a7"/>
          <w:spacing w:val="-10"/>
          <w:rtl/>
        </w:rPr>
        <w:footnoteReference w:id="5181"/>
      </w:r>
      <w:r>
        <w:rPr>
          <w:rFonts w:hint="cs"/>
          <w:spacing w:val="-10"/>
          <w:vertAlign w:val="superscript"/>
          <w:rtl/>
        </w:rPr>
        <w:t>)</w:t>
      </w:r>
      <w:r>
        <w:rPr>
          <w:rFonts w:hint="cs"/>
          <w:spacing w:val="-10"/>
          <w:rtl/>
        </w:rPr>
        <w:t xml:space="preserve">: </w:t>
      </w:r>
      <w:r>
        <w:rPr>
          <w:rFonts w:hint="eastAsia"/>
          <w:spacing w:val="-10"/>
          <w:rtl/>
        </w:rPr>
        <w:t>«</w:t>
      </w:r>
      <w:r>
        <w:rPr>
          <w:rFonts w:hint="cs"/>
          <w:spacing w:val="-10"/>
          <w:rtl/>
        </w:rPr>
        <w:t>إذا كان اللفظان أو أحدهما من الإيجاب والقبول مستقبلاً بدون نية الإيجاب في الحال لا ينعقد البيع.</w:t>
      </w:r>
    </w:p>
    <w:p w:rsidR="00A66747" w:rsidRDefault="00A66747">
      <w:pPr>
        <w:rPr>
          <w:rtl/>
        </w:rPr>
      </w:pPr>
      <w:r>
        <w:rPr>
          <w:rFonts w:hint="cs"/>
          <w:rtl/>
        </w:rPr>
        <w:t>وأما إذا كان المراد ذلك فينعقد البيع</w:t>
      </w:r>
      <w:r>
        <w:rPr>
          <w:rFonts w:hint="eastAsia"/>
          <w:rtl/>
        </w:rPr>
        <w:t>»</w:t>
      </w:r>
      <w:r>
        <w:rPr>
          <w:rFonts w:hint="cs"/>
          <w:vertAlign w:val="superscript"/>
          <w:rtl/>
        </w:rPr>
        <w:t>(</w:t>
      </w:r>
      <w:r>
        <w:rPr>
          <w:rStyle w:val="a7"/>
          <w:rtl/>
        </w:rPr>
        <w:footnoteReference w:id="5182"/>
      </w:r>
      <w:r>
        <w:rPr>
          <w:rFonts w:hint="cs"/>
          <w:vertAlign w:val="superscript"/>
          <w:rtl/>
        </w:rPr>
        <w:t>)</w:t>
      </w:r>
      <w:r>
        <w:rPr>
          <w:rFonts w:hint="cs"/>
          <w:rtl/>
        </w:rPr>
        <w:t>.</w:t>
      </w:r>
    </w:p>
    <w:p w:rsidR="00A66747" w:rsidRDefault="00A66747">
      <w:pPr>
        <w:rPr>
          <w:rtl/>
        </w:rPr>
      </w:pPr>
      <w:r>
        <w:rPr>
          <w:rFonts w:hint="cs"/>
          <w:rtl/>
        </w:rPr>
        <w:t xml:space="preserve">والمذكور في كتب الفقهاء : </w:t>
      </w:r>
      <w:r>
        <w:rPr>
          <w:rFonts w:hint="eastAsia"/>
          <w:rtl/>
        </w:rPr>
        <w:t>«</w:t>
      </w:r>
      <w:r>
        <w:rPr>
          <w:rFonts w:hint="cs"/>
          <w:rtl/>
        </w:rPr>
        <w:t>لا ينعقد بلفظين أحدهما المستقبل</w:t>
      </w:r>
      <w:r>
        <w:rPr>
          <w:rFonts w:hint="eastAsia"/>
          <w:rtl/>
        </w:rPr>
        <w:t>»</w:t>
      </w:r>
      <w:r>
        <w:rPr>
          <w:rFonts w:hint="cs"/>
          <w:vertAlign w:val="superscript"/>
          <w:rtl/>
        </w:rPr>
        <w:t>(</w:t>
      </w:r>
      <w:r>
        <w:rPr>
          <w:rStyle w:val="a7"/>
          <w:rtl/>
        </w:rPr>
        <w:footnoteReference w:id="5183"/>
      </w:r>
      <w:r>
        <w:rPr>
          <w:rFonts w:hint="cs"/>
          <w:vertAlign w:val="superscript"/>
          <w:rtl/>
        </w:rPr>
        <w:t>)</w:t>
      </w:r>
      <w:r>
        <w:rPr>
          <w:rFonts w:hint="cs"/>
          <w:rtl/>
        </w:rPr>
        <w:t xml:space="preserve"> :</w:t>
      </w:r>
    </w:p>
    <w:p w:rsidR="00A66747" w:rsidRDefault="00A66747">
      <w:pPr>
        <w:rPr>
          <w:rtl/>
        </w:rPr>
      </w:pPr>
      <w:r>
        <w:rPr>
          <w:rFonts w:hint="cs"/>
          <w:rtl/>
        </w:rPr>
        <w:t>فإن أُريد بالمستقبل ما يكون بالسين أو سوف</w:t>
      </w:r>
      <w:r>
        <w:rPr>
          <w:rStyle w:val="a7"/>
          <w:rtl/>
        </w:rPr>
        <w:footnoteReference w:id="5184"/>
      </w:r>
      <w:r>
        <w:rPr>
          <w:rFonts w:hint="cs"/>
          <w:rtl/>
        </w:rPr>
        <w:t xml:space="preserve"> فهو لا يحتمل الحال، ولا وُضِعَ لَهُ، فَنِيَّة الحال غير صحيحة</w:t>
      </w:r>
      <w:r>
        <w:rPr>
          <w:rStyle w:val="a7"/>
          <w:rtl/>
        </w:rPr>
        <w:footnoteReference w:id="5185"/>
      </w:r>
      <w:r>
        <w:rPr>
          <w:rFonts w:hint="cs"/>
          <w:rtl/>
        </w:rPr>
        <w:t>؛ لعدم [مصادفتها]</w:t>
      </w:r>
      <w:r>
        <w:rPr>
          <w:rStyle w:val="a7"/>
          <w:rtl/>
        </w:rPr>
        <w:footnoteReference w:id="5186"/>
      </w:r>
      <w:r>
        <w:rPr>
          <w:rFonts w:hint="cs"/>
          <w:rtl/>
        </w:rPr>
        <w:t xml:space="preserve"> المحلّ.</w:t>
      </w:r>
    </w:p>
    <w:p w:rsidR="00A66747" w:rsidRDefault="00A66747">
      <w:pPr>
        <w:rPr>
          <w:rtl/>
        </w:rPr>
      </w:pPr>
      <w:r>
        <w:rPr>
          <w:rFonts w:hint="cs"/>
          <w:rtl/>
        </w:rPr>
        <w:t>وإن أريد ما يحتمل الاستقبال (أعني صيغة المضارع) فهي عند الفقهاء [موضوعة]</w:t>
      </w:r>
      <w:r>
        <w:rPr>
          <w:rStyle w:val="a7"/>
          <w:rtl/>
        </w:rPr>
        <w:footnoteReference w:id="5187"/>
      </w:r>
      <w:r>
        <w:rPr>
          <w:rFonts w:hint="cs"/>
          <w:rtl/>
        </w:rPr>
        <w:t xml:space="preserve"> للحال</w:t>
      </w:r>
      <w:r>
        <w:rPr>
          <w:rStyle w:val="a7"/>
          <w:rtl/>
        </w:rPr>
        <w:footnoteReference w:id="5188"/>
      </w:r>
      <w:r>
        <w:rPr>
          <w:rFonts w:hint="cs"/>
          <w:rtl/>
        </w:rPr>
        <w:t>، فينبغي أن لا [تعمل]</w:t>
      </w:r>
      <w:r>
        <w:rPr>
          <w:rStyle w:val="a7"/>
          <w:rtl/>
        </w:rPr>
        <w:footnoteReference w:id="5189"/>
      </w:r>
      <w:r>
        <w:rPr>
          <w:rFonts w:hint="cs"/>
          <w:rtl/>
        </w:rPr>
        <w:t xml:space="preserve"> النية فيها على مقتضى هذا الأصل</w:t>
      </w:r>
      <w:r>
        <w:rPr>
          <w:rFonts w:hint="cs"/>
          <w:vertAlign w:val="superscript"/>
          <w:rtl/>
        </w:rPr>
        <w:t>(</w:t>
      </w:r>
      <w:r>
        <w:rPr>
          <w:rStyle w:val="a7"/>
          <w:rtl/>
        </w:rPr>
        <w:footnoteReference w:id="5190"/>
      </w:r>
      <w:r>
        <w:rPr>
          <w:rFonts w:hint="cs"/>
          <w:vertAlign w:val="superscript"/>
          <w:rtl/>
        </w:rPr>
        <w:t>)</w:t>
      </w:r>
      <w:r>
        <w:rPr>
          <w:rFonts w:hint="cs"/>
          <w:rtl/>
        </w:rPr>
        <w:t>.</w:t>
      </w:r>
    </w:p>
    <w:p w:rsidR="00A66747" w:rsidRDefault="00A66747">
      <w:pPr>
        <w:rPr>
          <w:rtl/>
        </w:rPr>
      </w:pPr>
      <w:r>
        <w:rPr>
          <w:rFonts w:hint="cs"/>
          <w:b/>
          <w:bCs/>
          <w:rtl/>
        </w:rPr>
        <w:lastRenderedPageBreak/>
        <w:t>والجواب</w:t>
      </w:r>
      <w:r>
        <w:rPr>
          <w:rFonts w:hint="cs"/>
          <w:rtl/>
        </w:rPr>
        <w:t xml:space="preserve"> : أن </w:t>
      </w:r>
      <w:r>
        <w:rPr>
          <w:rFonts w:hint="eastAsia"/>
          <w:rtl/>
        </w:rPr>
        <w:t>«</w:t>
      </w:r>
      <w:r>
        <w:rPr>
          <w:rFonts w:hint="cs"/>
          <w:rtl/>
        </w:rPr>
        <w:t>المضارع حقيقة في الحال في غير البيوع، والحقيقة الشرعية فيها هو اللفظ الماضي، والمضارع فيها مجاز فيحتاج إلى النية</w:t>
      </w:r>
      <w:r>
        <w:rPr>
          <w:rFonts w:hint="eastAsia"/>
          <w:rtl/>
        </w:rPr>
        <w:t>»</w:t>
      </w:r>
      <w:r>
        <w:rPr>
          <w:rFonts w:hint="cs"/>
          <w:vertAlign w:val="superscript"/>
          <w:rtl/>
        </w:rPr>
        <w:t>(</w:t>
      </w:r>
      <w:r>
        <w:rPr>
          <w:rStyle w:val="a7"/>
          <w:rtl/>
        </w:rPr>
        <w:footnoteReference w:id="5191"/>
      </w:r>
      <w:r>
        <w:rPr>
          <w:rFonts w:hint="cs"/>
          <w:vertAlign w:val="superscript"/>
          <w:rtl/>
        </w:rPr>
        <w:t>)</w:t>
      </w:r>
      <w:r>
        <w:rPr>
          <w:rFonts w:hint="cs"/>
          <w:rtl/>
        </w:rPr>
        <w:t>.</w:t>
      </w:r>
    </w:p>
    <w:p w:rsidR="00A66747" w:rsidRDefault="00A66747">
      <w:pPr>
        <w:rPr>
          <w:spacing w:val="6"/>
          <w:rtl/>
        </w:rPr>
      </w:pPr>
      <w:r>
        <w:rPr>
          <w:rFonts w:hint="cs"/>
          <w:spacing w:val="6"/>
          <w:rtl/>
        </w:rPr>
        <w:t>هذا إجمال ما ذكر في أوائل كتاب البيوع في (العناية)</w:t>
      </w:r>
      <w:r>
        <w:rPr>
          <w:rFonts w:hint="cs"/>
          <w:spacing w:val="6"/>
          <w:vertAlign w:val="superscript"/>
          <w:rtl/>
        </w:rPr>
        <w:t>(</w:t>
      </w:r>
      <w:r>
        <w:rPr>
          <w:rStyle w:val="a7"/>
          <w:spacing w:val="6"/>
          <w:rtl/>
        </w:rPr>
        <w:footnoteReference w:id="5192"/>
      </w:r>
      <w:r>
        <w:rPr>
          <w:rFonts w:hint="cs"/>
          <w:spacing w:val="6"/>
          <w:vertAlign w:val="superscript"/>
          <w:rtl/>
        </w:rPr>
        <w:t>)</w:t>
      </w:r>
      <w:r>
        <w:rPr>
          <w:rFonts w:hint="cs"/>
          <w:spacing w:val="6"/>
          <w:rtl/>
        </w:rPr>
        <w:t>، فإن أردت التفصيل</w:t>
      </w:r>
      <w:r>
        <w:rPr>
          <w:rStyle w:val="a7"/>
          <w:spacing w:val="6"/>
          <w:rtl/>
        </w:rPr>
        <w:footnoteReference w:id="5193"/>
      </w:r>
      <w:r>
        <w:rPr>
          <w:rFonts w:hint="cs"/>
          <w:spacing w:val="6"/>
          <w:rtl/>
        </w:rPr>
        <w:t xml:space="preserve"> [فراجعه]</w:t>
      </w:r>
      <w:r>
        <w:rPr>
          <w:rStyle w:val="a7"/>
          <w:spacing w:val="6"/>
          <w:rtl/>
        </w:rPr>
        <w:footnoteReference w:id="5194"/>
      </w:r>
      <w:r>
        <w:rPr>
          <w:rFonts w:hint="cs"/>
          <w:spacing w:val="6"/>
          <w:rtl/>
        </w:rPr>
        <w:t>.</w:t>
      </w:r>
    </w:p>
    <w:p w:rsidR="00A66747" w:rsidRDefault="00A66747">
      <w:pPr>
        <w:rPr>
          <w:spacing w:val="6"/>
          <w:rtl/>
        </w:rPr>
      </w:pPr>
    </w:p>
    <w:p w:rsidR="00A66747" w:rsidRDefault="00A66747" w:rsidP="00F0471F">
      <w:pPr>
        <w:rPr>
          <w:spacing w:val="6"/>
          <w:rtl/>
        </w:rPr>
      </w:pPr>
    </w:p>
    <w:p w:rsidR="00A66747" w:rsidRDefault="00A66747">
      <w:pPr>
        <w:ind w:firstLine="0"/>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ind w:firstLine="0"/>
        <w:jc w:val="center"/>
        <w:rPr>
          <w:rtl/>
        </w:rPr>
        <w:sectPr w:rsidR="00A66747" w:rsidSect="00413215">
          <w:headerReference w:type="default" r:id="rId30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74209C" w:rsidRDefault="00A66747">
      <w:pPr>
        <w:pStyle w:val="a9"/>
        <w:rPr>
          <w:rFonts w:cs="AL-Mateen"/>
          <w:rtl/>
        </w:rPr>
      </w:pPr>
      <w:r w:rsidRPr="0074209C">
        <w:rPr>
          <w:rFonts w:cs="AL-Mateen"/>
          <w:rtl/>
        </w:rPr>
        <w:lastRenderedPageBreak/>
        <w:t>[ الـقـاعـدة</w:t>
      </w:r>
      <w:r w:rsidRPr="0074209C">
        <w:rPr>
          <w:rFonts w:cs="AL-Mateen" w:hint="cs"/>
          <w:rtl/>
        </w:rPr>
        <w:t xml:space="preserve"> الـحـاديـة</w:t>
      </w:r>
      <w:r w:rsidRPr="0074209C">
        <w:rPr>
          <w:rFonts w:cs="AL-Mateen"/>
          <w:rtl/>
        </w:rPr>
        <w:t xml:space="preserve"> </w:t>
      </w:r>
      <w:r w:rsidRPr="0074209C">
        <w:rPr>
          <w:rFonts w:cs="AL-Mateen" w:hint="cs"/>
          <w:rtl/>
        </w:rPr>
        <w:t>و</w:t>
      </w:r>
      <w:r w:rsidRPr="0074209C">
        <w:rPr>
          <w:rFonts w:cs="AL-Mateen"/>
          <w:rtl/>
        </w:rPr>
        <w:t>ال</w:t>
      </w:r>
      <w:r w:rsidRPr="0074209C">
        <w:rPr>
          <w:rFonts w:cs="AL-Mateen" w:hint="cs"/>
          <w:rtl/>
        </w:rPr>
        <w:t>ـخـمـس</w:t>
      </w:r>
      <w:r w:rsidRPr="0074209C">
        <w:rPr>
          <w:rFonts w:cs="AL-Mateen"/>
          <w:rtl/>
        </w:rPr>
        <w:t xml:space="preserve">ـون </w:t>
      </w:r>
      <w:r w:rsidRPr="0074209C">
        <w:rPr>
          <w:rFonts w:cs="AL-Mateen" w:hint="eastAsia"/>
          <w:rtl/>
        </w:rPr>
        <w:t>بـعـد</w:t>
      </w:r>
      <w:r w:rsidRPr="0074209C">
        <w:rPr>
          <w:rFonts w:cs="AL-Mateen"/>
          <w:rtl/>
        </w:rPr>
        <w:t xml:space="preserve"> الـمـائـتـيـن ]</w:t>
      </w:r>
    </w:p>
    <w:p w:rsidR="00A66747" w:rsidRDefault="00A66747">
      <w:pPr>
        <w:rPr>
          <w:rtl/>
        </w:rPr>
      </w:pPr>
      <w:r>
        <w:rPr>
          <w:rFonts w:cs="Monotype Koufi" w:hint="cs"/>
          <w:rtl/>
        </w:rPr>
        <w:t>النِّيَابَةُ تَجْرِي</w:t>
      </w:r>
      <w:r>
        <w:rPr>
          <w:rStyle w:val="a7"/>
          <w:rtl/>
        </w:rPr>
        <w:footnoteReference w:id="5195"/>
      </w:r>
      <w:r>
        <w:rPr>
          <w:rFonts w:cs="Monotype Koufi" w:hint="cs"/>
          <w:rtl/>
        </w:rPr>
        <w:t xml:space="preserve"> فِي الاستِحْلاَفِ، لاَ الحَلِفِ</w:t>
      </w:r>
      <w:r>
        <w:rPr>
          <w:rFonts w:hint="cs"/>
          <w:vertAlign w:val="superscript"/>
          <w:rtl/>
        </w:rPr>
        <w:t>(</w:t>
      </w:r>
      <w:r>
        <w:rPr>
          <w:rStyle w:val="a7"/>
          <w:rtl/>
        </w:rPr>
        <w:footnoteReference w:id="5196"/>
      </w:r>
      <w:r>
        <w:rPr>
          <w:rFonts w:hint="cs"/>
          <w:vertAlign w:val="superscript"/>
          <w:rtl/>
        </w:rPr>
        <w:t>)</w:t>
      </w:r>
      <w:r>
        <w:rPr>
          <w:rFonts w:hint="cs"/>
          <w:rtl/>
        </w:rPr>
        <w:t xml:space="preserve"> :</w:t>
      </w:r>
    </w:p>
    <w:p w:rsidR="00A66747" w:rsidRDefault="00A66747">
      <w:pPr>
        <w:rPr>
          <w:rtl/>
        </w:rPr>
      </w:pPr>
      <w:r>
        <w:rPr>
          <w:rFonts w:hint="cs"/>
          <w:rtl/>
        </w:rPr>
        <w:t>فإن اعتبر هذا أصلاً برأسه</w:t>
      </w:r>
      <w:r>
        <w:rPr>
          <w:rStyle w:val="a7"/>
          <w:rtl/>
        </w:rPr>
        <w:footnoteReference w:id="5197"/>
      </w:r>
      <w:r>
        <w:rPr>
          <w:rFonts w:hint="cs"/>
          <w:rtl/>
        </w:rPr>
        <w:t xml:space="preserve"> : منقوض بأن الوكيل بالبيع والخصومة في الردّ بالعيب من جهة المالك يُستحلَف؛ لأنّ إقراره صحيح على الموكّل، فكذا نكوله.</w:t>
      </w:r>
    </w:p>
    <w:p w:rsidR="00A66747" w:rsidRDefault="00A66747">
      <w:pPr>
        <w:rPr>
          <w:rtl/>
        </w:rPr>
      </w:pPr>
      <w:r>
        <w:rPr>
          <w:rFonts w:hint="cs"/>
          <w:rtl/>
        </w:rPr>
        <w:t xml:space="preserve">وقد مرّ تفصيله في باب الصاد؛ حيث قلنا : </w:t>
      </w:r>
      <w:r>
        <w:rPr>
          <w:rFonts w:hint="eastAsia"/>
          <w:rtl/>
        </w:rPr>
        <w:t>«</w:t>
      </w:r>
      <w:r>
        <w:rPr>
          <w:rFonts w:hint="cs"/>
          <w:rtl/>
        </w:rPr>
        <w:t>صحة الحلف غير مفارقة عن صحة الإقرار وعدمها عن عدمها</w:t>
      </w:r>
      <w:r>
        <w:rPr>
          <w:rFonts w:hint="eastAsia"/>
          <w:rtl/>
        </w:rPr>
        <w:t>»</w:t>
      </w:r>
      <w:r>
        <w:rPr>
          <w:rFonts w:hint="cs"/>
          <w:vertAlign w:val="superscript"/>
          <w:rtl/>
        </w:rPr>
        <w:t>(</w:t>
      </w:r>
      <w:r>
        <w:rPr>
          <w:rStyle w:val="a7"/>
          <w:rtl/>
        </w:rPr>
        <w:footnoteReference w:id="5198"/>
      </w:r>
      <w:r>
        <w:rPr>
          <w:rFonts w:hint="cs"/>
          <w:vertAlign w:val="superscript"/>
          <w:rtl/>
        </w:rPr>
        <w:t>)</w:t>
      </w:r>
      <w:r>
        <w:rPr>
          <w:rFonts w:hint="cs"/>
          <w:rtl/>
        </w:rPr>
        <w:t>.</w:t>
      </w:r>
    </w:p>
    <w:p w:rsidR="00A66747" w:rsidRDefault="00A66747">
      <w:pPr>
        <w:rPr>
          <w:rtl/>
        </w:rPr>
      </w:pPr>
    </w:p>
    <w:p w:rsidR="00A66747" w:rsidRDefault="00A66747">
      <w:pPr>
        <w:rPr>
          <w:rtl/>
        </w:rPr>
      </w:pPr>
    </w:p>
    <w:p w:rsidR="00A66747"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pPr>
    </w:p>
    <w:p w:rsidR="00A66747" w:rsidRDefault="00A66747">
      <w:pPr>
        <w:rPr>
          <w:rtl/>
        </w:rPr>
        <w:sectPr w:rsidR="00A66747" w:rsidSect="00413215">
          <w:headerReference w:type="even" r:id="rId310"/>
          <w:headerReference w:type="default" r:id="rId311"/>
          <w:footerReference w:type="even" r:id="rId312"/>
          <w:footerReference w:type="default" r:id="rId313"/>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7A2476" w:rsidRDefault="00A66747">
      <w:pPr>
        <w:pStyle w:val="a9"/>
        <w:rPr>
          <w:rFonts w:cs="AL-Mateen"/>
          <w:rtl/>
        </w:rPr>
      </w:pPr>
      <w:r w:rsidRPr="007A2476">
        <w:rPr>
          <w:rFonts w:cs="AL-Mateen"/>
          <w:rtl/>
        </w:rPr>
        <w:lastRenderedPageBreak/>
        <w:t>[ الـقـاعـدة الـ</w:t>
      </w:r>
      <w:r w:rsidRPr="007A2476">
        <w:rPr>
          <w:rFonts w:cs="AL-Mateen" w:hint="cs"/>
          <w:rtl/>
        </w:rPr>
        <w:t>ث</w:t>
      </w:r>
      <w:r w:rsidRPr="007A2476">
        <w:rPr>
          <w:rFonts w:cs="AL-Mateen"/>
          <w:rtl/>
        </w:rPr>
        <w:t>ـا</w:t>
      </w:r>
      <w:r w:rsidRPr="007A2476">
        <w:rPr>
          <w:rFonts w:cs="AL-Mateen" w:hint="cs"/>
          <w:rtl/>
        </w:rPr>
        <w:t>نـ</w:t>
      </w:r>
      <w:r w:rsidRPr="007A2476">
        <w:rPr>
          <w:rFonts w:cs="AL-Mateen"/>
          <w:rtl/>
        </w:rPr>
        <w:t xml:space="preserve">يـة والـخـمـسـون </w:t>
      </w:r>
      <w:r w:rsidRPr="007A2476">
        <w:rPr>
          <w:rFonts w:cs="AL-Mateen" w:hint="eastAsia"/>
          <w:rtl/>
        </w:rPr>
        <w:t>بـعـد</w:t>
      </w:r>
      <w:r w:rsidRPr="007A2476">
        <w:rPr>
          <w:rFonts w:cs="AL-Mateen"/>
          <w:rtl/>
        </w:rPr>
        <w:t xml:space="preserve"> الـمـائـتـيـن ]</w:t>
      </w:r>
    </w:p>
    <w:p w:rsidR="00A66747" w:rsidRDefault="00A66747">
      <w:pPr>
        <w:rPr>
          <w:rtl/>
        </w:rPr>
      </w:pPr>
      <w:r>
        <w:rPr>
          <w:rFonts w:cs="Monotype Koufi" w:hint="cs"/>
          <w:rtl/>
        </w:rPr>
        <w:t>الوَاجِبُ شَرْعًا لا يَحْتَاجُ إلى قَضَاءٍ</w:t>
      </w:r>
      <w:r>
        <w:rPr>
          <w:rFonts w:hint="cs"/>
          <w:vertAlign w:val="superscript"/>
          <w:rtl/>
        </w:rPr>
        <w:t>(</w:t>
      </w:r>
      <w:r>
        <w:rPr>
          <w:rStyle w:val="a7"/>
          <w:rtl/>
        </w:rPr>
        <w:footnoteReference w:id="5199"/>
      </w:r>
      <w:r>
        <w:rPr>
          <w:rFonts w:hint="cs"/>
          <w:vertAlign w:val="superscript"/>
          <w:rtl/>
        </w:rPr>
        <w:t>)</w:t>
      </w:r>
      <w:r>
        <w:rPr>
          <w:rFonts w:hint="cs"/>
          <w:rtl/>
        </w:rPr>
        <w:t xml:space="preserve"> :</w:t>
      </w:r>
    </w:p>
    <w:p w:rsidR="00A66747" w:rsidRDefault="00A66747">
      <w:pPr>
        <w:rPr>
          <w:rtl/>
        </w:rPr>
      </w:pPr>
      <w:r>
        <w:rPr>
          <w:rFonts w:hint="cs"/>
          <w:b/>
          <w:bCs/>
          <w:rtl/>
        </w:rPr>
        <w:t>ولهذا</w:t>
      </w:r>
      <w:r>
        <w:rPr>
          <w:rFonts w:hint="cs"/>
          <w:rtl/>
        </w:rPr>
        <w:t xml:space="preserve"> : </w:t>
      </w:r>
      <w:r>
        <w:rPr>
          <w:rFonts w:hint="eastAsia"/>
          <w:rtl/>
        </w:rPr>
        <w:t>«</w:t>
      </w:r>
      <w:r>
        <w:rPr>
          <w:rFonts w:hint="cs"/>
          <w:rtl/>
        </w:rPr>
        <w:t>لا يشترط القضاء في فسخ البيع الفاسد</w:t>
      </w:r>
      <w:r>
        <w:rPr>
          <w:rFonts w:hint="cs"/>
          <w:vertAlign w:val="superscript"/>
          <w:rtl/>
        </w:rPr>
        <w:t>(</w:t>
      </w:r>
      <w:r>
        <w:rPr>
          <w:rStyle w:val="a7"/>
          <w:rtl/>
        </w:rPr>
        <w:footnoteReference w:id="5200"/>
      </w:r>
      <w:r>
        <w:rPr>
          <w:rFonts w:hint="cs"/>
          <w:vertAlign w:val="superscript"/>
          <w:rtl/>
        </w:rPr>
        <w:t>)</w:t>
      </w:r>
      <w:r>
        <w:rPr>
          <w:rFonts w:hint="cs"/>
          <w:rtl/>
        </w:rPr>
        <w:t>، بخلاف الرجوع عن الهبة، والتفريـق بخيار البلوغ</w:t>
      </w:r>
      <w:r>
        <w:rPr>
          <w:rFonts w:hint="cs"/>
          <w:vertAlign w:val="superscript"/>
          <w:rtl/>
        </w:rPr>
        <w:t>(</w:t>
      </w:r>
      <w:r>
        <w:rPr>
          <w:rStyle w:val="a7"/>
          <w:rtl/>
        </w:rPr>
        <w:footnoteReference w:id="5201"/>
      </w:r>
      <w:r>
        <w:rPr>
          <w:rFonts w:hint="cs"/>
          <w:vertAlign w:val="superscript"/>
          <w:rtl/>
        </w:rPr>
        <w:t>)</w:t>
      </w:r>
      <w:r>
        <w:rPr>
          <w:rFonts w:hint="cs"/>
          <w:rtl/>
        </w:rPr>
        <w:t>؛ لأنـهما ليـسا بـواجب</w:t>
      </w:r>
      <w:r>
        <w:rPr>
          <w:rFonts w:hint="eastAsia"/>
          <w:rtl/>
        </w:rPr>
        <w:t>»</w:t>
      </w:r>
      <w:r>
        <w:rPr>
          <w:rFonts w:hint="cs"/>
          <w:vertAlign w:val="superscript"/>
          <w:rtl/>
        </w:rPr>
        <w:t>(</w:t>
      </w:r>
      <w:r>
        <w:rPr>
          <w:rStyle w:val="a7"/>
          <w:rtl/>
        </w:rPr>
        <w:footnoteReference w:id="5202"/>
      </w:r>
      <w:r>
        <w:rPr>
          <w:rFonts w:hint="cs"/>
          <w:vertAlign w:val="superscript"/>
          <w:rtl/>
        </w:rPr>
        <w:t>)</w:t>
      </w:r>
      <w:r>
        <w:rPr>
          <w:rFonts w:hint="cs"/>
          <w:rtl/>
        </w:rPr>
        <w:t xml:space="preserve"> شرعًـا؛ فـيـحتـاج إلى</w:t>
      </w:r>
    </w:p>
    <w:p w:rsidR="00A66747" w:rsidRDefault="00A66747">
      <w:pPr>
        <w:ind w:firstLine="0"/>
        <w:rPr>
          <w:rtl/>
        </w:rPr>
      </w:pPr>
      <w:r>
        <w:rPr>
          <w:rFonts w:hint="cs"/>
          <w:rtl/>
        </w:rPr>
        <w:lastRenderedPageBreak/>
        <w:t>القضاء</w:t>
      </w:r>
      <w:r>
        <w:rPr>
          <w:rFonts w:hint="cs"/>
          <w:vertAlign w:val="superscript"/>
          <w:rtl/>
        </w:rPr>
        <w:t>(</w:t>
      </w:r>
      <w:r>
        <w:rPr>
          <w:rStyle w:val="a7"/>
          <w:rtl/>
        </w:rPr>
        <w:footnoteReference w:id="5203"/>
      </w:r>
      <w:r>
        <w:rPr>
          <w:rFonts w:hint="cs"/>
          <w:vertAlign w:val="superscript"/>
          <w:rtl/>
        </w:rPr>
        <w:t>)</w:t>
      </w:r>
      <w:r>
        <w:rPr>
          <w:rFonts w:hint="cs"/>
          <w:rtl/>
        </w:rPr>
        <w:t>؛ لإلزام</w:t>
      </w:r>
      <w:r>
        <w:rPr>
          <w:rStyle w:val="a7"/>
          <w:rtl/>
        </w:rPr>
        <w:footnoteReference w:id="5204"/>
      </w:r>
      <w:r>
        <w:rPr>
          <w:rFonts w:hint="cs"/>
          <w:rtl/>
        </w:rPr>
        <w:t xml:space="preserve"> الضرّر على</w:t>
      </w:r>
      <w:r>
        <w:rPr>
          <w:rStyle w:val="a7"/>
          <w:rtl/>
        </w:rPr>
        <w:footnoteReference w:id="5205"/>
      </w:r>
      <w:r>
        <w:rPr>
          <w:rFonts w:hint="cs"/>
          <w:rtl/>
        </w:rPr>
        <w:t xml:space="preserve"> الموهوب له والزوج</w:t>
      </w:r>
      <w:r>
        <w:rPr>
          <w:rFonts w:hint="cs"/>
          <w:vertAlign w:val="superscript"/>
          <w:rtl/>
        </w:rPr>
        <w:t>(</w:t>
      </w:r>
      <w:r>
        <w:rPr>
          <w:rStyle w:val="a7"/>
          <w:rtl/>
        </w:rPr>
        <w:footnoteReference w:id="5206"/>
      </w:r>
      <w:r>
        <w:rPr>
          <w:rFonts w:hint="cs"/>
          <w:vertAlign w:val="superscript"/>
          <w:rtl/>
        </w:rPr>
        <w:t>)</w:t>
      </w:r>
      <w:r>
        <w:rPr>
          <w:rFonts w:hint="cs"/>
          <w:rtl/>
        </w:rPr>
        <w:t>.</w:t>
      </w:r>
    </w:p>
    <w:p w:rsidR="00A66747" w:rsidRDefault="00A66747">
      <w:pPr>
        <w:rPr>
          <w:rtl/>
        </w:rPr>
      </w:pPr>
      <w:r>
        <w:rPr>
          <w:rFonts w:hint="cs"/>
          <w:b/>
          <w:bCs/>
          <w:rtl/>
        </w:rPr>
        <w:t>ويرد عليه</w:t>
      </w:r>
      <w:r>
        <w:rPr>
          <w:rFonts w:hint="cs"/>
          <w:rtl/>
        </w:rPr>
        <w:t xml:space="preserve"> : أن التفريق بخيار</w:t>
      </w:r>
      <w:r>
        <w:rPr>
          <w:rStyle w:val="a7"/>
          <w:rtl/>
        </w:rPr>
        <w:footnoteReference w:id="5207"/>
      </w:r>
      <w:r>
        <w:rPr>
          <w:rFonts w:hint="cs"/>
          <w:rtl/>
        </w:rPr>
        <w:t xml:space="preserve"> العتق</w:t>
      </w:r>
      <w:r>
        <w:rPr>
          <w:rFonts w:hint="cs"/>
          <w:vertAlign w:val="superscript"/>
          <w:rtl/>
        </w:rPr>
        <w:t>(</w:t>
      </w:r>
      <w:r>
        <w:rPr>
          <w:rStyle w:val="a7"/>
          <w:rtl/>
        </w:rPr>
        <w:footnoteReference w:id="5208"/>
      </w:r>
      <w:r>
        <w:rPr>
          <w:rFonts w:hint="cs"/>
          <w:vertAlign w:val="superscript"/>
          <w:rtl/>
        </w:rPr>
        <w:t>)</w:t>
      </w:r>
      <w:r>
        <w:rPr>
          <w:rFonts w:hint="cs"/>
          <w:rtl/>
        </w:rPr>
        <w:t xml:space="preserve"> لا يحتاج إلى القضاء</w:t>
      </w:r>
      <w:r>
        <w:rPr>
          <w:rFonts w:hint="cs"/>
          <w:vertAlign w:val="superscript"/>
          <w:rtl/>
        </w:rPr>
        <w:t>(</w:t>
      </w:r>
      <w:r>
        <w:rPr>
          <w:rStyle w:val="a7"/>
          <w:rtl/>
        </w:rPr>
        <w:footnoteReference w:id="5209"/>
      </w:r>
      <w:r>
        <w:rPr>
          <w:rFonts w:hint="cs"/>
          <w:vertAlign w:val="superscript"/>
          <w:rtl/>
        </w:rPr>
        <w:t>)</w:t>
      </w:r>
      <w:r>
        <w:rPr>
          <w:rFonts w:hint="cs"/>
          <w:rtl/>
        </w:rPr>
        <w:t>، مع أنه ليس بواجب، وفيه إلزام الضّرر</w:t>
      </w:r>
      <w:r>
        <w:rPr>
          <w:rStyle w:val="a7"/>
          <w:rtl/>
        </w:rPr>
        <w:footnoteReference w:id="5210"/>
      </w:r>
      <w:r>
        <w:rPr>
          <w:rFonts w:hint="cs"/>
          <w:rtl/>
        </w:rPr>
        <w:t>.</w:t>
      </w:r>
    </w:p>
    <w:p w:rsidR="00A66747" w:rsidRDefault="00A66747">
      <w:pPr>
        <w:rPr>
          <w:rtl/>
        </w:rPr>
      </w:pPr>
      <w:r>
        <w:rPr>
          <w:rFonts w:hint="cs"/>
          <w:b/>
          <w:bCs/>
          <w:rtl/>
        </w:rPr>
        <w:t>والجواب</w:t>
      </w:r>
      <w:r>
        <w:rPr>
          <w:rFonts w:hint="cs"/>
          <w:rtl/>
        </w:rPr>
        <w:t xml:space="preserve"> : أن فسخ</w:t>
      </w:r>
      <w:r>
        <w:rPr>
          <w:rStyle w:val="a7"/>
          <w:rtl/>
        </w:rPr>
        <w:footnoteReference w:id="5211"/>
      </w:r>
      <w:r>
        <w:rPr>
          <w:rFonts w:hint="cs"/>
          <w:rtl/>
        </w:rPr>
        <w:t xml:space="preserve"> المُعَتقَةِ يمنع</w:t>
      </w:r>
      <w:r>
        <w:rPr>
          <w:rStyle w:val="a7"/>
          <w:rtl/>
        </w:rPr>
        <w:footnoteReference w:id="5212"/>
      </w:r>
      <w:r>
        <w:rPr>
          <w:rFonts w:hint="cs"/>
          <w:rtl/>
        </w:rPr>
        <w:t xml:space="preserve"> زيادة الملك للزوج عليها، فإنّ اعتبار الطلاق عندنا بالنساء</w:t>
      </w:r>
      <w:r>
        <w:rPr>
          <w:rFonts w:hint="cs"/>
          <w:vertAlign w:val="superscript"/>
          <w:rtl/>
        </w:rPr>
        <w:t>(</w:t>
      </w:r>
      <w:r>
        <w:rPr>
          <w:rStyle w:val="a7"/>
          <w:rtl/>
        </w:rPr>
        <w:footnoteReference w:id="5213"/>
      </w:r>
      <w:r>
        <w:rPr>
          <w:rFonts w:hint="cs"/>
          <w:vertAlign w:val="superscript"/>
          <w:rtl/>
        </w:rPr>
        <w:t>)</w:t>
      </w:r>
      <w:r>
        <w:rPr>
          <w:rFonts w:hint="cs"/>
          <w:rtl/>
        </w:rPr>
        <w:t>، فإذا أُعتقت</w:t>
      </w:r>
      <w:r>
        <w:rPr>
          <w:rStyle w:val="a7"/>
          <w:rtl/>
        </w:rPr>
        <w:footnoteReference w:id="5214"/>
      </w:r>
      <w:r>
        <w:rPr>
          <w:rFonts w:hint="cs"/>
          <w:rtl/>
        </w:rPr>
        <w:t xml:space="preserve"> صار الملك عليها بثلاث تطليقات بعدما كان تطليقتين. ويكون الفسخ امتناعًا عن هذا، فلا يحتاج إلى قضاء القاضي</w:t>
      </w:r>
      <w:r>
        <w:rPr>
          <w:rStyle w:val="a7"/>
          <w:rtl/>
        </w:rPr>
        <w:footnoteReference w:id="5215"/>
      </w:r>
      <w:r>
        <w:rPr>
          <w:rFonts w:hint="cs"/>
          <w:vertAlign w:val="superscript"/>
          <w:rtl/>
        </w:rPr>
        <w:t>(</w:t>
      </w:r>
      <w:r>
        <w:rPr>
          <w:rStyle w:val="a7"/>
          <w:rtl/>
        </w:rPr>
        <w:footnoteReference w:id="5216"/>
      </w:r>
      <w:r>
        <w:rPr>
          <w:rFonts w:hint="cs"/>
          <w:vertAlign w:val="superscript"/>
          <w:rtl/>
        </w:rPr>
        <w:t>)</w:t>
      </w:r>
      <w:r>
        <w:rPr>
          <w:rFonts w:hint="cs"/>
          <w:rtl/>
        </w:rPr>
        <w:t>.</w:t>
      </w:r>
    </w:p>
    <w:p w:rsidR="00A66747" w:rsidRDefault="00A66747">
      <w:pPr>
        <w:rPr>
          <w:rtl/>
        </w:rPr>
      </w:pPr>
      <w:r>
        <w:rPr>
          <w:rFonts w:hint="cs"/>
          <w:rtl/>
        </w:rPr>
        <w:lastRenderedPageBreak/>
        <w:t>وكذا : المخيّرة</w:t>
      </w:r>
      <w:r>
        <w:rPr>
          <w:rFonts w:hint="cs"/>
          <w:vertAlign w:val="superscript"/>
          <w:rtl/>
        </w:rPr>
        <w:t>(</w:t>
      </w:r>
      <w:r>
        <w:rPr>
          <w:rStyle w:val="a7"/>
          <w:rtl/>
        </w:rPr>
        <w:footnoteReference w:id="5217"/>
      </w:r>
      <w:r>
        <w:rPr>
          <w:rFonts w:hint="cs"/>
          <w:vertAlign w:val="superscript"/>
          <w:rtl/>
        </w:rPr>
        <w:t>)</w:t>
      </w:r>
      <w:r>
        <w:rPr>
          <w:rFonts w:hint="cs"/>
          <w:rtl/>
        </w:rPr>
        <w:t xml:space="preserve"> إذا طلّقت نفسها : وقعت الفرقة بلا قضاء</w:t>
      </w:r>
      <w:r>
        <w:rPr>
          <w:rFonts w:hint="cs"/>
          <w:vertAlign w:val="superscript"/>
          <w:rtl/>
        </w:rPr>
        <w:t>(</w:t>
      </w:r>
      <w:r>
        <w:rPr>
          <w:rStyle w:val="a7"/>
          <w:rtl/>
        </w:rPr>
        <w:footnoteReference w:id="5218"/>
      </w:r>
      <w:r>
        <w:rPr>
          <w:rFonts w:hint="cs"/>
          <w:vertAlign w:val="superscript"/>
          <w:rtl/>
        </w:rPr>
        <w:t>)</w:t>
      </w:r>
      <w:r>
        <w:rPr>
          <w:rFonts w:hint="cs"/>
          <w:rtl/>
        </w:rPr>
        <w:t>؛ لأن الزوج التزم ضرر الفرقة برضاه.</w:t>
      </w:r>
    </w:p>
    <w:p w:rsidR="00A66747" w:rsidRDefault="00A66747">
      <w:pPr>
        <w:rPr>
          <w:rtl/>
        </w:rPr>
      </w:pPr>
      <w:r>
        <w:rPr>
          <w:rFonts w:hint="cs"/>
          <w:rtl/>
        </w:rPr>
        <w:t>ففي كلِّ موضع يُحتاج إلى قضاء [يحصل]</w:t>
      </w:r>
      <w:r>
        <w:rPr>
          <w:rStyle w:val="a7"/>
          <w:rtl/>
        </w:rPr>
        <w:footnoteReference w:id="5219"/>
      </w:r>
      <w:r>
        <w:rPr>
          <w:rFonts w:hint="cs"/>
          <w:rtl/>
        </w:rPr>
        <w:t xml:space="preserve"> الاستغناء برضى الخصم.</w:t>
      </w:r>
    </w:p>
    <w:p w:rsidR="00A66747" w:rsidRDefault="00A66747">
      <w:pPr>
        <w:rPr>
          <w:rtl/>
        </w:rPr>
      </w:pPr>
    </w:p>
    <w:p w:rsidR="00A66747" w:rsidRDefault="00A66747">
      <w:pPr>
        <w:rPr>
          <w:rtl/>
        </w:rPr>
      </w:pPr>
    </w:p>
    <w:p w:rsidR="00A66747" w:rsidRDefault="00A66747">
      <w:pPr>
        <w:rPr>
          <w:rtl/>
        </w:rPr>
      </w:pPr>
    </w:p>
    <w:p w:rsidR="00A66747" w:rsidRDefault="00A66747">
      <w:pPr>
        <w:rPr>
          <w:rtl/>
        </w:rPr>
      </w:pPr>
    </w:p>
    <w:p w:rsidR="00A66747"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pPr>
    </w:p>
    <w:p w:rsidR="00A66747" w:rsidRDefault="00A66747">
      <w:pPr>
        <w:rPr>
          <w:rtl/>
        </w:rPr>
      </w:pPr>
    </w:p>
    <w:p w:rsidR="00A66747" w:rsidRDefault="00A66747">
      <w:pPr>
        <w:rPr>
          <w:rtl/>
        </w:rPr>
      </w:pPr>
    </w:p>
    <w:p w:rsidR="00A66747" w:rsidRDefault="00A66747">
      <w:pPr>
        <w:rPr>
          <w:rtl/>
        </w:rPr>
      </w:pPr>
    </w:p>
    <w:p w:rsidR="00A66747" w:rsidRDefault="00A66747">
      <w:pPr>
        <w:rPr>
          <w:rtl/>
        </w:rPr>
      </w:pPr>
    </w:p>
    <w:p w:rsidR="00A66747" w:rsidRDefault="00A66747">
      <w:pPr>
        <w:rPr>
          <w:rtl/>
        </w:rPr>
      </w:pPr>
    </w:p>
    <w:p w:rsidR="00A66747" w:rsidRDefault="00A66747">
      <w:pPr>
        <w:rPr>
          <w:rtl/>
        </w:rPr>
      </w:pPr>
    </w:p>
    <w:p w:rsidR="00A66747" w:rsidRDefault="00A66747" w:rsidP="00F0471F">
      <w:pPr>
        <w:ind w:firstLine="0"/>
        <w:rPr>
          <w:rtl/>
        </w:rPr>
        <w:sectPr w:rsidR="00A66747" w:rsidSect="00413215">
          <w:headerReference w:type="default" r:id="rId31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6616E3" w:rsidRDefault="00A66747">
      <w:pPr>
        <w:pStyle w:val="a9"/>
        <w:rPr>
          <w:rFonts w:cs="AL-Mateen"/>
          <w:rtl/>
        </w:rPr>
      </w:pPr>
      <w:r w:rsidRPr="006616E3">
        <w:rPr>
          <w:rFonts w:cs="AL-Mateen"/>
          <w:rtl/>
        </w:rPr>
        <w:lastRenderedPageBreak/>
        <w:t>[ الـقـاعـدة الـثـا</w:t>
      </w:r>
      <w:r w:rsidRPr="006616E3">
        <w:rPr>
          <w:rFonts w:cs="AL-Mateen" w:hint="cs"/>
          <w:rtl/>
        </w:rPr>
        <w:t>ل</w:t>
      </w:r>
      <w:r w:rsidRPr="006616E3">
        <w:rPr>
          <w:rFonts w:cs="AL-Mateen"/>
          <w:rtl/>
        </w:rPr>
        <w:t>ـ</w:t>
      </w:r>
      <w:r w:rsidRPr="006616E3">
        <w:rPr>
          <w:rFonts w:cs="AL-Mateen" w:hint="cs"/>
          <w:rtl/>
        </w:rPr>
        <w:t>ث</w:t>
      </w:r>
      <w:r w:rsidRPr="006616E3">
        <w:rPr>
          <w:rFonts w:cs="AL-Mateen"/>
          <w:rtl/>
        </w:rPr>
        <w:t xml:space="preserve">ـة </w:t>
      </w:r>
      <w:r w:rsidRPr="006616E3">
        <w:rPr>
          <w:rFonts w:cs="AL-Mateen" w:hint="eastAsia"/>
          <w:rtl/>
        </w:rPr>
        <w:t>والـخـمـسـون</w:t>
      </w:r>
      <w:r w:rsidRPr="006616E3">
        <w:rPr>
          <w:rFonts w:cs="AL-Mateen"/>
          <w:rtl/>
        </w:rPr>
        <w:t xml:space="preserve"> بـعـد الـمـائـتـيـن ]</w:t>
      </w:r>
    </w:p>
    <w:p w:rsidR="00A66747" w:rsidRDefault="00A66747">
      <w:pPr>
        <w:rPr>
          <w:rtl/>
        </w:rPr>
      </w:pPr>
      <w:r>
        <w:rPr>
          <w:rFonts w:cs="Monotype Koufi" w:hint="cs"/>
          <w:rtl/>
        </w:rPr>
        <w:t>الوَصْفُ فِي الحَاضِرِ لَغُوٌ، وَفِي الغَائِبِ مُعْتَبَرٌ</w:t>
      </w:r>
      <w:r>
        <w:rPr>
          <w:rFonts w:hint="cs"/>
          <w:vertAlign w:val="superscript"/>
          <w:rtl/>
        </w:rPr>
        <w:t>(</w:t>
      </w:r>
      <w:r>
        <w:rPr>
          <w:rStyle w:val="a7"/>
          <w:rtl/>
        </w:rPr>
        <w:footnoteReference w:id="5220"/>
      </w:r>
      <w:r>
        <w:rPr>
          <w:rFonts w:hint="cs"/>
          <w:vertAlign w:val="superscript"/>
          <w:rtl/>
        </w:rPr>
        <w:t>)</w:t>
      </w:r>
      <w:r>
        <w:rPr>
          <w:rFonts w:hint="cs"/>
          <w:rtl/>
        </w:rPr>
        <w:t xml:space="preserve"> :</w:t>
      </w:r>
    </w:p>
    <w:p w:rsidR="00A66747" w:rsidRDefault="00A66747">
      <w:pPr>
        <w:rPr>
          <w:spacing w:val="-4"/>
          <w:rtl/>
        </w:rPr>
      </w:pPr>
      <w:r>
        <w:rPr>
          <w:rFonts w:hint="cs"/>
          <w:b/>
          <w:bCs/>
          <w:spacing w:val="-4"/>
          <w:rtl/>
        </w:rPr>
        <w:t>ولهذا</w:t>
      </w:r>
      <w:r>
        <w:rPr>
          <w:rFonts w:hint="cs"/>
          <w:spacing w:val="-4"/>
          <w:rtl/>
        </w:rPr>
        <w:t xml:space="preserve"> : </w:t>
      </w:r>
      <w:r>
        <w:rPr>
          <w:rFonts w:hint="eastAsia"/>
          <w:spacing w:val="-4"/>
          <w:rtl/>
        </w:rPr>
        <w:t>«</w:t>
      </w:r>
      <w:r>
        <w:rPr>
          <w:rFonts w:hint="cs"/>
          <w:spacing w:val="-4"/>
          <w:rtl/>
        </w:rPr>
        <w:t xml:space="preserve">يحنث في حلفه : لا </w:t>
      </w:r>
      <w:r>
        <w:rPr>
          <w:rFonts w:hint="cs"/>
          <w:rtl/>
        </w:rPr>
        <w:t>يكلّم هذا الشابّ،</w:t>
      </w:r>
      <w:r>
        <w:rPr>
          <w:rFonts w:hint="cs"/>
          <w:spacing w:val="-4"/>
          <w:rtl/>
        </w:rPr>
        <w:t xml:space="preserve"> فكلّمه شيخًا؛ لأنّ الوصف بالشباب صار لغوًا</w:t>
      </w:r>
      <w:r>
        <w:rPr>
          <w:rFonts w:hint="eastAsia"/>
          <w:spacing w:val="-4"/>
          <w:rtl/>
        </w:rPr>
        <w:t>»</w:t>
      </w:r>
      <w:r>
        <w:rPr>
          <w:rFonts w:hint="cs"/>
          <w:spacing w:val="-4"/>
          <w:vertAlign w:val="superscript"/>
          <w:rtl/>
        </w:rPr>
        <w:t>(</w:t>
      </w:r>
      <w:r>
        <w:rPr>
          <w:rStyle w:val="a7"/>
          <w:spacing w:val="-4"/>
          <w:rtl/>
        </w:rPr>
        <w:footnoteReference w:id="5221"/>
      </w:r>
      <w:r>
        <w:rPr>
          <w:rFonts w:hint="cs"/>
          <w:spacing w:val="-4"/>
          <w:vertAlign w:val="superscript"/>
          <w:rtl/>
        </w:rPr>
        <w:t>)</w:t>
      </w:r>
      <w:r>
        <w:rPr>
          <w:rFonts w:hint="cs"/>
          <w:spacing w:val="-4"/>
          <w:rtl/>
        </w:rPr>
        <w:t>، فلا يعتبر وصف الشباب، فيكون المرادُ : الشخص المشار إليه.</w:t>
      </w:r>
    </w:p>
    <w:p w:rsidR="00A66747" w:rsidRDefault="00A66747">
      <w:pPr>
        <w:rPr>
          <w:rtl/>
        </w:rPr>
      </w:pPr>
      <w:r>
        <w:rPr>
          <w:rFonts w:hint="eastAsia"/>
          <w:rtl/>
        </w:rPr>
        <w:t>«</w:t>
      </w:r>
      <w:r>
        <w:rPr>
          <w:rFonts w:hint="cs"/>
          <w:rtl/>
        </w:rPr>
        <w:t>ولا يحنث في حلفه : لا يكلّم شابًّا، فكلّمه شيخًا</w:t>
      </w:r>
      <w:r>
        <w:rPr>
          <w:rFonts w:hint="cs"/>
          <w:vertAlign w:val="superscript"/>
          <w:rtl/>
        </w:rPr>
        <w:t>(</w:t>
      </w:r>
      <w:r>
        <w:rPr>
          <w:rStyle w:val="a7"/>
          <w:rtl/>
        </w:rPr>
        <w:footnoteReference w:id="5222"/>
      </w:r>
      <w:r>
        <w:rPr>
          <w:rFonts w:hint="cs"/>
          <w:vertAlign w:val="superscript"/>
          <w:rtl/>
        </w:rPr>
        <w:t>)</w:t>
      </w:r>
      <w:r>
        <w:rPr>
          <w:rFonts w:hint="eastAsia"/>
          <w:rtl/>
        </w:rPr>
        <w:t>»</w:t>
      </w:r>
      <w:r>
        <w:rPr>
          <w:rFonts w:hint="cs"/>
          <w:vertAlign w:val="superscript"/>
          <w:rtl/>
        </w:rPr>
        <w:t>(</w:t>
      </w:r>
      <w:r>
        <w:rPr>
          <w:rStyle w:val="a7"/>
          <w:rtl/>
        </w:rPr>
        <w:footnoteReference w:id="5223"/>
      </w:r>
      <w:r>
        <w:rPr>
          <w:rFonts w:hint="cs"/>
          <w:vertAlign w:val="superscript"/>
          <w:rtl/>
        </w:rPr>
        <w:t>)</w:t>
      </w:r>
      <w:r>
        <w:rPr>
          <w:rFonts w:hint="cs"/>
          <w:rtl/>
        </w:rPr>
        <w:t xml:space="preserve">، فالوصف يعتبر في </w:t>
      </w:r>
      <w:r>
        <w:rPr>
          <w:rFonts w:hint="cs"/>
          <w:rtl/>
        </w:rPr>
        <w:lastRenderedPageBreak/>
        <w:t>الغائب، وشَرَطَ للحنث وصفَ الشباب.</w:t>
      </w:r>
    </w:p>
    <w:p w:rsidR="00A66747" w:rsidRDefault="00A66747">
      <w:pPr>
        <w:rPr>
          <w:rtl/>
        </w:rPr>
      </w:pPr>
      <w:r>
        <w:rPr>
          <w:rFonts w:hint="cs"/>
          <w:b/>
          <w:bCs/>
          <w:rtl/>
        </w:rPr>
        <w:t>وخرج</w:t>
      </w:r>
      <w:r>
        <w:rPr>
          <w:rFonts w:hint="cs"/>
          <w:rtl/>
        </w:rPr>
        <w:t xml:space="preserve"> عن هذا الأصل</w:t>
      </w:r>
      <w:r>
        <w:rPr>
          <w:rStyle w:val="a7"/>
          <w:rtl/>
        </w:rPr>
        <w:footnoteReference w:id="5224"/>
      </w:r>
      <w:r>
        <w:rPr>
          <w:rFonts w:hint="cs"/>
          <w:rtl/>
        </w:rPr>
        <w:t>: لو حلف : أن لا يأكل من هذا البُسْرِ، [فأكله]</w:t>
      </w:r>
      <w:r>
        <w:rPr>
          <w:rStyle w:val="a7"/>
          <w:rtl/>
        </w:rPr>
        <w:footnoteReference w:id="5225"/>
      </w:r>
      <w:r>
        <w:rPr>
          <w:rFonts w:hint="cs"/>
          <w:rtl/>
        </w:rPr>
        <w:t xml:space="preserve"> تمرًا، ومن هذا الرّطب، أو اللّبن [فأكله]</w:t>
      </w:r>
      <w:r>
        <w:rPr>
          <w:rFonts w:hint="cs"/>
          <w:b/>
          <w:bCs/>
          <w:vertAlign w:val="superscript"/>
          <w:rtl/>
        </w:rPr>
        <w:t>2</w:t>
      </w:r>
      <w:r>
        <w:rPr>
          <w:rFonts w:hint="cs"/>
          <w:rtl/>
        </w:rPr>
        <w:t xml:space="preserve"> تمرًا أو شِيرَازًا</w:t>
      </w:r>
      <w:r>
        <w:rPr>
          <w:rFonts w:hint="cs"/>
          <w:vertAlign w:val="superscript"/>
          <w:rtl/>
        </w:rPr>
        <w:t>(</w:t>
      </w:r>
      <w:r>
        <w:rPr>
          <w:rStyle w:val="a7"/>
          <w:rtl/>
        </w:rPr>
        <w:footnoteReference w:id="5226"/>
      </w:r>
      <w:r>
        <w:rPr>
          <w:rFonts w:hint="cs"/>
          <w:vertAlign w:val="superscript"/>
          <w:rtl/>
        </w:rPr>
        <w:t>)</w:t>
      </w:r>
      <w:r>
        <w:rPr>
          <w:rFonts w:hint="cs"/>
          <w:rtl/>
        </w:rPr>
        <w:t xml:space="preserve"> : لا يحنث</w:t>
      </w:r>
      <w:r>
        <w:rPr>
          <w:rFonts w:hint="cs"/>
          <w:vertAlign w:val="superscript"/>
          <w:rtl/>
        </w:rPr>
        <w:t>(</w:t>
      </w:r>
      <w:r>
        <w:rPr>
          <w:rStyle w:val="a7"/>
          <w:rtl/>
        </w:rPr>
        <w:footnoteReference w:id="5227"/>
      </w:r>
      <w:r>
        <w:rPr>
          <w:rFonts w:hint="cs"/>
          <w:vertAlign w:val="superscript"/>
          <w:rtl/>
        </w:rPr>
        <w:t>)</w:t>
      </w:r>
      <w:r>
        <w:rPr>
          <w:rFonts w:hint="cs"/>
          <w:rtl/>
        </w:rPr>
        <w:t>، فإنّ الوصف في هذه المسائل معتبر، وإن كان الوصـف</w:t>
      </w:r>
      <w:r>
        <w:rPr>
          <w:rStyle w:val="a7"/>
          <w:rtl/>
        </w:rPr>
        <w:footnoteReference w:id="5228"/>
      </w:r>
      <w:r>
        <w:rPr>
          <w:rFonts w:hint="cs"/>
          <w:rtl/>
        </w:rPr>
        <w:t xml:space="preserve"> في الـحاضر غير مـعتبر</w:t>
      </w:r>
      <w:r>
        <w:rPr>
          <w:rStyle w:val="a7"/>
          <w:rtl/>
        </w:rPr>
        <w:footnoteReference w:id="5229"/>
      </w:r>
      <w:r>
        <w:rPr>
          <w:rFonts w:hint="cs"/>
          <w:rtl/>
        </w:rPr>
        <w:t xml:space="preserve"> على خلاف مقتضى هذا الأصْل.</w:t>
      </w:r>
    </w:p>
    <w:p w:rsidR="00A66747" w:rsidRDefault="00A66747">
      <w:pPr>
        <w:rPr>
          <w:rtl/>
        </w:rPr>
      </w:pPr>
      <w:r>
        <w:rPr>
          <w:rFonts w:hint="cs"/>
          <w:b/>
          <w:bCs/>
          <w:rtl/>
        </w:rPr>
        <w:t>والجواب</w:t>
      </w:r>
      <w:r>
        <w:rPr>
          <w:rFonts w:hint="cs"/>
          <w:rtl/>
        </w:rPr>
        <w:t xml:space="preserve"> : أن قوله : (الوصف في الحاضر لغو) ليس على إطلاقه؛ فإنه على ما حققوه على نوعين :</w:t>
      </w:r>
    </w:p>
    <w:p w:rsidR="00A66747" w:rsidRDefault="00A66747" w:rsidP="00F0471F">
      <w:pPr>
        <w:rPr>
          <w:rtl/>
        </w:rPr>
      </w:pPr>
      <w:r>
        <w:rPr>
          <w:rtl/>
        </w:rPr>
        <w:t>•</w:t>
      </w:r>
      <w:r>
        <w:rPr>
          <w:rFonts w:hint="cs"/>
          <w:rtl/>
        </w:rPr>
        <w:t xml:space="preserve"> وصف لا يكون داعيًا إلى اليمين.</w:t>
      </w:r>
    </w:p>
    <w:p w:rsidR="00A66747" w:rsidRDefault="00A66747" w:rsidP="00F0471F">
      <w:pPr>
        <w:rPr>
          <w:rtl/>
        </w:rPr>
      </w:pPr>
      <w:r>
        <w:rPr>
          <w:rtl/>
        </w:rPr>
        <w:t>•</w:t>
      </w:r>
      <w:r>
        <w:rPr>
          <w:rFonts w:hint="cs"/>
          <w:rtl/>
        </w:rPr>
        <w:t xml:space="preserve"> وصف يكون داعيًا إليها</w:t>
      </w:r>
      <w:r>
        <w:rPr>
          <w:rFonts w:hint="cs"/>
          <w:vertAlign w:val="superscript"/>
          <w:rtl/>
        </w:rPr>
        <w:t>(</w:t>
      </w:r>
      <w:r>
        <w:rPr>
          <w:rStyle w:val="a7"/>
          <w:rtl/>
        </w:rPr>
        <w:footnoteReference w:id="5230"/>
      </w:r>
      <w:r>
        <w:rPr>
          <w:rFonts w:hint="cs"/>
          <w:vertAlign w:val="superscript"/>
          <w:rtl/>
        </w:rPr>
        <w:t>)</w:t>
      </w:r>
      <w:r>
        <w:rPr>
          <w:rFonts w:hint="cs"/>
          <w:rtl/>
        </w:rPr>
        <w:t>.</w:t>
      </w:r>
    </w:p>
    <w:p w:rsidR="00A66747" w:rsidRDefault="00A66747">
      <w:pPr>
        <w:spacing w:line="600" w:lineRule="exact"/>
        <w:rPr>
          <w:rtl/>
        </w:rPr>
      </w:pPr>
      <w:r>
        <w:rPr>
          <w:rFonts w:hint="cs"/>
          <w:rtl/>
        </w:rPr>
        <w:t>فيكون لغوًا في النوع الأول دون الثاني.</w:t>
      </w:r>
    </w:p>
    <w:p w:rsidR="00A66747" w:rsidRDefault="00A66747">
      <w:pPr>
        <w:spacing w:line="600" w:lineRule="exact"/>
        <w:rPr>
          <w:rtl/>
        </w:rPr>
      </w:pPr>
      <w:r>
        <w:rPr>
          <w:rFonts w:hint="cs"/>
          <w:rtl/>
        </w:rPr>
        <w:t>والوصف في هذه المسائل من النوع الثاني، فلا يكون لغوًا.</w:t>
      </w:r>
    </w:p>
    <w:p w:rsidR="00A66747" w:rsidRDefault="00A66747">
      <w:pPr>
        <w:spacing w:line="600" w:lineRule="exact"/>
        <w:rPr>
          <w:rtl/>
        </w:rPr>
      </w:pPr>
      <w:r>
        <w:rPr>
          <w:rFonts w:hint="cs"/>
          <w:b/>
          <w:bCs/>
          <w:rtl/>
        </w:rPr>
        <w:lastRenderedPageBreak/>
        <w:t>وإن قيل</w:t>
      </w:r>
      <w:r>
        <w:rPr>
          <w:rFonts w:hint="cs"/>
          <w:rtl/>
        </w:rPr>
        <w:t xml:space="preserve"> : الشبابة والصبابة داع</w:t>
      </w:r>
      <w:r>
        <w:rPr>
          <w:rFonts w:hint="cs"/>
          <w:vertAlign w:val="superscript"/>
          <w:rtl/>
        </w:rPr>
        <w:t>(</w:t>
      </w:r>
      <w:r>
        <w:rPr>
          <w:rStyle w:val="a7"/>
          <w:rtl/>
        </w:rPr>
        <w:footnoteReference w:id="5231"/>
      </w:r>
      <w:r>
        <w:rPr>
          <w:rFonts w:hint="cs"/>
          <w:vertAlign w:val="superscript"/>
          <w:rtl/>
        </w:rPr>
        <w:t>)</w:t>
      </w:r>
      <w:r>
        <w:rPr>
          <w:rFonts w:hint="cs"/>
          <w:rtl/>
        </w:rPr>
        <w:t xml:space="preserve"> إلى اليمين، فينبغي أن لا يكون لغوًا.</w:t>
      </w:r>
    </w:p>
    <w:p w:rsidR="00A66747" w:rsidRDefault="00A66747">
      <w:pPr>
        <w:spacing w:line="600" w:lineRule="exact"/>
        <w:rPr>
          <w:rtl/>
        </w:rPr>
      </w:pPr>
      <w:r>
        <w:rPr>
          <w:rFonts w:hint="cs"/>
          <w:b/>
          <w:bCs/>
          <w:rtl/>
        </w:rPr>
        <w:t>يقال</w:t>
      </w:r>
      <w:r>
        <w:rPr>
          <w:rFonts w:hint="cs"/>
          <w:rtl/>
        </w:rPr>
        <w:t xml:space="preserve"> : إن الوصف فيهما مهجور شرعًا</w:t>
      </w:r>
      <w:r>
        <w:rPr>
          <w:rFonts w:hint="cs"/>
          <w:vertAlign w:val="superscript"/>
          <w:rtl/>
        </w:rPr>
        <w:t>(</w:t>
      </w:r>
      <w:r>
        <w:rPr>
          <w:rStyle w:val="a7"/>
          <w:rtl/>
        </w:rPr>
        <w:footnoteReference w:id="5232"/>
      </w:r>
      <w:r>
        <w:rPr>
          <w:rFonts w:hint="cs"/>
          <w:vertAlign w:val="superscript"/>
          <w:rtl/>
        </w:rPr>
        <w:t>)</w:t>
      </w:r>
      <w:r>
        <w:rPr>
          <w:rFonts w:hint="cs"/>
          <w:rtl/>
        </w:rPr>
        <w:t xml:space="preserve">؛ </w:t>
      </w:r>
      <w:r>
        <w:rPr>
          <w:rFonts w:hint="eastAsia"/>
          <w:rtl/>
        </w:rPr>
        <w:t>«</w:t>
      </w:r>
      <w:r>
        <w:rPr>
          <w:rFonts w:hint="cs"/>
          <w:rtl/>
        </w:rPr>
        <w:t>[لأنّا]</w:t>
      </w:r>
      <w:r>
        <w:rPr>
          <w:rStyle w:val="a7"/>
          <w:rtl/>
        </w:rPr>
        <w:footnoteReference w:id="5233"/>
      </w:r>
      <w:r>
        <w:rPr>
          <w:rFonts w:hint="cs"/>
          <w:rtl/>
        </w:rPr>
        <w:t xml:space="preserve"> أُمِرْنا</w:t>
      </w:r>
      <w:r>
        <w:rPr>
          <w:rStyle w:val="a7"/>
          <w:rtl/>
        </w:rPr>
        <w:footnoteReference w:id="5234"/>
      </w:r>
      <w:r>
        <w:rPr>
          <w:rFonts w:hint="cs"/>
          <w:rtl/>
        </w:rPr>
        <w:t xml:space="preserve"> بالتحمل بأخلاق</w:t>
      </w:r>
      <w:r>
        <w:rPr>
          <w:rStyle w:val="a7"/>
          <w:rtl/>
        </w:rPr>
        <w:footnoteReference w:id="5235"/>
      </w:r>
      <w:r>
        <w:rPr>
          <w:rFonts w:hint="cs"/>
          <w:rtl/>
        </w:rPr>
        <w:t xml:space="preserve"> الفتيان ومرحمة الصبيان</w:t>
      </w:r>
      <w:r>
        <w:rPr>
          <w:rFonts w:hint="eastAsia"/>
          <w:rtl/>
        </w:rPr>
        <w:t>»</w:t>
      </w:r>
      <w:r>
        <w:rPr>
          <w:rFonts w:hint="cs"/>
          <w:vertAlign w:val="superscript"/>
          <w:rtl/>
        </w:rPr>
        <w:t>(</w:t>
      </w:r>
      <w:r>
        <w:rPr>
          <w:rStyle w:val="a7"/>
          <w:rtl/>
        </w:rPr>
        <w:footnoteReference w:id="5236"/>
      </w:r>
      <w:r>
        <w:rPr>
          <w:rFonts w:hint="cs"/>
          <w:vertAlign w:val="superscript"/>
          <w:rtl/>
        </w:rPr>
        <w:t>)</w:t>
      </w:r>
      <w:r>
        <w:rPr>
          <w:rFonts w:hint="cs"/>
          <w:rtl/>
        </w:rPr>
        <w:t>.</w:t>
      </w:r>
    </w:p>
    <w:p w:rsidR="00A66747" w:rsidRDefault="00A66747">
      <w:pPr>
        <w:rPr>
          <w:spacing w:val="-4"/>
          <w:rtl/>
        </w:rPr>
      </w:pPr>
      <w:r>
        <w:rPr>
          <w:rFonts w:hint="cs"/>
          <w:rtl/>
        </w:rPr>
        <w:t xml:space="preserve">واعـلـم : </w:t>
      </w:r>
      <w:r>
        <w:rPr>
          <w:rFonts w:hint="eastAsia"/>
          <w:rtl/>
        </w:rPr>
        <w:t>«</w:t>
      </w:r>
      <w:r>
        <w:rPr>
          <w:rFonts w:hint="cs"/>
          <w:rtl/>
        </w:rPr>
        <w:t>أن الـمـراد بالـوصـف : لـيـس صـفـة عَـرَضِيّةً</w:t>
      </w:r>
      <w:r>
        <w:rPr>
          <w:rFonts w:hint="cs"/>
          <w:vertAlign w:val="superscript"/>
          <w:rtl/>
        </w:rPr>
        <w:t>(</w:t>
      </w:r>
      <w:r>
        <w:rPr>
          <w:rStyle w:val="a7"/>
          <w:rtl/>
        </w:rPr>
        <w:footnoteReference w:id="5237"/>
      </w:r>
      <w:r>
        <w:rPr>
          <w:rFonts w:hint="cs"/>
          <w:vertAlign w:val="superscript"/>
          <w:rtl/>
        </w:rPr>
        <w:t>)</w:t>
      </w:r>
      <w:r>
        <w:rPr>
          <w:rFonts w:hint="cs"/>
          <w:rtl/>
        </w:rPr>
        <w:t xml:space="preserve"> قـائـمـة بـجـوهـر</w:t>
      </w:r>
      <w:r>
        <w:rPr>
          <w:rFonts w:hint="cs"/>
          <w:vertAlign w:val="superscript"/>
          <w:rtl/>
        </w:rPr>
        <w:t>(</w:t>
      </w:r>
      <w:r>
        <w:rPr>
          <w:rStyle w:val="a7"/>
          <w:rtl/>
        </w:rPr>
        <w:footnoteReference w:id="5238"/>
      </w:r>
      <w:r>
        <w:rPr>
          <w:rFonts w:hint="cs"/>
          <w:vertAlign w:val="superscript"/>
          <w:rtl/>
        </w:rPr>
        <w:t>)</w:t>
      </w:r>
      <w:r>
        <w:rPr>
          <w:rFonts w:hint="cs"/>
          <w:rtl/>
        </w:rPr>
        <w:t xml:space="preserve"> </w:t>
      </w:r>
      <w:r>
        <w:rPr>
          <w:rFonts w:hint="cs"/>
          <w:spacing w:val="-4"/>
          <w:rtl/>
        </w:rPr>
        <w:t>-</w:t>
      </w:r>
      <w:r>
        <w:rPr>
          <w:rFonts w:hint="cs"/>
          <w:spacing w:val="-4"/>
          <w:rtl/>
        </w:rPr>
        <w:lastRenderedPageBreak/>
        <w:t>كـالشـبـاب والـشـيـخـوخـة ونـحوهما-؛</w:t>
      </w:r>
    </w:p>
    <w:p w:rsidR="00A66747" w:rsidRDefault="00A66747">
      <w:pPr>
        <w:ind w:firstLine="0"/>
        <w:rPr>
          <w:rtl/>
        </w:rPr>
      </w:pPr>
      <w:r>
        <w:rPr>
          <w:rFonts w:hint="cs"/>
          <w:rtl/>
        </w:rPr>
        <w:t>بل</w:t>
      </w:r>
      <w:r>
        <w:rPr>
          <w:rStyle w:val="a7"/>
          <w:rtl/>
        </w:rPr>
        <w:footnoteReference w:id="5239"/>
      </w:r>
      <w:r>
        <w:rPr>
          <w:rFonts w:hint="cs"/>
          <w:rtl/>
        </w:rPr>
        <w:t xml:space="preserve"> يتناول</w:t>
      </w:r>
      <w:r>
        <w:rPr>
          <w:rFonts w:hint="cs"/>
          <w:vertAlign w:val="superscript"/>
          <w:rtl/>
        </w:rPr>
        <w:t>(</w:t>
      </w:r>
      <w:r>
        <w:rPr>
          <w:rStyle w:val="a7"/>
          <w:rtl/>
        </w:rPr>
        <w:footnoteReference w:id="5240"/>
      </w:r>
      <w:r>
        <w:rPr>
          <w:rFonts w:hint="cs"/>
          <w:vertAlign w:val="superscript"/>
          <w:rtl/>
        </w:rPr>
        <w:t>)</w:t>
      </w:r>
      <w:r>
        <w:rPr>
          <w:rFonts w:hint="cs"/>
          <w:rtl/>
        </w:rPr>
        <w:t xml:space="preserve"> جوهرًا قائمًا بجوهر آخر، يزيد قيامه به حسنًا له وكما</w:t>
      </w:r>
      <w:r>
        <w:rPr>
          <w:rStyle w:val="a7"/>
          <w:rtl/>
        </w:rPr>
        <w:footnoteReference w:id="5241"/>
      </w:r>
      <w:r>
        <w:rPr>
          <w:rFonts w:hint="cs"/>
          <w:rtl/>
        </w:rPr>
        <w:t xml:space="preserve"> لاً، ويورثُ</w:t>
      </w:r>
      <w:r>
        <w:rPr>
          <w:rStyle w:val="a7"/>
          <w:rtl/>
        </w:rPr>
        <w:footnoteReference w:id="5242"/>
      </w:r>
      <w:r>
        <w:rPr>
          <w:rFonts w:hint="cs"/>
          <w:rtl/>
        </w:rPr>
        <w:t xml:space="preserve"> انتقاضه</w:t>
      </w:r>
      <w:r>
        <w:rPr>
          <w:rFonts w:hint="cs"/>
          <w:vertAlign w:val="superscript"/>
          <w:rtl/>
        </w:rPr>
        <w:t>(</w:t>
      </w:r>
      <w:r>
        <w:rPr>
          <w:rStyle w:val="a7"/>
          <w:rtl/>
        </w:rPr>
        <w:footnoteReference w:id="5243"/>
      </w:r>
      <w:r>
        <w:rPr>
          <w:rFonts w:hint="cs"/>
          <w:vertAlign w:val="superscript"/>
          <w:rtl/>
        </w:rPr>
        <w:t>)</w:t>
      </w:r>
      <w:r>
        <w:rPr>
          <w:rFonts w:hint="cs"/>
          <w:rtl/>
        </w:rPr>
        <w:t xml:space="preserve"> عنه قبحًا له ونقصانًا</w:t>
      </w:r>
      <w:r>
        <w:rPr>
          <w:rFonts w:hint="eastAsia"/>
          <w:rtl/>
        </w:rPr>
        <w:t>»</w:t>
      </w:r>
      <w:r>
        <w:rPr>
          <w:rFonts w:hint="cs"/>
          <w:vertAlign w:val="superscript"/>
          <w:rtl/>
        </w:rPr>
        <w:t>(</w:t>
      </w:r>
      <w:r>
        <w:rPr>
          <w:rStyle w:val="a7"/>
          <w:rtl/>
        </w:rPr>
        <w:footnoteReference w:id="5244"/>
      </w:r>
      <w:r>
        <w:rPr>
          <w:rFonts w:hint="cs"/>
          <w:vertAlign w:val="superscript"/>
          <w:rtl/>
        </w:rPr>
        <w:t>)</w:t>
      </w:r>
      <w:r>
        <w:rPr>
          <w:rFonts w:hint="cs"/>
          <w:rtl/>
        </w:rPr>
        <w:t>.</w:t>
      </w:r>
    </w:p>
    <w:p w:rsidR="00A66747" w:rsidRDefault="00A66747">
      <w:pPr>
        <w:rPr>
          <w:rtl/>
        </w:rPr>
      </w:pPr>
      <w:r>
        <w:rPr>
          <w:rFonts w:hint="cs"/>
          <w:rtl/>
        </w:rPr>
        <w:t xml:space="preserve">قال في بعض شروح (الهداية) : </w:t>
      </w:r>
      <w:r>
        <w:rPr>
          <w:rFonts w:hint="eastAsia"/>
          <w:rtl/>
        </w:rPr>
        <w:t>«</w:t>
      </w:r>
      <w:r>
        <w:rPr>
          <w:rFonts w:hint="cs"/>
          <w:rtl/>
        </w:rPr>
        <w:t xml:space="preserve">ما يتعيّب بالتنقيص فهو وصف، وما لم يتعيّب </w:t>
      </w:r>
      <w:r>
        <w:rPr>
          <w:rFonts w:hint="cs"/>
          <w:rtl/>
        </w:rPr>
        <w:lastRenderedPageBreak/>
        <w:t>فهو أصل</w:t>
      </w:r>
      <w:r>
        <w:rPr>
          <w:rFonts w:hint="eastAsia"/>
          <w:rtl/>
        </w:rPr>
        <w:t>»</w:t>
      </w:r>
      <w:r>
        <w:rPr>
          <w:rFonts w:hint="cs"/>
          <w:vertAlign w:val="superscript"/>
          <w:rtl/>
        </w:rPr>
        <w:t>(</w:t>
      </w:r>
      <w:r>
        <w:rPr>
          <w:rStyle w:val="a7"/>
          <w:rtl/>
        </w:rPr>
        <w:footnoteReference w:id="5245"/>
      </w:r>
      <w:r>
        <w:rPr>
          <w:rFonts w:hint="cs"/>
          <w:vertAlign w:val="superscript"/>
          <w:rtl/>
        </w:rPr>
        <w:t>)</w:t>
      </w:r>
      <w:r>
        <w:rPr>
          <w:rFonts w:hint="cs"/>
          <w:rtl/>
        </w:rPr>
        <w:t xml:space="preserve">، </w:t>
      </w:r>
      <w:r>
        <w:rPr>
          <w:rFonts w:hint="eastAsia"/>
          <w:rtl/>
        </w:rPr>
        <w:t>«</w:t>
      </w:r>
      <w:r>
        <w:rPr>
          <w:rFonts w:hint="cs"/>
          <w:rtl/>
        </w:rPr>
        <w:t>حتى جُعِلَ ما يساوي الذرع في المذروعات</w:t>
      </w:r>
      <w:r>
        <w:rPr>
          <w:rStyle w:val="a7"/>
          <w:rtl/>
        </w:rPr>
        <w:footnoteReference w:id="5246"/>
      </w:r>
      <w:r>
        <w:rPr>
          <w:rFonts w:hint="cs"/>
          <w:rtl/>
        </w:rPr>
        <w:t xml:space="preserve"> وصفًا، وما يساوي الكيل في المكيلات قدرًا</w:t>
      </w:r>
      <w:r>
        <w:rPr>
          <w:rFonts w:hint="eastAsia"/>
          <w:rtl/>
        </w:rPr>
        <w:t>»</w:t>
      </w:r>
      <w:r>
        <w:rPr>
          <w:rFonts w:hint="cs"/>
          <w:vertAlign w:val="superscript"/>
          <w:rtl/>
        </w:rPr>
        <w:t>(</w:t>
      </w:r>
      <w:r>
        <w:rPr>
          <w:rStyle w:val="a7"/>
          <w:rtl/>
        </w:rPr>
        <w:footnoteReference w:id="5247"/>
      </w:r>
      <w:r>
        <w:rPr>
          <w:rFonts w:hint="cs"/>
          <w:vertAlign w:val="superscript"/>
          <w:rtl/>
        </w:rPr>
        <w:t>)</w:t>
      </w:r>
      <w:r>
        <w:rPr>
          <w:rFonts w:hint="cs"/>
          <w:rtl/>
        </w:rPr>
        <w:t>؛ لأن النقصان في [المذروعات]</w:t>
      </w:r>
      <w:r>
        <w:rPr>
          <w:rStyle w:val="a7"/>
          <w:rtl/>
        </w:rPr>
        <w:footnoteReference w:id="5248"/>
      </w:r>
      <w:r>
        <w:rPr>
          <w:rFonts w:hint="cs"/>
          <w:rtl/>
        </w:rPr>
        <w:t xml:space="preserve"> يورث قبحًا في الباقي، فجعل وصفًا، والنقصان في المكيلات لا</w:t>
      </w:r>
      <w:r>
        <w:rPr>
          <w:rStyle w:val="a7"/>
          <w:rtl/>
        </w:rPr>
        <w:footnoteReference w:id="5249"/>
      </w:r>
      <w:r>
        <w:rPr>
          <w:rFonts w:hint="cs"/>
          <w:rtl/>
        </w:rPr>
        <w:t xml:space="preserve"> يورث قبحًا في الباقي، فيجعل قدرًا </w:t>
      </w:r>
      <w:r>
        <w:rPr>
          <w:rFonts w:hint="eastAsia"/>
          <w:rtl/>
        </w:rPr>
        <w:t>«</w:t>
      </w:r>
      <w:r>
        <w:rPr>
          <w:rFonts w:hint="cs"/>
          <w:rtl/>
        </w:rPr>
        <w:t>فالوصف لا يقابله شيءٌ من الثمن</w:t>
      </w:r>
      <w:r>
        <w:rPr>
          <w:rFonts w:hint="eastAsia"/>
          <w:rtl/>
        </w:rPr>
        <w:t>»</w:t>
      </w:r>
      <w:r>
        <w:rPr>
          <w:rFonts w:hint="cs"/>
          <w:vertAlign w:val="superscript"/>
          <w:rtl/>
        </w:rPr>
        <w:t>(</w:t>
      </w:r>
      <w:r>
        <w:rPr>
          <w:rStyle w:val="a7"/>
          <w:rtl/>
        </w:rPr>
        <w:footnoteReference w:id="5250"/>
      </w:r>
      <w:r>
        <w:rPr>
          <w:rFonts w:hint="cs"/>
          <w:vertAlign w:val="superscript"/>
          <w:rtl/>
        </w:rPr>
        <w:t>)</w:t>
      </w:r>
      <w:r>
        <w:rPr>
          <w:rFonts w:hint="cs"/>
          <w:rtl/>
        </w:rPr>
        <w:t>.</w:t>
      </w:r>
    </w:p>
    <w:p w:rsidR="00A66747" w:rsidRDefault="00A66747">
      <w:pPr>
        <w:rPr>
          <w:spacing w:val="6"/>
          <w:rtl/>
        </w:rPr>
      </w:pPr>
      <w:r>
        <w:rPr>
          <w:rFonts w:hint="cs"/>
          <w:spacing w:val="6"/>
          <w:rtl/>
        </w:rPr>
        <w:t>فمن باع ثوبًا على أنه عَـشَرَةُ أذرعٍ بـمائة</w:t>
      </w:r>
      <w:r>
        <w:rPr>
          <w:rStyle w:val="a7"/>
          <w:spacing w:val="6"/>
          <w:rtl/>
        </w:rPr>
        <w:footnoteReference w:id="5251"/>
      </w:r>
      <w:r>
        <w:rPr>
          <w:rFonts w:hint="cs"/>
          <w:spacing w:val="6"/>
          <w:rtl/>
        </w:rPr>
        <w:t>، ولم يقل : كل [ذراع]</w:t>
      </w:r>
      <w:r>
        <w:rPr>
          <w:rStyle w:val="a7"/>
          <w:spacing w:val="6"/>
          <w:rtl/>
        </w:rPr>
        <w:footnoteReference w:id="5252"/>
      </w:r>
      <w:r>
        <w:rPr>
          <w:rFonts w:hint="cs"/>
          <w:spacing w:val="6"/>
          <w:rtl/>
        </w:rPr>
        <w:t>[بكـذا]</w:t>
      </w:r>
      <w:r>
        <w:rPr>
          <w:rStyle w:val="a7"/>
          <w:spacing w:val="6"/>
          <w:rtl/>
        </w:rPr>
        <w:footnoteReference w:id="5253"/>
      </w:r>
      <w:r>
        <w:rPr>
          <w:rFonts w:hint="cs"/>
          <w:spacing w:val="6"/>
          <w:rtl/>
        </w:rPr>
        <w:t xml:space="preserve"> خُـيِّـر</w:t>
      </w:r>
      <w:r>
        <w:rPr>
          <w:rStyle w:val="a7"/>
          <w:spacing w:val="6"/>
          <w:rtl/>
        </w:rPr>
        <w:footnoteReference w:id="5254"/>
      </w:r>
      <w:r>
        <w:rPr>
          <w:rFonts w:hint="cs"/>
          <w:spacing w:val="6"/>
          <w:rtl/>
        </w:rPr>
        <w:t xml:space="preserve"> الـمشتـري : إن شـاء أخذ الأقـل بالكـلّ، وإن شاء ترك وأخذ الأكثر </w:t>
      </w:r>
      <w:r>
        <w:rPr>
          <w:rFonts w:hint="cs"/>
          <w:spacing w:val="6"/>
          <w:rtl/>
        </w:rPr>
        <w:lastRenderedPageBreak/>
        <w:t>بلا خيارٍ بمائة، ولا يزداد</w:t>
      </w:r>
      <w:r>
        <w:rPr>
          <w:rStyle w:val="a7"/>
          <w:spacing w:val="6"/>
          <w:rtl/>
        </w:rPr>
        <w:footnoteReference w:id="5255"/>
      </w:r>
      <w:r>
        <w:rPr>
          <w:rFonts w:hint="cs"/>
          <w:spacing w:val="6"/>
          <w:rtl/>
        </w:rPr>
        <w:t xml:space="preserve"> الثمن في مقابلة</w:t>
      </w:r>
      <w:r>
        <w:rPr>
          <w:rStyle w:val="a7"/>
          <w:spacing w:val="6"/>
          <w:rtl/>
        </w:rPr>
        <w:footnoteReference w:id="5256"/>
      </w:r>
      <w:r>
        <w:rPr>
          <w:rFonts w:hint="cs"/>
          <w:spacing w:val="6"/>
          <w:rtl/>
        </w:rPr>
        <w:t xml:space="preserve"> ما زاد من عشرة أذرع</w:t>
      </w:r>
      <w:r>
        <w:rPr>
          <w:rFonts w:hint="cs"/>
          <w:spacing w:val="6"/>
          <w:vertAlign w:val="superscript"/>
          <w:rtl/>
        </w:rPr>
        <w:t>(</w:t>
      </w:r>
      <w:r>
        <w:rPr>
          <w:rStyle w:val="a7"/>
          <w:spacing w:val="6"/>
          <w:rtl/>
        </w:rPr>
        <w:footnoteReference w:id="5257"/>
      </w:r>
      <w:r>
        <w:rPr>
          <w:rFonts w:hint="cs"/>
          <w:spacing w:val="6"/>
          <w:vertAlign w:val="superscript"/>
          <w:rtl/>
        </w:rPr>
        <w:t>)</w:t>
      </w:r>
      <w:r>
        <w:rPr>
          <w:rFonts w:hint="cs"/>
          <w:spacing w:val="6"/>
          <w:rtl/>
        </w:rPr>
        <w:t>.</w:t>
      </w:r>
    </w:p>
    <w:p w:rsidR="00A66747" w:rsidRDefault="00A66747">
      <w:pPr>
        <w:rPr>
          <w:rtl/>
        </w:rPr>
      </w:pPr>
      <w:r>
        <w:rPr>
          <w:rFonts w:hint="cs"/>
          <w:rtl/>
        </w:rPr>
        <w:t>ولهذا المعنى اعتبر القوم البناء في الدار وصفًا، مع أنه جوهر</w:t>
      </w:r>
      <w:r>
        <w:rPr>
          <w:rFonts w:hint="cs"/>
          <w:vertAlign w:val="superscript"/>
          <w:rtl/>
        </w:rPr>
        <w:t>(</w:t>
      </w:r>
      <w:r>
        <w:rPr>
          <w:rStyle w:val="a7"/>
          <w:rtl/>
        </w:rPr>
        <w:footnoteReference w:id="5258"/>
      </w:r>
      <w:r>
        <w:rPr>
          <w:rFonts w:hint="cs"/>
          <w:vertAlign w:val="superscript"/>
          <w:rtl/>
        </w:rPr>
        <w:t>)</w:t>
      </w:r>
      <w:r>
        <w:rPr>
          <w:rFonts w:hint="cs"/>
          <w:rtl/>
        </w:rPr>
        <w:t>.</w:t>
      </w:r>
    </w:p>
    <w:p w:rsidR="00A66747" w:rsidRDefault="00A66747">
      <w:pPr>
        <w:rPr>
          <w:rtl/>
        </w:rPr>
      </w:pPr>
      <w:r>
        <w:rPr>
          <w:rFonts w:hint="cs"/>
          <w:rtl/>
        </w:rPr>
        <w:t xml:space="preserve">وبهذا خرج </w:t>
      </w:r>
      <w:r>
        <w:rPr>
          <w:rFonts w:hint="cs"/>
          <w:b/>
          <w:bCs/>
          <w:rtl/>
        </w:rPr>
        <w:t>الجواب</w:t>
      </w:r>
      <w:r>
        <w:rPr>
          <w:rFonts w:hint="cs"/>
          <w:rtl/>
        </w:rPr>
        <w:t xml:space="preserve"> عن اعتراض صدر الشريعة حيث قال : </w:t>
      </w:r>
      <w:r>
        <w:rPr>
          <w:rFonts w:hint="eastAsia"/>
          <w:rtl/>
        </w:rPr>
        <w:t>«</w:t>
      </w:r>
      <w:r>
        <w:rPr>
          <w:rFonts w:hint="cs"/>
          <w:rtl/>
        </w:rPr>
        <w:t>-في قولنا : لا يدخل هذه الدار</w:t>
      </w:r>
      <w:r>
        <w:rPr>
          <w:rFonts w:hint="cs"/>
          <w:vertAlign w:val="superscript"/>
          <w:rtl/>
        </w:rPr>
        <w:t>(</w:t>
      </w:r>
      <w:r>
        <w:rPr>
          <w:rStyle w:val="a7"/>
          <w:rtl/>
        </w:rPr>
        <w:footnoteReference w:id="5259"/>
      </w:r>
      <w:r>
        <w:rPr>
          <w:rFonts w:hint="cs"/>
          <w:vertAlign w:val="superscript"/>
          <w:rtl/>
        </w:rPr>
        <w:t>)</w:t>
      </w:r>
      <w:r>
        <w:rPr>
          <w:rFonts w:hint="cs"/>
          <w:rtl/>
        </w:rPr>
        <w:t xml:space="preserve"> ولا يدخل دارًا- أين</w:t>
      </w:r>
      <w:r>
        <w:rPr>
          <w:rStyle w:val="a7"/>
          <w:rtl/>
        </w:rPr>
        <w:footnoteReference w:id="5260"/>
      </w:r>
      <w:r>
        <w:rPr>
          <w:rFonts w:hint="cs"/>
          <w:rtl/>
        </w:rPr>
        <w:t xml:space="preserve"> الوصف حتى يكون لغوًا في أحدهما غير لغو في الآخر</w:t>
      </w:r>
      <w:r>
        <w:rPr>
          <w:rStyle w:val="a7"/>
          <w:rtl/>
        </w:rPr>
        <w:footnoteReference w:id="5261"/>
      </w:r>
      <w:r>
        <w:rPr>
          <w:rFonts w:hint="cs"/>
          <w:rtl/>
        </w:rPr>
        <w:t>؟</w:t>
      </w:r>
      <w:r>
        <w:rPr>
          <w:rFonts w:hint="eastAsia"/>
          <w:rtl/>
        </w:rPr>
        <w:t>»</w:t>
      </w:r>
      <w:r>
        <w:rPr>
          <w:rFonts w:hint="cs"/>
          <w:vertAlign w:val="superscript"/>
          <w:rtl/>
        </w:rPr>
        <w:t>(</w:t>
      </w:r>
      <w:r>
        <w:rPr>
          <w:rStyle w:val="a7"/>
          <w:rtl/>
        </w:rPr>
        <w:footnoteReference w:id="5262"/>
      </w:r>
      <w:r>
        <w:rPr>
          <w:rFonts w:hint="cs"/>
          <w:vertAlign w:val="superscript"/>
          <w:rtl/>
        </w:rPr>
        <w:t>)</w:t>
      </w:r>
      <w:r>
        <w:rPr>
          <w:rFonts w:hint="cs"/>
          <w:rtl/>
        </w:rPr>
        <w:t>.</w:t>
      </w:r>
    </w:p>
    <w:p w:rsidR="00A66747" w:rsidRDefault="00A66747">
      <w:pPr>
        <w:rPr>
          <w:rtl/>
        </w:rPr>
      </w:pPr>
    </w:p>
    <w:p w:rsidR="00A66747" w:rsidRDefault="00A66747">
      <w:pPr>
        <w:rPr>
          <w:rtl/>
        </w:rPr>
      </w:pPr>
    </w:p>
    <w:p w:rsidR="00A66747"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sectPr w:rsidR="00A66747" w:rsidSect="00413215">
          <w:headerReference w:type="default" r:id="rId31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290391" w:rsidRDefault="00A66747">
      <w:pPr>
        <w:pStyle w:val="a9"/>
        <w:rPr>
          <w:rFonts w:cs="AL-Mateen"/>
          <w:rtl/>
        </w:rPr>
      </w:pPr>
      <w:r w:rsidRPr="00290391">
        <w:rPr>
          <w:rFonts w:cs="AL-Mateen"/>
          <w:rtl/>
        </w:rPr>
        <w:lastRenderedPageBreak/>
        <w:t>[ الـقـاعـدة الـ</w:t>
      </w:r>
      <w:r w:rsidRPr="00290391">
        <w:rPr>
          <w:rFonts w:cs="AL-Mateen" w:hint="cs"/>
          <w:rtl/>
        </w:rPr>
        <w:t>رابـعـة</w:t>
      </w:r>
      <w:r w:rsidRPr="00290391">
        <w:rPr>
          <w:rFonts w:cs="AL-Mateen"/>
          <w:rtl/>
        </w:rPr>
        <w:t xml:space="preserve"> </w:t>
      </w:r>
      <w:r w:rsidRPr="00290391">
        <w:rPr>
          <w:rFonts w:cs="AL-Mateen" w:hint="eastAsia"/>
          <w:rtl/>
        </w:rPr>
        <w:t>والـخـمـسـون</w:t>
      </w:r>
      <w:r w:rsidRPr="00290391">
        <w:rPr>
          <w:rFonts w:cs="AL-Mateen"/>
          <w:rtl/>
        </w:rPr>
        <w:t xml:space="preserve"> بـعـد الـمـائـتـيـن ]</w:t>
      </w:r>
    </w:p>
    <w:p w:rsidR="00A66747" w:rsidRDefault="00A66747">
      <w:pPr>
        <w:rPr>
          <w:spacing w:val="-2"/>
          <w:rtl/>
        </w:rPr>
      </w:pPr>
      <w:r>
        <w:rPr>
          <w:rFonts w:cs="Monotype Koufi" w:hint="cs"/>
          <w:spacing w:val="-2"/>
          <w:rtl/>
        </w:rPr>
        <w:t>الوَصْفُ</w:t>
      </w:r>
      <w:r>
        <w:rPr>
          <w:rStyle w:val="a7"/>
          <w:spacing w:val="-2"/>
          <w:rtl/>
        </w:rPr>
        <w:footnoteReference w:id="5263"/>
      </w:r>
      <w:r>
        <w:rPr>
          <w:rFonts w:hint="cs"/>
          <w:spacing w:val="-2"/>
          <w:rtl/>
        </w:rPr>
        <w:t xml:space="preserve"> </w:t>
      </w:r>
      <w:r>
        <w:rPr>
          <w:rFonts w:cs="Monotype Koufi" w:hint="cs"/>
          <w:spacing w:val="-2"/>
          <w:rtl/>
        </w:rPr>
        <w:t>يُقَابِلُهُ شَيْءٌ مِنَ الثَّمَنِ</w:t>
      </w:r>
      <w:r>
        <w:rPr>
          <w:rStyle w:val="a7"/>
          <w:spacing w:val="-2"/>
          <w:rtl/>
        </w:rPr>
        <w:footnoteReference w:id="5264"/>
      </w:r>
      <w:r>
        <w:rPr>
          <w:rFonts w:hint="cs"/>
          <w:spacing w:val="-2"/>
          <w:rtl/>
        </w:rPr>
        <w:t xml:space="preserve"> </w:t>
      </w:r>
      <w:r>
        <w:rPr>
          <w:rFonts w:cs="Monotype Koufi" w:hint="cs"/>
          <w:spacing w:val="-2"/>
          <w:rtl/>
        </w:rPr>
        <w:t>إِذَا كَانَ</w:t>
      </w:r>
      <w:r>
        <w:rPr>
          <w:rFonts w:hint="cs"/>
          <w:spacing w:val="-2"/>
          <w:vertAlign w:val="superscript"/>
          <w:rtl/>
        </w:rPr>
        <w:t>(</w:t>
      </w:r>
      <w:r>
        <w:rPr>
          <w:rStyle w:val="a7"/>
          <w:spacing w:val="-2"/>
          <w:rtl/>
        </w:rPr>
        <w:footnoteReference w:id="5265"/>
      </w:r>
      <w:r>
        <w:rPr>
          <w:rFonts w:hint="cs"/>
          <w:spacing w:val="-2"/>
          <w:vertAlign w:val="superscript"/>
          <w:rtl/>
        </w:rPr>
        <w:t>)</w:t>
      </w:r>
      <w:r>
        <w:rPr>
          <w:rFonts w:hint="cs"/>
          <w:spacing w:val="-2"/>
          <w:rtl/>
        </w:rPr>
        <w:t xml:space="preserve"> </w:t>
      </w:r>
      <w:r>
        <w:rPr>
          <w:rFonts w:cs="Monotype Koufi" w:hint="cs"/>
          <w:spacing w:val="-2"/>
          <w:rtl/>
        </w:rPr>
        <w:t>مَقْصُودًا بالتَّنَاوُلِ</w:t>
      </w:r>
      <w:r>
        <w:rPr>
          <w:rFonts w:hint="cs"/>
          <w:spacing w:val="-2"/>
          <w:vertAlign w:val="superscript"/>
          <w:rtl/>
        </w:rPr>
        <w:t>(</w:t>
      </w:r>
      <w:r>
        <w:rPr>
          <w:rStyle w:val="a7"/>
          <w:spacing w:val="-2"/>
          <w:rtl/>
        </w:rPr>
        <w:footnoteReference w:id="5266"/>
      </w:r>
      <w:r>
        <w:rPr>
          <w:rFonts w:hint="cs"/>
          <w:spacing w:val="-2"/>
          <w:vertAlign w:val="superscript"/>
          <w:rtl/>
        </w:rPr>
        <w:t>)</w:t>
      </w:r>
      <w:r>
        <w:rPr>
          <w:rFonts w:hint="cs"/>
          <w:spacing w:val="-2"/>
          <w:rtl/>
        </w:rPr>
        <w:t xml:space="preserve"> :</w:t>
      </w:r>
    </w:p>
    <w:p w:rsidR="00A66747" w:rsidRDefault="00A66747">
      <w:pPr>
        <w:rPr>
          <w:spacing w:val="8"/>
          <w:rtl/>
        </w:rPr>
      </w:pPr>
      <w:r>
        <w:rPr>
          <w:rFonts w:hint="cs"/>
          <w:b/>
          <w:bCs/>
          <w:spacing w:val="8"/>
          <w:rtl/>
        </w:rPr>
        <w:lastRenderedPageBreak/>
        <w:t>ولهذا</w:t>
      </w:r>
      <w:r>
        <w:rPr>
          <w:rFonts w:hint="cs"/>
          <w:spacing w:val="8"/>
          <w:rtl/>
        </w:rPr>
        <w:t xml:space="preserve"> : لو باع ثوبًا على أنه عشرة أذرُع بعشرة دراهم </w:t>
      </w:r>
      <w:r>
        <w:rPr>
          <w:rFonts w:hint="eastAsia"/>
          <w:spacing w:val="8"/>
          <w:rtl/>
        </w:rPr>
        <w:t>«</w:t>
      </w:r>
      <w:r>
        <w:rPr>
          <w:rFonts w:hint="cs"/>
          <w:spacing w:val="8"/>
          <w:rtl/>
        </w:rPr>
        <w:t>كلّ ذراعٍ بدرهم : وإن</w:t>
      </w:r>
      <w:r>
        <w:rPr>
          <w:rFonts w:hint="cs"/>
          <w:spacing w:val="8"/>
          <w:vertAlign w:val="superscript"/>
          <w:rtl/>
        </w:rPr>
        <w:t>(</w:t>
      </w:r>
      <w:r>
        <w:rPr>
          <w:rStyle w:val="a7"/>
          <w:spacing w:val="8"/>
          <w:rtl/>
        </w:rPr>
        <w:footnoteReference w:id="5267"/>
      </w:r>
      <w:r>
        <w:rPr>
          <w:rFonts w:hint="cs"/>
          <w:spacing w:val="8"/>
          <w:vertAlign w:val="superscript"/>
          <w:rtl/>
        </w:rPr>
        <w:t>)</w:t>
      </w:r>
      <w:r>
        <w:rPr>
          <w:rFonts w:hint="cs"/>
          <w:spacing w:val="8"/>
          <w:rtl/>
        </w:rPr>
        <w:t xml:space="preserve"> وُجِدَ ناقصًا : أخَذَهُ الـمشـتري [بحصّته]</w:t>
      </w:r>
      <w:r>
        <w:rPr>
          <w:rStyle w:val="a7"/>
          <w:spacing w:val="8"/>
          <w:rtl/>
        </w:rPr>
        <w:footnoteReference w:id="5268"/>
      </w:r>
      <w:r>
        <w:rPr>
          <w:rFonts w:hint="cs"/>
          <w:spacing w:val="8"/>
          <w:rtl/>
        </w:rPr>
        <w:t xml:space="preserve"> من الثمن أو تَرَكَ؛ لأن الوصفَ وإن كان تابعًا لكنّه صار أصلاً بإفـراده</w:t>
      </w:r>
      <w:r>
        <w:rPr>
          <w:rStyle w:val="a7"/>
          <w:spacing w:val="8"/>
          <w:rtl/>
        </w:rPr>
        <w:footnoteReference w:id="5269"/>
      </w:r>
      <w:r>
        <w:rPr>
          <w:rFonts w:hint="cs"/>
          <w:spacing w:val="8"/>
          <w:rtl/>
        </w:rPr>
        <w:t xml:space="preserve"> بذكر الـثمن، فنـزَّّل كلُّ ذراع منزلة ثوب، وكان مقصودًا بالتناول</w:t>
      </w:r>
      <w:r>
        <w:rPr>
          <w:rFonts w:hint="cs"/>
          <w:spacing w:val="8"/>
          <w:vertAlign w:val="superscript"/>
          <w:rtl/>
        </w:rPr>
        <w:t>(</w:t>
      </w:r>
      <w:r>
        <w:rPr>
          <w:rStyle w:val="a7"/>
          <w:spacing w:val="8"/>
          <w:rtl/>
        </w:rPr>
        <w:footnoteReference w:id="5270"/>
      </w:r>
      <w:r>
        <w:rPr>
          <w:rFonts w:hint="cs"/>
          <w:spacing w:val="8"/>
          <w:vertAlign w:val="superscript"/>
          <w:rtl/>
        </w:rPr>
        <w:t>)</w:t>
      </w:r>
      <w:r>
        <w:rPr>
          <w:rFonts w:hint="cs"/>
          <w:spacing w:val="8"/>
          <w:rtl/>
        </w:rPr>
        <w:t>، فلـو أخذ بـجميع الثمن لم يكن [الـمشتري]</w:t>
      </w:r>
      <w:r>
        <w:rPr>
          <w:rStyle w:val="a7"/>
          <w:spacing w:val="8"/>
          <w:rtl/>
        </w:rPr>
        <w:footnoteReference w:id="5271"/>
      </w:r>
      <w:r>
        <w:rPr>
          <w:rFonts w:hint="cs"/>
          <w:spacing w:val="8"/>
          <w:rtl/>
        </w:rPr>
        <w:t xml:space="preserve"> آخـذًا</w:t>
      </w:r>
      <w:r>
        <w:rPr>
          <w:rStyle w:val="a7"/>
          <w:spacing w:val="8"/>
          <w:rtl/>
        </w:rPr>
        <w:footnoteReference w:id="5272"/>
      </w:r>
      <w:r>
        <w:rPr>
          <w:rFonts w:hint="cs"/>
          <w:spacing w:val="8"/>
          <w:rtl/>
        </w:rPr>
        <w:t xml:space="preserve"> كـل ذراع بـدرهـم، وهـو لم يـبـع إلا بـشرط أن يكون كل </w:t>
      </w:r>
      <w:r>
        <w:rPr>
          <w:rFonts w:hint="cs"/>
          <w:spacing w:val="8"/>
          <w:rtl/>
        </w:rPr>
        <w:lastRenderedPageBreak/>
        <w:t>ذراعٍ بدرهم؛ لأنّ كلمة  (على)  تـأتي للـشـرط كما عُـرف</w:t>
      </w:r>
      <w:r>
        <w:rPr>
          <w:rStyle w:val="a7"/>
          <w:spacing w:val="8"/>
          <w:rtl/>
        </w:rPr>
        <w:footnoteReference w:id="5273"/>
      </w:r>
      <w:r>
        <w:rPr>
          <w:rFonts w:hint="cs"/>
          <w:spacing w:val="8"/>
          <w:rtl/>
        </w:rPr>
        <w:t xml:space="preserve"> </w:t>
      </w:r>
    </w:p>
    <w:p w:rsidR="00A66747" w:rsidRDefault="00A66747">
      <w:pPr>
        <w:ind w:firstLine="0"/>
        <w:rPr>
          <w:rtl/>
        </w:rPr>
      </w:pPr>
      <w:r>
        <w:rPr>
          <w:rFonts w:hint="cs"/>
          <w:rtl/>
        </w:rPr>
        <w:t>في موضعه</w:t>
      </w:r>
      <w:r>
        <w:rPr>
          <w:rFonts w:hint="cs"/>
          <w:vertAlign w:val="superscript"/>
          <w:rtl/>
        </w:rPr>
        <w:t>(</w:t>
      </w:r>
      <w:r>
        <w:rPr>
          <w:rStyle w:val="a7"/>
          <w:rtl/>
        </w:rPr>
        <w:footnoteReference w:id="5274"/>
      </w:r>
      <w:r>
        <w:rPr>
          <w:rFonts w:hint="cs"/>
          <w:vertAlign w:val="superscript"/>
          <w:rtl/>
        </w:rPr>
        <w:t>)</w:t>
      </w:r>
      <w:r>
        <w:rPr>
          <w:rFonts w:hint="eastAsia"/>
          <w:rtl/>
        </w:rPr>
        <w:t>»</w:t>
      </w:r>
      <w:r>
        <w:rPr>
          <w:rFonts w:hint="cs"/>
          <w:vertAlign w:val="superscript"/>
          <w:rtl/>
        </w:rPr>
        <w:t>(</w:t>
      </w:r>
      <w:r>
        <w:rPr>
          <w:rStyle w:val="a7"/>
          <w:rtl/>
        </w:rPr>
        <w:footnoteReference w:id="5275"/>
      </w:r>
      <w:r>
        <w:rPr>
          <w:rFonts w:hint="cs"/>
          <w:vertAlign w:val="superscript"/>
          <w:rtl/>
        </w:rPr>
        <w:t>)</w:t>
      </w:r>
      <w:r>
        <w:rPr>
          <w:rFonts w:hint="cs"/>
          <w:rtl/>
        </w:rPr>
        <w:t>.</w:t>
      </w:r>
    </w:p>
    <w:p w:rsidR="00A66747" w:rsidRDefault="00A66747">
      <w:pPr>
        <w:rPr>
          <w:rtl/>
        </w:rPr>
      </w:pPr>
      <w:r>
        <w:rPr>
          <w:rFonts w:hint="cs"/>
          <w:b/>
          <w:bCs/>
          <w:rtl/>
        </w:rPr>
        <w:t>وإن قيل</w:t>
      </w:r>
      <w:r>
        <w:rPr>
          <w:rFonts w:hint="cs"/>
          <w:rtl/>
        </w:rPr>
        <w:t xml:space="preserve"> : إن الذراع لو أمكن أن يكون أصلاً بذكر الثمن لِمَ لمْ يُجْعَلْ أصلاً في المسألة المذكورة</w:t>
      </w:r>
      <w:r>
        <w:rPr>
          <w:rStyle w:val="a7"/>
          <w:rtl/>
        </w:rPr>
        <w:footnoteReference w:id="5276"/>
      </w:r>
      <w:r>
        <w:rPr>
          <w:rFonts w:hint="cs"/>
          <w:rtl/>
        </w:rPr>
        <w:t xml:space="preserve"> في [الأصل]</w:t>
      </w:r>
      <w:r>
        <w:rPr>
          <w:rStyle w:val="a7"/>
          <w:rtl/>
        </w:rPr>
        <w:footnoteReference w:id="5277"/>
      </w:r>
      <w:r>
        <w:rPr>
          <w:rFonts w:hint="cs"/>
          <w:rtl/>
        </w:rPr>
        <w:t xml:space="preserve"> المتقدم</w:t>
      </w:r>
      <w:r>
        <w:rPr>
          <w:rFonts w:hint="cs"/>
          <w:vertAlign w:val="superscript"/>
          <w:rtl/>
        </w:rPr>
        <w:t>(</w:t>
      </w:r>
      <w:r>
        <w:rPr>
          <w:rStyle w:val="a7"/>
          <w:rtl/>
        </w:rPr>
        <w:footnoteReference w:id="5278"/>
      </w:r>
      <w:r>
        <w:rPr>
          <w:rFonts w:hint="cs"/>
          <w:vertAlign w:val="superscript"/>
          <w:rtl/>
        </w:rPr>
        <w:t>)</w:t>
      </w:r>
      <w:r>
        <w:rPr>
          <w:rFonts w:hint="cs"/>
          <w:rtl/>
        </w:rPr>
        <w:t>؟</w:t>
      </w:r>
      <w:r>
        <w:rPr>
          <w:rFonts w:hint="cs"/>
          <w:vertAlign w:val="superscript"/>
          <w:rtl/>
        </w:rPr>
        <w:t>(</w:t>
      </w:r>
      <w:r>
        <w:rPr>
          <w:rStyle w:val="a7"/>
          <w:rtl/>
        </w:rPr>
        <w:footnoteReference w:id="5279"/>
      </w:r>
      <w:r>
        <w:rPr>
          <w:rFonts w:hint="cs"/>
          <w:vertAlign w:val="superscript"/>
          <w:rtl/>
        </w:rPr>
        <w:t>)</w:t>
      </w:r>
      <w:r>
        <w:rPr>
          <w:rFonts w:hint="cs"/>
          <w:rtl/>
        </w:rPr>
        <w:t>.</w:t>
      </w:r>
    </w:p>
    <w:p w:rsidR="00A66747" w:rsidRDefault="00A66747" w:rsidP="00F46655">
      <w:pPr>
        <w:jc w:val="both"/>
        <w:rPr>
          <w:rtl/>
        </w:rPr>
      </w:pPr>
      <w:r>
        <w:rPr>
          <w:rFonts w:hint="cs"/>
          <w:rtl/>
        </w:rPr>
        <w:t>وهي من باع ثوبًا بمائة، على أنه عَشَرَةُ أذرُعٍ، ولم يقل : كلُ ذراع بكذا : خُيِّر المشتري</w:t>
      </w:r>
      <w:r>
        <w:rPr>
          <w:rStyle w:val="a7"/>
          <w:rtl/>
        </w:rPr>
        <w:footnoteReference w:id="5280"/>
      </w:r>
      <w:r>
        <w:rPr>
          <w:rFonts w:hint="cs"/>
          <w:rtl/>
        </w:rPr>
        <w:t xml:space="preserve">: إن شاء أخذ الأقل بكلّ الثمن، وإن شـاء تـرك. فالذراع فيها لم يكن </w:t>
      </w:r>
      <w:r>
        <w:rPr>
          <w:rtl/>
        </w:rPr>
        <w:br/>
      </w:r>
      <w:r w:rsidRPr="009F5801">
        <w:rPr>
          <w:rFonts w:hint="cs"/>
          <w:spacing w:val="-2"/>
          <w:rtl/>
        </w:rPr>
        <w:lastRenderedPageBreak/>
        <w:t xml:space="preserve">أصلاً مع </w:t>
      </w:r>
      <w:r w:rsidRPr="00C760AE">
        <w:rPr>
          <w:rFonts w:hint="cs"/>
          <w:rtl/>
        </w:rPr>
        <w:t>إمكانه، بأنه</w:t>
      </w:r>
      <w:r w:rsidRPr="00C760AE">
        <w:rPr>
          <w:rFonts w:hint="cs"/>
          <w:vertAlign w:val="superscript"/>
          <w:rtl/>
        </w:rPr>
        <w:t>(</w:t>
      </w:r>
      <w:r w:rsidRPr="00C760AE">
        <w:rPr>
          <w:rStyle w:val="a7"/>
          <w:rtl/>
        </w:rPr>
        <w:footnoteReference w:id="5281"/>
      </w:r>
      <w:r w:rsidRPr="00C760AE">
        <w:rPr>
          <w:rFonts w:hint="cs"/>
          <w:vertAlign w:val="superscript"/>
          <w:rtl/>
        </w:rPr>
        <w:t>)</w:t>
      </w:r>
      <w:r w:rsidRPr="00C760AE">
        <w:rPr>
          <w:rFonts w:hint="cs"/>
          <w:rtl/>
        </w:rPr>
        <w:t xml:space="preserve"> ذكر</w:t>
      </w:r>
      <w:r w:rsidRPr="009F5801">
        <w:rPr>
          <w:rFonts w:hint="cs"/>
          <w:spacing w:val="-2"/>
          <w:rtl/>
        </w:rPr>
        <w:t xml:space="preserve"> </w:t>
      </w:r>
      <w:r w:rsidRPr="00C760AE">
        <w:rPr>
          <w:rFonts w:hint="cs"/>
          <w:rtl/>
        </w:rPr>
        <w:t>مائة [درهم]</w:t>
      </w:r>
      <w:r w:rsidRPr="00C760AE">
        <w:rPr>
          <w:rStyle w:val="a7"/>
          <w:rtl/>
        </w:rPr>
        <w:footnoteReference w:id="5282"/>
      </w:r>
      <w:r w:rsidRPr="00C760AE">
        <w:rPr>
          <w:rFonts w:hint="cs"/>
          <w:rtl/>
        </w:rPr>
        <w:t xml:space="preserve"> في</w:t>
      </w:r>
      <w:r w:rsidRPr="009F5801">
        <w:rPr>
          <w:rFonts w:hint="cs"/>
          <w:spacing w:val="-2"/>
          <w:rtl/>
        </w:rPr>
        <w:t xml:space="preserve"> </w:t>
      </w:r>
      <w:r w:rsidRPr="00C760AE">
        <w:rPr>
          <w:rFonts w:hint="cs"/>
          <w:rtl/>
        </w:rPr>
        <w:t>مـقابلة  عشـرة</w:t>
      </w:r>
      <w:r w:rsidRPr="009F5801">
        <w:rPr>
          <w:rFonts w:hint="cs"/>
          <w:spacing w:val="-2"/>
          <w:rtl/>
        </w:rPr>
        <w:t xml:space="preserve">  أذرع، </w:t>
      </w:r>
      <w:r w:rsidRPr="00C760AE">
        <w:rPr>
          <w:rFonts w:hint="cs"/>
          <w:rtl/>
        </w:rPr>
        <w:t>ومقابلة الجملة</w:t>
      </w:r>
      <w:r w:rsidR="00F46655">
        <w:rPr>
          <w:rFonts w:hint="cs"/>
          <w:rtl/>
        </w:rPr>
        <w:t xml:space="preserve"> </w:t>
      </w:r>
      <w:r>
        <w:rPr>
          <w:rFonts w:hint="cs"/>
          <w:rtl/>
        </w:rPr>
        <w:t>بالجملة</w:t>
      </w:r>
      <w:r>
        <w:rPr>
          <w:rFonts w:hint="cs"/>
          <w:vertAlign w:val="superscript"/>
          <w:rtl/>
        </w:rPr>
        <w:t>(</w:t>
      </w:r>
      <w:r>
        <w:rPr>
          <w:rStyle w:val="a7"/>
          <w:rtl/>
        </w:rPr>
        <w:footnoteReference w:id="5283"/>
      </w:r>
      <w:r>
        <w:rPr>
          <w:rFonts w:hint="cs"/>
          <w:vertAlign w:val="superscript"/>
          <w:rtl/>
        </w:rPr>
        <w:t>)</w:t>
      </w:r>
      <w:r>
        <w:rPr>
          <w:rFonts w:hint="cs"/>
          <w:rtl/>
        </w:rPr>
        <w:t xml:space="preserve"> [تقتضي]</w:t>
      </w:r>
      <w:r>
        <w:rPr>
          <w:rStyle w:val="a7"/>
          <w:rtl/>
        </w:rPr>
        <w:footnoteReference w:id="5284"/>
      </w:r>
      <w:r>
        <w:rPr>
          <w:rFonts w:hint="cs"/>
          <w:rtl/>
        </w:rPr>
        <w:t xml:space="preserve"> انقسام الآحاد على</w:t>
      </w:r>
      <w:r>
        <w:rPr>
          <w:rStyle w:val="a7"/>
          <w:rtl/>
        </w:rPr>
        <w:footnoteReference w:id="5285"/>
      </w:r>
      <w:r>
        <w:rPr>
          <w:rFonts w:hint="cs"/>
          <w:rtl/>
        </w:rPr>
        <w:t xml:space="preserve"> الآحاد</w:t>
      </w:r>
      <w:r>
        <w:rPr>
          <w:rFonts w:hint="cs"/>
          <w:vertAlign w:val="superscript"/>
          <w:rtl/>
        </w:rPr>
        <w:t>(</w:t>
      </w:r>
      <w:r>
        <w:rPr>
          <w:rStyle w:val="a7"/>
          <w:rtl/>
        </w:rPr>
        <w:footnoteReference w:id="5286"/>
      </w:r>
      <w:r>
        <w:rPr>
          <w:rFonts w:hint="cs"/>
          <w:vertAlign w:val="superscript"/>
          <w:rtl/>
        </w:rPr>
        <w:t>)</w:t>
      </w:r>
      <w:r>
        <w:rPr>
          <w:rFonts w:hint="cs"/>
          <w:rtl/>
        </w:rPr>
        <w:t>!.</w:t>
      </w:r>
    </w:p>
    <w:p w:rsidR="00A66747" w:rsidRDefault="00A66747" w:rsidP="00F46655">
      <w:pPr>
        <w:jc w:val="both"/>
        <w:rPr>
          <w:spacing w:val="6"/>
          <w:rtl/>
        </w:rPr>
      </w:pPr>
      <w:r>
        <w:rPr>
          <w:rFonts w:hint="eastAsia"/>
          <w:b/>
          <w:bCs/>
          <w:spacing w:val="6"/>
          <w:rtl/>
        </w:rPr>
        <w:t>«</w:t>
      </w:r>
      <w:r>
        <w:rPr>
          <w:rFonts w:hint="cs"/>
          <w:spacing w:val="6"/>
          <w:rtl/>
        </w:rPr>
        <w:t>[</w:t>
      </w:r>
      <w:r>
        <w:rPr>
          <w:rFonts w:hint="cs"/>
          <w:b/>
          <w:bCs/>
          <w:spacing w:val="6"/>
          <w:rtl/>
        </w:rPr>
        <w:t>يقال</w:t>
      </w:r>
      <w:r>
        <w:rPr>
          <w:rFonts w:hint="cs"/>
          <w:spacing w:val="6"/>
          <w:rtl/>
        </w:rPr>
        <w:t>]</w:t>
      </w:r>
      <w:r>
        <w:rPr>
          <w:rStyle w:val="a7"/>
          <w:spacing w:val="6"/>
          <w:rtl/>
        </w:rPr>
        <w:footnoteReference w:id="5287"/>
      </w:r>
      <w:r>
        <w:rPr>
          <w:rFonts w:hint="cs"/>
          <w:spacing w:val="6"/>
          <w:rtl/>
        </w:rPr>
        <w:t xml:space="preserve"> : إذا لم يُفرد كُلّ ذراع بالذكر كان كون كلّ ذراعٍ مبيعًا ضمنًا، فلا يعتبر</w:t>
      </w:r>
      <w:r>
        <w:rPr>
          <w:rFonts w:hint="cs"/>
          <w:spacing w:val="6"/>
          <w:vertAlign w:val="superscript"/>
          <w:rtl/>
        </w:rPr>
        <w:t>(</w:t>
      </w:r>
      <w:r>
        <w:rPr>
          <w:rStyle w:val="a7"/>
          <w:spacing w:val="6"/>
          <w:rtl/>
        </w:rPr>
        <w:footnoteReference w:id="5288"/>
      </w:r>
      <w:r>
        <w:rPr>
          <w:rFonts w:hint="cs"/>
          <w:spacing w:val="6"/>
          <w:vertAlign w:val="superscript"/>
          <w:rtl/>
        </w:rPr>
        <w:t>)</w:t>
      </w:r>
      <w:r>
        <w:rPr>
          <w:rFonts w:hint="cs"/>
          <w:spacing w:val="6"/>
          <w:rtl/>
        </w:rPr>
        <w:t>؛ لأن الوصف إنمّا يصير أصلاً إذا كان مقصودًا بالتناول</w:t>
      </w:r>
      <w:r>
        <w:rPr>
          <w:rFonts w:hint="eastAsia"/>
          <w:spacing w:val="6"/>
          <w:rtl/>
        </w:rPr>
        <w:t>»</w:t>
      </w:r>
      <w:r>
        <w:rPr>
          <w:rFonts w:hint="cs"/>
          <w:spacing w:val="6"/>
          <w:vertAlign w:val="superscript"/>
          <w:rtl/>
        </w:rPr>
        <w:t>(</w:t>
      </w:r>
      <w:r>
        <w:rPr>
          <w:rStyle w:val="a7"/>
          <w:spacing w:val="6"/>
          <w:rtl/>
        </w:rPr>
        <w:footnoteReference w:id="5289"/>
      </w:r>
      <w:r>
        <w:rPr>
          <w:rFonts w:hint="cs"/>
          <w:spacing w:val="6"/>
          <w:vertAlign w:val="superscript"/>
          <w:rtl/>
        </w:rPr>
        <w:t>)</w:t>
      </w:r>
      <w:r>
        <w:rPr>
          <w:rFonts w:hint="cs"/>
          <w:spacing w:val="6"/>
          <w:rtl/>
        </w:rPr>
        <w:t>؛ على مقتضى هذا الأصل.</w:t>
      </w:r>
    </w:p>
    <w:p w:rsidR="00A66747" w:rsidRPr="00035BE3" w:rsidRDefault="00A66747" w:rsidP="00F46655">
      <w:pPr>
        <w:jc w:val="both"/>
        <w:rPr>
          <w:spacing w:val="-4"/>
          <w:rtl/>
        </w:rPr>
      </w:pPr>
      <w:r w:rsidRPr="00035BE3">
        <w:rPr>
          <w:rFonts w:hint="cs"/>
          <w:spacing w:val="-4"/>
          <w:rtl/>
        </w:rPr>
        <w:t>وأجيب بغير ذلك الوجه، ولم نذكره</w:t>
      </w:r>
      <w:r w:rsidRPr="00035BE3">
        <w:rPr>
          <w:rStyle w:val="a7"/>
          <w:spacing w:val="-4"/>
          <w:rtl/>
        </w:rPr>
        <w:footnoteReference w:id="5290"/>
      </w:r>
      <w:r w:rsidRPr="00035BE3">
        <w:rPr>
          <w:rFonts w:hint="cs"/>
          <w:spacing w:val="-4"/>
          <w:rtl/>
        </w:rPr>
        <w:t>؛ لضعفه بورود الاعتراض، وهربًا عن التطويل.</w:t>
      </w:r>
    </w:p>
    <w:p w:rsidR="00A66747" w:rsidRDefault="00A66747">
      <w:pPr>
        <w:rPr>
          <w:spacing w:val="6"/>
          <w:rtl/>
        </w:rPr>
      </w:pPr>
    </w:p>
    <w:p w:rsidR="00A66747" w:rsidRDefault="00A66747" w:rsidP="00F46655">
      <w:pPr>
        <w:jc w:val="center"/>
        <w:rPr>
          <w:spacing w:val="6"/>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ind w:firstLine="0"/>
        <w:rPr>
          <w:rtl/>
        </w:rPr>
        <w:sectPr w:rsidR="00A66747" w:rsidSect="00413215">
          <w:headerReference w:type="default" r:id="rId31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49289E" w:rsidRDefault="00A66747">
      <w:pPr>
        <w:pStyle w:val="a9"/>
        <w:rPr>
          <w:rFonts w:cs="AL-Mateen"/>
          <w:rtl/>
        </w:rPr>
      </w:pPr>
      <w:r w:rsidRPr="0049289E">
        <w:rPr>
          <w:rFonts w:cs="AL-Mateen"/>
          <w:rtl/>
        </w:rPr>
        <w:lastRenderedPageBreak/>
        <w:t>[ الـقـاعـدة الـ</w:t>
      </w:r>
      <w:r w:rsidRPr="0049289E">
        <w:rPr>
          <w:rFonts w:cs="AL-Mateen" w:hint="cs"/>
          <w:rtl/>
        </w:rPr>
        <w:t>خـامـسـة</w:t>
      </w:r>
      <w:r w:rsidRPr="0049289E">
        <w:rPr>
          <w:rFonts w:cs="AL-Mateen"/>
          <w:rtl/>
        </w:rPr>
        <w:t xml:space="preserve"> </w:t>
      </w:r>
      <w:r w:rsidRPr="0049289E">
        <w:rPr>
          <w:rFonts w:cs="AL-Mateen" w:hint="eastAsia"/>
          <w:rtl/>
        </w:rPr>
        <w:t>والـخـمـسـون</w:t>
      </w:r>
      <w:r w:rsidRPr="0049289E">
        <w:rPr>
          <w:rFonts w:cs="AL-Mateen"/>
          <w:rtl/>
        </w:rPr>
        <w:t xml:space="preserve"> بـعـد الـمـائـتـيـن ]</w:t>
      </w:r>
    </w:p>
    <w:p w:rsidR="00A66747" w:rsidRDefault="00A66747">
      <w:pPr>
        <w:rPr>
          <w:rtl/>
        </w:rPr>
      </w:pPr>
      <w:r>
        <w:rPr>
          <w:rFonts w:cs="Monotype Koufi" w:hint="cs"/>
          <w:rtl/>
        </w:rPr>
        <w:t>الوَصِيَّةُ اسْتخْلاَفٌ</w:t>
      </w:r>
      <w:r>
        <w:rPr>
          <w:rStyle w:val="a7"/>
          <w:rtl/>
        </w:rPr>
        <w:footnoteReference w:id="5291"/>
      </w:r>
      <w:r>
        <w:rPr>
          <w:rFonts w:hint="cs"/>
          <w:rtl/>
        </w:rPr>
        <w:t xml:space="preserve"> </w:t>
      </w:r>
      <w:r>
        <w:rPr>
          <w:rFonts w:cs="Monotype Koufi" w:hint="cs"/>
          <w:rtl/>
        </w:rPr>
        <w:t>بَعْدَ انقطَاعِ ولايةِ المُوصِي</w:t>
      </w:r>
      <w:r>
        <w:rPr>
          <w:rFonts w:hint="cs"/>
          <w:vertAlign w:val="superscript"/>
          <w:rtl/>
        </w:rPr>
        <w:t>(</w:t>
      </w:r>
      <w:r>
        <w:rPr>
          <w:rStyle w:val="a7"/>
          <w:rtl/>
        </w:rPr>
        <w:footnoteReference w:id="5292"/>
      </w:r>
      <w:r>
        <w:rPr>
          <w:rFonts w:hint="cs"/>
          <w:vertAlign w:val="superscript"/>
          <w:rtl/>
        </w:rPr>
        <w:t>)</w:t>
      </w:r>
      <w:r>
        <w:rPr>
          <w:rFonts w:hint="cs"/>
          <w:rtl/>
        </w:rPr>
        <w:t xml:space="preserve"> :</w:t>
      </w:r>
    </w:p>
    <w:p w:rsidR="00A66747" w:rsidRDefault="00A66747">
      <w:pPr>
        <w:rPr>
          <w:rtl/>
        </w:rPr>
      </w:pPr>
      <w:r>
        <w:rPr>
          <w:rFonts w:hint="cs"/>
          <w:b/>
          <w:bCs/>
          <w:rtl/>
        </w:rPr>
        <w:t xml:space="preserve">ولهذا </w:t>
      </w:r>
      <w:r>
        <w:rPr>
          <w:rFonts w:hint="cs"/>
          <w:rtl/>
        </w:rPr>
        <w:t>: لا يُتوقف على علم [الوصي]</w:t>
      </w:r>
      <w:r>
        <w:rPr>
          <w:rStyle w:val="a7"/>
          <w:rtl/>
        </w:rPr>
        <w:footnoteReference w:id="5293"/>
      </w:r>
      <w:r>
        <w:rPr>
          <w:rFonts w:hint="cs"/>
          <w:rtl/>
        </w:rPr>
        <w:t>، كتصرف الوارث.</w:t>
      </w:r>
    </w:p>
    <w:p w:rsidR="00A66747" w:rsidRDefault="00A66747">
      <w:pPr>
        <w:rPr>
          <w:spacing w:val="6"/>
          <w:rtl/>
        </w:rPr>
      </w:pPr>
      <w:r>
        <w:rPr>
          <w:rFonts w:hint="cs"/>
          <w:spacing w:val="6"/>
          <w:rtl/>
        </w:rPr>
        <w:t>فإذا أوصى رجلٌ إلى آخر، ولم يعلم الوصيُّ حتى باع</w:t>
      </w:r>
      <w:r>
        <w:rPr>
          <w:rFonts w:hint="cs"/>
          <w:spacing w:val="6"/>
          <w:vertAlign w:val="superscript"/>
          <w:rtl/>
        </w:rPr>
        <w:t>(</w:t>
      </w:r>
      <w:r>
        <w:rPr>
          <w:rStyle w:val="a7"/>
          <w:spacing w:val="6"/>
          <w:rtl/>
        </w:rPr>
        <w:footnoteReference w:id="5294"/>
      </w:r>
      <w:r>
        <w:rPr>
          <w:rFonts w:hint="cs"/>
          <w:spacing w:val="6"/>
          <w:vertAlign w:val="superscript"/>
          <w:rtl/>
        </w:rPr>
        <w:t>)</w:t>
      </w:r>
      <w:r>
        <w:rPr>
          <w:rFonts w:hint="cs"/>
          <w:spacing w:val="6"/>
          <w:rtl/>
        </w:rPr>
        <w:t xml:space="preserve"> شيئًا من التركة : فبيعه</w:t>
      </w:r>
      <w:r>
        <w:rPr>
          <w:rStyle w:val="a7"/>
          <w:spacing w:val="6"/>
          <w:rtl/>
        </w:rPr>
        <w:footnoteReference w:id="5295"/>
      </w:r>
      <w:r>
        <w:rPr>
          <w:rFonts w:hint="cs"/>
          <w:spacing w:val="6"/>
          <w:rtl/>
        </w:rPr>
        <w:t xml:space="preserve"> جائز.</w:t>
      </w:r>
    </w:p>
    <w:p w:rsidR="00A66747" w:rsidRDefault="00A66747">
      <w:pPr>
        <w:rPr>
          <w:rtl/>
        </w:rPr>
      </w:pPr>
      <w:r>
        <w:rPr>
          <w:rFonts w:hint="cs"/>
          <w:rtl/>
        </w:rPr>
        <w:lastRenderedPageBreak/>
        <w:t>ولا يصح بيع الوكيل قبل العلم بالتوكيل</w:t>
      </w:r>
      <w:r>
        <w:rPr>
          <w:rFonts w:hint="cs"/>
          <w:vertAlign w:val="superscript"/>
          <w:rtl/>
        </w:rPr>
        <w:t>(</w:t>
      </w:r>
      <w:r>
        <w:rPr>
          <w:rStyle w:val="a7"/>
          <w:rtl/>
        </w:rPr>
        <w:footnoteReference w:id="5296"/>
      </w:r>
      <w:r>
        <w:rPr>
          <w:rFonts w:hint="cs"/>
          <w:vertAlign w:val="superscript"/>
          <w:rtl/>
        </w:rPr>
        <w:t>)</w:t>
      </w:r>
      <w:r>
        <w:rPr>
          <w:rFonts w:hint="cs"/>
          <w:rtl/>
        </w:rPr>
        <w:t>.</w:t>
      </w:r>
    </w:p>
    <w:p w:rsidR="00A66747" w:rsidRDefault="00A66747">
      <w:pPr>
        <w:rPr>
          <w:rtl/>
        </w:rPr>
      </w:pPr>
      <w:r>
        <w:rPr>
          <w:rFonts w:hint="cs"/>
          <w:b/>
          <w:bCs/>
          <w:rtl/>
        </w:rPr>
        <w:t>والفرق</w:t>
      </w:r>
      <w:r>
        <w:rPr>
          <w:rFonts w:hint="cs"/>
          <w:rtl/>
        </w:rPr>
        <w:t xml:space="preserve"> : أنَّ خِلافةَ الوصيّ بعد</w:t>
      </w:r>
      <w:r>
        <w:rPr>
          <w:rStyle w:val="a7"/>
          <w:rtl/>
        </w:rPr>
        <w:footnoteReference w:id="5297"/>
      </w:r>
      <w:r>
        <w:rPr>
          <w:rFonts w:hint="cs"/>
          <w:rtl/>
        </w:rPr>
        <w:t xml:space="preserve"> انقطاع ولاية المُوصي</w:t>
      </w:r>
      <w:r>
        <w:rPr>
          <w:rStyle w:val="a7"/>
          <w:rtl/>
        </w:rPr>
        <w:footnoteReference w:id="5298"/>
      </w:r>
      <w:r>
        <w:rPr>
          <w:rFonts w:hint="cs"/>
          <w:rtl/>
        </w:rPr>
        <w:t xml:space="preserve"> - بعدم علمه- كان فضوليًّا</w:t>
      </w:r>
      <w:r>
        <w:rPr>
          <w:rStyle w:val="a7"/>
          <w:rtl/>
        </w:rPr>
        <w:footnoteReference w:id="5299"/>
      </w:r>
      <w:r>
        <w:rPr>
          <w:rFonts w:hint="cs"/>
          <w:rtl/>
        </w:rPr>
        <w:t xml:space="preserve"> في بيعه، فإذا مات المُوصي لا يملك العزل؛ لانقطاع ولايته، فنفذ بيعه بالإذن [الثابت]</w:t>
      </w:r>
      <w:r>
        <w:rPr>
          <w:rStyle w:val="a7"/>
          <w:rtl/>
        </w:rPr>
        <w:footnoteReference w:id="5300"/>
      </w:r>
      <w:r>
        <w:rPr>
          <w:rFonts w:hint="cs"/>
          <w:rtl/>
        </w:rPr>
        <w:t xml:space="preserve"> بالاستخلاف</w:t>
      </w:r>
      <w:r>
        <w:rPr>
          <w:rStyle w:val="a7"/>
          <w:rtl/>
        </w:rPr>
        <w:footnoteReference w:id="5301"/>
      </w:r>
      <w:r>
        <w:rPr>
          <w:rFonts w:hint="cs"/>
          <w:rtl/>
        </w:rPr>
        <w:t>.</w:t>
      </w:r>
    </w:p>
    <w:p w:rsidR="00A66747" w:rsidRDefault="00A66747">
      <w:pPr>
        <w:rPr>
          <w:rtl/>
        </w:rPr>
      </w:pPr>
      <w:r>
        <w:rPr>
          <w:rFonts w:hint="cs"/>
          <w:rtl/>
        </w:rPr>
        <w:t>وأما التوكيل : في معرض الزوال؛ لبقاء ولاية العزل للموكِّل، فيتوقف بيعه على الإذن، والإذن إنما يكون</w:t>
      </w:r>
      <w:r>
        <w:rPr>
          <w:rStyle w:val="a7"/>
          <w:rtl/>
        </w:rPr>
        <w:footnoteReference w:id="5302"/>
      </w:r>
      <w:r>
        <w:rPr>
          <w:rFonts w:hint="cs"/>
          <w:rtl/>
        </w:rPr>
        <w:t xml:space="preserve"> بالإعلام</w:t>
      </w:r>
      <w:r>
        <w:rPr>
          <w:rFonts w:hint="cs"/>
          <w:vertAlign w:val="superscript"/>
          <w:rtl/>
        </w:rPr>
        <w:t>(</w:t>
      </w:r>
      <w:r>
        <w:rPr>
          <w:rStyle w:val="a7"/>
          <w:rtl/>
        </w:rPr>
        <w:footnoteReference w:id="5303"/>
      </w:r>
      <w:r>
        <w:rPr>
          <w:rFonts w:hint="cs"/>
          <w:vertAlign w:val="superscript"/>
          <w:rtl/>
        </w:rPr>
        <w:t>)</w:t>
      </w:r>
      <w:r>
        <w:rPr>
          <w:rFonts w:hint="cs"/>
          <w:rtl/>
        </w:rPr>
        <w:t>.</w:t>
      </w:r>
    </w:p>
    <w:p w:rsidR="00A66747" w:rsidRDefault="00A66747">
      <w:pPr>
        <w:rPr>
          <w:rtl/>
        </w:rPr>
      </w:pPr>
      <w:r>
        <w:rPr>
          <w:rFonts w:hint="cs"/>
          <w:rtl/>
        </w:rPr>
        <w:t>ويُفْهَمُ من هذا : إذا باع الوكيل قبل العلم، فأجاز الموكّل : ينبغي أن ينفذ بيعه؛ لأنّه فضوليّ، وتصرّف الفضوليّ موقوف على الإجازة. ولم أر الآن</w:t>
      </w:r>
      <w:r>
        <w:rPr>
          <w:rStyle w:val="a7"/>
          <w:rtl/>
        </w:rPr>
        <w:footnoteReference w:id="5304"/>
      </w:r>
      <w:r>
        <w:rPr>
          <w:rFonts w:hint="cs"/>
          <w:rtl/>
        </w:rPr>
        <w:t>.</w:t>
      </w:r>
    </w:p>
    <w:p w:rsidR="00A66747" w:rsidRDefault="00A66747">
      <w:pPr>
        <w:rPr>
          <w:rtl/>
        </w:rPr>
      </w:pPr>
    </w:p>
    <w:p w:rsidR="00A66747" w:rsidRDefault="00A66747">
      <w:pPr>
        <w:rPr>
          <w:rtl/>
        </w:rPr>
      </w:pPr>
    </w:p>
    <w:p w:rsidR="00A66747"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pPr>
    </w:p>
    <w:p w:rsidR="00A66747" w:rsidRDefault="00A66747">
      <w:pPr>
        <w:ind w:firstLine="0"/>
        <w:rPr>
          <w:rtl/>
        </w:rPr>
        <w:sectPr w:rsidR="00A66747" w:rsidSect="00A11971">
          <w:headerReference w:type="default" r:id="rId31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853AF8" w:rsidRDefault="00A66747">
      <w:pPr>
        <w:pStyle w:val="a9"/>
        <w:rPr>
          <w:rFonts w:cs="AL-Mateen"/>
          <w:rtl/>
        </w:rPr>
      </w:pPr>
      <w:r w:rsidRPr="00853AF8">
        <w:rPr>
          <w:rFonts w:cs="AL-Mateen"/>
          <w:rtl/>
        </w:rPr>
        <w:lastRenderedPageBreak/>
        <w:t>[ الـقـاعـدة الـ</w:t>
      </w:r>
      <w:r w:rsidRPr="00853AF8">
        <w:rPr>
          <w:rFonts w:cs="AL-Mateen" w:hint="cs"/>
          <w:rtl/>
        </w:rPr>
        <w:t>سـادس</w:t>
      </w:r>
      <w:r w:rsidRPr="00853AF8">
        <w:rPr>
          <w:rFonts w:cs="AL-Mateen"/>
          <w:rtl/>
        </w:rPr>
        <w:t xml:space="preserve">ـة والـخـمـسـون </w:t>
      </w:r>
      <w:r w:rsidRPr="00853AF8">
        <w:rPr>
          <w:rFonts w:cs="AL-Mateen" w:hint="eastAsia"/>
          <w:rtl/>
        </w:rPr>
        <w:t>بـعـد</w:t>
      </w:r>
      <w:r w:rsidRPr="00853AF8">
        <w:rPr>
          <w:rFonts w:cs="AL-Mateen"/>
          <w:rtl/>
        </w:rPr>
        <w:t xml:space="preserve"> الـمـائـتـيـن ]</w:t>
      </w:r>
    </w:p>
    <w:p w:rsidR="00A66747" w:rsidRDefault="00A66747">
      <w:pPr>
        <w:rPr>
          <w:rtl/>
        </w:rPr>
      </w:pPr>
      <w:r>
        <w:rPr>
          <w:rFonts w:cs="Monotype Koufi" w:hint="cs"/>
          <w:rtl/>
        </w:rPr>
        <w:t>الولايةُ الخاصَّةُ أَوْلَى</w:t>
      </w:r>
      <w:r>
        <w:rPr>
          <w:rStyle w:val="a7"/>
          <w:rtl/>
        </w:rPr>
        <w:footnoteReference w:id="5305"/>
      </w:r>
      <w:r>
        <w:rPr>
          <w:rFonts w:hint="cs"/>
          <w:rtl/>
        </w:rPr>
        <w:t xml:space="preserve"> </w:t>
      </w:r>
      <w:r>
        <w:rPr>
          <w:rFonts w:cs="Monotype Koufi" w:hint="cs"/>
          <w:rtl/>
        </w:rPr>
        <w:t>مِنَ [الولايةِ]</w:t>
      </w:r>
      <w:r>
        <w:rPr>
          <w:rStyle w:val="a7"/>
          <w:rtl/>
        </w:rPr>
        <w:footnoteReference w:id="5306"/>
      </w:r>
      <w:r>
        <w:rPr>
          <w:rFonts w:hint="cs"/>
          <w:rtl/>
        </w:rPr>
        <w:t xml:space="preserve"> </w:t>
      </w:r>
      <w:r>
        <w:rPr>
          <w:rFonts w:cs="Monotype Koufi" w:hint="cs"/>
          <w:rtl/>
        </w:rPr>
        <w:t>العامَّةِ</w:t>
      </w:r>
      <w:r>
        <w:rPr>
          <w:rFonts w:hint="cs"/>
          <w:vertAlign w:val="superscript"/>
          <w:rtl/>
        </w:rPr>
        <w:t>(</w:t>
      </w:r>
      <w:r>
        <w:rPr>
          <w:rStyle w:val="a7"/>
          <w:rtl/>
        </w:rPr>
        <w:footnoteReference w:id="5307"/>
      </w:r>
      <w:r>
        <w:rPr>
          <w:rFonts w:hint="cs"/>
          <w:vertAlign w:val="superscript"/>
          <w:rtl/>
        </w:rPr>
        <w:t>)</w:t>
      </w:r>
      <w:r>
        <w:rPr>
          <w:rFonts w:hint="cs"/>
          <w:rtl/>
        </w:rPr>
        <w:t xml:space="preserve"> :</w:t>
      </w:r>
    </w:p>
    <w:p w:rsidR="00A66747" w:rsidRDefault="00A66747">
      <w:pPr>
        <w:rPr>
          <w:rtl/>
        </w:rPr>
      </w:pPr>
      <w:r>
        <w:rPr>
          <w:rFonts w:hint="eastAsia"/>
          <w:rtl/>
        </w:rPr>
        <w:t>«</w:t>
      </w:r>
      <w:r>
        <w:rPr>
          <w:rFonts w:hint="cs"/>
          <w:b/>
          <w:bCs/>
          <w:rtl/>
        </w:rPr>
        <w:t>ولهذا</w:t>
      </w:r>
      <w:r>
        <w:rPr>
          <w:rFonts w:hint="cs"/>
          <w:rtl/>
        </w:rPr>
        <w:t xml:space="preserve"> : قالوا إن القاضي لا [يزوّج]</w:t>
      </w:r>
      <w:r>
        <w:rPr>
          <w:rStyle w:val="a7"/>
          <w:rtl/>
        </w:rPr>
        <w:footnoteReference w:id="5308"/>
      </w:r>
      <w:r>
        <w:rPr>
          <w:rFonts w:hint="cs"/>
          <w:rtl/>
        </w:rPr>
        <w:t xml:space="preserve"> اليتيم و</w:t>
      </w:r>
      <w:r>
        <w:rPr>
          <w:rStyle w:val="a7"/>
          <w:rtl/>
        </w:rPr>
        <w:footnoteReference w:id="5309"/>
      </w:r>
      <w:r>
        <w:rPr>
          <w:rFonts w:hint="cs"/>
          <w:rtl/>
        </w:rPr>
        <w:t>اليتيمة إلاّ عند عدم وليٍّ لهما في النكاح، ولو ذا رحمٍ محرّم أو أمًّا أو مُعتِقًا</w:t>
      </w:r>
      <w:r>
        <w:rPr>
          <w:rFonts w:hint="cs"/>
          <w:vertAlign w:val="superscript"/>
          <w:rtl/>
        </w:rPr>
        <w:t>(</w:t>
      </w:r>
      <w:r>
        <w:rPr>
          <w:rStyle w:val="a7"/>
          <w:rtl/>
        </w:rPr>
        <w:footnoteReference w:id="5310"/>
      </w:r>
      <w:r>
        <w:rPr>
          <w:rFonts w:hint="cs"/>
          <w:vertAlign w:val="superscript"/>
          <w:rtl/>
        </w:rPr>
        <w:t>)</w:t>
      </w:r>
      <w:r>
        <w:rPr>
          <w:rFonts w:hint="cs"/>
          <w:rtl/>
        </w:rPr>
        <w:t>.</w:t>
      </w:r>
    </w:p>
    <w:p w:rsidR="00A66747" w:rsidRDefault="00A66747">
      <w:pPr>
        <w:rPr>
          <w:rtl/>
        </w:rPr>
      </w:pPr>
      <w:r>
        <w:rPr>
          <w:rFonts w:hint="cs"/>
          <w:rtl/>
        </w:rPr>
        <w:lastRenderedPageBreak/>
        <w:t>وللولي الخاص استيفاء القصاص، والصلح، والعفو مـجـانًا؛ لأنها من حقوق الولي</w:t>
      </w:r>
      <w:r>
        <w:rPr>
          <w:rFonts w:hint="cs"/>
          <w:vertAlign w:val="superscript"/>
          <w:rtl/>
        </w:rPr>
        <w:t>(</w:t>
      </w:r>
      <w:r>
        <w:rPr>
          <w:rStyle w:val="a7"/>
          <w:rtl/>
        </w:rPr>
        <w:footnoteReference w:id="5311"/>
      </w:r>
      <w:r>
        <w:rPr>
          <w:rFonts w:hint="cs"/>
          <w:vertAlign w:val="superscript"/>
          <w:rtl/>
        </w:rPr>
        <w:t>)</w:t>
      </w:r>
      <w:r>
        <w:rPr>
          <w:rFonts w:hint="cs"/>
          <w:rtl/>
        </w:rPr>
        <w:t>، فيملك إسقاطها. والإمام لا يملك العفو</w:t>
      </w:r>
      <w:r>
        <w:rPr>
          <w:rFonts w:hint="eastAsia"/>
          <w:rtl/>
        </w:rPr>
        <w:t>»</w:t>
      </w:r>
      <w:r>
        <w:rPr>
          <w:rFonts w:hint="cs"/>
          <w:vertAlign w:val="superscript"/>
          <w:rtl/>
        </w:rPr>
        <w:t>(</w:t>
      </w:r>
      <w:r>
        <w:rPr>
          <w:rStyle w:val="a7"/>
          <w:rtl/>
        </w:rPr>
        <w:footnoteReference w:id="5312"/>
      </w:r>
      <w:r>
        <w:rPr>
          <w:rFonts w:hint="cs"/>
          <w:vertAlign w:val="superscript"/>
          <w:rtl/>
        </w:rPr>
        <w:t>)</w:t>
      </w:r>
      <w:r>
        <w:rPr>
          <w:rFonts w:hint="cs"/>
          <w:rtl/>
        </w:rPr>
        <w:t>؛ لأنه من حـقوق الـمسلمين، فلا يسقط بإسقاطه.</w:t>
      </w:r>
    </w:p>
    <w:p w:rsidR="00A66747" w:rsidRDefault="00A66747">
      <w:pPr>
        <w:rPr>
          <w:rtl/>
        </w:rPr>
      </w:pPr>
      <w:r>
        <w:rPr>
          <w:rFonts w:hint="cs"/>
          <w:b/>
          <w:bCs/>
          <w:rtl/>
        </w:rPr>
        <w:t>ولذا</w:t>
      </w:r>
      <w:r>
        <w:rPr>
          <w:rFonts w:hint="cs"/>
          <w:rtl/>
        </w:rPr>
        <w:t xml:space="preserve"> : لا يملك أب</w:t>
      </w:r>
      <w:r>
        <w:rPr>
          <w:rFonts w:hint="cs"/>
          <w:vertAlign w:val="superscript"/>
          <w:rtl/>
        </w:rPr>
        <w:t>(</w:t>
      </w:r>
      <w:r>
        <w:rPr>
          <w:rStyle w:val="a7"/>
          <w:rtl/>
        </w:rPr>
        <w:footnoteReference w:id="5313"/>
      </w:r>
      <w:r>
        <w:rPr>
          <w:rFonts w:hint="cs"/>
          <w:vertAlign w:val="superscript"/>
          <w:rtl/>
        </w:rPr>
        <w:t>)</w:t>
      </w:r>
      <w:r>
        <w:rPr>
          <w:rFonts w:hint="cs"/>
          <w:rtl/>
        </w:rPr>
        <w:t xml:space="preserve"> المعتوه</w:t>
      </w:r>
      <w:r>
        <w:rPr>
          <w:rStyle w:val="a7"/>
          <w:rtl/>
        </w:rPr>
        <w:footnoteReference w:id="5314"/>
      </w:r>
      <w:r>
        <w:rPr>
          <w:rFonts w:hint="cs"/>
          <w:rtl/>
        </w:rPr>
        <w:t xml:space="preserve"> العفو بقتل</w:t>
      </w:r>
      <w:r>
        <w:rPr>
          <w:rStyle w:val="a7"/>
          <w:rtl/>
        </w:rPr>
        <w:footnoteReference w:id="5315"/>
      </w:r>
      <w:r>
        <w:rPr>
          <w:rFonts w:hint="cs"/>
          <w:rtl/>
        </w:rPr>
        <w:t xml:space="preserve"> وليّ المعتوه</w:t>
      </w:r>
      <w:r>
        <w:rPr>
          <w:rStyle w:val="a7"/>
          <w:rtl/>
        </w:rPr>
        <w:footnoteReference w:id="5316"/>
      </w:r>
      <w:r>
        <w:rPr>
          <w:rFonts w:hint="cs"/>
          <w:rtl/>
        </w:rPr>
        <w:t xml:space="preserve"> كابنه</w:t>
      </w:r>
      <w:r>
        <w:rPr>
          <w:rFonts w:hint="cs"/>
          <w:vertAlign w:val="superscript"/>
          <w:rtl/>
        </w:rPr>
        <w:t>(</w:t>
      </w:r>
      <w:r>
        <w:rPr>
          <w:rStyle w:val="a7"/>
          <w:rtl/>
        </w:rPr>
        <w:footnoteReference w:id="5317"/>
      </w:r>
      <w:r>
        <w:rPr>
          <w:rFonts w:hint="cs"/>
          <w:vertAlign w:val="superscript"/>
          <w:rtl/>
        </w:rPr>
        <w:t>)</w:t>
      </w:r>
      <w:r>
        <w:rPr>
          <w:rFonts w:hint="cs"/>
          <w:rtl/>
        </w:rPr>
        <w:t>، مع أنّ الأب وليّ بالولاية الخاصة؛ لأن العفو حقّ المعتوه، فلا يسقط</w:t>
      </w:r>
      <w:r>
        <w:rPr>
          <w:rStyle w:val="a7"/>
          <w:rtl/>
        </w:rPr>
        <w:footnoteReference w:id="5318"/>
      </w:r>
      <w:r>
        <w:rPr>
          <w:rFonts w:hint="cs"/>
          <w:vertAlign w:val="superscript"/>
          <w:rtl/>
        </w:rPr>
        <w:t>(</w:t>
      </w:r>
      <w:r>
        <w:rPr>
          <w:rStyle w:val="a7"/>
          <w:rtl/>
        </w:rPr>
        <w:footnoteReference w:id="5319"/>
      </w:r>
      <w:r>
        <w:rPr>
          <w:rFonts w:hint="cs"/>
          <w:vertAlign w:val="superscript"/>
          <w:rtl/>
        </w:rPr>
        <w:t>)</w:t>
      </w:r>
      <w:r>
        <w:rPr>
          <w:rFonts w:hint="cs"/>
          <w:rtl/>
        </w:rPr>
        <w:t xml:space="preserve"> بإسقاطه</w:t>
      </w:r>
      <w:r>
        <w:rPr>
          <w:rFonts w:hint="cs"/>
          <w:vertAlign w:val="superscript"/>
          <w:rtl/>
        </w:rPr>
        <w:t>(</w:t>
      </w:r>
      <w:r>
        <w:rPr>
          <w:rStyle w:val="a7"/>
          <w:rtl/>
        </w:rPr>
        <w:footnoteReference w:id="5320"/>
      </w:r>
      <w:r>
        <w:rPr>
          <w:rFonts w:hint="cs"/>
          <w:vertAlign w:val="superscript"/>
          <w:rtl/>
        </w:rPr>
        <w:t>)</w:t>
      </w:r>
      <w:r>
        <w:rPr>
          <w:rFonts w:hint="cs"/>
          <w:rtl/>
        </w:rPr>
        <w:t>.</w:t>
      </w:r>
    </w:p>
    <w:p w:rsidR="00A66747" w:rsidRDefault="00A66747">
      <w:pPr>
        <w:rPr>
          <w:rtl/>
        </w:rPr>
      </w:pPr>
      <w:r>
        <w:rPr>
          <w:rFonts w:hint="cs"/>
          <w:rtl/>
        </w:rPr>
        <w:lastRenderedPageBreak/>
        <w:t>والوصيّ لا يملك إلاّ الصلح لا القصاص ولا العفو</w:t>
      </w:r>
      <w:r>
        <w:rPr>
          <w:rFonts w:hint="cs"/>
          <w:vertAlign w:val="superscript"/>
          <w:rtl/>
        </w:rPr>
        <w:t>(</w:t>
      </w:r>
      <w:r>
        <w:rPr>
          <w:rStyle w:val="a7"/>
          <w:rtl/>
        </w:rPr>
        <w:footnoteReference w:id="5321"/>
      </w:r>
      <w:r>
        <w:rPr>
          <w:rFonts w:hint="cs"/>
          <w:vertAlign w:val="superscript"/>
          <w:rtl/>
        </w:rPr>
        <w:t>)</w:t>
      </w:r>
      <w:r>
        <w:rPr>
          <w:rFonts w:hint="cs"/>
          <w:rtl/>
        </w:rPr>
        <w:t>؛ لأن الصلحَ خيرٌ لليتيم، والوصيّ نُصِبَ ناظِرًا</w:t>
      </w:r>
      <w:r>
        <w:rPr>
          <w:rStyle w:val="a7"/>
          <w:rtl/>
        </w:rPr>
        <w:footnoteReference w:id="5322"/>
      </w:r>
      <w:r>
        <w:rPr>
          <w:rFonts w:hint="cs"/>
          <w:rtl/>
        </w:rPr>
        <w:t xml:space="preserve"> لتسوية أمور اليتيم، فيجوز تصرفه فيما كان نافعًا له.</w:t>
      </w:r>
    </w:p>
    <w:p w:rsidR="00A66747" w:rsidRDefault="00A66747">
      <w:pPr>
        <w:rPr>
          <w:rtl/>
        </w:rPr>
      </w:pPr>
    </w:p>
    <w:p w:rsidR="00A66747" w:rsidRDefault="00A66747">
      <w:pPr>
        <w:rPr>
          <w:rtl/>
        </w:rPr>
      </w:pPr>
    </w:p>
    <w:p w:rsidR="00A66747" w:rsidRPr="00570615"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sectPr w:rsidR="00A66747" w:rsidSect="00A11971">
          <w:headerReference w:type="default" r:id="rId31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5B4B29" w:rsidRDefault="00A66747">
      <w:pPr>
        <w:pStyle w:val="a9"/>
        <w:rPr>
          <w:rFonts w:cs="AL-Mateen"/>
          <w:rtl/>
        </w:rPr>
      </w:pPr>
      <w:r w:rsidRPr="005B4B29">
        <w:rPr>
          <w:rFonts w:cs="AL-Mateen"/>
          <w:rtl/>
        </w:rPr>
        <w:lastRenderedPageBreak/>
        <w:t>[ الـقـاعـدة الـ</w:t>
      </w:r>
      <w:r w:rsidRPr="005B4B29">
        <w:rPr>
          <w:rFonts w:cs="AL-Mateen" w:hint="cs"/>
          <w:rtl/>
        </w:rPr>
        <w:t>سـابـع</w:t>
      </w:r>
      <w:r w:rsidRPr="005B4B29">
        <w:rPr>
          <w:rFonts w:cs="AL-Mateen"/>
          <w:rtl/>
        </w:rPr>
        <w:t xml:space="preserve">ـة والـخـمـسـون </w:t>
      </w:r>
      <w:r w:rsidRPr="005B4B29">
        <w:rPr>
          <w:rFonts w:cs="AL-Mateen" w:hint="eastAsia"/>
          <w:rtl/>
        </w:rPr>
        <w:t>بـعـد</w:t>
      </w:r>
      <w:r w:rsidRPr="005B4B29">
        <w:rPr>
          <w:rFonts w:cs="AL-Mateen"/>
          <w:rtl/>
        </w:rPr>
        <w:t xml:space="preserve"> الـمـائـتـيـن ]</w:t>
      </w:r>
    </w:p>
    <w:p w:rsidR="00A66747" w:rsidRDefault="00A66747" w:rsidP="000417BC">
      <w:pPr>
        <w:rPr>
          <w:rtl/>
        </w:rPr>
      </w:pPr>
      <w:r>
        <w:rPr>
          <w:rFonts w:cs="Monotype Koufi" w:hint="cs"/>
          <w:rtl/>
        </w:rPr>
        <w:t>و</w:t>
      </w:r>
      <w:r>
        <w:rPr>
          <w:rFonts w:hint="cs"/>
          <w:vertAlign w:val="superscript"/>
          <w:rtl/>
        </w:rPr>
        <w:t>(</w:t>
      </w:r>
      <w:r>
        <w:rPr>
          <w:rStyle w:val="a7"/>
          <w:rtl/>
        </w:rPr>
        <w:footnoteReference w:id="5323"/>
      </w:r>
      <w:r>
        <w:rPr>
          <w:rFonts w:hint="cs"/>
          <w:vertAlign w:val="superscript"/>
          <w:rtl/>
        </w:rPr>
        <w:t>)</w:t>
      </w:r>
      <w:r>
        <w:rPr>
          <w:rFonts w:hint="cs"/>
          <w:rtl/>
        </w:rPr>
        <w:t xml:space="preserve"> </w:t>
      </w:r>
      <w:r>
        <w:rPr>
          <w:rFonts w:cs="Monotype Koufi" w:hint="cs"/>
          <w:rtl/>
        </w:rPr>
        <w:t>من أحكام المجاز : وُجودُ ما أُرِيدَ به، خاصًّا كان أو عامًّا</w:t>
      </w:r>
      <w:r>
        <w:rPr>
          <w:rFonts w:hint="cs"/>
          <w:vertAlign w:val="superscript"/>
          <w:rtl/>
        </w:rPr>
        <w:t>(</w:t>
      </w:r>
      <w:r>
        <w:rPr>
          <w:rStyle w:val="a7"/>
          <w:rtl/>
        </w:rPr>
        <w:footnoteReference w:id="5324"/>
      </w:r>
      <w:r>
        <w:rPr>
          <w:rFonts w:hint="cs"/>
          <w:vertAlign w:val="superscript"/>
          <w:rtl/>
        </w:rPr>
        <w:t>)</w:t>
      </w:r>
      <w:r>
        <w:rPr>
          <w:rFonts w:hint="cs"/>
          <w:rtl/>
        </w:rPr>
        <w:t>:</w:t>
      </w:r>
    </w:p>
    <w:p w:rsidR="00A66747" w:rsidRDefault="00A66747">
      <w:pPr>
        <w:rPr>
          <w:rtl/>
        </w:rPr>
      </w:pPr>
      <w:r>
        <w:rPr>
          <w:rFonts w:hint="eastAsia"/>
          <w:rtl/>
        </w:rPr>
        <w:lastRenderedPageBreak/>
        <w:t>«</w:t>
      </w:r>
      <w:r>
        <w:rPr>
          <w:rFonts w:hint="cs"/>
          <w:b/>
          <w:bCs/>
          <w:rtl/>
        </w:rPr>
        <w:t>ولـهـذا</w:t>
      </w:r>
      <w:r>
        <w:rPr>
          <w:rFonts w:hint="cs"/>
          <w:rtl/>
        </w:rPr>
        <w:t xml:space="preserve"> : جـعـلـنا لفـظ الصـاع فـي حـديث ابن عمر -رضي الله عنـهـمـا-: </w:t>
      </w:r>
      <w:r>
        <w:rPr>
          <w:rFonts w:hint="eastAsia"/>
          <w:rtl/>
        </w:rPr>
        <w:t>«</w:t>
      </w:r>
      <w:r>
        <w:rPr>
          <w:rFonts w:hint="cs"/>
          <w:rtl/>
        </w:rPr>
        <w:t xml:space="preserve"> </w:t>
      </w:r>
      <w:r>
        <w:rPr>
          <w:rFonts w:cs="DecoType Naskh" w:hint="cs"/>
          <w:sz w:val="36"/>
          <w:rtl/>
        </w:rPr>
        <w:t>لا تـبــيــعــوا [الـــدرهــــم]</w:t>
      </w:r>
      <w:r>
        <w:rPr>
          <w:rStyle w:val="a7"/>
          <w:rtl/>
        </w:rPr>
        <w:footnoteReference w:id="5325"/>
      </w:r>
      <w:r>
        <w:rPr>
          <w:rFonts w:hint="cs"/>
          <w:rtl/>
        </w:rPr>
        <w:t xml:space="preserve"> </w:t>
      </w:r>
      <w:r>
        <w:rPr>
          <w:rFonts w:cs="DecoType Naskh" w:hint="cs"/>
          <w:sz w:val="36"/>
          <w:rtl/>
        </w:rPr>
        <w:t>بــالــدرهــمـين، ولا الـصــاعَ بــالـصــاعـــين</w:t>
      </w:r>
      <w:r>
        <w:rPr>
          <w:rFonts w:hint="eastAsia"/>
          <w:rtl/>
        </w:rPr>
        <w:t>»</w:t>
      </w:r>
      <w:r>
        <w:rPr>
          <w:rFonts w:hint="cs"/>
          <w:vertAlign w:val="superscript"/>
          <w:rtl/>
        </w:rPr>
        <w:t>(</w:t>
      </w:r>
      <w:r>
        <w:rPr>
          <w:rStyle w:val="a7"/>
          <w:rtl/>
        </w:rPr>
        <w:footnoteReference w:id="5326"/>
      </w:r>
      <w:r>
        <w:rPr>
          <w:rFonts w:hint="cs"/>
          <w:vertAlign w:val="superscript"/>
          <w:rtl/>
        </w:rPr>
        <w:t>)</w:t>
      </w:r>
      <w:r>
        <w:rPr>
          <w:rFonts w:hint="cs"/>
          <w:rtl/>
        </w:rPr>
        <w:t xml:space="preserve"> </w:t>
      </w:r>
    </w:p>
    <w:p w:rsidR="00A66747" w:rsidRDefault="00A66747">
      <w:pPr>
        <w:ind w:firstLine="0"/>
        <w:rPr>
          <w:rtl/>
        </w:rPr>
      </w:pPr>
      <w:r>
        <w:rPr>
          <w:rFonts w:hint="cs"/>
          <w:rtl/>
        </w:rPr>
        <w:lastRenderedPageBreak/>
        <w:t>عامًّا</w:t>
      </w:r>
      <w:r>
        <w:rPr>
          <w:rFonts w:hint="eastAsia"/>
          <w:rtl/>
        </w:rPr>
        <w:t>»</w:t>
      </w:r>
      <w:r>
        <w:rPr>
          <w:rFonts w:hint="cs"/>
          <w:vertAlign w:val="superscript"/>
          <w:rtl/>
        </w:rPr>
        <w:t>(</w:t>
      </w:r>
      <w:r>
        <w:rPr>
          <w:rStyle w:val="a7"/>
          <w:rtl/>
        </w:rPr>
        <w:footnoteReference w:id="5327"/>
      </w:r>
      <w:r>
        <w:rPr>
          <w:rFonts w:hint="cs"/>
          <w:vertAlign w:val="superscript"/>
          <w:rtl/>
        </w:rPr>
        <w:t>)</w:t>
      </w:r>
      <w:r>
        <w:rPr>
          <w:rFonts w:hint="cs"/>
          <w:rtl/>
        </w:rPr>
        <w:t xml:space="preserve">؛ لأنه </w:t>
      </w:r>
      <w:r>
        <w:rPr>
          <w:rFonts w:hint="eastAsia"/>
          <w:rtl/>
        </w:rPr>
        <w:t>«</w:t>
      </w:r>
      <w:r>
        <w:rPr>
          <w:rFonts w:hint="cs"/>
          <w:rtl/>
        </w:rPr>
        <w:t>اسم جنس</w:t>
      </w:r>
      <w:r>
        <w:rPr>
          <w:rFonts w:hint="cs"/>
          <w:vertAlign w:val="superscript"/>
          <w:rtl/>
        </w:rPr>
        <w:t>(</w:t>
      </w:r>
      <w:r>
        <w:rPr>
          <w:rStyle w:val="a7"/>
          <w:rtl/>
        </w:rPr>
        <w:footnoteReference w:id="5328"/>
      </w:r>
      <w:r>
        <w:rPr>
          <w:rFonts w:hint="cs"/>
          <w:vertAlign w:val="superscript"/>
          <w:rtl/>
        </w:rPr>
        <w:t>)</w:t>
      </w:r>
      <w:r>
        <w:rPr>
          <w:rFonts w:hint="cs"/>
          <w:rtl/>
        </w:rPr>
        <w:t xml:space="preserve"> محلّى [بأداة الاستغراق]</w:t>
      </w:r>
      <w:r>
        <w:rPr>
          <w:rStyle w:val="a7"/>
          <w:rtl/>
        </w:rPr>
        <w:footnoteReference w:id="5329"/>
      </w:r>
      <w:r>
        <w:rPr>
          <w:rFonts w:hint="cs"/>
          <w:rtl/>
        </w:rPr>
        <w:t xml:space="preserve"> فيعّم جميع ما يحلّه، </w:t>
      </w:r>
      <w:r>
        <w:rPr>
          <w:rFonts w:hint="cs"/>
          <w:rtl/>
        </w:rPr>
        <w:lastRenderedPageBreak/>
        <w:t>مطعومًا كان أو غير مطعوم</w:t>
      </w:r>
      <w:r>
        <w:rPr>
          <w:rFonts w:hint="eastAsia"/>
          <w:rtl/>
        </w:rPr>
        <w:t>»</w:t>
      </w:r>
      <w:r>
        <w:rPr>
          <w:rFonts w:hint="cs"/>
          <w:vertAlign w:val="superscript"/>
          <w:rtl/>
        </w:rPr>
        <w:t>(</w:t>
      </w:r>
      <w:r>
        <w:rPr>
          <w:rStyle w:val="a7"/>
          <w:rtl/>
        </w:rPr>
        <w:footnoteReference w:id="5330"/>
      </w:r>
      <w:r>
        <w:rPr>
          <w:rFonts w:hint="cs"/>
          <w:vertAlign w:val="superscript"/>
          <w:rtl/>
        </w:rPr>
        <w:t>)</w:t>
      </w:r>
      <w:r>
        <w:rPr>
          <w:rFonts w:hint="cs"/>
          <w:rtl/>
        </w:rPr>
        <w:t>، خلافًا للشافعي</w:t>
      </w:r>
      <w:r>
        <w:rPr>
          <w:rFonts w:hint="cs"/>
          <w:vertAlign w:val="superscript"/>
          <w:rtl/>
        </w:rPr>
        <w:t>(</w:t>
      </w:r>
      <w:r>
        <w:rPr>
          <w:rStyle w:val="a7"/>
          <w:rtl/>
        </w:rPr>
        <w:footnoteReference w:id="5331"/>
      </w:r>
      <w:r>
        <w:rPr>
          <w:rFonts w:hint="cs"/>
          <w:vertAlign w:val="superscript"/>
          <w:rtl/>
        </w:rPr>
        <w:t>)</w:t>
      </w:r>
      <w:r>
        <w:rPr>
          <w:rFonts w:hint="cs"/>
          <w:rtl/>
        </w:rPr>
        <w:t>.</w:t>
      </w:r>
    </w:p>
    <w:p w:rsidR="00A66747" w:rsidRDefault="00A66747">
      <w:pPr>
        <w:rPr>
          <w:rtl/>
        </w:rPr>
      </w:pPr>
      <w:r>
        <w:rPr>
          <w:rFonts w:hint="cs"/>
          <w:rtl/>
        </w:rPr>
        <w:t>وقد مرّ تفصيله</w:t>
      </w:r>
      <w:r>
        <w:rPr>
          <w:rFonts w:hint="cs"/>
          <w:vertAlign w:val="superscript"/>
          <w:rtl/>
        </w:rPr>
        <w:t>(</w:t>
      </w:r>
      <w:r>
        <w:rPr>
          <w:rStyle w:val="a7"/>
          <w:rtl/>
        </w:rPr>
        <w:footnoteReference w:id="5332"/>
      </w:r>
      <w:r>
        <w:rPr>
          <w:rFonts w:hint="cs"/>
          <w:vertAlign w:val="superscript"/>
          <w:rtl/>
        </w:rPr>
        <w:t>)</w:t>
      </w:r>
      <w:r>
        <w:rPr>
          <w:rFonts w:hint="cs"/>
          <w:rtl/>
        </w:rPr>
        <w:t>.</w:t>
      </w:r>
    </w:p>
    <w:p w:rsidR="00A66747" w:rsidRDefault="00A66747">
      <w:pPr>
        <w:rPr>
          <w:rtl/>
        </w:rPr>
      </w:pPr>
    </w:p>
    <w:p w:rsidR="00A66747" w:rsidRDefault="00A66747">
      <w:pPr>
        <w:rPr>
          <w:rtl/>
        </w:rPr>
      </w:pPr>
    </w:p>
    <w:p w:rsidR="00A66747" w:rsidRPr="007A0B35"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pPr>
    </w:p>
    <w:p w:rsidR="00A66747" w:rsidRDefault="00A66747">
      <w:pPr>
        <w:rPr>
          <w:rtl/>
        </w:rPr>
      </w:pPr>
    </w:p>
    <w:p w:rsidR="00A66747" w:rsidRDefault="00A66747">
      <w:pPr>
        <w:rPr>
          <w:rtl/>
        </w:rPr>
        <w:sectPr w:rsidR="00A66747" w:rsidSect="00A11971">
          <w:headerReference w:type="default" r:id="rId319"/>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760946" w:rsidRDefault="00A66747">
      <w:pPr>
        <w:pStyle w:val="a9"/>
        <w:rPr>
          <w:rFonts w:cs="AL-Mateen"/>
          <w:rtl/>
        </w:rPr>
      </w:pPr>
      <w:r w:rsidRPr="00760946">
        <w:rPr>
          <w:rFonts w:cs="AL-Mateen"/>
          <w:rtl/>
        </w:rPr>
        <w:lastRenderedPageBreak/>
        <w:t>[ الـقـاعـدة الـ</w:t>
      </w:r>
      <w:r w:rsidRPr="00760946">
        <w:rPr>
          <w:rFonts w:cs="AL-Mateen" w:hint="cs"/>
          <w:rtl/>
        </w:rPr>
        <w:t>ث</w:t>
      </w:r>
      <w:r w:rsidRPr="00760946">
        <w:rPr>
          <w:rFonts w:cs="AL-Mateen"/>
          <w:rtl/>
        </w:rPr>
        <w:t>ـا</w:t>
      </w:r>
      <w:r w:rsidRPr="00760946">
        <w:rPr>
          <w:rFonts w:cs="AL-Mateen" w:hint="cs"/>
          <w:rtl/>
        </w:rPr>
        <w:t>م</w:t>
      </w:r>
      <w:r w:rsidRPr="00760946">
        <w:rPr>
          <w:rFonts w:cs="AL-Mateen"/>
          <w:rtl/>
        </w:rPr>
        <w:t>ـ</w:t>
      </w:r>
      <w:r w:rsidRPr="00760946">
        <w:rPr>
          <w:rFonts w:cs="AL-Mateen" w:hint="cs"/>
          <w:rtl/>
        </w:rPr>
        <w:t>نـ</w:t>
      </w:r>
      <w:r w:rsidRPr="00760946">
        <w:rPr>
          <w:rFonts w:cs="AL-Mateen"/>
          <w:rtl/>
        </w:rPr>
        <w:t>ة والـخـمـسـون بـعـد الـمـائـ</w:t>
      </w:r>
      <w:r w:rsidRPr="00760946">
        <w:rPr>
          <w:rFonts w:cs="AL-Mateen" w:hint="cs"/>
          <w:rtl/>
        </w:rPr>
        <w:t>تـيـن</w:t>
      </w:r>
      <w:r w:rsidRPr="00760946">
        <w:rPr>
          <w:rFonts w:cs="AL-Mateen"/>
          <w:rtl/>
        </w:rPr>
        <w:t xml:space="preserve"> ]</w:t>
      </w:r>
    </w:p>
    <w:p w:rsidR="00A66747" w:rsidRDefault="00A66747">
      <w:pPr>
        <w:rPr>
          <w:rtl/>
        </w:rPr>
      </w:pPr>
      <w:r>
        <w:rPr>
          <w:rFonts w:cs="Monotype Koufi" w:hint="cs"/>
          <w:rtl/>
        </w:rPr>
        <w:t>هَلاَكُ المَبِيعِ فِي يَدِ المُشْتَرِي بِشِرَاءِ بَاطِلٍ لَيْسَ بِمَضْمُونٍ</w:t>
      </w:r>
      <w:r>
        <w:rPr>
          <w:rFonts w:hint="cs"/>
          <w:vertAlign w:val="superscript"/>
          <w:rtl/>
        </w:rPr>
        <w:t>(</w:t>
      </w:r>
      <w:r>
        <w:rPr>
          <w:rStyle w:val="a7"/>
          <w:rtl/>
        </w:rPr>
        <w:footnoteReference w:id="5333"/>
      </w:r>
      <w:r>
        <w:rPr>
          <w:rFonts w:hint="cs"/>
          <w:vertAlign w:val="superscript"/>
          <w:rtl/>
        </w:rPr>
        <w:t>)</w:t>
      </w:r>
      <w:r>
        <w:rPr>
          <w:rFonts w:hint="cs"/>
          <w:rtl/>
        </w:rPr>
        <w:t xml:space="preserve"> :</w:t>
      </w:r>
    </w:p>
    <w:p w:rsidR="00A66747" w:rsidRDefault="00A66747">
      <w:pPr>
        <w:rPr>
          <w:rtl/>
        </w:rPr>
      </w:pPr>
      <w:r>
        <w:rPr>
          <w:rFonts w:hint="eastAsia"/>
          <w:rtl/>
        </w:rPr>
        <w:t>«</w:t>
      </w:r>
      <w:r>
        <w:rPr>
          <w:rFonts w:hint="cs"/>
          <w:rtl/>
        </w:rPr>
        <w:t>والـبـاطـل : مـا لا يـكـون صـحـيـحًا أصـلاً ووصـفًا</w:t>
      </w:r>
      <w:r>
        <w:rPr>
          <w:rFonts w:hint="cs"/>
          <w:vertAlign w:val="superscript"/>
          <w:rtl/>
        </w:rPr>
        <w:t>(</w:t>
      </w:r>
      <w:r>
        <w:rPr>
          <w:rStyle w:val="a7"/>
          <w:rtl/>
        </w:rPr>
        <w:footnoteReference w:id="5334"/>
      </w:r>
      <w:r>
        <w:rPr>
          <w:rFonts w:hint="cs"/>
          <w:vertAlign w:val="superscript"/>
          <w:rtl/>
        </w:rPr>
        <w:t>)</w:t>
      </w:r>
      <w:r>
        <w:rPr>
          <w:rFonts w:hint="cs"/>
          <w:rtl/>
        </w:rPr>
        <w:t xml:space="preserve">، </w:t>
      </w:r>
    </w:p>
    <w:p w:rsidR="00A66747" w:rsidRDefault="00A66747">
      <w:pPr>
        <w:ind w:firstLine="0"/>
        <w:rPr>
          <w:rtl/>
        </w:rPr>
      </w:pPr>
      <w:r>
        <w:rPr>
          <w:rFonts w:hint="cs"/>
          <w:rtl/>
        </w:rPr>
        <w:lastRenderedPageBreak/>
        <w:t>فكل ما أورَثَ [خللاً]</w:t>
      </w:r>
      <w:r>
        <w:rPr>
          <w:rStyle w:val="a7"/>
          <w:rtl/>
        </w:rPr>
        <w:footnoteReference w:id="5335"/>
      </w:r>
      <w:r>
        <w:rPr>
          <w:rFonts w:hint="cs"/>
          <w:rtl/>
        </w:rPr>
        <w:t xml:space="preserve"> في ركن البيع فهو مُبْطلٌ، كبيع الميتة حَتْفَ [أنْفِها]</w:t>
      </w:r>
      <w:r>
        <w:rPr>
          <w:rStyle w:val="a7"/>
          <w:rtl/>
        </w:rPr>
        <w:footnoteReference w:id="5336"/>
      </w:r>
      <w:r>
        <w:rPr>
          <w:rFonts w:hint="cs"/>
          <w:rtl/>
        </w:rPr>
        <w:t>، والدّم، والحرّ؛ لانعدام الركن وهو مبادلة المال بالمال؛ لأنَّ هذه الأشياء لا [تُعَدُّ]</w:t>
      </w:r>
      <w:r>
        <w:rPr>
          <w:rStyle w:val="a7"/>
          <w:rtl/>
        </w:rPr>
        <w:footnoteReference w:id="5337"/>
      </w:r>
      <w:r>
        <w:rPr>
          <w:rFonts w:hint="cs"/>
          <w:rtl/>
        </w:rPr>
        <w:t xml:space="preserve"> مالاً عند أحدٍ فيمن</w:t>
      </w:r>
      <w:r>
        <w:rPr>
          <w:rStyle w:val="a7"/>
          <w:rtl/>
        </w:rPr>
        <w:footnoteReference w:id="5338"/>
      </w:r>
      <w:r>
        <w:rPr>
          <w:rFonts w:hint="cs"/>
          <w:rtl/>
        </w:rPr>
        <w:t xml:space="preserve"> له دِيْنٌ سماويّ</w:t>
      </w:r>
      <w:r>
        <w:rPr>
          <w:rFonts w:hint="eastAsia"/>
          <w:rtl/>
        </w:rPr>
        <w:t>»</w:t>
      </w:r>
      <w:r>
        <w:rPr>
          <w:rFonts w:hint="cs"/>
          <w:vertAlign w:val="superscript"/>
          <w:rtl/>
        </w:rPr>
        <w:t>(</w:t>
      </w:r>
      <w:r>
        <w:rPr>
          <w:rStyle w:val="a7"/>
          <w:rtl/>
        </w:rPr>
        <w:footnoteReference w:id="5339"/>
      </w:r>
      <w:r>
        <w:rPr>
          <w:rFonts w:hint="cs"/>
          <w:vertAlign w:val="superscript"/>
          <w:rtl/>
        </w:rPr>
        <w:t>)</w:t>
      </w:r>
      <w:r>
        <w:rPr>
          <w:rFonts w:hint="cs"/>
          <w:rtl/>
        </w:rPr>
        <w:t>.</w:t>
      </w:r>
    </w:p>
    <w:p w:rsidR="00A66747" w:rsidRDefault="00A66747">
      <w:pPr>
        <w:rPr>
          <w:spacing w:val="-14"/>
          <w:rtl/>
        </w:rPr>
      </w:pPr>
      <w:r>
        <w:rPr>
          <w:rFonts w:hint="cs"/>
          <w:spacing w:val="-14"/>
          <w:rtl/>
        </w:rPr>
        <w:t>فإذا قبضه بإذن البائع لا يملكه المشتري، وكان في يده أمانة على الأصح، والأمانة [ليست بمضمونة]</w:t>
      </w:r>
      <w:r>
        <w:rPr>
          <w:rStyle w:val="a7"/>
          <w:spacing w:val="-14"/>
          <w:rtl/>
        </w:rPr>
        <w:footnoteReference w:id="5340"/>
      </w:r>
      <w:r>
        <w:rPr>
          <w:rFonts w:hint="cs"/>
          <w:spacing w:val="-14"/>
          <w:rtl/>
        </w:rPr>
        <w:t>. بخلاف ذلك في</w:t>
      </w:r>
      <w:r>
        <w:rPr>
          <w:rStyle w:val="a7"/>
          <w:spacing w:val="-14"/>
          <w:rtl/>
        </w:rPr>
        <w:footnoteReference w:id="5341"/>
      </w:r>
      <w:r>
        <w:rPr>
          <w:rFonts w:hint="cs"/>
          <w:spacing w:val="-14"/>
          <w:rtl/>
        </w:rPr>
        <w:t xml:space="preserve"> الفاسد</w:t>
      </w:r>
      <w:r>
        <w:rPr>
          <w:rFonts w:hint="cs"/>
          <w:spacing w:val="-14"/>
          <w:vertAlign w:val="superscript"/>
          <w:rtl/>
        </w:rPr>
        <w:t>(</w:t>
      </w:r>
      <w:r>
        <w:rPr>
          <w:rStyle w:val="a7"/>
          <w:spacing w:val="-14"/>
          <w:rtl/>
        </w:rPr>
        <w:footnoteReference w:id="5342"/>
      </w:r>
      <w:r>
        <w:rPr>
          <w:rFonts w:hint="cs"/>
          <w:spacing w:val="-14"/>
          <w:vertAlign w:val="superscript"/>
          <w:rtl/>
        </w:rPr>
        <w:t>)</w:t>
      </w:r>
      <w:r>
        <w:rPr>
          <w:rFonts w:hint="cs"/>
          <w:spacing w:val="-14"/>
          <w:rtl/>
        </w:rPr>
        <w:t>؛</w:t>
      </w:r>
      <w:r>
        <w:rPr>
          <w:rFonts w:hint="eastAsia"/>
          <w:spacing w:val="-14"/>
          <w:rtl/>
        </w:rPr>
        <w:t>«</w:t>
      </w:r>
      <w:r>
        <w:rPr>
          <w:rFonts w:hint="cs"/>
          <w:spacing w:val="-14"/>
          <w:rtl/>
        </w:rPr>
        <w:t>لأن البيع</w:t>
      </w:r>
      <w:r>
        <w:rPr>
          <w:rStyle w:val="a7"/>
          <w:spacing w:val="-14"/>
          <w:rtl/>
        </w:rPr>
        <w:footnoteReference w:id="5343"/>
      </w:r>
      <w:r>
        <w:rPr>
          <w:rFonts w:hint="cs"/>
          <w:spacing w:val="-14"/>
          <w:rtl/>
        </w:rPr>
        <w:t xml:space="preserve"> الفاسد</w:t>
      </w:r>
      <w:r>
        <w:rPr>
          <w:rStyle w:val="a7"/>
          <w:spacing w:val="-14"/>
          <w:rtl/>
        </w:rPr>
        <w:footnoteReference w:id="5344"/>
      </w:r>
      <w:r>
        <w:rPr>
          <w:rFonts w:hint="cs"/>
          <w:spacing w:val="-14"/>
          <w:rtl/>
        </w:rPr>
        <w:t xml:space="preserve"> مشروعٌ بأصله</w:t>
      </w:r>
      <w:r>
        <w:rPr>
          <w:rFonts w:hint="cs"/>
          <w:spacing w:val="-14"/>
          <w:vertAlign w:val="superscript"/>
          <w:rtl/>
        </w:rPr>
        <w:t>(</w:t>
      </w:r>
      <w:r>
        <w:rPr>
          <w:rStyle w:val="a7"/>
          <w:spacing w:val="-14"/>
          <w:rtl/>
        </w:rPr>
        <w:footnoteReference w:id="5345"/>
      </w:r>
      <w:r>
        <w:rPr>
          <w:rFonts w:hint="cs"/>
          <w:spacing w:val="-14"/>
          <w:vertAlign w:val="superscript"/>
          <w:rtl/>
        </w:rPr>
        <w:t>)</w:t>
      </w:r>
      <w:r>
        <w:rPr>
          <w:rFonts w:hint="cs"/>
          <w:spacing w:val="-14"/>
          <w:rtl/>
        </w:rPr>
        <w:t>؛ لأن ركن البيع  (وهو مبادلة</w:t>
      </w:r>
      <w:r>
        <w:rPr>
          <w:rStyle w:val="a7"/>
          <w:spacing w:val="-14"/>
          <w:rtl/>
        </w:rPr>
        <w:footnoteReference w:id="5346"/>
      </w:r>
      <w:r>
        <w:rPr>
          <w:rFonts w:hint="cs"/>
          <w:spacing w:val="-14"/>
          <w:rtl/>
        </w:rPr>
        <w:t xml:space="preserve"> المال بالمال بطريق الاكتساب بالرضا) صدر من أهله</w:t>
      </w:r>
      <w:r>
        <w:rPr>
          <w:rFonts w:hint="eastAsia"/>
          <w:spacing w:val="-14"/>
          <w:rtl/>
        </w:rPr>
        <w:t>»</w:t>
      </w:r>
      <w:r>
        <w:rPr>
          <w:rFonts w:hint="cs"/>
          <w:spacing w:val="-14"/>
          <w:vertAlign w:val="superscript"/>
          <w:rtl/>
        </w:rPr>
        <w:t>(</w:t>
      </w:r>
      <w:r>
        <w:rPr>
          <w:rStyle w:val="a7"/>
          <w:spacing w:val="-14"/>
          <w:rtl/>
        </w:rPr>
        <w:footnoteReference w:id="5347"/>
      </w:r>
      <w:r>
        <w:rPr>
          <w:rFonts w:hint="cs"/>
          <w:spacing w:val="-14"/>
          <w:vertAlign w:val="superscript"/>
          <w:rtl/>
        </w:rPr>
        <w:t>)</w:t>
      </w:r>
      <w:r>
        <w:rPr>
          <w:rFonts w:hint="cs"/>
          <w:spacing w:val="-14"/>
          <w:rtl/>
        </w:rPr>
        <w:t>، فيملكه.</w:t>
      </w:r>
    </w:p>
    <w:p w:rsidR="00A66747" w:rsidRDefault="00A66747">
      <w:pPr>
        <w:rPr>
          <w:rtl/>
        </w:rPr>
      </w:pPr>
      <w:r>
        <w:rPr>
          <w:rFonts w:hint="cs"/>
          <w:rtl/>
        </w:rPr>
        <w:lastRenderedPageBreak/>
        <w:t>وإذا كان مفيدًا</w:t>
      </w:r>
      <w:r>
        <w:rPr>
          <w:rStyle w:val="a7"/>
          <w:rtl/>
        </w:rPr>
        <w:footnoteReference w:id="5348"/>
      </w:r>
      <w:r>
        <w:rPr>
          <w:rFonts w:hint="cs"/>
          <w:rtl/>
        </w:rPr>
        <w:t xml:space="preserve"> للملك عند اتصال القبض : كان [المبيع]</w:t>
      </w:r>
      <w:r>
        <w:rPr>
          <w:rStyle w:val="a7"/>
          <w:rtl/>
        </w:rPr>
        <w:footnoteReference w:id="5349"/>
      </w:r>
      <w:r>
        <w:rPr>
          <w:rFonts w:hint="cs"/>
          <w:rtl/>
        </w:rPr>
        <w:t xml:space="preserve"> مضمونًا في يد المشتري في [البيع]</w:t>
      </w:r>
      <w:r>
        <w:rPr>
          <w:rStyle w:val="a7"/>
          <w:rtl/>
        </w:rPr>
        <w:footnoteReference w:id="5350"/>
      </w:r>
      <w:r>
        <w:rPr>
          <w:rFonts w:hint="cs"/>
          <w:rtl/>
        </w:rPr>
        <w:t xml:space="preserve"> الفاسد</w:t>
      </w:r>
      <w:r>
        <w:rPr>
          <w:rFonts w:hint="cs"/>
          <w:vertAlign w:val="superscript"/>
          <w:rtl/>
        </w:rPr>
        <w:t>(</w:t>
      </w:r>
      <w:r>
        <w:rPr>
          <w:rStyle w:val="a7"/>
          <w:rtl/>
        </w:rPr>
        <w:footnoteReference w:id="5351"/>
      </w:r>
      <w:r>
        <w:rPr>
          <w:rFonts w:hint="cs"/>
          <w:vertAlign w:val="superscript"/>
          <w:rtl/>
        </w:rPr>
        <w:t>)</w:t>
      </w:r>
      <w:r>
        <w:rPr>
          <w:rFonts w:hint="cs"/>
          <w:rtl/>
        </w:rPr>
        <w:t>.</w:t>
      </w:r>
    </w:p>
    <w:p w:rsidR="00A66747" w:rsidRDefault="00A66747">
      <w:pPr>
        <w:rPr>
          <w:rtl/>
        </w:rPr>
      </w:pPr>
      <w:r>
        <w:rPr>
          <w:rFonts w:hint="eastAsia"/>
          <w:rtl/>
        </w:rPr>
        <w:t>«</w:t>
      </w:r>
      <w:r>
        <w:rPr>
          <w:rFonts w:hint="cs"/>
          <w:b/>
          <w:bCs/>
          <w:rtl/>
        </w:rPr>
        <w:t>ولا يقال</w:t>
      </w:r>
      <w:r>
        <w:rPr>
          <w:rFonts w:hint="cs"/>
          <w:rtl/>
        </w:rPr>
        <w:t xml:space="preserve"> : النهي مانع عن ذلك !.</w:t>
      </w:r>
    </w:p>
    <w:p w:rsidR="00A66747" w:rsidRDefault="00A66747">
      <w:pPr>
        <w:rPr>
          <w:rtl/>
        </w:rPr>
      </w:pPr>
      <w:r>
        <w:rPr>
          <w:rFonts w:hint="cs"/>
          <w:b/>
          <w:bCs/>
          <w:rtl/>
        </w:rPr>
        <w:t>لأن</w:t>
      </w:r>
      <w:r>
        <w:rPr>
          <w:rFonts w:hint="cs"/>
          <w:rtl/>
        </w:rPr>
        <w:t xml:space="preserve"> النهي يقرِّر المشروعية عندنا</w:t>
      </w:r>
      <w:r>
        <w:rPr>
          <w:rFonts w:hint="eastAsia"/>
          <w:rtl/>
        </w:rPr>
        <w:t>»</w:t>
      </w:r>
      <w:r>
        <w:rPr>
          <w:rFonts w:hint="cs"/>
          <w:vertAlign w:val="superscript"/>
          <w:rtl/>
        </w:rPr>
        <w:t>(</w:t>
      </w:r>
      <w:r>
        <w:rPr>
          <w:rStyle w:val="a7"/>
          <w:rtl/>
        </w:rPr>
        <w:footnoteReference w:id="5352"/>
      </w:r>
      <w:r>
        <w:rPr>
          <w:rFonts w:hint="cs"/>
          <w:vertAlign w:val="superscript"/>
          <w:rtl/>
        </w:rPr>
        <w:t>)</w:t>
      </w:r>
      <w:r>
        <w:rPr>
          <w:rFonts w:hint="cs"/>
          <w:rtl/>
        </w:rPr>
        <w:t xml:space="preserve"> - كما ذُكر في باب النون، وذُكر فيه الاعتراض الوارد على هذا الأصل وجوابه</w:t>
      </w:r>
      <w:r>
        <w:rPr>
          <w:rFonts w:hint="cs"/>
          <w:vertAlign w:val="superscript"/>
          <w:rtl/>
        </w:rPr>
        <w:t>(</w:t>
      </w:r>
      <w:r>
        <w:rPr>
          <w:rStyle w:val="a7"/>
          <w:rtl/>
        </w:rPr>
        <w:footnoteReference w:id="5353"/>
      </w:r>
      <w:r>
        <w:rPr>
          <w:rFonts w:hint="cs"/>
          <w:vertAlign w:val="superscript"/>
          <w:rtl/>
        </w:rPr>
        <w:t>)</w:t>
      </w:r>
      <w:r>
        <w:rPr>
          <w:rFonts w:hint="cs"/>
          <w:rtl/>
        </w:rPr>
        <w:t>-.</w:t>
      </w:r>
    </w:p>
    <w:p w:rsidR="00A66747" w:rsidRDefault="00A66747">
      <w:pPr>
        <w:rPr>
          <w:rtl/>
        </w:rPr>
      </w:pPr>
    </w:p>
    <w:p w:rsidR="00A66747" w:rsidRDefault="00A66747">
      <w:pPr>
        <w:rPr>
          <w:rtl/>
        </w:rPr>
      </w:pPr>
    </w:p>
    <w:p w:rsidR="00A66747" w:rsidRDefault="00A66747">
      <w:pPr>
        <w:rPr>
          <w:rtl/>
        </w:rPr>
      </w:pPr>
    </w:p>
    <w:p w:rsidR="00A66747"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sectPr w:rsidR="00A66747" w:rsidSect="000417BC">
          <w:headerReference w:type="default" r:id="rId320"/>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190BC0" w:rsidRDefault="00A66747">
      <w:pPr>
        <w:pStyle w:val="a9"/>
        <w:rPr>
          <w:rFonts w:cs="AL-Mateen"/>
          <w:rtl/>
        </w:rPr>
      </w:pPr>
      <w:r w:rsidRPr="00190BC0">
        <w:rPr>
          <w:rFonts w:cs="AL-Mateen" w:hint="cs"/>
          <w:rtl/>
        </w:rPr>
        <w:lastRenderedPageBreak/>
        <w:t>[ الـقـاعـدة الـتـاسـعـة والـخـمـسـون بـعـد الـمـائـتـيـن ]</w:t>
      </w:r>
    </w:p>
    <w:p w:rsidR="00A66747" w:rsidRDefault="00A66747">
      <w:pPr>
        <w:rPr>
          <w:rtl/>
        </w:rPr>
      </w:pPr>
      <w:r>
        <w:rPr>
          <w:rFonts w:cs="Monotype Koufi" w:hint="cs"/>
          <w:rtl/>
        </w:rPr>
        <w:t>يُتحمَّلُ الضَّرَرُ الخَاصُّ لأجلِ دَفْعِ ضَرَرٍ عَامٍّ</w:t>
      </w:r>
      <w:r>
        <w:rPr>
          <w:rFonts w:hint="cs"/>
          <w:vertAlign w:val="superscript"/>
          <w:rtl/>
        </w:rPr>
        <w:t>(</w:t>
      </w:r>
      <w:r>
        <w:rPr>
          <w:rStyle w:val="a7"/>
          <w:rtl/>
        </w:rPr>
        <w:footnoteReference w:id="5354"/>
      </w:r>
      <w:r>
        <w:rPr>
          <w:rFonts w:hint="cs"/>
          <w:vertAlign w:val="superscript"/>
          <w:rtl/>
        </w:rPr>
        <w:t>)</w:t>
      </w:r>
      <w:r>
        <w:rPr>
          <w:rFonts w:hint="cs"/>
          <w:rtl/>
        </w:rPr>
        <w:t xml:space="preserve"> :</w:t>
      </w:r>
    </w:p>
    <w:p w:rsidR="00A66747" w:rsidRDefault="00A66747">
      <w:pPr>
        <w:rPr>
          <w:rtl/>
        </w:rPr>
      </w:pPr>
      <w:r>
        <w:rPr>
          <w:rFonts w:hint="cs"/>
          <w:b/>
          <w:bCs/>
          <w:rtl/>
        </w:rPr>
        <w:t>وعليه فروع كثيرة</w:t>
      </w:r>
      <w:r>
        <w:rPr>
          <w:rFonts w:hint="cs"/>
          <w:rtl/>
        </w:rPr>
        <w:t xml:space="preserve"> :</w:t>
      </w:r>
    </w:p>
    <w:p w:rsidR="00A66747" w:rsidRDefault="00A66747">
      <w:pPr>
        <w:rPr>
          <w:spacing w:val="-4"/>
          <w:rtl/>
        </w:rPr>
      </w:pPr>
      <w:r>
        <w:rPr>
          <w:rFonts w:hint="eastAsia"/>
          <w:spacing w:val="-4"/>
          <w:rtl/>
        </w:rPr>
        <w:t>«</w:t>
      </w:r>
      <w:r>
        <w:rPr>
          <w:rFonts w:hint="cs"/>
          <w:spacing w:val="-4"/>
          <w:rtl/>
        </w:rPr>
        <w:t>و</w:t>
      </w:r>
      <w:r>
        <w:rPr>
          <w:rStyle w:val="a7"/>
          <w:spacing w:val="-4"/>
          <w:rtl/>
        </w:rPr>
        <w:footnoteReference w:id="5355"/>
      </w:r>
      <w:r>
        <w:rPr>
          <w:rFonts w:hint="cs"/>
          <w:spacing w:val="-4"/>
          <w:rtl/>
        </w:rPr>
        <w:t xml:space="preserve"> </w:t>
      </w:r>
      <w:r>
        <w:rPr>
          <w:rFonts w:hint="cs"/>
          <w:b/>
          <w:bCs/>
          <w:spacing w:val="-4"/>
          <w:rtl/>
        </w:rPr>
        <w:t>منها</w:t>
      </w:r>
      <w:r>
        <w:rPr>
          <w:rFonts w:hint="cs"/>
          <w:spacing w:val="-4"/>
          <w:rtl/>
        </w:rPr>
        <w:t xml:space="preserve"> : جواز الحجر</w:t>
      </w:r>
      <w:r>
        <w:rPr>
          <w:rStyle w:val="a7"/>
          <w:spacing w:val="-4"/>
          <w:rtl/>
        </w:rPr>
        <w:footnoteReference w:id="5356"/>
      </w:r>
      <w:r>
        <w:rPr>
          <w:rFonts w:hint="cs"/>
          <w:spacing w:val="-4"/>
          <w:rtl/>
        </w:rPr>
        <w:t xml:space="preserve"> على </w:t>
      </w:r>
      <w:r>
        <w:rPr>
          <w:rFonts w:hint="cs"/>
          <w:rtl/>
        </w:rPr>
        <w:t>البالغ العاقل الحرّ</w:t>
      </w:r>
      <w:r>
        <w:rPr>
          <w:rFonts w:hint="cs"/>
          <w:spacing w:val="-4"/>
          <w:rtl/>
        </w:rPr>
        <w:t xml:space="preserve"> عند أبي حنيفة -رحمه الله- في </w:t>
      </w:r>
      <w:r>
        <w:rPr>
          <w:rFonts w:hint="cs"/>
          <w:spacing w:val="-4"/>
          <w:rtl/>
        </w:rPr>
        <w:lastRenderedPageBreak/>
        <w:t>ثلاثٍ: المفتي الماجن، والطبيب الجاهل، والمكاري</w:t>
      </w:r>
      <w:r>
        <w:rPr>
          <w:rFonts w:hint="cs"/>
          <w:spacing w:val="-4"/>
          <w:vertAlign w:val="superscript"/>
          <w:rtl/>
        </w:rPr>
        <w:t>(</w:t>
      </w:r>
      <w:r>
        <w:rPr>
          <w:rStyle w:val="a7"/>
          <w:spacing w:val="-4"/>
          <w:rtl/>
        </w:rPr>
        <w:footnoteReference w:id="5357"/>
      </w:r>
      <w:r>
        <w:rPr>
          <w:rFonts w:hint="cs"/>
          <w:spacing w:val="-4"/>
          <w:vertAlign w:val="superscript"/>
          <w:rtl/>
        </w:rPr>
        <w:t>)</w:t>
      </w:r>
      <w:r>
        <w:rPr>
          <w:rFonts w:hint="cs"/>
          <w:spacing w:val="-4"/>
          <w:rtl/>
        </w:rPr>
        <w:t xml:space="preserve"> المفلس؛ دفعًا للضرر العام</w:t>
      </w:r>
      <w:r>
        <w:rPr>
          <w:rFonts w:hint="eastAsia"/>
          <w:spacing w:val="-4"/>
          <w:rtl/>
        </w:rPr>
        <w:t>»</w:t>
      </w:r>
      <w:r>
        <w:rPr>
          <w:rFonts w:hint="cs"/>
          <w:spacing w:val="-4"/>
          <w:vertAlign w:val="superscript"/>
          <w:rtl/>
        </w:rPr>
        <w:t>(</w:t>
      </w:r>
      <w:r>
        <w:rPr>
          <w:rStyle w:val="a7"/>
          <w:spacing w:val="-4"/>
          <w:rtl/>
        </w:rPr>
        <w:footnoteReference w:id="5358"/>
      </w:r>
      <w:r>
        <w:rPr>
          <w:rFonts w:hint="cs"/>
          <w:spacing w:val="-4"/>
          <w:vertAlign w:val="superscript"/>
          <w:rtl/>
        </w:rPr>
        <w:t>)</w:t>
      </w:r>
      <w:r>
        <w:rPr>
          <w:rFonts w:hint="cs"/>
          <w:spacing w:val="-4"/>
          <w:rtl/>
        </w:rPr>
        <w:t>.</w:t>
      </w:r>
    </w:p>
    <w:p w:rsidR="00A66747" w:rsidRDefault="00A66747" w:rsidP="00F0471F">
      <w:pPr>
        <w:ind w:left="848" w:hanging="281"/>
        <w:rPr>
          <w:rtl/>
        </w:rPr>
      </w:pPr>
      <w:r>
        <w:rPr>
          <w:sz w:val="37"/>
          <w:szCs w:val="37"/>
          <w:rtl/>
        </w:rPr>
        <w:t>•</w:t>
      </w:r>
      <w:r>
        <w:rPr>
          <w:rFonts w:hint="cs"/>
          <w:sz w:val="37"/>
          <w:szCs w:val="37"/>
          <w:rtl/>
        </w:rPr>
        <w:t xml:space="preserve">   </w:t>
      </w:r>
      <w:r>
        <w:rPr>
          <w:rFonts w:hint="eastAsia"/>
          <w:sz w:val="37"/>
          <w:szCs w:val="37"/>
          <w:rtl/>
        </w:rPr>
        <w:t>«</w:t>
      </w:r>
      <w:r>
        <w:rPr>
          <w:rFonts w:hint="cs"/>
          <w:b/>
          <w:bCs/>
          <w:sz w:val="37"/>
          <w:szCs w:val="37"/>
          <w:rtl/>
        </w:rPr>
        <w:t>ومنها</w:t>
      </w:r>
      <w:r>
        <w:rPr>
          <w:rFonts w:hint="cs"/>
          <w:sz w:val="37"/>
          <w:szCs w:val="37"/>
          <w:rtl/>
        </w:rPr>
        <w:t xml:space="preserve"> : التسعير</w:t>
      </w:r>
      <w:r>
        <w:rPr>
          <w:rFonts w:hint="cs"/>
          <w:vertAlign w:val="superscript"/>
          <w:rtl/>
        </w:rPr>
        <w:t>(</w:t>
      </w:r>
      <w:r>
        <w:rPr>
          <w:rStyle w:val="a7"/>
          <w:rtl/>
        </w:rPr>
        <w:footnoteReference w:id="5359"/>
      </w:r>
      <w:r>
        <w:rPr>
          <w:rFonts w:hint="cs"/>
          <w:vertAlign w:val="superscript"/>
          <w:rtl/>
        </w:rPr>
        <w:t>)</w:t>
      </w:r>
      <w:r>
        <w:rPr>
          <w:rFonts w:hint="cs"/>
          <w:rtl/>
        </w:rPr>
        <w:t xml:space="preserve">، </w:t>
      </w:r>
      <w:r>
        <w:rPr>
          <w:rFonts w:hint="cs"/>
          <w:sz w:val="37"/>
          <w:szCs w:val="37"/>
          <w:rtl/>
        </w:rPr>
        <w:t>عند تعدّي أرباب الطعام في بيعه بغبن فاحش</w:t>
      </w:r>
      <w:r>
        <w:rPr>
          <w:rFonts w:hint="eastAsia"/>
          <w:rtl/>
        </w:rPr>
        <w:t>»</w:t>
      </w:r>
      <w:r>
        <w:rPr>
          <w:rFonts w:hint="cs"/>
          <w:vertAlign w:val="superscript"/>
          <w:rtl/>
        </w:rPr>
        <w:t>(</w:t>
      </w:r>
      <w:r>
        <w:rPr>
          <w:rStyle w:val="a7"/>
          <w:rtl/>
        </w:rPr>
        <w:footnoteReference w:id="5360"/>
      </w:r>
      <w:r>
        <w:rPr>
          <w:rFonts w:hint="cs"/>
          <w:vertAlign w:val="superscript"/>
          <w:rtl/>
        </w:rPr>
        <w:t>)</w:t>
      </w:r>
      <w:r>
        <w:rPr>
          <w:rFonts w:hint="cs"/>
          <w:rtl/>
        </w:rPr>
        <w:t>.</w:t>
      </w:r>
    </w:p>
    <w:p w:rsidR="00A66747" w:rsidRDefault="00A66747" w:rsidP="00F0471F">
      <w:pPr>
        <w:ind w:left="989" w:hanging="422"/>
        <w:rPr>
          <w:rtl/>
        </w:rPr>
      </w:pPr>
      <w:r>
        <w:rPr>
          <w:rtl/>
        </w:rPr>
        <w:t>•</w:t>
      </w:r>
      <w:r>
        <w:rPr>
          <w:rFonts w:hint="cs"/>
          <w:rtl/>
        </w:rPr>
        <w:t xml:space="preserve">  </w:t>
      </w:r>
      <w:r>
        <w:rPr>
          <w:rFonts w:hint="eastAsia"/>
          <w:rtl/>
        </w:rPr>
        <w:t>«</w:t>
      </w:r>
      <w:r>
        <w:rPr>
          <w:rFonts w:hint="cs"/>
          <w:b/>
          <w:bCs/>
          <w:rtl/>
        </w:rPr>
        <w:t>ومنها</w:t>
      </w:r>
      <w:r>
        <w:rPr>
          <w:rFonts w:hint="cs"/>
          <w:rtl/>
        </w:rPr>
        <w:t xml:space="preserve"> : [بيع]</w:t>
      </w:r>
      <w:r>
        <w:rPr>
          <w:rFonts w:hint="cs"/>
          <w:vertAlign w:val="superscript"/>
          <w:rtl/>
        </w:rPr>
        <w:t>(</w:t>
      </w:r>
      <w:r>
        <w:rPr>
          <w:rStyle w:val="a7"/>
          <w:rtl/>
        </w:rPr>
        <w:footnoteReference w:id="5361"/>
      </w:r>
      <w:r>
        <w:rPr>
          <w:rFonts w:hint="cs"/>
          <w:vertAlign w:val="superscript"/>
          <w:rtl/>
        </w:rPr>
        <w:t>)</w:t>
      </w:r>
      <w:r>
        <w:rPr>
          <w:rFonts w:hint="cs"/>
          <w:rtl/>
        </w:rPr>
        <w:t xml:space="preserve"> طعام المحتكِر</w:t>
      </w:r>
      <w:r>
        <w:rPr>
          <w:rFonts w:hint="cs"/>
          <w:vertAlign w:val="superscript"/>
          <w:rtl/>
        </w:rPr>
        <w:t>(</w:t>
      </w:r>
      <w:r>
        <w:rPr>
          <w:rStyle w:val="a7"/>
          <w:rtl/>
        </w:rPr>
        <w:footnoteReference w:id="5362"/>
      </w:r>
      <w:r>
        <w:rPr>
          <w:rFonts w:hint="cs"/>
          <w:vertAlign w:val="superscript"/>
          <w:rtl/>
        </w:rPr>
        <w:t>)</w:t>
      </w:r>
      <w:r>
        <w:rPr>
          <w:rFonts w:hint="cs"/>
          <w:rtl/>
        </w:rPr>
        <w:t>، جبرًا</w:t>
      </w:r>
      <w:r>
        <w:rPr>
          <w:rStyle w:val="a7"/>
          <w:rtl/>
        </w:rPr>
        <w:footnoteReference w:id="5363"/>
      </w:r>
      <w:r>
        <w:rPr>
          <w:rFonts w:hint="cs"/>
          <w:rtl/>
        </w:rPr>
        <w:t xml:space="preserve"> عليه عند الحاجة وامتناعه</w:t>
      </w:r>
      <w:r>
        <w:rPr>
          <w:rFonts w:hint="cs"/>
          <w:vertAlign w:val="superscript"/>
          <w:rtl/>
        </w:rPr>
        <w:t>(</w:t>
      </w:r>
      <w:r>
        <w:rPr>
          <w:rStyle w:val="a7"/>
          <w:rtl/>
        </w:rPr>
        <w:footnoteReference w:id="5364"/>
      </w:r>
      <w:r>
        <w:rPr>
          <w:rFonts w:hint="cs"/>
          <w:vertAlign w:val="superscript"/>
          <w:rtl/>
        </w:rPr>
        <w:t>)</w:t>
      </w:r>
      <w:r>
        <w:rPr>
          <w:rFonts w:hint="cs"/>
          <w:rtl/>
        </w:rPr>
        <w:t xml:space="preserve"> </w:t>
      </w:r>
      <w:r>
        <w:rPr>
          <w:rFonts w:hint="cs"/>
          <w:rtl/>
        </w:rPr>
        <w:lastRenderedPageBreak/>
        <w:t>من البيع؛ دفعًا للضرر العام</w:t>
      </w:r>
      <w:r>
        <w:rPr>
          <w:rFonts w:hint="eastAsia"/>
          <w:rtl/>
        </w:rPr>
        <w:t>»</w:t>
      </w:r>
      <w:r>
        <w:rPr>
          <w:rFonts w:hint="cs"/>
          <w:vertAlign w:val="superscript"/>
          <w:rtl/>
        </w:rPr>
        <w:t>(</w:t>
      </w:r>
      <w:r>
        <w:rPr>
          <w:rStyle w:val="a7"/>
          <w:rtl/>
        </w:rPr>
        <w:footnoteReference w:id="5365"/>
      </w:r>
      <w:r>
        <w:rPr>
          <w:rFonts w:hint="cs"/>
          <w:vertAlign w:val="superscript"/>
          <w:rtl/>
        </w:rPr>
        <w:t>)</w:t>
      </w:r>
      <w:r>
        <w:rPr>
          <w:rFonts w:hint="cs"/>
          <w:rtl/>
        </w:rPr>
        <w:t>.</w:t>
      </w:r>
    </w:p>
    <w:p w:rsidR="00A66747" w:rsidRDefault="00A66747" w:rsidP="00F0471F">
      <w:pPr>
        <w:ind w:left="989" w:hanging="422"/>
        <w:rPr>
          <w:rtl/>
        </w:rPr>
      </w:pPr>
      <w:r>
        <w:rPr>
          <w:rtl/>
        </w:rPr>
        <w:t>•</w:t>
      </w:r>
      <w:r>
        <w:rPr>
          <w:rFonts w:hint="cs"/>
          <w:rtl/>
        </w:rPr>
        <w:t xml:space="preserve">   </w:t>
      </w:r>
      <w:r w:rsidRPr="0015590A">
        <w:rPr>
          <w:rFonts w:hint="eastAsia"/>
          <w:spacing w:val="6"/>
          <w:rtl/>
        </w:rPr>
        <w:t>«</w:t>
      </w:r>
      <w:r w:rsidRPr="0015590A">
        <w:rPr>
          <w:rFonts w:hint="cs"/>
          <w:b/>
          <w:bCs/>
          <w:spacing w:val="6"/>
          <w:rtl/>
        </w:rPr>
        <w:t>ومـنـهـا</w:t>
      </w:r>
      <w:r w:rsidRPr="0015590A">
        <w:rPr>
          <w:rFonts w:hint="cs"/>
          <w:spacing w:val="6"/>
          <w:rtl/>
        </w:rPr>
        <w:t xml:space="preserve"> [مــنــع]</w:t>
      </w:r>
      <w:r w:rsidRPr="0015590A">
        <w:rPr>
          <w:rFonts w:hint="cs"/>
          <w:spacing w:val="6"/>
          <w:vertAlign w:val="superscript"/>
          <w:rtl/>
        </w:rPr>
        <w:t>(</w:t>
      </w:r>
      <w:r w:rsidRPr="0015590A">
        <w:rPr>
          <w:rStyle w:val="a7"/>
          <w:spacing w:val="6"/>
          <w:rtl/>
        </w:rPr>
        <w:footnoteReference w:id="5366"/>
      </w:r>
      <w:r w:rsidRPr="0015590A">
        <w:rPr>
          <w:rFonts w:hint="cs"/>
          <w:spacing w:val="6"/>
          <w:vertAlign w:val="superscript"/>
          <w:rtl/>
        </w:rPr>
        <w:t>)</w:t>
      </w:r>
      <w:r w:rsidRPr="0015590A">
        <w:rPr>
          <w:rFonts w:hint="cs"/>
          <w:spacing w:val="6"/>
          <w:rtl/>
        </w:rPr>
        <w:t xml:space="preserve"> اتــخــاذ [حـانـــوتـة]</w:t>
      </w:r>
      <w:r w:rsidRPr="0015590A">
        <w:rPr>
          <w:rFonts w:hint="cs"/>
          <w:spacing w:val="6"/>
          <w:vertAlign w:val="superscript"/>
          <w:rtl/>
        </w:rPr>
        <w:t>(</w:t>
      </w:r>
      <w:r w:rsidRPr="0015590A">
        <w:rPr>
          <w:rStyle w:val="a7"/>
          <w:spacing w:val="6"/>
          <w:rtl/>
        </w:rPr>
        <w:footnoteReference w:id="5367"/>
      </w:r>
      <w:r w:rsidRPr="0015590A">
        <w:rPr>
          <w:rFonts w:hint="cs"/>
          <w:spacing w:val="6"/>
          <w:vertAlign w:val="superscript"/>
          <w:rtl/>
        </w:rPr>
        <w:t>)</w:t>
      </w:r>
      <w:r>
        <w:rPr>
          <w:rFonts w:hint="cs"/>
          <w:vertAlign w:val="superscript"/>
          <w:rtl/>
        </w:rPr>
        <w:t xml:space="preserve"> </w:t>
      </w:r>
    </w:p>
    <w:p w:rsidR="00A66747" w:rsidRDefault="00A66747">
      <w:pPr>
        <w:ind w:left="567" w:right="567" w:firstLine="720"/>
        <w:rPr>
          <w:rtl/>
        </w:rPr>
      </w:pPr>
      <w:r>
        <w:rPr>
          <w:rFonts w:hint="cs"/>
          <w:rtl/>
        </w:rPr>
        <w:t>للطبخ بين البزّازين</w:t>
      </w:r>
      <w:r>
        <w:rPr>
          <w:rFonts w:hint="cs"/>
          <w:vertAlign w:val="superscript"/>
          <w:rtl/>
        </w:rPr>
        <w:t>(</w:t>
      </w:r>
      <w:r>
        <w:rPr>
          <w:rStyle w:val="a7"/>
          <w:rtl/>
        </w:rPr>
        <w:footnoteReference w:id="5368"/>
      </w:r>
      <w:r>
        <w:rPr>
          <w:rFonts w:hint="cs"/>
          <w:vertAlign w:val="superscript"/>
          <w:rtl/>
        </w:rPr>
        <w:t>)</w:t>
      </w:r>
      <w:r>
        <w:rPr>
          <w:rFonts w:hint="eastAsia"/>
          <w:rtl/>
        </w:rPr>
        <w:t>»</w:t>
      </w:r>
      <w:r>
        <w:rPr>
          <w:rFonts w:hint="cs"/>
          <w:vertAlign w:val="superscript"/>
          <w:rtl/>
        </w:rPr>
        <w:t>(</w:t>
      </w:r>
      <w:r>
        <w:rPr>
          <w:rStyle w:val="a7"/>
          <w:rtl/>
        </w:rPr>
        <w:footnoteReference w:id="5369"/>
      </w:r>
      <w:r>
        <w:rPr>
          <w:rFonts w:hint="cs"/>
          <w:vertAlign w:val="superscript"/>
          <w:rtl/>
        </w:rPr>
        <w:t>)</w:t>
      </w:r>
      <w:r>
        <w:rPr>
          <w:rFonts w:hint="cs"/>
          <w:rtl/>
        </w:rPr>
        <w:t>.</w:t>
      </w:r>
    </w:p>
    <w:p w:rsidR="00A66747" w:rsidRDefault="00A66747" w:rsidP="00F0471F">
      <w:pPr>
        <w:ind w:left="989" w:hanging="422"/>
        <w:rPr>
          <w:rtl/>
        </w:rPr>
      </w:pPr>
      <w:r>
        <w:rPr>
          <w:b/>
          <w:bCs/>
          <w:rtl/>
        </w:rPr>
        <w:lastRenderedPageBreak/>
        <w:t>•</w:t>
      </w:r>
      <w:r>
        <w:rPr>
          <w:rFonts w:hint="cs"/>
          <w:b/>
          <w:bCs/>
          <w:rtl/>
        </w:rPr>
        <w:t xml:space="preserve">  ومنها</w:t>
      </w:r>
      <w:r>
        <w:rPr>
          <w:rFonts w:hint="cs"/>
          <w:rtl/>
        </w:rPr>
        <w:t xml:space="preserve"> : إباحة قتل من يَسْعى في الأرض بالفساد؛ دفعا للضّرر</w:t>
      </w:r>
      <w:r>
        <w:rPr>
          <w:rStyle w:val="a7"/>
          <w:rtl/>
        </w:rPr>
        <w:footnoteReference w:id="5370"/>
      </w:r>
      <w:r>
        <w:rPr>
          <w:rFonts w:hint="cs"/>
          <w:rtl/>
        </w:rPr>
        <w:t xml:space="preserve"> العام</w:t>
      </w:r>
      <w:r>
        <w:rPr>
          <w:rFonts w:hint="cs"/>
          <w:vertAlign w:val="superscript"/>
          <w:rtl/>
        </w:rPr>
        <w:t>(</w:t>
      </w:r>
      <w:r>
        <w:rPr>
          <w:rStyle w:val="a7"/>
          <w:rtl/>
        </w:rPr>
        <w:footnoteReference w:id="5371"/>
      </w:r>
      <w:r>
        <w:rPr>
          <w:rFonts w:hint="cs"/>
          <w:vertAlign w:val="superscript"/>
          <w:rtl/>
        </w:rPr>
        <w:t>)</w:t>
      </w:r>
      <w:r>
        <w:rPr>
          <w:rFonts w:hint="cs"/>
          <w:rtl/>
        </w:rPr>
        <w:t>.</w:t>
      </w:r>
    </w:p>
    <w:p w:rsidR="00A66747" w:rsidRDefault="00A66747" w:rsidP="00F0471F">
      <w:pPr>
        <w:ind w:left="989" w:hanging="422"/>
        <w:rPr>
          <w:rtl/>
        </w:rPr>
      </w:pPr>
      <w:r>
        <w:rPr>
          <w:rFonts w:hint="cs"/>
          <w:rtl/>
        </w:rPr>
        <w:t xml:space="preserve">    </w:t>
      </w:r>
      <w:r>
        <w:rPr>
          <w:rFonts w:hint="eastAsia"/>
          <w:rtl/>
        </w:rPr>
        <w:t>«</w:t>
      </w:r>
      <w:r>
        <w:rPr>
          <w:rFonts w:hint="cs"/>
          <w:rtl/>
        </w:rPr>
        <w:t>سُـــئِـــلَ عـــطـــاء بــن حــمـــزة</w:t>
      </w:r>
      <w:r>
        <w:rPr>
          <w:rFonts w:hint="cs"/>
          <w:vertAlign w:val="superscript"/>
          <w:rtl/>
        </w:rPr>
        <w:t>(</w:t>
      </w:r>
      <w:r>
        <w:rPr>
          <w:rStyle w:val="a7"/>
          <w:rtl/>
        </w:rPr>
        <w:footnoteReference w:id="5372"/>
      </w:r>
      <w:r>
        <w:rPr>
          <w:rFonts w:hint="cs"/>
          <w:vertAlign w:val="superscript"/>
          <w:rtl/>
        </w:rPr>
        <w:t>)</w:t>
      </w:r>
    </w:p>
    <w:p w:rsidR="00A66747" w:rsidRDefault="00A66747" w:rsidP="00F0471F">
      <w:pPr>
        <w:spacing w:line="228" w:lineRule="auto"/>
        <w:rPr>
          <w:rtl/>
        </w:rPr>
      </w:pPr>
      <w:r>
        <w:rPr>
          <w:rFonts w:hint="cs"/>
          <w:rtl/>
        </w:rPr>
        <w:t>عـن قـتل الأعـونـة</w:t>
      </w:r>
      <w:r>
        <w:rPr>
          <w:rFonts w:hint="cs"/>
          <w:vertAlign w:val="superscript"/>
          <w:rtl/>
        </w:rPr>
        <w:t>(</w:t>
      </w:r>
      <w:r>
        <w:rPr>
          <w:rStyle w:val="a7"/>
          <w:rtl/>
        </w:rPr>
        <w:footnoteReference w:id="5373"/>
      </w:r>
      <w:r>
        <w:rPr>
          <w:rFonts w:hint="cs"/>
          <w:vertAlign w:val="superscript"/>
          <w:rtl/>
        </w:rPr>
        <w:t>)</w:t>
      </w:r>
      <w:r>
        <w:rPr>
          <w:rFonts w:hint="cs"/>
          <w:rtl/>
        </w:rPr>
        <w:t>، والسعـاة</w:t>
      </w:r>
      <w:r>
        <w:rPr>
          <w:rStyle w:val="a7"/>
          <w:rtl/>
        </w:rPr>
        <w:footnoteReference w:id="5374"/>
      </w:r>
      <w:r>
        <w:rPr>
          <w:rFonts w:hint="cs"/>
          <w:rtl/>
        </w:rPr>
        <w:t>، والظلمة في [أيـام]</w:t>
      </w:r>
      <w:r>
        <w:rPr>
          <w:rStyle w:val="a7"/>
          <w:rtl/>
        </w:rPr>
        <w:footnoteReference w:id="5375"/>
      </w:r>
      <w:r>
        <w:rPr>
          <w:rFonts w:hint="cs"/>
          <w:rtl/>
        </w:rPr>
        <w:t xml:space="preserve"> الفترة</w:t>
      </w:r>
      <w:r>
        <w:rPr>
          <w:rFonts w:hint="cs"/>
          <w:vertAlign w:val="superscript"/>
          <w:rtl/>
        </w:rPr>
        <w:t>(</w:t>
      </w:r>
      <w:r>
        <w:rPr>
          <w:rStyle w:val="a7"/>
          <w:rtl/>
        </w:rPr>
        <w:footnoteReference w:id="5376"/>
      </w:r>
      <w:r>
        <w:rPr>
          <w:rFonts w:hint="cs"/>
          <w:vertAlign w:val="superscript"/>
          <w:rtl/>
        </w:rPr>
        <w:t>)</w:t>
      </w:r>
      <w:r>
        <w:rPr>
          <w:rFonts w:hint="cs"/>
          <w:rtl/>
        </w:rPr>
        <w:t>.</w:t>
      </w:r>
    </w:p>
    <w:p w:rsidR="00A66747" w:rsidRDefault="00A66747">
      <w:pPr>
        <w:rPr>
          <w:rtl/>
        </w:rPr>
      </w:pPr>
      <w:r>
        <w:rPr>
          <w:rFonts w:hint="cs"/>
          <w:rtl/>
        </w:rPr>
        <w:lastRenderedPageBreak/>
        <w:t>فقال : يباح؛ لأنَّهم يسعون في الأرض بالفساد.</w:t>
      </w:r>
    </w:p>
    <w:p w:rsidR="00A66747" w:rsidRDefault="00A66747">
      <w:pPr>
        <w:rPr>
          <w:rtl/>
        </w:rPr>
      </w:pPr>
      <w:r>
        <w:rPr>
          <w:rFonts w:hint="cs"/>
          <w:rtl/>
        </w:rPr>
        <w:t>وقيل : يمتنعون عن الفساد في أيام الفترة ويتوازون</w:t>
      </w:r>
      <w:r>
        <w:rPr>
          <w:rFonts w:hint="cs"/>
          <w:vertAlign w:val="superscript"/>
          <w:rtl/>
        </w:rPr>
        <w:t>(</w:t>
      </w:r>
      <w:r>
        <w:rPr>
          <w:rStyle w:val="a7"/>
          <w:rtl/>
        </w:rPr>
        <w:footnoteReference w:id="5377"/>
      </w:r>
      <w:r>
        <w:rPr>
          <w:rFonts w:hint="cs"/>
          <w:vertAlign w:val="superscript"/>
          <w:rtl/>
        </w:rPr>
        <w:t>)</w:t>
      </w:r>
      <w:r>
        <w:rPr>
          <w:rFonts w:hint="cs"/>
          <w:rtl/>
        </w:rPr>
        <w:t>!.</w:t>
      </w:r>
    </w:p>
    <w:p w:rsidR="00A66747" w:rsidRDefault="00A66747">
      <w:pPr>
        <w:rPr>
          <w:rtl/>
        </w:rPr>
      </w:pPr>
      <w:r>
        <w:rPr>
          <w:rFonts w:hint="cs"/>
          <w:rtl/>
        </w:rPr>
        <w:t xml:space="preserve">قال : ذلك امتناعٌ ضروريٌّ، </w:t>
      </w:r>
      <w:r>
        <w:rPr>
          <w:rFonts w:hint="eastAsia"/>
          <w:rtl/>
        </w:rPr>
        <w:t>«</w:t>
      </w:r>
      <w:r>
        <w:rPr>
          <w:rFonts w:cs="DecoType Naskh" w:hint="cs"/>
          <w:rtl/>
        </w:rPr>
        <w:t>ولو رُدّوا لعادوا لما نهوا عنه</w:t>
      </w:r>
      <w:r>
        <w:rPr>
          <w:rFonts w:hint="eastAsia"/>
          <w:rtl/>
        </w:rPr>
        <w:t>»</w:t>
      </w:r>
      <w:r>
        <w:rPr>
          <w:rFonts w:hint="cs"/>
          <w:vertAlign w:val="superscript"/>
          <w:rtl/>
        </w:rPr>
        <w:t>(</w:t>
      </w:r>
      <w:r>
        <w:rPr>
          <w:rStyle w:val="a7"/>
          <w:rtl/>
        </w:rPr>
        <w:footnoteReference w:id="5378"/>
      </w:r>
      <w:r>
        <w:rPr>
          <w:rFonts w:hint="cs"/>
          <w:vertAlign w:val="superscript"/>
          <w:rtl/>
        </w:rPr>
        <w:t>)</w:t>
      </w:r>
      <w:r>
        <w:rPr>
          <w:rFonts w:hint="cs"/>
          <w:rtl/>
        </w:rPr>
        <w:t>.</w:t>
      </w:r>
    </w:p>
    <w:p w:rsidR="00A66747" w:rsidRDefault="00A66747">
      <w:pPr>
        <w:rPr>
          <w:rtl/>
        </w:rPr>
      </w:pPr>
      <w:r>
        <w:rPr>
          <w:rFonts w:hint="cs"/>
          <w:rtl/>
        </w:rPr>
        <w:t>وكذلك قال الإمام أبو</w:t>
      </w:r>
      <w:r>
        <w:rPr>
          <w:rStyle w:val="a7"/>
          <w:rtl/>
        </w:rPr>
        <w:footnoteReference w:id="5379"/>
      </w:r>
      <w:r>
        <w:rPr>
          <w:rFonts w:hint="cs"/>
          <w:rtl/>
        </w:rPr>
        <w:t>[شجاع]</w:t>
      </w:r>
      <w:r>
        <w:rPr>
          <w:rStyle w:val="a7"/>
          <w:rtl/>
        </w:rPr>
        <w:footnoteReference w:id="5380"/>
      </w:r>
      <w:r>
        <w:rPr>
          <w:rFonts w:hint="cs"/>
          <w:vertAlign w:val="superscript"/>
          <w:rtl/>
        </w:rPr>
        <w:t>(</w:t>
      </w:r>
      <w:r>
        <w:rPr>
          <w:rStyle w:val="a7"/>
          <w:rtl/>
        </w:rPr>
        <w:footnoteReference w:id="5381"/>
      </w:r>
      <w:r>
        <w:rPr>
          <w:rFonts w:hint="cs"/>
          <w:vertAlign w:val="superscript"/>
          <w:rtl/>
        </w:rPr>
        <w:t>)</w:t>
      </w:r>
      <w:r>
        <w:rPr>
          <w:rFonts w:hint="cs"/>
          <w:rtl/>
        </w:rPr>
        <w:t>، وزاد : بأنه يثابُ قاتلُهُم.</w:t>
      </w:r>
    </w:p>
    <w:p w:rsidR="00A66747" w:rsidRDefault="00A66747">
      <w:pPr>
        <w:rPr>
          <w:rtl/>
        </w:rPr>
      </w:pPr>
      <w:r>
        <w:rPr>
          <w:rFonts w:hint="cs"/>
          <w:rtl/>
        </w:rPr>
        <w:lastRenderedPageBreak/>
        <w:t>قيل : كيف يثاب قاتِلُهُم؟.</w:t>
      </w:r>
    </w:p>
    <w:p w:rsidR="00A66747" w:rsidRDefault="00A66747">
      <w:pPr>
        <w:ind w:left="567" w:right="567" w:firstLine="0"/>
        <w:rPr>
          <w:rtl/>
        </w:rPr>
      </w:pPr>
      <w:r>
        <w:rPr>
          <w:rFonts w:hint="cs"/>
          <w:rtl/>
        </w:rPr>
        <w:t>قال : لأن من شرطِ الإسلامِ : الشَّفَقَةَ على خلق الله تعالى، والفرح بفرحهم والحزن بحزنهم، وهم على عكسه</w:t>
      </w:r>
      <w:r>
        <w:rPr>
          <w:rFonts w:hint="eastAsia"/>
          <w:rtl/>
        </w:rPr>
        <w:t>»</w:t>
      </w:r>
      <w:r>
        <w:rPr>
          <w:rFonts w:hint="cs"/>
          <w:rtl/>
        </w:rPr>
        <w:t>.</w:t>
      </w:r>
    </w:p>
    <w:p w:rsidR="00A66747" w:rsidRDefault="00A66747">
      <w:pPr>
        <w:rPr>
          <w:rtl/>
        </w:rPr>
      </w:pPr>
      <w:r>
        <w:rPr>
          <w:rFonts w:hint="cs"/>
          <w:rtl/>
        </w:rPr>
        <w:t xml:space="preserve">كذا في (البزازيّة) </w:t>
      </w:r>
      <w:r>
        <w:rPr>
          <w:rtl/>
        </w:rPr>
        <w:t>–</w:t>
      </w:r>
      <w:r>
        <w:rPr>
          <w:rFonts w:hint="cs"/>
          <w:rtl/>
        </w:rPr>
        <w:t xml:space="preserve"> ذكـره فـي أوائل الفصل الثالث في الحظر والإباحة من كتاب السِّيَرِ</w:t>
      </w:r>
      <w:r>
        <w:rPr>
          <w:rFonts w:hint="cs"/>
          <w:vertAlign w:val="superscript"/>
          <w:rtl/>
        </w:rPr>
        <w:t>(</w:t>
      </w:r>
      <w:r>
        <w:rPr>
          <w:rStyle w:val="a7"/>
          <w:rtl/>
        </w:rPr>
        <w:footnoteReference w:id="5382"/>
      </w:r>
      <w:r>
        <w:rPr>
          <w:rFonts w:hint="cs"/>
          <w:vertAlign w:val="superscript"/>
          <w:rtl/>
        </w:rPr>
        <w:t>)</w:t>
      </w:r>
      <w:r>
        <w:rPr>
          <w:rFonts w:hint="cs"/>
          <w:rtl/>
        </w:rPr>
        <w:t>-.</w:t>
      </w:r>
    </w:p>
    <w:p w:rsidR="00A66747" w:rsidRDefault="00A66747">
      <w:pPr>
        <w:rPr>
          <w:rtl/>
        </w:rPr>
      </w:pPr>
    </w:p>
    <w:p w:rsidR="00A66747" w:rsidRDefault="00A66747">
      <w:pPr>
        <w:rPr>
          <w:rtl/>
        </w:rPr>
      </w:pPr>
    </w:p>
    <w:p w:rsidR="00A66747" w:rsidRPr="000B4C10"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pStyle w:val="a9"/>
        <w:rPr>
          <w:rFonts w:cs="AL-Mateen"/>
          <w:rtl/>
        </w:rPr>
        <w:sectPr w:rsidR="00A66747" w:rsidSect="000417BC">
          <w:headerReference w:type="default" r:id="rId321"/>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960264" w:rsidRDefault="00A66747">
      <w:pPr>
        <w:pStyle w:val="a9"/>
        <w:rPr>
          <w:rFonts w:cs="AL-Mateen"/>
          <w:rtl/>
        </w:rPr>
      </w:pPr>
      <w:r w:rsidRPr="00960264">
        <w:rPr>
          <w:rFonts w:cs="AL-Mateen" w:hint="cs"/>
          <w:rtl/>
        </w:rPr>
        <w:lastRenderedPageBreak/>
        <w:t>[ الـقـاعـدة الـسـتـون بـعـد الـمـائـتـيـن ]</w:t>
      </w:r>
    </w:p>
    <w:p w:rsidR="00A66747" w:rsidRDefault="00A66747">
      <w:pPr>
        <w:rPr>
          <w:rtl/>
        </w:rPr>
      </w:pPr>
      <w:r>
        <w:rPr>
          <w:rFonts w:cs="Monotype Koufi" w:hint="cs"/>
          <w:rtl/>
        </w:rPr>
        <w:t>يُرَجَّحُ بَعْضُ وُجُوهِ المُشْتَرَكِ بِغَالِبِ الرَّأْيِ</w:t>
      </w:r>
      <w:r>
        <w:rPr>
          <w:rFonts w:hint="cs"/>
          <w:vertAlign w:val="superscript"/>
          <w:rtl/>
        </w:rPr>
        <w:t>(</w:t>
      </w:r>
      <w:r>
        <w:rPr>
          <w:rStyle w:val="a7"/>
          <w:rtl/>
        </w:rPr>
        <w:footnoteReference w:id="5383"/>
      </w:r>
      <w:r>
        <w:rPr>
          <w:rFonts w:hint="cs"/>
          <w:vertAlign w:val="superscript"/>
          <w:rtl/>
        </w:rPr>
        <w:t>)</w:t>
      </w:r>
      <w:r>
        <w:rPr>
          <w:rFonts w:hint="cs"/>
          <w:rtl/>
        </w:rPr>
        <w:t xml:space="preserve"> :</w:t>
      </w:r>
    </w:p>
    <w:p w:rsidR="00A66747" w:rsidRDefault="00A66747">
      <w:pPr>
        <w:rPr>
          <w:rtl/>
        </w:rPr>
      </w:pPr>
      <w:r>
        <w:rPr>
          <w:rFonts w:hint="cs"/>
          <w:rtl/>
        </w:rPr>
        <w:lastRenderedPageBreak/>
        <w:t xml:space="preserve"> فلو قال لزوجته : أنتِ بائن، أو بتَّة، أو بتلة</w:t>
      </w:r>
      <w:r>
        <w:rPr>
          <w:rFonts w:hint="cs"/>
          <w:vertAlign w:val="superscript"/>
          <w:rtl/>
        </w:rPr>
        <w:t>(</w:t>
      </w:r>
      <w:r>
        <w:rPr>
          <w:rStyle w:val="a7"/>
          <w:rtl/>
        </w:rPr>
        <w:footnoteReference w:id="5384"/>
      </w:r>
      <w:r>
        <w:rPr>
          <w:rFonts w:hint="cs"/>
          <w:vertAlign w:val="superscript"/>
          <w:rtl/>
        </w:rPr>
        <w:t>)</w:t>
      </w:r>
      <w:r>
        <w:rPr>
          <w:rFonts w:hint="cs"/>
          <w:rtl/>
        </w:rPr>
        <w:t>، أو نحوه -حال مذاكرة الطلاق-: يتوقف</w:t>
      </w:r>
      <w:r>
        <w:rPr>
          <w:rStyle w:val="a7"/>
          <w:rtl/>
        </w:rPr>
        <w:footnoteReference w:id="5385"/>
      </w:r>
      <w:r>
        <w:rPr>
          <w:rFonts w:hint="cs"/>
          <w:rtl/>
        </w:rPr>
        <w:t xml:space="preserve"> على إرادة الطلاق</w:t>
      </w:r>
      <w:r>
        <w:rPr>
          <w:rStyle w:val="a7"/>
          <w:rtl/>
        </w:rPr>
        <w:footnoteReference w:id="5386"/>
      </w:r>
      <w:r>
        <w:rPr>
          <w:rFonts w:hint="cs"/>
          <w:rtl/>
        </w:rPr>
        <w:t>، فصار مؤوّلاً.</w:t>
      </w:r>
    </w:p>
    <w:p w:rsidR="00A66747" w:rsidRDefault="00A66747">
      <w:pPr>
        <w:rPr>
          <w:rtl/>
        </w:rPr>
      </w:pPr>
      <w:r>
        <w:rPr>
          <w:rFonts w:hint="cs"/>
          <w:rtl/>
        </w:rPr>
        <w:t>فلو قال : أردتُ البينونة الحسنة</w:t>
      </w:r>
      <w:r>
        <w:rPr>
          <w:rFonts w:hint="cs"/>
          <w:vertAlign w:val="superscript"/>
          <w:rtl/>
        </w:rPr>
        <w:t>(</w:t>
      </w:r>
      <w:r>
        <w:rPr>
          <w:rStyle w:val="a7"/>
          <w:rtl/>
        </w:rPr>
        <w:footnoteReference w:id="5387"/>
      </w:r>
      <w:r>
        <w:rPr>
          <w:rFonts w:hint="cs"/>
          <w:vertAlign w:val="superscript"/>
          <w:rtl/>
        </w:rPr>
        <w:t>)</w:t>
      </w:r>
      <w:r>
        <w:rPr>
          <w:rFonts w:hint="cs"/>
          <w:rtl/>
        </w:rPr>
        <w:t xml:space="preserve"> (وهي البينونة في المكان)</w:t>
      </w:r>
      <w:r>
        <w:rPr>
          <w:rStyle w:val="a7"/>
          <w:rtl/>
        </w:rPr>
        <w:footnoteReference w:id="5388"/>
      </w:r>
      <w:r>
        <w:rPr>
          <w:rFonts w:hint="cs"/>
          <w:rtl/>
        </w:rPr>
        <w:t xml:space="preserve"> : لم يصدَّقْ.</w:t>
      </w:r>
    </w:p>
    <w:p w:rsidR="00A66747" w:rsidRPr="00852242" w:rsidRDefault="00A66747">
      <w:pPr>
        <w:rPr>
          <w:spacing w:val="-12"/>
          <w:rtl/>
        </w:rPr>
      </w:pPr>
      <w:r w:rsidRPr="00852242">
        <w:rPr>
          <w:rFonts w:hint="cs"/>
          <w:b/>
          <w:bCs/>
          <w:spacing w:val="-12"/>
          <w:rtl/>
        </w:rPr>
        <w:t>ولا يقـال</w:t>
      </w:r>
      <w:r w:rsidRPr="00852242">
        <w:rPr>
          <w:rFonts w:hint="cs"/>
          <w:spacing w:val="-12"/>
          <w:rtl/>
        </w:rPr>
        <w:t xml:space="preserve"> : هذا بالمؤول، وتصديقه عمل بالمُفسَّر، والعمل به</w:t>
      </w:r>
      <w:r w:rsidRPr="00852242">
        <w:rPr>
          <w:rStyle w:val="a7"/>
          <w:spacing w:val="-12"/>
          <w:rtl/>
        </w:rPr>
        <w:footnoteReference w:id="5389"/>
      </w:r>
      <w:r w:rsidRPr="00852242">
        <w:rPr>
          <w:rFonts w:hint="cs"/>
          <w:spacing w:val="-12"/>
          <w:rtl/>
        </w:rPr>
        <w:t xml:space="preserve"> أولى؛ لأنه فسَّر مُرادَهُ به!.</w:t>
      </w:r>
    </w:p>
    <w:p w:rsidR="00A66747" w:rsidRDefault="00A66747">
      <w:pPr>
        <w:rPr>
          <w:rtl/>
        </w:rPr>
      </w:pPr>
      <w:r>
        <w:rPr>
          <w:rFonts w:hint="cs"/>
          <w:b/>
          <w:bCs/>
          <w:rtl/>
        </w:rPr>
        <w:t>لأن</w:t>
      </w:r>
      <w:r>
        <w:rPr>
          <w:rFonts w:hint="cs"/>
          <w:rtl/>
        </w:rPr>
        <w:t xml:space="preserve"> العمل بالمؤول واجبٌ، فلا يُعمل تفسيره بعد الحكمِ</w:t>
      </w:r>
      <w:r>
        <w:rPr>
          <w:rStyle w:val="a7"/>
          <w:rtl/>
        </w:rPr>
        <w:footnoteReference w:id="5390"/>
      </w:r>
      <w:r>
        <w:rPr>
          <w:rFonts w:hint="cs"/>
          <w:rtl/>
        </w:rPr>
        <w:t xml:space="preserve"> [بوقوعِ]</w:t>
      </w:r>
      <w:r>
        <w:rPr>
          <w:rStyle w:val="a7"/>
          <w:rtl/>
        </w:rPr>
        <w:footnoteReference w:id="5391"/>
      </w:r>
      <w:r>
        <w:rPr>
          <w:rFonts w:hint="cs"/>
          <w:rtl/>
        </w:rPr>
        <w:t xml:space="preserve"> الطلاق. حتى لو [خلا]</w:t>
      </w:r>
      <w:r>
        <w:rPr>
          <w:rStyle w:val="a7"/>
          <w:rtl/>
        </w:rPr>
        <w:footnoteReference w:id="5392"/>
      </w:r>
      <w:r>
        <w:rPr>
          <w:rFonts w:hint="cs"/>
          <w:rtl/>
        </w:rPr>
        <w:t xml:space="preserve"> عن هذه القرينة : قُبِلَ تفسيرُهُ. كذا في كتب الأصول</w:t>
      </w:r>
      <w:r>
        <w:rPr>
          <w:rFonts w:hint="cs"/>
          <w:vertAlign w:val="superscript"/>
          <w:rtl/>
        </w:rPr>
        <w:t>(</w:t>
      </w:r>
      <w:r>
        <w:rPr>
          <w:rStyle w:val="a7"/>
          <w:rtl/>
        </w:rPr>
        <w:footnoteReference w:id="5393"/>
      </w:r>
      <w:r>
        <w:rPr>
          <w:rFonts w:hint="cs"/>
          <w:vertAlign w:val="superscript"/>
          <w:rtl/>
        </w:rPr>
        <w:t>)</w:t>
      </w:r>
      <w:r>
        <w:rPr>
          <w:rFonts w:hint="cs"/>
          <w:rtl/>
        </w:rPr>
        <w:t>.</w:t>
      </w:r>
    </w:p>
    <w:p w:rsidR="00A66747"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sectPr w:rsidR="00A66747" w:rsidSect="000417BC">
          <w:headerReference w:type="default" r:id="rId322"/>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DB2519" w:rsidRDefault="00A66747">
      <w:pPr>
        <w:pStyle w:val="a9"/>
        <w:rPr>
          <w:rFonts w:cs="AL-Mateen"/>
          <w:rtl/>
        </w:rPr>
      </w:pPr>
      <w:r w:rsidRPr="00DB2519">
        <w:rPr>
          <w:rFonts w:cs="AL-Mateen" w:hint="cs"/>
          <w:rtl/>
        </w:rPr>
        <w:lastRenderedPageBreak/>
        <w:t>[ الـقـاعـدة الـحـاديـة والـسـتـون بـعـد الـمـائـتـيـن ]</w:t>
      </w:r>
    </w:p>
    <w:p w:rsidR="00A66747" w:rsidRDefault="00A66747">
      <w:pPr>
        <w:rPr>
          <w:rtl/>
        </w:rPr>
      </w:pPr>
      <w:r>
        <w:rPr>
          <w:rFonts w:cs="Monotype Koufi" w:hint="cs"/>
          <w:rtl/>
        </w:rPr>
        <w:t>يَدْخُلُ فِي التَّصَرُّفِ تَبَعًا مَا لاَ يَجُوْزُ أَنْ يَكُونَ مَقْصُودًا</w:t>
      </w:r>
      <w:r>
        <w:rPr>
          <w:rFonts w:hint="cs"/>
          <w:vertAlign w:val="superscript"/>
          <w:rtl/>
        </w:rPr>
        <w:t>(</w:t>
      </w:r>
      <w:r>
        <w:rPr>
          <w:rStyle w:val="a7"/>
          <w:rtl/>
        </w:rPr>
        <w:footnoteReference w:id="5394"/>
      </w:r>
      <w:r>
        <w:rPr>
          <w:rFonts w:hint="cs"/>
          <w:vertAlign w:val="superscript"/>
          <w:rtl/>
        </w:rPr>
        <w:t>)</w:t>
      </w:r>
      <w:r>
        <w:rPr>
          <w:rFonts w:hint="cs"/>
          <w:rtl/>
        </w:rPr>
        <w:t xml:space="preserve"> :</w:t>
      </w:r>
    </w:p>
    <w:p w:rsidR="00A66747" w:rsidRDefault="00A66747">
      <w:pPr>
        <w:pStyle w:val="ab"/>
        <w:rPr>
          <w:spacing w:val="-10"/>
          <w:rtl/>
        </w:rPr>
      </w:pPr>
      <w:r>
        <w:rPr>
          <w:rFonts w:hint="cs"/>
          <w:b/>
          <w:bCs/>
          <w:spacing w:val="-10"/>
          <w:rtl/>
        </w:rPr>
        <w:t>ولهذا</w:t>
      </w:r>
      <w:r>
        <w:rPr>
          <w:rFonts w:hint="cs"/>
          <w:spacing w:val="-10"/>
          <w:rtl/>
        </w:rPr>
        <w:t xml:space="preserve"> : إذا قال : بعتُ بشرط </w:t>
      </w:r>
      <w:r>
        <w:rPr>
          <w:rFonts w:hint="cs"/>
          <w:rtl/>
        </w:rPr>
        <w:t>البراءة عن كل</w:t>
      </w:r>
      <w:r>
        <w:rPr>
          <w:rFonts w:hint="cs"/>
          <w:spacing w:val="-10"/>
          <w:rtl/>
        </w:rPr>
        <w:t xml:space="preserve"> عيْب يحدث : لا يصح شرط البراءة</w:t>
      </w:r>
      <w:r>
        <w:rPr>
          <w:rFonts w:hint="cs"/>
          <w:spacing w:val="-10"/>
          <w:vertAlign w:val="superscript"/>
          <w:rtl/>
        </w:rPr>
        <w:t>(</w:t>
      </w:r>
      <w:r>
        <w:rPr>
          <w:rStyle w:val="a7"/>
          <w:spacing w:val="-10"/>
          <w:rtl/>
        </w:rPr>
        <w:footnoteReference w:id="5395"/>
      </w:r>
      <w:r>
        <w:rPr>
          <w:rFonts w:hint="cs"/>
          <w:spacing w:val="-10"/>
          <w:vertAlign w:val="superscript"/>
          <w:rtl/>
        </w:rPr>
        <w:t>)</w:t>
      </w:r>
      <w:r>
        <w:rPr>
          <w:rFonts w:hint="cs"/>
          <w:spacing w:val="-10"/>
          <w:rtl/>
        </w:rPr>
        <w:t>.</w:t>
      </w:r>
    </w:p>
    <w:p w:rsidR="00A66747" w:rsidRDefault="00A66747">
      <w:pPr>
        <w:rPr>
          <w:rtl/>
        </w:rPr>
        <w:sectPr w:rsidR="00A66747" w:rsidSect="000417BC">
          <w:headerReference w:type="default" r:id="rId323"/>
          <w:footnotePr>
            <w:pos w:val="beneathText"/>
            <w:numRestart w:val="eachPage"/>
          </w:footnotePr>
          <w:endnotePr>
            <w:numFmt w:val="decimal"/>
          </w:endnotePr>
          <w:pgSz w:w="11906" w:h="16838" w:code="9"/>
          <w:pgMar w:top="2268" w:right="1985" w:bottom="1418" w:left="1418" w:header="680" w:footer="851" w:gutter="284"/>
          <w:cols w:space="720"/>
          <w:bidi/>
          <w:rtlGutter/>
        </w:sectPr>
      </w:pPr>
      <w:r>
        <w:rPr>
          <w:rFonts w:hint="cs"/>
          <w:rtl/>
        </w:rPr>
        <w:t>ولو أَطْلَقَ وقال : بعت بشرط البراءة عن كلّ عيب</w:t>
      </w:r>
      <w:r>
        <w:rPr>
          <w:rStyle w:val="a7"/>
          <w:rtl/>
        </w:rPr>
        <w:footnoteReference w:id="5396"/>
      </w:r>
      <w:r>
        <w:rPr>
          <w:rFonts w:hint="cs"/>
          <w:rtl/>
        </w:rPr>
        <w:t>، ولم يقل : يحدث : برئ من كلّ عيب، ولو</w:t>
      </w:r>
      <w:r>
        <w:rPr>
          <w:rFonts w:hint="cs"/>
          <w:vertAlign w:val="superscript"/>
          <w:rtl/>
        </w:rPr>
        <w:t>(</w:t>
      </w:r>
      <w:r>
        <w:rPr>
          <w:rStyle w:val="a7"/>
          <w:rtl/>
        </w:rPr>
        <w:footnoteReference w:id="5397"/>
      </w:r>
      <w:r>
        <w:rPr>
          <w:rFonts w:hint="cs"/>
          <w:vertAlign w:val="superscript"/>
          <w:rtl/>
        </w:rPr>
        <w:t>)</w:t>
      </w:r>
      <w:r>
        <w:rPr>
          <w:rFonts w:hint="cs"/>
          <w:rtl/>
        </w:rPr>
        <w:t xml:space="preserve"> قَبْلَ القبضِ بعد العقد؛ لأن لفظه ههنا يتناول [العيوب]</w:t>
      </w:r>
      <w:r>
        <w:rPr>
          <w:rStyle w:val="a7"/>
          <w:rtl/>
        </w:rPr>
        <w:footnoteReference w:id="5398"/>
      </w:r>
      <w:r>
        <w:rPr>
          <w:rFonts w:hint="cs"/>
          <w:rtl/>
        </w:rPr>
        <w:t xml:space="preserve"> الموجودة، ثم يدخل فيها ما يحدث قبل القبض تبعًا؛ على مقتضى هذا العقد</w:t>
      </w:r>
      <w:r>
        <w:rPr>
          <w:rFonts w:hint="cs"/>
          <w:vertAlign w:val="superscript"/>
          <w:rtl/>
        </w:rPr>
        <w:t>(</w:t>
      </w:r>
      <w:r>
        <w:rPr>
          <w:rStyle w:val="a7"/>
          <w:rtl/>
        </w:rPr>
        <w:footnoteReference w:id="5399"/>
      </w:r>
      <w:r>
        <w:rPr>
          <w:rFonts w:hint="cs"/>
          <w:vertAlign w:val="superscript"/>
          <w:rtl/>
        </w:rPr>
        <w:t>)(</w:t>
      </w:r>
      <w:r>
        <w:rPr>
          <w:rStyle w:val="a7"/>
          <w:rtl/>
        </w:rPr>
        <w:footnoteReference w:id="5400"/>
      </w:r>
      <w:r>
        <w:rPr>
          <w:rFonts w:hint="cs"/>
          <w:vertAlign w:val="superscript"/>
          <w:rtl/>
        </w:rPr>
        <w:t>)</w:t>
      </w:r>
      <w:r>
        <w:rPr>
          <w:rFonts w:hint="cs"/>
          <w:rtl/>
        </w:rPr>
        <w:t>.</w:t>
      </w:r>
    </w:p>
    <w:p w:rsidR="00A66747" w:rsidRPr="0035684A" w:rsidRDefault="00A66747">
      <w:pPr>
        <w:pStyle w:val="a9"/>
        <w:rPr>
          <w:rFonts w:cs="AL-Mateen"/>
          <w:rtl/>
        </w:rPr>
      </w:pPr>
      <w:r w:rsidRPr="0035684A">
        <w:rPr>
          <w:rFonts w:cs="AL-Mateen" w:hint="cs"/>
          <w:rtl/>
        </w:rPr>
        <w:lastRenderedPageBreak/>
        <w:t>[ الـقـاعـدة الـثـانـيـة والـسـتـون بـعـد الـمـائـتـيـن ]</w:t>
      </w:r>
    </w:p>
    <w:p w:rsidR="00A66747" w:rsidRDefault="00A66747">
      <w:pPr>
        <w:rPr>
          <w:rtl/>
        </w:rPr>
      </w:pPr>
      <w:r>
        <w:rPr>
          <w:rFonts w:cs="Monotype Koufi" w:hint="cs"/>
          <w:rtl/>
        </w:rPr>
        <w:t>يَسْقُطُ الفَرْعُ إذا سَقَطَ الأَصْلُ</w:t>
      </w:r>
      <w:r>
        <w:rPr>
          <w:rFonts w:hint="cs"/>
          <w:vertAlign w:val="superscript"/>
          <w:rtl/>
        </w:rPr>
        <w:t>(</w:t>
      </w:r>
      <w:r>
        <w:rPr>
          <w:rStyle w:val="a7"/>
          <w:rtl/>
        </w:rPr>
        <w:footnoteReference w:id="5401"/>
      </w:r>
      <w:r>
        <w:rPr>
          <w:rFonts w:hint="cs"/>
          <w:vertAlign w:val="superscript"/>
          <w:rtl/>
        </w:rPr>
        <w:t>)</w:t>
      </w:r>
      <w:r>
        <w:rPr>
          <w:rFonts w:hint="cs"/>
          <w:rtl/>
        </w:rPr>
        <w:t xml:space="preserve"> :</w:t>
      </w:r>
    </w:p>
    <w:p w:rsidR="00A66747" w:rsidRDefault="00A66747">
      <w:pPr>
        <w:rPr>
          <w:rtl/>
        </w:rPr>
      </w:pPr>
      <w:r>
        <w:rPr>
          <w:rFonts w:hint="eastAsia"/>
          <w:rtl/>
        </w:rPr>
        <w:t>«</w:t>
      </w:r>
      <w:r>
        <w:rPr>
          <w:rFonts w:hint="cs"/>
          <w:rtl/>
        </w:rPr>
        <w:t>و</w:t>
      </w:r>
      <w:r>
        <w:rPr>
          <w:rFonts w:hint="cs"/>
          <w:b/>
          <w:bCs/>
          <w:rtl/>
        </w:rPr>
        <w:t>من فروعه</w:t>
      </w:r>
      <w:r>
        <w:rPr>
          <w:rFonts w:hint="cs"/>
          <w:rtl/>
        </w:rPr>
        <w:t xml:space="preserve"> : قولهم : إذا برأَ الأصيلُ برأَ الكفيلُ، بخلاف الأصيل</w:t>
      </w:r>
      <w:r>
        <w:rPr>
          <w:rStyle w:val="a7"/>
          <w:rtl/>
        </w:rPr>
        <w:footnoteReference w:id="5402"/>
      </w:r>
      <w:r>
        <w:rPr>
          <w:rFonts w:hint="eastAsia"/>
          <w:rtl/>
        </w:rPr>
        <w:t>»</w:t>
      </w:r>
      <w:r>
        <w:rPr>
          <w:rFonts w:hint="cs"/>
          <w:vertAlign w:val="superscript"/>
          <w:rtl/>
        </w:rPr>
        <w:t>(</w:t>
      </w:r>
      <w:r>
        <w:rPr>
          <w:rStyle w:val="a7"/>
          <w:rtl/>
        </w:rPr>
        <w:footnoteReference w:id="5403"/>
      </w:r>
      <w:r>
        <w:rPr>
          <w:rFonts w:hint="cs"/>
          <w:vertAlign w:val="superscript"/>
          <w:rtl/>
        </w:rPr>
        <w:t>)</w:t>
      </w:r>
      <w:r>
        <w:rPr>
          <w:rFonts w:hint="cs"/>
          <w:rtl/>
        </w:rPr>
        <w:t>.</w:t>
      </w:r>
    </w:p>
    <w:p w:rsidR="00A66747" w:rsidRDefault="00A66747">
      <w:pPr>
        <w:rPr>
          <w:rtl/>
        </w:rPr>
      </w:pPr>
      <w:r>
        <w:rPr>
          <w:rFonts w:hint="cs"/>
          <w:rtl/>
        </w:rPr>
        <w:lastRenderedPageBreak/>
        <w:t>و</w:t>
      </w:r>
      <w:r>
        <w:rPr>
          <w:rFonts w:hint="eastAsia"/>
          <w:rtl/>
        </w:rPr>
        <w:t>«</w:t>
      </w:r>
      <w:r>
        <w:rPr>
          <w:rFonts w:hint="cs"/>
          <w:b/>
          <w:bCs/>
          <w:rtl/>
        </w:rPr>
        <w:t>قد يثبت الفرع وإن لم يثبت الأصل</w:t>
      </w:r>
      <w:r>
        <w:rPr>
          <w:rStyle w:val="a7"/>
          <w:rtl/>
        </w:rPr>
        <w:footnoteReference w:id="5404"/>
      </w:r>
      <w:r>
        <w:rPr>
          <w:rFonts w:hint="eastAsia"/>
          <w:rtl/>
        </w:rPr>
        <w:t>»</w:t>
      </w:r>
      <w:r>
        <w:rPr>
          <w:rFonts w:hint="cs"/>
          <w:vertAlign w:val="superscript"/>
          <w:rtl/>
        </w:rPr>
        <w:t>(</w:t>
      </w:r>
      <w:r>
        <w:rPr>
          <w:rStyle w:val="a7"/>
          <w:rtl/>
        </w:rPr>
        <w:footnoteReference w:id="5405"/>
      </w:r>
      <w:r>
        <w:rPr>
          <w:rFonts w:hint="cs"/>
          <w:vertAlign w:val="superscript"/>
          <w:rtl/>
        </w:rPr>
        <w:t>)</w:t>
      </w:r>
      <w:r>
        <w:rPr>
          <w:rFonts w:hint="cs"/>
          <w:rtl/>
        </w:rPr>
        <w:t xml:space="preserve"> :</w:t>
      </w:r>
    </w:p>
    <w:p w:rsidR="00A66747" w:rsidRDefault="00A66747" w:rsidP="00F0471F">
      <w:pPr>
        <w:ind w:left="989" w:hanging="422"/>
        <w:rPr>
          <w:spacing w:val="-4"/>
          <w:rtl/>
        </w:rPr>
      </w:pPr>
      <w:r>
        <w:rPr>
          <w:spacing w:val="-4"/>
          <w:rtl/>
        </w:rPr>
        <w:t>•</w:t>
      </w:r>
      <w:r>
        <w:rPr>
          <w:rFonts w:hint="cs"/>
          <w:spacing w:val="-4"/>
          <w:rtl/>
        </w:rPr>
        <w:t xml:space="preserve">  </w:t>
      </w:r>
      <w:r>
        <w:rPr>
          <w:rFonts w:hint="eastAsia"/>
          <w:spacing w:val="-4"/>
          <w:rtl/>
        </w:rPr>
        <w:t>«</w:t>
      </w:r>
      <w:r>
        <w:rPr>
          <w:rFonts w:hint="cs"/>
          <w:b/>
          <w:bCs/>
          <w:spacing w:val="-4"/>
          <w:rtl/>
        </w:rPr>
        <w:t>ومن فروعه</w:t>
      </w:r>
      <w:r>
        <w:rPr>
          <w:rFonts w:hint="cs"/>
          <w:spacing w:val="-4"/>
          <w:rtl/>
        </w:rPr>
        <w:t xml:space="preserve"> : لو قال : لزيد على عَمْرٍ ألف، وأنا ضامن به. فأنكر عمرو : لزم الكفيلَ إذا ادّعاها زيد، دون الأصيل </w:t>
      </w:r>
      <w:r>
        <w:rPr>
          <w:spacing w:val="-4"/>
          <w:rtl/>
        </w:rPr>
        <w:t>–</w:t>
      </w:r>
      <w:r>
        <w:rPr>
          <w:rFonts w:hint="cs"/>
          <w:spacing w:val="-4"/>
          <w:rtl/>
        </w:rPr>
        <w:t xml:space="preserve"> كما في (الخانيّة)</w:t>
      </w:r>
      <w:r>
        <w:rPr>
          <w:rFonts w:hint="cs"/>
          <w:spacing w:val="-4"/>
          <w:vertAlign w:val="superscript"/>
          <w:rtl/>
        </w:rPr>
        <w:t>(</w:t>
      </w:r>
      <w:r>
        <w:rPr>
          <w:rStyle w:val="a7"/>
          <w:spacing w:val="-4"/>
          <w:rtl/>
        </w:rPr>
        <w:footnoteReference w:id="5406"/>
      </w:r>
      <w:r>
        <w:rPr>
          <w:rFonts w:hint="cs"/>
          <w:spacing w:val="-4"/>
          <w:vertAlign w:val="superscript"/>
          <w:rtl/>
        </w:rPr>
        <w:t>)</w:t>
      </w:r>
      <w:r>
        <w:rPr>
          <w:rFonts w:hint="cs"/>
          <w:spacing w:val="-4"/>
          <w:rtl/>
        </w:rPr>
        <w:t>-</w:t>
      </w:r>
      <w:r>
        <w:rPr>
          <w:rFonts w:hint="eastAsia"/>
          <w:spacing w:val="-4"/>
          <w:rtl/>
        </w:rPr>
        <w:t>»</w:t>
      </w:r>
      <w:r>
        <w:rPr>
          <w:rFonts w:hint="cs"/>
          <w:spacing w:val="-4"/>
          <w:vertAlign w:val="superscript"/>
          <w:rtl/>
        </w:rPr>
        <w:t>(</w:t>
      </w:r>
      <w:r>
        <w:rPr>
          <w:rStyle w:val="a7"/>
          <w:spacing w:val="-4"/>
          <w:rtl/>
        </w:rPr>
        <w:footnoteReference w:id="5407"/>
      </w:r>
      <w:r>
        <w:rPr>
          <w:rFonts w:hint="cs"/>
          <w:spacing w:val="-4"/>
          <w:vertAlign w:val="superscript"/>
          <w:rtl/>
        </w:rPr>
        <w:t>)</w:t>
      </w:r>
      <w:r>
        <w:rPr>
          <w:rFonts w:hint="cs"/>
          <w:spacing w:val="-4"/>
          <w:rtl/>
        </w:rPr>
        <w:t>.</w:t>
      </w:r>
    </w:p>
    <w:p w:rsidR="00A66747" w:rsidRDefault="00A66747" w:rsidP="00F0471F">
      <w:pPr>
        <w:ind w:left="989" w:hanging="422"/>
        <w:rPr>
          <w:rtl/>
        </w:rPr>
      </w:pPr>
      <w:r>
        <w:rPr>
          <w:rtl/>
        </w:rPr>
        <w:t>•</w:t>
      </w:r>
      <w:r>
        <w:rPr>
          <w:rFonts w:hint="cs"/>
          <w:rtl/>
        </w:rPr>
        <w:t xml:space="preserve">  </w:t>
      </w:r>
      <w:r>
        <w:rPr>
          <w:rFonts w:hint="eastAsia"/>
          <w:rtl/>
        </w:rPr>
        <w:t>«</w:t>
      </w:r>
      <w:r>
        <w:rPr>
          <w:rFonts w:hint="cs"/>
          <w:b/>
          <w:bCs/>
          <w:rtl/>
        </w:rPr>
        <w:t>ومنها</w:t>
      </w:r>
      <w:r>
        <w:rPr>
          <w:rFonts w:hint="cs"/>
          <w:rtl/>
        </w:rPr>
        <w:t xml:space="preserve"> : لو ادّعى</w:t>
      </w:r>
      <w:r>
        <w:rPr>
          <w:rStyle w:val="a7"/>
          <w:rtl/>
        </w:rPr>
        <w:footnoteReference w:id="5408"/>
      </w:r>
      <w:r>
        <w:rPr>
          <w:rFonts w:hint="cs"/>
          <w:rtl/>
        </w:rPr>
        <w:t xml:space="preserve"> الزوج الخلع، فأنكرت المرأة : بانت، ولم يثبت المال الذي هو الأصل في الخلع.</w:t>
      </w:r>
    </w:p>
    <w:p w:rsidR="00A66747" w:rsidRDefault="00A66747" w:rsidP="00F0471F">
      <w:pPr>
        <w:ind w:left="989" w:hanging="422"/>
        <w:rPr>
          <w:rtl/>
        </w:rPr>
      </w:pPr>
      <w:r>
        <w:rPr>
          <w:b/>
          <w:bCs/>
          <w:rtl/>
        </w:rPr>
        <w:t>•</w:t>
      </w:r>
      <w:r>
        <w:rPr>
          <w:rFonts w:hint="cs"/>
          <w:b/>
          <w:bCs/>
          <w:rtl/>
        </w:rPr>
        <w:t xml:space="preserve">  ومنها</w:t>
      </w:r>
      <w:r>
        <w:rPr>
          <w:rFonts w:hint="cs"/>
          <w:rtl/>
        </w:rPr>
        <w:t xml:space="preserve"> : لو قال : بعتُ عبدي [من]</w:t>
      </w:r>
      <w:r>
        <w:rPr>
          <w:rStyle w:val="a7"/>
          <w:rtl/>
        </w:rPr>
        <w:footnoteReference w:id="5409"/>
      </w:r>
      <w:r>
        <w:rPr>
          <w:rFonts w:hint="cs"/>
          <w:rtl/>
        </w:rPr>
        <w:t xml:space="preserve"> زيد فأعتقه. فأنكر زيدٌ : عُتِقَ العبد، ولم يثبت المال.</w:t>
      </w:r>
    </w:p>
    <w:p w:rsidR="00A66747" w:rsidRDefault="00A66747" w:rsidP="00F0471F">
      <w:pPr>
        <w:ind w:left="989" w:hanging="422"/>
        <w:rPr>
          <w:rtl/>
        </w:rPr>
      </w:pPr>
      <w:r>
        <w:rPr>
          <w:b/>
          <w:bCs/>
          <w:rtl/>
        </w:rPr>
        <w:t>•</w:t>
      </w:r>
      <w:r>
        <w:rPr>
          <w:rFonts w:hint="cs"/>
          <w:b/>
          <w:bCs/>
          <w:rtl/>
        </w:rPr>
        <w:t xml:space="preserve">  وكذا</w:t>
      </w:r>
      <w:r>
        <w:rPr>
          <w:rFonts w:hint="cs"/>
          <w:rtl/>
        </w:rPr>
        <w:t xml:space="preserve"> : لو قال : بعتُه من نفسه. فأنكر العبدُ : عتق بلا عوض</w:t>
      </w:r>
      <w:r>
        <w:rPr>
          <w:rFonts w:hint="eastAsia"/>
          <w:rtl/>
        </w:rPr>
        <w:t>»</w:t>
      </w:r>
      <w:r>
        <w:rPr>
          <w:rFonts w:hint="cs"/>
          <w:vertAlign w:val="superscript"/>
          <w:rtl/>
        </w:rPr>
        <w:t>(</w:t>
      </w:r>
      <w:r>
        <w:rPr>
          <w:rStyle w:val="a7"/>
          <w:rtl/>
        </w:rPr>
        <w:footnoteReference w:id="5410"/>
      </w:r>
      <w:r>
        <w:rPr>
          <w:rFonts w:hint="cs"/>
          <w:vertAlign w:val="superscript"/>
          <w:rtl/>
        </w:rPr>
        <w:t>)</w:t>
      </w:r>
      <w:r>
        <w:rPr>
          <w:rFonts w:hint="cs"/>
          <w:rtl/>
        </w:rPr>
        <w:t>.</w:t>
      </w:r>
    </w:p>
    <w:p w:rsidR="00A66747" w:rsidRDefault="00A66747">
      <w:pPr>
        <w:ind w:left="567" w:right="567" w:firstLine="0"/>
        <w:rPr>
          <w:rtl/>
        </w:rPr>
      </w:pPr>
    </w:p>
    <w:p w:rsidR="00A66747" w:rsidRDefault="00A66747">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jc w:val="center"/>
        <w:rPr>
          <w:rtl/>
        </w:rPr>
        <w:sectPr w:rsidR="00A66747" w:rsidSect="001C01FA">
          <w:headerReference w:type="default" r:id="rId324"/>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A44E10" w:rsidRDefault="00A66747">
      <w:pPr>
        <w:pStyle w:val="a9"/>
        <w:rPr>
          <w:rFonts w:cs="AL-Mateen"/>
          <w:rtl/>
        </w:rPr>
      </w:pPr>
      <w:r w:rsidRPr="00A44E10">
        <w:rPr>
          <w:rFonts w:cs="AL-Mateen" w:hint="cs"/>
          <w:rtl/>
        </w:rPr>
        <w:lastRenderedPageBreak/>
        <w:t>[ الـقـاعـدة الـثـالـثـة والـسـتـون بـعـد الـمـائـتـيـن ]</w:t>
      </w:r>
    </w:p>
    <w:p w:rsidR="00A66747" w:rsidRDefault="00A66747">
      <w:pPr>
        <w:rPr>
          <w:rtl/>
        </w:rPr>
      </w:pPr>
      <w:r>
        <w:rPr>
          <w:rFonts w:cs="Monotype Koufi" w:hint="cs"/>
          <w:rtl/>
        </w:rPr>
        <w:t>[يُغْتَفَرُ]</w:t>
      </w:r>
      <w:r>
        <w:rPr>
          <w:rStyle w:val="a7"/>
          <w:rtl/>
        </w:rPr>
        <w:footnoteReference w:id="5411"/>
      </w:r>
      <w:r>
        <w:rPr>
          <w:rFonts w:hint="cs"/>
          <w:rtl/>
        </w:rPr>
        <w:t xml:space="preserve"> </w:t>
      </w:r>
      <w:r>
        <w:rPr>
          <w:rFonts w:cs="Monotype Koufi" w:hint="cs"/>
          <w:rtl/>
        </w:rPr>
        <w:t>فِي الانْتِهَاءِ مَا لاَ [يُغْتَفَرُ]</w:t>
      </w:r>
      <w:r>
        <w:rPr>
          <w:rFonts w:hint="cs"/>
          <w:b/>
          <w:bCs/>
          <w:sz w:val="30"/>
          <w:szCs w:val="30"/>
          <w:vertAlign w:val="superscript"/>
          <w:rtl/>
        </w:rPr>
        <w:t>1</w:t>
      </w:r>
      <w:r>
        <w:rPr>
          <w:rFonts w:hint="cs"/>
          <w:rtl/>
        </w:rPr>
        <w:t xml:space="preserve"> </w:t>
      </w:r>
      <w:r>
        <w:rPr>
          <w:rFonts w:cs="Monotype Koufi" w:hint="cs"/>
          <w:rtl/>
        </w:rPr>
        <w:t>فِي الابتدَاءِ</w:t>
      </w:r>
      <w:r>
        <w:rPr>
          <w:rFonts w:hint="cs"/>
          <w:vertAlign w:val="superscript"/>
          <w:rtl/>
        </w:rPr>
        <w:t>(</w:t>
      </w:r>
      <w:r>
        <w:rPr>
          <w:rStyle w:val="a7"/>
          <w:rtl/>
        </w:rPr>
        <w:footnoteReference w:id="5412"/>
      </w:r>
      <w:r>
        <w:rPr>
          <w:rFonts w:hint="cs"/>
          <w:vertAlign w:val="superscript"/>
          <w:rtl/>
        </w:rPr>
        <w:t>)</w:t>
      </w:r>
      <w:r>
        <w:rPr>
          <w:rFonts w:hint="cs"/>
          <w:rtl/>
        </w:rPr>
        <w:t xml:space="preserve"> :</w:t>
      </w:r>
    </w:p>
    <w:p w:rsidR="00A66747" w:rsidRDefault="00A66747">
      <w:pPr>
        <w:rPr>
          <w:rtl/>
        </w:rPr>
      </w:pPr>
      <w:r>
        <w:rPr>
          <w:rFonts w:hint="cs"/>
          <w:rtl/>
        </w:rPr>
        <w:lastRenderedPageBreak/>
        <w:t>فإن الشُّيوع يمنع صحةَ الهبة في الابتداء، ولا يمنع</w:t>
      </w:r>
      <w:r>
        <w:rPr>
          <w:rStyle w:val="a7"/>
          <w:rtl/>
        </w:rPr>
        <w:footnoteReference w:id="5413"/>
      </w:r>
      <w:r>
        <w:rPr>
          <w:rFonts w:hint="cs"/>
          <w:rtl/>
        </w:rPr>
        <w:t xml:space="preserve"> في الانتهاء بقاء الهبة.</w:t>
      </w:r>
    </w:p>
    <w:p w:rsidR="00A66747" w:rsidRDefault="00A66747">
      <w:pPr>
        <w:rPr>
          <w:spacing w:val="8"/>
          <w:rtl/>
        </w:rPr>
      </w:pPr>
      <w:r>
        <w:rPr>
          <w:rFonts w:hint="cs"/>
          <w:spacing w:val="8"/>
          <w:rtl/>
        </w:rPr>
        <w:t>فإذا وهب دارًا ورجع في نصفها وشاع بينهما : فالشيوع الطارئ لا يمنع بقاء الهبة</w:t>
      </w:r>
      <w:r>
        <w:rPr>
          <w:rFonts w:hint="cs"/>
          <w:spacing w:val="8"/>
          <w:vertAlign w:val="superscript"/>
          <w:rtl/>
        </w:rPr>
        <w:t>(</w:t>
      </w:r>
      <w:r>
        <w:rPr>
          <w:rStyle w:val="a7"/>
          <w:spacing w:val="8"/>
          <w:rtl/>
        </w:rPr>
        <w:footnoteReference w:id="5414"/>
      </w:r>
      <w:r>
        <w:rPr>
          <w:rFonts w:hint="cs"/>
          <w:spacing w:val="8"/>
          <w:vertAlign w:val="superscript"/>
          <w:rtl/>
        </w:rPr>
        <w:t>)</w:t>
      </w:r>
      <w:r>
        <w:rPr>
          <w:rFonts w:hint="cs"/>
          <w:spacing w:val="8"/>
          <w:rtl/>
        </w:rPr>
        <w:t>.</w:t>
      </w:r>
    </w:p>
    <w:p w:rsidR="00A66747" w:rsidRDefault="00A66747">
      <w:pPr>
        <w:rPr>
          <w:rtl/>
        </w:rPr>
      </w:pPr>
      <w:r>
        <w:rPr>
          <w:rFonts w:hint="cs"/>
          <w:b/>
          <w:bCs/>
          <w:rtl/>
        </w:rPr>
        <w:t>وخرج</w:t>
      </w:r>
      <w:r>
        <w:rPr>
          <w:rFonts w:hint="cs"/>
          <w:rtl/>
        </w:rPr>
        <w:t xml:space="preserve"> عن</w:t>
      </w:r>
      <w:r>
        <w:rPr>
          <w:rStyle w:val="a7"/>
          <w:rtl/>
        </w:rPr>
        <w:footnoteReference w:id="5415"/>
      </w:r>
      <w:r>
        <w:rPr>
          <w:rFonts w:hint="cs"/>
          <w:rtl/>
        </w:rPr>
        <w:t xml:space="preserve"> هذا الأصل مسألتان :</w:t>
      </w:r>
    </w:p>
    <w:p w:rsidR="00A66747" w:rsidRDefault="00A66747">
      <w:pPr>
        <w:rPr>
          <w:rtl/>
        </w:rPr>
      </w:pPr>
      <w:r>
        <w:rPr>
          <w:rFonts w:hint="cs"/>
          <w:b/>
          <w:bCs/>
          <w:rtl/>
        </w:rPr>
        <w:t>الأولى</w:t>
      </w:r>
      <w:r>
        <w:rPr>
          <w:rFonts w:hint="cs"/>
          <w:rtl/>
        </w:rPr>
        <w:t xml:space="preserve"> : يصحّ</w:t>
      </w:r>
      <w:r>
        <w:rPr>
          <w:rStyle w:val="a7"/>
          <w:rtl/>
        </w:rPr>
        <w:footnoteReference w:id="5416"/>
      </w:r>
      <w:r>
        <w:rPr>
          <w:rFonts w:hint="cs"/>
          <w:rtl/>
        </w:rPr>
        <w:t xml:space="preserve"> تقليدُ القضاءِ الفاسقَ</w:t>
      </w:r>
      <w:r>
        <w:rPr>
          <w:rStyle w:val="a7"/>
          <w:rtl/>
        </w:rPr>
        <w:footnoteReference w:id="5417"/>
      </w:r>
      <w:r>
        <w:rPr>
          <w:rFonts w:hint="cs"/>
          <w:rtl/>
        </w:rPr>
        <w:t xml:space="preserve"> ابتداءً، وفُسْقُهُ لا يمنع التقليد. ولو كان عدلاً ففسق يُمنع</w:t>
      </w:r>
      <w:r>
        <w:rPr>
          <w:rStyle w:val="a7"/>
          <w:rtl/>
        </w:rPr>
        <w:footnoteReference w:id="5418"/>
      </w:r>
      <w:r>
        <w:rPr>
          <w:rFonts w:hint="cs"/>
          <w:rtl/>
        </w:rPr>
        <w:t xml:space="preserve"> بقاؤه في الأصح.</w:t>
      </w:r>
    </w:p>
    <w:p w:rsidR="00A66747" w:rsidRDefault="00A66747">
      <w:pPr>
        <w:rPr>
          <w:rtl/>
        </w:rPr>
      </w:pPr>
      <w:r>
        <w:rPr>
          <w:rFonts w:hint="cs"/>
          <w:b/>
          <w:bCs/>
          <w:rtl/>
        </w:rPr>
        <w:t>والثانية</w:t>
      </w:r>
      <w:r>
        <w:rPr>
          <w:rStyle w:val="a7"/>
          <w:rtl/>
        </w:rPr>
        <w:footnoteReference w:id="5419"/>
      </w:r>
      <w:r>
        <w:rPr>
          <w:rFonts w:hint="cs"/>
          <w:rtl/>
        </w:rPr>
        <w:t xml:space="preserve"> : يصحّ إذن الآبق ابتداء، ولا يمنع صحة الإذن. ولو أبق العبد يمنع بقاء الإذن</w:t>
      </w:r>
      <w:r>
        <w:rPr>
          <w:rStyle w:val="a7"/>
          <w:rtl/>
        </w:rPr>
        <w:footnoteReference w:id="5420"/>
      </w:r>
      <w:r>
        <w:rPr>
          <w:rFonts w:hint="cs"/>
          <w:rtl/>
        </w:rPr>
        <w:t>. فالحجر على خلاف مقتضى هذا الأصل!</w:t>
      </w:r>
      <w:r>
        <w:rPr>
          <w:rFonts w:hint="cs"/>
          <w:vertAlign w:val="superscript"/>
          <w:rtl/>
        </w:rPr>
        <w:t>(</w:t>
      </w:r>
      <w:r>
        <w:rPr>
          <w:rStyle w:val="a7"/>
          <w:rtl/>
        </w:rPr>
        <w:footnoteReference w:id="5421"/>
      </w:r>
      <w:r>
        <w:rPr>
          <w:rFonts w:hint="cs"/>
          <w:vertAlign w:val="superscript"/>
          <w:rtl/>
        </w:rPr>
        <w:t>)</w:t>
      </w:r>
      <w:r>
        <w:rPr>
          <w:rFonts w:hint="cs"/>
          <w:rtl/>
        </w:rPr>
        <w:t>.</w:t>
      </w:r>
    </w:p>
    <w:p w:rsidR="00A66747" w:rsidRDefault="00A66747">
      <w:pPr>
        <w:rPr>
          <w:spacing w:val="-6"/>
          <w:rtl/>
        </w:rPr>
      </w:pPr>
      <w:r>
        <w:rPr>
          <w:rFonts w:hint="cs"/>
          <w:b/>
          <w:bCs/>
          <w:spacing w:val="-6"/>
          <w:rtl/>
        </w:rPr>
        <w:t>والجواب</w:t>
      </w:r>
      <w:r>
        <w:rPr>
          <w:rFonts w:hint="cs"/>
          <w:spacing w:val="-6"/>
          <w:rtl/>
        </w:rPr>
        <w:t xml:space="preserve"> : أن التقليد والإذن مع العدالة والإطاعة [يتضمنان]</w:t>
      </w:r>
      <w:r>
        <w:rPr>
          <w:rStyle w:val="a7"/>
          <w:spacing w:val="-6"/>
          <w:rtl/>
        </w:rPr>
        <w:footnoteReference w:id="5422"/>
      </w:r>
      <w:r>
        <w:rPr>
          <w:rFonts w:hint="cs"/>
          <w:spacing w:val="-6"/>
          <w:rtl/>
        </w:rPr>
        <w:t xml:space="preserve"> شرط العدالة </w:t>
      </w:r>
      <w:r>
        <w:rPr>
          <w:rFonts w:hint="cs"/>
          <w:spacing w:val="-6"/>
          <w:rtl/>
        </w:rPr>
        <w:lastRenderedPageBreak/>
        <w:t>والإطاعة، فكأنه</w:t>
      </w:r>
      <w:r>
        <w:rPr>
          <w:rStyle w:val="a7"/>
          <w:spacing w:val="-6"/>
          <w:rtl/>
        </w:rPr>
        <w:footnoteReference w:id="5423"/>
      </w:r>
      <w:r>
        <w:rPr>
          <w:rFonts w:hint="cs"/>
          <w:spacing w:val="-6"/>
          <w:rtl/>
        </w:rPr>
        <w:t xml:space="preserve"> كان التقليد والإذن</w:t>
      </w:r>
      <w:r>
        <w:rPr>
          <w:rStyle w:val="a7"/>
          <w:spacing w:val="-6"/>
          <w:rtl/>
        </w:rPr>
        <w:footnoteReference w:id="5424"/>
      </w:r>
      <w:r>
        <w:rPr>
          <w:rFonts w:hint="cs"/>
          <w:spacing w:val="-6"/>
          <w:rtl/>
        </w:rPr>
        <w:t xml:space="preserve"> معلّقًا بالشرط، والمعلّق بالشرط</w:t>
      </w:r>
      <w:r>
        <w:rPr>
          <w:rStyle w:val="a7"/>
          <w:spacing w:val="-6"/>
          <w:rtl/>
        </w:rPr>
        <w:footnoteReference w:id="5425"/>
      </w:r>
      <w:r>
        <w:rPr>
          <w:rFonts w:hint="cs"/>
          <w:spacing w:val="-6"/>
          <w:rtl/>
        </w:rPr>
        <w:t xml:space="preserve"> ينتفي بانتفائه.</w:t>
      </w:r>
    </w:p>
    <w:p w:rsidR="00A66747" w:rsidRPr="005A3AD7" w:rsidRDefault="00A66747" w:rsidP="00F0471F">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jc w:val="center"/>
        <w:rPr>
          <w:rtl/>
        </w:rPr>
        <w:sectPr w:rsidR="00A66747" w:rsidSect="001C01FA">
          <w:headerReference w:type="default" r:id="rId325"/>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401C28" w:rsidRDefault="00A66747">
      <w:pPr>
        <w:pStyle w:val="a9"/>
        <w:rPr>
          <w:rFonts w:cs="AL-Mateen"/>
          <w:rtl/>
        </w:rPr>
      </w:pPr>
      <w:r w:rsidRPr="00401C28">
        <w:rPr>
          <w:rFonts w:cs="AL-Mateen" w:hint="cs"/>
          <w:rtl/>
        </w:rPr>
        <w:lastRenderedPageBreak/>
        <w:t>[ الـقـاعـدة الـرابـعـة والـسـتـون بـعـد الـمـائـتـيـن ]</w:t>
      </w:r>
    </w:p>
    <w:p w:rsidR="00A66747" w:rsidRDefault="00A66747">
      <w:pPr>
        <w:rPr>
          <w:rtl/>
        </w:rPr>
      </w:pPr>
      <w:r>
        <w:rPr>
          <w:rFonts w:cs="Monotype Koufi" w:hint="cs"/>
          <w:rtl/>
        </w:rPr>
        <w:t>َيلْزَمُ مُرَاعَاةُ الشَّرْطِ بِقَدْرِ الإمْكَانِ</w:t>
      </w:r>
      <w:r>
        <w:rPr>
          <w:rFonts w:hint="cs"/>
          <w:vertAlign w:val="superscript"/>
          <w:rtl/>
        </w:rPr>
        <w:t>(</w:t>
      </w:r>
      <w:r>
        <w:rPr>
          <w:rStyle w:val="a7"/>
          <w:rtl/>
        </w:rPr>
        <w:footnoteReference w:id="5426"/>
      </w:r>
      <w:r>
        <w:rPr>
          <w:rFonts w:hint="cs"/>
          <w:vertAlign w:val="superscript"/>
          <w:rtl/>
        </w:rPr>
        <w:t>)</w:t>
      </w:r>
      <w:r>
        <w:rPr>
          <w:rFonts w:hint="cs"/>
          <w:rtl/>
        </w:rPr>
        <w:t xml:space="preserve"> :</w:t>
      </w:r>
    </w:p>
    <w:p w:rsidR="00A66747" w:rsidRDefault="00A66747">
      <w:pPr>
        <w:rPr>
          <w:spacing w:val="-6"/>
          <w:rtl/>
        </w:rPr>
      </w:pPr>
      <w:r>
        <w:rPr>
          <w:rFonts w:hint="cs"/>
          <w:b/>
          <w:bCs/>
          <w:rtl/>
        </w:rPr>
        <w:lastRenderedPageBreak/>
        <w:t xml:space="preserve">ولهذا </w:t>
      </w:r>
      <w:r>
        <w:rPr>
          <w:rFonts w:hint="cs"/>
          <w:rtl/>
        </w:rPr>
        <w:t xml:space="preserve">: لو </w:t>
      </w:r>
      <w:r>
        <w:rPr>
          <w:rFonts w:hint="eastAsia"/>
          <w:rtl/>
        </w:rPr>
        <w:t>«</w:t>
      </w:r>
      <w:r>
        <w:rPr>
          <w:rFonts w:hint="cs"/>
          <w:rtl/>
        </w:rPr>
        <w:t>أودع رجلاً</w:t>
      </w:r>
      <w:r>
        <w:rPr>
          <w:rFonts w:hint="cs"/>
          <w:spacing w:val="-6"/>
          <w:rtl/>
        </w:rPr>
        <w:t xml:space="preserve"> وديعة</w:t>
      </w:r>
      <w:r>
        <w:rPr>
          <w:rStyle w:val="a7"/>
          <w:spacing w:val="-6"/>
          <w:rtl/>
        </w:rPr>
        <w:footnoteReference w:id="5427"/>
      </w:r>
      <w:r>
        <w:rPr>
          <w:rFonts w:hint="cs"/>
          <w:spacing w:val="-6"/>
          <w:rtl/>
        </w:rPr>
        <w:t>، وقال : لا تدفعها إلى امرأتك وعبدك وأخيك وولدك وأجيرك (وهم في عياله)</w:t>
      </w:r>
      <w:r>
        <w:rPr>
          <w:rFonts w:hint="cs"/>
          <w:spacing w:val="-6"/>
          <w:vertAlign w:val="superscript"/>
          <w:rtl/>
        </w:rPr>
        <w:t>(</w:t>
      </w:r>
      <w:r>
        <w:rPr>
          <w:rStyle w:val="a7"/>
          <w:spacing w:val="-6"/>
          <w:rtl/>
        </w:rPr>
        <w:footnoteReference w:id="5428"/>
      </w:r>
      <w:r>
        <w:rPr>
          <w:rFonts w:hint="cs"/>
          <w:spacing w:val="-6"/>
          <w:vertAlign w:val="superscript"/>
          <w:rtl/>
        </w:rPr>
        <w:t>)</w:t>
      </w:r>
      <w:r>
        <w:rPr>
          <w:rFonts w:hint="cs"/>
          <w:spacing w:val="-6"/>
          <w:rtl/>
        </w:rPr>
        <w:t>. [فدفعها]</w:t>
      </w:r>
      <w:r>
        <w:rPr>
          <w:rStyle w:val="a7"/>
          <w:spacing w:val="-6"/>
          <w:rtl/>
        </w:rPr>
        <w:footnoteReference w:id="5429"/>
      </w:r>
      <w:r>
        <w:rPr>
          <w:rFonts w:hint="cs"/>
          <w:spacing w:val="-6"/>
          <w:rtl/>
        </w:rPr>
        <w:t xml:space="preserve"> إلى واحد منهم : فإن يجد [بدًّا]</w:t>
      </w:r>
      <w:r>
        <w:rPr>
          <w:rStyle w:val="a7"/>
          <w:spacing w:val="-6"/>
          <w:rtl/>
        </w:rPr>
        <w:footnoteReference w:id="5430"/>
      </w:r>
      <w:r>
        <w:rPr>
          <w:rFonts w:hint="cs"/>
          <w:spacing w:val="-6"/>
          <w:vertAlign w:val="superscript"/>
          <w:rtl/>
        </w:rPr>
        <w:t>(</w:t>
      </w:r>
      <w:r>
        <w:rPr>
          <w:rStyle w:val="a7"/>
          <w:spacing w:val="-6"/>
          <w:rtl/>
        </w:rPr>
        <w:footnoteReference w:id="5431"/>
      </w:r>
      <w:r>
        <w:rPr>
          <w:rFonts w:hint="cs"/>
          <w:spacing w:val="-6"/>
          <w:vertAlign w:val="superscript"/>
          <w:rtl/>
        </w:rPr>
        <w:t>)</w:t>
      </w:r>
      <w:r>
        <w:rPr>
          <w:rFonts w:hint="cs"/>
          <w:spacing w:val="-6"/>
          <w:rtl/>
        </w:rPr>
        <w:t xml:space="preserve"> من </w:t>
      </w:r>
      <w:r>
        <w:rPr>
          <w:rFonts w:hint="cs"/>
          <w:spacing w:val="-6"/>
          <w:rtl/>
        </w:rPr>
        <w:lastRenderedPageBreak/>
        <w:t>الدفع إليه، بأن كان له سواه</w:t>
      </w:r>
      <w:r>
        <w:rPr>
          <w:rFonts w:hint="cs"/>
          <w:spacing w:val="-6"/>
          <w:vertAlign w:val="superscript"/>
          <w:rtl/>
        </w:rPr>
        <w:t>(</w:t>
      </w:r>
      <w:r>
        <w:rPr>
          <w:rStyle w:val="a7"/>
          <w:spacing w:val="-6"/>
          <w:rtl/>
        </w:rPr>
        <w:footnoteReference w:id="5432"/>
      </w:r>
      <w:r>
        <w:rPr>
          <w:rFonts w:hint="cs"/>
          <w:spacing w:val="-6"/>
          <w:vertAlign w:val="superscript"/>
          <w:rtl/>
        </w:rPr>
        <w:t>)</w:t>
      </w:r>
      <w:r>
        <w:rPr>
          <w:rFonts w:hint="cs"/>
          <w:spacing w:val="-6"/>
          <w:rtl/>
        </w:rPr>
        <w:t xml:space="preserve"> أهلٌ وخدمٌ : فهو</w:t>
      </w:r>
      <w:r>
        <w:rPr>
          <w:rStyle w:val="a7"/>
          <w:spacing w:val="-6"/>
          <w:rtl/>
        </w:rPr>
        <w:footnoteReference w:id="5433"/>
      </w:r>
      <w:r>
        <w:rPr>
          <w:rFonts w:hint="cs"/>
          <w:spacing w:val="-6"/>
          <w:rtl/>
        </w:rPr>
        <w:t xml:space="preserve"> ضامن. وإلاّ : لم يضمن؛ لأن هذا الشرط مقيِّدٌ</w:t>
      </w:r>
      <w:r>
        <w:rPr>
          <w:rFonts w:hint="cs"/>
          <w:spacing w:val="-6"/>
          <w:vertAlign w:val="superscript"/>
          <w:rtl/>
        </w:rPr>
        <w:t>(</w:t>
      </w:r>
      <w:r>
        <w:rPr>
          <w:rStyle w:val="a7"/>
          <w:spacing w:val="-6"/>
          <w:rtl/>
        </w:rPr>
        <w:footnoteReference w:id="5434"/>
      </w:r>
      <w:r>
        <w:rPr>
          <w:rFonts w:hint="cs"/>
          <w:spacing w:val="-6"/>
          <w:vertAlign w:val="superscript"/>
          <w:rtl/>
        </w:rPr>
        <w:t>)</w:t>
      </w:r>
      <w:r>
        <w:rPr>
          <w:rFonts w:hint="cs"/>
          <w:spacing w:val="-6"/>
          <w:rtl/>
        </w:rPr>
        <w:t>، وقد يأمن</w:t>
      </w:r>
      <w:r>
        <w:rPr>
          <w:rStyle w:val="a7"/>
          <w:spacing w:val="-6"/>
          <w:rtl/>
        </w:rPr>
        <w:footnoteReference w:id="5435"/>
      </w:r>
      <w:r>
        <w:rPr>
          <w:rFonts w:hint="cs"/>
          <w:spacing w:val="-6"/>
          <w:rtl/>
        </w:rPr>
        <w:t xml:space="preserve"> الرجلَ على المال ولا يأتمن</w:t>
      </w:r>
      <w:r>
        <w:rPr>
          <w:rStyle w:val="a7"/>
          <w:spacing w:val="-6"/>
          <w:rtl/>
        </w:rPr>
        <w:footnoteReference w:id="5436"/>
      </w:r>
      <w:r>
        <w:rPr>
          <w:rFonts w:hint="cs"/>
          <w:spacing w:val="-6"/>
          <w:rtl/>
        </w:rPr>
        <w:t xml:space="preserve"> عياله، فإذا يجد [بدًّا]</w:t>
      </w:r>
      <w:r>
        <w:rPr>
          <w:rStyle w:val="a7"/>
          <w:spacing w:val="-6"/>
          <w:rtl/>
        </w:rPr>
        <w:footnoteReference w:id="5437"/>
      </w:r>
      <w:r>
        <w:rPr>
          <w:rFonts w:hint="cs"/>
          <w:spacing w:val="-6"/>
          <w:rtl/>
        </w:rPr>
        <w:t xml:space="preserve"> من الدفع إلى من نهى عنه، وهو متمكِّن من حفظها على الوجه المأمور به : فيضمن لحفظها</w:t>
      </w:r>
      <w:r>
        <w:rPr>
          <w:rFonts w:hint="cs"/>
          <w:spacing w:val="-6"/>
          <w:vertAlign w:val="superscript"/>
          <w:rtl/>
        </w:rPr>
        <w:t>(</w:t>
      </w:r>
      <w:r>
        <w:rPr>
          <w:rStyle w:val="a7"/>
          <w:spacing w:val="-6"/>
          <w:rtl/>
        </w:rPr>
        <w:footnoteReference w:id="5438"/>
      </w:r>
      <w:r>
        <w:rPr>
          <w:rFonts w:hint="cs"/>
          <w:spacing w:val="-6"/>
          <w:vertAlign w:val="superscript"/>
          <w:rtl/>
        </w:rPr>
        <w:t>)</w:t>
      </w:r>
      <w:r>
        <w:rPr>
          <w:rFonts w:hint="cs"/>
          <w:spacing w:val="-6"/>
          <w:rtl/>
        </w:rPr>
        <w:t xml:space="preserve"> على الوجه [المنهي]</w:t>
      </w:r>
      <w:r>
        <w:rPr>
          <w:rStyle w:val="a7"/>
          <w:spacing w:val="-6"/>
          <w:rtl/>
        </w:rPr>
        <w:footnoteReference w:id="5439"/>
      </w:r>
      <w:r>
        <w:rPr>
          <w:rFonts w:hint="cs"/>
          <w:spacing w:val="-6"/>
          <w:rtl/>
        </w:rPr>
        <w:t xml:space="preserve"> عنه. وإن كان لا يجد [بدًّا]</w:t>
      </w:r>
      <w:r>
        <w:rPr>
          <w:rStyle w:val="a7"/>
          <w:spacing w:val="-6"/>
          <w:rtl/>
        </w:rPr>
        <w:footnoteReference w:id="5440"/>
      </w:r>
      <w:r>
        <w:rPr>
          <w:rFonts w:hint="cs"/>
          <w:spacing w:val="-6"/>
          <w:rtl/>
        </w:rPr>
        <w:t>: لم يضمن؛ إذْ لا يمكن</w:t>
      </w:r>
      <w:r>
        <w:rPr>
          <w:rFonts w:hint="cs"/>
          <w:spacing w:val="-6"/>
          <w:vertAlign w:val="superscript"/>
          <w:rtl/>
        </w:rPr>
        <w:t>(</w:t>
      </w:r>
      <w:r>
        <w:rPr>
          <w:rStyle w:val="a7"/>
          <w:spacing w:val="-6"/>
          <w:rtl/>
        </w:rPr>
        <w:footnoteReference w:id="5441"/>
      </w:r>
      <w:r>
        <w:rPr>
          <w:rFonts w:hint="cs"/>
          <w:spacing w:val="-6"/>
          <w:vertAlign w:val="superscript"/>
          <w:rtl/>
        </w:rPr>
        <w:t>)</w:t>
      </w:r>
      <w:r>
        <w:rPr>
          <w:rFonts w:hint="cs"/>
          <w:spacing w:val="-6"/>
          <w:rtl/>
        </w:rPr>
        <w:t xml:space="preserve"> الحفظ إلاّ به، فلا يمكن العمل به</w:t>
      </w:r>
      <w:r>
        <w:rPr>
          <w:rFonts w:hint="cs"/>
          <w:spacing w:val="-6"/>
          <w:vertAlign w:val="superscript"/>
          <w:rtl/>
        </w:rPr>
        <w:t>(</w:t>
      </w:r>
      <w:r>
        <w:rPr>
          <w:rStyle w:val="a7"/>
          <w:spacing w:val="-6"/>
          <w:rtl/>
        </w:rPr>
        <w:footnoteReference w:id="5442"/>
      </w:r>
      <w:r>
        <w:rPr>
          <w:rFonts w:hint="cs"/>
          <w:spacing w:val="-6"/>
          <w:vertAlign w:val="superscript"/>
          <w:rtl/>
        </w:rPr>
        <w:t>)</w:t>
      </w:r>
      <w:r>
        <w:rPr>
          <w:rFonts w:hint="cs"/>
          <w:spacing w:val="-6"/>
          <w:rtl/>
        </w:rPr>
        <w:t xml:space="preserve"> مع مراعاة هذا الشرط، فلم يعتبر </w:t>
      </w:r>
      <w:r>
        <w:rPr>
          <w:rFonts w:hint="cs"/>
          <w:spacing w:val="-6"/>
          <w:rtl/>
        </w:rPr>
        <w:lastRenderedPageBreak/>
        <w:t>التقييد، فبطل، فصار كأنَّه قال: لا يُحـفـظ</w:t>
      </w:r>
      <w:r>
        <w:rPr>
          <w:rFonts w:hint="cs"/>
          <w:spacing w:val="-6"/>
          <w:vertAlign w:val="superscript"/>
          <w:rtl/>
        </w:rPr>
        <w:t>(</w:t>
      </w:r>
      <w:r>
        <w:rPr>
          <w:rStyle w:val="a7"/>
          <w:spacing w:val="-6"/>
          <w:rtl/>
        </w:rPr>
        <w:footnoteReference w:id="5443"/>
      </w:r>
      <w:r>
        <w:rPr>
          <w:rFonts w:hint="cs"/>
          <w:spacing w:val="-6"/>
          <w:vertAlign w:val="superscript"/>
          <w:rtl/>
        </w:rPr>
        <w:t>)</w:t>
      </w:r>
      <w:r>
        <w:rPr>
          <w:rFonts w:hint="cs"/>
          <w:spacing w:val="-6"/>
          <w:rtl/>
        </w:rPr>
        <w:t xml:space="preserve"> فصار مناقضا</w:t>
      </w:r>
      <w:r>
        <w:rPr>
          <w:rStyle w:val="a7"/>
          <w:spacing w:val="-6"/>
          <w:rtl/>
        </w:rPr>
        <w:footnoteReference w:id="5444"/>
      </w:r>
      <w:r>
        <w:rPr>
          <w:rFonts w:hint="cs"/>
          <w:spacing w:val="-6"/>
          <w:rtl/>
        </w:rPr>
        <w:t xml:space="preserve"> لأصله</w:t>
      </w:r>
      <w:r>
        <w:rPr>
          <w:rFonts w:hint="eastAsia"/>
          <w:spacing w:val="-6"/>
          <w:rtl/>
        </w:rPr>
        <w:t>»</w:t>
      </w:r>
      <w:r>
        <w:rPr>
          <w:rFonts w:hint="cs"/>
          <w:spacing w:val="-6"/>
          <w:vertAlign w:val="superscript"/>
          <w:rtl/>
        </w:rPr>
        <w:t>(</w:t>
      </w:r>
      <w:r>
        <w:rPr>
          <w:rStyle w:val="a7"/>
          <w:spacing w:val="-6"/>
          <w:rtl/>
        </w:rPr>
        <w:footnoteReference w:id="5445"/>
      </w:r>
      <w:r>
        <w:rPr>
          <w:rFonts w:hint="cs"/>
          <w:spacing w:val="-6"/>
          <w:vertAlign w:val="superscript"/>
          <w:rtl/>
        </w:rPr>
        <w:t>)</w:t>
      </w:r>
      <w:r>
        <w:rPr>
          <w:rFonts w:hint="cs"/>
          <w:spacing w:val="-6"/>
          <w:rtl/>
        </w:rPr>
        <w:t>، كما إذا دفع</w:t>
      </w:r>
      <w:r>
        <w:rPr>
          <w:rFonts w:hint="cs"/>
          <w:spacing w:val="-6"/>
          <w:vertAlign w:val="superscript"/>
          <w:rtl/>
        </w:rPr>
        <w:t>(</w:t>
      </w:r>
      <w:r>
        <w:rPr>
          <w:rStyle w:val="a7"/>
          <w:spacing w:val="-6"/>
          <w:rtl/>
        </w:rPr>
        <w:footnoteReference w:id="5446"/>
      </w:r>
      <w:r>
        <w:rPr>
          <w:rFonts w:hint="cs"/>
          <w:spacing w:val="-6"/>
          <w:vertAlign w:val="superscript"/>
          <w:rtl/>
        </w:rPr>
        <w:t>)</w:t>
      </w:r>
      <w:r>
        <w:rPr>
          <w:rFonts w:hint="cs"/>
          <w:spacing w:val="-6"/>
          <w:rtl/>
        </w:rPr>
        <w:t xml:space="preserve"> الدابةَ إلى عبده، وما يحفظ</w:t>
      </w:r>
      <w:r>
        <w:rPr>
          <w:rStyle w:val="a7"/>
          <w:spacing w:val="-6"/>
          <w:rtl/>
        </w:rPr>
        <w:footnoteReference w:id="5447"/>
      </w:r>
      <w:r>
        <w:rPr>
          <w:rFonts w:hint="cs"/>
          <w:spacing w:val="-6"/>
          <w:rtl/>
        </w:rPr>
        <w:t xml:space="preserve"> النساءُ إلى عرسه</w:t>
      </w:r>
      <w:r>
        <w:rPr>
          <w:rFonts w:hint="cs"/>
          <w:spacing w:val="-6"/>
          <w:vertAlign w:val="superscript"/>
          <w:rtl/>
        </w:rPr>
        <w:t>(</w:t>
      </w:r>
      <w:r>
        <w:rPr>
          <w:rStyle w:val="a7"/>
          <w:spacing w:val="-6"/>
          <w:rtl/>
        </w:rPr>
        <w:footnoteReference w:id="5448"/>
      </w:r>
      <w:r>
        <w:rPr>
          <w:rFonts w:hint="cs"/>
          <w:spacing w:val="-6"/>
          <w:vertAlign w:val="superscript"/>
          <w:rtl/>
        </w:rPr>
        <w:t>)</w:t>
      </w:r>
      <w:r>
        <w:rPr>
          <w:rFonts w:hint="cs"/>
          <w:spacing w:val="-6"/>
          <w:rtl/>
        </w:rPr>
        <w:t>، فإنّه لا يجد [بدًّا]</w:t>
      </w:r>
      <w:r>
        <w:rPr>
          <w:rStyle w:val="a7"/>
          <w:spacing w:val="-6"/>
          <w:rtl/>
        </w:rPr>
        <w:footnoteReference w:id="5449"/>
      </w:r>
      <w:r>
        <w:rPr>
          <w:rFonts w:hint="cs"/>
          <w:spacing w:val="-6"/>
          <w:rtl/>
        </w:rPr>
        <w:t xml:space="preserve"> من الدّفع إليهما : فلا يضمن</w:t>
      </w:r>
      <w:r>
        <w:rPr>
          <w:rFonts w:hint="cs"/>
          <w:spacing w:val="-6"/>
          <w:vertAlign w:val="superscript"/>
          <w:rtl/>
        </w:rPr>
        <w:t>(</w:t>
      </w:r>
      <w:r>
        <w:rPr>
          <w:rStyle w:val="a7"/>
          <w:spacing w:val="-6"/>
          <w:rtl/>
        </w:rPr>
        <w:footnoteReference w:id="5450"/>
      </w:r>
      <w:r>
        <w:rPr>
          <w:rFonts w:hint="cs"/>
          <w:spacing w:val="-6"/>
          <w:vertAlign w:val="superscript"/>
          <w:rtl/>
        </w:rPr>
        <w:t>)</w:t>
      </w:r>
      <w:r>
        <w:rPr>
          <w:rFonts w:hint="cs"/>
          <w:spacing w:val="-6"/>
          <w:rtl/>
        </w:rPr>
        <w:t>.</w:t>
      </w:r>
    </w:p>
    <w:p w:rsidR="00A66747" w:rsidRDefault="00A66747">
      <w:pPr>
        <w:rPr>
          <w:rtl/>
        </w:rPr>
      </w:pPr>
    </w:p>
    <w:p w:rsidR="00A66747" w:rsidRDefault="00A66747">
      <w:pPr>
        <w:rPr>
          <w:rtl/>
        </w:rPr>
      </w:pPr>
    </w:p>
    <w:p w:rsidR="00A66747" w:rsidRDefault="00A66747">
      <w:pPr>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rPr>
          <w:rtl/>
        </w:rPr>
        <w:sectPr w:rsidR="00A66747" w:rsidSect="001C01FA">
          <w:headerReference w:type="default" r:id="rId326"/>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EB79FC" w:rsidRDefault="00A66747">
      <w:pPr>
        <w:pStyle w:val="a9"/>
        <w:rPr>
          <w:rFonts w:cs="AL-Mateen"/>
          <w:rtl/>
        </w:rPr>
      </w:pPr>
      <w:r w:rsidRPr="00EB79FC">
        <w:rPr>
          <w:rFonts w:cs="AL-Mateen" w:hint="cs"/>
          <w:rtl/>
        </w:rPr>
        <w:lastRenderedPageBreak/>
        <w:t>[ الـقـاعـدة الـخـامـسـة والـسـتـون بـعـد الـمـائـتـيـن ]</w:t>
      </w:r>
    </w:p>
    <w:p w:rsidR="00A66747" w:rsidRDefault="00A66747">
      <w:pPr>
        <w:rPr>
          <w:rtl/>
        </w:rPr>
      </w:pPr>
      <w:r>
        <w:rPr>
          <w:rFonts w:cs="Monotype Koufi" w:hint="cs"/>
          <w:rtl/>
        </w:rPr>
        <w:t>اليَمِينُ أَبَدًا يَكُونُ عَلَى النَّفْيِ</w:t>
      </w:r>
      <w:r>
        <w:rPr>
          <w:rFonts w:hint="cs"/>
          <w:vertAlign w:val="superscript"/>
          <w:rtl/>
        </w:rPr>
        <w:t>(</w:t>
      </w:r>
      <w:r>
        <w:rPr>
          <w:rStyle w:val="a7"/>
          <w:rtl/>
        </w:rPr>
        <w:footnoteReference w:id="5451"/>
      </w:r>
      <w:r>
        <w:rPr>
          <w:rFonts w:hint="cs"/>
          <w:vertAlign w:val="superscript"/>
          <w:rtl/>
        </w:rPr>
        <w:t>)</w:t>
      </w:r>
      <w:r>
        <w:rPr>
          <w:rFonts w:hint="cs"/>
          <w:rtl/>
        </w:rPr>
        <w:t xml:space="preserve"> :</w:t>
      </w:r>
    </w:p>
    <w:p w:rsidR="00A66747" w:rsidRDefault="00A66747">
      <w:pPr>
        <w:rPr>
          <w:rtl/>
        </w:rPr>
      </w:pPr>
      <w:r>
        <w:rPr>
          <w:rFonts w:hint="cs"/>
          <w:b/>
          <w:bCs/>
          <w:rtl/>
        </w:rPr>
        <w:t>وخرج</w:t>
      </w:r>
      <w:r>
        <w:rPr>
          <w:rFonts w:hint="cs"/>
          <w:rtl/>
        </w:rPr>
        <w:t xml:space="preserve"> عن هذا الأصل</w:t>
      </w:r>
      <w:r>
        <w:rPr>
          <w:rStyle w:val="a7"/>
          <w:rtl/>
        </w:rPr>
        <w:footnoteReference w:id="5452"/>
      </w:r>
      <w:r>
        <w:rPr>
          <w:rFonts w:hint="cs"/>
          <w:rtl/>
        </w:rPr>
        <w:t xml:space="preserve"> : </w:t>
      </w:r>
    </w:p>
    <w:p w:rsidR="00A66747" w:rsidRDefault="00A66747">
      <w:pPr>
        <w:rPr>
          <w:rtl/>
        </w:rPr>
      </w:pPr>
      <w:r>
        <w:rPr>
          <w:rFonts w:hint="cs"/>
          <w:rtl/>
        </w:rPr>
        <w:t>-لو ادّعى المودَعُ ردَّ الوديعة، أو هلاكَهَا : يحلَّف المودَع، مع أنه ادعى الرّد، أو الهلاك، فلا يكون يمينه على النفي!.</w:t>
      </w:r>
    </w:p>
    <w:p w:rsidR="00A66747" w:rsidRDefault="00A66747">
      <w:pPr>
        <w:rPr>
          <w:rtl/>
        </w:rPr>
      </w:pPr>
      <w:r>
        <w:rPr>
          <w:rFonts w:hint="cs"/>
          <w:b/>
          <w:bCs/>
          <w:rtl/>
        </w:rPr>
        <w:t>والجواب</w:t>
      </w:r>
      <w:r>
        <w:rPr>
          <w:rFonts w:hint="cs"/>
          <w:rtl/>
        </w:rPr>
        <w:t xml:space="preserve"> : أن المودَعَ أنكرَ لزومَ الرَّدِّ أو الضمانِ، فعلى هذا ينبغي أن يحلّفه</w:t>
      </w:r>
      <w:r>
        <w:rPr>
          <w:rStyle w:val="a7"/>
          <w:rtl/>
        </w:rPr>
        <w:footnoteReference w:id="5453"/>
      </w:r>
      <w:r>
        <w:rPr>
          <w:rFonts w:hint="cs"/>
          <w:rtl/>
        </w:rPr>
        <w:t xml:space="preserve"> القاضي أنّه لا يلزمه الرّد أو الضمان، فيكون يمينه على النفي، ولا يحلّفه أنه ردّه؛ </w:t>
      </w:r>
      <w:r>
        <w:rPr>
          <w:rFonts w:hint="cs"/>
          <w:rtl/>
        </w:rPr>
        <w:lastRenderedPageBreak/>
        <w:t>رعايةً بمعنى</w:t>
      </w:r>
      <w:r>
        <w:rPr>
          <w:rStyle w:val="a7"/>
          <w:rtl/>
        </w:rPr>
        <w:footnoteReference w:id="5454"/>
      </w:r>
      <w:r>
        <w:rPr>
          <w:rFonts w:hint="cs"/>
          <w:rtl/>
        </w:rPr>
        <w:t xml:space="preserve"> هذا الأصل</w:t>
      </w:r>
      <w:r>
        <w:rPr>
          <w:rFonts w:hint="cs"/>
          <w:vertAlign w:val="superscript"/>
          <w:rtl/>
        </w:rPr>
        <w:t>(</w:t>
      </w:r>
      <w:r>
        <w:rPr>
          <w:rStyle w:val="a7"/>
          <w:rtl/>
        </w:rPr>
        <w:footnoteReference w:id="5455"/>
      </w:r>
      <w:r>
        <w:rPr>
          <w:rFonts w:hint="cs"/>
          <w:vertAlign w:val="superscript"/>
          <w:rtl/>
        </w:rPr>
        <w:t>)</w:t>
      </w:r>
      <w:r>
        <w:rPr>
          <w:rFonts w:hint="cs"/>
          <w:rtl/>
        </w:rPr>
        <w:t>.</w:t>
      </w:r>
    </w:p>
    <w:p w:rsidR="00A66747" w:rsidRDefault="00A66747">
      <w:pPr>
        <w:rPr>
          <w:rtl/>
        </w:rPr>
      </w:pPr>
      <w:r>
        <w:rPr>
          <w:rFonts w:hint="cs"/>
          <w:rtl/>
        </w:rPr>
        <w:t>- إذا اختلف المتبايعان في المبيع، فادّعى المشتري أنه اشتراه بمائة، [وادّعى البائع أنه باعه بمائة]</w:t>
      </w:r>
      <w:r>
        <w:rPr>
          <w:rFonts w:hint="cs"/>
          <w:vertAlign w:val="superscript"/>
          <w:rtl/>
        </w:rPr>
        <w:t>(</w:t>
      </w:r>
      <w:r>
        <w:rPr>
          <w:rStyle w:val="a7"/>
          <w:rtl/>
        </w:rPr>
        <w:footnoteReference w:id="5456"/>
      </w:r>
      <w:r>
        <w:rPr>
          <w:rFonts w:hint="cs"/>
          <w:vertAlign w:val="superscript"/>
          <w:rtl/>
        </w:rPr>
        <w:t>)</w:t>
      </w:r>
      <w:r>
        <w:rPr>
          <w:rFonts w:hint="cs"/>
          <w:rtl/>
        </w:rPr>
        <w:t xml:space="preserve"> وخمسين : فمن أقام البيّنة قُضِي له بها.</w:t>
      </w:r>
    </w:p>
    <w:p w:rsidR="00A66747" w:rsidRDefault="00A66747">
      <w:pPr>
        <w:rPr>
          <w:rtl/>
        </w:rPr>
      </w:pPr>
      <w:r>
        <w:rPr>
          <w:rFonts w:hint="cs"/>
          <w:rtl/>
        </w:rPr>
        <w:t>وإن أقاما</w:t>
      </w:r>
      <w:r>
        <w:rPr>
          <w:rFonts w:hint="cs"/>
          <w:vertAlign w:val="superscript"/>
          <w:rtl/>
        </w:rPr>
        <w:t>(</w:t>
      </w:r>
      <w:r>
        <w:rPr>
          <w:rStyle w:val="a7"/>
          <w:rtl/>
        </w:rPr>
        <w:footnoteReference w:id="5457"/>
      </w:r>
      <w:r>
        <w:rPr>
          <w:rFonts w:hint="cs"/>
          <w:vertAlign w:val="superscript"/>
          <w:rtl/>
        </w:rPr>
        <w:t>)</w:t>
      </w:r>
      <w:r>
        <w:rPr>
          <w:rFonts w:hint="cs"/>
          <w:rtl/>
        </w:rPr>
        <w:t xml:space="preserve"> كلّ واحد منهما بيّنة</w:t>
      </w:r>
      <w:r>
        <w:rPr>
          <w:rStyle w:val="a7"/>
          <w:rtl/>
        </w:rPr>
        <w:footnoteReference w:id="5458"/>
      </w:r>
      <w:r>
        <w:rPr>
          <w:rFonts w:hint="cs"/>
          <w:rtl/>
        </w:rPr>
        <w:t xml:space="preserve"> : كانت البيّنة المثبِتة للزيادة أولى</w:t>
      </w:r>
      <w:r>
        <w:rPr>
          <w:rStyle w:val="a7"/>
          <w:rtl/>
        </w:rPr>
        <w:footnoteReference w:id="5459"/>
      </w:r>
      <w:r>
        <w:rPr>
          <w:rFonts w:hint="cs"/>
          <w:rtl/>
        </w:rPr>
        <w:t>.</w:t>
      </w:r>
    </w:p>
    <w:p w:rsidR="00A66747" w:rsidRDefault="00A66747">
      <w:pPr>
        <w:rPr>
          <w:spacing w:val="-6"/>
          <w:rtl/>
        </w:rPr>
      </w:pPr>
      <w:r>
        <w:rPr>
          <w:rFonts w:hint="cs"/>
          <w:spacing w:val="-6"/>
          <w:rtl/>
        </w:rPr>
        <w:t>وإن لم يكن لهما بينة : اسْتَحْلَفَ الحاكمُ كلَّ واحد منهما على دعوى الآخر، فيترادّا</w:t>
      </w:r>
      <w:r>
        <w:rPr>
          <w:rStyle w:val="a7"/>
          <w:spacing w:val="-6"/>
          <w:rtl/>
        </w:rPr>
        <w:footnoteReference w:id="5460"/>
      </w:r>
      <w:r>
        <w:rPr>
          <w:rFonts w:hint="cs"/>
          <w:spacing w:val="-6"/>
          <w:rtl/>
        </w:rPr>
        <w:t>، فإن كان هذا التحالف بعد</w:t>
      </w:r>
      <w:r>
        <w:rPr>
          <w:rStyle w:val="a7"/>
          <w:spacing w:val="-6"/>
          <w:rtl/>
        </w:rPr>
        <w:footnoteReference w:id="5461"/>
      </w:r>
      <w:r>
        <w:rPr>
          <w:rFonts w:hint="cs"/>
          <w:spacing w:val="-6"/>
          <w:rtl/>
        </w:rPr>
        <w:t xml:space="preserve"> القبض خرج عن هذا الأصل؛ لأن القياسَ على هذا الأصل : الاكتفاءُ [بحلف]</w:t>
      </w:r>
      <w:r>
        <w:rPr>
          <w:rStyle w:val="a7"/>
          <w:spacing w:val="-6"/>
          <w:rtl/>
        </w:rPr>
        <w:footnoteReference w:id="5462"/>
      </w:r>
      <w:r>
        <w:rPr>
          <w:rFonts w:hint="cs"/>
          <w:spacing w:val="-6"/>
          <w:rtl/>
        </w:rPr>
        <w:t xml:space="preserve"> المشتري؛ لأن المشتري لا يدّعي شيئًا؛ لأن المبيع سالم له في يده، فبقي دعوى البائع في زيادة الثمن، والمشتري ينكره، فيحلّف على القياس. وأمّا استحلاف البائع : على خلاف القياس؛ لأن حَلِفَهُ لا يكون على النفي</w:t>
      </w:r>
      <w:r>
        <w:rPr>
          <w:rStyle w:val="a7"/>
          <w:spacing w:val="-6"/>
          <w:rtl/>
        </w:rPr>
        <w:footnoteReference w:id="5463"/>
      </w:r>
      <w:r>
        <w:rPr>
          <w:rFonts w:hint="cs"/>
          <w:spacing w:val="-6"/>
          <w:rtl/>
        </w:rPr>
        <w:t>.</w:t>
      </w:r>
    </w:p>
    <w:p w:rsidR="00A66747" w:rsidRDefault="00A66747">
      <w:pPr>
        <w:rPr>
          <w:rtl/>
        </w:rPr>
      </w:pPr>
      <w:r>
        <w:rPr>
          <w:rFonts w:hint="cs"/>
          <w:b/>
          <w:bCs/>
          <w:rtl/>
        </w:rPr>
        <w:lastRenderedPageBreak/>
        <w:t xml:space="preserve">والــجـواب </w:t>
      </w:r>
      <w:r>
        <w:rPr>
          <w:rFonts w:hint="cs"/>
          <w:rtl/>
        </w:rPr>
        <w:t>: هــذا</w:t>
      </w:r>
      <w:r>
        <w:rPr>
          <w:rStyle w:val="a7"/>
          <w:rtl/>
        </w:rPr>
        <w:footnoteReference w:id="5464"/>
      </w:r>
      <w:r>
        <w:rPr>
          <w:rFonts w:hint="cs"/>
          <w:rtl/>
        </w:rPr>
        <w:t xml:space="preserve"> ثــبــت عــلــى خــلاف الــقـيــاس؛ لـــــقــولــه</w:t>
      </w:r>
      <w:r>
        <w:rPr>
          <w:rStyle w:val="a7"/>
          <w:rtl/>
        </w:rPr>
        <w:footnoteReference w:id="5465"/>
      </w:r>
      <w:r>
        <w:rPr>
          <w:rFonts w:hint="cs"/>
          <w:rtl/>
        </w:rPr>
        <w:t xml:space="preserve"> </w:t>
      </w:r>
      <w:r>
        <w:rPr>
          <w:rFonts w:ascii="AGA Arabesque" w:hAnsi="AGA Arabesque"/>
          <w:sz w:val="36"/>
        </w:rPr>
        <w:t></w:t>
      </w:r>
      <w:r>
        <w:rPr>
          <w:rFonts w:ascii="AGA Arabesque" w:hAnsi="AGA Arabesque" w:hint="cs"/>
          <w:sz w:val="36"/>
          <w:rtl/>
        </w:rPr>
        <w:t xml:space="preserve"> :</w:t>
      </w:r>
      <w:r>
        <w:rPr>
          <w:rFonts w:hint="cs"/>
          <w:rtl/>
        </w:rPr>
        <w:t xml:space="preserve">  </w:t>
      </w:r>
      <w:r>
        <w:rPr>
          <w:rFonts w:hint="eastAsia"/>
          <w:rtl/>
        </w:rPr>
        <w:t>«</w:t>
      </w:r>
      <w:r>
        <w:rPr>
          <w:rFonts w:cs="DecoType Naskh" w:hint="cs"/>
          <w:sz w:val="34"/>
          <w:szCs w:val="34"/>
          <w:rtl/>
        </w:rPr>
        <w:t>إذا اخـــتـــلــــف</w:t>
      </w:r>
      <w:r>
        <w:rPr>
          <w:rStyle w:val="a7"/>
          <w:rtl/>
        </w:rPr>
        <w:footnoteReference w:id="5466"/>
      </w:r>
      <w:r>
        <w:rPr>
          <w:rFonts w:cs="DecoType Naskh" w:hint="cs"/>
          <w:sz w:val="34"/>
          <w:szCs w:val="34"/>
          <w:rtl/>
        </w:rPr>
        <w:t xml:space="preserve"> الـمُتَبَايِـعَـانِ</w:t>
      </w:r>
      <w:r>
        <w:rPr>
          <w:rFonts w:cs="DecoType Naskh" w:hint="cs"/>
          <w:rtl/>
        </w:rPr>
        <w:t xml:space="preserve"> </w:t>
      </w:r>
    </w:p>
    <w:p w:rsidR="00A66747" w:rsidRDefault="00A66747">
      <w:pPr>
        <w:ind w:firstLine="0"/>
        <w:rPr>
          <w:spacing w:val="12"/>
          <w:rtl/>
        </w:rPr>
      </w:pPr>
      <w:r>
        <w:rPr>
          <w:rFonts w:cs="DecoType Naskh" w:hint="cs"/>
          <w:sz w:val="36"/>
          <w:rtl/>
        </w:rPr>
        <w:t>والسِّلْعَةُ قَائِمَةٌ بِعَيْنِهَا</w:t>
      </w:r>
      <w:r>
        <w:rPr>
          <w:rStyle w:val="a7"/>
          <w:spacing w:val="12"/>
          <w:rtl/>
        </w:rPr>
        <w:footnoteReference w:id="5467"/>
      </w:r>
      <w:r>
        <w:rPr>
          <w:rFonts w:hint="cs"/>
          <w:spacing w:val="12"/>
          <w:rtl/>
        </w:rPr>
        <w:t xml:space="preserve"> </w:t>
      </w:r>
      <w:r>
        <w:rPr>
          <w:rFonts w:cs="DecoType Naskh" w:hint="cs"/>
          <w:sz w:val="36"/>
          <w:rtl/>
        </w:rPr>
        <w:t>: تحالفَا، وَتَـرَادّا</w:t>
      </w:r>
      <w:r>
        <w:rPr>
          <w:rFonts w:cs="Al-Kharashi 62" w:hint="eastAsia"/>
          <w:spacing w:val="4"/>
          <w:sz w:val="36"/>
          <w:rtl/>
        </w:rPr>
        <w:t>»</w:t>
      </w:r>
      <w:r>
        <w:rPr>
          <w:rFonts w:hint="cs"/>
          <w:spacing w:val="12"/>
          <w:vertAlign w:val="superscript"/>
          <w:rtl/>
        </w:rPr>
        <w:t>(</w:t>
      </w:r>
      <w:r>
        <w:rPr>
          <w:rStyle w:val="a7"/>
          <w:spacing w:val="12"/>
          <w:rtl/>
        </w:rPr>
        <w:footnoteReference w:id="5468"/>
      </w:r>
      <w:r>
        <w:rPr>
          <w:rFonts w:hint="cs"/>
          <w:spacing w:val="12"/>
          <w:vertAlign w:val="superscript"/>
          <w:rtl/>
        </w:rPr>
        <w:t>)</w:t>
      </w:r>
      <w:r>
        <w:rPr>
          <w:rFonts w:hint="cs"/>
          <w:spacing w:val="12"/>
          <w:rtl/>
        </w:rPr>
        <w:t>.</w:t>
      </w:r>
    </w:p>
    <w:p w:rsidR="00A66747" w:rsidRDefault="00A66747">
      <w:pPr>
        <w:rPr>
          <w:rtl/>
        </w:rPr>
      </w:pPr>
      <w:r>
        <w:rPr>
          <w:rFonts w:hint="cs"/>
          <w:rtl/>
        </w:rPr>
        <w:lastRenderedPageBreak/>
        <w:t>فيقتصر</w:t>
      </w:r>
      <w:r>
        <w:rPr>
          <w:rStyle w:val="a7"/>
          <w:rtl/>
        </w:rPr>
        <w:footnoteReference w:id="5469"/>
      </w:r>
      <w:r>
        <w:rPr>
          <w:rFonts w:hint="cs"/>
          <w:rtl/>
        </w:rPr>
        <w:t xml:space="preserve"> على مورده</w:t>
      </w:r>
      <w:r>
        <w:rPr>
          <w:rStyle w:val="a7"/>
          <w:rtl/>
        </w:rPr>
        <w:footnoteReference w:id="5470"/>
      </w:r>
      <w:r>
        <w:rPr>
          <w:rFonts w:hint="cs"/>
          <w:vertAlign w:val="superscript"/>
          <w:rtl/>
        </w:rPr>
        <w:t>(</w:t>
      </w:r>
      <w:r>
        <w:rPr>
          <w:rStyle w:val="a7"/>
          <w:rtl/>
        </w:rPr>
        <w:footnoteReference w:id="5471"/>
      </w:r>
      <w:r>
        <w:rPr>
          <w:rFonts w:hint="cs"/>
          <w:vertAlign w:val="superscript"/>
          <w:rtl/>
        </w:rPr>
        <w:t>)</w:t>
      </w:r>
      <w:r>
        <w:rPr>
          <w:rFonts w:hint="cs"/>
          <w:rtl/>
        </w:rPr>
        <w:t>.</w:t>
      </w:r>
    </w:p>
    <w:p w:rsidR="00A66747" w:rsidRDefault="00A66747">
      <w:pPr>
        <w:rPr>
          <w:rtl/>
        </w:rPr>
      </w:pPr>
      <w:r>
        <w:rPr>
          <w:rFonts w:hint="cs"/>
          <w:b/>
          <w:bCs/>
          <w:rtl/>
        </w:rPr>
        <w:t>وأورد</w:t>
      </w:r>
      <w:r>
        <w:rPr>
          <w:rStyle w:val="a7"/>
          <w:rtl/>
        </w:rPr>
        <w:footnoteReference w:id="5472"/>
      </w:r>
      <w:r>
        <w:rPr>
          <w:rFonts w:hint="cs"/>
          <w:rtl/>
        </w:rPr>
        <w:t xml:space="preserve"> صاحب (العناية) سؤالاً، حيث قال : </w:t>
      </w:r>
      <w:r>
        <w:rPr>
          <w:rFonts w:hint="eastAsia"/>
          <w:rtl/>
        </w:rPr>
        <w:t>«</w:t>
      </w:r>
      <w:r>
        <w:rPr>
          <w:rFonts w:hint="cs"/>
          <w:rtl/>
        </w:rPr>
        <w:t>ولقائل أن يقول : هذا الحديث مخالف للمشهور</w:t>
      </w:r>
      <w:r>
        <w:rPr>
          <w:rFonts w:hint="cs"/>
          <w:vertAlign w:val="superscript"/>
          <w:rtl/>
        </w:rPr>
        <w:t>(</w:t>
      </w:r>
      <w:r>
        <w:rPr>
          <w:rStyle w:val="a7"/>
          <w:rtl/>
        </w:rPr>
        <w:footnoteReference w:id="5473"/>
      </w:r>
      <w:r>
        <w:rPr>
          <w:rFonts w:hint="cs"/>
          <w:vertAlign w:val="superscript"/>
          <w:rtl/>
        </w:rPr>
        <w:t>)</w:t>
      </w:r>
      <w:r>
        <w:rPr>
          <w:rFonts w:hint="cs"/>
          <w:rtl/>
        </w:rPr>
        <w:t>، فإن لم يكن مشهورًا فهو مرجوح، وإن كان فكذلك</w:t>
      </w:r>
      <w:r>
        <w:rPr>
          <w:rFonts w:hint="cs"/>
          <w:vertAlign w:val="superscript"/>
          <w:rtl/>
        </w:rPr>
        <w:t>(</w:t>
      </w:r>
      <w:r>
        <w:rPr>
          <w:rStyle w:val="a7"/>
          <w:rtl/>
        </w:rPr>
        <w:footnoteReference w:id="5474"/>
      </w:r>
      <w:r>
        <w:rPr>
          <w:rFonts w:hint="cs"/>
          <w:vertAlign w:val="superscript"/>
          <w:rtl/>
        </w:rPr>
        <w:t>)</w:t>
      </w:r>
      <w:r>
        <w:rPr>
          <w:rFonts w:hint="cs"/>
          <w:rtl/>
        </w:rPr>
        <w:t xml:space="preserve"> لعموم </w:t>
      </w:r>
      <w:r>
        <w:rPr>
          <w:rFonts w:hint="cs"/>
          <w:rtl/>
        </w:rPr>
        <w:lastRenderedPageBreak/>
        <w:t>المشهور، أو يتعارضان ولا ترجيح</w:t>
      </w:r>
      <w:r>
        <w:rPr>
          <w:rFonts w:hint="eastAsia"/>
          <w:rtl/>
        </w:rPr>
        <w:t>»</w:t>
      </w:r>
      <w:r>
        <w:rPr>
          <w:rFonts w:hint="cs"/>
          <w:vertAlign w:val="superscript"/>
          <w:rtl/>
        </w:rPr>
        <w:t>(</w:t>
      </w:r>
      <w:r>
        <w:rPr>
          <w:rStyle w:val="a7"/>
          <w:rtl/>
        </w:rPr>
        <w:footnoteReference w:id="5475"/>
      </w:r>
      <w:r>
        <w:rPr>
          <w:rFonts w:hint="cs"/>
          <w:vertAlign w:val="superscript"/>
          <w:rtl/>
        </w:rPr>
        <w:t>)</w:t>
      </w:r>
      <w:r>
        <w:rPr>
          <w:rFonts w:hint="cs"/>
          <w:rtl/>
        </w:rPr>
        <w:t>. ولم [يجب]</w:t>
      </w:r>
      <w:r>
        <w:rPr>
          <w:rStyle w:val="a7"/>
          <w:rtl/>
        </w:rPr>
        <w:footnoteReference w:id="5476"/>
      </w:r>
      <w:r>
        <w:rPr>
          <w:rFonts w:hint="cs"/>
          <w:vertAlign w:val="superscript"/>
          <w:rtl/>
        </w:rPr>
        <w:t>(</w:t>
      </w:r>
      <w:r>
        <w:rPr>
          <w:rStyle w:val="a7"/>
          <w:rtl/>
        </w:rPr>
        <w:footnoteReference w:id="5477"/>
      </w:r>
      <w:r>
        <w:rPr>
          <w:rFonts w:hint="cs"/>
          <w:vertAlign w:val="superscript"/>
          <w:rtl/>
        </w:rPr>
        <w:t>)</w:t>
      </w:r>
      <w:r>
        <w:rPr>
          <w:rFonts w:hint="cs"/>
          <w:rtl/>
        </w:rPr>
        <w:t>.</w:t>
      </w:r>
    </w:p>
    <w:p w:rsidR="00A66747" w:rsidRDefault="00A66747">
      <w:pPr>
        <w:rPr>
          <w:rFonts w:ascii="AGA Arabesque" w:hAnsi="AGA Arabesque" w:cs="DecoType Naskh"/>
          <w:sz w:val="36"/>
          <w:rtl/>
        </w:rPr>
      </w:pPr>
      <w:r>
        <w:rPr>
          <w:rFonts w:hint="cs"/>
          <w:b/>
          <w:bCs/>
          <w:rtl/>
        </w:rPr>
        <w:t>أقول</w:t>
      </w:r>
      <w:r>
        <w:rPr>
          <w:rFonts w:hint="cs"/>
          <w:rtl/>
        </w:rPr>
        <w:t xml:space="preserve"> : يمكن </w:t>
      </w:r>
      <w:r>
        <w:rPr>
          <w:rFonts w:hint="cs"/>
          <w:b/>
          <w:bCs/>
          <w:rtl/>
        </w:rPr>
        <w:t>الجواب</w:t>
      </w:r>
      <w:r>
        <w:rPr>
          <w:rFonts w:hint="cs"/>
          <w:rtl/>
        </w:rPr>
        <w:t xml:space="preserve"> بأن يقال : إن قوله </w:t>
      </w:r>
      <w:r>
        <w:rPr>
          <w:rFonts w:ascii="AGA Arabesque" w:hAnsi="AGA Arabesque"/>
          <w:sz w:val="36"/>
        </w:rPr>
        <w:t></w:t>
      </w:r>
      <w:r>
        <w:rPr>
          <w:rFonts w:hint="cs"/>
          <w:rtl/>
        </w:rPr>
        <w:t xml:space="preserve"> : </w:t>
      </w:r>
      <w:r>
        <w:rPr>
          <w:rFonts w:hint="eastAsia"/>
          <w:rtl/>
        </w:rPr>
        <w:t>«</w:t>
      </w:r>
      <w:r>
        <w:rPr>
          <w:rFonts w:ascii="AGA Arabesque" w:hAnsi="AGA Arabesque" w:cs="DecoType Naskh" w:hint="cs"/>
          <w:sz w:val="36"/>
          <w:rtl/>
        </w:rPr>
        <w:t>البينة [على المدعي]</w:t>
      </w:r>
      <w:r>
        <w:rPr>
          <w:rStyle w:val="a7"/>
          <w:rtl/>
        </w:rPr>
        <w:footnoteReference w:id="5478"/>
      </w:r>
      <w:r>
        <w:rPr>
          <w:rFonts w:hint="cs"/>
          <w:rtl/>
        </w:rPr>
        <w:t xml:space="preserve"> </w:t>
      </w:r>
      <w:r>
        <w:rPr>
          <w:rFonts w:ascii="AGA Arabesque" w:hAnsi="AGA Arabesque" w:cs="DecoType Naskh" w:hint="cs"/>
          <w:sz w:val="36"/>
          <w:rtl/>
        </w:rPr>
        <w:t>واليمين</w:t>
      </w:r>
    </w:p>
    <w:p w:rsidR="00A66747" w:rsidRDefault="00A66747">
      <w:pPr>
        <w:ind w:firstLine="0"/>
        <w:rPr>
          <w:rtl/>
        </w:rPr>
      </w:pPr>
      <w:r>
        <w:rPr>
          <w:rFonts w:ascii="AGA Arabesque" w:hAnsi="AGA Arabesque" w:cs="DecoType Naskh" w:hint="cs"/>
          <w:sz w:val="36"/>
          <w:rtl/>
        </w:rPr>
        <w:t>على من أنكـر</w:t>
      </w:r>
      <w:r>
        <w:rPr>
          <w:rFonts w:hint="eastAsia"/>
          <w:rtl/>
        </w:rPr>
        <w:t>»</w:t>
      </w:r>
      <w:r>
        <w:rPr>
          <w:rFonts w:hint="cs"/>
          <w:vertAlign w:val="superscript"/>
          <w:rtl/>
        </w:rPr>
        <w:t>(</w:t>
      </w:r>
      <w:r>
        <w:rPr>
          <w:rStyle w:val="a7"/>
          <w:rtl/>
        </w:rPr>
        <w:footnoteReference w:id="5479"/>
      </w:r>
      <w:r>
        <w:rPr>
          <w:rFonts w:hint="cs"/>
          <w:vertAlign w:val="superscript"/>
          <w:rtl/>
        </w:rPr>
        <w:t>)</w:t>
      </w:r>
      <w:r>
        <w:rPr>
          <w:rFonts w:hint="cs"/>
          <w:rtl/>
        </w:rPr>
        <w:t xml:space="preserve"> واردٌ على القياس؛ لأن اليمين تكون حجة للدفع لا للاستحقاق</w:t>
      </w:r>
      <w:r>
        <w:rPr>
          <w:rFonts w:hint="cs"/>
          <w:vertAlign w:val="superscript"/>
          <w:rtl/>
        </w:rPr>
        <w:t>(</w:t>
      </w:r>
      <w:r>
        <w:rPr>
          <w:rStyle w:val="a7"/>
          <w:rtl/>
        </w:rPr>
        <w:footnoteReference w:id="5480"/>
      </w:r>
      <w:r>
        <w:rPr>
          <w:rFonts w:hint="cs"/>
          <w:vertAlign w:val="superscript"/>
          <w:rtl/>
        </w:rPr>
        <w:t>)</w:t>
      </w:r>
      <w:r>
        <w:rPr>
          <w:rFonts w:hint="cs"/>
          <w:rtl/>
        </w:rPr>
        <w:t xml:space="preserve"> [وفي كونه حجة للاستحقاق]</w:t>
      </w:r>
      <w:r>
        <w:rPr>
          <w:rStyle w:val="a7"/>
          <w:rtl/>
        </w:rPr>
        <w:footnoteReference w:id="5481"/>
      </w:r>
      <w:r>
        <w:rPr>
          <w:rFonts w:hint="cs"/>
          <w:rtl/>
        </w:rPr>
        <w:t xml:space="preserve"> في غير</w:t>
      </w:r>
      <w:r>
        <w:rPr>
          <w:rStyle w:val="a7"/>
          <w:rtl/>
        </w:rPr>
        <w:footnoteReference w:id="5482"/>
      </w:r>
      <w:r>
        <w:rPr>
          <w:rFonts w:hint="cs"/>
          <w:rtl/>
        </w:rPr>
        <w:t xml:space="preserve"> مسائل التحالف مفسدة عظيمة كما لا يخفى على [المتأمل]</w:t>
      </w:r>
      <w:r>
        <w:rPr>
          <w:rStyle w:val="a7"/>
          <w:rtl/>
        </w:rPr>
        <w:footnoteReference w:id="5483"/>
      </w:r>
      <w:r>
        <w:rPr>
          <w:rFonts w:hint="cs"/>
          <w:rtl/>
        </w:rPr>
        <w:t xml:space="preserve"> بأدنى تأمل. وهذا الحديث</w:t>
      </w:r>
      <w:r>
        <w:rPr>
          <w:rStyle w:val="a7"/>
          <w:rtl/>
        </w:rPr>
        <w:footnoteReference w:id="5484"/>
      </w:r>
      <w:r>
        <w:rPr>
          <w:rFonts w:hint="cs"/>
          <w:rtl/>
        </w:rPr>
        <w:t xml:space="preserve"> على خلاف القياس، فيقتصر على مورده، فبقي ما [وراءه]</w:t>
      </w:r>
      <w:r>
        <w:rPr>
          <w:rStyle w:val="a7"/>
          <w:rtl/>
        </w:rPr>
        <w:footnoteReference w:id="5485"/>
      </w:r>
      <w:r>
        <w:rPr>
          <w:rFonts w:hint="cs"/>
          <w:rtl/>
        </w:rPr>
        <w:t xml:space="preserve"> على العموم</w:t>
      </w:r>
      <w:r>
        <w:rPr>
          <w:rFonts w:hint="cs"/>
          <w:vertAlign w:val="superscript"/>
          <w:rtl/>
        </w:rPr>
        <w:t>(</w:t>
      </w:r>
      <w:r>
        <w:rPr>
          <w:rStyle w:val="a7"/>
          <w:rtl/>
        </w:rPr>
        <w:footnoteReference w:id="5486"/>
      </w:r>
      <w:r>
        <w:rPr>
          <w:rFonts w:hint="cs"/>
          <w:vertAlign w:val="superscript"/>
          <w:rtl/>
        </w:rPr>
        <w:t>)</w:t>
      </w:r>
      <w:r>
        <w:rPr>
          <w:rFonts w:hint="cs"/>
          <w:rtl/>
        </w:rPr>
        <w:t>.</w:t>
      </w:r>
    </w:p>
    <w:p w:rsidR="00A66747" w:rsidRDefault="00A66747">
      <w:pPr>
        <w:rPr>
          <w:rtl/>
        </w:rPr>
      </w:pPr>
    </w:p>
    <w:p w:rsidR="00A66747" w:rsidRDefault="00A66747">
      <w:pPr>
        <w:jc w:val="center"/>
        <w:rPr>
          <w:rFonts w:ascii="AGA Arabesque" w:hAnsi="AGA Arabesque"/>
          <w:sz w:val="50"/>
          <w:szCs w:val="50"/>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p w:rsidR="00A66747" w:rsidRDefault="00A66747">
      <w:pPr>
        <w:jc w:val="center"/>
        <w:rPr>
          <w:rtl/>
        </w:rPr>
        <w:sectPr w:rsidR="00A66747" w:rsidSect="001C01FA">
          <w:headerReference w:type="default" r:id="rId327"/>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A66747" w:rsidRPr="00486DF8" w:rsidRDefault="00A66747">
      <w:pPr>
        <w:pStyle w:val="a9"/>
        <w:rPr>
          <w:rFonts w:cs="AL-Mateen"/>
          <w:rtl/>
        </w:rPr>
      </w:pPr>
      <w:r w:rsidRPr="00486DF8">
        <w:rPr>
          <w:rFonts w:cs="AL-Mateen" w:hint="cs"/>
          <w:rtl/>
        </w:rPr>
        <w:lastRenderedPageBreak/>
        <w:t>[ الـقـاعـدة الـسـادسـة والـسـتـون بـعـد الـمـائـتـيـن ]</w:t>
      </w:r>
    </w:p>
    <w:p w:rsidR="00A66747" w:rsidRDefault="00A66747">
      <w:pPr>
        <w:rPr>
          <w:rtl/>
        </w:rPr>
      </w:pPr>
      <w:r>
        <w:rPr>
          <w:rFonts w:cs="Monotype Koufi" w:hint="cs"/>
          <w:rtl/>
        </w:rPr>
        <w:t>يَوْمُ المَوْتِ لاَ يَدْخُلُ تَحْتَ القَضَاءِ، بِخِلاَفِ يَوْمِ القَتْلِ</w:t>
      </w:r>
      <w:r>
        <w:rPr>
          <w:rFonts w:hint="cs"/>
          <w:vertAlign w:val="superscript"/>
          <w:rtl/>
        </w:rPr>
        <w:t>(</w:t>
      </w:r>
      <w:r>
        <w:rPr>
          <w:rStyle w:val="a7"/>
          <w:rtl/>
        </w:rPr>
        <w:footnoteReference w:id="5487"/>
      </w:r>
      <w:r>
        <w:rPr>
          <w:rFonts w:hint="cs"/>
          <w:vertAlign w:val="superscript"/>
          <w:rtl/>
        </w:rPr>
        <w:t>)</w:t>
      </w:r>
      <w:r>
        <w:rPr>
          <w:rFonts w:hint="cs"/>
          <w:rtl/>
        </w:rPr>
        <w:t xml:space="preserve"> :</w:t>
      </w:r>
    </w:p>
    <w:p w:rsidR="00A66747" w:rsidRDefault="00A66747">
      <w:pPr>
        <w:rPr>
          <w:spacing w:val="-6"/>
          <w:rtl/>
        </w:rPr>
      </w:pPr>
      <w:r>
        <w:rPr>
          <w:rFonts w:hint="cs"/>
          <w:b/>
          <w:bCs/>
          <w:spacing w:val="-6"/>
          <w:rtl/>
        </w:rPr>
        <w:t>وفسّره</w:t>
      </w:r>
      <w:r>
        <w:rPr>
          <w:rFonts w:hint="cs"/>
          <w:spacing w:val="-6"/>
          <w:rtl/>
        </w:rPr>
        <w:t xml:space="preserve"> صاحب (الدرر) : </w:t>
      </w:r>
      <w:r>
        <w:rPr>
          <w:rFonts w:hint="eastAsia"/>
          <w:spacing w:val="-6"/>
          <w:rtl/>
        </w:rPr>
        <w:t>«</w:t>
      </w:r>
      <w:r>
        <w:rPr>
          <w:rFonts w:hint="cs"/>
          <w:rtl/>
        </w:rPr>
        <w:t>بأنّ الرّجل إذا</w:t>
      </w:r>
      <w:r>
        <w:rPr>
          <w:rFonts w:hint="cs"/>
          <w:spacing w:val="-6"/>
          <w:rtl/>
        </w:rPr>
        <w:t xml:space="preserve"> ادّعى أنَّ أباه مات في يوم كذا، وقضي به، فادّعت المرأة  أن الميّت تزوّجها بعد ذلك اليوم : تسمع ويقضى بالنكاح</w:t>
      </w:r>
      <w:r>
        <w:rPr>
          <w:rStyle w:val="a7"/>
          <w:spacing w:val="-6"/>
          <w:rtl/>
        </w:rPr>
        <w:footnoteReference w:id="5488"/>
      </w:r>
      <w:r>
        <w:rPr>
          <w:rFonts w:hint="cs"/>
          <w:spacing w:val="-6"/>
          <w:rtl/>
        </w:rPr>
        <w:t>.</w:t>
      </w:r>
    </w:p>
    <w:p w:rsidR="00A66747" w:rsidRDefault="00A66747">
      <w:pPr>
        <w:rPr>
          <w:rtl/>
        </w:rPr>
      </w:pPr>
      <w:r>
        <w:rPr>
          <w:rFonts w:hint="cs"/>
          <w:rtl/>
        </w:rPr>
        <w:lastRenderedPageBreak/>
        <w:t>ولو ادُّعى قتله فيه</w:t>
      </w:r>
      <w:r>
        <w:rPr>
          <w:rFonts w:hint="cs"/>
          <w:vertAlign w:val="superscript"/>
          <w:rtl/>
        </w:rPr>
        <w:t>(</w:t>
      </w:r>
      <w:r>
        <w:rPr>
          <w:rStyle w:val="a7"/>
          <w:rtl/>
        </w:rPr>
        <w:footnoteReference w:id="5489"/>
      </w:r>
      <w:r>
        <w:rPr>
          <w:rFonts w:hint="cs"/>
          <w:vertAlign w:val="superscript"/>
          <w:rtl/>
        </w:rPr>
        <w:t>)</w:t>
      </w:r>
      <w:r>
        <w:rPr>
          <w:rFonts w:hint="cs"/>
          <w:rtl/>
        </w:rPr>
        <w:t>، وقُضي به : لم تسمع دعواها النكاح بعده</w:t>
      </w:r>
      <w:r>
        <w:rPr>
          <w:rFonts w:hint="eastAsia"/>
          <w:rtl/>
        </w:rPr>
        <w:t>»</w:t>
      </w:r>
      <w:r>
        <w:rPr>
          <w:rFonts w:hint="cs"/>
          <w:vertAlign w:val="superscript"/>
          <w:rtl/>
        </w:rPr>
        <w:t>(</w:t>
      </w:r>
      <w:r>
        <w:rPr>
          <w:rStyle w:val="a7"/>
          <w:rtl/>
        </w:rPr>
        <w:footnoteReference w:id="5490"/>
      </w:r>
      <w:r>
        <w:rPr>
          <w:rFonts w:hint="cs"/>
          <w:vertAlign w:val="superscript"/>
          <w:rtl/>
        </w:rPr>
        <w:t>)</w:t>
      </w:r>
      <w:r>
        <w:rPr>
          <w:rFonts w:hint="cs"/>
          <w:rtl/>
        </w:rPr>
        <w:t>.</w:t>
      </w:r>
    </w:p>
    <w:p w:rsidR="00A66747" w:rsidRDefault="00A66747">
      <w:pPr>
        <w:rPr>
          <w:rtl/>
        </w:rPr>
      </w:pPr>
      <w:r>
        <w:rPr>
          <w:rFonts w:hint="cs"/>
          <w:b/>
          <w:bCs/>
          <w:rtl/>
        </w:rPr>
        <w:t>أقول</w:t>
      </w:r>
      <w:r>
        <w:rPr>
          <w:rFonts w:hint="cs"/>
          <w:rtl/>
        </w:rPr>
        <w:t xml:space="preserve"> : الحقّ أن يُقدِّم دعوى المرأة على دعـوى الـرجل؛ لأنْ لا يرد عليه أنّ</w:t>
      </w:r>
      <w:r>
        <w:rPr>
          <w:rStyle w:val="a7"/>
          <w:rtl/>
        </w:rPr>
        <w:footnoteReference w:id="5491"/>
      </w:r>
      <w:r>
        <w:rPr>
          <w:rFonts w:hint="cs"/>
          <w:rtl/>
        </w:rPr>
        <w:t xml:space="preserve"> دعوى الرجل بلا خصم : لا يعتبر</w:t>
      </w:r>
      <w:r>
        <w:rPr>
          <w:rFonts w:hint="cs"/>
          <w:vertAlign w:val="superscript"/>
          <w:rtl/>
        </w:rPr>
        <w:t>(</w:t>
      </w:r>
      <w:r>
        <w:rPr>
          <w:rStyle w:val="a7"/>
          <w:rtl/>
        </w:rPr>
        <w:footnoteReference w:id="5492"/>
      </w:r>
      <w:r>
        <w:rPr>
          <w:rFonts w:hint="cs"/>
          <w:vertAlign w:val="superscript"/>
          <w:rtl/>
        </w:rPr>
        <w:t>)</w:t>
      </w:r>
      <w:r>
        <w:rPr>
          <w:rFonts w:hint="cs"/>
          <w:rtl/>
        </w:rPr>
        <w:t>، وبيّنته لا تسمع</w:t>
      </w:r>
      <w:r>
        <w:rPr>
          <w:rStyle w:val="a7"/>
          <w:rtl/>
        </w:rPr>
        <w:footnoteReference w:id="5493"/>
      </w:r>
      <w:r>
        <w:rPr>
          <w:rFonts w:hint="cs"/>
          <w:rtl/>
        </w:rPr>
        <w:t>.</w:t>
      </w:r>
    </w:p>
    <w:p w:rsidR="00A66747" w:rsidRDefault="00A66747">
      <w:pPr>
        <w:rPr>
          <w:rtl/>
        </w:rPr>
      </w:pPr>
      <w:r>
        <w:rPr>
          <w:rFonts w:hint="cs"/>
          <w:rtl/>
        </w:rPr>
        <w:t>فالأولى بالتصوير</w:t>
      </w:r>
      <w:r>
        <w:rPr>
          <w:rStyle w:val="a7"/>
          <w:rtl/>
        </w:rPr>
        <w:footnoteReference w:id="5494"/>
      </w:r>
      <w:r>
        <w:rPr>
          <w:rFonts w:hint="cs"/>
          <w:rtl/>
        </w:rPr>
        <w:t xml:space="preserve"> أن يُقال : إذا ادّعت المرأة على الرّجل أن أباه تزوجها في يوم كذا. فقال الرجل- على طريق الدفع -: إنَّ أبي قد مات قبل ذلك اليوم. وأقام البينة : لا تسمع؛ لأن بينته قامتْ على عدم حياة أبيه في ذلك اليوم معنى</w:t>
      </w:r>
      <w:r>
        <w:rPr>
          <w:rStyle w:val="a7"/>
          <w:rtl/>
        </w:rPr>
        <w:footnoteReference w:id="5495"/>
      </w:r>
      <w:r>
        <w:rPr>
          <w:rFonts w:hint="cs"/>
          <w:rtl/>
        </w:rPr>
        <w:t>، و</w:t>
      </w:r>
      <w:r>
        <w:rPr>
          <w:rFonts w:hint="eastAsia"/>
          <w:rtl/>
        </w:rPr>
        <w:t>«</w:t>
      </w:r>
      <w:r>
        <w:rPr>
          <w:rFonts w:hint="cs"/>
          <w:rtl/>
        </w:rPr>
        <w:t>البينة على النفي</w:t>
      </w:r>
      <w:r>
        <w:rPr>
          <w:rStyle w:val="a7"/>
          <w:rtl/>
        </w:rPr>
        <w:footnoteReference w:id="5496"/>
      </w:r>
      <w:r>
        <w:rPr>
          <w:rFonts w:hint="cs"/>
          <w:rtl/>
        </w:rPr>
        <w:t xml:space="preserve"> لا تقبل</w:t>
      </w:r>
      <w:r>
        <w:rPr>
          <w:rFonts w:hint="eastAsia"/>
          <w:rtl/>
        </w:rPr>
        <w:t>»</w:t>
      </w:r>
      <w:r>
        <w:rPr>
          <w:rFonts w:hint="cs"/>
          <w:vertAlign w:val="superscript"/>
          <w:rtl/>
        </w:rPr>
        <w:t>(</w:t>
      </w:r>
      <w:r>
        <w:rPr>
          <w:rStyle w:val="a7"/>
          <w:rtl/>
        </w:rPr>
        <w:footnoteReference w:id="5497"/>
      </w:r>
      <w:r>
        <w:rPr>
          <w:rFonts w:hint="cs"/>
          <w:vertAlign w:val="superscript"/>
          <w:rtl/>
        </w:rPr>
        <w:t>)</w:t>
      </w:r>
      <w:r>
        <w:rPr>
          <w:rFonts w:hint="cs"/>
          <w:rtl/>
        </w:rPr>
        <w:t>. والموت عبارة عن عدم الحياة في ذلك اليوم.</w:t>
      </w:r>
    </w:p>
    <w:p w:rsidR="00A66747" w:rsidRDefault="00A66747">
      <w:pPr>
        <w:rPr>
          <w:rtl/>
        </w:rPr>
      </w:pPr>
      <w:r>
        <w:rPr>
          <w:rFonts w:hint="cs"/>
          <w:rtl/>
        </w:rPr>
        <w:t xml:space="preserve">وأما إذا قال الرجل </w:t>
      </w:r>
      <w:r>
        <w:rPr>
          <w:rtl/>
        </w:rPr>
        <w:t>–</w:t>
      </w:r>
      <w:r>
        <w:rPr>
          <w:rFonts w:hint="cs"/>
          <w:rtl/>
        </w:rPr>
        <w:t>للدفع- : إن أبي قد قُتِلَ قبل ذلك اليوم. وأقـام البينة : تسمع؛ لأن بيّنته قد قامت على ايقاعِ الغير الفعلَ</w:t>
      </w:r>
      <w:r>
        <w:rPr>
          <w:rStyle w:val="a7"/>
          <w:rtl/>
        </w:rPr>
        <w:footnoteReference w:id="5498"/>
      </w:r>
      <w:r>
        <w:rPr>
          <w:rFonts w:hint="cs"/>
          <w:rtl/>
        </w:rPr>
        <w:t xml:space="preserve"> على أبيه، وهو القتـل، فـقامت بينتُهُ على الإثبات لفظاً ومعنى. فإذا ثبت القـتل قـبل ذلـك الـيوم يـثبت</w:t>
      </w:r>
      <w:r>
        <w:rPr>
          <w:rStyle w:val="a7"/>
          <w:rtl/>
        </w:rPr>
        <w:footnoteReference w:id="5499"/>
      </w:r>
      <w:r>
        <w:rPr>
          <w:rFonts w:hint="cs"/>
          <w:rtl/>
        </w:rPr>
        <w:t xml:space="preserve"> عدم </w:t>
      </w:r>
      <w:r>
        <w:rPr>
          <w:rFonts w:hint="cs"/>
          <w:rtl/>
        </w:rPr>
        <w:lastRenderedPageBreak/>
        <w:t>حياته في ذلك اليوم ضمنًا، و</w:t>
      </w:r>
      <w:r>
        <w:rPr>
          <w:rFonts w:hint="eastAsia"/>
          <w:rtl/>
        </w:rPr>
        <w:t>«</w:t>
      </w:r>
      <w:r>
        <w:rPr>
          <w:rFonts w:hint="cs"/>
          <w:rtl/>
        </w:rPr>
        <w:t>قد يـثـبت ضمـنًا ما لا يـثـبت قـصدًا</w:t>
      </w:r>
      <w:r>
        <w:rPr>
          <w:rFonts w:hint="eastAsia"/>
          <w:rtl/>
        </w:rPr>
        <w:t>»</w:t>
      </w:r>
      <w:r>
        <w:rPr>
          <w:rFonts w:hint="cs"/>
          <w:vertAlign w:val="superscript"/>
          <w:rtl/>
        </w:rPr>
        <w:t>(</w:t>
      </w:r>
      <w:r>
        <w:rPr>
          <w:rStyle w:val="a7"/>
          <w:rtl/>
        </w:rPr>
        <w:footnoteReference w:id="5500"/>
      </w:r>
      <w:r>
        <w:rPr>
          <w:rFonts w:hint="cs"/>
          <w:vertAlign w:val="superscript"/>
          <w:rtl/>
        </w:rPr>
        <w:t>)</w:t>
      </w:r>
      <w:r>
        <w:rPr>
          <w:rFonts w:hint="cs"/>
          <w:rtl/>
        </w:rPr>
        <w:t>، فالدفع صحيح.</w:t>
      </w:r>
    </w:p>
    <w:p w:rsidR="00A66747" w:rsidRDefault="00A66747">
      <w:pPr>
        <w:rPr>
          <w:rtl/>
        </w:rPr>
      </w:pPr>
      <w:r>
        <w:rPr>
          <w:rFonts w:hint="cs"/>
          <w:rtl/>
        </w:rPr>
        <w:t>وبهذا التصوير : يظهر</w:t>
      </w:r>
      <w:r>
        <w:rPr>
          <w:rStyle w:val="a7"/>
          <w:rtl/>
        </w:rPr>
        <w:footnoteReference w:id="5501"/>
      </w:r>
      <w:r>
        <w:rPr>
          <w:rFonts w:hint="cs"/>
          <w:rtl/>
        </w:rPr>
        <w:t xml:space="preserve"> سرّ ما قالوا : </w:t>
      </w:r>
      <w:r>
        <w:rPr>
          <w:rFonts w:hint="eastAsia"/>
          <w:rtl/>
        </w:rPr>
        <w:t>«</w:t>
      </w:r>
      <w:r>
        <w:rPr>
          <w:rFonts w:hint="cs"/>
          <w:rtl/>
        </w:rPr>
        <w:t>يوم الموت لا يدخل تحت القضاء، بخلاف يوم القتل</w:t>
      </w:r>
      <w:r>
        <w:rPr>
          <w:rFonts w:hint="eastAsia"/>
          <w:rtl/>
        </w:rPr>
        <w:t>»</w:t>
      </w:r>
      <w:r>
        <w:rPr>
          <w:rFonts w:hint="cs"/>
          <w:rtl/>
        </w:rPr>
        <w:t>.</w:t>
      </w:r>
    </w:p>
    <w:p w:rsidR="00A66747" w:rsidRDefault="00A66747">
      <w:pPr>
        <w:rPr>
          <w:rtl/>
        </w:rPr>
      </w:pPr>
      <w:r>
        <w:rPr>
          <w:rFonts w:hint="cs"/>
          <w:rtl/>
        </w:rPr>
        <w:t>وبيّن سرَّهُ صاحبُ (الدرر) بوجه آخر، وهو مسلّم</w:t>
      </w:r>
      <w:r>
        <w:rPr>
          <w:rFonts w:hint="cs"/>
          <w:vertAlign w:val="superscript"/>
          <w:rtl/>
        </w:rPr>
        <w:t>(</w:t>
      </w:r>
      <w:r>
        <w:rPr>
          <w:rStyle w:val="a7"/>
          <w:rtl/>
        </w:rPr>
        <w:footnoteReference w:id="5502"/>
      </w:r>
      <w:r>
        <w:rPr>
          <w:rFonts w:hint="cs"/>
          <w:vertAlign w:val="superscript"/>
          <w:rtl/>
        </w:rPr>
        <w:t>)</w:t>
      </w:r>
      <w:r>
        <w:rPr>
          <w:rFonts w:hint="cs"/>
          <w:rtl/>
        </w:rPr>
        <w:t>، ولا أتعرّض في [توجيهه]</w:t>
      </w:r>
      <w:r>
        <w:rPr>
          <w:rStyle w:val="a7"/>
          <w:rtl/>
        </w:rPr>
        <w:footnoteReference w:id="5503"/>
      </w:r>
      <w:r>
        <w:rPr>
          <w:rFonts w:hint="cs"/>
          <w:rtl/>
        </w:rPr>
        <w:t>.</w:t>
      </w:r>
    </w:p>
    <w:p w:rsidR="00A66747" w:rsidRDefault="00A66747" w:rsidP="00F0471F">
      <w:pPr>
        <w:rPr>
          <w:rtl/>
        </w:rPr>
      </w:pPr>
    </w:p>
    <w:p w:rsidR="00A66747" w:rsidRDefault="00A66747" w:rsidP="00F0471F">
      <w:pPr>
        <w:rPr>
          <w:rtl/>
        </w:rPr>
      </w:pPr>
      <w:r>
        <w:rPr>
          <w:rFonts w:hint="cs"/>
          <w:rtl/>
        </w:rPr>
        <w:t>إلى هنا</w:t>
      </w:r>
      <w:r>
        <w:rPr>
          <w:rStyle w:val="a7"/>
          <w:rtl/>
        </w:rPr>
        <w:footnoteReference w:id="5504"/>
      </w:r>
      <w:r>
        <w:rPr>
          <w:rFonts w:hint="cs"/>
          <w:rtl/>
        </w:rPr>
        <w:t xml:space="preserve"> تمّ مقالي في (</w:t>
      </w:r>
      <w:r>
        <w:rPr>
          <w:rFonts w:hint="cs"/>
          <w:b/>
          <w:bCs/>
          <w:rtl/>
        </w:rPr>
        <w:t>ترتيب اللآلي</w:t>
      </w:r>
      <w:r>
        <w:rPr>
          <w:rFonts w:hint="cs"/>
          <w:rtl/>
        </w:rPr>
        <w:t>)، والتّمـام بـحقيقته عند إنجاز</w:t>
      </w:r>
      <w:r>
        <w:rPr>
          <w:rStyle w:val="a7"/>
          <w:rtl/>
        </w:rPr>
        <w:footnoteReference w:id="5505"/>
      </w:r>
      <w:r>
        <w:rPr>
          <w:rFonts w:hint="cs"/>
          <w:rtl/>
        </w:rPr>
        <w:t xml:space="preserve"> ما وعدتُ في ديباجته</w:t>
      </w:r>
      <w:r>
        <w:rPr>
          <w:rFonts w:hint="cs"/>
          <w:vertAlign w:val="superscript"/>
          <w:rtl/>
        </w:rPr>
        <w:t>(</w:t>
      </w:r>
      <w:r>
        <w:rPr>
          <w:rStyle w:val="a7"/>
          <w:rtl/>
        </w:rPr>
        <w:footnoteReference w:id="5506"/>
      </w:r>
      <w:r>
        <w:rPr>
          <w:rFonts w:hint="cs"/>
          <w:vertAlign w:val="superscript"/>
          <w:rtl/>
        </w:rPr>
        <w:t>)</w:t>
      </w:r>
      <w:r>
        <w:rPr>
          <w:rFonts w:hint="cs"/>
          <w:rtl/>
        </w:rPr>
        <w:t>.</w:t>
      </w:r>
    </w:p>
    <w:p w:rsidR="00A66747" w:rsidRDefault="00A66747" w:rsidP="00A86736">
      <w:pPr>
        <w:rPr>
          <w:rtl/>
        </w:rPr>
      </w:pPr>
      <w:r>
        <w:rPr>
          <w:rFonts w:hint="cs"/>
          <w:rtl/>
        </w:rPr>
        <w:t>يسَّر [لي]</w:t>
      </w:r>
      <w:r>
        <w:rPr>
          <w:rStyle w:val="a7"/>
          <w:rtl/>
        </w:rPr>
        <w:footnoteReference w:id="5507"/>
      </w:r>
      <w:r>
        <w:rPr>
          <w:rFonts w:hint="cs"/>
          <w:rtl/>
        </w:rPr>
        <w:t xml:space="preserve"> اللهُ الملكُ المعين</w:t>
      </w:r>
      <w:r>
        <w:rPr>
          <w:rStyle w:val="a7"/>
          <w:rtl/>
        </w:rPr>
        <w:footnoteReference w:id="5508"/>
      </w:r>
      <w:r>
        <w:rPr>
          <w:rFonts w:hint="cs"/>
          <w:rtl/>
        </w:rPr>
        <w:t>، مع</w:t>
      </w:r>
      <w:r>
        <w:rPr>
          <w:rFonts w:hint="cs"/>
          <w:vertAlign w:val="superscript"/>
          <w:rtl/>
        </w:rPr>
        <w:t>(</w:t>
      </w:r>
      <w:r>
        <w:rPr>
          <w:rStyle w:val="a7"/>
          <w:rtl/>
        </w:rPr>
        <w:footnoteReference w:id="5509"/>
      </w:r>
      <w:r>
        <w:rPr>
          <w:rFonts w:hint="cs"/>
          <w:vertAlign w:val="superscript"/>
          <w:rtl/>
        </w:rPr>
        <w:t>)</w:t>
      </w:r>
      <w:r>
        <w:rPr>
          <w:rFonts w:hint="cs"/>
          <w:rtl/>
        </w:rPr>
        <w:t xml:space="preserve"> مرادات جميع المسلمين، غفر الله لمن قال </w:t>
      </w:r>
      <w:r>
        <w:rPr>
          <w:rFonts w:hint="cs"/>
          <w:rtl/>
        </w:rPr>
        <w:lastRenderedPageBreak/>
        <w:t>آمين</w:t>
      </w:r>
      <w:r>
        <w:rPr>
          <w:rStyle w:val="a7"/>
          <w:rtl/>
        </w:rPr>
        <w:footnoteReference w:id="5510"/>
      </w:r>
      <w:r>
        <w:rPr>
          <w:rFonts w:hint="cs"/>
          <w:rtl/>
        </w:rPr>
        <w:t>، يا مجيب السائلين</w:t>
      </w:r>
      <w:r>
        <w:rPr>
          <w:rStyle w:val="a7"/>
          <w:rtl/>
        </w:rPr>
        <w:footnoteReference w:id="5511"/>
      </w:r>
      <w:r>
        <w:rPr>
          <w:rFonts w:hint="cs"/>
          <w:rtl/>
        </w:rPr>
        <w:t>.</w:t>
      </w:r>
    </w:p>
    <w:p w:rsidR="00A66747" w:rsidRDefault="00A66747">
      <w:pPr>
        <w:jc w:val="center"/>
      </w:pPr>
    </w:p>
    <w:p w:rsidR="00A66747" w:rsidRDefault="00A66747">
      <w:pPr>
        <w:rPr>
          <w:rtl/>
        </w:rPr>
      </w:pPr>
    </w:p>
    <w:p w:rsidR="00284270" w:rsidRDefault="00284270">
      <w:pPr>
        <w:rPr>
          <w:rtl/>
        </w:rPr>
        <w:sectPr w:rsidR="00284270" w:rsidSect="001C01FA">
          <w:headerReference w:type="default" r:id="rId328"/>
          <w:footnotePr>
            <w:pos w:val="beneathText"/>
            <w:numRestart w:val="eachPage"/>
          </w:footnotePr>
          <w:endnotePr>
            <w:numFmt w:val="decimal"/>
          </w:endnotePr>
          <w:pgSz w:w="11906" w:h="16838" w:code="9"/>
          <w:pgMar w:top="2268" w:right="1985" w:bottom="1418" w:left="1418" w:header="680" w:footer="851" w:gutter="284"/>
          <w:cols w:space="720"/>
          <w:bidi/>
          <w:rtlGutter/>
        </w:sectPr>
      </w:pPr>
    </w:p>
    <w:p w:rsidR="00284270" w:rsidRDefault="00284270">
      <w:pPr>
        <w:jc w:val="center"/>
        <w:rPr>
          <w:rFonts w:cs="Thick Naskh"/>
          <w:rtl/>
          <w:lang w:bidi="ar-AE"/>
        </w:rPr>
      </w:pPr>
      <w:r>
        <w:rPr>
          <w:rFonts w:cs="Monotype Koufi" w:hint="cs"/>
          <w:rtl/>
          <w:lang w:bidi="ar-AE"/>
        </w:rPr>
        <w:lastRenderedPageBreak/>
        <w:t>فهرس القواعد التي درسها المؤلف</w:t>
      </w:r>
    </w:p>
    <w:p w:rsidR="00284270" w:rsidRPr="00977A7A" w:rsidRDefault="00284270">
      <w:pPr>
        <w:jc w:val="center"/>
        <w:rPr>
          <w:rFonts w:cs="AL-Mateen"/>
          <w:sz w:val="28"/>
          <w:szCs w:val="28"/>
          <w:rtl/>
          <w:lang w:bidi="ar-AE"/>
        </w:rPr>
      </w:pPr>
      <w:r w:rsidRPr="00977A7A">
        <w:rPr>
          <w:rFonts w:cs="AL-Mateen" w:hint="cs"/>
          <w:sz w:val="28"/>
          <w:szCs w:val="28"/>
          <w:rtl/>
          <w:lang w:bidi="ar-AE"/>
        </w:rPr>
        <w:t>(المرتب حسب جذور الألفاظ المهمة في كل قاعدة)</w:t>
      </w:r>
    </w:p>
    <w:p w:rsidR="00284270" w:rsidRDefault="00284270">
      <w:pPr>
        <w:spacing w:line="240" w:lineRule="exact"/>
        <w:rPr>
          <w:b/>
          <w:bCs/>
          <w:sz w:val="36"/>
          <w:szCs w:val="36"/>
          <w:rtl/>
        </w:rPr>
      </w:pPr>
    </w:p>
    <w:p w:rsidR="00284270" w:rsidRDefault="00284270" w:rsidP="0022714B">
      <w:pPr>
        <w:spacing w:line="264" w:lineRule="auto"/>
        <w:rPr>
          <w:b/>
          <w:bCs/>
          <w:sz w:val="36"/>
          <w:szCs w:val="36"/>
          <w:rtl/>
          <w:lang w:bidi="ar-AE"/>
        </w:rPr>
      </w:pPr>
      <w:r>
        <w:rPr>
          <w:rFonts w:hint="cs"/>
          <w:b/>
          <w:bCs/>
          <w:sz w:val="36"/>
          <w:szCs w:val="36"/>
          <w:rtl/>
          <w:lang w:bidi="ar-AE"/>
        </w:rPr>
        <w:t>كيفية الاستفادة من هذا الفهرس :</w:t>
      </w:r>
    </w:p>
    <w:p w:rsidR="00284270" w:rsidRDefault="00284270" w:rsidP="0022714B">
      <w:pPr>
        <w:spacing w:line="264" w:lineRule="auto"/>
        <w:rPr>
          <w:sz w:val="36"/>
          <w:szCs w:val="36"/>
          <w:rtl/>
          <w:lang w:bidi="ar-AE"/>
        </w:rPr>
      </w:pPr>
      <w:r>
        <w:rPr>
          <w:rFonts w:hint="cs"/>
          <w:sz w:val="36"/>
          <w:szCs w:val="36"/>
          <w:rtl/>
          <w:lang w:bidi="ar-AE"/>
        </w:rPr>
        <w:t>المقصود منه مساعدة القارئ على الوصول إلى القاعدة التي يريد البحث عنها عن طريق جذر أيّ لفظ من ألفاظها الأساسية.</w:t>
      </w:r>
    </w:p>
    <w:p w:rsidR="00284270" w:rsidRDefault="00284270" w:rsidP="0022714B">
      <w:pPr>
        <w:spacing w:line="264" w:lineRule="auto"/>
        <w:rPr>
          <w:sz w:val="36"/>
          <w:szCs w:val="36"/>
          <w:rtl/>
          <w:lang w:bidi="ar-AE"/>
        </w:rPr>
      </w:pPr>
      <w:r>
        <w:rPr>
          <w:rFonts w:hint="cs"/>
          <w:sz w:val="36"/>
          <w:szCs w:val="36"/>
          <w:rtl/>
          <w:lang w:bidi="ar-AE"/>
        </w:rPr>
        <w:t>ولتيسير ذلك تمّت مراعات جميع الألفاظ الأساسية لكل قاعدة؛ بتكرار كل قاعدة مع جذر كل لفظ من ألفاظها الأساسية.</w:t>
      </w:r>
    </w:p>
    <w:p w:rsidR="00284270" w:rsidRDefault="00284270" w:rsidP="0022714B">
      <w:pPr>
        <w:spacing w:line="264" w:lineRule="auto"/>
        <w:rPr>
          <w:spacing w:val="-4"/>
          <w:sz w:val="36"/>
          <w:szCs w:val="36"/>
          <w:rtl/>
          <w:lang w:bidi="ar-AE"/>
        </w:rPr>
      </w:pPr>
      <w:r>
        <w:rPr>
          <w:rFonts w:hint="cs"/>
          <w:spacing w:val="-4"/>
          <w:sz w:val="36"/>
          <w:szCs w:val="36"/>
          <w:rtl/>
          <w:lang w:bidi="ar-AE"/>
        </w:rPr>
        <w:t>فلوصول القارئ إلى القاعدة التي يبحث عنها من المناسب مراعاة الخطوات الآتية:</w:t>
      </w:r>
    </w:p>
    <w:p w:rsidR="00284270" w:rsidRDefault="00284270" w:rsidP="0022714B">
      <w:pPr>
        <w:spacing w:line="264" w:lineRule="auto"/>
        <w:ind w:left="990" w:hanging="423"/>
        <w:rPr>
          <w:sz w:val="36"/>
          <w:szCs w:val="36"/>
          <w:rtl/>
          <w:lang w:bidi="ar-AE"/>
        </w:rPr>
      </w:pPr>
      <w:r>
        <w:rPr>
          <w:rFonts w:hint="cs"/>
          <w:b/>
          <w:bCs/>
          <w:sz w:val="36"/>
          <w:szCs w:val="36"/>
          <w:rtl/>
          <w:lang w:bidi="ar-AE"/>
        </w:rPr>
        <w:t>1</w:t>
      </w:r>
      <w:r>
        <w:rPr>
          <w:rFonts w:hint="cs"/>
          <w:sz w:val="36"/>
          <w:szCs w:val="36"/>
          <w:rtl/>
          <w:lang w:bidi="ar-AE"/>
        </w:rPr>
        <w:t>- يختار القارئ أحد الألفاظ الأساسية في القاعدة.</w:t>
      </w:r>
    </w:p>
    <w:p w:rsidR="00284270" w:rsidRDefault="00284270" w:rsidP="0022714B">
      <w:pPr>
        <w:spacing w:line="264" w:lineRule="auto"/>
        <w:ind w:left="990" w:hanging="423"/>
        <w:rPr>
          <w:sz w:val="36"/>
          <w:szCs w:val="36"/>
        </w:rPr>
      </w:pPr>
      <w:r>
        <w:rPr>
          <w:rFonts w:hint="cs"/>
          <w:b/>
          <w:bCs/>
          <w:sz w:val="36"/>
          <w:szCs w:val="36"/>
          <w:rtl/>
          <w:lang w:bidi="ar-AE"/>
        </w:rPr>
        <w:t>2</w:t>
      </w:r>
      <w:r>
        <w:rPr>
          <w:rFonts w:hint="cs"/>
          <w:sz w:val="36"/>
          <w:szCs w:val="36"/>
          <w:rtl/>
          <w:lang w:bidi="ar-AE"/>
        </w:rPr>
        <w:t>- يعيد هذا اللفظ إلى جذره الذي اشتق منه (وهو الفعل الماضي المجرد).</w:t>
      </w:r>
    </w:p>
    <w:p w:rsidR="00284270" w:rsidRDefault="00284270" w:rsidP="0022714B">
      <w:pPr>
        <w:spacing w:line="264" w:lineRule="auto"/>
        <w:ind w:left="990" w:hanging="423"/>
        <w:rPr>
          <w:sz w:val="36"/>
          <w:szCs w:val="36"/>
        </w:rPr>
      </w:pPr>
      <w:r>
        <w:rPr>
          <w:rFonts w:hint="cs"/>
          <w:b/>
          <w:bCs/>
          <w:sz w:val="36"/>
          <w:szCs w:val="36"/>
          <w:rtl/>
          <w:lang w:bidi="ar-AE"/>
        </w:rPr>
        <w:t>3</w:t>
      </w:r>
      <w:r>
        <w:rPr>
          <w:rFonts w:hint="cs"/>
          <w:sz w:val="36"/>
          <w:szCs w:val="36"/>
          <w:rtl/>
          <w:lang w:bidi="ar-AE"/>
        </w:rPr>
        <w:t>- يبحث عن هذا الجذر في الفـهرس. ومن ثم يبحث عن القاعدة بجوار ذلك الجذر.</w:t>
      </w:r>
    </w:p>
    <w:p w:rsidR="00284270" w:rsidRDefault="00284270" w:rsidP="00AC19C8">
      <w:pPr>
        <w:pStyle w:val="ab"/>
        <w:numPr>
          <w:ilvl w:val="1"/>
          <w:numId w:val="24"/>
        </w:numPr>
        <w:tabs>
          <w:tab w:val="clear" w:pos="1647"/>
        </w:tabs>
        <w:spacing w:line="264" w:lineRule="auto"/>
        <w:ind w:left="1415"/>
        <w:rPr>
          <w:sz w:val="36"/>
          <w:rtl/>
        </w:rPr>
      </w:pPr>
      <w:r>
        <w:rPr>
          <w:rFonts w:hint="cs"/>
          <w:sz w:val="36"/>
          <w:rtl/>
        </w:rPr>
        <w:t>سيجد في القائمة اليُمنى من الفهرس الجذور، مرتبة على حسب حروف الهجاء. وبجوار كل جذر القواعد التي ورد فيها اللفظ المشتق من ذلك الجذر، وقد أُبرز هذا اللفظ باللون الأسود المكبر.</w:t>
      </w:r>
    </w:p>
    <w:p w:rsidR="00284270" w:rsidRDefault="00284270" w:rsidP="00AC19C8">
      <w:pPr>
        <w:widowControl/>
        <w:numPr>
          <w:ilvl w:val="1"/>
          <w:numId w:val="24"/>
        </w:numPr>
        <w:tabs>
          <w:tab w:val="clear" w:pos="1647"/>
        </w:tabs>
        <w:spacing w:line="264" w:lineRule="auto"/>
        <w:ind w:left="1415"/>
        <w:jc w:val="both"/>
        <w:rPr>
          <w:sz w:val="36"/>
          <w:szCs w:val="36"/>
        </w:rPr>
      </w:pPr>
      <w:r>
        <w:rPr>
          <w:rFonts w:hint="cs"/>
          <w:sz w:val="36"/>
          <w:szCs w:val="36"/>
          <w:rtl/>
          <w:lang w:bidi="ar-AE"/>
        </w:rPr>
        <w:t>والرقم المذكور قبل كل قاعدة هو رقمها عند ناظر زاده.</w:t>
      </w:r>
    </w:p>
    <w:p w:rsidR="00284270" w:rsidRDefault="00284270" w:rsidP="00AC19C8">
      <w:pPr>
        <w:widowControl/>
        <w:numPr>
          <w:ilvl w:val="1"/>
          <w:numId w:val="24"/>
        </w:numPr>
        <w:tabs>
          <w:tab w:val="clear" w:pos="1647"/>
        </w:tabs>
        <w:spacing w:line="264" w:lineRule="auto"/>
        <w:ind w:left="1415"/>
        <w:jc w:val="both"/>
        <w:rPr>
          <w:sz w:val="36"/>
          <w:szCs w:val="36"/>
          <w:rtl/>
          <w:lang w:bidi="ar-AE"/>
        </w:rPr>
      </w:pPr>
      <w:r>
        <w:rPr>
          <w:rFonts w:hint="cs"/>
          <w:sz w:val="36"/>
          <w:szCs w:val="36"/>
          <w:rtl/>
          <w:lang w:bidi="ar-AE"/>
        </w:rPr>
        <w:t>يضاف إلى ذلك : أن الجذر إذا كان بجواره أكثر من قاعدة فإن هذه القواعد مرتبة على حروف الهجاء، بحسب أوائل كلماتها.</w:t>
      </w:r>
    </w:p>
    <w:p w:rsidR="00284270" w:rsidRDefault="00284270">
      <w:pPr>
        <w:jc w:val="center"/>
        <w:rPr>
          <w:b/>
          <w:bCs/>
          <w:sz w:val="48"/>
          <w:szCs w:val="48"/>
          <w:rtl/>
          <w:lang w:bidi="ar-AE"/>
        </w:rPr>
      </w:pPr>
      <w:r>
        <w:rPr>
          <w:rtl/>
          <w:lang w:bidi="ar-AE"/>
        </w:rPr>
        <w:br w:type="page"/>
      </w:r>
      <w:r>
        <w:rPr>
          <w:rFonts w:hint="cs"/>
          <w:b/>
          <w:bCs/>
          <w:sz w:val="48"/>
          <w:szCs w:val="48"/>
          <w:rtl/>
          <w:lang w:bidi="ar-AE"/>
        </w:rPr>
        <w:lastRenderedPageBreak/>
        <w:t>(أ)</w:t>
      </w:r>
    </w:p>
    <w:p w:rsidR="00284270" w:rsidRDefault="0022714B">
      <w:pPr>
        <w:rPr>
          <w:rtl/>
          <w:lang w:bidi="ar-AE"/>
        </w:rPr>
      </w:pPr>
      <w:r>
        <w:rPr>
          <w:noProof/>
          <w:rtl/>
        </w:rPr>
        <w:pict>
          <v:rect id="_x0000_s1028" style="position:absolute;left:0;text-align:left;margin-left:165.3pt;margin-top:-36.7pt;width:54.15pt;height:37.05pt;z-index:-251649024;mso-wrap-edited:f" wrapcoords="-379 0 -379 21600 758 22265 23495 22265 23116 997 22358 0 -379 0">
            <v:shadow on="t" offset="3pt" offset2="2pt"/>
          </v:rect>
        </w:pict>
      </w:r>
    </w:p>
    <w:p w:rsidR="00284270" w:rsidRDefault="00284270" w:rsidP="0022714B">
      <w:pPr>
        <w:pStyle w:val="hhhhhh"/>
        <w:ind w:left="2833" w:right="0" w:hanging="2266"/>
        <w:rPr>
          <w:sz w:val="32"/>
          <w:szCs w:val="32"/>
          <w:rtl/>
        </w:rPr>
      </w:pPr>
      <w:r>
        <w:rPr>
          <w:rFonts w:hint="cs"/>
          <w:b/>
          <w:bCs/>
          <w:sz w:val="32"/>
          <w:szCs w:val="32"/>
          <w:rtl/>
        </w:rPr>
        <w:t>أثر</w:t>
      </w:r>
      <w:r>
        <w:rPr>
          <w:rFonts w:hint="cs"/>
          <w:sz w:val="32"/>
          <w:szCs w:val="32"/>
          <w:rtl/>
        </w:rPr>
        <w:t xml:space="preserve"> </w:t>
      </w:r>
      <w:r>
        <w:rPr>
          <w:rFonts w:hint="cs"/>
          <w:sz w:val="32"/>
          <w:szCs w:val="32"/>
          <w:rtl/>
          <w:lang w:bidi="ar-SA"/>
        </w:rPr>
        <w:t xml:space="preserve">         </w:t>
      </w:r>
      <w:r>
        <w:rPr>
          <w:rFonts w:hint="cs"/>
          <w:sz w:val="32"/>
          <w:szCs w:val="32"/>
          <w:rtl/>
        </w:rPr>
        <w:t xml:space="preserve">: ق197 </w:t>
      </w:r>
      <w:r>
        <w:rPr>
          <w:rFonts w:hint="cs"/>
          <w:sz w:val="32"/>
          <w:szCs w:val="32"/>
          <w:rtl/>
        </w:rPr>
        <w:tab/>
        <w:t xml:space="preserve">: لاَ </w:t>
      </w:r>
      <w:r>
        <w:rPr>
          <w:rFonts w:hint="cs"/>
          <w:b/>
          <w:bCs/>
          <w:sz w:val="32"/>
          <w:szCs w:val="32"/>
          <w:rtl/>
        </w:rPr>
        <w:t>تَأْثِيرَ</w:t>
      </w:r>
      <w:r>
        <w:rPr>
          <w:rFonts w:hint="cs"/>
          <w:sz w:val="32"/>
          <w:szCs w:val="32"/>
          <w:rtl/>
        </w:rPr>
        <w:t xml:space="preserve"> للعَزِيمَةِ في تَغْيِيرِ الحَقِيقَةِ.</w:t>
      </w:r>
    </w:p>
    <w:p w:rsidR="00284270" w:rsidRDefault="00284270" w:rsidP="0022714B">
      <w:pPr>
        <w:rPr>
          <w:sz w:val="32"/>
          <w:szCs w:val="32"/>
          <w:rtl/>
        </w:rPr>
      </w:pPr>
      <w:r>
        <w:rPr>
          <w:rFonts w:hint="cs"/>
          <w:b/>
          <w:bCs/>
          <w:sz w:val="32"/>
          <w:szCs w:val="32"/>
          <w:rtl/>
        </w:rPr>
        <w:t>أجر</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ق7 </w:t>
      </w:r>
      <w:r>
        <w:rPr>
          <w:rFonts w:hint="cs"/>
          <w:sz w:val="32"/>
          <w:szCs w:val="32"/>
          <w:rtl/>
        </w:rPr>
        <w:tab/>
      </w:r>
      <w:r>
        <w:rPr>
          <w:rFonts w:hint="cs"/>
          <w:sz w:val="32"/>
          <w:szCs w:val="32"/>
          <w:rtl/>
        </w:rPr>
        <w:tab/>
        <w:t xml:space="preserve">: </w:t>
      </w:r>
      <w:r>
        <w:rPr>
          <w:rFonts w:hint="cs"/>
          <w:b/>
          <w:bCs/>
          <w:sz w:val="32"/>
          <w:szCs w:val="32"/>
          <w:rtl/>
        </w:rPr>
        <w:t>الأجرُ</w:t>
      </w:r>
      <w:r>
        <w:rPr>
          <w:rFonts w:hint="cs"/>
          <w:sz w:val="32"/>
          <w:szCs w:val="32"/>
          <w:rtl/>
        </w:rPr>
        <w:t xml:space="preserve"> والضَّمَانُ لا يَجْتَمِعَانِ. </w:t>
      </w:r>
    </w:p>
    <w:p w:rsidR="00284270" w:rsidRDefault="00284270" w:rsidP="0022714B">
      <w:pPr>
        <w:rPr>
          <w:sz w:val="32"/>
          <w:szCs w:val="32"/>
          <w:rtl/>
        </w:rPr>
      </w:pPr>
      <w:r>
        <w:rPr>
          <w:rFonts w:hint="cs"/>
          <w:b/>
          <w:bCs/>
          <w:sz w:val="32"/>
          <w:szCs w:val="32"/>
          <w:rtl/>
        </w:rPr>
        <w:t>أجل</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ق198 </w:t>
      </w:r>
      <w:r>
        <w:rPr>
          <w:rFonts w:hint="cs"/>
          <w:sz w:val="32"/>
          <w:szCs w:val="32"/>
          <w:rtl/>
        </w:rPr>
        <w:tab/>
        <w:t xml:space="preserve">: لا يصحُّ </w:t>
      </w:r>
      <w:r>
        <w:rPr>
          <w:rFonts w:hint="cs"/>
          <w:b/>
          <w:bCs/>
          <w:sz w:val="32"/>
          <w:szCs w:val="32"/>
          <w:rtl/>
        </w:rPr>
        <w:t>تَأْجِيلُ</w:t>
      </w:r>
      <w:r>
        <w:rPr>
          <w:rFonts w:hint="cs"/>
          <w:sz w:val="32"/>
          <w:szCs w:val="32"/>
          <w:rtl/>
        </w:rPr>
        <w:t xml:space="preserve"> الأَعْيَانِ.</w:t>
      </w:r>
    </w:p>
    <w:p w:rsidR="00284270" w:rsidRDefault="00284270" w:rsidP="0022714B">
      <w:pPr>
        <w:rPr>
          <w:sz w:val="32"/>
          <w:szCs w:val="32"/>
          <w:rtl/>
        </w:rPr>
      </w:pPr>
      <w:r>
        <w:rPr>
          <w:rFonts w:hint="cs"/>
          <w:b/>
          <w:bCs/>
          <w:sz w:val="32"/>
          <w:szCs w:val="32"/>
          <w:rtl/>
        </w:rPr>
        <w:t>أخذ</w:t>
      </w:r>
      <w:r>
        <w:rPr>
          <w:rFonts w:hint="cs"/>
          <w:sz w:val="32"/>
          <w:szCs w:val="32"/>
          <w:rtl/>
        </w:rPr>
        <w:tab/>
      </w:r>
      <w:r>
        <w:rPr>
          <w:sz w:val="32"/>
          <w:szCs w:val="32"/>
        </w:rPr>
        <w:tab/>
      </w:r>
      <w:r>
        <w:rPr>
          <w:rFonts w:hint="cs"/>
          <w:sz w:val="32"/>
          <w:szCs w:val="32"/>
          <w:rtl/>
        </w:rPr>
        <w:t xml:space="preserve">: ق218 </w:t>
      </w:r>
      <w:r>
        <w:rPr>
          <w:rFonts w:hint="cs"/>
          <w:sz w:val="32"/>
          <w:szCs w:val="32"/>
          <w:rtl/>
        </w:rPr>
        <w:tab/>
        <w:t xml:space="preserve">: ما حَرُمَ </w:t>
      </w:r>
      <w:r>
        <w:rPr>
          <w:rFonts w:hint="cs"/>
          <w:b/>
          <w:bCs/>
          <w:sz w:val="32"/>
          <w:szCs w:val="32"/>
          <w:rtl/>
        </w:rPr>
        <w:t>أَخْذُهُ</w:t>
      </w:r>
      <w:r>
        <w:rPr>
          <w:rFonts w:hint="cs"/>
          <w:sz w:val="32"/>
          <w:szCs w:val="32"/>
          <w:rtl/>
        </w:rPr>
        <w:t xml:space="preserve"> حَرُمَ إعْطَاؤُهُ.</w:t>
      </w:r>
    </w:p>
    <w:p w:rsidR="00284270" w:rsidRDefault="00284270" w:rsidP="0022714B">
      <w:pPr>
        <w:rPr>
          <w:sz w:val="32"/>
          <w:szCs w:val="32"/>
          <w:rtl/>
        </w:rPr>
      </w:pPr>
      <w:r>
        <w:rPr>
          <w:rFonts w:hint="cs"/>
          <w:b/>
          <w:bCs/>
          <w:sz w:val="32"/>
          <w:szCs w:val="32"/>
          <w:rtl/>
        </w:rPr>
        <w:t>أرخ</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ق211 </w:t>
      </w:r>
      <w:r>
        <w:rPr>
          <w:rFonts w:hint="cs"/>
          <w:sz w:val="32"/>
          <w:szCs w:val="32"/>
          <w:rtl/>
        </w:rPr>
        <w:tab/>
        <w:t xml:space="preserve">: لاَ عِبْرَةَ </w:t>
      </w:r>
      <w:r>
        <w:rPr>
          <w:rFonts w:hint="cs"/>
          <w:b/>
          <w:bCs/>
          <w:sz w:val="32"/>
          <w:szCs w:val="32"/>
          <w:rtl/>
        </w:rPr>
        <w:t>لِتَارِيخِ</w:t>
      </w:r>
      <w:r>
        <w:rPr>
          <w:rFonts w:hint="cs"/>
          <w:sz w:val="32"/>
          <w:szCs w:val="32"/>
          <w:rtl/>
        </w:rPr>
        <w:t xml:space="preserve"> الغَيْبَةِ.</w:t>
      </w:r>
    </w:p>
    <w:p w:rsidR="00284270" w:rsidRDefault="00284270" w:rsidP="0022714B">
      <w:pPr>
        <w:rPr>
          <w:sz w:val="32"/>
          <w:szCs w:val="32"/>
          <w:rtl/>
        </w:rPr>
      </w:pPr>
      <w:r>
        <w:rPr>
          <w:rFonts w:hint="cs"/>
          <w:b/>
          <w:bCs/>
          <w:sz w:val="32"/>
          <w:szCs w:val="32"/>
          <w:rtl/>
        </w:rPr>
        <w:t>أسس</w:t>
      </w:r>
      <w:r>
        <w:rPr>
          <w:rFonts w:hint="cs"/>
          <w:sz w:val="32"/>
          <w:szCs w:val="32"/>
          <w:rtl/>
        </w:rPr>
        <w:t xml:space="preserve"> </w:t>
      </w:r>
      <w:r>
        <w:rPr>
          <w:sz w:val="32"/>
          <w:szCs w:val="32"/>
        </w:rPr>
        <w:tab/>
      </w:r>
      <w:r>
        <w:rPr>
          <w:rFonts w:hint="cs"/>
          <w:sz w:val="32"/>
          <w:szCs w:val="32"/>
          <w:rtl/>
        </w:rPr>
        <w:tab/>
        <w:t xml:space="preserve">: ق66 </w:t>
      </w:r>
      <w:r>
        <w:rPr>
          <w:rFonts w:hint="cs"/>
          <w:sz w:val="32"/>
          <w:szCs w:val="32"/>
          <w:rtl/>
        </w:rPr>
        <w:tab/>
      </w:r>
      <w:r>
        <w:rPr>
          <w:rFonts w:hint="cs"/>
          <w:sz w:val="32"/>
          <w:szCs w:val="32"/>
          <w:rtl/>
        </w:rPr>
        <w:tab/>
        <w:t xml:space="preserve">: </w:t>
      </w:r>
      <w:r>
        <w:rPr>
          <w:rFonts w:hint="cs"/>
          <w:b/>
          <w:bCs/>
          <w:sz w:val="32"/>
          <w:szCs w:val="32"/>
          <w:rtl/>
        </w:rPr>
        <w:t>التَّأسيسُ</w:t>
      </w:r>
      <w:r>
        <w:rPr>
          <w:rFonts w:hint="cs"/>
          <w:sz w:val="32"/>
          <w:szCs w:val="32"/>
          <w:rtl/>
        </w:rPr>
        <w:t xml:space="preserve"> خيرٌ مِنَ التَّأْكيدِ. </w:t>
      </w:r>
    </w:p>
    <w:p w:rsidR="00284270" w:rsidRDefault="00284270" w:rsidP="0022714B">
      <w:pPr>
        <w:rPr>
          <w:sz w:val="32"/>
          <w:szCs w:val="32"/>
          <w:rtl/>
        </w:rPr>
      </w:pPr>
      <w:r>
        <w:rPr>
          <w:rFonts w:hint="cs"/>
          <w:b/>
          <w:bCs/>
          <w:sz w:val="32"/>
          <w:szCs w:val="32"/>
          <w:rtl/>
        </w:rPr>
        <w:t>أشر</w:t>
      </w:r>
      <w:r>
        <w:rPr>
          <w:rFonts w:hint="cs"/>
          <w:sz w:val="32"/>
          <w:szCs w:val="32"/>
          <w:rtl/>
        </w:rPr>
        <w:tab/>
      </w:r>
      <w:r>
        <w:rPr>
          <w:sz w:val="32"/>
          <w:szCs w:val="32"/>
        </w:rPr>
        <w:tab/>
      </w:r>
      <w:r>
        <w:rPr>
          <w:rFonts w:hint="cs"/>
          <w:sz w:val="32"/>
          <w:szCs w:val="32"/>
          <w:rtl/>
        </w:rPr>
        <w:t xml:space="preserve">: ق23 </w:t>
      </w:r>
      <w:r>
        <w:rPr>
          <w:rFonts w:hint="cs"/>
          <w:sz w:val="32"/>
          <w:szCs w:val="32"/>
          <w:rtl/>
        </w:rPr>
        <w:tab/>
      </w:r>
      <w:r>
        <w:rPr>
          <w:rFonts w:hint="cs"/>
          <w:sz w:val="32"/>
          <w:szCs w:val="32"/>
          <w:rtl/>
        </w:rPr>
        <w:tab/>
        <w:t xml:space="preserve">: </w:t>
      </w:r>
      <w:r>
        <w:rPr>
          <w:rFonts w:hint="cs"/>
          <w:b/>
          <w:bCs/>
          <w:sz w:val="32"/>
          <w:szCs w:val="32"/>
          <w:rtl/>
        </w:rPr>
        <w:t>الإِشَارَةُ</w:t>
      </w:r>
      <w:r>
        <w:rPr>
          <w:rFonts w:hint="cs"/>
          <w:sz w:val="32"/>
          <w:szCs w:val="32"/>
          <w:rtl/>
        </w:rPr>
        <w:t xml:space="preserve"> إِنَّما تَقُومُ مَقَامَ العَبَارَةِ إِذَا كَانَتْ مَعْهُودَةً. </w:t>
      </w:r>
    </w:p>
    <w:p w:rsidR="00284270" w:rsidRDefault="00284270" w:rsidP="0022714B">
      <w:pPr>
        <w:rPr>
          <w:sz w:val="32"/>
          <w:szCs w:val="32"/>
          <w:rtl/>
        </w:rPr>
      </w:pPr>
      <w:r>
        <w:rPr>
          <w:rFonts w:hint="cs"/>
          <w:b/>
          <w:bCs/>
          <w:sz w:val="32"/>
          <w:szCs w:val="32"/>
          <w:rtl/>
        </w:rPr>
        <w:t>أصل</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ق11 </w:t>
      </w:r>
      <w:r>
        <w:rPr>
          <w:rFonts w:hint="cs"/>
          <w:sz w:val="32"/>
          <w:szCs w:val="32"/>
          <w:rtl/>
        </w:rPr>
        <w:tab/>
      </w:r>
      <w:r>
        <w:rPr>
          <w:rFonts w:hint="cs"/>
          <w:sz w:val="32"/>
          <w:szCs w:val="32"/>
          <w:rtl/>
        </w:rPr>
        <w:tab/>
        <w:t xml:space="preserve">: </w:t>
      </w:r>
      <w:r>
        <w:rPr>
          <w:rFonts w:hint="eastAsia"/>
          <w:sz w:val="32"/>
          <w:szCs w:val="32"/>
          <w:rtl/>
        </w:rPr>
        <w:t>إذا</w:t>
      </w:r>
      <w:r>
        <w:rPr>
          <w:sz w:val="32"/>
          <w:szCs w:val="32"/>
          <w:rtl/>
        </w:rPr>
        <w:t xml:space="preserve"> تعذَّرَ </w:t>
      </w:r>
      <w:r>
        <w:rPr>
          <w:b/>
          <w:bCs/>
          <w:sz w:val="32"/>
          <w:szCs w:val="32"/>
          <w:rtl/>
        </w:rPr>
        <w:t>الأصلُ</w:t>
      </w:r>
      <w:r>
        <w:rPr>
          <w:sz w:val="32"/>
          <w:szCs w:val="32"/>
          <w:rtl/>
        </w:rPr>
        <w:t xml:space="preserve"> يُصَارُ إلى البَدَلِ</w:t>
      </w:r>
      <w:r>
        <w:rPr>
          <w:rFonts w:hint="cs"/>
          <w:sz w:val="32"/>
          <w:szCs w:val="32"/>
          <w:rtl/>
        </w:rPr>
        <w:t xml:space="preserve">.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 </w:t>
      </w:r>
      <w:r>
        <w:rPr>
          <w:rFonts w:hint="cs"/>
          <w:sz w:val="32"/>
          <w:szCs w:val="32"/>
          <w:rtl/>
        </w:rPr>
        <w:tab/>
      </w:r>
      <w:r>
        <w:rPr>
          <w:rFonts w:hint="cs"/>
          <w:sz w:val="32"/>
          <w:szCs w:val="32"/>
          <w:rtl/>
        </w:rPr>
        <w:tab/>
        <w:t xml:space="preserve">: اسْتِدَامَةُ الشَّيءِ تُعْتَبَرُ </w:t>
      </w:r>
      <w:r>
        <w:rPr>
          <w:rFonts w:hint="cs"/>
          <w:b/>
          <w:bCs/>
          <w:sz w:val="32"/>
          <w:szCs w:val="32"/>
          <w:rtl/>
        </w:rPr>
        <w:t>بِأَصْلِهِ</w:t>
      </w:r>
      <w:r>
        <w:rPr>
          <w:rFonts w:hint="cs"/>
          <w:sz w:val="32"/>
          <w:szCs w:val="32"/>
          <w:rtl/>
        </w:rPr>
        <w:t xml:space="preserve">.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ق29 </w:t>
      </w:r>
      <w:r>
        <w:rPr>
          <w:rFonts w:hint="cs"/>
          <w:sz w:val="32"/>
          <w:szCs w:val="32"/>
          <w:rtl/>
        </w:rPr>
        <w:tab/>
      </w:r>
      <w:r>
        <w:rPr>
          <w:rFonts w:hint="cs"/>
          <w:sz w:val="32"/>
          <w:szCs w:val="32"/>
          <w:rtl/>
        </w:rPr>
        <w:tab/>
        <w:t xml:space="preserve">: </w:t>
      </w:r>
      <w:r>
        <w:rPr>
          <w:rFonts w:hint="cs"/>
          <w:b/>
          <w:bCs/>
          <w:sz w:val="32"/>
          <w:szCs w:val="32"/>
          <w:rtl/>
        </w:rPr>
        <w:t>الأَصْلُ</w:t>
      </w:r>
      <w:r>
        <w:rPr>
          <w:rFonts w:hint="cs"/>
          <w:sz w:val="32"/>
          <w:szCs w:val="32"/>
          <w:rtl/>
        </w:rPr>
        <w:t xml:space="preserve"> إِضَافَةُ الحَادِثِ إلى أقرَبِ أوْقَاتِهِ. </w:t>
      </w:r>
    </w:p>
    <w:p w:rsidR="00284270" w:rsidRDefault="00284270" w:rsidP="0022714B">
      <w:pPr>
        <w:ind w:left="2833" w:hanging="2266"/>
        <w:rPr>
          <w:sz w:val="32"/>
          <w:szCs w:val="32"/>
          <w:rtl/>
        </w:rPr>
      </w:pPr>
      <w:r>
        <w:rPr>
          <w:rFonts w:hint="cs"/>
          <w:sz w:val="32"/>
          <w:szCs w:val="32"/>
          <w:rtl/>
        </w:rPr>
        <w:t xml:space="preserve">               ق31 </w:t>
      </w:r>
      <w:r>
        <w:rPr>
          <w:rFonts w:hint="cs"/>
          <w:sz w:val="32"/>
          <w:szCs w:val="32"/>
          <w:rtl/>
        </w:rPr>
        <w:tab/>
        <w:t xml:space="preserve">: </w:t>
      </w:r>
      <w:r>
        <w:rPr>
          <w:rFonts w:hint="cs"/>
          <w:b/>
          <w:bCs/>
          <w:sz w:val="32"/>
          <w:szCs w:val="32"/>
          <w:rtl/>
        </w:rPr>
        <w:t>الأصلُ</w:t>
      </w:r>
      <w:r>
        <w:rPr>
          <w:rFonts w:hint="cs"/>
          <w:sz w:val="32"/>
          <w:szCs w:val="32"/>
          <w:rtl/>
        </w:rPr>
        <w:t xml:space="preserve"> : أَنَّ كُلَّ تصرُّفٍ يُوقَفُ حُكْمُهُ على شيءٍ : أنْ يُجْعَلَ مُعَلَّقًا بالشَّرْطِ، لا سببًا، إلاَّ فِيمَا لا يَحْتَمِلُ التَّعلِيقَ.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 </w:t>
      </w:r>
      <w:r>
        <w:rPr>
          <w:rFonts w:hint="cs"/>
          <w:sz w:val="32"/>
          <w:szCs w:val="32"/>
          <w:rtl/>
        </w:rPr>
        <w:tab/>
      </w:r>
      <w:r>
        <w:rPr>
          <w:rFonts w:hint="cs"/>
          <w:sz w:val="32"/>
          <w:szCs w:val="32"/>
          <w:rtl/>
        </w:rPr>
        <w:tab/>
        <w:t xml:space="preserve">: </w:t>
      </w:r>
      <w:r>
        <w:rPr>
          <w:rFonts w:hint="cs"/>
          <w:b/>
          <w:bCs/>
          <w:sz w:val="32"/>
          <w:szCs w:val="32"/>
          <w:rtl/>
        </w:rPr>
        <w:t>الأَصْلُ</w:t>
      </w:r>
      <w:r>
        <w:rPr>
          <w:rFonts w:hint="cs"/>
          <w:sz w:val="32"/>
          <w:szCs w:val="32"/>
          <w:rtl/>
        </w:rPr>
        <w:t xml:space="preserve"> بَرَاءَةُ الذِّمَّةِ.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ق25 </w:t>
      </w:r>
      <w:r>
        <w:rPr>
          <w:rFonts w:hint="cs"/>
          <w:sz w:val="32"/>
          <w:szCs w:val="32"/>
          <w:rtl/>
        </w:rPr>
        <w:tab/>
      </w:r>
      <w:r>
        <w:rPr>
          <w:rFonts w:hint="cs"/>
          <w:sz w:val="32"/>
          <w:szCs w:val="32"/>
          <w:rtl/>
        </w:rPr>
        <w:tab/>
        <w:t xml:space="preserve">: </w:t>
      </w:r>
      <w:r>
        <w:rPr>
          <w:rFonts w:hint="cs"/>
          <w:b/>
          <w:bCs/>
          <w:sz w:val="32"/>
          <w:szCs w:val="32"/>
          <w:rtl/>
        </w:rPr>
        <w:t>الأَصْلُ</w:t>
      </w:r>
      <w:r>
        <w:rPr>
          <w:rFonts w:hint="cs"/>
          <w:sz w:val="32"/>
          <w:szCs w:val="32"/>
          <w:rtl/>
        </w:rPr>
        <w:t xml:space="preserve"> بَقَاءُ مَا كَانَ عَلَى مَا كَانَ.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ق27 </w:t>
      </w:r>
      <w:r>
        <w:rPr>
          <w:rFonts w:hint="cs"/>
          <w:sz w:val="32"/>
          <w:szCs w:val="32"/>
          <w:rtl/>
        </w:rPr>
        <w:tab/>
      </w:r>
      <w:r>
        <w:rPr>
          <w:rFonts w:hint="cs"/>
          <w:sz w:val="32"/>
          <w:szCs w:val="32"/>
          <w:rtl/>
        </w:rPr>
        <w:tab/>
        <w:t xml:space="preserve">: </w:t>
      </w:r>
      <w:r>
        <w:rPr>
          <w:rFonts w:hint="cs"/>
          <w:b/>
          <w:bCs/>
          <w:sz w:val="32"/>
          <w:szCs w:val="32"/>
          <w:rtl/>
        </w:rPr>
        <w:t>الأَصْلُ</w:t>
      </w:r>
      <w:r>
        <w:rPr>
          <w:rFonts w:hint="cs"/>
          <w:sz w:val="32"/>
          <w:szCs w:val="32"/>
          <w:rtl/>
        </w:rPr>
        <w:t xml:space="preserve"> العَدَمُ فِي الصِّفَاتِ العَارِضَةِ.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ق28 </w:t>
      </w:r>
      <w:r>
        <w:rPr>
          <w:rFonts w:hint="cs"/>
          <w:sz w:val="32"/>
          <w:szCs w:val="32"/>
          <w:rtl/>
        </w:rPr>
        <w:tab/>
      </w:r>
      <w:r>
        <w:rPr>
          <w:rFonts w:hint="cs"/>
          <w:sz w:val="32"/>
          <w:szCs w:val="32"/>
          <w:rtl/>
        </w:rPr>
        <w:tab/>
        <w:t xml:space="preserve">: وَاعْلَمْ أنَّ </w:t>
      </w:r>
      <w:r>
        <w:rPr>
          <w:rFonts w:hint="cs"/>
          <w:b/>
          <w:bCs/>
          <w:sz w:val="32"/>
          <w:szCs w:val="32"/>
          <w:rtl/>
        </w:rPr>
        <w:t>الأَصْلَ</w:t>
      </w:r>
      <w:r>
        <w:rPr>
          <w:rFonts w:hint="cs"/>
          <w:sz w:val="32"/>
          <w:szCs w:val="32"/>
          <w:rtl/>
        </w:rPr>
        <w:t xml:space="preserve"> فِي الصِّفَاتِ </w:t>
      </w:r>
      <w:r>
        <w:rPr>
          <w:rFonts w:hint="cs"/>
          <w:b/>
          <w:bCs/>
          <w:sz w:val="32"/>
          <w:szCs w:val="32"/>
          <w:rtl/>
        </w:rPr>
        <w:t>الأَصْلِيَّةِ</w:t>
      </w:r>
      <w:r>
        <w:rPr>
          <w:rFonts w:hint="cs"/>
          <w:sz w:val="32"/>
          <w:szCs w:val="32"/>
          <w:rtl/>
        </w:rPr>
        <w:t xml:space="preserve"> الوُجُودُ.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ق30 </w:t>
      </w:r>
      <w:r>
        <w:rPr>
          <w:rFonts w:hint="cs"/>
          <w:sz w:val="32"/>
          <w:szCs w:val="32"/>
          <w:rtl/>
        </w:rPr>
        <w:tab/>
      </w:r>
      <w:r>
        <w:rPr>
          <w:rFonts w:hint="cs"/>
          <w:sz w:val="32"/>
          <w:szCs w:val="32"/>
          <w:rtl/>
        </w:rPr>
        <w:tab/>
        <w:t xml:space="preserve">: </w:t>
      </w:r>
      <w:r>
        <w:rPr>
          <w:rFonts w:hint="cs"/>
          <w:b/>
          <w:bCs/>
          <w:sz w:val="32"/>
          <w:szCs w:val="32"/>
          <w:rtl/>
        </w:rPr>
        <w:t>الأَصْلُ</w:t>
      </w:r>
      <w:r>
        <w:rPr>
          <w:rFonts w:hint="cs"/>
          <w:sz w:val="32"/>
          <w:szCs w:val="32"/>
          <w:rtl/>
        </w:rPr>
        <w:t xml:space="preserve"> فِي الوَكَالَةِ الخُصُوصُ، وفِي المُضَارَبَةِ العُمُومُ.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ق177 </w:t>
      </w:r>
      <w:r>
        <w:rPr>
          <w:rFonts w:hint="cs"/>
          <w:sz w:val="32"/>
          <w:szCs w:val="32"/>
          <w:rtl/>
        </w:rPr>
        <w:tab/>
        <w:t xml:space="preserve">: قَدْ يَثْبُتُ الفَرْعُ و إِنْ لَمْ يَثْبُتِ </w:t>
      </w:r>
      <w:r>
        <w:rPr>
          <w:rFonts w:hint="cs"/>
          <w:b/>
          <w:bCs/>
          <w:sz w:val="32"/>
          <w:szCs w:val="32"/>
          <w:rtl/>
        </w:rPr>
        <w:t>الأَصْلُ</w:t>
      </w:r>
      <w:r>
        <w:rPr>
          <w:rFonts w:hint="cs"/>
          <w:sz w:val="32"/>
          <w:szCs w:val="32"/>
          <w:rtl/>
        </w:rPr>
        <w:t>.</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ق262 </w:t>
      </w:r>
      <w:r>
        <w:rPr>
          <w:rFonts w:hint="cs"/>
          <w:sz w:val="32"/>
          <w:szCs w:val="32"/>
          <w:rtl/>
        </w:rPr>
        <w:tab/>
        <w:t xml:space="preserve">: يَسْقُطُ الفَرْعُ إذا سَقَطَ </w:t>
      </w:r>
      <w:r>
        <w:rPr>
          <w:rFonts w:hint="cs"/>
          <w:b/>
          <w:bCs/>
          <w:sz w:val="32"/>
          <w:szCs w:val="32"/>
          <w:rtl/>
        </w:rPr>
        <w:t>الأَصْلُ</w:t>
      </w:r>
      <w:r>
        <w:rPr>
          <w:rFonts w:hint="cs"/>
          <w:sz w:val="32"/>
          <w:szCs w:val="32"/>
          <w:rtl/>
        </w:rPr>
        <w:t>.</w:t>
      </w:r>
    </w:p>
    <w:p w:rsidR="00284270" w:rsidRDefault="00284270" w:rsidP="0022714B">
      <w:pPr>
        <w:rPr>
          <w:sz w:val="32"/>
          <w:szCs w:val="32"/>
          <w:rtl/>
        </w:rPr>
      </w:pPr>
      <w:r>
        <w:rPr>
          <w:rFonts w:hint="cs"/>
          <w:b/>
          <w:bCs/>
          <w:sz w:val="32"/>
          <w:szCs w:val="32"/>
          <w:rtl/>
        </w:rPr>
        <w:t>أكد</w:t>
      </w:r>
      <w:r>
        <w:rPr>
          <w:rFonts w:hint="cs"/>
          <w:sz w:val="32"/>
          <w:szCs w:val="32"/>
          <w:rtl/>
        </w:rPr>
        <w:tab/>
      </w:r>
      <w:r>
        <w:rPr>
          <w:sz w:val="32"/>
          <w:szCs w:val="32"/>
        </w:rPr>
        <w:tab/>
      </w:r>
      <w:r>
        <w:rPr>
          <w:rFonts w:hint="cs"/>
          <w:sz w:val="32"/>
          <w:szCs w:val="32"/>
          <w:rtl/>
        </w:rPr>
        <w:t xml:space="preserve">: ق66 </w:t>
      </w:r>
      <w:r>
        <w:rPr>
          <w:rFonts w:hint="cs"/>
          <w:sz w:val="32"/>
          <w:szCs w:val="32"/>
          <w:rtl/>
        </w:rPr>
        <w:tab/>
      </w:r>
      <w:r>
        <w:rPr>
          <w:rFonts w:hint="cs"/>
          <w:sz w:val="32"/>
          <w:szCs w:val="32"/>
          <w:rtl/>
        </w:rPr>
        <w:tab/>
        <w:t xml:space="preserve">: التَّأسيسُ خيرٌ مِنَ </w:t>
      </w:r>
      <w:r>
        <w:rPr>
          <w:rFonts w:hint="cs"/>
          <w:b/>
          <w:bCs/>
          <w:sz w:val="32"/>
          <w:szCs w:val="32"/>
          <w:rtl/>
        </w:rPr>
        <w:t>التَّأْكيدِ</w:t>
      </w:r>
      <w:r>
        <w:rPr>
          <w:rFonts w:hint="cs"/>
          <w:sz w:val="32"/>
          <w:szCs w:val="32"/>
          <w:rtl/>
        </w:rPr>
        <w:t xml:space="preserve">. </w:t>
      </w:r>
    </w:p>
    <w:p w:rsidR="00284270" w:rsidRDefault="00284270" w:rsidP="0022714B">
      <w:pPr>
        <w:pStyle w:val="21"/>
        <w:ind w:left="2832" w:hanging="2835"/>
        <w:rPr>
          <w:sz w:val="32"/>
          <w:szCs w:val="32"/>
          <w:rtl/>
        </w:rPr>
      </w:pPr>
      <w:r>
        <w:rPr>
          <w:rFonts w:hint="cs"/>
          <w:sz w:val="32"/>
          <w:szCs w:val="32"/>
          <w:rtl/>
        </w:rPr>
        <w:t xml:space="preserve">                      ق67 </w:t>
      </w:r>
      <w:r>
        <w:rPr>
          <w:rFonts w:hint="cs"/>
          <w:sz w:val="32"/>
          <w:szCs w:val="32"/>
          <w:rtl/>
        </w:rPr>
        <w:tab/>
        <w:t xml:space="preserve">: </w:t>
      </w:r>
      <w:r>
        <w:rPr>
          <w:rFonts w:hint="cs"/>
          <w:b w:val="0"/>
          <w:bCs w:val="0"/>
          <w:sz w:val="32"/>
          <w:szCs w:val="32"/>
          <w:rtl/>
        </w:rPr>
        <w:t>تَأكيدُ</w:t>
      </w:r>
      <w:r>
        <w:rPr>
          <w:rFonts w:hint="cs"/>
          <w:sz w:val="32"/>
          <w:szCs w:val="32"/>
          <w:rtl/>
        </w:rPr>
        <w:t xml:space="preserve"> مَا كانَ على شَرَفِ السُّقُوطِ يجرِي مجرَى الإتْلاَفِ في إيجابِ الضَّمانِ. </w:t>
      </w:r>
    </w:p>
    <w:p w:rsidR="00284270" w:rsidRDefault="00284270">
      <w:pPr>
        <w:rPr>
          <w:sz w:val="32"/>
          <w:szCs w:val="32"/>
          <w:rtl/>
        </w:rPr>
      </w:pPr>
      <w:r>
        <w:rPr>
          <w:rFonts w:hint="cs"/>
          <w:b/>
          <w:bCs/>
          <w:sz w:val="32"/>
          <w:szCs w:val="32"/>
          <w:rtl/>
        </w:rPr>
        <w:t>أمر</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ق46 </w:t>
      </w:r>
      <w:r>
        <w:rPr>
          <w:rFonts w:hint="cs"/>
          <w:sz w:val="32"/>
          <w:szCs w:val="32"/>
          <w:rtl/>
        </w:rPr>
        <w:tab/>
      </w:r>
      <w:r>
        <w:rPr>
          <w:rFonts w:hint="cs"/>
          <w:sz w:val="32"/>
          <w:szCs w:val="32"/>
          <w:rtl/>
        </w:rPr>
        <w:tab/>
        <w:t xml:space="preserve">: </w:t>
      </w:r>
      <w:r>
        <w:rPr>
          <w:rFonts w:hint="cs"/>
          <w:b/>
          <w:bCs/>
          <w:sz w:val="32"/>
          <w:szCs w:val="32"/>
          <w:rtl/>
        </w:rPr>
        <w:t xml:space="preserve">الأَمْرُ </w:t>
      </w:r>
      <w:r>
        <w:rPr>
          <w:rFonts w:hint="cs"/>
          <w:sz w:val="32"/>
          <w:szCs w:val="32"/>
          <w:rtl/>
        </w:rPr>
        <w:t xml:space="preserve">بالتَّصَرُّفِ فِي مِلْكِ الغَيْرِ بَاطِلٌ.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 </w:t>
      </w:r>
      <w:r>
        <w:rPr>
          <w:rFonts w:hint="cs"/>
          <w:sz w:val="32"/>
          <w:szCs w:val="32"/>
          <w:rtl/>
        </w:rPr>
        <w:tab/>
      </w:r>
      <w:r>
        <w:rPr>
          <w:rFonts w:hint="cs"/>
          <w:sz w:val="32"/>
          <w:szCs w:val="32"/>
          <w:rtl/>
        </w:rPr>
        <w:tab/>
        <w:t xml:space="preserve">: </w:t>
      </w:r>
      <w:r>
        <w:rPr>
          <w:rFonts w:hint="cs"/>
          <w:b/>
          <w:bCs/>
          <w:sz w:val="32"/>
          <w:szCs w:val="32"/>
          <w:rtl/>
        </w:rPr>
        <w:t>الآمرُ</w:t>
      </w:r>
      <w:r>
        <w:rPr>
          <w:rFonts w:hint="cs"/>
          <w:sz w:val="32"/>
          <w:szCs w:val="32"/>
          <w:rtl/>
        </w:rPr>
        <w:t xml:space="preserve"> لاَ يضمنُ بالأمرِ</w:t>
      </w:r>
      <w:r>
        <w:rPr>
          <w:rFonts w:hint="cs"/>
          <w:sz w:val="32"/>
          <w:szCs w:val="32"/>
          <w:rtl/>
          <w:lang w:bidi="ar-AE"/>
        </w:rPr>
        <w:t>.</w:t>
      </w:r>
      <w:r>
        <w:rPr>
          <w:rFonts w:hint="cs"/>
          <w:sz w:val="32"/>
          <w:szCs w:val="32"/>
          <w:rtl/>
        </w:rPr>
        <w:t xml:space="preserve"> </w:t>
      </w:r>
    </w:p>
    <w:p w:rsidR="00284270" w:rsidRDefault="00284270">
      <w:pPr>
        <w:rPr>
          <w:sz w:val="32"/>
          <w:szCs w:val="32"/>
          <w:rtl/>
        </w:rPr>
      </w:pPr>
      <w:r>
        <w:rPr>
          <w:rFonts w:hint="cs"/>
          <w:sz w:val="38"/>
          <w:rtl/>
        </w:rPr>
        <w:lastRenderedPageBreak/>
        <w:tab/>
      </w:r>
      <w:r>
        <w:rPr>
          <w:rFonts w:hint="cs"/>
          <w:sz w:val="38"/>
          <w:rtl/>
        </w:rPr>
        <w:tab/>
      </w:r>
      <w:r>
        <w:rPr>
          <w:sz w:val="38"/>
        </w:rPr>
        <w:tab/>
      </w:r>
      <w:r>
        <w:rPr>
          <w:rFonts w:hint="cs"/>
          <w:sz w:val="32"/>
          <w:szCs w:val="32"/>
          <w:rtl/>
        </w:rPr>
        <w:t xml:space="preserve">  ق47 </w:t>
      </w:r>
      <w:r>
        <w:rPr>
          <w:rFonts w:hint="cs"/>
          <w:sz w:val="32"/>
          <w:szCs w:val="32"/>
          <w:rtl/>
        </w:rPr>
        <w:tab/>
      </w:r>
      <w:r>
        <w:rPr>
          <w:rFonts w:hint="cs"/>
          <w:sz w:val="32"/>
          <w:szCs w:val="32"/>
          <w:rtl/>
        </w:rPr>
        <w:tab/>
        <w:t xml:space="preserve">: </w:t>
      </w:r>
      <w:r>
        <w:rPr>
          <w:rFonts w:hint="cs"/>
          <w:b/>
          <w:bCs/>
          <w:sz w:val="32"/>
          <w:szCs w:val="32"/>
          <w:rtl/>
        </w:rPr>
        <w:t>الأَمْرُ</w:t>
      </w:r>
      <w:r>
        <w:rPr>
          <w:rFonts w:hint="cs"/>
          <w:sz w:val="32"/>
          <w:szCs w:val="32"/>
          <w:rtl/>
        </w:rPr>
        <w:t xml:space="preserve"> يُفِيدُ وُجُوبَ إِيْقَاعِ الفِعْلِ مَرَّةً.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ق48 </w:t>
      </w:r>
      <w:r>
        <w:rPr>
          <w:rFonts w:hint="cs"/>
          <w:sz w:val="32"/>
          <w:szCs w:val="32"/>
          <w:rtl/>
        </w:rPr>
        <w:tab/>
      </w:r>
      <w:r>
        <w:rPr>
          <w:rFonts w:hint="cs"/>
          <w:sz w:val="32"/>
          <w:szCs w:val="32"/>
          <w:rtl/>
        </w:rPr>
        <w:tab/>
        <w:t xml:space="preserve">: </w:t>
      </w:r>
      <w:r>
        <w:rPr>
          <w:rFonts w:hint="cs"/>
          <w:b/>
          <w:bCs/>
          <w:sz w:val="32"/>
          <w:szCs w:val="32"/>
          <w:rtl/>
        </w:rPr>
        <w:t>الأُمُورُ</w:t>
      </w:r>
      <w:r>
        <w:rPr>
          <w:rFonts w:hint="cs"/>
          <w:sz w:val="32"/>
          <w:szCs w:val="32"/>
          <w:rtl/>
        </w:rPr>
        <w:t xml:space="preserve"> بمقاصِدِهَا. </w:t>
      </w:r>
    </w:p>
    <w:p w:rsidR="00284270" w:rsidRDefault="00284270" w:rsidP="0022714B">
      <w:pPr>
        <w:pStyle w:val="21"/>
        <w:ind w:firstLine="139"/>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ق174 </w:t>
      </w:r>
      <w:r>
        <w:rPr>
          <w:rFonts w:hint="cs"/>
          <w:sz w:val="32"/>
          <w:szCs w:val="32"/>
          <w:rtl/>
        </w:rPr>
        <w:tab/>
        <w:t xml:space="preserve">: فِي كُلِّ مَوْضِعٍ يملكُ المدفوعُ إليهِ المالَ المدفوعَ إليهِ مقابَلاً </w:t>
      </w:r>
      <w:r>
        <w:rPr>
          <w:sz w:val="32"/>
          <w:szCs w:val="32"/>
          <w:rtl/>
        </w:rPr>
        <w:br/>
      </w:r>
      <w:r>
        <w:rPr>
          <w:rFonts w:hint="cs"/>
          <w:sz w:val="32"/>
          <w:szCs w:val="32"/>
          <w:rtl/>
        </w:rPr>
        <w:t xml:space="preserve">                                      بِمِلْكٍ: فإنَّ </w:t>
      </w:r>
      <w:r>
        <w:rPr>
          <w:rFonts w:hint="cs"/>
          <w:b w:val="0"/>
          <w:bCs w:val="0"/>
          <w:sz w:val="32"/>
          <w:szCs w:val="32"/>
          <w:rtl/>
        </w:rPr>
        <w:t>المأمورَ</w:t>
      </w:r>
      <w:r>
        <w:rPr>
          <w:rFonts w:hint="cs"/>
          <w:sz w:val="32"/>
          <w:szCs w:val="32"/>
          <w:rtl/>
        </w:rPr>
        <w:t xml:space="preserve"> يرجعُ بِلاَ شَرْطٍ ، وإلاَّ فَلاَ.</w:t>
      </w:r>
    </w:p>
    <w:p w:rsidR="00284270" w:rsidRDefault="00284270" w:rsidP="0022714B">
      <w:pPr>
        <w:ind w:left="170" w:firstLine="397"/>
        <w:rPr>
          <w:sz w:val="32"/>
          <w:szCs w:val="32"/>
          <w:rtl/>
        </w:rPr>
      </w:pPr>
      <w:r>
        <w:rPr>
          <w:rFonts w:hint="cs"/>
          <w:b/>
          <w:bCs/>
          <w:sz w:val="32"/>
          <w:szCs w:val="32"/>
          <w:rtl/>
        </w:rPr>
        <w:t>أمم</w:t>
      </w:r>
      <w:r>
        <w:rPr>
          <w:rFonts w:hint="cs"/>
          <w:sz w:val="32"/>
          <w:szCs w:val="32"/>
          <w:rtl/>
        </w:rPr>
        <w:tab/>
      </w:r>
      <w:r>
        <w:rPr>
          <w:sz w:val="32"/>
          <w:szCs w:val="32"/>
        </w:rPr>
        <w:tab/>
      </w:r>
      <w:r>
        <w:rPr>
          <w:rFonts w:hint="cs"/>
          <w:sz w:val="32"/>
          <w:szCs w:val="32"/>
          <w:rtl/>
        </w:rPr>
        <w:t xml:space="preserve">: ق75 </w:t>
      </w:r>
      <w:r>
        <w:rPr>
          <w:rFonts w:hint="cs"/>
          <w:sz w:val="32"/>
          <w:szCs w:val="32"/>
          <w:rtl/>
        </w:rPr>
        <w:tab/>
      </w:r>
      <w:r>
        <w:rPr>
          <w:rFonts w:hint="cs"/>
          <w:sz w:val="32"/>
          <w:szCs w:val="32"/>
          <w:rtl/>
        </w:rPr>
        <w:tab/>
        <w:t xml:space="preserve">: تصَرُّفُ </w:t>
      </w:r>
      <w:r>
        <w:rPr>
          <w:rFonts w:hint="cs"/>
          <w:b/>
          <w:bCs/>
          <w:sz w:val="32"/>
          <w:szCs w:val="32"/>
          <w:rtl/>
        </w:rPr>
        <w:t>الإمام</w:t>
      </w:r>
      <w:r>
        <w:rPr>
          <w:rFonts w:hint="cs"/>
          <w:sz w:val="32"/>
          <w:szCs w:val="32"/>
          <w:rtl/>
        </w:rPr>
        <w:t xml:space="preserve">ِ على الرَّعيَّةِ مَنُوطٌ بالـمصلحةِ. </w:t>
      </w:r>
    </w:p>
    <w:p w:rsidR="00284270" w:rsidRDefault="00284270">
      <w:pPr>
        <w:rPr>
          <w:sz w:val="38"/>
          <w:rtl/>
        </w:rPr>
      </w:pPr>
    </w:p>
    <w:p w:rsidR="00284270" w:rsidRDefault="0022714B">
      <w:pPr>
        <w:jc w:val="center"/>
        <w:rPr>
          <w:b/>
          <w:bCs/>
          <w:sz w:val="48"/>
          <w:szCs w:val="48"/>
          <w:rtl/>
        </w:rPr>
      </w:pPr>
      <w:r>
        <w:rPr>
          <w:b/>
          <w:bCs/>
          <w:noProof/>
          <w:szCs w:val="48"/>
          <w:rtl/>
        </w:rPr>
        <w:pict>
          <v:rect id="_x0000_s1029" style="position:absolute;left:0;text-align:left;margin-left:165.3pt;margin-top:1.35pt;width:54.15pt;height:37.05pt;z-index:-251648000;mso-wrap-edited:f" wrapcoords="-379 0 -379 21600 758 22265 23495 22265 23116 997 22358 0 -379 0">
            <v:shadow on="t" offset="3pt" offset2="2pt"/>
          </v:rect>
        </w:pict>
      </w:r>
      <w:r w:rsidR="00284270">
        <w:rPr>
          <w:rFonts w:hint="cs"/>
          <w:b/>
          <w:bCs/>
          <w:sz w:val="48"/>
          <w:szCs w:val="48"/>
          <w:rtl/>
        </w:rPr>
        <w:t>(ب)</w:t>
      </w:r>
    </w:p>
    <w:p w:rsidR="00284270" w:rsidRDefault="00284270">
      <w:pPr>
        <w:rPr>
          <w:sz w:val="38"/>
          <w:rtl/>
        </w:rPr>
      </w:pPr>
    </w:p>
    <w:p w:rsidR="00284270" w:rsidRDefault="00284270">
      <w:pPr>
        <w:rPr>
          <w:sz w:val="32"/>
          <w:szCs w:val="32"/>
          <w:rtl/>
        </w:rPr>
      </w:pPr>
      <w:r w:rsidRPr="00413FA7">
        <w:rPr>
          <w:rFonts w:hint="cs"/>
          <w:b/>
          <w:bCs/>
          <w:sz w:val="32"/>
          <w:szCs w:val="32"/>
          <w:rtl/>
        </w:rPr>
        <w:t xml:space="preserve">باع </w:t>
      </w:r>
      <w:r>
        <w:rPr>
          <w:rFonts w:hint="cs"/>
          <w:sz w:val="32"/>
          <w:szCs w:val="32"/>
          <w:rtl/>
        </w:rPr>
        <w:tab/>
      </w:r>
      <w:r>
        <w:rPr>
          <w:sz w:val="32"/>
          <w:szCs w:val="32"/>
        </w:rPr>
        <w:tab/>
      </w:r>
      <w:r>
        <w:rPr>
          <w:rFonts w:hint="cs"/>
          <w:sz w:val="32"/>
          <w:szCs w:val="32"/>
          <w:rtl/>
        </w:rPr>
        <w:t xml:space="preserve">: ق59 </w:t>
      </w:r>
      <w:r>
        <w:rPr>
          <w:rFonts w:hint="cs"/>
          <w:sz w:val="32"/>
          <w:szCs w:val="32"/>
          <w:rtl/>
        </w:rPr>
        <w:tab/>
      </w:r>
      <w:r>
        <w:rPr>
          <w:rFonts w:hint="cs"/>
          <w:sz w:val="32"/>
          <w:szCs w:val="32"/>
          <w:rtl/>
        </w:rPr>
        <w:tab/>
        <w:t xml:space="preserve">: </w:t>
      </w:r>
      <w:r>
        <w:rPr>
          <w:rFonts w:hint="eastAsia"/>
          <w:b/>
          <w:bCs/>
          <w:sz w:val="32"/>
          <w:szCs w:val="32"/>
          <w:rtl/>
        </w:rPr>
        <w:t>ب</w:t>
      </w:r>
      <w:r>
        <w:rPr>
          <w:rFonts w:hint="cs"/>
          <w:b/>
          <w:bCs/>
          <w:sz w:val="32"/>
          <w:szCs w:val="32"/>
          <w:rtl/>
        </w:rPr>
        <w:t>َ</w:t>
      </w:r>
      <w:r>
        <w:rPr>
          <w:rFonts w:hint="eastAsia"/>
          <w:b/>
          <w:bCs/>
          <w:sz w:val="32"/>
          <w:szCs w:val="32"/>
          <w:rtl/>
        </w:rPr>
        <w:t>ي</w:t>
      </w:r>
      <w:r>
        <w:rPr>
          <w:rFonts w:hint="cs"/>
          <w:b/>
          <w:bCs/>
          <w:sz w:val="32"/>
          <w:szCs w:val="32"/>
          <w:rtl/>
        </w:rPr>
        <w:t>ْ</w:t>
      </w:r>
      <w:r>
        <w:rPr>
          <w:rFonts w:hint="eastAsia"/>
          <w:b/>
          <w:bCs/>
          <w:sz w:val="32"/>
          <w:szCs w:val="32"/>
          <w:rtl/>
        </w:rPr>
        <w:t>ع</w:t>
      </w:r>
      <w:r>
        <w:rPr>
          <w:rFonts w:hint="cs"/>
          <w:b/>
          <w:bCs/>
          <w:sz w:val="32"/>
          <w:szCs w:val="32"/>
          <w:rtl/>
        </w:rPr>
        <w:t>ُ</w:t>
      </w:r>
      <w:r>
        <w:rPr>
          <w:b/>
          <w:bCs/>
          <w:sz w:val="32"/>
          <w:szCs w:val="32"/>
          <w:rtl/>
        </w:rPr>
        <w:t xml:space="preserve"> </w:t>
      </w:r>
      <w:r>
        <w:rPr>
          <w:sz w:val="32"/>
          <w:szCs w:val="32"/>
          <w:rtl/>
        </w:rPr>
        <w:t>الح</w:t>
      </w:r>
      <w:r>
        <w:rPr>
          <w:rFonts w:hint="cs"/>
          <w:sz w:val="32"/>
          <w:szCs w:val="32"/>
          <w:rtl/>
        </w:rPr>
        <w:t>ُ</w:t>
      </w:r>
      <w:r>
        <w:rPr>
          <w:sz w:val="32"/>
          <w:szCs w:val="32"/>
          <w:rtl/>
        </w:rPr>
        <w:t>ق</w:t>
      </w:r>
      <w:r>
        <w:rPr>
          <w:rFonts w:hint="cs"/>
          <w:sz w:val="32"/>
          <w:szCs w:val="32"/>
          <w:rtl/>
        </w:rPr>
        <w:t>ُ</w:t>
      </w:r>
      <w:r>
        <w:rPr>
          <w:sz w:val="32"/>
          <w:szCs w:val="32"/>
          <w:rtl/>
        </w:rPr>
        <w:t>وق</w:t>
      </w:r>
      <w:r>
        <w:rPr>
          <w:rFonts w:hint="cs"/>
          <w:sz w:val="32"/>
          <w:szCs w:val="32"/>
          <w:rtl/>
        </w:rPr>
        <w:t>ِ</w:t>
      </w:r>
      <w:r>
        <w:rPr>
          <w:sz w:val="32"/>
          <w:szCs w:val="32"/>
          <w:rtl/>
        </w:rPr>
        <w:t xml:space="preserve"> لا يجوز</w:t>
      </w:r>
      <w:r>
        <w:rPr>
          <w:rFonts w:hint="cs"/>
          <w:sz w:val="32"/>
          <w:szCs w:val="32"/>
          <w:rtl/>
        </w:rPr>
        <w:t>ُ</w:t>
      </w:r>
      <w:r>
        <w:rPr>
          <w:sz w:val="32"/>
          <w:szCs w:val="32"/>
          <w:rtl/>
        </w:rPr>
        <w:t xml:space="preserve"> بالان</w:t>
      </w:r>
      <w:r>
        <w:rPr>
          <w:rFonts w:hint="cs"/>
          <w:sz w:val="32"/>
          <w:szCs w:val="32"/>
          <w:rtl/>
        </w:rPr>
        <w:t>ْ</w:t>
      </w:r>
      <w:r>
        <w:rPr>
          <w:sz w:val="32"/>
          <w:szCs w:val="32"/>
          <w:rtl/>
        </w:rPr>
        <w:t>ف</w:t>
      </w:r>
      <w:r>
        <w:rPr>
          <w:rFonts w:hint="cs"/>
          <w:sz w:val="32"/>
          <w:szCs w:val="32"/>
          <w:rtl/>
        </w:rPr>
        <w:t>ِ</w:t>
      </w:r>
      <w:r>
        <w:rPr>
          <w:sz w:val="32"/>
          <w:szCs w:val="32"/>
          <w:rtl/>
        </w:rPr>
        <w:t>ر</w:t>
      </w:r>
      <w:r>
        <w:rPr>
          <w:rFonts w:hint="cs"/>
          <w:sz w:val="32"/>
          <w:szCs w:val="32"/>
          <w:rtl/>
        </w:rPr>
        <w:t>َ</w:t>
      </w:r>
      <w:r>
        <w:rPr>
          <w:sz w:val="32"/>
          <w:szCs w:val="32"/>
          <w:rtl/>
        </w:rPr>
        <w:t>اد</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ق60 </w:t>
      </w:r>
      <w:r>
        <w:rPr>
          <w:rFonts w:hint="cs"/>
          <w:sz w:val="32"/>
          <w:szCs w:val="32"/>
          <w:rtl/>
        </w:rPr>
        <w:tab/>
      </w:r>
      <w:r>
        <w:rPr>
          <w:rFonts w:hint="cs"/>
          <w:sz w:val="32"/>
          <w:szCs w:val="32"/>
          <w:rtl/>
        </w:rPr>
        <w:tab/>
        <w:t xml:space="preserve">: </w:t>
      </w:r>
      <w:r>
        <w:rPr>
          <w:rFonts w:hint="eastAsia"/>
          <w:b/>
          <w:bCs/>
          <w:sz w:val="32"/>
          <w:szCs w:val="32"/>
          <w:rtl/>
        </w:rPr>
        <w:t>بيع</w:t>
      </w:r>
      <w:r>
        <w:rPr>
          <w:rFonts w:hint="cs"/>
          <w:b/>
          <w:bCs/>
          <w:sz w:val="32"/>
          <w:szCs w:val="32"/>
          <w:rtl/>
        </w:rPr>
        <w:t>ُ</w:t>
      </w:r>
      <w:r>
        <w:rPr>
          <w:sz w:val="32"/>
          <w:szCs w:val="32"/>
          <w:rtl/>
        </w:rPr>
        <w:t xml:space="preserve"> الد</w:t>
      </w:r>
      <w:r>
        <w:rPr>
          <w:rFonts w:hint="cs"/>
          <w:sz w:val="32"/>
          <w:szCs w:val="32"/>
          <w:rtl/>
        </w:rPr>
        <w:t>َّ</w:t>
      </w:r>
      <w:r>
        <w:rPr>
          <w:sz w:val="32"/>
          <w:szCs w:val="32"/>
          <w:rtl/>
        </w:rPr>
        <w:t>ي</w:t>
      </w:r>
      <w:r>
        <w:rPr>
          <w:rFonts w:hint="cs"/>
          <w:sz w:val="32"/>
          <w:szCs w:val="32"/>
          <w:rtl/>
        </w:rPr>
        <w:t>ْ</w:t>
      </w:r>
      <w:r>
        <w:rPr>
          <w:sz w:val="32"/>
          <w:szCs w:val="32"/>
          <w:rtl/>
        </w:rPr>
        <w:t>ن</w:t>
      </w:r>
      <w:r>
        <w:rPr>
          <w:rFonts w:hint="cs"/>
          <w:sz w:val="32"/>
          <w:szCs w:val="32"/>
          <w:rtl/>
        </w:rPr>
        <w:t>ِ</w:t>
      </w:r>
      <w:r>
        <w:rPr>
          <w:sz w:val="32"/>
          <w:szCs w:val="32"/>
          <w:rtl/>
        </w:rPr>
        <w:t xml:space="preserve"> بالد</w:t>
      </w:r>
      <w:r>
        <w:rPr>
          <w:rFonts w:hint="cs"/>
          <w:sz w:val="32"/>
          <w:szCs w:val="32"/>
          <w:rtl/>
        </w:rPr>
        <w:t>َّ</w:t>
      </w:r>
      <w:r>
        <w:rPr>
          <w:sz w:val="32"/>
          <w:szCs w:val="32"/>
          <w:rtl/>
        </w:rPr>
        <w:t>ين</w:t>
      </w:r>
      <w:r>
        <w:rPr>
          <w:rFonts w:hint="cs"/>
          <w:sz w:val="32"/>
          <w:szCs w:val="32"/>
          <w:rtl/>
        </w:rPr>
        <w:t>ِ</w:t>
      </w:r>
      <w:r>
        <w:rPr>
          <w:sz w:val="32"/>
          <w:szCs w:val="32"/>
          <w:rtl/>
        </w:rPr>
        <w:t xml:space="preserve"> باطل</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ق57 </w:t>
      </w:r>
      <w:r>
        <w:rPr>
          <w:rFonts w:hint="cs"/>
          <w:sz w:val="32"/>
          <w:szCs w:val="32"/>
          <w:rtl/>
        </w:rPr>
        <w:tab/>
      </w:r>
      <w:r>
        <w:rPr>
          <w:rFonts w:hint="cs"/>
          <w:sz w:val="32"/>
          <w:szCs w:val="32"/>
          <w:rtl/>
        </w:rPr>
        <w:tab/>
        <w:t xml:space="preserve">: </w:t>
      </w:r>
      <w:r>
        <w:rPr>
          <w:rFonts w:hint="eastAsia"/>
          <w:b/>
          <w:bCs/>
          <w:sz w:val="32"/>
          <w:szCs w:val="32"/>
          <w:rtl/>
        </w:rPr>
        <w:t>البيع</w:t>
      </w:r>
      <w:r>
        <w:rPr>
          <w:rFonts w:hint="cs"/>
          <w:b/>
          <w:bCs/>
          <w:sz w:val="32"/>
          <w:szCs w:val="32"/>
          <w:rtl/>
        </w:rPr>
        <w:t>ُ</w:t>
      </w:r>
      <w:r>
        <w:rPr>
          <w:sz w:val="32"/>
          <w:szCs w:val="32"/>
          <w:rtl/>
        </w:rPr>
        <w:t xml:space="preserve"> س</w:t>
      </w:r>
      <w:r>
        <w:rPr>
          <w:rFonts w:hint="cs"/>
          <w:sz w:val="32"/>
          <w:szCs w:val="32"/>
          <w:rtl/>
        </w:rPr>
        <w:t>َ</w:t>
      </w:r>
      <w:r>
        <w:rPr>
          <w:sz w:val="32"/>
          <w:szCs w:val="32"/>
          <w:rtl/>
        </w:rPr>
        <w:t>ال</w:t>
      </w:r>
      <w:r>
        <w:rPr>
          <w:rFonts w:hint="cs"/>
          <w:sz w:val="32"/>
          <w:szCs w:val="32"/>
          <w:rtl/>
        </w:rPr>
        <w:t>ِ</w:t>
      </w:r>
      <w:r>
        <w:rPr>
          <w:sz w:val="32"/>
          <w:szCs w:val="32"/>
          <w:rtl/>
        </w:rPr>
        <w:t>بٌ للم</w:t>
      </w:r>
      <w:r>
        <w:rPr>
          <w:rFonts w:hint="cs"/>
          <w:sz w:val="32"/>
          <w:szCs w:val="32"/>
          <w:rtl/>
        </w:rPr>
        <w:t>ِ</w:t>
      </w:r>
      <w:r>
        <w:rPr>
          <w:sz w:val="32"/>
          <w:szCs w:val="32"/>
          <w:rtl/>
        </w:rPr>
        <w:t>ل</w:t>
      </w:r>
      <w:r>
        <w:rPr>
          <w:rFonts w:hint="cs"/>
          <w:sz w:val="32"/>
          <w:szCs w:val="32"/>
          <w:rtl/>
        </w:rPr>
        <w:t>ْ</w:t>
      </w:r>
      <w:r>
        <w:rPr>
          <w:sz w:val="32"/>
          <w:szCs w:val="32"/>
          <w:rtl/>
        </w:rPr>
        <w:t>ك</w:t>
      </w:r>
      <w:r>
        <w:rPr>
          <w:rFonts w:hint="cs"/>
          <w:sz w:val="32"/>
          <w:szCs w:val="32"/>
          <w:rtl/>
        </w:rPr>
        <w:t>ِ</w:t>
      </w:r>
      <w:r>
        <w:rPr>
          <w:sz w:val="32"/>
          <w:szCs w:val="32"/>
          <w:rtl/>
        </w:rPr>
        <w:t xml:space="preserve">، </w:t>
      </w:r>
      <w:r>
        <w:rPr>
          <w:rFonts w:hint="eastAsia"/>
          <w:sz w:val="32"/>
          <w:szCs w:val="32"/>
          <w:rtl/>
        </w:rPr>
        <w:t>والش</w:t>
      </w:r>
      <w:r>
        <w:rPr>
          <w:rFonts w:hint="cs"/>
          <w:sz w:val="32"/>
          <w:szCs w:val="32"/>
          <w:rtl/>
        </w:rPr>
        <w:t>ِّ</w:t>
      </w:r>
      <w:r>
        <w:rPr>
          <w:rFonts w:hint="eastAsia"/>
          <w:sz w:val="32"/>
          <w:szCs w:val="32"/>
          <w:rtl/>
        </w:rPr>
        <w:t>ر</w:t>
      </w:r>
      <w:r>
        <w:rPr>
          <w:rFonts w:hint="cs"/>
          <w:sz w:val="32"/>
          <w:szCs w:val="32"/>
          <w:rtl/>
        </w:rPr>
        <w:t>َ</w:t>
      </w:r>
      <w:r>
        <w:rPr>
          <w:rFonts w:hint="eastAsia"/>
          <w:sz w:val="32"/>
          <w:szCs w:val="32"/>
          <w:rtl/>
        </w:rPr>
        <w:t>اء</w:t>
      </w:r>
      <w:r>
        <w:rPr>
          <w:rFonts w:hint="cs"/>
          <w:sz w:val="32"/>
          <w:szCs w:val="32"/>
          <w:rtl/>
        </w:rPr>
        <w:t>ُ</w:t>
      </w:r>
      <w:r>
        <w:rPr>
          <w:sz w:val="32"/>
          <w:szCs w:val="32"/>
          <w:rtl/>
        </w:rPr>
        <w:t xml:space="preserve"> ج</w:t>
      </w:r>
      <w:r>
        <w:rPr>
          <w:rFonts w:hint="cs"/>
          <w:sz w:val="32"/>
          <w:szCs w:val="32"/>
          <w:rtl/>
        </w:rPr>
        <w:t>َ</w:t>
      </w:r>
      <w:r>
        <w:rPr>
          <w:sz w:val="32"/>
          <w:szCs w:val="32"/>
          <w:rtl/>
        </w:rPr>
        <w:t>ال</w:t>
      </w:r>
      <w:r>
        <w:rPr>
          <w:rFonts w:hint="cs"/>
          <w:sz w:val="32"/>
          <w:szCs w:val="32"/>
          <w:rtl/>
        </w:rPr>
        <w:t>ِ</w:t>
      </w:r>
      <w:r>
        <w:rPr>
          <w:sz w:val="32"/>
          <w:szCs w:val="32"/>
          <w:rtl/>
        </w:rPr>
        <w:t>ب</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ق62 </w:t>
      </w:r>
      <w:r>
        <w:rPr>
          <w:rFonts w:hint="cs"/>
          <w:sz w:val="32"/>
          <w:szCs w:val="32"/>
          <w:rtl/>
        </w:rPr>
        <w:tab/>
      </w:r>
      <w:r>
        <w:rPr>
          <w:rFonts w:hint="cs"/>
          <w:sz w:val="32"/>
          <w:szCs w:val="32"/>
          <w:rtl/>
        </w:rPr>
        <w:tab/>
        <w:t xml:space="preserve">: </w:t>
      </w:r>
      <w:r>
        <w:rPr>
          <w:rFonts w:hint="eastAsia"/>
          <w:b/>
          <w:bCs/>
          <w:sz w:val="32"/>
          <w:szCs w:val="32"/>
          <w:rtl/>
        </w:rPr>
        <w:t>البيع</w:t>
      </w:r>
      <w:r>
        <w:rPr>
          <w:rFonts w:hint="cs"/>
          <w:b/>
          <w:bCs/>
          <w:sz w:val="32"/>
          <w:szCs w:val="32"/>
          <w:rtl/>
        </w:rPr>
        <w:t>ُ</w:t>
      </w:r>
      <w:r>
        <w:rPr>
          <w:sz w:val="32"/>
          <w:szCs w:val="32"/>
          <w:rtl/>
        </w:rPr>
        <w:t xml:space="preserve"> لا ي</w:t>
      </w:r>
      <w:r>
        <w:rPr>
          <w:rFonts w:hint="cs"/>
          <w:sz w:val="32"/>
          <w:szCs w:val="32"/>
          <w:rtl/>
        </w:rPr>
        <w:t>ُ</w:t>
      </w:r>
      <w:r>
        <w:rPr>
          <w:sz w:val="32"/>
          <w:szCs w:val="32"/>
          <w:rtl/>
        </w:rPr>
        <w:t>ز</w:t>
      </w:r>
      <w:r>
        <w:rPr>
          <w:rFonts w:hint="cs"/>
          <w:sz w:val="32"/>
          <w:szCs w:val="32"/>
          <w:rtl/>
        </w:rPr>
        <w:t>ِ</w:t>
      </w:r>
      <w:r>
        <w:rPr>
          <w:sz w:val="32"/>
          <w:szCs w:val="32"/>
          <w:rtl/>
        </w:rPr>
        <w:t>يل</w:t>
      </w:r>
      <w:r>
        <w:rPr>
          <w:rFonts w:hint="cs"/>
          <w:sz w:val="32"/>
          <w:szCs w:val="32"/>
          <w:rtl/>
        </w:rPr>
        <w:t>ُ</w:t>
      </w:r>
      <w:r>
        <w:rPr>
          <w:sz w:val="32"/>
          <w:szCs w:val="32"/>
          <w:rtl/>
        </w:rPr>
        <w:t xml:space="preserve"> م</w:t>
      </w:r>
      <w:r>
        <w:rPr>
          <w:rFonts w:hint="cs"/>
          <w:sz w:val="32"/>
          <w:szCs w:val="32"/>
          <w:rtl/>
        </w:rPr>
        <w:t>ِ</w:t>
      </w:r>
      <w:r>
        <w:rPr>
          <w:sz w:val="32"/>
          <w:szCs w:val="32"/>
          <w:rtl/>
        </w:rPr>
        <w:t>ل</w:t>
      </w:r>
      <w:r>
        <w:rPr>
          <w:rFonts w:hint="cs"/>
          <w:sz w:val="32"/>
          <w:szCs w:val="32"/>
          <w:rtl/>
        </w:rPr>
        <w:t>ْ</w:t>
      </w:r>
      <w:r>
        <w:rPr>
          <w:sz w:val="32"/>
          <w:szCs w:val="32"/>
          <w:rtl/>
        </w:rPr>
        <w:t>ك</w:t>
      </w:r>
      <w:r>
        <w:rPr>
          <w:rFonts w:hint="cs"/>
          <w:sz w:val="32"/>
          <w:szCs w:val="32"/>
          <w:rtl/>
        </w:rPr>
        <w:t>َ</w:t>
      </w:r>
      <w:r>
        <w:rPr>
          <w:sz w:val="32"/>
          <w:szCs w:val="32"/>
          <w:rtl/>
        </w:rPr>
        <w:t xml:space="preserve"> </w:t>
      </w:r>
      <w:r>
        <w:rPr>
          <w:rFonts w:hint="eastAsia"/>
          <w:sz w:val="32"/>
          <w:szCs w:val="32"/>
          <w:rtl/>
        </w:rPr>
        <w:t>اليد</w:t>
      </w:r>
      <w:r>
        <w:rPr>
          <w:rFonts w:hint="cs"/>
          <w:sz w:val="32"/>
          <w:szCs w:val="32"/>
          <w:rtl/>
        </w:rPr>
        <w:t>ِ</w:t>
      </w:r>
      <w:r>
        <w:rPr>
          <w:sz w:val="32"/>
          <w:szCs w:val="32"/>
          <w:rtl/>
        </w:rPr>
        <w:t xml:space="preserve"> م</w:t>
      </w:r>
      <w:r>
        <w:rPr>
          <w:rFonts w:hint="cs"/>
          <w:sz w:val="32"/>
          <w:szCs w:val="32"/>
          <w:rtl/>
        </w:rPr>
        <w:t>َ</w:t>
      </w:r>
      <w:r>
        <w:rPr>
          <w:sz w:val="32"/>
          <w:szCs w:val="32"/>
          <w:rtl/>
        </w:rPr>
        <w:t>ا ل</w:t>
      </w:r>
      <w:r>
        <w:rPr>
          <w:rFonts w:hint="cs"/>
          <w:sz w:val="32"/>
          <w:szCs w:val="32"/>
          <w:rtl/>
        </w:rPr>
        <w:t>َ</w:t>
      </w:r>
      <w:r>
        <w:rPr>
          <w:sz w:val="32"/>
          <w:szCs w:val="32"/>
          <w:rtl/>
        </w:rPr>
        <w:t>م</w:t>
      </w:r>
      <w:r>
        <w:rPr>
          <w:rFonts w:hint="cs"/>
          <w:sz w:val="32"/>
          <w:szCs w:val="32"/>
          <w:rtl/>
        </w:rPr>
        <w:t>ْ</w:t>
      </w:r>
      <w:r>
        <w:rPr>
          <w:sz w:val="32"/>
          <w:szCs w:val="32"/>
          <w:rtl/>
        </w:rPr>
        <w:t xml:space="preserve"> يت</w:t>
      </w:r>
      <w:r>
        <w:rPr>
          <w:rFonts w:hint="cs"/>
          <w:sz w:val="32"/>
          <w:szCs w:val="32"/>
          <w:rtl/>
        </w:rPr>
        <w:t>َّ</w:t>
      </w:r>
      <w:r>
        <w:rPr>
          <w:sz w:val="32"/>
          <w:szCs w:val="32"/>
          <w:rtl/>
        </w:rPr>
        <w:t>صل</w:t>
      </w:r>
      <w:r>
        <w:rPr>
          <w:rFonts w:hint="cs"/>
          <w:sz w:val="32"/>
          <w:szCs w:val="32"/>
          <w:rtl/>
        </w:rPr>
        <w:t>ْ</w:t>
      </w:r>
      <w:r>
        <w:rPr>
          <w:sz w:val="32"/>
          <w:szCs w:val="32"/>
          <w:rtl/>
        </w:rPr>
        <w:t xml:space="preserve"> </w:t>
      </w:r>
      <w:r>
        <w:rPr>
          <w:rFonts w:hint="eastAsia"/>
          <w:sz w:val="32"/>
          <w:szCs w:val="32"/>
          <w:rtl/>
        </w:rPr>
        <w:t>إليه</w:t>
      </w:r>
      <w:r>
        <w:rPr>
          <w:rFonts w:hint="cs"/>
          <w:sz w:val="32"/>
          <w:szCs w:val="32"/>
          <w:rtl/>
        </w:rPr>
        <w:t>ِ</w:t>
      </w:r>
      <w:r>
        <w:rPr>
          <w:sz w:val="32"/>
          <w:szCs w:val="32"/>
          <w:rtl/>
        </w:rPr>
        <w:t xml:space="preserve"> الث</w:t>
      </w:r>
      <w:r>
        <w:rPr>
          <w:rFonts w:hint="cs"/>
          <w:sz w:val="32"/>
          <w:szCs w:val="32"/>
          <w:rtl/>
        </w:rPr>
        <w:t>َّ</w:t>
      </w:r>
      <w:r>
        <w:rPr>
          <w:sz w:val="32"/>
          <w:szCs w:val="32"/>
          <w:rtl/>
        </w:rPr>
        <w:t>م</w:t>
      </w:r>
      <w:r>
        <w:rPr>
          <w:rFonts w:hint="cs"/>
          <w:sz w:val="32"/>
          <w:szCs w:val="32"/>
          <w:rtl/>
        </w:rPr>
        <w:t>َ</w:t>
      </w:r>
      <w:r>
        <w:rPr>
          <w:sz w:val="32"/>
          <w:szCs w:val="32"/>
          <w:rtl/>
        </w:rPr>
        <w:t>ن</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ق223 </w:t>
      </w:r>
      <w:r>
        <w:rPr>
          <w:rFonts w:hint="cs"/>
          <w:sz w:val="32"/>
          <w:szCs w:val="32"/>
          <w:rtl/>
        </w:rPr>
        <w:tab/>
        <w:t xml:space="preserve">: ما قَبِلَ </w:t>
      </w:r>
      <w:r>
        <w:rPr>
          <w:rFonts w:hint="cs"/>
          <w:b/>
          <w:bCs/>
          <w:sz w:val="32"/>
          <w:szCs w:val="32"/>
          <w:rtl/>
        </w:rPr>
        <w:t>البَيْعَ</w:t>
      </w:r>
      <w:r>
        <w:rPr>
          <w:rFonts w:hint="cs"/>
          <w:sz w:val="32"/>
          <w:szCs w:val="32"/>
          <w:rtl/>
        </w:rPr>
        <w:t xml:space="preserve"> قَبِلَ الرّهنَ إلاَّ فِي أَرْبَعَةٍ.</w:t>
      </w:r>
    </w:p>
    <w:p w:rsidR="00284270" w:rsidRDefault="00284270" w:rsidP="0022714B">
      <w:pPr>
        <w:tabs>
          <w:tab w:val="left" w:pos="990"/>
        </w:tabs>
        <w:ind w:left="2833" w:hanging="2266"/>
        <w:rPr>
          <w:sz w:val="32"/>
          <w:szCs w:val="32"/>
          <w:rtl/>
        </w:rPr>
      </w:pPr>
      <w:r>
        <w:rPr>
          <w:rFonts w:hint="cs"/>
          <w:sz w:val="32"/>
          <w:szCs w:val="32"/>
          <w:rtl/>
        </w:rPr>
        <w:tab/>
        <w:t xml:space="preserve">        </w:t>
      </w:r>
      <w:r w:rsidRPr="006D57B1">
        <w:rPr>
          <w:rFonts w:hint="cs"/>
          <w:sz w:val="42"/>
          <w:szCs w:val="42"/>
          <w:rtl/>
        </w:rPr>
        <w:t xml:space="preserve"> </w:t>
      </w:r>
      <w:r>
        <w:rPr>
          <w:rFonts w:hint="cs"/>
          <w:sz w:val="32"/>
          <w:szCs w:val="32"/>
          <w:rtl/>
        </w:rPr>
        <w:t xml:space="preserve">ق258 </w:t>
      </w:r>
      <w:r>
        <w:rPr>
          <w:rFonts w:hint="cs"/>
          <w:sz w:val="32"/>
          <w:szCs w:val="32"/>
          <w:rtl/>
        </w:rPr>
        <w:tab/>
        <w:t xml:space="preserve">: هَلاَكُ </w:t>
      </w:r>
      <w:r>
        <w:rPr>
          <w:rFonts w:hint="cs"/>
          <w:b/>
          <w:bCs/>
          <w:sz w:val="32"/>
          <w:szCs w:val="32"/>
          <w:rtl/>
        </w:rPr>
        <w:t>المَبِيعِ</w:t>
      </w:r>
      <w:r>
        <w:rPr>
          <w:rFonts w:hint="cs"/>
          <w:sz w:val="32"/>
          <w:szCs w:val="32"/>
          <w:rtl/>
        </w:rPr>
        <w:t xml:space="preserve"> فِي يَدِ المُشْتَرِي بِشِرَاءٍ بَاطِلٍ لَيْسَ بِمَضْمُونٍ.</w:t>
      </w:r>
    </w:p>
    <w:p w:rsidR="00284270" w:rsidRDefault="00284270">
      <w:pPr>
        <w:rPr>
          <w:sz w:val="32"/>
          <w:szCs w:val="32"/>
          <w:rtl/>
        </w:rPr>
      </w:pPr>
      <w:r>
        <w:rPr>
          <w:rFonts w:hint="cs"/>
          <w:b/>
          <w:bCs/>
          <w:sz w:val="32"/>
          <w:szCs w:val="32"/>
          <w:rtl/>
        </w:rPr>
        <w:t>بدأ</w:t>
      </w:r>
      <w:r>
        <w:rPr>
          <w:rFonts w:hint="cs"/>
          <w:sz w:val="32"/>
          <w:szCs w:val="32"/>
          <w:rtl/>
        </w:rPr>
        <w:tab/>
      </w:r>
      <w:r>
        <w:rPr>
          <w:sz w:val="32"/>
          <w:szCs w:val="32"/>
        </w:rPr>
        <w:tab/>
      </w:r>
      <w:r>
        <w:rPr>
          <w:rFonts w:hint="cs"/>
          <w:sz w:val="32"/>
          <w:szCs w:val="32"/>
          <w:rtl/>
        </w:rPr>
        <w:t xml:space="preserve">: ق54 </w:t>
      </w:r>
      <w:r>
        <w:rPr>
          <w:rFonts w:hint="cs"/>
          <w:sz w:val="32"/>
          <w:szCs w:val="32"/>
          <w:rtl/>
        </w:rPr>
        <w:tab/>
      </w:r>
      <w:r>
        <w:rPr>
          <w:rFonts w:hint="cs"/>
          <w:sz w:val="32"/>
          <w:szCs w:val="32"/>
          <w:rtl/>
        </w:rPr>
        <w:tab/>
        <w:t xml:space="preserve">: </w:t>
      </w:r>
      <w:r>
        <w:rPr>
          <w:rFonts w:hint="eastAsia"/>
          <w:sz w:val="32"/>
          <w:szCs w:val="32"/>
          <w:rtl/>
        </w:rPr>
        <w:t>الب</w:t>
      </w:r>
      <w:r>
        <w:rPr>
          <w:rFonts w:hint="cs"/>
          <w:sz w:val="32"/>
          <w:szCs w:val="32"/>
          <w:rtl/>
        </w:rPr>
        <w:t>َ</w:t>
      </w:r>
      <w:r>
        <w:rPr>
          <w:rFonts w:hint="eastAsia"/>
          <w:sz w:val="32"/>
          <w:szCs w:val="32"/>
          <w:rtl/>
        </w:rPr>
        <w:t>ق</w:t>
      </w:r>
      <w:r>
        <w:rPr>
          <w:rFonts w:hint="cs"/>
          <w:sz w:val="32"/>
          <w:szCs w:val="32"/>
          <w:rtl/>
        </w:rPr>
        <w:t>َ</w:t>
      </w:r>
      <w:r>
        <w:rPr>
          <w:rFonts w:hint="eastAsia"/>
          <w:sz w:val="32"/>
          <w:szCs w:val="32"/>
          <w:rtl/>
        </w:rPr>
        <w:t>اء</w:t>
      </w:r>
      <w:r>
        <w:rPr>
          <w:rFonts w:hint="cs"/>
          <w:sz w:val="32"/>
          <w:szCs w:val="32"/>
          <w:rtl/>
        </w:rPr>
        <w:t>ُ</w:t>
      </w:r>
      <w:r>
        <w:rPr>
          <w:sz w:val="32"/>
          <w:szCs w:val="32"/>
          <w:rtl/>
        </w:rPr>
        <w:t xml:space="preserve"> أ</w:t>
      </w:r>
      <w:r>
        <w:rPr>
          <w:rFonts w:hint="cs"/>
          <w:sz w:val="32"/>
          <w:szCs w:val="32"/>
          <w:rtl/>
        </w:rPr>
        <w:t>َ</w:t>
      </w:r>
      <w:r>
        <w:rPr>
          <w:sz w:val="32"/>
          <w:szCs w:val="32"/>
          <w:rtl/>
        </w:rPr>
        <w:t>س</w:t>
      </w:r>
      <w:r>
        <w:rPr>
          <w:rFonts w:hint="cs"/>
          <w:sz w:val="32"/>
          <w:szCs w:val="32"/>
          <w:rtl/>
        </w:rPr>
        <w:t>ْ</w:t>
      </w:r>
      <w:r>
        <w:rPr>
          <w:sz w:val="32"/>
          <w:szCs w:val="32"/>
          <w:rtl/>
        </w:rPr>
        <w:t>ه</w:t>
      </w:r>
      <w:r>
        <w:rPr>
          <w:rFonts w:hint="cs"/>
          <w:sz w:val="32"/>
          <w:szCs w:val="32"/>
          <w:rtl/>
        </w:rPr>
        <w:t>َ</w:t>
      </w:r>
      <w:r>
        <w:rPr>
          <w:sz w:val="32"/>
          <w:szCs w:val="32"/>
          <w:rtl/>
        </w:rPr>
        <w:t>ل</w:t>
      </w:r>
      <w:r>
        <w:rPr>
          <w:rFonts w:hint="cs"/>
          <w:sz w:val="32"/>
          <w:szCs w:val="32"/>
          <w:rtl/>
        </w:rPr>
        <w:t>ُ</w:t>
      </w:r>
      <w:r>
        <w:rPr>
          <w:sz w:val="32"/>
          <w:szCs w:val="32"/>
          <w:rtl/>
        </w:rPr>
        <w:t xml:space="preserve"> م</w:t>
      </w:r>
      <w:r>
        <w:rPr>
          <w:rFonts w:hint="cs"/>
          <w:sz w:val="32"/>
          <w:szCs w:val="32"/>
          <w:rtl/>
        </w:rPr>
        <w:t>ِ</w:t>
      </w:r>
      <w:r>
        <w:rPr>
          <w:sz w:val="32"/>
          <w:szCs w:val="32"/>
          <w:rtl/>
        </w:rPr>
        <w:t>ن</w:t>
      </w:r>
      <w:r>
        <w:rPr>
          <w:rFonts w:hint="cs"/>
          <w:sz w:val="32"/>
          <w:szCs w:val="32"/>
          <w:rtl/>
        </w:rPr>
        <w:t>َ</w:t>
      </w:r>
      <w:r>
        <w:rPr>
          <w:sz w:val="32"/>
          <w:szCs w:val="32"/>
          <w:rtl/>
        </w:rPr>
        <w:t xml:space="preserve"> </w:t>
      </w:r>
      <w:r>
        <w:rPr>
          <w:rFonts w:hint="eastAsia"/>
          <w:b/>
          <w:bCs/>
          <w:sz w:val="32"/>
          <w:szCs w:val="32"/>
          <w:rtl/>
        </w:rPr>
        <w:t>الاب</w:t>
      </w:r>
      <w:r>
        <w:rPr>
          <w:rFonts w:hint="cs"/>
          <w:b/>
          <w:bCs/>
          <w:sz w:val="32"/>
          <w:szCs w:val="32"/>
          <w:rtl/>
        </w:rPr>
        <w:t>ْ</w:t>
      </w:r>
      <w:r>
        <w:rPr>
          <w:rFonts w:hint="eastAsia"/>
          <w:b/>
          <w:bCs/>
          <w:sz w:val="32"/>
          <w:szCs w:val="32"/>
          <w:rtl/>
        </w:rPr>
        <w:t>ت</w:t>
      </w:r>
      <w:r>
        <w:rPr>
          <w:rFonts w:hint="cs"/>
          <w:b/>
          <w:bCs/>
          <w:sz w:val="32"/>
          <w:szCs w:val="32"/>
          <w:rtl/>
        </w:rPr>
        <w:t>ِ</w:t>
      </w:r>
      <w:r>
        <w:rPr>
          <w:rFonts w:hint="eastAsia"/>
          <w:b/>
          <w:bCs/>
          <w:sz w:val="32"/>
          <w:szCs w:val="32"/>
          <w:rtl/>
        </w:rPr>
        <w:t>د</w:t>
      </w:r>
      <w:r>
        <w:rPr>
          <w:rFonts w:hint="cs"/>
          <w:b/>
          <w:bCs/>
          <w:sz w:val="32"/>
          <w:szCs w:val="32"/>
          <w:rtl/>
        </w:rPr>
        <w:t>َ</w:t>
      </w:r>
      <w:r>
        <w:rPr>
          <w:rFonts w:hint="eastAsia"/>
          <w:b/>
          <w:bCs/>
          <w:sz w:val="32"/>
          <w:szCs w:val="32"/>
          <w:rtl/>
        </w:rPr>
        <w:t>اء</w:t>
      </w:r>
      <w:r>
        <w:rPr>
          <w:rFonts w:hint="cs"/>
          <w:b/>
          <w:bCs/>
          <w:sz w:val="32"/>
          <w:szCs w:val="32"/>
          <w:rtl/>
        </w:rPr>
        <w:t>ِ</w:t>
      </w:r>
      <w:r>
        <w:rPr>
          <w:rFonts w:hint="cs"/>
          <w:sz w:val="32"/>
          <w:szCs w:val="32"/>
          <w:rtl/>
        </w:rPr>
        <w:t xml:space="preserve">. </w:t>
      </w:r>
    </w:p>
    <w:p w:rsidR="00284270" w:rsidRDefault="00284270" w:rsidP="0022714B">
      <w:pPr>
        <w:pStyle w:val="21"/>
        <w:ind w:hanging="3"/>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ق215 </w:t>
      </w:r>
      <w:r>
        <w:rPr>
          <w:rFonts w:hint="cs"/>
          <w:sz w:val="32"/>
          <w:szCs w:val="32"/>
          <w:rtl/>
        </w:rPr>
        <w:tab/>
        <w:t xml:space="preserve">: مَا لاَ يَكُونُ لاِزَمًا مِنَ التَّصَرُّفَاتِ يَكُونُ لِدَوَامِهِ حُكْمُ </w:t>
      </w:r>
      <w:r>
        <w:rPr>
          <w:rFonts w:hint="cs"/>
          <w:b w:val="0"/>
          <w:bCs w:val="0"/>
          <w:sz w:val="32"/>
          <w:szCs w:val="32"/>
          <w:rtl/>
        </w:rPr>
        <w:t>الابتدَاءِ</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ق263 </w:t>
      </w:r>
      <w:r>
        <w:rPr>
          <w:rFonts w:hint="cs"/>
          <w:sz w:val="32"/>
          <w:szCs w:val="32"/>
          <w:rtl/>
        </w:rPr>
        <w:tab/>
        <w:t xml:space="preserve">: يُغْتَفَرُ فِي الانْتِهَاءِ مَا لاَ يُغْتَفَرُ فِي </w:t>
      </w:r>
      <w:r>
        <w:rPr>
          <w:rFonts w:hint="cs"/>
          <w:b/>
          <w:bCs/>
          <w:sz w:val="32"/>
          <w:szCs w:val="32"/>
          <w:rtl/>
        </w:rPr>
        <w:t>الابتدَاءِ</w:t>
      </w:r>
      <w:r>
        <w:rPr>
          <w:rFonts w:hint="cs"/>
          <w:sz w:val="32"/>
          <w:szCs w:val="32"/>
          <w:rtl/>
        </w:rPr>
        <w:t>.</w:t>
      </w:r>
    </w:p>
    <w:p w:rsidR="00284270" w:rsidRDefault="00284270">
      <w:pPr>
        <w:rPr>
          <w:sz w:val="32"/>
          <w:szCs w:val="32"/>
          <w:rtl/>
        </w:rPr>
      </w:pPr>
      <w:r>
        <w:rPr>
          <w:rFonts w:hint="cs"/>
          <w:b/>
          <w:bCs/>
          <w:sz w:val="32"/>
          <w:szCs w:val="32"/>
          <w:rtl/>
        </w:rPr>
        <w:t>بدل</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ق11 </w:t>
      </w:r>
      <w:r>
        <w:rPr>
          <w:rFonts w:hint="cs"/>
          <w:sz w:val="32"/>
          <w:szCs w:val="32"/>
          <w:rtl/>
        </w:rPr>
        <w:tab/>
      </w:r>
      <w:r>
        <w:rPr>
          <w:rFonts w:hint="cs"/>
          <w:sz w:val="32"/>
          <w:szCs w:val="32"/>
          <w:rtl/>
        </w:rPr>
        <w:tab/>
        <w:t xml:space="preserve">: </w:t>
      </w:r>
      <w:r>
        <w:rPr>
          <w:rFonts w:hint="eastAsia"/>
          <w:sz w:val="32"/>
          <w:szCs w:val="32"/>
          <w:rtl/>
        </w:rPr>
        <w:t>إذا</w:t>
      </w:r>
      <w:r>
        <w:rPr>
          <w:sz w:val="32"/>
          <w:szCs w:val="32"/>
          <w:rtl/>
        </w:rPr>
        <w:t xml:space="preserve"> تعذَّرَ الأصلُ يُصَارُ إلى </w:t>
      </w:r>
      <w:r>
        <w:rPr>
          <w:b/>
          <w:bCs/>
          <w:sz w:val="32"/>
          <w:szCs w:val="32"/>
          <w:rtl/>
        </w:rPr>
        <w:t>البَدَلِ</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ق68 </w:t>
      </w:r>
      <w:r>
        <w:rPr>
          <w:rFonts w:hint="cs"/>
          <w:sz w:val="32"/>
          <w:szCs w:val="32"/>
          <w:rtl/>
        </w:rPr>
        <w:tab/>
      </w:r>
      <w:r>
        <w:rPr>
          <w:rFonts w:hint="cs"/>
          <w:sz w:val="32"/>
          <w:szCs w:val="32"/>
          <w:rtl/>
        </w:rPr>
        <w:tab/>
        <w:t xml:space="preserve">: تَبَدُّلُ سببِ المِلْكِ قائمٌ مقامَ </w:t>
      </w:r>
      <w:r>
        <w:rPr>
          <w:rFonts w:hint="cs"/>
          <w:b/>
          <w:bCs/>
          <w:sz w:val="32"/>
          <w:szCs w:val="32"/>
          <w:rtl/>
        </w:rPr>
        <w:t>تبدُّلِ</w:t>
      </w:r>
      <w:r>
        <w:rPr>
          <w:rFonts w:hint="cs"/>
          <w:sz w:val="32"/>
          <w:szCs w:val="32"/>
          <w:rtl/>
        </w:rPr>
        <w:t xml:space="preserve"> الذَّاتِ. </w:t>
      </w:r>
    </w:p>
    <w:p w:rsidR="00284270" w:rsidRDefault="00284270">
      <w:pPr>
        <w:rPr>
          <w:sz w:val="32"/>
          <w:szCs w:val="32"/>
          <w:rtl/>
        </w:rPr>
      </w:pPr>
      <w:r>
        <w:rPr>
          <w:rFonts w:hint="cs"/>
          <w:b/>
          <w:bCs/>
          <w:sz w:val="32"/>
          <w:szCs w:val="32"/>
          <w:rtl/>
        </w:rPr>
        <w:t>برأ</w:t>
      </w:r>
      <w:r>
        <w:rPr>
          <w:rFonts w:hint="cs"/>
          <w:sz w:val="32"/>
          <w:szCs w:val="32"/>
          <w:rtl/>
        </w:rPr>
        <w:tab/>
      </w:r>
      <w:r>
        <w:rPr>
          <w:sz w:val="32"/>
          <w:szCs w:val="32"/>
        </w:rPr>
        <w:tab/>
      </w:r>
      <w:r>
        <w:rPr>
          <w:rFonts w:hint="cs"/>
          <w:sz w:val="32"/>
          <w:szCs w:val="32"/>
          <w:rtl/>
        </w:rPr>
        <w:t xml:space="preserve">: ق2 </w:t>
      </w:r>
      <w:r>
        <w:rPr>
          <w:rFonts w:hint="cs"/>
          <w:sz w:val="32"/>
          <w:szCs w:val="32"/>
          <w:rtl/>
        </w:rPr>
        <w:tab/>
      </w:r>
      <w:r>
        <w:rPr>
          <w:rFonts w:hint="cs"/>
          <w:sz w:val="32"/>
          <w:szCs w:val="32"/>
          <w:rtl/>
        </w:rPr>
        <w:tab/>
        <w:t xml:space="preserve">: </w:t>
      </w:r>
      <w:r>
        <w:rPr>
          <w:rFonts w:hint="cs"/>
          <w:b/>
          <w:bCs/>
          <w:sz w:val="32"/>
          <w:szCs w:val="32"/>
          <w:rtl/>
        </w:rPr>
        <w:t>الإِبْرَاءُ</w:t>
      </w:r>
      <w:r>
        <w:rPr>
          <w:rFonts w:hint="cs"/>
          <w:sz w:val="32"/>
          <w:szCs w:val="32"/>
          <w:rtl/>
        </w:rPr>
        <w:t xml:space="preserve"> عَنِ الأَعْيَانِ لاَ يَجُوزُ، وعنْ دعوَاهَا يجوزُ.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 </w:t>
      </w:r>
      <w:r>
        <w:rPr>
          <w:rFonts w:hint="cs"/>
          <w:sz w:val="32"/>
          <w:szCs w:val="32"/>
          <w:rtl/>
        </w:rPr>
        <w:tab/>
      </w:r>
      <w:r>
        <w:rPr>
          <w:rFonts w:hint="cs"/>
          <w:sz w:val="32"/>
          <w:szCs w:val="32"/>
          <w:rtl/>
        </w:rPr>
        <w:tab/>
        <w:t xml:space="preserve">: الأَصْلُ </w:t>
      </w:r>
      <w:r>
        <w:rPr>
          <w:rFonts w:hint="cs"/>
          <w:b/>
          <w:bCs/>
          <w:sz w:val="32"/>
          <w:szCs w:val="32"/>
          <w:rtl/>
        </w:rPr>
        <w:t>بَرَاءَةُ</w:t>
      </w:r>
      <w:r>
        <w:rPr>
          <w:rFonts w:hint="cs"/>
          <w:sz w:val="32"/>
          <w:szCs w:val="32"/>
          <w:rtl/>
        </w:rPr>
        <w:t xml:space="preserve"> الذِّمَّةِ. </w:t>
      </w:r>
    </w:p>
    <w:p w:rsidR="00284270" w:rsidRDefault="00284270">
      <w:pPr>
        <w:rPr>
          <w:spacing w:val="-6"/>
          <w:sz w:val="32"/>
          <w:szCs w:val="32"/>
          <w:rtl/>
        </w:rPr>
      </w:pPr>
      <w:r>
        <w:rPr>
          <w:rFonts w:hint="cs"/>
          <w:spacing w:val="-6"/>
          <w:sz w:val="32"/>
          <w:szCs w:val="32"/>
          <w:rtl/>
        </w:rPr>
        <w:tab/>
      </w:r>
      <w:r>
        <w:rPr>
          <w:rFonts w:hint="cs"/>
          <w:spacing w:val="-6"/>
          <w:sz w:val="32"/>
          <w:szCs w:val="32"/>
          <w:rtl/>
        </w:rPr>
        <w:tab/>
      </w:r>
      <w:r>
        <w:rPr>
          <w:spacing w:val="-6"/>
          <w:sz w:val="32"/>
          <w:szCs w:val="32"/>
        </w:rPr>
        <w:tab/>
      </w:r>
      <w:r>
        <w:rPr>
          <w:rFonts w:hint="cs"/>
          <w:spacing w:val="-6"/>
          <w:sz w:val="32"/>
          <w:szCs w:val="32"/>
          <w:rtl/>
        </w:rPr>
        <w:t xml:space="preserve">  ق204 </w:t>
      </w:r>
      <w:r>
        <w:rPr>
          <w:rFonts w:hint="cs"/>
          <w:spacing w:val="-6"/>
          <w:sz w:val="32"/>
          <w:szCs w:val="32"/>
          <w:rtl/>
        </w:rPr>
        <w:tab/>
        <w:t xml:space="preserve">: لاَ تُسمَعُ الدَّعوَى بَعْدَ </w:t>
      </w:r>
      <w:r>
        <w:rPr>
          <w:rFonts w:hint="cs"/>
          <w:b/>
          <w:bCs/>
          <w:spacing w:val="-6"/>
          <w:sz w:val="32"/>
          <w:szCs w:val="32"/>
          <w:rtl/>
        </w:rPr>
        <w:t>الإبْرَاءِ</w:t>
      </w:r>
      <w:r>
        <w:rPr>
          <w:rFonts w:hint="cs"/>
          <w:spacing w:val="-6"/>
          <w:sz w:val="32"/>
          <w:szCs w:val="32"/>
          <w:rtl/>
        </w:rPr>
        <w:t xml:space="preserve"> العامِّ إلاّ بحقٍّ حادِثٍ بَعْدَهُ.</w:t>
      </w:r>
    </w:p>
    <w:p w:rsidR="00284270" w:rsidRDefault="00284270">
      <w:pPr>
        <w:rPr>
          <w:sz w:val="32"/>
          <w:szCs w:val="32"/>
          <w:rtl/>
        </w:rPr>
      </w:pPr>
      <w:r>
        <w:rPr>
          <w:rFonts w:hint="cs"/>
          <w:b/>
          <w:bCs/>
          <w:sz w:val="32"/>
          <w:szCs w:val="32"/>
          <w:rtl/>
        </w:rPr>
        <w:t>برع</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ق69 </w:t>
      </w:r>
      <w:r>
        <w:rPr>
          <w:rFonts w:hint="cs"/>
          <w:sz w:val="32"/>
          <w:szCs w:val="32"/>
          <w:rtl/>
        </w:rPr>
        <w:tab/>
      </w:r>
      <w:r>
        <w:rPr>
          <w:rFonts w:hint="cs"/>
          <w:sz w:val="32"/>
          <w:szCs w:val="32"/>
          <w:rtl/>
        </w:rPr>
        <w:tab/>
        <w:t xml:space="preserve">: </w:t>
      </w:r>
      <w:r>
        <w:rPr>
          <w:rFonts w:hint="cs"/>
          <w:b/>
          <w:bCs/>
          <w:sz w:val="32"/>
          <w:szCs w:val="32"/>
          <w:rtl/>
        </w:rPr>
        <w:t>التَّبَرُّعُ</w:t>
      </w:r>
      <w:r>
        <w:rPr>
          <w:rFonts w:hint="cs"/>
          <w:sz w:val="32"/>
          <w:szCs w:val="32"/>
          <w:rtl/>
        </w:rPr>
        <w:t xml:space="preserve"> لا يتمُّ إلا بالقبضِ. </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t xml:space="preserve"> </w:t>
      </w:r>
      <w:r>
        <w:rPr>
          <w:rFonts w:hint="cs"/>
          <w:sz w:val="32"/>
          <w:szCs w:val="32"/>
          <w:rtl/>
        </w:rPr>
        <w:t xml:space="preserve"> ق141 </w:t>
      </w:r>
      <w:r>
        <w:rPr>
          <w:rFonts w:hint="cs"/>
          <w:sz w:val="32"/>
          <w:szCs w:val="32"/>
          <w:rtl/>
        </w:rPr>
        <w:tab/>
        <w:t xml:space="preserve">: السَّلاَمَةُ لَيْسَتْ بِشَرْطٍ فِي </w:t>
      </w:r>
      <w:r>
        <w:rPr>
          <w:rFonts w:hint="cs"/>
          <w:b/>
          <w:bCs/>
          <w:sz w:val="32"/>
          <w:szCs w:val="32"/>
          <w:rtl/>
        </w:rPr>
        <w:t>التَّبَرُّعَاتِ</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ق169 </w:t>
      </w:r>
      <w:r>
        <w:rPr>
          <w:rFonts w:hint="cs"/>
          <w:sz w:val="32"/>
          <w:szCs w:val="32"/>
          <w:rtl/>
        </w:rPr>
        <w:tab/>
        <w:t xml:space="preserve">: عَقْدُ الرّهنِ </w:t>
      </w:r>
      <w:r>
        <w:rPr>
          <w:rFonts w:hint="cs"/>
          <w:b/>
          <w:bCs/>
          <w:sz w:val="32"/>
          <w:szCs w:val="32"/>
          <w:rtl/>
        </w:rPr>
        <w:t>تبرُّعٌ</w:t>
      </w:r>
      <w:r>
        <w:rPr>
          <w:rFonts w:hint="cs"/>
          <w:sz w:val="32"/>
          <w:szCs w:val="32"/>
          <w:rtl/>
        </w:rPr>
        <w:t xml:space="preserve"> مِنْ جَانِبِ الرَّاهِنِ.</w:t>
      </w:r>
    </w:p>
    <w:p w:rsidR="00284270" w:rsidRDefault="00284270">
      <w:pPr>
        <w:rPr>
          <w:sz w:val="32"/>
          <w:szCs w:val="32"/>
          <w:rtl/>
        </w:rPr>
      </w:pPr>
      <w:r>
        <w:rPr>
          <w:rFonts w:hint="cs"/>
          <w:b/>
          <w:bCs/>
          <w:sz w:val="32"/>
          <w:szCs w:val="32"/>
          <w:rtl/>
        </w:rPr>
        <w:t>برهن</w:t>
      </w:r>
      <w:r>
        <w:rPr>
          <w:rFonts w:hint="cs"/>
          <w:sz w:val="32"/>
          <w:szCs w:val="32"/>
          <w:rtl/>
        </w:rPr>
        <w:tab/>
      </w:r>
      <w:r>
        <w:rPr>
          <w:sz w:val="32"/>
          <w:szCs w:val="32"/>
        </w:rPr>
        <w:tab/>
      </w:r>
      <w:r>
        <w:rPr>
          <w:rFonts w:hint="cs"/>
          <w:sz w:val="32"/>
          <w:szCs w:val="32"/>
          <w:rtl/>
        </w:rPr>
        <w:t xml:space="preserve">: ق94 </w:t>
      </w:r>
      <w:r>
        <w:rPr>
          <w:rFonts w:hint="cs"/>
          <w:sz w:val="32"/>
          <w:szCs w:val="32"/>
          <w:rtl/>
        </w:rPr>
        <w:tab/>
      </w:r>
      <w:r>
        <w:rPr>
          <w:rFonts w:hint="cs"/>
          <w:sz w:val="32"/>
          <w:szCs w:val="32"/>
          <w:rtl/>
        </w:rPr>
        <w:tab/>
        <w:t xml:space="preserve">: الثَّابتُ </w:t>
      </w:r>
      <w:r>
        <w:rPr>
          <w:rFonts w:hint="cs"/>
          <w:b/>
          <w:bCs/>
          <w:sz w:val="32"/>
          <w:szCs w:val="32"/>
          <w:rtl/>
        </w:rPr>
        <w:t>بالبرهانِ</w:t>
      </w:r>
      <w:r>
        <w:rPr>
          <w:rFonts w:hint="cs"/>
          <w:sz w:val="32"/>
          <w:szCs w:val="32"/>
          <w:rtl/>
        </w:rPr>
        <w:t xml:space="preserve"> كالثَّابتِ بالعَيَانِ. </w:t>
      </w:r>
    </w:p>
    <w:p w:rsidR="00284270" w:rsidRDefault="00284270" w:rsidP="0022714B">
      <w:pPr>
        <w:rPr>
          <w:spacing w:val="-4"/>
          <w:sz w:val="32"/>
          <w:szCs w:val="32"/>
          <w:rtl/>
        </w:rPr>
      </w:pPr>
      <w:r>
        <w:rPr>
          <w:rFonts w:hint="cs"/>
          <w:b/>
          <w:bCs/>
          <w:spacing w:val="-4"/>
          <w:sz w:val="32"/>
          <w:szCs w:val="32"/>
          <w:rtl/>
        </w:rPr>
        <w:t>بشر</w:t>
      </w:r>
      <w:r>
        <w:rPr>
          <w:rFonts w:hint="cs"/>
          <w:spacing w:val="-4"/>
          <w:sz w:val="32"/>
          <w:szCs w:val="32"/>
          <w:rtl/>
        </w:rPr>
        <w:tab/>
      </w:r>
      <w:r>
        <w:rPr>
          <w:spacing w:val="-4"/>
          <w:sz w:val="32"/>
          <w:szCs w:val="32"/>
        </w:rPr>
        <w:tab/>
      </w:r>
      <w:r>
        <w:rPr>
          <w:rFonts w:hint="cs"/>
          <w:spacing w:val="-4"/>
          <w:sz w:val="32"/>
          <w:szCs w:val="32"/>
          <w:rtl/>
        </w:rPr>
        <w:t xml:space="preserve">: ق14 </w:t>
      </w:r>
      <w:r>
        <w:rPr>
          <w:rFonts w:hint="cs"/>
          <w:spacing w:val="-4"/>
          <w:sz w:val="32"/>
          <w:szCs w:val="32"/>
          <w:rtl/>
        </w:rPr>
        <w:tab/>
      </w:r>
      <w:r>
        <w:rPr>
          <w:rFonts w:hint="cs"/>
          <w:spacing w:val="-4"/>
          <w:sz w:val="32"/>
          <w:szCs w:val="32"/>
          <w:rtl/>
        </w:rPr>
        <w:tab/>
        <w:t xml:space="preserve">: إذَا اجتمعَ </w:t>
      </w:r>
      <w:r>
        <w:rPr>
          <w:rFonts w:hint="cs"/>
          <w:b/>
          <w:bCs/>
          <w:spacing w:val="-4"/>
          <w:sz w:val="32"/>
          <w:szCs w:val="32"/>
          <w:rtl/>
        </w:rPr>
        <w:t>المباشرُ</w:t>
      </w:r>
      <w:r>
        <w:rPr>
          <w:rFonts w:hint="cs"/>
          <w:spacing w:val="-4"/>
          <w:sz w:val="32"/>
          <w:szCs w:val="32"/>
          <w:rtl/>
        </w:rPr>
        <w:t xml:space="preserve"> والمتسبِّبُ : أُضيفَ الحكمُ إلى المُبَاشِرِ. </w:t>
      </w:r>
    </w:p>
    <w:p w:rsidR="00284270" w:rsidRDefault="00284270" w:rsidP="0022714B">
      <w:pPr>
        <w:ind w:left="2833" w:hanging="1066"/>
        <w:rPr>
          <w:sz w:val="32"/>
          <w:szCs w:val="32"/>
          <w:rtl/>
        </w:rPr>
      </w:pPr>
      <w:r>
        <w:rPr>
          <w:rFonts w:hint="cs"/>
          <w:sz w:val="32"/>
          <w:szCs w:val="32"/>
          <w:rtl/>
        </w:rPr>
        <w:t>ق</w:t>
      </w:r>
      <w:r>
        <w:rPr>
          <w:sz w:val="32"/>
          <w:szCs w:val="32"/>
        </w:rPr>
        <w:t>37</w:t>
      </w:r>
      <w:r>
        <w:rPr>
          <w:rFonts w:hint="cs"/>
          <w:sz w:val="32"/>
          <w:szCs w:val="32"/>
          <w:rtl/>
        </w:rPr>
        <w:t xml:space="preserve"> </w:t>
      </w:r>
      <w:r>
        <w:rPr>
          <w:rFonts w:hint="cs"/>
          <w:sz w:val="32"/>
          <w:szCs w:val="32"/>
          <w:rtl/>
        </w:rPr>
        <w:tab/>
        <w:t xml:space="preserve">: الأَفْعَالُ المُبَاحَةُ لا يَجُوزُ </w:t>
      </w:r>
      <w:r>
        <w:rPr>
          <w:rFonts w:hint="cs"/>
          <w:b/>
          <w:bCs/>
          <w:sz w:val="32"/>
          <w:szCs w:val="32"/>
          <w:rtl/>
        </w:rPr>
        <w:t>مُبَاشَرَتُهَا</w:t>
      </w:r>
      <w:r>
        <w:rPr>
          <w:rFonts w:hint="cs"/>
          <w:sz w:val="32"/>
          <w:szCs w:val="32"/>
          <w:rtl/>
        </w:rPr>
        <w:t xml:space="preserve"> إلاَّ بِشَرْطِ أَنْ لاَ يُؤذِي أَحَدًا. </w:t>
      </w:r>
    </w:p>
    <w:p w:rsidR="00284270" w:rsidRDefault="00284270" w:rsidP="0022714B">
      <w:pPr>
        <w:pStyle w:val="21"/>
        <w:ind w:hanging="3"/>
        <w:rPr>
          <w:spacing w:val="-6"/>
          <w:sz w:val="32"/>
          <w:szCs w:val="32"/>
          <w:rtl/>
        </w:rPr>
      </w:pPr>
      <w:r>
        <w:rPr>
          <w:rFonts w:hint="cs"/>
          <w:spacing w:val="-6"/>
          <w:sz w:val="32"/>
          <w:szCs w:val="32"/>
          <w:rtl/>
        </w:rPr>
        <w:t xml:space="preserve">            </w:t>
      </w:r>
      <w:r>
        <w:rPr>
          <w:spacing w:val="-6"/>
          <w:sz w:val="32"/>
          <w:szCs w:val="32"/>
        </w:rPr>
        <w:t xml:space="preserve"> </w:t>
      </w:r>
      <w:r>
        <w:rPr>
          <w:rFonts w:hint="cs"/>
          <w:spacing w:val="-6"/>
          <w:sz w:val="32"/>
          <w:szCs w:val="32"/>
          <w:rtl/>
        </w:rPr>
        <w:tab/>
      </w:r>
      <w:r>
        <w:rPr>
          <w:rFonts w:hint="cs"/>
          <w:spacing w:val="-6"/>
          <w:sz w:val="32"/>
          <w:szCs w:val="32"/>
          <w:rtl/>
        </w:rPr>
        <w:tab/>
        <w:t xml:space="preserve">  ق225</w:t>
      </w:r>
      <w:r>
        <w:rPr>
          <w:rFonts w:hint="cs"/>
          <w:spacing w:val="-6"/>
          <w:sz w:val="32"/>
          <w:szCs w:val="32"/>
          <w:rtl/>
        </w:rPr>
        <w:tab/>
        <w:t xml:space="preserve"> </w:t>
      </w:r>
      <w:r>
        <w:rPr>
          <w:rFonts w:hint="cs"/>
          <w:spacing w:val="-6"/>
          <w:sz w:val="32"/>
          <w:szCs w:val="32"/>
          <w:rtl/>
        </w:rPr>
        <w:tab/>
        <w:t xml:space="preserve">: </w:t>
      </w:r>
      <w:r>
        <w:rPr>
          <w:rFonts w:hint="cs"/>
          <w:b w:val="0"/>
          <w:bCs w:val="0"/>
          <w:spacing w:val="-6"/>
          <w:sz w:val="32"/>
          <w:szCs w:val="32"/>
          <w:rtl/>
        </w:rPr>
        <w:t>المُبَاشِرُ</w:t>
      </w:r>
      <w:r>
        <w:rPr>
          <w:rFonts w:hint="cs"/>
          <w:spacing w:val="-6"/>
          <w:sz w:val="32"/>
          <w:szCs w:val="32"/>
          <w:rtl/>
        </w:rPr>
        <w:t xml:space="preserve"> ضَامِنٌ وإِنْ لَمْ يَتَعَمَّدْ, والمُسَبِّبُ لا إلاّ إذَا كَانَ مُتَعَمِّدًا.</w:t>
      </w:r>
    </w:p>
    <w:p w:rsidR="00284270" w:rsidRDefault="00284270">
      <w:pPr>
        <w:rPr>
          <w:sz w:val="32"/>
          <w:szCs w:val="32"/>
          <w:rtl/>
        </w:rPr>
      </w:pPr>
      <w:r>
        <w:rPr>
          <w:rFonts w:hint="cs"/>
          <w:b/>
          <w:bCs/>
          <w:sz w:val="32"/>
          <w:szCs w:val="32"/>
          <w:rtl/>
        </w:rPr>
        <w:t>بطل</w:t>
      </w:r>
      <w:r>
        <w:rPr>
          <w:rFonts w:hint="cs"/>
          <w:sz w:val="32"/>
          <w:szCs w:val="32"/>
          <w:rtl/>
        </w:rPr>
        <w:tab/>
      </w:r>
      <w:r>
        <w:rPr>
          <w:sz w:val="32"/>
          <w:szCs w:val="32"/>
        </w:rPr>
        <w:tab/>
      </w:r>
      <w:r>
        <w:rPr>
          <w:rFonts w:hint="cs"/>
          <w:sz w:val="32"/>
          <w:szCs w:val="32"/>
          <w:rtl/>
        </w:rPr>
        <w:t xml:space="preserve">: ق10 </w:t>
      </w:r>
      <w:r>
        <w:rPr>
          <w:rFonts w:hint="cs"/>
          <w:sz w:val="32"/>
          <w:szCs w:val="32"/>
          <w:rtl/>
        </w:rPr>
        <w:tab/>
      </w:r>
      <w:r>
        <w:rPr>
          <w:rFonts w:hint="cs"/>
          <w:sz w:val="32"/>
          <w:szCs w:val="32"/>
          <w:rtl/>
        </w:rPr>
        <w:tab/>
        <w:t xml:space="preserve">: إذَا </w:t>
      </w:r>
      <w:r>
        <w:rPr>
          <w:rFonts w:hint="cs"/>
          <w:b/>
          <w:bCs/>
          <w:sz w:val="32"/>
          <w:szCs w:val="32"/>
          <w:rtl/>
        </w:rPr>
        <w:t>بَطَلَ</w:t>
      </w:r>
      <w:r>
        <w:rPr>
          <w:rFonts w:hint="cs"/>
          <w:sz w:val="32"/>
          <w:szCs w:val="32"/>
          <w:rtl/>
        </w:rPr>
        <w:t xml:space="preserve"> الشَّيءُ بطلَ ما في ضِمنِهِ. </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ق45 </w:t>
      </w:r>
      <w:r>
        <w:rPr>
          <w:rFonts w:hint="cs"/>
          <w:sz w:val="32"/>
          <w:szCs w:val="32"/>
          <w:rtl/>
        </w:rPr>
        <w:tab/>
      </w:r>
      <w:r>
        <w:rPr>
          <w:rFonts w:hint="cs"/>
          <w:sz w:val="32"/>
          <w:szCs w:val="32"/>
          <w:rtl/>
        </w:rPr>
        <w:tab/>
        <w:t xml:space="preserve">: الإِقْرَارُ غيرُ معتبرٍ إذا تَضَمَّنَ </w:t>
      </w:r>
      <w:r>
        <w:rPr>
          <w:rFonts w:hint="cs"/>
          <w:b/>
          <w:bCs/>
          <w:sz w:val="32"/>
          <w:szCs w:val="32"/>
          <w:rtl/>
        </w:rPr>
        <w:t>إبْطَالَ</w:t>
      </w:r>
      <w:r>
        <w:rPr>
          <w:rFonts w:hint="cs"/>
          <w:sz w:val="32"/>
          <w:szCs w:val="32"/>
          <w:rtl/>
        </w:rPr>
        <w:t xml:space="preserve"> حَقِّ الغَيْرِ.</w:t>
      </w:r>
      <w:r>
        <w:rPr>
          <w:rFonts w:hint="cs"/>
          <w:sz w:val="32"/>
          <w:szCs w:val="32"/>
          <w:rtl/>
        </w:rPr>
        <w:tab/>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ق78 </w:t>
      </w:r>
      <w:r>
        <w:rPr>
          <w:rFonts w:hint="cs"/>
          <w:sz w:val="32"/>
          <w:szCs w:val="32"/>
          <w:rtl/>
        </w:rPr>
        <w:tab/>
      </w:r>
      <w:r>
        <w:rPr>
          <w:rFonts w:hint="cs"/>
          <w:sz w:val="32"/>
          <w:szCs w:val="32"/>
          <w:rtl/>
        </w:rPr>
        <w:tab/>
        <w:t xml:space="preserve">: تَغْيِيرُ المشرُوعِ </w:t>
      </w:r>
      <w:r>
        <w:rPr>
          <w:rFonts w:hint="cs"/>
          <w:b/>
          <w:bCs/>
          <w:sz w:val="32"/>
          <w:szCs w:val="32"/>
          <w:rtl/>
        </w:rPr>
        <w:t>بَاطِلٌ</w:t>
      </w:r>
      <w:r>
        <w:rPr>
          <w:rFonts w:hint="cs"/>
          <w:sz w:val="32"/>
          <w:szCs w:val="32"/>
          <w:rtl/>
        </w:rPr>
        <w:t xml:space="preserve">. </w:t>
      </w:r>
    </w:p>
    <w:p w:rsidR="00284270" w:rsidRDefault="00284270" w:rsidP="0022714B">
      <w:pPr>
        <w:pStyle w:val="21"/>
        <w:ind w:hanging="3"/>
        <w:rPr>
          <w:spacing w:val="-6"/>
          <w:sz w:val="32"/>
          <w:szCs w:val="32"/>
          <w:rtl/>
        </w:rPr>
      </w:pPr>
      <w:r>
        <w:rPr>
          <w:rFonts w:hint="cs"/>
          <w:spacing w:val="-6"/>
          <w:sz w:val="32"/>
          <w:szCs w:val="32"/>
          <w:rtl/>
        </w:rPr>
        <w:t xml:space="preserve">           </w:t>
      </w:r>
      <w:r>
        <w:rPr>
          <w:rFonts w:hint="cs"/>
          <w:spacing w:val="-6"/>
          <w:sz w:val="32"/>
          <w:szCs w:val="32"/>
          <w:rtl/>
        </w:rPr>
        <w:tab/>
      </w:r>
      <w:r>
        <w:rPr>
          <w:rFonts w:hint="cs"/>
          <w:spacing w:val="-6"/>
          <w:sz w:val="32"/>
          <w:szCs w:val="32"/>
          <w:rtl/>
        </w:rPr>
        <w:tab/>
      </w:r>
      <w:r>
        <w:rPr>
          <w:rFonts w:hint="cs"/>
          <w:spacing w:val="-6"/>
          <w:sz w:val="32"/>
          <w:szCs w:val="32"/>
          <w:rtl/>
        </w:rPr>
        <w:tab/>
        <w:t xml:space="preserve"> </w:t>
      </w:r>
      <w:r>
        <w:rPr>
          <w:spacing w:val="-6"/>
          <w:sz w:val="32"/>
          <w:szCs w:val="32"/>
        </w:rPr>
        <w:t xml:space="preserve"> </w:t>
      </w:r>
      <w:r>
        <w:rPr>
          <w:rFonts w:hint="cs"/>
          <w:spacing w:val="-6"/>
          <w:sz w:val="32"/>
          <w:szCs w:val="32"/>
          <w:rtl/>
        </w:rPr>
        <w:t xml:space="preserve">ق107 </w:t>
      </w:r>
      <w:r>
        <w:rPr>
          <w:rFonts w:hint="cs"/>
          <w:spacing w:val="-6"/>
          <w:sz w:val="32"/>
          <w:szCs w:val="32"/>
          <w:rtl/>
        </w:rPr>
        <w:tab/>
        <w:t xml:space="preserve">: جَهَالَةُ المَكْفُولِ لَهُ </w:t>
      </w:r>
      <w:r>
        <w:rPr>
          <w:rFonts w:hint="cs"/>
          <w:b w:val="0"/>
          <w:bCs w:val="0"/>
          <w:spacing w:val="-6"/>
          <w:sz w:val="32"/>
          <w:szCs w:val="32"/>
          <w:rtl/>
        </w:rPr>
        <w:t>تُبطِلُ</w:t>
      </w:r>
      <w:r>
        <w:rPr>
          <w:rFonts w:hint="cs"/>
          <w:spacing w:val="-6"/>
          <w:sz w:val="32"/>
          <w:szCs w:val="32"/>
          <w:rtl/>
        </w:rPr>
        <w:t xml:space="preserve"> الكفالةَ، وكذا جهالةُ المكفولِ عنهُ.</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ق131 </w:t>
      </w:r>
      <w:r>
        <w:rPr>
          <w:rFonts w:hint="cs"/>
          <w:sz w:val="32"/>
          <w:szCs w:val="32"/>
          <w:rtl/>
        </w:rPr>
        <w:tab/>
        <w:t xml:space="preserve">: الرّجُوعُ مِنَ الإقْرَارِ </w:t>
      </w:r>
      <w:r>
        <w:rPr>
          <w:rFonts w:hint="cs"/>
          <w:b/>
          <w:bCs/>
          <w:sz w:val="32"/>
          <w:szCs w:val="32"/>
          <w:rtl/>
        </w:rPr>
        <w:t>بَاطِلٌ</w:t>
      </w:r>
      <w:r>
        <w:rPr>
          <w:rFonts w:hint="cs"/>
          <w:sz w:val="32"/>
          <w:szCs w:val="32"/>
          <w:rtl/>
        </w:rPr>
        <w:t>.</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ق148 </w:t>
      </w:r>
      <w:r>
        <w:rPr>
          <w:rFonts w:hint="cs"/>
          <w:sz w:val="32"/>
          <w:szCs w:val="32"/>
          <w:rtl/>
        </w:rPr>
        <w:tab/>
        <w:t xml:space="preserve">: الشَّهَادَةُ إذَا </w:t>
      </w:r>
      <w:r>
        <w:rPr>
          <w:rFonts w:hint="cs"/>
          <w:b/>
          <w:bCs/>
          <w:sz w:val="32"/>
          <w:szCs w:val="32"/>
          <w:rtl/>
        </w:rPr>
        <w:t>بَطَلَتْ</w:t>
      </w:r>
      <w:r>
        <w:rPr>
          <w:rFonts w:hint="cs"/>
          <w:sz w:val="32"/>
          <w:szCs w:val="32"/>
          <w:rtl/>
        </w:rPr>
        <w:t xml:space="preserve"> فِي البَعْضِ بَطَلَتْ في الكُلِّ.</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ق188 </w:t>
      </w:r>
      <w:r>
        <w:rPr>
          <w:rFonts w:hint="cs"/>
          <w:sz w:val="32"/>
          <w:szCs w:val="32"/>
          <w:rtl/>
        </w:rPr>
        <w:tab/>
      </w:r>
      <w:r>
        <w:rPr>
          <w:rFonts w:hint="cs"/>
          <w:sz w:val="32"/>
          <w:szCs w:val="32"/>
          <w:rtl/>
        </w:rPr>
        <w:tab/>
        <w:t xml:space="preserve">: كُلُّ شرطٍ يغيِّرُ حكمَ الشَّرْعِ يَكُونُ </w:t>
      </w:r>
      <w:r>
        <w:rPr>
          <w:rFonts w:hint="cs"/>
          <w:b/>
          <w:bCs/>
          <w:sz w:val="32"/>
          <w:szCs w:val="32"/>
          <w:rtl/>
        </w:rPr>
        <w:t>باطِلاً</w:t>
      </w:r>
      <w:r>
        <w:rPr>
          <w:rFonts w:hint="cs"/>
          <w:sz w:val="32"/>
          <w:szCs w:val="32"/>
          <w:rtl/>
        </w:rPr>
        <w:t>.</w:t>
      </w:r>
    </w:p>
    <w:p w:rsidR="00284270" w:rsidRDefault="00284270">
      <w:pPr>
        <w:rPr>
          <w:sz w:val="32"/>
          <w:szCs w:val="32"/>
          <w:rtl/>
        </w:rPr>
      </w:pPr>
      <w:r>
        <w:rPr>
          <w:rFonts w:hint="cs"/>
          <w:b/>
          <w:bCs/>
          <w:sz w:val="32"/>
          <w:szCs w:val="32"/>
          <w:rtl/>
        </w:rPr>
        <w:t>بطن</w:t>
      </w:r>
      <w:r>
        <w:rPr>
          <w:rFonts w:hint="cs"/>
          <w:sz w:val="32"/>
          <w:szCs w:val="32"/>
          <w:rtl/>
        </w:rPr>
        <w:tab/>
      </w:r>
      <w:r>
        <w:rPr>
          <w:sz w:val="32"/>
          <w:szCs w:val="32"/>
        </w:rPr>
        <w:tab/>
      </w:r>
      <w:r>
        <w:rPr>
          <w:rFonts w:hint="cs"/>
          <w:sz w:val="32"/>
          <w:szCs w:val="32"/>
          <w:rtl/>
        </w:rPr>
        <w:t xml:space="preserve">: ق127 </w:t>
      </w:r>
      <w:r>
        <w:rPr>
          <w:rFonts w:hint="cs"/>
          <w:sz w:val="32"/>
          <w:szCs w:val="32"/>
          <w:rtl/>
        </w:rPr>
        <w:tab/>
        <w:t xml:space="preserve">: دليلُ الشَّيءِ فِي الأمورِ </w:t>
      </w:r>
      <w:r>
        <w:rPr>
          <w:rFonts w:hint="cs"/>
          <w:b/>
          <w:bCs/>
          <w:sz w:val="32"/>
          <w:szCs w:val="32"/>
          <w:rtl/>
        </w:rPr>
        <w:t>الباطنةِ</w:t>
      </w:r>
      <w:r>
        <w:rPr>
          <w:rFonts w:hint="cs"/>
          <w:sz w:val="32"/>
          <w:szCs w:val="32"/>
          <w:rtl/>
        </w:rPr>
        <w:t xml:space="preserve"> يقومُ مقامَهُ. </w:t>
      </w:r>
    </w:p>
    <w:p w:rsidR="00284270" w:rsidRDefault="00284270" w:rsidP="0022714B">
      <w:pPr>
        <w:ind w:left="2833" w:hanging="2266"/>
        <w:rPr>
          <w:sz w:val="32"/>
          <w:szCs w:val="32"/>
          <w:rtl/>
        </w:rPr>
      </w:pPr>
      <w:r>
        <w:rPr>
          <w:rFonts w:hint="cs"/>
          <w:b/>
          <w:bCs/>
          <w:sz w:val="32"/>
          <w:szCs w:val="32"/>
          <w:rtl/>
        </w:rPr>
        <w:t>بعض</w:t>
      </w:r>
      <w:r>
        <w:rPr>
          <w:rFonts w:hint="cs"/>
          <w:sz w:val="32"/>
          <w:szCs w:val="32"/>
          <w:rtl/>
        </w:rPr>
        <w:t xml:space="preserve">        : ق51 </w:t>
      </w:r>
      <w:r>
        <w:rPr>
          <w:rFonts w:hint="cs"/>
          <w:sz w:val="32"/>
          <w:szCs w:val="32"/>
          <w:rtl/>
        </w:rPr>
        <w:tab/>
        <w:t xml:space="preserve">: </w:t>
      </w:r>
      <w:r>
        <w:rPr>
          <w:rFonts w:hint="eastAsia"/>
          <w:b/>
          <w:bCs/>
          <w:sz w:val="32"/>
          <w:szCs w:val="32"/>
          <w:rtl/>
        </w:rPr>
        <w:t>الب</w:t>
      </w:r>
      <w:r>
        <w:rPr>
          <w:rFonts w:hint="cs"/>
          <w:b/>
          <w:bCs/>
          <w:sz w:val="32"/>
          <w:szCs w:val="32"/>
          <w:rtl/>
        </w:rPr>
        <w:t>َ</w:t>
      </w:r>
      <w:r>
        <w:rPr>
          <w:rFonts w:hint="eastAsia"/>
          <w:b/>
          <w:bCs/>
          <w:sz w:val="32"/>
          <w:szCs w:val="32"/>
          <w:rtl/>
        </w:rPr>
        <w:t>ع</w:t>
      </w:r>
      <w:r>
        <w:rPr>
          <w:rFonts w:hint="cs"/>
          <w:b/>
          <w:bCs/>
          <w:sz w:val="32"/>
          <w:szCs w:val="32"/>
          <w:rtl/>
        </w:rPr>
        <w:t>ْ</w:t>
      </w:r>
      <w:r>
        <w:rPr>
          <w:rFonts w:hint="eastAsia"/>
          <w:b/>
          <w:bCs/>
          <w:sz w:val="32"/>
          <w:szCs w:val="32"/>
          <w:rtl/>
        </w:rPr>
        <w:t>ض</w:t>
      </w:r>
      <w:r>
        <w:rPr>
          <w:rFonts w:hint="cs"/>
          <w:b/>
          <w:bCs/>
          <w:sz w:val="32"/>
          <w:szCs w:val="32"/>
          <w:rtl/>
        </w:rPr>
        <w:t>ُ</w:t>
      </w:r>
      <w:r>
        <w:rPr>
          <w:rFonts w:hint="cs"/>
          <w:sz w:val="32"/>
          <w:szCs w:val="32"/>
          <w:rtl/>
        </w:rPr>
        <w:t xml:space="preserve"> </w:t>
      </w:r>
      <w:r>
        <w:rPr>
          <w:sz w:val="32"/>
          <w:szCs w:val="32"/>
          <w:rtl/>
        </w:rPr>
        <w:t>لا</w:t>
      </w:r>
      <w:r>
        <w:rPr>
          <w:rFonts w:hint="cs"/>
          <w:sz w:val="32"/>
          <w:szCs w:val="32"/>
          <w:rtl/>
        </w:rPr>
        <w:t>َ</w:t>
      </w:r>
      <w:r>
        <w:rPr>
          <w:sz w:val="32"/>
          <w:szCs w:val="32"/>
          <w:rtl/>
        </w:rPr>
        <w:t xml:space="preserve"> ي</w:t>
      </w:r>
      <w:r>
        <w:rPr>
          <w:rFonts w:hint="cs"/>
          <w:sz w:val="32"/>
          <w:szCs w:val="32"/>
          <w:rtl/>
        </w:rPr>
        <w:t>َ</w:t>
      </w:r>
      <w:r>
        <w:rPr>
          <w:sz w:val="32"/>
          <w:szCs w:val="32"/>
          <w:rtl/>
        </w:rPr>
        <w:t>ز</w:t>
      </w:r>
      <w:r>
        <w:rPr>
          <w:rFonts w:hint="cs"/>
          <w:sz w:val="32"/>
          <w:szCs w:val="32"/>
          <w:rtl/>
        </w:rPr>
        <w:t>ِ</w:t>
      </w:r>
      <w:r>
        <w:rPr>
          <w:sz w:val="32"/>
          <w:szCs w:val="32"/>
          <w:rtl/>
        </w:rPr>
        <w:t>ي</w:t>
      </w:r>
      <w:r>
        <w:rPr>
          <w:rFonts w:hint="cs"/>
          <w:sz w:val="32"/>
          <w:szCs w:val="32"/>
          <w:rtl/>
        </w:rPr>
        <w:t>ْ</w:t>
      </w:r>
      <w:r>
        <w:rPr>
          <w:sz w:val="32"/>
          <w:szCs w:val="32"/>
          <w:rtl/>
        </w:rPr>
        <w:t>د</w:t>
      </w:r>
      <w:r>
        <w:rPr>
          <w:rFonts w:hint="cs"/>
          <w:sz w:val="32"/>
          <w:szCs w:val="32"/>
          <w:rtl/>
        </w:rPr>
        <w:t>ُ</w:t>
      </w:r>
      <w:r>
        <w:rPr>
          <w:sz w:val="32"/>
          <w:szCs w:val="32"/>
          <w:rtl/>
        </w:rPr>
        <w:t xml:space="preserve"> </w:t>
      </w:r>
      <w:r>
        <w:rPr>
          <w:rFonts w:hint="eastAsia"/>
          <w:sz w:val="32"/>
          <w:szCs w:val="32"/>
          <w:rtl/>
        </w:rPr>
        <w:t>ع</w:t>
      </w:r>
      <w:r>
        <w:rPr>
          <w:rFonts w:hint="cs"/>
          <w:sz w:val="32"/>
          <w:szCs w:val="32"/>
          <w:rtl/>
        </w:rPr>
        <w:t>َ</w:t>
      </w:r>
      <w:r>
        <w:rPr>
          <w:rFonts w:hint="eastAsia"/>
          <w:sz w:val="32"/>
          <w:szCs w:val="32"/>
          <w:rtl/>
        </w:rPr>
        <w:t>ل</w:t>
      </w:r>
      <w:r>
        <w:rPr>
          <w:rFonts w:hint="cs"/>
          <w:sz w:val="32"/>
          <w:szCs w:val="32"/>
          <w:rtl/>
        </w:rPr>
        <w:t>َ</w:t>
      </w:r>
      <w:r>
        <w:rPr>
          <w:rFonts w:hint="eastAsia"/>
          <w:sz w:val="32"/>
          <w:szCs w:val="32"/>
          <w:rtl/>
        </w:rPr>
        <w:t>ى</w:t>
      </w:r>
      <w:r>
        <w:rPr>
          <w:sz w:val="32"/>
          <w:szCs w:val="32"/>
          <w:rtl/>
        </w:rPr>
        <w:t xml:space="preserve"> الك</w:t>
      </w:r>
      <w:r>
        <w:rPr>
          <w:rFonts w:hint="cs"/>
          <w:sz w:val="32"/>
          <w:szCs w:val="32"/>
          <w:rtl/>
        </w:rPr>
        <w:t>ُ</w:t>
      </w:r>
      <w:r>
        <w:rPr>
          <w:sz w:val="32"/>
          <w:szCs w:val="32"/>
          <w:rtl/>
        </w:rPr>
        <w:t>ل</w:t>
      </w:r>
      <w:r>
        <w:rPr>
          <w:rFonts w:hint="cs"/>
          <w:sz w:val="32"/>
          <w:szCs w:val="32"/>
          <w:rtl/>
        </w:rPr>
        <w:t>ِّ</w:t>
      </w:r>
      <w:r>
        <w:rPr>
          <w:sz w:val="32"/>
          <w:szCs w:val="32"/>
          <w:rtl/>
        </w:rPr>
        <w:t xml:space="preserve"> إلا</w:t>
      </w:r>
      <w:r>
        <w:rPr>
          <w:rFonts w:hint="cs"/>
          <w:sz w:val="32"/>
          <w:szCs w:val="32"/>
          <w:rtl/>
        </w:rPr>
        <w:t>َّ</w:t>
      </w:r>
      <w:r>
        <w:rPr>
          <w:sz w:val="32"/>
          <w:szCs w:val="32"/>
          <w:rtl/>
        </w:rPr>
        <w:t xml:space="preserve"> ف</w:t>
      </w:r>
      <w:r>
        <w:rPr>
          <w:rFonts w:hint="cs"/>
          <w:sz w:val="32"/>
          <w:szCs w:val="32"/>
          <w:rtl/>
        </w:rPr>
        <w:t>ِ</w:t>
      </w:r>
      <w:r>
        <w:rPr>
          <w:sz w:val="32"/>
          <w:szCs w:val="32"/>
          <w:rtl/>
        </w:rPr>
        <w:t>ي م</w:t>
      </w:r>
      <w:r>
        <w:rPr>
          <w:rFonts w:hint="cs"/>
          <w:sz w:val="32"/>
          <w:szCs w:val="32"/>
          <w:rtl/>
        </w:rPr>
        <w:t>َ</w:t>
      </w:r>
      <w:r>
        <w:rPr>
          <w:sz w:val="32"/>
          <w:szCs w:val="32"/>
          <w:rtl/>
        </w:rPr>
        <w:t>س</w:t>
      </w:r>
      <w:r>
        <w:rPr>
          <w:rFonts w:hint="cs"/>
          <w:sz w:val="32"/>
          <w:szCs w:val="32"/>
          <w:rtl/>
        </w:rPr>
        <w:t>ْ</w:t>
      </w:r>
      <w:r>
        <w:rPr>
          <w:sz w:val="32"/>
          <w:szCs w:val="32"/>
          <w:rtl/>
        </w:rPr>
        <w:t>أ</w:t>
      </w:r>
      <w:r>
        <w:rPr>
          <w:rFonts w:hint="cs"/>
          <w:sz w:val="32"/>
          <w:szCs w:val="32"/>
          <w:rtl/>
        </w:rPr>
        <w:t>َ</w:t>
      </w:r>
      <w:r>
        <w:rPr>
          <w:sz w:val="32"/>
          <w:szCs w:val="32"/>
          <w:rtl/>
        </w:rPr>
        <w:t>لة</w:t>
      </w:r>
      <w:r>
        <w:rPr>
          <w:rFonts w:hint="cs"/>
          <w:sz w:val="32"/>
          <w:szCs w:val="32"/>
          <w:rtl/>
        </w:rPr>
        <w:t>ٍ</w:t>
      </w:r>
      <w:r>
        <w:rPr>
          <w:sz w:val="32"/>
          <w:szCs w:val="32"/>
          <w:rtl/>
        </w:rPr>
        <w:t xml:space="preserve"> و</w:t>
      </w:r>
      <w:r>
        <w:rPr>
          <w:rFonts w:hint="cs"/>
          <w:sz w:val="32"/>
          <w:szCs w:val="32"/>
          <w:rtl/>
        </w:rPr>
        <w:t>َ</w:t>
      </w:r>
      <w:r>
        <w:rPr>
          <w:sz w:val="32"/>
          <w:szCs w:val="32"/>
          <w:rtl/>
        </w:rPr>
        <w:t>اح</w:t>
      </w:r>
      <w:r>
        <w:rPr>
          <w:rFonts w:hint="cs"/>
          <w:sz w:val="32"/>
          <w:szCs w:val="32"/>
          <w:rtl/>
        </w:rPr>
        <w:t>ِ</w:t>
      </w:r>
      <w:r>
        <w:rPr>
          <w:sz w:val="32"/>
          <w:szCs w:val="32"/>
          <w:rtl/>
        </w:rPr>
        <w:t>د</w:t>
      </w:r>
      <w:r>
        <w:rPr>
          <w:rFonts w:hint="cs"/>
          <w:sz w:val="32"/>
          <w:szCs w:val="32"/>
          <w:rtl/>
        </w:rPr>
        <w:t>َ</w:t>
      </w:r>
      <w:r>
        <w:rPr>
          <w:sz w:val="32"/>
          <w:szCs w:val="32"/>
          <w:rtl/>
        </w:rPr>
        <w:t>ة</w:t>
      </w:r>
      <w:r>
        <w:rPr>
          <w:rFonts w:hint="cs"/>
          <w:sz w:val="32"/>
          <w:szCs w:val="32"/>
          <w:rtl/>
        </w:rPr>
        <w:t>ٍ</w:t>
      </w:r>
      <w:r>
        <w:rPr>
          <w:sz w:val="32"/>
          <w:szCs w:val="32"/>
          <w:rtl/>
        </w:rPr>
        <w:t>، و</w:t>
      </w:r>
      <w:r>
        <w:rPr>
          <w:rFonts w:hint="cs"/>
          <w:sz w:val="32"/>
          <w:szCs w:val="32"/>
          <w:rtl/>
        </w:rPr>
        <w:t>َ</w:t>
      </w:r>
      <w:r>
        <w:rPr>
          <w:sz w:val="32"/>
          <w:szCs w:val="32"/>
          <w:rtl/>
        </w:rPr>
        <w:t>ه</w:t>
      </w:r>
      <w:r>
        <w:rPr>
          <w:rFonts w:hint="cs"/>
          <w:sz w:val="32"/>
          <w:szCs w:val="32"/>
          <w:rtl/>
        </w:rPr>
        <w:t>ِ</w:t>
      </w:r>
      <w:r>
        <w:rPr>
          <w:sz w:val="32"/>
          <w:szCs w:val="32"/>
          <w:rtl/>
        </w:rPr>
        <w:t>ي</w:t>
      </w:r>
      <w:r>
        <w:rPr>
          <w:rFonts w:hint="cs"/>
          <w:sz w:val="32"/>
          <w:szCs w:val="32"/>
          <w:rtl/>
        </w:rPr>
        <w:t>َ</w:t>
      </w:r>
      <w:r>
        <w:rPr>
          <w:sz w:val="32"/>
          <w:szCs w:val="32"/>
          <w:rtl/>
        </w:rPr>
        <w:t xml:space="preserve"> إذ</w:t>
      </w:r>
      <w:r>
        <w:rPr>
          <w:rFonts w:hint="cs"/>
          <w:sz w:val="32"/>
          <w:szCs w:val="32"/>
          <w:rtl/>
        </w:rPr>
        <w:t>َ</w:t>
      </w:r>
      <w:r>
        <w:rPr>
          <w:sz w:val="32"/>
          <w:szCs w:val="32"/>
          <w:rtl/>
        </w:rPr>
        <w:t>ا ق</w:t>
      </w:r>
      <w:r>
        <w:rPr>
          <w:rFonts w:hint="cs"/>
          <w:sz w:val="32"/>
          <w:szCs w:val="32"/>
          <w:rtl/>
        </w:rPr>
        <w:t>َ</w:t>
      </w:r>
      <w:r>
        <w:rPr>
          <w:sz w:val="32"/>
          <w:szCs w:val="32"/>
          <w:rtl/>
        </w:rPr>
        <w:t>ال</w:t>
      </w:r>
      <w:r>
        <w:rPr>
          <w:rFonts w:hint="cs"/>
          <w:sz w:val="32"/>
          <w:szCs w:val="32"/>
          <w:rtl/>
        </w:rPr>
        <w:t>َ</w:t>
      </w:r>
      <w:r>
        <w:rPr>
          <w:sz w:val="32"/>
          <w:szCs w:val="32"/>
          <w:rtl/>
        </w:rPr>
        <w:t xml:space="preserve"> الر</w:t>
      </w:r>
      <w:r>
        <w:rPr>
          <w:rFonts w:hint="cs"/>
          <w:sz w:val="32"/>
          <w:szCs w:val="32"/>
          <w:rtl/>
        </w:rPr>
        <w:t>َّ</w:t>
      </w:r>
      <w:r>
        <w:rPr>
          <w:sz w:val="32"/>
          <w:szCs w:val="32"/>
          <w:rtl/>
        </w:rPr>
        <w:t>ج</w:t>
      </w:r>
      <w:r>
        <w:rPr>
          <w:rFonts w:hint="cs"/>
          <w:sz w:val="32"/>
          <w:szCs w:val="32"/>
          <w:rtl/>
        </w:rPr>
        <w:t>ُ</w:t>
      </w:r>
      <w:r>
        <w:rPr>
          <w:sz w:val="32"/>
          <w:szCs w:val="32"/>
          <w:rtl/>
        </w:rPr>
        <w:t>ل</w:t>
      </w:r>
      <w:r>
        <w:rPr>
          <w:rFonts w:hint="cs"/>
          <w:sz w:val="32"/>
          <w:szCs w:val="32"/>
          <w:rtl/>
        </w:rPr>
        <w:t>ُ</w:t>
      </w:r>
      <w:r>
        <w:rPr>
          <w:sz w:val="32"/>
          <w:szCs w:val="32"/>
          <w:rtl/>
        </w:rPr>
        <w:t xml:space="preserve"> لامرأت</w:t>
      </w:r>
      <w:r>
        <w:rPr>
          <w:rFonts w:hint="cs"/>
          <w:sz w:val="32"/>
          <w:szCs w:val="32"/>
          <w:rtl/>
        </w:rPr>
        <w:t>ِ</w:t>
      </w:r>
      <w:r>
        <w:rPr>
          <w:sz w:val="32"/>
          <w:szCs w:val="32"/>
          <w:rtl/>
        </w:rPr>
        <w:t>ه</w:t>
      </w:r>
      <w:r>
        <w:rPr>
          <w:rFonts w:hint="cs"/>
          <w:sz w:val="32"/>
          <w:szCs w:val="32"/>
          <w:rtl/>
        </w:rPr>
        <w:t>ِ</w:t>
      </w:r>
      <w:r>
        <w:rPr>
          <w:sz w:val="32"/>
          <w:szCs w:val="32"/>
          <w:rtl/>
        </w:rPr>
        <w:t xml:space="preserve"> : أ</w:t>
      </w:r>
      <w:r>
        <w:rPr>
          <w:rFonts w:hint="cs"/>
          <w:sz w:val="32"/>
          <w:szCs w:val="32"/>
          <w:rtl/>
        </w:rPr>
        <w:t>َ</w:t>
      </w:r>
      <w:r>
        <w:rPr>
          <w:sz w:val="32"/>
          <w:szCs w:val="32"/>
          <w:rtl/>
        </w:rPr>
        <w:t>ن</w:t>
      </w:r>
      <w:r>
        <w:rPr>
          <w:rFonts w:hint="cs"/>
          <w:sz w:val="32"/>
          <w:szCs w:val="32"/>
          <w:rtl/>
        </w:rPr>
        <w:t>ْ</w:t>
      </w:r>
      <w:r>
        <w:rPr>
          <w:sz w:val="32"/>
          <w:szCs w:val="32"/>
          <w:rtl/>
        </w:rPr>
        <w:t>ت</w:t>
      </w:r>
      <w:r>
        <w:rPr>
          <w:rFonts w:hint="cs"/>
          <w:sz w:val="32"/>
          <w:szCs w:val="32"/>
          <w:rtl/>
        </w:rPr>
        <w:t>ِ</w:t>
      </w:r>
      <w:r>
        <w:rPr>
          <w:sz w:val="32"/>
          <w:szCs w:val="32"/>
          <w:rtl/>
        </w:rPr>
        <w:t xml:space="preserve"> عليَّ ك</w:t>
      </w:r>
      <w:r>
        <w:rPr>
          <w:rFonts w:hint="cs"/>
          <w:sz w:val="32"/>
          <w:szCs w:val="32"/>
          <w:rtl/>
        </w:rPr>
        <w:t>َ</w:t>
      </w:r>
      <w:r>
        <w:rPr>
          <w:sz w:val="32"/>
          <w:szCs w:val="32"/>
          <w:rtl/>
        </w:rPr>
        <w:t>ظ</w:t>
      </w:r>
      <w:r>
        <w:rPr>
          <w:rFonts w:hint="cs"/>
          <w:sz w:val="32"/>
          <w:szCs w:val="32"/>
          <w:rtl/>
        </w:rPr>
        <w:t>َ</w:t>
      </w:r>
      <w:r>
        <w:rPr>
          <w:sz w:val="32"/>
          <w:szCs w:val="32"/>
          <w:rtl/>
        </w:rPr>
        <w:t>ه</w:t>
      </w:r>
      <w:r>
        <w:rPr>
          <w:rFonts w:hint="cs"/>
          <w:sz w:val="32"/>
          <w:szCs w:val="32"/>
          <w:rtl/>
        </w:rPr>
        <w:t>ْ</w:t>
      </w:r>
      <w:r>
        <w:rPr>
          <w:sz w:val="32"/>
          <w:szCs w:val="32"/>
          <w:rtl/>
        </w:rPr>
        <w:t>ر</w:t>
      </w:r>
      <w:r>
        <w:rPr>
          <w:rFonts w:hint="cs"/>
          <w:sz w:val="32"/>
          <w:szCs w:val="32"/>
          <w:rtl/>
        </w:rPr>
        <w:t>ِ</w:t>
      </w:r>
      <w:r>
        <w:rPr>
          <w:sz w:val="32"/>
          <w:szCs w:val="32"/>
          <w:rtl/>
        </w:rPr>
        <w:t xml:space="preserve"> أ</w:t>
      </w:r>
      <w:r>
        <w:rPr>
          <w:rFonts w:hint="cs"/>
          <w:sz w:val="32"/>
          <w:szCs w:val="32"/>
          <w:rtl/>
        </w:rPr>
        <w:t>ُ</w:t>
      </w:r>
      <w:r>
        <w:rPr>
          <w:sz w:val="32"/>
          <w:szCs w:val="32"/>
          <w:rtl/>
        </w:rPr>
        <w:t>مّ</w:t>
      </w:r>
      <w:r>
        <w:rPr>
          <w:rFonts w:hint="eastAsia"/>
          <w:sz w:val="32"/>
          <w:szCs w:val="32"/>
          <w:rtl/>
        </w:rPr>
        <w:t>ِي</w:t>
      </w:r>
      <w:r>
        <w:rPr>
          <w:rFonts w:hint="cs"/>
          <w:sz w:val="32"/>
          <w:szCs w:val="32"/>
          <w:rtl/>
        </w:rPr>
        <w:t xml:space="preserve">. </w:t>
      </w:r>
    </w:p>
    <w:p w:rsidR="00284270" w:rsidRDefault="00284270">
      <w:pPr>
        <w:rPr>
          <w:sz w:val="32"/>
          <w:szCs w:val="32"/>
          <w:rtl/>
        </w:rPr>
      </w:pPr>
      <w:r>
        <w:rPr>
          <w:rFonts w:hint="cs"/>
          <w:b/>
          <w:bCs/>
          <w:sz w:val="32"/>
          <w:szCs w:val="32"/>
          <w:rtl/>
        </w:rPr>
        <w:t>بقي</w:t>
      </w:r>
      <w:r>
        <w:rPr>
          <w:rFonts w:hint="cs"/>
          <w:sz w:val="32"/>
          <w:szCs w:val="32"/>
          <w:rtl/>
        </w:rPr>
        <w:tab/>
      </w:r>
      <w:r>
        <w:rPr>
          <w:sz w:val="32"/>
          <w:szCs w:val="32"/>
        </w:rPr>
        <w:tab/>
      </w:r>
      <w:r>
        <w:rPr>
          <w:rFonts w:hint="cs"/>
          <w:sz w:val="32"/>
          <w:szCs w:val="32"/>
          <w:rtl/>
        </w:rPr>
        <w:t xml:space="preserve">: ق9 </w:t>
      </w:r>
      <w:r>
        <w:rPr>
          <w:rFonts w:hint="cs"/>
          <w:sz w:val="32"/>
          <w:szCs w:val="32"/>
          <w:rtl/>
        </w:rPr>
        <w:tab/>
      </w:r>
      <w:r>
        <w:rPr>
          <w:rFonts w:hint="cs"/>
          <w:sz w:val="32"/>
          <w:szCs w:val="32"/>
          <w:rtl/>
        </w:rPr>
        <w:tab/>
        <w:t xml:space="preserve">: الإخبارُ إذَا رُدّ فِي حقِّ غيرِهِ </w:t>
      </w:r>
      <w:r>
        <w:rPr>
          <w:rFonts w:hint="cs"/>
          <w:b/>
          <w:bCs/>
          <w:sz w:val="32"/>
          <w:szCs w:val="32"/>
          <w:rtl/>
        </w:rPr>
        <w:t>باقٍ</w:t>
      </w:r>
      <w:r>
        <w:rPr>
          <w:rFonts w:hint="cs"/>
          <w:sz w:val="32"/>
          <w:szCs w:val="32"/>
          <w:rtl/>
        </w:rPr>
        <w:t xml:space="preserve"> في حقِّ نفسِهِ. </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ق25 </w:t>
      </w:r>
      <w:r>
        <w:rPr>
          <w:rFonts w:hint="cs"/>
          <w:sz w:val="32"/>
          <w:szCs w:val="32"/>
          <w:rtl/>
        </w:rPr>
        <w:tab/>
      </w:r>
      <w:r>
        <w:rPr>
          <w:rFonts w:hint="cs"/>
          <w:sz w:val="32"/>
          <w:szCs w:val="32"/>
          <w:rtl/>
        </w:rPr>
        <w:tab/>
        <w:t xml:space="preserve">: الأَصْلُ </w:t>
      </w:r>
      <w:r>
        <w:rPr>
          <w:rFonts w:hint="cs"/>
          <w:b/>
          <w:bCs/>
          <w:sz w:val="32"/>
          <w:szCs w:val="32"/>
          <w:rtl/>
        </w:rPr>
        <w:t>بَقَاءُ</w:t>
      </w:r>
      <w:r>
        <w:rPr>
          <w:rFonts w:hint="cs"/>
          <w:sz w:val="32"/>
          <w:szCs w:val="32"/>
          <w:rtl/>
        </w:rPr>
        <w:t xml:space="preserve"> مَا كَانَ عَلَى مَا كَانَ. </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ق54 </w:t>
      </w:r>
      <w:r>
        <w:rPr>
          <w:rFonts w:hint="cs"/>
          <w:sz w:val="32"/>
          <w:szCs w:val="32"/>
          <w:rtl/>
        </w:rPr>
        <w:tab/>
      </w:r>
      <w:r>
        <w:rPr>
          <w:rFonts w:hint="cs"/>
          <w:sz w:val="32"/>
          <w:szCs w:val="32"/>
          <w:rtl/>
        </w:rPr>
        <w:tab/>
        <w:t xml:space="preserve">: </w:t>
      </w:r>
      <w:r>
        <w:rPr>
          <w:rFonts w:hint="eastAsia"/>
          <w:b/>
          <w:bCs/>
          <w:sz w:val="32"/>
          <w:szCs w:val="32"/>
          <w:rtl/>
        </w:rPr>
        <w:t>الب</w:t>
      </w:r>
      <w:r>
        <w:rPr>
          <w:rFonts w:hint="cs"/>
          <w:b/>
          <w:bCs/>
          <w:sz w:val="32"/>
          <w:szCs w:val="32"/>
          <w:rtl/>
        </w:rPr>
        <w:t>َ</w:t>
      </w:r>
      <w:r>
        <w:rPr>
          <w:rFonts w:hint="eastAsia"/>
          <w:b/>
          <w:bCs/>
          <w:sz w:val="32"/>
          <w:szCs w:val="32"/>
          <w:rtl/>
        </w:rPr>
        <w:t>ق</w:t>
      </w:r>
      <w:r>
        <w:rPr>
          <w:rFonts w:hint="cs"/>
          <w:b/>
          <w:bCs/>
          <w:sz w:val="32"/>
          <w:szCs w:val="32"/>
          <w:rtl/>
        </w:rPr>
        <w:t>َ</w:t>
      </w:r>
      <w:r>
        <w:rPr>
          <w:rFonts w:hint="eastAsia"/>
          <w:b/>
          <w:bCs/>
          <w:sz w:val="32"/>
          <w:szCs w:val="32"/>
          <w:rtl/>
        </w:rPr>
        <w:t>اء</w:t>
      </w:r>
      <w:r>
        <w:rPr>
          <w:rFonts w:hint="cs"/>
          <w:b/>
          <w:bCs/>
          <w:sz w:val="32"/>
          <w:szCs w:val="32"/>
          <w:rtl/>
        </w:rPr>
        <w:t>ُ</w:t>
      </w:r>
      <w:r>
        <w:rPr>
          <w:sz w:val="32"/>
          <w:szCs w:val="32"/>
          <w:rtl/>
        </w:rPr>
        <w:t xml:space="preserve"> أ</w:t>
      </w:r>
      <w:r>
        <w:rPr>
          <w:rFonts w:hint="cs"/>
          <w:sz w:val="32"/>
          <w:szCs w:val="32"/>
          <w:rtl/>
        </w:rPr>
        <w:t>َ</w:t>
      </w:r>
      <w:r>
        <w:rPr>
          <w:sz w:val="32"/>
          <w:szCs w:val="32"/>
          <w:rtl/>
        </w:rPr>
        <w:t>س</w:t>
      </w:r>
      <w:r>
        <w:rPr>
          <w:rFonts w:hint="cs"/>
          <w:sz w:val="32"/>
          <w:szCs w:val="32"/>
          <w:rtl/>
        </w:rPr>
        <w:t>ْ</w:t>
      </w:r>
      <w:r>
        <w:rPr>
          <w:sz w:val="32"/>
          <w:szCs w:val="32"/>
          <w:rtl/>
        </w:rPr>
        <w:t>ه</w:t>
      </w:r>
      <w:r>
        <w:rPr>
          <w:rFonts w:hint="cs"/>
          <w:sz w:val="32"/>
          <w:szCs w:val="32"/>
          <w:rtl/>
        </w:rPr>
        <w:t>َ</w:t>
      </w:r>
      <w:r>
        <w:rPr>
          <w:sz w:val="32"/>
          <w:szCs w:val="32"/>
          <w:rtl/>
        </w:rPr>
        <w:t>ل</w:t>
      </w:r>
      <w:r>
        <w:rPr>
          <w:rFonts w:hint="cs"/>
          <w:sz w:val="32"/>
          <w:szCs w:val="32"/>
          <w:rtl/>
        </w:rPr>
        <w:t>ُ</w:t>
      </w:r>
      <w:r>
        <w:rPr>
          <w:sz w:val="32"/>
          <w:szCs w:val="32"/>
          <w:rtl/>
        </w:rPr>
        <w:t xml:space="preserve"> م</w:t>
      </w:r>
      <w:r>
        <w:rPr>
          <w:rFonts w:hint="cs"/>
          <w:sz w:val="32"/>
          <w:szCs w:val="32"/>
          <w:rtl/>
        </w:rPr>
        <w:t>ِ</w:t>
      </w:r>
      <w:r>
        <w:rPr>
          <w:sz w:val="32"/>
          <w:szCs w:val="32"/>
          <w:rtl/>
        </w:rPr>
        <w:t>ن</w:t>
      </w:r>
      <w:r>
        <w:rPr>
          <w:rFonts w:hint="cs"/>
          <w:sz w:val="32"/>
          <w:szCs w:val="32"/>
          <w:rtl/>
        </w:rPr>
        <w:t>َ</w:t>
      </w:r>
      <w:r>
        <w:rPr>
          <w:sz w:val="32"/>
          <w:szCs w:val="32"/>
          <w:rtl/>
        </w:rPr>
        <w:t xml:space="preserve"> </w:t>
      </w:r>
      <w:r>
        <w:rPr>
          <w:rFonts w:hint="eastAsia"/>
          <w:sz w:val="32"/>
          <w:szCs w:val="32"/>
          <w:rtl/>
        </w:rPr>
        <w:t>الاب</w:t>
      </w:r>
      <w:r>
        <w:rPr>
          <w:rFonts w:hint="cs"/>
          <w:sz w:val="32"/>
          <w:szCs w:val="32"/>
          <w:rtl/>
        </w:rPr>
        <w:t>ْ</w:t>
      </w:r>
      <w:r>
        <w:rPr>
          <w:rFonts w:hint="eastAsia"/>
          <w:sz w:val="32"/>
          <w:szCs w:val="32"/>
          <w:rtl/>
        </w:rPr>
        <w:t>ت</w:t>
      </w:r>
      <w:r>
        <w:rPr>
          <w:rFonts w:hint="cs"/>
          <w:sz w:val="32"/>
          <w:szCs w:val="32"/>
          <w:rtl/>
        </w:rPr>
        <w:t>ِ</w:t>
      </w:r>
      <w:r>
        <w:rPr>
          <w:rFonts w:hint="eastAsia"/>
          <w:sz w:val="32"/>
          <w:szCs w:val="32"/>
          <w:rtl/>
        </w:rPr>
        <w:t>د</w:t>
      </w:r>
      <w:r>
        <w:rPr>
          <w:rFonts w:hint="cs"/>
          <w:sz w:val="32"/>
          <w:szCs w:val="32"/>
          <w:rtl/>
        </w:rPr>
        <w:t>َ</w:t>
      </w:r>
      <w:r>
        <w:rPr>
          <w:rFonts w:hint="eastAsia"/>
          <w:sz w:val="32"/>
          <w:szCs w:val="32"/>
          <w:rtl/>
        </w:rPr>
        <w:t>اء</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ق53 </w:t>
      </w:r>
      <w:r>
        <w:rPr>
          <w:rFonts w:hint="cs"/>
          <w:sz w:val="32"/>
          <w:szCs w:val="32"/>
          <w:rtl/>
        </w:rPr>
        <w:tab/>
      </w:r>
      <w:r>
        <w:rPr>
          <w:rFonts w:hint="cs"/>
          <w:sz w:val="32"/>
          <w:szCs w:val="32"/>
          <w:rtl/>
        </w:rPr>
        <w:tab/>
        <w:t xml:space="preserve">: </w:t>
      </w:r>
      <w:r>
        <w:rPr>
          <w:rFonts w:hint="eastAsia"/>
          <w:b/>
          <w:bCs/>
          <w:sz w:val="32"/>
          <w:szCs w:val="32"/>
          <w:rtl/>
        </w:rPr>
        <w:t>ب</w:t>
      </w:r>
      <w:r>
        <w:rPr>
          <w:rFonts w:hint="cs"/>
          <w:b/>
          <w:bCs/>
          <w:sz w:val="32"/>
          <w:szCs w:val="32"/>
          <w:rtl/>
        </w:rPr>
        <w:t>َ</w:t>
      </w:r>
      <w:r>
        <w:rPr>
          <w:rFonts w:hint="eastAsia"/>
          <w:b/>
          <w:bCs/>
          <w:sz w:val="32"/>
          <w:szCs w:val="32"/>
          <w:rtl/>
        </w:rPr>
        <w:t>ق</w:t>
      </w:r>
      <w:r>
        <w:rPr>
          <w:rFonts w:hint="cs"/>
          <w:b/>
          <w:bCs/>
          <w:sz w:val="32"/>
          <w:szCs w:val="32"/>
          <w:rtl/>
        </w:rPr>
        <w:t>َ</w:t>
      </w:r>
      <w:r>
        <w:rPr>
          <w:rFonts w:hint="eastAsia"/>
          <w:b/>
          <w:bCs/>
          <w:sz w:val="32"/>
          <w:szCs w:val="32"/>
          <w:rtl/>
        </w:rPr>
        <w:t>اء</w:t>
      </w:r>
      <w:r>
        <w:rPr>
          <w:rFonts w:hint="cs"/>
          <w:b/>
          <w:bCs/>
          <w:sz w:val="32"/>
          <w:szCs w:val="32"/>
          <w:rtl/>
        </w:rPr>
        <w:t>ُ</w:t>
      </w:r>
      <w:r>
        <w:rPr>
          <w:sz w:val="32"/>
          <w:szCs w:val="32"/>
          <w:rtl/>
        </w:rPr>
        <w:t xml:space="preserve"> الح</w:t>
      </w:r>
      <w:r>
        <w:rPr>
          <w:rFonts w:hint="cs"/>
          <w:sz w:val="32"/>
          <w:szCs w:val="32"/>
          <w:rtl/>
        </w:rPr>
        <w:t>ُ</w:t>
      </w:r>
      <w:r>
        <w:rPr>
          <w:sz w:val="32"/>
          <w:szCs w:val="32"/>
          <w:rtl/>
        </w:rPr>
        <w:t>ك</w:t>
      </w:r>
      <w:r>
        <w:rPr>
          <w:rFonts w:hint="cs"/>
          <w:sz w:val="32"/>
          <w:szCs w:val="32"/>
          <w:rtl/>
        </w:rPr>
        <w:t>ْ</w:t>
      </w:r>
      <w:r>
        <w:rPr>
          <w:sz w:val="32"/>
          <w:szCs w:val="32"/>
          <w:rtl/>
        </w:rPr>
        <w:t>م</w:t>
      </w:r>
      <w:r>
        <w:rPr>
          <w:rFonts w:hint="cs"/>
          <w:sz w:val="32"/>
          <w:szCs w:val="32"/>
          <w:rtl/>
        </w:rPr>
        <w:t>ِ</w:t>
      </w:r>
      <w:r>
        <w:rPr>
          <w:sz w:val="32"/>
          <w:szCs w:val="32"/>
          <w:rtl/>
        </w:rPr>
        <w:t xml:space="preserve"> ي</w:t>
      </w:r>
      <w:r>
        <w:rPr>
          <w:rFonts w:hint="cs"/>
          <w:sz w:val="32"/>
          <w:szCs w:val="32"/>
          <w:rtl/>
        </w:rPr>
        <w:t>َ</w:t>
      </w:r>
      <w:r>
        <w:rPr>
          <w:sz w:val="32"/>
          <w:szCs w:val="32"/>
          <w:rtl/>
        </w:rPr>
        <w:t>س</w:t>
      </w:r>
      <w:r>
        <w:rPr>
          <w:rFonts w:hint="cs"/>
          <w:sz w:val="32"/>
          <w:szCs w:val="32"/>
          <w:rtl/>
        </w:rPr>
        <w:t>ْ</w:t>
      </w:r>
      <w:r>
        <w:rPr>
          <w:sz w:val="32"/>
          <w:szCs w:val="32"/>
          <w:rtl/>
        </w:rPr>
        <w:t>ت</w:t>
      </w:r>
      <w:r>
        <w:rPr>
          <w:rFonts w:hint="cs"/>
          <w:sz w:val="32"/>
          <w:szCs w:val="32"/>
          <w:rtl/>
        </w:rPr>
        <w:t>َغْ</w:t>
      </w:r>
      <w:r>
        <w:rPr>
          <w:sz w:val="32"/>
          <w:szCs w:val="32"/>
          <w:rtl/>
        </w:rPr>
        <w:t>ن</w:t>
      </w:r>
      <w:r>
        <w:rPr>
          <w:rFonts w:hint="cs"/>
          <w:sz w:val="32"/>
          <w:szCs w:val="32"/>
          <w:rtl/>
        </w:rPr>
        <w:t>ِ</w:t>
      </w:r>
      <w:r>
        <w:rPr>
          <w:sz w:val="32"/>
          <w:szCs w:val="32"/>
          <w:rtl/>
        </w:rPr>
        <w:t xml:space="preserve">ي </w:t>
      </w:r>
      <w:r>
        <w:rPr>
          <w:rFonts w:hint="eastAsia"/>
          <w:sz w:val="32"/>
          <w:szCs w:val="32"/>
          <w:rtl/>
        </w:rPr>
        <w:t>ع</w:t>
      </w:r>
      <w:r>
        <w:rPr>
          <w:rFonts w:hint="cs"/>
          <w:sz w:val="32"/>
          <w:szCs w:val="32"/>
          <w:rtl/>
        </w:rPr>
        <w:t>َ</w:t>
      </w:r>
      <w:r>
        <w:rPr>
          <w:rFonts w:hint="eastAsia"/>
          <w:sz w:val="32"/>
          <w:szCs w:val="32"/>
          <w:rtl/>
        </w:rPr>
        <w:t>ن</w:t>
      </w:r>
      <w:r>
        <w:rPr>
          <w:rFonts w:hint="cs"/>
          <w:sz w:val="32"/>
          <w:szCs w:val="32"/>
          <w:rtl/>
        </w:rPr>
        <w:t>ْ</w:t>
      </w:r>
      <w:r>
        <w:rPr>
          <w:sz w:val="32"/>
          <w:szCs w:val="32"/>
          <w:rtl/>
        </w:rPr>
        <w:t xml:space="preserve"> ب</w:t>
      </w:r>
      <w:r>
        <w:rPr>
          <w:rFonts w:hint="cs"/>
          <w:sz w:val="32"/>
          <w:szCs w:val="32"/>
          <w:rtl/>
        </w:rPr>
        <w:t>َ</w:t>
      </w:r>
      <w:r>
        <w:rPr>
          <w:sz w:val="32"/>
          <w:szCs w:val="32"/>
          <w:rtl/>
        </w:rPr>
        <w:t>ق</w:t>
      </w:r>
      <w:r>
        <w:rPr>
          <w:rFonts w:hint="cs"/>
          <w:sz w:val="32"/>
          <w:szCs w:val="32"/>
          <w:rtl/>
        </w:rPr>
        <w:t>َ</w:t>
      </w:r>
      <w:r>
        <w:rPr>
          <w:sz w:val="32"/>
          <w:szCs w:val="32"/>
          <w:rtl/>
        </w:rPr>
        <w:t>اء</w:t>
      </w:r>
      <w:r>
        <w:rPr>
          <w:rFonts w:hint="cs"/>
          <w:sz w:val="32"/>
          <w:szCs w:val="32"/>
          <w:rtl/>
        </w:rPr>
        <w:t>ِ</w:t>
      </w:r>
      <w:r>
        <w:rPr>
          <w:sz w:val="32"/>
          <w:szCs w:val="32"/>
          <w:rtl/>
        </w:rPr>
        <w:t xml:space="preserve"> الس</w:t>
      </w:r>
      <w:r>
        <w:rPr>
          <w:rFonts w:hint="cs"/>
          <w:sz w:val="32"/>
          <w:szCs w:val="32"/>
          <w:rtl/>
        </w:rPr>
        <w:t>َّ</w:t>
      </w:r>
      <w:r>
        <w:rPr>
          <w:sz w:val="32"/>
          <w:szCs w:val="32"/>
          <w:rtl/>
        </w:rPr>
        <w:t>ب</w:t>
      </w:r>
      <w:r>
        <w:rPr>
          <w:rFonts w:hint="cs"/>
          <w:sz w:val="32"/>
          <w:szCs w:val="32"/>
          <w:rtl/>
        </w:rPr>
        <w:t>َ</w:t>
      </w:r>
      <w:r>
        <w:rPr>
          <w:sz w:val="32"/>
          <w:szCs w:val="32"/>
          <w:rtl/>
        </w:rPr>
        <w:t>ب</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ق55  </w:t>
      </w:r>
      <w:r>
        <w:rPr>
          <w:rFonts w:hint="cs"/>
          <w:sz w:val="32"/>
          <w:szCs w:val="32"/>
          <w:rtl/>
        </w:rPr>
        <w:tab/>
      </w:r>
      <w:r>
        <w:rPr>
          <w:rFonts w:hint="cs"/>
          <w:sz w:val="32"/>
          <w:szCs w:val="32"/>
          <w:rtl/>
        </w:rPr>
        <w:tab/>
        <w:t xml:space="preserve">: </w:t>
      </w:r>
      <w:r>
        <w:rPr>
          <w:rFonts w:hint="eastAsia"/>
          <w:b/>
          <w:bCs/>
          <w:sz w:val="32"/>
          <w:szCs w:val="32"/>
          <w:rtl/>
        </w:rPr>
        <w:t>بقاء</w:t>
      </w:r>
      <w:r>
        <w:rPr>
          <w:rFonts w:hint="cs"/>
          <w:b/>
          <w:bCs/>
          <w:sz w:val="32"/>
          <w:szCs w:val="32"/>
          <w:rtl/>
        </w:rPr>
        <w:t>ُ</w:t>
      </w:r>
      <w:r>
        <w:rPr>
          <w:sz w:val="32"/>
          <w:szCs w:val="32"/>
          <w:rtl/>
        </w:rPr>
        <w:t xml:space="preserve"> الش</w:t>
      </w:r>
      <w:r>
        <w:rPr>
          <w:rFonts w:hint="cs"/>
          <w:sz w:val="32"/>
          <w:szCs w:val="32"/>
          <w:rtl/>
        </w:rPr>
        <w:t>َّ</w:t>
      </w:r>
      <w:r>
        <w:rPr>
          <w:sz w:val="32"/>
          <w:szCs w:val="32"/>
          <w:rtl/>
        </w:rPr>
        <w:t>ي</w:t>
      </w:r>
      <w:r>
        <w:rPr>
          <w:rFonts w:hint="cs"/>
          <w:sz w:val="32"/>
          <w:szCs w:val="32"/>
          <w:rtl/>
        </w:rPr>
        <w:t>ْ</w:t>
      </w:r>
      <w:r>
        <w:rPr>
          <w:sz w:val="32"/>
          <w:szCs w:val="32"/>
          <w:rtl/>
        </w:rPr>
        <w:t>ء</w:t>
      </w:r>
      <w:r>
        <w:rPr>
          <w:rFonts w:hint="cs"/>
          <w:sz w:val="32"/>
          <w:szCs w:val="32"/>
          <w:rtl/>
        </w:rPr>
        <w:t>ِ</w:t>
      </w:r>
      <w:r>
        <w:rPr>
          <w:sz w:val="32"/>
          <w:szCs w:val="32"/>
          <w:rtl/>
        </w:rPr>
        <w:t xml:space="preserve"> الواحد</w:t>
      </w:r>
      <w:r>
        <w:rPr>
          <w:rFonts w:hint="cs"/>
          <w:sz w:val="32"/>
          <w:szCs w:val="32"/>
          <w:rtl/>
        </w:rPr>
        <w:t>ِ</w:t>
      </w:r>
      <w:r>
        <w:rPr>
          <w:sz w:val="32"/>
          <w:szCs w:val="32"/>
          <w:rtl/>
        </w:rPr>
        <w:t xml:space="preserve"> ف</w:t>
      </w:r>
      <w:r>
        <w:rPr>
          <w:rFonts w:hint="cs"/>
          <w:sz w:val="32"/>
          <w:szCs w:val="32"/>
          <w:rtl/>
        </w:rPr>
        <w:t>ِ</w:t>
      </w:r>
      <w:r>
        <w:rPr>
          <w:sz w:val="32"/>
          <w:szCs w:val="32"/>
          <w:rtl/>
        </w:rPr>
        <w:t xml:space="preserve">ي </w:t>
      </w:r>
      <w:r>
        <w:rPr>
          <w:rFonts w:hint="eastAsia"/>
          <w:sz w:val="32"/>
          <w:szCs w:val="32"/>
          <w:rtl/>
        </w:rPr>
        <w:t>المحل</w:t>
      </w:r>
      <w:r>
        <w:rPr>
          <w:rFonts w:hint="cs"/>
          <w:sz w:val="32"/>
          <w:szCs w:val="32"/>
          <w:rtl/>
        </w:rPr>
        <w:t>َّ</w:t>
      </w:r>
      <w:r>
        <w:rPr>
          <w:rFonts w:hint="eastAsia"/>
          <w:sz w:val="32"/>
          <w:szCs w:val="32"/>
          <w:rtl/>
        </w:rPr>
        <w:t>ي</w:t>
      </w:r>
      <w:r>
        <w:rPr>
          <w:rFonts w:hint="cs"/>
          <w:sz w:val="32"/>
          <w:szCs w:val="32"/>
          <w:rtl/>
        </w:rPr>
        <w:t>ْ</w:t>
      </w:r>
      <w:r>
        <w:rPr>
          <w:rFonts w:hint="eastAsia"/>
          <w:sz w:val="32"/>
          <w:szCs w:val="32"/>
          <w:rtl/>
        </w:rPr>
        <w:t>ن</w:t>
      </w:r>
      <w:r>
        <w:rPr>
          <w:rFonts w:hint="cs"/>
          <w:sz w:val="32"/>
          <w:szCs w:val="32"/>
          <w:rtl/>
        </w:rPr>
        <w:t>ِ</w:t>
      </w:r>
      <w:r>
        <w:rPr>
          <w:sz w:val="32"/>
          <w:szCs w:val="32"/>
          <w:rtl/>
        </w:rPr>
        <w:t xml:space="preserve"> </w:t>
      </w:r>
      <w:r>
        <w:rPr>
          <w:rFonts w:hint="eastAsia"/>
          <w:sz w:val="32"/>
          <w:szCs w:val="32"/>
          <w:rtl/>
        </w:rPr>
        <w:t>ف</w:t>
      </w:r>
      <w:r>
        <w:rPr>
          <w:rFonts w:hint="cs"/>
          <w:sz w:val="32"/>
          <w:szCs w:val="32"/>
          <w:rtl/>
        </w:rPr>
        <w:t>ِ</w:t>
      </w:r>
      <w:r>
        <w:rPr>
          <w:rFonts w:hint="eastAsia"/>
          <w:sz w:val="32"/>
          <w:szCs w:val="32"/>
          <w:rtl/>
        </w:rPr>
        <w:t>ي</w:t>
      </w:r>
      <w:r>
        <w:rPr>
          <w:sz w:val="32"/>
          <w:szCs w:val="32"/>
          <w:rtl/>
        </w:rPr>
        <w:t xml:space="preserve"> ز</w:t>
      </w:r>
      <w:r>
        <w:rPr>
          <w:rFonts w:hint="cs"/>
          <w:sz w:val="32"/>
          <w:szCs w:val="32"/>
          <w:rtl/>
        </w:rPr>
        <w:t>َ</w:t>
      </w:r>
      <w:r>
        <w:rPr>
          <w:sz w:val="32"/>
          <w:szCs w:val="32"/>
          <w:rtl/>
        </w:rPr>
        <w:t>م</w:t>
      </w:r>
      <w:r>
        <w:rPr>
          <w:rFonts w:hint="cs"/>
          <w:sz w:val="32"/>
          <w:szCs w:val="32"/>
          <w:rtl/>
        </w:rPr>
        <w:t>َ</w:t>
      </w:r>
      <w:r>
        <w:rPr>
          <w:sz w:val="32"/>
          <w:szCs w:val="32"/>
          <w:rtl/>
        </w:rPr>
        <w:t>ان</w:t>
      </w:r>
      <w:r>
        <w:rPr>
          <w:rFonts w:hint="cs"/>
          <w:sz w:val="32"/>
          <w:szCs w:val="32"/>
          <w:rtl/>
        </w:rPr>
        <w:t>ٍ</w:t>
      </w:r>
      <w:r>
        <w:rPr>
          <w:sz w:val="32"/>
          <w:szCs w:val="32"/>
          <w:rtl/>
        </w:rPr>
        <w:t xml:space="preserve"> واحد</w:t>
      </w:r>
      <w:r>
        <w:rPr>
          <w:rFonts w:hint="cs"/>
          <w:sz w:val="32"/>
          <w:szCs w:val="32"/>
          <w:rtl/>
        </w:rPr>
        <w:t>ٍ</w:t>
      </w:r>
      <w:r>
        <w:rPr>
          <w:sz w:val="32"/>
          <w:szCs w:val="32"/>
          <w:rtl/>
        </w:rPr>
        <w:t xml:space="preserve"> </w:t>
      </w:r>
      <w:r>
        <w:rPr>
          <w:rFonts w:hint="eastAsia"/>
          <w:sz w:val="32"/>
          <w:szCs w:val="32"/>
          <w:rtl/>
        </w:rPr>
        <w:t>م</w:t>
      </w:r>
      <w:r>
        <w:rPr>
          <w:rFonts w:hint="cs"/>
          <w:sz w:val="32"/>
          <w:szCs w:val="32"/>
          <w:rtl/>
        </w:rPr>
        <w:t>ُ</w:t>
      </w:r>
      <w:r>
        <w:rPr>
          <w:rFonts w:hint="eastAsia"/>
          <w:sz w:val="32"/>
          <w:szCs w:val="32"/>
          <w:rtl/>
        </w:rPr>
        <w:t>ح</w:t>
      </w:r>
      <w:r>
        <w:rPr>
          <w:rFonts w:hint="cs"/>
          <w:sz w:val="32"/>
          <w:szCs w:val="32"/>
          <w:rtl/>
        </w:rPr>
        <w:t>َ</w:t>
      </w:r>
      <w:r>
        <w:rPr>
          <w:rFonts w:hint="eastAsia"/>
          <w:sz w:val="32"/>
          <w:szCs w:val="32"/>
          <w:rtl/>
        </w:rPr>
        <w:t>ال</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ق52 </w:t>
      </w:r>
      <w:r>
        <w:rPr>
          <w:rFonts w:hint="cs"/>
          <w:sz w:val="32"/>
          <w:szCs w:val="32"/>
          <w:rtl/>
        </w:rPr>
        <w:tab/>
      </w:r>
      <w:r>
        <w:rPr>
          <w:rFonts w:hint="cs"/>
          <w:sz w:val="32"/>
          <w:szCs w:val="32"/>
          <w:rtl/>
        </w:rPr>
        <w:tab/>
        <w:t xml:space="preserve">: </w:t>
      </w:r>
      <w:r>
        <w:rPr>
          <w:rFonts w:hint="eastAsia"/>
          <w:b/>
          <w:bCs/>
          <w:sz w:val="32"/>
          <w:szCs w:val="32"/>
          <w:rtl/>
        </w:rPr>
        <w:t>الب</w:t>
      </w:r>
      <w:r>
        <w:rPr>
          <w:rFonts w:hint="cs"/>
          <w:b/>
          <w:bCs/>
          <w:sz w:val="32"/>
          <w:szCs w:val="32"/>
          <w:rtl/>
        </w:rPr>
        <w:t>َ</w:t>
      </w:r>
      <w:r>
        <w:rPr>
          <w:rFonts w:hint="eastAsia"/>
          <w:b/>
          <w:bCs/>
          <w:sz w:val="32"/>
          <w:szCs w:val="32"/>
          <w:rtl/>
        </w:rPr>
        <w:t>ق</w:t>
      </w:r>
      <w:r>
        <w:rPr>
          <w:rFonts w:hint="cs"/>
          <w:b/>
          <w:bCs/>
          <w:sz w:val="32"/>
          <w:szCs w:val="32"/>
          <w:rtl/>
        </w:rPr>
        <w:t>َ</w:t>
      </w:r>
      <w:r>
        <w:rPr>
          <w:rFonts w:hint="eastAsia"/>
          <w:b/>
          <w:bCs/>
          <w:sz w:val="32"/>
          <w:szCs w:val="32"/>
          <w:rtl/>
        </w:rPr>
        <w:t>اء</w:t>
      </w:r>
      <w:r>
        <w:rPr>
          <w:rFonts w:hint="cs"/>
          <w:b/>
          <w:bCs/>
          <w:sz w:val="32"/>
          <w:szCs w:val="32"/>
          <w:rtl/>
        </w:rPr>
        <w:t>ُ</w:t>
      </w:r>
      <w:r>
        <w:rPr>
          <w:sz w:val="32"/>
          <w:szCs w:val="32"/>
          <w:rtl/>
        </w:rPr>
        <w:t xml:space="preserve"> ع</w:t>
      </w:r>
      <w:r>
        <w:rPr>
          <w:rFonts w:hint="cs"/>
          <w:sz w:val="32"/>
          <w:szCs w:val="32"/>
          <w:rtl/>
        </w:rPr>
        <w:t>َ</w:t>
      </w:r>
      <w:r>
        <w:rPr>
          <w:sz w:val="32"/>
          <w:szCs w:val="32"/>
          <w:rtl/>
        </w:rPr>
        <w:t>ل</w:t>
      </w:r>
      <w:r>
        <w:rPr>
          <w:rFonts w:hint="cs"/>
          <w:sz w:val="32"/>
          <w:szCs w:val="32"/>
          <w:rtl/>
        </w:rPr>
        <w:t>َ</w:t>
      </w:r>
      <w:r>
        <w:rPr>
          <w:sz w:val="32"/>
          <w:szCs w:val="32"/>
          <w:rtl/>
        </w:rPr>
        <w:t>ى و</w:t>
      </w:r>
      <w:r>
        <w:rPr>
          <w:rFonts w:hint="cs"/>
          <w:sz w:val="32"/>
          <w:szCs w:val="32"/>
          <w:rtl/>
        </w:rPr>
        <w:t>ِ</w:t>
      </w:r>
      <w:r>
        <w:rPr>
          <w:sz w:val="32"/>
          <w:szCs w:val="32"/>
          <w:rtl/>
        </w:rPr>
        <w:t>ف</w:t>
      </w:r>
      <w:r>
        <w:rPr>
          <w:rFonts w:hint="cs"/>
          <w:sz w:val="32"/>
          <w:szCs w:val="32"/>
          <w:rtl/>
        </w:rPr>
        <w:t>ْ</w:t>
      </w:r>
      <w:r>
        <w:rPr>
          <w:sz w:val="32"/>
          <w:szCs w:val="32"/>
          <w:rtl/>
        </w:rPr>
        <w:t>ق</w:t>
      </w:r>
      <w:r>
        <w:rPr>
          <w:rFonts w:hint="cs"/>
          <w:sz w:val="32"/>
          <w:szCs w:val="32"/>
          <w:rtl/>
        </w:rPr>
        <w:t>ِ</w:t>
      </w:r>
      <w:r>
        <w:rPr>
          <w:sz w:val="32"/>
          <w:szCs w:val="32"/>
          <w:rtl/>
        </w:rPr>
        <w:t xml:space="preserve"> </w:t>
      </w:r>
      <w:r>
        <w:rPr>
          <w:rFonts w:hint="eastAsia"/>
          <w:sz w:val="32"/>
          <w:szCs w:val="32"/>
          <w:rtl/>
        </w:rPr>
        <w:t>الث</w:t>
      </w:r>
      <w:r>
        <w:rPr>
          <w:rFonts w:hint="cs"/>
          <w:sz w:val="32"/>
          <w:szCs w:val="32"/>
          <w:rtl/>
        </w:rPr>
        <w:t>ُّ</w:t>
      </w:r>
      <w:r>
        <w:rPr>
          <w:rFonts w:hint="eastAsia"/>
          <w:sz w:val="32"/>
          <w:szCs w:val="32"/>
          <w:rtl/>
        </w:rPr>
        <w:t>ب</w:t>
      </w:r>
      <w:r>
        <w:rPr>
          <w:rFonts w:hint="cs"/>
          <w:sz w:val="32"/>
          <w:szCs w:val="32"/>
          <w:rtl/>
        </w:rPr>
        <w:t>ُ</w:t>
      </w:r>
      <w:r>
        <w:rPr>
          <w:rFonts w:hint="eastAsia"/>
          <w:sz w:val="32"/>
          <w:szCs w:val="32"/>
          <w:rtl/>
        </w:rPr>
        <w:t>وت</w:t>
      </w:r>
      <w:r>
        <w:rPr>
          <w:rFonts w:hint="cs"/>
          <w:sz w:val="32"/>
          <w:szCs w:val="32"/>
          <w:rtl/>
        </w:rPr>
        <w:t xml:space="preserve">ِ. </w:t>
      </w:r>
    </w:p>
    <w:p w:rsidR="00284270" w:rsidRDefault="00284270" w:rsidP="0022714B">
      <w:pPr>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w:t>
      </w:r>
      <w:r>
        <w:rPr>
          <w:sz w:val="32"/>
          <w:szCs w:val="32"/>
        </w:rPr>
        <w:t>216</w:t>
      </w:r>
      <w:r>
        <w:rPr>
          <w:rFonts w:hint="cs"/>
          <w:sz w:val="32"/>
          <w:szCs w:val="32"/>
          <w:rtl/>
        </w:rPr>
        <w:t xml:space="preserve"> </w:t>
      </w:r>
      <w:r>
        <w:rPr>
          <w:rFonts w:hint="cs"/>
          <w:sz w:val="32"/>
          <w:szCs w:val="32"/>
          <w:rtl/>
        </w:rPr>
        <w:tab/>
        <w:t>: مَا ثَبَتَ في زمانٍ يُحْكَمُ بِبَقَائِهِ مَا لَمْ يُوجَدِ المُزِيلُ.</w:t>
      </w:r>
    </w:p>
    <w:p w:rsidR="00284270" w:rsidRDefault="00284270">
      <w:pPr>
        <w:rPr>
          <w:sz w:val="32"/>
          <w:szCs w:val="32"/>
        </w:rPr>
      </w:pPr>
      <w:r>
        <w:rPr>
          <w:rFonts w:hint="cs"/>
          <w:b/>
          <w:bCs/>
          <w:sz w:val="32"/>
          <w:szCs w:val="32"/>
          <w:rtl/>
        </w:rPr>
        <w:lastRenderedPageBreak/>
        <w:t>بلى</w:t>
      </w:r>
      <w:r>
        <w:rPr>
          <w:rFonts w:hint="cs"/>
          <w:sz w:val="32"/>
          <w:szCs w:val="32"/>
          <w:rtl/>
        </w:rPr>
        <w:tab/>
      </w:r>
      <w:r>
        <w:rPr>
          <w:sz w:val="32"/>
          <w:szCs w:val="32"/>
        </w:rPr>
        <w:tab/>
      </w:r>
      <w:r>
        <w:rPr>
          <w:rFonts w:hint="cs"/>
          <w:sz w:val="32"/>
          <w:szCs w:val="32"/>
          <w:rtl/>
        </w:rPr>
        <w:t>: ق</w:t>
      </w:r>
      <w:r>
        <w:rPr>
          <w:sz w:val="32"/>
          <w:szCs w:val="32"/>
        </w:rPr>
        <w:t>193</w:t>
      </w:r>
      <w:r>
        <w:rPr>
          <w:rFonts w:hint="cs"/>
          <w:sz w:val="32"/>
          <w:szCs w:val="32"/>
          <w:rtl/>
        </w:rPr>
        <w:t xml:space="preserve"> </w:t>
      </w:r>
      <w:r>
        <w:rPr>
          <w:rFonts w:hint="cs"/>
          <w:sz w:val="32"/>
          <w:szCs w:val="32"/>
          <w:rtl/>
        </w:rPr>
        <w:tab/>
        <w:t>: لا يُبَالَى باختلافِ الأَسْبَابِ عندَ سَلاَمَةِ المَقْصُودِ.</w:t>
      </w:r>
    </w:p>
    <w:p w:rsidR="00284270" w:rsidRDefault="00284270">
      <w:pPr>
        <w:ind w:left="1021" w:right="1021"/>
        <w:rPr>
          <w:sz w:val="32"/>
          <w:szCs w:val="32"/>
          <w:rtl/>
        </w:rPr>
      </w:pPr>
      <w:r>
        <w:rPr>
          <w:sz w:val="32"/>
          <w:szCs w:val="32"/>
        </w:rPr>
        <w:t xml:space="preserve">  </w:t>
      </w:r>
      <w:r>
        <w:rPr>
          <w:rFonts w:hint="cs"/>
          <w:sz w:val="32"/>
          <w:szCs w:val="32"/>
          <w:rtl/>
        </w:rPr>
        <w:t xml:space="preserve">ق222 </w:t>
      </w:r>
      <w:r>
        <w:rPr>
          <w:rFonts w:hint="cs"/>
          <w:sz w:val="32"/>
          <w:szCs w:val="32"/>
          <w:rtl/>
        </w:rPr>
        <w:tab/>
        <w:t xml:space="preserve">: مَا عَمَّتْ </w:t>
      </w:r>
      <w:r>
        <w:rPr>
          <w:rFonts w:hint="cs"/>
          <w:b/>
          <w:bCs/>
          <w:sz w:val="32"/>
          <w:szCs w:val="32"/>
          <w:rtl/>
        </w:rPr>
        <w:t>بَلِيَّتُهُ</w:t>
      </w:r>
      <w:r>
        <w:rPr>
          <w:rFonts w:hint="cs"/>
          <w:sz w:val="32"/>
          <w:szCs w:val="32"/>
          <w:rtl/>
        </w:rPr>
        <w:t xml:space="preserve"> خَفَّتْ قَضِيَّتُهُ.</w:t>
      </w:r>
    </w:p>
    <w:p w:rsidR="00284270" w:rsidRDefault="00284270">
      <w:pPr>
        <w:rPr>
          <w:sz w:val="32"/>
          <w:szCs w:val="32"/>
          <w:rtl/>
        </w:rPr>
      </w:pPr>
      <w:r>
        <w:rPr>
          <w:rFonts w:hint="cs"/>
          <w:b/>
          <w:bCs/>
          <w:sz w:val="32"/>
          <w:szCs w:val="32"/>
          <w:rtl/>
        </w:rPr>
        <w:t>بنى</w:t>
      </w:r>
      <w:r>
        <w:rPr>
          <w:rFonts w:hint="cs"/>
          <w:sz w:val="32"/>
          <w:szCs w:val="32"/>
          <w:rtl/>
        </w:rPr>
        <w:tab/>
      </w:r>
      <w:r>
        <w:rPr>
          <w:sz w:val="32"/>
          <w:szCs w:val="32"/>
        </w:rPr>
        <w:tab/>
      </w:r>
      <w:r>
        <w:rPr>
          <w:rFonts w:hint="cs"/>
          <w:sz w:val="32"/>
          <w:szCs w:val="32"/>
          <w:rtl/>
        </w:rPr>
        <w:t xml:space="preserve">: ق56 </w:t>
      </w:r>
      <w:r>
        <w:rPr>
          <w:rFonts w:hint="cs"/>
          <w:sz w:val="32"/>
          <w:szCs w:val="32"/>
          <w:rtl/>
        </w:rPr>
        <w:tab/>
      </w:r>
      <w:r>
        <w:rPr>
          <w:rFonts w:hint="cs"/>
          <w:sz w:val="32"/>
          <w:szCs w:val="32"/>
          <w:rtl/>
        </w:rPr>
        <w:tab/>
        <w:t xml:space="preserve">: </w:t>
      </w:r>
      <w:r>
        <w:rPr>
          <w:rFonts w:hint="eastAsia"/>
          <w:b/>
          <w:bCs/>
          <w:sz w:val="32"/>
          <w:szCs w:val="32"/>
          <w:rtl/>
        </w:rPr>
        <w:t>ب</w:t>
      </w:r>
      <w:r>
        <w:rPr>
          <w:rFonts w:hint="cs"/>
          <w:b/>
          <w:bCs/>
          <w:sz w:val="32"/>
          <w:szCs w:val="32"/>
          <w:rtl/>
        </w:rPr>
        <w:t>ِ</w:t>
      </w:r>
      <w:r>
        <w:rPr>
          <w:rFonts w:hint="eastAsia"/>
          <w:b/>
          <w:bCs/>
          <w:sz w:val="32"/>
          <w:szCs w:val="32"/>
          <w:rtl/>
        </w:rPr>
        <w:t>ن</w:t>
      </w:r>
      <w:r>
        <w:rPr>
          <w:rFonts w:hint="cs"/>
          <w:b/>
          <w:bCs/>
          <w:sz w:val="32"/>
          <w:szCs w:val="32"/>
          <w:rtl/>
        </w:rPr>
        <w:t>َ</w:t>
      </w:r>
      <w:r>
        <w:rPr>
          <w:rFonts w:hint="eastAsia"/>
          <w:b/>
          <w:bCs/>
          <w:sz w:val="32"/>
          <w:szCs w:val="32"/>
          <w:rtl/>
        </w:rPr>
        <w:t>اء</w:t>
      </w:r>
      <w:r>
        <w:rPr>
          <w:rFonts w:hint="cs"/>
          <w:sz w:val="32"/>
          <w:szCs w:val="32"/>
          <w:rtl/>
        </w:rPr>
        <w:t>ُ</w:t>
      </w:r>
      <w:r>
        <w:rPr>
          <w:sz w:val="32"/>
          <w:szCs w:val="32"/>
          <w:rtl/>
        </w:rPr>
        <w:t xml:space="preserve"> الق</w:t>
      </w:r>
      <w:r>
        <w:rPr>
          <w:rFonts w:hint="cs"/>
          <w:sz w:val="32"/>
          <w:szCs w:val="32"/>
          <w:rtl/>
        </w:rPr>
        <w:t>َ</w:t>
      </w:r>
      <w:r>
        <w:rPr>
          <w:sz w:val="32"/>
          <w:szCs w:val="32"/>
          <w:rtl/>
        </w:rPr>
        <w:t>و</w:t>
      </w:r>
      <w:r>
        <w:rPr>
          <w:rFonts w:hint="cs"/>
          <w:sz w:val="32"/>
          <w:szCs w:val="32"/>
          <w:rtl/>
        </w:rPr>
        <w:t>ِ</w:t>
      </w:r>
      <w:r>
        <w:rPr>
          <w:sz w:val="32"/>
          <w:szCs w:val="32"/>
          <w:rtl/>
        </w:rPr>
        <w:t>يّ</w:t>
      </w:r>
      <w:r>
        <w:rPr>
          <w:rFonts w:hint="cs"/>
          <w:sz w:val="32"/>
          <w:szCs w:val="32"/>
          <w:rtl/>
        </w:rPr>
        <w:t>ِ</w:t>
      </w:r>
      <w:r>
        <w:rPr>
          <w:sz w:val="32"/>
          <w:szCs w:val="32"/>
          <w:rtl/>
        </w:rPr>
        <w:t xml:space="preserve"> على </w:t>
      </w:r>
      <w:r>
        <w:rPr>
          <w:rFonts w:hint="eastAsia"/>
          <w:sz w:val="32"/>
          <w:szCs w:val="32"/>
          <w:rtl/>
        </w:rPr>
        <w:t>الض</w:t>
      </w:r>
      <w:r>
        <w:rPr>
          <w:rFonts w:hint="cs"/>
          <w:sz w:val="32"/>
          <w:szCs w:val="32"/>
          <w:rtl/>
        </w:rPr>
        <w:t>َّ</w:t>
      </w:r>
      <w:r>
        <w:rPr>
          <w:rFonts w:hint="eastAsia"/>
          <w:sz w:val="32"/>
          <w:szCs w:val="32"/>
          <w:rtl/>
        </w:rPr>
        <w:t>ع</w:t>
      </w:r>
      <w:r>
        <w:rPr>
          <w:rFonts w:hint="cs"/>
          <w:sz w:val="32"/>
          <w:szCs w:val="32"/>
          <w:rtl/>
        </w:rPr>
        <w:t>ِ</w:t>
      </w:r>
      <w:r>
        <w:rPr>
          <w:rFonts w:hint="eastAsia"/>
          <w:sz w:val="32"/>
          <w:szCs w:val="32"/>
          <w:rtl/>
        </w:rPr>
        <w:t>ي</w:t>
      </w:r>
      <w:r>
        <w:rPr>
          <w:rFonts w:hint="cs"/>
          <w:sz w:val="32"/>
          <w:szCs w:val="32"/>
          <w:rtl/>
        </w:rPr>
        <w:t>ْ</w:t>
      </w:r>
      <w:r>
        <w:rPr>
          <w:rFonts w:hint="eastAsia"/>
          <w:sz w:val="32"/>
          <w:szCs w:val="32"/>
          <w:rtl/>
        </w:rPr>
        <w:t>ف</w:t>
      </w:r>
      <w:r>
        <w:rPr>
          <w:rFonts w:hint="cs"/>
          <w:sz w:val="32"/>
          <w:szCs w:val="32"/>
          <w:rtl/>
        </w:rPr>
        <w:t>ِ</w:t>
      </w:r>
      <w:r>
        <w:rPr>
          <w:sz w:val="32"/>
          <w:szCs w:val="32"/>
          <w:rtl/>
        </w:rPr>
        <w:t xml:space="preserve"> ف</w:t>
      </w:r>
      <w:r>
        <w:rPr>
          <w:rFonts w:hint="cs"/>
          <w:sz w:val="32"/>
          <w:szCs w:val="32"/>
          <w:rtl/>
        </w:rPr>
        <w:t>َ</w:t>
      </w:r>
      <w:r>
        <w:rPr>
          <w:sz w:val="32"/>
          <w:szCs w:val="32"/>
          <w:rtl/>
        </w:rPr>
        <w:t>اس</w:t>
      </w:r>
      <w:r>
        <w:rPr>
          <w:rFonts w:hint="cs"/>
          <w:sz w:val="32"/>
          <w:szCs w:val="32"/>
          <w:rtl/>
        </w:rPr>
        <w:t>ِ</w:t>
      </w:r>
      <w:r>
        <w:rPr>
          <w:sz w:val="32"/>
          <w:szCs w:val="32"/>
          <w:rtl/>
        </w:rPr>
        <w:t>د</w:t>
      </w:r>
      <w:r>
        <w:rPr>
          <w:rFonts w:hint="cs"/>
          <w:sz w:val="32"/>
          <w:szCs w:val="32"/>
          <w:rtl/>
        </w:rPr>
        <w:t xml:space="preserve">ٌ. </w:t>
      </w:r>
    </w:p>
    <w:p w:rsidR="00284270" w:rsidRDefault="00284270" w:rsidP="0022714B">
      <w:pPr>
        <w:pStyle w:val="21"/>
        <w:ind w:left="170" w:firstLine="397"/>
        <w:rPr>
          <w:sz w:val="32"/>
          <w:szCs w:val="32"/>
          <w:rtl/>
        </w:rPr>
      </w:pPr>
      <w:r>
        <w:rPr>
          <w:rFonts w:hint="cs"/>
          <w:b w:val="0"/>
          <w:bCs w:val="0"/>
          <w:sz w:val="32"/>
          <w:szCs w:val="32"/>
          <w:rtl/>
        </w:rPr>
        <w:t>بوح</w:t>
      </w:r>
      <w:r>
        <w:rPr>
          <w:rFonts w:hint="cs"/>
          <w:sz w:val="32"/>
          <w:szCs w:val="32"/>
          <w:rtl/>
        </w:rPr>
        <w:t xml:space="preserve">        : ق37 </w:t>
      </w:r>
      <w:r>
        <w:rPr>
          <w:rFonts w:hint="cs"/>
          <w:sz w:val="32"/>
          <w:szCs w:val="32"/>
          <w:rtl/>
        </w:rPr>
        <w:tab/>
      </w:r>
      <w:r>
        <w:rPr>
          <w:rFonts w:hint="cs"/>
          <w:sz w:val="32"/>
          <w:szCs w:val="32"/>
          <w:rtl/>
        </w:rPr>
        <w:tab/>
        <w:t xml:space="preserve">: الأَفْعَالُ </w:t>
      </w:r>
      <w:r>
        <w:rPr>
          <w:rFonts w:hint="cs"/>
          <w:b w:val="0"/>
          <w:bCs w:val="0"/>
          <w:sz w:val="32"/>
          <w:szCs w:val="32"/>
          <w:rtl/>
        </w:rPr>
        <w:t>المُبَاحَةُ</w:t>
      </w:r>
      <w:r>
        <w:rPr>
          <w:rFonts w:hint="cs"/>
          <w:sz w:val="32"/>
          <w:szCs w:val="32"/>
          <w:rtl/>
        </w:rPr>
        <w:t xml:space="preserve"> لا يَجُوزُ مُبَاشَرَتُهَا إلاَّ بِشَرْطِ أَنْ لاَ يُؤذِي أَحَدًا.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ق156 </w:t>
      </w:r>
      <w:r>
        <w:rPr>
          <w:rFonts w:hint="cs"/>
          <w:sz w:val="32"/>
          <w:szCs w:val="32"/>
          <w:rtl/>
        </w:rPr>
        <w:tab/>
        <w:t xml:space="preserve">: الضَّرُورَاتُ </w:t>
      </w:r>
      <w:r>
        <w:rPr>
          <w:rFonts w:hint="cs"/>
          <w:b/>
          <w:bCs/>
          <w:sz w:val="32"/>
          <w:szCs w:val="32"/>
          <w:rtl/>
        </w:rPr>
        <w:t>تُبِيحُ</w:t>
      </w:r>
      <w:r>
        <w:rPr>
          <w:rFonts w:hint="cs"/>
          <w:sz w:val="32"/>
          <w:szCs w:val="32"/>
          <w:rtl/>
        </w:rPr>
        <w:t xml:space="preserve"> المَحْظُورَاتِ.</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ق</w:t>
      </w:r>
      <w:r>
        <w:rPr>
          <w:rFonts w:hint="cs"/>
          <w:sz w:val="32"/>
          <w:szCs w:val="32"/>
          <w:rtl/>
        </w:rPr>
        <w:tab/>
        <w:t>220</w:t>
      </w:r>
      <w:r>
        <w:rPr>
          <w:rFonts w:hint="cs"/>
          <w:sz w:val="32"/>
          <w:szCs w:val="32"/>
          <w:rtl/>
        </w:rPr>
        <w:tab/>
        <w:t xml:space="preserve">: مَا </w:t>
      </w:r>
      <w:r>
        <w:rPr>
          <w:rFonts w:hint="cs"/>
          <w:b/>
          <w:bCs/>
          <w:sz w:val="32"/>
          <w:szCs w:val="32"/>
          <w:rtl/>
        </w:rPr>
        <w:t>أُبِيحَ</w:t>
      </w:r>
      <w:r>
        <w:rPr>
          <w:rFonts w:hint="cs"/>
          <w:sz w:val="32"/>
          <w:szCs w:val="32"/>
          <w:rtl/>
        </w:rPr>
        <w:t xml:space="preserve"> للضَّرُورَةِ يَتَقَدَّرُ بِقَدْرِهَا.</w:t>
      </w:r>
    </w:p>
    <w:p w:rsidR="00284270" w:rsidRDefault="00284270">
      <w:pPr>
        <w:rPr>
          <w:sz w:val="32"/>
          <w:szCs w:val="32"/>
          <w:rtl/>
        </w:rPr>
      </w:pPr>
      <w:r>
        <w:rPr>
          <w:rFonts w:hint="cs"/>
          <w:b/>
          <w:bCs/>
          <w:sz w:val="32"/>
          <w:szCs w:val="32"/>
          <w:rtl/>
        </w:rPr>
        <w:t>بين</w:t>
      </w:r>
      <w:r>
        <w:rPr>
          <w:rFonts w:hint="cs"/>
          <w:sz w:val="32"/>
          <w:szCs w:val="32"/>
          <w:rtl/>
        </w:rPr>
        <w:tab/>
      </w:r>
      <w:r>
        <w:rPr>
          <w:sz w:val="32"/>
          <w:szCs w:val="32"/>
        </w:rPr>
        <w:tab/>
      </w:r>
      <w:r>
        <w:rPr>
          <w:rFonts w:hint="cs"/>
          <w:sz w:val="32"/>
          <w:szCs w:val="32"/>
          <w:rtl/>
        </w:rPr>
        <w:t xml:space="preserve">: ق38 </w:t>
      </w:r>
      <w:r>
        <w:rPr>
          <w:rFonts w:hint="cs"/>
          <w:sz w:val="32"/>
          <w:szCs w:val="32"/>
          <w:rtl/>
        </w:rPr>
        <w:tab/>
      </w:r>
      <w:r>
        <w:rPr>
          <w:rFonts w:hint="cs"/>
          <w:sz w:val="32"/>
          <w:szCs w:val="32"/>
          <w:rtl/>
        </w:rPr>
        <w:tab/>
        <w:t xml:space="preserve"> : الإقرارُ ملزمٌ شرعًا </w:t>
      </w:r>
      <w:r>
        <w:rPr>
          <w:rFonts w:hint="cs"/>
          <w:b/>
          <w:bCs/>
          <w:sz w:val="32"/>
          <w:szCs w:val="32"/>
          <w:rtl/>
        </w:rPr>
        <w:t>كالبيِّنةِ</w:t>
      </w:r>
      <w:r>
        <w:rPr>
          <w:rFonts w:hint="cs"/>
          <w:sz w:val="32"/>
          <w:szCs w:val="32"/>
          <w:rtl/>
        </w:rPr>
        <w:t>؛ بَلْ أَوْلَى.</w:t>
      </w:r>
      <w:r>
        <w:rPr>
          <w:rFonts w:hint="cs"/>
          <w:sz w:val="32"/>
          <w:szCs w:val="32"/>
          <w:rtl/>
        </w:rPr>
        <w:tab/>
      </w:r>
    </w:p>
    <w:p w:rsidR="00284270" w:rsidRDefault="00284270" w:rsidP="0022714B">
      <w:pPr>
        <w:ind w:left="2833" w:hanging="2266"/>
        <w:rPr>
          <w:spacing w:val="-4"/>
          <w:sz w:val="32"/>
          <w:szCs w:val="32"/>
          <w:rtl/>
        </w:rPr>
      </w:pPr>
      <w:r>
        <w:rPr>
          <w:rFonts w:hint="cs"/>
          <w:spacing w:val="-4"/>
          <w:sz w:val="32"/>
          <w:szCs w:val="32"/>
          <w:rtl/>
        </w:rPr>
        <w:t xml:space="preserve">                ق61 </w:t>
      </w:r>
      <w:r>
        <w:rPr>
          <w:rFonts w:hint="cs"/>
          <w:spacing w:val="-4"/>
          <w:sz w:val="32"/>
          <w:szCs w:val="32"/>
          <w:rtl/>
        </w:rPr>
        <w:tab/>
        <w:t xml:space="preserve">: </w:t>
      </w:r>
      <w:r>
        <w:rPr>
          <w:rFonts w:hint="eastAsia"/>
          <w:b/>
          <w:bCs/>
          <w:spacing w:val="-4"/>
          <w:sz w:val="32"/>
          <w:szCs w:val="32"/>
          <w:rtl/>
        </w:rPr>
        <w:t>الب</w:t>
      </w:r>
      <w:r>
        <w:rPr>
          <w:rFonts w:hint="cs"/>
          <w:b/>
          <w:bCs/>
          <w:spacing w:val="-4"/>
          <w:sz w:val="32"/>
          <w:szCs w:val="32"/>
          <w:rtl/>
        </w:rPr>
        <w:t>َ</w:t>
      </w:r>
      <w:r>
        <w:rPr>
          <w:rFonts w:hint="eastAsia"/>
          <w:b/>
          <w:bCs/>
          <w:spacing w:val="-4"/>
          <w:sz w:val="32"/>
          <w:szCs w:val="32"/>
          <w:rtl/>
        </w:rPr>
        <w:t>ي</w:t>
      </w:r>
      <w:r>
        <w:rPr>
          <w:rFonts w:hint="cs"/>
          <w:b/>
          <w:bCs/>
          <w:spacing w:val="-4"/>
          <w:sz w:val="32"/>
          <w:szCs w:val="32"/>
          <w:rtl/>
        </w:rPr>
        <w:t>ِّ</w:t>
      </w:r>
      <w:r>
        <w:rPr>
          <w:rFonts w:hint="eastAsia"/>
          <w:b/>
          <w:bCs/>
          <w:spacing w:val="-4"/>
          <w:sz w:val="32"/>
          <w:szCs w:val="32"/>
          <w:rtl/>
        </w:rPr>
        <w:t>ن</w:t>
      </w:r>
      <w:r>
        <w:rPr>
          <w:rFonts w:hint="cs"/>
          <w:b/>
          <w:bCs/>
          <w:spacing w:val="-4"/>
          <w:sz w:val="32"/>
          <w:szCs w:val="32"/>
          <w:rtl/>
        </w:rPr>
        <w:t>َ</w:t>
      </w:r>
      <w:r>
        <w:rPr>
          <w:rFonts w:hint="eastAsia"/>
          <w:b/>
          <w:bCs/>
          <w:spacing w:val="-4"/>
          <w:sz w:val="32"/>
          <w:szCs w:val="32"/>
          <w:rtl/>
        </w:rPr>
        <w:t>ات</w:t>
      </w:r>
      <w:r>
        <w:rPr>
          <w:rFonts w:hint="cs"/>
          <w:b/>
          <w:bCs/>
          <w:spacing w:val="-4"/>
          <w:sz w:val="32"/>
          <w:szCs w:val="32"/>
          <w:rtl/>
        </w:rPr>
        <w:t>ُ</w:t>
      </w:r>
      <w:r>
        <w:rPr>
          <w:spacing w:val="-4"/>
          <w:sz w:val="32"/>
          <w:szCs w:val="32"/>
          <w:rtl/>
        </w:rPr>
        <w:t xml:space="preserve"> ش</w:t>
      </w:r>
      <w:r>
        <w:rPr>
          <w:rFonts w:hint="cs"/>
          <w:spacing w:val="-4"/>
          <w:sz w:val="32"/>
          <w:szCs w:val="32"/>
          <w:rtl/>
        </w:rPr>
        <w:t>ُ</w:t>
      </w:r>
      <w:r>
        <w:rPr>
          <w:spacing w:val="-4"/>
          <w:sz w:val="32"/>
          <w:szCs w:val="32"/>
          <w:rtl/>
        </w:rPr>
        <w:t>ر</w:t>
      </w:r>
      <w:r>
        <w:rPr>
          <w:rFonts w:hint="cs"/>
          <w:spacing w:val="-4"/>
          <w:sz w:val="32"/>
          <w:szCs w:val="32"/>
          <w:rtl/>
        </w:rPr>
        <w:t>ِ</w:t>
      </w:r>
      <w:r>
        <w:rPr>
          <w:spacing w:val="-4"/>
          <w:sz w:val="32"/>
          <w:szCs w:val="32"/>
          <w:rtl/>
        </w:rPr>
        <w:t>ع</w:t>
      </w:r>
      <w:r>
        <w:rPr>
          <w:rFonts w:hint="cs"/>
          <w:spacing w:val="-4"/>
          <w:sz w:val="32"/>
          <w:szCs w:val="32"/>
          <w:rtl/>
        </w:rPr>
        <w:t>َ</w:t>
      </w:r>
      <w:r>
        <w:rPr>
          <w:spacing w:val="-4"/>
          <w:sz w:val="32"/>
          <w:szCs w:val="32"/>
          <w:rtl/>
        </w:rPr>
        <w:t>ت</w:t>
      </w:r>
      <w:r>
        <w:rPr>
          <w:rFonts w:hint="cs"/>
          <w:spacing w:val="-4"/>
          <w:sz w:val="32"/>
          <w:szCs w:val="32"/>
          <w:rtl/>
        </w:rPr>
        <w:t>ْ</w:t>
      </w:r>
      <w:r>
        <w:rPr>
          <w:spacing w:val="-4"/>
          <w:sz w:val="32"/>
          <w:szCs w:val="32"/>
          <w:rtl/>
        </w:rPr>
        <w:t xml:space="preserve"> ل</w:t>
      </w:r>
      <w:r>
        <w:rPr>
          <w:rFonts w:hint="cs"/>
          <w:spacing w:val="-4"/>
          <w:sz w:val="32"/>
          <w:szCs w:val="32"/>
          <w:rtl/>
        </w:rPr>
        <w:t>إ</w:t>
      </w:r>
      <w:r>
        <w:rPr>
          <w:spacing w:val="-4"/>
          <w:sz w:val="32"/>
          <w:szCs w:val="32"/>
          <w:rtl/>
        </w:rPr>
        <w:t>ث</w:t>
      </w:r>
      <w:r>
        <w:rPr>
          <w:rFonts w:hint="cs"/>
          <w:spacing w:val="-4"/>
          <w:sz w:val="32"/>
          <w:szCs w:val="32"/>
          <w:rtl/>
        </w:rPr>
        <w:t>ْ</w:t>
      </w:r>
      <w:r>
        <w:rPr>
          <w:spacing w:val="-4"/>
          <w:sz w:val="32"/>
          <w:szCs w:val="32"/>
          <w:rtl/>
        </w:rPr>
        <w:t>ب</w:t>
      </w:r>
      <w:r>
        <w:rPr>
          <w:rFonts w:hint="cs"/>
          <w:spacing w:val="-4"/>
          <w:sz w:val="32"/>
          <w:szCs w:val="32"/>
          <w:rtl/>
        </w:rPr>
        <w:t>َ</w:t>
      </w:r>
      <w:r>
        <w:rPr>
          <w:spacing w:val="-4"/>
          <w:sz w:val="32"/>
          <w:szCs w:val="32"/>
          <w:rtl/>
        </w:rPr>
        <w:t>ات</w:t>
      </w:r>
      <w:r>
        <w:rPr>
          <w:rFonts w:hint="cs"/>
          <w:spacing w:val="-4"/>
          <w:sz w:val="32"/>
          <w:szCs w:val="32"/>
          <w:rtl/>
        </w:rPr>
        <w:t>ِ</w:t>
      </w:r>
      <w:r>
        <w:rPr>
          <w:spacing w:val="-4"/>
          <w:sz w:val="32"/>
          <w:szCs w:val="32"/>
          <w:rtl/>
        </w:rPr>
        <w:t xml:space="preserve"> خ</w:t>
      </w:r>
      <w:r>
        <w:rPr>
          <w:rFonts w:hint="cs"/>
          <w:spacing w:val="-4"/>
          <w:sz w:val="32"/>
          <w:szCs w:val="32"/>
          <w:rtl/>
        </w:rPr>
        <w:t>ِ</w:t>
      </w:r>
      <w:r>
        <w:rPr>
          <w:spacing w:val="-4"/>
          <w:sz w:val="32"/>
          <w:szCs w:val="32"/>
          <w:rtl/>
        </w:rPr>
        <w:t>لا</w:t>
      </w:r>
      <w:r>
        <w:rPr>
          <w:rFonts w:hint="cs"/>
          <w:spacing w:val="-4"/>
          <w:sz w:val="32"/>
          <w:szCs w:val="32"/>
          <w:rtl/>
        </w:rPr>
        <w:t>َ</w:t>
      </w:r>
      <w:r>
        <w:rPr>
          <w:spacing w:val="-4"/>
          <w:sz w:val="32"/>
          <w:szCs w:val="32"/>
          <w:rtl/>
        </w:rPr>
        <w:t>ف</w:t>
      </w:r>
      <w:r>
        <w:rPr>
          <w:rFonts w:hint="cs"/>
          <w:spacing w:val="-4"/>
          <w:sz w:val="32"/>
          <w:szCs w:val="32"/>
          <w:rtl/>
        </w:rPr>
        <w:t>ِ</w:t>
      </w:r>
      <w:r>
        <w:rPr>
          <w:spacing w:val="-4"/>
          <w:sz w:val="32"/>
          <w:szCs w:val="32"/>
          <w:rtl/>
        </w:rPr>
        <w:t xml:space="preserve"> الظ</w:t>
      </w:r>
      <w:r>
        <w:rPr>
          <w:rFonts w:hint="cs"/>
          <w:spacing w:val="-4"/>
          <w:sz w:val="32"/>
          <w:szCs w:val="32"/>
          <w:rtl/>
        </w:rPr>
        <w:t>َّ</w:t>
      </w:r>
      <w:r>
        <w:rPr>
          <w:spacing w:val="-4"/>
          <w:sz w:val="32"/>
          <w:szCs w:val="32"/>
          <w:rtl/>
        </w:rPr>
        <w:t>اه</w:t>
      </w:r>
      <w:r>
        <w:rPr>
          <w:rFonts w:hint="cs"/>
          <w:spacing w:val="-4"/>
          <w:sz w:val="32"/>
          <w:szCs w:val="32"/>
          <w:rtl/>
        </w:rPr>
        <w:t>ِ</w:t>
      </w:r>
      <w:r>
        <w:rPr>
          <w:spacing w:val="-4"/>
          <w:sz w:val="32"/>
          <w:szCs w:val="32"/>
          <w:rtl/>
        </w:rPr>
        <w:t>ر</w:t>
      </w:r>
      <w:r>
        <w:rPr>
          <w:rFonts w:hint="cs"/>
          <w:spacing w:val="-4"/>
          <w:sz w:val="32"/>
          <w:szCs w:val="32"/>
          <w:rtl/>
        </w:rPr>
        <w:t>ِ</w:t>
      </w:r>
      <w:r>
        <w:rPr>
          <w:spacing w:val="-4"/>
          <w:sz w:val="32"/>
          <w:szCs w:val="32"/>
          <w:rtl/>
        </w:rPr>
        <w:t>، والي</w:t>
      </w:r>
      <w:r>
        <w:rPr>
          <w:rFonts w:hint="cs"/>
          <w:spacing w:val="-4"/>
          <w:sz w:val="32"/>
          <w:szCs w:val="32"/>
          <w:rtl/>
        </w:rPr>
        <w:t>َ</w:t>
      </w:r>
      <w:r>
        <w:rPr>
          <w:spacing w:val="-4"/>
          <w:sz w:val="32"/>
          <w:szCs w:val="32"/>
          <w:rtl/>
        </w:rPr>
        <w:t>م</w:t>
      </w:r>
      <w:r>
        <w:rPr>
          <w:rFonts w:hint="cs"/>
          <w:spacing w:val="-4"/>
          <w:sz w:val="32"/>
          <w:szCs w:val="32"/>
          <w:rtl/>
        </w:rPr>
        <w:t>ِ</w:t>
      </w:r>
      <w:r>
        <w:rPr>
          <w:spacing w:val="-4"/>
          <w:sz w:val="32"/>
          <w:szCs w:val="32"/>
          <w:rtl/>
        </w:rPr>
        <w:t>ي</w:t>
      </w:r>
      <w:r>
        <w:rPr>
          <w:rFonts w:hint="cs"/>
          <w:spacing w:val="-4"/>
          <w:sz w:val="32"/>
          <w:szCs w:val="32"/>
          <w:rtl/>
        </w:rPr>
        <w:t>ْ</w:t>
      </w:r>
      <w:r>
        <w:rPr>
          <w:spacing w:val="-4"/>
          <w:sz w:val="32"/>
          <w:szCs w:val="32"/>
          <w:rtl/>
        </w:rPr>
        <w:t>ن</w:t>
      </w:r>
      <w:r>
        <w:rPr>
          <w:rFonts w:hint="cs"/>
          <w:spacing w:val="-4"/>
          <w:sz w:val="32"/>
          <w:szCs w:val="32"/>
          <w:rtl/>
        </w:rPr>
        <w:t>ُ</w:t>
      </w:r>
      <w:r>
        <w:rPr>
          <w:spacing w:val="-4"/>
          <w:sz w:val="32"/>
          <w:szCs w:val="32"/>
          <w:rtl/>
        </w:rPr>
        <w:t xml:space="preserve"> لإبق</w:t>
      </w:r>
      <w:r>
        <w:rPr>
          <w:rFonts w:hint="cs"/>
          <w:spacing w:val="-4"/>
          <w:sz w:val="32"/>
          <w:szCs w:val="32"/>
          <w:rtl/>
        </w:rPr>
        <w:t>َ</w:t>
      </w:r>
      <w:r>
        <w:rPr>
          <w:spacing w:val="-4"/>
          <w:sz w:val="32"/>
          <w:szCs w:val="32"/>
          <w:rtl/>
        </w:rPr>
        <w:t>اء</w:t>
      </w:r>
      <w:r>
        <w:rPr>
          <w:rFonts w:hint="cs"/>
          <w:spacing w:val="-4"/>
          <w:sz w:val="32"/>
          <w:szCs w:val="32"/>
          <w:rtl/>
        </w:rPr>
        <w:t>ِ</w:t>
      </w:r>
      <w:r>
        <w:rPr>
          <w:spacing w:val="-4"/>
          <w:sz w:val="32"/>
          <w:szCs w:val="32"/>
          <w:rtl/>
        </w:rPr>
        <w:t xml:space="preserve"> الأ</w:t>
      </w:r>
      <w:r>
        <w:rPr>
          <w:rFonts w:hint="cs"/>
          <w:spacing w:val="-4"/>
          <w:sz w:val="32"/>
          <w:szCs w:val="32"/>
          <w:rtl/>
        </w:rPr>
        <w:t>َ</w:t>
      </w:r>
      <w:r>
        <w:rPr>
          <w:spacing w:val="-4"/>
          <w:sz w:val="32"/>
          <w:szCs w:val="32"/>
          <w:rtl/>
        </w:rPr>
        <w:t>ص</w:t>
      </w:r>
      <w:r>
        <w:rPr>
          <w:rFonts w:hint="cs"/>
          <w:spacing w:val="-4"/>
          <w:sz w:val="32"/>
          <w:szCs w:val="32"/>
          <w:rtl/>
        </w:rPr>
        <w:t>ْ</w:t>
      </w:r>
      <w:r>
        <w:rPr>
          <w:spacing w:val="-4"/>
          <w:sz w:val="32"/>
          <w:szCs w:val="32"/>
          <w:rtl/>
        </w:rPr>
        <w:t>ل</w:t>
      </w:r>
      <w:r>
        <w:rPr>
          <w:rFonts w:hint="cs"/>
          <w:spacing w:val="-4"/>
          <w:sz w:val="32"/>
          <w:szCs w:val="32"/>
          <w:rtl/>
        </w:rPr>
        <w:t>.</w:t>
      </w:r>
      <w:r>
        <w:rPr>
          <w:rFonts w:hint="cs"/>
          <w:spacing w:val="-4"/>
          <w:sz w:val="32"/>
          <w:szCs w:val="32"/>
          <w:rtl/>
        </w:rPr>
        <w:tab/>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ق58 </w:t>
      </w:r>
      <w:r>
        <w:rPr>
          <w:rFonts w:hint="cs"/>
          <w:sz w:val="32"/>
          <w:szCs w:val="32"/>
          <w:rtl/>
        </w:rPr>
        <w:tab/>
      </w:r>
      <w:r>
        <w:rPr>
          <w:rFonts w:hint="cs"/>
          <w:sz w:val="32"/>
          <w:szCs w:val="32"/>
          <w:rtl/>
        </w:rPr>
        <w:tab/>
        <w:t xml:space="preserve">: </w:t>
      </w:r>
      <w:r>
        <w:rPr>
          <w:rFonts w:hint="eastAsia"/>
          <w:b/>
          <w:bCs/>
          <w:sz w:val="32"/>
          <w:szCs w:val="32"/>
          <w:rtl/>
        </w:rPr>
        <w:t>بَـيِّـنةُ</w:t>
      </w:r>
      <w:r>
        <w:rPr>
          <w:sz w:val="32"/>
          <w:szCs w:val="32"/>
          <w:rtl/>
        </w:rPr>
        <w:t xml:space="preserve"> الن</w:t>
      </w:r>
      <w:r>
        <w:rPr>
          <w:rFonts w:hint="cs"/>
          <w:sz w:val="32"/>
          <w:szCs w:val="32"/>
          <w:rtl/>
        </w:rPr>
        <w:t>َّ</w:t>
      </w:r>
      <w:r>
        <w:rPr>
          <w:sz w:val="32"/>
          <w:szCs w:val="32"/>
          <w:rtl/>
        </w:rPr>
        <w:t>ف</w:t>
      </w:r>
      <w:r>
        <w:rPr>
          <w:rFonts w:hint="cs"/>
          <w:sz w:val="32"/>
          <w:szCs w:val="32"/>
          <w:rtl/>
        </w:rPr>
        <w:t>ْ</w:t>
      </w:r>
      <w:r>
        <w:rPr>
          <w:sz w:val="32"/>
          <w:szCs w:val="32"/>
          <w:rtl/>
        </w:rPr>
        <w:t>ي</w:t>
      </w:r>
      <w:r>
        <w:rPr>
          <w:rFonts w:hint="cs"/>
          <w:sz w:val="32"/>
          <w:szCs w:val="32"/>
          <w:rtl/>
        </w:rPr>
        <w:t>ِ</w:t>
      </w:r>
      <w:r>
        <w:rPr>
          <w:sz w:val="32"/>
          <w:szCs w:val="32"/>
          <w:rtl/>
        </w:rPr>
        <w:t xml:space="preserve"> </w:t>
      </w:r>
      <w:r>
        <w:rPr>
          <w:rFonts w:hint="eastAsia"/>
          <w:sz w:val="32"/>
          <w:szCs w:val="32"/>
          <w:rtl/>
        </w:rPr>
        <w:t>غ</w:t>
      </w:r>
      <w:r>
        <w:rPr>
          <w:rFonts w:hint="cs"/>
          <w:sz w:val="32"/>
          <w:szCs w:val="32"/>
          <w:rtl/>
        </w:rPr>
        <w:t>َ</w:t>
      </w:r>
      <w:r>
        <w:rPr>
          <w:rFonts w:hint="eastAsia"/>
          <w:sz w:val="32"/>
          <w:szCs w:val="32"/>
          <w:rtl/>
        </w:rPr>
        <w:t>ي</w:t>
      </w:r>
      <w:r>
        <w:rPr>
          <w:rFonts w:hint="cs"/>
          <w:sz w:val="32"/>
          <w:szCs w:val="32"/>
          <w:rtl/>
        </w:rPr>
        <w:t>ْ</w:t>
      </w:r>
      <w:r>
        <w:rPr>
          <w:rFonts w:hint="eastAsia"/>
          <w:sz w:val="32"/>
          <w:szCs w:val="32"/>
          <w:rtl/>
        </w:rPr>
        <w:t>ر</w:t>
      </w:r>
      <w:r>
        <w:rPr>
          <w:rFonts w:hint="cs"/>
          <w:sz w:val="32"/>
          <w:szCs w:val="32"/>
          <w:rtl/>
        </w:rPr>
        <w:t>ُ</w:t>
      </w:r>
      <w:r>
        <w:rPr>
          <w:sz w:val="32"/>
          <w:szCs w:val="32"/>
          <w:rtl/>
        </w:rPr>
        <w:t xml:space="preserve"> م</w:t>
      </w:r>
      <w:r>
        <w:rPr>
          <w:rFonts w:hint="cs"/>
          <w:sz w:val="32"/>
          <w:szCs w:val="32"/>
          <w:rtl/>
        </w:rPr>
        <w:t>َ</w:t>
      </w:r>
      <w:r>
        <w:rPr>
          <w:sz w:val="32"/>
          <w:szCs w:val="32"/>
          <w:rtl/>
        </w:rPr>
        <w:t>ق</w:t>
      </w:r>
      <w:r>
        <w:rPr>
          <w:rFonts w:hint="cs"/>
          <w:sz w:val="32"/>
          <w:szCs w:val="32"/>
          <w:rtl/>
        </w:rPr>
        <w:t>ْ</w:t>
      </w:r>
      <w:r>
        <w:rPr>
          <w:sz w:val="32"/>
          <w:szCs w:val="32"/>
          <w:rtl/>
        </w:rPr>
        <w:t>ب</w:t>
      </w:r>
      <w:r>
        <w:rPr>
          <w:rFonts w:hint="cs"/>
          <w:sz w:val="32"/>
          <w:szCs w:val="32"/>
          <w:rtl/>
        </w:rPr>
        <w:t>ُ</w:t>
      </w:r>
      <w:r>
        <w:rPr>
          <w:sz w:val="32"/>
          <w:szCs w:val="32"/>
          <w:rtl/>
        </w:rPr>
        <w:t>ول</w:t>
      </w:r>
      <w:r>
        <w:rPr>
          <w:rFonts w:hint="cs"/>
          <w:sz w:val="32"/>
          <w:szCs w:val="32"/>
          <w:rtl/>
        </w:rPr>
        <w:t>َـ</w:t>
      </w:r>
      <w:r>
        <w:rPr>
          <w:sz w:val="32"/>
          <w:szCs w:val="32"/>
          <w:rtl/>
        </w:rPr>
        <w:t>ةٍ</w:t>
      </w:r>
      <w:r>
        <w:rPr>
          <w:rFonts w:hint="cs"/>
          <w:sz w:val="32"/>
          <w:szCs w:val="32"/>
          <w:rtl/>
        </w:rPr>
        <w:t>.</w:t>
      </w:r>
      <w:r>
        <w:rPr>
          <w:rFonts w:hint="cs"/>
          <w:sz w:val="32"/>
          <w:szCs w:val="32"/>
          <w:rtl/>
        </w:rPr>
        <w:tab/>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ق93 </w:t>
      </w:r>
      <w:r>
        <w:rPr>
          <w:rFonts w:hint="cs"/>
          <w:sz w:val="32"/>
          <w:szCs w:val="32"/>
          <w:rtl/>
        </w:rPr>
        <w:tab/>
      </w:r>
      <w:r>
        <w:rPr>
          <w:rFonts w:hint="cs"/>
          <w:sz w:val="32"/>
          <w:szCs w:val="32"/>
          <w:rtl/>
        </w:rPr>
        <w:tab/>
        <w:t xml:space="preserve">: الثَّابتُ </w:t>
      </w:r>
      <w:r>
        <w:rPr>
          <w:rFonts w:hint="cs"/>
          <w:b/>
          <w:bCs/>
          <w:sz w:val="32"/>
          <w:szCs w:val="32"/>
          <w:rtl/>
        </w:rPr>
        <w:t>بالبيِّنةِ</w:t>
      </w:r>
      <w:r>
        <w:rPr>
          <w:rFonts w:hint="cs"/>
          <w:sz w:val="32"/>
          <w:szCs w:val="32"/>
          <w:rtl/>
        </w:rPr>
        <w:t xml:space="preserve"> كالثَّابتِ بإقرارِ الخصمِ. </w:t>
      </w:r>
    </w:p>
    <w:p w:rsidR="00284270" w:rsidRDefault="00284270" w:rsidP="0022714B">
      <w:pPr>
        <w:ind w:left="2833" w:hanging="2266"/>
        <w:rPr>
          <w:sz w:val="32"/>
          <w:szCs w:val="32"/>
          <w:rtl/>
        </w:rPr>
      </w:pPr>
      <w:r>
        <w:rPr>
          <w:rFonts w:hint="cs"/>
          <w:sz w:val="32"/>
          <w:szCs w:val="32"/>
          <w:rtl/>
        </w:rPr>
        <w:t xml:space="preserve">               ق99 </w:t>
      </w:r>
      <w:r>
        <w:rPr>
          <w:rFonts w:hint="cs"/>
          <w:sz w:val="32"/>
          <w:szCs w:val="32"/>
          <w:rtl/>
        </w:rPr>
        <w:tab/>
        <w:t xml:space="preserve">: جَازَ إقامةُ </w:t>
      </w:r>
      <w:r>
        <w:rPr>
          <w:rFonts w:hint="cs"/>
          <w:b/>
          <w:bCs/>
          <w:sz w:val="32"/>
          <w:szCs w:val="32"/>
          <w:rtl/>
        </w:rPr>
        <w:t>البَّيِنَةِ</w:t>
      </w:r>
      <w:r>
        <w:rPr>
          <w:rFonts w:hint="cs"/>
          <w:sz w:val="32"/>
          <w:szCs w:val="32"/>
          <w:rtl/>
        </w:rPr>
        <w:t xml:space="preserve"> مَعَ الإقرارِ في كلِّ موضعٍ يُتوقَّعُ الضررُ مِنْ غيرِالمُقِرِّ لولاها.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ق143 </w:t>
      </w:r>
      <w:r>
        <w:rPr>
          <w:rFonts w:hint="cs"/>
          <w:sz w:val="32"/>
          <w:szCs w:val="32"/>
          <w:rtl/>
        </w:rPr>
        <w:tab/>
        <w:t xml:space="preserve">: السُّكُوتُ فِي مَوْضِعِ الحَاجَةِ إلى </w:t>
      </w:r>
      <w:r>
        <w:rPr>
          <w:rFonts w:hint="cs"/>
          <w:b/>
          <w:bCs/>
          <w:sz w:val="32"/>
          <w:szCs w:val="32"/>
          <w:rtl/>
        </w:rPr>
        <w:t>البَيَانِ</w:t>
      </w:r>
      <w:r>
        <w:rPr>
          <w:rFonts w:hint="cs"/>
          <w:sz w:val="32"/>
          <w:szCs w:val="32"/>
          <w:rtl/>
        </w:rPr>
        <w:t xml:space="preserve"> تَمَامُ البَيَانِ.</w:t>
      </w:r>
    </w:p>
    <w:p w:rsidR="00284270" w:rsidRDefault="00284270" w:rsidP="0022714B">
      <w:pPr>
        <w:pStyle w:val="21"/>
        <w:ind w:hanging="3"/>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ق189 </w:t>
      </w:r>
      <w:r>
        <w:rPr>
          <w:rFonts w:hint="cs"/>
          <w:sz w:val="32"/>
          <w:szCs w:val="32"/>
          <w:rtl/>
        </w:rPr>
        <w:tab/>
        <w:t xml:space="preserve">: كُلُّ ما يَتَرَتَّبُ عليها </w:t>
      </w:r>
      <w:r>
        <w:rPr>
          <w:rFonts w:hint="cs"/>
          <w:b w:val="0"/>
          <w:bCs w:val="0"/>
          <w:sz w:val="32"/>
          <w:szCs w:val="32"/>
          <w:rtl/>
        </w:rPr>
        <w:t>البيِّنَةُ</w:t>
      </w:r>
      <w:r>
        <w:rPr>
          <w:rFonts w:hint="cs"/>
          <w:sz w:val="32"/>
          <w:szCs w:val="32"/>
          <w:rtl/>
        </w:rPr>
        <w:t xml:space="preserve"> يترتَّبُ عَلَيْهَا التَّحْلِيفُ، سِوَى بيّنةٍ </w:t>
      </w:r>
      <w:r>
        <w:rPr>
          <w:sz w:val="32"/>
          <w:szCs w:val="32"/>
          <w:rtl/>
        </w:rPr>
        <w:br/>
      </w:r>
      <w:r>
        <w:rPr>
          <w:rFonts w:hint="cs"/>
          <w:sz w:val="32"/>
          <w:szCs w:val="32"/>
          <w:rtl/>
        </w:rPr>
        <w:t xml:space="preserve">                                       أُقِيمَتْ لإثباتِ الخُصُومَةِ.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ق205 </w:t>
      </w:r>
      <w:r>
        <w:rPr>
          <w:rFonts w:hint="cs"/>
          <w:sz w:val="32"/>
          <w:szCs w:val="32"/>
          <w:rtl/>
        </w:rPr>
        <w:tab/>
        <w:t xml:space="preserve">: لاَ تُسْمَعُ </w:t>
      </w:r>
      <w:r>
        <w:rPr>
          <w:rFonts w:hint="cs"/>
          <w:b/>
          <w:bCs/>
          <w:sz w:val="32"/>
          <w:szCs w:val="32"/>
          <w:rtl/>
        </w:rPr>
        <w:t xml:space="preserve">البيِّنَةُ </w:t>
      </w:r>
      <w:r>
        <w:rPr>
          <w:rFonts w:hint="cs"/>
          <w:sz w:val="32"/>
          <w:szCs w:val="32"/>
          <w:rtl/>
        </w:rPr>
        <w:t>عَلَى المُقِرِّ.</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ق232 </w:t>
      </w:r>
      <w:r>
        <w:rPr>
          <w:rFonts w:hint="cs"/>
          <w:sz w:val="32"/>
          <w:szCs w:val="32"/>
          <w:rtl/>
        </w:rPr>
        <w:tab/>
        <w:t xml:space="preserve">: المَقْضِيُّ عَلَيْهِ فِي حَادِثَةٍ : لاَ تُسْمَعُ دَعْوَاهُ ولا </w:t>
      </w:r>
      <w:r>
        <w:rPr>
          <w:rFonts w:hint="cs"/>
          <w:b/>
          <w:bCs/>
          <w:sz w:val="32"/>
          <w:szCs w:val="32"/>
          <w:rtl/>
        </w:rPr>
        <w:t>بَيِّنَتُهُ</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ق238 </w:t>
      </w:r>
      <w:r>
        <w:rPr>
          <w:rFonts w:hint="cs"/>
          <w:sz w:val="32"/>
          <w:szCs w:val="32"/>
          <w:rtl/>
        </w:rPr>
        <w:tab/>
        <w:t xml:space="preserve">: مَنْ عَمِلَ إِقْرَارُهُ قُبِلَتْ </w:t>
      </w:r>
      <w:r>
        <w:rPr>
          <w:rFonts w:hint="cs"/>
          <w:b/>
          <w:bCs/>
          <w:sz w:val="32"/>
          <w:szCs w:val="32"/>
          <w:rtl/>
        </w:rPr>
        <w:t>بَيِّنَتُهُ</w:t>
      </w:r>
      <w:r>
        <w:rPr>
          <w:rFonts w:hint="cs"/>
          <w:sz w:val="32"/>
          <w:szCs w:val="32"/>
          <w:rtl/>
        </w:rPr>
        <w:t>، وإلاّ فَلاَ.</w:t>
      </w:r>
    </w:p>
    <w:p w:rsidR="00284270" w:rsidRDefault="00284270">
      <w:pPr>
        <w:rPr>
          <w:sz w:val="38"/>
          <w:rtl/>
        </w:rPr>
      </w:pPr>
      <w:r>
        <w:rPr>
          <w:rFonts w:hint="cs"/>
          <w:sz w:val="38"/>
          <w:rtl/>
        </w:rPr>
        <w:t xml:space="preserve"> </w:t>
      </w:r>
    </w:p>
    <w:p w:rsidR="00284270" w:rsidRDefault="0022714B">
      <w:pPr>
        <w:jc w:val="center"/>
        <w:rPr>
          <w:b/>
          <w:bCs/>
          <w:sz w:val="48"/>
          <w:szCs w:val="48"/>
          <w:rtl/>
        </w:rPr>
      </w:pPr>
      <w:r>
        <w:rPr>
          <w:b/>
          <w:bCs/>
          <w:noProof/>
          <w:szCs w:val="48"/>
          <w:rtl/>
        </w:rPr>
        <w:pict>
          <v:rect id="_x0000_s1030" style="position:absolute;left:0;text-align:left;margin-left:163.05pt;margin-top:3.4pt;width:54.15pt;height:37.05pt;z-index:-251646976;mso-wrap-edited:f" wrapcoords="-379 0 -379 21600 758 22265 23495 22265 23116 997 22358 0 -379 0">
            <v:shadow on="t" offset="3pt" offset2="2pt"/>
          </v:rect>
        </w:pict>
      </w:r>
      <w:r w:rsidR="00284270">
        <w:rPr>
          <w:rFonts w:hint="cs"/>
          <w:b/>
          <w:bCs/>
          <w:sz w:val="48"/>
          <w:szCs w:val="48"/>
          <w:rtl/>
        </w:rPr>
        <w:t>(ت)</w:t>
      </w:r>
    </w:p>
    <w:p w:rsidR="00284270" w:rsidRDefault="00284270">
      <w:pPr>
        <w:rPr>
          <w:sz w:val="38"/>
          <w:rtl/>
        </w:rPr>
      </w:pPr>
    </w:p>
    <w:p w:rsidR="00284270" w:rsidRDefault="00284270">
      <w:pPr>
        <w:rPr>
          <w:sz w:val="32"/>
          <w:szCs w:val="32"/>
          <w:rtl/>
        </w:rPr>
      </w:pPr>
      <w:r>
        <w:rPr>
          <w:rFonts w:hint="cs"/>
          <w:b/>
          <w:bCs/>
          <w:sz w:val="32"/>
          <w:szCs w:val="32"/>
          <w:rtl/>
        </w:rPr>
        <w:t>تبع</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ق18 </w:t>
      </w:r>
      <w:r>
        <w:rPr>
          <w:rFonts w:hint="cs"/>
          <w:sz w:val="32"/>
          <w:szCs w:val="32"/>
          <w:rtl/>
        </w:rPr>
        <w:tab/>
      </w:r>
      <w:r>
        <w:rPr>
          <w:rFonts w:hint="cs"/>
          <w:sz w:val="32"/>
          <w:szCs w:val="32"/>
          <w:rtl/>
        </w:rPr>
        <w:tab/>
        <w:t xml:space="preserve">: الاسْتِثْنَاُء فِي المَقْصودِ لا </w:t>
      </w:r>
      <w:r>
        <w:rPr>
          <w:rFonts w:hint="cs"/>
          <w:b/>
          <w:bCs/>
          <w:sz w:val="32"/>
          <w:szCs w:val="32"/>
          <w:rtl/>
        </w:rPr>
        <w:t>التَّابِعِ</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ق65 </w:t>
      </w:r>
      <w:r>
        <w:rPr>
          <w:rFonts w:hint="cs"/>
          <w:sz w:val="32"/>
          <w:szCs w:val="32"/>
          <w:rtl/>
          <w:lang w:bidi="ar-AE"/>
        </w:rPr>
        <w:tab/>
      </w:r>
      <w:r>
        <w:rPr>
          <w:rFonts w:hint="cs"/>
          <w:sz w:val="32"/>
          <w:szCs w:val="32"/>
          <w:rtl/>
          <w:lang w:bidi="ar-AE"/>
        </w:rPr>
        <w:tab/>
      </w:r>
      <w:r>
        <w:rPr>
          <w:rFonts w:hint="cs"/>
          <w:sz w:val="32"/>
          <w:szCs w:val="32"/>
          <w:rtl/>
        </w:rPr>
        <w:t xml:space="preserve">: </w:t>
      </w:r>
      <w:r>
        <w:rPr>
          <w:rFonts w:hint="cs"/>
          <w:b/>
          <w:bCs/>
          <w:sz w:val="32"/>
          <w:szCs w:val="32"/>
          <w:rtl/>
        </w:rPr>
        <w:t>التَّابِعُ</w:t>
      </w:r>
      <w:r>
        <w:rPr>
          <w:rFonts w:hint="cs"/>
          <w:sz w:val="32"/>
          <w:szCs w:val="32"/>
          <w:rtl/>
        </w:rPr>
        <w:t xml:space="preserve"> لا يَتَقَدَّمُ على المَتْبُوعِ. </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ق63 </w:t>
      </w:r>
      <w:r>
        <w:rPr>
          <w:rFonts w:hint="cs"/>
          <w:sz w:val="32"/>
          <w:szCs w:val="32"/>
          <w:rtl/>
        </w:rPr>
        <w:tab/>
      </w:r>
      <w:r>
        <w:rPr>
          <w:rFonts w:hint="cs"/>
          <w:sz w:val="32"/>
          <w:szCs w:val="32"/>
          <w:rtl/>
        </w:rPr>
        <w:tab/>
        <w:t xml:space="preserve">: </w:t>
      </w:r>
      <w:r>
        <w:rPr>
          <w:rFonts w:hint="cs"/>
          <w:b/>
          <w:bCs/>
          <w:sz w:val="32"/>
          <w:szCs w:val="32"/>
          <w:rtl/>
        </w:rPr>
        <w:t>التَّابعُ</w:t>
      </w:r>
      <w:r>
        <w:rPr>
          <w:rFonts w:hint="cs"/>
          <w:sz w:val="32"/>
          <w:szCs w:val="32"/>
          <w:rtl/>
        </w:rPr>
        <w:t xml:space="preserve"> لا يُفْرَدُ بالحُكْمِ.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ق64 </w:t>
      </w:r>
      <w:r>
        <w:rPr>
          <w:rFonts w:hint="cs"/>
          <w:sz w:val="32"/>
          <w:szCs w:val="32"/>
          <w:rtl/>
        </w:rPr>
        <w:tab/>
      </w:r>
      <w:r>
        <w:rPr>
          <w:rFonts w:hint="cs"/>
          <w:sz w:val="32"/>
          <w:szCs w:val="32"/>
          <w:rtl/>
        </w:rPr>
        <w:tab/>
        <w:t xml:space="preserve">: </w:t>
      </w:r>
      <w:r>
        <w:rPr>
          <w:rFonts w:hint="cs"/>
          <w:b/>
          <w:bCs/>
          <w:sz w:val="32"/>
          <w:szCs w:val="32"/>
          <w:rtl/>
        </w:rPr>
        <w:t>التَّابعُ</w:t>
      </w:r>
      <w:r>
        <w:rPr>
          <w:rFonts w:hint="cs"/>
          <w:sz w:val="32"/>
          <w:szCs w:val="32"/>
          <w:rtl/>
        </w:rPr>
        <w:t xml:space="preserve"> يَسْقُطُ بسقوطِ المتبُوعِ. </w:t>
      </w:r>
    </w:p>
    <w:p w:rsidR="00284270" w:rsidRDefault="00284270" w:rsidP="0022714B">
      <w:pPr>
        <w:pStyle w:val="21"/>
        <w:ind w:hanging="3"/>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ق261 </w:t>
      </w:r>
      <w:r>
        <w:rPr>
          <w:rFonts w:hint="cs"/>
          <w:sz w:val="32"/>
          <w:szCs w:val="32"/>
          <w:rtl/>
        </w:rPr>
        <w:tab/>
        <w:t xml:space="preserve">: يَدْخُلُ فِي التَّصَرُّفِ </w:t>
      </w:r>
      <w:r>
        <w:rPr>
          <w:rFonts w:hint="cs"/>
          <w:b w:val="0"/>
          <w:bCs w:val="0"/>
          <w:sz w:val="32"/>
          <w:szCs w:val="32"/>
          <w:rtl/>
        </w:rPr>
        <w:t>تَبَعًا</w:t>
      </w:r>
      <w:r>
        <w:rPr>
          <w:rFonts w:hint="cs"/>
          <w:sz w:val="32"/>
          <w:szCs w:val="32"/>
          <w:rtl/>
        </w:rPr>
        <w:t xml:space="preserve"> مَا لاَ يَجُوْزُ أَنْ يَكُونَ مَقْصُودًا.</w:t>
      </w:r>
    </w:p>
    <w:p w:rsidR="00284270" w:rsidRDefault="00284270">
      <w:pPr>
        <w:rPr>
          <w:sz w:val="32"/>
          <w:szCs w:val="32"/>
          <w:rtl/>
        </w:rPr>
      </w:pPr>
      <w:r>
        <w:rPr>
          <w:rFonts w:hint="cs"/>
          <w:b/>
          <w:bCs/>
          <w:sz w:val="32"/>
          <w:szCs w:val="32"/>
          <w:rtl/>
        </w:rPr>
        <w:t>ترك</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ق74 </w:t>
      </w:r>
      <w:r>
        <w:rPr>
          <w:rFonts w:hint="cs"/>
          <w:sz w:val="32"/>
          <w:szCs w:val="32"/>
          <w:rtl/>
        </w:rPr>
        <w:tab/>
      </w:r>
      <w:r>
        <w:rPr>
          <w:rFonts w:hint="cs"/>
          <w:sz w:val="32"/>
          <w:szCs w:val="32"/>
          <w:rtl/>
        </w:rPr>
        <w:tab/>
        <w:t xml:space="preserve">: </w:t>
      </w:r>
      <w:r>
        <w:rPr>
          <w:rFonts w:hint="cs"/>
          <w:b/>
          <w:bCs/>
          <w:sz w:val="32"/>
          <w:szCs w:val="32"/>
          <w:rtl/>
        </w:rPr>
        <w:t>التَّرِكَةُ</w:t>
      </w:r>
      <w:r>
        <w:rPr>
          <w:rFonts w:hint="cs"/>
          <w:sz w:val="32"/>
          <w:szCs w:val="32"/>
          <w:rtl/>
        </w:rPr>
        <w:t xml:space="preserve"> قبلَ القسمةِ مُبْقاةٌ على مِلْكِ المَيِّتِ.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ق176 </w:t>
      </w:r>
      <w:r>
        <w:rPr>
          <w:rFonts w:hint="cs"/>
          <w:sz w:val="32"/>
          <w:szCs w:val="32"/>
          <w:rtl/>
        </w:rPr>
        <w:tab/>
        <w:t xml:space="preserve">: القَدِيمُ </w:t>
      </w:r>
      <w:r>
        <w:rPr>
          <w:rFonts w:hint="cs"/>
          <w:b/>
          <w:bCs/>
          <w:sz w:val="32"/>
          <w:szCs w:val="32"/>
          <w:rtl/>
        </w:rPr>
        <w:t>يُتْرَكُ</w:t>
      </w:r>
      <w:r>
        <w:rPr>
          <w:rFonts w:hint="cs"/>
          <w:sz w:val="32"/>
          <w:szCs w:val="32"/>
          <w:rtl/>
        </w:rPr>
        <w:t xml:space="preserve"> عَلَى قِدَمِهِ.</w:t>
      </w:r>
    </w:p>
    <w:p w:rsidR="00284270" w:rsidRDefault="00284270" w:rsidP="0022714B">
      <w:pPr>
        <w:ind w:left="2833" w:hanging="2266"/>
        <w:rPr>
          <w:sz w:val="32"/>
          <w:szCs w:val="32"/>
          <w:rtl/>
        </w:rPr>
      </w:pPr>
      <w:r>
        <w:rPr>
          <w:rFonts w:hint="cs"/>
          <w:b/>
          <w:bCs/>
          <w:sz w:val="32"/>
          <w:szCs w:val="32"/>
          <w:rtl/>
        </w:rPr>
        <w:t>تلف</w:t>
      </w:r>
      <w:r>
        <w:rPr>
          <w:rFonts w:hint="cs"/>
          <w:sz w:val="32"/>
          <w:szCs w:val="32"/>
          <w:rtl/>
        </w:rPr>
        <w:t xml:space="preserve">       :  ق67 </w:t>
      </w:r>
      <w:r>
        <w:rPr>
          <w:rFonts w:hint="cs"/>
          <w:sz w:val="32"/>
          <w:szCs w:val="32"/>
          <w:rtl/>
        </w:rPr>
        <w:tab/>
        <w:t xml:space="preserve">: تَأكيدُ مَا كانَ على شَرَفِ السُّقُوطِ يجرِي مجرَى </w:t>
      </w:r>
      <w:r>
        <w:rPr>
          <w:rFonts w:hint="cs"/>
          <w:b/>
          <w:bCs/>
          <w:sz w:val="32"/>
          <w:szCs w:val="32"/>
          <w:rtl/>
        </w:rPr>
        <w:t>الإتْلاَفِ</w:t>
      </w:r>
      <w:r>
        <w:rPr>
          <w:rFonts w:hint="cs"/>
          <w:sz w:val="32"/>
          <w:szCs w:val="32"/>
          <w:rtl/>
        </w:rPr>
        <w:t xml:space="preserve"> في إيجابِ الضَّمانِ. </w:t>
      </w:r>
    </w:p>
    <w:p w:rsidR="00284270" w:rsidRDefault="00284270" w:rsidP="0022714B">
      <w:pPr>
        <w:ind w:left="2833" w:hanging="2266"/>
        <w:rPr>
          <w:sz w:val="32"/>
          <w:szCs w:val="32"/>
          <w:rtl/>
        </w:rPr>
      </w:pPr>
      <w:r>
        <w:rPr>
          <w:rFonts w:hint="cs"/>
          <w:b/>
          <w:bCs/>
          <w:sz w:val="32"/>
          <w:szCs w:val="32"/>
          <w:rtl/>
        </w:rPr>
        <w:t>ثبت</w:t>
      </w:r>
      <w:r>
        <w:rPr>
          <w:rFonts w:hint="cs"/>
          <w:sz w:val="32"/>
          <w:szCs w:val="32"/>
          <w:rtl/>
        </w:rPr>
        <w:t xml:space="preserve">       :  ق35 </w:t>
      </w:r>
      <w:r>
        <w:rPr>
          <w:rFonts w:hint="cs"/>
          <w:sz w:val="32"/>
          <w:szCs w:val="32"/>
          <w:rtl/>
        </w:rPr>
        <w:tab/>
        <w:t>: اعْتِبَارُ المعنَيَيْنِ مِنْ لَفْظٍ وَاحِدٍ لا يَجُوزُ بِلاَ مُرَجِّ</w:t>
      </w:r>
      <w:r>
        <w:rPr>
          <w:sz w:val="32"/>
          <w:szCs w:val="32"/>
          <w:rtl/>
        </w:rPr>
        <w:t>ح</w:t>
      </w:r>
      <w:r>
        <w:rPr>
          <w:rFonts w:hint="cs"/>
          <w:sz w:val="32"/>
          <w:szCs w:val="32"/>
          <w:rtl/>
        </w:rPr>
        <w:t xml:space="preserve">ٍ فِي </w:t>
      </w:r>
      <w:r>
        <w:rPr>
          <w:rFonts w:hint="cs"/>
          <w:b/>
          <w:bCs/>
          <w:sz w:val="32"/>
          <w:szCs w:val="32"/>
          <w:rtl/>
        </w:rPr>
        <w:t>الإِثْبَاتِ</w:t>
      </w:r>
      <w:r>
        <w:rPr>
          <w:rFonts w:hint="cs"/>
          <w:sz w:val="32"/>
          <w:szCs w:val="32"/>
          <w:rtl/>
        </w:rPr>
        <w:t xml:space="preserve">،  </w:t>
      </w:r>
      <w:r>
        <w:rPr>
          <w:rFonts w:hint="cs"/>
          <w:sz w:val="32"/>
          <w:szCs w:val="32"/>
          <w:rtl/>
        </w:rPr>
        <w:br/>
        <w:t xml:space="preserve"> ويجوزُ فِي النَّفْيِ.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ق52 </w:t>
      </w:r>
      <w:r>
        <w:rPr>
          <w:rFonts w:hint="cs"/>
          <w:sz w:val="32"/>
          <w:szCs w:val="32"/>
          <w:rtl/>
        </w:rPr>
        <w:tab/>
      </w:r>
      <w:r>
        <w:rPr>
          <w:rFonts w:hint="cs"/>
          <w:sz w:val="32"/>
          <w:szCs w:val="32"/>
          <w:rtl/>
        </w:rPr>
        <w:tab/>
        <w:t xml:space="preserve">: </w:t>
      </w:r>
      <w:r>
        <w:rPr>
          <w:rFonts w:hint="eastAsia"/>
          <w:sz w:val="32"/>
          <w:szCs w:val="32"/>
          <w:rtl/>
        </w:rPr>
        <w:t>الب</w:t>
      </w:r>
      <w:r>
        <w:rPr>
          <w:rFonts w:hint="cs"/>
          <w:sz w:val="32"/>
          <w:szCs w:val="32"/>
          <w:rtl/>
        </w:rPr>
        <w:t>َ</w:t>
      </w:r>
      <w:r>
        <w:rPr>
          <w:rFonts w:hint="eastAsia"/>
          <w:sz w:val="32"/>
          <w:szCs w:val="32"/>
          <w:rtl/>
        </w:rPr>
        <w:t>ق</w:t>
      </w:r>
      <w:r>
        <w:rPr>
          <w:rFonts w:hint="cs"/>
          <w:sz w:val="32"/>
          <w:szCs w:val="32"/>
          <w:rtl/>
        </w:rPr>
        <w:t>َ</w:t>
      </w:r>
      <w:r>
        <w:rPr>
          <w:rFonts w:hint="eastAsia"/>
          <w:sz w:val="32"/>
          <w:szCs w:val="32"/>
          <w:rtl/>
        </w:rPr>
        <w:t>اء</w:t>
      </w:r>
      <w:r>
        <w:rPr>
          <w:rFonts w:hint="cs"/>
          <w:sz w:val="32"/>
          <w:szCs w:val="32"/>
          <w:rtl/>
        </w:rPr>
        <w:t>ُ</w:t>
      </w:r>
      <w:r>
        <w:rPr>
          <w:sz w:val="32"/>
          <w:szCs w:val="32"/>
          <w:rtl/>
        </w:rPr>
        <w:t xml:space="preserve"> ع</w:t>
      </w:r>
      <w:r>
        <w:rPr>
          <w:rFonts w:hint="cs"/>
          <w:sz w:val="32"/>
          <w:szCs w:val="32"/>
          <w:rtl/>
        </w:rPr>
        <w:t>َ</w:t>
      </w:r>
      <w:r>
        <w:rPr>
          <w:sz w:val="32"/>
          <w:szCs w:val="32"/>
          <w:rtl/>
        </w:rPr>
        <w:t>ل</w:t>
      </w:r>
      <w:r>
        <w:rPr>
          <w:rFonts w:hint="cs"/>
          <w:sz w:val="32"/>
          <w:szCs w:val="32"/>
          <w:rtl/>
        </w:rPr>
        <w:t>َ</w:t>
      </w:r>
      <w:r>
        <w:rPr>
          <w:sz w:val="32"/>
          <w:szCs w:val="32"/>
          <w:rtl/>
        </w:rPr>
        <w:t>ى و</w:t>
      </w:r>
      <w:r>
        <w:rPr>
          <w:rFonts w:hint="cs"/>
          <w:sz w:val="32"/>
          <w:szCs w:val="32"/>
          <w:rtl/>
        </w:rPr>
        <w:t>ِ</w:t>
      </w:r>
      <w:r>
        <w:rPr>
          <w:sz w:val="32"/>
          <w:szCs w:val="32"/>
          <w:rtl/>
        </w:rPr>
        <w:t>ف</w:t>
      </w:r>
      <w:r>
        <w:rPr>
          <w:rFonts w:hint="cs"/>
          <w:sz w:val="32"/>
          <w:szCs w:val="32"/>
          <w:rtl/>
        </w:rPr>
        <w:t>ْ</w:t>
      </w:r>
      <w:r>
        <w:rPr>
          <w:sz w:val="32"/>
          <w:szCs w:val="32"/>
          <w:rtl/>
        </w:rPr>
        <w:t>ق</w:t>
      </w:r>
      <w:r>
        <w:rPr>
          <w:rFonts w:hint="cs"/>
          <w:sz w:val="32"/>
          <w:szCs w:val="32"/>
          <w:rtl/>
        </w:rPr>
        <w:t>ِ</w:t>
      </w:r>
      <w:r>
        <w:rPr>
          <w:sz w:val="32"/>
          <w:szCs w:val="32"/>
          <w:rtl/>
        </w:rPr>
        <w:t xml:space="preserve"> </w:t>
      </w:r>
      <w:r>
        <w:rPr>
          <w:rFonts w:hint="eastAsia"/>
          <w:b/>
          <w:bCs/>
          <w:sz w:val="32"/>
          <w:szCs w:val="32"/>
          <w:rtl/>
        </w:rPr>
        <w:t>الث</w:t>
      </w:r>
      <w:r>
        <w:rPr>
          <w:rFonts w:hint="cs"/>
          <w:b/>
          <w:bCs/>
          <w:sz w:val="32"/>
          <w:szCs w:val="32"/>
          <w:rtl/>
        </w:rPr>
        <w:t>ُّ</w:t>
      </w:r>
      <w:r>
        <w:rPr>
          <w:rFonts w:hint="eastAsia"/>
          <w:b/>
          <w:bCs/>
          <w:sz w:val="32"/>
          <w:szCs w:val="32"/>
          <w:rtl/>
        </w:rPr>
        <w:t>ب</w:t>
      </w:r>
      <w:r>
        <w:rPr>
          <w:rFonts w:hint="cs"/>
          <w:b/>
          <w:bCs/>
          <w:sz w:val="32"/>
          <w:szCs w:val="32"/>
          <w:rtl/>
        </w:rPr>
        <w:t>ُ</w:t>
      </w:r>
      <w:r>
        <w:rPr>
          <w:rFonts w:hint="eastAsia"/>
          <w:b/>
          <w:bCs/>
          <w:sz w:val="32"/>
          <w:szCs w:val="32"/>
          <w:rtl/>
        </w:rPr>
        <w:t>وت</w:t>
      </w:r>
      <w:r>
        <w:rPr>
          <w:rFonts w:hint="cs"/>
          <w:b/>
          <w:bCs/>
          <w:sz w:val="32"/>
          <w:szCs w:val="32"/>
          <w:rtl/>
        </w:rPr>
        <w:t>ِ</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ق92 </w:t>
      </w:r>
      <w:r>
        <w:rPr>
          <w:rFonts w:hint="cs"/>
          <w:sz w:val="32"/>
          <w:szCs w:val="32"/>
          <w:rtl/>
        </w:rPr>
        <w:tab/>
      </w:r>
      <w:r>
        <w:rPr>
          <w:rFonts w:hint="cs"/>
          <w:sz w:val="32"/>
          <w:szCs w:val="32"/>
          <w:rtl/>
        </w:rPr>
        <w:tab/>
        <w:t xml:space="preserve">: </w:t>
      </w:r>
      <w:r>
        <w:rPr>
          <w:rFonts w:hint="cs"/>
          <w:b/>
          <w:bCs/>
          <w:sz w:val="32"/>
          <w:szCs w:val="32"/>
          <w:rtl/>
        </w:rPr>
        <w:t xml:space="preserve">الثَّابتُ </w:t>
      </w:r>
      <w:r>
        <w:rPr>
          <w:rFonts w:hint="cs"/>
          <w:sz w:val="32"/>
          <w:szCs w:val="32"/>
          <w:rtl/>
        </w:rPr>
        <w:t xml:space="preserve">اقتضاءً </w:t>
      </w:r>
      <w:r>
        <w:rPr>
          <w:rFonts w:hint="cs"/>
          <w:b/>
          <w:bCs/>
          <w:sz w:val="32"/>
          <w:szCs w:val="32"/>
          <w:rtl/>
        </w:rPr>
        <w:t>كالثابتِ</w:t>
      </w:r>
      <w:r>
        <w:rPr>
          <w:rFonts w:hint="cs"/>
          <w:sz w:val="32"/>
          <w:szCs w:val="32"/>
          <w:rtl/>
        </w:rPr>
        <w:t xml:space="preserve"> نصًّا.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ق94 </w:t>
      </w:r>
      <w:r>
        <w:rPr>
          <w:rFonts w:hint="cs"/>
          <w:sz w:val="32"/>
          <w:szCs w:val="32"/>
          <w:rtl/>
        </w:rPr>
        <w:tab/>
      </w:r>
      <w:r>
        <w:rPr>
          <w:rFonts w:hint="cs"/>
          <w:sz w:val="32"/>
          <w:szCs w:val="32"/>
          <w:rtl/>
        </w:rPr>
        <w:tab/>
        <w:t xml:space="preserve">: </w:t>
      </w:r>
      <w:r>
        <w:rPr>
          <w:rFonts w:hint="cs"/>
          <w:b/>
          <w:bCs/>
          <w:sz w:val="32"/>
          <w:szCs w:val="32"/>
          <w:rtl/>
        </w:rPr>
        <w:t>الثَّابتُ</w:t>
      </w:r>
      <w:r>
        <w:rPr>
          <w:rFonts w:hint="cs"/>
          <w:sz w:val="32"/>
          <w:szCs w:val="32"/>
          <w:rtl/>
        </w:rPr>
        <w:t xml:space="preserve"> بالبرهانِ </w:t>
      </w:r>
      <w:r>
        <w:rPr>
          <w:rFonts w:hint="cs"/>
          <w:b/>
          <w:bCs/>
          <w:sz w:val="32"/>
          <w:szCs w:val="32"/>
          <w:rtl/>
        </w:rPr>
        <w:t>كالثَّابتِ</w:t>
      </w:r>
      <w:r>
        <w:rPr>
          <w:rFonts w:hint="cs"/>
          <w:sz w:val="32"/>
          <w:szCs w:val="32"/>
          <w:rtl/>
        </w:rPr>
        <w:t xml:space="preserve"> بالعَيَانِ.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ق93 </w:t>
      </w:r>
      <w:r>
        <w:rPr>
          <w:rFonts w:hint="cs"/>
          <w:sz w:val="32"/>
          <w:szCs w:val="32"/>
          <w:rtl/>
        </w:rPr>
        <w:tab/>
      </w:r>
      <w:r>
        <w:rPr>
          <w:rFonts w:hint="cs"/>
          <w:sz w:val="32"/>
          <w:szCs w:val="32"/>
          <w:rtl/>
        </w:rPr>
        <w:tab/>
        <w:t xml:space="preserve">: </w:t>
      </w:r>
      <w:r>
        <w:rPr>
          <w:rFonts w:hint="cs"/>
          <w:b/>
          <w:bCs/>
          <w:sz w:val="32"/>
          <w:szCs w:val="32"/>
          <w:rtl/>
        </w:rPr>
        <w:t>الثَّابتُ</w:t>
      </w:r>
      <w:r>
        <w:rPr>
          <w:rFonts w:hint="cs"/>
          <w:sz w:val="32"/>
          <w:szCs w:val="32"/>
          <w:rtl/>
        </w:rPr>
        <w:t xml:space="preserve"> بالبيِّنةِ </w:t>
      </w:r>
      <w:r>
        <w:rPr>
          <w:rFonts w:hint="cs"/>
          <w:b/>
          <w:bCs/>
          <w:sz w:val="32"/>
          <w:szCs w:val="32"/>
          <w:rtl/>
        </w:rPr>
        <w:t>كالثَّابتِ</w:t>
      </w:r>
      <w:r>
        <w:rPr>
          <w:rFonts w:hint="cs"/>
          <w:sz w:val="32"/>
          <w:szCs w:val="32"/>
          <w:rtl/>
        </w:rPr>
        <w:t xml:space="preserve"> بإقرارِ الخصمِ.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ق96 </w:t>
      </w:r>
      <w:r>
        <w:rPr>
          <w:rFonts w:hint="cs"/>
          <w:sz w:val="32"/>
          <w:szCs w:val="32"/>
          <w:rtl/>
        </w:rPr>
        <w:tab/>
      </w:r>
      <w:r>
        <w:rPr>
          <w:rFonts w:hint="cs"/>
          <w:sz w:val="32"/>
          <w:szCs w:val="32"/>
          <w:rtl/>
        </w:rPr>
        <w:tab/>
        <w:t xml:space="preserve">: </w:t>
      </w:r>
      <w:r>
        <w:rPr>
          <w:rFonts w:hint="cs"/>
          <w:b/>
          <w:bCs/>
          <w:sz w:val="32"/>
          <w:szCs w:val="32"/>
          <w:rtl/>
        </w:rPr>
        <w:t>الثَّابتُ</w:t>
      </w:r>
      <w:r>
        <w:rPr>
          <w:rFonts w:hint="cs"/>
          <w:sz w:val="32"/>
          <w:szCs w:val="32"/>
          <w:rtl/>
        </w:rPr>
        <w:t xml:space="preserve"> بدلالةٍ إنَّمَا يُعْتَبَرُ إذَا لَمْ يُوجَدِ الصَّريحُ بخلافِهِ.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ق97 </w:t>
      </w:r>
      <w:r>
        <w:rPr>
          <w:rFonts w:hint="cs"/>
          <w:sz w:val="32"/>
          <w:szCs w:val="32"/>
          <w:rtl/>
        </w:rPr>
        <w:tab/>
      </w:r>
      <w:r>
        <w:rPr>
          <w:rFonts w:hint="cs"/>
          <w:sz w:val="32"/>
          <w:szCs w:val="32"/>
          <w:rtl/>
        </w:rPr>
        <w:tab/>
        <w:t xml:space="preserve">: </w:t>
      </w:r>
      <w:r>
        <w:rPr>
          <w:rFonts w:hint="cs"/>
          <w:b/>
          <w:bCs/>
          <w:sz w:val="32"/>
          <w:szCs w:val="32"/>
          <w:rtl/>
        </w:rPr>
        <w:t xml:space="preserve">الثَّابتُ </w:t>
      </w:r>
      <w:r>
        <w:rPr>
          <w:rFonts w:hint="cs"/>
          <w:sz w:val="32"/>
          <w:szCs w:val="32"/>
          <w:rtl/>
        </w:rPr>
        <w:t xml:space="preserve">بالضَّرورةِ يتقدَّرُ بقدرِ الضَّرورَةِ.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ق95 </w:t>
      </w:r>
      <w:r>
        <w:rPr>
          <w:rFonts w:hint="cs"/>
          <w:sz w:val="32"/>
          <w:szCs w:val="32"/>
          <w:rtl/>
        </w:rPr>
        <w:tab/>
      </w:r>
      <w:r>
        <w:rPr>
          <w:rFonts w:hint="cs"/>
          <w:sz w:val="32"/>
          <w:szCs w:val="32"/>
          <w:rtl/>
        </w:rPr>
        <w:tab/>
        <w:t xml:space="preserve">: </w:t>
      </w:r>
      <w:r>
        <w:rPr>
          <w:rFonts w:hint="cs"/>
          <w:b/>
          <w:bCs/>
          <w:sz w:val="32"/>
          <w:szCs w:val="32"/>
          <w:rtl/>
        </w:rPr>
        <w:t xml:space="preserve">الثَّابِتُ </w:t>
      </w:r>
      <w:r>
        <w:rPr>
          <w:rFonts w:hint="cs"/>
          <w:sz w:val="32"/>
          <w:szCs w:val="32"/>
          <w:rtl/>
        </w:rPr>
        <w:t xml:space="preserve">بالعرفِ قاضٍ على القِيَاسِ.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ق98 </w:t>
      </w:r>
      <w:r>
        <w:rPr>
          <w:rFonts w:hint="cs"/>
          <w:sz w:val="32"/>
          <w:szCs w:val="32"/>
          <w:rtl/>
        </w:rPr>
        <w:tab/>
      </w:r>
      <w:r>
        <w:rPr>
          <w:rFonts w:hint="cs"/>
          <w:sz w:val="32"/>
          <w:szCs w:val="32"/>
          <w:rtl/>
        </w:rPr>
        <w:tab/>
        <w:t xml:space="preserve">: </w:t>
      </w:r>
      <w:r>
        <w:rPr>
          <w:rFonts w:hint="cs"/>
          <w:b/>
          <w:bCs/>
          <w:sz w:val="32"/>
          <w:szCs w:val="32"/>
          <w:rtl/>
        </w:rPr>
        <w:t>الثَّابِتُ</w:t>
      </w:r>
      <w:r>
        <w:rPr>
          <w:rFonts w:hint="cs"/>
          <w:sz w:val="32"/>
          <w:szCs w:val="32"/>
          <w:rtl/>
        </w:rPr>
        <w:t xml:space="preserve"> قَطْعًا أو ظَاهِرًا لا يُؤَخَّرُ لموهومٍ.</w:t>
      </w:r>
    </w:p>
    <w:p w:rsidR="00284270" w:rsidRDefault="00284270" w:rsidP="0022714B">
      <w:pPr>
        <w:pStyle w:val="21"/>
        <w:ind w:hanging="3"/>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ق133 </w:t>
      </w:r>
      <w:r>
        <w:rPr>
          <w:rFonts w:hint="cs"/>
          <w:sz w:val="32"/>
          <w:szCs w:val="32"/>
          <w:rtl/>
        </w:rPr>
        <w:tab/>
        <w:t xml:space="preserve">: الرُّجُوعُ </w:t>
      </w:r>
      <w:r>
        <w:rPr>
          <w:rFonts w:hint="cs"/>
          <w:b w:val="0"/>
          <w:bCs w:val="0"/>
          <w:sz w:val="32"/>
          <w:szCs w:val="32"/>
          <w:rtl/>
        </w:rPr>
        <w:t>إثباتٌ</w:t>
      </w:r>
      <w:r>
        <w:rPr>
          <w:rFonts w:hint="cs"/>
          <w:sz w:val="32"/>
          <w:szCs w:val="32"/>
          <w:rtl/>
        </w:rPr>
        <w:t xml:space="preserve"> فِي المَاضِي ونفيٌ فِي الحَالِ، والجُحُودُ نفيٌ فِيهِمَا.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ق151 </w:t>
      </w:r>
      <w:r>
        <w:rPr>
          <w:rFonts w:hint="cs"/>
          <w:sz w:val="32"/>
          <w:szCs w:val="32"/>
          <w:rtl/>
        </w:rPr>
        <w:tab/>
        <w:t xml:space="preserve">: الشَّيُء إِذَا </w:t>
      </w:r>
      <w:r>
        <w:rPr>
          <w:rFonts w:hint="cs"/>
          <w:b/>
          <w:bCs/>
          <w:sz w:val="32"/>
          <w:szCs w:val="32"/>
          <w:rtl/>
        </w:rPr>
        <w:t>ثَبَتَ</w:t>
      </w:r>
      <w:r>
        <w:rPr>
          <w:rFonts w:hint="cs"/>
          <w:sz w:val="32"/>
          <w:szCs w:val="32"/>
          <w:rtl/>
        </w:rPr>
        <w:t xml:space="preserve"> ثَبَتَ بِجَميعِ لَوَازِمِهِ.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ق178 </w:t>
      </w:r>
      <w:r>
        <w:rPr>
          <w:rFonts w:hint="cs"/>
          <w:sz w:val="32"/>
          <w:szCs w:val="32"/>
          <w:rtl/>
        </w:rPr>
        <w:tab/>
        <w:t xml:space="preserve">: قَدْ </w:t>
      </w:r>
      <w:r>
        <w:rPr>
          <w:rFonts w:hint="cs"/>
          <w:b/>
          <w:bCs/>
          <w:sz w:val="32"/>
          <w:szCs w:val="32"/>
          <w:rtl/>
        </w:rPr>
        <w:t>يثبُتُ</w:t>
      </w:r>
      <w:r>
        <w:rPr>
          <w:rFonts w:hint="cs"/>
          <w:sz w:val="32"/>
          <w:szCs w:val="32"/>
          <w:rtl/>
        </w:rPr>
        <w:t xml:space="preserve"> ضِمْنًا ما لا </w:t>
      </w:r>
      <w:r>
        <w:rPr>
          <w:rFonts w:hint="cs"/>
          <w:b/>
          <w:bCs/>
          <w:sz w:val="32"/>
          <w:szCs w:val="32"/>
          <w:rtl/>
        </w:rPr>
        <w:t>يثبُتُ</w:t>
      </w:r>
      <w:r>
        <w:rPr>
          <w:rFonts w:hint="cs"/>
          <w:sz w:val="32"/>
          <w:szCs w:val="32"/>
          <w:rtl/>
        </w:rPr>
        <w:t xml:space="preserve"> قَصْدًا.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ق177 </w:t>
      </w:r>
      <w:r>
        <w:rPr>
          <w:rFonts w:hint="cs"/>
          <w:sz w:val="32"/>
          <w:szCs w:val="32"/>
          <w:rtl/>
        </w:rPr>
        <w:tab/>
        <w:t xml:space="preserve">: قَدْ </w:t>
      </w:r>
      <w:r>
        <w:rPr>
          <w:rFonts w:hint="cs"/>
          <w:b/>
          <w:bCs/>
          <w:sz w:val="32"/>
          <w:szCs w:val="32"/>
          <w:rtl/>
        </w:rPr>
        <w:t>يَثْبُتُ</w:t>
      </w:r>
      <w:r>
        <w:rPr>
          <w:rFonts w:hint="cs"/>
          <w:sz w:val="32"/>
          <w:szCs w:val="32"/>
          <w:rtl/>
        </w:rPr>
        <w:t xml:space="preserve"> الفَرْعُ و إِنْ لَمْ </w:t>
      </w:r>
      <w:r>
        <w:rPr>
          <w:rFonts w:hint="cs"/>
          <w:b/>
          <w:bCs/>
          <w:sz w:val="32"/>
          <w:szCs w:val="32"/>
          <w:rtl/>
        </w:rPr>
        <w:t>يَثْبُتِ</w:t>
      </w:r>
      <w:r>
        <w:rPr>
          <w:rFonts w:hint="cs"/>
          <w:sz w:val="32"/>
          <w:szCs w:val="32"/>
          <w:rtl/>
        </w:rPr>
        <w:t xml:space="preserve"> الأَصْلُ.</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ق196 </w:t>
      </w:r>
      <w:r>
        <w:rPr>
          <w:rFonts w:hint="cs"/>
          <w:sz w:val="32"/>
          <w:szCs w:val="32"/>
          <w:rtl/>
        </w:rPr>
        <w:tab/>
        <w:t xml:space="preserve">: لا يَمْلِكُ أحدٌ </w:t>
      </w:r>
      <w:r>
        <w:rPr>
          <w:rFonts w:hint="cs"/>
          <w:b/>
          <w:bCs/>
          <w:sz w:val="32"/>
          <w:szCs w:val="32"/>
          <w:rtl/>
        </w:rPr>
        <w:t>إثباتَ</w:t>
      </w:r>
      <w:r>
        <w:rPr>
          <w:rFonts w:hint="cs"/>
          <w:sz w:val="32"/>
          <w:szCs w:val="32"/>
          <w:rtl/>
        </w:rPr>
        <w:t xml:space="preserve"> ملكٍ لغيرِهِ بلا اخْتِيَارِهِ.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ق216 </w:t>
      </w:r>
      <w:r>
        <w:rPr>
          <w:rFonts w:hint="cs"/>
          <w:sz w:val="32"/>
          <w:szCs w:val="32"/>
          <w:rtl/>
        </w:rPr>
        <w:tab/>
        <w:t xml:space="preserve">: مَا </w:t>
      </w:r>
      <w:r>
        <w:rPr>
          <w:rFonts w:hint="cs"/>
          <w:b/>
          <w:bCs/>
          <w:sz w:val="32"/>
          <w:szCs w:val="32"/>
          <w:rtl/>
        </w:rPr>
        <w:t>ثَبَتَ</w:t>
      </w:r>
      <w:r>
        <w:rPr>
          <w:rFonts w:hint="cs"/>
          <w:sz w:val="32"/>
          <w:szCs w:val="32"/>
          <w:rtl/>
        </w:rPr>
        <w:t xml:space="preserve"> في زمانٍ يُحْكَمُ بِبَقَائِهِ مَا لَمْ يُوجَدِ المُزِيلُ.</w:t>
      </w:r>
    </w:p>
    <w:p w:rsidR="00284270" w:rsidRDefault="00284270">
      <w:pPr>
        <w:rPr>
          <w:sz w:val="32"/>
          <w:szCs w:val="32"/>
          <w:rtl/>
        </w:rPr>
      </w:pPr>
      <w:r>
        <w:rPr>
          <w:rFonts w:hint="cs"/>
          <w:b/>
          <w:bCs/>
          <w:sz w:val="32"/>
          <w:szCs w:val="32"/>
          <w:rtl/>
        </w:rPr>
        <w:t>ثني</w:t>
      </w:r>
      <w:r>
        <w:rPr>
          <w:rFonts w:hint="cs"/>
          <w:sz w:val="32"/>
          <w:szCs w:val="32"/>
          <w:rtl/>
        </w:rPr>
        <w:tab/>
      </w:r>
      <w:r>
        <w:rPr>
          <w:sz w:val="32"/>
          <w:szCs w:val="32"/>
        </w:rPr>
        <w:tab/>
      </w:r>
      <w:r>
        <w:rPr>
          <w:rFonts w:hint="cs"/>
          <w:sz w:val="32"/>
          <w:szCs w:val="32"/>
          <w:rtl/>
        </w:rPr>
        <w:t xml:space="preserve">: ق20 </w:t>
      </w:r>
      <w:r>
        <w:rPr>
          <w:rFonts w:hint="cs"/>
          <w:sz w:val="32"/>
          <w:szCs w:val="32"/>
          <w:rtl/>
        </w:rPr>
        <w:tab/>
      </w:r>
      <w:r>
        <w:rPr>
          <w:rFonts w:hint="cs"/>
          <w:sz w:val="32"/>
          <w:szCs w:val="32"/>
          <w:rtl/>
        </w:rPr>
        <w:tab/>
        <w:t xml:space="preserve">: </w:t>
      </w:r>
      <w:r>
        <w:rPr>
          <w:rFonts w:hint="cs"/>
          <w:b/>
          <w:bCs/>
          <w:sz w:val="32"/>
          <w:szCs w:val="32"/>
          <w:rtl/>
        </w:rPr>
        <w:t>الاستثناء</w:t>
      </w:r>
      <w:r>
        <w:rPr>
          <w:rFonts w:hint="cs"/>
          <w:sz w:val="32"/>
          <w:szCs w:val="32"/>
          <w:rtl/>
        </w:rPr>
        <w:t xml:space="preserve">ُ تكلُّمٌ بالبَاقِي.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ق18 </w:t>
      </w:r>
      <w:r>
        <w:rPr>
          <w:rFonts w:hint="cs"/>
          <w:sz w:val="32"/>
          <w:szCs w:val="32"/>
          <w:rtl/>
        </w:rPr>
        <w:tab/>
      </w:r>
      <w:r>
        <w:rPr>
          <w:rFonts w:hint="cs"/>
          <w:sz w:val="32"/>
          <w:szCs w:val="32"/>
          <w:rtl/>
        </w:rPr>
        <w:tab/>
        <w:t xml:space="preserve">: </w:t>
      </w:r>
      <w:r>
        <w:rPr>
          <w:rFonts w:hint="cs"/>
          <w:b/>
          <w:bCs/>
          <w:sz w:val="32"/>
          <w:szCs w:val="32"/>
          <w:rtl/>
        </w:rPr>
        <w:t>الاسْتِثْنَاُء</w:t>
      </w:r>
      <w:r>
        <w:rPr>
          <w:rFonts w:hint="cs"/>
          <w:sz w:val="32"/>
          <w:szCs w:val="32"/>
          <w:rtl/>
        </w:rPr>
        <w:t xml:space="preserve"> فِي المَقْصودِ لا التَّابِعِ. </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ق19 </w:t>
      </w:r>
      <w:r>
        <w:rPr>
          <w:rFonts w:hint="cs"/>
          <w:sz w:val="32"/>
          <w:szCs w:val="32"/>
          <w:rtl/>
        </w:rPr>
        <w:tab/>
      </w:r>
      <w:r>
        <w:rPr>
          <w:rFonts w:hint="cs"/>
          <w:sz w:val="32"/>
          <w:szCs w:val="32"/>
          <w:rtl/>
        </w:rPr>
        <w:tab/>
        <w:t xml:space="preserve">: </w:t>
      </w:r>
      <w:r>
        <w:rPr>
          <w:rFonts w:hint="cs"/>
          <w:b/>
          <w:bCs/>
          <w:sz w:val="32"/>
          <w:szCs w:val="32"/>
          <w:rtl/>
        </w:rPr>
        <w:t>الاسْتِثْنَاء</w:t>
      </w:r>
      <w:r>
        <w:rPr>
          <w:rFonts w:hint="cs"/>
          <w:sz w:val="32"/>
          <w:szCs w:val="32"/>
          <w:rtl/>
        </w:rPr>
        <w:t xml:space="preserve">ُ المَعْلومُ بِدَلاَلَةِ الحَالِ </w:t>
      </w:r>
      <w:r>
        <w:rPr>
          <w:rFonts w:hint="cs"/>
          <w:b/>
          <w:bCs/>
          <w:sz w:val="32"/>
          <w:szCs w:val="32"/>
          <w:rtl/>
        </w:rPr>
        <w:t>كالاسْتِثْنَاءِ</w:t>
      </w:r>
      <w:r>
        <w:rPr>
          <w:rFonts w:hint="cs"/>
          <w:sz w:val="32"/>
          <w:szCs w:val="32"/>
          <w:rtl/>
        </w:rPr>
        <w:t xml:space="preserve"> المَشْرُوطِ.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ق224 </w:t>
      </w:r>
      <w:r>
        <w:rPr>
          <w:sz w:val="32"/>
          <w:szCs w:val="32"/>
        </w:rPr>
        <w:tab/>
      </w:r>
      <w:r>
        <w:rPr>
          <w:rFonts w:hint="cs"/>
          <w:sz w:val="32"/>
          <w:szCs w:val="32"/>
          <w:rtl/>
        </w:rPr>
        <w:t xml:space="preserve">: مَا لاَ يَصِحُّ إفرادُهُ بالعَقْدِ لا يصحُّ </w:t>
      </w:r>
      <w:r>
        <w:rPr>
          <w:rFonts w:hint="cs"/>
          <w:b/>
          <w:bCs/>
          <w:sz w:val="32"/>
          <w:szCs w:val="32"/>
          <w:rtl/>
        </w:rPr>
        <w:t>استِثْنَاؤُهُ</w:t>
      </w:r>
      <w:r>
        <w:rPr>
          <w:rFonts w:hint="cs"/>
          <w:sz w:val="32"/>
          <w:szCs w:val="32"/>
          <w:rtl/>
        </w:rPr>
        <w:t xml:space="preserve"> مِنَ العَقْدِ.</w:t>
      </w:r>
    </w:p>
    <w:p w:rsidR="00284270" w:rsidRDefault="00284270" w:rsidP="0022714B">
      <w:pPr>
        <w:ind w:left="2833" w:hanging="2266"/>
        <w:rPr>
          <w:sz w:val="32"/>
          <w:szCs w:val="32"/>
          <w:rtl/>
        </w:rPr>
      </w:pPr>
      <w:r>
        <w:rPr>
          <w:rFonts w:hint="cs"/>
          <w:b/>
          <w:bCs/>
          <w:sz w:val="32"/>
          <w:szCs w:val="32"/>
          <w:rtl/>
        </w:rPr>
        <w:t>ثمن</w:t>
      </w:r>
      <w:r>
        <w:rPr>
          <w:rFonts w:hint="cs"/>
          <w:sz w:val="32"/>
          <w:szCs w:val="32"/>
          <w:rtl/>
        </w:rPr>
        <w:t xml:space="preserve">          : ق254 </w:t>
      </w:r>
      <w:r>
        <w:rPr>
          <w:rFonts w:hint="cs"/>
          <w:sz w:val="32"/>
          <w:szCs w:val="32"/>
          <w:rtl/>
          <w:lang w:bidi="ar-AE"/>
        </w:rPr>
        <w:tab/>
      </w:r>
      <w:r>
        <w:rPr>
          <w:rFonts w:hint="cs"/>
          <w:sz w:val="32"/>
          <w:szCs w:val="32"/>
          <w:rtl/>
        </w:rPr>
        <w:t xml:space="preserve">: الوَصْفُ يُقَابِلُهُ شَيْءٌ مِنَ </w:t>
      </w:r>
      <w:r>
        <w:rPr>
          <w:rFonts w:hint="cs"/>
          <w:b/>
          <w:bCs/>
          <w:sz w:val="32"/>
          <w:szCs w:val="32"/>
          <w:rtl/>
        </w:rPr>
        <w:t>الثَّمَنِ</w:t>
      </w:r>
      <w:r>
        <w:rPr>
          <w:rFonts w:hint="cs"/>
          <w:sz w:val="32"/>
          <w:szCs w:val="32"/>
          <w:rtl/>
        </w:rPr>
        <w:t xml:space="preserve"> إِذَا كَانَ مَقْصُودًا بالتَّنَاوُلِ.</w:t>
      </w:r>
    </w:p>
    <w:p w:rsidR="00284270" w:rsidRDefault="00284270">
      <w:pPr>
        <w:rPr>
          <w:sz w:val="32"/>
          <w:szCs w:val="32"/>
          <w:rtl/>
        </w:rPr>
      </w:pPr>
      <w:r>
        <w:rPr>
          <w:rFonts w:hint="cs"/>
          <w:b/>
          <w:bCs/>
          <w:sz w:val="32"/>
          <w:szCs w:val="32"/>
          <w:rtl/>
        </w:rPr>
        <w:t>ثوب</w:t>
      </w:r>
      <w:r>
        <w:rPr>
          <w:rFonts w:hint="cs"/>
          <w:sz w:val="32"/>
          <w:szCs w:val="32"/>
          <w:rtl/>
        </w:rPr>
        <w:tab/>
      </w:r>
      <w:r>
        <w:rPr>
          <w:sz w:val="32"/>
          <w:szCs w:val="32"/>
        </w:rPr>
        <w:tab/>
      </w:r>
      <w:r>
        <w:rPr>
          <w:rFonts w:hint="cs"/>
          <w:sz w:val="32"/>
          <w:szCs w:val="32"/>
          <w:rtl/>
        </w:rPr>
        <w:t xml:space="preserve">: ق195 </w:t>
      </w:r>
      <w:r>
        <w:rPr>
          <w:rFonts w:hint="cs"/>
          <w:sz w:val="32"/>
          <w:szCs w:val="32"/>
          <w:rtl/>
        </w:rPr>
        <w:tab/>
        <w:t xml:space="preserve">: لاَ </w:t>
      </w:r>
      <w:r>
        <w:rPr>
          <w:rFonts w:hint="cs"/>
          <w:b/>
          <w:bCs/>
          <w:sz w:val="32"/>
          <w:szCs w:val="32"/>
          <w:rtl/>
        </w:rPr>
        <w:t>ثَوَابَ</w:t>
      </w:r>
      <w:r>
        <w:rPr>
          <w:rFonts w:hint="cs"/>
          <w:sz w:val="32"/>
          <w:szCs w:val="32"/>
          <w:rtl/>
        </w:rPr>
        <w:t xml:space="preserve"> إلا بالنِّيَّةِ.</w:t>
      </w:r>
    </w:p>
    <w:p w:rsidR="00284270" w:rsidRDefault="00284270">
      <w:pPr>
        <w:rPr>
          <w:sz w:val="32"/>
          <w:szCs w:val="32"/>
          <w:rtl/>
        </w:rPr>
      </w:pPr>
    </w:p>
    <w:p w:rsidR="00284270" w:rsidRDefault="0022714B">
      <w:pPr>
        <w:jc w:val="center"/>
        <w:rPr>
          <w:b/>
          <w:bCs/>
          <w:sz w:val="48"/>
          <w:szCs w:val="48"/>
          <w:rtl/>
        </w:rPr>
      </w:pPr>
      <w:r>
        <w:rPr>
          <w:b/>
          <w:bCs/>
          <w:noProof/>
          <w:szCs w:val="48"/>
          <w:rtl/>
        </w:rPr>
        <w:pict>
          <v:rect id="_x0000_s1031" style="position:absolute;left:0;text-align:left;margin-left:165.3pt;margin-top:4.1pt;width:54.15pt;height:37.05pt;z-index:-251645952;mso-wrap-edited:f" wrapcoords="-379 0 -379 21600 758 22265 23495 22265 23116 997 22358 0 -379 0">
            <v:shadow on="t" offset="3pt" offset2="2pt"/>
          </v:rect>
        </w:pict>
      </w:r>
      <w:r w:rsidR="00284270">
        <w:rPr>
          <w:rFonts w:hint="cs"/>
          <w:b/>
          <w:bCs/>
          <w:sz w:val="48"/>
          <w:szCs w:val="48"/>
          <w:rtl/>
        </w:rPr>
        <w:t>(جـ)</w:t>
      </w:r>
    </w:p>
    <w:p w:rsidR="00284270" w:rsidRDefault="00284270" w:rsidP="0022714B">
      <w:pPr>
        <w:spacing w:before="240"/>
        <w:rPr>
          <w:sz w:val="32"/>
          <w:szCs w:val="32"/>
          <w:rtl/>
        </w:rPr>
      </w:pPr>
      <w:r>
        <w:rPr>
          <w:rFonts w:hint="cs"/>
          <w:b/>
          <w:bCs/>
          <w:sz w:val="32"/>
          <w:szCs w:val="32"/>
          <w:rtl/>
        </w:rPr>
        <w:t>جاب</w:t>
      </w:r>
      <w:r>
        <w:rPr>
          <w:rFonts w:hint="cs"/>
          <w:sz w:val="32"/>
          <w:szCs w:val="32"/>
          <w:rtl/>
        </w:rPr>
        <w:tab/>
      </w:r>
      <w:r>
        <w:rPr>
          <w:sz w:val="32"/>
          <w:szCs w:val="32"/>
        </w:rPr>
        <w:tab/>
      </w:r>
      <w:r>
        <w:rPr>
          <w:rFonts w:hint="cs"/>
          <w:sz w:val="32"/>
          <w:szCs w:val="32"/>
          <w:rtl/>
        </w:rPr>
        <w:t xml:space="preserve">: ق139 </w:t>
      </w:r>
      <w:r>
        <w:rPr>
          <w:rFonts w:hint="cs"/>
          <w:sz w:val="32"/>
          <w:szCs w:val="32"/>
          <w:rtl/>
        </w:rPr>
        <w:tab/>
        <w:t xml:space="preserve">: السُّؤالُ مُعَادٌ فِي </w:t>
      </w:r>
      <w:r>
        <w:rPr>
          <w:rFonts w:hint="cs"/>
          <w:b/>
          <w:bCs/>
          <w:sz w:val="32"/>
          <w:szCs w:val="32"/>
          <w:rtl/>
        </w:rPr>
        <w:t>الجَوَابِ</w:t>
      </w:r>
      <w:r>
        <w:rPr>
          <w:rFonts w:hint="cs"/>
          <w:sz w:val="32"/>
          <w:szCs w:val="32"/>
          <w:rtl/>
        </w:rPr>
        <w:t>.</w:t>
      </w:r>
    </w:p>
    <w:p w:rsidR="00284270" w:rsidRDefault="00284270">
      <w:pPr>
        <w:rPr>
          <w:sz w:val="32"/>
          <w:szCs w:val="32"/>
          <w:rtl/>
        </w:rPr>
      </w:pPr>
      <w:r>
        <w:rPr>
          <w:rFonts w:hint="cs"/>
          <w:b/>
          <w:bCs/>
          <w:sz w:val="32"/>
          <w:szCs w:val="32"/>
          <w:rtl/>
        </w:rPr>
        <w:t>جبر</w:t>
      </w:r>
      <w:r>
        <w:rPr>
          <w:rFonts w:hint="cs"/>
          <w:sz w:val="32"/>
          <w:szCs w:val="32"/>
          <w:rtl/>
        </w:rPr>
        <w:tab/>
      </w:r>
      <w:r>
        <w:rPr>
          <w:sz w:val="32"/>
          <w:szCs w:val="32"/>
        </w:rPr>
        <w:tab/>
      </w:r>
      <w:r>
        <w:rPr>
          <w:rFonts w:hint="cs"/>
          <w:sz w:val="32"/>
          <w:szCs w:val="32"/>
          <w:rtl/>
        </w:rPr>
        <w:t xml:space="preserve">: ق100 </w:t>
      </w:r>
      <w:r>
        <w:rPr>
          <w:rFonts w:hint="cs"/>
          <w:sz w:val="32"/>
          <w:szCs w:val="32"/>
          <w:rtl/>
        </w:rPr>
        <w:tab/>
        <w:t xml:space="preserve">: جَرْحُ الـعَجْماءِ </w:t>
      </w:r>
      <w:r>
        <w:rPr>
          <w:rFonts w:hint="cs"/>
          <w:b/>
          <w:bCs/>
          <w:sz w:val="32"/>
          <w:szCs w:val="32"/>
          <w:rtl/>
        </w:rPr>
        <w:t>جُبَارٌ</w:t>
      </w:r>
      <w:r>
        <w:rPr>
          <w:rFonts w:hint="cs"/>
          <w:sz w:val="32"/>
          <w:szCs w:val="32"/>
          <w:rtl/>
        </w:rPr>
        <w:t>.</w:t>
      </w:r>
    </w:p>
    <w:p w:rsidR="00284270" w:rsidRDefault="00284270" w:rsidP="0022714B">
      <w:pPr>
        <w:ind w:left="2833" w:hanging="2266"/>
        <w:rPr>
          <w:sz w:val="32"/>
          <w:szCs w:val="32"/>
          <w:rtl/>
        </w:rPr>
      </w:pPr>
      <w:r>
        <w:rPr>
          <w:rFonts w:hint="cs"/>
          <w:b/>
          <w:bCs/>
          <w:sz w:val="32"/>
          <w:szCs w:val="32"/>
          <w:rtl/>
        </w:rPr>
        <w:t>جحد</w:t>
      </w:r>
      <w:r>
        <w:rPr>
          <w:rFonts w:hint="cs"/>
          <w:sz w:val="32"/>
          <w:szCs w:val="32"/>
          <w:rtl/>
        </w:rPr>
        <w:t xml:space="preserve">       : ق133 </w:t>
      </w:r>
      <w:r>
        <w:rPr>
          <w:sz w:val="32"/>
          <w:szCs w:val="32"/>
        </w:rPr>
        <w:tab/>
      </w:r>
      <w:r>
        <w:rPr>
          <w:rFonts w:hint="cs"/>
          <w:sz w:val="32"/>
          <w:szCs w:val="32"/>
          <w:rtl/>
        </w:rPr>
        <w:t>: الرُّجُوعُ إثباتٌ فِي المَاضِي ونفيٌ فِي الحَالِ، و</w:t>
      </w:r>
      <w:r>
        <w:rPr>
          <w:rFonts w:hint="cs"/>
          <w:b/>
          <w:bCs/>
          <w:sz w:val="32"/>
          <w:szCs w:val="32"/>
          <w:rtl/>
        </w:rPr>
        <w:t>الجُحُودُ</w:t>
      </w:r>
      <w:r>
        <w:rPr>
          <w:rFonts w:hint="cs"/>
          <w:sz w:val="32"/>
          <w:szCs w:val="32"/>
          <w:rtl/>
        </w:rPr>
        <w:t xml:space="preserve"> نفيٌ </w:t>
      </w:r>
      <w:r>
        <w:rPr>
          <w:sz w:val="32"/>
          <w:szCs w:val="32"/>
          <w:rtl/>
        </w:rPr>
        <w:br/>
      </w:r>
      <w:r>
        <w:rPr>
          <w:rFonts w:hint="cs"/>
          <w:sz w:val="32"/>
          <w:szCs w:val="32"/>
          <w:rtl/>
        </w:rPr>
        <w:t xml:space="preserve">    فِيهِمَا.</w:t>
      </w:r>
    </w:p>
    <w:p w:rsidR="00284270" w:rsidRDefault="00284270">
      <w:pPr>
        <w:rPr>
          <w:sz w:val="32"/>
          <w:szCs w:val="32"/>
          <w:rtl/>
        </w:rPr>
      </w:pPr>
      <w:r>
        <w:rPr>
          <w:rFonts w:hint="cs"/>
          <w:b/>
          <w:bCs/>
          <w:sz w:val="32"/>
          <w:szCs w:val="32"/>
          <w:rtl/>
        </w:rPr>
        <w:t>جرح</w:t>
      </w:r>
      <w:r>
        <w:rPr>
          <w:rFonts w:hint="cs"/>
          <w:sz w:val="32"/>
          <w:szCs w:val="32"/>
          <w:rtl/>
        </w:rPr>
        <w:tab/>
      </w:r>
      <w:r>
        <w:rPr>
          <w:sz w:val="32"/>
          <w:szCs w:val="32"/>
        </w:rPr>
        <w:tab/>
      </w:r>
      <w:r>
        <w:rPr>
          <w:rFonts w:hint="cs"/>
          <w:sz w:val="32"/>
          <w:szCs w:val="32"/>
          <w:rtl/>
        </w:rPr>
        <w:t xml:space="preserve">: ق100 </w:t>
      </w:r>
      <w:r>
        <w:rPr>
          <w:sz w:val="32"/>
          <w:szCs w:val="32"/>
        </w:rPr>
        <w:tab/>
      </w:r>
      <w:r>
        <w:rPr>
          <w:rFonts w:hint="cs"/>
          <w:sz w:val="32"/>
          <w:szCs w:val="32"/>
          <w:rtl/>
        </w:rPr>
        <w:t xml:space="preserve">: </w:t>
      </w:r>
      <w:r>
        <w:rPr>
          <w:rFonts w:hint="cs"/>
          <w:b/>
          <w:bCs/>
          <w:sz w:val="32"/>
          <w:szCs w:val="32"/>
          <w:rtl/>
        </w:rPr>
        <w:t>جَرْحُ</w:t>
      </w:r>
      <w:r>
        <w:rPr>
          <w:rFonts w:hint="cs"/>
          <w:sz w:val="32"/>
          <w:szCs w:val="32"/>
          <w:rtl/>
        </w:rPr>
        <w:t xml:space="preserve"> الـعَجْماءِ جُبَارٌ.</w:t>
      </w:r>
    </w:p>
    <w:p w:rsidR="00284270" w:rsidRDefault="00284270">
      <w:pPr>
        <w:rPr>
          <w:sz w:val="32"/>
          <w:szCs w:val="32"/>
          <w:rtl/>
        </w:rPr>
      </w:pPr>
      <w:r>
        <w:rPr>
          <w:rFonts w:hint="cs"/>
          <w:b/>
          <w:bCs/>
          <w:sz w:val="32"/>
          <w:szCs w:val="32"/>
          <w:rtl/>
        </w:rPr>
        <w:t>جزء</w:t>
      </w:r>
      <w:r>
        <w:rPr>
          <w:rFonts w:hint="cs"/>
          <w:sz w:val="32"/>
          <w:szCs w:val="32"/>
          <w:rtl/>
        </w:rPr>
        <w:tab/>
      </w:r>
      <w:r>
        <w:rPr>
          <w:sz w:val="32"/>
          <w:szCs w:val="32"/>
        </w:rPr>
        <w:tab/>
      </w:r>
      <w:r>
        <w:rPr>
          <w:rFonts w:hint="cs"/>
          <w:sz w:val="32"/>
          <w:szCs w:val="32"/>
          <w:rtl/>
        </w:rPr>
        <w:t xml:space="preserve">: ق129 </w:t>
      </w:r>
      <w:r>
        <w:rPr>
          <w:sz w:val="32"/>
          <w:szCs w:val="32"/>
        </w:rPr>
        <w:tab/>
      </w:r>
      <w:r>
        <w:rPr>
          <w:rFonts w:hint="cs"/>
          <w:sz w:val="32"/>
          <w:szCs w:val="32"/>
          <w:rtl/>
        </w:rPr>
        <w:t xml:space="preserve">: ذِكْرُ بَعْضِ مَا لاَ </w:t>
      </w:r>
      <w:r>
        <w:rPr>
          <w:rFonts w:hint="cs"/>
          <w:b/>
          <w:bCs/>
          <w:sz w:val="32"/>
          <w:szCs w:val="32"/>
          <w:rtl/>
        </w:rPr>
        <w:t>يَتَجَزَّأُ</w:t>
      </w:r>
      <w:r>
        <w:rPr>
          <w:rFonts w:hint="cs"/>
          <w:sz w:val="32"/>
          <w:szCs w:val="32"/>
          <w:rtl/>
        </w:rPr>
        <w:t xml:space="preserve"> كَذِكْرِ كُلِّهِ.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ق165 </w:t>
      </w:r>
      <w:r>
        <w:rPr>
          <w:sz w:val="32"/>
          <w:szCs w:val="32"/>
        </w:rPr>
        <w:tab/>
      </w:r>
      <w:r>
        <w:rPr>
          <w:rFonts w:hint="cs"/>
          <w:sz w:val="32"/>
          <w:szCs w:val="32"/>
          <w:rtl/>
        </w:rPr>
        <w:t xml:space="preserve">: العِبْرَةُ لآخِرِ </w:t>
      </w:r>
      <w:r>
        <w:rPr>
          <w:rFonts w:hint="cs"/>
          <w:b/>
          <w:bCs/>
          <w:sz w:val="32"/>
          <w:szCs w:val="32"/>
          <w:rtl/>
        </w:rPr>
        <w:t>جُزْئَيِ</w:t>
      </w:r>
      <w:r>
        <w:rPr>
          <w:rFonts w:hint="cs"/>
          <w:sz w:val="32"/>
          <w:szCs w:val="32"/>
          <w:rtl/>
        </w:rPr>
        <w:t xml:space="preserve"> العِلَّةِ.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ق171 </w:t>
      </w:r>
      <w:r>
        <w:rPr>
          <w:sz w:val="32"/>
          <w:szCs w:val="32"/>
        </w:rPr>
        <w:tab/>
      </w:r>
      <w:r>
        <w:rPr>
          <w:rFonts w:hint="cs"/>
          <w:sz w:val="32"/>
          <w:szCs w:val="32"/>
          <w:rtl/>
        </w:rPr>
        <w:t xml:space="preserve">: العِوَضُ يُوَزَّعُ عَلَى المُعَوَّضِ </w:t>
      </w:r>
      <w:r>
        <w:rPr>
          <w:rFonts w:hint="cs"/>
          <w:b/>
          <w:bCs/>
          <w:sz w:val="32"/>
          <w:szCs w:val="32"/>
          <w:rtl/>
        </w:rPr>
        <w:t>أَجْزَاءً</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ق187 </w:t>
      </w:r>
      <w:r>
        <w:rPr>
          <w:sz w:val="32"/>
          <w:szCs w:val="32"/>
        </w:rPr>
        <w:tab/>
      </w:r>
      <w:r>
        <w:rPr>
          <w:rFonts w:hint="cs"/>
          <w:sz w:val="32"/>
          <w:szCs w:val="32"/>
          <w:rtl/>
        </w:rPr>
        <w:t xml:space="preserve">: كَلِمَةُ (كُلٍّ) إِذَا دَخَلَتْ عَلَى المَعْرِفَةِ أوْجَبَتْ عُمُومَ </w:t>
      </w:r>
      <w:r>
        <w:rPr>
          <w:rFonts w:hint="cs"/>
          <w:b/>
          <w:bCs/>
          <w:sz w:val="32"/>
          <w:szCs w:val="32"/>
          <w:rtl/>
        </w:rPr>
        <w:t>أجْزَائِهِ</w:t>
      </w:r>
      <w:r>
        <w:rPr>
          <w:rFonts w:hint="cs"/>
          <w:sz w:val="32"/>
          <w:szCs w:val="32"/>
          <w:rtl/>
        </w:rPr>
        <w:t>.</w:t>
      </w:r>
    </w:p>
    <w:p w:rsidR="00284270" w:rsidRDefault="00284270">
      <w:pPr>
        <w:rPr>
          <w:sz w:val="32"/>
          <w:szCs w:val="32"/>
          <w:rtl/>
        </w:rPr>
      </w:pPr>
      <w:r>
        <w:rPr>
          <w:rFonts w:hint="cs"/>
          <w:b/>
          <w:bCs/>
          <w:sz w:val="32"/>
          <w:szCs w:val="32"/>
          <w:rtl/>
        </w:rPr>
        <w:t>جلب</w:t>
      </w:r>
      <w:r>
        <w:rPr>
          <w:rFonts w:hint="cs"/>
          <w:sz w:val="32"/>
          <w:szCs w:val="32"/>
          <w:rtl/>
        </w:rPr>
        <w:t xml:space="preserve"> </w:t>
      </w:r>
      <w:r>
        <w:rPr>
          <w:sz w:val="32"/>
          <w:szCs w:val="32"/>
        </w:rPr>
        <w:tab/>
      </w:r>
      <w:r>
        <w:rPr>
          <w:rFonts w:hint="cs"/>
          <w:sz w:val="32"/>
          <w:szCs w:val="32"/>
          <w:rtl/>
        </w:rPr>
        <w:tab/>
        <w:t xml:space="preserve">: ق57 </w:t>
      </w:r>
      <w:r>
        <w:rPr>
          <w:sz w:val="32"/>
          <w:szCs w:val="32"/>
        </w:rPr>
        <w:tab/>
      </w:r>
      <w:r>
        <w:rPr>
          <w:rFonts w:hint="cs"/>
          <w:sz w:val="32"/>
          <w:szCs w:val="32"/>
          <w:rtl/>
        </w:rPr>
        <w:tab/>
        <w:t xml:space="preserve">: </w:t>
      </w:r>
      <w:r>
        <w:rPr>
          <w:rFonts w:hint="eastAsia"/>
          <w:sz w:val="32"/>
          <w:szCs w:val="32"/>
          <w:rtl/>
        </w:rPr>
        <w:t>البيع</w:t>
      </w:r>
      <w:r>
        <w:rPr>
          <w:rFonts w:hint="cs"/>
          <w:sz w:val="32"/>
          <w:szCs w:val="32"/>
          <w:rtl/>
        </w:rPr>
        <w:t>ُ</w:t>
      </w:r>
      <w:r>
        <w:rPr>
          <w:sz w:val="32"/>
          <w:szCs w:val="32"/>
          <w:rtl/>
        </w:rPr>
        <w:t xml:space="preserve"> س</w:t>
      </w:r>
      <w:r>
        <w:rPr>
          <w:rFonts w:hint="cs"/>
          <w:sz w:val="32"/>
          <w:szCs w:val="32"/>
          <w:rtl/>
        </w:rPr>
        <w:t>َ</w:t>
      </w:r>
      <w:r>
        <w:rPr>
          <w:sz w:val="32"/>
          <w:szCs w:val="32"/>
          <w:rtl/>
        </w:rPr>
        <w:t>ال</w:t>
      </w:r>
      <w:r>
        <w:rPr>
          <w:rFonts w:hint="cs"/>
          <w:sz w:val="32"/>
          <w:szCs w:val="32"/>
          <w:rtl/>
        </w:rPr>
        <w:t>ِ</w:t>
      </w:r>
      <w:r>
        <w:rPr>
          <w:sz w:val="32"/>
          <w:szCs w:val="32"/>
          <w:rtl/>
        </w:rPr>
        <w:t>بٌ للم</w:t>
      </w:r>
      <w:r>
        <w:rPr>
          <w:rFonts w:hint="cs"/>
          <w:sz w:val="32"/>
          <w:szCs w:val="32"/>
          <w:rtl/>
        </w:rPr>
        <w:t>ِ</w:t>
      </w:r>
      <w:r>
        <w:rPr>
          <w:sz w:val="32"/>
          <w:szCs w:val="32"/>
          <w:rtl/>
        </w:rPr>
        <w:t>ل</w:t>
      </w:r>
      <w:r>
        <w:rPr>
          <w:rFonts w:hint="cs"/>
          <w:sz w:val="32"/>
          <w:szCs w:val="32"/>
          <w:rtl/>
        </w:rPr>
        <w:t>ْ</w:t>
      </w:r>
      <w:r>
        <w:rPr>
          <w:sz w:val="32"/>
          <w:szCs w:val="32"/>
          <w:rtl/>
        </w:rPr>
        <w:t>ك</w:t>
      </w:r>
      <w:r>
        <w:rPr>
          <w:rFonts w:hint="cs"/>
          <w:sz w:val="32"/>
          <w:szCs w:val="32"/>
          <w:rtl/>
        </w:rPr>
        <w:t>ِ</w:t>
      </w:r>
      <w:r>
        <w:rPr>
          <w:sz w:val="32"/>
          <w:szCs w:val="32"/>
          <w:rtl/>
        </w:rPr>
        <w:t xml:space="preserve">، </w:t>
      </w:r>
      <w:r>
        <w:rPr>
          <w:rFonts w:hint="eastAsia"/>
          <w:sz w:val="32"/>
          <w:szCs w:val="32"/>
          <w:rtl/>
        </w:rPr>
        <w:t>والش</w:t>
      </w:r>
      <w:r>
        <w:rPr>
          <w:rFonts w:hint="cs"/>
          <w:sz w:val="32"/>
          <w:szCs w:val="32"/>
          <w:rtl/>
        </w:rPr>
        <w:t>ِّ</w:t>
      </w:r>
      <w:r>
        <w:rPr>
          <w:rFonts w:hint="eastAsia"/>
          <w:sz w:val="32"/>
          <w:szCs w:val="32"/>
          <w:rtl/>
        </w:rPr>
        <w:t>ر</w:t>
      </w:r>
      <w:r>
        <w:rPr>
          <w:rFonts w:hint="cs"/>
          <w:sz w:val="32"/>
          <w:szCs w:val="32"/>
          <w:rtl/>
        </w:rPr>
        <w:t>َ</w:t>
      </w:r>
      <w:r>
        <w:rPr>
          <w:rFonts w:hint="eastAsia"/>
          <w:sz w:val="32"/>
          <w:szCs w:val="32"/>
          <w:rtl/>
        </w:rPr>
        <w:t>اء</w:t>
      </w:r>
      <w:r>
        <w:rPr>
          <w:rFonts w:hint="cs"/>
          <w:sz w:val="32"/>
          <w:szCs w:val="32"/>
          <w:rtl/>
        </w:rPr>
        <w:t>ُ</w:t>
      </w:r>
      <w:r>
        <w:rPr>
          <w:sz w:val="32"/>
          <w:szCs w:val="32"/>
          <w:rtl/>
        </w:rPr>
        <w:t xml:space="preserve"> </w:t>
      </w:r>
      <w:r>
        <w:rPr>
          <w:b/>
          <w:bCs/>
          <w:sz w:val="32"/>
          <w:szCs w:val="32"/>
          <w:rtl/>
        </w:rPr>
        <w:t>ج</w:t>
      </w:r>
      <w:r>
        <w:rPr>
          <w:rFonts w:hint="cs"/>
          <w:b/>
          <w:bCs/>
          <w:sz w:val="32"/>
          <w:szCs w:val="32"/>
          <w:rtl/>
        </w:rPr>
        <w:t>َ</w:t>
      </w:r>
      <w:r>
        <w:rPr>
          <w:b/>
          <w:bCs/>
          <w:sz w:val="32"/>
          <w:szCs w:val="32"/>
          <w:rtl/>
        </w:rPr>
        <w:t>ال</w:t>
      </w:r>
      <w:r>
        <w:rPr>
          <w:rFonts w:hint="cs"/>
          <w:b/>
          <w:bCs/>
          <w:sz w:val="32"/>
          <w:szCs w:val="32"/>
          <w:rtl/>
        </w:rPr>
        <w:t>ِ</w:t>
      </w:r>
      <w:r>
        <w:rPr>
          <w:b/>
          <w:bCs/>
          <w:sz w:val="32"/>
          <w:szCs w:val="32"/>
          <w:rtl/>
        </w:rPr>
        <w:t>ب</w:t>
      </w:r>
      <w:r>
        <w:rPr>
          <w:rFonts w:hint="cs"/>
          <w:b/>
          <w:bCs/>
          <w:sz w:val="32"/>
          <w:szCs w:val="32"/>
          <w:rtl/>
        </w:rPr>
        <w:t>ٌ</w:t>
      </w:r>
      <w:r>
        <w:rPr>
          <w:rFonts w:hint="cs"/>
          <w:sz w:val="32"/>
          <w:szCs w:val="32"/>
          <w:rtl/>
        </w:rPr>
        <w:t xml:space="preserve">. </w:t>
      </w:r>
    </w:p>
    <w:p w:rsidR="00284270" w:rsidRDefault="00284270">
      <w:pPr>
        <w:rPr>
          <w:sz w:val="32"/>
          <w:szCs w:val="32"/>
          <w:rtl/>
        </w:rPr>
      </w:pPr>
      <w:r>
        <w:rPr>
          <w:rFonts w:hint="cs"/>
          <w:b/>
          <w:bCs/>
          <w:sz w:val="32"/>
          <w:szCs w:val="32"/>
          <w:rtl/>
        </w:rPr>
        <w:t>جمع</w:t>
      </w:r>
      <w:r>
        <w:rPr>
          <w:rFonts w:hint="cs"/>
          <w:sz w:val="32"/>
          <w:szCs w:val="32"/>
          <w:rtl/>
        </w:rPr>
        <w:tab/>
      </w:r>
      <w:r>
        <w:rPr>
          <w:sz w:val="32"/>
          <w:szCs w:val="32"/>
        </w:rPr>
        <w:tab/>
      </w:r>
      <w:r>
        <w:rPr>
          <w:rFonts w:hint="cs"/>
          <w:sz w:val="32"/>
          <w:szCs w:val="32"/>
          <w:rtl/>
        </w:rPr>
        <w:t xml:space="preserve">: ق7 </w:t>
      </w:r>
      <w:r>
        <w:rPr>
          <w:sz w:val="32"/>
          <w:szCs w:val="32"/>
        </w:rPr>
        <w:tab/>
      </w:r>
      <w:r>
        <w:rPr>
          <w:sz w:val="32"/>
          <w:szCs w:val="32"/>
        </w:rPr>
        <w:tab/>
      </w:r>
      <w:r>
        <w:rPr>
          <w:rFonts w:hint="cs"/>
          <w:sz w:val="32"/>
          <w:szCs w:val="32"/>
          <w:rtl/>
        </w:rPr>
        <w:t xml:space="preserve">: الأجرُ والضَّمَانُ لا </w:t>
      </w:r>
      <w:r>
        <w:rPr>
          <w:rFonts w:hint="cs"/>
          <w:b/>
          <w:bCs/>
          <w:sz w:val="32"/>
          <w:szCs w:val="32"/>
          <w:rtl/>
        </w:rPr>
        <w:t>يَجْتَمِعَانِ</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ق3 </w:t>
      </w:r>
      <w:r>
        <w:rPr>
          <w:sz w:val="32"/>
          <w:szCs w:val="32"/>
        </w:rPr>
        <w:tab/>
      </w:r>
      <w:r>
        <w:rPr>
          <w:sz w:val="32"/>
          <w:szCs w:val="32"/>
        </w:rPr>
        <w:tab/>
      </w:r>
      <w:r>
        <w:rPr>
          <w:rFonts w:hint="cs"/>
          <w:sz w:val="32"/>
          <w:szCs w:val="32"/>
          <w:rtl/>
        </w:rPr>
        <w:t xml:space="preserve">: </w:t>
      </w:r>
      <w:r>
        <w:rPr>
          <w:rFonts w:hint="cs"/>
          <w:b/>
          <w:bCs/>
          <w:sz w:val="32"/>
          <w:szCs w:val="32"/>
          <w:rtl/>
        </w:rPr>
        <w:t>الإجْمَاعُ</w:t>
      </w:r>
      <w:r>
        <w:rPr>
          <w:rFonts w:hint="cs"/>
          <w:sz w:val="32"/>
          <w:szCs w:val="32"/>
          <w:rtl/>
        </w:rPr>
        <w:t xml:space="preserve"> اللاحِقُ لا يَرْفَعُ الاخْتِلافَ السَّابِقَ. </w:t>
      </w:r>
    </w:p>
    <w:p w:rsidR="00284270" w:rsidRDefault="00284270" w:rsidP="0022714B">
      <w:pPr>
        <w:ind w:left="2833" w:hanging="2266"/>
        <w:rPr>
          <w:sz w:val="32"/>
          <w:szCs w:val="32"/>
          <w:rtl/>
        </w:rPr>
      </w:pPr>
      <w:r>
        <w:rPr>
          <w:rFonts w:hint="cs"/>
          <w:sz w:val="32"/>
          <w:szCs w:val="32"/>
          <w:rtl/>
        </w:rPr>
        <w:t xml:space="preserve">               ق5 </w:t>
      </w:r>
      <w:r>
        <w:rPr>
          <w:sz w:val="32"/>
          <w:szCs w:val="32"/>
        </w:rPr>
        <w:tab/>
      </w:r>
      <w:r>
        <w:rPr>
          <w:rFonts w:hint="cs"/>
          <w:sz w:val="32"/>
          <w:szCs w:val="32"/>
          <w:rtl/>
        </w:rPr>
        <w:t xml:space="preserve">: </w:t>
      </w:r>
      <w:r>
        <w:rPr>
          <w:rFonts w:hint="cs"/>
          <w:b/>
          <w:bCs/>
          <w:sz w:val="32"/>
          <w:szCs w:val="32"/>
          <w:rtl/>
        </w:rPr>
        <w:t>إجمَاعُ</w:t>
      </w:r>
      <w:r>
        <w:rPr>
          <w:rFonts w:hint="cs"/>
          <w:sz w:val="32"/>
          <w:szCs w:val="32"/>
          <w:rtl/>
        </w:rPr>
        <w:t xml:space="preserve"> المسْلِمِينَ حجَّةٌ يُخَصُّ بِهَا الأَثَرُ ويُتْرَكُ القياسُ والنَّظَرُ. </w:t>
      </w:r>
    </w:p>
    <w:p w:rsidR="00284270" w:rsidRDefault="00284270" w:rsidP="0022714B">
      <w:pPr>
        <w:ind w:left="2833" w:hanging="2266"/>
        <w:rPr>
          <w:sz w:val="32"/>
          <w:szCs w:val="32"/>
          <w:rtl/>
        </w:rPr>
      </w:pPr>
      <w:r>
        <w:rPr>
          <w:rFonts w:hint="cs"/>
          <w:sz w:val="32"/>
          <w:szCs w:val="32"/>
          <w:rtl/>
        </w:rPr>
        <w:t xml:space="preserve">               ق14 </w:t>
      </w:r>
      <w:r>
        <w:rPr>
          <w:rFonts w:hint="cs"/>
          <w:sz w:val="32"/>
          <w:szCs w:val="32"/>
          <w:rtl/>
        </w:rPr>
        <w:tab/>
        <w:t xml:space="preserve">: إذَا </w:t>
      </w:r>
      <w:r w:rsidRPr="006F14D8">
        <w:rPr>
          <w:rFonts w:hint="cs"/>
          <w:b/>
          <w:bCs/>
          <w:sz w:val="32"/>
          <w:szCs w:val="32"/>
          <w:rtl/>
        </w:rPr>
        <w:t>اجتمعَ</w:t>
      </w:r>
      <w:r>
        <w:rPr>
          <w:rFonts w:hint="cs"/>
          <w:sz w:val="32"/>
          <w:szCs w:val="32"/>
          <w:rtl/>
        </w:rPr>
        <w:t xml:space="preserve"> المباشرُ والمتسبِّبُ : أُضيفَ الحكمُ إلى المُبَاشِرِ.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ق101 </w:t>
      </w:r>
      <w:r>
        <w:rPr>
          <w:rFonts w:hint="cs"/>
          <w:sz w:val="32"/>
          <w:szCs w:val="32"/>
          <w:rtl/>
        </w:rPr>
        <w:tab/>
        <w:t xml:space="preserve">: </w:t>
      </w:r>
      <w:r>
        <w:rPr>
          <w:rFonts w:hint="cs"/>
          <w:b/>
          <w:bCs/>
          <w:sz w:val="32"/>
          <w:szCs w:val="32"/>
          <w:rtl/>
        </w:rPr>
        <w:t>الجمعُ</w:t>
      </w:r>
      <w:r>
        <w:rPr>
          <w:rFonts w:hint="cs"/>
          <w:sz w:val="32"/>
          <w:szCs w:val="32"/>
          <w:rtl/>
        </w:rPr>
        <w:t xml:space="preserve"> المحلَّي باللاَّمِ يُرَادُ بِهِ الجِنْسُ، ويُبطِل الجمعيَّة.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ق102 </w:t>
      </w:r>
      <w:r>
        <w:rPr>
          <w:rFonts w:hint="cs"/>
          <w:sz w:val="32"/>
          <w:szCs w:val="32"/>
          <w:rtl/>
        </w:rPr>
        <w:tab/>
        <w:t xml:space="preserve">: </w:t>
      </w:r>
      <w:r>
        <w:rPr>
          <w:rFonts w:hint="cs"/>
          <w:b/>
          <w:bCs/>
          <w:sz w:val="32"/>
          <w:szCs w:val="32"/>
          <w:rtl/>
        </w:rPr>
        <w:t>الجَمْعُ</w:t>
      </w:r>
      <w:r>
        <w:rPr>
          <w:rFonts w:hint="cs"/>
          <w:sz w:val="32"/>
          <w:szCs w:val="32"/>
          <w:rtl/>
        </w:rPr>
        <w:t xml:space="preserve"> المذكورُ في المِيرَاثِ اثْنَانِ.</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ق219 </w:t>
      </w:r>
      <w:r>
        <w:rPr>
          <w:rFonts w:hint="cs"/>
          <w:sz w:val="32"/>
          <w:szCs w:val="32"/>
          <w:rtl/>
        </w:rPr>
        <w:tab/>
        <w:t xml:space="preserve">: مَا ثَبَتَ </w:t>
      </w:r>
      <w:r>
        <w:rPr>
          <w:rFonts w:hint="cs"/>
          <w:b/>
          <w:bCs/>
          <w:sz w:val="32"/>
          <w:szCs w:val="32"/>
          <w:rtl/>
        </w:rPr>
        <w:t xml:space="preserve">لِجَمَاعَةٍ </w:t>
      </w:r>
      <w:r>
        <w:rPr>
          <w:rFonts w:hint="cs"/>
          <w:sz w:val="32"/>
          <w:szCs w:val="32"/>
          <w:rtl/>
        </w:rPr>
        <w:t>فَهُوَ بَيْنَهُمْ عَلَى سَبِيلِ الاشْتِرَاكِ.</w:t>
      </w:r>
    </w:p>
    <w:p w:rsidR="00284270" w:rsidRDefault="00284270">
      <w:pPr>
        <w:rPr>
          <w:sz w:val="32"/>
          <w:szCs w:val="32"/>
          <w:rtl/>
        </w:rPr>
      </w:pPr>
      <w:r>
        <w:rPr>
          <w:rFonts w:hint="cs"/>
          <w:b/>
          <w:bCs/>
          <w:sz w:val="32"/>
          <w:szCs w:val="32"/>
          <w:rtl/>
        </w:rPr>
        <w:t>جنس</w:t>
      </w:r>
      <w:r>
        <w:rPr>
          <w:rFonts w:hint="cs"/>
          <w:sz w:val="32"/>
          <w:szCs w:val="32"/>
          <w:rtl/>
        </w:rPr>
        <w:tab/>
      </w:r>
      <w:r>
        <w:rPr>
          <w:sz w:val="32"/>
          <w:szCs w:val="32"/>
        </w:rPr>
        <w:tab/>
      </w:r>
      <w:r>
        <w:rPr>
          <w:rFonts w:hint="cs"/>
          <w:sz w:val="32"/>
          <w:szCs w:val="32"/>
          <w:rtl/>
        </w:rPr>
        <w:t xml:space="preserve">: ق101 </w:t>
      </w:r>
      <w:r>
        <w:rPr>
          <w:rFonts w:hint="cs"/>
          <w:sz w:val="32"/>
          <w:szCs w:val="32"/>
          <w:rtl/>
        </w:rPr>
        <w:tab/>
        <w:t xml:space="preserve">: الجمعُ المحلَّى باللاَّمِ يُرَادُ بِهِ </w:t>
      </w:r>
      <w:r>
        <w:rPr>
          <w:rFonts w:hint="cs"/>
          <w:b/>
          <w:bCs/>
          <w:sz w:val="32"/>
          <w:szCs w:val="32"/>
          <w:rtl/>
        </w:rPr>
        <w:t>الجِنْسُ</w:t>
      </w:r>
      <w:r>
        <w:rPr>
          <w:rFonts w:hint="cs"/>
          <w:sz w:val="32"/>
          <w:szCs w:val="32"/>
          <w:rtl/>
        </w:rPr>
        <w:t>، ويُبطِل الجمعيَّة.</w:t>
      </w:r>
    </w:p>
    <w:p w:rsidR="00284270" w:rsidRDefault="00284270">
      <w:pPr>
        <w:rPr>
          <w:sz w:val="32"/>
          <w:szCs w:val="32"/>
          <w:rtl/>
        </w:rPr>
      </w:pPr>
      <w:r>
        <w:rPr>
          <w:rFonts w:hint="cs"/>
          <w:b/>
          <w:bCs/>
          <w:sz w:val="32"/>
          <w:szCs w:val="32"/>
          <w:rtl/>
        </w:rPr>
        <w:t>جنى</w:t>
      </w:r>
      <w:r>
        <w:rPr>
          <w:rFonts w:hint="cs"/>
          <w:sz w:val="32"/>
          <w:szCs w:val="32"/>
          <w:rtl/>
        </w:rPr>
        <w:tab/>
      </w:r>
      <w:r>
        <w:rPr>
          <w:sz w:val="32"/>
          <w:szCs w:val="32"/>
        </w:rPr>
        <w:tab/>
      </w:r>
      <w:r>
        <w:rPr>
          <w:rFonts w:hint="cs"/>
          <w:sz w:val="32"/>
          <w:szCs w:val="32"/>
          <w:rtl/>
        </w:rPr>
        <w:t xml:space="preserve">: ق91 </w:t>
      </w:r>
      <w:r>
        <w:rPr>
          <w:rFonts w:hint="cs"/>
          <w:sz w:val="32"/>
          <w:szCs w:val="32"/>
          <w:rtl/>
        </w:rPr>
        <w:tab/>
      </w:r>
      <w:r>
        <w:rPr>
          <w:rFonts w:hint="cs"/>
          <w:sz w:val="32"/>
          <w:szCs w:val="32"/>
          <w:rtl/>
        </w:rPr>
        <w:tab/>
        <w:t xml:space="preserve">: التَّوْبَةُ علىَ حَسَبِ </w:t>
      </w:r>
      <w:r>
        <w:rPr>
          <w:rFonts w:hint="cs"/>
          <w:b/>
          <w:bCs/>
          <w:sz w:val="32"/>
          <w:szCs w:val="32"/>
          <w:rtl/>
        </w:rPr>
        <w:t>الجِنَايَةِ</w:t>
      </w:r>
      <w:r>
        <w:rPr>
          <w:rFonts w:hint="cs"/>
          <w:sz w:val="32"/>
          <w:szCs w:val="32"/>
          <w:rtl/>
        </w:rPr>
        <w:t xml:space="preserve">. </w:t>
      </w:r>
    </w:p>
    <w:p w:rsidR="00284270" w:rsidRDefault="00284270">
      <w:pPr>
        <w:rPr>
          <w:sz w:val="32"/>
          <w:szCs w:val="32"/>
          <w:rtl/>
        </w:rPr>
      </w:pPr>
      <w:r>
        <w:rPr>
          <w:rFonts w:hint="cs"/>
          <w:b/>
          <w:bCs/>
          <w:sz w:val="32"/>
          <w:szCs w:val="32"/>
          <w:rtl/>
        </w:rPr>
        <w:lastRenderedPageBreak/>
        <w:t>جهد</w:t>
      </w:r>
      <w:r>
        <w:rPr>
          <w:rFonts w:hint="cs"/>
          <w:sz w:val="32"/>
          <w:szCs w:val="32"/>
          <w:rtl/>
        </w:rPr>
        <w:tab/>
      </w:r>
      <w:r>
        <w:rPr>
          <w:sz w:val="32"/>
          <w:szCs w:val="32"/>
        </w:rPr>
        <w:tab/>
      </w:r>
      <w:r>
        <w:rPr>
          <w:rFonts w:hint="cs"/>
          <w:sz w:val="32"/>
          <w:szCs w:val="32"/>
          <w:rtl/>
        </w:rPr>
        <w:t xml:space="preserve">: ق6 </w:t>
      </w:r>
      <w:r>
        <w:rPr>
          <w:rFonts w:hint="cs"/>
          <w:sz w:val="32"/>
          <w:szCs w:val="32"/>
          <w:rtl/>
        </w:rPr>
        <w:tab/>
      </w:r>
      <w:r>
        <w:rPr>
          <w:rFonts w:hint="cs"/>
          <w:sz w:val="32"/>
          <w:szCs w:val="32"/>
          <w:rtl/>
        </w:rPr>
        <w:tab/>
        <w:t xml:space="preserve">: </w:t>
      </w:r>
      <w:r>
        <w:rPr>
          <w:rFonts w:hint="cs"/>
          <w:b/>
          <w:bCs/>
          <w:sz w:val="32"/>
          <w:szCs w:val="32"/>
          <w:rtl/>
        </w:rPr>
        <w:t>الاجْتِهادُ</w:t>
      </w:r>
      <w:r>
        <w:rPr>
          <w:rFonts w:hint="cs"/>
          <w:sz w:val="32"/>
          <w:szCs w:val="32"/>
          <w:rtl/>
        </w:rPr>
        <w:t xml:space="preserve"> لا يُنْقَضُ بمثلِهِ.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ق173 </w:t>
      </w:r>
      <w:r>
        <w:rPr>
          <w:rFonts w:hint="cs"/>
          <w:sz w:val="32"/>
          <w:szCs w:val="32"/>
          <w:rtl/>
        </w:rPr>
        <w:tab/>
        <w:t xml:space="preserve">: الفَتْوَى فِي حَقِّ الجَاهِلِ </w:t>
      </w:r>
      <w:r>
        <w:rPr>
          <w:rFonts w:hint="cs"/>
          <w:b/>
          <w:bCs/>
          <w:sz w:val="32"/>
          <w:szCs w:val="32"/>
          <w:rtl/>
        </w:rPr>
        <w:t>كالاجتهادِ</w:t>
      </w:r>
      <w:r>
        <w:rPr>
          <w:rFonts w:hint="cs"/>
          <w:sz w:val="32"/>
          <w:szCs w:val="32"/>
          <w:rtl/>
        </w:rPr>
        <w:t xml:space="preserve"> فِي حقِّ المُجْتَهِدِ.</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ق209 </w:t>
      </w:r>
      <w:r>
        <w:rPr>
          <w:rFonts w:hint="cs"/>
          <w:sz w:val="32"/>
          <w:szCs w:val="32"/>
          <w:rtl/>
        </w:rPr>
        <w:tab/>
        <w:t xml:space="preserve">: لا مَسَاغَ </w:t>
      </w:r>
      <w:r>
        <w:rPr>
          <w:rFonts w:hint="cs"/>
          <w:b/>
          <w:bCs/>
          <w:sz w:val="32"/>
          <w:szCs w:val="32"/>
          <w:rtl/>
        </w:rPr>
        <w:t>لِلاجْتِهَادِ</w:t>
      </w:r>
      <w:r>
        <w:rPr>
          <w:rFonts w:hint="cs"/>
          <w:sz w:val="32"/>
          <w:szCs w:val="32"/>
          <w:rtl/>
        </w:rPr>
        <w:t xml:space="preserve"> فِي مَوْرِدِ النَّصِّ.</w:t>
      </w:r>
    </w:p>
    <w:p w:rsidR="00284270" w:rsidRDefault="00284270" w:rsidP="0022714B">
      <w:pPr>
        <w:pStyle w:val="21"/>
        <w:ind w:left="170" w:firstLine="397"/>
        <w:rPr>
          <w:sz w:val="32"/>
          <w:szCs w:val="32"/>
          <w:rtl/>
        </w:rPr>
      </w:pPr>
      <w:r w:rsidRPr="006F14D8">
        <w:rPr>
          <w:rFonts w:hint="cs"/>
          <w:b w:val="0"/>
          <w:bCs w:val="0"/>
          <w:sz w:val="32"/>
          <w:szCs w:val="32"/>
          <w:rtl/>
        </w:rPr>
        <w:t>جهل</w:t>
      </w:r>
      <w:r>
        <w:rPr>
          <w:rFonts w:hint="cs"/>
          <w:sz w:val="32"/>
          <w:szCs w:val="32"/>
          <w:rtl/>
        </w:rPr>
        <w:t xml:space="preserve">       :  ق106 </w:t>
      </w:r>
      <w:r>
        <w:rPr>
          <w:rFonts w:hint="cs"/>
          <w:sz w:val="32"/>
          <w:szCs w:val="32"/>
          <w:rtl/>
        </w:rPr>
        <w:tab/>
        <w:t xml:space="preserve">: </w:t>
      </w:r>
      <w:r>
        <w:rPr>
          <w:rFonts w:hint="cs"/>
          <w:b w:val="0"/>
          <w:bCs w:val="0"/>
          <w:sz w:val="32"/>
          <w:szCs w:val="32"/>
          <w:rtl/>
        </w:rPr>
        <w:t>جهالةُ</w:t>
      </w:r>
      <w:r>
        <w:rPr>
          <w:rFonts w:hint="cs"/>
          <w:sz w:val="32"/>
          <w:szCs w:val="32"/>
          <w:rtl/>
        </w:rPr>
        <w:t xml:space="preserve"> السّاقطِ لا تمنعُ صِحَّةَ العقدِ؛ لأنَّهَا لا تُفضِي إلى المنازَعَةِ.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ق105 </w:t>
      </w:r>
      <w:r>
        <w:rPr>
          <w:rFonts w:hint="cs"/>
          <w:sz w:val="32"/>
          <w:szCs w:val="32"/>
          <w:rtl/>
        </w:rPr>
        <w:tab/>
        <w:t xml:space="preserve">: </w:t>
      </w:r>
      <w:r>
        <w:rPr>
          <w:rFonts w:hint="cs"/>
          <w:b/>
          <w:bCs/>
          <w:sz w:val="32"/>
          <w:szCs w:val="32"/>
          <w:rtl/>
        </w:rPr>
        <w:t>جَهَالة</w:t>
      </w:r>
      <w:r>
        <w:rPr>
          <w:rFonts w:hint="cs"/>
          <w:sz w:val="32"/>
          <w:szCs w:val="32"/>
          <w:rtl/>
        </w:rPr>
        <w:t xml:space="preserve"> السَّبَبِ لاَ يُعتبرُ عندَ تَيَقُّنِ مَنْ لَهُ الحَقُّ.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ق104 </w:t>
      </w:r>
      <w:r>
        <w:rPr>
          <w:rFonts w:hint="cs"/>
          <w:sz w:val="32"/>
          <w:szCs w:val="32"/>
          <w:rtl/>
        </w:rPr>
        <w:tab/>
        <w:t xml:space="preserve">: </w:t>
      </w:r>
      <w:r>
        <w:rPr>
          <w:rFonts w:hint="cs"/>
          <w:b/>
          <w:bCs/>
          <w:sz w:val="32"/>
          <w:szCs w:val="32"/>
          <w:rtl/>
        </w:rPr>
        <w:t>الجَهَالةُ</w:t>
      </w:r>
      <w:r>
        <w:rPr>
          <w:rFonts w:hint="cs"/>
          <w:sz w:val="32"/>
          <w:szCs w:val="32"/>
          <w:rtl/>
        </w:rPr>
        <w:t xml:space="preserve"> المُفضِيةُ إلى النِّزاعِ مُفسِدَةٌ للعقْدِ.</w:t>
      </w:r>
    </w:p>
    <w:p w:rsidR="00284270" w:rsidRDefault="00284270" w:rsidP="0022714B">
      <w:pPr>
        <w:pStyle w:val="21"/>
        <w:ind w:hanging="3"/>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ق107 </w:t>
      </w:r>
      <w:r>
        <w:rPr>
          <w:rFonts w:hint="cs"/>
          <w:sz w:val="32"/>
          <w:szCs w:val="32"/>
          <w:rtl/>
        </w:rPr>
        <w:tab/>
        <w:t xml:space="preserve">: </w:t>
      </w:r>
      <w:r>
        <w:rPr>
          <w:rFonts w:hint="cs"/>
          <w:b w:val="0"/>
          <w:bCs w:val="0"/>
          <w:sz w:val="32"/>
          <w:szCs w:val="32"/>
          <w:rtl/>
        </w:rPr>
        <w:t>جَهَالَةُ</w:t>
      </w:r>
      <w:r>
        <w:rPr>
          <w:rFonts w:hint="cs"/>
          <w:sz w:val="32"/>
          <w:szCs w:val="32"/>
          <w:rtl/>
        </w:rPr>
        <w:t xml:space="preserve"> المَكْفُولِ لَهُ تُبطِلُ الكفالةَ، وكذا </w:t>
      </w:r>
      <w:r>
        <w:rPr>
          <w:rFonts w:hint="cs"/>
          <w:b w:val="0"/>
          <w:bCs w:val="0"/>
          <w:sz w:val="32"/>
          <w:szCs w:val="32"/>
          <w:rtl/>
        </w:rPr>
        <w:t>جهالةُ</w:t>
      </w:r>
      <w:r>
        <w:rPr>
          <w:rFonts w:hint="cs"/>
          <w:sz w:val="32"/>
          <w:szCs w:val="32"/>
          <w:rtl/>
        </w:rPr>
        <w:t xml:space="preserve"> المكفولِ عنهُ.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ق149 </w:t>
      </w:r>
      <w:r>
        <w:rPr>
          <w:rFonts w:hint="cs"/>
          <w:sz w:val="32"/>
          <w:szCs w:val="32"/>
          <w:rtl/>
        </w:rPr>
        <w:tab/>
        <w:t xml:space="preserve">: الشَّهَادَةُ </w:t>
      </w:r>
      <w:r>
        <w:rPr>
          <w:rFonts w:hint="cs"/>
          <w:b/>
          <w:bCs/>
          <w:sz w:val="32"/>
          <w:szCs w:val="32"/>
          <w:rtl/>
        </w:rPr>
        <w:t>بِالمَجْهُولِ</w:t>
      </w:r>
      <w:r>
        <w:rPr>
          <w:rFonts w:hint="cs"/>
          <w:sz w:val="32"/>
          <w:szCs w:val="32"/>
          <w:rtl/>
        </w:rPr>
        <w:t xml:space="preserve"> غَيْرُ صَحِيحَةٍ.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ق173 </w:t>
      </w:r>
      <w:r>
        <w:rPr>
          <w:rFonts w:hint="cs"/>
          <w:sz w:val="32"/>
          <w:szCs w:val="32"/>
          <w:rtl/>
        </w:rPr>
        <w:tab/>
        <w:t xml:space="preserve">: الفَتْوَى فِي حَقِّ </w:t>
      </w:r>
      <w:r>
        <w:rPr>
          <w:rFonts w:hint="cs"/>
          <w:b/>
          <w:bCs/>
          <w:sz w:val="32"/>
          <w:szCs w:val="32"/>
          <w:rtl/>
        </w:rPr>
        <w:t>الجَاهِلِ</w:t>
      </w:r>
      <w:r>
        <w:rPr>
          <w:rFonts w:hint="cs"/>
          <w:sz w:val="32"/>
          <w:szCs w:val="32"/>
          <w:rtl/>
        </w:rPr>
        <w:t xml:space="preserve"> كالاجتهادِ فِي حقِّ المُجْتَهِدِ.</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 ق203 </w:t>
      </w:r>
      <w:r>
        <w:rPr>
          <w:rFonts w:hint="cs"/>
          <w:sz w:val="32"/>
          <w:szCs w:val="32"/>
          <w:rtl/>
        </w:rPr>
        <w:tab/>
        <w:t xml:space="preserve">: لا يُحلِّفُ القَاضِي عَلَى حقٍّ </w:t>
      </w:r>
      <w:r>
        <w:rPr>
          <w:rFonts w:hint="cs"/>
          <w:b/>
          <w:bCs/>
          <w:sz w:val="32"/>
          <w:szCs w:val="32"/>
          <w:rtl/>
        </w:rPr>
        <w:t>مَجْهُولٍ</w:t>
      </w:r>
      <w:r>
        <w:rPr>
          <w:rFonts w:hint="cs"/>
          <w:sz w:val="32"/>
          <w:szCs w:val="32"/>
          <w:rtl/>
        </w:rPr>
        <w:t>.</w:t>
      </w:r>
    </w:p>
    <w:p w:rsidR="00284270" w:rsidRDefault="00284270" w:rsidP="0022714B">
      <w:pPr>
        <w:spacing w:line="264" w:lineRule="auto"/>
        <w:ind w:left="2833" w:hanging="2266"/>
        <w:rPr>
          <w:sz w:val="32"/>
          <w:szCs w:val="32"/>
          <w:rtl/>
        </w:rPr>
      </w:pPr>
      <w:r>
        <w:rPr>
          <w:rFonts w:hint="cs"/>
          <w:b/>
          <w:bCs/>
          <w:sz w:val="32"/>
          <w:szCs w:val="32"/>
          <w:rtl/>
        </w:rPr>
        <w:t>جوز</w:t>
      </w:r>
      <w:r>
        <w:rPr>
          <w:rFonts w:hint="cs"/>
          <w:sz w:val="32"/>
          <w:szCs w:val="32"/>
          <w:rtl/>
        </w:rPr>
        <w:t xml:space="preserve">       : ق35     </w:t>
      </w:r>
      <w:r w:rsidRPr="008451B5">
        <w:rPr>
          <w:rFonts w:hint="cs"/>
          <w:sz w:val="28"/>
          <w:szCs w:val="28"/>
          <w:rtl/>
        </w:rPr>
        <w:t xml:space="preserve"> </w:t>
      </w:r>
      <w:r>
        <w:rPr>
          <w:rFonts w:hint="cs"/>
          <w:sz w:val="32"/>
          <w:szCs w:val="32"/>
          <w:rtl/>
        </w:rPr>
        <w:t xml:space="preserve">: اعْتِبَارُ المعنَيَيْنِ مِنْ لَفْظٍ وَاحِدٍ لا </w:t>
      </w:r>
      <w:r>
        <w:rPr>
          <w:rFonts w:hint="cs"/>
          <w:b/>
          <w:bCs/>
          <w:sz w:val="32"/>
          <w:szCs w:val="32"/>
          <w:rtl/>
        </w:rPr>
        <w:t>يَجُوزُ</w:t>
      </w:r>
      <w:r>
        <w:rPr>
          <w:rFonts w:hint="cs"/>
          <w:sz w:val="32"/>
          <w:szCs w:val="32"/>
          <w:rtl/>
        </w:rPr>
        <w:t xml:space="preserve"> بِلاَ مُرَجِّ</w:t>
      </w:r>
      <w:r>
        <w:rPr>
          <w:sz w:val="32"/>
          <w:szCs w:val="32"/>
          <w:rtl/>
        </w:rPr>
        <w:t>ح</w:t>
      </w:r>
      <w:r>
        <w:rPr>
          <w:rFonts w:hint="cs"/>
          <w:sz w:val="32"/>
          <w:szCs w:val="32"/>
          <w:rtl/>
        </w:rPr>
        <w:t>ٍ فِي الإِثْبَاتِ، و</w:t>
      </w:r>
      <w:r>
        <w:rPr>
          <w:rFonts w:hint="cs"/>
          <w:b/>
          <w:bCs/>
          <w:sz w:val="32"/>
          <w:szCs w:val="32"/>
          <w:rtl/>
        </w:rPr>
        <w:t>يجوزُ</w:t>
      </w:r>
      <w:r>
        <w:rPr>
          <w:rFonts w:hint="cs"/>
          <w:sz w:val="32"/>
          <w:szCs w:val="32"/>
          <w:rtl/>
        </w:rPr>
        <w:t xml:space="preserve"> فِي النَّفْيِ. </w:t>
      </w:r>
    </w:p>
    <w:p w:rsidR="00284270" w:rsidRDefault="00284270" w:rsidP="0022714B">
      <w:pPr>
        <w:spacing w:line="264" w:lineRule="auto"/>
        <w:ind w:left="2833" w:hanging="2266"/>
        <w:rPr>
          <w:sz w:val="32"/>
          <w:szCs w:val="32"/>
          <w:rtl/>
        </w:rPr>
      </w:pPr>
      <w:r>
        <w:rPr>
          <w:rFonts w:hint="cs"/>
          <w:sz w:val="32"/>
          <w:szCs w:val="32"/>
          <w:rtl/>
        </w:rPr>
        <w:t xml:space="preserve">               ق37        : الأَفْعَالُ المُبَاحَةُ لا </w:t>
      </w:r>
      <w:r>
        <w:rPr>
          <w:rFonts w:hint="cs"/>
          <w:b/>
          <w:bCs/>
          <w:sz w:val="32"/>
          <w:szCs w:val="32"/>
          <w:rtl/>
        </w:rPr>
        <w:t>يَجُوزُ</w:t>
      </w:r>
      <w:r>
        <w:rPr>
          <w:rFonts w:hint="cs"/>
          <w:sz w:val="32"/>
          <w:szCs w:val="32"/>
          <w:rtl/>
        </w:rPr>
        <w:t xml:space="preserve"> مُبَاشَرَتُهَا إلاَّ بِشَرْطِ أَنْ لاَ يُؤذِي أَحَدًا. </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ق103 </w:t>
      </w:r>
      <w:r>
        <w:rPr>
          <w:rFonts w:hint="cs"/>
          <w:sz w:val="32"/>
          <w:szCs w:val="32"/>
          <w:rtl/>
        </w:rPr>
        <w:tab/>
        <w:t xml:space="preserve">: </w:t>
      </w:r>
      <w:r>
        <w:rPr>
          <w:rFonts w:hint="cs"/>
          <w:b/>
          <w:bCs/>
          <w:sz w:val="32"/>
          <w:szCs w:val="32"/>
          <w:rtl/>
        </w:rPr>
        <w:t>جوازُ</w:t>
      </w:r>
      <w:r>
        <w:rPr>
          <w:rFonts w:hint="cs"/>
          <w:sz w:val="32"/>
          <w:szCs w:val="32"/>
          <w:rtl/>
        </w:rPr>
        <w:t xml:space="preserve"> الشَّرعِ يُنَافِي الضَّمَانَ.</w:t>
      </w:r>
    </w:p>
    <w:p w:rsidR="00284270" w:rsidRDefault="00284270" w:rsidP="0022714B">
      <w:pPr>
        <w:pStyle w:val="21"/>
        <w:spacing w:line="264" w:lineRule="auto"/>
        <w:ind w:hanging="3"/>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ق118 </w:t>
      </w:r>
      <w:r>
        <w:rPr>
          <w:rFonts w:hint="cs"/>
          <w:sz w:val="32"/>
          <w:szCs w:val="32"/>
          <w:rtl/>
        </w:rPr>
        <w:tab/>
        <w:t xml:space="preserve">: </w:t>
      </w:r>
      <w:r w:rsidRPr="008451B5">
        <w:rPr>
          <w:rFonts w:hint="cs"/>
          <w:spacing w:val="-2"/>
          <w:sz w:val="32"/>
          <w:szCs w:val="32"/>
          <w:rtl/>
        </w:rPr>
        <w:t xml:space="preserve">الحيلةُ لدفعِ الضَّرَرِ عَنْ نفـسِهِ </w:t>
      </w:r>
      <w:r w:rsidRPr="008451B5">
        <w:rPr>
          <w:rFonts w:hint="cs"/>
          <w:b w:val="0"/>
          <w:bCs w:val="0"/>
          <w:spacing w:val="-2"/>
          <w:sz w:val="32"/>
          <w:szCs w:val="32"/>
          <w:rtl/>
        </w:rPr>
        <w:t>جائزةٌ</w:t>
      </w:r>
      <w:r w:rsidRPr="008451B5">
        <w:rPr>
          <w:rFonts w:hint="cs"/>
          <w:spacing w:val="-2"/>
          <w:sz w:val="32"/>
          <w:szCs w:val="32"/>
          <w:rtl/>
        </w:rPr>
        <w:t xml:space="preserve">، وإنْ تضَرَّرَ الغيرُ في </w:t>
      </w:r>
      <w:r>
        <w:rPr>
          <w:rFonts w:hint="cs"/>
          <w:sz w:val="32"/>
          <w:szCs w:val="32"/>
          <w:rtl/>
        </w:rPr>
        <w:t>ضِمْنِهِ.</w:t>
      </w:r>
    </w:p>
    <w:p w:rsidR="00284270" w:rsidRDefault="00284270" w:rsidP="0022714B">
      <w:pPr>
        <w:spacing w:line="264" w:lineRule="auto"/>
        <w:ind w:left="2833" w:hanging="2266"/>
        <w:rPr>
          <w:sz w:val="32"/>
          <w:szCs w:val="32"/>
          <w:rtl/>
        </w:rPr>
      </w:pPr>
      <w:r>
        <w:rPr>
          <w:rFonts w:hint="cs"/>
          <w:sz w:val="32"/>
          <w:szCs w:val="32"/>
          <w:rtl/>
        </w:rPr>
        <w:t xml:space="preserve">               ق210     : لاَ </w:t>
      </w:r>
      <w:r>
        <w:rPr>
          <w:rFonts w:hint="cs"/>
          <w:b/>
          <w:bCs/>
          <w:sz w:val="32"/>
          <w:szCs w:val="32"/>
          <w:rtl/>
        </w:rPr>
        <w:t>يَجُوزُ</w:t>
      </w:r>
      <w:r>
        <w:rPr>
          <w:rFonts w:hint="cs"/>
          <w:sz w:val="32"/>
          <w:szCs w:val="32"/>
          <w:rtl/>
        </w:rPr>
        <w:t xml:space="preserve"> إِرَادَةُ المَعْنَى الحَقِيقِيِّ و</w:t>
      </w:r>
      <w:r>
        <w:rPr>
          <w:rFonts w:hint="cs"/>
          <w:b/>
          <w:bCs/>
          <w:sz w:val="32"/>
          <w:szCs w:val="32"/>
          <w:rtl/>
        </w:rPr>
        <w:t>َالمَجَازِيِّ</w:t>
      </w:r>
      <w:r>
        <w:rPr>
          <w:rFonts w:hint="cs"/>
          <w:sz w:val="32"/>
          <w:szCs w:val="32"/>
          <w:rtl/>
        </w:rPr>
        <w:t xml:space="preserve">  مِنْ لَفْظٍ وَاحِدٍ.</w:t>
      </w:r>
    </w:p>
    <w:p w:rsidR="00284270" w:rsidRDefault="00284270" w:rsidP="0022714B">
      <w:pPr>
        <w:spacing w:line="264" w:lineRule="auto"/>
        <w:ind w:left="2833" w:hanging="2266"/>
        <w:rPr>
          <w:sz w:val="32"/>
          <w:szCs w:val="32"/>
          <w:rtl/>
        </w:rPr>
      </w:pPr>
      <w:r>
        <w:rPr>
          <w:rFonts w:hint="cs"/>
          <w:sz w:val="32"/>
          <w:szCs w:val="32"/>
          <w:rtl/>
        </w:rPr>
        <w:t xml:space="preserve">               ق213</w:t>
      </w:r>
      <w:r w:rsidRPr="00570FE7">
        <w:rPr>
          <w:rFonts w:hint="cs"/>
          <w:sz w:val="28"/>
          <w:szCs w:val="28"/>
          <w:rtl/>
        </w:rPr>
        <w:t xml:space="preserve"> </w:t>
      </w:r>
      <w:r w:rsidRPr="0020252B">
        <w:rPr>
          <w:rFonts w:hint="cs"/>
          <w:sz w:val="22"/>
          <w:szCs w:val="22"/>
          <w:rtl/>
        </w:rPr>
        <w:t xml:space="preserve">  </w:t>
      </w:r>
      <w:r w:rsidRPr="0020252B">
        <w:rPr>
          <w:rFonts w:hint="cs"/>
          <w:sz w:val="32"/>
          <w:szCs w:val="32"/>
          <w:rtl/>
        </w:rPr>
        <w:t xml:space="preserve"> </w:t>
      </w:r>
      <w:r>
        <w:rPr>
          <w:rFonts w:hint="cs"/>
          <w:sz w:val="32"/>
          <w:szCs w:val="32"/>
          <w:rtl/>
        </w:rPr>
        <w:t xml:space="preserve">  </w:t>
      </w:r>
      <w:r w:rsidRPr="0020252B">
        <w:rPr>
          <w:rFonts w:hint="cs"/>
          <w:spacing w:val="-4"/>
          <w:sz w:val="32"/>
          <w:szCs w:val="32"/>
          <w:rtl/>
        </w:rPr>
        <w:t xml:space="preserve">: </w:t>
      </w:r>
      <w:r w:rsidRPr="008451B5">
        <w:rPr>
          <w:rFonts w:hint="cs"/>
          <w:spacing w:val="-4"/>
          <w:sz w:val="32"/>
          <w:szCs w:val="32"/>
          <w:rtl/>
        </w:rPr>
        <w:t xml:space="preserve">اللَّفْظُ إِذَا كَانَ لَهُ </w:t>
      </w:r>
      <w:r>
        <w:rPr>
          <w:rFonts w:hint="cs"/>
          <w:spacing w:val="-4"/>
          <w:sz w:val="32"/>
          <w:szCs w:val="32"/>
          <w:rtl/>
        </w:rPr>
        <w:t>مَعْنًى حَقِيقِيٌّ مُسْتَعْمَلٌ</w:t>
      </w:r>
      <w:r w:rsidRPr="008451B5">
        <w:rPr>
          <w:rFonts w:hint="cs"/>
          <w:spacing w:val="-4"/>
          <w:sz w:val="32"/>
          <w:szCs w:val="32"/>
          <w:rtl/>
        </w:rPr>
        <w:t xml:space="preserve">، وَمَعْنًى </w:t>
      </w:r>
      <w:r w:rsidRPr="008451B5">
        <w:rPr>
          <w:rFonts w:hint="cs"/>
          <w:b/>
          <w:bCs/>
          <w:spacing w:val="-4"/>
          <w:sz w:val="32"/>
          <w:szCs w:val="32"/>
          <w:rtl/>
        </w:rPr>
        <w:t>مَجَازِيٌّ</w:t>
      </w:r>
      <w:r w:rsidRPr="008451B5">
        <w:rPr>
          <w:rFonts w:hint="cs"/>
          <w:spacing w:val="-4"/>
          <w:sz w:val="32"/>
          <w:szCs w:val="32"/>
          <w:rtl/>
        </w:rPr>
        <w:t xml:space="preserve"> مُتَعَارَفٌ: </w:t>
      </w:r>
      <w:r>
        <w:rPr>
          <w:rFonts w:hint="cs"/>
          <w:sz w:val="32"/>
          <w:szCs w:val="32"/>
          <w:rtl/>
        </w:rPr>
        <w:t xml:space="preserve">يُرَجَّحُ المَعْنَى الحَقِيقِيُّ عندَ أَبِي حنيفةَ </w:t>
      </w:r>
      <w:r>
        <w:rPr>
          <w:sz w:val="32"/>
          <w:szCs w:val="32"/>
          <w:rtl/>
        </w:rPr>
        <w:t>–</w:t>
      </w:r>
      <w:r>
        <w:rPr>
          <w:rFonts w:hint="cs"/>
          <w:sz w:val="32"/>
          <w:szCs w:val="32"/>
          <w:rtl/>
        </w:rPr>
        <w:t xml:space="preserve">رَحِمَهُ اللَّهُ- وعندَهُمَا </w:t>
      </w:r>
      <w:r>
        <w:rPr>
          <w:sz w:val="32"/>
          <w:szCs w:val="32"/>
          <w:rtl/>
        </w:rPr>
        <w:t>–</w:t>
      </w:r>
      <w:r>
        <w:rPr>
          <w:rFonts w:hint="cs"/>
          <w:sz w:val="32"/>
          <w:szCs w:val="32"/>
          <w:rtl/>
        </w:rPr>
        <w:t xml:space="preserve"> رَحِمَهُمَا اللَّهُ- : </w:t>
      </w:r>
      <w:r>
        <w:rPr>
          <w:rFonts w:hint="cs"/>
          <w:b/>
          <w:bCs/>
          <w:sz w:val="32"/>
          <w:szCs w:val="32"/>
          <w:rtl/>
        </w:rPr>
        <w:t>المَجَازِيُّ</w:t>
      </w:r>
      <w:r>
        <w:rPr>
          <w:rFonts w:hint="cs"/>
          <w:sz w:val="32"/>
          <w:szCs w:val="32"/>
          <w:rtl/>
        </w:rPr>
        <w:t>.</w:t>
      </w:r>
    </w:p>
    <w:p w:rsidR="00284270" w:rsidRDefault="00284270" w:rsidP="0022714B">
      <w:pPr>
        <w:pStyle w:val="21"/>
        <w:ind w:firstLine="139"/>
        <w:rPr>
          <w:sz w:val="32"/>
          <w:szCs w:val="32"/>
          <w:rtl/>
        </w:rPr>
      </w:pPr>
      <w:r>
        <w:rPr>
          <w:rFonts w:hint="cs"/>
          <w:sz w:val="32"/>
          <w:szCs w:val="32"/>
          <w:rtl/>
        </w:rPr>
        <w:t xml:space="preserve">          </w:t>
      </w:r>
      <w:r>
        <w:rPr>
          <w:rFonts w:hint="cs"/>
          <w:sz w:val="32"/>
          <w:szCs w:val="32"/>
          <w:rtl/>
        </w:rPr>
        <w:tab/>
        <w:t xml:space="preserve">      ق257 </w:t>
      </w:r>
      <w:r>
        <w:rPr>
          <w:rFonts w:hint="cs"/>
          <w:sz w:val="32"/>
          <w:szCs w:val="32"/>
          <w:rtl/>
        </w:rPr>
        <w:tab/>
      </w:r>
      <w:r>
        <w:rPr>
          <w:rFonts w:hint="cs"/>
          <w:sz w:val="32"/>
          <w:szCs w:val="32"/>
          <w:rtl/>
        </w:rPr>
        <w:tab/>
        <w:t xml:space="preserve">: ومن أحكام </w:t>
      </w:r>
      <w:r>
        <w:rPr>
          <w:rFonts w:hint="cs"/>
          <w:b w:val="0"/>
          <w:bCs w:val="0"/>
          <w:sz w:val="32"/>
          <w:szCs w:val="32"/>
          <w:rtl/>
        </w:rPr>
        <w:t>المجاز</w:t>
      </w:r>
      <w:r>
        <w:rPr>
          <w:rFonts w:hint="cs"/>
          <w:sz w:val="32"/>
          <w:szCs w:val="32"/>
          <w:rtl/>
        </w:rPr>
        <w:t>: وُجودُ ما أُرِيدَ به، خاصًّا كان أو عامًّا.</w:t>
      </w:r>
    </w:p>
    <w:p w:rsidR="00284270" w:rsidRPr="00B51E8B" w:rsidRDefault="00284270">
      <w:pPr>
        <w:rPr>
          <w:sz w:val="22"/>
          <w:szCs w:val="22"/>
          <w:rtl/>
        </w:rPr>
      </w:pPr>
    </w:p>
    <w:p w:rsidR="00284270" w:rsidRDefault="0022714B">
      <w:pPr>
        <w:jc w:val="center"/>
        <w:rPr>
          <w:b/>
          <w:bCs/>
          <w:sz w:val="48"/>
          <w:szCs w:val="48"/>
          <w:rtl/>
        </w:rPr>
      </w:pPr>
      <w:r>
        <w:rPr>
          <w:noProof/>
          <w:rtl/>
        </w:rPr>
        <w:pict>
          <v:rect id="_x0000_s1032" style="position:absolute;left:0;text-align:left;margin-left:165.3pt;margin-top:3.35pt;width:54.15pt;height:37.05pt;z-index:-251644928;mso-wrap-edited:f" wrapcoords="-379 0 -379 21600 758 22265 23495 22265 23116 997 22358 0 -379 0">
            <v:shadow on="t" offset="3pt" offset2="2pt"/>
          </v:rect>
        </w:pict>
      </w:r>
      <w:r w:rsidR="00284270">
        <w:rPr>
          <w:rFonts w:hint="cs"/>
          <w:b/>
          <w:bCs/>
          <w:sz w:val="48"/>
          <w:szCs w:val="48"/>
          <w:rtl/>
        </w:rPr>
        <w:t>(حـ)</w:t>
      </w:r>
    </w:p>
    <w:p w:rsidR="00284270" w:rsidRPr="00B51E8B" w:rsidRDefault="00284270">
      <w:pPr>
        <w:rPr>
          <w:sz w:val="26"/>
          <w:szCs w:val="26"/>
          <w:rtl/>
        </w:rPr>
      </w:pPr>
    </w:p>
    <w:p w:rsidR="00284270" w:rsidRDefault="00284270">
      <w:pPr>
        <w:rPr>
          <w:sz w:val="32"/>
          <w:szCs w:val="32"/>
          <w:rtl/>
        </w:rPr>
      </w:pPr>
      <w:r>
        <w:rPr>
          <w:rFonts w:hint="cs"/>
          <w:b/>
          <w:bCs/>
          <w:sz w:val="32"/>
          <w:szCs w:val="32"/>
          <w:rtl/>
        </w:rPr>
        <w:t>حال</w:t>
      </w:r>
      <w:r>
        <w:rPr>
          <w:rFonts w:hint="cs"/>
          <w:sz w:val="32"/>
          <w:szCs w:val="32"/>
          <w:rtl/>
        </w:rPr>
        <w:tab/>
      </w:r>
      <w:r>
        <w:rPr>
          <w:sz w:val="32"/>
          <w:szCs w:val="32"/>
        </w:rPr>
        <w:t xml:space="preserve">    </w:t>
      </w:r>
      <w:r>
        <w:rPr>
          <w:rFonts w:hint="cs"/>
          <w:sz w:val="32"/>
          <w:szCs w:val="32"/>
          <w:rtl/>
        </w:rPr>
        <w:t xml:space="preserve">:  ق110   </w:t>
      </w:r>
      <w:r>
        <w:rPr>
          <w:rFonts w:hint="cs"/>
          <w:sz w:val="32"/>
          <w:szCs w:val="32"/>
          <w:rtl/>
        </w:rPr>
        <w:tab/>
        <w:t xml:space="preserve">:  </w:t>
      </w:r>
      <w:r>
        <w:rPr>
          <w:rFonts w:hint="cs"/>
          <w:b/>
          <w:bCs/>
          <w:sz w:val="32"/>
          <w:szCs w:val="32"/>
          <w:rtl/>
        </w:rPr>
        <w:t>الحالُ</w:t>
      </w:r>
      <w:r>
        <w:rPr>
          <w:rFonts w:hint="cs"/>
          <w:sz w:val="32"/>
          <w:szCs w:val="32"/>
          <w:rtl/>
        </w:rPr>
        <w:t xml:space="preserve"> تَدُلُّ على ما</w:t>
      </w:r>
      <w:r>
        <w:rPr>
          <w:rFonts w:hint="cs"/>
          <w:bCs/>
          <w:sz w:val="32"/>
          <w:szCs w:val="32"/>
          <w:rtl/>
        </w:rPr>
        <w:t xml:space="preserve"> </w:t>
      </w:r>
      <w:r>
        <w:rPr>
          <w:rFonts w:hint="cs"/>
          <w:sz w:val="32"/>
          <w:szCs w:val="32"/>
          <w:rtl/>
        </w:rPr>
        <w:t xml:space="preserve"> قَبْلَهَا.</w:t>
      </w:r>
    </w:p>
    <w:p w:rsidR="00284270" w:rsidRPr="008451B5" w:rsidRDefault="00284270" w:rsidP="0022714B">
      <w:pPr>
        <w:spacing w:line="264" w:lineRule="auto"/>
        <w:ind w:left="2833" w:hanging="2266"/>
        <w:rPr>
          <w:spacing w:val="-4"/>
          <w:sz w:val="32"/>
          <w:szCs w:val="32"/>
          <w:rtl/>
        </w:rPr>
      </w:pPr>
      <w:r>
        <w:rPr>
          <w:rFonts w:hint="cs"/>
          <w:sz w:val="32"/>
          <w:szCs w:val="32"/>
          <w:rtl/>
        </w:rPr>
        <w:t xml:space="preserve">               ق118       : </w:t>
      </w:r>
      <w:r w:rsidRPr="008451B5">
        <w:rPr>
          <w:rFonts w:hint="cs"/>
          <w:b/>
          <w:bCs/>
          <w:spacing w:val="-4"/>
          <w:sz w:val="32"/>
          <w:szCs w:val="32"/>
          <w:rtl/>
        </w:rPr>
        <w:t>الحيلةُ</w:t>
      </w:r>
      <w:r w:rsidRPr="008451B5">
        <w:rPr>
          <w:rFonts w:hint="cs"/>
          <w:spacing w:val="-4"/>
          <w:sz w:val="32"/>
          <w:szCs w:val="32"/>
          <w:rtl/>
        </w:rPr>
        <w:t xml:space="preserve"> لدفعِ الضَّرَرِ عَنْ نفـسِهِ جائزةٌ، وإنْ تضَرَّرَ الغيرُ في ضِمْنِهِ.</w:t>
      </w:r>
    </w:p>
    <w:p w:rsidR="00284270" w:rsidRDefault="00284270" w:rsidP="0022714B">
      <w:pPr>
        <w:pStyle w:val="21"/>
        <w:spacing w:line="264" w:lineRule="auto"/>
        <w:ind w:hanging="3"/>
        <w:rPr>
          <w:sz w:val="32"/>
          <w:szCs w:val="32"/>
          <w:rtl/>
        </w:rPr>
      </w:pPr>
      <w:r>
        <w:rPr>
          <w:rFonts w:hint="cs"/>
          <w:sz w:val="32"/>
          <w:szCs w:val="32"/>
          <w:rtl/>
        </w:rPr>
        <w:t xml:space="preserve">              </w:t>
      </w:r>
      <w:r>
        <w:rPr>
          <w:rFonts w:hint="cs"/>
          <w:sz w:val="32"/>
          <w:szCs w:val="32"/>
          <w:rtl/>
        </w:rPr>
        <w:tab/>
      </w:r>
      <w:r>
        <w:rPr>
          <w:rFonts w:hint="cs"/>
          <w:sz w:val="32"/>
          <w:szCs w:val="32"/>
          <w:rtl/>
        </w:rPr>
        <w:tab/>
        <w:t xml:space="preserve">  ق 214  </w:t>
      </w:r>
      <w:r>
        <w:rPr>
          <w:rFonts w:hint="cs"/>
          <w:sz w:val="32"/>
          <w:szCs w:val="32"/>
          <w:rtl/>
        </w:rPr>
        <w:tab/>
        <w:t xml:space="preserve">: لَوْ حَكَى مَا لاَ يَمْلِكُ استئنافَهُ </w:t>
      </w:r>
      <w:r>
        <w:rPr>
          <w:rFonts w:hint="cs"/>
          <w:b w:val="0"/>
          <w:bCs w:val="0"/>
          <w:sz w:val="32"/>
          <w:szCs w:val="32"/>
          <w:rtl/>
        </w:rPr>
        <w:t>للحالِ</w:t>
      </w:r>
      <w:r>
        <w:rPr>
          <w:rFonts w:hint="cs"/>
          <w:sz w:val="32"/>
          <w:szCs w:val="32"/>
          <w:rtl/>
        </w:rPr>
        <w:t xml:space="preserve"> لا يصـدَّقُ فيمَا حَكَى </w:t>
      </w:r>
      <w:r>
        <w:rPr>
          <w:sz w:val="32"/>
          <w:szCs w:val="32"/>
          <w:rtl/>
        </w:rPr>
        <w:br/>
      </w:r>
      <w:r>
        <w:rPr>
          <w:rFonts w:hint="cs"/>
          <w:sz w:val="32"/>
          <w:szCs w:val="32"/>
          <w:rtl/>
        </w:rPr>
        <w:t xml:space="preserve">                                      بِلاَ بَيِّنَةٍ.</w:t>
      </w:r>
    </w:p>
    <w:p w:rsidR="00284270" w:rsidRDefault="00284270" w:rsidP="0022714B">
      <w:pPr>
        <w:spacing w:line="264" w:lineRule="auto"/>
        <w:ind w:left="2833" w:hanging="2266"/>
        <w:rPr>
          <w:sz w:val="32"/>
          <w:szCs w:val="32"/>
          <w:rtl/>
        </w:rPr>
      </w:pPr>
      <w:r>
        <w:rPr>
          <w:rFonts w:hint="cs"/>
          <w:b/>
          <w:bCs/>
          <w:sz w:val="32"/>
          <w:szCs w:val="32"/>
          <w:rtl/>
        </w:rPr>
        <w:t>حجج</w:t>
      </w:r>
      <w:r>
        <w:rPr>
          <w:rFonts w:hint="cs"/>
          <w:sz w:val="32"/>
          <w:szCs w:val="32"/>
          <w:rtl/>
        </w:rPr>
        <w:t xml:space="preserve">     :   ق5        : إجمَاعُ المسْلِمِينَ </w:t>
      </w:r>
      <w:r>
        <w:rPr>
          <w:rFonts w:hint="cs"/>
          <w:b/>
          <w:bCs/>
          <w:sz w:val="32"/>
          <w:szCs w:val="32"/>
          <w:rtl/>
        </w:rPr>
        <w:t>حجَّةٌ</w:t>
      </w:r>
      <w:r>
        <w:rPr>
          <w:rFonts w:hint="cs"/>
          <w:sz w:val="32"/>
          <w:szCs w:val="32"/>
          <w:rtl/>
        </w:rPr>
        <w:t xml:space="preserve"> يُخَصُّ بِهَا الأَثَرُ ويُتْرَكُ القياسُ والنَّظَرُ. </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ق22 </w:t>
      </w:r>
      <w:r>
        <w:rPr>
          <w:rFonts w:hint="cs"/>
          <w:sz w:val="32"/>
          <w:szCs w:val="32"/>
          <w:rtl/>
        </w:rPr>
        <w:tab/>
      </w:r>
      <w:r>
        <w:rPr>
          <w:rFonts w:hint="cs"/>
          <w:sz w:val="32"/>
          <w:szCs w:val="32"/>
          <w:rtl/>
        </w:rPr>
        <w:tab/>
        <w:t xml:space="preserve">: الاسْتِصْحَابُ </w:t>
      </w:r>
      <w:r>
        <w:rPr>
          <w:rFonts w:hint="cs"/>
          <w:b/>
          <w:bCs/>
          <w:sz w:val="32"/>
          <w:szCs w:val="32"/>
          <w:rtl/>
        </w:rPr>
        <w:t>حُجَّةٌ</w:t>
      </w:r>
      <w:r>
        <w:rPr>
          <w:rFonts w:hint="cs"/>
          <w:sz w:val="32"/>
          <w:szCs w:val="32"/>
          <w:rtl/>
        </w:rPr>
        <w:t xml:space="preserve"> دَافِعَةٌ لا مُثْـبِتَةٌ. </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ق41 </w:t>
      </w:r>
      <w:r>
        <w:rPr>
          <w:rFonts w:hint="cs"/>
          <w:sz w:val="32"/>
          <w:szCs w:val="32"/>
          <w:rtl/>
        </w:rPr>
        <w:tab/>
      </w:r>
      <w:r>
        <w:rPr>
          <w:rFonts w:hint="cs"/>
          <w:sz w:val="32"/>
          <w:szCs w:val="32"/>
          <w:rtl/>
        </w:rPr>
        <w:tab/>
        <w:t xml:space="preserve">: إِقْرَارُ الإِنْسَانِ لَيْسَ </w:t>
      </w:r>
      <w:r>
        <w:rPr>
          <w:rFonts w:hint="cs"/>
          <w:b/>
          <w:bCs/>
          <w:sz w:val="32"/>
          <w:szCs w:val="32"/>
          <w:rtl/>
        </w:rPr>
        <w:t>بِحُجَّةٍ</w:t>
      </w:r>
      <w:r>
        <w:rPr>
          <w:rFonts w:hint="cs"/>
          <w:sz w:val="32"/>
          <w:szCs w:val="32"/>
          <w:rtl/>
        </w:rPr>
        <w:t xml:space="preserve"> عَلَى غَيْرِهِ. </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sz w:val="32"/>
          <w:szCs w:val="32"/>
        </w:rPr>
        <w:tab/>
        <w:t xml:space="preserve">  </w:t>
      </w:r>
      <w:r>
        <w:rPr>
          <w:rFonts w:hint="cs"/>
          <w:sz w:val="32"/>
          <w:szCs w:val="32"/>
          <w:rtl/>
        </w:rPr>
        <w:t xml:space="preserve">ق163 </w:t>
      </w:r>
      <w:r>
        <w:rPr>
          <w:rFonts w:hint="cs"/>
          <w:sz w:val="32"/>
          <w:szCs w:val="32"/>
          <w:rtl/>
        </w:rPr>
        <w:tab/>
        <w:t xml:space="preserve">: العامُّ بعدَ التَّخْصِيصِ يبقَى </w:t>
      </w:r>
      <w:r>
        <w:rPr>
          <w:rFonts w:hint="cs"/>
          <w:b/>
          <w:bCs/>
          <w:sz w:val="32"/>
          <w:szCs w:val="32"/>
          <w:rtl/>
        </w:rPr>
        <w:t>حجَّةً</w:t>
      </w:r>
      <w:r>
        <w:rPr>
          <w:rFonts w:hint="cs"/>
          <w:sz w:val="32"/>
          <w:szCs w:val="32"/>
          <w:rtl/>
        </w:rPr>
        <w:t xml:space="preserve"> لا على اليَقينِ عندنا.</w:t>
      </w:r>
    </w:p>
    <w:p w:rsidR="00284270" w:rsidRDefault="00284270" w:rsidP="0022714B">
      <w:pPr>
        <w:spacing w:line="264" w:lineRule="auto"/>
        <w:rPr>
          <w:sz w:val="32"/>
          <w:szCs w:val="32"/>
          <w:rtl/>
        </w:rPr>
      </w:pPr>
      <w:r>
        <w:rPr>
          <w:rFonts w:hint="cs"/>
          <w:b/>
          <w:bCs/>
          <w:sz w:val="32"/>
          <w:szCs w:val="32"/>
          <w:rtl/>
        </w:rPr>
        <w:t>حدث</w:t>
      </w:r>
      <w:r>
        <w:rPr>
          <w:rFonts w:hint="cs"/>
          <w:sz w:val="32"/>
          <w:szCs w:val="32"/>
          <w:rtl/>
        </w:rPr>
        <w:tab/>
        <w:t xml:space="preserve">   :   ق29 </w:t>
      </w:r>
      <w:r>
        <w:rPr>
          <w:rFonts w:hint="cs"/>
          <w:sz w:val="32"/>
          <w:szCs w:val="32"/>
          <w:rtl/>
        </w:rPr>
        <w:tab/>
      </w:r>
      <w:r>
        <w:rPr>
          <w:rFonts w:hint="cs"/>
          <w:sz w:val="32"/>
          <w:szCs w:val="32"/>
          <w:rtl/>
        </w:rPr>
        <w:tab/>
        <w:t xml:space="preserve">: الأَصْلُ إِضَافَةُ </w:t>
      </w:r>
      <w:r>
        <w:rPr>
          <w:rFonts w:hint="cs"/>
          <w:b/>
          <w:bCs/>
          <w:sz w:val="32"/>
          <w:szCs w:val="32"/>
          <w:rtl/>
        </w:rPr>
        <w:t>الحَادِثِ</w:t>
      </w:r>
      <w:r>
        <w:rPr>
          <w:rFonts w:hint="cs"/>
          <w:sz w:val="32"/>
          <w:szCs w:val="32"/>
          <w:rtl/>
        </w:rPr>
        <w:t xml:space="preserve"> إلى أقرَبِ أوْقَاتِهِ. </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rFonts w:hint="cs"/>
          <w:sz w:val="32"/>
          <w:szCs w:val="32"/>
          <w:rtl/>
        </w:rPr>
        <w:tab/>
        <w:t xml:space="preserve">  ق109 </w:t>
      </w:r>
      <w:r>
        <w:rPr>
          <w:rFonts w:hint="cs"/>
          <w:sz w:val="32"/>
          <w:szCs w:val="32"/>
          <w:rtl/>
        </w:rPr>
        <w:tab/>
        <w:t xml:space="preserve">: </w:t>
      </w:r>
      <w:r>
        <w:rPr>
          <w:rFonts w:hint="cs"/>
          <w:b/>
          <w:bCs/>
          <w:sz w:val="32"/>
          <w:szCs w:val="32"/>
          <w:rtl/>
        </w:rPr>
        <w:t>الحادثُ</w:t>
      </w:r>
      <w:r>
        <w:rPr>
          <w:rFonts w:hint="cs"/>
          <w:sz w:val="32"/>
          <w:szCs w:val="32"/>
          <w:rtl/>
        </w:rPr>
        <w:t xml:space="preserve"> يُضَافُ إلى أقربِ الأوقَاتِ.</w:t>
      </w:r>
    </w:p>
    <w:p w:rsidR="00284270" w:rsidRDefault="00284270" w:rsidP="0022714B">
      <w:pPr>
        <w:pStyle w:val="21"/>
        <w:ind w:hanging="3"/>
        <w:rPr>
          <w:sz w:val="32"/>
          <w:szCs w:val="32"/>
          <w:rtl/>
        </w:rPr>
      </w:pPr>
    </w:p>
    <w:p w:rsidR="00284270" w:rsidRDefault="00284270" w:rsidP="0022714B">
      <w:pPr>
        <w:pStyle w:val="21"/>
        <w:ind w:hanging="3"/>
        <w:rPr>
          <w:sz w:val="32"/>
          <w:szCs w:val="32"/>
          <w:rtl/>
        </w:rPr>
      </w:pPr>
      <w:r>
        <w:rPr>
          <w:rFonts w:hint="cs"/>
          <w:sz w:val="32"/>
          <w:szCs w:val="32"/>
          <w:rtl/>
        </w:rPr>
        <w:t xml:space="preserve">                </w:t>
      </w:r>
      <w:r>
        <w:rPr>
          <w:rFonts w:hint="cs"/>
          <w:sz w:val="32"/>
          <w:szCs w:val="32"/>
          <w:rtl/>
        </w:rPr>
        <w:tab/>
        <w:t xml:space="preserve">  ق204</w:t>
      </w:r>
      <w:r>
        <w:rPr>
          <w:rFonts w:hint="cs"/>
          <w:sz w:val="32"/>
          <w:szCs w:val="32"/>
          <w:rtl/>
        </w:rPr>
        <w:tab/>
      </w:r>
      <w:r>
        <w:rPr>
          <w:rFonts w:hint="cs"/>
          <w:sz w:val="32"/>
          <w:szCs w:val="32"/>
          <w:rtl/>
        </w:rPr>
        <w:tab/>
        <w:t xml:space="preserve">: لاَ تُسمَعُ الدَّعوَى بَعْدَ الإبْرَاءِ العامِّ إلاّ بحقٍّ </w:t>
      </w:r>
      <w:r>
        <w:rPr>
          <w:rFonts w:hint="cs"/>
          <w:b w:val="0"/>
          <w:bCs w:val="0"/>
          <w:sz w:val="32"/>
          <w:szCs w:val="32"/>
          <w:rtl/>
        </w:rPr>
        <w:t>حادِثٍ</w:t>
      </w:r>
      <w:r>
        <w:rPr>
          <w:rFonts w:hint="cs"/>
          <w:sz w:val="32"/>
          <w:szCs w:val="32"/>
          <w:rtl/>
        </w:rPr>
        <w:t xml:space="preserve"> بَعْدَهُ.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ق232</w:t>
      </w:r>
      <w:r>
        <w:rPr>
          <w:rFonts w:hint="cs"/>
          <w:sz w:val="32"/>
          <w:szCs w:val="32"/>
          <w:rtl/>
        </w:rPr>
        <w:tab/>
      </w:r>
      <w:r>
        <w:rPr>
          <w:rFonts w:hint="cs"/>
          <w:sz w:val="32"/>
          <w:szCs w:val="32"/>
          <w:rtl/>
        </w:rPr>
        <w:tab/>
        <w:t xml:space="preserve">: المَقْضِيُّ عَلَيْهِ فِي </w:t>
      </w:r>
      <w:r>
        <w:rPr>
          <w:rFonts w:hint="cs"/>
          <w:b/>
          <w:bCs/>
          <w:sz w:val="32"/>
          <w:szCs w:val="32"/>
          <w:rtl/>
        </w:rPr>
        <w:t>حَادِثَةٍ</w:t>
      </w:r>
      <w:r>
        <w:rPr>
          <w:rFonts w:hint="cs"/>
          <w:sz w:val="32"/>
          <w:szCs w:val="32"/>
          <w:rtl/>
        </w:rPr>
        <w:t xml:space="preserve"> : لاَ تُسْمَعُ دَعْوَاهُ ولا بَيِّنَتُهُ.</w:t>
      </w:r>
    </w:p>
    <w:p w:rsidR="00284270" w:rsidRDefault="00284270">
      <w:pPr>
        <w:rPr>
          <w:sz w:val="32"/>
          <w:szCs w:val="32"/>
          <w:rtl/>
        </w:rPr>
      </w:pPr>
      <w:r>
        <w:rPr>
          <w:rFonts w:hint="cs"/>
          <w:b/>
          <w:bCs/>
          <w:sz w:val="32"/>
          <w:szCs w:val="32"/>
          <w:rtl/>
        </w:rPr>
        <w:t>حدد</w:t>
      </w:r>
      <w:r>
        <w:rPr>
          <w:rFonts w:hint="cs"/>
          <w:sz w:val="32"/>
          <w:szCs w:val="32"/>
          <w:rtl/>
        </w:rPr>
        <w:tab/>
      </w:r>
      <w:r>
        <w:rPr>
          <w:rFonts w:hint="cs"/>
          <w:sz w:val="32"/>
          <w:szCs w:val="32"/>
          <w:rtl/>
        </w:rPr>
        <w:tab/>
        <w:t xml:space="preserve">: ق111 </w:t>
      </w:r>
      <w:r>
        <w:rPr>
          <w:sz w:val="32"/>
          <w:szCs w:val="32"/>
        </w:rPr>
        <w:tab/>
      </w:r>
      <w:r>
        <w:rPr>
          <w:rFonts w:hint="cs"/>
          <w:sz w:val="32"/>
          <w:szCs w:val="32"/>
          <w:rtl/>
        </w:rPr>
        <w:t xml:space="preserve">: </w:t>
      </w:r>
      <w:r>
        <w:rPr>
          <w:rFonts w:hint="cs"/>
          <w:b/>
          <w:bCs/>
          <w:sz w:val="32"/>
          <w:szCs w:val="32"/>
          <w:rtl/>
        </w:rPr>
        <w:t>الحدود</w:t>
      </w:r>
      <w:r>
        <w:rPr>
          <w:rFonts w:hint="cs"/>
          <w:sz w:val="32"/>
          <w:szCs w:val="32"/>
          <w:rtl/>
        </w:rPr>
        <w:t>ُ تَنْدَرِئُ بالشُّبُهَاتِ.</w:t>
      </w:r>
    </w:p>
    <w:p w:rsidR="00284270" w:rsidRDefault="00284270">
      <w:pPr>
        <w:rPr>
          <w:sz w:val="32"/>
          <w:szCs w:val="32"/>
          <w:rtl/>
        </w:rPr>
      </w:pPr>
      <w:r>
        <w:rPr>
          <w:rFonts w:hint="cs"/>
          <w:b/>
          <w:bCs/>
          <w:sz w:val="32"/>
          <w:szCs w:val="32"/>
          <w:rtl/>
        </w:rPr>
        <w:t>حرر</w:t>
      </w:r>
      <w:r>
        <w:rPr>
          <w:rFonts w:hint="cs"/>
          <w:sz w:val="32"/>
          <w:szCs w:val="32"/>
          <w:rtl/>
        </w:rPr>
        <w:tab/>
      </w:r>
      <w:r>
        <w:rPr>
          <w:rFonts w:hint="cs"/>
          <w:sz w:val="32"/>
          <w:szCs w:val="32"/>
          <w:rtl/>
        </w:rPr>
        <w:tab/>
        <w:t xml:space="preserve">: ق112 </w:t>
      </w:r>
      <w:r>
        <w:rPr>
          <w:sz w:val="32"/>
          <w:szCs w:val="32"/>
        </w:rPr>
        <w:tab/>
      </w:r>
      <w:r>
        <w:rPr>
          <w:rFonts w:hint="cs"/>
          <w:sz w:val="32"/>
          <w:szCs w:val="32"/>
          <w:rtl/>
        </w:rPr>
        <w:t xml:space="preserve">: </w:t>
      </w:r>
      <w:r>
        <w:rPr>
          <w:rFonts w:hint="cs"/>
          <w:b/>
          <w:bCs/>
          <w:sz w:val="32"/>
          <w:szCs w:val="32"/>
          <w:rtl/>
        </w:rPr>
        <w:t>الحرُّ</w:t>
      </w:r>
      <w:r>
        <w:rPr>
          <w:rFonts w:hint="cs"/>
          <w:sz w:val="32"/>
          <w:szCs w:val="32"/>
          <w:rtl/>
        </w:rPr>
        <w:t xml:space="preserve"> لا يدخلُ تحتَ اليدِ.</w:t>
      </w:r>
    </w:p>
    <w:p w:rsidR="00284270" w:rsidRDefault="00284270">
      <w:pPr>
        <w:rPr>
          <w:sz w:val="32"/>
          <w:szCs w:val="32"/>
          <w:rtl/>
        </w:rPr>
      </w:pPr>
      <w:r>
        <w:rPr>
          <w:rFonts w:hint="cs"/>
          <w:b/>
          <w:bCs/>
          <w:sz w:val="32"/>
          <w:szCs w:val="32"/>
          <w:rtl/>
        </w:rPr>
        <w:t>حرم</w:t>
      </w:r>
      <w:r>
        <w:rPr>
          <w:rFonts w:hint="cs"/>
          <w:sz w:val="32"/>
          <w:szCs w:val="32"/>
          <w:rtl/>
        </w:rPr>
        <w:tab/>
      </w:r>
      <w:r>
        <w:rPr>
          <w:rFonts w:hint="cs"/>
          <w:sz w:val="32"/>
          <w:szCs w:val="32"/>
          <w:rtl/>
        </w:rPr>
        <w:tab/>
        <w:t xml:space="preserve">: ق16 </w:t>
      </w:r>
      <w:r>
        <w:rPr>
          <w:sz w:val="32"/>
          <w:szCs w:val="32"/>
        </w:rPr>
        <w:tab/>
      </w:r>
      <w:r>
        <w:rPr>
          <w:rFonts w:hint="cs"/>
          <w:sz w:val="32"/>
          <w:szCs w:val="32"/>
          <w:rtl/>
        </w:rPr>
        <w:tab/>
        <w:t xml:space="preserve">: إذَا اجتَمَعَ الحلالُ والحَرَامُ غُلِّبَ </w:t>
      </w:r>
      <w:r>
        <w:rPr>
          <w:rFonts w:hint="cs"/>
          <w:b/>
          <w:bCs/>
          <w:sz w:val="32"/>
          <w:szCs w:val="32"/>
          <w:rtl/>
        </w:rPr>
        <w:t>الحَرَامُ</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ق113 </w:t>
      </w:r>
      <w:r>
        <w:rPr>
          <w:sz w:val="32"/>
          <w:szCs w:val="32"/>
        </w:rPr>
        <w:tab/>
      </w:r>
      <w:r>
        <w:rPr>
          <w:rFonts w:hint="cs"/>
          <w:sz w:val="32"/>
          <w:szCs w:val="32"/>
          <w:rtl/>
        </w:rPr>
        <w:t xml:space="preserve">: </w:t>
      </w:r>
      <w:r>
        <w:rPr>
          <w:rFonts w:hint="cs"/>
          <w:b/>
          <w:bCs/>
          <w:sz w:val="32"/>
          <w:szCs w:val="32"/>
          <w:rtl/>
        </w:rPr>
        <w:t>الحرمةُ</w:t>
      </w:r>
      <w:r>
        <w:rPr>
          <w:rFonts w:hint="cs"/>
          <w:sz w:val="32"/>
          <w:szCs w:val="32"/>
          <w:rtl/>
        </w:rPr>
        <w:t xml:space="preserve"> تَتَعدَّى  فِي الأموالِ مَعَ العلمِ بها إلا في حقِّ الوارِثِ.</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ق218 </w:t>
      </w:r>
      <w:r>
        <w:rPr>
          <w:sz w:val="32"/>
          <w:szCs w:val="32"/>
        </w:rPr>
        <w:tab/>
      </w:r>
      <w:r>
        <w:rPr>
          <w:rFonts w:hint="cs"/>
          <w:sz w:val="32"/>
          <w:szCs w:val="32"/>
          <w:rtl/>
        </w:rPr>
        <w:t xml:space="preserve">: ما </w:t>
      </w:r>
      <w:r>
        <w:rPr>
          <w:rFonts w:hint="cs"/>
          <w:b/>
          <w:bCs/>
          <w:sz w:val="32"/>
          <w:szCs w:val="32"/>
          <w:rtl/>
        </w:rPr>
        <w:t>حَرُمَ</w:t>
      </w:r>
      <w:r>
        <w:rPr>
          <w:rFonts w:hint="cs"/>
          <w:sz w:val="32"/>
          <w:szCs w:val="32"/>
          <w:rtl/>
        </w:rPr>
        <w:t xml:space="preserve"> أَخْذُهُ </w:t>
      </w:r>
      <w:r>
        <w:rPr>
          <w:rFonts w:hint="cs"/>
          <w:b/>
          <w:bCs/>
          <w:sz w:val="32"/>
          <w:szCs w:val="32"/>
          <w:rtl/>
        </w:rPr>
        <w:t>حَرُمَ</w:t>
      </w:r>
      <w:r>
        <w:rPr>
          <w:rFonts w:hint="cs"/>
          <w:sz w:val="32"/>
          <w:szCs w:val="32"/>
          <w:rtl/>
        </w:rPr>
        <w:t xml:space="preserve"> إعْطَاؤُهُ.</w:t>
      </w:r>
    </w:p>
    <w:p w:rsidR="00284270" w:rsidRDefault="00284270">
      <w:pPr>
        <w:rPr>
          <w:sz w:val="32"/>
          <w:szCs w:val="32"/>
          <w:rtl/>
        </w:rPr>
      </w:pPr>
      <w:r>
        <w:rPr>
          <w:rFonts w:hint="cs"/>
          <w:b/>
          <w:bCs/>
          <w:sz w:val="32"/>
          <w:szCs w:val="32"/>
          <w:rtl/>
        </w:rPr>
        <w:t>حصر</w:t>
      </w:r>
      <w:r>
        <w:rPr>
          <w:rFonts w:hint="cs"/>
          <w:sz w:val="32"/>
          <w:szCs w:val="32"/>
          <w:rtl/>
        </w:rPr>
        <w:tab/>
      </w:r>
      <w:r>
        <w:rPr>
          <w:rFonts w:hint="cs"/>
          <w:sz w:val="32"/>
          <w:szCs w:val="32"/>
          <w:rtl/>
        </w:rPr>
        <w:tab/>
        <w:t xml:space="preserve">: ق71 </w:t>
      </w:r>
      <w:r>
        <w:rPr>
          <w:sz w:val="32"/>
          <w:szCs w:val="32"/>
        </w:rPr>
        <w:tab/>
      </w:r>
      <w:r>
        <w:rPr>
          <w:rFonts w:hint="cs"/>
          <w:sz w:val="32"/>
          <w:szCs w:val="32"/>
          <w:rtl/>
        </w:rPr>
        <w:tab/>
        <w:t xml:space="preserve">: التَّخصيصُ بالذِّكْرِ لا يدلُّ علَى </w:t>
      </w:r>
      <w:r>
        <w:rPr>
          <w:rFonts w:hint="cs"/>
          <w:b/>
          <w:bCs/>
          <w:sz w:val="32"/>
          <w:szCs w:val="32"/>
          <w:rtl/>
        </w:rPr>
        <w:t>الحَصْرِ</w:t>
      </w:r>
      <w:r>
        <w:rPr>
          <w:rFonts w:hint="cs"/>
          <w:sz w:val="32"/>
          <w:szCs w:val="32"/>
          <w:rtl/>
        </w:rPr>
        <w:t xml:space="preserve">. </w:t>
      </w:r>
    </w:p>
    <w:p w:rsidR="00284270" w:rsidRDefault="00284270" w:rsidP="0022714B">
      <w:pPr>
        <w:ind w:left="2833" w:hanging="2266"/>
        <w:rPr>
          <w:sz w:val="32"/>
          <w:szCs w:val="32"/>
          <w:rtl/>
        </w:rPr>
      </w:pPr>
      <w:r>
        <w:rPr>
          <w:rFonts w:hint="cs"/>
          <w:b/>
          <w:bCs/>
          <w:sz w:val="32"/>
          <w:szCs w:val="32"/>
          <w:rtl/>
        </w:rPr>
        <w:t>حضر</w:t>
      </w:r>
      <w:r>
        <w:rPr>
          <w:rFonts w:hint="cs"/>
          <w:sz w:val="32"/>
          <w:szCs w:val="32"/>
          <w:rtl/>
        </w:rPr>
        <w:t xml:space="preserve">       : ق181 </w:t>
      </w:r>
      <w:r>
        <w:rPr>
          <w:sz w:val="32"/>
          <w:szCs w:val="32"/>
        </w:rPr>
        <w:tab/>
      </w:r>
      <w:r>
        <w:rPr>
          <w:rFonts w:hint="cs"/>
          <w:sz w:val="32"/>
          <w:szCs w:val="32"/>
          <w:rtl/>
        </w:rPr>
        <w:t xml:space="preserve">: القضاءُ على الغائِبِ لا يجوزُ، إلاّ أَنْ يَكُونَ مَا يُدّعَى بِهِ على الغائبِ سببًا لازمًا لما يُدّعى بِهِ على </w:t>
      </w:r>
      <w:r>
        <w:rPr>
          <w:rFonts w:hint="cs"/>
          <w:b/>
          <w:bCs/>
          <w:sz w:val="32"/>
          <w:szCs w:val="32"/>
          <w:rtl/>
        </w:rPr>
        <w:t>الحاضِرِ</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ق184 </w:t>
      </w:r>
      <w:r>
        <w:rPr>
          <w:sz w:val="32"/>
          <w:szCs w:val="32"/>
        </w:rPr>
        <w:tab/>
      </w:r>
      <w:r>
        <w:rPr>
          <w:rFonts w:hint="cs"/>
          <w:sz w:val="32"/>
          <w:szCs w:val="32"/>
          <w:rtl/>
        </w:rPr>
        <w:t xml:space="preserve">: الكِتَابُ مِنَ الغَائِبِ كَالخِطَابِ مِنَ </w:t>
      </w:r>
      <w:r>
        <w:rPr>
          <w:rFonts w:hint="cs"/>
          <w:b/>
          <w:bCs/>
          <w:sz w:val="32"/>
          <w:szCs w:val="32"/>
          <w:rtl/>
        </w:rPr>
        <w:t>الحَاضِرِ</w:t>
      </w:r>
      <w:r>
        <w:rPr>
          <w:rFonts w:hint="cs"/>
          <w:sz w:val="32"/>
          <w:szCs w:val="32"/>
          <w:rtl/>
        </w:rPr>
        <w:t>.</w:t>
      </w:r>
    </w:p>
    <w:p w:rsidR="00284270" w:rsidRDefault="00284270">
      <w:pPr>
        <w:rPr>
          <w:sz w:val="32"/>
          <w:szCs w:val="32"/>
          <w:rtl/>
        </w:rPr>
      </w:pPr>
      <w:r>
        <w:rPr>
          <w:rFonts w:hint="cs"/>
          <w:sz w:val="32"/>
          <w:szCs w:val="32"/>
          <w:rtl/>
        </w:rPr>
        <w:lastRenderedPageBreak/>
        <w:tab/>
      </w:r>
      <w:r>
        <w:rPr>
          <w:rFonts w:hint="cs"/>
          <w:sz w:val="32"/>
          <w:szCs w:val="32"/>
          <w:rtl/>
        </w:rPr>
        <w:tab/>
      </w:r>
      <w:r>
        <w:rPr>
          <w:rFonts w:hint="cs"/>
          <w:sz w:val="32"/>
          <w:szCs w:val="32"/>
          <w:rtl/>
        </w:rPr>
        <w:tab/>
        <w:t xml:space="preserve">  ق253 </w:t>
      </w:r>
      <w:r>
        <w:rPr>
          <w:sz w:val="32"/>
          <w:szCs w:val="32"/>
        </w:rPr>
        <w:tab/>
      </w:r>
      <w:r>
        <w:rPr>
          <w:rFonts w:hint="cs"/>
          <w:sz w:val="32"/>
          <w:szCs w:val="32"/>
          <w:rtl/>
        </w:rPr>
        <w:t xml:space="preserve">: الوَصْفُ فِي </w:t>
      </w:r>
      <w:r>
        <w:rPr>
          <w:rFonts w:hint="cs"/>
          <w:b/>
          <w:bCs/>
          <w:sz w:val="32"/>
          <w:szCs w:val="32"/>
          <w:rtl/>
        </w:rPr>
        <w:t>الحَاضِرِ</w:t>
      </w:r>
      <w:r>
        <w:rPr>
          <w:rFonts w:hint="cs"/>
          <w:sz w:val="32"/>
          <w:szCs w:val="32"/>
          <w:rtl/>
        </w:rPr>
        <w:t xml:space="preserve"> لَغُوٌ، وَفِي الغَائِبِ مُعْتَبَرٌ.</w:t>
      </w:r>
    </w:p>
    <w:p w:rsidR="00284270" w:rsidRDefault="00284270">
      <w:pPr>
        <w:rPr>
          <w:sz w:val="32"/>
          <w:szCs w:val="32"/>
          <w:rtl/>
        </w:rPr>
      </w:pPr>
      <w:r w:rsidRPr="003979AA">
        <w:rPr>
          <w:rFonts w:hint="cs"/>
          <w:b/>
          <w:bCs/>
          <w:sz w:val="32"/>
          <w:szCs w:val="32"/>
          <w:rtl/>
        </w:rPr>
        <w:t>حظر</w:t>
      </w:r>
      <w:r>
        <w:rPr>
          <w:rFonts w:hint="cs"/>
          <w:sz w:val="32"/>
          <w:szCs w:val="32"/>
          <w:rtl/>
        </w:rPr>
        <w:tab/>
      </w:r>
      <w:r>
        <w:rPr>
          <w:rFonts w:hint="cs"/>
          <w:sz w:val="32"/>
          <w:szCs w:val="32"/>
          <w:rtl/>
        </w:rPr>
        <w:tab/>
        <w:t xml:space="preserve">: ق156 </w:t>
      </w:r>
      <w:r>
        <w:rPr>
          <w:sz w:val="32"/>
          <w:szCs w:val="32"/>
        </w:rPr>
        <w:tab/>
      </w:r>
      <w:r>
        <w:rPr>
          <w:rFonts w:hint="cs"/>
          <w:sz w:val="32"/>
          <w:szCs w:val="32"/>
          <w:rtl/>
        </w:rPr>
        <w:t xml:space="preserve">: الضَّرُورَاتُ تُبِيحُ </w:t>
      </w:r>
      <w:r>
        <w:rPr>
          <w:rFonts w:hint="cs"/>
          <w:b/>
          <w:bCs/>
          <w:sz w:val="32"/>
          <w:szCs w:val="32"/>
          <w:rtl/>
        </w:rPr>
        <w:t>المَحْظُورَاتِ</w:t>
      </w:r>
      <w:r>
        <w:rPr>
          <w:rFonts w:hint="cs"/>
          <w:sz w:val="32"/>
          <w:szCs w:val="32"/>
          <w:rtl/>
        </w:rPr>
        <w:t>.</w:t>
      </w:r>
    </w:p>
    <w:p w:rsidR="00284270" w:rsidRDefault="00284270">
      <w:pPr>
        <w:rPr>
          <w:sz w:val="32"/>
          <w:szCs w:val="32"/>
          <w:rtl/>
        </w:rPr>
      </w:pPr>
      <w:r w:rsidRPr="003979AA">
        <w:rPr>
          <w:rFonts w:hint="cs"/>
          <w:b/>
          <w:bCs/>
          <w:sz w:val="32"/>
          <w:szCs w:val="32"/>
          <w:rtl/>
        </w:rPr>
        <w:t>حقق</w:t>
      </w:r>
      <w:r>
        <w:rPr>
          <w:rFonts w:hint="cs"/>
          <w:sz w:val="32"/>
          <w:szCs w:val="32"/>
          <w:rtl/>
        </w:rPr>
        <w:t xml:space="preserve"> </w:t>
      </w:r>
      <w:r>
        <w:rPr>
          <w:rFonts w:hint="cs"/>
          <w:sz w:val="32"/>
          <w:szCs w:val="32"/>
          <w:rtl/>
        </w:rPr>
        <w:tab/>
      </w:r>
      <w:r>
        <w:rPr>
          <w:rFonts w:hint="cs"/>
          <w:sz w:val="32"/>
          <w:szCs w:val="32"/>
          <w:rtl/>
        </w:rPr>
        <w:tab/>
        <w:t xml:space="preserve">: ق42 </w:t>
      </w:r>
      <w:r>
        <w:rPr>
          <w:sz w:val="32"/>
          <w:szCs w:val="32"/>
        </w:rPr>
        <w:tab/>
      </w:r>
      <w:r>
        <w:rPr>
          <w:rFonts w:hint="cs"/>
          <w:sz w:val="32"/>
          <w:szCs w:val="32"/>
          <w:rtl/>
        </w:rPr>
        <w:tab/>
        <w:t xml:space="preserve">: الإقرارُ لا يكونُ سبـبًا </w:t>
      </w:r>
      <w:r>
        <w:rPr>
          <w:rFonts w:hint="cs"/>
          <w:b/>
          <w:bCs/>
          <w:sz w:val="32"/>
          <w:szCs w:val="32"/>
          <w:rtl/>
        </w:rPr>
        <w:t>للاستحقاق</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ق59 </w:t>
      </w:r>
      <w:r>
        <w:rPr>
          <w:sz w:val="32"/>
          <w:szCs w:val="32"/>
        </w:rPr>
        <w:tab/>
      </w:r>
      <w:r>
        <w:rPr>
          <w:rFonts w:hint="cs"/>
          <w:sz w:val="32"/>
          <w:szCs w:val="32"/>
          <w:rtl/>
        </w:rPr>
        <w:tab/>
        <w:t xml:space="preserve">: </w:t>
      </w:r>
      <w:r>
        <w:rPr>
          <w:rFonts w:hint="eastAsia"/>
          <w:sz w:val="32"/>
          <w:szCs w:val="32"/>
          <w:rtl/>
        </w:rPr>
        <w:t>ب</w:t>
      </w:r>
      <w:r>
        <w:rPr>
          <w:rFonts w:hint="cs"/>
          <w:sz w:val="32"/>
          <w:szCs w:val="32"/>
          <w:rtl/>
        </w:rPr>
        <w:t>َ</w:t>
      </w:r>
      <w:r>
        <w:rPr>
          <w:rFonts w:hint="eastAsia"/>
          <w:sz w:val="32"/>
          <w:szCs w:val="32"/>
          <w:rtl/>
        </w:rPr>
        <w:t>ي</w:t>
      </w:r>
      <w:r>
        <w:rPr>
          <w:rFonts w:hint="cs"/>
          <w:sz w:val="32"/>
          <w:szCs w:val="32"/>
          <w:rtl/>
        </w:rPr>
        <w:t>ْ</w:t>
      </w:r>
      <w:r>
        <w:rPr>
          <w:rFonts w:hint="eastAsia"/>
          <w:sz w:val="32"/>
          <w:szCs w:val="32"/>
          <w:rtl/>
        </w:rPr>
        <w:t>ع</w:t>
      </w:r>
      <w:r>
        <w:rPr>
          <w:rFonts w:hint="cs"/>
          <w:sz w:val="32"/>
          <w:szCs w:val="32"/>
          <w:rtl/>
        </w:rPr>
        <w:t>ُ</w:t>
      </w:r>
      <w:r>
        <w:rPr>
          <w:sz w:val="32"/>
          <w:szCs w:val="32"/>
          <w:rtl/>
        </w:rPr>
        <w:t xml:space="preserve"> </w:t>
      </w:r>
      <w:r>
        <w:rPr>
          <w:b/>
          <w:bCs/>
          <w:sz w:val="32"/>
          <w:szCs w:val="32"/>
          <w:rtl/>
        </w:rPr>
        <w:t>الح</w:t>
      </w:r>
      <w:r>
        <w:rPr>
          <w:rFonts w:hint="cs"/>
          <w:b/>
          <w:bCs/>
          <w:sz w:val="32"/>
          <w:szCs w:val="32"/>
          <w:rtl/>
        </w:rPr>
        <w:t>ُ</w:t>
      </w:r>
      <w:r>
        <w:rPr>
          <w:b/>
          <w:bCs/>
          <w:sz w:val="32"/>
          <w:szCs w:val="32"/>
          <w:rtl/>
        </w:rPr>
        <w:t>ق</w:t>
      </w:r>
      <w:r>
        <w:rPr>
          <w:rFonts w:hint="cs"/>
          <w:b/>
          <w:bCs/>
          <w:sz w:val="32"/>
          <w:szCs w:val="32"/>
          <w:rtl/>
        </w:rPr>
        <w:t>ُ</w:t>
      </w:r>
      <w:r>
        <w:rPr>
          <w:b/>
          <w:bCs/>
          <w:sz w:val="32"/>
          <w:szCs w:val="32"/>
          <w:rtl/>
        </w:rPr>
        <w:t>وق</w:t>
      </w:r>
      <w:r>
        <w:rPr>
          <w:rFonts w:hint="cs"/>
          <w:b/>
          <w:bCs/>
          <w:sz w:val="32"/>
          <w:szCs w:val="32"/>
          <w:rtl/>
        </w:rPr>
        <w:t>ِ</w:t>
      </w:r>
      <w:r>
        <w:rPr>
          <w:sz w:val="32"/>
          <w:szCs w:val="32"/>
          <w:rtl/>
        </w:rPr>
        <w:t xml:space="preserve"> لا يجوز</w:t>
      </w:r>
      <w:r>
        <w:rPr>
          <w:rFonts w:hint="cs"/>
          <w:sz w:val="32"/>
          <w:szCs w:val="32"/>
          <w:rtl/>
        </w:rPr>
        <w:t>ُ</w:t>
      </w:r>
      <w:r>
        <w:rPr>
          <w:sz w:val="32"/>
          <w:szCs w:val="32"/>
          <w:rtl/>
        </w:rPr>
        <w:t xml:space="preserve"> بالان</w:t>
      </w:r>
      <w:r>
        <w:rPr>
          <w:rFonts w:hint="cs"/>
          <w:sz w:val="32"/>
          <w:szCs w:val="32"/>
          <w:rtl/>
        </w:rPr>
        <w:t>ْ</w:t>
      </w:r>
      <w:r>
        <w:rPr>
          <w:sz w:val="32"/>
          <w:szCs w:val="32"/>
          <w:rtl/>
        </w:rPr>
        <w:t>ف</w:t>
      </w:r>
      <w:r>
        <w:rPr>
          <w:rFonts w:hint="cs"/>
          <w:sz w:val="32"/>
          <w:szCs w:val="32"/>
          <w:rtl/>
        </w:rPr>
        <w:t>ِ</w:t>
      </w:r>
      <w:r>
        <w:rPr>
          <w:sz w:val="32"/>
          <w:szCs w:val="32"/>
          <w:rtl/>
        </w:rPr>
        <w:t>ر</w:t>
      </w:r>
      <w:r>
        <w:rPr>
          <w:rFonts w:hint="cs"/>
          <w:sz w:val="32"/>
          <w:szCs w:val="32"/>
          <w:rtl/>
        </w:rPr>
        <w:t>َ</w:t>
      </w:r>
      <w:r>
        <w:rPr>
          <w:sz w:val="32"/>
          <w:szCs w:val="32"/>
          <w:rtl/>
        </w:rPr>
        <w:t>اد</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ق76 </w:t>
      </w:r>
      <w:r>
        <w:rPr>
          <w:rFonts w:hint="cs"/>
          <w:sz w:val="32"/>
          <w:szCs w:val="32"/>
          <w:rtl/>
        </w:rPr>
        <w:tab/>
        <w:t xml:space="preserve">: تصُّرفُ الإنسَانِ في خالِصِ </w:t>
      </w:r>
      <w:r>
        <w:rPr>
          <w:rFonts w:hint="cs"/>
          <w:b/>
          <w:bCs/>
          <w:sz w:val="32"/>
          <w:szCs w:val="32"/>
          <w:rtl/>
        </w:rPr>
        <w:t>حقِّهِ</w:t>
      </w:r>
      <w:r>
        <w:rPr>
          <w:rFonts w:hint="cs"/>
          <w:sz w:val="32"/>
          <w:szCs w:val="32"/>
          <w:rtl/>
        </w:rPr>
        <w:t xml:space="preserve"> إنَّما يصحُّ إذا لَمْ يُتضرَّرْ بِهِ.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ق114 </w:t>
      </w:r>
      <w:r>
        <w:rPr>
          <w:sz w:val="32"/>
          <w:szCs w:val="32"/>
        </w:rPr>
        <w:tab/>
      </w:r>
      <w:r>
        <w:rPr>
          <w:rFonts w:hint="cs"/>
          <w:sz w:val="32"/>
          <w:szCs w:val="32"/>
          <w:rtl/>
        </w:rPr>
        <w:t xml:space="preserve">: </w:t>
      </w:r>
      <w:r>
        <w:rPr>
          <w:rFonts w:hint="cs"/>
          <w:b/>
          <w:bCs/>
          <w:sz w:val="32"/>
          <w:szCs w:val="32"/>
          <w:rtl/>
        </w:rPr>
        <w:t>الحقيقةُ</w:t>
      </w:r>
      <w:r>
        <w:rPr>
          <w:rFonts w:hint="cs"/>
          <w:sz w:val="32"/>
          <w:szCs w:val="32"/>
          <w:rtl/>
        </w:rPr>
        <w:t xml:space="preserve"> تُتركُ بدلالةِ العادةِ.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ق140 </w:t>
      </w:r>
      <w:r>
        <w:rPr>
          <w:sz w:val="32"/>
          <w:szCs w:val="32"/>
        </w:rPr>
        <w:tab/>
      </w:r>
      <w:r>
        <w:rPr>
          <w:rFonts w:hint="cs"/>
          <w:sz w:val="32"/>
          <w:szCs w:val="32"/>
          <w:rtl/>
        </w:rPr>
        <w:t xml:space="preserve">: السِّرَايَةُ تَكُونُ فِي الأُمُورِ الشَّرْعِيَّةِ لاَ </w:t>
      </w:r>
      <w:r>
        <w:rPr>
          <w:rFonts w:hint="cs"/>
          <w:b/>
          <w:bCs/>
          <w:sz w:val="32"/>
          <w:szCs w:val="32"/>
          <w:rtl/>
        </w:rPr>
        <w:t>الحَقِيْقَةِ</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ق160 </w:t>
      </w:r>
      <w:r>
        <w:rPr>
          <w:rFonts w:hint="cs"/>
          <w:sz w:val="32"/>
          <w:szCs w:val="32"/>
          <w:rtl/>
        </w:rPr>
        <w:tab/>
        <w:t xml:space="preserve">: طَرَفَي التَّرْجِيحِ إذا تـَعَارَضَا كانَ الرُّجْحَانُ في الذَّاتِ </w:t>
      </w:r>
      <w:r>
        <w:rPr>
          <w:rFonts w:hint="cs"/>
          <w:b/>
          <w:bCs/>
          <w:sz w:val="32"/>
          <w:szCs w:val="32"/>
          <w:rtl/>
        </w:rPr>
        <w:t>أَحَقُّ</w:t>
      </w:r>
      <w:r>
        <w:rPr>
          <w:rFonts w:hint="cs"/>
          <w:sz w:val="32"/>
          <w:szCs w:val="32"/>
          <w:rtl/>
        </w:rPr>
        <w:t xml:space="preserve"> مِنْهُ في الحال.ِ</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ق197 </w:t>
      </w:r>
      <w:r>
        <w:rPr>
          <w:sz w:val="32"/>
          <w:szCs w:val="32"/>
        </w:rPr>
        <w:tab/>
      </w:r>
      <w:r>
        <w:rPr>
          <w:rFonts w:hint="cs"/>
          <w:sz w:val="32"/>
          <w:szCs w:val="32"/>
          <w:rtl/>
        </w:rPr>
        <w:t xml:space="preserve">: لاَ تَأْثِيرَ للعَزِيمَةِ في تَغْيِيرِ </w:t>
      </w:r>
      <w:r>
        <w:rPr>
          <w:rFonts w:hint="cs"/>
          <w:b/>
          <w:bCs/>
          <w:sz w:val="32"/>
          <w:szCs w:val="32"/>
          <w:rtl/>
        </w:rPr>
        <w:t>الحَقِيقَةِ</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ق210 </w:t>
      </w:r>
      <w:r>
        <w:rPr>
          <w:rFonts w:hint="cs"/>
          <w:sz w:val="32"/>
          <w:szCs w:val="32"/>
          <w:rtl/>
        </w:rPr>
        <w:tab/>
        <w:t xml:space="preserve">: لاَ يَجُوزُ إِرَادَةُ المَعْنَى </w:t>
      </w:r>
      <w:r>
        <w:rPr>
          <w:rFonts w:hint="cs"/>
          <w:b/>
          <w:bCs/>
          <w:sz w:val="32"/>
          <w:szCs w:val="32"/>
          <w:rtl/>
        </w:rPr>
        <w:t>الحَقِيقِيِّ</w:t>
      </w:r>
      <w:r>
        <w:rPr>
          <w:rFonts w:hint="cs"/>
          <w:sz w:val="32"/>
          <w:szCs w:val="32"/>
          <w:rtl/>
        </w:rPr>
        <w:t xml:space="preserve"> وَالمَجَازِيِّ مِنْ لَفْظٍ وَاحِدٍ.</w:t>
      </w:r>
    </w:p>
    <w:p w:rsidR="00284270" w:rsidRDefault="00284270" w:rsidP="0022714B">
      <w:pPr>
        <w:ind w:left="2833" w:hanging="2266"/>
        <w:rPr>
          <w:sz w:val="32"/>
          <w:szCs w:val="32"/>
          <w:rtl/>
        </w:rPr>
      </w:pPr>
      <w:r>
        <w:rPr>
          <w:rFonts w:hint="cs"/>
          <w:sz w:val="32"/>
          <w:szCs w:val="32"/>
          <w:rtl/>
        </w:rPr>
        <w:t xml:space="preserve">               ق213 </w:t>
      </w:r>
      <w:r>
        <w:rPr>
          <w:sz w:val="32"/>
          <w:szCs w:val="32"/>
        </w:rPr>
        <w:tab/>
      </w:r>
      <w:r>
        <w:rPr>
          <w:rFonts w:hint="cs"/>
          <w:sz w:val="32"/>
          <w:szCs w:val="32"/>
          <w:rtl/>
        </w:rPr>
        <w:t xml:space="preserve">: اللَّفْظُ إِذَا كَانَ لَهُ مَعْنًى </w:t>
      </w:r>
      <w:r>
        <w:rPr>
          <w:rFonts w:hint="cs"/>
          <w:b/>
          <w:bCs/>
          <w:sz w:val="32"/>
          <w:szCs w:val="32"/>
          <w:rtl/>
        </w:rPr>
        <w:t>حَقِيقِيٌّ</w:t>
      </w:r>
      <w:r>
        <w:rPr>
          <w:rFonts w:hint="cs"/>
          <w:sz w:val="32"/>
          <w:szCs w:val="32"/>
          <w:rtl/>
        </w:rPr>
        <w:t xml:space="preserve"> مُسْتَعْمَلٌ ، وَمَعْنًى مَجَازِيٌّ مُتَعَارَفٌ : يُرَجَّحُ المَعْنَى </w:t>
      </w:r>
      <w:r>
        <w:rPr>
          <w:rFonts w:hint="cs"/>
          <w:b/>
          <w:bCs/>
          <w:sz w:val="32"/>
          <w:szCs w:val="32"/>
          <w:rtl/>
        </w:rPr>
        <w:t>الحَقِيقِيُّ</w:t>
      </w:r>
      <w:r>
        <w:rPr>
          <w:rFonts w:hint="cs"/>
          <w:sz w:val="32"/>
          <w:szCs w:val="32"/>
          <w:rtl/>
        </w:rPr>
        <w:t xml:space="preserve"> عندَ أَبِي حنيفةَ </w:t>
      </w:r>
      <w:r>
        <w:rPr>
          <w:sz w:val="32"/>
          <w:szCs w:val="32"/>
          <w:rtl/>
        </w:rPr>
        <w:t>–</w:t>
      </w:r>
      <w:r>
        <w:rPr>
          <w:rFonts w:hint="cs"/>
          <w:sz w:val="32"/>
          <w:szCs w:val="32"/>
          <w:rtl/>
        </w:rPr>
        <w:t xml:space="preserve">رَحِمَهُ اللَّهُ- وعندَهُمَا </w:t>
      </w:r>
      <w:r>
        <w:rPr>
          <w:sz w:val="32"/>
          <w:szCs w:val="32"/>
          <w:rtl/>
        </w:rPr>
        <w:t>–</w:t>
      </w:r>
      <w:r>
        <w:rPr>
          <w:rFonts w:hint="cs"/>
          <w:sz w:val="32"/>
          <w:szCs w:val="32"/>
          <w:rtl/>
        </w:rPr>
        <w:t xml:space="preserve"> رَحِمَهُمَا اللَّهُ- : المَجَازِيُّ.</w:t>
      </w:r>
    </w:p>
    <w:p w:rsidR="00284270" w:rsidRDefault="00284270">
      <w:pPr>
        <w:rPr>
          <w:sz w:val="32"/>
          <w:szCs w:val="32"/>
          <w:rtl/>
        </w:rPr>
      </w:pPr>
      <w:r>
        <w:rPr>
          <w:rFonts w:hint="cs"/>
          <w:b/>
          <w:bCs/>
          <w:sz w:val="32"/>
          <w:szCs w:val="32"/>
          <w:rtl/>
        </w:rPr>
        <w:t>حكم</w:t>
      </w:r>
      <w:r>
        <w:rPr>
          <w:rFonts w:hint="cs"/>
          <w:sz w:val="32"/>
          <w:szCs w:val="32"/>
          <w:rtl/>
        </w:rPr>
        <w:tab/>
      </w:r>
      <w:r>
        <w:rPr>
          <w:sz w:val="32"/>
          <w:szCs w:val="32"/>
        </w:rPr>
        <w:tab/>
      </w:r>
      <w:r>
        <w:rPr>
          <w:rFonts w:hint="cs"/>
          <w:sz w:val="32"/>
          <w:szCs w:val="32"/>
          <w:rtl/>
        </w:rPr>
        <w:t xml:space="preserve">: ق17 </w:t>
      </w:r>
      <w:r>
        <w:rPr>
          <w:sz w:val="32"/>
          <w:szCs w:val="32"/>
        </w:rPr>
        <w:tab/>
      </w:r>
      <w:r>
        <w:rPr>
          <w:rFonts w:hint="cs"/>
          <w:sz w:val="32"/>
          <w:szCs w:val="32"/>
          <w:rtl/>
        </w:rPr>
        <w:tab/>
        <w:t xml:space="preserve">: الأَسْبَابُ مطلوبةٌ </w:t>
      </w:r>
      <w:r>
        <w:rPr>
          <w:rFonts w:hint="cs"/>
          <w:b/>
          <w:bCs/>
          <w:sz w:val="32"/>
          <w:szCs w:val="32"/>
          <w:rtl/>
        </w:rPr>
        <w:t>للأحكامِ</w:t>
      </w:r>
      <w:r>
        <w:rPr>
          <w:rFonts w:hint="cs"/>
          <w:sz w:val="32"/>
          <w:szCs w:val="32"/>
          <w:rtl/>
        </w:rPr>
        <w:t xml:space="preserve">، لا لأعيَانِها.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ق53 </w:t>
      </w:r>
      <w:r>
        <w:rPr>
          <w:sz w:val="32"/>
          <w:szCs w:val="32"/>
        </w:rPr>
        <w:tab/>
      </w:r>
      <w:r>
        <w:rPr>
          <w:rFonts w:hint="cs"/>
          <w:sz w:val="32"/>
          <w:szCs w:val="32"/>
          <w:rtl/>
        </w:rPr>
        <w:tab/>
        <w:t xml:space="preserve">: </w:t>
      </w:r>
      <w:r>
        <w:rPr>
          <w:rFonts w:hint="eastAsia"/>
          <w:sz w:val="32"/>
          <w:szCs w:val="32"/>
          <w:rtl/>
        </w:rPr>
        <w:t>ب</w:t>
      </w:r>
      <w:r>
        <w:rPr>
          <w:rFonts w:hint="cs"/>
          <w:sz w:val="32"/>
          <w:szCs w:val="32"/>
          <w:rtl/>
        </w:rPr>
        <w:t>َ</w:t>
      </w:r>
      <w:r>
        <w:rPr>
          <w:rFonts w:hint="eastAsia"/>
          <w:sz w:val="32"/>
          <w:szCs w:val="32"/>
          <w:rtl/>
        </w:rPr>
        <w:t>ق</w:t>
      </w:r>
      <w:r>
        <w:rPr>
          <w:rFonts w:hint="cs"/>
          <w:sz w:val="32"/>
          <w:szCs w:val="32"/>
          <w:rtl/>
        </w:rPr>
        <w:t>َ</w:t>
      </w:r>
      <w:r>
        <w:rPr>
          <w:rFonts w:hint="eastAsia"/>
          <w:sz w:val="32"/>
          <w:szCs w:val="32"/>
          <w:rtl/>
        </w:rPr>
        <w:t>اء</w:t>
      </w:r>
      <w:r>
        <w:rPr>
          <w:rFonts w:hint="cs"/>
          <w:sz w:val="32"/>
          <w:szCs w:val="32"/>
          <w:rtl/>
        </w:rPr>
        <w:t>ُ</w:t>
      </w:r>
      <w:r>
        <w:rPr>
          <w:sz w:val="32"/>
          <w:szCs w:val="32"/>
          <w:rtl/>
        </w:rPr>
        <w:t xml:space="preserve"> </w:t>
      </w:r>
      <w:r>
        <w:rPr>
          <w:b/>
          <w:bCs/>
          <w:sz w:val="32"/>
          <w:szCs w:val="32"/>
          <w:rtl/>
        </w:rPr>
        <w:t>الح</w:t>
      </w:r>
      <w:r>
        <w:rPr>
          <w:rFonts w:hint="cs"/>
          <w:b/>
          <w:bCs/>
          <w:sz w:val="32"/>
          <w:szCs w:val="32"/>
          <w:rtl/>
        </w:rPr>
        <w:t>ُ</w:t>
      </w:r>
      <w:r>
        <w:rPr>
          <w:b/>
          <w:bCs/>
          <w:sz w:val="32"/>
          <w:szCs w:val="32"/>
          <w:rtl/>
        </w:rPr>
        <w:t>ك</w:t>
      </w:r>
      <w:r>
        <w:rPr>
          <w:rFonts w:hint="cs"/>
          <w:b/>
          <w:bCs/>
          <w:sz w:val="32"/>
          <w:szCs w:val="32"/>
          <w:rtl/>
        </w:rPr>
        <w:t>ْ</w:t>
      </w:r>
      <w:r>
        <w:rPr>
          <w:b/>
          <w:bCs/>
          <w:sz w:val="32"/>
          <w:szCs w:val="32"/>
          <w:rtl/>
        </w:rPr>
        <w:t>م</w:t>
      </w:r>
      <w:r>
        <w:rPr>
          <w:rFonts w:hint="cs"/>
          <w:b/>
          <w:bCs/>
          <w:sz w:val="32"/>
          <w:szCs w:val="32"/>
          <w:rtl/>
        </w:rPr>
        <w:t>ِ</w:t>
      </w:r>
      <w:r>
        <w:rPr>
          <w:sz w:val="32"/>
          <w:szCs w:val="32"/>
          <w:rtl/>
        </w:rPr>
        <w:t xml:space="preserve"> ي</w:t>
      </w:r>
      <w:r>
        <w:rPr>
          <w:rFonts w:hint="cs"/>
          <w:sz w:val="32"/>
          <w:szCs w:val="32"/>
          <w:rtl/>
        </w:rPr>
        <w:t>َ</w:t>
      </w:r>
      <w:r>
        <w:rPr>
          <w:sz w:val="32"/>
          <w:szCs w:val="32"/>
          <w:rtl/>
        </w:rPr>
        <w:t>س</w:t>
      </w:r>
      <w:r>
        <w:rPr>
          <w:rFonts w:hint="cs"/>
          <w:sz w:val="32"/>
          <w:szCs w:val="32"/>
          <w:rtl/>
        </w:rPr>
        <w:t>ْ</w:t>
      </w:r>
      <w:r>
        <w:rPr>
          <w:sz w:val="32"/>
          <w:szCs w:val="32"/>
          <w:rtl/>
        </w:rPr>
        <w:t>ت</w:t>
      </w:r>
      <w:r>
        <w:rPr>
          <w:rFonts w:hint="cs"/>
          <w:sz w:val="32"/>
          <w:szCs w:val="32"/>
          <w:rtl/>
        </w:rPr>
        <w:t>َغْ</w:t>
      </w:r>
      <w:r>
        <w:rPr>
          <w:sz w:val="32"/>
          <w:szCs w:val="32"/>
          <w:rtl/>
        </w:rPr>
        <w:t>ن</w:t>
      </w:r>
      <w:r>
        <w:rPr>
          <w:rFonts w:hint="cs"/>
          <w:sz w:val="32"/>
          <w:szCs w:val="32"/>
          <w:rtl/>
        </w:rPr>
        <w:t>ِ</w:t>
      </w:r>
      <w:r>
        <w:rPr>
          <w:sz w:val="32"/>
          <w:szCs w:val="32"/>
          <w:rtl/>
        </w:rPr>
        <w:t xml:space="preserve">ي </w:t>
      </w:r>
      <w:r>
        <w:rPr>
          <w:rFonts w:hint="eastAsia"/>
          <w:sz w:val="32"/>
          <w:szCs w:val="32"/>
          <w:rtl/>
        </w:rPr>
        <w:t>ع</w:t>
      </w:r>
      <w:r>
        <w:rPr>
          <w:rFonts w:hint="cs"/>
          <w:sz w:val="32"/>
          <w:szCs w:val="32"/>
          <w:rtl/>
        </w:rPr>
        <w:t>َ</w:t>
      </w:r>
      <w:r>
        <w:rPr>
          <w:rFonts w:hint="eastAsia"/>
          <w:sz w:val="32"/>
          <w:szCs w:val="32"/>
          <w:rtl/>
        </w:rPr>
        <w:t>ن</w:t>
      </w:r>
      <w:r>
        <w:rPr>
          <w:rFonts w:hint="cs"/>
          <w:sz w:val="32"/>
          <w:szCs w:val="32"/>
          <w:rtl/>
        </w:rPr>
        <w:t>ْ</w:t>
      </w:r>
      <w:r>
        <w:rPr>
          <w:sz w:val="32"/>
          <w:szCs w:val="32"/>
          <w:rtl/>
        </w:rPr>
        <w:t xml:space="preserve"> ب</w:t>
      </w:r>
      <w:r>
        <w:rPr>
          <w:rFonts w:hint="cs"/>
          <w:sz w:val="32"/>
          <w:szCs w:val="32"/>
          <w:rtl/>
        </w:rPr>
        <w:t>َ</w:t>
      </w:r>
      <w:r>
        <w:rPr>
          <w:sz w:val="32"/>
          <w:szCs w:val="32"/>
          <w:rtl/>
        </w:rPr>
        <w:t>ق</w:t>
      </w:r>
      <w:r>
        <w:rPr>
          <w:rFonts w:hint="cs"/>
          <w:sz w:val="32"/>
          <w:szCs w:val="32"/>
          <w:rtl/>
        </w:rPr>
        <w:t>َ</w:t>
      </w:r>
      <w:r>
        <w:rPr>
          <w:sz w:val="32"/>
          <w:szCs w:val="32"/>
          <w:rtl/>
        </w:rPr>
        <w:t>اء</w:t>
      </w:r>
      <w:r>
        <w:rPr>
          <w:rFonts w:hint="cs"/>
          <w:sz w:val="32"/>
          <w:szCs w:val="32"/>
          <w:rtl/>
        </w:rPr>
        <w:t>ِ</w:t>
      </w:r>
      <w:r>
        <w:rPr>
          <w:sz w:val="32"/>
          <w:szCs w:val="32"/>
          <w:rtl/>
        </w:rPr>
        <w:t xml:space="preserve"> الس</w:t>
      </w:r>
      <w:r>
        <w:rPr>
          <w:rFonts w:hint="cs"/>
          <w:sz w:val="32"/>
          <w:szCs w:val="32"/>
          <w:rtl/>
        </w:rPr>
        <w:t>َّ</w:t>
      </w:r>
      <w:r>
        <w:rPr>
          <w:sz w:val="32"/>
          <w:szCs w:val="32"/>
          <w:rtl/>
        </w:rPr>
        <w:t>ب</w:t>
      </w:r>
      <w:r>
        <w:rPr>
          <w:rFonts w:hint="cs"/>
          <w:sz w:val="32"/>
          <w:szCs w:val="32"/>
          <w:rtl/>
        </w:rPr>
        <w:t>َ</w:t>
      </w:r>
      <w:r>
        <w:rPr>
          <w:sz w:val="32"/>
          <w:szCs w:val="32"/>
          <w:rtl/>
        </w:rPr>
        <w:t>ب</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ق63 </w:t>
      </w:r>
      <w:r>
        <w:rPr>
          <w:sz w:val="32"/>
          <w:szCs w:val="32"/>
        </w:rPr>
        <w:tab/>
      </w:r>
      <w:r>
        <w:rPr>
          <w:rFonts w:hint="cs"/>
          <w:sz w:val="32"/>
          <w:szCs w:val="32"/>
          <w:rtl/>
        </w:rPr>
        <w:tab/>
        <w:t xml:space="preserve">: التَّابعُ لا يُفْرَدُ </w:t>
      </w:r>
      <w:r>
        <w:rPr>
          <w:rFonts w:hint="cs"/>
          <w:b/>
          <w:bCs/>
          <w:sz w:val="32"/>
          <w:szCs w:val="32"/>
          <w:rtl/>
        </w:rPr>
        <w:t>بالحُكْمِ</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ق72 </w:t>
      </w:r>
      <w:r>
        <w:rPr>
          <w:sz w:val="32"/>
          <w:szCs w:val="32"/>
        </w:rPr>
        <w:tab/>
      </w:r>
      <w:r>
        <w:rPr>
          <w:rFonts w:hint="cs"/>
          <w:sz w:val="32"/>
          <w:szCs w:val="32"/>
          <w:rtl/>
        </w:rPr>
        <w:t xml:space="preserve">: التَّخصِيصُ فِي الرِّوايَاتِ يُوجِبُ نَفْيَ </w:t>
      </w:r>
      <w:r>
        <w:rPr>
          <w:rFonts w:hint="cs"/>
          <w:b/>
          <w:bCs/>
          <w:sz w:val="32"/>
          <w:szCs w:val="32"/>
          <w:rtl/>
        </w:rPr>
        <w:t>الحكمِ</w:t>
      </w:r>
      <w:r>
        <w:rPr>
          <w:rFonts w:hint="cs"/>
          <w:sz w:val="32"/>
          <w:szCs w:val="32"/>
          <w:rtl/>
        </w:rPr>
        <w:t xml:space="preserve"> عمَّا عدا المَذْكُورِ. </w:t>
      </w:r>
    </w:p>
    <w:p w:rsidR="00284270" w:rsidRDefault="00284270" w:rsidP="0022714B">
      <w:pPr>
        <w:ind w:left="2833" w:hanging="2266"/>
        <w:rPr>
          <w:sz w:val="32"/>
          <w:szCs w:val="32"/>
          <w:rtl/>
        </w:rPr>
      </w:pPr>
      <w:r>
        <w:rPr>
          <w:rFonts w:hint="cs"/>
          <w:sz w:val="32"/>
          <w:szCs w:val="32"/>
          <w:rtl/>
        </w:rPr>
        <w:t xml:space="preserve">               ق117 </w:t>
      </w:r>
      <w:r>
        <w:rPr>
          <w:sz w:val="32"/>
          <w:szCs w:val="32"/>
        </w:rPr>
        <w:tab/>
      </w:r>
      <w:r>
        <w:rPr>
          <w:rFonts w:hint="cs"/>
          <w:sz w:val="32"/>
          <w:szCs w:val="32"/>
          <w:rtl/>
        </w:rPr>
        <w:t xml:space="preserve">: </w:t>
      </w:r>
      <w:r>
        <w:rPr>
          <w:rFonts w:hint="cs"/>
          <w:b/>
          <w:bCs/>
          <w:sz w:val="32"/>
          <w:szCs w:val="32"/>
          <w:rtl/>
        </w:rPr>
        <w:t>حكمُ</w:t>
      </w:r>
      <w:r>
        <w:rPr>
          <w:rFonts w:hint="cs"/>
          <w:sz w:val="32"/>
          <w:szCs w:val="32"/>
          <w:rtl/>
        </w:rPr>
        <w:t xml:space="preserve"> الخفيِّ : النَّظرُ فـيه؛ ليُعلمَ أنَّ خفاهُ لزيادةٍ أو نُقصانٍ فَيَظْهَرَ المُرَادُ.</w:t>
      </w:r>
    </w:p>
    <w:p w:rsidR="00284270" w:rsidRDefault="00284270">
      <w:pPr>
        <w:ind w:left="1418" w:right="1418" w:firstLine="170"/>
        <w:rPr>
          <w:sz w:val="32"/>
          <w:szCs w:val="32"/>
          <w:rtl/>
        </w:rPr>
      </w:pPr>
      <w:r>
        <w:rPr>
          <w:rFonts w:hint="cs"/>
          <w:sz w:val="32"/>
          <w:szCs w:val="32"/>
          <w:rtl/>
        </w:rPr>
        <w:t xml:space="preserve">  ق116 </w:t>
      </w:r>
      <w:r>
        <w:rPr>
          <w:sz w:val="32"/>
          <w:szCs w:val="32"/>
        </w:rPr>
        <w:tab/>
      </w:r>
      <w:r>
        <w:rPr>
          <w:rFonts w:hint="cs"/>
          <w:sz w:val="32"/>
          <w:szCs w:val="32"/>
          <w:rtl/>
        </w:rPr>
        <w:t xml:space="preserve">: </w:t>
      </w:r>
      <w:r>
        <w:rPr>
          <w:rFonts w:hint="cs"/>
          <w:b/>
          <w:bCs/>
          <w:sz w:val="32"/>
          <w:szCs w:val="32"/>
          <w:rtl/>
        </w:rPr>
        <w:t>الحكمةُ</w:t>
      </w:r>
      <w:r>
        <w:rPr>
          <w:rFonts w:hint="cs"/>
          <w:sz w:val="32"/>
          <w:szCs w:val="32"/>
          <w:rtl/>
        </w:rPr>
        <w:t xml:space="preserve"> تُرَاعَى فِي الجِنْسِ لا في الأفْرَادِ.</w:t>
      </w:r>
    </w:p>
    <w:p w:rsidR="00284270" w:rsidRDefault="00284270">
      <w:pPr>
        <w:ind w:left="1021" w:right="1021"/>
        <w:rPr>
          <w:sz w:val="32"/>
          <w:szCs w:val="32"/>
          <w:rtl/>
        </w:rPr>
      </w:pPr>
      <w:r>
        <w:rPr>
          <w:rFonts w:hint="cs"/>
          <w:sz w:val="32"/>
          <w:szCs w:val="32"/>
          <w:rtl/>
        </w:rPr>
        <w:t xml:space="preserve">  ق115 </w:t>
      </w:r>
      <w:r>
        <w:rPr>
          <w:sz w:val="32"/>
          <w:szCs w:val="32"/>
        </w:rPr>
        <w:tab/>
      </w:r>
      <w:r>
        <w:rPr>
          <w:rFonts w:hint="cs"/>
          <w:sz w:val="32"/>
          <w:szCs w:val="32"/>
          <w:rtl/>
        </w:rPr>
        <w:t xml:space="preserve">: </w:t>
      </w:r>
      <w:r>
        <w:rPr>
          <w:rFonts w:hint="cs"/>
          <w:b/>
          <w:bCs/>
          <w:sz w:val="32"/>
          <w:szCs w:val="32"/>
          <w:rtl/>
        </w:rPr>
        <w:t>الحكمُ</w:t>
      </w:r>
      <w:r>
        <w:rPr>
          <w:rFonts w:hint="cs"/>
          <w:sz w:val="32"/>
          <w:szCs w:val="32"/>
          <w:rtl/>
        </w:rPr>
        <w:t xml:space="preserve"> يَنْتَهِي بانتهاءِ علَّتِهِ.</w:t>
      </w:r>
    </w:p>
    <w:p w:rsidR="00284270" w:rsidRDefault="00284270">
      <w:pPr>
        <w:ind w:left="1021" w:right="1021"/>
        <w:rPr>
          <w:sz w:val="32"/>
          <w:szCs w:val="32"/>
          <w:rtl/>
        </w:rPr>
      </w:pPr>
      <w:r>
        <w:rPr>
          <w:rFonts w:hint="cs"/>
          <w:sz w:val="32"/>
          <w:szCs w:val="32"/>
          <w:rtl/>
        </w:rPr>
        <w:t xml:space="preserve">  ق123 </w:t>
      </w:r>
      <w:r>
        <w:rPr>
          <w:sz w:val="32"/>
          <w:szCs w:val="32"/>
        </w:rPr>
        <w:tab/>
      </w:r>
      <w:r>
        <w:rPr>
          <w:rFonts w:hint="cs"/>
          <w:sz w:val="32"/>
          <w:szCs w:val="32"/>
          <w:rtl/>
        </w:rPr>
        <w:t xml:space="preserve">: الدَّفْعُ بَعْدَ </w:t>
      </w:r>
      <w:r>
        <w:rPr>
          <w:rFonts w:hint="cs"/>
          <w:b/>
          <w:bCs/>
          <w:sz w:val="32"/>
          <w:szCs w:val="32"/>
          <w:rtl/>
        </w:rPr>
        <w:t>الحُكْمِ</w:t>
      </w:r>
      <w:r>
        <w:rPr>
          <w:rFonts w:hint="cs"/>
          <w:sz w:val="32"/>
          <w:szCs w:val="32"/>
          <w:rtl/>
        </w:rPr>
        <w:t xml:space="preserve"> صحيحٌ إلاّ فِي المسألةِ المُخَمَّسَةِ.</w:t>
      </w:r>
    </w:p>
    <w:p w:rsidR="00284270" w:rsidRDefault="00284270">
      <w:pPr>
        <w:ind w:left="868" w:right="868" w:firstLine="720"/>
        <w:rPr>
          <w:sz w:val="32"/>
          <w:szCs w:val="32"/>
          <w:rtl/>
        </w:rPr>
      </w:pPr>
      <w:r>
        <w:rPr>
          <w:rFonts w:hint="cs"/>
          <w:sz w:val="32"/>
          <w:szCs w:val="32"/>
          <w:rtl/>
        </w:rPr>
        <w:t xml:space="preserve">  ق161 </w:t>
      </w:r>
      <w:r>
        <w:rPr>
          <w:rFonts w:hint="cs"/>
          <w:sz w:val="32"/>
          <w:szCs w:val="32"/>
          <w:rtl/>
        </w:rPr>
        <w:tab/>
        <w:t xml:space="preserve">: العَادَةُ </w:t>
      </w:r>
      <w:r>
        <w:rPr>
          <w:rFonts w:hint="cs"/>
          <w:b/>
          <w:bCs/>
          <w:sz w:val="32"/>
          <w:szCs w:val="32"/>
          <w:rtl/>
        </w:rPr>
        <w:t>مُحَكَّمَةٌ</w:t>
      </w:r>
      <w:r>
        <w:rPr>
          <w:rFonts w:hint="cs"/>
          <w:sz w:val="32"/>
          <w:szCs w:val="32"/>
          <w:rtl/>
        </w:rPr>
        <w:t xml:space="preserve">.   </w:t>
      </w:r>
    </w:p>
    <w:p w:rsidR="00284270" w:rsidRDefault="00284270">
      <w:pPr>
        <w:ind w:left="1021" w:right="1021"/>
        <w:rPr>
          <w:sz w:val="32"/>
          <w:szCs w:val="32"/>
          <w:rtl/>
        </w:rPr>
      </w:pPr>
      <w:r>
        <w:rPr>
          <w:rFonts w:hint="cs"/>
          <w:sz w:val="32"/>
          <w:szCs w:val="32"/>
          <w:rtl/>
        </w:rPr>
        <w:t xml:space="preserve">  ق162 </w:t>
      </w:r>
      <w:r>
        <w:rPr>
          <w:rFonts w:hint="cs"/>
          <w:sz w:val="32"/>
          <w:szCs w:val="32"/>
          <w:rtl/>
        </w:rPr>
        <w:tab/>
        <w:t xml:space="preserve">: العامُّ يوجبُ </w:t>
      </w:r>
      <w:r>
        <w:rPr>
          <w:rFonts w:hint="cs"/>
          <w:b/>
          <w:bCs/>
          <w:sz w:val="32"/>
          <w:szCs w:val="32"/>
          <w:rtl/>
        </w:rPr>
        <w:t>الحكمَ</w:t>
      </w:r>
      <w:r>
        <w:rPr>
          <w:rFonts w:hint="cs"/>
          <w:sz w:val="32"/>
          <w:szCs w:val="32"/>
          <w:rtl/>
        </w:rPr>
        <w:t xml:space="preserve"> فِيها يتناوَلُهُ يقينًا.</w:t>
      </w:r>
    </w:p>
    <w:p w:rsidR="00284270" w:rsidRDefault="00284270">
      <w:pPr>
        <w:ind w:left="1021" w:right="1021"/>
        <w:rPr>
          <w:sz w:val="32"/>
          <w:szCs w:val="32"/>
          <w:rtl/>
        </w:rPr>
      </w:pPr>
      <w:r>
        <w:rPr>
          <w:rFonts w:hint="cs"/>
          <w:sz w:val="32"/>
          <w:szCs w:val="32"/>
          <w:rtl/>
        </w:rPr>
        <w:t xml:space="preserve">  ق207 </w:t>
      </w:r>
      <w:r>
        <w:rPr>
          <w:rFonts w:hint="cs"/>
          <w:sz w:val="32"/>
          <w:szCs w:val="32"/>
          <w:rtl/>
        </w:rPr>
        <w:tab/>
        <w:t xml:space="preserve">: لاَ عِبْرَةَ لاختلافِ السَّبَبِ مع اتّحادِ </w:t>
      </w:r>
      <w:r>
        <w:rPr>
          <w:rFonts w:hint="cs"/>
          <w:b/>
          <w:bCs/>
          <w:sz w:val="32"/>
          <w:szCs w:val="32"/>
          <w:rtl/>
        </w:rPr>
        <w:t>الحُكْمِ</w:t>
      </w:r>
      <w:r>
        <w:rPr>
          <w:rFonts w:hint="cs"/>
          <w:sz w:val="32"/>
          <w:szCs w:val="32"/>
          <w:rtl/>
        </w:rPr>
        <w:t>.</w:t>
      </w:r>
    </w:p>
    <w:p w:rsidR="00284270" w:rsidRDefault="00284270" w:rsidP="0022714B">
      <w:pPr>
        <w:ind w:left="2833" w:hanging="1245"/>
        <w:rPr>
          <w:sz w:val="32"/>
          <w:szCs w:val="32"/>
          <w:rtl/>
        </w:rPr>
      </w:pPr>
      <w:r>
        <w:rPr>
          <w:rFonts w:hint="cs"/>
          <w:sz w:val="32"/>
          <w:szCs w:val="32"/>
          <w:rtl/>
        </w:rPr>
        <w:lastRenderedPageBreak/>
        <w:t xml:space="preserve">  ق247 </w:t>
      </w:r>
      <w:r>
        <w:rPr>
          <w:rFonts w:hint="cs"/>
          <w:sz w:val="32"/>
          <w:szCs w:val="32"/>
          <w:rtl/>
        </w:rPr>
        <w:tab/>
        <w:t>: النَصُّ : مِنْ وُجُوهِ البَيَانِ، يَتَرَجَّحُ عَلَى الظَّاهِرِ، والمفسَّرُ عليهما، و</w:t>
      </w:r>
      <w:r>
        <w:rPr>
          <w:rFonts w:hint="cs"/>
          <w:b/>
          <w:bCs/>
          <w:sz w:val="32"/>
          <w:szCs w:val="32"/>
          <w:rtl/>
        </w:rPr>
        <w:t>المُحْكَمُ</w:t>
      </w:r>
      <w:r>
        <w:rPr>
          <w:rFonts w:hint="cs"/>
          <w:sz w:val="32"/>
          <w:szCs w:val="32"/>
          <w:rtl/>
        </w:rPr>
        <w:t xml:space="preserve"> على الكُلِّ.</w:t>
      </w:r>
    </w:p>
    <w:p w:rsidR="00284270" w:rsidRDefault="00284270" w:rsidP="0022714B">
      <w:pPr>
        <w:ind w:left="2833" w:hanging="2266"/>
        <w:rPr>
          <w:sz w:val="32"/>
          <w:szCs w:val="32"/>
          <w:rtl/>
        </w:rPr>
      </w:pPr>
      <w:r>
        <w:rPr>
          <w:rFonts w:hint="cs"/>
          <w:b/>
          <w:bCs/>
          <w:sz w:val="32"/>
          <w:szCs w:val="32"/>
          <w:rtl/>
        </w:rPr>
        <w:t>حكى</w:t>
      </w:r>
      <w:r>
        <w:rPr>
          <w:rFonts w:hint="cs"/>
          <w:sz w:val="32"/>
          <w:szCs w:val="32"/>
          <w:rtl/>
        </w:rPr>
        <w:t xml:space="preserve">       : ق214 </w:t>
      </w:r>
      <w:r>
        <w:rPr>
          <w:rFonts w:hint="cs"/>
          <w:sz w:val="32"/>
          <w:szCs w:val="32"/>
          <w:rtl/>
        </w:rPr>
        <w:tab/>
        <w:t xml:space="preserve">: لَوْ </w:t>
      </w:r>
      <w:r>
        <w:rPr>
          <w:rFonts w:hint="cs"/>
          <w:b/>
          <w:bCs/>
          <w:sz w:val="32"/>
          <w:szCs w:val="32"/>
          <w:rtl/>
        </w:rPr>
        <w:t>حَكَى</w:t>
      </w:r>
      <w:r>
        <w:rPr>
          <w:rFonts w:hint="cs"/>
          <w:sz w:val="32"/>
          <w:szCs w:val="32"/>
          <w:rtl/>
        </w:rPr>
        <w:t xml:space="preserve"> مَا لاَ يَمْلِكُ استئـنافَهُ للحالِ لا يصدَّقُ فيمَا </w:t>
      </w:r>
      <w:r>
        <w:rPr>
          <w:rFonts w:hint="cs"/>
          <w:b/>
          <w:bCs/>
          <w:sz w:val="32"/>
          <w:szCs w:val="32"/>
          <w:rtl/>
        </w:rPr>
        <w:t>حَكَى</w:t>
      </w:r>
      <w:r>
        <w:rPr>
          <w:rFonts w:hint="cs"/>
          <w:sz w:val="32"/>
          <w:szCs w:val="32"/>
          <w:rtl/>
        </w:rPr>
        <w:t xml:space="preserve"> بِلاَ بَيِّنَةٍ.</w:t>
      </w:r>
    </w:p>
    <w:p w:rsidR="00284270" w:rsidRDefault="00284270">
      <w:pPr>
        <w:rPr>
          <w:sz w:val="32"/>
          <w:szCs w:val="32"/>
          <w:rtl/>
        </w:rPr>
      </w:pPr>
      <w:r>
        <w:rPr>
          <w:rFonts w:hint="cs"/>
          <w:b/>
          <w:bCs/>
          <w:sz w:val="32"/>
          <w:szCs w:val="32"/>
          <w:rtl/>
        </w:rPr>
        <w:t>حلا</w:t>
      </w:r>
      <w:r>
        <w:rPr>
          <w:rFonts w:hint="cs"/>
          <w:sz w:val="32"/>
          <w:szCs w:val="32"/>
          <w:rtl/>
        </w:rPr>
        <w:tab/>
      </w:r>
      <w:r>
        <w:rPr>
          <w:rFonts w:hint="cs"/>
          <w:sz w:val="32"/>
          <w:szCs w:val="32"/>
          <w:rtl/>
        </w:rPr>
        <w:tab/>
        <w:t xml:space="preserve">: ق101 </w:t>
      </w:r>
      <w:r>
        <w:rPr>
          <w:rFonts w:hint="cs"/>
          <w:sz w:val="32"/>
          <w:szCs w:val="32"/>
          <w:rtl/>
        </w:rPr>
        <w:tab/>
        <w:t xml:space="preserve">: الجمعُ </w:t>
      </w:r>
      <w:r>
        <w:rPr>
          <w:rFonts w:hint="cs"/>
          <w:b/>
          <w:bCs/>
          <w:sz w:val="32"/>
          <w:szCs w:val="32"/>
          <w:rtl/>
        </w:rPr>
        <w:t>المحلَّى</w:t>
      </w:r>
      <w:r>
        <w:rPr>
          <w:rFonts w:hint="cs"/>
          <w:sz w:val="32"/>
          <w:szCs w:val="32"/>
          <w:rtl/>
        </w:rPr>
        <w:t xml:space="preserve"> باللاَّمِ يُرَادُ بِهِ الجِنْسُ، ويُبطِل الجمعيَّة.</w:t>
      </w:r>
    </w:p>
    <w:p w:rsidR="00284270" w:rsidRDefault="00284270" w:rsidP="0022714B">
      <w:pPr>
        <w:ind w:left="2833" w:hanging="2266"/>
        <w:rPr>
          <w:sz w:val="32"/>
          <w:szCs w:val="32"/>
          <w:rtl/>
        </w:rPr>
      </w:pPr>
      <w:r>
        <w:rPr>
          <w:rFonts w:hint="cs"/>
          <w:b/>
          <w:bCs/>
          <w:sz w:val="32"/>
          <w:szCs w:val="32"/>
          <w:rtl/>
        </w:rPr>
        <w:t>حلف</w:t>
      </w:r>
      <w:r>
        <w:rPr>
          <w:rFonts w:hint="cs"/>
          <w:sz w:val="32"/>
          <w:szCs w:val="32"/>
          <w:rtl/>
        </w:rPr>
        <w:t xml:space="preserve">       : ق70 </w:t>
      </w:r>
      <w:r>
        <w:rPr>
          <w:rFonts w:hint="cs"/>
          <w:sz w:val="32"/>
          <w:szCs w:val="32"/>
          <w:rtl/>
        </w:rPr>
        <w:tab/>
        <w:t xml:space="preserve">: </w:t>
      </w:r>
      <w:r>
        <w:rPr>
          <w:rFonts w:hint="cs"/>
          <w:b/>
          <w:bCs/>
          <w:sz w:val="32"/>
          <w:szCs w:val="32"/>
          <w:rtl/>
        </w:rPr>
        <w:t>التَّحليفُ</w:t>
      </w:r>
      <w:r>
        <w:rPr>
          <w:rFonts w:hint="cs"/>
          <w:sz w:val="32"/>
          <w:szCs w:val="32"/>
          <w:rtl/>
        </w:rPr>
        <w:t xml:space="preserve"> على فعلِ نفسِهِ عَلَى البَتَاتِ، وعلَى فعلِ غيرِهِ علَى العِلْم.ِ </w:t>
      </w:r>
    </w:p>
    <w:p w:rsidR="00284270" w:rsidRDefault="00284270" w:rsidP="0022714B">
      <w:pPr>
        <w:ind w:left="2833" w:hanging="2266"/>
        <w:rPr>
          <w:sz w:val="32"/>
          <w:szCs w:val="32"/>
          <w:rtl/>
        </w:rPr>
      </w:pPr>
      <w:r>
        <w:rPr>
          <w:rFonts w:hint="cs"/>
          <w:sz w:val="32"/>
          <w:szCs w:val="32"/>
          <w:rtl/>
        </w:rPr>
        <w:t xml:space="preserve">               ق154 </w:t>
      </w:r>
      <w:r>
        <w:rPr>
          <w:rFonts w:hint="cs"/>
          <w:sz w:val="32"/>
          <w:szCs w:val="32"/>
          <w:rtl/>
        </w:rPr>
        <w:tab/>
        <w:t xml:space="preserve">: صِحَّةُ </w:t>
      </w:r>
      <w:r>
        <w:rPr>
          <w:rFonts w:hint="cs"/>
          <w:b/>
          <w:bCs/>
          <w:sz w:val="32"/>
          <w:szCs w:val="32"/>
          <w:rtl/>
        </w:rPr>
        <w:t>الحَلِفِ</w:t>
      </w:r>
      <w:r>
        <w:rPr>
          <w:rFonts w:hint="cs"/>
          <w:sz w:val="32"/>
          <w:szCs w:val="32"/>
          <w:rtl/>
        </w:rPr>
        <w:t xml:space="preserve"> غَيْرُ مُفَارِقَةٍ عَنْ صِحَّةِ الإِقْرَارِ، وَعَدَمُهَا عَنْ عَدَمِهَا.</w:t>
      </w:r>
    </w:p>
    <w:p w:rsidR="00284270" w:rsidRDefault="00284270" w:rsidP="0022714B">
      <w:pPr>
        <w:ind w:left="2833" w:hanging="2266"/>
        <w:rPr>
          <w:sz w:val="32"/>
          <w:szCs w:val="32"/>
          <w:rtl/>
        </w:rPr>
      </w:pPr>
      <w:r>
        <w:rPr>
          <w:rFonts w:hint="cs"/>
          <w:sz w:val="32"/>
          <w:szCs w:val="32"/>
          <w:rtl/>
        </w:rPr>
        <w:t xml:space="preserve">               ق189 </w:t>
      </w:r>
      <w:r>
        <w:rPr>
          <w:rFonts w:hint="cs"/>
          <w:sz w:val="32"/>
          <w:szCs w:val="32"/>
          <w:rtl/>
        </w:rPr>
        <w:tab/>
        <w:t xml:space="preserve">: كُلُّ ما يَتَرَتَّبُ عليها البيِّنَةُ يترتَّبُ عَلَيْهَا </w:t>
      </w:r>
      <w:r>
        <w:rPr>
          <w:rFonts w:hint="cs"/>
          <w:b/>
          <w:bCs/>
          <w:sz w:val="32"/>
          <w:szCs w:val="32"/>
          <w:rtl/>
        </w:rPr>
        <w:t>التَّحْلِيفُ</w:t>
      </w:r>
      <w:r>
        <w:rPr>
          <w:rFonts w:hint="cs"/>
          <w:sz w:val="32"/>
          <w:szCs w:val="32"/>
          <w:rtl/>
        </w:rPr>
        <w:t>، سِوَى بيّنةٍ أُقِيمَتْ لإثباتِ الخُصُومَةِ.</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ق203 </w:t>
      </w:r>
      <w:r>
        <w:rPr>
          <w:rFonts w:hint="cs"/>
          <w:sz w:val="32"/>
          <w:szCs w:val="32"/>
          <w:rtl/>
        </w:rPr>
        <w:tab/>
        <w:t xml:space="preserve">: لا </w:t>
      </w:r>
      <w:r>
        <w:rPr>
          <w:rFonts w:hint="cs"/>
          <w:b/>
          <w:bCs/>
          <w:sz w:val="32"/>
          <w:szCs w:val="32"/>
          <w:rtl/>
        </w:rPr>
        <w:t>يُحلِّفُ</w:t>
      </w:r>
      <w:r>
        <w:rPr>
          <w:rFonts w:hint="cs"/>
          <w:sz w:val="32"/>
          <w:szCs w:val="32"/>
          <w:rtl/>
        </w:rPr>
        <w:t xml:space="preserve"> القَاضِي عَلَى حقٍّ مَجْهُولٍ.</w:t>
      </w:r>
    </w:p>
    <w:p w:rsidR="00284270" w:rsidRDefault="00284270" w:rsidP="0022714B">
      <w:pPr>
        <w:rPr>
          <w:sz w:val="32"/>
          <w:szCs w:val="32"/>
          <w:rtl/>
        </w:rPr>
      </w:pPr>
      <w:r>
        <w:rPr>
          <w:rFonts w:hint="cs"/>
          <w:sz w:val="32"/>
          <w:szCs w:val="32"/>
          <w:rtl/>
        </w:rPr>
        <w:tab/>
      </w:r>
      <w:r>
        <w:rPr>
          <w:rFonts w:hint="cs"/>
          <w:sz w:val="32"/>
          <w:szCs w:val="32"/>
          <w:rtl/>
        </w:rPr>
        <w:tab/>
      </w:r>
      <w:r>
        <w:rPr>
          <w:rFonts w:hint="cs"/>
          <w:sz w:val="32"/>
          <w:szCs w:val="32"/>
          <w:rtl/>
        </w:rPr>
        <w:tab/>
        <w:t xml:space="preserve">  ق251 </w:t>
      </w:r>
      <w:r>
        <w:rPr>
          <w:rFonts w:hint="cs"/>
          <w:sz w:val="32"/>
          <w:szCs w:val="32"/>
          <w:rtl/>
        </w:rPr>
        <w:tab/>
        <w:t xml:space="preserve">: النِّيَابَةُ تَجْرِي فِي </w:t>
      </w:r>
      <w:r>
        <w:rPr>
          <w:rFonts w:hint="cs"/>
          <w:b/>
          <w:bCs/>
          <w:sz w:val="32"/>
          <w:szCs w:val="32"/>
          <w:rtl/>
        </w:rPr>
        <w:t>الاستِحْلاَفِ</w:t>
      </w:r>
      <w:r>
        <w:rPr>
          <w:rFonts w:hint="cs"/>
          <w:sz w:val="32"/>
          <w:szCs w:val="32"/>
          <w:rtl/>
        </w:rPr>
        <w:t xml:space="preserve">، لاَ </w:t>
      </w:r>
      <w:r>
        <w:rPr>
          <w:rFonts w:hint="cs"/>
          <w:b/>
          <w:bCs/>
          <w:sz w:val="32"/>
          <w:szCs w:val="32"/>
          <w:rtl/>
        </w:rPr>
        <w:t>الحَلِفِ</w:t>
      </w:r>
      <w:r>
        <w:rPr>
          <w:rFonts w:hint="cs"/>
          <w:sz w:val="32"/>
          <w:szCs w:val="32"/>
          <w:rtl/>
        </w:rPr>
        <w:t>.</w:t>
      </w:r>
    </w:p>
    <w:p w:rsidR="00284270" w:rsidRDefault="00284270">
      <w:pPr>
        <w:rPr>
          <w:sz w:val="32"/>
          <w:szCs w:val="32"/>
          <w:rtl/>
        </w:rPr>
      </w:pPr>
      <w:r>
        <w:rPr>
          <w:rFonts w:hint="cs"/>
          <w:b/>
          <w:bCs/>
          <w:sz w:val="32"/>
          <w:szCs w:val="32"/>
          <w:rtl/>
        </w:rPr>
        <w:t>حلل</w:t>
      </w:r>
      <w:r>
        <w:rPr>
          <w:rFonts w:hint="cs"/>
          <w:sz w:val="32"/>
          <w:szCs w:val="32"/>
          <w:rtl/>
        </w:rPr>
        <w:tab/>
      </w:r>
      <w:r>
        <w:rPr>
          <w:rFonts w:hint="cs"/>
          <w:sz w:val="32"/>
          <w:szCs w:val="32"/>
          <w:rtl/>
        </w:rPr>
        <w:tab/>
        <w:t xml:space="preserve">: ق16 </w:t>
      </w:r>
      <w:r>
        <w:rPr>
          <w:rFonts w:hint="cs"/>
          <w:sz w:val="32"/>
          <w:szCs w:val="32"/>
          <w:rtl/>
        </w:rPr>
        <w:tab/>
      </w:r>
      <w:r>
        <w:rPr>
          <w:rFonts w:hint="cs"/>
          <w:sz w:val="32"/>
          <w:szCs w:val="32"/>
          <w:rtl/>
        </w:rPr>
        <w:tab/>
        <w:t xml:space="preserve">: إذَا اجتَمَعَ </w:t>
      </w:r>
      <w:r>
        <w:rPr>
          <w:rFonts w:hint="cs"/>
          <w:b/>
          <w:bCs/>
          <w:sz w:val="32"/>
          <w:szCs w:val="32"/>
          <w:rtl/>
        </w:rPr>
        <w:t>الحلالُ</w:t>
      </w:r>
      <w:r>
        <w:rPr>
          <w:rFonts w:hint="cs"/>
          <w:sz w:val="32"/>
          <w:szCs w:val="32"/>
          <w:rtl/>
        </w:rPr>
        <w:t xml:space="preserve"> والحَرَامُ غُلِّبَ الحَرَامُ.</w:t>
      </w:r>
    </w:p>
    <w:p w:rsidR="00284270" w:rsidRDefault="00284270" w:rsidP="0022714B">
      <w:pPr>
        <w:rPr>
          <w:sz w:val="32"/>
          <w:szCs w:val="32"/>
          <w:rtl/>
        </w:rPr>
      </w:pPr>
      <w:r>
        <w:rPr>
          <w:rFonts w:hint="cs"/>
          <w:sz w:val="32"/>
          <w:szCs w:val="32"/>
          <w:rtl/>
        </w:rPr>
        <w:tab/>
      </w:r>
      <w:r>
        <w:rPr>
          <w:rFonts w:hint="cs"/>
          <w:sz w:val="32"/>
          <w:szCs w:val="32"/>
          <w:rtl/>
        </w:rPr>
        <w:tab/>
      </w:r>
      <w:r>
        <w:rPr>
          <w:rFonts w:hint="cs"/>
          <w:sz w:val="32"/>
          <w:szCs w:val="32"/>
          <w:rtl/>
        </w:rPr>
        <w:tab/>
        <w:t xml:space="preserve">  ق55 </w:t>
      </w:r>
      <w:r>
        <w:rPr>
          <w:rFonts w:hint="cs"/>
          <w:sz w:val="32"/>
          <w:szCs w:val="32"/>
          <w:rtl/>
        </w:rPr>
        <w:tab/>
      </w:r>
      <w:r>
        <w:rPr>
          <w:rFonts w:hint="cs"/>
          <w:sz w:val="32"/>
          <w:szCs w:val="32"/>
          <w:rtl/>
        </w:rPr>
        <w:tab/>
        <w:t xml:space="preserve">: </w:t>
      </w:r>
      <w:r>
        <w:rPr>
          <w:rFonts w:hint="eastAsia"/>
          <w:sz w:val="32"/>
          <w:szCs w:val="32"/>
          <w:rtl/>
        </w:rPr>
        <w:t>بقاء</w:t>
      </w:r>
      <w:r>
        <w:rPr>
          <w:rFonts w:hint="cs"/>
          <w:sz w:val="32"/>
          <w:szCs w:val="32"/>
          <w:rtl/>
        </w:rPr>
        <w:t>ُ</w:t>
      </w:r>
      <w:r>
        <w:rPr>
          <w:sz w:val="32"/>
          <w:szCs w:val="32"/>
          <w:rtl/>
        </w:rPr>
        <w:t xml:space="preserve"> الش</w:t>
      </w:r>
      <w:r>
        <w:rPr>
          <w:rFonts w:hint="cs"/>
          <w:sz w:val="32"/>
          <w:szCs w:val="32"/>
          <w:rtl/>
        </w:rPr>
        <w:t>َّ</w:t>
      </w:r>
      <w:r>
        <w:rPr>
          <w:sz w:val="32"/>
          <w:szCs w:val="32"/>
          <w:rtl/>
        </w:rPr>
        <w:t>ي</w:t>
      </w:r>
      <w:r>
        <w:rPr>
          <w:rFonts w:hint="cs"/>
          <w:sz w:val="32"/>
          <w:szCs w:val="32"/>
          <w:rtl/>
        </w:rPr>
        <w:t>ْ</w:t>
      </w:r>
      <w:r>
        <w:rPr>
          <w:sz w:val="32"/>
          <w:szCs w:val="32"/>
          <w:rtl/>
        </w:rPr>
        <w:t>ء</w:t>
      </w:r>
      <w:r>
        <w:rPr>
          <w:rFonts w:hint="cs"/>
          <w:sz w:val="32"/>
          <w:szCs w:val="32"/>
          <w:rtl/>
        </w:rPr>
        <w:t>ِ</w:t>
      </w:r>
      <w:r>
        <w:rPr>
          <w:sz w:val="32"/>
          <w:szCs w:val="32"/>
          <w:rtl/>
        </w:rPr>
        <w:t xml:space="preserve"> الواحد</w:t>
      </w:r>
      <w:r>
        <w:rPr>
          <w:rFonts w:hint="cs"/>
          <w:sz w:val="32"/>
          <w:szCs w:val="32"/>
          <w:rtl/>
        </w:rPr>
        <w:t>ِ</w:t>
      </w:r>
      <w:r>
        <w:rPr>
          <w:sz w:val="32"/>
          <w:szCs w:val="32"/>
          <w:rtl/>
        </w:rPr>
        <w:t xml:space="preserve"> ف</w:t>
      </w:r>
      <w:r>
        <w:rPr>
          <w:rFonts w:hint="cs"/>
          <w:sz w:val="32"/>
          <w:szCs w:val="32"/>
          <w:rtl/>
        </w:rPr>
        <w:t>ِ</w:t>
      </w:r>
      <w:r>
        <w:rPr>
          <w:sz w:val="32"/>
          <w:szCs w:val="32"/>
          <w:rtl/>
        </w:rPr>
        <w:t xml:space="preserve">ي </w:t>
      </w:r>
      <w:r>
        <w:rPr>
          <w:rFonts w:hint="eastAsia"/>
          <w:b/>
          <w:bCs/>
          <w:sz w:val="32"/>
          <w:szCs w:val="32"/>
          <w:rtl/>
        </w:rPr>
        <w:t>المحل</w:t>
      </w:r>
      <w:r>
        <w:rPr>
          <w:rFonts w:hint="cs"/>
          <w:b/>
          <w:bCs/>
          <w:sz w:val="32"/>
          <w:szCs w:val="32"/>
          <w:rtl/>
        </w:rPr>
        <w:t>َّ</w:t>
      </w:r>
      <w:r>
        <w:rPr>
          <w:rFonts w:hint="eastAsia"/>
          <w:b/>
          <w:bCs/>
          <w:sz w:val="32"/>
          <w:szCs w:val="32"/>
          <w:rtl/>
        </w:rPr>
        <w:t>ي</w:t>
      </w:r>
      <w:r>
        <w:rPr>
          <w:rFonts w:hint="cs"/>
          <w:b/>
          <w:bCs/>
          <w:sz w:val="32"/>
          <w:szCs w:val="32"/>
          <w:rtl/>
        </w:rPr>
        <w:t>ْ</w:t>
      </w:r>
      <w:r>
        <w:rPr>
          <w:rFonts w:hint="eastAsia"/>
          <w:b/>
          <w:bCs/>
          <w:sz w:val="32"/>
          <w:szCs w:val="32"/>
          <w:rtl/>
        </w:rPr>
        <w:t>ن</w:t>
      </w:r>
      <w:r>
        <w:rPr>
          <w:rFonts w:hint="cs"/>
          <w:b/>
          <w:bCs/>
          <w:sz w:val="32"/>
          <w:szCs w:val="32"/>
          <w:rtl/>
        </w:rPr>
        <w:t>ِ</w:t>
      </w:r>
      <w:r>
        <w:rPr>
          <w:sz w:val="32"/>
          <w:szCs w:val="32"/>
          <w:rtl/>
        </w:rPr>
        <w:t xml:space="preserve"> </w:t>
      </w:r>
      <w:r>
        <w:rPr>
          <w:rFonts w:hint="eastAsia"/>
          <w:sz w:val="32"/>
          <w:szCs w:val="32"/>
          <w:rtl/>
        </w:rPr>
        <w:t>ف</w:t>
      </w:r>
      <w:r>
        <w:rPr>
          <w:rFonts w:hint="cs"/>
          <w:sz w:val="32"/>
          <w:szCs w:val="32"/>
          <w:rtl/>
        </w:rPr>
        <w:t>ِ</w:t>
      </w:r>
      <w:r>
        <w:rPr>
          <w:rFonts w:hint="eastAsia"/>
          <w:sz w:val="32"/>
          <w:szCs w:val="32"/>
          <w:rtl/>
        </w:rPr>
        <w:t>ي</w:t>
      </w:r>
      <w:r>
        <w:rPr>
          <w:sz w:val="32"/>
          <w:szCs w:val="32"/>
          <w:rtl/>
        </w:rPr>
        <w:t xml:space="preserve"> ز</w:t>
      </w:r>
      <w:r>
        <w:rPr>
          <w:rFonts w:hint="cs"/>
          <w:sz w:val="32"/>
          <w:szCs w:val="32"/>
          <w:rtl/>
        </w:rPr>
        <w:t>َ</w:t>
      </w:r>
      <w:r>
        <w:rPr>
          <w:sz w:val="32"/>
          <w:szCs w:val="32"/>
          <w:rtl/>
        </w:rPr>
        <w:t>م</w:t>
      </w:r>
      <w:r>
        <w:rPr>
          <w:rFonts w:hint="cs"/>
          <w:sz w:val="32"/>
          <w:szCs w:val="32"/>
          <w:rtl/>
        </w:rPr>
        <w:t>َ</w:t>
      </w:r>
      <w:r>
        <w:rPr>
          <w:sz w:val="32"/>
          <w:szCs w:val="32"/>
          <w:rtl/>
        </w:rPr>
        <w:t>ان</w:t>
      </w:r>
      <w:r>
        <w:rPr>
          <w:rFonts w:hint="cs"/>
          <w:sz w:val="32"/>
          <w:szCs w:val="32"/>
          <w:rtl/>
        </w:rPr>
        <w:t>ٍ</w:t>
      </w:r>
      <w:r>
        <w:rPr>
          <w:sz w:val="32"/>
          <w:szCs w:val="32"/>
          <w:rtl/>
        </w:rPr>
        <w:t xml:space="preserve"> واحد</w:t>
      </w:r>
      <w:r>
        <w:rPr>
          <w:rFonts w:hint="cs"/>
          <w:sz w:val="32"/>
          <w:szCs w:val="32"/>
          <w:rtl/>
        </w:rPr>
        <w:t>ٍ</w:t>
      </w:r>
      <w:r>
        <w:rPr>
          <w:sz w:val="32"/>
          <w:szCs w:val="32"/>
          <w:rtl/>
        </w:rPr>
        <w:t xml:space="preserve"> </w:t>
      </w:r>
      <w:r>
        <w:rPr>
          <w:rFonts w:hint="eastAsia"/>
          <w:sz w:val="32"/>
          <w:szCs w:val="32"/>
          <w:rtl/>
        </w:rPr>
        <w:t>م</w:t>
      </w:r>
      <w:r>
        <w:rPr>
          <w:rFonts w:hint="cs"/>
          <w:sz w:val="32"/>
          <w:szCs w:val="32"/>
          <w:rtl/>
        </w:rPr>
        <w:t>ُ</w:t>
      </w:r>
      <w:r>
        <w:rPr>
          <w:rFonts w:hint="eastAsia"/>
          <w:sz w:val="32"/>
          <w:szCs w:val="32"/>
          <w:rtl/>
        </w:rPr>
        <w:t>ح</w:t>
      </w:r>
      <w:r>
        <w:rPr>
          <w:rFonts w:hint="cs"/>
          <w:sz w:val="32"/>
          <w:szCs w:val="32"/>
          <w:rtl/>
        </w:rPr>
        <w:t>َ</w:t>
      </w:r>
      <w:r>
        <w:rPr>
          <w:rFonts w:hint="eastAsia"/>
          <w:sz w:val="32"/>
          <w:szCs w:val="32"/>
          <w:rtl/>
        </w:rPr>
        <w:t>ال</w:t>
      </w:r>
      <w:r>
        <w:rPr>
          <w:rFonts w:hint="cs"/>
          <w:sz w:val="32"/>
          <w:szCs w:val="32"/>
          <w:rtl/>
        </w:rPr>
        <w:t xml:space="preserve">ٌ. </w:t>
      </w:r>
    </w:p>
    <w:p w:rsidR="00284270" w:rsidRDefault="00284270">
      <w:pPr>
        <w:rPr>
          <w:sz w:val="32"/>
          <w:szCs w:val="32"/>
          <w:rtl/>
        </w:rPr>
      </w:pPr>
      <w:r>
        <w:rPr>
          <w:rFonts w:hint="cs"/>
          <w:b/>
          <w:bCs/>
          <w:sz w:val="32"/>
          <w:szCs w:val="32"/>
          <w:rtl/>
        </w:rPr>
        <w:t>حمل</w:t>
      </w:r>
      <w:r>
        <w:rPr>
          <w:rFonts w:hint="cs"/>
          <w:sz w:val="32"/>
          <w:szCs w:val="32"/>
          <w:rtl/>
        </w:rPr>
        <w:tab/>
      </w:r>
      <w:r>
        <w:rPr>
          <w:rFonts w:hint="cs"/>
          <w:sz w:val="32"/>
          <w:szCs w:val="32"/>
          <w:rtl/>
        </w:rPr>
        <w:tab/>
        <w:t xml:space="preserve">: ق259 </w:t>
      </w:r>
      <w:r>
        <w:rPr>
          <w:rFonts w:hint="cs"/>
          <w:sz w:val="32"/>
          <w:szCs w:val="32"/>
          <w:rtl/>
        </w:rPr>
        <w:tab/>
        <w:t xml:space="preserve">: </w:t>
      </w:r>
      <w:r>
        <w:rPr>
          <w:rFonts w:hint="cs"/>
          <w:b/>
          <w:bCs/>
          <w:sz w:val="32"/>
          <w:szCs w:val="32"/>
          <w:rtl/>
        </w:rPr>
        <w:t>يُتحمَّلُ</w:t>
      </w:r>
      <w:r>
        <w:rPr>
          <w:rFonts w:hint="cs"/>
          <w:sz w:val="32"/>
          <w:szCs w:val="32"/>
          <w:rtl/>
        </w:rPr>
        <w:t xml:space="preserve"> الضَّرَرُ الخَاصُّ لأجلِ دَفْعِ ضَرَرٍ عَامٍّ.</w:t>
      </w:r>
    </w:p>
    <w:p w:rsidR="00284270" w:rsidRDefault="00284270">
      <w:pPr>
        <w:rPr>
          <w:sz w:val="32"/>
          <w:szCs w:val="32"/>
          <w:rtl/>
        </w:rPr>
      </w:pPr>
      <w:r>
        <w:rPr>
          <w:rFonts w:hint="cs"/>
          <w:b/>
          <w:bCs/>
          <w:sz w:val="32"/>
          <w:szCs w:val="32"/>
          <w:rtl/>
        </w:rPr>
        <w:t>حوج</w:t>
      </w:r>
      <w:r>
        <w:rPr>
          <w:rFonts w:hint="cs"/>
          <w:sz w:val="32"/>
          <w:szCs w:val="32"/>
          <w:rtl/>
        </w:rPr>
        <w:tab/>
      </w:r>
      <w:r>
        <w:rPr>
          <w:rFonts w:hint="cs"/>
          <w:sz w:val="32"/>
          <w:szCs w:val="32"/>
          <w:rtl/>
        </w:rPr>
        <w:tab/>
        <w:t xml:space="preserve">: ق108 </w:t>
      </w:r>
      <w:r>
        <w:rPr>
          <w:rFonts w:hint="cs"/>
          <w:sz w:val="32"/>
          <w:szCs w:val="32"/>
          <w:rtl/>
        </w:rPr>
        <w:tab/>
        <w:t xml:space="preserve">: </w:t>
      </w:r>
      <w:r>
        <w:rPr>
          <w:rFonts w:hint="cs"/>
          <w:b/>
          <w:bCs/>
          <w:sz w:val="32"/>
          <w:szCs w:val="32"/>
          <w:rtl/>
        </w:rPr>
        <w:t>الحاجةُ</w:t>
      </w:r>
      <w:r>
        <w:rPr>
          <w:rFonts w:hint="cs"/>
          <w:sz w:val="32"/>
          <w:szCs w:val="32"/>
          <w:rtl/>
        </w:rPr>
        <w:t xml:space="preserve"> تُنَزَّلُ منزلةَ الضَّرورةِ، عامَّةً كانتْ أو خاصَّةً.</w:t>
      </w:r>
    </w:p>
    <w:p w:rsidR="00284270" w:rsidRDefault="00284270" w:rsidP="0022714B">
      <w:pPr>
        <w:rPr>
          <w:sz w:val="32"/>
          <w:szCs w:val="32"/>
          <w:rtl/>
        </w:rPr>
      </w:pPr>
      <w:r>
        <w:rPr>
          <w:rFonts w:hint="cs"/>
          <w:sz w:val="32"/>
          <w:szCs w:val="32"/>
          <w:rtl/>
        </w:rPr>
        <w:tab/>
      </w:r>
      <w:r>
        <w:rPr>
          <w:rFonts w:hint="cs"/>
          <w:sz w:val="32"/>
          <w:szCs w:val="32"/>
          <w:rtl/>
        </w:rPr>
        <w:tab/>
      </w:r>
      <w:r>
        <w:rPr>
          <w:rFonts w:hint="cs"/>
          <w:sz w:val="32"/>
          <w:szCs w:val="32"/>
          <w:rtl/>
        </w:rPr>
        <w:tab/>
        <w:t xml:space="preserve"> ق143 </w:t>
      </w:r>
      <w:r>
        <w:rPr>
          <w:rFonts w:hint="cs"/>
          <w:sz w:val="32"/>
          <w:szCs w:val="32"/>
          <w:rtl/>
        </w:rPr>
        <w:tab/>
      </w:r>
      <w:r>
        <w:rPr>
          <w:rFonts w:hint="cs"/>
          <w:sz w:val="32"/>
          <w:szCs w:val="32"/>
          <w:rtl/>
        </w:rPr>
        <w:tab/>
        <w:t xml:space="preserve">: السُّكُوتُ فِي مَوْضِعِ </w:t>
      </w:r>
      <w:r>
        <w:rPr>
          <w:rFonts w:hint="cs"/>
          <w:b/>
          <w:bCs/>
          <w:sz w:val="32"/>
          <w:szCs w:val="32"/>
          <w:rtl/>
        </w:rPr>
        <w:t>الحَاجَةِ</w:t>
      </w:r>
      <w:r>
        <w:rPr>
          <w:rFonts w:hint="cs"/>
          <w:sz w:val="32"/>
          <w:szCs w:val="32"/>
          <w:rtl/>
        </w:rPr>
        <w:t xml:space="preserve"> إلى البَيَانِ تَمَامُ البَيَانِ.</w:t>
      </w:r>
    </w:p>
    <w:p w:rsidR="00284270" w:rsidRDefault="00284270">
      <w:pPr>
        <w:rPr>
          <w:sz w:val="32"/>
          <w:szCs w:val="32"/>
          <w:rtl/>
        </w:rPr>
      </w:pPr>
      <w:r>
        <w:rPr>
          <w:rFonts w:hint="cs"/>
          <w:sz w:val="32"/>
          <w:szCs w:val="32"/>
          <w:rtl/>
        </w:rPr>
        <w:t xml:space="preserve"> </w:t>
      </w:r>
    </w:p>
    <w:p w:rsidR="00284270" w:rsidRDefault="00284270">
      <w:pPr>
        <w:rPr>
          <w:sz w:val="32"/>
          <w:szCs w:val="32"/>
          <w:rtl/>
        </w:rPr>
      </w:pPr>
    </w:p>
    <w:p w:rsidR="00284270" w:rsidRDefault="0022714B">
      <w:pPr>
        <w:jc w:val="center"/>
        <w:rPr>
          <w:b/>
          <w:bCs/>
          <w:sz w:val="48"/>
          <w:szCs w:val="48"/>
          <w:rtl/>
        </w:rPr>
      </w:pPr>
      <w:r>
        <w:rPr>
          <w:noProof/>
          <w:rtl/>
        </w:rPr>
        <w:pict>
          <v:rect id="_x0000_s1033" style="position:absolute;left:0;text-align:left;margin-left:165.3pt;margin-top:1.85pt;width:54.15pt;height:37.05pt;z-index:-251643904;mso-wrap-edited:f" wrapcoords="-379 0 -379 21600 758 22265 23495 22265 23116 997 22358 0 -379 0">
            <v:shadow on="t" offset="3pt" offset2="2pt"/>
          </v:rect>
        </w:pict>
      </w:r>
      <w:r w:rsidR="00284270">
        <w:rPr>
          <w:rFonts w:hint="cs"/>
          <w:b/>
          <w:bCs/>
          <w:sz w:val="48"/>
          <w:szCs w:val="48"/>
          <w:rtl/>
        </w:rPr>
        <w:t>(خـ)</w:t>
      </w:r>
    </w:p>
    <w:p w:rsidR="00284270" w:rsidRDefault="00284270">
      <w:pPr>
        <w:rPr>
          <w:rtl/>
        </w:rPr>
      </w:pPr>
    </w:p>
    <w:p w:rsidR="00284270" w:rsidRDefault="00284270">
      <w:pPr>
        <w:rPr>
          <w:sz w:val="32"/>
          <w:szCs w:val="32"/>
          <w:rtl/>
        </w:rPr>
      </w:pPr>
      <w:r>
        <w:rPr>
          <w:rFonts w:hint="cs"/>
          <w:b/>
          <w:bCs/>
          <w:sz w:val="32"/>
          <w:szCs w:val="32"/>
          <w:rtl/>
        </w:rPr>
        <w:t>خبر</w:t>
      </w:r>
      <w:r>
        <w:rPr>
          <w:rFonts w:hint="cs"/>
          <w:sz w:val="32"/>
          <w:szCs w:val="32"/>
          <w:rtl/>
        </w:rPr>
        <w:tab/>
      </w:r>
      <w:r>
        <w:rPr>
          <w:rFonts w:hint="cs"/>
          <w:sz w:val="32"/>
          <w:szCs w:val="32"/>
          <w:rtl/>
        </w:rPr>
        <w:tab/>
        <w:t xml:space="preserve">: ق9 </w:t>
      </w:r>
      <w:r>
        <w:rPr>
          <w:rFonts w:hint="cs"/>
          <w:sz w:val="32"/>
          <w:szCs w:val="32"/>
          <w:rtl/>
        </w:rPr>
        <w:tab/>
      </w:r>
      <w:r>
        <w:rPr>
          <w:rFonts w:hint="cs"/>
          <w:sz w:val="32"/>
          <w:szCs w:val="32"/>
          <w:rtl/>
        </w:rPr>
        <w:tab/>
        <w:t xml:space="preserve">: </w:t>
      </w:r>
      <w:r>
        <w:rPr>
          <w:rFonts w:hint="cs"/>
          <w:b/>
          <w:bCs/>
          <w:sz w:val="32"/>
          <w:szCs w:val="32"/>
          <w:rtl/>
        </w:rPr>
        <w:t>الإخبارُ</w:t>
      </w:r>
      <w:r>
        <w:rPr>
          <w:rFonts w:hint="cs"/>
          <w:sz w:val="32"/>
          <w:szCs w:val="32"/>
          <w:rtl/>
        </w:rPr>
        <w:t xml:space="preserve"> إذَا رُدّ فِي حقِّ غيرِهِ باقٍ في حقِّ نفسِهِ. </w:t>
      </w:r>
    </w:p>
    <w:p w:rsidR="00284270" w:rsidRDefault="00284270">
      <w:pPr>
        <w:rPr>
          <w:sz w:val="32"/>
          <w:szCs w:val="32"/>
          <w:rtl/>
        </w:rPr>
      </w:pPr>
      <w:r>
        <w:rPr>
          <w:rFonts w:hint="cs"/>
          <w:b/>
          <w:bCs/>
          <w:sz w:val="32"/>
          <w:szCs w:val="32"/>
          <w:rtl/>
        </w:rPr>
        <w:t>خرج</w:t>
      </w:r>
      <w:r>
        <w:rPr>
          <w:rFonts w:hint="cs"/>
          <w:sz w:val="32"/>
          <w:szCs w:val="32"/>
          <w:rtl/>
        </w:rPr>
        <w:tab/>
      </w:r>
      <w:r>
        <w:rPr>
          <w:rFonts w:hint="cs"/>
          <w:sz w:val="32"/>
          <w:szCs w:val="32"/>
          <w:rtl/>
        </w:rPr>
        <w:tab/>
        <w:t xml:space="preserve">: ق120 </w:t>
      </w:r>
      <w:r>
        <w:rPr>
          <w:rFonts w:hint="cs"/>
          <w:sz w:val="32"/>
          <w:szCs w:val="32"/>
          <w:rtl/>
        </w:rPr>
        <w:tab/>
        <w:t xml:space="preserve">: </w:t>
      </w:r>
      <w:r>
        <w:rPr>
          <w:rFonts w:hint="eastAsia"/>
          <w:b/>
          <w:bCs/>
          <w:sz w:val="32"/>
          <w:szCs w:val="32"/>
          <w:rtl/>
        </w:rPr>
        <w:t>الخراج</w:t>
      </w:r>
      <w:r>
        <w:rPr>
          <w:rFonts w:hint="cs"/>
          <w:b/>
          <w:bCs/>
          <w:sz w:val="32"/>
          <w:szCs w:val="32"/>
          <w:rtl/>
        </w:rPr>
        <w:t>ُ</w:t>
      </w:r>
      <w:r>
        <w:rPr>
          <w:sz w:val="32"/>
          <w:szCs w:val="32"/>
          <w:rtl/>
        </w:rPr>
        <w:t xml:space="preserve"> بالضمَان</w:t>
      </w:r>
      <w:r>
        <w:rPr>
          <w:rFonts w:hint="cs"/>
          <w:sz w:val="32"/>
          <w:szCs w:val="32"/>
          <w:rtl/>
        </w:rPr>
        <w:t>.</w:t>
      </w:r>
    </w:p>
    <w:p w:rsidR="00284270" w:rsidRDefault="00284270">
      <w:pPr>
        <w:rPr>
          <w:sz w:val="32"/>
          <w:szCs w:val="32"/>
          <w:rtl/>
        </w:rPr>
      </w:pPr>
      <w:r>
        <w:rPr>
          <w:rFonts w:hint="cs"/>
          <w:b/>
          <w:bCs/>
          <w:sz w:val="32"/>
          <w:szCs w:val="32"/>
          <w:rtl/>
        </w:rPr>
        <w:t>خصص</w:t>
      </w:r>
      <w:r>
        <w:rPr>
          <w:rFonts w:hint="cs"/>
          <w:sz w:val="32"/>
          <w:szCs w:val="32"/>
          <w:rtl/>
        </w:rPr>
        <w:tab/>
        <w:t>: ق71</w:t>
      </w:r>
      <w:r>
        <w:rPr>
          <w:rFonts w:hint="cs"/>
          <w:sz w:val="32"/>
          <w:szCs w:val="32"/>
          <w:rtl/>
        </w:rPr>
        <w:tab/>
      </w:r>
      <w:r>
        <w:rPr>
          <w:rFonts w:hint="cs"/>
          <w:sz w:val="32"/>
          <w:szCs w:val="32"/>
          <w:rtl/>
        </w:rPr>
        <w:tab/>
        <w:t xml:space="preserve">: </w:t>
      </w:r>
      <w:r>
        <w:rPr>
          <w:rFonts w:hint="cs"/>
          <w:b/>
          <w:bCs/>
          <w:sz w:val="32"/>
          <w:szCs w:val="32"/>
          <w:rtl/>
        </w:rPr>
        <w:t>التَّخصيصُ</w:t>
      </w:r>
      <w:r>
        <w:rPr>
          <w:rFonts w:hint="cs"/>
          <w:sz w:val="32"/>
          <w:szCs w:val="32"/>
          <w:rtl/>
        </w:rPr>
        <w:t xml:space="preserve"> بالذِّكْرِ لا يدلُّ علَى الحَصْرِ. </w:t>
      </w:r>
    </w:p>
    <w:p w:rsidR="00284270" w:rsidRDefault="00284270" w:rsidP="0022714B">
      <w:pPr>
        <w:ind w:left="2833" w:hanging="2266"/>
        <w:rPr>
          <w:sz w:val="32"/>
          <w:szCs w:val="32"/>
          <w:rtl/>
        </w:rPr>
      </w:pPr>
      <w:r>
        <w:rPr>
          <w:rFonts w:hint="cs"/>
          <w:sz w:val="32"/>
          <w:szCs w:val="32"/>
          <w:rtl/>
        </w:rPr>
        <w:t xml:space="preserve">               ق72</w:t>
      </w:r>
      <w:r>
        <w:rPr>
          <w:rFonts w:hint="cs"/>
          <w:sz w:val="32"/>
          <w:szCs w:val="32"/>
          <w:rtl/>
        </w:rPr>
        <w:tab/>
        <w:t xml:space="preserve">: </w:t>
      </w:r>
      <w:r>
        <w:rPr>
          <w:rFonts w:hint="cs"/>
          <w:b/>
          <w:bCs/>
          <w:sz w:val="32"/>
          <w:szCs w:val="32"/>
          <w:rtl/>
        </w:rPr>
        <w:t>التَّخصِيصُ</w:t>
      </w:r>
      <w:r>
        <w:rPr>
          <w:rFonts w:hint="cs"/>
          <w:sz w:val="32"/>
          <w:szCs w:val="32"/>
          <w:rtl/>
        </w:rPr>
        <w:t xml:space="preserve"> فِي الرِّوايَاتِ يُوجِبُ نَفْيَ الحكمِ عمَّا عدا المَذْكُورِ. </w:t>
      </w:r>
    </w:p>
    <w:p w:rsidR="00284270" w:rsidRDefault="00284270">
      <w:pPr>
        <w:rPr>
          <w:sz w:val="32"/>
          <w:szCs w:val="32"/>
          <w:rtl/>
        </w:rPr>
      </w:pPr>
      <w:r>
        <w:rPr>
          <w:rFonts w:hint="cs"/>
          <w:sz w:val="32"/>
          <w:szCs w:val="32"/>
          <w:rtl/>
        </w:rPr>
        <w:lastRenderedPageBreak/>
        <w:tab/>
      </w:r>
      <w:r>
        <w:rPr>
          <w:rFonts w:hint="cs"/>
          <w:sz w:val="32"/>
          <w:szCs w:val="32"/>
          <w:rtl/>
        </w:rPr>
        <w:tab/>
      </w:r>
      <w:r>
        <w:rPr>
          <w:rFonts w:hint="cs"/>
          <w:sz w:val="32"/>
          <w:szCs w:val="32"/>
          <w:rtl/>
        </w:rPr>
        <w:tab/>
        <w:t xml:space="preserve">  ق90 </w:t>
      </w:r>
      <w:r>
        <w:rPr>
          <w:rFonts w:hint="cs"/>
          <w:sz w:val="32"/>
          <w:szCs w:val="32"/>
          <w:rtl/>
        </w:rPr>
        <w:tab/>
      </w:r>
      <w:r>
        <w:rPr>
          <w:rFonts w:hint="cs"/>
          <w:sz w:val="32"/>
          <w:szCs w:val="32"/>
          <w:rtl/>
        </w:rPr>
        <w:tab/>
        <w:t xml:space="preserve">: التَّنْصِيصُ لاَ يوجِبُ </w:t>
      </w:r>
      <w:r>
        <w:rPr>
          <w:rFonts w:hint="cs"/>
          <w:b/>
          <w:bCs/>
          <w:sz w:val="32"/>
          <w:szCs w:val="32"/>
          <w:rtl/>
        </w:rPr>
        <w:t>التَّخْصِيصَ</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ق119 </w:t>
      </w:r>
      <w:r>
        <w:rPr>
          <w:rFonts w:hint="cs"/>
          <w:sz w:val="32"/>
          <w:szCs w:val="32"/>
          <w:rtl/>
        </w:rPr>
        <w:tab/>
        <w:t xml:space="preserve">: </w:t>
      </w:r>
      <w:r>
        <w:rPr>
          <w:rFonts w:hint="cs"/>
          <w:b/>
          <w:bCs/>
          <w:sz w:val="32"/>
          <w:szCs w:val="32"/>
          <w:rtl/>
        </w:rPr>
        <w:t>الخاصُّ</w:t>
      </w:r>
      <w:r>
        <w:rPr>
          <w:rFonts w:hint="cs"/>
          <w:sz w:val="32"/>
          <w:szCs w:val="32"/>
          <w:rtl/>
        </w:rPr>
        <w:t xml:space="preserve"> يتناولُ </w:t>
      </w:r>
      <w:r>
        <w:rPr>
          <w:rFonts w:hint="cs"/>
          <w:b/>
          <w:bCs/>
          <w:sz w:val="32"/>
          <w:szCs w:val="32"/>
          <w:rtl/>
        </w:rPr>
        <w:t>المخصوصَ</w:t>
      </w:r>
      <w:r>
        <w:rPr>
          <w:rFonts w:hint="cs"/>
          <w:sz w:val="32"/>
          <w:szCs w:val="32"/>
          <w:rtl/>
        </w:rPr>
        <w:t xml:space="preserve"> قطعًا.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ق163 </w:t>
      </w:r>
      <w:r>
        <w:rPr>
          <w:rFonts w:hint="cs"/>
          <w:sz w:val="32"/>
          <w:szCs w:val="32"/>
          <w:rtl/>
        </w:rPr>
        <w:tab/>
        <w:t xml:space="preserve">: العامُّ بعدَ </w:t>
      </w:r>
      <w:r>
        <w:rPr>
          <w:rFonts w:hint="cs"/>
          <w:b/>
          <w:bCs/>
          <w:sz w:val="32"/>
          <w:szCs w:val="32"/>
          <w:rtl/>
        </w:rPr>
        <w:t>التَّخْصِيصِ</w:t>
      </w:r>
      <w:r>
        <w:rPr>
          <w:rFonts w:hint="cs"/>
          <w:sz w:val="32"/>
          <w:szCs w:val="32"/>
          <w:rtl/>
        </w:rPr>
        <w:t xml:space="preserve"> يبقَى حجَّةً لا على اليَقينِ عندنا.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ق175 </w:t>
      </w:r>
      <w:r>
        <w:rPr>
          <w:rFonts w:hint="cs"/>
          <w:sz w:val="32"/>
          <w:szCs w:val="32"/>
          <w:rtl/>
        </w:rPr>
        <w:tab/>
        <w:t xml:space="preserve">: الفَرْعُ </w:t>
      </w:r>
      <w:r>
        <w:rPr>
          <w:rFonts w:hint="cs"/>
          <w:b/>
          <w:bCs/>
          <w:sz w:val="32"/>
          <w:szCs w:val="32"/>
          <w:rtl/>
        </w:rPr>
        <w:t>المُخْتَصُّ</w:t>
      </w:r>
      <w:r>
        <w:rPr>
          <w:rFonts w:hint="cs"/>
          <w:sz w:val="32"/>
          <w:szCs w:val="32"/>
          <w:rtl/>
        </w:rPr>
        <w:t xml:space="preserve"> بأصلِ وُجُودِهِ يَدُلَّ على وُجُودِ أصْلِهِ.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ق256 </w:t>
      </w:r>
      <w:r>
        <w:rPr>
          <w:rFonts w:hint="cs"/>
          <w:sz w:val="32"/>
          <w:szCs w:val="32"/>
          <w:rtl/>
        </w:rPr>
        <w:tab/>
        <w:t xml:space="preserve">: الولايةُ </w:t>
      </w:r>
      <w:r>
        <w:rPr>
          <w:rFonts w:hint="cs"/>
          <w:b/>
          <w:bCs/>
          <w:sz w:val="32"/>
          <w:szCs w:val="32"/>
          <w:rtl/>
        </w:rPr>
        <w:t>الخاصَّةُ</w:t>
      </w:r>
      <w:r>
        <w:rPr>
          <w:rFonts w:hint="cs"/>
          <w:sz w:val="32"/>
          <w:szCs w:val="32"/>
          <w:rtl/>
        </w:rPr>
        <w:t xml:space="preserve"> أَوْلَى مِنَ الولايةِ العامَّةِ.</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ق259 </w:t>
      </w:r>
      <w:r>
        <w:rPr>
          <w:rFonts w:hint="cs"/>
          <w:sz w:val="32"/>
          <w:szCs w:val="32"/>
          <w:rtl/>
        </w:rPr>
        <w:tab/>
        <w:t xml:space="preserve">: يُتحمَّلُ الضَّرَرُ </w:t>
      </w:r>
      <w:r>
        <w:rPr>
          <w:rFonts w:hint="cs"/>
          <w:b/>
          <w:bCs/>
          <w:sz w:val="32"/>
          <w:szCs w:val="32"/>
          <w:rtl/>
        </w:rPr>
        <w:t>الخَاصُّ</w:t>
      </w:r>
      <w:r>
        <w:rPr>
          <w:rFonts w:hint="cs"/>
          <w:sz w:val="32"/>
          <w:szCs w:val="32"/>
          <w:rtl/>
        </w:rPr>
        <w:t xml:space="preserve"> لأجلِ دَفْعِ ضَرَرٍ عَامٍّ.</w:t>
      </w:r>
    </w:p>
    <w:p w:rsidR="00284270" w:rsidRDefault="00284270">
      <w:pPr>
        <w:rPr>
          <w:sz w:val="32"/>
          <w:szCs w:val="32"/>
          <w:rtl/>
        </w:rPr>
      </w:pPr>
      <w:r>
        <w:rPr>
          <w:rFonts w:hint="cs"/>
          <w:b/>
          <w:bCs/>
          <w:sz w:val="32"/>
          <w:szCs w:val="32"/>
          <w:rtl/>
        </w:rPr>
        <w:t>خصم</w:t>
      </w:r>
      <w:r>
        <w:rPr>
          <w:rFonts w:hint="cs"/>
          <w:sz w:val="32"/>
          <w:szCs w:val="32"/>
          <w:rtl/>
        </w:rPr>
        <w:tab/>
      </w:r>
      <w:r>
        <w:rPr>
          <w:rFonts w:hint="cs"/>
          <w:sz w:val="32"/>
          <w:szCs w:val="32"/>
          <w:rtl/>
        </w:rPr>
        <w:tab/>
        <w:t xml:space="preserve">: ق93 </w:t>
      </w:r>
      <w:r>
        <w:rPr>
          <w:rFonts w:hint="cs"/>
          <w:sz w:val="32"/>
          <w:szCs w:val="32"/>
          <w:rtl/>
        </w:rPr>
        <w:tab/>
        <w:t xml:space="preserve"> </w:t>
      </w:r>
      <w:r>
        <w:rPr>
          <w:rFonts w:hint="cs"/>
          <w:sz w:val="32"/>
          <w:szCs w:val="32"/>
          <w:rtl/>
        </w:rPr>
        <w:tab/>
        <w:t xml:space="preserve">: الثَّابتُ بالبيِّنةِ كالثَّابتِ بإقرارِ </w:t>
      </w:r>
      <w:r>
        <w:rPr>
          <w:rFonts w:hint="cs"/>
          <w:b/>
          <w:bCs/>
          <w:sz w:val="32"/>
          <w:szCs w:val="32"/>
          <w:rtl/>
        </w:rPr>
        <w:t>الخصمِ</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ق182 </w:t>
      </w:r>
      <w:r>
        <w:rPr>
          <w:rFonts w:hint="cs"/>
          <w:sz w:val="32"/>
          <w:szCs w:val="32"/>
          <w:rtl/>
        </w:rPr>
        <w:tab/>
        <w:t>: القَضَاءُ الضِّمْنِيُّ لا يُشتَرَطُ لَهُ الدّعْوَى و</w:t>
      </w:r>
      <w:r>
        <w:rPr>
          <w:rFonts w:hint="cs"/>
          <w:b/>
          <w:bCs/>
          <w:sz w:val="32"/>
          <w:szCs w:val="32"/>
          <w:rtl/>
        </w:rPr>
        <w:t>الخُصُومَةُ</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ق189 </w:t>
      </w:r>
      <w:r>
        <w:rPr>
          <w:rFonts w:hint="cs"/>
          <w:sz w:val="32"/>
          <w:szCs w:val="32"/>
          <w:rtl/>
        </w:rPr>
        <w:tab/>
        <w:t xml:space="preserve">: كُلُّ ما يَتَرَتَّبُ عليها البيِّنَةُ يترتَّبُ عَلَيْهَا التَّحْلِيفُ، سِوَى بيّنةٍ أُقِيمَتْ لإثباتِ </w:t>
      </w:r>
      <w:r>
        <w:rPr>
          <w:rFonts w:hint="cs"/>
          <w:b/>
          <w:bCs/>
          <w:sz w:val="32"/>
          <w:szCs w:val="32"/>
          <w:rtl/>
        </w:rPr>
        <w:t>الخُصُومَةِ</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ق206 </w:t>
      </w:r>
      <w:r>
        <w:rPr>
          <w:rFonts w:hint="cs"/>
          <w:sz w:val="32"/>
          <w:szCs w:val="32"/>
          <w:rtl/>
        </w:rPr>
        <w:tab/>
        <w:t xml:space="preserve">: لاَ يَنْـتَصِبُ أَحَدٌ </w:t>
      </w:r>
      <w:r>
        <w:rPr>
          <w:rFonts w:hint="cs"/>
          <w:b/>
          <w:bCs/>
          <w:sz w:val="32"/>
          <w:szCs w:val="32"/>
          <w:rtl/>
        </w:rPr>
        <w:t>خَصْمًا</w:t>
      </w:r>
      <w:r>
        <w:rPr>
          <w:rFonts w:hint="cs"/>
          <w:sz w:val="32"/>
          <w:szCs w:val="32"/>
          <w:rtl/>
        </w:rPr>
        <w:t xml:space="preserve"> عَنْ أَحَدٍ بغيرِ إِذْنِهِ قَصْدًا، وَكَالَةً ونِيَابَةً وَوِلايَةً.</w:t>
      </w:r>
    </w:p>
    <w:p w:rsidR="00284270" w:rsidRDefault="00284270" w:rsidP="0022714B">
      <w:pPr>
        <w:ind w:left="2833" w:hanging="2266"/>
        <w:rPr>
          <w:sz w:val="32"/>
          <w:szCs w:val="32"/>
          <w:rtl/>
        </w:rPr>
      </w:pPr>
      <w:r>
        <w:rPr>
          <w:rFonts w:hint="cs"/>
          <w:sz w:val="32"/>
          <w:szCs w:val="32"/>
          <w:rtl/>
        </w:rPr>
        <w:t xml:space="preserve">               ق237 </w:t>
      </w:r>
      <w:r>
        <w:rPr>
          <w:rFonts w:hint="cs"/>
          <w:sz w:val="32"/>
          <w:szCs w:val="32"/>
          <w:rtl/>
        </w:rPr>
        <w:tab/>
        <w:t xml:space="preserve">: </w:t>
      </w:r>
      <w:r>
        <w:rPr>
          <w:rFonts w:hint="eastAsia"/>
          <w:sz w:val="32"/>
          <w:szCs w:val="32"/>
          <w:rtl/>
        </w:rPr>
        <w:t>مَنْ</w:t>
      </w:r>
      <w:r>
        <w:rPr>
          <w:sz w:val="32"/>
          <w:szCs w:val="32"/>
          <w:rtl/>
        </w:rPr>
        <w:t xml:space="preserve"> جُعِلَ </w:t>
      </w:r>
      <w:r>
        <w:rPr>
          <w:rFonts w:hint="eastAsia"/>
          <w:sz w:val="32"/>
          <w:szCs w:val="32"/>
          <w:rtl/>
        </w:rPr>
        <w:t>القوْلُ</w:t>
      </w:r>
      <w:r>
        <w:rPr>
          <w:sz w:val="32"/>
          <w:szCs w:val="32"/>
          <w:rtl/>
        </w:rPr>
        <w:t xml:space="preserve"> قولَهُ، فِيمَا كَانَ هُوَ </w:t>
      </w:r>
      <w:r>
        <w:rPr>
          <w:b/>
          <w:bCs/>
          <w:sz w:val="32"/>
          <w:szCs w:val="32"/>
          <w:rtl/>
        </w:rPr>
        <w:t>خَصْمًا</w:t>
      </w:r>
      <w:r>
        <w:rPr>
          <w:sz w:val="32"/>
          <w:szCs w:val="32"/>
          <w:rtl/>
        </w:rPr>
        <w:t xml:space="preserve"> فِيهِ، والشيءُ ممّا يَصِحُّ بَذْلُهُ : كَانَ القَوْلُ قَوْلَهُ مَعَ يَمِينِهِ</w:t>
      </w:r>
      <w:r>
        <w:rPr>
          <w:rFonts w:hint="cs"/>
          <w:sz w:val="32"/>
          <w:szCs w:val="32"/>
          <w:rtl/>
        </w:rPr>
        <w:t>.</w:t>
      </w:r>
    </w:p>
    <w:p w:rsidR="00284270" w:rsidRDefault="00284270">
      <w:pPr>
        <w:rPr>
          <w:sz w:val="32"/>
          <w:szCs w:val="32"/>
          <w:rtl/>
        </w:rPr>
      </w:pPr>
      <w:r>
        <w:rPr>
          <w:rFonts w:hint="cs"/>
          <w:b/>
          <w:bCs/>
          <w:sz w:val="32"/>
          <w:szCs w:val="32"/>
          <w:rtl/>
        </w:rPr>
        <w:t>خطأ</w:t>
      </w:r>
      <w:r>
        <w:rPr>
          <w:rFonts w:hint="cs"/>
          <w:sz w:val="32"/>
          <w:szCs w:val="32"/>
          <w:rtl/>
        </w:rPr>
        <w:tab/>
      </w:r>
      <w:r>
        <w:rPr>
          <w:rFonts w:hint="cs"/>
          <w:sz w:val="32"/>
          <w:szCs w:val="32"/>
          <w:rtl/>
        </w:rPr>
        <w:tab/>
        <w:t xml:space="preserve">: ق200 </w:t>
      </w:r>
      <w:r>
        <w:rPr>
          <w:rFonts w:hint="cs"/>
          <w:sz w:val="32"/>
          <w:szCs w:val="32"/>
          <w:rtl/>
        </w:rPr>
        <w:tab/>
        <w:t xml:space="preserve">: لا عِبْرَةَ بالظَّنِّ البَيّنِ </w:t>
      </w:r>
      <w:r>
        <w:rPr>
          <w:rFonts w:hint="cs"/>
          <w:b/>
          <w:bCs/>
          <w:sz w:val="32"/>
          <w:szCs w:val="32"/>
          <w:rtl/>
        </w:rPr>
        <w:t>خطؤُهُ</w:t>
      </w:r>
      <w:r>
        <w:rPr>
          <w:rFonts w:hint="cs"/>
          <w:sz w:val="32"/>
          <w:szCs w:val="32"/>
          <w:rtl/>
        </w:rPr>
        <w:t xml:space="preserve">. </w:t>
      </w:r>
    </w:p>
    <w:p w:rsidR="00284270" w:rsidRDefault="00284270">
      <w:pPr>
        <w:rPr>
          <w:sz w:val="32"/>
          <w:szCs w:val="32"/>
          <w:rtl/>
        </w:rPr>
      </w:pPr>
      <w:r>
        <w:rPr>
          <w:rFonts w:hint="cs"/>
          <w:b/>
          <w:bCs/>
          <w:sz w:val="32"/>
          <w:szCs w:val="32"/>
          <w:rtl/>
        </w:rPr>
        <w:t>خطب</w:t>
      </w:r>
      <w:r>
        <w:rPr>
          <w:rFonts w:hint="cs"/>
          <w:sz w:val="32"/>
          <w:szCs w:val="32"/>
          <w:rtl/>
        </w:rPr>
        <w:tab/>
      </w:r>
      <w:r>
        <w:rPr>
          <w:rFonts w:hint="cs"/>
          <w:sz w:val="32"/>
          <w:szCs w:val="32"/>
          <w:rtl/>
        </w:rPr>
        <w:tab/>
        <w:t xml:space="preserve">: ق184 </w:t>
      </w:r>
      <w:r>
        <w:rPr>
          <w:rFonts w:hint="cs"/>
          <w:sz w:val="32"/>
          <w:szCs w:val="32"/>
          <w:rtl/>
        </w:rPr>
        <w:tab/>
        <w:t xml:space="preserve">: الكِتَابُ مِنَ الغَائِبِ </w:t>
      </w:r>
      <w:r>
        <w:rPr>
          <w:rFonts w:hint="cs"/>
          <w:b/>
          <w:bCs/>
          <w:sz w:val="32"/>
          <w:szCs w:val="32"/>
          <w:rtl/>
        </w:rPr>
        <w:t>كَالخِطَابِ</w:t>
      </w:r>
      <w:r>
        <w:rPr>
          <w:rFonts w:hint="cs"/>
          <w:sz w:val="32"/>
          <w:szCs w:val="32"/>
          <w:rtl/>
        </w:rPr>
        <w:t xml:space="preserve"> مِنَ الحَاضِرِ.</w:t>
      </w:r>
    </w:p>
    <w:p w:rsidR="00284270" w:rsidRDefault="00284270">
      <w:pPr>
        <w:rPr>
          <w:sz w:val="32"/>
          <w:szCs w:val="32"/>
          <w:rtl/>
        </w:rPr>
      </w:pPr>
      <w:r>
        <w:rPr>
          <w:rFonts w:hint="cs"/>
          <w:b/>
          <w:bCs/>
          <w:sz w:val="32"/>
          <w:szCs w:val="32"/>
          <w:rtl/>
        </w:rPr>
        <w:t>خطط</w:t>
      </w:r>
      <w:r>
        <w:rPr>
          <w:rFonts w:hint="cs"/>
          <w:sz w:val="32"/>
          <w:szCs w:val="32"/>
          <w:rtl/>
        </w:rPr>
        <w:tab/>
      </w:r>
      <w:r>
        <w:rPr>
          <w:rFonts w:hint="cs"/>
          <w:sz w:val="32"/>
          <w:szCs w:val="32"/>
          <w:rtl/>
        </w:rPr>
        <w:tab/>
        <w:t xml:space="preserve">: ق202 </w:t>
      </w:r>
      <w:r>
        <w:rPr>
          <w:rFonts w:hint="cs"/>
          <w:sz w:val="32"/>
          <w:szCs w:val="32"/>
          <w:rtl/>
        </w:rPr>
        <w:tab/>
        <w:t xml:space="preserve">: لا يُعْتَمَدُ عَلَى </w:t>
      </w:r>
      <w:r>
        <w:rPr>
          <w:rFonts w:hint="cs"/>
          <w:b/>
          <w:bCs/>
          <w:sz w:val="32"/>
          <w:szCs w:val="32"/>
          <w:rtl/>
        </w:rPr>
        <w:t>الخَطِّ</w:t>
      </w:r>
      <w:r>
        <w:rPr>
          <w:rFonts w:hint="cs"/>
          <w:sz w:val="32"/>
          <w:szCs w:val="32"/>
          <w:rtl/>
        </w:rPr>
        <w:t xml:space="preserve"> ، ولا يُعْمَلُ بِهِ.</w:t>
      </w:r>
    </w:p>
    <w:p w:rsidR="00284270" w:rsidRDefault="00284270">
      <w:pPr>
        <w:rPr>
          <w:sz w:val="32"/>
          <w:szCs w:val="32"/>
          <w:rtl/>
        </w:rPr>
      </w:pPr>
      <w:r>
        <w:rPr>
          <w:rFonts w:hint="cs"/>
          <w:b/>
          <w:bCs/>
          <w:sz w:val="32"/>
          <w:szCs w:val="32"/>
          <w:rtl/>
        </w:rPr>
        <w:t>خفف</w:t>
      </w:r>
      <w:r>
        <w:rPr>
          <w:rFonts w:hint="cs"/>
          <w:sz w:val="32"/>
          <w:szCs w:val="32"/>
          <w:rtl/>
        </w:rPr>
        <w:tab/>
      </w:r>
      <w:r>
        <w:rPr>
          <w:rFonts w:hint="cs"/>
          <w:sz w:val="32"/>
          <w:szCs w:val="32"/>
          <w:rtl/>
        </w:rPr>
        <w:tab/>
        <w:t xml:space="preserve">: ق24 </w:t>
      </w:r>
      <w:r>
        <w:rPr>
          <w:rFonts w:hint="cs"/>
          <w:sz w:val="32"/>
          <w:szCs w:val="32"/>
          <w:rtl/>
        </w:rPr>
        <w:tab/>
      </w:r>
      <w:r>
        <w:rPr>
          <w:rFonts w:hint="cs"/>
          <w:sz w:val="32"/>
          <w:szCs w:val="32"/>
          <w:rtl/>
        </w:rPr>
        <w:tab/>
        <w:t xml:space="preserve">: الأشـدُّ يُزالُ </w:t>
      </w:r>
      <w:r>
        <w:rPr>
          <w:rFonts w:hint="cs"/>
          <w:b/>
          <w:bCs/>
          <w:sz w:val="32"/>
          <w:szCs w:val="32"/>
          <w:rtl/>
        </w:rPr>
        <w:t>بالأخفِّ</w:t>
      </w:r>
      <w:r>
        <w:rPr>
          <w:rFonts w:hint="cs"/>
          <w:sz w:val="32"/>
          <w:szCs w:val="32"/>
          <w:rtl/>
        </w:rPr>
        <w:t xml:space="preserve">. </w:t>
      </w:r>
    </w:p>
    <w:p w:rsidR="00284270" w:rsidRDefault="00284270" w:rsidP="0022714B">
      <w:pPr>
        <w:ind w:left="2833" w:hanging="2266"/>
        <w:rPr>
          <w:sz w:val="32"/>
          <w:szCs w:val="32"/>
          <w:rtl/>
        </w:rPr>
      </w:pPr>
      <w:r>
        <w:rPr>
          <w:rFonts w:hint="cs"/>
          <w:b/>
          <w:bCs/>
          <w:sz w:val="32"/>
          <w:szCs w:val="32"/>
          <w:rtl/>
        </w:rPr>
        <w:t>خفي</w:t>
      </w:r>
      <w:r>
        <w:rPr>
          <w:rFonts w:hint="cs"/>
          <w:sz w:val="32"/>
          <w:szCs w:val="32"/>
          <w:rtl/>
        </w:rPr>
        <w:t xml:space="preserve">        : ق117 </w:t>
      </w:r>
      <w:r>
        <w:rPr>
          <w:rFonts w:hint="cs"/>
          <w:sz w:val="32"/>
          <w:szCs w:val="32"/>
          <w:rtl/>
        </w:rPr>
        <w:tab/>
        <w:t xml:space="preserve">: حكمُ </w:t>
      </w:r>
      <w:r>
        <w:rPr>
          <w:rFonts w:hint="cs"/>
          <w:b/>
          <w:bCs/>
          <w:sz w:val="32"/>
          <w:szCs w:val="32"/>
          <w:rtl/>
        </w:rPr>
        <w:t>الخفيِّ</w:t>
      </w:r>
      <w:r>
        <w:rPr>
          <w:rFonts w:hint="cs"/>
          <w:sz w:val="32"/>
          <w:szCs w:val="32"/>
          <w:rtl/>
        </w:rPr>
        <w:t xml:space="preserve"> : النَّظرُ فيه؛ ليُعلمَ أنَّ خفاهُ لزيادةٍ أو نُقصانٍ فَيَظْهَرَ المُرَادُ.</w:t>
      </w:r>
    </w:p>
    <w:p w:rsidR="00284270" w:rsidRDefault="00284270">
      <w:pPr>
        <w:rPr>
          <w:sz w:val="32"/>
          <w:szCs w:val="32"/>
          <w:rtl/>
        </w:rPr>
      </w:pPr>
      <w:r>
        <w:rPr>
          <w:rFonts w:hint="cs"/>
          <w:b/>
          <w:bCs/>
          <w:sz w:val="32"/>
          <w:szCs w:val="32"/>
          <w:rtl/>
        </w:rPr>
        <w:t>خلف</w:t>
      </w:r>
      <w:r>
        <w:rPr>
          <w:rFonts w:hint="cs"/>
          <w:sz w:val="32"/>
          <w:szCs w:val="32"/>
          <w:rtl/>
        </w:rPr>
        <w:tab/>
      </w:r>
      <w:r>
        <w:rPr>
          <w:rFonts w:hint="cs"/>
          <w:sz w:val="32"/>
          <w:szCs w:val="32"/>
          <w:rtl/>
        </w:rPr>
        <w:tab/>
        <w:t xml:space="preserve">: ق3 </w:t>
      </w:r>
      <w:r>
        <w:rPr>
          <w:rFonts w:hint="cs"/>
          <w:sz w:val="32"/>
          <w:szCs w:val="32"/>
          <w:rtl/>
        </w:rPr>
        <w:tab/>
      </w:r>
      <w:r>
        <w:rPr>
          <w:rFonts w:hint="cs"/>
          <w:sz w:val="32"/>
          <w:szCs w:val="32"/>
          <w:rtl/>
        </w:rPr>
        <w:tab/>
        <w:t xml:space="preserve">: الإجْمَاعُ اللاحِقُ لا يَرْفَعُ </w:t>
      </w:r>
      <w:r>
        <w:rPr>
          <w:rFonts w:hint="cs"/>
          <w:b/>
          <w:bCs/>
          <w:sz w:val="32"/>
          <w:szCs w:val="32"/>
          <w:rtl/>
        </w:rPr>
        <w:t>الاخْتِلافَ</w:t>
      </w:r>
      <w:r>
        <w:rPr>
          <w:rFonts w:hint="cs"/>
          <w:sz w:val="32"/>
          <w:szCs w:val="32"/>
          <w:rtl/>
        </w:rPr>
        <w:t xml:space="preserve"> السَّابِقَ.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ق8 </w:t>
      </w:r>
      <w:r>
        <w:rPr>
          <w:rFonts w:hint="cs"/>
          <w:sz w:val="32"/>
          <w:szCs w:val="32"/>
          <w:rtl/>
        </w:rPr>
        <w:tab/>
      </w:r>
      <w:r>
        <w:rPr>
          <w:rFonts w:hint="cs"/>
          <w:sz w:val="32"/>
          <w:szCs w:val="32"/>
          <w:rtl/>
        </w:rPr>
        <w:tab/>
        <w:t xml:space="preserve">: </w:t>
      </w:r>
      <w:r>
        <w:rPr>
          <w:rFonts w:hint="cs"/>
          <w:b/>
          <w:bCs/>
          <w:sz w:val="32"/>
          <w:szCs w:val="32"/>
          <w:rtl/>
        </w:rPr>
        <w:t>اخِْتلافُ</w:t>
      </w:r>
      <w:r>
        <w:rPr>
          <w:rFonts w:hint="cs"/>
          <w:sz w:val="32"/>
          <w:szCs w:val="32"/>
          <w:rtl/>
        </w:rPr>
        <w:t xml:space="preserve"> الأسْبابِ بِمَنْزِلَةِ </w:t>
      </w:r>
      <w:r>
        <w:rPr>
          <w:rFonts w:hint="cs"/>
          <w:b/>
          <w:bCs/>
          <w:sz w:val="32"/>
          <w:szCs w:val="32"/>
          <w:rtl/>
        </w:rPr>
        <w:t xml:space="preserve">اختلافِ </w:t>
      </w:r>
      <w:r>
        <w:rPr>
          <w:rFonts w:hint="cs"/>
          <w:sz w:val="32"/>
          <w:szCs w:val="32"/>
          <w:rtl/>
        </w:rPr>
        <w:t xml:space="preserve">الأعْيانِ.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ق207 </w:t>
      </w:r>
      <w:r>
        <w:rPr>
          <w:rFonts w:hint="cs"/>
          <w:sz w:val="32"/>
          <w:szCs w:val="32"/>
          <w:rtl/>
        </w:rPr>
        <w:tab/>
        <w:t xml:space="preserve">: لاَ عِبْرَةَ </w:t>
      </w:r>
      <w:r>
        <w:rPr>
          <w:rFonts w:hint="cs"/>
          <w:b/>
          <w:bCs/>
          <w:sz w:val="32"/>
          <w:szCs w:val="32"/>
          <w:rtl/>
        </w:rPr>
        <w:t>لاختلافِ</w:t>
      </w:r>
      <w:r>
        <w:rPr>
          <w:rFonts w:hint="cs"/>
          <w:sz w:val="32"/>
          <w:szCs w:val="32"/>
          <w:rtl/>
        </w:rPr>
        <w:t xml:space="preserve"> السَّبَبِ مع اتّحادِ الحُكْمِ.</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ق193 </w:t>
      </w:r>
      <w:r>
        <w:rPr>
          <w:rFonts w:hint="cs"/>
          <w:sz w:val="32"/>
          <w:szCs w:val="32"/>
          <w:rtl/>
        </w:rPr>
        <w:tab/>
        <w:t xml:space="preserve">: لا يُبَالَى </w:t>
      </w:r>
      <w:r>
        <w:rPr>
          <w:rFonts w:hint="cs"/>
          <w:b/>
          <w:bCs/>
          <w:sz w:val="32"/>
          <w:szCs w:val="32"/>
          <w:rtl/>
        </w:rPr>
        <w:t>باختلافِ</w:t>
      </w:r>
      <w:r>
        <w:rPr>
          <w:rFonts w:hint="cs"/>
          <w:sz w:val="32"/>
          <w:szCs w:val="32"/>
          <w:rtl/>
        </w:rPr>
        <w:t xml:space="preserve"> الأَسْبَابِ عندَ سَلاَمَةِ المَقْصُودِ.</w:t>
      </w:r>
    </w:p>
    <w:p w:rsidR="00284270" w:rsidRDefault="00284270" w:rsidP="0022714B">
      <w:pPr>
        <w:ind w:left="2833" w:hanging="2266"/>
        <w:rPr>
          <w:sz w:val="32"/>
          <w:szCs w:val="32"/>
          <w:rtl/>
        </w:rPr>
      </w:pPr>
      <w:r>
        <w:rPr>
          <w:rFonts w:hint="cs"/>
          <w:b/>
          <w:bCs/>
          <w:sz w:val="32"/>
          <w:szCs w:val="32"/>
          <w:rtl/>
        </w:rPr>
        <w:t>خير</w:t>
      </w:r>
      <w:r>
        <w:rPr>
          <w:rFonts w:hint="cs"/>
          <w:sz w:val="32"/>
          <w:szCs w:val="32"/>
          <w:rtl/>
        </w:rPr>
        <w:t xml:space="preserve">       :   ق191 </w:t>
      </w:r>
      <w:r>
        <w:rPr>
          <w:rFonts w:hint="cs"/>
          <w:sz w:val="32"/>
          <w:szCs w:val="32"/>
          <w:rtl/>
        </w:rPr>
        <w:tab/>
        <w:t xml:space="preserve">: كُلُّ </w:t>
      </w:r>
      <w:r>
        <w:rPr>
          <w:rFonts w:hint="cs"/>
          <w:b/>
          <w:bCs/>
          <w:sz w:val="32"/>
          <w:szCs w:val="32"/>
          <w:rtl/>
        </w:rPr>
        <w:t>مُخيّرٍ</w:t>
      </w:r>
      <w:r>
        <w:rPr>
          <w:rFonts w:hint="cs"/>
          <w:sz w:val="32"/>
          <w:szCs w:val="32"/>
          <w:rtl/>
        </w:rPr>
        <w:t xml:space="preserve"> بينَ شَيئَينِ إذَا </w:t>
      </w:r>
      <w:r>
        <w:rPr>
          <w:rFonts w:hint="cs"/>
          <w:b/>
          <w:bCs/>
          <w:sz w:val="32"/>
          <w:szCs w:val="32"/>
          <w:rtl/>
        </w:rPr>
        <w:t>اختارَ</w:t>
      </w:r>
      <w:r>
        <w:rPr>
          <w:rFonts w:hint="cs"/>
          <w:sz w:val="32"/>
          <w:szCs w:val="32"/>
          <w:rtl/>
        </w:rPr>
        <w:t xml:space="preserve"> أحدَهُمَا : تعيّنَ عليهِ، ولا يعُودُ على الآخَرِ.</w:t>
      </w:r>
    </w:p>
    <w:p w:rsidR="00284270" w:rsidRDefault="00284270">
      <w:pPr>
        <w:rPr>
          <w:sz w:val="32"/>
          <w:szCs w:val="32"/>
          <w:rtl/>
        </w:rPr>
      </w:pPr>
      <w:r>
        <w:rPr>
          <w:rFonts w:hint="cs"/>
          <w:sz w:val="32"/>
          <w:szCs w:val="32"/>
          <w:rtl/>
        </w:rPr>
        <w:lastRenderedPageBreak/>
        <w:tab/>
      </w:r>
      <w:r>
        <w:rPr>
          <w:rFonts w:hint="cs"/>
          <w:sz w:val="32"/>
          <w:szCs w:val="32"/>
          <w:rtl/>
        </w:rPr>
        <w:tab/>
      </w:r>
      <w:r>
        <w:rPr>
          <w:rFonts w:hint="cs"/>
          <w:sz w:val="32"/>
          <w:szCs w:val="32"/>
          <w:rtl/>
        </w:rPr>
        <w:tab/>
        <w:t xml:space="preserve">  ق196 </w:t>
      </w:r>
      <w:r>
        <w:rPr>
          <w:rFonts w:hint="cs"/>
          <w:sz w:val="32"/>
          <w:szCs w:val="32"/>
          <w:rtl/>
        </w:rPr>
        <w:tab/>
        <w:t xml:space="preserve">:  لا يَمْلِكُ أحدٌ إثباتَ ملكٍ لغيرِهِ بلا </w:t>
      </w:r>
      <w:r>
        <w:rPr>
          <w:rFonts w:hint="cs"/>
          <w:b/>
          <w:bCs/>
          <w:sz w:val="32"/>
          <w:szCs w:val="32"/>
          <w:rtl/>
        </w:rPr>
        <w:t>اخْتِيَارِهِ</w:t>
      </w:r>
      <w:r>
        <w:rPr>
          <w:rFonts w:hint="cs"/>
          <w:sz w:val="32"/>
          <w:szCs w:val="32"/>
          <w:rtl/>
        </w:rPr>
        <w:t>.</w:t>
      </w:r>
    </w:p>
    <w:p w:rsidR="00284270" w:rsidRDefault="00284270">
      <w:pPr>
        <w:rPr>
          <w:sz w:val="32"/>
          <w:szCs w:val="32"/>
          <w:rtl/>
        </w:rPr>
      </w:pPr>
      <w:r>
        <w:rPr>
          <w:rFonts w:hint="cs"/>
          <w:sz w:val="32"/>
          <w:szCs w:val="32"/>
          <w:rtl/>
        </w:rPr>
        <w:t xml:space="preserve"> </w:t>
      </w:r>
    </w:p>
    <w:p w:rsidR="00284270" w:rsidRDefault="0022714B">
      <w:pPr>
        <w:jc w:val="center"/>
        <w:rPr>
          <w:b/>
          <w:bCs/>
          <w:sz w:val="48"/>
          <w:szCs w:val="48"/>
          <w:rtl/>
        </w:rPr>
      </w:pPr>
      <w:r>
        <w:rPr>
          <w:b/>
          <w:bCs/>
          <w:noProof/>
          <w:szCs w:val="48"/>
          <w:rtl/>
        </w:rPr>
        <w:pict>
          <v:rect id="_x0000_s1034" style="position:absolute;left:0;text-align:left;margin-left:162.2pt;margin-top:2.8pt;width:54.15pt;height:37.05pt;z-index:-251642880;mso-wrap-edited:f" wrapcoords="-379 0 -379 21600 758 22265 23495 22265 23116 997 22358 0 -379 0">
            <v:shadow on="t" offset="3pt" offset2="2pt"/>
          </v:rect>
        </w:pict>
      </w:r>
      <w:r w:rsidR="00284270">
        <w:rPr>
          <w:rFonts w:hint="cs"/>
          <w:b/>
          <w:bCs/>
          <w:sz w:val="48"/>
          <w:szCs w:val="48"/>
          <w:rtl/>
        </w:rPr>
        <w:t>(د)</w:t>
      </w:r>
    </w:p>
    <w:p w:rsidR="00284270" w:rsidRDefault="00284270">
      <w:pPr>
        <w:rPr>
          <w:rtl/>
        </w:rPr>
      </w:pPr>
    </w:p>
    <w:p w:rsidR="00284270" w:rsidRDefault="00284270">
      <w:pPr>
        <w:rPr>
          <w:sz w:val="32"/>
          <w:szCs w:val="32"/>
          <w:rtl/>
        </w:rPr>
      </w:pPr>
      <w:r>
        <w:rPr>
          <w:rFonts w:hint="cs"/>
          <w:b/>
          <w:bCs/>
          <w:sz w:val="32"/>
          <w:szCs w:val="32"/>
          <w:rtl/>
        </w:rPr>
        <w:t>دام</w:t>
      </w:r>
      <w:r>
        <w:rPr>
          <w:rFonts w:hint="cs"/>
          <w:sz w:val="32"/>
          <w:szCs w:val="32"/>
          <w:rtl/>
        </w:rPr>
        <w:tab/>
      </w:r>
      <w:r>
        <w:rPr>
          <w:rFonts w:hint="cs"/>
          <w:sz w:val="32"/>
          <w:szCs w:val="32"/>
          <w:rtl/>
        </w:rPr>
        <w:tab/>
        <w:t xml:space="preserve">: ق21 </w:t>
      </w:r>
      <w:r>
        <w:rPr>
          <w:rFonts w:hint="cs"/>
          <w:sz w:val="32"/>
          <w:szCs w:val="32"/>
          <w:rtl/>
        </w:rPr>
        <w:tab/>
      </w:r>
      <w:r>
        <w:rPr>
          <w:rFonts w:hint="cs"/>
          <w:sz w:val="32"/>
          <w:szCs w:val="32"/>
          <w:rtl/>
        </w:rPr>
        <w:tab/>
        <w:t xml:space="preserve"> : </w:t>
      </w:r>
      <w:r>
        <w:rPr>
          <w:rFonts w:hint="cs"/>
          <w:b/>
          <w:bCs/>
          <w:sz w:val="32"/>
          <w:szCs w:val="32"/>
          <w:rtl/>
        </w:rPr>
        <w:t>اسْتِدَامَةُ</w:t>
      </w:r>
      <w:r>
        <w:rPr>
          <w:rFonts w:hint="cs"/>
          <w:sz w:val="32"/>
          <w:szCs w:val="32"/>
          <w:rtl/>
        </w:rPr>
        <w:t xml:space="preserve"> الشَّيءِ تُعْتَبَرُ بِأَصْلِهِ. </w:t>
      </w:r>
    </w:p>
    <w:p w:rsidR="00284270" w:rsidRDefault="00284270" w:rsidP="0022714B">
      <w:pPr>
        <w:ind w:left="2833" w:hanging="2266"/>
        <w:rPr>
          <w:sz w:val="32"/>
          <w:szCs w:val="32"/>
          <w:rtl/>
        </w:rPr>
      </w:pPr>
      <w:r>
        <w:rPr>
          <w:rFonts w:hint="cs"/>
          <w:sz w:val="32"/>
          <w:szCs w:val="32"/>
          <w:rtl/>
        </w:rPr>
        <w:t xml:space="preserve">               ق215 </w:t>
      </w:r>
      <w:r>
        <w:rPr>
          <w:rFonts w:hint="cs"/>
          <w:sz w:val="32"/>
          <w:szCs w:val="32"/>
          <w:rtl/>
        </w:rPr>
        <w:tab/>
        <w:t xml:space="preserve">: مَا لاَ يَكُونُ لاِزَمًا مِنَ التَّصَرُّفَاتِ يَكُونُ </w:t>
      </w:r>
      <w:r>
        <w:rPr>
          <w:rFonts w:hint="cs"/>
          <w:b/>
          <w:bCs/>
          <w:sz w:val="32"/>
          <w:szCs w:val="32"/>
          <w:rtl/>
        </w:rPr>
        <w:t>لِدَوَامِهِ</w:t>
      </w:r>
      <w:r>
        <w:rPr>
          <w:rFonts w:hint="cs"/>
          <w:sz w:val="32"/>
          <w:szCs w:val="32"/>
          <w:rtl/>
        </w:rPr>
        <w:t xml:space="preserve"> حُكْمُ الابتدَاءِ.</w:t>
      </w:r>
    </w:p>
    <w:p w:rsidR="00284270" w:rsidRDefault="00284270">
      <w:pPr>
        <w:rPr>
          <w:sz w:val="32"/>
          <w:szCs w:val="32"/>
          <w:rtl/>
        </w:rPr>
      </w:pPr>
      <w:r>
        <w:rPr>
          <w:rFonts w:hint="cs"/>
          <w:b/>
          <w:bCs/>
          <w:sz w:val="32"/>
          <w:szCs w:val="32"/>
          <w:rtl/>
        </w:rPr>
        <w:t>دان</w:t>
      </w:r>
      <w:r>
        <w:rPr>
          <w:rFonts w:hint="cs"/>
          <w:sz w:val="32"/>
          <w:szCs w:val="32"/>
          <w:rtl/>
        </w:rPr>
        <w:tab/>
      </w:r>
      <w:r>
        <w:rPr>
          <w:rFonts w:hint="cs"/>
          <w:sz w:val="32"/>
          <w:szCs w:val="32"/>
          <w:rtl/>
        </w:rPr>
        <w:tab/>
        <w:t xml:space="preserve">: ق60 </w:t>
      </w:r>
      <w:r>
        <w:rPr>
          <w:rFonts w:hint="cs"/>
          <w:sz w:val="32"/>
          <w:szCs w:val="32"/>
          <w:rtl/>
        </w:rPr>
        <w:tab/>
      </w:r>
      <w:r>
        <w:rPr>
          <w:rFonts w:hint="cs"/>
          <w:sz w:val="32"/>
          <w:szCs w:val="32"/>
          <w:rtl/>
        </w:rPr>
        <w:tab/>
        <w:t xml:space="preserve">: </w:t>
      </w:r>
      <w:r>
        <w:rPr>
          <w:rFonts w:hint="eastAsia"/>
          <w:sz w:val="32"/>
          <w:szCs w:val="32"/>
          <w:rtl/>
        </w:rPr>
        <w:t>بيع</w:t>
      </w:r>
      <w:r>
        <w:rPr>
          <w:rFonts w:hint="cs"/>
          <w:sz w:val="32"/>
          <w:szCs w:val="32"/>
          <w:rtl/>
        </w:rPr>
        <w:t>ُ</w:t>
      </w:r>
      <w:r>
        <w:rPr>
          <w:sz w:val="32"/>
          <w:szCs w:val="32"/>
          <w:rtl/>
        </w:rPr>
        <w:t xml:space="preserve"> </w:t>
      </w:r>
      <w:r>
        <w:rPr>
          <w:b/>
          <w:bCs/>
          <w:sz w:val="32"/>
          <w:szCs w:val="32"/>
          <w:rtl/>
        </w:rPr>
        <w:t>الد</w:t>
      </w:r>
      <w:r>
        <w:rPr>
          <w:rFonts w:hint="cs"/>
          <w:b/>
          <w:bCs/>
          <w:sz w:val="32"/>
          <w:szCs w:val="32"/>
          <w:rtl/>
        </w:rPr>
        <w:t>َّ</w:t>
      </w:r>
      <w:r>
        <w:rPr>
          <w:b/>
          <w:bCs/>
          <w:sz w:val="32"/>
          <w:szCs w:val="32"/>
          <w:rtl/>
        </w:rPr>
        <w:t>ي</w:t>
      </w:r>
      <w:r>
        <w:rPr>
          <w:rFonts w:hint="cs"/>
          <w:b/>
          <w:bCs/>
          <w:sz w:val="32"/>
          <w:szCs w:val="32"/>
          <w:rtl/>
        </w:rPr>
        <w:t>ْ</w:t>
      </w:r>
      <w:r>
        <w:rPr>
          <w:b/>
          <w:bCs/>
          <w:sz w:val="32"/>
          <w:szCs w:val="32"/>
          <w:rtl/>
        </w:rPr>
        <w:t>ن</w:t>
      </w:r>
      <w:r>
        <w:rPr>
          <w:rFonts w:hint="cs"/>
          <w:b/>
          <w:bCs/>
          <w:sz w:val="32"/>
          <w:szCs w:val="32"/>
          <w:rtl/>
        </w:rPr>
        <w:t>ِ</w:t>
      </w:r>
      <w:r>
        <w:rPr>
          <w:sz w:val="32"/>
          <w:szCs w:val="32"/>
          <w:rtl/>
        </w:rPr>
        <w:t xml:space="preserve"> </w:t>
      </w:r>
      <w:r>
        <w:rPr>
          <w:b/>
          <w:bCs/>
          <w:sz w:val="32"/>
          <w:szCs w:val="32"/>
          <w:rtl/>
        </w:rPr>
        <w:t>بالد</w:t>
      </w:r>
      <w:r>
        <w:rPr>
          <w:rFonts w:hint="cs"/>
          <w:b/>
          <w:bCs/>
          <w:sz w:val="32"/>
          <w:szCs w:val="32"/>
          <w:rtl/>
        </w:rPr>
        <w:t>َّ</w:t>
      </w:r>
      <w:r>
        <w:rPr>
          <w:b/>
          <w:bCs/>
          <w:sz w:val="32"/>
          <w:szCs w:val="32"/>
          <w:rtl/>
        </w:rPr>
        <w:t>ين</w:t>
      </w:r>
      <w:r>
        <w:rPr>
          <w:rFonts w:hint="cs"/>
          <w:b/>
          <w:bCs/>
          <w:sz w:val="32"/>
          <w:szCs w:val="32"/>
          <w:rtl/>
        </w:rPr>
        <w:t>ِ</w:t>
      </w:r>
      <w:r>
        <w:rPr>
          <w:sz w:val="32"/>
          <w:szCs w:val="32"/>
          <w:rtl/>
        </w:rPr>
        <w:t xml:space="preserve"> باطل</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ق86 </w:t>
      </w:r>
      <w:r>
        <w:rPr>
          <w:rFonts w:hint="cs"/>
          <w:sz w:val="32"/>
          <w:szCs w:val="32"/>
          <w:rtl/>
        </w:rPr>
        <w:tab/>
      </w:r>
      <w:r>
        <w:rPr>
          <w:rFonts w:hint="cs"/>
          <w:sz w:val="32"/>
          <w:szCs w:val="32"/>
          <w:rtl/>
        </w:rPr>
        <w:tab/>
        <w:t xml:space="preserve">: تمليكُ الدَّينِ مِنْ غَيْرِ مَنْ عليهِ </w:t>
      </w:r>
      <w:r>
        <w:rPr>
          <w:rFonts w:hint="cs"/>
          <w:b/>
          <w:bCs/>
          <w:sz w:val="32"/>
          <w:szCs w:val="32"/>
          <w:rtl/>
        </w:rPr>
        <w:t>الدّينُ</w:t>
      </w:r>
      <w:r>
        <w:rPr>
          <w:rFonts w:hint="cs"/>
          <w:sz w:val="32"/>
          <w:szCs w:val="32"/>
          <w:rtl/>
        </w:rPr>
        <w:t xml:space="preserve"> لا يجوزُ.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ق128 </w:t>
      </w:r>
      <w:r>
        <w:rPr>
          <w:rFonts w:hint="cs"/>
          <w:sz w:val="32"/>
          <w:szCs w:val="32"/>
          <w:rtl/>
        </w:rPr>
        <w:tab/>
        <w:t xml:space="preserve">: </w:t>
      </w:r>
      <w:r>
        <w:rPr>
          <w:rFonts w:hint="cs"/>
          <w:b/>
          <w:bCs/>
          <w:sz w:val="32"/>
          <w:szCs w:val="32"/>
          <w:rtl/>
        </w:rPr>
        <w:t>الدُّيُونُ</w:t>
      </w:r>
      <w:r>
        <w:rPr>
          <w:rFonts w:hint="cs"/>
          <w:sz w:val="32"/>
          <w:szCs w:val="32"/>
          <w:rtl/>
        </w:rPr>
        <w:t xml:space="preserve"> تُقْضَى بأَمثَالِهَا.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ق201 </w:t>
      </w:r>
      <w:r>
        <w:rPr>
          <w:rFonts w:hint="cs"/>
          <w:sz w:val="32"/>
          <w:szCs w:val="32"/>
          <w:rtl/>
        </w:rPr>
        <w:tab/>
        <w:t xml:space="preserve">: لاَ تَصِحُّ الكفالةُ إلاّ </w:t>
      </w:r>
      <w:r>
        <w:rPr>
          <w:rFonts w:hint="cs"/>
          <w:b/>
          <w:bCs/>
          <w:sz w:val="32"/>
          <w:szCs w:val="32"/>
          <w:rtl/>
        </w:rPr>
        <w:t>بِدَيْنٍ</w:t>
      </w:r>
      <w:r>
        <w:rPr>
          <w:rFonts w:hint="cs"/>
          <w:sz w:val="32"/>
          <w:szCs w:val="32"/>
          <w:rtl/>
        </w:rPr>
        <w:t xml:space="preserve"> صَحِيحٍ.</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ق199 </w:t>
      </w:r>
      <w:r>
        <w:rPr>
          <w:rFonts w:hint="cs"/>
          <w:sz w:val="32"/>
          <w:szCs w:val="32"/>
          <w:rtl/>
        </w:rPr>
        <w:tab/>
        <w:t xml:space="preserve">: لاَ يَصِحُّ تَمْلِيكُ </w:t>
      </w:r>
      <w:r>
        <w:rPr>
          <w:rFonts w:hint="cs"/>
          <w:b/>
          <w:bCs/>
          <w:sz w:val="32"/>
          <w:szCs w:val="32"/>
          <w:rtl/>
        </w:rPr>
        <w:t>الدَّيْنِ</w:t>
      </w:r>
      <w:r>
        <w:rPr>
          <w:rFonts w:hint="cs"/>
          <w:sz w:val="32"/>
          <w:szCs w:val="32"/>
          <w:rtl/>
        </w:rPr>
        <w:t xml:space="preserve"> مِنْ غَيْرِ مَنْ عَلَيْهِ </w:t>
      </w:r>
      <w:r>
        <w:rPr>
          <w:rFonts w:hint="cs"/>
          <w:b/>
          <w:bCs/>
          <w:sz w:val="32"/>
          <w:szCs w:val="32"/>
          <w:rtl/>
        </w:rPr>
        <w:t>الدّينُ</w:t>
      </w:r>
      <w:r>
        <w:rPr>
          <w:rFonts w:hint="cs"/>
          <w:sz w:val="32"/>
          <w:szCs w:val="32"/>
          <w:rtl/>
        </w:rPr>
        <w:t>.</w:t>
      </w:r>
    </w:p>
    <w:p w:rsidR="00284270" w:rsidRDefault="00284270">
      <w:pPr>
        <w:rPr>
          <w:sz w:val="32"/>
          <w:szCs w:val="32"/>
          <w:rtl/>
        </w:rPr>
      </w:pPr>
      <w:r>
        <w:rPr>
          <w:rFonts w:hint="cs"/>
          <w:b/>
          <w:bCs/>
          <w:sz w:val="32"/>
          <w:szCs w:val="32"/>
          <w:rtl/>
        </w:rPr>
        <w:t>دخل</w:t>
      </w:r>
      <w:r>
        <w:rPr>
          <w:rFonts w:hint="cs"/>
          <w:sz w:val="32"/>
          <w:szCs w:val="32"/>
          <w:rtl/>
        </w:rPr>
        <w:tab/>
      </w:r>
      <w:r>
        <w:rPr>
          <w:rFonts w:hint="cs"/>
          <w:sz w:val="32"/>
          <w:szCs w:val="32"/>
          <w:rtl/>
        </w:rPr>
        <w:tab/>
        <w:t xml:space="preserve">: ق112 </w:t>
      </w:r>
      <w:r>
        <w:rPr>
          <w:rFonts w:hint="cs"/>
          <w:sz w:val="32"/>
          <w:szCs w:val="32"/>
          <w:rtl/>
        </w:rPr>
        <w:tab/>
        <w:t xml:space="preserve">: الحرُّ لا </w:t>
      </w:r>
      <w:r>
        <w:rPr>
          <w:rFonts w:hint="cs"/>
          <w:b/>
          <w:bCs/>
          <w:sz w:val="32"/>
          <w:szCs w:val="32"/>
          <w:rtl/>
        </w:rPr>
        <w:t>يدخلُ</w:t>
      </w:r>
      <w:r>
        <w:rPr>
          <w:rFonts w:hint="cs"/>
          <w:sz w:val="32"/>
          <w:szCs w:val="32"/>
          <w:rtl/>
        </w:rPr>
        <w:t xml:space="preserve"> تحتَ اليدِ.</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ق121 </w:t>
      </w:r>
      <w:r>
        <w:rPr>
          <w:rFonts w:hint="cs"/>
          <w:sz w:val="32"/>
          <w:szCs w:val="32"/>
          <w:rtl/>
        </w:rPr>
        <w:tab/>
        <w:t xml:space="preserve">: </w:t>
      </w:r>
      <w:r>
        <w:rPr>
          <w:rFonts w:hint="cs"/>
          <w:b/>
          <w:bCs/>
          <w:sz w:val="32"/>
          <w:szCs w:val="32"/>
          <w:rtl/>
        </w:rPr>
        <w:t>الدَّاخلُ</w:t>
      </w:r>
      <w:r>
        <w:rPr>
          <w:rFonts w:hint="cs"/>
          <w:sz w:val="32"/>
          <w:szCs w:val="32"/>
          <w:rtl/>
        </w:rPr>
        <w:t xml:space="preserve"> تَحْتَ العَقْدِ عملٌ سليمٌ، والمُفْسَدُ غيرُ </w:t>
      </w:r>
      <w:r>
        <w:rPr>
          <w:rFonts w:hint="cs"/>
          <w:b/>
          <w:bCs/>
          <w:sz w:val="32"/>
          <w:szCs w:val="32"/>
          <w:rtl/>
        </w:rPr>
        <w:t>داخلٍ</w:t>
      </w:r>
      <w:r>
        <w:rPr>
          <w:rFonts w:hint="cs"/>
          <w:sz w:val="32"/>
          <w:szCs w:val="32"/>
          <w:rtl/>
        </w:rPr>
        <w:t>.</w:t>
      </w:r>
    </w:p>
    <w:p w:rsidR="00284270" w:rsidRDefault="00284270">
      <w:pPr>
        <w:rPr>
          <w:sz w:val="32"/>
          <w:szCs w:val="32"/>
          <w:rtl/>
        </w:rPr>
      </w:pPr>
      <w:r>
        <w:rPr>
          <w:rFonts w:hint="cs"/>
          <w:b/>
          <w:bCs/>
          <w:sz w:val="32"/>
          <w:szCs w:val="32"/>
          <w:rtl/>
        </w:rPr>
        <w:t>درأ</w:t>
      </w:r>
      <w:r>
        <w:rPr>
          <w:rFonts w:hint="cs"/>
          <w:sz w:val="32"/>
          <w:szCs w:val="32"/>
          <w:rtl/>
        </w:rPr>
        <w:tab/>
      </w:r>
      <w:r>
        <w:rPr>
          <w:rFonts w:hint="cs"/>
          <w:sz w:val="32"/>
          <w:szCs w:val="32"/>
          <w:rtl/>
        </w:rPr>
        <w:tab/>
        <w:t xml:space="preserve">: ق111 </w:t>
      </w:r>
      <w:r>
        <w:rPr>
          <w:rFonts w:hint="cs"/>
          <w:sz w:val="32"/>
          <w:szCs w:val="32"/>
          <w:rtl/>
        </w:rPr>
        <w:tab/>
        <w:t xml:space="preserve">: الحدودُ </w:t>
      </w:r>
      <w:r>
        <w:rPr>
          <w:rFonts w:hint="cs"/>
          <w:b/>
          <w:bCs/>
          <w:sz w:val="32"/>
          <w:szCs w:val="32"/>
          <w:rtl/>
        </w:rPr>
        <w:t>تَنْدَرِئُ</w:t>
      </w:r>
      <w:r>
        <w:rPr>
          <w:rFonts w:hint="cs"/>
          <w:sz w:val="32"/>
          <w:szCs w:val="32"/>
          <w:rtl/>
        </w:rPr>
        <w:t xml:space="preserve"> بالشُّبُهَاتِ.</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ق122 </w:t>
      </w:r>
      <w:r>
        <w:rPr>
          <w:rFonts w:hint="cs"/>
          <w:sz w:val="32"/>
          <w:szCs w:val="32"/>
          <w:rtl/>
        </w:rPr>
        <w:tab/>
        <w:t xml:space="preserve">: </w:t>
      </w:r>
      <w:r>
        <w:rPr>
          <w:rFonts w:hint="cs"/>
          <w:b/>
          <w:bCs/>
          <w:sz w:val="32"/>
          <w:szCs w:val="32"/>
          <w:rtl/>
        </w:rPr>
        <w:t>دَرْءُ</w:t>
      </w:r>
      <w:r>
        <w:rPr>
          <w:rFonts w:hint="cs"/>
          <w:sz w:val="32"/>
          <w:szCs w:val="32"/>
          <w:rtl/>
        </w:rPr>
        <w:t xml:space="preserve"> المفاسِدِ أولَى مِنْ جَلْبِ المَصَالِحِ.</w:t>
      </w:r>
    </w:p>
    <w:p w:rsidR="00284270" w:rsidRDefault="00284270">
      <w:pPr>
        <w:rPr>
          <w:sz w:val="32"/>
          <w:szCs w:val="32"/>
          <w:rtl/>
        </w:rPr>
      </w:pPr>
      <w:r>
        <w:rPr>
          <w:rFonts w:hint="cs"/>
          <w:b/>
          <w:bCs/>
          <w:sz w:val="32"/>
          <w:szCs w:val="32"/>
          <w:rtl/>
        </w:rPr>
        <w:t>دعى</w:t>
      </w:r>
      <w:r>
        <w:rPr>
          <w:rFonts w:hint="cs"/>
          <w:sz w:val="32"/>
          <w:szCs w:val="32"/>
          <w:rtl/>
        </w:rPr>
        <w:tab/>
      </w:r>
      <w:r>
        <w:rPr>
          <w:rFonts w:hint="cs"/>
          <w:sz w:val="32"/>
          <w:szCs w:val="32"/>
          <w:rtl/>
        </w:rPr>
        <w:tab/>
        <w:t xml:space="preserve">: ق2 </w:t>
      </w:r>
      <w:r>
        <w:rPr>
          <w:rFonts w:hint="cs"/>
          <w:sz w:val="32"/>
          <w:szCs w:val="32"/>
          <w:rtl/>
        </w:rPr>
        <w:tab/>
      </w:r>
      <w:r>
        <w:rPr>
          <w:rFonts w:hint="cs"/>
          <w:sz w:val="32"/>
          <w:szCs w:val="32"/>
          <w:rtl/>
        </w:rPr>
        <w:tab/>
        <w:t xml:space="preserve">: الإِبْرَاءُ عَنِ الأَعْيَانِ لاَ يَجُوزُ، وعنْ </w:t>
      </w:r>
      <w:r>
        <w:rPr>
          <w:rFonts w:hint="cs"/>
          <w:b/>
          <w:bCs/>
          <w:sz w:val="32"/>
          <w:szCs w:val="32"/>
          <w:rtl/>
        </w:rPr>
        <w:t>دعوَاهَا</w:t>
      </w:r>
      <w:r>
        <w:rPr>
          <w:rFonts w:hint="cs"/>
          <w:sz w:val="32"/>
          <w:szCs w:val="32"/>
          <w:rtl/>
        </w:rPr>
        <w:t xml:space="preserve"> يجوزُ.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ق40 </w:t>
      </w:r>
      <w:r>
        <w:rPr>
          <w:rFonts w:hint="cs"/>
          <w:sz w:val="32"/>
          <w:szCs w:val="32"/>
          <w:rtl/>
        </w:rPr>
        <w:tab/>
      </w:r>
      <w:r>
        <w:rPr>
          <w:rFonts w:hint="cs"/>
          <w:sz w:val="32"/>
          <w:szCs w:val="32"/>
          <w:rtl/>
        </w:rPr>
        <w:tab/>
        <w:t xml:space="preserve">: الإِقْرَارُ بَعْدَ </w:t>
      </w:r>
      <w:r>
        <w:rPr>
          <w:rFonts w:hint="cs"/>
          <w:b/>
          <w:bCs/>
          <w:sz w:val="32"/>
          <w:szCs w:val="32"/>
          <w:rtl/>
        </w:rPr>
        <w:t>الدَّعوَى</w:t>
      </w:r>
      <w:r>
        <w:rPr>
          <w:rFonts w:hint="cs"/>
          <w:sz w:val="32"/>
          <w:szCs w:val="32"/>
          <w:rtl/>
        </w:rPr>
        <w:t xml:space="preserve"> صَحِيحٌ، دُونَ العَكْسِ.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ق87 </w:t>
      </w:r>
      <w:r>
        <w:rPr>
          <w:rFonts w:hint="cs"/>
          <w:sz w:val="32"/>
          <w:szCs w:val="32"/>
          <w:rtl/>
        </w:rPr>
        <w:tab/>
      </w:r>
      <w:r>
        <w:rPr>
          <w:rFonts w:hint="cs"/>
          <w:sz w:val="32"/>
          <w:szCs w:val="32"/>
          <w:rtl/>
        </w:rPr>
        <w:tab/>
        <w:t xml:space="preserve">: التَّنَاقُضُ يُفسدُ </w:t>
      </w:r>
      <w:r>
        <w:rPr>
          <w:rFonts w:hint="cs"/>
          <w:b/>
          <w:bCs/>
          <w:sz w:val="32"/>
          <w:szCs w:val="32"/>
          <w:rtl/>
        </w:rPr>
        <w:t>الدّعوَى</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ق179 </w:t>
      </w:r>
      <w:r>
        <w:rPr>
          <w:rFonts w:hint="cs"/>
          <w:sz w:val="32"/>
          <w:szCs w:val="32"/>
          <w:rtl/>
        </w:rPr>
        <w:tab/>
        <w:t xml:space="preserve">: القَبْضُ إنَّمَا يُعْتَبَرُ فِي انتقالِ المِلْكِ لاَ فِي </w:t>
      </w:r>
      <w:r>
        <w:rPr>
          <w:rFonts w:hint="cs"/>
          <w:b/>
          <w:bCs/>
          <w:sz w:val="32"/>
          <w:szCs w:val="32"/>
          <w:rtl/>
        </w:rPr>
        <w:t>دَعْوَى</w:t>
      </w:r>
      <w:r>
        <w:rPr>
          <w:rFonts w:hint="cs"/>
          <w:sz w:val="32"/>
          <w:szCs w:val="32"/>
          <w:rtl/>
        </w:rPr>
        <w:t xml:space="preserve"> المِلْكِ القَدِيمِ.</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ق182 </w:t>
      </w:r>
      <w:r>
        <w:rPr>
          <w:rFonts w:hint="cs"/>
          <w:sz w:val="32"/>
          <w:szCs w:val="32"/>
          <w:rtl/>
        </w:rPr>
        <w:tab/>
        <w:t xml:space="preserve">: القَضَاءُ الضِّمْنِيُّ لا يُشتَرَطُ لَهُ </w:t>
      </w:r>
      <w:r>
        <w:rPr>
          <w:rFonts w:hint="cs"/>
          <w:b/>
          <w:bCs/>
          <w:sz w:val="32"/>
          <w:szCs w:val="32"/>
          <w:rtl/>
        </w:rPr>
        <w:t>الدّعْوَى</w:t>
      </w:r>
      <w:r>
        <w:rPr>
          <w:rFonts w:hint="cs"/>
          <w:sz w:val="32"/>
          <w:szCs w:val="32"/>
          <w:rtl/>
        </w:rPr>
        <w:t xml:space="preserve"> والخُصُومَةُ.</w:t>
      </w:r>
    </w:p>
    <w:p w:rsidR="00284270" w:rsidRDefault="00284270" w:rsidP="0022714B">
      <w:pPr>
        <w:ind w:left="2833" w:hanging="2266"/>
        <w:rPr>
          <w:sz w:val="32"/>
          <w:szCs w:val="32"/>
          <w:rtl/>
        </w:rPr>
      </w:pPr>
      <w:r>
        <w:rPr>
          <w:rFonts w:hint="cs"/>
          <w:sz w:val="32"/>
          <w:szCs w:val="32"/>
          <w:rtl/>
        </w:rPr>
        <w:t xml:space="preserve">               ق204 </w:t>
      </w:r>
      <w:r>
        <w:rPr>
          <w:rFonts w:hint="cs"/>
          <w:sz w:val="32"/>
          <w:szCs w:val="32"/>
          <w:rtl/>
        </w:rPr>
        <w:tab/>
        <w:t xml:space="preserve">: لاَ تُسمَعُ </w:t>
      </w:r>
      <w:r>
        <w:rPr>
          <w:rFonts w:hint="cs"/>
          <w:b/>
          <w:bCs/>
          <w:sz w:val="32"/>
          <w:szCs w:val="32"/>
          <w:rtl/>
        </w:rPr>
        <w:t>الدَّعوَى</w:t>
      </w:r>
      <w:r>
        <w:rPr>
          <w:rFonts w:hint="cs"/>
          <w:sz w:val="32"/>
          <w:szCs w:val="32"/>
          <w:rtl/>
        </w:rPr>
        <w:t xml:space="preserve"> بَعْدَ الإبْرَاءِ العامِّ إلاّ بحقٍّ حادِثٍ بَعْدَهُ.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ق194 </w:t>
      </w:r>
      <w:r>
        <w:rPr>
          <w:rFonts w:hint="cs"/>
          <w:sz w:val="32"/>
          <w:szCs w:val="32"/>
          <w:rtl/>
        </w:rPr>
        <w:tab/>
        <w:t xml:space="preserve">: لا يَجُوزُ </w:t>
      </w:r>
      <w:r>
        <w:rPr>
          <w:rFonts w:hint="cs"/>
          <w:b/>
          <w:bCs/>
          <w:sz w:val="32"/>
          <w:szCs w:val="32"/>
          <w:rtl/>
        </w:rPr>
        <w:t>للمدَّعَى</w:t>
      </w:r>
      <w:r>
        <w:rPr>
          <w:rFonts w:hint="cs"/>
          <w:sz w:val="32"/>
          <w:szCs w:val="32"/>
          <w:rtl/>
        </w:rPr>
        <w:t xml:space="preserve"> عليهِ الإنكارُ إذا كَانَ عالمًا بالحَقِّ.</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ق232 </w:t>
      </w:r>
      <w:r>
        <w:rPr>
          <w:rFonts w:hint="cs"/>
          <w:sz w:val="32"/>
          <w:szCs w:val="32"/>
          <w:rtl/>
        </w:rPr>
        <w:tab/>
        <w:t xml:space="preserve">: المَقْضِيُّ عَلَيْهِ فِي حَادِثَةٍ : لاَ تُسْمَعُ </w:t>
      </w:r>
      <w:r>
        <w:rPr>
          <w:rFonts w:hint="cs"/>
          <w:b/>
          <w:bCs/>
          <w:sz w:val="32"/>
          <w:szCs w:val="32"/>
          <w:rtl/>
        </w:rPr>
        <w:t>دَعْوَاهُ</w:t>
      </w:r>
      <w:r>
        <w:rPr>
          <w:rFonts w:hint="cs"/>
          <w:sz w:val="32"/>
          <w:szCs w:val="32"/>
          <w:rtl/>
        </w:rPr>
        <w:t xml:space="preserve"> ولا بَيِّنَتُهُ.</w:t>
      </w:r>
    </w:p>
    <w:p w:rsidR="00284270" w:rsidRDefault="00284270" w:rsidP="0022714B">
      <w:pPr>
        <w:ind w:left="2833" w:hanging="2266"/>
        <w:rPr>
          <w:sz w:val="32"/>
          <w:szCs w:val="32"/>
          <w:rtl/>
        </w:rPr>
      </w:pPr>
      <w:r>
        <w:rPr>
          <w:rFonts w:hint="cs"/>
          <w:b/>
          <w:bCs/>
          <w:sz w:val="32"/>
          <w:szCs w:val="32"/>
          <w:rtl/>
        </w:rPr>
        <w:t>دفع</w:t>
      </w:r>
      <w:r>
        <w:rPr>
          <w:rFonts w:hint="cs"/>
          <w:sz w:val="32"/>
          <w:szCs w:val="32"/>
          <w:rtl/>
        </w:rPr>
        <w:t xml:space="preserve">         : ق118 </w:t>
      </w:r>
      <w:r>
        <w:rPr>
          <w:rFonts w:hint="cs"/>
          <w:sz w:val="32"/>
          <w:szCs w:val="32"/>
          <w:rtl/>
        </w:rPr>
        <w:tab/>
        <w:t xml:space="preserve">: الحيلةُ </w:t>
      </w:r>
      <w:r>
        <w:rPr>
          <w:rFonts w:hint="cs"/>
          <w:b/>
          <w:bCs/>
          <w:sz w:val="32"/>
          <w:szCs w:val="32"/>
          <w:rtl/>
        </w:rPr>
        <w:t>لدفعِ</w:t>
      </w:r>
      <w:r>
        <w:rPr>
          <w:rFonts w:hint="cs"/>
          <w:sz w:val="32"/>
          <w:szCs w:val="32"/>
          <w:rtl/>
        </w:rPr>
        <w:t xml:space="preserve"> الضَّرَرِ عَنْ نفـسِهِ جائزةٌ، وإنْ تضَرَّرَ الغيرُ في ضِمْنِهِ.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ق125 </w:t>
      </w:r>
      <w:r>
        <w:rPr>
          <w:rFonts w:hint="cs"/>
          <w:sz w:val="32"/>
          <w:szCs w:val="32"/>
          <w:rtl/>
        </w:rPr>
        <w:tab/>
        <w:t xml:space="preserve">: </w:t>
      </w:r>
      <w:r>
        <w:rPr>
          <w:rFonts w:hint="cs"/>
          <w:b/>
          <w:bCs/>
          <w:sz w:val="32"/>
          <w:szCs w:val="32"/>
          <w:rtl/>
        </w:rPr>
        <w:t>الدَّفعُ</w:t>
      </w:r>
      <w:r>
        <w:rPr>
          <w:rFonts w:hint="cs"/>
          <w:sz w:val="32"/>
          <w:szCs w:val="32"/>
          <w:rtl/>
        </w:rPr>
        <w:t xml:space="preserve"> إذا كانَ لغرضٍ : لايجوزُ الاسترادُ مادامَ باقِياً.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ق123 </w:t>
      </w:r>
      <w:r>
        <w:rPr>
          <w:rFonts w:hint="cs"/>
          <w:sz w:val="32"/>
          <w:szCs w:val="32"/>
          <w:rtl/>
        </w:rPr>
        <w:tab/>
        <w:t xml:space="preserve">: </w:t>
      </w:r>
      <w:r>
        <w:rPr>
          <w:rFonts w:hint="cs"/>
          <w:b/>
          <w:bCs/>
          <w:sz w:val="32"/>
          <w:szCs w:val="32"/>
          <w:rtl/>
        </w:rPr>
        <w:t>الدَّفْعُ</w:t>
      </w:r>
      <w:r>
        <w:rPr>
          <w:rFonts w:hint="cs"/>
          <w:sz w:val="32"/>
          <w:szCs w:val="32"/>
          <w:rtl/>
        </w:rPr>
        <w:t xml:space="preserve"> بَعْدَ الحُكْمِ صحيحٌ إلاّ فِي المسألةِ المُخَمَّسَةِ.</w:t>
      </w:r>
    </w:p>
    <w:p w:rsidR="00284270" w:rsidRDefault="00284270">
      <w:pPr>
        <w:rPr>
          <w:sz w:val="32"/>
          <w:szCs w:val="32"/>
          <w:rtl/>
        </w:rPr>
      </w:pPr>
      <w:r>
        <w:rPr>
          <w:rFonts w:hint="cs"/>
          <w:sz w:val="32"/>
          <w:szCs w:val="32"/>
          <w:rtl/>
        </w:rPr>
        <w:lastRenderedPageBreak/>
        <w:tab/>
      </w:r>
      <w:r>
        <w:rPr>
          <w:rFonts w:hint="cs"/>
          <w:sz w:val="32"/>
          <w:szCs w:val="32"/>
          <w:rtl/>
        </w:rPr>
        <w:tab/>
      </w:r>
      <w:r>
        <w:rPr>
          <w:rFonts w:hint="cs"/>
          <w:sz w:val="32"/>
          <w:szCs w:val="32"/>
          <w:rtl/>
        </w:rPr>
        <w:tab/>
        <w:t xml:space="preserve">  ق124 </w:t>
      </w:r>
      <w:r>
        <w:rPr>
          <w:rFonts w:hint="cs"/>
          <w:sz w:val="32"/>
          <w:szCs w:val="32"/>
          <w:rtl/>
        </w:rPr>
        <w:tab/>
        <w:t xml:space="preserve">: </w:t>
      </w:r>
      <w:r>
        <w:rPr>
          <w:rFonts w:hint="cs"/>
          <w:b/>
          <w:bCs/>
          <w:sz w:val="32"/>
          <w:szCs w:val="32"/>
          <w:rtl/>
        </w:rPr>
        <w:t>دَفْعُ</w:t>
      </w:r>
      <w:r>
        <w:rPr>
          <w:rFonts w:hint="cs"/>
          <w:sz w:val="32"/>
          <w:szCs w:val="32"/>
          <w:rtl/>
        </w:rPr>
        <w:t xml:space="preserve"> ما ليسَ بواجبٍ عليهِ يَسْتَرِدُّهُ.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ق158 </w:t>
      </w:r>
      <w:r>
        <w:rPr>
          <w:rFonts w:hint="cs"/>
          <w:sz w:val="32"/>
          <w:szCs w:val="32"/>
          <w:rtl/>
        </w:rPr>
        <w:tab/>
        <w:t xml:space="preserve">: الضَّرَرُ </w:t>
      </w:r>
      <w:r>
        <w:rPr>
          <w:rFonts w:hint="cs"/>
          <w:b/>
          <w:bCs/>
          <w:sz w:val="32"/>
          <w:szCs w:val="32"/>
          <w:rtl/>
        </w:rPr>
        <w:t>مَدْفُوعٌ</w:t>
      </w:r>
      <w:r>
        <w:rPr>
          <w:rFonts w:hint="cs"/>
          <w:sz w:val="32"/>
          <w:szCs w:val="32"/>
          <w:rtl/>
        </w:rPr>
        <w:t xml:space="preserve"> بِقَدْرِ الإمْكَان.</w:t>
      </w:r>
    </w:p>
    <w:p w:rsidR="00284270" w:rsidRDefault="00284270" w:rsidP="0022714B">
      <w:pPr>
        <w:ind w:left="2833" w:hanging="2266"/>
        <w:rPr>
          <w:sz w:val="32"/>
          <w:szCs w:val="32"/>
          <w:rtl/>
        </w:rPr>
      </w:pPr>
      <w:r>
        <w:rPr>
          <w:rFonts w:hint="cs"/>
          <w:sz w:val="32"/>
          <w:szCs w:val="32"/>
          <w:rtl/>
        </w:rPr>
        <w:t xml:space="preserve">               ق174 </w:t>
      </w:r>
      <w:r>
        <w:rPr>
          <w:rFonts w:hint="cs"/>
          <w:sz w:val="32"/>
          <w:szCs w:val="32"/>
          <w:rtl/>
        </w:rPr>
        <w:tab/>
        <w:t xml:space="preserve">: فِي كُلِّ مَوْضِعٍ يملكُ </w:t>
      </w:r>
      <w:r>
        <w:rPr>
          <w:rFonts w:hint="cs"/>
          <w:b/>
          <w:bCs/>
          <w:sz w:val="32"/>
          <w:szCs w:val="32"/>
          <w:rtl/>
        </w:rPr>
        <w:t>المدفوعُ</w:t>
      </w:r>
      <w:r>
        <w:rPr>
          <w:rFonts w:hint="cs"/>
          <w:sz w:val="32"/>
          <w:szCs w:val="32"/>
          <w:rtl/>
        </w:rPr>
        <w:t xml:space="preserve"> إليهِ المالَ المدفوعَ إليهِ مقابَلاً بِمِلْكٍ : فإنَّ المأمورَ يرجعُ بِلاَ شَرْطٍ ، وإلاَّ فَلاَ.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ق190 </w:t>
      </w:r>
      <w:r>
        <w:rPr>
          <w:rFonts w:hint="cs"/>
          <w:sz w:val="32"/>
          <w:szCs w:val="32"/>
          <w:rtl/>
        </w:rPr>
        <w:tab/>
        <w:t xml:space="preserve">: كُلُّ مَا هُوَ وَاجِبُ </w:t>
      </w:r>
      <w:r>
        <w:rPr>
          <w:rFonts w:hint="cs"/>
          <w:b/>
          <w:bCs/>
          <w:sz w:val="32"/>
          <w:szCs w:val="32"/>
          <w:rtl/>
        </w:rPr>
        <w:t>الدَّفْعِ</w:t>
      </w:r>
      <w:r>
        <w:rPr>
          <w:rFonts w:hint="cs"/>
          <w:sz w:val="32"/>
          <w:szCs w:val="32"/>
          <w:rtl/>
        </w:rPr>
        <w:t xml:space="preserve"> بِالاستِرْدَادِ لا يَجُوزُ تَقْرِيرُهُ. </w:t>
      </w:r>
    </w:p>
    <w:p w:rsidR="00284270" w:rsidRDefault="00284270" w:rsidP="0022714B">
      <w:pPr>
        <w:rPr>
          <w:sz w:val="32"/>
          <w:szCs w:val="32"/>
          <w:rtl/>
        </w:rPr>
      </w:pPr>
      <w:r>
        <w:rPr>
          <w:rFonts w:hint="cs"/>
          <w:b/>
          <w:bCs/>
          <w:sz w:val="32"/>
          <w:szCs w:val="32"/>
          <w:rtl/>
        </w:rPr>
        <w:t>دلل</w:t>
      </w:r>
      <w:r>
        <w:rPr>
          <w:rFonts w:hint="cs"/>
          <w:sz w:val="32"/>
          <w:szCs w:val="32"/>
          <w:rtl/>
        </w:rPr>
        <w:tab/>
      </w:r>
      <w:r>
        <w:rPr>
          <w:rFonts w:hint="cs"/>
          <w:sz w:val="32"/>
          <w:szCs w:val="32"/>
          <w:rtl/>
        </w:rPr>
        <w:tab/>
        <w:t xml:space="preserve">: ق96 </w:t>
      </w:r>
      <w:r>
        <w:rPr>
          <w:rFonts w:hint="cs"/>
          <w:sz w:val="32"/>
          <w:szCs w:val="32"/>
          <w:rtl/>
        </w:rPr>
        <w:tab/>
      </w:r>
      <w:r>
        <w:rPr>
          <w:rFonts w:hint="cs"/>
          <w:sz w:val="32"/>
          <w:szCs w:val="32"/>
          <w:rtl/>
        </w:rPr>
        <w:tab/>
        <w:t xml:space="preserve">: الثَّابتُ </w:t>
      </w:r>
      <w:r>
        <w:rPr>
          <w:rFonts w:hint="cs"/>
          <w:b/>
          <w:bCs/>
          <w:sz w:val="32"/>
          <w:szCs w:val="32"/>
          <w:rtl/>
        </w:rPr>
        <w:t>بدلالةٍ</w:t>
      </w:r>
      <w:r>
        <w:rPr>
          <w:rFonts w:hint="cs"/>
          <w:sz w:val="32"/>
          <w:szCs w:val="32"/>
          <w:rtl/>
        </w:rPr>
        <w:t xml:space="preserve"> إنَّمَا يُعْتَبَرُ إذَا لَمْ يُوجَدِ الصَّريحُ بخلافِهِ.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ق110 </w:t>
      </w:r>
      <w:r>
        <w:rPr>
          <w:sz w:val="32"/>
          <w:szCs w:val="32"/>
        </w:rPr>
        <w:tab/>
      </w:r>
      <w:r>
        <w:rPr>
          <w:rFonts w:hint="cs"/>
          <w:sz w:val="32"/>
          <w:szCs w:val="32"/>
          <w:rtl/>
        </w:rPr>
        <w:t xml:space="preserve">: الحالُ </w:t>
      </w:r>
      <w:r>
        <w:rPr>
          <w:rFonts w:hint="cs"/>
          <w:b/>
          <w:bCs/>
          <w:sz w:val="32"/>
          <w:szCs w:val="32"/>
          <w:rtl/>
        </w:rPr>
        <w:t>تَدُلُّ</w:t>
      </w:r>
      <w:r>
        <w:rPr>
          <w:rFonts w:hint="cs"/>
          <w:sz w:val="32"/>
          <w:szCs w:val="32"/>
          <w:rtl/>
        </w:rPr>
        <w:t xml:space="preserve"> على ما</w:t>
      </w:r>
      <w:r>
        <w:rPr>
          <w:rFonts w:hint="cs"/>
          <w:bCs/>
          <w:sz w:val="32"/>
          <w:szCs w:val="32"/>
          <w:rtl/>
        </w:rPr>
        <w:t xml:space="preserve"> </w:t>
      </w:r>
      <w:r>
        <w:rPr>
          <w:rFonts w:hint="cs"/>
          <w:sz w:val="32"/>
          <w:szCs w:val="32"/>
          <w:rtl/>
        </w:rPr>
        <w:t xml:space="preserve"> قَبْلَهَا.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ق114 </w:t>
      </w:r>
      <w:r>
        <w:rPr>
          <w:sz w:val="32"/>
          <w:szCs w:val="32"/>
        </w:rPr>
        <w:tab/>
      </w:r>
      <w:r>
        <w:rPr>
          <w:rFonts w:hint="cs"/>
          <w:sz w:val="32"/>
          <w:szCs w:val="32"/>
          <w:rtl/>
        </w:rPr>
        <w:t xml:space="preserve">: الحقيقةُ تُتركُ </w:t>
      </w:r>
      <w:r>
        <w:rPr>
          <w:rFonts w:hint="cs"/>
          <w:b/>
          <w:bCs/>
          <w:sz w:val="32"/>
          <w:szCs w:val="32"/>
          <w:rtl/>
        </w:rPr>
        <w:t>بدلالةِ</w:t>
      </w:r>
      <w:r>
        <w:rPr>
          <w:rFonts w:hint="cs"/>
          <w:sz w:val="32"/>
          <w:szCs w:val="32"/>
          <w:rtl/>
        </w:rPr>
        <w:t xml:space="preserve"> العادةِ.</w:t>
      </w:r>
    </w:p>
    <w:p w:rsidR="00284270" w:rsidRDefault="00284270" w:rsidP="0022714B">
      <w:pPr>
        <w:ind w:left="2833" w:hanging="2266"/>
        <w:rPr>
          <w:sz w:val="32"/>
          <w:szCs w:val="32"/>
          <w:rtl/>
        </w:rPr>
      </w:pPr>
      <w:r>
        <w:rPr>
          <w:rFonts w:hint="cs"/>
          <w:sz w:val="32"/>
          <w:szCs w:val="32"/>
          <w:rtl/>
        </w:rPr>
        <w:t xml:space="preserve">               ق126 </w:t>
      </w:r>
      <w:r>
        <w:rPr>
          <w:sz w:val="32"/>
          <w:szCs w:val="32"/>
        </w:rPr>
        <w:tab/>
      </w:r>
      <w:r>
        <w:rPr>
          <w:rFonts w:hint="cs"/>
          <w:sz w:val="32"/>
          <w:szCs w:val="32"/>
          <w:rtl/>
        </w:rPr>
        <w:t xml:space="preserve">: </w:t>
      </w:r>
      <w:r>
        <w:rPr>
          <w:rFonts w:hint="cs"/>
          <w:b/>
          <w:bCs/>
          <w:sz w:val="32"/>
          <w:szCs w:val="32"/>
          <w:rtl/>
        </w:rPr>
        <w:t>الدَّلاَلَةُ</w:t>
      </w:r>
      <w:r>
        <w:rPr>
          <w:rFonts w:hint="cs"/>
          <w:sz w:val="32"/>
          <w:szCs w:val="32"/>
          <w:rtl/>
        </w:rPr>
        <w:t xml:space="preserve"> تعملُ عَمَلَ الصَّرِيحِ إذَا لَمْ يُوجَدْ صَرِيحٌ يُعَارِضُهَا.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ق127 </w:t>
      </w:r>
      <w:r>
        <w:rPr>
          <w:sz w:val="32"/>
          <w:szCs w:val="32"/>
        </w:rPr>
        <w:tab/>
      </w:r>
      <w:r>
        <w:rPr>
          <w:rFonts w:hint="cs"/>
          <w:sz w:val="32"/>
          <w:szCs w:val="32"/>
          <w:rtl/>
        </w:rPr>
        <w:t xml:space="preserve">: </w:t>
      </w:r>
      <w:r>
        <w:rPr>
          <w:rFonts w:hint="cs"/>
          <w:b/>
          <w:bCs/>
          <w:sz w:val="32"/>
          <w:szCs w:val="32"/>
          <w:rtl/>
        </w:rPr>
        <w:t>دليلُ</w:t>
      </w:r>
      <w:r>
        <w:rPr>
          <w:rFonts w:hint="cs"/>
          <w:sz w:val="32"/>
          <w:szCs w:val="32"/>
          <w:rtl/>
        </w:rPr>
        <w:t xml:space="preserve"> الشَّيءِ فِي الأمورِ الباطنةِ يقومُ مقامَهُ.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ق153 </w:t>
      </w:r>
      <w:r>
        <w:rPr>
          <w:sz w:val="32"/>
          <w:szCs w:val="32"/>
        </w:rPr>
        <w:tab/>
      </w:r>
      <w:r>
        <w:rPr>
          <w:rFonts w:hint="cs"/>
          <w:sz w:val="32"/>
          <w:szCs w:val="32"/>
          <w:rtl/>
        </w:rPr>
        <w:t xml:space="preserve">: الصَّرِيْحُ يُفَوِّتُ </w:t>
      </w:r>
      <w:r>
        <w:rPr>
          <w:rFonts w:hint="cs"/>
          <w:b/>
          <w:bCs/>
          <w:sz w:val="32"/>
          <w:szCs w:val="32"/>
          <w:rtl/>
        </w:rPr>
        <w:t>الدَّلاَلَةَ</w:t>
      </w:r>
      <w:r>
        <w:rPr>
          <w:rFonts w:hint="cs"/>
          <w:sz w:val="32"/>
          <w:szCs w:val="32"/>
          <w:rtl/>
        </w:rPr>
        <w:t>.</w:t>
      </w:r>
    </w:p>
    <w:p w:rsidR="00284270" w:rsidRDefault="0022714B">
      <w:pPr>
        <w:jc w:val="center"/>
        <w:rPr>
          <w:b/>
          <w:bCs/>
          <w:sz w:val="48"/>
          <w:szCs w:val="48"/>
          <w:rtl/>
        </w:rPr>
      </w:pPr>
      <w:r>
        <w:rPr>
          <w:b/>
          <w:bCs/>
          <w:noProof/>
          <w:szCs w:val="48"/>
          <w:rtl/>
        </w:rPr>
        <w:pict>
          <v:rect id="_x0000_s1035" style="position:absolute;left:0;text-align:left;margin-left:165.2pt;margin-top:4.35pt;width:54.15pt;height:37.05pt;z-index:-251641856;mso-wrap-edited:f" wrapcoords="-379 0 -379 21600 758 22265 23495 22265 23116 997 22358 0 -379 0">
            <v:shadow on="t" offset="3pt" offset2="2pt"/>
          </v:rect>
        </w:pict>
      </w:r>
      <w:r w:rsidR="00284270">
        <w:rPr>
          <w:rFonts w:hint="cs"/>
          <w:b/>
          <w:bCs/>
          <w:sz w:val="48"/>
          <w:szCs w:val="48"/>
          <w:rtl/>
        </w:rPr>
        <w:t xml:space="preserve"> (ذ)</w:t>
      </w:r>
    </w:p>
    <w:p w:rsidR="00284270" w:rsidRDefault="00284270">
      <w:pPr>
        <w:rPr>
          <w:rtl/>
        </w:rPr>
      </w:pPr>
    </w:p>
    <w:p w:rsidR="00284270" w:rsidRDefault="00284270" w:rsidP="0022714B">
      <w:pPr>
        <w:rPr>
          <w:sz w:val="32"/>
          <w:szCs w:val="32"/>
          <w:rtl/>
        </w:rPr>
      </w:pPr>
      <w:r>
        <w:rPr>
          <w:rFonts w:hint="cs"/>
          <w:b/>
          <w:bCs/>
          <w:sz w:val="32"/>
          <w:szCs w:val="32"/>
          <w:rtl/>
        </w:rPr>
        <w:t>ذات</w:t>
      </w:r>
      <w:r>
        <w:rPr>
          <w:rFonts w:hint="cs"/>
          <w:sz w:val="32"/>
          <w:szCs w:val="32"/>
          <w:rtl/>
        </w:rPr>
        <w:tab/>
      </w:r>
      <w:r>
        <w:rPr>
          <w:sz w:val="32"/>
          <w:szCs w:val="32"/>
        </w:rPr>
        <w:tab/>
      </w:r>
      <w:r>
        <w:rPr>
          <w:rFonts w:hint="cs"/>
          <w:sz w:val="32"/>
          <w:szCs w:val="32"/>
          <w:rtl/>
        </w:rPr>
        <w:t xml:space="preserve">: ق68 </w:t>
      </w:r>
      <w:r>
        <w:rPr>
          <w:sz w:val="32"/>
          <w:szCs w:val="32"/>
        </w:rPr>
        <w:tab/>
      </w:r>
      <w:r>
        <w:rPr>
          <w:rFonts w:hint="cs"/>
          <w:sz w:val="32"/>
          <w:szCs w:val="32"/>
          <w:rtl/>
        </w:rPr>
        <w:tab/>
        <w:t xml:space="preserve">: تَبَدُّلُ سببِ المِلْكِ قائمٌ مقامَ تبدُّلِ </w:t>
      </w:r>
      <w:r>
        <w:rPr>
          <w:rFonts w:hint="cs"/>
          <w:b/>
          <w:bCs/>
          <w:sz w:val="32"/>
          <w:szCs w:val="32"/>
          <w:rtl/>
        </w:rPr>
        <w:t>الذَّاتِ</w:t>
      </w:r>
      <w:r>
        <w:rPr>
          <w:rFonts w:hint="cs"/>
          <w:sz w:val="32"/>
          <w:szCs w:val="32"/>
          <w:rtl/>
        </w:rPr>
        <w:t xml:space="preserve">. </w:t>
      </w:r>
    </w:p>
    <w:p w:rsidR="00284270" w:rsidRDefault="00284270">
      <w:pPr>
        <w:rPr>
          <w:sz w:val="32"/>
          <w:szCs w:val="32"/>
          <w:rtl/>
        </w:rPr>
      </w:pPr>
      <w:r>
        <w:rPr>
          <w:rFonts w:hint="cs"/>
          <w:b/>
          <w:bCs/>
          <w:sz w:val="32"/>
          <w:szCs w:val="32"/>
          <w:rtl/>
        </w:rPr>
        <w:t>ذكر</w:t>
      </w:r>
      <w:r>
        <w:rPr>
          <w:rFonts w:hint="cs"/>
          <w:sz w:val="32"/>
          <w:szCs w:val="32"/>
          <w:rtl/>
        </w:rPr>
        <w:tab/>
      </w:r>
      <w:r>
        <w:rPr>
          <w:sz w:val="32"/>
          <w:szCs w:val="32"/>
        </w:rPr>
        <w:tab/>
      </w:r>
      <w:r>
        <w:rPr>
          <w:rFonts w:hint="cs"/>
          <w:sz w:val="32"/>
          <w:szCs w:val="32"/>
          <w:rtl/>
        </w:rPr>
        <w:t xml:space="preserve">:  ق71 </w:t>
      </w:r>
      <w:r>
        <w:rPr>
          <w:sz w:val="32"/>
          <w:szCs w:val="32"/>
        </w:rPr>
        <w:tab/>
      </w:r>
      <w:r>
        <w:rPr>
          <w:rFonts w:hint="cs"/>
          <w:sz w:val="32"/>
          <w:szCs w:val="32"/>
          <w:rtl/>
        </w:rPr>
        <w:tab/>
        <w:t xml:space="preserve">: التَّخصيصُ </w:t>
      </w:r>
      <w:r>
        <w:rPr>
          <w:rFonts w:hint="cs"/>
          <w:b/>
          <w:bCs/>
          <w:sz w:val="32"/>
          <w:szCs w:val="32"/>
          <w:rtl/>
        </w:rPr>
        <w:t>بالذِّكْرِ</w:t>
      </w:r>
      <w:r>
        <w:rPr>
          <w:rFonts w:hint="cs"/>
          <w:sz w:val="32"/>
          <w:szCs w:val="32"/>
          <w:rtl/>
        </w:rPr>
        <w:t xml:space="preserve"> لا يدلُّ علَى الحَصْرِ. </w:t>
      </w:r>
    </w:p>
    <w:p w:rsidR="00284270" w:rsidRDefault="00284270" w:rsidP="0022714B">
      <w:pPr>
        <w:ind w:left="2833" w:hanging="2266"/>
        <w:rPr>
          <w:sz w:val="32"/>
          <w:szCs w:val="32"/>
          <w:rtl/>
        </w:rPr>
      </w:pPr>
      <w:r>
        <w:rPr>
          <w:rFonts w:hint="cs"/>
          <w:sz w:val="32"/>
          <w:szCs w:val="32"/>
          <w:rtl/>
        </w:rPr>
        <w:t xml:space="preserve">                ق72 </w:t>
      </w:r>
      <w:r>
        <w:rPr>
          <w:sz w:val="32"/>
          <w:szCs w:val="32"/>
        </w:rPr>
        <w:tab/>
      </w:r>
      <w:r>
        <w:rPr>
          <w:rFonts w:hint="cs"/>
          <w:sz w:val="32"/>
          <w:szCs w:val="32"/>
          <w:rtl/>
        </w:rPr>
        <w:t xml:space="preserve">: التَّخصِيصُ فِي الرِّوايَاتِ يُوجِبُ نَفْيَ الحكمِ عمَّا عدا </w:t>
      </w:r>
      <w:r>
        <w:rPr>
          <w:rFonts w:hint="cs"/>
          <w:b/>
          <w:bCs/>
          <w:sz w:val="32"/>
          <w:szCs w:val="32"/>
          <w:rtl/>
        </w:rPr>
        <w:t>المَذْكُورِ</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ق129 </w:t>
      </w:r>
      <w:r>
        <w:rPr>
          <w:sz w:val="32"/>
          <w:szCs w:val="32"/>
        </w:rPr>
        <w:tab/>
      </w:r>
      <w:r>
        <w:rPr>
          <w:rFonts w:hint="cs"/>
          <w:sz w:val="32"/>
          <w:szCs w:val="32"/>
          <w:rtl/>
        </w:rPr>
        <w:t xml:space="preserve">: </w:t>
      </w:r>
      <w:r>
        <w:rPr>
          <w:rFonts w:hint="cs"/>
          <w:b/>
          <w:bCs/>
          <w:sz w:val="32"/>
          <w:szCs w:val="32"/>
          <w:rtl/>
        </w:rPr>
        <w:t>ذِكْرُ</w:t>
      </w:r>
      <w:r>
        <w:rPr>
          <w:rFonts w:hint="cs"/>
          <w:sz w:val="32"/>
          <w:szCs w:val="32"/>
          <w:rtl/>
        </w:rPr>
        <w:t xml:space="preserve"> بَعْضِ مَا لاَ يَتَجَزَّأُ كَذِكْرِ كُلِّهِ.</w:t>
      </w:r>
    </w:p>
    <w:p w:rsidR="00284270" w:rsidRDefault="00284270">
      <w:pPr>
        <w:rPr>
          <w:sz w:val="32"/>
          <w:szCs w:val="32"/>
          <w:rtl/>
        </w:rPr>
      </w:pPr>
      <w:r>
        <w:rPr>
          <w:rFonts w:hint="cs"/>
          <w:b/>
          <w:bCs/>
          <w:sz w:val="32"/>
          <w:szCs w:val="32"/>
          <w:rtl/>
        </w:rPr>
        <w:t>ذمم</w:t>
      </w:r>
      <w:r>
        <w:rPr>
          <w:rFonts w:hint="cs"/>
          <w:sz w:val="32"/>
          <w:szCs w:val="32"/>
          <w:rtl/>
        </w:rPr>
        <w:tab/>
      </w:r>
      <w:r>
        <w:rPr>
          <w:sz w:val="32"/>
          <w:szCs w:val="32"/>
        </w:rPr>
        <w:tab/>
      </w:r>
      <w:r>
        <w:rPr>
          <w:rFonts w:hint="cs"/>
          <w:sz w:val="32"/>
          <w:szCs w:val="32"/>
          <w:rtl/>
        </w:rPr>
        <w:t xml:space="preserve">:  ق26 </w:t>
      </w:r>
      <w:r>
        <w:rPr>
          <w:sz w:val="32"/>
          <w:szCs w:val="32"/>
        </w:rPr>
        <w:tab/>
      </w:r>
      <w:r>
        <w:rPr>
          <w:rFonts w:hint="cs"/>
          <w:sz w:val="32"/>
          <w:szCs w:val="32"/>
          <w:rtl/>
        </w:rPr>
        <w:tab/>
        <w:t xml:space="preserve">: الأَصْلُ بَرَاءَةُ </w:t>
      </w:r>
      <w:r>
        <w:rPr>
          <w:rFonts w:hint="cs"/>
          <w:b/>
          <w:bCs/>
          <w:sz w:val="32"/>
          <w:szCs w:val="32"/>
          <w:rtl/>
        </w:rPr>
        <w:t>الذِّمَّةِ</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ق217 </w:t>
      </w:r>
      <w:r>
        <w:rPr>
          <w:sz w:val="32"/>
          <w:szCs w:val="32"/>
        </w:rPr>
        <w:tab/>
      </w:r>
      <w:r>
        <w:rPr>
          <w:rFonts w:hint="cs"/>
          <w:sz w:val="32"/>
          <w:szCs w:val="32"/>
          <w:rtl/>
        </w:rPr>
        <w:t xml:space="preserve">: مَا فِي </w:t>
      </w:r>
      <w:r>
        <w:rPr>
          <w:rFonts w:hint="cs"/>
          <w:b/>
          <w:bCs/>
          <w:sz w:val="32"/>
          <w:szCs w:val="32"/>
          <w:rtl/>
        </w:rPr>
        <w:t>الذِّمَّةِ</w:t>
      </w:r>
      <w:r>
        <w:rPr>
          <w:rFonts w:hint="cs"/>
          <w:sz w:val="32"/>
          <w:szCs w:val="32"/>
          <w:rtl/>
        </w:rPr>
        <w:t xml:space="preserve"> لاَ يَتَعَيَّنُ إلاَّ بِالقَبْضِ.</w:t>
      </w:r>
    </w:p>
    <w:p w:rsidR="00284270" w:rsidRDefault="0022714B">
      <w:pPr>
        <w:jc w:val="center"/>
        <w:rPr>
          <w:b/>
          <w:bCs/>
          <w:sz w:val="48"/>
          <w:szCs w:val="48"/>
          <w:rtl/>
        </w:rPr>
      </w:pPr>
      <w:r>
        <w:rPr>
          <w:noProof/>
          <w:rtl/>
        </w:rPr>
        <w:pict>
          <v:rect id="_x0000_s1036" style="position:absolute;left:0;text-align:left;margin-left:162.35pt;margin-top:5.7pt;width:54.15pt;height:37.05pt;z-index:-251640832;mso-wrap-edited:f" wrapcoords="-379 0 -379 21600 758 22265 23495 22265 23116 997 22358 0 -379 0">
            <v:shadow on="t" offset="3pt" offset2="2pt"/>
          </v:rect>
        </w:pict>
      </w:r>
      <w:r w:rsidR="00284270">
        <w:rPr>
          <w:rFonts w:hint="cs"/>
          <w:b/>
          <w:bCs/>
          <w:sz w:val="48"/>
          <w:szCs w:val="48"/>
          <w:rtl/>
        </w:rPr>
        <w:t xml:space="preserve"> (ر)</w:t>
      </w:r>
    </w:p>
    <w:p w:rsidR="00284270" w:rsidRPr="00285006" w:rsidRDefault="00284270">
      <w:pPr>
        <w:rPr>
          <w:sz w:val="4"/>
          <w:szCs w:val="22"/>
          <w:rtl/>
        </w:rPr>
      </w:pPr>
    </w:p>
    <w:p w:rsidR="00284270" w:rsidRDefault="00284270">
      <w:pPr>
        <w:rPr>
          <w:sz w:val="32"/>
          <w:szCs w:val="32"/>
          <w:rtl/>
        </w:rPr>
      </w:pPr>
      <w:r>
        <w:rPr>
          <w:rFonts w:hint="cs"/>
          <w:b/>
          <w:bCs/>
          <w:sz w:val="32"/>
          <w:szCs w:val="32"/>
          <w:rtl/>
        </w:rPr>
        <w:t>رأي</w:t>
      </w:r>
      <w:r>
        <w:rPr>
          <w:rFonts w:hint="cs"/>
          <w:sz w:val="32"/>
          <w:szCs w:val="32"/>
          <w:rtl/>
        </w:rPr>
        <w:tab/>
      </w:r>
      <w:r>
        <w:rPr>
          <w:sz w:val="32"/>
          <w:szCs w:val="32"/>
        </w:rPr>
        <w:tab/>
      </w:r>
      <w:r>
        <w:rPr>
          <w:rFonts w:hint="cs"/>
          <w:sz w:val="32"/>
          <w:szCs w:val="32"/>
          <w:rtl/>
        </w:rPr>
        <w:t xml:space="preserve">: ق130 </w:t>
      </w:r>
      <w:r>
        <w:rPr>
          <w:sz w:val="32"/>
          <w:szCs w:val="32"/>
        </w:rPr>
        <w:tab/>
      </w:r>
      <w:r>
        <w:rPr>
          <w:rFonts w:hint="cs"/>
          <w:sz w:val="32"/>
          <w:szCs w:val="32"/>
          <w:rtl/>
        </w:rPr>
        <w:t xml:space="preserve">: </w:t>
      </w:r>
      <w:r>
        <w:rPr>
          <w:rFonts w:hint="cs"/>
          <w:b/>
          <w:bCs/>
          <w:sz w:val="32"/>
          <w:szCs w:val="32"/>
          <w:rtl/>
        </w:rPr>
        <w:t>الرُّؤْيَةُ</w:t>
      </w:r>
      <w:r>
        <w:rPr>
          <w:rFonts w:hint="cs"/>
          <w:sz w:val="32"/>
          <w:szCs w:val="32"/>
          <w:rtl/>
        </w:rPr>
        <w:t xml:space="preserve"> مِنَ الزُّجَاجِ رُؤْيَةٌ حقيقةً.</w:t>
      </w:r>
    </w:p>
    <w:p w:rsidR="00284270" w:rsidRDefault="00284270" w:rsidP="0022714B">
      <w:pPr>
        <w:ind w:left="2833" w:hanging="2266"/>
        <w:rPr>
          <w:sz w:val="32"/>
          <w:szCs w:val="32"/>
          <w:rtl/>
        </w:rPr>
      </w:pPr>
      <w:r>
        <w:rPr>
          <w:rFonts w:hint="cs"/>
          <w:b/>
          <w:bCs/>
          <w:sz w:val="32"/>
          <w:szCs w:val="32"/>
          <w:rtl/>
        </w:rPr>
        <w:t>رتب</w:t>
      </w:r>
      <w:r>
        <w:rPr>
          <w:rFonts w:hint="cs"/>
          <w:sz w:val="32"/>
          <w:szCs w:val="32"/>
          <w:rtl/>
        </w:rPr>
        <w:t xml:space="preserve">       : ق189 </w:t>
      </w:r>
      <w:r>
        <w:rPr>
          <w:sz w:val="32"/>
          <w:szCs w:val="32"/>
        </w:rPr>
        <w:tab/>
      </w:r>
      <w:r>
        <w:rPr>
          <w:rFonts w:hint="cs"/>
          <w:sz w:val="32"/>
          <w:szCs w:val="32"/>
          <w:rtl/>
        </w:rPr>
        <w:t xml:space="preserve">: كُلُّ ما </w:t>
      </w:r>
      <w:r>
        <w:rPr>
          <w:rFonts w:hint="cs"/>
          <w:b/>
          <w:bCs/>
          <w:sz w:val="32"/>
          <w:szCs w:val="32"/>
          <w:rtl/>
        </w:rPr>
        <w:t>يَتَرَتَّبُ</w:t>
      </w:r>
      <w:r>
        <w:rPr>
          <w:rFonts w:hint="cs"/>
          <w:sz w:val="32"/>
          <w:szCs w:val="32"/>
          <w:rtl/>
        </w:rPr>
        <w:t xml:space="preserve"> عليها البيِّنَةُ </w:t>
      </w:r>
      <w:r>
        <w:rPr>
          <w:rFonts w:hint="cs"/>
          <w:b/>
          <w:bCs/>
          <w:sz w:val="32"/>
          <w:szCs w:val="32"/>
          <w:rtl/>
        </w:rPr>
        <w:t>يترتَّبُ</w:t>
      </w:r>
      <w:r>
        <w:rPr>
          <w:rFonts w:hint="cs"/>
          <w:sz w:val="32"/>
          <w:szCs w:val="32"/>
          <w:rtl/>
        </w:rPr>
        <w:t xml:space="preserve"> عَلَيْهَا التَّحْلِيفُ، سِوَى بيّنةٍ أُقِيمَتْ لإثباتِ الخُصُومَةِ.</w:t>
      </w:r>
    </w:p>
    <w:p w:rsidR="00284270" w:rsidRDefault="00284270">
      <w:pPr>
        <w:rPr>
          <w:sz w:val="32"/>
          <w:szCs w:val="32"/>
          <w:rtl/>
        </w:rPr>
      </w:pPr>
      <w:r>
        <w:rPr>
          <w:rFonts w:hint="cs"/>
          <w:b/>
          <w:bCs/>
          <w:sz w:val="32"/>
          <w:szCs w:val="32"/>
          <w:rtl/>
        </w:rPr>
        <w:t>رجح</w:t>
      </w:r>
      <w:r>
        <w:rPr>
          <w:rFonts w:hint="cs"/>
          <w:sz w:val="32"/>
          <w:szCs w:val="32"/>
          <w:rtl/>
        </w:rPr>
        <w:tab/>
      </w:r>
      <w:r>
        <w:rPr>
          <w:sz w:val="32"/>
          <w:szCs w:val="32"/>
        </w:rPr>
        <w:tab/>
      </w:r>
      <w:r>
        <w:rPr>
          <w:rFonts w:hint="cs"/>
          <w:sz w:val="32"/>
          <w:szCs w:val="32"/>
          <w:rtl/>
        </w:rPr>
        <w:t xml:space="preserve">: ق73 </w:t>
      </w:r>
      <w:r>
        <w:rPr>
          <w:sz w:val="32"/>
          <w:szCs w:val="32"/>
        </w:rPr>
        <w:tab/>
      </w:r>
      <w:r>
        <w:rPr>
          <w:rFonts w:hint="cs"/>
          <w:sz w:val="32"/>
          <w:szCs w:val="32"/>
          <w:rtl/>
        </w:rPr>
        <w:tab/>
        <w:t xml:space="preserve">: </w:t>
      </w:r>
      <w:r>
        <w:rPr>
          <w:rFonts w:hint="cs"/>
          <w:b/>
          <w:bCs/>
          <w:sz w:val="32"/>
          <w:szCs w:val="32"/>
          <w:rtl/>
        </w:rPr>
        <w:t>التَّرجِيحُ</w:t>
      </w:r>
      <w:r>
        <w:rPr>
          <w:rFonts w:hint="cs"/>
          <w:sz w:val="32"/>
          <w:szCs w:val="32"/>
          <w:rtl/>
        </w:rPr>
        <w:t xml:space="preserve"> لا يقعُ بِكَثْرةِ العِلَلِ. </w:t>
      </w:r>
    </w:p>
    <w:p w:rsidR="00284270" w:rsidRDefault="00284270" w:rsidP="0022714B">
      <w:pPr>
        <w:ind w:left="2833" w:hanging="2266"/>
        <w:rPr>
          <w:sz w:val="32"/>
          <w:szCs w:val="32"/>
          <w:rtl/>
        </w:rPr>
      </w:pPr>
      <w:r>
        <w:rPr>
          <w:rFonts w:hint="cs"/>
          <w:sz w:val="32"/>
          <w:szCs w:val="32"/>
          <w:rtl/>
        </w:rPr>
        <w:lastRenderedPageBreak/>
        <w:t xml:space="preserve">               ق160 </w:t>
      </w:r>
      <w:r>
        <w:rPr>
          <w:sz w:val="32"/>
          <w:szCs w:val="32"/>
        </w:rPr>
        <w:tab/>
      </w:r>
      <w:r>
        <w:rPr>
          <w:rFonts w:hint="cs"/>
          <w:sz w:val="32"/>
          <w:szCs w:val="32"/>
          <w:rtl/>
        </w:rPr>
        <w:t xml:space="preserve">: طَرَفَي </w:t>
      </w:r>
      <w:r>
        <w:rPr>
          <w:rFonts w:hint="cs"/>
          <w:b/>
          <w:bCs/>
          <w:sz w:val="32"/>
          <w:szCs w:val="32"/>
          <w:rtl/>
        </w:rPr>
        <w:t>التَّرْجِيحِ</w:t>
      </w:r>
      <w:r>
        <w:rPr>
          <w:rFonts w:hint="cs"/>
          <w:sz w:val="32"/>
          <w:szCs w:val="32"/>
          <w:rtl/>
        </w:rPr>
        <w:t xml:space="preserve"> إذا تَعَارَضَا كانَ </w:t>
      </w:r>
      <w:r>
        <w:rPr>
          <w:rFonts w:hint="cs"/>
          <w:b/>
          <w:bCs/>
          <w:sz w:val="32"/>
          <w:szCs w:val="32"/>
          <w:rtl/>
        </w:rPr>
        <w:t>الرُّجْحَانُ</w:t>
      </w:r>
      <w:r>
        <w:rPr>
          <w:rFonts w:hint="cs"/>
          <w:sz w:val="32"/>
          <w:szCs w:val="32"/>
          <w:rtl/>
        </w:rPr>
        <w:t xml:space="preserve"> في الذَّاتِ أَحَقَّ مِنْهُ في الحال.ِ</w:t>
      </w:r>
    </w:p>
    <w:p w:rsidR="00284270" w:rsidRDefault="00284270" w:rsidP="0022714B">
      <w:pPr>
        <w:ind w:left="2833" w:hanging="2266"/>
        <w:rPr>
          <w:sz w:val="32"/>
          <w:szCs w:val="32"/>
          <w:rtl/>
        </w:rPr>
      </w:pPr>
      <w:r>
        <w:rPr>
          <w:rFonts w:hint="cs"/>
          <w:b/>
          <w:bCs/>
          <w:sz w:val="32"/>
          <w:szCs w:val="32"/>
          <w:rtl/>
        </w:rPr>
        <w:t>رجع</w:t>
      </w:r>
      <w:r>
        <w:rPr>
          <w:rFonts w:hint="cs"/>
          <w:sz w:val="32"/>
          <w:szCs w:val="32"/>
          <w:rtl/>
        </w:rPr>
        <w:t xml:space="preserve">      :  ق133 </w:t>
      </w:r>
      <w:r>
        <w:rPr>
          <w:sz w:val="32"/>
          <w:szCs w:val="32"/>
        </w:rPr>
        <w:tab/>
      </w:r>
      <w:r>
        <w:rPr>
          <w:rFonts w:hint="cs"/>
          <w:sz w:val="32"/>
          <w:szCs w:val="32"/>
          <w:rtl/>
        </w:rPr>
        <w:t xml:space="preserve">: </w:t>
      </w:r>
      <w:r>
        <w:rPr>
          <w:rFonts w:hint="cs"/>
          <w:b/>
          <w:bCs/>
          <w:sz w:val="32"/>
          <w:szCs w:val="32"/>
          <w:rtl/>
        </w:rPr>
        <w:t>الرُّجُوعُ</w:t>
      </w:r>
      <w:r>
        <w:rPr>
          <w:rFonts w:hint="cs"/>
          <w:sz w:val="32"/>
          <w:szCs w:val="32"/>
          <w:rtl/>
        </w:rPr>
        <w:t xml:space="preserve"> إثباتٌ فِي المَاضِي ونفيٌ فِي الحَالِ، والجُحُودُ نفيٌ فِيهِمَا.</w:t>
      </w:r>
    </w:p>
    <w:p w:rsidR="00284270" w:rsidRDefault="00284270" w:rsidP="0022714B">
      <w:pPr>
        <w:ind w:left="2833" w:hanging="2266"/>
        <w:rPr>
          <w:sz w:val="32"/>
          <w:szCs w:val="32"/>
          <w:rtl/>
        </w:rPr>
      </w:pPr>
      <w:r>
        <w:rPr>
          <w:rFonts w:hint="cs"/>
          <w:sz w:val="32"/>
          <w:szCs w:val="32"/>
          <w:rtl/>
        </w:rPr>
        <w:t xml:space="preserve">               ق132 </w:t>
      </w:r>
      <w:r>
        <w:rPr>
          <w:sz w:val="32"/>
          <w:szCs w:val="32"/>
        </w:rPr>
        <w:tab/>
      </w:r>
      <w:r>
        <w:rPr>
          <w:rFonts w:hint="cs"/>
          <w:sz w:val="32"/>
          <w:szCs w:val="32"/>
          <w:rtl/>
        </w:rPr>
        <w:t xml:space="preserve">: </w:t>
      </w:r>
      <w:r>
        <w:rPr>
          <w:rFonts w:hint="cs"/>
          <w:b/>
          <w:bCs/>
          <w:sz w:val="32"/>
          <w:szCs w:val="32"/>
          <w:rtl/>
        </w:rPr>
        <w:t>الرُّجُوعُ</w:t>
      </w:r>
      <w:r>
        <w:rPr>
          <w:rFonts w:hint="cs"/>
          <w:sz w:val="32"/>
          <w:szCs w:val="32"/>
          <w:rtl/>
        </w:rPr>
        <w:t xml:space="preserve"> فِي الهِبَةِ - وَلَوْ بِالتَّرَاضِي - فَسْخٌ لِعَقْدِ الهِبَةِ مِنَ الأَصْلِ، وَإِعَادَةُ المِلْكِ القَديمِ لا هبةً.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ق131 </w:t>
      </w:r>
      <w:r>
        <w:rPr>
          <w:sz w:val="32"/>
          <w:szCs w:val="32"/>
        </w:rPr>
        <w:tab/>
      </w:r>
      <w:r>
        <w:rPr>
          <w:rFonts w:hint="cs"/>
          <w:sz w:val="32"/>
          <w:szCs w:val="32"/>
          <w:rtl/>
        </w:rPr>
        <w:t xml:space="preserve">: </w:t>
      </w:r>
      <w:r>
        <w:rPr>
          <w:rFonts w:hint="cs"/>
          <w:b/>
          <w:bCs/>
          <w:sz w:val="32"/>
          <w:szCs w:val="32"/>
          <w:rtl/>
        </w:rPr>
        <w:t>الرّجُوعُ</w:t>
      </w:r>
      <w:r>
        <w:rPr>
          <w:rFonts w:hint="cs"/>
          <w:sz w:val="32"/>
          <w:szCs w:val="32"/>
          <w:rtl/>
        </w:rPr>
        <w:t xml:space="preserve"> مِنَ الإقْرَارِ بَاطِلٌ.</w:t>
      </w:r>
    </w:p>
    <w:p w:rsidR="00284270" w:rsidRDefault="00284270" w:rsidP="0022714B">
      <w:pPr>
        <w:spacing w:line="228" w:lineRule="auto"/>
        <w:rPr>
          <w:sz w:val="32"/>
          <w:szCs w:val="32"/>
          <w:rtl/>
        </w:rPr>
      </w:pPr>
      <w:r>
        <w:rPr>
          <w:rFonts w:hint="cs"/>
          <w:b/>
          <w:bCs/>
          <w:sz w:val="32"/>
          <w:szCs w:val="32"/>
          <w:rtl/>
        </w:rPr>
        <w:t>ردد</w:t>
      </w:r>
      <w:r>
        <w:rPr>
          <w:rFonts w:hint="cs"/>
          <w:sz w:val="32"/>
          <w:szCs w:val="32"/>
          <w:rtl/>
        </w:rPr>
        <w:tab/>
      </w:r>
      <w:r>
        <w:rPr>
          <w:sz w:val="32"/>
          <w:szCs w:val="32"/>
        </w:rPr>
        <w:tab/>
      </w:r>
      <w:r>
        <w:rPr>
          <w:rFonts w:hint="cs"/>
          <w:sz w:val="32"/>
          <w:szCs w:val="32"/>
          <w:rtl/>
        </w:rPr>
        <w:t xml:space="preserve">: ق44 </w:t>
      </w:r>
      <w:r>
        <w:rPr>
          <w:sz w:val="32"/>
          <w:szCs w:val="32"/>
        </w:rPr>
        <w:tab/>
      </w:r>
      <w:r>
        <w:rPr>
          <w:rFonts w:hint="cs"/>
          <w:sz w:val="32"/>
          <w:szCs w:val="32"/>
          <w:rtl/>
        </w:rPr>
        <w:tab/>
        <w:t xml:space="preserve">: الإِقْرَارُ لاَ </w:t>
      </w:r>
      <w:r>
        <w:rPr>
          <w:rFonts w:hint="cs"/>
          <w:b/>
          <w:bCs/>
          <w:sz w:val="32"/>
          <w:szCs w:val="32"/>
          <w:rtl/>
        </w:rPr>
        <w:t>يَرْتَدُّ بِالرَّدِّ</w:t>
      </w:r>
      <w:r>
        <w:rPr>
          <w:rFonts w:hint="cs"/>
          <w:sz w:val="32"/>
          <w:szCs w:val="32"/>
          <w:rtl/>
        </w:rPr>
        <w:t xml:space="preserve">. </w:t>
      </w:r>
    </w:p>
    <w:p w:rsidR="00284270" w:rsidRDefault="00284270" w:rsidP="0022714B">
      <w:pPr>
        <w:spacing w:line="228"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ق125  </w:t>
      </w:r>
      <w:r>
        <w:rPr>
          <w:sz w:val="32"/>
          <w:szCs w:val="32"/>
        </w:rPr>
        <w:tab/>
      </w:r>
      <w:r>
        <w:rPr>
          <w:rFonts w:hint="cs"/>
          <w:sz w:val="32"/>
          <w:szCs w:val="32"/>
          <w:rtl/>
        </w:rPr>
        <w:t xml:space="preserve">: الدَّفعُ إذا كانَ لغرضٍ : لايجوزُ </w:t>
      </w:r>
      <w:r>
        <w:rPr>
          <w:rFonts w:hint="cs"/>
          <w:b/>
          <w:bCs/>
          <w:sz w:val="32"/>
          <w:szCs w:val="32"/>
          <w:rtl/>
        </w:rPr>
        <w:t>الاستراد</w:t>
      </w:r>
      <w:r>
        <w:rPr>
          <w:rFonts w:hint="cs"/>
          <w:sz w:val="32"/>
          <w:szCs w:val="32"/>
          <w:rtl/>
        </w:rPr>
        <w:t>ُ مادامَ باقِياً.</w:t>
      </w:r>
    </w:p>
    <w:p w:rsidR="00284270" w:rsidRDefault="00284270" w:rsidP="0022714B">
      <w:pPr>
        <w:spacing w:line="228"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ق124 </w:t>
      </w:r>
      <w:r>
        <w:rPr>
          <w:sz w:val="32"/>
          <w:szCs w:val="32"/>
        </w:rPr>
        <w:tab/>
      </w:r>
      <w:r>
        <w:rPr>
          <w:rFonts w:hint="cs"/>
          <w:sz w:val="32"/>
          <w:szCs w:val="32"/>
          <w:rtl/>
        </w:rPr>
        <w:t xml:space="preserve">: دَفْعُ ما ليسَ بواجبٍ عليهِ </w:t>
      </w:r>
      <w:r>
        <w:rPr>
          <w:rFonts w:hint="cs"/>
          <w:b/>
          <w:bCs/>
          <w:sz w:val="32"/>
          <w:szCs w:val="32"/>
          <w:rtl/>
        </w:rPr>
        <w:t>يَسْتَرِدُّهُ</w:t>
      </w:r>
      <w:r>
        <w:rPr>
          <w:rFonts w:hint="cs"/>
          <w:sz w:val="32"/>
          <w:szCs w:val="32"/>
          <w:rtl/>
        </w:rPr>
        <w:t>.</w:t>
      </w:r>
    </w:p>
    <w:p w:rsidR="00284270" w:rsidRDefault="00284270" w:rsidP="0022714B">
      <w:pPr>
        <w:spacing w:line="228" w:lineRule="auto"/>
        <w:ind w:left="2833" w:hanging="2266"/>
        <w:rPr>
          <w:sz w:val="32"/>
          <w:szCs w:val="32"/>
          <w:rtl/>
        </w:rPr>
      </w:pPr>
      <w:r>
        <w:rPr>
          <w:rFonts w:hint="cs"/>
          <w:sz w:val="32"/>
          <w:szCs w:val="32"/>
          <w:rtl/>
        </w:rPr>
        <w:t xml:space="preserve">               ق136 </w:t>
      </w:r>
      <w:r>
        <w:rPr>
          <w:sz w:val="32"/>
          <w:szCs w:val="32"/>
        </w:rPr>
        <w:tab/>
      </w:r>
      <w:r>
        <w:rPr>
          <w:rFonts w:hint="cs"/>
          <w:sz w:val="32"/>
          <w:szCs w:val="32"/>
          <w:rtl/>
        </w:rPr>
        <w:t xml:space="preserve">: الزِّيَادَةُ المُنفَصِلَةُ غَيْرُ المُتَوَلِّدَةِ مِنَ الأصْلِ لاَ تَمْنَعُ </w:t>
      </w:r>
      <w:r>
        <w:rPr>
          <w:rFonts w:hint="cs"/>
          <w:b/>
          <w:bCs/>
          <w:sz w:val="32"/>
          <w:szCs w:val="32"/>
          <w:rtl/>
        </w:rPr>
        <w:t>الرَّدَّ</w:t>
      </w:r>
      <w:r>
        <w:rPr>
          <w:rFonts w:hint="cs"/>
          <w:sz w:val="32"/>
          <w:szCs w:val="32"/>
          <w:rtl/>
        </w:rPr>
        <w:t xml:space="preserve"> بالعَيْبِ.</w:t>
      </w:r>
    </w:p>
    <w:p w:rsidR="00284270" w:rsidRDefault="00284270" w:rsidP="0022714B">
      <w:pPr>
        <w:spacing w:line="228" w:lineRule="auto"/>
        <w:ind w:left="2833" w:right="2833" w:hanging="2266"/>
        <w:rPr>
          <w:sz w:val="32"/>
          <w:szCs w:val="32"/>
          <w:rtl/>
        </w:rPr>
      </w:pPr>
      <w:r>
        <w:rPr>
          <w:rFonts w:hint="cs"/>
          <w:sz w:val="32"/>
          <w:szCs w:val="32"/>
          <w:rtl/>
        </w:rPr>
        <w:t xml:space="preserve">               ق185 </w:t>
      </w:r>
      <w:r>
        <w:rPr>
          <w:sz w:val="32"/>
          <w:szCs w:val="32"/>
        </w:rPr>
        <w:tab/>
      </w:r>
      <w:r>
        <w:rPr>
          <w:rFonts w:hint="cs"/>
          <w:sz w:val="32"/>
          <w:szCs w:val="32"/>
          <w:rtl/>
        </w:rPr>
        <w:t xml:space="preserve">: كُلُّ كفالةٍ تَنْعَقِدُ غَيْرُ موجِبةٍ </w:t>
      </w:r>
      <w:r>
        <w:rPr>
          <w:rFonts w:hint="cs"/>
          <w:b/>
          <w:bCs/>
          <w:sz w:val="32"/>
          <w:szCs w:val="32"/>
          <w:rtl/>
        </w:rPr>
        <w:t>للرّدِ</w:t>
      </w:r>
      <w:r>
        <w:rPr>
          <w:rFonts w:hint="cs"/>
          <w:sz w:val="32"/>
          <w:szCs w:val="32"/>
          <w:rtl/>
        </w:rPr>
        <w:t xml:space="preserve"> لا تَنْقَلِبُ مُوجِبَةً أبدًا.</w:t>
      </w:r>
    </w:p>
    <w:p w:rsidR="00284270" w:rsidRDefault="00284270" w:rsidP="0022714B">
      <w:pPr>
        <w:spacing w:line="228"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ق190 </w:t>
      </w:r>
      <w:r>
        <w:rPr>
          <w:sz w:val="32"/>
          <w:szCs w:val="32"/>
        </w:rPr>
        <w:tab/>
      </w:r>
      <w:r>
        <w:rPr>
          <w:rFonts w:hint="cs"/>
          <w:sz w:val="32"/>
          <w:szCs w:val="32"/>
          <w:rtl/>
        </w:rPr>
        <w:t xml:space="preserve">: كُلُّ مَا هُوَ وَاجِبُ الرَّفْعِ </w:t>
      </w:r>
      <w:r>
        <w:rPr>
          <w:rFonts w:hint="cs"/>
          <w:b/>
          <w:bCs/>
          <w:sz w:val="32"/>
          <w:szCs w:val="32"/>
          <w:rtl/>
        </w:rPr>
        <w:t>بِالاستِرْدَادِ</w:t>
      </w:r>
      <w:r>
        <w:rPr>
          <w:rFonts w:hint="cs"/>
          <w:sz w:val="32"/>
          <w:szCs w:val="32"/>
          <w:rtl/>
        </w:rPr>
        <w:t xml:space="preserve"> لا يَجُوزُ تَقْرِيرُهُ.</w:t>
      </w:r>
    </w:p>
    <w:p w:rsidR="00284270" w:rsidRDefault="00284270" w:rsidP="0022714B">
      <w:pPr>
        <w:spacing w:line="228" w:lineRule="auto"/>
        <w:rPr>
          <w:sz w:val="32"/>
          <w:szCs w:val="32"/>
          <w:rtl/>
        </w:rPr>
      </w:pPr>
      <w:r>
        <w:rPr>
          <w:rFonts w:hint="cs"/>
          <w:b/>
          <w:bCs/>
          <w:sz w:val="32"/>
          <w:szCs w:val="32"/>
          <w:rtl/>
        </w:rPr>
        <w:t>رسل</w:t>
      </w:r>
      <w:r>
        <w:rPr>
          <w:rFonts w:hint="cs"/>
          <w:sz w:val="32"/>
          <w:szCs w:val="32"/>
          <w:rtl/>
        </w:rPr>
        <w:tab/>
      </w:r>
      <w:r>
        <w:rPr>
          <w:sz w:val="32"/>
          <w:szCs w:val="32"/>
        </w:rPr>
        <w:tab/>
      </w:r>
      <w:r>
        <w:rPr>
          <w:rFonts w:hint="cs"/>
          <w:sz w:val="32"/>
          <w:szCs w:val="32"/>
          <w:rtl/>
        </w:rPr>
        <w:t xml:space="preserve">: ق135 </w:t>
      </w:r>
      <w:r>
        <w:rPr>
          <w:sz w:val="32"/>
          <w:szCs w:val="32"/>
        </w:rPr>
        <w:tab/>
      </w:r>
      <w:r>
        <w:rPr>
          <w:rFonts w:hint="cs"/>
          <w:sz w:val="32"/>
          <w:szCs w:val="32"/>
          <w:rtl/>
        </w:rPr>
        <w:t xml:space="preserve">: </w:t>
      </w:r>
      <w:r>
        <w:rPr>
          <w:rFonts w:hint="cs"/>
          <w:b/>
          <w:bCs/>
          <w:sz w:val="32"/>
          <w:szCs w:val="32"/>
          <w:rtl/>
        </w:rPr>
        <w:t>الرَّسُولُ</w:t>
      </w:r>
      <w:r>
        <w:rPr>
          <w:rFonts w:hint="cs"/>
          <w:sz w:val="32"/>
          <w:szCs w:val="32"/>
          <w:rtl/>
        </w:rPr>
        <w:t xml:space="preserve"> مُعبّرٌ وسَفيرٌ، فَكَلاَمُهُ كَكَلاَمِ </w:t>
      </w:r>
      <w:r>
        <w:rPr>
          <w:rFonts w:hint="cs"/>
          <w:b/>
          <w:bCs/>
          <w:sz w:val="32"/>
          <w:szCs w:val="32"/>
          <w:rtl/>
        </w:rPr>
        <w:t>المُرْسِلِ</w:t>
      </w:r>
      <w:r>
        <w:rPr>
          <w:rFonts w:hint="cs"/>
          <w:sz w:val="32"/>
          <w:szCs w:val="32"/>
          <w:rtl/>
        </w:rPr>
        <w:t>.</w:t>
      </w:r>
    </w:p>
    <w:p w:rsidR="00284270" w:rsidRDefault="00284270">
      <w:pPr>
        <w:rPr>
          <w:sz w:val="32"/>
          <w:szCs w:val="32"/>
          <w:rtl/>
        </w:rPr>
      </w:pPr>
      <w:r>
        <w:rPr>
          <w:rFonts w:hint="cs"/>
          <w:b/>
          <w:bCs/>
          <w:sz w:val="32"/>
          <w:szCs w:val="32"/>
          <w:rtl/>
        </w:rPr>
        <w:t>رعى</w:t>
      </w:r>
      <w:r>
        <w:rPr>
          <w:rFonts w:hint="cs"/>
          <w:sz w:val="32"/>
          <w:szCs w:val="32"/>
          <w:rtl/>
        </w:rPr>
        <w:tab/>
      </w:r>
      <w:r>
        <w:rPr>
          <w:sz w:val="32"/>
          <w:szCs w:val="32"/>
        </w:rPr>
        <w:tab/>
      </w:r>
      <w:r>
        <w:rPr>
          <w:rFonts w:hint="cs"/>
          <w:sz w:val="32"/>
          <w:szCs w:val="32"/>
          <w:rtl/>
        </w:rPr>
        <w:t xml:space="preserve">: ق75 </w:t>
      </w:r>
      <w:r>
        <w:rPr>
          <w:sz w:val="32"/>
          <w:szCs w:val="32"/>
        </w:rPr>
        <w:tab/>
      </w:r>
      <w:r>
        <w:rPr>
          <w:rFonts w:hint="cs"/>
          <w:sz w:val="32"/>
          <w:szCs w:val="32"/>
          <w:rtl/>
        </w:rPr>
        <w:tab/>
        <w:t xml:space="preserve">: تصَرُّفُ الإمامِ على </w:t>
      </w:r>
      <w:r>
        <w:rPr>
          <w:rFonts w:hint="cs"/>
          <w:b/>
          <w:bCs/>
          <w:sz w:val="32"/>
          <w:szCs w:val="32"/>
          <w:rtl/>
        </w:rPr>
        <w:t>الرَّعيَّةِ</w:t>
      </w:r>
      <w:r>
        <w:rPr>
          <w:rFonts w:hint="cs"/>
          <w:sz w:val="32"/>
          <w:szCs w:val="32"/>
          <w:rtl/>
        </w:rPr>
        <w:t xml:space="preserve"> مَنُوطٌ بالـمصلحةِ.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ق116 </w:t>
      </w:r>
      <w:r>
        <w:rPr>
          <w:sz w:val="32"/>
          <w:szCs w:val="32"/>
        </w:rPr>
        <w:tab/>
      </w:r>
      <w:r>
        <w:rPr>
          <w:rFonts w:hint="cs"/>
          <w:sz w:val="32"/>
          <w:szCs w:val="32"/>
          <w:rtl/>
        </w:rPr>
        <w:t xml:space="preserve">: الحكمةُ </w:t>
      </w:r>
      <w:r>
        <w:rPr>
          <w:rFonts w:hint="cs"/>
          <w:b/>
          <w:bCs/>
          <w:sz w:val="32"/>
          <w:szCs w:val="32"/>
          <w:rtl/>
        </w:rPr>
        <w:t>تُرَاعَى</w:t>
      </w:r>
      <w:r>
        <w:rPr>
          <w:rFonts w:hint="cs"/>
          <w:sz w:val="32"/>
          <w:szCs w:val="32"/>
          <w:rtl/>
        </w:rPr>
        <w:t xml:space="preserve"> فِي الجِنْسِ لا في الأفْرَادِ.</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ق264 </w:t>
      </w:r>
      <w:r>
        <w:rPr>
          <w:sz w:val="32"/>
          <w:szCs w:val="32"/>
        </w:rPr>
        <w:tab/>
      </w:r>
      <w:r>
        <w:rPr>
          <w:rFonts w:hint="cs"/>
          <w:sz w:val="32"/>
          <w:szCs w:val="32"/>
          <w:rtl/>
        </w:rPr>
        <w:t xml:space="preserve">: َيلْزَمُ </w:t>
      </w:r>
      <w:r>
        <w:rPr>
          <w:rFonts w:hint="cs"/>
          <w:b/>
          <w:bCs/>
          <w:sz w:val="32"/>
          <w:szCs w:val="32"/>
          <w:rtl/>
        </w:rPr>
        <w:t>مُرَاعَاةُ</w:t>
      </w:r>
      <w:r>
        <w:rPr>
          <w:rFonts w:hint="cs"/>
          <w:sz w:val="32"/>
          <w:szCs w:val="32"/>
          <w:rtl/>
        </w:rPr>
        <w:t xml:space="preserve"> الشَّرْطِ بِقَدْرِ الإمْكَانِ.</w:t>
      </w:r>
    </w:p>
    <w:p w:rsidR="00284270" w:rsidRDefault="00284270">
      <w:pPr>
        <w:rPr>
          <w:sz w:val="32"/>
          <w:szCs w:val="32"/>
          <w:rtl/>
        </w:rPr>
      </w:pPr>
      <w:r>
        <w:rPr>
          <w:rFonts w:hint="cs"/>
          <w:b/>
          <w:bCs/>
          <w:sz w:val="32"/>
          <w:szCs w:val="32"/>
          <w:rtl/>
        </w:rPr>
        <w:t>رهن</w:t>
      </w:r>
      <w:r>
        <w:rPr>
          <w:rFonts w:hint="cs"/>
          <w:sz w:val="32"/>
          <w:szCs w:val="32"/>
          <w:rtl/>
        </w:rPr>
        <w:tab/>
      </w:r>
      <w:r>
        <w:rPr>
          <w:sz w:val="32"/>
          <w:szCs w:val="32"/>
        </w:rPr>
        <w:tab/>
      </w:r>
      <w:r>
        <w:rPr>
          <w:rFonts w:hint="cs"/>
          <w:sz w:val="32"/>
          <w:szCs w:val="32"/>
          <w:rtl/>
        </w:rPr>
        <w:t xml:space="preserve">: ق169 </w:t>
      </w:r>
      <w:r>
        <w:rPr>
          <w:sz w:val="32"/>
          <w:szCs w:val="32"/>
        </w:rPr>
        <w:tab/>
      </w:r>
      <w:r>
        <w:rPr>
          <w:rFonts w:hint="cs"/>
          <w:sz w:val="32"/>
          <w:szCs w:val="32"/>
          <w:rtl/>
        </w:rPr>
        <w:t xml:space="preserve">: عَقْدُ </w:t>
      </w:r>
      <w:r>
        <w:rPr>
          <w:rFonts w:hint="cs"/>
          <w:b/>
          <w:bCs/>
          <w:sz w:val="32"/>
          <w:szCs w:val="32"/>
          <w:rtl/>
        </w:rPr>
        <w:t>الرّهنِ</w:t>
      </w:r>
      <w:r>
        <w:rPr>
          <w:rFonts w:hint="cs"/>
          <w:sz w:val="32"/>
          <w:szCs w:val="32"/>
          <w:rtl/>
        </w:rPr>
        <w:t xml:space="preserve"> تبرُّعٌ مِنْ جَانِبِ الرَّاهِنِ.</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ق223 </w:t>
      </w:r>
      <w:r>
        <w:rPr>
          <w:sz w:val="32"/>
          <w:szCs w:val="32"/>
        </w:rPr>
        <w:tab/>
      </w:r>
      <w:r>
        <w:rPr>
          <w:rFonts w:hint="cs"/>
          <w:sz w:val="32"/>
          <w:szCs w:val="32"/>
          <w:rtl/>
        </w:rPr>
        <w:t xml:space="preserve">: ما قَبِلَ البَيْعَ قَبِلَ </w:t>
      </w:r>
      <w:r>
        <w:rPr>
          <w:rFonts w:hint="cs"/>
          <w:b/>
          <w:bCs/>
          <w:sz w:val="32"/>
          <w:szCs w:val="32"/>
          <w:rtl/>
        </w:rPr>
        <w:t>الرّهنَ</w:t>
      </w:r>
      <w:r>
        <w:rPr>
          <w:rFonts w:hint="cs"/>
          <w:sz w:val="32"/>
          <w:szCs w:val="32"/>
          <w:rtl/>
        </w:rPr>
        <w:t xml:space="preserve"> إلاَّ فِي أَرْبَعَةٍ.</w:t>
      </w:r>
    </w:p>
    <w:p w:rsidR="00284270" w:rsidRDefault="00284270" w:rsidP="0022714B">
      <w:pPr>
        <w:ind w:left="2833" w:hanging="2266"/>
        <w:rPr>
          <w:sz w:val="32"/>
          <w:szCs w:val="32"/>
          <w:rtl/>
        </w:rPr>
      </w:pPr>
      <w:r>
        <w:rPr>
          <w:rFonts w:hint="cs"/>
          <w:b/>
          <w:bCs/>
          <w:sz w:val="32"/>
          <w:szCs w:val="32"/>
          <w:rtl/>
        </w:rPr>
        <w:t>روى</w:t>
      </w:r>
      <w:r>
        <w:rPr>
          <w:rFonts w:hint="cs"/>
          <w:sz w:val="32"/>
          <w:szCs w:val="32"/>
          <w:rtl/>
        </w:rPr>
        <w:t xml:space="preserve">        : ق72 </w:t>
      </w:r>
      <w:r>
        <w:rPr>
          <w:sz w:val="32"/>
          <w:szCs w:val="32"/>
        </w:rPr>
        <w:tab/>
      </w:r>
      <w:r>
        <w:rPr>
          <w:rFonts w:hint="cs"/>
          <w:sz w:val="32"/>
          <w:szCs w:val="32"/>
          <w:rtl/>
        </w:rPr>
        <w:t xml:space="preserve">: التَّخصِيصُ فِي </w:t>
      </w:r>
      <w:r>
        <w:rPr>
          <w:rFonts w:hint="cs"/>
          <w:b/>
          <w:bCs/>
          <w:sz w:val="32"/>
          <w:szCs w:val="32"/>
          <w:rtl/>
        </w:rPr>
        <w:t>الرِّوايَاتِ</w:t>
      </w:r>
      <w:r>
        <w:rPr>
          <w:rFonts w:hint="cs"/>
          <w:sz w:val="32"/>
          <w:szCs w:val="32"/>
          <w:rtl/>
        </w:rPr>
        <w:t xml:space="preserve"> يُوجِبُ نَفْيَ الحكمِ عمَّا عدا المَذْكُورِ. </w:t>
      </w:r>
    </w:p>
    <w:p w:rsidR="00284270" w:rsidRDefault="00284270">
      <w:pPr>
        <w:rPr>
          <w:rtl/>
        </w:rPr>
      </w:pPr>
    </w:p>
    <w:p w:rsidR="00284270" w:rsidRDefault="0022714B">
      <w:pPr>
        <w:jc w:val="center"/>
        <w:rPr>
          <w:b/>
          <w:bCs/>
          <w:sz w:val="48"/>
          <w:szCs w:val="48"/>
          <w:rtl/>
        </w:rPr>
      </w:pPr>
      <w:r>
        <w:rPr>
          <w:b/>
          <w:bCs/>
          <w:noProof/>
          <w:szCs w:val="48"/>
          <w:rtl/>
        </w:rPr>
        <w:pict>
          <v:rect id="_x0000_s1037" style="position:absolute;left:0;text-align:left;margin-left:168.15pt;margin-top:2.6pt;width:54.15pt;height:37.05pt;z-index:-251639808;mso-wrap-edited:f" wrapcoords="-379 0 -379 21600 758 22265 23495 22265 23116 997 22358 0 -379 0">
            <v:shadow on="t" offset="3pt" offset2="2pt"/>
          </v:rect>
        </w:pict>
      </w:r>
      <w:r w:rsidR="00284270">
        <w:rPr>
          <w:rFonts w:hint="cs"/>
          <w:b/>
          <w:bCs/>
          <w:sz w:val="48"/>
          <w:szCs w:val="48"/>
          <w:rtl/>
        </w:rPr>
        <w:t>(ز)</w:t>
      </w:r>
    </w:p>
    <w:p w:rsidR="00284270" w:rsidRDefault="00284270">
      <w:pPr>
        <w:rPr>
          <w:rtl/>
        </w:rPr>
      </w:pPr>
    </w:p>
    <w:p w:rsidR="00284270" w:rsidRDefault="00284270" w:rsidP="0022714B">
      <w:pPr>
        <w:ind w:left="2833" w:hanging="2266"/>
        <w:rPr>
          <w:sz w:val="32"/>
          <w:szCs w:val="32"/>
          <w:rtl/>
        </w:rPr>
      </w:pPr>
      <w:r>
        <w:rPr>
          <w:rFonts w:hint="cs"/>
          <w:b/>
          <w:bCs/>
          <w:sz w:val="32"/>
          <w:szCs w:val="32"/>
          <w:rtl/>
        </w:rPr>
        <w:t>زاد</w:t>
      </w:r>
      <w:r>
        <w:rPr>
          <w:rFonts w:hint="cs"/>
          <w:sz w:val="32"/>
          <w:szCs w:val="32"/>
          <w:rtl/>
        </w:rPr>
        <w:t xml:space="preserve">          : ق84 </w:t>
      </w:r>
      <w:r>
        <w:rPr>
          <w:sz w:val="32"/>
          <w:szCs w:val="32"/>
        </w:rPr>
        <w:tab/>
      </w:r>
      <w:r>
        <w:rPr>
          <w:rFonts w:hint="cs"/>
          <w:sz w:val="32"/>
          <w:szCs w:val="32"/>
          <w:rtl/>
        </w:rPr>
        <w:t xml:space="preserve">: تَقْدِيْرُ الشَّرعِ أَوْلَى مِنْ تقدِيرِ القاضِي، فَلاَ يَجُوزُ </w:t>
      </w:r>
      <w:r>
        <w:rPr>
          <w:rFonts w:hint="cs"/>
          <w:b/>
          <w:bCs/>
          <w:sz w:val="32"/>
          <w:szCs w:val="32"/>
          <w:rtl/>
        </w:rPr>
        <w:t>الزِّيادةُ</w:t>
      </w:r>
      <w:r>
        <w:rPr>
          <w:rFonts w:hint="cs"/>
          <w:sz w:val="32"/>
          <w:szCs w:val="32"/>
          <w:rtl/>
        </w:rPr>
        <w:t xml:space="preserve"> عليهِ. </w:t>
      </w:r>
    </w:p>
    <w:p w:rsidR="00284270" w:rsidRDefault="00284270" w:rsidP="0022714B">
      <w:pPr>
        <w:ind w:left="2833" w:hanging="2266"/>
        <w:rPr>
          <w:sz w:val="32"/>
          <w:szCs w:val="32"/>
          <w:rtl/>
        </w:rPr>
      </w:pPr>
      <w:r>
        <w:rPr>
          <w:rFonts w:hint="cs"/>
          <w:sz w:val="32"/>
          <w:szCs w:val="32"/>
          <w:rtl/>
        </w:rPr>
        <w:t xml:space="preserve">               ق136 </w:t>
      </w:r>
      <w:r>
        <w:rPr>
          <w:sz w:val="32"/>
          <w:szCs w:val="32"/>
        </w:rPr>
        <w:tab/>
      </w:r>
      <w:r>
        <w:rPr>
          <w:rFonts w:hint="cs"/>
          <w:sz w:val="32"/>
          <w:szCs w:val="32"/>
          <w:rtl/>
        </w:rPr>
        <w:t xml:space="preserve">: </w:t>
      </w:r>
      <w:r>
        <w:rPr>
          <w:rFonts w:hint="cs"/>
          <w:b/>
          <w:bCs/>
          <w:sz w:val="32"/>
          <w:szCs w:val="32"/>
          <w:rtl/>
        </w:rPr>
        <w:t>الزِّيَادَةُ</w:t>
      </w:r>
      <w:r>
        <w:rPr>
          <w:rFonts w:hint="cs"/>
          <w:sz w:val="32"/>
          <w:szCs w:val="32"/>
          <w:rtl/>
        </w:rPr>
        <w:t xml:space="preserve"> المُنفَصِلَةُ غَيْرُ المُتَوَلِّدَةِ مِنَ الأصْلِ لاَ تَمْنَعُ الرَّدَّ بالعَيْبِ.</w:t>
      </w:r>
    </w:p>
    <w:p w:rsidR="00284270" w:rsidRDefault="00284270">
      <w:pPr>
        <w:rPr>
          <w:sz w:val="32"/>
          <w:szCs w:val="32"/>
          <w:rtl/>
        </w:rPr>
      </w:pPr>
      <w:r>
        <w:rPr>
          <w:rFonts w:hint="cs"/>
          <w:b/>
          <w:bCs/>
          <w:sz w:val="32"/>
          <w:szCs w:val="32"/>
          <w:rtl/>
        </w:rPr>
        <w:t>زال</w:t>
      </w:r>
      <w:r>
        <w:rPr>
          <w:rFonts w:hint="cs"/>
          <w:sz w:val="32"/>
          <w:szCs w:val="32"/>
          <w:rtl/>
        </w:rPr>
        <w:tab/>
      </w:r>
      <w:r>
        <w:rPr>
          <w:sz w:val="32"/>
          <w:szCs w:val="32"/>
        </w:rPr>
        <w:tab/>
      </w:r>
      <w:r>
        <w:rPr>
          <w:rFonts w:hint="cs"/>
          <w:sz w:val="32"/>
          <w:szCs w:val="32"/>
          <w:rtl/>
        </w:rPr>
        <w:t xml:space="preserve">: ق13 </w:t>
      </w:r>
      <w:r>
        <w:rPr>
          <w:sz w:val="32"/>
          <w:szCs w:val="32"/>
        </w:rPr>
        <w:tab/>
      </w:r>
      <w:r>
        <w:rPr>
          <w:rFonts w:hint="cs"/>
          <w:sz w:val="32"/>
          <w:szCs w:val="32"/>
          <w:rtl/>
        </w:rPr>
        <w:tab/>
        <w:t xml:space="preserve">: إذَا </w:t>
      </w:r>
      <w:r>
        <w:rPr>
          <w:rFonts w:hint="cs"/>
          <w:b/>
          <w:bCs/>
          <w:sz w:val="32"/>
          <w:szCs w:val="32"/>
          <w:rtl/>
        </w:rPr>
        <w:t>زالَ</w:t>
      </w:r>
      <w:r>
        <w:rPr>
          <w:rFonts w:hint="cs"/>
          <w:sz w:val="32"/>
          <w:szCs w:val="32"/>
          <w:rtl/>
        </w:rPr>
        <w:t xml:space="preserve"> الـمانعُ عـادَ الـممنُوعُ. </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ق155 </w:t>
      </w:r>
      <w:r>
        <w:rPr>
          <w:sz w:val="32"/>
          <w:szCs w:val="32"/>
        </w:rPr>
        <w:tab/>
      </w:r>
      <w:r>
        <w:rPr>
          <w:rFonts w:hint="cs"/>
          <w:sz w:val="32"/>
          <w:szCs w:val="32"/>
          <w:rtl/>
        </w:rPr>
        <w:t xml:space="preserve">: الضَّرَرُ </w:t>
      </w:r>
      <w:r>
        <w:rPr>
          <w:rFonts w:hint="cs"/>
          <w:b/>
          <w:bCs/>
          <w:sz w:val="32"/>
          <w:szCs w:val="32"/>
          <w:rtl/>
        </w:rPr>
        <w:t>يُزَالُ</w:t>
      </w:r>
      <w:r>
        <w:rPr>
          <w:rFonts w:hint="cs"/>
          <w:sz w:val="32"/>
          <w:szCs w:val="32"/>
          <w:rtl/>
        </w:rPr>
        <w:t>.</w:t>
      </w:r>
    </w:p>
    <w:p w:rsidR="00284270" w:rsidRDefault="00284270">
      <w:pPr>
        <w:rPr>
          <w:sz w:val="32"/>
          <w:szCs w:val="32"/>
          <w:rtl/>
        </w:rPr>
      </w:pPr>
      <w:r>
        <w:rPr>
          <w:rFonts w:hint="cs"/>
          <w:b/>
          <w:bCs/>
          <w:sz w:val="32"/>
          <w:szCs w:val="32"/>
          <w:rtl/>
        </w:rPr>
        <w:t>زجج</w:t>
      </w:r>
      <w:r>
        <w:rPr>
          <w:rFonts w:hint="cs"/>
          <w:sz w:val="32"/>
          <w:szCs w:val="32"/>
          <w:rtl/>
        </w:rPr>
        <w:tab/>
      </w:r>
      <w:r>
        <w:rPr>
          <w:sz w:val="32"/>
          <w:szCs w:val="32"/>
        </w:rPr>
        <w:tab/>
      </w:r>
      <w:r>
        <w:rPr>
          <w:rFonts w:hint="cs"/>
          <w:sz w:val="32"/>
          <w:szCs w:val="32"/>
          <w:rtl/>
        </w:rPr>
        <w:t xml:space="preserve">: ق130 </w:t>
      </w:r>
      <w:r>
        <w:rPr>
          <w:sz w:val="32"/>
          <w:szCs w:val="32"/>
        </w:rPr>
        <w:tab/>
      </w:r>
      <w:r>
        <w:rPr>
          <w:rFonts w:hint="cs"/>
          <w:sz w:val="32"/>
          <w:szCs w:val="32"/>
          <w:rtl/>
        </w:rPr>
        <w:t xml:space="preserve">: الرُّؤْيَةُ مِنَ </w:t>
      </w:r>
      <w:r>
        <w:rPr>
          <w:rFonts w:hint="cs"/>
          <w:b/>
          <w:bCs/>
          <w:sz w:val="32"/>
          <w:szCs w:val="32"/>
          <w:rtl/>
        </w:rPr>
        <w:t>الزُّجَاجِ</w:t>
      </w:r>
      <w:r>
        <w:rPr>
          <w:rFonts w:hint="cs"/>
          <w:sz w:val="32"/>
          <w:szCs w:val="32"/>
          <w:rtl/>
        </w:rPr>
        <w:t xml:space="preserve"> رُؤْيَةٌ حقيقةً.</w:t>
      </w:r>
    </w:p>
    <w:p w:rsidR="00284270" w:rsidRDefault="00284270">
      <w:pPr>
        <w:rPr>
          <w:sz w:val="32"/>
          <w:szCs w:val="32"/>
          <w:rtl/>
        </w:rPr>
      </w:pPr>
      <w:r>
        <w:rPr>
          <w:rFonts w:hint="cs"/>
          <w:b/>
          <w:bCs/>
          <w:sz w:val="32"/>
          <w:szCs w:val="32"/>
          <w:rtl/>
        </w:rPr>
        <w:t>زمن</w:t>
      </w:r>
      <w:r>
        <w:rPr>
          <w:rFonts w:hint="cs"/>
          <w:sz w:val="32"/>
          <w:szCs w:val="32"/>
          <w:rtl/>
        </w:rPr>
        <w:tab/>
      </w:r>
      <w:r>
        <w:rPr>
          <w:sz w:val="32"/>
          <w:szCs w:val="32"/>
        </w:rPr>
        <w:tab/>
      </w:r>
      <w:r>
        <w:rPr>
          <w:rFonts w:hint="cs"/>
          <w:sz w:val="32"/>
          <w:szCs w:val="32"/>
          <w:rtl/>
        </w:rPr>
        <w:t xml:space="preserve">: ق216 </w:t>
      </w:r>
      <w:r>
        <w:rPr>
          <w:sz w:val="32"/>
          <w:szCs w:val="32"/>
        </w:rPr>
        <w:tab/>
      </w:r>
      <w:r>
        <w:rPr>
          <w:rFonts w:hint="cs"/>
          <w:sz w:val="32"/>
          <w:szCs w:val="32"/>
          <w:rtl/>
        </w:rPr>
        <w:t xml:space="preserve">: مَا ثَبَتَ في </w:t>
      </w:r>
      <w:r>
        <w:rPr>
          <w:rFonts w:hint="cs"/>
          <w:b/>
          <w:bCs/>
          <w:sz w:val="32"/>
          <w:szCs w:val="32"/>
          <w:rtl/>
        </w:rPr>
        <w:t>زمانٍ</w:t>
      </w:r>
      <w:r>
        <w:rPr>
          <w:rFonts w:hint="cs"/>
          <w:sz w:val="32"/>
          <w:szCs w:val="32"/>
          <w:rtl/>
        </w:rPr>
        <w:t xml:space="preserve"> يُحْكَمُ بِبَقَائِهِ مَا لَمْ يُوجَدِ المُزِيلُ.</w:t>
      </w:r>
    </w:p>
    <w:p w:rsidR="00284270" w:rsidRPr="001876F8" w:rsidRDefault="00284270">
      <w:pPr>
        <w:rPr>
          <w:szCs w:val="20"/>
          <w:rtl/>
        </w:rPr>
      </w:pPr>
      <w:r>
        <w:rPr>
          <w:rFonts w:hint="cs"/>
          <w:sz w:val="32"/>
          <w:szCs w:val="32"/>
          <w:rtl/>
        </w:rPr>
        <w:t xml:space="preserve"> </w:t>
      </w:r>
    </w:p>
    <w:p w:rsidR="00284270" w:rsidRDefault="0022714B">
      <w:pPr>
        <w:jc w:val="center"/>
        <w:rPr>
          <w:b/>
          <w:bCs/>
          <w:sz w:val="48"/>
          <w:szCs w:val="48"/>
          <w:rtl/>
        </w:rPr>
      </w:pPr>
      <w:r>
        <w:rPr>
          <w:noProof/>
          <w:rtl/>
        </w:rPr>
        <w:pict>
          <v:rect id="_x0000_s1038" style="position:absolute;left:0;text-align:left;margin-left:165.2pt;margin-top:4.8pt;width:54.15pt;height:37.05pt;z-index:-251638784;mso-wrap-edited:f" wrapcoords="-379 0 -379 21600 758 22265 23495 22265 23116 997 22358 0 -379 0">
            <v:shadow on="t" offset="3pt" offset2="2pt"/>
          </v:rect>
        </w:pict>
      </w:r>
      <w:r w:rsidR="00284270">
        <w:rPr>
          <w:rFonts w:hint="cs"/>
          <w:b/>
          <w:bCs/>
          <w:sz w:val="48"/>
          <w:szCs w:val="48"/>
          <w:rtl/>
        </w:rPr>
        <w:t>(س)</w:t>
      </w:r>
    </w:p>
    <w:p w:rsidR="00284270" w:rsidRPr="001876F8" w:rsidRDefault="00284270">
      <w:pPr>
        <w:rPr>
          <w:sz w:val="6"/>
          <w:szCs w:val="24"/>
          <w:rtl/>
        </w:rPr>
      </w:pPr>
    </w:p>
    <w:p w:rsidR="00284270" w:rsidRDefault="00284270">
      <w:pPr>
        <w:rPr>
          <w:sz w:val="32"/>
          <w:szCs w:val="32"/>
          <w:rtl/>
        </w:rPr>
      </w:pPr>
      <w:r>
        <w:rPr>
          <w:rFonts w:hint="cs"/>
          <w:b/>
          <w:bCs/>
          <w:sz w:val="32"/>
          <w:szCs w:val="32"/>
          <w:rtl/>
        </w:rPr>
        <w:t>ساغ</w:t>
      </w:r>
      <w:r>
        <w:rPr>
          <w:rFonts w:hint="cs"/>
          <w:sz w:val="32"/>
          <w:szCs w:val="32"/>
          <w:rtl/>
        </w:rPr>
        <w:tab/>
      </w:r>
      <w:r>
        <w:rPr>
          <w:sz w:val="32"/>
          <w:szCs w:val="32"/>
        </w:rPr>
        <w:tab/>
      </w:r>
      <w:r>
        <w:rPr>
          <w:rFonts w:hint="cs"/>
          <w:sz w:val="32"/>
          <w:szCs w:val="32"/>
          <w:rtl/>
        </w:rPr>
        <w:t xml:space="preserve">: ق209 </w:t>
      </w:r>
      <w:r>
        <w:rPr>
          <w:sz w:val="32"/>
          <w:szCs w:val="32"/>
        </w:rPr>
        <w:tab/>
      </w:r>
      <w:r>
        <w:rPr>
          <w:rFonts w:hint="cs"/>
          <w:sz w:val="32"/>
          <w:szCs w:val="32"/>
          <w:rtl/>
        </w:rPr>
        <w:t xml:space="preserve">: لا </w:t>
      </w:r>
      <w:r>
        <w:rPr>
          <w:rFonts w:hint="cs"/>
          <w:b/>
          <w:bCs/>
          <w:sz w:val="32"/>
          <w:szCs w:val="32"/>
          <w:rtl/>
        </w:rPr>
        <w:t>مَسَاغَ</w:t>
      </w:r>
      <w:r>
        <w:rPr>
          <w:rFonts w:hint="cs"/>
          <w:sz w:val="32"/>
          <w:szCs w:val="32"/>
          <w:rtl/>
        </w:rPr>
        <w:t xml:space="preserve"> لِلاجْتِهَادِ فِي مَوْرِدِ النَّصِّ. </w:t>
      </w:r>
    </w:p>
    <w:p w:rsidR="00284270" w:rsidRDefault="00284270">
      <w:pPr>
        <w:rPr>
          <w:sz w:val="32"/>
          <w:szCs w:val="32"/>
          <w:rtl/>
        </w:rPr>
      </w:pPr>
      <w:r>
        <w:rPr>
          <w:rFonts w:hint="cs"/>
          <w:b/>
          <w:bCs/>
          <w:sz w:val="32"/>
          <w:szCs w:val="32"/>
          <w:rtl/>
        </w:rPr>
        <w:t>سأل</w:t>
      </w:r>
      <w:r>
        <w:rPr>
          <w:rFonts w:hint="cs"/>
          <w:sz w:val="32"/>
          <w:szCs w:val="32"/>
          <w:rtl/>
        </w:rPr>
        <w:tab/>
      </w:r>
      <w:r>
        <w:rPr>
          <w:sz w:val="32"/>
          <w:szCs w:val="32"/>
        </w:rPr>
        <w:tab/>
      </w:r>
      <w:r>
        <w:rPr>
          <w:rFonts w:hint="cs"/>
          <w:sz w:val="32"/>
          <w:szCs w:val="32"/>
          <w:rtl/>
        </w:rPr>
        <w:t xml:space="preserve">: ق139 </w:t>
      </w:r>
      <w:r>
        <w:rPr>
          <w:sz w:val="32"/>
          <w:szCs w:val="32"/>
        </w:rPr>
        <w:tab/>
      </w:r>
      <w:r>
        <w:rPr>
          <w:rFonts w:hint="cs"/>
          <w:sz w:val="32"/>
          <w:szCs w:val="32"/>
          <w:rtl/>
        </w:rPr>
        <w:t xml:space="preserve">: </w:t>
      </w:r>
      <w:r>
        <w:rPr>
          <w:rFonts w:hint="cs"/>
          <w:b/>
          <w:bCs/>
          <w:sz w:val="32"/>
          <w:szCs w:val="32"/>
          <w:rtl/>
        </w:rPr>
        <w:t>السُّؤالُ</w:t>
      </w:r>
      <w:r>
        <w:rPr>
          <w:rFonts w:hint="cs"/>
          <w:sz w:val="32"/>
          <w:szCs w:val="32"/>
          <w:rtl/>
        </w:rPr>
        <w:t xml:space="preserve"> مُعَادٌ فِي الجَوَابِ.</w:t>
      </w:r>
    </w:p>
    <w:p w:rsidR="00284270" w:rsidRDefault="00284270">
      <w:pPr>
        <w:rPr>
          <w:sz w:val="32"/>
          <w:szCs w:val="32"/>
          <w:rtl/>
        </w:rPr>
      </w:pPr>
      <w:r>
        <w:rPr>
          <w:rFonts w:hint="cs"/>
          <w:b/>
          <w:bCs/>
          <w:sz w:val="32"/>
          <w:szCs w:val="32"/>
          <w:rtl/>
        </w:rPr>
        <w:t>سام</w:t>
      </w:r>
      <w:r>
        <w:rPr>
          <w:rFonts w:hint="cs"/>
          <w:sz w:val="32"/>
          <w:szCs w:val="32"/>
          <w:rtl/>
        </w:rPr>
        <w:tab/>
      </w:r>
      <w:r>
        <w:rPr>
          <w:sz w:val="32"/>
          <w:szCs w:val="32"/>
        </w:rPr>
        <w:tab/>
      </w:r>
      <w:r>
        <w:rPr>
          <w:rFonts w:hint="cs"/>
          <w:sz w:val="32"/>
          <w:szCs w:val="32"/>
          <w:rtl/>
        </w:rPr>
        <w:t xml:space="preserve">: ق233 </w:t>
      </w:r>
      <w:r>
        <w:rPr>
          <w:sz w:val="32"/>
          <w:szCs w:val="32"/>
        </w:rPr>
        <w:tab/>
      </w:r>
      <w:r>
        <w:rPr>
          <w:rFonts w:hint="cs"/>
          <w:sz w:val="32"/>
          <w:szCs w:val="32"/>
          <w:rtl/>
        </w:rPr>
        <w:t xml:space="preserve">: المَقْبُوضُ عَلَى </w:t>
      </w:r>
      <w:r>
        <w:rPr>
          <w:rFonts w:hint="cs"/>
          <w:b/>
          <w:bCs/>
          <w:sz w:val="32"/>
          <w:szCs w:val="32"/>
          <w:rtl/>
        </w:rPr>
        <w:t>سَوْمِ</w:t>
      </w:r>
      <w:r>
        <w:rPr>
          <w:rFonts w:hint="cs"/>
          <w:sz w:val="32"/>
          <w:szCs w:val="32"/>
          <w:rtl/>
        </w:rPr>
        <w:t xml:space="preserve"> الشِّرَاءِ مَضْمُونٌ بِقِيمَتِهِ.</w:t>
      </w:r>
    </w:p>
    <w:p w:rsidR="00284270" w:rsidRDefault="00284270">
      <w:pPr>
        <w:rPr>
          <w:sz w:val="32"/>
          <w:szCs w:val="32"/>
          <w:rtl/>
        </w:rPr>
      </w:pPr>
      <w:r>
        <w:rPr>
          <w:rFonts w:hint="cs"/>
          <w:b/>
          <w:bCs/>
          <w:sz w:val="32"/>
          <w:szCs w:val="32"/>
          <w:rtl/>
        </w:rPr>
        <w:t>سبب</w:t>
      </w:r>
      <w:r>
        <w:rPr>
          <w:rFonts w:hint="cs"/>
          <w:sz w:val="32"/>
          <w:szCs w:val="32"/>
          <w:rtl/>
        </w:rPr>
        <w:tab/>
      </w:r>
      <w:r>
        <w:rPr>
          <w:sz w:val="32"/>
          <w:szCs w:val="32"/>
        </w:rPr>
        <w:tab/>
      </w:r>
      <w:r>
        <w:rPr>
          <w:rFonts w:hint="cs"/>
          <w:sz w:val="32"/>
          <w:szCs w:val="32"/>
          <w:rtl/>
        </w:rPr>
        <w:t xml:space="preserve">: ق8 </w:t>
      </w:r>
      <w:r>
        <w:rPr>
          <w:sz w:val="32"/>
          <w:szCs w:val="32"/>
        </w:rPr>
        <w:tab/>
      </w:r>
      <w:r>
        <w:rPr>
          <w:sz w:val="32"/>
          <w:szCs w:val="32"/>
        </w:rPr>
        <w:tab/>
      </w:r>
      <w:r>
        <w:rPr>
          <w:rFonts w:hint="cs"/>
          <w:sz w:val="32"/>
          <w:szCs w:val="32"/>
          <w:rtl/>
        </w:rPr>
        <w:t xml:space="preserve">: اخِْتلافُ </w:t>
      </w:r>
      <w:r>
        <w:rPr>
          <w:rFonts w:hint="cs"/>
          <w:b/>
          <w:bCs/>
          <w:sz w:val="32"/>
          <w:szCs w:val="32"/>
          <w:rtl/>
        </w:rPr>
        <w:t>الأسْبابِ</w:t>
      </w:r>
      <w:r>
        <w:rPr>
          <w:rFonts w:hint="cs"/>
          <w:sz w:val="32"/>
          <w:szCs w:val="32"/>
          <w:rtl/>
        </w:rPr>
        <w:t xml:space="preserve"> بِمَنْزِلَةِ اختلافِ الأعْيانِ. </w:t>
      </w:r>
    </w:p>
    <w:p w:rsidR="00284270" w:rsidRDefault="00284270" w:rsidP="0022714B">
      <w:pPr>
        <w:ind w:left="2833" w:hanging="2266"/>
        <w:rPr>
          <w:sz w:val="32"/>
          <w:szCs w:val="32"/>
          <w:rtl/>
        </w:rPr>
      </w:pPr>
      <w:r>
        <w:rPr>
          <w:rFonts w:hint="cs"/>
          <w:sz w:val="32"/>
          <w:szCs w:val="32"/>
          <w:rtl/>
        </w:rPr>
        <w:t xml:space="preserve">               ق14 </w:t>
      </w:r>
      <w:r>
        <w:rPr>
          <w:sz w:val="32"/>
          <w:szCs w:val="32"/>
        </w:rPr>
        <w:tab/>
      </w:r>
      <w:r>
        <w:rPr>
          <w:rFonts w:hint="cs"/>
          <w:sz w:val="32"/>
          <w:szCs w:val="32"/>
          <w:rtl/>
        </w:rPr>
        <w:t>: إذَا اجتمعَ المباشرُ و</w:t>
      </w:r>
      <w:r>
        <w:rPr>
          <w:rFonts w:hint="cs"/>
          <w:b/>
          <w:bCs/>
          <w:sz w:val="32"/>
          <w:szCs w:val="32"/>
          <w:rtl/>
        </w:rPr>
        <w:t>المتسبِّبُ</w:t>
      </w:r>
      <w:r>
        <w:rPr>
          <w:rFonts w:hint="cs"/>
          <w:sz w:val="32"/>
          <w:szCs w:val="32"/>
          <w:rtl/>
        </w:rPr>
        <w:t xml:space="preserve"> : أُضيفَ الحكمُ إلى المُبَاشِرِ.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 </w:t>
      </w:r>
      <w:r>
        <w:rPr>
          <w:sz w:val="32"/>
          <w:szCs w:val="32"/>
        </w:rPr>
        <w:tab/>
      </w:r>
      <w:r>
        <w:rPr>
          <w:rFonts w:hint="cs"/>
          <w:sz w:val="32"/>
          <w:szCs w:val="32"/>
          <w:rtl/>
        </w:rPr>
        <w:tab/>
        <w:t xml:space="preserve">: </w:t>
      </w:r>
      <w:r>
        <w:rPr>
          <w:rFonts w:hint="cs"/>
          <w:b/>
          <w:bCs/>
          <w:sz w:val="32"/>
          <w:szCs w:val="32"/>
          <w:rtl/>
        </w:rPr>
        <w:t>الأَسْبَابُ</w:t>
      </w:r>
      <w:r>
        <w:rPr>
          <w:rFonts w:hint="cs"/>
          <w:sz w:val="32"/>
          <w:szCs w:val="32"/>
          <w:rtl/>
        </w:rPr>
        <w:t xml:space="preserve"> مطلوبةٌ للأحكامِ، لا لأعيَانِها. </w:t>
      </w:r>
    </w:p>
    <w:p w:rsidR="00284270" w:rsidRDefault="00284270" w:rsidP="0022714B">
      <w:pPr>
        <w:ind w:left="2833" w:hanging="2266"/>
        <w:rPr>
          <w:sz w:val="32"/>
          <w:szCs w:val="32"/>
          <w:rtl/>
        </w:rPr>
      </w:pPr>
      <w:r>
        <w:rPr>
          <w:rFonts w:hint="cs"/>
          <w:sz w:val="32"/>
          <w:szCs w:val="32"/>
          <w:rtl/>
        </w:rPr>
        <w:t xml:space="preserve">               ق31 </w:t>
      </w:r>
      <w:r>
        <w:rPr>
          <w:sz w:val="32"/>
          <w:szCs w:val="32"/>
        </w:rPr>
        <w:tab/>
      </w:r>
      <w:r>
        <w:rPr>
          <w:rFonts w:hint="cs"/>
          <w:sz w:val="32"/>
          <w:szCs w:val="32"/>
          <w:rtl/>
        </w:rPr>
        <w:t xml:space="preserve">: الأصلُ : أَنَّ كُلَّ تصرُّفٍ يُوقَفُ حُكْمُهُ على شيءٍ : أنْ يُجْعَلَ مُعَلَّقًا بالشَّرْطِ، لا </w:t>
      </w:r>
      <w:r>
        <w:rPr>
          <w:rFonts w:hint="cs"/>
          <w:b/>
          <w:bCs/>
          <w:sz w:val="32"/>
          <w:szCs w:val="32"/>
          <w:rtl/>
        </w:rPr>
        <w:t>سببًا</w:t>
      </w:r>
      <w:r>
        <w:rPr>
          <w:rFonts w:hint="cs"/>
          <w:sz w:val="32"/>
          <w:szCs w:val="32"/>
          <w:rtl/>
        </w:rPr>
        <w:t xml:space="preserve">، إلاَّ فِيمَا لا يَحْتَمِلُ التَّعلِيقَ.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ق53 </w:t>
      </w:r>
      <w:r>
        <w:rPr>
          <w:sz w:val="32"/>
          <w:szCs w:val="32"/>
        </w:rPr>
        <w:tab/>
      </w:r>
      <w:r>
        <w:rPr>
          <w:rFonts w:hint="cs"/>
          <w:sz w:val="32"/>
          <w:szCs w:val="32"/>
          <w:rtl/>
        </w:rPr>
        <w:tab/>
        <w:t xml:space="preserve">: </w:t>
      </w:r>
      <w:r>
        <w:rPr>
          <w:rFonts w:hint="eastAsia"/>
          <w:sz w:val="32"/>
          <w:szCs w:val="32"/>
          <w:rtl/>
        </w:rPr>
        <w:t>ب</w:t>
      </w:r>
      <w:r>
        <w:rPr>
          <w:rFonts w:hint="cs"/>
          <w:sz w:val="32"/>
          <w:szCs w:val="32"/>
          <w:rtl/>
        </w:rPr>
        <w:t>َ</w:t>
      </w:r>
      <w:r>
        <w:rPr>
          <w:rFonts w:hint="eastAsia"/>
          <w:sz w:val="32"/>
          <w:szCs w:val="32"/>
          <w:rtl/>
        </w:rPr>
        <w:t>ق</w:t>
      </w:r>
      <w:r>
        <w:rPr>
          <w:rFonts w:hint="cs"/>
          <w:sz w:val="32"/>
          <w:szCs w:val="32"/>
          <w:rtl/>
        </w:rPr>
        <w:t>َ</w:t>
      </w:r>
      <w:r>
        <w:rPr>
          <w:rFonts w:hint="eastAsia"/>
          <w:sz w:val="32"/>
          <w:szCs w:val="32"/>
          <w:rtl/>
        </w:rPr>
        <w:t>اء</w:t>
      </w:r>
      <w:r>
        <w:rPr>
          <w:rFonts w:hint="cs"/>
          <w:sz w:val="32"/>
          <w:szCs w:val="32"/>
          <w:rtl/>
        </w:rPr>
        <w:t>ُ</w:t>
      </w:r>
      <w:r>
        <w:rPr>
          <w:sz w:val="32"/>
          <w:szCs w:val="32"/>
          <w:rtl/>
        </w:rPr>
        <w:t xml:space="preserve"> الح</w:t>
      </w:r>
      <w:r>
        <w:rPr>
          <w:rFonts w:hint="cs"/>
          <w:sz w:val="32"/>
          <w:szCs w:val="32"/>
          <w:rtl/>
        </w:rPr>
        <w:t>ُ</w:t>
      </w:r>
      <w:r>
        <w:rPr>
          <w:sz w:val="32"/>
          <w:szCs w:val="32"/>
          <w:rtl/>
        </w:rPr>
        <w:t>ك</w:t>
      </w:r>
      <w:r>
        <w:rPr>
          <w:rFonts w:hint="cs"/>
          <w:sz w:val="32"/>
          <w:szCs w:val="32"/>
          <w:rtl/>
        </w:rPr>
        <w:t>ْ</w:t>
      </w:r>
      <w:r>
        <w:rPr>
          <w:sz w:val="32"/>
          <w:szCs w:val="32"/>
          <w:rtl/>
        </w:rPr>
        <w:t>م</w:t>
      </w:r>
      <w:r>
        <w:rPr>
          <w:rFonts w:hint="cs"/>
          <w:sz w:val="32"/>
          <w:szCs w:val="32"/>
          <w:rtl/>
        </w:rPr>
        <w:t>ِ</w:t>
      </w:r>
      <w:r>
        <w:rPr>
          <w:sz w:val="32"/>
          <w:szCs w:val="32"/>
          <w:rtl/>
        </w:rPr>
        <w:t xml:space="preserve"> ي</w:t>
      </w:r>
      <w:r>
        <w:rPr>
          <w:rFonts w:hint="cs"/>
          <w:sz w:val="32"/>
          <w:szCs w:val="32"/>
          <w:rtl/>
        </w:rPr>
        <w:t>َ</w:t>
      </w:r>
      <w:r>
        <w:rPr>
          <w:sz w:val="32"/>
          <w:szCs w:val="32"/>
          <w:rtl/>
        </w:rPr>
        <w:t>س</w:t>
      </w:r>
      <w:r>
        <w:rPr>
          <w:rFonts w:hint="cs"/>
          <w:sz w:val="32"/>
          <w:szCs w:val="32"/>
          <w:rtl/>
        </w:rPr>
        <w:t>ْ</w:t>
      </w:r>
      <w:r>
        <w:rPr>
          <w:sz w:val="32"/>
          <w:szCs w:val="32"/>
          <w:rtl/>
        </w:rPr>
        <w:t>ت</w:t>
      </w:r>
      <w:r>
        <w:rPr>
          <w:rFonts w:hint="cs"/>
          <w:sz w:val="32"/>
          <w:szCs w:val="32"/>
          <w:rtl/>
        </w:rPr>
        <w:t>َغْ</w:t>
      </w:r>
      <w:r>
        <w:rPr>
          <w:sz w:val="32"/>
          <w:szCs w:val="32"/>
          <w:rtl/>
        </w:rPr>
        <w:t>ن</w:t>
      </w:r>
      <w:r>
        <w:rPr>
          <w:rFonts w:hint="cs"/>
          <w:sz w:val="32"/>
          <w:szCs w:val="32"/>
          <w:rtl/>
        </w:rPr>
        <w:t>ِ</w:t>
      </w:r>
      <w:r>
        <w:rPr>
          <w:sz w:val="32"/>
          <w:szCs w:val="32"/>
          <w:rtl/>
        </w:rPr>
        <w:t xml:space="preserve">ي </w:t>
      </w:r>
      <w:r>
        <w:rPr>
          <w:rFonts w:hint="eastAsia"/>
          <w:sz w:val="32"/>
          <w:szCs w:val="32"/>
          <w:rtl/>
        </w:rPr>
        <w:t>ع</w:t>
      </w:r>
      <w:r>
        <w:rPr>
          <w:rFonts w:hint="cs"/>
          <w:sz w:val="32"/>
          <w:szCs w:val="32"/>
          <w:rtl/>
        </w:rPr>
        <w:t>َ</w:t>
      </w:r>
      <w:r>
        <w:rPr>
          <w:rFonts w:hint="eastAsia"/>
          <w:sz w:val="32"/>
          <w:szCs w:val="32"/>
          <w:rtl/>
        </w:rPr>
        <w:t>ن</w:t>
      </w:r>
      <w:r>
        <w:rPr>
          <w:rFonts w:hint="cs"/>
          <w:sz w:val="32"/>
          <w:szCs w:val="32"/>
          <w:rtl/>
        </w:rPr>
        <w:t>ْ</w:t>
      </w:r>
      <w:r>
        <w:rPr>
          <w:sz w:val="32"/>
          <w:szCs w:val="32"/>
          <w:rtl/>
        </w:rPr>
        <w:t xml:space="preserve"> ب</w:t>
      </w:r>
      <w:r>
        <w:rPr>
          <w:rFonts w:hint="cs"/>
          <w:sz w:val="32"/>
          <w:szCs w:val="32"/>
          <w:rtl/>
        </w:rPr>
        <w:t>َ</w:t>
      </w:r>
      <w:r>
        <w:rPr>
          <w:sz w:val="32"/>
          <w:szCs w:val="32"/>
          <w:rtl/>
        </w:rPr>
        <w:t>ق</w:t>
      </w:r>
      <w:r>
        <w:rPr>
          <w:rFonts w:hint="cs"/>
          <w:sz w:val="32"/>
          <w:szCs w:val="32"/>
          <w:rtl/>
        </w:rPr>
        <w:t>َ</w:t>
      </w:r>
      <w:r>
        <w:rPr>
          <w:sz w:val="32"/>
          <w:szCs w:val="32"/>
          <w:rtl/>
        </w:rPr>
        <w:t>اء</w:t>
      </w:r>
      <w:r>
        <w:rPr>
          <w:rFonts w:hint="cs"/>
          <w:sz w:val="32"/>
          <w:szCs w:val="32"/>
          <w:rtl/>
        </w:rPr>
        <w:t>ِ</w:t>
      </w:r>
      <w:r>
        <w:rPr>
          <w:sz w:val="32"/>
          <w:szCs w:val="32"/>
          <w:rtl/>
        </w:rPr>
        <w:t xml:space="preserve"> </w:t>
      </w:r>
      <w:r>
        <w:rPr>
          <w:b/>
          <w:bCs/>
          <w:sz w:val="32"/>
          <w:szCs w:val="32"/>
          <w:rtl/>
        </w:rPr>
        <w:t>الس</w:t>
      </w:r>
      <w:r>
        <w:rPr>
          <w:rFonts w:hint="cs"/>
          <w:b/>
          <w:bCs/>
          <w:sz w:val="32"/>
          <w:szCs w:val="32"/>
          <w:rtl/>
        </w:rPr>
        <w:t>َّ</w:t>
      </w:r>
      <w:r>
        <w:rPr>
          <w:b/>
          <w:bCs/>
          <w:sz w:val="32"/>
          <w:szCs w:val="32"/>
          <w:rtl/>
        </w:rPr>
        <w:t>ب</w:t>
      </w:r>
      <w:r>
        <w:rPr>
          <w:rFonts w:hint="cs"/>
          <w:b/>
          <w:bCs/>
          <w:sz w:val="32"/>
          <w:szCs w:val="32"/>
          <w:rtl/>
        </w:rPr>
        <w:t>َ</w:t>
      </w:r>
      <w:r>
        <w:rPr>
          <w:b/>
          <w:bCs/>
          <w:sz w:val="32"/>
          <w:szCs w:val="32"/>
          <w:rtl/>
        </w:rPr>
        <w:t>ب</w:t>
      </w:r>
      <w:r>
        <w:rPr>
          <w:rFonts w:hint="cs"/>
          <w:b/>
          <w:bCs/>
          <w:sz w:val="32"/>
          <w:szCs w:val="32"/>
          <w:rtl/>
        </w:rPr>
        <w:t>ِ</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ق68 </w:t>
      </w:r>
      <w:r>
        <w:rPr>
          <w:sz w:val="32"/>
          <w:szCs w:val="32"/>
        </w:rPr>
        <w:tab/>
      </w:r>
      <w:r>
        <w:rPr>
          <w:rFonts w:hint="cs"/>
          <w:sz w:val="32"/>
          <w:szCs w:val="32"/>
          <w:rtl/>
        </w:rPr>
        <w:tab/>
        <w:t xml:space="preserve">: تَبَدُّلُ </w:t>
      </w:r>
      <w:r>
        <w:rPr>
          <w:rFonts w:hint="cs"/>
          <w:b/>
          <w:bCs/>
          <w:sz w:val="32"/>
          <w:szCs w:val="32"/>
          <w:rtl/>
        </w:rPr>
        <w:t>سببِ</w:t>
      </w:r>
      <w:r>
        <w:rPr>
          <w:rFonts w:hint="cs"/>
          <w:sz w:val="32"/>
          <w:szCs w:val="32"/>
          <w:rtl/>
        </w:rPr>
        <w:t xml:space="preserve"> المِلْكِ قائمٌ مقامَ تبدُّلِ الذَّاتِ.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ق105 </w:t>
      </w:r>
      <w:r>
        <w:rPr>
          <w:sz w:val="32"/>
          <w:szCs w:val="32"/>
        </w:rPr>
        <w:tab/>
      </w:r>
      <w:r>
        <w:rPr>
          <w:rFonts w:hint="cs"/>
          <w:sz w:val="32"/>
          <w:szCs w:val="32"/>
          <w:rtl/>
        </w:rPr>
        <w:t xml:space="preserve">: جَهَالة </w:t>
      </w:r>
      <w:r>
        <w:rPr>
          <w:rFonts w:hint="cs"/>
          <w:b/>
          <w:bCs/>
          <w:sz w:val="32"/>
          <w:szCs w:val="32"/>
          <w:rtl/>
        </w:rPr>
        <w:t>السَّبَبِ</w:t>
      </w:r>
      <w:r>
        <w:rPr>
          <w:rFonts w:hint="cs"/>
          <w:sz w:val="32"/>
          <w:szCs w:val="32"/>
          <w:rtl/>
        </w:rPr>
        <w:t xml:space="preserve"> لاَ يُعتبرُ عندَ تَيَقُّنِ مَنْ لَهُ الحَقُّ.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ق138 </w:t>
      </w:r>
      <w:r>
        <w:rPr>
          <w:sz w:val="32"/>
          <w:szCs w:val="32"/>
        </w:rPr>
        <w:tab/>
      </w:r>
      <w:r>
        <w:rPr>
          <w:rFonts w:hint="cs"/>
          <w:sz w:val="32"/>
          <w:szCs w:val="32"/>
          <w:rtl/>
        </w:rPr>
        <w:t xml:space="preserve">: </w:t>
      </w:r>
      <w:r>
        <w:rPr>
          <w:rFonts w:hint="cs"/>
          <w:b/>
          <w:bCs/>
          <w:sz w:val="32"/>
          <w:szCs w:val="32"/>
          <w:rtl/>
        </w:rPr>
        <w:t>السَّبَبُ</w:t>
      </w:r>
      <w:r>
        <w:rPr>
          <w:rFonts w:hint="cs"/>
          <w:sz w:val="32"/>
          <w:szCs w:val="32"/>
          <w:rtl/>
        </w:rPr>
        <w:t xml:space="preserve"> يُسْتَعَارُ </w:t>
      </w:r>
      <w:r>
        <w:rPr>
          <w:rFonts w:hint="cs"/>
          <w:b/>
          <w:bCs/>
          <w:sz w:val="32"/>
          <w:szCs w:val="32"/>
          <w:rtl/>
        </w:rPr>
        <w:t>للمُسَبَّبِ</w:t>
      </w:r>
      <w:r>
        <w:rPr>
          <w:rFonts w:hint="cs"/>
          <w:sz w:val="32"/>
          <w:szCs w:val="32"/>
          <w:rtl/>
        </w:rPr>
        <w:t xml:space="preserve"> دُونَ عَكْسِهِ.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ق207 </w:t>
      </w:r>
      <w:r>
        <w:rPr>
          <w:sz w:val="32"/>
          <w:szCs w:val="32"/>
        </w:rPr>
        <w:tab/>
      </w:r>
      <w:r>
        <w:rPr>
          <w:rFonts w:hint="cs"/>
          <w:sz w:val="32"/>
          <w:szCs w:val="32"/>
          <w:rtl/>
        </w:rPr>
        <w:t xml:space="preserve">: لاَ عِبْرَةَ لاختلافِ </w:t>
      </w:r>
      <w:r>
        <w:rPr>
          <w:rFonts w:hint="cs"/>
          <w:b/>
          <w:bCs/>
          <w:sz w:val="32"/>
          <w:szCs w:val="32"/>
          <w:rtl/>
        </w:rPr>
        <w:t>السَّبَبِ</w:t>
      </w:r>
      <w:r>
        <w:rPr>
          <w:rFonts w:hint="cs"/>
          <w:sz w:val="32"/>
          <w:szCs w:val="32"/>
          <w:rtl/>
        </w:rPr>
        <w:t xml:space="preserve"> مع اتّحادِ الحُكْمِ.</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ق193 </w:t>
      </w:r>
      <w:r>
        <w:rPr>
          <w:sz w:val="32"/>
          <w:szCs w:val="32"/>
        </w:rPr>
        <w:tab/>
      </w:r>
      <w:r>
        <w:rPr>
          <w:rFonts w:hint="cs"/>
          <w:sz w:val="32"/>
          <w:szCs w:val="32"/>
          <w:rtl/>
        </w:rPr>
        <w:t xml:space="preserve">: لا يُبَالَى باختلافِ </w:t>
      </w:r>
      <w:r>
        <w:rPr>
          <w:rFonts w:hint="cs"/>
          <w:b/>
          <w:bCs/>
          <w:sz w:val="32"/>
          <w:szCs w:val="32"/>
          <w:rtl/>
        </w:rPr>
        <w:t>الأَسْبَابِ</w:t>
      </w:r>
      <w:r>
        <w:rPr>
          <w:rFonts w:hint="cs"/>
          <w:sz w:val="32"/>
          <w:szCs w:val="32"/>
          <w:rtl/>
        </w:rPr>
        <w:t xml:space="preserve"> عندَ سَلاَمَةِ المَقْصُودِ.</w:t>
      </w:r>
    </w:p>
    <w:p w:rsidR="00284270" w:rsidRDefault="00284270" w:rsidP="0022714B">
      <w:pPr>
        <w:ind w:left="2833" w:hanging="2266"/>
        <w:rPr>
          <w:sz w:val="32"/>
          <w:szCs w:val="32"/>
          <w:rtl/>
        </w:rPr>
      </w:pPr>
      <w:r>
        <w:rPr>
          <w:rFonts w:hint="cs"/>
          <w:sz w:val="32"/>
          <w:szCs w:val="32"/>
          <w:rtl/>
        </w:rPr>
        <w:t xml:space="preserve">               ق225 </w:t>
      </w:r>
      <w:r>
        <w:rPr>
          <w:sz w:val="32"/>
          <w:szCs w:val="32"/>
        </w:rPr>
        <w:tab/>
      </w:r>
      <w:r>
        <w:rPr>
          <w:rFonts w:hint="cs"/>
          <w:sz w:val="32"/>
          <w:szCs w:val="32"/>
          <w:rtl/>
        </w:rPr>
        <w:t>: المُبَاشِرُ ضَامِنٌ وإِنْ لَمْ يَتَعَمَّدْ, و</w:t>
      </w:r>
      <w:r>
        <w:rPr>
          <w:rFonts w:hint="cs"/>
          <w:b/>
          <w:bCs/>
          <w:sz w:val="32"/>
          <w:szCs w:val="32"/>
          <w:rtl/>
        </w:rPr>
        <w:t>المُسَبِّبُ</w:t>
      </w:r>
      <w:r>
        <w:rPr>
          <w:rFonts w:hint="cs"/>
          <w:sz w:val="32"/>
          <w:szCs w:val="32"/>
          <w:rtl/>
        </w:rPr>
        <w:t xml:space="preserve"> لا إلاّ إذَا كَانَ مُتَعَمِّدًا.</w:t>
      </w:r>
    </w:p>
    <w:p w:rsidR="00284270" w:rsidRDefault="00284270" w:rsidP="0022714B">
      <w:pPr>
        <w:rPr>
          <w:sz w:val="32"/>
          <w:szCs w:val="32"/>
          <w:rtl/>
        </w:rPr>
      </w:pPr>
      <w:r>
        <w:rPr>
          <w:rFonts w:hint="cs"/>
          <w:b/>
          <w:bCs/>
          <w:sz w:val="32"/>
          <w:szCs w:val="32"/>
          <w:rtl/>
        </w:rPr>
        <w:t>سعى</w:t>
      </w:r>
      <w:r>
        <w:rPr>
          <w:rFonts w:hint="cs"/>
          <w:sz w:val="32"/>
          <w:szCs w:val="32"/>
          <w:rtl/>
        </w:rPr>
        <w:tab/>
      </w:r>
      <w:r>
        <w:rPr>
          <w:sz w:val="32"/>
          <w:szCs w:val="32"/>
        </w:rPr>
        <w:tab/>
      </w:r>
      <w:r>
        <w:rPr>
          <w:rFonts w:hint="cs"/>
          <w:sz w:val="32"/>
          <w:szCs w:val="32"/>
          <w:rtl/>
        </w:rPr>
        <w:t xml:space="preserve">  ق235 </w:t>
      </w:r>
      <w:r>
        <w:rPr>
          <w:sz w:val="32"/>
          <w:szCs w:val="32"/>
        </w:rPr>
        <w:tab/>
      </w:r>
      <w:r>
        <w:rPr>
          <w:rFonts w:hint="cs"/>
          <w:sz w:val="32"/>
          <w:szCs w:val="32"/>
          <w:rtl/>
        </w:rPr>
        <w:t xml:space="preserve">: مَنْ </w:t>
      </w:r>
      <w:r>
        <w:rPr>
          <w:rFonts w:hint="cs"/>
          <w:b/>
          <w:bCs/>
          <w:sz w:val="32"/>
          <w:szCs w:val="32"/>
          <w:rtl/>
        </w:rPr>
        <w:t>سَعَى</w:t>
      </w:r>
      <w:r>
        <w:rPr>
          <w:rFonts w:hint="cs"/>
          <w:sz w:val="32"/>
          <w:szCs w:val="32"/>
          <w:rtl/>
        </w:rPr>
        <w:t xml:space="preserve"> فِي نَقْضِ مَا تمَّ مِنْ جِهَتِهِ </w:t>
      </w:r>
      <w:r>
        <w:rPr>
          <w:rFonts w:hint="cs"/>
          <w:b/>
          <w:bCs/>
          <w:sz w:val="32"/>
          <w:szCs w:val="32"/>
          <w:rtl/>
        </w:rPr>
        <w:t>فَسَعْيُهُ</w:t>
      </w:r>
      <w:r>
        <w:rPr>
          <w:rFonts w:hint="cs"/>
          <w:sz w:val="32"/>
          <w:szCs w:val="32"/>
          <w:rtl/>
        </w:rPr>
        <w:t xml:space="preserve"> مَرْدُودٌ عَلَيْهِ.</w:t>
      </w:r>
    </w:p>
    <w:p w:rsidR="00284270" w:rsidRDefault="00284270">
      <w:pPr>
        <w:rPr>
          <w:sz w:val="32"/>
          <w:szCs w:val="32"/>
          <w:rtl/>
        </w:rPr>
      </w:pPr>
      <w:r>
        <w:rPr>
          <w:rFonts w:hint="cs"/>
          <w:b/>
          <w:bCs/>
          <w:sz w:val="32"/>
          <w:szCs w:val="32"/>
          <w:rtl/>
        </w:rPr>
        <w:t>سقط</w:t>
      </w:r>
      <w:r>
        <w:rPr>
          <w:rFonts w:hint="cs"/>
          <w:sz w:val="32"/>
          <w:szCs w:val="32"/>
          <w:rtl/>
        </w:rPr>
        <w:tab/>
      </w:r>
      <w:r>
        <w:rPr>
          <w:sz w:val="32"/>
          <w:szCs w:val="32"/>
        </w:rPr>
        <w:tab/>
      </w:r>
      <w:r>
        <w:rPr>
          <w:rFonts w:hint="cs"/>
          <w:sz w:val="32"/>
          <w:szCs w:val="32"/>
          <w:rtl/>
        </w:rPr>
        <w:t xml:space="preserve">: ق64 </w:t>
      </w:r>
      <w:r>
        <w:rPr>
          <w:sz w:val="32"/>
          <w:szCs w:val="32"/>
        </w:rPr>
        <w:tab/>
      </w:r>
      <w:r>
        <w:rPr>
          <w:rFonts w:hint="cs"/>
          <w:sz w:val="32"/>
          <w:szCs w:val="32"/>
          <w:rtl/>
        </w:rPr>
        <w:tab/>
        <w:t xml:space="preserve">: التَّابعُ </w:t>
      </w:r>
      <w:r>
        <w:rPr>
          <w:rFonts w:hint="cs"/>
          <w:b/>
          <w:bCs/>
          <w:sz w:val="32"/>
          <w:szCs w:val="32"/>
          <w:rtl/>
        </w:rPr>
        <w:t>يَسْقُطُ بسقوطِ</w:t>
      </w:r>
      <w:r>
        <w:rPr>
          <w:rFonts w:hint="cs"/>
          <w:sz w:val="32"/>
          <w:szCs w:val="32"/>
          <w:rtl/>
        </w:rPr>
        <w:t xml:space="preserve"> المتبُوعِ. </w:t>
      </w:r>
    </w:p>
    <w:p w:rsidR="00284270" w:rsidRDefault="00284270" w:rsidP="0022714B">
      <w:pPr>
        <w:ind w:left="2833" w:hanging="2266"/>
        <w:rPr>
          <w:sz w:val="32"/>
          <w:szCs w:val="32"/>
          <w:rtl/>
        </w:rPr>
      </w:pPr>
      <w:r>
        <w:rPr>
          <w:rFonts w:hint="cs"/>
          <w:sz w:val="32"/>
          <w:szCs w:val="32"/>
          <w:rtl/>
        </w:rPr>
        <w:t xml:space="preserve">               ق67 </w:t>
      </w:r>
      <w:r>
        <w:rPr>
          <w:sz w:val="32"/>
          <w:szCs w:val="32"/>
        </w:rPr>
        <w:tab/>
      </w:r>
      <w:r>
        <w:rPr>
          <w:rFonts w:hint="cs"/>
          <w:sz w:val="32"/>
          <w:szCs w:val="32"/>
          <w:rtl/>
        </w:rPr>
        <w:t xml:space="preserve">: تَأكيدُ مَا كانَ على شَرَفِ </w:t>
      </w:r>
      <w:r>
        <w:rPr>
          <w:rFonts w:hint="cs"/>
          <w:b/>
          <w:bCs/>
          <w:sz w:val="32"/>
          <w:szCs w:val="32"/>
          <w:rtl/>
        </w:rPr>
        <w:t>السُّقُوطِ</w:t>
      </w:r>
      <w:r>
        <w:rPr>
          <w:rFonts w:hint="cs"/>
          <w:sz w:val="32"/>
          <w:szCs w:val="32"/>
          <w:rtl/>
        </w:rPr>
        <w:t xml:space="preserve"> يجرِي مجرَى الإتْلاَفِ في إيجابِ الضَّمانِ. </w:t>
      </w:r>
    </w:p>
    <w:p w:rsidR="00284270" w:rsidRDefault="00284270" w:rsidP="0022714B">
      <w:pPr>
        <w:ind w:left="2833" w:hanging="2266"/>
        <w:rPr>
          <w:sz w:val="32"/>
          <w:szCs w:val="32"/>
          <w:rtl/>
        </w:rPr>
      </w:pPr>
      <w:r>
        <w:rPr>
          <w:rFonts w:hint="cs"/>
          <w:sz w:val="32"/>
          <w:szCs w:val="32"/>
          <w:rtl/>
        </w:rPr>
        <w:t xml:space="preserve">               ق106 </w:t>
      </w:r>
      <w:r>
        <w:rPr>
          <w:sz w:val="32"/>
          <w:szCs w:val="32"/>
        </w:rPr>
        <w:tab/>
      </w:r>
      <w:r>
        <w:rPr>
          <w:rFonts w:hint="cs"/>
          <w:sz w:val="32"/>
          <w:szCs w:val="32"/>
          <w:rtl/>
        </w:rPr>
        <w:t xml:space="preserve">: جهالةُ </w:t>
      </w:r>
      <w:r>
        <w:rPr>
          <w:rFonts w:hint="cs"/>
          <w:b/>
          <w:bCs/>
          <w:sz w:val="32"/>
          <w:szCs w:val="32"/>
          <w:rtl/>
        </w:rPr>
        <w:t>السّاقطِ</w:t>
      </w:r>
      <w:r>
        <w:rPr>
          <w:rFonts w:hint="cs"/>
          <w:sz w:val="32"/>
          <w:szCs w:val="32"/>
          <w:rtl/>
        </w:rPr>
        <w:t xml:space="preserve"> لا تمنعُ صِحَّةَ العقدِ؛ لأنَّهَا لا تُفضِي إلى المنازَعَةِ.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ق137 </w:t>
      </w:r>
      <w:r>
        <w:rPr>
          <w:sz w:val="32"/>
          <w:szCs w:val="32"/>
        </w:rPr>
        <w:tab/>
      </w:r>
      <w:r>
        <w:rPr>
          <w:rFonts w:hint="cs"/>
          <w:sz w:val="32"/>
          <w:szCs w:val="32"/>
          <w:rtl/>
        </w:rPr>
        <w:t xml:space="preserve">: </w:t>
      </w:r>
      <w:r>
        <w:rPr>
          <w:rFonts w:hint="cs"/>
          <w:b/>
          <w:bCs/>
          <w:sz w:val="32"/>
          <w:szCs w:val="32"/>
          <w:rtl/>
        </w:rPr>
        <w:t>السَّاقِطُ</w:t>
      </w:r>
      <w:r>
        <w:rPr>
          <w:rFonts w:hint="cs"/>
          <w:sz w:val="32"/>
          <w:szCs w:val="32"/>
          <w:rtl/>
        </w:rPr>
        <w:t xml:space="preserve"> لاَ يَعُوْدُ.</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ق262 </w:t>
      </w:r>
      <w:r>
        <w:rPr>
          <w:sz w:val="32"/>
          <w:szCs w:val="32"/>
        </w:rPr>
        <w:tab/>
      </w:r>
      <w:r>
        <w:rPr>
          <w:rFonts w:hint="cs"/>
          <w:sz w:val="32"/>
          <w:szCs w:val="32"/>
          <w:rtl/>
        </w:rPr>
        <w:t xml:space="preserve">: </w:t>
      </w:r>
      <w:r>
        <w:rPr>
          <w:rFonts w:hint="cs"/>
          <w:b/>
          <w:bCs/>
          <w:sz w:val="32"/>
          <w:szCs w:val="32"/>
          <w:rtl/>
        </w:rPr>
        <w:t>يَسْقُطُ</w:t>
      </w:r>
      <w:r>
        <w:rPr>
          <w:rFonts w:hint="cs"/>
          <w:sz w:val="32"/>
          <w:szCs w:val="32"/>
          <w:rtl/>
        </w:rPr>
        <w:t xml:space="preserve"> الفَرْعُ إذا </w:t>
      </w:r>
      <w:r>
        <w:rPr>
          <w:rFonts w:hint="cs"/>
          <w:b/>
          <w:bCs/>
          <w:sz w:val="32"/>
          <w:szCs w:val="32"/>
          <w:rtl/>
        </w:rPr>
        <w:t>سَقَطَ</w:t>
      </w:r>
      <w:r>
        <w:rPr>
          <w:rFonts w:hint="cs"/>
          <w:sz w:val="32"/>
          <w:szCs w:val="32"/>
          <w:rtl/>
        </w:rPr>
        <w:t xml:space="preserve"> الأَصْلُ.</w:t>
      </w:r>
    </w:p>
    <w:p w:rsidR="00284270" w:rsidRDefault="00284270">
      <w:pPr>
        <w:rPr>
          <w:sz w:val="32"/>
          <w:szCs w:val="32"/>
          <w:rtl/>
        </w:rPr>
      </w:pPr>
      <w:r>
        <w:rPr>
          <w:rFonts w:hint="cs"/>
          <w:b/>
          <w:bCs/>
          <w:sz w:val="32"/>
          <w:szCs w:val="32"/>
          <w:rtl/>
        </w:rPr>
        <w:t>سكت</w:t>
      </w:r>
      <w:r>
        <w:rPr>
          <w:rFonts w:hint="cs"/>
          <w:sz w:val="32"/>
          <w:szCs w:val="32"/>
          <w:rtl/>
        </w:rPr>
        <w:t xml:space="preserve"> </w:t>
      </w:r>
      <w:r>
        <w:rPr>
          <w:rFonts w:hint="cs"/>
          <w:sz w:val="32"/>
          <w:szCs w:val="32"/>
          <w:rtl/>
        </w:rPr>
        <w:tab/>
      </w:r>
      <w:r>
        <w:rPr>
          <w:rFonts w:hint="cs"/>
          <w:sz w:val="32"/>
          <w:szCs w:val="32"/>
          <w:rtl/>
        </w:rPr>
        <w:tab/>
        <w:t xml:space="preserve">: ق142 </w:t>
      </w:r>
      <w:r>
        <w:rPr>
          <w:sz w:val="32"/>
          <w:szCs w:val="32"/>
        </w:rPr>
        <w:tab/>
      </w:r>
      <w:r>
        <w:rPr>
          <w:rFonts w:hint="cs"/>
          <w:sz w:val="32"/>
          <w:szCs w:val="32"/>
          <w:rtl/>
        </w:rPr>
        <w:t xml:space="preserve">: </w:t>
      </w:r>
      <w:r>
        <w:rPr>
          <w:rFonts w:hint="cs"/>
          <w:b/>
          <w:bCs/>
          <w:sz w:val="32"/>
          <w:szCs w:val="32"/>
          <w:rtl/>
        </w:rPr>
        <w:t>السُّكُوتُ</w:t>
      </w:r>
      <w:r>
        <w:rPr>
          <w:rFonts w:hint="cs"/>
          <w:sz w:val="32"/>
          <w:szCs w:val="32"/>
          <w:rtl/>
        </w:rPr>
        <w:t xml:space="preserve"> عَنِ التَّبَعِ لاَ يُوجِبُ فَسَادَ العَقْدِ فِي الأَصْلِ.</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ق143 </w:t>
      </w:r>
      <w:r>
        <w:rPr>
          <w:sz w:val="32"/>
          <w:szCs w:val="32"/>
        </w:rPr>
        <w:tab/>
      </w:r>
      <w:r>
        <w:rPr>
          <w:rFonts w:hint="cs"/>
          <w:sz w:val="32"/>
          <w:szCs w:val="32"/>
          <w:rtl/>
        </w:rPr>
        <w:t xml:space="preserve">: </w:t>
      </w:r>
      <w:r>
        <w:rPr>
          <w:rFonts w:hint="cs"/>
          <w:b/>
          <w:bCs/>
          <w:sz w:val="32"/>
          <w:szCs w:val="32"/>
          <w:rtl/>
        </w:rPr>
        <w:t>السُّكُوتُ</w:t>
      </w:r>
      <w:r>
        <w:rPr>
          <w:rFonts w:hint="cs"/>
          <w:sz w:val="32"/>
          <w:szCs w:val="32"/>
          <w:rtl/>
        </w:rPr>
        <w:t xml:space="preserve"> فِي مَوْضِعِ الحَاجَةِ إلى البَيَانِ تَمَامُ البَيَانِ.</w:t>
      </w:r>
    </w:p>
    <w:p w:rsidR="00284270" w:rsidRDefault="00284270">
      <w:pPr>
        <w:rPr>
          <w:sz w:val="32"/>
          <w:szCs w:val="32"/>
          <w:rtl/>
        </w:rPr>
      </w:pPr>
      <w:r>
        <w:rPr>
          <w:rFonts w:hint="cs"/>
          <w:b/>
          <w:bCs/>
          <w:sz w:val="32"/>
          <w:szCs w:val="32"/>
          <w:rtl/>
        </w:rPr>
        <w:t>سلب</w:t>
      </w:r>
      <w:r>
        <w:rPr>
          <w:rFonts w:hint="cs"/>
          <w:sz w:val="32"/>
          <w:szCs w:val="32"/>
          <w:rtl/>
        </w:rPr>
        <w:tab/>
      </w:r>
      <w:r>
        <w:rPr>
          <w:sz w:val="32"/>
          <w:szCs w:val="32"/>
        </w:rPr>
        <w:tab/>
      </w:r>
      <w:r>
        <w:rPr>
          <w:rFonts w:hint="cs"/>
          <w:sz w:val="32"/>
          <w:szCs w:val="32"/>
          <w:rtl/>
        </w:rPr>
        <w:t xml:space="preserve">: ق57 </w:t>
      </w:r>
      <w:r>
        <w:rPr>
          <w:sz w:val="32"/>
          <w:szCs w:val="32"/>
        </w:rPr>
        <w:tab/>
      </w:r>
      <w:r>
        <w:rPr>
          <w:rFonts w:hint="cs"/>
          <w:sz w:val="32"/>
          <w:szCs w:val="32"/>
          <w:rtl/>
        </w:rPr>
        <w:tab/>
        <w:t xml:space="preserve">: </w:t>
      </w:r>
      <w:r>
        <w:rPr>
          <w:rFonts w:hint="eastAsia"/>
          <w:sz w:val="32"/>
          <w:szCs w:val="32"/>
          <w:rtl/>
        </w:rPr>
        <w:t>البيع</w:t>
      </w:r>
      <w:r>
        <w:rPr>
          <w:rFonts w:hint="cs"/>
          <w:sz w:val="32"/>
          <w:szCs w:val="32"/>
          <w:rtl/>
        </w:rPr>
        <w:t>ُ</w:t>
      </w:r>
      <w:r>
        <w:rPr>
          <w:sz w:val="32"/>
          <w:szCs w:val="32"/>
          <w:rtl/>
        </w:rPr>
        <w:t xml:space="preserve"> </w:t>
      </w:r>
      <w:r>
        <w:rPr>
          <w:b/>
          <w:bCs/>
          <w:sz w:val="32"/>
          <w:szCs w:val="32"/>
          <w:rtl/>
        </w:rPr>
        <w:t>س</w:t>
      </w:r>
      <w:r>
        <w:rPr>
          <w:rFonts w:hint="cs"/>
          <w:b/>
          <w:bCs/>
          <w:sz w:val="32"/>
          <w:szCs w:val="32"/>
          <w:rtl/>
        </w:rPr>
        <w:t>َ</w:t>
      </w:r>
      <w:r>
        <w:rPr>
          <w:b/>
          <w:bCs/>
          <w:sz w:val="32"/>
          <w:szCs w:val="32"/>
          <w:rtl/>
        </w:rPr>
        <w:t>ال</w:t>
      </w:r>
      <w:r>
        <w:rPr>
          <w:rFonts w:hint="cs"/>
          <w:b/>
          <w:bCs/>
          <w:sz w:val="32"/>
          <w:szCs w:val="32"/>
          <w:rtl/>
        </w:rPr>
        <w:t>ِ</w:t>
      </w:r>
      <w:r>
        <w:rPr>
          <w:b/>
          <w:bCs/>
          <w:sz w:val="32"/>
          <w:szCs w:val="32"/>
          <w:rtl/>
        </w:rPr>
        <w:t>بٌ</w:t>
      </w:r>
      <w:r>
        <w:rPr>
          <w:sz w:val="32"/>
          <w:szCs w:val="32"/>
          <w:rtl/>
        </w:rPr>
        <w:t xml:space="preserve"> للم</w:t>
      </w:r>
      <w:r>
        <w:rPr>
          <w:rFonts w:hint="cs"/>
          <w:sz w:val="32"/>
          <w:szCs w:val="32"/>
          <w:rtl/>
        </w:rPr>
        <w:t>ِ</w:t>
      </w:r>
      <w:r>
        <w:rPr>
          <w:sz w:val="32"/>
          <w:szCs w:val="32"/>
          <w:rtl/>
        </w:rPr>
        <w:t>ل</w:t>
      </w:r>
      <w:r>
        <w:rPr>
          <w:rFonts w:hint="cs"/>
          <w:sz w:val="32"/>
          <w:szCs w:val="32"/>
          <w:rtl/>
        </w:rPr>
        <w:t>ْ</w:t>
      </w:r>
      <w:r>
        <w:rPr>
          <w:sz w:val="32"/>
          <w:szCs w:val="32"/>
          <w:rtl/>
        </w:rPr>
        <w:t>ك</w:t>
      </w:r>
      <w:r>
        <w:rPr>
          <w:rFonts w:hint="cs"/>
          <w:sz w:val="32"/>
          <w:szCs w:val="32"/>
          <w:rtl/>
        </w:rPr>
        <w:t>ِ</w:t>
      </w:r>
      <w:r>
        <w:rPr>
          <w:sz w:val="32"/>
          <w:szCs w:val="32"/>
          <w:rtl/>
        </w:rPr>
        <w:t xml:space="preserve">، </w:t>
      </w:r>
      <w:r>
        <w:rPr>
          <w:rFonts w:hint="eastAsia"/>
          <w:sz w:val="32"/>
          <w:szCs w:val="32"/>
          <w:rtl/>
        </w:rPr>
        <w:t>والش</w:t>
      </w:r>
      <w:r>
        <w:rPr>
          <w:rFonts w:hint="cs"/>
          <w:sz w:val="32"/>
          <w:szCs w:val="32"/>
          <w:rtl/>
        </w:rPr>
        <w:t>ِّ</w:t>
      </w:r>
      <w:r>
        <w:rPr>
          <w:rFonts w:hint="eastAsia"/>
          <w:sz w:val="32"/>
          <w:szCs w:val="32"/>
          <w:rtl/>
        </w:rPr>
        <w:t>ر</w:t>
      </w:r>
      <w:r>
        <w:rPr>
          <w:rFonts w:hint="cs"/>
          <w:sz w:val="32"/>
          <w:szCs w:val="32"/>
          <w:rtl/>
        </w:rPr>
        <w:t>َ</w:t>
      </w:r>
      <w:r>
        <w:rPr>
          <w:rFonts w:hint="eastAsia"/>
          <w:sz w:val="32"/>
          <w:szCs w:val="32"/>
          <w:rtl/>
        </w:rPr>
        <w:t>اء</w:t>
      </w:r>
      <w:r>
        <w:rPr>
          <w:rFonts w:hint="cs"/>
          <w:sz w:val="32"/>
          <w:szCs w:val="32"/>
          <w:rtl/>
        </w:rPr>
        <w:t>ُ</w:t>
      </w:r>
      <w:r>
        <w:rPr>
          <w:sz w:val="32"/>
          <w:szCs w:val="32"/>
          <w:rtl/>
        </w:rPr>
        <w:t xml:space="preserve"> ج</w:t>
      </w:r>
      <w:r>
        <w:rPr>
          <w:rFonts w:hint="cs"/>
          <w:sz w:val="32"/>
          <w:szCs w:val="32"/>
          <w:rtl/>
        </w:rPr>
        <w:t>َ</w:t>
      </w:r>
      <w:r>
        <w:rPr>
          <w:sz w:val="32"/>
          <w:szCs w:val="32"/>
          <w:rtl/>
        </w:rPr>
        <w:t>ال</w:t>
      </w:r>
      <w:r>
        <w:rPr>
          <w:rFonts w:hint="cs"/>
          <w:sz w:val="32"/>
          <w:szCs w:val="32"/>
          <w:rtl/>
        </w:rPr>
        <w:t>ِ</w:t>
      </w:r>
      <w:r>
        <w:rPr>
          <w:sz w:val="32"/>
          <w:szCs w:val="32"/>
          <w:rtl/>
        </w:rPr>
        <w:t>ب</w:t>
      </w:r>
      <w:r>
        <w:rPr>
          <w:rFonts w:hint="cs"/>
          <w:sz w:val="32"/>
          <w:szCs w:val="32"/>
          <w:rtl/>
        </w:rPr>
        <w:t xml:space="preserve">ٌ. </w:t>
      </w:r>
    </w:p>
    <w:p w:rsidR="00284270" w:rsidRDefault="00284270">
      <w:pPr>
        <w:rPr>
          <w:sz w:val="32"/>
          <w:szCs w:val="32"/>
          <w:rtl/>
        </w:rPr>
      </w:pPr>
      <w:r>
        <w:rPr>
          <w:rFonts w:hint="cs"/>
          <w:b/>
          <w:bCs/>
          <w:sz w:val="32"/>
          <w:szCs w:val="32"/>
          <w:rtl/>
        </w:rPr>
        <w:t>سلط</w:t>
      </w:r>
      <w:r>
        <w:rPr>
          <w:rFonts w:hint="cs"/>
          <w:sz w:val="32"/>
          <w:szCs w:val="32"/>
          <w:rtl/>
        </w:rPr>
        <w:tab/>
      </w:r>
      <w:r>
        <w:rPr>
          <w:sz w:val="32"/>
          <w:szCs w:val="32"/>
        </w:rPr>
        <w:tab/>
      </w:r>
      <w:r>
        <w:rPr>
          <w:rFonts w:hint="cs"/>
          <w:sz w:val="32"/>
          <w:szCs w:val="32"/>
          <w:rtl/>
        </w:rPr>
        <w:t xml:space="preserve">: ق144 </w:t>
      </w:r>
      <w:r>
        <w:rPr>
          <w:sz w:val="32"/>
          <w:szCs w:val="32"/>
        </w:rPr>
        <w:tab/>
      </w:r>
      <w:r>
        <w:rPr>
          <w:rFonts w:hint="cs"/>
          <w:sz w:val="32"/>
          <w:szCs w:val="32"/>
          <w:rtl/>
        </w:rPr>
        <w:t xml:space="preserve">: </w:t>
      </w:r>
      <w:r>
        <w:rPr>
          <w:rFonts w:hint="cs"/>
          <w:b/>
          <w:bCs/>
          <w:sz w:val="32"/>
          <w:szCs w:val="32"/>
          <w:rtl/>
        </w:rPr>
        <w:t>السُّلْطَانُ</w:t>
      </w:r>
      <w:r>
        <w:rPr>
          <w:rFonts w:hint="cs"/>
          <w:sz w:val="32"/>
          <w:szCs w:val="32"/>
          <w:rtl/>
        </w:rPr>
        <w:t xml:space="preserve"> وَلِيُّ مَنْ لاَ وَلِيَّ لَهُ.</w:t>
      </w:r>
    </w:p>
    <w:p w:rsidR="00284270" w:rsidRDefault="00284270" w:rsidP="0022714B">
      <w:pPr>
        <w:ind w:left="2833" w:hanging="2266"/>
        <w:rPr>
          <w:sz w:val="32"/>
          <w:szCs w:val="32"/>
          <w:rtl/>
        </w:rPr>
      </w:pPr>
      <w:r>
        <w:rPr>
          <w:rFonts w:hint="cs"/>
          <w:b/>
          <w:bCs/>
          <w:sz w:val="32"/>
          <w:szCs w:val="32"/>
          <w:rtl/>
        </w:rPr>
        <w:t>سلم</w:t>
      </w:r>
      <w:r>
        <w:rPr>
          <w:rFonts w:hint="cs"/>
          <w:sz w:val="32"/>
          <w:szCs w:val="32"/>
          <w:rtl/>
        </w:rPr>
        <w:t xml:space="preserve">         : ق121 </w:t>
      </w:r>
      <w:r>
        <w:rPr>
          <w:sz w:val="32"/>
          <w:szCs w:val="32"/>
        </w:rPr>
        <w:tab/>
      </w:r>
      <w:r>
        <w:rPr>
          <w:rFonts w:hint="cs"/>
          <w:sz w:val="32"/>
          <w:szCs w:val="32"/>
          <w:rtl/>
        </w:rPr>
        <w:t xml:space="preserve">: الدَّاخلُ تَحْتَ العَقْدِ عملٌ </w:t>
      </w:r>
      <w:r>
        <w:rPr>
          <w:rFonts w:hint="cs"/>
          <w:b/>
          <w:bCs/>
          <w:sz w:val="32"/>
          <w:szCs w:val="32"/>
          <w:rtl/>
        </w:rPr>
        <w:t>سليمٌ</w:t>
      </w:r>
      <w:r>
        <w:rPr>
          <w:rFonts w:hint="cs"/>
          <w:sz w:val="32"/>
          <w:szCs w:val="32"/>
          <w:rtl/>
        </w:rPr>
        <w:t xml:space="preserve">، والمُفْسَدُ غيرُ داخلٍ.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ق141 </w:t>
      </w:r>
      <w:r>
        <w:rPr>
          <w:sz w:val="32"/>
          <w:szCs w:val="32"/>
        </w:rPr>
        <w:tab/>
      </w:r>
      <w:r>
        <w:rPr>
          <w:rFonts w:hint="cs"/>
          <w:sz w:val="32"/>
          <w:szCs w:val="32"/>
          <w:rtl/>
        </w:rPr>
        <w:t xml:space="preserve">: </w:t>
      </w:r>
      <w:r>
        <w:rPr>
          <w:rFonts w:hint="cs"/>
          <w:b/>
          <w:bCs/>
          <w:sz w:val="32"/>
          <w:szCs w:val="32"/>
          <w:rtl/>
        </w:rPr>
        <w:t>السَّلاَمَةُ</w:t>
      </w:r>
      <w:r>
        <w:rPr>
          <w:rFonts w:hint="cs"/>
          <w:sz w:val="32"/>
          <w:szCs w:val="32"/>
          <w:rtl/>
        </w:rPr>
        <w:t xml:space="preserve"> لَيْسَتْ بِشَرْطٍ فِي التَّبَرُّعَاتِ.</w:t>
      </w:r>
    </w:p>
    <w:p w:rsidR="00284270" w:rsidRDefault="00284270">
      <w:pPr>
        <w:rPr>
          <w:sz w:val="32"/>
          <w:szCs w:val="32"/>
          <w:rtl/>
        </w:rPr>
      </w:pPr>
      <w:r>
        <w:rPr>
          <w:rFonts w:hint="cs"/>
          <w:b/>
          <w:bCs/>
          <w:sz w:val="32"/>
          <w:szCs w:val="32"/>
          <w:rtl/>
        </w:rPr>
        <w:t>سنن</w:t>
      </w:r>
      <w:r>
        <w:rPr>
          <w:rFonts w:hint="cs"/>
          <w:sz w:val="32"/>
          <w:szCs w:val="32"/>
          <w:rtl/>
        </w:rPr>
        <w:tab/>
      </w:r>
      <w:r>
        <w:rPr>
          <w:sz w:val="32"/>
          <w:szCs w:val="32"/>
        </w:rPr>
        <w:tab/>
      </w:r>
      <w:r>
        <w:rPr>
          <w:rFonts w:hint="cs"/>
          <w:sz w:val="32"/>
          <w:szCs w:val="32"/>
          <w:rtl/>
        </w:rPr>
        <w:t xml:space="preserve">: ق83 </w:t>
      </w:r>
      <w:r>
        <w:rPr>
          <w:sz w:val="32"/>
          <w:szCs w:val="32"/>
        </w:rPr>
        <w:tab/>
      </w:r>
      <w:r>
        <w:rPr>
          <w:rFonts w:hint="cs"/>
          <w:sz w:val="32"/>
          <w:szCs w:val="32"/>
          <w:rtl/>
        </w:rPr>
        <w:tab/>
        <w:t xml:space="preserve">: التَّقريرُ أَحَدُ وُجُوهِ </w:t>
      </w:r>
      <w:r>
        <w:rPr>
          <w:rFonts w:hint="cs"/>
          <w:b/>
          <w:bCs/>
          <w:sz w:val="32"/>
          <w:szCs w:val="32"/>
          <w:rtl/>
        </w:rPr>
        <w:t>السُّنَّةِ</w:t>
      </w:r>
      <w:r>
        <w:rPr>
          <w:rFonts w:hint="cs"/>
          <w:sz w:val="32"/>
          <w:szCs w:val="32"/>
          <w:rtl/>
        </w:rPr>
        <w:t xml:space="preserve">. </w:t>
      </w:r>
    </w:p>
    <w:p w:rsidR="00284270" w:rsidRDefault="00284270">
      <w:pPr>
        <w:rPr>
          <w:sz w:val="32"/>
          <w:szCs w:val="32"/>
          <w:rtl/>
        </w:rPr>
      </w:pPr>
      <w:r>
        <w:rPr>
          <w:rFonts w:hint="cs"/>
          <w:b/>
          <w:bCs/>
          <w:sz w:val="32"/>
          <w:szCs w:val="32"/>
          <w:rtl/>
        </w:rPr>
        <w:t>سوي</w:t>
      </w:r>
      <w:r>
        <w:rPr>
          <w:rFonts w:hint="cs"/>
          <w:sz w:val="32"/>
          <w:szCs w:val="32"/>
          <w:rtl/>
        </w:rPr>
        <w:tab/>
      </w:r>
      <w:r>
        <w:rPr>
          <w:sz w:val="32"/>
          <w:szCs w:val="32"/>
        </w:rPr>
        <w:tab/>
      </w:r>
      <w:r>
        <w:rPr>
          <w:rFonts w:hint="cs"/>
          <w:sz w:val="32"/>
          <w:szCs w:val="32"/>
          <w:rtl/>
        </w:rPr>
        <w:t xml:space="preserve">: ق152 </w:t>
      </w:r>
      <w:r>
        <w:rPr>
          <w:sz w:val="32"/>
          <w:szCs w:val="32"/>
        </w:rPr>
        <w:tab/>
      </w:r>
      <w:r>
        <w:rPr>
          <w:rFonts w:hint="cs"/>
          <w:sz w:val="32"/>
          <w:szCs w:val="32"/>
          <w:rtl/>
        </w:rPr>
        <w:t xml:space="preserve">: الشَّيءُ إِنَّمَا يُلْحَقُ بِغَيْرِهِ إِذَا </w:t>
      </w:r>
      <w:r>
        <w:rPr>
          <w:rFonts w:hint="cs"/>
          <w:b/>
          <w:bCs/>
          <w:sz w:val="32"/>
          <w:szCs w:val="32"/>
          <w:rtl/>
        </w:rPr>
        <w:t>تَسَاوَيَا</w:t>
      </w:r>
      <w:r>
        <w:rPr>
          <w:rFonts w:hint="cs"/>
          <w:sz w:val="32"/>
          <w:szCs w:val="32"/>
          <w:rtl/>
        </w:rPr>
        <w:t xml:space="preserve"> مِنْ جَمِيعِ الوُجُوهِ.</w:t>
      </w:r>
    </w:p>
    <w:p w:rsidR="00284270" w:rsidRDefault="0022714B">
      <w:pPr>
        <w:jc w:val="center"/>
        <w:rPr>
          <w:b/>
          <w:bCs/>
          <w:sz w:val="48"/>
          <w:szCs w:val="48"/>
          <w:rtl/>
        </w:rPr>
      </w:pPr>
      <w:r>
        <w:rPr>
          <w:noProof/>
          <w:rtl/>
        </w:rPr>
        <w:pict>
          <v:rect id="_x0000_s1039" style="position:absolute;left:0;text-align:left;margin-left:168.05pt;margin-top:5.45pt;width:54.15pt;height:37.05pt;z-index:-251637760;mso-wrap-edited:f" wrapcoords="-379 0 -379 21600 758 22265 23495 22265 23116 997 22358 0 -379 0">
            <v:shadow on="t" offset="3pt" offset2="2pt"/>
          </v:rect>
        </w:pict>
      </w:r>
      <w:r w:rsidR="00284270">
        <w:rPr>
          <w:rFonts w:hint="cs"/>
          <w:b/>
          <w:bCs/>
          <w:sz w:val="48"/>
          <w:szCs w:val="48"/>
          <w:rtl/>
        </w:rPr>
        <w:t>(ش)</w:t>
      </w:r>
    </w:p>
    <w:p w:rsidR="00284270" w:rsidRDefault="00284270">
      <w:pPr>
        <w:rPr>
          <w:rtl/>
        </w:rPr>
      </w:pPr>
    </w:p>
    <w:p w:rsidR="00284270" w:rsidRDefault="00284270">
      <w:pPr>
        <w:rPr>
          <w:sz w:val="32"/>
          <w:szCs w:val="32"/>
          <w:rtl/>
        </w:rPr>
      </w:pPr>
      <w:r>
        <w:rPr>
          <w:rFonts w:hint="cs"/>
          <w:b/>
          <w:bCs/>
          <w:sz w:val="32"/>
          <w:szCs w:val="32"/>
          <w:rtl/>
        </w:rPr>
        <w:t>شار</w:t>
      </w:r>
      <w:r>
        <w:rPr>
          <w:rFonts w:hint="cs"/>
          <w:sz w:val="32"/>
          <w:szCs w:val="32"/>
          <w:rtl/>
        </w:rPr>
        <w:tab/>
      </w:r>
      <w:r>
        <w:rPr>
          <w:sz w:val="32"/>
          <w:szCs w:val="32"/>
        </w:rPr>
        <w:tab/>
      </w:r>
      <w:r>
        <w:rPr>
          <w:rFonts w:hint="cs"/>
          <w:sz w:val="32"/>
          <w:szCs w:val="32"/>
          <w:rtl/>
        </w:rPr>
        <w:t xml:space="preserve">: ق23 </w:t>
      </w:r>
      <w:r>
        <w:rPr>
          <w:sz w:val="32"/>
          <w:szCs w:val="32"/>
        </w:rPr>
        <w:tab/>
      </w:r>
      <w:r>
        <w:rPr>
          <w:rFonts w:hint="cs"/>
          <w:sz w:val="32"/>
          <w:szCs w:val="32"/>
          <w:rtl/>
        </w:rPr>
        <w:tab/>
        <w:t xml:space="preserve">: </w:t>
      </w:r>
      <w:r>
        <w:rPr>
          <w:rFonts w:hint="cs"/>
          <w:b/>
          <w:bCs/>
          <w:sz w:val="32"/>
          <w:szCs w:val="32"/>
          <w:rtl/>
        </w:rPr>
        <w:t>الإِشَارَةُ</w:t>
      </w:r>
      <w:r>
        <w:rPr>
          <w:rFonts w:hint="cs"/>
          <w:sz w:val="32"/>
          <w:szCs w:val="32"/>
          <w:rtl/>
        </w:rPr>
        <w:t xml:space="preserve"> إِنَّما تَقُومُ مَقَامَ العَبَارَةِ إِذَا كَانَتْ مَعْهُودَةً. </w:t>
      </w:r>
    </w:p>
    <w:p w:rsidR="00284270" w:rsidRDefault="00284270">
      <w:pPr>
        <w:rPr>
          <w:sz w:val="32"/>
          <w:szCs w:val="32"/>
          <w:rtl/>
        </w:rPr>
      </w:pPr>
      <w:r>
        <w:rPr>
          <w:rFonts w:hint="cs"/>
          <w:b/>
          <w:bCs/>
          <w:sz w:val="32"/>
          <w:szCs w:val="32"/>
          <w:rtl/>
        </w:rPr>
        <w:t>شبه</w:t>
      </w:r>
      <w:r>
        <w:rPr>
          <w:rFonts w:hint="cs"/>
          <w:sz w:val="32"/>
          <w:szCs w:val="32"/>
          <w:rtl/>
        </w:rPr>
        <w:tab/>
      </w:r>
      <w:r>
        <w:rPr>
          <w:sz w:val="32"/>
          <w:szCs w:val="32"/>
        </w:rPr>
        <w:tab/>
      </w:r>
      <w:r>
        <w:rPr>
          <w:rFonts w:hint="cs"/>
          <w:sz w:val="32"/>
          <w:szCs w:val="32"/>
          <w:rtl/>
        </w:rPr>
        <w:t xml:space="preserve">: ق111 </w:t>
      </w:r>
      <w:r>
        <w:rPr>
          <w:sz w:val="32"/>
          <w:szCs w:val="32"/>
        </w:rPr>
        <w:tab/>
      </w:r>
      <w:r>
        <w:rPr>
          <w:rFonts w:hint="cs"/>
          <w:sz w:val="32"/>
          <w:szCs w:val="32"/>
          <w:rtl/>
        </w:rPr>
        <w:t xml:space="preserve">: الحدودُ تَنْدَرِئُ </w:t>
      </w:r>
      <w:r>
        <w:rPr>
          <w:rFonts w:hint="cs"/>
          <w:b/>
          <w:bCs/>
          <w:sz w:val="32"/>
          <w:szCs w:val="32"/>
          <w:rtl/>
        </w:rPr>
        <w:t>بالشُّبُهَاتِ</w:t>
      </w:r>
      <w:r>
        <w:rPr>
          <w:rFonts w:hint="cs"/>
          <w:sz w:val="32"/>
          <w:szCs w:val="32"/>
          <w:rtl/>
        </w:rPr>
        <w:t>.</w:t>
      </w:r>
    </w:p>
    <w:p w:rsidR="00284270" w:rsidRDefault="00284270">
      <w:pPr>
        <w:rPr>
          <w:b/>
          <w:bCs/>
          <w:sz w:val="32"/>
          <w:szCs w:val="32"/>
          <w:rtl/>
        </w:rPr>
      </w:pPr>
    </w:p>
    <w:p w:rsidR="00284270" w:rsidRDefault="00284270">
      <w:pPr>
        <w:rPr>
          <w:sz w:val="32"/>
          <w:szCs w:val="32"/>
          <w:rtl/>
        </w:rPr>
      </w:pPr>
      <w:r>
        <w:rPr>
          <w:rFonts w:hint="cs"/>
          <w:b/>
          <w:bCs/>
          <w:sz w:val="32"/>
          <w:szCs w:val="32"/>
          <w:rtl/>
        </w:rPr>
        <w:t>شدد</w:t>
      </w:r>
      <w:r>
        <w:rPr>
          <w:rFonts w:hint="cs"/>
          <w:sz w:val="32"/>
          <w:szCs w:val="32"/>
          <w:rtl/>
        </w:rPr>
        <w:tab/>
      </w:r>
      <w:r>
        <w:rPr>
          <w:sz w:val="32"/>
          <w:szCs w:val="32"/>
        </w:rPr>
        <w:tab/>
      </w:r>
      <w:r>
        <w:rPr>
          <w:rFonts w:hint="cs"/>
          <w:sz w:val="32"/>
          <w:szCs w:val="32"/>
          <w:rtl/>
        </w:rPr>
        <w:t xml:space="preserve">: ق24 </w:t>
      </w:r>
      <w:r>
        <w:rPr>
          <w:sz w:val="32"/>
          <w:szCs w:val="32"/>
        </w:rPr>
        <w:tab/>
      </w:r>
      <w:r>
        <w:rPr>
          <w:rFonts w:hint="cs"/>
          <w:sz w:val="32"/>
          <w:szCs w:val="32"/>
          <w:rtl/>
        </w:rPr>
        <w:tab/>
        <w:t xml:space="preserve">: </w:t>
      </w:r>
      <w:r>
        <w:rPr>
          <w:rFonts w:hint="cs"/>
          <w:b/>
          <w:bCs/>
          <w:sz w:val="32"/>
          <w:szCs w:val="32"/>
          <w:rtl/>
        </w:rPr>
        <w:t>الأشـدُّ</w:t>
      </w:r>
      <w:r>
        <w:rPr>
          <w:rFonts w:hint="cs"/>
          <w:sz w:val="32"/>
          <w:szCs w:val="32"/>
          <w:rtl/>
        </w:rPr>
        <w:t xml:space="preserve"> يُزالُ بالأخفِّ. </w:t>
      </w:r>
    </w:p>
    <w:p w:rsidR="00284270" w:rsidRDefault="00284270" w:rsidP="0022714B">
      <w:pPr>
        <w:ind w:left="2833" w:hanging="2266"/>
        <w:rPr>
          <w:sz w:val="32"/>
          <w:szCs w:val="32"/>
          <w:rtl/>
        </w:rPr>
      </w:pPr>
      <w:r>
        <w:rPr>
          <w:rFonts w:hint="cs"/>
          <w:b/>
          <w:bCs/>
          <w:sz w:val="32"/>
          <w:szCs w:val="32"/>
          <w:rtl/>
        </w:rPr>
        <w:t>شرط</w:t>
      </w:r>
      <w:r>
        <w:rPr>
          <w:rFonts w:hint="cs"/>
          <w:sz w:val="32"/>
          <w:szCs w:val="32"/>
          <w:rtl/>
        </w:rPr>
        <w:t xml:space="preserve">       : ق4 </w:t>
      </w:r>
      <w:r>
        <w:rPr>
          <w:rFonts w:hint="cs"/>
          <w:sz w:val="32"/>
          <w:szCs w:val="32"/>
          <w:rtl/>
        </w:rPr>
        <w:tab/>
        <w:t xml:space="preserve">: أَجْزاءُ العِوَضِ تَنْقَسِمُ على أجزاءِ المعوَّضِ، وأجزاءُ </w:t>
      </w:r>
      <w:r>
        <w:rPr>
          <w:rFonts w:hint="cs"/>
          <w:b/>
          <w:bCs/>
          <w:sz w:val="32"/>
          <w:szCs w:val="32"/>
          <w:rtl/>
        </w:rPr>
        <w:t>الشَّرطِ</w:t>
      </w:r>
      <w:r>
        <w:rPr>
          <w:rFonts w:hint="cs"/>
          <w:sz w:val="32"/>
          <w:szCs w:val="32"/>
          <w:rtl/>
        </w:rPr>
        <w:t xml:space="preserve"> لا تَنْقَسِمُ على أَجزاءِ </w:t>
      </w:r>
      <w:r>
        <w:rPr>
          <w:rFonts w:hint="cs"/>
          <w:b/>
          <w:bCs/>
          <w:sz w:val="32"/>
          <w:szCs w:val="32"/>
          <w:rtl/>
        </w:rPr>
        <w:t>المشروطِ</w:t>
      </w:r>
      <w:r>
        <w:rPr>
          <w:rFonts w:hint="cs"/>
          <w:sz w:val="32"/>
          <w:szCs w:val="32"/>
          <w:rtl/>
          <w:lang w:bidi="ar-AE"/>
        </w:rPr>
        <w:t>.</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ق19 </w:t>
      </w:r>
      <w:r>
        <w:rPr>
          <w:sz w:val="32"/>
          <w:szCs w:val="32"/>
        </w:rPr>
        <w:tab/>
      </w:r>
      <w:r>
        <w:rPr>
          <w:rFonts w:hint="cs"/>
          <w:sz w:val="32"/>
          <w:szCs w:val="32"/>
          <w:rtl/>
        </w:rPr>
        <w:t xml:space="preserve">: الاسْتِـثْـنَاءُ المَعْلومُ بِدَلاَلَةِ الحَالِ كالاسْتِـثْـنَاءِ </w:t>
      </w:r>
      <w:r>
        <w:rPr>
          <w:rFonts w:hint="cs"/>
          <w:b/>
          <w:bCs/>
          <w:sz w:val="32"/>
          <w:szCs w:val="32"/>
          <w:rtl/>
        </w:rPr>
        <w:t>المَشْرُوطِ</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ق31 </w:t>
      </w:r>
      <w:r>
        <w:rPr>
          <w:sz w:val="32"/>
          <w:szCs w:val="32"/>
        </w:rPr>
        <w:tab/>
      </w:r>
      <w:r>
        <w:rPr>
          <w:rFonts w:hint="cs"/>
          <w:sz w:val="32"/>
          <w:szCs w:val="32"/>
          <w:rtl/>
        </w:rPr>
        <w:t xml:space="preserve">: الأصلُ : أَنَّ كُلَّ تصرُّفٍ يُوقَفُ حُكْمُهُ على شيءٍ : أنْ يُجْعَلَ مُعَلَّقًا </w:t>
      </w:r>
      <w:r>
        <w:rPr>
          <w:rFonts w:hint="cs"/>
          <w:b/>
          <w:bCs/>
          <w:sz w:val="32"/>
          <w:szCs w:val="32"/>
          <w:rtl/>
        </w:rPr>
        <w:t>بالشَّرْطِ</w:t>
      </w:r>
      <w:r>
        <w:rPr>
          <w:rFonts w:hint="cs"/>
          <w:sz w:val="32"/>
          <w:szCs w:val="32"/>
          <w:rtl/>
        </w:rPr>
        <w:t xml:space="preserve">، لا سببًا، إلاَّ فِيمَا لا يَحْتَمِلُ التَّعلِيقَ.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ق141 </w:t>
      </w:r>
      <w:r>
        <w:rPr>
          <w:sz w:val="32"/>
          <w:szCs w:val="32"/>
        </w:rPr>
        <w:tab/>
      </w:r>
      <w:r>
        <w:rPr>
          <w:rFonts w:hint="cs"/>
          <w:sz w:val="32"/>
          <w:szCs w:val="32"/>
          <w:rtl/>
        </w:rPr>
        <w:t xml:space="preserve">: السَّلاَمَةُ لَيْسَتْ </w:t>
      </w:r>
      <w:r>
        <w:rPr>
          <w:rFonts w:hint="cs"/>
          <w:b/>
          <w:bCs/>
          <w:sz w:val="32"/>
          <w:szCs w:val="32"/>
          <w:rtl/>
        </w:rPr>
        <w:t>بِشَرْطٍ</w:t>
      </w:r>
      <w:r>
        <w:rPr>
          <w:rFonts w:hint="cs"/>
          <w:sz w:val="32"/>
          <w:szCs w:val="32"/>
          <w:rtl/>
        </w:rPr>
        <w:t xml:space="preserve"> فِي التَّبَرُّعَاتِ.</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ق146 </w:t>
      </w:r>
      <w:r>
        <w:rPr>
          <w:sz w:val="32"/>
          <w:szCs w:val="32"/>
        </w:rPr>
        <w:tab/>
      </w:r>
      <w:r>
        <w:rPr>
          <w:rFonts w:hint="cs"/>
          <w:sz w:val="32"/>
          <w:szCs w:val="32"/>
          <w:rtl/>
        </w:rPr>
        <w:t xml:space="preserve">: </w:t>
      </w:r>
      <w:r>
        <w:rPr>
          <w:rFonts w:hint="cs"/>
          <w:b/>
          <w:bCs/>
          <w:sz w:val="32"/>
          <w:szCs w:val="32"/>
          <w:rtl/>
        </w:rPr>
        <w:t>شَرْطُ</w:t>
      </w:r>
      <w:r>
        <w:rPr>
          <w:rFonts w:hint="cs"/>
          <w:sz w:val="32"/>
          <w:szCs w:val="32"/>
          <w:rtl/>
        </w:rPr>
        <w:t xml:space="preserve"> الوَاقِفِ كَنَصِّ الشَّارِعِ.</w:t>
      </w:r>
    </w:p>
    <w:p w:rsidR="00284270" w:rsidRDefault="00284270" w:rsidP="0022714B">
      <w:pPr>
        <w:ind w:left="2833" w:hanging="2266"/>
        <w:rPr>
          <w:sz w:val="32"/>
          <w:szCs w:val="32"/>
          <w:rtl/>
        </w:rPr>
      </w:pPr>
      <w:r>
        <w:rPr>
          <w:rFonts w:hint="cs"/>
          <w:sz w:val="32"/>
          <w:szCs w:val="32"/>
          <w:rtl/>
        </w:rPr>
        <w:t xml:space="preserve">               ق147</w:t>
      </w:r>
      <w:r>
        <w:rPr>
          <w:sz w:val="32"/>
          <w:szCs w:val="32"/>
        </w:rPr>
        <w:tab/>
      </w:r>
      <w:r>
        <w:rPr>
          <w:rFonts w:hint="cs"/>
          <w:sz w:val="32"/>
          <w:szCs w:val="32"/>
          <w:rtl/>
        </w:rPr>
        <w:t xml:space="preserve">: </w:t>
      </w:r>
      <w:r>
        <w:rPr>
          <w:rFonts w:hint="cs"/>
          <w:b/>
          <w:bCs/>
          <w:sz w:val="32"/>
          <w:szCs w:val="32"/>
          <w:rtl/>
        </w:rPr>
        <w:t>شَرْطُ</w:t>
      </w:r>
      <w:r>
        <w:rPr>
          <w:rFonts w:hint="cs"/>
          <w:sz w:val="32"/>
          <w:szCs w:val="32"/>
          <w:rtl/>
        </w:rPr>
        <w:t xml:space="preserve"> وُجُودِ الشَّيءِ لاَ يَجِبُ أَنْ يَكُونَ بِجَميعِ أَجْزَائِهَ </w:t>
      </w:r>
      <w:r>
        <w:rPr>
          <w:rFonts w:hint="cs"/>
          <w:b/>
          <w:bCs/>
          <w:sz w:val="32"/>
          <w:szCs w:val="32"/>
          <w:rtl/>
        </w:rPr>
        <w:t>شرطًا</w:t>
      </w:r>
      <w:r>
        <w:rPr>
          <w:rFonts w:hint="cs"/>
          <w:sz w:val="32"/>
          <w:szCs w:val="32"/>
          <w:rtl/>
        </w:rPr>
        <w:t xml:space="preserve"> لِبَقَاءِ ذَلِكَ الشَّيءِ.</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ق145 </w:t>
      </w:r>
      <w:r>
        <w:rPr>
          <w:sz w:val="32"/>
          <w:szCs w:val="32"/>
        </w:rPr>
        <w:tab/>
      </w:r>
      <w:r>
        <w:rPr>
          <w:rFonts w:hint="cs"/>
          <w:sz w:val="32"/>
          <w:szCs w:val="32"/>
          <w:rtl/>
        </w:rPr>
        <w:t xml:space="preserve">: </w:t>
      </w:r>
      <w:r>
        <w:rPr>
          <w:rFonts w:hint="cs"/>
          <w:b/>
          <w:bCs/>
          <w:sz w:val="32"/>
          <w:szCs w:val="32"/>
          <w:rtl/>
        </w:rPr>
        <w:t>الشَّرْطُ</w:t>
      </w:r>
      <w:r>
        <w:rPr>
          <w:rFonts w:hint="cs"/>
          <w:sz w:val="32"/>
          <w:szCs w:val="32"/>
          <w:rtl/>
        </w:rPr>
        <w:t xml:space="preserve"> يُقَابِلُ المَشْرُوطَ جُمْلَةً وَلاَ يُقَابِلُهُ أَجْزَاءً.</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ق164 </w:t>
      </w:r>
      <w:r>
        <w:rPr>
          <w:sz w:val="32"/>
          <w:szCs w:val="32"/>
        </w:rPr>
        <w:tab/>
      </w:r>
      <w:r>
        <w:rPr>
          <w:rFonts w:hint="cs"/>
          <w:sz w:val="32"/>
          <w:szCs w:val="32"/>
          <w:rtl/>
        </w:rPr>
        <w:t xml:space="preserve">: العادَةُ المُطَّرِدَةُ تُنَزَّلُ منزِلَةَ </w:t>
      </w:r>
      <w:r>
        <w:rPr>
          <w:rFonts w:hint="cs"/>
          <w:b/>
          <w:bCs/>
          <w:sz w:val="32"/>
          <w:szCs w:val="32"/>
          <w:rtl/>
        </w:rPr>
        <w:t>الشَّرْطِ</w:t>
      </w:r>
      <w:r>
        <w:rPr>
          <w:rFonts w:hint="cs"/>
          <w:sz w:val="32"/>
          <w:szCs w:val="32"/>
          <w:rtl/>
        </w:rPr>
        <w:t>.</w:t>
      </w:r>
    </w:p>
    <w:p w:rsidR="00284270" w:rsidRDefault="00284270" w:rsidP="0022714B">
      <w:pPr>
        <w:ind w:left="2833" w:hanging="2266"/>
        <w:rPr>
          <w:sz w:val="32"/>
          <w:szCs w:val="32"/>
          <w:rtl/>
        </w:rPr>
      </w:pPr>
      <w:r>
        <w:rPr>
          <w:rFonts w:hint="cs"/>
          <w:sz w:val="32"/>
          <w:szCs w:val="32"/>
          <w:rtl/>
        </w:rPr>
        <w:lastRenderedPageBreak/>
        <w:t xml:space="preserve">               ق174 </w:t>
      </w:r>
      <w:r>
        <w:rPr>
          <w:sz w:val="32"/>
          <w:szCs w:val="32"/>
        </w:rPr>
        <w:tab/>
      </w:r>
      <w:r>
        <w:rPr>
          <w:rFonts w:hint="cs"/>
          <w:sz w:val="32"/>
          <w:szCs w:val="32"/>
          <w:rtl/>
        </w:rPr>
        <w:t xml:space="preserve">: فِي كُلِّ مَوْضِعٍ يملكُ المدفوعُ إليهِ المالَ المدفوعَ إليهِ مقابَلاً بِمِلْكٍ : فإنَّ المأمورَ يرجعُ بِلاَ </w:t>
      </w:r>
      <w:r>
        <w:rPr>
          <w:rFonts w:hint="cs"/>
          <w:b/>
          <w:bCs/>
          <w:sz w:val="32"/>
          <w:szCs w:val="32"/>
          <w:rtl/>
        </w:rPr>
        <w:t>شَرْطٍ</w:t>
      </w:r>
      <w:r>
        <w:rPr>
          <w:rFonts w:hint="cs"/>
          <w:sz w:val="32"/>
          <w:szCs w:val="32"/>
          <w:rtl/>
        </w:rPr>
        <w:t xml:space="preserve"> ، وإلاَّ فَلاَ.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ق188 </w:t>
      </w:r>
      <w:r>
        <w:rPr>
          <w:sz w:val="32"/>
          <w:szCs w:val="32"/>
        </w:rPr>
        <w:tab/>
      </w:r>
      <w:r>
        <w:rPr>
          <w:rFonts w:hint="cs"/>
          <w:sz w:val="32"/>
          <w:szCs w:val="32"/>
          <w:rtl/>
        </w:rPr>
        <w:t xml:space="preserve">: كُلُّ </w:t>
      </w:r>
      <w:r w:rsidRPr="0034601D">
        <w:rPr>
          <w:rFonts w:hint="cs"/>
          <w:sz w:val="32"/>
          <w:szCs w:val="32"/>
          <w:rtl/>
        </w:rPr>
        <w:t>شرطٍ</w:t>
      </w:r>
      <w:r>
        <w:rPr>
          <w:rFonts w:hint="cs"/>
          <w:sz w:val="32"/>
          <w:szCs w:val="32"/>
          <w:rtl/>
        </w:rPr>
        <w:t xml:space="preserve"> يغيِّرُ حكمَ </w:t>
      </w:r>
      <w:r w:rsidRPr="0034601D">
        <w:rPr>
          <w:rFonts w:hint="cs"/>
          <w:b/>
          <w:bCs/>
          <w:sz w:val="32"/>
          <w:szCs w:val="32"/>
          <w:rtl/>
        </w:rPr>
        <w:t>الشَّرْعِ</w:t>
      </w:r>
      <w:r>
        <w:rPr>
          <w:rFonts w:hint="cs"/>
          <w:sz w:val="32"/>
          <w:szCs w:val="32"/>
          <w:rtl/>
        </w:rPr>
        <w:t xml:space="preserve"> يَكُونُ باطِلاً.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ق229 </w:t>
      </w:r>
      <w:r>
        <w:rPr>
          <w:sz w:val="32"/>
          <w:szCs w:val="32"/>
        </w:rPr>
        <w:tab/>
      </w:r>
      <w:r>
        <w:rPr>
          <w:rFonts w:hint="cs"/>
          <w:sz w:val="32"/>
          <w:szCs w:val="32"/>
          <w:rtl/>
        </w:rPr>
        <w:t xml:space="preserve">: المُعَلَّقُ </w:t>
      </w:r>
      <w:r>
        <w:rPr>
          <w:rFonts w:hint="cs"/>
          <w:b/>
          <w:bCs/>
          <w:sz w:val="32"/>
          <w:szCs w:val="32"/>
          <w:rtl/>
        </w:rPr>
        <w:t>بالشَّرْط</w:t>
      </w:r>
      <w:r>
        <w:rPr>
          <w:rFonts w:hint="cs"/>
          <w:sz w:val="32"/>
          <w:szCs w:val="32"/>
          <w:rtl/>
        </w:rPr>
        <w:t xml:space="preserve"> معدومٌ قَبْلَهُ.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ق264 </w:t>
      </w:r>
      <w:r>
        <w:rPr>
          <w:sz w:val="32"/>
          <w:szCs w:val="32"/>
        </w:rPr>
        <w:tab/>
      </w:r>
      <w:r>
        <w:rPr>
          <w:rFonts w:hint="cs"/>
          <w:sz w:val="32"/>
          <w:szCs w:val="32"/>
          <w:rtl/>
        </w:rPr>
        <w:t xml:space="preserve">: َيلْزَمُ مُرَاعَاةُ </w:t>
      </w:r>
      <w:r>
        <w:rPr>
          <w:rFonts w:hint="cs"/>
          <w:b/>
          <w:bCs/>
          <w:sz w:val="32"/>
          <w:szCs w:val="32"/>
          <w:rtl/>
        </w:rPr>
        <w:t>الشَّرْطِ</w:t>
      </w:r>
      <w:r>
        <w:rPr>
          <w:rFonts w:hint="cs"/>
          <w:sz w:val="32"/>
          <w:szCs w:val="32"/>
          <w:rtl/>
        </w:rPr>
        <w:t xml:space="preserve"> بِقَدْرِ الإمْكَانِ.</w:t>
      </w:r>
    </w:p>
    <w:p w:rsidR="00284270" w:rsidRDefault="00284270">
      <w:pPr>
        <w:rPr>
          <w:sz w:val="32"/>
          <w:szCs w:val="32"/>
          <w:rtl/>
        </w:rPr>
      </w:pPr>
      <w:r>
        <w:rPr>
          <w:rFonts w:hint="cs"/>
          <w:b/>
          <w:bCs/>
          <w:sz w:val="32"/>
          <w:szCs w:val="32"/>
          <w:rtl/>
        </w:rPr>
        <w:t>شرع</w:t>
      </w:r>
      <w:r>
        <w:rPr>
          <w:rFonts w:hint="cs"/>
          <w:sz w:val="32"/>
          <w:szCs w:val="32"/>
          <w:rtl/>
        </w:rPr>
        <w:tab/>
      </w:r>
      <w:r>
        <w:rPr>
          <w:sz w:val="32"/>
          <w:szCs w:val="32"/>
        </w:rPr>
        <w:tab/>
      </w:r>
      <w:r>
        <w:rPr>
          <w:rFonts w:hint="cs"/>
          <w:sz w:val="32"/>
          <w:szCs w:val="32"/>
          <w:rtl/>
        </w:rPr>
        <w:t xml:space="preserve">: ق78 </w:t>
      </w:r>
      <w:r>
        <w:rPr>
          <w:sz w:val="32"/>
          <w:szCs w:val="32"/>
        </w:rPr>
        <w:tab/>
      </w:r>
      <w:r>
        <w:rPr>
          <w:rFonts w:hint="cs"/>
          <w:sz w:val="32"/>
          <w:szCs w:val="32"/>
          <w:rtl/>
        </w:rPr>
        <w:tab/>
        <w:t xml:space="preserve">: تَغْيِيرُ </w:t>
      </w:r>
      <w:r>
        <w:rPr>
          <w:rFonts w:hint="cs"/>
          <w:b/>
          <w:bCs/>
          <w:sz w:val="32"/>
          <w:szCs w:val="32"/>
          <w:rtl/>
        </w:rPr>
        <w:t>المشرُوعِ</w:t>
      </w:r>
      <w:r>
        <w:rPr>
          <w:rFonts w:hint="cs"/>
          <w:sz w:val="32"/>
          <w:szCs w:val="32"/>
          <w:rtl/>
        </w:rPr>
        <w:t xml:space="preserve"> بَاطِلٌ. </w:t>
      </w:r>
    </w:p>
    <w:p w:rsidR="00284270" w:rsidRDefault="00284270" w:rsidP="0022714B">
      <w:pPr>
        <w:ind w:left="2833" w:hanging="2266"/>
        <w:rPr>
          <w:sz w:val="32"/>
          <w:szCs w:val="32"/>
          <w:rtl/>
        </w:rPr>
      </w:pPr>
      <w:r>
        <w:rPr>
          <w:rFonts w:hint="cs"/>
          <w:sz w:val="32"/>
          <w:szCs w:val="32"/>
          <w:rtl/>
        </w:rPr>
        <w:t xml:space="preserve">               ق84 </w:t>
      </w:r>
      <w:r>
        <w:rPr>
          <w:sz w:val="32"/>
          <w:szCs w:val="32"/>
        </w:rPr>
        <w:tab/>
      </w:r>
      <w:r>
        <w:rPr>
          <w:rFonts w:hint="cs"/>
          <w:sz w:val="32"/>
          <w:szCs w:val="32"/>
          <w:rtl/>
        </w:rPr>
        <w:t xml:space="preserve">: تَقْدِيْرُ </w:t>
      </w:r>
      <w:r>
        <w:rPr>
          <w:rFonts w:hint="cs"/>
          <w:b/>
          <w:bCs/>
          <w:sz w:val="32"/>
          <w:szCs w:val="32"/>
          <w:rtl/>
        </w:rPr>
        <w:t>الشَّرعِ</w:t>
      </w:r>
      <w:r>
        <w:rPr>
          <w:rFonts w:hint="cs"/>
          <w:sz w:val="32"/>
          <w:szCs w:val="32"/>
          <w:rtl/>
        </w:rPr>
        <w:t xml:space="preserve"> أَوْلَى مِنْ تقدِيرِ القاضِي، فَلاَ يَجُوزُ الزِّيادةُ عليهِ.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ق188 </w:t>
      </w:r>
      <w:r>
        <w:rPr>
          <w:sz w:val="32"/>
          <w:szCs w:val="32"/>
        </w:rPr>
        <w:tab/>
      </w:r>
      <w:r>
        <w:rPr>
          <w:rFonts w:hint="cs"/>
          <w:sz w:val="32"/>
          <w:szCs w:val="32"/>
          <w:rtl/>
        </w:rPr>
        <w:t xml:space="preserve">: كُلُّ </w:t>
      </w:r>
      <w:r w:rsidRPr="002A3B45">
        <w:rPr>
          <w:rFonts w:hint="cs"/>
          <w:sz w:val="32"/>
          <w:szCs w:val="32"/>
          <w:rtl/>
        </w:rPr>
        <w:t>شرطٍ</w:t>
      </w:r>
      <w:r>
        <w:rPr>
          <w:rFonts w:hint="cs"/>
          <w:sz w:val="32"/>
          <w:szCs w:val="32"/>
          <w:rtl/>
        </w:rPr>
        <w:t xml:space="preserve"> يغيِّرُ حكمَ </w:t>
      </w:r>
      <w:r w:rsidRPr="002A3B45">
        <w:rPr>
          <w:rFonts w:hint="cs"/>
          <w:b/>
          <w:bCs/>
          <w:sz w:val="32"/>
          <w:szCs w:val="32"/>
          <w:rtl/>
        </w:rPr>
        <w:t>الشَّرْعِ</w:t>
      </w:r>
      <w:r>
        <w:rPr>
          <w:rFonts w:hint="cs"/>
          <w:sz w:val="32"/>
          <w:szCs w:val="32"/>
          <w:rtl/>
        </w:rPr>
        <w:t xml:space="preserve"> يَكُونُ باطِلاً.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ق249 </w:t>
      </w:r>
      <w:r>
        <w:rPr>
          <w:sz w:val="32"/>
          <w:szCs w:val="32"/>
        </w:rPr>
        <w:tab/>
      </w:r>
      <w:r>
        <w:rPr>
          <w:rFonts w:hint="cs"/>
          <w:sz w:val="32"/>
          <w:szCs w:val="32"/>
          <w:rtl/>
        </w:rPr>
        <w:t xml:space="preserve">: النَّهْيُ يُقرِّرُ </w:t>
      </w:r>
      <w:r>
        <w:rPr>
          <w:rFonts w:hint="cs"/>
          <w:b/>
          <w:bCs/>
          <w:sz w:val="32"/>
          <w:szCs w:val="32"/>
          <w:rtl/>
        </w:rPr>
        <w:t>المَشْرُوعِيَّةَ</w:t>
      </w:r>
      <w:r>
        <w:rPr>
          <w:rFonts w:hint="cs"/>
          <w:sz w:val="32"/>
          <w:szCs w:val="32"/>
          <w:rtl/>
        </w:rPr>
        <w:t xml:space="preserve"> عِنْدَنَا.</w:t>
      </w:r>
    </w:p>
    <w:p w:rsidR="00284270" w:rsidRDefault="00284270" w:rsidP="0022714B">
      <w:pPr>
        <w:ind w:left="2833" w:hanging="2266"/>
        <w:rPr>
          <w:sz w:val="32"/>
          <w:szCs w:val="32"/>
          <w:rtl/>
        </w:rPr>
      </w:pPr>
      <w:r>
        <w:rPr>
          <w:rFonts w:hint="cs"/>
          <w:b/>
          <w:bCs/>
          <w:sz w:val="32"/>
          <w:szCs w:val="32"/>
          <w:rtl/>
        </w:rPr>
        <w:t>شرك</w:t>
      </w:r>
      <w:r>
        <w:rPr>
          <w:rFonts w:hint="cs"/>
          <w:sz w:val="32"/>
          <w:szCs w:val="32"/>
          <w:rtl/>
        </w:rPr>
        <w:t xml:space="preserve">        : ق82 </w:t>
      </w:r>
      <w:r>
        <w:rPr>
          <w:sz w:val="32"/>
          <w:szCs w:val="32"/>
        </w:rPr>
        <w:tab/>
      </w:r>
      <w:r>
        <w:rPr>
          <w:rFonts w:hint="cs"/>
          <w:sz w:val="32"/>
          <w:szCs w:val="32"/>
          <w:rtl/>
        </w:rPr>
        <w:t xml:space="preserve">: التَّقسيمُ يَقتَضِي انتفاءَ </w:t>
      </w:r>
      <w:r>
        <w:rPr>
          <w:rFonts w:hint="cs"/>
          <w:b/>
          <w:bCs/>
          <w:sz w:val="32"/>
          <w:szCs w:val="32"/>
          <w:rtl/>
        </w:rPr>
        <w:t>مُشَارَكَةِ</w:t>
      </w:r>
      <w:r>
        <w:rPr>
          <w:rFonts w:hint="cs"/>
          <w:sz w:val="32"/>
          <w:szCs w:val="32"/>
          <w:rtl/>
        </w:rPr>
        <w:t xml:space="preserve"> كُلِّ واحدٍ مِنْهُمَا عَنْ قِسمِ صَاحِبِهِ.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ق219 </w:t>
      </w:r>
      <w:r>
        <w:rPr>
          <w:sz w:val="32"/>
          <w:szCs w:val="32"/>
        </w:rPr>
        <w:tab/>
      </w:r>
      <w:r>
        <w:rPr>
          <w:rFonts w:hint="cs"/>
          <w:sz w:val="32"/>
          <w:szCs w:val="32"/>
          <w:rtl/>
        </w:rPr>
        <w:t xml:space="preserve">: مَا ثَبَتَ لِجَمَاعَةٍ فَهُوَ بَيْنَهُمْ عَلَى سَبِيلِ </w:t>
      </w:r>
      <w:r>
        <w:rPr>
          <w:rFonts w:hint="cs"/>
          <w:b/>
          <w:bCs/>
          <w:sz w:val="32"/>
          <w:szCs w:val="32"/>
          <w:rtl/>
        </w:rPr>
        <w:t>الاشْتِرَاكِ</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ق260 </w:t>
      </w:r>
      <w:r>
        <w:rPr>
          <w:sz w:val="32"/>
          <w:szCs w:val="32"/>
        </w:rPr>
        <w:tab/>
      </w:r>
      <w:r>
        <w:rPr>
          <w:rFonts w:hint="cs"/>
          <w:sz w:val="32"/>
          <w:szCs w:val="32"/>
          <w:rtl/>
        </w:rPr>
        <w:t xml:space="preserve">: يُرَجَّحُ بَعْضُ وُجُوهِ </w:t>
      </w:r>
      <w:r>
        <w:rPr>
          <w:rFonts w:hint="cs"/>
          <w:b/>
          <w:bCs/>
          <w:sz w:val="32"/>
          <w:szCs w:val="32"/>
          <w:rtl/>
        </w:rPr>
        <w:t>المُشْتَرَكِ</w:t>
      </w:r>
      <w:r>
        <w:rPr>
          <w:rFonts w:hint="cs"/>
          <w:sz w:val="32"/>
          <w:szCs w:val="32"/>
          <w:rtl/>
        </w:rPr>
        <w:t xml:space="preserve"> بِغَالِبِ الرَّأْيِ.</w:t>
      </w:r>
    </w:p>
    <w:p w:rsidR="00284270" w:rsidRDefault="00284270">
      <w:pPr>
        <w:rPr>
          <w:sz w:val="32"/>
          <w:szCs w:val="32"/>
          <w:rtl/>
        </w:rPr>
      </w:pPr>
      <w:r>
        <w:rPr>
          <w:rFonts w:hint="cs"/>
          <w:b/>
          <w:bCs/>
          <w:sz w:val="32"/>
          <w:szCs w:val="32"/>
          <w:rtl/>
        </w:rPr>
        <w:t>شرى</w:t>
      </w:r>
      <w:r>
        <w:rPr>
          <w:rFonts w:hint="cs"/>
          <w:sz w:val="32"/>
          <w:szCs w:val="32"/>
          <w:rtl/>
        </w:rPr>
        <w:tab/>
      </w:r>
      <w:r>
        <w:rPr>
          <w:sz w:val="32"/>
          <w:szCs w:val="32"/>
        </w:rPr>
        <w:tab/>
      </w:r>
      <w:r>
        <w:rPr>
          <w:rFonts w:hint="cs"/>
          <w:sz w:val="32"/>
          <w:szCs w:val="32"/>
          <w:rtl/>
        </w:rPr>
        <w:t xml:space="preserve">: ق233 </w:t>
      </w:r>
      <w:r>
        <w:rPr>
          <w:sz w:val="32"/>
          <w:szCs w:val="32"/>
        </w:rPr>
        <w:tab/>
      </w:r>
      <w:r>
        <w:rPr>
          <w:rFonts w:hint="cs"/>
          <w:sz w:val="32"/>
          <w:szCs w:val="32"/>
          <w:rtl/>
        </w:rPr>
        <w:t xml:space="preserve">: المَقْبُوضُ عَلَى سَوْمِ </w:t>
      </w:r>
      <w:r>
        <w:rPr>
          <w:rFonts w:hint="cs"/>
          <w:b/>
          <w:bCs/>
          <w:sz w:val="32"/>
          <w:szCs w:val="32"/>
          <w:rtl/>
        </w:rPr>
        <w:t>الشِّرَاءِ</w:t>
      </w:r>
      <w:r>
        <w:rPr>
          <w:rFonts w:hint="cs"/>
          <w:sz w:val="32"/>
          <w:szCs w:val="32"/>
          <w:rtl/>
        </w:rPr>
        <w:t xml:space="preserve"> مَضْمُونٌ بِقِيمَتِهِ.</w:t>
      </w:r>
    </w:p>
    <w:p w:rsidR="00284270" w:rsidRDefault="00284270">
      <w:pPr>
        <w:rPr>
          <w:sz w:val="32"/>
          <w:szCs w:val="32"/>
          <w:rtl/>
        </w:rPr>
      </w:pPr>
      <w:r>
        <w:rPr>
          <w:rFonts w:hint="cs"/>
          <w:b/>
          <w:bCs/>
          <w:sz w:val="32"/>
          <w:szCs w:val="32"/>
          <w:rtl/>
        </w:rPr>
        <w:t>شك</w:t>
      </w:r>
      <w:r>
        <w:rPr>
          <w:rFonts w:hint="cs"/>
          <w:sz w:val="32"/>
          <w:szCs w:val="32"/>
          <w:rtl/>
        </w:rPr>
        <w:tab/>
      </w:r>
      <w:r>
        <w:rPr>
          <w:sz w:val="32"/>
          <w:szCs w:val="32"/>
        </w:rPr>
        <w:tab/>
      </w:r>
      <w:r>
        <w:rPr>
          <w:rFonts w:hint="cs"/>
          <w:sz w:val="32"/>
          <w:szCs w:val="32"/>
          <w:rtl/>
        </w:rPr>
        <w:t xml:space="preserve">: ق244 </w:t>
      </w:r>
      <w:r>
        <w:rPr>
          <w:sz w:val="32"/>
          <w:szCs w:val="32"/>
        </w:rPr>
        <w:tab/>
      </w:r>
      <w:r>
        <w:rPr>
          <w:rFonts w:hint="cs"/>
          <w:sz w:val="32"/>
          <w:szCs w:val="32"/>
          <w:rtl/>
        </w:rPr>
        <w:t xml:space="preserve">: مَنْ </w:t>
      </w:r>
      <w:r>
        <w:rPr>
          <w:rFonts w:hint="cs"/>
          <w:b/>
          <w:bCs/>
          <w:sz w:val="32"/>
          <w:szCs w:val="32"/>
          <w:rtl/>
        </w:rPr>
        <w:t>شَكّ</w:t>
      </w:r>
      <w:r>
        <w:rPr>
          <w:rFonts w:hint="cs"/>
          <w:sz w:val="32"/>
          <w:szCs w:val="32"/>
          <w:rtl/>
        </w:rPr>
        <w:t xml:space="preserve"> هَلْ فَعَلَ شيئًا أوْ لا ؟: فالأصلُ أنَّهُ لَمْ يَفْعَلْ.</w:t>
      </w:r>
    </w:p>
    <w:p w:rsidR="00284270" w:rsidRDefault="00284270">
      <w:pPr>
        <w:rPr>
          <w:sz w:val="32"/>
          <w:szCs w:val="32"/>
          <w:rtl/>
        </w:rPr>
      </w:pPr>
      <w:r>
        <w:rPr>
          <w:rFonts w:hint="cs"/>
          <w:b/>
          <w:bCs/>
          <w:sz w:val="32"/>
          <w:szCs w:val="32"/>
          <w:rtl/>
        </w:rPr>
        <w:t>شهد</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ق148 </w:t>
      </w:r>
      <w:r>
        <w:rPr>
          <w:sz w:val="32"/>
          <w:szCs w:val="32"/>
        </w:rPr>
        <w:tab/>
      </w:r>
      <w:r>
        <w:rPr>
          <w:rFonts w:hint="cs"/>
          <w:sz w:val="32"/>
          <w:szCs w:val="32"/>
          <w:rtl/>
        </w:rPr>
        <w:t xml:space="preserve">: </w:t>
      </w:r>
      <w:r>
        <w:rPr>
          <w:rFonts w:hint="cs"/>
          <w:b/>
          <w:bCs/>
          <w:sz w:val="32"/>
          <w:szCs w:val="32"/>
          <w:rtl/>
        </w:rPr>
        <w:t>الشَّهَادَةُ</w:t>
      </w:r>
      <w:r>
        <w:rPr>
          <w:rFonts w:hint="cs"/>
          <w:sz w:val="32"/>
          <w:szCs w:val="32"/>
          <w:rtl/>
        </w:rPr>
        <w:t xml:space="preserve"> إذَا بَطَلَتْ فِي البَعْضِ بَطَلَتْ في الكُلِّ.</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ق149 </w:t>
      </w:r>
      <w:r>
        <w:rPr>
          <w:sz w:val="32"/>
          <w:szCs w:val="32"/>
        </w:rPr>
        <w:tab/>
      </w:r>
      <w:r>
        <w:rPr>
          <w:rFonts w:hint="cs"/>
          <w:sz w:val="32"/>
          <w:szCs w:val="32"/>
          <w:rtl/>
        </w:rPr>
        <w:t xml:space="preserve">: </w:t>
      </w:r>
      <w:r>
        <w:rPr>
          <w:rFonts w:hint="cs"/>
          <w:b/>
          <w:bCs/>
          <w:sz w:val="32"/>
          <w:szCs w:val="32"/>
          <w:rtl/>
        </w:rPr>
        <w:t>الشَّهَادَةُ</w:t>
      </w:r>
      <w:r>
        <w:rPr>
          <w:rFonts w:hint="cs"/>
          <w:sz w:val="32"/>
          <w:szCs w:val="32"/>
          <w:rtl/>
        </w:rPr>
        <w:t xml:space="preserve"> بِالمَجْهُولِ غَيْرُ صَحِيحَةٍ.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ق150 </w:t>
      </w:r>
      <w:r>
        <w:rPr>
          <w:sz w:val="32"/>
          <w:szCs w:val="32"/>
        </w:rPr>
        <w:tab/>
      </w:r>
      <w:r>
        <w:rPr>
          <w:rFonts w:hint="cs"/>
          <w:sz w:val="32"/>
          <w:szCs w:val="32"/>
          <w:rtl/>
        </w:rPr>
        <w:t xml:space="preserve">: </w:t>
      </w:r>
      <w:r>
        <w:rPr>
          <w:rFonts w:hint="cs"/>
          <w:b/>
          <w:bCs/>
          <w:sz w:val="32"/>
          <w:szCs w:val="32"/>
          <w:rtl/>
        </w:rPr>
        <w:t>شَهَادَةٌ</w:t>
      </w:r>
      <w:r>
        <w:rPr>
          <w:rFonts w:hint="cs"/>
          <w:sz w:val="32"/>
          <w:szCs w:val="32"/>
          <w:rtl/>
        </w:rPr>
        <w:t xml:space="preserve"> قَاصِرَةٌ يُتِمُّهَا غَيْرُهُمْ : تُقْبَلُ.</w:t>
      </w:r>
    </w:p>
    <w:p w:rsidR="00284270" w:rsidRDefault="00284270">
      <w:pPr>
        <w:rPr>
          <w:sz w:val="32"/>
          <w:szCs w:val="32"/>
          <w:rtl/>
        </w:rPr>
      </w:pPr>
      <w:r>
        <w:rPr>
          <w:rFonts w:hint="cs"/>
          <w:b/>
          <w:bCs/>
          <w:sz w:val="32"/>
          <w:szCs w:val="32"/>
          <w:rtl/>
        </w:rPr>
        <w:t>شيء</w:t>
      </w:r>
      <w:r>
        <w:rPr>
          <w:rFonts w:hint="cs"/>
          <w:sz w:val="32"/>
          <w:szCs w:val="32"/>
          <w:rtl/>
        </w:rPr>
        <w:tab/>
      </w:r>
      <w:r>
        <w:rPr>
          <w:sz w:val="32"/>
          <w:szCs w:val="32"/>
        </w:rPr>
        <w:tab/>
      </w:r>
      <w:r>
        <w:rPr>
          <w:rFonts w:hint="cs"/>
          <w:sz w:val="32"/>
          <w:szCs w:val="32"/>
          <w:rtl/>
        </w:rPr>
        <w:t xml:space="preserve">: ق151 </w:t>
      </w:r>
      <w:r>
        <w:rPr>
          <w:sz w:val="32"/>
          <w:szCs w:val="32"/>
        </w:rPr>
        <w:tab/>
      </w:r>
      <w:r>
        <w:rPr>
          <w:rFonts w:hint="cs"/>
          <w:sz w:val="32"/>
          <w:szCs w:val="32"/>
          <w:rtl/>
        </w:rPr>
        <w:t xml:space="preserve">: </w:t>
      </w:r>
      <w:r>
        <w:rPr>
          <w:rFonts w:hint="cs"/>
          <w:b/>
          <w:bCs/>
          <w:sz w:val="32"/>
          <w:szCs w:val="32"/>
          <w:rtl/>
        </w:rPr>
        <w:t>الشَّيُء</w:t>
      </w:r>
      <w:r>
        <w:rPr>
          <w:rFonts w:hint="cs"/>
          <w:sz w:val="32"/>
          <w:szCs w:val="32"/>
          <w:rtl/>
        </w:rPr>
        <w:t xml:space="preserve"> إِذَا ثَبَتَ ثَبَتَ بِجَميعِ لَوَازِمِهِ.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ق152 </w:t>
      </w:r>
      <w:r>
        <w:rPr>
          <w:sz w:val="32"/>
          <w:szCs w:val="32"/>
        </w:rPr>
        <w:tab/>
      </w:r>
      <w:r>
        <w:rPr>
          <w:rFonts w:hint="cs"/>
          <w:sz w:val="32"/>
          <w:szCs w:val="32"/>
          <w:rtl/>
        </w:rPr>
        <w:t xml:space="preserve">: </w:t>
      </w:r>
      <w:r>
        <w:rPr>
          <w:rFonts w:hint="cs"/>
          <w:b/>
          <w:bCs/>
          <w:sz w:val="32"/>
          <w:szCs w:val="32"/>
          <w:rtl/>
        </w:rPr>
        <w:t>الشَّيءُ</w:t>
      </w:r>
      <w:r>
        <w:rPr>
          <w:rFonts w:hint="cs"/>
          <w:sz w:val="32"/>
          <w:szCs w:val="32"/>
          <w:rtl/>
        </w:rPr>
        <w:t xml:space="preserve"> إِنَّمَا يُلْحَقُ بِغَيْرِهِ إِذَا تَسَاوَيَا مِنْ جَمِيعِ الوُجُوهِ.</w:t>
      </w:r>
    </w:p>
    <w:p w:rsidR="00284270" w:rsidRDefault="00284270" w:rsidP="0022714B">
      <w:pPr>
        <w:ind w:left="2833" w:hanging="2266"/>
        <w:rPr>
          <w:sz w:val="32"/>
          <w:szCs w:val="32"/>
          <w:rtl/>
        </w:rPr>
      </w:pPr>
      <w:r>
        <w:rPr>
          <w:rFonts w:hint="cs"/>
          <w:sz w:val="32"/>
          <w:szCs w:val="32"/>
          <w:rtl/>
        </w:rPr>
        <w:t xml:space="preserve">               ق191 </w:t>
      </w:r>
      <w:r>
        <w:rPr>
          <w:sz w:val="32"/>
          <w:szCs w:val="32"/>
        </w:rPr>
        <w:tab/>
      </w:r>
      <w:r>
        <w:rPr>
          <w:rFonts w:hint="cs"/>
          <w:sz w:val="32"/>
          <w:szCs w:val="32"/>
          <w:rtl/>
        </w:rPr>
        <w:t xml:space="preserve">: كُلُّ مُخيّرٍ بينَ </w:t>
      </w:r>
      <w:r>
        <w:rPr>
          <w:rFonts w:hint="cs"/>
          <w:b/>
          <w:bCs/>
          <w:sz w:val="32"/>
          <w:szCs w:val="32"/>
          <w:rtl/>
        </w:rPr>
        <w:t>شَيئَينِ</w:t>
      </w:r>
      <w:r>
        <w:rPr>
          <w:rFonts w:hint="cs"/>
          <w:sz w:val="32"/>
          <w:szCs w:val="32"/>
          <w:rtl/>
        </w:rPr>
        <w:t xml:space="preserve"> إذَا اختارَ أحدَهُمَا: تعيّنَ عليهِ، ولا يعُودُ على الآخَرِ.</w:t>
      </w:r>
    </w:p>
    <w:p w:rsidR="00284270" w:rsidRDefault="00284270">
      <w:pPr>
        <w:rPr>
          <w:sz w:val="32"/>
          <w:szCs w:val="32"/>
          <w:rtl/>
        </w:rPr>
      </w:pPr>
      <w:r>
        <w:rPr>
          <w:rFonts w:hint="cs"/>
          <w:sz w:val="32"/>
          <w:szCs w:val="32"/>
          <w:rtl/>
        </w:rPr>
        <w:t xml:space="preserve"> </w:t>
      </w:r>
    </w:p>
    <w:p w:rsidR="00284270" w:rsidRDefault="00284270">
      <w:pPr>
        <w:rPr>
          <w:sz w:val="32"/>
          <w:szCs w:val="32"/>
          <w:rtl/>
        </w:rPr>
      </w:pPr>
    </w:p>
    <w:p w:rsidR="00284270" w:rsidRDefault="0022714B">
      <w:pPr>
        <w:jc w:val="center"/>
        <w:rPr>
          <w:b/>
          <w:bCs/>
          <w:sz w:val="48"/>
          <w:szCs w:val="48"/>
          <w:rtl/>
        </w:rPr>
      </w:pPr>
      <w:r>
        <w:rPr>
          <w:noProof/>
          <w:rtl/>
        </w:rPr>
        <w:pict>
          <v:rect id="_x0000_s1040" style="position:absolute;left:0;text-align:left;margin-left:165.3pt;margin-top:2.95pt;width:54.15pt;height:37.05pt;z-index:-251636736;mso-wrap-edited:f" wrapcoords="-379 0 -379 21600 758 22265 23495 22265 23116 997 22358 0 -379 0">
            <v:shadow on="t" offset="3pt" offset2="2pt"/>
          </v:rect>
        </w:pict>
      </w:r>
      <w:r w:rsidR="00284270">
        <w:rPr>
          <w:rFonts w:hint="cs"/>
          <w:b/>
          <w:bCs/>
          <w:sz w:val="48"/>
          <w:szCs w:val="48"/>
          <w:rtl/>
        </w:rPr>
        <w:t>(ص)</w:t>
      </w:r>
    </w:p>
    <w:p w:rsidR="00284270" w:rsidRDefault="00284270">
      <w:pPr>
        <w:rPr>
          <w:rtl/>
        </w:rPr>
      </w:pPr>
    </w:p>
    <w:p w:rsidR="00284270" w:rsidRDefault="00284270">
      <w:pPr>
        <w:rPr>
          <w:sz w:val="32"/>
          <w:szCs w:val="32"/>
          <w:rtl/>
        </w:rPr>
      </w:pPr>
      <w:r>
        <w:rPr>
          <w:rFonts w:hint="cs"/>
          <w:b/>
          <w:bCs/>
          <w:sz w:val="32"/>
          <w:szCs w:val="32"/>
          <w:rtl/>
        </w:rPr>
        <w:lastRenderedPageBreak/>
        <w:t>صحب</w:t>
      </w:r>
      <w:r>
        <w:rPr>
          <w:rFonts w:hint="cs"/>
          <w:sz w:val="32"/>
          <w:szCs w:val="32"/>
          <w:rtl/>
        </w:rPr>
        <w:tab/>
      </w:r>
      <w:r>
        <w:rPr>
          <w:rFonts w:hint="cs"/>
          <w:sz w:val="32"/>
          <w:szCs w:val="32"/>
          <w:rtl/>
        </w:rPr>
        <w:tab/>
        <w:t xml:space="preserve">: ق22 </w:t>
      </w:r>
      <w:r>
        <w:rPr>
          <w:sz w:val="32"/>
          <w:szCs w:val="32"/>
        </w:rPr>
        <w:tab/>
      </w:r>
      <w:r>
        <w:rPr>
          <w:rFonts w:hint="cs"/>
          <w:sz w:val="32"/>
          <w:szCs w:val="32"/>
          <w:rtl/>
        </w:rPr>
        <w:tab/>
        <w:t xml:space="preserve">: </w:t>
      </w:r>
      <w:r>
        <w:rPr>
          <w:rFonts w:hint="cs"/>
          <w:b/>
          <w:bCs/>
          <w:sz w:val="32"/>
          <w:szCs w:val="32"/>
          <w:rtl/>
        </w:rPr>
        <w:t>الاسْتِصْحَابُ</w:t>
      </w:r>
      <w:r>
        <w:rPr>
          <w:rFonts w:hint="cs"/>
          <w:sz w:val="32"/>
          <w:szCs w:val="32"/>
          <w:rtl/>
        </w:rPr>
        <w:t xml:space="preserve"> حُجَّةٌ دَافِعَةٌ لا مُثْـبِتَةٌ. </w:t>
      </w:r>
    </w:p>
    <w:p w:rsidR="00284270" w:rsidRDefault="00284270" w:rsidP="0022714B">
      <w:pPr>
        <w:ind w:left="2833" w:hanging="2266"/>
        <w:rPr>
          <w:sz w:val="32"/>
          <w:szCs w:val="32"/>
          <w:rtl/>
        </w:rPr>
      </w:pPr>
      <w:r>
        <w:rPr>
          <w:rFonts w:hint="cs"/>
          <w:b/>
          <w:bCs/>
          <w:sz w:val="32"/>
          <w:szCs w:val="32"/>
          <w:rtl/>
        </w:rPr>
        <w:t>صحح</w:t>
      </w:r>
      <w:r>
        <w:rPr>
          <w:rFonts w:hint="cs"/>
          <w:sz w:val="32"/>
          <w:szCs w:val="32"/>
          <w:rtl/>
        </w:rPr>
        <w:t xml:space="preserve">      : ق106 </w:t>
      </w:r>
      <w:r>
        <w:rPr>
          <w:sz w:val="32"/>
          <w:szCs w:val="32"/>
        </w:rPr>
        <w:tab/>
      </w:r>
      <w:r>
        <w:rPr>
          <w:rFonts w:hint="cs"/>
          <w:sz w:val="32"/>
          <w:szCs w:val="32"/>
          <w:rtl/>
        </w:rPr>
        <w:t xml:space="preserve">: جهالةُ السّاقطِ لا تمنعُ </w:t>
      </w:r>
      <w:r>
        <w:rPr>
          <w:rFonts w:hint="cs"/>
          <w:b/>
          <w:bCs/>
          <w:sz w:val="32"/>
          <w:szCs w:val="32"/>
          <w:rtl/>
        </w:rPr>
        <w:t>صِحَّةَ</w:t>
      </w:r>
      <w:r>
        <w:rPr>
          <w:rFonts w:hint="cs"/>
          <w:sz w:val="32"/>
          <w:szCs w:val="32"/>
          <w:rtl/>
        </w:rPr>
        <w:t xml:space="preserve"> العقدِ؛ لأنَّهَا لا تُفضِي إلى المنازَعَةِ.</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ق123 </w:t>
      </w:r>
      <w:r>
        <w:rPr>
          <w:rFonts w:hint="cs"/>
          <w:sz w:val="32"/>
          <w:szCs w:val="32"/>
          <w:rtl/>
        </w:rPr>
        <w:tab/>
        <w:t xml:space="preserve">: الدَّفْعُ بَعْدَ الحُكْمِ </w:t>
      </w:r>
      <w:r>
        <w:rPr>
          <w:rFonts w:hint="cs"/>
          <w:b/>
          <w:bCs/>
          <w:sz w:val="32"/>
          <w:szCs w:val="32"/>
          <w:rtl/>
        </w:rPr>
        <w:t>صحيحٌ</w:t>
      </w:r>
      <w:r>
        <w:rPr>
          <w:rFonts w:hint="cs"/>
          <w:sz w:val="32"/>
          <w:szCs w:val="32"/>
          <w:rtl/>
        </w:rPr>
        <w:t xml:space="preserve"> إلاّ فِي المسألةِ المُخَمَّسَةِ.</w:t>
      </w:r>
    </w:p>
    <w:p w:rsidR="00284270" w:rsidRDefault="00284270" w:rsidP="0022714B">
      <w:pPr>
        <w:ind w:left="2833" w:hanging="2266"/>
        <w:rPr>
          <w:sz w:val="32"/>
          <w:szCs w:val="32"/>
          <w:rtl/>
        </w:rPr>
      </w:pPr>
      <w:r>
        <w:rPr>
          <w:rFonts w:hint="cs"/>
          <w:sz w:val="32"/>
          <w:szCs w:val="32"/>
          <w:rtl/>
        </w:rPr>
        <w:t xml:space="preserve">               ق154 </w:t>
      </w:r>
      <w:r>
        <w:rPr>
          <w:rFonts w:hint="cs"/>
          <w:sz w:val="32"/>
          <w:szCs w:val="32"/>
          <w:rtl/>
        </w:rPr>
        <w:tab/>
        <w:t xml:space="preserve">: </w:t>
      </w:r>
      <w:r>
        <w:rPr>
          <w:rFonts w:hint="cs"/>
          <w:b/>
          <w:bCs/>
          <w:sz w:val="32"/>
          <w:szCs w:val="32"/>
          <w:rtl/>
        </w:rPr>
        <w:t>صِحَّةُ</w:t>
      </w:r>
      <w:r>
        <w:rPr>
          <w:rFonts w:hint="cs"/>
          <w:sz w:val="32"/>
          <w:szCs w:val="32"/>
          <w:rtl/>
        </w:rPr>
        <w:t xml:space="preserve"> الحَلِفِ غَيْرُ مُفَارِقَةٍ عَنْ </w:t>
      </w:r>
      <w:r>
        <w:rPr>
          <w:rFonts w:hint="cs"/>
          <w:b/>
          <w:bCs/>
          <w:sz w:val="32"/>
          <w:szCs w:val="32"/>
          <w:rtl/>
        </w:rPr>
        <w:t>صِحَّةِ</w:t>
      </w:r>
      <w:r>
        <w:rPr>
          <w:rFonts w:hint="cs"/>
          <w:sz w:val="32"/>
          <w:szCs w:val="32"/>
          <w:rtl/>
        </w:rPr>
        <w:t xml:space="preserve"> الإِقْرَارِ، وَعَدَمُهَا عَنْ عَدَمِهَا.</w:t>
      </w:r>
    </w:p>
    <w:p w:rsidR="00284270" w:rsidRDefault="00284270">
      <w:pPr>
        <w:rPr>
          <w:sz w:val="32"/>
          <w:szCs w:val="32"/>
          <w:rtl/>
        </w:rPr>
      </w:pPr>
      <w:r>
        <w:rPr>
          <w:rFonts w:hint="cs"/>
          <w:b/>
          <w:bCs/>
          <w:sz w:val="32"/>
          <w:szCs w:val="32"/>
          <w:rtl/>
        </w:rPr>
        <w:t>صرح</w:t>
      </w:r>
      <w:r>
        <w:rPr>
          <w:rFonts w:hint="cs"/>
          <w:sz w:val="32"/>
          <w:szCs w:val="32"/>
          <w:rtl/>
        </w:rPr>
        <w:t xml:space="preserve"> </w:t>
      </w:r>
      <w:r>
        <w:rPr>
          <w:rFonts w:hint="cs"/>
          <w:sz w:val="32"/>
          <w:szCs w:val="32"/>
          <w:rtl/>
        </w:rPr>
        <w:tab/>
      </w:r>
      <w:r>
        <w:rPr>
          <w:rFonts w:hint="cs"/>
          <w:sz w:val="32"/>
          <w:szCs w:val="32"/>
          <w:rtl/>
        </w:rPr>
        <w:tab/>
        <w:t xml:space="preserve">: ق96 </w:t>
      </w:r>
      <w:r>
        <w:rPr>
          <w:rFonts w:hint="cs"/>
          <w:sz w:val="32"/>
          <w:szCs w:val="32"/>
          <w:rtl/>
        </w:rPr>
        <w:tab/>
      </w:r>
      <w:r>
        <w:rPr>
          <w:rFonts w:hint="cs"/>
          <w:sz w:val="32"/>
          <w:szCs w:val="32"/>
          <w:rtl/>
        </w:rPr>
        <w:tab/>
        <w:t xml:space="preserve">: الثَّابتُ بدلالةٍ إنَّمَا يُعْتَبَرُ إذَا لَمْ يُوجَدِ </w:t>
      </w:r>
      <w:r>
        <w:rPr>
          <w:rFonts w:hint="cs"/>
          <w:b/>
          <w:bCs/>
          <w:sz w:val="32"/>
          <w:szCs w:val="32"/>
          <w:rtl/>
        </w:rPr>
        <w:t>الصَّريحُ</w:t>
      </w:r>
      <w:r>
        <w:rPr>
          <w:rFonts w:hint="cs"/>
          <w:sz w:val="32"/>
          <w:szCs w:val="32"/>
          <w:rtl/>
        </w:rPr>
        <w:t xml:space="preserve"> بخلافِهِ.</w:t>
      </w:r>
    </w:p>
    <w:p w:rsidR="00284270" w:rsidRDefault="00284270" w:rsidP="0022714B">
      <w:pPr>
        <w:ind w:left="2833" w:hanging="2266"/>
        <w:rPr>
          <w:sz w:val="32"/>
          <w:szCs w:val="32"/>
          <w:rtl/>
        </w:rPr>
      </w:pPr>
      <w:r>
        <w:rPr>
          <w:rFonts w:hint="cs"/>
          <w:sz w:val="32"/>
          <w:szCs w:val="32"/>
          <w:rtl/>
        </w:rPr>
        <w:t xml:space="preserve">               ق126 </w:t>
      </w:r>
      <w:r>
        <w:rPr>
          <w:rFonts w:hint="cs"/>
          <w:sz w:val="32"/>
          <w:szCs w:val="32"/>
          <w:rtl/>
        </w:rPr>
        <w:tab/>
        <w:t xml:space="preserve">: الدَّلاَلَةُ تعملُ عَمَلَ </w:t>
      </w:r>
      <w:r>
        <w:rPr>
          <w:rFonts w:hint="cs"/>
          <w:b/>
          <w:bCs/>
          <w:sz w:val="32"/>
          <w:szCs w:val="32"/>
          <w:rtl/>
        </w:rPr>
        <w:t>الصَّرِيحِ</w:t>
      </w:r>
      <w:r>
        <w:rPr>
          <w:rFonts w:hint="cs"/>
          <w:sz w:val="32"/>
          <w:szCs w:val="32"/>
          <w:rtl/>
        </w:rPr>
        <w:t xml:space="preserve"> إذَا لَمْ يُوجَدْ </w:t>
      </w:r>
      <w:r>
        <w:rPr>
          <w:rFonts w:hint="cs"/>
          <w:b/>
          <w:bCs/>
          <w:sz w:val="32"/>
          <w:szCs w:val="32"/>
          <w:rtl/>
        </w:rPr>
        <w:t>صَرِيحٌ</w:t>
      </w:r>
      <w:r>
        <w:rPr>
          <w:rFonts w:hint="cs"/>
          <w:sz w:val="32"/>
          <w:szCs w:val="32"/>
          <w:rtl/>
        </w:rPr>
        <w:t xml:space="preserve"> يُعَارِضُهَا.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ق153 </w:t>
      </w:r>
      <w:r>
        <w:rPr>
          <w:rFonts w:hint="cs"/>
          <w:sz w:val="32"/>
          <w:szCs w:val="32"/>
          <w:rtl/>
        </w:rPr>
        <w:tab/>
        <w:t xml:space="preserve">: </w:t>
      </w:r>
      <w:r>
        <w:rPr>
          <w:rFonts w:hint="cs"/>
          <w:b/>
          <w:bCs/>
          <w:sz w:val="32"/>
          <w:szCs w:val="32"/>
          <w:rtl/>
        </w:rPr>
        <w:t>الصَّرِيْحُ</w:t>
      </w:r>
      <w:r>
        <w:rPr>
          <w:rFonts w:hint="cs"/>
          <w:sz w:val="32"/>
          <w:szCs w:val="32"/>
          <w:rtl/>
        </w:rPr>
        <w:t xml:space="preserve"> يُفَوِّتُ الدَّلاَلَةَ.</w:t>
      </w:r>
    </w:p>
    <w:p w:rsidR="00284270" w:rsidRDefault="00284270" w:rsidP="0022714B">
      <w:pPr>
        <w:ind w:left="2833" w:hanging="2266"/>
        <w:rPr>
          <w:sz w:val="32"/>
          <w:szCs w:val="32"/>
          <w:rtl/>
        </w:rPr>
      </w:pPr>
      <w:r>
        <w:rPr>
          <w:rFonts w:hint="cs"/>
          <w:b/>
          <w:bCs/>
          <w:sz w:val="32"/>
          <w:szCs w:val="32"/>
          <w:rtl/>
        </w:rPr>
        <w:t>صرف</w:t>
      </w:r>
      <w:r>
        <w:rPr>
          <w:rFonts w:hint="cs"/>
          <w:sz w:val="32"/>
          <w:szCs w:val="32"/>
          <w:rtl/>
        </w:rPr>
        <w:t xml:space="preserve">      : ق31 </w:t>
      </w:r>
      <w:r>
        <w:rPr>
          <w:rFonts w:hint="cs"/>
          <w:sz w:val="32"/>
          <w:szCs w:val="32"/>
          <w:rtl/>
        </w:rPr>
        <w:tab/>
        <w:t xml:space="preserve">: الأصلُ : أَنَّ كُلَّ </w:t>
      </w:r>
      <w:r>
        <w:rPr>
          <w:rFonts w:hint="cs"/>
          <w:b/>
          <w:bCs/>
          <w:sz w:val="32"/>
          <w:szCs w:val="32"/>
          <w:rtl/>
        </w:rPr>
        <w:t>تصرُّفٍ</w:t>
      </w:r>
      <w:r>
        <w:rPr>
          <w:rFonts w:hint="cs"/>
          <w:sz w:val="32"/>
          <w:szCs w:val="32"/>
          <w:rtl/>
        </w:rPr>
        <w:t xml:space="preserve"> يُوقَفُ حُكْمُهُ على شيءٍ : أنْ يُجْعَلَ مُعَلَّقًا بالشَّرْطِ، لا سببًا، إلاَّ فِيمَا لا يَحْتَمِلُ التَّعلِيقَ.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ق75 </w:t>
      </w:r>
      <w:r>
        <w:rPr>
          <w:rFonts w:hint="cs"/>
          <w:sz w:val="32"/>
          <w:szCs w:val="32"/>
          <w:rtl/>
        </w:rPr>
        <w:tab/>
      </w:r>
      <w:r>
        <w:rPr>
          <w:rFonts w:hint="cs"/>
          <w:sz w:val="32"/>
          <w:szCs w:val="32"/>
          <w:rtl/>
        </w:rPr>
        <w:tab/>
        <w:t xml:space="preserve">: </w:t>
      </w:r>
      <w:r>
        <w:rPr>
          <w:rFonts w:hint="cs"/>
          <w:b/>
          <w:bCs/>
          <w:sz w:val="32"/>
          <w:szCs w:val="32"/>
          <w:rtl/>
        </w:rPr>
        <w:t>تصَرُّفُ</w:t>
      </w:r>
      <w:r>
        <w:rPr>
          <w:rFonts w:hint="cs"/>
          <w:sz w:val="32"/>
          <w:szCs w:val="32"/>
          <w:rtl/>
        </w:rPr>
        <w:t xml:space="preserve"> الإمامِ على الرَّعيَّةِ مَنُوطٌ بالـمصلحةِ. </w:t>
      </w:r>
    </w:p>
    <w:p w:rsidR="00284270" w:rsidRDefault="00284270" w:rsidP="0022714B">
      <w:pPr>
        <w:ind w:left="2833" w:hanging="2266"/>
        <w:rPr>
          <w:sz w:val="32"/>
          <w:szCs w:val="32"/>
          <w:rtl/>
        </w:rPr>
      </w:pPr>
      <w:r>
        <w:rPr>
          <w:rFonts w:hint="cs"/>
          <w:sz w:val="32"/>
          <w:szCs w:val="32"/>
          <w:rtl/>
        </w:rPr>
        <w:t xml:space="preserve">               ق76</w:t>
      </w:r>
      <w:r>
        <w:rPr>
          <w:rFonts w:hint="cs"/>
          <w:sz w:val="32"/>
          <w:szCs w:val="32"/>
          <w:rtl/>
        </w:rPr>
        <w:tab/>
        <w:t xml:space="preserve">: </w:t>
      </w:r>
      <w:r>
        <w:rPr>
          <w:rFonts w:hint="cs"/>
          <w:b/>
          <w:bCs/>
          <w:sz w:val="32"/>
          <w:szCs w:val="32"/>
          <w:rtl/>
        </w:rPr>
        <w:t>تصُّرفُ</w:t>
      </w:r>
      <w:r>
        <w:rPr>
          <w:rFonts w:hint="cs"/>
          <w:sz w:val="32"/>
          <w:szCs w:val="32"/>
          <w:rtl/>
        </w:rPr>
        <w:t xml:space="preserve"> الإنسَانِ في خالِصِ حقِّهِ إنَّما يصحُّ إذا لَمْ يُتضرَّرْ بِهِ.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ق79 </w:t>
      </w:r>
      <w:r>
        <w:rPr>
          <w:rFonts w:hint="cs"/>
          <w:sz w:val="32"/>
          <w:szCs w:val="32"/>
          <w:rtl/>
        </w:rPr>
        <w:tab/>
      </w:r>
      <w:r>
        <w:rPr>
          <w:rFonts w:hint="cs"/>
          <w:sz w:val="32"/>
          <w:szCs w:val="32"/>
          <w:rtl/>
        </w:rPr>
        <w:tab/>
        <w:t xml:space="preserve">: تفويضُ </w:t>
      </w:r>
      <w:r>
        <w:rPr>
          <w:rFonts w:hint="cs"/>
          <w:b/>
          <w:bCs/>
          <w:sz w:val="32"/>
          <w:szCs w:val="32"/>
          <w:rtl/>
        </w:rPr>
        <w:t>التَّصرُّفِ</w:t>
      </w:r>
      <w:r>
        <w:rPr>
          <w:rFonts w:hint="cs"/>
          <w:sz w:val="32"/>
          <w:szCs w:val="32"/>
          <w:rtl/>
        </w:rPr>
        <w:t xml:space="preserve"> فِي مِلْكِ الغَيرِ لاَ يَجُوزُ. </w:t>
      </w:r>
    </w:p>
    <w:p w:rsidR="00284270" w:rsidRDefault="00284270" w:rsidP="0022714B">
      <w:pPr>
        <w:ind w:left="2833" w:hanging="2266"/>
        <w:rPr>
          <w:sz w:val="32"/>
          <w:szCs w:val="32"/>
          <w:rtl/>
        </w:rPr>
      </w:pPr>
      <w:r>
        <w:rPr>
          <w:rFonts w:hint="cs"/>
          <w:sz w:val="32"/>
          <w:szCs w:val="32"/>
          <w:rtl/>
        </w:rPr>
        <w:t xml:space="preserve">               ق215 </w:t>
      </w:r>
      <w:r>
        <w:rPr>
          <w:rFonts w:hint="cs"/>
          <w:sz w:val="32"/>
          <w:szCs w:val="32"/>
          <w:rtl/>
        </w:rPr>
        <w:tab/>
        <w:t xml:space="preserve">: مَا لاَ يَكُونُ لاِزَمًا مِنَ </w:t>
      </w:r>
      <w:r>
        <w:rPr>
          <w:rFonts w:hint="cs"/>
          <w:b/>
          <w:bCs/>
          <w:sz w:val="32"/>
          <w:szCs w:val="32"/>
          <w:rtl/>
        </w:rPr>
        <w:t>التَّصَرُّفَاتِ</w:t>
      </w:r>
      <w:r>
        <w:rPr>
          <w:rFonts w:hint="cs"/>
          <w:sz w:val="32"/>
          <w:szCs w:val="32"/>
          <w:rtl/>
        </w:rPr>
        <w:t xml:space="preserve"> يَكُونُ لِدَوَامِهِ حُكْمُ الابتدَاءِ.</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ق236 </w:t>
      </w:r>
      <w:r>
        <w:rPr>
          <w:rFonts w:hint="cs"/>
          <w:sz w:val="32"/>
          <w:szCs w:val="32"/>
          <w:rtl/>
        </w:rPr>
        <w:tab/>
        <w:t xml:space="preserve">: مَنْ لاَ يَلِي غَيْرَهُ لا يَجُوزُ </w:t>
      </w:r>
      <w:r>
        <w:rPr>
          <w:rFonts w:hint="cs"/>
          <w:b/>
          <w:bCs/>
          <w:sz w:val="32"/>
          <w:szCs w:val="32"/>
          <w:rtl/>
        </w:rPr>
        <w:t>تَصَرُّفُهُ</w:t>
      </w:r>
      <w:r>
        <w:rPr>
          <w:rFonts w:hint="cs"/>
          <w:sz w:val="32"/>
          <w:szCs w:val="32"/>
          <w:rtl/>
        </w:rPr>
        <w:t xml:space="preserve"> في حَقِّهِ.</w:t>
      </w:r>
    </w:p>
    <w:p w:rsidR="00284270" w:rsidRDefault="00284270" w:rsidP="0022714B">
      <w:pPr>
        <w:ind w:left="2833" w:hanging="2266"/>
        <w:rPr>
          <w:sz w:val="32"/>
          <w:szCs w:val="32"/>
          <w:rtl/>
        </w:rPr>
      </w:pPr>
      <w:r>
        <w:rPr>
          <w:rFonts w:hint="cs"/>
          <w:sz w:val="32"/>
          <w:szCs w:val="32"/>
          <w:rtl/>
        </w:rPr>
        <w:t xml:space="preserve">               ق261 </w:t>
      </w:r>
      <w:r>
        <w:rPr>
          <w:rFonts w:hint="cs"/>
          <w:sz w:val="32"/>
          <w:szCs w:val="32"/>
          <w:rtl/>
        </w:rPr>
        <w:tab/>
        <w:t xml:space="preserve">: يَدْخُلُ فِي </w:t>
      </w:r>
      <w:r>
        <w:rPr>
          <w:rFonts w:hint="cs"/>
          <w:b/>
          <w:bCs/>
          <w:sz w:val="32"/>
          <w:szCs w:val="32"/>
          <w:rtl/>
        </w:rPr>
        <w:t>التَّصَرُّفِ</w:t>
      </w:r>
      <w:r>
        <w:rPr>
          <w:rFonts w:hint="cs"/>
          <w:sz w:val="32"/>
          <w:szCs w:val="32"/>
          <w:rtl/>
        </w:rPr>
        <w:t xml:space="preserve"> تَبَعًا مَا لاَ يَجُوْزُ أَنْ يَكُونَ مَقْصُودًا.</w:t>
      </w:r>
    </w:p>
    <w:p w:rsidR="00284270" w:rsidRDefault="00284270">
      <w:pPr>
        <w:rPr>
          <w:sz w:val="32"/>
          <w:szCs w:val="32"/>
          <w:rtl/>
        </w:rPr>
      </w:pPr>
      <w:r>
        <w:rPr>
          <w:rFonts w:hint="cs"/>
          <w:b/>
          <w:bCs/>
          <w:sz w:val="32"/>
          <w:szCs w:val="32"/>
          <w:rtl/>
        </w:rPr>
        <w:t>صفق</w:t>
      </w:r>
      <w:r>
        <w:rPr>
          <w:rFonts w:hint="cs"/>
          <w:sz w:val="32"/>
          <w:szCs w:val="32"/>
          <w:rtl/>
        </w:rPr>
        <w:tab/>
      </w:r>
      <w:r>
        <w:rPr>
          <w:rFonts w:hint="cs"/>
          <w:sz w:val="32"/>
          <w:szCs w:val="32"/>
          <w:rtl/>
        </w:rPr>
        <w:tab/>
        <w:t xml:space="preserve">: ق81 </w:t>
      </w:r>
      <w:r>
        <w:rPr>
          <w:rFonts w:hint="cs"/>
          <w:sz w:val="32"/>
          <w:szCs w:val="32"/>
          <w:rtl/>
        </w:rPr>
        <w:tab/>
      </w:r>
      <w:r>
        <w:rPr>
          <w:rFonts w:hint="cs"/>
          <w:sz w:val="32"/>
          <w:szCs w:val="32"/>
          <w:rtl/>
        </w:rPr>
        <w:tab/>
        <w:t xml:space="preserve">: تَفريقُ </w:t>
      </w:r>
      <w:r>
        <w:rPr>
          <w:rFonts w:hint="cs"/>
          <w:b/>
          <w:bCs/>
          <w:sz w:val="32"/>
          <w:szCs w:val="32"/>
          <w:rtl/>
        </w:rPr>
        <w:t>الصَّفقَة</w:t>
      </w:r>
      <w:r>
        <w:rPr>
          <w:rFonts w:hint="cs"/>
          <w:sz w:val="32"/>
          <w:szCs w:val="32"/>
          <w:rtl/>
        </w:rPr>
        <w:t xml:space="preserve"> قبل القبْض لاَ يجُوز.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ق212 </w:t>
      </w:r>
      <w:r>
        <w:rPr>
          <w:rFonts w:hint="cs"/>
          <w:sz w:val="32"/>
          <w:szCs w:val="32"/>
          <w:rtl/>
        </w:rPr>
        <w:tab/>
        <w:t xml:space="preserve">: لاَ يَجُوزُ تَفْرِيقُ </w:t>
      </w:r>
      <w:r>
        <w:rPr>
          <w:rFonts w:hint="cs"/>
          <w:b/>
          <w:bCs/>
          <w:sz w:val="32"/>
          <w:szCs w:val="32"/>
          <w:rtl/>
        </w:rPr>
        <w:t>الصَّفْقَةِ</w:t>
      </w:r>
      <w:r>
        <w:rPr>
          <w:rFonts w:hint="cs"/>
          <w:sz w:val="32"/>
          <w:szCs w:val="32"/>
          <w:rtl/>
        </w:rPr>
        <w:t xml:space="preserve"> قَبْلَ التَّمَامِ.</w:t>
      </w:r>
    </w:p>
    <w:p w:rsidR="00284270" w:rsidRDefault="00284270">
      <w:pPr>
        <w:rPr>
          <w:sz w:val="32"/>
          <w:szCs w:val="32"/>
          <w:rtl/>
        </w:rPr>
      </w:pPr>
      <w:r>
        <w:rPr>
          <w:rFonts w:hint="cs"/>
          <w:b/>
          <w:bCs/>
          <w:sz w:val="32"/>
          <w:szCs w:val="32"/>
          <w:rtl/>
        </w:rPr>
        <w:t>صلح</w:t>
      </w:r>
      <w:r>
        <w:rPr>
          <w:rFonts w:hint="cs"/>
          <w:sz w:val="32"/>
          <w:szCs w:val="32"/>
          <w:rtl/>
        </w:rPr>
        <w:tab/>
      </w:r>
      <w:r>
        <w:rPr>
          <w:rFonts w:hint="cs"/>
          <w:sz w:val="32"/>
          <w:szCs w:val="32"/>
          <w:rtl/>
        </w:rPr>
        <w:tab/>
        <w:t xml:space="preserve">: ق75 </w:t>
      </w:r>
      <w:r>
        <w:rPr>
          <w:rFonts w:hint="cs"/>
          <w:sz w:val="32"/>
          <w:szCs w:val="32"/>
          <w:rtl/>
        </w:rPr>
        <w:tab/>
      </w:r>
      <w:r>
        <w:rPr>
          <w:rFonts w:hint="cs"/>
          <w:sz w:val="32"/>
          <w:szCs w:val="32"/>
          <w:rtl/>
        </w:rPr>
        <w:tab/>
        <w:t xml:space="preserve">: تصَرُّفُ الإمامِ على الرَّعيَّةِ مَنُوطٌ </w:t>
      </w:r>
      <w:r>
        <w:rPr>
          <w:rFonts w:hint="cs"/>
          <w:b/>
          <w:bCs/>
          <w:sz w:val="32"/>
          <w:szCs w:val="32"/>
          <w:rtl/>
        </w:rPr>
        <w:t>بالـمصلحةِ</w:t>
      </w:r>
      <w:r>
        <w:rPr>
          <w:rFonts w:hint="cs"/>
          <w:sz w:val="32"/>
          <w:szCs w:val="32"/>
          <w:rtl/>
        </w:rPr>
        <w:t xml:space="preserve">. </w:t>
      </w:r>
    </w:p>
    <w:p w:rsidR="00284270" w:rsidRDefault="0022714B">
      <w:pPr>
        <w:jc w:val="center"/>
        <w:rPr>
          <w:b/>
          <w:bCs/>
          <w:sz w:val="48"/>
          <w:szCs w:val="48"/>
          <w:rtl/>
        </w:rPr>
      </w:pPr>
      <w:r>
        <w:rPr>
          <w:b/>
          <w:bCs/>
          <w:noProof/>
          <w:szCs w:val="48"/>
          <w:rtl/>
        </w:rPr>
        <w:pict>
          <v:rect id="_x0000_s1041" style="position:absolute;left:0;text-align:left;margin-left:165.2pt;margin-top:5.7pt;width:54.15pt;height:37.05pt;z-index:-251635712;mso-wrap-edited:f" wrapcoords="-379 0 -379 21600 758 22265 23495 22265 23116 997 22358 0 -379 0">
            <v:shadow on="t" offset="3pt" offset2="2pt"/>
          </v:rect>
        </w:pict>
      </w:r>
      <w:r w:rsidR="00284270">
        <w:rPr>
          <w:rFonts w:hint="cs"/>
          <w:b/>
          <w:bCs/>
          <w:sz w:val="48"/>
          <w:szCs w:val="48"/>
          <w:rtl/>
        </w:rPr>
        <w:t>(ض)</w:t>
      </w:r>
    </w:p>
    <w:p w:rsidR="00284270" w:rsidRDefault="00284270">
      <w:pPr>
        <w:rPr>
          <w:rtl/>
        </w:rPr>
      </w:pPr>
    </w:p>
    <w:p w:rsidR="00284270" w:rsidRDefault="00284270">
      <w:pPr>
        <w:rPr>
          <w:sz w:val="32"/>
          <w:szCs w:val="32"/>
          <w:rtl/>
        </w:rPr>
      </w:pPr>
      <w:r>
        <w:rPr>
          <w:rFonts w:hint="cs"/>
          <w:b/>
          <w:bCs/>
          <w:sz w:val="32"/>
          <w:szCs w:val="32"/>
          <w:rtl/>
        </w:rPr>
        <w:t>ضرب</w:t>
      </w:r>
      <w:r>
        <w:rPr>
          <w:rFonts w:hint="cs"/>
          <w:sz w:val="32"/>
          <w:szCs w:val="32"/>
          <w:rtl/>
        </w:rPr>
        <w:tab/>
        <w:t xml:space="preserve"> </w:t>
      </w:r>
      <w:r>
        <w:rPr>
          <w:rFonts w:hint="cs"/>
          <w:sz w:val="32"/>
          <w:szCs w:val="32"/>
          <w:rtl/>
        </w:rPr>
        <w:tab/>
        <w:t xml:space="preserve">: ق30 </w:t>
      </w:r>
      <w:r>
        <w:rPr>
          <w:rFonts w:hint="cs"/>
          <w:sz w:val="32"/>
          <w:szCs w:val="32"/>
          <w:rtl/>
        </w:rPr>
        <w:tab/>
      </w:r>
      <w:r>
        <w:rPr>
          <w:rFonts w:hint="cs"/>
          <w:sz w:val="32"/>
          <w:szCs w:val="32"/>
          <w:rtl/>
        </w:rPr>
        <w:tab/>
        <w:t xml:space="preserve">: الأَصْلُ فِي الوَكَالَةِ الخُصُوصُ، وفِي </w:t>
      </w:r>
      <w:r>
        <w:rPr>
          <w:rFonts w:hint="cs"/>
          <w:b/>
          <w:bCs/>
          <w:sz w:val="32"/>
          <w:szCs w:val="32"/>
          <w:rtl/>
        </w:rPr>
        <w:t>المُضَارَبَةِ</w:t>
      </w:r>
      <w:r>
        <w:rPr>
          <w:rFonts w:hint="cs"/>
          <w:sz w:val="32"/>
          <w:szCs w:val="32"/>
          <w:rtl/>
        </w:rPr>
        <w:t xml:space="preserve"> العُمُومُ. </w:t>
      </w:r>
    </w:p>
    <w:p w:rsidR="00284270" w:rsidRDefault="00284270" w:rsidP="0022714B">
      <w:pPr>
        <w:ind w:left="2833" w:hanging="2266"/>
        <w:rPr>
          <w:sz w:val="32"/>
          <w:szCs w:val="32"/>
          <w:rtl/>
        </w:rPr>
      </w:pPr>
      <w:r>
        <w:rPr>
          <w:rFonts w:hint="cs"/>
          <w:b/>
          <w:bCs/>
          <w:sz w:val="32"/>
          <w:szCs w:val="32"/>
          <w:rtl/>
        </w:rPr>
        <w:t>ضرر</w:t>
      </w:r>
      <w:r>
        <w:rPr>
          <w:rFonts w:hint="cs"/>
          <w:sz w:val="32"/>
          <w:szCs w:val="32"/>
          <w:rtl/>
        </w:rPr>
        <w:t xml:space="preserve">          ق15 </w:t>
      </w:r>
      <w:r>
        <w:rPr>
          <w:rFonts w:hint="cs"/>
          <w:sz w:val="32"/>
          <w:szCs w:val="32"/>
          <w:rtl/>
        </w:rPr>
        <w:tab/>
        <w:t xml:space="preserve">: إذَا تَعَارَضَ المَفَسَدَتَانِ : رُوعِيَ أعظَمُهُمَا </w:t>
      </w:r>
      <w:r>
        <w:rPr>
          <w:rFonts w:hint="cs"/>
          <w:b/>
          <w:bCs/>
          <w:sz w:val="32"/>
          <w:szCs w:val="32"/>
          <w:rtl/>
        </w:rPr>
        <w:t>ضررًا</w:t>
      </w:r>
      <w:r>
        <w:rPr>
          <w:rFonts w:hint="cs"/>
          <w:sz w:val="32"/>
          <w:szCs w:val="32"/>
          <w:rtl/>
        </w:rPr>
        <w:t xml:space="preserve"> بارْتِكَابِ أخفِّهِمَا.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ق32 </w:t>
      </w:r>
      <w:r>
        <w:rPr>
          <w:rFonts w:hint="cs"/>
          <w:sz w:val="32"/>
          <w:szCs w:val="32"/>
          <w:rtl/>
        </w:rPr>
        <w:tab/>
      </w:r>
      <w:r>
        <w:rPr>
          <w:rFonts w:hint="cs"/>
          <w:sz w:val="32"/>
          <w:szCs w:val="32"/>
          <w:rtl/>
        </w:rPr>
        <w:tab/>
        <w:t xml:space="preserve">: </w:t>
      </w:r>
      <w:r>
        <w:rPr>
          <w:rFonts w:hint="cs"/>
          <w:b/>
          <w:bCs/>
          <w:sz w:val="32"/>
          <w:szCs w:val="32"/>
          <w:rtl/>
        </w:rPr>
        <w:t>الاضطِرارُ</w:t>
      </w:r>
      <w:r>
        <w:rPr>
          <w:rFonts w:hint="cs"/>
          <w:sz w:val="32"/>
          <w:szCs w:val="32"/>
          <w:rtl/>
        </w:rPr>
        <w:t xml:space="preserve"> لا يُـبْطِلُ حَقَّ غَيْرِهِ. </w:t>
      </w:r>
    </w:p>
    <w:p w:rsidR="00284270" w:rsidRDefault="00284270" w:rsidP="0022714B">
      <w:pPr>
        <w:ind w:left="2833" w:hanging="2266"/>
        <w:rPr>
          <w:sz w:val="32"/>
          <w:szCs w:val="32"/>
          <w:rtl/>
        </w:rPr>
      </w:pPr>
      <w:r>
        <w:rPr>
          <w:rFonts w:hint="cs"/>
          <w:sz w:val="32"/>
          <w:szCs w:val="32"/>
          <w:rtl/>
        </w:rPr>
        <w:t xml:space="preserve">               ق76 </w:t>
      </w:r>
      <w:r>
        <w:rPr>
          <w:rFonts w:hint="cs"/>
          <w:sz w:val="32"/>
          <w:szCs w:val="32"/>
          <w:rtl/>
        </w:rPr>
        <w:tab/>
        <w:t xml:space="preserve">: تصُّرفُ الإنسَانِ في خالِصِ حقِّهِ إنَّما يصحُّ إذا لَمْ </w:t>
      </w:r>
      <w:r>
        <w:rPr>
          <w:rFonts w:hint="cs"/>
          <w:b/>
          <w:bCs/>
          <w:sz w:val="32"/>
          <w:szCs w:val="32"/>
          <w:rtl/>
        </w:rPr>
        <w:t>يُتضرَّرْ</w:t>
      </w:r>
      <w:r>
        <w:rPr>
          <w:rFonts w:hint="cs"/>
          <w:sz w:val="32"/>
          <w:szCs w:val="32"/>
          <w:rtl/>
        </w:rPr>
        <w:t xml:space="preserve"> بِهِ. </w:t>
      </w:r>
    </w:p>
    <w:p w:rsidR="00284270" w:rsidRDefault="00284270" w:rsidP="0022714B">
      <w:pPr>
        <w:ind w:left="2833" w:hanging="2266"/>
        <w:rPr>
          <w:sz w:val="32"/>
          <w:szCs w:val="32"/>
          <w:rtl/>
        </w:rPr>
      </w:pPr>
      <w:r>
        <w:rPr>
          <w:rFonts w:hint="cs"/>
          <w:sz w:val="32"/>
          <w:szCs w:val="32"/>
          <w:rtl/>
        </w:rPr>
        <w:t xml:space="preserve">               ق80 </w:t>
      </w:r>
      <w:r>
        <w:rPr>
          <w:rFonts w:hint="cs"/>
          <w:sz w:val="32"/>
          <w:szCs w:val="32"/>
          <w:rtl/>
        </w:rPr>
        <w:tab/>
        <w:t xml:space="preserve">: التَّغرِيرُ فِي المعاوَضَةِ سَبَبُ الضَّمَانِ؛ دفعًا </w:t>
      </w:r>
      <w:r>
        <w:rPr>
          <w:rFonts w:hint="cs"/>
          <w:b/>
          <w:bCs/>
          <w:sz w:val="32"/>
          <w:szCs w:val="32"/>
          <w:rtl/>
        </w:rPr>
        <w:t>للضّرَرِ</w:t>
      </w:r>
      <w:r>
        <w:rPr>
          <w:rFonts w:hint="cs"/>
          <w:sz w:val="32"/>
          <w:szCs w:val="32"/>
          <w:rtl/>
        </w:rPr>
        <w:t xml:space="preserve"> بِقَدْرِ الإمْكانِ. </w:t>
      </w:r>
    </w:p>
    <w:p w:rsidR="00284270" w:rsidRDefault="00284270">
      <w:pPr>
        <w:rPr>
          <w:sz w:val="32"/>
          <w:szCs w:val="32"/>
          <w:rtl/>
        </w:rPr>
      </w:pPr>
      <w:r>
        <w:rPr>
          <w:rFonts w:hint="cs"/>
          <w:sz w:val="32"/>
          <w:szCs w:val="32"/>
          <w:rtl/>
        </w:rPr>
        <w:lastRenderedPageBreak/>
        <w:tab/>
      </w:r>
      <w:r>
        <w:rPr>
          <w:rFonts w:hint="cs"/>
          <w:sz w:val="32"/>
          <w:szCs w:val="32"/>
          <w:rtl/>
        </w:rPr>
        <w:tab/>
      </w:r>
      <w:r>
        <w:rPr>
          <w:rFonts w:hint="cs"/>
          <w:sz w:val="32"/>
          <w:szCs w:val="32"/>
          <w:rtl/>
        </w:rPr>
        <w:tab/>
        <w:t xml:space="preserve">  ق97 </w:t>
      </w:r>
      <w:r>
        <w:rPr>
          <w:rFonts w:hint="cs"/>
          <w:sz w:val="32"/>
          <w:szCs w:val="32"/>
          <w:rtl/>
        </w:rPr>
        <w:tab/>
      </w:r>
      <w:r>
        <w:rPr>
          <w:rFonts w:hint="cs"/>
          <w:sz w:val="32"/>
          <w:szCs w:val="32"/>
          <w:rtl/>
        </w:rPr>
        <w:tab/>
        <w:t xml:space="preserve">: الثَّابتُ </w:t>
      </w:r>
      <w:r>
        <w:rPr>
          <w:rFonts w:hint="cs"/>
          <w:b/>
          <w:bCs/>
          <w:sz w:val="32"/>
          <w:szCs w:val="32"/>
          <w:rtl/>
        </w:rPr>
        <w:t>بالضَّرورةِ</w:t>
      </w:r>
      <w:r>
        <w:rPr>
          <w:rFonts w:hint="cs"/>
          <w:sz w:val="32"/>
          <w:szCs w:val="32"/>
          <w:rtl/>
        </w:rPr>
        <w:t xml:space="preserve"> يتقدَّرُ بقدرِ </w:t>
      </w:r>
      <w:r>
        <w:rPr>
          <w:rFonts w:hint="cs"/>
          <w:b/>
          <w:bCs/>
          <w:sz w:val="32"/>
          <w:szCs w:val="32"/>
          <w:rtl/>
        </w:rPr>
        <w:t>الضَّرورَةِ</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ق99 </w:t>
      </w:r>
      <w:r>
        <w:rPr>
          <w:rFonts w:hint="cs"/>
          <w:sz w:val="32"/>
          <w:szCs w:val="32"/>
          <w:rtl/>
        </w:rPr>
        <w:tab/>
        <w:t xml:space="preserve">: جَازَ إقامةُ البَّيِنَةِ مَعَ الإقرارِ في كلِّ موضعٍ يُتوقَّعُ </w:t>
      </w:r>
      <w:r>
        <w:rPr>
          <w:rFonts w:hint="cs"/>
          <w:b/>
          <w:bCs/>
          <w:sz w:val="32"/>
          <w:szCs w:val="32"/>
          <w:rtl/>
        </w:rPr>
        <w:t>الضررُ</w:t>
      </w:r>
      <w:r>
        <w:rPr>
          <w:rFonts w:hint="cs"/>
          <w:sz w:val="32"/>
          <w:szCs w:val="32"/>
          <w:rtl/>
        </w:rPr>
        <w:t xml:space="preserve"> مِنْ غيرِالمُقِرِّ لولاها.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ق108 </w:t>
      </w:r>
      <w:r>
        <w:rPr>
          <w:rFonts w:hint="cs"/>
          <w:sz w:val="32"/>
          <w:szCs w:val="32"/>
          <w:rtl/>
        </w:rPr>
        <w:tab/>
        <w:t xml:space="preserve">: الحاجةُ تُنَزَّلُ منزلةَ </w:t>
      </w:r>
      <w:r>
        <w:rPr>
          <w:rFonts w:hint="cs"/>
          <w:b/>
          <w:bCs/>
          <w:sz w:val="32"/>
          <w:szCs w:val="32"/>
          <w:rtl/>
        </w:rPr>
        <w:t>الضَّرورةِ</w:t>
      </w:r>
      <w:r>
        <w:rPr>
          <w:rFonts w:hint="cs"/>
          <w:sz w:val="32"/>
          <w:szCs w:val="32"/>
          <w:rtl/>
        </w:rPr>
        <w:t>، عامَّةً كانتْ أو خاصَّةً.</w:t>
      </w:r>
    </w:p>
    <w:p w:rsidR="00284270" w:rsidRDefault="00284270" w:rsidP="0022714B">
      <w:pPr>
        <w:ind w:left="2833" w:hanging="2266"/>
        <w:rPr>
          <w:sz w:val="32"/>
          <w:szCs w:val="32"/>
          <w:rtl/>
        </w:rPr>
      </w:pPr>
      <w:r>
        <w:rPr>
          <w:rFonts w:hint="cs"/>
          <w:sz w:val="32"/>
          <w:szCs w:val="32"/>
          <w:rtl/>
        </w:rPr>
        <w:t xml:space="preserve">               ق118 </w:t>
      </w:r>
      <w:r>
        <w:rPr>
          <w:rFonts w:hint="cs"/>
          <w:sz w:val="32"/>
          <w:szCs w:val="32"/>
          <w:rtl/>
        </w:rPr>
        <w:tab/>
        <w:t xml:space="preserve">: الحيلةُ لدفعِ </w:t>
      </w:r>
      <w:r>
        <w:rPr>
          <w:rFonts w:hint="cs"/>
          <w:b/>
          <w:bCs/>
          <w:sz w:val="32"/>
          <w:szCs w:val="32"/>
          <w:rtl/>
        </w:rPr>
        <w:t>الضَّرَرِ</w:t>
      </w:r>
      <w:r>
        <w:rPr>
          <w:rFonts w:hint="cs"/>
          <w:sz w:val="32"/>
          <w:szCs w:val="32"/>
          <w:rtl/>
        </w:rPr>
        <w:t xml:space="preserve"> عَنْ نفـسِهِ جائزةٌ، وإنْ </w:t>
      </w:r>
      <w:r>
        <w:rPr>
          <w:rFonts w:hint="cs"/>
          <w:b/>
          <w:bCs/>
          <w:sz w:val="32"/>
          <w:szCs w:val="32"/>
          <w:rtl/>
        </w:rPr>
        <w:t>تضَرَّرَ</w:t>
      </w:r>
      <w:r>
        <w:rPr>
          <w:rFonts w:hint="cs"/>
          <w:sz w:val="32"/>
          <w:szCs w:val="32"/>
          <w:rtl/>
        </w:rPr>
        <w:t xml:space="preserve"> الغيرُ في ضِمْنِهِ.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ق157 </w:t>
      </w:r>
      <w:r>
        <w:rPr>
          <w:rFonts w:hint="cs"/>
          <w:sz w:val="32"/>
          <w:szCs w:val="32"/>
          <w:rtl/>
        </w:rPr>
        <w:tab/>
        <w:t xml:space="preserve">: </w:t>
      </w:r>
      <w:r>
        <w:rPr>
          <w:rFonts w:hint="cs"/>
          <w:b/>
          <w:bCs/>
          <w:sz w:val="32"/>
          <w:szCs w:val="32"/>
          <w:rtl/>
        </w:rPr>
        <w:t>الضَّرَرُ</w:t>
      </w:r>
      <w:r>
        <w:rPr>
          <w:rFonts w:hint="cs"/>
          <w:sz w:val="32"/>
          <w:szCs w:val="32"/>
          <w:rtl/>
        </w:rPr>
        <w:t xml:space="preserve"> لا يُزالُ </w:t>
      </w:r>
      <w:r>
        <w:rPr>
          <w:rFonts w:hint="cs"/>
          <w:b/>
          <w:bCs/>
          <w:sz w:val="32"/>
          <w:szCs w:val="32"/>
          <w:rtl/>
        </w:rPr>
        <w:t>بالضَّرَرِ</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ق158 </w:t>
      </w:r>
      <w:r>
        <w:rPr>
          <w:rFonts w:hint="cs"/>
          <w:sz w:val="32"/>
          <w:szCs w:val="32"/>
          <w:rtl/>
        </w:rPr>
        <w:tab/>
        <w:t xml:space="preserve">: </w:t>
      </w:r>
      <w:r>
        <w:rPr>
          <w:rFonts w:hint="cs"/>
          <w:b/>
          <w:bCs/>
          <w:sz w:val="32"/>
          <w:szCs w:val="32"/>
          <w:rtl/>
        </w:rPr>
        <w:t>الضَّرَرُ</w:t>
      </w:r>
      <w:r>
        <w:rPr>
          <w:rFonts w:hint="cs"/>
          <w:sz w:val="32"/>
          <w:szCs w:val="32"/>
          <w:rtl/>
        </w:rPr>
        <w:t xml:space="preserve"> مَدْفُوعٌ بِقَدْرِ الإمْكَان.</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ق155 </w:t>
      </w:r>
      <w:r>
        <w:rPr>
          <w:rFonts w:hint="cs"/>
          <w:sz w:val="32"/>
          <w:szCs w:val="32"/>
          <w:rtl/>
        </w:rPr>
        <w:tab/>
        <w:t xml:space="preserve">: </w:t>
      </w:r>
      <w:r>
        <w:rPr>
          <w:rFonts w:hint="cs"/>
          <w:b/>
          <w:bCs/>
          <w:sz w:val="32"/>
          <w:szCs w:val="32"/>
          <w:rtl/>
        </w:rPr>
        <w:t>الضَّرَرُ</w:t>
      </w:r>
      <w:r>
        <w:rPr>
          <w:rFonts w:hint="cs"/>
          <w:sz w:val="32"/>
          <w:szCs w:val="32"/>
          <w:rtl/>
        </w:rPr>
        <w:t xml:space="preserve"> يُزَالُ.</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ق156 </w:t>
      </w:r>
      <w:r>
        <w:rPr>
          <w:rFonts w:hint="cs"/>
          <w:sz w:val="32"/>
          <w:szCs w:val="32"/>
          <w:rtl/>
        </w:rPr>
        <w:tab/>
        <w:t xml:space="preserve">: </w:t>
      </w:r>
      <w:r>
        <w:rPr>
          <w:rFonts w:hint="cs"/>
          <w:b/>
          <w:bCs/>
          <w:sz w:val="32"/>
          <w:szCs w:val="32"/>
          <w:rtl/>
        </w:rPr>
        <w:t>الضَّرُورَاتُ</w:t>
      </w:r>
      <w:r>
        <w:rPr>
          <w:rFonts w:hint="cs"/>
          <w:sz w:val="32"/>
          <w:szCs w:val="32"/>
          <w:rtl/>
        </w:rPr>
        <w:t xml:space="preserve"> تُبِيحُ المَحْظُورَاتِ.</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ق170 </w:t>
      </w:r>
      <w:r>
        <w:rPr>
          <w:rFonts w:hint="cs"/>
          <w:sz w:val="32"/>
          <w:szCs w:val="32"/>
          <w:rtl/>
        </w:rPr>
        <w:tab/>
        <w:t xml:space="preserve">: العَمَلُ بالظَّاهِرِ هُوَ الأَصْلُ؛ لِدَفْعِ </w:t>
      </w:r>
      <w:r>
        <w:rPr>
          <w:rFonts w:hint="cs"/>
          <w:b/>
          <w:bCs/>
          <w:sz w:val="32"/>
          <w:szCs w:val="32"/>
          <w:rtl/>
        </w:rPr>
        <w:t>الضَّرَرِ</w:t>
      </w:r>
      <w:r>
        <w:rPr>
          <w:rFonts w:hint="cs"/>
          <w:sz w:val="32"/>
          <w:szCs w:val="32"/>
          <w:rtl/>
        </w:rPr>
        <w:t xml:space="preserve"> عَنِ النَّاسِ.</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ق220 </w:t>
      </w:r>
      <w:r>
        <w:rPr>
          <w:rFonts w:hint="cs"/>
          <w:sz w:val="32"/>
          <w:szCs w:val="32"/>
          <w:rtl/>
        </w:rPr>
        <w:tab/>
        <w:t xml:space="preserve">: مَا أُبِيحَ </w:t>
      </w:r>
      <w:r>
        <w:rPr>
          <w:rFonts w:hint="cs"/>
          <w:b/>
          <w:bCs/>
          <w:sz w:val="32"/>
          <w:szCs w:val="32"/>
          <w:rtl/>
        </w:rPr>
        <w:t>للضَّرُورَةِ</w:t>
      </w:r>
      <w:r>
        <w:rPr>
          <w:rFonts w:hint="cs"/>
          <w:sz w:val="32"/>
          <w:szCs w:val="32"/>
          <w:rtl/>
        </w:rPr>
        <w:t xml:space="preserve"> يَتَقَدَّرُ بِقَدْرِهَا.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ق241 </w:t>
      </w:r>
      <w:r>
        <w:rPr>
          <w:rFonts w:hint="cs"/>
          <w:sz w:val="32"/>
          <w:szCs w:val="32"/>
          <w:rtl/>
        </w:rPr>
        <w:tab/>
        <w:t xml:space="preserve">: مَنْ مَلَكَ شَيْئًا يَمْلِكُ مَا هُوَ مِنْ </w:t>
      </w:r>
      <w:r>
        <w:rPr>
          <w:rFonts w:hint="cs"/>
          <w:b/>
          <w:bCs/>
          <w:sz w:val="32"/>
          <w:szCs w:val="32"/>
          <w:rtl/>
        </w:rPr>
        <w:t>ضَرُورَاتِهِ</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ق259 </w:t>
      </w:r>
      <w:r>
        <w:rPr>
          <w:rFonts w:hint="cs"/>
          <w:sz w:val="32"/>
          <w:szCs w:val="32"/>
          <w:rtl/>
        </w:rPr>
        <w:tab/>
        <w:t xml:space="preserve">: يُتحمَّلُ </w:t>
      </w:r>
      <w:r>
        <w:rPr>
          <w:rFonts w:hint="cs"/>
          <w:b/>
          <w:bCs/>
          <w:sz w:val="32"/>
          <w:szCs w:val="32"/>
          <w:rtl/>
        </w:rPr>
        <w:t>الضَّرَرُ</w:t>
      </w:r>
      <w:r>
        <w:rPr>
          <w:rFonts w:hint="cs"/>
          <w:sz w:val="32"/>
          <w:szCs w:val="32"/>
          <w:rtl/>
        </w:rPr>
        <w:t xml:space="preserve"> الخَاصُّ لأجلِ دَفْعِ </w:t>
      </w:r>
      <w:r>
        <w:rPr>
          <w:rFonts w:hint="cs"/>
          <w:b/>
          <w:bCs/>
          <w:sz w:val="32"/>
          <w:szCs w:val="32"/>
          <w:rtl/>
        </w:rPr>
        <w:t>ضَرَرٍ</w:t>
      </w:r>
      <w:r>
        <w:rPr>
          <w:rFonts w:hint="cs"/>
          <w:sz w:val="32"/>
          <w:szCs w:val="32"/>
          <w:rtl/>
        </w:rPr>
        <w:t xml:space="preserve"> عَامٍّ.</w:t>
      </w:r>
    </w:p>
    <w:p w:rsidR="00284270" w:rsidRDefault="00284270">
      <w:pPr>
        <w:rPr>
          <w:sz w:val="32"/>
          <w:szCs w:val="32"/>
          <w:rtl/>
        </w:rPr>
      </w:pPr>
      <w:r w:rsidRPr="00DA065F">
        <w:rPr>
          <w:rFonts w:hint="cs"/>
          <w:b/>
          <w:bCs/>
          <w:sz w:val="32"/>
          <w:szCs w:val="32"/>
          <w:rtl/>
        </w:rPr>
        <w:t>ضعف</w:t>
      </w:r>
      <w:r>
        <w:rPr>
          <w:rFonts w:hint="cs"/>
          <w:sz w:val="32"/>
          <w:szCs w:val="32"/>
          <w:rtl/>
        </w:rPr>
        <w:tab/>
      </w:r>
      <w:r>
        <w:rPr>
          <w:rFonts w:hint="cs"/>
          <w:sz w:val="32"/>
          <w:szCs w:val="32"/>
          <w:rtl/>
        </w:rPr>
        <w:tab/>
        <w:t xml:space="preserve">: ق56 </w:t>
      </w:r>
      <w:r>
        <w:rPr>
          <w:rFonts w:hint="cs"/>
          <w:sz w:val="32"/>
          <w:szCs w:val="32"/>
          <w:rtl/>
        </w:rPr>
        <w:tab/>
      </w:r>
      <w:r>
        <w:rPr>
          <w:rFonts w:hint="cs"/>
          <w:sz w:val="32"/>
          <w:szCs w:val="32"/>
          <w:rtl/>
        </w:rPr>
        <w:tab/>
        <w:t xml:space="preserve">: </w:t>
      </w:r>
      <w:r>
        <w:rPr>
          <w:rFonts w:hint="eastAsia"/>
          <w:sz w:val="32"/>
          <w:szCs w:val="32"/>
          <w:rtl/>
        </w:rPr>
        <w:t>ب</w:t>
      </w:r>
      <w:r>
        <w:rPr>
          <w:rFonts w:hint="cs"/>
          <w:sz w:val="32"/>
          <w:szCs w:val="32"/>
          <w:rtl/>
        </w:rPr>
        <w:t>ِ</w:t>
      </w:r>
      <w:r>
        <w:rPr>
          <w:rFonts w:hint="eastAsia"/>
          <w:sz w:val="32"/>
          <w:szCs w:val="32"/>
          <w:rtl/>
        </w:rPr>
        <w:t>ن</w:t>
      </w:r>
      <w:r>
        <w:rPr>
          <w:rFonts w:hint="cs"/>
          <w:sz w:val="32"/>
          <w:szCs w:val="32"/>
          <w:rtl/>
        </w:rPr>
        <w:t>َ</w:t>
      </w:r>
      <w:r>
        <w:rPr>
          <w:rFonts w:hint="eastAsia"/>
          <w:sz w:val="32"/>
          <w:szCs w:val="32"/>
          <w:rtl/>
        </w:rPr>
        <w:t>اء</w:t>
      </w:r>
      <w:r>
        <w:rPr>
          <w:rFonts w:hint="cs"/>
          <w:sz w:val="32"/>
          <w:szCs w:val="32"/>
          <w:rtl/>
        </w:rPr>
        <w:t>ُ</w:t>
      </w:r>
      <w:r>
        <w:rPr>
          <w:sz w:val="32"/>
          <w:szCs w:val="32"/>
          <w:rtl/>
        </w:rPr>
        <w:t xml:space="preserve"> الق</w:t>
      </w:r>
      <w:r>
        <w:rPr>
          <w:rFonts w:hint="cs"/>
          <w:sz w:val="32"/>
          <w:szCs w:val="32"/>
          <w:rtl/>
        </w:rPr>
        <w:t>َ</w:t>
      </w:r>
      <w:r>
        <w:rPr>
          <w:sz w:val="32"/>
          <w:szCs w:val="32"/>
          <w:rtl/>
        </w:rPr>
        <w:t>و</w:t>
      </w:r>
      <w:r>
        <w:rPr>
          <w:rFonts w:hint="cs"/>
          <w:sz w:val="32"/>
          <w:szCs w:val="32"/>
          <w:rtl/>
        </w:rPr>
        <w:t>ِ</w:t>
      </w:r>
      <w:r>
        <w:rPr>
          <w:sz w:val="32"/>
          <w:szCs w:val="32"/>
          <w:rtl/>
        </w:rPr>
        <w:t>يّ</w:t>
      </w:r>
      <w:r>
        <w:rPr>
          <w:rFonts w:hint="cs"/>
          <w:sz w:val="32"/>
          <w:szCs w:val="32"/>
          <w:rtl/>
        </w:rPr>
        <w:t>ِ</w:t>
      </w:r>
      <w:r>
        <w:rPr>
          <w:sz w:val="32"/>
          <w:szCs w:val="32"/>
          <w:rtl/>
        </w:rPr>
        <w:t xml:space="preserve"> على </w:t>
      </w:r>
      <w:r>
        <w:rPr>
          <w:rFonts w:hint="eastAsia"/>
          <w:b/>
          <w:bCs/>
          <w:sz w:val="32"/>
          <w:szCs w:val="32"/>
          <w:rtl/>
        </w:rPr>
        <w:t>الض</w:t>
      </w:r>
      <w:r>
        <w:rPr>
          <w:rFonts w:hint="cs"/>
          <w:b/>
          <w:bCs/>
          <w:sz w:val="32"/>
          <w:szCs w:val="32"/>
          <w:rtl/>
        </w:rPr>
        <w:t>َّ</w:t>
      </w:r>
      <w:r>
        <w:rPr>
          <w:rFonts w:hint="eastAsia"/>
          <w:b/>
          <w:bCs/>
          <w:sz w:val="32"/>
          <w:szCs w:val="32"/>
          <w:rtl/>
        </w:rPr>
        <w:t>ع</w:t>
      </w:r>
      <w:r>
        <w:rPr>
          <w:rFonts w:hint="cs"/>
          <w:b/>
          <w:bCs/>
          <w:sz w:val="32"/>
          <w:szCs w:val="32"/>
          <w:rtl/>
        </w:rPr>
        <w:t>ِ</w:t>
      </w:r>
      <w:r>
        <w:rPr>
          <w:rFonts w:hint="eastAsia"/>
          <w:b/>
          <w:bCs/>
          <w:sz w:val="32"/>
          <w:szCs w:val="32"/>
          <w:rtl/>
        </w:rPr>
        <w:t>ي</w:t>
      </w:r>
      <w:r>
        <w:rPr>
          <w:rFonts w:hint="cs"/>
          <w:b/>
          <w:bCs/>
          <w:sz w:val="32"/>
          <w:szCs w:val="32"/>
          <w:rtl/>
        </w:rPr>
        <w:t>ْ</w:t>
      </w:r>
      <w:r>
        <w:rPr>
          <w:rFonts w:hint="eastAsia"/>
          <w:b/>
          <w:bCs/>
          <w:sz w:val="32"/>
          <w:szCs w:val="32"/>
          <w:rtl/>
        </w:rPr>
        <w:t>ف</w:t>
      </w:r>
      <w:r>
        <w:rPr>
          <w:rFonts w:hint="cs"/>
          <w:b/>
          <w:bCs/>
          <w:sz w:val="32"/>
          <w:szCs w:val="32"/>
          <w:rtl/>
        </w:rPr>
        <w:t>ِ</w:t>
      </w:r>
      <w:r>
        <w:rPr>
          <w:sz w:val="32"/>
          <w:szCs w:val="32"/>
          <w:rtl/>
        </w:rPr>
        <w:t xml:space="preserve"> ف</w:t>
      </w:r>
      <w:r>
        <w:rPr>
          <w:rFonts w:hint="cs"/>
          <w:sz w:val="32"/>
          <w:szCs w:val="32"/>
          <w:rtl/>
        </w:rPr>
        <w:t>َ</w:t>
      </w:r>
      <w:r>
        <w:rPr>
          <w:sz w:val="32"/>
          <w:szCs w:val="32"/>
          <w:rtl/>
        </w:rPr>
        <w:t>اس</w:t>
      </w:r>
      <w:r>
        <w:rPr>
          <w:rFonts w:hint="cs"/>
          <w:sz w:val="32"/>
          <w:szCs w:val="32"/>
          <w:rtl/>
        </w:rPr>
        <w:t>ِ</w:t>
      </w:r>
      <w:r>
        <w:rPr>
          <w:sz w:val="32"/>
          <w:szCs w:val="32"/>
          <w:rtl/>
        </w:rPr>
        <w:t>د</w:t>
      </w:r>
      <w:r>
        <w:rPr>
          <w:rFonts w:hint="cs"/>
          <w:sz w:val="32"/>
          <w:szCs w:val="32"/>
          <w:rtl/>
        </w:rPr>
        <w:t xml:space="preserve">ٌ. </w:t>
      </w:r>
    </w:p>
    <w:p w:rsidR="00284270" w:rsidRDefault="00284270">
      <w:pPr>
        <w:rPr>
          <w:sz w:val="32"/>
          <w:szCs w:val="32"/>
          <w:rtl/>
        </w:rPr>
      </w:pPr>
      <w:r w:rsidRPr="00DA065F">
        <w:rPr>
          <w:rFonts w:hint="cs"/>
          <w:b/>
          <w:bCs/>
          <w:sz w:val="32"/>
          <w:szCs w:val="32"/>
          <w:rtl/>
        </w:rPr>
        <w:t>ضمن</w:t>
      </w:r>
      <w:r>
        <w:rPr>
          <w:rFonts w:hint="cs"/>
          <w:sz w:val="32"/>
          <w:szCs w:val="32"/>
          <w:rtl/>
        </w:rPr>
        <w:tab/>
      </w:r>
      <w:r>
        <w:rPr>
          <w:rFonts w:hint="cs"/>
          <w:sz w:val="32"/>
          <w:szCs w:val="32"/>
          <w:rtl/>
        </w:rPr>
        <w:tab/>
        <w:t xml:space="preserve">: ق7 </w:t>
      </w:r>
      <w:r>
        <w:rPr>
          <w:rFonts w:hint="cs"/>
          <w:sz w:val="32"/>
          <w:szCs w:val="32"/>
          <w:rtl/>
        </w:rPr>
        <w:tab/>
      </w:r>
      <w:r>
        <w:rPr>
          <w:rFonts w:hint="cs"/>
          <w:sz w:val="32"/>
          <w:szCs w:val="32"/>
          <w:rtl/>
        </w:rPr>
        <w:tab/>
        <w:t>: الأجرُ و</w:t>
      </w:r>
      <w:r>
        <w:rPr>
          <w:rFonts w:hint="cs"/>
          <w:b/>
          <w:bCs/>
          <w:sz w:val="32"/>
          <w:szCs w:val="32"/>
          <w:rtl/>
        </w:rPr>
        <w:t>الضَّمَانُ</w:t>
      </w:r>
      <w:r>
        <w:rPr>
          <w:rFonts w:hint="cs"/>
          <w:sz w:val="32"/>
          <w:szCs w:val="32"/>
          <w:rtl/>
        </w:rPr>
        <w:t xml:space="preserve"> لا يَجْتَمِعَانِ.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ق10 </w:t>
      </w:r>
      <w:r>
        <w:rPr>
          <w:rFonts w:hint="cs"/>
          <w:sz w:val="32"/>
          <w:szCs w:val="32"/>
          <w:rtl/>
        </w:rPr>
        <w:tab/>
      </w:r>
      <w:r>
        <w:rPr>
          <w:rFonts w:hint="cs"/>
          <w:sz w:val="32"/>
          <w:szCs w:val="32"/>
          <w:rtl/>
        </w:rPr>
        <w:tab/>
        <w:t xml:space="preserve">: إذَا بَطَلَ الشَّيءُ بطلَ ما في </w:t>
      </w:r>
      <w:r>
        <w:rPr>
          <w:rFonts w:hint="cs"/>
          <w:b/>
          <w:bCs/>
          <w:sz w:val="32"/>
          <w:szCs w:val="32"/>
          <w:rtl/>
        </w:rPr>
        <w:t>ضِمنِهِ</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ق36 </w:t>
      </w:r>
      <w:r>
        <w:rPr>
          <w:rFonts w:hint="cs"/>
          <w:sz w:val="32"/>
          <w:szCs w:val="32"/>
          <w:rtl/>
        </w:rPr>
        <w:tab/>
      </w:r>
      <w:r>
        <w:rPr>
          <w:rFonts w:hint="cs"/>
          <w:sz w:val="32"/>
          <w:szCs w:val="32"/>
          <w:rtl/>
        </w:rPr>
        <w:tab/>
        <w:t xml:space="preserve">: الأَعْيَانُ </w:t>
      </w:r>
      <w:r>
        <w:rPr>
          <w:rFonts w:hint="cs"/>
          <w:b/>
          <w:bCs/>
          <w:sz w:val="32"/>
          <w:szCs w:val="32"/>
          <w:rtl/>
        </w:rPr>
        <w:t>المَضْمُونَةُ</w:t>
      </w:r>
      <w:r>
        <w:rPr>
          <w:rFonts w:hint="cs"/>
          <w:sz w:val="32"/>
          <w:szCs w:val="32"/>
          <w:rtl/>
        </w:rPr>
        <w:t xml:space="preserve"> بِنَفْسِهَا.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 </w:t>
      </w:r>
      <w:r>
        <w:rPr>
          <w:rFonts w:hint="cs"/>
          <w:sz w:val="32"/>
          <w:szCs w:val="32"/>
          <w:rtl/>
        </w:rPr>
        <w:tab/>
      </w:r>
      <w:r>
        <w:rPr>
          <w:rFonts w:hint="cs"/>
          <w:sz w:val="32"/>
          <w:szCs w:val="32"/>
          <w:rtl/>
        </w:rPr>
        <w:tab/>
        <w:t xml:space="preserve">: الآمرُ لاَ </w:t>
      </w:r>
      <w:r>
        <w:rPr>
          <w:rFonts w:hint="cs"/>
          <w:b/>
          <w:bCs/>
          <w:sz w:val="32"/>
          <w:szCs w:val="32"/>
          <w:rtl/>
        </w:rPr>
        <w:t>يضمنُ</w:t>
      </w:r>
      <w:r>
        <w:rPr>
          <w:rFonts w:hint="cs"/>
          <w:sz w:val="32"/>
          <w:szCs w:val="32"/>
          <w:rtl/>
        </w:rPr>
        <w:t xml:space="preserve"> بالأمرِ</w:t>
      </w:r>
      <w:r>
        <w:rPr>
          <w:rFonts w:hint="cs"/>
          <w:sz w:val="32"/>
          <w:szCs w:val="32"/>
          <w:rtl/>
          <w:lang w:bidi="ar-AE"/>
        </w:rPr>
        <w:t>.</w:t>
      </w:r>
      <w:r>
        <w:rPr>
          <w:rFonts w:hint="cs"/>
          <w:sz w:val="32"/>
          <w:szCs w:val="32"/>
          <w:rtl/>
        </w:rPr>
        <w:t xml:space="preserve"> </w:t>
      </w:r>
    </w:p>
    <w:p w:rsidR="00284270" w:rsidRDefault="00284270" w:rsidP="0022714B">
      <w:pPr>
        <w:ind w:left="794" w:hanging="227"/>
        <w:rPr>
          <w:sz w:val="32"/>
          <w:szCs w:val="32"/>
          <w:rtl/>
        </w:rPr>
      </w:pPr>
      <w:r>
        <w:rPr>
          <w:rFonts w:hint="cs"/>
          <w:sz w:val="32"/>
          <w:szCs w:val="32"/>
          <w:rtl/>
        </w:rPr>
        <w:tab/>
      </w:r>
      <w:r>
        <w:rPr>
          <w:rFonts w:hint="cs"/>
          <w:sz w:val="32"/>
          <w:szCs w:val="32"/>
          <w:rtl/>
        </w:rPr>
        <w:tab/>
      </w:r>
      <w:r>
        <w:rPr>
          <w:rFonts w:hint="cs"/>
          <w:sz w:val="32"/>
          <w:szCs w:val="32"/>
          <w:rtl/>
        </w:rPr>
        <w:tab/>
        <w:t xml:space="preserve">  ق76 </w:t>
      </w:r>
      <w:r>
        <w:rPr>
          <w:rFonts w:hint="cs"/>
          <w:sz w:val="32"/>
          <w:szCs w:val="32"/>
          <w:rtl/>
        </w:rPr>
        <w:tab/>
      </w:r>
      <w:r>
        <w:rPr>
          <w:rFonts w:hint="cs"/>
          <w:sz w:val="32"/>
          <w:szCs w:val="32"/>
          <w:rtl/>
        </w:rPr>
        <w:tab/>
        <w:t>: تَأكيدُ مَا كانَ على شَرَفِ السُّقُوطِ يجرِي مجرَى</w:t>
      </w:r>
    </w:p>
    <w:p w:rsidR="00284270" w:rsidRDefault="00284270">
      <w:pPr>
        <w:ind w:left="2382" w:right="2382" w:firstLine="397"/>
        <w:rPr>
          <w:sz w:val="32"/>
          <w:szCs w:val="32"/>
          <w:rtl/>
        </w:rPr>
      </w:pPr>
      <w:r>
        <w:rPr>
          <w:rFonts w:hint="cs"/>
          <w:sz w:val="32"/>
          <w:szCs w:val="32"/>
          <w:rtl/>
        </w:rPr>
        <w:t xml:space="preserve"> الإتْلاَفِ في إيجابِ </w:t>
      </w:r>
      <w:r>
        <w:rPr>
          <w:rFonts w:hint="cs"/>
          <w:b/>
          <w:bCs/>
          <w:sz w:val="32"/>
          <w:szCs w:val="32"/>
          <w:rtl/>
        </w:rPr>
        <w:t>الضَّمانِ</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ق80 </w:t>
      </w:r>
      <w:r>
        <w:rPr>
          <w:rFonts w:hint="cs"/>
          <w:sz w:val="32"/>
          <w:szCs w:val="32"/>
          <w:rtl/>
        </w:rPr>
        <w:tab/>
        <w:t xml:space="preserve">: التَّغرِيرُ فِي المعاوَضَةِ سَبَبُ </w:t>
      </w:r>
      <w:r>
        <w:rPr>
          <w:rFonts w:hint="cs"/>
          <w:b/>
          <w:bCs/>
          <w:sz w:val="32"/>
          <w:szCs w:val="32"/>
          <w:rtl/>
        </w:rPr>
        <w:t>الضَّمَانِ</w:t>
      </w:r>
      <w:r>
        <w:rPr>
          <w:rFonts w:hint="cs"/>
          <w:sz w:val="32"/>
          <w:szCs w:val="32"/>
          <w:rtl/>
        </w:rPr>
        <w:t xml:space="preserve">؛ دفعًا للضّرَرِ بِقَدْرِ الإمْكانِ.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ق103 </w:t>
      </w:r>
      <w:r>
        <w:rPr>
          <w:rFonts w:hint="cs"/>
          <w:sz w:val="32"/>
          <w:szCs w:val="32"/>
          <w:rtl/>
        </w:rPr>
        <w:tab/>
        <w:t xml:space="preserve">: جوازُ الشَّرعِ يُنَافِي </w:t>
      </w:r>
      <w:r>
        <w:rPr>
          <w:rFonts w:hint="cs"/>
          <w:b/>
          <w:bCs/>
          <w:sz w:val="32"/>
          <w:szCs w:val="32"/>
          <w:rtl/>
        </w:rPr>
        <w:t>الضَّمَانَ</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ق120 </w:t>
      </w:r>
      <w:r>
        <w:rPr>
          <w:rFonts w:hint="cs"/>
          <w:sz w:val="32"/>
          <w:szCs w:val="32"/>
          <w:rtl/>
        </w:rPr>
        <w:tab/>
        <w:t xml:space="preserve">: </w:t>
      </w:r>
      <w:r>
        <w:rPr>
          <w:rFonts w:hint="eastAsia"/>
          <w:sz w:val="32"/>
          <w:szCs w:val="32"/>
          <w:rtl/>
        </w:rPr>
        <w:t>الخراج</w:t>
      </w:r>
      <w:r>
        <w:rPr>
          <w:rFonts w:hint="cs"/>
          <w:sz w:val="32"/>
          <w:szCs w:val="32"/>
          <w:rtl/>
        </w:rPr>
        <w:t>ُ</w:t>
      </w:r>
      <w:r>
        <w:rPr>
          <w:sz w:val="32"/>
          <w:szCs w:val="32"/>
          <w:rtl/>
        </w:rPr>
        <w:t xml:space="preserve"> </w:t>
      </w:r>
      <w:r>
        <w:rPr>
          <w:b/>
          <w:bCs/>
          <w:sz w:val="32"/>
          <w:szCs w:val="32"/>
          <w:rtl/>
        </w:rPr>
        <w:t>بالضمَان</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ق159 </w:t>
      </w:r>
      <w:r>
        <w:rPr>
          <w:rFonts w:hint="cs"/>
          <w:sz w:val="32"/>
          <w:szCs w:val="32"/>
          <w:rtl/>
        </w:rPr>
        <w:tab/>
        <w:t xml:space="preserve">: </w:t>
      </w:r>
      <w:r>
        <w:rPr>
          <w:rFonts w:hint="cs"/>
          <w:b/>
          <w:bCs/>
          <w:sz w:val="32"/>
          <w:szCs w:val="32"/>
          <w:rtl/>
        </w:rPr>
        <w:t>الضَّمَانُ</w:t>
      </w:r>
      <w:r>
        <w:rPr>
          <w:rFonts w:hint="cs"/>
          <w:sz w:val="32"/>
          <w:szCs w:val="32"/>
          <w:rtl/>
        </w:rPr>
        <w:t xml:space="preserve"> بالتَغْريرِ مَخْصُوصٌ بِالمُعَاوَضَاتِ.</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ق178 </w:t>
      </w:r>
      <w:r>
        <w:rPr>
          <w:rFonts w:hint="cs"/>
          <w:sz w:val="32"/>
          <w:szCs w:val="32"/>
          <w:rtl/>
        </w:rPr>
        <w:tab/>
        <w:t xml:space="preserve">: قَدْ يثبُتُ </w:t>
      </w:r>
      <w:r>
        <w:rPr>
          <w:rFonts w:hint="cs"/>
          <w:b/>
          <w:bCs/>
          <w:sz w:val="32"/>
          <w:szCs w:val="32"/>
          <w:rtl/>
        </w:rPr>
        <w:t>ضِمْنًا</w:t>
      </w:r>
      <w:r>
        <w:rPr>
          <w:rFonts w:hint="cs"/>
          <w:sz w:val="32"/>
          <w:szCs w:val="32"/>
          <w:rtl/>
        </w:rPr>
        <w:t xml:space="preserve"> ما لا يثبُتُ قَصْدًا.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ق182 </w:t>
      </w:r>
      <w:r>
        <w:rPr>
          <w:rFonts w:hint="cs"/>
          <w:sz w:val="32"/>
          <w:szCs w:val="32"/>
          <w:rtl/>
        </w:rPr>
        <w:tab/>
        <w:t xml:space="preserve">: القَضَاءُ </w:t>
      </w:r>
      <w:r>
        <w:rPr>
          <w:rFonts w:hint="cs"/>
          <w:b/>
          <w:bCs/>
          <w:sz w:val="32"/>
          <w:szCs w:val="32"/>
          <w:rtl/>
        </w:rPr>
        <w:t>الضِّمْنِيُّ</w:t>
      </w:r>
      <w:r>
        <w:rPr>
          <w:rFonts w:hint="cs"/>
          <w:sz w:val="32"/>
          <w:szCs w:val="32"/>
          <w:rtl/>
        </w:rPr>
        <w:t xml:space="preserve"> لا يُشتَرَطُ لَهُ الدّعْوَى والخُصُومَةُ.</w:t>
      </w:r>
    </w:p>
    <w:p w:rsidR="00284270" w:rsidRDefault="00284270" w:rsidP="0022714B">
      <w:pPr>
        <w:ind w:left="2833" w:hanging="2266"/>
        <w:rPr>
          <w:sz w:val="32"/>
          <w:szCs w:val="32"/>
          <w:rtl/>
        </w:rPr>
      </w:pPr>
      <w:r>
        <w:rPr>
          <w:rFonts w:hint="cs"/>
          <w:sz w:val="32"/>
          <w:szCs w:val="32"/>
          <w:rtl/>
        </w:rPr>
        <w:lastRenderedPageBreak/>
        <w:t xml:space="preserve">               ق225 </w:t>
      </w:r>
      <w:r>
        <w:rPr>
          <w:rFonts w:hint="cs"/>
          <w:sz w:val="32"/>
          <w:szCs w:val="32"/>
          <w:rtl/>
        </w:rPr>
        <w:tab/>
        <w:t xml:space="preserve">: المُبَاشِرُ </w:t>
      </w:r>
      <w:r>
        <w:rPr>
          <w:rFonts w:hint="cs"/>
          <w:b/>
          <w:bCs/>
          <w:sz w:val="32"/>
          <w:szCs w:val="32"/>
          <w:rtl/>
        </w:rPr>
        <w:t>ضَامِنٌ</w:t>
      </w:r>
      <w:r>
        <w:rPr>
          <w:rFonts w:hint="cs"/>
          <w:sz w:val="32"/>
          <w:szCs w:val="32"/>
          <w:rtl/>
        </w:rPr>
        <w:t xml:space="preserve"> وإِنْ لَمْ يَتَعَمَّدْ, والمُسَبِّبُ لا إلاّ إذَا كَانَ مُتَعَمِّدًا.</w:t>
      </w:r>
    </w:p>
    <w:p w:rsidR="00284270" w:rsidRDefault="00284270" w:rsidP="0022714B">
      <w:pPr>
        <w:ind w:left="2833" w:hanging="2266"/>
        <w:rPr>
          <w:sz w:val="32"/>
          <w:szCs w:val="32"/>
          <w:rtl/>
        </w:rPr>
      </w:pPr>
      <w:r>
        <w:rPr>
          <w:rFonts w:hint="cs"/>
          <w:sz w:val="32"/>
          <w:szCs w:val="32"/>
          <w:rtl/>
        </w:rPr>
        <w:t xml:space="preserve">               ق230 </w:t>
      </w:r>
      <w:r>
        <w:rPr>
          <w:rFonts w:hint="cs"/>
          <w:sz w:val="32"/>
          <w:szCs w:val="32"/>
          <w:rtl/>
        </w:rPr>
        <w:tab/>
        <w:t xml:space="preserve">: المَغْرُورُ فِي المُعَاوَضَاتِ التي تَقْتَضِي سَلاَمَةَ العِوَضَ جُعِلَ سببًا </w:t>
      </w:r>
      <w:r>
        <w:rPr>
          <w:rFonts w:hint="cs"/>
          <w:b/>
          <w:bCs/>
          <w:sz w:val="32"/>
          <w:szCs w:val="32"/>
          <w:rtl/>
        </w:rPr>
        <w:t xml:space="preserve"> </w:t>
      </w:r>
      <w:r>
        <w:rPr>
          <w:rFonts w:hint="cs"/>
          <w:b/>
          <w:bCs/>
          <w:sz w:val="32"/>
          <w:szCs w:val="32"/>
          <w:rtl/>
        </w:rPr>
        <w:br/>
        <w:t xml:space="preserve">  لِلضَّمَانِ</w:t>
      </w:r>
      <w:r>
        <w:rPr>
          <w:rFonts w:hint="cs"/>
          <w:sz w:val="32"/>
          <w:szCs w:val="32"/>
          <w:rtl/>
        </w:rPr>
        <w:t>؛ دَفْعًا للضَّرَرِ بِقَدْرِ الإمْكَانِ.</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ق233 </w:t>
      </w:r>
      <w:r>
        <w:rPr>
          <w:rFonts w:hint="cs"/>
          <w:sz w:val="32"/>
          <w:szCs w:val="32"/>
          <w:rtl/>
        </w:rPr>
        <w:tab/>
        <w:t xml:space="preserve">: المَقْبُوضُ عَلَى سَوْمِ الشِّرَاءِ </w:t>
      </w:r>
      <w:r>
        <w:rPr>
          <w:rFonts w:hint="cs"/>
          <w:b/>
          <w:bCs/>
          <w:sz w:val="32"/>
          <w:szCs w:val="32"/>
          <w:rtl/>
        </w:rPr>
        <w:t>مَضْمُونٌ</w:t>
      </w:r>
      <w:r>
        <w:rPr>
          <w:rFonts w:hint="cs"/>
          <w:sz w:val="32"/>
          <w:szCs w:val="32"/>
          <w:rtl/>
        </w:rPr>
        <w:t xml:space="preserve"> بِقِيمَتِهِ.</w:t>
      </w:r>
    </w:p>
    <w:p w:rsidR="00284270" w:rsidRDefault="00284270" w:rsidP="0022714B">
      <w:pPr>
        <w:ind w:left="2833" w:hanging="2266"/>
        <w:rPr>
          <w:sz w:val="32"/>
          <w:szCs w:val="32"/>
          <w:rtl/>
        </w:rPr>
      </w:pPr>
      <w:r>
        <w:rPr>
          <w:rFonts w:hint="cs"/>
          <w:sz w:val="32"/>
          <w:szCs w:val="32"/>
          <w:rtl/>
        </w:rPr>
        <w:t xml:space="preserve">               ق243 </w:t>
      </w:r>
      <w:r>
        <w:rPr>
          <w:rFonts w:hint="cs"/>
          <w:sz w:val="32"/>
          <w:szCs w:val="32"/>
          <w:rtl/>
        </w:rPr>
        <w:tab/>
        <w:t xml:space="preserve">: مَنْ عَمِلَ لِغَيْرِهِ عَمَلاً، وَلَحِقَهُ </w:t>
      </w:r>
      <w:r>
        <w:rPr>
          <w:rFonts w:hint="cs"/>
          <w:b/>
          <w:bCs/>
          <w:sz w:val="32"/>
          <w:szCs w:val="32"/>
          <w:rtl/>
        </w:rPr>
        <w:t>ضَمَانٌ</w:t>
      </w:r>
      <w:r>
        <w:rPr>
          <w:rFonts w:hint="cs"/>
          <w:sz w:val="32"/>
          <w:szCs w:val="32"/>
          <w:rtl/>
        </w:rPr>
        <w:t xml:space="preserve"> : يَرْجِعُ على مَنْ وَقَعَ لَهُ العَمَلُ.</w:t>
      </w:r>
    </w:p>
    <w:p w:rsidR="00284270" w:rsidRDefault="00284270" w:rsidP="0022714B">
      <w:pPr>
        <w:ind w:left="2833" w:hanging="2266"/>
        <w:rPr>
          <w:sz w:val="32"/>
          <w:szCs w:val="32"/>
          <w:rtl/>
        </w:rPr>
      </w:pPr>
      <w:r>
        <w:rPr>
          <w:rFonts w:hint="cs"/>
          <w:sz w:val="32"/>
          <w:szCs w:val="32"/>
          <w:rtl/>
        </w:rPr>
        <w:t xml:space="preserve">               ق258 </w:t>
      </w:r>
      <w:r>
        <w:rPr>
          <w:rFonts w:hint="cs"/>
          <w:sz w:val="32"/>
          <w:szCs w:val="32"/>
          <w:rtl/>
        </w:rPr>
        <w:tab/>
        <w:t xml:space="preserve">: هَلاَكُ المَبِيعِ فِي يَدِ المُشْتَرِي بِشِرَاءٍ بَاطِلٍ لَيْسَ </w:t>
      </w:r>
      <w:r>
        <w:rPr>
          <w:rFonts w:hint="cs"/>
          <w:b/>
          <w:bCs/>
          <w:sz w:val="32"/>
          <w:szCs w:val="32"/>
          <w:rtl/>
        </w:rPr>
        <w:t>بِمَضْمُونٍ</w:t>
      </w:r>
      <w:r>
        <w:rPr>
          <w:rFonts w:hint="cs"/>
          <w:sz w:val="32"/>
          <w:szCs w:val="32"/>
          <w:rtl/>
        </w:rPr>
        <w:t>.</w:t>
      </w:r>
    </w:p>
    <w:p w:rsidR="00284270" w:rsidRDefault="00284270">
      <w:pPr>
        <w:rPr>
          <w:sz w:val="32"/>
          <w:szCs w:val="32"/>
          <w:rtl/>
        </w:rPr>
      </w:pPr>
      <w:r>
        <w:rPr>
          <w:rFonts w:hint="cs"/>
          <w:b/>
          <w:bCs/>
          <w:sz w:val="32"/>
          <w:szCs w:val="32"/>
          <w:rtl/>
        </w:rPr>
        <w:t>ضيف</w:t>
      </w:r>
      <w:r>
        <w:rPr>
          <w:rFonts w:hint="cs"/>
          <w:sz w:val="32"/>
          <w:szCs w:val="32"/>
          <w:rtl/>
        </w:rPr>
        <w:tab/>
      </w:r>
      <w:r>
        <w:rPr>
          <w:rFonts w:hint="cs"/>
          <w:sz w:val="32"/>
          <w:szCs w:val="32"/>
          <w:rtl/>
        </w:rPr>
        <w:tab/>
        <w:t xml:space="preserve">: ق29 </w:t>
      </w:r>
      <w:r>
        <w:rPr>
          <w:rFonts w:hint="cs"/>
          <w:sz w:val="32"/>
          <w:szCs w:val="32"/>
          <w:rtl/>
        </w:rPr>
        <w:tab/>
        <w:t xml:space="preserve">      : الأَصْلُ </w:t>
      </w:r>
      <w:r>
        <w:rPr>
          <w:rFonts w:hint="cs"/>
          <w:b/>
          <w:bCs/>
          <w:sz w:val="32"/>
          <w:szCs w:val="32"/>
          <w:rtl/>
        </w:rPr>
        <w:t>إِضَافَةُ</w:t>
      </w:r>
      <w:r>
        <w:rPr>
          <w:rFonts w:hint="cs"/>
          <w:sz w:val="32"/>
          <w:szCs w:val="32"/>
          <w:rtl/>
        </w:rPr>
        <w:t xml:space="preserve"> الحَادِثِ إلى أقرَبِ أوْقَاتِهِ. </w:t>
      </w:r>
    </w:p>
    <w:p w:rsidR="00284270" w:rsidRPr="00DA065F" w:rsidRDefault="00284270">
      <w:pPr>
        <w:rPr>
          <w:sz w:val="14"/>
          <w:szCs w:val="32"/>
          <w:rtl/>
        </w:rPr>
      </w:pPr>
    </w:p>
    <w:p w:rsidR="00284270" w:rsidRDefault="0022714B">
      <w:pPr>
        <w:jc w:val="center"/>
        <w:rPr>
          <w:b/>
          <w:bCs/>
          <w:sz w:val="48"/>
          <w:szCs w:val="48"/>
          <w:rtl/>
        </w:rPr>
      </w:pPr>
      <w:r>
        <w:rPr>
          <w:b/>
          <w:bCs/>
          <w:noProof/>
          <w:szCs w:val="48"/>
          <w:rtl/>
        </w:rPr>
        <w:pict>
          <v:rect id="_x0000_s1042" style="position:absolute;left:0;text-align:left;margin-left:162.45pt;margin-top:1.95pt;width:54.15pt;height:37.05pt;z-index:-251634688;mso-wrap-edited:f" wrapcoords="-379 0 -379 21600 758 22265 23495 22265 23116 997 22358 0 -379 0">
            <v:shadow on="t" offset="3pt" offset2="2pt"/>
          </v:rect>
        </w:pict>
      </w:r>
      <w:r w:rsidR="00284270">
        <w:rPr>
          <w:rFonts w:hint="cs"/>
          <w:b/>
          <w:bCs/>
          <w:sz w:val="48"/>
          <w:szCs w:val="48"/>
          <w:rtl/>
        </w:rPr>
        <w:t>(ط)</w:t>
      </w:r>
    </w:p>
    <w:p w:rsidR="00284270" w:rsidRPr="00DA065F" w:rsidRDefault="00284270">
      <w:pPr>
        <w:rPr>
          <w:sz w:val="12"/>
          <w:szCs w:val="30"/>
          <w:rtl/>
        </w:rPr>
      </w:pPr>
    </w:p>
    <w:p w:rsidR="00284270" w:rsidRDefault="00284270">
      <w:pPr>
        <w:rPr>
          <w:sz w:val="32"/>
          <w:szCs w:val="32"/>
          <w:rtl/>
        </w:rPr>
      </w:pPr>
      <w:r>
        <w:rPr>
          <w:rFonts w:hint="cs"/>
          <w:b/>
          <w:bCs/>
          <w:sz w:val="32"/>
          <w:szCs w:val="32"/>
          <w:rtl/>
        </w:rPr>
        <w:t>طرد</w:t>
      </w:r>
      <w:r>
        <w:rPr>
          <w:rFonts w:hint="cs"/>
          <w:sz w:val="32"/>
          <w:szCs w:val="32"/>
          <w:rtl/>
        </w:rPr>
        <w:tab/>
      </w:r>
      <w:r>
        <w:rPr>
          <w:rFonts w:hint="cs"/>
          <w:sz w:val="32"/>
          <w:szCs w:val="32"/>
          <w:rtl/>
        </w:rPr>
        <w:tab/>
        <w:t xml:space="preserve">: ق164 </w:t>
      </w:r>
      <w:r>
        <w:rPr>
          <w:rFonts w:hint="cs"/>
          <w:sz w:val="32"/>
          <w:szCs w:val="32"/>
          <w:rtl/>
        </w:rPr>
        <w:tab/>
        <w:t xml:space="preserve">: العادَةُ </w:t>
      </w:r>
      <w:r>
        <w:rPr>
          <w:rFonts w:hint="cs"/>
          <w:b/>
          <w:bCs/>
          <w:sz w:val="32"/>
          <w:szCs w:val="32"/>
          <w:rtl/>
        </w:rPr>
        <w:t>المُطَّرِدَةُ</w:t>
      </w:r>
      <w:r>
        <w:rPr>
          <w:rFonts w:hint="cs"/>
          <w:sz w:val="32"/>
          <w:szCs w:val="32"/>
          <w:rtl/>
        </w:rPr>
        <w:t xml:space="preserve"> تُنَزَّلُ منزِلَةَ الشَّرْطِ.</w:t>
      </w:r>
    </w:p>
    <w:p w:rsidR="00284270" w:rsidRDefault="00284270" w:rsidP="0022714B">
      <w:pPr>
        <w:ind w:left="2833" w:hanging="2266"/>
        <w:rPr>
          <w:sz w:val="32"/>
          <w:szCs w:val="32"/>
          <w:rtl/>
        </w:rPr>
      </w:pPr>
      <w:r>
        <w:rPr>
          <w:rFonts w:hint="cs"/>
          <w:b/>
          <w:bCs/>
          <w:sz w:val="32"/>
          <w:szCs w:val="32"/>
          <w:rtl/>
        </w:rPr>
        <w:t>طرف</w:t>
      </w:r>
      <w:r>
        <w:rPr>
          <w:rFonts w:hint="cs"/>
          <w:sz w:val="32"/>
          <w:szCs w:val="32"/>
          <w:rtl/>
        </w:rPr>
        <w:t xml:space="preserve">       : ق160 </w:t>
      </w:r>
      <w:r>
        <w:rPr>
          <w:rFonts w:hint="cs"/>
          <w:sz w:val="32"/>
          <w:szCs w:val="32"/>
          <w:rtl/>
        </w:rPr>
        <w:tab/>
        <w:t xml:space="preserve">: </w:t>
      </w:r>
      <w:r>
        <w:rPr>
          <w:rFonts w:hint="cs"/>
          <w:b/>
          <w:bCs/>
          <w:sz w:val="32"/>
          <w:szCs w:val="32"/>
          <w:rtl/>
        </w:rPr>
        <w:t>طَرَفَي</w:t>
      </w:r>
      <w:r>
        <w:rPr>
          <w:rFonts w:hint="cs"/>
          <w:sz w:val="32"/>
          <w:szCs w:val="32"/>
          <w:rtl/>
        </w:rPr>
        <w:t xml:space="preserve"> التَّرْجِيحِ إذا تَعَارَضَا كانَ الرُّجْحَانُ في الذَّاتِ أَحَقَّ مِنْهُ في الحال.ِ</w:t>
      </w:r>
    </w:p>
    <w:p w:rsidR="00284270" w:rsidRDefault="00284270">
      <w:pPr>
        <w:rPr>
          <w:sz w:val="32"/>
          <w:szCs w:val="32"/>
          <w:rtl/>
        </w:rPr>
      </w:pPr>
      <w:r>
        <w:rPr>
          <w:rFonts w:hint="cs"/>
          <w:b/>
          <w:bCs/>
          <w:sz w:val="32"/>
          <w:szCs w:val="32"/>
          <w:rtl/>
        </w:rPr>
        <w:t>طلب</w:t>
      </w:r>
      <w:r>
        <w:rPr>
          <w:rFonts w:hint="cs"/>
          <w:sz w:val="32"/>
          <w:szCs w:val="32"/>
          <w:rtl/>
        </w:rPr>
        <w:tab/>
      </w:r>
      <w:r>
        <w:rPr>
          <w:rFonts w:hint="cs"/>
          <w:sz w:val="32"/>
          <w:szCs w:val="32"/>
          <w:rtl/>
        </w:rPr>
        <w:tab/>
        <w:t xml:space="preserve">: ق17 </w:t>
      </w:r>
      <w:r>
        <w:rPr>
          <w:rFonts w:hint="cs"/>
          <w:sz w:val="32"/>
          <w:szCs w:val="32"/>
          <w:rtl/>
        </w:rPr>
        <w:tab/>
      </w:r>
      <w:r>
        <w:rPr>
          <w:rFonts w:hint="cs"/>
          <w:sz w:val="32"/>
          <w:szCs w:val="32"/>
          <w:rtl/>
        </w:rPr>
        <w:tab/>
        <w:t xml:space="preserve">: الأَسْبَابُ </w:t>
      </w:r>
      <w:r>
        <w:rPr>
          <w:rFonts w:hint="cs"/>
          <w:b/>
          <w:bCs/>
          <w:sz w:val="32"/>
          <w:szCs w:val="32"/>
          <w:rtl/>
        </w:rPr>
        <w:t>مطلوبةٌ</w:t>
      </w:r>
      <w:r>
        <w:rPr>
          <w:rFonts w:hint="cs"/>
          <w:sz w:val="32"/>
          <w:szCs w:val="32"/>
          <w:rtl/>
        </w:rPr>
        <w:t xml:space="preserve"> للأحكامِ، لا لأعيَانِها. </w:t>
      </w:r>
    </w:p>
    <w:p w:rsidR="00284270" w:rsidRPr="00342874" w:rsidRDefault="00284270">
      <w:pPr>
        <w:rPr>
          <w:sz w:val="6"/>
          <w:szCs w:val="24"/>
          <w:rtl/>
        </w:rPr>
      </w:pPr>
    </w:p>
    <w:p w:rsidR="00284270" w:rsidRDefault="0022714B">
      <w:pPr>
        <w:jc w:val="center"/>
        <w:rPr>
          <w:b/>
          <w:bCs/>
          <w:sz w:val="48"/>
          <w:szCs w:val="48"/>
          <w:rtl/>
        </w:rPr>
      </w:pPr>
      <w:r>
        <w:rPr>
          <w:noProof/>
          <w:rtl/>
        </w:rPr>
        <w:pict>
          <v:rect id="_x0000_s1043" style="position:absolute;left:0;text-align:left;margin-left:165.3pt;margin-top:1.75pt;width:54.15pt;height:37.05pt;z-index:-251633664;mso-wrap-edited:f" wrapcoords="-379 0 -379 21600 758 22265 23495 22265 23116 997 22358 0 -379 0">
            <v:shadow on="t" offset="3pt" offset2="2pt"/>
          </v:rect>
        </w:pict>
      </w:r>
      <w:r w:rsidR="00284270">
        <w:rPr>
          <w:rFonts w:hint="cs"/>
          <w:b/>
          <w:bCs/>
          <w:sz w:val="48"/>
          <w:szCs w:val="48"/>
          <w:rtl/>
        </w:rPr>
        <w:t>(ظ)</w:t>
      </w:r>
    </w:p>
    <w:p w:rsidR="00284270" w:rsidRPr="00342874" w:rsidRDefault="00284270">
      <w:pPr>
        <w:rPr>
          <w:sz w:val="8"/>
          <w:szCs w:val="26"/>
          <w:rtl/>
        </w:rPr>
      </w:pPr>
    </w:p>
    <w:p w:rsidR="00284270" w:rsidRDefault="00284270">
      <w:pPr>
        <w:rPr>
          <w:sz w:val="32"/>
          <w:szCs w:val="32"/>
          <w:rtl/>
        </w:rPr>
      </w:pPr>
      <w:r>
        <w:rPr>
          <w:rFonts w:hint="cs"/>
          <w:b/>
          <w:bCs/>
          <w:sz w:val="32"/>
          <w:szCs w:val="32"/>
          <w:rtl/>
        </w:rPr>
        <w:t>ظلم</w:t>
      </w:r>
      <w:r>
        <w:rPr>
          <w:rFonts w:hint="cs"/>
          <w:sz w:val="32"/>
          <w:szCs w:val="32"/>
          <w:rtl/>
        </w:rPr>
        <w:tab/>
      </w:r>
      <w:r>
        <w:rPr>
          <w:rFonts w:hint="cs"/>
          <w:sz w:val="32"/>
          <w:szCs w:val="32"/>
          <w:rtl/>
        </w:rPr>
        <w:tab/>
        <w:t xml:space="preserve">:  ق226 </w:t>
      </w:r>
      <w:r>
        <w:rPr>
          <w:rFonts w:hint="cs"/>
          <w:sz w:val="32"/>
          <w:szCs w:val="32"/>
          <w:rtl/>
        </w:rPr>
        <w:tab/>
        <w:t xml:space="preserve">: المَظْلُومُ لاَ </w:t>
      </w:r>
      <w:r>
        <w:rPr>
          <w:rFonts w:hint="cs"/>
          <w:b/>
          <w:bCs/>
          <w:sz w:val="32"/>
          <w:szCs w:val="32"/>
          <w:rtl/>
        </w:rPr>
        <w:t>يَظْلِمُ</w:t>
      </w:r>
      <w:r>
        <w:rPr>
          <w:rFonts w:hint="cs"/>
          <w:sz w:val="32"/>
          <w:szCs w:val="32"/>
          <w:rtl/>
        </w:rPr>
        <w:t xml:space="preserve"> غَيْرَهُ.</w:t>
      </w:r>
    </w:p>
    <w:p w:rsidR="00284270" w:rsidRDefault="00284270">
      <w:pPr>
        <w:rPr>
          <w:sz w:val="32"/>
          <w:szCs w:val="32"/>
          <w:rtl/>
        </w:rPr>
      </w:pPr>
      <w:r>
        <w:rPr>
          <w:rFonts w:hint="cs"/>
          <w:b/>
          <w:bCs/>
          <w:sz w:val="32"/>
          <w:szCs w:val="32"/>
          <w:rtl/>
        </w:rPr>
        <w:t>ظنن</w:t>
      </w:r>
      <w:r>
        <w:rPr>
          <w:rFonts w:hint="cs"/>
          <w:sz w:val="32"/>
          <w:szCs w:val="32"/>
          <w:rtl/>
        </w:rPr>
        <w:tab/>
      </w:r>
      <w:r>
        <w:rPr>
          <w:rFonts w:hint="cs"/>
          <w:sz w:val="32"/>
          <w:szCs w:val="32"/>
          <w:rtl/>
        </w:rPr>
        <w:tab/>
        <w:t xml:space="preserve">:  ق200 </w:t>
      </w:r>
      <w:r>
        <w:rPr>
          <w:rFonts w:hint="cs"/>
          <w:sz w:val="32"/>
          <w:szCs w:val="32"/>
          <w:rtl/>
        </w:rPr>
        <w:tab/>
        <w:t xml:space="preserve">: لا عِبْرَةَ </w:t>
      </w:r>
      <w:r>
        <w:rPr>
          <w:rFonts w:hint="cs"/>
          <w:b/>
          <w:bCs/>
          <w:sz w:val="32"/>
          <w:szCs w:val="32"/>
          <w:rtl/>
        </w:rPr>
        <w:t>بالظَّنِّ</w:t>
      </w:r>
      <w:r>
        <w:rPr>
          <w:rFonts w:hint="cs"/>
          <w:sz w:val="32"/>
          <w:szCs w:val="32"/>
          <w:rtl/>
        </w:rPr>
        <w:t xml:space="preserve"> البَيّنِ خطؤُهُ.</w:t>
      </w:r>
    </w:p>
    <w:p w:rsidR="00284270" w:rsidRDefault="00284270">
      <w:pPr>
        <w:rPr>
          <w:sz w:val="32"/>
          <w:szCs w:val="32"/>
          <w:rtl/>
        </w:rPr>
      </w:pPr>
      <w:r>
        <w:rPr>
          <w:rFonts w:hint="cs"/>
          <w:b/>
          <w:bCs/>
          <w:sz w:val="32"/>
          <w:szCs w:val="32"/>
          <w:rtl/>
        </w:rPr>
        <w:t>ظهر</w:t>
      </w:r>
      <w:r>
        <w:rPr>
          <w:rFonts w:hint="cs"/>
          <w:sz w:val="32"/>
          <w:szCs w:val="32"/>
          <w:rtl/>
        </w:rPr>
        <w:tab/>
      </w:r>
      <w:r>
        <w:rPr>
          <w:rFonts w:hint="cs"/>
          <w:sz w:val="32"/>
          <w:szCs w:val="32"/>
          <w:rtl/>
        </w:rPr>
        <w:tab/>
        <w:t xml:space="preserve">:  ق98 </w:t>
      </w:r>
      <w:r>
        <w:rPr>
          <w:rFonts w:hint="cs"/>
          <w:sz w:val="32"/>
          <w:szCs w:val="32"/>
          <w:rtl/>
        </w:rPr>
        <w:tab/>
      </w:r>
      <w:r>
        <w:rPr>
          <w:rFonts w:hint="cs"/>
          <w:sz w:val="32"/>
          <w:szCs w:val="32"/>
          <w:rtl/>
        </w:rPr>
        <w:tab/>
        <w:t xml:space="preserve">: الثَّابِتُ قَطْعًا أو </w:t>
      </w:r>
      <w:r>
        <w:rPr>
          <w:rFonts w:hint="cs"/>
          <w:b/>
          <w:bCs/>
          <w:sz w:val="32"/>
          <w:szCs w:val="32"/>
          <w:rtl/>
        </w:rPr>
        <w:t>ظَاهِرًا</w:t>
      </w:r>
      <w:r>
        <w:rPr>
          <w:rFonts w:hint="cs"/>
          <w:sz w:val="32"/>
          <w:szCs w:val="32"/>
          <w:rtl/>
        </w:rPr>
        <w:t xml:space="preserve"> لا يُؤَخَّرُ لموهومٍ.</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ق170 </w:t>
      </w:r>
      <w:r>
        <w:rPr>
          <w:rFonts w:hint="cs"/>
          <w:sz w:val="32"/>
          <w:szCs w:val="32"/>
          <w:rtl/>
        </w:rPr>
        <w:tab/>
        <w:t xml:space="preserve">: العَمَلُ </w:t>
      </w:r>
      <w:r>
        <w:rPr>
          <w:rFonts w:hint="cs"/>
          <w:b/>
          <w:bCs/>
          <w:sz w:val="32"/>
          <w:szCs w:val="32"/>
          <w:rtl/>
        </w:rPr>
        <w:t>بالظَّاهِرِ</w:t>
      </w:r>
      <w:r>
        <w:rPr>
          <w:rFonts w:hint="cs"/>
          <w:sz w:val="32"/>
          <w:szCs w:val="32"/>
          <w:rtl/>
        </w:rPr>
        <w:t xml:space="preserve"> هُوَ الأَصْلُ؛ لِدَفْعِ الضَّرَرِ عَنِ النَّاسِ.</w:t>
      </w:r>
    </w:p>
    <w:p w:rsidR="00284270" w:rsidRDefault="00284270" w:rsidP="0022714B">
      <w:pPr>
        <w:ind w:left="2833" w:hanging="2266"/>
        <w:rPr>
          <w:sz w:val="32"/>
          <w:szCs w:val="32"/>
          <w:rtl/>
        </w:rPr>
      </w:pPr>
      <w:r>
        <w:rPr>
          <w:rFonts w:hint="cs"/>
          <w:sz w:val="32"/>
          <w:szCs w:val="32"/>
          <w:rtl/>
        </w:rPr>
        <w:t xml:space="preserve">               ق247 </w:t>
      </w:r>
      <w:r>
        <w:rPr>
          <w:rFonts w:hint="cs"/>
          <w:sz w:val="32"/>
          <w:szCs w:val="32"/>
          <w:rtl/>
        </w:rPr>
        <w:tab/>
        <w:t xml:space="preserve">: النَصُّ : مِنْ وُجُوهِ البَيَانِ، يَتَرَجَّحُ عَلَى </w:t>
      </w:r>
      <w:r>
        <w:rPr>
          <w:rFonts w:hint="cs"/>
          <w:b/>
          <w:bCs/>
          <w:sz w:val="32"/>
          <w:szCs w:val="32"/>
          <w:rtl/>
        </w:rPr>
        <w:t>الظَّاهِرِ</w:t>
      </w:r>
      <w:r>
        <w:rPr>
          <w:rFonts w:hint="cs"/>
          <w:sz w:val="32"/>
          <w:szCs w:val="32"/>
          <w:rtl/>
        </w:rPr>
        <w:t>، والمفسَّرُ عليهما، والمُحْكَمُ على الكُلِّ.</w:t>
      </w:r>
    </w:p>
    <w:p w:rsidR="00284270" w:rsidRDefault="00284270">
      <w:pPr>
        <w:rPr>
          <w:rtl/>
        </w:rPr>
      </w:pPr>
      <w:r>
        <w:rPr>
          <w:rFonts w:hint="cs"/>
          <w:rtl/>
        </w:rPr>
        <w:t xml:space="preserve"> </w:t>
      </w:r>
    </w:p>
    <w:p w:rsidR="00284270" w:rsidRDefault="0022714B">
      <w:pPr>
        <w:jc w:val="center"/>
        <w:rPr>
          <w:b/>
          <w:bCs/>
          <w:sz w:val="48"/>
          <w:szCs w:val="48"/>
          <w:rtl/>
        </w:rPr>
      </w:pPr>
      <w:r>
        <w:rPr>
          <w:noProof/>
          <w:rtl/>
        </w:rPr>
        <w:lastRenderedPageBreak/>
        <w:pict>
          <v:rect id="_x0000_s1044" style="position:absolute;left:0;text-align:left;margin-left:165.2pt;margin-top:3.2pt;width:54.75pt;height:36.45pt;z-index:-251632640;mso-wrap-edited:f" wrapcoords="-379 0 -379 21600 758 22265 23495 22265 23116 997 22358 0 -379 0">
            <v:shadow on="t" offset="3pt" offset2="2pt"/>
          </v:rect>
        </w:pict>
      </w:r>
      <w:r w:rsidR="00284270">
        <w:rPr>
          <w:rFonts w:hint="cs"/>
          <w:b/>
          <w:bCs/>
          <w:sz w:val="48"/>
          <w:szCs w:val="48"/>
          <w:rtl/>
        </w:rPr>
        <w:t>(ع)</w:t>
      </w:r>
    </w:p>
    <w:p w:rsidR="00284270" w:rsidRPr="00342874" w:rsidRDefault="00284270">
      <w:pPr>
        <w:rPr>
          <w:sz w:val="10"/>
          <w:szCs w:val="28"/>
          <w:rtl/>
        </w:rPr>
      </w:pPr>
    </w:p>
    <w:p w:rsidR="00284270" w:rsidRDefault="00284270" w:rsidP="0022714B">
      <w:pPr>
        <w:ind w:left="2833" w:hanging="2266"/>
        <w:rPr>
          <w:sz w:val="32"/>
          <w:szCs w:val="32"/>
          <w:rtl/>
        </w:rPr>
      </w:pPr>
      <w:r>
        <w:rPr>
          <w:rFonts w:hint="cs"/>
          <w:b/>
          <w:bCs/>
          <w:sz w:val="32"/>
          <w:szCs w:val="32"/>
          <w:rtl/>
        </w:rPr>
        <w:t>عاب</w:t>
      </w:r>
      <w:r>
        <w:rPr>
          <w:rFonts w:hint="cs"/>
          <w:sz w:val="32"/>
          <w:szCs w:val="32"/>
          <w:rtl/>
        </w:rPr>
        <w:t xml:space="preserve">       : ق136 </w:t>
      </w:r>
      <w:r>
        <w:rPr>
          <w:rFonts w:hint="cs"/>
          <w:sz w:val="32"/>
          <w:szCs w:val="32"/>
          <w:rtl/>
        </w:rPr>
        <w:tab/>
        <w:t xml:space="preserve">: الزِّيَادَةُ المُنفَصِلَةُ غَيْرُ المُتَوَلِّدَةِ مِنَ الأصْلِ لاَ تَمْنَعُ الرَّدَّ </w:t>
      </w:r>
      <w:r>
        <w:rPr>
          <w:rFonts w:hint="cs"/>
          <w:b/>
          <w:bCs/>
          <w:sz w:val="32"/>
          <w:szCs w:val="32"/>
          <w:rtl/>
        </w:rPr>
        <w:t>بالعَيْبِ.</w:t>
      </w:r>
    </w:p>
    <w:p w:rsidR="00284270" w:rsidRDefault="00284270">
      <w:pPr>
        <w:rPr>
          <w:sz w:val="32"/>
          <w:szCs w:val="32"/>
          <w:rtl/>
        </w:rPr>
      </w:pPr>
      <w:r>
        <w:rPr>
          <w:rFonts w:hint="cs"/>
          <w:b/>
          <w:bCs/>
          <w:sz w:val="32"/>
          <w:szCs w:val="32"/>
          <w:rtl/>
        </w:rPr>
        <w:t>عاد</w:t>
      </w:r>
      <w:r>
        <w:rPr>
          <w:rFonts w:hint="cs"/>
          <w:sz w:val="32"/>
          <w:szCs w:val="32"/>
          <w:rtl/>
        </w:rPr>
        <w:tab/>
      </w:r>
      <w:r>
        <w:rPr>
          <w:rFonts w:hint="cs"/>
          <w:sz w:val="32"/>
          <w:szCs w:val="32"/>
          <w:rtl/>
        </w:rPr>
        <w:tab/>
        <w:t xml:space="preserve">: ق114 </w:t>
      </w:r>
      <w:r>
        <w:rPr>
          <w:rFonts w:hint="cs"/>
          <w:sz w:val="32"/>
          <w:szCs w:val="32"/>
          <w:rtl/>
        </w:rPr>
        <w:tab/>
        <w:t xml:space="preserve">: الحقيقةُ تُتركُ بدلالةِ </w:t>
      </w:r>
      <w:r>
        <w:rPr>
          <w:rFonts w:hint="cs"/>
          <w:b/>
          <w:bCs/>
          <w:sz w:val="32"/>
          <w:szCs w:val="32"/>
          <w:rtl/>
        </w:rPr>
        <w:t>العادةِ</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ق137 </w:t>
      </w:r>
      <w:r>
        <w:rPr>
          <w:rFonts w:hint="cs"/>
          <w:sz w:val="32"/>
          <w:szCs w:val="32"/>
          <w:rtl/>
        </w:rPr>
        <w:tab/>
        <w:t xml:space="preserve">: السَّاقِطُ لاَ </w:t>
      </w:r>
      <w:r>
        <w:rPr>
          <w:rFonts w:hint="cs"/>
          <w:b/>
          <w:bCs/>
          <w:sz w:val="32"/>
          <w:szCs w:val="32"/>
          <w:rtl/>
        </w:rPr>
        <w:t>يَعُوْدُ</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ق139 </w:t>
      </w:r>
      <w:r>
        <w:rPr>
          <w:rFonts w:hint="cs"/>
          <w:sz w:val="32"/>
          <w:szCs w:val="32"/>
          <w:rtl/>
        </w:rPr>
        <w:tab/>
        <w:t xml:space="preserve">: السُّؤالُ </w:t>
      </w:r>
      <w:r>
        <w:rPr>
          <w:rFonts w:hint="cs"/>
          <w:b/>
          <w:bCs/>
          <w:sz w:val="32"/>
          <w:szCs w:val="32"/>
          <w:rtl/>
        </w:rPr>
        <w:t>مُعَادٌ</w:t>
      </w:r>
      <w:r>
        <w:rPr>
          <w:rFonts w:hint="cs"/>
          <w:sz w:val="32"/>
          <w:szCs w:val="32"/>
          <w:rtl/>
        </w:rPr>
        <w:t xml:space="preserve"> فِي الجَوَابِ.</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ق161 </w:t>
      </w:r>
      <w:r>
        <w:rPr>
          <w:rFonts w:hint="cs"/>
          <w:sz w:val="32"/>
          <w:szCs w:val="32"/>
          <w:rtl/>
        </w:rPr>
        <w:tab/>
        <w:t xml:space="preserve">: </w:t>
      </w:r>
      <w:r>
        <w:rPr>
          <w:rFonts w:hint="cs"/>
          <w:b/>
          <w:bCs/>
          <w:sz w:val="32"/>
          <w:szCs w:val="32"/>
          <w:rtl/>
        </w:rPr>
        <w:t>العَادَةُ</w:t>
      </w:r>
      <w:r>
        <w:rPr>
          <w:rFonts w:hint="cs"/>
          <w:sz w:val="32"/>
          <w:szCs w:val="32"/>
          <w:rtl/>
        </w:rPr>
        <w:t xml:space="preserve"> مُحَكَّمَةٌ.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ق164 </w:t>
      </w:r>
      <w:r>
        <w:rPr>
          <w:rFonts w:hint="cs"/>
          <w:sz w:val="32"/>
          <w:szCs w:val="32"/>
          <w:rtl/>
        </w:rPr>
        <w:tab/>
        <w:t xml:space="preserve">: </w:t>
      </w:r>
      <w:r>
        <w:rPr>
          <w:rFonts w:hint="cs"/>
          <w:b/>
          <w:bCs/>
          <w:sz w:val="32"/>
          <w:szCs w:val="32"/>
          <w:rtl/>
        </w:rPr>
        <w:t>العادَةُ</w:t>
      </w:r>
      <w:r>
        <w:rPr>
          <w:rFonts w:hint="cs"/>
          <w:sz w:val="32"/>
          <w:szCs w:val="32"/>
          <w:rtl/>
        </w:rPr>
        <w:t xml:space="preserve"> المُطَّرِدَةُ تُنَزَّلُ منزِلَةَ الشَّرْطِ.</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ق234 </w:t>
      </w:r>
      <w:r>
        <w:rPr>
          <w:rFonts w:hint="cs"/>
          <w:sz w:val="32"/>
          <w:szCs w:val="32"/>
          <w:rtl/>
        </w:rPr>
        <w:tab/>
        <w:t xml:space="preserve">: المُمتَنِعُ </w:t>
      </w:r>
      <w:r>
        <w:rPr>
          <w:rFonts w:hint="cs"/>
          <w:b/>
          <w:bCs/>
          <w:sz w:val="32"/>
          <w:szCs w:val="32"/>
          <w:rtl/>
        </w:rPr>
        <w:t>عَادَةً</w:t>
      </w:r>
      <w:r>
        <w:rPr>
          <w:rFonts w:hint="cs"/>
          <w:sz w:val="32"/>
          <w:szCs w:val="32"/>
          <w:rtl/>
        </w:rPr>
        <w:t xml:space="preserve"> كَالمُمْتَنِعِ حَقِيقَةً.</w:t>
      </w:r>
    </w:p>
    <w:p w:rsidR="00284270" w:rsidRDefault="00284270">
      <w:pPr>
        <w:rPr>
          <w:sz w:val="32"/>
          <w:szCs w:val="32"/>
          <w:rtl/>
        </w:rPr>
      </w:pPr>
      <w:r>
        <w:rPr>
          <w:rFonts w:hint="cs"/>
          <w:b/>
          <w:bCs/>
          <w:sz w:val="32"/>
          <w:szCs w:val="32"/>
          <w:rtl/>
        </w:rPr>
        <w:t>عار</w:t>
      </w:r>
      <w:r>
        <w:rPr>
          <w:rFonts w:hint="cs"/>
          <w:sz w:val="32"/>
          <w:szCs w:val="32"/>
          <w:rtl/>
        </w:rPr>
        <w:tab/>
      </w:r>
      <w:r>
        <w:rPr>
          <w:rFonts w:hint="cs"/>
          <w:sz w:val="32"/>
          <w:szCs w:val="32"/>
          <w:rtl/>
        </w:rPr>
        <w:tab/>
        <w:t xml:space="preserve">:  ق138 </w:t>
      </w:r>
      <w:r>
        <w:rPr>
          <w:rFonts w:hint="cs"/>
          <w:sz w:val="32"/>
          <w:szCs w:val="32"/>
          <w:rtl/>
        </w:rPr>
        <w:tab/>
        <w:t xml:space="preserve">: السَّبَبُ </w:t>
      </w:r>
      <w:r>
        <w:rPr>
          <w:rFonts w:hint="cs"/>
          <w:b/>
          <w:bCs/>
          <w:sz w:val="32"/>
          <w:szCs w:val="32"/>
          <w:rtl/>
        </w:rPr>
        <w:t>يُسْتَعَارُ</w:t>
      </w:r>
      <w:r>
        <w:rPr>
          <w:rFonts w:hint="cs"/>
          <w:sz w:val="32"/>
          <w:szCs w:val="32"/>
          <w:rtl/>
        </w:rPr>
        <w:t xml:space="preserve"> للمُسَبَّبِ دُونَ عَكْسِهِ.</w:t>
      </w:r>
    </w:p>
    <w:p w:rsidR="00284270" w:rsidRDefault="00284270">
      <w:pPr>
        <w:rPr>
          <w:sz w:val="32"/>
          <w:szCs w:val="32"/>
          <w:rtl/>
        </w:rPr>
      </w:pPr>
      <w:r>
        <w:rPr>
          <w:rFonts w:hint="cs"/>
          <w:b/>
          <w:bCs/>
          <w:sz w:val="32"/>
          <w:szCs w:val="32"/>
          <w:rtl/>
        </w:rPr>
        <w:t>عبر</w:t>
      </w:r>
      <w:r>
        <w:rPr>
          <w:rFonts w:hint="cs"/>
          <w:sz w:val="32"/>
          <w:szCs w:val="32"/>
          <w:rtl/>
        </w:rPr>
        <w:tab/>
      </w:r>
      <w:r>
        <w:rPr>
          <w:rFonts w:hint="cs"/>
          <w:sz w:val="32"/>
          <w:szCs w:val="32"/>
          <w:rtl/>
        </w:rPr>
        <w:tab/>
        <w:t xml:space="preserve">:  ق21 </w:t>
      </w:r>
      <w:r>
        <w:rPr>
          <w:rFonts w:hint="cs"/>
          <w:sz w:val="32"/>
          <w:szCs w:val="32"/>
          <w:rtl/>
        </w:rPr>
        <w:tab/>
      </w:r>
      <w:r>
        <w:rPr>
          <w:rFonts w:hint="cs"/>
          <w:sz w:val="32"/>
          <w:szCs w:val="32"/>
          <w:rtl/>
        </w:rPr>
        <w:tab/>
        <w:t xml:space="preserve">: اسْتِدَامَةُ الشَّيءِ </w:t>
      </w:r>
      <w:r>
        <w:rPr>
          <w:rFonts w:hint="cs"/>
          <w:b/>
          <w:bCs/>
          <w:sz w:val="32"/>
          <w:szCs w:val="32"/>
          <w:rtl/>
        </w:rPr>
        <w:t>تُعْتَبَرُ</w:t>
      </w:r>
      <w:r>
        <w:rPr>
          <w:rFonts w:hint="cs"/>
          <w:sz w:val="32"/>
          <w:szCs w:val="32"/>
          <w:rtl/>
        </w:rPr>
        <w:t xml:space="preserve"> بِأَصْلِهِ.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 </w:t>
      </w:r>
      <w:r>
        <w:rPr>
          <w:rFonts w:hint="cs"/>
          <w:sz w:val="32"/>
          <w:szCs w:val="32"/>
          <w:rtl/>
        </w:rPr>
        <w:tab/>
      </w:r>
      <w:r>
        <w:rPr>
          <w:rFonts w:hint="cs"/>
          <w:sz w:val="32"/>
          <w:szCs w:val="32"/>
          <w:rtl/>
        </w:rPr>
        <w:tab/>
        <w:t xml:space="preserve">: الإِشَارَةُ إِنَّما تَقُومُ مَقَامَ </w:t>
      </w:r>
      <w:r>
        <w:rPr>
          <w:rFonts w:hint="cs"/>
          <w:b/>
          <w:bCs/>
          <w:sz w:val="32"/>
          <w:szCs w:val="32"/>
          <w:rtl/>
        </w:rPr>
        <w:t>العَبَارَةِ</w:t>
      </w:r>
      <w:r>
        <w:rPr>
          <w:rFonts w:hint="cs"/>
          <w:sz w:val="32"/>
          <w:szCs w:val="32"/>
          <w:rtl/>
        </w:rPr>
        <w:t xml:space="preserve"> إِذَا كَانَتْ مَعْهُودَةً.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ق34 </w:t>
      </w:r>
      <w:r>
        <w:rPr>
          <w:rFonts w:hint="cs"/>
          <w:sz w:val="32"/>
          <w:szCs w:val="32"/>
          <w:rtl/>
        </w:rPr>
        <w:tab/>
      </w:r>
      <w:r>
        <w:rPr>
          <w:rFonts w:hint="cs"/>
          <w:sz w:val="32"/>
          <w:szCs w:val="32"/>
          <w:rtl/>
        </w:rPr>
        <w:tab/>
        <w:t xml:space="preserve">: </w:t>
      </w:r>
      <w:r>
        <w:rPr>
          <w:rFonts w:hint="cs"/>
          <w:b/>
          <w:bCs/>
          <w:sz w:val="32"/>
          <w:szCs w:val="32"/>
          <w:rtl/>
        </w:rPr>
        <w:t>الاعْتِبَارُ</w:t>
      </w:r>
      <w:r>
        <w:rPr>
          <w:rFonts w:hint="cs"/>
          <w:sz w:val="32"/>
          <w:szCs w:val="32"/>
          <w:rtl/>
        </w:rPr>
        <w:t xml:space="preserve"> لِلْمَقَاصِدِ والمَعَانِيْ لا للأَلْفاظِ والمَبَانِيْ. </w:t>
      </w:r>
    </w:p>
    <w:p w:rsidR="00284270" w:rsidRDefault="00284270" w:rsidP="0022714B">
      <w:pPr>
        <w:ind w:left="2833" w:hanging="2266"/>
        <w:rPr>
          <w:sz w:val="32"/>
          <w:szCs w:val="32"/>
          <w:rtl/>
        </w:rPr>
      </w:pPr>
      <w:r>
        <w:rPr>
          <w:rFonts w:hint="cs"/>
          <w:sz w:val="32"/>
          <w:szCs w:val="32"/>
          <w:rtl/>
        </w:rPr>
        <w:t xml:space="preserve">                ق35 </w:t>
      </w:r>
      <w:r>
        <w:rPr>
          <w:rFonts w:hint="cs"/>
          <w:sz w:val="32"/>
          <w:szCs w:val="32"/>
          <w:rtl/>
        </w:rPr>
        <w:tab/>
        <w:t xml:space="preserve">: </w:t>
      </w:r>
      <w:r>
        <w:rPr>
          <w:rFonts w:hint="cs"/>
          <w:b/>
          <w:bCs/>
          <w:sz w:val="32"/>
          <w:szCs w:val="32"/>
          <w:rtl/>
        </w:rPr>
        <w:t>اعْتِبَارُ</w:t>
      </w:r>
      <w:r>
        <w:rPr>
          <w:rFonts w:hint="cs"/>
          <w:sz w:val="32"/>
          <w:szCs w:val="32"/>
          <w:rtl/>
        </w:rPr>
        <w:t xml:space="preserve"> المعنَيَيْنِ مِنْ لَفْظٍ وَاحِدٍ لا يَجُوزُ بِلاَ مُرَجِّ</w:t>
      </w:r>
      <w:r>
        <w:rPr>
          <w:sz w:val="32"/>
          <w:szCs w:val="32"/>
          <w:rtl/>
        </w:rPr>
        <w:t>ح</w:t>
      </w:r>
      <w:r>
        <w:rPr>
          <w:rFonts w:hint="cs"/>
          <w:sz w:val="32"/>
          <w:szCs w:val="32"/>
          <w:rtl/>
        </w:rPr>
        <w:t xml:space="preserve">ٍ فِي الإِثْبَاتِ، ويجوزُ فِي النَّفْيِ.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ق50 </w:t>
      </w:r>
      <w:r>
        <w:rPr>
          <w:rFonts w:hint="cs"/>
          <w:sz w:val="32"/>
          <w:szCs w:val="32"/>
          <w:rtl/>
        </w:rPr>
        <w:tab/>
      </w:r>
      <w:r>
        <w:rPr>
          <w:rFonts w:hint="cs"/>
          <w:sz w:val="32"/>
          <w:szCs w:val="32"/>
          <w:rtl/>
        </w:rPr>
        <w:tab/>
        <w:t xml:space="preserve">: إِيجَابُ العَبْدِ </w:t>
      </w:r>
      <w:r>
        <w:rPr>
          <w:rFonts w:hint="cs"/>
          <w:b/>
          <w:bCs/>
          <w:sz w:val="32"/>
          <w:szCs w:val="32"/>
          <w:rtl/>
        </w:rPr>
        <w:t>مُعْتَبَرٌ</w:t>
      </w:r>
      <w:r>
        <w:rPr>
          <w:rFonts w:hint="cs"/>
          <w:sz w:val="32"/>
          <w:szCs w:val="32"/>
          <w:rtl/>
        </w:rPr>
        <w:t xml:space="preserve"> بِإِيجَابِ اللَّهِ تَعَالَى.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ق77 </w:t>
      </w:r>
      <w:r>
        <w:rPr>
          <w:rFonts w:hint="cs"/>
          <w:sz w:val="32"/>
          <w:szCs w:val="32"/>
          <w:rtl/>
        </w:rPr>
        <w:tab/>
      </w:r>
      <w:r>
        <w:rPr>
          <w:rFonts w:hint="cs"/>
          <w:sz w:val="32"/>
          <w:szCs w:val="32"/>
          <w:rtl/>
        </w:rPr>
        <w:tab/>
        <w:t xml:space="preserve">: </w:t>
      </w:r>
      <w:r>
        <w:rPr>
          <w:rFonts w:hint="cs"/>
          <w:b/>
          <w:bCs/>
          <w:sz w:val="32"/>
          <w:szCs w:val="32"/>
          <w:rtl/>
        </w:rPr>
        <w:t>تُعتَبَرُ</w:t>
      </w:r>
      <w:r>
        <w:rPr>
          <w:rFonts w:hint="cs"/>
          <w:sz w:val="32"/>
          <w:szCs w:val="32"/>
          <w:rtl/>
        </w:rPr>
        <w:t xml:space="preserve"> صفةُ الوقتِ فِي نُقْصَانِ الوَاجِبِ وَكَمَالِهِ.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ق135 </w:t>
      </w:r>
      <w:r>
        <w:rPr>
          <w:rFonts w:hint="cs"/>
          <w:sz w:val="32"/>
          <w:szCs w:val="32"/>
          <w:rtl/>
        </w:rPr>
        <w:tab/>
        <w:t xml:space="preserve">: الرَّسُولُ </w:t>
      </w:r>
      <w:r>
        <w:rPr>
          <w:rFonts w:hint="cs"/>
          <w:b/>
          <w:bCs/>
          <w:sz w:val="32"/>
          <w:szCs w:val="32"/>
          <w:rtl/>
        </w:rPr>
        <w:t>مُعبّرٌ</w:t>
      </w:r>
      <w:r>
        <w:rPr>
          <w:rFonts w:hint="cs"/>
          <w:sz w:val="32"/>
          <w:szCs w:val="32"/>
          <w:rtl/>
        </w:rPr>
        <w:t xml:space="preserve"> وسَفيرٌ، فَكَلاَمُهُ كَكَلاَمِ المُرْسِلِ.</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ق165 </w:t>
      </w:r>
      <w:r>
        <w:rPr>
          <w:rFonts w:hint="cs"/>
          <w:sz w:val="32"/>
          <w:szCs w:val="32"/>
          <w:rtl/>
        </w:rPr>
        <w:tab/>
        <w:t xml:space="preserve">: </w:t>
      </w:r>
      <w:r>
        <w:rPr>
          <w:rFonts w:hint="cs"/>
          <w:b/>
          <w:bCs/>
          <w:sz w:val="32"/>
          <w:szCs w:val="32"/>
          <w:rtl/>
        </w:rPr>
        <w:t>العِبْرَةُ</w:t>
      </w:r>
      <w:r>
        <w:rPr>
          <w:rFonts w:hint="cs"/>
          <w:sz w:val="32"/>
          <w:szCs w:val="32"/>
          <w:rtl/>
        </w:rPr>
        <w:t xml:space="preserve"> لآخِرِ جُزْئَيِ العِلَّةِ.</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ق166 </w:t>
      </w:r>
      <w:r>
        <w:rPr>
          <w:rFonts w:hint="cs"/>
          <w:sz w:val="32"/>
          <w:szCs w:val="32"/>
          <w:rtl/>
        </w:rPr>
        <w:tab/>
        <w:t xml:space="preserve">: </w:t>
      </w:r>
      <w:r>
        <w:rPr>
          <w:rFonts w:hint="cs"/>
          <w:b/>
          <w:bCs/>
          <w:sz w:val="32"/>
          <w:szCs w:val="32"/>
          <w:rtl/>
        </w:rPr>
        <w:t>العِبْرَةُ</w:t>
      </w:r>
      <w:r>
        <w:rPr>
          <w:rFonts w:hint="cs"/>
          <w:sz w:val="32"/>
          <w:szCs w:val="32"/>
          <w:rtl/>
        </w:rPr>
        <w:t xml:space="preserve"> للملفُوظِ نَصًّا دُونَ المَقْصُودِ.</w:t>
      </w:r>
    </w:p>
    <w:p w:rsidR="00284270" w:rsidRDefault="00284270">
      <w:pPr>
        <w:rPr>
          <w:sz w:val="32"/>
          <w:szCs w:val="32"/>
          <w:rtl/>
        </w:rPr>
      </w:pPr>
      <w:r>
        <w:rPr>
          <w:rFonts w:hint="cs"/>
          <w:b/>
          <w:bCs/>
          <w:sz w:val="32"/>
          <w:szCs w:val="32"/>
          <w:rtl/>
        </w:rPr>
        <w:t>عجم</w:t>
      </w:r>
      <w:r>
        <w:rPr>
          <w:rFonts w:hint="cs"/>
          <w:sz w:val="32"/>
          <w:szCs w:val="32"/>
          <w:rtl/>
        </w:rPr>
        <w:tab/>
      </w:r>
      <w:r>
        <w:rPr>
          <w:rFonts w:hint="cs"/>
          <w:sz w:val="32"/>
          <w:szCs w:val="32"/>
          <w:rtl/>
        </w:rPr>
        <w:tab/>
        <w:t xml:space="preserve">: ق100 </w:t>
      </w:r>
      <w:r>
        <w:rPr>
          <w:rFonts w:hint="cs"/>
          <w:sz w:val="32"/>
          <w:szCs w:val="32"/>
          <w:rtl/>
        </w:rPr>
        <w:tab/>
        <w:t xml:space="preserve">: جَرْحُ </w:t>
      </w:r>
      <w:r>
        <w:rPr>
          <w:rFonts w:hint="cs"/>
          <w:b/>
          <w:bCs/>
          <w:sz w:val="32"/>
          <w:szCs w:val="32"/>
          <w:rtl/>
        </w:rPr>
        <w:t>الـعَجْماءِ</w:t>
      </w:r>
      <w:r>
        <w:rPr>
          <w:rFonts w:hint="cs"/>
          <w:sz w:val="32"/>
          <w:szCs w:val="32"/>
          <w:rtl/>
        </w:rPr>
        <w:t xml:space="preserve"> جُبَارٌ.</w:t>
      </w:r>
    </w:p>
    <w:p w:rsidR="00284270" w:rsidRDefault="00284270">
      <w:pPr>
        <w:rPr>
          <w:sz w:val="32"/>
          <w:szCs w:val="32"/>
          <w:rtl/>
        </w:rPr>
      </w:pPr>
      <w:r>
        <w:rPr>
          <w:rFonts w:hint="cs"/>
          <w:b/>
          <w:bCs/>
          <w:sz w:val="32"/>
          <w:szCs w:val="32"/>
          <w:rtl/>
        </w:rPr>
        <w:t>عدم</w:t>
      </w:r>
      <w:r>
        <w:rPr>
          <w:rFonts w:hint="cs"/>
          <w:sz w:val="32"/>
          <w:szCs w:val="32"/>
          <w:rtl/>
        </w:rPr>
        <w:tab/>
      </w:r>
      <w:r>
        <w:rPr>
          <w:rFonts w:hint="cs"/>
          <w:sz w:val="32"/>
          <w:szCs w:val="32"/>
          <w:rtl/>
        </w:rPr>
        <w:tab/>
        <w:t xml:space="preserve">: ق27 </w:t>
      </w:r>
      <w:r>
        <w:rPr>
          <w:rFonts w:hint="cs"/>
          <w:sz w:val="32"/>
          <w:szCs w:val="32"/>
          <w:rtl/>
        </w:rPr>
        <w:tab/>
      </w:r>
      <w:r>
        <w:rPr>
          <w:rFonts w:hint="cs"/>
          <w:sz w:val="32"/>
          <w:szCs w:val="32"/>
          <w:rtl/>
        </w:rPr>
        <w:tab/>
        <w:t xml:space="preserve">: الأَصْلُ </w:t>
      </w:r>
      <w:r w:rsidRPr="00AB0FC9">
        <w:rPr>
          <w:rFonts w:hint="cs"/>
          <w:b/>
          <w:bCs/>
          <w:sz w:val="32"/>
          <w:szCs w:val="32"/>
          <w:rtl/>
        </w:rPr>
        <w:t>العَدَمُ</w:t>
      </w:r>
      <w:r>
        <w:rPr>
          <w:rFonts w:hint="cs"/>
          <w:sz w:val="32"/>
          <w:szCs w:val="32"/>
          <w:rtl/>
        </w:rPr>
        <w:t xml:space="preserve"> فِي الصِّفَاتِ العَارِضَةِ. </w:t>
      </w:r>
    </w:p>
    <w:p w:rsidR="00284270" w:rsidRDefault="00284270" w:rsidP="0022714B">
      <w:pPr>
        <w:ind w:left="2833" w:hanging="2266"/>
        <w:rPr>
          <w:sz w:val="32"/>
          <w:szCs w:val="32"/>
          <w:rtl/>
        </w:rPr>
      </w:pPr>
      <w:r>
        <w:rPr>
          <w:rFonts w:hint="cs"/>
          <w:sz w:val="32"/>
          <w:szCs w:val="32"/>
          <w:rtl/>
        </w:rPr>
        <w:t xml:space="preserve">               ق154 </w:t>
      </w:r>
      <w:r>
        <w:rPr>
          <w:rFonts w:hint="cs"/>
          <w:sz w:val="32"/>
          <w:szCs w:val="32"/>
          <w:rtl/>
        </w:rPr>
        <w:tab/>
        <w:t>: صِحَّةُ الحَلِفِ غَيْرُ مُفَارِقَةٍ عَنْ صِحَّةِ الإِقْرَارِ، وَ</w:t>
      </w:r>
      <w:r>
        <w:rPr>
          <w:rFonts w:hint="cs"/>
          <w:b/>
          <w:bCs/>
          <w:sz w:val="32"/>
          <w:szCs w:val="32"/>
          <w:rtl/>
        </w:rPr>
        <w:t>عَدَمُهَا</w:t>
      </w:r>
      <w:r>
        <w:rPr>
          <w:rFonts w:hint="cs"/>
          <w:sz w:val="32"/>
          <w:szCs w:val="32"/>
          <w:rtl/>
        </w:rPr>
        <w:t xml:space="preserve"> عَنْ </w:t>
      </w:r>
      <w:r>
        <w:rPr>
          <w:rFonts w:hint="cs"/>
          <w:b/>
          <w:bCs/>
          <w:sz w:val="32"/>
          <w:szCs w:val="32"/>
          <w:rtl/>
        </w:rPr>
        <w:t>عَدَمِهَا</w:t>
      </w:r>
      <w:r>
        <w:rPr>
          <w:rFonts w:hint="cs"/>
          <w:sz w:val="32"/>
          <w:szCs w:val="32"/>
          <w:rtl/>
        </w:rPr>
        <w:t>.</w:t>
      </w:r>
    </w:p>
    <w:p w:rsidR="00284270" w:rsidRDefault="00284270" w:rsidP="0022714B">
      <w:pPr>
        <w:ind w:left="2833" w:hanging="2266"/>
        <w:rPr>
          <w:sz w:val="32"/>
          <w:szCs w:val="32"/>
          <w:rtl/>
        </w:rPr>
      </w:pPr>
      <w:r>
        <w:rPr>
          <w:rFonts w:hint="cs"/>
          <w:b/>
          <w:bCs/>
          <w:sz w:val="32"/>
          <w:szCs w:val="32"/>
          <w:rtl/>
        </w:rPr>
        <w:t>عدد</w:t>
      </w:r>
      <w:r>
        <w:rPr>
          <w:rFonts w:hint="cs"/>
          <w:sz w:val="32"/>
          <w:szCs w:val="32"/>
          <w:rtl/>
        </w:rPr>
        <w:t xml:space="preserve">         : ق113 </w:t>
      </w:r>
      <w:r>
        <w:rPr>
          <w:rFonts w:hint="cs"/>
          <w:sz w:val="32"/>
          <w:szCs w:val="32"/>
          <w:rtl/>
        </w:rPr>
        <w:tab/>
        <w:t xml:space="preserve">: الحرمةُ </w:t>
      </w:r>
      <w:r>
        <w:rPr>
          <w:rFonts w:hint="cs"/>
          <w:b/>
          <w:bCs/>
          <w:sz w:val="32"/>
          <w:szCs w:val="32"/>
          <w:rtl/>
        </w:rPr>
        <w:t>تَتَعدَّى</w:t>
      </w:r>
      <w:r>
        <w:rPr>
          <w:rFonts w:hint="cs"/>
          <w:sz w:val="32"/>
          <w:szCs w:val="32"/>
          <w:rtl/>
        </w:rPr>
        <w:t xml:space="preserve">  فِي الأموالِ مَعَ العلمِ بها إلا في حقِّ الوارِثِ. </w:t>
      </w:r>
    </w:p>
    <w:p w:rsidR="00284270" w:rsidRDefault="00284270">
      <w:pPr>
        <w:rPr>
          <w:sz w:val="32"/>
          <w:szCs w:val="32"/>
          <w:rtl/>
        </w:rPr>
      </w:pPr>
      <w:r>
        <w:rPr>
          <w:rFonts w:hint="cs"/>
          <w:b/>
          <w:bCs/>
          <w:sz w:val="32"/>
          <w:szCs w:val="32"/>
          <w:rtl/>
        </w:rPr>
        <w:t>عدا</w:t>
      </w:r>
      <w:r>
        <w:rPr>
          <w:rFonts w:hint="cs"/>
          <w:sz w:val="32"/>
          <w:szCs w:val="32"/>
          <w:rtl/>
        </w:rPr>
        <w:tab/>
      </w:r>
      <w:r>
        <w:rPr>
          <w:rFonts w:hint="cs"/>
          <w:sz w:val="32"/>
          <w:szCs w:val="32"/>
          <w:rtl/>
        </w:rPr>
        <w:tab/>
        <w:t xml:space="preserve">: ق180 </w:t>
      </w:r>
      <w:r>
        <w:rPr>
          <w:rFonts w:hint="cs"/>
          <w:sz w:val="32"/>
          <w:szCs w:val="32"/>
          <w:rtl/>
        </w:rPr>
        <w:tab/>
        <w:t xml:space="preserve">: القضاءُ مقتصرٌ على المقضيِّ عليهِ ولا </w:t>
      </w:r>
      <w:r>
        <w:rPr>
          <w:rFonts w:hint="cs"/>
          <w:b/>
          <w:bCs/>
          <w:sz w:val="32"/>
          <w:szCs w:val="32"/>
          <w:rtl/>
        </w:rPr>
        <w:t>يتعدَّى</w:t>
      </w:r>
      <w:r>
        <w:rPr>
          <w:rFonts w:hint="cs"/>
          <w:sz w:val="32"/>
          <w:szCs w:val="32"/>
          <w:rtl/>
        </w:rPr>
        <w:t xml:space="preserve"> إلى غَيرِهِ.</w:t>
      </w:r>
    </w:p>
    <w:p w:rsidR="00284270" w:rsidRDefault="00284270">
      <w:pPr>
        <w:rPr>
          <w:sz w:val="32"/>
          <w:szCs w:val="32"/>
          <w:rtl/>
        </w:rPr>
      </w:pPr>
      <w:r>
        <w:rPr>
          <w:rFonts w:hint="cs"/>
          <w:b/>
          <w:bCs/>
          <w:sz w:val="32"/>
          <w:szCs w:val="32"/>
          <w:rtl/>
        </w:rPr>
        <w:lastRenderedPageBreak/>
        <w:t>عذر</w:t>
      </w:r>
      <w:r>
        <w:rPr>
          <w:rFonts w:hint="cs"/>
          <w:sz w:val="32"/>
          <w:szCs w:val="32"/>
          <w:rtl/>
        </w:rPr>
        <w:tab/>
      </w:r>
      <w:r>
        <w:rPr>
          <w:rFonts w:hint="cs"/>
          <w:sz w:val="32"/>
          <w:szCs w:val="32"/>
          <w:rtl/>
        </w:rPr>
        <w:tab/>
        <w:t xml:space="preserve">: ق11 </w:t>
      </w:r>
      <w:r>
        <w:rPr>
          <w:rFonts w:hint="cs"/>
          <w:sz w:val="32"/>
          <w:szCs w:val="32"/>
          <w:rtl/>
        </w:rPr>
        <w:tab/>
      </w:r>
      <w:r>
        <w:rPr>
          <w:rFonts w:hint="cs"/>
          <w:sz w:val="32"/>
          <w:szCs w:val="32"/>
          <w:rtl/>
        </w:rPr>
        <w:tab/>
        <w:t xml:space="preserve">: </w:t>
      </w:r>
      <w:r>
        <w:rPr>
          <w:rFonts w:hint="eastAsia"/>
          <w:sz w:val="32"/>
          <w:szCs w:val="32"/>
          <w:rtl/>
        </w:rPr>
        <w:t>إذا</w:t>
      </w:r>
      <w:r>
        <w:rPr>
          <w:sz w:val="32"/>
          <w:szCs w:val="32"/>
          <w:rtl/>
        </w:rPr>
        <w:t xml:space="preserve"> </w:t>
      </w:r>
      <w:r>
        <w:rPr>
          <w:b/>
          <w:bCs/>
          <w:sz w:val="32"/>
          <w:szCs w:val="32"/>
          <w:rtl/>
        </w:rPr>
        <w:t>تعذَّرَ</w:t>
      </w:r>
      <w:r>
        <w:rPr>
          <w:sz w:val="32"/>
          <w:szCs w:val="32"/>
          <w:rtl/>
        </w:rPr>
        <w:t xml:space="preserve"> الأصلُ يُصَارُ إلى البَدَلِ</w:t>
      </w:r>
      <w:r>
        <w:rPr>
          <w:rFonts w:hint="cs"/>
          <w:sz w:val="32"/>
          <w:szCs w:val="32"/>
          <w:rtl/>
        </w:rPr>
        <w:t xml:space="preserve">. </w:t>
      </w:r>
    </w:p>
    <w:p w:rsidR="00284270" w:rsidRDefault="00284270">
      <w:pPr>
        <w:rPr>
          <w:sz w:val="32"/>
          <w:szCs w:val="32"/>
          <w:rtl/>
        </w:rPr>
      </w:pPr>
      <w:r>
        <w:rPr>
          <w:rFonts w:hint="cs"/>
          <w:b/>
          <w:bCs/>
          <w:sz w:val="32"/>
          <w:szCs w:val="32"/>
          <w:rtl/>
        </w:rPr>
        <w:t>عرض</w:t>
      </w:r>
      <w:r>
        <w:rPr>
          <w:rFonts w:hint="cs"/>
          <w:sz w:val="32"/>
          <w:szCs w:val="32"/>
          <w:rtl/>
        </w:rPr>
        <w:tab/>
      </w:r>
      <w:r>
        <w:rPr>
          <w:rFonts w:hint="cs"/>
          <w:sz w:val="32"/>
          <w:szCs w:val="32"/>
          <w:rtl/>
        </w:rPr>
        <w:tab/>
        <w:t xml:space="preserve">: ق12 </w:t>
      </w:r>
      <w:r>
        <w:rPr>
          <w:rFonts w:hint="cs"/>
          <w:sz w:val="32"/>
          <w:szCs w:val="32"/>
          <w:rtl/>
        </w:rPr>
        <w:tab/>
      </w:r>
      <w:r>
        <w:rPr>
          <w:rFonts w:hint="cs"/>
          <w:sz w:val="32"/>
          <w:szCs w:val="32"/>
          <w:rtl/>
        </w:rPr>
        <w:tab/>
        <w:t xml:space="preserve">: إذَا </w:t>
      </w:r>
      <w:r>
        <w:rPr>
          <w:rFonts w:hint="cs"/>
          <w:b/>
          <w:bCs/>
          <w:sz w:val="32"/>
          <w:szCs w:val="32"/>
          <w:rtl/>
        </w:rPr>
        <w:t>تَعَارَضَ</w:t>
      </w:r>
      <w:r>
        <w:rPr>
          <w:rFonts w:hint="cs"/>
          <w:sz w:val="32"/>
          <w:szCs w:val="32"/>
          <w:rtl/>
        </w:rPr>
        <w:t xml:space="preserve"> المانِعُ والمُقْتَضِي : يُقدَّمُ المانِعُ. </w:t>
      </w:r>
    </w:p>
    <w:p w:rsidR="00284270" w:rsidRDefault="00284270" w:rsidP="0022714B">
      <w:pPr>
        <w:ind w:left="2833" w:hanging="2266"/>
        <w:rPr>
          <w:sz w:val="32"/>
          <w:szCs w:val="32"/>
          <w:rtl/>
        </w:rPr>
      </w:pPr>
      <w:r>
        <w:rPr>
          <w:rFonts w:hint="cs"/>
          <w:sz w:val="32"/>
          <w:szCs w:val="32"/>
          <w:rtl/>
        </w:rPr>
        <w:t xml:space="preserve">               ق15 </w:t>
      </w:r>
      <w:r>
        <w:rPr>
          <w:rFonts w:hint="cs"/>
          <w:sz w:val="32"/>
          <w:szCs w:val="32"/>
          <w:rtl/>
        </w:rPr>
        <w:tab/>
        <w:t xml:space="preserve">: إذَا </w:t>
      </w:r>
      <w:r>
        <w:rPr>
          <w:rFonts w:hint="cs"/>
          <w:b/>
          <w:bCs/>
          <w:sz w:val="32"/>
          <w:szCs w:val="32"/>
          <w:rtl/>
        </w:rPr>
        <w:t>تَعَارَضَ</w:t>
      </w:r>
      <w:r>
        <w:rPr>
          <w:rFonts w:hint="cs"/>
          <w:sz w:val="32"/>
          <w:szCs w:val="32"/>
          <w:rtl/>
        </w:rPr>
        <w:t xml:space="preserve"> المَفَسَدَتَانِ : رُوعِيَ أعظَمُهُمَا ضررًا بارْتِكَابِ أخفِّهِمَا.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ق27 </w:t>
      </w:r>
      <w:r>
        <w:rPr>
          <w:rFonts w:hint="cs"/>
          <w:sz w:val="32"/>
          <w:szCs w:val="32"/>
          <w:rtl/>
        </w:rPr>
        <w:tab/>
      </w:r>
      <w:r>
        <w:rPr>
          <w:rFonts w:hint="cs"/>
          <w:sz w:val="32"/>
          <w:szCs w:val="32"/>
          <w:rtl/>
        </w:rPr>
        <w:tab/>
        <w:t xml:space="preserve">: الأَصْلُ العَدَمُ فِي الصِّفَاتِ </w:t>
      </w:r>
      <w:r>
        <w:rPr>
          <w:rFonts w:hint="cs"/>
          <w:b/>
          <w:bCs/>
          <w:sz w:val="32"/>
          <w:szCs w:val="32"/>
          <w:rtl/>
        </w:rPr>
        <w:t>العَارِضَةِ</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ق126 </w:t>
      </w:r>
      <w:r>
        <w:rPr>
          <w:rFonts w:hint="cs"/>
          <w:sz w:val="32"/>
          <w:szCs w:val="32"/>
          <w:rtl/>
        </w:rPr>
        <w:tab/>
        <w:t xml:space="preserve">: الدَّلاَلَةُ تعملُ عَمَلَ الصَّرِيحِ إذَا لَمْ يُوجَدْ صَرِيحٌ </w:t>
      </w:r>
      <w:r>
        <w:rPr>
          <w:rFonts w:hint="cs"/>
          <w:b/>
          <w:bCs/>
          <w:sz w:val="32"/>
          <w:szCs w:val="32"/>
          <w:rtl/>
        </w:rPr>
        <w:t>يُعَارِضُهَا</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ق231 </w:t>
      </w:r>
      <w:r>
        <w:rPr>
          <w:rFonts w:hint="cs"/>
          <w:sz w:val="32"/>
          <w:szCs w:val="32"/>
          <w:rtl/>
        </w:rPr>
        <w:tab/>
        <w:t xml:space="preserve">: </w:t>
      </w:r>
      <w:r>
        <w:rPr>
          <w:rFonts w:hint="cs"/>
          <w:spacing w:val="-4"/>
          <w:sz w:val="32"/>
          <w:szCs w:val="32"/>
          <w:rtl/>
        </w:rPr>
        <w:t xml:space="preserve">المَقَاصِدُ فِي </w:t>
      </w:r>
      <w:r>
        <w:rPr>
          <w:rFonts w:hint="cs"/>
          <w:b/>
          <w:bCs/>
          <w:spacing w:val="-4"/>
          <w:sz w:val="32"/>
          <w:szCs w:val="32"/>
          <w:rtl/>
        </w:rPr>
        <w:t>العَرْضِ</w:t>
      </w:r>
      <w:r>
        <w:rPr>
          <w:rFonts w:hint="cs"/>
          <w:spacing w:val="-4"/>
          <w:sz w:val="32"/>
          <w:szCs w:val="32"/>
          <w:rtl/>
        </w:rPr>
        <w:t xml:space="preserve"> والعقارِ يتعلّق بصورِهما وأعيانِهما.</w:t>
      </w:r>
    </w:p>
    <w:p w:rsidR="00284270" w:rsidRDefault="00284270" w:rsidP="0022714B">
      <w:pPr>
        <w:ind w:left="2833" w:hanging="2266"/>
        <w:rPr>
          <w:sz w:val="32"/>
          <w:szCs w:val="32"/>
          <w:rtl/>
        </w:rPr>
      </w:pPr>
      <w:r>
        <w:rPr>
          <w:rFonts w:hint="cs"/>
          <w:b/>
          <w:bCs/>
          <w:sz w:val="32"/>
          <w:szCs w:val="32"/>
          <w:rtl/>
        </w:rPr>
        <w:t>عرف</w:t>
      </w:r>
      <w:r>
        <w:rPr>
          <w:rFonts w:hint="cs"/>
          <w:sz w:val="32"/>
          <w:szCs w:val="32"/>
          <w:rtl/>
        </w:rPr>
        <w:t xml:space="preserve">       : ق49 </w:t>
      </w:r>
      <w:r>
        <w:rPr>
          <w:rFonts w:hint="cs"/>
          <w:sz w:val="32"/>
          <w:szCs w:val="32"/>
          <w:rtl/>
        </w:rPr>
        <w:tab/>
        <w:t>: الأَيْمَانُ مَبْنِيَّةٌ عَلَى الأَلْفَاظِ و</w:t>
      </w:r>
      <w:r>
        <w:rPr>
          <w:rFonts w:hint="cs"/>
          <w:b/>
          <w:bCs/>
          <w:spacing w:val="-4"/>
          <w:sz w:val="32"/>
          <w:szCs w:val="32"/>
          <w:rtl/>
        </w:rPr>
        <w:t>العُرْفِ</w:t>
      </w:r>
      <w:r>
        <w:rPr>
          <w:rFonts w:hint="cs"/>
          <w:sz w:val="32"/>
          <w:szCs w:val="32"/>
          <w:rtl/>
        </w:rPr>
        <w:t xml:space="preserve">، لاَ عَلَى الأَغْرَاضِ.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ق95 </w:t>
      </w:r>
      <w:r>
        <w:rPr>
          <w:rFonts w:hint="cs"/>
          <w:sz w:val="32"/>
          <w:szCs w:val="32"/>
          <w:rtl/>
        </w:rPr>
        <w:tab/>
      </w:r>
      <w:r>
        <w:rPr>
          <w:rFonts w:hint="cs"/>
          <w:sz w:val="32"/>
          <w:szCs w:val="32"/>
          <w:rtl/>
        </w:rPr>
        <w:tab/>
        <w:t xml:space="preserve">: الثَّابِتُ </w:t>
      </w:r>
      <w:r>
        <w:rPr>
          <w:rFonts w:hint="cs"/>
          <w:b/>
          <w:bCs/>
          <w:spacing w:val="-4"/>
          <w:sz w:val="32"/>
          <w:szCs w:val="32"/>
          <w:rtl/>
        </w:rPr>
        <w:t>بالعرفِ</w:t>
      </w:r>
      <w:r>
        <w:rPr>
          <w:rFonts w:hint="cs"/>
          <w:sz w:val="32"/>
          <w:szCs w:val="32"/>
          <w:rtl/>
        </w:rPr>
        <w:t xml:space="preserve"> قاضٍ على القِيَاسِ.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ق167 </w:t>
      </w:r>
      <w:r>
        <w:rPr>
          <w:rFonts w:hint="cs"/>
          <w:sz w:val="32"/>
          <w:szCs w:val="32"/>
          <w:rtl/>
        </w:rPr>
        <w:tab/>
        <w:t xml:space="preserve">: </w:t>
      </w:r>
      <w:r>
        <w:rPr>
          <w:rFonts w:hint="cs"/>
          <w:b/>
          <w:bCs/>
          <w:spacing w:val="-4"/>
          <w:sz w:val="32"/>
          <w:szCs w:val="32"/>
          <w:rtl/>
        </w:rPr>
        <w:t>العُرْفُ</w:t>
      </w:r>
      <w:r>
        <w:rPr>
          <w:rFonts w:hint="cs"/>
          <w:sz w:val="32"/>
          <w:szCs w:val="32"/>
          <w:rtl/>
        </w:rPr>
        <w:t xml:space="preserve"> قاضٍ على الوَضْعِ.</w:t>
      </w:r>
    </w:p>
    <w:p w:rsidR="00284270" w:rsidRDefault="00284270" w:rsidP="0022714B">
      <w:pPr>
        <w:ind w:left="2833" w:hanging="2266"/>
        <w:rPr>
          <w:sz w:val="32"/>
          <w:szCs w:val="32"/>
          <w:rtl/>
        </w:rPr>
      </w:pPr>
      <w:r>
        <w:rPr>
          <w:rFonts w:hint="cs"/>
          <w:sz w:val="32"/>
          <w:szCs w:val="32"/>
          <w:rtl/>
        </w:rPr>
        <w:t xml:space="preserve">               ق187 </w:t>
      </w:r>
      <w:r>
        <w:rPr>
          <w:rFonts w:hint="cs"/>
          <w:sz w:val="32"/>
          <w:szCs w:val="32"/>
          <w:rtl/>
        </w:rPr>
        <w:tab/>
        <w:t xml:space="preserve">: كَلِمَةُ (كُلٍّ) إِذَا دَخَلَتْ عَلَى </w:t>
      </w:r>
      <w:r>
        <w:rPr>
          <w:rFonts w:hint="cs"/>
          <w:b/>
          <w:bCs/>
          <w:spacing w:val="-4"/>
          <w:sz w:val="32"/>
          <w:szCs w:val="32"/>
          <w:rtl/>
        </w:rPr>
        <w:t>المَعْرِفَةِ</w:t>
      </w:r>
      <w:r>
        <w:rPr>
          <w:rFonts w:hint="cs"/>
          <w:sz w:val="32"/>
          <w:szCs w:val="32"/>
          <w:rtl/>
        </w:rPr>
        <w:t xml:space="preserve"> أوْجَبَتْ عُمُومَ أجْزَائِهِ.</w:t>
      </w:r>
    </w:p>
    <w:p w:rsidR="00284270" w:rsidRDefault="00284270" w:rsidP="0022714B">
      <w:pPr>
        <w:ind w:left="2833" w:hanging="2266"/>
        <w:rPr>
          <w:sz w:val="32"/>
          <w:szCs w:val="32"/>
          <w:rtl/>
        </w:rPr>
      </w:pPr>
      <w:r>
        <w:rPr>
          <w:rFonts w:hint="cs"/>
          <w:sz w:val="32"/>
          <w:szCs w:val="32"/>
          <w:rtl/>
        </w:rPr>
        <w:t xml:space="preserve">               ق227 </w:t>
      </w:r>
      <w:r>
        <w:rPr>
          <w:rFonts w:hint="cs"/>
          <w:sz w:val="32"/>
          <w:szCs w:val="32"/>
          <w:rtl/>
        </w:rPr>
        <w:tab/>
        <w:t xml:space="preserve">: </w:t>
      </w:r>
      <w:r>
        <w:rPr>
          <w:rFonts w:hint="cs"/>
          <w:b/>
          <w:bCs/>
          <w:spacing w:val="-4"/>
          <w:sz w:val="32"/>
          <w:szCs w:val="32"/>
          <w:rtl/>
        </w:rPr>
        <w:t>المَعْرِفَةُ</w:t>
      </w:r>
      <w:r>
        <w:rPr>
          <w:rFonts w:hint="cs"/>
          <w:sz w:val="32"/>
          <w:szCs w:val="32"/>
          <w:rtl/>
        </w:rPr>
        <w:t xml:space="preserve"> لاَ تَدْخُلُ تَحْتَ النَّكِرَةِ فِي الأَيْمَانِ إلاَّ </w:t>
      </w:r>
      <w:r>
        <w:rPr>
          <w:rFonts w:hint="cs"/>
          <w:b/>
          <w:bCs/>
          <w:spacing w:val="-4"/>
          <w:sz w:val="32"/>
          <w:szCs w:val="32"/>
          <w:rtl/>
        </w:rPr>
        <w:t>مَعْرِفَةً</w:t>
      </w:r>
      <w:r>
        <w:rPr>
          <w:rFonts w:hint="cs"/>
          <w:sz w:val="32"/>
          <w:szCs w:val="32"/>
          <w:rtl/>
        </w:rPr>
        <w:t xml:space="preserve"> فِي الجَزَاءِ.</w:t>
      </w:r>
    </w:p>
    <w:p w:rsidR="00284270" w:rsidRDefault="00284270">
      <w:pPr>
        <w:rPr>
          <w:sz w:val="32"/>
          <w:szCs w:val="32"/>
          <w:rtl/>
        </w:rPr>
      </w:pPr>
      <w:r>
        <w:rPr>
          <w:rFonts w:hint="cs"/>
          <w:b/>
          <w:bCs/>
          <w:sz w:val="32"/>
          <w:szCs w:val="32"/>
          <w:rtl/>
        </w:rPr>
        <w:t>عزم</w:t>
      </w:r>
      <w:r>
        <w:rPr>
          <w:rFonts w:hint="cs"/>
          <w:sz w:val="32"/>
          <w:szCs w:val="32"/>
          <w:rtl/>
        </w:rPr>
        <w:tab/>
      </w:r>
      <w:r>
        <w:rPr>
          <w:rFonts w:hint="cs"/>
          <w:sz w:val="32"/>
          <w:szCs w:val="32"/>
          <w:rtl/>
        </w:rPr>
        <w:tab/>
        <w:t xml:space="preserve">: ق197 </w:t>
      </w:r>
      <w:r>
        <w:rPr>
          <w:rFonts w:hint="cs"/>
          <w:sz w:val="32"/>
          <w:szCs w:val="32"/>
          <w:rtl/>
        </w:rPr>
        <w:tab/>
        <w:t xml:space="preserve">: لاَ تَأْثِيرَ </w:t>
      </w:r>
      <w:r>
        <w:rPr>
          <w:rFonts w:hint="cs"/>
          <w:b/>
          <w:bCs/>
          <w:sz w:val="32"/>
          <w:szCs w:val="32"/>
          <w:rtl/>
        </w:rPr>
        <w:t>للعَزِيمَةِ</w:t>
      </w:r>
      <w:r>
        <w:rPr>
          <w:rFonts w:hint="cs"/>
          <w:sz w:val="32"/>
          <w:szCs w:val="32"/>
          <w:rtl/>
        </w:rPr>
        <w:t xml:space="preserve"> في تَغْيِيرِ الحَقِيقَةِ.</w:t>
      </w:r>
    </w:p>
    <w:p w:rsidR="00284270" w:rsidRDefault="00284270">
      <w:pPr>
        <w:rPr>
          <w:sz w:val="32"/>
          <w:szCs w:val="32"/>
          <w:rtl/>
        </w:rPr>
      </w:pPr>
      <w:r>
        <w:rPr>
          <w:rFonts w:hint="cs"/>
          <w:b/>
          <w:bCs/>
          <w:sz w:val="32"/>
          <w:szCs w:val="32"/>
          <w:rtl/>
        </w:rPr>
        <w:t>عطا</w:t>
      </w:r>
      <w:r>
        <w:rPr>
          <w:rFonts w:hint="cs"/>
          <w:sz w:val="32"/>
          <w:szCs w:val="32"/>
          <w:rtl/>
        </w:rPr>
        <w:tab/>
      </w:r>
      <w:r>
        <w:rPr>
          <w:rFonts w:hint="cs"/>
          <w:sz w:val="32"/>
          <w:szCs w:val="32"/>
          <w:rtl/>
        </w:rPr>
        <w:tab/>
        <w:t xml:space="preserve">: ق218 </w:t>
      </w:r>
      <w:r>
        <w:rPr>
          <w:rFonts w:hint="cs"/>
          <w:sz w:val="32"/>
          <w:szCs w:val="32"/>
          <w:rtl/>
        </w:rPr>
        <w:tab/>
        <w:t xml:space="preserve">: ما حَرُمَ أَخْذُهُ حَرُمَ </w:t>
      </w:r>
      <w:r>
        <w:rPr>
          <w:rFonts w:hint="cs"/>
          <w:b/>
          <w:bCs/>
          <w:sz w:val="32"/>
          <w:szCs w:val="32"/>
          <w:rtl/>
        </w:rPr>
        <w:t>إعْطَاؤُهُ</w:t>
      </w:r>
      <w:r>
        <w:rPr>
          <w:rFonts w:hint="cs"/>
          <w:sz w:val="32"/>
          <w:szCs w:val="32"/>
          <w:rtl/>
        </w:rPr>
        <w:t>.</w:t>
      </w:r>
    </w:p>
    <w:p w:rsidR="00284270" w:rsidRDefault="00284270" w:rsidP="0022714B">
      <w:pPr>
        <w:ind w:left="2833" w:hanging="2266"/>
        <w:rPr>
          <w:sz w:val="32"/>
          <w:szCs w:val="32"/>
          <w:rtl/>
        </w:rPr>
      </w:pPr>
      <w:r>
        <w:rPr>
          <w:rFonts w:hint="cs"/>
          <w:b/>
          <w:bCs/>
          <w:sz w:val="32"/>
          <w:szCs w:val="32"/>
          <w:rtl/>
        </w:rPr>
        <w:t>عقد</w:t>
      </w:r>
      <w:r>
        <w:rPr>
          <w:rFonts w:hint="cs"/>
          <w:sz w:val="32"/>
          <w:szCs w:val="32"/>
          <w:rtl/>
        </w:rPr>
        <w:t xml:space="preserve">         : ق106 </w:t>
      </w:r>
      <w:r>
        <w:rPr>
          <w:rFonts w:hint="cs"/>
          <w:sz w:val="32"/>
          <w:szCs w:val="32"/>
          <w:rtl/>
        </w:rPr>
        <w:tab/>
        <w:t xml:space="preserve">: جهالةُ السّاقطِ لا تمنعُ صِحَّةَ </w:t>
      </w:r>
      <w:r>
        <w:rPr>
          <w:rFonts w:hint="cs"/>
          <w:b/>
          <w:bCs/>
          <w:sz w:val="32"/>
          <w:szCs w:val="32"/>
          <w:rtl/>
        </w:rPr>
        <w:t>العقدِ</w:t>
      </w:r>
      <w:r>
        <w:rPr>
          <w:rFonts w:hint="cs"/>
          <w:sz w:val="32"/>
          <w:szCs w:val="32"/>
          <w:rtl/>
        </w:rPr>
        <w:t>؛ لأنَّهَا لا تُفضِي إلى المنازَعَةِ.</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ق104 </w:t>
      </w:r>
      <w:r>
        <w:rPr>
          <w:rFonts w:hint="cs"/>
          <w:sz w:val="32"/>
          <w:szCs w:val="32"/>
          <w:rtl/>
        </w:rPr>
        <w:tab/>
        <w:t xml:space="preserve">: الجَهَالةُ المُفضِيةُ إلى النِّزاعِ مُفسِدَةٌ </w:t>
      </w:r>
      <w:r>
        <w:rPr>
          <w:rFonts w:hint="cs"/>
          <w:b/>
          <w:bCs/>
          <w:sz w:val="32"/>
          <w:szCs w:val="32"/>
          <w:rtl/>
        </w:rPr>
        <w:t>للعقْدِ</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ق121 </w:t>
      </w:r>
      <w:r>
        <w:rPr>
          <w:rFonts w:hint="cs"/>
          <w:sz w:val="32"/>
          <w:szCs w:val="32"/>
          <w:rtl/>
        </w:rPr>
        <w:tab/>
        <w:t xml:space="preserve">: الدَّاخلُ تَحْتَ </w:t>
      </w:r>
      <w:r>
        <w:rPr>
          <w:rFonts w:hint="cs"/>
          <w:b/>
          <w:bCs/>
          <w:sz w:val="32"/>
          <w:szCs w:val="32"/>
          <w:rtl/>
        </w:rPr>
        <w:t>العَقْدِ</w:t>
      </w:r>
      <w:r>
        <w:rPr>
          <w:rFonts w:hint="cs"/>
          <w:sz w:val="32"/>
          <w:szCs w:val="32"/>
          <w:rtl/>
        </w:rPr>
        <w:t xml:space="preserve"> عملٌ سليمٌ، والمُفْسَدُ غيرُ داخلٍ.</w:t>
      </w:r>
    </w:p>
    <w:p w:rsidR="00284270" w:rsidRDefault="00284270" w:rsidP="0022714B">
      <w:pPr>
        <w:ind w:left="2833" w:hanging="2266"/>
        <w:rPr>
          <w:sz w:val="32"/>
          <w:szCs w:val="32"/>
          <w:rtl/>
        </w:rPr>
      </w:pPr>
      <w:r>
        <w:rPr>
          <w:rFonts w:hint="cs"/>
          <w:sz w:val="32"/>
          <w:szCs w:val="32"/>
          <w:rtl/>
        </w:rPr>
        <w:t xml:space="preserve">               ق132</w:t>
      </w:r>
      <w:r>
        <w:rPr>
          <w:rFonts w:hint="cs"/>
          <w:sz w:val="32"/>
          <w:szCs w:val="32"/>
          <w:rtl/>
        </w:rPr>
        <w:tab/>
        <w:t xml:space="preserve">: لرُّجُوعُ فِي الهِبَةِ - وَلَوْ بِالتَّرَاضِي - فَسْخٌ </w:t>
      </w:r>
      <w:r>
        <w:rPr>
          <w:rFonts w:hint="cs"/>
          <w:b/>
          <w:bCs/>
          <w:sz w:val="32"/>
          <w:szCs w:val="32"/>
          <w:rtl/>
        </w:rPr>
        <w:t>لِعَقْدِ</w:t>
      </w:r>
      <w:r>
        <w:rPr>
          <w:rFonts w:hint="cs"/>
          <w:sz w:val="32"/>
          <w:szCs w:val="32"/>
          <w:rtl/>
        </w:rPr>
        <w:t xml:space="preserve"> الهِبَةِ مِنَ </w:t>
      </w:r>
      <w:r>
        <w:rPr>
          <w:sz w:val="32"/>
          <w:szCs w:val="32"/>
          <w:rtl/>
        </w:rPr>
        <w:br/>
      </w:r>
      <w:r>
        <w:rPr>
          <w:rFonts w:hint="cs"/>
          <w:sz w:val="32"/>
          <w:szCs w:val="32"/>
          <w:rtl/>
        </w:rPr>
        <w:t xml:space="preserve">   الأَصْلِ، وَإِعَادَةُ المِلْكِ القَديمِ لا هبةً.</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ق142 </w:t>
      </w:r>
      <w:r>
        <w:rPr>
          <w:sz w:val="32"/>
          <w:szCs w:val="32"/>
        </w:rPr>
        <w:tab/>
      </w:r>
      <w:r>
        <w:rPr>
          <w:rFonts w:hint="cs"/>
          <w:sz w:val="32"/>
          <w:szCs w:val="32"/>
          <w:rtl/>
        </w:rPr>
        <w:t xml:space="preserve">: السُّكُوتُ عَنِ التَّبَعِ لاَ يُوجِبُ فَسَادَ </w:t>
      </w:r>
      <w:r>
        <w:rPr>
          <w:rFonts w:hint="cs"/>
          <w:b/>
          <w:bCs/>
          <w:sz w:val="32"/>
          <w:szCs w:val="32"/>
          <w:rtl/>
        </w:rPr>
        <w:t>العَقْدِ</w:t>
      </w:r>
      <w:r>
        <w:rPr>
          <w:rFonts w:hint="cs"/>
          <w:sz w:val="32"/>
          <w:szCs w:val="32"/>
          <w:rtl/>
        </w:rPr>
        <w:t xml:space="preserve"> فِي الأَصْلِ.</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ق169 </w:t>
      </w:r>
      <w:r>
        <w:rPr>
          <w:sz w:val="32"/>
          <w:szCs w:val="32"/>
        </w:rPr>
        <w:tab/>
      </w:r>
      <w:r>
        <w:rPr>
          <w:rFonts w:hint="cs"/>
          <w:sz w:val="32"/>
          <w:szCs w:val="32"/>
          <w:rtl/>
        </w:rPr>
        <w:t xml:space="preserve">: </w:t>
      </w:r>
      <w:r>
        <w:rPr>
          <w:rFonts w:hint="cs"/>
          <w:b/>
          <w:bCs/>
          <w:sz w:val="32"/>
          <w:szCs w:val="32"/>
          <w:rtl/>
        </w:rPr>
        <w:t>عَقْدُ</w:t>
      </w:r>
      <w:r>
        <w:rPr>
          <w:rFonts w:hint="cs"/>
          <w:sz w:val="32"/>
          <w:szCs w:val="32"/>
          <w:rtl/>
        </w:rPr>
        <w:t xml:space="preserve"> الرّهنِ تبرُّعٌ مِنْ جَانِبِ الرَّاهِنِ.</w:t>
      </w:r>
    </w:p>
    <w:p w:rsidR="00284270" w:rsidRDefault="00284270" w:rsidP="0022714B">
      <w:pPr>
        <w:ind w:left="2833" w:hanging="2266"/>
        <w:rPr>
          <w:sz w:val="32"/>
          <w:szCs w:val="32"/>
          <w:rtl/>
        </w:rPr>
      </w:pPr>
      <w:r>
        <w:rPr>
          <w:rFonts w:hint="cs"/>
          <w:sz w:val="32"/>
          <w:szCs w:val="32"/>
          <w:rtl/>
        </w:rPr>
        <w:t xml:space="preserve">               ق168 </w:t>
      </w:r>
      <w:r>
        <w:rPr>
          <w:sz w:val="32"/>
          <w:szCs w:val="32"/>
        </w:rPr>
        <w:tab/>
      </w:r>
      <w:r>
        <w:rPr>
          <w:rFonts w:hint="cs"/>
          <w:sz w:val="32"/>
          <w:szCs w:val="32"/>
          <w:rtl/>
        </w:rPr>
        <w:t xml:space="preserve">: </w:t>
      </w:r>
      <w:r>
        <w:rPr>
          <w:rFonts w:hint="cs"/>
          <w:b/>
          <w:bCs/>
          <w:sz w:val="32"/>
          <w:szCs w:val="32"/>
          <w:rtl/>
        </w:rPr>
        <w:t>العَقْدُ</w:t>
      </w:r>
      <w:r>
        <w:rPr>
          <w:rFonts w:hint="cs"/>
          <w:sz w:val="32"/>
          <w:szCs w:val="32"/>
          <w:rtl/>
        </w:rPr>
        <w:t xml:space="preserve"> مَتَى انْفَسَخَ بقضاءِ القاضِي لا يَعُودُ إلاَّ بِتَجْدِيدِهِ.</w:t>
      </w:r>
    </w:p>
    <w:p w:rsidR="00284270" w:rsidRDefault="00284270" w:rsidP="0022714B">
      <w:pPr>
        <w:ind w:left="2833" w:hanging="2039"/>
        <w:rPr>
          <w:spacing w:val="-6"/>
          <w:sz w:val="32"/>
          <w:szCs w:val="32"/>
          <w:rtl/>
        </w:rPr>
      </w:pPr>
      <w:r>
        <w:rPr>
          <w:rFonts w:hint="cs"/>
          <w:sz w:val="32"/>
          <w:szCs w:val="32"/>
          <w:rtl/>
        </w:rPr>
        <w:t xml:space="preserve">            ق185 </w:t>
      </w:r>
      <w:r>
        <w:rPr>
          <w:sz w:val="32"/>
          <w:szCs w:val="32"/>
        </w:rPr>
        <w:tab/>
      </w:r>
      <w:r>
        <w:rPr>
          <w:rFonts w:hint="cs"/>
          <w:sz w:val="32"/>
          <w:szCs w:val="32"/>
          <w:rtl/>
        </w:rPr>
        <w:t xml:space="preserve">: </w:t>
      </w:r>
      <w:r>
        <w:rPr>
          <w:rFonts w:hint="cs"/>
          <w:spacing w:val="-6"/>
          <w:sz w:val="32"/>
          <w:szCs w:val="32"/>
          <w:rtl/>
        </w:rPr>
        <w:t xml:space="preserve">كُلُّ كفالةٍ </w:t>
      </w:r>
      <w:r>
        <w:rPr>
          <w:rFonts w:hint="cs"/>
          <w:b/>
          <w:bCs/>
          <w:spacing w:val="-6"/>
          <w:sz w:val="32"/>
          <w:szCs w:val="32"/>
          <w:rtl/>
        </w:rPr>
        <w:t>تَنْعَقِدُ</w:t>
      </w:r>
      <w:r>
        <w:rPr>
          <w:rFonts w:hint="cs"/>
          <w:spacing w:val="-6"/>
          <w:sz w:val="32"/>
          <w:szCs w:val="32"/>
          <w:rtl/>
        </w:rPr>
        <w:t xml:space="preserve"> غَيْرُ موجِبةٍ للرّدِ لا تَنْقَلِبُ مُوجِبَةً أبدًا.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ق224 </w:t>
      </w:r>
      <w:r>
        <w:rPr>
          <w:sz w:val="32"/>
          <w:szCs w:val="32"/>
        </w:rPr>
        <w:tab/>
      </w:r>
      <w:r>
        <w:rPr>
          <w:rFonts w:hint="cs"/>
          <w:sz w:val="32"/>
          <w:szCs w:val="32"/>
          <w:rtl/>
        </w:rPr>
        <w:t xml:space="preserve">: مَا لاَ يَصِحُّ إفرادُهُ </w:t>
      </w:r>
      <w:r>
        <w:rPr>
          <w:rFonts w:hint="cs"/>
          <w:b/>
          <w:bCs/>
          <w:sz w:val="32"/>
          <w:szCs w:val="32"/>
          <w:rtl/>
        </w:rPr>
        <w:t>بالعَقْدِ</w:t>
      </w:r>
      <w:r>
        <w:rPr>
          <w:rFonts w:hint="cs"/>
          <w:sz w:val="32"/>
          <w:szCs w:val="32"/>
          <w:rtl/>
        </w:rPr>
        <w:t xml:space="preserve"> لا يصحُّ استِثْنَاؤُهُ مِنَ العَقْدِ.</w:t>
      </w:r>
    </w:p>
    <w:p w:rsidR="00284270" w:rsidRDefault="00284270">
      <w:pPr>
        <w:rPr>
          <w:spacing w:val="-4"/>
          <w:sz w:val="32"/>
          <w:szCs w:val="32"/>
          <w:rtl/>
        </w:rPr>
      </w:pPr>
      <w:r>
        <w:rPr>
          <w:rFonts w:hint="cs"/>
          <w:b/>
          <w:bCs/>
          <w:sz w:val="32"/>
          <w:szCs w:val="32"/>
          <w:rtl/>
        </w:rPr>
        <w:t>عقر</w:t>
      </w:r>
      <w:r>
        <w:rPr>
          <w:rFonts w:hint="cs"/>
          <w:sz w:val="32"/>
          <w:szCs w:val="32"/>
          <w:rtl/>
        </w:rPr>
        <w:tab/>
      </w:r>
      <w:r>
        <w:rPr>
          <w:sz w:val="32"/>
          <w:szCs w:val="32"/>
        </w:rPr>
        <w:tab/>
      </w:r>
      <w:r>
        <w:rPr>
          <w:rFonts w:hint="cs"/>
          <w:sz w:val="32"/>
          <w:szCs w:val="32"/>
          <w:rtl/>
        </w:rPr>
        <w:t xml:space="preserve">: ق231 </w:t>
      </w:r>
      <w:r>
        <w:rPr>
          <w:sz w:val="32"/>
          <w:szCs w:val="32"/>
        </w:rPr>
        <w:tab/>
      </w:r>
      <w:r>
        <w:rPr>
          <w:rFonts w:hint="cs"/>
          <w:sz w:val="32"/>
          <w:szCs w:val="32"/>
          <w:rtl/>
        </w:rPr>
        <w:t xml:space="preserve">: </w:t>
      </w:r>
      <w:r>
        <w:rPr>
          <w:rFonts w:hint="cs"/>
          <w:spacing w:val="-4"/>
          <w:sz w:val="32"/>
          <w:szCs w:val="32"/>
          <w:rtl/>
        </w:rPr>
        <w:t>المَقَاصِدُ فِي العَرْضِ و</w:t>
      </w:r>
      <w:r>
        <w:rPr>
          <w:rFonts w:hint="cs"/>
          <w:b/>
          <w:bCs/>
          <w:spacing w:val="-4"/>
          <w:sz w:val="32"/>
          <w:szCs w:val="32"/>
          <w:rtl/>
        </w:rPr>
        <w:t>العقارِ</w:t>
      </w:r>
      <w:r>
        <w:rPr>
          <w:rFonts w:hint="cs"/>
          <w:spacing w:val="-4"/>
          <w:sz w:val="32"/>
          <w:szCs w:val="32"/>
          <w:rtl/>
        </w:rPr>
        <w:t xml:space="preserve"> يتعلّق بصورِهما وأعيانِهما.</w:t>
      </w:r>
    </w:p>
    <w:p w:rsidR="00284270" w:rsidRDefault="00284270" w:rsidP="0022714B">
      <w:pPr>
        <w:ind w:left="2833" w:hanging="2266"/>
        <w:rPr>
          <w:sz w:val="32"/>
          <w:szCs w:val="32"/>
          <w:rtl/>
        </w:rPr>
      </w:pPr>
      <w:r>
        <w:rPr>
          <w:rFonts w:hint="cs"/>
          <w:b/>
          <w:bCs/>
          <w:sz w:val="32"/>
          <w:szCs w:val="32"/>
          <w:rtl/>
        </w:rPr>
        <w:t>علق</w:t>
      </w:r>
      <w:r>
        <w:rPr>
          <w:rFonts w:hint="cs"/>
          <w:sz w:val="32"/>
          <w:szCs w:val="32"/>
          <w:rtl/>
        </w:rPr>
        <w:t xml:space="preserve">         : ق31 </w:t>
      </w:r>
      <w:r>
        <w:rPr>
          <w:sz w:val="32"/>
          <w:szCs w:val="32"/>
        </w:rPr>
        <w:tab/>
      </w:r>
      <w:r>
        <w:rPr>
          <w:rFonts w:hint="cs"/>
          <w:sz w:val="32"/>
          <w:szCs w:val="32"/>
          <w:rtl/>
        </w:rPr>
        <w:t xml:space="preserve">: الأصلُ : أَنَّ كُلَّ تصرُّفٍ يُوقَفُ حُكْمُهُ على شيءٍ : أنْ يُجْعَلَ </w:t>
      </w:r>
      <w:r>
        <w:rPr>
          <w:rFonts w:hint="cs"/>
          <w:b/>
          <w:bCs/>
          <w:sz w:val="32"/>
          <w:szCs w:val="32"/>
          <w:rtl/>
        </w:rPr>
        <w:t>مُعَلَّقًا</w:t>
      </w:r>
      <w:r>
        <w:rPr>
          <w:rFonts w:hint="cs"/>
          <w:sz w:val="32"/>
          <w:szCs w:val="32"/>
          <w:rtl/>
        </w:rPr>
        <w:t xml:space="preserve"> بالشَّرْطِ، لا سببًا، إلاَّ فِيمَا لا يَحْتَمِلُ </w:t>
      </w:r>
      <w:r>
        <w:rPr>
          <w:rFonts w:hint="cs"/>
          <w:b/>
          <w:bCs/>
          <w:sz w:val="32"/>
          <w:szCs w:val="32"/>
          <w:rtl/>
        </w:rPr>
        <w:t>التَّعلِيقَ.</w:t>
      </w:r>
      <w:r>
        <w:rPr>
          <w:rFonts w:hint="cs"/>
          <w:sz w:val="32"/>
          <w:szCs w:val="32"/>
          <w:rtl/>
        </w:rPr>
        <w:t xml:space="preserve"> </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ق39 </w:t>
      </w:r>
      <w:r>
        <w:rPr>
          <w:sz w:val="32"/>
          <w:szCs w:val="32"/>
        </w:rPr>
        <w:tab/>
      </w:r>
      <w:r>
        <w:rPr>
          <w:rFonts w:hint="cs"/>
          <w:sz w:val="32"/>
          <w:szCs w:val="32"/>
          <w:rtl/>
        </w:rPr>
        <w:tab/>
        <w:t xml:space="preserve">: الإقْرارُ لا يحتملُ </w:t>
      </w:r>
      <w:r>
        <w:rPr>
          <w:rFonts w:hint="cs"/>
          <w:b/>
          <w:bCs/>
          <w:sz w:val="32"/>
          <w:szCs w:val="32"/>
          <w:rtl/>
        </w:rPr>
        <w:t>التَّعليق</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ق229 </w:t>
      </w:r>
      <w:r>
        <w:rPr>
          <w:sz w:val="32"/>
          <w:szCs w:val="32"/>
        </w:rPr>
        <w:tab/>
      </w:r>
      <w:r>
        <w:rPr>
          <w:rFonts w:hint="cs"/>
          <w:sz w:val="32"/>
          <w:szCs w:val="32"/>
          <w:rtl/>
        </w:rPr>
        <w:t xml:space="preserve">: </w:t>
      </w:r>
      <w:r>
        <w:rPr>
          <w:rFonts w:hint="cs"/>
          <w:b/>
          <w:bCs/>
          <w:sz w:val="32"/>
          <w:szCs w:val="32"/>
          <w:rtl/>
        </w:rPr>
        <w:t>المُعَلَّق</w:t>
      </w:r>
      <w:r>
        <w:rPr>
          <w:rFonts w:hint="cs"/>
          <w:sz w:val="32"/>
          <w:szCs w:val="32"/>
          <w:rtl/>
        </w:rPr>
        <w:t>ُ بالشَّرْط معدومٌ قَبْلَهُ.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ق240 </w:t>
      </w:r>
      <w:r>
        <w:rPr>
          <w:sz w:val="32"/>
          <w:szCs w:val="32"/>
        </w:rPr>
        <w:tab/>
      </w:r>
      <w:r>
        <w:rPr>
          <w:rFonts w:hint="cs"/>
          <w:sz w:val="32"/>
          <w:szCs w:val="32"/>
          <w:rtl/>
        </w:rPr>
        <w:t xml:space="preserve">: مَنْ لاَ يَمْلِكُ التَّنْجِيزَ لاَ يَمْلِكُ </w:t>
      </w:r>
      <w:r>
        <w:rPr>
          <w:rFonts w:hint="cs"/>
          <w:b/>
          <w:bCs/>
          <w:sz w:val="32"/>
          <w:szCs w:val="32"/>
          <w:rtl/>
        </w:rPr>
        <w:t>التَّعْلِيقَ</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ق239 </w:t>
      </w:r>
      <w:r>
        <w:rPr>
          <w:sz w:val="32"/>
          <w:szCs w:val="32"/>
        </w:rPr>
        <w:tab/>
      </w:r>
      <w:r>
        <w:rPr>
          <w:rFonts w:hint="cs"/>
          <w:sz w:val="32"/>
          <w:szCs w:val="32"/>
          <w:rtl/>
        </w:rPr>
        <w:t xml:space="preserve">: مَنْ يَمْلِكُ التَّنْجِيْزَ يَمْلِكُ </w:t>
      </w:r>
      <w:r>
        <w:rPr>
          <w:rFonts w:hint="cs"/>
          <w:b/>
          <w:bCs/>
          <w:sz w:val="32"/>
          <w:szCs w:val="32"/>
          <w:rtl/>
        </w:rPr>
        <w:t>التَّعْلِيْقَ</w:t>
      </w:r>
      <w:r>
        <w:rPr>
          <w:rFonts w:hint="cs"/>
          <w:sz w:val="32"/>
          <w:szCs w:val="32"/>
          <w:rtl/>
        </w:rPr>
        <w:t>.</w:t>
      </w:r>
    </w:p>
    <w:p w:rsidR="00284270" w:rsidRDefault="00284270">
      <w:pPr>
        <w:rPr>
          <w:sz w:val="32"/>
          <w:szCs w:val="32"/>
          <w:rtl/>
        </w:rPr>
      </w:pPr>
      <w:r>
        <w:rPr>
          <w:rFonts w:hint="cs"/>
          <w:b/>
          <w:bCs/>
          <w:sz w:val="32"/>
          <w:szCs w:val="32"/>
          <w:rtl/>
        </w:rPr>
        <w:t>علل</w:t>
      </w:r>
      <w:r>
        <w:rPr>
          <w:rFonts w:hint="cs"/>
          <w:sz w:val="32"/>
          <w:szCs w:val="32"/>
          <w:rtl/>
        </w:rPr>
        <w:tab/>
      </w:r>
      <w:r>
        <w:rPr>
          <w:sz w:val="32"/>
          <w:szCs w:val="32"/>
        </w:rPr>
        <w:tab/>
      </w:r>
      <w:r>
        <w:rPr>
          <w:rFonts w:hint="cs"/>
          <w:sz w:val="32"/>
          <w:szCs w:val="32"/>
          <w:rtl/>
        </w:rPr>
        <w:t xml:space="preserve">: ق73 </w:t>
      </w:r>
      <w:r>
        <w:rPr>
          <w:sz w:val="32"/>
          <w:szCs w:val="32"/>
        </w:rPr>
        <w:tab/>
      </w:r>
      <w:r>
        <w:rPr>
          <w:rFonts w:hint="cs"/>
          <w:sz w:val="32"/>
          <w:szCs w:val="32"/>
          <w:rtl/>
        </w:rPr>
        <w:tab/>
        <w:t xml:space="preserve">: التَّرجِيحُ لا يقعُ بِكَثْرةِ </w:t>
      </w:r>
      <w:r>
        <w:rPr>
          <w:rFonts w:hint="cs"/>
          <w:b/>
          <w:bCs/>
          <w:sz w:val="32"/>
          <w:szCs w:val="32"/>
          <w:rtl/>
        </w:rPr>
        <w:t>العِلَلِ</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ق115 </w:t>
      </w:r>
      <w:r>
        <w:rPr>
          <w:sz w:val="32"/>
          <w:szCs w:val="32"/>
        </w:rPr>
        <w:tab/>
      </w:r>
      <w:r>
        <w:rPr>
          <w:rFonts w:hint="cs"/>
          <w:sz w:val="32"/>
          <w:szCs w:val="32"/>
          <w:rtl/>
        </w:rPr>
        <w:t xml:space="preserve">: الحكمُ يَنْتَهِي بانتهاءِ </w:t>
      </w:r>
      <w:r>
        <w:rPr>
          <w:rFonts w:hint="cs"/>
          <w:b/>
          <w:bCs/>
          <w:sz w:val="32"/>
          <w:szCs w:val="32"/>
          <w:rtl/>
        </w:rPr>
        <w:t>علَّتِهِ</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ق165 </w:t>
      </w:r>
      <w:r>
        <w:rPr>
          <w:sz w:val="32"/>
          <w:szCs w:val="32"/>
        </w:rPr>
        <w:tab/>
      </w:r>
      <w:r>
        <w:rPr>
          <w:rFonts w:hint="cs"/>
          <w:sz w:val="32"/>
          <w:szCs w:val="32"/>
          <w:rtl/>
        </w:rPr>
        <w:t xml:space="preserve">: العِبْرَةُ لآخِرِ جُزْئَيِ </w:t>
      </w:r>
      <w:r>
        <w:rPr>
          <w:rFonts w:hint="cs"/>
          <w:b/>
          <w:bCs/>
          <w:sz w:val="32"/>
          <w:szCs w:val="32"/>
          <w:rtl/>
        </w:rPr>
        <w:t>العِلَّةِ</w:t>
      </w:r>
      <w:r>
        <w:rPr>
          <w:rFonts w:hint="cs"/>
          <w:sz w:val="32"/>
          <w:szCs w:val="32"/>
          <w:rtl/>
        </w:rPr>
        <w:t>.</w:t>
      </w:r>
    </w:p>
    <w:p w:rsidR="00284270" w:rsidRDefault="00284270">
      <w:pPr>
        <w:rPr>
          <w:sz w:val="32"/>
          <w:szCs w:val="32"/>
          <w:rtl/>
        </w:rPr>
      </w:pPr>
      <w:r w:rsidRPr="00CB2FC4">
        <w:rPr>
          <w:rFonts w:hint="cs"/>
          <w:b/>
          <w:bCs/>
          <w:sz w:val="32"/>
          <w:szCs w:val="32"/>
          <w:rtl/>
        </w:rPr>
        <w:t>علم</w:t>
      </w:r>
      <w:r>
        <w:rPr>
          <w:rFonts w:hint="cs"/>
          <w:sz w:val="32"/>
          <w:szCs w:val="32"/>
          <w:rtl/>
        </w:rPr>
        <w:tab/>
      </w:r>
      <w:r>
        <w:rPr>
          <w:sz w:val="32"/>
          <w:szCs w:val="32"/>
        </w:rPr>
        <w:tab/>
      </w:r>
      <w:r>
        <w:rPr>
          <w:rFonts w:hint="cs"/>
          <w:sz w:val="32"/>
          <w:szCs w:val="32"/>
          <w:rtl/>
        </w:rPr>
        <w:t xml:space="preserve">: ق19 </w:t>
      </w:r>
      <w:r>
        <w:rPr>
          <w:sz w:val="32"/>
          <w:szCs w:val="32"/>
        </w:rPr>
        <w:tab/>
      </w:r>
      <w:r>
        <w:rPr>
          <w:rFonts w:hint="cs"/>
          <w:sz w:val="32"/>
          <w:szCs w:val="32"/>
          <w:rtl/>
        </w:rPr>
        <w:tab/>
        <w:t xml:space="preserve">: الاسْتِثْنَاءُ </w:t>
      </w:r>
      <w:r>
        <w:rPr>
          <w:rFonts w:hint="cs"/>
          <w:b/>
          <w:bCs/>
          <w:sz w:val="32"/>
          <w:szCs w:val="32"/>
          <w:rtl/>
        </w:rPr>
        <w:t>المَعْلومُ</w:t>
      </w:r>
      <w:r>
        <w:rPr>
          <w:rFonts w:hint="cs"/>
          <w:sz w:val="32"/>
          <w:szCs w:val="32"/>
          <w:rtl/>
        </w:rPr>
        <w:t xml:space="preserve"> بِدَلاَلَةِ الحَالِ كالاسْتِثْنَاءِ المَشْرُوطِ. </w:t>
      </w:r>
    </w:p>
    <w:p w:rsidR="00284270" w:rsidRDefault="00284270" w:rsidP="0022714B">
      <w:pPr>
        <w:ind w:left="2833" w:hanging="2266"/>
        <w:rPr>
          <w:sz w:val="32"/>
          <w:szCs w:val="32"/>
          <w:rtl/>
        </w:rPr>
      </w:pPr>
      <w:r>
        <w:rPr>
          <w:rFonts w:hint="cs"/>
          <w:sz w:val="32"/>
          <w:szCs w:val="32"/>
          <w:rtl/>
        </w:rPr>
        <w:t xml:space="preserve">               ق70  </w:t>
      </w:r>
      <w:r>
        <w:rPr>
          <w:rFonts w:hint="cs"/>
          <w:sz w:val="32"/>
          <w:szCs w:val="32"/>
          <w:rtl/>
        </w:rPr>
        <w:tab/>
        <w:t xml:space="preserve">: التَّحليفُ على فعلِ نفسِهِ عَلَى البَتَاتِ، وعلَى فعلِ غيرِهِ علَى </w:t>
      </w:r>
      <w:r>
        <w:rPr>
          <w:b/>
          <w:bCs/>
          <w:sz w:val="32"/>
          <w:szCs w:val="32"/>
          <w:rtl/>
        </w:rPr>
        <w:br/>
      </w:r>
      <w:r>
        <w:rPr>
          <w:rFonts w:hint="cs"/>
          <w:b/>
          <w:bCs/>
          <w:sz w:val="32"/>
          <w:szCs w:val="32"/>
          <w:rtl/>
        </w:rPr>
        <w:t xml:space="preserve">  العِلْم.</w:t>
      </w:r>
      <w:r>
        <w:rPr>
          <w:rFonts w:hint="cs"/>
          <w:sz w:val="32"/>
          <w:szCs w:val="32"/>
          <w:rtl/>
        </w:rPr>
        <w:t xml:space="preserve">ِ </w:t>
      </w:r>
    </w:p>
    <w:p w:rsidR="00284270" w:rsidRDefault="00284270" w:rsidP="0022714B">
      <w:pPr>
        <w:spacing w:line="230" w:lineRule="auto"/>
        <w:ind w:left="2833" w:hanging="2266"/>
        <w:rPr>
          <w:sz w:val="32"/>
          <w:szCs w:val="32"/>
          <w:rtl/>
        </w:rPr>
      </w:pPr>
      <w:r>
        <w:rPr>
          <w:rFonts w:hint="cs"/>
          <w:sz w:val="32"/>
          <w:szCs w:val="32"/>
          <w:rtl/>
        </w:rPr>
        <w:t xml:space="preserve">               ق117 </w:t>
      </w:r>
      <w:r>
        <w:rPr>
          <w:sz w:val="32"/>
          <w:szCs w:val="32"/>
        </w:rPr>
        <w:tab/>
      </w:r>
      <w:r>
        <w:rPr>
          <w:rFonts w:hint="cs"/>
          <w:sz w:val="32"/>
          <w:szCs w:val="32"/>
          <w:rtl/>
        </w:rPr>
        <w:t xml:space="preserve">: حكمُ الخفيِّ : النَّظرُ فيه؛ </w:t>
      </w:r>
      <w:r>
        <w:rPr>
          <w:rFonts w:hint="cs"/>
          <w:b/>
          <w:bCs/>
          <w:sz w:val="32"/>
          <w:szCs w:val="32"/>
          <w:rtl/>
        </w:rPr>
        <w:t>ليُعلمَ</w:t>
      </w:r>
      <w:r>
        <w:rPr>
          <w:rFonts w:hint="cs"/>
          <w:sz w:val="32"/>
          <w:szCs w:val="32"/>
          <w:rtl/>
        </w:rPr>
        <w:t xml:space="preserve"> أنَّ خفاهُ لزيادةٍ أو نُقصانٍ </w:t>
      </w:r>
      <w:r>
        <w:rPr>
          <w:sz w:val="32"/>
          <w:szCs w:val="32"/>
          <w:rtl/>
        </w:rPr>
        <w:br/>
      </w:r>
      <w:r>
        <w:rPr>
          <w:rFonts w:hint="cs"/>
          <w:sz w:val="32"/>
          <w:szCs w:val="32"/>
          <w:rtl/>
        </w:rPr>
        <w:t xml:space="preserve">   فَيَظْهَرَ المُرَادُ.</w:t>
      </w:r>
    </w:p>
    <w:p w:rsidR="00284270" w:rsidRDefault="00284270" w:rsidP="0022714B">
      <w:pPr>
        <w:spacing w:line="230" w:lineRule="auto"/>
        <w:rPr>
          <w:sz w:val="32"/>
          <w:szCs w:val="32"/>
          <w:rtl/>
        </w:rPr>
      </w:pPr>
    </w:p>
    <w:p w:rsidR="00284270" w:rsidRDefault="00284270" w:rsidP="0022714B">
      <w:pPr>
        <w:spacing w:line="230"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ق228 </w:t>
      </w:r>
      <w:r>
        <w:rPr>
          <w:rFonts w:hint="cs"/>
          <w:sz w:val="32"/>
          <w:szCs w:val="32"/>
          <w:rtl/>
        </w:rPr>
        <w:tab/>
        <w:t xml:space="preserve">: </w:t>
      </w:r>
      <w:r>
        <w:rPr>
          <w:rFonts w:hint="cs"/>
          <w:b/>
          <w:bCs/>
          <w:sz w:val="32"/>
          <w:szCs w:val="32"/>
          <w:rtl/>
        </w:rPr>
        <w:t>المَعْلُومُ</w:t>
      </w:r>
      <w:r>
        <w:rPr>
          <w:rFonts w:hint="cs"/>
          <w:sz w:val="32"/>
          <w:szCs w:val="32"/>
          <w:rtl/>
        </w:rPr>
        <w:t xml:space="preserve"> لاَ يُؤَخَّرُ للمَوْهُومِ.</w:t>
      </w:r>
    </w:p>
    <w:p w:rsidR="00284270" w:rsidRDefault="00284270" w:rsidP="0022714B">
      <w:pPr>
        <w:spacing w:line="230" w:lineRule="auto"/>
        <w:rPr>
          <w:sz w:val="32"/>
          <w:szCs w:val="32"/>
          <w:rtl/>
        </w:rPr>
      </w:pPr>
      <w:r>
        <w:rPr>
          <w:rFonts w:hint="cs"/>
          <w:b/>
          <w:bCs/>
          <w:sz w:val="32"/>
          <w:szCs w:val="32"/>
          <w:rtl/>
        </w:rPr>
        <w:t>عمد</w:t>
      </w:r>
      <w:r>
        <w:rPr>
          <w:rFonts w:hint="cs"/>
          <w:sz w:val="32"/>
          <w:szCs w:val="32"/>
          <w:rtl/>
        </w:rPr>
        <w:tab/>
      </w:r>
      <w:r>
        <w:rPr>
          <w:rFonts w:hint="cs"/>
          <w:sz w:val="32"/>
          <w:szCs w:val="32"/>
          <w:rtl/>
        </w:rPr>
        <w:tab/>
        <w:t xml:space="preserve">: ق202 </w:t>
      </w:r>
      <w:r>
        <w:rPr>
          <w:rFonts w:hint="cs"/>
          <w:sz w:val="32"/>
          <w:szCs w:val="32"/>
          <w:rtl/>
        </w:rPr>
        <w:tab/>
        <w:t xml:space="preserve">: لا </w:t>
      </w:r>
      <w:r>
        <w:rPr>
          <w:rFonts w:hint="cs"/>
          <w:b/>
          <w:bCs/>
          <w:sz w:val="32"/>
          <w:szCs w:val="32"/>
          <w:rtl/>
        </w:rPr>
        <w:t>يُعْتَمَدُ</w:t>
      </w:r>
      <w:r>
        <w:rPr>
          <w:rFonts w:hint="cs"/>
          <w:sz w:val="32"/>
          <w:szCs w:val="32"/>
          <w:rtl/>
        </w:rPr>
        <w:t xml:space="preserve"> عَلَى الخَطِّ، ولا يُعْمَلُ بِهِ.</w:t>
      </w:r>
    </w:p>
    <w:p w:rsidR="00284270" w:rsidRDefault="00284270" w:rsidP="0022714B">
      <w:pPr>
        <w:spacing w:line="230" w:lineRule="auto"/>
        <w:ind w:left="2833" w:hanging="2266"/>
        <w:rPr>
          <w:sz w:val="32"/>
          <w:szCs w:val="32"/>
          <w:rtl/>
        </w:rPr>
      </w:pPr>
      <w:r>
        <w:rPr>
          <w:rFonts w:hint="cs"/>
          <w:b/>
          <w:bCs/>
          <w:sz w:val="32"/>
          <w:szCs w:val="32"/>
          <w:rtl/>
        </w:rPr>
        <w:t>عمل</w:t>
      </w:r>
      <w:r>
        <w:rPr>
          <w:rFonts w:hint="cs"/>
          <w:sz w:val="32"/>
          <w:szCs w:val="32"/>
          <w:rtl/>
        </w:rPr>
        <w:t xml:space="preserve">        : ق33 </w:t>
      </w:r>
      <w:r>
        <w:rPr>
          <w:rFonts w:hint="cs"/>
          <w:sz w:val="32"/>
          <w:szCs w:val="32"/>
          <w:rtl/>
        </w:rPr>
        <w:tab/>
        <w:t xml:space="preserve">: </w:t>
      </w:r>
      <w:r>
        <w:rPr>
          <w:rFonts w:hint="cs"/>
          <w:b/>
          <w:bCs/>
          <w:sz w:val="32"/>
          <w:szCs w:val="32"/>
          <w:rtl/>
        </w:rPr>
        <w:t>إِعْمَالُ</w:t>
      </w:r>
      <w:r>
        <w:rPr>
          <w:rFonts w:hint="cs"/>
          <w:sz w:val="32"/>
          <w:szCs w:val="32"/>
          <w:rtl/>
        </w:rPr>
        <w:t xml:space="preserve"> الكَلاَمِ أَوْلَى مِنْ إهمالِهِ متَى أَمْكَنَ، وإذَا لمْ يمكِنْ أُهْمِلَ. </w:t>
      </w:r>
    </w:p>
    <w:p w:rsidR="00284270" w:rsidRDefault="00284270" w:rsidP="0022714B">
      <w:pPr>
        <w:spacing w:line="230" w:lineRule="auto"/>
        <w:rPr>
          <w:sz w:val="32"/>
          <w:szCs w:val="32"/>
          <w:rtl/>
        </w:rPr>
      </w:pPr>
      <w:r>
        <w:rPr>
          <w:rFonts w:hint="cs"/>
          <w:sz w:val="32"/>
          <w:szCs w:val="32"/>
          <w:rtl/>
        </w:rPr>
        <w:tab/>
      </w:r>
      <w:r>
        <w:rPr>
          <w:rFonts w:hint="cs"/>
          <w:sz w:val="32"/>
          <w:szCs w:val="32"/>
          <w:rtl/>
        </w:rPr>
        <w:tab/>
      </w:r>
      <w:r>
        <w:rPr>
          <w:rFonts w:hint="cs"/>
          <w:sz w:val="32"/>
          <w:szCs w:val="32"/>
          <w:rtl/>
        </w:rPr>
        <w:tab/>
        <w:t xml:space="preserve">  ق170 </w:t>
      </w:r>
      <w:r>
        <w:rPr>
          <w:rFonts w:hint="cs"/>
          <w:sz w:val="32"/>
          <w:szCs w:val="32"/>
          <w:rtl/>
        </w:rPr>
        <w:tab/>
        <w:t xml:space="preserve">: </w:t>
      </w:r>
      <w:r>
        <w:rPr>
          <w:rFonts w:hint="cs"/>
          <w:b/>
          <w:bCs/>
          <w:sz w:val="32"/>
          <w:szCs w:val="32"/>
          <w:rtl/>
        </w:rPr>
        <w:t>العَمَلُ</w:t>
      </w:r>
      <w:r>
        <w:rPr>
          <w:rFonts w:hint="cs"/>
          <w:sz w:val="32"/>
          <w:szCs w:val="32"/>
          <w:rtl/>
        </w:rPr>
        <w:t xml:space="preserve"> بالظَّاهِرِ هُوَ الأَصْلُ؛ لِدَفْعِ الضَّرَرِ عَنِ النَّاسِ.</w:t>
      </w:r>
    </w:p>
    <w:p w:rsidR="00284270" w:rsidRDefault="00284270" w:rsidP="0022714B">
      <w:pPr>
        <w:spacing w:line="230" w:lineRule="auto"/>
        <w:rPr>
          <w:sz w:val="32"/>
          <w:szCs w:val="32"/>
          <w:rtl/>
        </w:rPr>
      </w:pPr>
      <w:r>
        <w:rPr>
          <w:rFonts w:hint="cs"/>
          <w:sz w:val="32"/>
          <w:szCs w:val="32"/>
          <w:rtl/>
        </w:rPr>
        <w:tab/>
      </w:r>
      <w:r>
        <w:rPr>
          <w:rFonts w:hint="cs"/>
          <w:sz w:val="32"/>
          <w:szCs w:val="32"/>
          <w:rtl/>
        </w:rPr>
        <w:tab/>
      </w:r>
      <w:r>
        <w:rPr>
          <w:rFonts w:hint="cs"/>
          <w:sz w:val="32"/>
          <w:szCs w:val="32"/>
          <w:rtl/>
        </w:rPr>
        <w:tab/>
        <w:t xml:space="preserve">  ق238 </w:t>
      </w:r>
      <w:r>
        <w:rPr>
          <w:rFonts w:hint="cs"/>
          <w:sz w:val="32"/>
          <w:szCs w:val="32"/>
          <w:rtl/>
        </w:rPr>
        <w:tab/>
        <w:t xml:space="preserve">: مَنْ </w:t>
      </w:r>
      <w:r>
        <w:rPr>
          <w:rFonts w:hint="cs"/>
          <w:b/>
          <w:bCs/>
          <w:sz w:val="32"/>
          <w:szCs w:val="32"/>
          <w:rtl/>
        </w:rPr>
        <w:t>عَمِلَ</w:t>
      </w:r>
      <w:r>
        <w:rPr>
          <w:rFonts w:hint="cs"/>
          <w:sz w:val="32"/>
          <w:szCs w:val="32"/>
          <w:rtl/>
        </w:rPr>
        <w:t xml:space="preserve"> إِقْرَارُهُ قُبِلَتْ بَيِّنَتُهُ، وإلاّ فَلاَ.</w:t>
      </w:r>
    </w:p>
    <w:p w:rsidR="00284270" w:rsidRDefault="00284270" w:rsidP="0022714B">
      <w:pPr>
        <w:spacing w:line="230" w:lineRule="auto"/>
        <w:rPr>
          <w:sz w:val="32"/>
          <w:szCs w:val="32"/>
          <w:rtl/>
        </w:rPr>
      </w:pPr>
      <w:r>
        <w:rPr>
          <w:rFonts w:hint="cs"/>
          <w:sz w:val="32"/>
          <w:szCs w:val="32"/>
          <w:rtl/>
        </w:rPr>
        <w:tab/>
      </w:r>
      <w:r>
        <w:rPr>
          <w:rFonts w:hint="cs"/>
          <w:sz w:val="32"/>
          <w:szCs w:val="32"/>
          <w:rtl/>
        </w:rPr>
        <w:tab/>
      </w:r>
      <w:r>
        <w:rPr>
          <w:rFonts w:hint="cs"/>
          <w:sz w:val="32"/>
          <w:szCs w:val="32"/>
          <w:rtl/>
        </w:rPr>
        <w:tab/>
        <w:t xml:space="preserve">  ق243 </w:t>
      </w:r>
      <w:r>
        <w:rPr>
          <w:rFonts w:hint="cs"/>
          <w:sz w:val="32"/>
          <w:szCs w:val="32"/>
          <w:rtl/>
        </w:rPr>
        <w:tab/>
        <w:t xml:space="preserve">: مَنْ </w:t>
      </w:r>
      <w:r>
        <w:rPr>
          <w:rFonts w:hint="cs"/>
          <w:b/>
          <w:bCs/>
          <w:sz w:val="32"/>
          <w:szCs w:val="32"/>
          <w:rtl/>
        </w:rPr>
        <w:t>عَمِلَ</w:t>
      </w:r>
      <w:r>
        <w:rPr>
          <w:rFonts w:hint="cs"/>
          <w:sz w:val="32"/>
          <w:szCs w:val="32"/>
          <w:rtl/>
        </w:rPr>
        <w:t xml:space="preserve"> لِغَيْرِهِ عَمَلاً، وَلَحِقَهُ ضَمَانٌ : يَرْجِعُ على مَنْ</w:t>
      </w:r>
    </w:p>
    <w:p w:rsidR="00284270" w:rsidRDefault="00284270" w:rsidP="0022714B">
      <w:pPr>
        <w:spacing w:line="230" w:lineRule="auto"/>
        <w:rPr>
          <w:sz w:val="32"/>
          <w:szCs w:val="32"/>
          <w:rtl/>
        </w:rPr>
      </w:pPr>
      <w:r>
        <w:rPr>
          <w:rFonts w:hint="cs"/>
          <w:sz w:val="32"/>
          <w:szCs w:val="32"/>
          <w:rtl/>
        </w:rPr>
        <w:t xml:space="preserve"> </w:t>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t xml:space="preserve">وَقَعَ لَهُ </w:t>
      </w:r>
      <w:r>
        <w:rPr>
          <w:rFonts w:hint="cs"/>
          <w:b/>
          <w:bCs/>
          <w:sz w:val="32"/>
          <w:szCs w:val="32"/>
          <w:rtl/>
        </w:rPr>
        <w:t>العَمَلُ</w:t>
      </w:r>
      <w:r>
        <w:rPr>
          <w:rFonts w:hint="cs"/>
          <w:sz w:val="32"/>
          <w:szCs w:val="32"/>
          <w:rtl/>
        </w:rPr>
        <w:t>.</w:t>
      </w:r>
    </w:p>
    <w:p w:rsidR="00284270" w:rsidRDefault="00284270" w:rsidP="0022714B">
      <w:pPr>
        <w:spacing w:line="230" w:lineRule="auto"/>
        <w:rPr>
          <w:sz w:val="32"/>
          <w:szCs w:val="32"/>
          <w:rtl/>
        </w:rPr>
      </w:pPr>
      <w:r>
        <w:rPr>
          <w:rFonts w:hint="cs"/>
          <w:b/>
          <w:bCs/>
          <w:sz w:val="32"/>
          <w:szCs w:val="32"/>
          <w:rtl/>
        </w:rPr>
        <w:t>عمم</w:t>
      </w:r>
      <w:r>
        <w:rPr>
          <w:rFonts w:hint="cs"/>
          <w:sz w:val="32"/>
          <w:szCs w:val="32"/>
          <w:rtl/>
        </w:rPr>
        <w:tab/>
      </w:r>
      <w:r>
        <w:rPr>
          <w:rFonts w:hint="cs"/>
          <w:sz w:val="32"/>
          <w:szCs w:val="32"/>
          <w:rtl/>
        </w:rPr>
        <w:tab/>
        <w:t xml:space="preserve">: ق163 </w:t>
      </w:r>
      <w:r>
        <w:rPr>
          <w:rFonts w:hint="cs"/>
          <w:sz w:val="32"/>
          <w:szCs w:val="32"/>
          <w:rtl/>
        </w:rPr>
        <w:tab/>
        <w:t xml:space="preserve">: </w:t>
      </w:r>
      <w:r>
        <w:rPr>
          <w:rFonts w:hint="cs"/>
          <w:b/>
          <w:bCs/>
          <w:sz w:val="32"/>
          <w:szCs w:val="32"/>
          <w:rtl/>
        </w:rPr>
        <w:t>العامُّ</w:t>
      </w:r>
      <w:r>
        <w:rPr>
          <w:rFonts w:hint="cs"/>
          <w:sz w:val="32"/>
          <w:szCs w:val="32"/>
          <w:rtl/>
        </w:rPr>
        <w:t xml:space="preserve"> بعدَ التَّخْصِيصِ يبقَى حجَّةً لا على اليَقينِ عندنا.</w:t>
      </w:r>
    </w:p>
    <w:p w:rsidR="00284270" w:rsidRDefault="00284270" w:rsidP="0022714B">
      <w:pPr>
        <w:spacing w:line="230" w:lineRule="auto"/>
        <w:rPr>
          <w:sz w:val="32"/>
          <w:szCs w:val="32"/>
          <w:rtl/>
        </w:rPr>
      </w:pPr>
      <w:r>
        <w:rPr>
          <w:rFonts w:hint="cs"/>
          <w:sz w:val="32"/>
          <w:szCs w:val="32"/>
          <w:rtl/>
        </w:rPr>
        <w:tab/>
      </w:r>
      <w:r>
        <w:rPr>
          <w:rFonts w:hint="cs"/>
          <w:sz w:val="32"/>
          <w:szCs w:val="32"/>
          <w:rtl/>
        </w:rPr>
        <w:tab/>
      </w:r>
      <w:r>
        <w:rPr>
          <w:rFonts w:hint="cs"/>
          <w:sz w:val="32"/>
          <w:szCs w:val="32"/>
          <w:rtl/>
        </w:rPr>
        <w:tab/>
        <w:t xml:space="preserve">  ق162 </w:t>
      </w:r>
      <w:r>
        <w:rPr>
          <w:rFonts w:hint="cs"/>
          <w:sz w:val="32"/>
          <w:szCs w:val="32"/>
          <w:rtl/>
        </w:rPr>
        <w:tab/>
        <w:t xml:space="preserve">: </w:t>
      </w:r>
      <w:r>
        <w:rPr>
          <w:rFonts w:hint="cs"/>
          <w:b/>
          <w:bCs/>
          <w:sz w:val="32"/>
          <w:szCs w:val="32"/>
          <w:rtl/>
        </w:rPr>
        <w:t>العامُّ</w:t>
      </w:r>
      <w:r>
        <w:rPr>
          <w:rFonts w:hint="cs"/>
          <w:sz w:val="32"/>
          <w:szCs w:val="32"/>
          <w:rtl/>
        </w:rPr>
        <w:t xml:space="preserve"> يوجبُ الحكمَ فِيها يتناوَلُهُ يقينًا.</w:t>
      </w:r>
    </w:p>
    <w:p w:rsidR="00284270" w:rsidRDefault="00284270" w:rsidP="0022714B">
      <w:pPr>
        <w:spacing w:line="230" w:lineRule="auto"/>
        <w:ind w:left="2833" w:hanging="2266"/>
        <w:rPr>
          <w:sz w:val="32"/>
          <w:szCs w:val="32"/>
          <w:rtl/>
        </w:rPr>
      </w:pPr>
      <w:r>
        <w:rPr>
          <w:rFonts w:hint="cs"/>
          <w:sz w:val="32"/>
          <w:szCs w:val="32"/>
          <w:rtl/>
        </w:rPr>
        <w:t xml:space="preserve">               ق187 </w:t>
      </w:r>
      <w:r>
        <w:rPr>
          <w:sz w:val="32"/>
          <w:szCs w:val="32"/>
        </w:rPr>
        <w:tab/>
      </w:r>
      <w:r>
        <w:rPr>
          <w:rFonts w:hint="cs"/>
          <w:sz w:val="32"/>
          <w:szCs w:val="32"/>
          <w:rtl/>
        </w:rPr>
        <w:t xml:space="preserve">: كَلِمَةُ (كُلٍّ) إِذَا دَخَلَتْ عَلَى المَعْرِفَةِ أوْجَبَتْ </w:t>
      </w:r>
      <w:r>
        <w:rPr>
          <w:rFonts w:hint="cs"/>
          <w:b/>
          <w:bCs/>
          <w:sz w:val="32"/>
          <w:szCs w:val="32"/>
          <w:rtl/>
        </w:rPr>
        <w:t>عُمُومَ</w:t>
      </w:r>
      <w:r>
        <w:rPr>
          <w:rFonts w:hint="cs"/>
          <w:sz w:val="32"/>
          <w:szCs w:val="32"/>
          <w:rtl/>
        </w:rPr>
        <w:t xml:space="preserve"> أجْزَائِهِ.</w:t>
      </w:r>
    </w:p>
    <w:p w:rsidR="00284270" w:rsidRDefault="00284270" w:rsidP="0022714B">
      <w:pPr>
        <w:spacing w:line="230" w:lineRule="auto"/>
        <w:ind w:left="2833" w:hanging="2266"/>
        <w:rPr>
          <w:sz w:val="32"/>
          <w:szCs w:val="32"/>
          <w:rtl/>
        </w:rPr>
      </w:pPr>
      <w:r>
        <w:rPr>
          <w:rFonts w:hint="cs"/>
          <w:sz w:val="32"/>
          <w:szCs w:val="32"/>
          <w:rtl/>
        </w:rPr>
        <w:t xml:space="preserve">               ق186 </w:t>
      </w:r>
      <w:r>
        <w:rPr>
          <w:sz w:val="32"/>
          <w:szCs w:val="32"/>
        </w:rPr>
        <w:tab/>
      </w:r>
      <w:r>
        <w:rPr>
          <w:rFonts w:hint="cs"/>
          <w:sz w:val="32"/>
          <w:szCs w:val="32"/>
          <w:rtl/>
        </w:rPr>
        <w:t xml:space="preserve">: كَلِمَـةُ  (كُلٍّ) إِذَا دَخَلَتْ عَلَى النَّكِرَةِ أوجَبَتْ </w:t>
      </w:r>
      <w:r>
        <w:rPr>
          <w:rFonts w:hint="cs"/>
          <w:b/>
          <w:bCs/>
          <w:sz w:val="32"/>
          <w:szCs w:val="32"/>
          <w:rtl/>
        </w:rPr>
        <w:t>عُمُومَ</w:t>
      </w:r>
      <w:r>
        <w:rPr>
          <w:rFonts w:hint="cs"/>
          <w:sz w:val="32"/>
          <w:szCs w:val="32"/>
          <w:rtl/>
        </w:rPr>
        <w:t xml:space="preserve"> أَفْرَادِهَا عَلَى سَبِيلِ الشُّمُولِ دُوْنَ التِّكْرَار.ِ</w:t>
      </w:r>
    </w:p>
    <w:p w:rsidR="00284270" w:rsidRDefault="00284270" w:rsidP="0022714B">
      <w:pPr>
        <w:spacing w:line="230" w:lineRule="auto"/>
        <w:ind w:left="2833" w:hanging="2266"/>
        <w:rPr>
          <w:sz w:val="32"/>
          <w:szCs w:val="32"/>
          <w:rtl/>
        </w:rPr>
      </w:pPr>
      <w:r>
        <w:rPr>
          <w:rFonts w:hint="cs"/>
          <w:b/>
          <w:bCs/>
          <w:sz w:val="32"/>
          <w:szCs w:val="32"/>
          <w:rtl/>
        </w:rPr>
        <w:t>عنا</w:t>
      </w:r>
      <w:r>
        <w:rPr>
          <w:rFonts w:hint="cs"/>
          <w:sz w:val="32"/>
          <w:szCs w:val="32"/>
          <w:rtl/>
        </w:rPr>
        <w:t xml:space="preserve">         :  ق35 </w:t>
      </w:r>
      <w:r>
        <w:rPr>
          <w:sz w:val="32"/>
          <w:szCs w:val="32"/>
        </w:rPr>
        <w:tab/>
      </w:r>
      <w:r>
        <w:rPr>
          <w:rFonts w:hint="cs"/>
          <w:sz w:val="32"/>
          <w:szCs w:val="32"/>
          <w:rtl/>
        </w:rPr>
        <w:t xml:space="preserve">: اعْتِبَارُ </w:t>
      </w:r>
      <w:r>
        <w:rPr>
          <w:rFonts w:hint="cs"/>
          <w:b/>
          <w:bCs/>
          <w:sz w:val="32"/>
          <w:szCs w:val="32"/>
          <w:rtl/>
        </w:rPr>
        <w:t>المعنَيَيْنِ</w:t>
      </w:r>
      <w:r>
        <w:rPr>
          <w:rFonts w:hint="cs"/>
          <w:sz w:val="32"/>
          <w:szCs w:val="32"/>
          <w:rtl/>
        </w:rPr>
        <w:t xml:space="preserve"> مِنْ لَفْظٍ وَاحِدٍ لا يَجُوزُ بِلاَ مُرَجِّ</w:t>
      </w:r>
      <w:r>
        <w:rPr>
          <w:sz w:val="32"/>
          <w:szCs w:val="32"/>
          <w:rtl/>
        </w:rPr>
        <w:t>ح</w:t>
      </w:r>
      <w:r>
        <w:rPr>
          <w:rFonts w:hint="cs"/>
          <w:sz w:val="32"/>
          <w:szCs w:val="32"/>
          <w:rtl/>
        </w:rPr>
        <w:t xml:space="preserve">ٍ فِي الإِثْبَاتِ، ويجوزُ فِي النَّفْيِ. </w:t>
      </w:r>
    </w:p>
    <w:p w:rsidR="00284270" w:rsidRDefault="00284270" w:rsidP="0022714B">
      <w:pPr>
        <w:spacing w:line="230" w:lineRule="auto"/>
        <w:rPr>
          <w:sz w:val="32"/>
          <w:szCs w:val="32"/>
          <w:rtl/>
        </w:rPr>
      </w:pPr>
      <w:r>
        <w:rPr>
          <w:rFonts w:hint="cs"/>
          <w:b/>
          <w:bCs/>
          <w:sz w:val="32"/>
          <w:szCs w:val="32"/>
          <w:rtl/>
        </w:rPr>
        <w:lastRenderedPageBreak/>
        <w:t>عهد</w:t>
      </w:r>
      <w:r>
        <w:rPr>
          <w:rFonts w:hint="cs"/>
          <w:sz w:val="32"/>
          <w:szCs w:val="32"/>
          <w:rtl/>
        </w:rPr>
        <w:tab/>
        <w:t xml:space="preserve">     : ق23 </w:t>
      </w:r>
      <w:r>
        <w:rPr>
          <w:sz w:val="32"/>
          <w:szCs w:val="32"/>
        </w:rPr>
        <w:tab/>
      </w:r>
      <w:r>
        <w:rPr>
          <w:rFonts w:hint="cs"/>
          <w:sz w:val="32"/>
          <w:szCs w:val="32"/>
          <w:rtl/>
        </w:rPr>
        <w:tab/>
        <w:t xml:space="preserve">: الإِشَارَةُ إِنَّما تَقُومُ مَقَامَ العَبَارَةِ إِذَا كَانَتْ </w:t>
      </w:r>
      <w:r>
        <w:rPr>
          <w:rFonts w:hint="cs"/>
          <w:b/>
          <w:bCs/>
          <w:sz w:val="32"/>
          <w:szCs w:val="32"/>
          <w:rtl/>
        </w:rPr>
        <w:t>مَعْهُودَةً</w:t>
      </w:r>
      <w:r>
        <w:rPr>
          <w:rFonts w:hint="cs"/>
          <w:sz w:val="32"/>
          <w:szCs w:val="32"/>
          <w:rtl/>
        </w:rPr>
        <w:t xml:space="preserve">. </w:t>
      </w:r>
    </w:p>
    <w:p w:rsidR="00284270" w:rsidRDefault="00284270" w:rsidP="0022714B">
      <w:pPr>
        <w:spacing w:line="230" w:lineRule="auto"/>
        <w:ind w:left="2833" w:hanging="2266"/>
        <w:rPr>
          <w:sz w:val="32"/>
          <w:szCs w:val="32"/>
          <w:rtl/>
        </w:rPr>
      </w:pPr>
      <w:r>
        <w:rPr>
          <w:rFonts w:hint="cs"/>
          <w:b/>
          <w:bCs/>
          <w:sz w:val="32"/>
          <w:szCs w:val="32"/>
          <w:rtl/>
        </w:rPr>
        <w:t>عوض</w:t>
      </w:r>
      <w:r>
        <w:rPr>
          <w:rFonts w:hint="cs"/>
          <w:sz w:val="32"/>
          <w:szCs w:val="32"/>
          <w:rtl/>
        </w:rPr>
        <w:t xml:space="preserve">      : ق4 </w:t>
      </w:r>
      <w:r>
        <w:rPr>
          <w:sz w:val="32"/>
          <w:szCs w:val="32"/>
        </w:rPr>
        <w:tab/>
      </w:r>
      <w:r>
        <w:rPr>
          <w:rFonts w:hint="cs"/>
          <w:sz w:val="32"/>
          <w:szCs w:val="32"/>
          <w:rtl/>
        </w:rPr>
        <w:t xml:space="preserve">: أَجْزاءُ العِوَضِ تَنْقَسِمُ على أجزاءِ </w:t>
      </w:r>
      <w:r>
        <w:rPr>
          <w:rFonts w:hint="cs"/>
          <w:b/>
          <w:bCs/>
          <w:sz w:val="32"/>
          <w:szCs w:val="32"/>
          <w:rtl/>
        </w:rPr>
        <w:t>المعوَّضِ</w:t>
      </w:r>
      <w:r>
        <w:rPr>
          <w:rFonts w:hint="cs"/>
          <w:sz w:val="32"/>
          <w:szCs w:val="32"/>
          <w:rtl/>
        </w:rPr>
        <w:t>، وأجزاءُ الشَّرطِ لا تَنْقَسِمُ على أَجزاءِ المشروطِ</w:t>
      </w:r>
      <w:r>
        <w:rPr>
          <w:rFonts w:hint="cs"/>
          <w:sz w:val="32"/>
          <w:szCs w:val="32"/>
          <w:rtl/>
          <w:lang w:bidi="ar-AE"/>
        </w:rPr>
        <w:t>.</w:t>
      </w:r>
      <w:r>
        <w:rPr>
          <w:rFonts w:hint="cs"/>
          <w:sz w:val="32"/>
          <w:szCs w:val="32"/>
          <w:rtl/>
        </w:rPr>
        <w:t xml:space="preserve"> </w:t>
      </w:r>
    </w:p>
    <w:p w:rsidR="00284270" w:rsidRDefault="00284270" w:rsidP="0022714B">
      <w:pPr>
        <w:spacing w:line="230"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ق159 </w:t>
      </w:r>
      <w:r>
        <w:rPr>
          <w:sz w:val="32"/>
          <w:szCs w:val="32"/>
        </w:rPr>
        <w:tab/>
      </w:r>
      <w:r>
        <w:rPr>
          <w:rFonts w:hint="cs"/>
          <w:sz w:val="32"/>
          <w:szCs w:val="32"/>
          <w:rtl/>
        </w:rPr>
        <w:t xml:space="preserve">: الضَّمَانُ بالتَغْريرِ مَخْصُوصٌ </w:t>
      </w:r>
      <w:r>
        <w:rPr>
          <w:rFonts w:hint="cs"/>
          <w:b/>
          <w:bCs/>
          <w:sz w:val="32"/>
          <w:szCs w:val="32"/>
          <w:rtl/>
        </w:rPr>
        <w:t>بِالمُعَاوَضَاتِ</w:t>
      </w:r>
      <w:r>
        <w:rPr>
          <w:rFonts w:hint="cs"/>
          <w:sz w:val="32"/>
          <w:szCs w:val="32"/>
          <w:rtl/>
        </w:rPr>
        <w:t>.</w:t>
      </w:r>
    </w:p>
    <w:p w:rsidR="00284270" w:rsidRDefault="00284270" w:rsidP="0022714B">
      <w:pPr>
        <w:spacing w:line="230"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ق171 </w:t>
      </w:r>
      <w:r>
        <w:rPr>
          <w:sz w:val="32"/>
          <w:szCs w:val="32"/>
        </w:rPr>
        <w:tab/>
      </w:r>
      <w:r>
        <w:rPr>
          <w:rFonts w:hint="cs"/>
          <w:sz w:val="32"/>
          <w:szCs w:val="32"/>
          <w:rtl/>
        </w:rPr>
        <w:t xml:space="preserve">: </w:t>
      </w:r>
      <w:r>
        <w:rPr>
          <w:rFonts w:hint="cs"/>
          <w:b/>
          <w:bCs/>
          <w:sz w:val="32"/>
          <w:szCs w:val="32"/>
          <w:rtl/>
        </w:rPr>
        <w:t>العِوَضُ</w:t>
      </w:r>
      <w:r>
        <w:rPr>
          <w:rFonts w:hint="cs"/>
          <w:sz w:val="32"/>
          <w:szCs w:val="32"/>
          <w:rtl/>
        </w:rPr>
        <w:t xml:space="preserve"> يُوَزَّعُ عَلَى </w:t>
      </w:r>
      <w:r>
        <w:rPr>
          <w:rFonts w:hint="cs"/>
          <w:b/>
          <w:bCs/>
          <w:sz w:val="32"/>
          <w:szCs w:val="32"/>
          <w:rtl/>
        </w:rPr>
        <w:t xml:space="preserve">المُعَوَّضِ </w:t>
      </w:r>
      <w:r>
        <w:rPr>
          <w:rFonts w:hint="cs"/>
          <w:sz w:val="32"/>
          <w:szCs w:val="32"/>
          <w:rtl/>
        </w:rPr>
        <w:t>أَجْزَاءً.</w:t>
      </w:r>
    </w:p>
    <w:p w:rsidR="00284270" w:rsidRDefault="00284270" w:rsidP="0022714B">
      <w:pPr>
        <w:spacing w:line="264" w:lineRule="auto"/>
        <w:ind w:left="2833" w:hanging="2266"/>
        <w:rPr>
          <w:sz w:val="32"/>
          <w:szCs w:val="32"/>
          <w:rtl/>
        </w:rPr>
      </w:pPr>
      <w:r>
        <w:rPr>
          <w:rFonts w:hint="cs"/>
          <w:sz w:val="32"/>
          <w:szCs w:val="32"/>
          <w:rtl/>
        </w:rPr>
        <w:t xml:space="preserve">               ق230 </w:t>
      </w:r>
      <w:r>
        <w:rPr>
          <w:sz w:val="32"/>
          <w:szCs w:val="32"/>
        </w:rPr>
        <w:tab/>
      </w:r>
      <w:r>
        <w:rPr>
          <w:rFonts w:hint="cs"/>
          <w:sz w:val="32"/>
          <w:szCs w:val="32"/>
          <w:rtl/>
        </w:rPr>
        <w:t xml:space="preserve">: المَغْرُورُ فِي </w:t>
      </w:r>
      <w:r>
        <w:rPr>
          <w:rFonts w:hint="cs"/>
          <w:b/>
          <w:bCs/>
          <w:sz w:val="32"/>
          <w:szCs w:val="32"/>
          <w:rtl/>
        </w:rPr>
        <w:t>المُعَاوَضَاتِ</w:t>
      </w:r>
      <w:r>
        <w:rPr>
          <w:rFonts w:hint="cs"/>
          <w:sz w:val="32"/>
          <w:szCs w:val="32"/>
          <w:rtl/>
        </w:rPr>
        <w:t xml:space="preserve"> التي تَقْتَضِي سَلاَمَةَ </w:t>
      </w:r>
      <w:r>
        <w:rPr>
          <w:rFonts w:hint="cs"/>
          <w:b/>
          <w:bCs/>
          <w:sz w:val="32"/>
          <w:szCs w:val="32"/>
          <w:rtl/>
        </w:rPr>
        <w:t>العِوَضَ</w:t>
      </w:r>
      <w:r>
        <w:rPr>
          <w:rFonts w:hint="cs"/>
          <w:sz w:val="32"/>
          <w:szCs w:val="32"/>
          <w:rtl/>
        </w:rPr>
        <w:t xml:space="preserve"> جُعِلَ سببًا لِلضَّمَانِ؛ دَفْعًا للضَّرَرِ بِقَدْرِ الإمْكَانِ.</w:t>
      </w:r>
    </w:p>
    <w:p w:rsidR="00284270" w:rsidRDefault="00284270" w:rsidP="0022714B">
      <w:pPr>
        <w:spacing w:line="264" w:lineRule="auto"/>
        <w:rPr>
          <w:sz w:val="32"/>
          <w:szCs w:val="32"/>
          <w:rtl/>
        </w:rPr>
      </w:pPr>
      <w:r>
        <w:rPr>
          <w:rFonts w:hint="cs"/>
          <w:b/>
          <w:bCs/>
          <w:sz w:val="32"/>
          <w:szCs w:val="32"/>
          <w:rtl/>
        </w:rPr>
        <w:t>عين</w:t>
      </w:r>
      <w:r>
        <w:rPr>
          <w:rFonts w:hint="cs"/>
          <w:sz w:val="32"/>
          <w:szCs w:val="32"/>
          <w:rtl/>
        </w:rPr>
        <w:tab/>
        <w:t xml:space="preserve">     : ق8 </w:t>
      </w:r>
      <w:r>
        <w:rPr>
          <w:sz w:val="32"/>
          <w:szCs w:val="32"/>
        </w:rPr>
        <w:tab/>
      </w:r>
      <w:r>
        <w:rPr>
          <w:sz w:val="32"/>
          <w:szCs w:val="32"/>
        </w:rPr>
        <w:tab/>
      </w:r>
      <w:r>
        <w:rPr>
          <w:rFonts w:hint="cs"/>
          <w:sz w:val="32"/>
          <w:szCs w:val="32"/>
          <w:rtl/>
        </w:rPr>
        <w:t xml:space="preserve">: اخِْتلافُ الأسْبابِ بِمَنْزِلَةِ اختلافِ </w:t>
      </w:r>
      <w:r>
        <w:rPr>
          <w:rFonts w:hint="cs"/>
          <w:b/>
          <w:bCs/>
          <w:sz w:val="32"/>
          <w:szCs w:val="32"/>
          <w:rtl/>
        </w:rPr>
        <w:t>الأعْيانِ</w:t>
      </w:r>
      <w:r>
        <w:rPr>
          <w:rFonts w:hint="cs"/>
          <w:sz w:val="32"/>
          <w:szCs w:val="32"/>
          <w:rtl/>
        </w:rPr>
        <w:t xml:space="preserve">. </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ق36 </w:t>
      </w:r>
      <w:r>
        <w:rPr>
          <w:sz w:val="32"/>
          <w:szCs w:val="32"/>
        </w:rPr>
        <w:tab/>
      </w:r>
      <w:r>
        <w:rPr>
          <w:rFonts w:hint="cs"/>
          <w:sz w:val="32"/>
          <w:szCs w:val="32"/>
          <w:rtl/>
        </w:rPr>
        <w:tab/>
        <w:t xml:space="preserve">: </w:t>
      </w:r>
      <w:r>
        <w:rPr>
          <w:rFonts w:hint="cs"/>
          <w:b/>
          <w:bCs/>
          <w:sz w:val="32"/>
          <w:szCs w:val="32"/>
          <w:rtl/>
        </w:rPr>
        <w:t>الأَعْيَانُ</w:t>
      </w:r>
      <w:r>
        <w:rPr>
          <w:rFonts w:hint="cs"/>
          <w:sz w:val="32"/>
          <w:szCs w:val="32"/>
          <w:rtl/>
        </w:rPr>
        <w:t xml:space="preserve"> المَضْمُونَةُ بِنَفْسِهَا. </w:t>
      </w:r>
    </w:p>
    <w:p w:rsidR="00284270" w:rsidRDefault="00284270" w:rsidP="0022714B">
      <w:pPr>
        <w:spacing w:line="264" w:lineRule="auto"/>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ق94 </w:t>
      </w:r>
      <w:r>
        <w:rPr>
          <w:sz w:val="32"/>
          <w:szCs w:val="32"/>
        </w:rPr>
        <w:tab/>
      </w:r>
      <w:r>
        <w:rPr>
          <w:rFonts w:hint="cs"/>
          <w:sz w:val="32"/>
          <w:szCs w:val="32"/>
          <w:rtl/>
        </w:rPr>
        <w:tab/>
        <w:t xml:space="preserve">: الثَّابتُ بالبرهانِ كالثَّابتِ </w:t>
      </w:r>
      <w:r>
        <w:rPr>
          <w:rFonts w:hint="cs"/>
          <w:b/>
          <w:bCs/>
          <w:sz w:val="32"/>
          <w:szCs w:val="32"/>
          <w:rtl/>
        </w:rPr>
        <w:t>بالعَيَانِ</w:t>
      </w:r>
      <w:r>
        <w:rPr>
          <w:rFonts w:hint="cs"/>
          <w:sz w:val="32"/>
          <w:szCs w:val="32"/>
          <w:rtl/>
        </w:rPr>
        <w:t xml:space="preserve">. </w:t>
      </w:r>
    </w:p>
    <w:p w:rsidR="00284270" w:rsidRDefault="00284270" w:rsidP="0022714B">
      <w:pPr>
        <w:spacing w:line="264" w:lineRule="auto"/>
        <w:ind w:left="2833" w:hanging="2266"/>
        <w:rPr>
          <w:sz w:val="32"/>
          <w:szCs w:val="32"/>
          <w:rtl/>
        </w:rPr>
      </w:pPr>
      <w:r>
        <w:rPr>
          <w:rFonts w:hint="cs"/>
          <w:sz w:val="32"/>
          <w:szCs w:val="32"/>
          <w:rtl/>
        </w:rPr>
        <w:t xml:space="preserve">               ق191 </w:t>
      </w:r>
      <w:r>
        <w:rPr>
          <w:sz w:val="32"/>
          <w:szCs w:val="32"/>
        </w:rPr>
        <w:tab/>
      </w:r>
      <w:r>
        <w:rPr>
          <w:rFonts w:hint="cs"/>
          <w:sz w:val="32"/>
          <w:szCs w:val="32"/>
          <w:rtl/>
        </w:rPr>
        <w:t xml:space="preserve">: كُلُّ مُخيّرٍ بينَ شَيئَينِ إذَا اختارَ أحدَهُمَا: </w:t>
      </w:r>
      <w:r>
        <w:rPr>
          <w:rFonts w:hint="cs"/>
          <w:b/>
          <w:bCs/>
          <w:sz w:val="32"/>
          <w:szCs w:val="32"/>
          <w:rtl/>
        </w:rPr>
        <w:t>تعيّنَ</w:t>
      </w:r>
      <w:r>
        <w:rPr>
          <w:rFonts w:hint="cs"/>
          <w:sz w:val="32"/>
          <w:szCs w:val="32"/>
          <w:rtl/>
        </w:rPr>
        <w:t xml:space="preserve"> عليهِ، ولا يعُودُ على الآخَرِ.</w:t>
      </w:r>
    </w:p>
    <w:p w:rsidR="00284270" w:rsidRDefault="00284270">
      <w:pPr>
        <w:rPr>
          <w:sz w:val="32"/>
          <w:szCs w:val="32"/>
          <w:rtl/>
        </w:rPr>
      </w:pP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ق192 </w:t>
      </w:r>
      <w:r>
        <w:rPr>
          <w:sz w:val="32"/>
          <w:szCs w:val="32"/>
        </w:rPr>
        <w:tab/>
      </w:r>
      <w:r>
        <w:rPr>
          <w:rFonts w:hint="cs"/>
          <w:sz w:val="32"/>
          <w:szCs w:val="32"/>
          <w:rtl/>
        </w:rPr>
        <w:t xml:space="preserve">: الكَيْلِيُّ و الوَزْنِيُّ مَبِيعٌ </w:t>
      </w:r>
      <w:r>
        <w:rPr>
          <w:rFonts w:hint="cs"/>
          <w:b/>
          <w:bCs/>
          <w:sz w:val="32"/>
          <w:szCs w:val="32"/>
          <w:rtl/>
        </w:rPr>
        <w:t>بِأعيَانِهِمَا</w:t>
      </w:r>
      <w:r>
        <w:rPr>
          <w:rFonts w:hint="cs"/>
          <w:sz w:val="32"/>
          <w:szCs w:val="32"/>
          <w:rtl/>
        </w:rPr>
        <w:t>، ثمنٌ بأَوْصَافِهِمَا.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ق198 </w:t>
      </w:r>
      <w:r>
        <w:rPr>
          <w:sz w:val="32"/>
          <w:szCs w:val="32"/>
        </w:rPr>
        <w:tab/>
      </w:r>
      <w:r>
        <w:rPr>
          <w:rFonts w:hint="cs"/>
          <w:sz w:val="32"/>
          <w:szCs w:val="32"/>
          <w:rtl/>
        </w:rPr>
        <w:t xml:space="preserve">: لا يصحُّ تَأْجِيلُ </w:t>
      </w:r>
      <w:r>
        <w:rPr>
          <w:rFonts w:hint="cs"/>
          <w:b/>
          <w:bCs/>
          <w:sz w:val="32"/>
          <w:szCs w:val="32"/>
          <w:rtl/>
        </w:rPr>
        <w:t>الأَعْيَانِ</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ق217 </w:t>
      </w:r>
      <w:r>
        <w:rPr>
          <w:sz w:val="32"/>
          <w:szCs w:val="32"/>
        </w:rPr>
        <w:tab/>
      </w:r>
      <w:r>
        <w:rPr>
          <w:rFonts w:hint="cs"/>
          <w:sz w:val="32"/>
          <w:szCs w:val="32"/>
          <w:rtl/>
        </w:rPr>
        <w:t xml:space="preserve">: مَا فِي الذِّمَّةِ لاَ </w:t>
      </w:r>
      <w:r>
        <w:rPr>
          <w:rFonts w:hint="cs"/>
          <w:b/>
          <w:bCs/>
          <w:sz w:val="32"/>
          <w:szCs w:val="32"/>
          <w:rtl/>
        </w:rPr>
        <w:t>يَتَعَيَّنُ</w:t>
      </w:r>
      <w:r>
        <w:rPr>
          <w:rFonts w:hint="cs"/>
          <w:sz w:val="32"/>
          <w:szCs w:val="32"/>
          <w:rtl/>
        </w:rPr>
        <w:t xml:space="preserve"> إلاَّ بِالقَبْضِ.</w:t>
      </w:r>
    </w:p>
    <w:p w:rsidR="00284270" w:rsidRDefault="00284270">
      <w:pPr>
        <w:jc w:val="center"/>
        <w:rPr>
          <w:rtl/>
        </w:rPr>
      </w:pPr>
    </w:p>
    <w:p w:rsidR="00284270" w:rsidRDefault="00284270">
      <w:pPr>
        <w:jc w:val="center"/>
        <w:rPr>
          <w:rtl/>
        </w:rPr>
      </w:pPr>
    </w:p>
    <w:p w:rsidR="00284270" w:rsidRDefault="0022714B">
      <w:pPr>
        <w:jc w:val="center"/>
        <w:rPr>
          <w:b/>
          <w:bCs/>
          <w:sz w:val="48"/>
          <w:szCs w:val="48"/>
          <w:rtl/>
        </w:rPr>
      </w:pPr>
      <w:r>
        <w:rPr>
          <w:noProof/>
          <w:rtl/>
        </w:rPr>
        <w:pict>
          <v:rect id="_x0000_s1045" style="position:absolute;left:0;text-align:left;margin-left:162.35pt;margin-top:2.55pt;width:54.15pt;height:37.05pt;z-index:-251631616;mso-wrap-edited:f" wrapcoords="-379 0 -379 21600 758 22265 23495 22265 23116 997 22358 0 -379 0">
            <v:shadow on="t" offset="3pt" offset2="2pt"/>
          </v:rect>
        </w:pict>
      </w:r>
      <w:r w:rsidR="00284270">
        <w:rPr>
          <w:rFonts w:hint="cs"/>
          <w:b/>
          <w:bCs/>
          <w:sz w:val="48"/>
          <w:szCs w:val="48"/>
          <w:rtl/>
        </w:rPr>
        <w:t>(غ)</w:t>
      </w:r>
    </w:p>
    <w:p w:rsidR="00284270" w:rsidRDefault="00284270">
      <w:pPr>
        <w:rPr>
          <w:rtl/>
        </w:rPr>
      </w:pPr>
    </w:p>
    <w:p w:rsidR="00284270" w:rsidRDefault="00284270" w:rsidP="0022714B">
      <w:pPr>
        <w:ind w:left="2833" w:right="-142" w:hanging="2266"/>
        <w:rPr>
          <w:sz w:val="32"/>
          <w:szCs w:val="32"/>
          <w:rtl/>
        </w:rPr>
      </w:pPr>
      <w:r>
        <w:rPr>
          <w:rFonts w:hint="cs"/>
          <w:b/>
          <w:bCs/>
          <w:sz w:val="32"/>
          <w:szCs w:val="32"/>
          <w:rtl/>
        </w:rPr>
        <w:t>غاب</w:t>
      </w:r>
      <w:r>
        <w:rPr>
          <w:rFonts w:hint="cs"/>
          <w:sz w:val="32"/>
          <w:szCs w:val="32"/>
          <w:rtl/>
        </w:rPr>
        <w:t xml:space="preserve">        : ق181 </w:t>
      </w:r>
      <w:r>
        <w:rPr>
          <w:sz w:val="32"/>
          <w:szCs w:val="32"/>
        </w:rPr>
        <w:tab/>
      </w:r>
      <w:r>
        <w:rPr>
          <w:rFonts w:hint="cs"/>
          <w:sz w:val="32"/>
          <w:szCs w:val="32"/>
          <w:rtl/>
        </w:rPr>
        <w:t xml:space="preserve">: القضاءُ على </w:t>
      </w:r>
      <w:r>
        <w:rPr>
          <w:rFonts w:hint="cs"/>
          <w:b/>
          <w:bCs/>
          <w:sz w:val="32"/>
          <w:szCs w:val="32"/>
          <w:rtl/>
        </w:rPr>
        <w:t>الغائِبِ</w:t>
      </w:r>
      <w:r>
        <w:rPr>
          <w:rFonts w:hint="cs"/>
          <w:sz w:val="32"/>
          <w:szCs w:val="32"/>
          <w:rtl/>
        </w:rPr>
        <w:t xml:space="preserve"> لا يجوزُ، إلاّ أَنْ يَكُونَ مَا يُدّعَى بِهِ على </w:t>
      </w:r>
      <w:r>
        <w:rPr>
          <w:rFonts w:hint="cs"/>
          <w:b/>
          <w:bCs/>
          <w:sz w:val="32"/>
          <w:szCs w:val="32"/>
          <w:rtl/>
        </w:rPr>
        <w:t>الغائبِ</w:t>
      </w:r>
      <w:r>
        <w:rPr>
          <w:rFonts w:hint="cs"/>
          <w:sz w:val="32"/>
          <w:szCs w:val="32"/>
          <w:rtl/>
        </w:rPr>
        <w:t xml:space="preserve"> سببًا لازمًا لما يُدّعى بِهِ على الحاضِرِ.</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ق184 </w:t>
      </w:r>
      <w:r>
        <w:rPr>
          <w:sz w:val="32"/>
          <w:szCs w:val="32"/>
        </w:rPr>
        <w:tab/>
      </w:r>
      <w:r>
        <w:rPr>
          <w:rFonts w:hint="cs"/>
          <w:sz w:val="32"/>
          <w:szCs w:val="32"/>
          <w:rtl/>
        </w:rPr>
        <w:t xml:space="preserve">: الكِتَابُ مِنَ </w:t>
      </w:r>
      <w:r>
        <w:rPr>
          <w:rFonts w:hint="cs"/>
          <w:b/>
          <w:bCs/>
          <w:sz w:val="32"/>
          <w:szCs w:val="32"/>
          <w:rtl/>
        </w:rPr>
        <w:t>الغَائِبِ</w:t>
      </w:r>
      <w:r>
        <w:rPr>
          <w:rFonts w:hint="cs"/>
          <w:sz w:val="32"/>
          <w:szCs w:val="32"/>
          <w:rtl/>
        </w:rPr>
        <w:t xml:space="preserve"> كَالخِطَابِ مِنَ الحَاضِرِ.</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ق211 </w:t>
      </w:r>
      <w:r>
        <w:rPr>
          <w:sz w:val="32"/>
          <w:szCs w:val="32"/>
        </w:rPr>
        <w:tab/>
      </w:r>
      <w:r>
        <w:rPr>
          <w:rFonts w:hint="cs"/>
          <w:sz w:val="32"/>
          <w:szCs w:val="32"/>
          <w:rtl/>
        </w:rPr>
        <w:t xml:space="preserve">: لاَ عِبْرَةَ لِتَارِيخِ </w:t>
      </w:r>
      <w:r>
        <w:rPr>
          <w:rFonts w:hint="cs"/>
          <w:b/>
          <w:bCs/>
          <w:sz w:val="32"/>
          <w:szCs w:val="32"/>
          <w:rtl/>
        </w:rPr>
        <w:t>الغَيْبَةِ</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ق253 </w:t>
      </w:r>
      <w:r>
        <w:rPr>
          <w:sz w:val="32"/>
          <w:szCs w:val="32"/>
        </w:rPr>
        <w:tab/>
      </w:r>
      <w:r>
        <w:rPr>
          <w:rFonts w:hint="cs"/>
          <w:sz w:val="32"/>
          <w:szCs w:val="32"/>
          <w:rtl/>
        </w:rPr>
        <w:t xml:space="preserve">: الوَصْفُ فِي الحَاضِرِ لَغُوٌ، وَفِي </w:t>
      </w:r>
      <w:r>
        <w:rPr>
          <w:rFonts w:hint="cs"/>
          <w:b/>
          <w:bCs/>
          <w:sz w:val="32"/>
          <w:szCs w:val="32"/>
          <w:rtl/>
        </w:rPr>
        <w:t>الغَائِبِ</w:t>
      </w:r>
      <w:r>
        <w:rPr>
          <w:rFonts w:hint="cs"/>
          <w:sz w:val="32"/>
          <w:szCs w:val="32"/>
          <w:rtl/>
        </w:rPr>
        <w:t xml:space="preserve"> مُعْتَبَرٌ.</w:t>
      </w:r>
    </w:p>
    <w:p w:rsidR="00284270" w:rsidRDefault="00284270" w:rsidP="0022714B">
      <w:pPr>
        <w:ind w:left="2833" w:hanging="2266"/>
        <w:rPr>
          <w:sz w:val="32"/>
          <w:szCs w:val="32"/>
          <w:rtl/>
        </w:rPr>
      </w:pPr>
      <w:r>
        <w:rPr>
          <w:rFonts w:hint="cs"/>
          <w:b/>
          <w:bCs/>
          <w:sz w:val="32"/>
          <w:szCs w:val="32"/>
          <w:rtl/>
        </w:rPr>
        <w:lastRenderedPageBreak/>
        <w:t>غرر</w:t>
      </w:r>
      <w:r>
        <w:rPr>
          <w:rFonts w:hint="cs"/>
          <w:sz w:val="32"/>
          <w:szCs w:val="32"/>
          <w:rtl/>
        </w:rPr>
        <w:t xml:space="preserve">         : ق80 </w:t>
      </w:r>
      <w:r>
        <w:rPr>
          <w:sz w:val="32"/>
          <w:szCs w:val="32"/>
        </w:rPr>
        <w:tab/>
      </w:r>
      <w:r>
        <w:rPr>
          <w:rFonts w:hint="cs"/>
          <w:sz w:val="32"/>
          <w:szCs w:val="32"/>
          <w:rtl/>
        </w:rPr>
        <w:t xml:space="preserve">: </w:t>
      </w:r>
      <w:r>
        <w:rPr>
          <w:rFonts w:hint="cs"/>
          <w:b/>
          <w:bCs/>
          <w:sz w:val="32"/>
          <w:szCs w:val="32"/>
          <w:rtl/>
        </w:rPr>
        <w:t>التَّغرِيرُ</w:t>
      </w:r>
      <w:r>
        <w:rPr>
          <w:rFonts w:hint="cs"/>
          <w:sz w:val="32"/>
          <w:szCs w:val="32"/>
          <w:rtl/>
        </w:rPr>
        <w:t xml:space="preserve"> فِي المعاوَضَةِ سَبَبُ الضَّمَانِ؛ دفعًا للضّرَرِ بِقَدْرِ الإمْكانِ.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ق159 </w:t>
      </w:r>
      <w:r>
        <w:rPr>
          <w:sz w:val="32"/>
          <w:szCs w:val="32"/>
        </w:rPr>
        <w:tab/>
      </w:r>
      <w:r>
        <w:rPr>
          <w:rFonts w:hint="cs"/>
          <w:sz w:val="32"/>
          <w:szCs w:val="32"/>
          <w:rtl/>
        </w:rPr>
        <w:t xml:space="preserve">: الضَّمَانُ </w:t>
      </w:r>
      <w:r>
        <w:rPr>
          <w:rFonts w:hint="cs"/>
          <w:b/>
          <w:bCs/>
          <w:sz w:val="32"/>
          <w:szCs w:val="32"/>
          <w:rtl/>
        </w:rPr>
        <w:t>بالتَغْريرِ</w:t>
      </w:r>
      <w:r>
        <w:rPr>
          <w:rFonts w:hint="cs"/>
          <w:sz w:val="32"/>
          <w:szCs w:val="32"/>
          <w:rtl/>
        </w:rPr>
        <w:t xml:space="preserve"> مَخْصُوصٌ بِالمُعَاوَضَاتِ.</w:t>
      </w:r>
    </w:p>
    <w:p w:rsidR="00284270" w:rsidRDefault="00284270" w:rsidP="0022714B">
      <w:pPr>
        <w:ind w:left="2833" w:hanging="2266"/>
        <w:rPr>
          <w:sz w:val="32"/>
          <w:szCs w:val="32"/>
          <w:rtl/>
        </w:rPr>
      </w:pPr>
      <w:r>
        <w:rPr>
          <w:rFonts w:hint="cs"/>
          <w:sz w:val="32"/>
          <w:szCs w:val="32"/>
          <w:rtl/>
        </w:rPr>
        <w:t xml:space="preserve">               ق230 </w:t>
      </w:r>
      <w:r>
        <w:rPr>
          <w:sz w:val="32"/>
          <w:szCs w:val="32"/>
        </w:rPr>
        <w:tab/>
      </w:r>
      <w:r>
        <w:rPr>
          <w:rFonts w:hint="cs"/>
          <w:sz w:val="32"/>
          <w:szCs w:val="32"/>
          <w:rtl/>
        </w:rPr>
        <w:t xml:space="preserve">: </w:t>
      </w:r>
      <w:r>
        <w:rPr>
          <w:rFonts w:hint="cs"/>
          <w:b/>
          <w:bCs/>
          <w:sz w:val="32"/>
          <w:szCs w:val="32"/>
          <w:rtl/>
        </w:rPr>
        <w:t>المَغْرُورُ</w:t>
      </w:r>
      <w:r>
        <w:rPr>
          <w:rFonts w:hint="cs"/>
          <w:sz w:val="32"/>
          <w:szCs w:val="32"/>
          <w:rtl/>
        </w:rPr>
        <w:t xml:space="preserve"> فِي المُعَاوَضَاتِ التي تَقْتَضِي سَلاَمَةَ العِوَضَ جُعِلَ سببًا لِلضَّمَانِ؛ دَفْعًا للضَّرَرِ بِقَدْرِ الإمْكَانِ.</w:t>
      </w:r>
    </w:p>
    <w:p w:rsidR="00284270" w:rsidRDefault="00284270" w:rsidP="0022714B">
      <w:pPr>
        <w:ind w:left="2833" w:hanging="2266"/>
        <w:rPr>
          <w:sz w:val="32"/>
          <w:szCs w:val="32"/>
          <w:rtl/>
        </w:rPr>
      </w:pPr>
      <w:r>
        <w:rPr>
          <w:rFonts w:hint="cs"/>
          <w:b/>
          <w:bCs/>
          <w:sz w:val="32"/>
          <w:szCs w:val="32"/>
          <w:rtl/>
        </w:rPr>
        <w:t>غرض</w:t>
      </w:r>
      <w:r>
        <w:rPr>
          <w:rFonts w:hint="cs"/>
          <w:sz w:val="32"/>
          <w:szCs w:val="32"/>
          <w:rtl/>
        </w:rPr>
        <w:t xml:space="preserve">       : ق49 </w:t>
      </w:r>
      <w:r>
        <w:rPr>
          <w:sz w:val="32"/>
          <w:szCs w:val="32"/>
        </w:rPr>
        <w:tab/>
      </w:r>
      <w:r>
        <w:rPr>
          <w:rFonts w:hint="cs"/>
          <w:sz w:val="32"/>
          <w:szCs w:val="32"/>
          <w:rtl/>
        </w:rPr>
        <w:t xml:space="preserve">: الأَيْمَانُ مَبْنِيَّةٌ عَلَى الأَلْفَاظِ والعُرْفِ، لاَ عَلَى </w:t>
      </w:r>
      <w:r>
        <w:rPr>
          <w:rFonts w:hint="cs"/>
          <w:b/>
          <w:bCs/>
          <w:sz w:val="32"/>
          <w:szCs w:val="32"/>
          <w:rtl/>
        </w:rPr>
        <w:t>الأَغْرَاضِ</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ق125 </w:t>
      </w:r>
      <w:r>
        <w:rPr>
          <w:rFonts w:hint="cs"/>
          <w:sz w:val="32"/>
          <w:szCs w:val="32"/>
          <w:rtl/>
        </w:rPr>
        <w:tab/>
        <w:t xml:space="preserve">: الدَّفعُ إذا كانَ </w:t>
      </w:r>
      <w:r>
        <w:rPr>
          <w:rFonts w:hint="cs"/>
          <w:b/>
          <w:bCs/>
          <w:sz w:val="32"/>
          <w:szCs w:val="32"/>
          <w:rtl/>
        </w:rPr>
        <w:t>لغرضٍ</w:t>
      </w:r>
      <w:r>
        <w:rPr>
          <w:rFonts w:hint="cs"/>
          <w:sz w:val="32"/>
          <w:szCs w:val="32"/>
          <w:rtl/>
        </w:rPr>
        <w:t xml:space="preserve"> : لايجوزُ الاسترادُ مادامَ باقِياً.</w:t>
      </w:r>
    </w:p>
    <w:p w:rsidR="00284270" w:rsidRDefault="00284270">
      <w:pPr>
        <w:rPr>
          <w:sz w:val="32"/>
          <w:szCs w:val="32"/>
          <w:rtl/>
        </w:rPr>
      </w:pPr>
      <w:r>
        <w:rPr>
          <w:rFonts w:hint="cs"/>
          <w:b/>
          <w:bCs/>
          <w:sz w:val="32"/>
          <w:szCs w:val="32"/>
          <w:rtl/>
        </w:rPr>
        <w:t>غرم</w:t>
      </w:r>
      <w:r>
        <w:rPr>
          <w:rFonts w:hint="cs"/>
          <w:sz w:val="32"/>
          <w:szCs w:val="32"/>
          <w:rtl/>
        </w:rPr>
        <w:tab/>
        <w:t xml:space="preserve">   </w:t>
      </w:r>
      <w:r>
        <w:rPr>
          <w:rFonts w:hint="cs"/>
          <w:sz w:val="32"/>
          <w:szCs w:val="32"/>
          <w:rtl/>
        </w:rPr>
        <w:tab/>
        <w:t xml:space="preserve">: ق172 </w:t>
      </w:r>
      <w:r>
        <w:rPr>
          <w:rFonts w:hint="cs"/>
          <w:sz w:val="32"/>
          <w:szCs w:val="32"/>
          <w:rtl/>
        </w:rPr>
        <w:tab/>
      </w:r>
      <w:r>
        <w:rPr>
          <w:rFonts w:hint="cs"/>
          <w:b/>
          <w:bCs/>
          <w:sz w:val="32"/>
          <w:szCs w:val="32"/>
          <w:rtl/>
        </w:rPr>
        <w:t>: الغُرْمُ</w:t>
      </w:r>
      <w:r>
        <w:rPr>
          <w:rFonts w:hint="cs"/>
          <w:sz w:val="32"/>
          <w:szCs w:val="32"/>
          <w:rtl/>
        </w:rPr>
        <w:t xml:space="preserve"> بِالغُنْمِ.</w:t>
      </w:r>
    </w:p>
    <w:p w:rsidR="00284270" w:rsidRDefault="00284270">
      <w:pPr>
        <w:rPr>
          <w:sz w:val="32"/>
          <w:szCs w:val="32"/>
          <w:rtl/>
        </w:rPr>
      </w:pPr>
      <w:r>
        <w:rPr>
          <w:rFonts w:hint="cs"/>
          <w:b/>
          <w:bCs/>
          <w:sz w:val="32"/>
          <w:szCs w:val="32"/>
          <w:rtl/>
        </w:rPr>
        <w:t>غصب</w:t>
      </w:r>
      <w:r>
        <w:rPr>
          <w:rFonts w:hint="cs"/>
          <w:sz w:val="32"/>
          <w:szCs w:val="32"/>
          <w:rtl/>
        </w:rPr>
        <w:tab/>
      </w:r>
      <w:r>
        <w:rPr>
          <w:rFonts w:hint="cs"/>
          <w:sz w:val="32"/>
          <w:szCs w:val="32"/>
          <w:rtl/>
        </w:rPr>
        <w:tab/>
        <w:t xml:space="preserve">: ق134 </w:t>
      </w:r>
      <w:r>
        <w:rPr>
          <w:rFonts w:hint="cs"/>
          <w:sz w:val="32"/>
          <w:szCs w:val="32"/>
          <w:rtl/>
        </w:rPr>
        <w:tab/>
        <w:t xml:space="preserve">: رَدُّ عَيْنِ </w:t>
      </w:r>
      <w:r>
        <w:rPr>
          <w:rFonts w:hint="cs"/>
          <w:b/>
          <w:bCs/>
          <w:sz w:val="32"/>
          <w:szCs w:val="32"/>
          <w:rtl/>
        </w:rPr>
        <w:t>المَغْصُوب</w:t>
      </w:r>
      <w:r>
        <w:rPr>
          <w:rFonts w:hint="cs"/>
          <w:sz w:val="32"/>
          <w:szCs w:val="32"/>
          <w:rtl/>
        </w:rPr>
        <w:t>ِ هُوَ المُوجَبُ الأصْلِيُّ.</w:t>
      </w:r>
    </w:p>
    <w:p w:rsidR="00284270" w:rsidRDefault="00284270">
      <w:pPr>
        <w:rPr>
          <w:sz w:val="32"/>
          <w:szCs w:val="32"/>
          <w:rtl/>
        </w:rPr>
      </w:pPr>
      <w:r>
        <w:rPr>
          <w:rFonts w:hint="cs"/>
          <w:b/>
          <w:bCs/>
          <w:sz w:val="32"/>
          <w:szCs w:val="32"/>
          <w:rtl/>
        </w:rPr>
        <w:t>غفر</w:t>
      </w:r>
      <w:r>
        <w:rPr>
          <w:rFonts w:hint="cs"/>
          <w:sz w:val="32"/>
          <w:szCs w:val="32"/>
          <w:rtl/>
        </w:rPr>
        <w:tab/>
      </w:r>
      <w:r>
        <w:rPr>
          <w:sz w:val="32"/>
          <w:szCs w:val="32"/>
        </w:rPr>
        <w:tab/>
      </w:r>
      <w:r>
        <w:rPr>
          <w:rFonts w:hint="cs"/>
          <w:sz w:val="32"/>
          <w:szCs w:val="32"/>
          <w:rtl/>
        </w:rPr>
        <w:t xml:space="preserve">: ق263 </w:t>
      </w:r>
      <w:r>
        <w:rPr>
          <w:sz w:val="32"/>
          <w:szCs w:val="32"/>
        </w:rPr>
        <w:tab/>
      </w:r>
      <w:r>
        <w:rPr>
          <w:rFonts w:hint="cs"/>
          <w:sz w:val="32"/>
          <w:szCs w:val="32"/>
          <w:rtl/>
        </w:rPr>
        <w:t xml:space="preserve">: </w:t>
      </w:r>
      <w:r>
        <w:rPr>
          <w:rFonts w:hint="cs"/>
          <w:b/>
          <w:bCs/>
          <w:sz w:val="32"/>
          <w:szCs w:val="32"/>
          <w:rtl/>
        </w:rPr>
        <w:t>يُغْتَفَرُ</w:t>
      </w:r>
      <w:r>
        <w:rPr>
          <w:rFonts w:hint="cs"/>
          <w:sz w:val="32"/>
          <w:szCs w:val="32"/>
          <w:rtl/>
        </w:rPr>
        <w:t xml:space="preserve"> فِي الانْتِهَاءِ مَا لاَ يُغْتَفَرُ فِي الابتدَاءِ.</w:t>
      </w:r>
    </w:p>
    <w:p w:rsidR="00284270" w:rsidRDefault="00284270" w:rsidP="0022714B">
      <w:pPr>
        <w:ind w:left="2833" w:hanging="2266"/>
        <w:rPr>
          <w:sz w:val="32"/>
          <w:szCs w:val="32"/>
          <w:rtl/>
        </w:rPr>
      </w:pPr>
      <w:r>
        <w:rPr>
          <w:rFonts w:hint="cs"/>
          <w:b/>
          <w:bCs/>
          <w:sz w:val="32"/>
          <w:szCs w:val="32"/>
          <w:rtl/>
        </w:rPr>
        <w:t>غنم</w:t>
      </w:r>
      <w:r>
        <w:rPr>
          <w:rFonts w:hint="cs"/>
          <w:sz w:val="32"/>
          <w:szCs w:val="32"/>
          <w:rtl/>
        </w:rPr>
        <w:t xml:space="preserve">         : ق72 </w:t>
      </w:r>
      <w:r>
        <w:rPr>
          <w:sz w:val="32"/>
          <w:szCs w:val="32"/>
        </w:rPr>
        <w:t>1</w:t>
      </w:r>
      <w:r>
        <w:rPr>
          <w:sz w:val="32"/>
          <w:szCs w:val="32"/>
        </w:rPr>
        <w:tab/>
      </w:r>
      <w:r>
        <w:rPr>
          <w:rFonts w:hint="cs"/>
          <w:sz w:val="32"/>
          <w:szCs w:val="32"/>
          <w:rtl/>
        </w:rPr>
        <w:t xml:space="preserve">: الغُرْمُ </w:t>
      </w:r>
      <w:r w:rsidRPr="00294A06">
        <w:rPr>
          <w:rFonts w:hint="cs"/>
          <w:b/>
          <w:bCs/>
          <w:sz w:val="32"/>
          <w:szCs w:val="32"/>
          <w:rtl/>
        </w:rPr>
        <w:t>بالغُنْم</w:t>
      </w:r>
      <w:r>
        <w:rPr>
          <w:rFonts w:hint="cs"/>
          <w:sz w:val="32"/>
          <w:szCs w:val="32"/>
          <w:rtl/>
        </w:rPr>
        <w:t xml:space="preserve"> . </w:t>
      </w:r>
    </w:p>
    <w:p w:rsidR="00284270" w:rsidRDefault="00284270">
      <w:pPr>
        <w:rPr>
          <w:sz w:val="32"/>
          <w:szCs w:val="32"/>
          <w:rtl/>
        </w:rPr>
      </w:pPr>
      <w:r>
        <w:rPr>
          <w:rFonts w:hint="cs"/>
          <w:b/>
          <w:bCs/>
          <w:sz w:val="32"/>
          <w:szCs w:val="32"/>
          <w:rtl/>
        </w:rPr>
        <w:t>غير</w:t>
      </w:r>
      <w:r>
        <w:rPr>
          <w:rFonts w:hint="cs"/>
          <w:sz w:val="32"/>
          <w:szCs w:val="32"/>
          <w:rtl/>
        </w:rPr>
        <w:tab/>
      </w:r>
      <w:r>
        <w:rPr>
          <w:sz w:val="32"/>
          <w:szCs w:val="32"/>
        </w:rPr>
        <w:tab/>
      </w:r>
      <w:r>
        <w:rPr>
          <w:rFonts w:hint="cs"/>
          <w:sz w:val="32"/>
          <w:szCs w:val="32"/>
          <w:rtl/>
        </w:rPr>
        <w:t xml:space="preserve">: ق78 </w:t>
      </w:r>
      <w:r>
        <w:rPr>
          <w:sz w:val="32"/>
          <w:szCs w:val="32"/>
        </w:rPr>
        <w:tab/>
      </w:r>
      <w:r>
        <w:rPr>
          <w:rFonts w:hint="cs"/>
          <w:sz w:val="32"/>
          <w:szCs w:val="32"/>
          <w:rtl/>
        </w:rPr>
        <w:tab/>
        <w:t xml:space="preserve"> : </w:t>
      </w:r>
      <w:r>
        <w:rPr>
          <w:rFonts w:hint="cs"/>
          <w:b/>
          <w:bCs/>
          <w:sz w:val="32"/>
          <w:szCs w:val="32"/>
          <w:rtl/>
        </w:rPr>
        <w:t>تَغْيِيرُ</w:t>
      </w:r>
      <w:r>
        <w:rPr>
          <w:rFonts w:hint="cs"/>
          <w:sz w:val="32"/>
          <w:szCs w:val="32"/>
          <w:rtl/>
        </w:rPr>
        <w:t xml:space="preserve"> المشرُوعِ بَاطِلٌ.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ق188 </w:t>
      </w:r>
      <w:r>
        <w:rPr>
          <w:sz w:val="32"/>
          <w:szCs w:val="32"/>
        </w:rPr>
        <w:tab/>
      </w:r>
      <w:r>
        <w:rPr>
          <w:rFonts w:hint="cs"/>
          <w:sz w:val="32"/>
          <w:szCs w:val="32"/>
          <w:rtl/>
        </w:rPr>
        <w:t xml:space="preserve"> : كُلُّ شرطٍ </w:t>
      </w:r>
      <w:r>
        <w:rPr>
          <w:rFonts w:hint="cs"/>
          <w:b/>
          <w:bCs/>
          <w:sz w:val="32"/>
          <w:szCs w:val="32"/>
          <w:rtl/>
        </w:rPr>
        <w:t>يغيِّرُ</w:t>
      </w:r>
      <w:r>
        <w:rPr>
          <w:rFonts w:hint="cs"/>
          <w:sz w:val="32"/>
          <w:szCs w:val="32"/>
          <w:rtl/>
        </w:rPr>
        <w:t xml:space="preserve"> حكمَ الشَّرْعِ يَكُونُ باطِلاً.</w:t>
      </w:r>
    </w:p>
    <w:p w:rsidR="00284270" w:rsidRDefault="00284270">
      <w:pPr>
        <w:rPr>
          <w:rtl/>
        </w:rPr>
      </w:pPr>
      <w:r>
        <w:rPr>
          <w:rFonts w:hint="cs"/>
          <w:rtl/>
        </w:rPr>
        <w:t xml:space="preserve"> </w:t>
      </w:r>
    </w:p>
    <w:p w:rsidR="00284270" w:rsidRPr="000B6888" w:rsidRDefault="00284270">
      <w:pPr>
        <w:rPr>
          <w:sz w:val="2"/>
          <w:szCs w:val="8"/>
          <w:rtl/>
        </w:rPr>
      </w:pPr>
      <w:r>
        <w:rPr>
          <w:rFonts w:hint="cs"/>
          <w:rtl/>
        </w:rPr>
        <w:t xml:space="preserve"> </w:t>
      </w:r>
    </w:p>
    <w:p w:rsidR="00284270" w:rsidRDefault="0022714B">
      <w:pPr>
        <w:jc w:val="center"/>
        <w:rPr>
          <w:b/>
          <w:bCs/>
          <w:sz w:val="48"/>
          <w:szCs w:val="48"/>
          <w:rtl/>
        </w:rPr>
      </w:pPr>
      <w:r>
        <w:rPr>
          <w:noProof/>
          <w:rtl/>
        </w:rPr>
        <w:pict>
          <v:rect id="_x0000_s1046" style="position:absolute;left:0;text-align:left;margin-left:165.3pt;margin-top:1.05pt;width:54.15pt;height:37.05pt;z-index:-251630592;mso-wrap-edited:f" wrapcoords="-379 0 -379 21600 758 22265 23495 22265 23116 997 22358 0 -379 0">
            <v:shadow on="t" offset="3pt" offset2="2pt"/>
          </v:rect>
        </w:pict>
      </w:r>
      <w:r w:rsidR="00284270">
        <w:rPr>
          <w:rFonts w:hint="cs"/>
          <w:b/>
          <w:bCs/>
          <w:sz w:val="48"/>
          <w:szCs w:val="48"/>
          <w:rtl/>
        </w:rPr>
        <w:t>(ف)</w:t>
      </w:r>
    </w:p>
    <w:p w:rsidR="00284270" w:rsidRDefault="00284270">
      <w:pPr>
        <w:rPr>
          <w:rtl/>
        </w:rPr>
      </w:pPr>
    </w:p>
    <w:p w:rsidR="00284270" w:rsidRDefault="00284270">
      <w:pPr>
        <w:rPr>
          <w:sz w:val="32"/>
          <w:szCs w:val="32"/>
          <w:rtl/>
        </w:rPr>
      </w:pPr>
      <w:r>
        <w:rPr>
          <w:rFonts w:hint="cs"/>
          <w:b/>
          <w:bCs/>
          <w:sz w:val="32"/>
          <w:szCs w:val="32"/>
          <w:rtl/>
        </w:rPr>
        <w:t>فات</w:t>
      </w:r>
      <w:r>
        <w:rPr>
          <w:rFonts w:hint="cs"/>
          <w:sz w:val="32"/>
          <w:szCs w:val="32"/>
          <w:rtl/>
        </w:rPr>
        <w:t xml:space="preserve"> </w:t>
      </w:r>
      <w:r>
        <w:rPr>
          <w:rFonts w:hint="cs"/>
          <w:sz w:val="32"/>
          <w:szCs w:val="32"/>
          <w:rtl/>
        </w:rPr>
        <w:tab/>
      </w:r>
      <w:r>
        <w:rPr>
          <w:sz w:val="32"/>
          <w:szCs w:val="32"/>
        </w:rPr>
        <w:tab/>
      </w:r>
      <w:r>
        <w:rPr>
          <w:rFonts w:hint="cs"/>
          <w:sz w:val="32"/>
          <w:szCs w:val="32"/>
          <w:rtl/>
        </w:rPr>
        <w:t>: ق</w:t>
      </w:r>
      <w:r>
        <w:rPr>
          <w:rFonts w:hint="cs"/>
          <w:sz w:val="32"/>
          <w:szCs w:val="32"/>
          <w:rtl/>
        </w:rPr>
        <w:tab/>
        <w:t>153</w:t>
      </w:r>
      <w:r>
        <w:rPr>
          <w:sz w:val="32"/>
          <w:szCs w:val="32"/>
        </w:rPr>
        <w:tab/>
      </w:r>
      <w:r>
        <w:rPr>
          <w:rFonts w:hint="cs"/>
          <w:sz w:val="32"/>
          <w:szCs w:val="32"/>
          <w:rtl/>
        </w:rPr>
        <w:t xml:space="preserve">: الصَّرِيْحُ </w:t>
      </w:r>
      <w:r>
        <w:rPr>
          <w:rFonts w:hint="cs"/>
          <w:b/>
          <w:bCs/>
          <w:sz w:val="32"/>
          <w:szCs w:val="32"/>
          <w:rtl/>
        </w:rPr>
        <w:t>يُفَوِّتُ</w:t>
      </w:r>
      <w:r>
        <w:rPr>
          <w:rFonts w:hint="cs"/>
          <w:sz w:val="32"/>
          <w:szCs w:val="32"/>
          <w:rtl/>
        </w:rPr>
        <w:t xml:space="preserve"> الدَّلاَلَةَ.</w:t>
      </w:r>
    </w:p>
    <w:p w:rsidR="00284270" w:rsidRDefault="00284270">
      <w:pPr>
        <w:rPr>
          <w:sz w:val="32"/>
          <w:szCs w:val="32"/>
          <w:rtl/>
        </w:rPr>
      </w:pPr>
      <w:r>
        <w:rPr>
          <w:rFonts w:hint="cs"/>
          <w:b/>
          <w:bCs/>
          <w:sz w:val="32"/>
          <w:szCs w:val="32"/>
          <w:rtl/>
        </w:rPr>
        <w:t>فتا</w:t>
      </w:r>
      <w:r>
        <w:rPr>
          <w:rFonts w:hint="cs"/>
          <w:sz w:val="32"/>
          <w:szCs w:val="32"/>
          <w:rtl/>
        </w:rPr>
        <w:tab/>
      </w:r>
      <w:r>
        <w:rPr>
          <w:sz w:val="32"/>
          <w:szCs w:val="32"/>
        </w:rPr>
        <w:tab/>
      </w:r>
      <w:r>
        <w:rPr>
          <w:rFonts w:hint="cs"/>
          <w:sz w:val="32"/>
          <w:szCs w:val="32"/>
          <w:rtl/>
        </w:rPr>
        <w:tab/>
        <w:t xml:space="preserve">: ق173 </w:t>
      </w:r>
      <w:r>
        <w:rPr>
          <w:sz w:val="32"/>
          <w:szCs w:val="32"/>
        </w:rPr>
        <w:tab/>
      </w:r>
      <w:r>
        <w:rPr>
          <w:rFonts w:hint="cs"/>
          <w:sz w:val="32"/>
          <w:szCs w:val="32"/>
          <w:rtl/>
        </w:rPr>
        <w:t xml:space="preserve">: </w:t>
      </w:r>
      <w:r>
        <w:rPr>
          <w:rFonts w:hint="cs"/>
          <w:b/>
          <w:bCs/>
          <w:sz w:val="32"/>
          <w:szCs w:val="32"/>
          <w:rtl/>
        </w:rPr>
        <w:t>الفَتْوَى</w:t>
      </w:r>
      <w:r>
        <w:rPr>
          <w:rFonts w:hint="cs"/>
          <w:sz w:val="32"/>
          <w:szCs w:val="32"/>
          <w:rtl/>
        </w:rPr>
        <w:t xml:space="preserve"> فِي حَقِّ الجَاهِلِ كالاجتهادِ فِي حقِّ المُجْتَهِدِ.</w:t>
      </w:r>
    </w:p>
    <w:p w:rsidR="00284270" w:rsidRDefault="00284270">
      <w:pPr>
        <w:rPr>
          <w:sz w:val="32"/>
          <w:szCs w:val="32"/>
          <w:rtl/>
        </w:rPr>
      </w:pPr>
      <w:r>
        <w:rPr>
          <w:rFonts w:hint="cs"/>
          <w:b/>
          <w:bCs/>
          <w:sz w:val="32"/>
          <w:szCs w:val="32"/>
          <w:rtl/>
        </w:rPr>
        <w:t>فرد</w:t>
      </w:r>
      <w:r>
        <w:rPr>
          <w:rFonts w:hint="cs"/>
          <w:sz w:val="32"/>
          <w:szCs w:val="32"/>
          <w:rtl/>
        </w:rPr>
        <w:tab/>
      </w:r>
      <w:r>
        <w:rPr>
          <w:sz w:val="32"/>
          <w:szCs w:val="32"/>
        </w:rPr>
        <w:tab/>
      </w:r>
      <w:r>
        <w:rPr>
          <w:rFonts w:hint="cs"/>
          <w:sz w:val="32"/>
          <w:szCs w:val="32"/>
          <w:rtl/>
        </w:rPr>
        <w:t xml:space="preserve">: ق59 </w:t>
      </w:r>
      <w:r>
        <w:rPr>
          <w:sz w:val="32"/>
          <w:szCs w:val="32"/>
        </w:rPr>
        <w:tab/>
      </w:r>
      <w:r>
        <w:rPr>
          <w:rFonts w:hint="cs"/>
          <w:sz w:val="32"/>
          <w:szCs w:val="32"/>
          <w:rtl/>
        </w:rPr>
        <w:tab/>
        <w:t xml:space="preserve">: </w:t>
      </w:r>
      <w:r>
        <w:rPr>
          <w:rFonts w:hint="eastAsia"/>
          <w:sz w:val="32"/>
          <w:szCs w:val="32"/>
          <w:rtl/>
        </w:rPr>
        <w:t>ب</w:t>
      </w:r>
      <w:r>
        <w:rPr>
          <w:rFonts w:hint="cs"/>
          <w:sz w:val="32"/>
          <w:szCs w:val="32"/>
          <w:rtl/>
        </w:rPr>
        <w:t>َ</w:t>
      </w:r>
      <w:r>
        <w:rPr>
          <w:rFonts w:hint="eastAsia"/>
          <w:sz w:val="32"/>
          <w:szCs w:val="32"/>
          <w:rtl/>
        </w:rPr>
        <w:t>ي</w:t>
      </w:r>
      <w:r>
        <w:rPr>
          <w:rFonts w:hint="cs"/>
          <w:sz w:val="32"/>
          <w:szCs w:val="32"/>
          <w:rtl/>
        </w:rPr>
        <w:t>ْ</w:t>
      </w:r>
      <w:r>
        <w:rPr>
          <w:rFonts w:hint="eastAsia"/>
          <w:sz w:val="32"/>
          <w:szCs w:val="32"/>
          <w:rtl/>
        </w:rPr>
        <w:t>ع</w:t>
      </w:r>
      <w:r>
        <w:rPr>
          <w:rFonts w:hint="cs"/>
          <w:sz w:val="32"/>
          <w:szCs w:val="32"/>
          <w:rtl/>
        </w:rPr>
        <w:t>ُ</w:t>
      </w:r>
      <w:r>
        <w:rPr>
          <w:sz w:val="32"/>
          <w:szCs w:val="32"/>
          <w:rtl/>
        </w:rPr>
        <w:t xml:space="preserve"> الح</w:t>
      </w:r>
      <w:r>
        <w:rPr>
          <w:rFonts w:hint="cs"/>
          <w:sz w:val="32"/>
          <w:szCs w:val="32"/>
          <w:rtl/>
        </w:rPr>
        <w:t>ُ</w:t>
      </w:r>
      <w:r>
        <w:rPr>
          <w:sz w:val="32"/>
          <w:szCs w:val="32"/>
          <w:rtl/>
        </w:rPr>
        <w:t>ق</w:t>
      </w:r>
      <w:r>
        <w:rPr>
          <w:rFonts w:hint="cs"/>
          <w:sz w:val="32"/>
          <w:szCs w:val="32"/>
          <w:rtl/>
        </w:rPr>
        <w:t>ُ</w:t>
      </w:r>
      <w:r>
        <w:rPr>
          <w:sz w:val="32"/>
          <w:szCs w:val="32"/>
          <w:rtl/>
        </w:rPr>
        <w:t>وق</w:t>
      </w:r>
      <w:r>
        <w:rPr>
          <w:rFonts w:hint="cs"/>
          <w:sz w:val="32"/>
          <w:szCs w:val="32"/>
          <w:rtl/>
        </w:rPr>
        <w:t>ِ</w:t>
      </w:r>
      <w:r>
        <w:rPr>
          <w:sz w:val="32"/>
          <w:szCs w:val="32"/>
          <w:rtl/>
        </w:rPr>
        <w:t xml:space="preserve"> لا يجوز</w:t>
      </w:r>
      <w:r>
        <w:rPr>
          <w:rFonts w:hint="cs"/>
          <w:sz w:val="32"/>
          <w:szCs w:val="32"/>
          <w:rtl/>
        </w:rPr>
        <w:t>ُ</w:t>
      </w:r>
      <w:r>
        <w:rPr>
          <w:sz w:val="32"/>
          <w:szCs w:val="32"/>
          <w:rtl/>
        </w:rPr>
        <w:t xml:space="preserve"> </w:t>
      </w:r>
      <w:r>
        <w:rPr>
          <w:b/>
          <w:bCs/>
          <w:sz w:val="32"/>
          <w:szCs w:val="32"/>
          <w:rtl/>
        </w:rPr>
        <w:t>بالان</w:t>
      </w:r>
      <w:r>
        <w:rPr>
          <w:rFonts w:hint="cs"/>
          <w:b/>
          <w:bCs/>
          <w:sz w:val="32"/>
          <w:szCs w:val="32"/>
          <w:rtl/>
        </w:rPr>
        <w:t>ْ</w:t>
      </w:r>
      <w:r>
        <w:rPr>
          <w:b/>
          <w:bCs/>
          <w:sz w:val="32"/>
          <w:szCs w:val="32"/>
          <w:rtl/>
        </w:rPr>
        <w:t>ف</w:t>
      </w:r>
      <w:r>
        <w:rPr>
          <w:rFonts w:hint="cs"/>
          <w:b/>
          <w:bCs/>
          <w:sz w:val="32"/>
          <w:szCs w:val="32"/>
          <w:rtl/>
        </w:rPr>
        <w:t>ِ</w:t>
      </w:r>
      <w:r>
        <w:rPr>
          <w:b/>
          <w:bCs/>
          <w:sz w:val="32"/>
          <w:szCs w:val="32"/>
          <w:rtl/>
        </w:rPr>
        <w:t>ر</w:t>
      </w:r>
      <w:r>
        <w:rPr>
          <w:rFonts w:hint="cs"/>
          <w:b/>
          <w:bCs/>
          <w:sz w:val="32"/>
          <w:szCs w:val="32"/>
          <w:rtl/>
        </w:rPr>
        <w:t>َ</w:t>
      </w:r>
      <w:r>
        <w:rPr>
          <w:b/>
          <w:bCs/>
          <w:sz w:val="32"/>
          <w:szCs w:val="32"/>
          <w:rtl/>
        </w:rPr>
        <w:t>اد</w:t>
      </w:r>
      <w:r>
        <w:rPr>
          <w:rFonts w:hint="cs"/>
          <w:b/>
          <w:bCs/>
          <w:sz w:val="32"/>
          <w:szCs w:val="32"/>
          <w:rtl/>
        </w:rPr>
        <w:t>ِ</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ق186 </w:t>
      </w:r>
      <w:r>
        <w:rPr>
          <w:sz w:val="32"/>
          <w:szCs w:val="32"/>
        </w:rPr>
        <w:tab/>
      </w:r>
      <w:r>
        <w:rPr>
          <w:rFonts w:hint="cs"/>
          <w:sz w:val="32"/>
          <w:szCs w:val="32"/>
          <w:rtl/>
        </w:rPr>
        <w:t xml:space="preserve">: كَلِمَـةُ  (كُلٍّ) إِذَا دَخَلَتْ عَلَى النَّكِرَةِ أوجَبَتْ عُمُومَ </w:t>
      </w:r>
      <w:r>
        <w:rPr>
          <w:rFonts w:hint="cs"/>
          <w:b/>
          <w:bCs/>
          <w:sz w:val="32"/>
          <w:szCs w:val="32"/>
          <w:rtl/>
        </w:rPr>
        <w:t>أَفْرَادِهَا</w:t>
      </w:r>
      <w:r>
        <w:rPr>
          <w:rFonts w:hint="cs"/>
          <w:sz w:val="32"/>
          <w:szCs w:val="32"/>
          <w:rtl/>
        </w:rPr>
        <w:t xml:space="preserve"> عَلَى سَبِيلِ الشُّمُولِ دُوْنَ التِّكْرَار.ِ</w:t>
      </w:r>
    </w:p>
    <w:p w:rsidR="00284270" w:rsidRDefault="00284270">
      <w:pPr>
        <w:rPr>
          <w:sz w:val="32"/>
          <w:szCs w:val="32"/>
          <w:rtl/>
        </w:rPr>
      </w:pPr>
      <w:r>
        <w:rPr>
          <w:rFonts w:hint="cs"/>
          <w:b/>
          <w:bCs/>
          <w:sz w:val="32"/>
          <w:szCs w:val="32"/>
          <w:rtl/>
        </w:rPr>
        <w:t>فرع</w:t>
      </w:r>
      <w:r>
        <w:rPr>
          <w:rFonts w:hint="cs"/>
          <w:sz w:val="32"/>
          <w:szCs w:val="32"/>
          <w:rtl/>
        </w:rPr>
        <w:tab/>
      </w:r>
      <w:r>
        <w:rPr>
          <w:sz w:val="32"/>
          <w:szCs w:val="32"/>
        </w:rPr>
        <w:tab/>
      </w:r>
      <w:r>
        <w:rPr>
          <w:rFonts w:hint="cs"/>
          <w:sz w:val="32"/>
          <w:szCs w:val="32"/>
          <w:rtl/>
        </w:rPr>
        <w:t xml:space="preserve">: ق175 </w:t>
      </w:r>
      <w:r>
        <w:rPr>
          <w:sz w:val="32"/>
          <w:szCs w:val="32"/>
        </w:rPr>
        <w:tab/>
      </w:r>
      <w:r>
        <w:rPr>
          <w:rFonts w:hint="cs"/>
          <w:sz w:val="32"/>
          <w:szCs w:val="32"/>
          <w:rtl/>
        </w:rPr>
        <w:t xml:space="preserve">: </w:t>
      </w:r>
      <w:r>
        <w:rPr>
          <w:rFonts w:hint="cs"/>
          <w:b/>
          <w:bCs/>
          <w:sz w:val="32"/>
          <w:szCs w:val="32"/>
          <w:rtl/>
        </w:rPr>
        <w:t>الفَرْعُ</w:t>
      </w:r>
      <w:r>
        <w:rPr>
          <w:rFonts w:hint="cs"/>
          <w:sz w:val="32"/>
          <w:szCs w:val="32"/>
          <w:rtl/>
        </w:rPr>
        <w:t xml:space="preserve"> المُخْتَصُّ بأصلِ وُجُودِهِ يَدُلَّ على وُجُودِ أصْلِهِ.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ق177 </w:t>
      </w:r>
      <w:r>
        <w:rPr>
          <w:sz w:val="32"/>
          <w:szCs w:val="32"/>
        </w:rPr>
        <w:tab/>
      </w:r>
      <w:r>
        <w:rPr>
          <w:rFonts w:hint="cs"/>
          <w:sz w:val="32"/>
          <w:szCs w:val="32"/>
          <w:rtl/>
        </w:rPr>
        <w:t xml:space="preserve">: قَدْ يَثْبُتُ </w:t>
      </w:r>
      <w:r>
        <w:rPr>
          <w:rFonts w:hint="cs"/>
          <w:b/>
          <w:bCs/>
          <w:sz w:val="32"/>
          <w:szCs w:val="32"/>
          <w:rtl/>
        </w:rPr>
        <w:t>الفَرْعُ</w:t>
      </w:r>
      <w:r>
        <w:rPr>
          <w:rFonts w:hint="cs"/>
          <w:sz w:val="32"/>
          <w:szCs w:val="32"/>
          <w:rtl/>
        </w:rPr>
        <w:t xml:space="preserve"> و إِنْ لَمْ يَثْبُتِ الأَصْلُ.</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ق262 </w:t>
      </w:r>
      <w:r>
        <w:rPr>
          <w:sz w:val="32"/>
          <w:szCs w:val="32"/>
        </w:rPr>
        <w:tab/>
      </w:r>
      <w:r>
        <w:rPr>
          <w:rFonts w:hint="cs"/>
          <w:sz w:val="32"/>
          <w:szCs w:val="32"/>
          <w:rtl/>
        </w:rPr>
        <w:t xml:space="preserve">: يَسْقُطُ </w:t>
      </w:r>
      <w:r>
        <w:rPr>
          <w:rFonts w:hint="cs"/>
          <w:b/>
          <w:bCs/>
          <w:sz w:val="32"/>
          <w:szCs w:val="32"/>
          <w:rtl/>
        </w:rPr>
        <w:t>الفَرْعُ</w:t>
      </w:r>
      <w:r>
        <w:rPr>
          <w:rFonts w:hint="cs"/>
          <w:sz w:val="32"/>
          <w:szCs w:val="32"/>
          <w:rtl/>
        </w:rPr>
        <w:t xml:space="preserve"> إذا سَقَطَ الأَصْلُ.</w:t>
      </w:r>
    </w:p>
    <w:p w:rsidR="00284270" w:rsidRDefault="00284270">
      <w:pPr>
        <w:rPr>
          <w:sz w:val="32"/>
          <w:szCs w:val="32"/>
          <w:rtl/>
        </w:rPr>
      </w:pPr>
      <w:r>
        <w:rPr>
          <w:rFonts w:hint="cs"/>
          <w:b/>
          <w:bCs/>
          <w:sz w:val="32"/>
          <w:szCs w:val="32"/>
          <w:rtl/>
        </w:rPr>
        <w:t>فرق</w:t>
      </w:r>
      <w:r>
        <w:rPr>
          <w:rFonts w:hint="cs"/>
          <w:sz w:val="32"/>
          <w:szCs w:val="32"/>
          <w:rtl/>
        </w:rPr>
        <w:tab/>
      </w:r>
      <w:r>
        <w:rPr>
          <w:sz w:val="32"/>
          <w:szCs w:val="32"/>
        </w:rPr>
        <w:tab/>
      </w:r>
      <w:r>
        <w:rPr>
          <w:rFonts w:hint="cs"/>
          <w:sz w:val="32"/>
          <w:szCs w:val="32"/>
          <w:rtl/>
        </w:rPr>
        <w:t xml:space="preserve">: ق81 </w:t>
      </w:r>
      <w:r>
        <w:rPr>
          <w:sz w:val="32"/>
          <w:szCs w:val="32"/>
        </w:rPr>
        <w:tab/>
      </w:r>
      <w:r>
        <w:rPr>
          <w:rFonts w:hint="cs"/>
          <w:sz w:val="32"/>
          <w:szCs w:val="32"/>
          <w:rtl/>
        </w:rPr>
        <w:tab/>
        <w:t xml:space="preserve">: </w:t>
      </w:r>
      <w:r>
        <w:rPr>
          <w:rFonts w:hint="cs"/>
          <w:b/>
          <w:bCs/>
          <w:sz w:val="32"/>
          <w:szCs w:val="32"/>
          <w:rtl/>
        </w:rPr>
        <w:t>تَفريقُ</w:t>
      </w:r>
      <w:r>
        <w:rPr>
          <w:rFonts w:hint="cs"/>
          <w:sz w:val="32"/>
          <w:szCs w:val="32"/>
          <w:rtl/>
        </w:rPr>
        <w:t xml:space="preserve"> الصَّفقَة قبل القبْض لاَ يجُوز. </w:t>
      </w:r>
    </w:p>
    <w:p w:rsidR="00284270" w:rsidRDefault="00284270" w:rsidP="0022714B">
      <w:pPr>
        <w:ind w:left="2833" w:hanging="2266"/>
        <w:rPr>
          <w:sz w:val="32"/>
          <w:szCs w:val="32"/>
          <w:rtl/>
        </w:rPr>
      </w:pPr>
      <w:r>
        <w:rPr>
          <w:rFonts w:hint="cs"/>
          <w:sz w:val="32"/>
          <w:szCs w:val="32"/>
          <w:rtl/>
        </w:rPr>
        <w:t xml:space="preserve">               ق154 </w:t>
      </w:r>
      <w:r>
        <w:rPr>
          <w:sz w:val="32"/>
          <w:szCs w:val="32"/>
        </w:rPr>
        <w:tab/>
      </w:r>
      <w:r>
        <w:rPr>
          <w:rFonts w:hint="cs"/>
          <w:sz w:val="32"/>
          <w:szCs w:val="32"/>
          <w:rtl/>
        </w:rPr>
        <w:t xml:space="preserve">: صِحَّةُ الحَلِفِ غَيْرُ </w:t>
      </w:r>
      <w:r>
        <w:rPr>
          <w:rFonts w:hint="cs"/>
          <w:b/>
          <w:bCs/>
          <w:sz w:val="32"/>
          <w:szCs w:val="32"/>
          <w:rtl/>
        </w:rPr>
        <w:t>مُفَارِقَةٍ</w:t>
      </w:r>
      <w:r>
        <w:rPr>
          <w:rFonts w:hint="cs"/>
          <w:sz w:val="32"/>
          <w:szCs w:val="32"/>
          <w:rtl/>
        </w:rPr>
        <w:t xml:space="preserve"> عَنْ صِحَّةِ الإِقْرَارِ، وَعَدَمُهَا عَنْ عَدَمِهَا.</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ق212 </w:t>
      </w:r>
      <w:r>
        <w:rPr>
          <w:sz w:val="32"/>
          <w:szCs w:val="32"/>
        </w:rPr>
        <w:tab/>
      </w:r>
      <w:r>
        <w:rPr>
          <w:rFonts w:hint="cs"/>
          <w:sz w:val="32"/>
          <w:szCs w:val="32"/>
          <w:rtl/>
        </w:rPr>
        <w:t xml:space="preserve">: لاَ يَجُوزُ </w:t>
      </w:r>
      <w:r>
        <w:rPr>
          <w:rFonts w:hint="cs"/>
          <w:b/>
          <w:bCs/>
          <w:sz w:val="32"/>
          <w:szCs w:val="32"/>
          <w:rtl/>
        </w:rPr>
        <w:t>تَفْرِيقُ</w:t>
      </w:r>
      <w:r>
        <w:rPr>
          <w:rFonts w:hint="cs"/>
          <w:sz w:val="32"/>
          <w:szCs w:val="32"/>
          <w:rtl/>
        </w:rPr>
        <w:t xml:space="preserve"> الصَّفْقَةِ قَبْلَ التَّمَامِ.</w:t>
      </w:r>
    </w:p>
    <w:p w:rsidR="00284270" w:rsidRDefault="00284270" w:rsidP="0022714B">
      <w:pPr>
        <w:ind w:left="2833" w:hanging="2266"/>
        <w:rPr>
          <w:sz w:val="32"/>
          <w:szCs w:val="32"/>
          <w:rtl/>
        </w:rPr>
      </w:pPr>
      <w:r>
        <w:rPr>
          <w:rFonts w:hint="cs"/>
          <w:b/>
          <w:bCs/>
          <w:sz w:val="32"/>
          <w:szCs w:val="32"/>
          <w:rtl/>
        </w:rPr>
        <w:t>فسخ</w:t>
      </w:r>
      <w:r>
        <w:rPr>
          <w:rFonts w:hint="cs"/>
          <w:sz w:val="32"/>
          <w:szCs w:val="32"/>
          <w:rtl/>
        </w:rPr>
        <w:t xml:space="preserve">      :   ق132 </w:t>
      </w:r>
      <w:r>
        <w:rPr>
          <w:sz w:val="32"/>
          <w:szCs w:val="32"/>
        </w:rPr>
        <w:tab/>
      </w:r>
      <w:r>
        <w:rPr>
          <w:rFonts w:hint="cs"/>
          <w:sz w:val="32"/>
          <w:szCs w:val="32"/>
          <w:rtl/>
        </w:rPr>
        <w:t xml:space="preserve">: الرُّجُوعُ فِي الهِبَةِ - وَلَوْ بِالتَّرَاضِي- </w:t>
      </w:r>
      <w:r>
        <w:rPr>
          <w:rFonts w:hint="cs"/>
          <w:b/>
          <w:bCs/>
          <w:sz w:val="32"/>
          <w:szCs w:val="32"/>
          <w:rtl/>
        </w:rPr>
        <w:t>فَسْخٌ</w:t>
      </w:r>
      <w:r>
        <w:rPr>
          <w:rFonts w:hint="cs"/>
          <w:sz w:val="32"/>
          <w:szCs w:val="32"/>
          <w:rtl/>
        </w:rPr>
        <w:t xml:space="preserve"> لِعَقْدِ الهِبَةِ مِنَ الأَصْلِ، وَإِعَادَةُ المِلْكِ القَديمِ لا هبةً.</w:t>
      </w:r>
    </w:p>
    <w:p w:rsidR="00284270" w:rsidRDefault="00284270" w:rsidP="0022714B">
      <w:pPr>
        <w:ind w:left="2833" w:hanging="2266"/>
        <w:rPr>
          <w:sz w:val="32"/>
          <w:szCs w:val="32"/>
          <w:rtl/>
        </w:rPr>
      </w:pPr>
      <w:r>
        <w:rPr>
          <w:rFonts w:hint="cs"/>
          <w:sz w:val="32"/>
          <w:szCs w:val="32"/>
          <w:rtl/>
        </w:rPr>
        <w:t xml:space="preserve">               ق168 </w:t>
      </w:r>
      <w:r>
        <w:rPr>
          <w:sz w:val="32"/>
          <w:szCs w:val="32"/>
        </w:rPr>
        <w:tab/>
      </w:r>
      <w:r>
        <w:rPr>
          <w:rFonts w:hint="cs"/>
          <w:sz w:val="32"/>
          <w:szCs w:val="32"/>
          <w:rtl/>
        </w:rPr>
        <w:t xml:space="preserve">: العَقْدُ مَتَى </w:t>
      </w:r>
      <w:r>
        <w:rPr>
          <w:rFonts w:hint="cs"/>
          <w:b/>
          <w:bCs/>
          <w:sz w:val="32"/>
          <w:szCs w:val="32"/>
          <w:rtl/>
        </w:rPr>
        <w:t>انْفَسَخَ</w:t>
      </w:r>
      <w:r>
        <w:rPr>
          <w:rFonts w:hint="cs"/>
          <w:sz w:val="32"/>
          <w:szCs w:val="32"/>
          <w:rtl/>
        </w:rPr>
        <w:t xml:space="preserve"> بقضاءِ القاضِي لا يَعُودُ إلاَّ بِتَجْدِيدِهِ.</w:t>
      </w:r>
    </w:p>
    <w:p w:rsidR="00284270" w:rsidRDefault="00284270" w:rsidP="0022714B">
      <w:pPr>
        <w:ind w:left="2833" w:hanging="2266"/>
        <w:rPr>
          <w:sz w:val="32"/>
          <w:szCs w:val="32"/>
          <w:rtl/>
        </w:rPr>
      </w:pPr>
      <w:r>
        <w:rPr>
          <w:rFonts w:hint="cs"/>
          <w:b/>
          <w:bCs/>
          <w:sz w:val="32"/>
          <w:szCs w:val="32"/>
          <w:rtl/>
        </w:rPr>
        <w:t>فسد</w:t>
      </w:r>
      <w:r>
        <w:rPr>
          <w:rFonts w:hint="cs"/>
          <w:sz w:val="32"/>
          <w:szCs w:val="32"/>
          <w:rtl/>
        </w:rPr>
        <w:t xml:space="preserve">      :   ق15 </w:t>
      </w:r>
      <w:r>
        <w:rPr>
          <w:sz w:val="32"/>
          <w:szCs w:val="32"/>
        </w:rPr>
        <w:tab/>
      </w:r>
      <w:r>
        <w:rPr>
          <w:rFonts w:hint="cs"/>
          <w:sz w:val="32"/>
          <w:szCs w:val="32"/>
          <w:rtl/>
        </w:rPr>
        <w:t xml:space="preserve">: إذَا تَعَارَضَ </w:t>
      </w:r>
      <w:r>
        <w:rPr>
          <w:rFonts w:hint="cs"/>
          <w:b/>
          <w:bCs/>
          <w:sz w:val="32"/>
          <w:szCs w:val="32"/>
          <w:rtl/>
        </w:rPr>
        <w:t>المَفَسَدَتَانِ</w:t>
      </w:r>
      <w:r>
        <w:rPr>
          <w:rFonts w:hint="cs"/>
          <w:sz w:val="32"/>
          <w:szCs w:val="32"/>
          <w:rtl/>
        </w:rPr>
        <w:t xml:space="preserve"> : رُوعِيَ أعظَمُهُمَا ضررًا بارْتِكَابِ أخفِّهِمَا.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ق104 </w:t>
      </w:r>
      <w:r>
        <w:rPr>
          <w:sz w:val="32"/>
          <w:szCs w:val="32"/>
        </w:rPr>
        <w:tab/>
      </w:r>
      <w:r>
        <w:rPr>
          <w:rFonts w:hint="cs"/>
          <w:sz w:val="32"/>
          <w:szCs w:val="32"/>
          <w:rtl/>
        </w:rPr>
        <w:t xml:space="preserve">: الجَهَالةُ المُفضِيةُ إلى النِّزاعِ </w:t>
      </w:r>
      <w:r>
        <w:rPr>
          <w:rFonts w:hint="cs"/>
          <w:b/>
          <w:bCs/>
          <w:sz w:val="32"/>
          <w:szCs w:val="32"/>
          <w:rtl/>
        </w:rPr>
        <w:t>مُفسِدَةٌ</w:t>
      </w:r>
      <w:r>
        <w:rPr>
          <w:rFonts w:hint="cs"/>
          <w:sz w:val="32"/>
          <w:szCs w:val="32"/>
          <w:rtl/>
        </w:rPr>
        <w:t xml:space="preserve"> للعقْدِ.</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ق121 </w:t>
      </w:r>
      <w:r>
        <w:rPr>
          <w:sz w:val="32"/>
          <w:szCs w:val="32"/>
        </w:rPr>
        <w:tab/>
      </w:r>
      <w:r>
        <w:rPr>
          <w:rFonts w:hint="cs"/>
          <w:sz w:val="32"/>
          <w:szCs w:val="32"/>
          <w:rtl/>
        </w:rPr>
        <w:t>: الدَّاخلُ تَحْتَ العَقْدِ عملٌ سليمٌ، و</w:t>
      </w:r>
      <w:r>
        <w:rPr>
          <w:rFonts w:hint="cs"/>
          <w:b/>
          <w:bCs/>
          <w:sz w:val="32"/>
          <w:szCs w:val="32"/>
          <w:rtl/>
        </w:rPr>
        <w:t>المُفْسَدُ</w:t>
      </w:r>
      <w:r>
        <w:rPr>
          <w:rFonts w:hint="cs"/>
          <w:sz w:val="32"/>
          <w:szCs w:val="32"/>
          <w:rtl/>
        </w:rPr>
        <w:t xml:space="preserve"> غيرُ داخلٍ.</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ق122</w:t>
      </w:r>
      <w:r>
        <w:rPr>
          <w:sz w:val="32"/>
          <w:szCs w:val="32"/>
        </w:rPr>
        <w:tab/>
      </w:r>
      <w:r>
        <w:rPr>
          <w:rFonts w:hint="cs"/>
          <w:sz w:val="32"/>
          <w:szCs w:val="32"/>
          <w:rtl/>
        </w:rPr>
        <w:t xml:space="preserve"> </w:t>
      </w:r>
      <w:r>
        <w:rPr>
          <w:rFonts w:hint="cs"/>
          <w:sz w:val="32"/>
          <w:szCs w:val="32"/>
          <w:rtl/>
        </w:rPr>
        <w:tab/>
        <w:t xml:space="preserve">: دَرْءُ </w:t>
      </w:r>
      <w:r>
        <w:rPr>
          <w:rFonts w:hint="cs"/>
          <w:b/>
          <w:bCs/>
          <w:sz w:val="32"/>
          <w:szCs w:val="32"/>
          <w:rtl/>
        </w:rPr>
        <w:t>المفاسِدِ</w:t>
      </w:r>
      <w:r>
        <w:rPr>
          <w:rFonts w:hint="cs"/>
          <w:sz w:val="32"/>
          <w:szCs w:val="32"/>
          <w:rtl/>
        </w:rPr>
        <w:t xml:space="preserve"> أولَى مِنْ جَلْبِ المَصَالِحِ.</w:t>
      </w:r>
    </w:p>
    <w:p w:rsidR="00284270" w:rsidRDefault="00284270" w:rsidP="0022714B">
      <w:pPr>
        <w:ind w:left="2833" w:hanging="2266"/>
        <w:rPr>
          <w:sz w:val="32"/>
          <w:szCs w:val="32"/>
          <w:rtl/>
        </w:rPr>
      </w:pPr>
      <w:r>
        <w:rPr>
          <w:rFonts w:hint="cs"/>
          <w:b/>
          <w:bCs/>
          <w:sz w:val="32"/>
          <w:szCs w:val="32"/>
          <w:rtl/>
        </w:rPr>
        <w:t>فصل</w:t>
      </w:r>
      <w:r>
        <w:rPr>
          <w:rFonts w:hint="cs"/>
          <w:sz w:val="32"/>
          <w:szCs w:val="32"/>
          <w:rtl/>
        </w:rPr>
        <w:t xml:space="preserve">      : ق136 </w:t>
      </w:r>
      <w:r>
        <w:rPr>
          <w:sz w:val="32"/>
          <w:szCs w:val="32"/>
        </w:rPr>
        <w:tab/>
      </w:r>
      <w:r>
        <w:rPr>
          <w:rFonts w:hint="cs"/>
          <w:sz w:val="32"/>
          <w:szCs w:val="32"/>
          <w:rtl/>
        </w:rPr>
        <w:t xml:space="preserve">: الزِّيَادَةُ </w:t>
      </w:r>
      <w:r>
        <w:rPr>
          <w:rFonts w:hint="cs"/>
          <w:b/>
          <w:bCs/>
          <w:sz w:val="32"/>
          <w:szCs w:val="32"/>
          <w:rtl/>
        </w:rPr>
        <w:t>المُنفَصِلَةُ</w:t>
      </w:r>
      <w:r>
        <w:rPr>
          <w:rFonts w:hint="cs"/>
          <w:sz w:val="32"/>
          <w:szCs w:val="32"/>
          <w:rtl/>
        </w:rPr>
        <w:t xml:space="preserve"> غَيْرُ المُتَوَلِّدَةِ مِنَ الأصْلِ لاَ تَمْنَعُ الرَّدَّ بالعَيْبِ.</w:t>
      </w:r>
    </w:p>
    <w:p w:rsidR="00284270" w:rsidRDefault="00284270">
      <w:pPr>
        <w:rPr>
          <w:sz w:val="32"/>
          <w:szCs w:val="32"/>
          <w:rtl/>
        </w:rPr>
      </w:pPr>
      <w:r>
        <w:rPr>
          <w:rFonts w:hint="cs"/>
          <w:b/>
          <w:bCs/>
          <w:sz w:val="32"/>
          <w:szCs w:val="32"/>
          <w:rtl/>
        </w:rPr>
        <w:t>فضا</w:t>
      </w:r>
      <w:r>
        <w:rPr>
          <w:rFonts w:hint="cs"/>
          <w:sz w:val="32"/>
          <w:szCs w:val="32"/>
          <w:rtl/>
        </w:rPr>
        <w:tab/>
        <w:t xml:space="preserve">    : ق104 </w:t>
      </w:r>
      <w:r>
        <w:rPr>
          <w:sz w:val="32"/>
          <w:szCs w:val="32"/>
        </w:rPr>
        <w:tab/>
      </w:r>
      <w:r>
        <w:rPr>
          <w:rFonts w:hint="cs"/>
          <w:sz w:val="32"/>
          <w:szCs w:val="32"/>
          <w:rtl/>
        </w:rPr>
        <w:tab/>
        <w:t xml:space="preserve">: الجَهَالةُ </w:t>
      </w:r>
      <w:r>
        <w:rPr>
          <w:rFonts w:hint="cs"/>
          <w:b/>
          <w:bCs/>
          <w:sz w:val="32"/>
          <w:szCs w:val="32"/>
          <w:rtl/>
        </w:rPr>
        <w:t>المُفضِيةُ</w:t>
      </w:r>
      <w:r>
        <w:rPr>
          <w:rFonts w:hint="cs"/>
          <w:sz w:val="32"/>
          <w:szCs w:val="32"/>
          <w:rtl/>
        </w:rPr>
        <w:t xml:space="preserve"> إلى النِّزاعِ مُفسِدَةٌ للعقْدِ. </w:t>
      </w:r>
    </w:p>
    <w:p w:rsidR="00284270" w:rsidRDefault="00284270" w:rsidP="0022714B">
      <w:pPr>
        <w:ind w:left="2833" w:hanging="2266"/>
        <w:rPr>
          <w:sz w:val="32"/>
          <w:szCs w:val="32"/>
          <w:rtl/>
        </w:rPr>
      </w:pPr>
      <w:r>
        <w:rPr>
          <w:rFonts w:hint="cs"/>
          <w:b/>
          <w:bCs/>
          <w:sz w:val="32"/>
          <w:szCs w:val="32"/>
          <w:rtl/>
        </w:rPr>
        <w:t>فعل</w:t>
      </w:r>
      <w:r>
        <w:rPr>
          <w:rFonts w:hint="cs"/>
          <w:sz w:val="32"/>
          <w:szCs w:val="32"/>
          <w:rtl/>
        </w:rPr>
        <w:t xml:space="preserve">        : ق37 </w:t>
      </w:r>
      <w:r>
        <w:rPr>
          <w:sz w:val="32"/>
          <w:szCs w:val="32"/>
        </w:rPr>
        <w:tab/>
      </w:r>
      <w:r>
        <w:rPr>
          <w:rFonts w:hint="cs"/>
          <w:sz w:val="32"/>
          <w:szCs w:val="32"/>
          <w:rtl/>
        </w:rPr>
        <w:t xml:space="preserve">: </w:t>
      </w:r>
      <w:r>
        <w:rPr>
          <w:rFonts w:hint="cs"/>
          <w:b/>
          <w:bCs/>
          <w:sz w:val="32"/>
          <w:szCs w:val="32"/>
          <w:rtl/>
        </w:rPr>
        <w:t>الأَفْعَالُ</w:t>
      </w:r>
      <w:r>
        <w:rPr>
          <w:rFonts w:hint="cs"/>
          <w:sz w:val="32"/>
          <w:szCs w:val="32"/>
          <w:rtl/>
        </w:rPr>
        <w:t xml:space="preserve"> المُبَاحَةُ لا يَجُوزُ مُبَاشَرَتُهَا إلاَّ بِشَرْطِ أَنْ لاَ يُؤذِي أَحَدًا. </w:t>
      </w:r>
    </w:p>
    <w:p w:rsidR="00284270" w:rsidRDefault="00284270">
      <w:pPr>
        <w:rPr>
          <w:sz w:val="32"/>
          <w:szCs w:val="32"/>
          <w:rtl/>
        </w:rPr>
      </w:pPr>
      <w:r>
        <w:rPr>
          <w:rFonts w:hint="cs"/>
          <w:b/>
          <w:bCs/>
          <w:sz w:val="32"/>
          <w:szCs w:val="32"/>
          <w:rtl/>
        </w:rPr>
        <w:t>فوض</w:t>
      </w:r>
      <w:r>
        <w:rPr>
          <w:rFonts w:hint="cs"/>
          <w:sz w:val="32"/>
          <w:szCs w:val="32"/>
          <w:rtl/>
        </w:rPr>
        <w:tab/>
        <w:t xml:space="preserve">    : ق79 </w:t>
      </w:r>
      <w:r>
        <w:rPr>
          <w:sz w:val="32"/>
          <w:szCs w:val="32"/>
        </w:rPr>
        <w:tab/>
      </w:r>
      <w:r>
        <w:rPr>
          <w:rFonts w:hint="cs"/>
          <w:sz w:val="32"/>
          <w:szCs w:val="32"/>
          <w:rtl/>
        </w:rPr>
        <w:tab/>
        <w:t xml:space="preserve">: </w:t>
      </w:r>
      <w:r>
        <w:rPr>
          <w:rFonts w:hint="cs"/>
          <w:b/>
          <w:bCs/>
          <w:sz w:val="32"/>
          <w:szCs w:val="32"/>
          <w:rtl/>
        </w:rPr>
        <w:t>تفويضُ</w:t>
      </w:r>
      <w:r>
        <w:rPr>
          <w:rFonts w:hint="cs"/>
          <w:sz w:val="32"/>
          <w:szCs w:val="32"/>
          <w:rtl/>
        </w:rPr>
        <w:t xml:space="preserve"> التَّصرُّفِ فِي مِلْكِ الغَيرِ لاَ يَجُوزُ. </w:t>
      </w:r>
    </w:p>
    <w:p w:rsidR="00284270" w:rsidRDefault="0022714B">
      <w:pPr>
        <w:jc w:val="center"/>
        <w:rPr>
          <w:b/>
          <w:bCs/>
          <w:sz w:val="48"/>
          <w:szCs w:val="48"/>
          <w:rtl/>
        </w:rPr>
      </w:pPr>
      <w:r>
        <w:rPr>
          <w:b/>
          <w:bCs/>
          <w:noProof/>
          <w:szCs w:val="48"/>
          <w:rtl/>
        </w:rPr>
        <w:pict>
          <v:rect id="_x0000_s1047" style="position:absolute;left:0;text-align:left;margin-left:165.2pt;margin-top:2.95pt;width:54.15pt;height:37.05pt;z-index:-251629568;mso-wrap-edited:f" wrapcoords="-379 0 -379 21600 758 22265 23495 22265 23116 997 22358 0 -379 0">
            <v:shadow on="t" offset="3pt" offset2="2pt"/>
          </v:rect>
        </w:pict>
      </w:r>
      <w:r w:rsidR="00284270">
        <w:rPr>
          <w:rFonts w:hint="cs"/>
          <w:b/>
          <w:bCs/>
          <w:sz w:val="48"/>
          <w:szCs w:val="48"/>
          <w:rtl/>
        </w:rPr>
        <w:t>(ق)</w:t>
      </w:r>
    </w:p>
    <w:p w:rsidR="00284270" w:rsidRDefault="00284270">
      <w:pPr>
        <w:rPr>
          <w:rtl/>
        </w:rPr>
      </w:pPr>
    </w:p>
    <w:p w:rsidR="00284270" w:rsidRDefault="00284270">
      <w:pPr>
        <w:rPr>
          <w:sz w:val="32"/>
          <w:szCs w:val="32"/>
          <w:rtl/>
        </w:rPr>
      </w:pPr>
      <w:r>
        <w:rPr>
          <w:rFonts w:hint="cs"/>
          <w:b/>
          <w:bCs/>
          <w:sz w:val="32"/>
          <w:szCs w:val="32"/>
          <w:rtl/>
        </w:rPr>
        <w:t>قاس</w:t>
      </w:r>
      <w:r>
        <w:rPr>
          <w:rFonts w:hint="cs"/>
          <w:sz w:val="32"/>
          <w:szCs w:val="32"/>
          <w:rtl/>
        </w:rPr>
        <w:tab/>
      </w:r>
      <w:r>
        <w:rPr>
          <w:sz w:val="32"/>
          <w:szCs w:val="32"/>
        </w:rPr>
        <w:tab/>
      </w:r>
      <w:r>
        <w:rPr>
          <w:rFonts w:hint="cs"/>
          <w:sz w:val="32"/>
          <w:szCs w:val="32"/>
          <w:rtl/>
        </w:rPr>
        <w:t xml:space="preserve">: ق221 </w:t>
      </w:r>
      <w:r>
        <w:rPr>
          <w:sz w:val="32"/>
          <w:szCs w:val="32"/>
        </w:rPr>
        <w:tab/>
      </w:r>
      <w:r>
        <w:rPr>
          <w:rFonts w:hint="cs"/>
          <w:sz w:val="32"/>
          <w:szCs w:val="32"/>
          <w:rtl/>
        </w:rPr>
        <w:t xml:space="preserve">: مَا ثَبَتَ عَلَى خِلاَفِ </w:t>
      </w:r>
      <w:r>
        <w:rPr>
          <w:rFonts w:hint="cs"/>
          <w:b/>
          <w:bCs/>
          <w:sz w:val="32"/>
          <w:szCs w:val="32"/>
          <w:rtl/>
        </w:rPr>
        <w:t>القِيَاسِ</w:t>
      </w:r>
      <w:r>
        <w:rPr>
          <w:rFonts w:hint="cs"/>
          <w:sz w:val="32"/>
          <w:szCs w:val="32"/>
          <w:rtl/>
        </w:rPr>
        <w:t xml:space="preserve"> فَغَيْرُهُ لاَ </w:t>
      </w:r>
      <w:r>
        <w:rPr>
          <w:rFonts w:hint="cs"/>
          <w:b/>
          <w:bCs/>
          <w:sz w:val="32"/>
          <w:szCs w:val="32"/>
          <w:rtl/>
        </w:rPr>
        <w:t>يُقَاسُ</w:t>
      </w:r>
      <w:r>
        <w:rPr>
          <w:rFonts w:hint="cs"/>
          <w:sz w:val="32"/>
          <w:szCs w:val="32"/>
          <w:rtl/>
        </w:rPr>
        <w:t xml:space="preserve"> عَلَيْهِ.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ق248 </w:t>
      </w:r>
      <w:r>
        <w:rPr>
          <w:sz w:val="32"/>
          <w:szCs w:val="32"/>
        </w:rPr>
        <w:tab/>
      </w:r>
      <w:r>
        <w:rPr>
          <w:rFonts w:hint="cs"/>
          <w:sz w:val="32"/>
          <w:szCs w:val="32"/>
          <w:rtl/>
        </w:rPr>
        <w:t xml:space="preserve">: النَصُّ على خلافِ </w:t>
      </w:r>
      <w:r>
        <w:rPr>
          <w:rFonts w:hint="cs"/>
          <w:b/>
          <w:bCs/>
          <w:sz w:val="32"/>
          <w:szCs w:val="32"/>
          <w:rtl/>
        </w:rPr>
        <w:t>القياسِ</w:t>
      </w:r>
      <w:r>
        <w:rPr>
          <w:rFonts w:hint="cs"/>
          <w:sz w:val="32"/>
          <w:szCs w:val="32"/>
          <w:rtl/>
        </w:rPr>
        <w:t xml:space="preserve"> يَقْتَصِرُ عَلَى مَوْرِدِهِ.</w:t>
      </w:r>
    </w:p>
    <w:p w:rsidR="00284270" w:rsidRDefault="00284270">
      <w:pPr>
        <w:rPr>
          <w:sz w:val="32"/>
          <w:szCs w:val="32"/>
          <w:rtl/>
        </w:rPr>
      </w:pPr>
      <w:r>
        <w:rPr>
          <w:rFonts w:hint="cs"/>
          <w:b/>
          <w:bCs/>
          <w:sz w:val="32"/>
          <w:szCs w:val="32"/>
          <w:rtl/>
        </w:rPr>
        <w:t>قال</w:t>
      </w:r>
      <w:r>
        <w:rPr>
          <w:rFonts w:hint="cs"/>
          <w:sz w:val="32"/>
          <w:szCs w:val="32"/>
          <w:rtl/>
        </w:rPr>
        <w:tab/>
      </w:r>
      <w:r>
        <w:rPr>
          <w:sz w:val="32"/>
          <w:szCs w:val="32"/>
        </w:rPr>
        <w:tab/>
      </w:r>
      <w:r>
        <w:rPr>
          <w:rFonts w:hint="cs"/>
          <w:sz w:val="32"/>
          <w:szCs w:val="32"/>
          <w:rtl/>
        </w:rPr>
        <w:t xml:space="preserve">: ق183 </w:t>
      </w:r>
      <w:r>
        <w:rPr>
          <w:sz w:val="32"/>
          <w:szCs w:val="32"/>
        </w:rPr>
        <w:tab/>
      </w:r>
      <w:r>
        <w:rPr>
          <w:rFonts w:hint="cs"/>
          <w:sz w:val="32"/>
          <w:szCs w:val="32"/>
          <w:rtl/>
        </w:rPr>
        <w:t xml:space="preserve">: </w:t>
      </w:r>
      <w:r>
        <w:rPr>
          <w:rFonts w:hint="cs"/>
          <w:b/>
          <w:bCs/>
          <w:sz w:val="32"/>
          <w:szCs w:val="32"/>
          <w:rtl/>
        </w:rPr>
        <w:t>القَوْلُ قَوْلُ</w:t>
      </w:r>
      <w:r>
        <w:rPr>
          <w:rFonts w:hint="cs"/>
          <w:sz w:val="32"/>
          <w:szCs w:val="32"/>
          <w:rtl/>
        </w:rPr>
        <w:t xml:space="preserve"> القَابِضِ.</w:t>
      </w:r>
    </w:p>
    <w:p w:rsidR="00284270" w:rsidRDefault="00284270" w:rsidP="0022714B">
      <w:pPr>
        <w:ind w:left="2833" w:hanging="2266"/>
        <w:rPr>
          <w:sz w:val="32"/>
          <w:szCs w:val="32"/>
          <w:rtl/>
        </w:rPr>
      </w:pPr>
      <w:r>
        <w:rPr>
          <w:rFonts w:hint="cs"/>
          <w:sz w:val="32"/>
          <w:szCs w:val="32"/>
          <w:rtl/>
        </w:rPr>
        <w:t xml:space="preserve">               ق237 </w:t>
      </w:r>
      <w:r>
        <w:rPr>
          <w:rFonts w:hint="cs"/>
          <w:sz w:val="32"/>
          <w:szCs w:val="32"/>
          <w:rtl/>
        </w:rPr>
        <w:tab/>
        <w:t xml:space="preserve">: </w:t>
      </w:r>
      <w:r>
        <w:rPr>
          <w:rFonts w:hint="eastAsia"/>
          <w:sz w:val="32"/>
          <w:szCs w:val="32"/>
          <w:rtl/>
        </w:rPr>
        <w:t>مَنْ</w:t>
      </w:r>
      <w:r>
        <w:rPr>
          <w:sz w:val="32"/>
          <w:szCs w:val="32"/>
          <w:rtl/>
        </w:rPr>
        <w:t xml:space="preserve"> جُعِلَ </w:t>
      </w:r>
      <w:r>
        <w:rPr>
          <w:rFonts w:hint="eastAsia"/>
          <w:b/>
          <w:bCs/>
          <w:sz w:val="32"/>
          <w:szCs w:val="32"/>
          <w:rtl/>
        </w:rPr>
        <w:t>القوْلُ</w:t>
      </w:r>
      <w:r>
        <w:rPr>
          <w:b/>
          <w:bCs/>
          <w:sz w:val="32"/>
          <w:szCs w:val="32"/>
          <w:rtl/>
        </w:rPr>
        <w:t xml:space="preserve"> قولَهُ</w:t>
      </w:r>
      <w:r>
        <w:rPr>
          <w:sz w:val="32"/>
          <w:szCs w:val="32"/>
          <w:rtl/>
        </w:rPr>
        <w:t xml:space="preserve">، فِيمَا كَانَ هُوَ خَصْمًا فِيهِ، والشيءُ ممّا يَصِحُّ بَذْلُهُ : كَانَ </w:t>
      </w:r>
      <w:r>
        <w:rPr>
          <w:b/>
          <w:bCs/>
          <w:sz w:val="32"/>
          <w:szCs w:val="32"/>
          <w:rtl/>
        </w:rPr>
        <w:t>القَوْلُ قَوْلَهُ</w:t>
      </w:r>
      <w:r>
        <w:rPr>
          <w:sz w:val="32"/>
          <w:szCs w:val="32"/>
          <w:rtl/>
        </w:rPr>
        <w:t xml:space="preserve"> مَعَ يَمِينِهِ</w:t>
      </w:r>
      <w:r>
        <w:rPr>
          <w:rFonts w:hint="cs"/>
          <w:sz w:val="32"/>
          <w:szCs w:val="32"/>
          <w:rtl/>
        </w:rPr>
        <w:t>.</w:t>
      </w:r>
    </w:p>
    <w:p w:rsidR="00284270" w:rsidRDefault="00284270" w:rsidP="0022714B">
      <w:pPr>
        <w:ind w:left="2833" w:hanging="2266"/>
        <w:rPr>
          <w:sz w:val="32"/>
          <w:szCs w:val="32"/>
          <w:rtl/>
        </w:rPr>
      </w:pPr>
      <w:r>
        <w:rPr>
          <w:rFonts w:hint="cs"/>
          <w:b/>
          <w:bCs/>
          <w:sz w:val="32"/>
          <w:szCs w:val="32"/>
          <w:rtl/>
        </w:rPr>
        <w:t>قام</w:t>
      </w:r>
      <w:r>
        <w:rPr>
          <w:rFonts w:hint="cs"/>
          <w:sz w:val="32"/>
          <w:szCs w:val="32"/>
          <w:rtl/>
        </w:rPr>
        <w:t xml:space="preserve">          : ق99 </w:t>
      </w:r>
      <w:r>
        <w:rPr>
          <w:sz w:val="32"/>
          <w:szCs w:val="32"/>
        </w:rPr>
        <w:tab/>
      </w:r>
      <w:r>
        <w:rPr>
          <w:rFonts w:hint="cs"/>
          <w:sz w:val="32"/>
          <w:szCs w:val="32"/>
          <w:rtl/>
        </w:rPr>
        <w:t xml:space="preserve">: جَازَ </w:t>
      </w:r>
      <w:r>
        <w:rPr>
          <w:rFonts w:hint="cs"/>
          <w:b/>
          <w:bCs/>
          <w:sz w:val="32"/>
          <w:szCs w:val="32"/>
          <w:rtl/>
        </w:rPr>
        <w:t>إقامةُ</w:t>
      </w:r>
      <w:r>
        <w:rPr>
          <w:rFonts w:hint="cs"/>
          <w:sz w:val="32"/>
          <w:szCs w:val="32"/>
          <w:rtl/>
        </w:rPr>
        <w:t xml:space="preserve"> البَّيِنَةِ مَعَ الإقرارِ في كلِّ موضعٍ يُتوقَّعُ الضررُ مِنْ غيرِالمُقِرِّ لولاها.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ق127 </w:t>
      </w:r>
      <w:r>
        <w:rPr>
          <w:sz w:val="32"/>
          <w:szCs w:val="32"/>
        </w:rPr>
        <w:tab/>
      </w:r>
      <w:r>
        <w:rPr>
          <w:rFonts w:hint="cs"/>
          <w:sz w:val="32"/>
          <w:szCs w:val="32"/>
          <w:rtl/>
        </w:rPr>
        <w:t xml:space="preserve">: دليلُ الشَّيءِ فِي الأمورِ الباطنةِ </w:t>
      </w:r>
      <w:r>
        <w:rPr>
          <w:rFonts w:hint="cs"/>
          <w:b/>
          <w:bCs/>
          <w:sz w:val="32"/>
          <w:szCs w:val="32"/>
          <w:rtl/>
        </w:rPr>
        <w:t>يقومُ مقامَهُ</w:t>
      </w:r>
      <w:r>
        <w:rPr>
          <w:rFonts w:hint="cs"/>
          <w:sz w:val="32"/>
          <w:szCs w:val="32"/>
          <w:rtl/>
        </w:rPr>
        <w:t xml:space="preserve">. </w:t>
      </w:r>
    </w:p>
    <w:p w:rsidR="00284270" w:rsidRDefault="00284270">
      <w:pPr>
        <w:rPr>
          <w:sz w:val="32"/>
          <w:szCs w:val="32"/>
          <w:rtl/>
        </w:rPr>
      </w:pPr>
      <w:r>
        <w:rPr>
          <w:rFonts w:hint="cs"/>
          <w:b/>
          <w:bCs/>
          <w:sz w:val="32"/>
          <w:szCs w:val="32"/>
          <w:rtl/>
        </w:rPr>
        <w:t>قبض</w:t>
      </w:r>
      <w:r>
        <w:rPr>
          <w:rFonts w:hint="cs"/>
          <w:sz w:val="32"/>
          <w:szCs w:val="32"/>
          <w:rtl/>
        </w:rPr>
        <w:tab/>
      </w:r>
      <w:r>
        <w:rPr>
          <w:sz w:val="32"/>
          <w:szCs w:val="32"/>
        </w:rPr>
        <w:tab/>
      </w:r>
      <w:r>
        <w:rPr>
          <w:rFonts w:hint="cs"/>
          <w:sz w:val="32"/>
          <w:szCs w:val="32"/>
          <w:rtl/>
        </w:rPr>
        <w:t xml:space="preserve">: ق69 </w:t>
      </w:r>
      <w:r>
        <w:rPr>
          <w:sz w:val="32"/>
          <w:szCs w:val="32"/>
        </w:rPr>
        <w:tab/>
      </w:r>
      <w:r>
        <w:rPr>
          <w:rFonts w:hint="cs"/>
          <w:sz w:val="32"/>
          <w:szCs w:val="32"/>
          <w:rtl/>
        </w:rPr>
        <w:tab/>
        <w:t xml:space="preserve">: التَّبَرُّعُ لا يتمُّ إلا </w:t>
      </w:r>
      <w:r>
        <w:rPr>
          <w:rFonts w:hint="cs"/>
          <w:b/>
          <w:bCs/>
          <w:sz w:val="32"/>
          <w:szCs w:val="32"/>
          <w:rtl/>
        </w:rPr>
        <w:t>بالقبضِ</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ق81 </w:t>
      </w:r>
      <w:r>
        <w:rPr>
          <w:sz w:val="32"/>
          <w:szCs w:val="32"/>
        </w:rPr>
        <w:tab/>
      </w:r>
      <w:r>
        <w:rPr>
          <w:rFonts w:hint="cs"/>
          <w:sz w:val="32"/>
          <w:szCs w:val="32"/>
          <w:rtl/>
        </w:rPr>
        <w:tab/>
        <w:t xml:space="preserve">: تَفريقُ الصَّفقَة قبل </w:t>
      </w:r>
      <w:r>
        <w:rPr>
          <w:rFonts w:hint="cs"/>
          <w:b/>
          <w:bCs/>
          <w:sz w:val="32"/>
          <w:szCs w:val="32"/>
          <w:rtl/>
        </w:rPr>
        <w:t>القبْض</w:t>
      </w:r>
      <w:r>
        <w:rPr>
          <w:rFonts w:hint="cs"/>
          <w:sz w:val="32"/>
          <w:szCs w:val="32"/>
          <w:rtl/>
        </w:rPr>
        <w:t xml:space="preserve"> لاَ يجُوز. </w:t>
      </w:r>
    </w:p>
    <w:p w:rsidR="00284270" w:rsidRDefault="00284270" w:rsidP="0022714B">
      <w:pPr>
        <w:ind w:left="2833" w:hanging="2266"/>
        <w:rPr>
          <w:sz w:val="32"/>
          <w:szCs w:val="32"/>
          <w:rtl/>
        </w:rPr>
      </w:pPr>
      <w:r>
        <w:rPr>
          <w:rFonts w:hint="cs"/>
          <w:sz w:val="32"/>
          <w:szCs w:val="32"/>
          <w:rtl/>
        </w:rPr>
        <w:t xml:space="preserve">               ق179 </w:t>
      </w:r>
      <w:r>
        <w:rPr>
          <w:sz w:val="32"/>
          <w:szCs w:val="32"/>
        </w:rPr>
        <w:tab/>
      </w:r>
      <w:r>
        <w:rPr>
          <w:rFonts w:hint="cs"/>
          <w:sz w:val="32"/>
          <w:szCs w:val="32"/>
          <w:rtl/>
        </w:rPr>
        <w:t xml:space="preserve">: </w:t>
      </w:r>
      <w:r>
        <w:rPr>
          <w:rFonts w:hint="cs"/>
          <w:b/>
          <w:bCs/>
          <w:sz w:val="32"/>
          <w:szCs w:val="32"/>
          <w:rtl/>
        </w:rPr>
        <w:t>القَبْضُ</w:t>
      </w:r>
      <w:r>
        <w:rPr>
          <w:rFonts w:hint="cs"/>
          <w:sz w:val="32"/>
          <w:szCs w:val="32"/>
          <w:rtl/>
        </w:rPr>
        <w:t xml:space="preserve"> إنَّمَا يُعْتَبَرُ فِي انتقالِ المِلْكِ، لاَ فِي دَعْوَى المِلْكِ القَدِيمِ.</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ق183 </w:t>
      </w:r>
      <w:r>
        <w:rPr>
          <w:sz w:val="32"/>
          <w:szCs w:val="32"/>
        </w:rPr>
        <w:tab/>
      </w:r>
      <w:r>
        <w:rPr>
          <w:rFonts w:hint="cs"/>
          <w:sz w:val="32"/>
          <w:szCs w:val="32"/>
          <w:rtl/>
        </w:rPr>
        <w:t xml:space="preserve">: القَوْلُ قَوْلُ </w:t>
      </w:r>
      <w:r>
        <w:rPr>
          <w:rFonts w:hint="cs"/>
          <w:b/>
          <w:bCs/>
          <w:sz w:val="32"/>
          <w:szCs w:val="32"/>
          <w:rtl/>
        </w:rPr>
        <w:t>القَابِضِ</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ق217 </w:t>
      </w:r>
      <w:r>
        <w:rPr>
          <w:sz w:val="32"/>
          <w:szCs w:val="32"/>
        </w:rPr>
        <w:tab/>
      </w:r>
      <w:r>
        <w:rPr>
          <w:rFonts w:hint="cs"/>
          <w:sz w:val="32"/>
          <w:szCs w:val="32"/>
          <w:rtl/>
        </w:rPr>
        <w:t xml:space="preserve">: مَا فِي الذِّمَّةِ لاَ يَتَعَيَّنُ إلاَّ </w:t>
      </w:r>
      <w:r>
        <w:rPr>
          <w:rFonts w:hint="cs"/>
          <w:b/>
          <w:bCs/>
          <w:sz w:val="32"/>
          <w:szCs w:val="32"/>
          <w:rtl/>
        </w:rPr>
        <w:t>بِالقَبْضِ</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ق233 </w:t>
      </w:r>
      <w:r>
        <w:rPr>
          <w:sz w:val="32"/>
          <w:szCs w:val="32"/>
        </w:rPr>
        <w:tab/>
      </w:r>
      <w:r>
        <w:rPr>
          <w:rFonts w:hint="cs"/>
          <w:sz w:val="32"/>
          <w:szCs w:val="32"/>
          <w:rtl/>
        </w:rPr>
        <w:t xml:space="preserve">: </w:t>
      </w:r>
      <w:r>
        <w:rPr>
          <w:rFonts w:hint="cs"/>
          <w:b/>
          <w:bCs/>
          <w:sz w:val="32"/>
          <w:szCs w:val="32"/>
          <w:rtl/>
        </w:rPr>
        <w:t>المَقْبُوض</w:t>
      </w:r>
      <w:r>
        <w:rPr>
          <w:rFonts w:hint="cs"/>
          <w:sz w:val="32"/>
          <w:szCs w:val="32"/>
          <w:rtl/>
        </w:rPr>
        <w:t>ُ عَلَى سَوْمِ الشِّرَاءِ مَضْمُونٌ بِقِيمَتِهِ.</w:t>
      </w:r>
    </w:p>
    <w:p w:rsidR="00284270" w:rsidRDefault="00284270">
      <w:pPr>
        <w:rPr>
          <w:sz w:val="32"/>
          <w:szCs w:val="32"/>
          <w:rtl/>
        </w:rPr>
      </w:pPr>
      <w:r>
        <w:rPr>
          <w:rFonts w:hint="cs"/>
          <w:b/>
          <w:bCs/>
          <w:sz w:val="32"/>
          <w:szCs w:val="32"/>
          <w:rtl/>
        </w:rPr>
        <w:t>قبل</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ق58 </w:t>
      </w:r>
      <w:r>
        <w:rPr>
          <w:sz w:val="32"/>
          <w:szCs w:val="32"/>
        </w:rPr>
        <w:tab/>
      </w:r>
      <w:r>
        <w:rPr>
          <w:rFonts w:hint="cs"/>
          <w:sz w:val="32"/>
          <w:szCs w:val="32"/>
          <w:rtl/>
        </w:rPr>
        <w:tab/>
        <w:t xml:space="preserve">: </w:t>
      </w:r>
      <w:r>
        <w:rPr>
          <w:rFonts w:hint="eastAsia"/>
          <w:sz w:val="32"/>
          <w:szCs w:val="32"/>
          <w:rtl/>
        </w:rPr>
        <w:t>بَـيِّـنةُ</w:t>
      </w:r>
      <w:r>
        <w:rPr>
          <w:sz w:val="32"/>
          <w:szCs w:val="32"/>
          <w:rtl/>
        </w:rPr>
        <w:t xml:space="preserve"> الن</w:t>
      </w:r>
      <w:r>
        <w:rPr>
          <w:rFonts w:hint="cs"/>
          <w:sz w:val="32"/>
          <w:szCs w:val="32"/>
          <w:rtl/>
        </w:rPr>
        <w:t>َّ</w:t>
      </w:r>
      <w:r>
        <w:rPr>
          <w:sz w:val="32"/>
          <w:szCs w:val="32"/>
          <w:rtl/>
        </w:rPr>
        <w:t>ف</w:t>
      </w:r>
      <w:r>
        <w:rPr>
          <w:rFonts w:hint="cs"/>
          <w:sz w:val="32"/>
          <w:szCs w:val="32"/>
          <w:rtl/>
        </w:rPr>
        <w:t>ْ</w:t>
      </w:r>
      <w:r>
        <w:rPr>
          <w:sz w:val="32"/>
          <w:szCs w:val="32"/>
          <w:rtl/>
        </w:rPr>
        <w:t>ي</w:t>
      </w:r>
      <w:r>
        <w:rPr>
          <w:rFonts w:hint="cs"/>
          <w:sz w:val="32"/>
          <w:szCs w:val="32"/>
          <w:rtl/>
        </w:rPr>
        <w:t>ِ</w:t>
      </w:r>
      <w:r>
        <w:rPr>
          <w:sz w:val="32"/>
          <w:szCs w:val="32"/>
          <w:rtl/>
        </w:rPr>
        <w:t xml:space="preserve"> </w:t>
      </w:r>
      <w:r>
        <w:rPr>
          <w:rFonts w:hint="eastAsia"/>
          <w:sz w:val="32"/>
          <w:szCs w:val="32"/>
          <w:rtl/>
        </w:rPr>
        <w:t>غ</w:t>
      </w:r>
      <w:r>
        <w:rPr>
          <w:rFonts w:hint="cs"/>
          <w:sz w:val="32"/>
          <w:szCs w:val="32"/>
          <w:rtl/>
        </w:rPr>
        <w:t>َ</w:t>
      </w:r>
      <w:r>
        <w:rPr>
          <w:rFonts w:hint="eastAsia"/>
          <w:sz w:val="32"/>
          <w:szCs w:val="32"/>
          <w:rtl/>
        </w:rPr>
        <w:t>ي</w:t>
      </w:r>
      <w:r>
        <w:rPr>
          <w:rFonts w:hint="cs"/>
          <w:sz w:val="32"/>
          <w:szCs w:val="32"/>
          <w:rtl/>
        </w:rPr>
        <w:t>ْ</w:t>
      </w:r>
      <w:r>
        <w:rPr>
          <w:rFonts w:hint="eastAsia"/>
          <w:sz w:val="32"/>
          <w:szCs w:val="32"/>
          <w:rtl/>
        </w:rPr>
        <w:t>ر</w:t>
      </w:r>
      <w:r>
        <w:rPr>
          <w:rFonts w:hint="cs"/>
          <w:sz w:val="32"/>
          <w:szCs w:val="32"/>
          <w:rtl/>
        </w:rPr>
        <w:t>ُ</w:t>
      </w:r>
      <w:r>
        <w:rPr>
          <w:sz w:val="32"/>
          <w:szCs w:val="32"/>
          <w:rtl/>
        </w:rPr>
        <w:t xml:space="preserve"> </w:t>
      </w:r>
      <w:r>
        <w:rPr>
          <w:b/>
          <w:bCs/>
          <w:sz w:val="32"/>
          <w:szCs w:val="32"/>
          <w:rtl/>
        </w:rPr>
        <w:t>م</w:t>
      </w:r>
      <w:r>
        <w:rPr>
          <w:rFonts w:hint="cs"/>
          <w:b/>
          <w:bCs/>
          <w:sz w:val="32"/>
          <w:szCs w:val="32"/>
          <w:rtl/>
        </w:rPr>
        <w:t>َ</w:t>
      </w:r>
      <w:r>
        <w:rPr>
          <w:b/>
          <w:bCs/>
          <w:sz w:val="32"/>
          <w:szCs w:val="32"/>
          <w:rtl/>
        </w:rPr>
        <w:t>ق</w:t>
      </w:r>
      <w:r>
        <w:rPr>
          <w:rFonts w:hint="cs"/>
          <w:b/>
          <w:bCs/>
          <w:sz w:val="32"/>
          <w:szCs w:val="32"/>
          <w:rtl/>
        </w:rPr>
        <w:t>ْ</w:t>
      </w:r>
      <w:r>
        <w:rPr>
          <w:b/>
          <w:bCs/>
          <w:sz w:val="32"/>
          <w:szCs w:val="32"/>
          <w:rtl/>
        </w:rPr>
        <w:t>ب</w:t>
      </w:r>
      <w:r>
        <w:rPr>
          <w:rFonts w:hint="cs"/>
          <w:b/>
          <w:bCs/>
          <w:sz w:val="32"/>
          <w:szCs w:val="32"/>
          <w:rtl/>
        </w:rPr>
        <w:t>ُ</w:t>
      </w:r>
      <w:r>
        <w:rPr>
          <w:b/>
          <w:bCs/>
          <w:sz w:val="32"/>
          <w:szCs w:val="32"/>
          <w:rtl/>
        </w:rPr>
        <w:t>ول</w:t>
      </w:r>
      <w:r>
        <w:rPr>
          <w:rFonts w:hint="cs"/>
          <w:b/>
          <w:bCs/>
          <w:sz w:val="32"/>
          <w:szCs w:val="32"/>
          <w:rtl/>
        </w:rPr>
        <w:t>َـ</w:t>
      </w:r>
      <w:r>
        <w:rPr>
          <w:b/>
          <w:bCs/>
          <w:sz w:val="32"/>
          <w:szCs w:val="32"/>
          <w:rtl/>
        </w:rPr>
        <w:t>ةٍ</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ق110 </w:t>
      </w:r>
      <w:r>
        <w:rPr>
          <w:sz w:val="32"/>
          <w:szCs w:val="32"/>
        </w:rPr>
        <w:tab/>
      </w:r>
      <w:r>
        <w:rPr>
          <w:rFonts w:hint="cs"/>
          <w:sz w:val="32"/>
          <w:szCs w:val="32"/>
          <w:rtl/>
        </w:rPr>
        <w:t>: الحالُ تَدُلُّ على ما</w:t>
      </w:r>
      <w:r>
        <w:rPr>
          <w:rFonts w:hint="cs"/>
          <w:bCs/>
          <w:sz w:val="32"/>
          <w:szCs w:val="32"/>
          <w:rtl/>
        </w:rPr>
        <w:t xml:space="preserve"> </w:t>
      </w:r>
      <w:r>
        <w:rPr>
          <w:rFonts w:hint="cs"/>
          <w:sz w:val="32"/>
          <w:szCs w:val="32"/>
          <w:rtl/>
        </w:rPr>
        <w:t xml:space="preserve"> </w:t>
      </w:r>
      <w:r>
        <w:rPr>
          <w:rFonts w:hint="cs"/>
          <w:b/>
          <w:bCs/>
          <w:sz w:val="32"/>
          <w:szCs w:val="32"/>
          <w:rtl/>
        </w:rPr>
        <w:t>قَبْلَهَا</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ق254 </w:t>
      </w:r>
      <w:r>
        <w:rPr>
          <w:sz w:val="32"/>
          <w:szCs w:val="32"/>
        </w:rPr>
        <w:tab/>
      </w:r>
      <w:r>
        <w:rPr>
          <w:rFonts w:hint="cs"/>
          <w:sz w:val="32"/>
          <w:szCs w:val="32"/>
          <w:rtl/>
        </w:rPr>
        <w:t xml:space="preserve">: الوَصْفُ </w:t>
      </w:r>
      <w:r>
        <w:rPr>
          <w:rFonts w:hint="cs"/>
          <w:b/>
          <w:bCs/>
          <w:sz w:val="32"/>
          <w:szCs w:val="32"/>
          <w:rtl/>
        </w:rPr>
        <w:t>يُقَابِلُهُ</w:t>
      </w:r>
      <w:r>
        <w:rPr>
          <w:rFonts w:hint="cs"/>
          <w:sz w:val="32"/>
          <w:szCs w:val="32"/>
          <w:rtl/>
        </w:rPr>
        <w:t xml:space="preserve"> شَيْءٌ مِنَ الثَّمَنِ إِذَا كَانَ مَقْصُودًا بالتَّنَاوُلِ.</w:t>
      </w:r>
    </w:p>
    <w:p w:rsidR="00284270" w:rsidRDefault="00284270" w:rsidP="0022714B">
      <w:pPr>
        <w:ind w:left="2833" w:hanging="2266"/>
        <w:rPr>
          <w:sz w:val="32"/>
          <w:szCs w:val="32"/>
          <w:rtl/>
        </w:rPr>
      </w:pPr>
      <w:r>
        <w:rPr>
          <w:rFonts w:hint="cs"/>
          <w:b/>
          <w:bCs/>
          <w:sz w:val="32"/>
          <w:szCs w:val="32"/>
          <w:rtl/>
        </w:rPr>
        <w:t>قتل</w:t>
      </w:r>
      <w:r>
        <w:rPr>
          <w:rFonts w:hint="cs"/>
          <w:sz w:val="32"/>
          <w:szCs w:val="32"/>
          <w:rtl/>
        </w:rPr>
        <w:t xml:space="preserve">        :  ق266 </w:t>
      </w:r>
      <w:r>
        <w:rPr>
          <w:sz w:val="32"/>
          <w:szCs w:val="32"/>
        </w:rPr>
        <w:tab/>
      </w:r>
      <w:r>
        <w:rPr>
          <w:rFonts w:hint="cs"/>
          <w:sz w:val="32"/>
          <w:szCs w:val="32"/>
          <w:rtl/>
        </w:rPr>
        <w:t xml:space="preserve">: يَوْمُ المَوْتِ لاَ يَدْخُلُ تَحْتَ القَضَاءِ، بِخِلاَفِ يَوْمِ </w:t>
      </w:r>
      <w:r>
        <w:rPr>
          <w:rFonts w:hint="cs"/>
          <w:b/>
          <w:bCs/>
          <w:sz w:val="32"/>
          <w:szCs w:val="32"/>
          <w:rtl/>
        </w:rPr>
        <w:t>القَتْلِ</w:t>
      </w:r>
      <w:r>
        <w:rPr>
          <w:rFonts w:hint="cs"/>
          <w:sz w:val="32"/>
          <w:szCs w:val="32"/>
          <w:rtl/>
        </w:rPr>
        <w:t>.</w:t>
      </w:r>
    </w:p>
    <w:p w:rsidR="00284270" w:rsidRDefault="00284270" w:rsidP="0022714B">
      <w:pPr>
        <w:ind w:left="2833" w:hanging="2266"/>
        <w:rPr>
          <w:sz w:val="32"/>
          <w:szCs w:val="32"/>
          <w:rtl/>
        </w:rPr>
      </w:pPr>
      <w:r>
        <w:rPr>
          <w:rFonts w:hint="cs"/>
          <w:b/>
          <w:bCs/>
          <w:sz w:val="32"/>
          <w:szCs w:val="32"/>
          <w:rtl/>
        </w:rPr>
        <w:t>قدر</w:t>
      </w:r>
      <w:r>
        <w:rPr>
          <w:rFonts w:hint="cs"/>
          <w:sz w:val="32"/>
          <w:szCs w:val="32"/>
          <w:rtl/>
        </w:rPr>
        <w:t xml:space="preserve">        :  ق84 </w:t>
      </w:r>
      <w:r>
        <w:rPr>
          <w:sz w:val="32"/>
          <w:szCs w:val="32"/>
        </w:rPr>
        <w:tab/>
      </w:r>
      <w:r>
        <w:rPr>
          <w:rFonts w:hint="cs"/>
          <w:sz w:val="32"/>
          <w:szCs w:val="32"/>
          <w:rtl/>
        </w:rPr>
        <w:t xml:space="preserve">: </w:t>
      </w:r>
      <w:r>
        <w:rPr>
          <w:rFonts w:hint="cs"/>
          <w:b/>
          <w:bCs/>
          <w:sz w:val="32"/>
          <w:szCs w:val="32"/>
          <w:rtl/>
        </w:rPr>
        <w:t>تَقْدِيْرُ</w:t>
      </w:r>
      <w:r>
        <w:rPr>
          <w:rFonts w:hint="cs"/>
          <w:sz w:val="32"/>
          <w:szCs w:val="32"/>
          <w:rtl/>
        </w:rPr>
        <w:t xml:space="preserve"> الشَّرعِ أَوْلَى مِنْ </w:t>
      </w:r>
      <w:r>
        <w:rPr>
          <w:rFonts w:hint="cs"/>
          <w:b/>
          <w:bCs/>
          <w:sz w:val="32"/>
          <w:szCs w:val="32"/>
          <w:rtl/>
        </w:rPr>
        <w:t>تقدِيرِ</w:t>
      </w:r>
      <w:r>
        <w:rPr>
          <w:rFonts w:hint="cs"/>
          <w:sz w:val="32"/>
          <w:szCs w:val="32"/>
          <w:rtl/>
        </w:rPr>
        <w:t xml:space="preserve"> القاضِي، فَلاَ يَجُوزُ الزِّيادةُ عليهِ.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ق97 </w:t>
      </w:r>
      <w:r>
        <w:rPr>
          <w:sz w:val="32"/>
          <w:szCs w:val="32"/>
        </w:rPr>
        <w:tab/>
      </w:r>
      <w:r>
        <w:rPr>
          <w:rFonts w:hint="cs"/>
          <w:sz w:val="32"/>
          <w:szCs w:val="32"/>
          <w:rtl/>
        </w:rPr>
        <w:tab/>
        <w:t xml:space="preserve">: الثَّابتُ بالضَّرورةِ </w:t>
      </w:r>
      <w:r>
        <w:rPr>
          <w:rFonts w:hint="cs"/>
          <w:b/>
          <w:bCs/>
          <w:sz w:val="32"/>
          <w:szCs w:val="32"/>
          <w:rtl/>
        </w:rPr>
        <w:t>يتقدَّر</w:t>
      </w:r>
      <w:r>
        <w:rPr>
          <w:rFonts w:hint="cs"/>
          <w:sz w:val="32"/>
          <w:szCs w:val="32"/>
          <w:rtl/>
        </w:rPr>
        <w:t xml:space="preserve">ُ </w:t>
      </w:r>
      <w:r>
        <w:rPr>
          <w:rFonts w:hint="cs"/>
          <w:b/>
          <w:bCs/>
          <w:sz w:val="32"/>
          <w:szCs w:val="32"/>
          <w:rtl/>
        </w:rPr>
        <w:t>بقدر</w:t>
      </w:r>
      <w:r>
        <w:rPr>
          <w:rFonts w:hint="cs"/>
          <w:sz w:val="32"/>
          <w:szCs w:val="32"/>
          <w:rtl/>
        </w:rPr>
        <w:t xml:space="preserve">ِ الضَّرورَةِ.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ق220 </w:t>
      </w:r>
      <w:r>
        <w:rPr>
          <w:sz w:val="32"/>
          <w:szCs w:val="32"/>
        </w:rPr>
        <w:tab/>
      </w:r>
      <w:r>
        <w:rPr>
          <w:rFonts w:hint="cs"/>
          <w:sz w:val="32"/>
          <w:szCs w:val="32"/>
          <w:rtl/>
        </w:rPr>
        <w:t xml:space="preserve">: مَا أُبِيحَ للضَّرُورَةِ </w:t>
      </w:r>
      <w:r>
        <w:rPr>
          <w:rFonts w:hint="cs"/>
          <w:b/>
          <w:bCs/>
          <w:sz w:val="32"/>
          <w:szCs w:val="32"/>
          <w:rtl/>
        </w:rPr>
        <w:t>يَتَقَدَّرُ بِقَدْرِهَا</w:t>
      </w:r>
      <w:r>
        <w:rPr>
          <w:rFonts w:hint="cs"/>
          <w:sz w:val="32"/>
          <w:szCs w:val="32"/>
          <w:rtl/>
        </w:rPr>
        <w:t>.</w:t>
      </w:r>
    </w:p>
    <w:p w:rsidR="00284270" w:rsidRDefault="00284270">
      <w:pPr>
        <w:rPr>
          <w:sz w:val="32"/>
          <w:szCs w:val="32"/>
          <w:rtl/>
        </w:rPr>
      </w:pPr>
      <w:r>
        <w:rPr>
          <w:rFonts w:hint="cs"/>
          <w:b/>
          <w:bCs/>
          <w:sz w:val="32"/>
          <w:szCs w:val="32"/>
          <w:rtl/>
        </w:rPr>
        <w:t>قدم</w:t>
      </w:r>
      <w:r>
        <w:rPr>
          <w:rFonts w:hint="cs"/>
          <w:sz w:val="32"/>
          <w:szCs w:val="32"/>
          <w:rtl/>
        </w:rPr>
        <w:tab/>
      </w:r>
      <w:r>
        <w:rPr>
          <w:sz w:val="32"/>
          <w:szCs w:val="32"/>
        </w:rPr>
        <w:tab/>
      </w:r>
      <w:r>
        <w:rPr>
          <w:rFonts w:hint="cs"/>
          <w:sz w:val="32"/>
          <w:szCs w:val="32"/>
          <w:rtl/>
        </w:rPr>
        <w:t xml:space="preserve">: ق65 </w:t>
      </w:r>
      <w:r>
        <w:rPr>
          <w:sz w:val="32"/>
          <w:szCs w:val="32"/>
        </w:rPr>
        <w:tab/>
      </w:r>
      <w:r>
        <w:rPr>
          <w:rFonts w:hint="cs"/>
          <w:sz w:val="32"/>
          <w:szCs w:val="32"/>
          <w:rtl/>
        </w:rPr>
        <w:tab/>
        <w:t xml:space="preserve">: التَّابِعُ لا </w:t>
      </w:r>
      <w:r>
        <w:rPr>
          <w:rFonts w:hint="cs"/>
          <w:b/>
          <w:bCs/>
          <w:sz w:val="32"/>
          <w:szCs w:val="32"/>
          <w:rtl/>
        </w:rPr>
        <w:t>يَتَقَدَّمُ</w:t>
      </w:r>
      <w:r>
        <w:rPr>
          <w:rFonts w:hint="cs"/>
          <w:sz w:val="32"/>
          <w:szCs w:val="32"/>
          <w:rtl/>
        </w:rPr>
        <w:t xml:space="preserve"> على المَتْبُوعِ.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ق176 </w:t>
      </w:r>
      <w:r>
        <w:rPr>
          <w:sz w:val="32"/>
          <w:szCs w:val="32"/>
        </w:rPr>
        <w:tab/>
      </w:r>
      <w:r>
        <w:rPr>
          <w:rFonts w:hint="cs"/>
          <w:sz w:val="32"/>
          <w:szCs w:val="32"/>
          <w:rtl/>
        </w:rPr>
        <w:t xml:space="preserve">: القَدِيمُ يُتْرَكُ عَلَى </w:t>
      </w:r>
      <w:r>
        <w:rPr>
          <w:rFonts w:hint="cs"/>
          <w:b/>
          <w:bCs/>
          <w:sz w:val="32"/>
          <w:szCs w:val="32"/>
          <w:rtl/>
        </w:rPr>
        <w:t>قِدَمِهِ</w:t>
      </w:r>
      <w:r>
        <w:rPr>
          <w:rFonts w:hint="cs"/>
          <w:sz w:val="32"/>
          <w:szCs w:val="32"/>
          <w:rtl/>
        </w:rPr>
        <w:t>.</w:t>
      </w:r>
    </w:p>
    <w:p w:rsidR="00284270" w:rsidRDefault="00284270">
      <w:pPr>
        <w:rPr>
          <w:sz w:val="32"/>
          <w:szCs w:val="32"/>
          <w:rtl/>
        </w:rPr>
      </w:pPr>
      <w:r>
        <w:rPr>
          <w:rFonts w:hint="cs"/>
          <w:b/>
          <w:bCs/>
          <w:sz w:val="32"/>
          <w:szCs w:val="32"/>
          <w:rtl/>
        </w:rPr>
        <w:t>قرب</w:t>
      </w:r>
      <w:r>
        <w:rPr>
          <w:rFonts w:hint="cs"/>
          <w:sz w:val="32"/>
          <w:szCs w:val="32"/>
          <w:rtl/>
        </w:rPr>
        <w:tab/>
      </w:r>
      <w:r>
        <w:rPr>
          <w:sz w:val="32"/>
          <w:szCs w:val="32"/>
        </w:rPr>
        <w:tab/>
      </w:r>
      <w:r>
        <w:rPr>
          <w:rFonts w:hint="cs"/>
          <w:sz w:val="32"/>
          <w:szCs w:val="32"/>
          <w:rtl/>
        </w:rPr>
        <w:t xml:space="preserve">: ق109 </w:t>
      </w:r>
      <w:r>
        <w:rPr>
          <w:sz w:val="32"/>
          <w:szCs w:val="32"/>
        </w:rPr>
        <w:tab/>
      </w:r>
      <w:r>
        <w:rPr>
          <w:rFonts w:hint="cs"/>
          <w:sz w:val="32"/>
          <w:szCs w:val="32"/>
          <w:rtl/>
        </w:rPr>
        <w:t xml:space="preserve">: الحادثُ يُضَافُ إلى </w:t>
      </w:r>
      <w:r>
        <w:rPr>
          <w:rFonts w:hint="cs"/>
          <w:b/>
          <w:bCs/>
          <w:sz w:val="32"/>
          <w:szCs w:val="32"/>
          <w:rtl/>
        </w:rPr>
        <w:t>أقربِ</w:t>
      </w:r>
      <w:r>
        <w:rPr>
          <w:rFonts w:hint="cs"/>
          <w:sz w:val="32"/>
          <w:szCs w:val="32"/>
          <w:rtl/>
        </w:rPr>
        <w:t xml:space="preserve"> الأوقَاتِ.</w:t>
      </w:r>
    </w:p>
    <w:p w:rsidR="00284270" w:rsidRDefault="00284270">
      <w:pPr>
        <w:rPr>
          <w:sz w:val="32"/>
          <w:szCs w:val="32"/>
          <w:rtl/>
        </w:rPr>
      </w:pPr>
      <w:r>
        <w:rPr>
          <w:rFonts w:hint="cs"/>
          <w:b/>
          <w:bCs/>
          <w:sz w:val="32"/>
          <w:szCs w:val="32"/>
          <w:rtl/>
        </w:rPr>
        <w:t>قرر</w:t>
      </w:r>
      <w:r>
        <w:rPr>
          <w:rFonts w:hint="cs"/>
          <w:sz w:val="32"/>
          <w:szCs w:val="32"/>
          <w:rtl/>
        </w:rPr>
        <w:tab/>
      </w:r>
      <w:r>
        <w:rPr>
          <w:sz w:val="32"/>
          <w:szCs w:val="32"/>
        </w:rPr>
        <w:tab/>
      </w:r>
      <w:r>
        <w:rPr>
          <w:rFonts w:hint="cs"/>
          <w:sz w:val="32"/>
          <w:szCs w:val="32"/>
          <w:rtl/>
        </w:rPr>
        <w:t xml:space="preserve">: ق41 </w:t>
      </w:r>
      <w:r>
        <w:rPr>
          <w:sz w:val="32"/>
          <w:szCs w:val="32"/>
        </w:rPr>
        <w:tab/>
      </w:r>
      <w:r>
        <w:rPr>
          <w:rFonts w:hint="cs"/>
          <w:sz w:val="32"/>
          <w:szCs w:val="32"/>
          <w:rtl/>
        </w:rPr>
        <w:tab/>
        <w:t xml:space="preserve">: </w:t>
      </w:r>
      <w:r>
        <w:rPr>
          <w:rFonts w:hint="cs"/>
          <w:b/>
          <w:bCs/>
          <w:sz w:val="32"/>
          <w:szCs w:val="32"/>
          <w:rtl/>
        </w:rPr>
        <w:t>إِقْرَارُ</w:t>
      </w:r>
      <w:r>
        <w:rPr>
          <w:rFonts w:hint="cs"/>
          <w:sz w:val="32"/>
          <w:szCs w:val="32"/>
          <w:rtl/>
        </w:rPr>
        <w:t xml:space="preserve"> الإِنْسَانِ لَيْسَ بِحُجَّةٍ عَلَى غَيْرِهِ.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ق40 </w:t>
      </w:r>
      <w:r>
        <w:rPr>
          <w:sz w:val="32"/>
          <w:szCs w:val="32"/>
        </w:rPr>
        <w:tab/>
      </w:r>
      <w:r>
        <w:rPr>
          <w:rFonts w:hint="cs"/>
          <w:sz w:val="32"/>
          <w:szCs w:val="32"/>
          <w:rtl/>
        </w:rPr>
        <w:tab/>
        <w:t xml:space="preserve">: </w:t>
      </w:r>
      <w:r>
        <w:rPr>
          <w:rFonts w:hint="cs"/>
          <w:b/>
          <w:bCs/>
          <w:sz w:val="32"/>
          <w:szCs w:val="32"/>
          <w:rtl/>
        </w:rPr>
        <w:t>الإِقْرَار</w:t>
      </w:r>
      <w:r>
        <w:rPr>
          <w:rFonts w:hint="cs"/>
          <w:sz w:val="32"/>
          <w:szCs w:val="32"/>
          <w:rtl/>
        </w:rPr>
        <w:t xml:space="preserve">ُ بَعْدَ الدَّعوَى صَحِيحٌ، دُونَ العَكْسِ.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ق45 </w:t>
      </w:r>
      <w:r>
        <w:rPr>
          <w:sz w:val="32"/>
          <w:szCs w:val="32"/>
        </w:rPr>
        <w:tab/>
      </w:r>
      <w:r>
        <w:rPr>
          <w:rFonts w:hint="cs"/>
          <w:sz w:val="32"/>
          <w:szCs w:val="32"/>
          <w:rtl/>
        </w:rPr>
        <w:tab/>
        <w:t xml:space="preserve">: </w:t>
      </w:r>
      <w:r>
        <w:rPr>
          <w:rFonts w:hint="cs"/>
          <w:b/>
          <w:bCs/>
          <w:sz w:val="32"/>
          <w:szCs w:val="32"/>
          <w:rtl/>
        </w:rPr>
        <w:t>الإِقْرَارُ</w:t>
      </w:r>
      <w:r>
        <w:rPr>
          <w:rFonts w:hint="cs"/>
          <w:sz w:val="32"/>
          <w:szCs w:val="32"/>
          <w:rtl/>
        </w:rPr>
        <w:t xml:space="preserve"> غيرُ معتبرٍ إذا تَضَمَّنَ إبْطَالَ حَقِّ الغَيْرِ.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ق39 </w:t>
      </w:r>
      <w:r>
        <w:rPr>
          <w:sz w:val="32"/>
          <w:szCs w:val="32"/>
        </w:rPr>
        <w:tab/>
      </w:r>
      <w:r>
        <w:rPr>
          <w:rFonts w:hint="cs"/>
          <w:sz w:val="32"/>
          <w:szCs w:val="32"/>
          <w:rtl/>
        </w:rPr>
        <w:tab/>
        <w:t xml:space="preserve">: </w:t>
      </w:r>
      <w:r>
        <w:rPr>
          <w:rFonts w:hint="cs"/>
          <w:b/>
          <w:bCs/>
          <w:sz w:val="32"/>
          <w:szCs w:val="32"/>
          <w:rtl/>
        </w:rPr>
        <w:t>الإقْرارُ</w:t>
      </w:r>
      <w:r>
        <w:rPr>
          <w:rFonts w:hint="cs"/>
          <w:sz w:val="32"/>
          <w:szCs w:val="32"/>
          <w:rtl/>
        </w:rPr>
        <w:t xml:space="preserve"> لا يحتملُ التَّعليقَ.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ق44 </w:t>
      </w:r>
      <w:r>
        <w:rPr>
          <w:sz w:val="32"/>
          <w:szCs w:val="32"/>
        </w:rPr>
        <w:tab/>
      </w:r>
      <w:r>
        <w:rPr>
          <w:rFonts w:hint="cs"/>
          <w:sz w:val="32"/>
          <w:szCs w:val="32"/>
          <w:rtl/>
        </w:rPr>
        <w:tab/>
        <w:t xml:space="preserve">: </w:t>
      </w:r>
      <w:r>
        <w:rPr>
          <w:rFonts w:hint="cs"/>
          <w:b/>
          <w:bCs/>
          <w:sz w:val="32"/>
          <w:szCs w:val="32"/>
          <w:rtl/>
        </w:rPr>
        <w:t>الإِقْرَارُ</w:t>
      </w:r>
      <w:r>
        <w:rPr>
          <w:rFonts w:hint="cs"/>
          <w:sz w:val="32"/>
          <w:szCs w:val="32"/>
          <w:rtl/>
        </w:rPr>
        <w:t xml:space="preserve"> لاَ يَرْتَدُّ بِالرَّدِّ.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ق42 </w:t>
      </w:r>
      <w:r>
        <w:rPr>
          <w:sz w:val="32"/>
          <w:szCs w:val="32"/>
        </w:rPr>
        <w:tab/>
      </w:r>
      <w:r>
        <w:rPr>
          <w:rFonts w:hint="cs"/>
          <w:sz w:val="32"/>
          <w:szCs w:val="32"/>
          <w:rtl/>
        </w:rPr>
        <w:tab/>
        <w:t xml:space="preserve">: </w:t>
      </w:r>
      <w:r>
        <w:rPr>
          <w:rFonts w:hint="cs"/>
          <w:b/>
          <w:bCs/>
          <w:sz w:val="32"/>
          <w:szCs w:val="32"/>
          <w:rtl/>
        </w:rPr>
        <w:t>الإقرارُ</w:t>
      </w:r>
      <w:r>
        <w:rPr>
          <w:rFonts w:hint="cs"/>
          <w:sz w:val="32"/>
          <w:szCs w:val="32"/>
          <w:rtl/>
        </w:rPr>
        <w:t xml:space="preserve"> لا يكونُ سبـبًا للاستحقاق.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ق43 </w:t>
      </w:r>
      <w:r>
        <w:rPr>
          <w:sz w:val="32"/>
          <w:szCs w:val="32"/>
        </w:rPr>
        <w:tab/>
      </w:r>
      <w:r>
        <w:rPr>
          <w:rFonts w:hint="cs"/>
          <w:sz w:val="32"/>
          <w:szCs w:val="32"/>
          <w:rtl/>
        </w:rPr>
        <w:tab/>
        <w:t xml:space="preserve">: </w:t>
      </w:r>
      <w:r>
        <w:rPr>
          <w:rFonts w:hint="cs"/>
          <w:b/>
          <w:bCs/>
          <w:sz w:val="32"/>
          <w:szCs w:val="32"/>
          <w:rtl/>
        </w:rPr>
        <w:t>الإِقْرَارُ</w:t>
      </w:r>
      <w:r>
        <w:rPr>
          <w:rFonts w:hint="cs"/>
          <w:sz w:val="32"/>
          <w:szCs w:val="32"/>
          <w:rtl/>
        </w:rPr>
        <w:t xml:space="preserve"> لِشَيءٍ لاَ يَبْطُلُ بِالإِنْكَارِ اللاَّحِقِ.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ق38 </w:t>
      </w:r>
      <w:r>
        <w:rPr>
          <w:sz w:val="32"/>
          <w:szCs w:val="32"/>
        </w:rPr>
        <w:tab/>
      </w:r>
      <w:r>
        <w:rPr>
          <w:rFonts w:hint="cs"/>
          <w:sz w:val="32"/>
          <w:szCs w:val="32"/>
          <w:rtl/>
        </w:rPr>
        <w:tab/>
        <w:t xml:space="preserve">: </w:t>
      </w:r>
      <w:r>
        <w:rPr>
          <w:rFonts w:hint="cs"/>
          <w:b/>
          <w:bCs/>
          <w:sz w:val="32"/>
          <w:szCs w:val="32"/>
          <w:rtl/>
        </w:rPr>
        <w:t>الإقرارُ</w:t>
      </w:r>
      <w:r>
        <w:rPr>
          <w:rFonts w:hint="cs"/>
          <w:sz w:val="32"/>
          <w:szCs w:val="32"/>
          <w:rtl/>
        </w:rPr>
        <w:t xml:space="preserve"> ملزمٌ شرعًا كالبيِّنةِ؛ بَلْ أَوْلَى.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ق83 </w:t>
      </w:r>
      <w:r>
        <w:rPr>
          <w:sz w:val="32"/>
          <w:szCs w:val="32"/>
        </w:rPr>
        <w:tab/>
      </w:r>
      <w:r>
        <w:rPr>
          <w:rFonts w:hint="cs"/>
          <w:sz w:val="32"/>
          <w:szCs w:val="32"/>
          <w:rtl/>
        </w:rPr>
        <w:tab/>
        <w:t xml:space="preserve">: </w:t>
      </w:r>
      <w:r>
        <w:rPr>
          <w:rFonts w:hint="cs"/>
          <w:b/>
          <w:bCs/>
          <w:sz w:val="32"/>
          <w:szCs w:val="32"/>
          <w:rtl/>
        </w:rPr>
        <w:t>التَّقريرُ</w:t>
      </w:r>
      <w:r>
        <w:rPr>
          <w:rFonts w:hint="cs"/>
          <w:sz w:val="32"/>
          <w:szCs w:val="32"/>
          <w:rtl/>
        </w:rPr>
        <w:t xml:space="preserve"> أَحَدُ وُجُوهِ السُّنَّةِ.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ق88 </w:t>
      </w:r>
      <w:r>
        <w:rPr>
          <w:sz w:val="32"/>
          <w:szCs w:val="32"/>
        </w:rPr>
        <w:tab/>
      </w:r>
      <w:r>
        <w:rPr>
          <w:rFonts w:hint="cs"/>
          <w:sz w:val="32"/>
          <w:szCs w:val="32"/>
          <w:rtl/>
        </w:rPr>
        <w:tab/>
        <w:t>: التَّناقضُ لا يمنعُ صحَّةَ</w:t>
      </w:r>
      <w:r>
        <w:rPr>
          <w:rFonts w:hint="cs"/>
          <w:b/>
          <w:bCs/>
          <w:sz w:val="32"/>
          <w:szCs w:val="32"/>
          <w:rtl/>
        </w:rPr>
        <w:t xml:space="preserve"> الإقْرارِ</w:t>
      </w:r>
      <w:r>
        <w:rPr>
          <w:rFonts w:hint="cs"/>
          <w:sz w:val="32"/>
          <w:szCs w:val="32"/>
          <w:rtl/>
        </w:rPr>
        <w:t xml:space="preserve"> عَلى نفسِهِ.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ق93 </w:t>
      </w:r>
      <w:r>
        <w:rPr>
          <w:sz w:val="32"/>
          <w:szCs w:val="32"/>
        </w:rPr>
        <w:tab/>
      </w:r>
      <w:r>
        <w:rPr>
          <w:rFonts w:hint="cs"/>
          <w:sz w:val="32"/>
          <w:szCs w:val="32"/>
          <w:rtl/>
        </w:rPr>
        <w:tab/>
        <w:t xml:space="preserve">: الثَّابتُ بالبيِّنةِ كالثَّابتِ </w:t>
      </w:r>
      <w:r>
        <w:rPr>
          <w:rFonts w:hint="cs"/>
          <w:b/>
          <w:bCs/>
          <w:sz w:val="32"/>
          <w:szCs w:val="32"/>
          <w:rtl/>
        </w:rPr>
        <w:t>بإقرارِ</w:t>
      </w:r>
      <w:r>
        <w:rPr>
          <w:rFonts w:hint="cs"/>
          <w:sz w:val="32"/>
          <w:szCs w:val="32"/>
          <w:rtl/>
        </w:rPr>
        <w:t xml:space="preserve"> الخصمِ. </w:t>
      </w:r>
    </w:p>
    <w:p w:rsidR="00284270" w:rsidRDefault="00284270" w:rsidP="0022714B">
      <w:pPr>
        <w:ind w:left="2975" w:hanging="1387"/>
        <w:rPr>
          <w:sz w:val="32"/>
          <w:szCs w:val="32"/>
          <w:rtl/>
        </w:rPr>
      </w:pPr>
      <w:r>
        <w:rPr>
          <w:rFonts w:hint="cs"/>
          <w:sz w:val="32"/>
          <w:szCs w:val="32"/>
          <w:rtl/>
        </w:rPr>
        <w:t xml:space="preserve">  ق99       : جَازَ إقامةُ البَّيِنَةِ مَعَ </w:t>
      </w:r>
      <w:r>
        <w:rPr>
          <w:rFonts w:hint="cs"/>
          <w:b/>
          <w:bCs/>
          <w:sz w:val="32"/>
          <w:szCs w:val="32"/>
          <w:rtl/>
        </w:rPr>
        <w:t>الإقرارِ</w:t>
      </w:r>
      <w:r>
        <w:rPr>
          <w:rFonts w:hint="cs"/>
          <w:sz w:val="32"/>
          <w:szCs w:val="32"/>
          <w:rtl/>
        </w:rPr>
        <w:t xml:space="preserve"> في كلِّ موضعٍ يُتوقَّعُ الضررُ مِنْ غيرِ المُقِرِّ لولاها.</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ق131 </w:t>
      </w:r>
      <w:r>
        <w:rPr>
          <w:sz w:val="32"/>
          <w:szCs w:val="32"/>
        </w:rPr>
        <w:tab/>
      </w:r>
      <w:r>
        <w:rPr>
          <w:rFonts w:hint="cs"/>
          <w:sz w:val="32"/>
          <w:szCs w:val="32"/>
          <w:rtl/>
        </w:rPr>
        <w:t xml:space="preserve">: الرّجُوعُ مِنَ </w:t>
      </w:r>
      <w:r>
        <w:rPr>
          <w:rFonts w:hint="cs"/>
          <w:b/>
          <w:bCs/>
          <w:sz w:val="32"/>
          <w:szCs w:val="32"/>
          <w:rtl/>
        </w:rPr>
        <w:t>الإقْرَارِ</w:t>
      </w:r>
      <w:r>
        <w:rPr>
          <w:rFonts w:hint="cs"/>
          <w:sz w:val="32"/>
          <w:szCs w:val="32"/>
          <w:rtl/>
        </w:rPr>
        <w:t xml:space="preserve"> بَاطِلٌ.</w:t>
      </w:r>
    </w:p>
    <w:p w:rsidR="00284270" w:rsidRDefault="00284270" w:rsidP="0022714B">
      <w:pPr>
        <w:ind w:left="2833" w:hanging="2266"/>
        <w:rPr>
          <w:sz w:val="32"/>
          <w:szCs w:val="32"/>
          <w:rtl/>
        </w:rPr>
      </w:pPr>
      <w:r>
        <w:rPr>
          <w:rFonts w:hint="cs"/>
          <w:sz w:val="32"/>
          <w:szCs w:val="32"/>
          <w:rtl/>
        </w:rPr>
        <w:t xml:space="preserve">               ق154 </w:t>
      </w:r>
      <w:r>
        <w:rPr>
          <w:sz w:val="32"/>
          <w:szCs w:val="32"/>
        </w:rPr>
        <w:tab/>
      </w:r>
      <w:r>
        <w:rPr>
          <w:rFonts w:hint="cs"/>
          <w:sz w:val="32"/>
          <w:szCs w:val="32"/>
          <w:rtl/>
        </w:rPr>
        <w:t xml:space="preserve">: صِحَّةُ الحَلِفِ غَيْرُ مُفَارِقَةٍ عَنْ صِحَّةِ </w:t>
      </w:r>
      <w:r>
        <w:rPr>
          <w:rFonts w:hint="cs"/>
          <w:b/>
          <w:bCs/>
          <w:sz w:val="32"/>
          <w:szCs w:val="32"/>
          <w:rtl/>
        </w:rPr>
        <w:t>الإِقْرَارِ</w:t>
      </w:r>
      <w:r>
        <w:rPr>
          <w:rFonts w:hint="cs"/>
          <w:sz w:val="32"/>
          <w:szCs w:val="32"/>
          <w:rtl/>
        </w:rPr>
        <w:t>، وَعَدَمُهَا عَنْ عَدَمِهَا.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ق190 </w:t>
      </w:r>
      <w:r>
        <w:rPr>
          <w:sz w:val="32"/>
          <w:szCs w:val="32"/>
        </w:rPr>
        <w:tab/>
      </w:r>
      <w:r>
        <w:rPr>
          <w:rFonts w:hint="cs"/>
          <w:sz w:val="32"/>
          <w:szCs w:val="32"/>
          <w:rtl/>
        </w:rPr>
        <w:t xml:space="preserve">: كُلُّ مَا هُوَ وَاجِبُ الرَّفْعِ بِالاستِرْدَادِ لا يَجُوزُ </w:t>
      </w:r>
      <w:r>
        <w:rPr>
          <w:rFonts w:hint="cs"/>
          <w:b/>
          <w:bCs/>
          <w:sz w:val="32"/>
          <w:szCs w:val="32"/>
          <w:rtl/>
        </w:rPr>
        <w:t>تَقْرِيرُهُ</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ق205 </w:t>
      </w:r>
      <w:r>
        <w:rPr>
          <w:sz w:val="32"/>
          <w:szCs w:val="32"/>
        </w:rPr>
        <w:tab/>
      </w:r>
      <w:r>
        <w:rPr>
          <w:rFonts w:hint="cs"/>
          <w:sz w:val="32"/>
          <w:szCs w:val="32"/>
          <w:rtl/>
        </w:rPr>
        <w:t xml:space="preserve">: لاَ تُسْمَعُ البيِّنَةُ عَلَى </w:t>
      </w:r>
      <w:r>
        <w:rPr>
          <w:rFonts w:hint="cs"/>
          <w:b/>
          <w:bCs/>
          <w:sz w:val="32"/>
          <w:szCs w:val="32"/>
          <w:rtl/>
        </w:rPr>
        <w:t>المُقِرِّ</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ق238 </w:t>
      </w:r>
      <w:r>
        <w:rPr>
          <w:sz w:val="32"/>
          <w:szCs w:val="32"/>
        </w:rPr>
        <w:tab/>
      </w:r>
      <w:r>
        <w:rPr>
          <w:rFonts w:hint="cs"/>
          <w:sz w:val="32"/>
          <w:szCs w:val="32"/>
          <w:rtl/>
        </w:rPr>
        <w:t xml:space="preserve">: مَنْ عَمِلَ </w:t>
      </w:r>
      <w:r>
        <w:rPr>
          <w:rFonts w:hint="cs"/>
          <w:b/>
          <w:bCs/>
          <w:sz w:val="32"/>
          <w:szCs w:val="32"/>
          <w:rtl/>
        </w:rPr>
        <w:t>إِقْرَارُهُ</w:t>
      </w:r>
      <w:r>
        <w:rPr>
          <w:rFonts w:hint="cs"/>
          <w:sz w:val="32"/>
          <w:szCs w:val="32"/>
          <w:rtl/>
        </w:rPr>
        <w:t xml:space="preserve"> قُبِلَتْ بَيِّنَتُهُ، وإلاّ فَلاَ.</w:t>
      </w:r>
    </w:p>
    <w:p w:rsidR="00284270" w:rsidRDefault="00284270" w:rsidP="0022714B">
      <w:pPr>
        <w:ind w:left="2833" w:hanging="2266"/>
        <w:rPr>
          <w:sz w:val="32"/>
          <w:szCs w:val="32"/>
          <w:rtl/>
        </w:rPr>
      </w:pPr>
      <w:r>
        <w:rPr>
          <w:rFonts w:hint="cs"/>
          <w:b/>
          <w:bCs/>
          <w:sz w:val="32"/>
          <w:szCs w:val="32"/>
          <w:rtl/>
        </w:rPr>
        <w:t>قسم</w:t>
      </w:r>
      <w:r>
        <w:rPr>
          <w:rFonts w:hint="cs"/>
          <w:sz w:val="32"/>
          <w:szCs w:val="32"/>
          <w:rtl/>
        </w:rPr>
        <w:t xml:space="preserve">       :  ق4 </w:t>
      </w:r>
      <w:r>
        <w:rPr>
          <w:sz w:val="32"/>
          <w:szCs w:val="32"/>
        </w:rPr>
        <w:tab/>
      </w:r>
      <w:r>
        <w:rPr>
          <w:rFonts w:hint="cs"/>
          <w:sz w:val="32"/>
          <w:szCs w:val="32"/>
          <w:rtl/>
        </w:rPr>
        <w:t xml:space="preserve">: أَجْزاءُ العِوَضِ </w:t>
      </w:r>
      <w:r>
        <w:rPr>
          <w:rFonts w:hint="cs"/>
          <w:b/>
          <w:bCs/>
          <w:sz w:val="32"/>
          <w:szCs w:val="32"/>
          <w:rtl/>
        </w:rPr>
        <w:t>تَنْقَسِمُ</w:t>
      </w:r>
      <w:r>
        <w:rPr>
          <w:rFonts w:hint="cs"/>
          <w:sz w:val="32"/>
          <w:szCs w:val="32"/>
          <w:rtl/>
        </w:rPr>
        <w:t xml:space="preserve"> على أجزاءِ المعوَّضِ، وأجزاءُ الشَّرطِ لا </w:t>
      </w:r>
      <w:r>
        <w:rPr>
          <w:rFonts w:hint="cs"/>
          <w:b/>
          <w:bCs/>
          <w:sz w:val="32"/>
          <w:szCs w:val="32"/>
          <w:rtl/>
        </w:rPr>
        <w:t xml:space="preserve">تَنْقَسِمُ </w:t>
      </w:r>
      <w:r>
        <w:rPr>
          <w:rFonts w:hint="cs"/>
          <w:sz w:val="32"/>
          <w:szCs w:val="32"/>
          <w:rtl/>
        </w:rPr>
        <w:t>على أَجزاءِ المشروطِ</w:t>
      </w:r>
      <w:r>
        <w:rPr>
          <w:rFonts w:hint="cs"/>
          <w:sz w:val="32"/>
          <w:szCs w:val="32"/>
          <w:rtl/>
          <w:lang w:bidi="ar-AE"/>
        </w:rPr>
        <w:t>.</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ق74 </w:t>
      </w:r>
      <w:r>
        <w:rPr>
          <w:sz w:val="32"/>
          <w:szCs w:val="32"/>
        </w:rPr>
        <w:tab/>
      </w:r>
      <w:r>
        <w:rPr>
          <w:rFonts w:hint="cs"/>
          <w:sz w:val="32"/>
          <w:szCs w:val="32"/>
          <w:rtl/>
        </w:rPr>
        <w:tab/>
        <w:t xml:space="preserve">: التَّرِكَةُ قبلَ </w:t>
      </w:r>
      <w:r>
        <w:rPr>
          <w:rFonts w:hint="cs"/>
          <w:b/>
          <w:bCs/>
          <w:sz w:val="32"/>
          <w:szCs w:val="32"/>
          <w:rtl/>
        </w:rPr>
        <w:t>القسمةِ</w:t>
      </w:r>
      <w:r>
        <w:rPr>
          <w:rFonts w:hint="cs"/>
          <w:sz w:val="32"/>
          <w:szCs w:val="32"/>
          <w:rtl/>
        </w:rPr>
        <w:t xml:space="preserve"> مُبْقاةٌ على مِلْكِ المَيِّتِ. </w:t>
      </w:r>
    </w:p>
    <w:p w:rsidR="00284270" w:rsidRDefault="00284270" w:rsidP="0022714B">
      <w:pPr>
        <w:ind w:left="2833" w:hanging="2266"/>
        <w:rPr>
          <w:sz w:val="32"/>
          <w:szCs w:val="32"/>
          <w:rtl/>
        </w:rPr>
      </w:pPr>
      <w:r>
        <w:rPr>
          <w:rFonts w:hint="cs"/>
          <w:sz w:val="32"/>
          <w:szCs w:val="32"/>
          <w:rtl/>
        </w:rPr>
        <w:t xml:space="preserve">               ق82 </w:t>
      </w:r>
      <w:r>
        <w:rPr>
          <w:sz w:val="32"/>
          <w:szCs w:val="32"/>
        </w:rPr>
        <w:tab/>
      </w:r>
      <w:r>
        <w:rPr>
          <w:rFonts w:hint="cs"/>
          <w:sz w:val="32"/>
          <w:szCs w:val="32"/>
          <w:rtl/>
        </w:rPr>
        <w:t xml:space="preserve">: </w:t>
      </w:r>
      <w:r>
        <w:rPr>
          <w:rFonts w:hint="cs"/>
          <w:b/>
          <w:bCs/>
          <w:sz w:val="32"/>
          <w:szCs w:val="32"/>
          <w:rtl/>
        </w:rPr>
        <w:t>التَّقسيمُ</w:t>
      </w:r>
      <w:r>
        <w:rPr>
          <w:rFonts w:hint="cs"/>
          <w:sz w:val="32"/>
          <w:szCs w:val="32"/>
          <w:rtl/>
        </w:rPr>
        <w:t xml:space="preserve"> يَقتَضِي انتفاءَ مُشَارَكَةِ كُلِّ واحدٍ مِنْهُمَا عَنْ </w:t>
      </w:r>
      <w:r>
        <w:rPr>
          <w:rFonts w:hint="cs"/>
          <w:b/>
          <w:bCs/>
          <w:sz w:val="32"/>
          <w:szCs w:val="32"/>
          <w:rtl/>
        </w:rPr>
        <w:t xml:space="preserve">قِسمِ </w:t>
      </w:r>
      <w:r>
        <w:rPr>
          <w:rFonts w:hint="cs"/>
          <w:sz w:val="32"/>
          <w:szCs w:val="32"/>
          <w:rtl/>
        </w:rPr>
        <w:t xml:space="preserve">صَاحِبِهِ. </w:t>
      </w:r>
    </w:p>
    <w:p w:rsidR="00284270" w:rsidRDefault="00284270">
      <w:pPr>
        <w:rPr>
          <w:sz w:val="32"/>
          <w:szCs w:val="32"/>
          <w:rtl/>
        </w:rPr>
      </w:pPr>
      <w:r>
        <w:rPr>
          <w:rFonts w:hint="cs"/>
          <w:b/>
          <w:bCs/>
          <w:sz w:val="32"/>
          <w:szCs w:val="32"/>
          <w:rtl/>
        </w:rPr>
        <w:t>قصد</w:t>
      </w:r>
      <w:r>
        <w:rPr>
          <w:rFonts w:hint="cs"/>
          <w:sz w:val="32"/>
          <w:szCs w:val="32"/>
          <w:rtl/>
        </w:rPr>
        <w:tab/>
      </w:r>
      <w:r>
        <w:rPr>
          <w:sz w:val="32"/>
          <w:szCs w:val="32"/>
        </w:rPr>
        <w:tab/>
      </w:r>
      <w:r>
        <w:rPr>
          <w:rFonts w:hint="cs"/>
          <w:sz w:val="32"/>
          <w:szCs w:val="32"/>
          <w:rtl/>
        </w:rPr>
        <w:t xml:space="preserve">: ق18 </w:t>
      </w:r>
      <w:r>
        <w:rPr>
          <w:sz w:val="32"/>
          <w:szCs w:val="32"/>
        </w:rPr>
        <w:tab/>
      </w:r>
      <w:r>
        <w:rPr>
          <w:rFonts w:hint="cs"/>
          <w:sz w:val="32"/>
          <w:szCs w:val="32"/>
          <w:rtl/>
        </w:rPr>
        <w:tab/>
        <w:t xml:space="preserve">: الاسْتِثْنَاُء فِي </w:t>
      </w:r>
      <w:r>
        <w:rPr>
          <w:rFonts w:hint="cs"/>
          <w:b/>
          <w:bCs/>
          <w:sz w:val="32"/>
          <w:szCs w:val="32"/>
          <w:rtl/>
        </w:rPr>
        <w:t>المَقْصودِ</w:t>
      </w:r>
      <w:r>
        <w:rPr>
          <w:rFonts w:hint="cs"/>
          <w:sz w:val="32"/>
          <w:szCs w:val="32"/>
          <w:rtl/>
        </w:rPr>
        <w:t xml:space="preserve"> لا التَّابِعِ.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ق34 </w:t>
      </w:r>
      <w:r>
        <w:rPr>
          <w:sz w:val="32"/>
          <w:szCs w:val="32"/>
        </w:rPr>
        <w:tab/>
      </w:r>
      <w:r>
        <w:rPr>
          <w:rFonts w:hint="cs"/>
          <w:sz w:val="32"/>
          <w:szCs w:val="32"/>
          <w:rtl/>
        </w:rPr>
        <w:tab/>
        <w:t xml:space="preserve">: الاعْتِبَارُ </w:t>
      </w:r>
      <w:r>
        <w:rPr>
          <w:rFonts w:hint="cs"/>
          <w:b/>
          <w:bCs/>
          <w:sz w:val="32"/>
          <w:szCs w:val="32"/>
          <w:rtl/>
        </w:rPr>
        <w:t>لِلْمَقَاصِدِ</w:t>
      </w:r>
      <w:r>
        <w:rPr>
          <w:rFonts w:hint="cs"/>
          <w:sz w:val="32"/>
          <w:szCs w:val="32"/>
          <w:rtl/>
        </w:rPr>
        <w:t xml:space="preserve"> والمَعَانِيْ لا للأَلْفاظِ والمَبَانِيْ.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ق48 </w:t>
      </w:r>
      <w:r>
        <w:rPr>
          <w:sz w:val="32"/>
          <w:szCs w:val="32"/>
        </w:rPr>
        <w:tab/>
      </w:r>
      <w:r>
        <w:rPr>
          <w:rFonts w:hint="cs"/>
          <w:sz w:val="32"/>
          <w:szCs w:val="32"/>
          <w:rtl/>
        </w:rPr>
        <w:tab/>
        <w:t xml:space="preserve">: الأُمُورُ </w:t>
      </w:r>
      <w:r>
        <w:rPr>
          <w:rFonts w:hint="cs"/>
          <w:b/>
          <w:bCs/>
          <w:sz w:val="32"/>
          <w:szCs w:val="32"/>
          <w:rtl/>
        </w:rPr>
        <w:t>بمقاصِدِهَا</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ق166 </w:t>
      </w:r>
      <w:r>
        <w:rPr>
          <w:sz w:val="32"/>
          <w:szCs w:val="32"/>
        </w:rPr>
        <w:tab/>
      </w:r>
      <w:r>
        <w:rPr>
          <w:rFonts w:hint="cs"/>
          <w:sz w:val="32"/>
          <w:szCs w:val="32"/>
          <w:rtl/>
        </w:rPr>
        <w:t xml:space="preserve">: العِبْرَةُ للملفُوظِ نَصًّا دُونَ </w:t>
      </w:r>
      <w:r>
        <w:rPr>
          <w:rFonts w:hint="cs"/>
          <w:b/>
          <w:bCs/>
          <w:sz w:val="32"/>
          <w:szCs w:val="32"/>
          <w:rtl/>
        </w:rPr>
        <w:t>المَقْصُودِ</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ق178 </w:t>
      </w:r>
      <w:r>
        <w:rPr>
          <w:sz w:val="32"/>
          <w:szCs w:val="32"/>
        </w:rPr>
        <w:tab/>
      </w:r>
      <w:r>
        <w:rPr>
          <w:rFonts w:hint="cs"/>
          <w:sz w:val="32"/>
          <w:szCs w:val="32"/>
          <w:rtl/>
        </w:rPr>
        <w:t xml:space="preserve">: قَدْ يثبُتُ ضِمْنًا ما لا يثبُتُ </w:t>
      </w:r>
      <w:r>
        <w:rPr>
          <w:rFonts w:hint="cs"/>
          <w:b/>
          <w:bCs/>
          <w:sz w:val="32"/>
          <w:szCs w:val="32"/>
          <w:rtl/>
        </w:rPr>
        <w:t>قَصْدًا</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ق193 </w:t>
      </w:r>
      <w:r>
        <w:rPr>
          <w:sz w:val="32"/>
          <w:szCs w:val="32"/>
        </w:rPr>
        <w:tab/>
      </w:r>
      <w:r>
        <w:rPr>
          <w:rFonts w:hint="cs"/>
          <w:sz w:val="32"/>
          <w:szCs w:val="32"/>
          <w:rtl/>
        </w:rPr>
        <w:t xml:space="preserve">: لا يُبَالَى باختلافِ الأَسْبَابِ عندَ سَلاَمَةِ </w:t>
      </w:r>
      <w:r>
        <w:rPr>
          <w:rFonts w:hint="cs"/>
          <w:b/>
          <w:bCs/>
          <w:sz w:val="32"/>
          <w:szCs w:val="32"/>
          <w:rtl/>
        </w:rPr>
        <w:t>المَقْصُود</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ق206 </w:t>
      </w:r>
      <w:r>
        <w:rPr>
          <w:sz w:val="32"/>
          <w:szCs w:val="32"/>
        </w:rPr>
        <w:tab/>
      </w:r>
      <w:r>
        <w:rPr>
          <w:rFonts w:hint="cs"/>
          <w:sz w:val="32"/>
          <w:szCs w:val="32"/>
          <w:rtl/>
        </w:rPr>
        <w:t xml:space="preserve">:  لاَ يَنْتَصِبُ أَحَدٌ خَصْمًا عَنْ أَحَدٍ بغيرِ إِذْنِهِ </w:t>
      </w:r>
      <w:r>
        <w:rPr>
          <w:rFonts w:hint="cs"/>
          <w:b/>
          <w:bCs/>
          <w:sz w:val="32"/>
          <w:szCs w:val="32"/>
          <w:rtl/>
        </w:rPr>
        <w:t>قَصْدًا</w:t>
      </w:r>
      <w:r>
        <w:rPr>
          <w:rFonts w:hint="cs"/>
          <w:sz w:val="32"/>
          <w:szCs w:val="32"/>
          <w:rtl/>
        </w:rPr>
        <w:t>، وَكَالَةً ونِيَابَةً وَوِلايَةً.</w:t>
      </w:r>
    </w:p>
    <w:p w:rsidR="00284270" w:rsidRDefault="00284270">
      <w:pPr>
        <w:rPr>
          <w:spacing w:val="-4"/>
          <w:sz w:val="32"/>
          <w:szCs w:val="32"/>
          <w:rtl/>
        </w:rPr>
      </w:pPr>
      <w:r>
        <w:rPr>
          <w:rFonts w:hint="cs"/>
          <w:spacing w:val="-4"/>
          <w:sz w:val="32"/>
          <w:szCs w:val="32"/>
          <w:rtl/>
        </w:rPr>
        <w:tab/>
      </w:r>
      <w:r>
        <w:rPr>
          <w:rFonts w:hint="cs"/>
          <w:spacing w:val="-4"/>
          <w:sz w:val="32"/>
          <w:szCs w:val="32"/>
          <w:rtl/>
        </w:rPr>
        <w:tab/>
      </w:r>
      <w:r>
        <w:rPr>
          <w:spacing w:val="-4"/>
          <w:sz w:val="32"/>
          <w:szCs w:val="32"/>
        </w:rPr>
        <w:tab/>
      </w:r>
      <w:r>
        <w:rPr>
          <w:rFonts w:hint="cs"/>
          <w:spacing w:val="-4"/>
          <w:sz w:val="32"/>
          <w:szCs w:val="32"/>
          <w:rtl/>
        </w:rPr>
        <w:t xml:space="preserve">  ق231</w:t>
      </w:r>
      <w:r>
        <w:rPr>
          <w:spacing w:val="-4"/>
          <w:sz w:val="32"/>
          <w:szCs w:val="32"/>
        </w:rPr>
        <w:tab/>
      </w:r>
      <w:r>
        <w:rPr>
          <w:rFonts w:hint="cs"/>
          <w:spacing w:val="-4"/>
          <w:sz w:val="32"/>
          <w:szCs w:val="32"/>
          <w:rtl/>
        </w:rPr>
        <w:tab/>
        <w:t xml:space="preserve">: </w:t>
      </w:r>
      <w:r>
        <w:rPr>
          <w:rFonts w:hint="cs"/>
          <w:b/>
          <w:bCs/>
          <w:spacing w:val="-4"/>
          <w:sz w:val="32"/>
          <w:szCs w:val="32"/>
          <w:rtl/>
        </w:rPr>
        <w:t>المَقَاصِدُ</w:t>
      </w:r>
      <w:r>
        <w:rPr>
          <w:rFonts w:hint="cs"/>
          <w:spacing w:val="-4"/>
          <w:sz w:val="32"/>
          <w:szCs w:val="32"/>
          <w:rtl/>
        </w:rPr>
        <w:t xml:space="preserve"> فِي العَرْضِ والعقارِ يتعلّق بصورِهما وأعيانِهما.</w:t>
      </w:r>
    </w:p>
    <w:p w:rsidR="00284270" w:rsidRDefault="00284270" w:rsidP="0022714B">
      <w:pPr>
        <w:ind w:left="2832" w:hanging="1244"/>
        <w:rPr>
          <w:sz w:val="32"/>
          <w:szCs w:val="32"/>
          <w:rtl/>
        </w:rPr>
      </w:pPr>
      <w:r>
        <w:rPr>
          <w:rFonts w:hint="cs"/>
          <w:sz w:val="32"/>
          <w:szCs w:val="32"/>
          <w:rtl/>
        </w:rPr>
        <w:t xml:space="preserve">  ق261 </w:t>
      </w:r>
      <w:r>
        <w:rPr>
          <w:sz w:val="32"/>
          <w:szCs w:val="32"/>
        </w:rPr>
        <w:tab/>
      </w:r>
      <w:r>
        <w:rPr>
          <w:rFonts w:hint="cs"/>
          <w:sz w:val="32"/>
          <w:szCs w:val="32"/>
          <w:rtl/>
        </w:rPr>
        <w:t xml:space="preserve">: يَدْخُلُ فِي التَّصَرُّفِ تَبَعًا مَا لاَ يَجُوْزُ أَنْ يَكُونَ </w:t>
      </w:r>
      <w:r>
        <w:rPr>
          <w:rFonts w:hint="cs"/>
          <w:b/>
          <w:bCs/>
          <w:sz w:val="32"/>
          <w:szCs w:val="32"/>
          <w:rtl/>
        </w:rPr>
        <w:t>مَقْصُودًا</w:t>
      </w:r>
      <w:r>
        <w:rPr>
          <w:rFonts w:hint="cs"/>
          <w:sz w:val="32"/>
          <w:szCs w:val="32"/>
          <w:rtl/>
        </w:rPr>
        <w:t>.</w:t>
      </w:r>
      <w:r>
        <w:rPr>
          <w:sz w:val="32"/>
          <w:szCs w:val="32"/>
        </w:rPr>
        <w:t xml:space="preserve"> </w:t>
      </w:r>
      <w:r>
        <w:rPr>
          <w:rFonts w:hint="cs"/>
          <w:sz w:val="32"/>
          <w:szCs w:val="32"/>
          <w:rtl/>
        </w:rPr>
        <w:t xml:space="preserve"> </w:t>
      </w:r>
    </w:p>
    <w:p w:rsidR="00284270" w:rsidRDefault="00284270">
      <w:pPr>
        <w:rPr>
          <w:sz w:val="32"/>
          <w:szCs w:val="32"/>
          <w:rtl/>
        </w:rPr>
      </w:pPr>
      <w:r>
        <w:rPr>
          <w:rFonts w:hint="cs"/>
          <w:b/>
          <w:bCs/>
          <w:sz w:val="32"/>
          <w:szCs w:val="32"/>
          <w:rtl/>
        </w:rPr>
        <w:t>قصر</w:t>
      </w:r>
      <w:r>
        <w:rPr>
          <w:rFonts w:hint="cs"/>
          <w:sz w:val="32"/>
          <w:szCs w:val="32"/>
          <w:rtl/>
        </w:rPr>
        <w:tab/>
      </w:r>
      <w:r>
        <w:rPr>
          <w:rFonts w:hint="cs"/>
          <w:sz w:val="32"/>
          <w:szCs w:val="32"/>
          <w:rtl/>
        </w:rPr>
        <w:tab/>
        <w:t xml:space="preserve">: ق150 </w:t>
      </w:r>
      <w:r>
        <w:rPr>
          <w:rFonts w:hint="cs"/>
          <w:sz w:val="32"/>
          <w:szCs w:val="32"/>
          <w:rtl/>
        </w:rPr>
        <w:tab/>
        <w:t xml:space="preserve">: شَهَادَةٌ </w:t>
      </w:r>
      <w:r>
        <w:rPr>
          <w:rFonts w:hint="cs"/>
          <w:b/>
          <w:bCs/>
          <w:sz w:val="32"/>
          <w:szCs w:val="32"/>
          <w:rtl/>
        </w:rPr>
        <w:t>قَاصِرَةٌ</w:t>
      </w:r>
      <w:r>
        <w:rPr>
          <w:rFonts w:hint="cs"/>
          <w:sz w:val="32"/>
          <w:szCs w:val="32"/>
          <w:rtl/>
        </w:rPr>
        <w:t xml:space="preserve"> يُتِمُّهَا غَيْرُهُمْ : تُقْبَلُ.</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ق180 </w:t>
      </w:r>
      <w:r>
        <w:rPr>
          <w:rFonts w:hint="cs"/>
          <w:sz w:val="32"/>
          <w:szCs w:val="32"/>
          <w:rtl/>
        </w:rPr>
        <w:tab/>
        <w:t xml:space="preserve">: القضاءُ </w:t>
      </w:r>
      <w:r>
        <w:rPr>
          <w:rFonts w:hint="cs"/>
          <w:b/>
          <w:bCs/>
          <w:sz w:val="32"/>
          <w:szCs w:val="32"/>
          <w:rtl/>
        </w:rPr>
        <w:t>مقتصرٌ</w:t>
      </w:r>
      <w:r>
        <w:rPr>
          <w:rFonts w:hint="cs"/>
          <w:sz w:val="32"/>
          <w:szCs w:val="32"/>
          <w:rtl/>
        </w:rPr>
        <w:t xml:space="preserve"> على المقضيِّ عليهِ ولا يتعدَّى إلى غَيرِهِ.</w:t>
      </w:r>
    </w:p>
    <w:p w:rsidR="00284270" w:rsidRDefault="00284270">
      <w:pPr>
        <w:rPr>
          <w:sz w:val="32"/>
          <w:szCs w:val="32"/>
          <w:rtl/>
        </w:rPr>
      </w:pPr>
      <w:r>
        <w:rPr>
          <w:rFonts w:hint="cs"/>
          <w:b/>
          <w:bCs/>
          <w:sz w:val="32"/>
          <w:szCs w:val="32"/>
          <w:rtl/>
        </w:rPr>
        <w:t>قضى</w:t>
      </w:r>
      <w:r>
        <w:rPr>
          <w:rFonts w:hint="cs"/>
          <w:sz w:val="32"/>
          <w:szCs w:val="32"/>
          <w:rtl/>
        </w:rPr>
        <w:tab/>
      </w:r>
      <w:r>
        <w:rPr>
          <w:rFonts w:hint="cs"/>
          <w:sz w:val="32"/>
          <w:szCs w:val="32"/>
          <w:rtl/>
        </w:rPr>
        <w:tab/>
        <w:t xml:space="preserve">: ق12 </w:t>
      </w:r>
      <w:r>
        <w:rPr>
          <w:rFonts w:hint="cs"/>
          <w:sz w:val="32"/>
          <w:szCs w:val="32"/>
          <w:rtl/>
        </w:rPr>
        <w:tab/>
      </w:r>
      <w:r>
        <w:rPr>
          <w:rFonts w:hint="cs"/>
          <w:sz w:val="32"/>
          <w:szCs w:val="32"/>
          <w:rtl/>
        </w:rPr>
        <w:tab/>
        <w:t>: إذَا تَعَارَضَ المانِعُ و</w:t>
      </w:r>
      <w:r>
        <w:rPr>
          <w:rFonts w:hint="cs"/>
          <w:b/>
          <w:bCs/>
          <w:sz w:val="32"/>
          <w:szCs w:val="32"/>
          <w:rtl/>
        </w:rPr>
        <w:t>المُقْتَضِي</w:t>
      </w:r>
      <w:r>
        <w:rPr>
          <w:rFonts w:hint="cs"/>
          <w:sz w:val="32"/>
          <w:szCs w:val="32"/>
          <w:rtl/>
        </w:rPr>
        <w:t xml:space="preserve"> : يُقدَّمُ المانِعُ. </w:t>
      </w:r>
    </w:p>
    <w:p w:rsidR="00284270" w:rsidRDefault="00284270" w:rsidP="0022714B">
      <w:pPr>
        <w:ind w:left="2833" w:hanging="2266"/>
        <w:rPr>
          <w:sz w:val="32"/>
          <w:szCs w:val="32"/>
          <w:rtl/>
        </w:rPr>
      </w:pPr>
      <w:r>
        <w:rPr>
          <w:rFonts w:hint="cs"/>
          <w:sz w:val="32"/>
          <w:szCs w:val="32"/>
          <w:rtl/>
        </w:rPr>
        <w:t xml:space="preserve">               ق84 </w:t>
      </w:r>
      <w:r>
        <w:rPr>
          <w:rFonts w:hint="cs"/>
          <w:sz w:val="32"/>
          <w:szCs w:val="32"/>
          <w:rtl/>
        </w:rPr>
        <w:tab/>
        <w:t xml:space="preserve">: تَقْدِيْرُ الشَّرعِ أَوْلَى مِنْ تقدِيرِ </w:t>
      </w:r>
      <w:r>
        <w:rPr>
          <w:rFonts w:hint="cs"/>
          <w:b/>
          <w:bCs/>
          <w:sz w:val="32"/>
          <w:szCs w:val="32"/>
          <w:rtl/>
        </w:rPr>
        <w:t>القاضِي</w:t>
      </w:r>
      <w:r>
        <w:rPr>
          <w:rFonts w:hint="cs"/>
          <w:sz w:val="32"/>
          <w:szCs w:val="32"/>
          <w:rtl/>
        </w:rPr>
        <w:t xml:space="preserve">، فَلاَ يَجُوزُ الزِّيادةُ عليهِ. </w:t>
      </w:r>
    </w:p>
    <w:p w:rsidR="00284270" w:rsidRDefault="00284270">
      <w:pPr>
        <w:rPr>
          <w:sz w:val="32"/>
          <w:szCs w:val="32"/>
          <w:rtl/>
        </w:rPr>
      </w:pPr>
      <w:r>
        <w:rPr>
          <w:rFonts w:hint="cs"/>
          <w:sz w:val="32"/>
          <w:szCs w:val="32"/>
          <w:rtl/>
        </w:rPr>
        <w:lastRenderedPageBreak/>
        <w:tab/>
      </w:r>
      <w:r>
        <w:rPr>
          <w:rFonts w:hint="cs"/>
          <w:sz w:val="32"/>
          <w:szCs w:val="32"/>
          <w:rtl/>
        </w:rPr>
        <w:tab/>
      </w:r>
      <w:r>
        <w:rPr>
          <w:rFonts w:hint="cs"/>
          <w:sz w:val="32"/>
          <w:szCs w:val="32"/>
          <w:rtl/>
        </w:rPr>
        <w:tab/>
        <w:t xml:space="preserve">  ق92 </w:t>
      </w:r>
      <w:r>
        <w:rPr>
          <w:rFonts w:hint="cs"/>
          <w:sz w:val="32"/>
          <w:szCs w:val="32"/>
          <w:rtl/>
        </w:rPr>
        <w:tab/>
      </w:r>
      <w:r>
        <w:rPr>
          <w:rFonts w:hint="cs"/>
          <w:sz w:val="32"/>
          <w:szCs w:val="32"/>
          <w:rtl/>
        </w:rPr>
        <w:tab/>
        <w:t xml:space="preserve">: الثَّابتُ </w:t>
      </w:r>
      <w:r>
        <w:rPr>
          <w:rFonts w:hint="cs"/>
          <w:b/>
          <w:bCs/>
          <w:sz w:val="32"/>
          <w:szCs w:val="32"/>
          <w:rtl/>
        </w:rPr>
        <w:t>اقتضاءً</w:t>
      </w:r>
      <w:r>
        <w:rPr>
          <w:rFonts w:hint="cs"/>
          <w:sz w:val="32"/>
          <w:szCs w:val="32"/>
          <w:rtl/>
        </w:rPr>
        <w:t xml:space="preserve"> كالثابتِ نصًّا.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ق128 </w:t>
      </w:r>
      <w:r>
        <w:rPr>
          <w:rFonts w:hint="cs"/>
          <w:sz w:val="32"/>
          <w:szCs w:val="32"/>
          <w:rtl/>
        </w:rPr>
        <w:tab/>
        <w:t xml:space="preserve">: الدُّيُونُ </w:t>
      </w:r>
      <w:r>
        <w:rPr>
          <w:rFonts w:hint="cs"/>
          <w:b/>
          <w:bCs/>
          <w:sz w:val="32"/>
          <w:szCs w:val="32"/>
          <w:rtl/>
        </w:rPr>
        <w:t>تُقْضَى</w:t>
      </w:r>
      <w:r>
        <w:rPr>
          <w:rFonts w:hint="cs"/>
          <w:sz w:val="32"/>
          <w:szCs w:val="32"/>
          <w:rtl/>
        </w:rPr>
        <w:t xml:space="preserve"> بأَمثَالِهَا.</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ق182 </w:t>
      </w:r>
      <w:r>
        <w:rPr>
          <w:rFonts w:hint="cs"/>
          <w:sz w:val="32"/>
          <w:szCs w:val="32"/>
          <w:rtl/>
        </w:rPr>
        <w:tab/>
        <w:t xml:space="preserve">: </w:t>
      </w:r>
      <w:r>
        <w:rPr>
          <w:rFonts w:hint="cs"/>
          <w:b/>
          <w:bCs/>
          <w:sz w:val="32"/>
          <w:szCs w:val="32"/>
          <w:rtl/>
        </w:rPr>
        <w:t>القَضَاء</w:t>
      </w:r>
      <w:r>
        <w:rPr>
          <w:rFonts w:hint="cs"/>
          <w:sz w:val="32"/>
          <w:szCs w:val="32"/>
          <w:rtl/>
        </w:rPr>
        <w:t>ُ الضِّمْنِيُّ لا يُشتَرَطُ لَهُ الدّعْوَى والخُصُومَةُ.</w:t>
      </w:r>
    </w:p>
    <w:p w:rsidR="00284270" w:rsidRDefault="00284270" w:rsidP="0022714B">
      <w:pPr>
        <w:ind w:left="2833" w:hanging="2266"/>
        <w:rPr>
          <w:sz w:val="32"/>
          <w:szCs w:val="32"/>
          <w:rtl/>
        </w:rPr>
      </w:pPr>
      <w:r>
        <w:rPr>
          <w:rFonts w:hint="cs"/>
          <w:sz w:val="32"/>
          <w:szCs w:val="32"/>
          <w:rtl/>
        </w:rPr>
        <w:t xml:space="preserve">               ق181 </w:t>
      </w:r>
      <w:r>
        <w:rPr>
          <w:rFonts w:hint="cs"/>
          <w:sz w:val="32"/>
          <w:szCs w:val="32"/>
          <w:rtl/>
        </w:rPr>
        <w:tab/>
        <w:t xml:space="preserve">: </w:t>
      </w:r>
      <w:r>
        <w:rPr>
          <w:rFonts w:hint="cs"/>
          <w:b/>
          <w:bCs/>
          <w:sz w:val="32"/>
          <w:szCs w:val="32"/>
          <w:rtl/>
        </w:rPr>
        <w:t>القضاءُ</w:t>
      </w:r>
      <w:r>
        <w:rPr>
          <w:rFonts w:hint="cs"/>
          <w:sz w:val="32"/>
          <w:szCs w:val="32"/>
          <w:rtl/>
        </w:rPr>
        <w:t xml:space="preserve"> على الغائِبِ لا يجوزُ، إلاّ أَنْ يَكُونَ مَا يُدّعَى بِهِ على الغائبِ سببًا لازمًا لما يُدّعى بِهِ على الحاضِرِ.</w:t>
      </w:r>
    </w:p>
    <w:p w:rsidR="00284270" w:rsidRDefault="00284270" w:rsidP="0022714B">
      <w:pPr>
        <w:ind w:left="2832" w:hanging="1244"/>
        <w:rPr>
          <w:sz w:val="32"/>
          <w:szCs w:val="32"/>
          <w:rtl/>
        </w:rPr>
      </w:pPr>
      <w:r>
        <w:rPr>
          <w:rFonts w:hint="cs"/>
          <w:sz w:val="32"/>
          <w:szCs w:val="32"/>
          <w:rtl/>
        </w:rPr>
        <w:t xml:space="preserve">  ق180 </w:t>
      </w:r>
      <w:r>
        <w:rPr>
          <w:rFonts w:hint="cs"/>
          <w:sz w:val="32"/>
          <w:szCs w:val="32"/>
          <w:rtl/>
        </w:rPr>
        <w:tab/>
        <w:t xml:space="preserve">: </w:t>
      </w:r>
      <w:r>
        <w:rPr>
          <w:rFonts w:hint="cs"/>
          <w:b/>
          <w:bCs/>
          <w:sz w:val="32"/>
          <w:szCs w:val="32"/>
          <w:rtl/>
        </w:rPr>
        <w:t>القضاء</w:t>
      </w:r>
      <w:r>
        <w:rPr>
          <w:rFonts w:hint="cs"/>
          <w:sz w:val="32"/>
          <w:szCs w:val="32"/>
          <w:rtl/>
        </w:rPr>
        <w:t xml:space="preserve">ُ مقتصرٌ على </w:t>
      </w:r>
      <w:r>
        <w:rPr>
          <w:rFonts w:hint="cs"/>
          <w:b/>
          <w:bCs/>
          <w:sz w:val="32"/>
          <w:szCs w:val="32"/>
          <w:rtl/>
        </w:rPr>
        <w:t>المقضي</w:t>
      </w:r>
      <w:r>
        <w:rPr>
          <w:rFonts w:hint="cs"/>
          <w:sz w:val="32"/>
          <w:szCs w:val="32"/>
          <w:rtl/>
        </w:rPr>
        <w:t>ِّ عليهِ ولا يتعدَّى إلى غَيرِهِ.</w:t>
      </w:r>
    </w:p>
    <w:p w:rsidR="00284270" w:rsidRDefault="00284270" w:rsidP="0022714B">
      <w:pPr>
        <w:ind w:left="2833" w:hanging="2266"/>
        <w:rPr>
          <w:sz w:val="32"/>
          <w:szCs w:val="32"/>
          <w:rtl/>
        </w:rPr>
      </w:pPr>
      <w:r>
        <w:rPr>
          <w:rFonts w:hint="cs"/>
          <w:sz w:val="32"/>
          <w:szCs w:val="32"/>
          <w:rtl/>
        </w:rPr>
        <w:t xml:space="preserve">               ق168 </w:t>
      </w:r>
      <w:r>
        <w:rPr>
          <w:rFonts w:hint="cs"/>
          <w:sz w:val="32"/>
          <w:szCs w:val="32"/>
          <w:rtl/>
        </w:rPr>
        <w:tab/>
        <w:t xml:space="preserve">: العَقْدُ مَتَى انْفَسَخَ بقضاءِ </w:t>
      </w:r>
      <w:r>
        <w:rPr>
          <w:rFonts w:hint="cs"/>
          <w:b/>
          <w:bCs/>
          <w:sz w:val="32"/>
          <w:szCs w:val="32"/>
          <w:rtl/>
        </w:rPr>
        <w:t>القاضِي</w:t>
      </w:r>
      <w:r>
        <w:rPr>
          <w:rFonts w:hint="cs"/>
          <w:sz w:val="32"/>
          <w:szCs w:val="32"/>
          <w:rtl/>
        </w:rPr>
        <w:t xml:space="preserve"> لا يَعُودُ إلاَّ بِتَجْدِيدِهِ.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ق203 </w:t>
      </w:r>
      <w:r>
        <w:rPr>
          <w:rFonts w:hint="cs"/>
          <w:sz w:val="32"/>
          <w:szCs w:val="32"/>
          <w:rtl/>
        </w:rPr>
        <w:tab/>
        <w:t xml:space="preserve">: لا يُحلِّفُ </w:t>
      </w:r>
      <w:r>
        <w:rPr>
          <w:rFonts w:hint="cs"/>
          <w:b/>
          <w:bCs/>
          <w:sz w:val="32"/>
          <w:szCs w:val="32"/>
          <w:rtl/>
        </w:rPr>
        <w:t>القَاضِي</w:t>
      </w:r>
      <w:r>
        <w:rPr>
          <w:rFonts w:hint="cs"/>
          <w:sz w:val="32"/>
          <w:szCs w:val="32"/>
          <w:rtl/>
        </w:rPr>
        <w:t xml:space="preserve"> عَلَى حقٍّ مَجْهُولٍ.</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ق222 </w:t>
      </w:r>
      <w:r>
        <w:rPr>
          <w:rFonts w:hint="cs"/>
          <w:sz w:val="32"/>
          <w:szCs w:val="32"/>
          <w:rtl/>
        </w:rPr>
        <w:tab/>
        <w:t xml:space="preserve">: مَا عَمَّتْ بَلِيَّتُهُ خَفَّتْ </w:t>
      </w:r>
      <w:r>
        <w:rPr>
          <w:rFonts w:hint="cs"/>
          <w:b/>
          <w:bCs/>
          <w:sz w:val="32"/>
          <w:szCs w:val="32"/>
          <w:rtl/>
        </w:rPr>
        <w:t>قَضِيَّتُهُ</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ق232 </w:t>
      </w:r>
      <w:r>
        <w:rPr>
          <w:rFonts w:hint="cs"/>
          <w:sz w:val="32"/>
          <w:szCs w:val="32"/>
          <w:rtl/>
        </w:rPr>
        <w:tab/>
        <w:t xml:space="preserve">: </w:t>
      </w:r>
      <w:r>
        <w:rPr>
          <w:rFonts w:hint="cs"/>
          <w:b/>
          <w:bCs/>
          <w:sz w:val="32"/>
          <w:szCs w:val="32"/>
          <w:rtl/>
        </w:rPr>
        <w:t>المَقْضِيُّ</w:t>
      </w:r>
      <w:r>
        <w:rPr>
          <w:rFonts w:hint="cs"/>
          <w:sz w:val="32"/>
          <w:szCs w:val="32"/>
          <w:rtl/>
        </w:rPr>
        <w:t xml:space="preserve"> عَلَيْهِ فِي حَادِثَةٍ : لاَ تُسْمَعُ دَعْوَاهُ ولا بَيِّنَتُهُ.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ق252 </w:t>
      </w:r>
      <w:r>
        <w:rPr>
          <w:rFonts w:hint="cs"/>
          <w:sz w:val="32"/>
          <w:szCs w:val="32"/>
          <w:rtl/>
        </w:rPr>
        <w:tab/>
        <w:t xml:space="preserve">: الوَاجِبُ شَرْعًا لا يَحْتَاجُ إلى </w:t>
      </w:r>
      <w:r>
        <w:rPr>
          <w:rFonts w:hint="cs"/>
          <w:b/>
          <w:bCs/>
          <w:sz w:val="32"/>
          <w:szCs w:val="32"/>
          <w:rtl/>
        </w:rPr>
        <w:t>قَضَاءٍ</w:t>
      </w:r>
      <w:r>
        <w:rPr>
          <w:rFonts w:hint="cs"/>
          <w:sz w:val="32"/>
          <w:szCs w:val="32"/>
          <w:rtl/>
        </w:rPr>
        <w:t>.</w:t>
      </w:r>
    </w:p>
    <w:p w:rsidR="00284270" w:rsidRDefault="00284270">
      <w:pPr>
        <w:rPr>
          <w:sz w:val="32"/>
          <w:szCs w:val="32"/>
          <w:rtl/>
        </w:rPr>
      </w:pPr>
      <w:r>
        <w:rPr>
          <w:rFonts w:hint="cs"/>
          <w:b/>
          <w:bCs/>
          <w:sz w:val="32"/>
          <w:szCs w:val="32"/>
          <w:rtl/>
        </w:rPr>
        <w:t>قطع</w:t>
      </w:r>
      <w:r>
        <w:rPr>
          <w:rFonts w:hint="cs"/>
          <w:sz w:val="32"/>
          <w:szCs w:val="32"/>
          <w:rtl/>
        </w:rPr>
        <w:tab/>
      </w:r>
      <w:r>
        <w:rPr>
          <w:rFonts w:hint="cs"/>
          <w:sz w:val="32"/>
          <w:szCs w:val="32"/>
          <w:rtl/>
        </w:rPr>
        <w:tab/>
        <w:t xml:space="preserve">: ق98 </w:t>
      </w:r>
      <w:r>
        <w:rPr>
          <w:rFonts w:hint="cs"/>
          <w:sz w:val="32"/>
          <w:szCs w:val="32"/>
          <w:rtl/>
        </w:rPr>
        <w:tab/>
      </w:r>
      <w:r>
        <w:rPr>
          <w:rFonts w:hint="cs"/>
          <w:sz w:val="32"/>
          <w:szCs w:val="32"/>
          <w:rtl/>
        </w:rPr>
        <w:tab/>
        <w:t xml:space="preserve">: الثَّابِتُ </w:t>
      </w:r>
      <w:r>
        <w:rPr>
          <w:rFonts w:hint="cs"/>
          <w:b/>
          <w:bCs/>
          <w:sz w:val="32"/>
          <w:szCs w:val="32"/>
          <w:rtl/>
        </w:rPr>
        <w:t>قَطْعًا</w:t>
      </w:r>
      <w:r>
        <w:rPr>
          <w:rFonts w:hint="cs"/>
          <w:sz w:val="32"/>
          <w:szCs w:val="32"/>
          <w:rtl/>
        </w:rPr>
        <w:t xml:space="preserve"> أو ظَاهِرًا لا يُؤَخَّرُ لموهومٍ.</w:t>
      </w:r>
    </w:p>
    <w:p w:rsidR="00284270" w:rsidRDefault="00284270" w:rsidP="0022714B">
      <w:pPr>
        <w:ind w:left="2833" w:hanging="2266"/>
        <w:rPr>
          <w:sz w:val="32"/>
          <w:szCs w:val="32"/>
          <w:rtl/>
        </w:rPr>
      </w:pPr>
      <w:r>
        <w:rPr>
          <w:rFonts w:hint="cs"/>
          <w:b/>
          <w:bCs/>
          <w:sz w:val="32"/>
          <w:szCs w:val="32"/>
          <w:rtl/>
        </w:rPr>
        <w:t>قلب</w:t>
      </w:r>
      <w:r>
        <w:rPr>
          <w:rFonts w:hint="cs"/>
          <w:sz w:val="32"/>
          <w:szCs w:val="32"/>
          <w:rtl/>
        </w:rPr>
        <w:t xml:space="preserve">        : ق185 </w:t>
      </w:r>
      <w:r>
        <w:rPr>
          <w:rFonts w:hint="cs"/>
          <w:sz w:val="32"/>
          <w:szCs w:val="32"/>
          <w:rtl/>
        </w:rPr>
        <w:tab/>
        <w:t xml:space="preserve">: كُلُّ كفالةٍ تَنْعَقِدُ غَيْرُ موجِبةٍ للرّدِ لا </w:t>
      </w:r>
      <w:r>
        <w:rPr>
          <w:rFonts w:hint="cs"/>
          <w:b/>
          <w:bCs/>
          <w:sz w:val="32"/>
          <w:szCs w:val="32"/>
          <w:rtl/>
        </w:rPr>
        <w:t>تَنْقَلِبُ</w:t>
      </w:r>
      <w:r>
        <w:rPr>
          <w:rFonts w:hint="cs"/>
          <w:sz w:val="32"/>
          <w:szCs w:val="32"/>
          <w:rtl/>
        </w:rPr>
        <w:t xml:space="preserve"> مُوجِبَةً أبدًا.</w:t>
      </w:r>
    </w:p>
    <w:p w:rsidR="00284270" w:rsidRDefault="00284270" w:rsidP="0022714B">
      <w:pPr>
        <w:ind w:left="2833" w:hanging="2266"/>
        <w:rPr>
          <w:sz w:val="32"/>
          <w:szCs w:val="32"/>
          <w:rtl/>
        </w:rPr>
      </w:pPr>
      <w:r>
        <w:rPr>
          <w:rFonts w:hint="cs"/>
          <w:b/>
          <w:bCs/>
          <w:sz w:val="32"/>
          <w:szCs w:val="32"/>
          <w:rtl/>
        </w:rPr>
        <w:t>قوم</w:t>
      </w:r>
      <w:r>
        <w:rPr>
          <w:rFonts w:hint="cs"/>
          <w:sz w:val="32"/>
          <w:szCs w:val="32"/>
          <w:rtl/>
        </w:rPr>
        <w:t xml:space="preserve">         : ق208 </w:t>
      </w:r>
      <w:r>
        <w:rPr>
          <w:rFonts w:hint="cs"/>
          <w:sz w:val="32"/>
          <w:szCs w:val="32"/>
          <w:rtl/>
        </w:rPr>
        <w:tab/>
        <w:t xml:space="preserve">: لاَ </w:t>
      </w:r>
      <w:r>
        <w:rPr>
          <w:rFonts w:hint="cs"/>
          <w:b/>
          <w:bCs/>
          <w:sz w:val="32"/>
          <w:szCs w:val="32"/>
          <w:rtl/>
        </w:rPr>
        <w:t>تُقَوَّمُ</w:t>
      </w:r>
      <w:r>
        <w:rPr>
          <w:rFonts w:hint="cs"/>
          <w:sz w:val="32"/>
          <w:szCs w:val="32"/>
          <w:rtl/>
        </w:rPr>
        <w:t xml:space="preserve"> المنافِعُ في أنفُسِهَا، وإنَّمَا </w:t>
      </w:r>
      <w:r>
        <w:rPr>
          <w:rFonts w:hint="cs"/>
          <w:b/>
          <w:bCs/>
          <w:sz w:val="32"/>
          <w:szCs w:val="32"/>
          <w:rtl/>
        </w:rPr>
        <w:t>تَتَقَوَّمُ</w:t>
      </w:r>
      <w:r>
        <w:rPr>
          <w:rFonts w:hint="cs"/>
          <w:sz w:val="32"/>
          <w:szCs w:val="32"/>
          <w:rtl/>
        </w:rPr>
        <w:t>؛ لدَفْعِ ضرورةِ الحاجةِ.</w:t>
      </w:r>
    </w:p>
    <w:p w:rsidR="00284270" w:rsidRDefault="00284270">
      <w:pPr>
        <w:rPr>
          <w:sz w:val="32"/>
          <w:szCs w:val="32"/>
          <w:rtl/>
        </w:rPr>
      </w:pPr>
      <w:r>
        <w:rPr>
          <w:rFonts w:hint="cs"/>
          <w:b/>
          <w:bCs/>
          <w:sz w:val="32"/>
          <w:szCs w:val="32"/>
          <w:rtl/>
        </w:rPr>
        <w:t>قوي</w:t>
      </w:r>
      <w:r>
        <w:rPr>
          <w:rFonts w:hint="cs"/>
          <w:sz w:val="32"/>
          <w:szCs w:val="32"/>
          <w:rtl/>
        </w:rPr>
        <w:tab/>
      </w:r>
      <w:r>
        <w:rPr>
          <w:sz w:val="32"/>
          <w:szCs w:val="32"/>
        </w:rPr>
        <w:tab/>
      </w:r>
      <w:r>
        <w:rPr>
          <w:rFonts w:hint="cs"/>
          <w:sz w:val="32"/>
          <w:szCs w:val="32"/>
          <w:rtl/>
        </w:rPr>
        <w:t xml:space="preserve">: ق56 </w:t>
      </w:r>
      <w:r>
        <w:rPr>
          <w:sz w:val="32"/>
          <w:szCs w:val="32"/>
        </w:rPr>
        <w:tab/>
      </w:r>
      <w:r>
        <w:rPr>
          <w:rFonts w:hint="cs"/>
          <w:sz w:val="32"/>
          <w:szCs w:val="32"/>
          <w:rtl/>
        </w:rPr>
        <w:tab/>
        <w:t xml:space="preserve">: </w:t>
      </w:r>
      <w:r>
        <w:rPr>
          <w:rFonts w:hint="eastAsia"/>
          <w:sz w:val="32"/>
          <w:szCs w:val="32"/>
          <w:rtl/>
        </w:rPr>
        <w:t>ب</w:t>
      </w:r>
      <w:r>
        <w:rPr>
          <w:rFonts w:hint="cs"/>
          <w:sz w:val="32"/>
          <w:szCs w:val="32"/>
          <w:rtl/>
        </w:rPr>
        <w:t>ِ</w:t>
      </w:r>
      <w:r>
        <w:rPr>
          <w:rFonts w:hint="eastAsia"/>
          <w:sz w:val="32"/>
          <w:szCs w:val="32"/>
          <w:rtl/>
        </w:rPr>
        <w:t>ن</w:t>
      </w:r>
      <w:r>
        <w:rPr>
          <w:rFonts w:hint="cs"/>
          <w:sz w:val="32"/>
          <w:szCs w:val="32"/>
          <w:rtl/>
        </w:rPr>
        <w:t>َ</w:t>
      </w:r>
      <w:r>
        <w:rPr>
          <w:rFonts w:hint="eastAsia"/>
          <w:sz w:val="32"/>
          <w:szCs w:val="32"/>
          <w:rtl/>
        </w:rPr>
        <w:t>اء</w:t>
      </w:r>
      <w:r>
        <w:rPr>
          <w:rFonts w:hint="cs"/>
          <w:sz w:val="32"/>
          <w:szCs w:val="32"/>
          <w:rtl/>
        </w:rPr>
        <w:t>ُ</w:t>
      </w:r>
      <w:r>
        <w:rPr>
          <w:sz w:val="32"/>
          <w:szCs w:val="32"/>
          <w:rtl/>
        </w:rPr>
        <w:t xml:space="preserve"> </w:t>
      </w:r>
      <w:r>
        <w:rPr>
          <w:b/>
          <w:bCs/>
          <w:sz w:val="32"/>
          <w:szCs w:val="32"/>
          <w:rtl/>
        </w:rPr>
        <w:t>الق</w:t>
      </w:r>
      <w:r>
        <w:rPr>
          <w:rFonts w:hint="cs"/>
          <w:b/>
          <w:bCs/>
          <w:sz w:val="32"/>
          <w:szCs w:val="32"/>
          <w:rtl/>
        </w:rPr>
        <w:t>َ</w:t>
      </w:r>
      <w:r>
        <w:rPr>
          <w:b/>
          <w:bCs/>
          <w:sz w:val="32"/>
          <w:szCs w:val="32"/>
          <w:rtl/>
        </w:rPr>
        <w:t>و</w:t>
      </w:r>
      <w:r>
        <w:rPr>
          <w:rFonts w:hint="cs"/>
          <w:b/>
          <w:bCs/>
          <w:sz w:val="32"/>
          <w:szCs w:val="32"/>
          <w:rtl/>
        </w:rPr>
        <w:t>ِ</w:t>
      </w:r>
      <w:r>
        <w:rPr>
          <w:b/>
          <w:bCs/>
          <w:sz w:val="32"/>
          <w:szCs w:val="32"/>
          <w:rtl/>
        </w:rPr>
        <w:t>ي</w:t>
      </w:r>
      <w:r>
        <w:rPr>
          <w:sz w:val="32"/>
          <w:szCs w:val="32"/>
          <w:rtl/>
        </w:rPr>
        <w:t>ّ</w:t>
      </w:r>
      <w:r>
        <w:rPr>
          <w:rFonts w:hint="cs"/>
          <w:sz w:val="32"/>
          <w:szCs w:val="32"/>
          <w:rtl/>
        </w:rPr>
        <w:t>ِ</w:t>
      </w:r>
      <w:r>
        <w:rPr>
          <w:sz w:val="32"/>
          <w:szCs w:val="32"/>
          <w:rtl/>
        </w:rPr>
        <w:t xml:space="preserve"> على </w:t>
      </w:r>
      <w:r>
        <w:rPr>
          <w:rFonts w:hint="eastAsia"/>
          <w:sz w:val="32"/>
          <w:szCs w:val="32"/>
          <w:rtl/>
        </w:rPr>
        <w:t>الض</w:t>
      </w:r>
      <w:r>
        <w:rPr>
          <w:rFonts w:hint="cs"/>
          <w:sz w:val="32"/>
          <w:szCs w:val="32"/>
          <w:rtl/>
        </w:rPr>
        <w:t>َّ</w:t>
      </w:r>
      <w:r>
        <w:rPr>
          <w:rFonts w:hint="eastAsia"/>
          <w:sz w:val="32"/>
          <w:szCs w:val="32"/>
          <w:rtl/>
        </w:rPr>
        <w:t>ع</w:t>
      </w:r>
      <w:r>
        <w:rPr>
          <w:rFonts w:hint="cs"/>
          <w:sz w:val="32"/>
          <w:szCs w:val="32"/>
          <w:rtl/>
        </w:rPr>
        <w:t>ِ</w:t>
      </w:r>
      <w:r>
        <w:rPr>
          <w:rFonts w:hint="eastAsia"/>
          <w:sz w:val="32"/>
          <w:szCs w:val="32"/>
          <w:rtl/>
        </w:rPr>
        <w:t>ي</w:t>
      </w:r>
      <w:r>
        <w:rPr>
          <w:rFonts w:hint="cs"/>
          <w:sz w:val="32"/>
          <w:szCs w:val="32"/>
          <w:rtl/>
        </w:rPr>
        <w:t>ْ</w:t>
      </w:r>
      <w:r>
        <w:rPr>
          <w:rFonts w:hint="eastAsia"/>
          <w:sz w:val="32"/>
          <w:szCs w:val="32"/>
          <w:rtl/>
        </w:rPr>
        <w:t>ف</w:t>
      </w:r>
      <w:r>
        <w:rPr>
          <w:rFonts w:hint="cs"/>
          <w:sz w:val="32"/>
          <w:szCs w:val="32"/>
          <w:rtl/>
        </w:rPr>
        <w:t>ِ</w:t>
      </w:r>
      <w:r>
        <w:rPr>
          <w:sz w:val="32"/>
          <w:szCs w:val="32"/>
          <w:rtl/>
        </w:rPr>
        <w:t xml:space="preserve"> ف</w:t>
      </w:r>
      <w:r>
        <w:rPr>
          <w:rFonts w:hint="cs"/>
          <w:sz w:val="32"/>
          <w:szCs w:val="32"/>
          <w:rtl/>
        </w:rPr>
        <w:t>َ</w:t>
      </w:r>
      <w:r>
        <w:rPr>
          <w:sz w:val="32"/>
          <w:szCs w:val="32"/>
          <w:rtl/>
        </w:rPr>
        <w:t>اس</w:t>
      </w:r>
      <w:r>
        <w:rPr>
          <w:rFonts w:hint="cs"/>
          <w:sz w:val="32"/>
          <w:szCs w:val="32"/>
          <w:rtl/>
        </w:rPr>
        <w:t>ِ</w:t>
      </w:r>
      <w:r>
        <w:rPr>
          <w:sz w:val="32"/>
          <w:szCs w:val="32"/>
          <w:rtl/>
        </w:rPr>
        <w:t>د</w:t>
      </w:r>
      <w:r>
        <w:rPr>
          <w:rFonts w:hint="cs"/>
          <w:sz w:val="32"/>
          <w:szCs w:val="32"/>
          <w:rtl/>
        </w:rPr>
        <w:t xml:space="preserve">ٌ. </w:t>
      </w:r>
    </w:p>
    <w:p w:rsidR="00284270" w:rsidRPr="00EF5A8D" w:rsidRDefault="00284270">
      <w:pPr>
        <w:rPr>
          <w:sz w:val="12"/>
          <w:szCs w:val="30"/>
          <w:rtl/>
        </w:rPr>
      </w:pPr>
      <w:r>
        <w:rPr>
          <w:rFonts w:hint="cs"/>
          <w:rtl/>
        </w:rPr>
        <w:t xml:space="preserve"> </w:t>
      </w:r>
    </w:p>
    <w:p w:rsidR="00284270" w:rsidRDefault="0022714B">
      <w:pPr>
        <w:jc w:val="center"/>
        <w:rPr>
          <w:b/>
          <w:bCs/>
          <w:sz w:val="48"/>
          <w:szCs w:val="48"/>
          <w:rtl/>
        </w:rPr>
      </w:pPr>
      <w:r>
        <w:rPr>
          <w:noProof/>
          <w:rtl/>
        </w:rPr>
        <w:pict>
          <v:rect id="_x0000_s1048" style="position:absolute;left:0;text-align:left;margin-left:168.15pt;margin-top:1.75pt;width:54.15pt;height:37.05pt;z-index:-251628544;mso-wrap-edited:f" wrapcoords="-379 0 -379 21600 758 22265 23495 22265 23116 997 22358 0 -379 0">
            <v:shadow on="t" offset="3pt" offset2="2pt"/>
          </v:rect>
        </w:pict>
      </w:r>
      <w:r w:rsidR="00284270">
        <w:rPr>
          <w:rFonts w:hint="cs"/>
          <w:b/>
          <w:bCs/>
          <w:sz w:val="48"/>
          <w:szCs w:val="48"/>
          <w:rtl/>
        </w:rPr>
        <w:t>(ك)</w:t>
      </w:r>
    </w:p>
    <w:p w:rsidR="00284270" w:rsidRPr="00EF5A8D" w:rsidRDefault="00284270">
      <w:pPr>
        <w:rPr>
          <w:sz w:val="12"/>
          <w:szCs w:val="30"/>
          <w:rtl/>
        </w:rPr>
      </w:pPr>
    </w:p>
    <w:p w:rsidR="00284270" w:rsidRDefault="00284270">
      <w:pPr>
        <w:rPr>
          <w:sz w:val="32"/>
          <w:szCs w:val="32"/>
          <w:rtl/>
        </w:rPr>
      </w:pPr>
      <w:r>
        <w:rPr>
          <w:rFonts w:hint="cs"/>
          <w:b/>
          <w:bCs/>
          <w:sz w:val="32"/>
          <w:szCs w:val="32"/>
          <w:rtl/>
        </w:rPr>
        <w:t>كال</w:t>
      </w:r>
      <w:r>
        <w:rPr>
          <w:rFonts w:hint="cs"/>
          <w:sz w:val="32"/>
          <w:szCs w:val="32"/>
          <w:rtl/>
        </w:rPr>
        <w:tab/>
      </w:r>
      <w:r>
        <w:rPr>
          <w:sz w:val="32"/>
          <w:szCs w:val="32"/>
        </w:rPr>
        <w:tab/>
      </w:r>
      <w:r>
        <w:rPr>
          <w:rFonts w:hint="cs"/>
          <w:sz w:val="32"/>
          <w:szCs w:val="32"/>
          <w:rtl/>
        </w:rPr>
        <w:t xml:space="preserve">: ق192 </w:t>
      </w:r>
      <w:r>
        <w:rPr>
          <w:sz w:val="32"/>
          <w:szCs w:val="32"/>
        </w:rPr>
        <w:tab/>
      </w:r>
      <w:r>
        <w:rPr>
          <w:rFonts w:hint="cs"/>
          <w:sz w:val="32"/>
          <w:szCs w:val="32"/>
          <w:rtl/>
        </w:rPr>
        <w:t xml:space="preserve">: </w:t>
      </w:r>
      <w:r>
        <w:rPr>
          <w:rFonts w:hint="cs"/>
          <w:b/>
          <w:bCs/>
          <w:sz w:val="32"/>
          <w:szCs w:val="32"/>
          <w:rtl/>
        </w:rPr>
        <w:t>الكَيْلِي</w:t>
      </w:r>
      <w:r>
        <w:rPr>
          <w:rFonts w:hint="cs"/>
          <w:sz w:val="32"/>
          <w:szCs w:val="32"/>
          <w:rtl/>
        </w:rPr>
        <w:t>ُّ و الوَزْنِيُّ مَبِيعٌ بِأعيَانِهِمَا، ثمنٌ بأَوْصَافِهِمَا.</w:t>
      </w:r>
    </w:p>
    <w:p w:rsidR="00284270" w:rsidRDefault="00284270">
      <w:pPr>
        <w:rPr>
          <w:sz w:val="32"/>
          <w:szCs w:val="32"/>
          <w:rtl/>
        </w:rPr>
      </w:pPr>
      <w:r>
        <w:rPr>
          <w:rFonts w:hint="cs"/>
          <w:b/>
          <w:bCs/>
          <w:sz w:val="32"/>
          <w:szCs w:val="32"/>
          <w:rtl/>
        </w:rPr>
        <w:t>كتب</w:t>
      </w:r>
      <w:r>
        <w:rPr>
          <w:rFonts w:hint="cs"/>
          <w:sz w:val="32"/>
          <w:szCs w:val="32"/>
          <w:rtl/>
        </w:rPr>
        <w:t xml:space="preserve"> </w:t>
      </w:r>
      <w:r>
        <w:rPr>
          <w:sz w:val="32"/>
          <w:szCs w:val="32"/>
        </w:rPr>
        <w:tab/>
      </w:r>
      <w:r>
        <w:rPr>
          <w:rFonts w:hint="cs"/>
          <w:sz w:val="32"/>
          <w:szCs w:val="32"/>
          <w:rtl/>
        </w:rPr>
        <w:tab/>
        <w:t xml:space="preserve">: ق184 </w:t>
      </w:r>
      <w:r>
        <w:rPr>
          <w:sz w:val="32"/>
          <w:szCs w:val="32"/>
        </w:rPr>
        <w:tab/>
      </w:r>
      <w:r>
        <w:rPr>
          <w:rFonts w:hint="cs"/>
          <w:sz w:val="32"/>
          <w:szCs w:val="32"/>
          <w:rtl/>
        </w:rPr>
        <w:t xml:space="preserve">: </w:t>
      </w:r>
      <w:r>
        <w:rPr>
          <w:rFonts w:hint="cs"/>
          <w:b/>
          <w:bCs/>
          <w:sz w:val="32"/>
          <w:szCs w:val="32"/>
          <w:rtl/>
        </w:rPr>
        <w:t>الكِتَابُ</w:t>
      </w:r>
      <w:r>
        <w:rPr>
          <w:rFonts w:hint="cs"/>
          <w:sz w:val="32"/>
          <w:szCs w:val="32"/>
          <w:rtl/>
        </w:rPr>
        <w:t xml:space="preserve"> مِنَ الغَائِبِ كَالخِطَابِ مِنَ الحَاضِرِ.</w:t>
      </w:r>
    </w:p>
    <w:p w:rsidR="00284270" w:rsidRDefault="00284270" w:rsidP="0022714B">
      <w:pPr>
        <w:ind w:left="2833" w:hanging="2266"/>
        <w:rPr>
          <w:sz w:val="32"/>
          <w:szCs w:val="32"/>
          <w:rtl/>
        </w:rPr>
      </w:pPr>
      <w:r>
        <w:rPr>
          <w:rFonts w:hint="cs"/>
          <w:b/>
          <w:bCs/>
          <w:sz w:val="32"/>
          <w:szCs w:val="32"/>
          <w:rtl/>
        </w:rPr>
        <w:t>كرر</w:t>
      </w:r>
      <w:r>
        <w:rPr>
          <w:rFonts w:hint="cs"/>
          <w:sz w:val="32"/>
          <w:szCs w:val="32"/>
          <w:rtl/>
        </w:rPr>
        <w:t xml:space="preserve">         : ق186 </w:t>
      </w:r>
      <w:r>
        <w:rPr>
          <w:sz w:val="32"/>
          <w:szCs w:val="32"/>
        </w:rPr>
        <w:tab/>
      </w:r>
      <w:r>
        <w:rPr>
          <w:rFonts w:hint="cs"/>
          <w:sz w:val="32"/>
          <w:szCs w:val="32"/>
          <w:rtl/>
        </w:rPr>
        <w:t xml:space="preserve">: كَلِمَـةُ  (كُلٍّ) إِذَا دَخَلَتْ عَلَى النَّكِرَةِ أوجَبَتْ عُمُومَ أَفْرَادِهَا عَلَى سَبِيلِ الشُّمُولِ دُوْنَ </w:t>
      </w:r>
      <w:r>
        <w:rPr>
          <w:rFonts w:hint="cs"/>
          <w:b/>
          <w:bCs/>
          <w:sz w:val="32"/>
          <w:szCs w:val="32"/>
          <w:rtl/>
        </w:rPr>
        <w:t>التِّكْرَار</w:t>
      </w:r>
      <w:r>
        <w:rPr>
          <w:rFonts w:hint="cs"/>
          <w:sz w:val="32"/>
          <w:szCs w:val="32"/>
          <w:rtl/>
        </w:rPr>
        <w:t>.ِ</w:t>
      </w:r>
    </w:p>
    <w:p w:rsidR="00284270" w:rsidRDefault="00284270" w:rsidP="0022714B">
      <w:pPr>
        <w:ind w:left="2833" w:hanging="2266"/>
        <w:rPr>
          <w:spacing w:val="-6"/>
          <w:sz w:val="32"/>
          <w:szCs w:val="32"/>
          <w:rtl/>
        </w:rPr>
      </w:pPr>
      <w:r>
        <w:rPr>
          <w:rFonts w:hint="cs"/>
          <w:b/>
          <w:bCs/>
          <w:sz w:val="32"/>
          <w:szCs w:val="32"/>
          <w:rtl/>
        </w:rPr>
        <w:t>كفل</w:t>
      </w:r>
      <w:r>
        <w:rPr>
          <w:rFonts w:hint="cs"/>
          <w:spacing w:val="-6"/>
          <w:sz w:val="32"/>
          <w:szCs w:val="32"/>
          <w:rtl/>
        </w:rPr>
        <w:t xml:space="preserve">        :  ق107 </w:t>
      </w:r>
      <w:r>
        <w:rPr>
          <w:spacing w:val="-6"/>
          <w:sz w:val="32"/>
          <w:szCs w:val="32"/>
        </w:rPr>
        <w:tab/>
      </w:r>
      <w:r>
        <w:rPr>
          <w:rFonts w:hint="cs"/>
          <w:spacing w:val="-6"/>
          <w:sz w:val="32"/>
          <w:szCs w:val="32"/>
          <w:rtl/>
        </w:rPr>
        <w:t xml:space="preserve">: جَهَالَةُ </w:t>
      </w:r>
      <w:r>
        <w:rPr>
          <w:rFonts w:hint="cs"/>
          <w:b/>
          <w:bCs/>
          <w:sz w:val="32"/>
          <w:szCs w:val="32"/>
          <w:rtl/>
        </w:rPr>
        <w:t>المَكْفُولِ</w:t>
      </w:r>
      <w:r>
        <w:rPr>
          <w:rFonts w:hint="cs"/>
          <w:spacing w:val="-6"/>
          <w:sz w:val="32"/>
          <w:szCs w:val="32"/>
          <w:rtl/>
        </w:rPr>
        <w:t xml:space="preserve"> لَهُ تُبطِلُ </w:t>
      </w:r>
      <w:r>
        <w:rPr>
          <w:rFonts w:hint="cs"/>
          <w:b/>
          <w:bCs/>
          <w:spacing w:val="-6"/>
          <w:sz w:val="32"/>
          <w:szCs w:val="32"/>
          <w:rtl/>
        </w:rPr>
        <w:t>الكفالة</w:t>
      </w:r>
      <w:r>
        <w:rPr>
          <w:rFonts w:hint="cs"/>
          <w:spacing w:val="-6"/>
          <w:sz w:val="32"/>
          <w:szCs w:val="32"/>
          <w:rtl/>
        </w:rPr>
        <w:t xml:space="preserve">َ، وكذا جهالةُ </w:t>
      </w:r>
      <w:r>
        <w:rPr>
          <w:rFonts w:hint="cs"/>
          <w:b/>
          <w:bCs/>
          <w:spacing w:val="-6"/>
          <w:sz w:val="32"/>
          <w:szCs w:val="32"/>
          <w:rtl/>
        </w:rPr>
        <w:t>المكفولِ</w:t>
      </w:r>
      <w:r>
        <w:rPr>
          <w:rFonts w:hint="cs"/>
          <w:spacing w:val="-6"/>
          <w:sz w:val="32"/>
          <w:szCs w:val="32"/>
          <w:rtl/>
        </w:rPr>
        <w:t xml:space="preserve"> عنهُ.</w:t>
      </w:r>
    </w:p>
    <w:p w:rsidR="00284270" w:rsidRDefault="00284270" w:rsidP="0022714B">
      <w:pPr>
        <w:ind w:left="2833" w:hanging="2266"/>
        <w:rPr>
          <w:sz w:val="32"/>
          <w:szCs w:val="32"/>
          <w:rtl/>
        </w:rPr>
      </w:pPr>
      <w:r>
        <w:rPr>
          <w:rFonts w:hint="cs"/>
          <w:sz w:val="32"/>
          <w:szCs w:val="32"/>
          <w:rtl/>
        </w:rPr>
        <w:t xml:space="preserve">               ق185 </w:t>
      </w:r>
      <w:r>
        <w:rPr>
          <w:sz w:val="32"/>
          <w:szCs w:val="32"/>
        </w:rPr>
        <w:tab/>
      </w:r>
      <w:r>
        <w:rPr>
          <w:rFonts w:hint="cs"/>
          <w:sz w:val="32"/>
          <w:szCs w:val="32"/>
          <w:rtl/>
        </w:rPr>
        <w:t xml:space="preserve">: كُلُّ </w:t>
      </w:r>
      <w:r>
        <w:rPr>
          <w:rFonts w:hint="cs"/>
          <w:b/>
          <w:bCs/>
          <w:sz w:val="32"/>
          <w:szCs w:val="32"/>
          <w:rtl/>
        </w:rPr>
        <w:t>كفالةٍ</w:t>
      </w:r>
      <w:r>
        <w:rPr>
          <w:rFonts w:hint="cs"/>
          <w:sz w:val="32"/>
          <w:szCs w:val="32"/>
          <w:rtl/>
        </w:rPr>
        <w:t xml:space="preserve"> تَنْعَقِدُ غَيْرُ موجِبةٍ للرّدِ لا تَنْقَلِبُ مُوجِبَةً أبدًا.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ق201 </w:t>
      </w:r>
      <w:r>
        <w:rPr>
          <w:sz w:val="32"/>
          <w:szCs w:val="32"/>
        </w:rPr>
        <w:tab/>
      </w:r>
      <w:r>
        <w:rPr>
          <w:rFonts w:hint="cs"/>
          <w:sz w:val="32"/>
          <w:szCs w:val="32"/>
          <w:rtl/>
        </w:rPr>
        <w:t xml:space="preserve">: لاَ تَصِحُّ </w:t>
      </w:r>
      <w:r>
        <w:rPr>
          <w:rFonts w:hint="cs"/>
          <w:b/>
          <w:bCs/>
          <w:sz w:val="32"/>
          <w:szCs w:val="32"/>
          <w:rtl/>
        </w:rPr>
        <w:t>الكفالةُ</w:t>
      </w:r>
      <w:r>
        <w:rPr>
          <w:rFonts w:hint="cs"/>
          <w:sz w:val="32"/>
          <w:szCs w:val="32"/>
          <w:rtl/>
        </w:rPr>
        <w:t xml:space="preserve"> إلاّ بِدَيْنٍ صَحِيحٍ.</w:t>
      </w:r>
    </w:p>
    <w:p w:rsidR="00284270" w:rsidRDefault="00284270" w:rsidP="0022714B">
      <w:pPr>
        <w:ind w:left="2833" w:hanging="2266"/>
        <w:rPr>
          <w:sz w:val="32"/>
          <w:szCs w:val="32"/>
          <w:rtl/>
        </w:rPr>
      </w:pPr>
      <w:r>
        <w:rPr>
          <w:rFonts w:hint="cs"/>
          <w:b/>
          <w:bCs/>
          <w:sz w:val="32"/>
          <w:szCs w:val="32"/>
          <w:rtl/>
        </w:rPr>
        <w:t>كل</w:t>
      </w:r>
      <w:r>
        <w:rPr>
          <w:rFonts w:hint="cs"/>
          <w:sz w:val="32"/>
          <w:szCs w:val="32"/>
          <w:rtl/>
        </w:rPr>
        <w:t xml:space="preserve">         : ق51 </w:t>
      </w:r>
      <w:r>
        <w:rPr>
          <w:sz w:val="32"/>
          <w:szCs w:val="32"/>
        </w:rPr>
        <w:tab/>
      </w:r>
      <w:r>
        <w:rPr>
          <w:rFonts w:hint="cs"/>
          <w:sz w:val="32"/>
          <w:szCs w:val="32"/>
          <w:rtl/>
        </w:rPr>
        <w:t xml:space="preserve">: </w:t>
      </w:r>
      <w:r>
        <w:rPr>
          <w:rFonts w:hint="eastAsia"/>
          <w:sz w:val="32"/>
          <w:szCs w:val="32"/>
          <w:rtl/>
        </w:rPr>
        <w:t>الب</w:t>
      </w:r>
      <w:r>
        <w:rPr>
          <w:rFonts w:hint="cs"/>
          <w:sz w:val="32"/>
          <w:szCs w:val="32"/>
          <w:rtl/>
        </w:rPr>
        <w:t>َ</w:t>
      </w:r>
      <w:r>
        <w:rPr>
          <w:rFonts w:hint="eastAsia"/>
          <w:sz w:val="32"/>
          <w:szCs w:val="32"/>
          <w:rtl/>
        </w:rPr>
        <w:t>ع</w:t>
      </w:r>
      <w:r>
        <w:rPr>
          <w:rFonts w:hint="cs"/>
          <w:sz w:val="32"/>
          <w:szCs w:val="32"/>
          <w:rtl/>
        </w:rPr>
        <w:t>ْ</w:t>
      </w:r>
      <w:r>
        <w:rPr>
          <w:rFonts w:hint="eastAsia"/>
          <w:sz w:val="32"/>
          <w:szCs w:val="32"/>
          <w:rtl/>
        </w:rPr>
        <w:t>ض</w:t>
      </w:r>
      <w:r>
        <w:rPr>
          <w:rFonts w:hint="cs"/>
          <w:sz w:val="32"/>
          <w:szCs w:val="32"/>
          <w:rtl/>
        </w:rPr>
        <w:t xml:space="preserve">ُ </w:t>
      </w:r>
      <w:r>
        <w:rPr>
          <w:sz w:val="32"/>
          <w:szCs w:val="32"/>
          <w:rtl/>
        </w:rPr>
        <w:t>لا</w:t>
      </w:r>
      <w:r>
        <w:rPr>
          <w:rFonts w:hint="cs"/>
          <w:sz w:val="32"/>
          <w:szCs w:val="32"/>
          <w:rtl/>
        </w:rPr>
        <w:t>َ</w:t>
      </w:r>
      <w:r>
        <w:rPr>
          <w:sz w:val="32"/>
          <w:szCs w:val="32"/>
          <w:rtl/>
        </w:rPr>
        <w:t xml:space="preserve"> ي</w:t>
      </w:r>
      <w:r>
        <w:rPr>
          <w:rFonts w:hint="cs"/>
          <w:sz w:val="32"/>
          <w:szCs w:val="32"/>
          <w:rtl/>
        </w:rPr>
        <w:t>َ</w:t>
      </w:r>
      <w:r>
        <w:rPr>
          <w:sz w:val="32"/>
          <w:szCs w:val="32"/>
          <w:rtl/>
        </w:rPr>
        <w:t>ز</w:t>
      </w:r>
      <w:r>
        <w:rPr>
          <w:rFonts w:hint="cs"/>
          <w:sz w:val="32"/>
          <w:szCs w:val="32"/>
          <w:rtl/>
        </w:rPr>
        <w:t>ِ</w:t>
      </w:r>
      <w:r>
        <w:rPr>
          <w:sz w:val="32"/>
          <w:szCs w:val="32"/>
          <w:rtl/>
        </w:rPr>
        <w:t>ي</w:t>
      </w:r>
      <w:r>
        <w:rPr>
          <w:rFonts w:hint="cs"/>
          <w:sz w:val="32"/>
          <w:szCs w:val="32"/>
          <w:rtl/>
        </w:rPr>
        <w:t>ْ</w:t>
      </w:r>
      <w:r>
        <w:rPr>
          <w:sz w:val="32"/>
          <w:szCs w:val="32"/>
          <w:rtl/>
        </w:rPr>
        <w:t>د</w:t>
      </w:r>
      <w:r>
        <w:rPr>
          <w:rFonts w:hint="cs"/>
          <w:sz w:val="32"/>
          <w:szCs w:val="32"/>
          <w:rtl/>
        </w:rPr>
        <w:t>ُ</w:t>
      </w:r>
      <w:r>
        <w:rPr>
          <w:sz w:val="32"/>
          <w:szCs w:val="32"/>
          <w:rtl/>
        </w:rPr>
        <w:t xml:space="preserve"> </w:t>
      </w:r>
      <w:r>
        <w:rPr>
          <w:rFonts w:hint="eastAsia"/>
          <w:sz w:val="32"/>
          <w:szCs w:val="32"/>
          <w:rtl/>
        </w:rPr>
        <w:t>ع</w:t>
      </w:r>
      <w:r>
        <w:rPr>
          <w:rFonts w:hint="cs"/>
          <w:sz w:val="32"/>
          <w:szCs w:val="32"/>
          <w:rtl/>
        </w:rPr>
        <w:t>َ</w:t>
      </w:r>
      <w:r>
        <w:rPr>
          <w:rFonts w:hint="eastAsia"/>
          <w:sz w:val="32"/>
          <w:szCs w:val="32"/>
          <w:rtl/>
        </w:rPr>
        <w:t>ل</w:t>
      </w:r>
      <w:r>
        <w:rPr>
          <w:rFonts w:hint="cs"/>
          <w:sz w:val="32"/>
          <w:szCs w:val="32"/>
          <w:rtl/>
        </w:rPr>
        <w:t>َ</w:t>
      </w:r>
      <w:r>
        <w:rPr>
          <w:rFonts w:hint="eastAsia"/>
          <w:sz w:val="32"/>
          <w:szCs w:val="32"/>
          <w:rtl/>
        </w:rPr>
        <w:t>ى</w:t>
      </w:r>
      <w:r>
        <w:rPr>
          <w:sz w:val="32"/>
          <w:szCs w:val="32"/>
          <w:rtl/>
        </w:rPr>
        <w:t xml:space="preserve"> </w:t>
      </w:r>
      <w:r>
        <w:rPr>
          <w:b/>
          <w:bCs/>
          <w:sz w:val="32"/>
          <w:szCs w:val="32"/>
          <w:rtl/>
        </w:rPr>
        <w:t>الك</w:t>
      </w:r>
      <w:r>
        <w:rPr>
          <w:rFonts w:hint="cs"/>
          <w:b/>
          <w:bCs/>
          <w:sz w:val="32"/>
          <w:szCs w:val="32"/>
          <w:rtl/>
        </w:rPr>
        <w:t>ُ</w:t>
      </w:r>
      <w:r>
        <w:rPr>
          <w:b/>
          <w:bCs/>
          <w:sz w:val="32"/>
          <w:szCs w:val="32"/>
          <w:rtl/>
        </w:rPr>
        <w:t>ل</w:t>
      </w:r>
      <w:r>
        <w:rPr>
          <w:rFonts w:hint="cs"/>
          <w:b/>
          <w:bCs/>
          <w:sz w:val="32"/>
          <w:szCs w:val="32"/>
          <w:rtl/>
        </w:rPr>
        <w:t>ِّ</w:t>
      </w:r>
      <w:r>
        <w:rPr>
          <w:sz w:val="32"/>
          <w:szCs w:val="32"/>
          <w:rtl/>
        </w:rPr>
        <w:t xml:space="preserve"> إلا</w:t>
      </w:r>
      <w:r>
        <w:rPr>
          <w:rFonts w:hint="cs"/>
          <w:sz w:val="32"/>
          <w:szCs w:val="32"/>
          <w:rtl/>
        </w:rPr>
        <w:t>َّ</w:t>
      </w:r>
      <w:r>
        <w:rPr>
          <w:sz w:val="32"/>
          <w:szCs w:val="32"/>
          <w:rtl/>
        </w:rPr>
        <w:t xml:space="preserve"> ف</w:t>
      </w:r>
      <w:r>
        <w:rPr>
          <w:rFonts w:hint="cs"/>
          <w:sz w:val="32"/>
          <w:szCs w:val="32"/>
          <w:rtl/>
        </w:rPr>
        <w:t>ِ</w:t>
      </w:r>
      <w:r>
        <w:rPr>
          <w:sz w:val="32"/>
          <w:szCs w:val="32"/>
          <w:rtl/>
        </w:rPr>
        <w:t>ي م</w:t>
      </w:r>
      <w:r>
        <w:rPr>
          <w:rFonts w:hint="cs"/>
          <w:sz w:val="32"/>
          <w:szCs w:val="32"/>
          <w:rtl/>
        </w:rPr>
        <w:t>َ</w:t>
      </w:r>
      <w:r>
        <w:rPr>
          <w:sz w:val="32"/>
          <w:szCs w:val="32"/>
          <w:rtl/>
        </w:rPr>
        <w:t>س</w:t>
      </w:r>
      <w:r>
        <w:rPr>
          <w:rFonts w:hint="cs"/>
          <w:sz w:val="32"/>
          <w:szCs w:val="32"/>
          <w:rtl/>
        </w:rPr>
        <w:t>ْ</w:t>
      </w:r>
      <w:r>
        <w:rPr>
          <w:sz w:val="32"/>
          <w:szCs w:val="32"/>
          <w:rtl/>
        </w:rPr>
        <w:t>أ</w:t>
      </w:r>
      <w:r>
        <w:rPr>
          <w:rFonts w:hint="cs"/>
          <w:sz w:val="32"/>
          <w:szCs w:val="32"/>
          <w:rtl/>
        </w:rPr>
        <w:t>َ</w:t>
      </w:r>
      <w:r>
        <w:rPr>
          <w:sz w:val="32"/>
          <w:szCs w:val="32"/>
          <w:rtl/>
        </w:rPr>
        <w:t>لة</w:t>
      </w:r>
      <w:r>
        <w:rPr>
          <w:rFonts w:hint="cs"/>
          <w:sz w:val="32"/>
          <w:szCs w:val="32"/>
          <w:rtl/>
        </w:rPr>
        <w:t>ٍ</w:t>
      </w:r>
      <w:r>
        <w:rPr>
          <w:sz w:val="32"/>
          <w:szCs w:val="32"/>
          <w:rtl/>
        </w:rPr>
        <w:t xml:space="preserve"> و</w:t>
      </w:r>
      <w:r>
        <w:rPr>
          <w:rFonts w:hint="cs"/>
          <w:sz w:val="32"/>
          <w:szCs w:val="32"/>
          <w:rtl/>
        </w:rPr>
        <w:t>َ</w:t>
      </w:r>
      <w:r>
        <w:rPr>
          <w:sz w:val="32"/>
          <w:szCs w:val="32"/>
          <w:rtl/>
        </w:rPr>
        <w:t>اح</w:t>
      </w:r>
      <w:r>
        <w:rPr>
          <w:rFonts w:hint="cs"/>
          <w:sz w:val="32"/>
          <w:szCs w:val="32"/>
          <w:rtl/>
        </w:rPr>
        <w:t>ِ</w:t>
      </w:r>
      <w:r>
        <w:rPr>
          <w:sz w:val="32"/>
          <w:szCs w:val="32"/>
          <w:rtl/>
        </w:rPr>
        <w:t>د</w:t>
      </w:r>
      <w:r>
        <w:rPr>
          <w:rFonts w:hint="cs"/>
          <w:sz w:val="32"/>
          <w:szCs w:val="32"/>
          <w:rtl/>
        </w:rPr>
        <w:t>َ</w:t>
      </w:r>
      <w:r>
        <w:rPr>
          <w:sz w:val="32"/>
          <w:szCs w:val="32"/>
          <w:rtl/>
        </w:rPr>
        <w:t>ة</w:t>
      </w:r>
      <w:r>
        <w:rPr>
          <w:rFonts w:hint="cs"/>
          <w:sz w:val="32"/>
          <w:szCs w:val="32"/>
          <w:rtl/>
        </w:rPr>
        <w:t>ٍ</w:t>
      </w:r>
      <w:r>
        <w:rPr>
          <w:sz w:val="32"/>
          <w:szCs w:val="32"/>
          <w:rtl/>
        </w:rPr>
        <w:t>، و</w:t>
      </w:r>
      <w:r>
        <w:rPr>
          <w:rFonts w:hint="cs"/>
          <w:sz w:val="32"/>
          <w:szCs w:val="32"/>
          <w:rtl/>
        </w:rPr>
        <w:t>َ</w:t>
      </w:r>
      <w:r>
        <w:rPr>
          <w:sz w:val="32"/>
          <w:szCs w:val="32"/>
          <w:rtl/>
        </w:rPr>
        <w:t>ه</w:t>
      </w:r>
      <w:r>
        <w:rPr>
          <w:rFonts w:hint="cs"/>
          <w:sz w:val="32"/>
          <w:szCs w:val="32"/>
          <w:rtl/>
        </w:rPr>
        <w:t>ِ</w:t>
      </w:r>
      <w:r>
        <w:rPr>
          <w:sz w:val="32"/>
          <w:szCs w:val="32"/>
          <w:rtl/>
        </w:rPr>
        <w:t>ي</w:t>
      </w:r>
      <w:r>
        <w:rPr>
          <w:rFonts w:hint="cs"/>
          <w:sz w:val="32"/>
          <w:szCs w:val="32"/>
          <w:rtl/>
        </w:rPr>
        <w:t>َ</w:t>
      </w:r>
      <w:r>
        <w:rPr>
          <w:sz w:val="32"/>
          <w:szCs w:val="32"/>
          <w:rtl/>
        </w:rPr>
        <w:t xml:space="preserve"> إذ</w:t>
      </w:r>
      <w:r>
        <w:rPr>
          <w:rFonts w:hint="cs"/>
          <w:sz w:val="32"/>
          <w:szCs w:val="32"/>
          <w:rtl/>
        </w:rPr>
        <w:t>َ</w:t>
      </w:r>
      <w:r>
        <w:rPr>
          <w:sz w:val="32"/>
          <w:szCs w:val="32"/>
          <w:rtl/>
        </w:rPr>
        <w:t>ا ق</w:t>
      </w:r>
      <w:r>
        <w:rPr>
          <w:rFonts w:hint="cs"/>
          <w:sz w:val="32"/>
          <w:szCs w:val="32"/>
          <w:rtl/>
        </w:rPr>
        <w:t>َ</w:t>
      </w:r>
      <w:r>
        <w:rPr>
          <w:sz w:val="32"/>
          <w:szCs w:val="32"/>
          <w:rtl/>
        </w:rPr>
        <w:t>ال</w:t>
      </w:r>
      <w:r>
        <w:rPr>
          <w:rFonts w:hint="cs"/>
          <w:sz w:val="32"/>
          <w:szCs w:val="32"/>
          <w:rtl/>
        </w:rPr>
        <w:t>َ</w:t>
      </w:r>
      <w:r>
        <w:rPr>
          <w:sz w:val="32"/>
          <w:szCs w:val="32"/>
          <w:rtl/>
        </w:rPr>
        <w:t xml:space="preserve"> </w:t>
      </w:r>
      <w:r>
        <w:rPr>
          <w:sz w:val="32"/>
          <w:szCs w:val="32"/>
          <w:rtl/>
        </w:rPr>
        <w:lastRenderedPageBreak/>
        <w:t>الر</w:t>
      </w:r>
      <w:r>
        <w:rPr>
          <w:rFonts w:hint="cs"/>
          <w:sz w:val="32"/>
          <w:szCs w:val="32"/>
          <w:rtl/>
        </w:rPr>
        <w:t>َّ</w:t>
      </w:r>
      <w:r>
        <w:rPr>
          <w:sz w:val="32"/>
          <w:szCs w:val="32"/>
          <w:rtl/>
        </w:rPr>
        <w:t>ج</w:t>
      </w:r>
      <w:r>
        <w:rPr>
          <w:rFonts w:hint="cs"/>
          <w:sz w:val="32"/>
          <w:szCs w:val="32"/>
          <w:rtl/>
        </w:rPr>
        <w:t>ُ</w:t>
      </w:r>
      <w:r>
        <w:rPr>
          <w:sz w:val="32"/>
          <w:szCs w:val="32"/>
          <w:rtl/>
        </w:rPr>
        <w:t>ل</w:t>
      </w:r>
      <w:r>
        <w:rPr>
          <w:rFonts w:hint="cs"/>
          <w:sz w:val="32"/>
          <w:szCs w:val="32"/>
          <w:rtl/>
        </w:rPr>
        <w:t>ُ</w:t>
      </w:r>
      <w:r>
        <w:rPr>
          <w:sz w:val="32"/>
          <w:szCs w:val="32"/>
          <w:rtl/>
        </w:rPr>
        <w:t xml:space="preserve"> لامرأت</w:t>
      </w:r>
      <w:r>
        <w:rPr>
          <w:rFonts w:hint="cs"/>
          <w:sz w:val="32"/>
          <w:szCs w:val="32"/>
          <w:rtl/>
        </w:rPr>
        <w:t>ِ</w:t>
      </w:r>
      <w:r>
        <w:rPr>
          <w:sz w:val="32"/>
          <w:szCs w:val="32"/>
          <w:rtl/>
        </w:rPr>
        <w:t>ه</w:t>
      </w:r>
      <w:r>
        <w:rPr>
          <w:rFonts w:hint="cs"/>
          <w:sz w:val="32"/>
          <w:szCs w:val="32"/>
          <w:rtl/>
        </w:rPr>
        <w:t>ِ</w:t>
      </w:r>
      <w:r>
        <w:rPr>
          <w:sz w:val="32"/>
          <w:szCs w:val="32"/>
          <w:rtl/>
        </w:rPr>
        <w:t xml:space="preserve"> : أ</w:t>
      </w:r>
      <w:r>
        <w:rPr>
          <w:rFonts w:hint="cs"/>
          <w:sz w:val="32"/>
          <w:szCs w:val="32"/>
          <w:rtl/>
        </w:rPr>
        <w:t>َ</w:t>
      </w:r>
      <w:r>
        <w:rPr>
          <w:sz w:val="32"/>
          <w:szCs w:val="32"/>
          <w:rtl/>
        </w:rPr>
        <w:t>ن</w:t>
      </w:r>
      <w:r>
        <w:rPr>
          <w:rFonts w:hint="cs"/>
          <w:sz w:val="32"/>
          <w:szCs w:val="32"/>
          <w:rtl/>
        </w:rPr>
        <w:t>ْ</w:t>
      </w:r>
      <w:r>
        <w:rPr>
          <w:sz w:val="32"/>
          <w:szCs w:val="32"/>
          <w:rtl/>
        </w:rPr>
        <w:t>ت</w:t>
      </w:r>
      <w:r>
        <w:rPr>
          <w:rFonts w:hint="cs"/>
          <w:sz w:val="32"/>
          <w:szCs w:val="32"/>
          <w:rtl/>
        </w:rPr>
        <w:t>ِ</w:t>
      </w:r>
      <w:r>
        <w:rPr>
          <w:sz w:val="32"/>
          <w:szCs w:val="32"/>
          <w:rtl/>
        </w:rPr>
        <w:t xml:space="preserve"> عليَّ ك</w:t>
      </w:r>
      <w:r>
        <w:rPr>
          <w:rFonts w:hint="cs"/>
          <w:sz w:val="32"/>
          <w:szCs w:val="32"/>
          <w:rtl/>
        </w:rPr>
        <w:t>َ</w:t>
      </w:r>
      <w:r>
        <w:rPr>
          <w:sz w:val="32"/>
          <w:szCs w:val="32"/>
          <w:rtl/>
        </w:rPr>
        <w:t>ظ</w:t>
      </w:r>
      <w:r>
        <w:rPr>
          <w:rFonts w:hint="cs"/>
          <w:sz w:val="32"/>
          <w:szCs w:val="32"/>
          <w:rtl/>
        </w:rPr>
        <w:t>َ</w:t>
      </w:r>
      <w:r>
        <w:rPr>
          <w:sz w:val="32"/>
          <w:szCs w:val="32"/>
          <w:rtl/>
        </w:rPr>
        <w:t>ه</w:t>
      </w:r>
      <w:r>
        <w:rPr>
          <w:rFonts w:hint="cs"/>
          <w:sz w:val="32"/>
          <w:szCs w:val="32"/>
          <w:rtl/>
        </w:rPr>
        <w:t>ْ</w:t>
      </w:r>
      <w:r>
        <w:rPr>
          <w:sz w:val="32"/>
          <w:szCs w:val="32"/>
          <w:rtl/>
        </w:rPr>
        <w:t>ر</w:t>
      </w:r>
      <w:r>
        <w:rPr>
          <w:rFonts w:hint="cs"/>
          <w:sz w:val="32"/>
          <w:szCs w:val="32"/>
          <w:rtl/>
        </w:rPr>
        <w:t>ِ</w:t>
      </w:r>
      <w:r>
        <w:rPr>
          <w:sz w:val="32"/>
          <w:szCs w:val="32"/>
          <w:rtl/>
        </w:rPr>
        <w:t xml:space="preserve"> أ</w:t>
      </w:r>
      <w:r>
        <w:rPr>
          <w:rFonts w:hint="cs"/>
          <w:sz w:val="32"/>
          <w:szCs w:val="32"/>
          <w:rtl/>
        </w:rPr>
        <w:t>ُ</w:t>
      </w:r>
      <w:r>
        <w:rPr>
          <w:sz w:val="32"/>
          <w:szCs w:val="32"/>
          <w:rtl/>
        </w:rPr>
        <w:t>مّ</w:t>
      </w:r>
      <w:r>
        <w:rPr>
          <w:rFonts w:hint="eastAsia"/>
          <w:sz w:val="32"/>
          <w:szCs w:val="32"/>
          <w:rtl/>
        </w:rPr>
        <w:t>ِي</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ق188 </w:t>
      </w:r>
      <w:r>
        <w:rPr>
          <w:sz w:val="32"/>
          <w:szCs w:val="32"/>
        </w:rPr>
        <w:tab/>
      </w:r>
      <w:r>
        <w:rPr>
          <w:rFonts w:hint="cs"/>
          <w:sz w:val="32"/>
          <w:szCs w:val="32"/>
          <w:rtl/>
        </w:rPr>
        <w:t xml:space="preserve">: </w:t>
      </w:r>
      <w:r>
        <w:rPr>
          <w:rFonts w:hint="cs"/>
          <w:b/>
          <w:bCs/>
          <w:sz w:val="32"/>
          <w:szCs w:val="32"/>
          <w:rtl/>
        </w:rPr>
        <w:t>كُلُّ</w:t>
      </w:r>
      <w:r>
        <w:rPr>
          <w:rFonts w:hint="cs"/>
          <w:sz w:val="32"/>
          <w:szCs w:val="32"/>
          <w:rtl/>
        </w:rPr>
        <w:t xml:space="preserve"> شرطٍ يغيِّرُ حكمَ الشَّرْعِ يَكُونُ باطِلاً.</w:t>
      </w:r>
    </w:p>
    <w:p w:rsidR="00284270" w:rsidRDefault="00284270" w:rsidP="0022714B">
      <w:pPr>
        <w:ind w:left="2833" w:hanging="2266"/>
        <w:rPr>
          <w:sz w:val="32"/>
          <w:szCs w:val="32"/>
          <w:rtl/>
        </w:rPr>
      </w:pPr>
      <w:r>
        <w:rPr>
          <w:rFonts w:hint="cs"/>
          <w:sz w:val="32"/>
          <w:szCs w:val="32"/>
          <w:rtl/>
        </w:rPr>
        <w:t xml:space="preserve">               ق187 </w:t>
      </w:r>
      <w:r>
        <w:rPr>
          <w:sz w:val="32"/>
          <w:szCs w:val="32"/>
        </w:rPr>
        <w:tab/>
      </w:r>
      <w:r>
        <w:rPr>
          <w:rFonts w:hint="cs"/>
          <w:sz w:val="32"/>
          <w:szCs w:val="32"/>
          <w:rtl/>
        </w:rPr>
        <w:t xml:space="preserve">: كَلِمَةُ </w:t>
      </w:r>
      <w:r>
        <w:rPr>
          <w:rFonts w:hint="cs"/>
          <w:b/>
          <w:bCs/>
          <w:sz w:val="32"/>
          <w:szCs w:val="32"/>
          <w:rtl/>
        </w:rPr>
        <w:t>(كُلٍّ)</w:t>
      </w:r>
      <w:r>
        <w:rPr>
          <w:rFonts w:hint="cs"/>
          <w:sz w:val="32"/>
          <w:szCs w:val="32"/>
          <w:rtl/>
        </w:rPr>
        <w:t xml:space="preserve"> إِذَا دَخَلَتْ عَلَى المَعْرِفَةِ أوْجَبَتْ عُمُومَ أجْزَائِهِ.</w:t>
      </w:r>
    </w:p>
    <w:p w:rsidR="00284270" w:rsidRDefault="00284270" w:rsidP="0022714B">
      <w:pPr>
        <w:ind w:left="2833" w:hanging="2266"/>
        <w:rPr>
          <w:sz w:val="32"/>
          <w:szCs w:val="32"/>
          <w:rtl/>
        </w:rPr>
      </w:pPr>
      <w:r>
        <w:rPr>
          <w:rFonts w:hint="cs"/>
          <w:sz w:val="32"/>
          <w:szCs w:val="32"/>
          <w:rtl/>
        </w:rPr>
        <w:t xml:space="preserve">               ق186 </w:t>
      </w:r>
      <w:r>
        <w:rPr>
          <w:sz w:val="32"/>
          <w:szCs w:val="32"/>
        </w:rPr>
        <w:tab/>
      </w:r>
      <w:r>
        <w:rPr>
          <w:rFonts w:hint="cs"/>
          <w:sz w:val="32"/>
          <w:szCs w:val="32"/>
          <w:rtl/>
        </w:rPr>
        <w:t xml:space="preserve">: كَلِمَـةُ  </w:t>
      </w:r>
      <w:r>
        <w:rPr>
          <w:rFonts w:hint="cs"/>
          <w:b/>
          <w:bCs/>
          <w:sz w:val="32"/>
          <w:szCs w:val="32"/>
          <w:rtl/>
        </w:rPr>
        <w:t>(كُلٍّ)</w:t>
      </w:r>
      <w:r>
        <w:rPr>
          <w:rFonts w:hint="cs"/>
          <w:sz w:val="32"/>
          <w:szCs w:val="32"/>
          <w:rtl/>
        </w:rPr>
        <w:t xml:space="preserve"> إِذَا دَخَلَتْ عَلَى النَّكِرَةِ أوجَبَتْ عُمُومَ أَفْرَادِهَا عَلَى سَبِيلِ الشُّمُولِ دُوْنَ التِّكْرَار.ِ</w:t>
      </w:r>
    </w:p>
    <w:p w:rsidR="00284270" w:rsidRDefault="00284270">
      <w:pPr>
        <w:rPr>
          <w:sz w:val="32"/>
          <w:szCs w:val="32"/>
          <w:rtl/>
        </w:rPr>
      </w:pPr>
      <w:r>
        <w:rPr>
          <w:rFonts w:hint="cs"/>
          <w:b/>
          <w:bCs/>
          <w:sz w:val="32"/>
          <w:szCs w:val="32"/>
          <w:rtl/>
        </w:rPr>
        <w:t>كلف</w:t>
      </w:r>
      <w:r>
        <w:rPr>
          <w:sz w:val="32"/>
          <w:szCs w:val="32"/>
        </w:rPr>
        <w:tab/>
      </w:r>
      <w:r>
        <w:rPr>
          <w:sz w:val="32"/>
          <w:szCs w:val="32"/>
        </w:rPr>
        <w:tab/>
      </w:r>
      <w:r>
        <w:rPr>
          <w:rFonts w:hint="cs"/>
          <w:sz w:val="32"/>
          <w:szCs w:val="32"/>
          <w:rtl/>
        </w:rPr>
        <w:t xml:space="preserve">: ق85 </w:t>
      </w:r>
      <w:r>
        <w:rPr>
          <w:sz w:val="32"/>
          <w:szCs w:val="32"/>
        </w:rPr>
        <w:tab/>
      </w:r>
      <w:r>
        <w:rPr>
          <w:rFonts w:hint="cs"/>
          <w:sz w:val="32"/>
          <w:szCs w:val="32"/>
          <w:rtl/>
        </w:rPr>
        <w:tab/>
        <w:t xml:space="preserve">: </w:t>
      </w:r>
      <w:r>
        <w:rPr>
          <w:rFonts w:hint="cs"/>
          <w:b/>
          <w:bCs/>
          <w:sz w:val="32"/>
          <w:szCs w:val="32"/>
          <w:rtl/>
        </w:rPr>
        <w:t>التَّكليف</w:t>
      </w:r>
      <w:r>
        <w:rPr>
          <w:rFonts w:hint="cs"/>
          <w:sz w:val="32"/>
          <w:szCs w:val="32"/>
          <w:rtl/>
        </w:rPr>
        <w:t xml:space="preserve">ُ بِحسبِ الوُسْعِ. </w:t>
      </w:r>
    </w:p>
    <w:p w:rsidR="00284270" w:rsidRDefault="00284270">
      <w:pPr>
        <w:rPr>
          <w:sz w:val="32"/>
          <w:szCs w:val="32"/>
          <w:rtl/>
        </w:rPr>
      </w:pPr>
      <w:r>
        <w:rPr>
          <w:rFonts w:hint="cs"/>
          <w:b/>
          <w:bCs/>
          <w:sz w:val="32"/>
          <w:szCs w:val="32"/>
          <w:rtl/>
        </w:rPr>
        <w:t>كلم</w:t>
      </w:r>
      <w:r>
        <w:rPr>
          <w:rFonts w:hint="cs"/>
          <w:sz w:val="32"/>
          <w:szCs w:val="32"/>
          <w:rtl/>
        </w:rPr>
        <w:tab/>
      </w:r>
      <w:r>
        <w:rPr>
          <w:sz w:val="32"/>
          <w:szCs w:val="32"/>
        </w:rPr>
        <w:tab/>
      </w:r>
      <w:r>
        <w:rPr>
          <w:rFonts w:hint="cs"/>
          <w:sz w:val="32"/>
          <w:szCs w:val="32"/>
          <w:rtl/>
        </w:rPr>
        <w:t xml:space="preserve">: ق20 </w:t>
      </w:r>
      <w:r>
        <w:rPr>
          <w:sz w:val="32"/>
          <w:szCs w:val="32"/>
        </w:rPr>
        <w:tab/>
      </w:r>
      <w:r>
        <w:rPr>
          <w:rFonts w:hint="cs"/>
          <w:sz w:val="32"/>
          <w:szCs w:val="32"/>
          <w:rtl/>
        </w:rPr>
        <w:t xml:space="preserve">     : الاستثناءُ </w:t>
      </w:r>
      <w:r>
        <w:rPr>
          <w:rFonts w:hint="cs"/>
          <w:b/>
          <w:bCs/>
          <w:sz w:val="32"/>
          <w:szCs w:val="32"/>
          <w:rtl/>
        </w:rPr>
        <w:t>تكلُّمٌ</w:t>
      </w:r>
      <w:r>
        <w:rPr>
          <w:rFonts w:hint="cs"/>
          <w:sz w:val="32"/>
          <w:szCs w:val="32"/>
          <w:rtl/>
        </w:rPr>
        <w:t xml:space="preserve"> بالبَاقِي. </w:t>
      </w:r>
    </w:p>
    <w:p w:rsidR="00284270" w:rsidRDefault="00284270" w:rsidP="0022714B">
      <w:pPr>
        <w:ind w:left="2833" w:hanging="1245"/>
        <w:rPr>
          <w:sz w:val="32"/>
          <w:szCs w:val="32"/>
          <w:rtl/>
        </w:rPr>
      </w:pPr>
      <w:r>
        <w:rPr>
          <w:rFonts w:hint="cs"/>
          <w:sz w:val="32"/>
          <w:szCs w:val="32"/>
          <w:rtl/>
        </w:rPr>
        <w:t xml:space="preserve">  ق33 </w:t>
      </w:r>
      <w:r>
        <w:rPr>
          <w:sz w:val="32"/>
          <w:szCs w:val="32"/>
        </w:rPr>
        <w:tab/>
      </w:r>
      <w:r>
        <w:rPr>
          <w:rFonts w:hint="cs"/>
          <w:sz w:val="32"/>
          <w:szCs w:val="32"/>
          <w:rtl/>
        </w:rPr>
        <w:t xml:space="preserve">: إِعْمَالُ </w:t>
      </w:r>
      <w:r>
        <w:rPr>
          <w:rFonts w:hint="cs"/>
          <w:b/>
          <w:bCs/>
          <w:sz w:val="32"/>
          <w:szCs w:val="32"/>
          <w:rtl/>
        </w:rPr>
        <w:t>الكَلاَمِ</w:t>
      </w:r>
      <w:r>
        <w:rPr>
          <w:rFonts w:hint="cs"/>
          <w:sz w:val="32"/>
          <w:szCs w:val="32"/>
          <w:rtl/>
        </w:rPr>
        <w:t xml:space="preserve"> أَوْلَى مِنْ إهمالِهِ متَى أَمْكَنَ، وإذَا لمْ يمكِنْ أُهْمِلَ.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ق135 </w:t>
      </w:r>
      <w:r>
        <w:rPr>
          <w:sz w:val="32"/>
          <w:szCs w:val="32"/>
        </w:rPr>
        <w:tab/>
      </w:r>
      <w:r>
        <w:rPr>
          <w:rFonts w:hint="cs"/>
          <w:sz w:val="32"/>
          <w:szCs w:val="32"/>
          <w:rtl/>
        </w:rPr>
        <w:t xml:space="preserve">: الرَّسُولُ مُعبّرٌ وسَفيرٌ، </w:t>
      </w:r>
      <w:r>
        <w:rPr>
          <w:rFonts w:hint="cs"/>
          <w:b/>
          <w:bCs/>
          <w:sz w:val="32"/>
          <w:szCs w:val="32"/>
          <w:rtl/>
        </w:rPr>
        <w:t>فَكَلاَمُهُ</w:t>
      </w:r>
      <w:r>
        <w:rPr>
          <w:rFonts w:hint="cs"/>
          <w:sz w:val="32"/>
          <w:szCs w:val="32"/>
          <w:rtl/>
        </w:rPr>
        <w:t xml:space="preserve"> كَكَلاَمِ المُرْسِلِ.</w:t>
      </w:r>
    </w:p>
    <w:p w:rsidR="00284270" w:rsidRPr="00EF5A8D" w:rsidRDefault="00284270">
      <w:pPr>
        <w:rPr>
          <w:sz w:val="22"/>
          <w:szCs w:val="22"/>
          <w:rtl/>
        </w:rPr>
      </w:pPr>
    </w:p>
    <w:p w:rsidR="00284270" w:rsidRDefault="0022714B">
      <w:pPr>
        <w:jc w:val="center"/>
        <w:rPr>
          <w:b/>
          <w:bCs/>
          <w:sz w:val="48"/>
          <w:szCs w:val="48"/>
          <w:rtl/>
        </w:rPr>
      </w:pPr>
      <w:r>
        <w:rPr>
          <w:noProof/>
          <w:rtl/>
        </w:rPr>
        <w:pict>
          <v:rect id="_x0000_s1054" style="position:absolute;left:0;text-align:left;margin-left:165.05pt;margin-top:.5pt;width:54.15pt;height:37.05pt;z-index:-251622400;mso-wrap-edited:f" wrapcoords="-379 0 -379 21600 758 22265 23495 22265 23116 997 22358 0 -379 0">
            <v:shadow on="t" offset="3pt" offset2="2pt"/>
          </v:rect>
        </w:pict>
      </w:r>
      <w:r w:rsidR="00284270">
        <w:rPr>
          <w:rFonts w:hint="cs"/>
          <w:b/>
          <w:bCs/>
          <w:sz w:val="48"/>
          <w:szCs w:val="48"/>
          <w:rtl/>
        </w:rPr>
        <w:t>(ل)</w:t>
      </w:r>
    </w:p>
    <w:p w:rsidR="00284270" w:rsidRPr="00EF5A8D" w:rsidRDefault="00284270">
      <w:pPr>
        <w:jc w:val="center"/>
        <w:rPr>
          <w:sz w:val="32"/>
          <w:szCs w:val="32"/>
          <w:rtl/>
        </w:rPr>
      </w:pPr>
    </w:p>
    <w:p w:rsidR="00284270" w:rsidRDefault="00284270">
      <w:pPr>
        <w:rPr>
          <w:sz w:val="32"/>
          <w:szCs w:val="32"/>
          <w:rtl/>
        </w:rPr>
      </w:pPr>
      <w:r>
        <w:rPr>
          <w:rFonts w:hint="cs"/>
          <w:b/>
          <w:bCs/>
          <w:sz w:val="32"/>
          <w:szCs w:val="32"/>
          <w:rtl/>
        </w:rPr>
        <w:t>لحق</w:t>
      </w:r>
      <w:r>
        <w:rPr>
          <w:rFonts w:hint="cs"/>
          <w:sz w:val="32"/>
          <w:szCs w:val="32"/>
          <w:rtl/>
        </w:rPr>
        <w:tab/>
      </w:r>
      <w:r>
        <w:rPr>
          <w:sz w:val="32"/>
          <w:szCs w:val="32"/>
        </w:rPr>
        <w:tab/>
      </w:r>
      <w:r>
        <w:rPr>
          <w:rFonts w:hint="cs"/>
          <w:sz w:val="32"/>
          <w:szCs w:val="32"/>
          <w:rtl/>
        </w:rPr>
        <w:t xml:space="preserve">: ق152 </w:t>
      </w:r>
      <w:r>
        <w:rPr>
          <w:sz w:val="32"/>
          <w:szCs w:val="32"/>
        </w:rPr>
        <w:tab/>
      </w:r>
      <w:r>
        <w:rPr>
          <w:rFonts w:hint="cs"/>
          <w:sz w:val="32"/>
          <w:szCs w:val="32"/>
          <w:rtl/>
        </w:rPr>
        <w:t>: الشَّيءُ إِنَّمَا</w:t>
      </w:r>
      <w:r w:rsidRPr="00EF5A8D">
        <w:rPr>
          <w:rFonts w:hint="cs"/>
          <w:b/>
          <w:bCs/>
          <w:sz w:val="32"/>
          <w:szCs w:val="32"/>
          <w:rtl/>
        </w:rPr>
        <w:t xml:space="preserve"> يُلْحَقُ</w:t>
      </w:r>
      <w:r>
        <w:rPr>
          <w:rFonts w:hint="cs"/>
          <w:sz w:val="32"/>
          <w:szCs w:val="32"/>
          <w:rtl/>
        </w:rPr>
        <w:t xml:space="preserve"> بِغَيْرِهِ إِذَا تَسَاوَيَا مِنْ جَمِيعِ الوُجُوهِ.</w:t>
      </w:r>
    </w:p>
    <w:p w:rsidR="00284270" w:rsidRDefault="00284270">
      <w:pPr>
        <w:rPr>
          <w:sz w:val="32"/>
          <w:szCs w:val="32"/>
          <w:rtl/>
        </w:rPr>
      </w:pPr>
      <w:r>
        <w:rPr>
          <w:rFonts w:hint="cs"/>
          <w:b/>
          <w:bCs/>
          <w:sz w:val="32"/>
          <w:szCs w:val="32"/>
          <w:rtl/>
        </w:rPr>
        <w:t>لزم</w:t>
      </w:r>
      <w:r>
        <w:rPr>
          <w:rFonts w:hint="cs"/>
          <w:sz w:val="32"/>
          <w:szCs w:val="32"/>
          <w:rtl/>
        </w:rPr>
        <w:tab/>
      </w:r>
      <w:r>
        <w:rPr>
          <w:sz w:val="32"/>
          <w:szCs w:val="32"/>
        </w:rPr>
        <w:tab/>
      </w:r>
      <w:r>
        <w:rPr>
          <w:rFonts w:hint="cs"/>
          <w:sz w:val="32"/>
          <w:szCs w:val="32"/>
          <w:rtl/>
        </w:rPr>
        <w:t xml:space="preserve">: ق38 </w:t>
      </w:r>
      <w:r>
        <w:rPr>
          <w:sz w:val="32"/>
          <w:szCs w:val="32"/>
        </w:rPr>
        <w:tab/>
      </w:r>
      <w:r>
        <w:rPr>
          <w:rFonts w:hint="cs"/>
          <w:sz w:val="32"/>
          <w:szCs w:val="32"/>
          <w:rtl/>
        </w:rPr>
        <w:tab/>
        <w:t xml:space="preserve">: الإقرارُ </w:t>
      </w:r>
      <w:r w:rsidRPr="00EF5A8D">
        <w:rPr>
          <w:rFonts w:hint="cs"/>
          <w:b/>
          <w:bCs/>
          <w:sz w:val="32"/>
          <w:szCs w:val="32"/>
          <w:rtl/>
        </w:rPr>
        <w:t>ملزمٌ</w:t>
      </w:r>
      <w:r>
        <w:rPr>
          <w:rFonts w:hint="cs"/>
          <w:sz w:val="32"/>
          <w:szCs w:val="32"/>
          <w:rtl/>
        </w:rPr>
        <w:t xml:space="preserve"> شرعًا كالبيِّنةِ؛ بَلْ أَوْلَى.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ق151 </w:t>
      </w:r>
      <w:r>
        <w:rPr>
          <w:sz w:val="32"/>
          <w:szCs w:val="32"/>
        </w:rPr>
        <w:tab/>
      </w:r>
      <w:r>
        <w:rPr>
          <w:rFonts w:hint="cs"/>
          <w:sz w:val="32"/>
          <w:szCs w:val="32"/>
          <w:rtl/>
        </w:rPr>
        <w:t xml:space="preserve">: الشَّيُء إِذَا ثَبَتَ ثَبَتَ بِجَميعِ </w:t>
      </w:r>
      <w:r w:rsidRPr="00EF5A8D">
        <w:rPr>
          <w:rFonts w:hint="cs"/>
          <w:b/>
          <w:bCs/>
          <w:sz w:val="32"/>
          <w:szCs w:val="32"/>
          <w:rtl/>
        </w:rPr>
        <w:t>لَوَازِمِهِ</w:t>
      </w:r>
      <w:r>
        <w:rPr>
          <w:rFonts w:hint="cs"/>
          <w:sz w:val="32"/>
          <w:szCs w:val="32"/>
          <w:rtl/>
        </w:rPr>
        <w:t>.</w:t>
      </w:r>
    </w:p>
    <w:p w:rsidR="00284270" w:rsidRDefault="00284270">
      <w:pPr>
        <w:rPr>
          <w:sz w:val="32"/>
          <w:szCs w:val="32"/>
          <w:rtl/>
        </w:rPr>
      </w:pPr>
      <w:r>
        <w:rPr>
          <w:rFonts w:hint="cs"/>
          <w:b/>
          <w:bCs/>
          <w:sz w:val="32"/>
          <w:szCs w:val="32"/>
          <w:rtl/>
        </w:rPr>
        <w:t>لفظ</w:t>
      </w:r>
      <w:r>
        <w:rPr>
          <w:rFonts w:hint="cs"/>
          <w:sz w:val="32"/>
          <w:szCs w:val="32"/>
          <w:rtl/>
        </w:rPr>
        <w:tab/>
      </w:r>
      <w:r>
        <w:rPr>
          <w:sz w:val="32"/>
          <w:szCs w:val="32"/>
        </w:rPr>
        <w:tab/>
      </w:r>
      <w:r>
        <w:rPr>
          <w:rFonts w:hint="cs"/>
          <w:sz w:val="32"/>
          <w:szCs w:val="32"/>
          <w:rtl/>
        </w:rPr>
        <w:t xml:space="preserve">: ق34 </w:t>
      </w:r>
      <w:r>
        <w:rPr>
          <w:sz w:val="32"/>
          <w:szCs w:val="32"/>
        </w:rPr>
        <w:tab/>
      </w:r>
      <w:r>
        <w:rPr>
          <w:rFonts w:hint="cs"/>
          <w:sz w:val="32"/>
          <w:szCs w:val="32"/>
          <w:rtl/>
        </w:rPr>
        <w:tab/>
        <w:t xml:space="preserve">: الاعْتِبَارُ لِلْمَقَاصِدِ والمَعَانِيْ لا </w:t>
      </w:r>
      <w:r w:rsidRPr="007B1527">
        <w:rPr>
          <w:rFonts w:hint="cs"/>
          <w:b/>
          <w:bCs/>
          <w:sz w:val="32"/>
          <w:szCs w:val="32"/>
          <w:rtl/>
        </w:rPr>
        <w:t>للأَلْفاظِ</w:t>
      </w:r>
      <w:r>
        <w:rPr>
          <w:rFonts w:hint="cs"/>
          <w:sz w:val="32"/>
          <w:szCs w:val="32"/>
          <w:rtl/>
        </w:rPr>
        <w:t xml:space="preserve"> والمَبَانِيْ. </w:t>
      </w:r>
    </w:p>
    <w:p w:rsidR="00284270" w:rsidRDefault="00284270" w:rsidP="0022714B">
      <w:pPr>
        <w:ind w:left="2833" w:hanging="1245"/>
        <w:rPr>
          <w:sz w:val="32"/>
          <w:szCs w:val="32"/>
          <w:rtl/>
        </w:rPr>
      </w:pPr>
      <w:r>
        <w:rPr>
          <w:rFonts w:hint="cs"/>
          <w:sz w:val="32"/>
          <w:szCs w:val="32"/>
          <w:rtl/>
        </w:rPr>
        <w:t xml:space="preserve">  ق49 </w:t>
      </w:r>
      <w:r>
        <w:rPr>
          <w:sz w:val="32"/>
          <w:szCs w:val="32"/>
        </w:rPr>
        <w:tab/>
      </w:r>
      <w:r>
        <w:rPr>
          <w:rFonts w:hint="cs"/>
          <w:sz w:val="32"/>
          <w:szCs w:val="32"/>
          <w:rtl/>
        </w:rPr>
        <w:t xml:space="preserve">: الأَيْمَانُ مَبْنِيَّةٌ عَلَى </w:t>
      </w:r>
      <w:r>
        <w:rPr>
          <w:rFonts w:hint="cs"/>
          <w:b/>
          <w:bCs/>
          <w:sz w:val="32"/>
          <w:szCs w:val="32"/>
          <w:rtl/>
        </w:rPr>
        <w:t>الأَلْفَاظِ</w:t>
      </w:r>
      <w:r>
        <w:rPr>
          <w:rFonts w:hint="cs"/>
          <w:sz w:val="32"/>
          <w:szCs w:val="32"/>
          <w:rtl/>
        </w:rPr>
        <w:t xml:space="preserve"> والعُرْفِ، لاَ عَلَى الأَغْرَاضِ.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ق166 </w:t>
      </w:r>
      <w:r>
        <w:rPr>
          <w:sz w:val="32"/>
          <w:szCs w:val="32"/>
        </w:rPr>
        <w:tab/>
      </w:r>
      <w:r>
        <w:rPr>
          <w:rFonts w:hint="cs"/>
          <w:sz w:val="32"/>
          <w:szCs w:val="32"/>
          <w:rtl/>
        </w:rPr>
        <w:t xml:space="preserve">: العِبْرَةُ </w:t>
      </w:r>
      <w:r>
        <w:rPr>
          <w:rFonts w:hint="cs"/>
          <w:b/>
          <w:bCs/>
          <w:sz w:val="32"/>
          <w:szCs w:val="32"/>
          <w:rtl/>
        </w:rPr>
        <w:t>للملفُوظِ</w:t>
      </w:r>
      <w:r>
        <w:rPr>
          <w:rFonts w:hint="cs"/>
          <w:sz w:val="32"/>
          <w:szCs w:val="32"/>
          <w:rtl/>
        </w:rPr>
        <w:t xml:space="preserve"> نَصًّا دُونَ المَقْصُودِ.</w:t>
      </w:r>
    </w:p>
    <w:p w:rsidR="00284270" w:rsidRDefault="00284270" w:rsidP="0022714B">
      <w:pPr>
        <w:ind w:left="2833" w:hanging="1245"/>
        <w:rPr>
          <w:sz w:val="32"/>
          <w:szCs w:val="32"/>
          <w:rtl/>
        </w:rPr>
      </w:pPr>
      <w:r>
        <w:rPr>
          <w:rFonts w:hint="cs"/>
          <w:sz w:val="32"/>
          <w:szCs w:val="32"/>
          <w:rtl/>
        </w:rPr>
        <w:t xml:space="preserve">  ق213 </w:t>
      </w:r>
      <w:r>
        <w:rPr>
          <w:sz w:val="32"/>
          <w:szCs w:val="32"/>
        </w:rPr>
        <w:tab/>
      </w:r>
      <w:r>
        <w:rPr>
          <w:rFonts w:hint="cs"/>
          <w:sz w:val="32"/>
          <w:szCs w:val="32"/>
          <w:rtl/>
        </w:rPr>
        <w:t xml:space="preserve">: </w:t>
      </w:r>
      <w:r>
        <w:rPr>
          <w:rFonts w:hint="cs"/>
          <w:b/>
          <w:bCs/>
          <w:sz w:val="32"/>
          <w:szCs w:val="32"/>
          <w:rtl/>
        </w:rPr>
        <w:t>اللَّفْظُ</w:t>
      </w:r>
      <w:r>
        <w:rPr>
          <w:rFonts w:hint="cs"/>
          <w:sz w:val="32"/>
          <w:szCs w:val="32"/>
          <w:rtl/>
        </w:rPr>
        <w:t xml:space="preserve"> إِذَا كَانَ لَهُ مَعْنًى حَقِيقِيٌّ مُسْتَعْمَلٌ ، وَمَعْنًى مَجَازِيٌّ مُتَعَارَفٌ : يُرَجَّحُ المَعْنَى الحَقِيقِيُّ عندَ أَبِي حنيفةَ </w:t>
      </w:r>
      <w:r>
        <w:rPr>
          <w:sz w:val="32"/>
          <w:szCs w:val="32"/>
          <w:rtl/>
        </w:rPr>
        <w:t>–</w:t>
      </w:r>
      <w:r>
        <w:rPr>
          <w:rFonts w:hint="cs"/>
          <w:sz w:val="32"/>
          <w:szCs w:val="32"/>
          <w:rtl/>
        </w:rPr>
        <w:t xml:space="preserve">رَحِمَهُ اللَّهُ- وعندَهُمَا </w:t>
      </w:r>
      <w:r>
        <w:rPr>
          <w:sz w:val="32"/>
          <w:szCs w:val="32"/>
          <w:rtl/>
        </w:rPr>
        <w:t>–</w:t>
      </w:r>
      <w:r>
        <w:rPr>
          <w:rFonts w:hint="cs"/>
          <w:sz w:val="32"/>
          <w:szCs w:val="32"/>
          <w:rtl/>
        </w:rPr>
        <w:t xml:space="preserve"> رَحِمَهُمَا اللَّهُ- : المَجَازِيُّ.</w:t>
      </w:r>
    </w:p>
    <w:p w:rsidR="00284270" w:rsidRDefault="00284270">
      <w:pPr>
        <w:rPr>
          <w:rtl/>
        </w:rPr>
      </w:pPr>
      <w:r>
        <w:rPr>
          <w:rFonts w:hint="cs"/>
          <w:rtl/>
        </w:rPr>
        <w:t xml:space="preserve"> </w:t>
      </w:r>
    </w:p>
    <w:p w:rsidR="00284270" w:rsidRDefault="0022714B">
      <w:pPr>
        <w:jc w:val="center"/>
        <w:rPr>
          <w:b/>
          <w:bCs/>
          <w:sz w:val="48"/>
          <w:szCs w:val="48"/>
          <w:rtl/>
        </w:rPr>
      </w:pPr>
      <w:r>
        <w:rPr>
          <w:b/>
          <w:bCs/>
          <w:noProof/>
          <w:szCs w:val="48"/>
          <w:rtl/>
        </w:rPr>
        <w:pict>
          <v:rect id="_x0000_s1049" style="position:absolute;left:0;text-align:left;margin-left:162.45pt;margin-top:3.1pt;width:54.15pt;height:37.05pt;z-index:-251627520;mso-wrap-edited:f" wrapcoords="-379 0 -379 21600 758 22265 23495 22265 23116 997 22358 0 -379 0">
            <v:shadow on="t" offset="3pt" offset2="2pt"/>
          </v:rect>
        </w:pict>
      </w:r>
      <w:r w:rsidR="00284270">
        <w:rPr>
          <w:rFonts w:hint="cs"/>
          <w:b/>
          <w:bCs/>
          <w:sz w:val="48"/>
          <w:szCs w:val="48"/>
          <w:rtl/>
        </w:rPr>
        <w:t xml:space="preserve"> (م)</w:t>
      </w:r>
    </w:p>
    <w:p w:rsidR="00284270" w:rsidRDefault="00284270">
      <w:pPr>
        <w:rPr>
          <w:rtl/>
        </w:rPr>
      </w:pPr>
    </w:p>
    <w:p w:rsidR="00284270" w:rsidRDefault="00284270">
      <w:pPr>
        <w:rPr>
          <w:sz w:val="32"/>
          <w:szCs w:val="32"/>
          <w:rtl/>
        </w:rPr>
      </w:pPr>
      <w:r>
        <w:rPr>
          <w:rFonts w:hint="cs"/>
          <w:b/>
          <w:bCs/>
          <w:sz w:val="32"/>
          <w:szCs w:val="32"/>
          <w:rtl/>
        </w:rPr>
        <w:t>مثل</w:t>
      </w:r>
      <w:r>
        <w:rPr>
          <w:rFonts w:hint="cs"/>
          <w:sz w:val="32"/>
          <w:szCs w:val="32"/>
          <w:rtl/>
        </w:rPr>
        <w:tab/>
      </w:r>
      <w:r>
        <w:rPr>
          <w:sz w:val="32"/>
          <w:szCs w:val="32"/>
        </w:rPr>
        <w:tab/>
      </w:r>
      <w:r>
        <w:rPr>
          <w:rFonts w:hint="cs"/>
          <w:sz w:val="32"/>
          <w:szCs w:val="32"/>
          <w:rtl/>
        </w:rPr>
        <w:t xml:space="preserve">: ق128 </w:t>
      </w:r>
      <w:r>
        <w:rPr>
          <w:sz w:val="32"/>
          <w:szCs w:val="32"/>
        </w:rPr>
        <w:tab/>
      </w:r>
      <w:r>
        <w:rPr>
          <w:rFonts w:hint="cs"/>
          <w:sz w:val="32"/>
          <w:szCs w:val="32"/>
          <w:rtl/>
        </w:rPr>
        <w:t xml:space="preserve">: الدُّيُونُ تُقْضَى </w:t>
      </w:r>
      <w:r>
        <w:rPr>
          <w:rFonts w:hint="cs"/>
          <w:b/>
          <w:bCs/>
          <w:sz w:val="32"/>
          <w:szCs w:val="32"/>
          <w:rtl/>
        </w:rPr>
        <w:t>بأَمثَالِهَا</w:t>
      </w:r>
      <w:r>
        <w:rPr>
          <w:rFonts w:hint="cs"/>
          <w:sz w:val="32"/>
          <w:szCs w:val="32"/>
          <w:rtl/>
        </w:rPr>
        <w:t>.</w:t>
      </w:r>
    </w:p>
    <w:p w:rsidR="00284270" w:rsidRDefault="00284270" w:rsidP="0022714B">
      <w:pPr>
        <w:ind w:left="2833" w:hanging="2266"/>
        <w:rPr>
          <w:sz w:val="32"/>
          <w:szCs w:val="32"/>
          <w:rtl/>
        </w:rPr>
      </w:pPr>
      <w:r>
        <w:rPr>
          <w:rFonts w:hint="cs"/>
          <w:b/>
          <w:bCs/>
          <w:sz w:val="32"/>
          <w:szCs w:val="32"/>
          <w:rtl/>
        </w:rPr>
        <w:lastRenderedPageBreak/>
        <w:t>مضى</w:t>
      </w:r>
      <w:r>
        <w:rPr>
          <w:sz w:val="32"/>
          <w:szCs w:val="32"/>
        </w:rPr>
        <w:t xml:space="preserve">       </w:t>
      </w:r>
      <w:r>
        <w:rPr>
          <w:rFonts w:hint="cs"/>
          <w:sz w:val="32"/>
          <w:szCs w:val="32"/>
          <w:rtl/>
        </w:rPr>
        <w:t xml:space="preserve">: ق133 </w:t>
      </w:r>
      <w:r>
        <w:rPr>
          <w:sz w:val="32"/>
          <w:szCs w:val="32"/>
        </w:rPr>
        <w:tab/>
      </w:r>
      <w:r>
        <w:rPr>
          <w:rFonts w:hint="cs"/>
          <w:sz w:val="32"/>
          <w:szCs w:val="32"/>
          <w:rtl/>
        </w:rPr>
        <w:t xml:space="preserve">: الرُّجُوعُ إثباتٌ فِي </w:t>
      </w:r>
      <w:r>
        <w:rPr>
          <w:rFonts w:hint="cs"/>
          <w:b/>
          <w:bCs/>
          <w:sz w:val="32"/>
          <w:szCs w:val="32"/>
          <w:rtl/>
        </w:rPr>
        <w:t>المَاضِي</w:t>
      </w:r>
      <w:r>
        <w:rPr>
          <w:rFonts w:hint="cs"/>
          <w:sz w:val="32"/>
          <w:szCs w:val="32"/>
          <w:rtl/>
        </w:rPr>
        <w:t xml:space="preserve"> ونفيٌ فِي الحَالِ، والجُحُودُ نفيٌ فِيهِمَا.</w:t>
      </w:r>
    </w:p>
    <w:p w:rsidR="00284270" w:rsidRDefault="00284270" w:rsidP="0022714B">
      <w:pPr>
        <w:ind w:left="2833" w:hanging="2266"/>
        <w:rPr>
          <w:sz w:val="32"/>
          <w:szCs w:val="32"/>
          <w:rtl/>
        </w:rPr>
      </w:pPr>
      <w:r>
        <w:rPr>
          <w:rFonts w:hint="cs"/>
          <w:b/>
          <w:bCs/>
          <w:sz w:val="32"/>
          <w:szCs w:val="32"/>
          <w:rtl/>
        </w:rPr>
        <w:t>معنى</w:t>
      </w:r>
      <w:r>
        <w:rPr>
          <w:b/>
          <w:bCs/>
          <w:sz w:val="32"/>
          <w:szCs w:val="32"/>
        </w:rPr>
        <w:t xml:space="preserve">       </w:t>
      </w:r>
      <w:r>
        <w:rPr>
          <w:sz w:val="32"/>
          <w:szCs w:val="32"/>
        </w:rPr>
        <w:t xml:space="preserve"> </w:t>
      </w:r>
      <w:r>
        <w:rPr>
          <w:rFonts w:hint="cs"/>
          <w:sz w:val="32"/>
          <w:szCs w:val="32"/>
          <w:rtl/>
        </w:rPr>
        <w:t xml:space="preserve">: ق210 </w:t>
      </w:r>
      <w:r>
        <w:rPr>
          <w:sz w:val="32"/>
          <w:szCs w:val="32"/>
        </w:rPr>
        <w:tab/>
      </w:r>
      <w:r>
        <w:rPr>
          <w:rFonts w:hint="cs"/>
          <w:sz w:val="32"/>
          <w:szCs w:val="32"/>
          <w:rtl/>
        </w:rPr>
        <w:t xml:space="preserve">: لاَ يَجُوزُ إِرَادَةُ </w:t>
      </w:r>
      <w:r>
        <w:rPr>
          <w:rFonts w:hint="cs"/>
          <w:b/>
          <w:bCs/>
          <w:sz w:val="32"/>
          <w:szCs w:val="32"/>
          <w:rtl/>
        </w:rPr>
        <w:t>المَعْنَى</w:t>
      </w:r>
      <w:r>
        <w:rPr>
          <w:rFonts w:hint="cs"/>
          <w:sz w:val="32"/>
          <w:szCs w:val="32"/>
          <w:rtl/>
        </w:rPr>
        <w:t xml:space="preserve"> الحَقِيقِيِّ وَالمَجَازِيِّ  مِنْ لَفْظٍ وَاحِدٍ.</w:t>
      </w:r>
    </w:p>
    <w:p w:rsidR="00284270" w:rsidRDefault="00284270">
      <w:pPr>
        <w:rPr>
          <w:sz w:val="32"/>
          <w:szCs w:val="32"/>
          <w:rtl/>
        </w:rPr>
      </w:pPr>
      <w:r>
        <w:rPr>
          <w:rFonts w:hint="cs"/>
          <w:b/>
          <w:bCs/>
          <w:sz w:val="32"/>
          <w:szCs w:val="32"/>
          <w:rtl/>
        </w:rPr>
        <w:t>مكن</w:t>
      </w:r>
      <w:r>
        <w:rPr>
          <w:rFonts w:hint="cs"/>
          <w:sz w:val="32"/>
          <w:szCs w:val="32"/>
          <w:rtl/>
        </w:rPr>
        <w:tab/>
      </w:r>
      <w:r>
        <w:rPr>
          <w:rFonts w:hint="cs"/>
          <w:sz w:val="32"/>
          <w:szCs w:val="32"/>
          <w:rtl/>
        </w:rPr>
        <w:tab/>
        <w:t xml:space="preserve">: ق158 </w:t>
      </w:r>
      <w:r>
        <w:rPr>
          <w:rFonts w:hint="cs"/>
          <w:sz w:val="32"/>
          <w:szCs w:val="32"/>
          <w:rtl/>
        </w:rPr>
        <w:tab/>
        <w:t xml:space="preserve">: الضَّرَرُ مَدْفُوعٌ بِقَدْرِ </w:t>
      </w:r>
      <w:r>
        <w:rPr>
          <w:rFonts w:hint="cs"/>
          <w:b/>
          <w:bCs/>
          <w:sz w:val="32"/>
          <w:szCs w:val="32"/>
          <w:rtl/>
        </w:rPr>
        <w:t>الإمْكَان</w:t>
      </w:r>
      <w:r>
        <w:rPr>
          <w:rFonts w:hint="cs"/>
          <w:sz w:val="32"/>
          <w:szCs w:val="32"/>
          <w:rtl/>
        </w:rPr>
        <w:t>.</w:t>
      </w:r>
    </w:p>
    <w:p w:rsidR="00284270" w:rsidRDefault="00284270">
      <w:pPr>
        <w:rPr>
          <w:sz w:val="32"/>
          <w:szCs w:val="32"/>
          <w:rtl/>
        </w:rPr>
      </w:pPr>
      <w:r>
        <w:rPr>
          <w:rFonts w:hint="cs"/>
          <w:b/>
          <w:bCs/>
          <w:sz w:val="32"/>
          <w:szCs w:val="32"/>
          <w:rtl/>
        </w:rPr>
        <w:t>ملك</w:t>
      </w:r>
      <w:r>
        <w:rPr>
          <w:rFonts w:hint="cs"/>
          <w:sz w:val="32"/>
          <w:szCs w:val="32"/>
          <w:rtl/>
        </w:rPr>
        <w:tab/>
      </w:r>
      <w:r>
        <w:rPr>
          <w:rFonts w:hint="cs"/>
          <w:sz w:val="32"/>
          <w:szCs w:val="32"/>
          <w:rtl/>
        </w:rPr>
        <w:tab/>
        <w:t xml:space="preserve">  ق46 </w:t>
      </w:r>
      <w:r>
        <w:rPr>
          <w:rFonts w:hint="cs"/>
          <w:sz w:val="32"/>
          <w:szCs w:val="32"/>
          <w:rtl/>
        </w:rPr>
        <w:tab/>
      </w:r>
      <w:r>
        <w:rPr>
          <w:rFonts w:hint="cs"/>
          <w:sz w:val="32"/>
          <w:szCs w:val="32"/>
          <w:rtl/>
        </w:rPr>
        <w:tab/>
        <w:t xml:space="preserve">: الأَمْرُ بالتَّصَرُّفِ فِي </w:t>
      </w:r>
      <w:r>
        <w:rPr>
          <w:rFonts w:hint="cs"/>
          <w:b/>
          <w:bCs/>
          <w:sz w:val="32"/>
          <w:szCs w:val="32"/>
          <w:rtl/>
        </w:rPr>
        <w:t>مِلْكِ</w:t>
      </w:r>
      <w:r>
        <w:rPr>
          <w:rFonts w:hint="cs"/>
          <w:sz w:val="32"/>
          <w:szCs w:val="32"/>
          <w:rtl/>
        </w:rPr>
        <w:t xml:space="preserve"> الغَيْرِ بَاطِلٌ.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ق62 </w:t>
      </w:r>
      <w:r>
        <w:rPr>
          <w:rFonts w:hint="cs"/>
          <w:sz w:val="32"/>
          <w:szCs w:val="32"/>
          <w:rtl/>
        </w:rPr>
        <w:tab/>
      </w:r>
      <w:r>
        <w:rPr>
          <w:rFonts w:hint="cs"/>
          <w:sz w:val="32"/>
          <w:szCs w:val="32"/>
          <w:rtl/>
        </w:rPr>
        <w:tab/>
        <w:t xml:space="preserve">: </w:t>
      </w:r>
      <w:r>
        <w:rPr>
          <w:rFonts w:hint="eastAsia"/>
          <w:sz w:val="32"/>
          <w:szCs w:val="32"/>
          <w:rtl/>
        </w:rPr>
        <w:t>البيع</w:t>
      </w:r>
      <w:r>
        <w:rPr>
          <w:rFonts w:hint="cs"/>
          <w:sz w:val="32"/>
          <w:szCs w:val="32"/>
          <w:rtl/>
        </w:rPr>
        <w:t>ُ</w:t>
      </w:r>
      <w:r>
        <w:rPr>
          <w:sz w:val="32"/>
          <w:szCs w:val="32"/>
          <w:rtl/>
        </w:rPr>
        <w:t xml:space="preserve"> لا ي</w:t>
      </w:r>
      <w:r>
        <w:rPr>
          <w:rFonts w:hint="cs"/>
          <w:sz w:val="32"/>
          <w:szCs w:val="32"/>
          <w:rtl/>
        </w:rPr>
        <w:t>ُ</w:t>
      </w:r>
      <w:r>
        <w:rPr>
          <w:sz w:val="32"/>
          <w:szCs w:val="32"/>
          <w:rtl/>
        </w:rPr>
        <w:t>ز</w:t>
      </w:r>
      <w:r>
        <w:rPr>
          <w:rFonts w:hint="cs"/>
          <w:sz w:val="32"/>
          <w:szCs w:val="32"/>
          <w:rtl/>
        </w:rPr>
        <w:t>ِ</w:t>
      </w:r>
      <w:r>
        <w:rPr>
          <w:sz w:val="32"/>
          <w:szCs w:val="32"/>
          <w:rtl/>
        </w:rPr>
        <w:t>يل</w:t>
      </w:r>
      <w:r>
        <w:rPr>
          <w:rFonts w:hint="cs"/>
          <w:sz w:val="32"/>
          <w:szCs w:val="32"/>
          <w:rtl/>
        </w:rPr>
        <w:t>ُ</w:t>
      </w:r>
      <w:r>
        <w:rPr>
          <w:sz w:val="32"/>
          <w:szCs w:val="32"/>
          <w:rtl/>
        </w:rPr>
        <w:t xml:space="preserve"> </w:t>
      </w:r>
      <w:r>
        <w:rPr>
          <w:b/>
          <w:bCs/>
          <w:sz w:val="32"/>
          <w:szCs w:val="32"/>
          <w:rtl/>
        </w:rPr>
        <w:t>م</w:t>
      </w:r>
      <w:r>
        <w:rPr>
          <w:rFonts w:hint="cs"/>
          <w:b/>
          <w:bCs/>
          <w:sz w:val="32"/>
          <w:szCs w:val="32"/>
          <w:rtl/>
        </w:rPr>
        <w:t>ِ</w:t>
      </w:r>
      <w:r>
        <w:rPr>
          <w:b/>
          <w:bCs/>
          <w:sz w:val="32"/>
          <w:szCs w:val="32"/>
          <w:rtl/>
        </w:rPr>
        <w:t>ل</w:t>
      </w:r>
      <w:r>
        <w:rPr>
          <w:rFonts w:hint="cs"/>
          <w:b/>
          <w:bCs/>
          <w:sz w:val="32"/>
          <w:szCs w:val="32"/>
          <w:rtl/>
        </w:rPr>
        <w:t>ْ</w:t>
      </w:r>
      <w:r>
        <w:rPr>
          <w:b/>
          <w:bCs/>
          <w:sz w:val="32"/>
          <w:szCs w:val="32"/>
          <w:rtl/>
        </w:rPr>
        <w:t>ك</w:t>
      </w:r>
      <w:r>
        <w:rPr>
          <w:rFonts w:hint="cs"/>
          <w:b/>
          <w:bCs/>
          <w:sz w:val="32"/>
          <w:szCs w:val="32"/>
          <w:rtl/>
        </w:rPr>
        <w:t>َ</w:t>
      </w:r>
      <w:r>
        <w:rPr>
          <w:sz w:val="32"/>
          <w:szCs w:val="32"/>
          <w:rtl/>
        </w:rPr>
        <w:t xml:space="preserve"> </w:t>
      </w:r>
      <w:r>
        <w:rPr>
          <w:rFonts w:hint="eastAsia"/>
          <w:sz w:val="32"/>
          <w:szCs w:val="32"/>
          <w:rtl/>
        </w:rPr>
        <w:t>اليد</w:t>
      </w:r>
      <w:r>
        <w:rPr>
          <w:rFonts w:hint="cs"/>
          <w:sz w:val="32"/>
          <w:szCs w:val="32"/>
          <w:rtl/>
        </w:rPr>
        <w:t>ِ</w:t>
      </w:r>
      <w:r>
        <w:rPr>
          <w:sz w:val="32"/>
          <w:szCs w:val="32"/>
          <w:rtl/>
        </w:rPr>
        <w:t xml:space="preserve"> م</w:t>
      </w:r>
      <w:r>
        <w:rPr>
          <w:rFonts w:hint="cs"/>
          <w:sz w:val="32"/>
          <w:szCs w:val="32"/>
          <w:rtl/>
        </w:rPr>
        <w:t>َ</w:t>
      </w:r>
      <w:r>
        <w:rPr>
          <w:sz w:val="32"/>
          <w:szCs w:val="32"/>
          <w:rtl/>
        </w:rPr>
        <w:t>ا ل</w:t>
      </w:r>
      <w:r>
        <w:rPr>
          <w:rFonts w:hint="cs"/>
          <w:sz w:val="32"/>
          <w:szCs w:val="32"/>
          <w:rtl/>
        </w:rPr>
        <w:t>َ</w:t>
      </w:r>
      <w:r>
        <w:rPr>
          <w:sz w:val="32"/>
          <w:szCs w:val="32"/>
          <w:rtl/>
        </w:rPr>
        <w:t>م</w:t>
      </w:r>
      <w:r>
        <w:rPr>
          <w:rFonts w:hint="cs"/>
          <w:sz w:val="32"/>
          <w:szCs w:val="32"/>
          <w:rtl/>
        </w:rPr>
        <w:t>ْ</w:t>
      </w:r>
      <w:r>
        <w:rPr>
          <w:sz w:val="32"/>
          <w:szCs w:val="32"/>
          <w:rtl/>
        </w:rPr>
        <w:t xml:space="preserve"> يت</w:t>
      </w:r>
      <w:r>
        <w:rPr>
          <w:rFonts w:hint="cs"/>
          <w:sz w:val="32"/>
          <w:szCs w:val="32"/>
          <w:rtl/>
        </w:rPr>
        <w:t>َّ</w:t>
      </w:r>
      <w:r>
        <w:rPr>
          <w:sz w:val="32"/>
          <w:szCs w:val="32"/>
          <w:rtl/>
        </w:rPr>
        <w:t>صل</w:t>
      </w:r>
      <w:r>
        <w:rPr>
          <w:rFonts w:hint="cs"/>
          <w:sz w:val="32"/>
          <w:szCs w:val="32"/>
          <w:rtl/>
        </w:rPr>
        <w:t>ْ</w:t>
      </w:r>
      <w:r>
        <w:rPr>
          <w:sz w:val="32"/>
          <w:szCs w:val="32"/>
          <w:rtl/>
        </w:rPr>
        <w:t xml:space="preserve"> </w:t>
      </w:r>
      <w:r>
        <w:rPr>
          <w:rFonts w:hint="eastAsia"/>
          <w:sz w:val="32"/>
          <w:szCs w:val="32"/>
          <w:rtl/>
        </w:rPr>
        <w:t>إليه</w:t>
      </w:r>
      <w:r>
        <w:rPr>
          <w:rFonts w:hint="cs"/>
          <w:sz w:val="32"/>
          <w:szCs w:val="32"/>
          <w:rtl/>
        </w:rPr>
        <w:t>ِ</w:t>
      </w:r>
      <w:r>
        <w:rPr>
          <w:sz w:val="32"/>
          <w:szCs w:val="32"/>
          <w:rtl/>
        </w:rPr>
        <w:t xml:space="preserve"> الث</w:t>
      </w:r>
      <w:r>
        <w:rPr>
          <w:rFonts w:hint="cs"/>
          <w:sz w:val="32"/>
          <w:szCs w:val="32"/>
          <w:rtl/>
        </w:rPr>
        <w:t>َّ</w:t>
      </w:r>
      <w:r>
        <w:rPr>
          <w:sz w:val="32"/>
          <w:szCs w:val="32"/>
          <w:rtl/>
        </w:rPr>
        <w:t>م</w:t>
      </w:r>
      <w:r>
        <w:rPr>
          <w:rFonts w:hint="cs"/>
          <w:sz w:val="32"/>
          <w:szCs w:val="32"/>
          <w:rtl/>
        </w:rPr>
        <w:t>َ</w:t>
      </w:r>
      <w:r>
        <w:rPr>
          <w:sz w:val="32"/>
          <w:szCs w:val="32"/>
          <w:rtl/>
        </w:rPr>
        <w:t>ن</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ق68 </w:t>
      </w:r>
      <w:r>
        <w:rPr>
          <w:rFonts w:hint="cs"/>
          <w:sz w:val="32"/>
          <w:szCs w:val="32"/>
          <w:rtl/>
        </w:rPr>
        <w:tab/>
      </w:r>
      <w:r>
        <w:rPr>
          <w:rFonts w:hint="cs"/>
          <w:sz w:val="32"/>
          <w:szCs w:val="32"/>
          <w:rtl/>
        </w:rPr>
        <w:tab/>
        <w:t xml:space="preserve">: تَبَدُّلُ سببِ </w:t>
      </w:r>
      <w:r>
        <w:rPr>
          <w:rFonts w:hint="cs"/>
          <w:b/>
          <w:bCs/>
          <w:sz w:val="32"/>
          <w:szCs w:val="32"/>
          <w:rtl/>
        </w:rPr>
        <w:t>المِلْكِ</w:t>
      </w:r>
      <w:r>
        <w:rPr>
          <w:rFonts w:hint="cs"/>
          <w:sz w:val="32"/>
          <w:szCs w:val="32"/>
          <w:rtl/>
        </w:rPr>
        <w:t xml:space="preserve"> قائمٌ مقامَ تبدُّلِ الذَّاتِ.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ق74 </w:t>
      </w:r>
      <w:r>
        <w:rPr>
          <w:rFonts w:hint="cs"/>
          <w:sz w:val="32"/>
          <w:szCs w:val="32"/>
          <w:rtl/>
        </w:rPr>
        <w:tab/>
      </w:r>
      <w:r>
        <w:rPr>
          <w:rFonts w:hint="cs"/>
          <w:sz w:val="32"/>
          <w:szCs w:val="32"/>
          <w:rtl/>
        </w:rPr>
        <w:tab/>
        <w:t xml:space="preserve">: التَّرِكَةُ قبلَ القسمةِ مُبْقاةٌ على </w:t>
      </w:r>
      <w:r>
        <w:rPr>
          <w:rFonts w:hint="cs"/>
          <w:b/>
          <w:bCs/>
          <w:sz w:val="32"/>
          <w:szCs w:val="32"/>
          <w:rtl/>
        </w:rPr>
        <w:t>مِلْكِ</w:t>
      </w:r>
      <w:r>
        <w:rPr>
          <w:rFonts w:hint="cs"/>
          <w:sz w:val="32"/>
          <w:szCs w:val="32"/>
          <w:rtl/>
        </w:rPr>
        <w:t xml:space="preserve"> المَيِّتِ.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ق79 </w:t>
      </w:r>
      <w:r>
        <w:rPr>
          <w:rFonts w:hint="cs"/>
          <w:sz w:val="32"/>
          <w:szCs w:val="32"/>
          <w:rtl/>
        </w:rPr>
        <w:tab/>
      </w:r>
      <w:r>
        <w:rPr>
          <w:rFonts w:hint="cs"/>
          <w:sz w:val="32"/>
          <w:szCs w:val="32"/>
          <w:rtl/>
        </w:rPr>
        <w:tab/>
        <w:t xml:space="preserve">: تفويضُ التَّصرُّفِ فِي </w:t>
      </w:r>
      <w:r>
        <w:rPr>
          <w:rFonts w:hint="cs"/>
          <w:b/>
          <w:bCs/>
          <w:sz w:val="32"/>
          <w:szCs w:val="32"/>
          <w:rtl/>
        </w:rPr>
        <w:t>مِلْكِ</w:t>
      </w:r>
      <w:r>
        <w:rPr>
          <w:rFonts w:hint="cs"/>
          <w:sz w:val="32"/>
          <w:szCs w:val="32"/>
          <w:rtl/>
        </w:rPr>
        <w:t xml:space="preserve"> الغَيرِ لاَ يَجُوزُ. </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ق86 </w:t>
      </w:r>
      <w:r>
        <w:rPr>
          <w:rFonts w:hint="cs"/>
          <w:sz w:val="32"/>
          <w:szCs w:val="32"/>
          <w:rtl/>
        </w:rPr>
        <w:tab/>
      </w:r>
      <w:r>
        <w:rPr>
          <w:rFonts w:hint="cs"/>
          <w:sz w:val="32"/>
          <w:szCs w:val="32"/>
          <w:rtl/>
        </w:rPr>
        <w:tab/>
        <w:t xml:space="preserve">: </w:t>
      </w:r>
      <w:r>
        <w:rPr>
          <w:rFonts w:hint="cs"/>
          <w:b/>
          <w:bCs/>
          <w:sz w:val="32"/>
          <w:szCs w:val="32"/>
          <w:rtl/>
        </w:rPr>
        <w:t>تمليكُ</w:t>
      </w:r>
      <w:r>
        <w:rPr>
          <w:rFonts w:hint="cs"/>
          <w:sz w:val="32"/>
          <w:szCs w:val="32"/>
          <w:rtl/>
        </w:rPr>
        <w:t xml:space="preserve"> الدَّينِ مِنْ غَيْرِ مَنْ عليهِ الدّينُ لا يجوزُ. </w:t>
      </w:r>
    </w:p>
    <w:p w:rsidR="00284270" w:rsidRDefault="00284270" w:rsidP="0022714B">
      <w:pPr>
        <w:ind w:left="2833" w:hanging="2266"/>
        <w:rPr>
          <w:sz w:val="32"/>
          <w:szCs w:val="32"/>
          <w:rtl/>
        </w:rPr>
      </w:pPr>
      <w:r>
        <w:rPr>
          <w:rFonts w:hint="cs"/>
          <w:sz w:val="32"/>
          <w:szCs w:val="32"/>
          <w:rtl/>
        </w:rPr>
        <w:t xml:space="preserve">               ق174 </w:t>
      </w:r>
      <w:r>
        <w:rPr>
          <w:rFonts w:hint="cs"/>
          <w:sz w:val="32"/>
          <w:szCs w:val="32"/>
          <w:rtl/>
        </w:rPr>
        <w:tab/>
        <w:t xml:space="preserve">: فِي كُلِّ مَوْضِعٍ </w:t>
      </w:r>
      <w:r>
        <w:rPr>
          <w:rFonts w:hint="cs"/>
          <w:b/>
          <w:bCs/>
          <w:sz w:val="32"/>
          <w:szCs w:val="32"/>
          <w:rtl/>
        </w:rPr>
        <w:t>يملكُ</w:t>
      </w:r>
      <w:r>
        <w:rPr>
          <w:rFonts w:hint="cs"/>
          <w:sz w:val="32"/>
          <w:szCs w:val="32"/>
          <w:rtl/>
        </w:rPr>
        <w:t xml:space="preserve"> المدفوعُ إليهِ المالَ المدفوعَ إليهِ مقابَلاً </w:t>
      </w:r>
      <w:r>
        <w:rPr>
          <w:rFonts w:hint="cs"/>
          <w:b/>
          <w:bCs/>
          <w:sz w:val="32"/>
          <w:szCs w:val="32"/>
          <w:rtl/>
        </w:rPr>
        <w:t>بِمِلْكٍ</w:t>
      </w:r>
      <w:r>
        <w:rPr>
          <w:rFonts w:hint="cs"/>
          <w:sz w:val="32"/>
          <w:szCs w:val="32"/>
          <w:rtl/>
        </w:rPr>
        <w:t xml:space="preserve"> : فإنَّ المأمورَ يرجعُ بِلاَ شَرْطٍ ، وإلاَّ فَلاَ.</w:t>
      </w:r>
    </w:p>
    <w:p w:rsidR="00284270" w:rsidRDefault="00284270" w:rsidP="0022714B">
      <w:pPr>
        <w:ind w:left="2833" w:hanging="2266"/>
        <w:rPr>
          <w:sz w:val="32"/>
          <w:szCs w:val="32"/>
          <w:rtl/>
        </w:rPr>
      </w:pPr>
      <w:r>
        <w:rPr>
          <w:rFonts w:hint="cs"/>
          <w:sz w:val="32"/>
          <w:szCs w:val="32"/>
          <w:rtl/>
        </w:rPr>
        <w:t xml:space="preserve">               ق179 </w:t>
      </w:r>
      <w:r>
        <w:rPr>
          <w:rFonts w:hint="cs"/>
          <w:sz w:val="32"/>
          <w:szCs w:val="32"/>
          <w:rtl/>
        </w:rPr>
        <w:tab/>
        <w:t xml:space="preserve">: القَبْضُ إنَّمَا يُعْتَبَرُ فِي انتقالِ </w:t>
      </w:r>
      <w:r>
        <w:rPr>
          <w:rFonts w:hint="cs"/>
          <w:b/>
          <w:bCs/>
          <w:sz w:val="32"/>
          <w:szCs w:val="32"/>
          <w:rtl/>
        </w:rPr>
        <w:t>المِلْكِ</w:t>
      </w:r>
      <w:r>
        <w:rPr>
          <w:rFonts w:hint="cs"/>
          <w:sz w:val="32"/>
          <w:szCs w:val="32"/>
          <w:rtl/>
        </w:rPr>
        <w:t xml:space="preserve"> لاَ فِي دَعْوَى </w:t>
      </w:r>
      <w:r>
        <w:rPr>
          <w:rFonts w:hint="cs"/>
          <w:b/>
          <w:bCs/>
          <w:sz w:val="32"/>
          <w:szCs w:val="32"/>
          <w:rtl/>
        </w:rPr>
        <w:t>المِلْكِ</w:t>
      </w:r>
      <w:r>
        <w:rPr>
          <w:rFonts w:hint="cs"/>
          <w:sz w:val="32"/>
          <w:szCs w:val="32"/>
          <w:rtl/>
        </w:rPr>
        <w:t xml:space="preserve"> القَدِيمِ.</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ق199 </w:t>
      </w:r>
      <w:r>
        <w:rPr>
          <w:rFonts w:hint="cs"/>
          <w:sz w:val="32"/>
          <w:szCs w:val="32"/>
          <w:rtl/>
        </w:rPr>
        <w:tab/>
        <w:t xml:space="preserve">: لاَ يَصِحُّ </w:t>
      </w:r>
      <w:r>
        <w:rPr>
          <w:rFonts w:hint="cs"/>
          <w:b/>
          <w:bCs/>
          <w:sz w:val="32"/>
          <w:szCs w:val="32"/>
          <w:rtl/>
        </w:rPr>
        <w:t>تَمْلِيكُ</w:t>
      </w:r>
      <w:r>
        <w:rPr>
          <w:rFonts w:hint="cs"/>
          <w:sz w:val="32"/>
          <w:szCs w:val="32"/>
          <w:rtl/>
        </w:rPr>
        <w:t xml:space="preserve"> الدَّيْنِ مِنْ غَيْرِ مَنْ عَلَيْهِ الدّينُ.</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ق196 </w:t>
      </w:r>
      <w:r>
        <w:rPr>
          <w:rFonts w:hint="cs"/>
          <w:sz w:val="32"/>
          <w:szCs w:val="32"/>
          <w:rtl/>
        </w:rPr>
        <w:tab/>
        <w:t xml:space="preserve">:  لا </w:t>
      </w:r>
      <w:r>
        <w:rPr>
          <w:rFonts w:hint="cs"/>
          <w:b/>
          <w:bCs/>
          <w:sz w:val="32"/>
          <w:szCs w:val="32"/>
          <w:rtl/>
        </w:rPr>
        <w:t>يَمْلِكُ</w:t>
      </w:r>
      <w:r>
        <w:rPr>
          <w:rFonts w:hint="cs"/>
          <w:sz w:val="32"/>
          <w:szCs w:val="32"/>
          <w:rtl/>
        </w:rPr>
        <w:t xml:space="preserve"> أحدٌ إثباتَ </w:t>
      </w:r>
      <w:r>
        <w:rPr>
          <w:rFonts w:hint="cs"/>
          <w:b/>
          <w:bCs/>
          <w:sz w:val="32"/>
          <w:szCs w:val="32"/>
          <w:rtl/>
        </w:rPr>
        <w:t>ملكٍ</w:t>
      </w:r>
      <w:r>
        <w:rPr>
          <w:rFonts w:hint="cs"/>
          <w:sz w:val="32"/>
          <w:szCs w:val="32"/>
          <w:rtl/>
        </w:rPr>
        <w:t xml:space="preserve"> لغيرِهِ بلا اخْتِيَارِهِ.</w:t>
      </w:r>
    </w:p>
    <w:p w:rsidR="00284270" w:rsidRDefault="00284270" w:rsidP="0022714B">
      <w:pPr>
        <w:ind w:left="2833" w:hanging="2266"/>
        <w:rPr>
          <w:sz w:val="32"/>
          <w:szCs w:val="32"/>
          <w:rtl/>
        </w:rPr>
      </w:pPr>
      <w:r>
        <w:rPr>
          <w:rFonts w:hint="cs"/>
          <w:sz w:val="32"/>
          <w:szCs w:val="32"/>
          <w:rtl/>
        </w:rPr>
        <w:t xml:space="preserve">               ق214 </w:t>
      </w:r>
      <w:r>
        <w:rPr>
          <w:rFonts w:hint="cs"/>
          <w:sz w:val="32"/>
          <w:szCs w:val="32"/>
          <w:rtl/>
        </w:rPr>
        <w:tab/>
        <w:t xml:space="preserve">: لَوْ حَكَى مَا لاَ </w:t>
      </w:r>
      <w:r>
        <w:rPr>
          <w:rFonts w:hint="cs"/>
          <w:b/>
          <w:bCs/>
          <w:sz w:val="32"/>
          <w:szCs w:val="32"/>
          <w:rtl/>
        </w:rPr>
        <w:t>يَمْلِكُ</w:t>
      </w:r>
      <w:r>
        <w:rPr>
          <w:rFonts w:hint="cs"/>
          <w:sz w:val="32"/>
          <w:szCs w:val="32"/>
          <w:rtl/>
        </w:rPr>
        <w:t xml:space="preserve"> استئنافَهُ للحالِ لا يصدَّقُ فيمَا حَكَى بِلاَ بَيِّنَةٍ.</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ق240 </w:t>
      </w:r>
      <w:r>
        <w:rPr>
          <w:rFonts w:hint="cs"/>
          <w:sz w:val="32"/>
          <w:szCs w:val="32"/>
          <w:rtl/>
        </w:rPr>
        <w:tab/>
        <w:t xml:space="preserve">: مَنْ لاَ </w:t>
      </w:r>
      <w:r>
        <w:rPr>
          <w:rFonts w:hint="cs"/>
          <w:b/>
          <w:bCs/>
          <w:sz w:val="32"/>
          <w:szCs w:val="32"/>
          <w:rtl/>
        </w:rPr>
        <w:t>يَمْلِكُ</w:t>
      </w:r>
      <w:r>
        <w:rPr>
          <w:rFonts w:hint="cs"/>
          <w:sz w:val="32"/>
          <w:szCs w:val="32"/>
          <w:rtl/>
        </w:rPr>
        <w:t xml:space="preserve"> التَّنْجِيزَ لاَ </w:t>
      </w:r>
      <w:r>
        <w:rPr>
          <w:rFonts w:hint="cs"/>
          <w:b/>
          <w:bCs/>
          <w:sz w:val="32"/>
          <w:szCs w:val="32"/>
          <w:rtl/>
        </w:rPr>
        <w:t>يَمْلِكُ</w:t>
      </w:r>
      <w:r>
        <w:rPr>
          <w:rFonts w:hint="cs"/>
          <w:sz w:val="32"/>
          <w:szCs w:val="32"/>
          <w:rtl/>
        </w:rPr>
        <w:t xml:space="preserve"> التَّعْلِيقَ.</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ق241 </w:t>
      </w:r>
      <w:r>
        <w:rPr>
          <w:rFonts w:hint="cs"/>
          <w:sz w:val="32"/>
          <w:szCs w:val="32"/>
          <w:rtl/>
        </w:rPr>
        <w:tab/>
        <w:t xml:space="preserve">: مَنْ </w:t>
      </w:r>
      <w:r>
        <w:rPr>
          <w:rFonts w:hint="cs"/>
          <w:b/>
          <w:bCs/>
          <w:sz w:val="32"/>
          <w:szCs w:val="32"/>
          <w:rtl/>
        </w:rPr>
        <w:t>مَلَكَ</w:t>
      </w:r>
      <w:r>
        <w:rPr>
          <w:rFonts w:hint="cs"/>
          <w:sz w:val="32"/>
          <w:szCs w:val="32"/>
          <w:rtl/>
        </w:rPr>
        <w:t xml:space="preserve"> شَيْئًا </w:t>
      </w:r>
      <w:r>
        <w:rPr>
          <w:rFonts w:hint="cs"/>
          <w:b/>
          <w:bCs/>
          <w:sz w:val="32"/>
          <w:szCs w:val="32"/>
          <w:rtl/>
        </w:rPr>
        <w:t>يَمْلِكُ</w:t>
      </w:r>
      <w:r>
        <w:rPr>
          <w:rFonts w:hint="cs"/>
          <w:sz w:val="32"/>
          <w:szCs w:val="32"/>
          <w:rtl/>
        </w:rPr>
        <w:t xml:space="preserve"> مَا هُوَ مِنْ ضَرُورَاتِهِ.</w:t>
      </w:r>
    </w:p>
    <w:p w:rsidR="00284270" w:rsidRDefault="00284270">
      <w:pPr>
        <w:rPr>
          <w:sz w:val="32"/>
          <w:szCs w:val="32"/>
          <w:rtl/>
        </w:rPr>
      </w:pPr>
      <w:r>
        <w:rPr>
          <w:rFonts w:hint="cs"/>
          <w:sz w:val="32"/>
          <w:szCs w:val="32"/>
          <w:rtl/>
        </w:rPr>
        <w:tab/>
      </w:r>
      <w:r>
        <w:rPr>
          <w:rFonts w:hint="cs"/>
          <w:sz w:val="32"/>
          <w:szCs w:val="32"/>
          <w:rtl/>
        </w:rPr>
        <w:tab/>
      </w:r>
      <w:r>
        <w:rPr>
          <w:rFonts w:hint="cs"/>
          <w:sz w:val="32"/>
          <w:szCs w:val="32"/>
          <w:rtl/>
        </w:rPr>
        <w:tab/>
        <w:t xml:space="preserve">  ق239 </w:t>
      </w:r>
      <w:r>
        <w:rPr>
          <w:rFonts w:hint="cs"/>
          <w:sz w:val="32"/>
          <w:szCs w:val="32"/>
          <w:rtl/>
        </w:rPr>
        <w:tab/>
        <w:t xml:space="preserve">: مَنْ </w:t>
      </w:r>
      <w:r>
        <w:rPr>
          <w:rFonts w:hint="cs"/>
          <w:b/>
          <w:bCs/>
          <w:sz w:val="32"/>
          <w:szCs w:val="32"/>
          <w:rtl/>
        </w:rPr>
        <w:t>يَمْلِكُ</w:t>
      </w:r>
      <w:r>
        <w:rPr>
          <w:rFonts w:hint="cs"/>
          <w:sz w:val="32"/>
          <w:szCs w:val="32"/>
          <w:rtl/>
        </w:rPr>
        <w:t xml:space="preserve"> التَّنْجِيْزَ </w:t>
      </w:r>
      <w:r>
        <w:rPr>
          <w:rFonts w:hint="cs"/>
          <w:b/>
          <w:bCs/>
          <w:sz w:val="32"/>
          <w:szCs w:val="32"/>
          <w:rtl/>
        </w:rPr>
        <w:t>يَمْلِكُ</w:t>
      </w:r>
      <w:r>
        <w:rPr>
          <w:rFonts w:hint="cs"/>
          <w:sz w:val="32"/>
          <w:szCs w:val="32"/>
          <w:rtl/>
        </w:rPr>
        <w:t xml:space="preserve"> التَّعْلِيْقَ.</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ق242 </w:t>
      </w:r>
      <w:r>
        <w:rPr>
          <w:sz w:val="32"/>
          <w:szCs w:val="32"/>
        </w:rPr>
        <w:tab/>
      </w:r>
      <w:r>
        <w:rPr>
          <w:rFonts w:hint="cs"/>
          <w:sz w:val="32"/>
          <w:szCs w:val="32"/>
          <w:rtl/>
        </w:rPr>
        <w:t xml:space="preserve">: مَنْ </w:t>
      </w:r>
      <w:r>
        <w:rPr>
          <w:rFonts w:hint="cs"/>
          <w:b/>
          <w:bCs/>
          <w:sz w:val="32"/>
          <w:szCs w:val="32"/>
          <w:rtl/>
        </w:rPr>
        <w:t>مَلَكَ</w:t>
      </w:r>
      <w:r>
        <w:rPr>
          <w:rFonts w:hint="cs"/>
          <w:sz w:val="32"/>
          <w:szCs w:val="32"/>
          <w:rtl/>
        </w:rPr>
        <w:t xml:space="preserve"> شَيْئًا </w:t>
      </w:r>
      <w:r>
        <w:rPr>
          <w:rFonts w:hint="cs"/>
          <w:b/>
          <w:bCs/>
          <w:sz w:val="32"/>
          <w:szCs w:val="32"/>
          <w:rtl/>
        </w:rPr>
        <w:t>يَمْلِكُ</w:t>
      </w:r>
      <w:r>
        <w:rPr>
          <w:rFonts w:hint="cs"/>
          <w:sz w:val="32"/>
          <w:szCs w:val="32"/>
          <w:rtl/>
        </w:rPr>
        <w:t xml:space="preserve"> كُلَّ جُزْءٍ مِنْ أجْزَائِهِ.</w:t>
      </w:r>
    </w:p>
    <w:p w:rsidR="00284270" w:rsidRDefault="00284270">
      <w:pPr>
        <w:rPr>
          <w:sz w:val="32"/>
          <w:szCs w:val="32"/>
          <w:rtl/>
        </w:rPr>
      </w:pPr>
      <w:r>
        <w:rPr>
          <w:rFonts w:hint="cs"/>
          <w:b/>
          <w:bCs/>
          <w:sz w:val="32"/>
          <w:szCs w:val="32"/>
          <w:rtl/>
        </w:rPr>
        <w:t>منع</w:t>
      </w:r>
      <w:r>
        <w:rPr>
          <w:rFonts w:hint="cs"/>
          <w:sz w:val="32"/>
          <w:szCs w:val="32"/>
          <w:rtl/>
        </w:rPr>
        <w:tab/>
      </w:r>
      <w:r>
        <w:rPr>
          <w:sz w:val="32"/>
          <w:szCs w:val="32"/>
        </w:rPr>
        <w:tab/>
      </w:r>
      <w:r>
        <w:rPr>
          <w:rFonts w:hint="cs"/>
          <w:sz w:val="32"/>
          <w:szCs w:val="32"/>
          <w:rtl/>
        </w:rPr>
        <w:t xml:space="preserve">: ق12 </w:t>
      </w:r>
      <w:r>
        <w:rPr>
          <w:sz w:val="32"/>
          <w:szCs w:val="32"/>
        </w:rPr>
        <w:tab/>
      </w:r>
      <w:r>
        <w:rPr>
          <w:rFonts w:hint="cs"/>
          <w:sz w:val="32"/>
          <w:szCs w:val="32"/>
          <w:rtl/>
        </w:rPr>
        <w:tab/>
        <w:t xml:space="preserve">: إذَا تَعَارَضَ </w:t>
      </w:r>
      <w:r>
        <w:rPr>
          <w:rFonts w:hint="cs"/>
          <w:b/>
          <w:bCs/>
          <w:sz w:val="32"/>
          <w:szCs w:val="32"/>
          <w:rtl/>
        </w:rPr>
        <w:t>المانِعُ</w:t>
      </w:r>
      <w:r>
        <w:rPr>
          <w:rFonts w:hint="cs"/>
          <w:sz w:val="32"/>
          <w:szCs w:val="32"/>
          <w:rtl/>
        </w:rPr>
        <w:t xml:space="preserve"> والمُقْتَضِي : يُقدَّمُ </w:t>
      </w:r>
      <w:r>
        <w:rPr>
          <w:rFonts w:hint="cs"/>
          <w:b/>
          <w:bCs/>
          <w:sz w:val="32"/>
          <w:szCs w:val="32"/>
          <w:rtl/>
        </w:rPr>
        <w:t>المانِعُ</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ق13 </w:t>
      </w:r>
      <w:r>
        <w:rPr>
          <w:sz w:val="32"/>
          <w:szCs w:val="32"/>
        </w:rPr>
        <w:tab/>
      </w:r>
      <w:r>
        <w:rPr>
          <w:rFonts w:hint="cs"/>
          <w:sz w:val="32"/>
          <w:szCs w:val="32"/>
          <w:rtl/>
        </w:rPr>
        <w:tab/>
        <w:t xml:space="preserve">: إذَا زالَ </w:t>
      </w:r>
      <w:r>
        <w:rPr>
          <w:rFonts w:hint="cs"/>
          <w:b/>
          <w:bCs/>
          <w:sz w:val="32"/>
          <w:szCs w:val="32"/>
          <w:rtl/>
        </w:rPr>
        <w:t>الـمانعُ</w:t>
      </w:r>
      <w:r>
        <w:rPr>
          <w:rFonts w:hint="cs"/>
          <w:sz w:val="32"/>
          <w:szCs w:val="32"/>
          <w:rtl/>
        </w:rPr>
        <w:t xml:space="preserve"> عـادَ الـممنُوعُ.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ق234 </w:t>
      </w:r>
      <w:r>
        <w:rPr>
          <w:sz w:val="32"/>
          <w:szCs w:val="32"/>
        </w:rPr>
        <w:tab/>
      </w:r>
      <w:r>
        <w:rPr>
          <w:rFonts w:hint="cs"/>
          <w:sz w:val="32"/>
          <w:szCs w:val="32"/>
          <w:rtl/>
        </w:rPr>
        <w:t xml:space="preserve">: </w:t>
      </w:r>
      <w:r>
        <w:rPr>
          <w:rFonts w:hint="cs"/>
          <w:b/>
          <w:bCs/>
          <w:sz w:val="32"/>
          <w:szCs w:val="32"/>
          <w:rtl/>
        </w:rPr>
        <w:t>المُمتَنِعُ</w:t>
      </w:r>
      <w:r>
        <w:rPr>
          <w:rFonts w:hint="cs"/>
          <w:sz w:val="32"/>
          <w:szCs w:val="32"/>
          <w:rtl/>
        </w:rPr>
        <w:t xml:space="preserve"> عَادَةً </w:t>
      </w:r>
      <w:r>
        <w:rPr>
          <w:rFonts w:hint="cs"/>
          <w:b/>
          <w:bCs/>
          <w:sz w:val="32"/>
          <w:szCs w:val="32"/>
          <w:rtl/>
        </w:rPr>
        <w:t>كَالمُمْتَنِعِ</w:t>
      </w:r>
      <w:r>
        <w:rPr>
          <w:rFonts w:hint="cs"/>
          <w:sz w:val="32"/>
          <w:szCs w:val="32"/>
          <w:rtl/>
        </w:rPr>
        <w:t xml:space="preserve"> حَقِيقَةً.</w:t>
      </w:r>
    </w:p>
    <w:p w:rsidR="00284270" w:rsidRDefault="00284270">
      <w:pPr>
        <w:rPr>
          <w:sz w:val="32"/>
          <w:szCs w:val="32"/>
          <w:rtl/>
        </w:rPr>
      </w:pPr>
      <w:r>
        <w:rPr>
          <w:rFonts w:hint="cs"/>
          <w:b/>
          <w:bCs/>
          <w:sz w:val="32"/>
          <w:szCs w:val="32"/>
          <w:rtl/>
        </w:rPr>
        <w:t>موت</w:t>
      </w:r>
      <w:r>
        <w:rPr>
          <w:rFonts w:hint="cs"/>
          <w:sz w:val="32"/>
          <w:szCs w:val="32"/>
          <w:rtl/>
        </w:rPr>
        <w:tab/>
      </w:r>
      <w:r>
        <w:rPr>
          <w:sz w:val="32"/>
          <w:szCs w:val="32"/>
        </w:rPr>
        <w:tab/>
      </w:r>
      <w:r>
        <w:rPr>
          <w:rFonts w:hint="cs"/>
          <w:sz w:val="32"/>
          <w:szCs w:val="32"/>
          <w:rtl/>
        </w:rPr>
        <w:t xml:space="preserve">: ق74 </w:t>
      </w:r>
      <w:r>
        <w:rPr>
          <w:sz w:val="32"/>
          <w:szCs w:val="32"/>
        </w:rPr>
        <w:tab/>
      </w:r>
      <w:r>
        <w:rPr>
          <w:rFonts w:hint="cs"/>
          <w:sz w:val="32"/>
          <w:szCs w:val="32"/>
          <w:rtl/>
        </w:rPr>
        <w:tab/>
        <w:t xml:space="preserve">: التَّرِكَةُ قبلَ القسمةِ مُبْقاةٌ على مِلْكِ </w:t>
      </w:r>
      <w:r>
        <w:rPr>
          <w:rFonts w:hint="cs"/>
          <w:b/>
          <w:bCs/>
          <w:sz w:val="32"/>
          <w:szCs w:val="32"/>
          <w:rtl/>
        </w:rPr>
        <w:t>المَيِّتِ</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ق246 </w:t>
      </w:r>
      <w:r>
        <w:rPr>
          <w:sz w:val="32"/>
          <w:szCs w:val="32"/>
        </w:rPr>
        <w:tab/>
      </w:r>
      <w:r>
        <w:rPr>
          <w:rFonts w:hint="cs"/>
          <w:sz w:val="32"/>
          <w:szCs w:val="32"/>
          <w:rtl/>
        </w:rPr>
        <w:t xml:space="preserve">: </w:t>
      </w:r>
      <w:r>
        <w:rPr>
          <w:rFonts w:hint="cs"/>
          <w:b/>
          <w:bCs/>
          <w:sz w:val="32"/>
          <w:szCs w:val="32"/>
          <w:rtl/>
        </w:rPr>
        <w:t>الموتُ</w:t>
      </w:r>
      <w:r>
        <w:rPr>
          <w:rFonts w:hint="cs"/>
          <w:sz w:val="32"/>
          <w:szCs w:val="32"/>
          <w:rtl/>
        </w:rPr>
        <w:t xml:space="preserve"> يُنَافِي المُوجِبَ لاَ المُبْطِلَ.</w:t>
      </w:r>
    </w:p>
    <w:p w:rsidR="00284270" w:rsidRDefault="00284270" w:rsidP="0022714B">
      <w:pPr>
        <w:ind w:left="2833" w:hanging="2266"/>
        <w:rPr>
          <w:sz w:val="32"/>
          <w:szCs w:val="32"/>
          <w:rtl/>
        </w:rPr>
      </w:pPr>
      <w:r>
        <w:rPr>
          <w:rFonts w:hint="cs"/>
          <w:sz w:val="32"/>
          <w:szCs w:val="32"/>
          <w:rtl/>
        </w:rPr>
        <w:t xml:space="preserve">               ق266 </w:t>
      </w:r>
      <w:r>
        <w:rPr>
          <w:sz w:val="32"/>
          <w:szCs w:val="32"/>
        </w:rPr>
        <w:tab/>
      </w:r>
      <w:r>
        <w:rPr>
          <w:rFonts w:hint="cs"/>
          <w:sz w:val="32"/>
          <w:szCs w:val="32"/>
          <w:rtl/>
        </w:rPr>
        <w:t xml:space="preserve">: يَوْمُ </w:t>
      </w:r>
      <w:r>
        <w:rPr>
          <w:rFonts w:hint="cs"/>
          <w:b/>
          <w:bCs/>
          <w:sz w:val="32"/>
          <w:szCs w:val="32"/>
          <w:rtl/>
        </w:rPr>
        <w:t>المَوْتِ</w:t>
      </w:r>
      <w:r>
        <w:rPr>
          <w:rFonts w:hint="cs"/>
          <w:sz w:val="32"/>
          <w:szCs w:val="32"/>
          <w:rtl/>
        </w:rPr>
        <w:t xml:space="preserve"> لاَ يَدْخُلُ تَحْتَ القَضَاءِ، بِخِلاَفِ يَوْمِ القَتْلِ.</w:t>
      </w:r>
    </w:p>
    <w:p w:rsidR="00284270" w:rsidRDefault="00284270" w:rsidP="0022714B">
      <w:pPr>
        <w:ind w:left="2833" w:hanging="2266"/>
        <w:rPr>
          <w:sz w:val="32"/>
          <w:szCs w:val="32"/>
          <w:rtl/>
        </w:rPr>
      </w:pPr>
      <w:r>
        <w:rPr>
          <w:rFonts w:hint="cs"/>
          <w:b/>
          <w:bCs/>
          <w:sz w:val="32"/>
          <w:szCs w:val="32"/>
          <w:rtl/>
        </w:rPr>
        <w:lastRenderedPageBreak/>
        <w:t>مول</w:t>
      </w:r>
      <w:r>
        <w:rPr>
          <w:rFonts w:hint="cs"/>
          <w:sz w:val="32"/>
          <w:szCs w:val="32"/>
          <w:rtl/>
        </w:rPr>
        <w:t xml:space="preserve">       : ق113 </w:t>
      </w:r>
      <w:r>
        <w:rPr>
          <w:sz w:val="32"/>
          <w:szCs w:val="32"/>
        </w:rPr>
        <w:tab/>
      </w:r>
      <w:r>
        <w:rPr>
          <w:rFonts w:hint="cs"/>
          <w:sz w:val="32"/>
          <w:szCs w:val="32"/>
          <w:rtl/>
        </w:rPr>
        <w:t xml:space="preserve">: الحرمةُ تَتَعدَّى  فِي </w:t>
      </w:r>
      <w:r>
        <w:rPr>
          <w:rFonts w:hint="cs"/>
          <w:b/>
          <w:bCs/>
          <w:sz w:val="32"/>
          <w:szCs w:val="32"/>
          <w:rtl/>
        </w:rPr>
        <w:t>الأموالِ</w:t>
      </w:r>
      <w:r>
        <w:rPr>
          <w:rFonts w:hint="cs"/>
          <w:sz w:val="32"/>
          <w:szCs w:val="32"/>
          <w:rtl/>
        </w:rPr>
        <w:t xml:space="preserve"> مَعَ العلمِ بها إلا في حقِّ الوارِثِ.</w:t>
      </w:r>
    </w:p>
    <w:p w:rsidR="00284270" w:rsidRDefault="0022714B">
      <w:pPr>
        <w:jc w:val="center"/>
        <w:rPr>
          <w:b/>
          <w:bCs/>
          <w:sz w:val="48"/>
          <w:szCs w:val="48"/>
          <w:rtl/>
        </w:rPr>
      </w:pPr>
      <w:r>
        <w:rPr>
          <w:noProof/>
          <w:rtl/>
        </w:rPr>
        <w:pict>
          <v:rect id="_x0000_s1050" style="position:absolute;left:0;text-align:left;margin-left:165.2pt;margin-top:3.9pt;width:54.15pt;height:37.05pt;z-index:-251626496;mso-wrap-edited:f" wrapcoords="-379 0 -379 21600 758 22265 23495 22265 23116 997 22358 0 -379 0">
            <v:shadow on="t" offset="3pt" offset2="2pt"/>
          </v:rect>
        </w:pict>
      </w:r>
      <w:r w:rsidR="00284270">
        <w:rPr>
          <w:rFonts w:hint="cs"/>
          <w:b/>
          <w:bCs/>
          <w:sz w:val="48"/>
          <w:szCs w:val="48"/>
          <w:rtl/>
        </w:rPr>
        <w:t>(ن)</w:t>
      </w:r>
    </w:p>
    <w:p w:rsidR="00284270" w:rsidRDefault="00284270">
      <w:pPr>
        <w:rPr>
          <w:rtl/>
        </w:rPr>
      </w:pPr>
    </w:p>
    <w:p w:rsidR="00284270" w:rsidRDefault="00284270">
      <w:pPr>
        <w:rPr>
          <w:sz w:val="32"/>
          <w:szCs w:val="32"/>
          <w:rtl/>
        </w:rPr>
      </w:pPr>
      <w:r>
        <w:rPr>
          <w:rFonts w:hint="cs"/>
          <w:b/>
          <w:bCs/>
          <w:sz w:val="32"/>
          <w:szCs w:val="32"/>
          <w:rtl/>
        </w:rPr>
        <w:t>ناب</w:t>
      </w:r>
      <w:r>
        <w:rPr>
          <w:rFonts w:hint="cs"/>
          <w:sz w:val="32"/>
          <w:szCs w:val="32"/>
          <w:rtl/>
        </w:rPr>
        <w:tab/>
      </w:r>
      <w:r>
        <w:rPr>
          <w:sz w:val="32"/>
          <w:szCs w:val="32"/>
        </w:rPr>
        <w:tab/>
      </w:r>
      <w:r>
        <w:rPr>
          <w:rFonts w:hint="cs"/>
          <w:sz w:val="32"/>
          <w:szCs w:val="32"/>
          <w:rtl/>
        </w:rPr>
        <w:t xml:space="preserve">: ق251 </w:t>
      </w:r>
      <w:r>
        <w:rPr>
          <w:sz w:val="32"/>
          <w:szCs w:val="32"/>
        </w:rPr>
        <w:tab/>
      </w:r>
      <w:r>
        <w:rPr>
          <w:rFonts w:hint="cs"/>
          <w:sz w:val="32"/>
          <w:szCs w:val="32"/>
          <w:rtl/>
        </w:rPr>
        <w:t xml:space="preserve">: </w:t>
      </w:r>
      <w:r>
        <w:rPr>
          <w:rFonts w:hint="cs"/>
          <w:b/>
          <w:bCs/>
          <w:sz w:val="32"/>
          <w:szCs w:val="32"/>
          <w:rtl/>
        </w:rPr>
        <w:t>النِّيَابَةُ</w:t>
      </w:r>
      <w:r>
        <w:rPr>
          <w:rFonts w:hint="cs"/>
          <w:sz w:val="32"/>
          <w:szCs w:val="32"/>
          <w:rtl/>
        </w:rPr>
        <w:t xml:space="preserve"> تَجْرِي فِي الاستِحْلاَفِ، لاَ الحَلِفِ.</w:t>
      </w:r>
    </w:p>
    <w:p w:rsidR="00284270" w:rsidRDefault="00284270">
      <w:pPr>
        <w:rPr>
          <w:sz w:val="32"/>
          <w:szCs w:val="32"/>
          <w:rtl/>
        </w:rPr>
      </w:pPr>
      <w:r>
        <w:rPr>
          <w:rFonts w:hint="cs"/>
          <w:b/>
          <w:bCs/>
          <w:sz w:val="32"/>
          <w:szCs w:val="32"/>
          <w:rtl/>
        </w:rPr>
        <w:t>نجز</w:t>
      </w:r>
      <w:r>
        <w:rPr>
          <w:rFonts w:hint="cs"/>
          <w:sz w:val="32"/>
          <w:szCs w:val="32"/>
          <w:rtl/>
        </w:rPr>
        <w:tab/>
      </w:r>
      <w:r>
        <w:rPr>
          <w:sz w:val="32"/>
          <w:szCs w:val="32"/>
        </w:rPr>
        <w:tab/>
      </w:r>
      <w:r>
        <w:rPr>
          <w:rFonts w:hint="cs"/>
          <w:sz w:val="32"/>
          <w:szCs w:val="32"/>
          <w:rtl/>
        </w:rPr>
        <w:t xml:space="preserve">: ق240 </w:t>
      </w:r>
      <w:r>
        <w:rPr>
          <w:sz w:val="32"/>
          <w:szCs w:val="32"/>
        </w:rPr>
        <w:tab/>
      </w:r>
      <w:r>
        <w:rPr>
          <w:rFonts w:hint="cs"/>
          <w:sz w:val="32"/>
          <w:szCs w:val="32"/>
          <w:rtl/>
        </w:rPr>
        <w:t xml:space="preserve">: مَنْ لاَ يَمْلِكُ </w:t>
      </w:r>
      <w:r>
        <w:rPr>
          <w:rFonts w:hint="cs"/>
          <w:b/>
          <w:bCs/>
          <w:sz w:val="32"/>
          <w:szCs w:val="32"/>
          <w:rtl/>
        </w:rPr>
        <w:t>التَّنْجِيز</w:t>
      </w:r>
      <w:r>
        <w:rPr>
          <w:rFonts w:hint="cs"/>
          <w:sz w:val="32"/>
          <w:szCs w:val="32"/>
          <w:rtl/>
        </w:rPr>
        <w:t>َ لاَ يَمْلِكُ التَّعْلِيقَ.</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ق239 </w:t>
      </w:r>
      <w:r>
        <w:rPr>
          <w:sz w:val="32"/>
          <w:szCs w:val="32"/>
        </w:rPr>
        <w:tab/>
      </w:r>
      <w:r>
        <w:rPr>
          <w:rFonts w:hint="cs"/>
          <w:sz w:val="32"/>
          <w:szCs w:val="32"/>
          <w:rtl/>
        </w:rPr>
        <w:t xml:space="preserve">: مَنْ يَمْلِكُ </w:t>
      </w:r>
      <w:r>
        <w:rPr>
          <w:rFonts w:hint="cs"/>
          <w:b/>
          <w:bCs/>
          <w:sz w:val="32"/>
          <w:szCs w:val="32"/>
          <w:rtl/>
        </w:rPr>
        <w:t>التَّنْجِيْزَ</w:t>
      </w:r>
      <w:r>
        <w:rPr>
          <w:rFonts w:hint="cs"/>
          <w:sz w:val="32"/>
          <w:szCs w:val="32"/>
          <w:rtl/>
        </w:rPr>
        <w:t xml:space="preserve"> يَمْلِكُ التَّعْلِيْقَ.</w:t>
      </w:r>
    </w:p>
    <w:p w:rsidR="00284270" w:rsidRDefault="00284270">
      <w:pPr>
        <w:rPr>
          <w:sz w:val="32"/>
          <w:szCs w:val="32"/>
          <w:rtl/>
        </w:rPr>
      </w:pPr>
      <w:r>
        <w:rPr>
          <w:rFonts w:hint="cs"/>
          <w:b/>
          <w:bCs/>
          <w:sz w:val="32"/>
          <w:szCs w:val="32"/>
          <w:rtl/>
        </w:rPr>
        <w:t>نزع</w:t>
      </w:r>
      <w:r>
        <w:rPr>
          <w:rFonts w:hint="cs"/>
          <w:sz w:val="32"/>
          <w:szCs w:val="32"/>
          <w:rtl/>
        </w:rPr>
        <w:tab/>
      </w:r>
      <w:r>
        <w:rPr>
          <w:sz w:val="32"/>
          <w:szCs w:val="32"/>
        </w:rPr>
        <w:tab/>
      </w:r>
      <w:r>
        <w:rPr>
          <w:rFonts w:hint="cs"/>
          <w:sz w:val="32"/>
          <w:szCs w:val="32"/>
          <w:rtl/>
        </w:rPr>
        <w:t xml:space="preserve">: ق104 </w:t>
      </w:r>
      <w:r>
        <w:rPr>
          <w:sz w:val="32"/>
          <w:szCs w:val="32"/>
        </w:rPr>
        <w:tab/>
      </w:r>
      <w:r>
        <w:rPr>
          <w:rFonts w:hint="cs"/>
          <w:sz w:val="32"/>
          <w:szCs w:val="32"/>
          <w:rtl/>
        </w:rPr>
        <w:t xml:space="preserve">: الجَهَالةُ المُفضِيةُ إلى </w:t>
      </w:r>
      <w:r>
        <w:rPr>
          <w:rFonts w:hint="cs"/>
          <w:b/>
          <w:bCs/>
          <w:sz w:val="32"/>
          <w:szCs w:val="32"/>
          <w:rtl/>
        </w:rPr>
        <w:t>النِّزاعِ</w:t>
      </w:r>
      <w:r>
        <w:rPr>
          <w:rFonts w:hint="cs"/>
          <w:sz w:val="32"/>
          <w:szCs w:val="32"/>
          <w:rtl/>
        </w:rPr>
        <w:t xml:space="preserve"> مُفسِدَةٌ للعقْدِ.</w:t>
      </w:r>
    </w:p>
    <w:p w:rsidR="00284270" w:rsidRDefault="00284270">
      <w:pPr>
        <w:rPr>
          <w:sz w:val="32"/>
          <w:szCs w:val="32"/>
          <w:rtl/>
        </w:rPr>
      </w:pPr>
      <w:r>
        <w:rPr>
          <w:rFonts w:hint="cs"/>
          <w:b/>
          <w:bCs/>
          <w:sz w:val="32"/>
          <w:szCs w:val="32"/>
          <w:rtl/>
        </w:rPr>
        <w:t>نزل</w:t>
      </w:r>
      <w:r>
        <w:rPr>
          <w:rFonts w:hint="cs"/>
          <w:sz w:val="32"/>
          <w:szCs w:val="32"/>
          <w:rtl/>
        </w:rPr>
        <w:tab/>
      </w:r>
      <w:r>
        <w:rPr>
          <w:sz w:val="32"/>
          <w:szCs w:val="32"/>
        </w:rPr>
        <w:tab/>
      </w:r>
      <w:r>
        <w:rPr>
          <w:rFonts w:hint="cs"/>
          <w:sz w:val="32"/>
          <w:szCs w:val="32"/>
          <w:rtl/>
        </w:rPr>
        <w:t xml:space="preserve">: ق108 </w:t>
      </w:r>
      <w:r>
        <w:rPr>
          <w:sz w:val="32"/>
          <w:szCs w:val="32"/>
        </w:rPr>
        <w:tab/>
      </w:r>
      <w:r>
        <w:rPr>
          <w:rFonts w:hint="cs"/>
          <w:sz w:val="32"/>
          <w:szCs w:val="32"/>
          <w:rtl/>
        </w:rPr>
        <w:t xml:space="preserve">: الحاجةُ </w:t>
      </w:r>
      <w:r>
        <w:rPr>
          <w:rFonts w:hint="cs"/>
          <w:b/>
          <w:bCs/>
          <w:sz w:val="32"/>
          <w:szCs w:val="32"/>
          <w:rtl/>
        </w:rPr>
        <w:t>تُنَزَّلُ</w:t>
      </w:r>
      <w:r>
        <w:rPr>
          <w:rFonts w:hint="cs"/>
          <w:sz w:val="32"/>
          <w:szCs w:val="32"/>
          <w:rtl/>
        </w:rPr>
        <w:t xml:space="preserve"> منزلةَ الضَّرورةِ، عامَّةً كانتْ أو خاصَّةً.</w:t>
      </w:r>
    </w:p>
    <w:p w:rsidR="00284270" w:rsidRDefault="00284270" w:rsidP="0022714B">
      <w:pPr>
        <w:ind w:left="2833" w:hanging="2266"/>
        <w:rPr>
          <w:sz w:val="32"/>
          <w:szCs w:val="32"/>
          <w:rtl/>
        </w:rPr>
      </w:pPr>
      <w:r>
        <w:rPr>
          <w:rFonts w:hint="cs"/>
          <w:b/>
          <w:bCs/>
          <w:sz w:val="32"/>
          <w:szCs w:val="32"/>
          <w:rtl/>
        </w:rPr>
        <w:t>نصب</w:t>
      </w:r>
      <w:r>
        <w:rPr>
          <w:rFonts w:hint="cs"/>
          <w:sz w:val="32"/>
          <w:szCs w:val="32"/>
          <w:rtl/>
        </w:rPr>
        <w:t xml:space="preserve">       : ق206 </w:t>
      </w:r>
      <w:r>
        <w:rPr>
          <w:sz w:val="32"/>
          <w:szCs w:val="32"/>
        </w:rPr>
        <w:tab/>
      </w:r>
      <w:r>
        <w:rPr>
          <w:rFonts w:hint="cs"/>
          <w:sz w:val="32"/>
          <w:szCs w:val="32"/>
          <w:rtl/>
        </w:rPr>
        <w:t xml:space="preserve">:  لاَ </w:t>
      </w:r>
      <w:r>
        <w:rPr>
          <w:rFonts w:hint="cs"/>
          <w:b/>
          <w:bCs/>
          <w:sz w:val="32"/>
          <w:szCs w:val="32"/>
          <w:rtl/>
        </w:rPr>
        <w:t>يَنْتَصِبُ</w:t>
      </w:r>
      <w:r>
        <w:rPr>
          <w:rFonts w:hint="cs"/>
          <w:sz w:val="32"/>
          <w:szCs w:val="32"/>
          <w:rtl/>
        </w:rPr>
        <w:t xml:space="preserve"> أَحَدٌ خَصْمًا عَنْ أَحَدٍ بغيرِ إِذْنِهِ قَصْدًا، وَكَالَةً ونِيَابَةً وَوِلايَةً.</w:t>
      </w:r>
    </w:p>
    <w:p w:rsidR="00284270" w:rsidRDefault="00284270">
      <w:pPr>
        <w:rPr>
          <w:sz w:val="32"/>
          <w:szCs w:val="32"/>
          <w:rtl/>
        </w:rPr>
      </w:pPr>
      <w:r>
        <w:rPr>
          <w:rFonts w:hint="cs"/>
          <w:b/>
          <w:bCs/>
          <w:sz w:val="32"/>
          <w:szCs w:val="32"/>
          <w:rtl/>
        </w:rPr>
        <w:t>نظر</w:t>
      </w:r>
      <w:r>
        <w:rPr>
          <w:rFonts w:hint="cs"/>
          <w:sz w:val="32"/>
          <w:szCs w:val="32"/>
          <w:rtl/>
        </w:rPr>
        <w:tab/>
      </w:r>
      <w:r>
        <w:rPr>
          <w:sz w:val="32"/>
          <w:szCs w:val="32"/>
        </w:rPr>
        <w:tab/>
      </w:r>
      <w:r>
        <w:rPr>
          <w:rFonts w:hint="cs"/>
          <w:sz w:val="32"/>
          <w:szCs w:val="32"/>
          <w:rtl/>
        </w:rPr>
        <w:t xml:space="preserve">: ق117 </w:t>
      </w:r>
      <w:r>
        <w:rPr>
          <w:sz w:val="32"/>
          <w:szCs w:val="32"/>
        </w:rPr>
        <w:tab/>
      </w:r>
      <w:r>
        <w:rPr>
          <w:rFonts w:hint="cs"/>
          <w:sz w:val="32"/>
          <w:szCs w:val="32"/>
          <w:rtl/>
        </w:rPr>
        <w:t xml:space="preserve">: حكمُ الخفيِّ : </w:t>
      </w:r>
      <w:r>
        <w:rPr>
          <w:rFonts w:hint="cs"/>
          <w:b/>
          <w:bCs/>
          <w:sz w:val="32"/>
          <w:szCs w:val="32"/>
          <w:rtl/>
        </w:rPr>
        <w:t>النَّظر</w:t>
      </w:r>
      <w:r>
        <w:rPr>
          <w:rFonts w:hint="cs"/>
          <w:sz w:val="32"/>
          <w:szCs w:val="32"/>
          <w:rtl/>
        </w:rPr>
        <w:t xml:space="preserve">ُ فيه؛ ليُعلمَ أنَّ خفاهُ لزيادةٍ أو </w:t>
      </w:r>
    </w:p>
    <w:p w:rsidR="00284270" w:rsidRDefault="00284270">
      <w:pPr>
        <w:ind w:left="2212" w:right="2212"/>
        <w:rPr>
          <w:sz w:val="32"/>
          <w:szCs w:val="32"/>
          <w:rtl/>
        </w:rPr>
      </w:pPr>
      <w:r>
        <w:rPr>
          <w:rFonts w:hint="cs"/>
          <w:sz w:val="32"/>
          <w:szCs w:val="32"/>
          <w:rtl/>
        </w:rPr>
        <w:t>نُقصانٍ فَيَظْهَرَ المُرَادُ.</w:t>
      </w:r>
    </w:p>
    <w:p w:rsidR="00284270" w:rsidRDefault="00284270" w:rsidP="0022714B">
      <w:pPr>
        <w:ind w:left="2833" w:hanging="2266"/>
        <w:rPr>
          <w:sz w:val="32"/>
          <w:szCs w:val="32"/>
          <w:rtl/>
        </w:rPr>
      </w:pPr>
      <w:r>
        <w:rPr>
          <w:rFonts w:hint="cs"/>
          <w:b/>
          <w:bCs/>
          <w:sz w:val="32"/>
          <w:szCs w:val="32"/>
          <w:rtl/>
        </w:rPr>
        <w:t>نصص</w:t>
      </w:r>
      <w:r>
        <w:rPr>
          <w:rFonts w:hint="cs"/>
          <w:sz w:val="32"/>
          <w:szCs w:val="32"/>
          <w:rtl/>
        </w:rPr>
        <w:t xml:space="preserve">      : ق89 </w:t>
      </w:r>
      <w:r>
        <w:rPr>
          <w:sz w:val="32"/>
          <w:szCs w:val="32"/>
        </w:rPr>
        <w:tab/>
      </w:r>
      <w:r>
        <w:rPr>
          <w:rFonts w:hint="cs"/>
          <w:sz w:val="32"/>
          <w:szCs w:val="32"/>
          <w:rtl/>
        </w:rPr>
        <w:t xml:space="preserve">: </w:t>
      </w:r>
      <w:r>
        <w:rPr>
          <w:rFonts w:hint="cs"/>
          <w:b/>
          <w:bCs/>
          <w:sz w:val="32"/>
          <w:szCs w:val="32"/>
          <w:rtl/>
        </w:rPr>
        <w:t>التَّنصِيصُ</w:t>
      </w:r>
      <w:r>
        <w:rPr>
          <w:rFonts w:hint="cs"/>
          <w:sz w:val="32"/>
          <w:szCs w:val="32"/>
          <w:rtl/>
        </w:rPr>
        <w:t xml:space="preserve"> عَلَى الموجَبِ عندَ حصولِ الموجِبِ ليسَ بِشَرْطٍ.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ق90 </w:t>
      </w:r>
      <w:r>
        <w:rPr>
          <w:sz w:val="32"/>
          <w:szCs w:val="32"/>
        </w:rPr>
        <w:tab/>
      </w:r>
      <w:r>
        <w:rPr>
          <w:rFonts w:hint="cs"/>
          <w:sz w:val="32"/>
          <w:szCs w:val="32"/>
          <w:rtl/>
        </w:rPr>
        <w:tab/>
        <w:t xml:space="preserve">: </w:t>
      </w:r>
      <w:r>
        <w:rPr>
          <w:rFonts w:hint="cs"/>
          <w:b/>
          <w:bCs/>
          <w:sz w:val="32"/>
          <w:szCs w:val="32"/>
          <w:rtl/>
        </w:rPr>
        <w:t>التَّنْصِيصُ</w:t>
      </w:r>
      <w:r>
        <w:rPr>
          <w:rFonts w:hint="cs"/>
          <w:sz w:val="32"/>
          <w:szCs w:val="32"/>
          <w:rtl/>
        </w:rPr>
        <w:t xml:space="preserve"> لاَ يوجِبُ التَّخْصِيصَ.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ق245 </w:t>
      </w:r>
      <w:r>
        <w:rPr>
          <w:sz w:val="32"/>
          <w:szCs w:val="32"/>
        </w:rPr>
        <w:tab/>
      </w:r>
      <w:r>
        <w:rPr>
          <w:rFonts w:hint="cs"/>
          <w:sz w:val="32"/>
          <w:szCs w:val="32"/>
          <w:rtl/>
        </w:rPr>
        <w:tab/>
      </w:r>
      <w:r>
        <w:rPr>
          <w:rFonts w:hint="cs"/>
          <w:b/>
          <w:bCs/>
          <w:sz w:val="32"/>
          <w:szCs w:val="32"/>
          <w:rtl/>
        </w:rPr>
        <w:t>: المَنْصُوصُ</w:t>
      </w:r>
      <w:r>
        <w:rPr>
          <w:rFonts w:hint="cs"/>
          <w:sz w:val="32"/>
          <w:szCs w:val="32"/>
          <w:rtl/>
        </w:rPr>
        <w:t xml:space="preserve"> لاَ يَنُوْبُ أَخَاهُ.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ق248 </w:t>
      </w:r>
      <w:r>
        <w:rPr>
          <w:sz w:val="32"/>
          <w:szCs w:val="32"/>
        </w:rPr>
        <w:tab/>
      </w:r>
      <w:r>
        <w:rPr>
          <w:rFonts w:hint="cs"/>
          <w:sz w:val="32"/>
          <w:szCs w:val="32"/>
          <w:rtl/>
        </w:rPr>
        <w:tab/>
        <w:t xml:space="preserve">: </w:t>
      </w:r>
      <w:r>
        <w:rPr>
          <w:rFonts w:hint="cs"/>
          <w:b/>
          <w:bCs/>
          <w:sz w:val="32"/>
          <w:szCs w:val="32"/>
          <w:rtl/>
        </w:rPr>
        <w:t>النَصُّ</w:t>
      </w:r>
      <w:r>
        <w:rPr>
          <w:rFonts w:hint="cs"/>
          <w:sz w:val="32"/>
          <w:szCs w:val="32"/>
          <w:rtl/>
        </w:rPr>
        <w:t xml:space="preserve"> على خلافِ القياسِ يَقْتَصِرُ عَلَى مَوْرِدِهِ.</w:t>
      </w:r>
    </w:p>
    <w:p w:rsidR="00284270" w:rsidRDefault="00284270" w:rsidP="0022714B">
      <w:pPr>
        <w:ind w:left="2833" w:hanging="2266"/>
        <w:rPr>
          <w:sz w:val="32"/>
          <w:szCs w:val="32"/>
          <w:rtl/>
        </w:rPr>
      </w:pPr>
      <w:r>
        <w:rPr>
          <w:rFonts w:hint="cs"/>
          <w:sz w:val="32"/>
          <w:szCs w:val="32"/>
          <w:rtl/>
        </w:rPr>
        <w:t xml:space="preserve">              ق247 </w:t>
      </w:r>
      <w:r>
        <w:rPr>
          <w:sz w:val="32"/>
          <w:szCs w:val="32"/>
        </w:rPr>
        <w:tab/>
      </w:r>
      <w:r>
        <w:rPr>
          <w:rFonts w:hint="cs"/>
          <w:sz w:val="32"/>
          <w:szCs w:val="32"/>
          <w:rtl/>
        </w:rPr>
        <w:t xml:space="preserve">: </w:t>
      </w:r>
      <w:r>
        <w:rPr>
          <w:rFonts w:hint="cs"/>
          <w:b/>
          <w:bCs/>
          <w:sz w:val="32"/>
          <w:szCs w:val="32"/>
          <w:rtl/>
        </w:rPr>
        <w:t>النَصُّ</w:t>
      </w:r>
      <w:r>
        <w:rPr>
          <w:rFonts w:hint="cs"/>
          <w:sz w:val="32"/>
          <w:szCs w:val="32"/>
          <w:rtl/>
        </w:rPr>
        <w:t xml:space="preserve"> : مِنْ وُجُوهِ البَيَانِ، يَتَرَجَّحُ عَلَى الظَّاهِرِ، والمفسَّرُ عليهما، والمُحْكَمُ على الكُلِّ.</w:t>
      </w:r>
    </w:p>
    <w:p w:rsidR="00284270" w:rsidRDefault="00284270" w:rsidP="0022714B">
      <w:pPr>
        <w:ind w:left="2833" w:hanging="2266"/>
        <w:rPr>
          <w:sz w:val="32"/>
          <w:szCs w:val="32"/>
          <w:rtl/>
        </w:rPr>
      </w:pPr>
      <w:r>
        <w:rPr>
          <w:rFonts w:hint="cs"/>
          <w:b/>
          <w:bCs/>
          <w:sz w:val="32"/>
          <w:szCs w:val="32"/>
          <w:rtl/>
        </w:rPr>
        <w:t>نفع</w:t>
      </w:r>
      <w:r>
        <w:rPr>
          <w:rFonts w:hint="cs"/>
          <w:sz w:val="32"/>
          <w:szCs w:val="32"/>
          <w:rtl/>
        </w:rPr>
        <w:t xml:space="preserve">       :  ق208 </w:t>
      </w:r>
      <w:r>
        <w:rPr>
          <w:sz w:val="32"/>
          <w:szCs w:val="32"/>
        </w:rPr>
        <w:tab/>
      </w:r>
      <w:r>
        <w:rPr>
          <w:rFonts w:hint="cs"/>
          <w:sz w:val="32"/>
          <w:szCs w:val="32"/>
          <w:rtl/>
        </w:rPr>
        <w:t xml:space="preserve">: لاَ تُقَوَّمُ </w:t>
      </w:r>
      <w:r>
        <w:rPr>
          <w:rFonts w:hint="cs"/>
          <w:b/>
          <w:bCs/>
          <w:sz w:val="32"/>
          <w:szCs w:val="32"/>
          <w:rtl/>
        </w:rPr>
        <w:t>المنافِعُ</w:t>
      </w:r>
      <w:r>
        <w:rPr>
          <w:rFonts w:hint="cs"/>
          <w:sz w:val="32"/>
          <w:szCs w:val="32"/>
          <w:rtl/>
        </w:rPr>
        <w:t xml:space="preserve"> في أنفُسِهَا، وإنَّمَا تَتَقَوَّمُ؛ لدَفْعِ ضرورةِ الحاجةِ.</w:t>
      </w:r>
    </w:p>
    <w:p w:rsidR="00284270" w:rsidRDefault="00284270" w:rsidP="0022714B">
      <w:pPr>
        <w:ind w:left="2833" w:hanging="2266"/>
        <w:rPr>
          <w:sz w:val="32"/>
          <w:szCs w:val="32"/>
          <w:rtl/>
        </w:rPr>
      </w:pPr>
      <w:r>
        <w:rPr>
          <w:rFonts w:hint="cs"/>
          <w:b/>
          <w:bCs/>
          <w:sz w:val="32"/>
          <w:szCs w:val="32"/>
          <w:rtl/>
        </w:rPr>
        <w:t>نفى</w:t>
      </w:r>
      <w:r>
        <w:rPr>
          <w:rFonts w:hint="cs"/>
          <w:sz w:val="32"/>
          <w:szCs w:val="32"/>
          <w:rtl/>
        </w:rPr>
        <w:t xml:space="preserve">       :  ق35 </w:t>
      </w:r>
      <w:r>
        <w:rPr>
          <w:sz w:val="32"/>
          <w:szCs w:val="32"/>
        </w:rPr>
        <w:tab/>
      </w:r>
      <w:r>
        <w:rPr>
          <w:rFonts w:hint="cs"/>
          <w:sz w:val="32"/>
          <w:szCs w:val="32"/>
          <w:rtl/>
        </w:rPr>
        <w:t>: اعْتِبَارُ المعنَيَيْنِ مِنْ لَفْظٍ وَاحِدٍ لا يَجُوزُ بِلاَ مُرَجِّ</w:t>
      </w:r>
      <w:r>
        <w:rPr>
          <w:sz w:val="32"/>
          <w:szCs w:val="32"/>
          <w:rtl/>
        </w:rPr>
        <w:t>ح</w:t>
      </w:r>
      <w:r>
        <w:rPr>
          <w:rFonts w:hint="cs"/>
          <w:sz w:val="32"/>
          <w:szCs w:val="32"/>
          <w:rtl/>
        </w:rPr>
        <w:t xml:space="preserve">ٍ فِي الإِثْبَاتِ، ويجوزُ فِي </w:t>
      </w:r>
      <w:r>
        <w:rPr>
          <w:rFonts w:hint="cs"/>
          <w:b/>
          <w:bCs/>
          <w:sz w:val="32"/>
          <w:szCs w:val="32"/>
          <w:rtl/>
        </w:rPr>
        <w:t>النَّفْيِ</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ق58 </w:t>
      </w:r>
      <w:r>
        <w:rPr>
          <w:sz w:val="32"/>
          <w:szCs w:val="32"/>
        </w:rPr>
        <w:tab/>
      </w:r>
      <w:r>
        <w:rPr>
          <w:rFonts w:hint="cs"/>
          <w:sz w:val="32"/>
          <w:szCs w:val="32"/>
          <w:rtl/>
        </w:rPr>
        <w:tab/>
        <w:t xml:space="preserve">: </w:t>
      </w:r>
      <w:r>
        <w:rPr>
          <w:rFonts w:hint="eastAsia"/>
          <w:sz w:val="32"/>
          <w:szCs w:val="32"/>
          <w:rtl/>
        </w:rPr>
        <w:t>بَـيِّـنةُ</w:t>
      </w:r>
      <w:r>
        <w:rPr>
          <w:sz w:val="32"/>
          <w:szCs w:val="32"/>
          <w:rtl/>
        </w:rPr>
        <w:t xml:space="preserve"> </w:t>
      </w:r>
      <w:r>
        <w:rPr>
          <w:b/>
          <w:bCs/>
          <w:sz w:val="32"/>
          <w:szCs w:val="32"/>
          <w:rtl/>
        </w:rPr>
        <w:t>الن</w:t>
      </w:r>
      <w:r>
        <w:rPr>
          <w:rFonts w:hint="cs"/>
          <w:b/>
          <w:bCs/>
          <w:sz w:val="32"/>
          <w:szCs w:val="32"/>
          <w:rtl/>
        </w:rPr>
        <w:t>َّ</w:t>
      </w:r>
      <w:r>
        <w:rPr>
          <w:b/>
          <w:bCs/>
          <w:sz w:val="32"/>
          <w:szCs w:val="32"/>
          <w:rtl/>
        </w:rPr>
        <w:t>ف</w:t>
      </w:r>
      <w:r>
        <w:rPr>
          <w:rFonts w:hint="cs"/>
          <w:b/>
          <w:bCs/>
          <w:sz w:val="32"/>
          <w:szCs w:val="32"/>
          <w:rtl/>
        </w:rPr>
        <w:t>ْ</w:t>
      </w:r>
      <w:r>
        <w:rPr>
          <w:b/>
          <w:bCs/>
          <w:sz w:val="32"/>
          <w:szCs w:val="32"/>
          <w:rtl/>
        </w:rPr>
        <w:t>ي</w:t>
      </w:r>
      <w:r>
        <w:rPr>
          <w:rFonts w:hint="cs"/>
          <w:b/>
          <w:bCs/>
          <w:sz w:val="32"/>
          <w:szCs w:val="32"/>
          <w:rtl/>
        </w:rPr>
        <w:t>ِ</w:t>
      </w:r>
      <w:r>
        <w:rPr>
          <w:sz w:val="32"/>
          <w:szCs w:val="32"/>
          <w:rtl/>
        </w:rPr>
        <w:t xml:space="preserve"> </w:t>
      </w:r>
      <w:r>
        <w:rPr>
          <w:rFonts w:hint="eastAsia"/>
          <w:sz w:val="32"/>
          <w:szCs w:val="32"/>
          <w:rtl/>
        </w:rPr>
        <w:t>غ</w:t>
      </w:r>
      <w:r>
        <w:rPr>
          <w:rFonts w:hint="cs"/>
          <w:sz w:val="32"/>
          <w:szCs w:val="32"/>
          <w:rtl/>
        </w:rPr>
        <w:t>َ</w:t>
      </w:r>
      <w:r>
        <w:rPr>
          <w:rFonts w:hint="eastAsia"/>
          <w:sz w:val="32"/>
          <w:szCs w:val="32"/>
          <w:rtl/>
        </w:rPr>
        <w:t>ي</w:t>
      </w:r>
      <w:r>
        <w:rPr>
          <w:rFonts w:hint="cs"/>
          <w:sz w:val="32"/>
          <w:szCs w:val="32"/>
          <w:rtl/>
        </w:rPr>
        <w:t>ْ</w:t>
      </w:r>
      <w:r>
        <w:rPr>
          <w:rFonts w:hint="eastAsia"/>
          <w:sz w:val="32"/>
          <w:szCs w:val="32"/>
          <w:rtl/>
        </w:rPr>
        <w:t>ر</w:t>
      </w:r>
      <w:r>
        <w:rPr>
          <w:rFonts w:hint="cs"/>
          <w:sz w:val="32"/>
          <w:szCs w:val="32"/>
          <w:rtl/>
        </w:rPr>
        <w:t>ُ</w:t>
      </w:r>
      <w:r>
        <w:rPr>
          <w:sz w:val="32"/>
          <w:szCs w:val="32"/>
          <w:rtl/>
        </w:rPr>
        <w:t xml:space="preserve"> م</w:t>
      </w:r>
      <w:r>
        <w:rPr>
          <w:rFonts w:hint="cs"/>
          <w:sz w:val="32"/>
          <w:szCs w:val="32"/>
          <w:rtl/>
        </w:rPr>
        <w:t>َ</w:t>
      </w:r>
      <w:r>
        <w:rPr>
          <w:sz w:val="32"/>
          <w:szCs w:val="32"/>
          <w:rtl/>
        </w:rPr>
        <w:t>ق</w:t>
      </w:r>
      <w:r>
        <w:rPr>
          <w:rFonts w:hint="cs"/>
          <w:sz w:val="32"/>
          <w:szCs w:val="32"/>
          <w:rtl/>
        </w:rPr>
        <w:t>ْ</w:t>
      </w:r>
      <w:r>
        <w:rPr>
          <w:sz w:val="32"/>
          <w:szCs w:val="32"/>
          <w:rtl/>
        </w:rPr>
        <w:t>ب</w:t>
      </w:r>
      <w:r>
        <w:rPr>
          <w:rFonts w:hint="cs"/>
          <w:sz w:val="32"/>
          <w:szCs w:val="32"/>
          <w:rtl/>
        </w:rPr>
        <w:t>ُ</w:t>
      </w:r>
      <w:r>
        <w:rPr>
          <w:sz w:val="32"/>
          <w:szCs w:val="32"/>
          <w:rtl/>
        </w:rPr>
        <w:t>ول</w:t>
      </w:r>
      <w:r>
        <w:rPr>
          <w:rFonts w:hint="cs"/>
          <w:sz w:val="32"/>
          <w:szCs w:val="32"/>
          <w:rtl/>
        </w:rPr>
        <w:t>َـ</w:t>
      </w:r>
      <w:r>
        <w:rPr>
          <w:sz w:val="32"/>
          <w:szCs w:val="32"/>
          <w:rtl/>
        </w:rPr>
        <w:t>ةٍ</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ق133 </w:t>
      </w:r>
      <w:r>
        <w:rPr>
          <w:sz w:val="32"/>
          <w:szCs w:val="32"/>
        </w:rPr>
        <w:tab/>
      </w:r>
      <w:r>
        <w:rPr>
          <w:rFonts w:hint="cs"/>
          <w:sz w:val="32"/>
          <w:szCs w:val="32"/>
          <w:rtl/>
        </w:rPr>
        <w:t>: الرُّجُوعُ إثباتٌ فِي المَاضِي و</w:t>
      </w:r>
      <w:r>
        <w:rPr>
          <w:rFonts w:hint="cs"/>
          <w:b/>
          <w:bCs/>
          <w:sz w:val="32"/>
          <w:szCs w:val="32"/>
          <w:rtl/>
        </w:rPr>
        <w:t>نفيٌ</w:t>
      </w:r>
      <w:r>
        <w:rPr>
          <w:rFonts w:hint="cs"/>
          <w:sz w:val="32"/>
          <w:szCs w:val="32"/>
          <w:rtl/>
        </w:rPr>
        <w:t xml:space="preserve"> فِي الحَالِ، والجُحُودُ </w:t>
      </w:r>
      <w:r>
        <w:rPr>
          <w:rFonts w:hint="cs"/>
          <w:b/>
          <w:bCs/>
          <w:sz w:val="32"/>
          <w:szCs w:val="32"/>
          <w:rtl/>
        </w:rPr>
        <w:t>نفيٌ</w:t>
      </w:r>
      <w:r>
        <w:rPr>
          <w:rFonts w:hint="cs"/>
          <w:sz w:val="32"/>
          <w:szCs w:val="32"/>
          <w:rtl/>
        </w:rPr>
        <w:t xml:space="preserve"> فِيهِمَا.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ق265 </w:t>
      </w:r>
      <w:r>
        <w:rPr>
          <w:sz w:val="32"/>
          <w:szCs w:val="32"/>
        </w:rPr>
        <w:tab/>
      </w:r>
      <w:r>
        <w:rPr>
          <w:rFonts w:hint="cs"/>
          <w:sz w:val="32"/>
          <w:szCs w:val="32"/>
          <w:rtl/>
        </w:rPr>
        <w:t xml:space="preserve">: اليَمِينُ أَبَدًا يَكُونُ عَلَى </w:t>
      </w:r>
      <w:r>
        <w:rPr>
          <w:rFonts w:hint="cs"/>
          <w:b/>
          <w:bCs/>
          <w:sz w:val="32"/>
          <w:szCs w:val="32"/>
          <w:rtl/>
        </w:rPr>
        <w:t>النَّفْيِ</w:t>
      </w:r>
      <w:r>
        <w:rPr>
          <w:rFonts w:hint="cs"/>
          <w:sz w:val="32"/>
          <w:szCs w:val="32"/>
          <w:rtl/>
        </w:rPr>
        <w:t>.</w:t>
      </w:r>
    </w:p>
    <w:p w:rsidR="00284270" w:rsidRDefault="00284270">
      <w:pPr>
        <w:rPr>
          <w:sz w:val="32"/>
          <w:szCs w:val="32"/>
          <w:rtl/>
        </w:rPr>
      </w:pPr>
      <w:r>
        <w:rPr>
          <w:rFonts w:hint="cs"/>
          <w:b/>
          <w:bCs/>
          <w:sz w:val="32"/>
          <w:szCs w:val="32"/>
          <w:rtl/>
        </w:rPr>
        <w:t>نقض</w:t>
      </w:r>
      <w:r>
        <w:rPr>
          <w:rFonts w:hint="cs"/>
          <w:sz w:val="32"/>
          <w:szCs w:val="32"/>
          <w:rtl/>
        </w:rPr>
        <w:tab/>
      </w:r>
      <w:r>
        <w:rPr>
          <w:sz w:val="32"/>
          <w:szCs w:val="32"/>
        </w:rPr>
        <w:tab/>
      </w:r>
      <w:r>
        <w:rPr>
          <w:rFonts w:hint="cs"/>
          <w:sz w:val="32"/>
          <w:szCs w:val="32"/>
          <w:rtl/>
        </w:rPr>
        <w:t xml:space="preserve">: ق88 </w:t>
      </w:r>
      <w:r>
        <w:rPr>
          <w:sz w:val="32"/>
          <w:szCs w:val="32"/>
        </w:rPr>
        <w:tab/>
      </w:r>
      <w:r>
        <w:rPr>
          <w:rFonts w:hint="cs"/>
          <w:sz w:val="32"/>
          <w:szCs w:val="32"/>
          <w:rtl/>
        </w:rPr>
        <w:tab/>
        <w:t xml:space="preserve">: </w:t>
      </w:r>
      <w:r>
        <w:rPr>
          <w:rFonts w:hint="cs"/>
          <w:b/>
          <w:bCs/>
          <w:sz w:val="32"/>
          <w:szCs w:val="32"/>
          <w:rtl/>
        </w:rPr>
        <w:t>التَّناقضُ</w:t>
      </w:r>
      <w:r>
        <w:rPr>
          <w:rFonts w:hint="cs"/>
          <w:sz w:val="32"/>
          <w:szCs w:val="32"/>
          <w:rtl/>
        </w:rPr>
        <w:t xml:space="preserve"> لا يمنعُ صحَّةَ الإقْرارِ عَلى نفسِهِ.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ق87 </w:t>
      </w:r>
      <w:r>
        <w:rPr>
          <w:sz w:val="32"/>
          <w:szCs w:val="32"/>
        </w:rPr>
        <w:tab/>
      </w:r>
      <w:r>
        <w:rPr>
          <w:rFonts w:hint="cs"/>
          <w:sz w:val="32"/>
          <w:szCs w:val="32"/>
          <w:rtl/>
        </w:rPr>
        <w:tab/>
        <w:t xml:space="preserve">: </w:t>
      </w:r>
      <w:r>
        <w:rPr>
          <w:rFonts w:hint="cs"/>
          <w:b/>
          <w:bCs/>
          <w:sz w:val="32"/>
          <w:szCs w:val="32"/>
          <w:rtl/>
        </w:rPr>
        <w:t>التَّنَاقُضُ</w:t>
      </w:r>
      <w:r>
        <w:rPr>
          <w:rFonts w:hint="cs"/>
          <w:sz w:val="32"/>
          <w:szCs w:val="32"/>
          <w:rtl/>
        </w:rPr>
        <w:t xml:space="preserve"> يُفسدُ الدّعوَى. </w:t>
      </w:r>
    </w:p>
    <w:p w:rsidR="00284270" w:rsidRDefault="00284270">
      <w:pPr>
        <w:rPr>
          <w:spacing w:val="-4"/>
          <w:sz w:val="32"/>
          <w:szCs w:val="32"/>
          <w:rtl/>
        </w:rPr>
      </w:pPr>
      <w:r>
        <w:rPr>
          <w:rFonts w:hint="cs"/>
          <w:spacing w:val="-4"/>
          <w:sz w:val="32"/>
          <w:szCs w:val="32"/>
          <w:rtl/>
        </w:rPr>
        <w:lastRenderedPageBreak/>
        <w:tab/>
      </w:r>
      <w:r>
        <w:rPr>
          <w:rFonts w:hint="cs"/>
          <w:spacing w:val="-4"/>
          <w:sz w:val="32"/>
          <w:szCs w:val="32"/>
          <w:rtl/>
        </w:rPr>
        <w:tab/>
      </w:r>
      <w:r>
        <w:rPr>
          <w:spacing w:val="-4"/>
          <w:sz w:val="32"/>
          <w:szCs w:val="32"/>
        </w:rPr>
        <w:tab/>
      </w:r>
      <w:r>
        <w:rPr>
          <w:rFonts w:hint="cs"/>
          <w:spacing w:val="-4"/>
          <w:sz w:val="32"/>
          <w:szCs w:val="32"/>
          <w:rtl/>
        </w:rPr>
        <w:t xml:space="preserve">  ق235 </w:t>
      </w:r>
      <w:r>
        <w:rPr>
          <w:spacing w:val="-4"/>
          <w:sz w:val="32"/>
          <w:szCs w:val="32"/>
        </w:rPr>
        <w:tab/>
      </w:r>
      <w:r>
        <w:rPr>
          <w:rFonts w:hint="cs"/>
          <w:spacing w:val="-4"/>
          <w:sz w:val="32"/>
          <w:szCs w:val="32"/>
          <w:rtl/>
        </w:rPr>
        <w:t xml:space="preserve">: مَنْ سَعَى فِي </w:t>
      </w:r>
      <w:r>
        <w:rPr>
          <w:rFonts w:hint="cs"/>
          <w:b/>
          <w:bCs/>
          <w:sz w:val="32"/>
          <w:szCs w:val="32"/>
          <w:rtl/>
        </w:rPr>
        <w:t>نَقْضِ</w:t>
      </w:r>
      <w:r>
        <w:rPr>
          <w:rFonts w:hint="cs"/>
          <w:spacing w:val="-4"/>
          <w:sz w:val="32"/>
          <w:szCs w:val="32"/>
          <w:rtl/>
        </w:rPr>
        <w:t xml:space="preserve"> مَا تمَّ مِنْ جِهَتِهِ فَسَعْيُهُ مَرْدُودٌ عَلَيْهِ.</w:t>
      </w:r>
    </w:p>
    <w:p w:rsidR="00284270" w:rsidRDefault="00284270" w:rsidP="0022714B">
      <w:pPr>
        <w:ind w:left="2833" w:hanging="2266"/>
        <w:rPr>
          <w:spacing w:val="-4"/>
          <w:sz w:val="32"/>
          <w:szCs w:val="32"/>
          <w:rtl/>
        </w:rPr>
      </w:pPr>
      <w:r>
        <w:rPr>
          <w:rFonts w:hint="cs"/>
          <w:b/>
          <w:bCs/>
          <w:sz w:val="32"/>
          <w:szCs w:val="32"/>
          <w:rtl/>
        </w:rPr>
        <w:t>نقل</w:t>
      </w:r>
      <w:r>
        <w:rPr>
          <w:rFonts w:hint="cs"/>
          <w:spacing w:val="-4"/>
          <w:sz w:val="32"/>
          <w:szCs w:val="32"/>
          <w:rtl/>
        </w:rPr>
        <w:t xml:space="preserve">          : ق179 </w:t>
      </w:r>
      <w:r>
        <w:rPr>
          <w:spacing w:val="-4"/>
          <w:sz w:val="32"/>
          <w:szCs w:val="32"/>
        </w:rPr>
        <w:tab/>
      </w:r>
      <w:r>
        <w:rPr>
          <w:rFonts w:hint="cs"/>
          <w:spacing w:val="-4"/>
          <w:sz w:val="32"/>
          <w:szCs w:val="32"/>
          <w:rtl/>
        </w:rPr>
        <w:t xml:space="preserve">: القَبْضُ إنَّمَا يُعْتَبَرُ فِي </w:t>
      </w:r>
      <w:r>
        <w:rPr>
          <w:rFonts w:hint="cs"/>
          <w:b/>
          <w:bCs/>
          <w:sz w:val="32"/>
          <w:szCs w:val="32"/>
          <w:rtl/>
        </w:rPr>
        <w:t>انتقال</w:t>
      </w:r>
      <w:r>
        <w:rPr>
          <w:rFonts w:hint="cs"/>
          <w:spacing w:val="-4"/>
          <w:sz w:val="32"/>
          <w:szCs w:val="32"/>
          <w:rtl/>
        </w:rPr>
        <w:t>ِ المِلْكِ، لاَ فِي دَعْوَى المِلْكِ القَدِيمِ.</w:t>
      </w:r>
    </w:p>
    <w:p w:rsidR="00284270" w:rsidRDefault="00284270">
      <w:pPr>
        <w:rPr>
          <w:sz w:val="32"/>
          <w:szCs w:val="32"/>
          <w:rtl/>
        </w:rPr>
      </w:pPr>
      <w:r>
        <w:rPr>
          <w:rFonts w:hint="cs"/>
          <w:b/>
          <w:bCs/>
          <w:sz w:val="32"/>
          <w:szCs w:val="32"/>
          <w:rtl/>
        </w:rPr>
        <w:t>نكر</w:t>
      </w:r>
      <w:r>
        <w:rPr>
          <w:rFonts w:hint="cs"/>
          <w:sz w:val="32"/>
          <w:szCs w:val="32"/>
          <w:rtl/>
        </w:rPr>
        <w:tab/>
      </w:r>
      <w:r>
        <w:rPr>
          <w:sz w:val="32"/>
          <w:szCs w:val="32"/>
        </w:rPr>
        <w:tab/>
      </w:r>
      <w:r>
        <w:rPr>
          <w:rFonts w:hint="cs"/>
          <w:sz w:val="32"/>
          <w:szCs w:val="32"/>
          <w:rtl/>
        </w:rPr>
        <w:t xml:space="preserve">: ق43 </w:t>
      </w:r>
      <w:r>
        <w:rPr>
          <w:sz w:val="32"/>
          <w:szCs w:val="32"/>
        </w:rPr>
        <w:tab/>
      </w:r>
      <w:r>
        <w:rPr>
          <w:rFonts w:hint="cs"/>
          <w:sz w:val="32"/>
          <w:szCs w:val="32"/>
          <w:rtl/>
        </w:rPr>
        <w:tab/>
        <w:t xml:space="preserve">: الإِقْرَارُ لِشَيءٍ لاَ يَبْطُلُ </w:t>
      </w:r>
      <w:r>
        <w:rPr>
          <w:rFonts w:hint="cs"/>
          <w:b/>
          <w:bCs/>
          <w:sz w:val="32"/>
          <w:szCs w:val="32"/>
          <w:rtl/>
        </w:rPr>
        <w:t>بِالإِنْكَار</w:t>
      </w:r>
      <w:r>
        <w:rPr>
          <w:rFonts w:hint="cs"/>
          <w:sz w:val="32"/>
          <w:szCs w:val="32"/>
          <w:rtl/>
        </w:rPr>
        <w:t xml:space="preserve">ِ اللاَّحِقِ. </w:t>
      </w:r>
    </w:p>
    <w:p w:rsidR="00284270" w:rsidRDefault="00284270" w:rsidP="0022714B">
      <w:pPr>
        <w:ind w:left="2833" w:hanging="2266"/>
        <w:rPr>
          <w:sz w:val="32"/>
          <w:szCs w:val="32"/>
          <w:rtl/>
        </w:rPr>
      </w:pPr>
      <w:r>
        <w:rPr>
          <w:rFonts w:hint="cs"/>
          <w:sz w:val="32"/>
          <w:szCs w:val="32"/>
          <w:rtl/>
        </w:rPr>
        <w:t xml:space="preserve">               ق186 </w:t>
      </w:r>
      <w:r>
        <w:rPr>
          <w:rFonts w:hint="cs"/>
          <w:sz w:val="32"/>
          <w:szCs w:val="32"/>
          <w:rtl/>
        </w:rPr>
        <w:tab/>
        <w:t xml:space="preserve">: كَلِمَـةُ (كُلٍّ) إِذَا دَخَلَتْ عَلَى </w:t>
      </w:r>
      <w:r>
        <w:rPr>
          <w:rFonts w:hint="cs"/>
          <w:b/>
          <w:bCs/>
          <w:sz w:val="32"/>
          <w:szCs w:val="32"/>
          <w:rtl/>
        </w:rPr>
        <w:t>النَّكِرَةِ</w:t>
      </w:r>
      <w:r>
        <w:rPr>
          <w:rFonts w:hint="cs"/>
          <w:sz w:val="32"/>
          <w:szCs w:val="32"/>
          <w:rtl/>
        </w:rPr>
        <w:t xml:space="preserve"> أوجَبَتْ عُمُومَ أَفْرَادِهَا عَلَى سَبِيلِ الشُّمُولِ دُوْنَ التِّكْرَار.ِ</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ق194 </w:t>
      </w:r>
      <w:r>
        <w:rPr>
          <w:sz w:val="32"/>
          <w:szCs w:val="32"/>
        </w:rPr>
        <w:tab/>
      </w:r>
      <w:r>
        <w:rPr>
          <w:rFonts w:hint="cs"/>
          <w:sz w:val="32"/>
          <w:szCs w:val="32"/>
          <w:rtl/>
        </w:rPr>
        <w:t xml:space="preserve">: لا يَجُوزُ للمدَّعَى عليهِ </w:t>
      </w:r>
      <w:r>
        <w:rPr>
          <w:rFonts w:hint="cs"/>
          <w:b/>
          <w:bCs/>
          <w:sz w:val="32"/>
          <w:szCs w:val="32"/>
          <w:rtl/>
        </w:rPr>
        <w:t>الإنكار</w:t>
      </w:r>
      <w:r>
        <w:rPr>
          <w:rFonts w:hint="cs"/>
          <w:sz w:val="32"/>
          <w:szCs w:val="32"/>
          <w:rtl/>
        </w:rPr>
        <w:t>ُ إذا كَانَ عالمًا بالحَقِّ.</w:t>
      </w:r>
    </w:p>
    <w:p w:rsidR="00284270" w:rsidRDefault="00284270" w:rsidP="0022714B">
      <w:pPr>
        <w:ind w:left="2833" w:hanging="2266"/>
        <w:rPr>
          <w:sz w:val="32"/>
          <w:szCs w:val="32"/>
          <w:rtl/>
        </w:rPr>
      </w:pPr>
      <w:r>
        <w:rPr>
          <w:rFonts w:hint="cs"/>
          <w:sz w:val="32"/>
          <w:szCs w:val="32"/>
          <w:rtl/>
        </w:rPr>
        <w:t xml:space="preserve">               ق227 </w:t>
      </w:r>
      <w:r>
        <w:rPr>
          <w:sz w:val="32"/>
          <w:szCs w:val="32"/>
        </w:rPr>
        <w:tab/>
      </w:r>
      <w:r>
        <w:rPr>
          <w:rFonts w:hint="cs"/>
          <w:sz w:val="32"/>
          <w:szCs w:val="32"/>
          <w:rtl/>
        </w:rPr>
        <w:t xml:space="preserve">: المَعْرِفَةُ لاَ تَدْخُلُ تَحْتَ </w:t>
      </w:r>
      <w:r>
        <w:rPr>
          <w:rFonts w:hint="cs"/>
          <w:b/>
          <w:bCs/>
          <w:sz w:val="32"/>
          <w:szCs w:val="32"/>
          <w:rtl/>
        </w:rPr>
        <w:t>النَّكِرَةِ</w:t>
      </w:r>
      <w:r>
        <w:rPr>
          <w:rFonts w:hint="cs"/>
          <w:sz w:val="32"/>
          <w:szCs w:val="32"/>
          <w:rtl/>
        </w:rPr>
        <w:t xml:space="preserve"> فِي الأَيْمَانِ إلاَّ مَعْرِفَةً فِي الجَزَاءِ.</w:t>
      </w:r>
    </w:p>
    <w:p w:rsidR="00284270" w:rsidRDefault="00284270">
      <w:pPr>
        <w:rPr>
          <w:sz w:val="32"/>
          <w:szCs w:val="32"/>
          <w:rtl/>
        </w:rPr>
      </w:pPr>
      <w:r>
        <w:rPr>
          <w:rFonts w:hint="cs"/>
          <w:b/>
          <w:bCs/>
          <w:sz w:val="32"/>
          <w:szCs w:val="32"/>
          <w:rtl/>
        </w:rPr>
        <w:t>نهى</w:t>
      </w:r>
      <w:r>
        <w:rPr>
          <w:rFonts w:hint="cs"/>
          <w:sz w:val="32"/>
          <w:szCs w:val="32"/>
          <w:rtl/>
        </w:rPr>
        <w:tab/>
      </w:r>
      <w:r>
        <w:rPr>
          <w:sz w:val="32"/>
          <w:szCs w:val="32"/>
        </w:rPr>
        <w:tab/>
      </w:r>
      <w:r>
        <w:rPr>
          <w:rFonts w:hint="cs"/>
          <w:sz w:val="32"/>
          <w:szCs w:val="32"/>
          <w:rtl/>
        </w:rPr>
        <w:t xml:space="preserve">: ق115 </w:t>
      </w:r>
      <w:r>
        <w:rPr>
          <w:sz w:val="32"/>
          <w:szCs w:val="32"/>
        </w:rPr>
        <w:tab/>
      </w:r>
      <w:r>
        <w:rPr>
          <w:rFonts w:hint="cs"/>
          <w:sz w:val="32"/>
          <w:szCs w:val="32"/>
          <w:rtl/>
        </w:rPr>
        <w:t xml:space="preserve">: الحكمُ </w:t>
      </w:r>
      <w:r>
        <w:rPr>
          <w:rFonts w:hint="cs"/>
          <w:b/>
          <w:bCs/>
          <w:sz w:val="32"/>
          <w:szCs w:val="32"/>
          <w:rtl/>
        </w:rPr>
        <w:t>يَنْتَهِي بانتهاءِ</w:t>
      </w:r>
      <w:r>
        <w:rPr>
          <w:rFonts w:hint="cs"/>
          <w:sz w:val="32"/>
          <w:szCs w:val="32"/>
          <w:rtl/>
        </w:rPr>
        <w:t xml:space="preserve"> علَّتِهِ.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ق249 </w:t>
      </w:r>
      <w:r>
        <w:rPr>
          <w:sz w:val="32"/>
          <w:szCs w:val="32"/>
        </w:rPr>
        <w:tab/>
      </w:r>
      <w:r>
        <w:rPr>
          <w:rFonts w:hint="cs"/>
          <w:sz w:val="32"/>
          <w:szCs w:val="32"/>
          <w:rtl/>
        </w:rPr>
        <w:t xml:space="preserve">: </w:t>
      </w:r>
      <w:r>
        <w:rPr>
          <w:rFonts w:hint="cs"/>
          <w:b/>
          <w:bCs/>
          <w:sz w:val="32"/>
          <w:szCs w:val="32"/>
          <w:rtl/>
        </w:rPr>
        <w:t>النَّهْيُ</w:t>
      </w:r>
      <w:r>
        <w:rPr>
          <w:rFonts w:hint="cs"/>
          <w:sz w:val="32"/>
          <w:szCs w:val="32"/>
          <w:rtl/>
        </w:rPr>
        <w:t xml:space="preserve"> يُقرِّرُ المَشْرُوعِيَّةَ عِنْدَنَا.</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ق263 </w:t>
      </w:r>
      <w:r>
        <w:rPr>
          <w:sz w:val="32"/>
          <w:szCs w:val="32"/>
        </w:rPr>
        <w:tab/>
      </w:r>
      <w:r>
        <w:rPr>
          <w:rFonts w:hint="cs"/>
          <w:sz w:val="32"/>
          <w:szCs w:val="32"/>
          <w:rtl/>
        </w:rPr>
        <w:t xml:space="preserve">: يُغْتَفَرُ فِي </w:t>
      </w:r>
      <w:r>
        <w:rPr>
          <w:rFonts w:hint="cs"/>
          <w:b/>
          <w:bCs/>
          <w:sz w:val="32"/>
          <w:szCs w:val="32"/>
          <w:rtl/>
        </w:rPr>
        <w:t>الانْتِهَاء</w:t>
      </w:r>
      <w:r>
        <w:rPr>
          <w:rFonts w:hint="cs"/>
          <w:sz w:val="32"/>
          <w:szCs w:val="32"/>
          <w:rtl/>
        </w:rPr>
        <w:t>ِ مَا لاَ يُغْتَفَرُ فِي الابتدَاءِ.</w:t>
      </w:r>
    </w:p>
    <w:p w:rsidR="00284270" w:rsidRDefault="00284270">
      <w:pPr>
        <w:rPr>
          <w:sz w:val="32"/>
          <w:szCs w:val="32"/>
          <w:rtl/>
        </w:rPr>
      </w:pPr>
      <w:r>
        <w:rPr>
          <w:rFonts w:hint="cs"/>
          <w:b/>
          <w:bCs/>
          <w:sz w:val="32"/>
          <w:szCs w:val="32"/>
          <w:rtl/>
        </w:rPr>
        <w:t>نول</w:t>
      </w:r>
      <w:r>
        <w:rPr>
          <w:rFonts w:hint="cs"/>
          <w:sz w:val="32"/>
          <w:szCs w:val="32"/>
          <w:rtl/>
        </w:rPr>
        <w:tab/>
      </w:r>
      <w:r>
        <w:rPr>
          <w:sz w:val="32"/>
          <w:szCs w:val="32"/>
        </w:rPr>
        <w:tab/>
      </w:r>
      <w:r>
        <w:rPr>
          <w:rFonts w:hint="cs"/>
          <w:sz w:val="32"/>
          <w:szCs w:val="32"/>
          <w:rtl/>
        </w:rPr>
        <w:t xml:space="preserve">: ق119 </w:t>
      </w:r>
      <w:r>
        <w:rPr>
          <w:sz w:val="32"/>
          <w:szCs w:val="32"/>
        </w:rPr>
        <w:tab/>
      </w:r>
      <w:r>
        <w:rPr>
          <w:rFonts w:hint="cs"/>
          <w:sz w:val="32"/>
          <w:szCs w:val="32"/>
          <w:rtl/>
        </w:rPr>
        <w:t xml:space="preserve">: الخاصُّ </w:t>
      </w:r>
      <w:r>
        <w:rPr>
          <w:rFonts w:hint="cs"/>
          <w:b/>
          <w:bCs/>
          <w:sz w:val="32"/>
          <w:szCs w:val="32"/>
          <w:rtl/>
        </w:rPr>
        <w:t>يتناول</w:t>
      </w:r>
      <w:r>
        <w:rPr>
          <w:rFonts w:hint="cs"/>
          <w:sz w:val="32"/>
          <w:szCs w:val="32"/>
          <w:rtl/>
        </w:rPr>
        <w:t>ُ المخصوصَ قطعًا.</w:t>
      </w:r>
    </w:p>
    <w:p w:rsidR="00284270" w:rsidRDefault="00284270">
      <w:pPr>
        <w:rPr>
          <w:sz w:val="32"/>
          <w:szCs w:val="32"/>
          <w:rtl/>
        </w:rPr>
      </w:pPr>
      <w:r>
        <w:rPr>
          <w:rFonts w:hint="cs"/>
          <w:b/>
          <w:bCs/>
          <w:sz w:val="32"/>
          <w:szCs w:val="32"/>
          <w:rtl/>
        </w:rPr>
        <w:t>نوى</w:t>
      </w:r>
      <w:r>
        <w:rPr>
          <w:rFonts w:hint="cs"/>
          <w:sz w:val="32"/>
          <w:szCs w:val="32"/>
          <w:rtl/>
        </w:rPr>
        <w:tab/>
      </w:r>
      <w:r>
        <w:rPr>
          <w:sz w:val="32"/>
          <w:szCs w:val="32"/>
        </w:rPr>
        <w:tab/>
      </w:r>
      <w:r>
        <w:rPr>
          <w:rFonts w:hint="cs"/>
          <w:sz w:val="32"/>
          <w:szCs w:val="32"/>
          <w:rtl/>
        </w:rPr>
        <w:t xml:space="preserve">: ق195 </w:t>
      </w:r>
      <w:r>
        <w:rPr>
          <w:sz w:val="32"/>
          <w:szCs w:val="32"/>
        </w:rPr>
        <w:tab/>
      </w:r>
      <w:r>
        <w:rPr>
          <w:rFonts w:hint="cs"/>
          <w:sz w:val="32"/>
          <w:szCs w:val="32"/>
          <w:rtl/>
        </w:rPr>
        <w:t xml:space="preserve">: لاَ ثَوَابَ إلا </w:t>
      </w:r>
      <w:r>
        <w:rPr>
          <w:rFonts w:hint="cs"/>
          <w:b/>
          <w:bCs/>
          <w:sz w:val="32"/>
          <w:szCs w:val="32"/>
          <w:rtl/>
        </w:rPr>
        <w:t>بالنِّيَّةِ</w:t>
      </w:r>
      <w:r>
        <w:rPr>
          <w:rFonts w:hint="cs"/>
          <w:sz w:val="32"/>
          <w:szCs w:val="32"/>
          <w:rtl/>
        </w:rPr>
        <w:t>.</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ق250 </w:t>
      </w:r>
      <w:r>
        <w:rPr>
          <w:sz w:val="32"/>
          <w:szCs w:val="32"/>
        </w:rPr>
        <w:tab/>
      </w:r>
      <w:r>
        <w:rPr>
          <w:rFonts w:hint="cs"/>
          <w:sz w:val="32"/>
          <w:szCs w:val="32"/>
          <w:rtl/>
        </w:rPr>
        <w:t xml:space="preserve">: </w:t>
      </w:r>
      <w:r>
        <w:rPr>
          <w:rFonts w:hint="cs"/>
          <w:b/>
          <w:bCs/>
          <w:sz w:val="32"/>
          <w:szCs w:val="32"/>
          <w:rtl/>
        </w:rPr>
        <w:t>النِيّةُ</w:t>
      </w:r>
      <w:r>
        <w:rPr>
          <w:rFonts w:hint="cs"/>
          <w:sz w:val="32"/>
          <w:szCs w:val="32"/>
          <w:rtl/>
        </w:rPr>
        <w:t xml:space="preserve"> تعملُ فِي المُحْتمِلاتِ، لاَ فِي المَوْضُوعَاتِ.</w:t>
      </w:r>
    </w:p>
    <w:p w:rsidR="00284270" w:rsidRDefault="0022714B">
      <w:pPr>
        <w:jc w:val="center"/>
        <w:rPr>
          <w:b/>
          <w:bCs/>
          <w:sz w:val="48"/>
          <w:szCs w:val="48"/>
          <w:rtl/>
        </w:rPr>
      </w:pPr>
      <w:r>
        <w:rPr>
          <w:noProof/>
          <w:rtl/>
        </w:rPr>
        <w:pict>
          <v:rect id="_x0000_s1051" style="position:absolute;left:0;text-align:left;margin-left:162.35pt;margin-top:3.9pt;width:54.15pt;height:37.05pt;z-index:-251625472;mso-wrap-edited:f" wrapcoords="-379 0 -379 21600 758 22265 23495 22265 23116 997 22358 0 -379 0">
            <v:shadow on="t" offset="3pt" offset2="2pt"/>
          </v:rect>
        </w:pict>
      </w:r>
      <w:r w:rsidR="00284270">
        <w:rPr>
          <w:rFonts w:hint="cs"/>
          <w:b/>
          <w:bCs/>
          <w:sz w:val="48"/>
          <w:szCs w:val="48"/>
          <w:rtl/>
        </w:rPr>
        <w:t>(هـ)</w:t>
      </w:r>
    </w:p>
    <w:p w:rsidR="00284270" w:rsidRDefault="00284270">
      <w:pPr>
        <w:rPr>
          <w:rtl/>
        </w:rPr>
      </w:pPr>
    </w:p>
    <w:p w:rsidR="00284270" w:rsidRDefault="00284270" w:rsidP="0022714B">
      <w:pPr>
        <w:ind w:left="2833" w:hanging="2266"/>
        <w:rPr>
          <w:sz w:val="32"/>
          <w:szCs w:val="32"/>
          <w:rtl/>
        </w:rPr>
      </w:pPr>
      <w:r>
        <w:rPr>
          <w:rFonts w:hint="cs"/>
          <w:b/>
          <w:bCs/>
          <w:sz w:val="32"/>
          <w:szCs w:val="32"/>
          <w:rtl/>
        </w:rPr>
        <w:t>هلك</w:t>
      </w:r>
      <w:r>
        <w:rPr>
          <w:rFonts w:hint="cs"/>
          <w:sz w:val="32"/>
          <w:szCs w:val="32"/>
          <w:rtl/>
        </w:rPr>
        <w:t xml:space="preserve">      : ق258 </w:t>
      </w:r>
      <w:r>
        <w:rPr>
          <w:sz w:val="32"/>
          <w:szCs w:val="32"/>
        </w:rPr>
        <w:tab/>
      </w:r>
      <w:r>
        <w:rPr>
          <w:rFonts w:hint="cs"/>
          <w:sz w:val="32"/>
          <w:szCs w:val="32"/>
          <w:rtl/>
        </w:rPr>
        <w:t xml:space="preserve">: </w:t>
      </w:r>
      <w:r>
        <w:rPr>
          <w:rFonts w:hint="cs"/>
          <w:b/>
          <w:bCs/>
          <w:sz w:val="32"/>
          <w:szCs w:val="32"/>
          <w:rtl/>
        </w:rPr>
        <w:t>هَلاَكُ</w:t>
      </w:r>
      <w:r>
        <w:rPr>
          <w:rFonts w:hint="cs"/>
          <w:sz w:val="32"/>
          <w:szCs w:val="32"/>
          <w:rtl/>
        </w:rPr>
        <w:t xml:space="preserve"> المَبِيعِ فِي يَدِ المُشْتَرِي بِشِرَاءٍ بَاطِلٍ لَيْسَ بِمَضْمُونٍ.</w:t>
      </w:r>
    </w:p>
    <w:p w:rsidR="00284270" w:rsidRDefault="00284270" w:rsidP="0022714B">
      <w:pPr>
        <w:ind w:left="2833" w:hanging="2266"/>
        <w:rPr>
          <w:sz w:val="32"/>
          <w:szCs w:val="32"/>
          <w:rtl/>
        </w:rPr>
      </w:pPr>
      <w:r>
        <w:rPr>
          <w:rFonts w:hint="cs"/>
          <w:b/>
          <w:bCs/>
          <w:sz w:val="32"/>
          <w:szCs w:val="32"/>
          <w:rtl/>
        </w:rPr>
        <w:t>همل</w:t>
      </w:r>
      <w:r>
        <w:rPr>
          <w:rFonts w:hint="cs"/>
          <w:sz w:val="32"/>
          <w:szCs w:val="32"/>
          <w:rtl/>
        </w:rPr>
        <w:t xml:space="preserve">       : ق33 </w:t>
      </w:r>
      <w:r>
        <w:rPr>
          <w:sz w:val="32"/>
          <w:szCs w:val="32"/>
        </w:rPr>
        <w:tab/>
      </w:r>
      <w:r>
        <w:rPr>
          <w:rFonts w:hint="cs"/>
          <w:sz w:val="32"/>
          <w:szCs w:val="32"/>
          <w:rtl/>
        </w:rPr>
        <w:t xml:space="preserve">: إِعْمَالُ الكَلاَمِ أَوْلَى مِنْ </w:t>
      </w:r>
      <w:r>
        <w:rPr>
          <w:rFonts w:hint="cs"/>
          <w:b/>
          <w:bCs/>
          <w:sz w:val="32"/>
          <w:szCs w:val="32"/>
          <w:rtl/>
        </w:rPr>
        <w:t>إهمالِهِ</w:t>
      </w:r>
      <w:r>
        <w:rPr>
          <w:rFonts w:hint="cs"/>
          <w:sz w:val="32"/>
          <w:szCs w:val="32"/>
          <w:rtl/>
        </w:rPr>
        <w:t xml:space="preserve"> متَى أَمْكَنَ، وإذَا لمْ يمكِنْ </w:t>
      </w:r>
      <w:r>
        <w:rPr>
          <w:rFonts w:hint="cs"/>
          <w:b/>
          <w:bCs/>
          <w:sz w:val="32"/>
          <w:szCs w:val="32"/>
          <w:rtl/>
        </w:rPr>
        <w:t>أُهْمِلَ</w:t>
      </w:r>
      <w:r>
        <w:rPr>
          <w:rFonts w:hint="cs"/>
          <w:sz w:val="32"/>
          <w:szCs w:val="32"/>
          <w:rtl/>
        </w:rPr>
        <w:t xml:space="preserve">. </w:t>
      </w:r>
    </w:p>
    <w:p w:rsidR="00284270" w:rsidRDefault="00284270">
      <w:pPr>
        <w:rPr>
          <w:rtl/>
        </w:rPr>
      </w:pPr>
      <w:r>
        <w:rPr>
          <w:rFonts w:hint="cs"/>
          <w:rtl/>
        </w:rPr>
        <w:t xml:space="preserve"> </w:t>
      </w:r>
    </w:p>
    <w:p w:rsidR="00284270" w:rsidRDefault="0022714B">
      <w:pPr>
        <w:jc w:val="center"/>
        <w:rPr>
          <w:b/>
          <w:bCs/>
          <w:sz w:val="48"/>
          <w:szCs w:val="48"/>
          <w:rtl/>
        </w:rPr>
      </w:pPr>
      <w:r>
        <w:rPr>
          <w:noProof/>
          <w:rtl/>
        </w:rPr>
        <w:pict>
          <v:rect id="_x0000_s1052" style="position:absolute;left:0;text-align:left;margin-left:165.3pt;margin-top:2.85pt;width:54.15pt;height:37.05pt;z-index:-251624448;mso-wrap-edited:f" wrapcoords="-379 0 -379 21600 758 22265 23495 22265 23116 997 22358 0 -379 0">
            <v:shadow on="t" offset="3pt" offset2="2pt"/>
          </v:rect>
        </w:pict>
      </w:r>
      <w:r w:rsidR="00284270">
        <w:rPr>
          <w:rFonts w:hint="cs"/>
          <w:b/>
          <w:bCs/>
          <w:sz w:val="48"/>
          <w:szCs w:val="48"/>
          <w:rtl/>
        </w:rPr>
        <w:t>(و)</w:t>
      </w:r>
    </w:p>
    <w:p w:rsidR="00284270" w:rsidRDefault="00284270">
      <w:pPr>
        <w:rPr>
          <w:rtl/>
        </w:rPr>
      </w:pPr>
    </w:p>
    <w:p w:rsidR="00284270" w:rsidRDefault="00284270" w:rsidP="0022714B">
      <w:pPr>
        <w:ind w:left="2833" w:hanging="2266"/>
        <w:rPr>
          <w:sz w:val="32"/>
          <w:szCs w:val="32"/>
          <w:rtl/>
        </w:rPr>
      </w:pPr>
      <w:r>
        <w:rPr>
          <w:rFonts w:hint="cs"/>
          <w:b/>
          <w:bCs/>
          <w:sz w:val="32"/>
          <w:szCs w:val="32"/>
          <w:rtl/>
        </w:rPr>
        <w:t>وجب</w:t>
      </w:r>
      <w:r>
        <w:rPr>
          <w:rFonts w:hint="cs"/>
          <w:sz w:val="32"/>
          <w:szCs w:val="32"/>
          <w:rtl/>
        </w:rPr>
        <w:t xml:space="preserve">     :   ق50 </w:t>
      </w:r>
      <w:r>
        <w:rPr>
          <w:sz w:val="32"/>
          <w:szCs w:val="32"/>
        </w:rPr>
        <w:tab/>
      </w:r>
      <w:r>
        <w:rPr>
          <w:rFonts w:hint="cs"/>
          <w:sz w:val="32"/>
          <w:szCs w:val="32"/>
          <w:rtl/>
        </w:rPr>
        <w:t xml:space="preserve">: </w:t>
      </w:r>
      <w:r>
        <w:rPr>
          <w:rFonts w:hint="cs"/>
          <w:b/>
          <w:bCs/>
          <w:sz w:val="32"/>
          <w:szCs w:val="32"/>
          <w:rtl/>
        </w:rPr>
        <w:t>إِيجَاب</w:t>
      </w:r>
      <w:r>
        <w:rPr>
          <w:rFonts w:hint="cs"/>
          <w:sz w:val="32"/>
          <w:szCs w:val="32"/>
          <w:rtl/>
        </w:rPr>
        <w:t xml:space="preserve">ُ العَبْدِ مُعْتَبَرٌ </w:t>
      </w:r>
      <w:r>
        <w:rPr>
          <w:rFonts w:hint="cs"/>
          <w:b/>
          <w:bCs/>
          <w:sz w:val="32"/>
          <w:szCs w:val="32"/>
          <w:rtl/>
        </w:rPr>
        <w:t>بِإِيجَابِ</w:t>
      </w:r>
      <w:r>
        <w:rPr>
          <w:rFonts w:hint="cs"/>
          <w:sz w:val="32"/>
          <w:szCs w:val="32"/>
          <w:rtl/>
        </w:rPr>
        <w:t xml:space="preserve"> اللَّهِ تَعَالَى.</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ق77 </w:t>
      </w:r>
      <w:r>
        <w:rPr>
          <w:sz w:val="32"/>
          <w:szCs w:val="32"/>
        </w:rPr>
        <w:tab/>
      </w:r>
      <w:r>
        <w:rPr>
          <w:rFonts w:hint="cs"/>
          <w:sz w:val="32"/>
          <w:szCs w:val="32"/>
          <w:rtl/>
        </w:rPr>
        <w:tab/>
        <w:t xml:space="preserve">: تُعتَبَرُ صفةُ الوقتِ فِي نُقْصَانِ </w:t>
      </w:r>
      <w:r>
        <w:rPr>
          <w:rFonts w:hint="cs"/>
          <w:b/>
          <w:bCs/>
          <w:sz w:val="32"/>
          <w:szCs w:val="32"/>
          <w:rtl/>
        </w:rPr>
        <w:t>الوَاجِبِ</w:t>
      </w:r>
      <w:r>
        <w:rPr>
          <w:rFonts w:hint="cs"/>
          <w:sz w:val="32"/>
          <w:szCs w:val="32"/>
          <w:rtl/>
        </w:rPr>
        <w:t xml:space="preserve"> وَكَمَالِهِ. </w:t>
      </w:r>
    </w:p>
    <w:p w:rsidR="00284270" w:rsidRDefault="00284270" w:rsidP="0022714B">
      <w:pPr>
        <w:ind w:left="2833" w:hanging="2266"/>
        <w:rPr>
          <w:sz w:val="32"/>
          <w:szCs w:val="32"/>
          <w:rtl/>
        </w:rPr>
      </w:pPr>
      <w:r>
        <w:rPr>
          <w:rFonts w:hint="cs"/>
          <w:sz w:val="32"/>
          <w:szCs w:val="32"/>
          <w:rtl/>
        </w:rPr>
        <w:t xml:space="preserve">               ق89 </w:t>
      </w:r>
      <w:r>
        <w:rPr>
          <w:sz w:val="32"/>
          <w:szCs w:val="32"/>
        </w:rPr>
        <w:tab/>
      </w:r>
      <w:r>
        <w:rPr>
          <w:rFonts w:hint="cs"/>
          <w:sz w:val="32"/>
          <w:szCs w:val="32"/>
          <w:rtl/>
        </w:rPr>
        <w:t xml:space="preserve">: التَّنصِيصُ عَلَى الموجَبِ عندَ حصولِ </w:t>
      </w:r>
      <w:r>
        <w:rPr>
          <w:rFonts w:hint="cs"/>
          <w:b/>
          <w:bCs/>
          <w:sz w:val="32"/>
          <w:szCs w:val="32"/>
          <w:rtl/>
        </w:rPr>
        <w:t>الموجِبِ</w:t>
      </w:r>
      <w:r>
        <w:rPr>
          <w:rFonts w:hint="cs"/>
          <w:sz w:val="32"/>
          <w:szCs w:val="32"/>
          <w:rtl/>
        </w:rPr>
        <w:t xml:space="preserve"> ليسَ بِشَرْطٍ.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ق124 </w:t>
      </w:r>
      <w:r>
        <w:rPr>
          <w:sz w:val="32"/>
          <w:szCs w:val="32"/>
        </w:rPr>
        <w:tab/>
      </w:r>
      <w:r>
        <w:rPr>
          <w:rFonts w:hint="cs"/>
          <w:sz w:val="32"/>
          <w:szCs w:val="32"/>
          <w:rtl/>
        </w:rPr>
        <w:t xml:space="preserve">: دَفْعُ ما ليسَ </w:t>
      </w:r>
      <w:r>
        <w:rPr>
          <w:rFonts w:hint="cs"/>
          <w:b/>
          <w:bCs/>
          <w:sz w:val="32"/>
          <w:szCs w:val="32"/>
          <w:rtl/>
        </w:rPr>
        <w:t>بواجبٍ</w:t>
      </w:r>
      <w:r>
        <w:rPr>
          <w:rFonts w:hint="cs"/>
          <w:sz w:val="32"/>
          <w:szCs w:val="32"/>
          <w:rtl/>
        </w:rPr>
        <w:t xml:space="preserve"> عليهِ يَسْتَرِدُّهُ.</w:t>
      </w:r>
    </w:p>
    <w:p w:rsidR="00284270" w:rsidRDefault="00284270" w:rsidP="0022714B">
      <w:pPr>
        <w:ind w:left="2833" w:hanging="2266"/>
        <w:rPr>
          <w:sz w:val="32"/>
          <w:szCs w:val="32"/>
          <w:rtl/>
        </w:rPr>
      </w:pPr>
      <w:r>
        <w:rPr>
          <w:rFonts w:hint="cs"/>
          <w:sz w:val="32"/>
          <w:szCs w:val="32"/>
          <w:rtl/>
        </w:rPr>
        <w:t xml:space="preserve">               ق185 </w:t>
      </w:r>
      <w:r>
        <w:rPr>
          <w:sz w:val="32"/>
          <w:szCs w:val="32"/>
        </w:rPr>
        <w:tab/>
      </w:r>
      <w:r>
        <w:rPr>
          <w:rFonts w:hint="cs"/>
          <w:sz w:val="32"/>
          <w:szCs w:val="32"/>
          <w:rtl/>
        </w:rPr>
        <w:t xml:space="preserve">: كُلُّ كفالةٍ تَنْعَقِدُ غَيْرُ </w:t>
      </w:r>
      <w:r>
        <w:rPr>
          <w:rFonts w:hint="cs"/>
          <w:b/>
          <w:bCs/>
          <w:sz w:val="32"/>
          <w:szCs w:val="32"/>
          <w:rtl/>
        </w:rPr>
        <w:t>موجِبةٍ</w:t>
      </w:r>
      <w:r>
        <w:rPr>
          <w:rFonts w:hint="cs"/>
          <w:sz w:val="32"/>
          <w:szCs w:val="32"/>
          <w:rtl/>
        </w:rPr>
        <w:t xml:space="preserve"> للرّدِ لا تَنْقَلِبُ </w:t>
      </w:r>
      <w:r>
        <w:rPr>
          <w:rFonts w:hint="cs"/>
          <w:b/>
          <w:bCs/>
          <w:sz w:val="32"/>
          <w:szCs w:val="32"/>
          <w:rtl/>
        </w:rPr>
        <w:t>مُوجِبَةً</w:t>
      </w:r>
      <w:r>
        <w:rPr>
          <w:rFonts w:hint="cs"/>
          <w:sz w:val="32"/>
          <w:szCs w:val="32"/>
          <w:rtl/>
        </w:rPr>
        <w:t xml:space="preserve"> أبدًا.</w:t>
      </w:r>
    </w:p>
    <w:p w:rsidR="00284270" w:rsidRDefault="00284270">
      <w:pPr>
        <w:rPr>
          <w:sz w:val="32"/>
          <w:szCs w:val="32"/>
          <w:rtl/>
        </w:rPr>
      </w:pPr>
      <w:r>
        <w:rPr>
          <w:rFonts w:hint="cs"/>
          <w:sz w:val="32"/>
          <w:szCs w:val="32"/>
          <w:rtl/>
        </w:rPr>
        <w:lastRenderedPageBreak/>
        <w:tab/>
      </w:r>
      <w:r>
        <w:rPr>
          <w:rFonts w:hint="cs"/>
          <w:sz w:val="32"/>
          <w:szCs w:val="32"/>
          <w:rtl/>
        </w:rPr>
        <w:tab/>
      </w:r>
      <w:r>
        <w:rPr>
          <w:sz w:val="32"/>
          <w:szCs w:val="32"/>
        </w:rPr>
        <w:tab/>
      </w:r>
      <w:r>
        <w:rPr>
          <w:rFonts w:hint="cs"/>
          <w:sz w:val="32"/>
          <w:szCs w:val="32"/>
          <w:rtl/>
        </w:rPr>
        <w:t xml:space="preserve">  ق190 </w:t>
      </w:r>
      <w:r>
        <w:rPr>
          <w:rFonts w:hint="cs"/>
          <w:sz w:val="32"/>
          <w:szCs w:val="32"/>
          <w:rtl/>
        </w:rPr>
        <w:tab/>
        <w:t xml:space="preserve">: كُلُّ مَا هُوَ </w:t>
      </w:r>
      <w:r>
        <w:rPr>
          <w:rFonts w:hint="cs"/>
          <w:b/>
          <w:bCs/>
          <w:sz w:val="32"/>
          <w:szCs w:val="32"/>
          <w:rtl/>
        </w:rPr>
        <w:t>وَاجِبُ</w:t>
      </w:r>
      <w:r>
        <w:rPr>
          <w:rFonts w:hint="cs"/>
          <w:sz w:val="32"/>
          <w:szCs w:val="32"/>
          <w:rtl/>
        </w:rPr>
        <w:t xml:space="preserve"> الرَّفْعِ بِالاستِرْدَادِ لا يَجُوزُ تَقْرِيرُهُ.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ق252 </w:t>
      </w:r>
      <w:r>
        <w:rPr>
          <w:sz w:val="32"/>
          <w:szCs w:val="32"/>
        </w:rPr>
        <w:tab/>
      </w:r>
      <w:r>
        <w:rPr>
          <w:rFonts w:hint="cs"/>
          <w:sz w:val="32"/>
          <w:szCs w:val="32"/>
          <w:rtl/>
        </w:rPr>
        <w:t xml:space="preserve">: </w:t>
      </w:r>
      <w:r>
        <w:rPr>
          <w:rFonts w:hint="cs"/>
          <w:b/>
          <w:bCs/>
          <w:sz w:val="32"/>
          <w:szCs w:val="32"/>
          <w:rtl/>
        </w:rPr>
        <w:t>الوَاجِب</w:t>
      </w:r>
      <w:r>
        <w:rPr>
          <w:rFonts w:hint="cs"/>
          <w:sz w:val="32"/>
          <w:szCs w:val="32"/>
          <w:rtl/>
        </w:rPr>
        <w:t>ُ شَرْعًا لا يَحْتَاجُ إلى قَضَاءٍ.</w:t>
      </w:r>
    </w:p>
    <w:p w:rsidR="00284270" w:rsidRDefault="00284270">
      <w:pPr>
        <w:rPr>
          <w:sz w:val="32"/>
          <w:szCs w:val="32"/>
          <w:rtl/>
        </w:rPr>
      </w:pPr>
      <w:r>
        <w:rPr>
          <w:rFonts w:hint="cs"/>
          <w:b/>
          <w:bCs/>
          <w:sz w:val="32"/>
          <w:szCs w:val="32"/>
          <w:rtl/>
        </w:rPr>
        <w:t>وجد</w:t>
      </w:r>
      <w:r>
        <w:rPr>
          <w:rFonts w:hint="cs"/>
          <w:sz w:val="32"/>
          <w:szCs w:val="32"/>
          <w:rtl/>
        </w:rPr>
        <w:tab/>
      </w:r>
      <w:r>
        <w:rPr>
          <w:sz w:val="32"/>
          <w:szCs w:val="32"/>
        </w:rPr>
        <w:tab/>
      </w:r>
      <w:r>
        <w:rPr>
          <w:rFonts w:hint="cs"/>
          <w:sz w:val="32"/>
          <w:szCs w:val="32"/>
          <w:rtl/>
        </w:rPr>
        <w:t xml:space="preserve">: ق28 </w:t>
      </w:r>
      <w:r>
        <w:rPr>
          <w:sz w:val="32"/>
          <w:szCs w:val="32"/>
        </w:rPr>
        <w:tab/>
      </w:r>
      <w:r>
        <w:rPr>
          <w:rFonts w:hint="cs"/>
          <w:sz w:val="32"/>
          <w:szCs w:val="32"/>
          <w:rtl/>
        </w:rPr>
        <w:tab/>
        <w:t xml:space="preserve">: وَاعْلَمْ أنَّ الأَصْلَ فِي الصِّفَاتِ الأَصْلِيَّةِ </w:t>
      </w:r>
      <w:r>
        <w:rPr>
          <w:rFonts w:hint="cs"/>
          <w:b/>
          <w:bCs/>
          <w:sz w:val="32"/>
          <w:szCs w:val="32"/>
          <w:rtl/>
        </w:rPr>
        <w:t>الوُجُود</w:t>
      </w:r>
      <w:r>
        <w:rPr>
          <w:rFonts w:hint="cs"/>
          <w:sz w:val="32"/>
          <w:szCs w:val="32"/>
          <w:rtl/>
        </w:rPr>
        <w:t xml:space="preserve">ُ.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ق175 </w:t>
      </w:r>
      <w:r>
        <w:rPr>
          <w:sz w:val="32"/>
          <w:szCs w:val="32"/>
        </w:rPr>
        <w:tab/>
      </w:r>
      <w:r>
        <w:rPr>
          <w:rFonts w:hint="cs"/>
          <w:sz w:val="32"/>
          <w:szCs w:val="32"/>
          <w:rtl/>
        </w:rPr>
        <w:t xml:space="preserve">: الفَرْعُ المُخْتَصُّ بأصلِ </w:t>
      </w:r>
      <w:r>
        <w:rPr>
          <w:rFonts w:hint="cs"/>
          <w:b/>
          <w:bCs/>
          <w:sz w:val="32"/>
          <w:szCs w:val="32"/>
          <w:rtl/>
        </w:rPr>
        <w:t>وُجُودِهِ</w:t>
      </w:r>
      <w:r>
        <w:rPr>
          <w:rFonts w:hint="cs"/>
          <w:sz w:val="32"/>
          <w:szCs w:val="32"/>
          <w:rtl/>
        </w:rPr>
        <w:t xml:space="preserve"> يَدُلَّ على </w:t>
      </w:r>
      <w:r>
        <w:rPr>
          <w:rFonts w:hint="cs"/>
          <w:b/>
          <w:bCs/>
          <w:sz w:val="32"/>
          <w:szCs w:val="32"/>
          <w:rtl/>
        </w:rPr>
        <w:t>وُجُودِ</w:t>
      </w:r>
      <w:r>
        <w:rPr>
          <w:rFonts w:hint="cs"/>
          <w:sz w:val="32"/>
          <w:szCs w:val="32"/>
          <w:rtl/>
        </w:rPr>
        <w:t xml:space="preserve"> أصْلِهِ.</w:t>
      </w:r>
    </w:p>
    <w:p w:rsidR="00284270" w:rsidRDefault="00284270">
      <w:pPr>
        <w:rPr>
          <w:sz w:val="32"/>
          <w:szCs w:val="32"/>
          <w:rtl/>
        </w:rPr>
      </w:pPr>
      <w:r>
        <w:rPr>
          <w:rFonts w:hint="cs"/>
          <w:b/>
          <w:bCs/>
          <w:sz w:val="32"/>
          <w:szCs w:val="32"/>
          <w:rtl/>
        </w:rPr>
        <w:t>ورث</w:t>
      </w:r>
      <w:r>
        <w:rPr>
          <w:rFonts w:hint="cs"/>
          <w:sz w:val="32"/>
          <w:szCs w:val="32"/>
          <w:rtl/>
        </w:rPr>
        <w:tab/>
      </w:r>
      <w:r>
        <w:rPr>
          <w:sz w:val="32"/>
          <w:szCs w:val="32"/>
        </w:rPr>
        <w:tab/>
      </w:r>
      <w:r>
        <w:rPr>
          <w:rFonts w:hint="cs"/>
          <w:sz w:val="32"/>
          <w:szCs w:val="32"/>
          <w:rtl/>
        </w:rPr>
        <w:t xml:space="preserve">: ق102 </w:t>
      </w:r>
      <w:r>
        <w:rPr>
          <w:sz w:val="32"/>
          <w:szCs w:val="32"/>
        </w:rPr>
        <w:tab/>
      </w:r>
      <w:r>
        <w:rPr>
          <w:rFonts w:hint="cs"/>
          <w:sz w:val="32"/>
          <w:szCs w:val="32"/>
          <w:rtl/>
        </w:rPr>
        <w:t>: الجَمْعُ المذكورُ في</w:t>
      </w:r>
      <w:r w:rsidRPr="00156684">
        <w:rPr>
          <w:rFonts w:hint="cs"/>
          <w:b/>
          <w:bCs/>
          <w:sz w:val="32"/>
          <w:szCs w:val="32"/>
          <w:rtl/>
        </w:rPr>
        <w:t xml:space="preserve"> المِيرَاثِ</w:t>
      </w:r>
      <w:r w:rsidRPr="00313546">
        <w:rPr>
          <w:rFonts w:hint="cs"/>
          <w:sz w:val="32"/>
          <w:szCs w:val="32"/>
          <w:rtl/>
        </w:rPr>
        <w:t xml:space="preserve"> اثْنَانِ</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ق113 </w:t>
      </w:r>
      <w:r>
        <w:rPr>
          <w:sz w:val="32"/>
          <w:szCs w:val="32"/>
        </w:rPr>
        <w:tab/>
      </w:r>
      <w:r>
        <w:rPr>
          <w:rFonts w:hint="cs"/>
          <w:sz w:val="32"/>
          <w:szCs w:val="32"/>
          <w:rtl/>
        </w:rPr>
        <w:t xml:space="preserve">: الحرمةُ تَتَعدَّى  فِي الأموالِ مَعَ العلمِ بها إلا في حقِّ </w:t>
      </w:r>
      <w:r>
        <w:rPr>
          <w:rFonts w:hint="cs"/>
          <w:b/>
          <w:bCs/>
          <w:sz w:val="32"/>
          <w:szCs w:val="32"/>
          <w:rtl/>
        </w:rPr>
        <w:t>الوارِثِ</w:t>
      </w:r>
      <w:r>
        <w:rPr>
          <w:rFonts w:hint="cs"/>
          <w:sz w:val="32"/>
          <w:szCs w:val="32"/>
          <w:rtl/>
        </w:rPr>
        <w:t>.</w:t>
      </w:r>
    </w:p>
    <w:p w:rsidR="00284270" w:rsidRDefault="00284270">
      <w:pPr>
        <w:rPr>
          <w:sz w:val="32"/>
          <w:szCs w:val="32"/>
          <w:rtl/>
        </w:rPr>
      </w:pPr>
      <w:r>
        <w:rPr>
          <w:rFonts w:hint="cs"/>
          <w:b/>
          <w:bCs/>
          <w:sz w:val="32"/>
          <w:szCs w:val="32"/>
          <w:rtl/>
        </w:rPr>
        <w:t>وزع</w:t>
      </w:r>
      <w:r>
        <w:rPr>
          <w:rFonts w:hint="cs"/>
          <w:sz w:val="32"/>
          <w:szCs w:val="32"/>
          <w:rtl/>
        </w:rPr>
        <w:tab/>
      </w:r>
      <w:r>
        <w:rPr>
          <w:sz w:val="32"/>
          <w:szCs w:val="32"/>
        </w:rPr>
        <w:tab/>
      </w:r>
      <w:r>
        <w:rPr>
          <w:rFonts w:hint="cs"/>
          <w:sz w:val="32"/>
          <w:szCs w:val="32"/>
          <w:rtl/>
        </w:rPr>
        <w:t xml:space="preserve">: ق171 </w:t>
      </w:r>
      <w:r>
        <w:rPr>
          <w:sz w:val="32"/>
          <w:szCs w:val="32"/>
        </w:rPr>
        <w:tab/>
      </w:r>
      <w:r>
        <w:rPr>
          <w:rFonts w:hint="cs"/>
          <w:sz w:val="32"/>
          <w:szCs w:val="32"/>
          <w:rtl/>
        </w:rPr>
        <w:t xml:space="preserve">: العِوَضُ </w:t>
      </w:r>
      <w:r>
        <w:rPr>
          <w:rFonts w:hint="cs"/>
          <w:b/>
          <w:bCs/>
          <w:sz w:val="32"/>
          <w:szCs w:val="32"/>
          <w:rtl/>
        </w:rPr>
        <w:t>يُوَزَّعُ</w:t>
      </w:r>
      <w:r>
        <w:rPr>
          <w:rFonts w:hint="cs"/>
          <w:sz w:val="32"/>
          <w:szCs w:val="32"/>
          <w:rtl/>
        </w:rPr>
        <w:t xml:space="preserve"> عَلَى المُعَوَّضِ أَجْزَاءً.</w:t>
      </w:r>
    </w:p>
    <w:p w:rsidR="00284270" w:rsidRDefault="00284270">
      <w:pPr>
        <w:rPr>
          <w:sz w:val="32"/>
          <w:szCs w:val="32"/>
          <w:rtl/>
        </w:rPr>
      </w:pPr>
      <w:r>
        <w:rPr>
          <w:rFonts w:hint="cs"/>
          <w:b/>
          <w:bCs/>
          <w:sz w:val="32"/>
          <w:szCs w:val="32"/>
          <w:rtl/>
        </w:rPr>
        <w:t>وزن</w:t>
      </w:r>
      <w:r>
        <w:rPr>
          <w:rFonts w:hint="cs"/>
          <w:sz w:val="32"/>
          <w:szCs w:val="32"/>
          <w:rtl/>
        </w:rPr>
        <w:tab/>
      </w:r>
      <w:r>
        <w:rPr>
          <w:sz w:val="32"/>
          <w:szCs w:val="32"/>
        </w:rPr>
        <w:tab/>
      </w:r>
      <w:r>
        <w:rPr>
          <w:rFonts w:hint="cs"/>
          <w:sz w:val="32"/>
          <w:szCs w:val="32"/>
          <w:rtl/>
        </w:rPr>
        <w:t xml:space="preserve">: ق192 </w:t>
      </w:r>
      <w:r>
        <w:rPr>
          <w:sz w:val="32"/>
          <w:szCs w:val="32"/>
        </w:rPr>
        <w:tab/>
      </w:r>
      <w:r>
        <w:rPr>
          <w:rFonts w:hint="cs"/>
          <w:sz w:val="32"/>
          <w:szCs w:val="32"/>
          <w:rtl/>
        </w:rPr>
        <w:t xml:space="preserve">: الكَيْلِيُّ و </w:t>
      </w:r>
      <w:r>
        <w:rPr>
          <w:rFonts w:hint="cs"/>
          <w:b/>
          <w:bCs/>
          <w:sz w:val="32"/>
          <w:szCs w:val="32"/>
          <w:rtl/>
        </w:rPr>
        <w:t>الوَزْنِيُّ</w:t>
      </w:r>
      <w:r>
        <w:rPr>
          <w:rFonts w:hint="cs"/>
          <w:sz w:val="32"/>
          <w:szCs w:val="32"/>
          <w:rtl/>
        </w:rPr>
        <w:t xml:space="preserve"> مَبِيعٌ بِأعيَانِهِمَا، ثمنٌ بأَوْصَافِهِمَا.</w:t>
      </w:r>
    </w:p>
    <w:p w:rsidR="00284270" w:rsidRDefault="00284270">
      <w:pPr>
        <w:rPr>
          <w:sz w:val="32"/>
          <w:szCs w:val="32"/>
          <w:rtl/>
        </w:rPr>
      </w:pPr>
      <w:r>
        <w:rPr>
          <w:rFonts w:hint="cs"/>
          <w:b/>
          <w:bCs/>
          <w:sz w:val="32"/>
          <w:szCs w:val="32"/>
          <w:rtl/>
        </w:rPr>
        <w:t>وسع</w:t>
      </w:r>
      <w:r>
        <w:rPr>
          <w:rFonts w:hint="cs"/>
          <w:sz w:val="32"/>
          <w:szCs w:val="32"/>
          <w:rtl/>
        </w:rPr>
        <w:tab/>
      </w:r>
      <w:r>
        <w:rPr>
          <w:sz w:val="32"/>
          <w:szCs w:val="32"/>
        </w:rPr>
        <w:tab/>
      </w:r>
      <w:r>
        <w:rPr>
          <w:rFonts w:hint="cs"/>
          <w:sz w:val="32"/>
          <w:szCs w:val="32"/>
          <w:rtl/>
        </w:rPr>
        <w:t xml:space="preserve">: ق85 </w:t>
      </w:r>
      <w:r>
        <w:rPr>
          <w:sz w:val="32"/>
          <w:szCs w:val="32"/>
        </w:rPr>
        <w:tab/>
      </w:r>
      <w:r>
        <w:rPr>
          <w:rFonts w:hint="cs"/>
          <w:sz w:val="32"/>
          <w:szCs w:val="32"/>
          <w:rtl/>
        </w:rPr>
        <w:tab/>
        <w:t xml:space="preserve">: التَّكليفُ بِحسبِ </w:t>
      </w:r>
      <w:r>
        <w:rPr>
          <w:rFonts w:hint="cs"/>
          <w:b/>
          <w:bCs/>
          <w:sz w:val="32"/>
          <w:szCs w:val="32"/>
          <w:rtl/>
        </w:rPr>
        <w:t>الوُسْعِ</w:t>
      </w:r>
      <w:r>
        <w:rPr>
          <w:rFonts w:hint="cs"/>
          <w:sz w:val="32"/>
          <w:szCs w:val="32"/>
          <w:rtl/>
        </w:rPr>
        <w:t xml:space="preserve">. </w:t>
      </w:r>
    </w:p>
    <w:p w:rsidR="00284270" w:rsidRDefault="00284270">
      <w:pPr>
        <w:rPr>
          <w:sz w:val="32"/>
          <w:szCs w:val="32"/>
          <w:rtl/>
        </w:rPr>
      </w:pPr>
      <w:r>
        <w:rPr>
          <w:rFonts w:hint="cs"/>
          <w:b/>
          <w:bCs/>
          <w:sz w:val="32"/>
          <w:szCs w:val="32"/>
          <w:rtl/>
        </w:rPr>
        <w:t>وصف</w:t>
      </w:r>
      <w:r>
        <w:rPr>
          <w:rFonts w:hint="cs"/>
          <w:sz w:val="32"/>
          <w:szCs w:val="32"/>
          <w:rtl/>
        </w:rPr>
        <w:tab/>
        <w:t xml:space="preserve">     : ق253 </w:t>
      </w:r>
      <w:r>
        <w:rPr>
          <w:sz w:val="32"/>
          <w:szCs w:val="32"/>
        </w:rPr>
        <w:tab/>
      </w:r>
      <w:r>
        <w:rPr>
          <w:rFonts w:hint="cs"/>
          <w:sz w:val="32"/>
          <w:szCs w:val="32"/>
          <w:rtl/>
        </w:rPr>
        <w:t xml:space="preserve">: </w:t>
      </w:r>
      <w:r>
        <w:rPr>
          <w:rFonts w:hint="cs"/>
          <w:b/>
          <w:bCs/>
          <w:sz w:val="32"/>
          <w:szCs w:val="32"/>
          <w:rtl/>
        </w:rPr>
        <w:t>الوَصْفُ</w:t>
      </w:r>
      <w:r>
        <w:rPr>
          <w:rFonts w:hint="cs"/>
          <w:sz w:val="32"/>
          <w:szCs w:val="32"/>
          <w:rtl/>
        </w:rPr>
        <w:t xml:space="preserve"> فِي الحَاضِرِ لَغُوٌ، وَفِي الغَائِبِ مُعْتَبَرٌ.</w:t>
      </w:r>
    </w:p>
    <w:p w:rsidR="00284270" w:rsidRDefault="00284270" w:rsidP="0022714B">
      <w:pPr>
        <w:ind w:left="2833" w:hanging="2266"/>
        <w:rPr>
          <w:sz w:val="32"/>
          <w:szCs w:val="32"/>
          <w:rtl/>
        </w:rPr>
      </w:pPr>
      <w:r>
        <w:rPr>
          <w:rFonts w:hint="cs"/>
          <w:sz w:val="32"/>
          <w:szCs w:val="32"/>
          <w:rtl/>
        </w:rPr>
        <w:t xml:space="preserve">               ق254 </w:t>
      </w:r>
      <w:r>
        <w:rPr>
          <w:sz w:val="32"/>
          <w:szCs w:val="32"/>
        </w:rPr>
        <w:tab/>
      </w:r>
      <w:r>
        <w:rPr>
          <w:rFonts w:hint="cs"/>
          <w:sz w:val="32"/>
          <w:szCs w:val="32"/>
          <w:rtl/>
        </w:rPr>
        <w:t xml:space="preserve">: </w:t>
      </w:r>
      <w:r>
        <w:rPr>
          <w:rFonts w:hint="cs"/>
          <w:b/>
          <w:bCs/>
          <w:sz w:val="32"/>
          <w:szCs w:val="32"/>
          <w:rtl/>
        </w:rPr>
        <w:t>الوَصْفُ</w:t>
      </w:r>
      <w:r>
        <w:rPr>
          <w:rFonts w:hint="cs"/>
          <w:sz w:val="32"/>
          <w:szCs w:val="32"/>
          <w:rtl/>
        </w:rPr>
        <w:t xml:space="preserve"> يُقَابِلُهُ شَيْءٌ مِنَ الثَّمَنِ إِذَا كَانَ مَقْصُودًا بالتَّنَاوُلِ.</w:t>
      </w:r>
    </w:p>
    <w:p w:rsidR="00284270" w:rsidRDefault="00284270">
      <w:pPr>
        <w:rPr>
          <w:sz w:val="32"/>
          <w:szCs w:val="32"/>
          <w:rtl/>
        </w:rPr>
      </w:pPr>
      <w:r>
        <w:rPr>
          <w:rFonts w:hint="cs"/>
          <w:b/>
          <w:bCs/>
          <w:sz w:val="32"/>
          <w:szCs w:val="32"/>
          <w:rtl/>
        </w:rPr>
        <w:t>وصى</w:t>
      </w:r>
      <w:r>
        <w:rPr>
          <w:rFonts w:hint="cs"/>
          <w:sz w:val="32"/>
          <w:szCs w:val="32"/>
          <w:rtl/>
        </w:rPr>
        <w:tab/>
      </w:r>
      <w:r>
        <w:rPr>
          <w:sz w:val="32"/>
          <w:szCs w:val="32"/>
        </w:rPr>
        <w:tab/>
      </w:r>
      <w:r>
        <w:rPr>
          <w:rFonts w:hint="cs"/>
          <w:sz w:val="32"/>
          <w:szCs w:val="32"/>
          <w:rtl/>
        </w:rPr>
        <w:t xml:space="preserve">: ق255 </w:t>
      </w:r>
      <w:r>
        <w:rPr>
          <w:sz w:val="32"/>
          <w:szCs w:val="32"/>
        </w:rPr>
        <w:tab/>
      </w:r>
      <w:r>
        <w:rPr>
          <w:rFonts w:hint="cs"/>
          <w:sz w:val="32"/>
          <w:szCs w:val="32"/>
          <w:rtl/>
        </w:rPr>
        <w:t xml:space="preserve">: </w:t>
      </w:r>
      <w:r>
        <w:rPr>
          <w:rFonts w:hint="cs"/>
          <w:b/>
          <w:bCs/>
          <w:sz w:val="32"/>
          <w:szCs w:val="32"/>
          <w:rtl/>
        </w:rPr>
        <w:t>الوَصِيَّةُ</w:t>
      </w:r>
      <w:r>
        <w:rPr>
          <w:rFonts w:hint="cs"/>
          <w:sz w:val="32"/>
          <w:szCs w:val="32"/>
          <w:rtl/>
        </w:rPr>
        <w:t xml:space="preserve"> اسْتخْلاَفٌ بَعْدَ انقطَاعِ ولايةِ </w:t>
      </w:r>
      <w:r>
        <w:rPr>
          <w:rFonts w:hint="cs"/>
          <w:b/>
          <w:bCs/>
          <w:sz w:val="32"/>
          <w:szCs w:val="32"/>
          <w:rtl/>
        </w:rPr>
        <w:t>المُوصِي</w:t>
      </w:r>
      <w:r>
        <w:rPr>
          <w:rFonts w:hint="cs"/>
          <w:sz w:val="32"/>
          <w:szCs w:val="32"/>
          <w:rtl/>
        </w:rPr>
        <w:t>.</w:t>
      </w:r>
    </w:p>
    <w:p w:rsidR="00284270" w:rsidRDefault="00284270">
      <w:pPr>
        <w:rPr>
          <w:sz w:val="32"/>
          <w:szCs w:val="32"/>
          <w:rtl/>
        </w:rPr>
      </w:pPr>
      <w:r>
        <w:rPr>
          <w:rFonts w:hint="cs"/>
          <w:b/>
          <w:bCs/>
          <w:sz w:val="32"/>
          <w:szCs w:val="32"/>
          <w:rtl/>
        </w:rPr>
        <w:t>وضع</w:t>
      </w:r>
      <w:r>
        <w:rPr>
          <w:rFonts w:hint="cs"/>
          <w:sz w:val="32"/>
          <w:szCs w:val="32"/>
          <w:rtl/>
        </w:rPr>
        <w:tab/>
      </w:r>
      <w:r>
        <w:rPr>
          <w:sz w:val="32"/>
          <w:szCs w:val="32"/>
        </w:rPr>
        <w:tab/>
      </w:r>
      <w:r>
        <w:rPr>
          <w:rFonts w:hint="cs"/>
          <w:sz w:val="32"/>
          <w:szCs w:val="32"/>
          <w:rtl/>
        </w:rPr>
        <w:t xml:space="preserve">: ق143 </w:t>
      </w:r>
      <w:r>
        <w:rPr>
          <w:sz w:val="32"/>
          <w:szCs w:val="32"/>
        </w:rPr>
        <w:tab/>
      </w:r>
      <w:r>
        <w:rPr>
          <w:rFonts w:hint="cs"/>
          <w:sz w:val="32"/>
          <w:szCs w:val="32"/>
          <w:rtl/>
        </w:rPr>
        <w:t xml:space="preserve">: السُّكُوتُ فِي </w:t>
      </w:r>
      <w:r>
        <w:rPr>
          <w:rFonts w:hint="cs"/>
          <w:b/>
          <w:bCs/>
          <w:sz w:val="32"/>
          <w:szCs w:val="32"/>
          <w:rtl/>
        </w:rPr>
        <w:t xml:space="preserve">مَوْضِعِ </w:t>
      </w:r>
      <w:r>
        <w:rPr>
          <w:rFonts w:hint="cs"/>
          <w:sz w:val="32"/>
          <w:szCs w:val="32"/>
          <w:rtl/>
        </w:rPr>
        <w:t>الحَاجَةِ إلى البَيَانِ تَمَامُ البَيَانِ.</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ق167 </w:t>
      </w:r>
      <w:r>
        <w:rPr>
          <w:sz w:val="32"/>
          <w:szCs w:val="32"/>
        </w:rPr>
        <w:tab/>
      </w:r>
      <w:r>
        <w:rPr>
          <w:rFonts w:hint="cs"/>
          <w:sz w:val="32"/>
          <w:szCs w:val="32"/>
          <w:rtl/>
        </w:rPr>
        <w:t xml:space="preserve">: العُرْفُ قاضٍ على </w:t>
      </w:r>
      <w:r>
        <w:rPr>
          <w:rFonts w:hint="cs"/>
          <w:b/>
          <w:bCs/>
          <w:sz w:val="32"/>
          <w:szCs w:val="32"/>
          <w:rtl/>
        </w:rPr>
        <w:t>الوَضْع</w:t>
      </w:r>
      <w:r>
        <w:rPr>
          <w:rFonts w:hint="cs"/>
          <w:sz w:val="32"/>
          <w:szCs w:val="32"/>
          <w:rtl/>
        </w:rPr>
        <w:t>ِ.</w:t>
      </w:r>
    </w:p>
    <w:p w:rsidR="00284270" w:rsidRDefault="00284270" w:rsidP="0022714B">
      <w:pPr>
        <w:ind w:left="2833" w:hanging="2266"/>
        <w:rPr>
          <w:sz w:val="32"/>
          <w:szCs w:val="32"/>
          <w:rtl/>
        </w:rPr>
      </w:pPr>
      <w:r>
        <w:rPr>
          <w:rFonts w:hint="cs"/>
          <w:sz w:val="32"/>
          <w:szCs w:val="32"/>
          <w:rtl/>
        </w:rPr>
        <w:t xml:space="preserve">               ق174 </w:t>
      </w:r>
      <w:r>
        <w:rPr>
          <w:sz w:val="32"/>
          <w:szCs w:val="32"/>
        </w:rPr>
        <w:tab/>
      </w:r>
      <w:r>
        <w:rPr>
          <w:rFonts w:hint="cs"/>
          <w:sz w:val="32"/>
          <w:szCs w:val="32"/>
          <w:rtl/>
        </w:rPr>
        <w:t xml:space="preserve">: فِي كُلِّ </w:t>
      </w:r>
      <w:r>
        <w:rPr>
          <w:rFonts w:hint="cs"/>
          <w:b/>
          <w:bCs/>
          <w:sz w:val="32"/>
          <w:szCs w:val="32"/>
          <w:rtl/>
        </w:rPr>
        <w:t>مَوْضِعٍ</w:t>
      </w:r>
      <w:r>
        <w:rPr>
          <w:rFonts w:hint="cs"/>
          <w:sz w:val="32"/>
          <w:szCs w:val="32"/>
          <w:rtl/>
        </w:rPr>
        <w:t xml:space="preserve"> يملكُ المدفوعُ إليهِ المالَ المدفوعَ إليهِ مقابَلاً بِمِلْكٍ : فإنَّ المأمورَ يرجعُ بِلاَ شَرْطٍ ، وإلاَّ فَلاَ.</w:t>
      </w:r>
    </w:p>
    <w:p w:rsidR="00284270" w:rsidRDefault="00284270">
      <w:pPr>
        <w:rPr>
          <w:sz w:val="32"/>
          <w:szCs w:val="32"/>
          <w:rtl/>
        </w:rPr>
      </w:pPr>
      <w:r>
        <w:rPr>
          <w:rFonts w:hint="cs"/>
          <w:b/>
          <w:bCs/>
          <w:sz w:val="32"/>
          <w:szCs w:val="32"/>
          <w:rtl/>
        </w:rPr>
        <w:t>وقت</w:t>
      </w:r>
      <w:r>
        <w:rPr>
          <w:rFonts w:hint="cs"/>
          <w:sz w:val="32"/>
          <w:szCs w:val="32"/>
          <w:rtl/>
        </w:rPr>
        <w:tab/>
      </w:r>
      <w:r>
        <w:rPr>
          <w:sz w:val="32"/>
          <w:szCs w:val="32"/>
        </w:rPr>
        <w:tab/>
      </w:r>
      <w:r>
        <w:rPr>
          <w:rFonts w:hint="cs"/>
          <w:sz w:val="32"/>
          <w:szCs w:val="32"/>
          <w:rtl/>
        </w:rPr>
        <w:t xml:space="preserve">: ق29 </w:t>
      </w:r>
      <w:r>
        <w:rPr>
          <w:sz w:val="32"/>
          <w:szCs w:val="32"/>
        </w:rPr>
        <w:tab/>
      </w:r>
      <w:r>
        <w:rPr>
          <w:rFonts w:hint="cs"/>
          <w:sz w:val="32"/>
          <w:szCs w:val="32"/>
          <w:rtl/>
        </w:rPr>
        <w:tab/>
        <w:t xml:space="preserve">: الأَصْلُ إِضَافَةُ الحَادِثِ إلى </w:t>
      </w:r>
      <w:r>
        <w:rPr>
          <w:rFonts w:hint="cs"/>
          <w:b/>
          <w:bCs/>
          <w:sz w:val="32"/>
          <w:szCs w:val="32"/>
          <w:rtl/>
        </w:rPr>
        <w:t>أقرَبِ</w:t>
      </w:r>
      <w:r>
        <w:rPr>
          <w:rFonts w:hint="cs"/>
          <w:sz w:val="32"/>
          <w:szCs w:val="32"/>
          <w:rtl/>
        </w:rPr>
        <w:t xml:space="preserve"> أوْقَاتِهِ.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ق77 </w:t>
      </w:r>
      <w:r>
        <w:rPr>
          <w:sz w:val="32"/>
          <w:szCs w:val="32"/>
        </w:rPr>
        <w:tab/>
      </w:r>
      <w:r>
        <w:rPr>
          <w:rFonts w:hint="cs"/>
          <w:sz w:val="32"/>
          <w:szCs w:val="32"/>
          <w:rtl/>
        </w:rPr>
        <w:tab/>
        <w:t xml:space="preserve">: تُعتَبَرُ صفةُ </w:t>
      </w:r>
      <w:r>
        <w:rPr>
          <w:rFonts w:hint="cs"/>
          <w:b/>
          <w:bCs/>
          <w:sz w:val="32"/>
          <w:szCs w:val="32"/>
          <w:rtl/>
        </w:rPr>
        <w:t>الوقتِ</w:t>
      </w:r>
      <w:r>
        <w:rPr>
          <w:rFonts w:hint="cs"/>
          <w:sz w:val="32"/>
          <w:szCs w:val="32"/>
          <w:rtl/>
        </w:rPr>
        <w:t xml:space="preserve"> فِي نُقْصَانِ الوَاجِبِ وَكَمَالِهِ. </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ق109 </w:t>
      </w:r>
      <w:r>
        <w:rPr>
          <w:sz w:val="32"/>
          <w:szCs w:val="32"/>
        </w:rPr>
        <w:tab/>
      </w:r>
      <w:r>
        <w:rPr>
          <w:rFonts w:hint="cs"/>
          <w:sz w:val="32"/>
          <w:szCs w:val="32"/>
          <w:rtl/>
        </w:rPr>
        <w:t xml:space="preserve">: الحادثُ يُضَافُ إلى </w:t>
      </w:r>
      <w:r>
        <w:rPr>
          <w:rFonts w:hint="cs"/>
          <w:b/>
          <w:bCs/>
          <w:sz w:val="32"/>
          <w:szCs w:val="32"/>
          <w:rtl/>
        </w:rPr>
        <w:t xml:space="preserve">أقربِ </w:t>
      </w:r>
      <w:r>
        <w:rPr>
          <w:rFonts w:hint="cs"/>
          <w:sz w:val="32"/>
          <w:szCs w:val="32"/>
          <w:rtl/>
        </w:rPr>
        <w:t>الأوقَاتِ.</w:t>
      </w:r>
    </w:p>
    <w:p w:rsidR="00284270" w:rsidRDefault="00284270">
      <w:pPr>
        <w:rPr>
          <w:sz w:val="32"/>
          <w:szCs w:val="32"/>
          <w:rtl/>
        </w:rPr>
      </w:pPr>
      <w:r>
        <w:rPr>
          <w:rFonts w:hint="cs"/>
          <w:b/>
          <w:bCs/>
          <w:sz w:val="32"/>
          <w:szCs w:val="32"/>
          <w:rtl/>
        </w:rPr>
        <w:t>وقع</w:t>
      </w:r>
      <w:r>
        <w:rPr>
          <w:rFonts w:hint="cs"/>
          <w:sz w:val="32"/>
          <w:szCs w:val="32"/>
          <w:rtl/>
        </w:rPr>
        <w:tab/>
      </w:r>
      <w:r>
        <w:rPr>
          <w:sz w:val="32"/>
          <w:szCs w:val="32"/>
        </w:rPr>
        <w:tab/>
      </w:r>
      <w:r>
        <w:rPr>
          <w:rFonts w:hint="cs"/>
          <w:sz w:val="32"/>
          <w:szCs w:val="32"/>
          <w:rtl/>
        </w:rPr>
        <w:t xml:space="preserve">: ق47 </w:t>
      </w:r>
      <w:r>
        <w:rPr>
          <w:sz w:val="32"/>
          <w:szCs w:val="32"/>
        </w:rPr>
        <w:tab/>
      </w:r>
      <w:r>
        <w:rPr>
          <w:rFonts w:hint="cs"/>
          <w:sz w:val="32"/>
          <w:szCs w:val="32"/>
          <w:rtl/>
        </w:rPr>
        <w:tab/>
        <w:t xml:space="preserve">: الأَمْرُ يُفِيدُ وُجُوبَ </w:t>
      </w:r>
      <w:r>
        <w:rPr>
          <w:rFonts w:hint="cs"/>
          <w:b/>
          <w:bCs/>
          <w:sz w:val="32"/>
          <w:szCs w:val="32"/>
          <w:rtl/>
        </w:rPr>
        <w:t>إِيْقَاعِ</w:t>
      </w:r>
      <w:r>
        <w:rPr>
          <w:rFonts w:hint="cs"/>
          <w:sz w:val="32"/>
          <w:szCs w:val="32"/>
          <w:rtl/>
        </w:rPr>
        <w:t xml:space="preserve"> الفِعْلِ مَرَّةً. </w:t>
      </w:r>
    </w:p>
    <w:p w:rsidR="00284270" w:rsidRDefault="00284270">
      <w:pPr>
        <w:rPr>
          <w:sz w:val="32"/>
          <w:szCs w:val="32"/>
          <w:rtl/>
        </w:rPr>
      </w:pPr>
      <w:r>
        <w:rPr>
          <w:rFonts w:hint="cs"/>
          <w:b/>
          <w:bCs/>
          <w:sz w:val="32"/>
          <w:szCs w:val="32"/>
          <w:rtl/>
        </w:rPr>
        <w:t>وقف</w:t>
      </w:r>
      <w:r>
        <w:rPr>
          <w:rFonts w:hint="cs"/>
          <w:sz w:val="32"/>
          <w:szCs w:val="32"/>
          <w:rtl/>
        </w:rPr>
        <w:tab/>
      </w:r>
      <w:r>
        <w:rPr>
          <w:sz w:val="32"/>
          <w:szCs w:val="32"/>
        </w:rPr>
        <w:tab/>
      </w:r>
      <w:r>
        <w:rPr>
          <w:rFonts w:hint="cs"/>
          <w:sz w:val="32"/>
          <w:szCs w:val="32"/>
          <w:rtl/>
        </w:rPr>
        <w:t xml:space="preserve">: ق146 </w:t>
      </w:r>
      <w:r>
        <w:rPr>
          <w:sz w:val="32"/>
          <w:szCs w:val="32"/>
        </w:rPr>
        <w:tab/>
      </w:r>
      <w:r>
        <w:rPr>
          <w:rFonts w:hint="cs"/>
          <w:sz w:val="32"/>
          <w:szCs w:val="32"/>
          <w:rtl/>
        </w:rPr>
        <w:t xml:space="preserve">: شَرْطُ </w:t>
      </w:r>
      <w:r>
        <w:rPr>
          <w:rFonts w:hint="cs"/>
          <w:b/>
          <w:bCs/>
          <w:sz w:val="32"/>
          <w:szCs w:val="32"/>
          <w:rtl/>
        </w:rPr>
        <w:t>الوَاقِفِ</w:t>
      </w:r>
      <w:r>
        <w:rPr>
          <w:rFonts w:hint="cs"/>
          <w:sz w:val="32"/>
          <w:szCs w:val="32"/>
          <w:rtl/>
        </w:rPr>
        <w:t xml:space="preserve"> كَنَصِّ الشَّارِعِ.</w:t>
      </w:r>
    </w:p>
    <w:p w:rsidR="00284270" w:rsidRDefault="00284270">
      <w:pPr>
        <w:rPr>
          <w:sz w:val="32"/>
          <w:szCs w:val="32"/>
          <w:rtl/>
        </w:rPr>
      </w:pPr>
      <w:r>
        <w:rPr>
          <w:rFonts w:hint="cs"/>
          <w:b/>
          <w:bCs/>
          <w:sz w:val="32"/>
          <w:szCs w:val="32"/>
          <w:rtl/>
        </w:rPr>
        <w:t>وكل</w:t>
      </w:r>
      <w:r>
        <w:rPr>
          <w:rFonts w:hint="cs"/>
          <w:sz w:val="32"/>
          <w:szCs w:val="32"/>
          <w:rtl/>
        </w:rPr>
        <w:tab/>
      </w:r>
      <w:r>
        <w:rPr>
          <w:sz w:val="32"/>
          <w:szCs w:val="32"/>
        </w:rPr>
        <w:tab/>
      </w:r>
      <w:r>
        <w:rPr>
          <w:rFonts w:hint="cs"/>
          <w:sz w:val="32"/>
          <w:szCs w:val="32"/>
          <w:rtl/>
        </w:rPr>
        <w:t xml:space="preserve">: ق30 </w:t>
      </w:r>
      <w:r>
        <w:rPr>
          <w:sz w:val="32"/>
          <w:szCs w:val="32"/>
        </w:rPr>
        <w:tab/>
      </w:r>
      <w:r>
        <w:rPr>
          <w:rFonts w:hint="cs"/>
          <w:sz w:val="32"/>
          <w:szCs w:val="32"/>
          <w:rtl/>
        </w:rPr>
        <w:tab/>
        <w:t xml:space="preserve">: الأَصْلُ فِي </w:t>
      </w:r>
      <w:r>
        <w:rPr>
          <w:rFonts w:hint="cs"/>
          <w:b/>
          <w:bCs/>
          <w:sz w:val="32"/>
          <w:szCs w:val="32"/>
          <w:rtl/>
        </w:rPr>
        <w:t>الوَكَالَةِ</w:t>
      </w:r>
      <w:r>
        <w:rPr>
          <w:rFonts w:hint="cs"/>
          <w:sz w:val="32"/>
          <w:szCs w:val="32"/>
          <w:rtl/>
        </w:rPr>
        <w:t xml:space="preserve"> الخُصُوصُ، وفِي المُضَارَبَةِ العُمُومُ. </w:t>
      </w:r>
    </w:p>
    <w:p w:rsidR="00284270" w:rsidRDefault="00284270">
      <w:pPr>
        <w:rPr>
          <w:sz w:val="32"/>
          <w:szCs w:val="32"/>
          <w:rtl/>
        </w:rPr>
      </w:pPr>
      <w:r>
        <w:rPr>
          <w:rFonts w:hint="cs"/>
          <w:b/>
          <w:bCs/>
          <w:sz w:val="32"/>
          <w:szCs w:val="32"/>
          <w:rtl/>
        </w:rPr>
        <w:t>ولي</w:t>
      </w:r>
      <w:r>
        <w:rPr>
          <w:rFonts w:hint="cs"/>
          <w:sz w:val="32"/>
          <w:szCs w:val="32"/>
          <w:rtl/>
        </w:rPr>
        <w:t xml:space="preserve"> </w:t>
      </w:r>
      <w:r>
        <w:rPr>
          <w:rFonts w:hint="cs"/>
          <w:sz w:val="32"/>
          <w:szCs w:val="32"/>
          <w:rtl/>
        </w:rPr>
        <w:tab/>
      </w:r>
      <w:r>
        <w:rPr>
          <w:sz w:val="32"/>
          <w:szCs w:val="32"/>
        </w:rPr>
        <w:tab/>
      </w:r>
      <w:r>
        <w:rPr>
          <w:rFonts w:hint="cs"/>
          <w:sz w:val="32"/>
          <w:szCs w:val="32"/>
          <w:rtl/>
        </w:rPr>
        <w:t xml:space="preserve">: ق144 </w:t>
      </w:r>
      <w:r>
        <w:rPr>
          <w:sz w:val="32"/>
          <w:szCs w:val="32"/>
        </w:rPr>
        <w:tab/>
      </w:r>
      <w:r>
        <w:rPr>
          <w:rFonts w:hint="cs"/>
          <w:sz w:val="32"/>
          <w:szCs w:val="32"/>
          <w:rtl/>
        </w:rPr>
        <w:t xml:space="preserve">: السُّلْطَانُ </w:t>
      </w:r>
      <w:r>
        <w:rPr>
          <w:rFonts w:hint="cs"/>
          <w:b/>
          <w:bCs/>
          <w:sz w:val="32"/>
          <w:szCs w:val="32"/>
          <w:rtl/>
        </w:rPr>
        <w:t>وَلِيُّ</w:t>
      </w:r>
      <w:r>
        <w:rPr>
          <w:rFonts w:hint="cs"/>
          <w:sz w:val="32"/>
          <w:szCs w:val="32"/>
          <w:rtl/>
        </w:rPr>
        <w:t xml:space="preserve"> مَنْ لاَ </w:t>
      </w:r>
      <w:r>
        <w:rPr>
          <w:rFonts w:hint="cs"/>
          <w:b/>
          <w:bCs/>
          <w:sz w:val="32"/>
          <w:szCs w:val="32"/>
          <w:rtl/>
        </w:rPr>
        <w:t>وَلِيَّ</w:t>
      </w:r>
      <w:r>
        <w:rPr>
          <w:rFonts w:hint="cs"/>
          <w:sz w:val="32"/>
          <w:szCs w:val="32"/>
          <w:rtl/>
        </w:rPr>
        <w:t xml:space="preserve"> لَهُ.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ق236 </w:t>
      </w:r>
      <w:r>
        <w:rPr>
          <w:sz w:val="32"/>
          <w:szCs w:val="32"/>
        </w:rPr>
        <w:tab/>
      </w:r>
      <w:r>
        <w:rPr>
          <w:rFonts w:hint="cs"/>
          <w:sz w:val="32"/>
          <w:szCs w:val="32"/>
          <w:rtl/>
        </w:rPr>
        <w:t xml:space="preserve">: مَنْ لاَ </w:t>
      </w:r>
      <w:r>
        <w:rPr>
          <w:rFonts w:hint="cs"/>
          <w:b/>
          <w:bCs/>
          <w:sz w:val="32"/>
          <w:szCs w:val="32"/>
          <w:rtl/>
        </w:rPr>
        <w:t>يَلِي</w:t>
      </w:r>
      <w:r>
        <w:rPr>
          <w:rFonts w:hint="cs"/>
          <w:sz w:val="32"/>
          <w:szCs w:val="32"/>
          <w:rtl/>
        </w:rPr>
        <w:t xml:space="preserve"> غَيْرَهُ لا يَجُوزُ تَصَرُّفُهُ في حَقِّهِ.</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  ق256 </w:t>
      </w:r>
      <w:r>
        <w:rPr>
          <w:sz w:val="32"/>
          <w:szCs w:val="32"/>
        </w:rPr>
        <w:tab/>
      </w:r>
      <w:r>
        <w:rPr>
          <w:rFonts w:hint="cs"/>
          <w:sz w:val="32"/>
          <w:szCs w:val="32"/>
          <w:rtl/>
        </w:rPr>
        <w:t xml:space="preserve">: </w:t>
      </w:r>
      <w:r>
        <w:rPr>
          <w:rFonts w:hint="cs"/>
          <w:b/>
          <w:bCs/>
          <w:sz w:val="32"/>
          <w:szCs w:val="32"/>
          <w:rtl/>
        </w:rPr>
        <w:t>الولايةُ</w:t>
      </w:r>
      <w:r>
        <w:rPr>
          <w:rFonts w:hint="cs"/>
          <w:sz w:val="32"/>
          <w:szCs w:val="32"/>
          <w:rtl/>
        </w:rPr>
        <w:t xml:space="preserve"> الخاصَّةُ أَوْلَى مِنَ الولايةِ العامَّةِ.</w:t>
      </w:r>
    </w:p>
    <w:p w:rsidR="00284270" w:rsidRDefault="00284270" w:rsidP="0022714B">
      <w:pPr>
        <w:ind w:left="2833" w:hanging="2266"/>
        <w:rPr>
          <w:sz w:val="32"/>
          <w:szCs w:val="32"/>
          <w:rtl/>
        </w:rPr>
      </w:pPr>
      <w:r>
        <w:rPr>
          <w:rFonts w:hint="cs"/>
          <w:b/>
          <w:bCs/>
          <w:sz w:val="32"/>
          <w:szCs w:val="32"/>
          <w:rtl/>
        </w:rPr>
        <w:t>وهب</w:t>
      </w:r>
      <w:r>
        <w:rPr>
          <w:rFonts w:hint="cs"/>
          <w:sz w:val="32"/>
          <w:szCs w:val="32"/>
          <w:rtl/>
        </w:rPr>
        <w:t xml:space="preserve">       : ق132 </w:t>
      </w:r>
      <w:r>
        <w:rPr>
          <w:sz w:val="32"/>
          <w:szCs w:val="32"/>
        </w:rPr>
        <w:tab/>
      </w:r>
      <w:r>
        <w:rPr>
          <w:rFonts w:hint="cs"/>
          <w:sz w:val="32"/>
          <w:szCs w:val="32"/>
          <w:rtl/>
        </w:rPr>
        <w:t xml:space="preserve">: الرُّجُوعُ فِي </w:t>
      </w:r>
      <w:r>
        <w:rPr>
          <w:rFonts w:hint="cs"/>
          <w:b/>
          <w:bCs/>
          <w:sz w:val="32"/>
          <w:szCs w:val="32"/>
          <w:rtl/>
        </w:rPr>
        <w:t>الهِبَةِ</w:t>
      </w:r>
      <w:r>
        <w:rPr>
          <w:rFonts w:hint="cs"/>
          <w:sz w:val="32"/>
          <w:szCs w:val="32"/>
          <w:rtl/>
        </w:rPr>
        <w:t xml:space="preserve"> - وَلَوْ بِالتَّرَاضِي- فَسْخٌ لِعَقْدِ </w:t>
      </w:r>
      <w:r>
        <w:rPr>
          <w:rFonts w:hint="cs"/>
          <w:b/>
          <w:bCs/>
          <w:sz w:val="32"/>
          <w:szCs w:val="32"/>
          <w:rtl/>
        </w:rPr>
        <w:t>الهِبَةِ</w:t>
      </w:r>
      <w:r>
        <w:rPr>
          <w:rFonts w:hint="cs"/>
          <w:sz w:val="32"/>
          <w:szCs w:val="32"/>
          <w:rtl/>
        </w:rPr>
        <w:t xml:space="preserve"> مِنَ الأَصْلِ، </w:t>
      </w:r>
      <w:r>
        <w:rPr>
          <w:rFonts w:hint="cs"/>
          <w:sz w:val="32"/>
          <w:szCs w:val="32"/>
          <w:rtl/>
        </w:rPr>
        <w:lastRenderedPageBreak/>
        <w:t xml:space="preserve">وَإِعَادَةُ المِلْكِ القَديمِ لا </w:t>
      </w:r>
      <w:r>
        <w:rPr>
          <w:rFonts w:hint="cs"/>
          <w:b/>
          <w:bCs/>
          <w:sz w:val="32"/>
          <w:szCs w:val="32"/>
          <w:rtl/>
        </w:rPr>
        <w:t>هبةً</w:t>
      </w:r>
      <w:r>
        <w:rPr>
          <w:rFonts w:hint="cs"/>
          <w:sz w:val="32"/>
          <w:szCs w:val="32"/>
          <w:rtl/>
        </w:rPr>
        <w:t>.</w:t>
      </w:r>
    </w:p>
    <w:p w:rsidR="00284270" w:rsidRDefault="00284270">
      <w:pPr>
        <w:rPr>
          <w:sz w:val="32"/>
          <w:szCs w:val="32"/>
          <w:rtl/>
        </w:rPr>
      </w:pPr>
      <w:r>
        <w:rPr>
          <w:rFonts w:hint="cs"/>
          <w:b/>
          <w:bCs/>
          <w:sz w:val="32"/>
          <w:szCs w:val="32"/>
          <w:rtl/>
        </w:rPr>
        <w:t>وهم</w:t>
      </w:r>
      <w:r>
        <w:rPr>
          <w:rFonts w:hint="cs"/>
          <w:sz w:val="32"/>
          <w:szCs w:val="32"/>
          <w:rtl/>
        </w:rPr>
        <w:tab/>
      </w:r>
      <w:r>
        <w:rPr>
          <w:sz w:val="32"/>
          <w:szCs w:val="32"/>
        </w:rPr>
        <w:tab/>
      </w:r>
      <w:r>
        <w:rPr>
          <w:rFonts w:hint="cs"/>
          <w:sz w:val="32"/>
          <w:szCs w:val="32"/>
          <w:rtl/>
        </w:rPr>
        <w:t xml:space="preserve">: ق228 </w:t>
      </w:r>
      <w:r>
        <w:rPr>
          <w:sz w:val="32"/>
          <w:szCs w:val="32"/>
        </w:rPr>
        <w:tab/>
      </w:r>
      <w:r>
        <w:rPr>
          <w:rFonts w:hint="cs"/>
          <w:sz w:val="32"/>
          <w:szCs w:val="32"/>
          <w:rtl/>
        </w:rPr>
        <w:t xml:space="preserve">: المَعْلُومُ لاَ يُؤَخَّرُ </w:t>
      </w:r>
      <w:r>
        <w:rPr>
          <w:rFonts w:hint="cs"/>
          <w:b/>
          <w:bCs/>
          <w:sz w:val="32"/>
          <w:szCs w:val="32"/>
          <w:rtl/>
        </w:rPr>
        <w:t>للمَوْهُومِ</w:t>
      </w:r>
      <w:r>
        <w:rPr>
          <w:rFonts w:hint="cs"/>
          <w:sz w:val="32"/>
          <w:szCs w:val="32"/>
          <w:rtl/>
        </w:rPr>
        <w:t>.</w:t>
      </w:r>
    </w:p>
    <w:p w:rsidR="00284270" w:rsidRDefault="00284270">
      <w:pPr>
        <w:rPr>
          <w:rtl/>
        </w:rPr>
      </w:pPr>
      <w:r>
        <w:rPr>
          <w:rFonts w:hint="cs"/>
          <w:rtl/>
        </w:rPr>
        <w:t xml:space="preserve"> </w:t>
      </w:r>
    </w:p>
    <w:p w:rsidR="00284270" w:rsidRDefault="00284270">
      <w:pPr>
        <w:rPr>
          <w:rtl/>
        </w:rPr>
      </w:pPr>
      <w:r>
        <w:rPr>
          <w:rFonts w:hint="cs"/>
          <w:rtl/>
        </w:rPr>
        <w:t xml:space="preserve"> </w:t>
      </w:r>
    </w:p>
    <w:p w:rsidR="00284270" w:rsidRDefault="0022714B">
      <w:pPr>
        <w:jc w:val="center"/>
        <w:rPr>
          <w:b/>
          <w:bCs/>
          <w:sz w:val="48"/>
          <w:szCs w:val="48"/>
          <w:rtl/>
        </w:rPr>
      </w:pPr>
      <w:r>
        <w:rPr>
          <w:noProof/>
          <w:rtl/>
        </w:rPr>
        <w:pict>
          <v:rect id="_x0000_s1053" style="position:absolute;left:0;text-align:left;margin-left:165.3pt;margin-top:3.6pt;width:54.15pt;height:37.05pt;z-index:-251623424;mso-wrap-edited:f" wrapcoords="-379 0 -379 21600 758 22265 23495 22265 23116 997 22358 0 -379 0">
            <v:shadow on="t" offset="3pt" offset2="2pt"/>
          </v:rect>
        </w:pict>
      </w:r>
      <w:r w:rsidR="00284270">
        <w:rPr>
          <w:rFonts w:hint="cs"/>
          <w:b/>
          <w:bCs/>
          <w:sz w:val="48"/>
          <w:szCs w:val="48"/>
          <w:rtl/>
        </w:rPr>
        <w:t>(ي)</w:t>
      </w:r>
    </w:p>
    <w:p w:rsidR="00284270" w:rsidRDefault="00284270">
      <w:pPr>
        <w:rPr>
          <w:rtl/>
        </w:rPr>
      </w:pPr>
    </w:p>
    <w:p w:rsidR="00284270" w:rsidRDefault="00284270" w:rsidP="0022714B">
      <w:pPr>
        <w:ind w:left="2833" w:hanging="2266"/>
        <w:rPr>
          <w:sz w:val="32"/>
          <w:szCs w:val="32"/>
          <w:rtl/>
        </w:rPr>
      </w:pPr>
      <w:r>
        <w:rPr>
          <w:rFonts w:hint="cs"/>
          <w:b/>
          <w:bCs/>
          <w:sz w:val="32"/>
          <w:szCs w:val="32"/>
          <w:rtl/>
        </w:rPr>
        <w:t>يمن</w:t>
      </w:r>
      <w:r>
        <w:rPr>
          <w:rFonts w:hint="cs"/>
          <w:sz w:val="32"/>
          <w:szCs w:val="32"/>
          <w:rtl/>
        </w:rPr>
        <w:t xml:space="preserve">        : ق49 </w:t>
      </w:r>
      <w:r>
        <w:rPr>
          <w:sz w:val="32"/>
          <w:szCs w:val="32"/>
        </w:rPr>
        <w:tab/>
      </w:r>
      <w:r>
        <w:rPr>
          <w:rFonts w:hint="cs"/>
          <w:sz w:val="32"/>
          <w:szCs w:val="32"/>
          <w:rtl/>
        </w:rPr>
        <w:t xml:space="preserve">: </w:t>
      </w:r>
      <w:r>
        <w:rPr>
          <w:rFonts w:hint="cs"/>
          <w:b/>
          <w:bCs/>
          <w:sz w:val="32"/>
          <w:szCs w:val="32"/>
          <w:rtl/>
        </w:rPr>
        <w:t>الأَيْمَانُ</w:t>
      </w:r>
      <w:r>
        <w:rPr>
          <w:rFonts w:hint="cs"/>
          <w:sz w:val="32"/>
          <w:szCs w:val="32"/>
          <w:rtl/>
        </w:rPr>
        <w:t xml:space="preserve"> مَبْنِيَّةٌ عَلَى الأَلْفَاظِ والعُرْفِ، لاَ عَلَى الأَغْرَاضِ. </w:t>
      </w:r>
    </w:p>
    <w:p w:rsidR="00284270" w:rsidRDefault="00284270" w:rsidP="0022714B">
      <w:pPr>
        <w:ind w:left="2833" w:hanging="2266"/>
        <w:rPr>
          <w:sz w:val="32"/>
          <w:szCs w:val="32"/>
          <w:rtl/>
        </w:rPr>
      </w:pPr>
      <w:r>
        <w:rPr>
          <w:rFonts w:hint="cs"/>
          <w:sz w:val="32"/>
          <w:szCs w:val="32"/>
          <w:rtl/>
        </w:rPr>
        <w:t xml:space="preserve">             ق61 </w:t>
      </w:r>
      <w:r>
        <w:rPr>
          <w:sz w:val="32"/>
          <w:szCs w:val="32"/>
        </w:rPr>
        <w:tab/>
      </w:r>
      <w:r>
        <w:rPr>
          <w:rFonts w:hint="cs"/>
          <w:sz w:val="32"/>
          <w:szCs w:val="32"/>
          <w:rtl/>
        </w:rPr>
        <w:t xml:space="preserve">: </w:t>
      </w:r>
      <w:r>
        <w:rPr>
          <w:rFonts w:hint="eastAsia"/>
          <w:sz w:val="32"/>
          <w:szCs w:val="32"/>
          <w:rtl/>
        </w:rPr>
        <w:t>الب</w:t>
      </w:r>
      <w:r>
        <w:rPr>
          <w:rFonts w:hint="cs"/>
          <w:sz w:val="32"/>
          <w:szCs w:val="32"/>
          <w:rtl/>
        </w:rPr>
        <w:t>َ</w:t>
      </w:r>
      <w:r>
        <w:rPr>
          <w:rFonts w:hint="eastAsia"/>
          <w:sz w:val="32"/>
          <w:szCs w:val="32"/>
          <w:rtl/>
        </w:rPr>
        <w:t>ي</w:t>
      </w:r>
      <w:r>
        <w:rPr>
          <w:rFonts w:hint="cs"/>
          <w:sz w:val="32"/>
          <w:szCs w:val="32"/>
          <w:rtl/>
        </w:rPr>
        <w:t>ِّ</w:t>
      </w:r>
      <w:r>
        <w:rPr>
          <w:rFonts w:hint="eastAsia"/>
          <w:sz w:val="32"/>
          <w:szCs w:val="32"/>
          <w:rtl/>
        </w:rPr>
        <w:t>ن</w:t>
      </w:r>
      <w:r>
        <w:rPr>
          <w:rFonts w:hint="cs"/>
          <w:sz w:val="32"/>
          <w:szCs w:val="32"/>
          <w:rtl/>
        </w:rPr>
        <w:t>َ</w:t>
      </w:r>
      <w:r>
        <w:rPr>
          <w:rFonts w:hint="eastAsia"/>
          <w:sz w:val="32"/>
          <w:szCs w:val="32"/>
          <w:rtl/>
        </w:rPr>
        <w:t>ات</w:t>
      </w:r>
      <w:r>
        <w:rPr>
          <w:rFonts w:hint="cs"/>
          <w:sz w:val="32"/>
          <w:szCs w:val="32"/>
          <w:rtl/>
        </w:rPr>
        <w:t>ُ</w:t>
      </w:r>
      <w:r>
        <w:rPr>
          <w:sz w:val="32"/>
          <w:szCs w:val="32"/>
          <w:rtl/>
        </w:rPr>
        <w:t xml:space="preserve"> ش</w:t>
      </w:r>
      <w:r>
        <w:rPr>
          <w:rFonts w:hint="cs"/>
          <w:sz w:val="32"/>
          <w:szCs w:val="32"/>
          <w:rtl/>
        </w:rPr>
        <w:t>ُ</w:t>
      </w:r>
      <w:r>
        <w:rPr>
          <w:sz w:val="32"/>
          <w:szCs w:val="32"/>
          <w:rtl/>
        </w:rPr>
        <w:t>ر</w:t>
      </w:r>
      <w:r>
        <w:rPr>
          <w:rFonts w:hint="cs"/>
          <w:sz w:val="32"/>
          <w:szCs w:val="32"/>
          <w:rtl/>
        </w:rPr>
        <w:t>ِ</w:t>
      </w:r>
      <w:r>
        <w:rPr>
          <w:sz w:val="32"/>
          <w:szCs w:val="32"/>
          <w:rtl/>
        </w:rPr>
        <w:t>ع</w:t>
      </w:r>
      <w:r>
        <w:rPr>
          <w:rFonts w:hint="cs"/>
          <w:sz w:val="32"/>
          <w:szCs w:val="32"/>
          <w:rtl/>
        </w:rPr>
        <w:t>َ</w:t>
      </w:r>
      <w:r>
        <w:rPr>
          <w:sz w:val="32"/>
          <w:szCs w:val="32"/>
          <w:rtl/>
        </w:rPr>
        <w:t>ت</w:t>
      </w:r>
      <w:r>
        <w:rPr>
          <w:rFonts w:hint="cs"/>
          <w:sz w:val="32"/>
          <w:szCs w:val="32"/>
          <w:rtl/>
        </w:rPr>
        <w:t>ْ</w:t>
      </w:r>
      <w:r>
        <w:rPr>
          <w:sz w:val="32"/>
          <w:szCs w:val="32"/>
          <w:rtl/>
        </w:rPr>
        <w:t xml:space="preserve"> ل</w:t>
      </w:r>
      <w:r>
        <w:rPr>
          <w:rFonts w:hint="cs"/>
          <w:sz w:val="32"/>
          <w:szCs w:val="32"/>
          <w:rtl/>
        </w:rPr>
        <w:t>إ</w:t>
      </w:r>
      <w:r>
        <w:rPr>
          <w:sz w:val="32"/>
          <w:szCs w:val="32"/>
          <w:rtl/>
        </w:rPr>
        <w:t>ث</w:t>
      </w:r>
      <w:r>
        <w:rPr>
          <w:rFonts w:hint="cs"/>
          <w:sz w:val="32"/>
          <w:szCs w:val="32"/>
          <w:rtl/>
        </w:rPr>
        <w:t>ْ</w:t>
      </w:r>
      <w:r>
        <w:rPr>
          <w:sz w:val="32"/>
          <w:szCs w:val="32"/>
          <w:rtl/>
        </w:rPr>
        <w:t>ب</w:t>
      </w:r>
      <w:r>
        <w:rPr>
          <w:rFonts w:hint="cs"/>
          <w:sz w:val="32"/>
          <w:szCs w:val="32"/>
          <w:rtl/>
        </w:rPr>
        <w:t>َ</w:t>
      </w:r>
      <w:r>
        <w:rPr>
          <w:sz w:val="32"/>
          <w:szCs w:val="32"/>
          <w:rtl/>
        </w:rPr>
        <w:t>ات</w:t>
      </w:r>
      <w:r>
        <w:rPr>
          <w:rFonts w:hint="cs"/>
          <w:sz w:val="32"/>
          <w:szCs w:val="32"/>
          <w:rtl/>
        </w:rPr>
        <w:t>ِ</w:t>
      </w:r>
      <w:r>
        <w:rPr>
          <w:sz w:val="32"/>
          <w:szCs w:val="32"/>
          <w:rtl/>
        </w:rPr>
        <w:t xml:space="preserve"> خ</w:t>
      </w:r>
      <w:r>
        <w:rPr>
          <w:rFonts w:hint="cs"/>
          <w:sz w:val="32"/>
          <w:szCs w:val="32"/>
          <w:rtl/>
        </w:rPr>
        <w:t>ِ</w:t>
      </w:r>
      <w:r>
        <w:rPr>
          <w:sz w:val="32"/>
          <w:szCs w:val="32"/>
          <w:rtl/>
        </w:rPr>
        <w:t>لا</w:t>
      </w:r>
      <w:r>
        <w:rPr>
          <w:rFonts w:hint="cs"/>
          <w:sz w:val="32"/>
          <w:szCs w:val="32"/>
          <w:rtl/>
        </w:rPr>
        <w:t>َ</w:t>
      </w:r>
      <w:r>
        <w:rPr>
          <w:sz w:val="32"/>
          <w:szCs w:val="32"/>
          <w:rtl/>
        </w:rPr>
        <w:t>ف</w:t>
      </w:r>
      <w:r>
        <w:rPr>
          <w:rFonts w:hint="cs"/>
          <w:sz w:val="32"/>
          <w:szCs w:val="32"/>
          <w:rtl/>
        </w:rPr>
        <w:t>ِ</w:t>
      </w:r>
      <w:r>
        <w:rPr>
          <w:sz w:val="32"/>
          <w:szCs w:val="32"/>
          <w:rtl/>
        </w:rPr>
        <w:t xml:space="preserve"> الظ</w:t>
      </w:r>
      <w:r>
        <w:rPr>
          <w:rFonts w:hint="cs"/>
          <w:sz w:val="32"/>
          <w:szCs w:val="32"/>
          <w:rtl/>
        </w:rPr>
        <w:t>َّ</w:t>
      </w:r>
      <w:r>
        <w:rPr>
          <w:sz w:val="32"/>
          <w:szCs w:val="32"/>
          <w:rtl/>
        </w:rPr>
        <w:t>اه</w:t>
      </w:r>
      <w:r>
        <w:rPr>
          <w:rFonts w:hint="cs"/>
          <w:sz w:val="32"/>
          <w:szCs w:val="32"/>
          <w:rtl/>
        </w:rPr>
        <w:t>ِ</w:t>
      </w:r>
      <w:r>
        <w:rPr>
          <w:sz w:val="32"/>
          <w:szCs w:val="32"/>
          <w:rtl/>
        </w:rPr>
        <w:t>ر</w:t>
      </w:r>
      <w:r>
        <w:rPr>
          <w:rFonts w:hint="cs"/>
          <w:sz w:val="32"/>
          <w:szCs w:val="32"/>
          <w:rtl/>
        </w:rPr>
        <w:t>ِ</w:t>
      </w:r>
      <w:r>
        <w:rPr>
          <w:sz w:val="32"/>
          <w:szCs w:val="32"/>
          <w:rtl/>
        </w:rPr>
        <w:t>، و</w:t>
      </w:r>
      <w:r>
        <w:rPr>
          <w:b/>
          <w:bCs/>
          <w:sz w:val="32"/>
          <w:szCs w:val="32"/>
          <w:rtl/>
        </w:rPr>
        <w:t>الي</w:t>
      </w:r>
      <w:r>
        <w:rPr>
          <w:rFonts w:hint="cs"/>
          <w:b/>
          <w:bCs/>
          <w:sz w:val="32"/>
          <w:szCs w:val="32"/>
          <w:rtl/>
        </w:rPr>
        <w:t>َ</w:t>
      </w:r>
      <w:r>
        <w:rPr>
          <w:b/>
          <w:bCs/>
          <w:sz w:val="32"/>
          <w:szCs w:val="32"/>
          <w:rtl/>
        </w:rPr>
        <w:t>م</w:t>
      </w:r>
      <w:r>
        <w:rPr>
          <w:rFonts w:hint="cs"/>
          <w:b/>
          <w:bCs/>
          <w:sz w:val="32"/>
          <w:szCs w:val="32"/>
          <w:rtl/>
        </w:rPr>
        <w:t>ِ</w:t>
      </w:r>
      <w:r>
        <w:rPr>
          <w:b/>
          <w:bCs/>
          <w:sz w:val="32"/>
          <w:szCs w:val="32"/>
          <w:rtl/>
        </w:rPr>
        <w:t>ي</w:t>
      </w:r>
      <w:r>
        <w:rPr>
          <w:rFonts w:hint="cs"/>
          <w:b/>
          <w:bCs/>
          <w:sz w:val="32"/>
          <w:szCs w:val="32"/>
          <w:rtl/>
        </w:rPr>
        <w:t>ْ</w:t>
      </w:r>
      <w:r>
        <w:rPr>
          <w:b/>
          <w:bCs/>
          <w:sz w:val="32"/>
          <w:szCs w:val="32"/>
          <w:rtl/>
        </w:rPr>
        <w:t>ن</w:t>
      </w:r>
      <w:r>
        <w:rPr>
          <w:rFonts w:hint="cs"/>
          <w:b/>
          <w:bCs/>
          <w:sz w:val="32"/>
          <w:szCs w:val="32"/>
          <w:rtl/>
        </w:rPr>
        <w:t>ُ</w:t>
      </w:r>
      <w:r>
        <w:rPr>
          <w:sz w:val="32"/>
          <w:szCs w:val="32"/>
          <w:rtl/>
        </w:rPr>
        <w:t xml:space="preserve"> لإبق</w:t>
      </w:r>
      <w:r>
        <w:rPr>
          <w:rFonts w:hint="cs"/>
          <w:sz w:val="32"/>
          <w:szCs w:val="32"/>
          <w:rtl/>
        </w:rPr>
        <w:t>َ</w:t>
      </w:r>
      <w:r>
        <w:rPr>
          <w:sz w:val="32"/>
          <w:szCs w:val="32"/>
          <w:rtl/>
        </w:rPr>
        <w:t>اء</w:t>
      </w:r>
      <w:r>
        <w:rPr>
          <w:rFonts w:hint="cs"/>
          <w:sz w:val="32"/>
          <w:szCs w:val="32"/>
          <w:rtl/>
        </w:rPr>
        <w:t>ِ</w:t>
      </w:r>
      <w:r>
        <w:rPr>
          <w:sz w:val="32"/>
          <w:szCs w:val="32"/>
          <w:rtl/>
        </w:rPr>
        <w:t xml:space="preserve"> الأ</w:t>
      </w:r>
      <w:r>
        <w:rPr>
          <w:rFonts w:hint="cs"/>
          <w:sz w:val="32"/>
          <w:szCs w:val="32"/>
          <w:rtl/>
        </w:rPr>
        <w:t>َ</w:t>
      </w:r>
      <w:r>
        <w:rPr>
          <w:sz w:val="32"/>
          <w:szCs w:val="32"/>
          <w:rtl/>
        </w:rPr>
        <w:t>ص</w:t>
      </w:r>
      <w:r>
        <w:rPr>
          <w:rFonts w:hint="cs"/>
          <w:sz w:val="32"/>
          <w:szCs w:val="32"/>
          <w:rtl/>
        </w:rPr>
        <w:t>ْ</w:t>
      </w:r>
      <w:r>
        <w:rPr>
          <w:sz w:val="32"/>
          <w:szCs w:val="32"/>
          <w:rtl/>
        </w:rPr>
        <w:t>ل</w:t>
      </w:r>
      <w:r>
        <w:rPr>
          <w:rFonts w:hint="cs"/>
          <w:sz w:val="32"/>
          <w:szCs w:val="32"/>
          <w:rtl/>
        </w:rPr>
        <w:t xml:space="preserve">. </w:t>
      </w:r>
    </w:p>
    <w:p w:rsidR="00284270" w:rsidRDefault="00284270" w:rsidP="0022714B">
      <w:pPr>
        <w:ind w:left="2833" w:hanging="2266"/>
        <w:rPr>
          <w:sz w:val="32"/>
          <w:szCs w:val="32"/>
          <w:rtl/>
        </w:rPr>
      </w:pPr>
      <w:r>
        <w:rPr>
          <w:rFonts w:hint="cs"/>
          <w:sz w:val="32"/>
          <w:szCs w:val="32"/>
          <w:rtl/>
        </w:rPr>
        <w:t xml:space="preserve">             ق227 </w:t>
      </w:r>
      <w:r>
        <w:rPr>
          <w:sz w:val="32"/>
          <w:szCs w:val="32"/>
        </w:rPr>
        <w:tab/>
      </w:r>
      <w:r>
        <w:rPr>
          <w:rFonts w:hint="cs"/>
          <w:sz w:val="32"/>
          <w:szCs w:val="32"/>
          <w:rtl/>
        </w:rPr>
        <w:t xml:space="preserve">: المَعْرِفَةُ لاَ تَدْخُلُ تَحْتَ النَّكِرَةِ فِي </w:t>
      </w:r>
      <w:r>
        <w:rPr>
          <w:rFonts w:hint="cs"/>
          <w:b/>
          <w:bCs/>
          <w:sz w:val="32"/>
          <w:szCs w:val="32"/>
          <w:rtl/>
        </w:rPr>
        <w:t xml:space="preserve">الأَيْمَانِ </w:t>
      </w:r>
      <w:r>
        <w:rPr>
          <w:rFonts w:hint="cs"/>
          <w:sz w:val="32"/>
          <w:szCs w:val="32"/>
          <w:rtl/>
        </w:rPr>
        <w:t>إلاَّ مَعْرِفَةً فِي الجَزَاءِ.</w:t>
      </w:r>
    </w:p>
    <w:p w:rsidR="00284270" w:rsidRDefault="00284270">
      <w:pPr>
        <w:rPr>
          <w:sz w:val="32"/>
          <w:szCs w:val="32"/>
          <w:rtl/>
        </w:rPr>
      </w:pPr>
      <w:r>
        <w:rPr>
          <w:rFonts w:hint="cs"/>
          <w:sz w:val="32"/>
          <w:szCs w:val="32"/>
          <w:rtl/>
        </w:rPr>
        <w:tab/>
      </w:r>
      <w:r>
        <w:rPr>
          <w:rFonts w:hint="cs"/>
          <w:sz w:val="32"/>
          <w:szCs w:val="32"/>
          <w:rtl/>
        </w:rPr>
        <w:tab/>
      </w:r>
      <w:r>
        <w:rPr>
          <w:sz w:val="32"/>
          <w:szCs w:val="32"/>
        </w:rPr>
        <w:tab/>
      </w:r>
      <w:r>
        <w:rPr>
          <w:rFonts w:hint="cs"/>
          <w:sz w:val="32"/>
          <w:szCs w:val="32"/>
          <w:rtl/>
        </w:rPr>
        <w:t xml:space="preserve">ق265 </w:t>
      </w:r>
      <w:r>
        <w:rPr>
          <w:sz w:val="32"/>
          <w:szCs w:val="32"/>
        </w:rPr>
        <w:tab/>
      </w:r>
      <w:r>
        <w:rPr>
          <w:rFonts w:hint="cs"/>
          <w:sz w:val="32"/>
          <w:szCs w:val="32"/>
          <w:rtl/>
        </w:rPr>
        <w:tab/>
        <w:t xml:space="preserve">: </w:t>
      </w:r>
      <w:r>
        <w:rPr>
          <w:rFonts w:hint="cs"/>
          <w:b/>
          <w:bCs/>
          <w:sz w:val="32"/>
          <w:szCs w:val="32"/>
          <w:rtl/>
        </w:rPr>
        <w:t xml:space="preserve">اليَمِينُ </w:t>
      </w:r>
      <w:r>
        <w:rPr>
          <w:rFonts w:hint="cs"/>
          <w:sz w:val="32"/>
          <w:szCs w:val="32"/>
          <w:rtl/>
        </w:rPr>
        <w:t>أَبَدًا يَكُونُ عَلَى النَّفْيِ.</w:t>
      </w:r>
    </w:p>
    <w:p w:rsidR="00284270" w:rsidRDefault="00284270" w:rsidP="0022714B">
      <w:pPr>
        <w:ind w:left="2833" w:hanging="2266"/>
        <w:rPr>
          <w:sz w:val="32"/>
          <w:szCs w:val="32"/>
          <w:rtl/>
        </w:rPr>
      </w:pPr>
      <w:r>
        <w:rPr>
          <w:rFonts w:hint="cs"/>
          <w:b/>
          <w:bCs/>
          <w:sz w:val="32"/>
          <w:szCs w:val="32"/>
          <w:rtl/>
        </w:rPr>
        <w:t>يوم</w:t>
      </w:r>
      <w:r>
        <w:rPr>
          <w:rFonts w:hint="cs"/>
          <w:sz w:val="32"/>
          <w:szCs w:val="32"/>
          <w:rtl/>
        </w:rPr>
        <w:t xml:space="preserve">       : ق266 </w:t>
      </w:r>
      <w:r>
        <w:rPr>
          <w:sz w:val="32"/>
          <w:szCs w:val="32"/>
        </w:rPr>
        <w:tab/>
      </w:r>
      <w:r>
        <w:rPr>
          <w:rFonts w:hint="cs"/>
          <w:sz w:val="32"/>
          <w:szCs w:val="32"/>
          <w:rtl/>
        </w:rPr>
        <w:t xml:space="preserve">: </w:t>
      </w:r>
      <w:r>
        <w:rPr>
          <w:rFonts w:hint="cs"/>
          <w:b/>
          <w:bCs/>
          <w:sz w:val="32"/>
          <w:szCs w:val="32"/>
          <w:rtl/>
        </w:rPr>
        <w:t>يَوْمُ</w:t>
      </w:r>
      <w:r>
        <w:rPr>
          <w:rFonts w:hint="cs"/>
          <w:sz w:val="32"/>
          <w:szCs w:val="32"/>
          <w:rtl/>
        </w:rPr>
        <w:t xml:space="preserve"> المَوْتِ لاَ يَدْخُلُ تَحْتَ القَضَاءِ، بِخِلاَفِ </w:t>
      </w:r>
      <w:r>
        <w:rPr>
          <w:rFonts w:hint="cs"/>
          <w:b/>
          <w:bCs/>
          <w:sz w:val="32"/>
          <w:szCs w:val="32"/>
          <w:rtl/>
        </w:rPr>
        <w:t>يَوْمِ</w:t>
      </w:r>
      <w:r>
        <w:rPr>
          <w:rFonts w:hint="cs"/>
          <w:sz w:val="32"/>
          <w:szCs w:val="32"/>
          <w:rtl/>
        </w:rPr>
        <w:t xml:space="preserve"> القَتْلِ.</w:t>
      </w:r>
    </w:p>
    <w:p w:rsidR="00284270" w:rsidRDefault="00284270" w:rsidP="0022714B">
      <w:pPr>
        <w:rPr>
          <w:sz w:val="32"/>
          <w:szCs w:val="32"/>
          <w:rtl/>
        </w:rPr>
      </w:pPr>
      <w:r>
        <w:rPr>
          <w:rFonts w:hint="cs"/>
          <w:sz w:val="32"/>
          <w:szCs w:val="32"/>
          <w:rtl/>
        </w:rPr>
        <w:t xml:space="preserve"> </w:t>
      </w:r>
    </w:p>
    <w:p w:rsidR="00A66747" w:rsidRDefault="00A66747">
      <w:pPr>
        <w:rPr>
          <w:rtl/>
        </w:rPr>
      </w:pPr>
      <w:bookmarkStart w:id="0" w:name="_GoBack"/>
      <w:bookmarkEnd w:id="0"/>
    </w:p>
    <w:sectPr w:rsidR="00A66747" w:rsidSect="001C01FA">
      <w:headerReference w:type="default" r:id="rId329"/>
      <w:footnotePr>
        <w:pos w:val="beneathText"/>
        <w:numRestart w:val="eachPage"/>
      </w:footnotePr>
      <w:endnotePr>
        <w:numFmt w:val="decimal"/>
      </w:endnotePr>
      <w:pgSz w:w="11906" w:h="16838" w:code="9"/>
      <w:pgMar w:top="2268" w:right="1985" w:bottom="1418" w:left="1418" w:header="680" w:footer="851" w:gutter="284"/>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3D1" w:rsidRDefault="009C63D1" w:rsidP="00C74A2F">
      <w:r>
        <w:separator/>
      </w:r>
    </w:p>
  </w:endnote>
  <w:endnote w:type="continuationSeparator" w:id="0">
    <w:p w:rsidR="009C63D1" w:rsidRDefault="009C63D1" w:rsidP="00C74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Hotham">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AL-Mohanad">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Al-Kharashi 62">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l-Kharashi 66 Koufi">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Arabic11 BT">
    <w:charset w:val="B2"/>
    <w:family w:val="auto"/>
    <w:pitch w:val="variable"/>
    <w:sig w:usb0="00002001" w:usb1="00000000" w:usb2="00000000" w:usb3="00000000" w:csb0="00000040" w:csb1="00000000"/>
  </w:font>
  <w:font w:name="Jaridah">
    <w:charset w:val="B2"/>
    <w:family w:val="auto"/>
    <w:pitch w:val="variable"/>
    <w:sig w:usb0="00002001" w:usb1="00000000" w:usb2="00000000" w:usb3="00000000" w:csb0="00000040" w:csb1="00000000"/>
  </w:font>
  <w:font w:name="Al-Kharashi 63">
    <w:charset w:val="B2"/>
    <w:family w:val="auto"/>
    <w:pitch w:val="variable"/>
    <w:sig w:usb0="00002001" w:usb1="00000000" w:usb2="00000000" w:usb3="00000000" w:csb0="00000040" w:csb1="00000000"/>
  </w:font>
  <w:font w:name="HQPB3">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Mateen">
    <w:panose1 w:val="00000000000000000000"/>
    <w:charset w:val="B2"/>
    <w:family w:val="auto"/>
    <w:pitch w:val="variable"/>
    <w:sig w:usb0="00002001" w:usb1="00000000" w:usb2="00000000" w:usb3="00000000" w:csb0="0000004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DecoType Naskh">
    <w:panose1 w:val="02010400000000000000"/>
    <w:charset w:val="B2"/>
    <w:family w:val="auto"/>
    <w:pitch w:val="variable"/>
    <w:sig w:usb0="00002001" w:usb1="80000000" w:usb2="00000008" w:usb3="00000000" w:csb0="00000040" w:csb1="00000000"/>
  </w:font>
  <w:font w:name="Thick Naskh">
    <w:altName w:val="Tahoma"/>
    <w:charset w:val="B2"/>
    <w:family w:val="auto"/>
    <w:pitch w:val="variable"/>
    <w:sig w:usb0="00002001" w:usb1="00000000" w:usb2="00000000" w:usb3="00000000" w:csb0="00000040" w:csb1="00000000"/>
  </w:font>
  <w:font w:name="(TR) Naskh">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DecoType Naskh Special">
    <w:panose1 w:val="020100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9C5DD2">
    <w:pPr>
      <w:pStyle w:val="a4"/>
      <w:framePr w:wrap="around" w:vAnchor="text" w:hAnchor="text"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rsidP="009C5DD2">
    <w:pPr>
      <w:pStyle w:val="a4"/>
      <w:ind w:right="360"/>
      <w:rPr>
        <w:rtl/>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9C5DD2">
    <w:pPr>
      <w:pStyle w:val="a4"/>
      <w:ind w:right="360"/>
      <w:jc w:val="center"/>
      <w:rPr>
        <w:rStyle w:val="a5"/>
        <w:rtl/>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Pr="007053D6" w:rsidRDefault="00035BE3" w:rsidP="00C10469">
    <w:pPr>
      <w:pStyle w:val="a4"/>
      <w:rPr>
        <w:rStyle w:val="a5"/>
        <w:bCs w:val="0"/>
        <w:szCs w:val="20"/>
        <w:rtl/>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Pr="007053D6" w:rsidRDefault="00035BE3" w:rsidP="00C10469">
    <w:pPr>
      <w:pStyle w:val="a4"/>
      <w:rPr>
        <w:rStyle w:val="a5"/>
        <w:bCs w:val="0"/>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b/>
        <w:rt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jc w:val="center"/>
      <w:rPr>
        <w:rStyle w:val="a5"/>
        <w:rtl/>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35BE3" w:rsidRDefault="00035BE3">
    <w:pPr>
      <w:pStyle w:val="a4"/>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3D1" w:rsidRDefault="009C63D1" w:rsidP="00C74A2F">
      <w:r>
        <w:separator/>
      </w:r>
    </w:p>
  </w:footnote>
  <w:footnote w:type="continuationSeparator" w:id="0">
    <w:p w:rsidR="009C63D1" w:rsidRDefault="009C63D1" w:rsidP="00C74A2F">
      <w:r>
        <w:continuationSeparator/>
      </w:r>
    </w:p>
  </w:footnote>
  <w:footnote w:id="1">
    <w:p w:rsidR="00035BE3" w:rsidRDefault="00035BE3" w:rsidP="00261DC8">
      <w:pPr>
        <w:pStyle w:val="a8"/>
        <w:bidi/>
        <w:ind w:left="315" w:right="0" w:hanging="316"/>
        <w:rPr>
          <w:rtl/>
        </w:rPr>
      </w:pPr>
      <w:r>
        <w:rPr>
          <w:vertAlign w:val="superscript"/>
          <w:rtl/>
        </w:rPr>
        <w:t>(</w:t>
      </w:r>
      <w:r>
        <w:rPr>
          <w:rStyle w:val="a7"/>
          <w:rtl/>
        </w:rPr>
        <w:footnoteRef/>
      </w:r>
      <w:r>
        <w:rPr>
          <w:vertAlign w:val="superscript"/>
          <w:rtl/>
        </w:rPr>
        <w:t>)</w:t>
      </w:r>
      <w:r>
        <w:rPr>
          <w:rFonts w:hint="cs"/>
          <w:rtl/>
        </w:rPr>
        <w:t xml:space="preserve">  هذه الافتتاحية مقتبسـة من حديث شريف، أخرجه الإمام مسلم، كتاب الـجمعة، باب تخفيف الصلاة  </w:t>
      </w:r>
      <w:r>
        <w:rPr>
          <w:rFonts w:hint="cs"/>
          <w:rtl/>
        </w:rPr>
        <w:br/>
        <w:t xml:space="preserve"> والخطبة، 2/593، ح 868.</w:t>
      </w:r>
      <w:r>
        <w:rPr>
          <w:rtl/>
        </w:rPr>
        <w:t xml:space="preserve"> </w:t>
      </w:r>
    </w:p>
  </w:footnote>
  <w:footnote w:id="2">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أنوار البروق في أنواء الفروق، 1/3.</w:t>
      </w:r>
      <w:r>
        <w:rPr>
          <w:rtl/>
        </w:rPr>
        <w:t xml:space="preserve"> </w:t>
      </w:r>
    </w:p>
  </w:footnote>
  <w:footnote w:id="3">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تقرير القواعد وتحرير الفوائد، 1/ 4.</w:t>
      </w:r>
      <w:r>
        <w:rPr>
          <w:rtl/>
        </w:rPr>
        <w:t xml:space="preserve"> </w:t>
      </w:r>
    </w:p>
  </w:footnote>
  <w:footnote w:id="4">
    <w:p w:rsidR="00035BE3" w:rsidRDefault="00035BE3" w:rsidP="00261DC8">
      <w:pPr>
        <w:pStyle w:val="a8"/>
        <w:bidi/>
        <w:spacing w:line="420" w:lineRule="exact"/>
        <w:ind w:left="566" w:right="0" w:hanging="567"/>
        <w:rPr>
          <w:rtl/>
        </w:rPr>
      </w:pPr>
      <w:r>
        <w:rPr>
          <w:vertAlign w:val="superscript"/>
          <w:rtl/>
        </w:rPr>
        <w:t>(</w:t>
      </w:r>
      <w:r>
        <w:rPr>
          <w:rStyle w:val="a7"/>
          <w:sz w:val="28"/>
          <w:rtl/>
        </w:rPr>
        <w:footnoteRef/>
      </w:r>
      <w:r>
        <w:rPr>
          <w:vertAlign w:val="superscript"/>
          <w:rtl/>
        </w:rPr>
        <w:t>)</w:t>
      </w:r>
      <w:r>
        <w:rPr>
          <w:rFonts w:hint="cs"/>
          <w:rtl/>
        </w:rPr>
        <w:t xml:space="preserve">   الأشباه والنظائر، 1/56-57.</w:t>
      </w:r>
      <w:r>
        <w:rPr>
          <w:rtl/>
        </w:rPr>
        <w:t xml:space="preserve"> </w:t>
      </w:r>
    </w:p>
  </w:footnote>
  <w:footnote w:id="5">
    <w:p w:rsidR="00035BE3" w:rsidRDefault="00035BE3" w:rsidP="00261DC8">
      <w:pPr>
        <w:pStyle w:val="a8"/>
        <w:bidi/>
        <w:spacing w:line="420" w:lineRule="exact"/>
        <w:ind w:left="566" w:right="0" w:hanging="567"/>
        <w:rPr>
          <w:rtl/>
        </w:rPr>
      </w:pPr>
      <w:r>
        <w:rPr>
          <w:vertAlign w:val="superscript"/>
          <w:rtl/>
        </w:rPr>
        <w:t>(</w:t>
      </w:r>
      <w:r>
        <w:rPr>
          <w:rStyle w:val="a7"/>
          <w:sz w:val="28"/>
          <w:rtl/>
        </w:rPr>
        <w:footnoteRef/>
      </w:r>
      <w:r>
        <w:rPr>
          <w:vertAlign w:val="superscript"/>
          <w:rtl/>
        </w:rPr>
        <w:t>)</w:t>
      </w:r>
      <w:r>
        <w:rPr>
          <w:rFonts w:hint="cs"/>
          <w:rtl/>
        </w:rPr>
        <w:t xml:space="preserve">  </w:t>
      </w:r>
      <w:r>
        <w:rPr>
          <w:rtl/>
        </w:rPr>
        <w:t xml:space="preserve"> </w:t>
      </w:r>
      <w:r>
        <w:rPr>
          <w:rFonts w:hint="cs"/>
          <w:rtl/>
        </w:rPr>
        <w:t>الأشباه والنظائر، ص 14.</w:t>
      </w:r>
    </w:p>
  </w:footnote>
  <w:footnote w:id="6">
    <w:p w:rsidR="00035BE3" w:rsidRDefault="00035BE3" w:rsidP="00261DC8">
      <w:pPr>
        <w:pStyle w:val="a8"/>
        <w:bidi/>
        <w:spacing w:line="420" w:lineRule="exact"/>
        <w:ind w:left="455" w:right="0" w:hanging="456"/>
        <w:rPr>
          <w:rtl/>
        </w:rPr>
      </w:pPr>
      <w:r>
        <w:rPr>
          <w:vertAlign w:val="superscript"/>
          <w:rtl/>
        </w:rPr>
        <w:t>(</w:t>
      </w:r>
      <w:r>
        <w:rPr>
          <w:rStyle w:val="a7"/>
          <w:sz w:val="28"/>
          <w:rtl/>
        </w:rPr>
        <w:footnoteRef/>
      </w:r>
      <w:r>
        <w:rPr>
          <w:vertAlign w:val="superscript"/>
          <w:rtl/>
        </w:rPr>
        <w:t>)</w:t>
      </w:r>
      <w:r>
        <w:rPr>
          <w:rFonts w:hint="cs"/>
          <w:rtl/>
        </w:rPr>
        <w:t xml:space="preserve">  ذكر منها صاحب كشف الظنون 14 مصنفًا، وزاد عليها محمد مطيع الحافظ فأوصلها إلى 27 مصنفًا، وزاد عليها د. علي الندوي فأوصلها إلى 32 مصنفًا، كما أحصى منها شيخنا د. يعقوب الباحسين 43 مصنفًا.</w:t>
      </w:r>
    </w:p>
    <w:p w:rsidR="00035BE3" w:rsidRDefault="00035BE3" w:rsidP="00261DC8">
      <w:pPr>
        <w:pStyle w:val="a6"/>
        <w:spacing w:line="420" w:lineRule="exact"/>
        <w:ind w:left="455" w:hanging="456"/>
        <w:rPr>
          <w:spacing w:val="-10"/>
          <w:rtl/>
        </w:rPr>
      </w:pPr>
      <w:r>
        <w:rPr>
          <w:rFonts w:hint="cs"/>
          <w:spacing w:val="-10"/>
          <w:rtl/>
        </w:rPr>
        <w:tab/>
        <w:t xml:space="preserve">انظر: كشف الظنون، 1/98-100؛ مقدمة محقق (الأشباه والنظائر) لا بن نجيم (طبعة دار الفكر)، 10-14؛ القواعد الفقهية للدكتور علي الندوي؛ ص 471-475؛ ولشيخنا د. يعقوب الباحسين، ص 360-370. </w:t>
      </w:r>
      <w:r>
        <w:rPr>
          <w:spacing w:val="-10"/>
          <w:rtl/>
        </w:rPr>
        <w:t xml:space="preserve"> </w:t>
      </w:r>
    </w:p>
  </w:footnote>
  <w:footnote w:id="7">
    <w:p w:rsidR="00035BE3" w:rsidRDefault="00035BE3" w:rsidP="00261DC8">
      <w:pPr>
        <w:pStyle w:val="a8"/>
        <w:bidi/>
        <w:spacing w:line="420" w:lineRule="exact"/>
        <w:ind w:left="566" w:right="0" w:hanging="567"/>
        <w:rPr>
          <w:rtl/>
        </w:rPr>
      </w:pPr>
      <w:r>
        <w:rPr>
          <w:vertAlign w:val="superscript"/>
          <w:rtl/>
        </w:rPr>
        <w:t>(</w:t>
      </w:r>
      <w:r>
        <w:rPr>
          <w:rStyle w:val="a7"/>
          <w:sz w:val="28"/>
          <w:rtl/>
        </w:rPr>
        <w:footnoteRef/>
      </w:r>
      <w:r>
        <w:rPr>
          <w:vertAlign w:val="superscript"/>
          <w:rtl/>
        </w:rPr>
        <w:t>)</w:t>
      </w:r>
      <w:r>
        <w:rPr>
          <w:rFonts w:hint="cs"/>
          <w:rtl/>
        </w:rPr>
        <w:t xml:space="preserve">   غمز عيون البصائر، 1/ 5-6.</w:t>
      </w:r>
      <w:r>
        <w:rPr>
          <w:rtl/>
        </w:rPr>
        <w:t xml:space="preserve"> </w:t>
      </w:r>
    </w:p>
  </w:footnote>
  <w:footnote w:id="8">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انظر منه: ص 14. </w:t>
      </w:r>
      <w:r>
        <w:rPr>
          <w:rtl/>
        </w:rPr>
        <w:t xml:space="preserve"> </w:t>
      </w:r>
    </w:p>
  </w:footnote>
  <w:footnote w:id="9">
    <w:p w:rsidR="00035BE3" w:rsidRDefault="00035BE3" w:rsidP="00261DC8">
      <w:pPr>
        <w:pStyle w:val="a8"/>
        <w:bidi/>
        <w:ind w:left="424" w:right="0" w:hanging="425"/>
        <w:rPr>
          <w:rtl/>
        </w:rPr>
      </w:pPr>
      <w:r>
        <w:rPr>
          <w:vertAlign w:val="superscript"/>
          <w:rtl/>
        </w:rPr>
        <w:t>(</w:t>
      </w:r>
      <w:r>
        <w:rPr>
          <w:rStyle w:val="a7"/>
          <w:sz w:val="28"/>
          <w:rtl/>
        </w:rPr>
        <w:footnoteRef/>
      </w:r>
      <w:r>
        <w:rPr>
          <w:vertAlign w:val="superscript"/>
          <w:rtl/>
        </w:rPr>
        <w:t>)</w:t>
      </w:r>
      <w:r>
        <w:rPr>
          <w:rFonts w:hint="cs"/>
          <w:rtl/>
        </w:rPr>
        <w:t xml:space="preserve">   القواعد الفقهية للدكتور علي الندوي، ص 170. </w:t>
      </w:r>
      <w:r>
        <w:rPr>
          <w:rtl/>
        </w:rPr>
        <w:t xml:space="preserve"> </w:t>
      </w:r>
    </w:p>
  </w:footnote>
  <w:footnote w:id="10">
    <w:p w:rsidR="00035BE3" w:rsidRDefault="00035BE3" w:rsidP="00261DC8">
      <w:pPr>
        <w:pStyle w:val="a8"/>
        <w:bidi/>
        <w:ind w:left="424" w:right="0" w:hanging="425"/>
        <w:rPr>
          <w:rtl/>
        </w:rPr>
      </w:pPr>
      <w:r>
        <w:rPr>
          <w:vertAlign w:val="superscript"/>
          <w:rtl/>
        </w:rPr>
        <w:t>(</w:t>
      </w:r>
      <w:r>
        <w:rPr>
          <w:rStyle w:val="a7"/>
          <w:sz w:val="28"/>
          <w:rtl/>
        </w:rPr>
        <w:footnoteRef/>
      </w:r>
      <w:r>
        <w:rPr>
          <w:vertAlign w:val="superscript"/>
          <w:rtl/>
        </w:rPr>
        <w:t>)</w:t>
      </w:r>
      <w:r>
        <w:rPr>
          <w:rFonts w:hint="cs"/>
          <w:rtl/>
        </w:rPr>
        <w:t xml:space="preserve">   انظر: مقدمة تحقيق د. أحمد بن حميد لقواعد المقـّري، 1/126؛ القواعد الفقهية لشيخنا د. يعقوب الباحسين، ص 359. </w:t>
      </w:r>
      <w:r>
        <w:rPr>
          <w:rtl/>
        </w:rPr>
        <w:t xml:space="preserve"> </w:t>
      </w:r>
    </w:p>
  </w:footnote>
  <w:footnote w:id="11">
    <w:p w:rsidR="00035BE3" w:rsidRDefault="00035BE3" w:rsidP="00261DC8">
      <w:pPr>
        <w:pStyle w:val="a8"/>
        <w:bidi/>
        <w:ind w:left="424" w:right="0" w:hanging="425"/>
        <w:rPr>
          <w:rtl/>
        </w:rPr>
      </w:pPr>
      <w:r>
        <w:rPr>
          <w:vertAlign w:val="superscript"/>
          <w:rtl/>
        </w:rPr>
        <w:t>(</w:t>
      </w:r>
      <w:r>
        <w:rPr>
          <w:rStyle w:val="a7"/>
          <w:sz w:val="28"/>
          <w:rtl/>
        </w:rPr>
        <w:footnoteRef/>
      </w:r>
      <w:r>
        <w:rPr>
          <w:vertAlign w:val="superscript"/>
          <w:rtl/>
        </w:rPr>
        <w:t>)</w:t>
      </w:r>
      <w:r>
        <w:rPr>
          <w:rFonts w:hint="cs"/>
          <w:rtl/>
        </w:rPr>
        <w:t xml:space="preserve">  وتمام عبارة ابن نجيم:</w:t>
      </w:r>
      <w:r>
        <w:rPr>
          <w:rFonts w:hint="eastAsia"/>
          <w:rtl/>
          <w:lang w:eastAsia="en-GB"/>
        </w:rPr>
        <w:t xml:space="preserve"> «</w:t>
      </w:r>
      <w:r>
        <w:rPr>
          <w:rFonts w:hint="cs"/>
          <w:rtl/>
          <w:lang w:eastAsia="en-GB"/>
        </w:rPr>
        <w:t>.</w:t>
      </w:r>
      <w:r>
        <w:rPr>
          <w:rFonts w:hint="cs"/>
          <w:rtl/>
        </w:rPr>
        <w:t xml:space="preserve">..وهو فن الفروق، ذكرت فيها من كل باب شيئًا، جمعتها من فروق الإمام الكرابيسي المسمى بتلقيح المحبوبي </w:t>
      </w:r>
      <w:r>
        <w:rPr>
          <w:rFonts w:hint="eastAsia"/>
          <w:rtl/>
          <w:lang w:eastAsia="en-GB"/>
        </w:rPr>
        <w:t>»</w:t>
      </w:r>
      <w:r>
        <w:rPr>
          <w:rFonts w:hint="cs"/>
          <w:rtl/>
        </w:rPr>
        <w:t xml:space="preserve"> (ص 455).</w:t>
      </w:r>
    </w:p>
    <w:p w:rsidR="00035BE3" w:rsidRDefault="00035BE3" w:rsidP="00261DC8">
      <w:pPr>
        <w:pStyle w:val="a6"/>
        <w:ind w:left="424" w:hanging="425"/>
        <w:rPr>
          <w:rtl/>
        </w:rPr>
      </w:pPr>
      <w:r>
        <w:rPr>
          <w:rFonts w:hint="cs"/>
          <w:rtl/>
        </w:rPr>
        <w:tab/>
        <w:t xml:space="preserve">ويشكل هنا أن الكرابيسي غير المحبوبي، وكل منهما له كتاب مستقل ومحقق في الفروق (انظر: كشف الظنون، 2/1257؛ مقدمة تحقيق د. محمد طموم لفروق الكرابيسي، 8-10؛ مقدمة تحقيق د. عمر </w:t>
      </w:r>
      <w:r>
        <w:rPr>
          <w:rtl/>
        </w:rPr>
        <w:br/>
      </w:r>
      <w:r>
        <w:rPr>
          <w:rFonts w:hint="cs"/>
          <w:rtl/>
        </w:rPr>
        <w:t>السبيل لإيضاح الدلائل، 1/28-29؛ مقدمة تحقيق د. أبو الأجفان وأبو فارس لفروق أبي الفضل مسلم الدمشقي، ص 37)، ومما يزيد الأمر إشكالاً أن البغدادي في -هدية العارفين، 1/204- نسب تلقيح العقود -كذا بالدال- إلى الكرابيسي.</w:t>
      </w:r>
    </w:p>
    <w:p w:rsidR="00035BE3" w:rsidRDefault="00035BE3" w:rsidP="00261DC8">
      <w:pPr>
        <w:pStyle w:val="a6"/>
        <w:ind w:left="424" w:hanging="425"/>
        <w:rPr>
          <w:rtl/>
        </w:rPr>
      </w:pPr>
      <w:r>
        <w:rPr>
          <w:rFonts w:hint="cs"/>
          <w:rtl/>
        </w:rPr>
        <w:tab/>
        <w:t>وقد دفع صاحبُ غمز عيون البصائر-4/284- هذا الإشكال عند تعليقه على كلام ابن نجيم الآنف الذكر بقوله:</w:t>
      </w:r>
      <w:r>
        <w:rPr>
          <w:rFonts w:hint="eastAsia"/>
          <w:rtl/>
          <w:lang w:eastAsia="en-GB"/>
        </w:rPr>
        <w:t xml:space="preserve"> «</w:t>
      </w:r>
      <w:r>
        <w:rPr>
          <w:rFonts w:hint="cs"/>
          <w:rtl/>
        </w:rPr>
        <w:t xml:space="preserve"> أقول: الصواب:( ومن فروق المحبوبي المسمى بتلقيح المحبوبي)، فإنهما كتابان لا كتاب واحد، ودعوى أنه اشتبه عليه أحد الكتابين بالآخر بعيد جدًّا، غاية ما في الباب أنه وقع سهوًا من قلم الناسخ الأول؛ لسقوط ما ذكرنا أنه الصواب </w:t>
      </w:r>
      <w:r>
        <w:rPr>
          <w:rFonts w:hint="eastAsia"/>
          <w:rtl/>
          <w:lang w:eastAsia="en-GB"/>
        </w:rPr>
        <w:t>»</w:t>
      </w:r>
      <w:r>
        <w:rPr>
          <w:rFonts w:hint="cs"/>
          <w:rtl/>
        </w:rPr>
        <w:t>.</w:t>
      </w:r>
    </w:p>
  </w:footnote>
  <w:footnote w:id="12">
    <w:p w:rsidR="00035BE3" w:rsidRDefault="00035BE3" w:rsidP="00261DC8">
      <w:pPr>
        <w:pStyle w:val="a8"/>
        <w:bidi/>
        <w:ind w:left="424" w:right="0" w:hanging="425"/>
        <w:rPr>
          <w:rtl/>
        </w:rPr>
      </w:pPr>
      <w:r>
        <w:rPr>
          <w:vertAlign w:val="superscript"/>
          <w:rtl/>
        </w:rPr>
        <w:t>(</w:t>
      </w:r>
      <w:r>
        <w:rPr>
          <w:rStyle w:val="a7"/>
          <w:sz w:val="28"/>
          <w:rtl/>
        </w:rPr>
        <w:footnoteRef/>
      </w:r>
      <w:r>
        <w:rPr>
          <w:vertAlign w:val="superscript"/>
          <w:rtl/>
        </w:rPr>
        <w:t>)</w:t>
      </w:r>
      <w:r>
        <w:rPr>
          <w:rFonts w:hint="cs"/>
          <w:rtl/>
        </w:rPr>
        <w:t xml:space="preserve">   انظر منه: ص 431، 455. </w:t>
      </w:r>
      <w:r>
        <w:rPr>
          <w:rtl/>
        </w:rPr>
        <w:t xml:space="preserve"> </w:t>
      </w:r>
    </w:p>
  </w:footnote>
  <w:footnote w:id="13">
    <w:p w:rsidR="00035BE3" w:rsidRDefault="00035BE3" w:rsidP="00261DC8">
      <w:pPr>
        <w:pStyle w:val="a8"/>
        <w:bidi/>
        <w:ind w:left="424" w:right="0" w:hanging="425"/>
        <w:rPr>
          <w:rtl/>
        </w:rPr>
      </w:pPr>
      <w:r>
        <w:rPr>
          <w:vertAlign w:val="superscript"/>
          <w:rtl/>
        </w:rPr>
        <w:t>(</w:t>
      </w:r>
      <w:r>
        <w:rPr>
          <w:rStyle w:val="a7"/>
          <w:sz w:val="28"/>
          <w:rtl/>
        </w:rPr>
        <w:footnoteRef/>
      </w:r>
      <w:r>
        <w:rPr>
          <w:vertAlign w:val="superscript"/>
          <w:rtl/>
        </w:rPr>
        <w:t>)</w:t>
      </w:r>
      <w:r>
        <w:rPr>
          <w:rFonts w:hint="cs"/>
          <w:rtl/>
        </w:rPr>
        <w:t xml:space="preserve">   انظر: كشف الظنون، 1/99. </w:t>
      </w:r>
      <w:r>
        <w:rPr>
          <w:rtl/>
        </w:rPr>
        <w:t xml:space="preserve"> </w:t>
      </w:r>
    </w:p>
  </w:footnote>
  <w:footnote w:id="14">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القواعد الفقهية لـِ د. علي الندوي، ص 170. </w:t>
      </w:r>
      <w:r>
        <w:rPr>
          <w:rtl/>
        </w:rPr>
        <w:t xml:space="preserve"> </w:t>
      </w:r>
    </w:p>
  </w:footnote>
  <w:footnote w:id="15">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انظر: رد المحتار شرح الدر المختار، 1/170؛ القواعد الفقهية لـِ د. علي الندوي، ص 175-176.  </w:t>
      </w:r>
      <w:r>
        <w:rPr>
          <w:rtl/>
        </w:rPr>
        <w:t xml:space="preserve"> </w:t>
      </w:r>
    </w:p>
  </w:footnote>
  <w:footnote w:id="16">
    <w:p w:rsidR="00035BE3" w:rsidRPr="005679C1" w:rsidRDefault="00035BE3" w:rsidP="00261DC8">
      <w:pPr>
        <w:pStyle w:val="a8"/>
        <w:bidi/>
        <w:ind w:left="566" w:right="0" w:hanging="567"/>
        <w:rPr>
          <w:sz w:val="30"/>
          <w:szCs w:val="30"/>
          <w:rtl/>
        </w:rPr>
      </w:pPr>
      <w:r w:rsidRPr="005679C1">
        <w:rPr>
          <w:sz w:val="30"/>
          <w:szCs w:val="30"/>
          <w:vertAlign w:val="superscript"/>
          <w:rtl/>
        </w:rPr>
        <w:t>(</w:t>
      </w:r>
      <w:r w:rsidRPr="005679C1">
        <w:rPr>
          <w:rStyle w:val="a7"/>
          <w:sz w:val="30"/>
          <w:szCs w:val="30"/>
          <w:rtl/>
        </w:rPr>
        <w:footnoteRef/>
      </w:r>
      <w:r w:rsidRPr="005679C1">
        <w:rPr>
          <w:sz w:val="30"/>
          <w:szCs w:val="30"/>
          <w:vertAlign w:val="superscript"/>
          <w:rtl/>
        </w:rPr>
        <w:t>)</w:t>
      </w:r>
      <w:r>
        <w:rPr>
          <w:rFonts w:hint="cs"/>
          <w:sz w:val="30"/>
          <w:szCs w:val="30"/>
          <w:rtl/>
        </w:rPr>
        <w:t xml:space="preserve">   </w:t>
      </w:r>
      <w:r w:rsidRPr="005679C1">
        <w:rPr>
          <w:rFonts w:hint="cs"/>
          <w:sz w:val="30"/>
          <w:szCs w:val="30"/>
          <w:rtl/>
        </w:rPr>
        <w:t>سوف يأتي تفصيل هذه المزيّة، وبيان مزايا أُخر عند الحديث عن منهج الكتاب، ومحاسنه، ومن استفاد منه، ص64، 112</w:t>
      </w:r>
      <w:r>
        <w:rPr>
          <w:rFonts w:hint="cs"/>
          <w:sz w:val="30"/>
          <w:szCs w:val="30"/>
          <w:rtl/>
        </w:rPr>
        <w:t>،</w:t>
      </w:r>
      <w:r w:rsidRPr="005679C1">
        <w:rPr>
          <w:rFonts w:hint="cs"/>
          <w:sz w:val="30"/>
          <w:szCs w:val="30"/>
          <w:rtl/>
        </w:rPr>
        <w:t xml:space="preserve"> 100. </w:t>
      </w:r>
    </w:p>
  </w:footnote>
  <w:footnote w:id="17">
    <w:p w:rsidR="00035BE3" w:rsidRPr="005679C1" w:rsidRDefault="00035BE3" w:rsidP="00261DC8">
      <w:pPr>
        <w:pStyle w:val="a8"/>
        <w:bidi/>
        <w:ind w:left="566" w:right="0" w:hanging="567"/>
        <w:rPr>
          <w:sz w:val="30"/>
          <w:szCs w:val="30"/>
          <w:rtl/>
        </w:rPr>
      </w:pPr>
      <w:r w:rsidRPr="005679C1">
        <w:rPr>
          <w:sz w:val="30"/>
          <w:szCs w:val="30"/>
          <w:vertAlign w:val="superscript"/>
          <w:rtl/>
        </w:rPr>
        <w:t>(</w:t>
      </w:r>
      <w:r w:rsidRPr="005679C1">
        <w:rPr>
          <w:rStyle w:val="a7"/>
          <w:sz w:val="30"/>
          <w:szCs w:val="30"/>
          <w:rtl/>
        </w:rPr>
        <w:footnoteRef/>
      </w:r>
      <w:r w:rsidRPr="005679C1">
        <w:rPr>
          <w:sz w:val="30"/>
          <w:szCs w:val="30"/>
          <w:vertAlign w:val="superscript"/>
          <w:rtl/>
        </w:rPr>
        <w:t>)</w:t>
      </w:r>
      <w:r>
        <w:rPr>
          <w:rFonts w:hint="cs"/>
          <w:sz w:val="30"/>
          <w:szCs w:val="30"/>
          <w:rtl/>
        </w:rPr>
        <w:t xml:space="preserve">   </w:t>
      </w:r>
      <w:r w:rsidRPr="005679C1">
        <w:rPr>
          <w:rFonts w:hint="cs"/>
          <w:sz w:val="30"/>
          <w:szCs w:val="30"/>
          <w:rtl/>
        </w:rPr>
        <w:t>لا شكّ أن بدر الدين الزركشي الشافعي (ت794) -</w:t>
      </w:r>
      <w:r>
        <w:rPr>
          <w:rFonts w:hint="eastAsia"/>
          <w:sz w:val="30"/>
          <w:szCs w:val="30"/>
          <w:rtl/>
        </w:rPr>
        <w:t> </w:t>
      </w:r>
      <w:r w:rsidRPr="005679C1">
        <w:rPr>
          <w:rFonts w:hint="cs"/>
          <w:sz w:val="30"/>
          <w:szCs w:val="30"/>
          <w:rtl/>
        </w:rPr>
        <w:t>صاحب (المنثور في القواعد)- سبق المؤلف في ترتيب القواعد  على حسب حروف المعجم</w:t>
      </w:r>
      <w:r>
        <w:rPr>
          <w:rFonts w:hint="cs"/>
          <w:sz w:val="30"/>
          <w:szCs w:val="30"/>
          <w:rtl/>
        </w:rPr>
        <w:t>،</w:t>
      </w:r>
      <w:r w:rsidRPr="005679C1">
        <w:rPr>
          <w:rFonts w:hint="cs"/>
          <w:sz w:val="30"/>
          <w:szCs w:val="30"/>
          <w:rtl/>
        </w:rPr>
        <w:t xml:space="preserve"> إلا أن الزركشي يُدخل تحت الحرف الواحد كثيرًا من الموضوعات التي تبدأ بذلك الحرف، وليست قواعد مثل</w:t>
      </w:r>
      <w:r>
        <w:rPr>
          <w:rFonts w:hint="cs"/>
          <w:sz w:val="30"/>
          <w:szCs w:val="30"/>
          <w:rtl/>
        </w:rPr>
        <w:t>:</w:t>
      </w:r>
      <w:r w:rsidRPr="005679C1">
        <w:rPr>
          <w:rFonts w:hint="cs"/>
          <w:sz w:val="30"/>
          <w:szCs w:val="30"/>
          <w:rtl/>
        </w:rPr>
        <w:t>( الإباحة</w:t>
      </w:r>
      <w:r>
        <w:rPr>
          <w:rFonts w:hint="cs"/>
          <w:sz w:val="30"/>
          <w:szCs w:val="30"/>
          <w:rtl/>
        </w:rPr>
        <w:t>،</w:t>
      </w:r>
      <w:r w:rsidRPr="005679C1">
        <w:rPr>
          <w:rFonts w:hint="cs"/>
          <w:sz w:val="30"/>
          <w:szCs w:val="30"/>
          <w:rtl/>
        </w:rPr>
        <w:t xml:space="preserve"> الأبنية</w:t>
      </w:r>
      <w:r>
        <w:rPr>
          <w:rFonts w:hint="cs"/>
          <w:sz w:val="30"/>
          <w:szCs w:val="30"/>
          <w:rtl/>
        </w:rPr>
        <w:t>،</w:t>
      </w:r>
      <w:r w:rsidRPr="005679C1">
        <w:rPr>
          <w:rFonts w:hint="cs"/>
          <w:sz w:val="30"/>
          <w:szCs w:val="30"/>
          <w:rtl/>
        </w:rPr>
        <w:t xml:space="preserve"> الأذان</w:t>
      </w:r>
      <w:r>
        <w:rPr>
          <w:rFonts w:hint="cs"/>
          <w:sz w:val="30"/>
          <w:szCs w:val="30"/>
          <w:rtl/>
        </w:rPr>
        <w:t>،</w:t>
      </w:r>
      <w:r w:rsidRPr="005679C1">
        <w:rPr>
          <w:rFonts w:hint="cs"/>
          <w:sz w:val="30"/>
          <w:szCs w:val="30"/>
          <w:rtl/>
        </w:rPr>
        <w:t xml:space="preserve"> الإكراه</w:t>
      </w:r>
      <w:r>
        <w:rPr>
          <w:rFonts w:hint="cs"/>
          <w:sz w:val="30"/>
          <w:szCs w:val="30"/>
          <w:rtl/>
        </w:rPr>
        <w:t>.</w:t>
      </w:r>
      <w:r w:rsidRPr="005679C1">
        <w:rPr>
          <w:rFonts w:hint="cs"/>
          <w:sz w:val="30"/>
          <w:szCs w:val="30"/>
          <w:rtl/>
        </w:rPr>
        <w:t>.).</w:t>
      </w:r>
    </w:p>
    <w:p w:rsidR="00035BE3" w:rsidRPr="005679C1" w:rsidRDefault="00035BE3" w:rsidP="00261DC8">
      <w:pPr>
        <w:pStyle w:val="a6"/>
        <w:ind w:left="566" w:firstLine="0"/>
        <w:rPr>
          <w:sz w:val="30"/>
          <w:rtl/>
        </w:rPr>
      </w:pPr>
      <w:r w:rsidRPr="005679C1">
        <w:rPr>
          <w:rFonts w:hint="cs"/>
          <w:sz w:val="30"/>
          <w:rtl/>
        </w:rPr>
        <w:t>فهذه الموضوعات ذكرها تحت الألف</w:t>
      </w:r>
      <w:r>
        <w:rPr>
          <w:rFonts w:hint="cs"/>
          <w:sz w:val="30"/>
          <w:rtl/>
        </w:rPr>
        <w:t>،</w:t>
      </w:r>
      <w:r w:rsidRPr="005679C1">
        <w:rPr>
          <w:rFonts w:hint="cs"/>
          <w:sz w:val="30"/>
          <w:rtl/>
        </w:rPr>
        <w:t xml:space="preserve"> وهي ليست قواعد.</w:t>
      </w:r>
    </w:p>
    <w:p w:rsidR="00035BE3" w:rsidRPr="005679C1" w:rsidRDefault="00035BE3" w:rsidP="00261DC8">
      <w:pPr>
        <w:pStyle w:val="a6"/>
        <w:ind w:left="566" w:firstLine="0"/>
        <w:rPr>
          <w:sz w:val="30"/>
          <w:rtl/>
        </w:rPr>
      </w:pPr>
      <w:r w:rsidRPr="005679C1">
        <w:rPr>
          <w:rFonts w:hint="cs"/>
          <w:sz w:val="30"/>
          <w:rtl/>
        </w:rPr>
        <w:t>بخلاف ناظر زاده</w:t>
      </w:r>
      <w:r>
        <w:rPr>
          <w:rFonts w:hint="cs"/>
          <w:sz w:val="30"/>
          <w:rtl/>
        </w:rPr>
        <w:t>،</w:t>
      </w:r>
      <w:r w:rsidRPr="005679C1">
        <w:rPr>
          <w:rFonts w:hint="cs"/>
          <w:sz w:val="30"/>
          <w:rtl/>
        </w:rPr>
        <w:t xml:space="preserve"> فإنه لا يذكر تحت الألف -مثلاً- إلا قواعد تبدأ بحرف الألف، وهكذا. </w:t>
      </w:r>
    </w:p>
    <w:p w:rsidR="00035BE3" w:rsidRPr="005679C1" w:rsidRDefault="00035BE3" w:rsidP="00261DC8">
      <w:pPr>
        <w:pStyle w:val="a6"/>
        <w:ind w:left="566" w:firstLine="0"/>
        <w:rPr>
          <w:sz w:val="30"/>
          <w:rtl/>
        </w:rPr>
      </w:pPr>
      <w:r w:rsidRPr="005679C1">
        <w:rPr>
          <w:rFonts w:hint="cs"/>
          <w:sz w:val="30"/>
          <w:rtl/>
        </w:rPr>
        <w:t>هذا وجه الاختلاف بينهما من جهة الترتيب، أما من جهة المادة العلمية فهما متباينان تمامًا.</w:t>
      </w:r>
    </w:p>
  </w:footnote>
  <w:footnote w:id="18">
    <w:p w:rsidR="00035BE3" w:rsidRPr="005679C1" w:rsidRDefault="00035BE3" w:rsidP="00261DC8">
      <w:pPr>
        <w:pStyle w:val="a8"/>
        <w:bidi/>
        <w:ind w:left="566" w:right="0" w:hanging="567"/>
        <w:rPr>
          <w:sz w:val="30"/>
          <w:szCs w:val="30"/>
          <w:rtl/>
        </w:rPr>
      </w:pPr>
      <w:r w:rsidRPr="005679C1">
        <w:rPr>
          <w:sz w:val="30"/>
          <w:szCs w:val="30"/>
          <w:vertAlign w:val="superscript"/>
          <w:rtl/>
        </w:rPr>
        <w:t>(</w:t>
      </w:r>
      <w:r w:rsidRPr="005679C1">
        <w:rPr>
          <w:rStyle w:val="a7"/>
          <w:sz w:val="30"/>
          <w:szCs w:val="30"/>
          <w:rtl/>
        </w:rPr>
        <w:footnoteRef/>
      </w:r>
      <w:r w:rsidRPr="005679C1">
        <w:rPr>
          <w:sz w:val="30"/>
          <w:szCs w:val="30"/>
          <w:vertAlign w:val="superscript"/>
          <w:rtl/>
        </w:rPr>
        <w:t>)</w:t>
      </w:r>
      <w:r>
        <w:rPr>
          <w:rFonts w:hint="cs"/>
          <w:sz w:val="30"/>
          <w:szCs w:val="30"/>
          <w:rtl/>
        </w:rPr>
        <w:t xml:space="preserve">   </w:t>
      </w:r>
      <w:r w:rsidRPr="005679C1">
        <w:rPr>
          <w:rFonts w:hint="cs"/>
          <w:sz w:val="30"/>
          <w:szCs w:val="30"/>
          <w:rtl/>
        </w:rPr>
        <w:t>انظر</w:t>
      </w:r>
      <w:r>
        <w:rPr>
          <w:rFonts w:hint="cs"/>
          <w:sz w:val="30"/>
          <w:szCs w:val="30"/>
          <w:rtl/>
        </w:rPr>
        <w:t>:</w:t>
      </w:r>
      <w:r w:rsidRPr="005679C1">
        <w:rPr>
          <w:rFonts w:hint="cs"/>
          <w:sz w:val="30"/>
          <w:szCs w:val="30"/>
          <w:rtl/>
        </w:rPr>
        <w:t xml:space="preserve"> موسوعة القواعد الفقهية لـِ د. محمد البورنو</w:t>
      </w:r>
      <w:r>
        <w:rPr>
          <w:rFonts w:hint="cs"/>
          <w:sz w:val="30"/>
          <w:szCs w:val="30"/>
          <w:rtl/>
        </w:rPr>
        <w:t>،</w:t>
      </w:r>
      <w:r w:rsidRPr="005679C1">
        <w:rPr>
          <w:rFonts w:hint="cs"/>
          <w:sz w:val="30"/>
          <w:szCs w:val="30"/>
          <w:rtl/>
        </w:rPr>
        <w:t xml:space="preserve"> 1/15</w:t>
      </w:r>
      <w:r>
        <w:rPr>
          <w:rFonts w:hint="cs"/>
          <w:sz w:val="30"/>
          <w:szCs w:val="30"/>
          <w:rtl/>
        </w:rPr>
        <w:t>.</w:t>
      </w:r>
      <w:r w:rsidRPr="005679C1">
        <w:rPr>
          <w:rFonts w:hint="cs"/>
          <w:sz w:val="30"/>
          <w:szCs w:val="30"/>
          <w:rtl/>
        </w:rPr>
        <w:t xml:space="preserve"> </w:t>
      </w:r>
      <w:r w:rsidRPr="005679C1">
        <w:rPr>
          <w:sz w:val="30"/>
          <w:szCs w:val="30"/>
          <w:rtl/>
        </w:rPr>
        <w:t xml:space="preserve"> </w:t>
      </w:r>
    </w:p>
  </w:footnote>
  <w:footnote w:id="19">
    <w:p w:rsidR="00035BE3" w:rsidRPr="005679C1" w:rsidRDefault="00035BE3" w:rsidP="00261DC8">
      <w:pPr>
        <w:pStyle w:val="a8"/>
        <w:bidi/>
        <w:ind w:left="566" w:right="0" w:hanging="567"/>
        <w:rPr>
          <w:sz w:val="30"/>
          <w:szCs w:val="30"/>
          <w:rtl/>
        </w:rPr>
      </w:pPr>
      <w:r w:rsidRPr="005679C1">
        <w:rPr>
          <w:sz w:val="30"/>
          <w:szCs w:val="30"/>
          <w:vertAlign w:val="superscript"/>
          <w:rtl/>
        </w:rPr>
        <w:t>(</w:t>
      </w:r>
      <w:r w:rsidRPr="005679C1">
        <w:rPr>
          <w:rStyle w:val="a7"/>
          <w:sz w:val="30"/>
          <w:szCs w:val="30"/>
          <w:rtl/>
        </w:rPr>
        <w:footnoteRef/>
      </w:r>
      <w:r w:rsidRPr="005679C1">
        <w:rPr>
          <w:sz w:val="30"/>
          <w:szCs w:val="30"/>
          <w:vertAlign w:val="superscript"/>
          <w:rtl/>
        </w:rPr>
        <w:t>)</w:t>
      </w:r>
      <w:r>
        <w:rPr>
          <w:rFonts w:hint="cs"/>
          <w:sz w:val="30"/>
          <w:szCs w:val="30"/>
          <w:rtl/>
        </w:rPr>
        <w:t xml:space="preserve">   </w:t>
      </w:r>
      <w:r w:rsidRPr="005679C1">
        <w:rPr>
          <w:rFonts w:hint="cs"/>
          <w:sz w:val="30"/>
          <w:szCs w:val="30"/>
          <w:rtl/>
        </w:rPr>
        <w:t>مقدمة تحقيق د. أحمد بن حميد لقواعد المقّري</w:t>
      </w:r>
      <w:r>
        <w:rPr>
          <w:rFonts w:hint="cs"/>
          <w:sz w:val="30"/>
          <w:szCs w:val="30"/>
          <w:rtl/>
        </w:rPr>
        <w:t>،</w:t>
      </w:r>
      <w:r w:rsidRPr="005679C1">
        <w:rPr>
          <w:rFonts w:hint="cs"/>
          <w:sz w:val="30"/>
          <w:szCs w:val="30"/>
          <w:rtl/>
        </w:rPr>
        <w:t xml:space="preserve"> 1/136</w:t>
      </w:r>
      <w:r>
        <w:rPr>
          <w:rFonts w:hint="cs"/>
          <w:sz w:val="30"/>
          <w:szCs w:val="30"/>
          <w:rtl/>
        </w:rPr>
        <w:t>،</w:t>
      </w:r>
      <w:r w:rsidRPr="005679C1">
        <w:rPr>
          <w:rFonts w:hint="cs"/>
          <w:sz w:val="30"/>
          <w:szCs w:val="30"/>
          <w:rtl/>
        </w:rPr>
        <w:t>140</w:t>
      </w:r>
      <w:r>
        <w:rPr>
          <w:rFonts w:hint="cs"/>
          <w:sz w:val="30"/>
          <w:szCs w:val="30"/>
          <w:rtl/>
        </w:rPr>
        <w:t>.</w:t>
      </w:r>
      <w:r w:rsidRPr="005679C1">
        <w:rPr>
          <w:rFonts w:hint="cs"/>
          <w:sz w:val="30"/>
          <w:szCs w:val="30"/>
          <w:rtl/>
        </w:rPr>
        <w:t xml:space="preserve"> </w:t>
      </w:r>
      <w:r w:rsidRPr="005679C1">
        <w:rPr>
          <w:sz w:val="30"/>
          <w:szCs w:val="30"/>
          <w:rtl/>
        </w:rPr>
        <w:t xml:space="preserve"> </w:t>
      </w:r>
    </w:p>
  </w:footnote>
  <w:footnote w:id="20">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وهي نسخة (هـ). </w:t>
      </w:r>
      <w:r>
        <w:rPr>
          <w:rtl/>
        </w:rPr>
        <w:t xml:space="preserve"> </w:t>
      </w:r>
    </w:p>
  </w:footnote>
  <w:footnote w:id="21">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انظر هذا الفهرس، ص 1267.</w:t>
      </w:r>
      <w:r>
        <w:rPr>
          <w:rtl/>
        </w:rPr>
        <w:t xml:space="preserve"> </w:t>
      </w:r>
    </w:p>
  </w:footnote>
  <w:footnote w:id="22">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من الآية رقم (14) من سورة (لقمان).</w:t>
      </w:r>
    </w:p>
  </w:footnote>
  <w:footnote w:id="23">
    <w:p w:rsidR="00035BE3" w:rsidRDefault="00035BE3" w:rsidP="00261DC8">
      <w:pPr>
        <w:pStyle w:val="a8"/>
        <w:bidi/>
        <w:ind w:left="566" w:right="0" w:hanging="567"/>
        <w:rPr>
          <w:rtl/>
        </w:rPr>
      </w:pPr>
      <w:r>
        <w:rPr>
          <w:vertAlign w:val="superscript"/>
          <w:rtl/>
        </w:rPr>
        <w:t>(</w:t>
      </w:r>
      <w:r>
        <w:rPr>
          <w:rStyle w:val="a7"/>
          <w:sz w:val="28"/>
          <w:rtl/>
        </w:rPr>
        <w:footnoteRef/>
      </w:r>
      <w:r>
        <w:rPr>
          <w:vertAlign w:val="superscript"/>
          <w:rtl/>
        </w:rPr>
        <w:t>)</w:t>
      </w:r>
      <w:r>
        <w:rPr>
          <w:rFonts w:hint="cs"/>
          <w:rtl/>
        </w:rPr>
        <w:t xml:space="preserve">   من الآية رقم (24) من سورة (الإسراء).</w:t>
      </w:r>
    </w:p>
  </w:footnote>
  <w:footnote w:id="24">
    <w:p w:rsidR="00035BE3" w:rsidRDefault="00035BE3" w:rsidP="00DB59CC">
      <w:pPr>
        <w:pStyle w:val="a8"/>
        <w:bidi/>
        <w:ind w:left="565" w:right="0" w:hanging="567"/>
        <w:rPr>
          <w:rtl/>
        </w:rPr>
      </w:pPr>
      <w:r>
        <w:rPr>
          <w:vertAlign w:val="superscript"/>
          <w:rtl/>
        </w:rPr>
        <w:t>(</w:t>
      </w:r>
      <w:r>
        <w:rPr>
          <w:rStyle w:val="a7"/>
          <w:rtl/>
        </w:rPr>
        <w:footnoteRef/>
      </w:r>
      <w:r>
        <w:rPr>
          <w:vertAlign w:val="superscript"/>
          <w:rtl/>
        </w:rPr>
        <w:t>)</w:t>
      </w:r>
      <w:r>
        <w:rPr>
          <w:rFonts w:hint="cs"/>
          <w:rtl/>
        </w:rPr>
        <w:t xml:space="preserve">   وليقف من يريد الاستزادة في التعرّف على المؤلف على الجهد الذي تم بذله في هذه الرسالة؛ ليبدأ مما انتهى منه غيره: يمكن بيان هذا الجهد على النحو الآتي:</w:t>
      </w:r>
    </w:p>
    <w:p w:rsidR="00035BE3" w:rsidRDefault="00035BE3" w:rsidP="00DB59CC">
      <w:pPr>
        <w:pStyle w:val="a6"/>
        <w:ind w:left="565" w:right="170" w:firstLine="0"/>
        <w:rPr>
          <w:b/>
          <w:bCs/>
          <w:rtl/>
        </w:rPr>
      </w:pPr>
      <w:r>
        <w:rPr>
          <w:rFonts w:hint="cs"/>
          <w:b/>
          <w:bCs/>
          <w:rtl/>
        </w:rPr>
        <w:t>لقد تم البحث عن الترجمة من خلال خمسة محاور:</w:t>
      </w:r>
    </w:p>
    <w:p w:rsidR="00035BE3" w:rsidRDefault="00035BE3" w:rsidP="00DB59CC">
      <w:pPr>
        <w:pStyle w:val="a6"/>
        <w:ind w:left="565" w:right="170" w:firstLine="0"/>
        <w:rPr>
          <w:rtl/>
        </w:rPr>
      </w:pPr>
      <w:r>
        <w:rPr>
          <w:rFonts w:hint="cs"/>
          <w:b/>
          <w:bCs/>
          <w:rtl/>
        </w:rPr>
        <w:t>الأول</w:t>
      </w:r>
      <w:r>
        <w:rPr>
          <w:rFonts w:hint="cs"/>
          <w:rtl/>
        </w:rPr>
        <w:t>: البحث في كتب التراجم والتأريخ، المطبوعة والمخطوطة.</w:t>
      </w:r>
    </w:p>
    <w:p w:rsidR="00035BE3" w:rsidRDefault="00035BE3" w:rsidP="00DB59CC">
      <w:pPr>
        <w:pStyle w:val="a6"/>
        <w:ind w:left="565" w:right="170" w:firstLine="0"/>
        <w:rPr>
          <w:rtl/>
        </w:rPr>
      </w:pPr>
      <w:r>
        <w:rPr>
          <w:rFonts w:hint="cs"/>
          <w:b/>
          <w:bCs/>
          <w:rtl/>
        </w:rPr>
        <w:t>الثاني:</w:t>
      </w:r>
      <w:r>
        <w:rPr>
          <w:rFonts w:hint="cs"/>
          <w:rtl/>
        </w:rPr>
        <w:t xml:space="preserve"> البحث في كتب الببليوجرافيا (وتدخل فيها فهارس الكتب والمخطوطات).</w:t>
      </w:r>
    </w:p>
    <w:p w:rsidR="00035BE3" w:rsidRDefault="00035BE3" w:rsidP="00DB59CC">
      <w:pPr>
        <w:pStyle w:val="a6"/>
        <w:ind w:left="565" w:right="170" w:firstLine="0"/>
        <w:rPr>
          <w:rtl/>
        </w:rPr>
      </w:pPr>
      <w:r>
        <w:rPr>
          <w:rFonts w:hint="cs"/>
          <w:b/>
          <w:bCs/>
          <w:rtl/>
        </w:rPr>
        <w:t>الثالث</w:t>
      </w:r>
      <w:r>
        <w:rPr>
          <w:rFonts w:hint="cs"/>
          <w:rtl/>
        </w:rPr>
        <w:t>: كتب الفقه وأصوله وقواعده، ولا سيما الحنفي منها.</w:t>
      </w:r>
    </w:p>
    <w:p w:rsidR="00035BE3" w:rsidRDefault="00035BE3" w:rsidP="00DB59CC">
      <w:pPr>
        <w:pStyle w:val="a6"/>
        <w:ind w:left="565" w:right="170" w:firstLine="0"/>
        <w:rPr>
          <w:rtl/>
        </w:rPr>
      </w:pPr>
      <w:r>
        <w:rPr>
          <w:rFonts w:hint="cs"/>
          <w:b/>
          <w:bCs/>
          <w:rtl/>
        </w:rPr>
        <w:t>الرابع</w:t>
      </w:r>
      <w:r>
        <w:rPr>
          <w:rFonts w:hint="cs"/>
          <w:rtl/>
        </w:rPr>
        <w:t>: الاستفادة من برامج الحاسوب المخزنة في بعض المكتبات.</w:t>
      </w:r>
    </w:p>
    <w:p w:rsidR="00035BE3" w:rsidRDefault="00035BE3" w:rsidP="00DB59CC">
      <w:pPr>
        <w:pStyle w:val="a6"/>
        <w:ind w:left="565" w:right="170" w:firstLine="0"/>
        <w:rPr>
          <w:rtl/>
        </w:rPr>
      </w:pPr>
      <w:r>
        <w:rPr>
          <w:rFonts w:hint="cs"/>
          <w:b/>
          <w:bCs/>
          <w:rtl/>
        </w:rPr>
        <w:t>الخامس</w:t>
      </w:r>
      <w:r>
        <w:rPr>
          <w:rFonts w:hint="cs"/>
          <w:rtl/>
        </w:rPr>
        <w:t>: سؤال العلماء والباحثين، والاستفادة من خبراتهم.</w:t>
      </w:r>
    </w:p>
    <w:p w:rsidR="00035BE3" w:rsidRDefault="00035BE3" w:rsidP="00DB59CC">
      <w:pPr>
        <w:pStyle w:val="a6"/>
        <w:ind w:left="565" w:firstLine="0"/>
        <w:rPr>
          <w:rtl/>
        </w:rPr>
      </w:pPr>
      <w:r>
        <w:rPr>
          <w:rFonts w:hint="cs"/>
          <w:b/>
          <w:bCs/>
          <w:rtl/>
        </w:rPr>
        <w:t>أما المحور الأول</w:t>
      </w:r>
      <w:r>
        <w:rPr>
          <w:rFonts w:hint="cs"/>
          <w:rtl/>
        </w:rPr>
        <w:t>: فقد بحثت في جميع ما وجدته من مظان ترجمة حياة المؤلف من كتب التراجم والتأريخ المطبوعة في المكتبات الآتية: مكتبة جامعة الإمام محمد بن سعود الإسلامية، وجامعة الملك سعود، ومكتبة الملك فهد الوطنية، ومركز الملك فيصل، ومكتبة وزارة التخطيط -وجميعها في الرياض-، ومكتبة الظاهرية بدمشق، ومكتبة مركز آسام باستنابول، ومكتبة رجب باشا بتيره (قرب مدينة إزمير بتركيا)، بالإضافة إلى أهم المكتبات التجارية بالرياض، كالرشد والعبيكان والشقري.</w:t>
      </w:r>
    </w:p>
    <w:p w:rsidR="00035BE3" w:rsidRDefault="00035BE3" w:rsidP="00DB59CC">
      <w:pPr>
        <w:pStyle w:val="a6"/>
        <w:ind w:left="565" w:firstLine="0"/>
        <w:rPr>
          <w:rtl/>
        </w:rPr>
      </w:pPr>
      <w:r>
        <w:rPr>
          <w:rFonts w:hint="cs"/>
          <w:rtl/>
        </w:rPr>
        <w:t xml:space="preserve">كما بحثت في كتب التراجم والتأريخ </w:t>
      </w:r>
      <w:r>
        <w:rPr>
          <w:rFonts w:hint="cs"/>
          <w:b/>
          <w:bCs/>
          <w:rtl/>
        </w:rPr>
        <w:t>المطبوعة والمخطوطة</w:t>
      </w:r>
      <w:r>
        <w:rPr>
          <w:rFonts w:hint="cs"/>
          <w:rtl/>
        </w:rPr>
        <w:t xml:space="preserve"> في المكتبات الآتية: مكتبة الملك عبدالعزيز بالمدينة النبوية -قسم عارف حكمت-، ومكتبة المسجد النبوي، ومكتبة السليمانية باستانبول، ومكتبة الأسد بدمشق، ومكتبة دار الكتب المصرية، وجامع الأزهر، وجامعة الأزهر، ومعهد المخطوطات العربية بالقاهرة.</w:t>
      </w:r>
    </w:p>
    <w:p w:rsidR="00035BE3" w:rsidRDefault="00035BE3" w:rsidP="00DB59CC">
      <w:pPr>
        <w:pStyle w:val="a6"/>
        <w:spacing w:line="228" w:lineRule="auto"/>
        <w:ind w:left="565" w:firstLine="0"/>
        <w:rPr>
          <w:rtl/>
        </w:rPr>
      </w:pPr>
      <w:r>
        <w:rPr>
          <w:rFonts w:hint="cs"/>
          <w:b/>
          <w:bCs/>
          <w:rtl/>
        </w:rPr>
        <w:t xml:space="preserve">أما المحور الثاني: </w:t>
      </w:r>
      <w:r>
        <w:rPr>
          <w:rFonts w:hint="cs"/>
          <w:rtl/>
        </w:rPr>
        <w:t xml:space="preserve">فقد بحثت في كتب الببليوجرافيا وفهارس المخطوطات في أغلب المكتبات السابقة، ولا سيما </w:t>
      </w:r>
      <w:r w:rsidRPr="00A6753B">
        <w:rPr>
          <w:rFonts w:hint="cs"/>
          <w:spacing w:val="-2"/>
          <w:rtl/>
        </w:rPr>
        <w:t>مكتبات: جامعة الإمام، وجامعة الملك سعود</w:t>
      </w:r>
      <w:r>
        <w:rPr>
          <w:rFonts w:hint="cs"/>
          <w:spacing w:val="-2"/>
          <w:rtl/>
        </w:rPr>
        <w:t>،</w:t>
      </w:r>
      <w:r w:rsidRPr="00A6753B">
        <w:rPr>
          <w:rFonts w:hint="cs"/>
          <w:spacing w:val="-2"/>
          <w:rtl/>
        </w:rPr>
        <w:t xml:space="preserve"> ومركز الملك فيصل</w:t>
      </w:r>
      <w:r>
        <w:rPr>
          <w:rFonts w:hint="cs"/>
          <w:spacing w:val="-2"/>
          <w:rtl/>
        </w:rPr>
        <w:t>،</w:t>
      </w:r>
      <w:r w:rsidRPr="00A6753B">
        <w:rPr>
          <w:rFonts w:hint="cs"/>
          <w:spacing w:val="-2"/>
          <w:rtl/>
        </w:rPr>
        <w:t xml:space="preserve"> والسليمانية</w:t>
      </w:r>
      <w:r>
        <w:rPr>
          <w:rFonts w:hint="cs"/>
          <w:spacing w:val="-2"/>
          <w:rtl/>
        </w:rPr>
        <w:t>،</w:t>
      </w:r>
      <w:r w:rsidRPr="00A6753B">
        <w:rPr>
          <w:rFonts w:hint="cs"/>
          <w:spacing w:val="-2"/>
          <w:rtl/>
        </w:rPr>
        <w:t xml:space="preserve"> والظاهرية، والأسد، ودار</w:t>
      </w:r>
      <w:r>
        <w:rPr>
          <w:rFonts w:hint="cs"/>
          <w:rtl/>
        </w:rPr>
        <w:t xml:space="preserve"> </w:t>
      </w:r>
      <w:r w:rsidRPr="00A6753B">
        <w:rPr>
          <w:rFonts w:hint="cs"/>
          <w:spacing w:val="-4"/>
          <w:rtl/>
        </w:rPr>
        <w:t>الكتب المصرية</w:t>
      </w:r>
      <w:r>
        <w:rPr>
          <w:rFonts w:hint="cs"/>
          <w:spacing w:val="-4"/>
          <w:rtl/>
        </w:rPr>
        <w:t>،</w:t>
      </w:r>
      <w:r w:rsidRPr="00A6753B">
        <w:rPr>
          <w:rFonts w:hint="cs"/>
          <w:spacing w:val="-4"/>
          <w:rtl/>
        </w:rPr>
        <w:t xml:space="preserve"> وجامع الأزهر، وجامعته. كما أن المكتبات الثلاث الأول قد تم البحث فيما تحتويه من</w:t>
      </w:r>
      <w:r w:rsidRPr="00A6753B">
        <w:rPr>
          <w:rFonts w:hint="cs"/>
          <w:spacing w:val="-2"/>
          <w:rtl/>
        </w:rPr>
        <w:t xml:space="preserve"> </w:t>
      </w:r>
      <w:r>
        <w:rPr>
          <w:rFonts w:hint="cs"/>
          <w:rtl/>
        </w:rPr>
        <w:t xml:space="preserve">فهارس </w:t>
      </w:r>
      <w:r>
        <w:rPr>
          <w:rtl/>
        </w:rPr>
        <w:br/>
      </w:r>
      <w:r>
        <w:rPr>
          <w:rFonts w:hint="cs"/>
          <w:rtl/>
        </w:rPr>
        <w:t>ضخمة للمخطوطات في جميع أنحاء العالم، وقد بحثت فيها كتابًا كتابًا، ولم أترك منها إلا ما كان بلغةٍ لا أفهمها، أو كونه غير مفهرس، مما يستدعي الأمر قراءته صفحة صفحة.</w:t>
      </w:r>
    </w:p>
    <w:p w:rsidR="00035BE3" w:rsidRDefault="00035BE3" w:rsidP="00DB59CC">
      <w:pPr>
        <w:pStyle w:val="a6"/>
        <w:spacing w:line="228" w:lineRule="auto"/>
        <w:ind w:left="565" w:firstLine="0"/>
        <w:rPr>
          <w:rtl/>
        </w:rPr>
      </w:pPr>
      <w:r>
        <w:rPr>
          <w:rFonts w:hint="cs"/>
          <w:b/>
          <w:bCs/>
          <w:rtl/>
        </w:rPr>
        <w:t>أما المحور الثالث</w:t>
      </w:r>
      <w:r>
        <w:rPr>
          <w:rFonts w:hint="cs"/>
          <w:rtl/>
        </w:rPr>
        <w:t>: فقد بحثت في جميع ما وجدته من كتب الفقه الحنفي وأصوله وقواعده المتأخرة عن المؤلف، والمحفوظة في مكتبة جامعة الإمام، كما بحثت في سبعة شروح خطية للأشباه والنظائر لابن نجيم (المحفوظة في معهد البحوث العلمية التابع لجامعة أم القرى بمكة المكرمة ).</w:t>
      </w:r>
    </w:p>
    <w:p w:rsidR="00035BE3" w:rsidRDefault="00035BE3" w:rsidP="00DB59CC">
      <w:pPr>
        <w:pStyle w:val="a6"/>
        <w:spacing w:line="228" w:lineRule="auto"/>
        <w:ind w:left="565" w:firstLine="0"/>
        <w:rPr>
          <w:rtl/>
        </w:rPr>
      </w:pPr>
      <w:r>
        <w:rPr>
          <w:rFonts w:hint="cs"/>
          <w:b/>
          <w:bCs/>
          <w:rtl/>
        </w:rPr>
        <w:t>أما المحور الرابع</w:t>
      </w:r>
      <w:r>
        <w:rPr>
          <w:rFonts w:hint="cs"/>
          <w:rtl/>
        </w:rPr>
        <w:t>: فقد تم البحث في أجهزة الحاسوب الموجودة في المكتبات الآتية: جامعة الإمام، وجامعة الملك سعود، ومركز الملك فيصل، ومركز آسام باستانبول، وهيئة دار الكتب المصرية بالقاهرة، ومكتبة الأسد بدمشق بالإضافة إلى البرامج الشخصية المتخصصة ببعض العلوم الشرعية والتأريخ.</w:t>
      </w:r>
    </w:p>
    <w:p w:rsidR="00035BE3" w:rsidRDefault="00035BE3" w:rsidP="00DB59CC">
      <w:pPr>
        <w:pStyle w:val="a6"/>
        <w:spacing w:line="228" w:lineRule="auto"/>
        <w:ind w:left="565" w:firstLine="0"/>
        <w:rPr>
          <w:rtl/>
        </w:rPr>
      </w:pPr>
      <w:r>
        <w:rPr>
          <w:rFonts w:hint="cs"/>
          <w:b/>
          <w:bCs/>
          <w:rtl/>
        </w:rPr>
        <w:t>أما المحور الخامس</w:t>
      </w:r>
      <w:r>
        <w:rPr>
          <w:rFonts w:hint="cs"/>
          <w:rtl/>
        </w:rPr>
        <w:t>: فقد سألت طائفة من العلماء والباحثين، وكثير منهم تكرموا مشكورين بالبحث عنه بأنفسهم.</w:t>
      </w:r>
    </w:p>
    <w:p w:rsidR="00035BE3" w:rsidRDefault="00035BE3" w:rsidP="00DB59CC">
      <w:pPr>
        <w:pStyle w:val="a6"/>
        <w:spacing w:line="228" w:lineRule="auto"/>
        <w:ind w:left="0" w:right="170" w:firstLine="565"/>
        <w:rPr>
          <w:b/>
          <w:bCs/>
          <w:rtl/>
        </w:rPr>
      </w:pPr>
      <w:r>
        <w:rPr>
          <w:rFonts w:hint="cs"/>
          <w:b/>
          <w:bCs/>
          <w:rtl/>
        </w:rPr>
        <w:t>فمن أهم من قاموا بالبحث عنه بأنفسهم:</w:t>
      </w:r>
    </w:p>
    <w:p w:rsidR="00035BE3" w:rsidRDefault="00035BE3" w:rsidP="007C7F13">
      <w:pPr>
        <w:pStyle w:val="a6"/>
        <w:numPr>
          <w:ilvl w:val="0"/>
          <w:numId w:val="3"/>
        </w:numPr>
        <w:tabs>
          <w:tab w:val="clear" w:pos="720"/>
        </w:tabs>
        <w:spacing w:line="228" w:lineRule="auto"/>
        <w:ind w:left="990" w:right="720" w:hanging="425"/>
        <w:jc w:val="lowKashida"/>
        <w:rPr>
          <w:sz w:val="28"/>
          <w:rtl/>
        </w:rPr>
      </w:pPr>
      <w:r>
        <w:rPr>
          <w:rFonts w:hint="cs"/>
          <w:sz w:val="28"/>
          <w:rtl/>
        </w:rPr>
        <w:t>شيخنا د. يعقوب الباحسين.</w:t>
      </w:r>
    </w:p>
    <w:p w:rsidR="00035BE3" w:rsidRDefault="00035BE3" w:rsidP="007C7F13">
      <w:pPr>
        <w:pStyle w:val="a6"/>
        <w:numPr>
          <w:ilvl w:val="0"/>
          <w:numId w:val="3"/>
        </w:numPr>
        <w:tabs>
          <w:tab w:val="clear" w:pos="720"/>
        </w:tabs>
        <w:spacing w:line="228" w:lineRule="auto"/>
        <w:ind w:left="990" w:right="720" w:hanging="425"/>
        <w:jc w:val="lowKashida"/>
        <w:rPr>
          <w:b/>
          <w:bCs/>
        </w:rPr>
      </w:pPr>
      <w:r>
        <w:rPr>
          <w:rFonts w:hint="cs"/>
          <w:sz w:val="28"/>
          <w:rtl/>
        </w:rPr>
        <w:t>شيخنا د. أحمد العنقري.</w:t>
      </w:r>
    </w:p>
    <w:p w:rsidR="00035BE3" w:rsidRDefault="00035BE3" w:rsidP="007C7F13">
      <w:pPr>
        <w:pStyle w:val="a6"/>
        <w:numPr>
          <w:ilvl w:val="0"/>
          <w:numId w:val="3"/>
        </w:numPr>
        <w:tabs>
          <w:tab w:val="clear" w:pos="720"/>
        </w:tabs>
        <w:spacing w:line="228" w:lineRule="auto"/>
        <w:ind w:left="990" w:right="720" w:hanging="425"/>
        <w:jc w:val="lowKashida"/>
        <w:rPr>
          <w:b/>
          <w:bCs/>
        </w:rPr>
      </w:pPr>
      <w:r>
        <w:rPr>
          <w:rFonts w:hint="cs"/>
          <w:sz w:val="28"/>
          <w:rtl/>
        </w:rPr>
        <w:t>د. سهيل صابان (الباحث في قسم الكتب العثمانية والتركية في مكتبة الملك فهد الوطنية).</w:t>
      </w:r>
    </w:p>
    <w:p w:rsidR="00035BE3" w:rsidRDefault="00035BE3" w:rsidP="007C7F13">
      <w:pPr>
        <w:pStyle w:val="a6"/>
        <w:numPr>
          <w:ilvl w:val="0"/>
          <w:numId w:val="3"/>
        </w:numPr>
        <w:tabs>
          <w:tab w:val="clear" w:pos="720"/>
        </w:tabs>
        <w:spacing w:line="228" w:lineRule="auto"/>
        <w:ind w:left="990" w:right="720" w:hanging="425"/>
        <w:jc w:val="lowKashida"/>
        <w:rPr>
          <w:b/>
          <w:bCs/>
        </w:rPr>
      </w:pPr>
      <w:r>
        <w:rPr>
          <w:rFonts w:hint="cs"/>
          <w:sz w:val="28"/>
          <w:rtl/>
        </w:rPr>
        <w:t xml:space="preserve">د. إبراهيم عافس (الباحث بمركز الملك فيصل). </w:t>
      </w:r>
    </w:p>
    <w:p w:rsidR="00035BE3" w:rsidRDefault="00035BE3" w:rsidP="007C7F13">
      <w:pPr>
        <w:pStyle w:val="a6"/>
        <w:numPr>
          <w:ilvl w:val="0"/>
          <w:numId w:val="3"/>
        </w:numPr>
        <w:tabs>
          <w:tab w:val="clear" w:pos="720"/>
        </w:tabs>
        <w:spacing w:line="228" w:lineRule="auto"/>
        <w:ind w:left="990" w:right="720" w:hanging="425"/>
        <w:jc w:val="lowKashida"/>
        <w:rPr>
          <w:b/>
          <w:bCs/>
        </w:rPr>
      </w:pPr>
      <w:r>
        <w:rPr>
          <w:rFonts w:hint="cs"/>
          <w:sz w:val="28"/>
          <w:rtl/>
        </w:rPr>
        <w:t>د. محمود الميرة.</w:t>
      </w:r>
    </w:p>
    <w:p w:rsidR="00035BE3" w:rsidRDefault="00035BE3" w:rsidP="007C7F13">
      <w:pPr>
        <w:pStyle w:val="a6"/>
        <w:numPr>
          <w:ilvl w:val="0"/>
          <w:numId w:val="3"/>
        </w:numPr>
        <w:tabs>
          <w:tab w:val="clear" w:pos="720"/>
        </w:tabs>
        <w:spacing w:line="228" w:lineRule="auto"/>
        <w:ind w:left="990" w:right="720" w:hanging="425"/>
        <w:jc w:val="lowKashida"/>
        <w:rPr>
          <w:b/>
          <w:bCs/>
        </w:rPr>
      </w:pPr>
      <w:r>
        <w:rPr>
          <w:rFonts w:hint="cs"/>
          <w:sz w:val="28"/>
          <w:rtl/>
        </w:rPr>
        <w:t>د. عبدالعليم محمدين.</w:t>
      </w:r>
    </w:p>
    <w:p w:rsidR="00035BE3" w:rsidRDefault="00035BE3" w:rsidP="007C7F13">
      <w:pPr>
        <w:pStyle w:val="a6"/>
        <w:numPr>
          <w:ilvl w:val="0"/>
          <w:numId w:val="3"/>
        </w:numPr>
        <w:tabs>
          <w:tab w:val="clear" w:pos="720"/>
        </w:tabs>
        <w:spacing w:line="228" w:lineRule="auto"/>
        <w:ind w:left="990" w:right="720" w:hanging="425"/>
        <w:jc w:val="lowKashida"/>
        <w:rPr>
          <w:b/>
          <w:bCs/>
        </w:rPr>
      </w:pPr>
      <w:r>
        <w:rPr>
          <w:rFonts w:hint="cs"/>
          <w:sz w:val="28"/>
          <w:rtl/>
        </w:rPr>
        <w:t>الشيخ عبدالرحمن بكر الملا (الحنفي).</w:t>
      </w:r>
    </w:p>
    <w:p w:rsidR="00035BE3" w:rsidRPr="00173237" w:rsidRDefault="00035BE3" w:rsidP="007C7F13">
      <w:pPr>
        <w:pStyle w:val="a6"/>
        <w:numPr>
          <w:ilvl w:val="0"/>
          <w:numId w:val="3"/>
        </w:numPr>
        <w:tabs>
          <w:tab w:val="clear" w:pos="720"/>
        </w:tabs>
        <w:spacing w:line="228" w:lineRule="auto"/>
        <w:ind w:left="990" w:hanging="425"/>
        <w:jc w:val="lowKashida"/>
        <w:rPr>
          <w:b/>
          <w:bCs/>
        </w:rPr>
      </w:pPr>
      <w:r w:rsidRPr="00173237">
        <w:rPr>
          <w:rFonts w:hint="cs"/>
          <w:sz w:val="28"/>
          <w:rtl/>
        </w:rPr>
        <w:t>د. الحاج أحمد أوز دمير (رئيس قسم التأريخ الإسلامي وفنونه، في كلية الإلهيات بجامعة قرادنيز</w:t>
      </w:r>
      <w:r>
        <w:rPr>
          <w:rFonts w:hint="cs"/>
          <w:sz w:val="28"/>
          <w:rtl/>
        </w:rPr>
        <w:t>،</w:t>
      </w:r>
      <w:r w:rsidRPr="00173237">
        <w:rPr>
          <w:rFonts w:hint="cs"/>
          <w:sz w:val="28"/>
          <w:rtl/>
        </w:rPr>
        <w:t xml:space="preserve"> بمدينة ربزة بتركيا).</w:t>
      </w:r>
    </w:p>
    <w:p w:rsidR="00035BE3" w:rsidRPr="00173237" w:rsidRDefault="00035BE3" w:rsidP="007C7F13">
      <w:pPr>
        <w:pStyle w:val="a6"/>
        <w:numPr>
          <w:ilvl w:val="0"/>
          <w:numId w:val="3"/>
        </w:numPr>
        <w:tabs>
          <w:tab w:val="clear" w:pos="720"/>
        </w:tabs>
        <w:spacing w:line="228" w:lineRule="auto"/>
        <w:ind w:left="990" w:hanging="425"/>
        <w:jc w:val="lowKashida"/>
        <w:rPr>
          <w:b/>
          <w:bCs/>
        </w:rPr>
      </w:pPr>
      <w:r w:rsidRPr="00173237">
        <w:rPr>
          <w:rFonts w:hint="cs"/>
          <w:sz w:val="28"/>
          <w:rtl/>
        </w:rPr>
        <w:t xml:space="preserve"> الأستاذ فكري الجزار (صاحب كتاب مداخل المؤلفين والأعلام العرب، والباحث في مكتبة الملك فهد </w:t>
      </w:r>
      <w:r w:rsidRPr="00173237">
        <w:rPr>
          <w:sz w:val="28"/>
          <w:rtl/>
        </w:rPr>
        <w:br/>
      </w:r>
      <w:r w:rsidRPr="00173237">
        <w:rPr>
          <w:rFonts w:hint="cs"/>
          <w:sz w:val="28"/>
          <w:rtl/>
        </w:rPr>
        <w:t>الوطنية).</w:t>
      </w:r>
      <w:r w:rsidRPr="00173237">
        <w:rPr>
          <w:rFonts w:hint="cs"/>
          <w:b/>
          <w:bCs/>
        </w:rPr>
        <w:t xml:space="preserve"> </w:t>
      </w:r>
    </w:p>
    <w:p w:rsidR="00035BE3" w:rsidRDefault="00035BE3" w:rsidP="00DB59CC">
      <w:pPr>
        <w:pStyle w:val="a6"/>
        <w:spacing w:line="228" w:lineRule="auto"/>
        <w:ind w:left="990" w:right="423" w:hanging="425"/>
        <w:jc w:val="lowKashida"/>
        <w:rPr>
          <w:b/>
          <w:bCs/>
        </w:rPr>
      </w:pPr>
      <w:r>
        <w:rPr>
          <w:rFonts w:hint="cs"/>
          <w:b/>
          <w:bCs/>
          <w:sz w:val="28"/>
          <w:rtl/>
        </w:rPr>
        <w:t>10</w:t>
      </w:r>
      <w:r>
        <w:rPr>
          <w:rFonts w:hint="cs"/>
          <w:sz w:val="28"/>
          <w:rtl/>
        </w:rPr>
        <w:t>- شامل الشاهين (مدير مركز البلقان للدراسات والأبحاث العلمية باستانبول).</w:t>
      </w:r>
    </w:p>
    <w:p w:rsidR="00035BE3" w:rsidRDefault="00035BE3" w:rsidP="00DB59CC">
      <w:pPr>
        <w:pStyle w:val="a6"/>
        <w:spacing w:line="228" w:lineRule="auto"/>
        <w:ind w:left="990" w:right="360" w:hanging="425"/>
        <w:jc w:val="lowKashida"/>
        <w:rPr>
          <w:b/>
          <w:bCs/>
        </w:rPr>
      </w:pPr>
      <w:r>
        <w:rPr>
          <w:rFonts w:hint="cs"/>
          <w:b/>
          <w:bCs/>
          <w:sz w:val="28"/>
          <w:rtl/>
        </w:rPr>
        <w:t>11</w:t>
      </w:r>
      <w:r>
        <w:rPr>
          <w:rFonts w:hint="cs"/>
          <w:sz w:val="28"/>
          <w:rtl/>
        </w:rPr>
        <w:t>- آدم كارادنبز (المتخرج من كلية الإلهيات بإزمير بتركيا).</w:t>
      </w:r>
    </w:p>
    <w:p w:rsidR="00035BE3" w:rsidRDefault="00035BE3" w:rsidP="00DB59CC">
      <w:pPr>
        <w:pStyle w:val="a6"/>
        <w:spacing w:line="228" w:lineRule="auto"/>
        <w:ind w:left="990" w:hanging="425"/>
        <w:jc w:val="lowKashida"/>
        <w:rPr>
          <w:b/>
          <w:bCs/>
        </w:rPr>
      </w:pPr>
      <w:r>
        <w:rPr>
          <w:rFonts w:hint="cs"/>
          <w:b/>
          <w:bCs/>
          <w:sz w:val="28"/>
          <w:rtl/>
        </w:rPr>
        <w:t>12</w:t>
      </w:r>
      <w:r>
        <w:rPr>
          <w:rFonts w:hint="cs"/>
          <w:sz w:val="28"/>
          <w:rtl/>
        </w:rPr>
        <w:t>- أيوب سعيد قايا (الباحث في مركز آسام بتركيا، والذي يعد رسالة للدكتواه في أصول الفقه).</w:t>
      </w:r>
    </w:p>
    <w:p w:rsidR="00035BE3" w:rsidRDefault="00035BE3" w:rsidP="00DB59CC">
      <w:pPr>
        <w:pStyle w:val="a6"/>
        <w:spacing w:line="228" w:lineRule="auto"/>
        <w:ind w:left="360" w:right="360" w:firstLine="205"/>
        <w:jc w:val="lowKashida"/>
        <w:rPr>
          <w:b/>
          <w:bCs/>
          <w:sz w:val="28"/>
          <w:rtl/>
        </w:rPr>
      </w:pPr>
      <w:r>
        <w:rPr>
          <w:rFonts w:hint="cs"/>
          <w:b/>
          <w:bCs/>
          <w:sz w:val="28"/>
          <w:rtl/>
        </w:rPr>
        <w:t>ومن أهم من سألتهم فأجابوني مباشرة:</w:t>
      </w:r>
    </w:p>
    <w:p w:rsidR="00035BE3" w:rsidRDefault="00035BE3" w:rsidP="007C7F13">
      <w:pPr>
        <w:pStyle w:val="a6"/>
        <w:numPr>
          <w:ilvl w:val="0"/>
          <w:numId w:val="4"/>
        </w:numPr>
        <w:tabs>
          <w:tab w:val="clear" w:pos="720"/>
        </w:tabs>
        <w:spacing w:line="228" w:lineRule="auto"/>
        <w:ind w:left="990" w:right="720" w:hanging="425"/>
        <w:jc w:val="lowKashida"/>
        <w:rPr>
          <w:sz w:val="28"/>
          <w:rtl/>
        </w:rPr>
      </w:pPr>
      <w:r>
        <w:rPr>
          <w:rFonts w:hint="cs"/>
          <w:sz w:val="28"/>
          <w:rtl/>
        </w:rPr>
        <w:t>شيخنا العلامة عبدالله الغديان.</w:t>
      </w:r>
    </w:p>
    <w:p w:rsidR="00035BE3" w:rsidRDefault="00035BE3" w:rsidP="007C7F13">
      <w:pPr>
        <w:pStyle w:val="a6"/>
        <w:numPr>
          <w:ilvl w:val="0"/>
          <w:numId w:val="4"/>
        </w:numPr>
        <w:tabs>
          <w:tab w:val="clear" w:pos="720"/>
        </w:tabs>
        <w:spacing w:line="228" w:lineRule="auto"/>
        <w:ind w:left="990" w:right="720" w:hanging="425"/>
        <w:jc w:val="lowKashida"/>
        <w:rPr>
          <w:b/>
          <w:bCs/>
        </w:rPr>
      </w:pPr>
      <w:r>
        <w:rPr>
          <w:rFonts w:hint="cs"/>
          <w:sz w:val="28"/>
          <w:rtl/>
        </w:rPr>
        <w:t>الأستاذ مصطفى الزرقا.</w:t>
      </w:r>
    </w:p>
    <w:p w:rsidR="00035BE3" w:rsidRDefault="00035BE3" w:rsidP="007C7F13">
      <w:pPr>
        <w:pStyle w:val="a6"/>
        <w:numPr>
          <w:ilvl w:val="0"/>
          <w:numId w:val="4"/>
        </w:numPr>
        <w:tabs>
          <w:tab w:val="clear" w:pos="720"/>
        </w:tabs>
        <w:spacing w:line="228" w:lineRule="auto"/>
        <w:ind w:left="990" w:right="720" w:hanging="425"/>
        <w:jc w:val="lowKashida"/>
        <w:rPr>
          <w:b/>
          <w:bCs/>
        </w:rPr>
      </w:pPr>
      <w:r>
        <w:rPr>
          <w:rFonts w:hint="cs"/>
          <w:sz w:val="28"/>
          <w:rtl/>
        </w:rPr>
        <w:t>أ. د. أحمد فهمي أبو سنة.</w:t>
      </w:r>
    </w:p>
    <w:p w:rsidR="00035BE3" w:rsidRDefault="00035BE3" w:rsidP="007C7F13">
      <w:pPr>
        <w:pStyle w:val="a6"/>
        <w:numPr>
          <w:ilvl w:val="0"/>
          <w:numId w:val="4"/>
        </w:numPr>
        <w:tabs>
          <w:tab w:val="clear" w:pos="720"/>
        </w:tabs>
        <w:spacing w:line="228" w:lineRule="auto"/>
        <w:ind w:left="990" w:right="720" w:hanging="425"/>
        <w:jc w:val="lowKashida"/>
        <w:rPr>
          <w:b/>
          <w:bCs/>
        </w:rPr>
      </w:pPr>
      <w:r>
        <w:rPr>
          <w:rFonts w:hint="cs"/>
          <w:sz w:val="28"/>
          <w:rtl/>
        </w:rPr>
        <w:t>د. علي الندوي.</w:t>
      </w:r>
    </w:p>
    <w:p w:rsidR="00035BE3" w:rsidRDefault="00035BE3" w:rsidP="007C7F13">
      <w:pPr>
        <w:pStyle w:val="a6"/>
        <w:numPr>
          <w:ilvl w:val="0"/>
          <w:numId w:val="4"/>
        </w:numPr>
        <w:tabs>
          <w:tab w:val="clear" w:pos="720"/>
        </w:tabs>
        <w:ind w:left="990" w:hanging="425"/>
        <w:jc w:val="lowKashida"/>
        <w:rPr>
          <w:b/>
          <w:bCs/>
        </w:rPr>
      </w:pPr>
      <w:r>
        <w:rPr>
          <w:rFonts w:hint="cs"/>
          <w:sz w:val="28"/>
          <w:rtl/>
        </w:rPr>
        <w:t>د. أكرم أوزيقان.</w:t>
      </w:r>
      <w:r>
        <w:rPr>
          <w:rFonts w:hint="cs"/>
          <w:sz w:val="28"/>
          <w:rtl/>
        </w:rPr>
        <w:tab/>
      </w:r>
      <w:r>
        <w:rPr>
          <w:rFonts w:hint="cs"/>
          <w:sz w:val="28"/>
          <w:rtl/>
        </w:rPr>
        <w:tab/>
      </w:r>
      <w:r>
        <w:rPr>
          <w:rFonts w:hint="cs"/>
          <w:sz w:val="28"/>
          <w:rtl/>
        </w:rPr>
        <w:tab/>
      </w:r>
      <w:r>
        <w:rPr>
          <w:rFonts w:hint="cs"/>
          <w:sz w:val="28"/>
          <w:rtl/>
        </w:rPr>
        <w:tab/>
      </w:r>
      <w:r>
        <w:rPr>
          <w:rFonts w:hint="cs"/>
          <w:sz w:val="28"/>
          <w:rtl/>
        </w:rPr>
        <w:tab/>
      </w:r>
      <w:r>
        <w:rPr>
          <w:rFonts w:hint="cs"/>
          <w:sz w:val="28"/>
          <w:rtl/>
        </w:rPr>
        <w:tab/>
        <w:t xml:space="preserve">        </w:t>
      </w:r>
      <w:r>
        <w:rPr>
          <w:rFonts w:hint="cs"/>
          <w:sz w:val="28"/>
          <w:rtl/>
        </w:rPr>
        <w:tab/>
        <w:t xml:space="preserve">                </w:t>
      </w:r>
    </w:p>
    <w:p w:rsidR="00035BE3" w:rsidRPr="00510C8D" w:rsidRDefault="00035BE3" w:rsidP="007C7F13">
      <w:pPr>
        <w:pStyle w:val="a6"/>
        <w:numPr>
          <w:ilvl w:val="0"/>
          <w:numId w:val="4"/>
        </w:numPr>
        <w:tabs>
          <w:tab w:val="clear" w:pos="720"/>
        </w:tabs>
        <w:spacing w:line="228" w:lineRule="auto"/>
        <w:ind w:left="990" w:right="720" w:hanging="425"/>
        <w:jc w:val="lowKashida"/>
        <w:rPr>
          <w:b/>
          <w:bCs/>
        </w:rPr>
      </w:pPr>
      <w:r>
        <w:rPr>
          <w:rFonts w:hint="cs"/>
          <w:sz w:val="28"/>
          <w:rtl/>
        </w:rPr>
        <w:t>د. مقداد يالجن.</w:t>
      </w:r>
    </w:p>
    <w:p w:rsidR="00035BE3" w:rsidRPr="006F4F33" w:rsidRDefault="00035BE3" w:rsidP="007C7F13">
      <w:pPr>
        <w:pStyle w:val="a6"/>
        <w:numPr>
          <w:ilvl w:val="0"/>
          <w:numId w:val="4"/>
        </w:numPr>
        <w:tabs>
          <w:tab w:val="clear" w:pos="720"/>
        </w:tabs>
        <w:spacing w:line="228" w:lineRule="auto"/>
        <w:ind w:left="990" w:hanging="425"/>
        <w:jc w:val="lowKashida"/>
      </w:pPr>
      <w:r w:rsidRPr="006F4F33">
        <w:rPr>
          <w:rFonts w:hint="cs"/>
          <w:rtl/>
        </w:rPr>
        <w:t>د. محمد بن عبدالغفار الشريف.</w:t>
      </w:r>
    </w:p>
    <w:p w:rsidR="00035BE3" w:rsidRDefault="00035BE3" w:rsidP="007C7F13">
      <w:pPr>
        <w:pStyle w:val="a6"/>
        <w:numPr>
          <w:ilvl w:val="0"/>
          <w:numId w:val="4"/>
        </w:numPr>
        <w:tabs>
          <w:tab w:val="clear" w:pos="720"/>
        </w:tabs>
        <w:spacing w:line="228" w:lineRule="auto"/>
        <w:ind w:left="990" w:hanging="425"/>
        <w:jc w:val="lowKashida"/>
        <w:rPr>
          <w:b/>
          <w:bCs/>
        </w:rPr>
      </w:pPr>
      <w:r>
        <w:rPr>
          <w:rFonts w:hint="cs"/>
          <w:sz w:val="28"/>
          <w:rtl/>
        </w:rPr>
        <w:t>الشيخ محمد أمين سراج (المفتي في جامع الفاتح في استانبول).</w:t>
      </w:r>
    </w:p>
    <w:p w:rsidR="00035BE3" w:rsidRDefault="00035BE3" w:rsidP="007C7F13">
      <w:pPr>
        <w:pStyle w:val="a6"/>
        <w:numPr>
          <w:ilvl w:val="0"/>
          <w:numId w:val="4"/>
        </w:numPr>
        <w:tabs>
          <w:tab w:val="clear" w:pos="720"/>
        </w:tabs>
        <w:spacing w:line="228" w:lineRule="auto"/>
        <w:ind w:left="990" w:hanging="425"/>
        <w:jc w:val="lowKashida"/>
        <w:rPr>
          <w:b/>
          <w:bCs/>
        </w:rPr>
      </w:pPr>
      <w:r>
        <w:rPr>
          <w:rFonts w:hint="cs"/>
          <w:sz w:val="28"/>
          <w:rtl/>
        </w:rPr>
        <w:t>الشيخ محمد صواش (في استانبول).</w:t>
      </w:r>
    </w:p>
    <w:p w:rsidR="00035BE3" w:rsidRDefault="00035BE3" w:rsidP="007C7F13">
      <w:pPr>
        <w:pStyle w:val="a6"/>
        <w:numPr>
          <w:ilvl w:val="0"/>
          <w:numId w:val="4"/>
        </w:numPr>
        <w:tabs>
          <w:tab w:val="clear" w:pos="720"/>
        </w:tabs>
        <w:spacing w:line="228" w:lineRule="auto"/>
        <w:ind w:left="1132" w:hanging="567"/>
        <w:jc w:val="lowKashida"/>
        <w:rPr>
          <w:b/>
          <w:bCs/>
        </w:rPr>
      </w:pPr>
      <w:r>
        <w:rPr>
          <w:rFonts w:hint="cs"/>
          <w:sz w:val="28"/>
          <w:rtl/>
        </w:rPr>
        <w:t>الشيخ محمد صالح دميرقان (في استانبول).</w:t>
      </w:r>
    </w:p>
    <w:p w:rsidR="00035BE3" w:rsidRDefault="00035BE3" w:rsidP="007C7F13">
      <w:pPr>
        <w:pStyle w:val="a6"/>
        <w:numPr>
          <w:ilvl w:val="0"/>
          <w:numId w:val="4"/>
        </w:numPr>
        <w:tabs>
          <w:tab w:val="clear" w:pos="720"/>
        </w:tabs>
        <w:spacing w:line="228" w:lineRule="auto"/>
        <w:ind w:left="1132" w:hanging="567"/>
        <w:jc w:val="lowKashida"/>
        <w:rPr>
          <w:b/>
          <w:bCs/>
        </w:rPr>
      </w:pPr>
      <w:r>
        <w:rPr>
          <w:rFonts w:hint="cs"/>
          <w:sz w:val="28"/>
          <w:rtl/>
        </w:rPr>
        <w:t>د. عابد ياشار (في استانبول).</w:t>
      </w:r>
    </w:p>
    <w:p w:rsidR="00035BE3" w:rsidRDefault="00035BE3" w:rsidP="007C7F13">
      <w:pPr>
        <w:pStyle w:val="a6"/>
        <w:numPr>
          <w:ilvl w:val="0"/>
          <w:numId w:val="4"/>
        </w:numPr>
        <w:tabs>
          <w:tab w:val="clear" w:pos="720"/>
        </w:tabs>
        <w:spacing w:line="228" w:lineRule="auto"/>
        <w:ind w:left="1132" w:hanging="567"/>
        <w:jc w:val="lowKashida"/>
        <w:rPr>
          <w:b/>
          <w:bCs/>
        </w:rPr>
      </w:pPr>
      <w:r>
        <w:rPr>
          <w:rFonts w:hint="cs"/>
          <w:sz w:val="28"/>
          <w:rtl/>
        </w:rPr>
        <w:t>د. عبدالعزيز بايندر (في استانبول).</w:t>
      </w:r>
    </w:p>
    <w:p w:rsidR="00035BE3" w:rsidRDefault="00035BE3" w:rsidP="007C7F13">
      <w:pPr>
        <w:pStyle w:val="a6"/>
        <w:numPr>
          <w:ilvl w:val="0"/>
          <w:numId w:val="4"/>
        </w:numPr>
        <w:tabs>
          <w:tab w:val="clear" w:pos="720"/>
        </w:tabs>
        <w:spacing w:line="228" w:lineRule="auto"/>
        <w:ind w:left="1132" w:hanging="567"/>
        <w:jc w:val="lowKashida"/>
        <w:rPr>
          <w:b/>
          <w:bCs/>
        </w:rPr>
      </w:pPr>
      <w:r>
        <w:rPr>
          <w:rFonts w:hint="cs"/>
          <w:sz w:val="28"/>
          <w:rtl/>
        </w:rPr>
        <w:t xml:space="preserve"> د. عبدالقادر شنر (الأستاذ في جامعة التاسع من إيلول بإزمير).</w:t>
      </w:r>
    </w:p>
    <w:p w:rsidR="00035BE3" w:rsidRDefault="00035BE3" w:rsidP="007C7F13">
      <w:pPr>
        <w:pStyle w:val="a6"/>
        <w:numPr>
          <w:ilvl w:val="0"/>
          <w:numId w:val="4"/>
        </w:numPr>
        <w:tabs>
          <w:tab w:val="clear" w:pos="720"/>
        </w:tabs>
        <w:spacing w:line="228" w:lineRule="auto"/>
        <w:ind w:left="1132" w:hanging="567"/>
        <w:jc w:val="lowKashida"/>
        <w:rPr>
          <w:b/>
          <w:bCs/>
        </w:rPr>
      </w:pPr>
      <w:r>
        <w:rPr>
          <w:rFonts w:hint="cs"/>
          <w:sz w:val="28"/>
          <w:rtl/>
        </w:rPr>
        <w:t xml:space="preserve"> د. محمد أفندي أُوعلي (أستاذ الحديث في جامعة مرمرة باستانبول).</w:t>
      </w:r>
    </w:p>
    <w:p w:rsidR="00035BE3" w:rsidRDefault="00035BE3" w:rsidP="007C7F13">
      <w:pPr>
        <w:pStyle w:val="a6"/>
        <w:numPr>
          <w:ilvl w:val="0"/>
          <w:numId w:val="4"/>
        </w:numPr>
        <w:tabs>
          <w:tab w:val="clear" w:pos="720"/>
        </w:tabs>
        <w:spacing w:line="228" w:lineRule="auto"/>
        <w:ind w:left="1132" w:hanging="567"/>
        <w:jc w:val="lowKashida"/>
        <w:rPr>
          <w:b/>
          <w:bCs/>
        </w:rPr>
      </w:pPr>
      <w:r>
        <w:rPr>
          <w:rFonts w:hint="cs"/>
          <w:sz w:val="28"/>
          <w:rtl/>
        </w:rPr>
        <w:t xml:space="preserve"> الشيخ عبدالرزاق الحلبي (مدير الجامع الأموي في دمشق، ورئيس علماء الحنفية في سوريا).</w:t>
      </w:r>
    </w:p>
    <w:p w:rsidR="00035BE3" w:rsidRDefault="00035BE3" w:rsidP="00DB59CC">
      <w:pPr>
        <w:pStyle w:val="a6"/>
        <w:ind w:left="139" w:firstLine="0"/>
        <w:jc w:val="lowKashida"/>
        <w:rPr>
          <w:sz w:val="28"/>
          <w:rtl/>
        </w:rPr>
      </w:pPr>
      <w:r>
        <w:rPr>
          <w:rFonts w:hint="cs"/>
          <w:sz w:val="28"/>
          <w:rtl/>
        </w:rPr>
        <w:tab/>
        <w:t xml:space="preserve">بالإضافة إلى هؤلاء كانت هناك طائفة من الباحثين قد تفضلوا مشكـورين بتخصيص جزء  من أوقاتهم </w:t>
      </w:r>
      <w:r>
        <w:rPr>
          <w:rFonts w:hint="cs"/>
          <w:sz w:val="28"/>
          <w:rtl/>
        </w:rPr>
        <w:tab/>
        <w:t>للبحث عن الترجمة، وفق خطة مقترحة سلمتها لهم، وهم:</w:t>
      </w:r>
    </w:p>
    <w:p w:rsidR="00035BE3" w:rsidRDefault="00035BE3" w:rsidP="00DB59CC">
      <w:pPr>
        <w:pStyle w:val="a6"/>
        <w:ind w:left="360" w:hanging="362"/>
        <w:jc w:val="lowKashida"/>
        <w:rPr>
          <w:sz w:val="28"/>
          <w:rtl/>
        </w:rPr>
      </w:pPr>
      <w:r>
        <w:rPr>
          <w:rFonts w:hint="cs"/>
          <w:b/>
          <w:bCs/>
          <w:sz w:val="28"/>
          <w:rtl/>
        </w:rPr>
        <w:tab/>
      </w:r>
      <w:r>
        <w:rPr>
          <w:rFonts w:hint="cs"/>
          <w:b/>
          <w:bCs/>
          <w:sz w:val="28"/>
          <w:rtl/>
        </w:rPr>
        <w:tab/>
        <w:t>1</w:t>
      </w:r>
      <w:r>
        <w:rPr>
          <w:rFonts w:hint="cs"/>
          <w:sz w:val="28"/>
          <w:rtl/>
        </w:rPr>
        <w:t>- د. محمد أفا (في استانبول، وقد حصل على الدكتواره في الفقه من جامعة أم القرى).</w:t>
      </w:r>
    </w:p>
    <w:p w:rsidR="00035BE3" w:rsidRDefault="00035BE3" w:rsidP="00DB59CC">
      <w:pPr>
        <w:pStyle w:val="a6"/>
        <w:ind w:left="360" w:hanging="362"/>
        <w:jc w:val="lowKashida"/>
        <w:rPr>
          <w:b/>
          <w:bCs/>
        </w:rPr>
      </w:pPr>
      <w:r>
        <w:rPr>
          <w:rFonts w:hint="cs"/>
          <w:b/>
          <w:bCs/>
          <w:sz w:val="28"/>
          <w:rtl/>
        </w:rPr>
        <w:tab/>
      </w:r>
      <w:r>
        <w:rPr>
          <w:rFonts w:hint="cs"/>
          <w:b/>
          <w:bCs/>
          <w:sz w:val="28"/>
          <w:rtl/>
        </w:rPr>
        <w:tab/>
        <w:t>2</w:t>
      </w:r>
      <w:r>
        <w:rPr>
          <w:rFonts w:hint="cs"/>
          <w:sz w:val="28"/>
          <w:rtl/>
        </w:rPr>
        <w:t>- الأستاذ مصطفى قرا الهلالي (مدير مركز الفرقان للأبحاث العلمية والدراسات في استانبول).</w:t>
      </w:r>
    </w:p>
    <w:p w:rsidR="00035BE3" w:rsidRDefault="00035BE3" w:rsidP="00DB59CC">
      <w:pPr>
        <w:pStyle w:val="a6"/>
        <w:ind w:left="360" w:hanging="362"/>
        <w:jc w:val="lowKashida"/>
        <w:rPr>
          <w:b/>
          <w:bCs/>
        </w:rPr>
      </w:pPr>
      <w:r>
        <w:rPr>
          <w:rFonts w:hint="cs"/>
          <w:b/>
          <w:bCs/>
          <w:sz w:val="28"/>
          <w:rtl/>
        </w:rPr>
        <w:tab/>
      </w:r>
      <w:r>
        <w:rPr>
          <w:rFonts w:hint="cs"/>
          <w:b/>
          <w:bCs/>
          <w:sz w:val="28"/>
          <w:rtl/>
        </w:rPr>
        <w:tab/>
        <w:t>3</w:t>
      </w:r>
      <w:r>
        <w:rPr>
          <w:rFonts w:hint="cs"/>
          <w:sz w:val="28"/>
          <w:rtl/>
        </w:rPr>
        <w:t xml:space="preserve">- الأستاذ أكرم حسن  العلبي (في دمشق، وهو صاحب كتاب تكملة شـذرات الذهب، ومن المهتمين </w:t>
      </w:r>
      <w:r>
        <w:rPr>
          <w:rFonts w:hint="cs"/>
          <w:sz w:val="28"/>
          <w:rtl/>
        </w:rPr>
        <w:tab/>
        <w:t>بدراسة أحداث القرن الحادي عشر الهجري).</w:t>
      </w:r>
    </w:p>
    <w:p w:rsidR="00035BE3" w:rsidRDefault="00035BE3" w:rsidP="00DB59CC">
      <w:pPr>
        <w:pStyle w:val="a6"/>
        <w:ind w:left="360" w:hanging="362"/>
        <w:jc w:val="lowKashida"/>
        <w:rPr>
          <w:b/>
          <w:bCs/>
        </w:rPr>
      </w:pPr>
      <w:r>
        <w:rPr>
          <w:rFonts w:hint="cs"/>
          <w:b/>
          <w:bCs/>
          <w:sz w:val="28"/>
          <w:rtl/>
        </w:rPr>
        <w:tab/>
      </w:r>
      <w:r>
        <w:rPr>
          <w:rFonts w:hint="cs"/>
          <w:b/>
          <w:bCs/>
          <w:sz w:val="28"/>
          <w:rtl/>
        </w:rPr>
        <w:tab/>
        <w:t>4</w:t>
      </w:r>
      <w:r>
        <w:rPr>
          <w:rFonts w:hint="cs"/>
          <w:sz w:val="28"/>
          <w:rtl/>
        </w:rPr>
        <w:t>- د. عبدالهادي علي إبراهيم (أستاذ أصول الفقه المساعد بكلية الشريعة والقانون بأسيوط).</w:t>
      </w:r>
    </w:p>
    <w:p w:rsidR="00035BE3" w:rsidRDefault="00035BE3" w:rsidP="00DB59CC">
      <w:pPr>
        <w:pStyle w:val="a6"/>
        <w:ind w:left="360" w:hanging="362"/>
        <w:jc w:val="lowKashida"/>
        <w:rPr>
          <w:b/>
          <w:bCs/>
        </w:rPr>
      </w:pPr>
      <w:r>
        <w:rPr>
          <w:rFonts w:hint="cs"/>
          <w:b/>
          <w:bCs/>
          <w:sz w:val="28"/>
          <w:rtl/>
        </w:rPr>
        <w:tab/>
      </w:r>
      <w:r>
        <w:rPr>
          <w:rFonts w:hint="cs"/>
          <w:b/>
          <w:bCs/>
          <w:sz w:val="28"/>
          <w:rtl/>
        </w:rPr>
        <w:tab/>
        <w:t>5</w:t>
      </w:r>
      <w:r>
        <w:rPr>
          <w:rFonts w:hint="cs"/>
          <w:sz w:val="28"/>
          <w:rtl/>
        </w:rPr>
        <w:t xml:space="preserve">- الشيخ يحيى محمد عثمان مستان (المفتي بدار الإفتاء التابعة لمكتبة بـيرمحمد خان في مدينة أحمد آباد </w:t>
      </w:r>
      <w:r>
        <w:rPr>
          <w:rFonts w:hint="cs"/>
          <w:sz w:val="28"/>
          <w:rtl/>
        </w:rPr>
        <w:tab/>
        <w:t>بالهند).</w:t>
      </w:r>
    </w:p>
    <w:p w:rsidR="00035BE3" w:rsidRDefault="00035BE3" w:rsidP="00DB59CC">
      <w:pPr>
        <w:pStyle w:val="a6"/>
        <w:ind w:left="565" w:hanging="567"/>
        <w:jc w:val="lowKashida"/>
        <w:rPr>
          <w:b/>
          <w:bCs/>
        </w:rPr>
      </w:pPr>
      <w:r>
        <w:rPr>
          <w:rFonts w:hint="cs"/>
          <w:b/>
          <w:bCs/>
          <w:sz w:val="28"/>
          <w:rtl/>
        </w:rPr>
        <w:tab/>
      </w:r>
      <w:r>
        <w:rPr>
          <w:rFonts w:hint="cs"/>
          <w:b/>
          <w:bCs/>
          <w:sz w:val="28"/>
          <w:rtl/>
        </w:rPr>
        <w:tab/>
        <w:t>6</w:t>
      </w:r>
      <w:r>
        <w:rPr>
          <w:rFonts w:hint="cs"/>
          <w:sz w:val="28"/>
          <w:rtl/>
        </w:rPr>
        <w:t>- الشيخ شكيل محمد عتيق القاسمي (المدرس بمدرسة جامع العلوم بمدينة كانفور بالهند).</w:t>
      </w:r>
    </w:p>
    <w:p w:rsidR="00035BE3" w:rsidRDefault="00035BE3" w:rsidP="00DB59CC">
      <w:pPr>
        <w:pStyle w:val="a6"/>
        <w:ind w:left="565" w:hanging="567"/>
        <w:jc w:val="lowKashida"/>
        <w:rPr>
          <w:rtl/>
        </w:rPr>
      </w:pPr>
      <w:r>
        <w:rPr>
          <w:rFonts w:hint="cs"/>
          <w:rtl/>
        </w:rPr>
        <w:tab/>
      </w:r>
      <w:r>
        <w:rPr>
          <w:rFonts w:hint="cs"/>
          <w:rtl/>
        </w:rPr>
        <w:tab/>
        <w:t xml:space="preserve">وهذه الخطة ذكرت فيها معلومات مختصرة عن المؤلف وكتابه، ثم اقترحت عددًا من  الطرق الموصلة إلى  </w:t>
      </w:r>
      <w:r>
        <w:rPr>
          <w:rFonts w:hint="cs"/>
          <w:rtl/>
        </w:rPr>
        <w:br/>
        <w:t xml:space="preserve">   الترجمة. إلا أنهـم لم يعثروا على جديد.</w:t>
      </w:r>
    </w:p>
    <w:p w:rsidR="00035BE3" w:rsidRDefault="00035BE3" w:rsidP="00DB59CC">
      <w:pPr>
        <w:pStyle w:val="a6"/>
        <w:spacing w:line="264" w:lineRule="auto"/>
        <w:ind w:left="0"/>
        <w:rPr>
          <w:rtl/>
        </w:rPr>
      </w:pPr>
      <w:r>
        <w:rPr>
          <w:rFonts w:hint="cs"/>
          <w:rtl/>
        </w:rPr>
        <w:tab/>
        <w:t>وحيث إن هذه الطرق قد سرت عليها: يناسب سردها على النحو الآتي:</w:t>
      </w:r>
    </w:p>
    <w:p w:rsidR="00035BE3" w:rsidRDefault="00035BE3" w:rsidP="00DB59CC">
      <w:pPr>
        <w:pStyle w:val="a6"/>
        <w:spacing w:line="264" w:lineRule="auto"/>
        <w:ind w:left="0"/>
        <w:rPr>
          <w:spacing w:val="-4"/>
          <w:rtl/>
        </w:rPr>
      </w:pPr>
      <w:r>
        <w:rPr>
          <w:rFonts w:hint="cs"/>
          <w:b/>
          <w:bCs/>
          <w:spacing w:val="-4"/>
          <w:rtl/>
        </w:rPr>
        <w:tab/>
      </w:r>
      <w:r>
        <w:rPr>
          <w:b/>
          <w:bCs/>
          <w:spacing w:val="-4"/>
          <w:rtl/>
        </w:rPr>
        <w:t>1</w:t>
      </w:r>
      <w:r>
        <w:rPr>
          <w:rFonts w:hint="cs"/>
          <w:b/>
          <w:bCs/>
          <w:spacing w:val="-4"/>
          <w:rtl/>
        </w:rPr>
        <w:t>-</w:t>
      </w:r>
      <w:r>
        <w:rPr>
          <w:spacing w:val="-4"/>
          <w:rtl/>
        </w:rPr>
        <w:t xml:space="preserve"> البحث عن اسم العالم مباشرة في كتب التراجم و الت</w:t>
      </w:r>
      <w:r>
        <w:rPr>
          <w:rFonts w:hint="cs"/>
          <w:spacing w:val="-4"/>
          <w:rtl/>
        </w:rPr>
        <w:t>أ</w:t>
      </w:r>
      <w:r>
        <w:rPr>
          <w:spacing w:val="-4"/>
          <w:rtl/>
        </w:rPr>
        <w:t>ريخ،سواء كانت مطبوعة أم مخطوطة (</w:t>
      </w:r>
      <w:r>
        <w:rPr>
          <w:rFonts w:hint="cs"/>
          <w:spacing w:val="-4"/>
          <w:rtl/>
        </w:rPr>
        <w:t>و</w:t>
      </w:r>
      <w:r>
        <w:rPr>
          <w:spacing w:val="-4"/>
          <w:rtl/>
        </w:rPr>
        <w:t xml:space="preserve">لاسيما الكتب </w:t>
      </w:r>
      <w:r>
        <w:rPr>
          <w:rFonts w:hint="cs"/>
          <w:spacing w:val="-4"/>
          <w:rtl/>
        </w:rPr>
        <w:tab/>
      </w:r>
      <w:r>
        <w:rPr>
          <w:spacing w:val="-4"/>
          <w:rtl/>
        </w:rPr>
        <w:t>المكتوبة باللغة العثمانية أو التركية )، ويجب أن تكون هذه الكتب ألفت في القرن الحادي عشر الهجري فما فوق.</w:t>
      </w:r>
    </w:p>
    <w:p w:rsidR="00035BE3" w:rsidRDefault="00035BE3" w:rsidP="00DB59CC">
      <w:pPr>
        <w:pStyle w:val="a6"/>
        <w:spacing w:line="264" w:lineRule="auto"/>
        <w:ind w:left="0"/>
        <w:rPr>
          <w:rtl/>
        </w:rPr>
      </w:pPr>
      <w:r>
        <w:rPr>
          <w:rFonts w:hint="cs"/>
          <w:b/>
          <w:bCs/>
          <w:rtl/>
        </w:rPr>
        <w:tab/>
      </w:r>
      <w:r>
        <w:rPr>
          <w:b/>
          <w:bCs/>
          <w:rtl/>
        </w:rPr>
        <w:t>2</w:t>
      </w:r>
      <w:r>
        <w:rPr>
          <w:rFonts w:hint="cs"/>
          <w:b/>
          <w:bCs/>
          <w:rtl/>
        </w:rPr>
        <w:t>-</w:t>
      </w:r>
      <w:r>
        <w:rPr>
          <w:rtl/>
        </w:rPr>
        <w:t xml:space="preserve"> البحث عن كتابه:</w:t>
      </w:r>
      <w:r>
        <w:rPr>
          <w:rFonts w:hint="cs"/>
          <w:rtl/>
        </w:rPr>
        <w:t xml:space="preserve"> </w:t>
      </w:r>
      <w:r>
        <w:rPr>
          <w:rFonts w:hint="eastAsia"/>
          <w:szCs w:val="20"/>
          <w:rtl/>
          <w:lang w:eastAsia="en-GB"/>
        </w:rPr>
        <w:t>«</w:t>
      </w:r>
      <w:r>
        <w:rPr>
          <w:rFonts w:hint="cs"/>
          <w:szCs w:val="20"/>
          <w:rtl/>
          <w:lang w:eastAsia="en-GB"/>
        </w:rPr>
        <w:t xml:space="preserve"> </w:t>
      </w:r>
      <w:r>
        <w:rPr>
          <w:rtl/>
        </w:rPr>
        <w:t xml:space="preserve">ترتيب اللآلي في سلك الأمالي </w:t>
      </w:r>
      <w:r>
        <w:rPr>
          <w:rFonts w:hint="eastAsia"/>
          <w:szCs w:val="20"/>
          <w:rtl/>
          <w:lang w:eastAsia="en-GB"/>
        </w:rPr>
        <w:t>»</w:t>
      </w:r>
      <w:r>
        <w:rPr>
          <w:rFonts w:hint="cs"/>
          <w:szCs w:val="20"/>
          <w:rtl/>
          <w:lang w:eastAsia="en-GB"/>
        </w:rPr>
        <w:t>،</w:t>
      </w:r>
      <w:r>
        <w:rPr>
          <w:rtl/>
        </w:rPr>
        <w:t xml:space="preserve"> فقد ي</w:t>
      </w:r>
      <w:r>
        <w:rPr>
          <w:rFonts w:hint="cs"/>
          <w:rtl/>
        </w:rPr>
        <w:t>ُ</w:t>
      </w:r>
      <w:r>
        <w:rPr>
          <w:rtl/>
        </w:rPr>
        <w:t>ذكر ناظرزاده تبعا للكتاب.</w:t>
      </w:r>
    </w:p>
    <w:p w:rsidR="00035BE3" w:rsidRDefault="00035BE3" w:rsidP="00DB59CC">
      <w:pPr>
        <w:pStyle w:val="a6"/>
        <w:spacing w:line="264" w:lineRule="auto"/>
        <w:ind w:left="0"/>
        <w:rPr>
          <w:rtl/>
        </w:rPr>
      </w:pPr>
      <w:r>
        <w:rPr>
          <w:rFonts w:hint="cs"/>
          <w:b/>
          <w:bCs/>
          <w:rtl/>
        </w:rPr>
        <w:tab/>
      </w:r>
      <w:r>
        <w:rPr>
          <w:b/>
          <w:bCs/>
          <w:rtl/>
        </w:rPr>
        <w:t>3</w:t>
      </w:r>
      <w:r>
        <w:rPr>
          <w:rFonts w:hint="cs"/>
          <w:b/>
          <w:bCs/>
          <w:rtl/>
        </w:rPr>
        <w:t xml:space="preserve">- </w:t>
      </w:r>
      <w:r>
        <w:rPr>
          <w:rtl/>
        </w:rPr>
        <w:t>البحث عن ترجمة شيخه أبي سعيد بن أسعد(ت 1072هـ)، فقد يذكر ناظر زاده من بين تلاميذه</w:t>
      </w:r>
      <w:r>
        <w:rPr>
          <w:rFonts w:hint="cs"/>
          <w:rtl/>
        </w:rPr>
        <w:t>.</w:t>
      </w:r>
    </w:p>
    <w:p w:rsidR="00035BE3" w:rsidRDefault="00035BE3" w:rsidP="00DB59CC">
      <w:pPr>
        <w:pStyle w:val="a6"/>
        <w:spacing w:line="264" w:lineRule="auto"/>
        <w:ind w:left="0"/>
        <w:rPr>
          <w:rtl/>
        </w:rPr>
      </w:pPr>
      <w:r>
        <w:rPr>
          <w:rFonts w:hint="cs"/>
          <w:b/>
          <w:bCs/>
          <w:rtl/>
        </w:rPr>
        <w:tab/>
      </w:r>
      <w:r>
        <w:rPr>
          <w:b/>
          <w:bCs/>
          <w:rtl/>
        </w:rPr>
        <w:t>4</w:t>
      </w:r>
      <w:r>
        <w:rPr>
          <w:rFonts w:hint="cs"/>
          <w:b/>
          <w:bCs/>
          <w:rtl/>
        </w:rPr>
        <w:t>-</w:t>
      </w:r>
      <w:r>
        <w:rPr>
          <w:rtl/>
        </w:rPr>
        <w:t xml:space="preserve"> </w:t>
      </w:r>
      <w:r w:rsidRPr="00A87C0C">
        <w:rPr>
          <w:spacing w:val="-2"/>
          <w:rtl/>
        </w:rPr>
        <w:t xml:space="preserve">البحث عن ترجمة عبد الرحمن بن الشيخ محمد بن سليمان المدعو بشيخي زاده (ت1078هـ)،صاحب </w:t>
      </w:r>
      <w:r>
        <w:rPr>
          <w:rFonts w:hint="cs"/>
          <w:spacing w:val="-2"/>
          <w:rtl/>
        </w:rPr>
        <w:t xml:space="preserve"> </w:t>
      </w:r>
      <w:r>
        <w:rPr>
          <w:rFonts w:hint="cs"/>
          <w:spacing w:val="-2"/>
          <w:rtl/>
        </w:rPr>
        <w:br/>
        <w:t xml:space="preserve">           </w:t>
      </w:r>
      <w:r w:rsidRPr="00A87C0C">
        <w:rPr>
          <w:spacing w:val="-2"/>
          <w:rtl/>
        </w:rPr>
        <w:t>كتاب (مجمع الأنهر في شرح ملتقى الأبحر )، فقد يكون هذا العالم ابنا لناظر زاده.</w:t>
      </w:r>
      <w:r>
        <w:rPr>
          <w:rFonts w:hint="cs"/>
          <w:rtl/>
        </w:rPr>
        <w:t xml:space="preserve">                            </w:t>
      </w:r>
    </w:p>
    <w:p w:rsidR="00035BE3" w:rsidRDefault="00035BE3" w:rsidP="00DB59CC">
      <w:pPr>
        <w:pStyle w:val="a6"/>
        <w:spacing w:line="228" w:lineRule="auto"/>
        <w:ind w:left="423" w:hanging="427"/>
        <w:rPr>
          <w:b/>
          <w:bCs/>
          <w:rtl/>
        </w:rPr>
      </w:pPr>
    </w:p>
    <w:p w:rsidR="00035BE3" w:rsidRDefault="00035BE3" w:rsidP="00DB59CC">
      <w:pPr>
        <w:pStyle w:val="a6"/>
        <w:spacing w:line="228" w:lineRule="auto"/>
        <w:ind w:left="423" w:hanging="427"/>
        <w:rPr>
          <w:rtl/>
        </w:rPr>
      </w:pPr>
      <w:r>
        <w:rPr>
          <w:rFonts w:hint="cs"/>
          <w:b/>
          <w:bCs/>
          <w:rtl/>
        </w:rPr>
        <w:tab/>
      </w:r>
      <w:r>
        <w:rPr>
          <w:b/>
          <w:bCs/>
          <w:rtl/>
        </w:rPr>
        <w:t>5</w:t>
      </w:r>
      <w:r>
        <w:rPr>
          <w:rFonts w:hint="cs"/>
          <w:b/>
          <w:bCs/>
          <w:rtl/>
        </w:rPr>
        <w:t>-</w:t>
      </w:r>
      <w:r>
        <w:rPr>
          <w:b/>
          <w:bCs/>
          <w:rtl/>
        </w:rPr>
        <w:t xml:space="preserve"> </w:t>
      </w:r>
      <w:r>
        <w:rPr>
          <w:rtl/>
        </w:rPr>
        <w:t>البحث عن ترجمة النّسّاخ للكتاب، ومنهم:</w:t>
      </w:r>
    </w:p>
    <w:p w:rsidR="00035BE3" w:rsidRDefault="00035BE3" w:rsidP="00DB59CC">
      <w:pPr>
        <w:pStyle w:val="a6"/>
        <w:spacing w:line="228" w:lineRule="auto"/>
        <w:ind w:left="423" w:hanging="427"/>
        <w:rPr>
          <w:rtl/>
        </w:rPr>
      </w:pPr>
      <w:r>
        <w:rPr>
          <w:rFonts w:hint="cs"/>
          <w:b/>
          <w:bCs/>
          <w:rtl/>
        </w:rPr>
        <w:tab/>
        <w:t xml:space="preserve"> </w:t>
      </w:r>
      <w:r>
        <w:rPr>
          <w:b/>
          <w:bCs/>
          <w:rtl/>
        </w:rPr>
        <w:t>أ</w:t>
      </w:r>
      <w:r>
        <w:rPr>
          <w:rFonts w:hint="cs"/>
          <w:rtl/>
        </w:rPr>
        <w:t>-</w:t>
      </w:r>
      <w:r>
        <w:rPr>
          <w:rtl/>
        </w:rPr>
        <w:t xml:space="preserve"> الشيخ محمد بن الشيخ عبد الله بن الشيخ زكريا القدسي،من نسل تميم الداري (كان حيا عام 1168هـ)</w:t>
      </w:r>
      <w:r>
        <w:rPr>
          <w:rFonts w:hint="cs"/>
          <w:rtl/>
        </w:rPr>
        <w:t xml:space="preserve">. </w:t>
      </w:r>
    </w:p>
    <w:p w:rsidR="00035BE3" w:rsidRDefault="00035BE3" w:rsidP="00DB59CC">
      <w:pPr>
        <w:pStyle w:val="a6"/>
        <w:spacing w:line="228" w:lineRule="auto"/>
        <w:ind w:left="0"/>
        <w:rPr>
          <w:rtl/>
        </w:rPr>
      </w:pPr>
      <w:r>
        <w:rPr>
          <w:rFonts w:hint="cs"/>
          <w:b/>
          <w:bCs/>
          <w:rtl/>
        </w:rPr>
        <w:t xml:space="preserve">  </w:t>
      </w:r>
      <w:r>
        <w:rPr>
          <w:b/>
          <w:bCs/>
          <w:rtl/>
        </w:rPr>
        <w:t>ب</w:t>
      </w:r>
      <w:r>
        <w:rPr>
          <w:rtl/>
        </w:rPr>
        <w:t xml:space="preserve"> </w:t>
      </w:r>
      <w:r>
        <w:rPr>
          <w:rFonts w:hint="cs"/>
          <w:rtl/>
        </w:rPr>
        <w:t>-</w:t>
      </w:r>
      <w:r>
        <w:rPr>
          <w:rtl/>
        </w:rPr>
        <w:t xml:space="preserve"> عبد الكريم بن عبد الرحمن اليكشهري</w:t>
      </w:r>
      <w:r>
        <w:rPr>
          <w:rFonts w:hint="cs"/>
          <w:rtl/>
        </w:rPr>
        <w:t>،</w:t>
      </w:r>
      <w:r>
        <w:rPr>
          <w:rtl/>
        </w:rPr>
        <w:t xml:space="preserve"> الشهير بشيخ عجم (كان حيا عام 106</w:t>
      </w:r>
      <w:r>
        <w:rPr>
          <w:rFonts w:hint="cs"/>
          <w:rtl/>
        </w:rPr>
        <w:t>5ه</w:t>
      </w:r>
      <w:r>
        <w:rPr>
          <w:rtl/>
        </w:rPr>
        <w:t>ـ)</w:t>
      </w:r>
      <w:r>
        <w:rPr>
          <w:rFonts w:hint="cs"/>
          <w:rtl/>
        </w:rPr>
        <w:t>.</w:t>
      </w:r>
    </w:p>
    <w:p w:rsidR="00035BE3" w:rsidRDefault="00035BE3" w:rsidP="00DB59CC">
      <w:pPr>
        <w:pStyle w:val="a6"/>
        <w:spacing w:line="228" w:lineRule="auto"/>
        <w:ind w:left="0"/>
        <w:rPr>
          <w:rtl/>
        </w:rPr>
      </w:pPr>
      <w:r>
        <w:rPr>
          <w:rFonts w:hint="cs"/>
          <w:b/>
          <w:bCs/>
          <w:rtl/>
        </w:rPr>
        <w:t xml:space="preserve">  </w:t>
      </w:r>
      <w:r>
        <w:rPr>
          <w:b/>
          <w:bCs/>
          <w:rtl/>
        </w:rPr>
        <w:t>7</w:t>
      </w:r>
      <w:r>
        <w:rPr>
          <w:rFonts w:hint="cs"/>
          <w:b/>
          <w:bCs/>
          <w:rtl/>
        </w:rPr>
        <w:t>-</w:t>
      </w:r>
      <w:r>
        <w:rPr>
          <w:rtl/>
        </w:rPr>
        <w:t xml:space="preserve"> الكتاب نسب خطأ لأحمد بن عبد الرحمن البشكطاشي(ت 1136هـ )، ـ وممن نسبه إليه صاحبا: هدية </w:t>
      </w:r>
      <w:r>
        <w:rPr>
          <w:rFonts w:hint="cs"/>
          <w:rtl/>
        </w:rPr>
        <w:t xml:space="preserve">       </w:t>
      </w:r>
      <w:r>
        <w:rPr>
          <w:rFonts w:hint="cs"/>
          <w:rtl/>
        </w:rPr>
        <w:br/>
        <w:t xml:space="preserve">       </w:t>
      </w:r>
      <w:r>
        <w:rPr>
          <w:rtl/>
        </w:rPr>
        <w:t>العارفين، 1/170؛ ومعجم المؤلفين،1/166 ـ فبالبحث عن ترجمته قد يشار إلى ناظر زاده.</w:t>
      </w:r>
    </w:p>
    <w:p w:rsidR="00035BE3" w:rsidRDefault="00035BE3" w:rsidP="00DB59CC">
      <w:pPr>
        <w:pStyle w:val="a6"/>
        <w:spacing w:line="228" w:lineRule="auto"/>
        <w:ind w:left="423" w:hanging="427"/>
        <w:rPr>
          <w:sz w:val="28"/>
          <w:rtl/>
        </w:rPr>
      </w:pPr>
      <w:r>
        <w:rPr>
          <w:rFonts w:hint="cs"/>
          <w:b/>
          <w:bCs/>
          <w:sz w:val="28"/>
          <w:rtl/>
        </w:rPr>
        <w:tab/>
      </w:r>
      <w:r>
        <w:rPr>
          <w:b/>
          <w:bCs/>
          <w:sz w:val="28"/>
          <w:rtl/>
        </w:rPr>
        <w:t>8</w:t>
      </w:r>
      <w:r>
        <w:rPr>
          <w:rFonts w:hint="cs"/>
          <w:b/>
          <w:bCs/>
          <w:sz w:val="28"/>
          <w:rtl/>
        </w:rPr>
        <w:t>-</w:t>
      </w:r>
      <w:r>
        <w:rPr>
          <w:sz w:val="28"/>
          <w:rtl/>
        </w:rPr>
        <w:t xml:space="preserve"> من الكتب التي استفادت من كتاب (ترتيب اللآلي) استفادة كبيرة: (مجامع الحقائق )لأبي سعيد الخادمي (ت</w:t>
      </w:r>
      <w:r>
        <w:rPr>
          <w:rFonts w:hint="cs"/>
          <w:sz w:val="28"/>
          <w:rtl/>
        </w:rPr>
        <w:t> </w:t>
      </w:r>
      <w:r>
        <w:rPr>
          <w:sz w:val="28"/>
          <w:rtl/>
        </w:rPr>
        <w:t>1176هـ )، فبالبحث عن ترجمته، وفي مؤلفاته قد يشيد بناظر زاد</w:t>
      </w:r>
      <w:r>
        <w:rPr>
          <w:rFonts w:hint="cs"/>
          <w:sz w:val="28"/>
          <w:rtl/>
        </w:rPr>
        <w:t>ه</w:t>
      </w:r>
      <w:r>
        <w:rPr>
          <w:sz w:val="28"/>
          <w:rtl/>
        </w:rPr>
        <w:t>.</w:t>
      </w:r>
    </w:p>
    <w:p w:rsidR="00035BE3" w:rsidRDefault="00035BE3" w:rsidP="00DB59CC">
      <w:pPr>
        <w:pStyle w:val="a6"/>
        <w:ind w:left="423" w:firstLine="0"/>
        <w:rPr>
          <w:sz w:val="28"/>
          <w:rtl/>
        </w:rPr>
      </w:pPr>
      <w:r>
        <w:rPr>
          <w:b/>
          <w:bCs/>
          <w:sz w:val="28"/>
          <w:rtl/>
        </w:rPr>
        <w:t>9</w:t>
      </w:r>
      <w:r>
        <w:rPr>
          <w:rFonts w:hint="cs"/>
          <w:b/>
          <w:bCs/>
          <w:sz w:val="28"/>
          <w:rtl/>
        </w:rPr>
        <w:t>-</w:t>
      </w:r>
      <w:r>
        <w:rPr>
          <w:b/>
          <w:bCs/>
          <w:sz w:val="28"/>
          <w:rtl/>
        </w:rPr>
        <w:t xml:space="preserve"> </w:t>
      </w:r>
      <w:r>
        <w:rPr>
          <w:sz w:val="28"/>
          <w:rtl/>
        </w:rPr>
        <w:t>البحث في كتب التأريخ العثماني.</w:t>
      </w:r>
    </w:p>
    <w:p w:rsidR="00035BE3" w:rsidRDefault="00035BE3" w:rsidP="00DB59CC">
      <w:pPr>
        <w:pStyle w:val="a6"/>
        <w:ind w:left="423" w:firstLine="0"/>
        <w:rPr>
          <w:spacing w:val="-2"/>
          <w:sz w:val="28"/>
          <w:rtl/>
        </w:rPr>
      </w:pPr>
      <w:r>
        <w:rPr>
          <w:b/>
          <w:bCs/>
          <w:spacing w:val="-2"/>
          <w:sz w:val="28"/>
          <w:rtl/>
        </w:rPr>
        <w:t>10</w:t>
      </w:r>
      <w:r>
        <w:rPr>
          <w:rFonts w:hint="cs"/>
          <w:b/>
          <w:bCs/>
          <w:spacing w:val="-2"/>
          <w:sz w:val="28"/>
          <w:rtl/>
        </w:rPr>
        <w:t>-</w:t>
      </w:r>
      <w:r>
        <w:rPr>
          <w:rFonts w:hint="cs"/>
          <w:spacing w:val="-2"/>
          <w:sz w:val="28"/>
          <w:rtl/>
        </w:rPr>
        <w:t xml:space="preserve"> </w:t>
      </w:r>
      <w:r>
        <w:rPr>
          <w:spacing w:val="-2"/>
          <w:sz w:val="28"/>
          <w:rtl/>
        </w:rPr>
        <w:t>البحث في أجهزة الحاسوب الموجودة في المكتبات العامة، وفي الأقراص المحتوية على برامج شرعية وتأريخية.</w:t>
      </w:r>
    </w:p>
    <w:p w:rsidR="00035BE3" w:rsidRDefault="00035BE3" w:rsidP="00DB59CC">
      <w:pPr>
        <w:pStyle w:val="a6"/>
        <w:ind w:left="423" w:firstLine="0"/>
        <w:rPr>
          <w:sz w:val="28"/>
          <w:rtl/>
        </w:rPr>
      </w:pPr>
      <w:r>
        <w:rPr>
          <w:b/>
          <w:bCs/>
          <w:sz w:val="28"/>
          <w:rtl/>
        </w:rPr>
        <w:t>11</w:t>
      </w:r>
      <w:r>
        <w:rPr>
          <w:rFonts w:hint="cs"/>
          <w:b/>
          <w:bCs/>
          <w:sz w:val="28"/>
          <w:rtl/>
        </w:rPr>
        <w:t>-</w:t>
      </w:r>
      <w:r>
        <w:rPr>
          <w:sz w:val="28"/>
          <w:rtl/>
        </w:rPr>
        <w:t xml:space="preserve"> أو أي طريقة أخرى توص</w:t>
      </w:r>
      <w:r>
        <w:rPr>
          <w:rFonts w:hint="cs"/>
          <w:sz w:val="28"/>
          <w:rtl/>
        </w:rPr>
        <w:t>ّ</w:t>
      </w:r>
      <w:r>
        <w:rPr>
          <w:sz w:val="28"/>
          <w:rtl/>
        </w:rPr>
        <w:t>ل إلى ترجمة حياة ناظرزاده.</w:t>
      </w:r>
    </w:p>
    <w:p w:rsidR="00035BE3" w:rsidRDefault="00035BE3" w:rsidP="00DB59CC">
      <w:pPr>
        <w:pStyle w:val="a6"/>
        <w:ind w:left="423" w:firstLine="0"/>
        <w:jc w:val="lowKashida"/>
        <w:rPr>
          <w:sz w:val="28"/>
          <w:rtl/>
        </w:rPr>
      </w:pPr>
      <w:r>
        <w:rPr>
          <w:rFonts w:hint="cs"/>
          <w:b/>
          <w:bCs/>
          <w:sz w:val="28"/>
          <w:rtl/>
        </w:rPr>
        <w:t>وفي نهاية هذا الهامش</w:t>
      </w:r>
      <w:r>
        <w:rPr>
          <w:rFonts w:hint="cs"/>
          <w:sz w:val="28"/>
          <w:rtl/>
        </w:rPr>
        <w:t>: يناسب بيان أهم المراجع التي تم البحث فيها دون العثور على الترجمة، مع الاكتفاء بآكد مظان الترجمة من المراجع غير المشهورة، وهي على النحو الآتي:</w:t>
      </w:r>
    </w:p>
    <w:p w:rsidR="00035BE3" w:rsidRDefault="00035BE3" w:rsidP="007C7F13">
      <w:pPr>
        <w:pStyle w:val="a6"/>
        <w:numPr>
          <w:ilvl w:val="0"/>
          <w:numId w:val="5"/>
        </w:numPr>
        <w:tabs>
          <w:tab w:val="clear" w:pos="720"/>
        </w:tabs>
        <w:ind w:left="423" w:firstLine="0"/>
        <w:jc w:val="lowKashida"/>
        <w:rPr>
          <w:b/>
          <w:bCs/>
        </w:rPr>
      </w:pPr>
      <w:r>
        <w:rPr>
          <w:rFonts w:hint="cs"/>
          <w:sz w:val="28"/>
          <w:rtl/>
        </w:rPr>
        <w:t>أزهار البستان في طبقات الأعيان ( ويسمى بالأزهار الطيبة)، لعبدالستار بن عبداللطيف الدهلوي الحنفي (ت1355هـ) (مخطوط بمكتبة الحرم المدني، برقم 4/920).</w:t>
      </w:r>
    </w:p>
    <w:p w:rsidR="00035BE3" w:rsidRDefault="00035BE3" w:rsidP="007C7F13">
      <w:pPr>
        <w:pStyle w:val="a6"/>
        <w:numPr>
          <w:ilvl w:val="0"/>
          <w:numId w:val="5"/>
        </w:numPr>
        <w:tabs>
          <w:tab w:val="clear" w:pos="720"/>
        </w:tabs>
        <w:ind w:left="423" w:firstLine="0"/>
        <w:jc w:val="lowKashida"/>
        <w:rPr>
          <w:b/>
          <w:bCs/>
        </w:rPr>
      </w:pPr>
      <w:r>
        <w:rPr>
          <w:rFonts w:hint="cs"/>
          <w:sz w:val="28"/>
          <w:rtl/>
        </w:rPr>
        <w:t>أسماء الكتب لرياضي زاده (القرن الحادي عشر).</w:t>
      </w:r>
    </w:p>
    <w:p w:rsidR="00035BE3" w:rsidRDefault="00035BE3" w:rsidP="007C7F13">
      <w:pPr>
        <w:pStyle w:val="a6"/>
        <w:numPr>
          <w:ilvl w:val="0"/>
          <w:numId w:val="5"/>
        </w:numPr>
        <w:tabs>
          <w:tab w:val="clear" w:pos="720"/>
        </w:tabs>
        <w:ind w:left="423" w:firstLine="0"/>
        <w:jc w:val="lowKashida"/>
        <w:rPr>
          <w:b/>
          <w:bCs/>
        </w:rPr>
      </w:pPr>
      <w:r>
        <w:rPr>
          <w:rFonts w:hint="cs"/>
          <w:sz w:val="28"/>
          <w:rtl/>
        </w:rPr>
        <w:t>تاريخ سلسلة علماء (مخطوط باللغة العثمانية، بمكتبة السليمانية، فهرس أسعد أفندي، برقم 2142).</w:t>
      </w:r>
    </w:p>
    <w:p w:rsidR="00035BE3" w:rsidRDefault="00035BE3" w:rsidP="007C7F13">
      <w:pPr>
        <w:pStyle w:val="a6"/>
        <w:numPr>
          <w:ilvl w:val="0"/>
          <w:numId w:val="5"/>
        </w:numPr>
        <w:tabs>
          <w:tab w:val="clear" w:pos="720"/>
        </w:tabs>
        <w:ind w:left="423" w:firstLine="0"/>
        <w:jc w:val="lowKashida"/>
        <w:rPr>
          <w:b/>
          <w:bCs/>
        </w:rPr>
      </w:pPr>
      <w:r>
        <w:rPr>
          <w:rFonts w:hint="cs"/>
          <w:sz w:val="28"/>
          <w:rtl/>
        </w:rPr>
        <w:t>تراجم الأعيان من أبناء الزمان، للحسن بن محمد البوريني (ت1024هـ).</w:t>
      </w:r>
    </w:p>
    <w:p w:rsidR="00035BE3" w:rsidRDefault="00035BE3" w:rsidP="007C7F13">
      <w:pPr>
        <w:pStyle w:val="a6"/>
        <w:numPr>
          <w:ilvl w:val="0"/>
          <w:numId w:val="5"/>
        </w:numPr>
        <w:tabs>
          <w:tab w:val="clear" w:pos="720"/>
        </w:tabs>
        <w:ind w:left="423" w:firstLine="0"/>
        <w:jc w:val="lowKashida"/>
        <w:rPr>
          <w:b/>
          <w:bCs/>
        </w:rPr>
      </w:pPr>
      <w:r>
        <w:rPr>
          <w:rFonts w:hint="cs"/>
          <w:sz w:val="28"/>
          <w:rtl/>
        </w:rPr>
        <w:t>تكملة الشقائق في حق أهل الحقائق، لفند قليلي عصمت أفندي.</w:t>
      </w:r>
    </w:p>
    <w:p w:rsidR="00035BE3" w:rsidRDefault="00035BE3" w:rsidP="007C7F13">
      <w:pPr>
        <w:pStyle w:val="a6"/>
        <w:numPr>
          <w:ilvl w:val="0"/>
          <w:numId w:val="5"/>
        </w:numPr>
        <w:tabs>
          <w:tab w:val="clear" w:pos="720"/>
        </w:tabs>
        <w:ind w:left="423" w:firstLine="0"/>
        <w:jc w:val="lowKashida"/>
        <w:rPr>
          <w:b/>
          <w:bCs/>
        </w:rPr>
      </w:pPr>
      <w:r>
        <w:rPr>
          <w:rFonts w:hint="cs"/>
          <w:sz w:val="28"/>
          <w:rtl/>
        </w:rPr>
        <w:t>حدائق الحقائق في تكملة الشقائق، لنوعي زاده عطائي (ت1044هـ) (مطبوع باللغة العثمانية).</w:t>
      </w:r>
    </w:p>
    <w:p w:rsidR="00035BE3" w:rsidRDefault="00035BE3" w:rsidP="007C7F13">
      <w:pPr>
        <w:pStyle w:val="a6"/>
        <w:numPr>
          <w:ilvl w:val="0"/>
          <w:numId w:val="5"/>
        </w:numPr>
        <w:tabs>
          <w:tab w:val="clear" w:pos="720"/>
        </w:tabs>
        <w:ind w:left="423" w:firstLine="0"/>
        <w:jc w:val="lowKashida"/>
        <w:rPr>
          <w:b/>
          <w:bCs/>
        </w:rPr>
      </w:pPr>
      <w:r>
        <w:rPr>
          <w:rFonts w:hint="cs"/>
          <w:sz w:val="28"/>
          <w:rtl/>
        </w:rPr>
        <w:t>حدائق الشقائق، لمجدي محمد أفندي (ذيل للشقائق باللغة العثمانية).</w:t>
      </w:r>
    </w:p>
    <w:p w:rsidR="00035BE3" w:rsidRDefault="00035BE3" w:rsidP="007C7F13">
      <w:pPr>
        <w:pStyle w:val="a6"/>
        <w:numPr>
          <w:ilvl w:val="0"/>
          <w:numId w:val="5"/>
        </w:numPr>
        <w:tabs>
          <w:tab w:val="clear" w:pos="720"/>
        </w:tabs>
        <w:spacing w:line="228" w:lineRule="auto"/>
        <w:ind w:left="425" w:firstLine="0"/>
        <w:jc w:val="lowKashida"/>
        <w:rPr>
          <w:b/>
          <w:bCs/>
        </w:rPr>
      </w:pPr>
      <w:r>
        <w:rPr>
          <w:rFonts w:hint="cs"/>
          <w:sz w:val="28"/>
          <w:rtl/>
        </w:rPr>
        <w:t>حصندر درسلري، لأبي الأولى الماردين (باللغة التركية).</w:t>
      </w:r>
    </w:p>
    <w:p w:rsidR="00035BE3" w:rsidRDefault="00035BE3" w:rsidP="007C7F13">
      <w:pPr>
        <w:pStyle w:val="a6"/>
        <w:numPr>
          <w:ilvl w:val="0"/>
          <w:numId w:val="5"/>
        </w:numPr>
        <w:tabs>
          <w:tab w:val="clear" w:pos="720"/>
        </w:tabs>
        <w:spacing w:line="228" w:lineRule="auto"/>
        <w:ind w:left="425" w:firstLine="0"/>
        <w:jc w:val="lowKashida"/>
        <w:rPr>
          <w:b/>
          <w:bCs/>
        </w:rPr>
      </w:pPr>
      <w:r>
        <w:rPr>
          <w:rFonts w:hint="cs"/>
          <w:sz w:val="28"/>
          <w:rtl/>
        </w:rPr>
        <w:t>خبايا الزوايا فيما في الرجال من البقايا، لشهاب الدين الخفاجي (ت1069هـ) (مخطوط في مكتبة السليمانية  فهرس أسعد أفندي، برقم 2569، وفي مكتبة الأسد، برقم 12219).</w:t>
      </w:r>
    </w:p>
    <w:p w:rsidR="00035BE3" w:rsidRDefault="00035BE3" w:rsidP="00DB59CC">
      <w:pPr>
        <w:pStyle w:val="a6"/>
        <w:spacing w:line="228" w:lineRule="auto"/>
        <w:ind w:left="425" w:firstLine="0"/>
        <w:jc w:val="lowKashida"/>
        <w:rPr>
          <w:b/>
          <w:bCs/>
        </w:rPr>
      </w:pPr>
      <w:r>
        <w:rPr>
          <w:rFonts w:hint="cs"/>
          <w:b/>
          <w:bCs/>
          <w:sz w:val="28"/>
          <w:rtl/>
        </w:rPr>
        <w:t>10</w:t>
      </w:r>
      <w:r>
        <w:rPr>
          <w:rFonts w:hint="cs"/>
          <w:sz w:val="28"/>
          <w:rtl/>
        </w:rPr>
        <w:t xml:space="preserve"> - دائرة المعارف الإسلامية، إعداد وقف الديانة التركي باستانبول (باللغة التركية).</w:t>
      </w:r>
    </w:p>
    <w:p w:rsidR="00035BE3" w:rsidRDefault="00035BE3" w:rsidP="00DB59CC">
      <w:pPr>
        <w:pStyle w:val="a6"/>
        <w:spacing w:line="228" w:lineRule="auto"/>
        <w:ind w:left="425" w:firstLine="0"/>
        <w:jc w:val="lowKashida"/>
        <w:rPr>
          <w:b/>
          <w:bCs/>
        </w:rPr>
      </w:pPr>
      <w:r>
        <w:rPr>
          <w:rFonts w:hint="cs"/>
          <w:b/>
          <w:bCs/>
          <w:sz w:val="28"/>
          <w:rtl/>
        </w:rPr>
        <w:t>11</w:t>
      </w:r>
      <w:r>
        <w:rPr>
          <w:rFonts w:hint="cs"/>
          <w:sz w:val="28"/>
          <w:rtl/>
        </w:rPr>
        <w:t xml:space="preserve"> - دائرة معارف اللغة والآداب التركية، نشر دار دركاه باستانبول (باللغة التركية).</w:t>
      </w:r>
    </w:p>
    <w:p w:rsidR="00035BE3" w:rsidRDefault="00035BE3" w:rsidP="00DB59CC">
      <w:pPr>
        <w:pStyle w:val="a6"/>
        <w:spacing w:line="228" w:lineRule="auto"/>
        <w:ind w:left="425" w:firstLine="0"/>
        <w:jc w:val="lowKashida"/>
        <w:rPr>
          <w:b/>
          <w:bCs/>
          <w:spacing w:val="-6"/>
        </w:rPr>
      </w:pPr>
      <w:r>
        <w:rPr>
          <w:rFonts w:hint="cs"/>
          <w:b/>
          <w:bCs/>
          <w:spacing w:val="-6"/>
          <w:sz w:val="28"/>
          <w:rtl/>
        </w:rPr>
        <w:t>12</w:t>
      </w:r>
      <w:r>
        <w:rPr>
          <w:rFonts w:hint="cs"/>
          <w:spacing w:val="-6"/>
          <w:sz w:val="28"/>
          <w:rtl/>
        </w:rPr>
        <w:t xml:space="preserve"> - دواعي الأمان في معرفة أعيان الزمان، لابن قضيب البان (ت1308هـ) (مخطوط بمكتبة الأسد، برقم 1277). </w:t>
      </w:r>
    </w:p>
    <w:p w:rsidR="00035BE3" w:rsidRDefault="00035BE3" w:rsidP="00DB59CC">
      <w:pPr>
        <w:pStyle w:val="a6"/>
        <w:spacing w:line="228" w:lineRule="auto"/>
        <w:ind w:left="425" w:firstLine="0"/>
        <w:rPr>
          <w:b/>
          <w:bCs/>
        </w:rPr>
      </w:pPr>
      <w:r>
        <w:rPr>
          <w:rFonts w:hint="cs"/>
          <w:b/>
          <w:bCs/>
          <w:rtl/>
        </w:rPr>
        <w:t>13</w:t>
      </w:r>
      <w:r>
        <w:rPr>
          <w:rFonts w:hint="cs"/>
          <w:rtl/>
        </w:rPr>
        <w:t xml:space="preserve"> - دوحة مشايخ كبار، لعبد الرحمن المعروف بمستقيم زاده (مخطوط عثماني، في مكتبة السليمانية، فهرس أسعد أفندي، برقم 2441).</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p>
    <w:p w:rsidR="00035BE3" w:rsidRDefault="00035BE3" w:rsidP="00DB59CC">
      <w:pPr>
        <w:pStyle w:val="a6"/>
        <w:ind w:left="423" w:firstLine="0"/>
        <w:rPr>
          <w:b/>
          <w:bCs/>
        </w:rPr>
      </w:pPr>
      <w:r>
        <w:rPr>
          <w:rFonts w:hint="cs"/>
          <w:b/>
          <w:bCs/>
          <w:rtl/>
        </w:rPr>
        <w:t>14</w:t>
      </w:r>
      <w:r>
        <w:rPr>
          <w:rFonts w:hint="cs"/>
          <w:rtl/>
        </w:rPr>
        <w:t xml:space="preserve"> - ذيل الشقائق المسمى بالعقد المنظوم في ذكر علماء الروم، لعلي أفندي (كتب بالعربية، سنة 1052هـ) (مخطوط في السليمانية، فهرس أسعد أفندي، برقم 2569)، كما طبع مع الشقائق النعمانية.                 </w:t>
      </w:r>
    </w:p>
    <w:p w:rsidR="00035BE3" w:rsidRDefault="00035BE3" w:rsidP="00DB59CC">
      <w:pPr>
        <w:pStyle w:val="a6"/>
        <w:ind w:left="423" w:firstLine="0"/>
        <w:rPr>
          <w:b/>
          <w:bCs/>
          <w:spacing w:val="-8"/>
        </w:rPr>
      </w:pPr>
      <w:r>
        <w:rPr>
          <w:rFonts w:hint="cs"/>
          <w:b/>
          <w:bCs/>
          <w:spacing w:val="-8"/>
          <w:rtl/>
        </w:rPr>
        <w:t>15</w:t>
      </w:r>
      <w:r>
        <w:rPr>
          <w:rFonts w:hint="cs"/>
          <w:spacing w:val="-8"/>
          <w:rtl/>
        </w:rPr>
        <w:t xml:space="preserve"> - ذيل الشقائق، لمحمد شيخي بن الشيخ حسن الفيفي (مخطوط في مكتبة السلميانية، فهرس بشير أغا، برقم 479).</w:t>
      </w:r>
    </w:p>
    <w:p w:rsidR="00035BE3" w:rsidRDefault="00035BE3" w:rsidP="00DB59CC">
      <w:pPr>
        <w:pStyle w:val="a6"/>
        <w:ind w:left="423" w:firstLine="0"/>
        <w:rPr>
          <w:b/>
          <w:bCs/>
        </w:rPr>
      </w:pPr>
      <w:r>
        <w:rPr>
          <w:rFonts w:hint="cs"/>
          <w:b/>
          <w:bCs/>
          <w:rtl/>
        </w:rPr>
        <w:t>16</w:t>
      </w:r>
      <w:r>
        <w:rPr>
          <w:rFonts w:hint="cs"/>
          <w:rtl/>
        </w:rPr>
        <w:t>- ذيل حدائق الملوك مع الوزراء، لعمر أفندي (مخطوط باللغة العثمانية، بمكتبة السليمانية، فهرس أسعد أفندي، برقم 2440).</w:t>
      </w:r>
      <w:r>
        <w:rPr>
          <w:rFonts w:hint="cs"/>
          <w:b/>
          <w:bCs/>
        </w:rPr>
        <w:t xml:space="preserve"> </w:t>
      </w:r>
    </w:p>
    <w:p w:rsidR="00035BE3" w:rsidRDefault="00035BE3" w:rsidP="00DB59CC">
      <w:pPr>
        <w:pStyle w:val="a6"/>
        <w:ind w:left="423" w:firstLine="0"/>
        <w:rPr>
          <w:b/>
          <w:bCs/>
        </w:rPr>
      </w:pPr>
      <w:r>
        <w:rPr>
          <w:rFonts w:hint="cs"/>
          <w:b/>
          <w:bCs/>
          <w:rtl/>
        </w:rPr>
        <w:t>17</w:t>
      </w:r>
      <w:r>
        <w:rPr>
          <w:rFonts w:hint="cs"/>
          <w:rtl/>
        </w:rPr>
        <w:t>- ذيل دوحة المشايخ، لخواجه فيب أفندي (مخطوط باللغة العثمانية).</w:t>
      </w:r>
    </w:p>
    <w:p w:rsidR="00035BE3" w:rsidRDefault="00035BE3" w:rsidP="00DB59CC">
      <w:pPr>
        <w:pStyle w:val="a6"/>
        <w:ind w:left="423" w:firstLine="0"/>
        <w:rPr>
          <w:b/>
          <w:bCs/>
          <w:spacing w:val="-6"/>
        </w:rPr>
      </w:pPr>
      <w:r>
        <w:rPr>
          <w:rFonts w:hint="cs"/>
          <w:b/>
          <w:bCs/>
          <w:spacing w:val="-6"/>
          <w:rtl/>
        </w:rPr>
        <w:t>18</w:t>
      </w:r>
      <w:r>
        <w:rPr>
          <w:rFonts w:hint="cs"/>
          <w:spacing w:val="-6"/>
          <w:rtl/>
        </w:rPr>
        <w:t xml:space="preserve"> - ذيل ذيل الشقائق (مجهول المؤلف) (مخطوط باللغة العثمانية، مكتبة السليمانية، فهرس أيا صوفيا، برقم 3198).</w:t>
      </w:r>
    </w:p>
    <w:p w:rsidR="00035BE3" w:rsidRDefault="00035BE3" w:rsidP="00DB59CC">
      <w:pPr>
        <w:pStyle w:val="a6"/>
        <w:ind w:left="423" w:firstLine="0"/>
        <w:rPr>
          <w:b/>
          <w:bCs/>
        </w:rPr>
      </w:pPr>
      <w:r>
        <w:rPr>
          <w:rFonts w:hint="cs"/>
          <w:b/>
          <w:bCs/>
          <w:rtl/>
        </w:rPr>
        <w:t>19</w:t>
      </w:r>
      <w:r>
        <w:rPr>
          <w:rFonts w:hint="cs"/>
          <w:rtl/>
        </w:rPr>
        <w:t xml:space="preserve"> - ذيل ذيل الشقائق النعمانية، للسيد إبراهيم المدعو بعشاقي زاده (مخطوط باللغة العثمانية في السليمانية، فهرس أسعد أفندي، برقم 2438، وفهرس حلبي عبدالله أفندي، برقم 260).</w:t>
      </w:r>
    </w:p>
    <w:p w:rsidR="00035BE3" w:rsidRDefault="00035BE3" w:rsidP="00DB59CC">
      <w:pPr>
        <w:pStyle w:val="a6"/>
        <w:ind w:left="423" w:firstLine="0"/>
        <w:rPr>
          <w:b/>
          <w:bCs/>
        </w:rPr>
      </w:pPr>
      <w:r>
        <w:rPr>
          <w:rFonts w:hint="cs"/>
          <w:b/>
          <w:bCs/>
          <w:rtl/>
        </w:rPr>
        <w:t>20</w:t>
      </w:r>
      <w:r>
        <w:rPr>
          <w:rFonts w:hint="cs"/>
          <w:rtl/>
        </w:rPr>
        <w:t xml:space="preserve"> - رسالة أسامي بعض الكتب (مخطوط في السليمانية، فهرس حلبي عبدالله أفندي، برقم 261).</w:t>
      </w:r>
    </w:p>
    <w:p w:rsidR="00035BE3" w:rsidRDefault="00035BE3" w:rsidP="00DB59CC">
      <w:pPr>
        <w:pStyle w:val="a6"/>
        <w:ind w:left="423" w:firstLine="0"/>
        <w:rPr>
          <w:rtl/>
        </w:rPr>
      </w:pPr>
      <w:r>
        <w:rPr>
          <w:rFonts w:hint="cs"/>
          <w:b/>
          <w:bCs/>
          <w:rtl/>
        </w:rPr>
        <w:t>21</w:t>
      </w:r>
      <w:r>
        <w:rPr>
          <w:rFonts w:hint="cs"/>
          <w:rtl/>
        </w:rPr>
        <w:t xml:space="preserve"> - سجل عثماني، لمحمد ثريا (باللغة العثمانية).</w:t>
      </w:r>
    </w:p>
    <w:p w:rsidR="00035BE3" w:rsidRDefault="00035BE3" w:rsidP="00DB59CC">
      <w:pPr>
        <w:pStyle w:val="a6"/>
        <w:ind w:left="423" w:firstLine="0"/>
        <w:rPr>
          <w:b/>
          <w:bCs/>
        </w:rPr>
      </w:pPr>
      <w:r>
        <w:rPr>
          <w:rFonts w:hint="cs"/>
          <w:b/>
          <w:bCs/>
          <w:rtl/>
        </w:rPr>
        <w:t>22</w:t>
      </w:r>
      <w:r>
        <w:rPr>
          <w:rFonts w:hint="cs"/>
          <w:rtl/>
        </w:rPr>
        <w:t xml:space="preserve"> - سرد النقول في تراجم الفحول، لعبدالستار بن عبداللطيف الدهلوي الحنفي (ت1355هـ) (مخطوط بمكتبة الحرم المدني، برقم 13/900).</w:t>
      </w:r>
    </w:p>
    <w:p w:rsidR="00035BE3" w:rsidRDefault="00035BE3" w:rsidP="00DB59CC">
      <w:pPr>
        <w:pStyle w:val="a6"/>
        <w:ind w:left="423" w:firstLine="0"/>
        <w:rPr>
          <w:b/>
          <w:bCs/>
        </w:rPr>
      </w:pPr>
      <w:r>
        <w:rPr>
          <w:rFonts w:hint="cs"/>
          <w:b/>
          <w:bCs/>
          <w:rtl/>
        </w:rPr>
        <w:t>23</w:t>
      </w:r>
      <w:r>
        <w:rPr>
          <w:rFonts w:hint="cs"/>
          <w:rtl/>
        </w:rPr>
        <w:t xml:space="preserve"> - ضبط الأعلام، لتيمور باشا، أحمد بن إسماعيل (ت1330هـ).</w:t>
      </w:r>
    </w:p>
    <w:p w:rsidR="00035BE3" w:rsidRDefault="00035BE3" w:rsidP="00DB59CC">
      <w:pPr>
        <w:pStyle w:val="a6"/>
        <w:ind w:left="423" w:firstLine="0"/>
        <w:rPr>
          <w:b/>
          <w:bCs/>
        </w:rPr>
      </w:pPr>
      <w:r>
        <w:rPr>
          <w:rFonts w:hint="cs"/>
          <w:b/>
          <w:bCs/>
          <w:rtl/>
        </w:rPr>
        <w:t>24</w:t>
      </w:r>
      <w:r>
        <w:rPr>
          <w:rFonts w:hint="cs"/>
          <w:rtl/>
        </w:rPr>
        <w:t xml:space="preserve"> - عثمانلي مؤلفلري لبروسه لي محمد طاهر (مطبوع باللغة التركية).</w:t>
      </w:r>
    </w:p>
    <w:p w:rsidR="00035BE3" w:rsidRDefault="00035BE3" w:rsidP="00DB59CC">
      <w:pPr>
        <w:pStyle w:val="a6"/>
        <w:ind w:left="423" w:firstLine="0"/>
        <w:rPr>
          <w:b/>
          <w:bCs/>
        </w:rPr>
      </w:pPr>
      <w:r>
        <w:rPr>
          <w:rFonts w:hint="cs"/>
          <w:b/>
          <w:bCs/>
          <w:rtl/>
        </w:rPr>
        <w:t>25</w:t>
      </w:r>
      <w:r>
        <w:rPr>
          <w:rFonts w:hint="cs"/>
          <w:rtl/>
        </w:rPr>
        <w:t xml:space="preserve"> - عثمانلري تاريخ يازارلري وأثرلري، لغراتز بابنكر (باللغة التركية).</w:t>
      </w:r>
    </w:p>
    <w:p w:rsidR="00035BE3" w:rsidRDefault="00035BE3" w:rsidP="00DB59CC">
      <w:pPr>
        <w:pStyle w:val="a6"/>
        <w:ind w:left="423" w:firstLine="0"/>
        <w:rPr>
          <w:b/>
          <w:bCs/>
        </w:rPr>
      </w:pPr>
      <w:r>
        <w:rPr>
          <w:rFonts w:hint="cs"/>
          <w:b/>
          <w:bCs/>
          <w:rtl/>
        </w:rPr>
        <w:t>26</w:t>
      </w:r>
      <w:r>
        <w:rPr>
          <w:rFonts w:hint="cs"/>
          <w:rtl/>
        </w:rPr>
        <w:t xml:space="preserve"> - عجائب الآثار في التراجم والأخبار، لعبدالرحمن الجبرتي الحنفي (ت1241هـ).</w:t>
      </w:r>
    </w:p>
    <w:p w:rsidR="00035BE3" w:rsidRDefault="00035BE3" w:rsidP="00DB59CC">
      <w:pPr>
        <w:pStyle w:val="a6"/>
        <w:ind w:left="423" w:firstLine="0"/>
        <w:rPr>
          <w:b/>
          <w:bCs/>
        </w:rPr>
      </w:pPr>
      <w:r>
        <w:rPr>
          <w:rFonts w:hint="cs"/>
          <w:b/>
          <w:bCs/>
          <w:rtl/>
        </w:rPr>
        <w:t>27</w:t>
      </w:r>
      <w:r>
        <w:rPr>
          <w:rFonts w:hint="cs"/>
          <w:rtl/>
        </w:rPr>
        <w:t xml:space="preserve"> - فوائد الارتحال ونتائج السفر في أخبار القرن الحادي عشر، لمـصطفى المكي بن فتح الله الـحموي (ت1123هـ) (مخطوط بدار الكتب المصرية، ف 21636).</w:t>
      </w:r>
    </w:p>
    <w:p w:rsidR="00035BE3" w:rsidRDefault="00035BE3" w:rsidP="00DB59CC">
      <w:pPr>
        <w:pStyle w:val="a6"/>
        <w:ind w:left="423" w:firstLine="0"/>
        <w:rPr>
          <w:b/>
          <w:bCs/>
        </w:rPr>
      </w:pPr>
      <w:r>
        <w:rPr>
          <w:rFonts w:hint="cs"/>
          <w:b/>
          <w:bCs/>
          <w:rtl/>
        </w:rPr>
        <w:t>28</w:t>
      </w:r>
      <w:r>
        <w:rPr>
          <w:rFonts w:hint="cs"/>
          <w:rtl/>
        </w:rPr>
        <w:t xml:space="preserve"> - قاموس الأعلام، لشمس الدين سامي (باللغة العثمانية).</w:t>
      </w:r>
    </w:p>
    <w:p w:rsidR="00035BE3" w:rsidRDefault="00035BE3" w:rsidP="00DB59CC">
      <w:pPr>
        <w:pStyle w:val="a6"/>
        <w:ind w:left="423" w:firstLine="0"/>
        <w:rPr>
          <w:b/>
          <w:bCs/>
          <w:spacing w:val="-4"/>
        </w:rPr>
      </w:pPr>
      <w:r>
        <w:rPr>
          <w:rFonts w:hint="cs"/>
          <w:b/>
          <w:bCs/>
          <w:spacing w:val="-4"/>
          <w:rtl/>
        </w:rPr>
        <w:t>29</w:t>
      </w:r>
      <w:r>
        <w:rPr>
          <w:rFonts w:hint="cs"/>
          <w:spacing w:val="-4"/>
          <w:rtl/>
        </w:rPr>
        <w:t xml:space="preserve"> - معجم مؤلفي العالم، لحسان بن بدر الدين رحمي (ت1208هـ) (مخطوط بمكتبة الأسد برقم م ج 67).</w:t>
      </w:r>
    </w:p>
    <w:p w:rsidR="00035BE3" w:rsidRDefault="00035BE3" w:rsidP="00DB59CC">
      <w:pPr>
        <w:pStyle w:val="a6"/>
        <w:ind w:left="423" w:firstLine="0"/>
        <w:rPr>
          <w:b/>
          <w:bCs/>
        </w:rPr>
      </w:pPr>
      <w:r>
        <w:rPr>
          <w:rFonts w:hint="cs"/>
          <w:b/>
          <w:bCs/>
          <w:rtl/>
        </w:rPr>
        <w:t>30</w:t>
      </w:r>
      <w:r>
        <w:rPr>
          <w:rFonts w:hint="cs"/>
          <w:rtl/>
        </w:rPr>
        <w:t xml:space="preserve"> - نزهة الخواطر وبهجة المسامع والنواظر، لعبدالحي بن فخر الدين الحسين.</w:t>
      </w:r>
    </w:p>
    <w:p w:rsidR="00035BE3" w:rsidRDefault="00035BE3" w:rsidP="00DB59CC">
      <w:pPr>
        <w:pStyle w:val="a6"/>
        <w:ind w:left="423" w:firstLine="0"/>
        <w:rPr>
          <w:b/>
          <w:bCs/>
          <w:rtl/>
        </w:rPr>
      </w:pPr>
      <w:r>
        <w:rPr>
          <w:rFonts w:hint="cs"/>
          <w:b/>
          <w:bCs/>
          <w:rtl/>
        </w:rPr>
        <w:t>31</w:t>
      </w:r>
      <w:r>
        <w:rPr>
          <w:rFonts w:hint="cs"/>
          <w:rtl/>
        </w:rPr>
        <w:t xml:space="preserve"> - وقائع الفضلاء (شقائق نعمانية وذيللري)، لشيخي محمد أفندي (باللغة العثمانية).</w:t>
      </w:r>
    </w:p>
  </w:footnote>
  <w:footnote w:id="25">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مزيد إيضاح لذلك عند الحديث عن وفاته، ص 42.</w:t>
      </w:r>
    </w:p>
  </w:footnote>
  <w:footnote w:id="26">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إيضاح ذلك عند الحديث عن عقيدته، ص 47. </w:t>
      </w:r>
      <w:r>
        <w:rPr>
          <w:rtl/>
        </w:rPr>
        <w:t xml:space="preserve"> </w:t>
      </w:r>
    </w:p>
  </w:footnote>
  <w:footnote w:id="27">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تفصيل ذلك عند الحديث عن المآخذ على الكتاب، ص 135. </w:t>
      </w:r>
      <w:r>
        <w:rPr>
          <w:rtl/>
        </w:rPr>
        <w:t xml:space="preserve"> </w:t>
      </w:r>
    </w:p>
  </w:footnote>
  <w:footnote w:id="28">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هذا السبب مستفاد من مقدمة د. محمد عبدالبر عند حديثه عن مؤلف كتاب (بذل النظر)، ص 15. </w:t>
      </w:r>
      <w:r>
        <w:rPr>
          <w:rtl/>
        </w:rPr>
        <w:t xml:space="preserve"> </w:t>
      </w:r>
    </w:p>
  </w:footnote>
  <w:footnote w:id="29">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ص  503.</w:t>
      </w:r>
    </w:p>
  </w:footnote>
  <w:footnote w:id="30">
    <w:p w:rsidR="00035BE3" w:rsidRDefault="00035BE3" w:rsidP="00DB59CC">
      <w:pPr>
        <w:pStyle w:val="a8"/>
        <w:bidi/>
        <w:ind w:left="423" w:right="0" w:hanging="427"/>
        <w:rPr>
          <w:spacing w:val="6"/>
          <w:rtl/>
        </w:rPr>
      </w:pPr>
      <w:r>
        <w:rPr>
          <w:spacing w:val="6"/>
          <w:vertAlign w:val="superscript"/>
          <w:rtl/>
        </w:rPr>
        <w:t>(</w:t>
      </w:r>
      <w:r>
        <w:rPr>
          <w:rStyle w:val="a7"/>
          <w:spacing w:val="6"/>
          <w:sz w:val="28"/>
          <w:rtl/>
        </w:rPr>
        <w:footnoteRef/>
      </w:r>
      <w:r>
        <w:rPr>
          <w:spacing w:val="6"/>
          <w:vertAlign w:val="superscript"/>
          <w:rtl/>
        </w:rPr>
        <w:t>)</w:t>
      </w:r>
      <w:r>
        <w:rPr>
          <w:rFonts w:hint="cs"/>
          <w:spacing w:val="6"/>
          <w:rtl/>
        </w:rPr>
        <w:t xml:space="preserve">  وسوف يأتي التعليق على كل منها عند ذكر المؤلف له. وهذه المصادر ومواضع ذكر المؤلف لها على النحو الآتي: المحيط البرهاني (ص385)، والولوالجية (ص584)، والفتاوى الظهيرية (ص643)، والحاوي القدسي (ص706)، والعمادية (ص792)، ومجموع النوازل (ص855)، والكفاية (ص941).</w:t>
      </w:r>
    </w:p>
  </w:footnote>
  <w:footnote w:id="31">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وللتمثيل لذلك يقال:</w:t>
      </w:r>
    </w:p>
    <w:p w:rsidR="00035BE3" w:rsidRDefault="00035BE3" w:rsidP="00DB59CC">
      <w:pPr>
        <w:pStyle w:val="a6"/>
        <w:ind w:left="-4" w:firstLine="0"/>
        <w:jc w:val="lowKashida"/>
        <w:rPr>
          <w:b/>
          <w:bCs/>
          <w:sz w:val="28"/>
          <w:rtl/>
        </w:rPr>
      </w:pPr>
      <w:r>
        <w:rPr>
          <w:rFonts w:hint="cs"/>
          <w:b/>
          <w:bCs/>
          <w:sz w:val="28"/>
          <w:rtl/>
        </w:rPr>
        <w:tab/>
        <w:t xml:space="preserve">      </w:t>
      </w:r>
      <w:r>
        <w:rPr>
          <w:b/>
          <w:bCs/>
          <w:sz w:val="28"/>
          <w:rtl/>
        </w:rPr>
        <w:t>•</w:t>
      </w:r>
      <w:r>
        <w:rPr>
          <w:rFonts w:hint="cs"/>
          <w:b/>
          <w:bCs/>
          <w:sz w:val="28"/>
          <w:rtl/>
        </w:rPr>
        <w:t xml:space="preserve"> من الرسائل العلمية التي لم يعثر فيها على ترجمة وافية لمؤلف الكتاب:</w:t>
      </w:r>
    </w:p>
    <w:p w:rsidR="00035BE3" w:rsidRDefault="00035BE3" w:rsidP="00DB59CC">
      <w:pPr>
        <w:pStyle w:val="a6"/>
        <w:ind w:left="423" w:firstLine="0"/>
        <w:rPr>
          <w:rtl/>
        </w:rPr>
      </w:pPr>
      <w:r>
        <w:rPr>
          <w:rFonts w:hint="cs"/>
          <w:b/>
          <w:bCs/>
          <w:rtl/>
        </w:rPr>
        <w:t xml:space="preserve">1- </w:t>
      </w:r>
      <w:r>
        <w:rPr>
          <w:rFonts w:hint="cs"/>
          <w:rtl/>
        </w:rPr>
        <w:t>الإعلان بأحكام البنيان، لابن الرامي البناء، وقد حققه شيخنا د. عبدالرحمن الأطرم، ونال بذلك درجة الماجستير (وكان مصدره الأساسي في الترجمة هو الكتاب نفسه، وقد صرح بذلك، 1/ 38).</w:t>
      </w:r>
    </w:p>
    <w:p w:rsidR="00035BE3" w:rsidRDefault="00035BE3" w:rsidP="00DB59CC">
      <w:pPr>
        <w:pStyle w:val="a6"/>
        <w:ind w:left="423" w:firstLine="0"/>
      </w:pPr>
      <w:r>
        <w:rPr>
          <w:rFonts w:hint="cs"/>
          <w:b/>
          <w:bCs/>
          <w:rtl/>
        </w:rPr>
        <w:t xml:space="preserve">2- </w:t>
      </w:r>
      <w:r>
        <w:rPr>
          <w:rFonts w:hint="cs"/>
          <w:rtl/>
        </w:rPr>
        <w:t>شرح المغني، للقاءاني (ت775هـ). وقد حققه باحثان هما: مساعد المعتق، ومحمد المبارك، ونال الأول به درجة الدكتواره -وكان قد ترجم للمـؤلف في خمس صفحـات فقط- كما نال الثاني به درجة الماجستير-</w:t>
      </w:r>
      <w:r>
        <w:rPr>
          <w:rtl/>
        </w:rPr>
        <w:br/>
      </w:r>
      <w:r>
        <w:rPr>
          <w:rFonts w:hint="cs"/>
          <w:rtl/>
        </w:rPr>
        <w:t>وكان قد ترجم للمؤلف في عشرة أسطر فقط-.</w:t>
      </w:r>
    </w:p>
    <w:p w:rsidR="00035BE3" w:rsidRDefault="00035BE3" w:rsidP="00DB59CC">
      <w:pPr>
        <w:pStyle w:val="a6"/>
        <w:ind w:left="423" w:firstLine="0"/>
      </w:pPr>
      <w:r>
        <w:rPr>
          <w:rFonts w:hint="cs"/>
          <w:b/>
          <w:bCs/>
          <w:rtl/>
        </w:rPr>
        <w:t>3-</w:t>
      </w:r>
      <w:r>
        <w:rPr>
          <w:rFonts w:hint="cs"/>
          <w:rtl/>
        </w:rPr>
        <w:t xml:space="preserve"> ومن الرسائل الأخر: رفع النقاب عن تنقيح الشهاب، لأبي علي الشوساوي. وقد حقق في رسالتي ماجستير لكل من: د. أحمد بن محمد السراح، ود. عبدالرحمن بن عبدالله الجبرين.</w:t>
      </w:r>
      <w:r>
        <w:rPr>
          <w:rFonts w:hint="cs"/>
          <w:rtl/>
        </w:rPr>
        <w:tab/>
      </w:r>
      <w:r>
        <w:rPr>
          <w:rFonts w:hint="cs"/>
          <w:rtl/>
        </w:rPr>
        <w:tab/>
      </w:r>
      <w:r>
        <w:rPr>
          <w:rFonts w:hint="cs"/>
          <w:rtl/>
        </w:rPr>
        <w:tab/>
      </w:r>
    </w:p>
    <w:p w:rsidR="00035BE3" w:rsidRDefault="00035BE3" w:rsidP="00DB59CC">
      <w:pPr>
        <w:pStyle w:val="a6"/>
        <w:ind w:left="423" w:firstLine="0"/>
        <w:jc w:val="lowKashida"/>
        <w:rPr>
          <w:sz w:val="28"/>
        </w:rPr>
      </w:pPr>
      <w:r>
        <w:rPr>
          <w:rFonts w:hint="cs"/>
          <w:b/>
          <w:bCs/>
          <w:sz w:val="28"/>
          <w:rtl/>
        </w:rPr>
        <w:t>4-</w:t>
      </w:r>
      <w:r>
        <w:rPr>
          <w:rFonts w:hint="cs"/>
          <w:sz w:val="28"/>
          <w:rtl/>
        </w:rPr>
        <w:t xml:space="preserve"> مختصر من قواعد العلائي وكلام الإسنوي، لابن خطيب الدهشة (ت834هـ). وقد حققه د. مصطفى محمد البنجوني، ونال به درجة الدكتوراه.</w:t>
      </w:r>
    </w:p>
    <w:p w:rsidR="00035BE3" w:rsidRDefault="00035BE3" w:rsidP="00DB59CC">
      <w:pPr>
        <w:pStyle w:val="a6"/>
        <w:ind w:left="423" w:firstLine="0"/>
        <w:jc w:val="lowKashida"/>
        <w:rPr>
          <w:sz w:val="28"/>
        </w:rPr>
      </w:pPr>
      <w:r>
        <w:rPr>
          <w:rFonts w:hint="cs"/>
          <w:b/>
          <w:bCs/>
          <w:sz w:val="28"/>
          <w:rtl/>
        </w:rPr>
        <w:t xml:space="preserve">5- </w:t>
      </w:r>
      <w:r>
        <w:rPr>
          <w:rFonts w:hint="cs"/>
          <w:sz w:val="28"/>
          <w:rtl/>
        </w:rPr>
        <w:t xml:space="preserve">الاستغناء في الفرق والاستثناء، لمحمد البكري. وقد حققه د. سعود الثبيتي ونال به درجة الدكتواره.     </w:t>
      </w:r>
    </w:p>
    <w:p w:rsidR="00035BE3" w:rsidRDefault="00035BE3" w:rsidP="00DB59CC">
      <w:pPr>
        <w:pStyle w:val="a6"/>
        <w:ind w:left="423" w:firstLine="0"/>
        <w:jc w:val="lowKashida"/>
        <w:rPr>
          <w:sz w:val="28"/>
          <w:rtl/>
        </w:rPr>
      </w:pPr>
      <w:r>
        <w:rPr>
          <w:rFonts w:hint="cs"/>
          <w:b/>
          <w:bCs/>
          <w:sz w:val="28"/>
          <w:rtl/>
        </w:rPr>
        <w:t>6-</w:t>
      </w:r>
      <w:r>
        <w:rPr>
          <w:rFonts w:hint="cs"/>
          <w:sz w:val="28"/>
          <w:rtl/>
        </w:rPr>
        <w:t xml:space="preserve"> شرح المنهج المنتخب إلى قواعد المذهب، لابن منجور. وقد حققه د. محمد الشيخ محمد الأمين ونال به درجة الدكتوراه، ولم يجد ترجمة وافية لمؤلف النظم المشروح (وهو علي الزقاق). </w:t>
      </w:r>
    </w:p>
    <w:p w:rsidR="00035BE3" w:rsidRDefault="00035BE3" w:rsidP="00DB59CC">
      <w:pPr>
        <w:pStyle w:val="a6"/>
        <w:ind w:left="423" w:firstLine="0"/>
        <w:jc w:val="lowKashida"/>
        <w:rPr>
          <w:sz w:val="28"/>
        </w:rPr>
      </w:pPr>
      <w:r>
        <w:rPr>
          <w:rFonts w:hint="cs"/>
          <w:b/>
          <w:bCs/>
          <w:sz w:val="28"/>
          <w:rtl/>
        </w:rPr>
        <w:t>7 -</w:t>
      </w:r>
      <w:r>
        <w:rPr>
          <w:rFonts w:hint="cs"/>
          <w:sz w:val="28"/>
          <w:rtl/>
        </w:rPr>
        <w:t xml:space="preserve"> الميسّر في شرح مصابيح السنة، لفضل الله الحسن بن حسين التوربشتي (كان حيًّا عام 660هـ). وقد حقق جزءًا منه د. عبدالرحمن الزيد وحصل به على درجة الدكتوراه.</w:t>
      </w:r>
    </w:p>
    <w:p w:rsidR="00035BE3" w:rsidRDefault="00035BE3" w:rsidP="00DB59CC">
      <w:pPr>
        <w:pStyle w:val="a6"/>
        <w:ind w:left="423" w:firstLine="0"/>
        <w:jc w:val="lowKashida"/>
        <w:rPr>
          <w:sz w:val="28"/>
          <w:rtl/>
        </w:rPr>
      </w:pPr>
      <w:r>
        <w:rPr>
          <w:rFonts w:hint="cs"/>
          <w:sz w:val="28"/>
          <w:rtl/>
        </w:rPr>
        <w:t>وأكثر هذه الرسائل من جامعة الإمام، كما أن بعضها مطبوع ومتداول.</w:t>
      </w:r>
    </w:p>
    <w:p w:rsidR="00035BE3" w:rsidRDefault="00035BE3" w:rsidP="007C7F13">
      <w:pPr>
        <w:pStyle w:val="a6"/>
        <w:numPr>
          <w:ilvl w:val="1"/>
          <w:numId w:val="4"/>
        </w:numPr>
        <w:tabs>
          <w:tab w:val="clear" w:pos="1440"/>
        </w:tabs>
        <w:ind w:left="423" w:firstLine="0"/>
        <w:jc w:val="lowKashida"/>
        <w:rPr>
          <w:b/>
          <w:bCs/>
          <w:sz w:val="28"/>
          <w:rtl/>
        </w:rPr>
      </w:pPr>
      <w:r>
        <w:rPr>
          <w:rFonts w:hint="cs"/>
          <w:b/>
          <w:bCs/>
          <w:sz w:val="28"/>
          <w:rtl/>
        </w:rPr>
        <w:t xml:space="preserve"> ومن الكتب الأخر المطبوعة التي من هذا القبيل:</w:t>
      </w:r>
    </w:p>
    <w:p w:rsidR="00035BE3" w:rsidRDefault="00035BE3" w:rsidP="00DB59CC">
      <w:pPr>
        <w:pStyle w:val="a6"/>
        <w:ind w:left="423" w:firstLine="0"/>
        <w:jc w:val="lowKashida"/>
        <w:rPr>
          <w:sz w:val="28"/>
          <w:rtl/>
        </w:rPr>
      </w:pPr>
      <w:r>
        <w:rPr>
          <w:rFonts w:hint="cs"/>
          <w:b/>
          <w:bCs/>
          <w:sz w:val="28"/>
          <w:rtl/>
        </w:rPr>
        <w:t xml:space="preserve">1- </w:t>
      </w:r>
      <w:r>
        <w:rPr>
          <w:rFonts w:hint="cs"/>
          <w:sz w:val="28"/>
          <w:rtl/>
        </w:rPr>
        <w:t>درر الحكام شرح مجلة الأحكام، لعلي حيدر (وقد عرّف بمؤلف هذا  الكتاب شيخنا د. يعقوب الباحسين في كتابه: القواعد، ص 379 ولم يذكر مصدرًا ترجم له).</w:t>
      </w:r>
    </w:p>
    <w:p w:rsidR="00035BE3" w:rsidRDefault="00035BE3" w:rsidP="00DB59CC">
      <w:pPr>
        <w:pStyle w:val="a6"/>
        <w:ind w:left="423" w:firstLine="0"/>
        <w:jc w:val="lowKashida"/>
        <w:rPr>
          <w:sz w:val="28"/>
        </w:rPr>
      </w:pPr>
      <w:r>
        <w:rPr>
          <w:rFonts w:hint="cs"/>
          <w:b/>
          <w:bCs/>
          <w:sz w:val="28"/>
          <w:rtl/>
        </w:rPr>
        <w:t>2-</w:t>
      </w:r>
      <w:r>
        <w:rPr>
          <w:rFonts w:hint="cs"/>
          <w:sz w:val="28"/>
          <w:rtl/>
        </w:rPr>
        <w:t xml:space="preserve"> شرح الكوكب المنير، لابن النجار الفتوحي (ت972هـ) (انظر مقدمة المحققين، 1/7).</w:t>
      </w:r>
    </w:p>
    <w:p w:rsidR="00035BE3" w:rsidRDefault="00035BE3" w:rsidP="00DB59CC">
      <w:pPr>
        <w:pStyle w:val="a6"/>
        <w:ind w:left="423" w:firstLine="0"/>
        <w:jc w:val="lowKashida"/>
        <w:rPr>
          <w:sz w:val="28"/>
        </w:rPr>
      </w:pPr>
      <w:r>
        <w:rPr>
          <w:rFonts w:hint="cs"/>
          <w:b/>
          <w:bCs/>
          <w:sz w:val="28"/>
          <w:rtl/>
        </w:rPr>
        <w:t>3-</w:t>
      </w:r>
      <w:r>
        <w:rPr>
          <w:rFonts w:hint="cs"/>
          <w:sz w:val="28"/>
          <w:rtl/>
        </w:rPr>
        <w:t xml:space="preserve"> الطبقات السنية، لتقي الدين التميمي الغزي (ت1004هـ) (انظر مقدمة المحقق، 1/ح ).</w:t>
      </w:r>
    </w:p>
    <w:p w:rsidR="00035BE3" w:rsidRDefault="00035BE3" w:rsidP="00DB59CC">
      <w:pPr>
        <w:pStyle w:val="a6"/>
        <w:ind w:left="423" w:firstLine="0"/>
        <w:jc w:val="lowKashida"/>
        <w:rPr>
          <w:sz w:val="28"/>
        </w:rPr>
      </w:pPr>
      <w:r>
        <w:rPr>
          <w:rFonts w:hint="cs"/>
          <w:b/>
          <w:bCs/>
          <w:sz w:val="28"/>
          <w:rtl/>
        </w:rPr>
        <w:t>4-</w:t>
      </w:r>
      <w:r>
        <w:rPr>
          <w:rFonts w:hint="cs"/>
          <w:sz w:val="28"/>
          <w:rtl/>
        </w:rPr>
        <w:t xml:space="preserve"> الغنية في الأصول، لمنصور السجستاني (ت 290هـ) (انظر مقدمة المحقق، ص 8).</w:t>
      </w:r>
    </w:p>
    <w:p w:rsidR="00035BE3" w:rsidRDefault="00035BE3" w:rsidP="00DB59CC">
      <w:pPr>
        <w:pStyle w:val="a6"/>
        <w:ind w:left="423" w:firstLine="0"/>
        <w:jc w:val="lowKashida"/>
        <w:rPr>
          <w:sz w:val="28"/>
        </w:rPr>
      </w:pPr>
      <w:r>
        <w:rPr>
          <w:rFonts w:hint="cs"/>
          <w:b/>
          <w:bCs/>
          <w:sz w:val="28"/>
          <w:rtl/>
        </w:rPr>
        <w:t xml:space="preserve">5- </w:t>
      </w:r>
      <w:r>
        <w:rPr>
          <w:rFonts w:hint="cs"/>
          <w:sz w:val="28"/>
          <w:rtl/>
        </w:rPr>
        <w:t>كتاب في أصول الفقه، لأبي الثناء اللامشي (انظر مقدمة المحقق، ص 9).</w:t>
      </w:r>
    </w:p>
    <w:p w:rsidR="00035BE3" w:rsidRDefault="00035BE3" w:rsidP="00DB59CC">
      <w:pPr>
        <w:pStyle w:val="a6"/>
        <w:ind w:left="423" w:firstLine="0"/>
        <w:jc w:val="lowKashida"/>
        <w:rPr>
          <w:sz w:val="28"/>
        </w:rPr>
      </w:pPr>
      <w:r>
        <w:rPr>
          <w:rFonts w:hint="cs"/>
          <w:b/>
          <w:bCs/>
          <w:sz w:val="28"/>
          <w:rtl/>
        </w:rPr>
        <w:t>6-</w:t>
      </w:r>
      <w:r>
        <w:rPr>
          <w:rFonts w:hint="cs"/>
          <w:sz w:val="28"/>
          <w:rtl/>
        </w:rPr>
        <w:t xml:space="preserve"> مختصر الصواعق المرسلة، لمحمد بن نصر الموصلي (وقد قام د.  علي الدخيل الله بتحقيق الجزء الأول من أصل هذا المختصر (وهو الصواعق المرسلة لابن القيم)، وقارن بينهما </w:t>
      </w:r>
      <w:r>
        <w:rPr>
          <w:sz w:val="28"/>
          <w:rtl/>
        </w:rPr>
        <w:t>–</w:t>
      </w:r>
      <w:r>
        <w:rPr>
          <w:rFonts w:hint="cs"/>
          <w:sz w:val="28"/>
          <w:rtl/>
        </w:rPr>
        <w:t>1/117- وفي أثناء ذلك ذكر أنه لم يجد ترجمة للمختصِر. علمًا بأن الجزء الثاني من (الصواعق المرسلة) مفقود، والمتداول هو المختَصَر).</w:t>
      </w:r>
    </w:p>
    <w:p w:rsidR="00035BE3" w:rsidRDefault="00035BE3" w:rsidP="00DB59CC">
      <w:pPr>
        <w:pStyle w:val="a6"/>
        <w:ind w:left="-4" w:firstLine="0"/>
        <w:jc w:val="lowKashida"/>
        <w:rPr>
          <w:b/>
          <w:bCs/>
          <w:sz w:val="28"/>
        </w:rPr>
      </w:pPr>
      <w:r>
        <w:rPr>
          <w:rFonts w:hint="cs"/>
          <w:b/>
          <w:bCs/>
          <w:sz w:val="28"/>
          <w:rtl/>
        </w:rPr>
        <w:tab/>
        <w:t xml:space="preserve">      </w:t>
      </w:r>
      <w:r>
        <w:rPr>
          <w:b/>
          <w:bCs/>
          <w:sz w:val="28"/>
          <w:rtl/>
        </w:rPr>
        <w:t>•</w:t>
      </w:r>
      <w:r>
        <w:rPr>
          <w:rFonts w:hint="cs"/>
          <w:b/>
          <w:bCs/>
          <w:sz w:val="28"/>
          <w:rtl/>
        </w:rPr>
        <w:t xml:space="preserve">  ومن الرسائل العلمية التي حصل فيها خلاف في اسم المؤلف:</w:t>
      </w:r>
    </w:p>
    <w:p w:rsidR="00035BE3" w:rsidRDefault="00035BE3" w:rsidP="00DB59CC">
      <w:pPr>
        <w:pStyle w:val="a6"/>
        <w:ind w:left="423" w:firstLine="0"/>
        <w:jc w:val="lowKashida"/>
        <w:rPr>
          <w:sz w:val="28"/>
          <w:rtl/>
        </w:rPr>
      </w:pPr>
      <w:r>
        <w:rPr>
          <w:rFonts w:hint="cs"/>
          <w:b/>
          <w:bCs/>
          <w:sz w:val="28"/>
          <w:rtl/>
        </w:rPr>
        <w:t>1-</w:t>
      </w:r>
      <w:r>
        <w:rPr>
          <w:rFonts w:hint="cs"/>
          <w:sz w:val="28"/>
          <w:rtl/>
        </w:rPr>
        <w:t xml:space="preserve"> المحيط البرهاني، لابن مازه البخاري (ت 616هـ)، وقيل لمحمد الرضي السرخسي. (انظر: مقدمة تحقيق القسم الثالث منه، 1/39). علمًا بأن الكتاب يقوم بتحقيقه بضعة عشر باحثًا في المعهد العالي للقضاء، للحصول على درجة الدكتوراه.</w:t>
      </w:r>
    </w:p>
    <w:p w:rsidR="00035BE3" w:rsidRDefault="00035BE3" w:rsidP="00DB59CC">
      <w:pPr>
        <w:pStyle w:val="a6"/>
        <w:ind w:left="423" w:firstLine="0"/>
        <w:jc w:val="lowKashida"/>
        <w:rPr>
          <w:spacing w:val="-4"/>
          <w:sz w:val="28"/>
        </w:rPr>
      </w:pPr>
      <w:r>
        <w:rPr>
          <w:rFonts w:hint="cs"/>
          <w:b/>
          <w:bCs/>
          <w:spacing w:val="-4"/>
          <w:sz w:val="28"/>
          <w:rtl/>
        </w:rPr>
        <w:t>2-</w:t>
      </w:r>
      <w:r>
        <w:rPr>
          <w:rFonts w:hint="cs"/>
          <w:spacing w:val="-4"/>
          <w:sz w:val="28"/>
          <w:rtl/>
        </w:rPr>
        <w:t xml:space="preserve"> الينابيع في معرفة الأصول والتفاريع شرح مختصر القدوري لمحمد الشبلي، وقيل لرشيد الرومي (وهو مسجل كـرسالة دكتوراه في المعهد العالي للقضاء للباحث عبدالعزيز العليوي. وانظر: كشف الظنون، 2/1632).</w:t>
      </w:r>
    </w:p>
    <w:p w:rsidR="00035BE3" w:rsidRDefault="00035BE3" w:rsidP="00DB59CC">
      <w:pPr>
        <w:pStyle w:val="a6"/>
        <w:ind w:left="-4" w:firstLine="0"/>
        <w:jc w:val="lowKashida"/>
        <w:rPr>
          <w:b/>
          <w:bCs/>
          <w:sz w:val="28"/>
          <w:rtl/>
        </w:rPr>
      </w:pPr>
      <w:r>
        <w:rPr>
          <w:rFonts w:hint="cs"/>
          <w:b/>
          <w:bCs/>
          <w:sz w:val="28"/>
          <w:rtl/>
        </w:rPr>
        <w:t xml:space="preserve">      </w:t>
      </w:r>
      <w:r>
        <w:rPr>
          <w:b/>
          <w:bCs/>
          <w:sz w:val="28"/>
          <w:rtl/>
        </w:rPr>
        <w:t>•</w:t>
      </w:r>
      <w:r>
        <w:rPr>
          <w:rFonts w:hint="cs"/>
          <w:b/>
          <w:bCs/>
          <w:sz w:val="28"/>
          <w:rtl/>
        </w:rPr>
        <w:t xml:space="preserve"> ومن الكتب المطبوعة التي من هذا القبيل:</w:t>
      </w:r>
    </w:p>
    <w:p w:rsidR="00035BE3" w:rsidRDefault="00035BE3" w:rsidP="00DB59CC">
      <w:pPr>
        <w:pStyle w:val="a6"/>
        <w:ind w:left="423" w:firstLine="0"/>
        <w:jc w:val="lowKashida"/>
        <w:rPr>
          <w:sz w:val="28"/>
          <w:rtl/>
        </w:rPr>
      </w:pPr>
      <w:r>
        <w:rPr>
          <w:rFonts w:hint="cs"/>
          <w:b/>
          <w:bCs/>
          <w:sz w:val="28"/>
          <w:rtl/>
        </w:rPr>
        <w:t xml:space="preserve">1- </w:t>
      </w:r>
      <w:r>
        <w:rPr>
          <w:rFonts w:hint="cs"/>
          <w:sz w:val="28"/>
          <w:rtl/>
        </w:rPr>
        <w:t>التقريب والإرشاد لأبي بكر الباقلاني (ت403هـ). وقيل لمحمد بن سرايا القدسي (انظر: مقدمة المحقق، 1/87).</w:t>
      </w:r>
    </w:p>
    <w:p w:rsidR="00035BE3" w:rsidRDefault="00035BE3" w:rsidP="00DB59CC">
      <w:pPr>
        <w:pStyle w:val="a6"/>
        <w:ind w:left="423" w:firstLine="0"/>
        <w:jc w:val="lowKashida"/>
        <w:rPr>
          <w:sz w:val="28"/>
          <w:rtl/>
        </w:rPr>
      </w:pPr>
      <w:r>
        <w:rPr>
          <w:rFonts w:hint="cs"/>
          <w:b/>
          <w:bCs/>
          <w:sz w:val="28"/>
          <w:rtl/>
        </w:rPr>
        <w:t>2-</w:t>
      </w:r>
      <w:r>
        <w:rPr>
          <w:rFonts w:hint="cs"/>
          <w:sz w:val="28"/>
          <w:rtl/>
        </w:rPr>
        <w:t xml:space="preserve"> تحقيق المراد في أن النهي يقتضي الفساد، للحافظ خليل العلائي (ت761هـ). وقيل: لتلميذه أحمد الخليلي (ت805هـ). (انظر: تحقيق المراد في أن النهي يقتضي الفساد ومؤلفه الحافظ العلائي، للدكتور: إبراهيم سلقيني، ص 146؛ مقدمة محقق كتاب تلقيح الفهوم للعلائي، ص 44؛ النهي يقتضي الفساد بين العلائي وابن تيمية، تقديم وليد الزبيري، ص 8).</w:t>
      </w:r>
    </w:p>
    <w:p w:rsidR="00035BE3" w:rsidRDefault="00035BE3" w:rsidP="00DB59CC">
      <w:pPr>
        <w:pStyle w:val="a6"/>
        <w:ind w:left="423" w:firstLine="0"/>
        <w:jc w:val="lowKashida"/>
        <w:rPr>
          <w:sz w:val="28"/>
          <w:rtl/>
        </w:rPr>
      </w:pPr>
      <w:r w:rsidRPr="00B93F09">
        <w:rPr>
          <w:rFonts w:hint="cs"/>
          <w:b/>
          <w:bCs/>
          <w:spacing w:val="-6"/>
          <w:sz w:val="28"/>
          <w:rtl/>
        </w:rPr>
        <w:t xml:space="preserve">3 </w:t>
      </w:r>
      <w:r w:rsidRPr="00B93F09">
        <w:rPr>
          <w:b/>
          <w:bCs/>
          <w:spacing w:val="-6"/>
          <w:sz w:val="28"/>
          <w:rtl/>
        </w:rPr>
        <w:t>–</w:t>
      </w:r>
      <w:r w:rsidRPr="00B93F09">
        <w:rPr>
          <w:rFonts w:hint="cs"/>
          <w:spacing w:val="-6"/>
          <w:sz w:val="28"/>
          <w:rtl/>
        </w:rPr>
        <w:t xml:space="preserve"> أصول الشاشي... (انظر: مقدمة كتاب معجم الأصوليين، 1/11ـ 15، فقد ذكر ستة أقوال في اسم المؤلف).</w:t>
      </w:r>
      <w:r w:rsidRPr="00B93F09">
        <w:rPr>
          <w:rFonts w:hint="cs"/>
          <w:spacing w:val="-2"/>
          <w:sz w:val="28"/>
          <w:rtl/>
        </w:rPr>
        <w:t xml:space="preserve"> </w:t>
      </w:r>
    </w:p>
  </w:footnote>
  <w:footnote w:id="32">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ومن هذه الكتب:</w:t>
      </w:r>
    </w:p>
    <w:p w:rsidR="00035BE3" w:rsidRDefault="00035BE3" w:rsidP="00DB59CC">
      <w:pPr>
        <w:pStyle w:val="a6"/>
        <w:ind w:left="423" w:firstLine="0"/>
        <w:jc w:val="lowKashida"/>
        <w:rPr>
          <w:sz w:val="28"/>
          <w:rtl/>
        </w:rPr>
      </w:pPr>
      <w:r>
        <w:rPr>
          <w:rFonts w:hint="cs"/>
          <w:b/>
          <w:bCs/>
          <w:sz w:val="28"/>
          <w:rtl/>
        </w:rPr>
        <w:t>1</w:t>
      </w:r>
      <w:r>
        <w:rPr>
          <w:rFonts w:hint="cs"/>
          <w:sz w:val="28"/>
          <w:rtl/>
        </w:rPr>
        <w:t>- الصواعق المرسلة لابن القيم (وقد سبقت الإشارة -في الهامش السابق- إلى أن الجزء الثاني منه مفقود).</w:t>
      </w:r>
    </w:p>
    <w:p w:rsidR="00035BE3" w:rsidRDefault="00035BE3" w:rsidP="00DB59CC">
      <w:pPr>
        <w:pStyle w:val="a6"/>
        <w:ind w:left="423" w:firstLine="0"/>
        <w:jc w:val="lowKashida"/>
        <w:rPr>
          <w:sz w:val="28"/>
          <w:rtl/>
        </w:rPr>
      </w:pPr>
      <w:r>
        <w:rPr>
          <w:rFonts w:hint="cs"/>
          <w:b/>
          <w:bCs/>
          <w:sz w:val="28"/>
          <w:rtl/>
        </w:rPr>
        <w:t>2</w:t>
      </w:r>
      <w:r>
        <w:rPr>
          <w:rFonts w:hint="cs"/>
          <w:sz w:val="28"/>
          <w:rtl/>
        </w:rPr>
        <w:t>- التقريب والإرشاد للباقلاني (وقد ذكر المحقق -1/91- أن الموجود منه هو الجزء الأول فقط).</w:t>
      </w:r>
    </w:p>
    <w:p w:rsidR="00035BE3" w:rsidRDefault="00035BE3" w:rsidP="00DB59CC">
      <w:pPr>
        <w:pStyle w:val="a6"/>
        <w:ind w:left="423" w:firstLine="0"/>
        <w:jc w:val="lowKashida"/>
      </w:pPr>
      <w:r>
        <w:rPr>
          <w:rFonts w:hint="cs"/>
          <w:b/>
          <w:bCs/>
          <w:sz w:val="28"/>
          <w:rtl/>
        </w:rPr>
        <w:t>3</w:t>
      </w:r>
      <w:r>
        <w:rPr>
          <w:rFonts w:hint="cs"/>
          <w:sz w:val="28"/>
          <w:rtl/>
        </w:rPr>
        <w:t>- شرح العمد لأبي الحسين البصري (ت436هـ) (وقد ذكر المحقق -1/7- أن الموجود منه ثلثه فقط).</w:t>
      </w:r>
    </w:p>
    <w:p w:rsidR="00035BE3" w:rsidRDefault="00035BE3" w:rsidP="00DB59CC">
      <w:pPr>
        <w:pStyle w:val="a6"/>
        <w:ind w:left="423" w:firstLine="0"/>
        <w:jc w:val="lowKashida"/>
      </w:pPr>
      <w:r>
        <w:rPr>
          <w:rFonts w:hint="cs"/>
          <w:b/>
          <w:bCs/>
          <w:sz w:val="28"/>
          <w:rtl/>
        </w:rPr>
        <w:t>4</w:t>
      </w:r>
      <w:r>
        <w:rPr>
          <w:rFonts w:hint="cs"/>
          <w:sz w:val="28"/>
          <w:rtl/>
        </w:rPr>
        <w:t>- الشامل في شرح أصول الفقه للبزدوي، شرحه: أمير كاتب الإتقاني (ت758هـ)</w:t>
      </w:r>
    </w:p>
    <w:p w:rsidR="00035BE3" w:rsidRDefault="00035BE3" w:rsidP="00DB59CC">
      <w:pPr>
        <w:pStyle w:val="a6"/>
        <w:ind w:left="423" w:firstLine="0"/>
        <w:jc w:val="lowKashida"/>
        <w:rPr>
          <w:rtl/>
        </w:rPr>
      </w:pPr>
      <w:r>
        <w:rPr>
          <w:rFonts w:hint="cs"/>
          <w:sz w:val="28"/>
          <w:rtl/>
        </w:rPr>
        <w:t xml:space="preserve"> (وهذا الكتاب سجلت فيه عدة رسائل علمية في قسم أصول الفقه بكلية الشريعة بالرياض، وبعضها تمّ إنجازها، مع العلم بأن الجزء الأول والثاني مفقودان).</w:t>
      </w:r>
      <w:r>
        <w:rPr>
          <w:rFonts w:hint="cs"/>
          <w:rtl/>
        </w:rPr>
        <w:t xml:space="preserve"> </w:t>
      </w:r>
      <w:r>
        <w:rPr>
          <w:rtl/>
        </w:rPr>
        <w:t xml:space="preserve"> </w:t>
      </w:r>
    </w:p>
  </w:footnote>
  <w:footnote w:id="33">
    <w:p w:rsidR="00035BE3" w:rsidRDefault="00035BE3" w:rsidP="00DB59CC">
      <w:pPr>
        <w:pStyle w:val="a8"/>
        <w:bidi/>
        <w:spacing w:line="228" w:lineRule="auto"/>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بيان أسباب الترجيح عند الحديث عن نسبه ونشأته، ص 39، 43.</w:t>
      </w:r>
    </w:p>
  </w:footnote>
  <w:footnote w:id="34">
    <w:p w:rsidR="00035BE3" w:rsidRDefault="00035BE3" w:rsidP="00DB59CC">
      <w:pPr>
        <w:pStyle w:val="a8"/>
        <w:bidi/>
        <w:spacing w:line="228" w:lineRule="auto"/>
        <w:ind w:left="423" w:right="0" w:hanging="427"/>
        <w:rPr>
          <w:spacing w:val="12"/>
          <w:rtl/>
        </w:rPr>
      </w:pPr>
      <w:r>
        <w:rPr>
          <w:spacing w:val="12"/>
          <w:vertAlign w:val="superscript"/>
          <w:rtl/>
        </w:rPr>
        <w:t>(</w:t>
      </w:r>
      <w:r>
        <w:rPr>
          <w:rStyle w:val="a7"/>
          <w:spacing w:val="12"/>
          <w:sz w:val="28"/>
          <w:rtl/>
        </w:rPr>
        <w:footnoteRef/>
      </w:r>
      <w:r>
        <w:rPr>
          <w:spacing w:val="12"/>
          <w:vertAlign w:val="superscript"/>
          <w:rtl/>
        </w:rPr>
        <w:t>)</w:t>
      </w:r>
      <w:r>
        <w:rPr>
          <w:rFonts w:hint="cs"/>
          <w:spacing w:val="12"/>
          <w:rtl/>
        </w:rPr>
        <w:t xml:space="preserve">   انظر: التاريخ الإسلامي لمحمود شاكر، 8/5، 60، 62؛ موسوعة دول العالم الإسلامي ورجالها لشاكر مصطفى، 3/1574؛ معجم الأنساب والأسرات الحاكمة في التاريخ الإسلامي لزامباور،  </w:t>
      </w:r>
      <w:r>
        <w:rPr>
          <w:rFonts w:hint="cs"/>
          <w:spacing w:val="12"/>
          <w:rtl/>
        </w:rPr>
        <w:br/>
        <w:t>ص 239.</w:t>
      </w:r>
    </w:p>
  </w:footnote>
  <w:footnote w:id="35">
    <w:p w:rsidR="00035BE3" w:rsidRDefault="00035BE3" w:rsidP="00DB59CC">
      <w:pPr>
        <w:pStyle w:val="a8"/>
        <w:bidi/>
        <w:spacing w:line="228" w:lineRule="auto"/>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8/5، 103؛ موسوعة دول العالم الإسلامي، 3/1580؛ الأعلام، 7/147.</w:t>
      </w:r>
    </w:p>
  </w:footnote>
  <w:footnote w:id="36">
    <w:p w:rsidR="00035BE3" w:rsidRDefault="00035BE3" w:rsidP="00DB59CC">
      <w:pPr>
        <w:pStyle w:val="a8"/>
        <w:bidi/>
        <w:spacing w:line="228" w:lineRule="auto"/>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 233-234.</w:t>
      </w:r>
    </w:p>
  </w:footnote>
  <w:footnote w:id="37">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معجم الأنساب لزامباور، ص 239-240؛ موسوعة دول العالم الإسلامي، 3/1595-1598.</w:t>
      </w:r>
    </w:p>
  </w:footnote>
  <w:footnote w:id="38">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8/111-148.</w:t>
      </w:r>
    </w:p>
  </w:footnote>
  <w:footnote w:id="39">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موسوعة دول العالم الإسلامي، 3/1582.</w:t>
      </w:r>
    </w:p>
  </w:footnote>
  <w:footnote w:id="40">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8/127؛ الامبراطورية العثمانية لسعيد برجاوي، ص 141.</w:t>
      </w:r>
    </w:p>
  </w:footnote>
  <w:footnote w:id="41">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 127.</w:t>
      </w:r>
    </w:p>
  </w:footnote>
  <w:footnote w:id="42">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8/127؛ الامبراطورية العثمانية لسيد برجاوي، ص 142.</w:t>
      </w:r>
    </w:p>
  </w:footnote>
  <w:footnote w:id="43">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8/127-128؛ </w:t>
      </w:r>
      <w:r>
        <w:rPr>
          <w:rtl/>
        </w:rPr>
        <w:t>تاريخ ال</w:t>
      </w:r>
      <w:r>
        <w:rPr>
          <w:rFonts w:hint="cs"/>
          <w:rtl/>
        </w:rPr>
        <w:t>دولة العثمانية للميرالاي، ص 123؛ الامبراطورية العثمانية، ص 143.</w:t>
      </w:r>
    </w:p>
  </w:footnote>
  <w:footnote w:id="44">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تاريخ الدولة العثمانية ليلماز، 1/431، 430.</w:t>
      </w:r>
    </w:p>
  </w:footnote>
  <w:footnote w:id="45">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الدولة العثمانية للميرالاي، ص 129؛ التاريخ الإسلامي، 8/129؛ الامبراطورية العثمانية، ص 146.</w:t>
      </w:r>
    </w:p>
  </w:footnote>
  <w:footnote w:id="46">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8/130؛ تاريـخ الدولة العثمانية للميرالاي، ص 133، 135؛ الامبراطورية العثمانية، ص 148-149.</w:t>
      </w:r>
    </w:p>
  </w:footnote>
  <w:footnote w:id="47">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8/131.</w:t>
      </w:r>
    </w:p>
  </w:footnote>
  <w:footnote w:id="48">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تاريخ الدولة العثمانية للميرالاي، ص 138.</w:t>
      </w:r>
    </w:p>
  </w:footnote>
  <w:footnote w:id="49">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تاريخ الدولة العثمانية للميرالاي، ص 139؛ وليلماز 1/458؛ التاريخ الإسلامي، 8/131؛ </w:t>
      </w:r>
      <w:r>
        <w:rPr>
          <w:rtl/>
        </w:rPr>
        <w:br/>
      </w:r>
      <w:r>
        <w:rPr>
          <w:rFonts w:hint="cs"/>
          <w:rtl/>
        </w:rPr>
        <w:t>الامبراطورية العثمانية، ص 151.</w:t>
      </w:r>
    </w:p>
  </w:footnote>
  <w:footnote w:id="50">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 132؛ الامبراطورية العثمانية، ص 152.</w:t>
      </w:r>
    </w:p>
  </w:footnote>
  <w:footnote w:id="51">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8/132؛ وانظر أيضًا: تاريخ الدولة العثمانية للميرلاي، ص 139؛ الامبراطورية العثمانية، ص 152؛ تاريخ الدولة العثمانية ليلماز، 1/464.</w:t>
      </w:r>
    </w:p>
  </w:footnote>
  <w:footnote w:id="52">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8/132؛ وانظر: تاريخ الدولة العثمانية للـميرلاي، 148؛ الامبراطورية العثمانية، ص 154.</w:t>
      </w:r>
    </w:p>
  </w:footnote>
  <w:footnote w:id="53">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8/135؛ الامبراطورية العثمانية، 159؛ تاريخ الدولة العثمانية ليلماز، 1/494.</w:t>
      </w:r>
    </w:p>
  </w:footnote>
  <w:footnote w:id="54">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8/135-141؛ الامبراطورية العثمانية، ص 161-163.</w:t>
      </w:r>
    </w:p>
  </w:footnote>
  <w:footnote w:id="55">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التاريخ الإسلامي، 8/11-121.</w:t>
      </w:r>
    </w:p>
  </w:footnote>
  <w:footnote w:id="56">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من أعلام الفكر العربي في العصر العثماني الأول لِـ د. ليلى الصبّاغ، ص 89؛ وانظر: المجتمع العربي السوري في مطلع العهد العثماني، لها أيضًا، ص 171.</w:t>
      </w:r>
    </w:p>
  </w:footnote>
  <w:footnote w:id="57">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جميع ما جاء في مدارس الفاتح في كتاب: من أعلام الفكر العربي في العصر العثماني الأول، ص 89-90.</w:t>
      </w:r>
    </w:p>
  </w:footnote>
  <w:footnote w:id="58">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من أعلام الفكر العربي، ص 90؛ المجتمع العربي السوري في مطلع العهد العثماني، ص 171-173، وهما لـِ د. ليلى الصبّاغ، وقد أحالت إلى: المجتمع الإسلامي والغرب، 2/144-147 (النسخة الإنجليزية). وقد رجعت إلى الطبعة المترجمة فوجدتها ناقصة ليس فيها الموضع المحال إليه.</w:t>
      </w:r>
    </w:p>
  </w:footnote>
  <w:footnote w:id="59">
    <w:p w:rsidR="00035BE3" w:rsidRDefault="00035BE3" w:rsidP="00DB59CC">
      <w:pPr>
        <w:pStyle w:val="a8"/>
        <w:bidi/>
        <w:spacing w:line="400" w:lineRule="exact"/>
        <w:ind w:left="423" w:right="0" w:hanging="427"/>
        <w:rPr>
          <w:spacing w:val="-4"/>
          <w:rtl/>
        </w:rPr>
      </w:pPr>
      <w:r>
        <w:rPr>
          <w:spacing w:val="-4"/>
          <w:vertAlign w:val="superscript"/>
          <w:rtl/>
        </w:rPr>
        <w:t>(</w:t>
      </w:r>
      <w:r>
        <w:rPr>
          <w:rStyle w:val="a7"/>
          <w:spacing w:val="-4"/>
          <w:sz w:val="28"/>
          <w:rtl/>
        </w:rPr>
        <w:footnoteRef/>
      </w:r>
      <w:r>
        <w:rPr>
          <w:spacing w:val="-4"/>
          <w:vertAlign w:val="superscript"/>
          <w:rtl/>
        </w:rPr>
        <w:t>)</w:t>
      </w:r>
      <w:r>
        <w:rPr>
          <w:rFonts w:hint="cs"/>
          <w:spacing w:val="-4"/>
          <w:rtl/>
        </w:rPr>
        <w:t xml:space="preserve">  انظر: من أعلام الفكر العربي، ص 91؛ المجتمع العربي السوري، ص 171، كلاهما لـِ د. ليلى الصباغ. وقد أحالت إلى النسخة الإنجليزية من كتاب: المجتمع الإسلامي والغرب، 2/144-147. وقد رجعت إلى الطبعة المترجمة، فوجدتها ناقصة ليس فيها الموضع المحال إليه. </w:t>
      </w:r>
    </w:p>
  </w:footnote>
  <w:footnote w:id="60">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بلاد الشام ومصر من الفتح العثماني إلى حملة نابليون، ص 81-82؛ معجم الدولة العثمانية، ص 112. </w:t>
      </w:r>
    </w:p>
  </w:footnote>
  <w:footnote w:id="61">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بلاد الشام ومصر، ص 82-83.</w:t>
      </w:r>
    </w:p>
  </w:footnote>
  <w:footnote w:id="62">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هذه المكتبات ومكتبات أخر في: لمحات في المكتبة والبحث والمصادر للدكتور محمد الخطيب، ص 55-56.</w:t>
      </w:r>
    </w:p>
  </w:footnote>
  <w:footnote w:id="63">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من هذه الفهارس: فهرس مكتبة أسعد أفندي، ص 36 (المطبوع عام 1262هـ)؛ فهرس مكتبة بايزيد العمومية، ص 124 (المطبوع عام 1300هـ)، فهرس متحف توبقابي، ص 611 (المطبوع عام 1964م)، فهرس مكتبة جامعة الملك عبدالعزيز، 2/69 (المطبوع عام 1404هـ)؛ فهرس كتب القواعد الفقهية وأصول الفقه بالجامعة الإسلامية، ص 158 (المطبوع عام 1415هـ).  </w:t>
      </w:r>
    </w:p>
  </w:footnote>
  <w:footnote w:id="64">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وصف مفصّل لهذه النسخ، ص 141.</w:t>
      </w:r>
    </w:p>
  </w:footnote>
  <w:footnote w:id="65">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انظره، ص 612.</w:t>
      </w:r>
    </w:p>
  </w:footnote>
  <w:footnote w:id="66">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معجم الدولة العثمانية، لـِ د. حسين المصري، ص 113؛ المعجم الذهبي (فارسي عربي) لـ د. محمد التوبخي، ص 308.</w:t>
      </w:r>
    </w:p>
  </w:footnote>
  <w:footnote w:id="67">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لسان العرب، مادة </w:t>
      </w:r>
      <w:r>
        <w:rPr>
          <w:rFonts w:hint="eastAsia"/>
          <w:szCs w:val="20"/>
          <w:rtl/>
          <w:lang w:eastAsia="en-GB"/>
        </w:rPr>
        <w:t>«</w:t>
      </w:r>
      <w:r>
        <w:rPr>
          <w:rFonts w:hint="cs"/>
          <w:sz w:val="28"/>
          <w:rtl/>
          <w:lang w:eastAsia="en-GB"/>
        </w:rPr>
        <w:t xml:space="preserve"> </w:t>
      </w:r>
      <w:r>
        <w:rPr>
          <w:rFonts w:hint="cs"/>
          <w:sz w:val="28"/>
          <w:rtl/>
        </w:rPr>
        <w:t xml:space="preserve">نظر </w:t>
      </w:r>
      <w:r>
        <w:rPr>
          <w:rFonts w:hint="eastAsia"/>
          <w:szCs w:val="20"/>
          <w:rtl/>
          <w:lang w:eastAsia="en-GB"/>
        </w:rPr>
        <w:t>»</w:t>
      </w:r>
      <w:r>
        <w:rPr>
          <w:rFonts w:hint="cs"/>
          <w:rtl/>
        </w:rPr>
        <w:t>، 5/218.</w:t>
      </w:r>
    </w:p>
  </w:footnote>
  <w:footnote w:id="68">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المعجم الوسيط، مادة </w:t>
      </w:r>
      <w:r>
        <w:rPr>
          <w:rFonts w:hint="eastAsia"/>
          <w:szCs w:val="20"/>
          <w:rtl/>
          <w:lang w:eastAsia="en-GB"/>
        </w:rPr>
        <w:t>«</w:t>
      </w:r>
      <w:r>
        <w:rPr>
          <w:rFonts w:hint="cs"/>
          <w:sz w:val="28"/>
          <w:rtl/>
          <w:lang w:eastAsia="en-GB"/>
        </w:rPr>
        <w:t xml:space="preserve"> نظر </w:t>
      </w:r>
      <w:r>
        <w:rPr>
          <w:rFonts w:hint="eastAsia"/>
          <w:szCs w:val="20"/>
          <w:rtl/>
          <w:lang w:eastAsia="en-GB"/>
        </w:rPr>
        <w:t>»</w:t>
      </w:r>
      <w:r>
        <w:rPr>
          <w:rFonts w:hint="cs"/>
          <w:szCs w:val="20"/>
          <w:rtl/>
          <w:lang w:eastAsia="en-GB"/>
        </w:rPr>
        <w:t>،</w:t>
      </w:r>
      <w:r>
        <w:rPr>
          <w:rFonts w:hint="cs"/>
          <w:rtl/>
        </w:rPr>
        <w:t xml:space="preserve"> 2/932.</w:t>
      </w:r>
    </w:p>
  </w:footnote>
  <w:footnote w:id="69">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معجم الدولة العثمانية، ص 219.</w:t>
      </w:r>
    </w:p>
  </w:footnote>
  <w:footnote w:id="70">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مقدمة محقق كتاب المجموع المذهَب، 1/58.</w:t>
      </w:r>
    </w:p>
  </w:footnote>
  <w:footnote w:id="71">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المطلب المتعلق بوصف النسخ الخطية، ص  141.</w:t>
      </w:r>
    </w:p>
  </w:footnote>
  <w:footnote w:id="72">
    <w:p w:rsidR="00035BE3" w:rsidRDefault="00035BE3" w:rsidP="00DB59CC">
      <w:pPr>
        <w:pStyle w:val="a8"/>
        <w:bidi/>
        <w:spacing w:line="440" w:lineRule="exact"/>
        <w:ind w:left="423" w:right="0" w:hanging="427"/>
        <w:rPr>
          <w:rtl/>
        </w:rPr>
      </w:pPr>
      <w:r>
        <w:rPr>
          <w:vertAlign w:val="superscript"/>
          <w:rtl/>
        </w:rPr>
        <w:t>(</w:t>
      </w:r>
      <w:r>
        <w:rPr>
          <w:rStyle w:val="a7"/>
          <w:sz w:val="28"/>
          <w:rtl/>
        </w:rPr>
        <w:footnoteRef/>
      </w:r>
      <w:r>
        <w:rPr>
          <w:vertAlign w:val="superscript"/>
          <w:rtl/>
        </w:rPr>
        <w:t>)</w:t>
      </w:r>
      <w:r>
        <w:rPr>
          <w:rFonts w:hint="cs"/>
          <w:rtl/>
        </w:rPr>
        <w:t xml:space="preserve">   وهما نسختا: جامعة الملك عبدالعزيز بجدة (أ)، ونسخة (تيره) بتركيا.</w:t>
      </w:r>
    </w:p>
  </w:footnote>
  <w:footnote w:id="73">
    <w:p w:rsidR="00035BE3" w:rsidRDefault="00035BE3" w:rsidP="00DB59CC">
      <w:pPr>
        <w:pStyle w:val="a8"/>
        <w:bidi/>
        <w:spacing w:line="440" w:lineRule="exact"/>
        <w:ind w:left="423" w:right="0" w:hanging="427"/>
        <w:rPr>
          <w:rtl/>
        </w:rPr>
      </w:pPr>
      <w:r>
        <w:rPr>
          <w:vertAlign w:val="superscript"/>
          <w:rtl/>
        </w:rPr>
        <w:t>(</w:t>
      </w:r>
      <w:r>
        <w:rPr>
          <w:rStyle w:val="a7"/>
          <w:sz w:val="28"/>
          <w:rtl/>
        </w:rPr>
        <w:footnoteRef/>
      </w:r>
      <w:r>
        <w:rPr>
          <w:vertAlign w:val="superscript"/>
          <w:rtl/>
        </w:rPr>
        <w:t>)</w:t>
      </w:r>
      <w:r>
        <w:rPr>
          <w:rFonts w:hint="cs"/>
          <w:rtl/>
        </w:rPr>
        <w:t xml:space="preserve">   وقد صرح بذلك في المقدمة، ص 192.</w:t>
      </w:r>
    </w:p>
  </w:footnote>
  <w:footnote w:id="74">
    <w:p w:rsidR="00035BE3" w:rsidRDefault="00035BE3" w:rsidP="00DB59CC">
      <w:pPr>
        <w:pStyle w:val="a8"/>
        <w:bidi/>
        <w:spacing w:line="440" w:lineRule="exact"/>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تأتي ترجمته عند ذكر المؤلف له، ص 195.</w:t>
      </w:r>
    </w:p>
  </w:footnote>
  <w:footnote w:id="75">
    <w:p w:rsidR="00035BE3" w:rsidRDefault="00035BE3" w:rsidP="00DB59CC">
      <w:pPr>
        <w:pStyle w:val="a8"/>
        <w:bidi/>
        <w:spacing w:line="440" w:lineRule="exact"/>
        <w:ind w:left="423" w:right="0" w:hanging="427"/>
        <w:rPr>
          <w:rtl/>
        </w:rPr>
      </w:pPr>
      <w:r>
        <w:rPr>
          <w:vertAlign w:val="superscript"/>
          <w:rtl/>
        </w:rPr>
        <w:t>(</w:t>
      </w:r>
      <w:r>
        <w:rPr>
          <w:rStyle w:val="a7"/>
          <w:sz w:val="28"/>
          <w:rtl/>
        </w:rPr>
        <w:footnoteRef/>
      </w:r>
      <w:r>
        <w:rPr>
          <w:vertAlign w:val="superscript"/>
          <w:rtl/>
        </w:rPr>
        <w:t>)</w:t>
      </w:r>
      <w:r>
        <w:rPr>
          <w:rFonts w:hint="cs"/>
          <w:rtl/>
        </w:rPr>
        <w:t xml:space="preserve">   الأشباه، ص 522 (طبعة دار الفكر).</w:t>
      </w:r>
    </w:p>
  </w:footnote>
  <w:footnote w:id="76">
    <w:p w:rsidR="00035BE3" w:rsidRDefault="00035BE3" w:rsidP="00DB59CC">
      <w:pPr>
        <w:pStyle w:val="a8"/>
        <w:bidi/>
        <w:spacing w:line="440" w:lineRule="exact"/>
        <w:ind w:left="423" w:right="0" w:hanging="427"/>
        <w:rPr>
          <w:rtl/>
        </w:rPr>
      </w:pPr>
      <w:r>
        <w:rPr>
          <w:vertAlign w:val="superscript"/>
          <w:rtl/>
        </w:rPr>
        <w:t>(</w:t>
      </w:r>
      <w:r>
        <w:rPr>
          <w:rStyle w:val="a7"/>
          <w:sz w:val="28"/>
          <w:rtl/>
        </w:rPr>
        <w:footnoteRef/>
      </w:r>
      <w:r>
        <w:rPr>
          <w:vertAlign w:val="superscript"/>
          <w:rtl/>
        </w:rPr>
        <w:t>)</w:t>
      </w:r>
      <w:r>
        <w:rPr>
          <w:rFonts w:hint="cs"/>
          <w:rtl/>
        </w:rPr>
        <w:t xml:space="preserve">   مقدمة الكتاب، ص  194.</w:t>
      </w:r>
    </w:p>
  </w:footnote>
  <w:footnote w:id="77">
    <w:p w:rsidR="00035BE3" w:rsidRDefault="00035BE3" w:rsidP="00DB59CC">
      <w:pPr>
        <w:pStyle w:val="a8"/>
        <w:bidi/>
        <w:spacing w:line="440" w:lineRule="exact"/>
        <w:ind w:left="423" w:right="0" w:hanging="427"/>
        <w:rPr>
          <w:rtl/>
        </w:rPr>
      </w:pPr>
      <w:r>
        <w:rPr>
          <w:vertAlign w:val="superscript"/>
          <w:rtl/>
        </w:rPr>
        <w:t>(</w:t>
      </w:r>
      <w:r>
        <w:rPr>
          <w:rStyle w:val="a7"/>
          <w:sz w:val="28"/>
          <w:rtl/>
        </w:rPr>
        <w:footnoteRef/>
      </w:r>
      <w:r>
        <w:rPr>
          <w:vertAlign w:val="superscript"/>
          <w:rtl/>
        </w:rPr>
        <w:t>)</w:t>
      </w:r>
      <w:r>
        <w:rPr>
          <w:rFonts w:hint="cs"/>
          <w:rtl/>
        </w:rPr>
        <w:t xml:space="preserve">   تكملة شذرات الذهب لأكرم العلبي، 1/105.</w:t>
      </w:r>
    </w:p>
  </w:footnote>
  <w:footnote w:id="78">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ص 192.</w:t>
      </w:r>
    </w:p>
  </w:footnote>
  <w:footnote w:id="79">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ص1191.</w:t>
      </w:r>
    </w:p>
  </w:footnote>
  <w:footnote w:id="80">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مثل نسخة متحف توبقابي (ب)، كتبت عام 1168هـ.</w:t>
      </w:r>
    </w:p>
  </w:footnote>
  <w:footnote w:id="81">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وقد سبق بيان مرجحات هذا الظن، عند الحديث عن نسبه، ص 39.</w:t>
      </w:r>
    </w:p>
  </w:footnote>
  <w:footnote w:id="82">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وذلك من خلال القرائن التي سبق ذكرها، ص 39.</w:t>
      </w:r>
    </w:p>
  </w:footnote>
  <w:footnote w:id="83">
    <w:p w:rsidR="00035BE3" w:rsidRDefault="00035BE3" w:rsidP="00DB59CC">
      <w:pPr>
        <w:pStyle w:val="a6"/>
        <w:ind w:left="423" w:hanging="427"/>
        <w:rPr>
          <w:rtl/>
        </w:rPr>
      </w:pPr>
      <w:r>
        <w:rPr>
          <w:vertAlign w:val="superscript"/>
          <w:rtl/>
        </w:rPr>
        <w:t>(</w:t>
      </w:r>
      <w:r>
        <w:rPr>
          <w:rStyle w:val="a7"/>
          <w:sz w:val="28"/>
          <w:rtl/>
        </w:rPr>
        <w:footnoteRef/>
      </w:r>
      <w:r>
        <w:rPr>
          <w:vertAlign w:val="superscript"/>
          <w:rtl/>
        </w:rPr>
        <w:t>)</w:t>
      </w:r>
      <w:r>
        <w:rPr>
          <w:rFonts w:hint="cs"/>
          <w:rtl/>
        </w:rPr>
        <w:t xml:space="preserve">   والذي جعلني أورد هذا الاحتمال: هو أن والد هذا العالم هو محمد بن سليمان، وهذا مطابق لاسم المؤلف وأبيه، كما  نُعت والده بالشيخ؛ بل لقب بشيخي زاده (أي ابن الشيخ). وكون هذا الابن حنفي المذهب، وعاش في بلاد الروم (تركيا)، وفي القرن الحادي عشر الهجري، كل هذه المعطيات تنسجم مع ناظر زاده أيضًا، </w:t>
      </w:r>
      <w:r>
        <w:rPr>
          <w:rFonts w:hint="cs"/>
          <w:b/>
          <w:bCs/>
          <w:rtl/>
        </w:rPr>
        <w:t>وهو مجرد احتمال أذكره للبحث والنظر</w:t>
      </w:r>
      <w:r>
        <w:rPr>
          <w:rFonts w:hint="cs"/>
          <w:rtl/>
        </w:rPr>
        <w:t>. والذي جعلني لا أجزم بذلك هو عدم الإشارة إلى ناظر زاده مطلقًا؛ بل عدم وجود ما يزيد على (محمد بن سليمان)، كما أني استعرضت مواضع متفرقة من كتاب (مجمع الأنهر) فلم أجده يشير إلى أبيه، وأيضًا سألت أحد العلماء المهتمين بهذا الكتاب، وهو أ. د. أحمد فهمي أبو سنة، سألته عن (ناظر زاده)، وهل كان (شيخي زاده) يذكره في كتـابه؟ فأجابني بعدم العلم بذلك. وهذا الاحتمال وإن لم</w:t>
      </w:r>
      <w:r>
        <w:rPr>
          <w:rFonts w:hint="eastAsia"/>
          <w:rtl/>
        </w:rPr>
        <w:t> </w:t>
      </w:r>
      <w:r>
        <w:rPr>
          <w:rFonts w:hint="cs"/>
          <w:rtl/>
        </w:rPr>
        <w:t>يكن هناك ما يؤكده، لكنه يبقى وارداً؛ لعدم وجود ما ينفيه. ولا يمكن أن يُرقى به إلى الجزم بأن شيخي زاده ابن لناظر زاده؛ لهذا اكتفيت بالإشارة إليه في هذا الموضع.</w:t>
      </w:r>
    </w:p>
    <w:p w:rsidR="00035BE3" w:rsidRDefault="00035BE3" w:rsidP="00DB59CC">
      <w:pPr>
        <w:pStyle w:val="a6"/>
        <w:ind w:left="423" w:hanging="427"/>
        <w:rPr>
          <w:rtl/>
        </w:rPr>
      </w:pPr>
      <w:r>
        <w:rPr>
          <w:rFonts w:hint="cs"/>
          <w:b/>
          <w:bCs/>
          <w:rtl/>
        </w:rPr>
        <w:t>ومما يحسن التنبيه عليه:</w:t>
      </w:r>
      <w:r>
        <w:rPr>
          <w:rFonts w:hint="cs"/>
          <w:rtl/>
        </w:rPr>
        <w:t xml:space="preserve"> أن هناك علماء كثيرين اسمهم: محمد بن سليمان، لكن لم تجتمع في أحدهم قرائن أقوى من القرائن التي اجتمعت في والد شيخي زاده؛ لهذا لم أذكرهم. </w:t>
      </w:r>
    </w:p>
  </w:footnote>
  <w:footnote w:id="84">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معجم الدولة العثمانية، ص113؛ بلاد الشام ومصر، ص 82.</w:t>
      </w:r>
    </w:p>
  </w:footnote>
  <w:footnote w:id="85">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وهي نسخة (أ).</w:t>
      </w:r>
    </w:p>
  </w:footnote>
  <w:footnote w:id="86">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ما جاء في وصف الحالة العليمة، ص 32.</w:t>
      </w:r>
    </w:p>
  </w:footnote>
  <w:footnote w:id="87">
    <w:p w:rsidR="00035BE3" w:rsidRDefault="00035BE3" w:rsidP="00DB59CC">
      <w:pPr>
        <w:pStyle w:val="a6"/>
        <w:ind w:left="423" w:hanging="427"/>
        <w:jc w:val="lowKashida"/>
        <w:rPr>
          <w:rtl/>
        </w:rPr>
      </w:pPr>
      <w:r>
        <w:rPr>
          <w:sz w:val="28"/>
          <w:vertAlign w:val="superscript"/>
          <w:rtl/>
        </w:rPr>
        <w:t>(</w:t>
      </w:r>
      <w:r>
        <w:rPr>
          <w:rStyle w:val="a7"/>
          <w:sz w:val="28"/>
          <w:rtl/>
        </w:rPr>
        <w:footnoteRef/>
      </w:r>
      <w:r>
        <w:rPr>
          <w:sz w:val="28"/>
          <w:vertAlign w:val="superscript"/>
          <w:rtl/>
        </w:rPr>
        <w:t>)</w:t>
      </w:r>
      <w:r>
        <w:rPr>
          <w:rFonts w:hint="cs"/>
          <w:sz w:val="28"/>
          <w:rtl/>
        </w:rPr>
        <w:t xml:space="preserve">  انظر: كشف الظنون، 2/1815؛ هدية العارفين، 1/549؛ الأعلام، 3/332؛ معجم المؤلفين، 2/111؛ تكملة شذرات الذهب، 1/363.</w:t>
      </w:r>
    </w:p>
  </w:footnote>
  <w:footnote w:id="88">
    <w:p w:rsidR="00035BE3" w:rsidRDefault="00035BE3" w:rsidP="00DB59CC">
      <w:pPr>
        <w:pStyle w:val="a6"/>
        <w:ind w:left="423" w:hanging="427"/>
        <w:jc w:val="lowKashida"/>
        <w:rPr>
          <w:sz w:val="28"/>
          <w:rtl/>
        </w:rPr>
      </w:pPr>
      <w:r>
        <w:rPr>
          <w:vertAlign w:val="superscript"/>
          <w:rtl/>
        </w:rPr>
        <w:t>(</w:t>
      </w:r>
      <w:r>
        <w:rPr>
          <w:rStyle w:val="a7"/>
          <w:sz w:val="28"/>
          <w:rtl/>
        </w:rPr>
        <w:footnoteRef/>
      </w:r>
      <w:r>
        <w:rPr>
          <w:vertAlign w:val="superscript"/>
          <w:rtl/>
        </w:rPr>
        <w:t>)</w:t>
      </w:r>
      <w:r>
        <w:rPr>
          <w:rFonts w:hint="cs"/>
          <w:rtl/>
        </w:rPr>
        <w:t xml:space="preserve">   </w:t>
      </w:r>
      <w:r>
        <w:rPr>
          <w:rFonts w:hint="cs"/>
          <w:sz w:val="28"/>
          <w:rtl/>
        </w:rPr>
        <w:t>ولتوثيق ذلك: فإن جله مستنتج من بعض النصوص في الكتاب وهي:</w:t>
      </w:r>
    </w:p>
    <w:p w:rsidR="00035BE3" w:rsidRDefault="00035BE3" w:rsidP="007C7F13">
      <w:pPr>
        <w:pStyle w:val="a6"/>
        <w:numPr>
          <w:ilvl w:val="0"/>
          <w:numId w:val="7"/>
        </w:numPr>
        <w:tabs>
          <w:tab w:val="clear" w:pos="1575"/>
        </w:tabs>
        <w:ind w:left="423" w:firstLine="0"/>
        <w:jc w:val="lowKashida"/>
        <w:rPr>
          <w:sz w:val="28"/>
          <w:rtl/>
        </w:rPr>
      </w:pPr>
      <w:r>
        <w:rPr>
          <w:rFonts w:hint="cs"/>
          <w:sz w:val="28"/>
          <w:rtl/>
        </w:rPr>
        <w:t>قوله -بعد الافتتاحية، ص 188-:</w:t>
      </w:r>
      <w:r>
        <w:rPr>
          <w:rFonts w:hint="eastAsia"/>
          <w:szCs w:val="20"/>
          <w:rtl/>
          <w:lang w:eastAsia="en-GB"/>
        </w:rPr>
        <w:t xml:space="preserve"> «</w:t>
      </w:r>
      <w:r>
        <w:rPr>
          <w:rFonts w:hint="cs"/>
          <w:sz w:val="28"/>
          <w:rtl/>
        </w:rPr>
        <w:t xml:space="preserve"> لما أذنت بالإفتاء، وأمرت بنقل المسائل؛ لتطمئن القلوب عند</w:t>
      </w:r>
      <w:r>
        <w:rPr>
          <w:sz w:val="28"/>
          <w:rtl/>
        </w:rPr>
        <w:br/>
      </w:r>
      <w:r>
        <w:rPr>
          <w:rFonts w:hint="cs"/>
          <w:sz w:val="28"/>
          <w:rtl/>
        </w:rPr>
        <w:t xml:space="preserve"> جواب</w:t>
      </w:r>
      <w:r>
        <w:rPr>
          <w:sz w:val="28"/>
          <w:rtl/>
        </w:rPr>
        <w:t xml:space="preserve"> </w:t>
      </w:r>
      <w:r>
        <w:rPr>
          <w:rFonts w:hint="cs"/>
          <w:sz w:val="28"/>
          <w:rtl/>
        </w:rPr>
        <w:t>السائل...</w:t>
      </w:r>
      <w:r>
        <w:rPr>
          <w:rFonts w:hint="eastAsia"/>
          <w:szCs w:val="20"/>
          <w:rtl/>
          <w:lang w:eastAsia="en-GB"/>
        </w:rPr>
        <w:t xml:space="preserve"> »</w:t>
      </w:r>
      <w:r>
        <w:rPr>
          <w:rFonts w:hint="cs"/>
          <w:sz w:val="28"/>
          <w:rtl/>
        </w:rPr>
        <w:t>.</w:t>
      </w:r>
    </w:p>
    <w:p w:rsidR="00035BE3" w:rsidRDefault="00035BE3" w:rsidP="007C7F13">
      <w:pPr>
        <w:pStyle w:val="a6"/>
        <w:numPr>
          <w:ilvl w:val="0"/>
          <w:numId w:val="7"/>
        </w:numPr>
        <w:tabs>
          <w:tab w:val="clear" w:pos="1575"/>
        </w:tabs>
        <w:ind w:left="423" w:firstLine="0"/>
        <w:jc w:val="lowKashida"/>
      </w:pPr>
      <w:r>
        <w:rPr>
          <w:rFonts w:hint="cs"/>
          <w:sz w:val="28"/>
          <w:rtl/>
        </w:rPr>
        <w:t>قوله - ص192-:</w:t>
      </w:r>
      <w:r>
        <w:rPr>
          <w:rFonts w:hint="eastAsia"/>
          <w:szCs w:val="20"/>
          <w:rtl/>
          <w:lang w:eastAsia="en-GB"/>
        </w:rPr>
        <w:t xml:space="preserve"> «</w:t>
      </w:r>
      <w:r>
        <w:rPr>
          <w:rFonts w:hint="cs"/>
          <w:sz w:val="28"/>
          <w:rtl/>
        </w:rPr>
        <w:t xml:space="preserve"> ثم سنح في خلدي بعدما انتهى الإملاء إلى باب الياء.. أن أعرضه إلى سدة سنية لمن </w:t>
      </w:r>
      <w:r>
        <w:rPr>
          <w:sz w:val="28"/>
          <w:rtl/>
        </w:rPr>
        <w:br/>
      </w:r>
      <w:r>
        <w:rPr>
          <w:rFonts w:hint="cs"/>
          <w:sz w:val="28"/>
          <w:rtl/>
        </w:rPr>
        <w:t>هو صاحب الفضل والكمال، ساحب أذيال المجد والإجلال،... ألا وهو مفتي الأنام في هذه الأي</w:t>
      </w:r>
      <w:r>
        <w:rPr>
          <w:sz w:val="28"/>
          <w:rtl/>
        </w:rPr>
        <w:t>ــ</w:t>
      </w:r>
      <w:r>
        <w:rPr>
          <w:rFonts w:hint="cs"/>
          <w:sz w:val="28"/>
          <w:rtl/>
        </w:rPr>
        <w:t>ام،</w:t>
      </w:r>
      <w:r>
        <w:rPr>
          <w:sz w:val="28"/>
          <w:rtl/>
        </w:rPr>
        <w:t xml:space="preserve"> </w:t>
      </w:r>
      <w:r>
        <w:rPr>
          <w:rFonts w:hint="cs"/>
          <w:sz w:val="28"/>
          <w:rtl/>
        </w:rPr>
        <w:t>أبو</w:t>
      </w:r>
      <w:r>
        <w:rPr>
          <w:rFonts w:hint="eastAsia"/>
          <w:sz w:val="28"/>
          <w:rtl/>
        </w:rPr>
        <w:t> </w:t>
      </w:r>
      <w:r>
        <w:rPr>
          <w:rFonts w:hint="cs"/>
          <w:sz w:val="28"/>
          <w:rtl/>
        </w:rPr>
        <w:t>سعيد</w:t>
      </w:r>
      <w:r>
        <w:rPr>
          <w:sz w:val="28"/>
          <w:rtl/>
        </w:rPr>
        <w:t xml:space="preserve"> </w:t>
      </w:r>
      <w:r>
        <w:rPr>
          <w:rFonts w:hint="cs"/>
          <w:sz w:val="28"/>
          <w:rtl/>
        </w:rPr>
        <w:t>بن أسعد، سعد الدنيا به، كما سعد ب</w:t>
      </w:r>
      <w:r>
        <w:rPr>
          <w:sz w:val="28"/>
          <w:rtl/>
        </w:rPr>
        <w:t>أ</w:t>
      </w:r>
      <w:r>
        <w:rPr>
          <w:rFonts w:hint="cs"/>
          <w:sz w:val="28"/>
          <w:rtl/>
        </w:rPr>
        <w:t xml:space="preserve">به الأمجد، صار لديه كل من له العلم والكمال أحب </w:t>
      </w:r>
      <w:r>
        <w:rPr>
          <w:sz w:val="28"/>
          <w:rtl/>
        </w:rPr>
        <w:br/>
      </w:r>
      <w:r>
        <w:rPr>
          <w:rFonts w:hint="cs"/>
          <w:sz w:val="28"/>
          <w:rtl/>
        </w:rPr>
        <w:t>من السجنجل عند صاحب الجمال. عاجزًا عن إحصاء ثنائه، مكتفيًا بدعاء دوام بقائه...</w:t>
      </w:r>
      <w:r>
        <w:rPr>
          <w:rFonts w:hint="eastAsia"/>
          <w:szCs w:val="20"/>
          <w:rtl/>
          <w:lang w:eastAsia="en-GB"/>
        </w:rPr>
        <w:t xml:space="preserve"> »</w:t>
      </w:r>
      <w:r>
        <w:rPr>
          <w:rFonts w:hint="cs"/>
          <w:sz w:val="28"/>
          <w:rtl/>
        </w:rPr>
        <w:t>.</w:t>
      </w:r>
    </w:p>
    <w:p w:rsidR="00035BE3" w:rsidRDefault="00035BE3" w:rsidP="007C7F13">
      <w:pPr>
        <w:pStyle w:val="a6"/>
        <w:numPr>
          <w:ilvl w:val="0"/>
          <w:numId w:val="7"/>
        </w:numPr>
        <w:tabs>
          <w:tab w:val="clear" w:pos="1575"/>
        </w:tabs>
        <w:ind w:left="423" w:firstLine="0"/>
        <w:jc w:val="lowKashida"/>
        <w:rPr>
          <w:sz w:val="28"/>
        </w:rPr>
      </w:pPr>
      <w:r>
        <w:rPr>
          <w:rFonts w:hint="cs"/>
          <w:sz w:val="28"/>
          <w:rtl/>
        </w:rPr>
        <w:t>قوله - ص383 -:</w:t>
      </w:r>
      <w:r>
        <w:rPr>
          <w:rFonts w:hint="eastAsia"/>
          <w:sz w:val="28"/>
          <w:rtl/>
          <w:lang w:eastAsia="en-GB"/>
        </w:rPr>
        <w:t xml:space="preserve"> </w:t>
      </w:r>
      <w:r>
        <w:rPr>
          <w:rFonts w:hint="eastAsia"/>
          <w:szCs w:val="20"/>
          <w:rtl/>
          <w:lang w:eastAsia="en-GB"/>
        </w:rPr>
        <w:t>«</w:t>
      </w:r>
      <w:r>
        <w:rPr>
          <w:rFonts w:hint="cs"/>
          <w:sz w:val="28"/>
          <w:rtl/>
        </w:rPr>
        <w:t xml:space="preserve"> عرض إلي مسألة على طريق الاستيفاء... فلما عرض الفتوى على</w:t>
      </w:r>
      <w:r>
        <w:rPr>
          <w:sz w:val="28"/>
          <w:rtl/>
        </w:rPr>
        <w:t xml:space="preserve"> </w:t>
      </w:r>
      <w:r>
        <w:rPr>
          <w:rFonts w:hint="cs"/>
          <w:sz w:val="28"/>
          <w:rtl/>
        </w:rPr>
        <w:t>القاضي..</w:t>
      </w:r>
      <w:r>
        <w:rPr>
          <w:rFonts w:hint="eastAsia"/>
          <w:szCs w:val="20"/>
          <w:rtl/>
          <w:lang w:eastAsia="en-GB"/>
        </w:rPr>
        <w:t>»</w:t>
      </w:r>
      <w:r>
        <w:rPr>
          <w:sz w:val="28"/>
          <w:rtl/>
        </w:rPr>
        <w:t>.</w:t>
      </w:r>
    </w:p>
    <w:p w:rsidR="00035BE3" w:rsidRDefault="00035BE3" w:rsidP="007C7F13">
      <w:pPr>
        <w:pStyle w:val="a6"/>
        <w:numPr>
          <w:ilvl w:val="0"/>
          <w:numId w:val="7"/>
        </w:numPr>
        <w:tabs>
          <w:tab w:val="clear" w:pos="1575"/>
        </w:tabs>
        <w:ind w:left="423" w:firstLine="0"/>
        <w:jc w:val="lowKashida"/>
        <w:rPr>
          <w:rtl/>
        </w:rPr>
      </w:pPr>
      <w:r>
        <w:rPr>
          <w:rFonts w:hint="cs"/>
          <w:sz w:val="28"/>
          <w:rtl/>
        </w:rPr>
        <w:t>قوله - ص497 -:</w:t>
      </w:r>
      <w:r>
        <w:rPr>
          <w:rFonts w:hint="eastAsia"/>
          <w:szCs w:val="20"/>
          <w:rtl/>
          <w:lang w:eastAsia="en-GB"/>
        </w:rPr>
        <w:t xml:space="preserve"> «</w:t>
      </w:r>
      <w:r>
        <w:rPr>
          <w:rFonts w:hint="cs"/>
          <w:sz w:val="28"/>
          <w:rtl/>
        </w:rPr>
        <w:t xml:space="preserve"> واضطربوا الشراح في طلب الفائدة في هذا القيد، وقال كل واحد منهم ما قال: </w:t>
      </w:r>
      <w:r>
        <w:rPr>
          <w:sz w:val="28"/>
          <w:rtl/>
        </w:rPr>
        <w:br/>
      </w:r>
      <w:r>
        <w:rPr>
          <w:rFonts w:hint="cs"/>
          <w:sz w:val="28"/>
          <w:rtl/>
        </w:rPr>
        <w:t>فإني</w:t>
      </w:r>
      <w:r>
        <w:rPr>
          <w:sz w:val="28"/>
          <w:rtl/>
        </w:rPr>
        <w:t xml:space="preserve"> </w:t>
      </w:r>
      <w:r>
        <w:rPr>
          <w:rFonts w:hint="cs"/>
          <w:sz w:val="28"/>
          <w:rtl/>
        </w:rPr>
        <w:t>كتبت رسالة مبيّنه ما ورد على أقوالهم، وما وجدت من الفائدة في هذا القيد، عند ملازمتي في العتبة العلية، وعرضتها على بعض الفضلاء...</w:t>
      </w:r>
      <w:r>
        <w:rPr>
          <w:rFonts w:hint="eastAsia"/>
          <w:szCs w:val="20"/>
          <w:rtl/>
          <w:lang w:eastAsia="en-GB"/>
        </w:rPr>
        <w:t xml:space="preserve"> »</w:t>
      </w:r>
      <w:r>
        <w:rPr>
          <w:rFonts w:hint="cs"/>
          <w:sz w:val="28"/>
          <w:rtl/>
        </w:rPr>
        <w:t>.</w:t>
      </w:r>
    </w:p>
    <w:p w:rsidR="00035BE3" w:rsidRDefault="00035BE3" w:rsidP="00DB59CC">
      <w:pPr>
        <w:pStyle w:val="a8"/>
        <w:bidi/>
        <w:ind w:left="423" w:right="0" w:hanging="427"/>
        <w:rPr>
          <w:rtl/>
        </w:rPr>
      </w:pPr>
    </w:p>
  </w:footnote>
  <w:footnote w:id="89">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شرح عنوان الكتاب عند ذكر المؤلف له، ص 191.</w:t>
      </w:r>
    </w:p>
  </w:footnote>
  <w:footnote w:id="90">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ص 192.</w:t>
      </w:r>
    </w:p>
  </w:footnote>
  <w:footnote w:id="91">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ص 896.</w:t>
      </w:r>
    </w:p>
  </w:footnote>
  <w:footnote w:id="92">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401، 403، 404، 484، 500.</w:t>
      </w:r>
    </w:p>
  </w:footnote>
  <w:footnote w:id="93">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وسيأتي ذكرها عند بيان مصادره، ص 91.</w:t>
      </w:r>
    </w:p>
  </w:footnote>
  <w:footnote w:id="94">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w:t>
      </w:r>
      <w:r>
        <w:rPr>
          <w:rFonts w:hint="cs"/>
          <w:b/>
          <w:bCs/>
          <w:rtl/>
        </w:rPr>
        <w:t>فكتاب الزيارة</w:t>
      </w:r>
      <w:r>
        <w:rPr>
          <w:rFonts w:hint="cs"/>
          <w:rtl/>
        </w:rPr>
        <w:t>: حققه أ. د. محمد الخميس، وطبعه ضمن كتابه: المجموع المفيد في نقض القبورية ونصرة التوحيد (من ص 185، إلى ص 245)، وقدم له بترجمة تقع في واحد وعشرين سطرًا. ثم ذكر سبعة مصادر للترجمة أهمها: العقد المنظوم في ذكر أفاضل الروم. ص 436-437.</w:t>
      </w:r>
    </w:p>
    <w:p w:rsidR="00035BE3" w:rsidRDefault="00035BE3" w:rsidP="00DB59CC">
      <w:pPr>
        <w:pStyle w:val="a6"/>
        <w:ind w:left="423" w:hanging="427"/>
        <w:rPr>
          <w:rtl/>
        </w:rPr>
      </w:pPr>
      <w:r>
        <w:rPr>
          <w:rFonts w:hint="cs"/>
          <w:b/>
          <w:bCs/>
          <w:rtl/>
        </w:rPr>
        <w:tab/>
        <w:t>وكتاب المجالس</w:t>
      </w:r>
      <w:r>
        <w:rPr>
          <w:rFonts w:hint="cs"/>
          <w:rtl/>
        </w:rPr>
        <w:t>: انتخب منه أ. د. محمد الخميس أربعة مجالس، وضمها إلى كتابه: المجموع المفيد (من ص 351-400)، وقدم لها بترجمة للمؤلف تقع في عشرة أسطر، فيها اسمه ومؤلفاته وسنة وفاته، كما ذكر في المقدمة أن الكتاب طبع كاملاً في طبعة حجرية قديمة. وقد أحال في الترجمة إلى مصدرين هما: هدية العارفين، 1/157، ومعجم المؤلفين، 2/83.</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DB59CC">
      <w:pPr>
        <w:pStyle w:val="a6"/>
        <w:ind w:left="423" w:hanging="427"/>
        <w:rPr>
          <w:rtl/>
        </w:rPr>
      </w:pPr>
      <w:r>
        <w:rPr>
          <w:rFonts w:hint="cs"/>
          <w:b/>
          <w:bCs/>
          <w:rtl/>
        </w:rPr>
        <w:tab/>
        <w:t xml:space="preserve"> وكتاب سيف الله</w:t>
      </w:r>
      <w:r>
        <w:rPr>
          <w:rFonts w:hint="cs"/>
          <w:rtl/>
        </w:rPr>
        <w:t>: حققه علي رضا بن عبدالله، وقدم له معالي الشيخ صالح الفوزان. ومما ذكره المحقق في المقدمة نبذة عن المؤلف تقع في ستة أسطر، ذكر فيها اسمه وشهرته ومؤلفاته وسنة وفاته. وقد أحال في الترجمة إلى مصدرين هما: هدية العارفين، 1/428، ومعجم المؤلفين، رقم (6241).</w:t>
      </w:r>
    </w:p>
    <w:p w:rsidR="00035BE3" w:rsidRDefault="00035BE3" w:rsidP="00DB59CC">
      <w:pPr>
        <w:pStyle w:val="a6"/>
        <w:ind w:left="423" w:hanging="427"/>
        <w:rPr>
          <w:rtl/>
        </w:rPr>
      </w:pPr>
      <w:r>
        <w:rPr>
          <w:rFonts w:hint="cs"/>
          <w:rtl/>
        </w:rPr>
        <w:tab/>
        <w:t>ولقد بحثت في تراجم هؤلاء العلماء عن ذكر لناظر زاده تبعًا، فلم أجده؛ بل إن هؤلاء العلماء يشتركون معه في قلة الترجمة، وشح مصادرها!.</w:t>
      </w:r>
    </w:p>
  </w:footnote>
  <w:footnote w:id="95">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انظر: نص كلامه، وما جاء في التعليق عليه، ص 563.</w:t>
      </w:r>
    </w:p>
  </w:footnote>
  <w:footnote w:id="96">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ص 836.</w:t>
      </w:r>
    </w:p>
  </w:footnote>
  <w:footnote w:id="97">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ص876.</w:t>
      </w:r>
    </w:p>
  </w:footnote>
  <w:footnote w:id="98">
    <w:p w:rsidR="00035BE3" w:rsidRDefault="00035BE3" w:rsidP="00DB59CC">
      <w:pPr>
        <w:pStyle w:val="a8"/>
        <w:bidi/>
        <w:ind w:left="423" w:right="0" w:hanging="427"/>
        <w:rPr>
          <w:rtl/>
        </w:rPr>
      </w:pPr>
      <w:r>
        <w:rPr>
          <w:rFonts w:hint="cs"/>
          <w:vertAlign w:val="superscript"/>
          <w:rtl/>
        </w:rPr>
        <w:t>(</w:t>
      </w:r>
      <w:r>
        <w:rPr>
          <w:rStyle w:val="a7"/>
        </w:rPr>
        <w:footnoteRef/>
      </w:r>
      <w:r>
        <w:rPr>
          <w:rFonts w:hint="cs"/>
          <w:vertAlign w:val="superscript"/>
          <w:rtl/>
        </w:rPr>
        <w:t>)</w:t>
      </w:r>
      <w:r>
        <w:rPr>
          <w:rFonts w:hint="cs"/>
          <w:rtl/>
        </w:rPr>
        <w:t xml:space="preserve">   انظر: ص680.</w:t>
      </w:r>
    </w:p>
  </w:footnote>
  <w:footnote w:id="99">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وهي ص 278، 906، 958.</w:t>
      </w:r>
    </w:p>
  </w:footnote>
  <w:footnote w:id="100">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وهما ص515، و893.</w:t>
      </w:r>
    </w:p>
  </w:footnote>
  <w:footnote w:id="101">
    <w:p w:rsidR="00035BE3" w:rsidRDefault="00035BE3" w:rsidP="00DB59CC">
      <w:pPr>
        <w:pStyle w:val="a8"/>
        <w:bidi/>
        <w:ind w:left="423" w:right="0" w:hanging="427"/>
        <w:rPr>
          <w:rtl/>
        </w:rPr>
      </w:pPr>
      <w:r>
        <w:rPr>
          <w:rFonts w:hint="cs"/>
          <w:vertAlign w:val="superscript"/>
          <w:rtl/>
        </w:rPr>
        <w:t>(</w:t>
      </w:r>
      <w:r>
        <w:rPr>
          <w:rStyle w:val="a7"/>
        </w:rPr>
        <w:footnoteRef/>
      </w:r>
      <w:r>
        <w:rPr>
          <w:rFonts w:hint="cs"/>
          <w:vertAlign w:val="superscript"/>
          <w:rtl/>
        </w:rPr>
        <w:t>)</w:t>
      </w:r>
      <w:r>
        <w:rPr>
          <w:rFonts w:hint="cs"/>
          <w:rtl/>
        </w:rPr>
        <w:t xml:space="preserve">   ولتوثيق ذلك انظر: فهرس الأعلام.</w:t>
      </w:r>
    </w:p>
  </w:footnote>
  <w:footnote w:id="102">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أشار إليها المؤلف، ص488، وقد بحثت عنها في جميع ما اطلعت عليه من فهارس المخطوطات فلم أجد لها ذكرًا.</w:t>
      </w:r>
    </w:p>
  </w:footnote>
  <w:footnote w:id="103">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أشار إليها المؤلف، ص497، ولم أجد لها ذكرًا في جميع ما وقفت عليه من فهارس المخطوطات.</w:t>
      </w:r>
    </w:p>
  </w:footnote>
  <w:footnote w:id="104">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إبراز طائفة من الجوانب الإيجابية عند تقويم الكتاب، ص 112.</w:t>
      </w:r>
    </w:p>
  </w:footnote>
  <w:footnote w:id="105">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وسوف يأتي بيان ذلك مفصلاً عند الحديث عمن استفاد منه، ص 100.</w:t>
      </w:r>
    </w:p>
  </w:footnote>
  <w:footnote w:id="106">
    <w:p w:rsidR="00035BE3" w:rsidRDefault="00035BE3" w:rsidP="00DB59CC">
      <w:pPr>
        <w:pStyle w:val="a8"/>
        <w:bidi/>
        <w:ind w:left="423" w:right="0" w:hanging="427"/>
        <w:rPr>
          <w:rtl/>
        </w:rPr>
      </w:pPr>
      <w:r>
        <w:rPr>
          <w:vertAlign w:val="superscript"/>
          <w:rtl/>
        </w:rPr>
        <w:t>(</w:t>
      </w:r>
      <w:r>
        <w:rPr>
          <w:rStyle w:val="a7"/>
          <w:sz w:val="28"/>
          <w:rtl/>
        </w:rPr>
        <w:footnoteRef/>
      </w:r>
      <w:r>
        <w:rPr>
          <w:vertAlign w:val="superscript"/>
          <w:rtl/>
        </w:rPr>
        <w:t>)</w:t>
      </w:r>
      <w:r>
        <w:rPr>
          <w:rFonts w:hint="cs"/>
          <w:rtl/>
        </w:rPr>
        <w:t xml:space="preserve">   مقدمة تحقيقه لكتاب المجموع المذهب في قواعد المذهب، للعلائي، 1/59. </w:t>
      </w:r>
    </w:p>
  </w:footnote>
  <w:footnote w:id="107">
    <w:p w:rsidR="00035BE3" w:rsidRDefault="00035BE3" w:rsidP="00EB5FFB">
      <w:pPr>
        <w:pStyle w:val="a8"/>
        <w:bidi/>
        <w:ind w:right="0" w:hanging="171"/>
        <w:rPr>
          <w:rtl/>
        </w:rPr>
      </w:pPr>
      <w:r>
        <w:rPr>
          <w:rFonts w:hint="cs"/>
          <w:vertAlign w:val="superscript"/>
          <w:rtl/>
        </w:rPr>
        <w:t>(</w:t>
      </w:r>
      <w:r>
        <w:rPr>
          <w:rStyle w:val="a7"/>
        </w:rPr>
        <w:footnoteRef/>
      </w:r>
      <w:r>
        <w:rPr>
          <w:rFonts w:hint="cs"/>
          <w:vertAlign w:val="superscript"/>
          <w:rtl/>
        </w:rPr>
        <w:t>)</w:t>
      </w:r>
      <w:r>
        <w:rPr>
          <w:rFonts w:hint="cs"/>
          <w:rtl/>
        </w:rPr>
        <w:t xml:space="preserve">   ص188-189.</w:t>
      </w:r>
    </w:p>
  </w:footnote>
  <w:footnote w:id="108">
    <w:p w:rsidR="00035BE3" w:rsidRDefault="00035BE3" w:rsidP="00EB5FFB">
      <w:pPr>
        <w:pStyle w:val="a8"/>
        <w:bidi/>
        <w:ind w:right="0" w:hanging="171"/>
        <w:rPr>
          <w:rtl/>
        </w:rPr>
      </w:pPr>
      <w:r>
        <w:rPr>
          <w:rFonts w:hint="cs"/>
          <w:vertAlign w:val="superscript"/>
          <w:rtl/>
        </w:rPr>
        <w:t>(</w:t>
      </w:r>
      <w:r>
        <w:rPr>
          <w:rStyle w:val="a7"/>
        </w:rPr>
        <w:footnoteRef/>
      </w:r>
      <w:r>
        <w:rPr>
          <w:rFonts w:hint="cs"/>
          <w:vertAlign w:val="superscript"/>
          <w:rtl/>
        </w:rPr>
        <w:t>)</w:t>
      </w:r>
      <w:r>
        <w:rPr>
          <w:rFonts w:hint="cs"/>
          <w:rtl/>
        </w:rPr>
        <w:t xml:space="preserve">   ص 192-197.</w:t>
      </w:r>
    </w:p>
  </w:footnote>
  <w:footnote w:id="109">
    <w:p w:rsidR="00035BE3" w:rsidRDefault="00035BE3" w:rsidP="00EB5FFB">
      <w:pPr>
        <w:pStyle w:val="a8"/>
        <w:bidi/>
        <w:ind w:left="424" w:right="0" w:hanging="455"/>
        <w:rPr>
          <w:rtl/>
        </w:rPr>
      </w:pPr>
      <w:r>
        <w:rPr>
          <w:rFonts w:hint="cs"/>
          <w:vertAlign w:val="superscript"/>
          <w:rtl/>
        </w:rPr>
        <w:t>(</w:t>
      </w:r>
      <w:r>
        <w:rPr>
          <w:rStyle w:val="a7"/>
        </w:rPr>
        <w:footnoteRef/>
      </w:r>
      <w:r>
        <w:rPr>
          <w:rFonts w:hint="cs"/>
          <w:vertAlign w:val="superscript"/>
          <w:rtl/>
        </w:rPr>
        <w:t>)</w:t>
      </w:r>
      <w:r>
        <w:rPr>
          <w:rFonts w:hint="cs"/>
          <w:rtl/>
        </w:rPr>
        <w:t xml:space="preserve">   تحرير القواعد المنطقية في شرح الرسالة الشمسية، ص23؛ وانظر الرسالة الشمسية المطبوعة مع الكتاب السابق، ص22؛ ومع شرحها: تيسير القواعد المنطقية (وهو تسهيل للشرح السابق)، ص18-21؛ حاشية الصبان على شرح السلم للملوي، ص33.</w:t>
      </w:r>
    </w:p>
  </w:footnote>
  <w:footnote w:id="110">
    <w:p w:rsidR="00035BE3" w:rsidRDefault="00035BE3" w:rsidP="00EB5FFB">
      <w:pPr>
        <w:pStyle w:val="a8"/>
        <w:bidi/>
        <w:ind w:left="424" w:right="0" w:hanging="455"/>
        <w:rPr>
          <w:rtl/>
        </w:rPr>
      </w:pPr>
      <w:r>
        <w:rPr>
          <w:rFonts w:hint="cs"/>
          <w:vertAlign w:val="superscript"/>
          <w:rtl/>
        </w:rPr>
        <w:t>(</w:t>
      </w:r>
      <w:r>
        <w:rPr>
          <w:rStyle w:val="a7"/>
        </w:rPr>
        <w:footnoteRef/>
      </w:r>
      <w:r>
        <w:rPr>
          <w:rFonts w:hint="cs"/>
          <w:vertAlign w:val="superscript"/>
          <w:rtl/>
        </w:rPr>
        <w:t>)</w:t>
      </w:r>
      <w:r>
        <w:rPr>
          <w:rFonts w:hint="cs"/>
          <w:rtl/>
        </w:rPr>
        <w:t xml:space="preserve">   القواعد الفقهية لِـ د. علي الندوي، ص439.</w:t>
      </w:r>
    </w:p>
  </w:footnote>
  <w:footnote w:id="111">
    <w:p w:rsidR="00035BE3" w:rsidRDefault="00035BE3" w:rsidP="00EB5FFB">
      <w:pPr>
        <w:pStyle w:val="a8"/>
        <w:bidi/>
        <w:ind w:left="424" w:right="0" w:hanging="455"/>
        <w:rPr>
          <w:rtl/>
        </w:rPr>
      </w:pPr>
      <w:r>
        <w:rPr>
          <w:rFonts w:hint="cs"/>
          <w:vertAlign w:val="superscript"/>
          <w:rtl/>
        </w:rPr>
        <w:t>(</w:t>
      </w:r>
      <w:r>
        <w:rPr>
          <w:rStyle w:val="a7"/>
        </w:rPr>
        <w:footnoteRef/>
      </w:r>
      <w:r>
        <w:rPr>
          <w:rFonts w:hint="cs"/>
          <w:vertAlign w:val="superscript"/>
          <w:rtl/>
        </w:rPr>
        <w:t>)</w:t>
      </w:r>
      <w:r>
        <w:rPr>
          <w:rFonts w:hint="cs"/>
          <w:rtl/>
        </w:rPr>
        <w:t xml:space="preserve">   القواعد الفقهية لشيخنا د. يعقوب الباحسين، ص110.</w:t>
      </w:r>
    </w:p>
  </w:footnote>
  <w:footnote w:id="112">
    <w:p w:rsidR="00035BE3" w:rsidRDefault="00035BE3" w:rsidP="00EB5FFB">
      <w:pPr>
        <w:pStyle w:val="a8"/>
        <w:bidi/>
        <w:ind w:left="424" w:right="0" w:hanging="455"/>
        <w:rPr>
          <w:rtl/>
        </w:rPr>
      </w:pPr>
      <w:r>
        <w:rPr>
          <w:rFonts w:hint="cs"/>
          <w:vertAlign w:val="superscript"/>
          <w:rtl/>
        </w:rPr>
        <w:t>(</w:t>
      </w:r>
      <w:r>
        <w:rPr>
          <w:rStyle w:val="a7"/>
        </w:rPr>
        <w:footnoteRef/>
      </w:r>
      <w:r>
        <w:rPr>
          <w:rFonts w:hint="cs"/>
          <w:vertAlign w:val="superscript"/>
          <w:rtl/>
        </w:rPr>
        <w:t>)</w:t>
      </w:r>
      <w:r>
        <w:rPr>
          <w:rFonts w:hint="cs"/>
          <w:rtl/>
        </w:rPr>
        <w:t xml:space="preserve">   القواعد الفقهية لِـ د. علي الندوي، ص439.</w:t>
      </w:r>
    </w:p>
  </w:footnote>
  <w:footnote w:id="113">
    <w:p w:rsidR="00035BE3" w:rsidRDefault="00035BE3" w:rsidP="00EB5FFB">
      <w:pPr>
        <w:pStyle w:val="a8"/>
        <w:bidi/>
        <w:ind w:left="566" w:right="0" w:hanging="567"/>
        <w:rPr>
          <w:rtl/>
        </w:rPr>
      </w:pPr>
      <w:r>
        <w:rPr>
          <w:rFonts w:hint="cs"/>
          <w:vertAlign w:val="superscript"/>
          <w:rtl/>
        </w:rPr>
        <w:t>(</w:t>
      </w:r>
      <w:r>
        <w:rPr>
          <w:rStyle w:val="a7"/>
        </w:rPr>
        <w:footnoteRef/>
      </w:r>
      <w:r>
        <w:rPr>
          <w:rFonts w:hint="cs"/>
          <w:vertAlign w:val="superscript"/>
          <w:rtl/>
        </w:rPr>
        <w:t>)</w:t>
      </w:r>
      <w:r>
        <w:rPr>
          <w:rFonts w:hint="cs"/>
          <w:rtl/>
        </w:rPr>
        <w:t xml:space="preserve">   انظر الغرض مفصّلا في الصفحة قبل السابقة.</w:t>
      </w:r>
    </w:p>
  </w:footnote>
  <w:footnote w:id="11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202.</w:t>
      </w:r>
    </w:p>
  </w:footnote>
  <w:footnote w:id="11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ص1184.</w:t>
      </w:r>
    </w:p>
  </w:footnote>
  <w:footnote w:id="11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ص289.</w:t>
      </w:r>
    </w:p>
  </w:footnote>
  <w:footnote w:id="117">
    <w:p w:rsidR="00035BE3" w:rsidRDefault="00035BE3" w:rsidP="00EB5FFB">
      <w:pPr>
        <w:pStyle w:val="a8"/>
        <w:bidi/>
        <w:ind w:left="424"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وهي القواعد الآتية: 5، 8، 9، 11، 12، 13، 15، 16، 17، 18، 19، 22، 35، 39، 41، 43، 44، 45، 46، 50.</w:t>
      </w:r>
    </w:p>
  </w:footnote>
  <w:footnote w:id="11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188 ـ190.</w:t>
      </w:r>
    </w:p>
  </w:footnote>
  <w:footnote w:id="119">
    <w:p w:rsidR="00035BE3" w:rsidRDefault="00035BE3" w:rsidP="00EB5FFB">
      <w:pPr>
        <w:pStyle w:val="a8"/>
        <w:bidi/>
        <w:ind w:left="424"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وهذا تعريف صدر الشريعة في (التوضيح)، 1/20 واختيار شيخنا د. يعقوب الباحسين في (القواعد الفقهية)، ص37.</w:t>
      </w:r>
    </w:p>
  </w:footnote>
  <w:footnote w:id="12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الرسالة الشمسية وشرحاها: تحرير القواعد المنطقية، ص86؛ وتسهيله المسمى بتيسير القواعد المنطقية، ص103.</w:t>
      </w:r>
    </w:p>
  </w:footnote>
  <w:footnote w:id="12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تيسير القواعد المنطقية، ص104.</w:t>
      </w:r>
    </w:p>
  </w:footnote>
  <w:footnote w:id="122">
    <w:p w:rsidR="00035BE3" w:rsidRDefault="00035BE3" w:rsidP="00EB5FFB">
      <w:pPr>
        <w:pStyle w:val="a8"/>
        <w:bidi/>
        <w:spacing w:line="221" w:lineRule="auto"/>
        <w:ind w:left="425"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وانظر من الضوابط الأخر: قاعدة رقم 192 و201 و233.</w:t>
      </w:r>
    </w:p>
  </w:footnote>
  <w:footnote w:id="123">
    <w:p w:rsidR="00035BE3" w:rsidRDefault="00035BE3" w:rsidP="00EB5FFB">
      <w:pPr>
        <w:pStyle w:val="a8"/>
        <w:bidi/>
        <w:spacing w:line="221" w:lineRule="auto"/>
        <w:ind w:left="425"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وانظر من القواعد الأصولية الأخر: قاعدة رقم 6 و20 و22 و92 و101 و119 و138 و152 و160 و163 و165 و186 و187 و209 و210 و221 و247 و248 و249 و257.</w:t>
      </w:r>
    </w:p>
  </w:footnote>
  <w:footnote w:id="124">
    <w:p w:rsidR="00035BE3" w:rsidRDefault="00035BE3" w:rsidP="00EB5FFB">
      <w:pPr>
        <w:pStyle w:val="a8"/>
        <w:bidi/>
        <w:spacing w:line="221" w:lineRule="auto"/>
        <w:ind w:left="425"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المدخل الفقهي العام للزرقا، 2/947، فقرة 556.</w:t>
      </w:r>
    </w:p>
  </w:footnote>
  <w:footnote w:id="125">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مقدمة شيخنا د. عبد الرحمن الشعلان لتحقيق كتاب القواعد للحصني، 1/34.</w:t>
      </w:r>
    </w:p>
  </w:footnote>
  <w:footnote w:id="12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قاعدة 10، 94، 244 (مع العلم بأنه في القاعدة 244 ذكر لفظين آخرين لها يشتركان معها في المعنى وفي الحرف الأول، ثم ختم الحديث عنها بربط الألفاظ الثلاثة بقاعدة أخرى تبدأ بحرف الياء، حيث قال: </w:t>
      </w:r>
      <w:r>
        <w:rPr>
          <w:rFonts w:hint="eastAsia"/>
          <w:rtl/>
        </w:rPr>
        <w:t>«</w:t>
      </w:r>
      <w:r>
        <w:rPr>
          <w:rFonts w:hint="cs"/>
          <w:rtl/>
        </w:rPr>
        <w:t xml:space="preserve">والأصل المشهور فيه: </w:t>
      </w:r>
      <w:r>
        <w:rPr>
          <w:rFonts w:hint="eastAsia"/>
          <w:rtl/>
        </w:rPr>
        <w:t>«</w:t>
      </w:r>
      <w:r>
        <w:rPr>
          <w:rFonts w:hint="cs"/>
          <w:rtl/>
        </w:rPr>
        <w:t>اليقين لا يزول بالشك</w:t>
      </w:r>
      <w:r>
        <w:rPr>
          <w:rFonts w:hint="eastAsia"/>
          <w:rtl/>
        </w:rPr>
        <w:t>»»</w:t>
      </w:r>
      <w:r>
        <w:rPr>
          <w:rFonts w:hint="cs"/>
          <w:rtl/>
        </w:rPr>
        <w:t>. ومقصوده من ذكر القاعدة الأخيرة هو كون الثلاث المتقدمةتندرج تحتها لا أنها بمعناها -والله أعلم-).</w:t>
      </w:r>
    </w:p>
  </w:footnote>
  <w:footnote w:id="12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وذلك ص631.</w:t>
      </w:r>
    </w:p>
  </w:footnote>
  <w:footnote w:id="12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وانظر من القواعد الأخر: قاعدة 4 و145 و171، قاعدة 5 و95، قاعدة 53 و54 و147.</w:t>
      </w:r>
    </w:p>
  </w:footnote>
  <w:footnote w:id="12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وانظر مـن القواعـد الأخر: قاعدة 15 و24، 21 و52 و215 و262، 43 و131، 80 و 159 و230، 221 و248.</w:t>
      </w:r>
    </w:p>
  </w:footnote>
  <w:footnote w:id="13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ص189. وفي هذا الموضع تم التعليق على ذلك، ببيان المراد بالأصل، والفرق بينه وبين القاعدة.</w:t>
      </w:r>
    </w:p>
  </w:footnote>
  <w:footnote w:id="13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ص202، 260، 360، 377، 395، 409، 454، 574، 1141، 1179، 1184.</w:t>
      </w:r>
    </w:p>
  </w:footnote>
  <w:footnote w:id="13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ص221، 331، 382، 428، 448، 937، 1105، 1167.</w:t>
      </w:r>
    </w:p>
  </w:footnote>
  <w:footnote w:id="13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أنوار البروق للقرافي، 1/3.</w:t>
      </w:r>
    </w:p>
  </w:footnote>
  <w:footnote w:id="13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ص236.</w:t>
      </w:r>
    </w:p>
  </w:footnote>
  <w:footnote w:id="13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ص363.</w:t>
      </w:r>
    </w:p>
  </w:footnote>
  <w:footnote w:id="13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ص448.</w:t>
      </w:r>
    </w:p>
  </w:footnote>
  <w:footnote w:id="13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ص779.</w:t>
      </w:r>
    </w:p>
  </w:footnote>
  <w:footnote w:id="13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ص784، وانظر أيضًا: ص657، 779، 902، 929، 979، 1149.</w:t>
      </w:r>
    </w:p>
  </w:footnote>
  <w:footnote w:id="13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سبقت الإشارة إلى ذلك ص62.</w:t>
      </w:r>
    </w:p>
  </w:footnote>
  <w:footnote w:id="14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قاعدة 3، 71، 73، 82، 237.</w:t>
      </w:r>
    </w:p>
  </w:footnote>
  <w:footnote w:id="141">
    <w:p w:rsidR="00035BE3" w:rsidRDefault="00035BE3" w:rsidP="00EB5FFB">
      <w:pPr>
        <w:pStyle w:val="a8"/>
        <w:bidi/>
        <w:ind w:left="424"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من القواعد مثلاً: قاعدة 6، 16، 38، 39، 70، 71، 74، 90، 100، 104، 111، 120، 138، 155، 161، 162، 163، 165، 195، 198، 203، 210، 212، 249.</w:t>
      </w:r>
    </w:p>
  </w:footnote>
  <w:footnote w:id="14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وانظر قاعدة 128 </w:t>
      </w:r>
      <w:r>
        <w:rPr>
          <w:rtl/>
        </w:rPr>
        <w:t>–</w:t>
      </w:r>
      <w:r>
        <w:rPr>
          <w:rFonts w:hint="cs"/>
          <w:rtl/>
        </w:rPr>
        <w:t xml:space="preserve"> فقد أشار إلى معناها في بداية شرحها، كما ذكرها عرضًا قبل ذلك، ص381 وبيّن معناها الإجمالي، وانظر أيضًا: قاعدة 201، و246، و266.</w:t>
      </w:r>
    </w:p>
  </w:footnote>
  <w:footnote w:id="143">
    <w:p w:rsidR="00035BE3" w:rsidRDefault="00035BE3" w:rsidP="00EB5FFB">
      <w:pPr>
        <w:pStyle w:val="a8"/>
        <w:bidi/>
        <w:ind w:left="424"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 شرح السلم للملوي وحاشيته للصبّان، ص86؛ آداب البحث والمناظرة للشنقيطي، 1/40؛ ضوابط المعرفة، ص62.</w:t>
      </w:r>
    </w:p>
  </w:footnote>
  <w:footnote w:id="14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سبقت الإشارة إلى ذلك، ص62. </w:t>
      </w:r>
    </w:p>
  </w:footnote>
  <w:footnote w:id="14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قد سبق التمثيل لذلك، ص62.</w:t>
      </w:r>
    </w:p>
  </w:footnote>
  <w:footnote w:id="14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ص222، 672، 843، 849، 1054، 1084-1086، 1184.</w:t>
      </w:r>
    </w:p>
  </w:footnote>
  <w:footnote w:id="14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فروع القواعد الآتية: 2، 6، 7، 10، 139، 143، 155، 156، 157، 244، 259.</w:t>
      </w:r>
    </w:p>
  </w:footnote>
  <w:footnote w:id="14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66.</w:t>
      </w:r>
    </w:p>
  </w:footnote>
  <w:footnote w:id="14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72.</w:t>
      </w:r>
    </w:p>
  </w:footnote>
  <w:footnote w:id="15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ص449.</w:t>
      </w:r>
    </w:p>
  </w:footnote>
  <w:footnote w:id="15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ص225، 260، 320، 438، 514، 515، 843.</w:t>
      </w:r>
    </w:p>
  </w:footnote>
  <w:footnote w:id="15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انظر:ص512، وانظر: فهرس الأعلام </w:t>
      </w:r>
      <w:r>
        <w:rPr>
          <w:rtl/>
        </w:rPr>
        <w:t>–</w:t>
      </w:r>
      <w:r>
        <w:rPr>
          <w:rFonts w:hint="cs"/>
          <w:rtl/>
        </w:rPr>
        <w:t xml:space="preserve"> الإمام محمد بن إدريس الشافعي.</w:t>
      </w:r>
    </w:p>
  </w:footnote>
  <w:footnote w:id="15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341، 610.</w:t>
      </w:r>
    </w:p>
  </w:footnote>
  <w:footnote w:id="15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680.</w:t>
      </w:r>
    </w:p>
  </w:footnote>
  <w:footnote w:id="155">
    <w:p w:rsidR="00035BE3" w:rsidRDefault="00035BE3" w:rsidP="00EB5FFB">
      <w:pPr>
        <w:pStyle w:val="a8"/>
        <w:bidi/>
        <w:ind w:left="282" w:right="0" w:hanging="312"/>
        <w:rPr>
          <w:rtl/>
        </w:rPr>
      </w:pPr>
      <w:r>
        <w:rPr>
          <w:rFonts w:hint="cs"/>
          <w:vertAlign w:val="superscript"/>
          <w:rtl/>
        </w:rPr>
        <w:t>(</w:t>
      </w:r>
      <w:r>
        <w:rPr>
          <w:rStyle w:val="a7"/>
        </w:rPr>
        <w:footnoteRef/>
      </w:r>
      <w:r>
        <w:rPr>
          <w:rFonts w:hint="cs"/>
          <w:vertAlign w:val="superscript"/>
          <w:rtl/>
        </w:rPr>
        <w:t>)</w:t>
      </w:r>
      <w:r>
        <w:rPr>
          <w:rFonts w:hint="cs"/>
          <w:rtl/>
        </w:rPr>
        <w:t xml:space="preserve"> انظر الرسالة الشمسية وشرحيها: تحرير القواعد المنطقية للقطبي، ص165؛ وتسهيله المسمّى: تيسير القواعد المنطقية، لِـ أ.د. محمد سالم، ص227؛ شرح تنقيح الفصول، ص448؛ شرح الكوكب المنير، 4/418؛ السلّم المنورق وشرحه للملوي وحاشية الصبّان على الشرح، ص146؛ ضوابط المعرفة، ص187، 193.</w:t>
      </w:r>
    </w:p>
  </w:footnote>
  <w:footnote w:id="15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التمثيل لهذه القواعد بأربع وعشرين قاعدة، ص73.</w:t>
      </w:r>
    </w:p>
  </w:footnote>
  <w:footnote w:id="157">
    <w:p w:rsidR="00035BE3" w:rsidRDefault="00035BE3" w:rsidP="00EB5FFB">
      <w:pPr>
        <w:pStyle w:val="a8"/>
        <w:bidi/>
        <w:ind w:left="424"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وانظر من أمثلة الفروع التي خصّها بأدلة جزئية: ص209، 257، 279، 367، 465،530،540،925، 951، 1046.</w:t>
      </w:r>
    </w:p>
  </w:footnote>
  <w:footnote w:id="158">
    <w:p w:rsidR="00035BE3" w:rsidRDefault="00035BE3" w:rsidP="00EB5FFB">
      <w:pPr>
        <w:pStyle w:val="a8"/>
        <w:bidi/>
        <w:ind w:left="424" w:right="0"/>
        <w:rPr>
          <w:rtl/>
        </w:rPr>
      </w:pPr>
      <w:r>
        <w:rPr>
          <w:vertAlign w:val="superscript"/>
          <w:rtl/>
        </w:rPr>
        <w:t>(</w:t>
      </w:r>
      <w:r>
        <w:rPr>
          <w:rStyle w:val="a7"/>
        </w:rPr>
        <w:footnoteRef/>
      </w:r>
      <w:r>
        <w:rPr>
          <w:rFonts w:hint="cs"/>
          <w:vertAlign w:val="superscript"/>
          <w:rtl/>
        </w:rPr>
        <w:t>)</w:t>
      </w:r>
      <w:r>
        <w:rPr>
          <w:rFonts w:hint="cs"/>
          <w:rtl/>
        </w:rPr>
        <w:t xml:space="preserve">   من الأية رقم (6) من سورة (النساء). وقد ذكرها ناظرزاده ص 521.</w:t>
      </w:r>
    </w:p>
  </w:footnote>
  <w:footnote w:id="159">
    <w:p w:rsidR="00035BE3" w:rsidRDefault="00035BE3" w:rsidP="00EB5FFB">
      <w:pPr>
        <w:pStyle w:val="a8"/>
        <w:bidi/>
        <w:ind w:left="424" w:right="0"/>
        <w:rPr>
          <w:rtl/>
        </w:rPr>
      </w:pPr>
      <w:r>
        <w:rPr>
          <w:vertAlign w:val="superscript"/>
          <w:rtl/>
        </w:rPr>
        <w:t>(</w:t>
      </w:r>
      <w:r>
        <w:rPr>
          <w:rStyle w:val="a7"/>
        </w:rPr>
        <w:footnoteRef/>
      </w:r>
      <w:r>
        <w:rPr>
          <w:rFonts w:hint="cs"/>
          <w:vertAlign w:val="superscript"/>
          <w:rtl/>
        </w:rPr>
        <w:t>)</w:t>
      </w:r>
      <w:r>
        <w:rPr>
          <w:rFonts w:hint="cs"/>
          <w:rtl/>
        </w:rPr>
        <w:t xml:space="preserve">   من الآية رقم (77) من سورة (الحج). وقد ذكرها ناظرزاده، ص 534.</w:t>
      </w:r>
    </w:p>
  </w:footnote>
  <w:footnote w:id="160">
    <w:p w:rsidR="00035BE3" w:rsidRDefault="00035BE3" w:rsidP="00EB5FFB">
      <w:pPr>
        <w:pStyle w:val="a8"/>
        <w:bidi/>
        <w:ind w:left="424" w:right="0"/>
        <w:rPr>
          <w:rtl/>
        </w:rPr>
      </w:pPr>
      <w:r>
        <w:rPr>
          <w:vertAlign w:val="superscript"/>
          <w:rtl/>
        </w:rPr>
        <w:t>(</w:t>
      </w:r>
      <w:r>
        <w:rPr>
          <w:rStyle w:val="a7"/>
        </w:rPr>
        <w:footnoteRef/>
      </w:r>
      <w:r>
        <w:rPr>
          <w:rFonts w:hint="cs"/>
          <w:vertAlign w:val="superscript"/>
          <w:rtl/>
        </w:rPr>
        <w:t>)</w:t>
      </w:r>
      <w:r>
        <w:rPr>
          <w:rFonts w:hint="cs"/>
          <w:rtl/>
        </w:rPr>
        <w:t xml:space="preserve">   من الآية رقم (2) من سورة (النور). </w:t>
      </w:r>
      <w:r>
        <w:rPr>
          <w:rFonts w:hint="eastAsia"/>
          <w:rtl/>
        </w:rPr>
        <w:t>وقد</w:t>
      </w:r>
      <w:r>
        <w:rPr>
          <w:rtl/>
        </w:rPr>
        <w:t xml:space="preserve"> ذكرها ناظرزاده ص </w:t>
      </w:r>
      <w:r>
        <w:rPr>
          <w:rFonts w:hint="cs"/>
          <w:rtl/>
        </w:rPr>
        <w:t>757.</w:t>
      </w:r>
    </w:p>
  </w:footnote>
  <w:footnote w:id="161">
    <w:p w:rsidR="00035BE3" w:rsidRDefault="00035BE3" w:rsidP="00EB5FFB">
      <w:pPr>
        <w:pStyle w:val="a8"/>
        <w:bidi/>
        <w:ind w:left="424" w:right="0"/>
        <w:rPr>
          <w:rtl/>
        </w:rPr>
      </w:pPr>
      <w:r>
        <w:rPr>
          <w:vertAlign w:val="superscript"/>
          <w:rtl/>
        </w:rPr>
        <w:t>(</w:t>
      </w:r>
      <w:r>
        <w:rPr>
          <w:rStyle w:val="a7"/>
        </w:rPr>
        <w:footnoteRef/>
      </w:r>
      <w:r>
        <w:rPr>
          <w:rFonts w:hint="cs"/>
          <w:vertAlign w:val="superscript"/>
          <w:rtl/>
        </w:rPr>
        <w:t>)</w:t>
      </w:r>
      <w:r>
        <w:rPr>
          <w:rFonts w:hint="cs"/>
          <w:rtl/>
        </w:rPr>
        <w:t xml:space="preserve">   من الآية رقم (30) من سورة (التوبة). وقد ذكرها ناظرزاده، ص 440، 447.</w:t>
      </w:r>
    </w:p>
  </w:footnote>
  <w:footnote w:id="162">
    <w:p w:rsidR="00035BE3" w:rsidRDefault="00035BE3" w:rsidP="00EB5FFB">
      <w:pPr>
        <w:pStyle w:val="a8"/>
        <w:bidi/>
        <w:ind w:left="424" w:right="0"/>
        <w:rPr>
          <w:rtl/>
        </w:rPr>
      </w:pPr>
      <w:r>
        <w:rPr>
          <w:vertAlign w:val="superscript"/>
          <w:rtl/>
        </w:rPr>
        <w:t>(</w:t>
      </w:r>
      <w:r>
        <w:rPr>
          <w:rStyle w:val="a7"/>
        </w:rPr>
        <w:footnoteRef/>
      </w:r>
      <w:r>
        <w:rPr>
          <w:rFonts w:hint="cs"/>
          <w:vertAlign w:val="superscript"/>
          <w:rtl/>
        </w:rPr>
        <w:t>)</w:t>
      </w:r>
      <w:r>
        <w:rPr>
          <w:rFonts w:hint="cs"/>
          <w:rtl/>
        </w:rPr>
        <w:t xml:space="preserve">   من الآية رقم (38) من سورة (المائدة). وقد ذكرها ناظرزاده، ص 679.</w:t>
      </w:r>
    </w:p>
  </w:footnote>
  <w:footnote w:id="163">
    <w:p w:rsidR="00035BE3" w:rsidRDefault="00035BE3" w:rsidP="00EB5FFB">
      <w:pPr>
        <w:pStyle w:val="a8"/>
        <w:bidi/>
        <w:ind w:left="424"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من</w:t>
      </w:r>
      <w:r>
        <w:rPr>
          <w:rtl/>
        </w:rPr>
        <w:t xml:space="preserve"> الآية رقم (</w:t>
      </w:r>
      <w:r>
        <w:rPr>
          <w:rFonts w:hint="cs"/>
          <w:rtl/>
        </w:rPr>
        <w:t>23</w:t>
      </w:r>
      <w:r>
        <w:rPr>
          <w:rtl/>
        </w:rPr>
        <w:t xml:space="preserve">) من سورة </w:t>
      </w:r>
      <w:r>
        <w:rPr>
          <w:rFonts w:hint="cs"/>
          <w:rtl/>
        </w:rPr>
        <w:t>(</w:t>
      </w:r>
      <w:r>
        <w:rPr>
          <w:rtl/>
        </w:rPr>
        <w:t>ال</w:t>
      </w:r>
      <w:r>
        <w:rPr>
          <w:rFonts w:hint="cs"/>
          <w:rtl/>
        </w:rPr>
        <w:t>نساء)</w:t>
      </w:r>
      <w:r>
        <w:rPr>
          <w:rtl/>
        </w:rPr>
        <w:t xml:space="preserve">. وقد ذكرها ناظرزاده، </w:t>
      </w:r>
      <w:r>
        <w:rPr>
          <w:rFonts w:hint="eastAsia"/>
          <w:rtl/>
        </w:rPr>
        <w:t>ص</w:t>
      </w:r>
      <w:r>
        <w:rPr>
          <w:rtl/>
        </w:rPr>
        <w:t xml:space="preserve"> </w:t>
      </w:r>
      <w:r>
        <w:rPr>
          <w:rFonts w:hint="cs"/>
          <w:rtl/>
        </w:rPr>
        <w:t>830</w:t>
      </w:r>
      <w:r>
        <w:rPr>
          <w:rtl/>
        </w:rPr>
        <w:t>.</w:t>
      </w:r>
    </w:p>
  </w:footnote>
  <w:footnote w:id="16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من</w:t>
      </w:r>
      <w:r>
        <w:rPr>
          <w:rtl/>
        </w:rPr>
        <w:t xml:space="preserve"> الآية رقم (</w:t>
      </w:r>
      <w:r>
        <w:rPr>
          <w:rFonts w:hint="cs"/>
          <w:rtl/>
        </w:rPr>
        <w:t>38</w:t>
      </w:r>
      <w:r>
        <w:rPr>
          <w:rtl/>
        </w:rPr>
        <w:t xml:space="preserve">) من سورة </w:t>
      </w:r>
      <w:r>
        <w:rPr>
          <w:rFonts w:hint="cs"/>
          <w:rtl/>
        </w:rPr>
        <w:t>(المائدة)</w:t>
      </w:r>
      <w:r>
        <w:rPr>
          <w:rtl/>
        </w:rPr>
        <w:t xml:space="preserve">. وقد ذكرها ناظرزاده، </w:t>
      </w:r>
      <w:r>
        <w:rPr>
          <w:rFonts w:hint="eastAsia"/>
          <w:rtl/>
        </w:rPr>
        <w:t>ص</w:t>
      </w:r>
      <w:r>
        <w:rPr>
          <w:rFonts w:hint="cs"/>
          <w:rtl/>
        </w:rPr>
        <w:t xml:space="preserve"> 661، وقال عقبها: </w:t>
      </w:r>
      <w:r>
        <w:rPr>
          <w:rFonts w:hint="eastAsia"/>
          <w:rtl/>
        </w:rPr>
        <w:t>«</w:t>
      </w:r>
      <w:r>
        <w:rPr>
          <w:rFonts w:hint="cs"/>
          <w:rtl/>
        </w:rPr>
        <w:t>الآية</w:t>
      </w:r>
      <w:r>
        <w:rPr>
          <w:rFonts w:hint="eastAsia"/>
          <w:rtl/>
        </w:rPr>
        <w:t>»</w:t>
      </w:r>
      <w:r>
        <w:rPr>
          <w:rtl/>
        </w:rPr>
        <w:t>.</w:t>
      </w:r>
    </w:p>
  </w:footnote>
  <w:footnote w:id="16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1119، 1156.</w:t>
      </w:r>
    </w:p>
  </w:footnote>
  <w:footnote w:id="16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ص275، 530، 802، 955، 956، 964، 1060، 1117، 1185.</w:t>
      </w:r>
    </w:p>
  </w:footnote>
  <w:footnote w:id="16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تخريج الحديث مفصلاً ص 477.</w:t>
      </w:r>
    </w:p>
  </w:footnote>
  <w:footnote w:id="16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تخريج الحديث مفصلاً، ص1186. </w:t>
      </w:r>
    </w:p>
  </w:footnote>
  <w:footnote w:id="16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سيأتي تخريج الحديث مفصلاً، ص530.</w:t>
      </w:r>
    </w:p>
  </w:footnote>
  <w:footnote w:id="17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وسيأتي مزيد تعليق عليه، ص1119. وانظر من الأمثلة الأخر: ص990.</w:t>
      </w:r>
    </w:p>
  </w:footnote>
  <w:footnote w:id="17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سيأتي تخريجه، ص822.</w:t>
      </w:r>
    </w:p>
  </w:footnote>
  <w:footnote w:id="17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781.</w:t>
      </w:r>
    </w:p>
  </w:footnote>
  <w:footnote w:id="17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833. وانظر أيضًا: ص 534، 544، 560.</w:t>
      </w:r>
    </w:p>
  </w:footnote>
  <w:footnote w:id="17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519.</w:t>
      </w:r>
    </w:p>
  </w:footnote>
  <w:footnote w:id="17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541.</w:t>
      </w:r>
    </w:p>
  </w:footnote>
  <w:footnote w:id="17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667.</w:t>
      </w:r>
    </w:p>
  </w:footnote>
  <w:footnote w:id="17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ص293.</w:t>
      </w:r>
    </w:p>
  </w:footnote>
  <w:footnote w:id="17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516.</w:t>
      </w:r>
    </w:p>
  </w:footnote>
  <w:footnote w:id="17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249.</w:t>
      </w:r>
    </w:p>
  </w:footnote>
  <w:footnote w:id="18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292.</w:t>
      </w:r>
    </w:p>
  </w:footnote>
  <w:footnote w:id="18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سبقت الإشارة إلى طائفة من أدلة القواعد، وأكثرها عقلية غير معزوة لمصدرها، وذلك ص 73.</w:t>
      </w:r>
    </w:p>
  </w:footnote>
  <w:footnote w:id="18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وانظر من القواعد الأخر: ق34 (حيث قيدها في نهاية تعليقه على ق166)، ق203، ق205، ق253.</w:t>
      </w:r>
    </w:p>
  </w:footnote>
  <w:footnote w:id="183">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363.</w:t>
      </w:r>
    </w:p>
  </w:footnote>
  <w:footnote w:id="184">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مثلاً في أثناء التعليق على القواعد الآتية: 1، 29، 38، 45، 47، 151، 153، 233، 239.</w:t>
      </w:r>
    </w:p>
  </w:footnote>
  <w:footnote w:id="185">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التعبير في أثناء التعليق على القواعد الآتية: 7، 10، 34، 181، 221.</w:t>
      </w:r>
    </w:p>
  </w:footnote>
  <w:footnote w:id="186">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انظره في أثناء التعليق على القواعد الآتية: 6، 14، 58، 232.</w:t>
      </w:r>
    </w:p>
  </w:footnote>
  <w:footnote w:id="187">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أمثلة لهذا في أثناء التعليق على القواعد الآتية: 29، 119، 162.</w:t>
      </w:r>
    </w:p>
  </w:footnote>
  <w:footnote w:id="188">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أمثلة لهذا في أثناء التعليق على القواعد الآتية: 108، 143.</w:t>
      </w:r>
    </w:p>
  </w:footnote>
  <w:footnote w:id="189">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تعليقه على القاعدة 218.</w:t>
      </w:r>
    </w:p>
  </w:footnote>
  <w:footnote w:id="190">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تعليقه على القواعد الآتية: 77، 78، 210.</w:t>
      </w:r>
    </w:p>
  </w:footnote>
  <w:footnote w:id="191">
    <w:p w:rsidR="00035BE3" w:rsidRDefault="00035BE3" w:rsidP="00EB5FFB">
      <w:pPr>
        <w:pStyle w:val="a8"/>
        <w:bidi/>
        <w:spacing w:line="44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مثلما فعل في تعليقه على القاعدة 116،  و210.</w:t>
      </w:r>
    </w:p>
  </w:footnote>
  <w:footnote w:id="192">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من أمثلة ذلك: الصفحة السابقة، فقد جاء فيها طائفة من القواعد التي قيدها المؤلف بشرط، مما يعني أن بعض المسائل لم تندرج تحت القاعدة؛ لتخلّف الشرط.</w:t>
      </w:r>
    </w:p>
  </w:footnote>
  <w:footnote w:id="193">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مثلاً: ص377، 527، 575، 773.</w:t>
      </w:r>
    </w:p>
  </w:footnote>
  <w:footnote w:id="194">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على سبيل المثال: ص323، 333، 775، 1024.</w:t>
      </w:r>
    </w:p>
  </w:footnote>
  <w:footnote w:id="195">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ص741.</w:t>
      </w:r>
    </w:p>
  </w:footnote>
  <w:footnote w:id="196">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ص 1106. وانظر: ص309، 634، 778.</w:t>
      </w:r>
    </w:p>
  </w:footnote>
  <w:footnote w:id="197">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ص 371.</w:t>
      </w:r>
    </w:p>
  </w:footnote>
  <w:footnote w:id="19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ص706. وانظر أيضًا: ص967، 1161.</w:t>
      </w:r>
    </w:p>
  </w:footnote>
  <w:footnote w:id="19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 219، 220، 495، 500، 501، 1156، 1157.</w:t>
      </w:r>
    </w:p>
  </w:footnote>
  <w:footnote w:id="20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 292، 516، 541، 550، 1169، 1189. </w:t>
      </w:r>
    </w:p>
  </w:footnote>
  <w:footnote w:id="20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 324، 352، 354، 502، 1174.</w:t>
      </w:r>
    </w:p>
  </w:footnote>
  <w:footnote w:id="202">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ص233. </w:t>
      </w:r>
    </w:p>
  </w:footnote>
  <w:footnote w:id="203">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ص220. </w:t>
      </w:r>
    </w:p>
  </w:footnote>
  <w:footnote w:id="204">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ص269.</w:t>
      </w:r>
    </w:p>
  </w:footnote>
  <w:footnote w:id="205">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ص205.</w:t>
      </w:r>
    </w:p>
  </w:footnote>
  <w:footnote w:id="206">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ص439. </w:t>
      </w:r>
    </w:p>
  </w:footnote>
  <w:footnote w:id="207">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ص260.</w:t>
      </w:r>
    </w:p>
  </w:footnote>
  <w:footnote w:id="208">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ص674.</w:t>
      </w:r>
    </w:p>
  </w:footnote>
  <w:footnote w:id="209">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ص862.</w:t>
      </w:r>
    </w:p>
  </w:footnote>
  <w:footnote w:id="210">
    <w:p w:rsidR="00035BE3" w:rsidRDefault="00035BE3" w:rsidP="00EB5FFB">
      <w:pPr>
        <w:pStyle w:val="a8"/>
        <w:bidi/>
        <w:spacing w:line="42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ص221.</w:t>
      </w:r>
    </w:p>
  </w:footnote>
  <w:footnote w:id="21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324.</w:t>
      </w:r>
    </w:p>
  </w:footnote>
  <w:footnote w:id="21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262.</w:t>
      </w:r>
    </w:p>
  </w:footnote>
  <w:footnote w:id="21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311.</w:t>
      </w:r>
    </w:p>
  </w:footnote>
  <w:footnote w:id="21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683.</w:t>
      </w:r>
    </w:p>
  </w:footnote>
  <w:footnote w:id="21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وانظر من الأمثلة الأُخر: قاعدة (6) وقاعدة (10) وما جاء في شرحهما مستفاد من أشباه ابن نجيم دون عزو إليه، وكذلك: ق19 جلها مستفاد من (الدرر)، ق20 جلّها مستفاد من (الدّرر) و(العناية)؛ ق23 جلّها مستفاد من (الدرر)، ق73 جلّها مستفاد من المغني وشرحه للقاءاني، ق222 جلّها مستفاد من أشباه ابن نجيم.</w:t>
      </w:r>
    </w:p>
  </w:footnote>
  <w:footnote w:id="21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247-250.</w:t>
      </w:r>
    </w:p>
  </w:footnote>
  <w:footnote w:id="21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535.</w:t>
      </w:r>
    </w:p>
  </w:footnote>
  <w:footnote w:id="21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ولتوثيق ذلك راجع فهرس الكتب الواردة في النص.</w:t>
      </w:r>
    </w:p>
  </w:footnote>
  <w:footnote w:id="21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770. ولتوثيق الأعلام السابق ذكرهم، والاستزادة بأمثلة أخر: راجع فهرس الأعلام.</w:t>
      </w:r>
    </w:p>
  </w:footnote>
  <w:footnote w:id="22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ص195.</w:t>
      </w:r>
    </w:p>
  </w:footnote>
  <w:footnote w:id="22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281.</w:t>
      </w:r>
    </w:p>
  </w:footnote>
  <w:footnote w:id="22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428.</w:t>
      </w:r>
    </w:p>
  </w:footnote>
  <w:footnote w:id="22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1079.</w:t>
      </w:r>
    </w:p>
  </w:footnote>
  <w:footnote w:id="22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944.</w:t>
      </w:r>
    </w:p>
  </w:footnote>
  <w:footnote w:id="22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938.</w:t>
      </w:r>
    </w:p>
  </w:footnote>
  <w:footnote w:id="22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1036.</w:t>
      </w:r>
    </w:p>
  </w:footnote>
  <w:footnote w:id="22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1068.</w:t>
      </w:r>
    </w:p>
  </w:footnote>
  <w:footnote w:id="22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85.</w:t>
      </w:r>
    </w:p>
  </w:footnote>
  <w:footnote w:id="22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ولمزيد تفصيل انظر: ص1127.</w:t>
      </w:r>
    </w:p>
  </w:footnote>
  <w:footnote w:id="23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الـعرض الـتأريـخي للمؤلفات في هذه الفترة في كتاب:  القواعد الفقهية لشيخنا د. يعقوب الباحسين، ص316-348.</w:t>
      </w:r>
    </w:p>
  </w:footnote>
  <w:footnote w:id="231">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w:t>
      </w:r>
    </w:p>
  </w:footnote>
  <w:footnote w:id="232">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القواعد الفقهية لشيخنا د. يعقوب الباحسين، ص360-370.</w:t>
      </w:r>
    </w:p>
  </w:footnote>
  <w:footnote w:id="233">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مثلاً: ص311، 469، 843، 951، 1019، 1033، 1037.</w:t>
      </w:r>
    </w:p>
  </w:footnote>
  <w:footnote w:id="23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ص92-97.</w:t>
      </w:r>
    </w:p>
  </w:footnote>
  <w:footnote w:id="23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ص306.</w:t>
      </w:r>
    </w:p>
  </w:footnote>
  <w:footnote w:id="23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85.</w:t>
      </w:r>
    </w:p>
  </w:footnote>
  <w:footnote w:id="23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وعند توثيق قاعدة ناظرزاده لوحظ أنه لم يوافقه في لفظه </w:t>
      </w:r>
      <w:r>
        <w:rPr>
          <w:rtl/>
        </w:rPr>
        <w:t>–</w:t>
      </w:r>
      <w:r>
        <w:rPr>
          <w:rFonts w:hint="cs"/>
          <w:rtl/>
        </w:rPr>
        <w:t xml:space="preserve"> بتقديم لفظ (العدم) على (في الصفات العارضة) </w:t>
      </w:r>
      <w:r>
        <w:rPr>
          <w:rtl/>
        </w:rPr>
        <w:t>–</w:t>
      </w:r>
      <w:r>
        <w:rPr>
          <w:rFonts w:hint="cs"/>
          <w:rtl/>
        </w:rPr>
        <w:t xml:space="preserve"> إلا الخادمي وشرّاح قواعده!.</w:t>
      </w:r>
    </w:p>
  </w:footnote>
  <w:footnote w:id="23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124.</w:t>
      </w:r>
    </w:p>
  </w:footnote>
  <w:footnote w:id="23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والشقّ الثاني مذكور - فقط - في طبعة (المجامع) المصورة من نسخة خطية، وهي محفوظة في مكتبة قسم أصول الفقه بكلية الشريعة في الرياض.</w:t>
      </w:r>
    </w:p>
  </w:footnote>
  <w:footnote w:id="24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هذا اللفظ هو لفظ المجامع الموجود مع شرحيه.</w:t>
      </w:r>
    </w:p>
  </w:footnote>
  <w:footnote w:id="24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اللفظ: هو لفظ المجامع في النسخة الخطية، ومع شرحيه.</w:t>
      </w:r>
    </w:p>
  </w:footnote>
  <w:footnote w:id="24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كما في النسخة الخطية للمجامع.</w:t>
      </w:r>
    </w:p>
  </w:footnote>
  <w:footnote w:id="24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ل7/أ؛ ص310.</w:t>
      </w:r>
    </w:p>
  </w:footnote>
  <w:footnote w:id="24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ص252-255.</w:t>
      </w:r>
    </w:p>
  </w:footnote>
  <w:footnote w:id="24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ل10/أ؛ ص 310.</w:t>
      </w:r>
    </w:p>
  </w:footnote>
  <w:footnote w:id="24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ترتيب اللآلي، ص264.</w:t>
      </w:r>
    </w:p>
  </w:footnote>
  <w:footnote w:id="24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ل37/ب، ص332.</w:t>
      </w:r>
    </w:p>
  </w:footnote>
  <w:footnote w:id="24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1074.</w:t>
      </w:r>
    </w:p>
  </w:footnote>
  <w:footnote w:id="24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ل37/ب، ص332، عقب النصّ السابق.</w:t>
      </w:r>
    </w:p>
  </w:footnote>
  <w:footnote w:id="25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ص1104.</w:t>
      </w:r>
    </w:p>
  </w:footnote>
  <w:footnote w:id="25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ل18/أ؛ ص317.</w:t>
      </w:r>
    </w:p>
  </w:footnote>
  <w:footnote w:id="252">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وسيأتي إيضاح وجه التناقض عند ذكر المؤلف للقاعدة، ص559.</w:t>
      </w:r>
    </w:p>
  </w:footnote>
  <w:footnote w:id="253">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وانظر من النماذج الأُخر: قاعدة 10 عند ناظرزاده ول10/أ عند العلائي وص310 عند الحصاري في المنافع، ق11، ول10/ب وص310-311، ق13 ول11/أ وص311، ق59 ول14/أ وص314، ق86 ول17/أ وص316، ق88، ول17/ب وص316-317، ق170 ول30/أ وص326، ق177 ول31/أ وص326، ق188 ول31/أ وص326-327، ق197 ول32/أ-ب وص327، ق198 ول32/ب وص328، ق252 ول37/ب وص333، ق264 ول41/أ وص335.</w:t>
      </w:r>
    </w:p>
  </w:footnote>
  <w:footnote w:id="254">
    <w:p w:rsidR="00035BE3" w:rsidRDefault="00035BE3" w:rsidP="00EB5FFB">
      <w:pPr>
        <w:pStyle w:val="a8"/>
        <w:bidi/>
        <w:ind w:left="424" w:right="0" w:hanging="425"/>
        <w:rPr>
          <w:rtl/>
        </w:rPr>
      </w:pPr>
      <w:r>
        <w:rPr>
          <w:rFonts w:hint="cs"/>
          <w:vertAlign w:val="superscript"/>
          <w:rtl/>
        </w:rPr>
        <w:t>(</w:t>
      </w:r>
      <w:r>
        <w:rPr>
          <w:rStyle w:val="a7"/>
        </w:rPr>
        <w:footnoteRef/>
      </w:r>
      <w:r>
        <w:rPr>
          <w:rFonts w:hint="cs"/>
          <w:vertAlign w:val="superscript"/>
          <w:rtl/>
        </w:rPr>
        <w:t>)</w:t>
      </w:r>
      <w:r>
        <w:rPr>
          <w:rFonts w:hint="cs"/>
          <w:rtl/>
        </w:rPr>
        <w:t xml:space="preserve">   مقدمة تحقيقه لقواعد المقّري، 1/127.</w:t>
      </w:r>
    </w:p>
  </w:footnote>
  <w:footnote w:id="25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شرح عنوان الكتاب، ص191.</w:t>
      </w:r>
    </w:p>
  </w:footnote>
  <w:footnote w:id="25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هذان البيتان ذكرهما د. أحمد بن حميد في مقدمة تحقيقه لقواعد المقري، 1/172.</w:t>
      </w:r>
    </w:p>
  </w:footnote>
  <w:footnote w:id="25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تقرير القواعد، 1/4.</w:t>
      </w:r>
    </w:p>
  </w:footnote>
  <w:footnote w:id="25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ويحسن التذكير بأن منهجه سبق إيضاحه مفصّلاً في مبحث مستقل، ص64-90. وما سيُذكر هنا هو تركيز على الجوانب المهمّة فقط.</w:t>
      </w:r>
    </w:p>
  </w:footnote>
  <w:footnote w:id="25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موسوعة القواعد الفقهية لِـ د. محمد البورنو، 1/15؛ وانظر مقدمة تحقيق شيخنا د. عبد الرحمن الشعلان لقواعد الحصني، 1/50.</w:t>
      </w:r>
    </w:p>
  </w:footnote>
  <w:footnote w:id="26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مقدمة تحقيق د. أحمد بن حميد لقواعد المقري، 1/136؛ وانظر منه:1/140؛ مقدمة تحقيق د. محمد الشريف للمجموع المذهب، 1/80؛ مقدمة تحقيق شيخنا د. عبد الرحمن الشعلان لقواعد الحصني، 1/49.</w:t>
      </w:r>
    </w:p>
  </w:footnote>
  <w:footnote w:id="26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التوضيح، 1/20.</w:t>
      </w:r>
    </w:p>
  </w:footnote>
  <w:footnote w:id="26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363.</w:t>
      </w:r>
    </w:p>
  </w:footnote>
  <w:footnote w:id="26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الحديث عن الغرض من تأليف الكتاب في مبحث مستقل، انظر: ص55.</w:t>
      </w:r>
    </w:p>
  </w:footnote>
  <w:footnote w:id="26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189-190.</w:t>
      </w:r>
    </w:p>
  </w:footnote>
  <w:footnote w:id="26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776. وانظر: ص363 </w:t>
      </w:r>
      <w:r>
        <w:rPr>
          <w:rtl/>
        </w:rPr>
        <w:t>–</w:t>
      </w:r>
      <w:r>
        <w:rPr>
          <w:rFonts w:hint="cs"/>
          <w:rtl/>
        </w:rPr>
        <w:t xml:space="preserve"> وسيأتي نقل النصّ قريبًا-، 926.</w:t>
      </w:r>
    </w:p>
  </w:footnote>
  <w:footnote w:id="26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ص363. وانظر: ص 896.</w:t>
      </w:r>
    </w:p>
  </w:footnote>
  <w:footnote w:id="26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القواعد الفقهية، ص273-274.</w:t>
      </w:r>
    </w:p>
  </w:footnote>
  <w:footnote w:id="26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ويؤكد هذا أن د. محمد البورنو </w:t>
      </w:r>
      <w:r>
        <w:rPr>
          <w:rtl/>
        </w:rPr>
        <w:t>–</w:t>
      </w:r>
      <w:r>
        <w:rPr>
          <w:rFonts w:hint="cs"/>
          <w:rtl/>
        </w:rPr>
        <w:t xml:space="preserve"> في كتابه: موسوعة القواعد، 1/114- نعت كتاب (الفرائد البهية في القواعد والفوائد الفقهية) للحمزاوي (ت1305هـ) بقوله: </w:t>
      </w:r>
      <w:r>
        <w:rPr>
          <w:rFonts w:hint="eastAsia"/>
          <w:rtl/>
        </w:rPr>
        <w:t>«</w:t>
      </w:r>
      <w:r>
        <w:rPr>
          <w:rFonts w:hint="cs"/>
          <w:rtl/>
        </w:rPr>
        <w:t xml:space="preserve">وهو من أوسع ما جمع باسم القواعد الفقهية... وقد أخرجت ما فيه من القواعد فكانت </w:t>
      </w:r>
      <w:r>
        <w:rPr>
          <w:rFonts w:hint="cs"/>
          <w:b/>
          <w:bCs/>
          <w:rtl/>
        </w:rPr>
        <w:t>ثلاثًا وأربعين ومائتي قاعدة فقهية</w:t>
      </w:r>
      <w:r>
        <w:rPr>
          <w:rFonts w:hint="eastAsia"/>
          <w:rtl/>
        </w:rPr>
        <w:t>»</w:t>
      </w:r>
      <w:r>
        <w:rPr>
          <w:rFonts w:hint="cs"/>
          <w:rtl/>
        </w:rPr>
        <w:t>.</w:t>
      </w:r>
    </w:p>
    <w:p w:rsidR="00035BE3" w:rsidRDefault="00035BE3" w:rsidP="00EB5FFB">
      <w:pPr>
        <w:pStyle w:val="a6"/>
        <w:ind w:left="424" w:hanging="142"/>
        <w:rPr>
          <w:spacing w:val="8"/>
          <w:sz w:val="28"/>
          <w:szCs w:val="28"/>
          <w:rtl/>
        </w:rPr>
      </w:pPr>
      <w:r>
        <w:rPr>
          <w:rFonts w:hint="cs"/>
          <w:spacing w:val="8"/>
          <w:sz w:val="28"/>
          <w:szCs w:val="28"/>
          <w:rtl/>
        </w:rPr>
        <w:t xml:space="preserve">  كما قال عنه د. علي الندوي </w:t>
      </w:r>
      <w:r>
        <w:rPr>
          <w:spacing w:val="8"/>
          <w:sz w:val="28"/>
          <w:szCs w:val="28"/>
          <w:rtl/>
        </w:rPr>
        <w:t>–</w:t>
      </w:r>
      <w:r>
        <w:rPr>
          <w:rFonts w:hint="cs"/>
          <w:spacing w:val="8"/>
          <w:sz w:val="28"/>
          <w:szCs w:val="28"/>
          <w:rtl/>
        </w:rPr>
        <w:t xml:space="preserve"> في القواعد الفقهية، ص186-: </w:t>
      </w:r>
      <w:r>
        <w:rPr>
          <w:rFonts w:hint="eastAsia"/>
          <w:spacing w:val="8"/>
          <w:sz w:val="28"/>
          <w:szCs w:val="28"/>
          <w:rtl/>
        </w:rPr>
        <w:t>«</w:t>
      </w:r>
      <w:r>
        <w:rPr>
          <w:rFonts w:hint="cs"/>
          <w:spacing w:val="8"/>
          <w:sz w:val="28"/>
          <w:szCs w:val="28"/>
          <w:rtl/>
        </w:rPr>
        <w:t>ولعلّ هذا الكتاب من أجمع ما أُلّف في موضوع القواعد إلى عصر المؤلف، وذلك لأنه التقطها من مواطن خفية في مصادر الفقه، لا يطَّلع عليها إلا من سَبَر الفقه، ومارسه</w:t>
      </w:r>
      <w:r>
        <w:rPr>
          <w:rFonts w:hint="eastAsia"/>
          <w:spacing w:val="8"/>
          <w:sz w:val="28"/>
          <w:szCs w:val="28"/>
          <w:rtl/>
        </w:rPr>
        <w:t>»</w:t>
      </w:r>
      <w:r>
        <w:rPr>
          <w:rFonts w:hint="cs"/>
          <w:spacing w:val="8"/>
          <w:sz w:val="28"/>
          <w:szCs w:val="28"/>
          <w:rtl/>
        </w:rPr>
        <w:t>. علمًا بأنّهما عند تأليفهما لكتابيهما كانا خاليي الذهن من كتاب ناظرزاده الذي تزيد قواعده على قواعد الحمزاوي.</w:t>
      </w:r>
    </w:p>
  </w:footnote>
  <w:footnote w:id="26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6/383.</w:t>
      </w:r>
    </w:p>
  </w:footnote>
  <w:footnote w:id="27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وتقييد القواعد من الأمور التي اعتنى بها المؤلف، وقد سبق التمثيل بطائفة من القواعد، ص81.</w:t>
      </w:r>
    </w:p>
  </w:footnote>
  <w:footnote w:id="27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المنثور، 2/321؛ وانظر كلام الكتاني عرضًا في أشباه السيوطي، 1/216. وممّا ينبغي التنبيه عليه أن المنثور وأشباه السيوطي ليسا من مصادر المؤلف.</w:t>
      </w:r>
    </w:p>
  </w:footnote>
  <w:footnote w:id="27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ولمزيد تفصيل انظر: ما جاء في توثيق ق157، ص807.</w:t>
      </w:r>
    </w:p>
  </w:footnote>
  <w:footnote w:id="27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206.</w:t>
      </w:r>
    </w:p>
  </w:footnote>
  <w:footnote w:id="27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720-722.</w:t>
      </w:r>
    </w:p>
  </w:footnote>
  <w:footnote w:id="27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ص1189-1190. وانظر من الأمثلة الأخر: ص968، 1079-1080.</w:t>
      </w:r>
    </w:p>
  </w:footnote>
  <w:footnote w:id="27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857.</w:t>
      </w:r>
    </w:p>
  </w:footnote>
  <w:footnote w:id="27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324. وانظر من الأمثلة الأُخر: ص1020.</w:t>
      </w:r>
    </w:p>
  </w:footnote>
  <w:footnote w:id="27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292.</w:t>
      </w:r>
    </w:p>
  </w:footnote>
  <w:footnote w:id="27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 363-368.</w:t>
      </w:r>
    </w:p>
  </w:footnote>
  <w:footnote w:id="28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ص496-499.</w:t>
      </w:r>
    </w:p>
  </w:footnote>
  <w:footnote w:id="28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تفاصيل ذلك: ص503-510؛ وانظر من الأمثلة الأخر عـلى استـنتاجاته: ص703، 968.</w:t>
      </w:r>
    </w:p>
  </w:footnote>
  <w:footnote w:id="28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القواعد الفقهية، ص 110.</w:t>
      </w:r>
    </w:p>
  </w:footnote>
  <w:footnote w:id="28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توثيق ما جاء في هذه المزية وإيضاحه في مبحث مستقل، ص100-110.</w:t>
      </w:r>
    </w:p>
  </w:footnote>
  <w:footnote w:id="284">
    <w:p w:rsidR="00035BE3" w:rsidRDefault="00035BE3" w:rsidP="00EB5FFB">
      <w:pPr>
        <w:pStyle w:val="a8"/>
        <w:bidi/>
        <w:ind w:left="424"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ومن الأمثلة للقواعد التي استفادها المؤلف من كتب الفقه ووردت في الأبواب الأربعة السابقة: القواعد الآتي أرقامها: 2، 8، 9، 13، 17، 18، 30، 31، 35، 37، 39، 40، 42، 50، 130، 132، 215، 224، 230، 231، 236، 245، 246، 260، 261، 265.</w:t>
      </w:r>
    </w:p>
  </w:footnote>
  <w:footnote w:id="28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ومن هذه الكتب </w:t>
      </w:r>
      <w:r>
        <w:rPr>
          <w:rtl/>
        </w:rPr>
        <w:t>–</w:t>
      </w:r>
      <w:r>
        <w:rPr>
          <w:rFonts w:hint="cs"/>
          <w:rtl/>
        </w:rPr>
        <w:t xml:space="preserve"> على سبيل المثال </w:t>
      </w:r>
      <w:r>
        <w:rPr>
          <w:rtl/>
        </w:rPr>
        <w:t>–</w:t>
      </w:r>
      <w:r>
        <w:rPr>
          <w:rFonts w:hint="cs"/>
          <w:rtl/>
        </w:rPr>
        <w:t xml:space="preserve"> ميزان الأصول للسمرقندي. فانظر ما قاله المحقق، 1/77-83.</w:t>
      </w:r>
    </w:p>
  </w:footnote>
  <w:footnote w:id="28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مثلاً: الدرر شرح الغرر، 1/389، 2/207، 281، 302.</w:t>
      </w:r>
    </w:p>
  </w:footnote>
  <w:footnote w:id="287">
    <w:p w:rsidR="00035BE3" w:rsidRPr="00DF489D" w:rsidRDefault="00035BE3" w:rsidP="00EB5FFB">
      <w:pPr>
        <w:pStyle w:val="a8"/>
        <w:bidi/>
        <w:ind w:left="424" w:right="0"/>
        <w:rPr>
          <w:szCs w:val="30"/>
          <w:rtl/>
        </w:rPr>
      </w:pPr>
      <w:r>
        <w:rPr>
          <w:rFonts w:hint="cs"/>
          <w:szCs w:val="30"/>
          <w:vertAlign w:val="superscript"/>
          <w:rtl/>
        </w:rPr>
        <w:t>(</w:t>
      </w:r>
      <w:r>
        <w:rPr>
          <w:rStyle w:val="a7"/>
          <w:bCs w:val="0"/>
        </w:rPr>
        <w:footnoteRef/>
      </w:r>
      <w:r>
        <w:rPr>
          <w:rStyle w:val="a7"/>
          <w:rFonts w:hint="cs"/>
          <w:rtl/>
        </w:rPr>
        <w:t>)</w:t>
      </w:r>
      <w:r>
        <w:rPr>
          <w:rFonts w:hint="cs"/>
          <w:szCs w:val="30"/>
          <w:rtl/>
        </w:rPr>
        <w:t xml:space="preserve">   مثل: كتاب أمنية الفقهاء لبديع بن أبي منصور، فهو بلغة أهل خوارزم، فبدّل الزاهدي ما وقع فيه من لسان خوارزم إلى العربية... انظر كشف الظنون، 1/628؛ وانظر  ما جـاء في التعليق على الحاوي للزاهدي، ص835. ومن الكتب الأخر: درر الحكام شرح مجلة الأحكام لعلي حيدر، فقد ألفه باللغة التركية، فترجمه فهمي الحسيني إلى العربية.</w:t>
      </w:r>
    </w:p>
  </w:footnote>
  <w:footnote w:id="28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ص195-196.</w:t>
      </w:r>
    </w:p>
  </w:footnote>
  <w:footnote w:id="28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توثيق ذلك: ص188.</w:t>
      </w:r>
    </w:p>
  </w:footnote>
  <w:footnote w:id="29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ص627.</w:t>
      </w:r>
    </w:p>
  </w:footnote>
  <w:footnote w:id="29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ص683-684.</w:t>
      </w:r>
    </w:p>
  </w:footnote>
  <w:footnote w:id="29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ص284، 409، 530، 531، 573، 684، 737، 770، 787، 788، 797، 945، 948، 1107.</w:t>
      </w:r>
    </w:p>
  </w:footnote>
  <w:footnote w:id="29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395.</w:t>
      </w:r>
    </w:p>
  </w:footnote>
  <w:footnote w:id="29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499.</w:t>
      </w:r>
    </w:p>
  </w:footnote>
  <w:footnote w:id="29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559.</w:t>
      </w:r>
    </w:p>
  </w:footnote>
  <w:footnote w:id="29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857.</w:t>
      </w:r>
    </w:p>
  </w:footnote>
  <w:footnote w:id="297">
    <w:p w:rsidR="00035BE3" w:rsidRDefault="00035BE3" w:rsidP="00EB5FFB">
      <w:pPr>
        <w:pStyle w:val="a8"/>
        <w:bidi/>
        <w:spacing w:line="216"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وانظر من الأمثلة الأخر: ص316، 323، 337، 498، 523، 672، 695، 791، 797، 825، 850، 864، 910، 938، 944، 960، 1054.</w:t>
      </w:r>
    </w:p>
  </w:footnote>
  <w:footnote w:id="298">
    <w:p w:rsidR="00035BE3" w:rsidRDefault="00035BE3" w:rsidP="00EB5FFB">
      <w:pPr>
        <w:pStyle w:val="a8"/>
        <w:bidi/>
        <w:spacing w:line="216"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انظر تفصيل ذلك وتوثيقه: ص204.</w:t>
      </w:r>
    </w:p>
  </w:footnote>
  <w:footnote w:id="299">
    <w:p w:rsidR="00035BE3" w:rsidRDefault="00035BE3" w:rsidP="00EB5FFB">
      <w:pPr>
        <w:pStyle w:val="a8"/>
        <w:bidi/>
        <w:spacing w:line="216"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ص204.</w:t>
      </w:r>
    </w:p>
  </w:footnote>
  <w:footnote w:id="300">
    <w:p w:rsidR="00035BE3" w:rsidRDefault="00035BE3" w:rsidP="00EB5FFB">
      <w:pPr>
        <w:pStyle w:val="a8"/>
        <w:bidi/>
        <w:spacing w:line="216"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ص207.</w:t>
      </w:r>
    </w:p>
  </w:footnote>
  <w:footnote w:id="301">
    <w:p w:rsidR="00035BE3" w:rsidRDefault="00035BE3" w:rsidP="00EB5FFB">
      <w:pPr>
        <w:pStyle w:val="a8"/>
        <w:bidi/>
        <w:spacing w:line="216"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ص211.</w:t>
      </w:r>
    </w:p>
  </w:footnote>
  <w:footnote w:id="302">
    <w:p w:rsidR="00035BE3" w:rsidRDefault="00035BE3" w:rsidP="00EB5FFB">
      <w:pPr>
        <w:pStyle w:val="a8"/>
        <w:bidi/>
        <w:spacing w:line="216"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ص888.</w:t>
      </w:r>
    </w:p>
  </w:footnote>
  <w:footnote w:id="303">
    <w:p w:rsidR="00035BE3" w:rsidRDefault="00035BE3" w:rsidP="00EB5FFB">
      <w:pPr>
        <w:pStyle w:val="a8"/>
        <w:bidi/>
        <w:spacing w:line="216"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ص1190. وانظر من الأمثلة الأخر: ص577، 588، 707، 888، 980، 1063، 1075، 1091، 1108، 1190. </w:t>
      </w:r>
    </w:p>
  </w:footnote>
  <w:footnote w:id="30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تفصيل ذلك: ص 491.</w:t>
      </w:r>
    </w:p>
  </w:footnote>
  <w:footnote w:id="305">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ص491.</w:t>
      </w:r>
    </w:p>
  </w:footnote>
  <w:footnote w:id="306">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ص497.</w:t>
      </w:r>
    </w:p>
  </w:footnote>
  <w:footnote w:id="307">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 776. وانظر من الأمثلة الأخر: 565، 1079.</w:t>
      </w:r>
    </w:p>
  </w:footnote>
  <w:footnote w:id="308">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وسيأتي تفصيل ذلك ص351.</w:t>
      </w:r>
    </w:p>
  </w:footnote>
  <w:footnote w:id="309">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ص351.</w:t>
      </w:r>
    </w:p>
  </w:footnote>
  <w:footnote w:id="310">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ص615.</w:t>
      </w:r>
    </w:p>
  </w:footnote>
  <w:footnote w:id="311">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ص1122. وانظر من الأمثلة الأخر: ص406، 497، 567، 573، 769، 901-902، 913، 1032.</w:t>
      </w:r>
    </w:p>
  </w:footnote>
  <w:footnote w:id="31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مغني اللبيب، 1/562.</w:t>
      </w:r>
    </w:p>
  </w:footnote>
  <w:footnote w:id="31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مغني اللبيب، 1/26. وهذه المسألة من المسائل اللغوية التي استوقفتني كثيرًا، وسيأتي مزيد تفصيل لها، ص353.</w:t>
      </w:r>
    </w:p>
  </w:footnote>
  <w:footnote w:id="31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ص353.</w:t>
      </w:r>
    </w:p>
  </w:footnote>
  <w:footnote w:id="31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ص906. ويلحظ أنّ هذا المثال يختلف عن السابق؛ لأن الاستفهام فيه وقع عن كل جملة. وهنا أجاز صاحب (رصف المباني) وقوع (أم) بعد (هل). وسيأتي تفصيل ذلك، ص353.</w:t>
      </w:r>
    </w:p>
  </w:footnote>
  <w:footnote w:id="31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 1075.</w:t>
      </w:r>
    </w:p>
  </w:footnote>
  <w:footnote w:id="31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وسيأتي تفصيل ذلك، ص196.</w:t>
      </w:r>
    </w:p>
  </w:footnote>
  <w:footnote w:id="31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ص196.</w:t>
      </w:r>
    </w:p>
  </w:footnote>
  <w:footnote w:id="31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ص1153.</w:t>
      </w:r>
    </w:p>
  </w:footnote>
  <w:footnote w:id="32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ص187.</w:t>
      </w:r>
    </w:p>
  </w:footnote>
  <w:footnote w:id="32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ص189.</w:t>
      </w:r>
    </w:p>
  </w:footnote>
  <w:footnote w:id="32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ص234.</w:t>
      </w:r>
    </w:p>
  </w:footnote>
  <w:footnote w:id="32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ص270.</w:t>
      </w:r>
    </w:p>
  </w:footnote>
  <w:footnote w:id="32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ص446.</w:t>
      </w:r>
    </w:p>
  </w:footnote>
  <w:footnote w:id="32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ص604.</w:t>
      </w:r>
    </w:p>
  </w:footnote>
  <w:footnote w:id="326">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ص620.</w:t>
      </w:r>
    </w:p>
  </w:footnote>
  <w:footnote w:id="327">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ص671.</w:t>
      </w:r>
    </w:p>
  </w:footnote>
  <w:footnote w:id="328">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ص672.</w:t>
      </w:r>
    </w:p>
  </w:footnote>
  <w:footnote w:id="329">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ص817.</w:t>
      </w:r>
    </w:p>
  </w:footnote>
  <w:footnote w:id="330">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ص866.</w:t>
      </w:r>
    </w:p>
  </w:footnote>
  <w:footnote w:id="331">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ص933.</w:t>
      </w:r>
    </w:p>
  </w:footnote>
  <w:footnote w:id="33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ص944.</w:t>
      </w:r>
    </w:p>
  </w:footnote>
  <w:footnote w:id="33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ص1028، وانظر أمثلة أخر، ص338، 427.</w:t>
      </w:r>
    </w:p>
  </w:footnote>
  <w:footnote w:id="33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التمثيل للاختصار المخلّ، ص75.</w:t>
      </w:r>
    </w:p>
  </w:footnote>
  <w:footnote w:id="33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سبقت الإشارة إلى ذلك مع التمثيل، عند الحديث عن منهج المؤلف في ذكر الأحاديث، ص79.</w:t>
      </w:r>
    </w:p>
  </w:footnote>
  <w:footnote w:id="33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حاشية على قواعد الزركشي، ل83. وقد عزا ذلك إليه د. علي الندوي في القواعد الفقهية، ص236.</w:t>
      </w:r>
    </w:p>
  </w:footnote>
  <w:footnote w:id="33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ق48، ل21/أ، وق155، ل62/ب، وق161، ل64/أ-ب، وق244، ل105/ب.</w:t>
      </w:r>
    </w:p>
  </w:footnote>
  <w:footnote w:id="338">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ص1105.</w:t>
      </w:r>
    </w:p>
  </w:footnote>
  <w:footnote w:id="339">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وقد سبقت الإشارة إلى ذلك عند الحديث عن منهج المؤلف في النقل من المصادر، ص87.</w:t>
      </w:r>
    </w:p>
  </w:footnote>
  <w:footnote w:id="340">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وهذا سبق بيانه أيضًا، ص87.</w:t>
      </w:r>
    </w:p>
  </w:footnote>
  <w:footnote w:id="341">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ص306.</w:t>
      </w:r>
    </w:p>
  </w:footnote>
  <w:footnote w:id="342">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ص453.</w:t>
      </w:r>
    </w:p>
  </w:footnote>
  <w:footnote w:id="343">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ص879.</w:t>
      </w:r>
    </w:p>
  </w:footnote>
  <w:footnote w:id="344">
    <w:p w:rsidR="00035BE3" w:rsidRDefault="00035BE3" w:rsidP="00EB5FFB">
      <w:pPr>
        <w:pStyle w:val="a8"/>
        <w:bidi/>
        <w:spacing w:line="228" w:lineRule="auto"/>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وانظر من الأمثلة الأخر: 362، 478، 496، 752، 791.</w:t>
      </w:r>
    </w:p>
  </w:footnote>
  <w:footnote w:id="34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وسيأتي تفصيل ذلك، ص402.</w:t>
      </w:r>
    </w:p>
  </w:footnote>
  <w:footnote w:id="34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وسيأتي تفصيل ذلك، ص 610.</w:t>
      </w:r>
    </w:p>
  </w:footnote>
  <w:footnote w:id="34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ص368.</w:t>
      </w:r>
    </w:p>
  </w:footnote>
  <w:footnote w:id="34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ص410.</w:t>
      </w:r>
    </w:p>
  </w:footnote>
  <w:footnote w:id="34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ص497-498.</w:t>
      </w:r>
    </w:p>
  </w:footnote>
  <w:footnote w:id="35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ص387.</w:t>
      </w:r>
    </w:p>
  </w:footnote>
  <w:footnote w:id="35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ص771.</w:t>
      </w:r>
    </w:p>
  </w:footnote>
  <w:footnote w:id="352">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وانظر من الأمثلة الأخر: ص487، 724، 851، 893..</w:t>
      </w:r>
    </w:p>
  </w:footnote>
  <w:footnote w:id="353">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ما جاء في منهج المؤلف في عرض المسائل المستثناة، ص81.</w:t>
      </w:r>
    </w:p>
  </w:footnote>
  <w:footnote w:id="354">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توثيق ذلك، ص82. </w:t>
      </w:r>
    </w:p>
  </w:footnote>
  <w:footnote w:id="355">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ص339.</w:t>
      </w:r>
    </w:p>
  </w:footnote>
  <w:footnote w:id="356">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وسيأتي تفصيل ذلك، ص 339.</w:t>
      </w:r>
    </w:p>
  </w:footnote>
  <w:footnote w:id="357">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التمثيل لذلك، ص 71.</w:t>
      </w:r>
    </w:p>
  </w:footnote>
  <w:footnote w:id="358">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إيضاح ذلك، ص73.</w:t>
      </w:r>
    </w:p>
  </w:footnote>
  <w:footnote w:id="359">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إيضاح ذلك، ص 84.</w:t>
      </w:r>
    </w:p>
  </w:footnote>
  <w:footnote w:id="360">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إيضاح ذلك، ص 75.</w:t>
      </w:r>
    </w:p>
  </w:footnote>
  <w:footnote w:id="361">
    <w:p w:rsidR="00035BE3" w:rsidRDefault="00035BE3" w:rsidP="00EB5FFB">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إيضاح ذلك، ص 67، 75.</w:t>
      </w:r>
    </w:p>
  </w:footnote>
  <w:footnote w:id="362">
    <w:p w:rsidR="00035BE3" w:rsidRDefault="00035BE3" w:rsidP="00BF08C1">
      <w:pPr>
        <w:pStyle w:val="a8"/>
        <w:bidi/>
        <w:ind w:left="423" w:right="0" w:hanging="425"/>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وقد حصل هذا </w:t>
      </w:r>
      <w:r>
        <w:rPr>
          <w:spacing w:val="4"/>
          <w:rtl/>
        </w:rPr>
        <w:t>–</w:t>
      </w:r>
      <w:r>
        <w:rPr>
          <w:rFonts w:hint="cs"/>
          <w:spacing w:val="4"/>
          <w:rtl/>
        </w:rPr>
        <w:t xml:space="preserve"> بتوفيق اللّه </w:t>
      </w:r>
      <w:r>
        <w:rPr>
          <w:spacing w:val="4"/>
          <w:rtl/>
        </w:rPr>
        <w:t>–</w:t>
      </w:r>
      <w:r>
        <w:rPr>
          <w:rFonts w:hint="cs"/>
          <w:spacing w:val="4"/>
          <w:rtl/>
        </w:rPr>
        <w:t xml:space="preserve"> بعد الاستقراء لفهارس المخطوطات في أبرز مكتبات مكة المكرّمة، والمدينة النبوية، والرياض، وتركيا، وسوريا ومصر، والإمارات العربية المتحدة، وذلك بالوقوف المباشر في هذه المكتبات على أحدث الفهارس المحفوظة لديهم. وأيضًا بعد استقراء جميع فهارس مخطوطات المكتبات العالمية المحفوظة في مكتبات كلٍّ من: مركز الملك فيصل، وجامعة الإمام محمد بن سعود الإسلامية، وجامعة الملك سعود بالرياض، ولم أترك من هذه الفهارس إلا ما كُتب بلغة لا أفهمها أو ما سُردت فيه أسماء المخطوطات سردًا عشوائيـًّا؛ ممّا يلزم منه قراءة الفهرس كاملاً.</w:t>
      </w:r>
    </w:p>
    <w:p w:rsidR="00035BE3" w:rsidRDefault="00035BE3" w:rsidP="00BF08C1">
      <w:pPr>
        <w:pStyle w:val="a6"/>
        <w:ind w:left="423" w:right="170" w:firstLine="0"/>
        <w:rPr>
          <w:rtl/>
          <w:lang w:bidi="ar-AE"/>
        </w:rPr>
      </w:pPr>
      <w:r>
        <w:rPr>
          <w:rFonts w:hint="cs"/>
          <w:rtl/>
        </w:rPr>
        <w:t>وهذا الاستقراء يجعل عندي اطمئنان بأنه يبعد جدًّا أن</w:t>
      </w:r>
      <w:r>
        <w:rPr>
          <w:rFonts w:hint="cs"/>
          <w:rtl/>
          <w:lang w:bidi="ar-AE"/>
        </w:rPr>
        <w:t xml:space="preserve"> توجد غير هذه النسخ العشر -والله أعلم-.</w:t>
      </w:r>
    </w:p>
  </w:footnote>
  <w:footnote w:id="363">
    <w:p w:rsidR="00035BE3" w:rsidRDefault="00035BE3" w:rsidP="00BF08C1">
      <w:pPr>
        <w:pStyle w:val="a8"/>
        <w:bidi/>
        <w:ind w:left="565" w:right="0" w:hanging="567"/>
        <w:rPr>
          <w:rtl/>
        </w:rPr>
      </w:pPr>
      <w:r>
        <w:rPr>
          <w:rFonts w:hint="cs"/>
          <w:vertAlign w:val="superscript"/>
          <w:rtl/>
        </w:rPr>
        <w:t>(</w:t>
      </w:r>
      <w:r>
        <w:rPr>
          <w:rStyle w:val="a7"/>
        </w:rPr>
        <w:footnoteRef/>
      </w:r>
      <w:r>
        <w:rPr>
          <w:rFonts w:hint="cs"/>
          <w:vertAlign w:val="superscript"/>
          <w:rtl/>
        </w:rPr>
        <w:t>)</w:t>
      </w:r>
      <w:r>
        <w:rPr>
          <w:rFonts w:hint="cs"/>
          <w:rtl/>
        </w:rPr>
        <w:t xml:space="preserve">   انظره: ص539، ل36/أ.</w:t>
      </w:r>
    </w:p>
  </w:footnote>
  <w:footnote w:id="364">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وقد كان هذا المتحف قصرًا يسكن فيه سلاطين الدولة العثمانية. انظر تاريخ الدولة العثمانية (إشراف روبير مانتران)، 2/398.</w:t>
      </w:r>
    </w:p>
  </w:footnote>
  <w:footnote w:id="365">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وقد تم تزود مكتبة جامعة الإمام بصورة منها.</w:t>
      </w:r>
    </w:p>
  </w:footnote>
  <w:footnote w:id="366">
    <w:p w:rsidR="00035BE3" w:rsidRDefault="00035BE3" w:rsidP="00BF08C1">
      <w:pPr>
        <w:pStyle w:val="a8"/>
        <w:bidi/>
        <w:ind w:left="565" w:right="0"/>
        <w:rPr>
          <w:rtl/>
        </w:rPr>
      </w:pPr>
      <w:r>
        <w:rPr>
          <w:rFonts w:hint="cs"/>
          <w:vertAlign w:val="superscript"/>
          <w:rtl/>
        </w:rPr>
        <w:t>(</w:t>
      </w:r>
      <w:r>
        <w:rPr>
          <w:rStyle w:val="a7"/>
        </w:rPr>
        <w:footnoteRef/>
      </w:r>
      <w:r>
        <w:rPr>
          <w:rFonts w:hint="cs"/>
          <w:vertAlign w:val="superscript"/>
          <w:rtl/>
        </w:rPr>
        <w:t>)</w:t>
      </w:r>
      <w:r>
        <w:rPr>
          <w:rFonts w:hint="cs"/>
          <w:rtl/>
        </w:rPr>
        <w:t xml:space="preserve">   وقد تمّ تزويد مكتبة جامعة الإمام بصورة منها.</w:t>
      </w:r>
    </w:p>
  </w:footnote>
  <w:footnote w:id="367">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كما تمّ تزويد مكتبة جامعة الإمام بصورة منها.</w:t>
      </w:r>
    </w:p>
  </w:footnote>
  <w:footnote w:id="368">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وهذا يحتاج إلى وقفة سيأتي بيانها عند الحديث عن نسبة الكتاب إلى مؤلفه، ص169.</w:t>
      </w:r>
    </w:p>
  </w:footnote>
  <w:footnote w:id="369">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وسوف يأتي تعليق على هذا عند الحديث عن نسبة الكتاب إلى المؤلف، ص168.</w:t>
      </w:r>
    </w:p>
  </w:footnote>
  <w:footnote w:id="370">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 191.</w:t>
      </w:r>
    </w:p>
  </w:footnote>
  <w:footnote w:id="371">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 1191.</w:t>
      </w:r>
    </w:p>
  </w:footnote>
  <w:footnote w:id="372">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وسوف يأتي بيان معنى اسم الكتاب عند ذكر المؤلف له، ص 191.</w:t>
      </w:r>
    </w:p>
  </w:footnote>
  <w:footnote w:id="373">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وقد ورد بيان ذلك سابقًا عند الحديث عن أوصاف النسخ، ص 145، 149.</w:t>
      </w:r>
    </w:p>
  </w:footnote>
  <w:footnote w:id="374">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وقد ورد بيان ذلك سابقًا عند الحديث عن أوصاف النسخ، ص143، 148.</w:t>
      </w:r>
    </w:p>
  </w:footnote>
  <w:footnote w:id="375">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ص187-188.</w:t>
      </w:r>
    </w:p>
  </w:footnote>
  <w:footnote w:id="376">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ما جاء في أوصاف النسخ، ص141 </w:t>
      </w:r>
      <w:r>
        <w:rPr>
          <w:rtl/>
        </w:rPr>
        <w:t>–</w:t>
      </w:r>
      <w:r>
        <w:rPr>
          <w:rFonts w:hint="cs"/>
          <w:rtl/>
        </w:rPr>
        <w:t xml:space="preserve"> 150.</w:t>
      </w:r>
    </w:p>
  </w:footnote>
  <w:footnote w:id="377">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المجموع المذهب (المقدمة)، 1/58-59.</w:t>
      </w:r>
    </w:p>
    <w:p w:rsidR="00035BE3" w:rsidRPr="001E57C0" w:rsidRDefault="00035BE3" w:rsidP="00BF08C1">
      <w:pPr>
        <w:pStyle w:val="a6"/>
        <w:ind w:left="281" w:firstLine="3"/>
        <w:rPr>
          <w:spacing w:val="-2"/>
          <w:rtl/>
        </w:rPr>
      </w:pPr>
      <w:r w:rsidRPr="001E57C0">
        <w:rPr>
          <w:rFonts w:hint="cs"/>
          <w:spacing w:val="-2"/>
          <w:rtl/>
        </w:rPr>
        <w:t>وممّا تحسن الإشارة إليه: أني بذلت غاية جهدي في البحث عن كتاب (ترتيب اللآلي) في كتب الفقه وقواعده وأصوله فلم أظفر له بذكر إلا في مقدمة تحقيق هذا الكتاب: ويبدو أن السبب في ذلك هو كون الكتاب كان منسيًّا، وقد عُبّر عن ذلك ببيت شعر كُتب على غلاف نسخة مكتبة الملك عبد العزيز (هـ)، ونصه:</w:t>
      </w:r>
    </w:p>
    <w:p w:rsidR="00035BE3" w:rsidRDefault="00035BE3" w:rsidP="00BF08C1">
      <w:pPr>
        <w:pStyle w:val="a6"/>
        <w:ind w:left="0" w:right="170"/>
        <w:jc w:val="center"/>
        <w:rPr>
          <w:b/>
          <w:bCs/>
          <w:rtl/>
        </w:rPr>
      </w:pPr>
      <w:r>
        <w:rPr>
          <w:rFonts w:hint="cs"/>
          <w:b/>
          <w:bCs/>
          <w:rtl/>
        </w:rPr>
        <w:t>فــي الــزوايــا خــبـايـا           وفــي الـرّجــال بــقــايـا</w:t>
      </w:r>
    </w:p>
  </w:footnote>
  <w:footnote w:id="378">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هدية العارفين،1/170.</w:t>
      </w:r>
    </w:p>
  </w:footnote>
  <w:footnote w:id="379">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معجم المؤلفين، 1/166-167.</w:t>
      </w:r>
    </w:p>
  </w:footnote>
  <w:footnote w:id="380">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مقدمة الكتاب، ص188.</w:t>
      </w:r>
    </w:p>
  </w:footnote>
  <w:footnote w:id="381">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ص192.</w:t>
      </w:r>
    </w:p>
  </w:footnote>
  <w:footnote w:id="382">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 1191.</w:t>
      </w:r>
    </w:p>
  </w:footnote>
  <w:footnote w:id="383">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ص 192-195.</w:t>
      </w:r>
    </w:p>
  </w:footnote>
  <w:footnote w:id="384">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أفاد ذلك د. سهيل صابان، الباحث في الكتب العثمانية والتركية في مكتبة الملك فهد الوطنية. علمًا بأن الكتاب الثالث باللغة العثمانية.</w:t>
      </w:r>
    </w:p>
  </w:footnote>
  <w:footnote w:id="385">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وقد أفاد ذلك مركز البلقان للدراسات والأبحاث العلمية باستانبول الذي يديره: شامل الشاهين.</w:t>
      </w:r>
    </w:p>
  </w:footnote>
  <w:footnote w:id="386">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انظره، 1/554.</w:t>
      </w:r>
    </w:p>
  </w:footnote>
  <w:footnote w:id="387">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انظره، 2/72.</w:t>
      </w:r>
    </w:p>
  </w:footnote>
  <w:footnote w:id="388">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 192.</w:t>
      </w:r>
    </w:p>
  </w:footnote>
  <w:footnote w:id="389">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تكملة شذرات الذهب، لأكرم العلي، 1/105.</w:t>
      </w:r>
    </w:p>
  </w:footnote>
  <w:footnote w:id="390">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ذِكْرُ أسباب اعتمادها أصلاً، عند الحديث عن النسخ المعتمدة في التحقيق، ص173.</w:t>
      </w:r>
    </w:p>
  </w:footnote>
  <w:footnote w:id="391">
    <w:p w:rsidR="00035BE3" w:rsidRDefault="00035BE3" w:rsidP="00BF08C1">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استفدت هذا من رسالة الماجستير للشيخ محمد بن عودة السعوي، التي حقق فيها كتاب: التدمرية، لشيخ الإسلام ابن تيمية. انظر الرسالة، ص35.</w:t>
      </w:r>
    </w:p>
  </w:footnote>
  <w:footnote w:id="392">
    <w:p w:rsidR="00035BE3" w:rsidRDefault="00035BE3" w:rsidP="00C10469">
      <w:pPr>
        <w:pStyle w:val="a8"/>
        <w:bidi/>
        <w:ind w:left="422"/>
        <w:rPr>
          <w:rtl/>
        </w:rPr>
      </w:pPr>
      <w:r>
        <w:rPr>
          <w:rFonts w:hint="cs"/>
          <w:vertAlign w:val="superscript"/>
          <w:rtl/>
        </w:rPr>
        <w:t>(</w:t>
      </w:r>
      <w:r>
        <w:rPr>
          <w:rStyle w:val="a7"/>
        </w:rPr>
        <w:footnoteRef/>
      </w:r>
      <w:r>
        <w:rPr>
          <w:rFonts w:hint="cs"/>
          <w:vertAlign w:val="superscript"/>
          <w:rtl/>
        </w:rPr>
        <w:t>)</w:t>
      </w:r>
      <w:r>
        <w:rPr>
          <w:rFonts w:hint="cs"/>
          <w:rtl/>
        </w:rPr>
        <w:t xml:space="preserve">   في (د): «منهج».</w:t>
      </w:r>
    </w:p>
  </w:footnote>
  <w:footnote w:id="393">
    <w:p w:rsidR="00035BE3" w:rsidRDefault="00035BE3" w:rsidP="00C10469">
      <w:pPr>
        <w:pStyle w:val="a8"/>
        <w:bidi/>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دلائل</w:t>
      </w:r>
      <w:r>
        <w:rPr>
          <w:rFonts w:hint="cs"/>
          <w:rtl/>
        </w:rPr>
        <w:t xml:space="preserve"> : جمع دلالة، وتطلق على الدليل على طريق المجاز، وهي في اللغة : مشتقة من مادة «دلّ»، والدال واللام - كما يقول ابن فارس - : «أصلان:</w:t>
      </w:r>
    </w:p>
    <w:p w:rsidR="00035BE3" w:rsidRDefault="00035BE3" w:rsidP="00C10469">
      <w:pPr>
        <w:pStyle w:val="a6"/>
        <w:ind w:left="422" w:right="170" w:firstLine="0"/>
        <w:rPr>
          <w:rtl/>
        </w:rPr>
      </w:pPr>
      <w:r>
        <w:rPr>
          <w:rFonts w:hint="cs"/>
          <w:b/>
          <w:bCs/>
          <w:rtl/>
        </w:rPr>
        <w:t>أحدهما</w:t>
      </w:r>
      <w:r>
        <w:rPr>
          <w:rFonts w:hint="cs"/>
          <w:rtl/>
        </w:rPr>
        <w:t xml:space="preserve"> : إبانة الشيء بأمارة تتعلمها. </w:t>
      </w:r>
    </w:p>
    <w:p w:rsidR="00035BE3" w:rsidRDefault="00035BE3" w:rsidP="00C10469">
      <w:pPr>
        <w:pStyle w:val="a6"/>
        <w:ind w:left="422" w:right="170" w:firstLine="0"/>
      </w:pPr>
      <w:r>
        <w:rPr>
          <w:rFonts w:hint="cs"/>
          <w:b/>
          <w:bCs/>
          <w:rtl/>
        </w:rPr>
        <w:t>والآخر</w:t>
      </w:r>
      <w:r>
        <w:rPr>
          <w:rFonts w:hint="cs"/>
          <w:rtl/>
        </w:rPr>
        <w:t xml:space="preserve"> : اضطراب في الشيء».</w:t>
      </w:r>
    </w:p>
    <w:p w:rsidR="00035BE3" w:rsidRDefault="00035BE3" w:rsidP="00C10469">
      <w:pPr>
        <w:pStyle w:val="a6"/>
        <w:ind w:left="422" w:firstLine="0"/>
        <w:rPr>
          <w:rtl/>
        </w:rPr>
      </w:pPr>
      <w:r>
        <w:rPr>
          <w:rFonts w:hint="cs"/>
          <w:rtl/>
        </w:rPr>
        <w:t>ومن الأصل الأول ما جاء في (لسان العرب) : «دلّ فلانٌ إذا هدى». ومنه أيض</w:t>
      </w:r>
      <w:r>
        <w:rPr>
          <w:rFonts w:hint="cs"/>
          <w:rtl/>
          <w:lang w:bidi="ar-AE"/>
        </w:rPr>
        <w:t>ً</w:t>
      </w:r>
      <w:r>
        <w:rPr>
          <w:rFonts w:hint="cs"/>
          <w:rtl/>
        </w:rPr>
        <w:t>ا ما جاء في (المعجم الوجيز):</w:t>
      </w:r>
      <w:r>
        <w:t></w:t>
      </w:r>
      <w:r>
        <w:rPr>
          <w:rFonts w:hint="cs"/>
          <w:rtl/>
        </w:rPr>
        <w:t>«الدليل: المرشد».</w:t>
      </w:r>
    </w:p>
    <w:p w:rsidR="00035BE3" w:rsidRDefault="00035BE3" w:rsidP="00C10469">
      <w:pPr>
        <w:pStyle w:val="a6"/>
        <w:ind w:left="422" w:firstLine="0"/>
      </w:pPr>
      <w:r>
        <w:rPr>
          <w:rFonts w:hint="cs"/>
          <w:rtl/>
        </w:rPr>
        <w:t xml:space="preserve">ولو حُمل الدليل في الاصطلاح على هذا المعنى اللغوي (وهو المرشد) لشمل جميع ما يتوصل به إلى المطلوب، سواءً أوصلنا هذا الدليل إلى العلم بالمطلوب -وهو ما يُعبّر عنه بالبرهان- أم مجرد الظن به- وهو ما يعبر عنه بالأمارة-. </w:t>
      </w:r>
    </w:p>
    <w:p w:rsidR="00035BE3" w:rsidRDefault="00035BE3" w:rsidP="00C10469">
      <w:pPr>
        <w:pStyle w:val="a6"/>
        <w:ind w:left="422" w:firstLine="0"/>
        <w:rPr>
          <w:rtl/>
        </w:rPr>
      </w:pPr>
      <w:r>
        <w:rPr>
          <w:rFonts w:hint="cs"/>
          <w:rtl/>
        </w:rPr>
        <w:t>وهذا المعنى الشامل منسجمٌ مع تعريف كثير من العلماء للدليل بأنه :«ما يمكن التوصل بصحيح النظر فيه إلى مطلوب خبري».</w:t>
      </w:r>
    </w:p>
    <w:p w:rsidR="00035BE3" w:rsidRDefault="00035BE3" w:rsidP="00C10469">
      <w:pPr>
        <w:pStyle w:val="a6"/>
        <w:ind w:left="422" w:firstLine="0"/>
        <w:rPr>
          <w:rtl/>
        </w:rPr>
      </w:pPr>
      <w:r>
        <w:rPr>
          <w:rFonts w:hint="cs"/>
          <w:rtl/>
        </w:rPr>
        <w:t>إذا علم هذا فالمراد بدلائل هنا : أي الأدلة التي تبين الأحكام وترشد إليها؛ كالكتاب والسنة والإجماع والقياس والاستصحاب ... أو بعبارة أخرى : جميع ما يمكن التوصل بصحيح النظر فيه إلى المطلوب، وهو العلم بالحكم أو الظن به.</w:t>
      </w:r>
    </w:p>
    <w:p w:rsidR="00035BE3" w:rsidRDefault="00035BE3" w:rsidP="00C10469">
      <w:pPr>
        <w:pStyle w:val="a6"/>
        <w:ind w:left="422" w:firstLine="0"/>
        <w:rPr>
          <w:rtl/>
        </w:rPr>
      </w:pPr>
      <w:r>
        <w:rPr>
          <w:rFonts w:hint="cs"/>
          <w:b/>
          <w:bCs/>
          <w:rtl/>
        </w:rPr>
        <w:t>ولتوثيق ما سبق :</w:t>
      </w:r>
      <w:r>
        <w:rPr>
          <w:rFonts w:hint="cs"/>
          <w:rtl/>
        </w:rPr>
        <w:t xml:space="preserve"> فإن المعنى اللغوي مستفاد من : المقاييس في اللغة، مادة «دلّ»، ص349؛ لسان العرب, مادة «دلل», 11/248؛ المعجم الوجيز، مادة « دلّ », ص 233؛ وانظر: العدة للقاضي أبي يعلى, 2/132-133. </w:t>
      </w:r>
    </w:p>
    <w:p w:rsidR="00035BE3" w:rsidRDefault="00035BE3" w:rsidP="00C10469">
      <w:pPr>
        <w:pStyle w:val="a6"/>
        <w:spacing w:line="264" w:lineRule="auto"/>
        <w:ind w:left="422" w:firstLine="0"/>
        <w:rPr>
          <w:b/>
          <w:bCs/>
          <w:spacing w:val="-6"/>
          <w:rtl/>
        </w:rPr>
      </w:pPr>
      <w:r>
        <w:rPr>
          <w:rFonts w:hint="cs"/>
          <w:spacing w:val="-6"/>
          <w:rtl/>
        </w:rPr>
        <w:t xml:space="preserve">وانظر الربط بين المعنى اللغوي والاصطلاحي في : أصول الفقه لشيخنا د. يعقوب الباحسين، ص116؛ موازنة بين دلالة النص والقياس الأصولي، 1/27؛ علم أصـول الفقه لشيخنا أ.د. عبد العزيز الربيعة، ص69. </w:t>
      </w:r>
    </w:p>
    <w:p w:rsidR="00035BE3" w:rsidRDefault="00035BE3" w:rsidP="00C10469">
      <w:pPr>
        <w:pStyle w:val="a6"/>
        <w:spacing w:line="264" w:lineRule="auto"/>
        <w:ind w:left="422" w:firstLine="0"/>
        <w:rPr>
          <w:rtl/>
        </w:rPr>
      </w:pPr>
      <w:r>
        <w:rPr>
          <w:rFonts w:hint="cs"/>
          <w:rtl/>
        </w:rPr>
        <w:t xml:space="preserve">وانظر المعنى الاصطلاحي </w:t>
      </w:r>
      <w:r w:rsidRPr="006A3607">
        <w:rPr>
          <w:rFonts w:hint="cs"/>
          <w:spacing w:val="2"/>
          <w:rtl/>
        </w:rPr>
        <w:t>المذكور للدليل في: الإحكام للآمدي، 1/27؛ مختصر ابن الحاجب مع شرحه: بيان المختصر, 1/34؛ ومع شرح العضد، 1/40؛ التحرير لابن الهمام مع شرحه: التقرير والتحبير، 1/50؛ ومع شرحه: تيسير التحرير, 1/33؛ مرآة الأصول</w:t>
      </w:r>
      <w:r>
        <w:rPr>
          <w:rFonts w:hint="cs"/>
          <w:rtl/>
        </w:rPr>
        <w:t xml:space="preserve"> مع حاشية الإزميري، 1/ 27؛  </w:t>
      </w:r>
      <w:r>
        <w:rPr>
          <w:rtl/>
        </w:rPr>
        <w:br/>
      </w:r>
    </w:p>
    <w:p w:rsidR="00035BE3" w:rsidRDefault="00035BE3" w:rsidP="00C10469">
      <w:pPr>
        <w:pStyle w:val="a6"/>
        <w:spacing w:line="264" w:lineRule="auto"/>
        <w:ind w:left="422" w:firstLine="0"/>
        <w:rPr>
          <w:rtl/>
        </w:rPr>
      </w:pPr>
      <w:r>
        <w:rPr>
          <w:rFonts w:hint="cs"/>
          <w:rtl/>
        </w:rPr>
        <w:t xml:space="preserve">شرح الكوكب المنير، 1/52؛ أصول الفقه لشيخنا د. يعقوب الباحسين، ص114؛ علم أصول الفقه لشيخنا أ.د. عبد العزيز الربيعة، ص69؛ موازنة بين دلالة النص والقياس الأصولي، 1/22-23. </w:t>
      </w:r>
    </w:p>
    <w:p w:rsidR="00035BE3" w:rsidRDefault="00035BE3" w:rsidP="00C10469">
      <w:pPr>
        <w:pStyle w:val="a6"/>
        <w:spacing w:line="264" w:lineRule="auto"/>
        <w:ind w:left="422" w:firstLine="0"/>
        <w:rPr>
          <w:rtl/>
        </w:rPr>
      </w:pPr>
      <w:r>
        <w:rPr>
          <w:rFonts w:hint="cs"/>
          <w:rtl/>
        </w:rPr>
        <w:t>وانظر المراد من دلائل الأحكام في: السراج الوهاج في شرح المنهاج، 1/73-74؛ شرح الأصفهاني للمنهاج، 1/35-36؛ نهاية السول، 1/21؛ شرح البدخشي للمنهاج، 1/18.</w:t>
      </w:r>
    </w:p>
  </w:footnote>
  <w:footnote w:id="394">
    <w:p w:rsidR="00035BE3" w:rsidRDefault="00035BE3" w:rsidP="00C10469">
      <w:pPr>
        <w:pStyle w:val="a8"/>
        <w:bidi/>
        <w:ind w:left="422" w:right="0" w:hanging="423"/>
        <w:rPr>
          <w:rtl/>
        </w:rPr>
      </w:pPr>
      <w:r w:rsidRPr="00F518AA">
        <w:rPr>
          <w:rFonts w:hint="cs"/>
          <w:vertAlign w:val="superscript"/>
          <w:rtl/>
        </w:rPr>
        <w:t>(</w:t>
      </w:r>
      <w:r w:rsidRPr="00F518AA">
        <w:rPr>
          <w:rStyle w:val="a7"/>
        </w:rPr>
        <w:footnoteRef/>
      </w:r>
      <w:r w:rsidRPr="00F518AA">
        <w:rPr>
          <w:vertAlign w:val="superscript"/>
        </w:rPr>
        <w:t></w:t>
      </w:r>
      <w:r w:rsidRPr="00F518AA">
        <w:rPr>
          <w:rFonts w:hint="cs"/>
          <w:vertAlign w:val="superscript"/>
          <w:rtl/>
        </w:rPr>
        <w:t xml:space="preserve">) </w:t>
      </w:r>
      <w:r>
        <w:rPr>
          <w:rFonts w:hint="cs"/>
          <w:rtl/>
        </w:rPr>
        <w:t xml:space="preserve">  </w:t>
      </w:r>
      <w:r>
        <w:rPr>
          <w:rFonts w:hint="cs"/>
          <w:b/>
          <w:bCs/>
          <w:rtl/>
        </w:rPr>
        <w:t xml:space="preserve">الأحكام </w:t>
      </w:r>
      <w:r>
        <w:rPr>
          <w:rFonts w:hint="cs"/>
          <w:rtl/>
        </w:rPr>
        <w:t xml:space="preserve">في اللغة : جمع حكم، «والحاء والكاف والميم : أصل واحد وهو المنع، وأول ذلك الحكم, وهو المنع من الظلم» -قال ذلك ابن فارس-. </w:t>
      </w:r>
    </w:p>
    <w:p w:rsidR="00035BE3" w:rsidRDefault="00035BE3" w:rsidP="00C10469">
      <w:pPr>
        <w:pStyle w:val="a6"/>
        <w:ind w:left="422" w:firstLine="0"/>
        <w:rPr>
          <w:rtl/>
        </w:rPr>
      </w:pPr>
      <w:r>
        <w:rPr>
          <w:rFonts w:hint="cs"/>
          <w:rtl/>
        </w:rPr>
        <w:t xml:space="preserve">والمراد بالحكم هنا: الحكم الشرعي، وهو عند كثير من الأصوليين : «خطاب الله المتعلق بأفعال المكلفين بالاقتضاء أو التخيير أو الوضع». </w:t>
      </w:r>
    </w:p>
    <w:p w:rsidR="00035BE3" w:rsidRDefault="00035BE3" w:rsidP="00C10469">
      <w:pPr>
        <w:pStyle w:val="a6"/>
        <w:ind w:left="422" w:firstLine="0"/>
        <w:rPr>
          <w:rtl/>
        </w:rPr>
      </w:pPr>
      <w:r>
        <w:rPr>
          <w:rFonts w:hint="cs"/>
          <w:rtl/>
        </w:rPr>
        <w:t xml:space="preserve">ويُلحظ أن المؤلف أضاف الدلائل إلى الأحكام، مما يعني أن المعرفة شاملة لجميع دلائل الأحكام؛ لأن (دلائل) جمع مضاف إلى معرفة (وهي الأحكام)، والجمع المضاف إلى معرفة: لفظٌ من ألفاظ العموم. </w:t>
      </w:r>
    </w:p>
    <w:p w:rsidR="00035BE3" w:rsidRDefault="00035BE3" w:rsidP="00C10469">
      <w:pPr>
        <w:pStyle w:val="a6"/>
        <w:ind w:left="422" w:firstLine="0"/>
        <w:rPr>
          <w:rtl/>
        </w:rPr>
      </w:pPr>
      <w:r>
        <w:rPr>
          <w:rFonts w:hint="cs"/>
          <w:b/>
          <w:bCs/>
          <w:rtl/>
        </w:rPr>
        <w:t>ولتوثيق ما سبق :</w:t>
      </w:r>
      <w:r>
        <w:rPr>
          <w:rFonts w:hint="cs"/>
          <w:rtl/>
        </w:rPr>
        <w:t xml:space="preserve"> فإن المعنى اللغوي مستفاد من المقاييس في اللغة، مادة «حكم»، ص277؛ وانظر: لسان العرب، مادة «حكم»، 12/141. </w:t>
      </w:r>
    </w:p>
    <w:p w:rsidR="00035BE3" w:rsidRDefault="00035BE3" w:rsidP="00C10469">
      <w:pPr>
        <w:pStyle w:val="a6"/>
        <w:ind w:left="422" w:firstLine="0"/>
        <w:rPr>
          <w:rtl/>
        </w:rPr>
      </w:pPr>
      <w:r>
        <w:rPr>
          <w:rFonts w:hint="cs"/>
          <w:rtl/>
        </w:rPr>
        <w:t>وانظر المعنى الاصطلاحي للحكم في: مختصر ابن الحاجب مع شرحه: بيان المختصر، 1/325؛ ومع شرح العضد، 1/220؛ شرح مختصر الروضة، 1/254؛ التمهيد للإسنوي، ص 48؛ التحرير مع شرحه: تيسير التحرير، 1/129-130؛ مرآة الأصول وحاشية الإزميري عليها، 1/31-35؛ مسلَّم الثبوت مع شرحه: فواتح الرحموت، 1/54؛ إرشاد الفحول، 1/56.</w:t>
      </w:r>
    </w:p>
    <w:p w:rsidR="00035BE3" w:rsidRDefault="00035BE3" w:rsidP="00C10469">
      <w:pPr>
        <w:pStyle w:val="a6"/>
        <w:ind w:left="422" w:firstLine="0"/>
        <w:rPr>
          <w:rtl/>
        </w:rPr>
      </w:pPr>
      <w:r>
        <w:rPr>
          <w:rFonts w:hint="cs"/>
          <w:rtl/>
        </w:rPr>
        <w:t>وانظر كون المراد : جميع الدلائل في: السـراج الوهاج، 1/72، 502؛ شـرح الأصفهاني للمنهـاج، 1/34، 353-354؛ التوضيح في حلّ غوامض التنقيح، 1/54.</w:t>
      </w:r>
    </w:p>
  </w:footnote>
  <w:footnote w:id="395">
    <w:p w:rsidR="00035BE3" w:rsidRDefault="00035BE3" w:rsidP="00C10469">
      <w:pPr>
        <w:pStyle w:val="a8"/>
        <w:bidi/>
        <w:ind w:left="420" w:right="0" w:hanging="423"/>
        <w:rPr>
          <w:rtl/>
        </w:rPr>
      </w:pPr>
      <w:r w:rsidRPr="00F518AA">
        <w:rPr>
          <w:rFonts w:hint="cs"/>
          <w:vertAlign w:val="superscript"/>
          <w:rtl/>
        </w:rPr>
        <w:t>(</w:t>
      </w:r>
      <w:r w:rsidRPr="00F518AA">
        <w:rPr>
          <w:rStyle w:val="a7"/>
        </w:rPr>
        <w:footnoteRef/>
      </w:r>
      <w:r w:rsidRPr="00F518AA">
        <w:rPr>
          <w:vertAlign w:val="superscript"/>
        </w:rPr>
        <w:t></w:t>
      </w:r>
      <w:r w:rsidRPr="00F518AA">
        <w:rPr>
          <w:rFonts w:hint="cs"/>
          <w:vertAlign w:val="superscript"/>
          <w:rtl/>
        </w:rPr>
        <w:t xml:space="preserve">) </w:t>
      </w:r>
      <w:r>
        <w:rPr>
          <w:rFonts w:hint="cs"/>
          <w:rtl/>
        </w:rPr>
        <w:t xml:space="preserve">  </w:t>
      </w:r>
      <w:r>
        <w:rPr>
          <w:rFonts w:hint="cs"/>
          <w:b/>
          <w:bCs/>
          <w:rtl/>
        </w:rPr>
        <w:t>البراهين</w:t>
      </w:r>
      <w:r>
        <w:rPr>
          <w:rFonts w:hint="cs"/>
          <w:rtl/>
        </w:rPr>
        <w:t>: جمع برهان، والبرهان في اللغة: الحجة الفاصلة البينة.</w:t>
      </w:r>
    </w:p>
    <w:p w:rsidR="00035BE3" w:rsidRDefault="00035BE3" w:rsidP="00C10469">
      <w:pPr>
        <w:pStyle w:val="a6"/>
        <w:ind w:left="420" w:firstLine="0"/>
        <w:rPr>
          <w:spacing w:val="6"/>
          <w:rtl/>
        </w:rPr>
      </w:pPr>
      <w:r>
        <w:rPr>
          <w:rFonts w:hint="cs"/>
          <w:spacing w:val="6"/>
          <w:rtl/>
        </w:rPr>
        <w:t>وهو عند أهل المنطق يعدّ أعلى مراتب الحجج، ويسمى بالحجة البرهانية، وقد عرف القطب الرازي البرهان بأنه: «القياس المؤلف من اليقينيات، سواء كانت ابتداءً وهي الضروريات الستّ، أو بواسطة وهي النظريات»، كما عرف صاحب (ضوابط المعرفة) الحجة البرهانية بأنها: «الحجة التي تفيد اليقين، وتتألف في القياس من مقدمات يقينية على هيئة تفيد نتيجة يقينية، واليقين فيها لليقين في المقدمات».</w:t>
      </w:r>
    </w:p>
    <w:p w:rsidR="00035BE3" w:rsidRPr="006D5619" w:rsidRDefault="00035BE3" w:rsidP="00C10469">
      <w:pPr>
        <w:pStyle w:val="a6"/>
        <w:spacing w:line="264" w:lineRule="auto"/>
        <w:ind w:left="422" w:firstLine="0"/>
        <w:rPr>
          <w:spacing w:val="-6"/>
          <w:sz w:val="29"/>
          <w:szCs w:val="29"/>
          <w:rtl/>
        </w:rPr>
      </w:pPr>
      <w:r w:rsidRPr="006D5619">
        <w:rPr>
          <w:rFonts w:hint="cs"/>
          <w:spacing w:val="-6"/>
          <w:sz w:val="29"/>
          <w:szCs w:val="29"/>
          <w:rtl/>
        </w:rPr>
        <w:t xml:space="preserve">انظر: أساس البلاغة، مادة «بره», ص 21؛ لسان العرب, مادة «برهن»، 13/51؛ القاموس المحيط, مادة «برهن»، </w:t>
      </w:r>
      <w:r w:rsidRPr="006D5619">
        <w:rPr>
          <w:spacing w:val="-6"/>
          <w:sz w:val="29"/>
          <w:szCs w:val="29"/>
          <w:rtl/>
        </w:rPr>
        <w:br/>
      </w:r>
      <w:r w:rsidRPr="006D5619">
        <w:rPr>
          <w:rFonts w:hint="cs"/>
          <w:spacing w:val="-6"/>
          <w:sz w:val="29"/>
          <w:szCs w:val="29"/>
          <w:rtl/>
        </w:rPr>
        <w:t>ص 1523؛ المعجم الوجيز، مادة «برهن», ص 48؛ وانظر أيضا : النهاية في غري</w:t>
      </w:r>
      <w:r>
        <w:rPr>
          <w:rFonts w:hint="cs"/>
          <w:spacing w:val="-6"/>
          <w:sz w:val="29"/>
          <w:szCs w:val="29"/>
          <w:rtl/>
        </w:rPr>
        <w:t xml:space="preserve">ب الحديث والأثر، 1/122.   </w:t>
      </w:r>
    </w:p>
    <w:p w:rsidR="00035BE3" w:rsidRDefault="00035BE3" w:rsidP="00C10469">
      <w:pPr>
        <w:pStyle w:val="a6"/>
        <w:ind w:left="422" w:firstLine="0"/>
        <w:rPr>
          <w:rtl/>
        </w:rPr>
      </w:pPr>
      <w:r>
        <w:rPr>
          <w:rFonts w:hint="cs"/>
          <w:rtl/>
        </w:rPr>
        <w:t xml:space="preserve">وانظر- بالإضافة إلى تحرير القواعد المنطقية، ص167؛ وضوابط المعرفة، ص297-298-: </w:t>
      </w:r>
      <w:r>
        <w:rPr>
          <w:rtl/>
        </w:rPr>
        <w:br/>
      </w:r>
      <w:r>
        <w:rPr>
          <w:rFonts w:hint="cs"/>
          <w:rtl/>
        </w:rPr>
        <w:t>التعريفات للجرجاني، ص64؛ شرح الأخضري على سلّمه، ص37-38؛ إيضاح المبهم في معاني السلم، ص17-18؛ حاشية الصبان على شرح السلم للملوي، ص148-152؛ تسهيل القطبي، ص233.</w:t>
      </w:r>
    </w:p>
  </w:footnote>
  <w:footnote w:id="396">
    <w:p w:rsidR="00035BE3" w:rsidRDefault="00035BE3" w:rsidP="00C10469">
      <w:pPr>
        <w:pStyle w:val="a8"/>
        <w:bidi/>
        <w:spacing w:line="480" w:lineRule="exact"/>
        <w:ind w:left="422" w:right="0" w:hanging="423"/>
        <w:rPr>
          <w:rtl/>
        </w:rPr>
      </w:pPr>
      <w:r w:rsidRPr="0007751B">
        <w:rPr>
          <w:rFonts w:hint="cs"/>
          <w:vertAlign w:val="superscript"/>
          <w:rtl/>
        </w:rPr>
        <w:t>(</w:t>
      </w:r>
      <w:r w:rsidRPr="0007751B">
        <w:rPr>
          <w:rStyle w:val="a7"/>
        </w:rPr>
        <w:footnoteRef/>
      </w:r>
      <w:r w:rsidRPr="0007751B">
        <w:rPr>
          <w:vertAlign w:val="superscript"/>
        </w:rPr>
        <w:t></w:t>
      </w:r>
      <w:r w:rsidRPr="0007751B">
        <w:rPr>
          <w:rFonts w:hint="cs"/>
          <w:vertAlign w:val="superscript"/>
          <w:rtl/>
        </w:rPr>
        <w:t xml:space="preserve">) </w:t>
      </w:r>
      <w:r>
        <w:rPr>
          <w:rFonts w:hint="cs"/>
          <w:rtl/>
        </w:rPr>
        <w:t xml:space="preserve">  </w:t>
      </w:r>
      <w:r>
        <w:rPr>
          <w:rFonts w:hint="cs"/>
          <w:b/>
          <w:bCs/>
          <w:rtl/>
        </w:rPr>
        <w:t>الشواهد</w:t>
      </w:r>
      <w:r>
        <w:rPr>
          <w:rFonts w:hint="cs"/>
          <w:rtl/>
        </w:rPr>
        <w:t xml:space="preserve">: جمع شاهد، والشاهد في اللغة : اسم فاعل من كلمة «شهد»، وهي-كما يقول ابن فارس-: </w:t>
      </w:r>
    </w:p>
    <w:p w:rsidR="00035BE3" w:rsidRDefault="00035BE3" w:rsidP="00C10469">
      <w:pPr>
        <w:pStyle w:val="a6"/>
        <w:spacing w:line="480" w:lineRule="exact"/>
        <w:ind w:left="422" w:firstLine="0"/>
        <w:rPr>
          <w:rtl/>
        </w:rPr>
      </w:pPr>
      <w:r>
        <w:rPr>
          <w:rFonts w:hint="cs"/>
          <w:rtl/>
        </w:rPr>
        <w:t xml:space="preserve">«أصل يدلّ على حضور وعلم وإعلام، لا يخرج شيء من فروعه عن الذي ذكرناه». </w:t>
      </w:r>
    </w:p>
    <w:p w:rsidR="00035BE3" w:rsidRDefault="00035BE3" w:rsidP="00C10469">
      <w:pPr>
        <w:pStyle w:val="a6"/>
        <w:spacing w:line="480" w:lineRule="exact"/>
        <w:ind w:left="422" w:firstLine="0"/>
        <w:rPr>
          <w:rtl/>
        </w:rPr>
      </w:pPr>
      <w:r>
        <w:rPr>
          <w:rFonts w:hint="cs"/>
          <w:rtl/>
        </w:rPr>
        <w:t xml:space="preserve">أما في الاصطلاح : فهو عند أهل المنطق والكلام :  «المعلومُ للـمُسْتَدِلِّ بِهِ قبل العلم بالـمُسْتَدَلِّ </w:t>
      </w:r>
      <w:r>
        <w:rPr>
          <w:rtl/>
        </w:rPr>
        <w:br/>
      </w:r>
      <w:r>
        <w:rPr>
          <w:rFonts w:hint="cs"/>
          <w:rtl/>
        </w:rPr>
        <w:t>عليه، سواء عُلِمَ ضرورةً أو استدلالاً». قاله ابن فورك.</w:t>
      </w:r>
    </w:p>
    <w:p w:rsidR="00035BE3" w:rsidRDefault="00035BE3" w:rsidP="00C10469">
      <w:pPr>
        <w:pStyle w:val="a6"/>
        <w:ind w:left="422" w:firstLine="0"/>
        <w:rPr>
          <w:spacing w:val="-12"/>
          <w:rtl/>
        </w:rPr>
      </w:pPr>
      <w:r>
        <w:rPr>
          <w:rFonts w:hint="cs"/>
          <w:spacing w:val="-12"/>
          <w:rtl/>
        </w:rPr>
        <w:t xml:space="preserve">أما عند الصوفية : فقد قال عنه صاحب (التعريفات) : «وفي اصطلاح القوم: عبارة عمّا كان حاضرًا في قلب </w:t>
      </w:r>
      <w:r>
        <w:rPr>
          <w:spacing w:val="-12"/>
          <w:rtl/>
        </w:rPr>
        <w:br/>
      </w:r>
      <w:r>
        <w:rPr>
          <w:rFonts w:hint="cs"/>
          <w:spacing w:val="-12"/>
          <w:rtl/>
        </w:rPr>
        <w:t xml:space="preserve">الإنسان، وغلب عليه ذكره. فإن كان الغالب عليه العلم فهو شاهد العلم، وإن كان الغالب عليه الحق فهو شاهد الحق». </w:t>
      </w:r>
    </w:p>
    <w:p w:rsidR="00035BE3" w:rsidRDefault="00035BE3" w:rsidP="00C10469">
      <w:pPr>
        <w:pStyle w:val="a6"/>
        <w:ind w:left="422" w:firstLine="0"/>
        <w:rPr>
          <w:rtl/>
        </w:rPr>
      </w:pPr>
      <w:r>
        <w:rPr>
          <w:rFonts w:hint="cs"/>
          <w:rtl/>
        </w:rPr>
        <w:t>والذي يظهر أن المراد بالشواهد هنا المعنى الأول الذي ذكره ابن فورك،</w:t>
      </w:r>
      <w:r>
        <w:rPr>
          <w:rFonts w:hint="cs"/>
          <w:rtl/>
          <w:lang w:bidi="ar-AE"/>
        </w:rPr>
        <w:t xml:space="preserve"> وتدخل فيه : الأدلة التي </w:t>
      </w:r>
      <w:r>
        <w:rPr>
          <w:rtl/>
        </w:rPr>
        <w:br/>
      </w:r>
      <w:r>
        <w:rPr>
          <w:rFonts w:hint="cs"/>
          <w:rtl/>
          <w:lang w:bidi="ar-AE"/>
        </w:rPr>
        <w:t>نشاهدها وتدل على وحدانية الله، كالشمس والقمر والليل والنهار ... وكذلك كل حاضر يستدل به على غائب</w:t>
      </w:r>
      <w:r>
        <w:rPr>
          <w:rFonts w:hint="cs"/>
          <w:rtl/>
        </w:rPr>
        <w:t xml:space="preserve"> -والله أعلم-.</w:t>
      </w:r>
    </w:p>
    <w:p w:rsidR="00035BE3" w:rsidRDefault="00035BE3" w:rsidP="00C10469">
      <w:pPr>
        <w:pStyle w:val="a6"/>
        <w:ind w:left="422" w:firstLine="0"/>
        <w:rPr>
          <w:spacing w:val="-6"/>
          <w:rtl/>
        </w:rPr>
      </w:pPr>
      <w:r>
        <w:rPr>
          <w:rFonts w:hint="cs"/>
          <w:spacing w:val="-6"/>
          <w:rtl/>
        </w:rPr>
        <w:t>المقاييس في اللغة، مادة «شهد»، ص539؛ الحدود في الأصول لابن فورك، ص81؛</w:t>
      </w:r>
      <w:r>
        <w:rPr>
          <w:rFonts w:hint="cs"/>
          <w:spacing w:val="-6"/>
          <w:rtl/>
          <w:lang w:bidi="ar-AE"/>
        </w:rPr>
        <w:t xml:space="preserve"> شرح مختصر الطوفي، 2/15؛</w:t>
      </w:r>
      <w:r>
        <w:rPr>
          <w:rFonts w:hint="cs"/>
          <w:spacing w:val="-6"/>
          <w:rtl/>
        </w:rPr>
        <w:t xml:space="preserve"> التعريفات، ص164؛ </w:t>
      </w:r>
      <w:r>
        <w:rPr>
          <w:rFonts w:hint="cs"/>
          <w:spacing w:val="-6"/>
          <w:rtl/>
          <w:lang w:bidi="ar-AE"/>
        </w:rPr>
        <w:t xml:space="preserve"> وانظر : </w:t>
      </w:r>
      <w:r>
        <w:rPr>
          <w:rFonts w:hint="cs"/>
          <w:spacing w:val="-6"/>
          <w:rtl/>
        </w:rPr>
        <w:t>معجم اصطلاحات الصوفية لعبد الرزاق الكاشاني، ص170.</w:t>
      </w:r>
    </w:p>
    <w:p w:rsidR="00035BE3" w:rsidRDefault="00035BE3" w:rsidP="00C10469">
      <w:pPr>
        <w:pStyle w:val="a6"/>
        <w:ind w:left="422" w:firstLine="0"/>
        <w:rPr>
          <w:rtl/>
        </w:rPr>
      </w:pPr>
      <w:r>
        <w:rPr>
          <w:rFonts w:hint="cs"/>
          <w:rtl/>
        </w:rPr>
        <w:t>وللتوسع انظر: أساس البلاغة، مادة «شهد»، ص243؛ لسان العرب، مادة «شهد»، 3/238-243؛ القاموس المحيط، مادة «شهد»، ص372-373؛ المعجم الوجيز، مادة «شهد»، ص352-353.</w:t>
      </w:r>
    </w:p>
  </w:footnote>
  <w:footnote w:id="397">
    <w:p w:rsidR="00035BE3" w:rsidRDefault="00035BE3" w:rsidP="00C10469">
      <w:pPr>
        <w:pStyle w:val="a8"/>
        <w:bidi/>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 الفخام:</w:t>
      </w:r>
      <w:r>
        <w:rPr>
          <w:rFonts w:hint="cs"/>
          <w:rtl/>
        </w:rPr>
        <w:t xml:space="preserve"> جمع فخم، وهو في اللغة مشتق من مادة «فخم» «والفاء والخاء والميم أصل صحيح يدل على جَزَالةٍ وعِظَم» - قال ذلك ابن فارس -، وجاء في (اللسان) :«رجل فخم أي عظيم القدر»، وجاء في (المعجم الوجيز) : «فَخُم - فخامَةً : ضَخُمَ وعظُمَ قدره [والجمع] : فِخَامٌ ».</w:t>
      </w:r>
    </w:p>
    <w:p w:rsidR="00035BE3" w:rsidRDefault="00035BE3" w:rsidP="00C10469">
      <w:pPr>
        <w:pStyle w:val="a6"/>
        <w:ind w:left="422" w:firstLine="0"/>
        <w:rPr>
          <w:spacing w:val="-10"/>
          <w:rtl/>
        </w:rPr>
      </w:pPr>
      <w:r>
        <w:rPr>
          <w:rFonts w:hint="cs"/>
          <w:spacing w:val="-10"/>
          <w:rtl/>
        </w:rPr>
        <w:t>المقاييس في اللغة، مادة «فخم»، ص828؛ لسان العرب، مادة «فخم»، 12/449؛ المعجم الوجيز، مادة «فخم»، ص464؛ وانظر : أساس البلاغة، مادة «فخم»، ص336؛ القاموس المحيط، مادة «فخم»، ص1477.</w:t>
      </w:r>
    </w:p>
  </w:footnote>
  <w:footnote w:id="398">
    <w:p w:rsidR="00035BE3" w:rsidRDefault="00035BE3" w:rsidP="00C10469">
      <w:pPr>
        <w:pStyle w:val="a8"/>
        <w:bidi/>
        <w:spacing w:line="48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ممّا ذكره أهل اللغة أن (أما) : «حرف بسيط فيه معنى الشرط، مؤوَّل بِـ (مهما يكن من شيء )؛ لأنه قائم مقام أداة الشرط وفعل الشرط؛ ولذلك يجاب بالفاء» -كذا في الجني الداني، ص522-.          </w:t>
      </w:r>
    </w:p>
    <w:p w:rsidR="00035BE3" w:rsidRDefault="00035BE3" w:rsidP="00C10469">
      <w:pPr>
        <w:pStyle w:val="a6"/>
        <w:spacing w:line="480" w:lineRule="exact"/>
        <w:ind w:left="422" w:firstLine="0"/>
        <w:rPr>
          <w:rtl/>
        </w:rPr>
      </w:pPr>
      <w:r>
        <w:rPr>
          <w:rFonts w:hint="cs"/>
          <w:rtl/>
        </w:rPr>
        <w:t>وزاد في ضياء السالك، 4/70 : «هذه الفاء لازمة؛ لربط الجواب بها، ولتكون كالقرينة عليها؛ لخفاء شرطيتها؛ لأن شرطيتها بطريق النيابة».</w:t>
      </w:r>
    </w:p>
    <w:p w:rsidR="00035BE3" w:rsidRDefault="00035BE3" w:rsidP="00C10469">
      <w:pPr>
        <w:pStyle w:val="a6"/>
        <w:spacing w:line="480" w:lineRule="exact"/>
        <w:ind w:left="422" w:firstLine="0"/>
        <w:rPr>
          <w:spacing w:val="-6"/>
          <w:rtl/>
        </w:rPr>
      </w:pPr>
      <w:r>
        <w:rPr>
          <w:rFonts w:hint="cs"/>
          <w:spacing w:val="-6"/>
          <w:rtl/>
        </w:rPr>
        <w:t xml:space="preserve">وكون المؤلف لم يذكر الفاء في جواب أمّا (وهو : يقول) مع أنه مخالف لهذا، إلا أن هناك ما يشهد له؛ </w:t>
      </w:r>
      <w:r>
        <w:rPr>
          <w:spacing w:val="-6"/>
          <w:rtl/>
        </w:rPr>
        <w:br/>
      </w:r>
      <w:r>
        <w:rPr>
          <w:rFonts w:hint="cs"/>
          <w:spacing w:val="-6"/>
          <w:rtl/>
        </w:rPr>
        <w:t xml:space="preserve">كقول النبي </w:t>
      </w:r>
      <w:r>
        <w:rPr>
          <w:rFonts w:ascii="AGA Arabesque" w:hAnsi="AGA Arabesque"/>
          <w:spacing w:val="-6"/>
          <w:sz w:val="36"/>
          <w:szCs w:val="36"/>
        </w:rPr>
        <w:t></w:t>
      </w:r>
      <w:r>
        <w:rPr>
          <w:rFonts w:hint="cs"/>
          <w:spacing w:val="-6"/>
          <w:rtl/>
        </w:rPr>
        <w:t xml:space="preserve"> </w:t>
      </w:r>
      <w:r>
        <w:rPr>
          <w:rFonts w:hint="cs"/>
          <w:spacing w:val="-6"/>
          <w:rtl/>
          <w:lang w:bidi="ar-AE"/>
        </w:rPr>
        <w:t xml:space="preserve"> - في بعض طرق الحـديث-</w:t>
      </w:r>
      <w:r>
        <w:rPr>
          <w:rFonts w:hint="cs"/>
          <w:spacing w:val="-6"/>
          <w:rtl/>
        </w:rPr>
        <w:t>: «</w:t>
      </w:r>
      <w:r>
        <w:rPr>
          <w:rFonts w:cs="DecoType Naskh" w:hint="cs"/>
          <w:spacing w:val="-6"/>
          <w:sz w:val="28"/>
          <w:szCs w:val="28"/>
          <w:rtl/>
        </w:rPr>
        <w:t xml:space="preserve"> أما بعد، ما بال  رجال  يشترطون  شـروطاً ليست في كتاب الله</w:t>
      </w:r>
      <w:r>
        <w:rPr>
          <w:rFonts w:hint="cs"/>
          <w:spacing w:val="-6"/>
          <w:rtl/>
        </w:rPr>
        <w:t xml:space="preserve"> ... »، وقول النبي </w:t>
      </w:r>
      <w:r>
        <w:rPr>
          <w:rFonts w:ascii="AGA Arabesque" w:hAnsi="AGA Arabesque"/>
          <w:spacing w:val="-6"/>
          <w:sz w:val="36"/>
          <w:szCs w:val="36"/>
        </w:rPr>
        <w:t></w:t>
      </w:r>
      <w:r>
        <w:rPr>
          <w:rFonts w:hint="cs"/>
          <w:spacing w:val="-6"/>
          <w:rtl/>
        </w:rPr>
        <w:t xml:space="preserve"> : «</w:t>
      </w:r>
      <w:r>
        <w:rPr>
          <w:rFonts w:cs="DecoType Naskh" w:hint="cs"/>
          <w:spacing w:val="-6"/>
          <w:sz w:val="28"/>
          <w:szCs w:val="28"/>
          <w:rtl/>
        </w:rPr>
        <w:t>أما بعد، ما من شيء لم أكن أُرِيتُهُ إلاّ قد  رأيته في مقامي هذا</w:t>
      </w:r>
      <w:r>
        <w:rPr>
          <w:rFonts w:hint="cs"/>
          <w:spacing w:val="-6"/>
          <w:rtl/>
        </w:rPr>
        <w:t xml:space="preserve"> ... »، وقول أبي بكر </w:t>
      </w:r>
      <w:r>
        <w:rPr>
          <w:rFonts w:ascii="AGA Arabesque" w:hAnsi="AGA Arabesque"/>
          <w:spacing w:val="-6"/>
          <w:sz w:val="36"/>
          <w:szCs w:val="36"/>
        </w:rPr>
        <w:t></w:t>
      </w:r>
      <w:r>
        <w:rPr>
          <w:rFonts w:hint="cs"/>
          <w:spacing w:val="-6"/>
          <w:rtl/>
        </w:rPr>
        <w:t>: «أما بعد، أيها الناس قد وليت أمركم... »، فقد جاء جوابُ «أمّا»</w:t>
      </w:r>
      <w:r>
        <w:rPr>
          <w:spacing w:val="-6"/>
        </w:rPr>
        <w:t></w:t>
      </w:r>
      <w:r>
        <w:rPr>
          <w:rFonts w:hint="cs"/>
          <w:spacing w:val="-6"/>
          <w:rtl/>
        </w:rPr>
        <w:t>فيها خاليًا من الفاء؛ لهذا نصَّ أهل اللغة على أنه «سُمِعَ حذفُها نادرًا في النثر ... »- كذا في النحو الوافي، 4/508-.</w:t>
      </w:r>
    </w:p>
    <w:p w:rsidR="00035BE3" w:rsidRPr="00404D41" w:rsidRDefault="00035BE3" w:rsidP="00C10469">
      <w:pPr>
        <w:pStyle w:val="a6"/>
        <w:spacing w:line="440" w:lineRule="exact"/>
        <w:ind w:left="422" w:firstLine="0"/>
        <w:rPr>
          <w:rtl/>
        </w:rPr>
      </w:pPr>
      <w:r w:rsidRPr="00404D41">
        <w:rPr>
          <w:rFonts w:ascii="Symbol" w:hAnsi="Symbol"/>
          <w:rtl/>
        </w:rPr>
        <w:t>•</w:t>
      </w:r>
      <w:r w:rsidRPr="00404D41">
        <w:rPr>
          <w:rFonts w:ascii="Symbol" w:hAnsi="Symbol" w:hint="cs"/>
          <w:rtl/>
        </w:rPr>
        <w:t xml:space="preserve"> و</w:t>
      </w:r>
      <w:r w:rsidRPr="00404D41">
        <w:rPr>
          <w:rFonts w:hint="cs"/>
          <w:rtl/>
        </w:rPr>
        <w:t>للتوسع انظر: الجني الداني في حروف المعاني، ص522-524؛ مغني اللبيب، 1/102-104؛ أوضح المسالك مع شرحه: ضياء السالك، 4/70-72، ومع شرحه : عدة السالك، 4/232-235؛ النحو الوافي، 4/504-508.</w:t>
      </w:r>
    </w:p>
    <w:p w:rsidR="00035BE3" w:rsidRPr="00404D41" w:rsidRDefault="00035BE3" w:rsidP="00C10469">
      <w:pPr>
        <w:pStyle w:val="a6"/>
        <w:spacing w:line="440" w:lineRule="exact"/>
        <w:ind w:left="422" w:firstLine="0"/>
        <w:rPr>
          <w:rtl/>
        </w:rPr>
      </w:pPr>
      <w:r w:rsidRPr="00404D41">
        <w:rPr>
          <w:rFonts w:ascii="Symbol" w:hAnsi="Symbol"/>
          <w:rtl/>
        </w:rPr>
        <w:t>•</w:t>
      </w:r>
      <w:r w:rsidRPr="00404D41">
        <w:rPr>
          <w:rFonts w:ascii="Symbol" w:hAnsi="Symbol" w:hint="cs"/>
          <w:rtl/>
        </w:rPr>
        <w:t xml:space="preserve"> </w:t>
      </w:r>
      <w:r w:rsidRPr="00404D41">
        <w:rPr>
          <w:rFonts w:hint="cs"/>
          <w:rtl/>
        </w:rPr>
        <w:t>حديث «أما بعد، ما بال ... » : أخرجه البخاري بلفظه، كتاب البيوع، باب إذا اشترط شروطًا في البيع لا تحل، 2/759، ح 2060؛ ومسلم بنحوه، كتاب العتق، باب إنما الولاء لمن أعتق، 2/1141، ح 1504. كلاهما من حديث عائشة رضي الله عنها.</w:t>
      </w:r>
    </w:p>
    <w:p w:rsidR="00035BE3" w:rsidRPr="00404D41" w:rsidRDefault="00035BE3" w:rsidP="00C10469">
      <w:pPr>
        <w:pStyle w:val="a6"/>
        <w:spacing w:line="440" w:lineRule="exact"/>
        <w:ind w:left="422" w:firstLine="0"/>
        <w:rPr>
          <w:rtl/>
        </w:rPr>
      </w:pPr>
      <w:r w:rsidRPr="00404D41">
        <w:rPr>
          <w:rFonts w:ascii="Symbol" w:hAnsi="Symbol"/>
          <w:rtl/>
        </w:rPr>
        <w:t>•</w:t>
      </w:r>
      <w:r w:rsidRPr="00404D41">
        <w:rPr>
          <w:rFonts w:ascii="Symbol" w:hAnsi="Symbol" w:hint="cs"/>
          <w:rtl/>
        </w:rPr>
        <w:t xml:space="preserve"> </w:t>
      </w:r>
      <w:r w:rsidRPr="00404D41">
        <w:rPr>
          <w:rFonts w:hint="cs"/>
          <w:rtl/>
        </w:rPr>
        <w:t xml:space="preserve">والحديث الثاني : أخرجه البخاري بلفظه،  كتاب الجمعة، باب من قال في الخطبة بعد الثناء : أما بعد، 1/312، ح880؛ ومسلم بنحوه، كتاب الكسوف، باب ما عُرض على النبي  </w:t>
      </w:r>
      <w:r w:rsidRPr="00404D41">
        <w:rPr>
          <w:rFonts w:ascii="AGA Arabesque" w:hAnsi="AGA Arabesque"/>
          <w:sz w:val="36"/>
          <w:szCs w:val="36"/>
        </w:rPr>
        <w:t></w:t>
      </w:r>
      <w:r w:rsidRPr="00404D41">
        <w:rPr>
          <w:rFonts w:hint="cs"/>
          <w:sz w:val="36"/>
          <w:szCs w:val="36"/>
          <w:rtl/>
        </w:rPr>
        <w:t xml:space="preserve"> </w:t>
      </w:r>
      <w:r w:rsidRPr="00404D41">
        <w:rPr>
          <w:rFonts w:hint="cs"/>
          <w:rtl/>
        </w:rPr>
        <w:t xml:space="preserve">في صلاة </w:t>
      </w:r>
      <w:r w:rsidRPr="00404D41">
        <w:rPr>
          <w:rFonts w:hint="cs"/>
          <w:spacing w:val="-6"/>
          <w:rtl/>
        </w:rPr>
        <w:t>الكسوف من أمر الجنة والنار، 2/624، ح905. كلاهما من حديث أسماء بنت أبي بكر رضي الله عنهما.</w:t>
      </w:r>
    </w:p>
    <w:p w:rsidR="00035BE3" w:rsidRDefault="00035BE3" w:rsidP="00C10469">
      <w:pPr>
        <w:pStyle w:val="a6"/>
        <w:spacing w:line="440" w:lineRule="exact"/>
        <w:ind w:left="422" w:right="170" w:firstLine="0"/>
        <w:rPr>
          <w:rtl/>
        </w:rPr>
      </w:pPr>
      <w:r>
        <w:rPr>
          <w:rFonts w:ascii="Symbol" w:hAnsi="Symbol"/>
          <w:spacing w:val="-16"/>
          <w:rtl/>
        </w:rPr>
        <w:t>•</w:t>
      </w:r>
      <w:r>
        <w:rPr>
          <w:rFonts w:ascii="Symbol" w:hAnsi="Symbol" w:hint="cs"/>
          <w:spacing w:val="-16"/>
          <w:rtl/>
        </w:rPr>
        <w:t xml:space="preserve"> </w:t>
      </w:r>
      <w:r>
        <w:rPr>
          <w:rFonts w:ascii="Symbol" w:hAnsi="Symbol"/>
          <w:spacing w:val="-16"/>
        </w:rPr>
        <w:t></w:t>
      </w:r>
      <w:r>
        <w:rPr>
          <w:rFonts w:hint="cs"/>
          <w:rtl/>
        </w:rPr>
        <w:t xml:space="preserve">والأثر : أخرجه ابن سعد في طبقاته بلفظه، 3/182. </w:t>
      </w:r>
    </w:p>
  </w:footnote>
  <w:footnote w:id="399">
    <w:p w:rsidR="00035BE3" w:rsidRDefault="00035BE3" w:rsidP="00C10469">
      <w:pPr>
        <w:pStyle w:val="a8"/>
        <w:bidi/>
        <w:spacing w:line="480" w:lineRule="exact"/>
        <w:ind w:left="422" w:right="0" w:hanging="423"/>
        <w:rPr>
          <w:rtl/>
          <w:lang w:bidi="ar-AE"/>
        </w:rPr>
      </w:pPr>
      <w:r>
        <w:rPr>
          <w:rFonts w:hint="cs"/>
          <w:vertAlign w:val="superscript"/>
          <w:rtl/>
        </w:rPr>
        <w:t>(</w:t>
      </w:r>
      <w:r>
        <w:rPr>
          <w:rStyle w:val="a7"/>
        </w:rPr>
        <w:footnoteRef/>
      </w:r>
      <w:r>
        <w:rPr>
          <w:rFonts w:hint="cs"/>
          <w:vertAlign w:val="superscript"/>
          <w:rtl/>
        </w:rPr>
        <w:t>)</w:t>
      </w:r>
      <w:r>
        <w:rPr>
          <w:rFonts w:hint="cs"/>
          <w:rtl/>
        </w:rPr>
        <w:t xml:space="preserve">   في (أ) و(جـ) : «ليطمئن». والأفصح ما تم إثباته من (ب) و (د).</w:t>
      </w:r>
    </w:p>
    <w:p w:rsidR="00035BE3" w:rsidRDefault="00035BE3" w:rsidP="00C10469">
      <w:pPr>
        <w:pStyle w:val="a6"/>
        <w:ind w:left="422" w:firstLine="0"/>
        <w:rPr>
          <w:rtl/>
          <w:lang w:bidi="ar-AE"/>
        </w:rPr>
      </w:pPr>
      <w:r>
        <w:rPr>
          <w:rFonts w:hint="cs"/>
          <w:rtl/>
          <w:lang w:bidi="ar-AE"/>
        </w:rPr>
        <w:t>وتذكير الكلمات التي حقها التأنيث، أو الأفصح فيها ذلك، والعكس، من الأمور التي تتكرّر كثيرًا في النسخ الخطية؛ وسببها غالبًا هو النّسّاخ. والحكم فيها باللفظ الصحيح أو الأفصح مبني على ما فهمته من المصادر الآتية : أوضح المسالك وشرحيه : عدة السالك، 2/108-119؛ وضياء السالك، 2/19-27؛ شرح ابن عقيل ومعه : منحـة الجلـيل، 1/432-438؛ النحـو الوافي، 2/76-85، 4/585-604؛ المعجم المفصّل في المذكر والمؤنث، ص116.</w:t>
      </w:r>
    </w:p>
  </w:footnote>
  <w:footnote w:id="400">
    <w:p w:rsidR="00035BE3" w:rsidRDefault="00035BE3" w:rsidP="00C10469">
      <w:pPr>
        <w:pStyle w:val="a8"/>
        <w:bidi/>
        <w:spacing w:line="48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أي : عندما يقرن المفتي جوابَهُ بالقاعدة يحصل اطمئنان في قلوب المستفتين.</w:t>
      </w:r>
      <w:r>
        <w:rPr>
          <w:rFonts w:hint="cs"/>
          <w:rtl/>
        </w:rPr>
        <w:tab/>
      </w:r>
      <w:r>
        <w:rPr>
          <w:rFonts w:hint="cs"/>
          <w:rtl/>
        </w:rPr>
        <w:tab/>
      </w:r>
      <w:r>
        <w:rPr>
          <w:rFonts w:hint="cs"/>
          <w:rtl/>
        </w:rPr>
        <w:tab/>
        <w:t xml:space="preserve"> </w:t>
      </w:r>
    </w:p>
  </w:footnote>
  <w:footnote w:id="401">
    <w:p w:rsidR="00035BE3" w:rsidRDefault="00035BE3" w:rsidP="00C10469">
      <w:pPr>
        <w:pStyle w:val="a8"/>
        <w:bidi/>
        <w:spacing w:line="50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فتصفحت : فعل ماضٍ وقع جوابًا لِـ (لمّا) التعليقية.</w:t>
      </w:r>
    </w:p>
    <w:p w:rsidR="00035BE3" w:rsidRDefault="00035BE3" w:rsidP="00C10469">
      <w:pPr>
        <w:pStyle w:val="a6"/>
        <w:ind w:left="422" w:firstLine="0"/>
        <w:rPr>
          <w:rtl/>
        </w:rPr>
      </w:pPr>
      <w:r>
        <w:rPr>
          <w:rFonts w:hint="cs"/>
          <w:rtl/>
        </w:rPr>
        <w:t>ويلحظ أنه مقرون بالفاء، وقد أجاز ذلك ابن مالك، وخالفه أبو حيّان وغيره.</w:t>
      </w:r>
    </w:p>
    <w:p w:rsidR="00035BE3" w:rsidRDefault="00035BE3" w:rsidP="00C10469">
      <w:pPr>
        <w:pStyle w:val="a6"/>
        <w:ind w:left="422" w:firstLine="0"/>
        <w:rPr>
          <w:spacing w:val="-6"/>
          <w:rtl/>
        </w:rPr>
      </w:pPr>
      <w:r>
        <w:rPr>
          <w:rFonts w:hint="cs"/>
          <w:spacing w:val="-6"/>
          <w:rtl/>
        </w:rPr>
        <w:t xml:space="preserve">انظر: التسهيل وشرحه لابن مالك، 4/101، 103؛ الجني الداني في حروف المعاني، ص596؛ مغني </w:t>
      </w:r>
      <w:r>
        <w:rPr>
          <w:spacing w:val="-6"/>
          <w:rtl/>
        </w:rPr>
        <w:br/>
      </w:r>
      <w:r>
        <w:rPr>
          <w:rFonts w:hint="cs"/>
          <w:spacing w:val="-6"/>
          <w:rtl/>
        </w:rPr>
        <w:t>اللبيب، 1/281؛ النحو الوافي، 2/298.</w:t>
      </w:r>
    </w:p>
  </w:footnote>
  <w:footnote w:id="402">
    <w:p w:rsidR="00035BE3" w:rsidRDefault="00035BE3" w:rsidP="00C10469">
      <w:pPr>
        <w:pStyle w:val="a8"/>
        <w:bidi/>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في (أ) و (جـ) و (د) : «أئمة». والصحيح ما تم إثباته من (ب).</w:t>
      </w:r>
    </w:p>
  </w:footnote>
  <w:footnote w:id="403">
    <w:p w:rsidR="00035BE3" w:rsidRDefault="00035BE3" w:rsidP="00C10469">
      <w:pPr>
        <w:pStyle w:val="a8"/>
        <w:bidi/>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الأصل</w:t>
      </w:r>
      <w:r>
        <w:rPr>
          <w:rFonts w:hint="cs"/>
          <w:rtl/>
        </w:rPr>
        <w:t xml:space="preserve"> في </w:t>
      </w:r>
      <w:r>
        <w:t></w:t>
      </w:r>
      <w:r>
        <w:rPr>
          <w:rFonts w:hint="cs"/>
          <w:rtl/>
        </w:rPr>
        <w:t xml:space="preserve">الاصطلاح : أعم من القاعدة؛ إذ هو يطلق على القاعدة الكلية سواء كانت أصولية أم </w:t>
      </w:r>
      <w:r>
        <w:rPr>
          <w:rtl/>
        </w:rPr>
        <w:br/>
      </w:r>
      <w:r>
        <w:rPr>
          <w:rFonts w:hint="cs"/>
          <w:rtl/>
        </w:rPr>
        <w:t>فقهية، كما يطلق على الضابط الجامع لفروع وجزئيات في باب واحد، ويطلق على معانٍ أخر.</w:t>
      </w:r>
    </w:p>
    <w:p w:rsidR="00035BE3" w:rsidRDefault="00035BE3" w:rsidP="00C10469">
      <w:pPr>
        <w:pStyle w:val="a6"/>
        <w:ind w:left="422" w:firstLine="0"/>
        <w:rPr>
          <w:rtl/>
        </w:rPr>
      </w:pPr>
      <w:r>
        <w:rPr>
          <w:rFonts w:hint="cs"/>
          <w:rtl/>
        </w:rPr>
        <w:t xml:space="preserve">انظر: المدخل الفقهي العام، 2/952، فقرة 561؛ القواعد الفقهية لشيخنا د. يعقوب الباحسين، </w:t>
      </w:r>
      <w:r>
        <w:rPr>
          <w:rtl/>
        </w:rPr>
        <w:br/>
      </w:r>
      <w:r>
        <w:rPr>
          <w:rFonts w:hint="cs"/>
          <w:rtl/>
        </w:rPr>
        <w:t xml:space="preserve">ص74-76؛ القواعد والضوابط المستخلصة من التحرير، ص110. </w:t>
      </w:r>
    </w:p>
  </w:footnote>
  <w:footnote w:id="404">
    <w:p w:rsidR="00035BE3" w:rsidRDefault="00035BE3" w:rsidP="00C10469">
      <w:pPr>
        <w:pStyle w:val="a8"/>
        <w:bidi/>
        <w:spacing w:line="50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في (أ) و (جـ) : «يصلح أن يكون». والصحيح ما تمَّ إثباته من (ب) و (د).</w:t>
      </w:r>
    </w:p>
  </w:footnote>
  <w:footnote w:id="405">
    <w:p w:rsidR="00035BE3" w:rsidRDefault="00035BE3" w:rsidP="00C10469">
      <w:pPr>
        <w:pStyle w:val="a8"/>
        <w:bidi/>
        <w:spacing w:line="50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سوف يأتي وجه كونها دليلاً بعد سطور.</w:t>
      </w:r>
    </w:p>
  </w:footnote>
  <w:footnote w:id="406">
    <w:p w:rsidR="00035BE3" w:rsidRDefault="00035BE3" w:rsidP="00C10469">
      <w:pPr>
        <w:pStyle w:val="a8"/>
        <w:bidi/>
        <w:ind w:left="422" w:right="0" w:hanging="423"/>
        <w:rPr>
          <w:rtl/>
        </w:rPr>
      </w:pPr>
      <w:r>
        <w:rPr>
          <w:rFonts w:hint="cs"/>
          <w:vertAlign w:val="superscript"/>
          <w:rtl/>
        </w:rPr>
        <w:t>(</w:t>
      </w:r>
      <w:r>
        <w:rPr>
          <w:rStyle w:val="a7"/>
          <w:bCs w:val="0"/>
        </w:rPr>
        <w:footnoteRef/>
      </w:r>
      <w:r>
        <w:rPr>
          <w:rFonts w:hint="cs"/>
          <w:vertAlign w:val="superscript"/>
          <w:rtl/>
        </w:rPr>
        <w:t>)</w:t>
      </w:r>
      <w:r>
        <w:rPr>
          <w:rFonts w:hint="cs"/>
          <w:rtl/>
        </w:rPr>
        <w:t xml:space="preserve">   </w:t>
      </w:r>
      <w:r>
        <w:rPr>
          <w:rFonts w:hint="cs"/>
          <w:b/>
          <w:bCs/>
          <w:rtl/>
        </w:rPr>
        <w:t>الجريدة</w:t>
      </w:r>
      <w:r>
        <w:rPr>
          <w:rFonts w:hint="cs"/>
          <w:rtl/>
        </w:rPr>
        <w:t xml:space="preserve"> في اللغة : سعفة النخل، سميت بذلك؛ لأنه قد جُرِّد عنها خوصها، وتطلق على الصحيفة التي يُكتب عليها، وعلى الدفتر الذي تُكتب فيه مقادير الأراضي الممسوحة لترتيب الأموال السلطانية، وعلى</w:t>
      </w:r>
      <w:r>
        <w:rPr>
          <w:rFonts w:hint="eastAsia"/>
          <w:rtl/>
        </w:rPr>
        <w:t> </w:t>
      </w:r>
      <w:r>
        <w:rPr>
          <w:rFonts w:hint="cs"/>
          <w:rtl/>
        </w:rPr>
        <w:t>دفتر أرزاق الجيش في الديوان، وعلى الصحيفة اليومية التي تنشر أخبارًا ومقالات.</w:t>
      </w:r>
    </w:p>
    <w:p w:rsidR="00035BE3" w:rsidRDefault="00035BE3" w:rsidP="00C10469">
      <w:pPr>
        <w:pStyle w:val="a6"/>
        <w:ind w:left="422" w:right="170" w:firstLine="0"/>
        <w:rPr>
          <w:rtl/>
        </w:rPr>
      </w:pPr>
      <w:r>
        <w:rPr>
          <w:rFonts w:hint="cs"/>
          <w:rtl/>
        </w:rPr>
        <w:t xml:space="preserve">والمراد بها هنا: الدفتر الذي كتب المؤلف عليه كتابه. </w:t>
      </w:r>
    </w:p>
    <w:p w:rsidR="00035BE3" w:rsidRPr="00A47FDD" w:rsidRDefault="00035BE3" w:rsidP="00C10469">
      <w:pPr>
        <w:pStyle w:val="a6"/>
        <w:ind w:left="422" w:firstLine="0"/>
        <w:rPr>
          <w:spacing w:val="-2"/>
          <w:szCs w:val="29"/>
          <w:rtl/>
        </w:rPr>
      </w:pPr>
      <w:r w:rsidRPr="00A47FDD">
        <w:rPr>
          <w:rFonts w:hint="cs"/>
          <w:spacing w:val="-2"/>
          <w:szCs w:val="29"/>
          <w:rtl/>
        </w:rPr>
        <w:t>انظر: المقاييس في اللغة، مادة « جرد »، ص213؛ لسان العرب، مادة «جرد»، 3/118-119؛ القاموس المحيط، مادة « جرد »، ص347؛ محيط المحيط، مادة «جرد»، ص100؛ المعجم الوسيط، مادة «جرد»، 1/115.</w:t>
      </w:r>
    </w:p>
  </w:footnote>
  <w:footnote w:id="407">
    <w:p w:rsidR="00035BE3" w:rsidRDefault="00035BE3" w:rsidP="00C10469">
      <w:pPr>
        <w:pStyle w:val="a8"/>
        <w:bidi/>
        <w:spacing w:line="500" w:lineRule="exact"/>
        <w:ind w:left="422" w:right="0" w:hanging="423"/>
        <w:rPr>
          <w:rtl/>
        </w:rPr>
      </w:pPr>
      <w:r w:rsidRPr="0007751B">
        <w:rPr>
          <w:rFonts w:hint="cs"/>
          <w:vertAlign w:val="superscript"/>
          <w:rtl/>
        </w:rPr>
        <w:t>(</w:t>
      </w:r>
      <w:r w:rsidRPr="0007751B">
        <w:rPr>
          <w:rStyle w:val="a7"/>
        </w:rPr>
        <w:footnoteRef/>
      </w:r>
      <w:r w:rsidRPr="0007751B">
        <w:rPr>
          <w:vertAlign w:val="superscript"/>
        </w:rPr>
        <w:t></w:t>
      </w:r>
      <w:r w:rsidRPr="0007751B">
        <w:rPr>
          <w:rFonts w:hint="cs"/>
          <w:vertAlign w:val="superscript"/>
          <w:rtl/>
        </w:rPr>
        <w:t>)</w:t>
      </w:r>
      <w:r>
        <w:rPr>
          <w:rFonts w:hint="cs"/>
          <w:rtl/>
        </w:rPr>
        <w:t xml:space="preserve">   </w:t>
      </w:r>
      <w:r>
        <w:rPr>
          <w:rFonts w:hint="cs"/>
          <w:b/>
          <w:bCs/>
          <w:rtl/>
        </w:rPr>
        <w:t>الهجاء</w:t>
      </w:r>
      <w:r>
        <w:rPr>
          <w:rFonts w:hint="cs"/>
          <w:rtl/>
        </w:rPr>
        <w:t xml:space="preserve"> في اللغة : مصدر هجا بمعنى قرأ وتعلّم، يقال : هجا الكتاب هجوًا وهجاءً : قرأه وتعلّمه. </w:t>
      </w:r>
    </w:p>
    <w:p w:rsidR="00035BE3" w:rsidRDefault="00035BE3" w:rsidP="00C10469">
      <w:pPr>
        <w:pStyle w:val="a6"/>
        <w:spacing w:line="500" w:lineRule="exact"/>
        <w:ind w:left="422" w:firstLine="0"/>
        <w:rPr>
          <w:rtl/>
        </w:rPr>
      </w:pPr>
      <w:r>
        <w:rPr>
          <w:rFonts w:hint="cs"/>
          <w:rtl/>
        </w:rPr>
        <w:t xml:space="preserve">وتأتي بمعنى ذمّ، يقال : هجا فلانًا هجوًا وهجاءً : ذمّه وعدّ معايبه. </w:t>
      </w:r>
    </w:p>
    <w:p w:rsidR="00035BE3" w:rsidRDefault="00035BE3" w:rsidP="00C10469">
      <w:pPr>
        <w:pStyle w:val="a6"/>
        <w:ind w:left="422" w:firstLine="0"/>
        <w:rPr>
          <w:rtl/>
        </w:rPr>
      </w:pPr>
      <w:r>
        <w:rPr>
          <w:rFonts w:hint="cs"/>
          <w:rtl/>
        </w:rPr>
        <w:t>وعندما تضاف الحروف إلى الهجاء يراد بها : «ما تتركب منها الألفاظ من الألف إلى الياء. وترتيبها مستمدّ</w:t>
      </w:r>
      <w:r>
        <w:rPr>
          <w:rFonts w:hint="eastAsia"/>
          <w:rtl/>
        </w:rPr>
        <w:t> </w:t>
      </w:r>
      <w:r>
        <w:rPr>
          <w:rFonts w:hint="cs"/>
          <w:rtl/>
        </w:rPr>
        <w:t>من ترتيب الأبجديّة بوضع الحروف المتشابهة في الرسم بعضها بجوار بعض»، وتسمى حروف التهجِّي</w:t>
      </w:r>
      <w:r>
        <w:rPr>
          <w:rFonts w:hint="eastAsia"/>
          <w:rtl/>
        </w:rPr>
        <w:t> </w:t>
      </w:r>
      <w:r>
        <w:rPr>
          <w:rFonts w:hint="cs"/>
          <w:rtl/>
        </w:rPr>
        <w:t xml:space="preserve">والتهجية أيضًا. </w:t>
      </w:r>
    </w:p>
    <w:p w:rsidR="00035BE3" w:rsidRPr="00742F33" w:rsidRDefault="00035BE3" w:rsidP="00C10469">
      <w:pPr>
        <w:pStyle w:val="a6"/>
        <w:spacing w:line="460" w:lineRule="exact"/>
        <w:ind w:left="422" w:firstLine="0"/>
        <w:rPr>
          <w:spacing w:val="-2"/>
          <w:rtl/>
        </w:rPr>
      </w:pPr>
      <w:r w:rsidRPr="00742F33">
        <w:rPr>
          <w:rFonts w:hint="cs"/>
          <w:spacing w:val="-2"/>
          <w:rtl/>
        </w:rPr>
        <w:t>المعجم الوسيط، مادة «هجا»، 2/975؛ وانظر : لسان العرب، مادة «هجا»،15/353؛ القاموس المحيط، مادة «هجا»، ص1733؛ محيط المحيط، مادة «هجا»، ص931؛ المعجم الوجيز، مادة «هجا»، ص645.</w:t>
      </w:r>
    </w:p>
  </w:footnote>
  <w:footnote w:id="408">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كذا في نسخة (أ) و (د)، وفي (ب) : «لإحضار ما في البال وإحضارها»، وفي (جـ) : «لإخطارها في البال وإحضارها». </w:t>
      </w:r>
    </w:p>
    <w:p w:rsidR="00035BE3" w:rsidRDefault="00035BE3" w:rsidP="00C10469">
      <w:pPr>
        <w:pStyle w:val="a6"/>
        <w:spacing w:line="440" w:lineRule="exact"/>
        <w:ind w:left="422" w:right="170" w:firstLine="0"/>
        <w:rPr>
          <w:rtl/>
        </w:rPr>
      </w:pPr>
      <w:r>
        <w:rPr>
          <w:rFonts w:hint="cs"/>
          <w:rtl/>
        </w:rPr>
        <w:t xml:space="preserve">ولعل التعبير الأخير أولى من سابقيه؛ لكونه أدقّ في المعنى، وبيان ذلك : </w:t>
      </w:r>
    </w:p>
    <w:p w:rsidR="00035BE3" w:rsidRDefault="00035BE3" w:rsidP="00C10469">
      <w:pPr>
        <w:pStyle w:val="a6"/>
        <w:spacing w:line="440" w:lineRule="exact"/>
        <w:ind w:left="422" w:firstLine="0"/>
        <w:rPr>
          <w:spacing w:val="6"/>
          <w:rtl/>
        </w:rPr>
      </w:pPr>
      <w:r w:rsidRPr="00B52501">
        <w:rPr>
          <w:rFonts w:hint="cs"/>
          <w:spacing w:val="2"/>
          <w:rtl/>
        </w:rPr>
        <w:t xml:space="preserve">أن القواعد إذا كانت مرتبة على حروف الهجاء واحتاج الإنسان إلى واحدة منها : فإن كان </w:t>
      </w:r>
      <w:r>
        <w:rPr>
          <w:spacing w:val="2"/>
          <w:rtl/>
        </w:rPr>
        <w:br/>
      </w:r>
      <w:r w:rsidRPr="00B52501">
        <w:rPr>
          <w:rFonts w:hint="cs"/>
          <w:spacing w:val="2"/>
          <w:rtl/>
        </w:rPr>
        <w:t xml:space="preserve">حافظًا لها على هذا الترتيب، فسوف تخطر القاعدة المرادة في باله بسهولة، وإن لم يكن حافظًا لها </w:t>
      </w:r>
      <w:r>
        <w:rPr>
          <w:spacing w:val="2"/>
          <w:rtl/>
        </w:rPr>
        <w:br/>
      </w:r>
      <w:r w:rsidRPr="00B52501">
        <w:rPr>
          <w:rFonts w:hint="cs"/>
          <w:spacing w:val="2"/>
          <w:rtl/>
        </w:rPr>
        <w:t xml:space="preserve">فسوف يمكنه الوصول إليها وإحضارها للسائل عنها بأدنى بحث، ومما يؤكد هذا أن جلّ من يريد </w:t>
      </w:r>
      <w:r>
        <w:rPr>
          <w:spacing w:val="2"/>
          <w:rtl/>
        </w:rPr>
        <w:br/>
      </w:r>
      <w:r w:rsidRPr="00B52501">
        <w:rPr>
          <w:rFonts w:hint="cs"/>
          <w:spacing w:val="2"/>
          <w:rtl/>
        </w:rPr>
        <w:t xml:space="preserve">تيسير وصول القارئ إلى مراده في كتاب من الكتب - عن طريق الفهرسة أو غيرها - يسلك هذا </w:t>
      </w:r>
      <w:r>
        <w:rPr>
          <w:spacing w:val="2"/>
          <w:rtl/>
        </w:rPr>
        <w:br/>
      </w:r>
      <w:r w:rsidRPr="00B52501">
        <w:rPr>
          <w:rFonts w:hint="cs"/>
          <w:spacing w:val="2"/>
          <w:rtl/>
        </w:rPr>
        <w:t>الترتيب</w:t>
      </w:r>
      <w:r>
        <w:rPr>
          <w:rFonts w:hint="cs"/>
          <w:spacing w:val="6"/>
          <w:rtl/>
        </w:rPr>
        <w:t xml:space="preserve"> الهجائي.</w:t>
      </w:r>
    </w:p>
  </w:footnote>
  <w:footnote w:id="409">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في (د) « الذي».</w:t>
      </w:r>
    </w:p>
  </w:footnote>
  <w:footnote w:id="410">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نهاية لوحة 1/أ من نسخة (ب).</w:t>
      </w:r>
    </w:p>
  </w:footnote>
  <w:footnote w:id="411">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نهاية لوحة 1/أ من نسخة (جـ).</w:t>
      </w:r>
    </w:p>
  </w:footnote>
  <w:footnote w:id="412">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في (د) : «الإطرار».</w:t>
      </w:r>
    </w:p>
  </w:footnote>
  <w:footnote w:id="413">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في (أ) و (جـ) و (د) : (يخرج). والصحيح ما تمَّ إثباته من (ب).</w:t>
      </w:r>
    </w:p>
  </w:footnote>
  <w:footnote w:id="414">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نهاية لوحة 1/أ من نسخة (أ).</w:t>
      </w:r>
    </w:p>
  </w:footnote>
  <w:footnote w:id="415">
    <w:p w:rsidR="00035BE3" w:rsidRDefault="00035BE3" w:rsidP="00C10469">
      <w:pPr>
        <w:pStyle w:val="a8"/>
        <w:bidi/>
        <w:spacing w:line="440" w:lineRule="exact"/>
        <w:ind w:left="422" w:right="0" w:hanging="423"/>
        <w:rPr>
          <w:rtl/>
        </w:rPr>
      </w:pPr>
      <w:r>
        <w:rPr>
          <w:rFonts w:hint="cs"/>
          <w:vertAlign w:val="superscript"/>
          <w:rtl/>
        </w:rPr>
        <w:t>(</w:t>
      </w:r>
      <w:r>
        <w:rPr>
          <w:rStyle w:val="a7"/>
        </w:rPr>
        <w:footnoteRef/>
      </w:r>
      <w:r>
        <w:rPr>
          <w:rFonts w:hint="cs"/>
          <w:vertAlign w:val="superscript"/>
          <w:rtl/>
        </w:rPr>
        <w:t>)</w:t>
      </w:r>
      <w:r>
        <w:rPr>
          <w:rFonts w:hint="cs"/>
          <w:rtl/>
        </w:rPr>
        <w:t xml:space="preserve">   إنَّ من يستقرئ جلّ مباحث هذا الكتاب يجد أنها تكاد تكون لتقرير قضية تفهم من هذه العبارة - وقد سبق أن صرّح بها المؤلف آنفًا - وهي : أن القواعد تصلح أن تكون أدلة للأحكام. </w:t>
      </w:r>
    </w:p>
    <w:p w:rsidR="00035BE3" w:rsidRDefault="00035BE3" w:rsidP="00C10469">
      <w:pPr>
        <w:pStyle w:val="a6"/>
        <w:spacing w:line="440" w:lineRule="exact"/>
        <w:ind w:left="422" w:firstLine="0"/>
        <w:rPr>
          <w:rtl/>
        </w:rPr>
      </w:pPr>
      <w:r>
        <w:rPr>
          <w:rFonts w:hint="cs"/>
          <w:rtl/>
        </w:rPr>
        <w:t xml:space="preserve">ولإثبات هذه القضية : يجب أن تكون القواعد كلِّـيَّـةً ، (أي: أن انطباقها على جزئياتها مطّردًا). </w:t>
      </w:r>
    </w:p>
    <w:p w:rsidR="00035BE3" w:rsidRPr="00B52501" w:rsidRDefault="00035BE3" w:rsidP="00C10469">
      <w:pPr>
        <w:pStyle w:val="a6"/>
        <w:spacing w:line="440" w:lineRule="exact"/>
        <w:ind w:left="422" w:firstLine="0"/>
        <w:rPr>
          <w:spacing w:val="2"/>
          <w:rtl/>
        </w:rPr>
      </w:pPr>
      <w:r w:rsidRPr="00B52501">
        <w:rPr>
          <w:rFonts w:hint="cs"/>
          <w:spacing w:val="2"/>
          <w:rtl/>
        </w:rPr>
        <w:t xml:space="preserve">وكون بعض الأحكام متخلّفة عنها لا يعدّ نقضًا لكليّتها، ولا يخرجها عن كونها أدلّة؛ لأنها في الواقع غير داخلة تحت تلك القواعد أصلاً. </w:t>
      </w:r>
    </w:p>
    <w:p w:rsidR="00035BE3" w:rsidRPr="004177D1" w:rsidRDefault="00035BE3" w:rsidP="00C10469">
      <w:pPr>
        <w:pStyle w:val="a6"/>
        <w:spacing w:line="440" w:lineRule="exact"/>
        <w:ind w:left="422" w:firstLine="0"/>
        <w:rPr>
          <w:spacing w:val="2"/>
          <w:rtl/>
        </w:rPr>
      </w:pPr>
      <w:r w:rsidRPr="004177D1">
        <w:rPr>
          <w:rFonts w:hint="cs"/>
          <w:spacing w:val="2"/>
          <w:rtl/>
        </w:rPr>
        <w:t xml:space="preserve">ولإثبات ذلك فإن المؤلف - رحمه الله - جعل بيان علّة تخلّف تلك الأحكام عن القواعد منهجًا له صرَّح به هنا -في المقدمة- وطبّقه عمليًا في أثناء الكتاب. </w:t>
      </w:r>
    </w:p>
    <w:p w:rsidR="00035BE3" w:rsidRDefault="00035BE3" w:rsidP="00C10469">
      <w:pPr>
        <w:pStyle w:val="a6"/>
        <w:ind w:left="422" w:firstLine="0"/>
        <w:rPr>
          <w:rtl/>
        </w:rPr>
      </w:pPr>
      <w:r w:rsidRPr="004177D1">
        <w:rPr>
          <w:rFonts w:hint="cs"/>
          <w:spacing w:val="2"/>
          <w:rtl/>
        </w:rPr>
        <w:t xml:space="preserve">وبقيام المؤلف بهذه الدراسة يكون قد أبطل مسوِّغًا يُعّد من أهم المسوغات لمن رفض الاحتجاج </w:t>
      </w:r>
      <w:r>
        <w:rPr>
          <w:spacing w:val="2"/>
          <w:rtl/>
        </w:rPr>
        <w:br/>
      </w:r>
      <w:r w:rsidRPr="004177D1">
        <w:rPr>
          <w:rFonts w:hint="cs"/>
          <w:spacing w:val="2"/>
          <w:rtl/>
        </w:rPr>
        <w:t>بالقواعد</w:t>
      </w:r>
      <w:r>
        <w:rPr>
          <w:rFonts w:hint="cs"/>
          <w:rtl/>
        </w:rPr>
        <w:t xml:space="preserve"> الفقهية.</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Pr="00BB1F1F" w:rsidRDefault="00035BE3" w:rsidP="00C10469">
      <w:pPr>
        <w:pStyle w:val="a6"/>
        <w:spacing w:line="264" w:lineRule="auto"/>
        <w:ind w:left="422" w:firstLine="0"/>
        <w:rPr>
          <w:rtl/>
        </w:rPr>
      </w:pPr>
      <w:r w:rsidRPr="00BB1F1F">
        <w:rPr>
          <w:rFonts w:hint="cs"/>
          <w:spacing w:val="2"/>
          <w:rtl/>
        </w:rPr>
        <w:t xml:space="preserve">وموضوع (حجية القواعد الفقهية) من الموضوعات التي تحدث عنها عدد من العلماء، ولعلّ من آخرهم: شيخنا د. يعقوب الباحسين في كتابه (القواعد الفقهية)، ص265-282، حيث ذكر خلاصة </w:t>
      </w:r>
      <w:r>
        <w:rPr>
          <w:spacing w:val="2"/>
          <w:rtl/>
        </w:rPr>
        <w:br/>
      </w:r>
      <w:r w:rsidRPr="00BB1F1F">
        <w:rPr>
          <w:rFonts w:hint="cs"/>
          <w:spacing w:val="2"/>
          <w:rtl/>
        </w:rPr>
        <w:t xml:space="preserve">ما قيل في حجية </w:t>
      </w:r>
      <w:r w:rsidRPr="00BB1F1F">
        <w:rPr>
          <w:rFonts w:hint="cs"/>
          <w:rtl/>
        </w:rPr>
        <w:t>القاعدة الفقهية، وأبدى وجهات نظره في هذا الموضوع، فأجاد وأفاد، فليراجع.</w:t>
      </w:r>
    </w:p>
  </w:footnote>
  <w:footnote w:id="416">
    <w:p w:rsidR="00035BE3" w:rsidRPr="00BB1F1F" w:rsidRDefault="00035BE3" w:rsidP="00C10469">
      <w:pPr>
        <w:pStyle w:val="a8"/>
        <w:bidi/>
        <w:spacing w:line="264" w:lineRule="auto"/>
        <w:ind w:left="422" w:right="0" w:hanging="423"/>
        <w:rPr>
          <w:rtl/>
        </w:rPr>
      </w:pPr>
      <w:r w:rsidRPr="00BB1F1F">
        <w:rPr>
          <w:rFonts w:hint="cs"/>
          <w:vertAlign w:val="superscript"/>
          <w:rtl/>
        </w:rPr>
        <w:t>(</w:t>
      </w:r>
      <w:r w:rsidRPr="00BB1F1F">
        <w:rPr>
          <w:rStyle w:val="a7"/>
        </w:rPr>
        <w:footnoteRef/>
      </w:r>
      <w:r w:rsidRPr="00BB1F1F">
        <w:rPr>
          <w:vertAlign w:val="superscript"/>
        </w:rPr>
        <w:t></w:t>
      </w:r>
      <w:r w:rsidRPr="00BB1F1F">
        <w:rPr>
          <w:rFonts w:hint="cs"/>
          <w:vertAlign w:val="superscript"/>
          <w:rtl/>
        </w:rPr>
        <w:t>)</w:t>
      </w:r>
      <w:r w:rsidRPr="00BB1F1F">
        <w:rPr>
          <w:rFonts w:hint="cs"/>
          <w:rtl/>
        </w:rPr>
        <w:t xml:space="preserve">   </w:t>
      </w:r>
      <w:r w:rsidRPr="00BB1F1F">
        <w:rPr>
          <w:rFonts w:hint="cs"/>
          <w:b/>
          <w:bCs/>
          <w:rtl/>
        </w:rPr>
        <w:t xml:space="preserve">المُقلّ </w:t>
      </w:r>
      <w:r w:rsidRPr="00BB1F1F">
        <w:rPr>
          <w:rFonts w:hint="cs"/>
          <w:rtl/>
        </w:rPr>
        <w:t xml:space="preserve">: اسم فاعل من أقلّ بمعنى افتقر، يقال : أقلَّ فلان أي افتقر فهو مقل. </w:t>
      </w:r>
    </w:p>
    <w:p w:rsidR="00035BE3" w:rsidRPr="00BB1F1F" w:rsidRDefault="00035BE3" w:rsidP="00C10469">
      <w:pPr>
        <w:pStyle w:val="a6"/>
        <w:ind w:left="422" w:firstLine="0"/>
        <w:rPr>
          <w:rtl/>
        </w:rPr>
      </w:pPr>
      <w:r w:rsidRPr="00BB1F1F">
        <w:rPr>
          <w:rFonts w:hint="cs"/>
          <w:rtl/>
        </w:rPr>
        <w:t>وبناء على هذا يمكن أن يكون المعنى - هنا - : إنَّ من وفقه الله لل</w:t>
      </w:r>
      <w:r>
        <w:rPr>
          <w:rFonts w:hint="cs"/>
          <w:rtl/>
        </w:rPr>
        <w:t xml:space="preserve">وقوف على دقائق هذه القواعد </w:t>
      </w:r>
      <w:r w:rsidRPr="00590586">
        <w:rPr>
          <w:rFonts w:hint="cs"/>
          <w:spacing w:val="-2"/>
          <w:rtl/>
        </w:rPr>
        <w:t>فسوف</w:t>
      </w:r>
      <w:r w:rsidRPr="00590586">
        <w:rPr>
          <w:rFonts w:hint="eastAsia"/>
          <w:spacing w:val="-2"/>
          <w:rtl/>
        </w:rPr>
        <w:t> </w:t>
      </w:r>
      <w:r w:rsidRPr="00590586">
        <w:rPr>
          <w:rFonts w:hint="cs"/>
          <w:spacing w:val="-2"/>
          <w:rtl/>
        </w:rPr>
        <w:t>يصل إلى أنه يحلّ له الرجوع إليها وبناءُ الأحكام عليها. وإن لم يصل إلى هذه القناعة فإن هذا جهدي</w:t>
      </w:r>
      <w:r w:rsidRPr="00590586">
        <w:rPr>
          <w:rFonts w:hint="eastAsia"/>
          <w:spacing w:val="-2"/>
          <w:rtl/>
        </w:rPr>
        <w:t> </w:t>
      </w:r>
      <w:r w:rsidRPr="00590586">
        <w:rPr>
          <w:rFonts w:hint="cs"/>
          <w:spacing w:val="-2"/>
          <w:rtl/>
        </w:rPr>
        <w:t>في الكتاب، وسأكون بعد ذلك مفتقرًا ومحتاجًا إلى الحزن؛ لأنِّي لم أصل إلى إقناع القارئ بما أريد.</w:t>
      </w:r>
    </w:p>
    <w:p w:rsidR="00035BE3" w:rsidRPr="00BB1F1F" w:rsidRDefault="00035BE3" w:rsidP="00C10469">
      <w:pPr>
        <w:pStyle w:val="a6"/>
        <w:ind w:left="422" w:right="170" w:firstLine="0"/>
        <w:rPr>
          <w:rtl/>
        </w:rPr>
      </w:pPr>
      <w:r w:rsidRPr="00BB1F1F">
        <w:rPr>
          <w:rFonts w:hint="cs"/>
          <w:rtl/>
        </w:rPr>
        <w:t xml:space="preserve">هذا إذا كان المراد بالمقِلّ هو المتكلم (وهو المؤلف). </w:t>
      </w:r>
    </w:p>
    <w:p w:rsidR="00035BE3" w:rsidRPr="00BB1F1F" w:rsidRDefault="00035BE3" w:rsidP="00C10469">
      <w:pPr>
        <w:pStyle w:val="a6"/>
        <w:ind w:left="422" w:firstLine="0"/>
        <w:rPr>
          <w:rtl/>
        </w:rPr>
      </w:pPr>
      <w:r w:rsidRPr="00BB1F1F">
        <w:rPr>
          <w:rFonts w:hint="cs"/>
          <w:rtl/>
        </w:rPr>
        <w:t>أما إذا أريد به المخاطَب فيكون المعنى : إن القارئ إذا لم يُوفّق في ا</w:t>
      </w:r>
      <w:r>
        <w:rPr>
          <w:rFonts w:hint="cs"/>
          <w:rtl/>
        </w:rPr>
        <w:t>لوقوف على دقائق هذه القواعد فإن</w:t>
      </w:r>
      <w:r>
        <w:rPr>
          <w:rFonts w:hint="eastAsia"/>
          <w:rtl/>
        </w:rPr>
        <w:t> </w:t>
      </w:r>
      <w:r w:rsidRPr="00BB1F1F">
        <w:rPr>
          <w:rFonts w:hint="cs"/>
          <w:rtl/>
        </w:rPr>
        <w:t>غاية جهده هو البكاء؛ لأن هذا شأن المقِلّ الذي لا يستطيع أن يعمل شيئًا.</w:t>
      </w:r>
    </w:p>
    <w:p w:rsidR="00035BE3" w:rsidRPr="00BB1F1F" w:rsidRDefault="00035BE3" w:rsidP="00C10469">
      <w:pPr>
        <w:pStyle w:val="a6"/>
        <w:ind w:left="422" w:firstLine="0"/>
        <w:rPr>
          <w:rtl/>
        </w:rPr>
      </w:pPr>
      <w:r w:rsidRPr="00BB1F1F">
        <w:rPr>
          <w:rFonts w:hint="cs"/>
          <w:rtl/>
        </w:rPr>
        <w:t xml:space="preserve">وقوله : «فإن جهد المقلّ دموعه» ورد في (العناية)، 8/22، وقد دلّ السياق في </w:t>
      </w:r>
      <w:r w:rsidRPr="00BB1F1F">
        <w:rPr>
          <w:rFonts w:hint="cs"/>
          <w:rtl/>
          <w:lang w:bidi="ar-AE"/>
        </w:rPr>
        <w:t>(</w:t>
      </w:r>
      <w:r w:rsidRPr="00BB1F1F">
        <w:rPr>
          <w:rFonts w:hint="cs"/>
          <w:rtl/>
        </w:rPr>
        <w:t>العناية</w:t>
      </w:r>
      <w:r w:rsidRPr="00BB1F1F">
        <w:rPr>
          <w:rFonts w:hint="cs"/>
          <w:rtl/>
          <w:lang w:bidi="ar-AE"/>
        </w:rPr>
        <w:t>)</w:t>
      </w:r>
      <w:r w:rsidRPr="00BB1F1F">
        <w:rPr>
          <w:rFonts w:hint="cs"/>
          <w:rtl/>
        </w:rPr>
        <w:t xml:space="preserve"> على أن </w:t>
      </w:r>
      <w:r>
        <w:rPr>
          <w:rtl/>
        </w:rPr>
        <w:br/>
      </w:r>
      <w:r w:rsidRPr="00BB1F1F">
        <w:rPr>
          <w:rFonts w:hint="cs"/>
          <w:rtl/>
        </w:rPr>
        <w:t>المراد هو المعنى الثاني -واللّه أعلم-.</w:t>
      </w:r>
    </w:p>
    <w:p w:rsidR="00035BE3" w:rsidRDefault="00035BE3" w:rsidP="00C10469">
      <w:pPr>
        <w:pStyle w:val="a6"/>
        <w:spacing w:line="228" w:lineRule="auto"/>
        <w:ind w:left="422" w:firstLine="0"/>
        <w:rPr>
          <w:rtl/>
        </w:rPr>
      </w:pPr>
      <w:r>
        <w:rPr>
          <w:rFonts w:hint="cs"/>
          <w:rtl/>
        </w:rPr>
        <w:t>وانظر معنى المقلّ في : لسان العرب، مادة «قلل»، 11/564؛ القاموس المحيط، مادة «قلل»، ص1356؛ محيط المحيط، مادة «قلَّ»، ص754.</w:t>
      </w:r>
    </w:p>
  </w:footnote>
  <w:footnote w:id="417">
    <w:p w:rsidR="00035BE3" w:rsidRDefault="00035BE3" w:rsidP="00C10469">
      <w:pPr>
        <w:pStyle w:val="a8"/>
        <w:bidi/>
        <w:spacing w:line="264" w:lineRule="auto"/>
        <w:ind w:left="422" w:right="0" w:hanging="423"/>
        <w:rPr>
          <w:rtl/>
        </w:rPr>
      </w:pPr>
      <w:r w:rsidRPr="00C163AB">
        <w:rPr>
          <w:rFonts w:hint="cs"/>
          <w:vertAlign w:val="superscript"/>
          <w:rtl/>
        </w:rPr>
        <w:t>(</w:t>
      </w:r>
      <w:r w:rsidRPr="00C163AB">
        <w:rPr>
          <w:rStyle w:val="a7"/>
        </w:rPr>
        <w:footnoteRef/>
      </w:r>
      <w:r w:rsidRPr="00C163AB">
        <w:rPr>
          <w:vertAlign w:val="superscript"/>
        </w:rPr>
        <w:t></w:t>
      </w:r>
      <w:r w:rsidRPr="00C163AB">
        <w:rPr>
          <w:rFonts w:hint="cs"/>
          <w:vertAlign w:val="superscript"/>
          <w:rtl/>
        </w:rPr>
        <w:t>)</w:t>
      </w:r>
      <w:r>
        <w:rPr>
          <w:rFonts w:hint="cs"/>
          <w:rtl/>
        </w:rPr>
        <w:t xml:space="preserve">   </w:t>
      </w:r>
      <w:r>
        <w:rPr>
          <w:rFonts w:hint="cs"/>
          <w:b/>
          <w:bCs/>
          <w:rtl/>
        </w:rPr>
        <w:t>اللآلي</w:t>
      </w:r>
      <w:r>
        <w:rPr>
          <w:rFonts w:hint="cs"/>
          <w:rtl/>
        </w:rPr>
        <w:t xml:space="preserve"> : أصلها : اللآلئ، فسهِّلت همزتها ياءً؛ ليحصل السجع بينها وبين الأمالي. واللآلئ : جمع لؤلؤة، وهي الدُّرَّة التي تتكون في الأصداف من رواسبَ أو جوامدَ صلبةٍ لمَّاعةٍ مستديرة.</w:t>
      </w:r>
    </w:p>
    <w:p w:rsidR="00035BE3" w:rsidRDefault="00035BE3" w:rsidP="00C10469">
      <w:pPr>
        <w:pStyle w:val="a6"/>
        <w:spacing w:line="264" w:lineRule="auto"/>
        <w:ind w:left="422" w:firstLine="0"/>
        <w:rPr>
          <w:rtl/>
        </w:rPr>
      </w:pPr>
      <w:r>
        <w:rPr>
          <w:rFonts w:hint="cs"/>
          <w:rtl/>
        </w:rPr>
        <w:t>انظر : مختار الصحاح، مادة «لألأ»، ص517؛ لسان العرب، مادة «لألأ»، 1/150؛ القاموس المحيط،</w:t>
      </w:r>
      <w:r>
        <w:rPr>
          <w:rFonts w:hint="eastAsia"/>
          <w:rtl/>
        </w:rPr>
        <w:t> </w:t>
      </w:r>
      <w:r>
        <w:rPr>
          <w:rFonts w:hint="cs"/>
          <w:rtl/>
        </w:rPr>
        <w:t>مادة «لألأ»، ص65؛ مـحيـط الـمحيط، مـادة «لألأ»، ص804؛ المعجم الوجيز، مادة «لألأ»،</w:t>
      </w:r>
      <w:r>
        <w:rPr>
          <w:rFonts w:hint="eastAsia"/>
          <w:rtl/>
        </w:rPr>
        <w:t> </w:t>
      </w:r>
      <w:r>
        <w:rPr>
          <w:rFonts w:hint="cs"/>
          <w:rtl/>
        </w:rPr>
        <w:t>ص548.</w:t>
      </w:r>
    </w:p>
  </w:footnote>
  <w:footnote w:id="418">
    <w:p w:rsidR="00035BE3" w:rsidRDefault="00035BE3" w:rsidP="00C10469">
      <w:pPr>
        <w:pStyle w:val="a8"/>
        <w:bidi/>
        <w:spacing w:line="264" w:lineRule="auto"/>
        <w:ind w:left="422" w:right="0" w:hanging="423"/>
        <w:rPr>
          <w:rtl/>
        </w:rPr>
      </w:pPr>
      <w:r w:rsidRPr="00746AED">
        <w:rPr>
          <w:rFonts w:hint="cs"/>
          <w:vertAlign w:val="superscript"/>
          <w:rtl/>
        </w:rPr>
        <w:t>(</w:t>
      </w:r>
      <w:r w:rsidRPr="00746AED">
        <w:rPr>
          <w:rStyle w:val="a7"/>
        </w:rPr>
        <w:footnoteRef/>
      </w:r>
      <w:r w:rsidRPr="00746AED">
        <w:rPr>
          <w:vertAlign w:val="superscript"/>
        </w:rPr>
        <w:t></w:t>
      </w:r>
      <w:r w:rsidRPr="00746AED">
        <w:rPr>
          <w:rFonts w:hint="cs"/>
          <w:vertAlign w:val="superscript"/>
          <w:rtl/>
        </w:rPr>
        <w:t>)</w:t>
      </w:r>
      <w:r>
        <w:rPr>
          <w:rFonts w:hint="cs"/>
          <w:rtl/>
        </w:rPr>
        <w:t xml:space="preserve"> </w:t>
      </w:r>
      <w:r>
        <w:rPr>
          <w:rFonts w:hint="cs"/>
          <w:b/>
          <w:bCs/>
          <w:rtl/>
        </w:rPr>
        <w:t xml:space="preserve">سِلْك </w:t>
      </w:r>
      <w:r>
        <w:rPr>
          <w:rFonts w:hint="cs"/>
          <w:rtl/>
        </w:rPr>
        <w:t>: جمع (سِلْكَة) وجمع الجمع : أسْلاك وسُلوك، وهي : الخيط الذي يُخاط به الثوب، وقد يستعمل</w:t>
      </w:r>
      <w:r>
        <w:rPr>
          <w:rFonts w:hint="eastAsia"/>
          <w:rtl/>
        </w:rPr>
        <w:t> </w:t>
      </w:r>
      <w:r>
        <w:rPr>
          <w:rFonts w:hint="cs"/>
          <w:rtl/>
        </w:rPr>
        <w:t>السّلك لما يُنْظم فيه الدرُّ. وهذا الأقرب للمراد هنا.</w:t>
      </w:r>
    </w:p>
    <w:p w:rsidR="00035BE3" w:rsidRDefault="00035BE3" w:rsidP="00C10469">
      <w:pPr>
        <w:pStyle w:val="a6"/>
        <w:spacing w:line="264" w:lineRule="auto"/>
        <w:ind w:left="422" w:firstLine="0"/>
        <w:rPr>
          <w:rtl/>
        </w:rPr>
      </w:pPr>
      <w:r>
        <w:rPr>
          <w:rFonts w:hint="cs"/>
          <w:rtl/>
        </w:rPr>
        <w:t>انظر : المقاييس في اللغة، مادة «سلك»، ص.49؛ لسان العرب، مادة «سلك»، 10/443؛ القاموس المحيط، مادة «سلك»، ص1218؛ محيط المحيط، مادة «سلك»، ص422-423؛ المعجم الوجيز، مادة</w:t>
      </w:r>
      <w:r>
        <w:rPr>
          <w:rFonts w:hint="eastAsia"/>
          <w:rtl/>
        </w:rPr>
        <w:t> </w:t>
      </w:r>
      <w:r>
        <w:rPr>
          <w:rFonts w:hint="cs"/>
          <w:rtl/>
        </w:rPr>
        <w:t>«سلك»، ص318.</w:t>
      </w:r>
    </w:p>
  </w:footnote>
  <w:footnote w:id="419">
    <w:p w:rsidR="00035BE3" w:rsidRDefault="00035BE3" w:rsidP="00C10469">
      <w:pPr>
        <w:pStyle w:val="a8"/>
        <w:bidi/>
        <w:ind w:left="422" w:right="0" w:hanging="423"/>
        <w:rPr>
          <w:rtl/>
        </w:rPr>
      </w:pPr>
      <w:r w:rsidRPr="003D3FE6">
        <w:rPr>
          <w:rFonts w:hint="cs"/>
          <w:vertAlign w:val="superscript"/>
          <w:rtl/>
        </w:rPr>
        <w:t>(</w:t>
      </w:r>
      <w:r w:rsidRPr="003D3FE6">
        <w:rPr>
          <w:rStyle w:val="a7"/>
        </w:rPr>
        <w:footnoteRef/>
      </w:r>
      <w:r w:rsidRPr="003D3FE6">
        <w:rPr>
          <w:vertAlign w:val="superscript"/>
        </w:rPr>
        <w:t></w:t>
      </w:r>
      <w:r w:rsidRPr="003D3FE6">
        <w:rPr>
          <w:rFonts w:hint="cs"/>
          <w:vertAlign w:val="superscript"/>
          <w:rtl/>
        </w:rPr>
        <w:t>)</w:t>
      </w:r>
      <w:r>
        <w:rPr>
          <w:rFonts w:hint="cs"/>
          <w:rtl/>
        </w:rPr>
        <w:t xml:space="preserve">  </w:t>
      </w:r>
      <w:r>
        <w:rPr>
          <w:rFonts w:hint="cs"/>
          <w:b/>
          <w:bCs/>
          <w:rtl/>
        </w:rPr>
        <w:t>الأمالي</w:t>
      </w:r>
      <w:r>
        <w:rPr>
          <w:rFonts w:hint="cs"/>
          <w:rtl/>
        </w:rPr>
        <w:t xml:space="preserve"> : جمع (الإملاءِ)، والإملاءُ : مصدر «أملى». ومعنى الأمالي : «الأقوال والملخَّصَات، وما يُملَى، وكأنه جمعُ (أمليّة)، كالأحجيّة والأحاجي»- قال ذلك صاحب محيط المحيط-.</w:t>
      </w:r>
    </w:p>
    <w:p w:rsidR="00035BE3" w:rsidRDefault="00035BE3" w:rsidP="00C10469">
      <w:pPr>
        <w:pStyle w:val="a6"/>
        <w:ind w:left="422" w:firstLine="0"/>
        <w:rPr>
          <w:spacing w:val="4"/>
          <w:rtl/>
        </w:rPr>
      </w:pPr>
      <w:r>
        <w:rPr>
          <w:rFonts w:hint="cs"/>
          <w:spacing w:val="4"/>
          <w:rtl/>
        </w:rPr>
        <w:t>محيط المحيط، مادة «ملا»، ص864؛ وانظر : المقاييس في اللغة، مادة «ملو»، ص996؛ لسان العرب، مادة «ملا»، 15/291؛ القاموس المحيط، مادة «ملا»، ص1721؛ المعجم الوجيز، مادة «ملّ»،</w:t>
      </w:r>
      <w:r>
        <w:rPr>
          <w:rFonts w:hint="eastAsia"/>
          <w:spacing w:val="4"/>
          <w:rtl/>
        </w:rPr>
        <w:t> </w:t>
      </w:r>
      <w:r>
        <w:rPr>
          <w:rFonts w:hint="cs"/>
          <w:spacing w:val="4"/>
          <w:rtl/>
        </w:rPr>
        <w:t>ص591.</w:t>
      </w:r>
    </w:p>
  </w:footnote>
  <w:footnote w:id="420">
    <w:p w:rsidR="00035BE3" w:rsidRDefault="00035BE3" w:rsidP="00C10469">
      <w:pPr>
        <w:pStyle w:val="a8"/>
        <w:bidi/>
        <w:ind w:left="422" w:right="0" w:hanging="423"/>
        <w:rPr>
          <w:rtl/>
        </w:rPr>
      </w:pPr>
      <w:r w:rsidRPr="003D3FE6">
        <w:rPr>
          <w:rFonts w:hint="cs"/>
          <w:vertAlign w:val="superscript"/>
          <w:rtl/>
        </w:rPr>
        <w:t>(</w:t>
      </w:r>
      <w:r w:rsidRPr="003D3FE6">
        <w:rPr>
          <w:rStyle w:val="a7"/>
        </w:rPr>
        <w:footnoteRef/>
      </w:r>
      <w:r w:rsidRPr="003D3FE6">
        <w:rPr>
          <w:vertAlign w:val="superscript"/>
        </w:rPr>
        <w:t></w:t>
      </w:r>
      <w:r w:rsidRPr="003D3FE6">
        <w:rPr>
          <w:rFonts w:hint="cs"/>
          <w:vertAlign w:val="superscript"/>
          <w:rtl/>
        </w:rPr>
        <w:t>)</w:t>
      </w:r>
      <w:r>
        <w:rPr>
          <w:rFonts w:hint="cs"/>
          <w:rtl/>
        </w:rPr>
        <w:t xml:space="preserve">  إنَّ من ينظر في اسم الكتاب نظرةً عابرة بلا تأمل قد لا يتبادر إليه مضمونه، ولكن لو دقّق النظر فيه لوجد أنه منطبق على مسماه، وبيان ذلك:</w:t>
      </w:r>
    </w:p>
    <w:p w:rsidR="00035BE3" w:rsidRDefault="00035BE3" w:rsidP="00C10469">
      <w:pPr>
        <w:pStyle w:val="a6"/>
        <w:ind w:left="422" w:firstLine="0"/>
        <w:rPr>
          <w:rtl/>
        </w:rPr>
      </w:pPr>
      <w:r>
        <w:rPr>
          <w:rFonts w:hint="cs"/>
          <w:rtl/>
        </w:rPr>
        <w:t>إنه شبَّه أقواله وملخصاته وأماليه بسلك المسبحة الذي يُنظمُ فيه اللؤلؤ، وشبه قواعده باللؤلؤ الذي ينظم في هذا السلك. وبقيامه بترتيب هذه القواعد على حروف الهجاء في هذا الكتاب: يكون كتابه كالمسبحة في يد التفكير.</w:t>
      </w:r>
    </w:p>
    <w:p w:rsidR="00035BE3" w:rsidRDefault="00035BE3" w:rsidP="00C10469">
      <w:pPr>
        <w:pStyle w:val="a6"/>
        <w:ind w:left="422" w:firstLine="0"/>
        <w:rPr>
          <w:rtl/>
        </w:rPr>
      </w:pPr>
      <w:r>
        <w:rPr>
          <w:rFonts w:hint="cs"/>
          <w:rtl/>
        </w:rPr>
        <w:t>والمعنى الأخير مستقى من بيتِ شعرٍ فارسي ذكره المؤلف في نهاية نسخة (أ) ومعناه:</w:t>
      </w:r>
    </w:p>
    <w:p w:rsidR="00035BE3" w:rsidRDefault="00035BE3" w:rsidP="00C10469">
      <w:pPr>
        <w:pStyle w:val="a6"/>
        <w:spacing w:line="480" w:lineRule="exact"/>
        <w:ind w:left="422" w:hanging="423"/>
        <w:jc w:val="center"/>
        <w:rPr>
          <w:b/>
          <w:bCs/>
          <w:rtl/>
        </w:rPr>
      </w:pPr>
      <w:r>
        <w:rPr>
          <w:rFonts w:hint="cs"/>
          <w:b/>
          <w:bCs/>
          <w:rtl/>
        </w:rPr>
        <w:t>هـكذا أصبـح ترتيب اللآلي مهنة لهذا العبد      رجـاء أن تـكون مسبحة في يد التفكير.</w:t>
      </w:r>
    </w:p>
  </w:footnote>
  <w:footnote w:id="421">
    <w:p w:rsidR="00035BE3" w:rsidRDefault="00035BE3" w:rsidP="00C10469">
      <w:pPr>
        <w:pStyle w:val="a8"/>
        <w:bidi/>
        <w:ind w:left="422" w:right="0" w:hanging="423"/>
        <w:rPr>
          <w:rtl/>
        </w:rPr>
      </w:pPr>
      <w:r w:rsidRPr="003D3FE6">
        <w:rPr>
          <w:rFonts w:hint="cs"/>
          <w:vertAlign w:val="superscript"/>
          <w:rtl/>
        </w:rPr>
        <w:t>(</w:t>
      </w:r>
      <w:r w:rsidRPr="003D3FE6">
        <w:rPr>
          <w:rStyle w:val="a7"/>
        </w:rPr>
        <w:footnoteRef/>
      </w:r>
      <w:r w:rsidRPr="003D3FE6">
        <w:rPr>
          <w:vertAlign w:val="superscript"/>
        </w:rPr>
        <w:t></w:t>
      </w:r>
      <w:r w:rsidRPr="003D3FE6">
        <w:rPr>
          <w:rFonts w:hint="cs"/>
          <w:vertAlign w:val="superscript"/>
          <w:rtl/>
        </w:rPr>
        <w:t>)</w:t>
      </w:r>
      <w:r>
        <w:rPr>
          <w:rFonts w:hint="cs"/>
          <w:rtl/>
        </w:rPr>
        <w:t xml:space="preserve">  </w:t>
      </w:r>
      <w:r>
        <w:rPr>
          <w:rFonts w:hint="cs"/>
          <w:b/>
          <w:bCs/>
          <w:rtl/>
        </w:rPr>
        <w:t>سنح</w:t>
      </w:r>
      <w:r>
        <w:rPr>
          <w:rFonts w:hint="cs"/>
          <w:rtl/>
        </w:rPr>
        <w:t xml:space="preserve"> : «السين والنون والحاء أصل واحد يُحمل على ظهور الشيء من مكان بعينه ... ثم استعير هذا فقيل: سنح لي رأيٌ في كذا، أي : عرض» -قاله ابن فارس-؛ وجاء في (المعجم الوجيز) : «سنح ... الخاطر بكذا: جاد وسمح».</w:t>
      </w:r>
    </w:p>
    <w:p w:rsidR="00035BE3" w:rsidRDefault="00035BE3" w:rsidP="00C10469">
      <w:pPr>
        <w:pStyle w:val="a6"/>
        <w:ind w:left="422" w:firstLine="0"/>
        <w:rPr>
          <w:rtl/>
        </w:rPr>
      </w:pPr>
      <w:r>
        <w:rPr>
          <w:rFonts w:hint="cs"/>
          <w:rtl/>
        </w:rPr>
        <w:t>المقاييس في اللغة، مادة «سنح»، ص493؛ المعجم الوجيز، مادة «سنح»، ص323؛ وانظر: لسان العرب، مادة «سنح»، 2/491-492؛ القاموس المحيط، مادة «سنح»، ص288؛ محيط المحيط، مادة «سنح»،</w:t>
      </w:r>
      <w:r>
        <w:rPr>
          <w:rFonts w:hint="eastAsia"/>
          <w:rtl/>
        </w:rPr>
        <w:t> </w:t>
      </w:r>
      <w:r>
        <w:rPr>
          <w:rFonts w:hint="cs"/>
          <w:rtl/>
        </w:rPr>
        <w:t>ص432.</w:t>
      </w:r>
    </w:p>
  </w:footnote>
  <w:footnote w:id="422">
    <w:p w:rsidR="00035BE3" w:rsidRDefault="00035BE3" w:rsidP="00C10469">
      <w:pPr>
        <w:pStyle w:val="a8"/>
        <w:bidi/>
        <w:ind w:left="422" w:hanging="423"/>
        <w:rPr>
          <w:rtl/>
        </w:rPr>
      </w:pPr>
      <w:r w:rsidRPr="003D3FE6">
        <w:rPr>
          <w:rFonts w:hint="cs"/>
          <w:vertAlign w:val="superscript"/>
          <w:rtl/>
        </w:rPr>
        <w:t>(</w:t>
      </w:r>
      <w:r w:rsidRPr="003D3FE6">
        <w:rPr>
          <w:rStyle w:val="a7"/>
        </w:rPr>
        <w:footnoteRef/>
      </w:r>
      <w:r w:rsidRPr="003D3FE6">
        <w:rPr>
          <w:vertAlign w:val="superscript"/>
        </w:rPr>
        <w:t></w:t>
      </w:r>
      <w:r w:rsidRPr="003D3FE6">
        <w:rPr>
          <w:rFonts w:hint="cs"/>
          <w:vertAlign w:val="superscript"/>
          <w:rtl/>
        </w:rPr>
        <w:t>)</w:t>
      </w:r>
      <w:r>
        <w:rPr>
          <w:rFonts w:hint="cs"/>
          <w:rtl/>
        </w:rPr>
        <w:t xml:space="preserve">   «من»: زيادة من (ب) و (جـ) و(د). ولا يستقيم المعنى بدونها. </w:t>
      </w:r>
    </w:p>
  </w:footnote>
  <w:footnote w:id="423">
    <w:p w:rsidR="00035BE3" w:rsidRDefault="00035BE3" w:rsidP="00C10469">
      <w:pPr>
        <w:pStyle w:val="a8"/>
        <w:bidi/>
        <w:ind w:left="422" w:hanging="423"/>
        <w:rPr>
          <w:rtl/>
        </w:rPr>
      </w:pPr>
      <w:r w:rsidRPr="003D3FE6">
        <w:rPr>
          <w:rFonts w:hint="cs"/>
          <w:vertAlign w:val="superscript"/>
          <w:rtl/>
        </w:rPr>
        <w:t>(</w:t>
      </w:r>
      <w:r w:rsidRPr="003D3FE6">
        <w:rPr>
          <w:rStyle w:val="a7"/>
        </w:rPr>
        <w:footnoteRef/>
      </w:r>
      <w:r w:rsidRPr="003D3FE6">
        <w:rPr>
          <w:vertAlign w:val="superscript"/>
        </w:rPr>
        <w:t></w:t>
      </w:r>
      <w:r w:rsidRPr="003D3FE6">
        <w:rPr>
          <w:rFonts w:hint="cs"/>
          <w:vertAlign w:val="superscript"/>
          <w:rtl/>
        </w:rPr>
        <w:t>)</w:t>
      </w:r>
      <w:r>
        <w:rPr>
          <w:rFonts w:hint="cs"/>
          <w:rtl/>
        </w:rPr>
        <w:t xml:space="preserve">   جاء في هامش (أ): «أي : كثير».</w:t>
      </w:r>
    </w:p>
  </w:footnote>
  <w:footnote w:id="424">
    <w:p w:rsidR="00035BE3" w:rsidRDefault="00035BE3" w:rsidP="00C10469">
      <w:pPr>
        <w:pStyle w:val="a8"/>
        <w:bidi/>
        <w:ind w:left="422" w:hanging="423"/>
        <w:rPr>
          <w:rtl/>
        </w:rPr>
      </w:pPr>
      <w:r w:rsidRPr="003D3FE6">
        <w:rPr>
          <w:rFonts w:hint="cs"/>
          <w:vertAlign w:val="superscript"/>
          <w:rtl/>
        </w:rPr>
        <w:t>(</w:t>
      </w:r>
      <w:r w:rsidRPr="003D3FE6">
        <w:rPr>
          <w:rStyle w:val="a7"/>
        </w:rPr>
        <w:footnoteRef/>
      </w:r>
      <w:r w:rsidRPr="003D3FE6">
        <w:rPr>
          <w:vertAlign w:val="superscript"/>
        </w:rPr>
        <w:t></w:t>
      </w:r>
      <w:r w:rsidRPr="003D3FE6">
        <w:rPr>
          <w:rFonts w:hint="cs"/>
          <w:vertAlign w:val="superscript"/>
          <w:rtl/>
        </w:rPr>
        <w:t>)</w:t>
      </w:r>
      <w:r>
        <w:rPr>
          <w:rFonts w:hint="cs"/>
          <w:rtl/>
        </w:rPr>
        <w:t xml:space="preserve">   أي : عرض لي في خاطري أن أعرضه إلى ...</w:t>
      </w:r>
    </w:p>
  </w:footnote>
  <w:footnote w:id="425">
    <w:p w:rsidR="00035BE3" w:rsidRDefault="00035BE3" w:rsidP="00C10469">
      <w:pPr>
        <w:pStyle w:val="a8"/>
        <w:bidi/>
        <w:spacing w:line="228" w:lineRule="auto"/>
        <w:ind w:left="422" w:right="0" w:hanging="423"/>
        <w:rPr>
          <w:rtl/>
        </w:rPr>
      </w:pPr>
      <w:r w:rsidRPr="008E7CB2">
        <w:rPr>
          <w:rFonts w:hint="cs"/>
          <w:vertAlign w:val="superscript"/>
          <w:rtl/>
        </w:rPr>
        <w:t>(</w:t>
      </w:r>
      <w:r w:rsidRPr="008E7CB2">
        <w:rPr>
          <w:rStyle w:val="a7"/>
        </w:rPr>
        <w:footnoteRef/>
      </w:r>
      <w:r w:rsidRPr="008E7CB2">
        <w:rPr>
          <w:vertAlign w:val="superscript"/>
        </w:rPr>
        <w:t></w:t>
      </w:r>
      <w:r w:rsidRPr="008E7CB2">
        <w:rPr>
          <w:rFonts w:hint="cs"/>
          <w:vertAlign w:val="superscript"/>
          <w:rtl/>
        </w:rPr>
        <w:t>)</w:t>
      </w:r>
      <w:r>
        <w:rPr>
          <w:rFonts w:hint="cs"/>
          <w:rtl/>
        </w:rPr>
        <w:t xml:space="preserve">  جاء في هامش (أ) : «سدّة بمعنى باب».</w:t>
      </w:r>
    </w:p>
    <w:p w:rsidR="00035BE3" w:rsidRDefault="00035BE3" w:rsidP="00C10469">
      <w:pPr>
        <w:pStyle w:val="a6"/>
        <w:spacing w:line="228" w:lineRule="auto"/>
        <w:ind w:left="422" w:firstLine="0"/>
        <w:rPr>
          <w:rtl/>
        </w:rPr>
      </w:pPr>
      <w:r>
        <w:rPr>
          <w:rFonts w:hint="cs"/>
          <w:rtl/>
        </w:rPr>
        <w:t>وعلى هذا نصت كثير من كتب اللغة، كما مثّل ابن الأثير بعددٍ من النصوص التي تناسب المقام وتزيده</w:t>
      </w:r>
      <w:r>
        <w:rPr>
          <w:rFonts w:hint="eastAsia"/>
          <w:rtl/>
        </w:rPr>
        <w:t> </w:t>
      </w:r>
      <w:r>
        <w:rPr>
          <w:rFonts w:hint="cs"/>
          <w:rtl/>
        </w:rPr>
        <w:t>وضوحًا، فممَّا قال: «وفيه: «أنَّه قيل له : هذا عليٌّ وفاطمة قائمين بالسُّدَّة، فأذنْ لهما» السُّدّة: كالضُّلّة على الباب؛ لتقي الباب من المطر. وقيل: هي الباب نفسه. وقيل: هي السّاحة بين يديه ...».</w:t>
      </w:r>
    </w:p>
    <w:p w:rsidR="00035BE3" w:rsidRDefault="00035BE3" w:rsidP="00C10469">
      <w:pPr>
        <w:pStyle w:val="a6"/>
        <w:spacing w:line="228" w:lineRule="auto"/>
        <w:ind w:left="422" w:firstLine="0"/>
        <w:rPr>
          <w:rtl/>
        </w:rPr>
      </w:pPr>
      <w:r>
        <w:rPr>
          <w:rFonts w:hint="cs"/>
          <w:rtl/>
        </w:rPr>
        <w:t>النهاية في غريب الحديث والأثر، 2/353؛ وانظر : المقاييس في اللغة، مادة «سدّ»، ص477؛ لسان العرب، مادة «سدّ»، 3/209؛ القـاموس المحيط، مادة «سدد»، ص367؛ محيط المحيط، مادة «سدّ», ص402؛ المعجم الوجيز، مادة «سدّ»، ص306.</w:t>
      </w:r>
    </w:p>
  </w:footnote>
  <w:footnote w:id="426">
    <w:p w:rsidR="00035BE3" w:rsidRDefault="00035BE3" w:rsidP="00C10469">
      <w:pPr>
        <w:pStyle w:val="a8"/>
        <w:bidi/>
        <w:spacing w:line="228" w:lineRule="auto"/>
        <w:ind w:left="422" w:right="0" w:hanging="423"/>
        <w:rPr>
          <w:rtl/>
        </w:rPr>
      </w:pPr>
      <w:r w:rsidRPr="008E7CB2">
        <w:rPr>
          <w:rFonts w:hint="cs"/>
          <w:vertAlign w:val="superscript"/>
          <w:rtl/>
        </w:rPr>
        <w:t>(</w:t>
      </w:r>
      <w:r w:rsidRPr="008E7CB2">
        <w:rPr>
          <w:rStyle w:val="a7"/>
        </w:rPr>
        <w:footnoteRef/>
      </w:r>
      <w:r w:rsidRPr="008E7CB2">
        <w:rPr>
          <w:vertAlign w:val="superscript"/>
        </w:rPr>
        <w:t></w:t>
      </w:r>
      <w:r w:rsidRPr="008E7CB2">
        <w:rPr>
          <w:rFonts w:hint="cs"/>
          <w:vertAlign w:val="superscript"/>
          <w:rtl/>
        </w:rPr>
        <w:t>)</w:t>
      </w:r>
      <w:r>
        <w:rPr>
          <w:rFonts w:hint="cs"/>
          <w:rtl/>
        </w:rPr>
        <w:t xml:space="preserve">  </w:t>
      </w:r>
      <w:r>
        <w:rPr>
          <w:rFonts w:hint="cs"/>
          <w:b/>
          <w:bCs/>
          <w:rtl/>
        </w:rPr>
        <w:t xml:space="preserve">سنيّة </w:t>
      </w:r>
      <w:r>
        <w:rPr>
          <w:rFonts w:hint="cs"/>
          <w:rtl/>
        </w:rPr>
        <w:t>: مؤنث (سنّي)، وهما مشتقان من مادة «سنا»، والسين والنون والحرف المعتل -كما يقول ابن فارس-: «أصل واحد يدل على سقْي، وفيه ما يدل على العلوّ والارتفاع». ومن الألفاظ التي تدل على</w:t>
      </w:r>
      <w:r>
        <w:rPr>
          <w:rFonts w:hint="eastAsia"/>
          <w:rtl/>
        </w:rPr>
        <w:t> </w:t>
      </w:r>
      <w:r>
        <w:rPr>
          <w:rFonts w:hint="cs"/>
          <w:rtl/>
        </w:rPr>
        <w:t>العلو والارتفاع: السَّني بمعنى: الرفيع ومؤنثه: السنّية، ومنها السناء: من الارتفاع. قال في النهاية: «فيه: «بشّر أمتي بالسّناء» أي : بارتفاع المنـزلة والقدر عند الله».</w:t>
      </w:r>
    </w:p>
    <w:p w:rsidR="00035BE3" w:rsidRDefault="00035BE3" w:rsidP="00C10469">
      <w:pPr>
        <w:pStyle w:val="a6"/>
        <w:ind w:left="422" w:firstLine="0"/>
        <w:rPr>
          <w:spacing w:val="-2"/>
          <w:rtl/>
        </w:rPr>
      </w:pPr>
      <w:r>
        <w:rPr>
          <w:rFonts w:hint="cs"/>
          <w:spacing w:val="-2"/>
          <w:rtl/>
        </w:rPr>
        <w:t>المقاييس في اللغة، مادة «سني»، ص492؛ النهاية في غريب الحديث، 2/414؛ وانظر: لسان العرب، مادة</w:t>
      </w:r>
      <w:r>
        <w:rPr>
          <w:rFonts w:hint="eastAsia"/>
          <w:spacing w:val="-2"/>
          <w:rtl/>
        </w:rPr>
        <w:t> </w:t>
      </w:r>
      <w:r>
        <w:rPr>
          <w:rFonts w:hint="cs"/>
          <w:spacing w:val="-2"/>
          <w:rtl/>
        </w:rPr>
        <w:t>«سنا»، 14/403؛ القاموس المحيط مادة «سنى»، ص1672؛ محيط المحيط، مادة «سنى»، ص436؛ المعجم</w:t>
      </w:r>
      <w:r>
        <w:rPr>
          <w:rFonts w:hint="eastAsia"/>
          <w:spacing w:val="-2"/>
          <w:rtl/>
        </w:rPr>
        <w:t> </w:t>
      </w:r>
      <w:r>
        <w:rPr>
          <w:rFonts w:hint="cs"/>
          <w:spacing w:val="-2"/>
          <w:rtl/>
        </w:rPr>
        <w:t>الوجيز، مادة «سنا»، ص325.</w:t>
      </w:r>
    </w:p>
  </w:footnote>
  <w:footnote w:id="427">
    <w:p w:rsidR="00035BE3" w:rsidRDefault="00035BE3" w:rsidP="00C10469">
      <w:pPr>
        <w:pStyle w:val="a8"/>
        <w:bidi/>
        <w:spacing w:line="228" w:lineRule="auto"/>
        <w:ind w:left="425" w:right="0" w:hanging="425"/>
        <w:rPr>
          <w:rtl/>
        </w:rPr>
      </w:pPr>
      <w:r w:rsidRPr="008E7CB2">
        <w:rPr>
          <w:rFonts w:hint="cs"/>
          <w:vertAlign w:val="superscript"/>
          <w:rtl/>
        </w:rPr>
        <w:t>(</w:t>
      </w:r>
      <w:r w:rsidRPr="008E7CB2">
        <w:rPr>
          <w:rStyle w:val="a7"/>
        </w:rPr>
        <w:footnoteRef/>
      </w:r>
      <w:r w:rsidRPr="008E7CB2">
        <w:rPr>
          <w:vertAlign w:val="superscript"/>
        </w:rPr>
        <w:t></w:t>
      </w:r>
      <w:r w:rsidRPr="008E7CB2">
        <w:rPr>
          <w:rFonts w:hint="cs"/>
          <w:vertAlign w:val="superscript"/>
          <w:rtl/>
        </w:rPr>
        <w:t>)</w:t>
      </w:r>
      <w:r>
        <w:rPr>
          <w:rFonts w:hint="cs"/>
          <w:rtl/>
        </w:rPr>
        <w:t xml:space="preserve">  في (ب) و(جـ) و(د) : «من».</w:t>
      </w:r>
    </w:p>
  </w:footnote>
  <w:footnote w:id="428">
    <w:p w:rsidR="00035BE3" w:rsidRDefault="00035BE3" w:rsidP="00C10469">
      <w:pPr>
        <w:pStyle w:val="a8"/>
        <w:bidi/>
        <w:spacing w:line="228" w:lineRule="auto"/>
        <w:ind w:left="425" w:right="0" w:hanging="425"/>
        <w:rPr>
          <w:rtl/>
        </w:rPr>
      </w:pPr>
      <w:r w:rsidRPr="008E7CB2">
        <w:rPr>
          <w:rFonts w:hint="cs"/>
          <w:vertAlign w:val="superscript"/>
          <w:rtl/>
        </w:rPr>
        <w:t>(</w:t>
      </w:r>
      <w:r w:rsidRPr="008E7CB2">
        <w:rPr>
          <w:rStyle w:val="a7"/>
        </w:rPr>
        <w:footnoteRef/>
      </w:r>
      <w:r w:rsidRPr="008E7CB2">
        <w:rPr>
          <w:vertAlign w:val="superscript"/>
        </w:rPr>
        <w:t></w:t>
      </w:r>
      <w:r w:rsidRPr="008E7CB2">
        <w:rPr>
          <w:rFonts w:hint="cs"/>
          <w:vertAlign w:val="superscript"/>
          <w:rtl/>
        </w:rPr>
        <w:t>)</w:t>
      </w:r>
      <w:r>
        <w:rPr>
          <w:rFonts w:hint="cs"/>
          <w:rtl/>
        </w:rPr>
        <w:t xml:space="preserve">  في (ب): «صاحب».</w:t>
      </w:r>
    </w:p>
  </w:footnote>
  <w:footnote w:id="429">
    <w:p w:rsidR="00035BE3" w:rsidRDefault="00035BE3" w:rsidP="00C10469">
      <w:pPr>
        <w:pStyle w:val="a8"/>
        <w:bidi/>
        <w:spacing w:line="228" w:lineRule="auto"/>
        <w:ind w:left="425" w:right="0" w:hanging="425"/>
        <w:rPr>
          <w:rtl/>
        </w:rPr>
      </w:pPr>
      <w:r w:rsidRPr="008E7CB2">
        <w:rPr>
          <w:rFonts w:hint="cs"/>
          <w:vertAlign w:val="superscript"/>
          <w:rtl/>
        </w:rPr>
        <w:t>(</w:t>
      </w:r>
      <w:r w:rsidRPr="008E7CB2">
        <w:rPr>
          <w:rStyle w:val="a7"/>
        </w:rPr>
        <w:footnoteRef/>
      </w:r>
      <w:r w:rsidRPr="008E7CB2">
        <w:rPr>
          <w:vertAlign w:val="superscript"/>
        </w:rPr>
        <w:t></w:t>
      </w:r>
      <w:r w:rsidRPr="008E7CB2">
        <w:rPr>
          <w:rFonts w:hint="cs"/>
          <w:vertAlign w:val="superscript"/>
          <w:rtl/>
        </w:rPr>
        <w:t>)</w:t>
      </w:r>
      <w:r>
        <w:rPr>
          <w:rFonts w:hint="cs"/>
          <w:rtl/>
        </w:rPr>
        <w:t xml:space="preserve">  في (أ) و(جـ) و(د): «يرجى». والأحسن ما تم إثباته من (ب). </w:t>
      </w:r>
    </w:p>
  </w:footnote>
  <w:footnote w:id="430">
    <w:p w:rsidR="00035BE3" w:rsidRDefault="00035BE3" w:rsidP="00C10469">
      <w:pPr>
        <w:pStyle w:val="a8"/>
        <w:bidi/>
        <w:spacing w:line="228" w:lineRule="auto"/>
        <w:ind w:left="425" w:right="0" w:hanging="425"/>
        <w:rPr>
          <w:rtl/>
        </w:rPr>
      </w:pPr>
      <w:r w:rsidRPr="008E7CB2">
        <w:rPr>
          <w:rFonts w:hint="cs"/>
          <w:vertAlign w:val="superscript"/>
          <w:rtl/>
        </w:rPr>
        <w:t>(</w:t>
      </w:r>
      <w:r w:rsidRPr="008E7CB2">
        <w:rPr>
          <w:rStyle w:val="a7"/>
        </w:rPr>
        <w:footnoteRef/>
      </w:r>
      <w:r w:rsidRPr="008E7CB2">
        <w:rPr>
          <w:vertAlign w:val="superscript"/>
        </w:rPr>
        <w:t></w:t>
      </w:r>
      <w:r w:rsidRPr="008E7CB2">
        <w:rPr>
          <w:rFonts w:hint="cs"/>
          <w:vertAlign w:val="superscript"/>
          <w:rtl/>
        </w:rPr>
        <w:t>)</w:t>
      </w:r>
      <w:r>
        <w:rPr>
          <w:rFonts w:hint="cs"/>
          <w:rtl/>
        </w:rPr>
        <w:t xml:space="preserve">  في (أ) و(جـ) و(د): «يزجى». والأحسن ما تم إثباته من (ب).</w:t>
      </w:r>
    </w:p>
  </w:footnote>
  <w:footnote w:id="431">
    <w:p w:rsidR="00035BE3" w:rsidRDefault="00035BE3" w:rsidP="00C10469">
      <w:pPr>
        <w:pStyle w:val="a8"/>
        <w:bidi/>
        <w:spacing w:line="228" w:lineRule="auto"/>
        <w:ind w:left="425" w:right="0" w:hanging="425"/>
        <w:rPr>
          <w:rtl/>
        </w:rPr>
      </w:pPr>
      <w:r w:rsidRPr="008E7CB2">
        <w:rPr>
          <w:rFonts w:hint="cs"/>
          <w:vertAlign w:val="superscript"/>
          <w:rtl/>
        </w:rPr>
        <w:t>(</w:t>
      </w:r>
      <w:r w:rsidRPr="008E7CB2">
        <w:rPr>
          <w:rStyle w:val="a7"/>
        </w:rPr>
        <w:footnoteRef/>
      </w:r>
      <w:r w:rsidRPr="008E7CB2">
        <w:rPr>
          <w:vertAlign w:val="superscript"/>
        </w:rPr>
        <w:t></w:t>
      </w:r>
      <w:r w:rsidRPr="008E7CB2">
        <w:rPr>
          <w:rFonts w:hint="cs"/>
          <w:vertAlign w:val="superscript"/>
          <w:rtl/>
        </w:rPr>
        <w:t>)</w:t>
      </w:r>
      <w:r>
        <w:rPr>
          <w:rFonts w:hint="cs"/>
          <w:rtl/>
        </w:rPr>
        <w:t xml:space="preserve">  </w:t>
      </w:r>
      <w:r>
        <w:rPr>
          <w:rFonts w:hint="cs"/>
          <w:b/>
          <w:bCs/>
          <w:rtl/>
        </w:rPr>
        <w:t>تزجى</w:t>
      </w:r>
      <w:r>
        <w:rPr>
          <w:rFonts w:hint="cs"/>
          <w:rtl/>
        </w:rPr>
        <w:t>: فعل مضارع مبني للمجهول، والفعل الماضي منه «زجى»، والزاء والجيم والحرف المعتل-كما يقول ابن فارس- :«يدلّ على الرّمي بالشيء، وتسييره من غير حبس، يقال: ... الريح تزجي السحاب:</w:t>
      </w:r>
      <w:r>
        <w:rPr>
          <w:rFonts w:hint="eastAsia"/>
          <w:rtl/>
        </w:rPr>
        <w:t> </w:t>
      </w:r>
      <w:r>
        <w:rPr>
          <w:rFonts w:hint="cs"/>
          <w:rtl/>
        </w:rPr>
        <w:t>تسوقه سوقًا رفيقًا». وجاء في (القاموس): « زجاه: ساقه ودفعه ». فيـكون المعنى هنا : إن</w:t>
      </w:r>
      <w:r>
        <w:rPr>
          <w:rFonts w:hint="eastAsia"/>
          <w:rtl/>
        </w:rPr>
        <w:t> </w:t>
      </w:r>
      <w:r>
        <w:rPr>
          <w:rFonts w:hint="cs"/>
          <w:rtl/>
        </w:rPr>
        <w:t>المآرب تُساق إليه سوقًا رفيقًا.</w:t>
      </w:r>
    </w:p>
    <w:p w:rsidR="00035BE3" w:rsidRDefault="00035BE3" w:rsidP="00C10469">
      <w:pPr>
        <w:pStyle w:val="a6"/>
        <w:ind w:left="422" w:firstLine="0"/>
        <w:rPr>
          <w:spacing w:val="8"/>
          <w:rtl/>
        </w:rPr>
      </w:pPr>
      <w:r>
        <w:rPr>
          <w:rFonts w:hint="cs"/>
          <w:spacing w:val="8"/>
          <w:rtl/>
        </w:rPr>
        <w:t>المقاييس في اللغة، مادة «زجي»، ص469؛ القاموس الـمحيط، مادة «زجا»، ص1666؛ وانظر: لسان العرب، مادة «زجا»،14/354-355؛ الـمعجم الوسـيط، مـادة «زجـا»، 1/389-390.</w:t>
      </w:r>
    </w:p>
  </w:footnote>
  <w:footnote w:id="432">
    <w:p w:rsidR="00035BE3" w:rsidRDefault="00035BE3" w:rsidP="00C10469">
      <w:pPr>
        <w:pStyle w:val="a8"/>
        <w:bidi/>
        <w:spacing w:line="460" w:lineRule="exact"/>
        <w:ind w:left="422" w:right="0" w:hanging="423"/>
        <w:rPr>
          <w:rtl/>
        </w:rPr>
      </w:pPr>
      <w:r w:rsidRPr="00046D1C">
        <w:rPr>
          <w:rFonts w:hint="cs"/>
          <w:vertAlign w:val="superscript"/>
          <w:rtl/>
        </w:rPr>
        <w:t>(</w:t>
      </w:r>
      <w:r w:rsidRPr="00046D1C">
        <w:rPr>
          <w:rStyle w:val="a7"/>
        </w:rPr>
        <w:footnoteRef/>
      </w:r>
      <w:r w:rsidRPr="00046D1C">
        <w:rPr>
          <w:vertAlign w:val="superscript"/>
        </w:rPr>
        <w:t></w:t>
      </w:r>
      <w:r w:rsidRPr="00046D1C">
        <w:rPr>
          <w:rFonts w:hint="cs"/>
          <w:vertAlign w:val="superscript"/>
          <w:rtl/>
        </w:rPr>
        <w:t>)</w:t>
      </w:r>
      <w:r>
        <w:rPr>
          <w:rFonts w:hint="cs"/>
          <w:rtl/>
        </w:rPr>
        <w:t xml:space="preserve">   في (ب): المآب. </w:t>
      </w:r>
    </w:p>
    <w:p w:rsidR="00035BE3" w:rsidRPr="00E87514" w:rsidRDefault="00035BE3" w:rsidP="00C10469">
      <w:pPr>
        <w:pStyle w:val="a6"/>
        <w:spacing w:line="460" w:lineRule="exact"/>
        <w:ind w:left="422" w:right="170" w:firstLine="0"/>
        <w:rPr>
          <w:rtl/>
        </w:rPr>
      </w:pPr>
      <w:r>
        <w:rPr>
          <w:rFonts w:hint="cs"/>
          <w:b/>
          <w:bCs/>
          <w:rtl/>
        </w:rPr>
        <w:t>والمآرب</w:t>
      </w:r>
      <w:r>
        <w:rPr>
          <w:rFonts w:hint="cs"/>
          <w:rtl/>
        </w:rPr>
        <w:t xml:space="preserve">: جمع </w:t>
      </w:r>
      <w:r w:rsidRPr="00E87514">
        <w:rPr>
          <w:rFonts w:hint="cs"/>
          <w:rtl/>
        </w:rPr>
        <w:t>مَأْرَب وهو بمعنى الحاجة والبغية.</w:t>
      </w:r>
    </w:p>
    <w:p w:rsidR="00035BE3" w:rsidRPr="00E87514" w:rsidRDefault="00035BE3" w:rsidP="00C10469">
      <w:pPr>
        <w:pStyle w:val="a6"/>
        <w:spacing w:line="460" w:lineRule="exact"/>
        <w:ind w:left="422" w:firstLine="0"/>
        <w:rPr>
          <w:rtl/>
        </w:rPr>
      </w:pPr>
      <w:r w:rsidRPr="00E87514">
        <w:rPr>
          <w:rFonts w:hint="cs"/>
          <w:rtl/>
        </w:rPr>
        <w:t>انظر: المقاييس في اللغة، مادة «أَرَبَ»،ص72؛ لسان العرب، مادة «أَرَبَ»، 1/208؛ القاموس المحيط، مادة «أَرَبَ»، ص75؛ محيط المحيط، مادة «أَرَبَ»، ص6؛ المعجم الوجيز، مادة «أرب»، ص11.</w:t>
      </w:r>
    </w:p>
  </w:footnote>
  <w:footnote w:id="433">
    <w:p w:rsidR="00035BE3" w:rsidRPr="00E87514" w:rsidRDefault="00035BE3" w:rsidP="00C10469">
      <w:pPr>
        <w:pStyle w:val="a8"/>
        <w:bidi/>
        <w:spacing w:line="460" w:lineRule="exact"/>
        <w:ind w:left="422" w:right="0" w:hanging="423"/>
        <w:rPr>
          <w:rtl/>
        </w:rPr>
      </w:pPr>
      <w:r w:rsidRPr="00E87514">
        <w:rPr>
          <w:rFonts w:hint="cs"/>
          <w:vertAlign w:val="superscript"/>
          <w:rtl/>
        </w:rPr>
        <w:t>(</w:t>
      </w:r>
      <w:r w:rsidRPr="00E87514">
        <w:rPr>
          <w:rStyle w:val="a7"/>
        </w:rPr>
        <w:footnoteRef/>
      </w:r>
      <w:r w:rsidRPr="00E87514">
        <w:rPr>
          <w:vertAlign w:val="superscript"/>
        </w:rPr>
        <w:t></w:t>
      </w:r>
      <w:r w:rsidRPr="00E87514">
        <w:rPr>
          <w:rFonts w:hint="cs"/>
          <w:vertAlign w:val="superscript"/>
          <w:rtl/>
        </w:rPr>
        <w:t>)</w:t>
      </w:r>
      <w:r>
        <w:rPr>
          <w:rFonts w:hint="cs"/>
          <w:rtl/>
        </w:rPr>
        <w:t xml:space="preserve">  </w:t>
      </w:r>
      <w:r w:rsidRPr="00E87514">
        <w:rPr>
          <w:rFonts w:hint="cs"/>
          <w:rtl/>
        </w:rPr>
        <w:t>مبالغة المؤلف في وصفه للعالم الذي يريد عرض كتابه عليه - كوصف</w:t>
      </w:r>
      <w:r>
        <w:rPr>
          <w:rFonts w:hint="cs"/>
          <w:rtl/>
        </w:rPr>
        <w:t>ه بأنه صاحب الكمال ... ترجى منه</w:t>
      </w:r>
      <w:r>
        <w:rPr>
          <w:rFonts w:hint="eastAsia"/>
          <w:rtl/>
        </w:rPr>
        <w:t> </w:t>
      </w:r>
      <w:r w:rsidRPr="00E87514">
        <w:rPr>
          <w:rFonts w:hint="cs"/>
          <w:rtl/>
        </w:rPr>
        <w:t>المطالب وتزجى إليه المآرب ...- هذه المبالغة، وإن كان يمكن حملها على محمل حسن إلا أن فيها إيهامًا، كان اللائق بالمؤلف تنـزيه كتابه عنه.</w:t>
      </w:r>
    </w:p>
    <w:p w:rsidR="00035BE3" w:rsidRPr="00E87514" w:rsidRDefault="00035BE3" w:rsidP="00C10469">
      <w:pPr>
        <w:pStyle w:val="a6"/>
        <w:spacing w:line="460" w:lineRule="exact"/>
        <w:ind w:left="422" w:firstLine="0"/>
        <w:rPr>
          <w:rtl/>
        </w:rPr>
      </w:pPr>
      <w:r w:rsidRPr="00E87514">
        <w:rPr>
          <w:rFonts w:hint="cs"/>
          <w:rtl/>
        </w:rPr>
        <w:t>ووجه الإيهام: أن (الكمال) معرّف بِـ (أل) الجنسية، وكذلك (المطا</w:t>
      </w:r>
      <w:r>
        <w:rPr>
          <w:rFonts w:hint="cs"/>
          <w:rtl/>
        </w:rPr>
        <w:t>لب) و(المآرب)، والذي عليه جمهور</w:t>
      </w:r>
      <w:r>
        <w:rPr>
          <w:rFonts w:hint="eastAsia"/>
          <w:rtl/>
        </w:rPr>
        <w:t> </w:t>
      </w:r>
      <w:r w:rsidRPr="00E87514">
        <w:rPr>
          <w:rFonts w:hint="cs"/>
          <w:rtl/>
        </w:rPr>
        <w:t>الأصوليين: أن المعرّف بِـ (أل) الجنسية من ألفاظ العموم. فيكون المعنى : أنه صاحب كل الكمال، وترجى منه كل المطالب، وتزجى إليه كل المآرب!! ومعلوم أن ص</w:t>
      </w:r>
      <w:r>
        <w:rPr>
          <w:rFonts w:hint="cs"/>
          <w:rtl/>
        </w:rPr>
        <w:t>احب كل الكمال والذي ترجى منه كل</w:t>
      </w:r>
      <w:r>
        <w:rPr>
          <w:rFonts w:hint="eastAsia"/>
          <w:rtl/>
        </w:rPr>
        <w:t> </w:t>
      </w:r>
      <w:r w:rsidRPr="00E87514">
        <w:rPr>
          <w:rFonts w:hint="cs"/>
          <w:rtl/>
        </w:rPr>
        <w:t>المطالب وتزجى إليه كل المآرب إنما هو الله وحده دون سواه.</w:t>
      </w:r>
    </w:p>
    <w:p w:rsidR="00035BE3" w:rsidRDefault="00035BE3" w:rsidP="00C10469">
      <w:pPr>
        <w:pStyle w:val="a6"/>
        <w:spacing w:line="460" w:lineRule="exact"/>
        <w:ind w:left="422" w:firstLine="0"/>
        <w:rPr>
          <w:rtl/>
        </w:rPr>
      </w:pPr>
      <w:r w:rsidRPr="00E87514">
        <w:rPr>
          <w:rFonts w:hint="cs"/>
          <w:rtl/>
        </w:rPr>
        <w:t>والمحمل الحسن الذي يمكن أن تحمل عليه: أن هذه الألفاظ</w:t>
      </w:r>
      <w:r>
        <w:rPr>
          <w:rFonts w:hint="cs"/>
          <w:rtl/>
        </w:rPr>
        <w:t xml:space="preserve"> العامة أتت في معرض المدح، وقد نُقل عن الشافعي وغيره: أن اللفظ العام إذا قَصَدَ به المخاطِبُ الذمَّ أو المدحَ فإنه لا يعم.</w:t>
      </w:r>
    </w:p>
    <w:p w:rsidR="00035BE3" w:rsidRDefault="00035BE3" w:rsidP="00C10469">
      <w:pPr>
        <w:pStyle w:val="a6"/>
        <w:spacing w:line="460" w:lineRule="exact"/>
        <w:ind w:left="422" w:right="170" w:firstLine="0"/>
        <w:rPr>
          <w:rtl/>
        </w:rPr>
      </w:pPr>
      <w:r>
        <w:rPr>
          <w:rFonts w:hint="cs"/>
          <w:rtl/>
        </w:rPr>
        <w:t>والمؤلف عندما أتى بهذه الألفاظ قصد بها المدح، فلا تعم.</w:t>
      </w:r>
    </w:p>
    <w:p w:rsidR="00035BE3" w:rsidRDefault="00035BE3" w:rsidP="00C10469">
      <w:pPr>
        <w:pStyle w:val="a6"/>
        <w:spacing w:line="460" w:lineRule="exact"/>
        <w:ind w:left="422" w:firstLine="0"/>
        <w:rPr>
          <w:rtl/>
        </w:rPr>
      </w:pPr>
      <w:r>
        <w:rPr>
          <w:rFonts w:hint="cs"/>
          <w:rtl/>
        </w:rPr>
        <w:t xml:space="preserve">وعلى القول بأنه يعم فيمكن أن يقال: إن هذه الألفاظ العامة مخصوصة بالعقل أو بالعقل والحسّ، </w:t>
      </w:r>
      <w:r w:rsidRPr="00AD1941">
        <w:rPr>
          <w:rFonts w:hint="cs"/>
          <w:spacing w:val="4"/>
          <w:rtl/>
        </w:rPr>
        <w:t>فالقارئ</w:t>
      </w:r>
      <w:r w:rsidRPr="00AD1941">
        <w:rPr>
          <w:rFonts w:hint="eastAsia"/>
          <w:spacing w:val="4"/>
          <w:rtl/>
        </w:rPr>
        <w:t> </w:t>
      </w:r>
      <w:r w:rsidRPr="00AD1941">
        <w:rPr>
          <w:rFonts w:hint="cs"/>
          <w:spacing w:val="4"/>
          <w:rtl/>
        </w:rPr>
        <w:t xml:space="preserve">عندما يقرأ مثل هذه الألفاظ فإن عقله لا يحملها على مدلولها اللغوي (وهو العموم </w:t>
      </w:r>
      <w:r>
        <w:rPr>
          <w:spacing w:val="4"/>
          <w:rtl/>
        </w:rPr>
        <w:br/>
      </w:r>
      <w:r w:rsidRPr="00AD1941">
        <w:rPr>
          <w:rFonts w:hint="cs"/>
          <w:spacing w:val="4"/>
          <w:rtl/>
        </w:rPr>
        <w:t>والاستغراق)، وإنما يحملها على بعض أفرادها، ويجعل شمولها لباقي الأفراد على أنه إنما أُتي به للمبالغة في المدح؛ لأنه يستحيل أن</w:t>
      </w:r>
      <w:r>
        <w:rPr>
          <w:rFonts w:hint="cs"/>
          <w:rtl/>
        </w:rPr>
        <w:t xml:space="preserve"> يتصف المخلوق بجميع صفات الكمال، كما يستحيل أن ترجى منه كل </w:t>
      </w:r>
      <w:r>
        <w:rPr>
          <w:rtl/>
        </w:rPr>
        <w:br/>
      </w:r>
      <w:r>
        <w:rPr>
          <w:rFonts w:hint="cs"/>
          <w:rtl/>
        </w:rPr>
        <w:t xml:space="preserve">المطالب؛ لأنّ طاقته محدودة، ويستحيل أيضا أن تساق إليه جميع الحاجات؛ لأننا ندرك بعقولنا وحواسنا  </w:t>
      </w:r>
      <w:r>
        <w:rPr>
          <w:rtl/>
        </w:rPr>
        <w:br/>
      </w:r>
      <w:r>
        <w:rPr>
          <w:rFonts w:hint="cs"/>
          <w:rtl/>
        </w:rPr>
        <w:t xml:space="preserve">أن هناك أناسًا كثيرون لا يعرفون هذا العالِـم في ذلك الـوقت، أو لا يستطيعون الوصول إليه، فكيف </w:t>
      </w:r>
      <w:r>
        <w:rPr>
          <w:rtl/>
        </w:rPr>
        <w:br/>
      </w:r>
      <w:r>
        <w:rPr>
          <w:rFonts w:hint="cs"/>
          <w:rtl/>
        </w:rPr>
        <w:t>تُّقدَّم إليه جميع حاجاتهم ؟ ! - والله أعلم-.</w:t>
      </w:r>
      <w:r>
        <w:rPr>
          <w:rFonts w:hint="cs"/>
          <w:rtl/>
        </w:rPr>
        <w:tab/>
      </w:r>
    </w:p>
    <w:p w:rsidR="00035BE3" w:rsidRPr="009D05E0" w:rsidRDefault="00035BE3" w:rsidP="00C10469">
      <w:pPr>
        <w:pStyle w:val="a6"/>
        <w:spacing w:line="460" w:lineRule="exact"/>
        <w:ind w:left="422" w:firstLine="0"/>
        <w:rPr>
          <w:rtl/>
        </w:rPr>
      </w:pPr>
      <w:r>
        <w:rPr>
          <w:rFonts w:hint="cs"/>
          <w:rtl/>
        </w:rPr>
        <w:t>انظر في إفادة المعرف بِـ (أل) الجنسية العموم: أصول البزدوي وشرحه: كشـف الأسرار، 2/26-35؛ المستصفى، 2/37 وما قبلها وما بعدها؛ روضة الناظر، 2/683 وما بعدها؛ شرح تنقيح الفصول، ص180؛ المغني في أصول الفقه للخبازي،</w:t>
      </w:r>
      <w:r>
        <w:rPr>
          <w:rFonts w:hint="cs"/>
          <w:spacing w:val="2"/>
          <w:rtl/>
        </w:rPr>
        <w:t xml:space="preserve"> ص115-116؛</w:t>
      </w:r>
      <w:r>
        <w:rPr>
          <w:rFonts w:hint="cs"/>
          <w:spacing w:val="6"/>
          <w:rtl/>
        </w:rPr>
        <w:t xml:space="preserve"> جمع الجوامع وشرح المحلى (مع حاشية البناني)، 1/410-413، (ومع حاشية العطار)، 2/5-9؛ التحرير لابن الهمام وشرحه: تيسير التحرير، 1/197؛ مرآة الأصول وحاشية الإزميري عليها، 1/367-373؛ التلويح عـلى التوضيح، 1/52</w:t>
      </w:r>
      <w:r w:rsidRPr="009D05E0">
        <w:rPr>
          <w:rFonts w:hint="cs"/>
          <w:rtl/>
        </w:rPr>
        <w:t>-54؛ مذكرة في أصول الفقه للشيخ الشنقيطي، ص244-248؛ العام ودلالته للدكتورة نادية العمري، ص73-76.</w:t>
      </w:r>
    </w:p>
    <w:p w:rsidR="00035BE3" w:rsidRPr="009D05E0" w:rsidRDefault="00035BE3" w:rsidP="00C10469">
      <w:pPr>
        <w:pStyle w:val="a6"/>
        <w:ind w:left="420" w:firstLine="0"/>
        <w:rPr>
          <w:rtl/>
        </w:rPr>
      </w:pPr>
      <w:r w:rsidRPr="009D05E0">
        <w:rPr>
          <w:rFonts w:hint="cs"/>
          <w:rtl/>
        </w:rPr>
        <w:t>وانظر في كون العام إذا قصد به المدح لا يعم : الإحكام للآمدي، 2/298؛ ويضاف إليه: المحصول، 3/453-454؛ المسودة، ص133؛ جمع الجوامع وشرح المحلى عليه (مع حاشية البناني)، 1/422؛ التحرير وشرحه: تيسير التحرير، 1/257.</w:t>
      </w:r>
    </w:p>
    <w:p w:rsidR="00035BE3" w:rsidRPr="00325EF9" w:rsidRDefault="00035BE3" w:rsidP="00C10469">
      <w:pPr>
        <w:pStyle w:val="a6"/>
        <w:ind w:left="420" w:firstLine="0"/>
        <w:rPr>
          <w:spacing w:val="-2"/>
          <w:rtl/>
        </w:rPr>
      </w:pPr>
      <w:r w:rsidRPr="00325EF9">
        <w:rPr>
          <w:rFonts w:hint="cs"/>
          <w:spacing w:val="-2"/>
          <w:rtl/>
        </w:rPr>
        <w:t>وانظر في كون العقل والحس من المخصصات: المستصفى، 2/99-100؛ روضة الناظر، 2/722-723؛ شرح</w:t>
      </w:r>
      <w:r w:rsidRPr="00325EF9">
        <w:rPr>
          <w:rFonts w:hint="eastAsia"/>
          <w:spacing w:val="-2"/>
          <w:rtl/>
        </w:rPr>
        <w:t> </w:t>
      </w:r>
      <w:r w:rsidRPr="00325EF9">
        <w:rPr>
          <w:rFonts w:hint="cs"/>
          <w:spacing w:val="-2"/>
          <w:rtl/>
        </w:rPr>
        <w:t xml:space="preserve">تنقيح الفصول، ص202، 215؛ إتحاف الأنام بتخصيص العام للدكتور الحفناوي، ص247-260. </w:t>
      </w:r>
    </w:p>
  </w:footnote>
  <w:footnote w:id="434">
    <w:p w:rsidR="00035BE3" w:rsidRPr="009D05E0" w:rsidRDefault="00035BE3" w:rsidP="00C10469">
      <w:pPr>
        <w:pStyle w:val="a8"/>
        <w:bidi/>
        <w:ind w:left="420" w:right="0" w:hanging="423"/>
        <w:rPr>
          <w:rtl/>
        </w:rPr>
      </w:pPr>
      <w:r w:rsidRPr="009D05E0">
        <w:rPr>
          <w:rFonts w:hint="cs"/>
          <w:vertAlign w:val="superscript"/>
          <w:rtl/>
        </w:rPr>
        <w:t>(</w:t>
      </w:r>
      <w:r w:rsidRPr="009D05E0">
        <w:rPr>
          <w:rStyle w:val="a7"/>
        </w:rPr>
        <w:footnoteRef/>
      </w:r>
      <w:r w:rsidRPr="009D05E0">
        <w:rPr>
          <w:vertAlign w:val="superscript"/>
        </w:rPr>
        <w:t></w:t>
      </w:r>
      <w:r w:rsidRPr="009D05E0">
        <w:rPr>
          <w:rFonts w:hint="cs"/>
          <w:vertAlign w:val="superscript"/>
          <w:rtl/>
        </w:rPr>
        <w:t>)</w:t>
      </w:r>
      <w:r>
        <w:rPr>
          <w:rFonts w:hint="cs"/>
          <w:rtl/>
        </w:rPr>
        <w:t xml:space="preserve">  </w:t>
      </w:r>
      <w:r w:rsidRPr="009D05E0">
        <w:rPr>
          <w:rFonts w:hint="cs"/>
          <w:rtl/>
        </w:rPr>
        <w:t>جاء في هامش (أ) : «وهو اسمه لا كنيته»!.</w:t>
      </w:r>
    </w:p>
  </w:footnote>
  <w:footnote w:id="435">
    <w:p w:rsidR="00035BE3" w:rsidRPr="009D05E0" w:rsidRDefault="00035BE3" w:rsidP="00C10469">
      <w:pPr>
        <w:pStyle w:val="a8"/>
        <w:bidi/>
        <w:ind w:left="420" w:right="0" w:hanging="423"/>
        <w:rPr>
          <w:rtl/>
        </w:rPr>
      </w:pPr>
      <w:r w:rsidRPr="009D05E0">
        <w:rPr>
          <w:rFonts w:hint="cs"/>
          <w:vertAlign w:val="superscript"/>
          <w:rtl/>
        </w:rPr>
        <w:t>(</w:t>
      </w:r>
      <w:r w:rsidRPr="009D05E0">
        <w:rPr>
          <w:rStyle w:val="a7"/>
        </w:rPr>
        <w:footnoteRef/>
      </w:r>
      <w:r w:rsidRPr="009D05E0">
        <w:rPr>
          <w:vertAlign w:val="superscript"/>
        </w:rPr>
        <w:t></w:t>
      </w:r>
      <w:r w:rsidRPr="009D05E0">
        <w:rPr>
          <w:rFonts w:hint="cs"/>
          <w:vertAlign w:val="superscript"/>
          <w:rtl/>
        </w:rPr>
        <w:t>)</w:t>
      </w:r>
      <w:r>
        <w:rPr>
          <w:rFonts w:hint="cs"/>
          <w:rtl/>
        </w:rPr>
        <w:t xml:space="preserve">  </w:t>
      </w:r>
      <w:r w:rsidRPr="009D05E0">
        <w:rPr>
          <w:rFonts w:hint="cs"/>
          <w:b/>
          <w:bCs/>
          <w:rtl/>
        </w:rPr>
        <w:t>هو</w:t>
      </w:r>
      <w:r w:rsidRPr="009D05E0">
        <w:rPr>
          <w:rFonts w:hint="cs"/>
          <w:rtl/>
        </w:rPr>
        <w:t xml:space="preserve"> المفتي بعد أبيه وجده: أبو سعيد محمد بن محمد أسعد أفندي بن محمد سعد الدين بن حسن جان التبريزي الأصل القسطنطيني المولد والمنشأ والوفاة، وقد نعته صاحب (خلاصة الأثر) -1/127- بأنه: «شيخ الإسلام ابن شيخ الإسلام بن شيخ الإسلام ... مفتي السلطنة العثمانية وأوحد كبراء الدولة الخاقانية».</w:t>
      </w:r>
    </w:p>
    <w:p w:rsidR="00035BE3" w:rsidRPr="009D05E0" w:rsidRDefault="00035BE3" w:rsidP="00C10469">
      <w:pPr>
        <w:pStyle w:val="a6"/>
        <w:ind w:left="420" w:firstLine="0"/>
        <w:rPr>
          <w:rtl/>
        </w:rPr>
      </w:pPr>
      <w:r w:rsidRPr="009D05E0">
        <w:rPr>
          <w:rFonts w:hint="cs"/>
          <w:rtl/>
        </w:rPr>
        <w:t>وقد لازم عمَّه شيخ الإسلام محمد أفندي بن محمد سعد الدين، ولم يزل يترقى في المدارس حتى صار قاضي</w:t>
      </w:r>
      <w:r w:rsidRPr="009D05E0">
        <w:rPr>
          <w:rFonts w:hint="eastAsia"/>
          <w:rtl/>
        </w:rPr>
        <w:t> </w:t>
      </w:r>
      <w:r w:rsidRPr="009D05E0">
        <w:rPr>
          <w:rFonts w:hint="cs"/>
          <w:rtl/>
        </w:rPr>
        <w:t>قضاة الشام، وكان دخوله لها سنة 1031هـ.</w:t>
      </w:r>
    </w:p>
    <w:p w:rsidR="00035BE3" w:rsidRPr="009D05E0" w:rsidRDefault="00035BE3" w:rsidP="00C10469">
      <w:pPr>
        <w:pStyle w:val="a6"/>
        <w:ind w:left="420" w:firstLine="0"/>
        <w:rPr>
          <w:rtl/>
        </w:rPr>
      </w:pPr>
      <w:r w:rsidRPr="009D05E0">
        <w:rPr>
          <w:rFonts w:hint="cs"/>
          <w:rtl/>
        </w:rPr>
        <w:t xml:space="preserve">وفي تلك الأثناء جاءه الخبر أن السلطان عثمان بن السلطان أحمد قد تزوج بأخته، إلا أنه بعد مُدةٍ قُتل السلطان، فعُزِل والده عن الفتيا، ثم عزل هو أيضًا عن قضاء الشام، فرحل إلى الروم. ثم ولي قضاء (بروسه) و(الغلطة)، ثم قضاء (القسطنطينية)، ثم قضاء العسكر بأناطولي، ثم (روم إيلي)، ثم صار مفتي </w:t>
      </w:r>
      <w:r w:rsidRPr="009D05E0">
        <w:rPr>
          <w:rtl/>
        </w:rPr>
        <w:br/>
      </w:r>
      <w:r w:rsidRPr="009D05E0">
        <w:rPr>
          <w:rFonts w:hint="cs"/>
          <w:rtl/>
        </w:rPr>
        <w:t>التخت ثلاث مرات.</w:t>
      </w:r>
    </w:p>
    <w:p w:rsidR="00035BE3" w:rsidRPr="00FC6654" w:rsidRDefault="00035BE3" w:rsidP="00C10469">
      <w:pPr>
        <w:pStyle w:val="a6"/>
        <w:spacing w:line="264" w:lineRule="auto"/>
        <w:ind w:left="420" w:firstLine="0"/>
        <w:rPr>
          <w:spacing w:val="-2"/>
          <w:rtl/>
        </w:rPr>
      </w:pPr>
      <w:r w:rsidRPr="00FC6654">
        <w:rPr>
          <w:rFonts w:hint="cs"/>
          <w:spacing w:val="-2"/>
          <w:rtl/>
        </w:rPr>
        <w:t>وفي آخر تولياته للفتوي نُهب داره بسبب قيام على الوزير (أبشير)، وبعد وقوع هذه الحادثة اختفى، مدّة. ثم عرضت عليه بعض الأعمال القضائية فلم يقبل. ثم استقر في القسطنطينية واختفى عن أنظار الناس، وبقي على هذا الحال إلى أن مـات وهو في الـخفاء سـنـة 1072هـ. وكانت ولادتـه سنة 1003هـ.</w:t>
      </w:r>
    </w:p>
    <w:p w:rsidR="00035BE3" w:rsidRPr="009D05E0" w:rsidRDefault="00035BE3" w:rsidP="00C10469">
      <w:pPr>
        <w:pStyle w:val="a6"/>
        <w:spacing w:line="264" w:lineRule="auto"/>
        <w:ind w:left="422" w:firstLine="0"/>
        <w:rPr>
          <w:rtl/>
        </w:rPr>
      </w:pPr>
      <w:r w:rsidRPr="009D05E0">
        <w:rPr>
          <w:rFonts w:hint="cs"/>
          <w:rtl/>
        </w:rPr>
        <w:t xml:space="preserve">انظر: خلاصة الأثر في أعيان القرن الحادي عشر، 1/127-129؛ نفحة الريحانة، 3/79-82، رقم 149؛ لطف السمر وقطف الثمر من تراجم أعيان الطبقة الأولى من القرن الحادي عشر، 2/643؛ سجل عثماني </w:t>
      </w:r>
      <w:r w:rsidRPr="009D05E0">
        <w:rPr>
          <w:rFonts w:hint="cs"/>
          <w:rtl/>
          <w:lang w:bidi="ar-AE"/>
        </w:rPr>
        <w:t>1</w:t>
      </w:r>
      <w:r w:rsidRPr="009D05E0">
        <w:rPr>
          <w:rFonts w:hint="cs"/>
          <w:rtl/>
        </w:rPr>
        <w:t>/187؛ ذيل تاريخ عطائي لقشاقي زادة، ل 84/أ؛ ذيل دوحة المشايخ لخواجه منيب أفندي، ل</w:t>
      </w:r>
      <w:r w:rsidRPr="009D05E0">
        <w:rPr>
          <w:rFonts w:hint="eastAsia"/>
          <w:rtl/>
        </w:rPr>
        <w:t> </w:t>
      </w:r>
      <w:r w:rsidRPr="009D05E0">
        <w:rPr>
          <w:rFonts w:hint="cs"/>
          <w:rtl/>
        </w:rPr>
        <w:t>20/أ-21/أ؛ تكملة شذرات الذهب، 1/105؛ من أعلام الفكر العربي في العصر العثماني الأول،</w:t>
      </w:r>
      <w:r w:rsidRPr="009D05E0">
        <w:rPr>
          <w:rFonts w:hint="eastAsia"/>
          <w:rtl/>
        </w:rPr>
        <w:t> </w:t>
      </w:r>
      <w:r w:rsidRPr="009D05E0">
        <w:rPr>
          <w:rFonts w:hint="cs"/>
          <w:rtl/>
        </w:rPr>
        <w:t>ص476، 479.</w:t>
      </w:r>
    </w:p>
  </w:footnote>
  <w:footnote w:id="436">
    <w:p w:rsidR="00035BE3" w:rsidRDefault="00035BE3" w:rsidP="00C10469">
      <w:pPr>
        <w:pStyle w:val="a8"/>
        <w:bidi/>
        <w:ind w:left="422" w:right="0" w:hanging="423"/>
        <w:rPr>
          <w:rtl/>
        </w:rPr>
      </w:pPr>
      <w:r w:rsidRPr="001D498A">
        <w:rPr>
          <w:rFonts w:hint="cs"/>
          <w:vertAlign w:val="superscript"/>
          <w:rtl/>
        </w:rPr>
        <w:t>(</w:t>
      </w:r>
      <w:r w:rsidRPr="001D498A">
        <w:rPr>
          <w:rStyle w:val="a7"/>
        </w:rPr>
        <w:footnoteRef/>
      </w:r>
      <w:r w:rsidRPr="001D498A">
        <w:rPr>
          <w:vertAlign w:val="superscript"/>
        </w:rPr>
        <w:t></w:t>
      </w:r>
      <w:r w:rsidRPr="001D498A">
        <w:rPr>
          <w:rFonts w:hint="cs"/>
          <w:vertAlign w:val="superscript"/>
          <w:rtl/>
        </w:rPr>
        <w:t>)</w:t>
      </w:r>
      <w:r>
        <w:rPr>
          <w:rFonts w:hint="cs"/>
          <w:rtl/>
        </w:rPr>
        <w:t xml:space="preserve">   هكذا في جميع النسخ. ولو ق</w:t>
      </w:r>
      <w:r>
        <w:rPr>
          <w:rFonts w:hint="cs"/>
          <w:rtl/>
          <w:lang w:bidi="ar-AE"/>
        </w:rPr>
        <w:t>ي</w:t>
      </w:r>
      <w:r>
        <w:rPr>
          <w:rFonts w:hint="cs"/>
          <w:rtl/>
        </w:rPr>
        <w:t>ل: «سعدت» لكان أفصح.</w:t>
      </w:r>
    </w:p>
  </w:footnote>
  <w:footnote w:id="437">
    <w:p w:rsidR="00035BE3" w:rsidRDefault="00035BE3" w:rsidP="00C10469">
      <w:pPr>
        <w:pStyle w:val="a8"/>
        <w:bidi/>
        <w:ind w:left="422" w:right="0" w:hanging="423"/>
        <w:rPr>
          <w:rtl/>
        </w:rPr>
      </w:pPr>
      <w:r w:rsidRPr="001D498A">
        <w:rPr>
          <w:rFonts w:hint="cs"/>
          <w:vertAlign w:val="superscript"/>
          <w:rtl/>
        </w:rPr>
        <w:t>(</w:t>
      </w:r>
      <w:r w:rsidRPr="001D498A">
        <w:rPr>
          <w:rStyle w:val="a7"/>
        </w:rPr>
        <w:footnoteRef/>
      </w:r>
      <w:r w:rsidRPr="001D498A">
        <w:rPr>
          <w:rFonts w:hint="cs"/>
          <w:vertAlign w:val="superscript"/>
          <w:rtl/>
        </w:rPr>
        <w:t>)</w:t>
      </w:r>
      <w:r>
        <w:rPr>
          <w:rFonts w:hint="cs"/>
          <w:rtl/>
        </w:rPr>
        <w:t xml:space="preserve">   هكذا في جميع النسخ. والصحيح : «سَعَدَت».</w:t>
      </w:r>
    </w:p>
  </w:footnote>
  <w:footnote w:id="438">
    <w:p w:rsidR="00035BE3" w:rsidRDefault="00035BE3" w:rsidP="00C10469">
      <w:pPr>
        <w:pStyle w:val="a8"/>
        <w:bidi/>
        <w:ind w:left="422" w:right="0" w:hanging="423"/>
        <w:rPr>
          <w:rtl/>
        </w:rPr>
      </w:pPr>
      <w:r w:rsidRPr="001D498A">
        <w:rPr>
          <w:rFonts w:hint="cs"/>
          <w:vertAlign w:val="superscript"/>
          <w:rtl/>
        </w:rPr>
        <w:t>(</w:t>
      </w:r>
      <w:r w:rsidRPr="001D498A">
        <w:rPr>
          <w:rStyle w:val="a7"/>
        </w:rPr>
        <w:footnoteRef/>
      </w:r>
      <w:r w:rsidRPr="001D498A">
        <w:rPr>
          <w:vertAlign w:val="superscript"/>
        </w:rPr>
        <w:t></w:t>
      </w:r>
      <w:r w:rsidRPr="001D498A">
        <w:rPr>
          <w:rFonts w:hint="cs"/>
          <w:vertAlign w:val="superscript"/>
          <w:rtl/>
        </w:rPr>
        <w:t>)</w:t>
      </w:r>
      <w:r>
        <w:rPr>
          <w:rFonts w:hint="cs"/>
          <w:rtl/>
        </w:rPr>
        <w:t xml:space="preserve">   في (د): «بأبيه» خلافًا لباقي النسخ؛ إذْ جاء فيها بالنقص (بأبه)؛ وما جاء في (د) هو اللغة المشهورة في (أب)، أما النّقص فهو لغة جائزة في (أب) إلا أنها نادرة؛ إذْ «إن في (أب) و(أخ) و(حم) ثلاث لغات:</w:t>
      </w:r>
    </w:p>
    <w:p w:rsidR="00035BE3" w:rsidRDefault="00035BE3" w:rsidP="00C10469">
      <w:pPr>
        <w:pStyle w:val="a6"/>
        <w:ind w:left="422" w:right="170" w:firstLine="0"/>
        <w:rPr>
          <w:rtl/>
        </w:rPr>
      </w:pPr>
      <w:r>
        <w:rPr>
          <w:rFonts w:hint="cs"/>
          <w:b/>
          <w:bCs/>
          <w:rtl/>
        </w:rPr>
        <w:t>أشهرها</w:t>
      </w:r>
      <w:r>
        <w:rPr>
          <w:rFonts w:hint="cs"/>
          <w:rtl/>
        </w:rPr>
        <w:t>: أن تكون بالواو والألف والياء.</w:t>
      </w:r>
    </w:p>
    <w:p w:rsidR="00035BE3" w:rsidRDefault="00035BE3" w:rsidP="00C10469">
      <w:pPr>
        <w:pStyle w:val="a6"/>
        <w:ind w:left="422" w:right="170" w:firstLine="0"/>
        <w:rPr>
          <w:rtl/>
        </w:rPr>
      </w:pPr>
      <w:r>
        <w:rPr>
          <w:rFonts w:hint="cs"/>
          <w:b/>
          <w:bCs/>
          <w:rtl/>
        </w:rPr>
        <w:t>والثانية</w:t>
      </w:r>
      <w:r>
        <w:rPr>
          <w:rFonts w:hint="cs"/>
          <w:rtl/>
        </w:rPr>
        <w:t>: أن تكون بالألف مطلقًا.</w:t>
      </w:r>
    </w:p>
    <w:p w:rsidR="00035BE3" w:rsidRDefault="00035BE3" w:rsidP="00C10469">
      <w:pPr>
        <w:pStyle w:val="a6"/>
        <w:ind w:left="422" w:right="170" w:firstLine="0"/>
        <w:rPr>
          <w:rtl/>
        </w:rPr>
      </w:pPr>
      <w:r>
        <w:rPr>
          <w:rFonts w:hint="cs"/>
          <w:b/>
          <w:bCs/>
          <w:rtl/>
        </w:rPr>
        <w:t>والثالثة</w:t>
      </w:r>
      <w:r>
        <w:rPr>
          <w:rFonts w:hint="cs"/>
          <w:rtl/>
        </w:rPr>
        <w:t xml:space="preserve"> : أن يحذف منها الأحرف الثلاثة، وهذا نادر» -قاله ابن عقيل-.</w:t>
      </w:r>
    </w:p>
    <w:p w:rsidR="00035BE3" w:rsidRDefault="00035BE3" w:rsidP="00C10469">
      <w:pPr>
        <w:pStyle w:val="a6"/>
        <w:ind w:left="422" w:right="170" w:firstLine="0"/>
        <w:rPr>
          <w:rtl/>
        </w:rPr>
      </w:pPr>
      <w:r>
        <w:rPr>
          <w:rFonts w:hint="cs"/>
          <w:rtl/>
        </w:rPr>
        <w:t>وممّا يشهد للغة الثالثة (وهي النقص) قول الشاعر:</w:t>
      </w:r>
    </w:p>
    <w:p w:rsidR="00035BE3" w:rsidRDefault="00035BE3" w:rsidP="00C10469">
      <w:pPr>
        <w:pStyle w:val="a6"/>
        <w:ind w:left="422" w:right="170" w:hanging="423"/>
        <w:jc w:val="center"/>
        <w:rPr>
          <w:b/>
          <w:bCs/>
          <w:rtl/>
        </w:rPr>
      </w:pPr>
      <w:r>
        <w:rPr>
          <w:rFonts w:hint="cs"/>
          <w:b/>
          <w:bCs/>
          <w:rtl/>
        </w:rPr>
        <w:t>بـأبـه اقـتـدى عـديّ فـي الـكرم      ومـن يـشابـه أبــه فـمـا ظـلـم</w:t>
      </w:r>
    </w:p>
    <w:p w:rsidR="00035BE3" w:rsidRDefault="00035BE3" w:rsidP="00C10469">
      <w:pPr>
        <w:pStyle w:val="a6"/>
        <w:ind w:left="422" w:firstLine="0"/>
        <w:rPr>
          <w:rtl/>
        </w:rPr>
      </w:pPr>
      <w:r>
        <w:rPr>
          <w:rFonts w:hint="cs"/>
          <w:rtl/>
        </w:rPr>
        <w:t>شرح ابن عقيل على ألفية ابن مالك، 1/54؛ وانظر منه: 1/52؛ أوضح المسالك وشرحيه: عدة السالك، 1/44؛ وضياء السالك، 1/63؛ النحو الوافي، 1/111.</w:t>
      </w:r>
    </w:p>
  </w:footnote>
  <w:footnote w:id="439">
    <w:p w:rsidR="00035BE3" w:rsidRDefault="00035BE3" w:rsidP="00C10469">
      <w:pPr>
        <w:pStyle w:val="a8"/>
        <w:bidi/>
        <w:ind w:left="422" w:right="0" w:hanging="423"/>
        <w:rPr>
          <w:rtl/>
        </w:rPr>
      </w:pPr>
      <w:r w:rsidRPr="001D498A">
        <w:rPr>
          <w:rFonts w:hint="cs"/>
          <w:vertAlign w:val="superscript"/>
          <w:rtl/>
        </w:rPr>
        <w:t>(</w:t>
      </w:r>
      <w:r w:rsidRPr="001D498A">
        <w:rPr>
          <w:rStyle w:val="a7"/>
        </w:rPr>
        <w:footnoteRef/>
      </w:r>
      <w:r w:rsidRPr="001D498A">
        <w:rPr>
          <w:vertAlign w:val="superscript"/>
        </w:rPr>
        <w:t></w:t>
      </w:r>
      <w:r w:rsidRPr="001D498A">
        <w:rPr>
          <w:rFonts w:hint="cs"/>
          <w:vertAlign w:val="superscript"/>
          <w:rtl/>
        </w:rPr>
        <w:t>)</w:t>
      </w:r>
      <w:r>
        <w:rPr>
          <w:rFonts w:hint="cs"/>
          <w:rtl/>
        </w:rPr>
        <w:t xml:space="preserve">  </w:t>
      </w:r>
      <w:r>
        <w:rPr>
          <w:rFonts w:hint="cs"/>
          <w:b/>
          <w:bCs/>
          <w:rtl/>
        </w:rPr>
        <w:t>أبوه هو</w:t>
      </w:r>
      <w:r>
        <w:rPr>
          <w:rFonts w:hint="cs"/>
          <w:rtl/>
        </w:rPr>
        <w:t>: محمد أسعد أفندي بن محمد سعـد الديـن بن حسـن جـان التبريزي الأصل، القسطنطيني المولد والوفاة  (978هـ - 1034هـ).</w:t>
      </w:r>
    </w:p>
    <w:p w:rsidR="00035BE3" w:rsidRDefault="00035BE3" w:rsidP="00C10469">
      <w:pPr>
        <w:pStyle w:val="a6"/>
        <w:ind w:left="422" w:right="170" w:firstLine="0"/>
        <w:rPr>
          <w:spacing w:val="6"/>
          <w:rtl/>
        </w:rPr>
      </w:pPr>
      <w:r>
        <w:rPr>
          <w:rFonts w:hint="cs"/>
          <w:spacing w:val="6"/>
          <w:rtl/>
        </w:rPr>
        <w:t>وكان عالمًا محققًا متبحِّرًا في العلوم، وقد اشتغل بالتدريس في أرقى المدارس كالسليمانية، وولي القضاء بأدرنة والقسطنطينية، ثم ولي قضاء الروم، ثم تولى الإفتاء بعد وفاة أخيه ومات وهو مفت. من آثاره: فضائل جمعة، ذيل تاج التواريخ لخواجه سعد الدين أفندي، ترجمة الشمائل المحمدية للترمذي -وجميعها باللغة العثمانية-.</w:t>
      </w:r>
    </w:p>
    <w:p w:rsidR="00035BE3" w:rsidRDefault="00035BE3" w:rsidP="00C10469">
      <w:pPr>
        <w:pStyle w:val="a6"/>
        <w:ind w:left="422" w:firstLine="0"/>
        <w:rPr>
          <w:spacing w:val="-6"/>
          <w:rtl/>
        </w:rPr>
      </w:pPr>
      <w:r>
        <w:rPr>
          <w:rFonts w:hint="cs"/>
          <w:spacing w:val="-6"/>
          <w:rtl/>
        </w:rPr>
        <w:t>أنظر: خلاصة الأثر، 1/396-398؛ ريحانة الألبا، 2/283؛ نفحة الريحانة، 3/76؛ لطـف السـمـر، 1/315، 323، 388، 608، 2/478؛ حدائق الحدائق في تكملة الشقائق النعمانية في علماء الدولة العثمانية لعطاء الله نوعي زاده، ص.69-692؛ عثمـانـلي مؤلفلري، 2/22-23؛ ذيـل دوحـة الـمشـايـخ، ل19/أ-19/ب؛ من أعلام الفكر العربي، ص476، 479.</w:t>
      </w:r>
      <w:r>
        <w:rPr>
          <w:rFonts w:hint="cs"/>
          <w:spacing w:val="-6"/>
          <w:rtl/>
        </w:rPr>
        <w:tab/>
      </w:r>
      <w:r>
        <w:rPr>
          <w:rFonts w:hint="cs"/>
          <w:spacing w:val="-6"/>
          <w:rtl/>
        </w:rPr>
        <w:tab/>
      </w:r>
    </w:p>
  </w:footnote>
  <w:footnote w:id="440">
    <w:p w:rsidR="00035BE3" w:rsidRDefault="00035BE3" w:rsidP="00C10469">
      <w:pPr>
        <w:pStyle w:val="a8"/>
        <w:bidi/>
        <w:spacing w:line="460" w:lineRule="exact"/>
        <w:ind w:left="422" w:right="0" w:hanging="423"/>
        <w:rPr>
          <w:rtl/>
        </w:rPr>
      </w:pPr>
      <w:r w:rsidRPr="00452B1B">
        <w:rPr>
          <w:rFonts w:hint="cs"/>
          <w:vertAlign w:val="superscript"/>
          <w:rtl/>
        </w:rPr>
        <w:t>(</w:t>
      </w:r>
      <w:r w:rsidRPr="00452B1B">
        <w:rPr>
          <w:rStyle w:val="a7"/>
        </w:rPr>
        <w:footnoteRef/>
      </w:r>
      <w:r w:rsidRPr="00452B1B">
        <w:rPr>
          <w:vertAlign w:val="superscript"/>
        </w:rPr>
        <w:t></w:t>
      </w:r>
      <w:r w:rsidRPr="00452B1B">
        <w:rPr>
          <w:rFonts w:hint="cs"/>
          <w:vertAlign w:val="superscript"/>
          <w:rtl/>
        </w:rPr>
        <w:t>)</w:t>
      </w:r>
      <w:r>
        <w:rPr>
          <w:rFonts w:hint="cs"/>
          <w:rtl/>
        </w:rPr>
        <w:t xml:space="preserve">   «ألا وهو ... بأبه الأمجد»:  ساقطة من (جـ).</w:t>
      </w:r>
    </w:p>
  </w:footnote>
  <w:footnote w:id="441">
    <w:p w:rsidR="00035BE3" w:rsidRDefault="00035BE3" w:rsidP="00C10469">
      <w:pPr>
        <w:pStyle w:val="a8"/>
        <w:bidi/>
        <w:spacing w:line="460" w:lineRule="exact"/>
        <w:ind w:left="422" w:right="0" w:hanging="423"/>
        <w:rPr>
          <w:rtl/>
        </w:rPr>
      </w:pPr>
      <w:r w:rsidRPr="00452B1B">
        <w:rPr>
          <w:rFonts w:hint="cs"/>
          <w:vertAlign w:val="superscript"/>
          <w:rtl/>
        </w:rPr>
        <w:t>(</w:t>
      </w:r>
      <w:r w:rsidRPr="00452B1B">
        <w:rPr>
          <w:rStyle w:val="a7"/>
        </w:rPr>
        <w:footnoteRef/>
      </w:r>
      <w:r w:rsidRPr="00452B1B">
        <w:rPr>
          <w:vertAlign w:val="superscript"/>
        </w:rPr>
        <w:t></w:t>
      </w:r>
      <w:r w:rsidRPr="00452B1B">
        <w:rPr>
          <w:rFonts w:hint="cs"/>
          <w:vertAlign w:val="superscript"/>
          <w:rtl/>
        </w:rPr>
        <w:t>)</w:t>
      </w:r>
      <w:r>
        <w:rPr>
          <w:rFonts w:hint="cs"/>
          <w:rtl/>
        </w:rPr>
        <w:t xml:space="preserve">   نهاية 2/أ من (د).</w:t>
      </w:r>
    </w:p>
  </w:footnote>
  <w:footnote w:id="442">
    <w:p w:rsidR="00035BE3" w:rsidRDefault="00035BE3" w:rsidP="00C10469">
      <w:pPr>
        <w:pStyle w:val="a8"/>
        <w:bidi/>
        <w:spacing w:line="460" w:lineRule="exact"/>
        <w:ind w:left="422" w:right="0" w:hanging="423"/>
        <w:rPr>
          <w:rtl/>
        </w:rPr>
      </w:pPr>
      <w:r w:rsidRPr="00452B1B">
        <w:rPr>
          <w:rFonts w:hint="cs"/>
          <w:vertAlign w:val="superscript"/>
          <w:rtl/>
        </w:rPr>
        <w:t>(</w:t>
      </w:r>
      <w:r w:rsidRPr="00452B1B">
        <w:rPr>
          <w:rStyle w:val="a7"/>
        </w:rPr>
        <w:footnoteRef/>
      </w:r>
      <w:r w:rsidRPr="00452B1B">
        <w:rPr>
          <w:vertAlign w:val="superscript"/>
        </w:rPr>
        <w:t></w:t>
      </w:r>
      <w:r w:rsidRPr="00452B1B">
        <w:rPr>
          <w:rFonts w:hint="cs"/>
          <w:vertAlign w:val="superscript"/>
          <w:rtl/>
        </w:rPr>
        <w:t>)</w:t>
      </w:r>
      <w:r>
        <w:rPr>
          <w:rFonts w:hint="cs"/>
          <w:rtl/>
        </w:rPr>
        <w:t xml:space="preserve">   جاء في هامش (أ) : «أي المرآة».</w:t>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60" w:lineRule="exact"/>
        <w:ind w:left="422" w:firstLine="0"/>
        <w:rPr>
          <w:rtl/>
        </w:rPr>
      </w:pPr>
      <w:r>
        <w:rPr>
          <w:rFonts w:hint="cs"/>
          <w:b/>
          <w:bCs/>
          <w:rtl/>
        </w:rPr>
        <w:t>والسجنجل</w:t>
      </w:r>
      <w:r>
        <w:rPr>
          <w:rFonts w:hint="cs"/>
          <w:rtl/>
        </w:rPr>
        <w:t>: كلمة رومية معرَّبة</w:t>
      </w:r>
      <w:r>
        <w:rPr>
          <w:rFonts w:hint="cs"/>
          <w:rtl/>
          <w:lang w:bidi="ar-AE"/>
        </w:rPr>
        <w:t xml:space="preserve"> بمعنى المرآة</w:t>
      </w:r>
      <w:r>
        <w:rPr>
          <w:rFonts w:hint="cs"/>
          <w:rtl/>
        </w:rPr>
        <w:t>، وقد استخدمها امرؤ القيس في شعره وغيره، ولها معانٍ أخر</w:t>
      </w:r>
      <w:r>
        <w:rPr>
          <w:rFonts w:hint="eastAsia"/>
          <w:rtl/>
        </w:rPr>
        <w:t> </w:t>
      </w:r>
      <w:r>
        <w:rPr>
          <w:rFonts w:hint="cs"/>
          <w:rtl/>
        </w:rPr>
        <w:t>غير المرآة، كالذهب وسبائك الفضة والزعفران، وأشهرها المرآة، وهو المعنى المراد هنا.</w:t>
      </w:r>
    </w:p>
    <w:p w:rsidR="00035BE3" w:rsidRDefault="00035BE3" w:rsidP="00C10469">
      <w:pPr>
        <w:pStyle w:val="a6"/>
        <w:spacing w:line="460" w:lineRule="exact"/>
        <w:ind w:left="422" w:firstLine="0"/>
        <w:rPr>
          <w:rtl/>
        </w:rPr>
      </w:pPr>
      <w:r>
        <w:rPr>
          <w:rFonts w:hint="cs"/>
          <w:rtl/>
        </w:rPr>
        <w:t>انظر: القاموس المحيط، مادة «سجل» ، ص1309-1310؛ محيط المحيط، مادة «سجن»، ص398؛ المعجم الوسيط، مادة «سجن»، 1/418؛ المعجم الوجيز، مادة «سجن»، ص304.</w:t>
      </w:r>
    </w:p>
  </w:footnote>
  <w:footnote w:id="443">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(جـ): «ابقائه».</w:t>
      </w:r>
    </w:p>
  </w:footnote>
  <w:footnote w:id="444">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(ب) و(د): «لازال».</w:t>
      </w:r>
    </w:p>
  </w:footnote>
  <w:footnote w:id="445">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(جـ): «لا يزال».</w:t>
      </w:r>
    </w:p>
  </w:footnote>
  <w:footnote w:id="446">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أي: بابُهُ - كما سبق بيانه في ص193-.</w:t>
      </w:r>
    </w:p>
  </w:footnote>
  <w:footnote w:id="447">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(د): «في حياة».</w:t>
      </w:r>
    </w:p>
  </w:footnote>
  <w:footnote w:id="448">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(جـ): «أناملكم».</w:t>
      </w:r>
    </w:p>
  </w:footnote>
  <w:footnote w:id="449">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نهاية 1/ب من (أ).</w:t>
      </w:r>
    </w:p>
  </w:footnote>
  <w:footnote w:id="450">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(د): «أثبت».</w:t>
      </w:r>
    </w:p>
  </w:footnote>
  <w:footnote w:id="451">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(جـ): «سؤلي».</w:t>
      </w:r>
    </w:p>
  </w:footnote>
  <w:footnote w:id="452">
    <w:p w:rsidR="00035BE3" w:rsidRDefault="00035BE3" w:rsidP="00C10469">
      <w:pPr>
        <w:pStyle w:val="a8"/>
        <w:bidi/>
        <w:ind w:left="422" w:hanging="423"/>
        <w:rPr>
          <w:rtl/>
        </w:rPr>
      </w:pPr>
      <w:r>
        <w:rPr>
          <w:rFonts w:hint="cs"/>
          <w:vertAlign w:val="superscript"/>
          <w:rtl/>
        </w:rPr>
        <w:t>(</w:t>
      </w:r>
      <w:r>
        <w:rPr>
          <w:rStyle w:val="a7"/>
        </w:rPr>
        <w:footnoteRef/>
      </w:r>
      <w:r>
        <w:rPr>
          <w:rFonts w:hint="cs"/>
          <w:vertAlign w:val="superscript"/>
          <w:rtl/>
        </w:rPr>
        <w:t>)</w:t>
      </w:r>
      <w:r>
        <w:rPr>
          <w:rFonts w:hint="cs"/>
          <w:rtl/>
        </w:rPr>
        <w:t xml:space="preserve">  في (جـ): «أخلي».</w:t>
      </w:r>
    </w:p>
  </w:footnote>
  <w:footnote w:id="453">
    <w:p w:rsidR="00035BE3" w:rsidRDefault="00035BE3" w:rsidP="00C10469">
      <w:pPr>
        <w:pStyle w:val="a8"/>
        <w:bidi/>
        <w:spacing w:line="221" w:lineRule="auto"/>
        <w:ind w:left="425" w:right="0"/>
        <w:rPr>
          <w:rtl/>
        </w:rPr>
      </w:pPr>
      <w:r>
        <w:rPr>
          <w:rFonts w:hint="cs"/>
          <w:vertAlign w:val="superscript"/>
          <w:rtl/>
        </w:rPr>
        <w:t>(</w:t>
      </w:r>
      <w:r>
        <w:rPr>
          <w:rStyle w:val="a7"/>
        </w:rPr>
        <w:footnoteRef/>
      </w:r>
      <w:r>
        <w:rPr>
          <w:rFonts w:hint="cs"/>
          <w:vertAlign w:val="superscript"/>
          <w:rtl/>
        </w:rPr>
        <w:t>)</w:t>
      </w:r>
      <w:r>
        <w:rPr>
          <w:rFonts w:hint="cs"/>
          <w:rtl/>
        </w:rPr>
        <w:t xml:space="preserve">   في (جـ): «الأمر».</w:t>
      </w:r>
    </w:p>
  </w:footnote>
  <w:footnote w:id="454">
    <w:p w:rsidR="00035BE3" w:rsidRDefault="00035BE3" w:rsidP="00C10469">
      <w:pPr>
        <w:pStyle w:val="a8"/>
        <w:bidi/>
        <w:spacing w:line="221" w:lineRule="auto"/>
        <w:ind w:left="425"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الأمر</w:t>
      </w:r>
      <w:r>
        <w:rPr>
          <w:rFonts w:hint="cs"/>
          <w:rtl/>
        </w:rPr>
        <w:t xml:space="preserve"> في اللغة: ضد النهي.</w:t>
      </w:r>
    </w:p>
    <w:p w:rsidR="00035BE3" w:rsidRDefault="00035BE3" w:rsidP="00C10469">
      <w:pPr>
        <w:pStyle w:val="a6"/>
        <w:spacing w:line="221" w:lineRule="auto"/>
        <w:ind w:left="425" w:firstLine="0"/>
        <w:rPr>
          <w:rtl/>
        </w:rPr>
      </w:pPr>
      <w:r>
        <w:rPr>
          <w:rFonts w:hint="cs"/>
          <w:rtl/>
        </w:rPr>
        <w:t>أما في الاصطلاح فهو: «اللفظ الدَّال على طلب الفعل بطريق الاستعلاء». وقد اختار هذا التعريف البخاري في (كشف الأسرار)، 1/242.</w:t>
      </w:r>
    </w:p>
    <w:p w:rsidR="00035BE3" w:rsidRDefault="00035BE3" w:rsidP="00C10469">
      <w:pPr>
        <w:pStyle w:val="a6"/>
        <w:spacing w:line="221" w:lineRule="auto"/>
        <w:ind w:left="425" w:firstLine="0"/>
        <w:rPr>
          <w:rtl/>
        </w:rPr>
      </w:pPr>
      <w:r>
        <w:rPr>
          <w:rFonts w:hint="cs"/>
          <w:rtl/>
        </w:rPr>
        <w:t>والأمر الوارد في القاعدة المراد به: الأمر بما فيه «تعدٍّ على مالٍ أو نفس. فلو أمر شخص آخر بإتلاف مال الغير ... أو بارتكاب جريمة، ففعل ذلك: كان المأمور هو المسؤول</w:t>
      </w:r>
      <w:r>
        <w:t xml:space="preserve"> </w:t>
      </w:r>
      <w:r>
        <w:rPr>
          <w:rFonts w:hint="cs"/>
          <w:rtl/>
        </w:rPr>
        <w:t>الضامن؛ لأنه هو الفاعل دون الآمر» -كذا في المدخل الفقهي العام، 2/1042، فقرة656-.</w:t>
      </w:r>
    </w:p>
    <w:p w:rsidR="00035BE3" w:rsidRDefault="00035BE3" w:rsidP="00C10469">
      <w:pPr>
        <w:pStyle w:val="a6"/>
        <w:spacing w:line="221" w:lineRule="auto"/>
        <w:ind w:left="425" w:firstLine="0"/>
        <w:rPr>
          <w:rtl/>
        </w:rPr>
      </w:pPr>
      <w:r>
        <w:rPr>
          <w:rFonts w:hint="cs"/>
          <w:rtl/>
        </w:rPr>
        <w:t>وانظر المعنى اللغوي في: المقاييس في اللغة، مادة «أمر»، ص90؛ لسان العرب، مادة «أمر»، 4/26؛ القاموس المحيط، مادة «أمر»، ص439.</w:t>
      </w:r>
    </w:p>
    <w:p w:rsidR="00035BE3" w:rsidRDefault="00035BE3" w:rsidP="00C10469">
      <w:pPr>
        <w:pStyle w:val="a6"/>
        <w:spacing w:line="221" w:lineRule="auto"/>
        <w:ind w:left="425" w:firstLine="0"/>
        <w:rPr>
          <w:rtl/>
        </w:rPr>
      </w:pPr>
      <w:r>
        <w:rPr>
          <w:rFonts w:hint="cs"/>
          <w:rtl/>
        </w:rPr>
        <w:t xml:space="preserve">هذا ما يتعلق بمعنى القاعدة. </w:t>
      </w:r>
    </w:p>
    <w:p w:rsidR="00035BE3" w:rsidRDefault="00035BE3" w:rsidP="00C10469">
      <w:pPr>
        <w:pStyle w:val="a6"/>
        <w:spacing w:line="221" w:lineRule="auto"/>
        <w:ind w:left="425" w:firstLine="0"/>
        <w:rPr>
          <w:b/>
          <w:bCs/>
        </w:rPr>
      </w:pPr>
      <w:r>
        <w:rPr>
          <w:rFonts w:hint="cs"/>
          <w:b/>
          <w:bCs/>
          <w:rtl/>
        </w:rPr>
        <w:t xml:space="preserve">أما توثيقها : </w:t>
      </w:r>
    </w:p>
    <w:p w:rsidR="00035BE3" w:rsidRDefault="00035BE3" w:rsidP="00C10469">
      <w:pPr>
        <w:pStyle w:val="a6"/>
        <w:spacing w:line="221" w:lineRule="auto"/>
        <w:ind w:left="425" w:firstLine="0"/>
        <w:rPr>
          <w:rtl/>
        </w:rPr>
      </w:pPr>
      <w:r>
        <w:rPr>
          <w:rFonts w:hint="cs"/>
          <w:rtl/>
        </w:rPr>
        <w:t xml:space="preserve">فقد وردت بلفظ المؤلف أو نحوه في كثير من </w:t>
      </w:r>
      <w:r>
        <w:rPr>
          <w:rFonts w:hint="cs"/>
          <w:b/>
          <w:bCs/>
          <w:rtl/>
        </w:rPr>
        <w:t>كتب القواعد الفقهية</w:t>
      </w:r>
      <w:r>
        <w:rPr>
          <w:rFonts w:hint="cs"/>
          <w:rtl/>
        </w:rPr>
        <w:t xml:space="preserve"> عند الحنفية، منها: </w:t>
      </w:r>
    </w:p>
    <w:p w:rsidR="00035BE3" w:rsidRPr="003A3FF7" w:rsidRDefault="00035BE3" w:rsidP="00C10469">
      <w:pPr>
        <w:pStyle w:val="a6"/>
        <w:spacing w:line="221" w:lineRule="auto"/>
        <w:ind w:left="425" w:firstLine="0"/>
        <w:rPr>
          <w:rtl/>
        </w:rPr>
      </w:pPr>
      <w:r w:rsidRPr="003A3FF7">
        <w:rPr>
          <w:rFonts w:hint="cs"/>
          <w:rtl/>
        </w:rPr>
        <w:t>الأشباه والنظائر لابن نجيم، ص318؛ قواعد الفقه له أيضا، ص248، قاعدة 135؛ الفوائد الزينية له كذلك، ص96، فائدة 93؛  غمز عيون البصائر شرح كتاب الأشباه والنظائر، 3/210؛ مجامع الحقائق، (الخاتمة)، ص44؛ شرح قواعد الخادمي لمحمد العلائي، ل6 / أ-ب؛ منافع الدقائق شرح مجامع الحقائق، ص309؛ الفرائد البهية للحمزاوي، ص139، قاعدة 179؛ وقد وردت في المادة 89 من مجلة الأحكام العدلية بلفظ: «يضاف الفعل إلى الفاعل لا الآمر ما لم يكن مُجبرًا»، وقد صرح صاحب درر الحكام شرح مجلة الأحكام- 1/80- بأن لفظ المجلة هذا مأخوذ من كلمة : «الآمر لا يضمن بالأمر»؛ وانظر: شرح المجلة لسليم رستم اللبناني، 1/58؛ وشرحها للأتاسي، 1/247؛ شرح القواعد الفقهية لأحمد الزرقا، ص443، قواعد الفقه لمحمد عميم الإحسان المجدِّدي الـبركتي، ص141، قاعدة411؛ المدخل الفقهي العام، 2/1042، فـقرة 656؛ الوجيز للدكتور محمد صدقي البورنو، ص325 -وقد ذكرها باللفظين السابقين-؛ موسوعة القواعد الفقهية له أيضًا، 2/267،- وقد ذكرها بلفظ المؤلف فقط-.</w:t>
      </w:r>
    </w:p>
    <w:p w:rsidR="00035BE3" w:rsidRDefault="00035BE3" w:rsidP="00C10469">
      <w:pPr>
        <w:pStyle w:val="a6"/>
        <w:spacing w:line="228" w:lineRule="auto"/>
        <w:ind w:left="424" w:firstLine="0"/>
        <w:rPr>
          <w:rtl/>
        </w:rPr>
      </w:pPr>
      <w:r>
        <w:rPr>
          <w:rFonts w:hint="cs"/>
          <w:b/>
          <w:bCs/>
          <w:rtl/>
        </w:rPr>
        <w:t>كما وردت في كتابي</w:t>
      </w:r>
      <w:r>
        <w:rPr>
          <w:rFonts w:hint="cs"/>
          <w:rtl/>
        </w:rPr>
        <w:t xml:space="preserve"> : الدر المختار وردّ المحتار عليه، 9/310.</w:t>
      </w:r>
    </w:p>
    <w:p w:rsidR="00035BE3" w:rsidRDefault="00035BE3" w:rsidP="00C10469">
      <w:pPr>
        <w:pStyle w:val="a6"/>
        <w:spacing w:line="440" w:lineRule="exact"/>
        <w:ind w:left="424" w:firstLine="0"/>
        <w:rPr>
          <w:rtl/>
        </w:rPr>
      </w:pPr>
      <w:r w:rsidRPr="00694510">
        <w:rPr>
          <w:rFonts w:hint="cs"/>
          <w:spacing w:val="2"/>
          <w:rtl/>
        </w:rPr>
        <w:t>وقد ذكر المالكية قاعدة لها نوع صلة بهذه القاعدة، إلاّ أنها تتحدث عمّا إذا كانت ذمّة المأمور مشغولة بوجوب الضمان للآمر فأمره بفعل يتعلّق بذلك، فهل يرتفع الضّمان؟، وهي: «الأمر هل يُخرج ما بالذِّمة إلى الأمانة فيرتفع الضمان، أم لا ؟».</w:t>
      </w:r>
      <w:r>
        <w:rPr>
          <w:rFonts w:hint="cs"/>
          <w:rtl/>
        </w:rPr>
        <w:tab/>
      </w:r>
      <w:r>
        <w:rPr>
          <w:rFonts w:hint="cs"/>
          <w:rtl/>
        </w:rPr>
        <w:tab/>
        <w:t xml:space="preserve">                               </w:t>
      </w:r>
    </w:p>
    <w:p w:rsidR="00035BE3" w:rsidRDefault="00035BE3" w:rsidP="00C10469">
      <w:pPr>
        <w:pStyle w:val="a6"/>
        <w:spacing w:line="228" w:lineRule="auto"/>
        <w:ind w:left="424" w:firstLine="0"/>
        <w:rPr>
          <w:rtl/>
        </w:rPr>
      </w:pPr>
      <w:r>
        <w:rPr>
          <w:rFonts w:hint="cs"/>
          <w:rtl/>
        </w:rPr>
        <w:t xml:space="preserve"> بمعنى: أن الأمر إذا كان يتعلق بشيء للآمر في ذمة غيره فهل يجعل ما للآمر في ذمة غيره مجرد أمانة عنده، فلا ضمان عليه وإنما يتحمل الآمر نتيجة أمره.</w:t>
      </w:r>
    </w:p>
    <w:p w:rsidR="00035BE3" w:rsidRDefault="00035BE3" w:rsidP="00C10469">
      <w:pPr>
        <w:pStyle w:val="a6"/>
        <w:spacing w:line="221" w:lineRule="auto"/>
        <w:ind w:left="424" w:firstLine="0"/>
        <w:rPr>
          <w:rtl/>
        </w:rPr>
      </w:pPr>
      <w:r>
        <w:rPr>
          <w:rFonts w:hint="cs"/>
          <w:rtl/>
        </w:rPr>
        <w:t>ومثالها : «من قال لمن أسْلَمَ اليه في طعام: كِلْهُ في غرائِرك. فقال: كِلْتُهُ. وضاع ولم تقمْ بينة».</w:t>
      </w:r>
    </w:p>
    <w:p w:rsidR="00035BE3" w:rsidRDefault="00035BE3" w:rsidP="00C10469">
      <w:pPr>
        <w:pStyle w:val="a6"/>
        <w:spacing w:line="221" w:lineRule="auto"/>
        <w:ind w:left="424" w:firstLine="0"/>
        <w:rPr>
          <w:rtl/>
        </w:rPr>
      </w:pPr>
      <w:r>
        <w:rPr>
          <w:rFonts w:hint="cs"/>
          <w:rtl/>
        </w:rPr>
        <w:t xml:space="preserve">انظر هذه القاعدة في : إيضاح المسالك إلى قواعد الإمام أبي عبد الله مالك، ص99، قاعدة 68؛ شرح المنهج المنتخب إلى قواعد المذهب، ص406. </w:t>
      </w:r>
    </w:p>
  </w:footnote>
  <w:footnote w:id="455">
    <w:p w:rsidR="00035BE3" w:rsidRDefault="00035BE3" w:rsidP="00C10469">
      <w:pPr>
        <w:pStyle w:val="a8"/>
        <w:bidi/>
        <w:spacing w:line="221"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(ب): «من».</w:t>
      </w:r>
    </w:p>
  </w:footnote>
  <w:footnote w:id="456">
    <w:p w:rsidR="00035BE3" w:rsidRDefault="00035BE3" w:rsidP="00C10469">
      <w:pPr>
        <w:pStyle w:val="a8"/>
        <w:bidi/>
        <w:spacing w:line="221"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نهاية 1/ب من (ب).</w:t>
      </w:r>
    </w:p>
  </w:footnote>
  <w:footnote w:id="457">
    <w:p w:rsidR="00035BE3" w:rsidRDefault="00035BE3" w:rsidP="00C10469">
      <w:pPr>
        <w:pStyle w:val="a8"/>
        <w:bidi/>
        <w:spacing w:line="221"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ذكر ابن نجيم أن عدد هذه المسائل: خمس، ثم سرد المسائل الخمس الأُول التي سيذكرها المؤلف.</w:t>
      </w:r>
    </w:p>
    <w:p w:rsidR="00035BE3" w:rsidRPr="00215708" w:rsidRDefault="00035BE3" w:rsidP="00C10469">
      <w:pPr>
        <w:pStyle w:val="a6"/>
        <w:spacing w:line="228" w:lineRule="auto"/>
        <w:ind w:left="424" w:firstLine="0"/>
        <w:rPr>
          <w:sz w:val="28"/>
          <w:szCs w:val="28"/>
          <w:rtl/>
        </w:rPr>
      </w:pPr>
      <w:r w:rsidRPr="00215708">
        <w:rPr>
          <w:rFonts w:hint="cs"/>
          <w:sz w:val="28"/>
          <w:szCs w:val="28"/>
          <w:rtl/>
        </w:rPr>
        <w:t>وقد تعقّبه الحموي (ت1098هـ)، وابن عابدين (ت 1252هـ) في (حاشيته على الأشباه) وذكرا بأن الصواب: ست، كما ذكر الحموي، وابن عابدين في (حاشيته على الدر المختار) أن المسألة السادسة وردت في بعض نسخ الأشباه، وصرح الأخير وصاحب (الفرائد البهية) بأن السادسة هي ما إذا كان الآمر أبًا. وهي المسألة الأخيرة التي سيذكرها المؤلف. يضاف إلى هذا أن ابن عابدين في نهاية حديثه عن القاعدة أورد تتمةً ذكر فيها ثلاث مسائل أخر مستثناة، ثم قال: «والتتبع ينفي الحصر».</w:t>
      </w:r>
    </w:p>
    <w:p w:rsidR="00035BE3" w:rsidRDefault="00035BE3" w:rsidP="00C10469">
      <w:pPr>
        <w:pStyle w:val="a6"/>
        <w:spacing w:line="228" w:lineRule="auto"/>
        <w:ind w:left="424" w:firstLine="0"/>
        <w:rPr>
          <w:spacing w:val="-10"/>
          <w:sz w:val="28"/>
          <w:szCs w:val="28"/>
          <w:rtl/>
        </w:rPr>
      </w:pPr>
      <w:r w:rsidRPr="00215708">
        <w:rPr>
          <w:rFonts w:hint="cs"/>
          <w:sz w:val="28"/>
          <w:szCs w:val="28"/>
          <w:rtl/>
        </w:rPr>
        <w:t>انظر: الأشباه والنظائر لابن نجيم ومعه: نزهة النواظر لابن عابدين، ص338-339؛ قواعد الفقه لابن نجيم، ص248-249؛ غمز عيون البصائر، 3/210؛ الدّر المختار وحاشية ابن عابدين عليه (المسماة: ردّ المحتار)، 9/310-311؛ الفرائد البهية للحمزاوي، ص139؛ ومن الكتب التي أوردت المسائل الخمس: جامع الفصولين، 2/78؛ منافع الدقائق، ص309</w:t>
      </w:r>
      <w:r>
        <w:rPr>
          <w:rFonts w:hint="cs"/>
          <w:spacing w:val="-10"/>
          <w:sz w:val="28"/>
          <w:szCs w:val="28"/>
          <w:rtl/>
        </w:rPr>
        <w:t>.</w:t>
      </w:r>
    </w:p>
  </w:footnote>
  <w:footnote w:id="458">
    <w:p w:rsidR="00035BE3" w:rsidRDefault="00035BE3" w:rsidP="00C10469">
      <w:pPr>
        <w:pStyle w:val="a8"/>
        <w:bidi/>
        <w:spacing w:line="228" w:lineRule="auto"/>
        <w:ind w:left="424" w:right="0"/>
        <w:rPr>
          <w:spacing w:val="-6"/>
          <w:sz w:val="28"/>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6"/>
          <w:sz w:val="28"/>
          <w:rtl/>
        </w:rPr>
        <w:t>انظر: كشف الأسرار للبخاري، 4/651؛ الأشباه والنظائر للسيوطي، 1/425-426؛ رد المحتار، 9/178-182.</w:t>
      </w:r>
    </w:p>
  </w:footnote>
  <w:footnote w:id="459">
    <w:p w:rsidR="00035BE3" w:rsidRDefault="00035BE3" w:rsidP="00C10469">
      <w:pPr>
        <w:pStyle w:val="a8"/>
        <w:bidi/>
        <w:spacing w:line="228"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نهاية 1/ب من (جـ).</w:t>
      </w:r>
    </w:p>
  </w:footnote>
  <w:footnote w:id="460">
    <w:p w:rsidR="00035BE3" w:rsidRDefault="00035BE3" w:rsidP="00C10469">
      <w:pPr>
        <w:pStyle w:val="a8"/>
        <w:bidi/>
        <w:spacing w:line="228"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(د): «لمأمور».</w:t>
      </w:r>
    </w:p>
  </w:footnote>
  <w:footnote w:id="461">
    <w:p w:rsidR="00035BE3" w:rsidRDefault="00035BE3" w:rsidP="00C10469">
      <w:pPr>
        <w:pStyle w:val="a8"/>
        <w:bidi/>
        <w:spacing w:line="228"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«أن». والصحيح ما تمّ إثباته من (ب). </w:t>
      </w:r>
    </w:p>
  </w:footnote>
  <w:footnote w:id="462">
    <w:p w:rsidR="00035BE3" w:rsidRDefault="00035BE3" w:rsidP="00C10469">
      <w:pPr>
        <w:pStyle w:val="a8"/>
        <w:bidi/>
        <w:spacing w:line="228"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(ب): «حامل».</w:t>
      </w:r>
    </w:p>
  </w:footnote>
  <w:footnote w:id="463">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الإكراه في اللغة</w:t>
      </w:r>
      <w:r>
        <w:rPr>
          <w:rFonts w:hint="cs"/>
          <w:rtl/>
        </w:rPr>
        <w:t xml:space="preserve">: مصدر أكره، يقال: «أكرهتُهُ: حملتُه على أمرٍ هو له كاره»-كذا في اللسان-.    </w:t>
      </w:r>
    </w:p>
    <w:p w:rsidR="00035BE3" w:rsidRDefault="00035BE3" w:rsidP="00C10469">
      <w:pPr>
        <w:pStyle w:val="a6"/>
        <w:ind w:left="424" w:firstLine="0"/>
        <w:rPr>
          <w:rtl/>
        </w:rPr>
      </w:pPr>
      <w:r>
        <w:rPr>
          <w:rFonts w:hint="cs"/>
          <w:rtl/>
        </w:rPr>
        <w:t>أما مادة هذه الكلمة فقد بـيَّن معناها صاحب (المقاييس) بقوله: «الكاف والراء والهاء أصل صحيح واحد يدل على خلاف الرضا والمحبة».</w:t>
      </w:r>
    </w:p>
    <w:p w:rsidR="00035BE3" w:rsidRDefault="00035BE3" w:rsidP="00C10469">
      <w:pPr>
        <w:pStyle w:val="a6"/>
        <w:ind w:left="424" w:firstLine="0"/>
        <w:rPr>
          <w:rtl/>
        </w:rPr>
      </w:pPr>
      <w:r>
        <w:rPr>
          <w:rFonts w:hint="cs"/>
          <w:rtl/>
        </w:rPr>
        <w:t>- لسان العرب، مادة «كره»، 13/535؛ المقاييس في اللغة، مادة «كره»، ص923؛ وانظر : القاموس المحيط، مادة «كره»، ص1616-.</w:t>
      </w:r>
    </w:p>
    <w:p w:rsidR="00035BE3" w:rsidRDefault="00035BE3" w:rsidP="00C10469">
      <w:pPr>
        <w:pStyle w:val="a6"/>
        <w:ind w:left="424" w:firstLine="0"/>
        <w:rPr>
          <w:rtl/>
        </w:rPr>
      </w:pPr>
      <w:r>
        <w:rPr>
          <w:rFonts w:hint="cs"/>
          <w:b/>
          <w:bCs/>
          <w:rtl/>
        </w:rPr>
        <w:t>وفي الاصطلاح</w:t>
      </w:r>
      <w:r>
        <w:rPr>
          <w:rFonts w:hint="cs"/>
          <w:rtl/>
        </w:rPr>
        <w:t xml:space="preserve"> هو: «حمل الغير على أمر يمتنع عنه بتخويف يقدر الحامل على إيقاعه، ويصير الغير خائفًا</w:t>
      </w:r>
      <w:r>
        <w:rPr>
          <w:rFonts w:hint="eastAsia"/>
          <w:rtl/>
        </w:rPr>
        <w:t> </w:t>
      </w:r>
      <w:r>
        <w:rPr>
          <w:rFonts w:hint="cs"/>
          <w:rtl/>
        </w:rPr>
        <w:t>به». وهذا اختيار البخاري في كشف الأسرار، 4/632.</w:t>
      </w:r>
    </w:p>
    <w:p w:rsidR="00035BE3" w:rsidRDefault="00035BE3" w:rsidP="00C10469">
      <w:pPr>
        <w:pStyle w:val="a6"/>
        <w:ind w:left="424" w:firstLine="0"/>
        <w:rPr>
          <w:b/>
          <w:bCs/>
          <w:rtl/>
        </w:rPr>
      </w:pPr>
      <w:r>
        <w:rPr>
          <w:rFonts w:hint="cs"/>
          <w:b/>
          <w:bCs/>
          <w:rtl/>
        </w:rPr>
        <w:t xml:space="preserve"> وللإكراه أنواع منها:</w:t>
      </w:r>
    </w:p>
    <w:p w:rsidR="00035BE3" w:rsidRDefault="00035BE3" w:rsidP="00C10469">
      <w:pPr>
        <w:pStyle w:val="a6"/>
        <w:ind w:left="424" w:hanging="454"/>
        <w:rPr>
          <w:rtl/>
        </w:rPr>
      </w:pPr>
      <w:r>
        <w:rPr>
          <w:rFonts w:hint="cs"/>
          <w:b/>
          <w:bCs/>
          <w:rtl/>
        </w:rPr>
        <w:t>1</w:t>
      </w:r>
      <w:r>
        <w:rPr>
          <w:rFonts w:hint="cs"/>
          <w:rtl/>
        </w:rPr>
        <w:t>- الإكراه الذي يعدم الرضا والاختيار. ومثاله ما لو أُلقي من مكان مرتفع على شخص ليقتله. وهذا ما يسمى بالإكراه الملجِئ عند الجمهور، أما الحنفية فلا يسمونه إكراهً أصلاً؛ لانعدام الاختيار.</w:t>
      </w:r>
    </w:p>
    <w:p w:rsidR="00035BE3" w:rsidRDefault="00035BE3" w:rsidP="00C10469">
      <w:pPr>
        <w:pStyle w:val="a6"/>
        <w:ind w:left="424" w:hanging="454"/>
      </w:pPr>
      <w:r>
        <w:rPr>
          <w:rFonts w:hint="cs"/>
          <w:b/>
          <w:bCs/>
          <w:rtl/>
        </w:rPr>
        <w:t>2</w:t>
      </w:r>
      <w:r>
        <w:rPr>
          <w:rFonts w:hint="cs"/>
          <w:rtl/>
        </w:rPr>
        <w:t>- الذي يعدم الرضا ويفسد الاختيار، ولكن لا يعدمه. ومثاله: التهديد بما يخاف به على نفسه أو عضو من أعضائه. وهذا يسمى بالإكراه الملجىء عند الحنفية، وغير الملجىء عند الجمهور.</w:t>
      </w:r>
    </w:p>
    <w:p w:rsidR="00035BE3" w:rsidRDefault="00035BE3" w:rsidP="00C10469">
      <w:pPr>
        <w:pStyle w:val="a6"/>
        <w:ind w:left="424" w:hanging="454"/>
        <w:rPr>
          <w:rtl/>
        </w:rPr>
      </w:pPr>
      <w:r>
        <w:rPr>
          <w:rFonts w:hint="cs"/>
          <w:b/>
          <w:bCs/>
          <w:rtl/>
        </w:rPr>
        <w:t>3</w:t>
      </w:r>
      <w:r>
        <w:rPr>
          <w:rFonts w:hint="cs"/>
          <w:rtl/>
        </w:rPr>
        <w:t>- الذي يعدم الرضا ولا يفسد الاختيار. مثل التهديد بالحبس أو القيد مدّة مديدة أو بالضرب الذي لا يخاف به التلف على نفسه. وهذا ما يسمى بالإكراه غير الملجىء عند الحنفية، وهو غير ملجىء عند غيرهم</w:t>
      </w:r>
      <w:r>
        <w:rPr>
          <w:rFonts w:hint="eastAsia"/>
          <w:rtl/>
        </w:rPr>
        <w:t> </w:t>
      </w:r>
      <w:r>
        <w:rPr>
          <w:rFonts w:hint="cs"/>
          <w:rtl/>
        </w:rPr>
        <w:t xml:space="preserve">أيضًا. </w:t>
      </w:r>
    </w:p>
    <w:p w:rsidR="00035BE3" w:rsidRDefault="00035BE3" w:rsidP="00C10469">
      <w:pPr>
        <w:pStyle w:val="a6"/>
        <w:ind w:left="424" w:firstLine="0"/>
        <w:rPr>
          <w:rtl/>
        </w:rPr>
      </w:pPr>
      <w:r>
        <w:rPr>
          <w:rFonts w:hint="cs"/>
          <w:rtl/>
        </w:rPr>
        <w:t>ولربط كلام المؤلف بهذه الأنواع يمكن أن يقال : إن المثالين اللذين ذكرهما يصلحان أن يكونا مثالين للنوع الثاني، (الذي يعدم الرضا ويفسد الاختيار)؛ لأن شأن السلطان والسيد أنهما يملكان التهديد بإتلاف النفس أو العضو.</w:t>
      </w:r>
    </w:p>
    <w:p w:rsidR="00035BE3" w:rsidRDefault="00035BE3" w:rsidP="00C10469">
      <w:pPr>
        <w:pStyle w:val="a6"/>
        <w:ind w:left="424" w:firstLine="0"/>
        <w:rPr>
          <w:rtl/>
        </w:rPr>
      </w:pPr>
      <w:r>
        <w:rPr>
          <w:rFonts w:hint="cs"/>
          <w:rtl/>
        </w:rPr>
        <w:t>ومعنى قول المؤلف: «والمحمول آلة»: «أن المكرِه يمكنه إيجاد الفعل المطلوب بنفسه فإذا حمل غيره بوعيد التلف صار كأنه فِعل نفسه» (أفاد ذلك البخاري في كشف الأسرار، 4/641- عند شرحه لقول الحنفية : «يصلح آلة»-).</w:t>
      </w:r>
    </w:p>
    <w:p w:rsidR="00035BE3" w:rsidRDefault="00035BE3" w:rsidP="00C10469">
      <w:pPr>
        <w:pStyle w:val="a6"/>
        <w:ind w:left="424" w:firstLine="0"/>
        <w:rPr>
          <w:rtl/>
        </w:rPr>
      </w:pPr>
      <w:r>
        <w:rPr>
          <w:rFonts w:hint="cs"/>
          <w:rtl/>
        </w:rPr>
        <w:t>وقد زاد الخبازي -في (المغني)، ص402- الأمر وضوحًا فقال: «... إذا اتصل الإكراه الكامل بما يصلُحُ أن يكون الفاعل فيه آلة لغيره، مثل إتلاف النفس والمال: يُنسبُ إلى المكرِه، ولزمه حكمه؛ لأن الإكراه الكامل يفسد الاختيار، والفاسدُ في معارضة الصحيح كالعدم، فصار المكرَهُ بمنزلة عديم الاختيار آلة للمكرِه فيما يحتمل ذلك».</w:t>
      </w:r>
    </w:p>
    <w:p w:rsidR="00035BE3" w:rsidRDefault="00035BE3" w:rsidP="00C10469">
      <w:pPr>
        <w:pStyle w:val="a6"/>
        <w:ind w:left="424" w:firstLine="0"/>
        <w:rPr>
          <w:spacing w:val="-4"/>
          <w:rtl/>
        </w:rPr>
      </w:pPr>
      <w:r>
        <w:rPr>
          <w:rFonts w:hint="cs"/>
          <w:spacing w:val="-4"/>
          <w:rtl/>
        </w:rPr>
        <w:t>وما أوردته إنما هو لتوضيح وجهة نظر المؤلف، أما تحقيق المسألة فيحتاج إلى بسط ليس هذا موضعه.</w:t>
      </w:r>
    </w:p>
    <w:p w:rsidR="00035BE3" w:rsidRPr="00EC418A" w:rsidRDefault="00035BE3" w:rsidP="00C10469">
      <w:pPr>
        <w:pStyle w:val="a6"/>
        <w:ind w:left="424" w:firstLine="0"/>
        <w:rPr>
          <w:spacing w:val="-10"/>
          <w:rtl/>
        </w:rPr>
      </w:pPr>
      <w:r w:rsidRPr="00EC418A">
        <w:rPr>
          <w:rFonts w:hint="cs"/>
          <w:b/>
          <w:bCs/>
          <w:spacing w:val="-10"/>
          <w:rtl/>
        </w:rPr>
        <w:t>وللتوسع في ذلك انظر</w:t>
      </w:r>
      <w:r w:rsidRPr="00EC418A">
        <w:rPr>
          <w:rFonts w:hint="cs"/>
          <w:spacing w:val="-10"/>
          <w:rtl/>
        </w:rPr>
        <w:t>: روضة الناظر، 1/227-228؛ الإحكام للآمدي، 1/203؛ المغني في أصول الفقه للخبازي، ص398-405؛ كشف الأسرار شرح المنار، 2/569-586؛ الفائق في أصول الفقـه، 2/137-138</w:t>
      </w:r>
      <w:r w:rsidRPr="005A61F5">
        <w:rPr>
          <w:rFonts w:hint="cs"/>
          <w:spacing w:val="-4"/>
          <w:rtl/>
        </w:rPr>
        <w:t>؛ شرح مختصر الروضة، 1/194-204؛ كـشف الأسرار للبخاري، 4/631-666؛ السراج</w:t>
      </w:r>
      <w:r>
        <w:rPr>
          <w:rFonts w:hint="cs"/>
          <w:spacing w:val="-4"/>
          <w:rtl/>
        </w:rPr>
        <w:t xml:space="preserve">  </w:t>
      </w:r>
      <w:r w:rsidRPr="00EC418A">
        <w:rPr>
          <w:rFonts w:hint="cs"/>
          <w:spacing w:val="-10"/>
          <w:rtl/>
        </w:rPr>
        <w:t xml:space="preserve"> </w:t>
      </w:r>
    </w:p>
    <w:p w:rsidR="00035BE3" w:rsidRPr="00AC70CB" w:rsidRDefault="00035BE3" w:rsidP="00C10469">
      <w:pPr>
        <w:pStyle w:val="a6"/>
        <w:ind w:left="424" w:firstLine="0"/>
        <w:rPr>
          <w:rtl/>
        </w:rPr>
      </w:pPr>
      <w:r w:rsidRPr="00AC70CB">
        <w:rPr>
          <w:rFonts w:hint="cs"/>
          <w:rtl/>
        </w:rPr>
        <w:t>الوهاج، 1/213؛  التوضيح لمتن التنقيح وشرحه: التلويح، 2/196-202؛ التمهيد في تخريج الفروع على الأصول للإسنوي، ص120-123؛ المنثور في القواعد، 1/188-201؛ القواعد للحصني، 1/301-323؛ شرح المحلي وحاشيتيه : حاشية البناني، 1/71-77؛ وحاشية العطار 1/96-107؛ تيسير التحرير، 2/307-315؛ الضياء اللامع، 1/167-173؛ الأشباه والنظائر للسيوطي، 2/415-427؛ شرح الكوكب المنير، 1/508-509؛ رفع الحرج في الشريعة الإسلامية لشيخنا د.يعقوب الباحسين، ص224-233؛ رفع الحرج في الشريعة الإسلامية للدكتور صالح بن حميد، ص241-257؛ عوارض الأهلية عند الأصوليين، ص472-519؛ إتحاف ذوي البصائر بشرح روضة الناظر لشيخنا أ.د. عبد الكريم النملة، 2/138-145.</w:t>
      </w:r>
    </w:p>
  </w:footnote>
  <w:footnote w:id="464">
    <w:p w:rsidR="00035BE3" w:rsidRPr="0023682E" w:rsidRDefault="00035BE3" w:rsidP="00C10469">
      <w:pPr>
        <w:pStyle w:val="a8"/>
        <w:bidi/>
        <w:spacing w:line="228" w:lineRule="auto"/>
        <w:ind w:left="425" w:right="0"/>
        <w:rPr>
          <w:spacing w:val="-6"/>
          <w:rtl/>
        </w:rPr>
      </w:pPr>
      <w:r w:rsidRPr="0023682E">
        <w:rPr>
          <w:rFonts w:hint="cs"/>
          <w:spacing w:val="-6"/>
          <w:vertAlign w:val="superscript"/>
          <w:rtl/>
          <w:lang w:bidi="ar-AE"/>
        </w:rPr>
        <w:t>(</w:t>
      </w:r>
      <w:r w:rsidRPr="0023682E">
        <w:rPr>
          <w:rStyle w:val="a7"/>
          <w:spacing w:val="-6"/>
        </w:rPr>
        <w:footnoteRef/>
      </w:r>
      <w:r w:rsidRPr="0023682E">
        <w:rPr>
          <w:rFonts w:hint="cs"/>
          <w:spacing w:val="-6"/>
          <w:vertAlign w:val="superscript"/>
          <w:rtl/>
          <w:lang w:bidi="ar-AE"/>
        </w:rPr>
        <w:t>)</w:t>
      </w:r>
      <w:r w:rsidRPr="0023682E">
        <w:rPr>
          <w:rFonts w:hint="cs"/>
          <w:spacing w:val="-6"/>
          <w:rtl/>
          <w:lang w:bidi="ar-AE"/>
        </w:rPr>
        <w:t xml:space="preserve">   </w:t>
      </w:r>
      <w:r w:rsidRPr="0023682E">
        <w:rPr>
          <w:rFonts w:hint="cs"/>
          <w:spacing w:val="-6"/>
          <w:rtl/>
        </w:rPr>
        <w:t xml:space="preserve">تعريف (غير) بِـ (أل) وإن أجازه بعض العلماء؛ إلا أنّه خلاف المشهود عند أهل اللغة؛ لأنها </w:t>
      </w:r>
      <w:r w:rsidRPr="0023682E">
        <w:rPr>
          <w:rFonts w:hint="eastAsia"/>
          <w:spacing w:val="-6"/>
          <w:rtl/>
        </w:rPr>
        <w:t>«</w:t>
      </w:r>
      <w:r w:rsidRPr="0023682E">
        <w:rPr>
          <w:rFonts w:hint="cs"/>
          <w:spacing w:val="-6"/>
          <w:rtl/>
        </w:rPr>
        <w:t>من الألفاظ المتوغّلة في الإبهام التي لا تتعرّف بإضافة أو غيرها</w:t>
      </w:r>
      <w:r w:rsidRPr="0023682E">
        <w:rPr>
          <w:rFonts w:hint="eastAsia"/>
          <w:spacing w:val="-6"/>
          <w:rtl/>
        </w:rPr>
        <w:t>»</w:t>
      </w:r>
      <w:r w:rsidRPr="0023682E">
        <w:rPr>
          <w:rFonts w:hint="cs"/>
          <w:spacing w:val="-6"/>
          <w:rtl/>
        </w:rPr>
        <w:t xml:space="preserve">، وسمّيت بِـ (الألفاظ المتوغّلة في الإبهام)؛ لأنها </w:t>
      </w:r>
      <w:r w:rsidRPr="0023682E">
        <w:rPr>
          <w:rFonts w:hint="eastAsia"/>
          <w:spacing w:val="-6"/>
          <w:rtl/>
        </w:rPr>
        <w:t>«</w:t>
      </w:r>
      <w:r w:rsidRPr="0023682E">
        <w:rPr>
          <w:rFonts w:hint="cs"/>
          <w:spacing w:val="-6"/>
          <w:rtl/>
        </w:rPr>
        <w:t xml:space="preserve">مسموعة ملازمة للتنكير في الأغلب، لا تفيدها الإضافة المحضة تعريفًا، ولا تخصيصًا </w:t>
      </w:r>
      <w:r w:rsidRPr="0023682E">
        <w:rPr>
          <w:spacing w:val="-6"/>
          <w:rtl/>
        </w:rPr>
        <w:t>–</w:t>
      </w:r>
      <w:r w:rsidRPr="0023682E">
        <w:rPr>
          <w:rFonts w:hint="cs"/>
          <w:spacing w:val="-6"/>
          <w:rtl/>
        </w:rPr>
        <w:t xml:space="preserve"> في أكثر الاستعمالات-</w:t>
      </w:r>
      <w:r w:rsidRPr="0023682E">
        <w:rPr>
          <w:rFonts w:hint="eastAsia"/>
          <w:spacing w:val="-6"/>
          <w:rtl/>
        </w:rPr>
        <w:t>»</w:t>
      </w:r>
      <w:r w:rsidRPr="0023682E">
        <w:rPr>
          <w:rFonts w:hint="cs"/>
          <w:spacing w:val="-6"/>
          <w:rtl/>
        </w:rPr>
        <w:t>.</w:t>
      </w:r>
    </w:p>
    <w:p w:rsidR="00035BE3" w:rsidRDefault="00035BE3" w:rsidP="00C10469">
      <w:pPr>
        <w:pStyle w:val="a6"/>
        <w:spacing w:line="228" w:lineRule="auto"/>
        <w:ind w:left="425" w:firstLine="0"/>
        <w:rPr>
          <w:spacing w:val="-8"/>
          <w:sz w:val="28"/>
          <w:szCs w:val="28"/>
          <w:rtl/>
        </w:rPr>
      </w:pPr>
      <w:r>
        <w:rPr>
          <w:rFonts w:hint="cs"/>
          <w:spacing w:val="-8"/>
          <w:sz w:val="28"/>
          <w:szCs w:val="28"/>
          <w:rtl/>
        </w:rPr>
        <w:t xml:space="preserve">لهذا </w:t>
      </w:r>
      <w:r>
        <w:rPr>
          <w:rFonts w:hint="eastAsia"/>
          <w:spacing w:val="-8"/>
          <w:sz w:val="28"/>
          <w:szCs w:val="28"/>
          <w:rtl/>
        </w:rPr>
        <w:t>«</w:t>
      </w:r>
      <w:r>
        <w:rPr>
          <w:rFonts w:hint="cs"/>
          <w:spacing w:val="-8"/>
          <w:sz w:val="28"/>
          <w:szCs w:val="28"/>
          <w:rtl/>
        </w:rPr>
        <w:t>نقل الشنواني عن السّيد أنّه صرّح في حواشي (الكشّاف) بأن (غير) لا تدخل عليها (أل) إلا في كلام المولّدين</w:t>
      </w:r>
      <w:r>
        <w:rPr>
          <w:rFonts w:hint="eastAsia"/>
          <w:spacing w:val="-8"/>
          <w:sz w:val="28"/>
          <w:szCs w:val="28"/>
          <w:rtl/>
        </w:rPr>
        <w:t>»</w:t>
      </w:r>
      <w:r>
        <w:rPr>
          <w:rFonts w:hint="cs"/>
          <w:spacing w:val="-8"/>
          <w:sz w:val="28"/>
          <w:szCs w:val="28"/>
          <w:rtl/>
        </w:rPr>
        <w:t>.</w:t>
      </w:r>
    </w:p>
    <w:p w:rsidR="00035BE3" w:rsidRDefault="00035BE3" w:rsidP="00C10469">
      <w:pPr>
        <w:pStyle w:val="a6"/>
        <w:spacing w:line="228" w:lineRule="auto"/>
        <w:ind w:left="425" w:firstLine="0"/>
        <w:rPr>
          <w:rtl/>
        </w:rPr>
      </w:pPr>
      <w:r>
        <w:rPr>
          <w:rFonts w:hint="cs"/>
          <w:rtl/>
        </w:rPr>
        <w:t xml:space="preserve">- والمقصود بالمولّد : العربي غير المحض (كما في المعجم الوسيط، مادة </w:t>
      </w:r>
      <w:r>
        <w:rPr>
          <w:rFonts w:hint="eastAsia"/>
          <w:rtl/>
        </w:rPr>
        <w:t>«</w:t>
      </w:r>
      <w:r>
        <w:rPr>
          <w:rFonts w:hint="cs"/>
          <w:rtl/>
        </w:rPr>
        <w:t>ولد</w:t>
      </w:r>
      <w:r>
        <w:rPr>
          <w:rFonts w:hint="eastAsia"/>
          <w:rtl/>
        </w:rPr>
        <w:t>»</w:t>
      </w:r>
      <w:r>
        <w:rPr>
          <w:rFonts w:hint="cs"/>
          <w:rtl/>
        </w:rPr>
        <w:t>، 2/1056)-.</w:t>
      </w:r>
    </w:p>
    <w:p w:rsidR="00035BE3" w:rsidRDefault="00035BE3" w:rsidP="00C10469">
      <w:pPr>
        <w:pStyle w:val="a6"/>
        <w:spacing w:line="228" w:lineRule="auto"/>
        <w:ind w:left="425" w:firstLine="0"/>
        <w:rPr>
          <w:rtl/>
        </w:rPr>
      </w:pPr>
      <w:r>
        <w:rPr>
          <w:rFonts w:hint="cs"/>
          <w:rtl/>
        </w:rPr>
        <w:t>ومع اشتهار هذا الرأي إلا أن هذه المسألة بحثها مؤتمر المجمع اللغوي ... وارتضى الرأي القائل: إن كلمة (غير) الواقعة بين متضادّين تكتسب التعريف من المضاف إليه المعرفة، ويصحّ في هذه الصورة التي تقع فيها بين متضادّين وليست مضافة أن تقترن بِـ (أل)؛ فتستفيد التعريف</w:t>
      </w:r>
      <w:r>
        <w:rPr>
          <w:rFonts w:hint="eastAsia"/>
          <w:rtl/>
        </w:rPr>
        <w:t>»</w:t>
      </w:r>
      <w:r>
        <w:rPr>
          <w:rFonts w:hint="cs"/>
          <w:rtl/>
        </w:rPr>
        <w:t>.</w:t>
      </w:r>
    </w:p>
    <w:p w:rsidR="00035BE3" w:rsidRDefault="00035BE3" w:rsidP="00C10469">
      <w:pPr>
        <w:pStyle w:val="a6"/>
        <w:spacing w:line="228" w:lineRule="auto"/>
        <w:ind w:left="425" w:firstLine="0"/>
        <w:rPr>
          <w:rtl/>
        </w:rPr>
      </w:pPr>
      <w:r>
        <w:rPr>
          <w:rFonts w:hint="cs"/>
          <w:rtl/>
        </w:rPr>
        <w:t xml:space="preserve">ويلحظ أن (الغير) </w:t>
      </w:r>
      <w:r>
        <w:rPr>
          <w:rtl/>
        </w:rPr>
        <w:t>–</w:t>
      </w:r>
      <w:r>
        <w:rPr>
          <w:rFonts w:hint="cs"/>
          <w:rtl/>
        </w:rPr>
        <w:t>في الصلب- لم تقع بين متضادّين !.</w:t>
      </w:r>
    </w:p>
    <w:p w:rsidR="00035BE3" w:rsidRDefault="00035BE3" w:rsidP="00C10469">
      <w:pPr>
        <w:pStyle w:val="a6"/>
        <w:spacing w:line="228" w:lineRule="auto"/>
        <w:ind w:left="425" w:firstLine="0"/>
        <w:rPr>
          <w:rtl/>
        </w:rPr>
      </w:pPr>
      <w:r>
        <w:rPr>
          <w:rFonts w:hint="cs"/>
          <w:rtl/>
        </w:rPr>
        <w:t xml:space="preserve">النحو الوافي، 1/211، 3/24، 25؛ وانظر : المصباح المنير، مادة </w:t>
      </w:r>
      <w:r>
        <w:rPr>
          <w:rFonts w:hint="eastAsia"/>
          <w:rtl/>
        </w:rPr>
        <w:t>«</w:t>
      </w:r>
      <w:r>
        <w:rPr>
          <w:rFonts w:hint="cs"/>
          <w:rtl/>
        </w:rPr>
        <w:t>غير</w:t>
      </w:r>
      <w:r>
        <w:rPr>
          <w:rFonts w:hint="eastAsia"/>
          <w:rtl/>
        </w:rPr>
        <w:t>»</w:t>
      </w:r>
      <w:r>
        <w:rPr>
          <w:rFonts w:hint="cs"/>
          <w:rtl/>
        </w:rPr>
        <w:t xml:space="preserve">، ص174؛ المعجم المفصّل في النحو، 2/725-726؛ وانظر أيضًا : أوضح المسالك وضياء السالك، 2/322-323؛ مغني اللبيب، 1/267؛ ردّ المحتار، 4/9. فقد عقد الأخير لها مطلبًا، ورجّح فيه جواز اقترانها بِـ (أل)-. </w:t>
      </w:r>
    </w:p>
  </w:footnote>
  <w:footnote w:id="465">
    <w:p w:rsidR="00035BE3" w:rsidRDefault="00035BE3" w:rsidP="00C10469">
      <w:pPr>
        <w:pStyle w:val="a8"/>
        <w:bidi/>
        <w:spacing w:line="228" w:lineRule="auto"/>
        <w:ind w:left="425" w:right="0"/>
        <w:rPr>
          <w:rtl/>
        </w:rPr>
      </w:pPr>
      <w:r>
        <w:rPr>
          <w:rFonts w:hint="cs"/>
          <w:vertAlign w:val="superscript"/>
          <w:rtl/>
        </w:rPr>
        <w:t>(</w:t>
      </w:r>
      <w:r>
        <w:rPr>
          <w:rStyle w:val="a7"/>
        </w:rPr>
        <w:footnoteRef/>
      </w:r>
      <w:r>
        <w:rPr>
          <w:rFonts w:hint="cs"/>
          <w:vertAlign w:val="superscript"/>
          <w:rtl/>
        </w:rPr>
        <w:t>)</w:t>
      </w:r>
      <w:r>
        <w:rPr>
          <w:rFonts w:hint="cs"/>
          <w:rtl/>
        </w:rPr>
        <w:t xml:space="preserve">   نهاية 1/ب من (ب).</w:t>
      </w:r>
    </w:p>
  </w:footnote>
  <w:footnote w:id="466">
    <w:p w:rsidR="00035BE3" w:rsidRDefault="00035BE3" w:rsidP="00C10469">
      <w:pPr>
        <w:pStyle w:val="a8"/>
        <w:bidi/>
        <w:spacing w:line="228" w:lineRule="auto"/>
        <w:ind w:left="425" w:right="0"/>
        <w:rPr>
          <w:rtl/>
        </w:rPr>
      </w:pPr>
      <w:r>
        <w:rPr>
          <w:rFonts w:hint="cs"/>
          <w:vertAlign w:val="superscript"/>
          <w:rtl/>
        </w:rPr>
        <w:t>(</w:t>
      </w:r>
      <w:r>
        <w:rPr>
          <w:rStyle w:val="a7"/>
        </w:rPr>
        <w:footnoteRef/>
      </w:r>
      <w:r>
        <w:rPr>
          <w:rFonts w:hint="cs"/>
          <w:vertAlign w:val="superscript"/>
          <w:rtl/>
        </w:rPr>
        <w:t>)</w:t>
      </w:r>
      <w:r>
        <w:rPr>
          <w:rFonts w:hint="cs"/>
          <w:rtl/>
        </w:rPr>
        <w:t xml:space="preserve">   في (ب) و(د): «تلف».</w:t>
      </w:r>
    </w:p>
  </w:footnote>
  <w:footnote w:id="467">
    <w:p w:rsidR="00035BE3" w:rsidRDefault="00035BE3" w:rsidP="00C10469">
      <w:pPr>
        <w:pStyle w:val="a8"/>
        <w:bidi/>
        <w:spacing w:line="228" w:lineRule="auto"/>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(ب): «على».</w:t>
      </w:r>
    </w:p>
  </w:footnote>
  <w:footnote w:id="468">
    <w:p w:rsidR="00035BE3" w:rsidRDefault="00035BE3" w:rsidP="00C10469">
      <w:pPr>
        <w:pStyle w:val="a8"/>
        <w:bidi/>
        <w:spacing w:line="46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«فكان». والصحيح ما تَمَّ إثباته من (جـ).</w:t>
      </w:r>
    </w:p>
  </w:footnote>
  <w:footnote w:id="469">
    <w:p w:rsidR="00035BE3" w:rsidRDefault="00035BE3" w:rsidP="00C10469">
      <w:pPr>
        <w:pStyle w:val="a8"/>
        <w:bidi/>
        <w:spacing w:line="46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وهو الآمر.</w:t>
      </w:r>
    </w:p>
  </w:footnote>
  <w:footnote w:id="470">
    <w:p w:rsidR="00035BE3" w:rsidRDefault="00035BE3" w:rsidP="00C10469">
      <w:pPr>
        <w:pStyle w:val="a8"/>
        <w:bidi/>
        <w:spacing w:line="46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(ب): «على». وهذا الأولى.</w:t>
      </w:r>
    </w:p>
  </w:footnote>
  <w:footnote w:id="471">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«النجيم». والصحيح ما تمّ إثباته من (ب)؛ ويشهد لذلك أنَّ جميع المراجع التي سيرد ذكرها -في الهامش الآتي- لم تُضَفْ فيها (أل) التعريف إلى (نجيم).</w:t>
      </w:r>
    </w:p>
    <w:p w:rsidR="00035BE3" w:rsidRDefault="00035BE3" w:rsidP="00C10469">
      <w:pPr>
        <w:pStyle w:val="a6"/>
        <w:ind w:left="424" w:firstLine="0"/>
        <w:rPr>
          <w:rtl/>
        </w:rPr>
      </w:pPr>
      <w:r>
        <w:rPr>
          <w:rFonts w:hint="cs"/>
          <w:rtl/>
        </w:rPr>
        <w:t xml:space="preserve">وهذا الاختلاف بين (ب) وباقي النسخ يتكرر غالبًا عند إيراد المؤلف لابن نجيم. وسوف أكتفي -لاحقًا- بإثبات ما في (ب) في الصلب دون الإشارة إلى ما في باقي النسخ في الهامش، وذلك اكتفاء بما ذكرته هنا؛ دفعًا للتكرار. </w:t>
      </w:r>
    </w:p>
    <w:p w:rsidR="00035BE3" w:rsidRDefault="00035BE3" w:rsidP="00C10469">
      <w:pPr>
        <w:pStyle w:val="a6"/>
        <w:ind w:left="424" w:firstLine="0"/>
        <w:rPr>
          <w:rtl/>
        </w:rPr>
      </w:pPr>
      <w:r>
        <w:rPr>
          <w:rFonts w:hint="cs"/>
          <w:b/>
          <w:bCs/>
          <w:rtl/>
        </w:rPr>
        <w:t>وابن نجيم</w:t>
      </w:r>
      <w:r>
        <w:rPr>
          <w:rFonts w:hint="cs"/>
          <w:rtl/>
        </w:rPr>
        <w:t xml:space="preserve"> : هو زين الدين بن إبراهيم بن محمد بن محمد بن محمد بن محمد المشهور بابن نجيم الحنفي (926 هـ - 970هـ). وقد ورد اسمه في (الطبقات السنية) و(الكواكب السائرة) : «زين» فحسب، وورد في مواضع من (كشف الظنون) وفي (الفوائد البهية) و(ديوان الإسلام): «زين العابدين»، وورد في</w:t>
      </w:r>
      <w:r>
        <w:rPr>
          <w:rFonts w:hint="eastAsia"/>
          <w:rtl/>
        </w:rPr>
        <w:t> </w:t>
      </w:r>
      <w:r>
        <w:rPr>
          <w:rFonts w:hint="cs"/>
          <w:rtl/>
        </w:rPr>
        <w:t>بقية المراجع الآتي ذكرها: «زين الدين».</w:t>
      </w:r>
    </w:p>
    <w:p w:rsidR="00035BE3" w:rsidRDefault="00035BE3" w:rsidP="00C10469">
      <w:pPr>
        <w:pStyle w:val="a6"/>
        <w:ind w:left="424" w:firstLine="0"/>
        <w:rPr>
          <w:rtl/>
        </w:rPr>
      </w:pPr>
      <w:r>
        <w:rPr>
          <w:rFonts w:hint="cs"/>
          <w:rtl/>
        </w:rPr>
        <w:t xml:space="preserve">ومع اختلافها في اسمه إلا أنها أتفقت على أن شهرته: (ابن نجيم) وليس (ابن النجيم). </w:t>
      </w:r>
    </w:p>
    <w:p w:rsidR="00035BE3" w:rsidRDefault="00035BE3" w:rsidP="00C10469">
      <w:pPr>
        <w:pStyle w:val="a6"/>
        <w:ind w:left="424" w:firstLine="0"/>
        <w:rPr>
          <w:rtl/>
        </w:rPr>
      </w:pPr>
      <w:r>
        <w:rPr>
          <w:rFonts w:hint="cs"/>
          <w:rtl/>
        </w:rPr>
        <w:t>وابن نجيم -هذا- كان عالمًا بارزًا في الفقه وأصوله.</w:t>
      </w:r>
    </w:p>
    <w:p w:rsidR="00035BE3" w:rsidRDefault="00035BE3" w:rsidP="00C10469">
      <w:pPr>
        <w:pStyle w:val="a6"/>
        <w:ind w:left="424" w:firstLine="0"/>
        <w:rPr>
          <w:rtl/>
        </w:rPr>
      </w:pPr>
      <w:r>
        <w:rPr>
          <w:rFonts w:hint="cs"/>
          <w:rtl/>
        </w:rPr>
        <w:t>من تصانيفه: فتح الغفار بشرح المنار، ولب الأصول -وهو مختصر لتحرير ابن الهمام-، والأشباه والنظائر، وقواعد الفقه، والبحر الرائق بشرح كنز الدقائق -إلا أنه لم يتمه فقد وصل إلى الإجارة، فأتمه محمد الطوري-، والرسائل الزينية، والفوائد الزينية، والفتاوي الزينية، وشرح كتاب الزيادات لابن الحسن، وتعليقة على الهداية، وغير ذلك.</w:t>
      </w:r>
    </w:p>
    <w:p w:rsidR="00035BE3" w:rsidRDefault="00035BE3" w:rsidP="00C10469">
      <w:pPr>
        <w:pStyle w:val="a6"/>
        <w:ind w:left="424" w:firstLine="0"/>
        <w:rPr>
          <w:rtl/>
        </w:rPr>
      </w:pPr>
      <w:r>
        <w:rPr>
          <w:rFonts w:hint="cs"/>
          <w:rtl/>
        </w:rPr>
        <w:t xml:space="preserve">انظر: الطبقات السنية، 3/275-276، رقم 894؛ كشف الظنون، 1/98، 356، 374، 385، 566، 727، 847، 910، 965، 2/1515، 1661، 1823؛ الفوائد البهية، ص134-135؛ هدية العارفين، 1/378؛ وانظر: الكواكب السائرة، 3/154؛ شذرات الذهب، 8/358؛ ديوان الإسلام، 4/338، رقم 2125؛ الفتح المبين في طبقات الأصوليين، 3/78؛ الأعلام، 3/64. </w:t>
      </w:r>
    </w:p>
  </w:footnote>
  <w:footnote w:id="472">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أي : </w:t>
      </w:r>
      <w:r>
        <w:rPr>
          <w:rFonts w:hint="cs"/>
          <w:b/>
          <w:bCs/>
          <w:rtl/>
        </w:rPr>
        <w:t>كتابه (الأشباه والنظائر).</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w:t>
      </w:r>
    </w:p>
    <w:p w:rsidR="00035BE3" w:rsidRDefault="00035BE3" w:rsidP="00C10469">
      <w:pPr>
        <w:pStyle w:val="a6"/>
        <w:ind w:left="424" w:firstLine="0"/>
        <w:rPr>
          <w:rtl/>
        </w:rPr>
      </w:pPr>
      <w:r>
        <w:rPr>
          <w:rFonts w:hint="cs"/>
          <w:b/>
          <w:bCs/>
          <w:rtl/>
        </w:rPr>
        <w:t>وهو</w:t>
      </w:r>
      <w:r>
        <w:rPr>
          <w:rFonts w:hint="cs"/>
          <w:rtl/>
        </w:rPr>
        <w:t xml:space="preserve"> من أشهر كتب القواعد الفقهية عند الحنفية، وقد ألفه ابن نجيم (ت 970هـ) محاكاة لكتاب (الأشباه والنظائر) للتاج السبكي الشافعي (ت 771هـ) -كما صرح بذلك في المقدمة-.</w:t>
      </w:r>
    </w:p>
    <w:p w:rsidR="00035BE3" w:rsidRDefault="00035BE3" w:rsidP="00C10469">
      <w:pPr>
        <w:pStyle w:val="a6"/>
        <w:ind w:left="424" w:firstLine="0"/>
        <w:rPr>
          <w:spacing w:val="-6"/>
          <w:rtl/>
        </w:rPr>
      </w:pPr>
      <w:r>
        <w:rPr>
          <w:rFonts w:hint="cs"/>
          <w:spacing w:val="-6"/>
          <w:rtl/>
        </w:rPr>
        <w:t>وقسّم كتابه إلى سبعة فنون: تكلم في الفن الأول عن القواعد الفقهية وبسط فيها القول، ثم جعل باقي الكتاب - وهو ما يشكل الثلثين تقديرًا- في فنون أخرى كالفوائد والألغاز والحيل والـجَمْعِ والفَرْقِ ...</w:t>
      </w:r>
    </w:p>
    <w:p w:rsidR="00035BE3" w:rsidRDefault="00035BE3" w:rsidP="00C10469">
      <w:pPr>
        <w:pStyle w:val="a6"/>
        <w:ind w:left="424" w:firstLine="0"/>
        <w:rPr>
          <w:rtl/>
        </w:rPr>
      </w:pPr>
      <w:r>
        <w:rPr>
          <w:rFonts w:hint="cs"/>
          <w:rtl/>
        </w:rPr>
        <w:t>وقد حظي هذا الكتاب بعناية فائقة من علماء المذهب الحنفي على وجه الخصوص، فألفوا حوله مصنفات كثيرة، أحصى منها شيخنا د. يعقوب الباحسين: أربعة وأربعين مصنفًا!، وهو من الكتب التي اطلع عليها صاحب (الفوائد البهية) ووصفها بأنها : «حسنة جدًّا»؛ بل إن الحموي وصفه بأنه : «كتاب لم</w:t>
      </w:r>
      <w:r>
        <w:rPr>
          <w:rFonts w:hint="eastAsia"/>
          <w:rtl/>
        </w:rPr>
        <w:t> </w:t>
      </w:r>
      <w:r>
        <w:rPr>
          <w:rFonts w:hint="cs"/>
          <w:rtl/>
        </w:rPr>
        <w:t>تكتحل عين الزمان له بثاني، ولم يوجد في كتب الحنفية ما له يوازي أو يداني».</w:t>
      </w:r>
    </w:p>
    <w:p w:rsidR="00035BE3" w:rsidRDefault="00035BE3" w:rsidP="00C10469">
      <w:pPr>
        <w:pStyle w:val="a6"/>
        <w:ind w:left="424" w:firstLine="0"/>
        <w:rPr>
          <w:rtl/>
        </w:rPr>
      </w:pPr>
      <w:r>
        <w:rPr>
          <w:rFonts w:hint="cs"/>
          <w:rtl/>
        </w:rPr>
        <w:t>وطبع الكتاب طبعات كثيرة من أقدمها: طبعة كلكته بالهند، عام 1241هـ، وبهامشه تقييدات للشيخ محمد  علي الرافعي، وأيضًا مع إتحاف الأبصار والبصائر بتبويب كتاب الأشباه والنظائر لمحمد أبو الفتح الحنفي، وذلك في المطبعة الوطنية بالإسكندرية، عام 1289هـ/1872م، وكذلك مع شرح الحموي، وذلك في دار الطباعة العامرة بالقاهرة، عام 1290هـ.</w:t>
      </w:r>
    </w:p>
    <w:p w:rsidR="00035BE3" w:rsidRDefault="00035BE3" w:rsidP="00C10469">
      <w:pPr>
        <w:pStyle w:val="a6"/>
        <w:spacing w:line="228" w:lineRule="auto"/>
        <w:ind w:left="425" w:firstLine="0"/>
        <w:rPr>
          <w:rtl/>
        </w:rPr>
      </w:pPr>
      <w:r>
        <w:rPr>
          <w:rFonts w:hint="cs"/>
          <w:rtl/>
        </w:rPr>
        <w:t xml:space="preserve">ومن آخر طبعاته : طبعة دار الفكر، عام 1403هـ/1983م وبحاشيته: نزهة النواظر على الأشباه والنظائر لابن عابدين (ت 1252هـ)، بتحقيق: محمد مطيع الحافظ، وطبعة المكتبة العصرية ببيروت عام 1418هـ، بتحقيق : عبد الكريم الفضيلي. </w:t>
      </w:r>
    </w:p>
    <w:p w:rsidR="00035BE3" w:rsidRPr="00A02425" w:rsidRDefault="00035BE3" w:rsidP="00C10469">
      <w:pPr>
        <w:pStyle w:val="a6"/>
        <w:spacing w:line="228" w:lineRule="auto"/>
        <w:ind w:left="425" w:firstLine="0"/>
        <w:rPr>
          <w:rtl/>
        </w:rPr>
      </w:pPr>
      <w:r w:rsidRPr="00A02425">
        <w:rPr>
          <w:rFonts w:hint="cs"/>
          <w:rtl/>
        </w:rPr>
        <w:t>الفوائد البهية، ص135؛ غمز عيون البصائر شرح كتاب الأشباه والنظائر، 1/5-6؛ وانظر: مقدمة الأشباه والنظائر لابن نجيم، ص14-15؛ كشف الظنون، 1/98-100؛ معجم المطبوعات، 1/265؛ مرجع العلوم الإسلامية، ص493؛ مقدمة تحقيق محمد مطيع الحافظ للأشباه والنظائر لابن نجيم، ص6-14؛ القواعد الفقهية للدكتور علي الندوي، ص169-176، 471-475؛ القواعد الفقهية لشيخنا د. يعقوب الباحسين، ص358-370؛ وانظر في نسبة الكتاب لابن نجيم: المصادر الآنف ذكرها في الهامش السابق.</w:t>
      </w:r>
    </w:p>
  </w:footnote>
  <w:footnote w:id="473">
    <w:p w:rsidR="00035BE3" w:rsidRDefault="00035BE3" w:rsidP="00C10469">
      <w:pPr>
        <w:pStyle w:val="a8"/>
        <w:bidi/>
        <w:spacing w:line="228" w:lineRule="auto"/>
        <w:ind w:left="425" w:right="0"/>
        <w:rPr>
          <w:rtl/>
        </w:rPr>
      </w:pPr>
      <w:r>
        <w:rPr>
          <w:rFonts w:hint="cs"/>
          <w:vertAlign w:val="superscript"/>
          <w:rtl/>
        </w:rPr>
        <w:t>(</w:t>
      </w:r>
      <w:r>
        <w:rPr>
          <w:rStyle w:val="a7"/>
        </w:rPr>
        <w:footnoteRef/>
      </w:r>
      <w:r>
        <w:rPr>
          <w:rFonts w:hint="cs"/>
          <w:vertAlign w:val="superscript"/>
          <w:rtl/>
        </w:rPr>
        <w:t>)</w:t>
      </w:r>
      <w:r>
        <w:rPr>
          <w:rFonts w:hint="cs"/>
          <w:rtl/>
        </w:rPr>
        <w:t xml:space="preserve">   «به»: زيادة من (ب). والصحيح إثباتها؛ وفاقًا لما في (الأشباه).</w:t>
      </w:r>
    </w:p>
  </w:footnote>
  <w:footnote w:id="474">
    <w:p w:rsidR="00035BE3" w:rsidRDefault="00035BE3" w:rsidP="00C10469">
      <w:pPr>
        <w:pStyle w:val="a8"/>
        <w:bidi/>
        <w:spacing w:line="228" w:lineRule="auto"/>
        <w:ind w:left="425"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ص 316. ونص العبارة في الأشباه: «فإن الضمان الذي يغرمه المولى يرجع به على سيده». كذا في طبعة: المكتبة العصرية؛ وأيضا في طبعة: دار الفكر، ص339؛ وكذلك مع غمز عيون البصائر، 3/210.</w:t>
      </w:r>
    </w:p>
  </w:footnote>
  <w:footnote w:id="475">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وقد وافق المؤلفَ على هذا النقد صاحبُ غمز عيون البصائر، 3/210، حيث قال: «كذا في النُّسخ. والصواب: على الآمر».</w:t>
      </w:r>
    </w:p>
  </w:footnote>
  <w:footnote w:id="476">
    <w:p w:rsidR="00035BE3" w:rsidRDefault="00035BE3" w:rsidP="00C10469">
      <w:pPr>
        <w:pStyle w:val="a8"/>
        <w:bidi/>
        <w:spacing w:line="45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نهاية 2/أ من (أ).</w:t>
      </w:r>
    </w:p>
  </w:footnote>
  <w:footnote w:id="477">
    <w:p w:rsidR="00035BE3" w:rsidRDefault="00035BE3" w:rsidP="00C10469">
      <w:pPr>
        <w:pStyle w:val="a8"/>
        <w:bidi/>
        <w:spacing w:line="45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هذه زيادة من (جـ) و(هـ) و(و). وهي زيادة لابّد منها؛ لئلا يكون المعنى مبتورًا.</w:t>
      </w:r>
    </w:p>
  </w:footnote>
  <w:footnote w:id="478">
    <w:p w:rsidR="00035BE3" w:rsidRDefault="00035BE3" w:rsidP="00C10469">
      <w:pPr>
        <w:pStyle w:val="a8"/>
        <w:bidi/>
        <w:spacing w:line="45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انظر: الجامع الكبير لمحمد بن الحسن، ص209.</w:t>
      </w:r>
    </w:p>
  </w:footnote>
  <w:footnote w:id="479">
    <w:p w:rsidR="00035BE3" w:rsidRDefault="00035BE3" w:rsidP="00C10469">
      <w:pPr>
        <w:pStyle w:val="a8"/>
        <w:bidi/>
        <w:spacing w:line="45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فُسِّرت (الورطة) في نسخة (أ): بالهلاك.</w:t>
      </w:r>
    </w:p>
  </w:footnote>
  <w:footnote w:id="480">
    <w:p w:rsidR="00035BE3" w:rsidRDefault="00035BE3" w:rsidP="00C10469">
      <w:pPr>
        <w:pStyle w:val="a8"/>
        <w:bidi/>
        <w:spacing w:line="450" w:lineRule="exact"/>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ل204/ب.</w:t>
      </w:r>
    </w:p>
    <w:p w:rsidR="00035BE3" w:rsidRDefault="00035BE3" w:rsidP="00C10469">
      <w:pPr>
        <w:pStyle w:val="a6"/>
        <w:tabs>
          <w:tab w:val="right" w:pos="8219"/>
        </w:tabs>
        <w:spacing w:line="450" w:lineRule="exact"/>
        <w:ind w:left="424" w:hanging="454"/>
        <w:rPr>
          <w:rtl/>
        </w:rPr>
      </w:pPr>
      <w:r>
        <w:rPr>
          <w:rFonts w:hint="cs"/>
          <w:rtl/>
        </w:rPr>
        <w:tab/>
        <w:t>و</w:t>
      </w:r>
      <w:r>
        <w:rPr>
          <w:rFonts w:hint="cs"/>
          <w:b/>
          <w:bCs/>
          <w:rtl/>
        </w:rPr>
        <w:t>صاحب القنية</w:t>
      </w:r>
      <w:r>
        <w:rPr>
          <w:rFonts w:hint="cs"/>
          <w:rtl/>
        </w:rPr>
        <w:t xml:space="preserve"> هو : مـختار بن مـحمود بن مـحمـد، أبوالرجا الغَزْمِينِي الخُوارِزْمِي الحنفي المعروف بالزَّاهِدي (ت 658هـ).</w:t>
      </w:r>
    </w:p>
    <w:p w:rsidR="00035BE3" w:rsidRDefault="00035BE3" w:rsidP="00C10469">
      <w:pPr>
        <w:pStyle w:val="a6"/>
        <w:tabs>
          <w:tab w:val="right" w:pos="8219"/>
        </w:tabs>
        <w:spacing w:line="450" w:lineRule="exact"/>
        <w:ind w:left="424" w:hanging="454"/>
        <w:rPr>
          <w:rtl/>
        </w:rPr>
      </w:pPr>
      <w:r>
        <w:rPr>
          <w:rFonts w:hint="cs"/>
          <w:rtl/>
        </w:rPr>
        <w:tab/>
        <w:t>اشتهر بالفقه وأصوله والكلام والمناظرة، من تصانيفه: الـمُجتبى شرح مختصر القُدُوري، والحاوي، والفرائض، والصفوة -في أصول الفقه-، والناصرية -وهي رسالة في الكلام-.</w:t>
      </w:r>
    </w:p>
    <w:p w:rsidR="00035BE3" w:rsidRDefault="00035BE3" w:rsidP="00C10469">
      <w:pPr>
        <w:pStyle w:val="a6"/>
        <w:tabs>
          <w:tab w:val="right" w:pos="8219"/>
        </w:tabs>
        <w:spacing w:line="450" w:lineRule="exact"/>
        <w:ind w:left="424" w:hanging="454"/>
        <w:rPr>
          <w:rtl/>
        </w:rPr>
      </w:pPr>
      <w:r>
        <w:rPr>
          <w:rFonts w:hint="cs"/>
          <w:rtl/>
        </w:rPr>
        <w:tab/>
        <w:t xml:space="preserve">أما </w:t>
      </w:r>
      <w:r>
        <w:rPr>
          <w:rFonts w:hint="cs"/>
          <w:b/>
          <w:bCs/>
          <w:rtl/>
        </w:rPr>
        <w:t>كتاب (القنية) :</w:t>
      </w:r>
      <w:r>
        <w:rPr>
          <w:rFonts w:hint="cs"/>
          <w:rtl/>
        </w:rPr>
        <w:t xml:space="preserve"> فهو من أشهر كتبه، وتمام اسمه: (قنية المنية لتتميم الغنية)، وهي كتاب في الفقه </w:t>
      </w:r>
      <w:r w:rsidRPr="00AE25A6">
        <w:rPr>
          <w:rFonts w:hint="cs"/>
          <w:spacing w:val="-4"/>
          <w:rtl/>
        </w:rPr>
        <w:t>الحنفي، وقد «ذكر في أولها أنه استصفاها من (منية الفقهاء) لأستاذه بديع بن أبي منصور العراقي» -كذا في مقدمة القنية (نسخة جامعة الإمام، رقم 3572/خ)، ل2/أ؛ وفي (كشف الظنون)، 2/1357-.</w:t>
      </w:r>
    </w:p>
    <w:p w:rsidR="00035BE3" w:rsidRDefault="00035BE3" w:rsidP="00C10469">
      <w:pPr>
        <w:pStyle w:val="a6"/>
        <w:tabs>
          <w:tab w:val="right" w:pos="8219"/>
        </w:tabs>
        <w:spacing w:line="450" w:lineRule="exact"/>
        <w:ind w:left="424" w:hanging="454"/>
        <w:rPr>
          <w:rtl/>
        </w:rPr>
      </w:pPr>
      <w:r>
        <w:rPr>
          <w:rFonts w:hint="cs"/>
          <w:rtl/>
        </w:rPr>
        <w:tab/>
        <w:t>أما منـزلة الكتاب عند الـحنـفية: فقد جاء في الموضع السابق من (الكشف) -نقلاً عن المولى بركلي: أنّ «(القنية) - وإن كانت فوق الكتب الغير معتبرة، قد نقل عنها بعض العلماء في كتبهم لكنها- مشهورة عند العلماء بضعف الرواية وأن صاحبها معتزلي».</w:t>
      </w:r>
    </w:p>
    <w:p w:rsidR="00035BE3" w:rsidRDefault="00035BE3" w:rsidP="00C10469">
      <w:pPr>
        <w:pStyle w:val="a6"/>
        <w:tabs>
          <w:tab w:val="right" w:pos="8219"/>
        </w:tabs>
        <w:spacing w:line="450" w:lineRule="exact"/>
        <w:ind w:left="424" w:hanging="454"/>
        <w:rPr>
          <w:spacing w:val="-6"/>
          <w:rtl/>
        </w:rPr>
      </w:pPr>
      <w:r>
        <w:rPr>
          <w:rFonts w:hint="cs"/>
          <w:spacing w:val="-6"/>
          <w:rtl/>
        </w:rPr>
        <w:tab/>
        <w:t>كما قوَّمها صاحبُ (الفوائد البهية) -ص213- بقوله: «وقد طالعت (المجتبى شرح القُدُوري) و(القنية) فوجدتهما على المسائل الغريبة حاويين، ولتفصيل الفوائد كافيين، إلا أنه صرح ابن وهبان وغيره أنه معتزلي الاعتقاد حنفي الفروع، وتصانيفه غير معتبرة ما لم يوجد مطابقتها لغيرها؛ لكونها جامعةً للرطب واليابس».</w:t>
      </w:r>
    </w:p>
    <w:p w:rsidR="00035BE3" w:rsidRDefault="00035BE3" w:rsidP="00C10469">
      <w:pPr>
        <w:pStyle w:val="a6"/>
        <w:tabs>
          <w:tab w:val="right" w:pos="8219"/>
        </w:tabs>
        <w:ind w:left="424" w:hanging="454"/>
        <w:rPr>
          <w:rtl/>
        </w:rPr>
      </w:pPr>
      <w:r>
        <w:rPr>
          <w:rFonts w:hint="cs"/>
          <w:rtl/>
        </w:rPr>
        <w:tab/>
        <w:t>أما حالة الكتاب : فقد أفاد صاحب (معجم المطبوعات العربية والمعربة)، 1/966: أنه مطبوع في كلكته (بالهند)، عام 1245هـ.</w:t>
      </w:r>
      <w:r>
        <w:rPr>
          <w:rFonts w:hint="cs"/>
          <w:rtl/>
        </w:rPr>
        <w:tab/>
        <w:t xml:space="preserve">           </w:t>
      </w:r>
    </w:p>
    <w:p w:rsidR="00035BE3" w:rsidRDefault="00035BE3" w:rsidP="00C10469">
      <w:pPr>
        <w:pStyle w:val="a6"/>
        <w:ind w:left="424" w:firstLine="0"/>
        <w:rPr>
          <w:rtl/>
        </w:rPr>
      </w:pPr>
      <w:r>
        <w:rPr>
          <w:rFonts w:hint="cs"/>
          <w:rtl/>
        </w:rPr>
        <w:t>كما أن له نسخة مطبوعة، وهي خالية من معلومات النشر، محفوظة في مكتبة الملك عبد العزيز بالمدينة</w:t>
      </w:r>
      <w:r>
        <w:rPr>
          <w:rFonts w:hint="eastAsia"/>
          <w:rtl/>
        </w:rPr>
        <w:t> </w:t>
      </w:r>
      <w:r>
        <w:rPr>
          <w:rFonts w:hint="cs"/>
          <w:rtl/>
        </w:rPr>
        <w:t>المنورة  (مجموعة الشيخ عبد القادر شلبي، برقم 1309).</w:t>
      </w:r>
    </w:p>
    <w:p w:rsidR="00035BE3" w:rsidRDefault="00035BE3" w:rsidP="00C10469">
      <w:pPr>
        <w:pStyle w:val="a6"/>
        <w:ind w:left="424" w:firstLine="0"/>
        <w:rPr>
          <w:rtl/>
        </w:rPr>
      </w:pPr>
      <w:r>
        <w:rPr>
          <w:rFonts w:hint="cs"/>
          <w:rtl/>
        </w:rPr>
        <w:t xml:space="preserve"> أما نسخه الخطية فهي كثيرة، منها ما يأتي:</w:t>
      </w:r>
    </w:p>
    <w:p w:rsidR="00035BE3" w:rsidRDefault="00035BE3" w:rsidP="00C10469">
      <w:pPr>
        <w:pStyle w:val="a6"/>
        <w:ind w:left="424" w:firstLine="0"/>
        <w:rPr>
          <w:rtl/>
        </w:rPr>
      </w:pPr>
      <w:r>
        <w:rPr>
          <w:rFonts w:hint="cs"/>
          <w:b/>
          <w:bCs/>
          <w:rtl/>
        </w:rPr>
        <w:t>1</w:t>
      </w:r>
      <w:r>
        <w:rPr>
          <w:rFonts w:hint="cs"/>
          <w:rtl/>
        </w:rPr>
        <w:t>- مكتبة الملك عبد العزيز بالمدينة النبوية (مجموعة عارف حكمت)، برقم 1313.</w:t>
      </w:r>
    </w:p>
    <w:p w:rsidR="00035BE3" w:rsidRDefault="00035BE3" w:rsidP="00C10469">
      <w:pPr>
        <w:pStyle w:val="a6"/>
        <w:ind w:left="424" w:firstLine="0"/>
        <w:rPr>
          <w:rtl/>
        </w:rPr>
      </w:pPr>
      <w:r>
        <w:rPr>
          <w:rFonts w:hint="cs"/>
          <w:b/>
          <w:bCs/>
          <w:rtl/>
        </w:rPr>
        <w:t>2</w:t>
      </w:r>
      <w:r>
        <w:rPr>
          <w:rFonts w:hint="cs"/>
          <w:rtl/>
        </w:rPr>
        <w:t xml:space="preserve">- </w:t>
      </w:r>
      <w:r>
        <w:rPr>
          <w:rFonts w:hint="cs"/>
          <w:b/>
          <w:bCs/>
          <w:rtl/>
        </w:rPr>
        <w:t>4</w:t>
      </w:r>
      <w:r>
        <w:rPr>
          <w:rFonts w:hint="cs"/>
          <w:rtl/>
        </w:rPr>
        <w:t>- مكتبة جامعة الإمام، وأرقامها 3572/ خ و 3032/ف و 4611/ف.</w:t>
      </w:r>
    </w:p>
    <w:p w:rsidR="00035BE3" w:rsidRDefault="00035BE3" w:rsidP="00C10469">
      <w:pPr>
        <w:pStyle w:val="a6"/>
        <w:ind w:left="424" w:firstLine="0"/>
        <w:rPr>
          <w:rtl/>
        </w:rPr>
      </w:pPr>
      <w:r>
        <w:rPr>
          <w:rFonts w:hint="cs"/>
          <w:b/>
          <w:bCs/>
          <w:rtl/>
        </w:rPr>
        <w:t>5</w:t>
      </w:r>
      <w:r>
        <w:rPr>
          <w:rFonts w:hint="cs"/>
          <w:rtl/>
        </w:rPr>
        <w:t xml:space="preserve">- </w:t>
      </w:r>
      <w:r>
        <w:rPr>
          <w:rFonts w:hint="cs"/>
          <w:b/>
          <w:bCs/>
          <w:rtl/>
        </w:rPr>
        <w:t>7</w:t>
      </w:r>
      <w:r>
        <w:rPr>
          <w:rFonts w:hint="cs"/>
          <w:rtl/>
        </w:rPr>
        <w:t>- مركز الملك فيصل، وأرقامها 4247 و4302 و693.</w:t>
      </w:r>
    </w:p>
    <w:p w:rsidR="00035BE3" w:rsidRDefault="00035BE3" w:rsidP="00C10469">
      <w:pPr>
        <w:pStyle w:val="a6"/>
        <w:ind w:left="424" w:firstLine="0"/>
        <w:rPr>
          <w:rtl/>
        </w:rPr>
      </w:pPr>
      <w:r>
        <w:rPr>
          <w:rFonts w:hint="cs"/>
          <w:b/>
          <w:bCs/>
          <w:rtl/>
        </w:rPr>
        <w:t>8</w:t>
      </w:r>
      <w:r>
        <w:rPr>
          <w:rFonts w:hint="cs"/>
          <w:rtl/>
        </w:rPr>
        <w:t>-  مكتبة الحرم المكي، برقم (20) حنفي.</w:t>
      </w:r>
    </w:p>
    <w:p w:rsidR="00035BE3" w:rsidRDefault="00035BE3" w:rsidP="00C10469">
      <w:pPr>
        <w:pStyle w:val="a6"/>
        <w:ind w:left="424" w:firstLine="0"/>
        <w:rPr>
          <w:rtl/>
        </w:rPr>
      </w:pPr>
      <w:r>
        <w:rPr>
          <w:rFonts w:hint="cs"/>
          <w:b/>
          <w:bCs/>
          <w:rtl/>
        </w:rPr>
        <w:t>9</w:t>
      </w:r>
      <w:r>
        <w:rPr>
          <w:rFonts w:hint="cs"/>
          <w:rtl/>
        </w:rPr>
        <w:t xml:space="preserve">- </w:t>
      </w:r>
      <w:r>
        <w:rPr>
          <w:rFonts w:hint="cs"/>
          <w:b/>
          <w:bCs/>
          <w:rtl/>
        </w:rPr>
        <w:t>48</w:t>
      </w:r>
      <w:r>
        <w:rPr>
          <w:rFonts w:hint="cs"/>
          <w:rtl/>
        </w:rPr>
        <w:t xml:space="preserve">- مكتبة السليمانية، وهذه النسخ الأربعون موزعة على النحو الآتي: </w:t>
      </w:r>
    </w:p>
    <w:p w:rsidR="00035BE3" w:rsidRDefault="00035BE3" w:rsidP="00C10469">
      <w:pPr>
        <w:pStyle w:val="a6"/>
        <w:numPr>
          <w:ilvl w:val="0"/>
          <w:numId w:val="16"/>
        </w:numPr>
        <w:tabs>
          <w:tab w:val="clear" w:pos="720"/>
        </w:tabs>
        <w:ind w:left="424" w:hanging="2"/>
        <w:rPr>
          <w:rtl/>
        </w:rPr>
      </w:pPr>
      <w:r>
        <w:rPr>
          <w:rFonts w:hint="cs"/>
          <w:rtl/>
        </w:rPr>
        <w:t>أربع عشرة نسخة في (الفاتح)، وأرقامها من 2441 إلى 2454.</w:t>
      </w:r>
    </w:p>
    <w:p w:rsidR="00035BE3" w:rsidRDefault="00035BE3" w:rsidP="00C10469">
      <w:pPr>
        <w:pStyle w:val="a6"/>
        <w:numPr>
          <w:ilvl w:val="0"/>
          <w:numId w:val="16"/>
        </w:numPr>
        <w:tabs>
          <w:tab w:val="clear" w:pos="720"/>
        </w:tabs>
        <w:ind w:left="424" w:hanging="2"/>
      </w:pPr>
      <w:r>
        <w:rPr>
          <w:rFonts w:hint="cs"/>
          <w:rtl/>
        </w:rPr>
        <w:t>ثمان نسخ في (أيا صوفيا)، وأرقامها من 1348 إلى 1354، بالإضافة إلى رقم 1595.</w:t>
      </w:r>
    </w:p>
    <w:p w:rsidR="00035BE3" w:rsidRDefault="00035BE3" w:rsidP="00C10469">
      <w:pPr>
        <w:pStyle w:val="a6"/>
        <w:numPr>
          <w:ilvl w:val="0"/>
          <w:numId w:val="16"/>
        </w:numPr>
        <w:tabs>
          <w:tab w:val="clear" w:pos="720"/>
        </w:tabs>
        <w:ind w:left="424" w:hanging="2"/>
      </w:pPr>
      <w:r>
        <w:rPr>
          <w:rFonts w:hint="cs"/>
          <w:rtl/>
        </w:rPr>
        <w:t>نسختان في (داماد زاده قاضي عسكر محمد مراد، ورقماهما 1174 و 1175.</w:t>
      </w:r>
    </w:p>
    <w:p w:rsidR="00035BE3" w:rsidRDefault="00035BE3" w:rsidP="00C10469">
      <w:pPr>
        <w:pStyle w:val="a6"/>
        <w:numPr>
          <w:ilvl w:val="0"/>
          <w:numId w:val="16"/>
        </w:numPr>
        <w:tabs>
          <w:tab w:val="clear" w:pos="720"/>
        </w:tabs>
        <w:ind w:left="424" w:hanging="2"/>
      </w:pPr>
      <w:r>
        <w:rPr>
          <w:rFonts w:hint="cs"/>
          <w:rtl/>
        </w:rPr>
        <w:t>نسختان في (محمود باشا) و(رستم باشا)، ورقماهما 259 و 260.</w:t>
      </w:r>
    </w:p>
    <w:p w:rsidR="00035BE3" w:rsidRDefault="00035BE3" w:rsidP="00C10469">
      <w:pPr>
        <w:pStyle w:val="a6"/>
        <w:numPr>
          <w:ilvl w:val="0"/>
          <w:numId w:val="16"/>
        </w:numPr>
        <w:tabs>
          <w:tab w:val="clear" w:pos="720"/>
        </w:tabs>
        <w:ind w:left="424" w:hanging="2"/>
      </w:pPr>
      <w:r>
        <w:rPr>
          <w:rFonts w:hint="cs"/>
          <w:rtl/>
        </w:rPr>
        <w:t>نسختان في (مجموعة حسين باشا)، ورقماهما 219 و 220.</w:t>
      </w:r>
    </w:p>
    <w:p w:rsidR="00035BE3" w:rsidRDefault="00035BE3" w:rsidP="00C10469">
      <w:pPr>
        <w:pStyle w:val="a6"/>
        <w:numPr>
          <w:ilvl w:val="0"/>
          <w:numId w:val="16"/>
        </w:numPr>
        <w:tabs>
          <w:tab w:val="clear" w:pos="720"/>
        </w:tabs>
        <w:ind w:left="424" w:hanging="2"/>
      </w:pPr>
      <w:r>
        <w:rPr>
          <w:rFonts w:hint="cs"/>
          <w:rtl/>
        </w:rPr>
        <w:t>نسختان في (يني جامع)، ورقماهما 531 و 670.</w:t>
      </w:r>
    </w:p>
    <w:p w:rsidR="00035BE3" w:rsidRDefault="00035BE3" w:rsidP="00C10469">
      <w:pPr>
        <w:pStyle w:val="a6"/>
        <w:numPr>
          <w:ilvl w:val="0"/>
          <w:numId w:val="16"/>
        </w:numPr>
        <w:tabs>
          <w:tab w:val="clear" w:pos="720"/>
        </w:tabs>
        <w:ind w:left="424" w:hanging="2"/>
      </w:pPr>
      <w:r>
        <w:rPr>
          <w:rFonts w:hint="cs"/>
          <w:rtl/>
        </w:rPr>
        <w:t xml:space="preserve">والباقي : عشر نسخ موزعة على نسخة في كل قسم من الأقسام الآتية: </w:t>
      </w:r>
    </w:p>
    <w:p w:rsidR="00035BE3" w:rsidRDefault="00035BE3" w:rsidP="00C10469">
      <w:pPr>
        <w:pStyle w:val="a6"/>
        <w:numPr>
          <w:ilvl w:val="0"/>
          <w:numId w:val="16"/>
        </w:numPr>
        <w:tabs>
          <w:tab w:val="clear" w:pos="720"/>
        </w:tabs>
        <w:ind w:left="424" w:hanging="2"/>
        <w:rPr>
          <w:rtl/>
        </w:rPr>
      </w:pPr>
      <w:r>
        <w:rPr>
          <w:rFonts w:hint="cs"/>
          <w:rtl/>
        </w:rPr>
        <w:t>(عاشر أفندي)، برقم 436.</w:t>
      </w:r>
    </w:p>
    <w:p w:rsidR="00035BE3" w:rsidRDefault="00035BE3" w:rsidP="00C10469">
      <w:pPr>
        <w:pStyle w:val="a6"/>
        <w:numPr>
          <w:ilvl w:val="0"/>
          <w:numId w:val="16"/>
        </w:numPr>
        <w:tabs>
          <w:tab w:val="clear" w:pos="720"/>
        </w:tabs>
        <w:ind w:left="424" w:hanging="2"/>
      </w:pPr>
      <w:r>
        <w:rPr>
          <w:rFonts w:hint="cs"/>
          <w:rtl/>
        </w:rPr>
        <w:t>(محمد أفندي مرهومك بك)، برقم 87.</w:t>
      </w:r>
    </w:p>
    <w:p w:rsidR="00035BE3" w:rsidRDefault="00035BE3" w:rsidP="00C10469">
      <w:pPr>
        <w:pStyle w:val="a6"/>
        <w:numPr>
          <w:ilvl w:val="0"/>
          <w:numId w:val="16"/>
        </w:numPr>
        <w:tabs>
          <w:tab w:val="clear" w:pos="720"/>
        </w:tabs>
        <w:spacing w:line="460" w:lineRule="exact"/>
        <w:ind w:left="424" w:hanging="2"/>
      </w:pPr>
      <w:r>
        <w:rPr>
          <w:rFonts w:hint="cs"/>
          <w:rtl/>
        </w:rPr>
        <w:t>(لا له لي)، برقم 1283.</w:t>
      </w:r>
    </w:p>
    <w:p w:rsidR="00035BE3" w:rsidRDefault="00035BE3" w:rsidP="00C10469">
      <w:pPr>
        <w:pStyle w:val="a6"/>
        <w:numPr>
          <w:ilvl w:val="0"/>
          <w:numId w:val="16"/>
        </w:numPr>
        <w:tabs>
          <w:tab w:val="clear" w:pos="720"/>
        </w:tabs>
        <w:spacing w:line="460" w:lineRule="exact"/>
        <w:ind w:left="424" w:hanging="2"/>
      </w:pPr>
      <w:r>
        <w:rPr>
          <w:rFonts w:hint="cs"/>
          <w:rtl/>
        </w:rPr>
        <w:t>(سليم أغا)، برقم 445.</w:t>
      </w:r>
    </w:p>
    <w:p w:rsidR="00035BE3" w:rsidRDefault="00035BE3" w:rsidP="00C10469">
      <w:pPr>
        <w:pStyle w:val="a6"/>
        <w:numPr>
          <w:ilvl w:val="0"/>
          <w:numId w:val="16"/>
        </w:numPr>
        <w:tabs>
          <w:tab w:val="clear" w:pos="720"/>
        </w:tabs>
        <w:spacing w:line="460" w:lineRule="exact"/>
        <w:ind w:left="424" w:hanging="2"/>
      </w:pPr>
      <w:r>
        <w:rPr>
          <w:rFonts w:hint="cs"/>
          <w:rtl/>
        </w:rPr>
        <w:t>(حلبي عبد الله أفندي)، برقم 127.</w:t>
      </w:r>
    </w:p>
    <w:p w:rsidR="00035BE3" w:rsidRDefault="00035BE3" w:rsidP="00C10469">
      <w:pPr>
        <w:pStyle w:val="a6"/>
        <w:numPr>
          <w:ilvl w:val="0"/>
          <w:numId w:val="16"/>
        </w:numPr>
        <w:tabs>
          <w:tab w:val="clear" w:pos="720"/>
        </w:tabs>
        <w:spacing w:line="460" w:lineRule="exact"/>
        <w:ind w:left="424" w:hanging="2"/>
      </w:pPr>
      <w:r>
        <w:rPr>
          <w:rFonts w:hint="cs"/>
          <w:rtl/>
        </w:rPr>
        <w:t>(جامع شريف أيوب)، برقم 145.</w:t>
      </w:r>
    </w:p>
    <w:p w:rsidR="00035BE3" w:rsidRDefault="00035BE3" w:rsidP="00C10469">
      <w:pPr>
        <w:pStyle w:val="a6"/>
        <w:numPr>
          <w:ilvl w:val="0"/>
          <w:numId w:val="16"/>
        </w:numPr>
        <w:tabs>
          <w:tab w:val="clear" w:pos="720"/>
        </w:tabs>
        <w:spacing w:line="460" w:lineRule="exact"/>
        <w:ind w:left="424" w:hanging="2"/>
      </w:pPr>
      <w:r>
        <w:rPr>
          <w:rFonts w:hint="cs"/>
          <w:rtl/>
        </w:rPr>
        <w:t>(جور ليلى علي باشا)، برقم 276.</w:t>
      </w:r>
    </w:p>
    <w:p w:rsidR="00035BE3" w:rsidRDefault="00035BE3" w:rsidP="00C10469">
      <w:pPr>
        <w:pStyle w:val="a6"/>
        <w:numPr>
          <w:ilvl w:val="0"/>
          <w:numId w:val="16"/>
        </w:numPr>
        <w:tabs>
          <w:tab w:val="clear" w:pos="720"/>
        </w:tabs>
        <w:spacing w:line="460" w:lineRule="exact"/>
        <w:ind w:left="424" w:hanging="2"/>
      </w:pPr>
      <w:r>
        <w:rPr>
          <w:rFonts w:hint="cs"/>
          <w:rtl/>
        </w:rPr>
        <w:t>(السليمانية)، برقم 687.</w:t>
      </w:r>
    </w:p>
    <w:p w:rsidR="00035BE3" w:rsidRDefault="00035BE3" w:rsidP="00C10469">
      <w:pPr>
        <w:pStyle w:val="a6"/>
        <w:numPr>
          <w:ilvl w:val="0"/>
          <w:numId w:val="16"/>
        </w:numPr>
        <w:tabs>
          <w:tab w:val="clear" w:pos="720"/>
        </w:tabs>
        <w:spacing w:line="460" w:lineRule="exact"/>
        <w:ind w:left="424" w:hanging="2"/>
      </w:pPr>
      <w:r>
        <w:rPr>
          <w:rFonts w:hint="cs"/>
          <w:rtl/>
        </w:rPr>
        <w:t>(عاطف أفندي)، برقم 1164.</w:t>
      </w:r>
    </w:p>
    <w:p w:rsidR="00035BE3" w:rsidRDefault="00035BE3" w:rsidP="00C10469">
      <w:pPr>
        <w:pStyle w:val="a6"/>
        <w:numPr>
          <w:ilvl w:val="0"/>
          <w:numId w:val="16"/>
        </w:numPr>
        <w:tabs>
          <w:tab w:val="clear" w:pos="720"/>
        </w:tabs>
        <w:spacing w:line="460" w:lineRule="exact"/>
        <w:ind w:left="424" w:hanging="2"/>
      </w:pPr>
      <w:r>
        <w:rPr>
          <w:rFonts w:hint="cs"/>
          <w:rtl/>
        </w:rPr>
        <w:t>(أسعد أفندي)، برقم 968.</w:t>
      </w:r>
    </w:p>
    <w:p w:rsidR="00035BE3" w:rsidRDefault="00035BE3" w:rsidP="00C10469">
      <w:pPr>
        <w:pStyle w:val="a6"/>
        <w:ind w:left="424" w:hanging="2"/>
        <w:rPr>
          <w:rtl/>
        </w:rPr>
      </w:pPr>
      <w:r>
        <w:rPr>
          <w:rFonts w:hint="cs"/>
          <w:rtl/>
        </w:rPr>
        <w:t xml:space="preserve">انظر في التعريف بكتاب (القنية) وبيان منـزلته: مفتاح السعادة، 2/253؛ حاشية الطهطاوي على </w:t>
      </w:r>
      <w:r w:rsidRPr="007A4D36">
        <w:rPr>
          <w:rFonts w:hint="cs"/>
          <w:spacing w:val="-2"/>
          <w:rtl/>
        </w:rPr>
        <w:t>الدر المختار، 1/460؛ حاشية ابن عابدين عليه المسماة: ردّ المحتار، 1/170-171؛ النافع الكبير</w:t>
      </w:r>
      <w:r>
        <w:rPr>
          <w:rFonts w:hint="cs"/>
          <w:rtl/>
        </w:rPr>
        <w:t xml:space="preserve"> شرح الجامع الصغير، ص26-30؛ المذهب عند الحنفية، ص 101.</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4" w:hanging="2"/>
        <w:rPr>
          <w:spacing w:val="-2"/>
          <w:rtl/>
        </w:rPr>
      </w:pPr>
      <w:r>
        <w:rPr>
          <w:rFonts w:hint="cs"/>
          <w:spacing w:val="-2"/>
          <w:rtl/>
        </w:rPr>
        <w:t>وانظر في نسبة الكتاب للزاهدي وترجمة حياته إلى : الجواهر المضية، 3/460-462، رقم 1642؛ تاج التراجم، ص256-257، رقم 288؛ هدية العارفين، 2/423.</w:t>
      </w:r>
    </w:p>
  </w:footnote>
  <w:footnote w:id="481">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أخرجه ابن ماجه، كتاب التجارات، باب ما للرجل من مال ولده، 2/769، ح 2291؛ والطحاوي في شرح معاني الآثار، كتاب القضاء والشهادات، باب الوالد هل يملك مال ولده أم لا؟، 4/158؛ وأيضا في مشكل الآثار، باب بيان مشكل ما روي: أنت ومالك لأبيك، 2/230؛ والطبراني في (المعجم الأوسط)، 4/31، ح 3534. </w:t>
      </w:r>
    </w:p>
    <w:p w:rsidR="00035BE3" w:rsidRDefault="00035BE3" w:rsidP="00C10469">
      <w:pPr>
        <w:pStyle w:val="a6"/>
        <w:ind w:left="424" w:firstLine="0"/>
        <w:rPr>
          <w:rtl/>
        </w:rPr>
      </w:pPr>
      <w:r>
        <w:rPr>
          <w:rFonts w:hint="cs"/>
          <w:rtl/>
        </w:rPr>
        <w:t xml:space="preserve">جميعهم باللفظ المذكور من طريق عيسى بن يونس ثنا يوسف بن إسحاق بن أبي إسحاق السبيعي عن محمد بن المنكدر عن جابر بن عبد الله </w:t>
      </w:r>
      <w:r>
        <w:rPr>
          <w:rFonts w:ascii="AGA Arabesque" w:hAnsi="AGA Arabesque"/>
          <w:sz w:val="36"/>
          <w:szCs w:val="36"/>
        </w:rPr>
        <w:t></w:t>
      </w:r>
      <w:r>
        <w:rPr>
          <w:rFonts w:hint="cs"/>
          <w:rtl/>
        </w:rPr>
        <w:t xml:space="preserve"> عن النبي </w:t>
      </w:r>
      <w:r>
        <w:rPr>
          <w:rFonts w:ascii="AGA Arabesque" w:hAnsi="AGA Arabesque"/>
          <w:sz w:val="36"/>
        </w:rPr>
        <w:t></w:t>
      </w:r>
      <w:r>
        <w:rPr>
          <w:rFonts w:hint="cs"/>
          <w:rtl/>
        </w:rPr>
        <w:t xml:space="preserve"> .</w:t>
      </w:r>
    </w:p>
    <w:p w:rsidR="00035BE3" w:rsidRDefault="00035BE3" w:rsidP="00C10469">
      <w:pPr>
        <w:pStyle w:val="a6"/>
        <w:ind w:left="424" w:firstLine="0"/>
        <w:rPr>
          <w:spacing w:val="-8"/>
          <w:rtl/>
        </w:rPr>
      </w:pPr>
      <w:r>
        <w:rPr>
          <w:rFonts w:hint="cs"/>
          <w:spacing w:val="-8"/>
          <w:rtl/>
        </w:rPr>
        <w:t>وهذا الحديث قال عنه الحافظ في (الفتح) : «وهو حديث أخرجه ابن ماجه من حديث جابر. قال الدارقطني : غريب تفرد به عيسى بن يونس بن أبي إسحاق، ويوسف بن إسحاق بن أبي إسحاق عن ابن المنكدر.</w:t>
      </w:r>
    </w:p>
    <w:p w:rsidR="00035BE3" w:rsidRDefault="00035BE3" w:rsidP="00C10469">
      <w:pPr>
        <w:pStyle w:val="a6"/>
        <w:ind w:left="424" w:firstLine="0"/>
        <w:rPr>
          <w:rtl/>
        </w:rPr>
      </w:pPr>
      <w:r>
        <w:rPr>
          <w:rFonts w:hint="cs"/>
          <w:rtl/>
        </w:rPr>
        <w:t>وقال ابن القطان : إسناده صحيح.</w:t>
      </w:r>
    </w:p>
    <w:p w:rsidR="00035BE3" w:rsidRDefault="00035BE3" w:rsidP="00C10469">
      <w:pPr>
        <w:pStyle w:val="a6"/>
        <w:ind w:left="424" w:firstLine="0"/>
        <w:rPr>
          <w:rtl/>
        </w:rPr>
      </w:pPr>
      <w:r>
        <w:rPr>
          <w:rFonts w:hint="cs"/>
          <w:rtl/>
        </w:rPr>
        <w:t>وقال المنذري : رجاله ثقات.</w:t>
      </w:r>
    </w:p>
    <w:p w:rsidR="00035BE3" w:rsidRDefault="00035BE3" w:rsidP="00C10469">
      <w:pPr>
        <w:pStyle w:val="a6"/>
        <w:spacing w:line="400" w:lineRule="exact"/>
        <w:ind w:left="424" w:firstLine="0"/>
        <w:rPr>
          <w:rtl/>
        </w:rPr>
      </w:pPr>
      <w:r>
        <w:rPr>
          <w:rFonts w:hint="cs"/>
          <w:rtl/>
        </w:rPr>
        <w:t>وله طريق أخرى عن جابر عند الطبراني في (الصغير)، والبيهقي في (الدلائل) فيها قصة مطولة، وفي الباب عن عائشة في صحيح ابن حبان، وعن سمرة وعن عمر كليهما عند البزار، وعن ابن مسعود عند الطبراني، وعن ابن عمر عند أبي يعلى.</w:t>
      </w:r>
    </w:p>
    <w:p w:rsidR="00035BE3" w:rsidRDefault="00035BE3" w:rsidP="00C10469">
      <w:pPr>
        <w:pStyle w:val="a6"/>
        <w:ind w:left="424" w:firstLine="0"/>
        <w:rPr>
          <w:rtl/>
        </w:rPr>
      </w:pPr>
      <w:r>
        <w:rPr>
          <w:rFonts w:hint="cs"/>
          <w:rtl/>
        </w:rPr>
        <w:t xml:space="preserve">فمجموع طرقه لا تحطّه عن القوة، وجواز الاحتجاج به». </w:t>
      </w:r>
    </w:p>
    <w:p w:rsidR="00035BE3" w:rsidRDefault="00035BE3" w:rsidP="00C10469">
      <w:pPr>
        <w:pStyle w:val="a6"/>
        <w:ind w:left="424" w:firstLine="0"/>
        <w:rPr>
          <w:rtl/>
        </w:rPr>
      </w:pPr>
      <w:r>
        <w:rPr>
          <w:rFonts w:hint="cs"/>
          <w:rtl/>
        </w:rPr>
        <w:t>وقال البُوصيْري: «هذا إسناد صحيح، رجاله ثقات على شرط البخاري» -وقد وافقه على تصحيح الحديث الغماري في (الهداية) والألباني في (إرواء الغليل)-.</w:t>
      </w:r>
    </w:p>
    <w:p w:rsidR="00035BE3" w:rsidRDefault="00035BE3" w:rsidP="00C10469">
      <w:pPr>
        <w:pStyle w:val="a6"/>
        <w:ind w:left="424" w:firstLine="0"/>
        <w:rPr>
          <w:rtl/>
        </w:rPr>
      </w:pPr>
      <w:r>
        <w:rPr>
          <w:rFonts w:hint="cs"/>
          <w:rtl/>
        </w:rPr>
        <w:t>وقال الهيثمي: «رواه الطبراني في الأوسط، ورجاله رجال الصحيح خلا شيخ الطبراني حبوش بن رزق الله، ولم يضعفه أحد».</w:t>
      </w:r>
    </w:p>
    <w:p w:rsidR="00035BE3" w:rsidRDefault="00035BE3" w:rsidP="00C10469">
      <w:pPr>
        <w:pStyle w:val="a6"/>
        <w:ind w:left="424" w:firstLine="0"/>
        <w:rPr>
          <w:rtl/>
        </w:rPr>
      </w:pPr>
      <w:r>
        <w:rPr>
          <w:rFonts w:hint="cs"/>
          <w:rtl/>
        </w:rPr>
        <w:t>والحديث المذكور (وهو أنت ومالك لأبيك) أخرجه أيضًا : البيهقي في السنن الكبرى، كتاب النفقات، باب نفقة الأبوين، 7/480-481؛ وفي المعرفة، من طريق الشافعي، إلاّ أنه أغرب في كتاب (المعرفة)، حيث قال: «قد رواه بعض الناس موصولاً بذكر جابر فيه، وهو خطأ».</w:t>
      </w:r>
    </w:p>
    <w:p w:rsidR="00035BE3" w:rsidRDefault="00035BE3" w:rsidP="00C10469">
      <w:pPr>
        <w:pStyle w:val="a6"/>
        <w:ind w:left="424" w:firstLine="0"/>
        <w:rPr>
          <w:rtl/>
        </w:rPr>
      </w:pPr>
      <w:r>
        <w:rPr>
          <w:rFonts w:hint="cs"/>
          <w:rtl/>
        </w:rPr>
        <w:t xml:space="preserve">وقد نقل هذا الغماري، ثم تعقبه بقوله: «قلت: وهذا عجيب من البيهقي؛ بل الخطأ هو ما قال ولابدّ، </w:t>
      </w:r>
      <w:r w:rsidRPr="00C54EF7">
        <w:rPr>
          <w:rFonts w:hint="cs"/>
          <w:spacing w:val="-6"/>
          <w:rtl/>
        </w:rPr>
        <w:t>فإن الحديث ورد موصولاً عن محمد بن المنكدر عن جابر من ثلاثة طرق، اثنان منها على شرط</w:t>
      </w:r>
      <w:r>
        <w:rPr>
          <w:rFonts w:hint="cs"/>
          <w:rtl/>
        </w:rPr>
        <w:t xml:space="preserve"> الصحيح» -علمًا بأن الأول منهما هو الذي سبق ذكره آنفًا-.</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4" w:firstLine="0"/>
        <w:rPr>
          <w:rtl/>
        </w:rPr>
      </w:pPr>
      <w:r>
        <w:rPr>
          <w:rFonts w:hint="cs"/>
          <w:rtl/>
        </w:rPr>
        <w:t>يضاف إلى هذا : أنه ورد باللفظ نفسه أيضًا من حديث أبي بكر الصديق وعمر بن الخطاب وعائشة وأنس بن مالك وعبد الله بن عباس وابن عمر وابن عمرو وابن مسعود وسمرة بن جندب، وذلك بأسانيد مختلفة ليس هذا موضع بسطها.</w:t>
      </w:r>
    </w:p>
    <w:p w:rsidR="00035BE3" w:rsidRDefault="00035BE3" w:rsidP="00C10469">
      <w:pPr>
        <w:pStyle w:val="a6"/>
        <w:ind w:left="424" w:firstLine="0"/>
        <w:rPr>
          <w:rtl/>
        </w:rPr>
      </w:pPr>
      <w:r>
        <w:rPr>
          <w:rFonts w:hint="cs"/>
          <w:rtl/>
        </w:rPr>
        <w:t xml:space="preserve">انظر: نصب الراية تخريج أحاديث الهداية، 3/337؛ مجمع الزوائد ومنبع الفوائد، 4/154-155؛ </w:t>
      </w:r>
      <w:r>
        <w:rPr>
          <w:rtl/>
        </w:rPr>
        <w:br/>
      </w:r>
      <w:r>
        <w:rPr>
          <w:rFonts w:hint="cs"/>
          <w:rtl/>
        </w:rPr>
        <w:t>تعليقات مصباح الزجاجة في زوائد ابن ماجه للبُوصيْري، 3/37؛ فتح الباري، 5/250؛ تلخيص الحبير في تخريج أحاديث الرافعي الكبير، 3/189؛ الهداية في تخريج أحاديث البداية، 8/539-544؛ إرواء الغليل في</w:t>
      </w:r>
      <w:r>
        <w:rPr>
          <w:rFonts w:hint="eastAsia"/>
          <w:rtl/>
        </w:rPr>
        <w:t> </w:t>
      </w:r>
      <w:r>
        <w:rPr>
          <w:rFonts w:hint="cs"/>
          <w:rtl/>
        </w:rPr>
        <w:t>تخريج أحاديث منار السبيل، 3/323-329.</w:t>
      </w:r>
    </w:p>
  </w:footnote>
  <w:footnote w:id="482">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يشير بذلك إلى قاعدة فقهية نصها: «يُختار أهون الشّرين».</w:t>
      </w:r>
    </w:p>
    <w:p w:rsidR="00035BE3" w:rsidRDefault="00035BE3" w:rsidP="00C10469">
      <w:pPr>
        <w:pStyle w:val="a6"/>
        <w:ind w:left="424" w:firstLine="0"/>
        <w:rPr>
          <w:rtl/>
        </w:rPr>
      </w:pPr>
      <w:r>
        <w:rPr>
          <w:rFonts w:hint="cs"/>
          <w:rtl/>
        </w:rPr>
        <w:t>وهذه القاعدة متَّحدة من جهة المعنى مع قاعـدة فقهية أخرى أفردها المؤلف بالحديث، وهي: «إذا تعارض</w:t>
      </w:r>
      <w:r>
        <w:rPr>
          <w:rFonts w:hint="eastAsia"/>
          <w:rtl/>
        </w:rPr>
        <w:t> </w:t>
      </w:r>
      <w:r>
        <w:rPr>
          <w:rFonts w:hint="cs"/>
          <w:rtl/>
        </w:rPr>
        <w:t>مفسدتان روعي أعظمها ضررًا بارتكاب أخفهما»، وقريب منهما قاعدة أخرى أفردها المؤلف بالحديث أيضًا وهي : «الأشد يزال بالأخف»، وسوف يأتـي الحديث عنـهما في موضعهما، وذلك ص287 (ل8/أ)، قاعدة 15، وص312 (ل10/أ)، قاعدة 24.</w:t>
      </w:r>
    </w:p>
    <w:p w:rsidR="00035BE3" w:rsidRPr="00B00402" w:rsidRDefault="00035BE3" w:rsidP="00C10469">
      <w:pPr>
        <w:pStyle w:val="a6"/>
        <w:spacing w:line="460" w:lineRule="exact"/>
        <w:ind w:left="424" w:firstLine="0"/>
        <w:rPr>
          <w:spacing w:val="-4"/>
          <w:rtl/>
        </w:rPr>
      </w:pPr>
      <w:r w:rsidRPr="00CB7264">
        <w:rPr>
          <w:rFonts w:hint="cs"/>
          <w:rtl/>
        </w:rPr>
        <w:t xml:space="preserve">أما قاعدة: «يختار أهون الشرين» فقد وردت بهذا اللفظ في: مجلة الأحكام العدلية، مادة 29؛ شرح </w:t>
      </w:r>
      <w:r w:rsidRPr="00CB7264">
        <w:rPr>
          <w:rFonts w:hint="cs"/>
          <w:spacing w:val="-6"/>
          <w:rtl/>
        </w:rPr>
        <w:t>المجلة</w:t>
      </w:r>
      <w:r w:rsidRPr="00CB7264">
        <w:rPr>
          <w:rFonts w:hint="eastAsia"/>
          <w:spacing w:val="-6"/>
          <w:rtl/>
        </w:rPr>
        <w:t> </w:t>
      </w:r>
      <w:r w:rsidRPr="00CB7264">
        <w:rPr>
          <w:rFonts w:hint="cs"/>
          <w:spacing w:val="-6"/>
          <w:rtl/>
        </w:rPr>
        <w:t>لسليم رستم، 1/32؛ درر الحكام شرح مجلة الأحكام، 1/37؛ شرح المجلة لـمحمد طاهر</w:t>
      </w:r>
      <w:r>
        <w:rPr>
          <w:rFonts w:hint="cs"/>
          <w:rtl/>
        </w:rPr>
        <w:t xml:space="preserve"> </w:t>
      </w:r>
      <w:r w:rsidRPr="00CB7264">
        <w:rPr>
          <w:rFonts w:hint="cs"/>
          <w:rtl/>
        </w:rPr>
        <w:t xml:space="preserve">الأتاسي، 1/70؛ شرح القواعد الفقهية لأحمد الزرقا، ص203؛ قواعد الفقه لعميم الإحسان المحـجدّدي، </w:t>
      </w:r>
      <w:r w:rsidRPr="00CB7264">
        <w:rPr>
          <w:rFonts w:hint="cs"/>
          <w:b/>
          <w:bCs/>
          <w:rtl/>
        </w:rPr>
        <w:t xml:space="preserve"> </w:t>
      </w:r>
      <w:r w:rsidRPr="00B00402">
        <w:rPr>
          <w:rFonts w:hint="cs"/>
          <w:spacing w:val="-6"/>
          <w:rtl/>
        </w:rPr>
        <w:t xml:space="preserve">ص140، قاعدة 405؛ المدخل الفقهي العام، 2/984، فقرة 591؛ الـوجيز للدكتور محمد البورنو، </w:t>
      </w:r>
      <w:r w:rsidRPr="00B00402">
        <w:rPr>
          <w:rFonts w:hint="cs"/>
          <w:spacing w:val="-4"/>
          <w:rtl/>
        </w:rPr>
        <w:t xml:space="preserve">ص203؛ موسوعة القواعد الفقهية له أيضًا، 1/230؛ القواعد الفقهية الكبرى لشيخنا أ.د. صالح السدلان، ص527؛ القواعد الكبرى في الفقه الإسلامي للدكتور عبد الله العجلان، ص 87؛ المبادئ الفقهية، ص25؛ القواعد الفقهية للدعاس، ص32، قاعدة 20؛ القواعد الفقهية للدكتور محمد الزحيلي، ص61. كما وردت بألفاظ أخر، منها: </w:t>
      </w:r>
    </w:p>
    <w:p w:rsidR="00035BE3" w:rsidRDefault="00035BE3" w:rsidP="00C10469">
      <w:pPr>
        <w:pStyle w:val="a6"/>
        <w:tabs>
          <w:tab w:val="right" w:pos="8078"/>
        </w:tabs>
        <w:ind w:left="424" w:hanging="454"/>
        <w:rPr>
          <w:rtl/>
        </w:rPr>
      </w:pPr>
      <w:r>
        <w:rPr>
          <w:rFonts w:hint="cs"/>
          <w:rtl/>
        </w:rPr>
        <w:tab/>
        <w:t>- «ترجّح أهون الضررين على أعضمهما»، وهذا اللفظ ذكره السَّرْخَسي في شرح السير، 2/516.</w:t>
      </w:r>
    </w:p>
    <w:p w:rsidR="00035BE3" w:rsidRDefault="00035BE3" w:rsidP="00C10469">
      <w:pPr>
        <w:pStyle w:val="a6"/>
        <w:ind w:left="424" w:firstLine="0"/>
      </w:pPr>
      <w:r>
        <w:rPr>
          <w:rFonts w:hint="cs"/>
          <w:rtl/>
        </w:rPr>
        <w:t>- «المبتلى بين الشرين يتعين عليه أهونهما»، وهذا اللفظ ذكره قاضي خان في فتاواه، 1/172.</w:t>
      </w:r>
    </w:p>
    <w:p w:rsidR="00035BE3" w:rsidRDefault="00035BE3" w:rsidP="00C10469">
      <w:pPr>
        <w:pStyle w:val="a6"/>
        <w:ind w:left="424" w:firstLine="0"/>
        <w:rPr>
          <w:spacing w:val="-6"/>
        </w:rPr>
      </w:pPr>
      <w:r>
        <w:rPr>
          <w:rFonts w:hint="cs"/>
          <w:spacing w:val="-6"/>
          <w:rtl/>
        </w:rPr>
        <w:t>- « ... احتمال أخف المفسدتين لأجل أعظمهما»، وهذا اللفظ ذكره ابن الوكيل في أشباهه، 2/50.</w:t>
      </w:r>
    </w:p>
    <w:p w:rsidR="00035BE3" w:rsidRPr="00DF6FBE" w:rsidRDefault="00035BE3" w:rsidP="00C10469">
      <w:pPr>
        <w:pStyle w:val="a6"/>
        <w:ind w:left="706" w:hanging="282"/>
        <w:rPr>
          <w:spacing w:val="-4"/>
        </w:rPr>
      </w:pPr>
      <w:r w:rsidRPr="00DF6FBE">
        <w:rPr>
          <w:rFonts w:hint="cs"/>
          <w:spacing w:val="-4"/>
          <w:rtl/>
        </w:rPr>
        <w:t>- «اتّباع خير الخيرين مطلوب، واجتناب شر الشرين فيه مرغوب»، وهذا اللفظ ذكره صـاحب الـمنثور، 3/395.</w:t>
      </w:r>
      <w:r w:rsidRPr="00DF6FBE">
        <w:rPr>
          <w:rFonts w:hint="cs"/>
          <w:spacing w:val="-4"/>
        </w:rPr>
        <w:t xml:space="preserve"> </w:t>
      </w:r>
    </w:p>
    <w:p w:rsidR="00035BE3" w:rsidRPr="001F77F5" w:rsidRDefault="00035BE3" w:rsidP="00C10469">
      <w:pPr>
        <w:pStyle w:val="a6"/>
        <w:ind w:left="424" w:firstLine="0"/>
        <w:jc w:val="left"/>
        <w:rPr>
          <w:b/>
          <w:bCs/>
          <w:spacing w:val="-4"/>
          <w:rtl/>
        </w:rPr>
      </w:pPr>
      <w:r w:rsidRPr="001F77F5">
        <w:rPr>
          <w:rFonts w:hint="cs"/>
          <w:spacing w:val="-4"/>
          <w:rtl/>
        </w:rPr>
        <w:t xml:space="preserve">- </w:t>
      </w:r>
      <w:r w:rsidRPr="001F77F5">
        <w:rPr>
          <w:rFonts w:hint="cs"/>
          <w:b/>
          <w:bCs/>
          <w:spacing w:val="-4"/>
          <w:rtl/>
        </w:rPr>
        <w:t xml:space="preserve"> أخــفّ مـكـروهـين أوخـطــريـن  </w:t>
      </w:r>
      <w:r>
        <w:rPr>
          <w:rFonts w:hint="cs"/>
          <w:b/>
          <w:bCs/>
          <w:spacing w:val="-4"/>
          <w:rtl/>
        </w:rPr>
        <w:t xml:space="preserve">  </w:t>
      </w:r>
      <w:r w:rsidRPr="001F77F5">
        <w:rPr>
          <w:rFonts w:hint="cs"/>
          <w:b/>
          <w:bCs/>
          <w:spacing w:val="-4"/>
          <w:rtl/>
        </w:rPr>
        <w:t xml:space="preserve">  إن لـم يكـن بـدّ كفـى ضـريـن.</w:t>
      </w:r>
      <w:r>
        <w:rPr>
          <w:rFonts w:hint="cs"/>
          <w:b/>
          <w:bCs/>
          <w:spacing w:val="-4"/>
          <w:rtl/>
        </w:rPr>
        <w:t xml:space="preserve">  </w:t>
      </w:r>
    </w:p>
    <w:p w:rsidR="00035BE3" w:rsidRDefault="00035BE3" w:rsidP="00C10469">
      <w:pPr>
        <w:pStyle w:val="a6"/>
        <w:ind w:left="424" w:firstLine="0"/>
        <w:jc w:val="left"/>
        <w:rPr>
          <w:b/>
          <w:bCs/>
          <w:rtl/>
        </w:rPr>
      </w:pPr>
      <w:r>
        <w:rPr>
          <w:rFonts w:hint="cs"/>
          <w:rtl/>
        </w:rPr>
        <w:t xml:space="preserve"> </w:t>
      </w:r>
      <w:r>
        <w:rPr>
          <w:rFonts w:hint="cs"/>
          <w:b/>
          <w:bCs/>
          <w:rtl/>
        </w:rPr>
        <w:t>قَــدِّمْ كَـبَـقْــرٍ واعـراةٍ وكــذا      مـضـطـرًّا ومـا من نـكاح أنفـذا</w:t>
      </w:r>
    </w:p>
    <w:p w:rsidR="00035BE3" w:rsidRDefault="00035BE3" w:rsidP="00C10469">
      <w:pPr>
        <w:pStyle w:val="a6"/>
        <w:ind w:left="424" w:firstLine="0"/>
      </w:pPr>
      <w:r>
        <w:rPr>
          <w:rFonts w:hint="cs"/>
          <w:rtl/>
        </w:rPr>
        <w:t>وهذا لفظ المنهج المنتخب المطبوع مع شرحه لابن منجور، ص507.</w:t>
      </w:r>
    </w:p>
    <w:p w:rsidR="00035BE3" w:rsidRDefault="00035BE3" w:rsidP="00C10469">
      <w:pPr>
        <w:pStyle w:val="a6"/>
        <w:ind w:left="424" w:firstLine="0"/>
      </w:pPr>
      <w:r>
        <w:rPr>
          <w:rFonts w:hint="cs"/>
          <w:rtl/>
        </w:rPr>
        <w:t>- «من ابتلي بمكروهين اختار أدونهما»، وهذا اللفظ ذكره صاحب القواعد والضوابط المستخلصة من التحرير،</w:t>
      </w:r>
      <w:r>
        <w:rPr>
          <w:rFonts w:hint="eastAsia"/>
          <w:rtl/>
        </w:rPr>
        <w:t> </w:t>
      </w:r>
      <w:r>
        <w:rPr>
          <w:rFonts w:hint="cs"/>
          <w:rtl/>
        </w:rPr>
        <w:t>ص168، وعزاه إلى شرح الجامع الصغير للكَرْدَري (ت 562هـ)، ل 23/أ.</w:t>
      </w:r>
    </w:p>
    <w:p w:rsidR="00035BE3" w:rsidRDefault="00035BE3" w:rsidP="00C10469">
      <w:pPr>
        <w:pStyle w:val="a6"/>
        <w:ind w:left="424" w:firstLine="0"/>
        <w:rPr>
          <w:rtl/>
        </w:rPr>
      </w:pPr>
      <w:r>
        <w:rPr>
          <w:rFonts w:hint="cs"/>
          <w:rtl/>
        </w:rPr>
        <w:t>- «يدفع شرّ الشرين بالتزام أهونهما»، وهذا اللفظ ذكـره صـاحب القـواعد الفقهية عند ابن تيمية، ص276، وهو مذكور في مجموع الفتاوى، 23/182، وانظر منه : 343، 28/129.</w:t>
      </w:r>
    </w:p>
  </w:footnote>
  <w:footnote w:id="483">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نهاية 2/ب من (د).</w:t>
      </w:r>
    </w:p>
  </w:footnote>
  <w:footnote w:id="484">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نهاية 2/أ من (جـ).</w:t>
      </w:r>
    </w:p>
  </w:footnote>
  <w:footnote w:id="485">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في (د): «العقرق».</w:t>
      </w:r>
    </w:p>
  </w:footnote>
  <w:footnote w:id="486">
    <w:p w:rsidR="00035BE3" w:rsidRDefault="00035BE3" w:rsidP="00C10469">
      <w:pPr>
        <w:pStyle w:val="a8"/>
        <w:bidi/>
        <w:ind w:left="424" w:right="0"/>
        <w:rPr>
          <w:rtl/>
        </w:rPr>
      </w:pPr>
      <w:r>
        <w:rPr>
          <w:rFonts w:hint="cs"/>
          <w:vertAlign w:val="superscript"/>
          <w:rtl/>
        </w:rPr>
        <w:t>(</w:t>
      </w:r>
      <w:r>
        <w:rPr>
          <w:rStyle w:val="a7"/>
        </w:rPr>
        <w:footnoteRef/>
      </w:r>
      <w:r>
        <w:rPr>
          <w:rFonts w:hint="cs"/>
          <w:vertAlign w:val="superscript"/>
          <w:rtl/>
        </w:rPr>
        <w:t>)</w:t>
      </w:r>
      <w:r>
        <w:rPr>
          <w:rFonts w:hint="cs"/>
          <w:rtl/>
        </w:rPr>
        <w:t xml:space="preserve">   من خلال هذا التعليل يمكن أن يعترض على جواب المؤلف بأنه جعل من العقوق ترك ما أمر به الوالدان وهو الجناية على الآخرين!.</w:t>
      </w:r>
    </w:p>
    <w:p w:rsidR="00035BE3" w:rsidRDefault="00035BE3" w:rsidP="00C10469">
      <w:pPr>
        <w:pStyle w:val="a6"/>
        <w:ind w:left="424" w:firstLine="0"/>
        <w:rPr>
          <w:rtl/>
        </w:rPr>
      </w:pPr>
      <w:r>
        <w:rPr>
          <w:rFonts w:hint="cs"/>
          <w:rtl/>
        </w:rPr>
        <w:t>وهذا قد لا يسلّمُ؛ لأن الجناية على الآخرين بغير حق معصية، ولا طاعة للمخلوق في معصية الخالق؛ فلا</w:t>
      </w:r>
      <w:r>
        <w:rPr>
          <w:rFonts w:hint="eastAsia"/>
          <w:rtl/>
        </w:rPr>
        <w:t> </w:t>
      </w:r>
      <w:r>
        <w:rPr>
          <w:rFonts w:hint="cs"/>
          <w:rtl/>
        </w:rPr>
        <w:t>يكون هذا من تقابل الشرّين.</w:t>
      </w:r>
    </w:p>
    <w:p w:rsidR="00035BE3" w:rsidRDefault="00035BE3" w:rsidP="00C10469">
      <w:pPr>
        <w:pStyle w:val="a6"/>
        <w:ind w:left="424" w:firstLine="0"/>
        <w:rPr>
          <w:rtl/>
        </w:rPr>
      </w:pPr>
      <w:r>
        <w:rPr>
          <w:rFonts w:hint="cs"/>
          <w:rtl/>
        </w:rPr>
        <w:t>ثم إن عقوق الوالدين يمكن تداركه بالتوبة وطلب السماح منهما.</w:t>
      </w:r>
    </w:p>
  </w:footnote>
  <w:footnote w:id="48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بالاطلاع على كثير من كتب الفقه الحنفي وكتب القواعد الفقهية -المتقدمة على المؤلف-لم أجد من ذكر هذه العبارة على أنها قاعدة، إنما وردت في مقام التعليل أو التوضيح في مواضع متعددة من كتب الفقه، ولاسيما في أثناء حديثهم عن كتاب (الصلح).</w:t>
      </w:r>
    </w:p>
    <w:p w:rsidR="00035BE3" w:rsidRPr="00D62362" w:rsidRDefault="00035BE3" w:rsidP="00C10469">
      <w:pPr>
        <w:pStyle w:val="a6"/>
        <w:ind w:left="422" w:firstLine="0"/>
        <w:rPr>
          <w:rtl/>
          <w:lang w:val="en-US"/>
        </w:rPr>
      </w:pPr>
      <w:r w:rsidRPr="00D62362">
        <w:rPr>
          <w:rFonts w:hint="cs"/>
          <w:rtl/>
          <w:lang w:val="en-US"/>
        </w:rPr>
        <w:t>وعند النظر في السِّياق الذي تحدثوا فيه عنها يُلحظ شيء من الغموض؛ بسبب التعارض في التطبيق؛ ولعله ناتج من اختلافهم في فهم هذه القاعدة وكيفية تطبيقها.</w:t>
      </w:r>
    </w:p>
    <w:p w:rsidR="00035BE3" w:rsidRPr="00D62362" w:rsidRDefault="00035BE3" w:rsidP="00C10469">
      <w:pPr>
        <w:pStyle w:val="a6"/>
        <w:ind w:left="564" w:hanging="142"/>
        <w:rPr>
          <w:rtl/>
          <w:lang w:val="en-US"/>
        </w:rPr>
      </w:pPr>
      <w:r w:rsidRPr="00D62362">
        <w:rPr>
          <w:rFonts w:hint="cs"/>
          <w:rtl/>
          <w:lang w:val="en-US"/>
        </w:rPr>
        <w:t>وهذا الاختلاف ناشئ من وجود بعض الأقوال والفتاوى التي ظاهرها التعارض مع هذه القاعدة.</w:t>
      </w:r>
    </w:p>
    <w:p w:rsidR="00035BE3" w:rsidRPr="00D62362" w:rsidRDefault="00035BE3" w:rsidP="00C10469">
      <w:pPr>
        <w:pStyle w:val="a6"/>
        <w:ind w:left="422" w:firstLine="0"/>
        <w:rPr>
          <w:rtl/>
          <w:lang w:val="en-US"/>
        </w:rPr>
      </w:pPr>
      <w:r w:rsidRPr="00D62362">
        <w:rPr>
          <w:rFonts w:hint="cs"/>
          <w:rtl/>
          <w:lang w:val="en-US"/>
        </w:rPr>
        <w:t xml:space="preserve">وتلك الأقوال والفتاوى لم تؤثر -والله أعلم- في الاختلاف في تطبيق القاعدة فحسب؛ بل دعت البعضَ لصياغتها بلفظ آخر مغاير لها. وتفصيل ذلك على النحو الآتي: </w:t>
      </w:r>
    </w:p>
    <w:p w:rsidR="00035BE3" w:rsidRPr="00D62362" w:rsidRDefault="00035BE3" w:rsidP="00C10469">
      <w:pPr>
        <w:pStyle w:val="a6"/>
        <w:ind w:left="422" w:firstLine="0"/>
        <w:rPr>
          <w:rtl/>
          <w:lang w:val="en-US"/>
        </w:rPr>
      </w:pPr>
      <w:r w:rsidRPr="00D62362">
        <w:rPr>
          <w:rFonts w:hint="cs"/>
          <w:rtl/>
          <w:lang w:val="en-US"/>
        </w:rPr>
        <w:t>وردت القاعدة في مقام التعليل والتوضيح في عدد من كتب الفقه الحنفي، ومن هذه الكتب :</w:t>
      </w:r>
    </w:p>
    <w:p w:rsidR="00035BE3" w:rsidRPr="009528F3" w:rsidRDefault="00035BE3" w:rsidP="00C10469">
      <w:pPr>
        <w:pStyle w:val="a6"/>
        <w:ind w:left="422" w:firstLine="0"/>
        <w:rPr>
          <w:b/>
          <w:bCs/>
          <w:lang w:val="en-US"/>
        </w:rPr>
      </w:pPr>
      <w:r>
        <w:rPr>
          <w:rtl/>
          <w:lang w:val="en-US"/>
        </w:rPr>
        <w:t>•</w:t>
      </w:r>
      <w:r>
        <w:rPr>
          <w:rFonts w:hint="cs"/>
          <w:rtl/>
          <w:lang w:val="en-US"/>
        </w:rPr>
        <w:t xml:space="preserve"> </w:t>
      </w:r>
      <w:r w:rsidRPr="00D62362">
        <w:rPr>
          <w:rFonts w:hint="cs"/>
          <w:rtl/>
          <w:lang w:val="en-US"/>
        </w:rPr>
        <w:t xml:space="preserve">ما جاء في (الوقاية) وشرحها -2/129- : « (ولو صالح على بعض دارٍ يدّعيها لم يصح. وحيلته أن يزيد في البدل شيئا أو يبرئ المدعي عن دعوى الباقي). [قال صدر الشريعة]: وإنما لم يصح لأن بعض الدار لا يصلح عوضًا عن الكل ... [ثم قال موضحًا الحيلة الثانية:] وإن أبرأه المدعي عن دعوى الباقي يصح أيضًا؛ لأن هذه </w:t>
      </w:r>
      <w:r w:rsidRPr="00AA7091">
        <w:rPr>
          <w:rFonts w:hint="cs"/>
          <w:b/>
          <w:bCs/>
          <w:rtl/>
          <w:lang w:val="en-US"/>
        </w:rPr>
        <w:t>براءة</w:t>
      </w:r>
      <w:r w:rsidRPr="00D62362">
        <w:rPr>
          <w:rFonts w:hint="cs"/>
          <w:rtl/>
          <w:lang w:val="en-US"/>
        </w:rPr>
        <w:t xml:space="preserve"> </w:t>
      </w:r>
      <w:r w:rsidRPr="009528F3">
        <w:rPr>
          <w:rFonts w:hint="cs"/>
          <w:b/>
          <w:bCs/>
          <w:rtl/>
          <w:lang w:val="en-US"/>
        </w:rPr>
        <w:t>عن دعوى الأعيان وهي صحيحة- وإن لم يكن [هكذا (بالياء)] البراءة عن الأعيان صحيحة».</w:t>
      </w:r>
    </w:p>
    <w:p w:rsidR="00035BE3" w:rsidRPr="00D62362" w:rsidRDefault="00035BE3" w:rsidP="00C10469">
      <w:pPr>
        <w:pStyle w:val="a6"/>
        <w:ind w:left="422" w:firstLine="0"/>
        <w:rPr>
          <w:lang w:val="en-US"/>
        </w:rPr>
      </w:pPr>
      <w:r>
        <w:rPr>
          <w:rtl/>
          <w:lang w:val="en-US"/>
        </w:rPr>
        <w:t>•</w:t>
      </w:r>
      <w:r w:rsidRPr="00D62362">
        <w:rPr>
          <w:rFonts w:hint="cs"/>
          <w:rtl/>
          <w:lang w:val="en-US"/>
        </w:rPr>
        <w:t>وورد معنى هذه العبارة في الهداية وشرحها: (العناية)، 8/412؛ وفي (تنوير الأبصار) وشرحه: (الدّر المختار)، 8/409-410.</w:t>
      </w:r>
    </w:p>
    <w:p w:rsidR="00035BE3" w:rsidRPr="00D62362" w:rsidRDefault="00035BE3" w:rsidP="00C10469">
      <w:pPr>
        <w:pStyle w:val="a6"/>
        <w:ind w:left="422" w:firstLine="0"/>
        <w:rPr>
          <w:lang w:val="en-US"/>
        </w:rPr>
      </w:pPr>
      <w:r>
        <w:rPr>
          <w:rtl/>
          <w:lang w:val="en-US"/>
        </w:rPr>
        <w:t>•</w:t>
      </w:r>
      <w:r w:rsidRPr="00D62362">
        <w:rPr>
          <w:rFonts w:hint="cs"/>
          <w:rtl/>
          <w:lang w:val="en-US"/>
        </w:rPr>
        <w:t xml:space="preserve">وجاء في (درر الحكام في شرح غرر الأحكام)، 2/398 : «وإذا مات واحد وترك ميراثًا فبرئ بعض الورثة عن نصيبه </w:t>
      </w:r>
      <w:r w:rsidRPr="009528F3">
        <w:rPr>
          <w:rFonts w:hint="cs"/>
          <w:b/>
          <w:bCs/>
          <w:rtl/>
          <w:lang w:val="en-US"/>
        </w:rPr>
        <w:t>لم يجز؛ لكونه براءة عن الأعيان،</w:t>
      </w:r>
      <w:r w:rsidRPr="00D62362">
        <w:rPr>
          <w:rFonts w:hint="cs"/>
          <w:rtl/>
          <w:lang w:val="en-US"/>
        </w:rPr>
        <w:t xml:space="preserve"> إلا بزيادة شيء من البدل، أو الإبراء عن دعوى الباقي ...؛ </w:t>
      </w:r>
      <w:r w:rsidRPr="00AA7091">
        <w:rPr>
          <w:rFonts w:hint="cs"/>
          <w:b/>
          <w:bCs/>
          <w:rtl/>
          <w:lang w:val="en-US"/>
        </w:rPr>
        <w:t>لأن الإبراء عن دعوى العين جائز».</w:t>
      </w:r>
    </w:p>
    <w:p w:rsidR="00035BE3" w:rsidRPr="009528F3" w:rsidRDefault="00035BE3" w:rsidP="00C10469">
      <w:pPr>
        <w:pStyle w:val="a6"/>
        <w:ind w:left="422" w:firstLine="0"/>
        <w:rPr>
          <w:b/>
          <w:bCs/>
          <w:lang w:val="en-US"/>
        </w:rPr>
      </w:pPr>
      <w:r>
        <w:rPr>
          <w:rtl/>
          <w:lang w:val="en-US"/>
        </w:rPr>
        <w:t>•</w:t>
      </w:r>
      <w:r w:rsidRPr="00D62362">
        <w:rPr>
          <w:rFonts w:hint="cs"/>
          <w:rtl/>
          <w:lang w:val="en-US"/>
        </w:rPr>
        <w:t xml:space="preserve">وجاء في (الأشباه والنظائر) لابن نجيم، ص391 - وذلك في معرض حديثه عن الأحكام التي اختص بها الدين-: «ومنها: صحة الإبراء عنه [أي عن الدين]، </w:t>
      </w:r>
      <w:r w:rsidRPr="009528F3">
        <w:rPr>
          <w:rFonts w:hint="cs"/>
          <w:b/>
          <w:bCs/>
          <w:rtl/>
          <w:lang w:val="en-US"/>
        </w:rPr>
        <w:t>فلا يصح الإبراء عن الأعيان، والإبراء عن دعواها صحيح ...».</w:t>
      </w:r>
    </w:p>
    <w:p w:rsidR="00035BE3" w:rsidRPr="00D62362" w:rsidRDefault="00035BE3" w:rsidP="00C10469">
      <w:pPr>
        <w:pStyle w:val="a6"/>
        <w:ind w:left="422" w:firstLine="0"/>
        <w:rPr>
          <w:lang w:val="en-US"/>
        </w:rPr>
      </w:pPr>
      <w:r>
        <w:rPr>
          <w:rtl/>
          <w:lang w:val="en-US"/>
        </w:rPr>
        <w:t>•</w:t>
      </w:r>
      <w:r w:rsidRPr="00D62362">
        <w:rPr>
          <w:rFonts w:hint="cs"/>
          <w:rtl/>
          <w:lang w:val="en-US"/>
        </w:rPr>
        <w:t>وبالإضافة إلى الكتب السابقة: وردت القاعدة عرضًا في كتاب آخر لكنّه مخالف لها في كيفية التطبيق، وهو كتاب (الاختيار لتعليل المختار)، 3/6، حيث جاء فيه :</w:t>
      </w:r>
      <w:r w:rsidRPr="00D62362">
        <w:rPr>
          <w:rFonts w:hint="cs"/>
          <w:rtl/>
          <w:lang w:val="en-US"/>
        </w:rPr>
        <w:tab/>
      </w:r>
      <w:r w:rsidRPr="00D62362">
        <w:rPr>
          <w:rFonts w:hint="cs"/>
          <w:rtl/>
          <w:lang w:val="en-US"/>
        </w:rPr>
        <w:tab/>
      </w:r>
      <w:r w:rsidRPr="00D62362">
        <w:rPr>
          <w:rFonts w:hint="cs"/>
          <w:rtl/>
          <w:lang w:val="en-US"/>
        </w:rPr>
        <w:tab/>
        <w:t xml:space="preserve">  </w:t>
      </w:r>
    </w:p>
    <w:p w:rsidR="00035BE3" w:rsidRPr="00D62362" w:rsidRDefault="00035BE3" w:rsidP="00C10469">
      <w:pPr>
        <w:pStyle w:val="a6"/>
        <w:ind w:left="564" w:hanging="142"/>
        <w:rPr>
          <w:rtl/>
          <w:lang w:val="en-US"/>
        </w:rPr>
      </w:pPr>
      <w:r w:rsidRPr="00D62362">
        <w:rPr>
          <w:rFonts w:hint="cs"/>
          <w:rtl/>
          <w:lang w:val="en-US"/>
        </w:rPr>
        <w:t xml:space="preserve">«ولو ادّعى دارًا فصالحه على قدر معلوم منها جاز، ويصير كأنه أخذ بعض حقه وأبرأه عن دعوى الباقي، </w:t>
      </w:r>
      <w:r w:rsidRPr="00083C3D">
        <w:rPr>
          <w:rFonts w:hint="cs"/>
          <w:b/>
          <w:bCs/>
          <w:rtl/>
          <w:lang w:val="en-US"/>
        </w:rPr>
        <w:t>والبراءة عن العين وإن لم تصحّ لكن البراءة عن الدعوى تصح</w:t>
      </w:r>
      <w:r w:rsidRPr="00D62362">
        <w:rPr>
          <w:rFonts w:hint="cs"/>
          <w:rtl/>
          <w:lang w:val="en-US"/>
        </w:rPr>
        <w:t>. فصحَّحناها على هذا الوجه قطعًا للمنازعة».</w:t>
      </w:r>
    </w:p>
    <w:p w:rsidR="00035BE3" w:rsidRPr="00D62362" w:rsidRDefault="00035BE3" w:rsidP="00C10469">
      <w:pPr>
        <w:pStyle w:val="a6"/>
        <w:ind w:left="564" w:hanging="142"/>
        <w:rPr>
          <w:rtl/>
          <w:lang w:val="en-US"/>
        </w:rPr>
      </w:pPr>
      <w:r w:rsidRPr="00D62362">
        <w:rPr>
          <w:rFonts w:hint="cs"/>
          <w:rtl/>
          <w:lang w:val="en-US"/>
        </w:rPr>
        <w:t>فهذه جـملة من النقول التي وردت فيها القاعدة عرضًا في مقام التعليل أو التوضيح دون التصريح بأنها قاعدة.</w:t>
      </w:r>
    </w:p>
    <w:p w:rsidR="00035BE3" w:rsidRPr="00D62362" w:rsidRDefault="00035BE3" w:rsidP="00C10469">
      <w:pPr>
        <w:pStyle w:val="a6"/>
        <w:ind w:left="564" w:hanging="142"/>
        <w:rPr>
          <w:rtl/>
          <w:lang w:val="en-US"/>
        </w:rPr>
      </w:pPr>
      <w:r w:rsidRPr="00D62362">
        <w:rPr>
          <w:rFonts w:hint="cs"/>
          <w:rtl/>
          <w:lang w:val="en-US"/>
        </w:rPr>
        <w:t>وصرّح بكونها قاعدة عالم متأخّر عن المؤلف وهو الخادمي (ت 1176هـ)، حيث ذكرها مختصرة بلفظ: «الإبراء عن الأعيان ليس بجائز دون دعواها»، وذلك في خاتمة كتابه: (مجامع الحقائق)، ص44؛ وانظر: شرح العلائي لقواعد الخادمي، ل6/ب؛ منافع الدّقائق، ص309-310.</w:t>
      </w:r>
    </w:p>
    <w:p w:rsidR="00035BE3" w:rsidRPr="00D62362" w:rsidRDefault="00035BE3" w:rsidP="00C10469">
      <w:pPr>
        <w:pStyle w:val="a6"/>
        <w:ind w:left="564" w:hanging="142"/>
        <w:rPr>
          <w:rtl/>
          <w:lang w:val="en-US"/>
        </w:rPr>
      </w:pPr>
      <w:r w:rsidRPr="00D62362">
        <w:rPr>
          <w:rFonts w:hint="cs"/>
          <w:rtl/>
          <w:lang w:val="en-US"/>
        </w:rPr>
        <w:t>ومن مظاهر التعارض الناتج من كيفيّة تطبيق القاعدة: النقلان، الأول والأخير:</w:t>
      </w:r>
    </w:p>
    <w:p w:rsidR="00035BE3" w:rsidRPr="00D62362" w:rsidRDefault="00035BE3" w:rsidP="00C10469">
      <w:pPr>
        <w:pStyle w:val="a6"/>
        <w:ind w:left="564" w:hanging="142"/>
        <w:rPr>
          <w:rtl/>
          <w:lang w:val="en-US"/>
        </w:rPr>
      </w:pPr>
      <w:r w:rsidRPr="00D62362">
        <w:rPr>
          <w:rFonts w:hint="cs"/>
          <w:rtl/>
          <w:lang w:val="en-US"/>
        </w:rPr>
        <w:t>ففي العبارة الأولى المنقولة من (الوقاية) وشرحها، والأخيرة المنفولة من (الاختيار) يُلحظ أن صورة المسألة فيهما واحدة، والقاعدة التي بُنِيَ عليها الحكمُ أيضًا واحدة، إلا أنه حصل اختلاف في فهم القاعدة، نتج عنه اختلاف في الحكم.</w:t>
      </w:r>
    </w:p>
    <w:p w:rsidR="00035BE3" w:rsidRPr="00D62362" w:rsidRDefault="00035BE3" w:rsidP="00C10469">
      <w:pPr>
        <w:pStyle w:val="a6"/>
        <w:numPr>
          <w:ilvl w:val="0"/>
          <w:numId w:val="17"/>
        </w:numPr>
        <w:tabs>
          <w:tab w:val="clear" w:pos="779"/>
        </w:tabs>
        <w:ind w:left="564" w:hanging="283"/>
        <w:rPr>
          <w:rtl/>
          <w:lang w:val="en-US"/>
        </w:rPr>
      </w:pPr>
      <w:r w:rsidRPr="00083C3D">
        <w:rPr>
          <w:rFonts w:hint="cs"/>
          <w:b/>
          <w:bCs/>
          <w:rtl/>
          <w:lang w:val="en-US"/>
        </w:rPr>
        <w:t xml:space="preserve">فالأولى </w:t>
      </w:r>
      <w:r w:rsidRPr="00D62362">
        <w:rPr>
          <w:rFonts w:hint="cs"/>
          <w:rtl/>
          <w:lang w:val="en-US"/>
        </w:rPr>
        <w:t>: أفادت عدم صحة الصلح على بعض الدار إلا إذا صرّح المدّعي بالبراءة عن دعوى الباقي</w:t>
      </w:r>
      <w:r w:rsidRPr="00D62362">
        <w:rPr>
          <w:rFonts w:hint="eastAsia"/>
          <w:rtl/>
          <w:lang w:val="en-US"/>
        </w:rPr>
        <w:t> </w:t>
      </w:r>
      <w:r w:rsidRPr="00D62362">
        <w:rPr>
          <w:rFonts w:hint="cs"/>
          <w:rtl/>
          <w:lang w:val="en-US"/>
        </w:rPr>
        <w:t>... لا مجرّد البراءة عن الباقي. وهذا موافق لظاهر القاعدة.</w:t>
      </w:r>
    </w:p>
    <w:p w:rsidR="00035BE3" w:rsidRPr="00D62362" w:rsidRDefault="00035BE3" w:rsidP="00C10469">
      <w:pPr>
        <w:pStyle w:val="a6"/>
        <w:numPr>
          <w:ilvl w:val="0"/>
          <w:numId w:val="17"/>
        </w:numPr>
        <w:tabs>
          <w:tab w:val="clear" w:pos="779"/>
        </w:tabs>
        <w:ind w:left="564" w:hanging="283"/>
        <w:rPr>
          <w:lang w:val="en-US"/>
        </w:rPr>
      </w:pPr>
      <w:r w:rsidRPr="00083C3D">
        <w:rPr>
          <w:rFonts w:hint="cs"/>
          <w:b/>
          <w:bCs/>
          <w:rtl/>
          <w:lang w:val="en-US"/>
        </w:rPr>
        <w:t>والأخيرة :</w:t>
      </w:r>
      <w:r w:rsidRPr="00D62362">
        <w:rPr>
          <w:rFonts w:hint="cs"/>
          <w:rtl/>
          <w:lang w:val="en-US"/>
        </w:rPr>
        <w:t xml:space="preserve"> أفادت صحة الصلح على بعض الدار وإن لم يصرح المدَّعي بالبراءة عن الدعوى؛ لأن من صالح على بعض الدار كأنه أخذ بعض حقّه، وأبرأ المدَّعى عليه عن دعوى الباقي، وفي هذا تأويل للمسألة حتى يتفق حكمها مع القاعدة.</w:t>
      </w:r>
    </w:p>
    <w:p w:rsidR="00035BE3" w:rsidRPr="00D62362" w:rsidRDefault="00035BE3" w:rsidP="00C10469">
      <w:pPr>
        <w:pStyle w:val="a6"/>
        <w:ind w:left="564" w:firstLine="0"/>
        <w:rPr>
          <w:rtl/>
          <w:lang w:val="en-US"/>
        </w:rPr>
      </w:pPr>
      <w:r w:rsidRPr="00D62362">
        <w:rPr>
          <w:rFonts w:hint="cs"/>
          <w:rtl/>
          <w:lang w:val="en-US"/>
        </w:rPr>
        <w:t>وإذا كان صاحب العبارة الأخيرة قد جمع بين فتواه وبين القاعدة، إلا أن هناك أقوالاً وفتاوى ظاهرها التعارض مع القاعدة وسكت أصحابها عنها، فحاول البعضُ الجمعَ بينها وبين القاعدة، وفي الجانب المقابل تمسك بها آخرون، فأعادوا صياغة القاعدة بما يتفق وهذه الفتاوى والأقوال :</w:t>
      </w:r>
    </w:p>
    <w:p w:rsidR="00035BE3" w:rsidRPr="00D62362" w:rsidRDefault="00035BE3" w:rsidP="00C10469">
      <w:pPr>
        <w:pStyle w:val="a6"/>
        <w:spacing w:line="264" w:lineRule="auto"/>
        <w:ind w:left="561" w:firstLine="0"/>
        <w:rPr>
          <w:rtl/>
          <w:lang w:val="en-US"/>
        </w:rPr>
      </w:pPr>
      <w:r>
        <w:rPr>
          <w:rtl/>
          <w:lang w:val="en-US"/>
        </w:rPr>
        <w:t>•</w:t>
      </w:r>
      <w:r>
        <w:rPr>
          <w:rFonts w:hint="cs"/>
          <w:rtl/>
          <w:lang w:val="en-US"/>
        </w:rPr>
        <w:t xml:space="preserve"> </w:t>
      </w:r>
      <w:r w:rsidRPr="00D62362">
        <w:rPr>
          <w:rFonts w:hint="cs"/>
          <w:rtl/>
          <w:lang w:val="en-US"/>
        </w:rPr>
        <w:t>ومن ذلك : الاعتراض الذي سيورده المؤلف على القاعدة، وجواب صاحب (العناية) عنه -وذلك ص219-220-.</w:t>
      </w:r>
    </w:p>
    <w:p w:rsidR="00035BE3" w:rsidRPr="00D62362" w:rsidRDefault="00035BE3" w:rsidP="00C10469">
      <w:pPr>
        <w:pStyle w:val="a6"/>
        <w:spacing w:line="264" w:lineRule="auto"/>
        <w:ind w:left="561" w:firstLine="0"/>
        <w:rPr>
          <w:rtl/>
          <w:lang w:val="en-US"/>
        </w:rPr>
      </w:pPr>
      <w:r>
        <w:rPr>
          <w:rtl/>
          <w:lang w:val="en-US"/>
        </w:rPr>
        <w:t>•</w:t>
      </w:r>
      <w:r>
        <w:rPr>
          <w:rFonts w:hint="cs"/>
          <w:rtl/>
          <w:lang w:val="en-US"/>
        </w:rPr>
        <w:t xml:space="preserve"> </w:t>
      </w:r>
      <w:r w:rsidRPr="00D62362">
        <w:rPr>
          <w:rFonts w:hint="cs"/>
          <w:rtl/>
          <w:lang w:val="en-US"/>
        </w:rPr>
        <w:t>وأيضًا: ما نقله صاحب (البحر الرائق) -7/261- حيث قال : «قال في (القنية): افترق الزوجان، وأبرأ كل واحد منهما صاحبه عن جميع الدعاوى، وللزوج أعيان قائمة: لا تبرأ المرأة منها، وله الدعوى؛ لأن الإبراء إنما ينصرف إلى الديون لا الأعيان».</w:t>
      </w:r>
    </w:p>
    <w:p w:rsidR="00035BE3" w:rsidRPr="00D62362" w:rsidRDefault="00035BE3" w:rsidP="00C10469">
      <w:pPr>
        <w:pStyle w:val="a6"/>
        <w:spacing w:line="264" w:lineRule="auto"/>
        <w:ind w:left="561" w:firstLine="0"/>
        <w:rPr>
          <w:rtl/>
          <w:lang w:val="en-US"/>
        </w:rPr>
      </w:pPr>
      <w:r w:rsidRPr="00D62362">
        <w:rPr>
          <w:rFonts w:hint="cs"/>
          <w:rtl/>
          <w:lang w:val="en-US"/>
        </w:rPr>
        <w:t>فهذه الفتوى دعت صاحب (البحر) إلى أن يُخْرِجَ من القاعدة: ما لو كان الإبراء عن الدعوى بطريق التعميم، إذ الإبراء حينئذ يكون باطلاً. بخلاف ما لو أبرأه عن الدعوى بطريق الخصوص.</w:t>
      </w:r>
      <w:r w:rsidRPr="00D62362">
        <w:rPr>
          <w:rFonts w:hint="cs"/>
          <w:rtl/>
          <w:lang w:val="en-US"/>
        </w:rPr>
        <w:tab/>
        <w:t xml:space="preserve">  </w:t>
      </w:r>
    </w:p>
    <w:p w:rsidR="00035BE3" w:rsidRPr="00D62362" w:rsidRDefault="00035BE3" w:rsidP="00C10469">
      <w:pPr>
        <w:pStyle w:val="a6"/>
        <w:ind w:left="564" w:hanging="3"/>
        <w:rPr>
          <w:rtl/>
          <w:lang w:val="en-US"/>
        </w:rPr>
      </w:pPr>
      <w:r w:rsidRPr="00D62362">
        <w:rPr>
          <w:rFonts w:hint="cs"/>
          <w:rtl/>
          <w:lang w:val="en-US"/>
        </w:rPr>
        <w:t xml:space="preserve"> ويمكن أن تؤول القاعدة حينئذٍ إلى أنَّ: «الإبراء عن الأعيان لا يجوز، وعن دعواها يجوز إلاّ إذا كان بطريق التعميم».</w:t>
      </w:r>
    </w:p>
    <w:p w:rsidR="00035BE3" w:rsidRPr="00D62362" w:rsidRDefault="00035BE3" w:rsidP="00C10469">
      <w:pPr>
        <w:pStyle w:val="a6"/>
        <w:ind w:left="564" w:hanging="3"/>
        <w:rPr>
          <w:rtl/>
          <w:lang w:val="en-US"/>
        </w:rPr>
      </w:pPr>
      <w:r w:rsidRPr="00D62362">
        <w:rPr>
          <w:rFonts w:hint="cs"/>
          <w:rtl/>
          <w:lang w:val="en-US"/>
        </w:rPr>
        <w:t xml:space="preserve">وقد وضّح ابن عابدين -في كتابه: (منحة الخالق على البحر الرائق)، 7/261- رأي صاحبِ (البحر)، حيث قال : «يعني: إنشاء الإبراء عن دعوى الأعيان: إن كانت بطريق التعميم لا تصح. مثل أن يقول: أبرأتك عن كل دعوى. فهذا شامل للعين  وغيرها، فله الدعوى على المخاطَبِ وغيرِه بالعين. </w:t>
      </w:r>
    </w:p>
    <w:p w:rsidR="00035BE3" w:rsidRPr="00D62362" w:rsidRDefault="00035BE3" w:rsidP="00C10469">
      <w:pPr>
        <w:pStyle w:val="a6"/>
        <w:ind w:left="564" w:hanging="3"/>
        <w:rPr>
          <w:rtl/>
          <w:lang w:val="en-US"/>
        </w:rPr>
      </w:pPr>
      <w:r w:rsidRPr="00D62362">
        <w:rPr>
          <w:rFonts w:hint="cs"/>
          <w:rtl/>
          <w:lang w:val="en-US"/>
        </w:rPr>
        <w:t>بخلاف ما إذا أبرأه عن دعوى عين مخصوصة، فلا يدّعى بها على المخاطَبِ».</w:t>
      </w:r>
    </w:p>
    <w:p w:rsidR="00035BE3" w:rsidRPr="00D62362" w:rsidRDefault="00035BE3" w:rsidP="00C10469">
      <w:pPr>
        <w:pStyle w:val="a6"/>
        <w:ind w:left="564" w:hanging="3"/>
        <w:rPr>
          <w:rtl/>
          <w:lang w:val="en-US"/>
        </w:rPr>
      </w:pPr>
      <w:r w:rsidRPr="00D62362">
        <w:rPr>
          <w:rFonts w:hint="cs"/>
          <w:rtl/>
          <w:lang w:val="en-US"/>
        </w:rPr>
        <w:t>وبعد أن وضّح ابن عابدين ما بناهُ صاحب (البحر) على (القنية) اعْترض عليه من جهتين:</w:t>
      </w:r>
    </w:p>
    <w:p w:rsidR="00035BE3" w:rsidRPr="00D62362" w:rsidRDefault="00035BE3" w:rsidP="00C10469">
      <w:pPr>
        <w:pStyle w:val="a6"/>
        <w:ind w:left="564" w:hanging="3"/>
        <w:rPr>
          <w:rtl/>
          <w:lang w:val="en-US"/>
        </w:rPr>
      </w:pPr>
      <w:r w:rsidRPr="00D62362">
        <w:rPr>
          <w:rFonts w:hint="cs"/>
          <w:rtl/>
          <w:lang w:val="en-US"/>
        </w:rPr>
        <w:t>من جهة ما بناه صاحب (البحر) على (القنية).</w:t>
      </w:r>
    </w:p>
    <w:p w:rsidR="00035BE3" w:rsidRPr="00D62362" w:rsidRDefault="00035BE3" w:rsidP="00C10469">
      <w:pPr>
        <w:pStyle w:val="a6"/>
        <w:ind w:left="564" w:hanging="3"/>
        <w:rPr>
          <w:rtl/>
          <w:lang w:val="en-US"/>
        </w:rPr>
      </w:pPr>
      <w:r w:rsidRPr="00D62362">
        <w:rPr>
          <w:rFonts w:hint="cs"/>
          <w:rtl/>
          <w:lang w:val="en-US"/>
        </w:rPr>
        <w:t>ومن جهة الاستشهاد بما في (القنية).</w:t>
      </w:r>
    </w:p>
    <w:p w:rsidR="00035BE3" w:rsidRPr="00D62362" w:rsidRDefault="00035BE3" w:rsidP="00C10469">
      <w:pPr>
        <w:pStyle w:val="a6"/>
        <w:numPr>
          <w:ilvl w:val="0"/>
          <w:numId w:val="17"/>
        </w:numPr>
        <w:tabs>
          <w:tab w:val="clear" w:pos="779"/>
        </w:tabs>
        <w:ind w:left="564" w:firstLine="0"/>
        <w:rPr>
          <w:rtl/>
          <w:lang w:val="en-US"/>
        </w:rPr>
      </w:pPr>
      <w:r>
        <w:rPr>
          <w:rFonts w:hint="cs"/>
          <w:rtl/>
          <w:lang w:val="en-US"/>
        </w:rPr>
        <w:t xml:space="preserve"> </w:t>
      </w:r>
      <w:r w:rsidRPr="00D62362">
        <w:rPr>
          <w:rFonts w:hint="cs"/>
          <w:rtl/>
          <w:lang w:val="en-US"/>
        </w:rPr>
        <w:t xml:space="preserve">أما من </w:t>
      </w:r>
      <w:r w:rsidRPr="00BE1192">
        <w:rPr>
          <w:rFonts w:hint="cs"/>
          <w:b/>
          <w:bCs/>
          <w:rtl/>
          <w:lang w:val="en-US"/>
        </w:rPr>
        <w:t>الجهة الأولى</w:t>
      </w:r>
      <w:r w:rsidRPr="00D62362">
        <w:rPr>
          <w:rFonts w:hint="cs"/>
          <w:rtl/>
          <w:lang w:val="en-US"/>
        </w:rPr>
        <w:t xml:space="preserve"> فقد اعترض عليه بما يلي:</w:t>
      </w:r>
    </w:p>
    <w:p w:rsidR="00035BE3" w:rsidRPr="00D62362" w:rsidRDefault="00035BE3" w:rsidP="00C10469">
      <w:pPr>
        <w:pStyle w:val="a6"/>
        <w:ind w:left="848" w:hanging="284"/>
        <w:rPr>
          <w:rtl/>
          <w:lang w:val="en-US"/>
        </w:rPr>
      </w:pPr>
      <w:r w:rsidRPr="00D62362">
        <w:rPr>
          <w:rFonts w:hint="cs"/>
          <w:rtl/>
          <w:lang w:val="en-US"/>
        </w:rPr>
        <w:t>1- أن الإبراء عن الدعوى بطريق التعميم أقوى منه بطريق الخصوص، فإذا كان صحيحًا بطريق الخصوص فمن باب أولى بطريق التعميم.</w:t>
      </w:r>
    </w:p>
    <w:p w:rsidR="00035BE3" w:rsidRPr="00D62362" w:rsidRDefault="00035BE3" w:rsidP="00C10469">
      <w:pPr>
        <w:pStyle w:val="a6"/>
        <w:ind w:left="848" w:hanging="284"/>
        <w:rPr>
          <w:lang w:val="en-US"/>
        </w:rPr>
      </w:pPr>
      <w:r w:rsidRPr="00D62362">
        <w:rPr>
          <w:rFonts w:hint="cs"/>
          <w:rtl/>
          <w:lang w:val="en-US"/>
        </w:rPr>
        <w:t>2- أن رأيه بأن الإبراء عن الدعوى إذا كان بطريق التعميم لا يصح «مخالف لقولهم: الإبراء عن دعوى الأعيان صحيح بخلاف الإبراء عن الأعيان نفسها» [أي مخالف للقاعدة].</w:t>
      </w:r>
    </w:p>
    <w:p w:rsidR="00035BE3" w:rsidRPr="00D62362" w:rsidRDefault="00035BE3" w:rsidP="00C10469">
      <w:pPr>
        <w:pStyle w:val="a6"/>
        <w:ind w:left="848" w:hanging="284"/>
        <w:rPr>
          <w:lang w:val="en-US"/>
        </w:rPr>
      </w:pPr>
      <w:r w:rsidRPr="00D62362">
        <w:rPr>
          <w:rFonts w:hint="cs"/>
          <w:rtl/>
          <w:lang w:val="en-US"/>
        </w:rPr>
        <w:t>3- وأيضًا مخالف لما «في (القنية): لو أبرأه بعد الصلح عن جميع دعاويه وخصوماته صحّ وإن لم يُحكم بصحَّة الصلح. ونحوه في (الحاوي)».</w:t>
      </w:r>
    </w:p>
    <w:p w:rsidR="00035BE3" w:rsidRPr="00D62362" w:rsidRDefault="00035BE3" w:rsidP="00C10469">
      <w:pPr>
        <w:pStyle w:val="a6"/>
        <w:numPr>
          <w:ilvl w:val="0"/>
          <w:numId w:val="17"/>
        </w:numPr>
        <w:tabs>
          <w:tab w:val="clear" w:pos="779"/>
        </w:tabs>
        <w:ind w:left="564" w:firstLine="0"/>
        <w:rPr>
          <w:rtl/>
          <w:lang w:val="en-US"/>
        </w:rPr>
      </w:pPr>
      <w:r>
        <w:rPr>
          <w:rFonts w:hint="cs"/>
          <w:rtl/>
          <w:lang w:val="en-US"/>
        </w:rPr>
        <w:t xml:space="preserve"> </w:t>
      </w:r>
      <w:r w:rsidRPr="00D62362">
        <w:rPr>
          <w:rFonts w:hint="cs"/>
          <w:rtl/>
          <w:lang w:val="en-US"/>
        </w:rPr>
        <w:t xml:space="preserve">وأما من </w:t>
      </w:r>
      <w:r w:rsidRPr="0001613E">
        <w:rPr>
          <w:rFonts w:hint="cs"/>
          <w:b/>
          <w:bCs/>
          <w:rtl/>
          <w:lang w:val="en-US"/>
        </w:rPr>
        <w:t>الجهة الثانية</w:t>
      </w:r>
      <w:r w:rsidRPr="00D62362">
        <w:rPr>
          <w:rFonts w:hint="cs"/>
          <w:rtl/>
          <w:lang w:val="en-US"/>
        </w:rPr>
        <w:t xml:space="preserve"> (وهي ما نقله صاحب (البحر) عن (القنية) مستشهدًا به على رأيه) فقد اعترض عليه بأحد أمرين:</w:t>
      </w:r>
    </w:p>
    <w:p w:rsidR="00035BE3" w:rsidRPr="00D62362" w:rsidRDefault="00035BE3" w:rsidP="00C10469">
      <w:pPr>
        <w:pStyle w:val="a6"/>
        <w:ind w:left="564" w:firstLine="0"/>
        <w:rPr>
          <w:rtl/>
          <w:lang w:val="en-US"/>
        </w:rPr>
      </w:pPr>
      <w:r w:rsidRPr="0001613E">
        <w:rPr>
          <w:rFonts w:hint="cs"/>
          <w:b/>
          <w:bCs/>
          <w:rtl/>
          <w:lang w:val="en-US"/>
        </w:rPr>
        <w:t>الأول :</w:t>
      </w:r>
      <w:r w:rsidRPr="00D62362">
        <w:rPr>
          <w:rFonts w:hint="cs"/>
          <w:rtl/>
          <w:lang w:val="en-US"/>
        </w:rPr>
        <w:t xml:space="preserve"> «أن هذا مبني على أحد قولين، والمرجّح خلافه».</w:t>
      </w:r>
    </w:p>
    <w:p w:rsidR="00035BE3" w:rsidRPr="00D62362" w:rsidRDefault="00035BE3" w:rsidP="00C10469">
      <w:pPr>
        <w:pStyle w:val="a6"/>
        <w:ind w:left="561" w:firstLine="0"/>
        <w:rPr>
          <w:rtl/>
          <w:lang w:val="en-US"/>
        </w:rPr>
      </w:pPr>
      <w:r w:rsidRPr="0001613E">
        <w:rPr>
          <w:rFonts w:hint="cs"/>
          <w:b/>
          <w:bCs/>
          <w:rtl/>
          <w:lang w:val="en-US"/>
        </w:rPr>
        <w:t>الثاني :</w:t>
      </w:r>
      <w:r w:rsidRPr="00D62362">
        <w:rPr>
          <w:rFonts w:hint="cs"/>
          <w:rtl/>
          <w:lang w:val="en-US"/>
        </w:rPr>
        <w:t xml:space="preserve"> «أن الزوجة مقرّة بالحصاد والأعيان بأنها للزوج؛ فلهذا قال: لا تدخل في الإبراء، يعني أنها لا تصير ملكًا للزوجة، وتؤمر بدفعها للزوج»، ثم أيّد ذلك بنقل عن (البزازية) و(الخلاصة). </w:t>
      </w:r>
    </w:p>
    <w:p w:rsidR="00035BE3" w:rsidRPr="00D62362" w:rsidRDefault="00035BE3" w:rsidP="00C10469">
      <w:pPr>
        <w:pStyle w:val="a6"/>
        <w:ind w:left="561" w:firstLine="0"/>
        <w:rPr>
          <w:lang w:val="en-US"/>
        </w:rPr>
      </w:pPr>
      <w:r w:rsidRPr="00D62362">
        <w:rPr>
          <w:rFonts w:hint="cs"/>
          <w:rtl/>
          <w:lang w:val="en-US"/>
        </w:rPr>
        <w:t>ويمكن أن يضاف إليهما اعتراض ثالث وهو أن (القنية) من الكتب غير المعتد بها، -كما سبق بيان ذلك ص 207 - وقد خالف عددًا من المتون والشروح المعتد بها، «والحكم في .. الكتب الغير المعتبرة: أن لا يؤخذ منها ما كان مخالفًا لكتب الطبقة الأعلى، ويتوقف فيما وُجد فيها ولم يوجد في غيرها، ما لم يدخل ذلك في أصل شرعي» -كذا في النافع الكبير، ص30-.</w:t>
      </w:r>
    </w:p>
    <w:p w:rsidR="00035BE3" w:rsidRPr="00D62362" w:rsidRDefault="00035BE3" w:rsidP="00C10469">
      <w:pPr>
        <w:pStyle w:val="a6"/>
        <w:ind w:left="561" w:firstLine="0"/>
        <w:rPr>
          <w:rtl/>
          <w:lang w:val="en-US"/>
        </w:rPr>
      </w:pPr>
      <w:r>
        <w:rPr>
          <w:rtl/>
          <w:lang w:val="en-US"/>
        </w:rPr>
        <w:t>•</w:t>
      </w:r>
      <w:r>
        <w:rPr>
          <w:rFonts w:hint="cs"/>
          <w:rtl/>
          <w:lang w:val="en-US"/>
        </w:rPr>
        <w:t xml:space="preserve"> </w:t>
      </w:r>
      <w:r w:rsidRPr="00D62362">
        <w:rPr>
          <w:rFonts w:hint="cs"/>
          <w:rtl/>
          <w:lang w:val="en-US"/>
        </w:rPr>
        <w:t xml:space="preserve">ومن العبارات الأخر التي تتعارض مع القاعدة : ما جاء في (الخانية) -3/359- :«رجل في دار، </w:t>
      </w:r>
      <w:r w:rsidRPr="004A579E">
        <w:rPr>
          <w:rFonts w:hint="cs"/>
          <w:spacing w:val="-4"/>
          <w:rtl/>
          <w:lang w:val="en-US"/>
        </w:rPr>
        <w:t>ثم قال للمدعى عليه: قد أبرأتك عن هذه الدار، أو عن خصومتي في هذه الدار، أو عن دعواي في</w:t>
      </w:r>
      <w:r w:rsidRPr="00D62362">
        <w:rPr>
          <w:rFonts w:hint="cs"/>
          <w:rtl/>
          <w:lang w:val="en-US"/>
        </w:rPr>
        <w:t xml:space="preserve"> هذه الدار : جميع ذلك باطل، وله أن يخاصمه فيقيم البينة ويأخذ الدار. ولو قال: برئتُ من هذه الدار، أو قال: برئت من دعواي في هذه الدار: صح ذلك ولا حقّ له فيها، ولو أقام البينة لا تقبل ...».</w:t>
      </w:r>
    </w:p>
    <w:p w:rsidR="00035BE3" w:rsidRPr="00D62362" w:rsidRDefault="00035BE3" w:rsidP="00C10469">
      <w:pPr>
        <w:pStyle w:val="a6"/>
        <w:ind w:left="564" w:hanging="3"/>
        <w:rPr>
          <w:rtl/>
          <w:lang w:val="en-US"/>
        </w:rPr>
      </w:pPr>
      <w:r w:rsidRPr="00D62362">
        <w:rPr>
          <w:rFonts w:hint="cs"/>
          <w:rtl/>
          <w:lang w:val="en-US"/>
        </w:rPr>
        <w:t>ويلحظ على هذه العبارة أنه فُرِّق فيها بين ما لو أنشأ الإنسانُ الإبراء لغيره وبين ما لو أخبر ببراءة نفسه. فإن أنشأ الإبراء لغيره كان باطلاً سواء كان الإبراء عن العين أم دعواها، وإن أخبر ببراءة نفسه ثبتت البراءة سواء كانت عن العين أم دعواها.</w:t>
      </w:r>
    </w:p>
    <w:p w:rsidR="00035BE3" w:rsidRPr="00D62362" w:rsidRDefault="00035BE3" w:rsidP="00C10469">
      <w:pPr>
        <w:pStyle w:val="a6"/>
        <w:ind w:left="564" w:hanging="3"/>
        <w:rPr>
          <w:rtl/>
          <w:lang w:val="en-US"/>
        </w:rPr>
      </w:pPr>
      <w:r w:rsidRPr="00D62362">
        <w:rPr>
          <w:rFonts w:hint="cs"/>
          <w:rtl/>
          <w:lang w:val="en-US"/>
        </w:rPr>
        <w:t xml:space="preserve">وهذا معارض للقاعدة معارضة ظاهرة، فالقاعدة ربطت صحة الإبراء بما لو كان عن دعوى العين لا العين نفسها. وما في (الخانية) ربط صحة البراءة بما لو أضافها إلى نفسه سواء كانت عن العين أم دعواها؛ ولهذا نجد أن الحمزاوي (ت 1305هـ) خَرَّجَ ممَّا في (الخانية) لفظًا آخر للقاعدة مغايرًا لها </w:t>
      </w:r>
      <w:r w:rsidRPr="000E4F3F">
        <w:rPr>
          <w:rFonts w:hint="cs"/>
          <w:spacing w:val="-4"/>
          <w:rtl/>
          <w:lang w:val="en-US"/>
        </w:rPr>
        <w:t>وهو: «إنشاء الإبراء عن العين، أو عن دعواها، أو عن الخصومة فيها باطل»، وذلك في كتابه: (الفرائد البهية)، ص141، وتابعه على ذلك د. محمد البورنو في كتابه: (موسوعة القواعد الفقهية)، 2/288.</w:t>
      </w:r>
    </w:p>
    <w:p w:rsidR="00035BE3" w:rsidRPr="00D62362" w:rsidRDefault="00035BE3" w:rsidP="00C10469">
      <w:pPr>
        <w:pStyle w:val="a6"/>
        <w:ind w:left="564" w:hanging="3"/>
        <w:rPr>
          <w:rtl/>
          <w:lang w:val="en-US"/>
        </w:rPr>
      </w:pPr>
      <w:r w:rsidRPr="00D62362">
        <w:rPr>
          <w:rFonts w:hint="cs"/>
          <w:rtl/>
          <w:lang w:val="en-US"/>
        </w:rPr>
        <w:t>وممّا يمكن أن يكون عاضدًا لما في (الخانية) عبارة منقولة في تكملة فتح القدير المسمّاة: (نتائج الأفكار)، 8/412، حيث جاء فيها: «قال صاحب (النهاية) : فإن قلتَ : كيف صورة البراءة؟ قلتُ: هي أن يقول : قد برئت من هذه الدار، أو يقول : قد برئت من دعواي في هذه الدار. فهذا جائز، حتى لو ادّعى بعد ذلك وجاء ببينة لا تقبل. أما لو قال: أبرأتك عن هذه الدار. أو قال : قد أبرأتك عن خصومتي في هذه الدار : فهذا وأمثاله باطل، وله أن يخاصم فيما بعد ذلك ...».</w:t>
      </w:r>
    </w:p>
    <w:p w:rsidR="00035BE3" w:rsidRPr="00D62362" w:rsidRDefault="00035BE3" w:rsidP="00C10469">
      <w:pPr>
        <w:pStyle w:val="a6"/>
        <w:ind w:left="564" w:hanging="3"/>
        <w:rPr>
          <w:rtl/>
          <w:lang w:val="en-US"/>
        </w:rPr>
      </w:pPr>
      <w:r w:rsidRPr="00D62362">
        <w:rPr>
          <w:rFonts w:hint="cs"/>
          <w:rtl/>
          <w:lang w:val="en-US"/>
        </w:rPr>
        <w:t>وقد ناقش صاحبُ (نتائج الأفكار) هذه العبارة باعتراض يمكن أن يرد الشقُّ الثاني منه على ما في (الخانية) أيضًا.</w:t>
      </w:r>
    </w:p>
    <w:p w:rsidR="00035BE3" w:rsidRPr="00D62362" w:rsidRDefault="00035BE3" w:rsidP="00C10469">
      <w:pPr>
        <w:pStyle w:val="a6"/>
        <w:ind w:left="567" w:hanging="6"/>
        <w:rPr>
          <w:rtl/>
          <w:lang w:val="en-US"/>
        </w:rPr>
      </w:pPr>
      <w:r w:rsidRPr="00BE1192">
        <w:rPr>
          <w:rFonts w:hint="cs"/>
          <w:b/>
          <w:bCs/>
          <w:rtl/>
          <w:lang w:val="en-US"/>
        </w:rPr>
        <w:t>وحاصله :</w:t>
      </w:r>
      <w:r w:rsidRPr="00D62362">
        <w:rPr>
          <w:rFonts w:hint="cs"/>
          <w:rtl/>
          <w:lang w:val="en-US"/>
        </w:rPr>
        <w:t xml:space="preserve"> أن صاحب (النهاية) أورد عبارته المذكورة في أثناء شرحه لكتاب (الهداية)، حيث جاء فيه -8/411-412-: «ولو ادعى دارًا فصالح على قطعة منها : لم يصح الصلح ... والوجه فيه أحد أمرين: إما أن يزيد درهمًا في بدل الصلح ... أو يُلْحِقَ به: ذِكرَ البراءة عن دعوى الباقي».</w:t>
      </w:r>
    </w:p>
    <w:p w:rsidR="00035BE3" w:rsidRPr="00D62362" w:rsidRDefault="00035BE3" w:rsidP="00C10469">
      <w:pPr>
        <w:pStyle w:val="a6"/>
        <w:ind w:left="567" w:hanging="6"/>
        <w:rPr>
          <w:rtl/>
          <w:lang w:val="en-US"/>
        </w:rPr>
      </w:pPr>
      <w:r w:rsidRPr="00D62362">
        <w:rPr>
          <w:rFonts w:hint="cs"/>
          <w:rtl/>
          <w:lang w:val="en-US"/>
        </w:rPr>
        <w:t>فقوله في (الهداية): «أو يلحق به ذكر البراءة ...» علق عليه صاحب (النهاية) بالعبارة المذكورة.</w:t>
      </w:r>
    </w:p>
    <w:p w:rsidR="00035BE3" w:rsidRPr="00D62362" w:rsidRDefault="00035BE3" w:rsidP="00C10469">
      <w:pPr>
        <w:pStyle w:val="a6"/>
        <w:ind w:left="567" w:hanging="6"/>
        <w:rPr>
          <w:rtl/>
          <w:lang w:val="en-US"/>
        </w:rPr>
      </w:pPr>
      <w:r w:rsidRPr="00D62362">
        <w:rPr>
          <w:rFonts w:hint="cs"/>
          <w:rtl/>
          <w:lang w:val="en-US"/>
        </w:rPr>
        <w:t xml:space="preserve">إذا علم هذا فإن صاحب (نتائج الأفكار) أورد على ذلك الشرح اعتراضًا من شقّين: </w:t>
      </w:r>
    </w:p>
    <w:p w:rsidR="00035BE3" w:rsidRPr="00D62362" w:rsidRDefault="00035BE3" w:rsidP="00C10469">
      <w:pPr>
        <w:pStyle w:val="a6"/>
        <w:ind w:left="567" w:hanging="6"/>
        <w:rPr>
          <w:rtl/>
          <w:lang w:val="en-US"/>
        </w:rPr>
      </w:pPr>
      <w:r w:rsidRPr="00BE1192">
        <w:rPr>
          <w:rFonts w:hint="cs"/>
          <w:b/>
          <w:bCs/>
          <w:rtl/>
          <w:lang w:val="en-US"/>
        </w:rPr>
        <w:t>الأول :</w:t>
      </w:r>
      <w:r w:rsidRPr="00D62362">
        <w:rPr>
          <w:rFonts w:hint="cs"/>
          <w:rtl/>
          <w:lang w:val="en-US"/>
        </w:rPr>
        <w:t xml:space="preserve"> أنه غير مطابق للمشروح، ووجهه : أن اللفظ المشروح وهو: «أو يلحق به ذكر البراءة عن دعوى الباقي» قد شرحه بأن البراءة لها صورتان :</w:t>
      </w:r>
    </w:p>
    <w:p w:rsidR="00035BE3" w:rsidRPr="00D62362" w:rsidRDefault="00035BE3" w:rsidP="00C10469">
      <w:pPr>
        <w:pStyle w:val="a6"/>
        <w:ind w:left="567" w:hanging="6"/>
        <w:rPr>
          <w:rtl/>
          <w:lang w:val="en-US"/>
        </w:rPr>
      </w:pPr>
      <w:r w:rsidRPr="00BE1192">
        <w:rPr>
          <w:rFonts w:hint="cs"/>
          <w:b/>
          <w:bCs/>
          <w:rtl/>
          <w:lang w:val="en-US"/>
        </w:rPr>
        <w:t>الأولى :</w:t>
      </w:r>
      <w:r w:rsidRPr="00D62362">
        <w:rPr>
          <w:rFonts w:hint="cs"/>
          <w:rtl/>
          <w:lang w:val="en-US"/>
        </w:rPr>
        <w:t xml:space="preserve"> قول المدّعي: برئت من هذه الدار.</w:t>
      </w:r>
    </w:p>
    <w:p w:rsidR="00035BE3" w:rsidRPr="00D62362" w:rsidRDefault="00035BE3" w:rsidP="00C10469">
      <w:pPr>
        <w:pStyle w:val="a6"/>
        <w:ind w:left="567" w:hanging="6"/>
        <w:rPr>
          <w:rtl/>
          <w:lang w:val="en-US"/>
        </w:rPr>
      </w:pPr>
      <w:r w:rsidRPr="00BE1192">
        <w:rPr>
          <w:rFonts w:hint="cs"/>
          <w:b/>
          <w:bCs/>
          <w:rtl/>
          <w:lang w:val="en-US"/>
        </w:rPr>
        <w:t>والثانية:</w:t>
      </w:r>
      <w:r w:rsidRPr="00D62362">
        <w:rPr>
          <w:rFonts w:hint="cs"/>
          <w:rtl/>
          <w:lang w:val="en-US"/>
        </w:rPr>
        <w:t xml:space="preserve"> قوله : برئت من دعواي في هذه الدار. والصورة الثانية وإن كانت مطابقة للمشروح؛ لأنها تتضمن البراءة عن دعوى الباقي، إلا أن الأولى مخالفة له؛ لتضمنها البراءة عن عين الباقي لا دعوى الباقي !! فظهر عدم التطابق. </w:t>
      </w:r>
      <w:r w:rsidRPr="00D62362">
        <w:rPr>
          <w:rFonts w:hint="cs"/>
          <w:rtl/>
          <w:lang w:val="en-US"/>
        </w:rPr>
        <w:tab/>
      </w:r>
      <w:r w:rsidRPr="00D62362">
        <w:rPr>
          <w:rFonts w:hint="cs"/>
          <w:rtl/>
          <w:lang w:val="en-US"/>
        </w:rPr>
        <w:tab/>
      </w:r>
      <w:r w:rsidRPr="00D62362">
        <w:rPr>
          <w:rFonts w:hint="cs"/>
          <w:rtl/>
          <w:lang w:val="en-US"/>
        </w:rPr>
        <w:tab/>
      </w:r>
      <w:r w:rsidRPr="00D62362">
        <w:rPr>
          <w:rFonts w:hint="cs"/>
          <w:rtl/>
          <w:lang w:val="en-US"/>
        </w:rPr>
        <w:tab/>
      </w:r>
      <w:r w:rsidRPr="00D62362">
        <w:rPr>
          <w:rFonts w:hint="cs"/>
          <w:rtl/>
          <w:lang w:val="en-US"/>
        </w:rPr>
        <w:tab/>
      </w:r>
      <w:r w:rsidRPr="00D62362">
        <w:rPr>
          <w:rFonts w:hint="cs"/>
          <w:rtl/>
          <w:lang w:val="en-US"/>
        </w:rPr>
        <w:tab/>
      </w:r>
      <w:r w:rsidRPr="00D62362">
        <w:rPr>
          <w:rFonts w:hint="cs"/>
          <w:rtl/>
          <w:lang w:val="en-US"/>
        </w:rPr>
        <w:tab/>
      </w:r>
      <w:r w:rsidRPr="00D62362">
        <w:rPr>
          <w:rFonts w:hint="cs"/>
          <w:rtl/>
          <w:lang w:val="en-US"/>
        </w:rPr>
        <w:tab/>
        <w:t xml:space="preserve"> </w:t>
      </w:r>
    </w:p>
    <w:p w:rsidR="00035BE3" w:rsidRPr="00D62362" w:rsidRDefault="00035BE3" w:rsidP="00C10469">
      <w:pPr>
        <w:pStyle w:val="a6"/>
        <w:ind w:left="564" w:hanging="3"/>
        <w:rPr>
          <w:rtl/>
          <w:lang w:val="en-US"/>
        </w:rPr>
      </w:pPr>
      <w:r w:rsidRPr="000E4F3F">
        <w:rPr>
          <w:rFonts w:hint="cs"/>
          <w:b/>
          <w:bCs/>
          <w:rtl/>
          <w:lang w:val="en-US"/>
        </w:rPr>
        <w:t>الثاني:</w:t>
      </w:r>
      <w:r w:rsidRPr="00D62362">
        <w:rPr>
          <w:rFonts w:hint="cs"/>
          <w:rtl/>
          <w:lang w:val="en-US"/>
        </w:rPr>
        <w:t xml:space="preserve"> أن الصورة الأولى تدل «على صحة البراءة من العين !! وليس كذلك؛ لأن مدار عدم </w:t>
      </w:r>
      <w:r w:rsidRPr="00E071B8">
        <w:rPr>
          <w:rFonts w:hint="cs"/>
          <w:spacing w:val="-4"/>
          <w:rtl/>
          <w:lang w:val="en-US"/>
        </w:rPr>
        <w:t>صحة الصلح عن بعض المدّعى في العين بدون الحيلة في تصحيحه بأحد الأمرين: إنما هو عدم صحة البراءة من العين، وإلاّ لصح الصلح على ذلك بأن كان استيفاءً لبعض الحق وإسقاطا لبعض الباقي...».</w:t>
      </w:r>
    </w:p>
    <w:p w:rsidR="00035BE3" w:rsidRPr="00D62362" w:rsidRDefault="00035BE3" w:rsidP="00C10469">
      <w:pPr>
        <w:pStyle w:val="a6"/>
        <w:ind w:left="564" w:hanging="3"/>
        <w:rPr>
          <w:rtl/>
          <w:lang w:val="en-US"/>
        </w:rPr>
      </w:pPr>
      <w:r w:rsidRPr="00D62362">
        <w:rPr>
          <w:rtl/>
          <w:lang w:val="en-US"/>
        </w:rPr>
        <w:t>•</w:t>
      </w:r>
      <w:r w:rsidRPr="00D62362">
        <w:rPr>
          <w:rFonts w:hint="cs"/>
          <w:rtl/>
          <w:lang w:val="en-US"/>
        </w:rPr>
        <w:t xml:space="preserve"> ومن الأقوال التي تتعارض مع القاعدة: ما جاء في (الدر المختار) وحاشية ابن عابدين عليه، 8/410؛ و(العناية)، 8/412 : أن ظاهر الرواية: الصحة مطلقًا، أي صحة الإبراء مطلقًا، سواء وُجد أحد الأمرين (أي الأمرين المذكورين في الهداية قبل سطور، وهما : زيادة شيء، أو يلحق به الإبراء عن دعوى الباقي) سواء وجد أحدهما، أم لم يوجد، كإنْ كان الإبراء عن الأعيان نفسها !!.</w:t>
      </w:r>
    </w:p>
    <w:p w:rsidR="00035BE3" w:rsidRPr="00D62362" w:rsidRDefault="00035BE3" w:rsidP="00C10469">
      <w:pPr>
        <w:pStyle w:val="a6"/>
        <w:ind w:left="564" w:hanging="3"/>
        <w:rPr>
          <w:rtl/>
          <w:lang w:val="en-US"/>
        </w:rPr>
      </w:pPr>
      <w:r w:rsidRPr="00D62362">
        <w:rPr>
          <w:rFonts w:hint="cs"/>
          <w:rtl/>
          <w:lang w:val="en-US"/>
        </w:rPr>
        <w:t>ولعل ما ذكروه مستفاد من قول محمد بن الحسن في (الجامع الصغير)، ص385: «رجل ادعى في دار دعوى، فأنكرها الذي هي في يده، ثم صالحه منها : فهو جائز».</w:t>
      </w:r>
    </w:p>
    <w:p w:rsidR="00035BE3" w:rsidRPr="00D62362" w:rsidRDefault="00035BE3" w:rsidP="00C10469">
      <w:pPr>
        <w:pStyle w:val="a6"/>
        <w:ind w:left="564" w:hanging="3"/>
        <w:rPr>
          <w:rtl/>
          <w:lang w:val="en-US"/>
        </w:rPr>
      </w:pPr>
      <w:r w:rsidRPr="00D62362">
        <w:rPr>
          <w:rFonts w:hint="cs"/>
          <w:rtl/>
          <w:lang w:val="en-US"/>
        </w:rPr>
        <w:t>فقوله : «ثم صالحه منها» بمعنى قول صاحب (الهداية) - الآنف الذكر -: «لو ادعى دارًا فصالح على قطعة منها»- فصورة المسألة واحدة، إلا أن محمدًا أجاز الصلح مطلقًا، وصاحب (الهداية) لم يجزه إلا بالأمرين المذكورين.</w:t>
      </w:r>
    </w:p>
    <w:p w:rsidR="00035BE3" w:rsidRPr="00D62362" w:rsidRDefault="00035BE3" w:rsidP="00C10469">
      <w:pPr>
        <w:pStyle w:val="a6"/>
        <w:ind w:left="564" w:hanging="3"/>
        <w:rPr>
          <w:rtl/>
          <w:lang w:val="en-US"/>
        </w:rPr>
      </w:pPr>
      <w:r w:rsidRPr="00D62362">
        <w:rPr>
          <w:rFonts w:hint="cs"/>
          <w:rtl/>
          <w:lang w:val="en-US"/>
        </w:rPr>
        <w:t>وممّا يثير الغرابة أن جميع الكتب التي وقفتُ عليها في هذا الهامش لم تتطرق لهذا القول إلاّ (الدر المختار) وحـاشية ابن عـابدين عليه، و(العناية)، وأيضًا (شرح القواعد) للعلائي، ل7/أ، و (منافع الدقائق)، ص309.</w:t>
      </w:r>
    </w:p>
    <w:p w:rsidR="00035BE3" w:rsidRPr="00D62362" w:rsidRDefault="00035BE3" w:rsidP="00C10469">
      <w:pPr>
        <w:pStyle w:val="a6"/>
        <w:ind w:left="564" w:hanging="3"/>
        <w:rPr>
          <w:rtl/>
          <w:lang w:val="en-US"/>
        </w:rPr>
      </w:pPr>
      <w:r w:rsidRPr="00D62362">
        <w:rPr>
          <w:rFonts w:hint="cs"/>
          <w:rtl/>
          <w:lang w:val="en-US"/>
        </w:rPr>
        <w:t>وهذه الكتب إنما تذكره عَرَضًا من باب إيراد قولٍ مخالف فحسب، دون تأييد له أو مناقشة !!.</w:t>
      </w:r>
    </w:p>
    <w:p w:rsidR="00035BE3" w:rsidRPr="00D62362" w:rsidRDefault="00035BE3" w:rsidP="00C10469">
      <w:pPr>
        <w:pStyle w:val="a6"/>
        <w:ind w:left="564" w:hanging="3"/>
        <w:rPr>
          <w:rtl/>
          <w:lang w:val="en-US"/>
        </w:rPr>
      </w:pPr>
      <w:r w:rsidRPr="00D62362">
        <w:rPr>
          <w:rFonts w:hint="cs"/>
          <w:rtl/>
          <w:lang w:val="en-US"/>
        </w:rPr>
        <w:t>وممّا يمكن أن يستأنس به في مناقشة هذا القول : أن من الضوابط التي حرّرها علماء الحنفية المتأخرون لتحديد القول المعتد به في مذهبهم :</w:t>
      </w:r>
    </w:p>
    <w:p w:rsidR="00035BE3" w:rsidRPr="00D62362" w:rsidRDefault="00035BE3" w:rsidP="00C10469">
      <w:pPr>
        <w:pStyle w:val="a6"/>
        <w:ind w:left="564" w:hanging="3"/>
        <w:rPr>
          <w:rtl/>
          <w:lang w:val="en-US"/>
        </w:rPr>
      </w:pPr>
      <w:r w:rsidRPr="00D62362">
        <w:rPr>
          <w:rFonts w:hint="cs"/>
          <w:rtl/>
          <w:lang w:val="en-US"/>
        </w:rPr>
        <w:t>- ما جاء في (البحر الرائق)، 2/93، حيث ذكر مسألة اختلف فيها التصحيح والفتوى ثم قال في آخرها: «فقد اختلف التصحيح والفتوى كما رأيت. والعمل بما وافق إطلاق المتون أولى».</w:t>
      </w:r>
    </w:p>
    <w:p w:rsidR="00035BE3" w:rsidRPr="00D62362" w:rsidRDefault="00035BE3" w:rsidP="00C10469">
      <w:pPr>
        <w:pStyle w:val="a6"/>
        <w:ind w:left="564" w:hanging="3"/>
        <w:rPr>
          <w:rtl/>
          <w:lang w:val="en-US"/>
        </w:rPr>
      </w:pPr>
      <w:r w:rsidRPr="00D62362">
        <w:rPr>
          <w:rFonts w:hint="cs"/>
          <w:rtl/>
          <w:lang w:val="en-US"/>
        </w:rPr>
        <w:t>وقد نقلها عنه ابن عابدين في (رد المحتار)، 1/173.</w:t>
      </w:r>
    </w:p>
    <w:p w:rsidR="00035BE3" w:rsidRPr="00D62362" w:rsidRDefault="00035BE3" w:rsidP="00C10469">
      <w:pPr>
        <w:pStyle w:val="a6"/>
        <w:ind w:left="564" w:hanging="3"/>
        <w:rPr>
          <w:rtl/>
          <w:lang w:val="en-US"/>
        </w:rPr>
      </w:pPr>
      <w:r w:rsidRPr="00D62362">
        <w:rPr>
          <w:rFonts w:hint="cs"/>
          <w:rtl/>
          <w:lang w:val="en-US"/>
        </w:rPr>
        <w:t>- ومن الضوابط المستفادة من عدد من كتب الحنفية : ما جاء في (المذهب عند الحنفية)، ص86: «المتفق عليه من ظاهر الرواية هو المذهب، وإن لم يصرح العلماء بتصحيحه واعتماده. لكن إذا رجّح المشايخ قولاً غير ظاهر الرواية فالمذهب هو ما رجحه المشايخ».</w:t>
      </w:r>
    </w:p>
    <w:p w:rsidR="00035BE3" w:rsidRPr="00D62362" w:rsidRDefault="00035BE3" w:rsidP="00C10469">
      <w:pPr>
        <w:pStyle w:val="a6"/>
        <w:ind w:left="564" w:hanging="3"/>
        <w:rPr>
          <w:rtl/>
          <w:lang w:val="en-US"/>
        </w:rPr>
      </w:pPr>
      <w:r w:rsidRPr="00D62362">
        <w:rPr>
          <w:rFonts w:hint="cs"/>
          <w:rtl/>
          <w:lang w:val="en-US"/>
        </w:rPr>
        <w:t>ويلحظ أن القول بأن (الإبراء عن الأعيان لا يجوز وعن دعواها يجوز) ممّا رُجّح في عدد من المتون والشروح المعتد بها، كالوقاية وشرحها، والهداية وشرحها : العناية.</w:t>
      </w:r>
    </w:p>
    <w:p w:rsidR="00035BE3" w:rsidRPr="000C4D87" w:rsidRDefault="00035BE3" w:rsidP="00C10469">
      <w:pPr>
        <w:pStyle w:val="a6"/>
        <w:ind w:left="564" w:hanging="3"/>
        <w:rPr>
          <w:b/>
          <w:bCs/>
          <w:rtl/>
          <w:lang w:val="en-US"/>
        </w:rPr>
      </w:pPr>
      <w:r w:rsidRPr="000C4D87">
        <w:rPr>
          <w:rFonts w:hint="cs"/>
          <w:b/>
          <w:bCs/>
          <w:rtl/>
          <w:lang w:val="en-US"/>
        </w:rPr>
        <w:t>وجميع ما ذُكر إنما هو لإعطاء تصور سريع لمرئيات الحنفية حول القاعدة ومدى ثبوتها عندهم.</w:t>
      </w:r>
    </w:p>
    <w:p w:rsidR="00035BE3" w:rsidRPr="000C4D87" w:rsidRDefault="00035BE3" w:rsidP="00C10469">
      <w:pPr>
        <w:pStyle w:val="a6"/>
        <w:ind w:left="564" w:hanging="3"/>
        <w:rPr>
          <w:b/>
          <w:bCs/>
          <w:rtl/>
          <w:lang w:val="en-US"/>
        </w:rPr>
      </w:pPr>
      <w:r w:rsidRPr="000C4D87">
        <w:rPr>
          <w:rFonts w:hint="cs"/>
          <w:b/>
          <w:bCs/>
          <w:rtl/>
          <w:lang w:val="en-US"/>
        </w:rPr>
        <w:t>ويمكن إيجازه على النحو الآتي :</w:t>
      </w:r>
      <w:r w:rsidRPr="000C4D87">
        <w:rPr>
          <w:rFonts w:hint="cs"/>
          <w:b/>
          <w:bCs/>
          <w:rtl/>
          <w:lang w:val="en-US"/>
        </w:rPr>
        <w:tab/>
      </w:r>
      <w:r w:rsidRPr="000C4D87">
        <w:rPr>
          <w:rFonts w:hint="cs"/>
          <w:b/>
          <w:bCs/>
          <w:rtl/>
          <w:lang w:val="en-US"/>
        </w:rPr>
        <w:tab/>
      </w:r>
      <w:r w:rsidRPr="000C4D87">
        <w:rPr>
          <w:rFonts w:hint="cs"/>
          <w:b/>
          <w:bCs/>
          <w:rtl/>
          <w:lang w:val="en-US"/>
        </w:rPr>
        <w:tab/>
      </w:r>
      <w:r w:rsidRPr="000C4D87">
        <w:rPr>
          <w:rFonts w:hint="cs"/>
          <w:b/>
          <w:bCs/>
          <w:rtl/>
          <w:lang w:val="en-US"/>
        </w:rPr>
        <w:tab/>
      </w:r>
      <w:r w:rsidRPr="000C4D87">
        <w:rPr>
          <w:rFonts w:hint="cs"/>
          <w:b/>
          <w:bCs/>
          <w:rtl/>
          <w:lang w:val="en-US"/>
        </w:rPr>
        <w:tab/>
      </w:r>
      <w:r w:rsidRPr="000C4D87">
        <w:rPr>
          <w:rFonts w:hint="cs"/>
          <w:b/>
          <w:bCs/>
          <w:rtl/>
          <w:lang w:val="en-US"/>
        </w:rPr>
        <w:tab/>
      </w:r>
      <w:r w:rsidRPr="000C4D87">
        <w:rPr>
          <w:rFonts w:hint="cs"/>
          <w:b/>
          <w:bCs/>
          <w:rtl/>
          <w:lang w:val="en-US"/>
        </w:rPr>
        <w:tab/>
      </w:r>
      <w:r>
        <w:rPr>
          <w:rFonts w:hint="cs"/>
          <w:b/>
          <w:bCs/>
          <w:rtl/>
          <w:lang w:val="en-US"/>
        </w:rPr>
        <w:t xml:space="preserve"> </w:t>
      </w:r>
    </w:p>
    <w:p w:rsidR="00035BE3" w:rsidRPr="00D62362" w:rsidRDefault="00035BE3" w:rsidP="00C10469">
      <w:pPr>
        <w:pStyle w:val="a6"/>
        <w:ind w:left="564" w:firstLine="0"/>
        <w:rPr>
          <w:rtl/>
          <w:lang w:val="en-US"/>
        </w:rPr>
      </w:pPr>
      <w:r w:rsidRPr="00D62362">
        <w:rPr>
          <w:rFonts w:hint="cs"/>
          <w:rtl/>
          <w:lang w:val="en-US"/>
        </w:rPr>
        <w:t xml:space="preserve"> إن القاعدة التي أوردها المؤلف لم ينص المتقدمون على أنها قاعدة، إنما هي مخرجة على عدد من الفروع، وهذه الفروع حصل فيها اختلاف، نتج عنه اختلاف في القاعدة على أقوال :</w:t>
      </w:r>
    </w:p>
    <w:p w:rsidR="00035BE3" w:rsidRPr="00D62362" w:rsidRDefault="00035BE3" w:rsidP="00C10469">
      <w:pPr>
        <w:pStyle w:val="a6"/>
        <w:ind w:left="564" w:firstLine="0"/>
        <w:rPr>
          <w:rtl/>
          <w:lang w:val="en-US"/>
        </w:rPr>
      </w:pPr>
      <w:r w:rsidRPr="00E071B8">
        <w:rPr>
          <w:rFonts w:hint="cs"/>
          <w:b/>
          <w:bCs/>
          <w:rtl/>
          <w:lang w:val="en-US"/>
        </w:rPr>
        <w:t>القول الأول :</w:t>
      </w:r>
      <w:r w:rsidRPr="00D62362">
        <w:rPr>
          <w:rFonts w:hint="cs"/>
          <w:rtl/>
          <w:lang w:val="en-US"/>
        </w:rPr>
        <w:t xml:space="preserve"> الإبراء عن الأعيان لا يجوز، وعن دعواها يجوز.</w:t>
      </w:r>
    </w:p>
    <w:p w:rsidR="00035BE3" w:rsidRPr="00D62362" w:rsidRDefault="00035BE3" w:rsidP="00C10469">
      <w:pPr>
        <w:pStyle w:val="a6"/>
        <w:ind w:left="564" w:firstLine="0"/>
        <w:rPr>
          <w:rtl/>
          <w:lang w:val="en-US"/>
        </w:rPr>
      </w:pPr>
      <w:r w:rsidRPr="00D62362">
        <w:rPr>
          <w:rFonts w:hint="cs"/>
          <w:rtl/>
          <w:lang w:val="en-US"/>
        </w:rPr>
        <w:t>وهذا الذي اختاره المؤلف وتابعه الخادمي والعلائي والحصاري. كما جاء عرضًا في مقام التوضيح أو التعليل في عدد من الكتب : كـ (الوقاية) وشرح صدر الشريعة لها، و(الاختيار لتعليل المختار)، و(الهداية) وشرحيها: (العناية) و(نتائج الأفكار)، و(تنوير الأبصار) وشرحه : (الدّر المختار)، و(درر الحكام شرح غرر الأحكام)، و(الأشباه والنظائر) لابن نجيم.</w:t>
      </w:r>
    </w:p>
    <w:p w:rsidR="00035BE3" w:rsidRPr="00D62362" w:rsidRDefault="00035BE3" w:rsidP="00C10469">
      <w:pPr>
        <w:pStyle w:val="a6"/>
        <w:ind w:left="564" w:firstLine="0"/>
        <w:rPr>
          <w:rtl/>
          <w:lang w:val="en-US"/>
        </w:rPr>
      </w:pPr>
      <w:r w:rsidRPr="00E071B8">
        <w:rPr>
          <w:rFonts w:hint="cs"/>
          <w:b/>
          <w:bCs/>
          <w:rtl/>
          <w:lang w:val="en-US"/>
        </w:rPr>
        <w:t>القول الثاني :</w:t>
      </w:r>
      <w:r w:rsidRPr="00D62362">
        <w:rPr>
          <w:rFonts w:hint="cs"/>
          <w:rtl/>
          <w:lang w:val="en-US"/>
        </w:rPr>
        <w:t xml:space="preserve"> الإبراء عن الأعيان لا يجوز، وعن دعواها يجوز إلا إذا كان بطريق التعميم.</w:t>
      </w:r>
    </w:p>
    <w:p w:rsidR="00035BE3" w:rsidRPr="00D62362" w:rsidRDefault="00035BE3" w:rsidP="00C10469">
      <w:pPr>
        <w:pStyle w:val="a6"/>
        <w:ind w:left="564" w:firstLine="0"/>
        <w:rPr>
          <w:rtl/>
          <w:lang w:val="en-US"/>
        </w:rPr>
      </w:pPr>
      <w:r w:rsidRPr="00D62362">
        <w:rPr>
          <w:rFonts w:hint="cs"/>
          <w:rtl/>
          <w:lang w:val="en-US"/>
        </w:rPr>
        <w:t>وهذا ما ذكره بمعناه صاحب (البحر الرائق) وقد بناه على فتوى مذكورة في (القنية).</w:t>
      </w:r>
    </w:p>
    <w:p w:rsidR="00035BE3" w:rsidRPr="00E071B8" w:rsidRDefault="00035BE3" w:rsidP="00C10469">
      <w:pPr>
        <w:pStyle w:val="a6"/>
        <w:ind w:left="564" w:firstLine="0"/>
        <w:rPr>
          <w:spacing w:val="-4"/>
          <w:rtl/>
          <w:lang w:val="en-US"/>
        </w:rPr>
      </w:pPr>
      <w:r w:rsidRPr="00E071B8">
        <w:rPr>
          <w:rFonts w:hint="cs"/>
          <w:spacing w:val="-4"/>
          <w:rtl/>
          <w:lang w:val="en-US"/>
        </w:rPr>
        <w:t>وقد اعترض على هذا ابن عابدين في كتابه : (منحه الخالق على البحر الرائق) بما هو كاف في إضعافه.</w:t>
      </w:r>
    </w:p>
    <w:p w:rsidR="00035BE3" w:rsidRPr="00D62362" w:rsidRDefault="00035BE3" w:rsidP="00C10469">
      <w:pPr>
        <w:pStyle w:val="a6"/>
        <w:ind w:left="564" w:firstLine="0"/>
        <w:rPr>
          <w:rtl/>
          <w:lang w:val="en-US"/>
        </w:rPr>
      </w:pPr>
      <w:r w:rsidRPr="00E071B8">
        <w:rPr>
          <w:rFonts w:hint="cs"/>
          <w:b/>
          <w:bCs/>
          <w:rtl/>
          <w:lang w:val="en-US"/>
        </w:rPr>
        <w:t>القول الثالث :</w:t>
      </w:r>
      <w:r w:rsidRPr="00D62362">
        <w:rPr>
          <w:rFonts w:hint="cs"/>
          <w:rtl/>
          <w:lang w:val="en-US"/>
        </w:rPr>
        <w:t xml:space="preserve"> إنشاء الإبراء عن العين أو عن دعواها أو عن الخصومة فيها باطل.</w:t>
      </w:r>
    </w:p>
    <w:p w:rsidR="00035BE3" w:rsidRPr="00D62362" w:rsidRDefault="00035BE3" w:rsidP="00C10469">
      <w:pPr>
        <w:pStyle w:val="a6"/>
        <w:ind w:left="564" w:firstLine="0"/>
        <w:rPr>
          <w:rtl/>
          <w:lang w:val="en-US"/>
        </w:rPr>
      </w:pPr>
      <w:r w:rsidRPr="00D62362">
        <w:rPr>
          <w:rFonts w:hint="cs"/>
          <w:rtl/>
          <w:lang w:val="en-US"/>
        </w:rPr>
        <w:t>وهذا اختيار صاحب (الفرائد البهية)، وهو مخرّج على فتوى في (الخانية)، وبمعناها عبارة منقولة في (نتائج الأفكار) عن (النهاية).</w:t>
      </w:r>
    </w:p>
    <w:p w:rsidR="00035BE3" w:rsidRPr="00D62362" w:rsidRDefault="00035BE3" w:rsidP="00C10469">
      <w:pPr>
        <w:pStyle w:val="a6"/>
        <w:ind w:left="564" w:firstLine="0"/>
        <w:rPr>
          <w:rtl/>
          <w:lang w:val="en-US"/>
        </w:rPr>
      </w:pPr>
      <w:r w:rsidRPr="00D62362">
        <w:rPr>
          <w:rFonts w:hint="cs"/>
          <w:rtl/>
          <w:lang w:val="en-US"/>
        </w:rPr>
        <w:t>وقد اعترض صاحب (نتائج الأفكار) عليه بأنه معارض للقول الأول.</w:t>
      </w:r>
    </w:p>
    <w:p w:rsidR="00035BE3" w:rsidRPr="00D62362" w:rsidRDefault="00035BE3" w:rsidP="00C10469">
      <w:pPr>
        <w:pStyle w:val="a6"/>
        <w:ind w:left="564" w:firstLine="0"/>
        <w:rPr>
          <w:rtl/>
          <w:lang w:val="en-US"/>
        </w:rPr>
      </w:pPr>
      <w:r w:rsidRPr="00E071B8">
        <w:rPr>
          <w:rFonts w:hint="cs"/>
          <w:b/>
          <w:bCs/>
          <w:rtl/>
          <w:lang w:val="en-US"/>
        </w:rPr>
        <w:t>القول الرابع :</w:t>
      </w:r>
      <w:r w:rsidRPr="00D62362">
        <w:rPr>
          <w:rFonts w:hint="cs"/>
          <w:rtl/>
          <w:lang w:val="en-US"/>
        </w:rPr>
        <w:t xml:space="preserve"> الإبراء صحيح مطلقًا.</w:t>
      </w:r>
    </w:p>
    <w:p w:rsidR="00035BE3" w:rsidRPr="00D62362" w:rsidRDefault="00035BE3" w:rsidP="00C10469">
      <w:pPr>
        <w:pStyle w:val="a6"/>
        <w:ind w:left="564" w:firstLine="0"/>
        <w:rPr>
          <w:rtl/>
          <w:lang w:val="en-US"/>
        </w:rPr>
      </w:pPr>
      <w:r w:rsidRPr="00D62362">
        <w:rPr>
          <w:rFonts w:hint="cs"/>
          <w:rtl/>
          <w:lang w:val="en-US"/>
        </w:rPr>
        <w:t xml:space="preserve">وهذا القول هو ظاهر الرواية. وقد صُرِّح بذلك في (العناية) و (الدر المختار) وحاشية ابن عابدين </w:t>
      </w:r>
      <w:r w:rsidRPr="007D1498">
        <w:rPr>
          <w:rFonts w:hint="cs"/>
          <w:spacing w:val="-4"/>
          <w:rtl/>
          <w:lang w:val="en-US"/>
        </w:rPr>
        <w:t>عليه وفي (شرح قواعد الخادمي) للعلائي و(منافع الدقائق). ولعل ما ذكروه مستفاد من قولٍ لمحمد بن</w:t>
      </w:r>
      <w:r w:rsidRPr="00D62362">
        <w:rPr>
          <w:rFonts w:hint="cs"/>
          <w:rtl/>
          <w:lang w:val="en-US"/>
        </w:rPr>
        <w:t xml:space="preserve"> الحسن في (الجامع الصغير).</w:t>
      </w:r>
    </w:p>
    <w:p w:rsidR="00035BE3" w:rsidRPr="00D62362" w:rsidRDefault="00035BE3" w:rsidP="00C10469">
      <w:pPr>
        <w:pStyle w:val="a6"/>
        <w:ind w:left="564" w:firstLine="0"/>
        <w:rPr>
          <w:rtl/>
          <w:lang w:val="en-US"/>
        </w:rPr>
      </w:pPr>
      <w:r w:rsidRPr="00D62362">
        <w:rPr>
          <w:rFonts w:hint="cs"/>
          <w:rtl/>
          <w:lang w:val="en-US"/>
        </w:rPr>
        <w:t>هذا ما يتعلق بتوثيق القاعدة عند الحنفية.</w:t>
      </w:r>
    </w:p>
    <w:p w:rsidR="00035BE3" w:rsidRPr="007D1498" w:rsidRDefault="00035BE3" w:rsidP="00C10469">
      <w:pPr>
        <w:pStyle w:val="a6"/>
        <w:ind w:left="564" w:firstLine="0"/>
        <w:rPr>
          <w:b/>
          <w:bCs/>
          <w:rtl/>
          <w:lang w:val="en-US"/>
        </w:rPr>
      </w:pPr>
      <w:r w:rsidRPr="007D1498">
        <w:rPr>
          <w:rFonts w:hint="cs"/>
          <w:b/>
          <w:bCs/>
          <w:rtl/>
          <w:lang w:val="en-US"/>
        </w:rPr>
        <w:t>وكما حصل خلاف بين علماء الحنفية في القاعدة: حصل خلاف أيضًا بين علماء باقي المذاهب :</w:t>
      </w:r>
    </w:p>
    <w:p w:rsidR="00035BE3" w:rsidRPr="00D62362" w:rsidRDefault="00035BE3" w:rsidP="00C10469">
      <w:pPr>
        <w:pStyle w:val="a6"/>
        <w:ind w:left="564" w:firstLine="0"/>
        <w:rPr>
          <w:lang w:val="en-US"/>
        </w:rPr>
      </w:pPr>
      <w:r w:rsidRPr="00D62362">
        <w:rPr>
          <w:rtl/>
          <w:lang w:val="en-US"/>
        </w:rPr>
        <w:t>•</w:t>
      </w:r>
      <w:r w:rsidRPr="00D62362">
        <w:rPr>
          <w:rFonts w:hint="cs"/>
          <w:rtl/>
          <w:lang w:val="en-US"/>
        </w:rPr>
        <w:t xml:space="preserve"> فذهب المالكية إلى أن البراءة إذا كانت عامة، بأن يبرئه ممّا له قِبَلَهُ، أو من كل حق، أو يبرئه ويطلق: فإنه يبرأ مطلقًا، ولا تقبل دعواه.</w:t>
      </w:r>
    </w:p>
    <w:p w:rsidR="00035BE3" w:rsidRPr="00D62362" w:rsidRDefault="00035BE3" w:rsidP="00C10469">
      <w:pPr>
        <w:pStyle w:val="a6"/>
        <w:ind w:left="564" w:firstLine="0"/>
        <w:rPr>
          <w:rtl/>
          <w:lang w:val="en-US"/>
        </w:rPr>
      </w:pPr>
      <w:r w:rsidRPr="00D62362">
        <w:rPr>
          <w:rFonts w:hint="cs"/>
          <w:rtl/>
          <w:lang w:val="en-US"/>
        </w:rPr>
        <w:t>أفاد ذلك خليل في مختصره، وقد نقل الحطاب في مواهبه عن ابن سحنون بعضَ الصُّور التي يحصل فيها هذا الإبراء باللفظ العام، وكان من بينها بعض الأعيان، وتمام كلامه: «... وإن أقرّ أنه لا حق له قِبَلَه : فليس له أن يطلبه بقصاص ...، ولا دار، ولا أرض، ولا رقيق، ولا شيىء من الأشياء من عروض وغيرها إلا ما يستأنف بعد البراءة في إجماعنا. انتهى».</w:t>
      </w:r>
    </w:p>
    <w:p w:rsidR="00035BE3" w:rsidRPr="00D62362" w:rsidRDefault="00035BE3" w:rsidP="00C10469">
      <w:pPr>
        <w:pStyle w:val="a6"/>
        <w:ind w:left="564" w:firstLine="0"/>
        <w:rPr>
          <w:rtl/>
          <w:lang w:val="en-US"/>
        </w:rPr>
      </w:pPr>
      <w:r w:rsidRPr="00D62362">
        <w:rPr>
          <w:rFonts w:hint="cs"/>
          <w:rtl/>
          <w:lang w:val="en-US"/>
        </w:rPr>
        <w:t>إلا أنّ الحطاب عقّب عل</w:t>
      </w:r>
      <w:r>
        <w:rPr>
          <w:rFonts w:hint="cs"/>
          <w:rtl/>
          <w:lang w:val="en-US"/>
        </w:rPr>
        <w:t>ى هذا بذكر أربع تنبيهات؛ ثانيها</w:t>
      </w:r>
      <w:r w:rsidRPr="00D62362">
        <w:rPr>
          <w:rFonts w:hint="cs"/>
          <w:rtl/>
          <w:lang w:val="en-US"/>
        </w:rPr>
        <w:t xml:space="preserve">: أن القرافي خالف المؤلف فيما يتعلَّق </w:t>
      </w:r>
      <w:r w:rsidRPr="007D1498">
        <w:rPr>
          <w:rFonts w:hint="cs"/>
          <w:spacing w:val="-4"/>
          <w:rtl/>
          <w:lang w:val="en-US"/>
        </w:rPr>
        <w:t xml:space="preserve">بالمعيَّنات فقال بعدم صحة الإبراء عنها، حيث نقل عنه أنه قال: «الإبراء من المعيَّن لا يصح </w:t>
      </w:r>
      <w:r>
        <w:rPr>
          <w:spacing w:val="-4"/>
          <w:rtl/>
          <w:lang w:val="en-US"/>
        </w:rPr>
        <w:t>–</w:t>
      </w:r>
      <w:r>
        <w:rPr>
          <w:rFonts w:hint="cs"/>
          <w:spacing w:val="-4"/>
          <w:rtl/>
          <w:lang w:val="en-US"/>
        </w:rPr>
        <w:t xml:space="preserve"> </w:t>
      </w:r>
      <w:r w:rsidRPr="00D62362">
        <w:rPr>
          <w:rFonts w:hint="cs"/>
          <w:rtl/>
          <w:lang w:val="en-US"/>
        </w:rPr>
        <w:t>بخلاف</w:t>
      </w:r>
      <w:r>
        <w:rPr>
          <w:rFonts w:hint="cs"/>
          <w:rtl/>
          <w:lang w:val="en-US"/>
        </w:rPr>
        <w:t xml:space="preserve"> </w:t>
      </w:r>
      <w:r w:rsidRPr="00D62362">
        <w:rPr>
          <w:rFonts w:hint="cs"/>
          <w:rtl/>
          <w:lang w:val="en-US"/>
        </w:rPr>
        <w:t xml:space="preserve">  الدين- فلا يصح: برأتك من داري التي تحت يدك؛ لأن الإبراء : الإسقاط، والمعيّن لا يسقط. نعم : يصح فيه الهبة ونحوها. انتهى»: فكلام القرافي موافق للشق الأول من القاعدة.</w:t>
      </w:r>
    </w:p>
    <w:p w:rsidR="00035BE3" w:rsidRPr="00D62362" w:rsidRDefault="00035BE3" w:rsidP="00C10469">
      <w:pPr>
        <w:pStyle w:val="a6"/>
        <w:ind w:left="564" w:firstLine="0"/>
        <w:rPr>
          <w:rtl/>
          <w:lang w:val="en-US"/>
        </w:rPr>
      </w:pPr>
      <w:r w:rsidRPr="00D62362">
        <w:rPr>
          <w:rFonts w:hint="cs"/>
          <w:rtl/>
          <w:lang w:val="en-US"/>
        </w:rPr>
        <w:t>مواهب الجليل لشـرح مختصر خليل، 7/240، 241؛ وانظر: الشرح الكبير، وحاشية الدسوقي عليه، 3/411.</w:t>
      </w:r>
    </w:p>
    <w:p w:rsidR="00035BE3" w:rsidRPr="00D62362" w:rsidRDefault="00035BE3" w:rsidP="00C10469">
      <w:pPr>
        <w:pStyle w:val="a6"/>
        <w:ind w:left="564" w:firstLine="0"/>
        <w:rPr>
          <w:lang w:val="en-US"/>
        </w:rPr>
      </w:pPr>
      <w:r w:rsidRPr="00D62362">
        <w:rPr>
          <w:rtl/>
          <w:lang w:val="en-US"/>
        </w:rPr>
        <w:t>•</w:t>
      </w:r>
      <w:r w:rsidRPr="00D62362">
        <w:rPr>
          <w:rFonts w:hint="cs"/>
          <w:rtl/>
          <w:lang w:val="en-US"/>
        </w:rPr>
        <w:t xml:space="preserve"> وذهب الشافعية إلى أن الإبراء من العين باطل، وكذلك الإبراء من الدعوى.</w:t>
      </w:r>
    </w:p>
    <w:p w:rsidR="00035BE3" w:rsidRPr="00D62362" w:rsidRDefault="00035BE3" w:rsidP="00C10469">
      <w:pPr>
        <w:pStyle w:val="a6"/>
        <w:ind w:left="564" w:firstLine="0"/>
        <w:rPr>
          <w:lang w:val="en-US"/>
        </w:rPr>
      </w:pPr>
      <w:r w:rsidRPr="00D62362">
        <w:rPr>
          <w:rFonts w:hint="cs"/>
          <w:rtl/>
          <w:lang w:val="en-US"/>
        </w:rPr>
        <w:t xml:space="preserve">يقول البجيرمي والشرواني في حاشيتهما-3/30، 5/254- : «..أما الإبراء من العين فباطل جزمًا ... »، ويقول البجيرمي أيضا </w:t>
      </w:r>
      <w:r w:rsidRPr="00D62362">
        <w:rPr>
          <w:rtl/>
          <w:lang w:val="en-US"/>
        </w:rPr>
        <w:t>–</w:t>
      </w:r>
      <w:r w:rsidRPr="00D62362">
        <w:rPr>
          <w:rFonts w:hint="cs"/>
          <w:rtl/>
          <w:lang w:val="en-US"/>
        </w:rPr>
        <w:t xml:space="preserve">3/88-: «...إذْ لا يصح الإبراء من الدعوى... ». </w:t>
      </w:r>
    </w:p>
    <w:p w:rsidR="00035BE3" w:rsidRPr="00D62362" w:rsidRDefault="00035BE3" w:rsidP="00C10469">
      <w:pPr>
        <w:pStyle w:val="a6"/>
        <w:ind w:left="564" w:firstLine="0"/>
        <w:rPr>
          <w:lang w:val="en-US"/>
        </w:rPr>
      </w:pPr>
      <w:r w:rsidRPr="00D62362">
        <w:rPr>
          <w:rtl/>
          <w:lang w:val="en-US"/>
        </w:rPr>
        <w:t>•</w:t>
      </w:r>
      <w:r w:rsidRPr="00D62362">
        <w:rPr>
          <w:rFonts w:hint="cs"/>
          <w:rtl/>
          <w:lang w:val="en-US"/>
        </w:rPr>
        <w:t xml:space="preserve"> أما الحنابلة فاختلفوا على قولين : </w:t>
      </w:r>
      <w:r w:rsidRPr="00EB1C7B">
        <w:rPr>
          <w:rFonts w:hint="cs"/>
          <w:b/>
          <w:bCs/>
          <w:rtl/>
          <w:lang w:val="en-US"/>
        </w:rPr>
        <w:t>أحدهما:</w:t>
      </w:r>
      <w:r w:rsidRPr="00D62362">
        <w:rPr>
          <w:rFonts w:hint="cs"/>
          <w:rtl/>
          <w:lang w:val="en-US"/>
        </w:rPr>
        <w:t xml:space="preserve"> تصح البراءة من العين. والثاني : لا تصح.</w:t>
      </w:r>
    </w:p>
    <w:p w:rsidR="00035BE3" w:rsidRPr="00D62362" w:rsidRDefault="00035BE3" w:rsidP="00C10469">
      <w:pPr>
        <w:pStyle w:val="a6"/>
        <w:ind w:left="564" w:firstLine="0"/>
        <w:rPr>
          <w:rtl/>
          <w:lang w:val="en-US"/>
        </w:rPr>
      </w:pPr>
      <w:r w:rsidRPr="00D62362">
        <w:rPr>
          <w:rFonts w:hint="cs"/>
          <w:rtl/>
          <w:lang w:val="en-US"/>
        </w:rPr>
        <w:t>وقد ذكر هذين القولين صاحب (مطالب أولى النهى)، 3/342، فقال : «وتصح البراءة من العين كالدين، حيث كانت العين في يد المبرأ كالوديعة والمغصوب.</w:t>
      </w:r>
    </w:p>
    <w:p w:rsidR="00035BE3" w:rsidRPr="00D62362" w:rsidRDefault="00035BE3" w:rsidP="00C10469">
      <w:pPr>
        <w:pStyle w:val="a6"/>
        <w:ind w:left="564" w:firstLine="0"/>
        <w:rPr>
          <w:rtl/>
          <w:lang w:val="en-US"/>
        </w:rPr>
      </w:pPr>
      <w:r w:rsidRPr="00D62362">
        <w:rPr>
          <w:rFonts w:hint="cs"/>
          <w:rtl/>
          <w:lang w:val="en-US"/>
        </w:rPr>
        <w:t>صححه في الشرح والمبدع. خلافًا له (أي لصاحب الإقناع) حيث قال هنا : «ولا تصح البراءة من عين بحال» (أي : سواء كانت معلومة أو مجهولة، بيد المبرئ أو المبرأ).</w:t>
      </w:r>
    </w:p>
    <w:p w:rsidR="00035BE3" w:rsidRPr="00D62362" w:rsidRDefault="00035BE3" w:rsidP="00C10469">
      <w:pPr>
        <w:pStyle w:val="a6"/>
        <w:ind w:left="564" w:firstLine="0"/>
        <w:rPr>
          <w:rtl/>
          <w:lang w:val="en-US"/>
        </w:rPr>
      </w:pPr>
      <w:r w:rsidRPr="00D62362">
        <w:rPr>
          <w:rFonts w:hint="cs"/>
          <w:rtl/>
          <w:lang w:val="en-US"/>
        </w:rPr>
        <w:t>مع أنه قال في (الصداق) : «إذا كانت في يد أحدهما وعفا الذي ليس بيده: يصح بلفظ العفو، والإبراء، والهبة، ونحوها»».</w:t>
      </w:r>
    </w:p>
    <w:p w:rsidR="00035BE3" w:rsidRPr="00D62362" w:rsidRDefault="00035BE3" w:rsidP="00C10469">
      <w:pPr>
        <w:pStyle w:val="a6"/>
        <w:ind w:left="564" w:firstLine="0"/>
        <w:rPr>
          <w:rtl/>
          <w:lang w:val="en-US"/>
        </w:rPr>
      </w:pPr>
      <w:r w:rsidRPr="00D62362">
        <w:rPr>
          <w:rFonts w:hint="cs"/>
          <w:rtl/>
          <w:lang w:val="en-US"/>
        </w:rPr>
        <w:t>وانظر : الإقناع وشرحه : كشّاف القناع، 3/396-397؛ شرح منتهى الإرادات، 2/263؛ مجلة الأحكام الشرعية، ص504، مادة 1661.</w:t>
      </w:r>
    </w:p>
    <w:p w:rsidR="00035BE3" w:rsidRPr="002B2128" w:rsidRDefault="00035BE3" w:rsidP="00C10469">
      <w:pPr>
        <w:pStyle w:val="a6"/>
        <w:ind w:left="564" w:firstLine="0"/>
        <w:rPr>
          <w:spacing w:val="-6"/>
          <w:rtl/>
          <w:lang w:val="en-US"/>
        </w:rPr>
      </w:pPr>
      <w:r w:rsidRPr="002B2128">
        <w:rPr>
          <w:rFonts w:hint="cs"/>
          <w:spacing w:val="-6"/>
          <w:rtl/>
          <w:lang w:val="en-US"/>
        </w:rPr>
        <w:t>وقبل الانتهاء من توثيق القاعدة عند باقي المذاهب تجدر الإشارة هنا إلى أن كثيرًا من كتب القواعد عند الشافعية تحدث</w:t>
      </w:r>
      <w:r>
        <w:rPr>
          <w:rFonts w:hint="cs"/>
          <w:spacing w:val="-6"/>
          <w:rtl/>
          <w:lang w:val="en-US"/>
        </w:rPr>
        <w:t>ت عن مسألة مرتبطة بالقاعدة (وهي</w:t>
      </w:r>
      <w:r w:rsidRPr="002B2128">
        <w:rPr>
          <w:rFonts w:hint="cs"/>
          <w:spacing w:val="-6"/>
          <w:rtl/>
          <w:lang w:val="en-US"/>
        </w:rPr>
        <w:t>: الإبراء : هل هو إسقاط أو تمليك ؟) ومن هذه الكتب:</w:t>
      </w:r>
    </w:p>
    <w:p w:rsidR="00035BE3" w:rsidRPr="00D62362" w:rsidRDefault="00035BE3" w:rsidP="00C10469">
      <w:pPr>
        <w:pStyle w:val="a6"/>
        <w:ind w:left="564" w:firstLine="0"/>
        <w:rPr>
          <w:rtl/>
          <w:lang w:val="en-US"/>
        </w:rPr>
      </w:pPr>
      <w:r w:rsidRPr="00D62362">
        <w:rPr>
          <w:rFonts w:hint="cs"/>
          <w:rtl/>
          <w:lang w:val="en-US"/>
        </w:rPr>
        <w:t>الأشباه والنظائر لابن الوكيل، 1/322؛ المنثور، 1/81-82؛ الأشباه والنظائر لابن الملقن، 2/330؛ القواعد للحصني، 3/266؛ الأشباه والنظائر للسيوطي، 1/368 - علمًا بأن الأخير ذكر للصلح أحد عشر قسمًا، «رابعها: أن يكون هبة، بأن يصالح من العين على بعضها»، وذلك 2/792-793. وهذا المثال هو المثال الذي انطلق منه كثير ممّن تكلموا عن القاعدة من فقهاء الحنفية-؛ الأقمار المضيئة، ص261؛ المواهب السنية، وحاشيتها : الفوائد الجنية، 2/383.</w:t>
      </w:r>
    </w:p>
    <w:p w:rsidR="00035BE3" w:rsidRPr="00D62362" w:rsidRDefault="00035BE3" w:rsidP="00C10469">
      <w:pPr>
        <w:pStyle w:val="a6"/>
        <w:ind w:left="564" w:hanging="567"/>
        <w:jc w:val="center"/>
        <w:rPr>
          <w:rtl/>
          <w:lang w:val="en-US"/>
        </w:rPr>
      </w:pPr>
      <w:r w:rsidRPr="00D62362">
        <w:rPr>
          <w:rFonts w:hint="cs"/>
          <w:rtl/>
          <w:lang w:val="en-US"/>
        </w:rPr>
        <w:t>* * *</w:t>
      </w:r>
    </w:p>
    <w:p w:rsidR="00035BE3" w:rsidRPr="00D62362" w:rsidRDefault="00035BE3" w:rsidP="00C10469">
      <w:pPr>
        <w:pStyle w:val="a6"/>
        <w:ind w:left="564" w:firstLine="0"/>
        <w:rPr>
          <w:rtl/>
          <w:lang w:val="en-US"/>
        </w:rPr>
      </w:pPr>
      <w:r w:rsidRPr="002B2128">
        <w:rPr>
          <w:rFonts w:hint="cs"/>
          <w:b/>
          <w:bCs/>
          <w:rtl/>
          <w:lang w:val="en-US"/>
        </w:rPr>
        <w:t xml:space="preserve">ولو عُدتَ إلى القاعدة التي ذكرها المؤلف - فإن معنى: </w:t>
      </w:r>
      <w:r w:rsidRPr="00D62362">
        <w:rPr>
          <w:rFonts w:hint="cs"/>
          <w:rtl/>
          <w:lang w:val="en-US"/>
        </w:rPr>
        <w:t>«قولهم :</w:t>
      </w:r>
      <w:r>
        <w:rPr>
          <w:rFonts w:hint="cs"/>
          <w:rtl/>
          <w:lang w:val="en-US"/>
        </w:rPr>
        <w:t xml:space="preserve"> الإبراء عن الأعيان باطل، معناه</w:t>
      </w:r>
      <w:r w:rsidRPr="00D62362">
        <w:rPr>
          <w:rFonts w:hint="cs"/>
          <w:rtl/>
          <w:lang w:val="en-US"/>
        </w:rPr>
        <w:t>: أنها لا تكون ملكًا له بالإبراء. وإلا فالإبراء عنها لسقوط الضمان صحيح، أو يحمل على الأمـانة» -قاله ابن نجيم في أشبـاهه، ص392-.</w:t>
      </w:r>
      <w:r w:rsidRPr="00D62362">
        <w:rPr>
          <w:rFonts w:hint="cs"/>
          <w:rtl/>
          <w:lang w:val="en-US"/>
        </w:rPr>
        <w:tab/>
      </w:r>
      <w:r w:rsidRPr="00D62362">
        <w:rPr>
          <w:rFonts w:hint="cs"/>
          <w:rtl/>
          <w:lang w:val="en-US"/>
        </w:rPr>
        <w:tab/>
      </w:r>
      <w:r w:rsidRPr="00D62362">
        <w:rPr>
          <w:rFonts w:hint="cs"/>
          <w:rtl/>
          <w:lang w:val="en-US"/>
        </w:rPr>
        <w:tab/>
      </w:r>
      <w:r w:rsidRPr="00D62362">
        <w:rPr>
          <w:rFonts w:hint="cs"/>
          <w:rtl/>
          <w:lang w:val="en-US"/>
        </w:rPr>
        <w:tab/>
      </w:r>
      <w:r w:rsidRPr="00D62362">
        <w:rPr>
          <w:rFonts w:hint="cs"/>
          <w:rtl/>
          <w:lang w:val="en-US"/>
        </w:rPr>
        <w:tab/>
        <w:t xml:space="preserve">  </w:t>
      </w:r>
      <w:r>
        <w:rPr>
          <w:rFonts w:hint="cs"/>
          <w:rtl/>
          <w:lang w:val="en-US"/>
        </w:rPr>
        <w:t xml:space="preserve">         </w:t>
      </w:r>
    </w:p>
    <w:p w:rsidR="00035BE3" w:rsidRPr="00D62362" w:rsidRDefault="00035BE3" w:rsidP="00C10469">
      <w:pPr>
        <w:pStyle w:val="a6"/>
        <w:ind w:left="564" w:firstLine="0"/>
        <w:rPr>
          <w:rtl/>
          <w:lang w:val="en-US"/>
        </w:rPr>
      </w:pPr>
      <w:r w:rsidRPr="00EC7E81">
        <w:rPr>
          <w:rFonts w:hint="cs"/>
          <w:spacing w:val="-2"/>
          <w:rtl/>
          <w:lang w:val="en-US"/>
        </w:rPr>
        <w:t>وللسّرخسي في (المبسوط) -11/107- كلامٌ يعضد هذا، حيث علّل لمن قال بإيجاب ضمان القيمة على الغاصب الذي هلكت بيده العين المغصوبة بعد إبراء المغصوب م</w:t>
      </w:r>
      <w:r>
        <w:rPr>
          <w:rFonts w:hint="cs"/>
          <w:spacing w:val="-2"/>
          <w:rtl/>
          <w:lang w:val="en-US"/>
        </w:rPr>
        <w:t>نه له عن الغصب - علّل ذلك</w:t>
      </w:r>
      <w:r>
        <w:rPr>
          <w:rFonts w:hint="eastAsia"/>
          <w:spacing w:val="-2"/>
          <w:rtl/>
          <w:lang w:val="en-US"/>
        </w:rPr>
        <w:t> </w:t>
      </w:r>
      <w:r w:rsidRPr="00EC7E81">
        <w:rPr>
          <w:rFonts w:hint="cs"/>
          <w:spacing w:val="-2"/>
          <w:rtl/>
          <w:lang w:val="en-US"/>
        </w:rPr>
        <w:t>بقوله: «لأن</w:t>
      </w:r>
      <w:r w:rsidRPr="00D62362">
        <w:rPr>
          <w:rFonts w:hint="cs"/>
          <w:rtl/>
          <w:lang w:val="en-US"/>
        </w:rPr>
        <w:t xml:space="preserve"> الإبراء عن العين لغوٌ، فإن الإبراء إسقاط، والعين ليست بمحلٍّ له؛ إذ لا تسقط حقيقة، ولا يسقط ملك المالك عنها أيضًا. وإضافة التصرّف إلى غير محلِّه : لغو».</w:t>
      </w:r>
    </w:p>
    <w:p w:rsidR="00035BE3" w:rsidRPr="00D62362" w:rsidRDefault="00035BE3" w:rsidP="00C10469">
      <w:pPr>
        <w:pStyle w:val="a6"/>
        <w:ind w:left="564" w:firstLine="0"/>
        <w:rPr>
          <w:rtl/>
          <w:lang w:val="en-US"/>
        </w:rPr>
      </w:pPr>
      <w:r w:rsidRPr="00D62362">
        <w:rPr>
          <w:rFonts w:hint="cs"/>
          <w:rtl/>
          <w:lang w:val="en-US"/>
        </w:rPr>
        <w:t>وانظر : مجموعة رسائل ابن عابدين (رسالة :إعلام الأعلام بأحكام الإقرار العام)، 2/104؛ الدرالمختار وقرّة عيون الأخيار، 12/308.</w:t>
      </w:r>
    </w:p>
  </w:footnote>
  <w:footnote w:id="488">
    <w:p w:rsidR="00035BE3" w:rsidRDefault="00035BE3" w:rsidP="00C10469">
      <w:pPr>
        <w:pStyle w:val="a8"/>
        <w:bidi/>
        <w:spacing w:line="42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في (هـ) و(و) : «لم»، وهو الموافق لمصدر هذه العبارة، (وهو العناية).</w:t>
      </w:r>
    </w:p>
  </w:footnote>
  <w:footnote w:id="489">
    <w:p w:rsidR="00035BE3" w:rsidRDefault="00035BE3" w:rsidP="00C10469">
      <w:pPr>
        <w:pStyle w:val="a8"/>
        <w:bidi/>
        <w:spacing w:line="42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العناية، 8/411-412 - مع اختلاف يسير -.</w:t>
      </w:r>
    </w:p>
  </w:footnote>
  <w:footnote w:id="490">
    <w:p w:rsidR="00035BE3" w:rsidRDefault="00035BE3" w:rsidP="00C10469">
      <w:pPr>
        <w:pStyle w:val="a8"/>
        <w:bidi/>
        <w:spacing w:line="42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في (ب) و(د) : «أبرأت».</w:t>
      </w:r>
    </w:p>
  </w:footnote>
  <w:footnote w:id="491">
    <w:p w:rsidR="00035BE3" w:rsidRDefault="00035BE3" w:rsidP="00C10469">
      <w:pPr>
        <w:pStyle w:val="a8"/>
        <w:bidi/>
        <w:spacing w:line="42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العناية، 8/412، مع زيادة ما بين الهلالين من المؤلف.</w:t>
      </w:r>
    </w:p>
  </w:footnote>
  <w:footnote w:id="492">
    <w:p w:rsidR="00035BE3" w:rsidRDefault="00035BE3" w:rsidP="00C10469">
      <w:pPr>
        <w:pStyle w:val="a8"/>
        <w:bidi/>
        <w:spacing w:line="42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في (جـ) و(هـ)  و(و) : «أو»، وهو الموافق لما في (العناية).</w:t>
      </w:r>
    </w:p>
  </w:footnote>
  <w:footnote w:id="493">
    <w:p w:rsidR="00035BE3" w:rsidRDefault="00035BE3" w:rsidP="00C10469">
      <w:pPr>
        <w:pStyle w:val="a8"/>
        <w:bidi/>
        <w:spacing w:line="42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نهاية 2/أ من (ب).</w:t>
      </w:r>
    </w:p>
  </w:footnote>
  <w:footnote w:id="494">
    <w:p w:rsidR="00035BE3" w:rsidRPr="00D62362" w:rsidRDefault="00035BE3" w:rsidP="00C10469">
      <w:pPr>
        <w:pStyle w:val="a8"/>
        <w:bidi/>
        <w:spacing w:line="440" w:lineRule="exact"/>
        <w:ind w:left="564" w:right="0" w:hanging="567"/>
        <w:rPr>
          <w:rtl/>
        </w:rPr>
      </w:pPr>
      <w:r w:rsidRPr="00924F46">
        <w:rPr>
          <w:rFonts w:hint="cs"/>
          <w:sz w:val="28"/>
          <w:rtl/>
        </w:rPr>
        <w:t>(</w:t>
      </w:r>
      <w:r w:rsidRPr="00924F46">
        <w:rPr>
          <w:sz w:val="28"/>
        </w:rPr>
        <w:footnoteRef/>
      </w:r>
      <w:r w:rsidRPr="00924F46">
        <w:rPr>
          <w:rFonts w:hint="cs"/>
          <w:sz w:val="28"/>
          <w:rtl/>
        </w:rPr>
        <w:t>)</w:t>
      </w:r>
      <w:r w:rsidRPr="00D62362">
        <w:rPr>
          <w:rFonts w:hint="cs"/>
          <w:rtl/>
        </w:rPr>
        <w:t xml:space="preserve">   في (أ) وفي (العناية) : «يخاصمه» (بزيادة (ها) الضمير). ولعل الصحيح ما تمَّ إثباته من (ب) و(جـ) و(د) و(هـ) و(و)؛ لأنه لو كان ما في (أ) وما في (العناية) هو الصحيح لكان له أن يخاصم الذي أبرأه عن الدعوى !! وهذا يتعارض مع القاعدة؛ لأنها أفادت أن إبراء المدعي المدعى عليه عن الدعوى جائز.</w:t>
      </w:r>
    </w:p>
    <w:p w:rsidR="00035BE3" w:rsidRPr="00D62362" w:rsidRDefault="00035BE3" w:rsidP="00C10469">
      <w:pPr>
        <w:pStyle w:val="a6"/>
        <w:spacing w:line="440" w:lineRule="exact"/>
        <w:ind w:left="564" w:firstLine="0"/>
        <w:rPr>
          <w:rtl/>
          <w:lang w:val="en-US"/>
        </w:rPr>
      </w:pPr>
      <w:r w:rsidRPr="00D62362">
        <w:rPr>
          <w:rFonts w:hint="cs"/>
          <w:rtl/>
          <w:lang w:val="en-US"/>
        </w:rPr>
        <w:t xml:space="preserve">وينتج عن هذا أنه إذا أبرأ شخصًا عن الدعوى فليس له أن يخاصمه بعد ذلك، ولكن هذا لا يمنع أن </w:t>
      </w:r>
      <w:r w:rsidRPr="006E67AE">
        <w:rPr>
          <w:rFonts w:hint="cs"/>
          <w:spacing w:val="-4"/>
          <w:rtl/>
          <w:lang w:val="en-US"/>
        </w:rPr>
        <w:t>يخاصم غيره. وهذا المعنى الأخير نقله المؤلف عن (العناية) !! إذ جاء في الصلب - بعد خمسة سطور-:</w:t>
      </w:r>
      <w:r w:rsidRPr="00D62362">
        <w:rPr>
          <w:rFonts w:hint="cs"/>
          <w:rtl/>
          <w:lang w:val="en-US"/>
        </w:rPr>
        <w:t xml:space="preserve"> </w:t>
      </w:r>
      <w:r>
        <w:rPr>
          <w:rFonts w:hint="cs"/>
          <w:rtl/>
          <w:lang w:val="en-US"/>
        </w:rPr>
        <w:t>«فله أن يخاصم غيره في ذلك».</w:t>
      </w:r>
      <w:r>
        <w:rPr>
          <w:rFonts w:hint="cs"/>
          <w:rtl/>
          <w:lang w:val="en-US"/>
        </w:rPr>
        <w:tab/>
      </w:r>
      <w:r>
        <w:rPr>
          <w:rFonts w:hint="cs"/>
          <w:rtl/>
          <w:lang w:val="en-US"/>
        </w:rPr>
        <w:tab/>
        <w:t xml:space="preserve"> </w:t>
      </w:r>
      <w:r w:rsidRPr="00D62362">
        <w:rPr>
          <w:rFonts w:hint="cs"/>
          <w:rtl/>
          <w:lang w:val="en-US"/>
        </w:rPr>
        <w:tab/>
      </w:r>
      <w:r w:rsidRPr="00D62362">
        <w:rPr>
          <w:rFonts w:hint="cs"/>
          <w:rtl/>
          <w:lang w:val="en-US"/>
        </w:rPr>
        <w:tab/>
      </w:r>
      <w:r w:rsidRPr="00D62362">
        <w:rPr>
          <w:rFonts w:hint="cs"/>
          <w:rtl/>
          <w:lang w:val="en-US"/>
        </w:rPr>
        <w:tab/>
        <w:t xml:space="preserve">  </w:t>
      </w:r>
      <w:r>
        <w:rPr>
          <w:rFonts w:hint="cs"/>
          <w:rtl/>
          <w:lang w:val="en-US"/>
        </w:rPr>
        <w:t xml:space="preserve">                   </w:t>
      </w:r>
    </w:p>
    <w:p w:rsidR="00035BE3" w:rsidRPr="00E44773" w:rsidRDefault="00035BE3" w:rsidP="00C10469">
      <w:pPr>
        <w:pStyle w:val="a6"/>
        <w:spacing w:line="500" w:lineRule="exact"/>
        <w:ind w:left="564" w:firstLine="0"/>
        <w:rPr>
          <w:spacing w:val="2"/>
          <w:rtl/>
          <w:lang w:val="en-US"/>
        </w:rPr>
      </w:pPr>
      <w:r w:rsidRPr="00E44773">
        <w:rPr>
          <w:rFonts w:hint="cs"/>
          <w:spacing w:val="2"/>
          <w:rtl/>
          <w:lang w:val="en-US"/>
        </w:rPr>
        <w:t xml:space="preserve"> ومن أقوى ما يؤكد أن زيادة (الهاء) على (يخاصم) مجانبة للصواب : أن صاحب (العناية) في نهاية حديثه عن المسألة أعاد العبارة التي فيها هذه الكلمة مجردة عن (الهاء)، حيث قال : «ويُعلم من هذا التعليل أن قول صاحب (الذخيرة) : «وله أن يخاصم فيها بعد ذلك» معناه على غير المخاطب وهو ظاهر».</w:t>
      </w:r>
    </w:p>
    <w:p w:rsidR="00035BE3" w:rsidRPr="00D62362" w:rsidRDefault="00035BE3" w:rsidP="00C10469">
      <w:pPr>
        <w:pStyle w:val="a6"/>
        <w:spacing w:line="500" w:lineRule="exact"/>
        <w:ind w:left="564" w:firstLine="0"/>
        <w:rPr>
          <w:rtl/>
          <w:lang w:val="en-US"/>
        </w:rPr>
      </w:pPr>
      <w:r w:rsidRPr="00D62362">
        <w:rPr>
          <w:rFonts w:hint="cs"/>
          <w:rtl/>
          <w:lang w:val="en-US"/>
        </w:rPr>
        <w:t>وقد تابعه المؤلف على هذا، وذلك في نهاية حديثه عن المسألة أيضًا.</w:t>
      </w:r>
    </w:p>
  </w:footnote>
  <w:footnote w:id="495">
    <w:p w:rsidR="00035BE3" w:rsidRDefault="00035BE3" w:rsidP="00C10469">
      <w:pPr>
        <w:pStyle w:val="a8"/>
        <w:bidi/>
        <w:spacing w:line="500" w:lineRule="exact"/>
        <w:ind w:left="564" w:right="0" w:hanging="567"/>
        <w:rPr>
          <w:rtl/>
        </w:rPr>
      </w:pPr>
      <w:r w:rsidRPr="00477AFC">
        <w:rPr>
          <w:rFonts w:hint="cs"/>
          <w:sz w:val="28"/>
          <w:rtl/>
        </w:rPr>
        <w:t>(</w:t>
      </w:r>
      <w:r w:rsidRPr="00477AFC">
        <w:rPr>
          <w:sz w:val="28"/>
        </w:rPr>
        <w:footnoteRef/>
      </w:r>
      <w:r w:rsidRPr="00477AFC">
        <w:rPr>
          <w:rFonts w:hint="cs"/>
          <w:sz w:val="28"/>
          <w:rtl/>
        </w:rPr>
        <w:t>)</w:t>
      </w:r>
      <w:r>
        <w:rPr>
          <w:rFonts w:hint="cs"/>
          <w:rtl/>
        </w:rPr>
        <w:t xml:space="preserve">   العناية، 8/412.</w:t>
      </w:r>
    </w:p>
  </w:footnote>
  <w:footnote w:id="496">
    <w:p w:rsidR="00035BE3" w:rsidRDefault="00035BE3" w:rsidP="00C10469">
      <w:pPr>
        <w:pStyle w:val="a8"/>
        <w:bidi/>
        <w:ind w:left="564" w:right="0" w:hanging="567"/>
        <w:rPr>
          <w:rtl/>
        </w:rPr>
      </w:pPr>
      <w:r w:rsidRPr="00477AFC">
        <w:rPr>
          <w:rFonts w:hint="cs"/>
          <w:sz w:val="28"/>
          <w:rtl/>
        </w:rPr>
        <w:t>(</w:t>
      </w:r>
      <w:r w:rsidRPr="00477AFC">
        <w:rPr>
          <w:sz w:val="28"/>
        </w:rPr>
        <w:footnoteRef/>
      </w:r>
      <w:r w:rsidRPr="00477AFC">
        <w:rPr>
          <w:rFonts w:hint="cs"/>
          <w:sz w:val="28"/>
          <w:rtl/>
        </w:rPr>
        <w:t>)</w:t>
      </w:r>
      <w:r>
        <w:rPr>
          <w:rFonts w:hint="cs"/>
          <w:rtl/>
        </w:rPr>
        <w:t xml:space="preserve">   وهي ما عبّر عنها في الصفحة السابقة بقوله : </w:t>
      </w:r>
      <w:r w:rsidRPr="00D62362">
        <w:rPr>
          <w:rFonts w:hint="cs"/>
          <w:rtl/>
        </w:rPr>
        <w:t>«برأت من دعواي في هذه الدار ... ».</w:t>
      </w:r>
    </w:p>
  </w:footnote>
  <w:footnote w:id="497">
    <w:p w:rsidR="00035BE3" w:rsidRDefault="00035BE3" w:rsidP="00C10469">
      <w:pPr>
        <w:pStyle w:val="a8"/>
        <w:bidi/>
        <w:spacing w:line="50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نهاية 2/ب من (أ).</w:t>
      </w:r>
    </w:p>
  </w:footnote>
  <w:footnote w:id="498">
    <w:p w:rsidR="00035BE3" w:rsidRDefault="00035BE3" w:rsidP="00C10469">
      <w:pPr>
        <w:pStyle w:val="a8"/>
        <w:bidi/>
        <w:spacing w:line="50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في (جـ) : «فيها».</w:t>
      </w:r>
    </w:p>
  </w:footnote>
  <w:footnote w:id="499">
    <w:p w:rsidR="00035BE3" w:rsidRDefault="00035BE3" w:rsidP="00C10469">
      <w:pPr>
        <w:pStyle w:val="a8"/>
        <w:bidi/>
        <w:spacing w:line="500" w:lineRule="exact"/>
        <w:ind w:left="564" w:right="0" w:hanging="567"/>
        <w:rPr>
          <w:rtl/>
        </w:rPr>
      </w:pPr>
      <w:r w:rsidRPr="00924F46">
        <w:rPr>
          <w:rFonts w:hint="cs"/>
          <w:sz w:val="28"/>
          <w:rtl/>
        </w:rPr>
        <w:t>(</w:t>
      </w:r>
      <w:r w:rsidRPr="00924F46">
        <w:rPr>
          <w:sz w:val="28"/>
        </w:rPr>
        <w:footnoteRef/>
      </w:r>
      <w:r w:rsidRPr="00924F46">
        <w:rPr>
          <w:rFonts w:hint="cs"/>
          <w:sz w:val="28"/>
          <w:rtl/>
        </w:rPr>
        <w:t>)</w:t>
      </w:r>
      <w:r>
        <w:rPr>
          <w:rFonts w:hint="cs"/>
          <w:rtl/>
        </w:rPr>
        <w:t xml:space="preserve">   </w:t>
      </w:r>
      <w:r w:rsidRPr="00E44773">
        <w:rPr>
          <w:rFonts w:hint="cs"/>
          <w:b/>
          <w:bCs/>
          <w:rtl/>
        </w:rPr>
        <w:t>صاحب العناية هو :</w:t>
      </w:r>
      <w:r>
        <w:rPr>
          <w:rFonts w:hint="cs"/>
          <w:rtl/>
        </w:rPr>
        <w:t xml:space="preserve"> محمد بن محمد بن محمود -وقيل : محمد بن محمود بن أحمد- ، أبو عبد الله أكمل الدين البَابَرْتي (710 - 786هـ).</w:t>
      </w:r>
    </w:p>
    <w:p w:rsidR="00035BE3" w:rsidRPr="00D62362" w:rsidRDefault="00035BE3" w:rsidP="00C10469">
      <w:pPr>
        <w:pStyle w:val="a6"/>
        <w:spacing w:line="500" w:lineRule="exact"/>
        <w:ind w:left="564" w:firstLine="0"/>
        <w:rPr>
          <w:rtl/>
          <w:lang w:val="en-US"/>
        </w:rPr>
      </w:pPr>
      <w:r w:rsidRPr="00D62362">
        <w:rPr>
          <w:rFonts w:hint="cs"/>
          <w:rtl/>
          <w:lang w:val="en-US"/>
        </w:rPr>
        <w:t>كان عالمًا في فروع الحنفية والأصول والحديث والتفسير واللغة.</w:t>
      </w:r>
    </w:p>
    <w:p w:rsidR="00035BE3" w:rsidRPr="00D62362" w:rsidRDefault="00035BE3" w:rsidP="00C10469">
      <w:pPr>
        <w:pStyle w:val="a6"/>
        <w:spacing w:line="500" w:lineRule="exact"/>
        <w:ind w:left="564" w:firstLine="0"/>
        <w:rPr>
          <w:rtl/>
          <w:lang w:val="en-US"/>
        </w:rPr>
      </w:pPr>
      <w:r w:rsidRPr="00D62362">
        <w:rPr>
          <w:rFonts w:hint="cs"/>
          <w:rtl/>
          <w:lang w:val="en-US"/>
        </w:rPr>
        <w:t>من كتبه : شرح تلخيص الجامع للخلاطي -في الفقه-، والتقرير في شرح أصول البزدوي، وشرح مشارق الأنوار النبوية من صحاح الأخبار المصطفوية للصفاني، وسماه : تحفة الأبرار في شرح مشارق الأنوار، وشرح الكشاف للزمخشري، وشرح ألفية ابن معطي في النحو.</w:t>
      </w:r>
    </w:p>
    <w:p w:rsidR="00035BE3" w:rsidRPr="00D62362" w:rsidRDefault="00035BE3" w:rsidP="00C10469">
      <w:pPr>
        <w:pStyle w:val="a6"/>
        <w:spacing w:line="500" w:lineRule="exact"/>
        <w:ind w:left="564" w:firstLine="0"/>
        <w:rPr>
          <w:rtl/>
          <w:lang w:val="en-US"/>
        </w:rPr>
      </w:pPr>
      <w:r w:rsidRPr="00E44773">
        <w:rPr>
          <w:rFonts w:hint="cs"/>
          <w:b/>
          <w:bCs/>
          <w:rtl/>
          <w:lang w:val="en-US"/>
        </w:rPr>
        <w:t>أما كتابه :</w:t>
      </w:r>
      <w:r w:rsidRPr="00D62362">
        <w:rPr>
          <w:rFonts w:hint="cs"/>
          <w:rtl/>
          <w:lang w:val="en-US"/>
        </w:rPr>
        <w:t xml:space="preserve"> (العناية): فـهو كتاب في الفقه الحـنفي، شرح فيه مـؤلفه كتـاب (الهداية) للمرغيناني (ت 593هـ)، وقد لخّصه البابـرتي من أول شرحٍ للهداية وهو كتاب (النهاية) لحسام الديـن السَّغْـنَاقي (ت 711 هـ)، ولا يعني هذا أنه لم يخرج عنها، فقد استفاد من شروح أخر للهداية؛ بل انفرد بذكر مباحث لم يسبق إليها -كما ذكر ذلك في المقدمة-.</w:t>
      </w:r>
    </w:p>
    <w:p w:rsidR="00035BE3" w:rsidRPr="00D62362" w:rsidRDefault="00035BE3" w:rsidP="00C10469">
      <w:pPr>
        <w:pStyle w:val="a6"/>
        <w:spacing w:line="500" w:lineRule="exact"/>
        <w:ind w:left="564" w:firstLine="0"/>
        <w:rPr>
          <w:rtl/>
          <w:lang w:val="en-US"/>
        </w:rPr>
      </w:pPr>
      <w:r w:rsidRPr="00D62362">
        <w:rPr>
          <w:rFonts w:hint="cs"/>
          <w:rtl/>
          <w:lang w:val="en-US"/>
        </w:rPr>
        <w:t>لهذا نَعَتَهُ صاحب (كشف الظنون) بأنه : «شرح جليل معتبر في البلاد الرومية».</w:t>
      </w:r>
      <w:r w:rsidRPr="00D62362">
        <w:rPr>
          <w:rFonts w:hint="cs"/>
          <w:rtl/>
          <w:lang w:val="en-US"/>
        </w:rPr>
        <w:tab/>
      </w:r>
      <w:r w:rsidRPr="00D62362">
        <w:rPr>
          <w:rFonts w:hint="cs"/>
          <w:rtl/>
          <w:lang w:val="en-US"/>
        </w:rPr>
        <w:tab/>
      </w:r>
    </w:p>
    <w:p w:rsidR="00035BE3" w:rsidRPr="00D62362" w:rsidRDefault="00035BE3" w:rsidP="00C10469">
      <w:pPr>
        <w:pStyle w:val="a6"/>
        <w:ind w:left="564" w:firstLine="0"/>
        <w:rPr>
          <w:rtl/>
          <w:lang w:val="en-US"/>
        </w:rPr>
      </w:pPr>
      <w:r w:rsidRPr="00D62362">
        <w:rPr>
          <w:rFonts w:hint="cs"/>
          <w:rtl/>
          <w:lang w:val="en-US"/>
        </w:rPr>
        <w:t>وهو مطبوع في هامش (فتح القدير) -لابن الهمام (ت 861 هـ)- عدَّة طبعات، ولعل من أقدمها طبعة المطبعة الكبرى الأميرية ببولاق مصر المحمية، وذلك سنة 1315هـ، وله طبعات أخرى متداولة ومشهورة.</w:t>
      </w:r>
    </w:p>
    <w:p w:rsidR="00035BE3" w:rsidRPr="00D62362" w:rsidRDefault="00035BE3" w:rsidP="00C10469">
      <w:pPr>
        <w:pStyle w:val="a6"/>
        <w:ind w:left="564" w:firstLine="0"/>
        <w:rPr>
          <w:rtl/>
          <w:lang w:val="en-US"/>
        </w:rPr>
      </w:pPr>
      <w:r w:rsidRPr="00D62362">
        <w:rPr>
          <w:rFonts w:hint="cs"/>
          <w:rtl/>
          <w:lang w:val="en-US"/>
        </w:rPr>
        <w:t>انظر : مقدمة (العناية)، 1/5-6؛ تاج التراجم، ص335، رقم 260؛ مفتاح السعادة، 2/243؛ كشف الظنون،  1/112، 155، 2/1247، 1478،  1688، 1824، 2035 - ومن الصفحة الأخيرة نقلت النص المذكور - ؛ الفوائد البهية، ص195-199؛ هدية العارفين، 2/171؛ الأعـلام، 7/42؛ معجم المؤلفين، 3/691؛ معجم المطبوعات، 1/279.</w:t>
      </w:r>
    </w:p>
  </w:footnote>
  <w:footnote w:id="500">
    <w:p w:rsidR="00035BE3" w:rsidRDefault="00035BE3" w:rsidP="00C10469">
      <w:pPr>
        <w:pStyle w:val="a8"/>
        <w:bidi/>
        <w:ind w:left="564" w:right="0" w:hanging="567"/>
        <w:rPr>
          <w:rtl/>
        </w:rPr>
      </w:pPr>
      <w:r w:rsidRPr="00F05B6B">
        <w:rPr>
          <w:rFonts w:hint="cs"/>
          <w:sz w:val="28"/>
          <w:rtl/>
        </w:rPr>
        <w:t>(</w:t>
      </w:r>
      <w:r w:rsidRPr="00F05B6B">
        <w:rPr>
          <w:bCs/>
          <w:sz w:val="28"/>
        </w:rPr>
        <w:footnoteRef/>
      </w:r>
      <w:r w:rsidRPr="00F05B6B">
        <w:rPr>
          <w:rFonts w:hint="cs"/>
          <w:sz w:val="28"/>
          <w:rtl/>
        </w:rPr>
        <w:t>)</w:t>
      </w:r>
      <w:r>
        <w:rPr>
          <w:rFonts w:hint="cs"/>
          <w:rtl/>
        </w:rPr>
        <w:t xml:space="preserve">    في (د) : «للواحدة».</w:t>
      </w:r>
    </w:p>
  </w:footnote>
  <w:footnote w:id="501">
    <w:p w:rsidR="00035BE3" w:rsidRDefault="00035BE3" w:rsidP="00C10469">
      <w:pPr>
        <w:pStyle w:val="a8"/>
        <w:bidi/>
        <w:ind w:left="564" w:right="0" w:hanging="567"/>
        <w:rPr>
          <w:rtl/>
        </w:rPr>
      </w:pPr>
      <w:r w:rsidRPr="00F05B6B">
        <w:rPr>
          <w:rFonts w:hint="cs"/>
          <w:sz w:val="28"/>
          <w:rtl/>
        </w:rPr>
        <w:t>(</w:t>
      </w:r>
      <w:r w:rsidRPr="00F05B6B">
        <w:rPr>
          <w:sz w:val="28"/>
        </w:rPr>
        <w:footnoteRef/>
      </w:r>
      <w:r w:rsidRPr="00F05B6B">
        <w:rPr>
          <w:rFonts w:hint="cs"/>
          <w:sz w:val="28"/>
          <w:rtl/>
        </w:rPr>
        <w:t>)</w:t>
      </w:r>
      <w:r>
        <w:rPr>
          <w:rFonts w:hint="cs"/>
          <w:rtl/>
        </w:rPr>
        <w:t xml:space="preserve">   في (أ) و(ب) و(د) : «أبرأت». والصحيح ما تمّ إثباته من (جـ) و(هـ) و(و)؛ وفاقًا لما في (العناية)، ولدلالة السياق على ذلك.</w:t>
      </w:r>
    </w:p>
  </w:footnote>
  <w:footnote w:id="502">
    <w:p w:rsidR="00035BE3" w:rsidRDefault="00035BE3" w:rsidP="00C10469">
      <w:pPr>
        <w:pStyle w:val="a8"/>
        <w:bidi/>
        <w:ind w:left="564" w:right="0" w:hanging="567"/>
        <w:rPr>
          <w:rtl/>
        </w:rPr>
      </w:pPr>
      <w:r w:rsidRPr="00F05B6B">
        <w:rPr>
          <w:rFonts w:hint="cs"/>
          <w:sz w:val="28"/>
          <w:rtl/>
        </w:rPr>
        <w:t>(</w:t>
      </w:r>
      <w:r w:rsidRPr="00F05B6B">
        <w:rPr>
          <w:sz w:val="28"/>
        </w:rPr>
        <w:footnoteRef/>
      </w:r>
      <w:r w:rsidRPr="00F05B6B">
        <w:rPr>
          <w:rFonts w:hint="cs"/>
          <w:sz w:val="28"/>
          <w:rtl/>
        </w:rPr>
        <w:t>)</w:t>
      </w:r>
      <w:r>
        <w:rPr>
          <w:rFonts w:hint="cs"/>
          <w:rtl/>
        </w:rPr>
        <w:t xml:space="preserve">    العناية، 8/412 -مع اختلاف يسير-.</w:t>
      </w:r>
    </w:p>
  </w:footnote>
  <w:footnote w:id="503">
    <w:p w:rsidR="00035BE3" w:rsidRDefault="00035BE3" w:rsidP="00C10469">
      <w:pPr>
        <w:pStyle w:val="a8"/>
        <w:bidi/>
        <w:ind w:left="564" w:right="0" w:hanging="567"/>
        <w:rPr>
          <w:rtl/>
        </w:rPr>
      </w:pPr>
      <w:r w:rsidRPr="00F05B6B">
        <w:rPr>
          <w:rFonts w:hint="cs"/>
          <w:sz w:val="28"/>
          <w:rtl/>
        </w:rPr>
        <w:t>(</w:t>
      </w:r>
      <w:r w:rsidRPr="00F05B6B">
        <w:rPr>
          <w:sz w:val="28"/>
        </w:rPr>
        <w:footnoteRef/>
      </w:r>
      <w:r w:rsidRPr="00F05B6B">
        <w:rPr>
          <w:rFonts w:hint="cs"/>
          <w:sz w:val="28"/>
          <w:rtl/>
        </w:rPr>
        <w:t>)</w:t>
      </w:r>
      <w:r>
        <w:rPr>
          <w:rFonts w:hint="cs"/>
          <w:rtl/>
        </w:rPr>
        <w:t xml:space="preserve">    أي جميع ما تقدم في شرح القاعدة مستفاد من العناية. وقد سبق توثيق كلَّ نقلٍ استقلالاً، علمًا بأن المؤلف قد خالفه في الترتيب والسياق.</w:t>
      </w:r>
    </w:p>
  </w:footnote>
  <w:footnote w:id="504">
    <w:p w:rsidR="00035BE3" w:rsidRDefault="00035BE3" w:rsidP="00C10469">
      <w:pPr>
        <w:pStyle w:val="a8"/>
        <w:bidi/>
        <w:ind w:left="564" w:right="0" w:hanging="567"/>
        <w:rPr>
          <w:rtl/>
        </w:rPr>
      </w:pPr>
      <w:r w:rsidRPr="00F05B6B">
        <w:rPr>
          <w:rFonts w:hint="cs"/>
          <w:sz w:val="28"/>
          <w:rtl/>
        </w:rPr>
        <w:t>(</w:t>
      </w:r>
      <w:r w:rsidRPr="00F05B6B">
        <w:rPr>
          <w:bCs/>
          <w:sz w:val="28"/>
        </w:rPr>
        <w:footnoteRef/>
      </w:r>
      <w:r w:rsidRPr="00F05B6B">
        <w:rPr>
          <w:rFonts w:hint="cs"/>
          <w:sz w:val="28"/>
          <w:rtl/>
        </w:rPr>
        <w:t>)</w:t>
      </w:r>
      <w:r>
        <w:rPr>
          <w:rFonts w:hint="cs"/>
          <w:rtl/>
        </w:rPr>
        <w:t xml:space="preserve">   في (أ) و(د): «واحد». والصحيح ما تمَّ إثباته من (جـ) و(هـ) و(و)، إلا إذا أُلحقتْ به (من) فتصير «واحد من» فتكون صحيحة أيضًا كما في (ب).</w:t>
      </w:r>
    </w:p>
  </w:footnote>
  <w:footnote w:id="505">
    <w:p w:rsidR="00035BE3" w:rsidRDefault="00035BE3" w:rsidP="00C10469">
      <w:pPr>
        <w:pStyle w:val="a8"/>
        <w:bidi/>
        <w:ind w:left="564" w:right="0" w:hanging="567"/>
        <w:rPr>
          <w:rtl/>
        </w:rPr>
      </w:pPr>
      <w:r w:rsidRPr="00F05B6B">
        <w:rPr>
          <w:rFonts w:hint="cs"/>
          <w:sz w:val="28"/>
          <w:rtl/>
        </w:rPr>
        <w:t>(</w:t>
      </w:r>
      <w:r w:rsidRPr="00F05B6B">
        <w:rPr>
          <w:bCs/>
          <w:sz w:val="28"/>
        </w:rPr>
        <w:footnoteRef/>
      </w:r>
      <w:r w:rsidRPr="00F05B6B">
        <w:rPr>
          <w:rFonts w:hint="cs"/>
          <w:sz w:val="28"/>
          <w:rtl/>
        </w:rPr>
        <w:t>)</w:t>
      </w:r>
      <w:r>
        <w:rPr>
          <w:rFonts w:hint="cs"/>
          <w:rtl/>
        </w:rPr>
        <w:t xml:space="preserve">    أي الذهب أو الفضة كما في (العناية)، 8/440.</w:t>
      </w:r>
    </w:p>
  </w:footnote>
  <w:footnote w:id="506">
    <w:p w:rsidR="00035BE3" w:rsidRDefault="00035BE3" w:rsidP="00C10469">
      <w:pPr>
        <w:pStyle w:val="a8"/>
        <w:bidi/>
        <w:ind w:left="564" w:right="0" w:hanging="567"/>
        <w:rPr>
          <w:spacing w:val="-6"/>
          <w:rtl/>
        </w:rPr>
      </w:pPr>
      <w:r w:rsidRPr="00477AFC">
        <w:rPr>
          <w:rFonts w:hint="cs"/>
          <w:sz w:val="28"/>
          <w:rtl/>
        </w:rPr>
        <w:t>(</w:t>
      </w:r>
      <w:r w:rsidRPr="00477AFC">
        <w:rPr>
          <w:bCs/>
          <w:sz w:val="28"/>
        </w:rPr>
        <w:footnoteRef/>
      </w:r>
      <w:r w:rsidRPr="00477AFC">
        <w:rPr>
          <w:rFonts w:hint="cs"/>
          <w:sz w:val="28"/>
          <w:rtl/>
        </w:rPr>
        <w:t>)</w:t>
      </w:r>
      <w:r>
        <w:rPr>
          <w:rFonts w:hint="cs"/>
          <w:rtl/>
        </w:rPr>
        <w:t xml:space="preserve">   </w:t>
      </w:r>
      <w:r>
        <w:rPr>
          <w:rFonts w:hint="cs"/>
          <w:spacing w:val="-6"/>
          <w:rtl/>
        </w:rPr>
        <w:t>«وأنكر الورثة .. والميراث»: زيادة من العناية، 8/441، وهي لابدّ منها؛ لأن المعنى بدونها يكون مبتورًا.</w:t>
      </w:r>
    </w:p>
  </w:footnote>
  <w:footnote w:id="507">
    <w:p w:rsidR="00035BE3" w:rsidRDefault="00035BE3" w:rsidP="00C10469">
      <w:pPr>
        <w:pStyle w:val="a8"/>
        <w:bidi/>
        <w:ind w:left="564" w:right="0" w:hanging="567"/>
        <w:rPr>
          <w:rtl/>
        </w:rPr>
      </w:pPr>
      <w:r w:rsidRPr="00477AFC">
        <w:rPr>
          <w:rFonts w:hint="cs"/>
          <w:sz w:val="28"/>
          <w:rtl/>
        </w:rPr>
        <w:t>(</w:t>
      </w:r>
      <w:r w:rsidRPr="00477AFC">
        <w:rPr>
          <w:bCs/>
          <w:sz w:val="28"/>
        </w:rPr>
        <w:footnoteRef/>
      </w:r>
      <w:r w:rsidRPr="00477AFC">
        <w:rPr>
          <w:rFonts w:hint="cs"/>
          <w:sz w:val="28"/>
          <w:rtl/>
        </w:rPr>
        <w:t>)</w:t>
      </w:r>
      <w:r>
        <w:rPr>
          <w:rFonts w:hint="cs"/>
          <w:rtl/>
        </w:rPr>
        <w:t xml:space="preserve">   انظر : العناية، 8/440-441؛ وانظر الشقّ الأول من هذا الفرع في شرح الوقاية، 2/129؛ الدرر شرح الغرر، 2/398.</w:t>
      </w:r>
    </w:p>
  </w:footnote>
  <w:footnote w:id="508">
    <w:p w:rsidR="00035BE3" w:rsidRDefault="00035BE3" w:rsidP="00C10469">
      <w:pPr>
        <w:pStyle w:val="Hichem0"/>
        <w:ind w:left="281"/>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الأصولية المختلف فيها.</w:t>
      </w:r>
    </w:p>
    <w:p w:rsidR="00035BE3" w:rsidRDefault="00035BE3" w:rsidP="00C10469">
      <w:pPr>
        <w:pStyle w:val="a6"/>
        <w:spacing w:line="380" w:lineRule="atLeast"/>
        <w:ind w:left="281" w:firstLine="0"/>
        <w:rPr>
          <w:rtl/>
        </w:rPr>
      </w:pPr>
      <w:r>
        <w:rPr>
          <w:rFonts w:hint="cs"/>
          <w:rtl/>
        </w:rPr>
        <w:t>وقد عنون لها الجصاص -في باب الإجماع من أصوله، ص207- بقوله : «باب : القول في الإجماع بعد الاختلاف»، كما صوّرها شيخ الإسلام ابن تيمية - في مجموع فتاويه، 20/584- بقوله : «وهي أن</w:t>
      </w:r>
      <w:r>
        <w:rPr>
          <w:rFonts w:hint="eastAsia"/>
          <w:rtl/>
        </w:rPr>
        <w:t> </w:t>
      </w:r>
      <w:r>
        <w:rPr>
          <w:rFonts w:hint="cs"/>
          <w:rtl/>
        </w:rPr>
        <w:t>الصحابة مثلاً أو غيرهم من أهل الأعصار إذا اختلفوا في مسألة على قولين، ثم أجمع التابعون أو أهل العصر الثاني على أحدهما، فهل يكون هذا إجماعًا يرفع ذلك الخلاف؟».</w:t>
      </w:r>
    </w:p>
    <w:p w:rsidR="00035BE3" w:rsidRDefault="00035BE3" w:rsidP="00C10469">
      <w:pPr>
        <w:pStyle w:val="a6"/>
        <w:ind w:left="281" w:firstLine="0"/>
        <w:rPr>
          <w:rtl/>
        </w:rPr>
      </w:pPr>
      <w:r>
        <w:rPr>
          <w:rFonts w:hint="cs"/>
          <w:rtl/>
        </w:rPr>
        <w:t>وأيضًا صورها الآمدي- في إحكامه 1/336-337 - بقوله : «إذا اختلف أهل عصر من الأعصار في</w:t>
      </w:r>
      <w:r>
        <w:rPr>
          <w:rFonts w:hint="eastAsia"/>
          <w:rtl/>
        </w:rPr>
        <w:t> </w:t>
      </w:r>
      <w:r>
        <w:rPr>
          <w:rFonts w:hint="cs"/>
          <w:rtl/>
        </w:rPr>
        <w:t>مسألة من المسائل على قولين، واستقرّ خلافهم في ذلك، ولم يوجد له نكير : فهل يتصور انعقاد إجماع</w:t>
      </w:r>
      <w:r>
        <w:rPr>
          <w:rFonts w:hint="eastAsia"/>
          <w:rtl/>
        </w:rPr>
        <w:t> </w:t>
      </w:r>
      <w:r>
        <w:rPr>
          <w:rFonts w:hint="cs"/>
          <w:rtl/>
        </w:rPr>
        <w:t>مَنْ بعدهم على أحد القولين، بحيث يمتنع على المجتهد المصير إلى القول الآخر، أم لا ؟».</w:t>
      </w:r>
    </w:p>
    <w:p w:rsidR="00035BE3" w:rsidRDefault="00035BE3" w:rsidP="00C10469">
      <w:pPr>
        <w:pStyle w:val="a6"/>
        <w:ind w:left="281" w:firstLine="0"/>
        <w:rPr>
          <w:rtl/>
        </w:rPr>
      </w:pPr>
      <w:r>
        <w:rPr>
          <w:rFonts w:hint="cs"/>
          <w:rtl/>
        </w:rPr>
        <w:t>أي : هل يكون الإجماع اللاحق رافعًا للاختلاف السابق أو لا ؟.</w:t>
      </w:r>
    </w:p>
    <w:p w:rsidR="00035BE3" w:rsidRDefault="00035BE3" w:rsidP="00C10469">
      <w:pPr>
        <w:pStyle w:val="a6"/>
        <w:ind w:left="281" w:firstLine="0"/>
        <w:rPr>
          <w:rtl/>
        </w:rPr>
      </w:pPr>
      <w:r>
        <w:rPr>
          <w:rFonts w:hint="cs"/>
          <w:rtl/>
        </w:rPr>
        <w:t>ويلحظ أن شيخ الإسلام ذكر قيدًا مهمًّا وهو أن المختلفين في عصر، والمجمعين في عصر آخر.</w:t>
      </w:r>
    </w:p>
    <w:p w:rsidR="00035BE3" w:rsidRDefault="00035BE3" w:rsidP="00C10469">
      <w:pPr>
        <w:pStyle w:val="a6"/>
        <w:ind w:left="281" w:firstLine="0"/>
        <w:rPr>
          <w:spacing w:val="6"/>
          <w:rtl/>
        </w:rPr>
      </w:pPr>
      <w:r>
        <w:rPr>
          <w:rFonts w:hint="cs"/>
          <w:spacing w:val="6"/>
          <w:rtl/>
        </w:rPr>
        <w:t>كـما أن الآمدي صرَّح بقيد آخر لا يقل أهمية عنه، وهو أنّ الاختلاف المتقدم قد استقر ولم يوجد له نكير.</w:t>
      </w:r>
    </w:p>
    <w:p w:rsidR="00035BE3" w:rsidRDefault="00035BE3" w:rsidP="00C10469">
      <w:pPr>
        <w:pStyle w:val="a6"/>
        <w:ind w:left="281" w:firstLine="0"/>
        <w:rPr>
          <w:rtl/>
        </w:rPr>
      </w:pPr>
      <w:r>
        <w:rPr>
          <w:rFonts w:hint="cs"/>
          <w:rtl/>
        </w:rPr>
        <w:t>ومن هذين القيدين يُعلم أن المسألة لها ثلاث مراتب، وكل مرتبة يختلف حكمها عن الأخرى:</w:t>
      </w:r>
    </w:p>
    <w:p w:rsidR="00035BE3" w:rsidRDefault="00035BE3" w:rsidP="00C10469">
      <w:pPr>
        <w:pStyle w:val="a6"/>
        <w:spacing w:line="420" w:lineRule="atLeast"/>
        <w:ind w:left="281" w:firstLine="0"/>
        <w:rPr>
          <w:rtl/>
        </w:rPr>
      </w:pPr>
      <w:r>
        <w:rPr>
          <w:rFonts w:hint="cs"/>
          <w:b/>
          <w:bCs/>
          <w:rtl/>
        </w:rPr>
        <w:t xml:space="preserve">الأولى </w:t>
      </w:r>
      <w:r>
        <w:rPr>
          <w:rFonts w:hint="cs"/>
          <w:rtl/>
        </w:rPr>
        <w:t>: إذا اختلف أهل عصر في مسألة على قولين وقبل أن يستقر الخلاف أجمعوا على أحدهما، «كخلاف الصحابة لأبي بكر رضي الله عنهم في قتال مانعي الزكاة، وإجماعهم بعد ذلك : زال الخلاف وصارت المسألة بعد ذلك إجماعًا بلا خلاف» قاله صاحب (اللمع) -ص 279- ونقله عنه صاحب (البحر المحيط) -4/530-.</w:t>
      </w:r>
    </w:p>
    <w:p w:rsidR="00035BE3" w:rsidRDefault="00035BE3" w:rsidP="00C10469">
      <w:pPr>
        <w:pStyle w:val="a6"/>
        <w:spacing w:line="420" w:lineRule="atLeast"/>
        <w:ind w:left="281" w:firstLine="0"/>
        <w:rPr>
          <w:rtl/>
        </w:rPr>
      </w:pPr>
      <w:r>
        <w:rPr>
          <w:rFonts w:hint="cs"/>
          <w:b/>
          <w:bCs/>
          <w:rtl/>
        </w:rPr>
        <w:t>الثانية</w:t>
      </w:r>
      <w:r>
        <w:rPr>
          <w:rFonts w:hint="cs"/>
          <w:rtl/>
        </w:rPr>
        <w:t xml:space="preserve"> : إذا اختلف أهل عصر في مسألة على قولين، وبعد أن استقر الخلاف «رجعوا إلى قولٍ واحد: صَارَ ما اتفقوا عليه إجماعًا قاطعًا عند من شرط انقراض العصر ويخلص من الإشكال»- كما أفاد ذلك صاحب (المستصفى) ،1/205-.</w:t>
      </w:r>
    </w:p>
    <w:p w:rsidR="00035BE3" w:rsidRDefault="00035BE3" w:rsidP="00C10469">
      <w:pPr>
        <w:pStyle w:val="a6"/>
        <w:ind w:left="281" w:firstLine="0"/>
        <w:rPr>
          <w:rtl/>
        </w:rPr>
      </w:pPr>
      <w:r>
        <w:rPr>
          <w:rFonts w:hint="cs"/>
          <w:rtl/>
        </w:rPr>
        <w:t>أما عند من لم يشترط انقراض العصر فيبقى الإشكال.</w:t>
      </w:r>
    </w:p>
    <w:p w:rsidR="00035BE3" w:rsidRDefault="00035BE3" w:rsidP="00C10469">
      <w:pPr>
        <w:pStyle w:val="a6"/>
        <w:ind w:left="281" w:firstLine="0"/>
        <w:rPr>
          <w:rtl/>
        </w:rPr>
      </w:pPr>
      <w:r>
        <w:rPr>
          <w:rFonts w:hint="cs"/>
          <w:rtl/>
        </w:rPr>
        <w:t>وقد ذكر في (المستصفى) -1/205-211- خمسَ طرق للخلاص عنه، ورجّح أولها وهو أن «هذا محال وقوعه، وهو كفرض إجماعهم على شيء، ثم رجوعهم بإجماع إلى خلافه! ...».</w:t>
      </w:r>
    </w:p>
    <w:p w:rsidR="00035BE3" w:rsidRDefault="00035BE3" w:rsidP="00C10469">
      <w:pPr>
        <w:pStyle w:val="a6"/>
        <w:ind w:left="281" w:firstLine="0"/>
        <w:rPr>
          <w:rtl/>
        </w:rPr>
      </w:pPr>
      <w:r>
        <w:rPr>
          <w:rFonts w:hint="cs"/>
          <w:b/>
          <w:bCs/>
          <w:rtl/>
        </w:rPr>
        <w:t>الثالثة</w:t>
      </w:r>
      <w:r>
        <w:rPr>
          <w:rFonts w:hint="cs"/>
          <w:rtl/>
        </w:rPr>
        <w:t xml:space="preserve"> : إذا اختلف أهل عصر في مسألة على قولين، واستقرّ خلافهم في ذلك، ثم أجمع أهل العصر الثاني على أحدهما : فقد اختلف العلماء في ذلك على أقوال :</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281" w:firstLine="0"/>
        <w:rPr>
          <w:rtl/>
        </w:rPr>
      </w:pPr>
      <w:r>
        <w:rPr>
          <w:rFonts w:hint="cs"/>
          <w:b/>
          <w:bCs/>
          <w:rtl/>
        </w:rPr>
        <w:t xml:space="preserve"> الأول</w:t>
      </w:r>
      <w:r>
        <w:rPr>
          <w:rFonts w:hint="cs"/>
          <w:rtl/>
        </w:rPr>
        <w:t xml:space="preserve"> : يكون إجماعًا، ويرفع الاختلاف السابق.</w:t>
      </w:r>
    </w:p>
    <w:p w:rsidR="00035BE3" w:rsidRDefault="00035BE3" w:rsidP="00C10469">
      <w:pPr>
        <w:pStyle w:val="a6"/>
        <w:ind w:left="281" w:firstLine="0"/>
        <w:rPr>
          <w:rtl/>
        </w:rPr>
      </w:pPr>
      <w:r>
        <w:rPr>
          <w:rFonts w:hint="cs"/>
          <w:rtl/>
        </w:rPr>
        <w:t>وهذا قول أكثر الحنفية - كما صرح بذلك عبد العزيز البخاري وابن الهمام والأنصاري- وممّن قال به</w:t>
      </w:r>
      <w:r>
        <w:rPr>
          <w:rFonts w:hint="eastAsia"/>
          <w:rtl/>
        </w:rPr>
        <w:t> </w:t>
      </w:r>
      <w:r>
        <w:rPr>
          <w:rFonts w:hint="cs"/>
          <w:rtl/>
        </w:rPr>
        <w:t>منهم : الكرخي والجصّاص والبزدوي والسَّرْخسي والأسمندي.</w:t>
      </w:r>
    </w:p>
    <w:p w:rsidR="00035BE3" w:rsidRDefault="00035BE3" w:rsidP="00C10469">
      <w:pPr>
        <w:pStyle w:val="a6"/>
        <w:ind w:left="281" w:firstLine="0"/>
        <w:rPr>
          <w:rtl/>
        </w:rPr>
      </w:pPr>
      <w:r>
        <w:rPr>
          <w:rFonts w:hint="cs"/>
          <w:rtl/>
        </w:rPr>
        <w:t>كما اختاره الباجي من المالكية ونسبه إلى أكثر أصحابهم، وممن اختاره منهم : القرافي وابن جزي.</w:t>
      </w:r>
    </w:p>
    <w:p w:rsidR="00035BE3" w:rsidRDefault="00035BE3" w:rsidP="00C10469">
      <w:pPr>
        <w:pStyle w:val="a6"/>
        <w:ind w:left="281" w:firstLine="0"/>
        <w:rPr>
          <w:rtl/>
        </w:rPr>
      </w:pPr>
      <w:r>
        <w:rPr>
          <w:rFonts w:hint="cs"/>
          <w:rtl/>
        </w:rPr>
        <w:t>وهو قول كثير من أصحاب الشافعي - كما صرح بذلك الآمدي - وممن قال به منهم : أبو علي ابن</w:t>
      </w:r>
      <w:r>
        <w:rPr>
          <w:rFonts w:hint="eastAsia"/>
          <w:rtl/>
        </w:rPr>
        <w:t> </w:t>
      </w:r>
      <w:r>
        <w:rPr>
          <w:rFonts w:hint="cs"/>
          <w:rtl/>
        </w:rPr>
        <w:t>خيران، وأبوبكر القفال، والرازي، والبيضاوي.</w:t>
      </w:r>
    </w:p>
    <w:p w:rsidR="00035BE3" w:rsidRDefault="00035BE3" w:rsidP="00C10469">
      <w:pPr>
        <w:pStyle w:val="a6"/>
        <w:ind w:left="281" w:firstLine="0"/>
        <w:rPr>
          <w:rtl/>
        </w:rPr>
      </w:pPr>
      <w:r>
        <w:rPr>
          <w:rFonts w:hint="cs"/>
          <w:rtl/>
        </w:rPr>
        <w:t>كما اختاره أبو الخطاب والطوفي من الحنابلة.</w:t>
      </w:r>
    </w:p>
    <w:p w:rsidR="00035BE3" w:rsidRDefault="00035BE3" w:rsidP="00C10469">
      <w:pPr>
        <w:pStyle w:val="a6"/>
        <w:ind w:left="281" w:firstLine="0"/>
        <w:rPr>
          <w:rtl/>
        </w:rPr>
      </w:pPr>
      <w:r>
        <w:rPr>
          <w:rFonts w:hint="cs"/>
          <w:rtl/>
        </w:rPr>
        <w:t>وهو قول أكثر المعتزلة، منهم القاضي عبد الجبار وأبوالحسين البصري.</w:t>
      </w:r>
    </w:p>
    <w:p w:rsidR="00035BE3" w:rsidRDefault="00035BE3" w:rsidP="00C10469">
      <w:pPr>
        <w:pStyle w:val="a6"/>
        <w:ind w:left="281" w:firstLine="0"/>
        <w:rPr>
          <w:rtl/>
        </w:rPr>
      </w:pPr>
      <w:r>
        <w:rPr>
          <w:rFonts w:hint="cs"/>
          <w:b/>
          <w:bCs/>
          <w:rtl/>
        </w:rPr>
        <w:t>الثاني</w:t>
      </w:r>
      <w:r>
        <w:rPr>
          <w:rFonts w:hint="cs"/>
          <w:rtl/>
        </w:rPr>
        <w:t xml:space="preserve"> : لا يكون إجماعًا، فلا يرفع الاختلاف السابق.</w:t>
      </w:r>
    </w:p>
    <w:p w:rsidR="00035BE3" w:rsidRDefault="00035BE3" w:rsidP="00C10469">
      <w:pPr>
        <w:pStyle w:val="a6"/>
        <w:ind w:left="281" w:firstLine="0"/>
        <w:rPr>
          <w:spacing w:val="6"/>
          <w:rtl/>
        </w:rPr>
      </w:pPr>
      <w:r>
        <w:rPr>
          <w:rFonts w:hint="cs"/>
          <w:spacing w:val="6"/>
          <w:rtl/>
        </w:rPr>
        <w:t>وهذا قول «الأكثرين من أصحاب الشافعي» - كما صرح بذلك السمعاني وذكره الشيرازي- وممّن قال به منهم: أبو بكر الصيرفي وأبو الحسن الأشعري وأبو حامد المروزي والشيرازي والجويني والسمعاني والغزالي والآمدي، كما نقل الجويني عن الإمام الشافعي أنه قال : «المذاهب لا تموت بموت أصحابها».</w:t>
      </w:r>
    </w:p>
    <w:p w:rsidR="00035BE3" w:rsidRDefault="00035BE3" w:rsidP="00C10469">
      <w:pPr>
        <w:pStyle w:val="a6"/>
        <w:ind w:left="281" w:firstLine="0"/>
        <w:rPr>
          <w:rtl/>
        </w:rPr>
      </w:pPr>
      <w:r>
        <w:rPr>
          <w:rFonts w:hint="cs"/>
          <w:rtl/>
        </w:rPr>
        <w:t>كما اختاره القاضي أبو يعلى من الحنابلة، وذكر أنه ظاهر كلام الإمام أحمد، وهو اختيار ابن قدامة.</w:t>
      </w:r>
    </w:p>
    <w:p w:rsidR="00035BE3" w:rsidRDefault="00035BE3" w:rsidP="00C10469">
      <w:pPr>
        <w:pStyle w:val="a6"/>
        <w:ind w:left="281" w:firstLine="0"/>
        <w:rPr>
          <w:rtl/>
        </w:rPr>
      </w:pPr>
      <w:r>
        <w:rPr>
          <w:rFonts w:hint="cs"/>
          <w:rtl/>
        </w:rPr>
        <w:t>كما أنه قول نفر من الحنفية وبعض المالكية.</w:t>
      </w:r>
    </w:p>
    <w:p w:rsidR="00035BE3" w:rsidRDefault="00035BE3" w:rsidP="00C10469">
      <w:pPr>
        <w:pStyle w:val="a6"/>
        <w:ind w:left="281" w:firstLine="0"/>
        <w:rPr>
          <w:rtl/>
        </w:rPr>
      </w:pPr>
      <w:r>
        <w:rPr>
          <w:rFonts w:hint="cs"/>
          <w:b/>
          <w:bCs/>
          <w:rtl/>
        </w:rPr>
        <w:t>الثالث</w:t>
      </w:r>
      <w:r>
        <w:rPr>
          <w:rFonts w:hint="cs"/>
          <w:rtl/>
        </w:rPr>
        <w:t xml:space="preserve"> : إن كان الخلاف المتقدم «خلافًا يؤثِّم فيه بعضهم بعضًا: فإن إجماع أهل العصر الثاني يُسقط الخلاف الأول، وإن كان خلافًا لا يؤثم فيه بعضهم بعضًا ... فإن إجماع مَنْ بعدَهم لا يُسقط الخلافَ المتقدَم». ذكر ذلك الجصّاص في باب الإجماع من أصوله -ص207- ولم ينسبه إلى أحد.</w:t>
      </w:r>
    </w:p>
    <w:p w:rsidR="00035BE3" w:rsidRDefault="00035BE3" w:rsidP="00C10469">
      <w:pPr>
        <w:pStyle w:val="a6"/>
        <w:ind w:left="281" w:firstLine="0"/>
        <w:rPr>
          <w:rtl/>
        </w:rPr>
      </w:pPr>
      <w:r>
        <w:rPr>
          <w:rFonts w:hint="cs"/>
          <w:rtl/>
        </w:rPr>
        <w:t>وهذه المرتبة (أي الثالثة) هي التي أنشأ المؤلف القاعدة من أجل الحديث عنها؛ بدليل أنه مثَّل لها باتفاق</w:t>
      </w:r>
      <w:r>
        <w:rPr>
          <w:rFonts w:hint="eastAsia"/>
          <w:rtl/>
        </w:rPr>
        <w:t> </w:t>
      </w:r>
      <w:r>
        <w:rPr>
          <w:rFonts w:hint="cs"/>
          <w:rtl/>
        </w:rPr>
        <w:t>التابعين على بيع أم الولد ... بعد اختلاف الصحابة في ذلك.</w:t>
      </w:r>
    </w:p>
    <w:p w:rsidR="00035BE3" w:rsidRDefault="00035BE3" w:rsidP="00C10469">
      <w:pPr>
        <w:pStyle w:val="a6"/>
        <w:ind w:left="281" w:firstLine="0"/>
        <w:rPr>
          <w:rtl/>
        </w:rPr>
      </w:pPr>
      <w:r>
        <w:rPr>
          <w:rFonts w:hint="cs"/>
          <w:rtl/>
        </w:rPr>
        <w:t>وقد ذكر الخلاف فيها بين الإمام أبي حنيفة وصاحبيه، وما ذكره يحتاج إلى تعليق، إلاّ أنه أحاله إلى كتاب (العناية)؛ لهذا سأرجئ التعليق إلى ما بعد توثيق الإحالة (وذلك ص227).</w:t>
      </w:r>
    </w:p>
    <w:p w:rsidR="00035BE3" w:rsidRDefault="00035BE3" w:rsidP="00C10469">
      <w:pPr>
        <w:pStyle w:val="a6"/>
        <w:ind w:left="281" w:firstLine="0"/>
        <w:rPr>
          <w:b/>
          <w:bCs/>
          <w:rtl/>
        </w:rPr>
      </w:pPr>
      <w:r>
        <w:rPr>
          <w:rFonts w:hint="cs"/>
          <w:b/>
          <w:bCs/>
          <w:rtl/>
        </w:rPr>
        <w:t>وللتوسع في القاعدة وما يتعلق بها انظر :</w:t>
      </w:r>
    </w:p>
    <w:p w:rsidR="00035BE3" w:rsidRDefault="00035BE3" w:rsidP="00C10469">
      <w:pPr>
        <w:pStyle w:val="a6"/>
        <w:ind w:left="281" w:firstLine="0"/>
        <w:rPr>
          <w:rStyle w:val="a7"/>
          <w:rtl/>
        </w:rPr>
      </w:pPr>
      <w:r>
        <w:rPr>
          <w:rFonts w:hint="cs"/>
          <w:rtl/>
        </w:rPr>
        <w:t xml:space="preserve">الغنية في الأصول، ص37، باب الإجماع من أصول الجصّاص، ص207؛ تقويم الأدلة، ل11/أ-ب؛ </w:t>
      </w:r>
      <w:r w:rsidRPr="009069CE">
        <w:rPr>
          <w:rFonts w:hint="cs"/>
          <w:spacing w:val="-4"/>
          <w:rtl/>
        </w:rPr>
        <w:t>المعتـمد، 2/497؛ العدة للقاضي أبي يعلى، 4/1105؛ إحكام الفصول، 2/425؛ اللمع مع شرحها:</w:t>
      </w:r>
      <w:r>
        <w:rPr>
          <w:rFonts w:hint="cs"/>
          <w:rtl/>
        </w:rPr>
        <w:t xml:space="preserve"> بهجة الوصول، ص277؛ شرح اللمع للشيرازي، 2/726؛ التبصرة، ص378؛ البرهان، 1/456، فقرة 659؛ التخليص، 3/79؛ أصول البزدوي وشرحه : كشـف الأسـرار، 3/457؛ أصـول السَّرْخَسِي،</w:t>
      </w:r>
      <w:r>
        <w:rPr>
          <w:rFonts w:hint="eastAsia"/>
          <w:rtl/>
        </w:rPr>
        <w:t> </w:t>
      </w:r>
      <w:r>
        <w:rPr>
          <w:rFonts w:hint="cs"/>
          <w:rtl/>
        </w:rPr>
        <w:t>1/319؛ قواطع الأدلة، 3/352؛ المستصفى، 1/203؛ التمهيد لأبي الخطاب، 3/297؛ بذل النظر، ص550؛ المحصول، 2/66؛ الإحكام للآمدي، 1/336؛ الحاصل من المحصول، 2/700؛ روضـة النـاظر، 2/464؛ شرح تنقيح الفصول، ص328؛ المنهاج وشرحه: الإبهاج، 2/374؛ كشف الأسرار شرح المنار، 2/186؛ الفائق، 3/265؛ شرح مختصر الروضة، 3/95؛ مجموع الفتاوي، 20/584؛ تقريب الوصول، ص331؛ المسودة، ص325؛ شرح العضد مع حاشية التفتازاني، 2/44؛ البحر المحيط، 4/528؛ التقرير والتحبير، 3/89؛ شرح الكوكب المنير، 2/272؛ تيسير التحرير، 3/232؛ شرح نور الأنوار على المنار، 2/186؛ فواتح الرحموت، 2/226؛ قمر الأقمار لنور الأنوار في شرح المنار، 2/105؛ إتحاف ذوي البصائر، 4/132؛  القواعد الأصولية المتعلقة بالأدلة للدكتور البصيلي، ص1388.</w:t>
      </w:r>
      <w:r>
        <w:rPr>
          <w:rStyle w:val="a7"/>
          <w:rFonts w:hint="cs"/>
          <w:rtl/>
        </w:rPr>
        <w:t xml:space="preserve"> </w:t>
      </w:r>
    </w:p>
  </w:footnote>
  <w:footnote w:id="509">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أبو يوسف</w:t>
      </w:r>
      <w:r>
        <w:rPr>
          <w:rFonts w:hint="cs"/>
          <w:rtl/>
        </w:rPr>
        <w:t xml:space="preserve"> : هو يعقوب بن إبراهيم بن حبيب بن خُنَيْس بن سعد بن عوف بن بحير الأنصاري، وجد جده (أي سعد) صحابي- وأمه صحابية، وهي حَبْتَـة بنت مالك وبها يشتهرهذا الصحابي-. (113هـ - 182هـ).</w:t>
      </w:r>
    </w:p>
    <w:p w:rsidR="00035BE3" w:rsidRDefault="00035BE3" w:rsidP="00C10469">
      <w:pPr>
        <w:pStyle w:val="a6"/>
        <w:ind w:left="281" w:firstLine="0"/>
        <w:rPr>
          <w:rtl/>
        </w:rPr>
      </w:pPr>
      <w:r>
        <w:rPr>
          <w:rFonts w:hint="cs"/>
          <w:rtl/>
        </w:rPr>
        <w:t>وهو صاحب أبي حنيفة وناشر مذهبه الأول، وهو أكثر تلاميذه ملازمة له. يقول عن نفسه : «اختلفت</w:t>
      </w:r>
      <w:r>
        <w:rPr>
          <w:rFonts w:hint="eastAsia"/>
          <w:rtl/>
        </w:rPr>
        <w:t> </w:t>
      </w:r>
      <w:r>
        <w:rPr>
          <w:rFonts w:hint="cs"/>
          <w:rtl/>
        </w:rPr>
        <w:t>إلى أبي حنيفة تسعًا وعشرين سنة ما فاتتني صلاة الغداة».</w:t>
      </w:r>
    </w:p>
    <w:p w:rsidR="00035BE3" w:rsidRDefault="00035BE3" w:rsidP="00C10469">
      <w:pPr>
        <w:pStyle w:val="a6"/>
        <w:ind w:left="281" w:firstLine="0"/>
        <w:rPr>
          <w:rtl/>
        </w:rPr>
      </w:pPr>
      <w:r>
        <w:rPr>
          <w:rFonts w:hint="cs"/>
          <w:rtl/>
        </w:rPr>
        <w:t>وقد عدَّه اللكنوي من المجتهدين المنتسبين.</w:t>
      </w:r>
    </w:p>
    <w:p w:rsidR="00035BE3" w:rsidRDefault="00035BE3" w:rsidP="00C10469">
      <w:pPr>
        <w:pStyle w:val="a6"/>
        <w:ind w:left="281" w:firstLine="0"/>
        <w:rPr>
          <w:rtl/>
        </w:rPr>
      </w:pPr>
      <w:r>
        <w:rPr>
          <w:rFonts w:hint="cs"/>
          <w:rtl/>
        </w:rPr>
        <w:t>وكما اشتهر بالفقه اشتهر بالحديث أيضًا. قال عنه ابن معين: «ما رأيت في أصحاب الرأي أثبت في الحديث ولا أحفظ ولا أصح رواية من أبي يوسف».</w:t>
      </w:r>
    </w:p>
    <w:p w:rsidR="00035BE3" w:rsidRDefault="00035BE3" w:rsidP="00C10469">
      <w:pPr>
        <w:pStyle w:val="a6"/>
        <w:ind w:left="281" w:firstLine="0"/>
        <w:rPr>
          <w:rtl/>
        </w:rPr>
      </w:pPr>
      <w:r>
        <w:rPr>
          <w:rFonts w:hint="cs"/>
          <w:rtl/>
        </w:rPr>
        <w:t>ومن آثاره : مسنده، وأدب القاضي، والأمالي، والخراج، والمبسوط، والجوامع.</w:t>
      </w:r>
    </w:p>
    <w:p w:rsidR="00035BE3" w:rsidRDefault="00035BE3" w:rsidP="00C10469">
      <w:pPr>
        <w:pStyle w:val="a6"/>
        <w:ind w:left="281" w:firstLine="0"/>
        <w:rPr>
          <w:rtl/>
        </w:rPr>
      </w:pPr>
      <w:r>
        <w:rPr>
          <w:rFonts w:hint="cs"/>
          <w:rtl/>
        </w:rPr>
        <w:t>انظر : أخبار أبي حنيفة وأصحابه للصيمري، ص 97-108؛ الجواهر المضية، 3/611-613، رقم 1825؛ تاج التراجـم، ص282-283، رقم 315؛ مفتـاح السعادة، 2/211-217؛ كشـف الظنون، 1/46، 164، 2/1415، 1581، 1680؛ الفوائد البهية، ص225؛ مقدمة النافع الكبير، ص37-38؛ هدية العارفين، 2/536.</w:t>
      </w:r>
    </w:p>
  </w:footnote>
  <w:footnote w:id="510">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محمد:</w:t>
      </w:r>
      <w:r>
        <w:rPr>
          <w:rFonts w:hint="cs"/>
          <w:rtl/>
        </w:rPr>
        <w:t xml:space="preserve"> هو محمد بن الحسن بن فَرْقَد، أبو عبد الله الشيباني صاحب أبي حنيفة (135هـ - 189هـ).</w:t>
      </w:r>
    </w:p>
    <w:p w:rsidR="00035BE3" w:rsidRDefault="00035BE3" w:rsidP="00C10469">
      <w:pPr>
        <w:pStyle w:val="a6"/>
        <w:ind w:left="281" w:firstLine="0"/>
        <w:rPr>
          <w:rtl/>
        </w:rPr>
      </w:pPr>
      <w:r>
        <w:rPr>
          <w:rFonts w:hint="cs"/>
          <w:rtl/>
        </w:rPr>
        <w:t>وقد برع في الفقه حتى عدّه اللكنوي وغيره من المجتهدين المنتسبين.</w:t>
      </w:r>
    </w:p>
    <w:p w:rsidR="00035BE3" w:rsidRDefault="00035BE3" w:rsidP="00C10469">
      <w:pPr>
        <w:pStyle w:val="a6"/>
        <w:ind w:left="281" w:firstLine="0"/>
        <w:rPr>
          <w:rtl/>
        </w:rPr>
      </w:pPr>
      <w:r>
        <w:rPr>
          <w:rFonts w:hint="cs"/>
          <w:spacing w:val="-6"/>
          <w:rtl/>
        </w:rPr>
        <w:t>كما خلّف تركة ضخمة من الكتب، كان لها أثرٌ كبير في جمع شتات مذهب الإمام أبي حنيفة ونشره. ومن أشهرها</w:t>
      </w:r>
      <w:r w:rsidRPr="005D73D5">
        <w:rPr>
          <w:rFonts w:hint="cs"/>
          <w:spacing w:val="-6"/>
          <w:rtl/>
        </w:rPr>
        <w:t>: كُتُبُ ظاهرِ الروايةِ الستّةِ التي تعدّ أساس المذهب الحنـفي، وهـي (المبسوط) ويسمى (بالأصل)؛</w:t>
      </w:r>
      <w:r>
        <w:rPr>
          <w:rFonts w:hint="cs"/>
          <w:rtl/>
        </w:rPr>
        <w:t xml:space="preserve">  لأنه صنّفه أولاً، ثم صنّف (الجامع الصغير)، ثم (الجامع الكبير)، ثم (الزيادات)، وقد ألفه بعد (الجامع) استدراكاً لما فاته فيه من المسائل. وله (السير الصغير)، و(السير الكبير).</w:t>
      </w:r>
    </w:p>
    <w:p w:rsidR="00035BE3" w:rsidRDefault="00035BE3" w:rsidP="00C10469">
      <w:pPr>
        <w:pStyle w:val="a6"/>
        <w:ind w:left="281" w:firstLine="0"/>
        <w:rPr>
          <w:rtl/>
        </w:rPr>
      </w:pPr>
      <w:r>
        <w:rPr>
          <w:rFonts w:hint="cs"/>
          <w:rtl/>
        </w:rPr>
        <w:t>وسبب تأليفه (للسير الكبير) أن الأوزاعي عندما وقع في يده (السير الصغير) قال : «وما لأهل العراق والتصنيف في هذا الباب، فإنه لا علم لهم بالسِّير»؛ فصنَّف محمد هذا الكتاب. وهو آخر تصنيف له.</w:t>
      </w:r>
    </w:p>
    <w:p w:rsidR="00035BE3" w:rsidRDefault="00035BE3" w:rsidP="00C10469">
      <w:pPr>
        <w:pStyle w:val="a6"/>
        <w:ind w:left="281" w:firstLine="0"/>
        <w:rPr>
          <w:rtl/>
        </w:rPr>
      </w:pPr>
      <w:r>
        <w:rPr>
          <w:rFonts w:hint="cs"/>
          <w:rtl/>
        </w:rPr>
        <w:t>وقد قام الحاكم الشهيد بجمع هذه الكتب الستة في كتابه: (الكافي) وحذف المكرر فيها.</w:t>
      </w:r>
    </w:p>
    <w:p w:rsidR="00035BE3" w:rsidRDefault="00035BE3" w:rsidP="00C10469">
      <w:pPr>
        <w:pStyle w:val="a6"/>
        <w:ind w:left="281" w:firstLine="0"/>
        <w:rPr>
          <w:rtl/>
        </w:rPr>
      </w:pPr>
      <w:r>
        <w:rPr>
          <w:rFonts w:hint="cs"/>
          <w:rtl/>
        </w:rPr>
        <w:t>ولمحمد كتابان أخران لا يقلان عن هذه الكتب وهما (الحجة على أهل المدينة) و(الآثار).</w:t>
      </w:r>
    </w:p>
    <w:p w:rsidR="00035BE3" w:rsidRDefault="00035BE3" w:rsidP="00C10469">
      <w:pPr>
        <w:pStyle w:val="a6"/>
        <w:ind w:left="281" w:firstLine="0"/>
        <w:rPr>
          <w:rtl/>
        </w:rPr>
      </w:pPr>
      <w:r>
        <w:rPr>
          <w:rFonts w:hint="cs"/>
          <w:rtl/>
        </w:rPr>
        <w:t>ومن كتبه الأخر : الكيسانيات والهارونيات والجرجانيات والرقيات وزيادة الزيادات. ويقال لهذه الكتب: «غير ظاهر الرواية»؛ لأنها لم تُروَ عن محمد بروايات ظاهرة.</w:t>
      </w:r>
    </w:p>
    <w:p w:rsidR="00035BE3" w:rsidRDefault="00035BE3" w:rsidP="00C10469">
      <w:pPr>
        <w:pStyle w:val="a6"/>
        <w:ind w:left="281" w:firstLine="0"/>
        <w:rPr>
          <w:rtl/>
        </w:rPr>
      </w:pPr>
      <w:r>
        <w:rPr>
          <w:rFonts w:hint="cs"/>
          <w:rtl/>
        </w:rPr>
        <w:t xml:space="preserve">انظر : شرح كتاب السير الكبير، 1/1، 3؛ المبسوط للسرخسي، 1/3؛ الجواهر المضيّة، 3/112-127، رقم 1270؛ تاج التراجم، ص187-189، رقم 206؛ مفتاح السعادة، 2/217؛ كشف الظنون، 1/15، 107، 561-564، 567-570، 2/962، 1014، 1282، 1283، 1384، 1581، 1669؛ مقدمة ردّ المحتار، 1/170؛ مقدمة المحققين له، 1/39-40؛ مقدمة النافع الكبير شرح الجامع الصغير، ص13-18، 34-37؛ الفوائد البهية، ص163؛ إيضاح المكنون، 1/115؛ هدية العارفين، 2/8؛ الأعلام، 6/80؛ معجم المؤلفين، 3/229. </w:t>
      </w:r>
    </w:p>
  </w:footnote>
  <w:footnote w:id="511">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المدبَّر في اللغة</w:t>
      </w:r>
      <w:r>
        <w:rPr>
          <w:rFonts w:hint="cs"/>
          <w:rtl/>
        </w:rPr>
        <w:t xml:space="preserve"> : اسم مفعول من «دبّر» وهو من وقع عليه التدبير.</w:t>
      </w:r>
    </w:p>
    <w:p w:rsidR="00035BE3" w:rsidRDefault="00035BE3" w:rsidP="00C10469">
      <w:pPr>
        <w:pStyle w:val="a6"/>
        <w:spacing w:line="500" w:lineRule="exact"/>
        <w:ind w:left="281" w:firstLine="0"/>
        <w:rPr>
          <w:rtl/>
        </w:rPr>
      </w:pPr>
      <w:r>
        <w:rPr>
          <w:rFonts w:hint="cs"/>
          <w:rtl/>
        </w:rPr>
        <w:t>ومادة هذه الكلمة هي : «دَبَرَ» ولها أصل واحد «وهو آخر الشيء وخلفه، خلاف قُبُلِهِ ..». كما أفاده ابن فارس.</w:t>
      </w:r>
    </w:p>
    <w:p w:rsidR="00035BE3" w:rsidRDefault="00035BE3" w:rsidP="00C10469">
      <w:pPr>
        <w:pStyle w:val="a6"/>
        <w:spacing w:line="500" w:lineRule="exact"/>
        <w:ind w:left="281" w:firstLine="0"/>
        <w:rPr>
          <w:rtl/>
        </w:rPr>
      </w:pPr>
      <w:r>
        <w:rPr>
          <w:rFonts w:hint="cs"/>
          <w:rtl/>
        </w:rPr>
        <w:t>وفي الاصطلاح : عرفه النسفي بأنه : «الذي أُعتق عن دبرٍ. أي بعد موت المولى».</w:t>
      </w:r>
    </w:p>
    <w:p w:rsidR="00035BE3" w:rsidRDefault="00035BE3" w:rsidP="00C10469">
      <w:pPr>
        <w:pStyle w:val="a6"/>
        <w:spacing w:line="500" w:lineRule="exact"/>
        <w:ind w:left="281" w:firstLine="0"/>
        <w:rPr>
          <w:rtl/>
        </w:rPr>
      </w:pPr>
      <w:r>
        <w:rPr>
          <w:rFonts w:hint="cs"/>
          <w:b/>
          <w:bCs/>
          <w:rtl/>
        </w:rPr>
        <w:t>والتدبير نوعان</w:t>
      </w:r>
      <w:r>
        <w:rPr>
          <w:rFonts w:hint="cs"/>
          <w:rtl/>
        </w:rPr>
        <w:t xml:space="preserve"> : مطلق ومقيد:</w:t>
      </w:r>
    </w:p>
    <w:p w:rsidR="00035BE3" w:rsidRDefault="00035BE3" w:rsidP="00C10469">
      <w:pPr>
        <w:pStyle w:val="a6"/>
        <w:spacing w:line="500" w:lineRule="exact"/>
        <w:ind w:left="281" w:firstLine="0"/>
        <w:rPr>
          <w:rtl/>
        </w:rPr>
      </w:pPr>
      <w:r>
        <w:rPr>
          <w:rFonts w:hint="cs"/>
          <w:b/>
          <w:bCs/>
          <w:rtl/>
        </w:rPr>
        <w:t>فالمطلق</w:t>
      </w:r>
      <w:r>
        <w:rPr>
          <w:rFonts w:hint="cs"/>
          <w:rtl/>
        </w:rPr>
        <w:t xml:space="preserve"> : هو أن يعلق الرجل عتق عبده بموته مطلقًا كأن يقول : أنت مدبّر أو حرّ بعد موتي.</w:t>
      </w:r>
    </w:p>
    <w:p w:rsidR="00035BE3" w:rsidRDefault="00035BE3" w:rsidP="00C10469">
      <w:pPr>
        <w:pStyle w:val="a6"/>
        <w:spacing w:line="500" w:lineRule="exact"/>
        <w:ind w:left="281" w:firstLine="0"/>
        <w:rPr>
          <w:rtl/>
        </w:rPr>
      </w:pPr>
      <w:r>
        <w:rPr>
          <w:rFonts w:hint="cs"/>
          <w:b/>
          <w:bCs/>
          <w:rtl/>
        </w:rPr>
        <w:t>أما المقيد</w:t>
      </w:r>
      <w:r>
        <w:rPr>
          <w:rFonts w:hint="cs"/>
          <w:rtl/>
        </w:rPr>
        <w:t xml:space="preserve"> : فهو أن يعلقَّه بموتٍ مقَيَّد، مثل : إن متُّ في مرضي هذا فأنت حرّ.</w:t>
      </w:r>
    </w:p>
    <w:p w:rsidR="00035BE3" w:rsidRDefault="00035BE3" w:rsidP="00C10469">
      <w:pPr>
        <w:pStyle w:val="a6"/>
        <w:spacing w:line="500" w:lineRule="exact"/>
        <w:ind w:left="-3"/>
        <w:rPr>
          <w:rtl/>
        </w:rPr>
      </w:pPr>
      <w:r>
        <w:rPr>
          <w:rFonts w:hint="cs"/>
          <w:rtl/>
        </w:rPr>
        <w:t>المقاييس في اللغة، مادة «دبر»، ص374؛ وانظر: القاموس المحيط، مادة «دبر»، ص498-499.</w:t>
      </w:r>
    </w:p>
    <w:p w:rsidR="00035BE3" w:rsidRDefault="00035BE3" w:rsidP="00C10469">
      <w:pPr>
        <w:pStyle w:val="a6"/>
        <w:spacing w:line="500" w:lineRule="exact"/>
        <w:ind w:left="-3"/>
      </w:pPr>
      <w:r>
        <w:rPr>
          <w:rFonts w:hint="cs"/>
          <w:rtl/>
        </w:rPr>
        <w:t>- طلبة الطلبة في الاصطلاحات الفقهية للنسفي، ص107، 161.</w:t>
      </w:r>
    </w:p>
    <w:p w:rsidR="00035BE3" w:rsidRDefault="00035BE3" w:rsidP="00C10469">
      <w:pPr>
        <w:pStyle w:val="a6"/>
        <w:spacing w:line="500" w:lineRule="exact"/>
        <w:ind w:left="281" w:firstLine="0"/>
        <w:rPr>
          <w:rtl/>
        </w:rPr>
      </w:pPr>
      <w:r>
        <w:rPr>
          <w:rFonts w:hint="cs"/>
          <w:spacing w:val="-2"/>
          <w:rtl/>
        </w:rPr>
        <w:t>وانظر: تحفة الفقهاء، 2/277؛ بدائع الصنائع، 4/112؛ التعريفات، ص265؛ الدر النقي، 3/823</w:t>
      </w:r>
      <w:r>
        <w:rPr>
          <w:rFonts w:hint="cs"/>
          <w:rtl/>
        </w:rPr>
        <w:t xml:space="preserve">-824؛ قواعد الفقه لعميم الإحسان المجدّدي (الرسالة الرابعة : التعريفات الفقهية)، ص474.           </w:t>
      </w:r>
    </w:p>
  </w:footnote>
  <w:footnote w:id="512">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أم الولد</w:t>
      </w:r>
      <w:r>
        <w:rPr>
          <w:rFonts w:hint="cs"/>
          <w:rtl/>
        </w:rPr>
        <w:t xml:space="preserve"> : عرّفها صاحب (تحفة الفقهاء) -2/273 - بأنها : «كل مملوكة ثبت نسب ولد لها من مالكٍ لها، أو مِنْ مالكٍ لبعضها».</w:t>
      </w:r>
    </w:p>
    <w:p w:rsidR="00035BE3" w:rsidRDefault="00035BE3" w:rsidP="00C10469">
      <w:pPr>
        <w:pStyle w:val="a6"/>
        <w:ind w:left="281" w:firstLine="0"/>
        <w:rPr>
          <w:rtl/>
        </w:rPr>
      </w:pPr>
      <w:r>
        <w:rPr>
          <w:rFonts w:hint="cs"/>
          <w:rtl/>
        </w:rPr>
        <w:t xml:space="preserve">وانظر تعريفات أخرى لها في : الشرح الكبير للدردير مع حاشية الدسوقي عليه، 4/407؛ روضـة الطـالبـين، 8/550؛ المغني لابن قدامة، 14/580. </w:t>
      </w:r>
    </w:p>
  </w:footnote>
  <w:footnote w:id="513">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نهاية 2/ب من (جـ).</w:t>
      </w:r>
    </w:p>
  </w:footnote>
  <w:footnote w:id="514">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(ب) و(د) : «فنفوذ».</w:t>
      </w:r>
    </w:p>
  </w:footnote>
  <w:footnote w:id="515">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«أن» : ساقطة من  (جـ).</w:t>
      </w:r>
    </w:p>
  </w:footnote>
  <w:footnote w:id="516">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(أ) و(جـ) و(د) : «اختلاف». والصحيح ما تمّ إثباته من (ب).</w:t>
      </w:r>
    </w:p>
  </w:footnote>
  <w:footnote w:id="517">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(أ) : «ويبقى»، وفي (د) : «وبقي».  والأفصح ما تمّ إثباته من (ب) و(جـ) و(هـ).</w:t>
      </w:r>
    </w:p>
  </w:footnote>
  <w:footnote w:id="518">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نهاية 3/أ من (د).</w:t>
      </w:r>
    </w:p>
  </w:footnote>
  <w:footnote w:id="519">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نهاية 3/أ من (أ).</w:t>
      </w:r>
    </w:p>
  </w:footnote>
  <w:footnote w:id="520">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ونص </w:t>
      </w:r>
      <w:r w:rsidRPr="008E7F8F">
        <w:rPr>
          <w:rFonts w:hint="cs"/>
          <w:spacing w:val="-2"/>
          <w:rtl/>
        </w:rPr>
        <w:t xml:space="preserve">عبارة (العناية) - 6/457-458-: « ... فإن البيع في عبد الغير موقوف على إجازته [أي </w:t>
      </w:r>
      <w:r>
        <w:rPr>
          <w:rFonts w:hint="cs"/>
          <w:rtl/>
        </w:rPr>
        <w:t>إجازة الغير وهو السيّد]، وفي المكاتب على رضاه في أصحِّ الروايتين، وفي المدبر على قضاء القاضي، وكذا إذا قضى القاضي بجواز بيع أم الولد نفذ عند أبي حنيفة وأبي يوسف رحمهما الله.</w:t>
      </w:r>
    </w:p>
    <w:p w:rsidR="00035BE3" w:rsidRDefault="00035BE3" w:rsidP="00C10469">
      <w:pPr>
        <w:pStyle w:val="a6"/>
        <w:ind w:left="281" w:firstLine="0"/>
        <w:rPr>
          <w:spacing w:val="4"/>
          <w:rtl/>
        </w:rPr>
      </w:pPr>
      <w:r>
        <w:rPr>
          <w:rFonts w:hint="cs"/>
          <w:spacing w:val="4"/>
          <w:rtl/>
        </w:rPr>
        <w:t>خلافًا لمحمد، بناء على أن الإجماع اللاحق يرفع الاختلاف السابق عنده، فيكون القضاء على خلاف الإجماع فلا ينفذ.</w:t>
      </w:r>
    </w:p>
    <w:p w:rsidR="00035BE3" w:rsidRDefault="00035BE3" w:rsidP="00C10469">
      <w:pPr>
        <w:pStyle w:val="a6"/>
        <w:ind w:left="281" w:firstLine="0"/>
        <w:rPr>
          <w:rtl/>
        </w:rPr>
      </w:pPr>
      <w:r>
        <w:rPr>
          <w:rFonts w:hint="cs"/>
          <w:rtl/>
        </w:rPr>
        <w:t>وعندهما لا يرفع، فيكون القضاء في فصل مجتهد فيه فينفذ.</w:t>
      </w:r>
    </w:p>
    <w:p w:rsidR="00035BE3" w:rsidRDefault="00035BE3" w:rsidP="00C10469">
      <w:pPr>
        <w:pStyle w:val="a6"/>
        <w:ind w:left="281" w:firstLine="0"/>
        <w:rPr>
          <w:rtl/>
        </w:rPr>
      </w:pPr>
      <w:r>
        <w:rPr>
          <w:rFonts w:hint="cs"/>
          <w:rtl/>
        </w:rPr>
        <w:t>فقد عُرِف ذلك في أصول الفقه».</w:t>
      </w:r>
    </w:p>
    <w:p w:rsidR="00035BE3" w:rsidRDefault="00035BE3" w:rsidP="00C10469">
      <w:pPr>
        <w:pStyle w:val="a6"/>
        <w:ind w:left="281" w:firstLine="0"/>
        <w:rPr>
          <w:rtl/>
        </w:rPr>
      </w:pPr>
      <w:r>
        <w:rPr>
          <w:rFonts w:hint="cs"/>
          <w:rtl/>
        </w:rPr>
        <w:t xml:space="preserve">وبالمقارنة بين عبارة المؤلف وهذه العبارة يُلحظ أن هناك أمرين يحتاجان إلى تعليق :                 </w:t>
      </w:r>
    </w:p>
    <w:p w:rsidR="00035BE3" w:rsidRDefault="00035BE3" w:rsidP="00C10469">
      <w:pPr>
        <w:pStyle w:val="a6"/>
        <w:ind w:left="281" w:firstLine="0"/>
        <w:rPr>
          <w:rtl/>
        </w:rPr>
      </w:pPr>
      <w:r>
        <w:rPr>
          <w:rFonts w:hint="cs"/>
          <w:b/>
          <w:bCs/>
          <w:rtl/>
        </w:rPr>
        <w:t xml:space="preserve"> الأول</w:t>
      </w:r>
      <w:r>
        <w:rPr>
          <w:rFonts w:hint="cs"/>
          <w:rtl/>
        </w:rPr>
        <w:t xml:space="preserve"> : أن صاحب (العناية) عطف المدبّر والمكاتب على عبد غيره بقوله فيهما : «وفي» ثم عطف عليهم أم الولد، إلاّ أنه خصها بزيادة لفظ «كذا»، وأنشأ لها جملة تامة المعنى بحيث يمكن أن تستقلّ عمّا قبلها وذلك بقوله : «وكذا إذا قضى القاضي بجواز بيع أم الولد نفذ عند أبي حنيفة وأبي يوسف، خلافًا لمحمد؛ بناءً على أن الإجماع اللاحق يرفع الاختلاف السابق ... ».</w:t>
      </w:r>
    </w:p>
    <w:p w:rsidR="00035BE3" w:rsidRDefault="00035BE3" w:rsidP="00C10469">
      <w:pPr>
        <w:pStyle w:val="a6"/>
        <w:ind w:left="281" w:firstLine="0"/>
        <w:rPr>
          <w:rtl/>
        </w:rPr>
      </w:pPr>
      <w:r>
        <w:rPr>
          <w:rFonts w:hint="cs"/>
          <w:rtl/>
        </w:rPr>
        <w:t>ويفهم من هذا أن التفصيل الوارد بعد قوله: «وكذا» خاصٌ بأم الولد دون المدبر والمكاتب وعبد غيره.</w:t>
      </w:r>
      <w:r>
        <w:rPr>
          <w:rFonts w:hint="eastAsia"/>
          <w:rtl/>
        </w:rPr>
        <w:t> </w:t>
      </w:r>
      <w:r>
        <w:rPr>
          <w:rFonts w:hint="cs"/>
          <w:rtl/>
        </w:rPr>
        <w:t>أي: أن الإجماع اللاحق حاصل في عدم جواز بيع أم الولد دون تطّرقٍ للمدبّر أو غيره.</w:t>
      </w:r>
    </w:p>
    <w:p w:rsidR="00035BE3" w:rsidRDefault="00035BE3" w:rsidP="00C10469">
      <w:pPr>
        <w:pStyle w:val="a6"/>
        <w:ind w:left="281" w:firstLine="0"/>
        <w:rPr>
          <w:spacing w:val="10"/>
          <w:rtl/>
        </w:rPr>
      </w:pPr>
      <w:r>
        <w:rPr>
          <w:rFonts w:hint="cs"/>
          <w:spacing w:val="10"/>
          <w:rtl/>
        </w:rPr>
        <w:t>أما المؤلف فقد دمج بين أم الولد والمدبر؛ بل أدرج في عبارته كلامًا توضيحيًّا ليس له ذكر في (العناية)، وهو ما يتعلق باختلاف الصحابة في بيع المدبر وأم الولد واتفاق التابعين على عدم جواز بـيعهما !!.</w:t>
      </w:r>
    </w:p>
    <w:p w:rsidR="00035BE3" w:rsidRDefault="00035BE3" w:rsidP="00C10469">
      <w:pPr>
        <w:pStyle w:val="a6"/>
        <w:ind w:left="281" w:firstLine="0"/>
        <w:rPr>
          <w:rtl/>
        </w:rPr>
      </w:pPr>
      <w:r>
        <w:rPr>
          <w:rFonts w:hint="cs"/>
          <w:rtl/>
        </w:rPr>
        <w:t>ولا إشكال فيما حكاه من الإجماع على عدم جواز بيع أم الولد، وإنما الإشكال في تشريك المدبر لها في</w:t>
      </w:r>
      <w:r>
        <w:rPr>
          <w:rFonts w:hint="eastAsia"/>
          <w:rtl/>
        </w:rPr>
        <w:t> </w:t>
      </w:r>
      <w:r>
        <w:rPr>
          <w:rFonts w:hint="cs"/>
          <w:rtl/>
        </w:rPr>
        <w:t>ذلك الإجماع !!.</w:t>
      </w:r>
    </w:p>
    <w:p w:rsidR="00035BE3" w:rsidRDefault="00035BE3" w:rsidP="00C10469">
      <w:pPr>
        <w:pStyle w:val="a6"/>
        <w:ind w:left="281" w:firstLine="0"/>
        <w:rPr>
          <w:rtl/>
        </w:rPr>
      </w:pPr>
      <w:r>
        <w:rPr>
          <w:rFonts w:hint="cs"/>
          <w:rtl/>
        </w:rPr>
        <w:t>ولبيان ذلك يقال :</w:t>
      </w:r>
    </w:p>
    <w:p w:rsidR="00035BE3" w:rsidRDefault="00035BE3" w:rsidP="00C10469">
      <w:pPr>
        <w:pStyle w:val="a6"/>
        <w:ind w:left="281" w:firstLine="0"/>
        <w:rPr>
          <w:b/>
          <w:bCs/>
          <w:rtl/>
        </w:rPr>
      </w:pPr>
      <w:r>
        <w:rPr>
          <w:rFonts w:hint="cs"/>
          <w:b/>
          <w:bCs/>
          <w:rtl/>
        </w:rPr>
        <w:t>اختلف الصحابة في حكم بيع أم الولد :</w:t>
      </w:r>
    </w:p>
    <w:p w:rsidR="00035BE3" w:rsidRDefault="00035BE3" w:rsidP="00C10469">
      <w:pPr>
        <w:pStyle w:val="a6"/>
        <w:ind w:left="281" w:firstLine="0"/>
      </w:pPr>
      <w:r>
        <w:rPr>
          <w:b/>
          <w:bCs/>
          <w:rtl/>
          <w:lang w:val="en-US"/>
        </w:rPr>
        <w:t>•</w:t>
      </w:r>
      <w:r>
        <w:rPr>
          <w:rFonts w:hint="cs"/>
          <w:b/>
          <w:bCs/>
          <w:rtl/>
          <w:lang w:val="en-US"/>
        </w:rPr>
        <w:t xml:space="preserve"> </w:t>
      </w:r>
      <w:r>
        <w:rPr>
          <w:rFonts w:hint="cs"/>
          <w:rtl/>
        </w:rPr>
        <w:t>فذهب عمر وعثمان وعلي -في قوله الأول - وعائشة: إلى أنه لا يجوز بيعها.</w:t>
      </w:r>
    </w:p>
    <w:p w:rsidR="00035BE3" w:rsidRDefault="00035BE3" w:rsidP="00C10469">
      <w:pPr>
        <w:pStyle w:val="a6"/>
        <w:ind w:left="281" w:firstLine="0"/>
      </w:pPr>
      <w:r>
        <w:rPr>
          <w:b/>
          <w:bCs/>
          <w:rtl/>
          <w:lang w:val="en-US"/>
        </w:rPr>
        <w:t>•</w:t>
      </w:r>
      <w:r>
        <w:rPr>
          <w:rFonts w:hint="cs"/>
          <w:b/>
          <w:bCs/>
          <w:rtl/>
          <w:lang w:val="en-US"/>
        </w:rPr>
        <w:t xml:space="preserve"> </w:t>
      </w:r>
      <w:r>
        <w:rPr>
          <w:rFonts w:hint="cs"/>
          <w:rtl/>
        </w:rPr>
        <w:t>وذهب أبو بكر وعلي -في القول الذي رجع إليه- وابن عباس وابن الزبير وعبد الله بن قيس وأبو</w:t>
      </w:r>
      <w:r>
        <w:rPr>
          <w:rFonts w:hint="eastAsia"/>
          <w:rtl/>
        </w:rPr>
        <w:t> </w:t>
      </w:r>
      <w:r>
        <w:rPr>
          <w:rFonts w:hint="cs"/>
          <w:rtl/>
        </w:rPr>
        <w:t>موسى الأشعري وجابر بن عبد الله وأبو سعيد الخدري - ذهبوا إلى جواز بيعها.</w:t>
      </w:r>
    </w:p>
    <w:p w:rsidR="00035BE3" w:rsidRDefault="00035BE3" w:rsidP="00C10469">
      <w:pPr>
        <w:pStyle w:val="a6"/>
        <w:ind w:left="281" w:firstLine="0"/>
        <w:rPr>
          <w:rtl/>
        </w:rPr>
      </w:pPr>
      <w:r>
        <w:rPr>
          <w:rFonts w:hint="cs"/>
          <w:rtl/>
        </w:rPr>
        <w:t>وقد ساق العلماء عددًا من الآثار المسندة في هذا، منها ما يأتي :</w:t>
      </w:r>
    </w:p>
    <w:p w:rsidR="00035BE3" w:rsidRDefault="00035BE3" w:rsidP="00C10469">
      <w:pPr>
        <w:pStyle w:val="a6"/>
        <w:ind w:left="281" w:firstLine="0"/>
      </w:pPr>
      <w:r>
        <w:rPr>
          <w:rFonts w:hint="cs"/>
          <w:b/>
          <w:bCs/>
          <w:rtl/>
        </w:rPr>
        <w:t>1-</w:t>
      </w:r>
      <w:r>
        <w:rPr>
          <w:rFonts w:hint="cs"/>
          <w:rtl/>
        </w:rPr>
        <w:t xml:space="preserve"> عن عمر بن الخطاب </w:t>
      </w:r>
      <w:r>
        <w:rPr>
          <w:rFonts w:ascii="AGA Arabesque" w:hAnsi="AGA Arabesque"/>
          <w:sz w:val="36"/>
          <w:szCs w:val="36"/>
        </w:rPr>
        <w:t></w:t>
      </w:r>
      <w:r>
        <w:rPr>
          <w:rFonts w:hint="cs"/>
          <w:rtl/>
        </w:rPr>
        <w:t xml:space="preserve"> أنه قال: «أيما وليدة ولدت من سيدها فإنه لا يبيعُها ولا يهبها ولا يورِّثها.</w:t>
      </w:r>
      <w:r>
        <w:rPr>
          <w:rFonts w:hint="eastAsia"/>
          <w:rtl/>
        </w:rPr>
        <w:t> </w:t>
      </w:r>
      <w:r>
        <w:rPr>
          <w:rFonts w:hint="cs"/>
          <w:rtl/>
        </w:rPr>
        <w:t>وهو يستمتع بها. فإذا مات فهي حرّة».</w:t>
      </w:r>
    </w:p>
    <w:p w:rsidR="00035BE3" w:rsidRDefault="00035BE3" w:rsidP="00C10469">
      <w:pPr>
        <w:pStyle w:val="a6"/>
        <w:ind w:left="281" w:firstLine="0"/>
        <w:rPr>
          <w:spacing w:val="-4"/>
          <w:rtl/>
        </w:rPr>
      </w:pPr>
      <w:r>
        <w:rPr>
          <w:rFonts w:hint="cs"/>
          <w:spacing w:val="-4"/>
          <w:rtl/>
        </w:rPr>
        <w:t>أخرجه الإمام مالك بهذا اللفظ، كتاب العتق والولاء، باب عتق أمهات الأولاد وجامع القضاء في العتاقة، 2/776 ح1466؛ والبيهقي في سننه الكبرى بمثله، كتاب عتق أمهات الأولاد، باب الرجل يطأ أمته بالملك، فتلد منه، 10/342؛ وعبد الرزاق في مصنفه بنحوه، باب بيع أمهات الأولاد، 7/292، ح  13225؛ وابن أبي شيبة في مصنفه بنحوه، كتاب البيوع والأقضية، باب بيع أمهات الأولاد، 6/437.</w:t>
      </w:r>
    </w:p>
    <w:p w:rsidR="00035BE3" w:rsidRDefault="00035BE3" w:rsidP="00C10469">
      <w:pPr>
        <w:pStyle w:val="a6"/>
        <w:tabs>
          <w:tab w:val="left" w:pos="7935"/>
        </w:tabs>
        <w:ind w:left="281" w:hanging="284"/>
        <w:rPr>
          <w:rtl/>
        </w:rPr>
      </w:pPr>
      <w:r>
        <w:rPr>
          <w:rFonts w:hint="cs"/>
          <w:b/>
          <w:bCs/>
          <w:rtl/>
        </w:rPr>
        <w:tab/>
        <w:t>2-</w:t>
      </w:r>
      <w:r>
        <w:rPr>
          <w:rFonts w:hint="cs"/>
          <w:rtl/>
        </w:rPr>
        <w:t xml:space="preserve"> عن علي </w:t>
      </w:r>
      <w:r>
        <w:rPr>
          <w:rFonts w:ascii="AGA Arabesque" w:hAnsi="AGA Arabesque"/>
          <w:sz w:val="36"/>
          <w:szCs w:val="36"/>
        </w:rPr>
        <w:t></w:t>
      </w:r>
      <w:r>
        <w:rPr>
          <w:rFonts w:hint="cs"/>
          <w:rtl/>
        </w:rPr>
        <w:t xml:space="preserve"> أنه قال : «استشارني عمر في بيع أمهات الأولاد فرأيت أنا وهو: «إذا ولدت أُعتقت»،</w:t>
      </w:r>
      <w:r>
        <w:rPr>
          <w:rFonts w:hint="eastAsia"/>
          <w:rtl/>
        </w:rPr>
        <w:t> </w:t>
      </w:r>
      <w:r>
        <w:rPr>
          <w:rFonts w:hint="cs"/>
          <w:rtl/>
        </w:rPr>
        <w:t>فقضى به عمر حياته، وعثمان من بعده، فلما وُلَّيتُ الأمرَ من بعدهما رأيت أن أرقّها».</w:t>
      </w:r>
    </w:p>
    <w:p w:rsidR="00035BE3" w:rsidRDefault="00035BE3" w:rsidP="00C10469">
      <w:pPr>
        <w:pStyle w:val="a6"/>
        <w:ind w:left="281" w:firstLine="0"/>
        <w:rPr>
          <w:spacing w:val="-6"/>
          <w:rtl/>
        </w:rPr>
      </w:pPr>
      <w:r>
        <w:rPr>
          <w:rFonts w:hint="cs"/>
          <w:spacing w:val="-6"/>
          <w:rtl/>
        </w:rPr>
        <w:t>أخرجه ابن أبي شيبة بلفظه في مصنفه، كتاب البيوع والأقضية، باب بيع أمهات الأولاد، 6/436-437، وعبد الرزاق في مصنفه بمعناه، باب بيع أمهات الأولاد، 7/291-292، ح 13224؛ والبيهقي في سننه الكبرى</w:t>
      </w:r>
      <w:r>
        <w:rPr>
          <w:rFonts w:hint="eastAsia"/>
          <w:spacing w:val="-6"/>
          <w:rtl/>
        </w:rPr>
        <w:t> </w:t>
      </w:r>
      <w:r>
        <w:rPr>
          <w:rFonts w:hint="cs"/>
          <w:spacing w:val="-6"/>
          <w:rtl/>
        </w:rPr>
        <w:t xml:space="preserve">بمعناه، كتاب عتق أمهات الأولاد، باب الخلاف في أمهات الأولاد، 10/348.                     </w:t>
      </w:r>
    </w:p>
    <w:p w:rsidR="00035BE3" w:rsidRDefault="00035BE3" w:rsidP="00C10469">
      <w:pPr>
        <w:pStyle w:val="a6"/>
        <w:ind w:left="281" w:firstLine="0"/>
        <w:rPr>
          <w:rtl/>
        </w:rPr>
      </w:pPr>
      <w:r>
        <w:rPr>
          <w:rFonts w:hint="cs"/>
          <w:rtl/>
        </w:rPr>
        <w:t xml:space="preserve"> </w:t>
      </w:r>
      <w:r>
        <w:rPr>
          <w:rFonts w:hint="cs"/>
          <w:b/>
          <w:bCs/>
          <w:rtl/>
        </w:rPr>
        <w:t>3</w:t>
      </w:r>
      <w:r>
        <w:rPr>
          <w:rFonts w:hint="cs"/>
          <w:rtl/>
        </w:rPr>
        <w:t xml:space="preserve"> </w:t>
      </w:r>
      <w:r>
        <w:rPr>
          <w:rFonts w:hint="cs"/>
          <w:b/>
          <w:bCs/>
          <w:rtl/>
        </w:rPr>
        <w:t>-</w:t>
      </w:r>
      <w:r>
        <w:rPr>
          <w:rFonts w:hint="cs"/>
          <w:rtl/>
        </w:rPr>
        <w:t xml:space="preserve"> عن ابن عباس </w:t>
      </w:r>
      <w:r>
        <w:rPr>
          <w:rFonts w:ascii="AGA Arabesque" w:hAnsi="AGA Arabesque"/>
          <w:sz w:val="36"/>
          <w:szCs w:val="36"/>
        </w:rPr>
        <w:t></w:t>
      </w:r>
      <w:r>
        <w:rPr>
          <w:rFonts w:hint="cs"/>
          <w:rtl/>
        </w:rPr>
        <w:t xml:space="preserve"> أنه قال في أم الولد : «والله ما هي إلا بمـنـزلة بعيرك أو شاتك».</w:t>
      </w:r>
    </w:p>
    <w:p w:rsidR="00035BE3" w:rsidRDefault="00035BE3" w:rsidP="00C10469">
      <w:pPr>
        <w:pStyle w:val="a6"/>
        <w:ind w:left="281" w:firstLine="0"/>
        <w:rPr>
          <w:rtl/>
        </w:rPr>
      </w:pPr>
      <w:r>
        <w:rPr>
          <w:rFonts w:hint="cs"/>
          <w:rtl/>
        </w:rPr>
        <w:t>أخرجه عبد الرزاق في مصنفه، باب بيع أمهات الأولاد، 7/290، ح 13218.</w:t>
      </w:r>
    </w:p>
    <w:p w:rsidR="00035BE3" w:rsidRDefault="00035BE3" w:rsidP="00C10469">
      <w:pPr>
        <w:pStyle w:val="a6"/>
        <w:ind w:left="281" w:firstLine="0"/>
        <w:rPr>
          <w:b/>
          <w:bCs/>
          <w:rtl/>
        </w:rPr>
      </w:pPr>
      <w:r>
        <w:rPr>
          <w:rFonts w:hint="cs"/>
          <w:b/>
          <w:bCs/>
          <w:rtl/>
        </w:rPr>
        <w:t>وبعد اختلاف الصحابة في حكم بيع أم الولد حصل إجماع لاحق من التابعين على تحريم بيعها.</w:t>
      </w:r>
    </w:p>
    <w:p w:rsidR="00035BE3" w:rsidRDefault="00035BE3" w:rsidP="00C10469">
      <w:pPr>
        <w:pStyle w:val="a6"/>
        <w:ind w:left="281" w:firstLine="0"/>
        <w:rPr>
          <w:rtl/>
        </w:rPr>
      </w:pPr>
      <w:r>
        <w:rPr>
          <w:rFonts w:hint="cs"/>
          <w:rtl/>
        </w:rPr>
        <w:t>وقد ورد نقل هذا الإجماع في كثير من الكتب، منها ما يأتي :</w:t>
      </w:r>
    </w:p>
    <w:p w:rsidR="00035BE3" w:rsidRDefault="00035BE3" w:rsidP="00C10469">
      <w:pPr>
        <w:pStyle w:val="a6"/>
        <w:ind w:left="281" w:firstLine="0"/>
        <w:rPr>
          <w:rtl/>
        </w:rPr>
      </w:pPr>
      <w:r>
        <w:rPr>
          <w:rFonts w:hint="cs"/>
          <w:rtl/>
        </w:rPr>
        <w:t xml:space="preserve">أصول السرخسي، 1/319؛ بذل النظر، ص551؛ المحصول، 2/66؛ الإحكام للآمدي، 1/338؛ </w:t>
      </w:r>
      <w:r w:rsidRPr="00B6491E">
        <w:rPr>
          <w:rFonts w:hint="cs"/>
          <w:spacing w:val="-4"/>
          <w:rtl/>
        </w:rPr>
        <w:t>كشف الأسرار للنسفي، 2/186؛ كشف الأسرار للبخاري، 3/457-458؛ شرح العضد على مختصر</w:t>
      </w:r>
      <w:r>
        <w:rPr>
          <w:rFonts w:hint="cs"/>
          <w:rtl/>
        </w:rPr>
        <w:t xml:space="preserve"> ابن الحاجب، 2/41؛ الإبهاج، 2/376؛ مختصر من قواعد العلائي وكلام الإسنوي، 2/637؛ التحرير </w:t>
      </w:r>
      <w:r w:rsidRPr="00B6491E">
        <w:rPr>
          <w:rFonts w:hint="cs"/>
          <w:spacing w:val="-4"/>
          <w:rtl/>
        </w:rPr>
        <w:t>لابن الهمام وشرحيه: التقرير والتحبير، 3/89؛ وتيسير التحرير، 3/232-233؛ فتح القدير، 7/302.</w:t>
      </w:r>
    </w:p>
    <w:p w:rsidR="00035BE3" w:rsidRDefault="00035BE3" w:rsidP="00C10469">
      <w:pPr>
        <w:pStyle w:val="a6"/>
        <w:ind w:left="281" w:firstLine="0"/>
        <w:rPr>
          <w:rtl/>
        </w:rPr>
      </w:pPr>
      <w:r>
        <w:rPr>
          <w:rFonts w:hint="cs"/>
          <w:rtl/>
        </w:rPr>
        <w:t>كما أن ابن عبد البر (ت 463هـ) نقل إجماع المسلمين على منع بيعها أثناء الحمل فقال في (التمهيد)</w:t>
      </w:r>
      <w:r>
        <w:rPr>
          <w:rFonts w:hint="eastAsia"/>
          <w:rtl/>
        </w:rPr>
        <w:t> </w:t>
      </w:r>
      <w:r>
        <w:rPr>
          <w:rFonts w:hint="cs"/>
          <w:rtl/>
        </w:rPr>
        <w:t>-  3/136-: «وقد أجمع المسلمون على منع بيع أم الولد ما دامت حاملاً من سيدها، ثم اختلفوا في بيعها بعد وضعِها حملَها».</w:t>
      </w:r>
    </w:p>
    <w:p w:rsidR="00035BE3" w:rsidRDefault="00035BE3" w:rsidP="00C10469">
      <w:pPr>
        <w:pStyle w:val="a6"/>
        <w:ind w:left="281" w:firstLine="0"/>
        <w:rPr>
          <w:rtl/>
        </w:rPr>
      </w:pPr>
      <w:r>
        <w:rPr>
          <w:rFonts w:hint="cs"/>
          <w:rtl/>
        </w:rPr>
        <w:t>وقريب من هذا قال ابن حزم في (مراتب الإجماع)، ص163.</w:t>
      </w:r>
    </w:p>
    <w:p w:rsidR="00035BE3" w:rsidRDefault="00035BE3" w:rsidP="00C10469">
      <w:pPr>
        <w:pStyle w:val="a6"/>
        <w:ind w:left="281" w:firstLine="0"/>
        <w:rPr>
          <w:rtl/>
        </w:rPr>
      </w:pPr>
      <w:r>
        <w:rPr>
          <w:rFonts w:hint="cs"/>
          <w:rtl/>
        </w:rPr>
        <w:t>هذا ما يتعلق بالإجماع على منع بيع أم الولد.</w:t>
      </w:r>
    </w:p>
    <w:p w:rsidR="00035BE3" w:rsidRDefault="00035BE3" w:rsidP="00C10469">
      <w:pPr>
        <w:pStyle w:val="a6"/>
        <w:ind w:left="281" w:firstLine="0"/>
        <w:rPr>
          <w:rtl/>
        </w:rPr>
      </w:pPr>
      <w:r>
        <w:rPr>
          <w:rFonts w:hint="cs"/>
          <w:rtl/>
        </w:rPr>
        <w:t>أما ما يتعلق ببيع المدبر، فبالتتبع لبعض كتب الإجماع والفقه وأصوله لم أجد من وافق المؤلف في نقل إجماع التابعين أو غيرهم على منع بيعه !!.</w:t>
      </w:r>
    </w:p>
    <w:p w:rsidR="00035BE3" w:rsidRDefault="00035BE3" w:rsidP="00C10469">
      <w:pPr>
        <w:pStyle w:val="a6"/>
        <w:ind w:left="281" w:firstLine="0"/>
        <w:rPr>
          <w:rtl/>
        </w:rPr>
      </w:pPr>
      <w:r>
        <w:rPr>
          <w:rFonts w:hint="cs"/>
          <w:rtl/>
        </w:rPr>
        <w:t>بل إن كثيرًا من كتب الفقه حافلة بذكر الخلاف في بيعه، سواء كان بين التابعين أنفسهم أم غيرهم.</w:t>
      </w:r>
    </w:p>
    <w:p w:rsidR="00035BE3" w:rsidRDefault="00035BE3" w:rsidP="00C10469">
      <w:pPr>
        <w:pStyle w:val="a6"/>
        <w:ind w:left="281" w:firstLine="0"/>
        <w:rPr>
          <w:rtl/>
        </w:rPr>
      </w:pPr>
      <w:r>
        <w:rPr>
          <w:rFonts w:hint="cs"/>
          <w:rtl/>
        </w:rPr>
        <w:t>ومن هذه الكتب - على سبيل التمثيل - : مراتب الإجماع لابن حزم، ص 163؛ المغني لابن قدامة، 14/420؛ العناية، 5/21.</w:t>
      </w:r>
    </w:p>
    <w:p w:rsidR="00035BE3" w:rsidRDefault="00035BE3" w:rsidP="00C10469">
      <w:pPr>
        <w:pStyle w:val="a6"/>
        <w:ind w:left="281" w:firstLine="0"/>
        <w:rPr>
          <w:rtl/>
        </w:rPr>
      </w:pPr>
      <w:r>
        <w:rPr>
          <w:rFonts w:hint="cs"/>
          <w:rtl/>
        </w:rPr>
        <w:t>ونظرًا لعدم مطابقة ذلك للواقع، فلعل ما ذكره المؤلف إنما هو لفرض مسألةٍ للتمثيل، وليس لإثبات إجماع حقيقي، ولا سيما أن عبارته محتملة وليست صريحة في إثبات إجماع حقيقي أو افتراضي.</w:t>
      </w:r>
    </w:p>
    <w:p w:rsidR="00035BE3" w:rsidRDefault="00035BE3" w:rsidP="00C10469">
      <w:pPr>
        <w:pStyle w:val="a6"/>
        <w:ind w:left="281" w:firstLine="0"/>
        <w:rPr>
          <w:rtl/>
        </w:rPr>
      </w:pPr>
      <w:r>
        <w:rPr>
          <w:rFonts w:hint="cs"/>
          <w:rtl/>
        </w:rPr>
        <w:t>وبهذا يسلم كلام المؤلف من الإشكال - والله أعلم -.</w:t>
      </w:r>
    </w:p>
    <w:p w:rsidR="00035BE3" w:rsidRDefault="00035BE3" w:rsidP="00C10469">
      <w:pPr>
        <w:pStyle w:val="a6"/>
        <w:ind w:left="281" w:firstLine="0"/>
        <w:rPr>
          <w:rtl/>
        </w:rPr>
      </w:pPr>
      <w:r>
        <w:rPr>
          <w:rFonts w:hint="cs"/>
          <w:rtl/>
        </w:rPr>
        <w:t xml:space="preserve">وللتوسع - في حكم بيع المدبر وخلاف العلماء فيه - انظر أيضًا : </w:t>
      </w:r>
    </w:p>
    <w:p w:rsidR="00035BE3" w:rsidRDefault="00035BE3" w:rsidP="00C10469">
      <w:pPr>
        <w:pStyle w:val="a6"/>
        <w:ind w:left="281" w:firstLine="0"/>
        <w:rPr>
          <w:rtl/>
        </w:rPr>
      </w:pPr>
      <w:r w:rsidRPr="0087688E">
        <w:rPr>
          <w:rFonts w:hint="cs"/>
          <w:spacing w:val="-4"/>
          <w:rtl/>
        </w:rPr>
        <w:t>مختصر اختلاف العلماء للجصّاص، 3/183-184؛ المبسوط، 7/179-180؛ المقدمات الممهدات</w:t>
      </w:r>
      <w:r>
        <w:rPr>
          <w:rFonts w:hint="cs"/>
          <w:rtl/>
        </w:rPr>
        <w:t>،</w:t>
      </w:r>
      <w:r>
        <w:rPr>
          <w:rFonts w:hint="eastAsia"/>
          <w:rtl/>
        </w:rPr>
        <w:t> </w:t>
      </w:r>
      <w:r>
        <w:rPr>
          <w:rFonts w:hint="cs"/>
          <w:rtl/>
        </w:rPr>
        <w:t>3/188-191؛ تحفة الفقهاء، 2/78؛ شرحها: بدائع الصنائع، 4/120-121؛ الهداية وشرحها : فتح القدير، 5/20-23؛ بداية المجتهد، 2/617؛ روضة الطالبين، 8/452؛ كفاية الأخيار في حل غاية الاختصار، ص761-762؛ درر الحكام في شرح غرر الأحكام، 2/18؛ الأشبـاه والنـظائر</w:t>
      </w:r>
      <w:r>
        <w:rPr>
          <w:rFonts w:hint="eastAsia"/>
          <w:rtl/>
        </w:rPr>
        <w:t> </w:t>
      </w:r>
      <w:r>
        <w:rPr>
          <w:rFonts w:hint="cs"/>
          <w:rtl/>
        </w:rPr>
        <w:t xml:space="preserve">لابن نجيم، ص412؛ الإقناع في حل ألفاظ أبي شجاع، 2/664؛ التاج والإكليل بشرح </w:t>
      </w:r>
      <w:r w:rsidRPr="00463E3C">
        <w:rPr>
          <w:rFonts w:hint="cs"/>
          <w:spacing w:val="-4"/>
          <w:rtl/>
        </w:rPr>
        <w:t>مختصر</w:t>
      </w:r>
      <w:r w:rsidRPr="00463E3C">
        <w:rPr>
          <w:rFonts w:hint="eastAsia"/>
          <w:spacing w:val="-4"/>
          <w:rtl/>
        </w:rPr>
        <w:t> </w:t>
      </w:r>
      <w:r w:rsidRPr="00463E3C">
        <w:rPr>
          <w:rFonts w:hint="cs"/>
          <w:spacing w:val="-4"/>
          <w:rtl/>
        </w:rPr>
        <w:t xml:space="preserve">خليل، 8/476؛ شرح المنهج المنتخب، ص665؛ نهاية المحتاج إلى شرح المنهاج، 8/401؛ شرح </w:t>
      </w:r>
      <w:r>
        <w:rPr>
          <w:rFonts w:hint="cs"/>
          <w:rtl/>
        </w:rPr>
        <w:t xml:space="preserve"> منتهى الإرادات، 2/663؛ مجمع الأنهر في شرح ملتقى الأبحر، 1/532؛ الشرح الكبير ومعه: حاشية الدسوقي عليه، 4/383؛ الدر المختار شرح تنوير الأبصار وحاشية ابن عابدين عليه، 5/444؛ حاشية الشرقاوي على تحفة الطلاب، 2/518؛ اللباب في شرح الكتاب، 3/120؛ الدليل الماهر الناصح شرح المجاز الواضح، ص278.</w:t>
      </w:r>
    </w:p>
    <w:p w:rsidR="00035BE3" w:rsidRDefault="00035BE3" w:rsidP="00C10469">
      <w:pPr>
        <w:pStyle w:val="a6"/>
        <w:ind w:left="281" w:firstLine="0"/>
        <w:rPr>
          <w:rtl/>
        </w:rPr>
      </w:pPr>
      <w:r>
        <w:rPr>
          <w:rFonts w:hint="cs"/>
          <w:b/>
          <w:bCs/>
          <w:rtl/>
        </w:rPr>
        <w:t>الأمر الثاني</w:t>
      </w:r>
      <w:r>
        <w:rPr>
          <w:rFonts w:hint="cs"/>
          <w:rtl/>
        </w:rPr>
        <w:t xml:space="preserve"> -الذي يحتاج إلى تعليق- : رأي الإمام أبي حنيفة وصاحبيه في القاعدة : فبالمقارنة أيضًا بـيـن عبارة المؤلف وعبارة (العناية) يلحظ أنهما اتفقَا في النقل عن الثلاثة: إذ نقلا عن محمد: أن الإجماع اللاحق يرفع الخلاف السابق، ونقلا عن الإمام أبي حنيفة وأبي يوسف أنه لا يرفعه.</w:t>
      </w:r>
    </w:p>
    <w:p w:rsidR="00035BE3" w:rsidRDefault="00035BE3" w:rsidP="00C10469">
      <w:pPr>
        <w:pStyle w:val="a6"/>
        <w:ind w:left="281" w:firstLine="0"/>
        <w:rPr>
          <w:rtl/>
        </w:rPr>
      </w:pPr>
      <w:r>
        <w:rPr>
          <w:rFonts w:hint="cs"/>
          <w:rtl/>
        </w:rPr>
        <w:t>كما أنهما ربطا بين رأيهم في القاعدة ورأيهم في نفاذ قضاء القاضي ببيع أم الولد، مما يفهم منه أن رأيهم في القاعدة مُخرّجٌ على رأيهم في نفاذ قضاء القاضي ببيع أم الولد.</w:t>
      </w:r>
    </w:p>
    <w:p w:rsidR="00035BE3" w:rsidRDefault="00035BE3" w:rsidP="00C10469">
      <w:pPr>
        <w:pStyle w:val="a6"/>
        <w:ind w:left="281" w:firstLine="0"/>
        <w:rPr>
          <w:rtl/>
        </w:rPr>
      </w:pPr>
      <w:r>
        <w:rPr>
          <w:rFonts w:hint="cs"/>
          <w:rtl/>
        </w:rPr>
        <w:t>وقد صرح بهذا صاحب (التحرير) وتابعه على ذلك صاحب (التقرير والتحبير) -3/88-89-، و(تيسير التحرير) -3/232-233-، كما صرح صاحب التيسير بأن الذي خرّج رأيهم في القاعدة هو الحلواني شيخ السرخسي، ونص كلام (التحرير) -المطبوع في ضمنهما-: «أكثر الحنفية ... لا يشترطون لحجـيّـته [أي الإجماع] انتفاء سبق خلاف مستقر.</w:t>
      </w:r>
    </w:p>
    <w:p w:rsidR="00035BE3" w:rsidRDefault="00035BE3" w:rsidP="00C10469">
      <w:pPr>
        <w:pStyle w:val="a6"/>
        <w:ind w:left="281" w:firstLine="0"/>
      </w:pPr>
      <w:r>
        <w:rPr>
          <w:b/>
          <w:bCs/>
          <w:rtl/>
          <w:lang w:val="en-US"/>
        </w:rPr>
        <w:t>•</w:t>
      </w:r>
      <w:r>
        <w:rPr>
          <w:rFonts w:hint="cs"/>
          <w:b/>
          <w:bCs/>
          <w:rtl/>
          <w:lang w:val="en-US"/>
        </w:rPr>
        <w:t xml:space="preserve"> </w:t>
      </w:r>
      <w:r>
        <w:rPr>
          <w:rFonts w:hint="cs"/>
          <w:rtl/>
        </w:rPr>
        <w:t>وخُرِّج عن أبي حنيفة : اشتراطه.</w:t>
      </w:r>
    </w:p>
    <w:p w:rsidR="00035BE3" w:rsidRDefault="00035BE3" w:rsidP="00C10469">
      <w:pPr>
        <w:pStyle w:val="a6"/>
        <w:ind w:left="281" w:firstLine="0"/>
      </w:pPr>
      <w:r>
        <w:rPr>
          <w:b/>
          <w:bCs/>
          <w:rtl/>
          <w:lang w:val="en-US"/>
        </w:rPr>
        <w:t>•</w:t>
      </w:r>
      <w:r>
        <w:rPr>
          <w:rFonts w:hint="cs"/>
          <w:b/>
          <w:bCs/>
          <w:rtl/>
          <w:lang w:val="en-US"/>
        </w:rPr>
        <w:t xml:space="preserve"> </w:t>
      </w:r>
      <w:r>
        <w:rPr>
          <w:rFonts w:hint="cs"/>
          <w:rtl/>
        </w:rPr>
        <w:t>ونفيه عن محمد.</w:t>
      </w:r>
    </w:p>
    <w:p w:rsidR="00035BE3" w:rsidRDefault="00035BE3" w:rsidP="00C10469">
      <w:pPr>
        <w:pStyle w:val="a6"/>
        <w:ind w:left="281" w:firstLine="0"/>
      </w:pPr>
      <w:r>
        <w:rPr>
          <w:b/>
          <w:bCs/>
          <w:rtl/>
          <w:lang w:val="en-US"/>
        </w:rPr>
        <w:t>•</w:t>
      </w:r>
      <w:r>
        <w:rPr>
          <w:rFonts w:hint="cs"/>
          <w:b/>
          <w:bCs/>
          <w:rtl/>
          <w:lang w:val="en-US"/>
        </w:rPr>
        <w:t xml:space="preserve"> </w:t>
      </w:r>
      <w:r>
        <w:rPr>
          <w:rFonts w:hint="cs"/>
          <w:rtl/>
        </w:rPr>
        <w:t>وعن أبي يوسف كلٌّ [أي كل من اشتراطه ونفيه].</w:t>
      </w:r>
    </w:p>
    <w:p w:rsidR="00035BE3" w:rsidRDefault="00035BE3" w:rsidP="00C10469">
      <w:pPr>
        <w:pStyle w:val="a6"/>
        <w:ind w:left="281" w:firstLine="0"/>
        <w:rPr>
          <w:rtl/>
        </w:rPr>
      </w:pPr>
      <w:r>
        <w:rPr>
          <w:rFonts w:hint="cs"/>
          <w:rtl/>
        </w:rPr>
        <w:t>من القضاء بيع أمهات الأولاد المختلف للصحابة، المجمع للتابعين على أحد قوليهم...».</w:t>
      </w:r>
    </w:p>
    <w:p w:rsidR="00035BE3" w:rsidRDefault="00035BE3" w:rsidP="00C10469">
      <w:pPr>
        <w:pStyle w:val="a6"/>
        <w:ind w:left="281" w:firstLine="0"/>
        <w:rPr>
          <w:rtl/>
        </w:rPr>
      </w:pPr>
      <w:r>
        <w:rPr>
          <w:rFonts w:hint="cs"/>
          <w:rtl/>
        </w:rPr>
        <w:t>إذا علم هذا -وهو أن رأي الثلاثة في القاعدة مُخرَّج على رأيهم في نفاذ قضاء القاضي ببيع أمهات الأولاد- فليُعلم أن رأيهم المخرّج ليس موضع وفاقٍ بين الحنفية، وكذلك النقل عنهم في المسألة المخرَّج عليها (وهي حكم نفاذ قضاء القاضي ببيع أمهات الأولاد) ليس كله موضع وفاق:</w:t>
      </w:r>
    </w:p>
    <w:p w:rsidR="00035BE3" w:rsidRDefault="00035BE3" w:rsidP="00C10469">
      <w:pPr>
        <w:pStyle w:val="a6"/>
        <w:ind w:left="281" w:firstLine="0"/>
      </w:pPr>
      <w:r>
        <w:rPr>
          <w:rFonts w:ascii="Wingdings" w:hAnsi="Wingdings"/>
        </w:rPr>
        <w:t></w:t>
      </w:r>
      <w:r>
        <w:rPr>
          <w:rFonts w:hint="cs"/>
          <w:rtl/>
        </w:rPr>
        <w:t xml:space="preserve"> فنقل كثير منهم عن </w:t>
      </w:r>
      <w:r>
        <w:rPr>
          <w:rFonts w:hint="cs"/>
          <w:b/>
          <w:bCs/>
          <w:rtl/>
        </w:rPr>
        <w:t>أبي حنيفة:</w:t>
      </w:r>
      <w:r>
        <w:rPr>
          <w:rFonts w:hint="cs"/>
          <w:rtl/>
        </w:rPr>
        <w:t xml:space="preserve"> </w:t>
      </w:r>
    </w:p>
    <w:p w:rsidR="00035BE3" w:rsidRDefault="00035BE3" w:rsidP="00C10469">
      <w:pPr>
        <w:pStyle w:val="a6"/>
        <w:ind w:left="-3"/>
      </w:pPr>
      <w:r>
        <w:rPr>
          <w:b/>
          <w:bCs/>
          <w:rtl/>
          <w:lang w:val="en-US"/>
        </w:rPr>
        <w:t>•</w:t>
      </w:r>
      <w:r>
        <w:rPr>
          <w:rFonts w:hint="cs"/>
          <w:b/>
          <w:bCs/>
          <w:rtl/>
          <w:lang w:val="en-US"/>
        </w:rPr>
        <w:t xml:space="preserve"> </w:t>
      </w:r>
      <w:r>
        <w:rPr>
          <w:rFonts w:hint="cs"/>
          <w:rtl/>
        </w:rPr>
        <w:t>أنه يرى نفاذ قضاء القاضي ببيع أم الولد.</w:t>
      </w:r>
    </w:p>
    <w:p w:rsidR="00035BE3" w:rsidRDefault="00035BE3" w:rsidP="00C10469">
      <w:pPr>
        <w:pStyle w:val="a6"/>
        <w:spacing w:line="264" w:lineRule="auto"/>
        <w:ind w:left="284" w:firstLine="0"/>
        <w:rPr>
          <w:rtl/>
        </w:rPr>
      </w:pPr>
      <w:r>
        <w:rPr>
          <w:rFonts w:hint="cs"/>
          <w:rtl/>
        </w:rPr>
        <w:t>وممن نقل ذلك عنه أصحاب الكتب الآنية : الغنية في الأصول، ص37؛ أصول الجصّاص (باب الإجماع فقط)، ص208؛ أصول البزدوي وشرحه : كشف الأسرار، 3/457-458؛ أصول السرخسي، 1/319؛ ميزان الأصـول، 2/731؛ بـدائـع الـصنائع ، 7/15؛ تبيين الحقائق، 4/190؛ كـشف الأسـرار للنـسفي، 2/186؛ التحرير وشرحاه : التقرير والتحبير، 3/89؛ وتيسير التحرير، 3/232-233؛ فتح القدير، 7/302؛ فواتح الرحموت، 2/227.</w:t>
      </w:r>
      <w:r>
        <w:rPr>
          <w:rFonts w:hint="cs"/>
          <w:rtl/>
        </w:rPr>
        <w:tab/>
      </w:r>
      <w:r>
        <w:rPr>
          <w:rFonts w:hint="cs"/>
          <w:rtl/>
        </w:rPr>
        <w:tab/>
      </w:r>
      <w:r>
        <w:rPr>
          <w:rFonts w:hint="cs"/>
          <w:rtl/>
        </w:rPr>
        <w:tab/>
        <w:t xml:space="preserve"> </w:t>
      </w:r>
    </w:p>
    <w:p w:rsidR="00035BE3" w:rsidRDefault="00035BE3" w:rsidP="00C10469">
      <w:pPr>
        <w:pStyle w:val="a6"/>
        <w:ind w:left="281" w:firstLine="0"/>
        <w:rPr>
          <w:rtl/>
        </w:rPr>
      </w:pPr>
      <w:r>
        <w:rPr>
          <w:rFonts w:hint="cs"/>
          <w:rtl/>
        </w:rPr>
        <w:t xml:space="preserve"> وهؤلاء وإن اتفقوا على نقل رأيه في المسألة المذكورة إلا أنهم اختلفوا فيما يخرّج عليه :</w:t>
      </w:r>
    </w:p>
    <w:p w:rsidR="00035BE3" w:rsidRDefault="00035BE3" w:rsidP="00C10469">
      <w:pPr>
        <w:pStyle w:val="a6"/>
        <w:ind w:left="281" w:firstLine="0"/>
        <w:rPr>
          <w:rtl/>
        </w:rPr>
      </w:pPr>
      <w:r>
        <w:rPr>
          <w:rFonts w:hint="cs"/>
          <w:rtl/>
        </w:rPr>
        <w:t>- فمنهم من خَرَّجَ عليه : أنه يشترط للإجماع اللاحق عدم الاختلاف السابق. أي أن «الإجماع اللاحق لا يرفع الخلاف السابق». (وهذا اللفظ هو الذي اختاره المؤلف للقاعدة)</w:t>
      </w:r>
    </w:p>
    <w:p w:rsidR="00035BE3" w:rsidRDefault="00035BE3" w:rsidP="00C10469">
      <w:pPr>
        <w:pStyle w:val="a6"/>
        <w:ind w:left="281" w:firstLine="0"/>
        <w:rPr>
          <w:rtl/>
        </w:rPr>
      </w:pPr>
      <w:r>
        <w:rPr>
          <w:rFonts w:hint="cs"/>
          <w:rtl/>
        </w:rPr>
        <w:t>- وأكثرهم ردُّوا هذا التخريج وقالوا : ليس في منع أبي حنيفة فسخ قضاء القاضي ببيع أمهات الأولاد دلالة على أنّه كان يري أن الإجماع اللاحق لا يرفع الخلاف السابق؛ بل يلزم أن يكون الإجماع اللاحق رافعًا للخلاف السابق؛ «للدليل الذي دلّ على أن إجماع أهل كل عصر إجماعٌ معتبر. وإنما ينفذ قضاء القاضي بجواز بيعها لشبهة الاختلاف في أنّ مثل هذا هل يكون إجماعًا ؟ فعلى اعتبار هذه الشبهة يكون قضاؤه في مجتهد فيه؛ فلهذا نفذه أبوحنيفة رحمه الله» -قاله السرخسي، 1/319-.</w:t>
      </w:r>
    </w:p>
    <w:p w:rsidR="00035BE3" w:rsidRPr="0098449D" w:rsidRDefault="00035BE3" w:rsidP="00C10469">
      <w:pPr>
        <w:pStyle w:val="a6"/>
        <w:ind w:left="281" w:firstLine="0"/>
        <w:rPr>
          <w:spacing w:val="4"/>
          <w:rtl/>
        </w:rPr>
      </w:pPr>
      <w:r w:rsidRPr="0098449D">
        <w:rPr>
          <w:rFonts w:hint="cs"/>
          <w:spacing w:val="4"/>
          <w:rtl/>
        </w:rPr>
        <w:t>وقد نقل المؤلف نحو هذا التأويل عن النـسفي وزاد عليه من غيره - كما سيأتي، ص233 (ل3/ب)-.</w:t>
      </w:r>
    </w:p>
    <w:p w:rsidR="00035BE3" w:rsidRDefault="00035BE3" w:rsidP="00C10469">
      <w:pPr>
        <w:pStyle w:val="a6"/>
        <w:ind w:left="281" w:firstLine="0"/>
        <w:rPr>
          <w:rtl/>
        </w:rPr>
      </w:pPr>
      <w:r>
        <w:rPr>
          <w:b/>
          <w:bCs/>
          <w:rtl/>
          <w:lang w:val="en-US"/>
        </w:rPr>
        <w:t>•</w:t>
      </w:r>
      <w:r>
        <w:rPr>
          <w:rFonts w:hint="cs"/>
          <w:b/>
          <w:bCs/>
          <w:rtl/>
          <w:lang w:val="en-US"/>
        </w:rPr>
        <w:t xml:space="preserve"> </w:t>
      </w:r>
      <w:r>
        <w:rPr>
          <w:rFonts w:hint="cs"/>
          <w:rtl/>
        </w:rPr>
        <w:t xml:space="preserve">وهناك قول آخر منقول عن الإمام أبي حنيفة، وهو عدم نفاذ قضاء القاضي ببيع أم الولد، فقد </w:t>
      </w:r>
      <w:r>
        <w:rPr>
          <w:rtl/>
        </w:rPr>
        <w:br/>
      </w:r>
      <w:r>
        <w:rPr>
          <w:rFonts w:hint="cs"/>
          <w:rtl/>
        </w:rPr>
        <w:t>جاء في الموضع السابق من (التحرير) : «والأظهر لا ينفذ عندهم» (أي عند الثلاثة). وقد بيّن الشارحان أن من مصادر هذا النقل عبارة مذكورة في (تقويم الأدلة) للدبوسي -11/أ- ونصّها : «وقد روى محمد بن الحسن عنهم جميعًا أن القاضي إذا قضي ببيع أم الولد لم يجز».</w:t>
      </w:r>
    </w:p>
    <w:p w:rsidR="00035BE3" w:rsidRDefault="00035BE3" w:rsidP="00C10469">
      <w:pPr>
        <w:pStyle w:val="a6"/>
        <w:ind w:left="281" w:firstLine="0"/>
        <w:rPr>
          <w:rtl/>
        </w:rPr>
      </w:pPr>
      <w:r>
        <w:rPr>
          <w:rFonts w:hint="cs"/>
          <w:rtl/>
        </w:rPr>
        <w:t>ومن يمعن النظر في هذه العبارة لا يجد فيها دلالة على ما ذكره صاحب (التحرير)؛ لأن «كلامنا في النفاذ لا الجواز، وكم من تصّرف غير جائز لكنه بعد الوقوع ينفذ». كذا في (تيسير التحرير)، 3/233.</w:t>
      </w:r>
    </w:p>
    <w:p w:rsidR="00035BE3" w:rsidRDefault="00035BE3" w:rsidP="00C10469">
      <w:pPr>
        <w:pStyle w:val="a6"/>
        <w:ind w:left="281" w:firstLine="0"/>
        <w:rPr>
          <w:rtl/>
        </w:rPr>
      </w:pPr>
      <w:r>
        <w:rPr>
          <w:rFonts w:hint="cs"/>
          <w:rtl/>
        </w:rPr>
        <w:t>وكما اختلف النقل عن الإمام أبي حنيفة اختلف أيضًا عن محمد وأبي يوسف :</w:t>
      </w:r>
    </w:p>
    <w:p w:rsidR="00035BE3" w:rsidRDefault="00035BE3" w:rsidP="00C10469">
      <w:pPr>
        <w:pStyle w:val="a6"/>
        <w:ind w:left="281" w:firstLine="0"/>
        <w:rPr>
          <w:rtl/>
        </w:rPr>
      </w:pPr>
      <w:r>
        <w:rPr>
          <w:rFonts w:ascii="Wingdings" w:hAnsi="Wingdings"/>
        </w:rPr>
        <w:t></w:t>
      </w:r>
      <w:r>
        <w:rPr>
          <w:rFonts w:hint="cs"/>
          <w:b/>
          <w:bCs/>
          <w:rtl/>
        </w:rPr>
        <w:t xml:space="preserve"> أما محمد</w:t>
      </w:r>
      <w:r>
        <w:rPr>
          <w:rFonts w:hint="cs"/>
          <w:rtl/>
        </w:rPr>
        <w:t xml:space="preserve"> : </w:t>
      </w:r>
    </w:p>
    <w:p w:rsidR="00035BE3" w:rsidRPr="0098449D" w:rsidRDefault="00035BE3" w:rsidP="00C10469">
      <w:pPr>
        <w:pStyle w:val="a6"/>
        <w:ind w:left="281" w:firstLine="0"/>
        <w:rPr>
          <w:spacing w:val="2"/>
          <w:rtl/>
        </w:rPr>
      </w:pPr>
      <w:r w:rsidRPr="0098449D">
        <w:rPr>
          <w:rFonts w:hint="cs"/>
          <w:spacing w:val="2"/>
          <w:rtl/>
        </w:rPr>
        <w:t>فإن الذين نقلوا رأي أبي حنيفة الأول نقلوا عن محمد أنه يرى عدم نفاذ قضاء القاضي ببيع أم الولد، وربـطوا هـذا بمسألة الإجـماع بعد الخلاف، وقالوا : إنه لا يشترط للإجماع اللاحق عدم الخلاف السابق.</w:t>
      </w:r>
    </w:p>
    <w:p w:rsidR="00035BE3" w:rsidRDefault="00035BE3" w:rsidP="00C10469">
      <w:pPr>
        <w:pStyle w:val="a6"/>
        <w:ind w:left="281" w:firstLine="0"/>
        <w:rPr>
          <w:rtl/>
        </w:rPr>
      </w:pPr>
      <w:r w:rsidRPr="0098449D">
        <w:rPr>
          <w:rFonts w:hint="cs"/>
          <w:spacing w:val="2"/>
          <w:rtl/>
        </w:rPr>
        <w:t>بل إنّ الجصّاص نقل -في باب الإجماع من أصوله، ص 208- عن</w:t>
      </w:r>
      <w:r>
        <w:rPr>
          <w:rFonts w:hint="cs"/>
          <w:spacing w:val="2"/>
          <w:rtl/>
        </w:rPr>
        <w:t xml:space="preserve"> محمد : التصريح بالأخذ بالإجماع</w:t>
      </w:r>
      <w:r>
        <w:rPr>
          <w:rFonts w:hint="eastAsia"/>
          <w:spacing w:val="2"/>
          <w:rtl/>
        </w:rPr>
        <w:t> </w:t>
      </w:r>
      <w:r w:rsidRPr="0098449D">
        <w:rPr>
          <w:rFonts w:hint="cs"/>
          <w:spacing w:val="2"/>
          <w:rtl/>
        </w:rPr>
        <w:t xml:space="preserve">حتى لو تقدّمه خلاف، ونص كلامه : «قال محمد بن الحسن - في قاضٍ حكم بجواز </w:t>
      </w:r>
      <w:r>
        <w:rPr>
          <w:spacing w:val="2"/>
          <w:rtl/>
        </w:rPr>
        <w:br/>
      </w:r>
      <w:r w:rsidRPr="0098449D">
        <w:rPr>
          <w:rFonts w:hint="cs"/>
          <w:spacing w:val="2"/>
          <w:rtl/>
        </w:rPr>
        <w:t xml:space="preserve">بيع أم الولد بعد موت مولاها - : إني أُبطلُ قضاءه؛ لأن الصحابة كانت اختلفت فيه. ثم أجمع بعد ذلك قضاة المسلمين وفقهاؤهم في جميع الأمصار إلى يومنا هذا ... وقال محمد : « فكل أمر </w:t>
      </w:r>
      <w:r>
        <w:rPr>
          <w:spacing w:val="2"/>
          <w:rtl/>
        </w:rPr>
        <w:br/>
      </w:r>
      <w:r w:rsidRPr="0098449D">
        <w:rPr>
          <w:rFonts w:hint="cs"/>
          <w:spacing w:val="2"/>
          <w:rtl/>
        </w:rPr>
        <w:t xml:space="preserve">اختلف فيه أصحاب محمد </w:t>
      </w:r>
      <w:r w:rsidRPr="0098449D">
        <w:rPr>
          <w:rFonts w:ascii="AGA Arabesque" w:hAnsi="AGA Arabesque"/>
          <w:spacing w:val="2"/>
          <w:sz w:val="32"/>
          <w:szCs w:val="32"/>
        </w:rPr>
        <w:t></w:t>
      </w:r>
      <w:r w:rsidRPr="0098449D">
        <w:rPr>
          <w:rFonts w:hint="cs"/>
          <w:spacing w:val="2"/>
          <w:rtl/>
        </w:rPr>
        <w:t xml:space="preserve"> ثم أجمع التابعون من بعدهم جميعًا على قول بعضهم دون بعض</w:t>
      </w:r>
      <w:r>
        <w:rPr>
          <w:rFonts w:hint="cs"/>
          <w:rtl/>
        </w:rPr>
        <w:t xml:space="preserve"> </w:t>
      </w:r>
      <w:r>
        <w:rPr>
          <w:rtl/>
        </w:rPr>
        <w:br/>
      </w:r>
      <w:r>
        <w:rPr>
          <w:rFonts w:hint="cs"/>
          <w:rtl/>
        </w:rPr>
        <w:t>وتُرك قول الآخر فلم يَعمل به أحدٌ إلى يومنا هذا، فعمل به عامل اليوم وقضى به : فليس ينبغي لقاضٍ  ولي هذا أن يجيزه، ولكن يردّه ويستقبل فيه القضاء بما أجمع عليه المسلمون».</w:t>
      </w:r>
    </w:p>
    <w:p w:rsidR="00035BE3" w:rsidRPr="0064439D" w:rsidRDefault="00035BE3" w:rsidP="00C10469">
      <w:pPr>
        <w:pStyle w:val="a6"/>
        <w:ind w:left="281" w:firstLine="0"/>
        <w:rPr>
          <w:spacing w:val="4"/>
        </w:rPr>
      </w:pPr>
      <w:r>
        <w:rPr>
          <w:b/>
          <w:bCs/>
          <w:rtl/>
          <w:lang w:val="en-US"/>
        </w:rPr>
        <w:t>•</w:t>
      </w:r>
      <w:r>
        <w:rPr>
          <w:rFonts w:hint="cs"/>
          <w:b/>
          <w:bCs/>
          <w:rtl/>
          <w:lang w:val="en-US"/>
        </w:rPr>
        <w:t xml:space="preserve"> </w:t>
      </w:r>
      <w:r w:rsidRPr="0064439D">
        <w:rPr>
          <w:rFonts w:hint="cs"/>
          <w:spacing w:val="4"/>
          <w:rtl/>
        </w:rPr>
        <w:t xml:space="preserve">وهناك قول آخر نقله صاحب (التحرير) - أيضًا- عن محمد، وهو أن القاضي إذا قضى ببيع أم الولد «يتوقف [أي نفاذ قضائه] على إمضاء قاض آخر». قال </w:t>
      </w:r>
      <w:r>
        <w:rPr>
          <w:rFonts w:hint="cs"/>
          <w:spacing w:val="4"/>
          <w:rtl/>
        </w:rPr>
        <w:t>الشارحان : « إنْ أمضاه نفذ وإلا</w:t>
      </w:r>
      <w:r>
        <w:rPr>
          <w:rFonts w:hint="eastAsia"/>
          <w:spacing w:val="4"/>
          <w:rtl/>
        </w:rPr>
        <w:t> </w:t>
      </w:r>
      <w:r w:rsidRPr="0064439D">
        <w:rPr>
          <w:rFonts w:hint="cs"/>
          <w:spacing w:val="4"/>
          <w:rtl/>
        </w:rPr>
        <w:t>بطل».</w:t>
      </w:r>
    </w:p>
    <w:p w:rsidR="00035BE3" w:rsidRDefault="00035BE3" w:rsidP="00C10469">
      <w:pPr>
        <w:pStyle w:val="a6"/>
        <w:ind w:left="281" w:firstLine="0"/>
        <w:rPr>
          <w:spacing w:val="-4"/>
          <w:rtl/>
        </w:rPr>
      </w:pPr>
      <w:r>
        <w:rPr>
          <w:rFonts w:hint="cs"/>
          <w:spacing w:val="-4"/>
          <w:rtl/>
        </w:rPr>
        <w:t>وقد وُجِّه هذا القول «بأن الإجماع ... [المسبوق] بخلاف : مختلف في كونه إجماعًا، ففيه شبهة ...، فكذا</w:t>
      </w:r>
      <w:r>
        <w:rPr>
          <w:rFonts w:hint="eastAsia"/>
          <w:spacing w:val="-4"/>
          <w:rtl/>
        </w:rPr>
        <w:t> </w:t>
      </w:r>
      <w:r>
        <w:rPr>
          <w:rFonts w:hint="cs"/>
          <w:spacing w:val="-4"/>
          <w:rtl/>
        </w:rPr>
        <w:t>في متعلقه، وهو ذلك الحكم المجمع عليه، فكان القضاء به نافذًا ؛ لأنه غير مخالف للإجماع القطعي» - قاله ابن عابـدين في (رد الـمحتار)، 5/457؛ وانظر : التحرير مع التقرير والتحبير، 3/89؛ ومع تيسير</w:t>
      </w:r>
      <w:r>
        <w:rPr>
          <w:rFonts w:hint="eastAsia"/>
          <w:spacing w:val="-4"/>
          <w:rtl/>
        </w:rPr>
        <w:t> </w:t>
      </w:r>
      <w:r>
        <w:rPr>
          <w:rFonts w:hint="cs"/>
          <w:spacing w:val="-4"/>
          <w:rtl/>
        </w:rPr>
        <w:t>التحرير، 3/233-.</w:t>
      </w:r>
    </w:p>
    <w:p w:rsidR="00035BE3" w:rsidRDefault="00035BE3" w:rsidP="00C10469">
      <w:pPr>
        <w:pStyle w:val="a6"/>
        <w:ind w:left="281" w:firstLine="0"/>
        <w:rPr>
          <w:rtl/>
        </w:rPr>
      </w:pPr>
      <w:r>
        <w:rPr>
          <w:rFonts w:ascii="Wingdings" w:hAnsi="Wingdings"/>
        </w:rPr>
        <w:t></w:t>
      </w:r>
      <w:r>
        <w:rPr>
          <w:rFonts w:hint="cs"/>
          <w:b/>
          <w:bCs/>
          <w:rtl/>
        </w:rPr>
        <w:t xml:space="preserve"> أمّا أبو يوسف:</w:t>
      </w:r>
      <w:r>
        <w:rPr>
          <w:rFonts w:hint="cs"/>
          <w:rtl/>
        </w:rPr>
        <w:t xml:space="preserve"> فقد نُقل عنه قولان أيضًا :</w:t>
      </w:r>
    </w:p>
    <w:p w:rsidR="00035BE3" w:rsidRDefault="00035BE3" w:rsidP="00C10469">
      <w:pPr>
        <w:pStyle w:val="a6"/>
        <w:ind w:left="281" w:firstLine="0"/>
      </w:pPr>
      <w:r>
        <w:rPr>
          <w:b/>
          <w:bCs/>
          <w:rtl/>
          <w:lang w:val="en-US"/>
        </w:rPr>
        <w:t>•</w:t>
      </w:r>
      <w:r>
        <w:rPr>
          <w:rFonts w:hint="cs"/>
          <w:b/>
          <w:bCs/>
          <w:rtl/>
          <w:lang w:val="en-US"/>
        </w:rPr>
        <w:t xml:space="preserve"> </w:t>
      </w:r>
      <w:r>
        <w:rPr>
          <w:rFonts w:hint="cs"/>
          <w:b/>
          <w:bCs/>
          <w:rtl/>
        </w:rPr>
        <w:t>الأول</w:t>
      </w:r>
      <w:r>
        <w:rPr>
          <w:rFonts w:hint="cs"/>
          <w:rtl/>
        </w:rPr>
        <w:t xml:space="preserve"> : ينفذ قضاء القاضي ببيع أم الولد. وهذا موافق للقول الأول لأبي حنيفة. وينبني على هذا أن الإجماع اللاحـق لا يرفع الخلاف السـابق. ومن الكتب التي نقلت ذلك عنه : أصـول السرخسي، 1/319؛ بدائع الصنائع، 7/15؛ تبيين الحقائق، 4/190؛ كشف الأسرار للبخاري، 3/457؛ التحرير وشرحاه : التقرير والتحبـير، 3/89؛ وتيسير التحرير، 3/233؛ فواتح الرحموت، 2/227.</w:t>
      </w:r>
    </w:p>
    <w:p w:rsidR="00035BE3" w:rsidRDefault="00035BE3" w:rsidP="00C10469">
      <w:pPr>
        <w:pStyle w:val="a6"/>
        <w:ind w:left="281" w:firstLine="0"/>
      </w:pPr>
      <w:r>
        <w:rPr>
          <w:b/>
          <w:bCs/>
          <w:rtl/>
          <w:lang w:val="en-US"/>
        </w:rPr>
        <w:t>•</w:t>
      </w:r>
      <w:r>
        <w:rPr>
          <w:rFonts w:hint="cs"/>
          <w:b/>
          <w:bCs/>
          <w:rtl/>
          <w:lang w:val="en-US"/>
        </w:rPr>
        <w:t xml:space="preserve"> </w:t>
      </w:r>
      <w:r>
        <w:rPr>
          <w:rFonts w:hint="cs"/>
          <w:b/>
          <w:bCs/>
          <w:rtl/>
        </w:rPr>
        <w:t>الثاني</w:t>
      </w:r>
      <w:r>
        <w:rPr>
          <w:rFonts w:hint="cs"/>
          <w:rtl/>
        </w:rPr>
        <w:t xml:space="preserve"> : لا ينفذ قضاؤه. وهذا موافق للقول الأول لمحمد. وينبني على هذا أن الإجماع اللاحق يرفع الخلاف السابق. والكتب التي نقلت عنه القول الأول نقلت عنه هذا القول أيضًا إلا (أصول السرخسي)، ويضاف إليها: ميزان الأصول، 2/731.</w:t>
      </w:r>
    </w:p>
    <w:p w:rsidR="00035BE3" w:rsidRDefault="00035BE3" w:rsidP="00C10469">
      <w:pPr>
        <w:pStyle w:val="a6"/>
        <w:ind w:left="281" w:firstLine="0"/>
        <w:rPr>
          <w:b/>
          <w:bCs/>
          <w:rtl/>
        </w:rPr>
      </w:pPr>
      <w:r>
        <w:rPr>
          <w:rFonts w:hint="cs"/>
          <w:b/>
          <w:bCs/>
          <w:rtl/>
        </w:rPr>
        <w:t>والحاصل مما سبق : أن للحنفية ثلاثة أقوال في نفاذ قضاء القاضي ببيع أم الولد:</w:t>
      </w:r>
    </w:p>
    <w:p w:rsidR="00035BE3" w:rsidRDefault="00035BE3" w:rsidP="00C10469">
      <w:pPr>
        <w:pStyle w:val="a6"/>
        <w:spacing w:line="264" w:lineRule="auto"/>
        <w:ind w:left="284" w:firstLine="0"/>
      </w:pPr>
      <w:r>
        <w:rPr>
          <w:rFonts w:hint="cs"/>
          <w:b/>
          <w:bCs/>
          <w:rtl/>
        </w:rPr>
        <w:t xml:space="preserve">الأول </w:t>
      </w:r>
      <w:r>
        <w:rPr>
          <w:rFonts w:hint="cs"/>
          <w:rtl/>
        </w:rPr>
        <w:t>:  ينفذ قضاؤه، وهذا القول المشهور عن الإمام أبي حنيفة وهو قولٌ لأبي يوسف ويتخرج عليه ظاهرًا : أن الإجماع اللاحق لا يرفع الاختلاف السابق.</w:t>
      </w:r>
    </w:p>
    <w:p w:rsidR="00035BE3" w:rsidRDefault="00035BE3" w:rsidP="00C10469">
      <w:pPr>
        <w:pStyle w:val="a6"/>
        <w:spacing w:line="264" w:lineRule="auto"/>
        <w:ind w:left="284" w:firstLine="0"/>
        <w:rPr>
          <w:rtl/>
        </w:rPr>
      </w:pPr>
      <w:r>
        <w:rPr>
          <w:rFonts w:hint="cs"/>
          <w:rtl/>
        </w:rPr>
        <w:t>وهذا القول المخرّج لم يرتضه أكثر الحنفية، وأوَّلوا رأيهما في أم الولد بما معناه : أن نفاذ  قضاء القاضي ببيعها، وإن كان لا يجوز -كما نقل ذلك محمد عنهما- لمخالفته الإجماع، إلا أن هذا الإجماع لا يقوى على نقض قضاء القاضي بما يخالفه؛ لأنه ليس بإجماع قطعي؛ بل هو موضع خلاف، ممّا يورث الشُّبهة فيه عند القائلين به، ويجعل القضاء به موضع اجتهادٍ، فلا ينقض.</w:t>
      </w:r>
    </w:p>
    <w:p w:rsidR="00035BE3" w:rsidRDefault="00035BE3" w:rsidP="00C10469">
      <w:pPr>
        <w:pStyle w:val="a6"/>
        <w:spacing w:line="264" w:lineRule="auto"/>
        <w:ind w:left="284" w:firstLine="0"/>
      </w:pPr>
      <w:r>
        <w:rPr>
          <w:rFonts w:hint="cs"/>
          <w:b/>
          <w:bCs/>
          <w:rtl/>
        </w:rPr>
        <w:t>الثاني</w:t>
      </w:r>
      <w:r>
        <w:rPr>
          <w:rFonts w:hint="cs"/>
          <w:rtl/>
        </w:rPr>
        <w:t xml:space="preserve"> : لا ينفذ قضاؤه، وهذا المشهور عن محمد، وهو قولٌ لأبي يوسف. ويتخرّج عليه أن الإجماع اللاحق يرفع الخلاف السابق؛ بل ورد عن محمد التصريح بهذا القول المخرَّج.</w:t>
      </w:r>
    </w:p>
    <w:p w:rsidR="00035BE3" w:rsidRDefault="00035BE3" w:rsidP="00C10469">
      <w:pPr>
        <w:pStyle w:val="a6"/>
        <w:spacing w:line="264" w:lineRule="auto"/>
        <w:ind w:left="284" w:firstLine="0"/>
      </w:pPr>
      <w:r>
        <w:rPr>
          <w:rFonts w:hint="cs"/>
          <w:b/>
          <w:bCs/>
          <w:rtl/>
        </w:rPr>
        <w:t xml:space="preserve">الثالث </w:t>
      </w:r>
      <w:r>
        <w:rPr>
          <w:rFonts w:hint="cs"/>
          <w:rtl/>
        </w:rPr>
        <w:t xml:space="preserve">: يتوقف نفاذ قضائه على إمضاء قاضٍ آخر، فإن أمضاه نفذ وإلا بطل.                       </w:t>
      </w:r>
    </w:p>
    <w:p w:rsidR="00035BE3" w:rsidRDefault="00035BE3" w:rsidP="00C10469">
      <w:pPr>
        <w:pStyle w:val="a6"/>
        <w:ind w:left="281" w:firstLine="0"/>
        <w:rPr>
          <w:rtl/>
        </w:rPr>
      </w:pPr>
      <w:r>
        <w:rPr>
          <w:rFonts w:hint="cs"/>
          <w:rtl/>
        </w:rPr>
        <w:t xml:space="preserve"> وهذا قول لمحمد وقد تأوّلوا هذا بنحو ما تأولوا به القول الأول.</w:t>
      </w:r>
    </w:p>
    <w:p w:rsidR="00035BE3" w:rsidRDefault="00035BE3" w:rsidP="00C10469">
      <w:pPr>
        <w:pStyle w:val="a6"/>
        <w:ind w:left="281" w:firstLine="0"/>
        <w:rPr>
          <w:rtl/>
        </w:rPr>
      </w:pPr>
      <w:r>
        <w:rPr>
          <w:rFonts w:hint="cs"/>
          <w:rtl/>
        </w:rPr>
        <w:t>ويلحظ من تأويلهم للقول الأول والثالث أن الراجح عندهم أن الإجماع اللاحق يرفع الخلاف السابق،</w:t>
      </w:r>
      <w:r>
        <w:rPr>
          <w:rFonts w:hint="eastAsia"/>
          <w:rtl/>
        </w:rPr>
        <w:t> </w:t>
      </w:r>
      <w:r>
        <w:rPr>
          <w:rFonts w:hint="cs"/>
          <w:rtl/>
        </w:rPr>
        <w:t xml:space="preserve">وهذا ما انتهى إليه المؤلف في نهاية القاعدة؛ بل صرح بذلك عدد من علمائهم: </w:t>
      </w:r>
    </w:p>
    <w:p w:rsidR="00035BE3" w:rsidRDefault="00035BE3" w:rsidP="00C10469">
      <w:pPr>
        <w:pStyle w:val="a6"/>
        <w:ind w:left="281" w:firstLine="0"/>
        <w:rPr>
          <w:rtl/>
        </w:rPr>
      </w:pPr>
      <w:r>
        <w:rPr>
          <w:rFonts w:hint="cs"/>
          <w:rtl/>
        </w:rPr>
        <w:t>- يقول الجصّاص -في باب الإجماع من أصوله، ص207-208-: «وقال أصحابنا : إجماع أهل العصر الثاني حجة لا يسع من بعدهم خلافه».</w:t>
      </w:r>
    </w:p>
    <w:p w:rsidR="00035BE3" w:rsidRDefault="00035BE3" w:rsidP="00C10469">
      <w:pPr>
        <w:pStyle w:val="a6"/>
        <w:ind w:left="-3"/>
        <w:rPr>
          <w:rtl/>
        </w:rPr>
      </w:pPr>
      <w:r>
        <w:rPr>
          <w:rFonts w:hint="cs"/>
          <w:rtl/>
        </w:rPr>
        <w:t>- ويقول السرخسي - في أصوله، 1/320-: «والأوجه عندي أن هذا إجماع عند أصحابنا جميعًا».</w:t>
      </w:r>
    </w:p>
    <w:p w:rsidR="00035BE3" w:rsidRDefault="00035BE3" w:rsidP="00C10469">
      <w:pPr>
        <w:pStyle w:val="a6"/>
        <w:ind w:left="281" w:firstLine="0"/>
      </w:pPr>
      <w:r>
        <w:rPr>
          <w:rFonts w:hint="cs"/>
          <w:rtl/>
        </w:rPr>
        <w:t>- ويقول النسفي - في كشف الأسرار ، 2/186-: «وقيل يشترط للإجماع اللاحق عدم الاختلاف</w:t>
      </w:r>
      <w:r>
        <w:rPr>
          <w:rFonts w:hint="eastAsia"/>
          <w:rtl/>
        </w:rPr>
        <w:t> </w:t>
      </w:r>
      <w:r>
        <w:rPr>
          <w:rFonts w:hint="cs"/>
          <w:rtl/>
        </w:rPr>
        <w:t>السابق عند أبي حنيفة. وليس كذلك في الصحيح؛ بل هذا إجماع عند أصحابنا...».</w:t>
      </w:r>
    </w:p>
    <w:p w:rsidR="00035BE3" w:rsidRDefault="00035BE3" w:rsidP="00C10469">
      <w:pPr>
        <w:pStyle w:val="a6"/>
        <w:ind w:left="281" w:firstLine="0"/>
        <w:rPr>
          <w:rtl/>
        </w:rPr>
      </w:pPr>
      <w:r>
        <w:rPr>
          <w:rFonts w:hint="cs"/>
          <w:rtl/>
        </w:rPr>
        <w:t>- هذا والله أعلم -.</w:t>
      </w:r>
    </w:p>
  </w:footnote>
  <w:footnote w:id="521">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(ب) و(د) : «ولكنه».</w:t>
      </w:r>
    </w:p>
  </w:footnote>
  <w:footnote w:id="522">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w:t>
      </w:r>
      <w:r w:rsidRPr="00477F78">
        <w:rPr>
          <w:rFonts w:hint="cs"/>
          <w:b/>
          <w:bCs/>
          <w:spacing w:val="-2"/>
          <w:rtl/>
        </w:rPr>
        <w:t>النسفي</w:t>
      </w:r>
      <w:r w:rsidRPr="00477F78">
        <w:rPr>
          <w:rFonts w:hint="cs"/>
          <w:spacing w:val="-2"/>
          <w:rtl/>
        </w:rPr>
        <w:t>: هو عبد الله بن أحمد بن محمود، أبوالبركات حافظ الدين النَّسفي (ت 710هـ) اشتهر بالفقه وأصوله والتفسير وغيرها.</w:t>
      </w:r>
    </w:p>
    <w:p w:rsidR="00035BE3" w:rsidRDefault="00035BE3" w:rsidP="00C10469">
      <w:pPr>
        <w:pStyle w:val="a6"/>
        <w:ind w:left="281" w:firstLine="0"/>
        <w:rPr>
          <w:spacing w:val="-4"/>
          <w:rtl/>
        </w:rPr>
      </w:pPr>
      <w:r>
        <w:rPr>
          <w:rFonts w:hint="cs"/>
          <w:spacing w:val="-4"/>
          <w:rtl/>
        </w:rPr>
        <w:t>من تصانـيفه: كنـز الدقائق، والوافي وشرحه : الكافي، والمستصفى شرح منظومة عمر النسفي، ومختصره: المصفى، والمستصفى من المستـوفى (أو المنافع شرح النافع) وجميعها في الفقه، وله : المنار وشرحه كشف الأسرار، وشرح المنتخب في أصول المذهب للأخسيكـثي، وله : مدارك التنزيل وحقائق التأويل.</w:t>
      </w:r>
    </w:p>
    <w:p w:rsidR="00035BE3" w:rsidRDefault="00035BE3" w:rsidP="00C10469">
      <w:pPr>
        <w:pStyle w:val="a6"/>
        <w:ind w:left="281" w:firstLine="0"/>
        <w:rPr>
          <w:rtl/>
        </w:rPr>
      </w:pPr>
      <w:r>
        <w:rPr>
          <w:rFonts w:hint="cs"/>
          <w:rtl/>
        </w:rPr>
        <w:t>انظر: الجواهر المضية، 2/295، رقم 692؛ تاج التراجم، ص111-112، رقم 126؛ مفتاح السعادة، 2/167-168؛ الطبقات السَّنية، 4/154-155، رقم 1037؛ كشف الظنون، 2/1640-1641، 1823-1827، 1867-1868، 1997.</w:t>
      </w:r>
    </w:p>
  </w:footnote>
  <w:footnote w:id="523">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المنار</w:t>
      </w:r>
      <w:r>
        <w:rPr>
          <w:rFonts w:hint="cs"/>
          <w:rtl/>
        </w:rPr>
        <w:t xml:space="preserve"> : وتمام إسمه : «منار الأنوار»، ألفه عبد الله بن أحمد النسفي - الآنف ذكره- وهو كتاب مختصر في أصول الفقه على طريقة الفقهاء. واختصره مؤلفه من أصول الفـخر البـزدوي (ت 482هـ) وأصـول السـرخسي (ت 483هـ).</w:t>
      </w:r>
    </w:p>
    <w:p w:rsidR="00035BE3" w:rsidRDefault="00035BE3" w:rsidP="00C10469">
      <w:pPr>
        <w:pStyle w:val="a6"/>
        <w:ind w:left="281" w:firstLine="0"/>
        <w:rPr>
          <w:rtl/>
        </w:rPr>
      </w:pPr>
      <w:r>
        <w:rPr>
          <w:rFonts w:hint="cs"/>
          <w:rtl/>
        </w:rPr>
        <w:t>وقد شرحه مؤلفه في كتاب سماه : (كشف الأسرار في شرح المنار).</w:t>
      </w:r>
    </w:p>
    <w:p w:rsidR="00035BE3" w:rsidRDefault="00035BE3" w:rsidP="00C10469">
      <w:pPr>
        <w:pStyle w:val="a6"/>
        <w:ind w:left="281" w:firstLine="0"/>
        <w:rPr>
          <w:rtl/>
        </w:rPr>
      </w:pPr>
      <w:r>
        <w:rPr>
          <w:rFonts w:hint="cs"/>
          <w:rtl/>
        </w:rPr>
        <w:t>وله شروح أخرى كثيرة، ذكر منها صاحب (كشف الظنون) قرابة ثلاثين شرحًا.</w:t>
      </w:r>
    </w:p>
    <w:p w:rsidR="00035BE3" w:rsidRDefault="00035BE3" w:rsidP="00C10469">
      <w:pPr>
        <w:pStyle w:val="a6"/>
        <w:ind w:left="281" w:firstLine="0"/>
        <w:rPr>
          <w:rtl/>
        </w:rPr>
      </w:pPr>
      <w:r>
        <w:rPr>
          <w:rFonts w:hint="cs"/>
          <w:rtl/>
        </w:rPr>
        <w:t>وقد طبع هذا الكتاب عدة طبعات:</w:t>
      </w:r>
    </w:p>
    <w:p w:rsidR="00035BE3" w:rsidRDefault="00035BE3" w:rsidP="00C10469">
      <w:pPr>
        <w:pStyle w:val="a6"/>
        <w:ind w:left="281" w:firstLine="0"/>
        <w:rPr>
          <w:rtl/>
        </w:rPr>
      </w:pPr>
      <w:r>
        <w:rPr>
          <w:rFonts w:hint="cs"/>
          <w:rtl/>
        </w:rPr>
        <w:t>من أقدمها : طبعة حجرية في الهند، عام 1287هـ ومعه تقييدات كثيرة لعبد الغفار بن قاضي بن بنامين. وليس فيها معلومات نشر أخرى.</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228" w:lineRule="auto"/>
        <w:ind w:left="366" w:firstLine="0"/>
        <w:rPr>
          <w:rtl/>
        </w:rPr>
      </w:pPr>
      <w:r>
        <w:rPr>
          <w:rFonts w:hint="cs"/>
          <w:rtl/>
        </w:rPr>
        <w:t xml:space="preserve"> ومن أحدثها : طبعة دار الكتب العلمية بيروت، عام 1406هـ، وذلك في ضمن شرح المصنف على المنار (كشف الأسرار).</w:t>
      </w:r>
    </w:p>
    <w:p w:rsidR="00035BE3" w:rsidRDefault="00035BE3" w:rsidP="00C10469">
      <w:pPr>
        <w:pStyle w:val="a6"/>
        <w:spacing w:line="228" w:lineRule="auto"/>
        <w:ind w:left="366" w:firstLine="0"/>
        <w:rPr>
          <w:spacing w:val="-2"/>
          <w:rtl/>
        </w:rPr>
      </w:pPr>
      <w:r>
        <w:rPr>
          <w:rFonts w:hint="cs"/>
          <w:spacing w:val="-2"/>
          <w:rtl/>
        </w:rPr>
        <w:t>انظر - بالإضافة إلى المصادر المذكورة في الهامش السابقة-: كشف الأسرار في شرح المنار، 1/4-5؛ مرجع العلوم الإسلامية، ص626؛ الدليل الجامع إلى كتب أصول الفقه المطبوعة باللغة العربية، ص240، 270، 325.</w:t>
      </w:r>
    </w:p>
  </w:footnote>
  <w:footnote w:id="524">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«و» : ساقطة من (ب) و(د).</w:t>
      </w:r>
    </w:p>
  </w:footnote>
  <w:footnote w:id="525">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(د) : «قبل».</w:t>
      </w:r>
    </w:p>
  </w:footnote>
  <w:footnote w:id="526">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المنار ( في ضمن شرحه : نور الأنوار)، 3/186-187.</w:t>
      </w:r>
    </w:p>
  </w:footnote>
  <w:footnote w:id="527">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نهاية 2/ب من (ب).</w:t>
      </w:r>
    </w:p>
  </w:footnote>
  <w:footnote w:id="528">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(أ) : «يبقى».  والأفصح ما تَمَّ إثباته من (ب) و(جـ) و(د).</w:t>
      </w:r>
    </w:p>
  </w:footnote>
  <w:footnote w:id="529">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w:t>
      </w:r>
      <w:r w:rsidRPr="002C63FA">
        <w:rPr>
          <w:rFonts w:hint="cs"/>
          <w:spacing w:val="-4"/>
          <w:rtl/>
        </w:rPr>
        <w:t>أي: أجيب عن الاستدلال بقول الإمام أبي حنيفة وأبي يوسف بنفاذ قضاء القاضي إذا قضى ببيع أم الولد.</w:t>
      </w:r>
    </w:p>
  </w:footnote>
  <w:footnote w:id="530">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(ب) : «يمنع»، وفي (جـ): «مع أن».</w:t>
      </w:r>
    </w:p>
  </w:footnote>
  <w:footnote w:id="531">
    <w:p w:rsidR="00035BE3" w:rsidRDefault="00035BE3" w:rsidP="00C10469">
      <w:pPr>
        <w:pStyle w:val="a8"/>
        <w:bidi/>
        <w:ind w:left="284"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(أ) و(ب): «وهو»، وفي (د): «فهو». والصحيح ما تم إثباته من (جـ) و(هـ) و(و).</w:t>
      </w:r>
    </w:p>
  </w:footnote>
  <w:footnote w:id="532">
    <w:p w:rsidR="00035BE3" w:rsidRDefault="00035BE3" w:rsidP="00C10469">
      <w:pPr>
        <w:pStyle w:val="a8"/>
        <w:bidi/>
        <w:ind w:left="366" w:right="0" w:hanging="366"/>
        <w:rPr>
          <w:rtl/>
        </w:rPr>
      </w:pPr>
      <w:r>
        <w:rPr>
          <w:rFonts w:hint="cs"/>
          <w:vertAlign w:val="superscript"/>
          <w:rtl/>
        </w:rPr>
        <w:t>(</w:t>
      </w:r>
      <w:r>
        <w:rPr>
          <w:rStyle w:val="a7"/>
        </w:rPr>
        <w:footnoteRef/>
      </w:r>
      <w:r>
        <w:rPr>
          <w:rFonts w:hint="cs"/>
          <w:vertAlign w:val="superscript"/>
          <w:rtl/>
        </w:rPr>
        <w:t>)</w:t>
      </w:r>
      <w:r>
        <w:rPr>
          <w:rFonts w:hint="cs"/>
          <w:rtl/>
        </w:rPr>
        <w:t xml:space="preserve">  </w:t>
      </w:r>
      <w:r w:rsidRPr="002A5598">
        <w:rPr>
          <w:rFonts w:hint="cs"/>
          <w:spacing w:val="-2"/>
          <w:rtl/>
        </w:rPr>
        <w:t>هكذا في جميع النسخ.والسياق يقتضي أن يكون معنى (على): إنتهاء الغاية، أي: أن الذي انتهى إليه</w:t>
      </w:r>
      <w:r>
        <w:rPr>
          <w:rFonts w:hint="cs"/>
          <w:rtl/>
        </w:rPr>
        <w:t xml:space="preserve"> رأي كثير من العلماء هو أن الاختلاف السابق يمنع الإجماع اللاحق، والذي يدل على هذا المعنى حقيقة هو حرف (إلى)، أما (على) فقد ذكر صاحب (الجني الداني) ثمانية معانٍ لها وليس من بينها: انتهاء الغاية، ولكن إذا لم يكن هذا المعنى من معاني (على) فهل يصح أن يقال: إن (على) نابت مناب (إلى) بناء على</w:t>
      </w:r>
      <w:r>
        <w:rPr>
          <w:rFonts w:hint="eastAsia"/>
          <w:rtl/>
        </w:rPr>
        <w:t> </w:t>
      </w:r>
      <w:r>
        <w:rPr>
          <w:rFonts w:hint="cs"/>
          <w:rtl/>
        </w:rPr>
        <w:t>قولهم : «ينوب بعض حروف الجر عن بعض»؟.</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281" w:firstLine="0"/>
        <w:rPr>
          <w:rtl/>
        </w:rPr>
      </w:pPr>
      <w:r>
        <w:rPr>
          <w:rFonts w:hint="cs"/>
          <w:rtl/>
        </w:rPr>
        <w:t>هذه المقولة لم يرتضها على إطلاقها صاحب (مغني اللبيب)، حيث علّق عليها بقوله : «وهذا .. مما يتداولونه ويستدلون به. وتصحيحه بإدخال (قد) على قولهم ينوب ... ».</w:t>
      </w:r>
    </w:p>
    <w:p w:rsidR="00035BE3" w:rsidRDefault="00035BE3" w:rsidP="00C10469">
      <w:pPr>
        <w:pStyle w:val="a6"/>
        <w:ind w:left="281" w:firstLine="0"/>
        <w:rPr>
          <w:rtl/>
        </w:rPr>
      </w:pPr>
      <w:r>
        <w:rPr>
          <w:rFonts w:hint="cs"/>
          <w:rtl/>
        </w:rPr>
        <w:t xml:space="preserve">وكذلك فعل صاحب (النحو الوافي) إلا أنه فصّل وذكر في المسألة قولين -واختار الثاني منها- : </w:t>
      </w:r>
    </w:p>
    <w:p w:rsidR="00035BE3" w:rsidRDefault="00035BE3" w:rsidP="00C10469">
      <w:pPr>
        <w:pStyle w:val="a6"/>
        <w:ind w:left="281" w:firstLine="0"/>
        <w:rPr>
          <w:rtl/>
        </w:rPr>
      </w:pPr>
      <w:r>
        <w:rPr>
          <w:rFonts w:hint="cs"/>
          <w:b/>
          <w:bCs/>
          <w:rtl/>
        </w:rPr>
        <w:t>أحدهما</w:t>
      </w:r>
      <w:r>
        <w:rPr>
          <w:rFonts w:hint="cs"/>
          <w:rtl/>
        </w:rPr>
        <w:t xml:space="preserve"> : ليس لحرف الجرِّ إلا معنى واحدٌ أصلي يؤديه على سبيل الحقيقة، فإن أدى معنى غيره فهذه التأدية إما مجازية، أو تضمينية.</w:t>
      </w:r>
    </w:p>
    <w:p w:rsidR="00035BE3" w:rsidRDefault="00035BE3" w:rsidP="00C10469">
      <w:pPr>
        <w:pStyle w:val="a6"/>
        <w:ind w:left="281" w:firstLine="0"/>
        <w:rPr>
          <w:rtl/>
        </w:rPr>
      </w:pPr>
      <w:r>
        <w:rPr>
          <w:rFonts w:hint="cs"/>
          <w:b/>
          <w:bCs/>
          <w:rtl/>
        </w:rPr>
        <w:t>والثاني</w:t>
      </w:r>
      <w:r>
        <w:rPr>
          <w:rFonts w:hint="cs"/>
          <w:rtl/>
        </w:rPr>
        <w:t xml:space="preserve"> : ليس لحرف الجر معنى واحد فقط؛ بل متى اشتهر معناه، وشاعت دلالته وأصبح متبادرًا إلى ذهن السامع كان المعنى حقيقيًّا والدلالة أصيلة.</w:t>
      </w:r>
    </w:p>
    <w:p w:rsidR="00035BE3" w:rsidRDefault="00035BE3" w:rsidP="00C10469">
      <w:pPr>
        <w:pStyle w:val="a6"/>
        <w:ind w:left="281" w:firstLine="0"/>
        <w:rPr>
          <w:spacing w:val="-2"/>
          <w:rtl/>
        </w:rPr>
      </w:pPr>
      <w:r>
        <w:rPr>
          <w:rFonts w:hint="cs"/>
          <w:spacing w:val="-2"/>
          <w:rtl/>
        </w:rPr>
        <w:t>انظر : الجنى الداني في حروف المعاني، ص385-390، 470-480؛ مغني اللبيب، ص404-405؛ أوضح المسالك وشرحه: ضياء المسالك، 2/290-291، 295؛ النحو الوافي ، 2/537-543.</w:t>
      </w:r>
    </w:p>
  </w:footnote>
  <w:footnote w:id="533">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«أن» : ساقطة من (ب).</w:t>
      </w:r>
    </w:p>
  </w:footnote>
  <w:footnote w:id="534">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(ب) : «الاجتماع».</w:t>
      </w:r>
    </w:p>
  </w:footnote>
  <w:footnote w:id="535">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وقد سبق بيان من ذهب إلى هذا القول، ص224.</w:t>
      </w:r>
    </w:p>
  </w:footnote>
  <w:footnote w:id="536">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(د) : «لذلك».</w:t>
      </w:r>
    </w:p>
  </w:footnote>
  <w:footnote w:id="537">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(ب) و(د) : «للإجماع».</w:t>
      </w:r>
    </w:p>
  </w:footnote>
  <w:footnote w:id="538">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(جـ) زيادة : «هو».</w:t>
      </w:r>
    </w:p>
  </w:footnote>
  <w:footnote w:id="539">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(د) : «كقضاء».</w:t>
      </w:r>
    </w:p>
  </w:footnote>
  <w:footnote w:id="540">
    <w:p w:rsidR="00035BE3" w:rsidRDefault="00035BE3" w:rsidP="00C10469">
      <w:pPr>
        <w:pStyle w:val="a8"/>
        <w:bidi/>
        <w:spacing w:line="500" w:lineRule="exact"/>
        <w:ind w:left="281" w:right="0" w:hanging="284"/>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6D57F8">
        <w:rPr>
          <w:rFonts w:hint="cs"/>
          <w:spacing w:val="6"/>
          <w:rtl/>
        </w:rPr>
        <w:t>انظر: باب الإجماع من أصول الجصّاص، ص208-209؛ أصول البزدوي وشرحه: كشف الأسرار، 3/458؛ أصول السرخسي، 1/320، كشف الأسـرار للـنسـفي، 2/186؛ التـقرير والتحبير، 3/89؛ تيسير التحرير، 3/233</w:t>
      </w:r>
      <w:r w:rsidRPr="00B22683">
        <w:rPr>
          <w:rFonts w:hint="cs"/>
          <w:spacing w:val="2"/>
          <w:rtl/>
        </w:rPr>
        <w:t>؛ فواتح الرحـمـوت، 2/227؛ قمر الأقمار</w:t>
      </w:r>
      <w:r>
        <w:rPr>
          <w:rFonts w:hint="cs"/>
          <w:spacing w:val="4"/>
          <w:rtl/>
        </w:rPr>
        <w:t xml:space="preserve">، 2/105.                                                                                </w:t>
      </w:r>
    </w:p>
  </w:footnote>
  <w:footnote w:id="541">
    <w:p w:rsidR="00035BE3" w:rsidRDefault="00035BE3" w:rsidP="00C10469">
      <w:pPr>
        <w:pStyle w:val="a8"/>
        <w:bidi/>
        <w:spacing w:line="500" w:lineRule="exact"/>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في (أ) و(جـ): «فليراجع إلى»، وفي (ب): «فليرجع إلى»، وفي (د): «فليراجع إلى» (مع وضع علامة على (إلى) يحتمل أن المراد بها كونها مطموسة). والصحيح ما في (ب) وما في (د) بطمس (إلى).</w:t>
      </w:r>
    </w:p>
    <w:p w:rsidR="00035BE3" w:rsidRDefault="00035BE3" w:rsidP="00C10469">
      <w:pPr>
        <w:pStyle w:val="a6"/>
        <w:ind w:left="281" w:firstLine="0"/>
        <w:rPr>
          <w:rtl/>
        </w:rPr>
      </w:pPr>
      <w:r>
        <w:rPr>
          <w:rFonts w:hint="cs"/>
          <w:rtl/>
        </w:rPr>
        <w:t>ولتوضيح ذلك يقال : إن الفعل في (ب) (وهو : فليرجع): فعل لازم؛ لعدم إمكان اتصاله بِـ (هاء) ضمير غير المصدر، والفعل اللازم يمكن أن يتعدى بالجار، فناسب أن يؤتى بِـ «إلى» بعده.</w:t>
      </w:r>
    </w:p>
    <w:p w:rsidR="00035BE3" w:rsidRDefault="00035BE3" w:rsidP="00C10469">
      <w:pPr>
        <w:pStyle w:val="a6"/>
        <w:ind w:left="281" w:firstLine="0"/>
        <w:rPr>
          <w:rtl/>
        </w:rPr>
      </w:pPr>
      <w:r>
        <w:rPr>
          <w:rFonts w:hint="cs"/>
          <w:rtl/>
        </w:rPr>
        <w:t>كما أن الفعل في (د) (وهو : فليراجع) فعل متعدٍّ لإمكان اتصاله بـ (هاء) ضمير غير المصدر، وكما هو معلوم فإن المتعدي: «هو الذي ينصب بنفسه مفعولاً أو اثنين أو ثلاثة من غير مساعدة حرف جرٍّ أو غيره» - قاله في النحو الوافي، 2/150 - وبناء على هذا ناسب حذف حرف الجر بعده.</w:t>
      </w:r>
    </w:p>
    <w:p w:rsidR="00035BE3" w:rsidRDefault="00035BE3" w:rsidP="00C10469">
      <w:pPr>
        <w:pStyle w:val="a6"/>
        <w:ind w:left="281" w:firstLine="0"/>
        <w:rPr>
          <w:rtl/>
        </w:rPr>
      </w:pPr>
      <w:r>
        <w:rPr>
          <w:rFonts w:hint="cs"/>
          <w:rtl/>
        </w:rPr>
        <w:t>أما إثبات حرف الجر بعده - كما هو الحال في (أ) و(جـ)- فلا معنى له! كما أنه لا يمكن أن يكون زائدًا؛ لأن حروف الجر التي تستعمل زائدة هي أربعة فقط: وهي من والبـاء والـلام والكاف. و(إلى)</w:t>
      </w:r>
      <w:r>
        <w:rPr>
          <w:rFonts w:hint="eastAsia"/>
          <w:rtl/>
        </w:rPr>
        <w:t> </w:t>
      </w:r>
      <w:r>
        <w:rPr>
          <w:rFonts w:hint="cs"/>
          <w:rtl/>
        </w:rPr>
        <w:t>ليست من بينها !!.</w:t>
      </w:r>
    </w:p>
    <w:p w:rsidR="00035BE3" w:rsidRDefault="00035BE3" w:rsidP="00C10469">
      <w:pPr>
        <w:pStyle w:val="a6"/>
        <w:ind w:left="281" w:firstLine="0"/>
        <w:rPr>
          <w:spacing w:val="-4"/>
          <w:rtl/>
        </w:rPr>
      </w:pPr>
      <w:r>
        <w:rPr>
          <w:rFonts w:hint="cs"/>
          <w:spacing w:val="-4"/>
          <w:rtl/>
        </w:rPr>
        <w:t xml:space="preserve">ولكون ما في (ب) و(د) صحيحًا لا إشكال فيه، دون غيرهما : اكتفيت بإثبات ما في إحداهما في الصلب. </w:t>
      </w:r>
    </w:p>
    <w:p w:rsidR="00035BE3" w:rsidRDefault="00035BE3" w:rsidP="00C10469">
      <w:pPr>
        <w:pStyle w:val="a6"/>
        <w:ind w:left="281" w:firstLine="0"/>
        <w:rPr>
          <w:rtl/>
        </w:rPr>
      </w:pPr>
      <w:r>
        <w:rPr>
          <w:rFonts w:hint="cs"/>
          <w:rtl/>
        </w:rPr>
        <w:t>انظر ما يتعلق بالفعل اللازم والمتعدي في: أوضح المسالك وشرحيه : ضياء السالك، 2/91-94؛ وعدة</w:t>
      </w:r>
      <w:r>
        <w:rPr>
          <w:rFonts w:hint="eastAsia"/>
          <w:rtl/>
        </w:rPr>
        <w:t> </w:t>
      </w:r>
      <w:r>
        <w:rPr>
          <w:rFonts w:hint="cs"/>
          <w:rtl/>
        </w:rPr>
        <w:t>السالك، 2/175-183. وما يتعلق بحروف الجر الزائدة في : ضياء السالك، 2/268.</w:t>
      </w:r>
    </w:p>
  </w:footnote>
  <w:footnote w:id="542">
    <w:p w:rsidR="00035BE3" w:rsidRDefault="00035BE3" w:rsidP="00C10469">
      <w:pPr>
        <w:pStyle w:val="a8"/>
        <w:bidi/>
        <w:ind w:left="281" w:right="0" w:hanging="284"/>
        <w:rPr>
          <w:rtl/>
        </w:rPr>
      </w:pPr>
      <w:r>
        <w:rPr>
          <w:rFonts w:hint="cs"/>
          <w:vertAlign w:val="superscript"/>
          <w:rtl/>
        </w:rPr>
        <w:t>(</w:t>
      </w:r>
      <w:r>
        <w:rPr>
          <w:rStyle w:val="a7"/>
        </w:rPr>
        <w:footnoteRef/>
      </w:r>
      <w:r>
        <w:rPr>
          <w:rFonts w:hint="cs"/>
          <w:vertAlign w:val="superscript"/>
          <w:rtl/>
        </w:rPr>
        <w:t>)</w:t>
      </w:r>
      <w:r>
        <w:rPr>
          <w:rFonts w:hint="cs"/>
          <w:rtl/>
        </w:rPr>
        <w:t xml:space="preserve">  وقد سبق ذكر طائفة من هذه الكتب عند توثيق القاعدة في نهاية هامش(1) من ص224.</w:t>
      </w:r>
    </w:p>
  </w:footnote>
  <w:footnote w:id="543">
    <w:p w:rsidR="00035BE3" w:rsidRDefault="00035BE3" w:rsidP="00C10469">
      <w:pPr>
        <w:pStyle w:val="a8"/>
        <w:bidi/>
        <w:ind w:left="422" w:right="0"/>
        <w:rPr>
          <w:rStyle w:val="a7"/>
          <w:szCs w:val="30"/>
          <w:rtl/>
        </w:rPr>
      </w:pPr>
      <w:r>
        <w:rPr>
          <w:rFonts w:hint="cs"/>
          <w:vertAlign w:val="superscript"/>
          <w:rtl/>
        </w:rPr>
        <w:t>(</w:t>
      </w:r>
      <w:r>
        <w:rPr>
          <w:rStyle w:val="a7"/>
        </w:rPr>
        <w:footnoteRef/>
      </w:r>
      <w:r>
        <w:rPr>
          <w:rFonts w:hint="cs"/>
          <w:vertAlign w:val="superscript"/>
          <w:rtl/>
        </w:rPr>
        <w:t>)</w:t>
      </w:r>
      <w:r>
        <w:rPr>
          <w:rFonts w:hint="cs"/>
          <w:rtl/>
        </w:rPr>
        <w:t xml:space="preserve">  في (أ) و(جـ) و(د) : «ينقسم». والصحيح ما تَمَّ إثباته من (ب).</w:t>
      </w:r>
    </w:p>
  </w:footnote>
  <w:footnote w:id="5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 </w:t>
      </w:r>
    </w:p>
    <w:p w:rsidR="00035BE3" w:rsidRDefault="00035BE3" w:rsidP="00C10469">
      <w:pPr>
        <w:pStyle w:val="a6"/>
        <w:ind w:left="422" w:firstLine="0"/>
        <w:rPr>
          <w:rtl/>
        </w:rPr>
      </w:pPr>
      <w:r>
        <w:rPr>
          <w:rFonts w:hint="cs"/>
          <w:b/>
          <w:bCs/>
          <w:rtl/>
        </w:rPr>
        <w:t>العوض</w:t>
      </w:r>
      <w:r>
        <w:rPr>
          <w:rFonts w:hint="cs"/>
          <w:rtl/>
        </w:rPr>
        <w:t xml:space="preserve"> في اللغة مشـتق من «عوض»، والعين والواو والضاد - كما يقول ابن فارس -: «كلمتان صحيحتان : إحداهما : تدل على بدلٍ للشيء، والأخرى على زمان». والعوض هنا من المعنى الأول.</w:t>
      </w:r>
    </w:p>
    <w:p w:rsidR="00035BE3" w:rsidRDefault="00035BE3" w:rsidP="00C10469">
      <w:pPr>
        <w:pStyle w:val="a6"/>
        <w:ind w:left="422" w:firstLine="0"/>
        <w:rPr>
          <w:rtl/>
        </w:rPr>
      </w:pPr>
      <w:r>
        <w:rPr>
          <w:rFonts w:hint="cs"/>
          <w:b/>
          <w:bCs/>
          <w:rtl/>
        </w:rPr>
        <w:t>وفي الاصطلاح</w:t>
      </w:r>
      <w:r>
        <w:rPr>
          <w:rFonts w:hint="cs"/>
          <w:rtl/>
        </w:rPr>
        <w:t xml:space="preserve"> : عرَّفه القونوي بأنه: «ما يعطى في مقابلة العمل». </w:t>
      </w:r>
    </w:p>
    <w:p w:rsidR="00035BE3" w:rsidRDefault="00035BE3" w:rsidP="00C10469">
      <w:pPr>
        <w:pStyle w:val="a6"/>
        <w:ind w:left="422" w:firstLine="0"/>
        <w:rPr>
          <w:rtl/>
        </w:rPr>
      </w:pPr>
      <w:r>
        <w:rPr>
          <w:rFonts w:hint="cs"/>
          <w:rtl/>
        </w:rPr>
        <w:t xml:space="preserve">أما </w:t>
      </w:r>
      <w:r>
        <w:rPr>
          <w:rFonts w:hint="cs"/>
          <w:b/>
          <w:bCs/>
          <w:rtl/>
        </w:rPr>
        <w:t>الشرْط</w:t>
      </w:r>
      <w:r>
        <w:rPr>
          <w:rFonts w:hint="cs"/>
          <w:rtl/>
        </w:rPr>
        <w:t xml:space="preserve"> فهو في </w:t>
      </w:r>
      <w:r>
        <w:rPr>
          <w:rFonts w:hint="cs"/>
          <w:b/>
          <w:bCs/>
          <w:rtl/>
        </w:rPr>
        <w:t>اللغة</w:t>
      </w:r>
      <w:r>
        <w:rPr>
          <w:rFonts w:hint="cs"/>
          <w:rtl/>
        </w:rPr>
        <w:t>: «إلزام الشيء والتزامه في البيع ونحوه ... [والجمع] : شروط ... » - قاله في القاموس المحيط-.</w:t>
      </w:r>
    </w:p>
    <w:p w:rsidR="00035BE3" w:rsidRDefault="00035BE3" w:rsidP="00C10469">
      <w:pPr>
        <w:pStyle w:val="a6"/>
        <w:ind w:left="422" w:firstLine="0"/>
        <w:rPr>
          <w:rtl/>
        </w:rPr>
      </w:pPr>
      <w:r>
        <w:rPr>
          <w:rFonts w:hint="cs"/>
          <w:b/>
          <w:bCs/>
          <w:rtl/>
        </w:rPr>
        <w:t>وفي الاصطلاح</w:t>
      </w:r>
      <w:r>
        <w:rPr>
          <w:rFonts w:hint="cs"/>
          <w:rtl/>
        </w:rPr>
        <w:t xml:space="preserve"> : عرفه القرافي بأنه: «الذي يلزم من عدمه العدم ولا يلزم من وجوده وجود ولا عدم لذاته، ولا يشتمل على شيء من المناسبة في ذاته؛ بل في غيره».</w:t>
      </w:r>
    </w:p>
    <w:p w:rsidR="00035BE3" w:rsidRDefault="00035BE3" w:rsidP="00C10469">
      <w:pPr>
        <w:pStyle w:val="a6"/>
        <w:ind w:left="422" w:firstLine="0"/>
        <w:rPr>
          <w:rtl/>
        </w:rPr>
      </w:pPr>
      <w:r>
        <w:rPr>
          <w:rFonts w:hint="cs"/>
          <w:rtl/>
        </w:rPr>
        <w:t>وقد ذكر العلماء أن للشرط أربعة أقسام باعتبار إدراك العلاقة مع المشروط :</w:t>
      </w:r>
    </w:p>
    <w:p w:rsidR="00035BE3" w:rsidRDefault="00035BE3" w:rsidP="00C10469">
      <w:pPr>
        <w:pStyle w:val="a6"/>
        <w:ind w:left="422" w:firstLine="0"/>
        <w:rPr>
          <w:rtl/>
        </w:rPr>
      </w:pPr>
      <w:r>
        <w:rPr>
          <w:rFonts w:hint="cs"/>
          <w:b/>
          <w:bCs/>
          <w:rtl/>
        </w:rPr>
        <w:t>الأول</w:t>
      </w:r>
      <w:r>
        <w:rPr>
          <w:rFonts w:hint="cs"/>
          <w:rtl/>
        </w:rPr>
        <w:t xml:space="preserve"> : الشرعي، كاشتراط الطهارة لصحة الصلاة.</w:t>
      </w:r>
    </w:p>
    <w:p w:rsidR="00035BE3" w:rsidRDefault="00035BE3" w:rsidP="00C10469">
      <w:pPr>
        <w:pStyle w:val="a6"/>
        <w:ind w:left="422" w:firstLine="0"/>
        <w:rPr>
          <w:rtl/>
        </w:rPr>
      </w:pPr>
      <w:r>
        <w:rPr>
          <w:rFonts w:hint="cs"/>
          <w:b/>
          <w:bCs/>
          <w:rtl/>
        </w:rPr>
        <w:t>الثاني</w:t>
      </w:r>
      <w:r>
        <w:rPr>
          <w:rFonts w:hint="cs"/>
          <w:rtl/>
        </w:rPr>
        <w:t xml:space="preserve"> : العقلي، كاشتراط العلم للإرادة.</w:t>
      </w:r>
    </w:p>
    <w:p w:rsidR="00035BE3" w:rsidRDefault="00035BE3" w:rsidP="00C10469">
      <w:pPr>
        <w:pStyle w:val="a6"/>
        <w:ind w:left="422" w:firstLine="0"/>
        <w:rPr>
          <w:rtl/>
        </w:rPr>
      </w:pPr>
      <w:r>
        <w:rPr>
          <w:rFonts w:hint="cs"/>
          <w:b/>
          <w:bCs/>
          <w:rtl/>
        </w:rPr>
        <w:t>الثالث</w:t>
      </w:r>
      <w:r>
        <w:rPr>
          <w:rFonts w:hint="cs"/>
          <w:rtl/>
        </w:rPr>
        <w:t xml:space="preserve"> : العادي، كاشتراط الغذاء للحيوان.</w:t>
      </w:r>
    </w:p>
    <w:p w:rsidR="00035BE3" w:rsidRDefault="00035BE3" w:rsidP="00C10469">
      <w:pPr>
        <w:pStyle w:val="a6"/>
        <w:ind w:left="422" w:firstLine="0"/>
        <w:rPr>
          <w:rtl/>
        </w:rPr>
      </w:pPr>
      <w:r>
        <w:rPr>
          <w:rFonts w:hint="cs"/>
          <w:b/>
          <w:bCs/>
          <w:rtl/>
        </w:rPr>
        <w:t>الرابع</w:t>
      </w:r>
      <w:r>
        <w:rPr>
          <w:rFonts w:hint="cs"/>
          <w:rtl/>
        </w:rPr>
        <w:t xml:space="preserve"> : اللغوي، كاشتراط الدخول للطلاق في نحو : إن دخلتِ الدار فأنت طالق.</w:t>
      </w:r>
    </w:p>
    <w:p w:rsidR="00035BE3" w:rsidRDefault="00035BE3" w:rsidP="00C10469">
      <w:pPr>
        <w:pStyle w:val="a6"/>
        <w:spacing w:line="264" w:lineRule="auto"/>
        <w:ind w:left="422" w:firstLine="0"/>
        <w:rPr>
          <w:rtl/>
        </w:rPr>
      </w:pPr>
      <w:r>
        <w:rPr>
          <w:rFonts w:hint="cs"/>
          <w:rtl/>
        </w:rPr>
        <w:t>وبالمقارنة بين التعريف الاصطلاحي للشرط وبين أمثلة أنواعه الأربعة يلحظ أن التعريف منطبق على الأمثلة الثلاثة الأول دون الرابع؛ لأنه كما يلزم من عدم الدخول عدم الطلاق، أيضًا يلزم من وجود الدخول وجود الطلاق لذاته. وهذه حقيقة السبب لا الشرط.</w:t>
      </w:r>
    </w:p>
    <w:p w:rsidR="00035BE3" w:rsidRDefault="00035BE3" w:rsidP="00C10469">
      <w:pPr>
        <w:pStyle w:val="a6"/>
        <w:spacing w:line="264" w:lineRule="auto"/>
        <w:ind w:left="422" w:firstLine="0"/>
        <w:rPr>
          <w:rtl/>
        </w:rPr>
      </w:pPr>
      <w:r>
        <w:rPr>
          <w:rFonts w:hint="cs"/>
          <w:rtl/>
        </w:rPr>
        <w:t>لهذا عدّ عدد من العلماء الشروط اللغوية من قبيل الأسباب.</w:t>
      </w:r>
    </w:p>
    <w:p w:rsidR="00035BE3" w:rsidRDefault="00035BE3" w:rsidP="00C10469">
      <w:pPr>
        <w:pStyle w:val="a6"/>
        <w:spacing w:line="264" w:lineRule="auto"/>
        <w:ind w:left="422" w:firstLine="0"/>
        <w:rPr>
          <w:rtl/>
        </w:rPr>
      </w:pPr>
      <w:r>
        <w:rPr>
          <w:rFonts w:hint="cs"/>
          <w:rtl/>
        </w:rPr>
        <w:t>وحديث المؤلف في القاعدة إنما هو عن النوع الأخير وهو الشرط اللغوي، وهو الذي حصل فيه ارتباط الشرط بالمشروط من جهة واضع اللغة.</w:t>
      </w:r>
    </w:p>
    <w:p w:rsidR="00035BE3" w:rsidRDefault="00035BE3" w:rsidP="00C10469">
      <w:pPr>
        <w:pStyle w:val="a6"/>
        <w:spacing w:line="264" w:lineRule="auto"/>
        <w:ind w:left="422" w:firstLine="0"/>
        <w:rPr>
          <w:rtl/>
        </w:rPr>
      </w:pPr>
      <w:r>
        <w:rPr>
          <w:rFonts w:hint="cs"/>
          <w:rtl/>
        </w:rPr>
        <w:t xml:space="preserve">إذا علم هذا </w:t>
      </w:r>
      <w:r>
        <w:rPr>
          <w:rFonts w:hint="cs"/>
          <w:b/>
          <w:bCs/>
          <w:rtl/>
        </w:rPr>
        <w:t xml:space="preserve">فالمعنى الإجمالي للقاعدة </w:t>
      </w:r>
      <w:r>
        <w:rPr>
          <w:rFonts w:hint="cs"/>
          <w:rtl/>
        </w:rPr>
        <w:t xml:space="preserve">: </w:t>
      </w:r>
    </w:p>
    <w:p w:rsidR="00035BE3" w:rsidRDefault="00035BE3" w:rsidP="00C10469">
      <w:pPr>
        <w:pStyle w:val="a6"/>
        <w:ind w:left="422" w:firstLine="0"/>
        <w:rPr>
          <w:rtl/>
        </w:rPr>
      </w:pPr>
      <w:r>
        <w:rPr>
          <w:rFonts w:hint="cs"/>
          <w:rtl/>
        </w:rPr>
        <w:t>هو أن الإنسان إذا طلب من غيره شيئًا ما، وحدّد له جزاءً بدل هذا الشيء، فحقَّق طلبه كلَّه: استحق جميع البدل. ولو حقَّق جزءًا منه استحقَّ جزءًا من البدل يناسب ما حققّه.</w:t>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 هذا إذا كان على سبيل المعاوضة، ومن علامته : تعليق الجزاء بالباء؛ «لأن حرف الباء يصحب الأعواض»- قاله السرخسي - ومثاله : لو قالت : طلقني ثلاثًا بألف. فإن طلقها ثلاثًا استحق الألف، وإن طلقها اثنتان استحق ثلثي الألف، وإن طلقها واحدة استحق ثلثه.</w:t>
      </w:r>
    </w:p>
    <w:p w:rsidR="00035BE3" w:rsidRPr="0022714B" w:rsidRDefault="00035BE3" w:rsidP="00C10469">
      <w:pPr>
        <w:pStyle w:val="a6"/>
        <w:ind w:left="422" w:firstLine="0"/>
        <w:rPr>
          <w:spacing w:val="-6"/>
          <w:rtl/>
        </w:rPr>
      </w:pPr>
      <w:r w:rsidRPr="0022714B">
        <w:rPr>
          <w:rFonts w:hint="cs"/>
          <w:spacing w:val="-6"/>
          <w:rtl/>
        </w:rPr>
        <w:t>أما إذا كان على سبيل الاشتراط فإن الآخر لا يستحق المشروط إلا إذا أتى بالشرط كاملاً؛ لأن الأول ما التزم المشروط (أي الجزاء) إلاّ عقب إتيان الثاني بالشرط كاملاً، فلو أتى الثاني بجزء من الشرط فإنه لا يُعطى جزءًا من المشروط؛ لأنه لو أعطي جزءًا من المشروط للزم تقدّم جزء من المشروط على تمام الشرط، لا كونه عقبه.</w:t>
      </w:r>
    </w:p>
    <w:p w:rsidR="00035BE3" w:rsidRPr="0022714B" w:rsidRDefault="00035BE3" w:rsidP="00C10469">
      <w:pPr>
        <w:pStyle w:val="a6"/>
        <w:ind w:left="422" w:firstLine="0"/>
        <w:rPr>
          <w:spacing w:val="-6"/>
          <w:rtl/>
        </w:rPr>
      </w:pPr>
      <w:r w:rsidRPr="0022714B">
        <w:rPr>
          <w:rFonts w:hint="cs"/>
          <w:spacing w:val="-6"/>
          <w:rtl/>
        </w:rPr>
        <w:t>فلا يتحقق كون الشرط اللغوي يلزم من وجوده الوجود ومن عدمه العدم، ولا كون الجزاء لا يثبت إلا باعتبار الشرط جملة !! ودفعًا لهذا قالوا : «أجزاء الشرط لا تنقسم على أجزاء المشروط». ومثال ذلك لو قال : إن دخلتِ بيتهم وأكلتِ من طعامهم فأنت طالق طلقتين. فدخلت ولم تأكل، أو العكس: فلا تقسَّم أجزاء الشرط على أجزاء المشروط بإيقاع طلقة واحدة؛ بل لابّد من حصول جزئي الشرط معًا (وهما الدخول والأكل) ليترتب على ذلك جزءَا المشروط معًا (وهما الطلقتان)، لأن أجزاء الشرط لا تنقسم على أجزاء المشروط.</w:t>
      </w:r>
    </w:p>
    <w:p w:rsidR="00035BE3" w:rsidRDefault="00035BE3" w:rsidP="00C10469">
      <w:pPr>
        <w:pStyle w:val="a6"/>
        <w:spacing w:line="480" w:lineRule="exact"/>
        <w:ind w:left="422" w:firstLine="0"/>
        <w:rPr>
          <w:rtl/>
        </w:rPr>
      </w:pPr>
      <w:r>
        <w:rPr>
          <w:rFonts w:hint="cs"/>
          <w:b/>
          <w:bCs/>
          <w:rtl/>
        </w:rPr>
        <w:t>ولتوثيق ما سبق</w:t>
      </w:r>
      <w:r>
        <w:rPr>
          <w:rFonts w:hint="cs"/>
          <w:rtl/>
        </w:rPr>
        <w:t>: فإن معنى العوض لغة مستفاد من المقاييس في اللغة، مادة «عوض»، ص721؛ وانظر: القاموس المحيط، مادة «عوض»، ص836؛ المعجم الوسيط، مادة «عاض»، 2/737.</w:t>
      </w:r>
    </w:p>
    <w:p w:rsidR="00035BE3" w:rsidRDefault="00035BE3" w:rsidP="00C10469">
      <w:pPr>
        <w:pStyle w:val="a6"/>
        <w:ind w:left="422" w:firstLine="0"/>
        <w:rPr>
          <w:rtl/>
        </w:rPr>
      </w:pPr>
      <w:r>
        <w:rPr>
          <w:rFonts w:hint="cs"/>
          <w:rtl/>
        </w:rPr>
        <w:t>ومعناه اصطلاحًا من أنيس الفقهاء، ص102؛ وانظر طِلْبَة الطَّلبة في الاصطلاحات الفقهية، ص296.</w:t>
      </w:r>
    </w:p>
    <w:p w:rsidR="00035BE3" w:rsidRDefault="00035BE3" w:rsidP="00C10469">
      <w:pPr>
        <w:pStyle w:val="a6"/>
        <w:ind w:left="422" w:firstLine="0"/>
        <w:rPr>
          <w:rtl/>
        </w:rPr>
      </w:pPr>
      <w:r>
        <w:rPr>
          <w:rFonts w:hint="cs"/>
          <w:rtl/>
        </w:rPr>
        <w:t>ومعنى الشرط لغة مستفاد من القاموس المحيط، مادة «شرط»، ص869؛ وانظر: المقاييس في اللغة، مادة «شرط»، ص555.</w:t>
      </w:r>
    </w:p>
    <w:p w:rsidR="00035BE3" w:rsidRDefault="00035BE3" w:rsidP="00C10469">
      <w:pPr>
        <w:pStyle w:val="a6"/>
        <w:ind w:left="422" w:firstLine="0"/>
        <w:rPr>
          <w:rtl/>
        </w:rPr>
      </w:pPr>
      <w:r>
        <w:rPr>
          <w:rFonts w:hint="cs"/>
          <w:rtl/>
        </w:rPr>
        <w:t>واصطلاحًا من : أنوار البروق في أنواء الفروق للقرافي، 1/62.</w:t>
      </w:r>
    </w:p>
    <w:p w:rsidR="00035BE3" w:rsidRDefault="00035BE3" w:rsidP="00C10469">
      <w:pPr>
        <w:pStyle w:val="a6"/>
        <w:spacing w:line="480" w:lineRule="exact"/>
        <w:ind w:left="422" w:firstLine="0"/>
        <w:rPr>
          <w:b/>
          <w:bCs/>
          <w:spacing w:val="8"/>
          <w:rtl/>
        </w:rPr>
      </w:pPr>
      <w:r>
        <w:rPr>
          <w:rFonts w:hint="cs"/>
          <w:spacing w:val="8"/>
          <w:rtl/>
        </w:rPr>
        <w:t>وانظر أنواع الشرط وكون الشرط اللغوي من قبيل الأسباب في : شرح تنقيح الفـصول، ص85؛ نفائس الأصول، ق2، جـ4، ص1422؛ أنوار البروق ومعه إدرار الشروق وتهذيب الفروق، 1/60-62؛ الإبـهاج، 2/158؛ البحر المحيط، 1/309-310؛ المدخل إلى مذهب الإمام أحمد، ص162-163؛ الفروق في مسائل الحكم، 1/625؛ إتحاف ذوي البصائر بشرح روضة الناظر، 2/226-228.</w:t>
      </w:r>
      <w:r>
        <w:rPr>
          <w:rFonts w:hint="cs"/>
          <w:b/>
          <w:bCs/>
          <w:spacing w:val="8"/>
          <w:rtl/>
        </w:rPr>
        <w:t xml:space="preserve"> </w:t>
      </w:r>
    </w:p>
    <w:p w:rsidR="00035BE3" w:rsidRDefault="00035BE3" w:rsidP="00C10469">
      <w:pPr>
        <w:pStyle w:val="a6"/>
        <w:ind w:left="422" w:firstLine="0"/>
        <w:rPr>
          <w:b/>
          <w:bCs/>
          <w:rtl/>
        </w:rPr>
      </w:pPr>
      <w:r>
        <w:rPr>
          <w:rFonts w:hint="cs"/>
          <w:b/>
          <w:bCs/>
          <w:rtl/>
        </w:rPr>
        <w:t>أما توثيق القاعدة :</w:t>
      </w:r>
    </w:p>
    <w:p w:rsidR="00035BE3" w:rsidRPr="0022714B" w:rsidRDefault="00035BE3" w:rsidP="00C10469">
      <w:pPr>
        <w:pStyle w:val="a6"/>
        <w:ind w:left="422" w:firstLine="0"/>
        <w:rPr>
          <w:spacing w:val="-10"/>
          <w:rtl/>
        </w:rPr>
      </w:pPr>
      <w:r w:rsidRPr="001C1D4A">
        <w:rPr>
          <w:rFonts w:hint="cs"/>
          <w:spacing w:val="6"/>
          <w:rtl/>
        </w:rPr>
        <w:t>فقد</w:t>
      </w:r>
      <w:r w:rsidRPr="0022714B">
        <w:rPr>
          <w:rFonts w:hint="cs"/>
          <w:spacing w:val="-10"/>
          <w:rtl/>
        </w:rPr>
        <w:t xml:space="preserve"> وردت بهذا اللفظ في : قواعد الفقه لابن نجيم، ص116، قاعدة 75 و76، ولكن بتقديم ال</w:t>
      </w:r>
      <w:r>
        <w:rPr>
          <w:rFonts w:hint="cs"/>
          <w:spacing w:val="-10"/>
          <w:rtl/>
        </w:rPr>
        <w:t>شق الثاني على الأول.</w:t>
      </w:r>
    </w:p>
    <w:p w:rsidR="00035BE3" w:rsidRDefault="00035BE3" w:rsidP="001C1D4A">
      <w:pPr>
        <w:pStyle w:val="a6"/>
        <w:widowControl w:val="0"/>
        <w:spacing w:line="420" w:lineRule="exact"/>
        <w:rPr>
          <w:rtl/>
        </w:rPr>
      </w:pPr>
      <w:r>
        <w:rPr>
          <w:rFonts w:hint="cs"/>
          <w:rtl/>
        </w:rPr>
        <w:t>كما ورد الشق الأول منها في : مجامع الحقائق (الخاتمة)، ص44؛ شرح العلائي لقـواعـد الخادمي، ل7/أ؛ منافع الدقائق شرح مجامع الحقائق، ص310- علمًا بأنهما أوردا الشق الثاني من القاعدة في أثناء شرحهما لقاعدة الخادمي-؛ موسوعة القواعد الفقهية، 1/184،  وانظر فيه  3/36.</w:t>
      </w:r>
    </w:p>
    <w:p w:rsidR="00035BE3" w:rsidRPr="001C1D4A" w:rsidRDefault="00035BE3" w:rsidP="00C10469">
      <w:pPr>
        <w:pStyle w:val="a6"/>
        <w:ind w:left="422" w:firstLine="0"/>
        <w:rPr>
          <w:spacing w:val="-2"/>
          <w:rtl/>
        </w:rPr>
      </w:pPr>
      <w:r w:rsidRPr="001C1D4A">
        <w:rPr>
          <w:rFonts w:hint="cs"/>
          <w:spacing w:val="-2"/>
          <w:rtl/>
        </w:rPr>
        <w:t>وأيضًا ورد الشق الثاني منها في : قواعد الفقه، لعميم الإحسان المجدِّدي، ص85، قاعدة 153 - ولفظه : «الشرط يقابل المشروط جملة»-؛ القواعد والضوابط المستخلصة من التحرير، فقد ذكرها بلفظين :</w:t>
      </w:r>
    </w:p>
    <w:p w:rsidR="00035BE3" w:rsidRDefault="00035BE3" w:rsidP="00C10469">
      <w:pPr>
        <w:pStyle w:val="a6"/>
        <w:ind w:left="422" w:firstLine="0"/>
        <w:rPr>
          <w:rtl/>
        </w:rPr>
      </w:pPr>
      <w:r>
        <w:rPr>
          <w:rFonts w:hint="cs"/>
          <w:b/>
          <w:bCs/>
          <w:rtl/>
        </w:rPr>
        <w:t>الأول</w:t>
      </w:r>
      <w:r>
        <w:rPr>
          <w:rFonts w:hint="cs"/>
          <w:rtl/>
        </w:rPr>
        <w:t xml:space="preserve"> : «المعلّق بالشرط لا ينزّل إلا عند كماله»، وذلك ص156، وأحالها إلى شرح الجامع الكبير للأسبيجابي، ل54/ب.</w:t>
      </w:r>
    </w:p>
    <w:p w:rsidR="00035BE3" w:rsidRDefault="00035BE3" w:rsidP="00C10469">
      <w:pPr>
        <w:pStyle w:val="a6"/>
        <w:ind w:left="422" w:firstLine="0"/>
        <w:rPr>
          <w:rtl/>
        </w:rPr>
      </w:pPr>
      <w:r>
        <w:rPr>
          <w:rFonts w:hint="cs"/>
          <w:b/>
          <w:bCs/>
          <w:rtl/>
        </w:rPr>
        <w:t>الثاني</w:t>
      </w:r>
      <w:r>
        <w:rPr>
          <w:rFonts w:hint="cs"/>
          <w:rtl/>
        </w:rPr>
        <w:t xml:space="preserve"> : «المعلق بالشرط لا يثبت حكمه في بعض المحل بوجود بعض الشرط»، وذلك ص495، وأحالها إلى التحرير، 5/217.</w:t>
      </w:r>
    </w:p>
    <w:p w:rsidR="00035BE3" w:rsidRDefault="00035BE3" w:rsidP="00C10469">
      <w:pPr>
        <w:pStyle w:val="a6"/>
        <w:ind w:left="422" w:firstLine="0"/>
        <w:rPr>
          <w:spacing w:val="-4"/>
          <w:rtl/>
        </w:rPr>
      </w:pPr>
      <w:r>
        <w:rPr>
          <w:rFonts w:hint="cs"/>
          <w:spacing w:val="-4"/>
          <w:rtl/>
        </w:rPr>
        <w:t xml:space="preserve">يضاف إلى هذا أن القاعدة وردت - بشقيها أو بأحدهما - في كثير من </w:t>
      </w:r>
      <w:r>
        <w:rPr>
          <w:rFonts w:hint="cs"/>
          <w:b/>
          <w:bCs/>
          <w:spacing w:val="-4"/>
          <w:rtl/>
        </w:rPr>
        <w:t>كتب الفقه الحنفي</w:t>
      </w:r>
      <w:r>
        <w:rPr>
          <w:rFonts w:hint="cs"/>
          <w:spacing w:val="-4"/>
          <w:rtl/>
        </w:rPr>
        <w:t xml:space="preserve">، من ذلك: </w:t>
      </w:r>
    </w:p>
    <w:p w:rsidR="00035BE3" w:rsidRDefault="00035BE3" w:rsidP="00C10469">
      <w:pPr>
        <w:pStyle w:val="a6"/>
        <w:spacing w:line="420" w:lineRule="exact"/>
        <w:ind w:left="422" w:firstLine="0"/>
        <w:rPr>
          <w:rtl/>
        </w:rPr>
      </w:pPr>
      <w:r>
        <w:rPr>
          <w:rFonts w:hint="cs"/>
          <w:rtl/>
        </w:rPr>
        <w:t xml:space="preserve">شرح السير الكبير، 2/584-585؛ المبسوط، 6/174، 7/146، 206، 21/42- كما ذكره السرخسي عرضًا في مقام </w:t>
      </w:r>
      <w:r>
        <w:rPr>
          <w:rFonts w:hint="cs"/>
          <w:spacing w:val="-2"/>
          <w:rtl/>
        </w:rPr>
        <w:t>التعليل في أصوله، 1/222-؛ الهداية وشرحاها:</w:t>
      </w:r>
      <w:r>
        <w:rPr>
          <w:rFonts w:hint="cs"/>
          <w:rtl/>
        </w:rPr>
        <w:t xml:space="preserve"> العناية وفتح القدير، 4/226-227؛ وانظر العناية أيضًا، 9/45، 73؛ الاختيار لتعليل المختار، 3/159؛ المصفى مختصر المستصفى شرح منظومة النسفي، ل 35/أ - وقد أضـاف (اتفاقًا) إلى شطري القاعدة، ولعلّه يقصد: عند الحنفية- ؛ درر الحكام شرع غرر الأحكـام، 1/391، 2/127، 223، 306؛ البحر الرائق، 4/87-88؛ رد المحتار على الدّر المختار، 5/99؛ اللُّباب في شرح الكتاب، 3/66.</w:t>
      </w:r>
    </w:p>
    <w:p w:rsidR="00035BE3" w:rsidRDefault="00035BE3" w:rsidP="00C10469">
      <w:pPr>
        <w:pStyle w:val="a6"/>
        <w:ind w:left="422" w:firstLine="0"/>
        <w:rPr>
          <w:rtl/>
        </w:rPr>
      </w:pPr>
      <w:r>
        <w:rPr>
          <w:rFonts w:hint="cs"/>
          <w:rtl/>
        </w:rPr>
        <w:t>والشق الأول من هذه القاعدة أعاده المؤلف في باب العين بلفظ: «العوض يوزع على المعوّض أجزاء»، وذلك ص866 (ل 69/ب)، قاعدة 171. كما أعاد الشق الثاني منها في باب الشين بلفظ: «الشرط يقابل الشروط جملة ولا يقابله أجزاء»، وذلك ص767، (ل 58/أ)، قاعدة 145.</w:t>
      </w:r>
    </w:p>
  </w:footnote>
  <w:footnote w:id="5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3/أ من (ب).</w:t>
      </w:r>
    </w:p>
  </w:footnote>
  <w:footnote w:id="5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3/ب من (أ).</w:t>
      </w:r>
    </w:p>
  </w:footnote>
  <w:footnote w:id="54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المسألة في : قواعد الفقه لابن نجيم، ص116؛ بالإضافة إلى كتب الفقه الآنف ذكرها عند توثيق القاعدة سوى كتابي السرخسي، وهما (شرح السير) و(المبسوط)، علمًا بأنه جاء في الأول مسألة أخرى وهي : ما لو وادع المسلمون حربيًّا «ثلاث سنين، كل سنة بألف دينار، وقبض الـمال كلّه، ثم أراد الإمام نقض الـموادعـة بعد مضيِّ سنة : فإنه يردّ عليهم الثلثين».</w:t>
      </w:r>
      <w:r>
        <w:rPr>
          <w:rFonts w:hint="cs"/>
          <w:rtl/>
        </w:rPr>
        <w:tab/>
        <w:t xml:space="preserve"> </w:t>
      </w:r>
    </w:p>
    <w:p w:rsidR="00035BE3" w:rsidRDefault="00035BE3" w:rsidP="00C10469">
      <w:pPr>
        <w:pStyle w:val="a6"/>
        <w:ind w:left="422" w:firstLine="0"/>
        <w:rPr>
          <w:rtl/>
        </w:rPr>
      </w:pPr>
      <w:r>
        <w:rPr>
          <w:rFonts w:hint="cs"/>
          <w:rtl/>
        </w:rPr>
        <w:t xml:space="preserve"> وانظر -بالإضافة إلى تلك الكتب-: مختصر الطحاوي، ص202؛ الكتاب للقُدُوري وشرحه: اللباب، 3/66.</w:t>
      </w:r>
    </w:p>
    <w:p w:rsidR="00035BE3" w:rsidRDefault="00035BE3" w:rsidP="00C10469">
      <w:pPr>
        <w:pStyle w:val="a6"/>
        <w:ind w:left="422" w:firstLine="0"/>
        <w:rPr>
          <w:spacing w:val="-6"/>
          <w:rtl/>
        </w:rPr>
      </w:pPr>
      <w:r>
        <w:rPr>
          <w:rFonts w:hint="cs"/>
          <w:spacing w:val="-6"/>
          <w:rtl/>
        </w:rPr>
        <w:t>علمًا بأن هذه المسألة حصل فيها خلاف بين باقي المذاهب الأربعة مما قد يُستشفُّ منه الخلاف في القاعدة:</w:t>
      </w:r>
    </w:p>
    <w:p w:rsidR="00035BE3" w:rsidRDefault="00035BE3" w:rsidP="00C10469">
      <w:pPr>
        <w:pStyle w:val="a6"/>
        <w:ind w:left="422" w:firstLine="0"/>
        <w:rPr>
          <w:spacing w:val="-2"/>
          <w:rtl/>
        </w:rPr>
      </w:pPr>
      <w:r>
        <w:rPr>
          <w:rFonts w:hint="cs"/>
          <w:spacing w:val="-2"/>
          <w:rtl/>
        </w:rPr>
        <w:t>- فجاء في (التاج والإكليل لمختصر خليل)، 5/298: «... اذا قالت : طلقني ثلاثًا بألف. فطلق</w:t>
      </w:r>
      <w:r>
        <w:rPr>
          <w:rFonts w:hint="eastAsia"/>
          <w:spacing w:val="-2"/>
          <w:rtl/>
        </w:rPr>
        <w:t> </w:t>
      </w:r>
      <w:r>
        <w:rPr>
          <w:rFonts w:hint="cs"/>
          <w:spacing w:val="-2"/>
          <w:rtl/>
        </w:rPr>
        <w:t>واحدة : استحق الألف على المنصوص»، وزاد الدسوقي في حاشيته على الشرح الكبير، 2/359: «أي عند ابن المواز. وفي (المدّونة) : أنه لا يلزمها الألف إلا إذا طلق ثلاثًا ...».</w:t>
      </w:r>
    </w:p>
    <w:p w:rsidR="00035BE3" w:rsidRDefault="00035BE3" w:rsidP="00C10469">
      <w:pPr>
        <w:pStyle w:val="a6"/>
        <w:ind w:left="422" w:firstLine="0"/>
      </w:pPr>
      <w:r>
        <w:rPr>
          <w:rFonts w:hint="cs"/>
          <w:rtl/>
        </w:rPr>
        <w:t xml:space="preserve">- وجاء في (روضة الطالبين)، 5/716 : «قالت : طلقني ثلاثًا بألف، أو على ألف، أو </w:t>
      </w:r>
      <w:r>
        <w:rPr>
          <w:rtl/>
        </w:rPr>
        <w:br/>
      </w:r>
      <w:r>
        <w:rPr>
          <w:rFonts w:hint="cs"/>
          <w:rtl/>
        </w:rPr>
        <w:t>ولك عليَّ ألف، أو إن طلقتني ثلاثًا فلك عليّ ألف. فطلقها واحدة: ففيه أربعة أوجه. الصحيح أنه يقع طلقة بثلث الألف»؛ وانظر: مغني المحتاج إلى معرفة معاني ألفاظ المنهاج، 3/274-275.</w:t>
      </w:r>
    </w:p>
    <w:p w:rsidR="00035BE3" w:rsidRDefault="00035BE3" w:rsidP="00C10469">
      <w:pPr>
        <w:pStyle w:val="a6"/>
        <w:ind w:left="422" w:firstLine="0"/>
      </w:pPr>
      <w:r>
        <w:rPr>
          <w:rFonts w:hint="cs"/>
          <w:rtl/>
        </w:rPr>
        <w:t xml:space="preserve">- وجاء في مختصر الخرقي، ص184: «وإذا قالت له : طلقني ثلاثًا بألف، فطلقها واحدة: </w:t>
      </w:r>
      <w:r>
        <w:rPr>
          <w:rtl/>
        </w:rPr>
        <w:br/>
      </w:r>
      <w:r>
        <w:rPr>
          <w:rFonts w:hint="cs"/>
          <w:rtl/>
        </w:rPr>
        <w:t>لم يكن له شيء، ولزمتها تطليقة»؛ وانظر : المغني لابن قدامة، 10/297.</w:t>
      </w:r>
    </w:p>
    <w:p w:rsidR="00035BE3" w:rsidRDefault="00035BE3" w:rsidP="00C10469">
      <w:pPr>
        <w:pStyle w:val="a6"/>
        <w:ind w:left="422" w:firstLine="0"/>
        <w:rPr>
          <w:rtl/>
        </w:rPr>
      </w:pPr>
      <w:r>
        <w:rPr>
          <w:rFonts w:hint="cs"/>
          <w:rtl/>
        </w:rPr>
        <w:t>ويبدو من هذه النقول : أنّها حدَّدت ألفًا عوضًا عن ثلاث تطليقات، إلا أنه حقَّق لها جزءًا من المعّوض بتطليقه لها طلقة واحدة فلم يستحق جزءًا من العوض إلا على القول الصحيح عند الشافعية خلافًا للمالكية والحنابلة، وهذا قد يُستأنس به في القول بأن (أجزاء العوض تنقسم على أجزاء المعوض على الصحيح عند الشافعية) وفاقًا للحنفية -والله أعلم-.</w:t>
      </w:r>
    </w:p>
  </w:footnote>
  <w:footnote w:id="548">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وردت هذه المسألة في أكثر الكتب الآنف ذكرها عند توثيق القاعدة، مثل : الهداية وشرحيها: العناية وفتح القدير؛ الاختيار لتعليل المختار؛ قواعد الفقه لابن نجيم؛ شرح العلائي لقواعد الخادمي؛ منافع الدقائق.</w:t>
      </w:r>
    </w:p>
  </w:footnote>
  <w:footnote w:id="5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«بتكلمها». والصحيح ما تَمَّ إثباته من (ب) و(د).</w:t>
      </w:r>
    </w:p>
  </w:footnote>
  <w:footnote w:id="5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«يتكلم». والصحيح ما تَمَّ إثباته من (ب).</w:t>
      </w:r>
    </w:p>
  </w:footnote>
  <w:footnote w:id="5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«تقبل». والصحيح ما تمَّ إثباته من (ب) و(د).</w:t>
      </w:r>
    </w:p>
  </w:footnote>
  <w:footnote w:id="552">
    <w:p w:rsidR="00035BE3" w:rsidRDefault="00035BE3" w:rsidP="00C10469">
      <w:pPr>
        <w:pStyle w:val="a8"/>
        <w:bidi/>
        <w:ind w:left="281" w:right="0" w:hanging="313"/>
        <w:rPr>
          <w:rtl/>
        </w:rPr>
      </w:pPr>
      <w:r>
        <w:rPr>
          <w:rFonts w:hint="cs"/>
          <w:vertAlign w:val="superscript"/>
          <w:rtl/>
        </w:rPr>
        <w:t>(</w:t>
      </w:r>
      <w:r>
        <w:rPr>
          <w:rStyle w:val="a7"/>
        </w:rPr>
        <w:footnoteRef/>
      </w:r>
      <w:r>
        <w:rPr>
          <w:rFonts w:hint="cs"/>
          <w:vertAlign w:val="superscript"/>
          <w:rtl/>
        </w:rPr>
        <w:t>)</w:t>
      </w:r>
      <w:r>
        <w:rPr>
          <w:rFonts w:hint="cs"/>
          <w:rtl/>
        </w:rPr>
        <w:t xml:space="preserve"> </w:t>
      </w:r>
      <w:r w:rsidRPr="006E30B5">
        <w:rPr>
          <w:rFonts w:hint="cs"/>
          <w:spacing w:val="-2"/>
          <w:rtl/>
        </w:rPr>
        <w:t>قد يتبادر للذِّهن أن المراد بالإجماع في هذه القاعدة هو الدليل الثالث من الأدلة المتفق عليها والذي</w:t>
      </w:r>
      <w:r>
        <w:rPr>
          <w:rFonts w:hint="cs"/>
          <w:rtl/>
        </w:rPr>
        <w:t xml:space="preserve"> عرفوه بأنه: «اتفاق مجتهدي الأمة بعد وفاة محمد </w:t>
      </w:r>
      <w:r>
        <w:rPr>
          <w:rFonts w:ascii="AGA Arabesque" w:hAnsi="AGA Arabesque"/>
          <w:sz w:val="36"/>
          <w:szCs w:val="36"/>
        </w:rPr>
        <w:t></w:t>
      </w:r>
      <w:r>
        <w:rPr>
          <w:rFonts w:hint="cs"/>
          <w:rtl/>
        </w:rPr>
        <w:t xml:space="preserve"> في عصرٍ على أيّ أمر كان».</w:t>
      </w:r>
    </w:p>
    <w:p w:rsidR="00035BE3" w:rsidRDefault="00035BE3" w:rsidP="00C10469">
      <w:pPr>
        <w:pStyle w:val="a6"/>
        <w:ind w:left="281" w:firstLine="0"/>
        <w:rPr>
          <w:spacing w:val="-2"/>
          <w:rtl/>
        </w:rPr>
      </w:pPr>
      <w:r>
        <w:rPr>
          <w:rFonts w:hint="cs"/>
          <w:spacing w:val="-2"/>
          <w:rtl/>
        </w:rPr>
        <w:t>ولكن بالتأمل في نصّ القاعدة، وشرح المؤلف لها، والسياق الذي وردت فيه القاعدة - أومثالها فقط- في</w:t>
      </w:r>
      <w:r>
        <w:rPr>
          <w:rFonts w:hint="eastAsia"/>
          <w:spacing w:val="-2"/>
          <w:rtl/>
        </w:rPr>
        <w:t> </w:t>
      </w:r>
      <w:r>
        <w:rPr>
          <w:rFonts w:hint="cs"/>
          <w:spacing w:val="-2"/>
          <w:rtl/>
        </w:rPr>
        <w:t>موضع آخر من كتاب المؤلف، وفي عدد من كتب الفقه الحنفي : يُلحظ وجودُ عددٍ من القرائن التي تصرف هذا اللفظ إلى معنى آخر، وهو ما تعارف عليه المسلمون، ويدخل فيهم المجتهدون، لا ما اتفقت عليه كلمة المجتهدين، أي : العرف المردود إلى الإجماع التقريري العملي، لا الإجماع القولي الصريح.</w:t>
      </w:r>
    </w:p>
    <w:p w:rsidR="00035BE3" w:rsidRDefault="00035BE3" w:rsidP="00C10469">
      <w:pPr>
        <w:pStyle w:val="a6"/>
        <w:ind w:left="281" w:firstLine="0"/>
        <w:rPr>
          <w:rtl/>
        </w:rPr>
      </w:pPr>
      <w:r>
        <w:rPr>
          <w:rFonts w:hint="cs"/>
          <w:b/>
          <w:bCs/>
          <w:rtl/>
        </w:rPr>
        <w:t>وأول</w:t>
      </w:r>
      <w:r>
        <w:rPr>
          <w:rFonts w:hint="cs"/>
          <w:rtl/>
        </w:rPr>
        <w:t xml:space="preserve"> هذه القرائن : أنه أضاف الإجماع إلى المسلمين، والإجماع الاصطلاحي إنما هو اتفاق المجتهدين خاصة دون باقي المسلمين. وإنما يكون توافق غيرهم معتدّا به فيما يُسمى بالعرف؛ لهذا فإن كثيرًا ممّن عرَّفوا العرف ذكروا أنه: ما استقرَّ في النفوس وتلقته الطباع السليمة بالقبول، أو ما اعتاده الناس، أو أكثرهم ... إلخ أي سواء كانوا مجتهدين أم عامة. وهذا من أبرز الفروق بين الإجماع والعرف.</w:t>
      </w:r>
    </w:p>
    <w:p w:rsidR="00035BE3" w:rsidRDefault="00035BE3" w:rsidP="00C10469">
      <w:pPr>
        <w:pStyle w:val="a6"/>
        <w:ind w:left="281" w:firstLine="0"/>
        <w:rPr>
          <w:rtl/>
        </w:rPr>
      </w:pPr>
      <w:r>
        <w:rPr>
          <w:rFonts w:hint="cs"/>
          <w:b/>
          <w:bCs/>
          <w:rtl/>
        </w:rPr>
        <w:t xml:space="preserve">وثانيها </w:t>
      </w:r>
      <w:r>
        <w:rPr>
          <w:rFonts w:hint="cs"/>
          <w:rtl/>
        </w:rPr>
        <w:t>: أن المؤلف عند شرحه للقاعدة مثّل لها بمثالٍ قدَّم فيه العرف على القياس، ثم قال في آخر شرح</w:t>
      </w:r>
      <w:r>
        <w:rPr>
          <w:rFonts w:hint="eastAsia"/>
          <w:rtl/>
        </w:rPr>
        <w:t> </w:t>
      </w:r>
      <w:r>
        <w:rPr>
          <w:rFonts w:hint="cs"/>
          <w:rtl/>
        </w:rPr>
        <w:t>القاعدة-: «... وتُرِكَ هذا القياس بإجماع المسلمين. وهذا مراد القوم ممّا قالوا: الثابت بالعرف قاض</w:t>
      </w:r>
      <w:r>
        <w:rPr>
          <w:rFonts w:hint="eastAsia"/>
          <w:rtl/>
        </w:rPr>
        <w:t> </w:t>
      </w:r>
      <w:r>
        <w:rPr>
          <w:rFonts w:hint="cs"/>
          <w:rtl/>
        </w:rPr>
        <w:t>على القياس ...».</w:t>
      </w:r>
    </w:p>
    <w:p w:rsidR="00035BE3" w:rsidRDefault="00035BE3" w:rsidP="00C10469">
      <w:pPr>
        <w:pStyle w:val="a6"/>
        <w:ind w:left="281" w:firstLine="0"/>
        <w:rPr>
          <w:rtl/>
        </w:rPr>
      </w:pPr>
      <w:r>
        <w:rPr>
          <w:rFonts w:hint="cs"/>
          <w:rtl/>
        </w:rPr>
        <w:t>وفي هذه العبارة تصريح بأن (إجماع المسلمين) مرادف (للعرف). فيكون مراده بإجماع المسلمين : أي ما اعتادوه لا ما أجمع عليه مجتهدوهم.</w:t>
      </w:r>
    </w:p>
    <w:p w:rsidR="00035BE3" w:rsidRDefault="00035BE3" w:rsidP="00C10469">
      <w:pPr>
        <w:pStyle w:val="a6"/>
        <w:ind w:left="281" w:firstLine="0"/>
        <w:rPr>
          <w:rtl/>
        </w:rPr>
      </w:pPr>
      <w:r>
        <w:rPr>
          <w:rFonts w:hint="cs"/>
          <w:rtl/>
        </w:rPr>
        <w:t>بل إن المؤلف أنهى حديثه عن القاعدة بقوله - عقب العبارة المذكورة-: «وسيجىء زيادة تفصيل في باب الثاء إن شاء الله».</w:t>
      </w:r>
    </w:p>
    <w:p w:rsidR="00035BE3" w:rsidRDefault="00035BE3" w:rsidP="00C10469">
      <w:pPr>
        <w:pStyle w:val="a6"/>
        <w:ind w:left="281" w:firstLine="0"/>
        <w:rPr>
          <w:rtl/>
        </w:rPr>
      </w:pPr>
      <w:r>
        <w:rPr>
          <w:rFonts w:hint="cs"/>
          <w:rtl/>
        </w:rPr>
        <w:t>وهذا يعني أن ما يُذكر في قاعدة: «الثابت بالعرف قاضٍ على القياس» يعدُّ زيادة تفصيل لهذه القاعدة.</w:t>
      </w:r>
      <w:r>
        <w:rPr>
          <w:rFonts w:hint="eastAsia"/>
          <w:rtl/>
        </w:rPr>
        <w:t> </w:t>
      </w:r>
      <w:r>
        <w:rPr>
          <w:rFonts w:hint="cs"/>
          <w:rtl/>
        </w:rPr>
        <w:t>وهذا يؤكد أن مراده بإجماع المسلمين أي : ما تعارفوا عليه.</w:t>
      </w:r>
    </w:p>
    <w:p w:rsidR="00035BE3" w:rsidRDefault="00035BE3" w:rsidP="00C10469">
      <w:pPr>
        <w:pStyle w:val="a6"/>
        <w:ind w:left="281" w:firstLine="0"/>
        <w:rPr>
          <w:rtl/>
        </w:rPr>
      </w:pPr>
      <w:r>
        <w:rPr>
          <w:rFonts w:hint="cs"/>
          <w:b/>
          <w:bCs/>
          <w:rtl/>
        </w:rPr>
        <w:t>وثالثها</w:t>
      </w:r>
      <w:r>
        <w:rPr>
          <w:rFonts w:hint="cs"/>
          <w:rtl/>
        </w:rPr>
        <w:t xml:space="preserve"> : أن المؤلف أورد القاعدة بنصِّها في موضع آخر في مقام التعليل، ودلَّ السياق على أن المراد بإجماع المسلمين : ما تعاملوا به وتعارفوا عليه.</w:t>
      </w:r>
    </w:p>
    <w:p w:rsidR="00035BE3" w:rsidRDefault="00035BE3" w:rsidP="00C10469">
      <w:pPr>
        <w:pStyle w:val="a6"/>
        <w:ind w:left="281" w:firstLine="0"/>
        <w:rPr>
          <w:spacing w:val="-2"/>
          <w:rtl/>
        </w:rPr>
      </w:pPr>
      <w:r>
        <w:rPr>
          <w:rFonts w:hint="cs"/>
          <w:spacing w:val="-2"/>
          <w:rtl/>
        </w:rPr>
        <w:t xml:space="preserve">ففي أثناء حديثه عن القاعدة 170- ص834 (ل69/أ) - (وهي: العمل بالظاهر هو الأصل؛ لدفع الضرر عن الناس) أعاد المثال المذكور في هذه القاعدة، والذي مفاده أن تصرفات العبد التجارية المسكوت </w:t>
      </w:r>
      <w:r w:rsidRPr="005F28B2">
        <w:rPr>
          <w:rFonts w:hint="cs"/>
          <w:spacing w:val="-4"/>
          <w:rtl/>
        </w:rPr>
        <w:t>عنها من قبل السيد في حكم المأذون له بها. ثم علّل ذلك بأمرين، ثـانيهـما: «لأن الـناس تـعاملوا</w:t>
      </w:r>
      <w:r>
        <w:rPr>
          <w:rFonts w:hint="cs"/>
          <w:spacing w:val="-2"/>
          <w:rtl/>
        </w:rPr>
        <w:t xml:space="preserve">    ذلك، وإجماع المسـلمين حجـة، يخص به الأثر، ويترك القياس والنظر -كما ذُكر تفصيل ذلك في باب</w:t>
      </w:r>
      <w:r>
        <w:rPr>
          <w:rFonts w:hint="eastAsia"/>
          <w:spacing w:val="-2"/>
          <w:rtl/>
        </w:rPr>
        <w:t> </w:t>
      </w:r>
      <w:r>
        <w:rPr>
          <w:rFonts w:hint="cs"/>
          <w:spacing w:val="-2"/>
          <w:rtl/>
        </w:rPr>
        <w:t>الألف-».</w:t>
      </w:r>
    </w:p>
    <w:p w:rsidR="00035BE3" w:rsidRDefault="00035BE3" w:rsidP="00C10469">
      <w:pPr>
        <w:pStyle w:val="a6"/>
        <w:ind w:left="281" w:firstLine="0"/>
        <w:rPr>
          <w:rtl/>
        </w:rPr>
      </w:pPr>
      <w:r>
        <w:rPr>
          <w:rFonts w:hint="cs"/>
          <w:rtl/>
        </w:rPr>
        <w:t>فقد جُعل تعامل الناس بالشيء إجماعًا منهم عليه. وهذا يعنى أن المراد بإجماعهم : ما تعارفوا عليه لا ما</w:t>
      </w:r>
      <w:r>
        <w:rPr>
          <w:rFonts w:hint="eastAsia"/>
          <w:rtl/>
        </w:rPr>
        <w:t> </w:t>
      </w:r>
      <w:r>
        <w:rPr>
          <w:rFonts w:hint="cs"/>
          <w:rtl/>
        </w:rPr>
        <w:t>اتفقت عليه كلمة المجتهدين.</w:t>
      </w:r>
    </w:p>
    <w:p w:rsidR="00035BE3" w:rsidRDefault="00035BE3" w:rsidP="00C10469">
      <w:pPr>
        <w:pStyle w:val="a6"/>
        <w:ind w:left="281" w:firstLine="0"/>
        <w:rPr>
          <w:spacing w:val="-6"/>
          <w:rtl/>
        </w:rPr>
      </w:pPr>
      <w:r>
        <w:rPr>
          <w:rFonts w:hint="cs"/>
          <w:b/>
          <w:bCs/>
          <w:spacing w:val="-6"/>
          <w:rtl/>
        </w:rPr>
        <w:t>ورابعها</w:t>
      </w:r>
      <w:r>
        <w:rPr>
          <w:rFonts w:hint="cs"/>
          <w:spacing w:val="-6"/>
          <w:rtl/>
        </w:rPr>
        <w:t xml:space="preserve"> : أن هذه القاعدة - كما وردت عند المؤلف في مقام التعليل - وردت قبل ذلك في عدد من كتب الفقه الحنفي، وقد دلّ السياق عند الجميع على أن المراد بإجماع المسلمين هو ما تعاملوا به وتعارفوا عليه.</w:t>
      </w:r>
    </w:p>
    <w:p w:rsidR="00035BE3" w:rsidRDefault="00035BE3" w:rsidP="00C10469">
      <w:pPr>
        <w:pStyle w:val="a6"/>
        <w:ind w:left="281" w:firstLine="0"/>
        <w:rPr>
          <w:rtl/>
        </w:rPr>
      </w:pPr>
      <w:r>
        <w:rPr>
          <w:rFonts w:hint="cs"/>
          <w:rtl/>
        </w:rPr>
        <w:t>ومن عباراتهم - على سبيل التمثيل - : ما جاء في (تبين الحقائق):</w:t>
      </w:r>
    </w:p>
    <w:p w:rsidR="00035BE3" w:rsidRDefault="00035BE3" w:rsidP="00C10469">
      <w:pPr>
        <w:pStyle w:val="a6"/>
        <w:ind w:left="281" w:firstLine="0"/>
        <w:rPr>
          <w:rtl/>
        </w:rPr>
      </w:pPr>
      <w:r>
        <w:rPr>
          <w:rFonts w:hint="cs"/>
          <w:rtl/>
        </w:rPr>
        <w:t>«... ووجه الاستحسان أن الناس تعاملوه من غير اشتراط شيء من ذلك، وإجماع المسلمين حجة يخصُّ</w:t>
      </w:r>
      <w:r>
        <w:rPr>
          <w:rFonts w:hint="eastAsia"/>
          <w:rtl/>
        </w:rPr>
        <w:t> </w:t>
      </w:r>
      <w:r>
        <w:rPr>
          <w:rFonts w:hint="cs"/>
          <w:rtl/>
        </w:rPr>
        <w:t>به الأثر ويترك به القياس».</w:t>
      </w:r>
    </w:p>
    <w:p w:rsidR="00035BE3" w:rsidRDefault="00035BE3" w:rsidP="00C10469">
      <w:pPr>
        <w:pStyle w:val="a6"/>
        <w:ind w:left="281" w:firstLine="0"/>
        <w:rPr>
          <w:rtl/>
        </w:rPr>
      </w:pPr>
      <w:r>
        <w:rPr>
          <w:rFonts w:hint="cs"/>
          <w:rtl/>
        </w:rPr>
        <w:t>وقريب من هذا عبارة الكافي شرح الوافي، والدرر شرح الغرر، ونتائج الأفكار، والبحر الرائق.</w:t>
      </w:r>
    </w:p>
    <w:p w:rsidR="00035BE3" w:rsidRDefault="00035BE3" w:rsidP="00C10469">
      <w:pPr>
        <w:pStyle w:val="a6"/>
        <w:ind w:left="281" w:firstLine="0"/>
        <w:rPr>
          <w:rtl/>
        </w:rPr>
      </w:pPr>
      <w:r>
        <w:rPr>
          <w:rFonts w:hint="cs"/>
          <w:rtl/>
        </w:rPr>
        <w:t>بل بعض العلماء ترك القاعدة واستدل بدليل العرف صراحة.</w:t>
      </w:r>
    </w:p>
    <w:p w:rsidR="00035BE3" w:rsidRDefault="00035BE3" w:rsidP="00C10469">
      <w:pPr>
        <w:pStyle w:val="a6"/>
        <w:ind w:left="281" w:firstLine="0"/>
        <w:rPr>
          <w:rtl/>
        </w:rPr>
      </w:pPr>
      <w:r>
        <w:rPr>
          <w:rFonts w:hint="cs"/>
          <w:rtl/>
        </w:rPr>
        <w:t>ومن ذلك ما جاء في (المبسوط) : «... ولكن دليل العرف يرجِّح جانب الرضا ...». أي : رضا السيد عن تصرفات عبده التجارية التي سكت عنها.</w:t>
      </w:r>
    </w:p>
    <w:p w:rsidR="00035BE3" w:rsidRDefault="00035BE3" w:rsidP="00C10469">
      <w:pPr>
        <w:pStyle w:val="a6"/>
        <w:ind w:left="281" w:firstLine="0"/>
        <w:rPr>
          <w:spacing w:val="8"/>
          <w:rtl/>
        </w:rPr>
      </w:pPr>
      <w:r>
        <w:rPr>
          <w:rFonts w:hint="cs"/>
          <w:spacing w:val="8"/>
          <w:rtl/>
        </w:rPr>
        <w:t>وقريب منه قول صاحب (مجمع الأنهر) : «ولنا : أن العادة قد جرت بذلك؛ لأجل دفع الضرر</w:t>
      </w:r>
      <w:r>
        <w:rPr>
          <w:rFonts w:hint="eastAsia"/>
          <w:spacing w:val="8"/>
          <w:rtl/>
        </w:rPr>
        <w:t> </w:t>
      </w:r>
      <w:r>
        <w:rPr>
          <w:rFonts w:hint="cs"/>
          <w:spacing w:val="8"/>
          <w:rtl/>
        </w:rPr>
        <w:t>عن الناس».</w:t>
      </w:r>
    </w:p>
    <w:p w:rsidR="00035BE3" w:rsidRDefault="00035BE3" w:rsidP="00C10469">
      <w:pPr>
        <w:pStyle w:val="a6"/>
        <w:ind w:left="281" w:firstLine="0"/>
        <w:rPr>
          <w:rtl/>
        </w:rPr>
      </w:pPr>
      <w:r>
        <w:rPr>
          <w:rFonts w:hint="cs"/>
          <w:b/>
          <w:bCs/>
          <w:rtl/>
        </w:rPr>
        <w:t>ولعل من أقوى الأدلة على أن المراد بإجماع المسلمين</w:t>
      </w:r>
      <w:r>
        <w:rPr>
          <w:rFonts w:hint="cs"/>
          <w:rtl/>
        </w:rPr>
        <w:t xml:space="preserve"> : </w:t>
      </w:r>
      <w:r>
        <w:rPr>
          <w:rFonts w:hint="cs"/>
          <w:b/>
          <w:bCs/>
          <w:rtl/>
        </w:rPr>
        <w:t>ما تعارفوا عليه</w:t>
      </w:r>
      <w:r>
        <w:rPr>
          <w:rFonts w:hint="cs"/>
          <w:rtl/>
        </w:rPr>
        <w:t xml:space="preserve"> : أنها وردت صراحة بلفظ: «التعامل» وبلفظ : «العرف العام» وذلك في (تبين الحقائق)، و(فتح القدير)، وفي رسالة (نشر العرف) لابن عابدين، حيث جاء في (التبيين): «... فإن التعامل به جرى في كل البلاد، وبمثله يترك القياس ويخصّ</w:t>
      </w:r>
      <w:r>
        <w:rPr>
          <w:rFonts w:hint="eastAsia"/>
          <w:rtl/>
        </w:rPr>
        <w:t> </w:t>
      </w:r>
      <w:r>
        <w:rPr>
          <w:rFonts w:hint="cs"/>
          <w:rtl/>
        </w:rPr>
        <w:t>الأثر». وجاء في (فتح القدير) : «أن الناس تعاملوا بها من غير نكير، وبه يترك القياس؛ لأن التعامل كالإجماع». وجاء في (نشر العرف) لابن عابدين : «... لتعامل أهل بلدهم، والتعامل حجّةٌ، يترك به القياس، ويخص به الأثر». وقال في موضع آخر : «إن العرف العام يصلح مخصِّصًا للأثر، ويترك به</w:t>
      </w:r>
      <w:r>
        <w:rPr>
          <w:rFonts w:hint="eastAsia"/>
          <w:rtl/>
        </w:rPr>
        <w:t> </w:t>
      </w:r>
      <w:r>
        <w:rPr>
          <w:rFonts w:hint="cs"/>
          <w:rtl/>
        </w:rPr>
        <w:t>القياس»، كما ذكر نحو هذا اللفظ في حاشيته : رد المحتار، والمجدّدي في قواعده.</w:t>
      </w:r>
    </w:p>
    <w:p w:rsidR="00035BE3" w:rsidRDefault="00035BE3" w:rsidP="00C10469">
      <w:pPr>
        <w:pStyle w:val="a6"/>
        <w:ind w:left="281" w:firstLine="0"/>
        <w:rPr>
          <w:spacing w:val="6"/>
          <w:rtl/>
        </w:rPr>
      </w:pPr>
      <w:r>
        <w:rPr>
          <w:rFonts w:hint="cs"/>
          <w:b/>
          <w:bCs/>
          <w:spacing w:val="6"/>
          <w:rtl/>
        </w:rPr>
        <w:t>ولتوثيق ما سبق</w:t>
      </w:r>
      <w:r>
        <w:rPr>
          <w:rFonts w:hint="cs"/>
          <w:spacing w:val="6"/>
          <w:rtl/>
        </w:rPr>
        <w:t xml:space="preserve"> : فإن معنى الإجماع الاصـطلاحي مأخوذ من جمع الجوامع (مـع حاشية البناني، 2/176) (ومع حاشية العطار، 2/210)؛ وانظر : ميزان الأصول، 2/709؛ روضة الناظر، 2/439؛ كشف الأسرار للبخاري، 3/424؛ شرح مختصر الروضة، 3/6؛ التنقيح وشرحيه:</w:t>
      </w:r>
      <w:r>
        <w:rPr>
          <w:rFonts w:hint="eastAsia"/>
          <w:spacing w:val="6"/>
          <w:rtl/>
        </w:rPr>
        <w:t> </w:t>
      </w:r>
      <w:r>
        <w:rPr>
          <w:rFonts w:hint="cs"/>
          <w:spacing w:val="6"/>
          <w:rtl/>
        </w:rPr>
        <w:t>التوضيح والتلويح، 2/41؛ نشر البنود على مراقي السعود، 2/75؛ بحث : تصور وجود</w:t>
      </w:r>
      <w:r>
        <w:rPr>
          <w:rFonts w:hint="eastAsia"/>
          <w:spacing w:val="6"/>
          <w:rtl/>
        </w:rPr>
        <w:t> </w:t>
      </w:r>
      <w:r>
        <w:rPr>
          <w:rFonts w:hint="cs"/>
          <w:spacing w:val="6"/>
          <w:rtl/>
        </w:rPr>
        <w:t>الإجماع وتحقيق مذهب الإمام أحمد في ذلك لشيخنا د. أحمد العنقري (ضمن مجلة الشريعة والقانون بجامعة الإمارات، العدد 13، ص75).</w:t>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t xml:space="preserve"> </w:t>
      </w:r>
    </w:p>
    <w:p w:rsidR="00035BE3" w:rsidRDefault="00035BE3" w:rsidP="00C10469">
      <w:pPr>
        <w:pStyle w:val="a6"/>
        <w:ind w:left="281" w:firstLine="0"/>
        <w:rPr>
          <w:rtl/>
        </w:rPr>
      </w:pPr>
      <w:r>
        <w:rPr>
          <w:rFonts w:hint="cs"/>
          <w:rtl/>
        </w:rPr>
        <w:t xml:space="preserve"> وانظر تعريف العرف في : التعريفات للجرجاني، ص193، رقم 964؛ الأشباه والنظائر لابن نجيم،</w:t>
      </w:r>
      <w:r>
        <w:rPr>
          <w:rFonts w:hint="eastAsia"/>
          <w:rtl/>
        </w:rPr>
        <w:t> </w:t>
      </w:r>
      <w:r>
        <w:rPr>
          <w:rFonts w:hint="cs"/>
          <w:rtl/>
        </w:rPr>
        <w:t>ص115-116؛ شرح الكوكب المنير، 4/448-449؛ مجموعة رسائل ابن عابدين (رسالة : نشر</w:t>
      </w:r>
      <w:r>
        <w:rPr>
          <w:rFonts w:hint="eastAsia"/>
          <w:rtl/>
        </w:rPr>
        <w:t> </w:t>
      </w:r>
      <w:r>
        <w:rPr>
          <w:rFonts w:hint="cs"/>
          <w:rtl/>
        </w:rPr>
        <w:t>العرف في بناء بعض الأحكام على العرف)، 2/112؛ أصول الفقه لخلاّف، ص89؛ أصول الفقه لأبي زهرة، ص273، فقرة 262؛ العرف والعادة لِـ أ.د. أحمد أبو سنة، ص10؛ المدخل الفقهي العام، 2/840، فقرة 483؛ العرف وأثره في الشريعة والقانون لشيخنا أ.د. أحمد المباركي، ص31-36؛ العرف</w:t>
      </w:r>
      <w:r>
        <w:rPr>
          <w:rFonts w:hint="eastAsia"/>
          <w:rtl/>
        </w:rPr>
        <w:t> </w:t>
      </w:r>
      <w:r>
        <w:rPr>
          <w:rFonts w:hint="cs"/>
          <w:rtl/>
        </w:rPr>
        <w:t>والعمل في المذهب المالكي للجيدي، ص31-34؛ العرف لولي قوته، 1/93-104.</w:t>
      </w:r>
    </w:p>
    <w:p w:rsidR="00035BE3" w:rsidRDefault="00035BE3" w:rsidP="00C10469">
      <w:pPr>
        <w:pStyle w:val="a6"/>
        <w:ind w:left="281" w:firstLine="0"/>
        <w:rPr>
          <w:rtl/>
        </w:rPr>
      </w:pPr>
      <w:r>
        <w:rPr>
          <w:rFonts w:hint="cs"/>
          <w:rtl/>
        </w:rPr>
        <w:t>وانظر في الفرق بين العرف والإجماع إلى : أصول مذهب الإمام أحمد، ص584؛ العرف لشيخنا أ.د.</w:t>
      </w:r>
      <w:r>
        <w:rPr>
          <w:rFonts w:hint="eastAsia"/>
          <w:rtl/>
        </w:rPr>
        <w:t> </w:t>
      </w:r>
      <w:r>
        <w:rPr>
          <w:rFonts w:hint="cs"/>
          <w:rtl/>
        </w:rPr>
        <w:t>أحمد المباركي، ص51-52؛ القواعد الأصولية المتعلقة بالأدلة للدكتور البصيلي، ص1923-1924؛ العرف لولي قوته 1/122-123.</w:t>
      </w:r>
    </w:p>
    <w:p w:rsidR="00035BE3" w:rsidRDefault="00035BE3" w:rsidP="00C10469">
      <w:pPr>
        <w:pStyle w:val="a6"/>
        <w:ind w:left="281" w:firstLine="0"/>
        <w:rPr>
          <w:rtl/>
        </w:rPr>
      </w:pPr>
      <w:r>
        <w:rPr>
          <w:rFonts w:hint="cs"/>
          <w:rtl/>
        </w:rPr>
        <w:t>وانظر في كون العرف يمكن أن يُردّ إلى الإجماع العملي التقريري إلى : العرف لـ أ.د. أحمد أبو سنّة، ص40-42؛ العرف لولي قوته، 1/135-137.</w:t>
      </w:r>
    </w:p>
    <w:p w:rsidR="00035BE3" w:rsidRDefault="00035BE3" w:rsidP="00C10469">
      <w:pPr>
        <w:pStyle w:val="a6"/>
        <w:ind w:left="281" w:firstLine="0"/>
        <w:rPr>
          <w:b/>
          <w:bCs/>
          <w:rtl/>
        </w:rPr>
      </w:pPr>
      <w:r>
        <w:rPr>
          <w:rFonts w:hint="cs"/>
          <w:b/>
          <w:bCs/>
          <w:rtl/>
        </w:rPr>
        <w:t>ومن الكتب التي وردت فيها القاعدة في مقام التعليل:</w:t>
      </w:r>
    </w:p>
    <w:p w:rsidR="00035BE3" w:rsidRDefault="00035BE3" w:rsidP="00C10469">
      <w:pPr>
        <w:pStyle w:val="a6"/>
        <w:ind w:left="281" w:firstLine="0"/>
        <w:rPr>
          <w:rtl/>
        </w:rPr>
      </w:pPr>
      <w:r>
        <w:rPr>
          <w:rFonts w:hint="cs"/>
          <w:rtl/>
        </w:rPr>
        <w:t>الكافي شرح الوافي القسم الأخير، جـ4، ص1608؛ تبيـيـن الحقائق، 5/218؛ درر الحكام شرح غرر الأحكام، 2/281، 297؛ نتائج الأفكار، 9/309؛ البحر الرائق، 8/120.</w:t>
      </w:r>
    </w:p>
    <w:p w:rsidR="00035BE3" w:rsidRDefault="00035BE3" w:rsidP="00C10469">
      <w:pPr>
        <w:pStyle w:val="a6"/>
        <w:ind w:left="281" w:firstLine="0"/>
        <w:rPr>
          <w:spacing w:val="4"/>
          <w:rtl/>
        </w:rPr>
      </w:pPr>
      <w:r>
        <w:rPr>
          <w:rFonts w:hint="cs"/>
          <w:spacing w:val="4"/>
          <w:rtl/>
        </w:rPr>
        <w:t>والعبارات السّتّ الأخيرة منقولة من : المبسوط، 25/12؛ مجمع الأنهر في شرح ملتـقى الأبحر، 2/446؛ تبيين الحقائق، 5/130؛ فتح القدير، 6/158؛ رسائل ابن عابدين، 2/114، 122؛ وانظر: رد المحتار، 9/80؛ قواعد الفقه للمجدّدي، ص140، قاعدة 406.</w:t>
      </w:r>
    </w:p>
    <w:p w:rsidR="00035BE3" w:rsidRDefault="00035BE3" w:rsidP="00C10469">
      <w:pPr>
        <w:pStyle w:val="a6"/>
        <w:ind w:left="281" w:firstLine="0"/>
        <w:rPr>
          <w:rtl/>
        </w:rPr>
      </w:pPr>
      <w:r>
        <w:rPr>
          <w:rFonts w:hint="cs"/>
          <w:rtl/>
        </w:rPr>
        <w:t>هذا ما يتعلق بمراد المؤلف من (إجماع المسلمين) وتوثيق القاعدة.</w:t>
      </w:r>
    </w:p>
    <w:p w:rsidR="00035BE3" w:rsidRDefault="00035BE3" w:rsidP="00C10469">
      <w:pPr>
        <w:pStyle w:val="a6"/>
        <w:ind w:left="281" w:firstLine="0"/>
        <w:rPr>
          <w:rtl/>
        </w:rPr>
      </w:pPr>
      <w:r>
        <w:rPr>
          <w:rFonts w:hint="cs"/>
          <w:rtl/>
        </w:rPr>
        <w:t>وإذا ثبت أن مراده : العرف، فإن القاعدة تتضمن ثلاث مسائل مهمة : وهي حجية العرف، وكونه مخصصًا للأثر، ومقدمًا على القياس.</w:t>
      </w:r>
    </w:p>
    <w:p w:rsidR="00035BE3" w:rsidRDefault="00035BE3" w:rsidP="00C10469">
      <w:pPr>
        <w:pStyle w:val="a6"/>
        <w:ind w:left="281" w:firstLine="0"/>
        <w:rPr>
          <w:rtl/>
        </w:rPr>
      </w:pPr>
      <w:r>
        <w:rPr>
          <w:rFonts w:hint="cs"/>
          <w:rtl/>
        </w:rPr>
        <w:t>أما الأولى والثالثة فقد أفرد لهما المؤلف قاعدتين مستقلتين، وهما : «العادة محكمة» و«الثابت بالعرف قاضٍ على القياس»، وذلك ص821 (ل64/أ) ق161، وص579  (ل40/ب) ق95، فكان اللائق أن يكون الحديث عنهما هناك.</w:t>
      </w:r>
    </w:p>
    <w:p w:rsidR="00035BE3" w:rsidRDefault="00035BE3" w:rsidP="00C10469">
      <w:pPr>
        <w:pStyle w:val="a6"/>
        <w:ind w:left="281" w:firstLine="0"/>
        <w:rPr>
          <w:rtl/>
        </w:rPr>
      </w:pPr>
      <w:r>
        <w:rPr>
          <w:rFonts w:hint="cs"/>
          <w:rtl/>
        </w:rPr>
        <w:t xml:space="preserve">وتبقى -هنا- المسألة الثانية </w:t>
      </w:r>
      <w:r>
        <w:rPr>
          <w:rFonts w:hint="cs"/>
          <w:b/>
          <w:bCs/>
          <w:rtl/>
        </w:rPr>
        <w:t>(وهي تخصيص الأثر بالعرف):</w:t>
      </w:r>
    </w:p>
    <w:p w:rsidR="00035BE3" w:rsidRDefault="00035BE3" w:rsidP="00C10469">
      <w:pPr>
        <w:pStyle w:val="a6"/>
        <w:ind w:left="281" w:firstLine="0"/>
        <w:rPr>
          <w:rtl/>
        </w:rPr>
      </w:pPr>
      <w:r>
        <w:rPr>
          <w:rFonts w:hint="cs"/>
          <w:rtl/>
        </w:rPr>
        <w:t>هذه المسألة تكلَّم عنها كثير من الأصوليين في معرض حديثهم عن أدلة التخصيص:</w:t>
      </w:r>
    </w:p>
    <w:p w:rsidR="00035BE3" w:rsidRDefault="00035BE3" w:rsidP="00C10469">
      <w:pPr>
        <w:pStyle w:val="a6"/>
        <w:ind w:left="281" w:firstLine="0"/>
        <w:rPr>
          <w:rtl/>
        </w:rPr>
      </w:pPr>
      <w:r w:rsidRPr="007223C5">
        <w:rPr>
          <w:rFonts w:hint="cs"/>
          <w:spacing w:val="4"/>
          <w:rtl/>
        </w:rPr>
        <w:t>- فمنهم من عدّ العرف من أدلة التخصيص، كأصحاب</w:t>
      </w:r>
      <w:r>
        <w:rPr>
          <w:rFonts w:hint="cs"/>
          <w:spacing w:val="4"/>
          <w:rtl/>
        </w:rPr>
        <w:t xml:space="preserve"> الكتب الآتية: التـحرير وشرحيه</w:t>
      </w:r>
      <w:r w:rsidRPr="007223C5">
        <w:rPr>
          <w:rFonts w:hint="cs"/>
          <w:spacing w:val="4"/>
          <w:rtl/>
        </w:rPr>
        <w:t>: التقرير والتحبير، 1/282؛ وتيسير التحرير، 1/317؛ مسلّم الثبوت وشرحه: فواتح الرحموت، 1/345؛</w:t>
      </w:r>
      <w:r w:rsidRPr="007223C5">
        <w:rPr>
          <w:rFonts w:hint="eastAsia"/>
          <w:spacing w:val="4"/>
          <w:rtl/>
        </w:rPr>
        <w:t> </w:t>
      </w:r>
      <w:r w:rsidRPr="007223C5">
        <w:rPr>
          <w:rFonts w:hint="cs"/>
          <w:spacing w:val="4"/>
          <w:rtl/>
        </w:rPr>
        <w:t>وقد</w:t>
      </w:r>
      <w:r>
        <w:rPr>
          <w:rFonts w:hint="cs"/>
          <w:rtl/>
        </w:rPr>
        <w:t xml:space="preserve"> نسبوا ذلك إلى الحنفية.</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281" w:firstLine="0"/>
      </w:pPr>
      <w:r>
        <w:rPr>
          <w:rFonts w:hint="cs"/>
          <w:rtl/>
        </w:rPr>
        <w:t>-  ومنهم من رفضوا ذلك، كأصحاب الكتب الآتية : العدة، 2/593؛ شرح اللمع، 1/391؛ قواطع الأدلة، 1/392-393؛ المسـتصفى، 2/111-112؛ الإحـكام (إحـكام الآمدي)، 2/358-359؛ مختصر المنتهى وشرحه (أي شرح العضد)، 2/152؛ شرح الكوكـب المنـير،</w:t>
      </w:r>
      <w:r>
        <w:rPr>
          <w:rFonts w:hint="eastAsia"/>
          <w:rtl/>
        </w:rPr>
        <w:t> </w:t>
      </w:r>
      <w:r>
        <w:rPr>
          <w:rFonts w:hint="cs"/>
          <w:rtl/>
        </w:rPr>
        <w:t>3/387-389؛ علمًا بأن الأخير نقل قولاً فيه تفصيل.</w:t>
      </w:r>
    </w:p>
    <w:p w:rsidR="00035BE3" w:rsidRDefault="00035BE3" w:rsidP="00C10469">
      <w:pPr>
        <w:pStyle w:val="a6"/>
        <w:ind w:left="-32" w:firstLine="313"/>
        <w:rPr>
          <w:spacing w:val="-2"/>
          <w:rtl/>
        </w:rPr>
      </w:pPr>
      <w:r>
        <w:rPr>
          <w:rFonts w:hint="cs"/>
          <w:spacing w:val="-2"/>
          <w:rtl/>
        </w:rPr>
        <w:t>- وكثير منهم فصّلوا في المسألة مع اختلاف بينهم في حقيقة هذا التفصيل، كأصحاب الكتب الآتية :</w:t>
      </w:r>
    </w:p>
    <w:p w:rsidR="00035BE3" w:rsidRDefault="00035BE3" w:rsidP="00C10469">
      <w:pPr>
        <w:pStyle w:val="a6"/>
        <w:ind w:left="281" w:firstLine="0"/>
        <w:rPr>
          <w:rtl/>
        </w:rPr>
      </w:pPr>
      <w:r>
        <w:rPr>
          <w:rFonts w:hint="cs"/>
          <w:rtl/>
        </w:rPr>
        <w:t>بذل النظر، ص245-246؛ المحصول، 1/451-452؛ المسودة، ص123-125؛ شرح تنقيح الفصول، ص211-212؛ معراج المنهاج، 1/393-394؛ جمع الجوامع وشرح المحلي عليه وحاشية البناني وتقريرات الشربيني، 2/34-35؛ الإبهاج في شرح المنهاج، 2/180-182؛ تشنيف المسامع بجمع الجوامع، 2/793-795؛ نشر البنود على مراقي السعود، 1/252؛ إرشاد الفحول، 1/573-575؛ إتحاف الأنام بتخصيص العام، ص263-265.</w:t>
      </w:r>
    </w:p>
    <w:p w:rsidR="00035BE3" w:rsidRDefault="00035BE3" w:rsidP="00C10469">
      <w:pPr>
        <w:pStyle w:val="a6"/>
        <w:spacing w:line="480" w:lineRule="exact"/>
        <w:ind w:left="281" w:firstLine="0"/>
        <w:rPr>
          <w:rtl/>
        </w:rPr>
      </w:pPr>
      <w:r>
        <w:rPr>
          <w:rFonts w:hint="cs"/>
          <w:b/>
          <w:bCs/>
          <w:rtl/>
        </w:rPr>
        <w:t>ولم تكن كتب القواعد الفقهية بمعزل عن الحديث عن هذه المسألة</w:t>
      </w:r>
      <w:r>
        <w:rPr>
          <w:rFonts w:hint="cs"/>
          <w:rtl/>
        </w:rPr>
        <w:t xml:space="preserve"> : فانظر منها: قواعد الأحكام لابن</w:t>
      </w:r>
      <w:r>
        <w:rPr>
          <w:rFonts w:hint="eastAsia"/>
          <w:rtl/>
        </w:rPr>
        <w:t> </w:t>
      </w:r>
      <w:r>
        <w:rPr>
          <w:rFonts w:hint="cs"/>
          <w:rtl/>
        </w:rPr>
        <w:t>عبد السـلام، 2/107-115؛ أنوار البروق للقرافي، 1/171، الفرق 28؛ وترتيبه، 1/241-</w:t>
      </w:r>
      <w:r w:rsidRPr="00671D4B">
        <w:rPr>
          <w:rFonts w:hint="cs"/>
          <w:spacing w:val="-4"/>
          <w:rtl/>
        </w:rPr>
        <w:t>246؛ وتهذيبه، 1/178-192؛ الأشباه والنظائر لابن الوكيل، 1/150-153؛ المنثور، 2/393؛</w:t>
      </w:r>
      <w:r>
        <w:rPr>
          <w:rFonts w:hint="cs"/>
          <w:rtl/>
        </w:rPr>
        <w:t xml:space="preserve"> تقرير </w:t>
      </w:r>
      <w:r w:rsidRPr="00671D4B">
        <w:rPr>
          <w:rFonts w:hint="cs"/>
          <w:spacing w:val="-4"/>
          <w:rtl/>
        </w:rPr>
        <w:t>القواعد لابن رجب، 2/555-570، قاعدة 121 و 122؛ القواعد للحصني، 1/363، 390-392؛</w:t>
      </w:r>
      <w:r>
        <w:rPr>
          <w:rFonts w:hint="cs"/>
          <w:rtl/>
        </w:rPr>
        <w:t xml:space="preserve"> مجلة الأحكام الشرعية للقاري، ص99، مادة 121 و122؛ موسوعة القواعد، 3/251-253؛ قواعد الفقه الإسلامي من خلال كتاب الإشراف على مسائل الخلاف للـروكي، ص221-224.</w:t>
      </w:r>
    </w:p>
    <w:p w:rsidR="00035BE3" w:rsidRDefault="00035BE3" w:rsidP="00C10469">
      <w:pPr>
        <w:pStyle w:val="a6"/>
        <w:ind w:left="281" w:firstLine="0"/>
        <w:rPr>
          <w:rtl/>
        </w:rPr>
      </w:pPr>
      <w:r>
        <w:rPr>
          <w:rFonts w:hint="cs"/>
          <w:rtl/>
        </w:rPr>
        <w:t>كما وردت هذه المسألة كقاعدة في ثلاثة مواضع من كتاب القواعد والضوابط للدكتور الندوي :</w:t>
      </w:r>
    </w:p>
    <w:p w:rsidR="00035BE3" w:rsidRDefault="00035BE3" w:rsidP="00C10469">
      <w:pPr>
        <w:pStyle w:val="a6"/>
        <w:spacing w:line="480" w:lineRule="exact"/>
        <w:ind w:left="281" w:firstLine="0"/>
        <w:rPr>
          <w:rtl/>
        </w:rPr>
      </w:pPr>
      <w:r>
        <w:rPr>
          <w:rFonts w:hint="cs"/>
          <w:b/>
          <w:bCs/>
          <w:rtl/>
        </w:rPr>
        <w:t>الأول والثاني</w:t>
      </w:r>
      <w:r>
        <w:rPr>
          <w:rFonts w:hint="cs"/>
          <w:rtl/>
        </w:rPr>
        <w:t xml:space="preserve"> : بلفظ : «اللفظ العام يجوز تخصيصه وتقييده بالعرف»، وقد ذكر ذلك ص178، وأحال فيها إلى التحرير، 1/623؛ وفي ص279-280، وأحال فيها إلى التحرير، 1/632.</w:t>
      </w:r>
    </w:p>
    <w:p w:rsidR="00035BE3" w:rsidRDefault="00035BE3" w:rsidP="00C10469">
      <w:pPr>
        <w:pStyle w:val="a6"/>
        <w:ind w:left="281" w:firstLine="0"/>
        <w:rPr>
          <w:rtl/>
        </w:rPr>
      </w:pPr>
      <w:r>
        <w:rPr>
          <w:rFonts w:hint="cs"/>
          <w:b/>
          <w:bCs/>
          <w:rtl/>
        </w:rPr>
        <w:t>والثالث</w:t>
      </w:r>
      <w:r>
        <w:rPr>
          <w:rFonts w:hint="cs"/>
          <w:rtl/>
        </w:rPr>
        <w:t xml:space="preserve"> : بلفظ: «اللفظ إذا كان عامًّا يخص بالمعروف، وإذا كان خاصًّا لا يخص»، وقد ذكر ذلك ص493، وأحال فيها إلى التحرير، 1/798.</w:t>
      </w:r>
    </w:p>
    <w:p w:rsidR="00035BE3" w:rsidRDefault="00035BE3" w:rsidP="00C10469">
      <w:pPr>
        <w:pStyle w:val="a6"/>
        <w:spacing w:line="480" w:lineRule="exact"/>
        <w:ind w:left="281" w:firstLine="0"/>
        <w:rPr>
          <w:rtl/>
        </w:rPr>
      </w:pPr>
      <w:r>
        <w:rPr>
          <w:rFonts w:hint="cs"/>
          <w:rtl/>
        </w:rPr>
        <w:t>يضاف إلى ما سبق أن هناك عددًا من العلماء لهم مؤلفات مستقلة في العرف، أو أفردوا له بابًا مطوّلا مما جعلهم يُولون هذه المسألة مزيد عناية، ومن هذه المؤلفات : رسالة : نشر العرف في بناء الأحكام على</w:t>
      </w:r>
      <w:r>
        <w:rPr>
          <w:rFonts w:hint="eastAsia"/>
          <w:rtl/>
        </w:rPr>
        <w:t> </w:t>
      </w:r>
      <w:r>
        <w:rPr>
          <w:rFonts w:hint="cs"/>
          <w:rtl/>
        </w:rPr>
        <w:t>العرف (المطبوعة ضمن رسائل ابن عابدين، 2/112 -123)؛ العرف والعادة لـ أ.د. أحمد أبو سنة، ص118-132؛ المدخل الفقهي العام، 2/893-904؛ العرف لشيخنا أ.د. أحمد المـبـاركي، ص143-158؛ العرف والعمل للجيدي، ص172-176؛ القواعد الأصولية المتعلقة بالأدلة للدكتور البصيلي، ص2062-2111.</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281" w:firstLine="0"/>
        <w:rPr>
          <w:rtl/>
        </w:rPr>
      </w:pPr>
      <w:r>
        <w:rPr>
          <w:rFonts w:hint="cs"/>
          <w:rtl/>
        </w:rPr>
        <w:t xml:space="preserve">وحيث إن كتاب المؤلف ليس في العرف خاصة، فيُكتفى </w:t>
      </w:r>
      <w:r>
        <w:rPr>
          <w:rFonts w:hint="cs"/>
          <w:b/>
          <w:bCs/>
          <w:rtl/>
        </w:rPr>
        <w:t xml:space="preserve">بتلخيص المسألة </w:t>
      </w:r>
      <w:r>
        <w:rPr>
          <w:rFonts w:hint="cs"/>
          <w:rtl/>
        </w:rPr>
        <w:t xml:space="preserve">-من الكتب السابقة- على النحو الآتي: </w:t>
      </w:r>
    </w:p>
    <w:p w:rsidR="00035BE3" w:rsidRDefault="00035BE3" w:rsidP="00C10469">
      <w:pPr>
        <w:pStyle w:val="a6"/>
        <w:ind w:left="281" w:firstLine="0"/>
        <w:rPr>
          <w:rtl/>
        </w:rPr>
      </w:pPr>
      <w:r>
        <w:rPr>
          <w:rFonts w:hint="cs"/>
          <w:rtl/>
        </w:rPr>
        <w:t>إن حكم تخصيص العرف للنص العام يختلف باختلاف وقت ورود العرف، ونوعه، ومن صدر عنهم:</w:t>
      </w:r>
    </w:p>
    <w:p w:rsidR="00035BE3" w:rsidRDefault="00035BE3" w:rsidP="00C10469">
      <w:pPr>
        <w:pStyle w:val="a6"/>
        <w:ind w:left="281" w:firstLine="0"/>
      </w:pPr>
      <w:r>
        <w:rPr>
          <w:b/>
          <w:bCs/>
          <w:rtl/>
          <w:lang w:val="en-US"/>
        </w:rPr>
        <w:t>•</w:t>
      </w:r>
      <w:r>
        <w:rPr>
          <w:rFonts w:hint="cs"/>
          <w:b/>
          <w:bCs/>
          <w:rtl/>
          <w:lang w:val="en-US"/>
        </w:rPr>
        <w:t xml:space="preserve">  </w:t>
      </w:r>
      <w:r>
        <w:rPr>
          <w:rFonts w:hint="cs"/>
          <w:rtl/>
        </w:rPr>
        <w:t>فإن كان وقته في عصر التشريع فهو إما أن يكون لفظـيًّا أو عملـيًّا :</w:t>
      </w:r>
    </w:p>
    <w:p w:rsidR="00035BE3" w:rsidRDefault="00035BE3" w:rsidP="00C10469">
      <w:pPr>
        <w:pStyle w:val="a6"/>
        <w:ind w:left="-32" w:firstLine="313"/>
        <w:rPr>
          <w:rtl/>
        </w:rPr>
      </w:pPr>
      <w:r>
        <w:rPr>
          <w:rFonts w:hint="cs"/>
          <w:rtl/>
        </w:rPr>
        <w:t>- فإن كان لفظـيًّا فهو يخصص العام باتفاق.</w:t>
      </w:r>
    </w:p>
    <w:p w:rsidR="00035BE3" w:rsidRDefault="00035BE3" w:rsidP="00C10469">
      <w:pPr>
        <w:pStyle w:val="a6"/>
        <w:ind w:left="-32" w:firstLine="313"/>
      </w:pPr>
      <w:r>
        <w:rPr>
          <w:rFonts w:hint="cs"/>
          <w:rtl/>
        </w:rPr>
        <w:t>- وإن كان عملـيًّا : فإما أن يكون سابقًا لورود النص العام أو متأخرًا عنه :</w:t>
      </w:r>
    </w:p>
    <w:p w:rsidR="00035BE3" w:rsidRDefault="00035BE3" w:rsidP="00C10469">
      <w:pPr>
        <w:pStyle w:val="a6"/>
        <w:ind w:left="281" w:firstLine="0"/>
        <w:rPr>
          <w:rtl/>
        </w:rPr>
      </w:pPr>
      <w:r>
        <w:rPr>
          <w:rFonts w:hint="cs"/>
          <w:rtl/>
        </w:rPr>
        <w:t>فإن كان سابقًا له : فإنه لا يُعَدُّ مخصصًا له عند الجمهور، خلافًا للحنفية.</w:t>
      </w:r>
    </w:p>
    <w:p w:rsidR="00035BE3" w:rsidRDefault="00035BE3" w:rsidP="00C10469">
      <w:pPr>
        <w:pStyle w:val="a6"/>
        <w:ind w:left="281" w:firstLine="0"/>
        <w:rPr>
          <w:spacing w:val="-8"/>
          <w:rtl/>
        </w:rPr>
      </w:pPr>
      <w:r>
        <w:rPr>
          <w:rFonts w:hint="cs"/>
          <w:spacing w:val="-8"/>
          <w:rtl/>
        </w:rPr>
        <w:t xml:space="preserve">وإن كان متأخرًا عنه، وأقّره النبي </w:t>
      </w:r>
      <w:r>
        <w:rPr>
          <w:rFonts w:ascii="AGA Arabesque" w:hAnsi="AGA Arabesque"/>
          <w:spacing w:val="-8"/>
          <w:sz w:val="36"/>
          <w:szCs w:val="36"/>
        </w:rPr>
        <w:t></w:t>
      </w:r>
      <w:r>
        <w:rPr>
          <w:rFonts w:hint="cs"/>
          <w:spacing w:val="-8"/>
          <w:rtl/>
        </w:rPr>
        <w:t xml:space="preserve"> : صحَّ التخصيص به، لكن المخصص في الحقيقة هو تقريره </w:t>
      </w:r>
      <w:r>
        <w:rPr>
          <w:rFonts w:ascii="AGA Arabesque" w:hAnsi="AGA Arabesque"/>
          <w:spacing w:val="-8"/>
          <w:sz w:val="36"/>
          <w:szCs w:val="36"/>
        </w:rPr>
        <w:t></w:t>
      </w:r>
      <w:r>
        <w:rPr>
          <w:rFonts w:hint="cs"/>
          <w:spacing w:val="-8"/>
          <w:rtl/>
        </w:rPr>
        <w:t xml:space="preserve"> له.</w:t>
      </w:r>
    </w:p>
    <w:p w:rsidR="00035BE3" w:rsidRDefault="00035BE3" w:rsidP="00C10469">
      <w:pPr>
        <w:pStyle w:val="a6"/>
        <w:ind w:left="281" w:firstLine="0"/>
        <w:rPr>
          <w:rtl/>
        </w:rPr>
      </w:pPr>
      <w:r>
        <w:rPr>
          <w:rFonts w:hint="cs"/>
          <w:rtl/>
        </w:rPr>
        <w:t>وإن لم يُعلم بإقراره فلا يجوز القطع بذلك.</w:t>
      </w:r>
    </w:p>
    <w:p w:rsidR="00035BE3" w:rsidRDefault="00035BE3" w:rsidP="00C10469">
      <w:pPr>
        <w:pStyle w:val="a6"/>
        <w:ind w:left="281" w:firstLine="0"/>
      </w:pPr>
      <w:r>
        <w:rPr>
          <w:b/>
          <w:bCs/>
          <w:rtl/>
          <w:lang w:val="en-US"/>
        </w:rPr>
        <w:t>•</w:t>
      </w:r>
      <w:r>
        <w:rPr>
          <w:rFonts w:hint="cs"/>
          <w:b/>
          <w:bCs/>
          <w:rtl/>
          <w:lang w:val="en-US"/>
        </w:rPr>
        <w:t xml:space="preserve"> </w:t>
      </w:r>
      <w:r>
        <w:rPr>
          <w:rFonts w:hint="cs"/>
          <w:rtl/>
        </w:rPr>
        <w:t>أما إن كان وقته بعد انتهاء عصر التشريع : فهو أيضًا إما أن يكون لفظيًا أو عمليًا :</w:t>
      </w:r>
    </w:p>
    <w:p w:rsidR="00035BE3" w:rsidRDefault="00035BE3" w:rsidP="00C10469">
      <w:pPr>
        <w:pStyle w:val="a6"/>
        <w:spacing w:line="420" w:lineRule="exact"/>
        <w:ind w:left="281" w:firstLine="0"/>
        <w:rPr>
          <w:rtl/>
        </w:rPr>
      </w:pPr>
      <w:r>
        <w:rPr>
          <w:rFonts w:hint="cs"/>
          <w:rtl/>
        </w:rPr>
        <w:t>- فإن كان لفظيًا فإنه لا يخصِّصه، فبعد عصر التشريع إذا تبدل عرف الناس في معاني بعض الألفاظ الواردة في الكتاب والسنة فلا يُعتد بهذا التبدّل؛ بل يعتد بتلك المعاني والحدود التي كانت هي المفهومة عند الورود.</w:t>
      </w:r>
    </w:p>
    <w:p w:rsidR="00035BE3" w:rsidRDefault="00035BE3" w:rsidP="00C10469">
      <w:pPr>
        <w:pStyle w:val="a6"/>
        <w:spacing w:line="420" w:lineRule="exact"/>
        <w:ind w:left="-32" w:firstLine="313"/>
      </w:pPr>
      <w:r>
        <w:rPr>
          <w:rFonts w:hint="cs"/>
          <w:rtl/>
        </w:rPr>
        <w:t>- وإن كان عمليًّا : فينظر إلى من صدر عنهم :</w:t>
      </w:r>
    </w:p>
    <w:p w:rsidR="00035BE3" w:rsidRPr="00E8304B" w:rsidRDefault="00035BE3" w:rsidP="00C10469">
      <w:pPr>
        <w:pStyle w:val="a6"/>
        <w:spacing w:line="420" w:lineRule="exact"/>
        <w:ind w:left="281" w:firstLine="0"/>
        <w:rPr>
          <w:spacing w:val="4"/>
          <w:rtl/>
        </w:rPr>
      </w:pPr>
      <w:r w:rsidRPr="00E8304B">
        <w:rPr>
          <w:rFonts w:hint="cs"/>
          <w:spacing w:val="4"/>
          <w:rtl/>
        </w:rPr>
        <w:t>فإن كان عامًّا حتى صار إجماعًا عملـيًّا: فهو يخصص العام، ولكن المخصص في الحقيقة هو الإجماع العملي.</w:t>
      </w:r>
    </w:p>
    <w:p w:rsidR="00035BE3" w:rsidRDefault="00035BE3" w:rsidP="00C10469">
      <w:pPr>
        <w:pStyle w:val="a6"/>
        <w:spacing w:line="420" w:lineRule="exact"/>
        <w:ind w:left="281" w:firstLine="0"/>
        <w:rPr>
          <w:rtl/>
        </w:rPr>
      </w:pPr>
      <w:r>
        <w:rPr>
          <w:rFonts w:hint="cs"/>
          <w:rtl/>
        </w:rPr>
        <w:t>وإن كان خاصًّا (أي صادرًا من فئة معينه) : فإنه لا يُعَدُّ مخصصًّا عند الجمهور، خلافًا لبعض مشايخ (بلخ) من الحنفية، -والله أعلم-.</w:t>
      </w:r>
    </w:p>
  </w:footnote>
  <w:footnote w:id="553">
    <w:p w:rsidR="00035BE3" w:rsidRDefault="00035BE3" w:rsidP="00C10469">
      <w:pPr>
        <w:pStyle w:val="a8"/>
        <w:bidi/>
        <w:ind w:left="281" w:right="0" w:hanging="313"/>
        <w:rPr>
          <w:rtl/>
        </w:rPr>
      </w:pPr>
      <w:r>
        <w:rPr>
          <w:rFonts w:hint="cs"/>
          <w:vertAlign w:val="superscript"/>
          <w:rtl/>
        </w:rPr>
        <w:t>(</w:t>
      </w:r>
      <w:r>
        <w:rPr>
          <w:rStyle w:val="a7"/>
        </w:rPr>
        <w:footnoteRef/>
      </w:r>
      <w:r>
        <w:rPr>
          <w:rFonts w:hint="cs"/>
          <w:vertAlign w:val="superscript"/>
          <w:rtl/>
        </w:rPr>
        <w:t>)</w:t>
      </w:r>
      <w:r>
        <w:rPr>
          <w:rFonts w:hint="cs"/>
          <w:rtl/>
        </w:rPr>
        <w:t xml:space="preserve"> نهاية 3/ب من (د).</w:t>
      </w:r>
    </w:p>
  </w:footnote>
  <w:footnote w:id="554">
    <w:p w:rsidR="00035BE3" w:rsidRDefault="00035BE3" w:rsidP="00C10469">
      <w:pPr>
        <w:pStyle w:val="a8"/>
        <w:bidi/>
        <w:ind w:left="281" w:right="0" w:hanging="313"/>
        <w:rPr>
          <w:rtl/>
        </w:rPr>
      </w:pPr>
      <w:r>
        <w:rPr>
          <w:rFonts w:hint="cs"/>
          <w:vertAlign w:val="superscript"/>
          <w:rtl/>
        </w:rPr>
        <w:t>(</w:t>
      </w:r>
      <w:r>
        <w:rPr>
          <w:rStyle w:val="a7"/>
        </w:rPr>
        <w:footnoteRef/>
      </w:r>
      <w:r>
        <w:rPr>
          <w:rFonts w:hint="cs"/>
          <w:vertAlign w:val="superscript"/>
          <w:rtl/>
        </w:rPr>
        <w:t>)</w:t>
      </w:r>
      <w:r>
        <w:rPr>
          <w:rFonts w:hint="cs"/>
          <w:rtl/>
        </w:rPr>
        <w:t xml:space="preserve"> انظر: الجامع الصغير، ص463؛ الهداية وشرحيها: العناية ونتائج الأفكار، 9/309-310؛ الكافي في </w:t>
      </w:r>
      <w:r w:rsidRPr="00731364">
        <w:rPr>
          <w:rFonts w:hint="cs"/>
          <w:spacing w:val="-2"/>
          <w:rtl/>
        </w:rPr>
        <w:t>شرح الوافي القسم الأخير، جـ4، ص1607-1608؛ كنز الدقائق وشرحه: تبيـين الحقائق</w:t>
      </w:r>
      <w:r>
        <w:rPr>
          <w:rFonts w:hint="cs"/>
          <w:rtl/>
        </w:rPr>
        <w:t xml:space="preserve"> وحاشية </w:t>
      </w:r>
      <w:r w:rsidRPr="00731364">
        <w:rPr>
          <w:rFonts w:hint="cs"/>
          <w:spacing w:val="-2"/>
          <w:rtl/>
        </w:rPr>
        <w:t>الشلبي على الشرح، 5/218؛ الغرر وشرحها: الدرر، 2/281؛ البحر الرائق، 8/120؛ تنوير</w:t>
      </w:r>
      <w:r>
        <w:rPr>
          <w:rFonts w:hint="cs"/>
          <w:rtl/>
        </w:rPr>
        <w:t xml:space="preserve"> الأبصار وشرحه: الدر المختار وعليه رد المحتار، 9/252-253.</w:t>
      </w:r>
      <w:r>
        <w:rPr>
          <w:rFonts w:hint="cs"/>
          <w:rtl/>
        </w:rPr>
        <w:tab/>
      </w:r>
      <w:r>
        <w:rPr>
          <w:rFonts w:hint="cs"/>
          <w:rtl/>
        </w:rPr>
        <w:tab/>
      </w:r>
      <w:r>
        <w:rPr>
          <w:rFonts w:hint="cs"/>
          <w:rtl/>
        </w:rPr>
        <w:tab/>
        <w:t xml:space="preserve">                     </w:t>
      </w:r>
    </w:p>
    <w:p w:rsidR="00035BE3" w:rsidRDefault="00035BE3" w:rsidP="00C10469">
      <w:pPr>
        <w:pStyle w:val="a6"/>
        <w:ind w:left="281" w:firstLine="0"/>
        <w:rPr>
          <w:rtl/>
        </w:rPr>
      </w:pPr>
      <w:r>
        <w:rPr>
          <w:rFonts w:hint="cs"/>
          <w:rtl/>
        </w:rPr>
        <w:t>ويلحظ أن جميع الشروح السابقة - عدا الأول والأخير- اختارت تحرير (الكافي) للمسألة.</w:t>
      </w:r>
    </w:p>
    <w:p w:rsidR="00035BE3" w:rsidRDefault="00035BE3" w:rsidP="00C10469">
      <w:pPr>
        <w:pStyle w:val="a6"/>
        <w:ind w:left="281" w:firstLine="0"/>
        <w:rPr>
          <w:rtl/>
        </w:rPr>
      </w:pPr>
      <w:r>
        <w:rPr>
          <w:rFonts w:hint="cs"/>
          <w:rtl/>
        </w:rPr>
        <w:t>ومن ذلك ماجاء في الموضع السابق من نتائج الأفكار : «فالأولى ههنا تحرير صاحب (الكافي) فإنه جعل هذه المسألة على وجهين، وذكر لكل واحد منهما وجه قياس ووجه استحسان على وجه الاستقلال،</w:t>
      </w:r>
      <w:r>
        <w:rPr>
          <w:rFonts w:hint="eastAsia"/>
          <w:rtl/>
        </w:rPr>
        <w:t> </w:t>
      </w:r>
      <w:r>
        <w:rPr>
          <w:rFonts w:hint="cs"/>
          <w:rtl/>
        </w:rPr>
        <w:t>حيث قال : والمسألة على وجهين:</w:t>
      </w:r>
    </w:p>
    <w:p w:rsidR="00035BE3" w:rsidRDefault="00035BE3" w:rsidP="00C10469">
      <w:pPr>
        <w:pStyle w:val="a6"/>
        <w:ind w:left="281" w:firstLine="0"/>
        <w:rPr>
          <w:rtl/>
        </w:rPr>
      </w:pPr>
      <w:r>
        <w:rPr>
          <w:rFonts w:hint="cs"/>
          <w:b/>
          <w:bCs/>
          <w:rtl/>
        </w:rPr>
        <w:t xml:space="preserve">أحدهما </w:t>
      </w:r>
      <w:r>
        <w:rPr>
          <w:rFonts w:hint="cs"/>
          <w:rtl/>
        </w:rPr>
        <w:t>: أن يخبر أن مولاه أذن له، فيصدَّق استحسانًا، عدلاً كان أو غير عدل.</w:t>
      </w:r>
    </w:p>
    <w:p w:rsidR="00035BE3" w:rsidRDefault="00035BE3" w:rsidP="00C10469">
      <w:pPr>
        <w:pStyle w:val="a6"/>
        <w:ind w:left="281" w:firstLine="0"/>
        <w:rPr>
          <w:rtl/>
        </w:rPr>
      </w:pPr>
      <w:r>
        <w:rPr>
          <w:rFonts w:hint="cs"/>
          <w:rtl/>
        </w:rPr>
        <w:t>والقياس : أن لا يصدَّق؛ لأنه مجرّد دعوى منه، فلا يصدّق إلا بحجة؛ لقوله -عليه الصلاة والسلام- «</w:t>
      </w:r>
      <w:r>
        <w:rPr>
          <w:rFonts w:hint="eastAsia"/>
          <w:rtl/>
        </w:rPr>
        <w:t> </w:t>
      </w:r>
      <w:r>
        <w:rPr>
          <w:rFonts w:cs="DecoType Naskh" w:hint="cs"/>
          <w:rtl/>
        </w:rPr>
        <w:t>البينة على المدعي</w:t>
      </w:r>
      <w:r>
        <w:rPr>
          <w:rFonts w:hint="cs"/>
          <w:rtl/>
        </w:rPr>
        <w:t>».</w:t>
      </w:r>
    </w:p>
    <w:p w:rsidR="00035BE3" w:rsidRDefault="00035BE3" w:rsidP="00C10469">
      <w:pPr>
        <w:pStyle w:val="a6"/>
        <w:ind w:left="281" w:firstLine="0"/>
        <w:rPr>
          <w:rtl/>
        </w:rPr>
      </w:pPr>
      <w:r>
        <w:rPr>
          <w:rFonts w:hint="cs"/>
          <w:rtl/>
        </w:rPr>
        <w:t>وجه الاستحسان: أن الناس تعاملوا ذلك و«إجماع المسلمين حجة، يخص بها الأثر، ويترك القياس والنظر»؛ ولأن في ذلك ضرورة وبلوى ... وما عمّت بليته سقطت قضيته.</w:t>
      </w:r>
    </w:p>
    <w:p w:rsidR="00035BE3" w:rsidRDefault="00035BE3" w:rsidP="00C10469">
      <w:pPr>
        <w:pStyle w:val="a6"/>
        <w:ind w:left="281" w:firstLine="0"/>
        <w:rPr>
          <w:rtl/>
        </w:rPr>
      </w:pPr>
      <w:r>
        <w:rPr>
          <w:rFonts w:hint="cs"/>
          <w:b/>
          <w:bCs/>
          <w:rtl/>
        </w:rPr>
        <w:t>وثانيهما</w:t>
      </w:r>
      <w:r>
        <w:rPr>
          <w:rFonts w:hint="cs"/>
          <w:rtl/>
        </w:rPr>
        <w:t xml:space="preserve"> : أن يـبيع ويشتري ولا يخـبر بشيء.</w:t>
      </w:r>
    </w:p>
    <w:p w:rsidR="00035BE3" w:rsidRDefault="00035BE3" w:rsidP="00C10469">
      <w:pPr>
        <w:pStyle w:val="a6"/>
        <w:ind w:left="281" w:firstLine="0"/>
        <w:rPr>
          <w:rtl/>
        </w:rPr>
      </w:pPr>
      <w:r>
        <w:rPr>
          <w:rFonts w:hint="cs"/>
          <w:rtl/>
        </w:rPr>
        <w:t>والقياس فيه : أن لا يثبت الإذن؛ لأن السكوت محتمل.</w:t>
      </w:r>
    </w:p>
    <w:p w:rsidR="00035BE3" w:rsidRDefault="00035BE3" w:rsidP="00C10469">
      <w:pPr>
        <w:pStyle w:val="a6"/>
        <w:ind w:left="281" w:firstLine="0"/>
        <w:rPr>
          <w:rtl/>
        </w:rPr>
      </w:pPr>
      <w:r>
        <w:rPr>
          <w:rFonts w:hint="cs"/>
          <w:rtl/>
        </w:rPr>
        <w:t>وفي الاستحسان : يثبت؛ لأن الظاهر أنه مأذون ... والعمل بالظاهر هو الأصل في المعاملات؛ دفعًا للشرر عن الناس.</w:t>
      </w:r>
    </w:p>
    <w:p w:rsidR="00035BE3" w:rsidRDefault="00035BE3" w:rsidP="00C10469">
      <w:pPr>
        <w:pStyle w:val="a6"/>
        <w:ind w:left="281" w:firstLine="0"/>
        <w:rPr>
          <w:rtl/>
        </w:rPr>
      </w:pPr>
      <w:r>
        <w:rPr>
          <w:rFonts w:hint="cs"/>
          <w:rtl/>
        </w:rPr>
        <w:t>والقياس : أن يشترط عدالة الـمُخْبِرِ؛ لأن الحجة خبر العدل. وفي الاستحسان: لا يشترط للضرورة والبلوى. إلى هنا كلامه. واقتفى أثره : صاحب معراج الدراية ... والإمام الزيلعي ...».</w:t>
      </w:r>
    </w:p>
  </w:footnote>
  <w:footnote w:id="555">
    <w:p w:rsidR="00035BE3" w:rsidRDefault="00035BE3" w:rsidP="00C10469">
      <w:pPr>
        <w:pStyle w:val="a8"/>
        <w:bidi/>
        <w:ind w:left="281" w:right="0" w:hanging="313"/>
        <w:rPr>
          <w:rtl/>
        </w:rPr>
      </w:pPr>
      <w:r>
        <w:rPr>
          <w:rFonts w:hint="cs"/>
          <w:vertAlign w:val="superscript"/>
          <w:rtl/>
        </w:rPr>
        <w:t>(</w:t>
      </w:r>
      <w:r>
        <w:rPr>
          <w:rStyle w:val="a7"/>
        </w:rPr>
        <w:footnoteRef/>
      </w:r>
      <w:r>
        <w:rPr>
          <w:rFonts w:hint="cs"/>
          <w:vertAlign w:val="superscript"/>
          <w:rtl/>
        </w:rPr>
        <w:t>)</w:t>
      </w:r>
      <w:r>
        <w:rPr>
          <w:rFonts w:hint="cs"/>
          <w:rtl/>
        </w:rPr>
        <w:t xml:space="preserve"> نهاية 3/أ من (ب).</w:t>
      </w:r>
    </w:p>
  </w:footnote>
  <w:footnote w:id="556">
    <w:p w:rsidR="00035BE3" w:rsidRDefault="00035BE3" w:rsidP="00C10469">
      <w:pPr>
        <w:pStyle w:val="a8"/>
        <w:bidi/>
        <w:ind w:left="281" w:right="0" w:hanging="313"/>
        <w:rPr>
          <w:rtl/>
        </w:rPr>
      </w:pPr>
      <w:r>
        <w:rPr>
          <w:rFonts w:hint="cs"/>
          <w:vertAlign w:val="superscript"/>
          <w:rtl/>
        </w:rPr>
        <w:t>(</w:t>
      </w:r>
      <w:r>
        <w:rPr>
          <w:rStyle w:val="a7"/>
        </w:rPr>
        <w:footnoteRef/>
      </w:r>
      <w:r>
        <w:rPr>
          <w:rFonts w:hint="cs"/>
          <w:vertAlign w:val="superscript"/>
          <w:rtl/>
        </w:rPr>
        <w:t>)</w:t>
      </w:r>
      <w:r>
        <w:rPr>
          <w:rFonts w:hint="cs"/>
          <w:rtl/>
        </w:rPr>
        <w:t xml:space="preserve"> وذلك ص579 (ل40/ب)، قاعدة 95.</w:t>
      </w:r>
    </w:p>
  </w:footnote>
  <w:footnote w:id="5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المشتركة بين علمي أصول الفقه والقواعد الفقهية :</w:t>
      </w:r>
    </w:p>
    <w:p w:rsidR="00035BE3" w:rsidRDefault="00035BE3" w:rsidP="00C10469">
      <w:pPr>
        <w:pStyle w:val="a6"/>
        <w:ind w:left="422" w:firstLine="0"/>
        <w:rPr>
          <w:rtl/>
        </w:rPr>
      </w:pPr>
      <w:r>
        <w:rPr>
          <w:rFonts w:hint="cs"/>
          <w:rtl/>
        </w:rPr>
        <w:t>فهي في الأصل قاعدة أصولية؛ لأنها تتعلق بأحد مباحث أصول الفقه، وهو الاجتهاد.</w:t>
      </w:r>
    </w:p>
    <w:p w:rsidR="00035BE3" w:rsidRDefault="00035BE3" w:rsidP="00C10469">
      <w:pPr>
        <w:pStyle w:val="a6"/>
        <w:ind w:left="422" w:firstLine="0"/>
        <w:rPr>
          <w:rtl/>
        </w:rPr>
      </w:pPr>
      <w:r>
        <w:rPr>
          <w:rFonts w:hint="cs"/>
          <w:rtl/>
        </w:rPr>
        <w:t>ويمكن أن تدرج ضمن القواعد الفقهية، إذا نُظر إليها من جهة ما تحمله من سمة القاعدة الفقهية، باعتبار</w:t>
      </w:r>
      <w:r>
        <w:rPr>
          <w:rFonts w:hint="eastAsia"/>
          <w:rtl/>
        </w:rPr>
        <w:t> </w:t>
      </w:r>
      <w:r>
        <w:rPr>
          <w:rFonts w:hint="cs"/>
          <w:rtl/>
        </w:rPr>
        <w:t>أن موضوعها يصلح أن يكون فعل المكلف، وهو القاضي؛ حيث يبحث الفقهاء (في كتاب القضاء): حكم نقض اجتهاده، أيجوز أم لا ؟.</w:t>
      </w:r>
    </w:p>
    <w:p w:rsidR="00035BE3" w:rsidRDefault="00035BE3" w:rsidP="00C10469">
      <w:pPr>
        <w:pStyle w:val="a6"/>
        <w:ind w:left="422" w:firstLine="0"/>
        <w:rPr>
          <w:rtl/>
        </w:rPr>
      </w:pPr>
      <w:r>
        <w:rPr>
          <w:rFonts w:hint="cs"/>
          <w:rtl/>
        </w:rPr>
        <w:t>فمن هذه الجهة بُحثت في كتب القواعد الفقهية وجرت مجراها ...</w:t>
      </w:r>
    </w:p>
    <w:p w:rsidR="00035BE3" w:rsidRDefault="00035BE3" w:rsidP="00C10469">
      <w:pPr>
        <w:pStyle w:val="a6"/>
        <w:ind w:left="422" w:firstLine="0"/>
        <w:rPr>
          <w:rtl/>
        </w:rPr>
      </w:pPr>
      <w:r>
        <w:rPr>
          <w:rFonts w:hint="cs"/>
          <w:rtl/>
        </w:rPr>
        <w:t xml:space="preserve">- انظر : القواعد الفقهية للدكتور الندوي، ص439؛ وانظر : نهاية السول، 3/383؛ موسوعة القواعد الفقهية، 1/27-28-. </w:t>
      </w:r>
    </w:p>
    <w:p w:rsidR="00035BE3" w:rsidRDefault="00035BE3" w:rsidP="00C10469">
      <w:pPr>
        <w:pStyle w:val="a6"/>
        <w:ind w:left="422" w:firstLine="0"/>
        <w:rPr>
          <w:rtl/>
        </w:rPr>
      </w:pPr>
      <w:r>
        <w:rPr>
          <w:rFonts w:hint="cs"/>
          <w:b/>
          <w:bCs/>
          <w:rtl/>
        </w:rPr>
        <w:t>ومن الكتب الأصولية التي تطرقت للقاعدة</w:t>
      </w:r>
      <w:r>
        <w:rPr>
          <w:rFonts w:hint="cs"/>
          <w:rtl/>
        </w:rPr>
        <w:t xml:space="preserve"> - في أثناء الحديث عن نقض الاجتهاد عمومًا-:</w:t>
      </w:r>
    </w:p>
    <w:p w:rsidR="00035BE3" w:rsidRPr="001A384B" w:rsidRDefault="00035BE3" w:rsidP="00C10469">
      <w:pPr>
        <w:pStyle w:val="a6"/>
        <w:ind w:left="422" w:firstLine="0"/>
        <w:rPr>
          <w:spacing w:val="-4"/>
          <w:rtl/>
        </w:rPr>
      </w:pPr>
      <w:r w:rsidRPr="001A384B">
        <w:rPr>
          <w:rFonts w:hint="cs"/>
          <w:spacing w:val="-4"/>
          <w:rtl/>
        </w:rPr>
        <w:t>المستصفى، 2/382-384؛ التمهيد لأبي الخطاب، 4/371؛ المحصول، 2/523؛ روضة النـاظر، 3/1013-1015؛ الإحكام للآمدي، 4/209-210؛ مختصر ابن الحاجب وشرح العضد له وحاشية التفـتازاني، 2/300؛ شرح تنقيح الفصول، ص441؛ إعلام الموقعين، 1/114؛ الإبهاج، 3/265-268؛ جمع الجوامع وشرح المحلي وحاشية البناني، 2/391؛ تشنيف المسامع، 4/591-594؛ البحر المحيط، 6/266-268؛ التحرير وشرحاه : التقرير والتحبير، 3/335؛ وتيسير التحرير، 4/234-236؛ شرح الكوكب المـنـير، 4/503-506؛ إرشـاد الفـحول، 2/341؛ الاجتهاد فيما لا نص فيه، 1/66-78.</w:t>
      </w:r>
    </w:p>
    <w:p w:rsidR="00035BE3" w:rsidRDefault="00035BE3" w:rsidP="00C10469">
      <w:pPr>
        <w:pStyle w:val="a6"/>
        <w:ind w:left="422" w:firstLine="0"/>
        <w:rPr>
          <w:rtl/>
        </w:rPr>
      </w:pPr>
      <w:r>
        <w:rPr>
          <w:rFonts w:hint="cs"/>
          <w:rtl/>
        </w:rPr>
        <w:t>وقبل الانتهاء من بيان الكتب الأصولية يحسن التنبيه على أن هناك كتابًا أصوليًّا أفرد للحديث عن نقض</w:t>
      </w:r>
      <w:r>
        <w:rPr>
          <w:rFonts w:hint="eastAsia"/>
          <w:rtl/>
        </w:rPr>
        <w:t> </w:t>
      </w:r>
      <w:r>
        <w:rPr>
          <w:rFonts w:hint="cs"/>
          <w:rtl/>
        </w:rPr>
        <w:t>الاجتهاد بشكل عام، وجُعل الشق الثاني منه للحديث عن نقض الاجتهاد بالاجتهاد، وهو كتاب: (نقض الاجتهاد) لشيخنا د. أحمد العنقري.</w:t>
      </w:r>
    </w:p>
    <w:p w:rsidR="00035BE3" w:rsidRDefault="00035BE3" w:rsidP="00C10469">
      <w:pPr>
        <w:pStyle w:val="a6"/>
        <w:ind w:left="422" w:firstLine="0"/>
        <w:rPr>
          <w:b/>
          <w:bCs/>
          <w:rtl/>
        </w:rPr>
      </w:pPr>
      <w:r>
        <w:rPr>
          <w:rFonts w:hint="cs"/>
          <w:b/>
          <w:bCs/>
          <w:rtl/>
        </w:rPr>
        <w:t>ومن كتب القواعد الفقهية التي تناولت هذه القاعدة :</w:t>
      </w:r>
    </w:p>
    <w:p w:rsidR="00035BE3" w:rsidRPr="001A384B" w:rsidRDefault="00035BE3" w:rsidP="00C10469">
      <w:pPr>
        <w:pStyle w:val="a6"/>
        <w:ind w:left="422" w:firstLine="0"/>
        <w:rPr>
          <w:spacing w:val="-4"/>
          <w:rtl/>
        </w:rPr>
      </w:pPr>
      <w:r w:rsidRPr="001A384B">
        <w:rPr>
          <w:rFonts w:hint="cs"/>
          <w:spacing w:val="-4"/>
          <w:rtl/>
        </w:rPr>
        <w:t>- رسالة الكرخي في الأصول، ص171- ونصُّها عنده: «الأصل أنه إذا مضى بالاجتهاد لا ينفسخ باجتهاد مثله، ويفسخ بالنص»-؛ أنوار البروق للقرافي،</w:t>
      </w:r>
      <w:r>
        <w:rPr>
          <w:rFonts w:hint="cs"/>
          <w:spacing w:val="-4"/>
          <w:rtl/>
        </w:rPr>
        <w:t xml:space="preserve"> 2/103-106، حيث قال في الفرق 77: «...</w:t>
      </w:r>
      <w:r>
        <w:rPr>
          <w:rFonts w:hint="eastAsia"/>
          <w:spacing w:val="-4"/>
          <w:rtl/>
        </w:rPr>
        <w:t> </w:t>
      </w:r>
      <w:r>
        <w:rPr>
          <w:rFonts w:hint="cs"/>
          <w:spacing w:val="-4"/>
          <w:rtl/>
        </w:rPr>
        <w:t>وبين قاعدة</w:t>
      </w:r>
      <w:r w:rsidRPr="001A384B">
        <w:rPr>
          <w:rFonts w:hint="cs"/>
          <w:spacing w:val="-4"/>
          <w:rtl/>
        </w:rPr>
        <w:t>: مسائل الاجتهاد يبطل الخلاف فيها ويتعيّن قولٌ واحدٌ بعد حكم الحاكم»-؛ القواعد للمقَّري، 2/372، ح</w:t>
      </w:r>
      <w:r>
        <w:rPr>
          <w:rFonts w:hint="cs"/>
          <w:spacing w:val="-4"/>
          <w:rtl/>
        </w:rPr>
        <w:t>يث قال في أثناء القاعدة رقم 372</w:t>
      </w:r>
      <w:r w:rsidRPr="001A384B">
        <w:rPr>
          <w:rFonts w:hint="cs"/>
          <w:spacing w:val="-4"/>
          <w:rtl/>
        </w:rPr>
        <w:t>: «العلم يَنقضُ الظنَّ ... وللمالكية</w:t>
      </w:r>
      <w:r>
        <w:rPr>
          <w:rFonts w:hint="cs"/>
          <w:rtl/>
        </w:rPr>
        <w:t xml:space="preserve"> في نقض </w:t>
      </w:r>
      <w:r w:rsidRPr="001A384B">
        <w:rPr>
          <w:rFonts w:hint="cs"/>
          <w:spacing w:val="-6"/>
          <w:rtl/>
        </w:rPr>
        <w:t>الظن بالظن قولان كالاجتهاد بالاجتهاد»؛ وقريب من هذا قول الونشريسي في إيضاح المسالك، ص61</w:t>
      </w:r>
      <w:r w:rsidRPr="001A384B">
        <w:rPr>
          <w:rFonts w:hint="cs"/>
          <w:spacing w:val="-4"/>
          <w:rtl/>
        </w:rPr>
        <w:t>،</w:t>
      </w:r>
      <w:r>
        <w:rPr>
          <w:rFonts w:hint="cs"/>
          <w:spacing w:val="-4"/>
          <w:rtl/>
        </w:rPr>
        <w:t xml:space="preserve"> </w:t>
      </w:r>
      <w:r w:rsidRPr="001A384B">
        <w:rPr>
          <w:rFonts w:hint="cs"/>
          <w:spacing w:val="-4"/>
          <w:rtl/>
        </w:rPr>
        <w:t xml:space="preserve"> </w:t>
      </w:r>
    </w:p>
    <w:p w:rsidR="00035BE3" w:rsidRDefault="00035BE3" w:rsidP="00C10469">
      <w:pPr>
        <w:pStyle w:val="a6"/>
        <w:ind w:left="422" w:firstLine="0"/>
        <w:rPr>
          <w:rtl/>
        </w:rPr>
      </w:pPr>
      <w:r>
        <w:rPr>
          <w:rFonts w:hint="cs"/>
          <w:rtl/>
        </w:rPr>
        <w:t>رقم7 : «الظن هل يُنقض بالظن أم لا ؟»؛ الأشباه والنظائر لابن السبكي، 1/401-416، وقد بدأ الحديث عنها بقوله : «قاعدة : فيما يُنقض فيه قضاء القاضي وما لا يُنقص»؛ تقرير القواعد لابن رجب، 1/38، حيث جاء في نهاية القاعدة السادسة : « ... لئلا ينقض الاجتهاد بالاجتهاد ... »، كما فرّع على القاعدة (68)، 2/19 ما يأتي : «ومنها : لو حكم الحاكم في مسألة مختلف فيها بما يرى أن الحق في غيره: أثم وعصى بذلك، ولم ينقض حكمه إلا أن يكون مخالفًا لنص صريح ... وقال السَّامُريّ : بل ينقض حكمه؛ لأن شرط صحة الحكم موافقة الاعتقاد ...».</w:t>
      </w:r>
    </w:p>
    <w:p w:rsidR="00035BE3" w:rsidRDefault="00035BE3" w:rsidP="00C10469">
      <w:pPr>
        <w:pStyle w:val="a6"/>
        <w:ind w:left="422" w:firstLine="0"/>
        <w:rPr>
          <w:rtl/>
        </w:rPr>
      </w:pPr>
      <w:r>
        <w:rPr>
          <w:rFonts w:hint="cs"/>
          <w:rtl/>
        </w:rPr>
        <w:t>- كما وردت بلفظ : «الاجتهاد لا ينقض بالاجـتهاد» في الكتب الآتية : المنـثور في الـقواعد، 1/93-98؛ الأشباه والنظائر للسيوطي، 1/241-251؛ ولابن نجيم، ص129-134؛ غمز عيون البصائر، 1/325-334؛ الفرائد البهية للحمزاوي، ص15، قاعدة 7؛ القواعد الفقهية للدكتور محمد بكر</w:t>
      </w:r>
      <w:r>
        <w:rPr>
          <w:rFonts w:hint="eastAsia"/>
          <w:rtl/>
        </w:rPr>
        <w:t> </w:t>
      </w:r>
      <w:r>
        <w:rPr>
          <w:rFonts w:hint="cs"/>
          <w:rtl/>
        </w:rPr>
        <w:t>إسماعيل، ص165-166.</w:t>
      </w:r>
    </w:p>
    <w:p w:rsidR="00035BE3" w:rsidRDefault="00035BE3" w:rsidP="00C10469">
      <w:pPr>
        <w:pStyle w:val="a6"/>
        <w:spacing w:line="480" w:lineRule="exact"/>
        <w:ind w:left="422" w:firstLine="0"/>
        <w:rPr>
          <w:rtl/>
        </w:rPr>
      </w:pPr>
      <w:r>
        <w:rPr>
          <w:rFonts w:hint="cs"/>
          <w:rtl/>
        </w:rPr>
        <w:t>-ووردت باللفظ الذي ذكره المؤلف في الكتب الآتية : مجلة الأحكام العدلية، مادة 16؛ شرحها لسليم</w:t>
      </w:r>
      <w:r>
        <w:rPr>
          <w:rFonts w:hint="eastAsia"/>
          <w:rtl/>
        </w:rPr>
        <w:t> </w:t>
      </w:r>
      <w:r>
        <w:rPr>
          <w:rFonts w:hint="cs"/>
          <w:rtl/>
        </w:rPr>
        <w:t>رستم، 1/26-27؛ ولعلى حيدر، 1/30-31؛ وللأتاسي، 1/45-48؛ وشرح قـواعدها للـزرقا، ص155-156؛ قواعد الفقه لعميم الإحسان المجدّدي، ص54، قاعدة 7؛ المبادئ الفقهية، ص16-17؛ المدخل الفقهي العام، 2/1010-1011، فقرة 624؛ القواعد الفقهية للدكتور علي الندوي، ص439-452؛ كما ذكرها في القواعد والضوابط المستخلصة من التحرير، ص479، وأحـال إلى التحـرير، 3/400، 4/253. وأيضًا ذكرها الدكتور البورنو باللفظين الأخيرين في كتابيه: الوجيز،</w:t>
      </w:r>
      <w:r>
        <w:rPr>
          <w:rFonts w:hint="eastAsia"/>
          <w:rtl/>
        </w:rPr>
        <w:t> </w:t>
      </w:r>
      <w:r>
        <w:rPr>
          <w:rFonts w:hint="cs"/>
          <w:rtl/>
        </w:rPr>
        <w:t>ص332-335؛ وموسوعة القواعد الفقهية، 1/175-176.</w:t>
      </w:r>
    </w:p>
    <w:p w:rsidR="00035BE3" w:rsidRDefault="00035BE3" w:rsidP="00C10469">
      <w:pPr>
        <w:pStyle w:val="a6"/>
        <w:ind w:left="422" w:firstLine="0"/>
        <w:rPr>
          <w:rtl/>
        </w:rPr>
      </w:pPr>
      <w:r>
        <w:rPr>
          <w:rFonts w:hint="cs"/>
          <w:b/>
          <w:bCs/>
          <w:rtl/>
        </w:rPr>
        <w:t>ونظرًا لكثرة انتفاع الفقهاء بها</w:t>
      </w:r>
      <w:r>
        <w:rPr>
          <w:rFonts w:hint="cs"/>
          <w:rtl/>
        </w:rPr>
        <w:t xml:space="preserve"> في تخريج بعض القواعد عليها ولاسيما في باب (القضاء) وردت في </w:t>
      </w:r>
      <w:r>
        <w:rPr>
          <w:rFonts w:hint="cs"/>
          <w:b/>
          <w:bCs/>
          <w:rtl/>
        </w:rPr>
        <w:t>كثير من كتبهم، منها</w:t>
      </w:r>
      <w:r>
        <w:rPr>
          <w:rFonts w:hint="cs"/>
          <w:rtl/>
        </w:rPr>
        <w:t xml:space="preserve"> :</w:t>
      </w:r>
    </w:p>
    <w:p w:rsidR="00035BE3" w:rsidRDefault="00035BE3" w:rsidP="00C10469">
      <w:pPr>
        <w:pStyle w:val="a6"/>
        <w:spacing w:line="480" w:lineRule="exact"/>
        <w:ind w:left="422" w:firstLine="0"/>
        <w:rPr>
          <w:rtl/>
        </w:rPr>
      </w:pPr>
      <w:r>
        <w:rPr>
          <w:rFonts w:hint="cs"/>
          <w:rtl/>
        </w:rPr>
        <w:t>الجامع الصغير وشرحه : النافع الكبير، ص399؛ المبسوط، 10/185، 187، 188، 16/84؛ بـدائع الصنائع، 7/14؛ الهداية وشرحاها : العناية، وفتح القدير، 7/304؛ المغني، 14/34-36؛ روضة الطالبين، 8/132-139؛ كنز الدقائق وشرحاه : تبيين الحقائق، 4/188-190؛ والبحر الرائق، 7/8؛ الدّرر شرح الغرر، 2/409؛ التوضيح في الجمع بين المقنع والتنقيح، 3/1313-1314؛ مغني المحتاج، 4/396-397؛ نهاية المحتاج، 8/258-259؛ الروض المربع وحـاشيـة ابـن قـاسم عليه، 7/533-534؛ الشرح الصغير للدردير، 5/540-552؛ الشرح الكبير وحـاشيـة الدسوقي عليه، 4/136،</w:t>
      </w:r>
      <w:r>
        <w:rPr>
          <w:rFonts w:hint="eastAsia"/>
          <w:rtl/>
        </w:rPr>
        <w:t> </w:t>
      </w:r>
      <w:r>
        <w:rPr>
          <w:rFonts w:hint="cs"/>
          <w:rtl/>
        </w:rPr>
        <w:t>152-158.</w:t>
      </w:r>
    </w:p>
    <w:p w:rsidR="00035BE3" w:rsidRDefault="00035BE3" w:rsidP="00C10469">
      <w:pPr>
        <w:pStyle w:val="a6"/>
        <w:ind w:left="422" w:firstLine="0"/>
        <w:rPr>
          <w:b/>
          <w:bCs/>
          <w:rtl/>
        </w:rPr>
      </w:pPr>
      <w:r>
        <w:rPr>
          <w:rFonts w:hint="cs"/>
          <w:b/>
          <w:bCs/>
          <w:rtl/>
        </w:rPr>
        <w:t xml:space="preserve">ومن الكتب التي اعتنت بنقض الاجتهاد : </w:t>
      </w:r>
      <w:r>
        <w:rPr>
          <w:rFonts w:hint="cs"/>
          <w:b/>
          <w:bCs/>
          <w:rtl/>
        </w:rPr>
        <w:tab/>
      </w:r>
      <w:r>
        <w:rPr>
          <w:rFonts w:hint="cs"/>
          <w:b/>
          <w:bCs/>
          <w:rtl/>
        </w:rPr>
        <w:tab/>
      </w:r>
      <w:r>
        <w:rPr>
          <w:rFonts w:hint="cs"/>
          <w:b/>
          <w:bCs/>
          <w:rtl/>
        </w:rPr>
        <w:tab/>
      </w:r>
      <w:r>
        <w:rPr>
          <w:rFonts w:hint="cs"/>
          <w:b/>
          <w:bCs/>
          <w:rtl/>
        </w:rPr>
        <w:tab/>
      </w:r>
      <w:r>
        <w:rPr>
          <w:rFonts w:hint="cs"/>
          <w:b/>
          <w:bCs/>
          <w:rtl/>
        </w:rPr>
        <w:tab/>
        <w:t xml:space="preserve">           </w:t>
      </w:r>
    </w:p>
    <w:p w:rsidR="00035BE3" w:rsidRDefault="00035BE3" w:rsidP="00C10469">
      <w:pPr>
        <w:pStyle w:val="a6"/>
        <w:ind w:left="422" w:firstLine="0"/>
        <w:rPr>
          <w:rtl/>
        </w:rPr>
      </w:pPr>
      <w:r>
        <w:rPr>
          <w:rFonts w:hint="cs"/>
          <w:rtl/>
        </w:rPr>
        <w:t>الإحكام في تمييز الفتاوى عن الأحكام، وذلك في الأسئلة الآتية : 1، 19، 21، 26، 28، 29، 34، 35، 36، وصفحاتها : 33-38، 88-89، 91، 121-124، 133-141، 177-190؛ مسعفة الحكام على الأحكام، وتحقيقها المسمى : بغية التمام، 2/489-547؛ نقض الأحكام القضائية في</w:t>
      </w:r>
      <w:r>
        <w:rPr>
          <w:rFonts w:hint="eastAsia"/>
          <w:rtl/>
        </w:rPr>
        <w:t> </w:t>
      </w:r>
      <w:r>
        <w:rPr>
          <w:rFonts w:hint="cs"/>
          <w:rtl/>
        </w:rPr>
        <w:t>الفقه لِـ أ.د. عبد الكريم اللاحم.</w:t>
      </w:r>
    </w:p>
    <w:p w:rsidR="00035BE3" w:rsidRDefault="00035BE3" w:rsidP="00C10469">
      <w:pPr>
        <w:pStyle w:val="a6"/>
        <w:ind w:left="422" w:firstLine="0"/>
        <w:rPr>
          <w:b/>
          <w:bCs/>
          <w:rtl/>
        </w:rPr>
      </w:pPr>
      <w:r>
        <w:rPr>
          <w:rFonts w:hint="cs"/>
          <w:b/>
          <w:bCs/>
          <w:rtl/>
        </w:rPr>
        <w:t xml:space="preserve">هذا ما يتعلق بثوتيق القاعدة : </w:t>
      </w:r>
    </w:p>
    <w:p w:rsidR="00035BE3" w:rsidRDefault="00035BE3" w:rsidP="00C10469">
      <w:pPr>
        <w:pStyle w:val="a6"/>
        <w:ind w:left="422" w:firstLine="0"/>
        <w:rPr>
          <w:rtl/>
        </w:rPr>
      </w:pPr>
      <w:r>
        <w:rPr>
          <w:rFonts w:hint="cs"/>
          <w:b/>
          <w:bCs/>
          <w:rtl/>
        </w:rPr>
        <w:t>«أما المراد بالقاعدة</w:t>
      </w:r>
      <w:r>
        <w:rPr>
          <w:rFonts w:hint="cs"/>
          <w:rtl/>
        </w:rPr>
        <w:t xml:space="preserve"> ... فهو : أن الاجتهاد المستوفي شروطه إذا اتصل بالحكم أو القضاء ونُفِّذ : لا يمكن نقضه بالاجتهاد الثاني الجديد» - قاله د. علي الندوي في (القواعد الفقهية)، ص440-.</w:t>
      </w:r>
    </w:p>
  </w:footnote>
  <w:footnote w:id="5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التعليل في بعض الكتب الآنف ذكرها، منها : تبيين الحقائق، 4/188؛ التـقريـر والـتحبير، 3/335، الأشباه والنظائر للسيوطي، 1/242؛ ولابن نجيم، ص129؛ شرح الكوكب المنير، 4/503؛ شرح المجلة لسليم رستم، 1/26؛ نقض الاجتهاد لشيخنا د. أحمد العنقري، ص77.</w:t>
      </w:r>
    </w:p>
  </w:footnote>
  <w:footnote w:id="5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المستصفى، 2/282؛ الإحكام للآمدي، 4/209؛ تبيين الحقائق، 4/188؛ الأشباه والنظائر للسيوطي، 1/242؛ ولابن نجيم، ص129؛ مسلم الثبوت وشرحه : فواتح الرحموت، 2/395؛ شرح المجلة لسليم رستم، 1/26؛ شرح القواعد الفقهية للزرقا، ص155؛ نقض الاجتهاد لشيخنا د. أحمد العنقري، ص77.</w:t>
      </w:r>
    </w:p>
  </w:footnote>
  <w:footnote w:id="5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ومما استدل به كثير من العلماء للقاعدة : دليل الاجماع. ومن الكتب التي حُكي فيها هذا الدليل: الإحكام للآمدي، 4/209؛ مختصر ابن الحاجب وشرح العضد، 2/300؛ جمع الجوامع وشرح المحلي (مع حاشية البناني)، 2/391؛ وتشنيف المسامع، 4/591؛ التقرير والتحبير، 3/335؛ الأشباه والنظائر للسيوطي، 1/241؛ ولابن نجيم، ص129.</w:t>
      </w:r>
    </w:p>
    <w:p w:rsidR="00035BE3" w:rsidRDefault="00035BE3" w:rsidP="00C10469">
      <w:pPr>
        <w:pStyle w:val="a6"/>
        <w:ind w:left="422" w:firstLine="0"/>
        <w:rPr>
          <w:rtl/>
        </w:rPr>
      </w:pPr>
      <w:r>
        <w:rPr>
          <w:rFonts w:hint="cs"/>
          <w:rtl/>
        </w:rPr>
        <w:t>ومع كثرة من نقل الإجماع إلا أن هناك من خالفه، فقد جاء في المغني، 14/34 : «وحكي عن أبي ثور</w:t>
      </w:r>
      <w:r>
        <w:rPr>
          <w:rFonts w:hint="eastAsia"/>
          <w:rtl/>
        </w:rPr>
        <w:t> </w:t>
      </w:r>
      <w:r>
        <w:rPr>
          <w:rFonts w:hint="cs"/>
          <w:rtl/>
        </w:rPr>
        <w:t>وداود أنه يَنْقُضُ جميع ما بان له خطؤه ...»؛ بل سبق النقل عن المقَّري في قواعده، 2/372: أن للمالكية في القاعدة قولين. وانظر : شرح تنقيح الفصول، ص439؛ التقرير والتحبير، 3/335؛ إيضاح المسالك، ص61.</w:t>
      </w:r>
    </w:p>
    <w:p w:rsidR="00035BE3" w:rsidRDefault="00035BE3" w:rsidP="00C10469">
      <w:pPr>
        <w:pStyle w:val="a6"/>
        <w:ind w:left="422" w:firstLine="0"/>
        <w:rPr>
          <w:rtl/>
        </w:rPr>
      </w:pPr>
      <w:r>
        <w:rPr>
          <w:rFonts w:hint="cs"/>
          <w:rtl/>
        </w:rPr>
        <w:t>لهذا فلعل الأسلم أن يُستدل بإجماع الصحابة، كما فعل السيوطي في أشباهه، 1/241، وتابعه شيخنا د. أحمد العنقري في كتابه : نقض الاجتهاد، ص73-76.</w:t>
      </w:r>
      <w:r>
        <w:rPr>
          <w:rFonts w:hint="cs"/>
          <w:rtl/>
        </w:rPr>
        <w:tab/>
      </w:r>
      <w:r>
        <w:rPr>
          <w:rFonts w:hint="cs"/>
          <w:rtl/>
        </w:rPr>
        <w:tab/>
      </w:r>
      <w:r>
        <w:rPr>
          <w:rFonts w:hint="cs"/>
          <w:rtl/>
        </w:rPr>
        <w:tab/>
      </w:r>
      <w:r>
        <w:rPr>
          <w:rFonts w:hint="cs"/>
          <w:rtl/>
        </w:rPr>
        <w:tab/>
      </w:r>
      <w:r>
        <w:rPr>
          <w:rFonts w:hint="cs"/>
          <w:rtl/>
        </w:rPr>
        <w:tab/>
        <w:t xml:space="preserve">  </w:t>
      </w:r>
    </w:p>
  </w:footnote>
  <w:footnote w:id="56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4/أ من (أ).</w:t>
      </w:r>
    </w:p>
  </w:footnote>
  <w:footnote w:id="562">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«بالاجتهاد» : ساقطة من (جـ).</w:t>
      </w:r>
    </w:p>
  </w:footnote>
  <w:footnote w:id="56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ص129، إلا أنه قال : «وعلله بعضهم»</w:t>
      </w:r>
    </w:p>
    <w:p w:rsidR="00035BE3" w:rsidRDefault="00035BE3" w:rsidP="00C10469">
      <w:pPr>
        <w:pStyle w:val="a6"/>
        <w:spacing w:line="420" w:lineRule="exact"/>
        <w:ind w:left="422" w:firstLine="0"/>
        <w:rPr>
          <w:rtl/>
        </w:rPr>
      </w:pPr>
      <w:r>
        <w:rPr>
          <w:rFonts w:hint="cs"/>
          <w:rtl/>
        </w:rPr>
        <w:t>وانظر : الأشباه والنظائر للسيوطي، 1/242.</w:t>
      </w:r>
    </w:p>
  </w:footnote>
  <w:footnote w:id="56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3/ب من (جـ).</w:t>
      </w:r>
    </w:p>
  </w:footnote>
  <w:footnote w:id="56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ص130.</w:t>
      </w:r>
    </w:p>
    <w:p w:rsidR="00035BE3" w:rsidRDefault="00035BE3" w:rsidP="00C10469">
      <w:pPr>
        <w:pStyle w:val="a6"/>
        <w:spacing w:line="420" w:lineRule="exact"/>
        <w:ind w:left="422" w:firstLine="0"/>
        <w:rPr>
          <w:rtl/>
        </w:rPr>
      </w:pPr>
      <w:r>
        <w:rPr>
          <w:rFonts w:hint="cs"/>
          <w:rtl/>
        </w:rPr>
        <w:t>وانظر أول المسألة في الأشباه والنظائر للسيوطي، 1/243؛ أما المنقول عن الأصحاب فهو مذكور - مع اختلاف يسير- في: (الكتاب) للقُدُري وشرحه : اللباب، 4/87، 88؛ بداية المبتدي وشرحها : الهداية</w:t>
      </w:r>
      <w:r>
        <w:rPr>
          <w:rFonts w:hint="eastAsia"/>
          <w:rtl/>
        </w:rPr>
        <w:t> </w:t>
      </w:r>
      <w:r>
        <w:rPr>
          <w:rFonts w:hint="cs"/>
          <w:rtl/>
        </w:rPr>
        <w:t>وشرحيها : العناية وفتح القدير، 7/300؛ كنـز الدقائق وشرحيه : تبيـين الحقائق، 4/188؛ والبحر الرائق، 7/8؛ تنوير الأبصار (مع رد المحتار)، 8/87-88، إلا أن صاحب الكنـز قيد السّنة بالمشهورة،</w:t>
      </w:r>
      <w:r>
        <w:rPr>
          <w:rFonts w:hint="eastAsia"/>
          <w:rtl/>
        </w:rPr>
        <w:t> </w:t>
      </w:r>
      <w:r>
        <w:rPr>
          <w:rFonts w:hint="cs"/>
          <w:rtl/>
        </w:rPr>
        <w:t>وكذلك فعل شرّاح (الكتاب) و(الهداية)؛ وصاحب التنوير الآنف ذكرهم.</w:t>
      </w:r>
    </w:p>
    <w:p w:rsidR="00035BE3" w:rsidRDefault="00035BE3" w:rsidP="00C10469">
      <w:pPr>
        <w:pStyle w:val="a6"/>
        <w:spacing w:line="420" w:lineRule="exact"/>
        <w:ind w:left="422" w:firstLine="0"/>
        <w:rPr>
          <w:rtl/>
        </w:rPr>
      </w:pPr>
      <w:r>
        <w:rPr>
          <w:rFonts w:hint="cs"/>
          <w:rtl/>
        </w:rPr>
        <w:t>وانظر أيضًا : مختصر الخرقي وشرحه: المغنى، 14/34؛ الإحكام للآمدي، 4/209؛ شرح التنقيح، ص441؛ التقرير والتحبير، 3/335؛ شرح الكوكب المنير، 4/505؛ مسلم الثبوت وشرحه : فواتح الرحموت، 2/395.</w:t>
      </w:r>
    </w:p>
  </w:footnote>
  <w:footnote w:id="5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والصحيح : إحداهما؛ وفاقًا لمصدر هذه العبارة، وهو أشباه ابن نجيم؛ لأنها بدل من (مسألتين)؛ فتكون (إحدى) منصوبة، وهي لفظ مفرد وليس مثنى؛ لهذا فإن علامة نصبه : الفتحة المقدرة على آخره، منع من ظهورها التعذر، وليست الياء.</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ويحتمل أن يكون هذا من الاختلاف في الإملاء؛ بأن يكون المقصود من (الياء) (ألف المدّ). إلا أن هذا الاحتمال لم أجد ما يسنده في النسخ الخطية من حذف نقطتي (الياء) وإثبات (ألف مد) فوق نبرة الياء، كما هو الحال في الرسم الـعثماني للمصحف مثل : </w:t>
      </w:r>
      <w:r>
        <w:rPr>
          <w:color w:val="000000"/>
          <w:sz w:val="22"/>
          <w:szCs w:val="22"/>
        </w:rPr>
        <w:sym w:font="HQPB2" w:char="F0E2"/>
      </w:r>
      <w:r>
        <w:rPr>
          <w:color w:val="000000"/>
          <w:sz w:val="22"/>
          <w:szCs w:val="22"/>
          <w:rtl/>
        </w:rPr>
        <w:t xml:space="preserve"> </w:t>
      </w:r>
      <w:r>
        <w:rPr>
          <w:color w:val="000000"/>
          <w:sz w:val="22"/>
          <w:szCs w:val="22"/>
        </w:rPr>
        <w:sym w:font="HQPB4" w:char="F0F4"/>
      </w:r>
      <w:r>
        <w:rPr>
          <w:color w:val="000000"/>
          <w:sz w:val="22"/>
          <w:szCs w:val="22"/>
        </w:rPr>
        <w:sym w:font="HQPB1" w:char="F04D"/>
      </w:r>
      <w:r>
        <w:rPr>
          <w:color w:val="000000"/>
          <w:sz w:val="22"/>
          <w:szCs w:val="22"/>
        </w:rPr>
        <w:sym w:font="HQPB5" w:char="F073"/>
      </w:r>
      <w:r>
        <w:rPr>
          <w:color w:val="000000"/>
          <w:sz w:val="22"/>
          <w:szCs w:val="22"/>
        </w:rPr>
        <w:sym w:font="HQPB2" w:char="F039"/>
      </w:r>
      <w:r>
        <w:rPr>
          <w:color w:val="000000"/>
          <w:sz w:val="22"/>
          <w:szCs w:val="22"/>
        </w:rPr>
        <w:sym w:font="HQPB1" w:char="F024"/>
      </w:r>
      <w:r>
        <w:rPr>
          <w:color w:val="000000"/>
          <w:sz w:val="22"/>
          <w:szCs w:val="22"/>
        </w:rPr>
        <w:sym w:font="HQPB5" w:char="F073"/>
      </w:r>
      <w:r>
        <w:rPr>
          <w:color w:val="000000"/>
          <w:sz w:val="22"/>
          <w:szCs w:val="22"/>
        </w:rPr>
        <w:sym w:font="HQPB2" w:char="F025"/>
      </w:r>
      <w:r>
        <w:rPr>
          <w:color w:val="000000"/>
          <w:sz w:val="22"/>
          <w:szCs w:val="22"/>
          <w:rtl/>
        </w:rPr>
        <w:t xml:space="preserve"> </w:t>
      </w:r>
      <w:r>
        <w:rPr>
          <w:color w:val="000000"/>
          <w:sz w:val="22"/>
          <w:szCs w:val="22"/>
        </w:rPr>
        <w:sym w:font="HQPB1" w:char="F024"/>
      </w:r>
      <w:r>
        <w:rPr>
          <w:color w:val="000000"/>
          <w:sz w:val="22"/>
          <w:szCs w:val="22"/>
        </w:rPr>
        <w:sym w:font="HQPB5" w:char="F079"/>
      </w:r>
      <w:r>
        <w:rPr>
          <w:color w:val="000000"/>
          <w:sz w:val="22"/>
          <w:szCs w:val="22"/>
        </w:rPr>
        <w:sym w:font="HQPB2" w:char="F04A"/>
      </w:r>
      <w:r>
        <w:rPr>
          <w:color w:val="000000"/>
          <w:sz w:val="22"/>
          <w:szCs w:val="22"/>
        </w:rPr>
        <w:sym w:font="HQPB4" w:char="F0DF"/>
      </w:r>
      <w:r>
        <w:rPr>
          <w:color w:val="000000"/>
          <w:sz w:val="22"/>
          <w:szCs w:val="22"/>
        </w:rPr>
        <w:sym w:font="HQPB2" w:char="F067"/>
      </w:r>
      <w:r>
        <w:rPr>
          <w:color w:val="000000"/>
          <w:sz w:val="22"/>
          <w:szCs w:val="22"/>
        </w:rPr>
        <w:sym w:font="HQPB3" w:char="F031"/>
      </w:r>
      <w:r>
        <w:rPr>
          <w:color w:val="000000"/>
          <w:sz w:val="22"/>
          <w:szCs w:val="22"/>
        </w:rPr>
        <w:sym w:font="HQPB5" w:char="F079"/>
      </w:r>
      <w:r>
        <w:rPr>
          <w:color w:val="000000"/>
          <w:sz w:val="22"/>
          <w:szCs w:val="22"/>
        </w:rPr>
        <w:sym w:font="HQPB1" w:char="F089"/>
      </w:r>
      <w:r>
        <w:rPr>
          <w:color w:val="000000"/>
          <w:sz w:val="22"/>
          <w:szCs w:val="22"/>
        </w:rPr>
        <w:sym w:font="HQPB4" w:char="F0F7"/>
      </w:r>
      <w:r>
        <w:rPr>
          <w:color w:val="000000"/>
          <w:sz w:val="22"/>
          <w:szCs w:val="22"/>
        </w:rPr>
        <w:sym w:font="HQPB1" w:char="F06E"/>
      </w:r>
      <w:r>
        <w:rPr>
          <w:color w:val="000000"/>
          <w:sz w:val="22"/>
          <w:szCs w:val="22"/>
        </w:rPr>
        <w:sym w:font="HQPB4" w:char="F0CE"/>
      </w:r>
      <w:r>
        <w:rPr>
          <w:color w:val="000000"/>
          <w:sz w:val="22"/>
          <w:szCs w:val="22"/>
        </w:rPr>
        <w:sym w:font="HQPB1" w:char="F029"/>
      </w:r>
      <w:r>
        <w:rPr>
          <w:color w:val="000000"/>
          <w:sz w:val="22"/>
          <w:szCs w:val="22"/>
          <w:rtl/>
        </w:rPr>
        <w:t xml:space="preserve"> </w:t>
      </w:r>
      <w:r>
        <w:rPr>
          <w:color w:val="000000"/>
          <w:sz w:val="22"/>
          <w:szCs w:val="22"/>
        </w:rPr>
        <w:sym w:font="HQPB2" w:char="F0E1"/>
      </w:r>
      <w:r>
        <w:rPr>
          <w:rFonts w:hint="cs"/>
          <w:rtl/>
        </w:rPr>
        <w:t xml:space="preserve"> [من الآية رقم (26) من سورة (القصص).]؛ لهذا لم أجرؤ على تعديل ما جاء في النسخ الخطية -والله أعلم-.</w:t>
      </w:r>
    </w:p>
  </w:footnote>
  <w:footnote w:id="5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«شروطها».</w:t>
      </w:r>
    </w:p>
  </w:footnote>
  <w:footnote w:id="5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«يكن». والصحيح ما تمّ إثباته من (ب)، وهو الموافق لما في الأشباه لابن نجيم، علمًا بأنها جاءت في (د) مهملة من النقاط.</w:t>
      </w:r>
    </w:p>
  </w:footnote>
  <w:footnote w:id="5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«نقيره». والصحيح ما تم إثباته من (ب) و(جـ) و(د)، وهو الموافق لأشباه ابن نجيم.</w:t>
      </w:r>
    </w:p>
  </w:footnote>
  <w:footnote w:id="5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مصدر هذه العبارة (وهو أشباه ابن نجيم) : «الأمور». ولعّل هذا الأولى. وعلى كلِّ حالٍ فالمراد : أن (الأمور العامة) غالبًا ما تكون من الأمور الاجتهادية التي تدور مع المصلحة ويرجع تحديدها إلى اجتهاد الإمام وسياسته، ومع تغيّر الإمام قد يخالفه الإمام الثاني في تحديد المصلحة فيتبعها تغيّر الحكم؛ لأن الحكم يدور مع المصلحة.</w:t>
      </w:r>
    </w:p>
  </w:footnote>
  <w:footnote w:id="571">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الأشباه والنظائر لابن نجيم، ص130 - مع اختلاف يسير، سبقت الإشارة إلى أهمه في بعض الهوامش السابقة-.</w:t>
      </w:r>
    </w:p>
    <w:p w:rsidR="00035BE3" w:rsidRDefault="00035BE3" w:rsidP="00C10469">
      <w:pPr>
        <w:pStyle w:val="a6"/>
        <w:ind w:left="422" w:firstLine="0"/>
        <w:rPr>
          <w:rtl/>
        </w:rPr>
      </w:pPr>
      <w:r>
        <w:rPr>
          <w:rFonts w:hint="cs"/>
          <w:rtl/>
        </w:rPr>
        <w:t>وانظر: شرح المجلة لسليم رستم، 1/27؛ وشرحها للأتاسي، 1/47-48؛ وانظر المسألة الأولى في: المنـثور، 1/96؛ الأشباه والنظائر للسيوطي، 1/249.</w:t>
      </w:r>
    </w:p>
  </w:footnote>
  <w:footnote w:id="5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2"/>
          <w:rtl/>
        </w:rPr>
        <w:t xml:space="preserve">  </w:t>
      </w:r>
      <w:r w:rsidRPr="00BF6E85">
        <w:rPr>
          <w:rFonts w:hint="cs"/>
          <w:spacing w:val="-2"/>
          <w:rtl/>
        </w:rPr>
        <w:t>هذه القاعدة من القواعد المذهبية التي تتمشَّى مع مذهب الحنفية، ولا تتمشى مع مذهب جمهور الفقهاء. وقد صرح بذلك الشيخ مصطفى الزرقا، و د. علي الندوي، وعزّت الدعاس، ود. محمد الزحيلي. وممّا يؤكد هذا أنه لا يكاد يوجد</w:t>
      </w:r>
      <w:r>
        <w:rPr>
          <w:rFonts w:hint="cs"/>
          <w:rtl/>
        </w:rPr>
        <w:t xml:space="preserve"> لها ذكر في كتب غيرهم، بينما كتبهم حافلة بذكرها :</w:t>
      </w:r>
    </w:p>
    <w:p w:rsidR="00035BE3" w:rsidRDefault="00035BE3" w:rsidP="00C10469">
      <w:pPr>
        <w:pStyle w:val="a6"/>
        <w:ind w:left="422" w:firstLine="0"/>
        <w:rPr>
          <w:rtl/>
        </w:rPr>
      </w:pPr>
      <w:r>
        <w:rPr>
          <w:rFonts w:hint="cs"/>
          <w:b/>
          <w:bCs/>
          <w:rtl/>
        </w:rPr>
        <w:t>فمن كتبهم في القواعد الفقهية</w:t>
      </w:r>
      <w:r>
        <w:rPr>
          <w:rFonts w:hint="cs"/>
          <w:rtl/>
        </w:rPr>
        <w:t xml:space="preserve"> : </w:t>
      </w:r>
    </w:p>
    <w:p w:rsidR="00035BE3" w:rsidRDefault="00035BE3" w:rsidP="00C10469">
      <w:pPr>
        <w:pStyle w:val="a6"/>
        <w:ind w:left="422" w:firstLine="0"/>
        <w:rPr>
          <w:rtl/>
        </w:rPr>
      </w:pPr>
      <w:r>
        <w:rPr>
          <w:rFonts w:hint="cs"/>
          <w:rtl/>
        </w:rPr>
        <w:t>مجامع الحقائق (الخاتمة)، ص44؛ شرح العلائي لقواعد الخادمي، ل 7/ب؛ منافع الدقائق شرح مجامع الحقائق، ص310؛ مجلة الأحكام العدلية، مادة 86؛ شرحها لسـليم رستم، 1/57-58؛ ولعلي حيدر، 1/78؛ وللأتاسي، 1/243-245؛ وشرح قواعدها للزرقا، ص431-436؛ قواعد الفقه لعميم الإحسان</w:t>
      </w:r>
      <w:r>
        <w:rPr>
          <w:rFonts w:hint="eastAsia"/>
          <w:rtl/>
        </w:rPr>
        <w:t> </w:t>
      </w:r>
      <w:r>
        <w:rPr>
          <w:rFonts w:hint="cs"/>
          <w:rtl/>
        </w:rPr>
        <w:t>المجدّدي، ص54، قاعدة 8؛ المدخل الفقهي العام، 2/1036-1038، فقرة 652؛ القواعد الفقهية للدكتور الندوي، ص99، 351؛ القواعد والضوابط المستخلصة من التحرير له أيضًا، ص139؛ القواعد الفقهية للدعاس، ص97-98؛ القواعد الفقهية للدكتور الزحيلي، ص86.</w:t>
      </w:r>
    </w:p>
    <w:p w:rsidR="00035BE3" w:rsidRDefault="00035BE3" w:rsidP="00C10469">
      <w:pPr>
        <w:pStyle w:val="a6"/>
        <w:ind w:left="422" w:firstLine="0"/>
        <w:rPr>
          <w:rtl/>
        </w:rPr>
      </w:pPr>
      <w:r>
        <w:rPr>
          <w:rFonts w:hint="cs"/>
          <w:b/>
          <w:bCs/>
          <w:rtl/>
        </w:rPr>
        <w:t>ومن كتبهم في الفقه</w:t>
      </w:r>
      <w:r>
        <w:rPr>
          <w:rFonts w:hint="cs"/>
          <w:rtl/>
        </w:rPr>
        <w:t xml:space="preserve"> : </w:t>
      </w:r>
    </w:p>
    <w:p w:rsidR="00035BE3" w:rsidRDefault="00035BE3" w:rsidP="00C10469">
      <w:pPr>
        <w:pStyle w:val="a6"/>
        <w:ind w:left="422" w:firstLine="0"/>
        <w:rPr>
          <w:rtl/>
        </w:rPr>
      </w:pPr>
      <w:r>
        <w:rPr>
          <w:rFonts w:hint="cs"/>
          <w:rtl/>
        </w:rPr>
        <w:t>الأصل لمحمد بن الحسن، 3/39؛ المبسوط للسرخسي، 10/207، 11/27، 15/147، 166، 168، 16/54، 30/160؛ بدائع الصنائع، 4/213؛ فـتاوى قاضي خان، 2/315؛ العناية، 9/90؛ درر الحكام شرح غرر الأحكام، 2/226-227، 234؛ البحر الرائق، 8/11، 14، 29 الدرّ المختار، وحاشية ابن عابدين عليه (رد المحتار)، 9/100.</w:t>
      </w:r>
    </w:p>
    <w:p w:rsidR="00035BE3" w:rsidRDefault="00035BE3" w:rsidP="00C10469">
      <w:pPr>
        <w:pStyle w:val="a6"/>
        <w:ind w:left="422" w:firstLine="0"/>
        <w:rPr>
          <w:rtl/>
        </w:rPr>
      </w:pPr>
      <w:r>
        <w:rPr>
          <w:rFonts w:hint="cs"/>
          <w:rtl/>
        </w:rPr>
        <w:t xml:space="preserve">هذا ما يتعلق بتوثيق القاعدة. </w:t>
      </w:r>
    </w:p>
    <w:p w:rsidR="00035BE3" w:rsidRDefault="00035BE3" w:rsidP="00C10469">
      <w:pPr>
        <w:pStyle w:val="a6"/>
        <w:ind w:left="422" w:firstLine="0"/>
        <w:rPr>
          <w:rtl/>
        </w:rPr>
      </w:pPr>
      <w:r>
        <w:rPr>
          <w:rFonts w:hint="cs"/>
          <w:b/>
          <w:bCs/>
          <w:rtl/>
        </w:rPr>
        <w:t>أما معناها</w:t>
      </w:r>
      <w:r>
        <w:rPr>
          <w:rFonts w:hint="cs"/>
          <w:rtl/>
        </w:rPr>
        <w:t xml:space="preserve"> :</w:t>
      </w:r>
    </w:p>
    <w:p w:rsidR="00035BE3" w:rsidRDefault="00035BE3" w:rsidP="00C10469">
      <w:pPr>
        <w:pStyle w:val="a6"/>
        <w:ind w:left="422" w:firstLine="0"/>
        <w:rPr>
          <w:rtl/>
        </w:rPr>
      </w:pPr>
      <w:r>
        <w:rPr>
          <w:rFonts w:hint="cs"/>
          <w:b/>
          <w:bCs/>
          <w:rtl/>
        </w:rPr>
        <w:t>فالأجْر</w:t>
      </w:r>
      <w:r>
        <w:rPr>
          <w:rFonts w:hint="cs"/>
          <w:rtl/>
        </w:rPr>
        <w:t xml:space="preserve"> في اللغة : مشتق من مادة «أجر»، والهمزة والجيم والراء -كما يقول ابن فارس-: «أصلان يمكن الجمع بينهما بالمعنى، فالأول : الكراء على العمل، والثاني : جَبْر العظم الكسير ... والمعنى الجامع بينهما : أن أجرة العامل كأنها شيء يُجْبر به حاله فيما لحقه من كدٍّ فيما عمله»، ومن الأول ما جاء في (المعجم الوسيط) : «الأجْرُ : عوض العمل والانتفاع».</w:t>
      </w:r>
    </w:p>
    <w:p w:rsidR="00035BE3" w:rsidRDefault="00035BE3" w:rsidP="00C10469">
      <w:pPr>
        <w:pStyle w:val="a6"/>
        <w:ind w:left="422" w:firstLine="0"/>
        <w:rPr>
          <w:spacing w:val="-4"/>
          <w:rtl/>
        </w:rPr>
      </w:pPr>
      <w:r>
        <w:rPr>
          <w:rFonts w:hint="cs"/>
          <w:spacing w:val="-4"/>
          <w:rtl/>
        </w:rPr>
        <w:t>وبناء على هذا فالمراد بالأجر في القاعدة :«بدل المنفعة عن مدَّةٍ ما» - قاله الأستاذ الزرقا في (المدخل).</w:t>
      </w:r>
    </w:p>
    <w:p w:rsidR="00035BE3" w:rsidRDefault="00035BE3" w:rsidP="00C10469">
      <w:pPr>
        <w:pStyle w:val="a6"/>
        <w:ind w:left="422" w:firstLine="0"/>
        <w:rPr>
          <w:rtl/>
        </w:rPr>
      </w:pPr>
      <w:r>
        <w:rPr>
          <w:rFonts w:hint="cs"/>
          <w:b/>
          <w:bCs/>
          <w:rtl/>
        </w:rPr>
        <w:t>أما الضمان</w:t>
      </w:r>
      <w:r>
        <w:rPr>
          <w:rFonts w:hint="cs"/>
          <w:rtl/>
        </w:rPr>
        <w:t xml:space="preserve"> في اللغة : فهو مصدرُ «ضمن» والضاد والميم والنون -كما يقول ابن فارس-: «أصل صحيح، وهو جعل الشيء في شيء يحويه، ومن ذلك قولهم : ضمَّنت الشيء إذا جعلته في وعائه، والكفالة</w:t>
      </w:r>
      <w:r>
        <w:rPr>
          <w:rFonts w:hint="eastAsia"/>
          <w:rtl/>
        </w:rPr>
        <w:t> </w:t>
      </w:r>
      <w:r>
        <w:rPr>
          <w:rFonts w:hint="cs"/>
          <w:rtl/>
        </w:rPr>
        <w:t>تسمّى ضمانًا من هذا؛ لأنه كأنه إذا ضَمِنَه فقد استوعب ذمَّته».</w:t>
      </w:r>
      <w:r>
        <w:rPr>
          <w:rFonts w:hint="cs"/>
          <w:rtl/>
        </w:rPr>
        <w:tab/>
      </w:r>
      <w:r>
        <w:rPr>
          <w:rFonts w:hint="cs"/>
          <w:rtl/>
        </w:rPr>
        <w:tab/>
        <w:t xml:space="preserve">            </w:t>
      </w:r>
    </w:p>
    <w:p w:rsidR="00035BE3" w:rsidRDefault="00035BE3" w:rsidP="00C10469">
      <w:pPr>
        <w:pStyle w:val="a6"/>
        <w:spacing w:line="228" w:lineRule="auto"/>
        <w:ind w:left="422" w:firstLine="0"/>
        <w:rPr>
          <w:rtl/>
        </w:rPr>
      </w:pPr>
      <w:r>
        <w:rPr>
          <w:rFonts w:hint="cs"/>
          <w:rtl/>
        </w:rPr>
        <w:t>ويدخل في هذا الأصل ما جاء في (المعجم الوسيط) : «الضامن : الكفيل، أو الملتزم، أو الغارم [والجمع] : ضُمَّانٌ، وضَمَنَة ... الضمان : الكفالة والالتزام».</w:t>
      </w:r>
    </w:p>
    <w:p w:rsidR="00035BE3" w:rsidRDefault="00035BE3" w:rsidP="00C10469">
      <w:pPr>
        <w:pStyle w:val="a6"/>
        <w:spacing w:line="228" w:lineRule="auto"/>
        <w:ind w:left="422" w:firstLine="0"/>
        <w:rPr>
          <w:rtl/>
        </w:rPr>
      </w:pPr>
      <w:r>
        <w:rPr>
          <w:rFonts w:hint="cs"/>
          <w:rtl/>
        </w:rPr>
        <w:t>والمراد بالضمان في القاعدة -كما يقول الأستاذ مصطفى الزرقا -: «هو الالتزام بقيمة العين المنتفع بها»، وهذا الالتزام والغرم ليس المراد به الالتزام الذي يكون عقب هلاك العين؛ بل المراد به : كون الضامن ملتزمًا بقيمة العين إن هلكت، سواء أوقع الهلاك حقيقة أم لم يقع.</w:t>
      </w:r>
    </w:p>
    <w:p w:rsidR="00035BE3" w:rsidRDefault="00035BE3" w:rsidP="00C10469">
      <w:pPr>
        <w:pStyle w:val="a6"/>
        <w:spacing w:line="228" w:lineRule="auto"/>
        <w:ind w:left="422" w:firstLine="0"/>
        <w:rPr>
          <w:rtl/>
        </w:rPr>
      </w:pPr>
      <w:r>
        <w:rPr>
          <w:rFonts w:hint="cs"/>
          <w:rtl/>
        </w:rPr>
        <w:t>(ولتوثيق معنى الأجر والضمان فإن المعنى اللغوي للأجر منقول من : المقاييس في اللغة، مادة «أجر»، ص60؛ المعجم الوسيط، مادة «أجر»، 1/7؛ وانظر : القاموس المحيط، مادة «أجر»، ص436.</w:t>
      </w:r>
    </w:p>
    <w:p w:rsidR="00035BE3" w:rsidRDefault="00035BE3" w:rsidP="00C10469">
      <w:pPr>
        <w:pStyle w:val="a6"/>
        <w:spacing w:line="228" w:lineRule="auto"/>
        <w:ind w:left="422" w:firstLine="0"/>
        <w:rPr>
          <w:rtl/>
        </w:rPr>
      </w:pPr>
      <w:r>
        <w:rPr>
          <w:rFonts w:hint="cs"/>
          <w:rtl/>
        </w:rPr>
        <w:t>كما أن المعنى اللغوي للضمان منقول من الأول، مادة «ضمن»، ص603؛ ومن الثاني، مادة «ضمن»، 1/544؛ وانظر: لسان العرب، 13/257-261، مادة «ضمن».</w:t>
      </w:r>
    </w:p>
    <w:p w:rsidR="00035BE3" w:rsidRDefault="00035BE3" w:rsidP="00C10469">
      <w:pPr>
        <w:pStyle w:val="a6"/>
        <w:spacing w:line="228" w:lineRule="auto"/>
        <w:ind w:left="422" w:firstLine="0"/>
        <w:rPr>
          <w:spacing w:val="-4"/>
          <w:rtl/>
        </w:rPr>
      </w:pPr>
      <w:r>
        <w:rPr>
          <w:rFonts w:hint="cs"/>
          <w:spacing w:val="-4"/>
          <w:rtl/>
        </w:rPr>
        <w:t>أما المراد من الأجر والضمان في القاعدة فهو مستفاد من المدخل الفقهي العام، 2/1036، فقرة 652).</w:t>
      </w:r>
    </w:p>
    <w:p w:rsidR="00035BE3" w:rsidRDefault="00035BE3" w:rsidP="00C10469">
      <w:pPr>
        <w:pStyle w:val="a6"/>
        <w:spacing w:line="228" w:lineRule="auto"/>
        <w:ind w:left="422" w:firstLine="0"/>
        <w:rPr>
          <w:rtl/>
        </w:rPr>
      </w:pPr>
      <w:r>
        <w:rPr>
          <w:rFonts w:hint="cs"/>
          <w:rtl/>
        </w:rPr>
        <w:t xml:space="preserve">إذا علم هذا فيمكن أن يُقال في توضيح </w:t>
      </w:r>
      <w:r>
        <w:rPr>
          <w:rFonts w:hint="cs"/>
          <w:b/>
          <w:bCs/>
          <w:rtl/>
        </w:rPr>
        <w:t>المراد من القاعدة</w:t>
      </w:r>
      <w:r>
        <w:rPr>
          <w:rFonts w:hint="cs"/>
          <w:rtl/>
        </w:rPr>
        <w:t xml:space="preserve"> : </w:t>
      </w:r>
    </w:p>
    <w:p w:rsidR="00035BE3" w:rsidRDefault="00035BE3" w:rsidP="00C10469">
      <w:pPr>
        <w:pStyle w:val="a6"/>
        <w:spacing w:line="228" w:lineRule="auto"/>
        <w:ind w:left="422" w:firstLine="0"/>
        <w:rPr>
          <w:rtl/>
        </w:rPr>
      </w:pPr>
      <w:r>
        <w:rPr>
          <w:rFonts w:hint="cs"/>
          <w:rtl/>
        </w:rPr>
        <w:t>إن الإنسان إذا أراد الانتفاع بعين ما مقابل عوض يدفعه، ثم طرأ على هذه العين ما يجعلها داخلة في ضمانه وتحت مسؤوليته، وكان هو المتسبب في ذلك : فإنه يسقط عنه ذلك العوض بمجرد دخولها في ضمانه، حتى لو لم تهلك تلك العين !!.</w:t>
      </w:r>
    </w:p>
    <w:p w:rsidR="00035BE3" w:rsidRDefault="00035BE3" w:rsidP="00C10469">
      <w:pPr>
        <w:pStyle w:val="a6"/>
        <w:ind w:left="422" w:firstLine="0"/>
        <w:rPr>
          <w:rtl/>
        </w:rPr>
      </w:pPr>
      <w:r>
        <w:rPr>
          <w:rFonts w:hint="cs"/>
          <w:rtl/>
        </w:rPr>
        <w:t>ومن باب أولى لو كانت داخلة تحت مسؤوليته ابتداء؛ لئلاّ يجتمع الأجر والضمان !.</w:t>
      </w:r>
    </w:p>
    <w:p w:rsidR="00035BE3" w:rsidRDefault="00035BE3" w:rsidP="00C10469">
      <w:pPr>
        <w:pStyle w:val="a6"/>
        <w:spacing w:line="228" w:lineRule="auto"/>
        <w:ind w:left="422" w:firstLine="0"/>
        <w:rPr>
          <w:rtl/>
        </w:rPr>
      </w:pPr>
      <w:r>
        <w:rPr>
          <w:rFonts w:hint="cs"/>
          <w:rtl/>
        </w:rPr>
        <w:t>هذا المعنى النظري للقاعدة.</w:t>
      </w:r>
    </w:p>
    <w:p w:rsidR="00035BE3" w:rsidRDefault="00035BE3" w:rsidP="00C10469">
      <w:pPr>
        <w:pStyle w:val="a6"/>
        <w:spacing w:line="228" w:lineRule="auto"/>
        <w:ind w:left="422" w:firstLine="0"/>
        <w:rPr>
          <w:rtl/>
        </w:rPr>
      </w:pPr>
      <w:r>
        <w:rPr>
          <w:rFonts w:hint="cs"/>
          <w:rtl/>
        </w:rPr>
        <w:t>ولو نظر مَنْ يتبنَّى هذه القاعدة إلى الأبعاد التطبيقية لها؛ لربّما أعاد النظر فيها؛ لأن الضمان إذا كان مسقِطًا للأجر على الإطلاق (بدعوى أن الأجر والضمان لا يجتمعان) فإنّه يفتح الباب أمام الناس لاتخاذ الضمان ذريعة للهروب من الأجر. فكلُّ من أراد الانتفاع بعين لغيره بلا بدل، يمكنه أن يتعدى باستعمال العين في غير ما اتفقا عليه لتصبح في ضمانه فيسقط عنه الأجر، ولا يبالي بضمان تلك العين عند هلاكها؛</w:t>
      </w:r>
      <w:r>
        <w:rPr>
          <w:rFonts w:hint="eastAsia"/>
          <w:rtl/>
        </w:rPr>
        <w:t> </w:t>
      </w:r>
      <w:r>
        <w:rPr>
          <w:rFonts w:hint="cs"/>
          <w:rtl/>
        </w:rPr>
        <w:t>لأنه نادر!!.</w:t>
      </w:r>
    </w:p>
    <w:p w:rsidR="00035BE3" w:rsidRDefault="00035BE3" w:rsidP="00C10469">
      <w:pPr>
        <w:pStyle w:val="a6"/>
        <w:ind w:left="422" w:firstLine="0"/>
        <w:rPr>
          <w:spacing w:val="-4"/>
          <w:rtl/>
        </w:rPr>
      </w:pPr>
      <w:r>
        <w:rPr>
          <w:rFonts w:hint="cs"/>
          <w:spacing w:val="-4"/>
          <w:rtl/>
        </w:rPr>
        <w:t>بل يمكنه أن يغتصب تلك العين ابتداءً وينتفع بها، ثم يردها على حالها دون أن يدفع مقابلاً لهذه المنفعة !!.</w:t>
      </w:r>
    </w:p>
    <w:p w:rsidR="00035BE3" w:rsidRDefault="00035BE3" w:rsidP="00C10469">
      <w:pPr>
        <w:pStyle w:val="a6"/>
        <w:spacing w:line="228" w:lineRule="auto"/>
        <w:ind w:left="422" w:firstLine="0"/>
        <w:rPr>
          <w:rtl/>
        </w:rPr>
      </w:pPr>
      <w:r>
        <w:rPr>
          <w:rFonts w:hint="cs"/>
          <w:rtl/>
        </w:rPr>
        <w:t>ولا شك أن هذه النتيجة التطبيقية مثار استغراب؛ لأنها تجعل القاعدة مجرّد «تفريع نظري محض لم يُنظر</w:t>
      </w:r>
      <w:r>
        <w:rPr>
          <w:rFonts w:hint="eastAsia"/>
          <w:rtl/>
        </w:rPr>
        <w:t> </w:t>
      </w:r>
      <w:r>
        <w:rPr>
          <w:rFonts w:hint="cs"/>
          <w:rtl/>
        </w:rPr>
        <w:t>فيه إلى مصلحة التطبيق».</w:t>
      </w:r>
    </w:p>
    <w:p w:rsidR="00035BE3" w:rsidRDefault="00035BE3" w:rsidP="00C10469">
      <w:pPr>
        <w:pStyle w:val="a6"/>
        <w:spacing w:line="228" w:lineRule="auto"/>
        <w:ind w:left="422" w:firstLine="0"/>
        <w:rPr>
          <w:rtl/>
        </w:rPr>
      </w:pPr>
      <w:r>
        <w:rPr>
          <w:rFonts w:hint="cs"/>
          <w:rtl/>
        </w:rPr>
        <w:t>وهذا ما قرَّره الأستاذُ الزرقا في مدخله -2/1037- حيث قال: « ... وهذا في منتهى الغرابة كما ترى. فهو تفريع نظري محض لم يُنظر فيه إلى مصلحة التطبيق.</w:t>
      </w:r>
    </w:p>
    <w:p w:rsidR="00035BE3" w:rsidRDefault="00035BE3" w:rsidP="00C10469">
      <w:pPr>
        <w:pStyle w:val="a6"/>
        <w:spacing w:line="228" w:lineRule="auto"/>
        <w:ind w:left="422" w:firstLine="0"/>
        <w:rPr>
          <w:spacing w:val="-8"/>
          <w:rtl/>
        </w:rPr>
      </w:pPr>
      <w:r>
        <w:rPr>
          <w:rFonts w:hint="cs"/>
          <w:spacing w:val="-8"/>
          <w:rtl/>
        </w:rPr>
        <w:t>فهو يفسح للناس مجال الاحتيال للانتفاع بأموال الغير بلا بدل، فيعقدون الإجارة على غير المنفعة التي يريدون، ثم</w:t>
      </w:r>
      <w:r>
        <w:rPr>
          <w:rFonts w:hint="eastAsia"/>
          <w:spacing w:val="-8"/>
          <w:rtl/>
        </w:rPr>
        <w:t> </w:t>
      </w:r>
      <w:r>
        <w:rPr>
          <w:rFonts w:hint="cs"/>
          <w:spacing w:val="-8"/>
          <w:rtl/>
        </w:rPr>
        <w:t xml:space="preserve">يخالفون إلى الانتفاع بما يريدون، دون التزام بعوض، ولا يبالون بضمان المأجور عند الهلاك؛ لأنه نادر». </w:t>
      </w:r>
      <w:r>
        <w:rPr>
          <w:rFonts w:hint="cs"/>
          <w:spacing w:val="-8"/>
          <w:rtl/>
        </w:rPr>
        <w:tab/>
        <w:t xml:space="preserve">  </w:t>
      </w:r>
    </w:p>
    <w:p w:rsidR="00035BE3" w:rsidRDefault="00035BE3" w:rsidP="00C10469">
      <w:pPr>
        <w:pStyle w:val="a6"/>
        <w:ind w:left="422" w:firstLine="0"/>
        <w:rPr>
          <w:rtl/>
        </w:rPr>
      </w:pPr>
      <w:r>
        <w:rPr>
          <w:rFonts w:hint="cs"/>
          <w:rtl/>
        </w:rPr>
        <w:t>ثم يتابع حديثه بإيراد قيد قد يخفّف من الآثار التطبيقية السلبية على القاعدة، إلا أنه ليس بقوي، ولاسيما أن الجمهور على خلاف القاعدة أصلا - فيقول : «ولو أن فقهاء الحنفية خصّصوا القاعدة بحالة وقوع الضمان وتحقّقه، كما إذا هلكت الدابة مثلاً في هذه الحالة [أي في حالة استئجاره لها ليركبها إلى مكان معين فتعدَّى بذهابه بها رأسًا إلى مكان آخر] والتزام المستأجر بقيمتها : لكان لها وجه، إذ يقال : إن ضمانَ الأصلِ تندمج فيه المنافع. مع أن ذلك أيضًا غير قوي.</w:t>
      </w:r>
    </w:p>
    <w:p w:rsidR="00035BE3" w:rsidRDefault="00035BE3" w:rsidP="00C10469">
      <w:pPr>
        <w:pStyle w:val="a6"/>
        <w:ind w:left="422" w:firstLine="0"/>
        <w:rPr>
          <w:rtl/>
        </w:rPr>
      </w:pPr>
      <w:r>
        <w:rPr>
          <w:rFonts w:hint="cs"/>
          <w:rtl/>
        </w:rPr>
        <w:t>وجمهور المذاهب الأخرى يجتمع في نظرها الأجر والضمان ...».</w:t>
      </w:r>
    </w:p>
    <w:p w:rsidR="00035BE3" w:rsidRDefault="00035BE3" w:rsidP="00C10469">
      <w:pPr>
        <w:pStyle w:val="a6"/>
        <w:ind w:left="422" w:firstLine="0"/>
        <w:rPr>
          <w:spacing w:val="-4"/>
          <w:rtl/>
        </w:rPr>
      </w:pPr>
      <w:r>
        <w:rPr>
          <w:rFonts w:hint="cs"/>
          <w:spacing w:val="-4"/>
          <w:rtl/>
        </w:rPr>
        <w:t>ولم يكن علماء الحنفية قبله غافلين عن هذه الآثار السلبية؛ بل ذكروا عددًا من القيود التي قد تخفّف منها :</w:t>
      </w:r>
    </w:p>
    <w:p w:rsidR="00035BE3" w:rsidRDefault="00035BE3" w:rsidP="00C10469">
      <w:pPr>
        <w:pStyle w:val="a6"/>
        <w:ind w:left="422" w:firstLine="0"/>
        <w:rPr>
          <w:rtl/>
        </w:rPr>
      </w:pPr>
      <w:r>
        <w:rPr>
          <w:rFonts w:hint="cs"/>
          <w:rtl/>
        </w:rPr>
        <w:t>ومن ذلك ما أفتى به كثير منهم بإيجاب تصدق الغاصب بمنافع المغصوب والزيادة المنفصلة غير المتولدة من الأصل. - وهذا يحتاج إلى تعليق، إلاّ أن المؤلف سيشير إليه، ص256؛ فكان من المناسب ترك التعليق عليه إلى هناك-.</w:t>
      </w:r>
    </w:p>
    <w:p w:rsidR="00035BE3" w:rsidRDefault="00035BE3" w:rsidP="00C10469">
      <w:pPr>
        <w:pStyle w:val="a6"/>
        <w:ind w:left="422" w:firstLine="0"/>
        <w:rPr>
          <w:rtl/>
        </w:rPr>
      </w:pPr>
      <w:r>
        <w:rPr>
          <w:rFonts w:hint="cs"/>
          <w:rtl/>
        </w:rPr>
        <w:t>ومن ذلك أيضًا أنهم استثنوا من عدم تضمين منافع المغصوب : ما لو كان المغصوب مال وقف أو يتيم أو معدًّا للاستغلال. وقد صرح بذلك ابن نجيم في (أشباهه)، ص317، وتابعه صاحب (مجمع الضمانات)، ص130، وصاحب (الدر المختار)، 9/299. كما أفرد واضعو (مجلة الأحكام العدلية) مادة مستقلة للحديث عن هذه الأمور المستثناة - وهي المادة (596).</w:t>
      </w:r>
    </w:p>
    <w:p w:rsidR="00035BE3" w:rsidRDefault="00035BE3" w:rsidP="00C10469">
      <w:pPr>
        <w:pStyle w:val="a6"/>
        <w:ind w:left="422" w:firstLine="0"/>
        <w:rPr>
          <w:rtl/>
        </w:rPr>
      </w:pPr>
      <w:r>
        <w:rPr>
          <w:rFonts w:hint="cs"/>
          <w:rtl/>
        </w:rPr>
        <w:t>وقد أشار الأستاذ مصطفى الزرقا إلى هذا - في (المدخل)، 2/927-928، فقرة 544- فمّما قال : « ... ولكن المتأخرين من فقهاء المذهب الحنفي نظروا تجرُّؤ الناس على الغاصب. [كذا بالألف!] وضعف الوازع الديني في نفوسهم، فأفتوا بتضمين الغاصب أجرة المثل عن منافع المغصوب إذا كان المغصوب مال وقفٍ، أو مال يتيم، أو معدًّا للاستغلال، على خلاف الأصل القياسي في المذهب؛ زجرًا للناس عن العدوان؛ لفساد الزمان.</w:t>
      </w:r>
    </w:p>
    <w:p w:rsidR="00035BE3" w:rsidRDefault="00035BE3" w:rsidP="00C10469">
      <w:pPr>
        <w:pStyle w:val="a6"/>
        <w:ind w:left="422" w:firstLine="0"/>
        <w:rPr>
          <w:rtl/>
        </w:rPr>
      </w:pPr>
      <w:r>
        <w:rPr>
          <w:rFonts w:hint="cs"/>
          <w:rtl/>
        </w:rPr>
        <w:t>وعلى هذا استقر العمل وجاءت المجلة ...».</w:t>
      </w:r>
    </w:p>
    <w:p w:rsidR="00035BE3" w:rsidRDefault="00035BE3" w:rsidP="00C10469">
      <w:pPr>
        <w:pStyle w:val="a6"/>
        <w:ind w:left="422" w:firstLine="0"/>
        <w:rPr>
          <w:rtl/>
        </w:rPr>
      </w:pPr>
      <w:r>
        <w:rPr>
          <w:rFonts w:hint="cs"/>
          <w:rtl/>
        </w:rPr>
        <w:t xml:space="preserve">ثم ذهب إلى أبعد مما ذهبوا إليه فقال : </w:t>
      </w:r>
    </w:p>
    <w:p w:rsidR="00035BE3" w:rsidRDefault="00035BE3" w:rsidP="00C10469">
      <w:pPr>
        <w:pStyle w:val="a6"/>
        <w:ind w:left="422" w:firstLine="0"/>
        <w:rPr>
          <w:rtl/>
        </w:rPr>
      </w:pPr>
      <w:r>
        <w:rPr>
          <w:rFonts w:hint="cs"/>
          <w:rtl/>
        </w:rPr>
        <w:t>«واستنادًا إلى العلَّة نفسها نستطيع أن نقول : إن قواعد الاجتهاد الحنفي تتقبّل مبدأ تضمين بدل منافع المغصوب مطلقًا في جميع الأموال، لا في هذه الأنواع الثلاثة فقط؛ لازدياد فساد الذّمم، وكثرة الطمع في أموال الغير، والتجاوز على الحقوق».</w:t>
      </w:r>
    </w:p>
  </w:footnote>
  <w:footnote w:id="5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«وكذا».</w:t>
      </w:r>
    </w:p>
  </w:footnote>
  <w:footnote w:id="574">
    <w:p w:rsidR="00035BE3" w:rsidRDefault="00035BE3" w:rsidP="00C10469">
      <w:pPr>
        <w:pStyle w:val="a6"/>
        <w:spacing w:line="228" w:lineRule="auto"/>
        <w:ind w:left="422" w:hanging="454"/>
        <w:rPr>
          <w:rtl/>
        </w:rPr>
      </w:pPr>
      <w:r>
        <w:rPr>
          <w:rFonts w:hint="cs"/>
          <w:vertAlign w:val="superscript"/>
          <w:rtl/>
        </w:rPr>
        <w:t>(</w:t>
      </w:r>
      <w:r>
        <w:rPr>
          <w:rStyle w:val="a7"/>
        </w:rPr>
        <w:footnoteRef/>
      </w:r>
      <w:r>
        <w:rPr>
          <w:rFonts w:hint="cs"/>
          <w:vertAlign w:val="superscript"/>
          <w:rtl/>
        </w:rPr>
        <w:t>)</w:t>
      </w:r>
      <w:r>
        <w:rPr>
          <w:rFonts w:hint="cs"/>
          <w:rtl/>
        </w:rPr>
        <w:t xml:space="preserve">   في (د) : «وضمنه».</w:t>
      </w:r>
    </w:p>
  </w:footnote>
  <w:footnote w:id="575">
    <w:p w:rsidR="00035BE3" w:rsidRDefault="00035BE3" w:rsidP="00C10469">
      <w:pPr>
        <w:pStyle w:val="a6"/>
        <w:spacing w:line="228" w:lineRule="auto"/>
        <w:ind w:left="422" w:hanging="454"/>
        <w:rPr>
          <w:rtl/>
        </w:rPr>
      </w:pPr>
      <w:r>
        <w:rPr>
          <w:rFonts w:hint="cs"/>
          <w:vertAlign w:val="superscript"/>
          <w:rtl/>
        </w:rPr>
        <w:t>(</w:t>
      </w:r>
      <w:r>
        <w:rPr>
          <w:rStyle w:val="a7"/>
        </w:rPr>
        <w:footnoteRef/>
      </w:r>
      <w:r>
        <w:rPr>
          <w:rFonts w:hint="cs"/>
          <w:vertAlign w:val="superscript"/>
          <w:rtl/>
        </w:rPr>
        <w:t>)</w:t>
      </w:r>
      <w:r>
        <w:rPr>
          <w:rFonts w:hint="cs"/>
          <w:rtl/>
        </w:rPr>
        <w:t xml:space="preserve">   هكذا ورد المثال في درر الحكام شرح غرر الأحكام، 2/234 (مع اختصار يسير)، ولعل معنى «فلا أجر له» أي : لا أجر للمؤجر على المستأجر. ولا يشكل على هذا كون ما يعود إليه الضمير (وهو المؤجر) لم يرد ذكره في المثال؛ لكونه مفهومًا من السياق، فترك اختصارًا.</w:t>
      </w:r>
    </w:p>
    <w:p w:rsidR="00035BE3" w:rsidRDefault="00035BE3" w:rsidP="00C10469">
      <w:pPr>
        <w:pStyle w:val="a6"/>
        <w:spacing w:line="228" w:lineRule="auto"/>
        <w:ind w:left="422" w:firstLine="0"/>
        <w:rPr>
          <w:spacing w:val="8"/>
          <w:rtl/>
        </w:rPr>
      </w:pPr>
      <w:r>
        <w:rPr>
          <w:rFonts w:hint="cs"/>
          <w:spacing w:val="8"/>
          <w:rtl/>
        </w:rPr>
        <w:t>كما ورد هذا المثال في عدد من كتب الفقه الحنفي وقواعده بذكر بعض صور هذا التعدي، من ذلك ما جاء في درر الحكام شرح مجلة الأحكام، 1/79 :«إذا استُكري حيوانٌ للركوب: لا يجوز تحميله ... فإذا حُمِّل وتلف : يضمن المستأجر قيمة الحيوان، ومن ثمّ لا يجوز تكليفه بتأدية الأجر المسمى».</w:t>
      </w:r>
    </w:p>
    <w:p w:rsidR="00035BE3" w:rsidRDefault="00035BE3" w:rsidP="00C10469">
      <w:pPr>
        <w:pStyle w:val="a6"/>
        <w:spacing w:line="228" w:lineRule="auto"/>
        <w:ind w:left="422" w:firstLine="0"/>
        <w:rPr>
          <w:rtl/>
        </w:rPr>
      </w:pPr>
      <w:r>
        <w:rPr>
          <w:rFonts w:hint="cs"/>
          <w:rtl/>
        </w:rPr>
        <w:t>وانظر : مجلة الأحكام العدلية، المواد : 545-548، 550-551، 556-557؛ شرح المجلة لسليم رستم، 1/57؛ وشرحها لطاهر الأتاسي، 1/243؛ وشرح القواعد الفقهية لأحمد الزرقا، ص432؛ المدخل الفقهي العام، 2/1036، فقرة 652.</w:t>
      </w:r>
    </w:p>
  </w:footnote>
  <w:footnote w:id="576">
    <w:p w:rsidR="00035BE3" w:rsidRDefault="00035BE3" w:rsidP="00C10469">
      <w:pPr>
        <w:pStyle w:val="a6"/>
        <w:spacing w:line="228" w:lineRule="auto"/>
        <w:ind w:left="422" w:hanging="454"/>
        <w:rPr>
          <w:rtl/>
        </w:rPr>
      </w:pPr>
      <w:r>
        <w:rPr>
          <w:rFonts w:hint="cs"/>
          <w:vertAlign w:val="superscript"/>
          <w:rtl/>
        </w:rPr>
        <w:t>(</w:t>
      </w:r>
      <w:r>
        <w:rPr>
          <w:rStyle w:val="a7"/>
        </w:rPr>
        <w:footnoteRef/>
      </w:r>
      <w:r>
        <w:rPr>
          <w:rFonts w:hint="cs"/>
          <w:vertAlign w:val="superscript"/>
          <w:rtl/>
        </w:rPr>
        <w:t>)</w:t>
      </w:r>
      <w:r>
        <w:rPr>
          <w:rFonts w:hint="cs"/>
          <w:rtl/>
        </w:rPr>
        <w:t xml:space="preserve">   في (أ) و(د) : «غصبت». والصحيح ما تمَّ إثباته من (ب) و(جـ) و(هـ) و(و).</w:t>
      </w:r>
    </w:p>
  </w:footnote>
  <w:footnote w:id="577">
    <w:p w:rsidR="00035BE3" w:rsidRDefault="00035BE3" w:rsidP="00C10469">
      <w:pPr>
        <w:pStyle w:val="a6"/>
        <w:spacing w:line="228" w:lineRule="auto"/>
        <w:ind w:left="422" w:hanging="454"/>
        <w:rPr>
          <w:rtl/>
        </w:rPr>
      </w:pPr>
      <w:r>
        <w:rPr>
          <w:rFonts w:hint="cs"/>
          <w:vertAlign w:val="superscript"/>
          <w:rtl/>
        </w:rPr>
        <w:t>(</w:t>
      </w:r>
      <w:r>
        <w:rPr>
          <w:rStyle w:val="a7"/>
        </w:rPr>
        <w:footnoteRef/>
      </w:r>
      <w:r>
        <w:rPr>
          <w:rFonts w:hint="cs"/>
          <w:vertAlign w:val="superscript"/>
          <w:rtl/>
        </w:rPr>
        <w:t>)</w:t>
      </w:r>
      <w:r>
        <w:rPr>
          <w:rFonts w:hint="cs"/>
          <w:rtl/>
        </w:rPr>
        <w:t xml:space="preserve">   أي : واستعمل الغاصبُ الدابَّةَ أو الدار.</w:t>
      </w:r>
    </w:p>
  </w:footnote>
  <w:footnote w:id="578">
    <w:p w:rsidR="00035BE3" w:rsidRDefault="00035BE3" w:rsidP="00C10469">
      <w:pPr>
        <w:pStyle w:val="a6"/>
        <w:spacing w:line="228" w:lineRule="auto"/>
        <w:ind w:left="422" w:hanging="454"/>
        <w:rPr>
          <w:rtl/>
        </w:rPr>
      </w:pPr>
      <w:r>
        <w:rPr>
          <w:rFonts w:hint="cs"/>
          <w:vertAlign w:val="superscript"/>
          <w:rtl/>
        </w:rPr>
        <w:t>(</w:t>
      </w:r>
      <w:r>
        <w:rPr>
          <w:rStyle w:val="a7"/>
        </w:rPr>
        <w:footnoteRef/>
      </w:r>
      <w:r>
        <w:rPr>
          <w:rFonts w:hint="cs"/>
          <w:vertAlign w:val="superscript"/>
          <w:rtl/>
        </w:rPr>
        <w:t>)</w:t>
      </w:r>
      <w:r>
        <w:rPr>
          <w:rFonts w:hint="cs"/>
          <w:rtl/>
        </w:rPr>
        <w:t xml:space="preserve">   في (ب) : «منافعها».</w:t>
      </w:r>
    </w:p>
  </w:footnote>
  <w:footnote w:id="579">
    <w:p w:rsidR="00035BE3" w:rsidRPr="00960E8C" w:rsidRDefault="00035BE3" w:rsidP="00C10469">
      <w:pPr>
        <w:pStyle w:val="a6"/>
        <w:spacing w:line="264" w:lineRule="auto"/>
        <w:ind w:left="420" w:hanging="454"/>
        <w:jc w:val="mediumKashida"/>
        <w:rPr>
          <w:rtl/>
        </w:rPr>
      </w:pPr>
      <w:r w:rsidRPr="00960E8C">
        <w:rPr>
          <w:rFonts w:hint="cs"/>
          <w:vertAlign w:val="superscript"/>
          <w:rtl/>
        </w:rPr>
        <w:t>(</w:t>
      </w:r>
      <w:r w:rsidRPr="00960E8C">
        <w:rPr>
          <w:rStyle w:val="a7"/>
        </w:rPr>
        <w:footnoteRef/>
      </w:r>
      <w:r w:rsidRPr="00960E8C">
        <w:rPr>
          <w:rFonts w:hint="cs"/>
          <w:vertAlign w:val="superscript"/>
          <w:rtl/>
        </w:rPr>
        <w:t>)</w:t>
      </w:r>
      <w:r w:rsidRPr="00960E8C">
        <w:rPr>
          <w:rFonts w:hint="cs"/>
          <w:rtl/>
        </w:rPr>
        <w:t xml:space="preserve"> </w:t>
      </w:r>
      <w:r>
        <w:rPr>
          <w:rFonts w:hint="cs"/>
          <w:rtl/>
        </w:rPr>
        <w:t xml:space="preserve">  </w:t>
      </w:r>
      <w:r w:rsidRPr="00960E8C">
        <w:rPr>
          <w:rFonts w:hint="cs"/>
          <w:rtl/>
        </w:rPr>
        <w:t>هذا المثال مذكور بنصه في : شرح قواعد الخادمي للعلائي، ل7/أ؛ منافع الدقائق، ص310؛ وانظره في: الكتاب وشرحه : اللباب 2/195؛ المبسوط، 11/78؛ رؤوس المـسائل، ص351-352، مسألة  231؛ درر الحكام شرح غرر الأحكام، 2/267؛ الـدر المختار وحاشية ابن عابدين علـيه (رد المحتار)، 9/299؛ مجمع الضمانات، ص130؛ درر الحكام شرح مجلة الأحكام، 1/584، مادة 596؛ الـمدخل الفقـهي الـعام، 2/927-928، فقرة 544.</w:t>
      </w:r>
    </w:p>
  </w:footnote>
  <w:footnote w:id="5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«أجره» (بالهاء المهملة). والصحيح ما تم إثباته من باقي النسخ.</w:t>
      </w:r>
    </w:p>
  </w:footnote>
  <w:footnote w:id="5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«الغلة : الدخل، من دارٍ، وأجرةِ غلامٍ، وفائدةِ أرض».</w:t>
      </w:r>
    </w:p>
  </w:footnote>
  <w:footnote w:id="5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و(هـ) : «وتصدَّق» (بإسقاط ياء المضارعة)، وفي (د): «وتصرّف». والصحيح ما تمَّ إثباته من (و)؛ لأن الفعل (تصدَّق) بدون زيادة ياء المضارعة لا يستقيم به المعنى؛ إذ الفعل هنا معطوف على قوله: «لا يضمن منافعها»، والمعنى : لا يضمن الزيادة ويتصدَّق بها ...</w:t>
      </w:r>
    </w:p>
  </w:footnote>
  <w:footnote w:id="583">
    <w:p w:rsidR="00035BE3" w:rsidRDefault="00035BE3" w:rsidP="00C10469">
      <w:pPr>
        <w:pStyle w:val="a8"/>
        <w:bidi/>
        <w:ind w:left="422" w:right="0"/>
        <w:rPr>
          <w:spacing w:val="-6"/>
          <w:sz w:val="28"/>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spacing w:val="-6"/>
          <w:sz w:val="28"/>
          <w:rtl/>
        </w:rPr>
        <w:t>إيجاب تصدق الغاصب بمنافع المغصوب، والزيادة المنفصلة غير المتولدة من الأصل هو قول الإمام أبي حنيفة ومحمد.</w:t>
      </w:r>
    </w:p>
    <w:p w:rsidR="00035BE3" w:rsidRDefault="00035BE3" w:rsidP="00C10469">
      <w:pPr>
        <w:pStyle w:val="a6"/>
        <w:ind w:left="422" w:firstLine="0"/>
        <w:rPr>
          <w:spacing w:val="-6"/>
          <w:sz w:val="29"/>
          <w:szCs w:val="29"/>
          <w:rtl/>
        </w:rPr>
      </w:pPr>
      <w:r>
        <w:rPr>
          <w:rFonts w:hint="cs"/>
          <w:spacing w:val="-6"/>
          <w:sz w:val="29"/>
          <w:szCs w:val="29"/>
          <w:rtl/>
        </w:rPr>
        <w:t>وعند إمعان النظر في هـذا القول يُلحظ أنه مناقض للقاعدة؛ لأن معناها هو أن الإنسان إذا ضمن شيئًا : لا يلزمه أجر هذا الشيء. فيلزم من هذا أن تكون منافع المغصوب، والزيادة المنفصلة حقّا للغاصب؛ لئلا يجتمع الأجر والضمان. لكنهم خالفوا هذا بإيجاب التصدق بها، ممّا يعني عدم كونها حقًّا للغاصب، وهذا جمع بين الأجر والضمان؛ إذا لا فرق بين دفعها للمالك، وبين التصدق بها؛ لأن الغاصب لا يستفيد منها على كلا التقديرين!.</w:t>
      </w:r>
    </w:p>
    <w:p w:rsidR="00035BE3" w:rsidRDefault="00035BE3" w:rsidP="00C10469">
      <w:pPr>
        <w:pStyle w:val="a6"/>
        <w:ind w:left="422" w:firstLine="0"/>
        <w:rPr>
          <w:rtl/>
        </w:rPr>
      </w:pPr>
      <w:r>
        <w:rPr>
          <w:rFonts w:hint="cs"/>
          <w:rtl/>
        </w:rPr>
        <w:t>ولعلّ هذا هو الذي دفع أبا يوسف والحسن بن زياد وزفر إلى مخالفتهما، والقول بعدم إلزام الغاصب بالتصدق بالفضل، وذلك التزام منهم بالأصل المتقرِّر عندهم، وهو: «أن المغصوب مضمون لا شكّ فيه، وهو مملوك للغاصب ... فلا معنى للمنع من الانتفاع ...»، قاله صاحب (بدائع الصنائع)، 7/153، وقد حكى قبل ذلك القولين المعزوَّين إلى الإمام أبي حنيفة ومحمد وإلى أبي يوسف والحسن وزفر، وصرح بأن الثاني هو القياس والأول استحسان فقال :</w:t>
      </w:r>
    </w:p>
    <w:p w:rsidR="00035BE3" w:rsidRDefault="00035BE3" w:rsidP="00C10469">
      <w:pPr>
        <w:pStyle w:val="a6"/>
        <w:ind w:left="422" w:firstLine="0"/>
        <w:rPr>
          <w:rtl/>
        </w:rPr>
      </w:pPr>
      <w:r>
        <w:rPr>
          <w:b/>
          <w:bCs/>
          <w:rtl/>
        </w:rPr>
        <w:t>•</w:t>
      </w:r>
      <w:r>
        <w:rPr>
          <w:rFonts w:hint="cs"/>
          <w:b/>
          <w:bCs/>
          <w:rtl/>
        </w:rPr>
        <w:t xml:space="preserve"> </w:t>
      </w:r>
      <w:r>
        <w:rPr>
          <w:rFonts w:hint="cs"/>
          <w:rtl/>
        </w:rPr>
        <w:t xml:space="preserve">«قال أبو حنيفة </w:t>
      </w:r>
      <w:r>
        <w:rPr>
          <w:rFonts w:ascii="AGA Arabesque" w:hAnsi="AGA Arabesque"/>
          <w:sz w:val="36"/>
        </w:rPr>
        <w:t></w:t>
      </w:r>
      <w:r>
        <w:rPr>
          <w:rFonts w:hint="cs"/>
          <w:rtl/>
        </w:rPr>
        <w:t xml:space="preserve"> ومحمد -رحمه الله- : لا يحل له الانتفاع حتى يرضى صاحبه. وإن كان فيه فضل يتصدق بالفضل.</w:t>
      </w:r>
    </w:p>
    <w:p w:rsidR="00035BE3" w:rsidRDefault="00035BE3" w:rsidP="00C10469">
      <w:pPr>
        <w:pStyle w:val="a6"/>
        <w:ind w:left="422" w:firstLine="0"/>
        <w:rPr>
          <w:rtl/>
        </w:rPr>
      </w:pPr>
      <w:r>
        <w:rPr>
          <w:b/>
          <w:bCs/>
          <w:rtl/>
        </w:rPr>
        <w:t>•</w:t>
      </w:r>
      <w:r>
        <w:rPr>
          <w:rFonts w:hint="cs"/>
          <w:b/>
          <w:bCs/>
          <w:rtl/>
        </w:rPr>
        <w:t xml:space="preserve"> </w:t>
      </w:r>
      <w:r w:rsidRPr="00544B21">
        <w:rPr>
          <w:rFonts w:hint="cs"/>
          <w:spacing w:val="-2"/>
          <w:rtl/>
        </w:rPr>
        <w:t>وقال أبو يوسف -رحمه الله- : يحلّ له الانتفاع، ولا يلزمه التصدق بالفضل إن كان فيه فضل. وهو قول الحسن وزفر -رحمهما الله- وهو القياس. وقول أبي حنيفة ومحمد -رحمهما الله- استحسان».</w:t>
      </w:r>
    </w:p>
  </w:footnote>
  <w:footnote w:id="5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4/ب من (أ).</w:t>
      </w:r>
    </w:p>
  </w:footnote>
  <w:footnote w:id="5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فتح القدير، 7/211؛ درر الحكام شرح غرر الأحكام، 2/264-265، 267؛ الأشباه والنظائر لابن نجيم، ص177، 178؛ مجمع الضمانات، ص129.</w:t>
      </w:r>
    </w:p>
  </w:footnote>
  <w:footnote w:id="5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4/أ من (د).</w:t>
      </w:r>
    </w:p>
  </w:footnote>
  <w:footnote w:id="587">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جاء في هامش (أ) : «المجّان (بالفتح والتشديد) بلا بدل [..؟..] وقولهم : «أخذه مجانًا»: أي أخذه بلا بدل».</w:t>
      </w:r>
    </w:p>
    <w:p w:rsidR="00035BE3" w:rsidRDefault="00035BE3" w:rsidP="00C10469">
      <w:pPr>
        <w:pStyle w:val="a6"/>
        <w:ind w:left="422" w:firstLine="0"/>
        <w:rPr>
          <w:rtl/>
        </w:rPr>
      </w:pPr>
      <w:r>
        <w:rPr>
          <w:rFonts w:hint="cs"/>
          <w:rtl/>
        </w:rPr>
        <w:t>والمعنى : أن المشتري يرد المعيب، ويُسلَّم له الربح مجانًا بلا بدل.</w:t>
      </w:r>
    </w:p>
  </w:footnote>
  <w:footnote w:id="5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الأشباه والنظائر لابن نجيم، ص177.</w:t>
      </w:r>
    </w:p>
  </w:footnote>
  <w:footnote w:id="5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3/ب من (ب).</w:t>
      </w:r>
    </w:p>
  </w:footnote>
  <w:footnote w:id="5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استدلال المؤلف بهذا الحديث يحتاج إلى مناقشة، وقبل ذلك لابد من معرفة من أخرجه، ووجه الدلالة منه، ولتفصيل ذلك يقال :</w:t>
      </w:r>
    </w:p>
    <w:p w:rsidR="00035BE3" w:rsidRDefault="00035BE3" w:rsidP="00C10469">
      <w:pPr>
        <w:pStyle w:val="a6"/>
        <w:ind w:left="422" w:firstLine="0"/>
        <w:rPr>
          <w:rtl/>
        </w:rPr>
      </w:pPr>
      <w:r>
        <w:rPr>
          <w:rFonts w:hint="cs"/>
          <w:b/>
          <w:bCs/>
          <w:rtl/>
        </w:rPr>
        <w:t>أولاً</w:t>
      </w:r>
      <w:r>
        <w:rPr>
          <w:rFonts w:hint="cs"/>
          <w:rtl/>
        </w:rPr>
        <w:t xml:space="preserve"> : تخريجه :</w:t>
      </w:r>
    </w:p>
    <w:p w:rsidR="00035BE3" w:rsidRDefault="00035BE3" w:rsidP="00C10469">
      <w:pPr>
        <w:pStyle w:val="a8"/>
        <w:bidi/>
        <w:spacing w:line="228" w:lineRule="auto"/>
        <w:ind w:left="422" w:right="0"/>
        <w:rPr>
          <w:spacing w:val="-2"/>
          <w:rtl/>
        </w:rPr>
      </w:pPr>
      <w:r>
        <w:rPr>
          <w:rFonts w:ascii="Wingdings" w:hAnsi="Wingdings" w:hint="cs"/>
          <w:rtl/>
        </w:rPr>
        <w:tab/>
      </w:r>
      <w:r>
        <w:rPr>
          <w:b/>
          <w:bCs/>
          <w:rtl/>
        </w:rPr>
        <w:t>•</w:t>
      </w:r>
      <w:r>
        <w:rPr>
          <w:rFonts w:hint="cs"/>
          <w:rtl/>
        </w:rPr>
        <w:t xml:space="preserve"> أخرجه الإمام الشافعي بمثله في مسنده، 1/189؛ وأبو داود الطيالسي بمثله، ص206، ح 1464؛ والإمام أحـمد بمثله، 6/49، 237، وبنحوه، 6/161، 208؛ وابن ماجه بنحوه، كتاب التجـارات، بـاب الخراج بالضمان، 2/753-754، ح2242؛ وأبو داود بمثله، كتاب البيـوع والإجـارات، بـاب فيمن اشتـرى عبدًا فاستعمله ثم وجد به عيبًا، 3/284، ح3508؛ والترمذي بمثله، كتاب البيوع، باب ما جاء فيمن يشتري العبد ويستغله ثم يجد به عيبًا، 3/581-582، ح 1285، 1286؛ والنسائي في (المجتبى) بمثله، كتاب البيوع، باب الخراج بالضمان، 7/254، ح4490؛ وابن الجارود في (المنـتقي) بمثله، أبواب القضاء في البيع، ص159، ح627؛ وابن حبان في (موارد الظمآن) بمثله، كتاب البيوع، باب الخراج بالضمان، ص275، ح 1125؛ والدارقطني بمثله، </w:t>
      </w:r>
      <w:r>
        <w:rPr>
          <w:rFonts w:hint="cs"/>
          <w:spacing w:val="-2"/>
          <w:rtl/>
        </w:rPr>
        <w:t>كتاب البيوع، 3/53، ح214؛ والحاكم بمثله، كتاب البيوع، باب الخراج بالضمان، 2/18-19؛ والبيهقي بمثله، كتاب البيوع، باب المشتري يجد بما اشتراه عيبًا، 5/321.</w:t>
      </w:r>
    </w:p>
    <w:p w:rsidR="00035BE3" w:rsidRPr="00190D27" w:rsidRDefault="00035BE3" w:rsidP="00C10469">
      <w:pPr>
        <w:pStyle w:val="a6"/>
        <w:spacing w:line="228" w:lineRule="auto"/>
        <w:ind w:left="420" w:firstLine="0"/>
        <w:rPr>
          <w:spacing w:val="4"/>
          <w:sz w:val="18"/>
          <w:szCs w:val="28"/>
          <w:rtl/>
        </w:rPr>
      </w:pPr>
      <w:r w:rsidRPr="00190D27">
        <w:rPr>
          <w:rFonts w:hint="cs"/>
          <w:spacing w:val="4"/>
          <w:sz w:val="18"/>
          <w:szCs w:val="28"/>
          <w:rtl/>
        </w:rPr>
        <w:t>جميعهم عن طريق ابن أبي ذئب عن مخلد بن خفاف الغفاري عن عروة بن الزبـير عن عائشة رضي الله عنها.</w:t>
      </w:r>
    </w:p>
    <w:p w:rsidR="00035BE3" w:rsidRDefault="00035BE3" w:rsidP="00C10469">
      <w:pPr>
        <w:pStyle w:val="a6"/>
        <w:spacing w:line="228" w:lineRule="auto"/>
        <w:ind w:left="420" w:firstLine="0"/>
        <w:rPr>
          <w:rtl/>
        </w:rPr>
      </w:pPr>
      <w:r>
        <w:rPr>
          <w:b/>
          <w:bCs/>
          <w:rtl/>
        </w:rPr>
        <w:t>•</w:t>
      </w:r>
      <w:r>
        <w:rPr>
          <w:rFonts w:hint="cs"/>
          <w:b/>
          <w:bCs/>
          <w:rtl/>
        </w:rPr>
        <w:t xml:space="preserve"> </w:t>
      </w:r>
      <w:r>
        <w:rPr>
          <w:rFonts w:hint="cs"/>
          <w:rtl/>
        </w:rPr>
        <w:t>كما أخرجه أبو داود بمثله، كتاب البيوع والإجارات، باب فيمن اشترى عبدًا فاستعمله ثم وجد به عيبًا، 3/284، ح  3509، من طريق محمد بن عبد الرحمن عن مخلد بن خفاف به.</w:t>
      </w:r>
    </w:p>
    <w:p w:rsidR="00035BE3" w:rsidRDefault="00035BE3" w:rsidP="00C10469">
      <w:pPr>
        <w:pStyle w:val="a6"/>
        <w:spacing w:line="228" w:lineRule="auto"/>
        <w:ind w:left="420" w:firstLine="0"/>
        <w:rPr>
          <w:rtl/>
        </w:rPr>
      </w:pPr>
      <w:r>
        <w:rPr>
          <w:b/>
          <w:bCs/>
          <w:rtl/>
        </w:rPr>
        <w:t>•</w:t>
      </w:r>
      <w:r>
        <w:rPr>
          <w:rFonts w:hint="cs"/>
          <w:b/>
          <w:bCs/>
          <w:rtl/>
        </w:rPr>
        <w:t xml:space="preserve"> </w:t>
      </w:r>
      <w:r>
        <w:rPr>
          <w:rFonts w:hint="cs"/>
          <w:rtl/>
        </w:rPr>
        <w:t>وأيضًا أخرجه الإمام أحمد بنحوه، 6/80، 116؛ وابن ماجه بمثله، كتاب التجارات، باب الخراج بالضمان، 2/754، ح 2243؛ وأبو داود بمثله، كتاب البيوع والإجارات، باب فيمن اشترى عبدًا فاستعمله ثم وجد به عيبًا، 3/284، ح 3510؛ وابن الجارود في (المـنـتقى) بمثله، أبواب القضاء في البيوع، ص59، ح 626؛ والطحاوي بمثله في (شرح معاني الآثار)، كتاب  البيوع، باب بيع الـمـصراة، 4/21-22؛ والدارقـطني بـمثـله، كتاب الـبـيوع، 3/53، ح 213؛ والحاكم بنحوه، كتاب البيوع، باب الخراج بالضمان، 2/18؛ والبيهقي بنحوه، كتاب البيوع، باب المشتري يـجد بما اشتراه عيبًا، 5/322.</w:t>
      </w:r>
    </w:p>
    <w:p w:rsidR="00035BE3" w:rsidRDefault="00035BE3" w:rsidP="00C10469">
      <w:pPr>
        <w:pStyle w:val="a6"/>
        <w:ind w:left="422" w:hanging="2"/>
        <w:rPr>
          <w:rtl/>
        </w:rPr>
      </w:pPr>
      <w:r>
        <w:rPr>
          <w:rFonts w:hint="cs"/>
          <w:rtl/>
        </w:rPr>
        <w:t>جميعهم عن طريق مسلم بن خالد الزنجي عن هشام بن عروة عن أبيه به.</w:t>
      </w:r>
    </w:p>
    <w:p w:rsidR="00035BE3" w:rsidRDefault="00035BE3" w:rsidP="00C10469">
      <w:pPr>
        <w:pStyle w:val="a6"/>
        <w:ind w:left="420" w:firstLine="0"/>
        <w:rPr>
          <w:rtl/>
        </w:rPr>
      </w:pPr>
      <w:r>
        <w:rPr>
          <w:b/>
          <w:bCs/>
          <w:rtl/>
        </w:rPr>
        <w:t>•</w:t>
      </w:r>
      <w:r>
        <w:rPr>
          <w:rFonts w:hint="cs"/>
          <w:b/>
          <w:bCs/>
          <w:rtl/>
        </w:rPr>
        <w:t xml:space="preserve"> </w:t>
      </w:r>
      <w:r>
        <w:rPr>
          <w:rFonts w:hint="cs"/>
          <w:rtl/>
        </w:rPr>
        <w:t>كما أخرجه الترمـذي بـمثـله، كتـاب البيـوع، بـاب ما جـاء فـيمن اشترى العبد ويستغله ثم يجد به عيبًا، 3/582، ح 1286؛ والبيهقي بمثله، كتاب البيوع، باب المشترى يجد بما اشتراه عيبًا، 5/322.</w:t>
      </w:r>
    </w:p>
    <w:p w:rsidR="00035BE3" w:rsidRDefault="00035BE3" w:rsidP="00C10469">
      <w:pPr>
        <w:pStyle w:val="a6"/>
        <w:ind w:left="422" w:hanging="2"/>
        <w:rPr>
          <w:rtl/>
        </w:rPr>
      </w:pPr>
      <w:r>
        <w:rPr>
          <w:rFonts w:hint="cs"/>
          <w:rtl/>
        </w:rPr>
        <w:t>كلاهما عن طريق عمر بن علي المقدمي عن هشام بن عروة به.</w:t>
      </w:r>
    </w:p>
    <w:p w:rsidR="00035BE3" w:rsidRDefault="00035BE3" w:rsidP="00C10469">
      <w:pPr>
        <w:pStyle w:val="a6"/>
        <w:spacing w:line="228" w:lineRule="auto"/>
        <w:ind w:left="422" w:hanging="2"/>
        <w:rPr>
          <w:b/>
          <w:bCs/>
          <w:rtl/>
        </w:rPr>
      </w:pPr>
      <w:r>
        <w:rPr>
          <w:rFonts w:hint="cs"/>
          <w:b/>
          <w:bCs/>
          <w:rtl/>
        </w:rPr>
        <w:t>هذه أربع طرق ورد بها الحديث عن عائشة رضي الله عنها.</w:t>
      </w:r>
    </w:p>
    <w:p w:rsidR="00035BE3" w:rsidRDefault="00035BE3" w:rsidP="00C10469">
      <w:pPr>
        <w:pStyle w:val="a6"/>
        <w:spacing w:line="228" w:lineRule="auto"/>
        <w:ind w:left="422" w:hanging="2"/>
        <w:rPr>
          <w:rtl/>
        </w:rPr>
      </w:pPr>
      <w:r>
        <w:rPr>
          <w:rFonts w:hint="cs"/>
          <w:b/>
          <w:bCs/>
          <w:rtl/>
        </w:rPr>
        <w:t>وقد أبدى المحدثون عددًا من الأقوال في الحكم على الحديث</w:t>
      </w:r>
      <w:r>
        <w:rPr>
          <w:rFonts w:hint="cs"/>
          <w:rtl/>
        </w:rPr>
        <w:t xml:space="preserve"> بكل طريق من هذه الطرق، أو على الحديث بشكل عام :</w:t>
      </w:r>
    </w:p>
    <w:p w:rsidR="00035BE3" w:rsidRDefault="00035BE3" w:rsidP="00C10469">
      <w:pPr>
        <w:pStyle w:val="a6"/>
        <w:spacing w:line="228" w:lineRule="auto"/>
        <w:ind w:left="-32" w:firstLine="452"/>
      </w:pPr>
      <w:r>
        <w:rPr>
          <w:rFonts w:hint="cs"/>
          <w:rtl/>
        </w:rPr>
        <w:t xml:space="preserve">- أما الطـريق الأول والثاني فقـد اختـلف فيه العلماء، بناء على اختلافهم في مخلد بن خفاف : </w:t>
      </w:r>
    </w:p>
    <w:p w:rsidR="00035BE3" w:rsidRDefault="00035BE3" w:rsidP="00C10469">
      <w:pPr>
        <w:pStyle w:val="a6"/>
        <w:spacing w:line="228" w:lineRule="auto"/>
        <w:ind w:left="422" w:firstLine="0"/>
        <w:rPr>
          <w:rtl/>
        </w:rPr>
      </w:pPr>
      <w:r>
        <w:rPr>
          <w:rFonts w:hint="cs"/>
          <w:rtl/>
        </w:rPr>
        <w:t>فقد وثقه ابن حبان.</w:t>
      </w:r>
    </w:p>
    <w:p w:rsidR="00035BE3" w:rsidRDefault="00035BE3" w:rsidP="00C10469">
      <w:pPr>
        <w:pStyle w:val="a6"/>
        <w:spacing w:line="228" w:lineRule="auto"/>
        <w:ind w:left="422" w:firstLine="0"/>
        <w:rPr>
          <w:rtl/>
        </w:rPr>
      </w:pPr>
      <w:r>
        <w:rPr>
          <w:rFonts w:hint="cs"/>
          <w:rtl/>
        </w:rPr>
        <w:t>وقال أبو أحمد عبد الله بن عدّي : لا يعرف له غير هذا الحديث.</w:t>
      </w:r>
    </w:p>
    <w:p w:rsidR="00035BE3" w:rsidRDefault="00035BE3" w:rsidP="00C10469">
      <w:pPr>
        <w:pStyle w:val="a6"/>
        <w:spacing w:line="228" w:lineRule="auto"/>
        <w:ind w:left="422" w:firstLine="0"/>
        <w:rPr>
          <w:rtl/>
        </w:rPr>
      </w:pPr>
      <w:r>
        <w:rPr>
          <w:rFonts w:hint="cs"/>
          <w:rtl/>
        </w:rPr>
        <w:t>وقال أبو حاتم الرازي : لم يروِ عنه سوى ابن أبي ذئب، وليس هذا إسنادٌ تقوم به حجة.</w:t>
      </w:r>
    </w:p>
    <w:p w:rsidR="00035BE3" w:rsidRDefault="00035BE3" w:rsidP="00C10469">
      <w:pPr>
        <w:pStyle w:val="a6"/>
        <w:spacing w:line="228" w:lineRule="auto"/>
        <w:ind w:left="422" w:firstLine="0"/>
        <w:rPr>
          <w:rtl/>
        </w:rPr>
      </w:pPr>
      <w:r>
        <w:rPr>
          <w:rFonts w:hint="cs"/>
          <w:rtl/>
        </w:rPr>
        <w:t>وقال البخاري : فيه نظر.</w:t>
      </w:r>
    </w:p>
    <w:p w:rsidR="00035BE3" w:rsidRDefault="00035BE3" w:rsidP="00C10469">
      <w:pPr>
        <w:pStyle w:val="a6"/>
        <w:spacing w:line="228" w:lineRule="auto"/>
        <w:ind w:left="422" w:firstLine="0"/>
        <w:rPr>
          <w:rtl/>
        </w:rPr>
      </w:pPr>
      <w:r>
        <w:rPr>
          <w:rFonts w:hint="cs"/>
          <w:rtl/>
        </w:rPr>
        <w:t>وقد حكم الترمدي على الحديث بهذا  الطريق بقوله : «هذا حديث حسن صحيح».</w:t>
      </w:r>
    </w:p>
    <w:p w:rsidR="00035BE3" w:rsidRDefault="00035BE3" w:rsidP="00C10469">
      <w:pPr>
        <w:pStyle w:val="a6"/>
        <w:ind w:left="422" w:firstLine="0"/>
        <w:rPr>
          <w:spacing w:val="-4"/>
          <w:rtl/>
        </w:rPr>
      </w:pPr>
      <w:r>
        <w:rPr>
          <w:rFonts w:hint="cs"/>
          <w:spacing w:val="-4"/>
          <w:rtl/>
        </w:rPr>
        <w:t>- أما الطريق الثالث : فقد قال عنه الحاكم : «هذا حديث صحيح الإسناد ولم يخرجاه». ووافقه الذهبي.</w:t>
      </w:r>
    </w:p>
    <w:p w:rsidR="00035BE3" w:rsidRDefault="00035BE3" w:rsidP="00C10469">
      <w:pPr>
        <w:pStyle w:val="a6"/>
        <w:ind w:left="422" w:firstLine="0"/>
        <w:rPr>
          <w:rtl/>
        </w:rPr>
      </w:pPr>
      <w:r>
        <w:rPr>
          <w:rFonts w:hint="cs"/>
          <w:rtl/>
        </w:rPr>
        <w:t>وقال عنه أبو داود : «هذا إسناد ليس بذاك».</w:t>
      </w:r>
    </w:p>
    <w:p w:rsidR="00035BE3" w:rsidRDefault="00035BE3" w:rsidP="00C10469">
      <w:pPr>
        <w:pStyle w:val="a6"/>
        <w:ind w:left="-32" w:firstLine="454"/>
        <w:rPr>
          <w:spacing w:val="-6"/>
          <w:rtl/>
        </w:rPr>
      </w:pPr>
      <w:r>
        <w:rPr>
          <w:rFonts w:hint="cs"/>
          <w:spacing w:val="-6"/>
          <w:rtl/>
        </w:rPr>
        <w:t>- أما الطريق الرابع : فقد قال عنه الترمذي : «هذا حديث حسن غريب من حديث هشام بن عروة».</w:t>
      </w:r>
    </w:p>
    <w:p w:rsidR="00035BE3" w:rsidRDefault="00035BE3" w:rsidP="00C10469">
      <w:pPr>
        <w:pStyle w:val="a6"/>
        <w:ind w:left="422" w:firstLine="0"/>
        <w:rPr>
          <w:rtl/>
        </w:rPr>
      </w:pPr>
      <w:r>
        <w:rPr>
          <w:rFonts w:hint="cs"/>
          <w:rtl/>
        </w:rPr>
        <w:t>كما نقل رأي البخاري فيه، فقال : «استغرب محمد بن إسماعيل هذا الحديث من حديث عمر بن علي. قلت : تراه تدليسًا ؟ قال : لا».</w:t>
      </w:r>
    </w:p>
    <w:p w:rsidR="00035BE3" w:rsidRDefault="00035BE3" w:rsidP="00C10469">
      <w:pPr>
        <w:pStyle w:val="a6"/>
        <w:ind w:left="420" w:firstLine="0"/>
        <w:rPr>
          <w:rtl/>
        </w:rPr>
      </w:pPr>
      <w:r>
        <w:rPr>
          <w:rFonts w:hint="cs"/>
          <w:rtl/>
        </w:rPr>
        <w:t>أما الحكم على الحديث بشكل عام: فقد «ضعفه البخاري، وأبو داود. وصحّحه الترمذي، وابن خزيمة، وابن الجارود، وابن حبان، والحاكم، وابن القطان». قاله الحافظ في (بلوغ المرام). كما نقل الحافظ في التلخيص عن ابن حزم أنه قال : «لا يصح».</w:t>
      </w:r>
    </w:p>
    <w:p w:rsidR="00035BE3" w:rsidRDefault="00035BE3" w:rsidP="00C10469">
      <w:pPr>
        <w:pStyle w:val="a6"/>
        <w:ind w:left="420" w:firstLine="0"/>
        <w:rPr>
          <w:rtl/>
        </w:rPr>
      </w:pPr>
      <w:r>
        <w:rPr>
          <w:rFonts w:hint="cs"/>
          <w:rtl/>
        </w:rPr>
        <w:t>وقال الترمذي - بعد تصحيحه للطريق الأول - : «قد روي هذا الحديث من غير هذا الوجه، والعمل على هذا عند أهل العلم».</w:t>
      </w:r>
    </w:p>
    <w:p w:rsidR="00035BE3" w:rsidRDefault="00035BE3" w:rsidP="00C10469">
      <w:pPr>
        <w:pStyle w:val="a6"/>
        <w:ind w:left="420" w:firstLine="0"/>
        <w:rPr>
          <w:rtl/>
        </w:rPr>
      </w:pPr>
      <w:r>
        <w:rPr>
          <w:rFonts w:hint="cs"/>
          <w:rtl/>
        </w:rPr>
        <w:t xml:space="preserve">وقد ذكر الحافظ ابن كثير الطريق الأول والثالث والرابع ثم قال : «فهذه شواهد جيّدة، تدل على صحة الحديث».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hanging="2"/>
        <w:rPr>
          <w:rtl/>
        </w:rPr>
      </w:pPr>
      <w:r>
        <w:rPr>
          <w:rFonts w:hint="cs"/>
          <w:rtl/>
        </w:rPr>
        <w:t>ووصفه الألباني بأنه : «حسن».</w:t>
      </w:r>
    </w:p>
    <w:p w:rsidR="00035BE3" w:rsidRDefault="00035BE3" w:rsidP="00C10469">
      <w:pPr>
        <w:pStyle w:val="a6"/>
        <w:ind w:left="422" w:hanging="2"/>
        <w:rPr>
          <w:spacing w:val="-8"/>
          <w:rtl/>
        </w:rPr>
      </w:pPr>
      <w:r>
        <w:rPr>
          <w:rFonts w:hint="cs"/>
          <w:spacing w:val="-8"/>
          <w:rtl/>
        </w:rPr>
        <w:t>كما ذكر هذه الطرق صاحب (الهداية في تخريج أحاديث البداية) ثم قال: «والحديث صحيح على كل حال».</w:t>
      </w:r>
    </w:p>
    <w:p w:rsidR="00035BE3" w:rsidRDefault="00035BE3" w:rsidP="00C10469">
      <w:pPr>
        <w:pStyle w:val="a6"/>
        <w:ind w:left="422" w:hanging="2"/>
        <w:rPr>
          <w:rtl/>
        </w:rPr>
      </w:pPr>
      <w:r>
        <w:rPr>
          <w:rFonts w:hint="cs"/>
          <w:rtl/>
        </w:rPr>
        <w:t>انظر : سنن أبي داود، 3/284؛ سنن الترمذي، 3/581-583؛ مستدرك الحاكم، 2/18؛ إرشاد الفقيه إلى معرفة أدلة التنبيه لابن كثير، 2/27-28؛ بلوغ المرام، ص167؛ التخليص، 3/22؛ الهداية في تخريج أحاديث البداية، 7/333-337؛ إرواء الغليل، 5/158-160.</w:t>
      </w:r>
    </w:p>
    <w:p w:rsidR="00035BE3" w:rsidRDefault="00035BE3" w:rsidP="00C10469">
      <w:pPr>
        <w:pStyle w:val="a6"/>
        <w:ind w:left="422" w:hanging="2"/>
        <w:rPr>
          <w:rtl/>
        </w:rPr>
      </w:pPr>
      <w:r>
        <w:rPr>
          <w:rFonts w:hint="cs"/>
          <w:b/>
          <w:bCs/>
          <w:rtl/>
        </w:rPr>
        <w:t>هذا ما يتعلق بتخريج الحديث</w:t>
      </w:r>
      <w:r>
        <w:rPr>
          <w:rFonts w:hint="cs"/>
          <w:rtl/>
        </w:rPr>
        <w:t xml:space="preserve"> وما قاله </w:t>
      </w:r>
      <w:r>
        <w:rPr>
          <w:rFonts w:hint="cs"/>
          <w:b/>
          <w:bCs/>
          <w:rtl/>
        </w:rPr>
        <w:t>العلماء فيه</w:t>
      </w:r>
      <w:r>
        <w:rPr>
          <w:rFonts w:hint="cs"/>
          <w:rtl/>
        </w:rPr>
        <w:t>.</w:t>
      </w:r>
    </w:p>
    <w:p w:rsidR="00035BE3" w:rsidRDefault="00035BE3" w:rsidP="00C10469">
      <w:pPr>
        <w:pStyle w:val="a6"/>
        <w:ind w:left="422" w:hanging="2"/>
        <w:rPr>
          <w:rtl/>
        </w:rPr>
      </w:pPr>
      <w:r>
        <w:rPr>
          <w:rFonts w:hint="cs"/>
          <w:b/>
          <w:bCs/>
          <w:rtl/>
        </w:rPr>
        <w:t>ثانيًا :</w:t>
      </w:r>
      <w:r>
        <w:rPr>
          <w:rFonts w:hint="cs"/>
          <w:rtl/>
        </w:rPr>
        <w:t xml:space="preserve"> </w:t>
      </w:r>
      <w:r>
        <w:rPr>
          <w:rFonts w:hint="cs"/>
          <w:b/>
          <w:bCs/>
          <w:rtl/>
        </w:rPr>
        <w:t>وجه الدلالة منه</w:t>
      </w:r>
      <w:r>
        <w:rPr>
          <w:rFonts w:hint="cs"/>
          <w:rtl/>
        </w:rPr>
        <w:t xml:space="preserve"> : </w:t>
      </w:r>
    </w:p>
    <w:p w:rsidR="00035BE3" w:rsidRDefault="00035BE3" w:rsidP="00C10469">
      <w:pPr>
        <w:pStyle w:val="a6"/>
        <w:ind w:left="422" w:hanging="2"/>
        <w:rPr>
          <w:rtl/>
        </w:rPr>
      </w:pPr>
      <w:r>
        <w:rPr>
          <w:rFonts w:hint="cs"/>
          <w:rtl/>
        </w:rPr>
        <w:t>هو أن الخراج هنا جُعل للضامن في مقابل الضمان، فيلزم من ذلك أن لا يجتمع الأجر والضمان. وبناء عليه: « تكون الزوائد للغاصب؛ لأن ضمانه أشد من ضمان غيره! ...</w:t>
      </w:r>
    </w:p>
    <w:p w:rsidR="00035BE3" w:rsidRDefault="00035BE3" w:rsidP="00C10469">
      <w:pPr>
        <w:pStyle w:val="a6"/>
        <w:ind w:left="422" w:hanging="2"/>
        <w:rPr>
          <w:rtl/>
        </w:rPr>
      </w:pPr>
      <w:r>
        <w:rPr>
          <w:rFonts w:hint="cs"/>
          <w:rtl/>
        </w:rPr>
        <w:t>وبهذا احتُجَّ لأبي حنيفة في قوله : إن الغاصب لا يضمن منافع الغصب».</w:t>
      </w:r>
    </w:p>
    <w:p w:rsidR="00035BE3" w:rsidRDefault="00035BE3" w:rsidP="00C10469">
      <w:pPr>
        <w:pStyle w:val="a6"/>
        <w:ind w:left="422" w:hanging="2"/>
        <w:rPr>
          <w:b/>
          <w:bCs/>
          <w:rtl/>
        </w:rPr>
      </w:pPr>
      <w:r>
        <w:rPr>
          <w:rFonts w:hint="cs"/>
          <w:b/>
          <w:bCs/>
          <w:rtl/>
        </w:rPr>
        <w:t>ثالثًا : المناقشة :</w:t>
      </w:r>
    </w:p>
    <w:p w:rsidR="00035BE3" w:rsidRDefault="00035BE3" w:rsidP="00C10469">
      <w:pPr>
        <w:pStyle w:val="a6"/>
        <w:ind w:left="422" w:hanging="2"/>
        <w:rPr>
          <w:rtl/>
        </w:rPr>
      </w:pPr>
      <w:r>
        <w:rPr>
          <w:rFonts w:hint="cs"/>
          <w:rtl/>
        </w:rPr>
        <w:t>النص المذكور في وجه الدلالة منقول من المنثور، 2/120؛ وأشباه السيوطي، 1/304؛ وأشباه ابن نجيم، ص177.</w:t>
      </w:r>
    </w:p>
    <w:p w:rsidR="00035BE3" w:rsidRDefault="00035BE3" w:rsidP="00C10469">
      <w:pPr>
        <w:pStyle w:val="a6"/>
        <w:ind w:left="422" w:hanging="2"/>
        <w:rPr>
          <w:rtl/>
        </w:rPr>
      </w:pPr>
      <w:r>
        <w:rPr>
          <w:rFonts w:hint="cs"/>
          <w:rtl/>
        </w:rPr>
        <w:t>وقد ذكروه على أنه إشكال يرد على قاعدة: «الخراج بالضمان» ودليلها . ثم أجابوا عنه بجوابين.</w:t>
      </w:r>
    </w:p>
    <w:p w:rsidR="00035BE3" w:rsidRDefault="00035BE3" w:rsidP="00C10469">
      <w:pPr>
        <w:pStyle w:val="a6"/>
        <w:ind w:left="422" w:hanging="2"/>
        <w:rPr>
          <w:rtl/>
        </w:rPr>
      </w:pPr>
      <w:r>
        <w:rPr>
          <w:rFonts w:hint="cs"/>
          <w:rtl/>
        </w:rPr>
        <w:t>كما أجاب ابن قدامة في المغني -7/418- على الاستدلال بالحديث.</w:t>
      </w:r>
    </w:p>
    <w:p w:rsidR="00035BE3" w:rsidRDefault="00035BE3" w:rsidP="00C10469">
      <w:pPr>
        <w:pStyle w:val="a6"/>
        <w:ind w:left="422" w:hanging="2"/>
        <w:rPr>
          <w:rtl/>
        </w:rPr>
      </w:pPr>
      <w:r>
        <w:rPr>
          <w:rFonts w:hint="cs"/>
          <w:rtl/>
        </w:rPr>
        <w:t>ويمكن الاستفادة مما قالوا في مناقشة الاستدلال بالحديث على النحو الآتي:</w:t>
      </w:r>
    </w:p>
    <w:p w:rsidR="00035BE3" w:rsidRDefault="00035BE3" w:rsidP="00C10469">
      <w:pPr>
        <w:pStyle w:val="a6"/>
        <w:ind w:left="422" w:hanging="2"/>
        <w:rPr>
          <w:rtl/>
        </w:rPr>
      </w:pPr>
      <w:r>
        <w:rPr>
          <w:rFonts w:hint="cs"/>
          <w:rtl/>
        </w:rPr>
        <w:t>هذا الحديث وارد في البيع، ولا يدخل فيه الغصْب.</w:t>
      </w:r>
    </w:p>
    <w:p w:rsidR="00035BE3" w:rsidRDefault="00035BE3" w:rsidP="00C10469">
      <w:pPr>
        <w:pStyle w:val="a6"/>
        <w:ind w:left="422" w:hanging="2"/>
        <w:rPr>
          <w:rtl/>
        </w:rPr>
      </w:pPr>
      <w:r>
        <w:rPr>
          <w:rFonts w:hint="cs"/>
          <w:rtl/>
        </w:rPr>
        <w:t xml:space="preserve">حيث جاء ذكر السبب في أحد طرقه - وهو الطريق الثالث الذي سبق بيانه، ص257 - ومن ذلك ما أخرجه الحاكم في المستدرك - 2/18- بسنده عن عائشة رضي الله عنها : أن رجلاً اشترى من رجل غلامًا في زمن النبي </w:t>
      </w:r>
      <w:r>
        <w:rPr>
          <w:rFonts w:ascii="AGA Arabesque" w:hAnsi="AGA Arabesque"/>
          <w:sz w:val="36"/>
        </w:rPr>
        <w:t></w:t>
      </w:r>
      <w:r>
        <w:rPr>
          <w:rFonts w:hint="cs"/>
          <w:rtl/>
        </w:rPr>
        <w:t xml:space="preserve">، فكان عنده ما شاء الله. ثم ردّه من عيب وجد به، فقال الرجل - حين رُدّ عليه الغلام - : يا رسول الله : إنه كان استغلَّ غلامي منذ كان عنده. فقال النبي </w:t>
      </w:r>
      <w:r>
        <w:rPr>
          <w:rFonts w:ascii="AGA Arabesque" w:hAnsi="AGA Arabesque"/>
          <w:sz w:val="36"/>
        </w:rPr>
        <w:t></w:t>
      </w:r>
      <w:r>
        <w:rPr>
          <w:rFonts w:ascii="AGA Arabesque" w:hAnsi="AGA Arabesque" w:hint="cs"/>
          <w:sz w:val="36"/>
          <w:rtl/>
        </w:rPr>
        <w:t xml:space="preserve"> </w:t>
      </w:r>
      <w:r>
        <w:rPr>
          <w:rFonts w:hint="cs"/>
          <w:rtl/>
        </w:rPr>
        <w:t>: «</w:t>
      </w:r>
      <w:r>
        <w:rPr>
          <w:rFonts w:cs="DecoType Naskh Extensions" w:hint="cs"/>
          <w:rtl/>
        </w:rPr>
        <w:t>الخراج بالضمان</w:t>
      </w:r>
      <w:r>
        <w:rPr>
          <w:rFonts w:hint="cs"/>
          <w:rtl/>
        </w:rPr>
        <w:t>».</w:t>
      </w:r>
    </w:p>
    <w:p w:rsidR="00035BE3" w:rsidRDefault="00035BE3" w:rsidP="00C10469">
      <w:pPr>
        <w:pStyle w:val="a6"/>
        <w:ind w:left="422" w:hanging="2"/>
        <w:rPr>
          <w:rtl/>
        </w:rPr>
      </w:pPr>
      <w:r>
        <w:rPr>
          <w:rFonts w:hint="cs"/>
          <w:rtl/>
        </w:rPr>
        <w:t xml:space="preserve">فيُلحظ هنا أنه </w:t>
      </w:r>
      <w:r>
        <w:rPr>
          <w:rFonts w:ascii="AGA Arabesque" w:hAnsi="AGA Arabesque"/>
          <w:sz w:val="36"/>
        </w:rPr>
        <w:t></w:t>
      </w:r>
      <w:r>
        <w:rPr>
          <w:rFonts w:hint="cs"/>
          <w:rtl/>
        </w:rPr>
        <w:t xml:space="preserve"> قضى بذلك في ضمان الملك، فجَعَلَ الخراج والغلّة للمالك (وهو المشتري)؛ لأن المبيع اذا تلف تلف من ملكه، فاستحق الخراج مقابل ذلك.</w:t>
      </w:r>
    </w:p>
    <w:p w:rsidR="00035BE3" w:rsidRDefault="00035BE3" w:rsidP="00C10469">
      <w:pPr>
        <w:pStyle w:val="a6"/>
        <w:ind w:left="422" w:hanging="2"/>
        <w:rPr>
          <w:rtl/>
        </w:rPr>
      </w:pPr>
      <w:r>
        <w:rPr>
          <w:rFonts w:hint="cs"/>
          <w:rtl/>
        </w:rPr>
        <w:t>بخلاف الغاصب؛ لأنه لا يملك المغصوب أصلاً، فلا يستحق الخراج.</w:t>
      </w:r>
    </w:p>
    <w:p w:rsidR="00035BE3" w:rsidRDefault="00035BE3" w:rsidP="00C10469">
      <w:pPr>
        <w:pStyle w:val="a6"/>
        <w:ind w:left="420" w:firstLine="80"/>
        <w:rPr>
          <w:rtl/>
        </w:rPr>
      </w:pPr>
      <w:r>
        <w:rPr>
          <w:rFonts w:hint="cs"/>
          <w:rtl/>
        </w:rPr>
        <w:t>- فإن قيل : إن هذا الحديث، وإن ورد على سببٍ خاصٍّ، إلاّ أنه ورد بلفظ عام، والعبرة بعموم اللفظ لا بخصوص السبب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Pr>
          <w:rFonts w:hint="cs"/>
          <w:rtl/>
        </w:rPr>
        <w:tab/>
        <w:t xml:space="preserve">           </w:t>
      </w:r>
    </w:p>
    <w:p w:rsidR="00035BE3" w:rsidRDefault="00035BE3" w:rsidP="00C10469">
      <w:pPr>
        <w:pStyle w:val="a6"/>
        <w:spacing w:line="440" w:lineRule="exact"/>
        <w:ind w:left="420" w:firstLine="0"/>
      </w:pPr>
      <w:r>
        <w:rPr>
          <w:rFonts w:hint="cs"/>
          <w:rtl/>
        </w:rPr>
        <w:t xml:space="preserve">- فيمكن أن يقال : إن هذا العموم مخصوص بما ورد عن النبي </w:t>
      </w:r>
      <w:r>
        <w:rPr>
          <w:rFonts w:ascii="AGA Arabesque" w:hAnsi="AGA Arabesque"/>
          <w:sz w:val="36"/>
        </w:rPr>
        <w:t></w:t>
      </w:r>
      <w:r>
        <w:rPr>
          <w:rFonts w:hint="cs"/>
          <w:rtl/>
        </w:rPr>
        <w:t xml:space="preserve"> أنه قال: «</w:t>
      </w:r>
      <w:r>
        <w:rPr>
          <w:rFonts w:cs="DecoType Naskh" w:hint="cs"/>
          <w:rtl/>
        </w:rPr>
        <w:t>ليس لعرق ظالم فيه أجر</w:t>
      </w:r>
      <w:r>
        <w:rPr>
          <w:rFonts w:hint="cs"/>
          <w:rtl/>
        </w:rPr>
        <w:t>»- أخرجه البخاري معلقًا بصيغة التمريض، كتاب الـمزارعة، باب من أحيا أرضًا مواتًا، 2/823. قال عنه الحافظ في (فتح الباري)، 5/24 : «ولحديث عمرو بن عوف المعلّق شاهد قوي أخرجه أبو داود من حديث سعيد بن زيد»-.</w:t>
      </w:r>
    </w:p>
    <w:p w:rsidR="00035BE3" w:rsidRDefault="00035BE3" w:rsidP="00C10469">
      <w:pPr>
        <w:pStyle w:val="a6"/>
        <w:ind w:left="422" w:hanging="2"/>
        <w:rPr>
          <w:spacing w:val="-4"/>
          <w:sz w:val="29"/>
          <w:szCs w:val="29"/>
          <w:rtl/>
        </w:rPr>
      </w:pPr>
      <w:r>
        <w:rPr>
          <w:rFonts w:hint="cs"/>
          <w:spacing w:val="-4"/>
          <w:sz w:val="29"/>
          <w:szCs w:val="29"/>
          <w:rtl/>
        </w:rPr>
        <w:t xml:space="preserve">فنفى </w:t>
      </w:r>
      <w:r>
        <w:rPr>
          <w:rFonts w:ascii="AGA Arabesque" w:hAnsi="AGA Arabesque"/>
          <w:spacing w:val="-4"/>
          <w:sz w:val="29"/>
          <w:szCs w:val="29"/>
        </w:rPr>
        <w:t></w:t>
      </w:r>
      <w:r>
        <w:rPr>
          <w:rFonts w:hint="cs"/>
          <w:spacing w:val="-4"/>
          <w:sz w:val="29"/>
          <w:szCs w:val="29"/>
          <w:rtl/>
        </w:rPr>
        <w:t xml:space="preserve"> أن يكون للظالم أيّ حق. والظالم هو: «من غرس أو زرع أو بنى أو حفر في أرض غيره بغير حق ولا شبهة» -كذا في (فتح الباري)، 5/24- فيدخل فيه الغاصب، فلا يكون له أي حقًّ في منافع المغصوب.</w:t>
      </w:r>
    </w:p>
  </w:footnote>
  <w:footnote w:id="5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عند حديثه عن القاعدة العشرين بعد المائة، ص680 (ل50/ب).</w:t>
      </w:r>
    </w:p>
  </w:footnote>
  <w:footnote w:id="5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هو هشام</w:t>
      </w:r>
      <w:r>
        <w:rPr>
          <w:rFonts w:hint="cs"/>
          <w:rtl/>
        </w:rPr>
        <w:t xml:space="preserve"> بن عُبيد الله الرَّازي المازني الحنفي (ت 201هـ).</w:t>
      </w:r>
    </w:p>
    <w:p w:rsidR="00035BE3" w:rsidRDefault="00035BE3" w:rsidP="00C10469">
      <w:pPr>
        <w:pStyle w:val="a6"/>
        <w:ind w:left="422" w:firstLine="0"/>
        <w:rPr>
          <w:rtl/>
        </w:rPr>
      </w:pPr>
      <w:r>
        <w:rPr>
          <w:rFonts w:hint="cs"/>
          <w:rtl/>
        </w:rPr>
        <w:t>تفقَّه على أبي يوسف ومحمد صاحبي الإمام أبي حنيفة حتى اشتهر بالفقه. من كتبه : صلاة الأثر، ونوادر في الفقه تعرف بنوادر هشام.</w:t>
      </w:r>
    </w:p>
    <w:p w:rsidR="00035BE3" w:rsidRDefault="00035BE3" w:rsidP="00C10469">
      <w:pPr>
        <w:pStyle w:val="a6"/>
        <w:ind w:left="422" w:firstLine="0"/>
        <w:rPr>
          <w:spacing w:val="-4"/>
          <w:rtl/>
        </w:rPr>
      </w:pPr>
      <w:r>
        <w:rPr>
          <w:rFonts w:hint="cs"/>
          <w:spacing w:val="-4"/>
          <w:rtl/>
        </w:rPr>
        <w:t xml:space="preserve">انظر: أخبار أبي حنيفة وأصحابه للصيمري، ص162؛ الجواهر المضية، 3/569، رقم 1775؛ تاج </w:t>
      </w:r>
      <w:r w:rsidRPr="00D7662E">
        <w:rPr>
          <w:rFonts w:hint="cs"/>
          <w:spacing w:val="-6"/>
          <w:rtl/>
        </w:rPr>
        <w:t>التراجم، ص189؛ كشف الظنون، 2/1283، 1981؛ الفوائد البهية، ص223؛ هدية العارفين، 2/508.</w:t>
      </w:r>
    </w:p>
  </w:footnote>
  <w:footnote w:id="5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فتاوى قاضي خان - وهي التي نقل منها المؤلف هذه العبارة - : «وادعاه» بالواو وليس بالفاء.</w:t>
      </w:r>
    </w:p>
  </w:footnote>
  <w:footnote w:id="5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عندما مضى نصف السنة : جحد المستأجر الإجارة وادعى أن العبد ملكه.</w:t>
      </w:r>
    </w:p>
  </w:footnote>
  <w:footnote w:id="5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4/أ من (جـ).</w:t>
      </w:r>
    </w:p>
  </w:footnote>
  <w:footnote w:id="5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«المقدوري». والصحيح ما تم إثباته من باقي النسخ.</w:t>
      </w:r>
    </w:p>
  </w:footnote>
  <w:footnote w:id="5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القُدُوريّ </w:t>
      </w:r>
      <w:r>
        <w:rPr>
          <w:rFonts w:hint="cs"/>
          <w:rtl/>
        </w:rPr>
        <w:t>: هو أحمد بن محمد بن أحمد، أبو الحسين الفقيه البغدادي الـحنفي المعـروف بِـ (القُدُورِيّ)، (362هـ - 428هـ).</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والقُدُورِيّ : «قيل : إنّه نسبة إلى قرية من قرى بغداد، يقال لها : قدورة. وقيل : نسبة إلى بيع القدور» - قاله اللكنوي-.</w:t>
      </w:r>
    </w:p>
    <w:p w:rsidR="00035BE3" w:rsidRDefault="00035BE3" w:rsidP="00C10469">
      <w:pPr>
        <w:pStyle w:val="a6"/>
        <w:ind w:left="422" w:firstLine="0"/>
        <w:rPr>
          <w:rtl/>
        </w:rPr>
      </w:pPr>
      <w:r>
        <w:rPr>
          <w:rFonts w:hint="cs"/>
          <w:rtl/>
        </w:rPr>
        <w:t>وقد انتهتْ إليه رئاسة الحنفية في زمانه وأثرى مكتبتهم بعددٍ من المؤلفات، منها : مختصره في الفقه الذي يطلق عليه لفظ (الكتاب)، وشرح مختصر الكرخي، والتجريد، والتقريب في مسائل الخلاف بين أبي حنيفة وأصحابه مجردًا عن الدلائل، ثم صنف بعده : التقريب الثاني فذكر المسائل بأدلتها.</w:t>
      </w:r>
    </w:p>
    <w:p w:rsidR="00035BE3" w:rsidRDefault="00035BE3" w:rsidP="00C10469">
      <w:pPr>
        <w:pStyle w:val="a6"/>
        <w:ind w:left="422" w:firstLine="0"/>
        <w:rPr>
          <w:rtl/>
        </w:rPr>
      </w:pPr>
      <w:r>
        <w:rPr>
          <w:rFonts w:hint="cs"/>
          <w:rtl/>
        </w:rPr>
        <w:t>انظر: الـجواهر المضـية، 1/247-250، رقـم 179، 4/285؛ تاج التراجم، ص19-20، رقم 17؛ الطبـقات السنية، 2/19-31، رقم 294؛ مفتاح السعادة، 2/253-254؛ الفوائد البهية، ص30-31.</w:t>
      </w:r>
    </w:p>
  </w:footnote>
  <w:footnote w:id="5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وما بعده حصل فيه شيء من الاضطراب بين النسخ الخطية : </w:t>
      </w:r>
    </w:p>
    <w:p w:rsidR="00035BE3" w:rsidRDefault="00035BE3" w:rsidP="00C10469">
      <w:pPr>
        <w:pStyle w:val="a6"/>
        <w:ind w:left="422" w:firstLine="0"/>
        <w:rPr>
          <w:rtl/>
        </w:rPr>
      </w:pPr>
      <w:r>
        <w:rPr>
          <w:rFonts w:hint="cs"/>
          <w:rtl/>
        </w:rPr>
        <w:t>فنص العبارة في (أ) و(د) : «أن على الأجر قول أبي يوسف -رحمه الله- عليه أجر ما مضى ...».</w:t>
      </w:r>
    </w:p>
    <w:p w:rsidR="00035BE3" w:rsidRDefault="00035BE3" w:rsidP="00C10469">
      <w:pPr>
        <w:pStyle w:val="a6"/>
        <w:ind w:left="422" w:firstLine="0"/>
        <w:rPr>
          <w:rtl/>
        </w:rPr>
      </w:pPr>
      <w:r>
        <w:rPr>
          <w:rFonts w:hint="cs"/>
          <w:rtl/>
        </w:rPr>
        <w:t>ونصها في (جـ) : «أن عليه الأجر وقول أبي يوسف -رحمه الله- عليه أجر ما مضى ...».</w:t>
      </w:r>
    </w:p>
    <w:p w:rsidR="00035BE3" w:rsidRDefault="00035BE3" w:rsidP="00C10469">
      <w:pPr>
        <w:pStyle w:val="a6"/>
        <w:ind w:left="422" w:firstLine="0"/>
        <w:rPr>
          <w:rtl/>
        </w:rPr>
      </w:pPr>
      <w:r>
        <w:rPr>
          <w:rFonts w:hint="cs"/>
          <w:rtl/>
        </w:rPr>
        <w:t xml:space="preserve">ونـصـها في (هـ) و(و) : «أن عـلى الأجر قول </w:t>
      </w:r>
      <w:r>
        <w:rPr>
          <w:rFonts w:hint="cs"/>
          <w:b/>
          <w:bCs/>
          <w:rtl/>
        </w:rPr>
        <w:t>أبي حنيفة</w:t>
      </w:r>
      <w:r>
        <w:rPr>
          <w:rFonts w:hint="cs"/>
          <w:rtl/>
        </w:rPr>
        <w:t xml:space="preserve"> وأبي يوسف -رحمه الله- عليه أجر ما مضى ...».</w:t>
      </w:r>
    </w:p>
    <w:p w:rsidR="00035BE3" w:rsidRDefault="00035BE3" w:rsidP="00C10469">
      <w:pPr>
        <w:pStyle w:val="a6"/>
        <w:ind w:left="422" w:firstLine="0"/>
        <w:rPr>
          <w:rtl/>
        </w:rPr>
      </w:pPr>
      <w:r>
        <w:rPr>
          <w:rFonts w:hint="cs"/>
          <w:rtl/>
        </w:rPr>
        <w:t>والعبارة الـمُثبتة في الصلب من (ب) هي التي يستقيم بها المعنى، كما أنها المتّفقة في المعنى مع ما ذكر في (فتاوى قاضي خان)، حيث جاء فيها : «أن على قول أبي يوسف -رحمه الله تعالى- عليه أجر ما مضى ...».</w:t>
      </w:r>
    </w:p>
  </w:footnote>
  <w:footnote w:id="5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«على».</w:t>
      </w:r>
    </w:p>
  </w:footnote>
  <w:footnote w:id="6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أما الضمان فلا يختلف رأي أبي يوسف مع رأي محمد في إيجابه أيضًا، وإنما سكت عنه المؤلف؛ لأنه في معرض بيان موضع الخلاف بينهما فحسب.</w:t>
      </w:r>
    </w:p>
  </w:footnote>
  <w:footnote w:id="6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(فتاوى قاضي خان)، زيادة : «لا» !!.</w:t>
      </w:r>
    </w:p>
  </w:footnote>
  <w:footnote w:id="6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5/أ من (أ).</w:t>
      </w:r>
    </w:p>
  </w:footnote>
  <w:footnote w:id="60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«أي الأجر والعبد».</w:t>
      </w:r>
    </w:p>
  </w:footnote>
  <w:footnote w:id="604">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فتاوى قاضي خان، 2/315 - مع اختلاف في بعض الألفاظ، وقد سبقت الإشارة إلى أهمه في بعض الهوامش السابقة-.</w:t>
      </w:r>
    </w:p>
  </w:footnote>
  <w:footnote w:id="605">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الهاء زيادة من (ب). ولا يستقيم المعنى بدونها.</w:t>
      </w:r>
    </w:p>
  </w:footnote>
  <w:footnote w:id="606">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قاضي خان</w:t>
      </w:r>
      <w:r>
        <w:rPr>
          <w:rFonts w:hint="cs"/>
          <w:rtl/>
        </w:rPr>
        <w:t xml:space="preserve"> : هو حسن بن منصور بن محمود بن عبد العزيز الأُوزْجَنْدِيّ الفَرْغَانِي الـحنـفي المعروف بقاضي خان (ت 592هـ).</w:t>
      </w:r>
    </w:p>
    <w:p w:rsidR="00035BE3" w:rsidRDefault="00035BE3" w:rsidP="00C10469">
      <w:pPr>
        <w:pStyle w:val="a6"/>
        <w:ind w:left="420" w:firstLine="0"/>
        <w:rPr>
          <w:rtl/>
        </w:rPr>
      </w:pPr>
      <w:r>
        <w:rPr>
          <w:rFonts w:hint="cs"/>
          <w:rtl/>
        </w:rPr>
        <w:t>وقد اشتهر بالفقه؛ حتى عدّه أحمد بن كمال باشا من طبقة المجتهدين في المسائل، ومن آثاره الفقهية : الفتاوى المشهورة والمعروفة بفتاوى قاضي خان، وشرح الزيادات، وشرح الجامع الصغير - كلاهما لمحمد ابن الحسن - وشرح أدب القاضي للخصّاف.</w:t>
      </w:r>
    </w:p>
    <w:p w:rsidR="00035BE3" w:rsidRDefault="00035BE3" w:rsidP="00C10469">
      <w:pPr>
        <w:pStyle w:val="a6"/>
        <w:ind w:left="420" w:firstLine="0"/>
        <w:rPr>
          <w:rtl/>
        </w:rPr>
      </w:pPr>
      <w:r>
        <w:rPr>
          <w:rFonts w:hint="cs"/>
          <w:rtl/>
        </w:rPr>
        <w:t>انظر: الجواهر المضية، 2/93-94، رقم 485؛ تاج التراجم، ص82-83، رقم 89؛ الطبقات السنية، 3/116-117، رقم 725؛ مفتاح السعادة، 2/252؛ الفوائد البهية، ص64-65.</w:t>
      </w:r>
    </w:p>
  </w:footnote>
  <w:footnote w:id="607">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«بينها».</w:t>
      </w:r>
    </w:p>
  </w:footnote>
  <w:footnote w:id="608">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«أبي يوسف ومحمد». أي بين أبي يوسف ومحمد.</w:t>
      </w:r>
    </w:p>
  </w:footnote>
  <w:footnote w:id="609">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«أحدها».</w:t>
      </w:r>
    </w:p>
  </w:footnote>
  <w:footnote w:id="610">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أجر ما مضى قبل الجحود.</w:t>
      </w:r>
    </w:p>
  </w:footnote>
  <w:footnote w:id="611">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مقتصرًا على الضمان دون الأجر لما بعد الجحود.</w:t>
      </w:r>
    </w:p>
  </w:footnote>
  <w:footnote w:id="6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«الـمستأجرُ العبدَ».</w:t>
      </w:r>
    </w:p>
  </w:footnote>
  <w:footnote w:id="61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دعوى المستأجر ملك العبد بعد استـئجاره له.</w:t>
      </w:r>
    </w:p>
  </w:footnote>
  <w:footnote w:id="614">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4/ب من (د).</w:t>
      </w:r>
    </w:p>
  </w:footnote>
  <w:footnote w:id="615">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4/أ من (ب).</w:t>
      </w:r>
    </w:p>
  </w:footnote>
  <w:footnote w:id="616">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على المـستأجر أجر ما مضى قبل الجحود.</w:t>
      </w:r>
    </w:p>
  </w:footnote>
  <w:footnote w:id="617">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«زمانه».</w:t>
      </w:r>
    </w:p>
  </w:footnote>
  <w:footnote w:id="618">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ص 262 (ل5/ب).</w:t>
      </w:r>
    </w:p>
  </w:footnote>
  <w:footnote w:id="619">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4/ب من (جـ)، مع تكرار الواو في بداية اللوحة الآتية بعدها.</w:t>
      </w:r>
    </w:p>
  </w:footnote>
  <w:footnote w:id="6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يلحظ أن قول أبي يوسف في الوجهين متفق؛ لأنه لا يوجب الأجر بعد الجحود، فلا يضير كونه مات بعد الجحود وقبل انقضاء الإجارة، أو بعد انقضائها.</w:t>
      </w:r>
    </w:p>
    <w:p w:rsidR="00035BE3" w:rsidRDefault="00035BE3" w:rsidP="00C10469">
      <w:pPr>
        <w:pStyle w:val="a6"/>
        <w:ind w:left="422" w:firstLine="0"/>
        <w:rPr>
          <w:rtl/>
        </w:rPr>
      </w:pPr>
      <w:r>
        <w:rPr>
          <w:rFonts w:hint="cs"/>
          <w:rtl/>
        </w:rPr>
        <w:t xml:space="preserve">أما محمد فإنه يوجب الأجر كاملاً بعد انقضاء الإجارة، فإن مات العبد بعدها فإنه يجب على المستأجر أجر السنة؛ لأنه استعمل العبد السنة كلها بحكم الإجارة، ويجب عليه الضمان؛ لأن عليه أن </w:t>
      </w:r>
      <w:r w:rsidRPr="00245338">
        <w:rPr>
          <w:rFonts w:hint="cs"/>
          <w:spacing w:val="-4"/>
          <w:rtl/>
        </w:rPr>
        <w:t>يرد العبد بعد انقضائها، فإن رفض ذلك فإن يده يد غاصب، فلو مات العبد حينئدٍ وجب عليه الضمان.</w:t>
      </w:r>
    </w:p>
    <w:p w:rsidR="00035BE3" w:rsidRDefault="00035BE3" w:rsidP="00C10469">
      <w:pPr>
        <w:pStyle w:val="a6"/>
        <w:ind w:left="422" w:firstLine="0"/>
        <w:rPr>
          <w:spacing w:val="-6"/>
          <w:rtl/>
        </w:rPr>
      </w:pPr>
      <w:r>
        <w:rPr>
          <w:rFonts w:hint="cs"/>
          <w:spacing w:val="-6"/>
          <w:rtl/>
        </w:rPr>
        <w:t>أما لو مات قبل انقضاء الإجارة وهو جاحد لها : فإن يده يد غاصب فليس عليه إلا الضمان -والله أعلم-.</w:t>
      </w:r>
    </w:p>
  </w:footnote>
  <w:footnote w:id="621">
    <w:p w:rsidR="00035BE3" w:rsidRPr="005D07CF" w:rsidRDefault="00035BE3" w:rsidP="00C10469">
      <w:pPr>
        <w:pStyle w:val="a8"/>
        <w:bidi/>
        <w:ind w:left="422" w:right="0"/>
        <w:rPr>
          <w:rtl/>
        </w:rPr>
      </w:pPr>
      <w:r w:rsidRPr="00D164A8">
        <w:rPr>
          <w:rFonts w:hint="cs"/>
          <w:rtl/>
        </w:rPr>
        <w:t>(</w:t>
      </w:r>
      <w:r w:rsidRPr="00D164A8">
        <w:rPr>
          <w:bCs/>
        </w:rPr>
        <w:footnoteRef/>
      </w:r>
      <w:r w:rsidRPr="00D164A8">
        <w:rPr>
          <w:rFonts w:hint="cs"/>
          <w:rtl/>
        </w:rPr>
        <w:t>)</w:t>
      </w:r>
      <w:r>
        <w:rPr>
          <w:rFonts w:hint="cs"/>
          <w:rtl/>
        </w:rPr>
        <w:t xml:space="preserve">  </w:t>
      </w:r>
      <w:r w:rsidRPr="005D07CF">
        <w:rPr>
          <w:rFonts w:hint="cs"/>
          <w:rtl/>
        </w:rPr>
        <w:t xml:space="preserve">وردت هذه القاعدة بهذا اللفظ أو نحوه في بعض </w:t>
      </w:r>
      <w:r w:rsidRPr="005D07CF">
        <w:rPr>
          <w:rFonts w:hint="cs"/>
          <w:b/>
          <w:bCs/>
          <w:rtl/>
        </w:rPr>
        <w:t>كتب القواعد الفقهية عند الحنفية</w:t>
      </w:r>
      <w:r w:rsidRPr="005D07CF">
        <w:rPr>
          <w:rFonts w:hint="cs"/>
          <w:rtl/>
        </w:rPr>
        <w:t>، منها :</w:t>
      </w:r>
    </w:p>
    <w:p w:rsidR="00035BE3" w:rsidRDefault="00035BE3" w:rsidP="00C10469">
      <w:pPr>
        <w:pStyle w:val="a6"/>
        <w:ind w:left="422" w:firstLine="0"/>
        <w:rPr>
          <w:spacing w:val="-2"/>
          <w:rtl/>
        </w:rPr>
      </w:pPr>
      <w:r>
        <w:rPr>
          <w:rFonts w:hint="cs"/>
          <w:spacing w:val="-2"/>
          <w:rtl/>
        </w:rPr>
        <w:t xml:space="preserve"> مجامع الحقائق (الخاتمة)، ص44؛ شرح العلائي لقواعد الخادمي، ل10/أ؛ منافع الدقائق، ص310؛ درر الحكام شرح مجلة الأحكام، 1/86؛ الوجيز، ص29؛ موسوعة القواعد الفقهية، 1/204، 3/171؛ القواعد والضوابط المستخلصة من التحرير، ص118، 147.</w:t>
      </w:r>
    </w:p>
    <w:p w:rsidR="00035BE3" w:rsidRPr="00813059" w:rsidRDefault="00035BE3" w:rsidP="00C10469">
      <w:pPr>
        <w:pStyle w:val="a6"/>
        <w:ind w:left="422" w:firstLine="0"/>
        <w:rPr>
          <w:spacing w:val="-2"/>
          <w:rtl/>
        </w:rPr>
      </w:pPr>
      <w:r w:rsidRPr="00813059">
        <w:rPr>
          <w:rFonts w:hint="cs"/>
          <w:b/>
          <w:bCs/>
          <w:spacing w:val="-2"/>
          <w:rtl/>
        </w:rPr>
        <w:t>كما تطرق لها الحافظ</w:t>
      </w:r>
      <w:r w:rsidRPr="00813059">
        <w:rPr>
          <w:rFonts w:hint="cs"/>
          <w:spacing w:val="-2"/>
          <w:rtl/>
        </w:rPr>
        <w:t xml:space="preserve"> </w:t>
      </w:r>
      <w:r w:rsidRPr="00813059">
        <w:rPr>
          <w:rFonts w:hint="cs"/>
          <w:b/>
          <w:bCs/>
          <w:spacing w:val="-2"/>
          <w:rtl/>
        </w:rPr>
        <w:t>ابن رجب</w:t>
      </w:r>
      <w:r w:rsidRPr="00813059">
        <w:rPr>
          <w:rFonts w:hint="cs"/>
          <w:spacing w:val="-2"/>
          <w:rtl/>
        </w:rPr>
        <w:t xml:space="preserve"> في القاعدة  الأربعين من قواعده، 1/278-284، وقد صدِّر الحديث </w:t>
      </w:r>
      <w:r w:rsidRPr="005166A7">
        <w:rPr>
          <w:rFonts w:hint="cs"/>
          <w:rtl/>
        </w:rPr>
        <w:t>عنها بقوله: «الأحكام المتعلقة بالأعيان بالنسبة إلى تبدل الأملاك واختلافها. عليها نوعان ...».</w:t>
      </w:r>
    </w:p>
    <w:p w:rsidR="00035BE3" w:rsidRDefault="00035BE3" w:rsidP="00C10469">
      <w:pPr>
        <w:pStyle w:val="a6"/>
        <w:ind w:left="422" w:firstLine="0"/>
        <w:rPr>
          <w:rtl/>
        </w:rPr>
      </w:pPr>
      <w:r>
        <w:rPr>
          <w:rFonts w:hint="cs"/>
          <w:rtl/>
        </w:rPr>
        <w:t>وقد تابعه على ذلك القاري في مجلة الأحكام الشرعية، ص83، مادة 40.</w:t>
      </w:r>
    </w:p>
    <w:p w:rsidR="00035BE3" w:rsidRDefault="00035BE3" w:rsidP="00C10469">
      <w:pPr>
        <w:pStyle w:val="a6"/>
        <w:ind w:left="422" w:firstLine="0"/>
        <w:rPr>
          <w:spacing w:val="-6"/>
          <w:rtl/>
        </w:rPr>
      </w:pPr>
      <w:r>
        <w:rPr>
          <w:rFonts w:hint="cs"/>
          <w:spacing w:val="-6"/>
          <w:rtl/>
        </w:rPr>
        <w:t xml:space="preserve">وكما وردت أصالة في عدد من كتب القواعد ، أيضًا وردت عرضًا في عدد من </w:t>
      </w:r>
      <w:r>
        <w:rPr>
          <w:rFonts w:hint="cs"/>
          <w:b/>
          <w:bCs/>
          <w:spacing w:val="-6"/>
          <w:rtl/>
        </w:rPr>
        <w:t>كتب الفقه الحنفي</w:t>
      </w:r>
      <w:r>
        <w:rPr>
          <w:rFonts w:hint="cs"/>
          <w:spacing w:val="-6"/>
          <w:rtl/>
        </w:rPr>
        <w:t>، منها : المبسوط، 8/155، 9/166، 12/107؛ المحيط البرهاني، ق3، ص1239؛ تبيين الحقائق، 2/147، 4/55؛ العناية، 6/434؛ فتح القدير، 6/502.</w:t>
      </w:r>
    </w:p>
    <w:p w:rsidR="00035BE3" w:rsidRDefault="00035BE3" w:rsidP="00C10469">
      <w:pPr>
        <w:pStyle w:val="a6"/>
        <w:ind w:left="422" w:firstLine="0"/>
        <w:rPr>
          <w:rtl/>
        </w:rPr>
      </w:pPr>
      <w:r>
        <w:rPr>
          <w:rFonts w:hint="cs"/>
          <w:rtl/>
        </w:rPr>
        <w:t>وبمعنى هذه القاعدة قاعدة أخرى أفردها المؤلف بالحديث - وذلك ص476 (ل28/أ - ب)، قاعدة 68 - وهي : «تبدل سبب الملك قائم مقام تبدل الذات»؛ إذْ إنَّ قولهم : «اختلاف الأسباب» بمعنى: «تبدل سبب الملك»، وقولهم : «بمنـزلة اختلاف الأعيان» بمعنى : «قائم مقام تبدل الذات».</w:t>
      </w:r>
    </w:p>
  </w:footnote>
  <w:footnote w:id="6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«يجر» (بالراء المهملة).</w:t>
      </w:r>
    </w:p>
  </w:footnote>
  <w:footnote w:id="6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5/ب من (أ).</w:t>
      </w:r>
    </w:p>
  </w:footnote>
  <w:footnote w:id="624">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cs"/>
          <w:spacing w:val="-6"/>
          <w:rtl/>
        </w:rPr>
        <w:t xml:space="preserve"> </w:t>
      </w:r>
      <w:r w:rsidRPr="00604FFC">
        <w:rPr>
          <w:rFonts w:hint="cs"/>
          <w:spacing w:val="-6"/>
          <w:rtl/>
        </w:rPr>
        <w:t>هذا المثال مذكور بنصه في شرح العلائي لقواعد الخادمي، ل10/أ؛ ومنافع الدقائق، ص310 -مع</w:t>
      </w:r>
      <w:r>
        <w:rPr>
          <w:rFonts w:hint="cs"/>
          <w:spacing w:val="-4"/>
          <w:rtl/>
        </w:rPr>
        <w:t xml:space="preserve"> اختلاف يسير جدًّا- وانظره في: تبيين الحقائق، 4/53، 55؛ العناية، 6/433-434؛ البحر الرائق، 6/90. </w:t>
      </w:r>
    </w:p>
    <w:p w:rsidR="00035BE3" w:rsidRDefault="00035BE3" w:rsidP="00C10469">
      <w:pPr>
        <w:pStyle w:val="a6"/>
        <w:ind w:left="422" w:firstLine="0"/>
        <w:rPr>
          <w:spacing w:val="-12"/>
          <w:sz w:val="29"/>
          <w:szCs w:val="29"/>
          <w:rtl/>
        </w:rPr>
      </w:pPr>
      <w:r>
        <w:rPr>
          <w:rFonts w:hint="cs"/>
          <w:spacing w:val="-12"/>
          <w:sz w:val="29"/>
          <w:szCs w:val="29"/>
          <w:rtl/>
        </w:rPr>
        <w:t>وقد أعاد المؤلف ذكر هذا المثال في موضع آخر، وصرح بعزوه إلى (العناية)، وذلك ص478 (ل28/ب).</w:t>
      </w:r>
    </w:p>
    <w:p w:rsidR="00035BE3" w:rsidRDefault="00035BE3" w:rsidP="00C10469">
      <w:pPr>
        <w:pStyle w:val="a6"/>
        <w:ind w:left="422" w:firstLine="0"/>
        <w:rPr>
          <w:rtl/>
        </w:rPr>
      </w:pPr>
      <w:r>
        <w:rPr>
          <w:rFonts w:hint="cs"/>
          <w:rtl/>
        </w:rPr>
        <w:t>كما ورد مثال آخر قريب منه في رد المحتار، 7/170، وتكرّر في عدد من كتب القواعد، كشرح القواعد الفقهية للزرقا، ص467؛ والمدخل الفقهي العام، 2/1027-1028؛ فقرة 144؛ والقواعد الفقهية للدعـاس، ص90-91؛ والقواعد الفقهية للدكتور الزحيلي، ص83.</w:t>
      </w:r>
      <w:r>
        <w:rPr>
          <w:rFonts w:hint="cs"/>
          <w:rtl/>
        </w:rPr>
        <w:tab/>
        <w:t xml:space="preserve">                     </w:t>
      </w:r>
    </w:p>
    <w:p w:rsidR="00035BE3" w:rsidRDefault="00035BE3" w:rsidP="00C10469">
      <w:pPr>
        <w:pStyle w:val="a6"/>
        <w:ind w:left="422" w:firstLine="0"/>
        <w:rPr>
          <w:rtl/>
        </w:rPr>
      </w:pPr>
      <w:r>
        <w:rPr>
          <w:rFonts w:hint="cs"/>
          <w:rtl/>
        </w:rPr>
        <w:t xml:space="preserve"> ولو عدتَ إلى المثال الذي ذكره المؤلف، فإن الصورة الثانية منه عدّها بعضهم صورة لبيع العينة. يقول صاحب (العناية)، 7/212 : «ومن الناس من صوّر للعينة صورة أخرى، وهو أن يجعل المقرض والمستقرض بينهما ثالثًا ... فيبيع صاحب الثوب الثوب باثني عشر من المقرض، ثم إن المستقرض يبيعه من الثالث بعشرة، ويسلم الثوب إليه، ثم يبيع الثالث الثوب من المقرض بعشرة، ويأخد منه عشرة، ويدفعه إلى المستقرض، فتندفع حاجته. وإنما توسطا بثالث احترازًا عن شراء ما باع بأقل مما باع قبل نقد الثمن». وانظر: رد المحتار، 7/542، 613.</w:t>
      </w:r>
    </w:p>
    <w:p w:rsidR="00035BE3" w:rsidRDefault="00035BE3" w:rsidP="00C10469">
      <w:pPr>
        <w:pStyle w:val="a6"/>
        <w:ind w:left="422" w:firstLine="0"/>
        <w:rPr>
          <w:rtl/>
        </w:rPr>
      </w:pPr>
      <w:r>
        <w:rPr>
          <w:rFonts w:hint="cs"/>
          <w:rtl/>
        </w:rPr>
        <w:t xml:space="preserve">وللتوسع فيما يتعلق ببيع العينة انظر : </w:t>
      </w:r>
    </w:p>
    <w:p w:rsidR="00035BE3" w:rsidRDefault="00035BE3" w:rsidP="00C10469">
      <w:pPr>
        <w:pStyle w:val="a6"/>
        <w:ind w:left="422" w:firstLine="0"/>
        <w:rPr>
          <w:rtl/>
        </w:rPr>
      </w:pPr>
      <w:r>
        <w:rPr>
          <w:rFonts w:hint="cs"/>
          <w:rtl/>
        </w:rPr>
        <w:t>المغني لابن قدامة، 6/262؛ القواعد النورانية لشيخ الإسلام ابن تيمية، ص142-143؛ مواهب الجليل للحطاب والتاج والإكليل، 6/293؛ الشرح الصغير للدردير، 4/168؛ الشرح الكبير وحاشية الدسوقي عليه ، 3/88.</w:t>
      </w:r>
    </w:p>
  </w:footnote>
  <w:footnote w:id="625">
    <w:p w:rsidR="00035BE3" w:rsidRDefault="00035BE3" w:rsidP="00C10469">
      <w:pPr>
        <w:pStyle w:val="a8"/>
        <w:bidi/>
        <w:spacing w:line="480" w:lineRule="exact"/>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بعد بحث طويل تمّ الوقوف على هذه القاعدة بنحو هذا اللفظ في غير مظانّها من كتاب (الدرر شرح الغرر)، 2/314؛ حيث ذكرها ومثالها عرضًا في كتاب المضاربة، إذ قال -قبيل باب : ضَارَبَ بلا إذن-: «... وأما الدعوة فإخبار، فإذا رُدّ [أي الإخبار] في حق غيره فهو باقٍ في حق نفسه.</w:t>
      </w:r>
    </w:p>
    <w:p w:rsidR="00035BE3" w:rsidRDefault="00035BE3" w:rsidP="00C10469">
      <w:pPr>
        <w:pStyle w:val="a6"/>
        <w:spacing w:line="480" w:lineRule="exact"/>
        <w:ind w:left="422" w:firstLine="0"/>
        <w:rPr>
          <w:rtl/>
        </w:rPr>
      </w:pPr>
      <w:r>
        <w:rPr>
          <w:rFonts w:hint="cs"/>
          <w:rtl/>
        </w:rPr>
        <w:t>فإذا ملكه بعد ذلك نفذت دعوته؛ كما إذا أخبر بحريَّة عبد لغيره : يُرَدُّ إخباره، فإذا ملكه بعد ذلك صار حرًّا».</w:t>
      </w:r>
    </w:p>
    <w:p w:rsidR="00035BE3" w:rsidRDefault="00035BE3" w:rsidP="00C10469">
      <w:pPr>
        <w:pStyle w:val="a6"/>
        <w:ind w:left="422" w:firstLine="0"/>
        <w:rPr>
          <w:rtl/>
        </w:rPr>
      </w:pPr>
      <w:r>
        <w:rPr>
          <w:rFonts w:hint="cs"/>
          <w:rtl/>
        </w:rPr>
        <w:t xml:space="preserve">وهناك عدّة قواعد مشهورة، بألفاظ أخرى، تمثل معنى هذه القاعـدة أو جزءًا من معناها؛ مثل: </w:t>
      </w:r>
      <w:r w:rsidRPr="00254181">
        <w:rPr>
          <w:rFonts w:hint="cs"/>
          <w:spacing w:val="-4"/>
          <w:rtl/>
        </w:rPr>
        <w:t>«الإقرار حجة قاصرة»، «الإقرار ملزم شرعًا كالبينة؛ بل أولى» ، «إقرار الإنسان ليس بحجة على غيره».</w:t>
      </w:r>
    </w:p>
    <w:p w:rsidR="00035BE3" w:rsidRDefault="00035BE3" w:rsidP="00C10469">
      <w:pPr>
        <w:pStyle w:val="a6"/>
        <w:ind w:left="422" w:firstLine="0"/>
        <w:rPr>
          <w:spacing w:val="-4"/>
          <w:rtl/>
        </w:rPr>
      </w:pPr>
      <w:r>
        <w:rPr>
          <w:rFonts w:hint="cs"/>
          <w:spacing w:val="-4"/>
          <w:rtl/>
        </w:rPr>
        <w:t>وهذه القواعد ذكرها المؤلف، فالأولى ذكرها عرضًا ص588 (ل41/أ)، و621 (ل44/ب). والثانية والثالثة ذكرهما استقلالاً ص375 (ل17/أ)، قاعدة 38، وص 381 (ل17/ب)، قاعدة 41.</w:t>
      </w:r>
    </w:p>
  </w:footnote>
  <w:footnote w:id="6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«أي الخبر».</w:t>
      </w:r>
    </w:p>
  </w:footnote>
  <w:footnote w:id="6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2/314 - وقد سبق نقل نص كلامه في بداية توثيق القاعدة -؛ وانظر : الجامع الكبير لمحمد بن الحسن، ص137؛ بدائع الصنائع، 4/110؛ العناية، 4/429.</w:t>
      </w:r>
    </w:p>
  </w:footnote>
  <w:footnote w:id="6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وبألفاظ مقاربة له في كثير من </w:t>
      </w:r>
      <w:r>
        <w:rPr>
          <w:rFonts w:hint="cs"/>
          <w:b/>
          <w:bCs/>
          <w:rtl/>
        </w:rPr>
        <w:t>كتب القواعد الفقهية</w:t>
      </w:r>
      <w:r>
        <w:rPr>
          <w:rFonts w:hint="cs"/>
          <w:rtl/>
        </w:rPr>
        <w:t>، منها :</w:t>
      </w:r>
    </w:p>
    <w:p w:rsidR="00035BE3" w:rsidRDefault="00035BE3" w:rsidP="00C10469">
      <w:pPr>
        <w:pStyle w:val="a6"/>
        <w:ind w:left="422" w:firstLine="0"/>
        <w:rPr>
          <w:spacing w:val="4"/>
          <w:rtl/>
        </w:rPr>
      </w:pPr>
      <w:r>
        <w:rPr>
          <w:rFonts w:hint="cs"/>
          <w:spacing w:val="4"/>
          <w:rtl/>
        </w:rPr>
        <w:t>تأسيس النظر، ص63-ولفظه : «الأصل عند أبي يوسف : أنه إذا لم يصح الشيء : لم يصح ما في ضمنه. وعند أبي حنيفة : يجوز أن يثبت ما في ضمنه وإن لم يصح. ومحمد في أكثر هذه المسائل التي في هذا الأصل مع أبي حنيفة ...»-؛ ووردت باللفظ الذي ذكره المؤلف في : الأشباه والنظائر لابن نجيم، ص429؛ غمز عيون البصائر، 4/156؛ مجامع الحقائق (الخاتمة)، ص44؛ شرح العلائي لقواعد الخادمي، ل 10/أ - ب؛ منافع الدقائق، ص310؛ مجلة الأحكام العدلية، مادة 52؛ وشروحها : لسليم رستم، 1/41؛ وللأتاسي، 1/122-127؛ ولعلي حيدر، 1/49؛ وشرح قواعدها الفقهية للزرقا، ص273-285؛ قواعد الفقه لعميم الإحسان المجدّدي، ص56، قاعدة 17؛ المدخل الفقهي العام، 2/1022، فقرة 640؛ المبادئ الفقهية، ص34؛ القواعد الفقهية للـدعاس، ص87-88، قاعدة 69؛ القواعد الفقهية للدكتور الزحيلي، ص82؛ ووردت في الفرائد البهية للحمزاوي بلفظ : «إذا بطل المتضمِّن (بالكسر) بطل المتضمَّن (بالفتح)»، وذلك ص32-33، قاعدة 49؛ وباللفظ نفسه أيضًا في القواعد الفقهية للدكتور الندوي، ص185؛ ووردت باللفظين الأخيرين وألفاظ أخرى في الوجيز، ص287؛ وموسوعة القواعد الفقهية، 1/427؛ وردت في القواعد والضوابط المستخلصة من التحرير بلفظ : «إذا لم يثبت ما هو الأصل : لا يثبت ما في ضمنه»، وذلك ص479، وأحال إلى التحرير، 2/428.</w:t>
      </w:r>
    </w:p>
    <w:p w:rsidR="00035BE3" w:rsidRDefault="00035BE3" w:rsidP="00C10469">
      <w:pPr>
        <w:pStyle w:val="a6"/>
        <w:ind w:left="422" w:firstLine="0"/>
        <w:rPr>
          <w:rtl/>
        </w:rPr>
      </w:pPr>
      <w:r>
        <w:rPr>
          <w:rFonts w:hint="cs"/>
          <w:b/>
          <w:bCs/>
          <w:rtl/>
        </w:rPr>
        <w:t>ويضاف إلى كتب القواعد</w:t>
      </w:r>
      <w:r>
        <w:rPr>
          <w:rFonts w:hint="cs"/>
          <w:rtl/>
        </w:rPr>
        <w:t xml:space="preserve"> : كتاب (رد المحتار على الدر المختار)؛ فقد أفرد لها مطلبًا مستقلاً سمّاه : «مطلب : فسادُ المتضمِّن يوجبُ فساد المتضمَّن»، وذلك في 7/88-90.</w:t>
      </w:r>
    </w:p>
    <w:p w:rsidR="00035BE3" w:rsidRDefault="00035BE3" w:rsidP="00C10469">
      <w:pPr>
        <w:pStyle w:val="a6"/>
        <w:ind w:left="422" w:firstLine="0"/>
        <w:rPr>
          <w:rtl/>
        </w:rPr>
      </w:pPr>
      <w:r>
        <w:rPr>
          <w:rFonts w:hint="cs"/>
          <w:rtl/>
        </w:rPr>
        <w:t xml:space="preserve">وهناك قاعدتان أفردهما المؤلف بالحديث، ومعناهما ليس بعيدًا عن معنى هذه القاعدة، وهما : </w:t>
      </w:r>
    </w:p>
    <w:p w:rsidR="00035BE3" w:rsidRDefault="00035BE3" w:rsidP="00C10469">
      <w:pPr>
        <w:pStyle w:val="a6"/>
        <w:ind w:left="422" w:firstLine="0"/>
        <w:rPr>
          <w:rtl/>
        </w:rPr>
      </w:pPr>
      <w:r>
        <w:rPr>
          <w:rFonts w:hint="cs"/>
          <w:rtl/>
        </w:rPr>
        <w:t>- «التابعُ يسقطُ بسقوطِ المتبوع»، وذلك ص463 (ل27/أ)، قاعدة 64.</w:t>
      </w:r>
    </w:p>
    <w:p w:rsidR="00035BE3" w:rsidRDefault="00035BE3" w:rsidP="00C10469">
      <w:pPr>
        <w:pStyle w:val="a6"/>
        <w:ind w:left="422" w:firstLine="0"/>
        <w:rPr>
          <w:rtl/>
        </w:rPr>
      </w:pPr>
      <w:r>
        <w:rPr>
          <w:rFonts w:hint="cs"/>
          <w:rtl/>
        </w:rPr>
        <w:t xml:space="preserve">- «يسقطُ الفرعُ إذا سقط الأصلُ»؛ وذلك ص1176 (ل113/ب)، قاعدة 262. </w:t>
      </w:r>
    </w:p>
  </w:footnote>
  <w:footnote w:id="629">
    <w:p w:rsidR="00035BE3" w:rsidRDefault="00035BE3" w:rsidP="00C10469">
      <w:pPr>
        <w:pStyle w:val="a8"/>
        <w:bidi/>
        <w:ind w:left="422" w:right="0"/>
        <w:rPr>
          <w:rtl/>
        </w:rPr>
      </w:pPr>
      <w:r w:rsidRPr="006231E3">
        <w:rPr>
          <w:rFonts w:hint="cs"/>
          <w:sz w:val="30"/>
          <w:rtl/>
        </w:rPr>
        <w:t>(</w:t>
      </w:r>
      <w:r w:rsidRPr="006231E3">
        <w:rPr>
          <w:rStyle w:val="a7"/>
          <w:sz w:val="30"/>
          <w:szCs w:val="30"/>
        </w:rPr>
        <w:footnoteRef/>
      </w:r>
      <w:r w:rsidRPr="006231E3">
        <w:rPr>
          <w:rFonts w:hint="cs"/>
          <w:sz w:val="30"/>
          <w:rtl/>
        </w:rPr>
        <w:t>)  الأشباه والنظائر لابن نجيم، ص429، وانظر : العناية، 6/289؛ البحر الرائق، 6/327؛ شرح المجلة</w:t>
      </w:r>
      <w:r w:rsidRPr="006231E3">
        <w:rPr>
          <w:rFonts w:hint="cs"/>
          <w:sz w:val="22"/>
          <w:szCs w:val="32"/>
          <w:rtl/>
        </w:rPr>
        <w:t xml:space="preserve"> </w:t>
      </w:r>
      <w:r>
        <w:rPr>
          <w:rFonts w:hint="cs"/>
          <w:rtl/>
        </w:rPr>
        <w:t>لسليم رستم، 1/41؛ شرحها للأتاسي، 1/122؛ شرح القواعد الفقهية للزرقا، ص273.</w:t>
      </w:r>
    </w:p>
  </w:footnote>
  <w:footnote w:id="630">
    <w:p w:rsidR="00035BE3" w:rsidRPr="0047055F" w:rsidRDefault="00035BE3" w:rsidP="00C10469">
      <w:pPr>
        <w:pStyle w:val="a8"/>
        <w:bidi/>
        <w:ind w:left="422" w:right="0"/>
        <w:rPr>
          <w:sz w:val="30"/>
          <w:rtl/>
        </w:rPr>
      </w:pPr>
      <w:r w:rsidRPr="0047055F">
        <w:rPr>
          <w:rFonts w:hint="cs"/>
          <w:sz w:val="30"/>
          <w:vertAlign w:val="superscript"/>
          <w:rtl/>
        </w:rPr>
        <w:t>(</w:t>
      </w:r>
      <w:r w:rsidRPr="0047055F">
        <w:rPr>
          <w:rStyle w:val="a7"/>
          <w:sz w:val="30"/>
          <w:szCs w:val="30"/>
        </w:rPr>
        <w:footnoteRef/>
      </w:r>
      <w:r w:rsidRPr="0047055F">
        <w:rPr>
          <w:rFonts w:hint="cs"/>
          <w:sz w:val="30"/>
          <w:vertAlign w:val="superscript"/>
          <w:rtl/>
        </w:rPr>
        <w:t>)</w:t>
      </w:r>
      <w:r w:rsidRPr="0047055F">
        <w:rPr>
          <w:rFonts w:hint="cs"/>
          <w:sz w:val="30"/>
          <w:rtl/>
        </w:rPr>
        <w:t xml:space="preserve">   في (أ) و(ب) و(د) : «المفتيـين». والصحيح ما تم إثباته من (جـ) و(و).</w:t>
      </w:r>
    </w:p>
  </w:footnote>
  <w:footnote w:id="631">
    <w:p w:rsidR="00035BE3" w:rsidRPr="0047055F" w:rsidRDefault="00035BE3" w:rsidP="00C10469">
      <w:pPr>
        <w:pStyle w:val="a8"/>
        <w:bidi/>
        <w:ind w:left="422" w:right="0"/>
        <w:rPr>
          <w:sz w:val="30"/>
          <w:rtl/>
        </w:rPr>
      </w:pPr>
      <w:r w:rsidRPr="0047055F">
        <w:rPr>
          <w:rFonts w:hint="cs"/>
          <w:sz w:val="30"/>
          <w:vertAlign w:val="superscript"/>
          <w:rtl/>
        </w:rPr>
        <w:t>(</w:t>
      </w:r>
      <w:r w:rsidRPr="0047055F">
        <w:rPr>
          <w:rStyle w:val="a7"/>
          <w:sz w:val="30"/>
          <w:szCs w:val="30"/>
        </w:rPr>
        <w:footnoteRef/>
      </w:r>
      <w:r w:rsidRPr="0047055F">
        <w:rPr>
          <w:rFonts w:hint="cs"/>
          <w:sz w:val="30"/>
          <w:vertAlign w:val="superscript"/>
          <w:rtl/>
        </w:rPr>
        <w:t>)</w:t>
      </w:r>
      <w:r w:rsidRPr="0047055F">
        <w:rPr>
          <w:rFonts w:hint="cs"/>
          <w:sz w:val="30"/>
          <w:rtl/>
        </w:rPr>
        <w:t xml:space="preserve">   وذلك ل563/ب، إلا أن لفظه: «ولو قال لآخر : بعتك دمي بألف فليس له أن يقتله، فعليه الدية».</w:t>
      </w:r>
    </w:p>
    <w:p w:rsidR="00035BE3" w:rsidRDefault="00035BE3" w:rsidP="00C10469">
      <w:pPr>
        <w:pStyle w:val="a6"/>
        <w:spacing w:line="420" w:lineRule="exact"/>
        <w:ind w:left="422" w:firstLine="0"/>
        <w:rPr>
          <w:rtl/>
        </w:rPr>
      </w:pPr>
      <w:r>
        <w:rPr>
          <w:rFonts w:hint="cs"/>
          <w:rtl/>
        </w:rPr>
        <w:t>و(</w:t>
      </w:r>
      <w:r>
        <w:rPr>
          <w:rFonts w:hint="cs"/>
          <w:b/>
          <w:bCs/>
          <w:rtl/>
        </w:rPr>
        <w:t>خزانة المفتين</w:t>
      </w:r>
      <w:r>
        <w:rPr>
          <w:rFonts w:hint="cs"/>
          <w:rtl/>
        </w:rPr>
        <w:t>):كتاب في الفقه الحنفي لمؤلفه: حسين بن محمد بن حسين السَّمَنْقَاني (ت746هـ).</w:t>
      </w:r>
    </w:p>
    <w:p w:rsidR="00035BE3" w:rsidRDefault="00035BE3" w:rsidP="00C10469">
      <w:pPr>
        <w:pStyle w:val="a6"/>
        <w:spacing w:line="420" w:lineRule="exact"/>
        <w:ind w:left="422" w:firstLine="0"/>
        <w:rPr>
          <w:rtl/>
        </w:rPr>
      </w:pPr>
      <w:r>
        <w:rPr>
          <w:rFonts w:hint="cs"/>
          <w:rtl/>
        </w:rPr>
        <w:t>وقد عرّف به صاحب (كشف الظنون) -1/703- فقال  : «ذكر فيه أنه صنَّفه بإشارة : حكيم الدين محمد بن علي الناموسني، فأورد ما هو مروي عن المتقدمين، ومختار عند المتأخرين، وطوى ذكر الاختلاف، واكتفى بالعلامات من : الهداية، والنهاية، وقاضي خان، والخلاصة، والظهيرية، وشرح الطحاوي، وغير ذلك من المعتبرات، وفرغ في محرم سنة 740».</w:t>
      </w:r>
    </w:p>
    <w:p w:rsidR="00035BE3" w:rsidRDefault="00035BE3" w:rsidP="00C10469">
      <w:pPr>
        <w:pStyle w:val="a6"/>
        <w:spacing w:line="420" w:lineRule="exact"/>
        <w:ind w:left="422" w:firstLine="0"/>
        <w:rPr>
          <w:rtl/>
        </w:rPr>
      </w:pPr>
      <w:r>
        <w:rPr>
          <w:rFonts w:hint="cs"/>
          <w:rtl/>
        </w:rPr>
        <w:t>وللكتاب عدة نسخ خطية، منها نسخ المكتبات الآتية :</w:t>
      </w:r>
    </w:p>
    <w:p w:rsidR="00035BE3" w:rsidRDefault="00035BE3" w:rsidP="00C10469">
      <w:pPr>
        <w:pStyle w:val="a6"/>
        <w:spacing w:line="420" w:lineRule="exact"/>
        <w:ind w:left="422" w:firstLine="0"/>
        <w:rPr>
          <w:rtl/>
        </w:rPr>
      </w:pPr>
      <w:r>
        <w:rPr>
          <w:rFonts w:hint="cs"/>
          <w:b/>
          <w:bCs/>
          <w:rtl/>
        </w:rPr>
        <w:t>1</w:t>
      </w:r>
      <w:r>
        <w:rPr>
          <w:rFonts w:hint="cs"/>
          <w:rtl/>
        </w:rPr>
        <w:t>- مركز الملك فيصل بالرياض، برقم 7338.</w:t>
      </w:r>
    </w:p>
    <w:p w:rsidR="00035BE3" w:rsidRDefault="00035BE3" w:rsidP="00C10469">
      <w:pPr>
        <w:pStyle w:val="a6"/>
        <w:spacing w:line="420" w:lineRule="exact"/>
        <w:ind w:left="422" w:firstLine="0"/>
        <w:rPr>
          <w:rtl/>
        </w:rPr>
      </w:pPr>
      <w:r>
        <w:rPr>
          <w:rFonts w:hint="cs"/>
          <w:b/>
          <w:bCs/>
          <w:rtl/>
        </w:rPr>
        <w:t>2</w:t>
      </w:r>
      <w:r>
        <w:rPr>
          <w:rFonts w:hint="cs"/>
          <w:rtl/>
        </w:rPr>
        <w:t>-</w:t>
      </w:r>
      <w:r>
        <w:rPr>
          <w:rFonts w:hint="cs"/>
          <w:b/>
          <w:bCs/>
          <w:rtl/>
        </w:rPr>
        <w:t>6</w:t>
      </w:r>
      <w:r>
        <w:rPr>
          <w:rFonts w:hint="cs"/>
          <w:rtl/>
        </w:rPr>
        <w:t>- معهد البحوث العلمية وإحياء الترات بمكة المكرمة. وفيه خمس نسخ مصورة :</w:t>
      </w:r>
    </w:p>
    <w:p w:rsidR="00035BE3" w:rsidRDefault="00035BE3" w:rsidP="00C10469">
      <w:pPr>
        <w:pStyle w:val="a6"/>
        <w:spacing w:line="420" w:lineRule="exact"/>
        <w:ind w:left="422" w:firstLine="0"/>
        <w:rPr>
          <w:rtl/>
        </w:rPr>
      </w:pPr>
      <w:r>
        <w:rPr>
          <w:rFonts w:hint="cs"/>
          <w:rtl/>
        </w:rPr>
        <w:t>نسختان منها تمثل ج1 ، وهما رقم 15 ، 16.</w:t>
      </w:r>
    </w:p>
    <w:p w:rsidR="00035BE3" w:rsidRDefault="00035BE3" w:rsidP="00C10469">
      <w:pPr>
        <w:pStyle w:val="a6"/>
        <w:spacing w:line="420" w:lineRule="exact"/>
        <w:ind w:left="422" w:firstLine="0"/>
        <w:rPr>
          <w:rtl/>
        </w:rPr>
      </w:pPr>
      <w:r>
        <w:rPr>
          <w:rFonts w:hint="cs"/>
          <w:rtl/>
        </w:rPr>
        <w:t>وثلاث منها تمثل جـ2 وأرقامها : 198، 199، و476.</w:t>
      </w:r>
    </w:p>
    <w:p w:rsidR="00035BE3" w:rsidRDefault="00035BE3" w:rsidP="00C10469">
      <w:pPr>
        <w:pStyle w:val="a6"/>
        <w:spacing w:line="420" w:lineRule="exact"/>
        <w:ind w:left="422" w:firstLine="0"/>
        <w:rPr>
          <w:rtl/>
        </w:rPr>
      </w:pPr>
      <w:r>
        <w:rPr>
          <w:rFonts w:hint="cs"/>
          <w:b/>
          <w:bCs/>
          <w:rtl/>
        </w:rPr>
        <w:t>7</w:t>
      </w:r>
      <w:r>
        <w:rPr>
          <w:rFonts w:hint="cs"/>
          <w:rtl/>
        </w:rPr>
        <w:t>-</w:t>
      </w:r>
      <w:r>
        <w:rPr>
          <w:rFonts w:hint="cs"/>
          <w:b/>
          <w:bCs/>
          <w:rtl/>
        </w:rPr>
        <w:t>8</w:t>
      </w:r>
      <w:r>
        <w:rPr>
          <w:rFonts w:hint="cs"/>
          <w:rtl/>
        </w:rPr>
        <w:t>- الأزهرية  وفيها نسختان، إحداهما تمثل جـ2، ورقمها [2871] بخيت 44216، والثانية تمثل الجزء الأخير، ورقمها : [1948] رافعي 26787.</w:t>
      </w:r>
    </w:p>
    <w:p w:rsidR="00035BE3" w:rsidRDefault="00035BE3" w:rsidP="00C10469">
      <w:pPr>
        <w:pStyle w:val="a6"/>
        <w:spacing w:line="420" w:lineRule="exact"/>
        <w:ind w:left="422" w:firstLine="0"/>
        <w:rPr>
          <w:rtl/>
        </w:rPr>
      </w:pPr>
      <w:r>
        <w:rPr>
          <w:rFonts w:hint="cs"/>
          <w:b/>
          <w:bCs/>
          <w:rtl/>
        </w:rPr>
        <w:t>9</w:t>
      </w:r>
      <w:r>
        <w:rPr>
          <w:rFonts w:hint="cs"/>
          <w:rtl/>
        </w:rPr>
        <w:t>- مركز جمعة الماجد بدبي، برقم 3825، وهي تمثّل جزءان ناقصان.</w:t>
      </w:r>
    </w:p>
    <w:p w:rsidR="00035BE3" w:rsidRDefault="00035BE3" w:rsidP="00C10469">
      <w:pPr>
        <w:pStyle w:val="a6"/>
        <w:spacing w:line="420" w:lineRule="exact"/>
        <w:ind w:left="422" w:firstLine="0"/>
        <w:rPr>
          <w:rtl/>
        </w:rPr>
      </w:pPr>
      <w:r>
        <w:rPr>
          <w:rFonts w:hint="cs"/>
          <w:b/>
          <w:bCs/>
          <w:rtl/>
        </w:rPr>
        <w:t>10</w:t>
      </w:r>
      <w:r>
        <w:rPr>
          <w:rFonts w:hint="cs"/>
          <w:rtl/>
        </w:rPr>
        <w:t>- الغازي خسروبك بسـرايـيـفوا، ورقمها 1243.</w:t>
      </w:r>
    </w:p>
    <w:p w:rsidR="00035BE3" w:rsidRDefault="00035BE3" w:rsidP="00C10469">
      <w:pPr>
        <w:pStyle w:val="a6"/>
        <w:spacing w:line="420" w:lineRule="exact"/>
        <w:ind w:left="422" w:firstLine="0"/>
        <w:rPr>
          <w:rtl/>
        </w:rPr>
      </w:pPr>
      <w:r>
        <w:rPr>
          <w:rFonts w:hint="cs"/>
          <w:b/>
          <w:bCs/>
          <w:rtl/>
        </w:rPr>
        <w:t>11</w:t>
      </w:r>
      <w:r>
        <w:rPr>
          <w:rFonts w:hint="cs"/>
          <w:rtl/>
        </w:rPr>
        <w:t>-</w:t>
      </w:r>
      <w:r>
        <w:rPr>
          <w:rFonts w:hint="cs"/>
          <w:b/>
          <w:bCs/>
          <w:rtl/>
        </w:rPr>
        <w:t>18</w:t>
      </w:r>
      <w:r>
        <w:rPr>
          <w:rFonts w:hint="cs"/>
          <w:rtl/>
        </w:rPr>
        <w:t>- السليمانية باستانبول. وفيها ثمان نسخ في الفهارس الآتية :</w:t>
      </w:r>
    </w:p>
    <w:p w:rsidR="00035BE3" w:rsidRDefault="00035BE3" w:rsidP="00C10469">
      <w:pPr>
        <w:pStyle w:val="a6"/>
        <w:numPr>
          <w:ilvl w:val="0"/>
          <w:numId w:val="13"/>
        </w:numPr>
        <w:tabs>
          <w:tab w:val="clear" w:pos="644"/>
        </w:tabs>
        <w:spacing w:line="420" w:lineRule="exact"/>
        <w:ind w:left="706" w:hanging="284"/>
        <w:rPr>
          <w:rtl/>
        </w:rPr>
      </w:pPr>
      <w:r>
        <w:rPr>
          <w:rFonts w:hint="cs"/>
          <w:rtl/>
        </w:rPr>
        <w:t>فهرس بشير أغا، برقم 313.</w:t>
      </w:r>
    </w:p>
    <w:p w:rsidR="00035BE3" w:rsidRDefault="00035BE3" w:rsidP="00C10469">
      <w:pPr>
        <w:pStyle w:val="a6"/>
        <w:numPr>
          <w:ilvl w:val="0"/>
          <w:numId w:val="13"/>
        </w:numPr>
        <w:tabs>
          <w:tab w:val="clear" w:pos="644"/>
        </w:tabs>
        <w:spacing w:line="420" w:lineRule="exact"/>
        <w:ind w:left="706" w:hanging="284"/>
      </w:pPr>
      <w:r>
        <w:rPr>
          <w:rFonts w:hint="cs"/>
          <w:rtl/>
        </w:rPr>
        <w:t>وأيا صوفيا ، برقم 1536.</w:t>
      </w:r>
    </w:p>
    <w:p w:rsidR="00035BE3" w:rsidRDefault="00035BE3" w:rsidP="00C10469">
      <w:pPr>
        <w:pStyle w:val="a6"/>
        <w:numPr>
          <w:ilvl w:val="0"/>
          <w:numId w:val="13"/>
        </w:numPr>
        <w:tabs>
          <w:tab w:val="clear" w:pos="644"/>
        </w:tabs>
        <w:spacing w:line="420" w:lineRule="exact"/>
        <w:ind w:left="706" w:hanging="284"/>
      </w:pPr>
      <w:r>
        <w:rPr>
          <w:rFonts w:hint="cs"/>
          <w:rtl/>
        </w:rPr>
        <w:t>وحلبي عبد الله أفندي، برقم 147.</w:t>
      </w:r>
    </w:p>
    <w:p w:rsidR="00035BE3" w:rsidRDefault="00035BE3" w:rsidP="00C10469">
      <w:pPr>
        <w:pStyle w:val="a6"/>
        <w:numPr>
          <w:ilvl w:val="0"/>
          <w:numId w:val="13"/>
        </w:numPr>
        <w:tabs>
          <w:tab w:val="clear" w:pos="644"/>
        </w:tabs>
        <w:spacing w:line="420" w:lineRule="exact"/>
        <w:ind w:left="706" w:hanging="284"/>
      </w:pPr>
      <w:r>
        <w:rPr>
          <w:rFonts w:hint="cs"/>
          <w:rtl/>
        </w:rPr>
        <w:t>ودامادزاده قاضي عسكر محمد مراد، برقم 1100.</w:t>
      </w:r>
    </w:p>
    <w:p w:rsidR="00035BE3" w:rsidRDefault="00035BE3" w:rsidP="00C10469">
      <w:pPr>
        <w:pStyle w:val="a6"/>
        <w:numPr>
          <w:ilvl w:val="0"/>
          <w:numId w:val="13"/>
        </w:numPr>
        <w:tabs>
          <w:tab w:val="clear" w:pos="644"/>
        </w:tabs>
        <w:spacing w:line="420" w:lineRule="exact"/>
        <w:ind w:left="706" w:hanging="284"/>
      </w:pPr>
      <w:r>
        <w:rPr>
          <w:rFonts w:hint="cs"/>
          <w:rtl/>
        </w:rPr>
        <w:t>وفاتح، برقم 2291، و2292، و2293.</w:t>
      </w:r>
    </w:p>
    <w:p w:rsidR="00035BE3" w:rsidRDefault="00035BE3" w:rsidP="00C10469">
      <w:pPr>
        <w:pStyle w:val="a6"/>
        <w:numPr>
          <w:ilvl w:val="0"/>
          <w:numId w:val="13"/>
        </w:numPr>
        <w:tabs>
          <w:tab w:val="clear" w:pos="644"/>
        </w:tabs>
        <w:spacing w:line="420" w:lineRule="exact"/>
        <w:ind w:left="706" w:hanging="284"/>
      </w:pPr>
      <w:r>
        <w:rPr>
          <w:rFonts w:hint="cs"/>
          <w:rtl/>
        </w:rPr>
        <w:t>وعاطف أفندي ، برقم 675.</w:t>
      </w:r>
    </w:p>
    <w:p w:rsidR="00035BE3" w:rsidRDefault="00035BE3" w:rsidP="00C10469">
      <w:pPr>
        <w:pStyle w:val="a6"/>
        <w:spacing w:line="420" w:lineRule="exact"/>
        <w:ind w:left="422" w:firstLine="0"/>
        <w:rPr>
          <w:rtl/>
        </w:rPr>
      </w:pPr>
      <w:r>
        <w:rPr>
          <w:rFonts w:hint="cs"/>
          <w:rtl/>
        </w:rPr>
        <w:t>انظر : كـشف الظنون، 1/703؛ هدية العارفين، 1/314؛ الأعـلام، 2/256؛ معجم المؤلفين، 1/638، رقم 4815.</w:t>
      </w:r>
    </w:p>
    <w:p w:rsidR="00035BE3" w:rsidRDefault="00035BE3" w:rsidP="00C10469">
      <w:pPr>
        <w:pStyle w:val="a6"/>
        <w:spacing w:line="420" w:lineRule="exact"/>
        <w:ind w:left="422" w:firstLine="0"/>
        <w:rPr>
          <w:rtl/>
        </w:rPr>
      </w:pPr>
      <w:r>
        <w:rPr>
          <w:rFonts w:hint="cs"/>
          <w:rtl/>
        </w:rPr>
        <w:t>وانظر أيضًا : الدر المختار، 6/547.</w:t>
      </w:r>
    </w:p>
  </w:footnote>
  <w:footnote w:id="632">
    <w:p w:rsidR="00035BE3" w:rsidRDefault="00035BE3" w:rsidP="00C10469">
      <w:pPr>
        <w:pStyle w:val="a8"/>
        <w:bidi/>
        <w:ind w:left="422" w:right="0"/>
        <w:rPr>
          <w:rtl/>
        </w:rPr>
      </w:pPr>
      <w:r w:rsidRPr="0059340F">
        <w:rPr>
          <w:rFonts w:hint="cs"/>
          <w:sz w:val="30"/>
          <w:vertAlign w:val="superscript"/>
          <w:rtl/>
        </w:rPr>
        <w:t>(</w:t>
      </w:r>
      <w:r w:rsidRPr="0059340F">
        <w:rPr>
          <w:rStyle w:val="a7"/>
          <w:sz w:val="30"/>
          <w:szCs w:val="30"/>
        </w:rPr>
        <w:footnoteRef/>
      </w:r>
      <w:r w:rsidRPr="0059340F">
        <w:rPr>
          <w:rFonts w:hint="cs"/>
          <w:sz w:val="30"/>
          <w:vertAlign w:val="superscript"/>
          <w:rtl/>
        </w:rPr>
        <w:t>)</w:t>
      </w:r>
      <w:r w:rsidRPr="0047055F">
        <w:rPr>
          <w:rFonts w:hint="cs"/>
          <w:sz w:val="30"/>
          <w:rtl/>
        </w:rPr>
        <w:t xml:space="preserve">   </w:t>
      </w:r>
      <w:r w:rsidRPr="00C15064">
        <w:rPr>
          <w:rFonts w:hint="cs"/>
          <w:spacing w:val="-2"/>
          <w:sz w:val="30"/>
          <w:rtl/>
        </w:rPr>
        <w:t>انظر: الأشباه والنظائر لابن نجيم، ص429؛ الفرائد البهية للحمزاوي، ص32-33؛ شرح المجلة</w:t>
      </w:r>
      <w:r w:rsidRPr="0047055F">
        <w:rPr>
          <w:rFonts w:hint="cs"/>
          <w:sz w:val="30"/>
          <w:rtl/>
        </w:rPr>
        <w:t xml:space="preserve"> لسليم</w:t>
      </w:r>
      <w:r w:rsidRPr="0047055F">
        <w:rPr>
          <w:rFonts w:hint="cs"/>
          <w:sz w:val="22"/>
          <w:szCs w:val="32"/>
          <w:rtl/>
        </w:rPr>
        <w:t xml:space="preserve"> </w:t>
      </w:r>
      <w:r>
        <w:rPr>
          <w:rFonts w:hint="cs"/>
          <w:rtl/>
        </w:rPr>
        <w:t>رستـم، 1/41؛ شرح القواعد الفقهية للزرقا، ص275.</w:t>
      </w:r>
    </w:p>
  </w:footnote>
  <w:footnote w:id="6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أبطل حقه في الحياة بأمره لغيره بقتله.</w:t>
      </w:r>
    </w:p>
  </w:footnote>
  <w:footnote w:id="6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المصادر السابقة، وانظر أيض</w:t>
      </w:r>
      <w:r>
        <w:rPr>
          <w:rtl/>
        </w:rPr>
        <w:t>ًا : خزانة المفتين، ل560/أ.</w:t>
      </w:r>
    </w:p>
  </w:footnote>
  <w:footnote w:id="6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الأشباه والنـظائر لابن نجيم، ص429؛ غمز عيون البصائر، 4/157؛ شرح المجلة لسليم رستم، 1/41؛ الفرائد البهية للحمزاوي، ص33.</w:t>
      </w:r>
    </w:p>
    <w:p w:rsidR="00035BE3" w:rsidRDefault="00035BE3" w:rsidP="00C10469">
      <w:pPr>
        <w:pStyle w:val="a6"/>
        <w:ind w:left="422" w:firstLine="0"/>
        <w:rPr>
          <w:spacing w:val="8"/>
          <w:rtl/>
        </w:rPr>
      </w:pPr>
      <w:r>
        <w:rPr>
          <w:rFonts w:hint="cs"/>
          <w:b/>
          <w:bCs/>
          <w:spacing w:val="8"/>
          <w:rtl/>
        </w:rPr>
        <w:t>ومعنى هذا الفرع</w:t>
      </w:r>
      <w:r>
        <w:rPr>
          <w:rFonts w:hint="cs"/>
          <w:spacing w:val="8"/>
          <w:rtl/>
        </w:rPr>
        <w:t xml:space="preserve"> : لو آجر الشخصُ الموقوفُ عليه أرضَ الوقف، ولم يكن هذا الشخص ناظرًا على الوقف، ومع ذلك أذن للمستأجر في عمارة أرض الوقف، فأنفق المستأجر في عمارتها: لم تصح الإجارة؛ لأنها صادرة من غير أهلها، ولم يصح أيضًا ما ترتب على الإجارة (وهو الإذن بالعمارة)؛ لأنه إذا بطل الشيء بطل ما في ضمنه، ويكون ما أنفقه المستأجرُ تطوعًا، لا يرجع فيه على أحد.</w:t>
      </w:r>
    </w:p>
  </w:footnote>
  <w:footnote w:id="6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زيادة « لم ». والصحيح إسقاطها، كما في (جـ) و(هـ) و(و)؛ وهو الموافق للمصدر الذي استفاد منه المؤلف (وهو أشباه ابن نجيم).</w:t>
      </w:r>
    </w:p>
  </w:footnote>
  <w:footnote w:id="6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يلزم فيهما المهر.</w:t>
      </w:r>
    </w:p>
  </w:footnote>
  <w:footnote w:id="6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«أبرأتني». والصحيح ما تم إثباته من (ب) و(د) (بزيادة ياء المخاطبة).</w:t>
      </w:r>
    </w:p>
  </w:footnote>
  <w:footnote w:id="6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CB41A5">
        <w:rPr>
          <w:rFonts w:hint="cs"/>
          <w:spacing w:val="-2"/>
          <w:rtl/>
        </w:rPr>
        <w:t>الأشباه والنظائر لابن نجيم، ص429 - مع اختلاف لا يحيل المعنى - منه أنه قال: «فقلت: لأن</w:t>
      </w:r>
      <w:r>
        <w:rPr>
          <w:rFonts w:hint="cs"/>
          <w:rtl/>
        </w:rPr>
        <w:t xml:space="preserve"> النكاح الثاني لم يصح، فلم يلزم ما في ضمنه من المهر».</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 وانظر القنية، ل43/أ، حيث جاء فيها : «جدّد للحلال نكاحًا بمهر يلزم إن جدّده لأجل الزيادة لا احتياطًا ... أبرئيني فإني أمهر لك مهرًا جديدًا. فأبرأته، فجدّد لها مهرًا مع الحلّ : يبرأ من الأول ويجب الجديد»؛ وانظر أيضًا تفصيل عقد القلائد، ل50/أ، حيث نقل النص السابق عن القنية</w:t>
      </w:r>
    </w:p>
  </w:footnote>
  <w:footnote w:id="6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6/أ من (أ).</w:t>
      </w:r>
    </w:p>
  </w:footnote>
  <w:footnote w:id="6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هاتان المسألتان</w:t>
      </w:r>
      <w:r>
        <w:rPr>
          <w:rFonts w:hint="cs"/>
          <w:rtl/>
        </w:rPr>
        <w:t xml:space="preserve"> : اتفقت جميع النسخ على نصبهما، وهذا وإن كان يتمشّى مع لغة (سُلَيم) إلا أنه مخالف للمشهور الذي عليه عامة العرب؛ إذْ القول شأنه إذا وقعت بعده جـملة أن تـحكَى، وتـكون -جميعها- في محل نصب على المفعولية.</w:t>
      </w:r>
    </w:p>
    <w:p w:rsidR="00035BE3" w:rsidRDefault="00035BE3" w:rsidP="00C10469">
      <w:pPr>
        <w:pStyle w:val="a6"/>
        <w:ind w:left="422" w:firstLine="0"/>
        <w:rPr>
          <w:rtl/>
        </w:rPr>
      </w:pPr>
      <w:r>
        <w:rPr>
          <w:rFonts w:hint="cs"/>
          <w:rtl/>
        </w:rPr>
        <w:t>ولا يجوز إجراؤه مجرى (ظن) (بجعله ناصبًا لمفعولين أصلهما المبتدأ والخبر) إلا بأربعة شروط ذكرها عامة النحاة، وهي:</w:t>
      </w:r>
    </w:p>
    <w:p w:rsidR="00035BE3" w:rsidRDefault="00035BE3" w:rsidP="00C10469">
      <w:pPr>
        <w:pStyle w:val="a6"/>
        <w:ind w:left="422" w:firstLine="0"/>
        <w:rPr>
          <w:rtl/>
        </w:rPr>
      </w:pPr>
      <w:r>
        <w:rPr>
          <w:rFonts w:hint="cs"/>
          <w:b/>
          <w:bCs/>
          <w:rtl/>
        </w:rPr>
        <w:t>1-</w:t>
      </w:r>
      <w:r>
        <w:rPr>
          <w:rFonts w:hint="cs"/>
          <w:rtl/>
        </w:rPr>
        <w:t xml:space="preserve"> أن يكون الفعل مضارعًا.</w:t>
      </w:r>
    </w:p>
    <w:p w:rsidR="00035BE3" w:rsidRDefault="00035BE3" w:rsidP="00C10469">
      <w:pPr>
        <w:pStyle w:val="a6"/>
        <w:ind w:left="422" w:firstLine="0"/>
        <w:rPr>
          <w:rtl/>
        </w:rPr>
      </w:pPr>
      <w:r>
        <w:rPr>
          <w:rFonts w:hint="cs"/>
          <w:b/>
          <w:bCs/>
          <w:rtl/>
        </w:rPr>
        <w:t>2-</w:t>
      </w:r>
      <w:r>
        <w:rPr>
          <w:rFonts w:hint="cs"/>
          <w:rtl/>
        </w:rPr>
        <w:t xml:space="preserve"> أن يكون للمخاطب.</w:t>
      </w:r>
    </w:p>
    <w:p w:rsidR="00035BE3" w:rsidRDefault="00035BE3" w:rsidP="00C10469">
      <w:pPr>
        <w:pStyle w:val="a6"/>
        <w:ind w:left="422" w:firstLine="0"/>
        <w:rPr>
          <w:rtl/>
        </w:rPr>
      </w:pPr>
      <w:r>
        <w:rPr>
          <w:rFonts w:hint="cs"/>
          <w:b/>
          <w:bCs/>
          <w:rtl/>
        </w:rPr>
        <w:t>3-</w:t>
      </w:r>
      <w:r>
        <w:rPr>
          <w:rFonts w:hint="cs"/>
          <w:rtl/>
        </w:rPr>
        <w:t xml:space="preserve"> أن يكون مسبوقًا باستفهام.</w:t>
      </w:r>
    </w:p>
    <w:p w:rsidR="00035BE3" w:rsidRDefault="00035BE3" w:rsidP="00C10469">
      <w:pPr>
        <w:pStyle w:val="a6"/>
        <w:ind w:left="422" w:firstLine="0"/>
        <w:rPr>
          <w:rtl/>
        </w:rPr>
      </w:pPr>
      <w:r>
        <w:rPr>
          <w:rFonts w:hint="cs"/>
          <w:b/>
          <w:bCs/>
          <w:rtl/>
        </w:rPr>
        <w:t>4-</w:t>
      </w:r>
      <w:r>
        <w:rPr>
          <w:rFonts w:hint="cs"/>
          <w:rtl/>
        </w:rPr>
        <w:t xml:space="preserve"> بأن لا يُفصل بين الاستفهام والفعل بغير ظرف ولا مجرور ولا معمول الفعل.</w:t>
      </w:r>
    </w:p>
    <w:p w:rsidR="00035BE3" w:rsidRDefault="00035BE3" w:rsidP="00C10469">
      <w:pPr>
        <w:pStyle w:val="a6"/>
        <w:ind w:left="422" w:firstLine="0"/>
        <w:rPr>
          <w:rtl/>
        </w:rPr>
      </w:pPr>
      <w:r>
        <w:rPr>
          <w:rFonts w:hint="cs"/>
          <w:rtl/>
        </w:rPr>
        <w:t>ومثال ما اجتمعت فيه الشروط قولك : أتقول عمرًا منطلقًا؟.</w:t>
      </w:r>
    </w:p>
    <w:p w:rsidR="00035BE3" w:rsidRDefault="00035BE3" w:rsidP="00C10469">
      <w:pPr>
        <w:pStyle w:val="a6"/>
        <w:ind w:left="422" w:firstLine="0"/>
        <w:rPr>
          <w:rtl/>
        </w:rPr>
      </w:pPr>
      <w:r>
        <w:rPr>
          <w:rFonts w:hint="cs"/>
          <w:rtl/>
        </w:rPr>
        <w:t>هذا المشهور الذي عليه عامة العرب.</w:t>
      </w:r>
    </w:p>
    <w:p w:rsidR="00035BE3" w:rsidRDefault="00035BE3" w:rsidP="00C10469">
      <w:pPr>
        <w:pStyle w:val="a6"/>
        <w:ind w:left="422" w:firstLine="0"/>
        <w:rPr>
          <w:rtl/>
        </w:rPr>
      </w:pPr>
      <w:r>
        <w:rPr>
          <w:rFonts w:hint="cs"/>
          <w:rtl/>
        </w:rPr>
        <w:t>وخالف في ذلك (سُلَيم)، فأجروا (قال) مجرى (ظن) في نصب المفعولين مطلقًا؟.</w:t>
      </w:r>
    </w:p>
    <w:p w:rsidR="00035BE3" w:rsidRDefault="00035BE3" w:rsidP="00C10469">
      <w:pPr>
        <w:pStyle w:val="a6"/>
        <w:ind w:left="422" w:firstLine="0"/>
        <w:rPr>
          <w:spacing w:val="-6"/>
          <w:rtl/>
        </w:rPr>
      </w:pPr>
      <w:r>
        <w:rPr>
          <w:rFonts w:hint="cs"/>
          <w:spacing w:val="-6"/>
          <w:rtl/>
        </w:rPr>
        <w:t>هذا حاصل ما ذكره ابن عقيل وغيره من النحاة. ولو طُبّق هذا على الجملة التي ذكرها المؤلف فإنه يلحظ أنها تخلّفت فيها الشروط الثلاثة الأخيرة، فكان حق (هاتان المسألتان) الرفع، بناء على لغة عامة العرب. لأن (هاتان): مبتدأ مرفوع، وعلامة رفعه الألف؛ لأنه مثنى، و(المسألتان): بدل مرفوع أيضًا. والجملة الاسمية المكونة من الفعل الناسخ واسمه وخبره ... (ليستا من هذا الأصل): في محل رفع خبر المبتدأ (هاتان). والمفعول به للفعل (أقول) ليس (هاتان)؛ بل جميع جملة مقول القول (وهي : هاتان المسألتان ليستا من هذا الأصل) في محل نصب المفعول به. انظر ما يتعلق بـ (مقول القول) في : شرح ابن عقيل، 1/406-410؛ وانظر أيضًا: أوضح المسالك وشرحه : عدّة السالك، 2/71-79؛ المعجم المفصل في النحو العربي، 2/1048-1049.</w:t>
      </w:r>
    </w:p>
  </w:footnote>
  <w:footnote w:id="6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 معا ».</w:t>
      </w:r>
    </w:p>
  </w:footnote>
  <w:footnote w:id="6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5/أ من (جـ).</w:t>
      </w:r>
    </w:p>
  </w:footnote>
  <w:footnote w:id="6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4/ب من (ب).</w:t>
      </w:r>
    </w:p>
  </w:footnote>
  <w:footnote w:id="6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«أثمار الأشجار».</w:t>
      </w:r>
    </w:p>
  </w:footnote>
  <w:footnote w:id="6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«وأجرة».</w:t>
      </w:r>
    </w:p>
  </w:footnote>
  <w:footnote w:id="6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5/أ من (د).</w:t>
      </w:r>
    </w:p>
  </w:footnote>
  <w:footnote w:id="6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طاب للمشتري ترك الثمار على الأشجار دون قطف، مع بطلان إجارته للأشجار. وقد عللّ صاحب فتح القدير-6/288- بطلان الإجارة بقوله : «وأصل الإجارة مقتضى القياس فيها البطلان، إلاّ أن الشرع أجازها؛ للحاجة فيما فيه تعامل، ولا تعامل في إجارة الأشجار المجردة، فلا يجوز».</w:t>
      </w:r>
    </w:p>
  </w:footnote>
  <w:footnote w:id="6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الأشبـاه والنـظائـر لابن نجيم، ص429-430 - مع اختلاف يسير-؛ وانـظـر : الهداية وشـرحيها : العناية، 6/289؛ وفتح القدير، 6/288.</w:t>
      </w:r>
    </w:p>
  </w:footnote>
  <w:footnote w:id="6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خُوَاهَرزَادَه</w:t>
      </w:r>
      <w:r>
        <w:rPr>
          <w:rFonts w:hint="cs"/>
          <w:rtl/>
        </w:rPr>
        <w:t xml:space="preserve"> : لفظ فارسي بمعنى ولد الأخت. وقد أفاد غير واحد من الحنفية أن هذا اللقب اشتهر إطلاقه عندهم على اثنين من فقهائهم :</w:t>
      </w:r>
    </w:p>
    <w:p w:rsidR="00035BE3" w:rsidRDefault="00035BE3" w:rsidP="00C10469">
      <w:pPr>
        <w:pStyle w:val="a6"/>
        <w:ind w:left="422" w:firstLine="0"/>
        <w:rPr>
          <w:rtl/>
        </w:rPr>
      </w:pPr>
      <w:r>
        <w:rPr>
          <w:rFonts w:hint="cs"/>
          <w:b/>
          <w:bCs/>
          <w:rtl/>
        </w:rPr>
        <w:t>أحدهما</w:t>
      </w:r>
      <w:r>
        <w:rPr>
          <w:rFonts w:hint="cs"/>
          <w:rtl/>
        </w:rPr>
        <w:t xml:space="preserve"> : محمد بن الحسين بن محمد بن حسين، أبو بكر خُوَاهَرزاده البخاري (ت483هـ) ابن أخت القاضي محمد بن أحمد، أبي ثابت البخاري.</w:t>
      </w:r>
    </w:p>
    <w:p w:rsidR="00035BE3" w:rsidRDefault="00035BE3" w:rsidP="00C10469">
      <w:pPr>
        <w:pStyle w:val="a6"/>
        <w:ind w:left="422" w:firstLine="0"/>
        <w:rPr>
          <w:rtl/>
        </w:rPr>
      </w:pPr>
      <w:r>
        <w:rPr>
          <w:rFonts w:hint="cs"/>
          <w:rtl/>
        </w:rPr>
        <w:t>وقد اشتهر بالفقه وله فيه عدة مصنفات، منها : المختصر، والتجنيس، والمبسوط المعروف بمبسوط بكر خواهرزاده، والذخيرة، والإيضاح.</w:t>
      </w:r>
    </w:p>
    <w:p w:rsidR="00035BE3" w:rsidRDefault="00035BE3" w:rsidP="00C10469">
      <w:pPr>
        <w:pStyle w:val="a6"/>
        <w:ind w:left="422" w:firstLine="0"/>
        <w:rPr>
          <w:rtl/>
        </w:rPr>
      </w:pPr>
      <w:r>
        <w:rPr>
          <w:rFonts w:hint="cs"/>
          <w:b/>
          <w:bCs/>
          <w:rtl/>
        </w:rPr>
        <w:t>والثاني</w:t>
      </w:r>
      <w:r>
        <w:rPr>
          <w:rFonts w:hint="cs"/>
          <w:rtl/>
        </w:rPr>
        <w:t xml:space="preserve"> : محمد بن محمود بن عبد الكريم، خواهرزاده الكرْدريّ (ت651هـ). ابن أخت محمد بن عبد الستار، أبو الوجد الكَرْدَرِي (ت 642هـ).</w:t>
      </w:r>
    </w:p>
    <w:p w:rsidR="00035BE3" w:rsidRDefault="00035BE3" w:rsidP="00C10469">
      <w:pPr>
        <w:pStyle w:val="a6"/>
        <w:ind w:left="422" w:firstLine="0"/>
        <w:rPr>
          <w:rtl/>
        </w:rPr>
      </w:pPr>
      <w:r>
        <w:rPr>
          <w:rFonts w:hint="cs"/>
          <w:rtl/>
        </w:rPr>
        <w:t>ولعل مراد المؤلف منهما : الأول وهو بكر خواهرزاده؛ لما يأتي :</w:t>
      </w:r>
    </w:p>
    <w:p w:rsidR="00035BE3" w:rsidRDefault="00035BE3" w:rsidP="00C10469">
      <w:pPr>
        <w:pStyle w:val="a6"/>
        <w:ind w:left="422" w:firstLine="0"/>
        <w:rPr>
          <w:rtl/>
        </w:rPr>
      </w:pPr>
      <w:r w:rsidRPr="00A75C4D">
        <w:rPr>
          <w:rFonts w:hint="cs"/>
          <w:b/>
          <w:bCs/>
          <w:spacing w:val="-2"/>
          <w:rtl/>
        </w:rPr>
        <w:t>1</w:t>
      </w:r>
      <w:r w:rsidRPr="00A75C4D">
        <w:rPr>
          <w:rFonts w:hint="cs"/>
          <w:spacing w:val="-2"/>
          <w:rtl/>
        </w:rPr>
        <w:t>- أن «مشاهير كتب الفتاوى مشحونة بذكره» -كما نقل ذلك صاحب الفوائد البهية، ص163-</w:t>
      </w:r>
      <w:r>
        <w:rPr>
          <w:rFonts w:hint="cs"/>
          <w:rtl/>
        </w:rPr>
        <w:t>.</w:t>
      </w:r>
    </w:p>
    <w:p w:rsidR="00035BE3" w:rsidRDefault="00035BE3" w:rsidP="00C10469">
      <w:pPr>
        <w:pStyle w:val="a6"/>
        <w:ind w:left="422" w:firstLine="0"/>
      </w:pPr>
      <w:r>
        <w:rPr>
          <w:rFonts w:hint="cs"/>
          <w:b/>
          <w:bCs/>
          <w:rtl/>
        </w:rPr>
        <w:t>2</w:t>
      </w:r>
      <w:r>
        <w:rPr>
          <w:rFonts w:hint="cs"/>
          <w:rtl/>
        </w:rPr>
        <w:t>- أنه «مراد صاحب الهداية» -كما أفاد ذلك صاحب الجواهر، 2/183-.</w:t>
      </w:r>
      <w:r>
        <w:rPr>
          <w:rFonts w:hint="cs"/>
          <w:rtl/>
        </w:rPr>
        <w:tab/>
        <w:t xml:space="preserve">                     </w:t>
      </w:r>
    </w:p>
    <w:p w:rsidR="00035BE3" w:rsidRDefault="00035BE3" w:rsidP="00C10469">
      <w:pPr>
        <w:pStyle w:val="a6"/>
        <w:ind w:left="422" w:firstLine="0"/>
      </w:pPr>
      <w:r>
        <w:rPr>
          <w:rFonts w:hint="cs"/>
          <w:b/>
          <w:bCs/>
          <w:rtl/>
        </w:rPr>
        <w:t xml:space="preserve"> 3</w:t>
      </w:r>
      <w:r>
        <w:rPr>
          <w:rFonts w:hint="cs"/>
          <w:rtl/>
        </w:rPr>
        <w:t>- أن كتب تراجم الحنفية حافلة بذكر مصنفاته الفقهية، بخلاف الثاني، فمع قلَّة من ترجم له لم أجد أحدًا عدّ له مصنفات إطلاقًا.</w:t>
      </w:r>
    </w:p>
    <w:p w:rsidR="00035BE3" w:rsidRDefault="00035BE3" w:rsidP="00C10469">
      <w:pPr>
        <w:pStyle w:val="a6"/>
        <w:ind w:left="422" w:firstLine="0"/>
        <w:rPr>
          <w:rtl/>
        </w:rPr>
      </w:pPr>
      <w:r>
        <w:rPr>
          <w:rFonts w:hint="cs"/>
          <w:rtl/>
        </w:rPr>
        <w:t>انظر ما يتعلق بلقب (خواهرزاده) في : الجواهر المضيّة، 2/183؛ فتح القدير، 6/103؛ الفوائد البهية، ص144؛ المذهب الحنفي لأحمد النقيب، 1/261.</w:t>
      </w:r>
    </w:p>
    <w:p w:rsidR="00035BE3" w:rsidRDefault="00035BE3" w:rsidP="00C10469">
      <w:pPr>
        <w:pStyle w:val="a6"/>
        <w:ind w:left="422" w:firstLine="0"/>
        <w:rPr>
          <w:rtl/>
        </w:rPr>
      </w:pPr>
      <w:r>
        <w:rPr>
          <w:rFonts w:hint="cs"/>
          <w:rtl/>
        </w:rPr>
        <w:t xml:space="preserve">وانظر ترجمة </w:t>
      </w:r>
      <w:r>
        <w:rPr>
          <w:rFonts w:hint="cs"/>
          <w:b/>
          <w:bCs/>
          <w:rtl/>
        </w:rPr>
        <w:t>الأول</w:t>
      </w:r>
      <w:r>
        <w:rPr>
          <w:rFonts w:hint="cs"/>
          <w:rtl/>
        </w:rPr>
        <w:t xml:space="preserve"> في : الجواهر المضية، 3/141، رقم 1289؛ تهذيب الأسماء الواقعة في الهداية والخلاصة، ص98؛ تاج التراجم، ص213، رقم 236؛ مفتاح السعادة، 2/250؛ كشـف الظـنون، 1/569، 2/1223، 1580؛ الفوائد البهية، ص163.</w:t>
      </w:r>
    </w:p>
    <w:p w:rsidR="00035BE3" w:rsidRDefault="00035BE3" w:rsidP="00C10469">
      <w:pPr>
        <w:pStyle w:val="a6"/>
        <w:ind w:left="422" w:firstLine="0"/>
        <w:rPr>
          <w:rtl/>
        </w:rPr>
      </w:pPr>
      <w:r>
        <w:rPr>
          <w:rFonts w:hint="cs"/>
          <w:rtl/>
        </w:rPr>
        <w:t xml:space="preserve">وانظر ترجمة </w:t>
      </w:r>
      <w:r>
        <w:rPr>
          <w:rFonts w:hint="cs"/>
          <w:b/>
          <w:bCs/>
          <w:rtl/>
        </w:rPr>
        <w:t>الثاني</w:t>
      </w:r>
      <w:r>
        <w:rPr>
          <w:rFonts w:hint="cs"/>
          <w:rtl/>
        </w:rPr>
        <w:t xml:space="preserve"> في : الجواهر المضية، 3/362، رقم 1535؛ الفوائد البهية، ص200. </w:t>
      </w:r>
    </w:p>
  </w:footnote>
  <w:footnote w:id="6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«وينصرف».</w:t>
      </w:r>
    </w:p>
  </w:footnote>
  <w:footnote w:id="6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«وفلان يعيش في ظلِّ فلان أي كنفه».</w:t>
      </w:r>
    </w:p>
  </w:footnote>
  <w:footnote w:id="6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سيفردها المؤلف بالحديث، ص625 (ل44/ب)، قاعدة 108.</w:t>
      </w:r>
    </w:p>
  </w:footnote>
  <w:footnote w:id="6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الحاصل مـمّا ذكره المؤلف في هذا الاعتراض وجوابه :</w:t>
      </w:r>
    </w:p>
    <w:p w:rsidR="00035BE3" w:rsidRDefault="00035BE3" w:rsidP="00C10469">
      <w:pPr>
        <w:pStyle w:val="a6"/>
        <w:ind w:left="422" w:firstLine="0"/>
        <w:rPr>
          <w:rtl/>
        </w:rPr>
      </w:pPr>
      <w:r>
        <w:rPr>
          <w:rFonts w:hint="cs"/>
          <w:rtl/>
        </w:rPr>
        <w:t>أنه يعترض على القاعدة بما لو باعه الثمار، وآجره الأشجار : فإن الإجارة تبطل، ومع ذلك لم يبطل ما في ضمنها، وهو الإذن بترك الثمار على الأشجار؛ بل يطيب للمشترى ذلك !.</w:t>
      </w:r>
    </w:p>
    <w:p w:rsidR="00035BE3" w:rsidRDefault="00035BE3" w:rsidP="00C10469">
      <w:pPr>
        <w:pStyle w:val="a6"/>
        <w:ind w:left="422" w:firstLine="0"/>
        <w:rPr>
          <w:rtl/>
        </w:rPr>
      </w:pPr>
      <w:r>
        <w:rPr>
          <w:rFonts w:hint="cs"/>
          <w:rtl/>
        </w:rPr>
        <w:t>وقد أجاب عنه المؤلف باخـتيار القول الثاني القائل بجواز المتضمِّن أصلاً (وهو الإجارة)؛ لأن الحاجة اقتضت الجواز، والحاجة تنـزل منـزلة الضرورة. هذا حاصل ما ذكره المؤلف -رحمه الله-.</w:t>
      </w:r>
    </w:p>
    <w:p w:rsidR="00035BE3" w:rsidRDefault="00035BE3" w:rsidP="00C10469">
      <w:pPr>
        <w:pStyle w:val="a6"/>
        <w:ind w:left="422" w:firstLine="0"/>
        <w:rPr>
          <w:rtl/>
        </w:rPr>
      </w:pPr>
      <w:r>
        <w:rPr>
          <w:rFonts w:hint="cs"/>
          <w:rtl/>
        </w:rPr>
        <w:t xml:space="preserve">إلا أن هذا الجواب يمكن أن </w:t>
      </w:r>
      <w:r>
        <w:rPr>
          <w:rFonts w:hint="cs"/>
          <w:b/>
          <w:bCs/>
          <w:rtl/>
        </w:rPr>
        <w:t>يُعترض عليه</w:t>
      </w:r>
      <w:r>
        <w:rPr>
          <w:rFonts w:hint="cs"/>
          <w:rtl/>
        </w:rPr>
        <w:t xml:space="preserve"> بعدم التسليم بأن الحاجة دعت إلى جوازها؛ بل إن عدم الحاجة منعت من جوازها؛ «لأن الحاجة إلى الـتـرك بالإجارة إنما تتحقق إذا لم يكن مُخلِّصٌ سواها، وههنا يمكن للمشتري أن يشتري الثمار مع أصولها ...» -قاله صاحب العناية، 6/289-.</w:t>
      </w:r>
    </w:p>
    <w:p w:rsidR="00035BE3" w:rsidRDefault="00035BE3" w:rsidP="00C10469">
      <w:pPr>
        <w:pStyle w:val="a6"/>
        <w:ind w:left="422" w:firstLine="0"/>
        <w:rPr>
          <w:spacing w:val="-4"/>
          <w:rtl/>
        </w:rPr>
      </w:pPr>
      <w:r>
        <w:rPr>
          <w:rFonts w:hint="cs"/>
          <w:spacing w:val="-4"/>
          <w:rtl/>
        </w:rPr>
        <w:t xml:space="preserve">وهذا الاعتراض </w:t>
      </w:r>
      <w:r>
        <w:rPr>
          <w:rFonts w:hint="cs"/>
          <w:b/>
          <w:bCs/>
          <w:spacing w:val="-4"/>
          <w:rtl/>
        </w:rPr>
        <w:t>أجاب عنه</w:t>
      </w:r>
      <w:r>
        <w:rPr>
          <w:rFonts w:hint="cs"/>
          <w:spacing w:val="-4"/>
          <w:rtl/>
        </w:rPr>
        <w:t xml:space="preserve"> صاحب فتح القدير - 6/288 - بقوله: «ولا يخفى ما في هذا من العسر؛ </w:t>
      </w:r>
      <w:r w:rsidRPr="008B27E1">
        <w:rPr>
          <w:rFonts w:hint="cs"/>
          <w:spacing w:val="-6"/>
          <w:rtl/>
        </w:rPr>
        <w:t>فإنه يستدعي شراء ما لا حاجة له إليه، أو ما لا يقدر على ثمنه. وقد لا يوافقه البائع على بيع الأشجار».</w:t>
      </w:r>
      <w:r>
        <w:rPr>
          <w:rFonts w:hint="cs"/>
          <w:spacing w:val="-4"/>
          <w:rtl/>
        </w:rPr>
        <w:t xml:space="preserve">  </w:t>
      </w:r>
    </w:p>
    <w:p w:rsidR="00035BE3" w:rsidRDefault="00035BE3" w:rsidP="00C10469">
      <w:pPr>
        <w:pStyle w:val="a6"/>
        <w:ind w:left="422" w:firstLine="0"/>
        <w:rPr>
          <w:rtl/>
        </w:rPr>
      </w:pPr>
      <w:r>
        <w:rPr>
          <w:rFonts w:hint="cs"/>
          <w:rtl/>
        </w:rPr>
        <w:t xml:space="preserve"> وهذا الجواب يمكن أن </w:t>
      </w:r>
      <w:r>
        <w:rPr>
          <w:rFonts w:hint="cs"/>
          <w:b/>
          <w:bCs/>
          <w:rtl/>
        </w:rPr>
        <w:t>يعترض عليه</w:t>
      </w:r>
      <w:r>
        <w:rPr>
          <w:rFonts w:hint="cs"/>
          <w:rtl/>
        </w:rPr>
        <w:t xml:space="preserve"> بأن يقال : سلَّمنا بأن إيجاب شراء الأصول مع ثمارها فيه عسرٌ على المشتري، فلا يكون التعليل بعدم الحاجة إلى الإجارة كافيًا في منع جوازها.</w:t>
      </w:r>
    </w:p>
    <w:p w:rsidR="00035BE3" w:rsidRDefault="00035BE3" w:rsidP="00C10469">
      <w:pPr>
        <w:pStyle w:val="a6"/>
        <w:ind w:left="422" w:firstLine="0"/>
        <w:rPr>
          <w:spacing w:val="4"/>
          <w:rtl/>
        </w:rPr>
      </w:pPr>
      <w:r>
        <w:rPr>
          <w:rFonts w:hint="cs"/>
          <w:spacing w:val="4"/>
          <w:rtl/>
        </w:rPr>
        <w:t>إلا أنه لا يلزم من هذا العكس؛ وهو جواز إجارة الأصول؛ لحاجة المشتري إلى ترك الثمار عليها - كما هو اختيار المؤلف - وذلك لأن الحاجة وحدها لا تكفي لإباحة الإجارة؛ بل لابدّ أيضًا من تعامل أهل العرف بها.</w:t>
      </w:r>
    </w:p>
    <w:p w:rsidR="00035BE3" w:rsidRDefault="00035BE3" w:rsidP="00C10469">
      <w:pPr>
        <w:pStyle w:val="a6"/>
        <w:ind w:left="422" w:firstLine="0"/>
        <w:rPr>
          <w:rtl/>
        </w:rPr>
      </w:pPr>
      <w:r>
        <w:rPr>
          <w:rFonts w:hint="cs"/>
          <w:rtl/>
        </w:rPr>
        <w:t>وحيث إنه لا تعامل بإجارة الأشجار وحدها : فلا تجوز.</w:t>
      </w:r>
    </w:p>
    <w:p w:rsidR="00035BE3" w:rsidRDefault="00035BE3" w:rsidP="00C10469">
      <w:pPr>
        <w:pStyle w:val="a6"/>
        <w:ind w:left="422" w:firstLine="0"/>
        <w:rPr>
          <w:rtl/>
        </w:rPr>
      </w:pPr>
      <w:r>
        <w:rPr>
          <w:rFonts w:hint="cs"/>
          <w:rtl/>
        </w:rPr>
        <w:t>- وقد سبق نقل هذا التعليل عن فتح القدير، ص271، هامش 5 -.</w:t>
      </w:r>
    </w:p>
    <w:p w:rsidR="00035BE3" w:rsidRDefault="00035BE3" w:rsidP="00C10469">
      <w:pPr>
        <w:pStyle w:val="a6"/>
        <w:spacing w:line="480" w:lineRule="exact"/>
        <w:ind w:left="422" w:firstLine="0"/>
        <w:rPr>
          <w:b/>
          <w:bCs/>
          <w:rtl/>
        </w:rPr>
      </w:pPr>
      <w:r>
        <w:rPr>
          <w:rFonts w:hint="cs"/>
          <w:b/>
          <w:bCs/>
          <w:rtl/>
        </w:rPr>
        <w:t>ويُخلَص من هذه المناقشة أن جواب المؤلف عن الاعتراض على القاعدة ليس بقوي.</w:t>
      </w:r>
    </w:p>
    <w:p w:rsidR="00035BE3" w:rsidRDefault="00035BE3" w:rsidP="00C10469">
      <w:pPr>
        <w:pStyle w:val="a6"/>
        <w:spacing w:line="480" w:lineRule="exact"/>
        <w:ind w:left="422" w:firstLine="0"/>
        <w:rPr>
          <w:rtl/>
        </w:rPr>
      </w:pPr>
      <w:r>
        <w:rPr>
          <w:rFonts w:hint="cs"/>
          <w:b/>
          <w:bCs/>
          <w:rtl/>
        </w:rPr>
        <w:t>ولكن يمكن أن يعتضد بجواب آخر</w:t>
      </w:r>
      <w:r>
        <w:rPr>
          <w:rFonts w:hint="cs"/>
          <w:rtl/>
        </w:rPr>
        <w:t xml:space="preserve"> ذكره صاحب العناية - 6/389 - حيث </w:t>
      </w:r>
      <w:r>
        <w:rPr>
          <w:rFonts w:hint="cs"/>
          <w:b/>
          <w:bCs/>
          <w:rtl/>
        </w:rPr>
        <w:t>افترضَ</w:t>
      </w:r>
      <w:r>
        <w:rPr>
          <w:rFonts w:hint="cs"/>
          <w:rtl/>
        </w:rPr>
        <w:t xml:space="preserve"> الاعتراض الذي ذكره المؤلف ثم أجاب عنه بقوله : </w:t>
      </w:r>
    </w:p>
    <w:p w:rsidR="00035BE3" w:rsidRDefault="00035BE3" w:rsidP="00C10469">
      <w:pPr>
        <w:pStyle w:val="a6"/>
        <w:spacing w:line="480" w:lineRule="exact"/>
        <w:ind w:left="422" w:firstLine="0"/>
        <w:rPr>
          <w:rtl/>
        </w:rPr>
      </w:pPr>
      <w:r>
        <w:rPr>
          <w:rFonts w:hint="cs"/>
          <w:rtl/>
        </w:rPr>
        <w:t>«</w:t>
      </w:r>
      <w:r>
        <w:rPr>
          <w:rFonts w:hint="cs"/>
          <w:b/>
          <w:bCs/>
          <w:rtl/>
        </w:rPr>
        <w:t>فإن قيل</w:t>
      </w:r>
      <w:r>
        <w:rPr>
          <w:rFonts w:hint="cs"/>
          <w:rtl/>
        </w:rPr>
        <w:t xml:space="preserve"> : لا نسلِّم بقاء الإذن [أي الإذن بترك الثمار على الأشجار]؛ فإنه ثبت في ضمن الإجارة، وفي بطلان المتضمِّن بطلان المتضمَّن ...</w:t>
      </w:r>
    </w:p>
    <w:p w:rsidR="00035BE3" w:rsidRDefault="00035BE3" w:rsidP="00C10469">
      <w:pPr>
        <w:pStyle w:val="a6"/>
        <w:spacing w:line="480" w:lineRule="exact"/>
        <w:ind w:left="422" w:firstLine="0"/>
        <w:rPr>
          <w:spacing w:val="-2"/>
          <w:rtl/>
        </w:rPr>
      </w:pPr>
      <w:r>
        <w:rPr>
          <w:rFonts w:hint="cs"/>
          <w:b/>
          <w:bCs/>
          <w:spacing w:val="-2"/>
          <w:rtl/>
        </w:rPr>
        <w:t>أجيب</w:t>
      </w:r>
      <w:r>
        <w:rPr>
          <w:rFonts w:hint="cs"/>
          <w:spacing w:val="-2"/>
          <w:rtl/>
        </w:rPr>
        <w:t xml:space="preserve">: بأن الباطل معدوم ؛ لأنه هو الذي لا تحقق له أصلاً ولا وصفًا شرعًا - على ما عُرف - </w:t>
      </w:r>
      <w:r w:rsidRPr="008F04AA">
        <w:rPr>
          <w:rFonts w:hint="cs"/>
          <w:spacing w:val="-4"/>
          <w:rtl/>
        </w:rPr>
        <w:t>والمعدوم لا يتضمن شيئًا، حتى يبطل ببطلانه؛ بل كان ذلك الكلام ابتداء عبارة عن الإذن، فكان معتبرًا».</w:t>
      </w:r>
    </w:p>
    <w:p w:rsidR="00035BE3" w:rsidRDefault="00035BE3" w:rsidP="00C10469">
      <w:pPr>
        <w:pStyle w:val="a6"/>
        <w:spacing w:line="480" w:lineRule="exact"/>
        <w:ind w:left="422" w:firstLine="0"/>
        <w:rPr>
          <w:rtl/>
        </w:rPr>
      </w:pPr>
      <w:r>
        <w:rPr>
          <w:rFonts w:hint="cs"/>
          <w:rtl/>
        </w:rPr>
        <w:t xml:space="preserve">وانظر: رد المحتار ، 7/88. </w:t>
      </w:r>
    </w:p>
  </w:footnote>
  <w:footnote w:id="6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«أي الصلح».</w:t>
      </w:r>
    </w:p>
  </w:footnote>
  <w:footnote w:id="6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ص430، مع اختلاف يسير في اللفظ، حيث قال في الأشباه : «... مع أنّ المتضمِّن للإسقاط : صُلْحُهُ ، وقد بطل، ولم يبطل ما في ضمنه».</w:t>
      </w:r>
    </w:p>
    <w:p w:rsidR="00035BE3" w:rsidRDefault="00035BE3" w:rsidP="00C10469">
      <w:pPr>
        <w:pStyle w:val="a6"/>
        <w:ind w:left="422" w:firstLine="0"/>
        <w:rPr>
          <w:rtl/>
        </w:rPr>
      </w:pPr>
      <w:r>
        <w:rPr>
          <w:rFonts w:hint="cs"/>
          <w:rtl/>
        </w:rPr>
        <w:t>وانظر : الهداية وشرحيها : العناية ونتائج الأفكار، 9/414.</w:t>
      </w:r>
    </w:p>
  </w:footnote>
  <w:footnote w:id="6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«الاغتياض» (بالغين المعجمة).</w:t>
      </w:r>
    </w:p>
  </w:footnote>
  <w:footnote w:id="6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فكان الصلح بمعنى الإعراض عنه.</w:t>
      </w:r>
    </w:p>
  </w:footnote>
  <w:footnote w:id="6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9/414، 416.</w:t>
      </w:r>
    </w:p>
  </w:footnote>
  <w:footnote w:id="6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«أروت».</w:t>
      </w:r>
    </w:p>
  </w:footnote>
  <w:footnote w:id="6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«فليراجع». والصحيح : ما تمَّ إثباته من (ب)؛ لأن جميع النسخ قد اتفقت على الكلمة التي تلي الفعل، وهي الجار والمجرور (إليه)، والذي يتعدى بحرف الجر هو الفعل اللازم، وهو (فلترجع) وليس الفعل المتعدي، وهو (فلتراجع).</w:t>
      </w:r>
    </w:p>
    <w:p w:rsidR="00035BE3" w:rsidRDefault="00035BE3" w:rsidP="00C10469">
      <w:pPr>
        <w:pStyle w:val="a6"/>
        <w:ind w:left="422" w:firstLine="0"/>
        <w:rPr>
          <w:rtl/>
        </w:rPr>
      </w:pPr>
      <w:r>
        <w:rPr>
          <w:rFonts w:hint="cs"/>
          <w:rtl/>
        </w:rPr>
        <w:t>انظر : أوضح المسالك وعدة المسالك، 2/177، 178.</w:t>
      </w:r>
    </w:p>
  </w:footnote>
  <w:footnote w:id="6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«تـبـطـل». (بتأنيث الفعل). وتذكير الفعل وتأنيثه جائزان؛ لأن الفاعل وهو (الشفعة) مجازي التأنيث، وأيضًا فصل بينه وبين الفعل بفاصل.</w:t>
      </w:r>
    </w:p>
    <w:p w:rsidR="00035BE3" w:rsidRDefault="00035BE3" w:rsidP="00C10469">
      <w:pPr>
        <w:pStyle w:val="a6"/>
        <w:ind w:left="422" w:firstLine="0"/>
        <w:rPr>
          <w:rtl/>
        </w:rPr>
      </w:pPr>
      <w:r>
        <w:rPr>
          <w:rFonts w:hint="cs"/>
          <w:rtl/>
        </w:rPr>
        <w:t xml:space="preserve">علمًا بأنه جاء في (العناية) : «باب ما يبطل به الشفعة» (بتذكير الفعل). </w:t>
      </w:r>
    </w:p>
  </w:footnote>
  <w:footnote w:id="6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«يـبطل». والصحيح ما تمّ إثباته من (ب)؛ وفاقًا للعناية، ولأن الفاعل : ضمير مستتر يعود إلى مؤنث مجازي فيجب تأنيث فعله.</w:t>
      </w:r>
    </w:p>
  </w:footnote>
  <w:footnote w:id="6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6/ب من (أ). علمًا بأنه جاء في (د) : «بيت»، وليس «بيّـنا».</w:t>
      </w:r>
    </w:p>
  </w:footnote>
  <w:footnote w:id="6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العنـاية شـرح الـهداية ، 9/416. وتمام كلامهما : «قوله (وكذا : لو باع شفعته) يعنى أنها تبطل (لما بيّـنا): أن حق الشفاعة ليس بحقٍّ متقرِّر في المحل حتى يصح الاعتياض عنه، فكان إعراضًا».</w:t>
      </w:r>
    </w:p>
    <w:p w:rsidR="00035BE3" w:rsidRDefault="00035BE3" w:rsidP="00C10469">
      <w:pPr>
        <w:pStyle w:val="a6"/>
        <w:ind w:left="422" w:firstLine="0"/>
        <w:rPr>
          <w:rtl/>
        </w:rPr>
      </w:pPr>
      <w:r>
        <w:rPr>
          <w:rFonts w:hint="cs"/>
          <w:rtl/>
        </w:rPr>
        <w:t>وانظر: الأشباه والنظائر لابن نجيم، ص430.</w:t>
      </w:r>
    </w:p>
  </w:footnote>
  <w:footnote w:id="666">
    <w:p w:rsidR="00035BE3" w:rsidRDefault="00035BE3" w:rsidP="00C10469">
      <w:pPr>
        <w:pStyle w:val="a8"/>
        <w:bidi/>
        <w:ind w:left="422" w:right="0"/>
        <w:jc w:val="lowKashida"/>
        <w:rPr>
          <w:rtl/>
        </w:rPr>
      </w:pPr>
      <w:r w:rsidRPr="00C333D2">
        <w:rPr>
          <w:rFonts w:hint="cs"/>
          <w:vertAlign w:val="superscript"/>
          <w:rtl/>
        </w:rPr>
        <w:t>(</w:t>
      </w:r>
      <w:r w:rsidRPr="00C333D2">
        <w:rPr>
          <w:bCs/>
          <w:vertAlign w:val="superscript"/>
        </w:rPr>
        <w:footnoteRef/>
      </w:r>
      <w:r w:rsidRPr="00C333D2">
        <w:rPr>
          <w:rFonts w:hint="cs"/>
          <w:vertAlign w:val="superscript"/>
          <w:rtl/>
        </w:rPr>
        <w:t>)</w:t>
      </w:r>
      <w:r w:rsidRPr="00C27FCD">
        <w:rPr>
          <w:rFonts w:hint="cs"/>
          <w:rtl/>
        </w:rPr>
        <w:t xml:space="preserve"> </w:t>
      </w:r>
      <w:r>
        <w:rPr>
          <w:rFonts w:hint="cs"/>
          <w:rtl/>
        </w:rPr>
        <w:t xml:space="preserve">  وردت هذه القاعدة في كثير من كتب الفقه وقواعده بعدّة ألفاظ معانيها متقاربة: </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ind w:left="422" w:firstLine="0"/>
        <w:rPr>
          <w:rtl/>
        </w:rPr>
      </w:pPr>
      <w:r>
        <w:rPr>
          <w:rFonts w:hint="cs"/>
          <w:rtl/>
        </w:rPr>
        <w:t xml:space="preserve">الأشباه والنظائر لابن الوكيل، 1/312 </w:t>
      </w:r>
      <w:r>
        <w:rPr>
          <w:rtl/>
        </w:rPr>
        <w:t>–</w:t>
      </w:r>
      <w:r>
        <w:rPr>
          <w:rFonts w:hint="cs"/>
          <w:rtl/>
        </w:rPr>
        <w:t xml:space="preserve"> حيث أشار إليها في حديثه عن أقسام البدل مع مبدله-؛ القواعد للمقَّري، 2/469، قاعدة 226 - ولفظه : «لا يقوم البدل حتى يتعذر المبدل منه»- وانظر منه 1/238؛ المنثور، 1/225- ولفظه : «... الأبدال إنما تقوم مقام المبدلات في وجوب الإتيان بها عند تعذر مبدلاتها ...»-؛ وانظر منه 1/178 ، 223-224؛ تقرير القواعد لابن رجب، 1/122، قاعدة 16 - ولفظه : «إذا كان للواجب بدل، فتعذر الوصول إلى الأصل حالة الوجوب : فهل يتعلق الوجوب بالبدل تعلقًا مستقرًّا؛ بحيث لا يعود إلى الأصل عند وجوده ؟» - وانظر منه 1/90، 3/73، قاعدة 143؛ مغني ذوي الأفهام (الخاتمة)، ص521، قاعدة 54 - ولفظه : «البدل يقوم مقام المبدل ويساويه وقد ينقص عنه»، وهو قريب من لفظ ابن رجب في القاعدة 143-؛ المنهج المنتخب وشرح المنجور له، ص490- ولفظ المنهج : </w:t>
      </w:r>
    </w:p>
    <w:p w:rsidR="00035BE3" w:rsidRDefault="00035BE3" w:rsidP="00C10469">
      <w:pPr>
        <w:pStyle w:val="a6"/>
        <w:ind w:left="422" w:hanging="454"/>
        <w:jc w:val="center"/>
        <w:rPr>
          <w:rtl/>
        </w:rPr>
      </w:pPr>
      <w:r>
        <w:rPr>
          <w:rFonts w:hint="cs"/>
          <w:rtl/>
        </w:rPr>
        <w:t xml:space="preserve">     «.....................................        </w:t>
      </w:r>
      <w:r>
        <w:rPr>
          <w:rFonts w:hint="cs"/>
          <w:b/>
          <w:bCs/>
          <w:rtl/>
        </w:rPr>
        <w:t>وبـدل مـع أصـلـه لا يـجـتـمـع</w:t>
      </w:r>
      <w:r>
        <w:rPr>
          <w:rFonts w:hint="cs"/>
          <w:rtl/>
        </w:rPr>
        <w:t>»-؛</w:t>
      </w:r>
    </w:p>
    <w:p w:rsidR="00035BE3" w:rsidRPr="0086097F" w:rsidRDefault="00035BE3" w:rsidP="00C10469">
      <w:pPr>
        <w:pStyle w:val="a6"/>
        <w:ind w:left="422" w:firstLine="0"/>
        <w:rPr>
          <w:rtl/>
        </w:rPr>
      </w:pPr>
      <w:r>
        <w:rPr>
          <w:rFonts w:hint="cs"/>
          <w:rtl/>
        </w:rPr>
        <w:t xml:space="preserve">مجامع الحقائق (الخاتمة)، ص44؛ شرح العلائي لقواعد الخادمي، ل10/ب؛ منافع الدقائق، ص310- ولفظ </w:t>
      </w:r>
      <w:r w:rsidRPr="0086097F">
        <w:rPr>
          <w:rFonts w:hint="cs"/>
          <w:spacing w:val="-4"/>
          <w:rtl/>
        </w:rPr>
        <w:t>المجامع: «إذا بطل الأصل يصار إلى البدل»-؛ مجلة الأحكام العدلية، مادة 53، ولفظها مطابق للفظ المجامع؛ شرحها لسليم رستم، 1/41؛ ولعلي حيدر، 1/49؛ وللأتاسي؛ 1/127، وشرح قواعدها الفقهية للزرقا، ص 287؛ مجلة الأحكام الشرعية، ص 79، مادة 16، وص 101، مادة 143؛ قواعد الفقه للمجدِّدي، ص56، قاعدة 16 (بلفظ المجلة)، وص123، قاعدة 324، -ولفظه: «المصير إلى البدل عنه [لعلها: عند] فوات الأصل، لا مع قيامه» -؛ القواعد والأصول الجامعة للشيخ عبدالرحمن السعدي، ص77، قاعدة 28 ولفظه : «يقوم البدل مقام المبدل إذا تعذر المبدل منه»-؛ المدخل الفقهي العام، 2/1023، فقرة 641؛ القواعد الفقهية للدكتور الندوي، ص 155، 202، 387؛ القواعد والضوابط المستخلصة من التحرير، ص482، وأحال إلى التحرير، 1/95، 4/874، 4/877، 5/504، - ولفظه: «البدل يقوم مقام المبدل»-، وأيضًا ص487، وأحـال إلى التحرير، 4/285 -ولفظه: «الخلف عن الشيء يقوم مقامه عند فواته»- وانظر منه ص495؛ الوجيز، ص187؛ موسوعة القـواعد الفقهية، 1/267، 3/28؛ قواعد</w:t>
      </w:r>
      <w:r>
        <w:rPr>
          <w:rFonts w:hint="cs"/>
          <w:rtl/>
        </w:rPr>
        <w:t xml:space="preserve"> الفقه الإسلامي من خلال كتاب الإشراف على مسائل الخلاف للروكي، </w:t>
      </w:r>
      <w:r w:rsidRPr="0086097F">
        <w:rPr>
          <w:rFonts w:hint="cs"/>
          <w:spacing w:val="2"/>
          <w:rtl/>
        </w:rPr>
        <w:t xml:space="preserve">ص277، وأحال إلى الإشراف، 1/110 </w:t>
      </w:r>
      <w:r>
        <w:rPr>
          <w:spacing w:val="2"/>
          <w:rtl/>
        </w:rPr>
        <w:t>–</w:t>
      </w:r>
      <w:r w:rsidRPr="0086097F">
        <w:rPr>
          <w:rFonts w:hint="cs"/>
          <w:spacing w:val="2"/>
          <w:rtl/>
        </w:rPr>
        <w:t>ولفظه</w:t>
      </w:r>
      <w:r>
        <w:rPr>
          <w:rFonts w:hint="cs"/>
          <w:spacing w:val="2"/>
          <w:rtl/>
        </w:rPr>
        <w:t xml:space="preserve"> </w:t>
      </w:r>
      <w:r w:rsidRPr="0086097F">
        <w:rPr>
          <w:rFonts w:hint="cs"/>
          <w:spacing w:val="2"/>
          <w:rtl/>
        </w:rPr>
        <w:t xml:space="preserve">: «البدل إنما يكون للعجز عن المبدل، لا مع </w:t>
      </w:r>
      <w:r>
        <w:rPr>
          <w:rFonts w:hint="cs"/>
          <w:spacing w:val="2"/>
          <w:rtl/>
        </w:rPr>
        <w:t xml:space="preserve"> </w:t>
      </w:r>
      <w:r w:rsidRPr="0086097F">
        <w:rPr>
          <w:rFonts w:hint="cs"/>
          <w:spacing w:val="2"/>
          <w:rtl/>
        </w:rPr>
        <w:t xml:space="preserve"> </w:t>
      </w:r>
    </w:p>
    <w:p w:rsidR="00035BE3" w:rsidRPr="00AF2FB6" w:rsidRDefault="00035BE3" w:rsidP="00C10469">
      <w:pPr>
        <w:pStyle w:val="a6"/>
        <w:ind w:left="422" w:firstLine="0"/>
        <w:rPr>
          <w:spacing w:val="-2"/>
          <w:rtl/>
        </w:rPr>
      </w:pPr>
      <w:r w:rsidRPr="00B34B43">
        <w:rPr>
          <w:rFonts w:hint="cs"/>
          <w:spacing w:val="-2"/>
          <w:rtl/>
        </w:rPr>
        <w:t xml:space="preserve"> العجز عن غيره»؛ القواعد والضوابط الفقهية عند ابن تيمية للميمان، ص309، ولفظه: «...</w:t>
      </w:r>
      <w:r>
        <w:rPr>
          <w:rFonts w:hint="cs"/>
          <w:rtl/>
        </w:rPr>
        <w:t xml:space="preserve"> الحاجة توجب الانتقال إلى البدل عند تعذر الأصل»- ؛ المبادئ الفقهية، ص35؛ القواعد الفقهية للـدعاس، ص88؛ القواعد الفقهية للدكتور الزحيلي، ص82؛ تطبيقات القواعد والضوابط الفقهية للدكتور </w:t>
      </w:r>
      <w:r w:rsidRPr="00AF2FB6">
        <w:rPr>
          <w:rFonts w:hint="cs"/>
          <w:spacing w:val="-2"/>
          <w:rtl/>
        </w:rPr>
        <w:t>سعود الغديان، ص762، 1708 -واللفظ الثاني عنده هو: «يقوم البدل مقام المبدل ويسد مسدّه»-.</w:t>
      </w:r>
    </w:p>
    <w:p w:rsidR="00035BE3" w:rsidRDefault="00035BE3" w:rsidP="00C10469">
      <w:pPr>
        <w:pStyle w:val="a6"/>
        <w:ind w:left="422" w:firstLine="0"/>
        <w:rPr>
          <w:rtl/>
        </w:rPr>
      </w:pPr>
      <w:r>
        <w:rPr>
          <w:rFonts w:hint="cs"/>
          <w:b/>
          <w:bCs/>
          <w:rtl/>
        </w:rPr>
        <w:t>ومن كتب الفقه</w:t>
      </w:r>
      <w:r>
        <w:rPr>
          <w:rFonts w:hint="cs"/>
          <w:rtl/>
        </w:rPr>
        <w:t xml:space="preserve"> :</w:t>
      </w:r>
    </w:p>
    <w:p w:rsidR="00035BE3" w:rsidRDefault="00035BE3" w:rsidP="00C10469">
      <w:pPr>
        <w:pStyle w:val="a6"/>
        <w:ind w:left="422" w:firstLine="0"/>
        <w:rPr>
          <w:rtl/>
        </w:rPr>
      </w:pPr>
      <w:r>
        <w:rPr>
          <w:rFonts w:hint="cs"/>
          <w:rtl/>
        </w:rPr>
        <w:t xml:space="preserve"> المبسوط، 1/111 11/50، 15/132- ولفظه  الأول : «البدل عند العجز عن الأصل حكمه حكم الأصل» ؛ المغني، 3/222-ولفظه : </w:t>
      </w:r>
      <w:r>
        <w:rPr>
          <w:rFonts w:hint="eastAsia"/>
          <w:rtl/>
        </w:rPr>
        <w:t>«</w:t>
      </w:r>
      <w:r>
        <w:rPr>
          <w:rFonts w:hint="cs"/>
          <w:rtl/>
        </w:rPr>
        <w:t>فإن البدل لا يُصار إليه إلا عند تعذّر المُبْدَل</w:t>
      </w:r>
      <w:r>
        <w:rPr>
          <w:rFonts w:hint="eastAsia"/>
          <w:rtl/>
        </w:rPr>
        <w:t>»</w:t>
      </w:r>
      <w:r>
        <w:rPr>
          <w:rFonts w:hint="cs"/>
          <w:rtl/>
        </w:rPr>
        <w:t xml:space="preserve">- ؛ المصفى مختصر المستصفى، ل61/ب (باب الإجارات)- ولفظه : «والأصل فيه إنما يصار إلى البدل عند تعذر المصير إلى الأصل»-؛ الكافي شرح الوافي، ق1، ص32، 190، 766، 1498- وقد وردت فيه بألفاظ مختلفة تشكل المفهوم المخالف للقاعدة كقوله : «لا يجوز أداء البدل مع القدرة على الأصل»؛ المحيط البرهاني، ق3، ص1179، - ولفظه : «الجمع بين البدل والمبدل لا يـجوز»-؛ الدُّرر شـرح الغرر، 2/232، 266-267- ولفظه : «لئلا يجتمع البدل والمبدل»-؛ رد المحتار، 8/225- ولفظه : </w:t>
      </w:r>
      <w:r>
        <w:rPr>
          <w:rFonts w:hint="eastAsia"/>
          <w:rtl/>
        </w:rPr>
        <w:t>«</w:t>
      </w:r>
      <w:r>
        <w:rPr>
          <w:rFonts w:hint="cs"/>
          <w:rtl/>
        </w:rPr>
        <w:t>البدل ما يُصار إليه إلا عند العجز عن الأصل</w:t>
      </w:r>
      <w:r>
        <w:rPr>
          <w:rFonts w:hint="eastAsia"/>
          <w:rtl/>
        </w:rPr>
        <w:t>»</w:t>
      </w:r>
      <w:r>
        <w:rPr>
          <w:rFonts w:hint="cs"/>
          <w:rtl/>
        </w:rPr>
        <w:t>-.</w:t>
      </w:r>
    </w:p>
    <w:p w:rsidR="00035BE3" w:rsidRDefault="00035BE3" w:rsidP="00C10469">
      <w:pPr>
        <w:pStyle w:val="a6"/>
        <w:ind w:left="422" w:firstLine="0"/>
        <w:rPr>
          <w:rtl/>
        </w:rPr>
      </w:pPr>
      <w:r>
        <w:rPr>
          <w:rFonts w:hint="cs"/>
          <w:b/>
          <w:bCs/>
          <w:rtl/>
        </w:rPr>
        <w:t>ومن الكتب الأخر</w:t>
      </w:r>
      <w:r>
        <w:rPr>
          <w:rFonts w:hint="cs"/>
          <w:rtl/>
        </w:rPr>
        <w:t xml:space="preserve"> : </w:t>
      </w:r>
    </w:p>
    <w:p w:rsidR="00035BE3" w:rsidRDefault="00035BE3" w:rsidP="00C10469">
      <w:pPr>
        <w:pStyle w:val="a6"/>
        <w:ind w:left="422" w:firstLine="0"/>
        <w:rPr>
          <w:rtl/>
        </w:rPr>
      </w:pPr>
      <w:r>
        <w:rPr>
          <w:rFonts w:hint="cs"/>
          <w:rtl/>
        </w:rPr>
        <w:t>مجموع الفتاوي، 22/333- ولفظه هو لفظ الميمان الذي ذكر آنفًا-؛ إعـلام الموقعين، 3/341- ولفظه : «وقاعدة الشريعة : أن الفروع والأبدال لا يصار إليها إلا عند تعذر الأصول».</w:t>
      </w:r>
    </w:p>
  </w:footnote>
  <w:footnote w:id="6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«وإلا».</w:t>
      </w:r>
    </w:p>
  </w:footnote>
  <w:footnote w:id="6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والعناية ونتائج الأفكار، 9/96-97؛ شرح العلائي لقواعد الخادمي، ل10/ب؛ منافع الدقائق، ص310-311؛ شرح القواعد الفقهية للزرقا، ص287؛ قواعد الفقه للمجدِّدي، ص123.</w:t>
      </w:r>
    </w:p>
  </w:footnote>
  <w:footnote w:id="669">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عدّة كتب من </w:t>
      </w:r>
      <w:r>
        <w:rPr>
          <w:rFonts w:hint="cs"/>
          <w:b/>
          <w:bCs/>
          <w:rtl/>
        </w:rPr>
        <w:t>كتب القواعد</w:t>
      </w:r>
      <w:r>
        <w:rPr>
          <w:rFonts w:hint="cs"/>
          <w:rtl/>
        </w:rPr>
        <w:t xml:space="preserve">، منها : </w:t>
      </w:r>
    </w:p>
    <w:p w:rsidR="00035BE3" w:rsidRDefault="00035BE3" w:rsidP="00C10469">
      <w:pPr>
        <w:pStyle w:val="a6"/>
        <w:spacing w:line="520" w:lineRule="exact"/>
        <w:ind w:left="422" w:firstLine="0"/>
        <w:rPr>
          <w:rtl/>
        </w:rPr>
      </w:pPr>
      <w:r>
        <w:rPr>
          <w:rFonts w:hint="cs"/>
          <w:rtl/>
        </w:rPr>
        <w:t>المنثور، 1/348؛ الأشباه والنظائر للسيوطي، 1/267-268؛ الأشباه والنظائر لابن نجيم، ص144؛ وشرحه : غمز عيون البصائر، 1/355-357؛ الفرائد البهية وشرحها : الأقمار المضيئة، ص156؛ مجلة الأحكام العدلية، مادة 46؛ شرح المجلة لسليم رستم، 1/38-39؛ ولعلي حيدر، 1/47؛ وللأتـاسي، 1/103-107؛ وشرح قواعدها الفقهية للزرقا، ص243-251؛ قواعد الفقه للمجدِّدي، ص56، قاعدة 18؛ المدخل الفقهي العام، 2/986-987، فقرة 595؛ الوجيز، ص209-212؛ موسوعة القـواعد الفـقهية، 1/421-423؛ المبادئ الفقهية، ص33؛ القواعد الفقهية للدعاس، ص34-36، القاعدة24؛ القواعد الفقهية للدكتور الزحيلي، ص63.</w:t>
      </w:r>
    </w:p>
    <w:p w:rsidR="00035BE3" w:rsidRDefault="00035BE3" w:rsidP="00C10469">
      <w:pPr>
        <w:pStyle w:val="a6"/>
        <w:spacing w:line="520" w:lineRule="exact"/>
        <w:ind w:left="422" w:firstLine="0"/>
        <w:rPr>
          <w:spacing w:val="8"/>
          <w:rtl/>
        </w:rPr>
      </w:pPr>
      <w:r>
        <w:rPr>
          <w:rFonts w:hint="cs"/>
          <w:spacing w:val="8"/>
          <w:rtl/>
        </w:rPr>
        <w:t>كما وردت في تقرير القواعد لابن رجب بلفظ : «إذا تقارن الحكم ووجد المانع منه : فهل يثبت الحكم أم لا؟»، وذلك 1/456، قاعدة 57؛ وكذلك مجلة الأحكام الشرعية، ص87، مادة 57.</w:t>
      </w:r>
    </w:p>
    <w:p w:rsidR="00035BE3" w:rsidRDefault="00035BE3" w:rsidP="00C10469">
      <w:pPr>
        <w:pStyle w:val="a6"/>
        <w:spacing w:line="520" w:lineRule="exact"/>
        <w:ind w:left="422" w:firstLine="0"/>
        <w:rPr>
          <w:rtl/>
        </w:rPr>
      </w:pPr>
      <w:r>
        <w:rPr>
          <w:rFonts w:hint="cs"/>
          <w:rtl/>
        </w:rPr>
        <w:t>وهذه القاعدة بمعنى قاعدة أخرى سيأتي الحديث عنها استقلالاً، وهي : «إذا اجتمع الحلال والحرام غلب الحرام»، وذلك ص290 (ل8/أ)، قاعدة 16.</w:t>
      </w:r>
    </w:p>
  </w:footnote>
  <w:footnote w:id="670">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«ولهذا » : ساقطة من (ب).</w:t>
      </w:r>
    </w:p>
  </w:footnote>
  <w:footnote w:id="671">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«ضاقت». والأفصح ما تمَّ إثباته من باقي النسخ.</w:t>
      </w:r>
    </w:p>
  </w:footnote>
  <w:footnote w:id="672">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«على».</w:t>
      </w:r>
    </w:p>
  </w:footnote>
  <w:footnote w:id="673">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«أو».</w:t>
      </w:r>
    </w:p>
  </w:footnote>
  <w:footnote w:id="674">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لابن نجيم، ص144؛ قواعد الفقه للمجدِّدي، ص56.</w:t>
      </w:r>
    </w:p>
  </w:footnote>
  <w:footnote w:id="6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5/ب من (جـ)، مع تكرار الواو في بداية اللوحة الآتية بعدها.</w:t>
      </w:r>
    </w:p>
  </w:footnote>
  <w:footnote w:id="6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زيادة : «ما» (أي : مالو).</w:t>
      </w:r>
    </w:p>
  </w:footnote>
  <w:footnote w:id="6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المراد بالإمام</w:t>
      </w:r>
      <w:r>
        <w:rPr>
          <w:rFonts w:hint="cs"/>
          <w:rtl/>
        </w:rPr>
        <w:t xml:space="preserve"> : الإمام أبو حنيفة؛ إذْ «كثيرًا ما يطلق علماء المذهب الحنفي في كتبهم لفظ (الإمام)، ويقصدون به صاحب المذهب الإمام أبا حنيفة -رحمه الله-» - قاله أحمد النقيب في بحثه : المذهب الحنفي، 1/260-؛ وانظر : مقدمة في الفقه للدكتور سليمان أبا الخيل، ص117.</w:t>
      </w:r>
    </w:p>
  </w:footnote>
  <w:footnote w:id="6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قول أبي يوسف ومحمد؛ لأن من المصطلح عليه عند الحنفية أن الضمير إذا كان للتثنية -كـ </w:t>
      </w:r>
      <w:r w:rsidRPr="00260737">
        <w:rPr>
          <w:rFonts w:hint="cs"/>
          <w:spacing w:val="-2"/>
          <w:rtl/>
        </w:rPr>
        <w:t>(قالا) و(لهـما) و(عندهما) ونحو ذلك - ولم يسبق التصريح بمرجعه: فإنه يرجع إلى أبي يوسف ومحمد</w:t>
      </w:r>
      <w:r>
        <w:rPr>
          <w:rFonts w:hint="cs"/>
          <w:rtl/>
        </w:rPr>
        <w:t>.</w:t>
      </w:r>
    </w:p>
    <w:p w:rsidR="00035BE3" w:rsidRDefault="00035BE3" w:rsidP="00C10469">
      <w:pPr>
        <w:pStyle w:val="a6"/>
        <w:ind w:left="420" w:firstLine="0"/>
        <w:rPr>
          <w:rtl/>
        </w:rPr>
      </w:pPr>
      <w:r>
        <w:rPr>
          <w:rFonts w:hint="cs"/>
          <w:rtl/>
        </w:rPr>
        <w:t xml:space="preserve">كما أنه إذا نُسب حكمٌ إلى أحد الثلاثة - وهم أبوحنيفة وأبويوسف ومحمد - وصُرِّح باسمه، ثم </w:t>
      </w:r>
      <w:r w:rsidRPr="00CD1A98">
        <w:rPr>
          <w:rFonts w:hint="cs"/>
          <w:spacing w:val="-2"/>
          <w:rtl/>
        </w:rPr>
        <w:t>نُسب إلى الآخَرَين حكمٌ آخر ورُمِزَ لهما بضمير التثنية: فـيُـراد بالضمير ماعدا المصرَّح به من الثلاثة.</w:t>
      </w:r>
    </w:p>
    <w:p w:rsidR="00035BE3" w:rsidRDefault="00035BE3" w:rsidP="00C10469">
      <w:pPr>
        <w:pStyle w:val="a6"/>
        <w:ind w:left="420" w:firstLine="0"/>
        <w:rPr>
          <w:rtl/>
        </w:rPr>
      </w:pPr>
      <w:r>
        <w:rPr>
          <w:rFonts w:hint="cs"/>
          <w:rtl/>
        </w:rPr>
        <w:t>وقد اجتمع هذان المصطلحان هنا؛ حيث إن الضمير في (قولهما) للتثنية، ولم يسبق مرجعه.</w:t>
      </w:r>
    </w:p>
    <w:p w:rsidR="00035BE3" w:rsidRDefault="00035BE3" w:rsidP="00C10469">
      <w:pPr>
        <w:pStyle w:val="a6"/>
        <w:ind w:left="420" w:firstLine="0"/>
        <w:rPr>
          <w:rtl/>
        </w:rPr>
      </w:pPr>
      <w:r>
        <w:rPr>
          <w:rFonts w:hint="cs"/>
          <w:rtl/>
        </w:rPr>
        <w:t>وأيضًا صُرِّح بالإمام، ثمّ رُمز لمن خالفه بضمير التثنية، وهو (</w:t>
      </w:r>
      <w:r>
        <w:rPr>
          <w:rFonts w:hint="cs"/>
          <w:b/>
          <w:bCs/>
          <w:rtl/>
        </w:rPr>
        <w:t>قولهما</w:t>
      </w:r>
      <w:r>
        <w:rPr>
          <w:rFonts w:hint="cs"/>
          <w:rtl/>
        </w:rPr>
        <w:t>)، فدل هذان الأمران على أن المراد بهما أبو يوسف ومحمد.</w:t>
      </w:r>
    </w:p>
    <w:p w:rsidR="00035BE3" w:rsidRDefault="00035BE3" w:rsidP="00C10469">
      <w:pPr>
        <w:pStyle w:val="a6"/>
        <w:ind w:left="420" w:firstLine="0"/>
        <w:rPr>
          <w:rtl/>
        </w:rPr>
      </w:pPr>
      <w:r>
        <w:rPr>
          <w:rFonts w:hint="cs"/>
          <w:rtl/>
        </w:rPr>
        <w:t>وانظر مرجع ضمير (عندهما) وما أشبهه في : مقدمة في الفقه للدكتور سليمان أبا الخيل، ص117؛ المذهب الحنفي لأحمد النقيب، 1/268.</w:t>
      </w:r>
    </w:p>
  </w:footnote>
  <w:footnote w:id="6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ص144.</w:t>
      </w:r>
    </w:p>
    <w:p w:rsidR="00035BE3" w:rsidRDefault="00035BE3" w:rsidP="00C10469">
      <w:pPr>
        <w:pStyle w:val="a6"/>
        <w:ind w:left="422" w:firstLine="0"/>
        <w:rPr>
          <w:rtl/>
        </w:rPr>
      </w:pPr>
      <w:r>
        <w:rPr>
          <w:rFonts w:hint="cs"/>
          <w:rtl/>
        </w:rPr>
        <w:t xml:space="preserve">وهذان القولان المنقولان عن الثلاثة (من الحنفية) هما قولا العلماء في هذه المسألة: </w:t>
      </w:r>
    </w:p>
    <w:p w:rsidR="00035BE3" w:rsidRDefault="00035BE3" w:rsidP="00C10469">
      <w:pPr>
        <w:pStyle w:val="a6"/>
        <w:ind w:left="-32" w:firstLine="454"/>
        <w:rPr>
          <w:rtl/>
        </w:rPr>
      </w:pPr>
      <w:r w:rsidRPr="000361F9">
        <w:rPr>
          <w:sz w:val="22"/>
          <w:szCs w:val="32"/>
          <w:rtl/>
        </w:rPr>
        <w:t>•</w:t>
      </w:r>
      <w:r>
        <w:rPr>
          <w:rFonts w:hint="cs"/>
          <w:rtl/>
        </w:rPr>
        <w:t xml:space="preserve"> فقد وافق أبا حنيفة (في القول بتغسيل الشهيد الجنب) : الحنابلةُ، وسحنون من المالكية.</w:t>
      </w:r>
    </w:p>
    <w:p w:rsidR="00035BE3" w:rsidRDefault="00035BE3" w:rsidP="00C10469">
      <w:pPr>
        <w:pStyle w:val="a6"/>
        <w:ind w:left="422" w:firstLine="0"/>
        <w:rPr>
          <w:rtl/>
        </w:rPr>
      </w:pPr>
      <w:r w:rsidRPr="000361F9">
        <w:rPr>
          <w:sz w:val="22"/>
          <w:szCs w:val="32"/>
          <w:rtl/>
        </w:rPr>
        <w:t>•</w:t>
      </w:r>
      <w:r>
        <w:rPr>
          <w:rFonts w:hint="cs"/>
          <w:rtl/>
        </w:rPr>
        <w:t xml:space="preserve"> ووافق الصاحبين (في القول بعدم تغسيله) : عامةُ المالكية (في الأحسن عندهم)، والشافعية (في الأصح عندهم).</w:t>
      </w:r>
    </w:p>
    <w:p w:rsidR="00035BE3" w:rsidRDefault="00035BE3" w:rsidP="00C10469">
      <w:pPr>
        <w:pStyle w:val="a6"/>
        <w:ind w:left="422" w:firstLine="0"/>
        <w:rPr>
          <w:rtl/>
        </w:rPr>
      </w:pPr>
      <w:r>
        <w:rPr>
          <w:rFonts w:hint="cs"/>
          <w:rtl/>
        </w:rPr>
        <w:t>انظر: الأصل لمحمد بن الحسن، 1/372-373؛ الكتاب للقُدُوري وشرحه : اللباب، 1/134؛ الهداية وشرحيها: العناية وفتح القدير، 2/145-147؛ المغني لابن قدامة، 3/469-470؛ روضة الطالبين، 1/634-635؛ المنهاج وشرحه: مغني المحتاج، 1/351؛ التاج والإكليل لمختصر خليل ومواهب الجليل، 3/69؛ التوضيح في الجمع بين المقنع والتنقيح، 1/378-379؛ شرح منتهى الإرادات، 1/324؛ الشرح الكبير وحاشية الدسوقي عليه، 1/426.</w:t>
      </w:r>
    </w:p>
  </w:footnote>
  <w:footnote w:id="6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 يقتضي ».</w:t>
      </w:r>
    </w:p>
  </w:footnote>
  <w:footnote w:id="6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«يمنع». والصحيح ما تم إثباته من (ب) و(د).</w:t>
      </w:r>
    </w:p>
  </w:footnote>
  <w:footnote w:id="6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الكُلُوم في اللغة </w:t>
      </w:r>
      <w:r>
        <w:rPr>
          <w:rFonts w:hint="cs"/>
          <w:rtl/>
        </w:rPr>
        <w:t>: جمعُ (كَلْم) وهو الجرح.</w:t>
      </w:r>
    </w:p>
    <w:p w:rsidR="00035BE3" w:rsidRDefault="00035BE3" w:rsidP="00C10469">
      <w:pPr>
        <w:pStyle w:val="a6"/>
        <w:ind w:left="422" w:firstLine="0"/>
        <w:rPr>
          <w:rtl/>
        </w:rPr>
      </w:pPr>
      <w:r>
        <w:rPr>
          <w:rFonts w:hint="cs"/>
          <w:rtl/>
        </w:rPr>
        <w:t>انظر : المقاييس في اللغة، مادة «كلم»، ص906؛ لسان العرب، مادة «كلم»، 12/522-525؛ وانظر: النهاية في غريب الحديث، 4/198-199.</w:t>
      </w:r>
    </w:p>
  </w:footnote>
  <w:footnote w:id="6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وردت في نهاية السطر الثالث وبداية الرابع من (جـ).</w:t>
      </w:r>
    </w:p>
  </w:footnote>
  <w:footnote w:id="684">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أخرجه الإمام أحمد بلفظه، 5/431، وبنحوه، 5/431؛ والنسائي (في المجتبى) بنحوه، كتاب الجنائز، باب مواراة الشهيد في دمه، 4/78، ح2002، وكتاب الجهاد، باب من كَلُمَ في سبيل الله عزوجل، 6/29، ح3148. </w:t>
      </w:r>
    </w:p>
    <w:p w:rsidR="00035BE3" w:rsidRDefault="00035BE3" w:rsidP="00C10469">
      <w:pPr>
        <w:pStyle w:val="a6"/>
        <w:ind w:left="422" w:firstLine="0"/>
        <w:rPr>
          <w:rtl/>
        </w:rPr>
      </w:pPr>
      <w:r>
        <w:rPr>
          <w:rFonts w:hint="cs"/>
          <w:rtl/>
        </w:rPr>
        <w:t xml:space="preserve">جميعهم من حديث عبد الله بن ثعلبة. </w:t>
      </w:r>
    </w:p>
    <w:p w:rsidR="00035BE3" w:rsidRDefault="00035BE3" w:rsidP="00C10469">
      <w:pPr>
        <w:pStyle w:val="a6"/>
        <w:ind w:left="422" w:firstLine="0"/>
        <w:rPr>
          <w:rtl/>
        </w:rPr>
      </w:pPr>
      <w:r>
        <w:rPr>
          <w:rFonts w:hint="cs"/>
          <w:rtl/>
        </w:rPr>
        <w:t>وصححه الألباني في صحيح الجامع، 1/668، ح3573.</w:t>
      </w:r>
    </w:p>
    <w:p w:rsidR="00035BE3" w:rsidRDefault="00035BE3" w:rsidP="00C10469">
      <w:pPr>
        <w:pStyle w:val="a6"/>
        <w:ind w:left="422" w:firstLine="0"/>
        <w:rPr>
          <w:rtl/>
        </w:rPr>
      </w:pPr>
      <w:r>
        <w:rPr>
          <w:rFonts w:hint="cs"/>
          <w:rtl/>
        </w:rPr>
        <w:t xml:space="preserve">وله شاهد بمعناه من حديث جابر بن عبد الله </w:t>
      </w:r>
      <w:r>
        <w:rPr>
          <w:rFonts w:ascii="AGA Arabesque" w:hAnsi="AGA Arabesque"/>
          <w:sz w:val="36"/>
          <w:szCs w:val="36"/>
        </w:rPr>
        <w:t></w:t>
      </w:r>
      <w:r>
        <w:rPr>
          <w:rFonts w:hint="cs"/>
          <w:rtl/>
        </w:rPr>
        <w:t>، أخرجه البخاري، كتاب الجنائز، باب الصلاة على الشهيد، 1/450-451، ح 1278، وباب دفن الرجلين والثلاثة في قبر، 1/451، ج1280، وباب من لم يَرَ غسل الشهداء، 1/451، ح1281، وباب من يُقَدَّم في اللحد، 1/452، ج1282-1283، وباب هل يخرج الميت من القبر واللحد لعلةٍ ؟ ، 1/453-454، ح1286-1287، وباب اللحد والشق في القبر، 1/454، ح1288، وكتاب المغازي، بـاب مـن قُتل من المسلمين يوم أحد، 4/1497، ح3851.</w:t>
      </w:r>
    </w:p>
  </w:footnote>
  <w:footnote w:id="6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يشير بذلك إلى قاعدة سيأتي الحديث عنها استقلالاً، وهي : «ما ثـبت على خلافِ القياسِ: فغيره لا يقاسُ عليه»، وذلك ص1030 (ل93/ب)، قاعدة 221.</w:t>
      </w:r>
    </w:p>
  </w:footnote>
  <w:footnote w:id="6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A24D21">
        <w:rPr>
          <w:rFonts w:hint="cs"/>
          <w:spacing w:val="-4"/>
          <w:rtl/>
        </w:rPr>
        <w:t xml:space="preserve">وردت هذه القاعدة بهذا اللفظ في عدة كتب من </w:t>
      </w:r>
      <w:r w:rsidRPr="00A24D21">
        <w:rPr>
          <w:rFonts w:hint="cs"/>
          <w:b/>
          <w:bCs/>
          <w:spacing w:val="-4"/>
          <w:rtl/>
        </w:rPr>
        <w:t>كتب القواعد الفقهية</w:t>
      </w:r>
      <w:r w:rsidRPr="00A24D21">
        <w:rPr>
          <w:rFonts w:hint="cs"/>
          <w:spacing w:val="-4"/>
          <w:rtl/>
        </w:rPr>
        <w:t xml:space="preserve"> </w:t>
      </w:r>
      <w:r w:rsidRPr="00A24D21">
        <w:rPr>
          <w:rFonts w:hint="cs"/>
          <w:b/>
          <w:bCs/>
          <w:spacing w:val="-4"/>
          <w:rtl/>
        </w:rPr>
        <w:t>عند الحنفية</w:t>
      </w:r>
      <w:r w:rsidRPr="00A24D21">
        <w:rPr>
          <w:rFonts w:hint="cs"/>
          <w:spacing w:val="-4"/>
          <w:rtl/>
        </w:rPr>
        <w:t>، من هذه الكتب:</w:t>
      </w:r>
    </w:p>
    <w:p w:rsidR="00035BE3" w:rsidRPr="00A24D21" w:rsidRDefault="00035BE3" w:rsidP="00C10469">
      <w:pPr>
        <w:pStyle w:val="a6"/>
        <w:spacing w:line="420" w:lineRule="exact"/>
        <w:ind w:left="422" w:firstLine="0"/>
        <w:rPr>
          <w:spacing w:val="-6"/>
          <w:rtl/>
        </w:rPr>
      </w:pPr>
      <w:r>
        <w:rPr>
          <w:rFonts w:hint="cs"/>
          <w:rtl/>
        </w:rPr>
        <w:t xml:space="preserve">مجامع الحقائق (الخاتمة)، ص44؛ شرح العلائي لقواعد الخادمي، ل11/أ؛ منافع الدقائق، ص311؛ مجلة الأحكام العدلية، مادة24؛ شرحها لسليم رستم، 1/30-31؛ وشرحها لعلي حيدر، 1/35؛ وشرحها للأتاسي، 1/61-63؛ وشرح قواعدها الفقهية للزرقا، ص191-194؛ قواعد الفقه للمجدِّدي، ص57، قاعدة 22؛ المدخل الفقهي العام، 1/309، فقرة 143، و2/1012، فقرة626؛ القواعد الفقهية للدكتور الندوي، ص390؛ الـقواعد والضوابط المستخـلصة من التحرير له أيـضًا، ص498، وأحال إلى التحرير، 4/893- إلا أنها وردت فيهما بلفظ: «يتخلف </w:t>
      </w:r>
      <w:r w:rsidRPr="00A24D21">
        <w:rPr>
          <w:rFonts w:hint="cs"/>
          <w:spacing w:val="-6"/>
          <w:rtl/>
        </w:rPr>
        <w:t>الحكم لمانع، وعند ارتفاعه يعمل المُوجِِب»-؛ موسوعة القواعد الفقهية، 1/316؛ المبادئ الفقهية، ص22؛ القواعد الفقهية للدعاس، ص76-77، قاعـدة 55؛ القواعد الفقهية للدكتور الزحيلي، ص78-79.</w:t>
      </w:r>
    </w:p>
    <w:p w:rsidR="00035BE3" w:rsidRDefault="00035BE3" w:rsidP="00C10469">
      <w:pPr>
        <w:pStyle w:val="a6"/>
        <w:ind w:left="422" w:firstLine="0"/>
        <w:rPr>
          <w:rtl/>
        </w:rPr>
      </w:pPr>
      <w:r>
        <w:rPr>
          <w:rFonts w:hint="cs"/>
          <w:rtl/>
        </w:rPr>
        <w:t xml:space="preserve">ووردت أيضًا بلفظها أو معناها في بعض </w:t>
      </w:r>
      <w:r>
        <w:rPr>
          <w:rFonts w:hint="cs"/>
          <w:b/>
          <w:bCs/>
          <w:rtl/>
        </w:rPr>
        <w:t>كتب الفقه</w:t>
      </w:r>
      <w:r>
        <w:rPr>
          <w:rFonts w:hint="cs"/>
          <w:rtl/>
        </w:rPr>
        <w:t>، منها :</w:t>
      </w:r>
    </w:p>
    <w:p w:rsidR="00035BE3" w:rsidRDefault="00035BE3" w:rsidP="00C10469">
      <w:pPr>
        <w:pStyle w:val="a6"/>
        <w:ind w:left="422" w:firstLine="0"/>
        <w:rPr>
          <w:spacing w:val="-6"/>
          <w:rtl/>
        </w:rPr>
      </w:pPr>
      <w:r>
        <w:rPr>
          <w:rFonts w:hint="cs"/>
          <w:spacing w:val="-6"/>
          <w:rtl/>
        </w:rPr>
        <w:t>بدائع الصنائع، 3/136، 203، 208؛ المغني، 11/28؛ المبدع، 3/87؛ المبسوط، 12/87؛ الدرر شرح الغرر، 1/411، 2/162، 166، 224، 256؛ تكملة البحر الرائق، 8/85؛ حاشية الدسوقي، 1/481.</w:t>
      </w:r>
    </w:p>
    <w:p w:rsidR="00035BE3" w:rsidRDefault="00035BE3" w:rsidP="00C10469">
      <w:pPr>
        <w:pStyle w:val="a6"/>
        <w:ind w:left="422" w:firstLine="0"/>
        <w:rPr>
          <w:rtl/>
        </w:rPr>
      </w:pPr>
      <w:r>
        <w:rPr>
          <w:rFonts w:hint="cs"/>
          <w:b/>
          <w:bCs/>
          <w:rtl/>
        </w:rPr>
        <w:t>وهناك قاعدة أخرى</w:t>
      </w:r>
      <w:r>
        <w:rPr>
          <w:rFonts w:hint="cs"/>
          <w:rtl/>
        </w:rPr>
        <w:t xml:space="preserve"> -مشهورة- تؤدي عكس معنى هذه القاعدة وهي : «ما جاز لعذر بطل بزواله»؛ إذ إن تلك أفادت : حكم ما امتنـع لـسبب، ثم زال هذا السببُ الـمـانعُ، وهذه أفادت حكم ما جاز بسبب، ثم زال هذا السبب المجيز.</w:t>
      </w:r>
    </w:p>
    <w:p w:rsidR="00035BE3" w:rsidRDefault="00035BE3" w:rsidP="00C10469">
      <w:pPr>
        <w:pStyle w:val="a6"/>
        <w:ind w:left="422" w:firstLine="0"/>
        <w:rPr>
          <w:rtl/>
        </w:rPr>
      </w:pPr>
      <w:r>
        <w:rPr>
          <w:rFonts w:hint="cs"/>
          <w:rtl/>
        </w:rPr>
        <w:t>انظر : شرح القواعد الفقهية للزرقا، ص191؛ القواعد الفقهية للدكتور الندوي، ص390.</w:t>
      </w:r>
    </w:p>
    <w:p w:rsidR="00035BE3" w:rsidRDefault="00035BE3" w:rsidP="00C10469">
      <w:pPr>
        <w:pStyle w:val="a6"/>
        <w:ind w:left="422" w:firstLine="0"/>
        <w:rPr>
          <w:spacing w:val="-6"/>
          <w:rtl/>
        </w:rPr>
      </w:pPr>
      <w:r>
        <w:rPr>
          <w:rFonts w:hint="cs"/>
          <w:spacing w:val="-6"/>
          <w:rtl/>
        </w:rPr>
        <w:t xml:space="preserve">وللتوسع في القاعدة الثانية انظر : الأشباه والنظائر للسيوطي، 1/214؛ ولابن نجيم، ص108؛ الفرائد البهية وشرحيها: الأقمار المضيئة، ص121؛ والمواهب السنية وحاشيتها: الفوائد الجنية، 1/277؛ مجلة الأحكام العدلية، مادة 23؛ شرح القواعد الفقهية للزرقا، ص189-190؛ المدخل </w:t>
      </w:r>
      <w:r>
        <w:rPr>
          <w:rFonts w:hint="cs"/>
          <w:spacing w:val="-8"/>
          <w:rtl/>
        </w:rPr>
        <w:t>الفقهي العام، 2/1013، فقرة 627؛</w:t>
      </w:r>
      <w:r>
        <w:rPr>
          <w:rFonts w:hint="cs"/>
          <w:spacing w:val="-6"/>
          <w:rtl/>
        </w:rPr>
        <w:t xml:space="preserve"> المبادئ الفقهية، ص22؛ القواعد الفقهية للدعاس، ص77، قاعدة 56؛ وللدكتور الزحيلي، ص79.</w:t>
      </w:r>
    </w:p>
  </w:footnote>
  <w:footnote w:id="6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(أ)، وفي باقي النسخ : «حدث». وهذه الكلمة تمثِّل نهاية ل5/أ من (ب).</w:t>
      </w:r>
    </w:p>
  </w:footnote>
  <w:footnote w:id="6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الدّرر شرح الغرر، 2/166؛ علمًا بأن أكثر كتب القواعد الآنف ذكرها - في بداية توثيق القاعدة - مثَّلث بهذا المثال. كما أن المؤلف سيذكر هذا المثال بصيغة أخرى، ص653 (ل47/أ).</w:t>
      </w:r>
    </w:p>
  </w:footnote>
  <w:footnote w:id="6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5/ب من (د).</w:t>
      </w:r>
    </w:p>
  </w:footnote>
  <w:footnote w:id="6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ص426 (ل23/أ)، قاعدة 53.</w:t>
      </w:r>
    </w:p>
  </w:footnote>
  <w:footnote w:id="691">
    <w:p w:rsidR="00035BE3" w:rsidRDefault="00035BE3" w:rsidP="00C10469">
      <w:pPr>
        <w:pStyle w:val="a8"/>
        <w:bidi/>
        <w:spacing w:line="228" w:lineRule="auto"/>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 والمسبب ».</w:t>
      </w:r>
    </w:p>
  </w:footnote>
  <w:footnote w:id="692">
    <w:p w:rsidR="00035BE3" w:rsidRDefault="00035BE3" w:rsidP="00C10469">
      <w:pPr>
        <w:pStyle w:val="a8"/>
        <w:bidi/>
        <w:spacing w:line="228" w:lineRule="auto"/>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7/أ من (أ).</w:t>
      </w:r>
    </w:p>
  </w:footnote>
  <w:footnote w:id="693">
    <w:p w:rsidR="00035BE3" w:rsidRDefault="00035BE3" w:rsidP="00C10469">
      <w:pPr>
        <w:pStyle w:val="a8"/>
        <w:bidi/>
        <w:spacing w:line="228" w:lineRule="auto"/>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 :</w:t>
      </w:r>
      <w:r>
        <w:rPr>
          <w:rFonts w:hint="cs"/>
          <w:rtl/>
        </w:rPr>
        <w:t xml:space="preserve"> </w:t>
      </w:r>
    </w:p>
    <w:p w:rsidR="00035BE3" w:rsidRDefault="00035BE3" w:rsidP="00C10469">
      <w:pPr>
        <w:pStyle w:val="a6"/>
        <w:spacing w:line="228" w:lineRule="auto"/>
        <w:ind w:left="366" w:firstLine="0"/>
        <w:rPr>
          <w:rtl/>
        </w:rPr>
      </w:pPr>
      <w:r>
        <w:rPr>
          <w:rFonts w:hint="cs"/>
          <w:rtl/>
        </w:rPr>
        <w:t>هذه القاعدة ورد فيها لفظا: المباشر والمتسبب، وقد بينهما ووضح معنى القاعدة طاهر الأتاسي في شرحه للمجلة-1/249- فقال: «</w:t>
      </w:r>
      <w:r>
        <w:rPr>
          <w:rFonts w:hint="cs"/>
          <w:b/>
          <w:bCs/>
          <w:rtl/>
        </w:rPr>
        <w:t>المباشر</w:t>
      </w:r>
      <w:r>
        <w:rPr>
          <w:rFonts w:hint="cs"/>
          <w:rtl/>
        </w:rPr>
        <w:t xml:space="preserve"> : هو الذي حصل التلف -مثلاً- بفعله بلا واسطة، فكان هو صاحب العلة، يضاف إليه التلف.</w:t>
      </w:r>
    </w:p>
    <w:p w:rsidR="00035BE3" w:rsidRDefault="00035BE3" w:rsidP="00C10469">
      <w:pPr>
        <w:pStyle w:val="a6"/>
        <w:spacing w:line="228" w:lineRule="auto"/>
        <w:ind w:left="366" w:firstLine="0"/>
        <w:rPr>
          <w:rtl/>
        </w:rPr>
      </w:pPr>
      <w:r>
        <w:rPr>
          <w:rFonts w:hint="cs"/>
          <w:b/>
          <w:bCs/>
          <w:rtl/>
        </w:rPr>
        <w:t>والمتسبِّب</w:t>
      </w:r>
      <w:r>
        <w:rPr>
          <w:rFonts w:hint="cs"/>
          <w:rtl/>
        </w:rPr>
        <w:t xml:space="preserve"> : ما حصل التلف لا بمباشرته وفعله؛ بل بواسطة هي العلة لحصول المعلول، وهي فعل فاعل مختار، وأما فعله فلا تأثير له سوى أنه مفضٍ إليه. فإذا اجتمعا ... يضاف الحكم إلى المباشر؛ لأنه صاحب العلة، وهي أقوى».</w:t>
      </w:r>
    </w:p>
    <w:p w:rsidR="00035BE3" w:rsidRDefault="00035BE3" w:rsidP="00C10469">
      <w:pPr>
        <w:pStyle w:val="a6"/>
        <w:spacing w:line="228" w:lineRule="auto"/>
        <w:ind w:left="366" w:firstLine="0"/>
        <w:rPr>
          <w:b/>
          <w:bCs/>
          <w:rtl/>
        </w:rPr>
      </w:pPr>
      <w:r>
        <w:rPr>
          <w:rFonts w:hint="cs"/>
          <w:b/>
          <w:bCs/>
          <w:rtl/>
        </w:rPr>
        <w:t>أما توثيقها :</w:t>
      </w:r>
    </w:p>
    <w:p w:rsidR="00035BE3" w:rsidRDefault="00035BE3" w:rsidP="00C10469">
      <w:pPr>
        <w:pStyle w:val="a6"/>
        <w:spacing w:line="228" w:lineRule="auto"/>
        <w:ind w:left="366" w:firstLine="0"/>
        <w:rPr>
          <w:rtl/>
        </w:rPr>
      </w:pPr>
      <w:r>
        <w:rPr>
          <w:rFonts w:hint="cs"/>
          <w:rtl/>
        </w:rPr>
        <w:t xml:space="preserve">فقد وردت هذه القاعدة بهذا اللفظ وبألفاظ أخرى مقاربة له في كثير من </w:t>
      </w:r>
      <w:r>
        <w:rPr>
          <w:rFonts w:hint="cs"/>
          <w:b/>
          <w:bCs/>
          <w:rtl/>
        </w:rPr>
        <w:t xml:space="preserve">كتب القواعد، </w:t>
      </w:r>
      <w:r>
        <w:rPr>
          <w:rFonts w:hint="cs"/>
          <w:rtl/>
        </w:rPr>
        <w:t>منها :</w:t>
      </w:r>
    </w:p>
    <w:p w:rsidR="00035BE3" w:rsidRDefault="00035BE3" w:rsidP="00C10469">
      <w:pPr>
        <w:pStyle w:val="a6"/>
        <w:spacing w:line="228" w:lineRule="auto"/>
        <w:ind w:left="366" w:firstLine="0"/>
        <w:rPr>
          <w:rtl/>
        </w:rPr>
      </w:pPr>
      <w:r>
        <w:rPr>
          <w:rFonts w:hint="cs"/>
          <w:rtl/>
        </w:rPr>
        <w:t>أنوار البروق في أنواء الفروق، 4/28 - ولفظه : «... بأنه إذا اجتمع التسبب والمباشرة: اعتبرت المباشرة دونه ...»؛ وانظر منه 2/208؛ ترتيب الفروق للبقوري، 2/190، 191؛ تقرير القواعد لابن رجب، 2/597، قاعدة 127- ولفظه : «إذا اسـتـنـد إتـلاف أمـوال الآدميين ونفوسهم إلى مباشرة وسبب تعلق الضمان بالمباشرة دون السبب ...»-؛ المـنـثور للزركشي، 1/133-136- ولفظه : «إذا اجتمع السبب والمباشر أو الغرور والمباشرة: قدمت المباشرة»-؛ الأشباه والنظائر للسيوطي، 1/350-351- ولفظه قريب من المنـثور-؛ ولابن نجيم، ص187-188- ولفظه مطابق للفظ المؤلف -؛ الفوائد الزينية له أيضًا، ص93-94، فائدة 89 - ولفظه : «المتسبب لاضمان عليه مع المباشرة» -؛ الفرائد البهية وشرحاها : الأقمار المضيئة، ص242-244؛ والمواهب السنية وحاشية المواهب : الفوائد الجنية، 2/356-364 - ولفظ الفرائد:</w:t>
      </w:r>
    </w:p>
    <w:p w:rsidR="00035BE3" w:rsidRDefault="00035BE3" w:rsidP="00C10469">
      <w:pPr>
        <w:pStyle w:val="a6"/>
        <w:spacing w:line="228" w:lineRule="auto"/>
        <w:ind w:left="366" w:hanging="425"/>
        <w:jc w:val="center"/>
        <w:rPr>
          <w:b/>
          <w:bCs/>
          <w:rtl/>
        </w:rPr>
      </w:pPr>
      <w:r>
        <w:rPr>
          <w:rFonts w:hint="cs"/>
          <w:b/>
          <w:bCs/>
          <w:rtl/>
        </w:rPr>
        <w:t>« وحيـثـما السـبـب والمبـاشـرة        اجـتـمـعا فـقـدّمَـنَّ الآخــرة » -؛</w:t>
      </w:r>
    </w:p>
    <w:p w:rsidR="00035BE3" w:rsidRDefault="00035BE3" w:rsidP="00C10469">
      <w:pPr>
        <w:pStyle w:val="a6"/>
        <w:spacing w:line="216" w:lineRule="auto"/>
        <w:ind w:left="369" w:firstLine="0"/>
        <w:jc w:val="mediumKashida"/>
        <w:rPr>
          <w:rtl/>
        </w:rPr>
      </w:pPr>
      <w:r w:rsidRPr="00946C19">
        <w:rPr>
          <w:rFonts w:hint="cs"/>
          <w:rtl/>
        </w:rPr>
        <w:t>مجامع الحقائق (الخـاتمة)، ص44- ولفـظه مطابق للـفظ المـؤلف-؛ شرح العلائي لقواعد الخادمي، ل4/ب-5/أ؛ منافع الدقائق، ص308؛ الفرائد البهية للحمزاوي، ص131، قاعدة 169- ولف</w:t>
      </w:r>
      <w:r>
        <w:rPr>
          <w:rFonts w:hint="cs"/>
          <w:rtl/>
        </w:rPr>
        <w:t>ظه: «إذا اجتمع المباشر والمسبب</w:t>
      </w:r>
      <w:r w:rsidRPr="00946C19">
        <w:rPr>
          <w:rFonts w:hint="cs"/>
          <w:rtl/>
        </w:rPr>
        <w:t xml:space="preserve">: قدم المباشر في الضمان»-؛ </w:t>
      </w:r>
      <w:r w:rsidRPr="000719A2">
        <w:rPr>
          <w:rFonts w:hint="cs"/>
          <w:spacing w:val="-4"/>
          <w:rtl/>
        </w:rPr>
        <w:t>مجلة الأحكام العدلية، مادة 90 - وجاء فيها: (يضاف) وليس (أضيف)-؛ شرحها لسليم</w:t>
      </w:r>
      <w:r w:rsidRPr="00CF5297">
        <w:rPr>
          <w:rFonts w:hint="cs"/>
          <w:rtl/>
        </w:rPr>
        <w:t xml:space="preserve"> </w:t>
      </w:r>
      <w:r w:rsidRPr="000719A2">
        <w:rPr>
          <w:rFonts w:hint="cs"/>
          <w:rtl/>
        </w:rPr>
        <w:t xml:space="preserve">رستم، 1/59؛ ولعلي حيـدر، 1/80-81؛ وللأتـاسي، 1/249-251؛ وشرح </w:t>
      </w:r>
      <w:r>
        <w:rPr>
          <w:rtl/>
        </w:rPr>
        <w:br/>
      </w:r>
    </w:p>
    <w:p w:rsidR="00035BE3" w:rsidRPr="00EB31E0" w:rsidRDefault="00035BE3" w:rsidP="00C10469">
      <w:pPr>
        <w:pStyle w:val="a6"/>
        <w:spacing w:line="216" w:lineRule="auto"/>
        <w:ind w:left="369" w:firstLine="0"/>
        <w:jc w:val="mediumKashida"/>
        <w:rPr>
          <w:rtl/>
        </w:rPr>
      </w:pPr>
      <w:r>
        <w:rPr>
          <w:rFonts w:hint="cs"/>
          <w:rtl/>
        </w:rPr>
        <w:t xml:space="preserve"> </w:t>
      </w:r>
      <w:r w:rsidRPr="000719A2">
        <w:rPr>
          <w:rFonts w:hint="cs"/>
          <w:rtl/>
        </w:rPr>
        <w:t>قواعدها</w:t>
      </w:r>
      <w:r w:rsidRPr="00EB31E0">
        <w:rPr>
          <w:rFonts w:hint="cs"/>
          <w:rtl/>
        </w:rPr>
        <w:t xml:space="preserve"> للزرقا، ص447-448؛ مجلة الأحكام الشرعية للقاري، ص99، مادة 127 - ولفظه مطابق للفظ قواعد ابن رجب-؛ قواعد الفقه للمجدِّدي، ص56، قاعدة 15؛ المدخل الفقهي العام، 2/1047، فقرة 659 - ولفظهما مطابق للمجلة العدلية-؛ القواعد والضوابط المستخلصة، ص157- ولفظه : «... أن المباشر للإتلاف مع المسبِّب إذا اجتمعا، وهما جانيان : فإنه يجب الضمان على المباشر» - وأحال إلى شرح الجامع الكبير لخواهرزاده، ل58/ب؛ القواعد الفقهية للدكتور الندوي، ص114، 177، 336، 385، -ولفظه الأخير كلفظ المجلة-؛ موسوعة القواعد الفقهية، 1/224-225- وقد ذكرها بألفاظ مختلفة منها لفظ المؤلف-؛ قواعد الفقه الإسلامي من خلال كتاب الإشراف للروكي، ص161، 230-231، وأحال إلى الإشراف، 2/295؛ المبادئ الفقهية، ص52؛ القواعد الفقهية للدعاس، ص104، قاعدة 88؛ وللدكتور الزحيلي، ص88- ولفظ الثلاثة مطابق للمجلة العدلية -.</w:t>
      </w:r>
    </w:p>
    <w:p w:rsidR="00035BE3" w:rsidRDefault="00035BE3" w:rsidP="00C10469">
      <w:pPr>
        <w:pStyle w:val="a6"/>
        <w:spacing w:line="216" w:lineRule="auto"/>
        <w:ind w:left="369" w:firstLine="0"/>
        <w:rPr>
          <w:b/>
          <w:bCs/>
          <w:rtl/>
        </w:rPr>
      </w:pPr>
      <w:r>
        <w:rPr>
          <w:rFonts w:hint="cs"/>
          <w:b/>
          <w:bCs/>
          <w:rtl/>
        </w:rPr>
        <w:t xml:space="preserve">ووردت أيضًا بألفاظ متقاربة في كتب أخرى منها : </w:t>
      </w:r>
    </w:p>
    <w:p w:rsidR="00035BE3" w:rsidRDefault="00035BE3" w:rsidP="00C10469">
      <w:pPr>
        <w:pStyle w:val="a6"/>
        <w:spacing w:line="216" w:lineRule="auto"/>
        <w:ind w:left="369" w:firstLine="0"/>
        <w:rPr>
          <w:rtl/>
        </w:rPr>
      </w:pPr>
      <w:r>
        <w:rPr>
          <w:rFonts w:hint="cs"/>
          <w:rtl/>
        </w:rPr>
        <w:t xml:space="preserve">معالم السنن للخطابي، 6/309؛ الهداية والعناية ونتائج الأفكار، 10/328؛ والعناية، 7/481؛ فتاوى قاضي خان، 3/222؛ إعلام الموقعين، 2/65؛ مجمـع الضـمانات، ص146؛ الفتاوي الخيرية، 2/196؛ الفعل الضار والضمان فيه للزرقا، ص73. </w:t>
      </w:r>
    </w:p>
    <w:p w:rsidR="00035BE3" w:rsidRDefault="00035BE3" w:rsidP="00C10469">
      <w:pPr>
        <w:pStyle w:val="a6"/>
        <w:spacing w:line="216" w:lineRule="auto"/>
        <w:ind w:left="369" w:firstLine="0"/>
        <w:rPr>
          <w:rtl/>
        </w:rPr>
      </w:pPr>
      <w:r>
        <w:rPr>
          <w:rFonts w:hint="cs"/>
          <w:rtl/>
        </w:rPr>
        <w:t xml:space="preserve">ولم تكن </w:t>
      </w:r>
      <w:r>
        <w:rPr>
          <w:rFonts w:hint="cs"/>
          <w:b/>
          <w:bCs/>
          <w:rtl/>
        </w:rPr>
        <w:t>كتب الأصول</w:t>
      </w:r>
      <w:r>
        <w:rPr>
          <w:rFonts w:hint="cs"/>
          <w:rtl/>
        </w:rPr>
        <w:t xml:space="preserve"> بمعزل عنها؛ بل تطرقوا لها عند حديثهم عن السبب والعلة أو تكليف المكره.. فانظر : أصول السرخسي، 2/306-310؛ المستصفى، 1/94؛ روضة الناظر، 1/246؛ كشف الأسرار للبخاري، 4/649؛ شرح مختصر الروضة، 1/426-427. </w:t>
      </w:r>
    </w:p>
  </w:footnote>
  <w:footnote w:id="694">
    <w:p w:rsidR="00035BE3" w:rsidRDefault="00035BE3" w:rsidP="00C10469">
      <w:pPr>
        <w:pStyle w:val="a8"/>
        <w:bidi/>
        <w:spacing w:line="216" w:lineRule="auto"/>
        <w:ind w:left="369"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ص187؛ وانظر : فتاوى قاضي خان، 3/222؛ تقرير القواعد لابن رجب، 2/598؛ الأشباه والنظائر للسيوطي، 1/350؛ الفرائد البهية للحمزاوي، ص131؛ مجلة الأحكام العدلية، مادة 90؛ وشرحها لسليم رستم، 1/59؛ ولعلي حيدر، 1/80؛ وللأتاسي، 1/349؛ المدخل الفقهي العام، 2/1047، فقرة 659.</w:t>
      </w:r>
    </w:p>
  </w:footnote>
  <w:footnote w:id="695">
    <w:p w:rsidR="00035BE3" w:rsidRDefault="00035BE3" w:rsidP="00C10469">
      <w:pPr>
        <w:pStyle w:val="a8"/>
        <w:bidi/>
        <w:spacing w:line="216" w:lineRule="auto"/>
        <w:ind w:left="369"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«مالٍ إنسانًا».</w:t>
      </w:r>
    </w:p>
  </w:footnote>
  <w:footnote w:id="696">
    <w:p w:rsidR="00035BE3" w:rsidRPr="003C766B" w:rsidRDefault="00035BE3" w:rsidP="00C10469">
      <w:pPr>
        <w:pStyle w:val="a8"/>
        <w:bidi/>
        <w:ind w:left="368" w:right="0" w:hanging="425"/>
        <w:rPr>
          <w:spacing w:val="-6"/>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3C766B">
        <w:rPr>
          <w:rFonts w:hint="cs"/>
          <w:spacing w:val="-6"/>
          <w:rtl/>
        </w:rPr>
        <w:t>الأشباه والنظائر لابن نجيم، ص187؛ وانظر : أصول السرخسي، 2/307؛ درر الحكام شرح مجلة الأحكام لعلي حيدر، 1/81؛ شرح القواعد الفقهية للزرقا، ص448؛ المدخل الفقهي العام، 2/1047، فقرة 659.</w:t>
      </w:r>
    </w:p>
  </w:footnote>
  <w:footnote w:id="697">
    <w:p w:rsidR="00035BE3" w:rsidRDefault="00035BE3" w:rsidP="00C10469">
      <w:pPr>
        <w:pStyle w:val="a8"/>
        <w:bidi/>
        <w:spacing w:line="216" w:lineRule="auto"/>
        <w:ind w:left="368" w:right="0" w:hanging="425"/>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w:t>
      </w:r>
      <w:r w:rsidRPr="00432495">
        <w:rPr>
          <w:rFonts w:hint="cs"/>
          <w:spacing w:val="-6"/>
          <w:rtl/>
        </w:rPr>
        <w:t>انظر: الأشباه والنظائر لابن نجيم، ص187؛ شرح المجلة لسليم رستم، 1/59؛ ولعـلي حـيدر، 1/81، وللآتاسي، 1/250؛ شرح قواعدها الفقهية للزرقا، ص448؛ المدخل الفقهي الـعام، 2/1048، فقرة</w:t>
      </w:r>
      <w:r>
        <w:rPr>
          <w:rFonts w:hint="cs"/>
          <w:spacing w:val="-2"/>
          <w:rtl/>
        </w:rPr>
        <w:t xml:space="preserve"> 659؛ كما ورد هذا الفرع في المنثور في القواعد -1/134-، إلا أنه خالف في حكمه فلم يستثنه من القاعدة، حيث قال: «ولو دلَّ المودَعُ على الوديعة سارقًا، فأخذها : لا يكـون قرار الضـمان عليه؛ لأن الـدلالة سبب والأخذ مباشرة». كما ورد في تقرير القواعـد لابن رجـب - 2/607 - وصُرِّح فيه بايجاب الضمان على السـارق والمودَع معًا، كما صٌرِّح بذلك في المدخل الفقهي العام.</w:t>
      </w:r>
    </w:p>
  </w:footnote>
  <w:footnote w:id="698">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«ولي». وهو الموافق لمصدر هذه العبارة وهو أشباه ابن نجيم، وهذا المثال سيذكره المؤلف ص537 (ل36/أ )، وقد اتـفـقت النسخ هناك على أن الكلمة : (ولي) إلا نسخة (جـ) حيث جاء فيها (ول).</w:t>
      </w:r>
    </w:p>
  </w:footnote>
  <w:footnote w:id="699">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جاء في مصدر هذه العبارة (وهو أشباه ابن نجيم) : «... إلى صبي سكينًا أو سلاحًا ليمسكه، فقتل به نفسه» بزيادة (سلاحًا) وعود الضمير المذكَّر إليه في قوله : (ليمسكه) و(به).</w:t>
      </w:r>
    </w:p>
    <w:p w:rsidR="00035BE3" w:rsidRDefault="00035BE3" w:rsidP="00C10469">
      <w:pPr>
        <w:pStyle w:val="a6"/>
        <w:ind w:left="366" w:firstLine="0"/>
        <w:rPr>
          <w:spacing w:val="-2"/>
          <w:rtl/>
        </w:rPr>
      </w:pPr>
      <w:r>
        <w:rPr>
          <w:rFonts w:hint="cs"/>
          <w:spacing w:val="-2"/>
          <w:rtl/>
        </w:rPr>
        <w:t>ويمكن الاستفادة ممّا في أشباه ابن نجيم في تأويل الضمير المذكّر بأنه يعود إلى سلاح السكين، أي : (ولا ضـمان على مـن دفـع إلى صبيٍّ سلاح السكين، ليمسك هذا السلاح له، فقتل الصبيُّ بهذا السلاح</w:t>
      </w:r>
      <w:r>
        <w:rPr>
          <w:rFonts w:hint="eastAsia"/>
          <w:spacing w:val="-2"/>
          <w:rtl/>
        </w:rPr>
        <w:t> </w:t>
      </w:r>
      <w:r>
        <w:rPr>
          <w:rFonts w:hint="cs"/>
          <w:spacing w:val="-2"/>
          <w:rtl/>
        </w:rPr>
        <w:t>نفسَه).</w:t>
      </w:r>
    </w:p>
  </w:footnote>
  <w:footnote w:id="700">
    <w:p w:rsidR="00035BE3" w:rsidRDefault="00035BE3" w:rsidP="00C10469">
      <w:pPr>
        <w:pStyle w:val="a8"/>
        <w:bidi/>
        <w:spacing w:line="400" w:lineRule="exact"/>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الفرعين الأخيرين في : أصول السرخسي، 2/307، 309؛ الأشباه والنظائر لابن نجيم، ص187؛ وانظر الفرع الثاني منهما في : شرح القواعد الفقهية للزرقا، ص448.</w:t>
      </w:r>
    </w:p>
  </w:footnote>
  <w:footnote w:id="701">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«على».</w:t>
      </w:r>
    </w:p>
  </w:footnote>
  <w:footnote w:id="702">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فوقع عليه سلاحُ السكين.</w:t>
      </w:r>
    </w:p>
  </w:footnote>
  <w:footnote w:id="703">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وممن استثنى هذا الفرع : ابن نجيم في أشباهه، ص187، إلا أنه قال : فوقعت عليه فجرحته.</w:t>
      </w:r>
    </w:p>
    <w:p w:rsidR="00035BE3" w:rsidRDefault="00035BE3" w:rsidP="00C10469">
      <w:pPr>
        <w:pStyle w:val="a6"/>
        <w:ind w:left="366" w:firstLine="0"/>
        <w:rPr>
          <w:rtl/>
        </w:rPr>
      </w:pPr>
      <w:r>
        <w:rPr>
          <w:rFonts w:hint="cs"/>
          <w:rtl/>
        </w:rPr>
        <w:t>وممن تابعه على ذلك : سليم رستم في شرح المجلة، 1/59.</w:t>
      </w:r>
    </w:p>
    <w:p w:rsidR="00035BE3" w:rsidRDefault="00035BE3" w:rsidP="00C10469">
      <w:pPr>
        <w:pStyle w:val="a6"/>
        <w:ind w:left="366" w:firstLine="0"/>
        <w:rPr>
          <w:spacing w:val="-10"/>
          <w:rtl/>
        </w:rPr>
      </w:pPr>
      <w:r>
        <w:rPr>
          <w:rFonts w:hint="cs"/>
          <w:spacing w:val="-10"/>
          <w:rtl/>
        </w:rPr>
        <w:t xml:space="preserve">وقد ذكر محمد بن الحسن مثالاً قريبًا من هذا الفرع المستثنى والذي قبله؛ حيث قال في الجامع الكبير، ص205: «حرٌّ أودع عبدًا سيفًا، فوقع على رجله فعقرها : ضمن الحرّ. وإن فعل العبد ذلك بنفسه: لم يضمن الحرّ».     </w:t>
      </w:r>
    </w:p>
    <w:p w:rsidR="00035BE3" w:rsidRDefault="00035BE3" w:rsidP="00C10469">
      <w:pPr>
        <w:pStyle w:val="a6"/>
        <w:ind w:left="366" w:hanging="425"/>
        <w:rPr>
          <w:rtl/>
        </w:rPr>
      </w:pPr>
    </w:p>
    <w:p w:rsidR="00035BE3" w:rsidRDefault="00035BE3" w:rsidP="00C10469">
      <w:pPr>
        <w:pStyle w:val="a6"/>
        <w:ind w:left="366" w:firstLine="0"/>
        <w:rPr>
          <w:rtl/>
        </w:rPr>
      </w:pPr>
      <w:r>
        <w:rPr>
          <w:rFonts w:hint="cs"/>
          <w:rtl/>
        </w:rPr>
        <w:t>وهما مذكوران أيضًا في أصول السرخسي، 2/309.</w:t>
      </w:r>
    </w:p>
  </w:footnote>
  <w:footnote w:id="704">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«والمسبّب».</w:t>
      </w:r>
    </w:p>
  </w:footnote>
  <w:footnote w:id="705">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هامش (أ) : «الوقوف : أي الاطلاع على حقيقة الأمر».</w:t>
      </w:r>
    </w:p>
  </w:footnote>
  <w:footnote w:id="706">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«على» وهذا هو الأولى.</w:t>
      </w:r>
    </w:p>
  </w:footnote>
  <w:footnote w:id="707">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هامش (أ) : «أي : قتيل بمعنى مقتول».</w:t>
      </w:r>
    </w:p>
  </w:footnote>
  <w:footnote w:id="708">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«يجب». والأفصح ما تمَّ إثباته من (ب).</w:t>
      </w:r>
    </w:p>
  </w:footnote>
  <w:footnote w:id="709">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الـمَحَلَّة في اللغة</w:t>
      </w:r>
      <w:r>
        <w:rPr>
          <w:rFonts w:hint="cs"/>
          <w:rtl/>
        </w:rPr>
        <w:t xml:space="preserve"> : منـزل القوم، والـمُحِلَّة (بكسر الحاء) : تضم بيتًا أو بيتين.</w:t>
      </w:r>
    </w:p>
    <w:p w:rsidR="00035BE3" w:rsidRDefault="00035BE3" w:rsidP="00C10469">
      <w:pPr>
        <w:pStyle w:val="a6"/>
        <w:ind w:left="366" w:firstLine="0"/>
        <w:rPr>
          <w:rtl/>
        </w:rPr>
      </w:pPr>
      <w:r>
        <w:rPr>
          <w:rFonts w:hint="cs"/>
          <w:rtl/>
        </w:rPr>
        <w:t>والمراد هنا : المعنى الأول لمناسبته لاجتماع القوم.</w:t>
      </w:r>
    </w:p>
    <w:p w:rsidR="00035BE3" w:rsidRDefault="00035BE3" w:rsidP="00C10469">
      <w:pPr>
        <w:pStyle w:val="a6"/>
        <w:ind w:left="366" w:firstLine="0"/>
        <w:rPr>
          <w:rtl/>
        </w:rPr>
      </w:pPr>
      <w:r>
        <w:rPr>
          <w:rFonts w:hint="cs"/>
          <w:rtl/>
        </w:rPr>
        <w:t>انظر : لسان العرب، مادة «حلل»، 11/164؛ القاموس المحيط، مادة «حلّ»، ص1274-1275؛ المعجم الوسيط، مادة «حلّ»، 1/194.</w:t>
      </w:r>
    </w:p>
  </w:footnote>
  <w:footnote w:id="710">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6/أ من (جـ).</w:t>
      </w:r>
    </w:p>
  </w:footnote>
  <w:footnote w:id="711">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«المسبّب».</w:t>
      </w:r>
    </w:p>
  </w:footnote>
  <w:footnote w:id="712">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7/ب من (أ).</w:t>
      </w:r>
    </w:p>
  </w:footnote>
  <w:footnote w:id="713">
    <w:p w:rsidR="00035BE3" w:rsidRDefault="00035BE3" w:rsidP="00C10469">
      <w:pPr>
        <w:pStyle w:val="a8"/>
        <w:bidi/>
        <w:ind w:left="366" w:right="0" w:hanging="425"/>
        <w:rPr>
          <w:rtl/>
        </w:rPr>
      </w:pPr>
      <w:r>
        <w:rPr>
          <w:rFonts w:hint="cs"/>
          <w:vertAlign w:val="superscript"/>
          <w:rtl/>
        </w:rPr>
        <w:t>(</w:t>
      </w:r>
      <w:r>
        <w:rPr>
          <w:rStyle w:val="a7"/>
        </w:rPr>
        <w:footnoteRef/>
      </w:r>
      <w:r>
        <w:rPr>
          <w:rFonts w:hint="cs"/>
          <w:vertAlign w:val="superscript"/>
          <w:rtl/>
        </w:rPr>
        <w:t>)</w:t>
      </w:r>
      <w:r>
        <w:rPr>
          <w:rFonts w:hint="cs"/>
          <w:rtl/>
        </w:rPr>
        <w:t xml:space="preserve">   وقد وافق المؤلفَ - في التفريق بين المسألتين - السرْخَسيُّ في أصوله - 2/309 - حيث قال : «ومن السبب المحض : أن يدفع سكينًا إلى صبي، فَيَجَأَ الصبيُّ به نفسَه : فإنه لا يجب على الدافع ضمانٌ، وإن كان فعله بعلة طريق الوصول ولكن قد تخلّل بينه وبين المقصود ما هو علة، وهو غير مضاف إلى السبب الأول، وذلك قتل الصبي به نفسه.</w:t>
      </w:r>
    </w:p>
    <w:p w:rsidR="00035BE3" w:rsidRDefault="00035BE3" w:rsidP="00C10469">
      <w:pPr>
        <w:pStyle w:val="a6"/>
        <w:ind w:left="366" w:firstLine="0"/>
        <w:rPr>
          <w:rtl/>
        </w:rPr>
      </w:pPr>
      <w:r>
        <w:rPr>
          <w:rFonts w:hint="cs"/>
          <w:rtl/>
        </w:rPr>
        <w:t>بخلاف ما إذا سقط من يده على رجله فعقره [أي سقط السلاح من يد الصبي على قدمه فجرحه]؛ لأن السقوط من يده مضاف إلى السبب الأول، وهو مناولته إياه، فكان هذا سببًا في معنى العلة».</w:t>
      </w:r>
    </w:p>
  </w:footnote>
  <w:footnote w:id="7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مفسدتان</w:t>
      </w:r>
      <w:r>
        <w:rPr>
          <w:rFonts w:hint="eastAsia"/>
          <w:rtl/>
        </w:rPr>
        <w:t>»</w:t>
      </w:r>
      <w:r>
        <w:rPr>
          <w:rFonts w:hint="cs"/>
          <w:rtl/>
        </w:rPr>
        <w:t>. وهذا اللفظ أكثر استعمالاً في كتب القواعد.</w:t>
      </w:r>
    </w:p>
  </w:footnote>
  <w:footnote w:id="7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بألفاظ متقاربة في كثير من </w:t>
      </w:r>
      <w:r>
        <w:rPr>
          <w:rFonts w:hint="cs"/>
          <w:b/>
          <w:bCs/>
          <w:rtl/>
        </w:rPr>
        <w:t>كتب القواعد</w:t>
      </w:r>
      <w:r>
        <w:rPr>
          <w:rFonts w:hint="cs"/>
          <w:rtl/>
        </w:rPr>
        <w:t>، منها ما يأتي:</w:t>
      </w:r>
    </w:p>
    <w:p w:rsidR="00035BE3" w:rsidRDefault="00035BE3" w:rsidP="00C10469">
      <w:pPr>
        <w:pStyle w:val="a6"/>
        <w:ind w:left="420" w:firstLine="0"/>
        <w:rPr>
          <w:spacing w:val="6"/>
          <w:rtl/>
        </w:rPr>
      </w:pPr>
      <w:r>
        <w:rPr>
          <w:rFonts w:hint="cs"/>
          <w:spacing w:val="6"/>
          <w:rtl/>
        </w:rPr>
        <w:t xml:space="preserve">قواعد الأحكام لابن عبد السلام، 1/79- ولفظه : </w:t>
      </w:r>
      <w:r>
        <w:rPr>
          <w:rFonts w:hint="eastAsia"/>
          <w:spacing w:val="6"/>
          <w:rtl/>
        </w:rPr>
        <w:t>«</w:t>
      </w:r>
      <w:r>
        <w:rPr>
          <w:rFonts w:hint="cs"/>
          <w:spacing w:val="6"/>
          <w:rtl/>
        </w:rPr>
        <w:t>إذا اجتمعت المفاسد المحضة - فإن أمكن درؤها : درأنا، وإن تعذر درء الجميع : درأنا الأفسد فالأفسد ...</w:t>
      </w:r>
      <w:r>
        <w:rPr>
          <w:rFonts w:hint="eastAsia"/>
          <w:spacing w:val="6"/>
          <w:rtl/>
        </w:rPr>
        <w:t>»</w:t>
      </w:r>
      <w:r>
        <w:rPr>
          <w:rFonts w:hint="cs"/>
          <w:spacing w:val="6"/>
          <w:rtl/>
        </w:rPr>
        <w:t xml:space="preserve">-؛ الـقواعد للمقّري، 2/456-457، قاعدة 212- ولفظه : </w:t>
      </w:r>
      <w:r>
        <w:rPr>
          <w:rFonts w:hint="eastAsia"/>
          <w:spacing w:val="6"/>
          <w:rtl/>
        </w:rPr>
        <w:t>«</w:t>
      </w:r>
      <w:r>
        <w:rPr>
          <w:rFonts w:hint="cs"/>
          <w:spacing w:val="6"/>
          <w:rtl/>
        </w:rPr>
        <w:t>إذا تقابل مكروهان أو محظوران، أو ضرران، ولم يُمـكن الخروجُ عنهما : وجب ارتكابُ أخفّهما، وقد يختلف فيه</w:t>
      </w:r>
      <w:r>
        <w:rPr>
          <w:rFonts w:hint="eastAsia"/>
          <w:spacing w:val="6"/>
          <w:rtl/>
        </w:rPr>
        <w:t>»</w:t>
      </w:r>
      <w:r>
        <w:rPr>
          <w:rFonts w:hint="cs"/>
          <w:spacing w:val="6"/>
          <w:rtl/>
        </w:rPr>
        <w:t xml:space="preserve">-؛ الأشباه والنظائر لابن السبكي، 1/47- فقد ذكرها عرضًا حيث قال: </w:t>
      </w:r>
      <w:r>
        <w:rPr>
          <w:rFonts w:hint="eastAsia"/>
          <w:spacing w:val="6"/>
          <w:rtl/>
        </w:rPr>
        <w:t>«</w:t>
      </w:r>
      <w:r>
        <w:rPr>
          <w:rFonts w:hint="cs"/>
          <w:spacing w:val="6"/>
          <w:rtl/>
        </w:rPr>
        <w:t>... دفع أعظم المفسدتين بأدناهما ...</w:t>
      </w:r>
      <w:r>
        <w:rPr>
          <w:rFonts w:hint="eastAsia"/>
          <w:spacing w:val="6"/>
          <w:rtl/>
        </w:rPr>
        <w:t>»</w:t>
      </w:r>
      <w:r>
        <w:rPr>
          <w:rFonts w:hint="cs"/>
          <w:spacing w:val="6"/>
          <w:rtl/>
        </w:rPr>
        <w:t xml:space="preserve">-؛ المنثور للزركشي، 1/348-350- وقد صدّرها بقوله : </w:t>
      </w:r>
      <w:r>
        <w:rPr>
          <w:rFonts w:hint="eastAsia"/>
          <w:spacing w:val="6"/>
          <w:rtl/>
        </w:rPr>
        <w:t>«</w:t>
      </w:r>
      <w:r>
        <w:rPr>
          <w:rFonts w:hint="cs"/>
          <w:spacing w:val="6"/>
          <w:rtl/>
        </w:rPr>
        <w:t>تعارض المفسدتين</w:t>
      </w:r>
      <w:r>
        <w:rPr>
          <w:rFonts w:hint="eastAsia"/>
          <w:spacing w:val="6"/>
          <w:rtl/>
        </w:rPr>
        <w:t>»</w:t>
      </w:r>
      <w:r>
        <w:rPr>
          <w:rFonts w:hint="cs"/>
          <w:spacing w:val="6"/>
          <w:rtl/>
        </w:rPr>
        <w:t xml:space="preserve">-؛ تقرير القواعد لابن رجب، 2/463-469- ولفظه : </w:t>
      </w:r>
      <w:r>
        <w:rPr>
          <w:rFonts w:hint="eastAsia"/>
          <w:spacing w:val="6"/>
          <w:rtl/>
        </w:rPr>
        <w:t>«</w:t>
      </w:r>
      <w:r>
        <w:rPr>
          <w:rFonts w:hint="cs"/>
          <w:spacing w:val="6"/>
          <w:rtl/>
        </w:rPr>
        <w:t>إذا اجتمع للمضطرٍّ محرَّمان، كلٌّ منهما لا يباح بدون الضرورة : وجب تقديم أخفِّهما مفسدة وأقلِّهما ضررًا ...</w:t>
      </w:r>
      <w:r>
        <w:rPr>
          <w:rFonts w:hint="eastAsia"/>
          <w:spacing w:val="6"/>
          <w:rtl/>
        </w:rPr>
        <w:t>»</w:t>
      </w:r>
      <w:r>
        <w:rPr>
          <w:rFonts w:hint="cs"/>
          <w:spacing w:val="6"/>
          <w:rtl/>
        </w:rPr>
        <w:t xml:space="preserve">-؛ كتاب القواعد للحصني، 1/346- ولفظه : </w:t>
      </w:r>
      <w:r>
        <w:rPr>
          <w:rFonts w:hint="eastAsia"/>
          <w:spacing w:val="6"/>
          <w:rtl/>
        </w:rPr>
        <w:t>«</w:t>
      </w:r>
      <w:r>
        <w:rPr>
          <w:rFonts w:hint="cs"/>
          <w:spacing w:val="6"/>
          <w:rtl/>
        </w:rPr>
        <w:t>... واحتمال أخف المفسدتين لدفع أعظمها</w:t>
      </w:r>
      <w:r>
        <w:rPr>
          <w:rFonts w:hint="eastAsia"/>
          <w:spacing w:val="6"/>
          <w:rtl/>
        </w:rPr>
        <w:t>»</w:t>
      </w:r>
      <w:r>
        <w:rPr>
          <w:rFonts w:hint="cs"/>
          <w:spacing w:val="6"/>
          <w:rtl/>
        </w:rPr>
        <w:t xml:space="preserve">-؛ مغني ذوي الأفهام (الخاتمة)، ص520، قاعدة 33- ولفظه : </w:t>
      </w:r>
      <w:r>
        <w:rPr>
          <w:rFonts w:hint="eastAsia"/>
          <w:spacing w:val="6"/>
          <w:rtl/>
        </w:rPr>
        <w:t>«</w:t>
      </w:r>
      <w:r>
        <w:rPr>
          <w:rFonts w:hint="cs"/>
          <w:spacing w:val="6"/>
          <w:rtl/>
        </w:rPr>
        <w:t>ويجوز ارتكاب أدنى المفسدتين؛ لدفع أعلاهما</w:t>
      </w:r>
      <w:r>
        <w:rPr>
          <w:rFonts w:hint="eastAsia"/>
          <w:spacing w:val="6"/>
          <w:rtl/>
        </w:rPr>
        <w:t>»</w:t>
      </w:r>
      <w:r>
        <w:rPr>
          <w:rFonts w:hint="cs"/>
          <w:spacing w:val="6"/>
          <w:rtl/>
        </w:rPr>
        <w:t xml:space="preserve">-؛ إيضاح المسالك للونشريسي، ص86، قاعدة 45- ولفظه مطابق للفظ المقَّري-؛ الأشباه والنظائر للسيوطي، 1/217؛ ولابـن نجيم، ص111-112- ولفظهما مطابق لنسخة (جـ) عند المؤلف-؛ غمز عيون البصائر، 1/286؛  الفرائد البهية وشرحها : الأقمار المضيئة، ص122-123؛ وشرحها أيضًا : المواهب السنية وحاشية الشرح : الفوائد الجنية، 1/278-281- ولفظ الفرائد : </w:t>
      </w:r>
    </w:p>
    <w:p w:rsidR="00035BE3" w:rsidRDefault="00035BE3" w:rsidP="00C10469">
      <w:pPr>
        <w:pStyle w:val="a6"/>
        <w:ind w:left="420" w:hanging="454"/>
        <w:jc w:val="left"/>
        <w:rPr>
          <w:b/>
          <w:bCs/>
          <w:rtl/>
        </w:rPr>
      </w:pPr>
      <w:r>
        <w:rPr>
          <w:rFonts w:hint="cs"/>
          <w:b/>
          <w:bCs/>
          <w:spacing w:val="4"/>
          <w:rtl/>
        </w:rPr>
        <w:t xml:space="preserve">      لـكـنـه اسـتـثـنى مهـما يكـن</w:t>
      </w:r>
      <w:r>
        <w:rPr>
          <w:rFonts w:hint="cs"/>
          <w:b/>
          <w:bCs/>
          <w:rtl/>
        </w:rPr>
        <w:t xml:space="preserve">             فَـرْدُهُما أعـظـم ضـرًّا فـافـطـن</w:t>
      </w:r>
    </w:p>
    <w:p w:rsidR="00035BE3" w:rsidRDefault="00035BE3" w:rsidP="00C10469">
      <w:pPr>
        <w:pStyle w:val="a6"/>
        <w:ind w:left="420" w:hanging="454"/>
        <w:jc w:val="left"/>
        <w:rPr>
          <w:b/>
          <w:bCs/>
          <w:rtl/>
        </w:rPr>
      </w:pPr>
      <w:r>
        <w:rPr>
          <w:rFonts w:hint="cs"/>
          <w:b/>
          <w:bCs/>
          <w:rtl/>
        </w:rPr>
        <w:t xml:space="preserve">      فـإنــه يُـرتـكـب  الـذي يخِـف             كـذلك في المـفـسدتين قـد وصف-؛</w:t>
      </w:r>
    </w:p>
    <w:p w:rsidR="00035BE3" w:rsidRDefault="00035BE3" w:rsidP="00C10469">
      <w:pPr>
        <w:pStyle w:val="a6"/>
        <w:ind w:left="420" w:firstLine="0"/>
        <w:rPr>
          <w:rtl/>
        </w:rPr>
      </w:pPr>
      <w:r>
        <w:rPr>
          <w:rFonts w:hint="cs"/>
          <w:rtl/>
        </w:rPr>
        <w:t xml:space="preserve">مجامع الحقائق (الخاتمة)، ص44؛ شرح العلائي لقواعد الخادمي، ل11/أ-ب؛ منافع الدقائق، ص311، - ولفـظ المجامع كلفظ نسخة (جـ) عند المؤلف إلا أنه قـال : </w:t>
      </w:r>
      <w:r>
        <w:rPr>
          <w:rFonts w:hint="eastAsia"/>
          <w:rtl/>
        </w:rPr>
        <w:t>«</w:t>
      </w:r>
      <w:r>
        <w:rPr>
          <w:rFonts w:hint="cs"/>
          <w:rtl/>
        </w:rPr>
        <w:t xml:space="preserve">... روعي </w:t>
      </w:r>
      <w:r>
        <w:rPr>
          <w:rFonts w:hint="cs"/>
          <w:b/>
          <w:bCs/>
          <w:rtl/>
        </w:rPr>
        <w:t>أقلهما</w:t>
      </w:r>
      <w:r>
        <w:rPr>
          <w:rFonts w:hint="cs"/>
          <w:rtl/>
        </w:rPr>
        <w:t xml:space="preserve"> ضررًا ...</w:t>
      </w:r>
      <w:r>
        <w:rPr>
          <w:rFonts w:hint="eastAsia"/>
          <w:rtl/>
        </w:rPr>
        <w:t>»</w:t>
      </w:r>
      <w:r>
        <w:rPr>
          <w:rFonts w:hint="cs"/>
          <w:rtl/>
        </w:rPr>
        <w:t xml:space="preserve">!! -؛ الفرائد البهية للحمزاوي، ص14، قاعدة 6- ولفظه كلفظ نسخة (جـ) عـند المؤلف إلا أنه قال: </w:t>
      </w:r>
      <w:r>
        <w:rPr>
          <w:rFonts w:hint="eastAsia"/>
          <w:rtl/>
        </w:rPr>
        <w:t>«</w:t>
      </w:r>
      <w:r>
        <w:rPr>
          <w:rFonts w:hint="cs"/>
          <w:rtl/>
        </w:rPr>
        <w:t xml:space="preserve">... تعارضت... </w:t>
      </w:r>
      <w:r>
        <w:rPr>
          <w:rFonts w:hint="eastAsia"/>
          <w:rtl/>
        </w:rPr>
        <w:t>»</w:t>
      </w:r>
      <w:r>
        <w:rPr>
          <w:rFonts w:hint="cs"/>
          <w:rtl/>
        </w:rPr>
        <w:t xml:space="preserve">-؛ المجاز الواضح وشرحه: الدليل الماهر، ص207 - ولفظه: </w:t>
      </w:r>
    </w:p>
    <w:p w:rsidR="00035BE3" w:rsidRDefault="00035BE3" w:rsidP="00C10469">
      <w:pPr>
        <w:pStyle w:val="a6"/>
        <w:spacing w:line="480" w:lineRule="exact"/>
        <w:ind w:left="422" w:hanging="454"/>
        <w:jc w:val="left"/>
        <w:rPr>
          <w:b/>
          <w:bCs/>
          <w:rtl/>
        </w:rPr>
      </w:pPr>
      <w:r>
        <w:rPr>
          <w:rFonts w:hint="cs"/>
          <w:b/>
          <w:bCs/>
          <w:rtl/>
        </w:rPr>
        <w:t xml:space="preserve">      فـيـرتـكب الأخـفّ في تـقـابـل  </w:t>
      </w:r>
      <w:r>
        <w:rPr>
          <w:rFonts w:hint="cs"/>
          <w:b/>
          <w:bCs/>
          <w:rtl/>
        </w:rPr>
        <w:tab/>
        <w:t xml:space="preserve">     ذوو كـراهـة، ومـنع حـاصـل-؛  </w:t>
      </w:r>
    </w:p>
    <w:p w:rsidR="00035BE3" w:rsidRDefault="00035BE3" w:rsidP="00C10469">
      <w:pPr>
        <w:pStyle w:val="a6"/>
        <w:spacing w:line="440" w:lineRule="exact"/>
        <w:ind w:left="422" w:firstLine="0"/>
        <w:rPr>
          <w:rtl/>
        </w:rPr>
      </w:pPr>
      <w:r>
        <w:rPr>
          <w:rFonts w:hint="cs"/>
          <w:rtl/>
        </w:rPr>
        <w:t>مجلة الأحكام العدلية، مادة 28- ولفظـها مطابـق لنسـخة (جـ) عند المؤلف-؛ شرح المجلة لسليم رستم، 1/32؛ ولعلي حيدر، 1/37؛ وللأتاسي، 1</w:t>
      </w:r>
      <w:r>
        <w:rPr>
          <w:rFonts w:hint="cs"/>
          <w:spacing w:val="-2"/>
          <w:rtl/>
        </w:rPr>
        <w:t>/69-70؛ وشرح قواعدها للزرقا، ص201-202؛</w:t>
      </w:r>
      <w:r>
        <w:rPr>
          <w:rFonts w:hint="cs"/>
          <w:rtl/>
        </w:rPr>
        <w:t xml:space="preserve"> مجلة الأحكام الشرعية للقاري، ص97، مادة 112- ولفظه مطابق للفظ ابن رجب-؛ رسالة في القواعد الفقهية للشيخ السعدي، ص22، البيت 14- ولفظه: </w:t>
      </w:r>
    </w:p>
    <w:p w:rsidR="00035BE3" w:rsidRDefault="00035BE3" w:rsidP="00C10469">
      <w:pPr>
        <w:pStyle w:val="a6"/>
        <w:spacing w:line="440" w:lineRule="exact"/>
        <w:ind w:left="422" w:hanging="454"/>
        <w:jc w:val="center"/>
        <w:rPr>
          <w:b/>
          <w:bCs/>
          <w:rtl/>
        </w:rPr>
      </w:pPr>
      <w:r>
        <w:rPr>
          <w:rFonts w:hint="cs"/>
          <w:b/>
          <w:bCs/>
          <w:rtl/>
        </w:rPr>
        <w:t>وضـده تــزاحـم الـمـفـاسـد          يـرتـكب الأدنى مـن الـمـفاسـد-؛</w:t>
      </w:r>
    </w:p>
    <w:p w:rsidR="00035BE3" w:rsidRDefault="00035BE3" w:rsidP="00C10469">
      <w:pPr>
        <w:pStyle w:val="a6"/>
        <w:ind w:left="420" w:firstLine="0"/>
        <w:rPr>
          <w:rtl/>
        </w:rPr>
      </w:pPr>
      <w:r>
        <w:rPr>
          <w:rFonts w:hint="cs"/>
          <w:rtl/>
        </w:rPr>
        <w:t xml:space="preserve">قواعد الفقهية للمجدِّدي، ص56، قاعدة 19- ولفظه مطابق لنسخة (جـ) عند المؤلف-؛ المدخل الفقهي العام، 2/984، فقرة 592؛ القواعد الفقهية للدكتور الندوي، ص204- وقد ذكر لفظ الونشريسي-؛ الوجيز، ص203-205؛ موسوعة القواعد الفقهية، 1/229-231، 3/268-269 - كلاهما للدكتور البورنو، وقد ذكر فيهما اللفظ الوارد في نسخة (جـ) عند المؤلف وألفاظًا أخرى-؛ القواعد الفقهية في بابي العبادات والمعاملات لشيخنا د. عبد الله العيسى، ص525-538 - وقد ذكر لفظين ثانيهما : </w:t>
      </w:r>
      <w:r>
        <w:rPr>
          <w:rFonts w:hint="eastAsia"/>
          <w:rtl/>
        </w:rPr>
        <w:t>«</w:t>
      </w:r>
      <w:r>
        <w:rPr>
          <w:rFonts w:hint="cs"/>
          <w:rtl/>
        </w:rPr>
        <w:t>إذا تعارضت المفسدتان : قدم الأخف منهما</w:t>
      </w:r>
      <w:r>
        <w:rPr>
          <w:rFonts w:hint="eastAsia"/>
          <w:rtl/>
        </w:rPr>
        <w:t>»</w:t>
      </w:r>
      <w:r>
        <w:rPr>
          <w:rFonts w:hint="cs"/>
          <w:rtl/>
        </w:rPr>
        <w:t>-؛ القواعد الفقهية الكبرى لشيخنا أ.د. صالح السدلان، ص527-533- وقد ذكر لها عدَّة ألفاظ منها ما جاء في نسخة (جـ) عند المؤلف-؛ تطبيقات القواعد والضوابط للدكتور سعود الغديان، ص793- ولفظه كلفظ نسخة (جـ) عند المؤلف-؛ المبادئ الفقهية، ص25؛ القواعد الفقهية للدعاس، ص33، قاعدة 21؛ وللدكتور محمد الزحيلي، ص61-62.</w:t>
      </w:r>
    </w:p>
    <w:p w:rsidR="00035BE3" w:rsidRDefault="00035BE3" w:rsidP="00C10469">
      <w:pPr>
        <w:pStyle w:val="a6"/>
        <w:ind w:left="420" w:firstLine="0"/>
        <w:rPr>
          <w:rtl/>
        </w:rPr>
      </w:pPr>
      <w:r>
        <w:rPr>
          <w:rFonts w:hint="cs"/>
          <w:rtl/>
        </w:rPr>
        <w:t xml:space="preserve">وقد سبق أن أشار المؤلف عرضًا إلى قاعدة تطابق هذه القاعدة في المعنى، وهي: </w:t>
      </w:r>
      <w:r>
        <w:rPr>
          <w:rFonts w:hint="eastAsia"/>
          <w:rtl/>
        </w:rPr>
        <w:t>«</w:t>
      </w:r>
      <w:r>
        <w:rPr>
          <w:rFonts w:hint="cs"/>
          <w:rtl/>
        </w:rPr>
        <w:t>يختار أهون الشرين</w:t>
      </w:r>
      <w:r>
        <w:rPr>
          <w:rFonts w:hint="eastAsia"/>
          <w:rtl/>
        </w:rPr>
        <w:t>»</w:t>
      </w:r>
      <w:r>
        <w:rPr>
          <w:rFonts w:hint="cs"/>
          <w:rtl/>
        </w:rPr>
        <w:t xml:space="preserve"> - وذلك ص210  (ل2/ب)-، كما سيأتي الحديث استقلالاً عن قاعدة قريبة منهما، وهي: </w:t>
      </w:r>
      <w:r>
        <w:rPr>
          <w:rFonts w:hint="eastAsia"/>
          <w:rtl/>
        </w:rPr>
        <w:t>«</w:t>
      </w:r>
      <w:r>
        <w:rPr>
          <w:rFonts w:hint="cs"/>
          <w:rtl/>
        </w:rPr>
        <w:t>الأشد يزال بالأخف</w:t>
      </w:r>
      <w:r>
        <w:rPr>
          <w:rFonts w:hint="eastAsia"/>
          <w:rtl/>
        </w:rPr>
        <w:t>»</w:t>
      </w:r>
      <w:r>
        <w:rPr>
          <w:rFonts w:hint="cs"/>
          <w:rtl/>
        </w:rPr>
        <w:t>- وذلك ص312 (ل10/أ)، قاعدة 24-.</w:t>
      </w:r>
    </w:p>
  </w:footnote>
  <w:footnote w:id="716">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5/ب من (ب).</w:t>
      </w:r>
    </w:p>
  </w:footnote>
  <w:footnote w:id="717">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بالركوع والسجود</w:t>
      </w:r>
      <w:r>
        <w:rPr>
          <w:rFonts w:hint="eastAsia"/>
          <w:rtl/>
        </w:rPr>
        <w:t>»</w:t>
      </w:r>
      <w:r>
        <w:rPr>
          <w:rFonts w:hint="cs"/>
          <w:rtl/>
        </w:rPr>
        <w:t>. وهذا الموافق لمصدر هذه العبارة (وهو أشباه ابن نجيم).</w:t>
      </w:r>
    </w:p>
  </w:footnote>
  <w:footnote w:id="71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الصلوات</w:t>
      </w:r>
      <w:r>
        <w:rPr>
          <w:rFonts w:hint="eastAsia"/>
          <w:rtl/>
        </w:rPr>
        <w:t>»</w:t>
      </w:r>
      <w:r>
        <w:rPr>
          <w:rFonts w:hint="cs"/>
          <w:rtl/>
        </w:rPr>
        <w:t>.</w:t>
      </w:r>
    </w:p>
  </w:footnote>
  <w:footnote w:id="7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مصدر هذه العبارة وهو أشباه ابن نجيم : </w:t>
      </w:r>
      <w:r>
        <w:rPr>
          <w:rFonts w:hint="eastAsia"/>
          <w:rtl/>
        </w:rPr>
        <w:t>«</w:t>
      </w:r>
      <w:r>
        <w:rPr>
          <w:rFonts w:hint="cs"/>
          <w:rtl/>
        </w:rPr>
        <w:t>في التطوع على الدابة</w:t>
      </w:r>
      <w:r>
        <w:rPr>
          <w:rFonts w:hint="eastAsia"/>
          <w:rtl/>
        </w:rPr>
        <w:t>»</w:t>
      </w:r>
      <w:r>
        <w:rPr>
          <w:rFonts w:hint="cs"/>
          <w:rtl/>
        </w:rPr>
        <w:t>.</w:t>
      </w:r>
    </w:p>
  </w:footnote>
  <w:footnote w:id="7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ص111، مع اختلاف يسير، سبق ذكر أهمه في بعض الهوامش السابقة. </w:t>
      </w:r>
    </w:p>
    <w:p w:rsidR="00035BE3" w:rsidRDefault="00035BE3" w:rsidP="00C10469">
      <w:pPr>
        <w:pStyle w:val="a6"/>
        <w:ind w:left="422" w:firstLine="0"/>
        <w:rPr>
          <w:rtl/>
        </w:rPr>
      </w:pPr>
      <w:r>
        <w:rPr>
          <w:rFonts w:hint="cs"/>
          <w:rtl/>
        </w:rPr>
        <w:t>وانظر : شرح العلائي لقواعد الخادمي، ل11/أ؛ منافع الدقائق، ص311؛ قواعد الفقه للمجدِّدي، ص56؛ الوجيز، ص203؛ موسوعة القواعد الفقهية، 1/231؛ القواعد الفقهية الكبرى لشيخنا أ.د. صالح السدلان، ص532. فجميعهم وافقوا المؤلف في تخريج هذا الفرع على القاعدة.</w:t>
      </w:r>
    </w:p>
  </w:footnote>
  <w:footnote w:id="7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هذا </w:t>
      </w:r>
      <w:r>
        <w:rPr>
          <w:rFonts w:hint="eastAsia"/>
          <w:rtl/>
        </w:rPr>
        <w:t>»</w:t>
      </w:r>
      <w:r>
        <w:rPr>
          <w:rFonts w:hint="cs"/>
          <w:rtl/>
        </w:rPr>
        <w:t>.</w:t>
      </w:r>
    </w:p>
  </w:footnote>
  <w:footnote w:id="72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وذلك ص 134.</w:t>
      </w:r>
    </w:p>
  </w:footnote>
  <w:footnote w:id="72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6/أ من (د).</w:t>
      </w:r>
    </w:p>
  </w:footnote>
  <w:footnote w:id="72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المشتركة بين علمي أصول الفقه والقواعد الفقهية؛ فهي بالنظر إلى تعلقها بالأدلة الشرعية المتعارضة، وكيفية الترجيح بينهما : تُعدّ قاعدة أصولية.</w:t>
      </w:r>
    </w:p>
    <w:p w:rsidR="00035BE3" w:rsidRDefault="00035BE3" w:rsidP="00C10469">
      <w:pPr>
        <w:pStyle w:val="a6"/>
        <w:ind w:left="422" w:firstLine="0"/>
        <w:rPr>
          <w:rtl/>
        </w:rPr>
      </w:pPr>
      <w:r>
        <w:rPr>
          <w:rFonts w:hint="cs"/>
          <w:rtl/>
        </w:rPr>
        <w:t>وهي بالنظر إلى تعلقها بفعل المكلف - من جهة أن تصرفه اجتمع فيه دليلان، أحدهما مُبيح، والآخر محرِّم، من هذه الجهة : تعد قاعدة فقهية.</w:t>
      </w:r>
    </w:p>
    <w:p w:rsidR="00035BE3" w:rsidRDefault="00035BE3" w:rsidP="00C10469">
      <w:pPr>
        <w:pStyle w:val="a6"/>
        <w:ind w:left="422" w:firstLine="0"/>
        <w:rPr>
          <w:rtl/>
        </w:rPr>
      </w:pPr>
      <w:r>
        <w:rPr>
          <w:rFonts w:hint="cs"/>
          <w:rtl/>
        </w:rPr>
        <w:t>والصيغة التي ذكرها المؤلف للقاعدة تحكي رأي جمهور الأصوليين والفقهاء القائلين بترجيح الحاظر على المبيح.</w:t>
      </w:r>
    </w:p>
    <w:p w:rsidR="00035BE3" w:rsidRDefault="00035BE3" w:rsidP="00C10469">
      <w:pPr>
        <w:pStyle w:val="a6"/>
        <w:ind w:left="422" w:firstLine="0"/>
        <w:rPr>
          <w:rtl/>
        </w:rPr>
      </w:pPr>
      <w:r>
        <w:rPr>
          <w:rFonts w:hint="cs"/>
          <w:rtl/>
        </w:rPr>
        <w:t>وهناك قولان آخران :</w:t>
      </w:r>
    </w:p>
    <w:p w:rsidR="00035BE3" w:rsidRDefault="00035BE3" w:rsidP="00C10469">
      <w:pPr>
        <w:pStyle w:val="a6"/>
        <w:ind w:left="422" w:firstLine="0"/>
        <w:rPr>
          <w:rtl/>
        </w:rPr>
      </w:pPr>
      <w:r>
        <w:rPr>
          <w:rFonts w:hint="cs"/>
          <w:b/>
          <w:bCs/>
          <w:rtl/>
        </w:rPr>
        <w:t xml:space="preserve">أحدهما </w:t>
      </w:r>
      <w:r>
        <w:rPr>
          <w:rFonts w:hint="cs"/>
          <w:rtl/>
        </w:rPr>
        <w:t xml:space="preserve">: يُرجح المبيح على الحاظر. </w:t>
      </w:r>
    </w:p>
    <w:p w:rsidR="00035BE3" w:rsidRDefault="00035BE3" w:rsidP="00C10469">
      <w:pPr>
        <w:pStyle w:val="a6"/>
        <w:ind w:left="422" w:firstLine="0"/>
        <w:rPr>
          <w:rtl/>
        </w:rPr>
      </w:pPr>
      <w:r>
        <w:rPr>
          <w:rFonts w:hint="cs"/>
          <w:rtl/>
        </w:rPr>
        <w:t>وهو اختيار القـاضي عبد الوهـاب في التلخيـص - كما أفاد ذلك صاحب البحر المحيط - وأحمد بن حمدان الحنبلي - كما عزاه إليه صاحب شرح الكـوكب الـمـنـيـر - وأبو الفـرج المـالـكي - كما في شرح تنقيح الفصول - وغيرهم.</w:t>
      </w:r>
    </w:p>
    <w:p w:rsidR="00035BE3" w:rsidRDefault="00035BE3" w:rsidP="00C10469">
      <w:pPr>
        <w:pStyle w:val="a6"/>
        <w:ind w:left="422" w:firstLine="0"/>
        <w:rPr>
          <w:rtl/>
        </w:rPr>
      </w:pPr>
      <w:r>
        <w:rPr>
          <w:rFonts w:hint="cs"/>
          <w:b/>
          <w:bCs/>
          <w:rtl/>
        </w:rPr>
        <w:t>الثاني</w:t>
      </w:r>
      <w:r>
        <w:rPr>
          <w:rFonts w:hint="cs"/>
          <w:rtl/>
        </w:rPr>
        <w:t xml:space="preserve"> : يتساويان.</w:t>
      </w:r>
    </w:p>
    <w:p w:rsidR="00035BE3" w:rsidRDefault="00035BE3" w:rsidP="00C10469">
      <w:pPr>
        <w:pStyle w:val="a6"/>
        <w:ind w:left="422" w:firstLine="0"/>
        <w:rPr>
          <w:rtl/>
        </w:rPr>
      </w:pPr>
      <w:r>
        <w:rPr>
          <w:rFonts w:hint="cs"/>
          <w:rtl/>
        </w:rPr>
        <w:t>وهو قول عيسى ابن أبان الحنفي وأبي هاشم المعتزلي - كما أفاد ذلك البخاري في كشف الأسرار - وهو اختيار الباجي المالكي والغزالي وغيرهم.</w:t>
      </w:r>
    </w:p>
    <w:p w:rsidR="00035BE3" w:rsidRDefault="00035BE3" w:rsidP="00C10469">
      <w:pPr>
        <w:pStyle w:val="a6"/>
        <w:ind w:left="422" w:firstLine="0"/>
        <w:rPr>
          <w:rtl/>
        </w:rPr>
      </w:pPr>
      <w:r>
        <w:rPr>
          <w:rFonts w:hint="cs"/>
          <w:rtl/>
        </w:rPr>
        <w:t xml:space="preserve">ونظرًا لأهمية هذه القاعدة لا تكاد تجد كتابًا في العلمين المذكورين إلا تكلم عنها: </w:t>
      </w:r>
    </w:p>
    <w:p w:rsidR="00035BE3" w:rsidRDefault="00035BE3" w:rsidP="00C10469">
      <w:pPr>
        <w:pStyle w:val="a6"/>
        <w:ind w:left="422" w:firstLine="0"/>
        <w:rPr>
          <w:rtl/>
        </w:rPr>
      </w:pPr>
      <w:r>
        <w:rPr>
          <w:rFonts w:hint="cs"/>
          <w:b/>
          <w:bCs/>
          <w:rtl/>
        </w:rPr>
        <w:t>فمن الكتب الأصولية التي اعتنت بها</w:t>
      </w:r>
      <w:r>
        <w:rPr>
          <w:rFonts w:hint="cs"/>
          <w:rtl/>
        </w:rPr>
        <w:t xml:space="preserve"> : </w:t>
      </w:r>
    </w:p>
    <w:p w:rsidR="00035BE3" w:rsidRDefault="00035BE3" w:rsidP="00C10469">
      <w:pPr>
        <w:pStyle w:val="a6"/>
        <w:ind w:left="422" w:firstLine="0"/>
        <w:rPr>
          <w:rtl/>
        </w:rPr>
      </w:pPr>
      <w:r w:rsidRPr="005A204C">
        <w:rPr>
          <w:rFonts w:hint="cs"/>
          <w:spacing w:val="-2"/>
          <w:rtl/>
        </w:rPr>
        <w:t>العدة، 3/1041-1044؛ المنهاج في ترتيب الحجاج، ص233-234، فقرة 532؛ شرح اللـمع، 2/662؛ التبصرة، ص484؛ أصول البزدوي وشرحه: كشف الأسرار، 3/191-197؛ أصول السرخسي، 2/20-21؛ المستصفى، 2/398؛ التمهيد لأبي الخطاب، 3/214-217؛ الـمحصول، 2/468-469؛ روضة الناظر، 3/1035؛ الإحكام للآمدي، 4/269؛ مختصر ابن الحاجب وشرح العضد وحاشية التفتازاني، 2/314-315؛ شرح تنقيح الفصول، ص417-418؛</w:t>
      </w:r>
      <w:r>
        <w:rPr>
          <w:rFonts w:hint="cs"/>
          <w:rtl/>
        </w:rPr>
        <w:t xml:space="preserve"> المنهاج وشرح الأصفهاني له، 2/806-807؛ المغني للخبازي، ص228؛ شرح مختصر الروضة، 3/729-730؛ المسودة، ص312؛ مجموع الفتاوى، 20/262؛ التوضيح والتلويح، 2/107-108؛ البحر الـمحيط، 6/170-172؛ تشنيف المسامع، 3/529؛ شرح المحلي لجمع الجوامع (مع حاشية البناني)، 2/369؛ التحرير وشرحه : تيسير التحرير، 3/144؛ شرح الكوكب المنير، 4/679-680؛ حاشية الإزميري على مرآة الأصول، 2/383؛ مسلّم الثبوت وشرحه : فواتح الرحموت، 2/206؛ التعارض والترجيح للبرزنجي، 2/209-212؛ وللدكتور الحفناوي، ص362-366.</w:t>
      </w:r>
    </w:p>
    <w:p w:rsidR="00035BE3" w:rsidRDefault="00035BE3" w:rsidP="00C10469">
      <w:pPr>
        <w:pStyle w:val="a6"/>
        <w:ind w:left="422" w:firstLine="0"/>
        <w:rPr>
          <w:rtl/>
        </w:rPr>
      </w:pPr>
      <w:r>
        <w:rPr>
          <w:rFonts w:hint="cs"/>
          <w:b/>
          <w:bCs/>
          <w:rtl/>
        </w:rPr>
        <w:t>ومن كتب القواعد الفقهية التي اعتنت بها</w:t>
      </w:r>
      <w:r>
        <w:rPr>
          <w:rFonts w:hint="cs"/>
          <w:rtl/>
        </w:rPr>
        <w:t xml:space="preserve"> : </w:t>
      </w:r>
    </w:p>
    <w:p w:rsidR="00035BE3" w:rsidRDefault="00035BE3" w:rsidP="00C10469">
      <w:pPr>
        <w:pStyle w:val="a6"/>
        <w:ind w:left="420" w:firstLine="0"/>
        <w:rPr>
          <w:rtl/>
        </w:rPr>
      </w:pPr>
      <w:r>
        <w:rPr>
          <w:rFonts w:hint="cs"/>
          <w:rtl/>
        </w:rPr>
        <w:t>الأشباه والنظائر لابن السبـكي، 1/117-119، 380-381؛ المنثور، 1/125، 337؛ القواعد للحصني، 2/90-94؛ مختصر من قواعد العلائي وكلام الإسنوي، 2/577-582؛ الأشباه والنظائر للسيوطي، 1/269؛ ولابن نجيم، ص134-144؛ قـواعد الفـقـه له أيضًا، ص100-101، قاعدة 37؛ الفرائد البهية وشرحاها: الأقمار المضيئة، ص144-158؛ والمواهب السنية ومعها حاشيتها : الفوائد الجنية، 2/51-95؛ مجامع الحقائق (الخاتمة)، ص44؛ شرح العلائي لها، ل9/أ-ب؛ منافع الدقائق، ص307؛ الفرائد البهية للحمزاوي، ص178؛ قواعد الفقه للمجدِّدي، ص55، قاعدة 14، وص114، قاعدة 285؛ القواعد الفقهية للـدكتـور علي الندوي، ص171، 177، 245، 309، 334؛ القواعد والضوابط المستخلـصـة له أيـضًا، ص132؛ الوجيز، ص209؛ مـوسوعة القواعد، 1/421-423؛ قواعد الفقه الإسلامي من خلال كتاب الإشراف على مسائل الخلاف لِـ د. محمد الروكي، ص274-275؛ تطبيقات القواعد والضوابط الفقهية للدكتور سعود الغديان، ص718.</w:t>
      </w:r>
    </w:p>
    <w:p w:rsidR="00035BE3" w:rsidRDefault="00035BE3" w:rsidP="00C10469">
      <w:pPr>
        <w:pStyle w:val="a6"/>
        <w:ind w:left="420" w:firstLine="0"/>
        <w:rPr>
          <w:rtl/>
        </w:rPr>
      </w:pPr>
      <w:r>
        <w:rPr>
          <w:rFonts w:hint="cs"/>
          <w:rtl/>
        </w:rPr>
        <w:t xml:space="preserve">وكما وردت في كتب أصول الفقه وقواعده </w:t>
      </w:r>
      <w:r>
        <w:rPr>
          <w:rFonts w:hint="cs"/>
          <w:b/>
          <w:bCs/>
          <w:rtl/>
        </w:rPr>
        <w:t>وردت أيضًا في مقام التعليل في عدّة كتب من كتب الفقه، منها:</w:t>
      </w:r>
    </w:p>
    <w:p w:rsidR="00035BE3" w:rsidRDefault="00035BE3" w:rsidP="00C10469">
      <w:pPr>
        <w:pStyle w:val="a6"/>
        <w:ind w:left="420" w:firstLine="0"/>
        <w:rPr>
          <w:rtl/>
        </w:rPr>
      </w:pPr>
      <w:r>
        <w:rPr>
          <w:rFonts w:hint="cs"/>
          <w:rtl/>
        </w:rPr>
        <w:t>المبسوط، 3/157، 4/99، 103، 11/231؛ شرح السّير الكبير، 5/1800، نهاية فقرة 3591؛ فتاوى قاضي خان، 1/328، 3/362؛ الكافي شرح الوافي، القسم الأخير، ص1966، 2369؛ المحيط البرهاني، ق3، ص16؛ البحر الرائق، 2/304.</w:t>
      </w:r>
    </w:p>
  </w:footnote>
  <w:footnote w:id="725">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تعارضا </w:t>
      </w:r>
      <w:r>
        <w:rPr>
          <w:rFonts w:hint="eastAsia"/>
          <w:rtl/>
        </w:rPr>
        <w:t>»</w:t>
      </w:r>
      <w:r>
        <w:rPr>
          <w:rFonts w:hint="cs"/>
          <w:rtl/>
        </w:rPr>
        <w:t>.</w:t>
      </w:r>
    </w:p>
  </w:footnote>
  <w:footnote w:id="72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هذا تعليل بقاعدة وردت في كثير من كتب أصول الفقه وقواعده: </w:t>
      </w:r>
    </w:p>
    <w:p w:rsidR="00035BE3" w:rsidRDefault="00035BE3" w:rsidP="00C10469">
      <w:pPr>
        <w:pStyle w:val="a6"/>
        <w:ind w:left="422" w:firstLine="0"/>
        <w:rPr>
          <w:rtl/>
        </w:rPr>
      </w:pPr>
      <w:r>
        <w:rPr>
          <w:rFonts w:hint="cs"/>
          <w:b/>
          <w:bCs/>
          <w:rtl/>
        </w:rPr>
        <w:t>فمن كتب الأصـول</w:t>
      </w:r>
      <w:r>
        <w:rPr>
          <w:rFonts w:hint="cs"/>
          <w:rtl/>
        </w:rPr>
        <w:t xml:space="preserve">: </w:t>
      </w:r>
    </w:p>
    <w:p w:rsidR="00035BE3" w:rsidRDefault="00035BE3" w:rsidP="00C10469">
      <w:pPr>
        <w:pStyle w:val="a6"/>
        <w:ind w:left="422" w:firstLine="0"/>
        <w:rPr>
          <w:rtl/>
        </w:rPr>
      </w:pPr>
      <w:r>
        <w:rPr>
          <w:rFonts w:hint="cs"/>
          <w:rtl/>
        </w:rPr>
        <w:t>العـدة لأبي يعلى، 4/1238؛ الإحكام لابن حـزم، 1/52؛ شرح اللمع، 2/977؛ التمهيد لأبي الخطاب، 4/269؛ روضة الناظر، 1/197؛ الإحكام للآمدي، 1/130؛ مختصر ابن الحاجب وشرح العضـد، 1/218؛ كشف الأسـرار شـرح المنار، 2/590؛ المسودة، ص474؛ مجموع الفتاوى، 21/535، 591، 615، 617؛ البحر المحيط، 1/ 154؛ تيسير التحرير، 2/167.</w:t>
      </w:r>
    </w:p>
    <w:p w:rsidR="00035BE3" w:rsidRDefault="00035BE3" w:rsidP="00C10469">
      <w:pPr>
        <w:pStyle w:val="a6"/>
        <w:ind w:left="422" w:firstLine="0"/>
        <w:rPr>
          <w:rtl/>
        </w:rPr>
      </w:pPr>
      <w:r>
        <w:rPr>
          <w:rFonts w:hint="cs"/>
          <w:b/>
          <w:bCs/>
          <w:rtl/>
        </w:rPr>
        <w:t>ومن كتب القواعد الفقهية</w:t>
      </w:r>
      <w:r>
        <w:rPr>
          <w:rFonts w:hint="cs"/>
          <w:rtl/>
        </w:rPr>
        <w:t xml:space="preserve"> : </w:t>
      </w:r>
    </w:p>
    <w:p w:rsidR="00035BE3" w:rsidRDefault="00035BE3" w:rsidP="00C10469">
      <w:pPr>
        <w:pStyle w:val="a6"/>
        <w:ind w:left="422" w:firstLine="0"/>
        <w:rPr>
          <w:spacing w:val="-6"/>
          <w:rtl/>
        </w:rPr>
      </w:pPr>
      <w:r>
        <w:rPr>
          <w:rFonts w:hint="cs"/>
          <w:spacing w:val="-6"/>
          <w:rtl/>
        </w:rPr>
        <w:t>المـنـثور للزركشي، 1/176؛ مغني ذوي الأفهام (الخاتمة)، ص520، قاعدة 24؛ الأشباه والنظائر للسيوطي، 1/166؛ ولابن نجيم، ص21، 87؛ غمز عيون البصائر، 1/336؛ الفرائد البهية وشرحاها : الأقمار المضيئة، ص89؛ والمواهب السنية وحاشيتها : الفوائد الجنية، 1/205؛ الفرائد البهية للحمزاوي، ص191؛ قواعد الفقه للمجدِّدي، ص59، قاعدة 33؛ رسالة في القواعد الفقهية للشيخ عبد الرحمن السعدي، ص27، 29، البيت 19، و22؛ المدخل الفقهي العام، 2/1082، فقرة 689؛ القواعد الفقهية للدكتور علي الندوي، ص121-122، 143؛ القواعد الفقهية في بابي العبادات والمعاملات لشيخنا د. عبد الله العيـسى، ص346؛ الوجيـز، ص129؛ مـوسوعة القواعد الفقهية، 2/115؛ القواعد الفقهية الكبرى لشيخنا أ.د. صالح السدلان، ص126؛ القواعد والضوابط الفقهية عند ابن تيمية، ص193.</w:t>
      </w:r>
    </w:p>
  </w:footnote>
  <w:footnote w:id="72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كون المحرِّم ناسخًا للإباحة الأصلية غير مسلم؛ لأن النسخ رفع لحكم ثابت بخطاب متقدم، والإباحة </w:t>
      </w:r>
      <w:r w:rsidRPr="005E35B4">
        <w:rPr>
          <w:rFonts w:hint="cs"/>
          <w:spacing w:val="-2"/>
          <w:rtl/>
        </w:rPr>
        <w:t>الأصلية ثابتة بالعقل؛ فلا يسمى رفعها نسخًا. انظر : المستصفى، 1/107؛ كشف الأسرار، 3/298.</w:t>
      </w:r>
    </w:p>
  </w:footnote>
  <w:footnote w:id="72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نـجيم، ص134، مع اختلاف يسير جدًّا، ومن ذلك أن ابن نجيم قال في آخر العبارة : </w:t>
      </w:r>
      <w:r>
        <w:rPr>
          <w:rFonts w:hint="eastAsia"/>
          <w:rtl/>
        </w:rPr>
        <w:t>«</w:t>
      </w:r>
      <w:r>
        <w:rPr>
          <w:rFonts w:hint="cs"/>
          <w:rtl/>
        </w:rPr>
        <w:t>لكونه على وفق الأصل</w:t>
      </w:r>
      <w:r>
        <w:rPr>
          <w:rFonts w:hint="eastAsia"/>
          <w:rtl/>
        </w:rPr>
        <w:t>»</w:t>
      </w:r>
      <w:r>
        <w:rPr>
          <w:rFonts w:hint="cs"/>
          <w:rtl/>
        </w:rPr>
        <w:t>.</w:t>
      </w:r>
    </w:p>
    <w:p w:rsidR="00035BE3" w:rsidRDefault="00035BE3" w:rsidP="00C10469">
      <w:pPr>
        <w:pStyle w:val="a6"/>
        <w:ind w:left="422" w:firstLine="0"/>
        <w:rPr>
          <w:rtl/>
        </w:rPr>
      </w:pPr>
      <w:r>
        <w:rPr>
          <w:rFonts w:hint="cs"/>
          <w:rtl/>
        </w:rPr>
        <w:t xml:space="preserve">وانظر الفرع المذكور في : المنـثور، 1/125؛ الأشباه والنظائر للسيوطي، 1/252. </w:t>
      </w:r>
    </w:p>
    <w:p w:rsidR="00035BE3" w:rsidRDefault="00035BE3" w:rsidP="00C10469">
      <w:pPr>
        <w:pStyle w:val="a6"/>
        <w:ind w:left="422" w:firstLine="0"/>
        <w:rPr>
          <w:rtl/>
        </w:rPr>
      </w:pPr>
      <w:r>
        <w:rPr>
          <w:rFonts w:hint="cs"/>
          <w:rtl/>
        </w:rPr>
        <w:t xml:space="preserve">أما التعليل المعزو إلى الأصوليين: فهو مذكور في كثير من كتب الأصول عند الحنفية، منها: أصول </w:t>
      </w:r>
      <w:r w:rsidRPr="00E32B1F">
        <w:rPr>
          <w:rFonts w:hint="cs"/>
          <w:spacing w:val="-2"/>
          <w:rtl/>
        </w:rPr>
        <w:t>البزدوي وشرحه: كشف الأسرار، 3/192-193؛ أصول السَّرْخَسي، 2/20-21؛ المغني</w:t>
      </w:r>
      <w:r>
        <w:rPr>
          <w:rFonts w:hint="cs"/>
          <w:rtl/>
        </w:rPr>
        <w:t xml:space="preserve"> </w:t>
      </w:r>
      <w:r w:rsidRPr="00E32B1F">
        <w:rPr>
          <w:rFonts w:hint="cs"/>
          <w:spacing w:val="-2"/>
          <w:rtl/>
        </w:rPr>
        <w:t>للخبازي، ص228؛ التنقيح وشرحه : التوضيح، 2/107؛ التحرير وشرحاه: التقرير والتحبير، 3/10؛</w:t>
      </w:r>
      <w:r>
        <w:rPr>
          <w:rFonts w:hint="cs"/>
          <w:rtl/>
        </w:rPr>
        <w:t xml:space="preserve"> وتيسير التحرير، 3/144.</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إذا عُلم مَن ذكر هذا التعليل فقد جاء في هامش (جـ) </w:t>
      </w:r>
      <w:r>
        <w:rPr>
          <w:rFonts w:hint="cs"/>
          <w:b/>
          <w:bCs/>
          <w:rtl/>
        </w:rPr>
        <w:t>اعتراض</w:t>
      </w:r>
      <w:r>
        <w:rPr>
          <w:rFonts w:hint="cs"/>
          <w:rtl/>
        </w:rPr>
        <w:t xml:space="preserve"> عليه ونصه : </w:t>
      </w:r>
      <w:r>
        <w:rPr>
          <w:rFonts w:hint="eastAsia"/>
          <w:rtl/>
        </w:rPr>
        <w:t>«</w:t>
      </w:r>
      <w:r>
        <w:rPr>
          <w:rFonts w:hint="cs"/>
          <w:rtl/>
        </w:rPr>
        <w:t xml:space="preserve">اعلم أن قولهم: </w:t>
      </w:r>
      <w:r w:rsidRPr="0029724F">
        <w:rPr>
          <w:rFonts w:hint="cs"/>
          <w:spacing w:val="-2"/>
          <w:rtl/>
        </w:rPr>
        <w:t>الأصل في الأشياء الإباحة. ليس بمعنى الإباحة التي هي من أقسام الأحكام الشرعية؛ بل بمعنى أنه لم يعلم</w:t>
      </w:r>
      <w:r>
        <w:rPr>
          <w:rFonts w:hint="cs"/>
          <w:rtl/>
        </w:rPr>
        <w:t xml:space="preserve"> حكم بإباحة ولا حرمة - كما حققه صاحب (التوضيح)- فعلى هذا : إذا قدم المحرم لا يوجد نسخًا [هكذا بالنصب!]؛ لعدم سبق حكم ما، فتأمّل. فالتعليل عليل والمعلل كليل والله الهادي. لمحرره</w:t>
      </w:r>
      <w:r>
        <w:rPr>
          <w:rFonts w:hint="eastAsia"/>
          <w:rtl/>
        </w:rPr>
        <w:t>»</w:t>
      </w:r>
      <w:r>
        <w:rPr>
          <w:rFonts w:hint="cs"/>
          <w:rtl/>
        </w:rPr>
        <w:t>.</w:t>
      </w:r>
    </w:p>
    <w:p w:rsidR="00035BE3" w:rsidRDefault="00035BE3" w:rsidP="00C10469">
      <w:pPr>
        <w:pStyle w:val="a6"/>
        <w:ind w:left="422" w:firstLine="0"/>
        <w:rPr>
          <w:rtl/>
        </w:rPr>
      </w:pPr>
      <w:r>
        <w:rPr>
          <w:rFonts w:hint="cs"/>
          <w:rtl/>
        </w:rPr>
        <w:t xml:space="preserve">ويمكن أن </w:t>
      </w:r>
      <w:r>
        <w:rPr>
          <w:rFonts w:hint="cs"/>
          <w:b/>
          <w:bCs/>
          <w:rtl/>
        </w:rPr>
        <w:t>يجاب</w:t>
      </w:r>
      <w:r>
        <w:rPr>
          <w:rFonts w:hint="cs"/>
          <w:rtl/>
        </w:rPr>
        <w:t xml:space="preserve"> عن هذا بما يأتي : -</w:t>
      </w:r>
    </w:p>
    <w:p w:rsidR="00035BE3" w:rsidRDefault="00035BE3" w:rsidP="00C10469">
      <w:pPr>
        <w:pStyle w:val="a6"/>
        <w:ind w:left="422" w:firstLine="0"/>
        <w:rPr>
          <w:rtl/>
        </w:rPr>
      </w:pPr>
      <w:r>
        <w:rPr>
          <w:rFonts w:hint="cs"/>
          <w:b/>
          <w:bCs/>
          <w:rtl/>
        </w:rPr>
        <w:t>1</w:t>
      </w:r>
      <w:r>
        <w:rPr>
          <w:rFonts w:hint="cs"/>
          <w:rtl/>
        </w:rPr>
        <w:t>-  إن جل الأصوليين الذين ذكروا هذا التعليل لم يبيّنوا أنّ مرادهم بالإباحة هذا المعنى المذكور في الاعتراض، فهذا إلزام لهم بمصطلح لم يتعارفوا عليه.</w:t>
      </w:r>
    </w:p>
    <w:p w:rsidR="00035BE3" w:rsidRDefault="00035BE3" w:rsidP="00C10469">
      <w:pPr>
        <w:pStyle w:val="a6"/>
        <w:ind w:left="422" w:firstLine="0"/>
      </w:pPr>
      <w:r>
        <w:rPr>
          <w:rFonts w:hint="cs"/>
          <w:b/>
          <w:bCs/>
          <w:rtl/>
        </w:rPr>
        <w:t>2</w:t>
      </w:r>
      <w:r>
        <w:rPr>
          <w:rFonts w:hint="cs"/>
          <w:rtl/>
        </w:rPr>
        <w:t xml:space="preserve"> - لو سلم بأن المراد بالإباحة هو المعنى المذكور : لما كانت هناك فائدة من قولهم : </w:t>
      </w:r>
      <w:r>
        <w:rPr>
          <w:rFonts w:hint="eastAsia"/>
          <w:rtl/>
        </w:rPr>
        <w:t>«</w:t>
      </w:r>
      <w:r>
        <w:rPr>
          <w:rFonts w:hint="cs"/>
          <w:rtl/>
        </w:rPr>
        <w:t>الأصل في الأشياء الإباحة</w:t>
      </w:r>
      <w:r>
        <w:rPr>
          <w:rFonts w:hint="eastAsia"/>
          <w:rtl/>
        </w:rPr>
        <w:t>»</w:t>
      </w:r>
      <w:r>
        <w:rPr>
          <w:rFonts w:hint="cs"/>
          <w:rtl/>
        </w:rPr>
        <w:t>؛ لأنه إذا كان المقصود من الإباحة : ما لم يُعلم له حكم بإباحة ولا حرمة، فهذا يعني أن معنى قولهم هو : أن الأصل في الأشياء أنه لا يعلم لها حكم بإباحة ولا حرمة ! فلم يخرجوا بقولهم - على هذا المعنى - عن صورة المسألة (وهي ما لم يعلم له حكم بإباحة ولا حرمة فما حكمه ؟) وإذا لم يخرجوا عن صورة المسألة : فلا يكون لقولهم فائدة!.</w:t>
      </w:r>
    </w:p>
    <w:p w:rsidR="00035BE3" w:rsidRDefault="00035BE3" w:rsidP="00C10469">
      <w:pPr>
        <w:pStyle w:val="a6"/>
        <w:ind w:left="422" w:firstLine="0"/>
        <w:rPr>
          <w:spacing w:val="-6"/>
        </w:rPr>
      </w:pPr>
      <w:r>
        <w:rPr>
          <w:rFonts w:hint="cs"/>
          <w:b/>
          <w:bCs/>
          <w:spacing w:val="-4"/>
          <w:rtl/>
        </w:rPr>
        <w:t>3</w:t>
      </w:r>
      <w:r>
        <w:rPr>
          <w:rFonts w:hint="cs"/>
          <w:spacing w:val="-4"/>
          <w:rtl/>
        </w:rPr>
        <w:t xml:space="preserve"> - وبغض النظر عن الجوابين السابقين، فإن أصل الاعتراض مستفاد من (التوضيح في حلّ غوامض التنقيح)- 2/107-،  وقد بين صاحب (التوضيح) أنه </w:t>
      </w:r>
      <w:r>
        <w:rPr>
          <w:rFonts w:hint="eastAsia"/>
          <w:spacing w:val="-4"/>
          <w:rtl/>
        </w:rPr>
        <w:t>«</w:t>
      </w:r>
      <w:r>
        <w:rPr>
          <w:rFonts w:hint="cs"/>
          <w:spacing w:val="-4"/>
          <w:rtl/>
        </w:rPr>
        <w:t xml:space="preserve">يمكن إتمام الدليل المذكور على وجه لا يرد عليه هذا النظر. وهو أنه إذا انتفع المكلف بشيء قبل ورود ما يحرمه أو ما يبيحه، فإنه لا يعاقب بالانتفاع به؛ لقوله تعالى ...: </w:t>
      </w:r>
      <w:r>
        <w:rPr>
          <w:color w:val="000000"/>
          <w:sz w:val="24"/>
          <w:szCs w:val="24"/>
        </w:rPr>
        <w:sym w:font="HQPB3" w:char="F059"/>
      </w:r>
      <w:r>
        <w:rPr>
          <w:color w:val="000000"/>
          <w:sz w:val="24"/>
          <w:szCs w:val="24"/>
        </w:rPr>
        <w:sym w:font="HQPB5" w:char="F06E"/>
      </w:r>
      <w:r>
        <w:rPr>
          <w:color w:val="000000"/>
          <w:sz w:val="24"/>
          <w:szCs w:val="24"/>
        </w:rPr>
        <w:sym w:font="HQPB2" w:char="F03D"/>
      </w:r>
      <w:r>
        <w:rPr>
          <w:color w:val="000000"/>
          <w:sz w:val="24"/>
          <w:szCs w:val="24"/>
        </w:rPr>
        <w:sym w:font="HQPB5" w:char="F079"/>
      </w:r>
      <w:r>
        <w:rPr>
          <w:color w:val="000000"/>
          <w:sz w:val="24"/>
          <w:szCs w:val="24"/>
        </w:rPr>
        <w:sym w:font="HQPB1" w:char="F07B"/>
      </w:r>
      <w:r>
        <w:rPr>
          <w:color w:val="000000"/>
          <w:sz w:val="24"/>
          <w:szCs w:val="24"/>
        </w:rPr>
        <w:sym w:font="HQPB2" w:char="F0E2"/>
      </w:r>
      <w:r>
        <w:rPr>
          <w:color w:val="000000"/>
          <w:sz w:val="24"/>
          <w:szCs w:val="24"/>
          <w:rtl/>
        </w:rPr>
        <w:t xml:space="preserve"> </w:t>
      </w:r>
      <w:r>
        <w:rPr>
          <w:color w:val="000000"/>
          <w:sz w:val="24"/>
          <w:szCs w:val="24"/>
        </w:rPr>
        <w:sym w:font="HQPB2" w:char="F04E"/>
      </w:r>
      <w:r>
        <w:rPr>
          <w:color w:val="000000"/>
          <w:sz w:val="24"/>
          <w:szCs w:val="24"/>
        </w:rPr>
        <w:sym w:font="HQPB4" w:char="F0E4"/>
      </w:r>
      <w:r>
        <w:rPr>
          <w:color w:val="000000"/>
          <w:sz w:val="24"/>
          <w:szCs w:val="24"/>
        </w:rPr>
        <w:sym w:font="HQPB2" w:char="F033"/>
      </w:r>
      <w:r>
        <w:rPr>
          <w:color w:val="000000"/>
          <w:sz w:val="24"/>
          <w:szCs w:val="24"/>
        </w:rPr>
        <w:sym w:font="HQPB5" w:char="F073"/>
      </w:r>
      <w:r>
        <w:rPr>
          <w:color w:val="000000"/>
          <w:sz w:val="24"/>
          <w:szCs w:val="24"/>
        </w:rPr>
        <w:sym w:font="HQPB2" w:char="F039"/>
      </w:r>
      <w:r>
        <w:rPr>
          <w:color w:val="000000"/>
          <w:sz w:val="24"/>
          <w:szCs w:val="24"/>
          <w:rtl/>
        </w:rPr>
        <w:t xml:space="preserve"> </w:t>
      </w:r>
      <w:r>
        <w:rPr>
          <w:color w:val="000000"/>
          <w:sz w:val="24"/>
          <w:szCs w:val="24"/>
        </w:rPr>
        <w:sym w:font="HQPB1" w:char="F024"/>
      </w:r>
      <w:r>
        <w:rPr>
          <w:color w:val="000000"/>
          <w:sz w:val="24"/>
          <w:szCs w:val="24"/>
        </w:rPr>
        <w:sym w:font="HQPB4" w:char="F0A8"/>
      </w:r>
      <w:r>
        <w:rPr>
          <w:color w:val="000000"/>
          <w:sz w:val="24"/>
          <w:szCs w:val="24"/>
        </w:rPr>
        <w:sym w:font="HQPB2" w:char="F042"/>
      </w:r>
      <w:r>
        <w:rPr>
          <w:color w:val="000000"/>
          <w:sz w:val="24"/>
          <w:szCs w:val="24"/>
          <w:rtl/>
        </w:rPr>
        <w:t xml:space="preserve"> </w:t>
      </w:r>
      <w:r>
        <w:rPr>
          <w:color w:val="000000"/>
          <w:sz w:val="24"/>
          <w:szCs w:val="24"/>
        </w:rPr>
        <w:sym w:font="HQPB2" w:char="F092"/>
      </w:r>
      <w:r>
        <w:rPr>
          <w:color w:val="000000"/>
          <w:sz w:val="24"/>
          <w:szCs w:val="24"/>
        </w:rPr>
        <w:sym w:font="HQPB4" w:char="F0CE"/>
      </w:r>
      <w:r>
        <w:rPr>
          <w:color w:val="000000"/>
          <w:sz w:val="24"/>
          <w:szCs w:val="24"/>
        </w:rPr>
        <w:sym w:font="HQPB1" w:char="F0FB"/>
      </w:r>
      <w:r>
        <w:rPr>
          <w:color w:val="000000"/>
          <w:sz w:val="24"/>
          <w:szCs w:val="24"/>
          <w:rtl/>
        </w:rPr>
        <w:t xml:space="preserve"> </w:t>
      </w:r>
      <w:r>
        <w:rPr>
          <w:color w:val="000000"/>
          <w:sz w:val="24"/>
          <w:szCs w:val="24"/>
        </w:rPr>
        <w:sym w:font="HQPB4" w:char="F0C7"/>
      </w:r>
      <w:r>
        <w:rPr>
          <w:color w:val="000000"/>
          <w:sz w:val="24"/>
          <w:szCs w:val="24"/>
        </w:rPr>
        <w:sym w:font="HQPB1" w:char="F0DA"/>
      </w:r>
      <w:r>
        <w:rPr>
          <w:color w:val="000000"/>
          <w:sz w:val="24"/>
          <w:szCs w:val="24"/>
        </w:rPr>
        <w:sym w:font="HQPB4" w:char="F0F6"/>
      </w:r>
      <w:r>
        <w:rPr>
          <w:color w:val="000000"/>
          <w:sz w:val="24"/>
          <w:szCs w:val="24"/>
        </w:rPr>
        <w:sym w:font="HQPB1" w:char="F091"/>
      </w:r>
      <w:r>
        <w:rPr>
          <w:color w:val="000000"/>
          <w:sz w:val="24"/>
          <w:szCs w:val="24"/>
        </w:rPr>
        <w:sym w:font="HQPB5" w:char="F046"/>
      </w:r>
      <w:r>
        <w:rPr>
          <w:color w:val="000000"/>
          <w:sz w:val="24"/>
          <w:szCs w:val="24"/>
        </w:rPr>
        <w:sym w:font="HQPB2" w:char="F07B"/>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1" w:char="F024"/>
      </w:r>
      <w:r>
        <w:rPr>
          <w:color w:val="000000"/>
          <w:sz w:val="24"/>
          <w:szCs w:val="24"/>
        </w:rPr>
        <w:sym w:font="HQPB4" w:char="F059"/>
      </w:r>
      <w:r>
        <w:rPr>
          <w:color w:val="000000"/>
          <w:sz w:val="24"/>
          <w:szCs w:val="24"/>
        </w:rPr>
        <w:sym w:font="HQPB1" w:char="F0E8"/>
      </w:r>
      <w:r>
        <w:rPr>
          <w:color w:val="000000"/>
          <w:sz w:val="24"/>
          <w:szCs w:val="24"/>
        </w:rPr>
        <w:sym w:font="HQPB2" w:char="F08A"/>
      </w:r>
      <w:r>
        <w:rPr>
          <w:color w:val="000000"/>
          <w:sz w:val="24"/>
          <w:szCs w:val="24"/>
        </w:rPr>
        <w:sym w:font="HQPB4" w:char="F0CF"/>
      </w:r>
      <w:r>
        <w:rPr>
          <w:color w:val="000000"/>
          <w:sz w:val="24"/>
          <w:szCs w:val="24"/>
        </w:rPr>
        <w:sym w:font="HQPB2" w:char="F04A"/>
      </w:r>
      <w:r>
        <w:rPr>
          <w:color w:val="000000"/>
          <w:sz w:val="24"/>
          <w:szCs w:val="24"/>
        </w:rPr>
        <w:sym w:font="HQPB5" w:char="F079"/>
      </w:r>
      <w:r>
        <w:rPr>
          <w:color w:val="000000"/>
          <w:sz w:val="24"/>
          <w:szCs w:val="24"/>
        </w:rPr>
        <w:sym w:font="HQPB1" w:char="F05F"/>
      </w:r>
      <w:r>
        <w:rPr>
          <w:color w:val="000000"/>
          <w:sz w:val="24"/>
          <w:szCs w:val="24"/>
          <w:rtl/>
        </w:rPr>
        <w:t xml:space="preserve"> </w:t>
      </w:r>
      <w:r>
        <w:rPr>
          <w:color w:val="000000"/>
          <w:sz w:val="24"/>
          <w:szCs w:val="24"/>
        </w:rPr>
        <w:sym w:font="HQPB2" w:char="F0E1"/>
      </w:r>
      <w:r>
        <w:rPr>
          <w:color w:val="000000"/>
          <w:sz w:val="24"/>
          <w:szCs w:val="24"/>
          <w:rtl/>
        </w:rPr>
        <w:t xml:space="preserve"> </w:t>
      </w:r>
      <w:r>
        <w:rPr>
          <w:rFonts w:hint="cs"/>
          <w:color w:val="000000"/>
          <w:sz w:val="24"/>
          <w:szCs w:val="24"/>
          <w:rtl/>
        </w:rPr>
        <w:t xml:space="preserve">  </w:t>
      </w:r>
      <w:r>
        <w:rPr>
          <w:rFonts w:hint="cs"/>
          <w:b/>
          <w:bCs/>
          <w:spacing w:val="-4"/>
          <w:sz w:val="24"/>
          <w:szCs w:val="24"/>
          <w:rtl/>
        </w:rPr>
        <w:t xml:space="preserve"> </w:t>
      </w:r>
      <w:r>
        <w:rPr>
          <w:rFonts w:hint="cs"/>
          <w:spacing w:val="-4"/>
          <w:rtl/>
        </w:rPr>
        <w:t xml:space="preserve">[من الآية رقم </w:t>
      </w:r>
      <w:r>
        <w:rPr>
          <w:rFonts w:hint="cs"/>
          <w:spacing w:val="-6"/>
          <w:rtl/>
        </w:rPr>
        <w:t>(29) من سورة (البقرة)]، فإن هذا الإخبار يدل على أن الإنسان إن انتفع بما في الأرض قبل ورود محرمه أو مبيحه لا يعاقب. ثم لاشك أنه إذا ورد المحرِّم : فقد غير الأمر المذكور (وهو عدم العقاب على الانتفاع)، ثم إذا ورد المبيح: فقد نسخ ذلك المحرم، فيلزم هنا تغييران؛ وأما على العكس : فلا يلزم إلا تغيير واحد. فاندفع الإيراد المذكور بهذا التقرير، فتقرّر الدليل بهذا الطريق ...</w:t>
      </w:r>
      <w:r>
        <w:rPr>
          <w:rFonts w:hint="eastAsia"/>
          <w:spacing w:val="-6"/>
          <w:rtl/>
        </w:rPr>
        <w:t>»</w:t>
      </w:r>
      <w:r>
        <w:rPr>
          <w:rFonts w:hint="cs"/>
          <w:spacing w:val="-6"/>
          <w:rtl/>
        </w:rPr>
        <w:t>.</w:t>
      </w:r>
    </w:p>
    <w:p w:rsidR="00035BE3" w:rsidRPr="00702EC2" w:rsidRDefault="00035BE3" w:rsidP="00C10469">
      <w:pPr>
        <w:pStyle w:val="a6"/>
        <w:spacing w:line="500" w:lineRule="exact"/>
        <w:ind w:left="422" w:firstLine="0"/>
        <w:rPr>
          <w:spacing w:val="2"/>
        </w:rPr>
      </w:pPr>
      <w:r>
        <w:rPr>
          <w:rFonts w:hint="cs"/>
          <w:b/>
          <w:bCs/>
          <w:rtl/>
        </w:rPr>
        <w:t>4</w:t>
      </w:r>
      <w:r>
        <w:rPr>
          <w:rFonts w:hint="cs"/>
          <w:rtl/>
        </w:rPr>
        <w:t xml:space="preserve"> - </w:t>
      </w:r>
      <w:r w:rsidRPr="00702EC2">
        <w:rPr>
          <w:rFonts w:hint="cs"/>
          <w:spacing w:val="2"/>
          <w:rtl/>
        </w:rPr>
        <w:t xml:space="preserve">ثم هناك أدلـة أخرى للقاعدة غير هذا التعليل، من أبرزها قول النبي </w:t>
      </w:r>
      <w:r w:rsidRPr="00702EC2">
        <w:rPr>
          <w:rFonts w:ascii="AGA Arabesque" w:hAnsi="AGA Arabesque"/>
          <w:spacing w:val="2"/>
          <w:sz w:val="36"/>
        </w:rPr>
        <w:t></w:t>
      </w:r>
      <w:r w:rsidRPr="00702EC2">
        <w:rPr>
          <w:rFonts w:hint="cs"/>
          <w:spacing w:val="2"/>
          <w:rtl/>
        </w:rPr>
        <w:t>:</w:t>
      </w:r>
      <w:r w:rsidRPr="00702EC2">
        <w:rPr>
          <w:rFonts w:hint="eastAsia"/>
          <w:spacing w:val="2"/>
          <w:rtl/>
        </w:rPr>
        <w:t xml:space="preserve"> «</w:t>
      </w:r>
      <w:r w:rsidRPr="00702EC2">
        <w:rPr>
          <w:rFonts w:cs="DecoType Naskh" w:hint="cs"/>
          <w:spacing w:val="2"/>
          <w:sz w:val="26"/>
          <w:szCs w:val="26"/>
          <w:rtl/>
        </w:rPr>
        <w:t>الحلال بيّن، والحرام بيّن، وبينهما مشتبهات لا يعلمهن كثير من الناس، فمن اتقى الشبهات استبرأ لدينه وعرضه، ومن وقع في الشبهات وقع في الحرام...</w:t>
      </w:r>
      <w:r w:rsidRPr="00702EC2">
        <w:rPr>
          <w:rFonts w:hint="cs"/>
          <w:spacing w:val="2"/>
          <w:rtl/>
        </w:rPr>
        <w:t xml:space="preserve"> </w:t>
      </w:r>
      <w:r w:rsidRPr="00702EC2">
        <w:rPr>
          <w:rFonts w:hint="eastAsia"/>
          <w:spacing w:val="2"/>
          <w:rtl/>
        </w:rPr>
        <w:t>»</w:t>
      </w:r>
      <w:r w:rsidRPr="00702EC2">
        <w:rPr>
          <w:rFonts w:hint="cs"/>
          <w:spacing w:val="2"/>
          <w:rtl/>
        </w:rPr>
        <w:t xml:space="preserve">. </w:t>
      </w:r>
    </w:p>
    <w:p w:rsidR="00035BE3" w:rsidRDefault="00035BE3" w:rsidP="00C10469">
      <w:pPr>
        <w:pStyle w:val="a6"/>
        <w:ind w:left="422" w:firstLine="0"/>
        <w:rPr>
          <w:rtl/>
        </w:rPr>
      </w:pPr>
      <w:r>
        <w:rPr>
          <w:rFonts w:hint="cs"/>
          <w:rtl/>
        </w:rPr>
        <w:t xml:space="preserve">أخرجه البخاري بنحوه، كتاب الإيمان، باب فضل من استبرأ لدينه، 1/28، ح 52. </w:t>
      </w:r>
    </w:p>
    <w:p w:rsidR="00035BE3" w:rsidRDefault="00035BE3" w:rsidP="00C10469">
      <w:pPr>
        <w:pStyle w:val="a6"/>
        <w:ind w:left="422" w:firstLine="0"/>
        <w:rPr>
          <w:spacing w:val="-8"/>
          <w:rtl/>
        </w:rPr>
      </w:pPr>
      <w:r>
        <w:rPr>
          <w:rFonts w:hint="cs"/>
          <w:spacing w:val="-8"/>
          <w:rtl/>
        </w:rPr>
        <w:t>ومسلم بلفظه، كتاب المساقات، باب أخذ الحلال وترك الشبهات، 3/1219-1220، ح 1599.</w:t>
      </w:r>
    </w:p>
  </w:footnote>
  <w:footnote w:id="72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يوهم </w:t>
      </w:r>
      <w:r>
        <w:rPr>
          <w:rFonts w:hint="eastAsia"/>
          <w:rtl/>
        </w:rPr>
        <w:t>»</w:t>
      </w:r>
      <w:r>
        <w:rPr>
          <w:rFonts w:hint="cs"/>
          <w:rtl/>
        </w:rPr>
        <w:t>. والصحيح ما تمَّ إثباته من (ب) و(د).</w:t>
      </w:r>
    </w:p>
  </w:footnote>
  <w:footnote w:id="73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8/أ من (أ).</w:t>
      </w:r>
    </w:p>
  </w:footnote>
  <w:footnote w:id="73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لقلة</w:t>
      </w:r>
      <w:r>
        <w:rPr>
          <w:rFonts w:hint="eastAsia"/>
          <w:rtl/>
        </w:rPr>
        <w:t>»</w:t>
      </w:r>
      <w:r>
        <w:rPr>
          <w:rFonts w:hint="cs"/>
          <w:rtl/>
        </w:rPr>
        <w:t>.</w:t>
      </w:r>
    </w:p>
  </w:footnote>
  <w:footnote w:id="73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تكثره</w:t>
      </w:r>
      <w:r>
        <w:rPr>
          <w:rFonts w:hint="eastAsia"/>
          <w:rtl/>
        </w:rPr>
        <w:t>»</w:t>
      </w:r>
      <w:r>
        <w:rPr>
          <w:rFonts w:hint="cs"/>
          <w:rtl/>
        </w:rPr>
        <w:t>.</w:t>
      </w:r>
    </w:p>
  </w:footnote>
  <w:footnote w:id="73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السالم</w:t>
      </w:r>
      <w:r>
        <w:rPr>
          <w:rFonts w:hint="eastAsia"/>
          <w:rtl/>
        </w:rPr>
        <w:t>»</w:t>
      </w:r>
      <w:r>
        <w:rPr>
          <w:rFonts w:hint="cs"/>
          <w:rtl/>
        </w:rPr>
        <w:t>. والصحيح ما تمَّ إثباته من (ب).</w:t>
      </w:r>
    </w:p>
  </w:footnote>
  <w:footnote w:id="73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جاء في هامش (جـ) : </w:t>
      </w:r>
      <w:r>
        <w:rPr>
          <w:rFonts w:hint="eastAsia"/>
          <w:rtl/>
        </w:rPr>
        <w:t>«</w:t>
      </w:r>
      <w:r>
        <w:rPr>
          <w:rFonts w:hint="cs"/>
          <w:rtl/>
        </w:rPr>
        <w:t>دقّة المصنِّف، وفيه تأمل</w:t>
      </w:r>
      <w:r>
        <w:rPr>
          <w:rFonts w:hint="eastAsia"/>
          <w:rtl/>
        </w:rPr>
        <w:t>»</w:t>
      </w:r>
      <w:r>
        <w:rPr>
          <w:rFonts w:hint="cs"/>
          <w:rtl/>
        </w:rPr>
        <w:t>.</w:t>
      </w:r>
    </w:p>
  </w:footnote>
  <w:footnote w:id="73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6/ب من (جـ).</w:t>
      </w:r>
    </w:p>
  </w:footnote>
  <w:footnote w:id="73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المحرِّم</w:t>
      </w:r>
      <w:r>
        <w:rPr>
          <w:rFonts w:hint="eastAsia"/>
          <w:rtl/>
        </w:rPr>
        <w:t>»</w:t>
      </w:r>
      <w:r>
        <w:rPr>
          <w:rFonts w:hint="cs"/>
          <w:rtl/>
        </w:rPr>
        <w:t xml:space="preserve"> : زيادة من (د). وهي لابد منها.</w:t>
      </w:r>
    </w:p>
  </w:footnote>
  <w:footnote w:id="73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الهاء زيادة من (ب) و(د). وهي لا بد منها.</w:t>
      </w:r>
    </w:p>
  </w:footnote>
  <w:footnote w:id="73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تقديم</w:t>
      </w:r>
      <w:r>
        <w:rPr>
          <w:rFonts w:hint="eastAsia"/>
          <w:rtl/>
        </w:rPr>
        <w:t>»</w:t>
      </w:r>
      <w:r>
        <w:rPr>
          <w:rFonts w:hint="cs"/>
          <w:rtl/>
        </w:rPr>
        <w:t>. والصحيح ما تمَّ إثباته من (ب).</w:t>
      </w:r>
    </w:p>
  </w:footnote>
  <w:footnote w:id="73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أن المقصود من </w:t>
      </w:r>
      <w:r>
        <w:rPr>
          <w:rFonts w:hint="cs"/>
          <w:b/>
          <w:bCs/>
          <w:rtl/>
        </w:rPr>
        <w:t>تقديم</w:t>
      </w:r>
      <w:r>
        <w:rPr>
          <w:rFonts w:hint="cs"/>
          <w:rtl/>
        </w:rPr>
        <w:t xml:space="preserve"> المحرِّم : هو جعل مدلوله أغلب وأحق بالتقديم والعمل من مدلول الدليل المبيح، لا أن الدليل المحرّم متقدم في الورود على المبيح؛ لأنه لو كان هذا هو المقصود لتُرك المحرِّم المتقدم في الورود وعمل بالمبيح المتأخر، وهذا عكس المطلوب -والله أعلم-.</w:t>
      </w:r>
    </w:p>
  </w:footnote>
  <w:footnote w:id="7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الأحكام</w:t>
      </w:r>
      <w:r>
        <w:rPr>
          <w:rFonts w:hint="eastAsia"/>
          <w:rtl/>
        </w:rPr>
        <w:t>»</w:t>
      </w:r>
      <w:r>
        <w:rPr>
          <w:rFonts w:hint="cs"/>
          <w:rtl/>
        </w:rPr>
        <w:t xml:space="preserve">، وفي (د): </w:t>
      </w:r>
      <w:r>
        <w:rPr>
          <w:rFonts w:hint="eastAsia"/>
          <w:rtl/>
        </w:rPr>
        <w:t>«</w:t>
      </w:r>
      <w:r>
        <w:rPr>
          <w:rFonts w:hint="cs"/>
          <w:rtl/>
        </w:rPr>
        <w:t>لأحكامها</w:t>
      </w:r>
      <w:r>
        <w:rPr>
          <w:rFonts w:hint="eastAsia"/>
          <w:rtl/>
        </w:rPr>
        <w:t>»</w:t>
      </w:r>
      <w:r>
        <w:rPr>
          <w:rFonts w:hint="cs"/>
          <w:rtl/>
        </w:rPr>
        <w:t>. وما في (د) هو الأولى، حتى ينسجم هذا اللفظ مع ما جاء في آخر القاعدة (لأعيانها).</w:t>
      </w:r>
    </w:p>
  </w:footnote>
  <w:footnote w:id="7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 </w:t>
      </w:r>
    </w:p>
    <w:p w:rsidR="00035BE3" w:rsidRDefault="00035BE3" w:rsidP="00C10469">
      <w:pPr>
        <w:pStyle w:val="a6"/>
        <w:ind w:left="422" w:firstLine="0"/>
        <w:rPr>
          <w:rtl/>
        </w:rPr>
      </w:pPr>
      <w:r>
        <w:rPr>
          <w:rFonts w:hint="cs"/>
          <w:rtl/>
        </w:rPr>
        <w:t>إن الأسباب ليست مطلوبة لذاتها؛ بل لما تنتجه من أحكام؛ فإذا تمَّ الوصول إلى الحكم، وحصل اتفاق عليه فقد حصل المطلوب وإن لم يحصل وفاق في السبب الموصل إليه.</w:t>
      </w:r>
    </w:p>
    <w:p w:rsidR="00035BE3" w:rsidRDefault="00035BE3" w:rsidP="00C10469">
      <w:pPr>
        <w:pStyle w:val="a6"/>
        <w:ind w:left="422" w:firstLine="0"/>
        <w:rPr>
          <w:rtl/>
        </w:rPr>
      </w:pPr>
      <w:r>
        <w:rPr>
          <w:rFonts w:hint="cs"/>
          <w:b/>
          <w:bCs/>
          <w:rtl/>
        </w:rPr>
        <w:t>وقد وردت هذه القاعدة في:</w:t>
      </w:r>
      <w:r>
        <w:rPr>
          <w:rFonts w:hint="cs"/>
          <w:rtl/>
        </w:rPr>
        <w:t xml:space="preserve"> </w:t>
      </w:r>
    </w:p>
    <w:p w:rsidR="00035BE3" w:rsidRDefault="00035BE3" w:rsidP="00C10469">
      <w:pPr>
        <w:pStyle w:val="a6"/>
        <w:ind w:left="422" w:firstLine="0"/>
        <w:rPr>
          <w:rtl/>
        </w:rPr>
      </w:pPr>
      <w:r>
        <w:rPr>
          <w:rFonts w:hint="cs"/>
          <w:rtl/>
        </w:rPr>
        <w:t xml:space="preserve">مجامع الحقائق (الخاتمة)، ص44 بلفظ : </w:t>
      </w:r>
      <w:r>
        <w:rPr>
          <w:rFonts w:hint="eastAsia"/>
          <w:rtl/>
        </w:rPr>
        <w:t>«</w:t>
      </w:r>
      <w:r>
        <w:rPr>
          <w:rFonts w:hint="cs"/>
          <w:rtl/>
        </w:rPr>
        <w:t>الأسباب مطلوبة للأحكام</w:t>
      </w:r>
      <w:r>
        <w:rPr>
          <w:rFonts w:hint="eastAsia"/>
          <w:rtl/>
        </w:rPr>
        <w:t>»</w:t>
      </w:r>
      <w:r>
        <w:rPr>
          <w:rFonts w:hint="cs"/>
          <w:rtl/>
        </w:rPr>
        <w:t>؛ وانظر : شرح العلائي لقواعد الخادمي، ل11/ب-12/أ؛ منافع الدقائق، ص311؛ موسوعة القواعد الفقهية، 1/360 - وقد ذكر الأخير أربعة ألفاظ لها-.</w:t>
      </w:r>
    </w:p>
    <w:p w:rsidR="00035BE3" w:rsidRDefault="00035BE3" w:rsidP="00C10469">
      <w:pPr>
        <w:pStyle w:val="a6"/>
        <w:ind w:left="422" w:firstLine="0"/>
        <w:rPr>
          <w:rtl/>
        </w:rPr>
      </w:pPr>
      <w:r>
        <w:rPr>
          <w:rFonts w:hint="cs"/>
          <w:rtl/>
        </w:rPr>
        <w:t xml:space="preserve">ووردت أيضًا بألفاظ مقاربة للّفظ الذي ذكره المؤلف في بعض </w:t>
      </w:r>
      <w:r>
        <w:rPr>
          <w:rFonts w:hint="cs"/>
          <w:b/>
          <w:bCs/>
          <w:rtl/>
        </w:rPr>
        <w:t>كتب الفقه الحنفي</w:t>
      </w:r>
      <w:r>
        <w:rPr>
          <w:rFonts w:hint="cs"/>
          <w:rtl/>
        </w:rPr>
        <w:t xml:space="preserve">، منها: </w:t>
      </w:r>
    </w:p>
    <w:p w:rsidR="00035BE3" w:rsidRDefault="00035BE3" w:rsidP="00C10469">
      <w:pPr>
        <w:pStyle w:val="a6"/>
        <w:ind w:left="422" w:firstLine="0"/>
        <w:rPr>
          <w:rtl/>
        </w:rPr>
      </w:pPr>
      <w:r>
        <w:rPr>
          <w:rFonts w:hint="cs"/>
          <w:rtl/>
        </w:rPr>
        <w:t>شرح السـير الكبير، 2/562، 5/1728؛ المـبسوط، 5/ 158، 6/65، 13/24، 18/3، 23، 20/45؛ تبيين الحقائق، 4/254؛ الكفاية شرح الهداية، 3/226؛ الدرر شرح الغرر، 2/365.</w:t>
      </w:r>
    </w:p>
    <w:p w:rsidR="00035BE3" w:rsidRDefault="00035BE3" w:rsidP="00C10469">
      <w:pPr>
        <w:pStyle w:val="a6"/>
        <w:ind w:left="422" w:firstLine="0"/>
        <w:rPr>
          <w:rtl/>
        </w:rPr>
      </w:pPr>
      <w:r>
        <w:rPr>
          <w:rFonts w:hint="cs"/>
          <w:rtl/>
        </w:rPr>
        <w:t xml:space="preserve">وهذه القاعدة ذكرها صاحب (الكفاية) على أنها تعليل لقاعدة أخرى، وهي : </w:t>
      </w:r>
      <w:r>
        <w:rPr>
          <w:rFonts w:hint="eastAsia"/>
          <w:rtl/>
        </w:rPr>
        <w:t>«</w:t>
      </w:r>
      <w:r>
        <w:rPr>
          <w:rFonts w:hint="cs"/>
          <w:rtl/>
        </w:rPr>
        <w:t>لا يـبالى باختلاف الأسباب عند سلامة المقصود</w:t>
      </w:r>
      <w:r>
        <w:rPr>
          <w:rFonts w:hint="eastAsia"/>
          <w:rtl/>
        </w:rPr>
        <w:t>»</w:t>
      </w:r>
      <w:r>
        <w:rPr>
          <w:rFonts w:hint="cs"/>
          <w:rtl/>
        </w:rPr>
        <w:t>.</w:t>
      </w:r>
    </w:p>
    <w:p w:rsidR="00035BE3" w:rsidRDefault="00035BE3" w:rsidP="00C10469">
      <w:pPr>
        <w:pStyle w:val="a6"/>
        <w:ind w:left="422" w:firstLine="0"/>
        <w:rPr>
          <w:rtl/>
        </w:rPr>
      </w:pPr>
      <w:r>
        <w:rPr>
          <w:rFonts w:hint="cs"/>
          <w:rtl/>
        </w:rPr>
        <w:t>فقال - في الموضع الآنف ذكره -:</w:t>
      </w:r>
      <w:r>
        <w:rPr>
          <w:rFonts w:hint="eastAsia"/>
          <w:rtl/>
        </w:rPr>
        <w:t>«</w:t>
      </w:r>
      <w:r>
        <w:rPr>
          <w:rFonts w:hint="cs"/>
          <w:rtl/>
        </w:rPr>
        <w:t>قوله: ولا يبالي باختلاف السبب عند حصول المقصود؛ لأن الأسباب غير مطلوبة لذواتها؛ بل لأحكامها</w:t>
      </w:r>
      <w:r>
        <w:rPr>
          <w:rFonts w:hint="eastAsia"/>
          <w:rtl/>
        </w:rPr>
        <w:t>»</w:t>
      </w:r>
      <w:r>
        <w:rPr>
          <w:rFonts w:hint="cs"/>
          <w:rtl/>
        </w:rPr>
        <w:t>. وقريب من هذه صنيع صاحب المبسوط، 6/65.</w:t>
      </w:r>
    </w:p>
    <w:p w:rsidR="00035BE3" w:rsidRDefault="00035BE3" w:rsidP="00C10469">
      <w:pPr>
        <w:pStyle w:val="a6"/>
        <w:ind w:left="422" w:firstLine="0"/>
        <w:rPr>
          <w:rtl/>
        </w:rPr>
      </w:pPr>
      <w:r>
        <w:rPr>
          <w:rFonts w:hint="cs"/>
          <w:rtl/>
        </w:rPr>
        <w:t>وهذه القاعدة الأخرى سيفردها المؤلف بالحديث، وذلك ص937 (ل79/ب)، قاعدة 193.</w:t>
      </w:r>
    </w:p>
  </w:footnote>
  <w:footnote w:id="7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القِنُّ في اللغة</w:t>
      </w:r>
      <w:r>
        <w:rPr>
          <w:rFonts w:hint="cs"/>
          <w:rtl/>
        </w:rPr>
        <w:t xml:space="preserve"> : كأنَّه مأخوذ من القِنْية، وهي المِلك. وهو : </w:t>
      </w:r>
      <w:r>
        <w:rPr>
          <w:rFonts w:hint="eastAsia"/>
          <w:rtl/>
        </w:rPr>
        <w:t>«</w:t>
      </w:r>
      <w:r>
        <w:rPr>
          <w:rFonts w:hint="cs"/>
          <w:rtl/>
        </w:rPr>
        <w:t>عبدٌ مُلِك هو وأبواه ... أو هو الخالصُ العُبُودَة ... أو الذي ولد عندك ولا تستطيع إخراجه عنك</w:t>
      </w:r>
      <w:r>
        <w:rPr>
          <w:rFonts w:hint="eastAsia"/>
          <w:rtl/>
        </w:rPr>
        <w:t>»</w:t>
      </w:r>
      <w:r>
        <w:rPr>
          <w:rFonts w:hint="cs"/>
          <w:rtl/>
        </w:rPr>
        <w:t xml:space="preserve"> - قاله صاحب القاموس المحيط-.</w:t>
      </w:r>
    </w:p>
    <w:p w:rsidR="00035BE3" w:rsidRDefault="00035BE3" w:rsidP="00C10469">
      <w:pPr>
        <w:pStyle w:val="a6"/>
        <w:ind w:left="422" w:firstLine="0"/>
        <w:rPr>
          <w:spacing w:val="-8"/>
          <w:rtl/>
        </w:rPr>
      </w:pPr>
      <w:r>
        <w:rPr>
          <w:rFonts w:hint="cs"/>
          <w:b/>
          <w:bCs/>
          <w:spacing w:val="-8"/>
          <w:rtl/>
        </w:rPr>
        <w:t>أما في الاصطلاح</w:t>
      </w:r>
      <w:r>
        <w:rPr>
          <w:rFonts w:hint="cs"/>
          <w:spacing w:val="-8"/>
          <w:rtl/>
        </w:rPr>
        <w:t xml:space="preserve"> : فقد عرّفه أبو حـفص النَّسـفي (ت 537هـ) بأنـه: </w:t>
      </w:r>
      <w:r>
        <w:rPr>
          <w:rFonts w:hint="eastAsia"/>
          <w:spacing w:val="-8"/>
          <w:rtl/>
        </w:rPr>
        <w:t>«</w:t>
      </w:r>
      <w:r>
        <w:rPr>
          <w:rFonts w:hint="cs"/>
          <w:spacing w:val="-8"/>
          <w:rtl/>
        </w:rPr>
        <w:t>الرقيـق الذي لم ينعقدْ له سببُ عِتق</w:t>
      </w:r>
      <w:r>
        <w:rPr>
          <w:rFonts w:hint="eastAsia"/>
          <w:spacing w:val="-8"/>
          <w:rtl/>
        </w:rPr>
        <w:t>»</w:t>
      </w:r>
      <w:r>
        <w:rPr>
          <w:rFonts w:hint="cs"/>
          <w:spacing w:val="-8"/>
          <w:rtl/>
        </w:rPr>
        <w:t>.</w:t>
      </w:r>
    </w:p>
    <w:p w:rsidR="00035BE3" w:rsidRDefault="00035BE3" w:rsidP="00C10469">
      <w:pPr>
        <w:pStyle w:val="a6"/>
        <w:ind w:left="422" w:firstLine="0"/>
        <w:rPr>
          <w:rtl/>
        </w:rPr>
      </w:pPr>
      <w:r>
        <w:rPr>
          <w:rFonts w:hint="cs"/>
          <w:b/>
          <w:bCs/>
          <w:rtl/>
        </w:rPr>
        <w:t>ولتوثيق ما سبق</w:t>
      </w:r>
      <w:r>
        <w:rPr>
          <w:rFonts w:hint="cs"/>
          <w:rtl/>
        </w:rPr>
        <w:t xml:space="preserve"> : فإن المعنى اللغوي مستفاد من : القاموس المحيط، مادة </w:t>
      </w:r>
      <w:r>
        <w:rPr>
          <w:rFonts w:hint="eastAsia"/>
          <w:rtl/>
        </w:rPr>
        <w:t>«</w:t>
      </w:r>
      <w:r>
        <w:rPr>
          <w:rFonts w:hint="cs"/>
          <w:rtl/>
        </w:rPr>
        <w:t>قنن</w:t>
      </w:r>
      <w:r>
        <w:rPr>
          <w:rFonts w:hint="eastAsia"/>
          <w:rtl/>
        </w:rPr>
        <w:t>»</w:t>
      </w:r>
      <w:r>
        <w:rPr>
          <w:rFonts w:hint="cs"/>
          <w:rtl/>
        </w:rPr>
        <w:t xml:space="preserve">، ص1582؛ وانظر: المقاييس في اللغة، مادة </w:t>
      </w:r>
      <w:r>
        <w:rPr>
          <w:rFonts w:hint="eastAsia"/>
          <w:rtl/>
        </w:rPr>
        <w:t>«</w:t>
      </w:r>
      <w:r>
        <w:rPr>
          <w:rFonts w:hint="cs"/>
          <w:rtl/>
        </w:rPr>
        <w:t>قنّ</w:t>
      </w:r>
      <w:r>
        <w:rPr>
          <w:rFonts w:hint="eastAsia"/>
          <w:rtl/>
        </w:rPr>
        <w:t>»</w:t>
      </w:r>
      <w:r>
        <w:rPr>
          <w:rFonts w:hint="cs"/>
          <w:rtl/>
        </w:rPr>
        <w:t xml:space="preserve">، ص852؛ لسان العرب، مادة </w:t>
      </w:r>
      <w:r>
        <w:rPr>
          <w:rFonts w:hint="eastAsia"/>
          <w:rtl/>
        </w:rPr>
        <w:t>«</w:t>
      </w:r>
      <w:r>
        <w:rPr>
          <w:rFonts w:hint="cs"/>
          <w:rtl/>
        </w:rPr>
        <w:t>قنن</w:t>
      </w:r>
      <w:r>
        <w:rPr>
          <w:rFonts w:hint="eastAsia"/>
          <w:rtl/>
        </w:rPr>
        <w:t>»</w:t>
      </w:r>
      <w:r>
        <w:rPr>
          <w:rFonts w:hint="cs"/>
          <w:rtl/>
        </w:rPr>
        <w:t xml:space="preserve">، 13/348-350؛ المعجم الوسيط، مادة </w:t>
      </w:r>
      <w:r>
        <w:rPr>
          <w:rFonts w:hint="eastAsia"/>
          <w:rtl/>
        </w:rPr>
        <w:t>«</w:t>
      </w:r>
      <w:r>
        <w:rPr>
          <w:rFonts w:hint="cs"/>
          <w:rtl/>
        </w:rPr>
        <w:t>قنّ</w:t>
      </w:r>
      <w:r>
        <w:rPr>
          <w:rFonts w:hint="eastAsia"/>
          <w:rtl/>
        </w:rPr>
        <w:t>»</w:t>
      </w:r>
      <w:r>
        <w:rPr>
          <w:rFonts w:hint="cs"/>
          <w:rtl/>
        </w:rPr>
        <w:t>، 2/763.</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والمعنى الاصطلاحي مستفاد من طِلبَةِ الطلبة في الاصطلاحات الفقهية، ص 107؛ وانظر : التعريفات للجرجاني، ص229، رقم 1153؛ الدّرر شرح الغرر، 2/249؛ أنيس الفقهاء، ص152؛ قواعد الفقه للمجدِّدي (الرسالة الرابعة : التعريفات الفقهية)، ص435.</w:t>
      </w:r>
    </w:p>
  </w:footnote>
  <w:footnote w:id="7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 xml:space="preserve"> ما بعته : نفي </w:t>
      </w:r>
      <w:r>
        <w:rPr>
          <w:rFonts w:hint="eastAsia"/>
          <w:rtl/>
        </w:rPr>
        <w:t>»</w:t>
      </w:r>
      <w:r>
        <w:rPr>
          <w:rFonts w:hint="cs"/>
          <w:rtl/>
        </w:rPr>
        <w:t>.</w:t>
      </w:r>
    </w:p>
  </w:footnote>
  <w:footnote w:id="7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وفيه </w:t>
      </w:r>
      <w:r>
        <w:rPr>
          <w:rFonts w:hint="eastAsia"/>
          <w:rtl/>
        </w:rPr>
        <w:t>»</w:t>
      </w:r>
      <w:r>
        <w:rPr>
          <w:rFonts w:hint="cs"/>
          <w:rtl/>
        </w:rPr>
        <w:t xml:space="preserve">، ويحتمل : </w:t>
      </w:r>
      <w:r>
        <w:rPr>
          <w:rFonts w:hint="eastAsia"/>
          <w:rtl/>
        </w:rPr>
        <w:t>«</w:t>
      </w:r>
      <w:r>
        <w:rPr>
          <w:rFonts w:hint="cs"/>
          <w:rtl/>
        </w:rPr>
        <w:t xml:space="preserve"> ففيه</w:t>
      </w:r>
      <w:r>
        <w:rPr>
          <w:rFonts w:hint="eastAsia"/>
          <w:rtl/>
        </w:rPr>
        <w:t>»</w:t>
      </w:r>
      <w:r>
        <w:rPr>
          <w:rFonts w:hint="cs"/>
          <w:rtl/>
        </w:rPr>
        <w:t xml:space="preserve"> كما في باقي النسخ. </w:t>
      </w:r>
    </w:p>
  </w:footnote>
  <w:footnote w:id="7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 xml:space="preserve"> للمقرّ </w:t>
      </w:r>
      <w:r>
        <w:rPr>
          <w:rFonts w:hint="eastAsia"/>
          <w:rtl/>
        </w:rPr>
        <w:t>»</w:t>
      </w:r>
      <w:r>
        <w:rPr>
          <w:rFonts w:hint="cs"/>
          <w:rtl/>
        </w:rPr>
        <w:t>.</w:t>
      </w:r>
    </w:p>
  </w:footnote>
  <w:footnote w:id="7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فيلزمه </w:t>
      </w:r>
      <w:r>
        <w:rPr>
          <w:rFonts w:hint="eastAsia"/>
          <w:rtl/>
        </w:rPr>
        <w:t>»</w:t>
      </w:r>
      <w:r>
        <w:rPr>
          <w:rFonts w:hint="cs"/>
          <w:rtl/>
        </w:rPr>
        <w:t>. وهذا الأولى؛ لأن الفعل متعدٍّ.</w:t>
      </w:r>
    </w:p>
  </w:footnote>
  <w:footnote w:id="7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6/أ من (ب).</w:t>
      </w:r>
    </w:p>
  </w:footnote>
  <w:footnote w:id="7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ذو </w:t>
      </w:r>
      <w:r>
        <w:rPr>
          <w:rFonts w:hint="eastAsia"/>
          <w:rtl/>
        </w:rPr>
        <w:t>»</w:t>
      </w:r>
      <w:r>
        <w:rPr>
          <w:rFonts w:hint="cs"/>
          <w:rtl/>
        </w:rPr>
        <w:t>. والصحيح ما تمَّ إثباته من (ب)؛ لأن (ذا) اسم (إن) منصوب وعلامة نصبه (الألف)؛ لأنه من الأسماء الستة.</w:t>
      </w:r>
    </w:p>
  </w:footnote>
  <w:footnote w:id="7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 xml:space="preserve"> عبدٍ </w:t>
      </w:r>
      <w:r>
        <w:rPr>
          <w:rFonts w:hint="eastAsia"/>
          <w:rtl/>
        </w:rPr>
        <w:t>»</w:t>
      </w:r>
      <w:r>
        <w:rPr>
          <w:rFonts w:hint="cs"/>
          <w:rtl/>
        </w:rPr>
        <w:t xml:space="preserve">، وفي (ب) و(جـ) : </w:t>
      </w:r>
      <w:r>
        <w:rPr>
          <w:rFonts w:hint="eastAsia"/>
          <w:rtl/>
        </w:rPr>
        <w:t>«</w:t>
      </w:r>
      <w:r>
        <w:rPr>
          <w:rFonts w:hint="cs"/>
          <w:rtl/>
        </w:rPr>
        <w:t xml:space="preserve"> العبد </w:t>
      </w:r>
      <w:r>
        <w:rPr>
          <w:rFonts w:hint="eastAsia"/>
          <w:rtl/>
        </w:rPr>
        <w:t>»</w:t>
      </w:r>
      <w:r>
        <w:rPr>
          <w:rFonts w:hint="cs"/>
          <w:rtl/>
        </w:rPr>
        <w:t xml:space="preserve"> بإثبات (أل) التعريف. والتعبير بدونها ركيك؛ لهذا تمَّ إثباتها في الصلب.</w:t>
      </w:r>
    </w:p>
  </w:footnote>
  <w:footnote w:id="7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8/ب من (أ).</w:t>
      </w:r>
    </w:p>
  </w:footnote>
  <w:footnote w:id="7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المبسوط، 18/23؛ الدرر شرح الغرر، 2/365.</w:t>
      </w:r>
    </w:p>
  </w:footnote>
  <w:footnote w:id="7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معنى هذه القاعدة ضـمنًا في أثناء الحديث عن مثالها الذي ذكره المؤلف في بعض </w:t>
      </w:r>
      <w:r>
        <w:rPr>
          <w:rFonts w:hint="cs"/>
          <w:b/>
          <w:bCs/>
          <w:rtl/>
        </w:rPr>
        <w:t>كتب الفقه الحنفي</w:t>
      </w:r>
      <w:r>
        <w:rPr>
          <w:rFonts w:hint="cs"/>
          <w:rtl/>
        </w:rPr>
        <w:t>، منها:</w:t>
      </w:r>
    </w:p>
    <w:p w:rsidR="00035BE3" w:rsidRDefault="00035BE3" w:rsidP="00C10469">
      <w:pPr>
        <w:pStyle w:val="a6"/>
        <w:ind w:left="422" w:firstLine="0"/>
        <w:rPr>
          <w:rtl/>
        </w:rPr>
      </w:pPr>
      <w:r>
        <w:rPr>
          <w:rFonts w:hint="cs"/>
          <w:rtl/>
        </w:rPr>
        <w:t>الهداية وشرحاها : العناية ونتائج الأفكار، 8/358؛ تبيين الحقائق، 5/16-17؛ الدّرر شرح الغرر، 2/365؛ الدرّ المختار وردّ المحتار عليه، 8/376.</w:t>
      </w:r>
    </w:p>
  </w:footnote>
  <w:footnote w:id="7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6/ب من (د).</w:t>
      </w:r>
    </w:p>
  </w:footnote>
  <w:footnote w:id="7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2/365، إلا أن في (الدّرر) مزيد توضيح لبعض الألفاظ، ونص (الدّرر)  : </w:t>
      </w:r>
      <w:r>
        <w:rPr>
          <w:rFonts w:hint="eastAsia"/>
          <w:rtl/>
        </w:rPr>
        <w:t>«</w:t>
      </w:r>
      <w:r>
        <w:rPr>
          <w:rFonts w:hint="cs"/>
          <w:rtl/>
        </w:rPr>
        <w:t>أقّر بدار واستثنى بناءها بأن قال : هذه الدّار لفلان إلا بناءها : كانا (أي الأرض والبناء) للمقر له، ولم يصح اسـتـثـناؤه؛ لأن اسم الدار لا يتناول البناء مقصودًا؛ إذ الدار اسم لما أدير عليه الحائط من البقعة، والبناء يدخل تبعًا لا لفظًا؛ ولهذا لو استحق البناء قبل القبض لا يسقط شيء من الثمن بمقابلته؛ بل يتخيّر المشتري. والاستثناء إنما يكون ممّا يتناوله الكلام نصًّا؛ لأنه تصرف لفظي</w:t>
      </w:r>
      <w:r>
        <w:rPr>
          <w:rFonts w:hint="eastAsia"/>
          <w:rtl/>
        </w:rPr>
        <w:t>»</w:t>
      </w:r>
      <w:r>
        <w:rPr>
          <w:rFonts w:hint="cs"/>
          <w:rtl/>
        </w:rPr>
        <w:t>.</w:t>
      </w:r>
    </w:p>
    <w:p w:rsidR="00035BE3" w:rsidRDefault="00035BE3" w:rsidP="00C10469">
      <w:pPr>
        <w:pStyle w:val="a6"/>
        <w:ind w:left="422" w:firstLine="0"/>
        <w:rPr>
          <w:rtl/>
        </w:rPr>
      </w:pPr>
      <w:r>
        <w:rPr>
          <w:rFonts w:hint="cs"/>
          <w:rtl/>
        </w:rPr>
        <w:t>وانظر المصادر الآنف ذكرها عند توثيق القاعدة.</w:t>
      </w:r>
    </w:p>
  </w:footnote>
  <w:footnote w:id="7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 xml:space="preserve"> كاسـتـثـنـاء </w:t>
      </w:r>
      <w:r>
        <w:rPr>
          <w:rFonts w:hint="eastAsia"/>
          <w:rtl/>
        </w:rPr>
        <w:t>»</w:t>
      </w:r>
      <w:r>
        <w:rPr>
          <w:rFonts w:hint="cs"/>
          <w:rtl/>
        </w:rPr>
        <w:t>.</w:t>
      </w:r>
    </w:p>
  </w:footnote>
  <w:footnote w:id="7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قريب من معناه في بعض كتب الفقه وقواعده : </w:t>
      </w:r>
    </w:p>
    <w:p w:rsidR="00035BE3" w:rsidRDefault="00035BE3" w:rsidP="00C10469">
      <w:pPr>
        <w:pStyle w:val="a6"/>
        <w:ind w:left="422" w:firstLine="0"/>
        <w:rPr>
          <w:rtl/>
        </w:rPr>
      </w:pPr>
      <w:r>
        <w:rPr>
          <w:rFonts w:hint="cs"/>
          <w:b/>
          <w:bCs/>
          <w:rtl/>
        </w:rPr>
        <w:t>فمن كتب القواعد</w:t>
      </w:r>
      <w:r>
        <w:rPr>
          <w:rFonts w:hint="cs"/>
          <w:rtl/>
        </w:rPr>
        <w:t xml:space="preserve"> : </w:t>
      </w:r>
    </w:p>
    <w:p w:rsidR="00035BE3" w:rsidRPr="00E86F29" w:rsidRDefault="00035BE3" w:rsidP="00C10469">
      <w:pPr>
        <w:pStyle w:val="a6"/>
        <w:ind w:left="422" w:firstLine="0"/>
        <w:rPr>
          <w:spacing w:val="-4"/>
          <w:rtl/>
        </w:rPr>
      </w:pPr>
      <w:r>
        <w:rPr>
          <w:rFonts w:hint="cs"/>
          <w:rtl/>
        </w:rPr>
        <w:t xml:space="preserve">المنثور للزركشي، 1/162 - ولفظه : </w:t>
      </w:r>
      <w:r>
        <w:rPr>
          <w:rFonts w:hint="eastAsia"/>
          <w:rtl/>
        </w:rPr>
        <w:t>«</w:t>
      </w:r>
      <w:r>
        <w:rPr>
          <w:rFonts w:hint="cs"/>
          <w:rtl/>
        </w:rPr>
        <w:t>الاستثناء الحكمي هل هو كالاستثناء اللفظي؟</w:t>
      </w:r>
      <w:r>
        <w:rPr>
          <w:rFonts w:hint="eastAsia"/>
          <w:rtl/>
        </w:rPr>
        <w:t>»</w:t>
      </w:r>
      <w:r>
        <w:rPr>
          <w:rFonts w:hint="cs"/>
          <w:rtl/>
        </w:rPr>
        <w:t xml:space="preserve">-؛ تقرير القواعد لابن رجب، 1/234، قاعدة 33- ولفظه كالمنثور، إلا أنه زاد عليه: </w:t>
      </w:r>
      <w:r>
        <w:rPr>
          <w:rFonts w:hint="eastAsia"/>
          <w:rtl/>
        </w:rPr>
        <w:t>«</w:t>
      </w:r>
      <w:r>
        <w:rPr>
          <w:rFonts w:hint="cs"/>
          <w:rtl/>
        </w:rPr>
        <w:t xml:space="preserve">... أم تغتفر فيه </w:t>
      </w:r>
      <w:r w:rsidRPr="00E86F29">
        <w:rPr>
          <w:rFonts w:hint="cs"/>
          <w:spacing w:val="-4"/>
          <w:rtl/>
        </w:rPr>
        <w:t>الجهالة بخلاف اللفظي؟</w:t>
      </w:r>
      <w:r w:rsidRPr="00E86F29">
        <w:rPr>
          <w:rFonts w:hint="eastAsia"/>
          <w:spacing w:val="-4"/>
          <w:rtl/>
        </w:rPr>
        <w:t>»</w:t>
      </w:r>
      <w:r w:rsidRPr="00E86F29">
        <w:rPr>
          <w:rFonts w:hint="cs"/>
          <w:spacing w:val="-4"/>
          <w:rtl/>
        </w:rPr>
        <w:t xml:space="preserve">-؛ موسوعة القواعد الفقهية، 1/368 - وقد ورد فيها لفظان أحدهما لفظ ابن رجب والثاني مستفاد من المبسوط، وهو كلفظ المؤلف إلاّ أنه قال في آخرها: </w:t>
      </w:r>
      <w:r w:rsidRPr="00E86F29">
        <w:rPr>
          <w:rFonts w:hint="eastAsia"/>
          <w:spacing w:val="-4"/>
          <w:rtl/>
        </w:rPr>
        <w:t>«</w:t>
      </w:r>
      <w:r w:rsidRPr="00E86F29">
        <w:rPr>
          <w:rFonts w:hint="cs"/>
          <w:spacing w:val="-4"/>
          <w:rtl/>
        </w:rPr>
        <w:t>... كالاستثناء بالشرط</w:t>
      </w:r>
      <w:r w:rsidRPr="00E86F29">
        <w:rPr>
          <w:rFonts w:hint="eastAsia"/>
          <w:spacing w:val="-4"/>
          <w:rtl/>
        </w:rPr>
        <w:t>»</w:t>
      </w:r>
      <w:r w:rsidRPr="00E86F29">
        <w:rPr>
          <w:rFonts w:hint="cs"/>
          <w:spacing w:val="-4"/>
          <w:rtl/>
        </w:rPr>
        <w:t>.</w:t>
      </w:r>
    </w:p>
    <w:p w:rsidR="00035BE3" w:rsidRDefault="00035BE3" w:rsidP="00C10469">
      <w:pPr>
        <w:pStyle w:val="a6"/>
        <w:ind w:left="422" w:firstLine="0"/>
        <w:rPr>
          <w:rtl/>
        </w:rPr>
      </w:pPr>
      <w:r>
        <w:rPr>
          <w:rFonts w:hint="cs"/>
          <w:b/>
          <w:bCs/>
          <w:rtl/>
        </w:rPr>
        <w:t>ومن كتب الفقه</w:t>
      </w:r>
      <w:r>
        <w:rPr>
          <w:rFonts w:hint="cs"/>
          <w:rtl/>
        </w:rPr>
        <w:t xml:space="preserve"> : </w:t>
      </w:r>
    </w:p>
    <w:p w:rsidR="00035BE3" w:rsidRDefault="00035BE3" w:rsidP="00C10469">
      <w:pPr>
        <w:pStyle w:val="a6"/>
        <w:ind w:left="422" w:firstLine="0"/>
        <w:rPr>
          <w:rtl/>
        </w:rPr>
      </w:pPr>
      <w:r>
        <w:rPr>
          <w:rFonts w:hint="cs"/>
          <w:rtl/>
        </w:rPr>
        <w:t>المبسوط، 11/209؛ الكافي شرح الوافي، ق2، ص2338؛ الدُّرر شرح الغرر، 2/320 - ولفظ الأخيرين كلفظ المؤلف-.</w:t>
      </w:r>
    </w:p>
  </w:footnote>
  <w:footnote w:id="7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المفاوضة في اللغة</w:t>
      </w:r>
      <w:r>
        <w:rPr>
          <w:rFonts w:hint="cs"/>
          <w:rtl/>
        </w:rPr>
        <w:t xml:space="preserve"> : مشتقَّةٌ من (فوض)، والفاء والواو والضاد -كما يقول ابن فارس-: </w:t>
      </w:r>
      <w:r>
        <w:rPr>
          <w:rFonts w:hint="eastAsia"/>
          <w:rtl/>
        </w:rPr>
        <w:t>«</w:t>
      </w:r>
      <w:r>
        <w:rPr>
          <w:rFonts w:hint="cs"/>
          <w:rtl/>
        </w:rPr>
        <w:t>أصل صحيح يدل على اتّكال في الأمر على آخر، وردّه عليه. ثم يفرَّع فيردّ إليه ما يشبهه</w:t>
      </w:r>
      <w:r>
        <w:rPr>
          <w:rFonts w:hint="eastAsia"/>
          <w:rtl/>
        </w:rPr>
        <w:t>»</w:t>
      </w:r>
      <w:r>
        <w:rPr>
          <w:rFonts w:hint="cs"/>
          <w:rtl/>
        </w:rPr>
        <w:t xml:space="preserve">، ومن ذلك ما جاء في (لسان العرب) : </w:t>
      </w:r>
      <w:r>
        <w:rPr>
          <w:rFonts w:hint="eastAsia"/>
          <w:rtl/>
        </w:rPr>
        <w:t>«</w:t>
      </w:r>
      <w:r>
        <w:rPr>
          <w:rFonts w:hint="cs"/>
          <w:rtl/>
        </w:rPr>
        <w:t>المفاوضة: المساواة والمشاركة، وهي مفاعلة من التفويض، كأنَّ كلَّ واحد منهما ردّ ما عنده إلى صاحبه</w:t>
      </w:r>
      <w:r>
        <w:rPr>
          <w:rFonts w:hint="eastAsia"/>
          <w:rtl/>
        </w:rPr>
        <w:t>»</w:t>
      </w:r>
      <w:r>
        <w:rPr>
          <w:rFonts w:hint="cs"/>
          <w:rtl/>
        </w:rPr>
        <w:t>.</w:t>
      </w:r>
    </w:p>
    <w:p w:rsidR="00035BE3" w:rsidRDefault="00035BE3" w:rsidP="00C10469">
      <w:pPr>
        <w:pStyle w:val="a6"/>
        <w:ind w:left="422" w:firstLine="0"/>
        <w:rPr>
          <w:rtl/>
        </w:rPr>
      </w:pPr>
      <w:r>
        <w:rPr>
          <w:rFonts w:hint="cs"/>
          <w:b/>
          <w:bCs/>
          <w:rtl/>
        </w:rPr>
        <w:t>أما في الاصطلاح</w:t>
      </w:r>
      <w:r>
        <w:rPr>
          <w:rFonts w:hint="cs"/>
          <w:rtl/>
        </w:rPr>
        <w:t xml:space="preserve"> : </w:t>
      </w:r>
      <w:r>
        <w:rPr>
          <w:rFonts w:hint="eastAsia"/>
          <w:rtl/>
        </w:rPr>
        <w:t>«</w:t>
      </w:r>
      <w:r>
        <w:rPr>
          <w:rFonts w:hint="cs"/>
          <w:rtl/>
        </w:rPr>
        <w:t>فهي أن يشترك الرَّجلان فيتساويان في مالهما وتصرفهما وديْنهما</w:t>
      </w:r>
      <w:r>
        <w:rPr>
          <w:rFonts w:hint="eastAsia"/>
          <w:rtl/>
        </w:rPr>
        <w:t>»</w:t>
      </w:r>
      <w:r>
        <w:rPr>
          <w:rFonts w:hint="cs"/>
          <w:rtl/>
        </w:rPr>
        <w:t>- قاله صاحب الهداية-.</w:t>
      </w:r>
    </w:p>
    <w:p w:rsidR="00035BE3" w:rsidRDefault="00035BE3" w:rsidP="00C10469">
      <w:pPr>
        <w:pStyle w:val="a6"/>
        <w:ind w:left="422" w:firstLine="0"/>
        <w:rPr>
          <w:rtl/>
        </w:rPr>
      </w:pPr>
      <w:r>
        <w:rPr>
          <w:rFonts w:hint="cs"/>
          <w:rtl/>
        </w:rPr>
        <w:t xml:space="preserve">المقاييس في اللغة، مادة </w:t>
      </w:r>
      <w:r>
        <w:rPr>
          <w:rFonts w:hint="eastAsia"/>
          <w:rtl/>
        </w:rPr>
        <w:t>«</w:t>
      </w:r>
      <w:r>
        <w:rPr>
          <w:rFonts w:hint="cs"/>
          <w:rtl/>
        </w:rPr>
        <w:t>فوض</w:t>
      </w:r>
      <w:r>
        <w:rPr>
          <w:rFonts w:hint="eastAsia"/>
          <w:rtl/>
        </w:rPr>
        <w:t>»</w:t>
      </w:r>
      <w:r>
        <w:rPr>
          <w:rFonts w:hint="cs"/>
          <w:rtl/>
        </w:rPr>
        <w:t xml:space="preserve">، ص822؛ لسان العرب، مادة </w:t>
      </w:r>
      <w:r>
        <w:rPr>
          <w:rFonts w:hint="eastAsia"/>
          <w:rtl/>
        </w:rPr>
        <w:t>«</w:t>
      </w:r>
      <w:r>
        <w:rPr>
          <w:rFonts w:hint="cs"/>
          <w:rtl/>
        </w:rPr>
        <w:t>فوض</w:t>
      </w:r>
      <w:r>
        <w:rPr>
          <w:rFonts w:hint="eastAsia"/>
          <w:rtl/>
        </w:rPr>
        <w:t>»</w:t>
      </w:r>
      <w:r>
        <w:rPr>
          <w:rFonts w:hint="cs"/>
          <w:rtl/>
        </w:rPr>
        <w:t xml:space="preserve">، 7/210؛ وانظر: القاموس المحيط، مادة </w:t>
      </w:r>
      <w:r>
        <w:rPr>
          <w:rFonts w:hint="eastAsia"/>
          <w:rtl/>
        </w:rPr>
        <w:t>«</w:t>
      </w:r>
      <w:r>
        <w:rPr>
          <w:rFonts w:hint="cs"/>
          <w:rtl/>
        </w:rPr>
        <w:t>فوض</w:t>
      </w:r>
      <w:r>
        <w:rPr>
          <w:rFonts w:hint="eastAsia"/>
          <w:rtl/>
        </w:rPr>
        <w:t>»</w:t>
      </w:r>
      <w:r>
        <w:rPr>
          <w:rFonts w:hint="cs"/>
          <w:rtl/>
        </w:rPr>
        <w:t xml:space="preserve">، ص839؛ المعجم الوسيط، مادة </w:t>
      </w:r>
      <w:r>
        <w:rPr>
          <w:rFonts w:hint="eastAsia"/>
          <w:rtl/>
        </w:rPr>
        <w:t>«</w:t>
      </w:r>
      <w:r>
        <w:rPr>
          <w:rFonts w:hint="cs"/>
          <w:rtl/>
        </w:rPr>
        <w:t>فاوض</w:t>
      </w:r>
      <w:r>
        <w:rPr>
          <w:rFonts w:hint="eastAsia"/>
          <w:rtl/>
        </w:rPr>
        <w:t>»</w:t>
      </w:r>
      <w:r>
        <w:rPr>
          <w:rFonts w:hint="cs"/>
          <w:rtl/>
        </w:rPr>
        <w:t>، 2/706.</w:t>
      </w:r>
    </w:p>
    <w:p w:rsidR="00035BE3" w:rsidRDefault="00035BE3" w:rsidP="00C10469">
      <w:pPr>
        <w:pStyle w:val="a6"/>
        <w:ind w:left="422" w:firstLine="0"/>
        <w:rPr>
          <w:rtl/>
        </w:rPr>
      </w:pPr>
      <w:r>
        <w:rPr>
          <w:rFonts w:hint="cs"/>
          <w:rtl/>
        </w:rPr>
        <w:t xml:space="preserve">هذا ما يتعلق بالمعنى اللغوي، أما الاصطلاحي فهو منقول من: الهداية، 6/156؛ وانظر : طلبة الطلبة، ص220؛ المغني لابن قدامة، 7/137؛ الدّرر شرح الغرر، 2/319-320؛ التعريفات للجرجاني، ص287؛ مغني المحتاج، 2/212؛ الشرح الكبير وحاشية الدسوقي عليه، 3/351؛ ردّ المحتار على الدّر المختار، 6/476؛ معجم المصطلحات الاقتصادية، ص206-207. </w:t>
      </w:r>
    </w:p>
  </w:footnote>
  <w:footnote w:id="7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لأن شراء الطعام أو الكسوة عقد من عقود التجارة.</w:t>
      </w:r>
    </w:p>
  </w:footnote>
  <w:footnote w:id="7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وفي (أ) و(جـ) و(د) : </w:t>
      </w:r>
      <w:r>
        <w:rPr>
          <w:rFonts w:hint="eastAsia"/>
          <w:rtl/>
        </w:rPr>
        <w:t>«</w:t>
      </w:r>
      <w:r>
        <w:rPr>
          <w:rFonts w:hint="cs"/>
          <w:rtl/>
        </w:rPr>
        <w:t xml:space="preserve"> أنه </w:t>
      </w:r>
      <w:r>
        <w:rPr>
          <w:rFonts w:hint="eastAsia"/>
          <w:rtl/>
        </w:rPr>
        <w:t>»</w:t>
      </w:r>
      <w:r>
        <w:rPr>
          <w:rFonts w:hint="cs"/>
          <w:rtl/>
        </w:rPr>
        <w:t>. وقد اتفقت جـميع النسخ على تأنيث اللفظ التالي (وهو : مستثناةٌ )؛ لهذا تعيّن تقديم ما في (ب) على باقي النسخ، ولاسيما أنه معتضد بما في مصدر هذه العبارة (وهو الدّرر).</w:t>
      </w:r>
    </w:p>
    <w:p w:rsidR="00035BE3" w:rsidRDefault="00035BE3" w:rsidP="00C10469">
      <w:pPr>
        <w:pStyle w:val="a6"/>
        <w:ind w:left="422" w:firstLine="0"/>
        <w:rPr>
          <w:rtl/>
        </w:rPr>
      </w:pPr>
      <w:r>
        <w:rPr>
          <w:rFonts w:hint="cs"/>
          <w:rtl/>
        </w:rPr>
        <w:t>وعلى هذا يكون المعنى : أن هذه الأشياء كإطعام الأهل وكسوتهم ... تقتضي دلالة الحال كونها من الأمور المستثناة من عقد المفاوضة.</w:t>
      </w:r>
    </w:p>
  </w:footnote>
  <w:footnote w:id="7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يكون</w:t>
      </w:r>
      <w:r>
        <w:rPr>
          <w:rFonts w:hint="eastAsia"/>
          <w:rtl/>
        </w:rPr>
        <w:t>»</w:t>
      </w:r>
      <w:r>
        <w:rPr>
          <w:rFonts w:hint="cs"/>
          <w:rtl/>
        </w:rPr>
        <w:t>. والأفصح ما تمَّ إثباته من (ب)، وهو الموافق للدُّرر.</w:t>
      </w:r>
    </w:p>
  </w:footnote>
  <w:footnote w:id="7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7/أ من (جـ)، مع تكرار (الواو) في بداية اللوحة التي تليها.</w:t>
      </w:r>
    </w:p>
  </w:footnote>
  <w:footnote w:id="7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جلّ ما جاء في شرح هذه القاعدة مذكور في : الدّرر شرح الغرر، 2/320، مع اختلاف في بعض الألفاظ، ولاسيما من أول الشرح إلى قوله: </w:t>
      </w:r>
      <w:r>
        <w:rPr>
          <w:rFonts w:hint="eastAsia"/>
          <w:rtl/>
        </w:rPr>
        <w:t>«</w:t>
      </w:r>
      <w:r>
        <w:rPr>
          <w:rFonts w:hint="cs"/>
          <w:rtl/>
        </w:rPr>
        <w:t>والقياس</w:t>
      </w:r>
      <w:r>
        <w:rPr>
          <w:rFonts w:hint="eastAsia"/>
          <w:rtl/>
        </w:rPr>
        <w:t>»</w:t>
      </w:r>
      <w:r>
        <w:rPr>
          <w:rFonts w:hint="cs"/>
          <w:rtl/>
        </w:rPr>
        <w:t>.</w:t>
      </w:r>
    </w:p>
  </w:footnote>
  <w:footnote w:id="7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أصولية وردت بهذا النص أو نحوه في بعض كتب الحنفية الأصولية، كما وردت في مقام التعليل في كثير من كتبهم الفقهية.</w:t>
      </w:r>
    </w:p>
    <w:p w:rsidR="00035BE3" w:rsidRDefault="00035BE3" w:rsidP="00C10469">
      <w:pPr>
        <w:pStyle w:val="a6"/>
        <w:ind w:left="422" w:firstLine="0"/>
        <w:rPr>
          <w:rtl/>
        </w:rPr>
      </w:pPr>
      <w:r>
        <w:rPr>
          <w:rFonts w:hint="cs"/>
          <w:rtl/>
        </w:rPr>
        <w:t xml:space="preserve">ووجه كونها أصولية أنّها مرتبطة بمسألتين أصوليّتين : </w:t>
      </w:r>
    </w:p>
    <w:p w:rsidR="00035BE3" w:rsidRDefault="00035BE3" w:rsidP="00C10469">
      <w:pPr>
        <w:pStyle w:val="a6"/>
        <w:ind w:left="422" w:firstLine="0"/>
        <w:rPr>
          <w:rtl/>
        </w:rPr>
      </w:pPr>
      <w:r>
        <w:rPr>
          <w:rFonts w:hint="cs"/>
          <w:b/>
          <w:bCs/>
          <w:rtl/>
        </w:rPr>
        <w:t>الأولى</w:t>
      </w:r>
      <w:r>
        <w:rPr>
          <w:rFonts w:hint="cs"/>
          <w:rtl/>
        </w:rPr>
        <w:t xml:space="preserve"> : تقدير دلالة الاستثناء على الباقي.</w:t>
      </w:r>
    </w:p>
    <w:p w:rsidR="00035BE3" w:rsidRDefault="00035BE3" w:rsidP="00C10469">
      <w:pPr>
        <w:pStyle w:val="a6"/>
        <w:ind w:left="422" w:firstLine="0"/>
        <w:rPr>
          <w:rtl/>
        </w:rPr>
      </w:pPr>
      <w:r>
        <w:rPr>
          <w:rFonts w:hint="cs"/>
          <w:b/>
          <w:bCs/>
          <w:rtl/>
        </w:rPr>
        <w:t>الثانية</w:t>
      </w:r>
      <w:r>
        <w:rPr>
          <w:rFonts w:hint="cs"/>
          <w:rtl/>
        </w:rPr>
        <w:t xml:space="preserve"> : حكم الاستثناء المستغرق.</w:t>
      </w:r>
    </w:p>
    <w:p w:rsidR="00035BE3" w:rsidRDefault="00035BE3" w:rsidP="00C10469">
      <w:pPr>
        <w:pStyle w:val="a6"/>
        <w:ind w:left="422" w:firstLine="0"/>
        <w:rPr>
          <w:rtl/>
        </w:rPr>
      </w:pPr>
      <w:r>
        <w:rPr>
          <w:rFonts w:hint="cs"/>
          <w:rtl/>
        </w:rPr>
        <w:t>وكل مسألة منهما حصل فيها خلاف بين الأصوليين :</w:t>
      </w:r>
    </w:p>
    <w:p w:rsidR="00035BE3" w:rsidRDefault="00035BE3" w:rsidP="00C10469">
      <w:pPr>
        <w:pStyle w:val="a6"/>
        <w:ind w:left="422" w:firstLine="0"/>
        <w:rPr>
          <w:rtl/>
        </w:rPr>
      </w:pPr>
      <w:r>
        <w:rPr>
          <w:rFonts w:hint="cs"/>
          <w:rtl/>
        </w:rPr>
        <w:t xml:space="preserve">ولتحرير محل النزاع فيهما وبيان صلتهما بالقاعدة يقال : </w:t>
      </w:r>
    </w:p>
    <w:p w:rsidR="00035BE3" w:rsidRDefault="00035BE3" w:rsidP="00C10469">
      <w:pPr>
        <w:pStyle w:val="a6"/>
        <w:ind w:left="422" w:firstLine="0"/>
        <w:rPr>
          <w:b/>
          <w:bCs/>
          <w:rtl/>
        </w:rPr>
      </w:pPr>
      <w:r>
        <w:rPr>
          <w:rFonts w:hint="cs"/>
          <w:b/>
          <w:bCs/>
          <w:rtl/>
        </w:rPr>
        <w:t>المسألة الأولى :</w:t>
      </w:r>
    </w:p>
    <w:p w:rsidR="00035BE3" w:rsidRDefault="00035BE3" w:rsidP="00C10469">
      <w:pPr>
        <w:pStyle w:val="a6"/>
        <w:ind w:left="422" w:firstLine="0"/>
        <w:rPr>
          <w:spacing w:val="-2"/>
          <w:rtl/>
        </w:rPr>
      </w:pPr>
      <w:r>
        <w:rPr>
          <w:rFonts w:hint="cs"/>
          <w:spacing w:val="-2"/>
          <w:rtl/>
        </w:rPr>
        <w:t>حكى ابن الهمام في (التحرير) وغيره اتفاقَ العلماء على أن</w:t>
      </w:r>
      <w:r>
        <w:rPr>
          <w:rFonts w:hint="cs"/>
          <w:b/>
          <w:bCs/>
          <w:spacing w:val="-2"/>
          <w:rtl/>
        </w:rPr>
        <w:t>:</w:t>
      </w:r>
      <w:r>
        <w:rPr>
          <w:rFonts w:hint="cs"/>
          <w:spacing w:val="-2"/>
          <w:rtl/>
        </w:rPr>
        <w:t xml:space="preserve"> المستثنى ليس داخلاً في حكم المستثنى منه؛ فلو قال : له عليّ عشرة إلا ثلاثة : فالمقرّ به هو سبعة، لكن ما توجيه دلالة هذا الكلام على سبعة ؟.</w:t>
      </w:r>
    </w:p>
    <w:p w:rsidR="00035BE3" w:rsidRDefault="00035BE3" w:rsidP="00C10469">
      <w:pPr>
        <w:pStyle w:val="a6"/>
        <w:ind w:left="422" w:firstLine="0"/>
        <w:rPr>
          <w:rtl/>
        </w:rPr>
      </w:pPr>
      <w:r>
        <w:rPr>
          <w:rFonts w:hint="cs"/>
          <w:rtl/>
        </w:rPr>
        <w:t>هذا محل النزاع بين العلماء، ولهم فيه ثلاثة أقوال :</w:t>
      </w:r>
    </w:p>
    <w:p w:rsidR="00035BE3" w:rsidRDefault="00035BE3" w:rsidP="00C10469">
      <w:pPr>
        <w:pStyle w:val="a6"/>
        <w:ind w:left="422" w:firstLine="0"/>
        <w:rPr>
          <w:rtl/>
        </w:rPr>
      </w:pPr>
      <w:r>
        <w:rPr>
          <w:rFonts w:hint="cs"/>
          <w:b/>
          <w:bCs/>
          <w:rtl/>
        </w:rPr>
        <w:t xml:space="preserve">أولها </w:t>
      </w:r>
      <w:r>
        <w:rPr>
          <w:rFonts w:hint="cs"/>
          <w:rtl/>
        </w:rPr>
        <w:t xml:space="preserve">: هو قول جمهور الأصوليين القائلين بأن لفظ (عشرة) - في المثال المذكور- أُريد به (سبعة) من </w:t>
      </w:r>
      <w:r w:rsidRPr="003727AF">
        <w:rPr>
          <w:rFonts w:hint="cs"/>
          <w:spacing w:val="-4"/>
          <w:rtl/>
        </w:rPr>
        <w:t>باب تسمية الجزء (وهو سبعة) بالكل (وهو عشرة) مجازًا، والقرينة الصارفة هي (إلا) وما دخلت عليه.</w:t>
      </w:r>
    </w:p>
    <w:p w:rsidR="00035BE3" w:rsidRDefault="00035BE3" w:rsidP="00C10469">
      <w:pPr>
        <w:pStyle w:val="a6"/>
        <w:ind w:left="422" w:firstLine="0"/>
        <w:rPr>
          <w:rtl/>
        </w:rPr>
      </w:pPr>
      <w:r>
        <w:rPr>
          <w:rFonts w:hint="cs"/>
          <w:b/>
          <w:bCs/>
          <w:rtl/>
        </w:rPr>
        <w:t>الثاني</w:t>
      </w:r>
      <w:r>
        <w:rPr>
          <w:rFonts w:hint="cs"/>
          <w:rtl/>
        </w:rPr>
        <w:t xml:space="preserve"> : المراد بعشرة : عشرة باعتبار الإفراد، ثم أخرجت ثلاثة، والإسناد بعد الإخراج، فلم يسند إلا إلى سبعة. وقد اختار هذا ابن الحاجب بقوله : وهو الصحيح، كما اختاره ابن السبكي وغيرهما.</w:t>
      </w:r>
    </w:p>
    <w:p w:rsidR="00035BE3" w:rsidRDefault="00035BE3" w:rsidP="00C10469">
      <w:pPr>
        <w:pStyle w:val="a6"/>
        <w:ind w:left="422" w:firstLine="0"/>
        <w:rPr>
          <w:rtl/>
        </w:rPr>
      </w:pPr>
      <w:r>
        <w:rPr>
          <w:rFonts w:hint="cs"/>
          <w:b/>
          <w:bCs/>
          <w:rtl/>
        </w:rPr>
        <w:t>الثالث</w:t>
      </w:r>
      <w:r>
        <w:rPr>
          <w:rFonts w:hint="cs"/>
          <w:rtl/>
        </w:rPr>
        <w:t xml:space="preserve"> : المجموع (وهو عشرة إلا ثلاثة) موضوع للدلالة على الباقي (وهو سبعة)، كأنه وضع له اسمان : مفرد (وهو سبعة)، ومركب (وهو عشرة إلا ثلاثة).</w:t>
      </w:r>
    </w:p>
    <w:p w:rsidR="00035BE3" w:rsidRDefault="00035BE3" w:rsidP="00C10469">
      <w:pPr>
        <w:pStyle w:val="a6"/>
        <w:ind w:left="422" w:firstLine="0"/>
        <w:rPr>
          <w:rtl/>
        </w:rPr>
      </w:pPr>
      <w:r>
        <w:rPr>
          <w:rFonts w:hint="cs"/>
          <w:rtl/>
        </w:rPr>
        <w:t>وهذا قول القاضي أبي بكر الباقلاني، وطائفة من الحنفية.</w:t>
      </w:r>
    </w:p>
    <w:p w:rsidR="00035BE3" w:rsidRDefault="00035BE3" w:rsidP="00C10469">
      <w:pPr>
        <w:pStyle w:val="a6"/>
        <w:ind w:left="422" w:firstLine="0"/>
        <w:rPr>
          <w:rtl/>
        </w:rPr>
      </w:pPr>
      <w:r>
        <w:rPr>
          <w:rFonts w:hint="cs"/>
          <w:rtl/>
        </w:rPr>
        <w:t>والذي يظهر أن القول المتمشي مع القاعدة هو القول الثالث؛ باعتبار أن الإستثناء تكلم بالباقي حقيقة، كما يحتمل أن يكون القول الأول باعتبار أن الاستثناء تكلم بالباقي مجازًا.</w:t>
      </w:r>
    </w:p>
    <w:p w:rsidR="00035BE3" w:rsidRDefault="00035BE3" w:rsidP="00C10469">
      <w:pPr>
        <w:pStyle w:val="a6"/>
        <w:ind w:left="422" w:firstLine="0"/>
        <w:rPr>
          <w:rtl/>
        </w:rPr>
      </w:pPr>
      <w:r>
        <w:rPr>
          <w:rFonts w:hint="cs"/>
          <w:rtl/>
        </w:rPr>
        <w:t>إلا أن الأقرب إليها هو القول الثالث، لأن الحقيقة مقدمة على المجاز.</w:t>
      </w:r>
    </w:p>
    <w:p w:rsidR="00035BE3" w:rsidRDefault="00035BE3" w:rsidP="00C10469">
      <w:pPr>
        <w:pStyle w:val="a6"/>
        <w:ind w:left="422" w:firstLine="0"/>
        <w:rPr>
          <w:rtl/>
        </w:rPr>
      </w:pPr>
      <w:r>
        <w:rPr>
          <w:rFonts w:hint="cs"/>
          <w:rtl/>
        </w:rPr>
        <w:t xml:space="preserve">وقد أفصح عن ذلك صاحب (بدائع الصنائع) -7/209-، حيث قال : </w:t>
      </w:r>
      <w:r>
        <w:rPr>
          <w:rFonts w:hint="eastAsia"/>
          <w:rtl/>
        </w:rPr>
        <w:t>«</w:t>
      </w:r>
      <w:r>
        <w:rPr>
          <w:rFonts w:hint="cs"/>
          <w:rtl/>
        </w:rPr>
        <w:t xml:space="preserve">... لأن الاستثناء في الحقيقة تكلّم بالباقي بعد الثُّنْيَا ؛ كأنه قال : لفلان عليّ سبعة دراهم، إلا أن للسبعة اسمان : </w:t>
      </w:r>
      <w:r>
        <w:rPr>
          <w:rFonts w:hint="cs"/>
          <w:b/>
          <w:bCs/>
          <w:rtl/>
        </w:rPr>
        <w:t>أحدهما</w:t>
      </w:r>
      <w:r>
        <w:rPr>
          <w:rFonts w:hint="cs"/>
          <w:rtl/>
        </w:rPr>
        <w:t xml:space="preserve"> : سبعة، و</w:t>
      </w:r>
      <w:r>
        <w:rPr>
          <w:rFonts w:hint="cs"/>
          <w:b/>
          <w:bCs/>
          <w:rtl/>
        </w:rPr>
        <w:t>الآخر</w:t>
      </w:r>
      <w:r>
        <w:rPr>
          <w:rFonts w:hint="cs"/>
          <w:rtl/>
        </w:rPr>
        <w:t xml:space="preserve"> : عشرة إلا ثلاثة ... </w:t>
      </w:r>
      <w:r>
        <w:rPr>
          <w:rFonts w:hint="eastAsia"/>
          <w:rtl/>
        </w:rPr>
        <w:t>»</w:t>
      </w:r>
      <w:r>
        <w:rPr>
          <w:rFonts w:hint="cs"/>
          <w:rtl/>
        </w:rPr>
        <w:t>. وانظر نحو هذا التوجيه في الدر المختار، 12/190-191؛ وانظر كذلك : التنقيح والتوضيح، 2/21؛ قرة عيون الأخيار، 12/192.</w:t>
      </w:r>
      <w:r>
        <w:rPr>
          <w:rFonts w:hint="cs"/>
          <w:rtl/>
        </w:rPr>
        <w:tab/>
      </w:r>
      <w:r>
        <w:rPr>
          <w:rFonts w:hint="cs"/>
          <w:rtl/>
        </w:rPr>
        <w:tab/>
      </w:r>
      <w:r>
        <w:rPr>
          <w:rFonts w:hint="cs"/>
          <w:rtl/>
        </w:rPr>
        <w:tab/>
        <w:t xml:space="preserve">  </w:t>
      </w:r>
    </w:p>
    <w:p w:rsidR="00035BE3" w:rsidRDefault="00035BE3" w:rsidP="00C10469">
      <w:pPr>
        <w:pStyle w:val="a6"/>
        <w:ind w:left="422" w:firstLine="0"/>
        <w:rPr>
          <w:spacing w:val="-8"/>
          <w:rtl/>
        </w:rPr>
      </w:pPr>
      <w:r>
        <w:rPr>
          <w:rFonts w:hint="cs"/>
          <w:spacing w:val="-8"/>
          <w:rtl/>
        </w:rPr>
        <w:t xml:space="preserve">ومن أفضل من حرّر هذه المسألة من المعاصرين د. أكرم أوزيقان، وذلك في كتابه : الاستثناء عند الأصوليين، ص140-145، وقد وصف القول الأخير بقوله : </w:t>
      </w:r>
      <w:r>
        <w:rPr>
          <w:rFonts w:hint="eastAsia"/>
          <w:spacing w:val="-8"/>
          <w:rtl/>
        </w:rPr>
        <w:t>«</w:t>
      </w:r>
      <w:r>
        <w:rPr>
          <w:rFonts w:hint="cs"/>
          <w:spacing w:val="-8"/>
          <w:rtl/>
        </w:rPr>
        <w:t>والمذهب الثالث ظاهر الضعف</w:t>
      </w:r>
      <w:r>
        <w:rPr>
          <w:rFonts w:hint="eastAsia"/>
          <w:spacing w:val="-8"/>
          <w:rtl/>
        </w:rPr>
        <w:t>»</w:t>
      </w:r>
      <w:r>
        <w:rPr>
          <w:rFonts w:hint="cs"/>
          <w:spacing w:val="-8"/>
          <w:rtl/>
        </w:rPr>
        <w:t>. فراجعه إن شئت.</w:t>
      </w:r>
    </w:p>
    <w:p w:rsidR="00035BE3" w:rsidRDefault="00035BE3" w:rsidP="00C10469">
      <w:pPr>
        <w:pStyle w:val="a6"/>
        <w:ind w:left="422" w:firstLine="0"/>
        <w:rPr>
          <w:rtl/>
        </w:rPr>
      </w:pPr>
      <w:r>
        <w:rPr>
          <w:rFonts w:hint="cs"/>
          <w:b/>
          <w:bCs/>
          <w:rtl/>
        </w:rPr>
        <w:t>أما المسألة الثانية</w:t>
      </w:r>
      <w:r>
        <w:rPr>
          <w:rFonts w:hint="cs"/>
          <w:rtl/>
        </w:rPr>
        <w:t xml:space="preserve"> : </w:t>
      </w:r>
    </w:p>
    <w:p w:rsidR="00035BE3" w:rsidRDefault="00035BE3" w:rsidP="00C10469">
      <w:pPr>
        <w:pStyle w:val="a6"/>
        <w:ind w:left="422" w:firstLine="0"/>
        <w:rPr>
          <w:rtl/>
        </w:rPr>
      </w:pPr>
      <w:r>
        <w:rPr>
          <w:rFonts w:hint="cs"/>
          <w:rtl/>
        </w:rPr>
        <w:t>فقد حكى الرازي والآمدي وابن الحاجب وغيرهم حكوا الاتفاق على بطلان الاستثناء المستغرق، وهذا الاتفاق وإن لم يسلّم به البعض - كالقرافي والزركشي - إلا أن الذي يُهمّ - هنا- أن الحنفية حـملوا هذا الاتفاق على ما إذا كان الاستـثناء بلفظ المستثنى منه أو ما يساويه؛ كـقوله : عـبيدي أحـرار إلا عبيدي، أو ... إلا مماليكي.</w:t>
      </w:r>
    </w:p>
    <w:p w:rsidR="00035BE3" w:rsidRDefault="00035BE3" w:rsidP="00C10469">
      <w:pPr>
        <w:pStyle w:val="a6"/>
        <w:ind w:left="422" w:firstLine="0"/>
        <w:rPr>
          <w:rtl/>
        </w:rPr>
      </w:pPr>
      <w:r>
        <w:rPr>
          <w:rFonts w:hint="cs"/>
          <w:rtl/>
        </w:rPr>
        <w:t>أما إذا كان الاستثناء بغيرهما فخالفوا وقالوا : لا يمنع هذا من جواز الاستثناء؛ كقوله : نسائي طوالق إلا هؤلاء، والمشار إليهن جميع نسائه.</w:t>
      </w:r>
    </w:p>
    <w:p w:rsidR="00035BE3" w:rsidRDefault="00035BE3" w:rsidP="00C10469">
      <w:pPr>
        <w:pStyle w:val="a6"/>
        <w:ind w:left="422" w:firstLine="0"/>
        <w:rPr>
          <w:rtl/>
        </w:rPr>
      </w:pPr>
      <w:r>
        <w:rPr>
          <w:rFonts w:hint="cs"/>
          <w:rtl/>
        </w:rPr>
        <w:t>ووجه ارتباط قول الحنفية هذا بالقاعدة واضح من خلال النظر في شرح المؤلف لها؛ إذْ إن الاستثناء إذا كان تكلّمًا بالباقي فيلزم منه أن يدل اللفظ على أن هناك باقيًا؛ حتى يصدق كون الاستثناء تكلُّمًا به، وهذه الدلالة تمنع استثناء الكلّ بعين لفظ المستثنى منه أو ما يساويه ولكنها -عندهم- لا تمنع من استثنائه بغيرهما؛ لأنه لو حصل استثناء الكلّ بغيرهما فإن هذا ليس لقصور في دلالة لفظ الاستثناء؛ وإنما لأمر خارج (وهو عدم وجود نساء له غير المشار إليهن في المثال المذكور).</w:t>
      </w:r>
    </w:p>
    <w:p w:rsidR="00035BE3" w:rsidRDefault="00035BE3" w:rsidP="00C10469">
      <w:pPr>
        <w:pStyle w:val="a6"/>
        <w:ind w:left="422" w:firstLine="0"/>
        <w:rPr>
          <w:rtl/>
        </w:rPr>
      </w:pPr>
      <w:r>
        <w:rPr>
          <w:rFonts w:hint="cs"/>
          <w:rtl/>
        </w:rPr>
        <w:t>ولو عدتَ إلى القاعدة : فقد وردت بلفظها أو نحوه في عدّة كتب من كتب الفقه الحنفي وأصوله:</w:t>
      </w:r>
    </w:p>
    <w:p w:rsidR="00035BE3" w:rsidRDefault="00035BE3" w:rsidP="00C10469">
      <w:pPr>
        <w:pStyle w:val="a6"/>
        <w:ind w:left="422" w:firstLine="0"/>
        <w:rPr>
          <w:rtl/>
        </w:rPr>
      </w:pPr>
      <w:r>
        <w:rPr>
          <w:rFonts w:hint="cs"/>
          <w:b/>
          <w:bCs/>
          <w:rtl/>
        </w:rPr>
        <w:t>فمن كتب الأصول</w:t>
      </w:r>
      <w:r>
        <w:rPr>
          <w:rFonts w:hint="cs"/>
          <w:rtl/>
        </w:rPr>
        <w:t xml:space="preserve"> : </w:t>
      </w:r>
    </w:p>
    <w:p w:rsidR="00035BE3" w:rsidRDefault="00035BE3" w:rsidP="00C10469">
      <w:pPr>
        <w:pStyle w:val="a6"/>
        <w:ind w:left="422" w:firstLine="0"/>
        <w:rPr>
          <w:rtl/>
        </w:rPr>
      </w:pPr>
      <w:r>
        <w:rPr>
          <w:rFonts w:hint="cs"/>
          <w:rtl/>
        </w:rPr>
        <w:t>أصول البزدوي وكشف الأسرار، 3/243، 245؛ المغني للخبازي، ص241، 248؛ المنار وشروحه: كشف الأسرار، 2/21؛ وجامع الأسرار للكاكي، 3/834؛ وفتح الغفار، 2/135؛ التنقيح وشرحه : التوضيح، 2/31،21؛ التحرير وشرحاه : التقرير والتحبير، 1/261، 266-267؛ وتيسـير التحرير، 1/294، 300.</w:t>
      </w:r>
    </w:p>
    <w:p w:rsidR="00035BE3" w:rsidRDefault="00035BE3" w:rsidP="00C10469">
      <w:pPr>
        <w:pStyle w:val="a6"/>
        <w:ind w:left="422" w:firstLine="0"/>
        <w:rPr>
          <w:rtl/>
        </w:rPr>
      </w:pPr>
      <w:r>
        <w:rPr>
          <w:rFonts w:hint="cs"/>
          <w:b/>
          <w:bCs/>
          <w:rtl/>
        </w:rPr>
        <w:t>ومن كتب الفقه</w:t>
      </w:r>
      <w:r>
        <w:rPr>
          <w:rFonts w:hint="cs"/>
          <w:rtl/>
        </w:rPr>
        <w:t xml:space="preserve"> : </w:t>
      </w:r>
    </w:p>
    <w:p w:rsidR="00035BE3" w:rsidRDefault="00035BE3" w:rsidP="00C10469">
      <w:pPr>
        <w:pStyle w:val="a6"/>
        <w:ind w:left="422" w:firstLine="0"/>
        <w:rPr>
          <w:rtl/>
        </w:rPr>
      </w:pPr>
      <w:r>
        <w:rPr>
          <w:rFonts w:hint="cs"/>
          <w:rtl/>
        </w:rPr>
        <w:t>تحفة الفقهاء، 1/377؛ بدائع الصنائع، 4/86، 209، 210، 211؛ الهداية والعناية ونتائج الأفكار، 8/352؛ والعناية فقط، 9/52؛ فتاوى قاضي خان، 2/151؛ الاختيار لتعليل المختار، 2/132، 133؛ الكافي شرح الـوافي، ق2، ص726؛ تبيـين الحقـائق، 5/13، 14؛ الـدُّرر شرح الغرر، 1/380، 2/270، 363، 364؛ البحر الرائق، 4/247، 7/252؛ الدُّر المختار وردّ المحتار عليه أو قرة عيون الأخيار، 8/373، 12/190.</w:t>
      </w:r>
    </w:p>
    <w:p w:rsidR="00035BE3" w:rsidRDefault="00035BE3" w:rsidP="00C10469">
      <w:pPr>
        <w:pStyle w:val="a6"/>
        <w:ind w:left="422" w:firstLine="0"/>
        <w:rPr>
          <w:rtl/>
        </w:rPr>
      </w:pPr>
      <w:r>
        <w:rPr>
          <w:rFonts w:hint="cs"/>
          <w:rtl/>
        </w:rPr>
        <w:t>كما وردت في طلبة الطلبة، ص152.</w:t>
      </w:r>
    </w:p>
    <w:p w:rsidR="00035BE3" w:rsidRDefault="00035BE3" w:rsidP="00C10469">
      <w:pPr>
        <w:pStyle w:val="a6"/>
        <w:ind w:left="422" w:firstLine="0"/>
        <w:rPr>
          <w:b/>
          <w:bCs/>
          <w:rtl/>
        </w:rPr>
      </w:pPr>
      <w:r>
        <w:rPr>
          <w:rFonts w:hint="cs"/>
          <w:b/>
          <w:bCs/>
          <w:rtl/>
        </w:rPr>
        <w:t xml:space="preserve">وانظر كلام الأصوليين في تقدير دلالة الاستثناء على الباقي في الكتب الآتية : </w:t>
      </w:r>
      <w:r>
        <w:rPr>
          <w:rFonts w:hint="cs"/>
          <w:b/>
          <w:bCs/>
          <w:rtl/>
        </w:rPr>
        <w:tab/>
      </w:r>
      <w:r>
        <w:rPr>
          <w:rFonts w:hint="cs"/>
          <w:b/>
          <w:bCs/>
          <w:rtl/>
        </w:rPr>
        <w:tab/>
        <w:t xml:space="preserve">  </w:t>
      </w:r>
    </w:p>
    <w:p w:rsidR="00035BE3" w:rsidRPr="00127FE5" w:rsidRDefault="00035BE3" w:rsidP="00C10469">
      <w:pPr>
        <w:pStyle w:val="a6"/>
        <w:ind w:left="422" w:firstLine="0"/>
        <w:rPr>
          <w:rtl/>
        </w:rPr>
      </w:pPr>
      <w:r>
        <w:rPr>
          <w:rFonts w:hint="cs"/>
          <w:rtl/>
        </w:rPr>
        <w:t xml:space="preserve">أصول السَّرْخسي، 2/40؛ مختصر ابن الحاجب وشرح العضد وحاشية التفتازاني، 2/134؛ التنقيح والتوضيح والتلويح، 2/21؛ جمع الجـوامـع وشرح المحلي، 2/45 (مع حاشية العطار)؛ تشنيف المسامع، 2/738-739؛ التمهيد للإسنوي، ص387؛ التحرير مع التقرير والتحبير، 1/258؛ ومع </w:t>
      </w:r>
      <w:r w:rsidRPr="00127FE5">
        <w:rPr>
          <w:rFonts w:hint="cs"/>
          <w:spacing w:val="-2"/>
          <w:rtl/>
        </w:rPr>
        <w:t>تيسير التحرير، 1/289؛ شرح الكوكب المنير، 3/289؛ مسلّم الثبوت وشرحه: فـواتح</w:t>
      </w:r>
      <w:r>
        <w:rPr>
          <w:rFonts w:hint="cs"/>
          <w:rtl/>
        </w:rPr>
        <w:t xml:space="preserve"> </w:t>
      </w:r>
      <w:r w:rsidRPr="00127FE5">
        <w:rPr>
          <w:rFonts w:hint="cs"/>
          <w:spacing w:val="-4"/>
          <w:rtl/>
        </w:rPr>
        <w:t xml:space="preserve">الـرحموت، </w:t>
      </w:r>
      <w:r w:rsidRPr="00127FE5">
        <w:rPr>
          <w:rFonts w:hint="cs"/>
          <w:rtl/>
        </w:rPr>
        <w:t>1/316؛ إرشاد الفحول، 1/523؛ الاستثناء عند الأصوليين للدكتور أكرم أوزيقان، ص140.</w:t>
      </w:r>
      <w:r w:rsidRPr="00127FE5">
        <w:rPr>
          <w:rFonts w:hint="eastAsia"/>
          <w:rtl/>
        </w:rPr>
        <w:t xml:space="preserve"> </w:t>
      </w:r>
    </w:p>
    <w:p w:rsidR="00035BE3" w:rsidRDefault="00035BE3" w:rsidP="00C10469">
      <w:pPr>
        <w:pStyle w:val="a6"/>
        <w:ind w:left="422" w:firstLine="0"/>
        <w:rPr>
          <w:b/>
          <w:bCs/>
          <w:rtl/>
        </w:rPr>
      </w:pPr>
      <w:r>
        <w:rPr>
          <w:rFonts w:hint="cs"/>
          <w:b/>
          <w:bCs/>
          <w:rtl/>
        </w:rPr>
        <w:t xml:space="preserve">وانظر كلام الأصوليين أيضًا في حكم الاستثناء المستغرق في الكتب الآتية : </w:t>
      </w:r>
    </w:p>
    <w:p w:rsidR="00035BE3" w:rsidRDefault="00035BE3" w:rsidP="00C10469">
      <w:pPr>
        <w:pStyle w:val="a6"/>
        <w:ind w:left="422" w:firstLine="0"/>
        <w:rPr>
          <w:rtl/>
        </w:rPr>
      </w:pPr>
      <w:r>
        <w:rPr>
          <w:rFonts w:hint="cs"/>
          <w:rtl/>
        </w:rPr>
        <w:t>المستصـفى، 2/170؛ المحصـول، 1/410؛ روضة الناظر، 2/752؛ الإحكام للآمدي، 2/318؛ مختصر ابن الحاجب وشرح العضد وحاشية التفتازاني، 2/138؛ الاستغناء في الاستـثـناء للقـرافي، ص442؛ شرح تنقيح الفصول، ص244؛ جمع الجوامع وشرح المحلي وحاشية العطار، 2/47؛ تشنـيف المسامع، 2/742؛ التمهيد للإسنوي، ص395؛ التحرير وشرحيه: التقرير والتحبير، 1/266؛ وتيسير التحرير، 1/300؛ التنقيح وشرحه: التوضيح، 2/29؛ مسلّم الثبوت وشرحه : فـواتح الرحـموت، 1/323؛ الاستثناء عند الأصـوليـين للدكتور أكرم أوزيقان، ص74.</w:t>
      </w:r>
    </w:p>
    <w:p w:rsidR="00035BE3" w:rsidRDefault="00035BE3" w:rsidP="00C10469">
      <w:pPr>
        <w:pStyle w:val="a6"/>
        <w:ind w:left="422" w:firstLine="0"/>
        <w:rPr>
          <w:b/>
          <w:bCs/>
          <w:rtl/>
        </w:rPr>
      </w:pPr>
      <w:r>
        <w:rPr>
          <w:rFonts w:hint="cs"/>
          <w:b/>
          <w:bCs/>
          <w:rtl/>
        </w:rPr>
        <w:t xml:space="preserve">كما وردت هذه المسألة في عدد من كتب الفقه وقواعده، منها : </w:t>
      </w:r>
    </w:p>
    <w:p w:rsidR="00035BE3" w:rsidRDefault="00035BE3" w:rsidP="00C10469">
      <w:pPr>
        <w:pStyle w:val="a6"/>
        <w:spacing w:line="440" w:lineRule="exact"/>
        <w:ind w:left="422" w:firstLine="0"/>
        <w:rPr>
          <w:spacing w:val="6"/>
          <w:rtl/>
        </w:rPr>
      </w:pPr>
      <w:r>
        <w:rPr>
          <w:rFonts w:hint="cs"/>
          <w:spacing w:val="6"/>
          <w:rtl/>
        </w:rPr>
        <w:t xml:space="preserve">المغني لابن قدامة، 7/3؛ المحيط البرهاني، ق3، ص1448؛ المصفى مختصر المستصفى للنسفي، ل68/ب؛ ترتيب الفروق، 1/239؛ القواعد للحصني، 3/158؛ مختصر من قـواعد الـعلائي، 1/356، 2/471؛ الأشباه والنظائر للسيوطي، 2/674؛ ولابن نجيم، ص 208؛ حاشية الدسوقي على الشرح الكبير، 3/410. </w:t>
      </w:r>
    </w:p>
  </w:footnote>
  <w:footnote w:id="7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9/أ من (أ).</w:t>
      </w:r>
    </w:p>
  </w:footnote>
  <w:footnote w:id="7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يشـير بهذا إلى قاعدة : </w:t>
      </w:r>
      <w:r>
        <w:rPr>
          <w:rFonts w:hint="eastAsia"/>
          <w:rtl/>
        </w:rPr>
        <w:t>«</w:t>
      </w:r>
      <w:r>
        <w:rPr>
          <w:rFonts w:hint="cs"/>
          <w:rtl/>
        </w:rPr>
        <w:t>الرجوع من الإقرار باطل</w:t>
      </w:r>
      <w:r>
        <w:rPr>
          <w:rFonts w:hint="eastAsia"/>
          <w:rtl/>
        </w:rPr>
        <w:t>»</w:t>
      </w:r>
      <w:r>
        <w:rPr>
          <w:rFonts w:hint="cs"/>
          <w:rtl/>
        </w:rPr>
        <w:t>، وسـوف يأتي الحديث عنها استقلالاً، ص725 (ل54/ب)، قاعدة 131.</w:t>
      </w:r>
    </w:p>
  </w:footnote>
  <w:footnote w:id="7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حرّ</w:t>
      </w:r>
      <w:r>
        <w:rPr>
          <w:rFonts w:hint="eastAsia"/>
          <w:rtl/>
        </w:rPr>
        <w:t>»</w:t>
      </w:r>
      <w:r>
        <w:rPr>
          <w:rFonts w:hint="cs"/>
          <w:rtl/>
        </w:rPr>
        <w:t xml:space="preserve">. والصحـيح ما تمّ إثباته من (ب) و(د). علـمًا بأنه جـاء في مصـدر هذه العبارة (وهو الدّرر) : </w:t>
      </w:r>
      <w:r>
        <w:rPr>
          <w:rFonts w:hint="eastAsia"/>
          <w:rtl/>
        </w:rPr>
        <w:t>«</w:t>
      </w:r>
      <w:r>
        <w:rPr>
          <w:rFonts w:hint="cs"/>
          <w:rtl/>
        </w:rPr>
        <w:t xml:space="preserve">غلماني </w:t>
      </w:r>
      <w:r>
        <w:rPr>
          <w:rFonts w:hint="cs"/>
          <w:b/>
          <w:bCs/>
          <w:rtl/>
        </w:rPr>
        <w:t>كذا</w:t>
      </w:r>
      <w:r>
        <w:rPr>
          <w:rFonts w:hint="cs"/>
          <w:rtl/>
        </w:rPr>
        <w:t xml:space="preserve"> إلا ...</w:t>
      </w:r>
      <w:r>
        <w:rPr>
          <w:rFonts w:hint="eastAsia"/>
          <w:rtl/>
        </w:rPr>
        <w:t>»</w:t>
      </w:r>
      <w:r>
        <w:rPr>
          <w:rFonts w:hint="cs"/>
          <w:rtl/>
        </w:rPr>
        <w:t>.</w:t>
      </w:r>
    </w:p>
  </w:footnote>
  <w:footnote w:id="7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الثُّنْـيَا</w:t>
      </w:r>
      <w:r>
        <w:rPr>
          <w:rFonts w:hint="cs"/>
          <w:rtl/>
        </w:rPr>
        <w:t xml:space="preserve"> : اسمٌ من الاستثناء، ومادته </w:t>
      </w:r>
      <w:r>
        <w:rPr>
          <w:rFonts w:hint="eastAsia"/>
          <w:rtl/>
        </w:rPr>
        <w:t>«</w:t>
      </w:r>
      <w:r>
        <w:rPr>
          <w:rFonts w:hint="cs"/>
          <w:rtl/>
        </w:rPr>
        <w:t>ثني</w:t>
      </w:r>
      <w:r>
        <w:rPr>
          <w:rFonts w:hint="eastAsia"/>
          <w:rtl/>
        </w:rPr>
        <w:t>»</w:t>
      </w:r>
      <w:r>
        <w:rPr>
          <w:rFonts w:hint="cs"/>
          <w:rtl/>
        </w:rPr>
        <w:t xml:space="preserve">، والثاء والنون والياء - كما يقول ابن فارس -: </w:t>
      </w:r>
      <w:r>
        <w:rPr>
          <w:rFonts w:hint="eastAsia"/>
          <w:rtl/>
        </w:rPr>
        <w:t>«</w:t>
      </w:r>
      <w:r>
        <w:rPr>
          <w:rFonts w:hint="cs"/>
          <w:rtl/>
        </w:rPr>
        <w:t>أصل واحد، وهو تكرير الشيء مرّتين، أو جعله شيئين متواليين أو متباينين ... ومعنى الاستثناء من قياس الباب، وذلك أنَّ ذِكره يُثنَّى مرَّة في الجملة ومرَّة في التفصيل ...</w:t>
      </w:r>
      <w:r>
        <w:rPr>
          <w:rFonts w:hint="eastAsia"/>
          <w:rtl/>
        </w:rPr>
        <w:t>»</w:t>
      </w:r>
      <w:r>
        <w:rPr>
          <w:rFonts w:hint="cs"/>
          <w:rtl/>
        </w:rPr>
        <w:t>.</w:t>
      </w:r>
    </w:p>
    <w:p w:rsidR="00035BE3" w:rsidRDefault="00035BE3" w:rsidP="00C10469">
      <w:pPr>
        <w:pStyle w:val="a6"/>
        <w:ind w:left="422" w:firstLine="0"/>
        <w:rPr>
          <w:rtl/>
        </w:rPr>
      </w:pPr>
      <w:r>
        <w:rPr>
          <w:rFonts w:hint="cs"/>
          <w:rtl/>
        </w:rPr>
        <w:t xml:space="preserve">المقاييس في اللغة، مادة </w:t>
      </w:r>
      <w:r>
        <w:rPr>
          <w:rFonts w:hint="eastAsia"/>
          <w:rtl/>
        </w:rPr>
        <w:t>«</w:t>
      </w:r>
      <w:r>
        <w:rPr>
          <w:rFonts w:hint="cs"/>
          <w:rtl/>
        </w:rPr>
        <w:t>ثني</w:t>
      </w:r>
      <w:r>
        <w:rPr>
          <w:rFonts w:hint="eastAsia"/>
          <w:rtl/>
        </w:rPr>
        <w:t>»</w:t>
      </w:r>
      <w:r>
        <w:rPr>
          <w:rFonts w:hint="cs"/>
          <w:rtl/>
        </w:rPr>
        <w:t xml:space="preserve">، ص188؛ وانظر : لسان العرب، مادة </w:t>
      </w:r>
      <w:r>
        <w:rPr>
          <w:rFonts w:hint="eastAsia"/>
          <w:rtl/>
        </w:rPr>
        <w:t>«</w:t>
      </w:r>
      <w:r>
        <w:rPr>
          <w:rFonts w:hint="cs"/>
          <w:rtl/>
        </w:rPr>
        <w:t>ثني</w:t>
      </w:r>
      <w:r>
        <w:rPr>
          <w:rFonts w:hint="eastAsia"/>
          <w:rtl/>
        </w:rPr>
        <w:t>»</w:t>
      </w:r>
      <w:r>
        <w:rPr>
          <w:rFonts w:hint="cs"/>
          <w:rtl/>
        </w:rPr>
        <w:t xml:space="preserve">، 14/124، 125؛ القاموس المحيط، مادة </w:t>
      </w:r>
      <w:r>
        <w:rPr>
          <w:rFonts w:hint="eastAsia"/>
          <w:rtl/>
        </w:rPr>
        <w:t>«</w:t>
      </w:r>
      <w:r>
        <w:rPr>
          <w:rFonts w:hint="cs"/>
          <w:rtl/>
        </w:rPr>
        <w:t>ثنى</w:t>
      </w:r>
      <w:r>
        <w:rPr>
          <w:rFonts w:hint="eastAsia"/>
          <w:rtl/>
        </w:rPr>
        <w:t>»</w:t>
      </w:r>
      <w:r>
        <w:rPr>
          <w:rFonts w:hint="cs"/>
          <w:rtl/>
        </w:rPr>
        <w:t>، ص1636-1637؛ وانظر أيضًا: طلبة الطلبة، ص152.</w:t>
      </w:r>
      <w:r>
        <w:rPr>
          <w:rFonts w:hint="eastAsia"/>
          <w:rtl/>
        </w:rPr>
        <w:t xml:space="preserve"> </w:t>
      </w:r>
    </w:p>
  </w:footnote>
  <w:footnote w:id="7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لما </w:t>
      </w:r>
      <w:r>
        <w:rPr>
          <w:rFonts w:hint="eastAsia"/>
          <w:rtl/>
        </w:rPr>
        <w:t>»</w:t>
      </w:r>
      <w:r>
        <w:rPr>
          <w:rFonts w:hint="cs"/>
          <w:rtl/>
        </w:rPr>
        <w:t>. وهذا الأولى.</w:t>
      </w:r>
    </w:p>
  </w:footnote>
  <w:footnote w:id="7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معنى هذا التعليل : أن المستثنى إنما صار كلَّ المستثنى منه؛ لأجل الضرورة؛ إِذ المتكلِّم لا يملك سواهم، أما اللفظ فليس فيه ما يدل على استثناء الكل ... -والله أعلم-.</w:t>
      </w:r>
    </w:p>
  </w:footnote>
  <w:footnote w:id="7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6/ب من (ب).</w:t>
      </w:r>
    </w:p>
  </w:footnote>
  <w:footnote w:id="7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لأمـكن</w:t>
      </w:r>
      <w:r>
        <w:rPr>
          <w:rFonts w:hint="eastAsia"/>
          <w:rtl/>
        </w:rPr>
        <w:t>»</w:t>
      </w:r>
      <w:r>
        <w:rPr>
          <w:rFonts w:hint="cs"/>
          <w:rtl/>
        </w:rPr>
        <w:t>. والصحـيح ما تمّ إثـباتـه من (ب) و(جـ)؛ وفاقًا للدّرر والعنـاية؛ لأنه لا معنى لزيادة اللام هنا.</w:t>
      </w:r>
    </w:p>
  </w:footnote>
  <w:footnote w:id="7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المستثنى </w:t>
      </w:r>
      <w:r>
        <w:rPr>
          <w:rFonts w:hint="eastAsia"/>
          <w:rtl/>
        </w:rPr>
        <w:t>»</w:t>
      </w:r>
      <w:r>
        <w:rPr>
          <w:rFonts w:hint="cs"/>
          <w:rtl/>
        </w:rPr>
        <w:t>؛ وفاقًا للدّرر والعناية.</w:t>
      </w:r>
    </w:p>
  </w:footnote>
  <w:footnote w:id="7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خارج </w:t>
      </w:r>
      <w:r>
        <w:rPr>
          <w:rFonts w:hint="eastAsia"/>
          <w:rtl/>
        </w:rPr>
        <w:t>»</w:t>
      </w:r>
      <w:r>
        <w:rPr>
          <w:rFonts w:hint="cs"/>
          <w:rtl/>
        </w:rPr>
        <w:t>؛ وفاقًا للدّرر والعناية.</w:t>
      </w:r>
    </w:p>
  </w:footnote>
  <w:footnote w:id="7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لما </w:t>
      </w:r>
      <w:r>
        <w:rPr>
          <w:rFonts w:hint="eastAsia"/>
          <w:rtl/>
        </w:rPr>
        <w:t>»</w:t>
      </w:r>
      <w:r>
        <w:rPr>
          <w:rFonts w:hint="cs"/>
          <w:rtl/>
        </w:rPr>
        <w:t>. وهذا الأولى.</w:t>
      </w:r>
    </w:p>
  </w:footnote>
  <w:footnote w:id="775">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ما أورده المؤلف من بداية شرح القاعدة إلى هذا الموضع مذكور في الدّرر شرح الغرر، 2/363-364، مع اختلاف في الترتيب وبعض الألفاظ؛ وانظر : العناية، 8/353.</w:t>
      </w:r>
    </w:p>
  </w:footnote>
  <w:footnote w:id="7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والمعاني</w:t>
      </w:r>
      <w:r>
        <w:rPr>
          <w:rFonts w:hint="eastAsia"/>
          <w:rtl/>
        </w:rPr>
        <w:t>»</w:t>
      </w:r>
      <w:r>
        <w:rPr>
          <w:rFonts w:hint="cs"/>
          <w:rtl/>
        </w:rPr>
        <w:t>. وهذا الأولى ؛ ليناسب الجمع في المقاصد والألفاظ والمباني.</w:t>
      </w:r>
    </w:p>
  </w:footnote>
  <w:footnote w:id="7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الألفاظ </w:t>
      </w:r>
      <w:r>
        <w:rPr>
          <w:rFonts w:hint="eastAsia"/>
          <w:rtl/>
        </w:rPr>
        <w:t>»</w:t>
      </w:r>
      <w:r>
        <w:rPr>
          <w:rFonts w:hint="cs"/>
          <w:rtl/>
        </w:rPr>
        <w:t>.</w:t>
      </w:r>
    </w:p>
  </w:footnote>
  <w:footnote w:id="7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سيأتي الحديث عنها استقلالاً، ص355 (ل15/أ)، قاعدة 34.</w:t>
      </w:r>
    </w:p>
  </w:footnote>
  <w:footnote w:id="7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فيـبـتنى </w:t>
      </w:r>
      <w:r>
        <w:rPr>
          <w:rFonts w:hint="eastAsia"/>
          <w:rtl/>
        </w:rPr>
        <w:t>»</w:t>
      </w:r>
      <w:r>
        <w:rPr>
          <w:rFonts w:hint="cs"/>
          <w:rtl/>
        </w:rPr>
        <w:t xml:space="preserve">. والصحيح ما تمَّ إثباته من (ب). وقوله : </w:t>
      </w:r>
      <w:r>
        <w:rPr>
          <w:rFonts w:hint="eastAsia"/>
          <w:rtl/>
        </w:rPr>
        <w:t>«</w:t>
      </w:r>
      <w:r>
        <w:rPr>
          <w:rFonts w:hint="cs"/>
          <w:rtl/>
        </w:rPr>
        <w:t xml:space="preserve"> فـيـبنى على صحة اللفظ لا على صحة الحكم </w:t>
      </w:r>
      <w:r>
        <w:rPr>
          <w:rFonts w:hint="eastAsia"/>
          <w:rtl/>
        </w:rPr>
        <w:t>»</w:t>
      </w:r>
      <w:r>
        <w:rPr>
          <w:rFonts w:hint="cs"/>
          <w:rtl/>
        </w:rPr>
        <w:t xml:space="preserve"> ليس في مصدر هذه العبارة (وهو العناية).</w:t>
      </w:r>
    </w:p>
  </w:footnote>
  <w:footnote w:id="7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تَرى </w:t>
      </w:r>
      <w:r>
        <w:rPr>
          <w:rFonts w:hint="eastAsia"/>
          <w:rtl/>
        </w:rPr>
        <w:t>»</w:t>
      </w:r>
      <w:r>
        <w:rPr>
          <w:rFonts w:hint="cs"/>
          <w:rtl/>
        </w:rPr>
        <w:t>؛ وفاقًا للعناية.</w:t>
      </w:r>
    </w:p>
  </w:footnote>
  <w:footnote w:id="7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 xml:space="preserve"> لـو </w:t>
      </w:r>
      <w:r>
        <w:rPr>
          <w:rFonts w:hint="eastAsia"/>
          <w:rtl/>
        </w:rPr>
        <w:t>»</w:t>
      </w:r>
      <w:r>
        <w:rPr>
          <w:rFonts w:hint="cs"/>
          <w:rtl/>
        </w:rPr>
        <w:t>.</w:t>
      </w:r>
    </w:p>
  </w:footnote>
  <w:footnote w:id="7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7/أ من (د).</w:t>
      </w:r>
    </w:p>
  </w:footnote>
  <w:footnote w:id="7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8/353-354 - مع اختلاف يسير سبقت الإشارة إلى أهمّه-.</w:t>
      </w:r>
    </w:p>
  </w:footnote>
  <w:footnote w:id="784">
    <w:p w:rsidR="00035BE3" w:rsidRDefault="00035BE3" w:rsidP="00C10469">
      <w:pPr>
        <w:pStyle w:val="a8"/>
        <w:bidi/>
        <w:ind w:left="422" w:right="0"/>
        <w:rPr>
          <w:b/>
          <w:bCs/>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معنى هذه القاعدة : </w:t>
      </w:r>
    </w:p>
    <w:p w:rsidR="00035BE3" w:rsidRDefault="00035BE3" w:rsidP="00C10469">
      <w:pPr>
        <w:pStyle w:val="a6"/>
        <w:ind w:left="422" w:firstLine="0"/>
        <w:rPr>
          <w:rtl/>
        </w:rPr>
      </w:pPr>
      <w:r>
        <w:rPr>
          <w:rFonts w:hint="cs"/>
          <w:rtl/>
        </w:rPr>
        <w:t>هو أن الشيء إذا كان مبنيًّا على غيره فإن حكمه من جهة</w:t>
      </w:r>
      <w:r>
        <w:t xml:space="preserve"> </w:t>
      </w:r>
      <w:r>
        <w:rPr>
          <w:rFonts w:hint="cs"/>
          <w:rtl/>
        </w:rPr>
        <w:t>الثبوت والاستدامة وعدمهما حكم ذلك الأصل، فإن كان ثابتًا في الأصل فإنه يبقى ثابتًا، وإلا فلا.</w:t>
      </w:r>
    </w:p>
    <w:p w:rsidR="00035BE3" w:rsidRDefault="00035BE3" w:rsidP="00C10469">
      <w:pPr>
        <w:pStyle w:val="a6"/>
        <w:ind w:left="422" w:firstLine="0"/>
        <w:rPr>
          <w:rtl/>
        </w:rPr>
      </w:pPr>
      <w:r>
        <w:rPr>
          <w:rFonts w:hint="cs"/>
          <w:rtl/>
        </w:rPr>
        <w:t>هذا ما يتعلق بمعنى القاعدة.</w:t>
      </w:r>
    </w:p>
    <w:p w:rsidR="00035BE3" w:rsidRDefault="00035BE3" w:rsidP="00C10469">
      <w:pPr>
        <w:pStyle w:val="a6"/>
        <w:ind w:left="422" w:firstLine="0"/>
        <w:rPr>
          <w:rtl/>
        </w:rPr>
      </w:pPr>
      <w:r>
        <w:rPr>
          <w:rFonts w:hint="cs"/>
          <w:b/>
          <w:bCs/>
          <w:rtl/>
        </w:rPr>
        <w:t>أما توثيقها</w:t>
      </w:r>
      <w:r>
        <w:rPr>
          <w:rFonts w:hint="cs"/>
          <w:rtl/>
        </w:rPr>
        <w:t xml:space="preserve"> : </w:t>
      </w:r>
    </w:p>
    <w:p w:rsidR="00035BE3" w:rsidRDefault="00035BE3" w:rsidP="00C10469">
      <w:pPr>
        <w:pStyle w:val="a6"/>
        <w:ind w:left="422" w:firstLine="0"/>
        <w:rPr>
          <w:rtl/>
        </w:rPr>
      </w:pPr>
      <w:r>
        <w:rPr>
          <w:rFonts w:hint="cs"/>
          <w:rtl/>
        </w:rPr>
        <w:t>فقد وردت بلفظها أو نحوه أو معناه أو قريب من معناه في كثير من كتب الفقه وقواعده:</w:t>
      </w:r>
    </w:p>
    <w:p w:rsidR="00035BE3" w:rsidRDefault="00035BE3" w:rsidP="00C10469">
      <w:pPr>
        <w:pStyle w:val="a6"/>
        <w:ind w:left="422" w:firstLine="0"/>
        <w:rPr>
          <w:rtl/>
        </w:rPr>
      </w:pPr>
      <w:r>
        <w:rPr>
          <w:rFonts w:hint="cs"/>
          <w:b/>
          <w:bCs/>
          <w:rtl/>
        </w:rPr>
        <w:t>فمن كتب القواعد</w:t>
      </w:r>
      <w:r>
        <w:rPr>
          <w:rFonts w:hint="cs"/>
          <w:rtl/>
        </w:rPr>
        <w:t xml:space="preserve"> : </w:t>
      </w:r>
    </w:p>
    <w:p w:rsidR="00035BE3" w:rsidRDefault="00035BE3" w:rsidP="00C10469">
      <w:pPr>
        <w:pStyle w:val="a6"/>
        <w:ind w:left="422" w:firstLine="0"/>
        <w:rPr>
          <w:rtl/>
        </w:rPr>
      </w:pPr>
      <w:r>
        <w:rPr>
          <w:rFonts w:hint="cs"/>
          <w:rtl/>
        </w:rPr>
        <w:t>تأسيس</w:t>
      </w:r>
      <w:r>
        <w:rPr>
          <w:rFonts w:hint="cs"/>
          <w:b/>
          <w:bCs/>
          <w:rtl/>
        </w:rPr>
        <w:t xml:space="preserve"> </w:t>
      </w:r>
      <w:r>
        <w:rPr>
          <w:rFonts w:hint="cs"/>
          <w:rtl/>
        </w:rPr>
        <w:t>النظر، ص76 - ولفظه :</w:t>
      </w:r>
      <w:r>
        <w:rPr>
          <w:rFonts w:hint="cs"/>
          <w:b/>
          <w:bCs/>
          <w:rtl/>
        </w:rPr>
        <w:t xml:space="preserve"> </w:t>
      </w:r>
      <w:r>
        <w:rPr>
          <w:rFonts w:hint="eastAsia"/>
          <w:rtl/>
        </w:rPr>
        <w:t>«</w:t>
      </w:r>
      <w:r>
        <w:rPr>
          <w:rFonts w:hint="cs"/>
          <w:rtl/>
        </w:rPr>
        <w:t xml:space="preserve">الأصل عند محمد أن البقاء على الشيء يجوز أن يعطى له حكم </w:t>
      </w:r>
      <w:r w:rsidRPr="00295193">
        <w:rPr>
          <w:rFonts w:hint="cs"/>
          <w:spacing w:val="-4"/>
          <w:rtl/>
        </w:rPr>
        <w:t>الابتداء، وعند أبي يوسف: لا يعطى له حكم الابتداء في بعض المواضع</w:t>
      </w:r>
      <w:r w:rsidRPr="00295193">
        <w:rPr>
          <w:rFonts w:hint="eastAsia"/>
          <w:spacing w:val="-4"/>
          <w:rtl/>
        </w:rPr>
        <w:t>»</w:t>
      </w:r>
      <w:r w:rsidRPr="00295193">
        <w:rPr>
          <w:rFonts w:hint="cs"/>
          <w:spacing w:val="-4"/>
          <w:rtl/>
        </w:rPr>
        <w:t>-؛</w:t>
      </w:r>
      <w:r w:rsidRPr="00295193">
        <w:rPr>
          <w:rFonts w:hint="cs"/>
          <w:b/>
          <w:bCs/>
          <w:spacing w:val="-4"/>
          <w:rtl/>
        </w:rPr>
        <w:t xml:space="preserve"> </w:t>
      </w:r>
      <w:r w:rsidRPr="00295193">
        <w:rPr>
          <w:rFonts w:hint="cs"/>
          <w:spacing w:val="-4"/>
          <w:rtl/>
        </w:rPr>
        <w:t>المنثور في القواعد،</w:t>
      </w:r>
      <w:r>
        <w:rPr>
          <w:rFonts w:hint="cs"/>
          <w:rtl/>
        </w:rPr>
        <w:t xml:space="preserve"> 1/160 - ولفظه: </w:t>
      </w:r>
      <w:r>
        <w:rPr>
          <w:rFonts w:hint="eastAsia"/>
          <w:rtl/>
        </w:rPr>
        <w:t>«</w:t>
      </w:r>
      <w:r>
        <w:rPr>
          <w:rFonts w:hint="cs"/>
          <w:rtl/>
        </w:rPr>
        <w:t>استدامة بقية الفعل ... على حكم أصله</w:t>
      </w:r>
      <w:r>
        <w:rPr>
          <w:rFonts w:hint="eastAsia"/>
          <w:rtl/>
        </w:rPr>
        <w:t>»</w:t>
      </w:r>
      <w:r>
        <w:rPr>
          <w:rFonts w:hint="cs"/>
          <w:rtl/>
        </w:rPr>
        <w:t xml:space="preserve">-؛ مجامع الحقائق (الخاتمة)، ص44؛ شرح العلائي لقواعد الخادمي، ل12/أ؛ منافع الدّقائق، ص311؛ قواعد الفقه للمجدِّدي، ص96، قاعـدة 205، وص117، قاعدة 299 - ولفظه الأول : </w:t>
      </w:r>
      <w:r>
        <w:rPr>
          <w:rFonts w:hint="eastAsia"/>
          <w:rtl/>
        </w:rPr>
        <w:t>«</w:t>
      </w:r>
      <w:r>
        <w:rPr>
          <w:rFonts w:hint="cs"/>
          <w:rtl/>
        </w:rPr>
        <w:t xml:space="preserve">فيما يستدام : الاستدامة كالإنشاء </w:t>
      </w:r>
      <w:r>
        <w:rPr>
          <w:rFonts w:hint="eastAsia"/>
          <w:rtl/>
        </w:rPr>
        <w:t>»</w:t>
      </w:r>
      <w:r>
        <w:rPr>
          <w:rFonts w:hint="cs"/>
          <w:rtl/>
        </w:rPr>
        <w:t xml:space="preserve">-؛ موسوعة القواعد الفقهية، 1/382 - وقد ذكر أربعة ألفاظ للقاعدة، آخرها مقارب للفظ المؤلف-؛ القواعد والضوابط المستخلصة من التحرير، ص149 - ولفظه : </w:t>
      </w:r>
      <w:r>
        <w:rPr>
          <w:rFonts w:hint="eastAsia"/>
          <w:rtl/>
        </w:rPr>
        <w:t>«</w:t>
      </w:r>
      <w:r>
        <w:rPr>
          <w:rFonts w:hint="cs"/>
          <w:rtl/>
        </w:rPr>
        <w:t>الدوام على الفعل له حكم الابتداء</w:t>
      </w:r>
      <w:r>
        <w:rPr>
          <w:rFonts w:hint="eastAsia"/>
          <w:rtl/>
        </w:rPr>
        <w:t>»</w:t>
      </w:r>
      <w:r>
        <w:rPr>
          <w:rFonts w:hint="cs"/>
          <w:rtl/>
        </w:rPr>
        <w:t>-.</w:t>
      </w:r>
    </w:p>
    <w:p w:rsidR="00035BE3" w:rsidRDefault="00035BE3" w:rsidP="00C10469">
      <w:pPr>
        <w:pStyle w:val="a6"/>
        <w:ind w:left="422" w:firstLine="0"/>
        <w:rPr>
          <w:rtl/>
        </w:rPr>
      </w:pPr>
      <w:r>
        <w:rPr>
          <w:rFonts w:hint="cs"/>
          <w:b/>
          <w:bCs/>
          <w:rtl/>
        </w:rPr>
        <w:t>ومن كتب الفقه</w:t>
      </w:r>
      <w:r>
        <w:rPr>
          <w:rFonts w:hint="cs"/>
          <w:rtl/>
        </w:rPr>
        <w:t xml:space="preserve"> :  </w:t>
      </w:r>
    </w:p>
    <w:p w:rsidR="00035BE3" w:rsidRDefault="00035BE3" w:rsidP="00C10469">
      <w:pPr>
        <w:pStyle w:val="a6"/>
        <w:ind w:left="422" w:firstLine="0"/>
        <w:rPr>
          <w:rtl/>
        </w:rPr>
      </w:pPr>
      <w:r>
        <w:rPr>
          <w:rFonts w:hint="cs"/>
          <w:rtl/>
        </w:rPr>
        <w:t xml:space="preserve">شرح السِّير الكبير، 4/1510، فقرة 2958؛ المبسوط، 1/188، 3/66، 4/89، 12/58، 82؛ فتاوى قاضي خان، 1/210، 497؛ العناية، 9/46؛ الدّرر شرح الغرر، 2/223. </w:t>
      </w:r>
    </w:p>
    <w:p w:rsidR="00035BE3" w:rsidRDefault="00035BE3" w:rsidP="00C10469">
      <w:pPr>
        <w:pStyle w:val="a6"/>
        <w:ind w:left="422" w:firstLine="0"/>
        <w:rPr>
          <w:rtl/>
        </w:rPr>
      </w:pPr>
      <w:r>
        <w:rPr>
          <w:rFonts w:hint="cs"/>
          <w:rtl/>
        </w:rPr>
        <w:t>يضاف إلى ذلك أن المؤلف ذكر عدّة قواعد معناها قريب من هذه القاعدة، فمنها :</w:t>
      </w:r>
    </w:p>
    <w:p w:rsidR="00035BE3" w:rsidRDefault="00035BE3" w:rsidP="00C10469">
      <w:pPr>
        <w:pStyle w:val="a6"/>
        <w:numPr>
          <w:ilvl w:val="0"/>
          <w:numId w:val="15"/>
        </w:numPr>
        <w:tabs>
          <w:tab w:val="clear" w:pos="644"/>
        </w:tabs>
        <w:ind w:left="706" w:hanging="284"/>
        <w:rPr>
          <w:rtl/>
        </w:rPr>
      </w:pPr>
      <w:r>
        <w:rPr>
          <w:rFonts w:hint="eastAsia"/>
          <w:rtl/>
        </w:rPr>
        <w:t>«</w:t>
      </w:r>
      <w:r>
        <w:rPr>
          <w:rFonts w:hint="cs"/>
          <w:rtl/>
        </w:rPr>
        <w:t>البقاء على وفق الثبوت</w:t>
      </w:r>
      <w:r>
        <w:rPr>
          <w:rFonts w:hint="eastAsia"/>
          <w:rtl/>
        </w:rPr>
        <w:t>»</w:t>
      </w:r>
      <w:r>
        <w:rPr>
          <w:rFonts w:hint="cs"/>
          <w:rtl/>
        </w:rPr>
        <w:t>.</w:t>
      </w:r>
    </w:p>
    <w:p w:rsidR="00035BE3" w:rsidRDefault="00035BE3" w:rsidP="00C10469">
      <w:pPr>
        <w:pStyle w:val="a6"/>
        <w:numPr>
          <w:ilvl w:val="0"/>
          <w:numId w:val="15"/>
        </w:numPr>
        <w:tabs>
          <w:tab w:val="clear" w:pos="644"/>
        </w:tabs>
        <w:ind w:left="706" w:hanging="284"/>
      </w:pPr>
      <w:r>
        <w:rPr>
          <w:rFonts w:hint="eastAsia"/>
          <w:rtl/>
        </w:rPr>
        <w:t>«</w:t>
      </w:r>
      <w:r>
        <w:rPr>
          <w:rFonts w:hint="cs"/>
          <w:rtl/>
        </w:rPr>
        <w:t>ما لا يكون لازمًا من التصرفات يكون لدوامه حكم الابتداء</w:t>
      </w:r>
      <w:r>
        <w:rPr>
          <w:rFonts w:hint="eastAsia"/>
          <w:rtl/>
        </w:rPr>
        <w:t>»</w:t>
      </w:r>
      <w:r>
        <w:rPr>
          <w:rFonts w:hint="cs"/>
          <w:rtl/>
        </w:rPr>
        <w:t>.</w:t>
      </w:r>
    </w:p>
    <w:p w:rsidR="00035BE3" w:rsidRDefault="00035BE3" w:rsidP="00C10469">
      <w:pPr>
        <w:pStyle w:val="a6"/>
        <w:numPr>
          <w:ilvl w:val="0"/>
          <w:numId w:val="15"/>
        </w:numPr>
        <w:tabs>
          <w:tab w:val="clear" w:pos="644"/>
        </w:tabs>
        <w:ind w:left="706" w:hanging="284"/>
      </w:pPr>
      <w:r>
        <w:rPr>
          <w:rFonts w:hint="eastAsia"/>
          <w:rtl/>
        </w:rPr>
        <w:t>«</w:t>
      </w:r>
      <w:r>
        <w:rPr>
          <w:rFonts w:hint="cs"/>
          <w:rtl/>
        </w:rPr>
        <w:t xml:space="preserve"> يسقط الفرع إذا سقط الأصل</w:t>
      </w:r>
      <w:r>
        <w:rPr>
          <w:rFonts w:hint="eastAsia"/>
          <w:rtl/>
        </w:rPr>
        <w:t>»</w:t>
      </w:r>
      <w:r>
        <w:rPr>
          <w:rFonts w:hint="cs"/>
          <w:rtl/>
        </w:rPr>
        <w:t xml:space="preserve">. </w:t>
      </w:r>
    </w:p>
    <w:p w:rsidR="00035BE3" w:rsidRDefault="00035BE3" w:rsidP="00C10469">
      <w:pPr>
        <w:pStyle w:val="a6"/>
        <w:ind w:left="422" w:firstLine="0"/>
      </w:pPr>
      <w:r>
        <w:rPr>
          <w:rFonts w:hint="cs"/>
          <w:rtl/>
        </w:rPr>
        <w:t>وذلك ص422 (ل22/أ)، قـاعـدة 52، وص1017 (ل91/ب)، قـاعـدة 215، وص1176 (ل114/أ)، قاعدة 262.</w:t>
      </w:r>
    </w:p>
    <w:p w:rsidR="00035BE3" w:rsidRDefault="00035BE3" w:rsidP="00C10469">
      <w:pPr>
        <w:pStyle w:val="a6"/>
        <w:ind w:left="422" w:firstLine="0"/>
        <w:rPr>
          <w:spacing w:val="-4"/>
          <w:rtl/>
        </w:rPr>
      </w:pPr>
      <w:r>
        <w:rPr>
          <w:rFonts w:hint="cs"/>
          <w:spacing w:val="-4"/>
          <w:rtl/>
        </w:rPr>
        <w:t xml:space="preserve">علمًا بأن العلائي في شرحه لقواعد الخادمي صرّح بأن قاعدة : </w:t>
      </w:r>
      <w:r>
        <w:rPr>
          <w:rFonts w:hint="eastAsia"/>
          <w:spacing w:val="-4"/>
          <w:rtl/>
        </w:rPr>
        <w:t>«</w:t>
      </w:r>
      <w:r>
        <w:rPr>
          <w:rFonts w:hint="cs"/>
          <w:spacing w:val="-4"/>
          <w:rtl/>
        </w:rPr>
        <w:t>يسقط الفرع ...</w:t>
      </w:r>
      <w:r>
        <w:rPr>
          <w:rFonts w:hint="eastAsia"/>
          <w:spacing w:val="-4"/>
          <w:rtl/>
        </w:rPr>
        <w:t>»</w:t>
      </w:r>
      <w:r>
        <w:rPr>
          <w:rFonts w:hint="cs"/>
          <w:spacing w:val="-4"/>
          <w:rtl/>
        </w:rPr>
        <w:t xml:space="preserve"> قريبة من هذه </w:t>
      </w:r>
      <w:r w:rsidRPr="008951FB">
        <w:rPr>
          <w:rFonts w:hint="cs"/>
          <w:spacing w:val="-6"/>
          <w:rtl/>
        </w:rPr>
        <w:t xml:space="preserve">القاعدة، حيث  قال عقب نص القاعدة: </w:t>
      </w:r>
      <w:r w:rsidRPr="008951FB">
        <w:rPr>
          <w:rFonts w:hint="eastAsia"/>
          <w:spacing w:val="-6"/>
          <w:rtl/>
        </w:rPr>
        <w:t>«</w:t>
      </w:r>
      <w:r w:rsidRPr="008951FB">
        <w:rPr>
          <w:rFonts w:hint="cs"/>
          <w:spacing w:val="-6"/>
          <w:rtl/>
        </w:rPr>
        <w:t>ويقرب منه ما يقال -آخرًا -: يسقط الفرع إذا سقط الأصل.</w:t>
      </w:r>
      <w:r>
        <w:rPr>
          <w:rFonts w:hint="cs"/>
          <w:spacing w:val="-4"/>
          <w:rtl/>
        </w:rPr>
        <w:t xml:space="preserve"> </w:t>
      </w:r>
    </w:p>
    <w:p w:rsidR="00035BE3" w:rsidRDefault="00035BE3" w:rsidP="00C10469">
      <w:pPr>
        <w:pStyle w:val="a6"/>
        <w:ind w:left="422" w:firstLine="0"/>
        <w:rPr>
          <w:spacing w:val="-4"/>
          <w:rtl/>
        </w:rPr>
      </w:pPr>
      <w:r>
        <w:rPr>
          <w:rFonts w:hint="cs"/>
          <w:spacing w:val="-4"/>
          <w:rtl/>
        </w:rPr>
        <w:t xml:space="preserve"> يعنى : استدامة الفرع المبني تعتبر بأصله وأساسه المبني عليه</w:t>
      </w:r>
      <w:r>
        <w:rPr>
          <w:rFonts w:hint="eastAsia"/>
          <w:spacing w:val="-4"/>
          <w:rtl/>
        </w:rPr>
        <w:t>»</w:t>
      </w:r>
      <w:r>
        <w:rPr>
          <w:rFonts w:hint="cs"/>
          <w:spacing w:val="-4"/>
          <w:rtl/>
        </w:rPr>
        <w:t>. وتابعه على ذلك صاحب (منافع الدقائق).</w:t>
      </w:r>
    </w:p>
  </w:footnote>
  <w:footnote w:id="7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9/ب من (أ).</w:t>
      </w:r>
    </w:p>
  </w:footnote>
  <w:footnote w:id="7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صحَّ للموهوب له أن يعتق العبد الموهوب بعد رجوع الواهب في هبته وقبل قضاء القاضي له بصحة هذا الرجوع؛ لأن الرجوع لا يثبت - عند الحنفية- إلا بالتراضي أو حكم الحاكم، فالعين الموهوبة قبل ذلك في ملك الموهوب له.</w:t>
      </w:r>
    </w:p>
  </w:footnote>
  <w:footnote w:id="7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7/ب من (جـ).</w:t>
      </w:r>
    </w:p>
  </w:footnote>
  <w:footnote w:id="7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فيراعا </w:t>
      </w:r>
      <w:r>
        <w:rPr>
          <w:rFonts w:hint="eastAsia"/>
          <w:rtl/>
        </w:rPr>
        <w:t>»</w:t>
      </w:r>
      <w:r>
        <w:rPr>
          <w:rFonts w:hint="cs"/>
          <w:rtl/>
        </w:rPr>
        <w:t xml:space="preserve">. وفي الدّرر : </w:t>
      </w:r>
      <w:r>
        <w:rPr>
          <w:rFonts w:hint="eastAsia"/>
          <w:rtl/>
        </w:rPr>
        <w:t>«</w:t>
      </w:r>
      <w:r>
        <w:rPr>
          <w:rFonts w:hint="cs"/>
          <w:rtl/>
        </w:rPr>
        <w:t>... وهذا دوام علّته</w:t>
      </w:r>
      <w:r>
        <w:rPr>
          <w:rFonts w:hint="eastAsia"/>
          <w:rtl/>
        </w:rPr>
        <w:t>»</w:t>
      </w:r>
      <w:r>
        <w:rPr>
          <w:rFonts w:hint="cs"/>
          <w:rtl/>
        </w:rPr>
        <w:t>.</w:t>
      </w:r>
    </w:p>
  </w:footnote>
  <w:footnote w:id="7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الفرع يمكن إيضاحه بالمثال الآتي :</w:t>
      </w:r>
    </w:p>
    <w:p w:rsidR="00035BE3" w:rsidRDefault="00035BE3" w:rsidP="00C10469">
      <w:pPr>
        <w:pStyle w:val="a6"/>
        <w:ind w:left="422" w:firstLine="0"/>
        <w:rPr>
          <w:rtl/>
        </w:rPr>
      </w:pPr>
      <w:r>
        <w:rPr>
          <w:rFonts w:hint="cs"/>
          <w:rtl/>
        </w:rPr>
        <w:t>لو وهب محمد سعيدًا شيئًا، ثم رجع محمد عن الهبة، وامتنع سعيد عن إرجاع هذا الشيء الموهوب، فهلك هذا الشيء في يد سعيد قبل أن يُرفع الأمرُ إلى القاضي ويصدر فيه حكمًا : لم يضمن سعيد هذا الشيء؛ لأن رجوع الواهب لا يصح إلا بالتراضي بينه وبين الموهوب له، أو بقضاء القاضي بذلك، ولم يوجد أحد هذين الأمرين بعد.</w:t>
      </w:r>
    </w:p>
    <w:p w:rsidR="00035BE3" w:rsidRDefault="00035BE3" w:rsidP="00C10469">
      <w:pPr>
        <w:pStyle w:val="a6"/>
        <w:ind w:left="422" w:firstLine="0"/>
        <w:rPr>
          <w:rtl/>
        </w:rPr>
      </w:pPr>
      <w:r>
        <w:rPr>
          <w:rFonts w:hint="cs"/>
          <w:rtl/>
        </w:rPr>
        <w:t xml:space="preserve">وبما أنَّ </w:t>
      </w:r>
      <w:r>
        <w:rPr>
          <w:rFonts w:hint="eastAsia"/>
          <w:rtl/>
        </w:rPr>
        <w:t>«</w:t>
      </w:r>
      <w:r>
        <w:rPr>
          <w:rFonts w:hint="cs"/>
          <w:rtl/>
        </w:rPr>
        <w:t xml:space="preserve"> استدامة الشيء تعتبر بأصله </w:t>
      </w:r>
      <w:r>
        <w:rPr>
          <w:rFonts w:hint="eastAsia"/>
          <w:rtl/>
        </w:rPr>
        <w:t>»</w:t>
      </w:r>
      <w:r>
        <w:rPr>
          <w:rFonts w:hint="cs"/>
          <w:rtl/>
        </w:rPr>
        <w:t xml:space="preserve">، والأصل أن سعيدًا يملك الشيء الموهوب بالقبض (إذْ إن هذا الشيء الموهوب لو كان عبدًا </w:t>
      </w:r>
      <w:r>
        <w:rPr>
          <w:rtl/>
        </w:rPr>
        <w:t>–</w:t>
      </w:r>
      <w:r>
        <w:rPr>
          <w:rFonts w:hint="cs"/>
          <w:rtl/>
        </w:rPr>
        <w:t>مثلاً- صح إعتاقه، ولو هلك هذا الشيء لم يضمنه ...) : فيدوم هذان الحكمان تبعًا لذلك الأصل، حتى يأتي ما يغيره -والله أعلم-.</w:t>
      </w:r>
    </w:p>
  </w:footnote>
  <w:footnote w:id="7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9/45-46، فقد جـاء فيها مضمون شرح المؤلف للقاعدة. وانظر : الدّرر شرح الغرر، 2/223 - علمًا بأن ألفاظ المؤلـف قريبة من (الدّرر) وبعيدة عن (العناية)-؛ وانظر أيضـًا : المبسوط، 12/82؛ ردّ المحتار، 4/176؛ موسوعة القواعد الفقهية، 1/383.</w:t>
      </w:r>
    </w:p>
  </w:footnote>
  <w:footnote w:id="7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واقعة </w:t>
      </w:r>
      <w:r>
        <w:rPr>
          <w:rFonts w:hint="eastAsia"/>
          <w:rtl/>
        </w:rPr>
        <w:t>»</w:t>
      </w:r>
      <w:r>
        <w:rPr>
          <w:rFonts w:hint="cs"/>
          <w:rtl/>
        </w:rPr>
        <w:t>.</w:t>
      </w:r>
    </w:p>
  </w:footnote>
  <w:footnote w:id="7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مرتبطة بدليل من الأدلة المختلف فيها، وهو (استصحاب الحال)، أو ما عبّر عنه المؤلف عقب القاعدة بـ(ظاهر الحال).</w:t>
      </w:r>
    </w:p>
    <w:p w:rsidR="00035BE3" w:rsidRDefault="00035BE3" w:rsidP="00C10469">
      <w:pPr>
        <w:pStyle w:val="a6"/>
        <w:ind w:left="422" w:firstLine="0"/>
        <w:rPr>
          <w:rtl/>
        </w:rPr>
      </w:pPr>
      <w:r>
        <w:rPr>
          <w:rFonts w:hint="cs"/>
          <w:b/>
          <w:bCs/>
          <w:rtl/>
        </w:rPr>
        <w:t>والاستصحاب في اللغة:</w:t>
      </w:r>
      <w:r>
        <w:rPr>
          <w:rFonts w:hint="cs"/>
          <w:rtl/>
        </w:rPr>
        <w:t xml:space="preserve"> مشتقٌّ من مادة </w:t>
      </w:r>
      <w:r>
        <w:rPr>
          <w:rFonts w:hint="eastAsia"/>
          <w:rtl/>
        </w:rPr>
        <w:t>«</w:t>
      </w:r>
      <w:r>
        <w:rPr>
          <w:rFonts w:hint="cs"/>
          <w:rtl/>
        </w:rPr>
        <w:t>صحب</w:t>
      </w:r>
      <w:r>
        <w:rPr>
          <w:rFonts w:hint="eastAsia"/>
          <w:rtl/>
        </w:rPr>
        <w:t>»</w:t>
      </w:r>
      <w:r>
        <w:rPr>
          <w:rFonts w:hint="cs"/>
          <w:rtl/>
        </w:rPr>
        <w:t xml:space="preserve">، والصاد والحاء والباء - كما يقول صاحب (المقاييس في اللغة) (ص587)- : </w:t>
      </w:r>
      <w:r>
        <w:rPr>
          <w:rFonts w:hint="eastAsia"/>
          <w:rtl/>
        </w:rPr>
        <w:t>«</w:t>
      </w:r>
      <w:r>
        <w:rPr>
          <w:rFonts w:hint="cs"/>
          <w:rtl/>
        </w:rPr>
        <w:t>أصل واحد يدلّ على مقارنة شيء ومقاربته</w:t>
      </w:r>
      <w:r>
        <w:rPr>
          <w:rFonts w:hint="eastAsia"/>
          <w:rtl/>
        </w:rPr>
        <w:t>»</w:t>
      </w:r>
      <w:r>
        <w:rPr>
          <w:rFonts w:hint="cs"/>
          <w:rtl/>
        </w:rPr>
        <w:t xml:space="preserve">. ومن ذلك ما جاء في (لسان العرب) - المادة نفسها، 1/520-: </w:t>
      </w:r>
      <w:r>
        <w:rPr>
          <w:rFonts w:hint="eastAsia"/>
          <w:rtl/>
        </w:rPr>
        <w:t>«</w:t>
      </w:r>
      <w:r>
        <w:rPr>
          <w:rFonts w:hint="cs"/>
          <w:rtl/>
        </w:rPr>
        <w:t>استصحب الرجلَ : دعاه إلى الصحبة، وكل ما لازم شيئًا فقد استصحبة</w:t>
      </w:r>
      <w:r>
        <w:rPr>
          <w:rFonts w:hint="eastAsia"/>
          <w:rtl/>
        </w:rPr>
        <w:t>»</w:t>
      </w:r>
      <w:r>
        <w:rPr>
          <w:rFonts w:hint="cs"/>
          <w:rtl/>
        </w:rPr>
        <w:t>.</w:t>
      </w:r>
    </w:p>
    <w:p w:rsidR="00035BE3" w:rsidRDefault="00035BE3" w:rsidP="00C10469">
      <w:pPr>
        <w:pStyle w:val="a6"/>
        <w:ind w:left="422" w:firstLine="0"/>
        <w:rPr>
          <w:rtl/>
        </w:rPr>
      </w:pPr>
      <w:r>
        <w:rPr>
          <w:rFonts w:hint="cs"/>
          <w:b/>
          <w:bCs/>
          <w:rtl/>
        </w:rPr>
        <w:t>أما في الاصطلاح</w:t>
      </w:r>
      <w:r>
        <w:rPr>
          <w:rFonts w:hint="cs"/>
          <w:rtl/>
        </w:rPr>
        <w:t xml:space="preserve"> : فقد عرّفه الأصوليون بتعريفات كثيرة، من أبرزها ما جـاء في كشف الأسرار للبخاري - 3/622- : </w:t>
      </w:r>
      <w:r>
        <w:rPr>
          <w:rFonts w:hint="eastAsia"/>
          <w:rtl/>
        </w:rPr>
        <w:t>«</w:t>
      </w:r>
      <w:r>
        <w:rPr>
          <w:rFonts w:hint="cs"/>
          <w:rtl/>
        </w:rPr>
        <w:t>هو الحكم بثـبوت أمر في الزمان الثاني، بنـاء عـلى أنه كان ثابتًا في الزمان الأول</w:t>
      </w:r>
      <w:r>
        <w:rPr>
          <w:rFonts w:hint="eastAsia"/>
          <w:rtl/>
        </w:rPr>
        <w:t>»</w:t>
      </w:r>
      <w:r>
        <w:rPr>
          <w:rFonts w:hint="cs"/>
          <w:rtl/>
        </w:rPr>
        <w:t>.</w:t>
      </w:r>
    </w:p>
    <w:p w:rsidR="00035BE3" w:rsidRDefault="00035BE3" w:rsidP="00C10469">
      <w:pPr>
        <w:pStyle w:val="a6"/>
        <w:ind w:left="422" w:firstLine="0"/>
        <w:rPr>
          <w:rtl/>
        </w:rPr>
      </w:pPr>
      <w:r>
        <w:rPr>
          <w:rFonts w:hint="cs"/>
          <w:rtl/>
        </w:rPr>
        <w:t>ولو عدتَ إلى صيغة القاعدة فإنها تمثل رأي أكثر المتأخرين من الحنفية القائلين بأنه : حجة في الدفع لا في الإثبـات. أي : حجة في إبقـاء ما كان على ما كان، ودفع ما يخالفه، لا في إثبات أمر جديد لم يكن ثابتًا.</w:t>
      </w:r>
    </w:p>
    <w:p w:rsidR="00035BE3" w:rsidRDefault="00035BE3" w:rsidP="00C10469">
      <w:pPr>
        <w:pStyle w:val="a6"/>
        <w:ind w:left="422" w:firstLine="0"/>
        <w:rPr>
          <w:b/>
          <w:bCs/>
          <w:rtl/>
        </w:rPr>
      </w:pPr>
      <w:r>
        <w:rPr>
          <w:rFonts w:hint="cs"/>
          <w:b/>
          <w:bCs/>
          <w:rtl/>
        </w:rPr>
        <w:t>وفي هذا الدليل أقوال أخر، منها :</w:t>
      </w:r>
    </w:p>
    <w:p w:rsidR="00035BE3" w:rsidRDefault="00035BE3" w:rsidP="00C10469">
      <w:pPr>
        <w:pStyle w:val="a6"/>
        <w:ind w:left="422" w:firstLine="0"/>
        <w:rPr>
          <w:rtl/>
        </w:rPr>
      </w:pPr>
      <w:r>
        <w:rPr>
          <w:rFonts w:hint="cs"/>
          <w:b/>
          <w:bCs/>
          <w:rtl/>
        </w:rPr>
        <w:t>1-</w:t>
      </w:r>
      <w:r>
        <w:rPr>
          <w:rFonts w:hint="cs"/>
          <w:rtl/>
        </w:rPr>
        <w:t xml:space="preserve"> الاستصحاب حجة مطلقًا. وهذا قول الجمهور، من المالكية والحنابلة وأكثر الظاهرية وجماعة من أصحاب الشافعي، وصاحب الميزان من الحنفية.</w:t>
      </w:r>
    </w:p>
    <w:p w:rsidR="00035BE3" w:rsidRDefault="00035BE3" w:rsidP="00C10469">
      <w:pPr>
        <w:pStyle w:val="a6"/>
        <w:ind w:left="422" w:firstLine="0"/>
      </w:pPr>
      <w:r>
        <w:rPr>
          <w:rFonts w:hint="cs"/>
          <w:b/>
          <w:bCs/>
          <w:rtl/>
        </w:rPr>
        <w:t>2-</w:t>
      </w:r>
      <w:r>
        <w:rPr>
          <w:rFonts w:hint="cs"/>
          <w:rtl/>
        </w:rPr>
        <w:t xml:space="preserve"> الاستصحاب ليس بحجة مطلقًا. وهذا قول كثير من الحنفية وجماعة من المتكلمين.</w:t>
      </w:r>
    </w:p>
    <w:p w:rsidR="00035BE3" w:rsidRDefault="00035BE3" w:rsidP="00C10469">
      <w:pPr>
        <w:pStyle w:val="a6"/>
        <w:ind w:left="422" w:firstLine="0"/>
        <w:rPr>
          <w:rtl/>
        </w:rPr>
      </w:pPr>
      <w:r>
        <w:rPr>
          <w:rFonts w:hint="cs"/>
          <w:b/>
          <w:bCs/>
          <w:rtl/>
        </w:rPr>
        <w:t>وللتوسع في معناه، وأنواعه، وحجيته عند الأصوليين انظر</w:t>
      </w:r>
      <w:r>
        <w:rPr>
          <w:rFonts w:hint="cs"/>
          <w:rtl/>
        </w:rPr>
        <w:t xml:space="preserve"> : المعتمد، 2/884؛ العدة، 4/1262؛ المسائل الأصولية من كتاب الروايتين والوجهين، ص84؛ الإحكام لابن حزم، 5/5؛ أصول البزدوي وشرحه: كشف الأسرار، 3/661؛ أصول السَّرْخسي، 2/223؛ إحكام الفصول، ص613؛ شرح </w:t>
      </w:r>
      <w:r w:rsidRPr="00B36497">
        <w:rPr>
          <w:rFonts w:hint="cs"/>
          <w:spacing w:val="-2"/>
          <w:rtl/>
        </w:rPr>
        <w:t xml:space="preserve">اللمع، 2/986؛ المستصفى، 2/217؛ شفاء الغليل، ص625؛ التمهيد لأبي الخطاب، 4/251؛ </w:t>
      </w:r>
      <w:r>
        <w:rPr>
          <w:rFonts w:hint="cs"/>
          <w:rtl/>
        </w:rPr>
        <w:t xml:space="preserve">ميزان الأصول، 2/932؛ روضة الناظر، 2/504؛ الإحكام للآمدي، 4/132؛ مختصر ابن الحاجب وشرح العضد وحاشية التفتازاني، 2/284؛ تخريج الفروع على الأصول للزنجاني، ص172؛ شرح تنقيح </w:t>
      </w:r>
      <w:r w:rsidRPr="00B36497">
        <w:rPr>
          <w:rFonts w:hint="cs"/>
          <w:spacing w:val="-6"/>
          <w:rtl/>
        </w:rPr>
        <w:t>الفصول، ص447؛ الإبهاج في شرح المنهاج، ص168؛ جمع الـجوامع وشرح المحلي وحـاشية</w:t>
      </w:r>
      <w:r>
        <w:rPr>
          <w:rFonts w:hint="cs"/>
          <w:rtl/>
        </w:rPr>
        <w:t xml:space="preserve"> البناني، </w:t>
      </w:r>
      <w:r w:rsidRPr="00B36497">
        <w:rPr>
          <w:rFonts w:hint="cs"/>
          <w:spacing w:val="-4"/>
          <w:rtl/>
        </w:rPr>
        <w:t>2/348؛ مفتاح الوصول، ص647؛ التمهيد للإسنوي، ص489؛ التحرير وشـرحه: تيسير</w:t>
      </w:r>
      <w:r>
        <w:rPr>
          <w:rFonts w:hint="cs"/>
          <w:rtl/>
        </w:rPr>
        <w:t xml:space="preserve"> التحرير، 4/176؛ شرح الكوكب المنير، 4/403؛ إرشاد الفحول، 2/248؛ مصادر التـشريع لـخلاّف، ص151؛ أدلة التشريع لشيخنا أ.د. عبد العزيز الـربيعة، ص273؛ الأدلة المختلف فيها للدكتور أبـو المكارم، ص 11؛ أصول مذهب الإمام أحمد للدكتور عبد الله التركي، ص415؛ الاستدلال للدكتور العميريني، ص65.</w:t>
      </w:r>
    </w:p>
    <w:p w:rsidR="00035BE3" w:rsidRDefault="00035BE3" w:rsidP="00C10469">
      <w:pPr>
        <w:pStyle w:val="a6"/>
        <w:ind w:left="422" w:firstLine="0"/>
        <w:rPr>
          <w:rtl/>
        </w:rPr>
      </w:pPr>
      <w:r>
        <w:rPr>
          <w:rFonts w:hint="cs"/>
          <w:rtl/>
        </w:rPr>
        <w:t>ومع أن هذه القاعدة أصولية، إلا أنه كَثُرَ استعمال الفقهاء لها فوردت في مقام التعليل لكثير من الأحكام الفرعية في كتبهم، وتبعًا لذلك وردت في كثير من كتب القواعد، وذلك بألفاظ مختلفة يجمعها موضوع (الاستصحاب).</w:t>
      </w:r>
    </w:p>
    <w:p w:rsidR="00035BE3" w:rsidRDefault="00035BE3" w:rsidP="00C10469">
      <w:pPr>
        <w:pStyle w:val="a6"/>
        <w:ind w:left="422" w:firstLine="0"/>
        <w:rPr>
          <w:rtl/>
        </w:rPr>
      </w:pPr>
      <w:r>
        <w:rPr>
          <w:rFonts w:hint="cs"/>
          <w:b/>
          <w:bCs/>
          <w:rtl/>
        </w:rPr>
        <w:t>فمن كتب القواعد</w:t>
      </w:r>
      <w:r>
        <w:rPr>
          <w:rFonts w:hint="cs"/>
          <w:rtl/>
        </w:rPr>
        <w:t xml:space="preserve"> : </w:t>
      </w:r>
    </w:p>
    <w:p w:rsidR="00035BE3" w:rsidRDefault="00035BE3" w:rsidP="00C10469">
      <w:pPr>
        <w:pStyle w:val="a6"/>
        <w:spacing w:line="228" w:lineRule="auto"/>
        <w:ind w:left="420" w:firstLine="0"/>
        <w:rPr>
          <w:rtl/>
        </w:rPr>
      </w:pPr>
      <w:r>
        <w:rPr>
          <w:rFonts w:hint="cs"/>
          <w:rtl/>
        </w:rPr>
        <w:t>رسالة الكرخي في الأصول، ص161 (مع تأسيس النظر)؛ الأشباه والنظائر لابن السبكي، 1/13؛ المنثور، 2/287؛ القواعد للحصني، 1/272؛ مختصر من قواعد العلائي وكلام الإسنوي، 2/432، 451، 629؛ مغني ذوي الأفهام (الخاتمة)، ص519، قاعدة 11؛ الأشباه والنظائر لابن نجيم، ص95؛ منافع الدقائق، ص311؛ شرح المجلة لعلي حيدر، والأتاسي، 1/20؛ قواعد الفقه للمجدِّدي؛ ص89، قاعدة 174؛ المدخل الفقهي العام، 2/1086، فقرة 702؛ القواعد الفقهية للدكتور علي الندوي، ص148، 261، 453؛ القواعد والضوابط المستخلصة من التحرير، ص169 (وقد أحال هنا إلى شرح الجامع الكبير للكرْدَرِي، ل236/ب)، 195 (وقد أحال هنا إلى التيسير بمعاني الجامع الكبير للأخلاطي، ل168/ب)، ص484، 490 (وأحال فيهما إلى التحرير، 3/1011، 1012 و2/960، 3/1218، 1222، 5/482)؛ الوجيز، ص108؛ موسوعة القواعد الفقهية، 1/83، 2/103، 4/465.</w:t>
      </w:r>
    </w:p>
    <w:p w:rsidR="00035BE3" w:rsidRDefault="00035BE3" w:rsidP="00C10469">
      <w:pPr>
        <w:pStyle w:val="a6"/>
        <w:spacing w:line="228" w:lineRule="auto"/>
        <w:ind w:left="420" w:firstLine="0"/>
        <w:rPr>
          <w:rtl/>
        </w:rPr>
      </w:pPr>
      <w:r>
        <w:rPr>
          <w:rFonts w:hint="cs"/>
          <w:b/>
          <w:bCs/>
          <w:rtl/>
        </w:rPr>
        <w:t>ومن كتب الفقه</w:t>
      </w:r>
      <w:r>
        <w:rPr>
          <w:rFonts w:hint="cs"/>
          <w:rtl/>
        </w:rPr>
        <w:t xml:space="preserve"> : </w:t>
      </w:r>
    </w:p>
    <w:p w:rsidR="00035BE3" w:rsidRDefault="00035BE3" w:rsidP="00C10469">
      <w:pPr>
        <w:pStyle w:val="a6"/>
        <w:spacing w:line="228" w:lineRule="auto"/>
        <w:ind w:left="420" w:firstLine="0"/>
        <w:rPr>
          <w:rtl/>
        </w:rPr>
      </w:pPr>
      <w:r>
        <w:rPr>
          <w:rFonts w:hint="cs"/>
          <w:rtl/>
        </w:rPr>
        <w:t xml:space="preserve">شرح مختصر الطحاوي للجصاص، ق2، ص242؛ شرح السير الكبير، 1/321، فقرة 452، و3/968، فقرة 1781؛ المبسوط، 11/46، 16/53؛ شرح الزيادات لقـاضي خان، ص521، 986، 990، 997؛ الهـداية، 6/149؛ المصفى مختصر المستصفى، ل62/ب، الكـافي شرح </w:t>
      </w:r>
      <w:r w:rsidRPr="00590E92">
        <w:rPr>
          <w:rFonts w:hint="cs"/>
          <w:spacing w:val="-4"/>
          <w:rtl/>
        </w:rPr>
        <w:t>الوافي، القسـم الأخـير، ص140؛ تبيين الحقائق، 4/199-200، 5/43؛ العناية، 4/117،</w:t>
      </w:r>
      <w:r>
        <w:rPr>
          <w:rFonts w:hint="cs"/>
          <w:rtl/>
        </w:rPr>
        <w:t xml:space="preserve"> </w:t>
      </w:r>
      <w:r w:rsidRPr="00590E92">
        <w:rPr>
          <w:rFonts w:hint="cs"/>
          <w:spacing w:val="-2"/>
          <w:rtl/>
        </w:rPr>
        <w:t>7/57، 339؛ فتح القدير، 4/117، 6/149، 7/339؛ الدّرر شرح الغرر، 2/417؛ البحر الرائق، 7/43.</w:t>
      </w:r>
    </w:p>
    <w:p w:rsidR="00035BE3" w:rsidRDefault="00035BE3" w:rsidP="00C10469">
      <w:pPr>
        <w:pStyle w:val="a6"/>
        <w:spacing w:line="228" w:lineRule="auto"/>
        <w:ind w:left="420" w:firstLine="0"/>
        <w:rPr>
          <w:rtl/>
        </w:rPr>
      </w:pPr>
      <w:r>
        <w:rPr>
          <w:rFonts w:hint="cs"/>
          <w:b/>
          <w:bCs/>
          <w:rtl/>
        </w:rPr>
        <w:t>وللاستصحاب قواعد أخرى</w:t>
      </w:r>
      <w:r>
        <w:rPr>
          <w:rFonts w:hint="cs"/>
          <w:rtl/>
        </w:rPr>
        <w:t xml:space="preserve"> سوف يأتي الحديث عن بعضها استقلالاً، مثل قاعدة: </w:t>
      </w:r>
      <w:r>
        <w:rPr>
          <w:rFonts w:hint="eastAsia"/>
          <w:rtl/>
        </w:rPr>
        <w:t>«</w:t>
      </w:r>
      <w:r>
        <w:rPr>
          <w:rFonts w:hint="cs"/>
          <w:rtl/>
        </w:rPr>
        <w:t xml:space="preserve">الأصل بقاء ما </w:t>
      </w:r>
      <w:r w:rsidRPr="002565A6">
        <w:rPr>
          <w:rFonts w:hint="cs"/>
          <w:spacing w:val="-4"/>
          <w:rtl/>
        </w:rPr>
        <w:t>كان  على ما كان</w:t>
      </w:r>
      <w:r w:rsidRPr="002565A6">
        <w:rPr>
          <w:rFonts w:hint="eastAsia"/>
          <w:spacing w:val="-4"/>
          <w:rtl/>
        </w:rPr>
        <w:t>»</w:t>
      </w:r>
      <w:r w:rsidRPr="002565A6">
        <w:rPr>
          <w:rFonts w:hint="cs"/>
          <w:spacing w:val="-4"/>
          <w:rtl/>
        </w:rPr>
        <w:t xml:space="preserve"> و</w:t>
      </w:r>
      <w:r w:rsidRPr="002565A6">
        <w:rPr>
          <w:rFonts w:hint="eastAsia"/>
          <w:spacing w:val="-4"/>
          <w:rtl/>
        </w:rPr>
        <w:t>«</w:t>
      </w:r>
      <w:r w:rsidRPr="002565A6">
        <w:rPr>
          <w:rFonts w:hint="cs"/>
          <w:spacing w:val="-4"/>
          <w:rtl/>
        </w:rPr>
        <w:t>الأصل إضافة الحادث إلى أقرب أوقاته</w:t>
      </w:r>
      <w:r w:rsidRPr="002565A6">
        <w:rPr>
          <w:rFonts w:hint="eastAsia"/>
          <w:spacing w:val="-4"/>
          <w:rtl/>
        </w:rPr>
        <w:t>»</w:t>
      </w:r>
      <w:r w:rsidRPr="002565A6">
        <w:rPr>
          <w:rFonts w:hint="cs"/>
          <w:spacing w:val="-4"/>
          <w:rtl/>
        </w:rPr>
        <w:t xml:space="preserve"> و </w:t>
      </w:r>
      <w:r w:rsidRPr="002565A6">
        <w:rPr>
          <w:rFonts w:hint="eastAsia"/>
          <w:spacing w:val="-4"/>
          <w:rtl/>
        </w:rPr>
        <w:t>«</w:t>
      </w:r>
      <w:r w:rsidRPr="002565A6">
        <w:rPr>
          <w:rFonts w:hint="cs"/>
          <w:spacing w:val="-4"/>
          <w:rtl/>
        </w:rPr>
        <w:t>القديم يترك على قدمه</w:t>
      </w:r>
      <w:r w:rsidRPr="002565A6">
        <w:rPr>
          <w:rFonts w:hint="eastAsia"/>
          <w:spacing w:val="-4"/>
          <w:rtl/>
        </w:rPr>
        <w:t>»</w:t>
      </w:r>
      <w:r w:rsidRPr="002565A6">
        <w:rPr>
          <w:rFonts w:hint="cs"/>
          <w:spacing w:val="-4"/>
          <w:rtl/>
        </w:rPr>
        <w:t xml:space="preserve"> و </w:t>
      </w:r>
      <w:r w:rsidRPr="002565A6">
        <w:rPr>
          <w:rFonts w:hint="eastAsia"/>
          <w:spacing w:val="-4"/>
          <w:rtl/>
        </w:rPr>
        <w:t>«</w:t>
      </w:r>
      <w:r w:rsidRPr="002565A6">
        <w:rPr>
          <w:rFonts w:hint="cs"/>
          <w:spacing w:val="-4"/>
          <w:rtl/>
        </w:rPr>
        <w:t>ما</w:t>
      </w:r>
      <w:r>
        <w:rPr>
          <w:rFonts w:hint="cs"/>
          <w:rtl/>
        </w:rPr>
        <w:t xml:space="preserve"> ثبت في زمان: يحكم ببقائه، ما لم يوجد المزيل</w:t>
      </w:r>
      <w:r>
        <w:rPr>
          <w:rFonts w:hint="eastAsia"/>
          <w:rtl/>
        </w:rPr>
        <w:t>»</w:t>
      </w:r>
      <w:r>
        <w:rPr>
          <w:rFonts w:hint="cs"/>
          <w:rtl/>
        </w:rPr>
        <w:t>، ومواضـعها مرتَّبة : ص315 (ل10/ب)، قاعدة 25، وص430 (ل12/أ)، قاعدة 29، وص 883 (ل71/أ)، قـاعدة 176، وص1021 (ل92/ب)، قـاعدة 216.</w:t>
      </w:r>
      <w:r>
        <w:rPr>
          <w:rFonts w:hint="cs"/>
          <w:rtl/>
        </w:rPr>
        <w:tab/>
      </w:r>
      <w:r>
        <w:rPr>
          <w:rFonts w:hint="cs"/>
          <w:rtl/>
        </w:rPr>
        <w:tab/>
      </w:r>
    </w:p>
  </w:footnote>
  <w:footnote w:id="7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المفقود</w:t>
      </w:r>
      <w:r>
        <w:rPr>
          <w:rFonts w:hint="cs"/>
          <w:rtl/>
        </w:rPr>
        <w:t xml:space="preserve"> : </w:t>
      </w:r>
      <w:r>
        <w:rPr>
          <w:rFonts w:hint="eastAsia"/>
          <w:rtl/>
        </w:rPr>
        <w:t>«</w:t>
      </w:r>
      <w:r>
        <w:rPr>
          <w:rFonts w:hint="cs"/>
          <w:rtl/>
        </w:rPr>
        <w:t>هو الغائب الذي لا يدرى حياته، ولا موته</w:t>
      </w:r>
      <w:r>
        <w:rPr>
          <w:rFonts w:hint="eastAsia"/>
          <w:rtl/>
        </w:rPr>
        <w:t>»</w:t>
      </w:r>
      <w:r>
        <w:rPr>
          <w:rFonts w:hint="cs"/>
          <w:rtl/>
        </w:rPr>
        <w:t>، قاله صاحب فتح القدير، 6/141.</w:t>
      </w:r>
    </w:p>
  </w:footnote>
  <w:footnote w:id="7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حكم </w:t>
      </w:r>
      <w:r>
        <w:rPr>
          <w:rFonts w:hint="eastAsia"/>
          <w:rtl/>
        </w:rPr>
        <w:t>»</w:t>
      </w:r>
      <w:r>
        <w:rPr>
          <w:rFonts w:hint="cs"/>
          <w:rtl/>
        </w:rPr>
        <w:t>.</w:t>
      </w:r>
    </w:p>
  </w:footnote>
  <w:footnote w:id="7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و(د) يظهر أنها : </w:t>
      </w:r>
      <w:r>
        <w:rPr>
          <w:rFonts w:hint="eastAsia"/>
          <w:rtl/>
        </w:rPr>
        <w:t>«</w:t>
      </w:r>
      <w:r>
        <w:rPr>
          <w:rFonts w:hint="cs"/>
          <w:rtl/>
        </w:rPr>
        <w:t xml:space="preserve"> يحكم </w:t>
      </w:r>
      <w:r>
        <w:rPr>
          <w:rFonts w:hint="eastAsia"/>
          <w:rtl/>
        </w:rPr>
        <w:t>»</w:t>
      </w:r>
      <w:r>
        <w:rPr>
          <w:rFonts w:hint="cs"/>
          <w:rtl/>
        </w:rPr>
        <w:t>.</w:t>
      </w:r>
    </w:p>
  </w:footnote>
  <w:footnote w:id="7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وافق المؤلفَ في تخريج هذا الفرع على القاعدة كثيرٌ من علماء الأصول والقواعد الآنف ذكر كتُبهم عند توثيق القاعدة، ومن تلك الكتب : أصول السرخسي، 2/224، 225؛ حاشية التفتازاني على شرح العضد، 2/285؛ التحرير وشرحه : تيسير التحرير، 4/178؛ الأشباه والنظائر لابن نجيم، ص96؛ شرح المجلة للآتاسي، 1/20-21.</w:t>
      </w:r>
    </w:p>
    <w:p w:rsidR="00035BE3" w:rsidRDefault="00035BE3" w:rsidP="00C10469">
      <w:pPr>
        <w:pStyle w:val="a6"/>
        <w:ind w:left="422" w:firstLine="0"/>
        <w:rPr>
          <w:spacing w:val="-6"/>
          <w:sz w:val="29"/>
          <w:szCs w:val="29"/>
          <w:rtl/>
        </w:rPr>
      </w:pPr>
      <w:r>
        <w:rPr>
          <w:rFonts w:hint="cs"/>
          <w:spacing w:val="-6"/>
          <w:sz w:val="29"/>
          <w:szCs w:val="29"/>
          <w:rtl/>
        </w:rPr>
        <w:t>ومن الكتب الأخر : جُمل الأحكام للناطقي، ص258؛ المبسوط، 11/46؛ الهداية وفتح القدير، 6/149.</w:t>
      </w:r>
    </w:p>
  </w:footnote>
  <w:footnote w:id="7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يقوم </w:t>
      </w:r>
      <w:r>
        <w:rPr>
          <w:rFonts w:hint="eastAsia"/>
          <w:rtl/>
        </w:rPr>
        <w:t>»</w:t>
      </w:r>
      <w:r>
        <w:rPr>
          <w:rFonts w:hint="cs"/>
          <w:rtl/>
        </w:rPr>
        <w:t>. والصحيح ما تم إثباته من (ب) و(د).</w:t>
      </w:r>
    </w:p>
  </w:footnote>
  <w:footnote w:id="7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بعدّة ألفاظ، يجمعها كون إشارة الأخرس تقوم مقام العبارة: </w:t>
      </w:r>
    </w:p>
    <w:p w:rsidR="00035BE3" w:rsidRDefault="00035BE3" w:rsidP="00C10469">
      <w:pPr>
        <w:pStyle w:val="a6"/>
        <w:ind w:left="422" w:firstLine="0"/>
        <w:rPr>
          <w:rtl/>
        </w:rPr>
      </w:pPr>
      <w:r>
        <w:rPr>
          <w:rFonts w:hint="cs"/>
          <w:b/>
          <w:bCs/>
          <w:rtl/>
        </w:rPr>
        <w:t>فمن كتب القواعد التي وردت فيها</w:t>
      </w:r>
      <w:r>
        <w:rPr>
          <w:rFonts w:hint="cs"/>
          <w:rtl/>
        </w:rPr>
        <w:t xml:space="preserve"> : </w:t>
      </w:r>
    </w:p>
    <w:p w:rsidR="00035BE3" w:rsidRDefault="00035BE3" w:rsidP="00C10469">
      <w:pPr>
        <w:pStyle w:val="a6"/>
        <w:ind w:left="422" w:firstLine="0"/>
        <w:rPr>
          <w:rtl/>
        </w:rPr>
      </w:pPr>
      <w:r>
        <w:rPr>
          <w:rFonts w:hint="cs"/>
          <w:rtl/>
        </w:rPr>
        <w:t>القواعد النورانية لشيخ الإسلام ابن تيمية، ص126؛ المنثور للزركشي، 1/164؛ الأشباه والنظائر للسيوطي، 2/586؛ ولابن نجيم، ص379؛ غمز عيون البصائر، 3/454؛ مجلة الأحكام العدلية، مادة 70؛ شرح المجلة لسليم رستم، 1/49؛ ولعلي حيدر، 1/62؛ وللآتاسي، 1/193؛ وشرح قواعدها للزرقا، ص351؛ قواعد الفقه للمجدِّدي، ص58، قاعدة 28؛ المدخل الفقهي العام، 2/1000، فقرة 610؛ القواعد الفقهية للدكتور علي الندوي، ص145، 346؛ القواعد والضوابط المستخلصة من التحرير، ص480، وأحال إلى التحرير، 1/528؛ الوجيز، ص242؛ موسوعة القواعد الفقهية، 1/80، 399؛ الـقواعد الفقهية الكبرى لشيخنا أ.د. صـالح السـدلان، ص475؛ القواعد الفقهية في بابي العبادات والمعاملات لشيخنا د. عبد الله العيسى، ص605؛ المبادئ الفقهية، ص43؛ القواعد الفقهية للدعاس، ص54، قاعدة 39؛ وللدكتور الزحيلي، ص73؛ القواعد الكبرى للدكتور العجلان، ص99؛ تطبيقات القواعد والضوابط الفقهية للدكتور الغديان، ص856.</w:t>
      </w:r>
    </w:p>
    <w:p w:rsidR="00035BE3" w:rsidRDefault="00035BE3" w:rsidP="00C10469">
      <w:pPr>
        <w:pStyle w:val="a6"/>
        <w:ind w:left="422" w:firstLine="0"/>
        <w:rPr>
          <w:rtl/>
        </w:rPr>
      </w:pPr>
      <w:r>
        <w:rPr>
          <w:rFonts w:hint="cs"/>
          <w:b/>
          <w:bCs/>
          <w:rtl/>
        </w:rPr>
        <w:t>كما وردت في بعض كتب الفقه، منها</w:t>
      </w:r>
      <w:r>
        <w:rPr>
          <w:rFonts w:hint="cs"/>
          <w:rtl/>
        </w:rPr>
        <w:t xml:space="preserve"> :  </w:t>
      </w:r>
    </w:p>
    <w:p w:rsidR="00035BE3" w:rsidRDefault="00035BE3" w:rsidP="00C10469">
      <w:pPr>
        <w:pStyle w:val="a6"/>
        <w:ind w:left="422" w:firstLine="0"/>
        <w:rPr>
          <w:rtl/>
        </w:rPr>
      </w:pPr>
      <w:r>
        <w:rPr>
          <w:rFonts w:hint="cs"/>
          <w:rtl/>
        </w:rPr>
        <w:t>بدائع الصنائع، 5/135، 7/223؛ فتاوى قاضي خان، 3/128؛ المنهاج وشرحه: مغني المحتاج، 2</w:t>
      </w:r>
      <w:r w:rsidRPr="00882FD0">
        <w:rPr>
          <w:rFonts w:hint="cs"/>
          <w:spacing w:val="-2"/>
          <w:rtl/>
        </w:rPr>
        <w:t>/7؛ تبيين الحقائق، 6/218؛ الدّرر شرح الغرر، 2/360، 430؛ الشرح الكبير للدّردير، 3/399.</w:t>
      </w:r>
    </w:p>
  </w:footnote>
  <w:footnote w:id="7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الأَخْرس</w:t>
      </w:r>
      <w:r>
        <w:rPr>
          <w:rFonts w:hint="cs"/>
          <w:rtl/>
        </w:rPr>
        <w:t xml:space="preserve"> : هو منعقد اللسان عن الكلام.</w:t>
      </w:r>
    </w:p>
    <w:p w:rsidR="00035BE3" w:rsidRDefault="00035BE3" w:rsidP="00C10469">
      <w:pPr>
        <w:pStyle w:val="a6"/>
        <w:ind w:left="422" w:firstLine="0"/>
        <w:rPr>
          <w:rtl/>
        </w:rPr>
      </w:pPr>
      <w:r>
        <w:rPr>
          <w:rFonts w:hint="cs"/>
          <w:b/>
          <w:bCs/>
          <w:rtl/>
        </w:rPr>
        <w:t>والفرق بينه وبين (معتقل اللسان):</w:t>
      </w:r>
      <w:r>
        <w:rPr>
          <w:rFonts w:hint="cs"/>
          <w:rtl/>
        </w:rPr>
        <w:t xml:space="preserve"> أنَّ إنعقاد لسان الأخرس موجود في أصل الخلقة، بينما معتقل اللسان: انعقادُ لسانِه عارضٌ، حدث له بمرض، أو خوف، أو سقوط من شاهق، أو غير ذلك، وربما زال فانطلق اللسان.</w:t>
      </w:r>
    </w:p>
    <w:p w:rsidR="00035BE3" w:rsidRDefault="00035BE3" w:rsidP="00C10469">
      <w:pPr>
        <w:pStyle w:val="a6"/>
        <w:ind w:left="422" w:firstLine="0"/>
        <w:rPr>
          <w:rtl/>
        </w:rPr>
      </w:pPr>
      <w:r>
        <w:rPr>
          <w:rFonts w:hint="cs"/>
          <w:rtl/>
        </w:rPr>
        <w:t xml:space="preserve">انظر : القاموس المحيط، مـادة </w:t>
      </w:r>
      <w:r>
        <w:rPr>
          <w:rFonts w:hint="eastAsia"/>
          <w:rtl/>
        </w:rPr>
        <w:t>«</w:t>
      </w:r>
      <w:r>
        <w:rPr>
          <w:rFonts w:hint="cs"/>
          <w:rtl/>
        </w:rPr>
        <w:t xml:space="preserve"> خرس </w:t>
      </w:r>
      <w:r>
        <w:rPr>
          <w:rFonts w:hint="eastAsia"/>
          <w:rtl/>
        </w:rPr>
        <w:t>»</w:t>
      </w:r>
      <w:r>
        <w:rPr>
          <w:rFonts w:hint="cs"/>
          <w:rtl/>
        </w:rPr>
        <w:t xml:space="preserve"> ، ص696؛ درر الحـكام شـرح مـجـلة الأحكام، 1/63؛ شرح المجلة للآتاسي، 1/194.</w:t>
      </w:r>
    </w:p>
  </w:footnote>
  <w:footnote w:id="8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w:t>
      </w:r>
      <w:r>
        <w:rPr>
          <w:rFonts w:hint="eastAsia"/>
          <w:rtl/>
        </w:rPr>
        <w:t>«</w:t>
      </w:r>
      <w:r>
        <w:rPr>
          <w:rFonts w:hint="cs"/>
          <w:rtl/>
        </w:rPr>
        <w:t>العقل</w:t>
      </w:r>
      <w:r>
        <w:rPr>
          <w:rFonts w:hint="eastAsia"/>
          <w:rtl/>
        </w:rPr>
        <w:t>»</w:t>
      </w:r>
      <w:r>
        <w:rPr>
          <w:rFonts w:hint="cs"/>
          <w:rtl/>
        </w:rPr>
        <w:t>. والصحيح ما تمّ إثباته من باقي النسخ، وهو الموافق لمصدر هذه العبارة (وهو الدرر).</w:t>
      </w:r>
    </w:p>
  </w:footnote>
  <w:footnote w:id="8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والمعنى : </w:t>
      </w:r>
      <w:r>
        <w:rPr>
          <w:rFonts w:hint="eastAsia"/>
          <w:rtl/>
        </w:rPr>
        <w:t>«</w:t>
      </w:r>
      <w:r>
        <w:rPr>
          <w:rFonts w:hint="cs"/>
          <w:rtl/>
        </w:rPr>
        <w:t xml:space="preserve"> إذا استدام الاعتقال في إنسان حتى موته : فإقراره قبل موته بإشارته المعروفة يكون معتبرًا، كما لو كان أخرس أصليًا </w:t>
      </w:r>
      <w:r>
        <w:rPr>
          <w:rFonts w:hint="eastAsia"/>
          <w:rtl/>
        </w:rPr>
        <w:t>»</w:t>
      </w:r>
      <w:r>
        <w:rPr>
          <w:rFonts w:hint="cs"/>
          <w:rtl/>
        </w:rPr>
        <w:t xml:space="preserve"> - قاله علي حيدر في درره، 1/63-.</w:t>
      </w:r>
    </w:p>
    <w:p w:rsidR="00035BE3" w:rsidRDefault="00035BE3" w:rsidP="00C10469">
      <w:pPr>
        <w:pStyle w:val="a6"/>
        <w:ind w:left="422" w:firstLine="0"/>
        <w:rPr>
          <w:rtl/>
        </w:rPr>
      </w:pPr>
      <w:r>
        <w:rPr>
          <w:rFonts w:hint="cs"/>
          <w:rtl/>
        </w:rPr>
        <w:t xml:space="preserve">ولصاحب (بدائع الصنائع) -5/135- رأي ثالث؛ وهو تقدير الامتداد بما </w:t>
      </w:r>
      <w:r>
        <w:rPr>
          <w:rFonts w:hint="eastAsia"/>
          <w:rtl/>
        </w:rPr>
        <w:t>«</w:t>
      </w:r>
      <w:r>
        <w:rPr>
          <w:rFonts w:hint="cs"/>
          <w:rtl/>
        </w:rPr>
        <w:t>إذا دام به حتى وقع اليأس من كلامه، فصارت الإشارة مفهومة، فيلحق بالأخرس الأصلي</w:t>
      </w:r>
      <w:r>
        <w:rPr>
          <w:rFonts w:hint="eastAsia"/>
          <w:rtl/>
        </w:rPr>
        <w:t>»</w:t>
      </w:r>
      <w:r>
        <w:rPr>
          <w:rFonts w:hint="cs"/>
          <w:rtl/>
        </w:rPr>
        <w:t>.</w:t>
      </w:r>
    </w:p>
  </w:footnote>
  <w:footnote w:id="8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كأخرس </w:t>
      </w:r>
      <w:r>
        <w:rPr>
          <w:rFonts w:hint="eastAsia"/>
          <w:rtl/>
        </w:rPr>
        <w:t>»</w:t>
      </w:r>
      <w:r>
        <w:rPr>
          <w:rFonts w:hint="cs"/>
          <w:rtl/>
        </w:rPr>
        <w:t>.</w:t>
      </w:r>
    </w:p>
  </w:footnote>
  <w:footnote w:id="8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الزَّيْلَعِي</w:t>
      </w:r>
      <w:r>
        <w:rPr>
          <w:rFonts w:hint="cs"/>
          <w:rtl/>
        </w:rPr>
        <w:t xml:space="preserve"> : هو عثمان بن علي بن مِحْجَن بن يونس، أبو عمر الزيلعي الحنفي (ت743هـ). والزيلعي نـسـبةً إلى </w:t>
      </w:r>
      <w:r>
        <w:rPr>
          <w:rFonts w:hint="eastAsia"/>
          <w:rtl/>
        </w:rPr>
        <w:t>«</w:t>
      </w:r>
      <w:r>
        <w:rPr>
          <w:rFonts w:hint="cs"/>
          <w:rtl/>
        </w:rPr>
        <w:t xml:space="preserve"> زَيْلَع </w:t>
      </w:r>
      <w:r>
        <w:rPr>
          <w:rFonts w:hint="eastAsia"/>
          <w:rtl/>
        </w:rPr>
        <w:t>»</w:t>
      </w:r>
      <w:r>
        <w:rPr>
          <w:rFonts w:hint="cs"/>
          <w:rtl/>
        </w:rPr>
        <w:t>، وهي بلدة بساحل بحر الحبشة.</w:t>
      </w:r>
    </w:p>
    <w:p w:rsidR="00035BE3" w:rsidRDefault="00035BE3" w:rsidP="00C10469">
      <w:pPr>
        <w:pStyle w:val="a6"/>
        <w:ind w:left="422" w:firstLine="0"/>
        <w:rPr>
          <w:rtl/>
        </w:rPr>
      </w:pPr>
      <w:r>
        <w:rPr>
          <w:rFonts w:hint="cs"/>
          <w:rtl/>
        </w:rPr>
        <w:t xml:space="preserve">اشتهر بالفقه فألف فيه -على مذهب الحنفية- عدة مؤلفات منها : شرح الجامع الكبير للشيباني، وشرح المختار للموصلي، ومن أشهرها : تبيين الحقائق شرح كنز الدقائق للنسفي، </w:t>
      </w:r>
      <w:r>
        <w:rPr>
          <w:rFonts w:hint="eastAsia"/>
          <w:rtl/>
        </w:rPr>
        <w:t>«</w:t>
      </w:r>
      <w:r>
        <w:rPr>
          <w:rFonts w:hint="cs"/>
          <w:rtl/>
        </w:rPr>
        <w:t>وهو شرح معتمد مقبول، وهو المراد بالشارح في (البحر الرائق)</w:t>
      </w:r>
      <w:r>
        <w:rPr>
          <w:rFonts w:hint="eastAsia"/>
          <w:rtl/>
        </w:rPr>
        <w:t>»</w:t>
      </w:r>
      <w:r>
        <w:rPr>
          <w:rFonts w:hint="cs"/>
          <w:rtl/>
        </w:rPr>
        <w:t xml:space="preserve"> -قاله اللكنوي في الفوائد البهية، ص115-.</w:t>
      </w:r>
    </w:p>
    <w:p w:rsidR="00035BE3" w:rsidRDefault="00035BE3" w:rsidP="00C10469">
      <w:pPr>
        <w:pStyle w:val="a6"/>
        <w:ind w:left="422" w:firstLine="0"/>
        <w:rPr>
          <w:rtl/>
        </w:rPr>
      </w:pPr>
      <w:r>
        <w:rPr>
          <w:rFonts w:hint="cs"/>
          <w:rtl/>
        </w:rPr>
        <w:t xml:space="preserve">انظر: الـجواهـر المـضيّة، 2/519-520، رقم 925؛ تاج التـراجم، ص144، رقم 162؛ </w:t>
      </w:r>
      <w:r w:rsidRPr="00BB4786">
        <w:rPr>
          <w:rFonts w:hint="cs"/>
          <w:spacing w:val="-2"/>
          <w:rtl/>
        </w:rPr>
        <w:t>هدية العارفين، 1/655؛ معجم المؤلفين، 2/365، رقم 887؛ وانظر أيضًا : معجم البلدان، 3/185.</w:t>
      </w:r>
    </w:p>
  </w:footnote>
  <w:footnote w:id="8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في كتابه (تبيين الحقائق)، 6/218، علمًا بأن القاعدة وشرحها -بما فيه قوله : </w:t>
      </w:r>
      <w:r>
        <w:rPr>
          <w:rFonts w:hint="eastAsia"/>
          <w:rtl/>
        </w:rPr>
        <w:t>«</w:t>
      </w:r>
      <w:r>
        <w:rPr>
          <w:rFonts w:hint="cs"/>
          <w:rtl/>
        </w:rPr>
        <w:t>ذكره الزيلعي</w:t>
      </w:r>
      <w:r>
        <w:rPr>
          <w:rFonts w:hint="eastAsia"/>
          <w:rtl/>
        </w:rPr>
        <w:t>»</w:t>
      </w:r>
      <w:r>
        <w:rPr>
          <w:rFonts w:hint="cs"/>
          <w:rtl/>
        </w:rPr>
        <w:t>- مذكور بنصه في الدّرر شرح الغرر، 2/430.</w:t>
      </w:r>
    </w:p>
    <w:p w:rsidR="00035BE3" w:rsidRDefault="00035BE3" w:rsidP="00C10469">
      <w:pPr>
        <w:pStyle w:val="a6"/>
        <w:ind w:left="422" w:firstLine="0"/>
        <w:rPr>
          <w:rtl/>
        </w:rPr>
      </w:pPr>
      <w:r>
        <w:rPr>
          <w:rFonts w:hint="cs"/>
          <w:rtl/>
        </w:rPr>
        <w:t>وقد صرح الزيلعي بأن تحديدها بسنة هو قول التمرتاشي، وكونها إلى الموت هو رواية عن الإمام أبي حنيفة، والتفريق في الحكم بين الأخرس الأصلي ومعتقل اللسان على النحو الذي ذكره المؤلف مذكور أيضًا في أشباه ابن نجيم وفي شروح المجلة الآنف ذكرها عند توثيق القاعدة.</w:t>
      </w:r>
    </w:p>
  </w:footnote>
  <w:footnote w:id="80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7/أ من (ب)، وقد جاء في (جـ) : </w:t>
      </w:r>
      <w:r>
        <w:rPr>
          <w:rFonts w:hint="eastAsia"/>
          <w:rtl/>
        </w:rPr>
        <w:t>«</w:t>
      </w:r>
      <w:r>
        <w:rPr>
          <w:rFonts w:hint="cs"/>
          <w:rtl/>
        </w:rPr>
        <w:t xml:space="preserve"> بالألف </w:t>
      </w:r>
      <w:r>
        <w:rPr>
          <w:rFonts w:hint="eastAsia"/>
          <w:rtl/>
        </w:rPr>
        <w:t>»</w:t>
      </w:r>
      <w:r>
        <w:rPr>
          <w:rFonts w:hint="cs"/>
          <w:rtl/>
        </w:rPr>
        <w:t xml:space="preserve">، وليس : </w:t>
      </w:r>
      <w:r>
        <w:rPr>
          <w:rFonts w:hint="eastAsia"/>
          <w:rtl/>
        </w:rPr>
        <w:t>«</w:t>
      </w:r>
      <w:r>
        <w:rPr>
          <w:rFonts w:hint="cs"/>
          <w:rtl/>
        </w:rPr>
        <w:t xml:space="preserve"> بالأخف</w:t>
      </w:r>
      <w:r>
        <w:rPr>
          <w:rFonts w:hint="eastAsia"/>
          <w:rtl/>
        </w:rPr>
        <w:t xml:space="preserve"> »</w:t>
      </w:r>
      <w:r>
        <w:rPr>
          <w:rFonts w:hint="cs"/>
          <w:rtl/>
        </w:rPr>
        <w:t>.</w:t>
      </w:r>
    </w:p>
  </w:footnote>
  <w:footnote w:id="80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 : </w:t>
      </w:r>
      <w:r>
        <w:rPr>
          <w:rFonts w:hint="eastAsia"/>
          <w:rtl/>
        </w:rPr>
        <w:t>«</w:t>
      </w:r>
      <w:r>
        <w:rPr>
          <w:rFonts w:hint="cs"/>
          <w:rtl/>
        </w:rPr>
        <w:t>الضرر الأشد يزال بالأخف</w:t>
      </w:r>
      <w:r>
        <w:rPr>
          <w:rFonts w:hint="eastAsia"/>
          <w:rtl/>
        </w:rPr>
        <w:t>»</w:t>
      </w:r>
      <w:r>
        <w:rPr>
          <w:rFonts w:hint="cs"/>
          <w:rtl/>
        </w:rPr>
        <w:t xml:space="preserve">، أو ألفاظ قريبة منه في عدة كتب من كتب الفقه والقواعد. </w:t>
      </w:r>
    </w:p>
    <w:p w:rsidR="00035BE3" w:rsidRDefault="00035BE3" w:rsidP="00C10469">
      <w:pPr>
        <w:pStyle w:val="a6"/>
        <w:spacing w:line="420" w:lineRule="exact"/>
        <w:ind w:left="422" w:firstLine="0"/>
        <w:rPr>
          <w:b/>
          <w:bCs/>
          <w:rtl/>
        </w:rPr>
      </w:pPr>
      <w:r>
        <w:rPr>
          <w:rFonts w:hint="cs"/>
          <w:b/>
          <w:bCs/>
          <w:rtl/>
        </w:rPr>
        <w:t>فمن كتب القواعد :</w:t>
      </w:r>
    </w:p>
    <w:p w:rsidR="00035BE3" w:rsidRDefault="00035BE3" w:rsidP="00C10469">
      <w:pPr>
        <w:pStyle w:val="a6"/>
        <w:spacing w:line="420" w:lineRule="exact"/>
        <w:ind w:left="422" w:firstLine="0"/>
        <w:rPr>
          <w:spacing w:val="6"/>
          <w:rtl/>
        </w:rPr>
      </w:pPr>
      <w:r>
        <w:rPr>
          <w:rFonts w:hint="cs"/>
          <w:spacing w:val="6"/>
          <w:rtl/>
        </w:rPr>
        <w:t xml:space="preserve">إيضاح المسالك للونشريسي، ص134، قاعدة 107 - ولفظه : </w:t>
      </w:r>
      <w:r>
        <w:rPr>
          <w:rFonts w:hint="eastAsia"/>
          <w:spacing w:val="6"/>
          <w:rtl/>
        </w:rPr>
        <w:t>«</w:t>
      </w:r>
      <w:r>
        <w:rPr>
          <w:rFonts w:hint="cs"/>
          <w:spacing w:val="6"/>
          <w:rtl/>
        </w:rPr>
        <w:t>إذا اجتمع ضرران أَسْقَطَ الأصغرُ الأكبرَ</w:t>
      </w:r>
      <w:r>
        <w:rPr>
          <w:rFonts w:hint="eastAsia"/>
          <w:spacing w:val="6"/>
          <w:rtl/>
        </w:rPr>
        <w:t>»</w:t>
      </w:r>
      <w:r>
        <w:rPr>
          <w:rFonts w:hint="cs"/>
          <w:spacing w:val="6"/>
          <w:rtl/>
        </w:rPr>
        <w:t xml:space="preserve">-؛ الأشباه والنظائر لابن نجيم، ص109-111- فقد قال في أثناء حديثه عن قاعدة : الضرر يزال : </w:t>
      </w:r>
      <w:r>
        <w:rPr>
          <w:rFonts w:hint="eastAsia"/>
          <w:spacing w:val="6"/>
          <w:rtl/>
        </w:rPr>
        <w:t>«</w:t>
      </w:r>
      <w:r>
        <w:rPr>
          <w:rFonts w:hint="cs"/>
          <w:spacing w:val="6"/>
          <w:rtl/>
        </w:rPr>
        <w:t>تقييد القاعدة أيضًا بما لو كان أحدهما أعظم ضررًا من الآخر : فإن الأشد يُزال بالأخف</w:t>
      </w:r>
      <w:r>
        <w:rPr>
          <w:rFonts w:hint="eastAsia"/>
          <w:spacing w:val="6"/>
          <w:rtl/>
        </w:rPr>
        <w:t>»</w:t>
      </w:r>
      <w:r>
        <w:rPr>
          <w:rFonts w:hint="cs"/>
          <w:spacing w:val="6"/>
          <w:rtl/>
        </w:rPr>
        <w:t xml:space="preserve">-؛ الـمنهـج الـمنـتخب وشرحه للمنجور، ص501-507؛ المجاز الواضح وشرحه : الدليل الماهر، ص203-207 - ولفظا (المنهج) و(المجاز) قريبان من لفظ إيضاح المسالك -؛ مجلة الأحكام العدلية، مادة 27- ولفظها : </w:t>
      </w:r>
      <w:r>
        <w:rPr>
          <w:rFonts w:hint="eastAsia"/>
          <w:spacing w:val="6"/>
          <w:rtl/>
        </w:rPr>
        <w:t>«</w:t>
      </w:r>
      <w:r>
        <w:rPr>
          <w:rFonts w:hint="cs"/>
          <w:spacing w:val="6"/>
          <w:rtl/>
        </w:rPr>
        <w:t>الضرر الأشد يزال بالضرر الأخف</w:t>
      </w:r>
      <w:r>
        <w:rPr>
          <w:rFonts w:hint="eastAsia"/>
          <w:spacing w:val="6"/>
          <w:rtl/>
        </w:rPr>
        <w:t>»</w:t>
      </w:r>
      <w:r>
        <w:rPr>
          <w:rFonts w:hint="cs"/>
          <w:spacing w:val="6"/>
          <w:rtl/>
        </w:rPr>
        <w:t>-؛ شرحها لسليم رستم، 1/31-؛ ولعلي حيدر، 1/36-37؛ وللآتاسي، 1/68-69؛ وشرح قواعدها للزرقا، ص199-200؛ قواعد الفقه للمجدِّدي، ص88، قاعدة 165- ولفظه مطابق للفظ المجلة-؛ المدخل الفقهي العام، 2/983-984، فقرة 590؛ القواعد الفقهية للدكتور علي النـدوي، ص313 - 317، 388 - 390؛ القواعد الفقهية لشيخـنا أ.د. صالح السـدلان، ص527-533؛ الوجيز، ص203-205؛ مـوسـوعة القـواعـد الـفـقهـيـة، 1/229 - 231، 3/268 - 269 - وقد ذكر د. علي الندوي ومن بعده لفظ المجلة وألفاظًا أخر</w:t>
      </w:r>
      <w:r>
        <w:rPr>
          <w:rFonts w:hint="cs"/>
          <w:spacing w:val="4"/>
          <w:rtl/>
        </w:rPr>
        <w:t>-؛ المبادئ الفقهية، ص24؛</w:t>
      </w:r>
      <w:r>
        <w:rPr>
          <w:rFonts w:hint="cs"/>
          <w:spacing w:val="6"/>
          <w:rtl/>
        </w:rPr>
        <w:t xml:space="preserve"> القواعد الفقهية للدعاس، ص32، قاعدة 19؛ وللدكتور محمد الزحيلي، ص60-61.</w:t>
      </w:r>
    </w:p>
    <w:p w:rsidR="00035BE3" w:rsidRDefault="00035BE3" w:rsidP="00C10469">
      <w:pPr>
        <w:pStyle w:val="a6"/>
        <w:spacing w:line="420" w:lineRule="exact"/>
        <w:ind w:left="422" w:firstLine="0"/>
        <w:rPr>
          <w:b/>
          <w:bCs/>
          <w:spacing w:val="-6"/>
          <w:rtl/>
        </w:rPr>
      </w:pPr>
      <w:r>
        <w:rPr>
          <w:rFonts w:hint="cs"/>
          <w:b/>
          <w:bCs/>
          <w:spacing w:val="-6"/>
          <w:rtl/>
        </w:rPr>
        <w:t xml:space="preserve">ومن كتب الفقه : </w:t>
      </w:r>
    </w:p>
    <w:p w:rsidR="00035BE3" w:rsidRDefault="00035BE3" w:rsidP="00C10469">
      <w:pPr>
        <w:pStyle w:val="a6"/>
        <w:spacing w:line="420" w:lineRule="exact"/>
        <w:ind w:left="422" w:firstLine="0"/>
        <w:rPr>
          <w:rtl/>
        </w:rPr>
      </w:pPr>
      <w:r>
        <w:rPr>
          <w:rFonts w:hint="cs"/>
          <w:rtl/>
        </w:rPr>
        <w:t>كتاب الكافي شرح الوافي، القسم الأخير، ص1780؛ الدر المختار، 9/281.</w:t>
      </w:r>
    </w:p>
    <w:p w:rsidR="00035BE3" w:rsidRDefault="00035BE3" w:rsidP="00C10469">
      <w:pPr>
        <w:pStyle w:val="a6"/>
        <w:ind w:left="422" w:firstLine="0"/>
        <w:rPr>
          <w:rtl/>
        </w:rPr>
      </w:pPr>
      <w:r>
        <w:rPr>
          <w:rFonts w:hint="cs"/>
          <w:rtl/>
        </w:rPr>
        <w:t xml:space="preserve">وقد سبق أن ذكر الـمـؤلـف قـاعـدتـيـن مـعناهما قريب من هذه القاعدة، وهما: </w:t>
      </w:r>
      <w:r>
        <w:rPr>
          <w:rFonts w:hint="eastAsia"/>
          <w:rtl/>
        </w:rPr>
        <w:t>«</w:t>
      </w:r>
      <w:r>
        <w:rPr>
          <w:rFonts w:hint="cs"/>
          <w:rtl/>
        </w:rPr>
        <w:t>يخـتار أهون الشرين</w:t>
      </w:r>
      <w:r>
        <w:rPr>
          <w:rFonts w:hint="eastAsia"/>
          <w:rtl/>
        </w:rPr>
        <w:t>»</w:t>
      </w:r>
      <w:r>
        <w:rPr>
          <w:rFonts w:hint="cs"/>
          <w:rtl/>
        </w:rPr>
        <w:t xml:space="preserve"> و</w:t>
      </w:r>
      <w:r>
        <w:rPr>
          <w:rFonts w:hint="eastAsia"/>
          <w:rtl/>
        </w:rPr>
        <w:t>«</w:t>
      </w:r>
      <w:r>
        <w:rPr>
          <w:rFonts w:hint="cs"/>
          <w:rtl/>
        </w:rPr>
        <w:t>إذا تعارض المفسدتان روعي أعظمـهما ضررًا بارتكاب أخفهما</w:t>
      </w:r>
      <w:r>
        <w:rPr>
          <w:rFonts w:hint="eastAsia"/>
          <w:rtl/>
        </w:rPr>
        <w:t>»</w:t>
      </w:r>
      <w:r>
        <w:rPr>
          <w:rFonts w:hint="cs"/>
          <w:rtl/>
        </w:rPr>
        <w:t>، وذلك ص210 (ل2/ب)، وص287 (ل8/أ)، قاعدة 15.</w:t>
      </w:r>
    </w:p>
  </w:footnote>
  <w:footnote w:id="8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زيادة : </w:t>
      </w:r>
      <w:r>
        <w:rPr>
          <w:rFonts w:hint="eastAsia"/>
          <w:rtl/>
        </w:rPr>
        <w:t>«</w:t>
      </w:r>
      <w:r>
        <w:rPr>
          <w:rFonts w:hint="cs"/>
          <w:rtl/>
        </w:rPr>
        <w:t>ضررًا</w:t>
      </w:r>
      <w:r>
        <w:rPr>
          <w:rFonts w:hint="eastAsia"/>
          <w:rtl/>
        </w:rPr>
        <w:t>»</w:t>
      </w:r>
      <w:r>
        <w:rPr>
          <w:rFonts w:hint="cs"/>
          <w:rtl/>
        </w:rPr>
        <w:t>.</w:t>
      </w:r>
    </w:p>
  </w:footnote>
  <w:footnote w:id="8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10/ب من (أ).</w:t>
      </w:r>
    </w:p>
  </w:footnote>
  <w:footnote w:id="80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أشباه ابن نجيم) : </w:t>
      </w:r>
      <w:r>
        <w:rPr>
          <w:rFonts w:hint="eastAsia"/>
          <w:rtl/>
        </w:rPr>
        <w:t>«</w:t>
      </w:r>
      <w:r>
        <w:rPr>
          <w:rFonts w:hint="cs"/>
          <w:rtl/>
        </w:rPr>
        <w:t>كانت</w:t>
      </w:r>
      <w:r>
        <w:rPr>
          <w:rFonts w:hint="eastAsia"/>
          <w:rtl/>
        </w:rPr>
        <w:t>»</w:t>
      </w:r>
      <w:r>
        <w:rPr>
          <w:rFonts w:hint="cs"/>
          <w:rtl/>
        </w:rPr>
        <w:t xml:space="preserve"> وهذا الأفصح.</w:t>
      </w:r>
    </w:p>
  </w:footnote>
  <w:footnote w:id="81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قلع البناء أو الغرس. علمًا بأنه جاء في أشباه ابن نجيم : </w:t>
      </w:r>
      <w:r>
        <w:rPr>
          <w:rFonts w:hint="eastAsia"/>
          <w:rtl/>
        </w:rPr>
        <w:t>«</w:t>
      </w:r>
      <w:r>
        <w:rPr>
          <w:rFonts w:hint="cs"/>
          <w:rtl/>
        </w:rPr>
        <w:t>قلعها</w:t>
      </w:r>
      <w:r>
        <w:rPr>
          <w:rFonts w:hint="eastAsia"/>
          <w:rtl/>
        </w:rPr>
        <w:t>»</w:t>
      </w:r>
      <w:r>
        <w:rPr>
          <w:rFonts w:hint="cs"/>
          <w:rtl/>
        </w:rPr>
        <w:t>.</w:t>
      </w:r>
    </w:p>
  </w:footnote>
  <w:footnote w:id="81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ص110 - مع الاختلاف في الكلمتين اللتين سبق بيانهما-.</w:t>
      </w:r>
    </w:p>
    <w:p w:rsidR="00035BE3" w:rsidRDefault="00035BE3" w:rsidP="00C10469">
      <w:pPr>
        <w:pStyle w:val="a6"/>
        <w:spacing w:line="500" w:lineRule="exact"/>
        <w:ind w:left="422" w:firstLine="0"/>
        <w:rPr>
          <w:rtl/>
        </w:rPr>
      </w:pPr>
      <w:r>
        <w:rPr>
          <w:rFonts w:hint="cs"/>
          <w:rtl/>
        </w:rPr>
        <w:t>وانظر : شرح المنهج المنتخب للمنجور، ص502؛ مجلة الأحكام العدلية، مادة 906؛ شرح المجلة لسليم رستم، 1/502؛ وللآتاسي، 1/69، وشرح قواعدها للزرقا، ص199.</w:t>
      </w:r>
    </w:p>
    <w:p w:rsidR="00035BE3" w:rsidRDefault="00035BE3" w:rsidP="00C10469">
      <w:pPr>
        <w:pStyle w:val="a6"/>
        <w:spacing w:line="500" w:lineRule="exact"/>
        <w:ind w:left="422" w:firstLine="0"/>
        <w:rPr>
          <w:spacing w:val="12"/>
          <w:rtl/>
        </w:rPr>
      </w:pPr>
      <w:r>
        <w:rPr>
          <w:rFonts w:hint="cs"/>
          <w:spacing w:val="12"/>
          <w:rtl/>
        </w:rPr>
        <w:t xml:space="preserve">وكون الغاصب يضمن قيمة الأرض إن كانت أقل من الشجر والبناء : هذا موضع خلاف بين الحنفية، ومن أفضل من حرّره : الشيخ طاهر الأتاسي في شرحه للمجلة - 1/441 - 442 - ومما قال: </w:t>
      </w:r>
      <w:r>
        <w:rPr>
          <w:rFonts w:hint="eastAsia"/>
          <w:spacing w:val="12"/>
          <w:rtl/>
        </w:rPr>
        <w:t>«</w:t>
      </w:r>
      <w:r>
        <w:rPr>
          <w:rFonts w:hint="cs"/>
          <w:spacing w:val="12"/>
          <w:rtl/>
        </w:rPr>
        <w:t xml:space="preserve">أعلم أن المتون قاطبة - إلا (الدّرر)- أطلقت القول : بأن الغاصب يؤمر بالقلع، وردّ الأرض فارغة لمالكها. وقال في (مجمع الأنهر) : إنه ظاهر الرواية لقوله عليه الصلاة والسلام : </w:t>
      </w:r>
      <w:r>
        <w:rPr>
          <w:rFonts w:hint="eastAsia"/>
          <w:spacing w:val="12"/>
          <w:rtl/>
        </w:rPr>
        <w:t>«</w:t>
      </w:r>
      <w:r>
        <w:rPr>
          <w:rFonts w:cs="DecoType Naskh Extensions" w:hint="cs"/>
          <w:spacing w:val="12"/>
          <w:rtl/>
        </w:rPr>
        <w:t>ليس لعرق ظالم حق</w:t>
      </w:r>
      <w:r>
        <w:rPr>
          <w:rFonts w:hint="eastAsia"/>
          <w:spacing w:val="12"/>
          <w:rtl/>
        </w:rPr>
        <w:t>»</w:t>
      </w:r>
      <w:r>
        <w:rPr>
          <w:rFonts w:hint="cs"/>
          <w:spacing w:val="12"/>
          <w:rtl/>
        </w:rPr>
        <w:t>... وقيّده في (الدرر)، وكذا بعض الشراح كالزيلعي، و(الدر المختار)، ومسكين على (الكنـز)، وغيرهم - بما إذا كانت قيمة الأرض أكثر من قيمة البناء والشجر ... قال في (ردّ المحتار): وهذا قول الكرخي. قال في (النهاية): وهو أوفق لمسائل الباب ...</w:t>
      </w:r>
      <w:r>
        <w:rPr>
          <w:rFonts w:hint="eastAsia"/>
          <w:spacing w:val="12"/>
          <w:rtl/>
        </w:rPr>
        <w:t>»</w:t>
      </w:r>
      <w:r>
        <w:rPr>
          <w:rFonts w:hint="cs"/>
          <w:spacing w:val="12"/>
          <w:rtl/>
        </w:rPr>
        <w:t>.</w:t>
      </w:r>
    </w:p>
  </w:footnote>
  <w:footnote w:id="81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الـمعقوفـتين: زيادة من (هـ) و(و).</w:t>
      </w:r>
    </w:p>
  </w:footnote>
  <w:footnote w:id="81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معذور </w:t>
      </w:r>
      <w:r>
        <w:rPr>
          <w:rFonts w:hint="eastAsia"/>
          <w:rtl/>
        </w:rPr>
        <w:t>»</w:t>
      </w:r>
      <w:r>
        <w:rPr>
          <w:rFonts w:hint="cs"/>
          <w:rtl/>
        </w:rPr>
        <w:t>.</w:t>
      </w:r>
    </w:p>
  </w:footnote>
  <w:footnote w:id="814">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وقع</w:t>
      </w:r>
      <w:r>
        <w:rPr>
          <w:rFonts w:hint="eastAsia"/>
          <w:rtl/>
        </w:rPr>
        <w:t>»</w:t>
      </w:r>
      <w:r>
        <w:rPr>
          <w:rFonts w:hint="cs"/>
          <w:rtl/>
        </w:rPr>
        <w:t>. والصحيح ما تمّ إثباته من باقي النسخ.</w:t>
      </w:r>
    </w:p>
  </w:footnote>
  <w:footnote w:id="81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المعذور </w:t>
      </w:r>
      <w:r>
        <w:rPr>
          <w:rFonts w:hint="eastAsia"/>
          <w:rtl/>
        </w:rPr>
        <w:t>»</w:t>
      </w:r>
      <w:r>
        <w:rPr>
          <w:rFonts w:hint="cs"/>
          <w:rtl/>
        </w:rPr>
        <w:t>.</w:t>
      </w:r>
    </w:p>
  </w:footnote>
  <w:footnote w:id="816">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وقع</w:t>
      </w:r>
      <w:r>
        <w:rPr>
          <w:rFonts w:hint="eastAsia"/>
          <w:rtl/>
        </w:rPr>
        <w:t>»</w:t>
      </w:r>
      <w:r>
        <w:rPr>
          <w:rFonts w:hint="cs"/>
          <w:rtl/>
        </w:rPr>
        <w:t xml:space="preserve">، وجاء في هامشها : </w:t>
      </w:r>
      <w:r>
        <w:rPr>
          <w:rFonts w:hint="eastAsia"/>
          <w:rtl/>
        </w:rPr>
        <w:t>«</w:t>
      </w:r>
      <w:r>
        <w:rPr>
          <w:rFonts w:hint="cs"/>
          <w:rtl/>
        </w:rPr>
        <w:t>وقوع</w:t>
      </w:r>
      <w:r>
        <w:rPr>
          <w:rFonts w:hint="eastAsia"/>
          <w:rtl/>
        </w:rPr>
        <w:t>»</w:t>
      </w:r>
      <w:r>
        <w:rPr>
          <w:rFonts w:hint="cs"/>
          <w:rtl/>
        </w:rPr>
        <w:t>. والصحيح ما تم إثباته من باقي النسخ.</w:t>
      </w:r>
    </w:p>
  </w:footnote>
  <w:footnote w:id="8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يقومان</w:t>
      </w:r>
      <w:r>
        <w:rPr>
          <w:rFonts w:hint="eastAsia"/>
          <w:rtl/>
        </w:rPr>
        <w:t>»</w:t>
      </w:r>
      <w:r>
        <w:rPr>
          <w:rFonts w:hint="cs"/>
          <w:rtl/>
        </w:rPr>
        <w:t>.</w:t>
      </w:r>
    </w:p>
  </w:footnote>
  <w:footnote w:id="8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وفي باقي النسخ : </w:t>
      </w:r>
      <w:r>
        <w:rPr>
          <w:rFonts w:hint="eastAsia"/>
          <w:rtl/>
        </w:rPr>
        <w:t>«</w:t>
      </w:r>
      <w:r>
        <w:rPr>
          <w:rFonts w:hint="cs"/>
          <w:rtl/>
        </w:rPr>
        <w:t>هم</w:t>
      </w:r>
      <w:r>
        <w:rPr>
          <w:rFonts w:hint="eastAsia"/>
          <w:rtl/>
        </w:rPr>
        <w:t>»</w:t>
      </w:r>
      <w:r>
        <w:rPr>
          <w:rFonts w:hint="cs"/>
          <w:rtl/>
        </w:rPr>
        <w:t>. والصحيح ما في (ب).</w:t>
      </w:r>
    </w:p>
  </w:footnote>
  <w:footnote w:id="8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يظهر من صنيع المؤلف في مسألة (البناء والغرس في البيع الفاسد) أنه خرّجها على المسألة المتقدمة (وهي : ما لو غصب أرضًا فبنى أو غرس).</w:t>
      </w:r>
    </w:p>
    <w:p w:rsidR="00035BE3" w:rsidRDefault="00035BE3" w:rsidP="00C10469">
      <w:pPr>
        <w:pStyle w:val="a6"/>
        <w:ind w:left="422" w:firstLine="0"/>
        <w:rPr>
          <w:rtl/>
        </w:rPr>
      </w:pPr>
      <w:r>
        <w:rPr>
          <w:rFonts w:hint="cs"/>
          <w:rtl/>
        </w:rPr>
        <w:t>والواقع أن المسألة المتأخرة منصوص عليها عند الإمام أبي حنيفة وصاحبيه وهي محل خلاف بينهم، وقد دلّ كلام الصاحبين على أن البناء والغرس يقلعان مطلقًا!.</w:t>
      </w:r>
    </w:p>
    <w:p w:rsidR="00035BE3" w:rsidRDefault="00035BE3" w:rsidP="00C10469">
      <w:pPr>
        <w:pStyle w:val="a6"/>
        <w:ind w:left="422" w:firstLine="0"/>
        <w:rPr>
          <w:spacing w:val="-6"/>
          <w:rtl/>
        </w:rPr>
      </w:pPr>
      <w:r>
        <w:rPr>
          <w:rFonts w:hint="cs"/>
          <w:spacing w:val="-6"/>
          <w:rtl/>
        </w:rPr>
        <w:t xml:space="preserve">وقد عبر عن ذلك صاحب (الهداية) </w:t>
      </w:r>
      <w:r>
        <w:rPr>
          <w:spacing w:val="-6"/>
          <w:rtl/>
        </w:rPr>
        <w:t>–</w:t>
      </w:r>
      <w:r>
        <w:rPr>
          <w:rFonts w:hint="cs"/>
          <w:spacing w:val="-6"/>
          <w:rtl/>
        </w:rPr>
        <w:t xml:space="preserve">6/470-471- فقال: </w:t>
      </w:r>
      <w:r>
        <w:rPr>
          <w:rFonts w:hint="eastAsia"/>
          <w:spacing w:val="-6"/>
          <w:rtl/>
        </w:rPr>
        <w:t>«</w:t>
      </w:r>
      <w:r>
        <w:rPr>
          <w:rFonts w:hint="cs"/>
          <w:spacing w:val="-6"/>
          <w:rtl/>
        </w:rPr>
        <w:t>ومن باع دارًا بيعًا فاسدًا، فبناها المشتري :</w:t>
      </w:r>
    </w:p>
    <w:p w:rsidR="00035BE3" w:rsidRDefault="00035BE3" w:rsidP="00C10469">
      <w:pPr>
        <w:pStyle w:val="a6"/>
        <w:numPr>
          <w:ilvl w:val="0"/>
          <w:numId w:val="18"/>
        </w:numPr>
        <w:tabs>
          <w:tab w:val="clear" w:pos="1551"/>
        </w:tabs>
        <w:ind w:left="564" w:hanging="142"/>
        <w:rPr>
          <w:rtl/>
        </w:rPr>
      </w:pPr>
      <w:r>
        <w:rPr>
          <w:rFonts w:hint="cs"/>
          <w:rtl/>
        </w:rPr>
        <w:t xml:space="preserve">فعليه قيمتها عند أبي حنيفة </w:t>
      </w:r>
      <w:r>
        <w:rPr>
          <w:rtl/>
        </w:rPr>
        <w:t>–</w:t>
      </w:r>
      <w:r>
        <w:rPr>
          <w:rFonts w:hint="cs"/>
          <w:rtl/>
        </w:rPr>
        <w:t xml:space="preserve"> رحمه الله-، رواه يعقوب عنه في (الجامع الصغير)، ثم شكّ بعد ذلك في الرواية.</w:t>
      </w:r>
    </w:p>
    <w:p w:rsidR="00035BE3" w:rsidRDefault="00035BE3" w:rsidP="00C10469">
      <w:pPr>
        <w:pStyle w:val="a6"/>
        <w:numPr>
          <w:ilvl w:val="0"/>
          <w:numId w:val="18"/>
        </w:numPr>
        <w:tabs>
          <w:tab w:val="clear" w:pos="1551"/>
        </w:tabs>
        <w:ind w:left="564" w:hanging="142"/>
        <w:rPr>
          <w:rtl/>
        </w:rPr>
      </w:pPr>
      <w:r>
        <w:rPr>
          <w:rFonts w:hint="cs"/>
          <w:rtl/>
        </w:rPr>
        <w:t>وقالا : يُنقض البناء، وترد الدار.</w:t>
      </w:r>
    </w:p>
    <w:p w:rsidR="00035BE3" w:rsidRDefault="00035BE3" w:rsidP="00C10469">
      <w:pPr>
        <w:pStyle w:val="a6"/>
        <w:ind w:left="422" w:firstLine="0"/>
        <w:rPr>
          <w:rtl/>
        </w:rPr>
      </w:pPr>
      <w:r>
        <w:rPr>
          <w:rFonts w:hint="cs"/>
          <w:rtl/>
        </w:rPr>
        <w:t>والغرس على هذا الاختلاف</w:t>
      </w:r>
      <w:r>
        <w:rPr>
          <w:rFonts w:hint="eastAsia"/>
          <w:rtl/>
        </w:rPr>
        <w:t>»</w:t>
      </w:r>
      <w:r>
        <w:rPr>
          <w:rFonts w:hint="cs"/>
          <w:rtl/>
        </w:rPr>
        <w:t>.</w:t>
      </w:r>
    </w:p>
    <w:p w:rsidR="00035BE3" w:rsidRDefault="00035BE3" w:rsidP="00C10469">
      <w:pPr>
        <w:pStyle w:val="a6"/>
        <w:ind w:left="422" w:firstLine="0"/>
        <w:rPr>
          <w:rtl/>
        </w:rPr>
      </w:pPr>
      <w:r>
        <w:rPr>
          <w:rFonts w:hint="cs"/>
          <w:rtl/>
        </w:rPr>
        <w:t>فيُفهم من هذا النقل أنَّ أبا يوسف ومحمد يريان أنَّ البناء يُنقض مطلقًا، والغرس يقلع مطلقًا أيضًا.</w:t>
      </w:r>
    </w:p>
    <w:p w:rsidR="00035BE3" w:rsidRDefault="00035BE3" w:rsidP="00C10469">
      <w:pPr>
        <w:pStyle w:val="a6"/>
        <w:ind w:left="422" w:firstLine="0"/>
        <w:rPr>
          <w:rtl/>
        </w:rPr>
      </w:pPr>
      <w:r>
        <w:rPr>
          <w:rFonts w:hint="cs"/>
          <w:rtl/>
        </w:rPr>
        <w:t>وانظر شروح الهداية : العناية وفتح القدير، 6/470-471؛ البناية 6/457.</w:t>
      </w:r>
    </w:p>
  </w:footnote>
  <w:footnote w:id="8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8/أ من (جـ).</w:t>
      </w:r>
    </w:p>
  </w:footnote>
  <w:footnote w:id="8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spacing w:line="228" w:lineRule="auto"/>
        <w:ind w:left="420" w:firstLine="0"/>
        <w:rPr>
          <w:rtl/>
        </w:rPr>
      </w:pPr>
      <w:r>
        <w:rPr>
          <w:rFonts w:hint="cs"/>
          <w:rtl/>
        </w:rPr>
        <w:t xml:space="preserve">الأشباه والنظائر لابن السبكي، 1/13؛ المجموع الـمذهب للـعلائي، 1/303؛ القـواعد للحصني،  1/269؛ مختصر من قواعد العلائي وكلام الإسنوي، 1/176، 2/629؛ الأشباه والنظائر للسيوطي، 1/152؛ إيضاح المسالك، ص140، قاعدة 114؛ الأشباه والنظائر لابن نجيم، ص76؛ وشرحه : غمز عيون البصائر، 1/198؛ شرح المنهج للمنجور، ص488؛ الفرائد البهية وشرحاها : الأقـمار المضيئة، ص79؛ والمواهب السنية شرح الفرائد البهية وحاشيتها : الفوائد الجنية، 1/198؛ </w:t>
      </w:r>
      <w:r w:rsidRPr="00C8568B">
        <w:rPr>
          <w:rFonts w:hint="cs"/>
          <w:spacing w:val="-4"/>
          <w:rtl/>
        </w:rPr>
        <w:t>مجامع الحقائق (الخاتمة)، ص44؛ شـرح العلائي لـقواعد الخادمي، ل7/ب، منافع الدقائق،</w:t>
      </w:r>
      <w:r>
        <w:rPr>
          <w:rFonts w:hint="cs"/>
          <w:rtl/>
        </w:rPr>
        <w:t xml:space="preserve"> ص311؛ مجلة الأحكام العدلية، مادة 5؛ شرحها لسليم رستم، 1/20؛ ولعلي حيـدر، 1/20؛ وللآتـاسـي، 1/20؛ وشرح قواعدها الفقهية للزرقا، ص87؛ الدليل المـاهر، ص193؛ القواعد والأصول الجامعة للسعدي، ص53؛ قواعد الفقه للمجدِّدي، ص59، قاعدة 31؛ المدخل الفقهي العام، 2/968، فقرة 575؛ القواعد الفقهية للدكتور علي النـدوي، ص210، 331، 356، (453)، وانظر منه 177؛ القواعد والضوابط المستخلصة، ص110؛ الوجيز، ص108؛ موسوعة القواعد الفقهية، 2/103؛ القواعد الفقهية الكبرى لشيخنا أ.د. صالح السدلان، ص113؛ القواعد الفقهية في بابي العبادات والمعاملات لشيخنا د. عبد الله العيسى، ص324؛ تطبيقات القواعد والضوابط الفقهية للدكتور الغديان، ص917؛ القواعد الكبرى للدكتور العجلان، ص59؛ قواعد الفقه الإسلامي </w:t>
      </w:r>
      <w:r>
        <w:rPr>
          <w:rFonts w:hint="cs"/>
          <w:spacing w:val="-4"/>
          <w:rtl/>
        </w:rPr>
        <w:t>للدكتور الروكي، ص189؛</w:t>
      </w:r>
      <w:r>
        <w:rPr>
          <w:rFonts w:hint="cs"/>
          <w:rtl/>
        </w:rPr>
        <w:t xml:space="preserve"> المبادئ الفقهية، ص11؛ القواعد الفقهية للدعاس، ص17، قاعدة 4؛ وللدكتور الزحيلي، ص51.</w:t>
      </w:r>
    </w:p>
    <w:p w:rsidR="00035BE3" w:rsidRDefault="00035BE3" w:rsidP="00C10469">
      <w:pPr>
        <w:pStyle w:val="a6"/>
        <w:spacing w:line="228" w:lineRule="auto"/>
        <w:ind w:left="420" w:firstLine="0"/>
        <w:rPr>
          <w:rtl/>
        </w:rPr>
      </w:pPr>
      <w:r>
        <w:rPr>
          <w:rFonts w:hint="cs"/>
          <w:rtl/>
        </w:rPr>
        <w:t xml:space="preserve">وقد تطرّق الحافظ ابن رجب إلى معنى هذه القاعدة في قواعده - 1/117-، حيث قال في القاعدة الخامسة عشرة :  </w:t>
      </w:r>
      <w:r>
        <w:rPr>
          <w:rFonts w:hint="eastAsia"/>
          <w:rtl/>
        </w:rPr>
        <w:t>«</w:t>
      </w:r>
      <w:r>
        <w:rPr>
          <w:rFonts w:hint="cs"/>
          <w:rtl/>
        </w:rPr>
        <w:t>إذا استصحبنا أصلاً، أو أعملنا ظاهرًا ... وكان لازم ذلك تغيّر أصل آخر يجب استصحابه أو ترك العمل بظاهر آخر يجب إعماله : لم يلتفت إلى ذلك اللازم على الصحيح</w:t>
      </w:r>
      <w:r>
        <w:rPr>
          <w:rFonts w:hint="eastAsia"/>
          <w:rtl/>
        </w:rPr>
        <w:t>»</w:t>
      </w:r>
      <w:r>
        <w:rPr>
          <w:rFonts w:hint="cs"/>
          <w:rtl/>
        </w:rPr>
        <w:t>. وقد تابعه على ذلك القاري في مجلة الأحكام الشرعية، ص79، مادة15.</w:t>
      </w:r>
    </w:p>
    <w:p w:rsidR="00035BE3" w:rsidRDefault="00035BE3" w:rsidP="00C10469">
      <w:pPr>
        <w:pStyle w:val="a6"/>
        <w:spacing w:line="228" w:lineRule="auto"/>
        <w:ind w:left="420" w:firstLine="0"/>
        <w:rPr>
          <w:rtl/>
        </w:rPr>
      </w:pPr>
      <w:r>
        <w:rPr>
          <w:rFonts w:hint="cs"/>
          <w:b/>
          <w:bCs/>
          <w:rtl/>
        </w:rPr>
        <w:t>ومن كتب الفقه :</w:t>
      </w:r>
    </w:p>
    <w:p w:rsidR="00035BE3" w:rsidRDefault="00035BE3" w:rsidP="00C10469">
      <w:pPr>
        <w:pStyle w:val="a6"/>
        <w:ind w:left="422" w:firstLine="0"/>
        <w:rPr>
          <w:spacing w:val="4"/>
          <w:rtl/>
        </w:rPr>
      </w:pPr>
      <w:r>
        <w:rPr>
          <w:rFonts w:hint="cs"/>
          <w:rtl/>
        </w:rPr>
        <w:t xml:space="preserve">المغني، 14/323، 356؛  المحيط البرهاني في الفقه النعماني، ق3، ص1107- ولفظه: </w:t>
      </w:r>
      <w:r>
        <w:rPr>
          <w:rFonts w:hint="eastAsia"/>
          <w:rtl/>
        </w:rPr>
        <w:t>«</w:t>
      </w:r>
      <w:r>
        <w:rPr>
          <w:rFonts w:hint="cs"/>
          <w:rtl/>
        </w:rPr>
        <w:t xml:space="preserve">الظاهر في </w:t>
      </w:r>
      <w:r w:rsidRPr="00C8568B">
        <w:rPr>
          <w:rFonts w:hint="cs"/>
          <w:spacing w:val="-2"/>
          <w:rtl/>
        </w:rPr>
        <w:t>الثابت: البقاء</w:t>
      </w:r>
      <w:r w:rsidRPr="00C8568B">
        <w:rPr>
          <w:rFonts w:hint="eastAsia"/>
          <w:spacing w:val="-2"/>
          <w:rtl/>
        </w:rPr>
        <w:t>»</w:t>
      </w:r>
      <w:r w:rsidRPr="00C8568B">
        <w:rPr>
          <w:rFonts w:hint="cs"/>
          <w:spacing w:val="-2"/>
          <w:rtl/>
        </w:rPr>
        <w:t xml:space="preserve">-؛ الكافي شرح الوافي، ق1، ص163، 1134، 1434- ولفظه الأول: </w:t>
      </w:r>
      <w:r w:rsidRPr="00C8568B">
        <w:rPr>
          <w:rFonts w:hint="eastAsia"/>
          <w:spacing w:val="-2"/>
          <w:rtl/>
        </w:rPr>
        <w:t>«</w:t>
      </w:r>
      <w:r w:rsidRPr="00C8568B">
        <w:rPr>
          <w:rFonts w:hint="cs"/>
          <w:spacing w:val="-2"/>
          <w:rtl/>
        </w:rPr>
        <w:t>الأصل في</w:t>
      </w:r>
      <w:r>
        <w:rPr>
          <w:rFonts w:hint="cs"/>
          <w:rtl/>
        </w:rPr>
        <w:t xml:space="preserve"> كل ثابت دوامه</w:t>
      </w:r>
      <w:r>
        <w:rPr>
          <w:rFonts w:hint="eastAsia"/>
          <w:rtl/>
        </w:rPr>
        <w:t>»</w:t>
      </w:r>
      <w:r>
        <w:rPr>
          <w:rFonts w:hint="cs"/>
          <w:rtl/>
        </w:rPr>
        <w:t xml:space="preserve">؛ وأيضًا </w:t>
      </w:r>
      <w:r>
        <w:rPr>
          <w:rFonts w:hint="cs"/>
          <w:spacing w:val="4"/>
          <w:rtl/>
        </w:rPr>
        <w:t xml:space="preserve">القسم الأخير، ص364، 1698، والموضع الأول مطابق للفظ </w:t>
      </w:r>
      <w:r w:rsidRPr="0096683D">
        <w:rPr>
          <w:rFonts w:hint="cs"/>
          <w:rtl/>
        </w:rPr>
        <w:t xml:space="preserve">المؤلف، والثاني بلفظ: </w:t>
      </w:r>
      <w:r w:rsidRPr="0096683D">
        <w:rPr>
          <w:rFonts w:hint="eastAsia"/>
          <w:rtl/>
        </w:rPr>
        <w:t>«</w:t>
      </w:r>
      <w:r w:rsidRPr="0096683D">
        <w:rPr>
          <w:rFonts w:hint="cs"/>
          <w:rtl/>
        </w:rPr>
        <w:t>الأصل أن ما ثبت يبقى إلى أن يوجد المزيل</w:t>
      </w:r>
      <w:r w:rsidRPr="0096683D">
        <w:rPr>
          <w:rFonts w:hint="eastAsia"/>
          <w:rtl/>
        </w:rPr>
        <w:t>»</w:t>
      </w:r>
      <w:r w:rsidRPr="0096683D">
        <w:rPr>
          <w:rFonts w:hint="cs"/>
          <w:rtl/>
        </w:rPr>
        <w:t>؛ المغني لابن قدامة،</w:t>
      </w:r>
      <w:r>
        <w:rPr>
          <w:rFonts w:hint="cs"/>
          <w:spacing w:val="4"/>
          <w:rtl/>
        </w:rPr>
        <w:t xml:space="preserve"> 14/322- ولفظه: </w:t>
      </w:r>
      <w:r>
        <w:rPr>
          <w:rFonts w:hint="eastAsia"/>
          <w:spacing w:val="4"/>
          <w:rtl/>
        </w:rPr>
        <w:t>«</w:t>
      </w:r>
      <w:r>
        <w:rPr>
          <w:rFonts w:hint="cs"/>
          <w:spacing w:val="4"/>
          <w:rtl/>
        </w:rPr>
        <w:t>الأصل بقاء ما كان عليه على ما كان حتى يثبت زواله</w:t>
      </w:r>
      <w:r>
        <w:rPr>
          <w:rFonts w:hint="eastAsia"/>
          <w:spacing w:val="4"/>
          <w:rtl/>
        </w:rPr>
        <w:t>»</w:t>
      </w:r>
      <w:r>
        <w:rPr>
          <w:rFonts w:hint="cs"/>
          <w:spacing w:val="4"/>
          <w:rtl/>
        </w:rPr>
        <w:t>-؛ 329؛  العناية، 4/116 - ولفظه:</w:t>
      </w:r>
      <w:r>
        <w:rPr>
          <w:rFonts w:hint="eastAsia"/>
          <w:spacing w:val="4"/>
          <w:rtl/>
        </w:rPr>
        <w:t> «</w:t>
      </w:r>
      <w:r>
        <w:rPr>
          <w:rFonts w:hint="cs"/>
          <w:spacing w:val="4"/>
          <w:rtl/>
        </w:rPr>
        <w:t>الأصل بقاء الشيء على ما كان</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وهذه القاعدة تعدّ من قواعد الاستصحاب، وقد سبق الحديث عن قاعدة من قواعده وتوثيقها مفصّلة من كتب الفقه، وأصوله، وقواعده، وذكر بعض قـواعد الاستـصحاب التي تـحدث عنها المؤلف وذلك ص307  (ل10/أ)، قاعدة 22.</w:t>
      </w:r>
    </w:p>
  </w:footnote>
  <w:footnote w:id="8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7/ب من (د). و </w:t>
      </w:r>
      <w:r>
        <w:rPr>
          <w:rFonts w:hint="eastAsia"/>
          <w:rtl/>
        </w:rPr>
        <w:t>«</w:t>
      </w:r>
      <w:r>
        <w:rPr>
          <w:rFonts w:hint="cs"/>
          <w:rtl/>
        </w:rPr>
        <w:t>زيد</w:t>
      </w:r>
      <w:r>
        <w:rPr>
          <w:rFonts w:hint="eastAsia"/>
          <w:rtl/>
        </w:rPr>
        <w:t>»</w:t>
      </w:r>
      <w:r>
        <w:rPr>
          <w:rFonts w:hint="cs"/>
          <w:rtl/>
        </w:rPr>
        <w:t xml:space="preserve"> لم ترد في مصدر هذه العبارة (وهو أشباه ابن نجيم).</w:t>
      </w:r>
    </w:p>
  </w:footnote>
  <w:footnote w:id="8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تبينوا</w:t>
      </w:r>
      <w:r>
        <w:rPr>
          <w:rFonts w:hint="eastAsia"/>
          <w:rtl/>
        </w:rPr>
        <w:t>»</w:t>
      </w:r>
      <w:r>
        <w:rPr>
          <w:rFonts w:hint="cs"/>
          <w:rtl/>
        </w:rPr>
        <w:t xml:space="preserve"> وهذا مـجانب للصواب. والمثال نفسه ورد في شرح العـلائي لقواعد الـخادمي - ل8/أ - وقال هنا: </w:t>
      </w:r>
      <w:r>
        <w:rPr>
          <w:rFonts w:hint="eastAsia"/>
          <w:rtl/>
        </w:rPr>
        <w:t>«</w:t>
      </w:r>
      <w:r>
        <w:rPr>
          <w:rFonts w:hint="cs"/>
          <w:rtl/>
        </w:rPr>
        <w:t xml:space="preserve"> ... فبرهن زيد على أنه له عليه ألفًا : لم يقبل حتى </w:t>
      </w:r>
      <w:r>
        <w:rPr>
          <w:rFonts w:hint="cs"/>
          <w:b/>
          <w:bCs/>
          <w:rtl/>
        </w:rPr>
        <w:t>بينوا</w:t>
      </w:r>
      <w:r>
        <w:rPr>
          <w:rFonts w:hint="cs"/>
          <w:rtl/>
        </w:rPr>
        <w:t xml:space="preserve"> أنها حادثة بعد الأداء والإبراء</w:t>
      </w:r>
      <w:r>
        <w:rPr>
          <w:rFonts w:hint="eastAsia"/>
          <w:rtl/>
        </w:rPr>
        <w:t>»</w:t>
      </w:r>
      <w:r>
        <w:rPr>
          <w:rFonts w:hint="cs"/>
          <w:rtl/>
        </w:rPr>
        <w:t xml:space="preserve">. </w:t>
      </w:r>
    </w:p>
    <w:p w:rsidR="00035BE3" w:rsidRPr="0096683D" w:rsidRDefault="00035BE3" w:rsidP="00C10469">
      <w:pPr>
        <w:pStyle w:val="a6"/>
        <w:ind w:left="422" w:firstLine="0"/>
        <w:rPr>
          <w:spacing w:val="-4"/>
          <w:rtl/>
        </w:rPr>
      </w:pPr>
      <w:r>
        <w:rPr>
          <w:rFonts w:hint="cs"/>
          <w:b/>
          <w:bCs/>
          <w:rtl/>
        </w:rPr>
        <w:t>والأَولى منهما</w:t>
      </w:r>
      <w:r>
        <w:rPr>
          <w:rFonts w:hint="cs"/>
          <w:rtl/>
        </w:rPr>
        <w:t xml:space="preserve"> : ما جاء في مصدر هذه العبارة (وهو أشباه ابن نجيم) حيث قال: </w:t>
      </w:r>
      <w:r>
        <w:rPr>
          <w:rFonts w:hint="eastAsia"/>
          <w:rtl/>
        </w:rPr>
        <w:t>«</w:t>
      </w:r>
      <w:r>
        <w:rPr>
          <w:rFonts w:hint="cs"/>
          <w:rtl/>
        </w:rPr>
        <w:t xml:space="preserve">... </w:t>
      </w:r>
      <w:r>
        <w:rPr>
          <w:rFonts w:hint="cs"/>
          <w:b/>
          <w:bCs/>
          <w:rtl/>
        </w:rPr>
        <w:t>حـتـى يبرهن</w:t>
      </w:r>
      <w:r>
        <w:rPr>
          <w:rFonts w:hint="cs"/>
          <w:rtl/>
        </w:rPr>
        <w:t xml:space="preserve"> ...</w:t>
      </w:r>
      <w:r>
        <w:rPr>
          <w:rFonts w:hint="eastAsia"/>
          <w:rtl/>
        </w:rPr>
        <w:t>»</w:t>
      </w:r>
      <w:r>
        <w:rPr>
          <w:rFonts w:hint="cs"/>
          <w:rtl/>
        </w:rPr>
        <w:t xml:space="preserve">، وهذا الأقرب للمعنى؛ لأن زيادة واو الجماعة ليس لها وجه؛ إذ المعنى : أن عمرًا إذا </w:t>
      </w:r>
      <w:r w:rsidRPr="0096683D">
        <w:rPr>
          <w:rFonts w:hint="cs"/>
          <w:spacing w:val="-4"/>
          <w:rtl/>
        </w:rPr>
        <w:t>برهن على أدائه للألف أو إبراء زيد له منها وقُبلت بينته، فبرهن زيد على أن له على عمرو ألفًا: لم تقبل بينة زيد حتى يبيّن (أو يـبرهن) أن الألف التي أقرضها لعمرو حادثة بعد أداء عمرو لها أو إبرائه له منها.</w:t>
      </w:r>
    </w:p>
    <w:p w:rsidR="00035BE3" w:rsidRDefault="00035BE3" w:rsidP="00C10469">
      <w:pPr>
        <w:pStyle w:val="a6"/>
        <w:ind w:left="422" w:firstLine="0"/>
        <w:rPr>
          <w:rtl/>
        </w:rPr>
      </w:pPr>
      <w:r>
        <w:rPr>
          <w:rFonts w:hint="cs"/>
          <w:rtl/>
        </w:rPr>
        <w:t xml:space="preserve">وذلك لأن ذمة عمرو بريئة بعد إثباته للأداء أو الإبراء، فنستصحب هذا الأصل، حتى يبرهن زيد أن الألف حادثة بعدهما؛ لأن الأصل بقاء ما كان على ما كان.فالذي يدل عليه المعنى أن الفاعل في كلمة </w:t>
      </w:r>
      <w:r>
        <w:rPr>
          <w:rFonts w:hint="eastAsia"/>
          <w:rtl/>
        </w:rPr>
        <w:t>«</w:t>
      </w:r>
      <w:r>
        <w:rPr>
          <w:rFonts w:hint="cs"/>
          <w:rtl/>
        </w:rPr>
        <w:t>يبينوا</w:t>
      </w:r>
      <w:r>
        <w:rPr>
          <w:rFonts w:hint="eastAsia"/>
          <w:rtl/>
        </w:rPr>
        <w:t>»</w:t>
      </w:r>
      <w:r>
        <w:rPr>
          <w:rFonts w:hint="cs"/>
          <w:rtl/>
        </w:rPr>
        <w:t xml:space="preserve"> هو زيد، فلا معنى لزيادة واو الجماعة، ولا سيما أنه ليس في المثال ذكرٌ لجماعة على الإطلاق، فلو صحت زيادتها : فإلى أي شيء تعود هذه الواو ؟!. إلاّ أن يقال إن المقصود بالجماعة هنا هم الشهود. فهذا محتمل إلاّ أنه بعيد.</w:t>
      </w:r>
    </w:p>
  </w:footnote>
  <w:footnote w:id="8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ص77 - مع اخـتلاف سبقت الإشـارة إليه -؛ وانظر شرح العلائي لقواعد الخادمي، ل8/أ.</w:t>
      </w:r>
    </w:p>
    <w:p w:rsidR="00035BE3" w:rsidRPr="004C5808" w:rsidRDefault="00035BE3" w:rsidP="00C10469">
      <w:pPr>
        <w:pStyle w:val="a6"/>
        <w:ind w:left="422" w:firstLine="0"/>
        <w:rPr>
          <w:spacing w:val="-4"/>
          <w:rtl/>
        </w:rPr>
      </w:pPr>
      <w:r>
        <w:rPr>
          <w:rFonts w:hint="cs"/>
          <w:rtl/>
        </w:rPr>
        <w:t xml:space="preserve">كما نقل صاحب غمز عيون البصائر - 1/199 - عن (فتح القدير) مثالاً يوافق هذا في المعنى، حيث قال: </w:t>
      </w:r>
      <w:r>
        <w:rPr>
          <w:rFonts w:hint="eastAsia"/>
          <w:rtl/>
        </w:rPr>
        <w:t>«</w:t>
      </w:r>
      <w:r>
        <w:rPr>
          <w:rFonts w:hint="cs"/>
          <w:rtl/>
        </w:rPr>
        <w:t xml:space="preserve">في (فتح القدير) : علمنا لزيد على عمرو ألفًا، فأقام عمرو بينته بالأداء، أو الإبراء، فأقام زيد بينته أن عمرًا أقرَّ بألف مطلقًا: لم يثبت بهذا [هكذا بالألف وليس الهاء!] البينة شيء؛ لاحتمال </w:t>
      </w:r>
      <w:r w:rsidRPr="004C5808">
        <w:rPr>
          <w:rFonts w:hint="cs"/>
          <w:spacing w:val="-4"/>
          <w:rtl/>
        </w:rPr>
        <w:t>أن الألف الذي أقرَّ به هو الألف الذي علمنا وجوبه، وقامت البينة بإبرائه، فلا تشتغل ذمتّه بالاحتمال</w:t>
      </w:r>
      <w:r w:rsidRPr="004C5808">
        <w:rPr>
          <w:rFonts w:hint="eastAsia"/>
          <w:spacing w:val="-4"/>
          <w:rtl/>
        </w:rPr>
        <w:t>»</w:t>
      </w:r>
      <w:r w:rsidRPr="004C5808">
        <w:rPr>
          <w:rFonts w:hint="cs"/>
          <w:spacing w:val="-4"/>
          <w:rtl/>
        </w:rPr>
        <w:t>.</w:t>
      </w:r>
    </w:p>
  </w:footnote>
  <w:footnote w:id="8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 78 - مع اختلاف يسير -.</w:t>
      </w:r>
    </w:p>
  </w:footnote>
  <w:footnote w:id="8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إحصارها </w:t>
      </w:r>
      <w:r>
        <w:rPr>
          <w:rFonts w:hint="eastAsia"/>
          <w:rtl/>
        </w:rPr>
        <w:t>»</w:t>
      </w:r>
      <w:r>
        <w:rPr>
          <w:rFonts w:hint="cs"/>
          <w:rtl/>
        </w:rPr>
        <w:t>.</w:t>
      </w:r>
    </w:p>
  </w:footnote>
  <w:footnote w:id="82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ورد في هذه القاعدة لفظ (الذمة)، والمراد بها :</w:t>
      </w:r>
      <w:r>
        <w:rPr>
          <w:rFonts w:hint="cs"/>
          <w:rtl/>
        </w:rPr>
        <w:t xml:space="preserve"> </w:t>
      </w:r>
    </w:p>
    <w:p w:rsidR="00035BE3" w:rsidRDefault="00035BE3" w:rsidP="00C10469">
      <w:pPr>
        <w:pStyle w:val="a6"/>
        <w:spacing w:line="440" w:lineRule="exact"/>
        <w:ind w:left="422" w:firstLine="0"/>
        <w:rPr>
          <w:rtl/>
        </w:rPr>
      </w:pPr>
      <w:r>
        <w:rPr>
          <w:rFonts w:hint="eastAsia"/>
          <w:rtl/>
        </w:rPr>
        <w:t>«</w:t>
      </w:r>
      <w:r>
        <w:rPr>
          <w:rFonts w:hint="cs"/>
          <w:rtl/>
        </w:rPr>
        <w:t xml:space="preserve">أهلية الإنسان لتحمل عهدة ما يجري بينه وبين غيره من العقود الشرعية. </w:t>
      </w:r>
    </w:p>
    <w:p w:rsidR="00035BE3" w:rsidRDefault="00035BE3" w:rsidP="00C10469">
      <w:pPr>
        <w:pStyle w:val="a6"/>
        <w:spacing w:line="440" w:lineRule="exact"/>
        <w:ind w:left="422" w:firstLine="0"/>
        <w:rPr>
          <w:rtl/>
        </w:rPr>
      </w:pPr>
      <w:r>
        <w:rPr>
          <w:rFonts w:hint="cs"/>
          <w:b/>
          <w:bCs/>
          <w:rtl/>
        </w:rPr>
        <w:t>يعني</w:t>
      </w:r>
      <w:r>
        <w:rPr>
          <w:rFonts w:hint="cs"/>
          <w:rtl/>
        </w:rPr>
        <w:t xml:space="preserve"> : الأصل أن الإنسان بريء الذمة من وجوب شيء عليه أو لزومه. وكونه مشغول الذمة بحقٍّ خلاف الأصل</w:t>
      </w:r>
      <w:r>
        <w:rPr>
          <w:rFonts w:hint="eastAsia"/>
          <w:rtl/>
        </w:rPr>
        <w:t>»</w:t>
      </w:r>
      <w:r>
        <w:rPr>
          <w:rFonts w:hint="cs"/>
          <w:rtl/>
        </w:rPr>
        <w:t>. قاله الأتاسي في شرح المجلة، 1/25-26؛ وانظر شرحها لعلي حيدر، 1/22.</w:t>
      </w:r>
    </w:p>
    <w:p w:rsidR="00035BE3" w:rsidRDefault="00035BE3" w:rsidP="00C10469">
      <w:pPr>
        <w:pStyle w:val="a6"/>
        <w:spacing w:line="440" w:lineRule="exact"/>
        <w:ind w:left="422" w:firstLine="0"/>
        <w:rPr>
          <w:rtl/>
        </w:rPr>
      </w:pPr>
      <w:r>
        <w:rPr>
          <w:rFonts w:hint="cs"/>
          <w:rtl/>
        </w:rPr>
        <w:t xml:space="preserve">وقد وردت هذه القاعدة بهذا اللفظ أو نحوه في كثير من كتب الفقه وقواعده : </w:t>
      </w:r>
    </w:p>
    <w:p w:rsidR="00035BE3" w:rsidRDefault="00035BE3" w:rsidP="00C10469">
      <w:pPr>
        <w:pStyle w:val="a6"/>
        <w:spacing w:line="440" w:lineRule="exact"/>
        <w:ind w:left="422" w:firstLine="0"/>
        <w:rPr>
          <w:b/>
          <w:bCs/>
          <w:rtl/>
        </w:rPr>
      </w:pPr>
      <w:r>
        <w:rPr>
          <w:rFonts w:hint="cs"/>
          <w:b/>
          <w:bCs/>
          <w:rtl/>
        </w:rPr>
        <w:t>فمن كتب القواعد :</w:t>
      </w:r>
    </w:p>
    <w:p w:rsidR="00035BE3" w:rsidRDefault="00035BE3" w:rsidP="00C10469">
      <w:pPr>
        <w:pStyle w:val="a6"/>
        <w:spacing w:line="440" w:lineRule="exact"/>
        <w:ind w:left="422" w:firstLine="0"/>
        <w:rPr>
          <w:rtl/>
        </w:rPr>
      </w:pPr>
      <w:r>
        <w:rPr>
          <w:rFonts w:hint="cs"/>
          <w:rtl/>
        </w:rPr>
        <w:t xml:space="preserve">الأشباه والنظائر لابن السبكي، 1/33 - 37، 218؛ وللسيوطي، 1/155-158؛ ولابـن نجيم، ص78-79؛ الفرائد البهية وشرحاها : الأقمار المضيئة، ص81-83؛ والمواهب السنية، وحاشية المواهب : الفوائد الجنية، 1/199- 202؛ مجامع الحقائق (الخاتمة)، ص44؛ شرح العلائي لقواعد الخادمي، ل8/ب - 9/أ؛ منافع الدقائق، ص312؛ مجلة الأحكام العدلية، مادة 8؛ شرحها لسليم رستم، 1/23؛ ولعلي حيدر، 1/22-23؛ وللأتاسي، 1/25-27؛ شرح قواعدها الفقهية للزرقا، ص105-115؛ الدليل الماهر، ص230؛ قواعد الفقه للمجدِّدي، ص58-59، قاعدة 30؛ المدخل الفقهي العام، 2/970، فقرة 578؛ القواعد الفقهية للدكتور علي الندوي، ص120، 245، 356؛ القواعد والضوابط المستخلصة من التحرير، ص110، 480، وأحال في الموضع الثاني إلى التحرير، 3/1218، 1219، 6/696؛ الوجيز، ص116-118؛ موسوعة القواعد الفقهية، 2/108-109؛ القواعد الفقهية الكبرى لشيخنا أ.د. صالح السدلان، ص120-125؛ القواعد الفقهية في بابي </w:t>
      </w:r>
      <w:r w:rsidRPr="00C22775">
        <w:rPr>
          <w:rFonts w:hint="cs"/>
          <w:spacing w:val="-4"/>
          <w:rtl/>
        </w:rPr>
        <w:t>العبادات والمعاملات لشيخنا د. عبد الله العيسى، ص327؛ القواعد الكبرى للدكتور العجلان، ص58؛ المـبادئ الفقهية، ص12-13؛ القواعد الفقهية للدعاس، ص20-21، قاعدة 7، وللدكتور الزحيلي، ص52؛ قواعد الفقه للدكتور الروكي، ص194، -وجميع هذه الكتب أوردت القاعدة بلفظ المؤلف-.</w:t>
      </w:r>
    </w:p>
    <w:p w:rsidR="00035BE3" w:rsidRDefault="00035BE3" w:rsidP="00C10469">
      <w:pPr>
        <w:pStyle w:val="a6"/>
        <w:spacing w:line="440" w:lineRule="exact"/>
        <w:ind w:left="422" w:firstLine="0"/>
        <w:rPr>
          <w:rtl/>
        </w:rPr>
      </w:pPr>
      <w:r>
        <w:rPr>
          <w:rFonts w:hint="cs"/>
          <w:rtl/>
        </w:rPr>
        <w:t xml:space="preserve">كما ذكرها المقّري في قواعده، 2/504، قاعدة 265 (مختصرةً)، وذلك في مقام التعليل، حيث قال: </w:t>
      </w:r>
      <w:r w:rsidRPr="00C22775">
        <w:rPr>
          <w:rFonts w:hint="eastAsia"/>
          <w:spacing w:val="-4"/>
          <w:rtl/>
        </w:rPr>
        <w:t>«</w:t>
      </w:r>
      <w:r w:rsidRPr="00C22775">
        <w:rPr>
          <w:rFonts w:hint="cs"/>
          <w:spacing w:val="-4"/>
          <w:rtl/>
        </w:rPr>
        <w:t>... لأن الأصل البراءة</w:t>
      </w:r>
      <w:r w:rsidRPr="00C22775">
        <w:rPr>
          <w:rFonts w:hint="eastAsia"/>
          <w:spacing w:val="-4"/>
          <w:rtl/>
        </w:rPr>
        <w:t>»</w:t>
      </w:r>
      <w:r w:rsidRPr="00C22775">
        <w:rPr>
          <w:rFonts w:hint="cs"/>
          <w:spacing w:val="-4"/>
          <w:rtl/>
        </w:rPr>
        <w:t xml:space="preserve">؛ وأيضًا ذكرها المنجور في شرحه للمنهج المنتخب، ص553، بلفظ: </w:t>
      </w:r>
      <w:r w:rsidRPr="00C22775">
        <w:rPr>
          <w:rFonts w:hint="eastAsia"/>
          <w:spacing w:val="-4"/>
          <w:rtl/>
        </w:rPr>
        <w:t>«</w:t>
      </w:r>
      <w:r w:rsidRPr="00C22775">
        <w:rPr>
          <w:rFonts w:hint="cs"/>
          <w:spacing w:val="-4"/>
          <w:rtl/>
        </w:rPr>
        <w:t>الأصل البراءة قبل ثبوت التكليف، وعمارة الذمة. والأصل عدم البراءة بعد تحقّق التكليف، وعمارة الذمة</w:t>
      </w:r>
      <w:r w:rsidRPr="00C22775">
        <w:rPr>
          <w:rFonts w:hint="eastAsia"/>
          <w:spacing w:val="-4"/>
          <w:rtl/>
        </w:rPr>
        <w:t>»</w:t>
      </w:r>
      <w:r w:rsidRPr="00C22775">
        <w:rPr>
          <w:rFonts w:hint="cs"/>
          <w:spacing w:val="-4"/>
          <w:rtl/>
        </w:rPr>
        <w:t>.</w:t>
      </w:r>
    </w:p>
    <w:p w:rsidR="00035BE3" w:rsidRDefault="00035BE3" w:rsidP="00C10469">
      <w:pPr>
        <w:pStyle w:val="a6"/>
        <w:spacing w:line="440" w:lineRule="exact"/>
        <w:ind w:left="422" w:firstLine="0"/>
        <w:rPr>
          <w:rtl/>
        </w:rPr>
      </w:pPr>
      <w:r>
        <w:rPr>
          <w:rFonts w:hint="cs"/>
          <w:b/>
          <w:bCs/>
          <w:rtl/>
        </w:rPr>
        <w:t>ونظرًا لأهميتها كثر التعليل بها في كتب الفقه، ومن تلك الكتب</w:t>
      </w:r>
      <w:r>
        <w:rPr>
          <w:rFonts w:hint="cs"/>
          <w:rtl/>
        </w:rPr>
        <w:t xml:space="preserve"> :</w:t>
      </w:r>
    </w:p>
    <w:p w:rsidR="00035BE3" w:rsidRDefault="00035BE3" w:rsidP="00C10469">
      <w:pPr>
        <w:pStyle w:val="a6"/>
        <w:spacing w:line="440" w:lineRule="exact"/>
        <w:ind w:left="422" w:firstLine="0"/>
        <w:rPr>
          <w:spacing w:val="-4"/>
          <w:rtl/>
        </w:rPr>
      </w:pPr>
      <w:r>
        <w:rPr>
          <w:rFonts w:hint="cs"/>
          <w:spacing w:val="-4"/>
          <w:rtl/>
        </w:rPr>
        <w:t xml:space="preserve">المبسوط، 17/29؛ المغني لابن قدامة، 6/525، 14/355، 356؛ الاختيار لتعليل المختار، 2/133؛ الكافي شرح الوافي، القسم الأخير، ص14؛ فتح القدير، 4/227؛ المبـدع، 3/185، 4/27، 7/284، 10/86، 348؛  البحر الرائق، 4/88، مغني المحتاج، 2/287؛ حاشية الدسوقي، 3/405، 406. </w:t>
      </w:r>
    </w:p>
  </w:footnote>
  <w:footnote w:id="828">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و(د) : </w:t>
      </w:r>
      <w:r>
        <w:rPr>
          <w:rFonts w:hint="eastAsia"/>
          <w:rtl/>
        </w:rPr>
        <w:t>«</w:t>
      </w:r>
      <w:r>
        <w:rPr>
          <w:rFonts w:hint="cs"/>
          <w:rtl/>
        </w:rPr>
        <w:t>فإذا</w:t>
      </w:r>
      <w:r>
        <w:rPr>
          <w:rFonts w:hint="eastAsia"/>
          <w:rtl/>
        </w:rPr>
        <w:t>»</w:t>
      </w:r>
      <w:r>
        <w:rPr>
          <w:rFonts w:hint="cs"/>
          <w:rtl/>
        </w:rPr>
        <w:t>. والمناسب ما تمّ إثباته من (ب)، وهو الموافق في المعنى لما جاء</w:t>
      </w:r>
      <w:r>
        <w:rPr>
          <w:rFonts w:hint="cs"/>
          <w:spacing w:val="-6"/>
          <w:rtl/>
        </w:rPr>
        <w:t xml:space="preserve"> في مصدر هذه العبارة (وهو أشباه ابن نجيم) حيث جاء فيه : </w:t>
      </w:r>
      <w:r>
        <w:rPr>
          <w:rFonts w:hint="eastAsia"/>
          <w:spacing w:val="-6"/>
          <w:rtl/>
        </w:rPr>
        <w:t>«</w:t>
      </w:r>
      <w:r>
        <w:rPr>
          <w:rFonts w:hint="cs"/>
          <w:spacing w:val="-6"/>
          <w:rtl/>
        </w:rPr>
        <w:t>ولذا</w:t>
      </w:r>
      <w:r>
        <w:rPr>
          <w:rFonts w:hint="eastAsia"/>
          <w:spacing w:val="-6"/>
          <w:rtl/>
        </w:rPr>
        <w:t>»</w:t>
      </w:r>
      <w:r>
        <w:rPr>
          <w:rFonts w:hint="cs"/>
          <w:spacing w:val="-6"/>
          <w:rtl/>
        </w:rPr>
        <w:t>.</w:t>
      </w:r>
    </w:p>
  </w:footnote>
  <w:footnote w:id="8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لموافقته</w:t>
      </w:r>
      <w:r>
        <w:rPr>
          <w:rFonts w:hint="eastAsia"/>
          <w:rtl/>
        </w:rPr>
        <w:t>»</w:t>
      </w:r>
      <w:r>
        <w:rPr>
          <w:rFonts w:hint="cs"/>
          <w:rtl/>
        </w:rPr>
        <w:t xml:space="preserve">؛ وفاقًا لأشباه ابن نجيم - طبعة دار الفكر الأولى عام 1403هـ - علمًا بأنه جاء في طبعة المكتبة العصرية الأولى عام 1418هـ : </w:t>
      </w:r>
      <w:r>
        <w:rPr>
          <w:rFonts w:hint="eastAsia"/>
          <w:rtl/>
        </w:rPr>
        <w:t>«</w:t>
      </w:r>
      <w:r>
        <w:rPr>
          <w:rFonts w:hint="cs"/>
          <w:rtl/>
        </w:rPr>
        <w:t>موافقته</w:t>
      </w:r>
      <w:r>
        <w:rPr>
          <w:rFonts w:hint="eastAsia"/>
          <w:rtl/>
        </w:rPr>
        <w:t>»</w:t>
      </w:r>
      <w:r>
        <w:rPr>
          <w:rFonts w:hint="cs"/>
          <w:rtl/>
        </w:rPr>
        <w:t>.</w:t>
      </w:r>
    </w:p>
  </w:footnote>
  <w:footnote w:id="8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ص78-79 - مع اختلاف سبقت الإشارة إليه -؛ وانظر: الأشباه والنـظائر للسيوطي، 1/155؛ الأقمار المضيئة، ص81.</w:t>
      </w:r>
    </w:p>
  </w:footnote>
  <w:footnote w:id="8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10/ب من (أ).</w:t>
      </w:r>
    </w:p>
  </w:footnote>
  <w:footnote w:id="8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جاء في جميع النسخ (بالفاء)، وكذلك في مصدر هذا المثال وهو أشباه ابن نجيم في ثلاث من طبعاته، والمثال نفسه ورد في أشباه السيوطي إلا أنه لم يذكر فيه عبارة : </w:t>
      </w:r>
      <w:r>
        <w:rPr>
          <w:rFonts w:hint="eastAsia"/>
          <w:rtl/>
        </w:rPr>
        <w:t>«</w:t>
      </w:r>
      <w:r>
        <w:rPr>
          <w:rFonts w:hint="cs"/>
          <w:rtl/>
        </w:rPr>
        <w:t>فالقول للمقّر مع يـمينه</w:t>
      </w:r>
      <w:r>
        <w:rPr>
          <w:rFonts w:hint="eastAsia"/>
          <w:rtl/>
        </w:rPr>
        <w:t>»</w:t>
      </w:r>
      <w:r>
        <w:rPr>
          <w:rFonts w:hint="cs"/>
          <w:rtl/>
        </w:rPr>
        <w:t xml:space="preserve">. كما ورد المثال بنصِّه في شرح المجلة للأتاسي والوجيز، إلا أنهما قالا : </w:t>
      </w:r>
      <w:r>
        <w:rPr>
          <w:rFonts w:hint="eastAsia"/>
          <w:rtl/>
        </w:rPr>
        <w:t>«</w:t>
      </w:r>
      <w:r>
        <w:rPr>
          <w:rFonts w:hint="cs"/>
          <w:rtl/>
        </w:rPr>
        <w:t>والقول</w:t>
      </w:r>
      <w:r>
        <w:rPr>
          <w:rFonts w:hint="eastAsia"/>
          <w:rtl/>
        </w:rPr>
        <w:t>»</w:t>
      </w:r>
      <w:r>
        <w:rPr>
          <w:rFonts w:hint="cs"/>
          <w:rtl/>
        </w:rPr>
        <w:t xml:space="preserve"> فيكون جواب (لو) هو: </w:t>
      </w:r>
      <w:r>
        <w:rPr>
          <w:rFonts w:hint="eastAsia"/>
          <w:rtl/>
        </w:rPr>
        <w:t>«</w:t>
      </w:r>
      <w:r>
        <w:rPr>
          <w:rFonts w:hint="cs"/>
          <w:rtl/>
        </w:rPr>
        <w:t>قبل تفسيره</w:t>
      </w:r>
      <w:r>
        <w:rPr>
          <w:rFonts w:hint="eastAsia"/>
          <w:rtl/>
        </w:rPr>
        <w:t>»</w:t>
      </w:r>
      <w:r>
        <w:rPr>
          <w:rFonts w:hint="cs"/>
          <w:rtl/>
        </w:rPr>
        <w:t xml:space="preserve">، أما قوله: </w:t>
      </w:r>
      <w:r>
        <w:rPr>
          <w:rFonts w:hint="eastAsia"/>
          <w:rtl/>
        </w:rPr>
        <w:t>«</w:t>
      </w:r>
      <w:r>
        <w:rPr>
          <w:rFonts w:hint="cs"/>
          <w:rtl/>
        </w:rPr>
        <w:t>والقول للمقر مع يمينه</w:t>
      </w:r>
      <w:r>
        <w:rPr>
          <w:rFonts w:hint="eastAsia"/>
          <w:rtl/>
        </w:rPr>
        <w:t>»</w:t>
      </w:r>
      <w:r>
        <w:rPr>
          <w:rFonts w:hint="cs"/>
          <w:rtl/>
        </w:rPr>
        <w:t xml:space="preserve"> فمعطوف عليه وليس جوابًا.</w:t>
      </w:r>
    </w:p>
    <w:p w:rsidR="00035BE3" w:rsidRDefault="00035BE3" w:rsidP="00C10469">
      <w:pPr>
        <w:pStyle w:val="a6"/>
        <w:ind w:left="422" w:firstLine="0"/>
        <w:rPr>
          <w:rtl/>
        </w:rPr>
      </w:pPr>
      <w:r>
        <w:rPr>
          <w:rFonts w:hint="cs"/>
          <w:rtl/>
        </w:rPr>
        <w:t>وعلى هذا تحمل الفاء - الواردة في جميع النسخ وفي أشباه ابن نجيم على أنها تعليلية، لا أنها واقعة في جواب الشرط؛ فيكون المعنى : لو أقرّ المدعى عليه بحقٍّ، وفسَّر مراده بهـذا الحـق وكان هذا الحقُّ متقوَّمًا : قبل تفسيره؛ لأن القول للمقر مع يمينه - والله أعلم -.</w:t>
      </w:r>
    </w:p>
  </w:footnote>
  <w:footnote w:id="833">
    <w:p w:rsidR="00035BE3" w:rsidRPr="00F02695"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F02695">
        <w:rPr>
          <w:rFonts w:hint="cs"/>
          <w:spacing w:val="-4"/>
          <w:rtl/>
        </w:rPr>
        <w:t xml:space="preserve">الأشباه والنظائر لابن نجيم، ص79 -وفي طبعة دار الفكر، ص64، ومع غمز عيون البصائر، 1/203-؛ </w:t>
      </w:r>
      <w:r w:rsidRPr="00F02695">
        <w:rPr>
          <w:rFonts w:hint="cs"/>
          <w:rtl/>
        </w:rPr>
        <w:t>وانظر : الأشباه والنظائر للسيوطي، 1/157؛ شرح المجلة للأتاسي، 1/26؛ الوجيز، ص118.</w:t>
      </w:r>
    </w:p>
  </w:footnote>
  <w:footnote w:id="8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اثنان</w:t>
      </w:r>
      <w:r>
        <w:rPr>
          <w:rFonts w:hint="eastAsia"/>
          <w:rtl/>
        </w:rPr>
        <w:t>»</w:t>
      </w:r>
      <w:r>
        <w:rPr>
          <w:rFonts w:hint="cs"/>
          <w:rtl/>
        </w:rPr>
        <w:t>، وهذا الموافق لمصدر هذه العبارة (وهو أشباه ابن نجيم). وهو الأولى.</w:t>
      </w:r>
    </w:p>
  </w:footnote>
  <w:footnote w:id="8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ص79، إلا أنه قال في آخر العبارة : </w:t>
      </w:r>
      <w:r>
        <w:rPr>
          <w:rFonts w:hint="eastAsia"/>
          <w:rtl/>
        </w:rPr>
        <w:t>«</w:t>
      </w:r>
      <w:r>
        <w:rPr>
          <w:rFonts w:hint="cs"/>
          <w:rtl/>
        </w:rPr>
        <w:t>وعليه مبنى الإقرار</w:t>
      </w:r>
      <w:r>
        <w:rPr>
          <w:rFonts w:hint="eastAsia"/>
          <w:rtl/>
        </w:rPr>
        <w:t>»</w:t>
      </w:r>
      <w:r>
        <w:rPr>
          <w:rFonts w:hint="cs"/>
          <w:rtl/>
        </w:rPr>
        <w:t>، بالإضافة إلى الاختلاف المذكور في الهامش السابق.</w:t>
      </w:r>
    </w:p>
    <w:p w:rsidR="00035BE3" w:rsidRDefault="00035BE3" w:rsidP="00C10469">
      <w:pPr>
        <w:pStyle w:val="a6"/>
        <w:ind w:left="422" w:firstLine="0"/>
        <w:rPr>
          <w:rtl/>
        </w:rPr>
      </w:pPr>
      <w:r>
        <w:rPr>
          <w:rFonts w:hint="cs"/>
          <w:rtl/>
        </w:rPr>
        <w:t>وانظر الأشباه والنظائر للسيوطي، 1/157؛ الأقمار المضيئة، ص83.</w:t>
      </w:r>
    </w:p>
    <w:p w:rsidR="00035BE3" w:rsidRDefault="00035BE3" w:rsidP="00C10469">
      <w:pPr>
        <w:pStyle w:val="a6"/>
        <w:ind w:left="422" w:firstLine="0"/>
        <w:rPr>
          <w:rtl/>
        </w:rPr>
      </w:pPr>
      <w:r>
        <w:rPr>
          <w:rFonts w:hint="cs"/>
          <w:b/>
          <w:bCs/>
          <w:rtl/>
        </w:rPr>
        <w:t>ومسألة (أقل الجمع) من المسائل التي اختلف فيها الأصوليون</w:t>
      </w:r>
      <w:r>
        <w:rPr>
          <w:rFonts w:hint="cs"/>
          <w:rtl/>
        </w:rPr>
        <w:t xml:space="preserve"> : </w:t>
      </w:r>
    </w:p>
    <w:p w:rsidR="00035BE3" w:rsidRDefault="00035BE3" w:rsidP="00C10469">
      <w:pPr>
        <w:pStyle w:val="a6"/>
        <w:ind w:left="422" w:firstLine="0"/>
        <w:rPr>
          <w:rtl/>
        </w:rPr>
      </w:pPr>
      <w:r>
        <w:rPr>
          <w:rFonts w:hint="cs"/>
          <w:rtl/>
        </w:rPr>
        <w:t xml:space="preserve">وقد بينها القرافي في (شرح التنقيح)، ص236؛ حيث قال: </w:t>
      </w:r>
      <w:r>
        <w:rPr>
          <w:rFonts w:hint="eastAsia"/>
          <w:rtl/>
        </w:rPr>
        <w:t>«</w:t>
      </w:r>
      <w:r>
        <w:rPr>
          <w:rFonts w:hint="cs"/>
          <w:rtl/>
        </w:rPr>
        <w:t xml:space="preserve">معنى قول العـلماء : أقل الجمع اثنان أو ثلاثة، معناه : أن مسمّى الجمع مشترك فيه بين رتب كثيرة، وأقل مرتبة يصدق فيها المسمَّى هي : </w:t>
      </w:r>
    </w:p>
    <w:p w:rsidR="00035BE3" w:rsidRDefault="00035BE3" w:rsidP="00C10469">
      <w:pPr>
        <w:pStyle w:val="a6"/>
        <w:ind w:left="422" w:firstLine="0"/>
        <w:rPr>
          <w:rtl/>
        </w:rPr>
      </w:pPr>
      <w:r>
        <w:rPr>
          <w:rFonts w:hint="cs"/>
          <w:rtl/>
        </w:rPr>
        <w:t>- الاثنان، فيصير معنى الكلام : أقل مراتب مسمى الجمع اثنان.</w:t>
      </w:r>
    </w:p>
    <w:p w:rsidR="00035BE3" w:rsidRDefault="00035BE3" w:rsidP="00C10469">
      <w:pPr>
        <w:pStyle w:val="a6"/>
        <w:ind w:left="422" w:firstLine="0"/>
        <w:rPr>
          <w:rtl/>
        </w:rPr>
      </w:pPr>
      <w:r>
        <w:rPr>
          <w:rFonts w:hint="cs"/>
          <w:rtl/>
        </w:rPr>
        <w:t>- أو ثلاثة</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 xml:space="preserve">وللعلماء في هذه المسألة عدَّة أقوال، أشهرها القولان اللذان ذكرهما المؤلف وأشار إليهما القرافي وهما: </w:t>
      </w:r>
    </w:p>
    <w:p w:rsidR="00035BE3" w:rsidRDefault="00035BE3" w:rsidP="00C10469">
      <w:pPr>
        <w:pStyle w:val="a6"/>
        <w:ind w:left="422" w:firstLine="0"/>
        <w:rPr>
          <w:rtl/>
        </w:rPr>
      </w:pPr>
      <w:r>
        <w:rPr>
          <w:rFonts w:hint="cs"/>
          <w:b/>
          <w:bCs/>
          <w:rtl/>
        </w:rPr>
        <w:t>الأول :</w:t>
      </w:r>
      <w:r>
        <w:rPr>
          <w:rFonts w:hint="cs"/>
          <w:rtl/>
        </w:rPr>
        <w:t xml:space="preserve"> أقل الجمع ثلاثة. وهذا قول الجمهور من الأصوليين والفقهاء.</w:t>
      </w:r>
    </w:p>
    <w:p w:rsidR="00035BE3" w:rsidRDefault="00035BE3" w:rsidP="00C10469">
      <w:pPr>
        <w:pStyle w:val="a6"/>
        <w:ind w:left="422" w:firstLine="0"/>
        <w:rPr>
          <w:rtl/>
        </w:rPr>
      </w:pPr>
      <w:r>
        <w:rPr>
          <w:rFonts w:hint="cs"/>
          <w:b/>
          <w:bCs/>
          <w:rtl/>
        </w:rPr>
        <w:t xml:space="preserve">الثاني </w:t>
      </w:r>
      <w:r>
        <w:rPr>
          <w:rFonts w:hint="cs"/>
          <w:rtl/>
        </w:rPr>
        <w:t>: أقلّه اثنان. وهذا قول القاضي أبي جعفر السّمنائي من الحنفية، وبعض المالكية، كأبي بكر الباقلاني وعبد الملك بن الباجشون والباجي، وهو محكي عن الإمام مالك - وقد أفاد هذه النسبة الباجي في إحكامه - كما نسبه إمام الحرمين إلى أبي إسحاق الإسفراييني، وهو اختيار الغزالي في المستصفى، ونسبه ابن النجار إلى بعض الحنابلة.</w:t>
      </w:r>
    </w:p>
    <w:p w:rsidR="00035BE3" w:rsidRDefault="00035BE3" w:rsidP="00C10469">
      <w:pPr>
        <w:pStyle w:val="a6"/>
        <w:ind w:left="422" w:firstLine="0"/>
        <w:rPr>
          <w:rtl/>
        </w:rPr>
      </w:pPr>
      <w:r>
        <w:rPr>
          <w:rFonts w:hint="cs"/>
          <w:b/>
          <w:bCs/>
          <w:rtl/>
        </w:rPr>
        <w:t>وللتوسع في ذلك انظر</w:t>
      </w:r>
      <w:r>
        <w:rPr>
          <w:rFonts w:hint="cs"/>
          <w:rtl/>
        </w:rPr>
        <w:t xml:space="preserve"> : المعتمد، 1/248؛ إحـكام الفصول للبـاجي، ص153؛ الإشارة للبـاجي أيضًا، ص190؛ البرهان، 1/239، فقرة 251؛ أصول البزدوي وشـرحه : كشف الأسرار، 2/49؛ المستصفى، 2/97؛ بذل النظر، ص148؛ قواطع الأدلة، 1/330؛ تشنيف المسامع، 2/680؛ البـحر الـمحيـط، 3/136؛ شرح الكوكب المنير، 3/144؛ </w:t>
      </w:r>
      <w:r>
        <w:rPr>
          <w:rFonts w:hint="cs"/>
          <w:b/>
          <w:bCs/>
          <w:rtl/>
        </w:rPr>
        <w:t>كما أُفرد للحديث عن هذه المسألة كتاب مستقل</w:t>
      </w:r>
      <w:r>
        <w:rPr>
          <w:rFonts w:hint="cs"/>
          <w:rtl/>
        </w:rPr>
        <w:t xml:space="preserve"> تبلغ صفحاته 363 صفحة، وهو أقل الجمع عند الأصوليين وأثر الاختلاف فيه لشيخنا أ.د. عبد الكريم النملة.</w:t>
      </w:r>
    </w:p>
  </w:footnote>
  <w:footnote w:id="8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7/ب من (ب).</w:t>
      </w:r>
    </w:p>
  </w:footnote>
  <w:footnote w:id="8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ما عدا أبي يوسف من الثلاثة وهما الإمام أبو حنيفة ومحمد.</w:t>
      </w:r>
    </w:p>
    <w:p w:rsidR="00035BE3" w:rsidRDefault="00035BE3" w:rsidP="00C10469">
      <w:pPr>
        <w:pStyle w:val="a6"/>
        <w:ind w:left="422" w:firstLine="0"/>
        <w:rPr>
          <w:rtl/>
        </w:rPr>
      </w:pPr>
      <w:r>
        <w:rPr>
          <w:rFonts w:hint="cs"/>
          <w:rtl/>
        </w:rPr>
        <w:t>وقد سبق بيان هذا المصطلح عند الحنفية، ص 278، هامش 4.</w:t>
      </w:r>
    </w:p>
  </w:footnote>
  <w:footnote w:id="8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الغسل</w:t>
      </w:r>
      <w:r>
        <w:rPr>
          <w:rFonts w:hint="eastAsia"/>
          <w:rtl/>
        </w:rPr>
        <w:t>»</w:t>
      </w:r>
      <w:r>
        <w:rPr>
          <w:rFonts w:hint="cs"/>
          <w:rtl/>
        </w:rPr>
        <w:t xml:space="preserve"> :  ساقطة من (جـ).</w:t>
      </w:r>
    </w:p>
  </w:footnote>
  <w:footnote w:id="8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فتح القدير، 1/62 ؛ الأشباه والنظائر لابن نجيم، ص81.</w:t>
      </w:r>
    </w:p>
  </w:footnote>
  <w:footnote w:id="840">
    <w:p w:rsidR="00035BE3" w:rsidRDefault="00035BE3" w:rsidP="00C10469">
      <w:pPr>
        <w:pStyle w:val="a8"/>
        <w:bidi/>
        <w:ind w:left="422" w:right="0"/>
        <w:jc w:val="lowKashida"/>
        <w:rPr>
          <w:rtl/>
        </w:rPr>
      </w:pPr>
      <w:r>
        <w:rPr>
          <w:rFonts w:hint="cs"/>
          <w:sz w:val="30"/>
          <w:vertAlign w:val="superscript"/>
          <w:rtl/>
        </w:rPr>
        <w:t xml:space="preserve"> (</w:t>
      </w:r>
      <w:r w:rsidRPr="005907D1">
        <w:rPr>
          <w:sz w:val="30"/>
          <w:vertAlign w:val="superscript"/>
        </w:rPr>
        <w:footnoteRef/>
      </w:r>
      <w:r w:rsidRPr="005907D1">
        <w:rPr>
          <w:rFonts w:hint="cs"/>
          <w:sz w:val="30"/>
          <w:vertAlign w:val="superscript"/>
          <w:rtl/>
        </w:rPr>
        <w:t xml:space="preserve">) </w:t>
      </w:r>
      <w:r>
        <w:rPr>
          <w:rFonts w:hint="cs"/>
          <w:sz w:val="30"/>
          <w:rtl/>
        </w:rPr>
        <w:t xml:space="preserve"> </w:t>
      </w:r>
      <w:r w:rsidRPr="00CF2217">
        <w:rPr>
          <w:rFonts w:hint="cs"/>
          <w:spacing w:val="-4"/>
          <w:sz w:val="30"/>
          <w:rtl/>
        </w:rPr>
        <w:t>من الألفاظ التي وردت في هذه القاعدة لفظ (الصفات)، ويُمثَّل للصفات بالمرض والجنون</w:t>
      </w:r>
      <w:r w:rsidRPr="0097707A">
        <w:rPr>
          <w:rFonts w:hint="cs"/>
          <w:sz w:val="30"/>
          <w:rtl/>
        </w:rPr>
        <w:t xml:space="preserve"> والبكارة</w:t>
      </w:r>
      <w:r>
        <w:rPr>
          <w:rFonts w:hint="cs"/>
          <w:rtl/>
        </w:rPr>
        <w:t xml:space="preserve">...، والتعبير بها إنما جرى مجرى الغالب، وليس لحصر القاعدة فيها؛ لأن الأمور المستقلة - كالعقود والإتلافات - ليست صفات عارضة، ومع ذلك فهي داخلة في القاعدة. وهذا الذي دعى الأستاذ مصطفى الزرقا -رحمه الله- إلى ترك لفظ (الصفات) المذكور في (المجلة)، واختيار : </w:t>
      </w:r>
      <w:r>
        <w:rPr>
          <w:rFonts w:hint="eastAsia"/>
          <w:rtl/>
        </w:rPr>
        <w:t>«</w:t>
      </w:r>
      <w:r>
        <w:rPr>
          <w:rFonts w:hint="cs"/>
          <w:rtl/>
        </w:rPr>
        <w:t xml:space="preserve">الأصل في </w:t>
      </w:r>
      <w:r>
        <w:rPr>
          <w:rFonts w:hint="cs"/>
          <w:b/>
          <w:bCs/>
          <w:rtl/>
        </w:rPr>
        <w:t>الأمور</w:t>
      </w:r>
      <w:r>
        <w:rPr>
          <w:rFonts w:hint="cs"/>
          <w:rtl/>
        </w:rPr>
        <w:t xml:space="preserve"> العارضة العدم</w:t>
      </w:r>
      <w:r>
        <w:rPr>
          <w:rFonts w:hint="eastAsia"/>
          <w:rtl/>
        </w:rPr>
        <w:t>»</w:t>
      </w:r>
      <w:r>
        <w:rPr>
          <w:rFonts w:hint="cs"/>
          <w:rtl/>
        </w:rPr>
        <w:t>.</w:t>
      </w:r>
    </w:p>
    <w:p w:rsidR="00035BE3" w:rsidRDefault="00035BE3" w:rsidP="00C10469">
      <w:pPr>
        <w:pStyle w:val="a6"/>
        <w:ind w:left="422" w:firstLine="0"/>
        <w:rPr>
          <w:rtl/>
        </w:rPr>
      </w:pPr>
      <w:r>
        <w:rPr>
          <w:rFonts w:hint="cs"/>
          <w:rtl/>
        </w:rPr>
        <w:t xml:space="preserve">و </w:t>
      </w:r>
      <w:r>
        <w:rPr>
          <w:rFonts w:hint="eastAsia"/>
          <w:rtl/>
        </w:rPr>
        <w:t>«</w:t>
      </w:r>
      <w:r>
        <w:rPr>
          <w:rFonts w:hint="cs"/>
          <w:rtl/>
        </w:rPr>
        <w:t>المراد بالأمور العارضة : ما كان عدمه هو الحالة الأصلية أو الغالبة.</w:t>
      </w:r>
    </w:p>
    <w:p w:rsidR="00035BE3" w:rsidRDefault="00035BE3" w:rsidP="00C10469">
      <w:pPr>
        <w:pStyle w:val="a6"/>
        <w:ind w:left="422" w:firstLine="0"/>
        <w:rPr>
          <w:rtl/>
        </w:rPr>
      </w:pPr>
      <w:r>
        <w:rPr>
          <w:rFonts w:hint="cs"/>
          <w:rtl/>
        </w:rPr>
        <w:t>فيكون العدم هو المتيقَّن ؛ لأنه الحالة الطبيعية، ويكون تغيُّره إلى الوجود عارضًا مشكوكًا فيه</w:t>
      </w:r>
      <w:r>
        <w:rPr>
          <w:rFonts w:hint="eastAsia"/>
          <w:rtl/>
        </w:rPr>
        <w:t>»</w:t>
      </w:r>
      <w:r>
        <w:rPr>
          <w:rFonts w:hint="cs"/>
          <w:rtl/>
        </w:rPr>
        <w:t>- قاله الزرقا في المدخل، 2/969، فقرة 577، وانظر منه 2/970-.</w:t>
      </w:r>
    </w:p>
    <w:p w:rsidR="00035BE3" w:rsidRDefault="00035BE3" w:rsidP="00C10469">
      <w:pPr>
        <w:pStyle w:val="a6"/>
        <w:ind w:left="422" w:firstLine="0"/>
        <w:rPr>
          <w:rtl/>
        </w:rPr>
      </w:pPr>
      <w:r>
        <w:rPr>
          <w:rFonts w:hint="cs"/>
          <w:rtl/>
        </w:rPr>
        <w:t>هذا ما يتعلق بمعنى القاعدة.</w:t>
      </w:r>
    </w:p>
    <w:p w:rsidR="00035BE3" w:rsidRDefault="00035BE3" w:rsidP="00C10469">
      <w:pPr>
        <w:pStyle w:val="a6"/>
        <w:ind w:left="422" w:firstLine="0"/>
        <w:rPr>
          <w:rtl/>
        </w:rPr>
      </w:pPr>
      <w:r>
        <w:rPr>
          <w:rFonts w:hint="cs"/>
          <w:b/>
          <w:bCs/>
          <w:rtl/>
        </w:rPr>
        <w:t>أما توثيقها</w:t>
      </w:r>
      <w:r>
        <w:rPr>
          <w:rFonts w:hint="cs"/>
          <w:rtl/>
        </w:rPr>
        <w:t xml:space="preserve"> : </w:t>
      </w:r>
    </w:p>
    <w:p w:rsidR="00035BE3" w:rsidRDefault="00035BE3" w:rsidP="00C10469">
      <w:pPr>
        <w:pStyle w:val="a6"/>
        <w:ind w:left="422" w:firstLine="0"/>
        <w:rPr>
          <w:rtl/>
        </w:rPr>
      </w:pPr>
      <w:r>
        <w:rPr>
          <w:rFonts w:hint="cs"/>
          <w:rtl/>
        </w:rPr>
        <w:t>فقد وردت بلفظ المؤلف أو نحوه في كثير من كتب الفقه وقواعده :</w:t>
      </w:r>
    </w:p>
    <w:p w:rsidR="00035BE3" w:rsidRDefault="00035BE3" w:rsidP="00C10469">
      <w:pPr>
        <w:pStyle w:val="a6"/>
        <w:ind w:left="422" w:firstLine="0"/>
        <w:rPr>
          <w:rtl/>
        </w:rPr>
      </w:pPr>
      <w:r>
        <w:rPr>
          <w:rFonts w:hint="cs"/>
          <w:b/>
          <w:bCs/>
          <w:rtl/>
        </w:rPr>
        <w:t>فمن كتب القواعد</w:t>
      </w:r>
      <w:r>
        <w:rPr>
          <w:rFonts w:hint="cs"/>
          <w:rtl/>
        </w:rPr>
        <w:t xml:space="preserve"> : </w:t>
      </w:r>
    </w:p>
    <w:p w:rsidR="00035BE3" w:rsidRDefault="00035BE3" w:rsidP="00C10469">
      <w:pPr>
        <w:pStyle w:val="a6"/>
        <w:ind w:left="422" w:firstLine="0"/>
        <w:rPr>
          <w:rtl/>
        </w:rPr>
      </w:pPr>
      <w:r>
        <w:rPr>
          <w:rFonts w:hint="cs"/>
          <w:rtl/>
        </w:rPr>
        <w:t xml:space="preserve">المنثور، 1/320، 3/60؛ الأشباه والنظائر للسيوطي، 1/162-165؛ ولابن نجيم، ص82-84؛ </w:t>
      </w:r>
      <w:r w:rsidRPr="002C6E0D">
        <w:rPr>
          <w:rFonts w:hint="cs"/>
          <w:spacing w:val="-4"/>
          <w:rtl/>
        </w:rPr>
        <w:t>غمز عيون البصائر، 1/212-217؛ الفرائد البهية وشرحاها: الأقمار المضيئة، ص86-88؛</w:t>
      </w:r>
      <w:r>
        <w:rPr>
          <w:rFonts w:hint="cs"/>
          <w:rtl/>
        </w:rPr>
        <w:t xml:space="preserve"> والمواهب السنية وحاشية المواهب: الفوائد الجنية، 1/203-204- ولفظ  المنثور والكتب التي تليه: </w:t>
      </w:r>
      <w:r>
        <w:rPr>
          <w:rFonts w:hint="eastAsia"/>
          <w:rtl/>
        </w:rPr>
        <w:t>«</w:t>
      </w:r>
      <w:r>
        <w:rPr>
          <w:rFonts w:hint="cs"/>
          <w:rtl/>
        </w:rPr>
        <w:t>الأصل العدم</w:t>
      </w:r>
      <w:r>
        <w:rPr>
          <w:rFonts w:hint="eastAsia"/>
          <w:rtl/>
        </w:rPr>
        <w:t>»</w:t>
      </w:r>
      <w:r>
        <w:rPr>
          <w:rFonts w:hint="cs"/>
          <w:rtl/>
        </w:rPr>
        <w:t xml:space="preserve">-؛  مجامع الحقائق (الخاتمة)، ص44؛ شرح العلائي لقواعد الخادمي، ل9/أ؛ منافع الدقائق، ص312- ولفظ المجامع وشرحيه مطابق للفظ المؤلف-؛ مجلة الأحكام العدلية، مادة 9 - ولفظها: </w:t>
      </w:r>
      <w:r>
        <w:rPr>
          <w:rFonts w:hint="eastAsia"/>
          <w:rtl/>
        </w:rPr>
        <w:t>«</w:t>
      </w:r>
      <w:r>
        <w:rPr>
          <w:rFonts w:hint="cs"/>
          <w:rtl/>
        </w:rPr>
        <w:t>الأصل في الصفات العارضة العدم</w:t>
      </w:r>
      <w:r>
        <w:rPr>
          <w:rFonts w:hint="eastAsia"/>
          <w:rtl/>
        </w:rPr>
        <w:t>»</w:t>
      </w:r>
      <w:r>
        <w:rPr>
          <w:rFonts w:hint="cs"/>
          <w:rtl/>
        </w:rPr>
        <w:t xml:space="preserve"> (بتأخير لفظ العدم)-؛ شرحها لسليم رستم، 1/22-</w:t>
      </w:r>
      <w:r w:rsidRPr="00B148BA">
        <w:rPr>
          <w:rFonts w:hint="cs"/>
          <w:spacing w:val="-6"/>
          <w:rtl/>
        </w:rPr>
        <w:t>23؛ ولعلي حيـدر، 1/23-24؛ وللآتـاسي، 1/27-29؛ وشرح قواعدها للزرقا، ص117-</w:t>
      </w:r>
      <w:r>
        <w:rPr>
          <w:rFonts w:hint="cs"/>
          <w:rtl/>
        </w:rPr>
        <w:t xml:space="preserve">120؛ قواعد الفقه للمجدِّدي، ص59، قاعدة 34؛ المدخل الفقهي العام، 2/969-970، فقرة 577-؛ </w:t>
      </w:r>
      <w:r w:rsidRPr="00930D95">
        <w:rPr>
          <w:rFonts w:hint="cs"/>
          <w:spacing w:val="-4"/>
          <w:rtl/>
        </w:rPr>
        <w:t>القواعد الفقهية للدكتور علي الندوي، ص356- ولفظه كلفظ المجلة-؛ الوجيز، ص122-124-</w:t>
      </w:r>
      <w:r>
        <w:rPr>
          <w:rFonts w:hint="cs"/>
          <w:rtl/>
        </w:rPr>
        <w:t xml:space="preserve"> وقد </w:t>
      </w:r>
      <w:r w:rsidRPr="00930D95">
        <w:rPr>
          <w:rFonts w:hint="cs"/>
          <w:spacing w:val="-6"/>
          <w:rtl/>
        </w:rPr>
        <w:t>ذكر لفظ المجلة والمدخل-؛ موسوعة القواعد الفقهية، 2/110 - وقد ذكر لفظ المنثور والمجلة والمدخل -</w:t>
      </w:r>
      <w:r>
        <w:rPr>
          <w:rFonts w:hint="cs"/>
          <w:rtl/>
        </w:rPr>
        <w:t xml:space="preserve">؛ القواعد الفقهية في بابي العبادات والمعاملات لشيخنا د. عبد الله العيسى، ص338- وقد ذكر لفظ </w:t>
      </w:r>
      <w:r w:rsidRPr="002C6E0D">
        <w:rPr>
          <w:rFonts w:hint="cs"/>
          <w:spacing w:val="-4"/>
          <w:rtl/>
        </w:rPr>
        <w:t>المنثور-؛ تطبيقات القواعد والضوابط الفقهية لِـ د. سعود الغديان، ص926- وقد ذكر لفظ</w:t>
      </w:r>
      <w:r>
        <w:rPr>
          <w:rFonts w:hint="cs"/>
          <w:rtl/>
        </w:rPr>
        <w:t xml:space="preserve"> المدخل-؛ </w:t>
      </w:r>
      <w:r w:rsidRPr="002C6E0D">
        <w:rPr>
          <w:rFonts w:hint="cs"/>
          <w:spacing w:val="-6"/>
          <w:rtl/>
        </w:rPr>
        <w:t>القواعد الفقهية الكبرى لشيخنا أ.د. صالح السدلان، ص141-145- وقد ذكر لفظ المجلة والمدخل-؛</w:t>
      </w:r>
      <w:r>
        <w:rPr>
          <w:rFonts w:hint="cs"/>
          <w:rtl/>
        </w:rPr>
        <w:t xml:space="preserve"> المبادئ  الفقهية، ص13- ولفظه كلفظ المجلة-؛ القواعد الفقهية للدّعّاس، ص19، قاعدة6 ؛ وللدكتور محمد الزحيلي، ص52؛ قواعد الفقه الإسلامي للدكتور محمد الروكي، ص192-193- ولفظ الدعّاس ومن بعده كلفظ المدخل -. </w:t>
      </w:r>
    </w:p>
    <w:p w:rsidR="00035BE3" w:rsidRDefault="00035BE3" w:rsidP="00C10469">
      <w:pPr>
        <w:pStyle w:val="a6"/>
        <w:ind w:left="422" w:firstLine="0"/>
        <w:rPr>
          <w:spacing w:val="-2"/>
          <w:rtl/>
        </w:rPr>
      </w:pPr>
      <w:r>
        <w:rPr>
          <w:rFonts w:hint="cs"/>
          <w:b/>
          <w:bCs/>
          <w:spacing w:val="-2"/>
          <w:rtl/>
        </w:rPr>
        <w:t>ومن كتب الفقه</w:t>
      </w:r>
      <w:r>
        <w:rPr>
          <w:rFonts w:hint="cs"/>
          <w:spacing w:val="-2"/>
          <w:rtl/>
        </w:rPr>
        <w:t xml:space="preserve"> : </w:t>
      </w:r>
    </w:p>
    <w:p w:rsidR="00035BE3" w:rsidRDefault="00035BE3" w:rsidP="00C10469">
      <w:pPr>
        <w:pStyle w:val="a6"/>
        <w:ind w:left="422" w:firstLine="0"/>
        <w:rPr>
          <w:spacing w:val="-2"/>
          <w:rtl/>
        </w:rPr>
      </w:pPr>
      <w:r>
        <w:rPr>
          <w:rFonts w:hint="cs"/>
          <w:spacing w:val="-2"/>
          <w:rtl/>
        </w:rPr>
        <w:t xml:space="preserve">المغني لابن قدامه، 1/218؛ فتح القدير، 6/334، 352؛ البحر الرائق، 4/24، 6/37؛ مغني المحتاج، 2/155، 287؛ كشاف القناع، 6/288. </w:t>
      </w:r>
    </w:p>
  </w:footnote>
  <w:footnote w:id="8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بتنكير (زيادة)-. والأسلوب بدون تعريفها بـ (أل) ركيكٌ؛ ويشهد لذلك أن هذا المثال مُستفادٌ من أشباه ابن نجيم، ص69، وقد عرَّف اللفظ الأخير بـ (أل). وتمام كلامه :</w:t>
      </w:r>
    </w:p>
    <w:p w:rsidR="00035BE3" w:rsidRDefault="00035BE3" w:rsidP="00C10469">
      <w:pPr>
        <w:pStyle w:val="a6"/>
        <w:ind w:left="422" w:firstLine="0"/>
        <w:rPr>
          <w:rtl/>
        </w:rPr>
      </w:pPr>
      <w:r>
        <w:rPr>
          <w:rFonts w:hint="eastAsia"/>
          <w:rtl/>
        </w:rPr>
        <w:t>«</w:t>
      </w:r>
      <w:r>
        <w:rPr>
          <w:rFonts w:hint="cs"/>
          <w:rtl/>
        </w:rPr>
        <w:t xml:space="preserve">ومنها : القولُ قولُ الشريك والمضارب (إنه لم يربح)؛ لأن الأصل عدمه. وكذا لو قال : لم أربح إلا كذا؛ لأن الأصل عدم </w:t>
      </w:r>
      <w:r>
        <w:rPr>
          <w:rFonts w:hint="cs"/>
          <w:b/>
          <w:bCs/>
          <w:rtl/>
        </w:rPr>
        <w:t>الزائد</w:t>
      </w:r>
      <w:r>
        <w:rPr>
          <w:rFonts w:hint="eastAsia"/>
          <w:rtl/>
        </w:rPr>
        <w:t>»</w:t>
      </w:r>
      <w:r>
        <w:rPr>
          <w:rFonts w:hint="cs"/>
          <w:rtl/>
        </w:rPr>
        <w:t>.</w:t>
      </w:r>
    </w:p>
    <w:p w:rsidR="00035BE3" w:rsidRDefault="00035BE3" w:rsidP="00C10469">
      <w:pPr>
        <w:pStyle w:val="a6"/>
        <w:ind w:left="422" w:firstLine="0"/>
        <w:rPr>
          <w:rtl/>
        </w:rPr>
      </w:pPr>
      <w:r>
        <w:rPr>
          <w:rFonts w:hint="cs"/>
          <w:rtl/>
        </w:rPr>
        <w:t xml:space="preserve">- كذا في طبعة دار الفكر الأولى عام 1403هـ، وفي الأشباه المـطبوعة مع غمز عيون البصائـر </w:t>
      </w:r>
      <w:r w:rsidRPr="001100DF">
        <w:rPr>
          <w:rFonts w:hint="cs"/>
          <w:spacing w:val="-4"/>
          <w:rtl/>
        </w:rPr>
        <w:t xml:space="preserve">-1/213-، أما في طبعة المكتبة العصرية فقد جاء فيها - ص82-: </w:t>
      </w:r>
      <w:r w:rsidRPr="001100DF">
        <w:rPr>
          <w:rFonts w:hint="eastAsia"/>
          <w:spacing w:val="-4"/>
          <w:rtl/>
        </w:rPr>
        <w:t>«</w:t>
      </w:r>
      <w:r w:rsidRPr="001100DF">
        <w:rPr>
          <w:rFonts w:hint="cs"/>
          <w:spacing w:val="-4"/>
          <w:rtl/>
        </w:rPr>
        <w:t xml:space="preserve">... والمضارب </w:t>
      </w:r>
      <w:r w:rsidRPr="001100DF">
        <w:rPr>
          <w:rFonts w:hint="cs"/>
          <w:b/>
          <w:bCs/>
          <w:spacing w:val="-4"/>
          <w:rtl/>
        </w:rPr>
        <w:t>إن</w:t>
      </w:r>
      <w:r w:rsidRPr="001100DF">
        <w:rPr>
          <w:rFonts w:hint="cs"/>
          <w:spacing w:val="-4"/>
          <w:rtl/>
        </w:rPr>
        <w:t xml:space="preserve"> لم يربح ...</w:t>
      </w:r>
      <w:r w:rsidRPr="001100DF">
        <w:rPr>
          <w:rFonts w:hint="eastAsia"/>
          <w:spacing w:val="-4"/>
          <w:rtl/>
        </w:rPr>
        <w:t>»</w:t>
      </w:r>
      <w:r w:rsidRPr="001100DF">
        <w:rPr>
          <w:rFonts w:hint="cs"/>
          <w:spacing w:val="-4"/>
          <w:rtl/>
        </w:rPr>
        <w:t>-</w:t>
      </w:r>
      <w:r>
        <w:rPr>
          <w:rFonts w:hint="cs"/>
          <w:rtl/>
        </w:rPr>
        <w:t xml:space="preserve"> </w:t>
      </w:r>
    </w:p>
    <w:p w:rsidR="00035BE3" w:rsidRDefault="00035BE3" w:rsidP="00C10469">
      <w:pPr>
        <w:pStyle w:val="a6"/>
        <w:ind w:left="422" w:firstLine="0"/>
        <w:rPr>
          <w:rtl/>
        </w:rPr>
      </w:pPr>
      <w:r>
        <w:rPr>
          <w:rFonts w:hint="cs"/>
          <w:rtl/>
        </w:rPr>
        <w:t>وانظر هذا المثال في: مـجلة الأحكام العدلية، مادة 9؛ شرحها لسليم رستم، 1/22؛ وشـرح قواعدها للزرقا، ص118؛ قواعد الفقه للمجدِّدي، ص59. فقد وافقوا (جميعهم) المؤلف في تخريج هذا المثال على القاعدة.</w:t>
      </w:r>
    </w:p>
  </w:footnote>
  <w:footnote w:id="8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8/ب من (جـ).</w:t>
      </w:r>
    </w:p>
  </w:footnote>
  <w:footnote w:id="8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وفي بـاقي النـسخ : </w:t>
      </w:r>
      <w:r>
        <w:rPr>
          <w:rFonts w:hint="eastAsia"/>
          <w:rtl/>
        </w:rPr>
        <w:t>«</w:t>
      </w:r>
      <w:r>
        <w:rPr>
          <w:rFonts w:hint="cs"/>
          <w:rtl/>
        </w:rPr>
        <w:t>أصل</w:t>
      </w:r>
      <w:r>
        <w:rPr>
          <w:rFonts w:hint="eastAsia"/>
          <w:rtl/>
        </w:rPr>
        <w:t>»</w:t>
      </w:r>
      <w:r>
        <w:rPr>
          <w:rFonts w:hint="cs"/>
          <w:rtl/>
        </w:rPr>
        <w:t>. والصواب هو المثبت من (ب)؛ لأن (أصلاً) اسم أنّ؛ فكان حقُّه الـنَّـصب.</w:t>
      </w:r>
    </w:p>
  </w:footnote>
  <w:footnote w:id="8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سيأتي حديث المؤلف عنها استقلالاً، وذلك ص913 (ل76/ب)، قاعدة 183.</w:t>
      </w:r>
    </w:p>
  </w:footnote>
  <w:footnote w:id="8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الأشباه والنظائر لابن نجيم، ص82؛ شرح القواعد الفقهية للزرقا، ص120.</w:t>
      </w:r>
    </w:p>
  </w:footnote>
  <w:footnote w:id="8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الزوج</w:t>
      </w:r>
      <w:r>
        <w:rPr>
          <w:rFonts w:hint="eastAsia"/>
          <w:rtl/>
        </w:rPr>
        <w:t>»</w:t>
      </w:r>
      <w:r>
        <w:rPr>
          <w:rFonts w:hint="cs"/>
          <w:rtl/>
        </w:rPr>
        <w:t>.</w:t>
      </w:r>
    </w:p>
  </w:footnote>
  <w:footnote w:id="8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أشباه ابن نجيم </w:t>
      </w:r>
      <w:r>
        <w:rPr>
          <w:rFonts w:hint="eastAsia"/>
          <w:rtl/>
        </w:rPr>
        <w:t>«</w:t>
      </w:r>
      <w:r>
        <w:rPr>
          <w:rFonts w:hint="cs"/>
          <w:rtl/>
        </w:rPr>
        <w:t>وأنكرت</w:t>
      </w:r>
      <w:r>
        <w:rPr>
          <w:rFonts w:hint="eastAsia"/>
          <w:rtl/>
        </w:rPr>
        <w:t>»</w:t>
      </w:r>
      <w:r>
        <w:rPr>
          <w:rFonts w:hint="cs"/>
          <w:rtl/>
        </w:rPr>
        <w:t>.</w:t>
      </w:r>
    </w:p>
  </w:footnote>
  <w:footnote w:id="8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إذا أنكر وصول الدين</w:t>
      </w:r>
      <w:r>
        <w:rPr>
          <w:rFonts w:hint="eastAsia"/>
          <w:rtl/>
        </w:rPr>
        <w:t>»</w:t>
      </w:r>
      <w:r>
        <w:rPr>
          <w:rFonts w:hint="cs"/>
          <w:rtl/>
        </w:rPr>
        <w:t xml:space="preserve">: ساقط من (د). </w:t>
      </w:r>
    </w:p>
  </w:footnote>
  <w:footnote w:id="8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ادّعى</w:t>
      </w:r>
      <w:r>
        <w:rPr>
          <w:rFonts w:hint="cs"/>
          <w:rtl/>
        </w:rPr>
        <w:t xml:space="preserve"> : هذه الكلمة لها عدة معانٍ، منها : الزعمُ؛ جاء في (اللسان) : </w:t>
      </w:r>
      <w:r>
        <w:rPr>
          <w:rFonts w:hint="eastAsia"/>
          <w:rtl/>
        </w:rPr>
        <w:t>«</w:t>
      </w:r>
      <w:r>
        <w:rPr>
          <w:rFonts w:hint="cs"/>
          <w:rtl/>
        </w:rPr>
        <w:t>ادّعيت الشيء : زعمتُه لي، حقًّا كان أو باطلاً</w:t>
      </w:r>
      <w:r>
        <w:rPr>
          <w:rFonts w:hint="eastAsia"/>
          <w:rtl/>
        </w:rPr>
        <w:t>»</w:t>
      </w:r>
      <w:r>
        <w:rPr>
          <w:rFonts w:hint="cs"/>
          <w:rtl/>
        </w:rPr>
        <w:t>.</w:t>
      </w:r>
    </w:p>
    <w:p w:rsidR="00035BE3" w:rsidRDefault="00035BE3" w:rsidP="00C10469">
      <w:pPr>
        <w:pStyle w:val="a6"/>
        <w:ind w:left="422" w:firstLine="0"/>
        <w:rPr>
          <w:rtl/>
        </w:rPr>
      </w:pPr>
      <w:r>
        <w:rPr>
          <w:rFonts w:hint="cs"/>
          <w:rtl/>
        </w:rPr>
        <w:t xml:space="preserve">ومنها : الطلب والتمني، جاء في (المعجم الوسيط) : </w:t>
      </w:r>
      <w:r>
        <w:rPr>
          <w:rFonts w:hint="eastAsia"/>
          <w:rtl/>
        </w:rPr>
        <w:t>«</w:t>
      </w:r>
      <w:r>
        <w:rPr>
          <w:rFonts w:hint="cs"/>
          <w:rtl/>
        </w:rPr>
        <w:t>و [ادّعى] الشيءَ : تمنَّاه وطلبه لنفسه</w:t>
      </w:r>
      <w:r>
        <w:rPr>
          <w:rFonts w:hint="eastAsia"/>
          <w:rtl/>
        </w:rPr>
        <w:t>»</w:t>
      </w:r>
      <w:r>
        <w:rPr>
          <w:rFonts w:hint="cs"/>
          <w:rtl/>
        </w:rPr>
        <w:t>.</w:t>
      </w:r>
    </w:p>
    <w:p w:rsidR="00035BE3" w:rsidRDefault="00035BE3" w:rsidP="00C10469">
      <w:pPr>
        <w:pStyle w:val="a6"/>
        <w:ind w:left="422" w:firstLine="0"/>
        <w:rPr>
          <w:rtl/>
        </w:rPr>
      </w:pPr>
      <w:r>
        <w:rPr>
          <w:rFonts w:hint="cs"/>
          <w:rtl/>
        </w:rPr>
        <w:t xml:space="preserve">والمعنى الثاني هو المراد هنا؛ لأنها لا تزعم النفقة؛ بل تطلبها. </w:t>
      </w:r>
    </w:p>
    <w:p w:rsidR="00035BE3" w:rsidRDefault="00035BE3" w:rsidP="00C10469">
      <w:pPr>
        <w:pStyle w:val="a6"/>
        <w:ind w:left="422" w:firstLine="0"/>
        <w:rPr>
          <w:rtl/>
        </w:rPr>
      </w:pPr>
      <w:r>
        <w:rPr>
          <w:rFonts w:hint="cs"/>
          <w:rtl/>
        </w:rPr>
        <w:t xml:space="preserve">لسان العرب، مادة </w:t>
      </w:r>
      <w:r>
        <w:rPr>
          <w:rFonts w:hint="eastAsia"/>
          <w:rtl/>
        </w:rPr>
        <w:t>«</w:t>
      </w:r>
      <w:r>
        <w:rPr>
          <w:rFonts w:hint="cs"/>
          <w:rtl/>
        </w:rPr>
        <w:t>دعا</w:t>
      </w:r>
      <w:r>
        <w:rPr>
          <w:rFonts w:hint="eastAsia"/>
          <w:rtl/>
        </w:rPr>
        <w:t>»</w:t>
      </w:r>
      <w:r>
        <w:rPr>
          <w:rFonts w:hint="cs"/>
          <w:rtl/>
        </w:rPr>
        <w:t xml:space="preserve">، 14/261؛ المعجم الوسيط، مادة </w:t>
      </w:r>
      <w:r>
        <w:rPr>
          <w:rFonts w:hint="eastAsia"/>
          <w:rtl/>
        </w:rPr>
        <w:t>«</w:t>
      </w:r>
      <w:r>
        <w:rPr>
          <w:rFonts w:hint="cs"/>
          <w:rtl/>
        </w:rPr>
        <w:t>دعا</w:t>
      </w:r>
      <w:r>
        <w:rPr>
          <w:rFonts w:hint="eastAsia"/>
          <w:rtl/>
        </w:rPr>
        <w:t>»</w:t>
      </w:r>
      <w:r>
        <w:rPr>
          <w:rFonts w:hint="cs"/>
          <w:rtl/>
        </w:rPr>
        <w:t>، 1/286.</w:t>
      </w:r>
    </w:p>
  </w:footnote>
  <w:footnote w:id="8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11/أ من (أ).</w:t>
      </w:r>
    </w:p>
  </w:footnote>
  <w:footnote w:id="8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كذا</w:t>
      </w:r>
      <w:r>
        <w:rPr>
          <w:rFonts w:hint="eastAsia"/>
          <w:rtl/>
        </w:rPr>
        <w:t>»</w:t>
      </w:r>
      <w:r>
        <w:rPr>
          <w:rFonts w:hint="cs"/>
          <w:rtl/>
        </w:rPr>
        <w:t>.</w:t>
      </w:r>
    </w:p>
  </w:footnote>
  <w:footnote w:id="8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1/446. ونصُّ ما جاء في (الخانية): </w:t>
      </w:r>
      <w:r>
        <w:rPr>
          <w:rFonts w:hint="eastAsia"/>
          <w:rtl/>
        </w:rPr>
        <w:t>«</w:t>
      </w:r>
      <w:r>
        <w:rPr>
          <w:rFonts w:hint="cs"/>
          <w:rtl/>
        </w:rPr>
        <w:t>امرأة ادّعت على زوجها أنه لم ينفق على ولدها الصغير : قالوا: إن كان القاضي فرض عليه نفقة الولد، أو فرض الزوج على نفسه، فادعت المرأة ذلك بعدما مضى مدّة، وأنكر الزوج : حُلِّف. وإلا فلا</w:t>
      </w:r>
      <w:r>
        <w:rPr>
          <w:rFonts w:hint="eastAsia"/>
          <w:rtl/>
        </w:rPr>
        <w:t>»</w:t>
      </w:r>
      <w:r>
        <w:rPr>
          <w:rFonts w:hint="cs"/>
          <w:rtl/>
        </w:rPr>
        <w:t>.</w:t>
      </w:r>
    </w:p>
    <w:p w:rsidR="00035BE3" w:rsidRDefault="00035BE3" w:rsidP="00C10469">
      <w:pPr>
        <w:pStyle w:val="a6"/>
        <w:ind w:left="422" w:firstLine="0"/>
        <w:rPr>
          <w:rtl/>
        </w:rPr>
      </w:pPr>
      <w:r>
        <w:rPr>
          <w:rFonts w:hint="cs"/>
          <w:b/>
          <w:bCs/>
          <w:rtl/>
        </w:rPr>
        <w:t>والمقصود بالخانية</w:t>
      </w:r>
      <w:r>
        <w:rPr>
          <w:rFonts w:hint="cs"/>
          <w:rtl/>
        </w:rPr>
        <w:t xml:space="preserve"> : فتاوى قاضي خان، نسبةً إلى مؤلفها، وهو حسن بن منصور بن محمود الأُوْزْجَنْدِيُّ الفَرْغانِيُّ، المعروف بقاضي خان (ت 592 هـ).</w:t>
      </w:r>
    </w:p>
    <w:p w:rsidR="00035BE3" w:rsidRDefault="00035BE3" w:rsidP="00C10469">
      <w:pPr>
        <w:pStyle w:val="a6"/>
        <w:ind w:left="422" w:firstLine="0"/>
        <w:rPr>
          <w:rtl/>
        </w:rPr>
      </w:pPr>
      <w:r>
        <w:rPr>
          <w:rFonts w:hint="cs"/>
          <w:rtl/>
        </w:rPr>
        <w:t xml:space="preserve">وهي من كتب الفتاوى المعتمدة عند الحنفية؛ حيث يقول عنها صاحب (الفوائد البهية) : </w:t>
      </w:r>
      <w:r>
        <w:rPr>
          <w:rFonts w:hint="eastAsia"/>
          <w:rtl/>
        </w:rPr>
        <w:t>«</w:t>
      </w:r>
      <w:r>
        <w:rPr>
          <w:rFonts w:hint="cs"/>
          <w:rtl/>
        </w:rPr>
        <w:t>انتفعتُ بفتاواه، وهي في أربعة أسفار. معتمدة عند أجلة الفقهاء؛ حتى قال قاسم بن قطلوبغا [ت879هـ] في (تصحيح القُدُوري): ما يصحّحه قاضي خان مقدم على تصحيح غيره؛ لأنه فقيه النفس</w:t>
      </w:r>
      <w:r>
        <w:rPr>
          <w:rFonts w:hint="eastAsia"/>
          <w:rtl/>
        </w:rPr>
        <w:t>»</w:t>
      </w:r>
      <w:r>
        <w:rPr>
          <w:rFonts w:hint="cs"/>
          <w:rtl/>
        </w:rPr>
        <w:t>.</w:t>
      </w:r>
    </w:p>
    <w:p w:rsidR="00035BE3" w:rsidRDefault="00035BE3" w:rsidP="00C10469">
      <w:pPr>
        <w:pStyle w:val="a6"/>
        <w:ind w:left="422" w:firstLine="0"/>
        <w:rPr>
          <w:rtl/>
        </w:rPr>
      </w:pPr>
      <w:r>
        <w:rPr>
          <w:rFonts w:hint="cs"/>
          <w:rtl/>
        </w:rPr>
        <w:t xml:space="preserve">وهذه الفتاوى ذكر فيها صاحبها جملةً من المسائل التي يغلب وقوعها. </w:t>
      </w:r>
    </w:p>
    <w:p w:rsidR="00035BE3" w:rsidRDefault="00035BE3" w:rsidP="00C10469">
      <w:pPr>
        <w:pStyle w:val="a6"/>
        <w:ind w:left="422" w:firstLine="0"/>
        <w:rPr>
          <w:rtl/>
        </w:rPr>
      </w:pPr>
      <w:r>
        <w:rPr>
          <w:rFonts w:hint="cs"/>
          <w:rtl/>
        </w:rPr>
        <w:t>وترتيبها على ترتيب كتب الفقه الحنفي - كما أفاد ذلك صاحب كشف الظنون- ونظرًا لأهمية الكتاب طبع في وقت مبكّر عدّة طبعات، منها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1</w:t>
      </w:r>
      <w:r>
        <w:rPr>
          <w:rFonts w:hint="cs"/>
          <w:rtl/>
        </w:rPr>
        <w:t>- طبعة : كلكته، عام 1251هـ/1835م.</w:t>
      </w:r>
    </w:p>
    <w:p w:rsidR="00035BE3" w:rsidRDefault="00035BE3" w:rsidP="00C10469">
      <w:pPr>
        <w:pStyle w:val="a6"/>
        <w:ind w:left="422" w:firstLine="0"/>
        <w:rPr>
          <w:rtl/>
        </w:rPr>
      </w:pPr>
      <w:r>
        <w:rPr>
          <w:rFonts w:hint="cs"/>
          <w:b/>
          <w:bCs/>
          <w:rtl/>
        </w:rPr>
        <w:t>2</w:t>
      </w:r>
      <w:r>
        <w:rPr>
          <w:rFonts w:hint="cs"/>
          <w:rtl/>
        </w:rPr>
        <w:t>- ولكناو، عام 1293 - بهامش الفتاوى السّراجية، لسراج الدين أبو الحسن على بن عثمان الأوشي الفرغاني.</w:t>
      </w:r>
    </w:p>
    <w:p w:rsidR="00035BE3" w:rsidRDefault="00035BE3" w:rsidP="00C10469">
      <w:pPr>
        <w:pStyle w:val="a6"/>
        <w:ind w:left="422" w:firstLine="0"/>
        <w:rPr>
          <w:rtl/>
        </w:rPr>
      </w:pPr>
      <w:r>
        <w:rPr>
          <w:rFonts w:hint="cs"/>
          <w:rtl/>
        </w:rPr>
        <w:t>كما طبع في هامش الأجزاء الثلاثة الأُول من الفتاوى الهندية الطبعات الآتية :</w:t>
      </w:r>
    </w:p>
    <w:p w:rsidR="00035BE3" w:rsidRDefault="00035BE3" w:rsidP="00C10469">
      <w:pPr>
        <w:pStyle w:val="a6"/>
        <w:ind w:left="422" w:firstLine="0"/>
        <w:rPr>
          <w:rtl/>
        </w:rPr>
      </w:pPr>
      <w:r>
        <w:rPr>
          <w:rFonts w:hint="cs"/>
          <w:b/>
          <w:bCs/>
          <w:rtl/>
        </w:rPr>
        <w:t>3</w:t>
      </w:r>
      <w:r>
        <w:rPr>
          <w:rFonts w:hint="cs"/>
          <w:rtl/>
        </w:rPr>
        <w:t>-</w:t>
      </w:r>
      <w:r>
        <w:rPr>
          <w:rFonts w:hint="cs"/>
          <w:b/>
          <w:bCs/>
          <w:rtl/>
        </w:rPr>
        <w:t>4</w:t>
      </w:r>
      <w:r>
        <w:rPr>
          <w:rFonts w:hint="cs"/>
          <w:rtl/>
        </w:rPr>
        <w:t>- المطبعة الأميرية ببولاق، عام 1282هـ، وعام 1311هـ.</w:t>
      </w:r>
    </w:p>
    <w:p w:rsidR="00035BE3" w:rsidRDefault="00035BE3" w:rsidP="00C10469">
      <w:pPr>
        <w:pStyle w:val="a6"/>
        <w:ind w:left="422" w:firstLine="0"/>
        <w:rPr>
          <w:rtl/>
        </w:rPr>
      </w:pPr>
      <w:r>
        <w:rPr>
          <w:rFonts w:hint="cs"/>
          <w:b/>
          <w:bCs/>
          <w:rtl/>
        </w:rPr>
        <w:t>5</w:t>
      </w:r>
      <w:r>
        <w:rPr>
          <w:rFonts w:hint="cs"/>
          <w:rtl/>
        </w:rPr>
        <w:t>- المطبعة الميمنية بالقاهرة، عام 1323هـ.</w:t>
      </w:r>
    </w:p>
    <w:p w:rsidR="00035BE3" w:rsidRDefault="00035BE3" w:rsidP="00C10469">
      <w:pPr>
        <w:pStyle w:val="a6"/>
        <w:ind w:left="422" w:firstLine="0"/>
        <w:rPr>
          <w:rtl/>
        </w:rPr>
      </w:pPr>
      <w:r>
        <w:rPr>
          <w:rFonts w:hint="cs"/>
          <w:b/>
          <w:bCs/>
          <w:rtl/>
        </w:rPr>
        <w:t>6</w:t>
      </w:r>
      <w:r>
        <w:rPr>
          <w:rFonts w:hint="cs"/>
          <w:rtl/>
        </w:rPr>
        <w:t>-</w:t>
      </w:r>
      <w:r>
        <w:rPr>
          <w:rFonts w:hint="cs"/>
          <w:b/>
          <w:bCs/>
          <w:rtl/>
        </w:rPr>
        <w:t>7</w:t>
      </w:r>
      <w:r>
        <w:rPr>
          <w:rFonts w:hint="cs"/>
          <w:rtl/>
        </w:rPr>
        <w:t>- ومن الطبعات المتداولة : طبعة دار إحيــاء التـراث العـربي بـبيروت، عام 1400هـ و 1406هـ.</w:t>
      </w:r>
    </w:p>
    <w:p w:rsidR="00035BE3" w:rsidRDefault="00035BE3" w:rsidP="00C10469">
      <w:pPr>
        <w:pStyle w:val="a6"/>
        <w:ind w:left="422" w:firstLine="0"/>
        <w:rPr>
          <w:rtl/>
        </w:rPr>
      </w:pPr>
      <w:r>
        <w:rPr>
          <w:rFonts w:hint="cs"/>
          <w:rtl/>
        </w:rPr>
        <w:t>الفوائد البهية، ص65؛ كشف الظنون، 2/1227؛ وانظر في نسبة الكتاب للمؤلف : الجواهر المضية، 2/93، رقم 485؛ تاج التراجم، ص82، رقم 89؛ الطبقات السنية، 3/116.</w:t>
      </w:r>
    </w:p>
  </w:footnote>
  <w:footnote w:id="8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ص82-83- مع اختلاف يسير جدًّا-. </w:t>
      </w:r>
    </w:p>
  </w:footnote>
  <w:footnote w:id="8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أقول</w:t>
      </w:r>
      <w:r>
        <w:rPr>
          <w:rFonts w:hint="eastAsia"/>
          <w:rtl/>
        </w:rPr>
        <w:t>»</w:t>
      </w:r>
      <w:r>
        <w:rPr>
          <w:rFonts w:hint="cs"/>
          <w:rtl/>
        </w:rPr>
        <w:t>: ساقطة من (جـ)، ومكانها بياض.</w:t>
      </w:r>
    </w:p>
  </w:footnote>
  <w:footnote w:id="8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8/أ من (د).</w:t>
      </w:r>
    </w:p>
  </w:footnote>
  <w:footnote w:id="8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كون نفقة المرأة واجبة على الزوج.</w:t>
      </w:r>
    </w:p>
  </w:footnote>
  <w:footnote w:id="8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ينكر</w:t>
      </w:r>
      <w:r>
        <w:rPr>
          <w:rFonts w:hint="eastAsia"/>
          <w:rtl/>
        </w:rPr>
        <w:t>»</w:t>
      </w:r>
      <w:r>
        <w:rPr>
          <w:rFonts w:hint="cs"/>
          <w:rtl/>
        </w:rPr>
        <w:t>: والـمُثْبَتُ من (ب) و(د) هو الصحيح.</w:t>
      </w:r>
    </w:p>
  </w:footnote>
  <w:footnote w:id="8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 زيادة من (ب)، وهي لابّد منها.</w:t>
      </w:r>
    </w:p>
  </w:footnote>
  <w:footnote w:id="8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 زيادة من (ب) أيضًا، وفي (د) : </w:t>
      </w:r>
      <w:r>
        <w:rPr>
          <w:rFonts w:hint="eastAsia"/>
          <w:rtl/>
        </w:rPr>
        <w:t>«</w:t>
      </w:r>
      <w:r>
        <w:rPr>
          <w:rFonts w:hint="cs"/>
          <w:rtl/>
        </w:rPr>
        <w:t>أنه</w:t>
      </w:r>
      <w:r>
        <w:rPr>
          <w:rFonts w:hint="eastAsia"/>
          <w:rtl/>
        </w:rPr>
        <w:t>»</w:t>
      </w:r>
      <w:r>
        <w:rPr>
          <w:rFonts w:hint="cs"/>
          <w:rtl/>
        </w:rPr>
        <w:t>. وإثبات ما في (ب) هو المناسب.</w:t>
      </w:r>
    </w:p>
  </w:footnote>
  <w:footnote w:id="8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8/أ من (ب).</w:t>
      </w:r>
    </w:p>
  </w:footnote>
  <w:footnote w:id="8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ترك</w:t>
      </w:r>
      <w:r>
        <w:rPr>
          <w:rFonts w:hint="eastAsia"/>
          <w:rtl/>
        </w:rPr>
        <w:t>»</w:t>
      </w:r>
      <w:r>
        <w:rPr>
          <w:rFonts w:hint="cs"/>
          <w:rtl/>
        </w:rPr>
        <w:t xml:space="preserve"> : ساقطة من (ب).</w:t>
      </w:r>
    </w:p>
  </w:footnote>
  <w:footnote w:id="8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المعنى : أي نظرًا إلى أن الأصل هو عدم ترك الإنفاق على الصغير؛ لأنه لا يستطيع أن ينفق على نفسه، فلا بد أن ينفق عليه غيره.</w:t>
      </w:r>
    </w:p>
  </w:footnote>
  <w:footnote w:id="8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لما</w:t>
      </w:r>
      <w:r>
        <w:rPr>
          <w:rFonts w:hint="eastAsia"/>
          <w:rtl/>
        </w:rPr>
        <w:t>»</w:t>
      </w:r>
      <w:r>
        <w:rPr>
          <w:rFonts w:hint="cs"/>
          <w:rtl/>
        </w:rPr>
        <w:t xml:space="preserve"> : ساقطة من (ب).</w:t>
      </w:r>
    </w:p>
  </w:footnote>
  <w:footnote w:id="8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11/ب من (أ).</w:t>
      </w:r>
    </w:p>
  </w:footnote>
  <w:footnote w:id="8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الكلمة بداية اللوحة 12/أ من (أ) وقد كُتب فوقها وفوق الكلمة التي تليها : </w:t>
      </w:r>
      <w:r>
        <w:rPr>
          <w:rFonts w:hint="eastAsia"/>
          <w:rtl/>
        </w:rPr>
        <w:t>«</w:t>
      </w:r>
      <w:r>
        <w:rPr>
          <w:rFonts w:hint="cs"/>
          <w:rtl/>
        </w:rPr>
        <w:t>نقول</w:t>
      </w:r>
      <w:r>
        <w:rPr>
          <w:rFonts w:hint="eastAsia"/>
          <w:rtl/>
        </w:rPr>
        <w:t>»</w:t>
      </w:r>
      <w:r>
        <w:rPr>
          <w:rFonts w:hint="cs"/>
          <w:rtl/>
        </w:rPr>
        <w:t>. أي : للدلالة على أن هذا جواب للاستفهام السابق وليس داخلاً فيه.</w:t>
      </w:r>
    </w:p>
  </w:footnote>
  <w:footnote w:id="8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9/أ من (جـ).</w:t>
      </w:r>
    </w:p>
  </w:footnote>
  <w:footnote w:id="8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عكس القاعدة السابقة؛ فإذا كان الأصل في الصفات والأمور العارضة العدم، فإن عكسها (وهي الأمور الأصلية) الأصل فيها الوجودُ.</w:t>
      </w:r>
    </w:p>
    <w:p w:rsidR="00035BE3" w:rsidRDefault="00035BE3" w:rsidP="00C10469">
      <w:pPr>
        <w:pStyle w:val="a6"/>
        <w:ind w:left="422" w:firstLine="0"/>
        <w:rPr>
          <w:rtl/>
        </w:rPr>
      </w:pPr>
      <w:r>
        <w:rPr>
          <w:rFonts w:hint="cs"/>
          <w:rtl/>
        </w:rPr>
        <w:t>ونظرًا لكونها تخالف تلك القاعدة في الحكم؛ وردت عَرضًا في أثناء شرح تلك عند كثير من العلماء - كابن نجيم، وشرّاح المجلة، وصاحب الوجيز والموسوعة، والروكي …-؛ وذلك لئلا يتوهم أن الصفات الأصلية: حكمها حكم الصفات العارضة.</w:t>
      </w:r>
    </w:p>
    <w:p w:rsidR="00035BE3" w:rsidRDefault="00035BE3" w:rsidP="00C10469">
      <w:pPr>
        <w:pStyle w:val="a6"/>
        <w:ind w:left="422" w:firstLine="0"/>
        <w:rPr>
          <w:spacing w:val="8"/>
          <w:rtl/>
        </w:rPr>
      </w:pPr>
      <w:r>
        <w:rPr>
          <w:rFonts w:hint="cs"/>
          <w:spacing w:val="8"/>
          <w:rtl/>
        </w:rPr>
        <w:t xml:space="preserve">وقد نبّه على ذلك ابن نجيم فقال في أشباهه-ص84-: </w:t>
      </w:r>
      <w:r>
        <w:rPr>
          <w:rFonts w:hint="eastAsia"/>
          <w:spacing w:val="8"/>
          <w:rtl/>
        </w:rPr>
        <w:t>«</w:t>
      </w:r>
      <w:r>
        <w:rPr>
          <w:rFonts w:hint="cs"/>
          <w:spacing w:val="8"/>
          <w:rtl/>
        </w:rPr>
        <w:t xml:space="preserve">تنبيه : ليس الأصل العدم مطلقًا، </w:t>
      </w:r>
      <w:r w:rsidRPr="00671695">
        <w:rPr>
          <w:rFonts w:hint="cs"/>
          <w:rtl/>
        </w:rPr>
        <w:t>وإنما هو في الصفات العارضة. وأما في الصفات الأصلية فالأصل الوجود. وتفرّع على ذلك</w:t>
      </w:r>
      <w:r>
        <w:rPr>
          <w:rFonts w:hint="cs"/>
          <w:spacing w:val="4"/>
          <w:rtl/>
        </w:rPr>
        <w:t xml:space="preserve"> …</w:t>
      </w:r>
      <w:r>
        <w:rPr>
          <w:rFonts w:hint="eastAsia"/>
          <w:spacing w:val="4"/>
          <w:rtl/>
        </w:rPr>
        <w:t>»</w:t>
      </w:r>
      <w:r>
        <w:rPr>
          <w:rFonts w:hint="cs"/>
          <w:spacing w:val="4"/>
          <w:rtl/>
        </w:rPr>
        <w:t xml:space="preserve">. </w:t>
      </w:r>
      <w:r>
        <w:rPr>
          <w:rFonts w:hint="cs"/>
          <w:spacing w:val="8"/>
          <w:rtl/>
        </w:rPr>
        <w:t>كما ذكر هذا التـنبيه العـلائيُّ في شرحه لقـواعد الـخادمي، ل9/أ، والـفاداني في (الفوائد الجنية)، 1/204.</w:t>
      </w:r>
    </w:p>
    <w:p w:rsidR="00035BE3" w:rsidRDefault="00035BE3" w:rsidP="00C10469">
      <w:pPr>
        <w:pStyle w:val="a6"/>
        <w:ind w:left="422" w:firstLine="0"/>
        <w:rPr>
          <w:b/>
          <w:bCs/>
          <w:rtl/>
        </w:rPr>
      </w:pPr>
      <w:r>
        <w:rPr>
          <w:rFonts w:hint="cs"/>
          <w:b/>
          <w:bCs/>
          <w:rtl/>
        </w:rPr>
        <w:t xml:space="preserve">والفرق بين الأمور الأصلية والعارضة : </w:t>
      </w:r>
    </w:p>
    <w:p w:rsidR="00035BE3" w:rsidRDefault="00035BE3" w:rsidP="00C10469">
      <w:pPr>
        <w:pStyle w:val="a6"/>
        <w:ind w:left="422" w:firstLine="0"/>
        <w:rPr>
          <w:rtl/>
        </w:rPr>
      </w:pPr>
      <w:r>
        <w:rPr>
          <w:rFonts w:hint="cs"/>
          <w:rtl/>
        </w:rPr>
        <w:t>- أن الأصلية : يكون وجودها في الشيء مقارنًا لوجود هذا الشيء ابتداءً فالأصل : تضمُّنه لها بطبيعته غالبًا؛ كالصحة والحياة والبكارة وسلامة المبيع من العيوب …</w:t>
      </w:r>
    </w:p>
    <w:p w:rsidR="00035BE3" w:rsidRDefault="00035BE3" w:rsidP="00C10469">
      <w:pPr>
        <w:pStyle w:val="a6"/>
        <w:ind w:left="422" w:firstLine="0"/>
        <w:rPr>
          <w:rtl/>
        </w:rPr>
      </w:pPr>
      <w:r>
        <w:rPr>
          <w:rFonts w:hint="cs"/>
          <w:rtl/>
        </w:rPr>
        <w:t>- أما الأمور العارضة : فيكون وجودها في الشيء طارئًا وعارضًا، بمعنى أن الشيء بطبيعته الأصل فيه أنه خالٍ عنها غالبًا؛ كالمرض والموت والعيب وتعلم الصنعة.</w:t>
      </w:r>
    </w:p>
    <w:p w:rsidR="00035BE3" w:rsidRDefault="00035BE3" w:rsidP="00C10469">
      <w:pPr>
        <w:pStyle w:val="a6"/>
        <w:ind w:left="422" w:firstLine="0"/>
        <w:rPr>
          <w:rtl/>
        </w:rPr>
      </w:pPr>
      <w:r>
        <w:rPr>
          <w:rFonts w:hint="cs"/>
          <w:rtl/>
        </w:rPr>
        <w:t>انظر التطرّق لهذه القاعدة مع بيان هذا الفرق في : القواعد الفقهية للزرقا، ص117؛ وأيضًا في : شرح المجلة لسليم رستم، 1/22؛ ولعلي حيدر، 1/23؛ وللأتاسي، 1/27؛ الوجيز، ص122؛ موسـوعة القواعد الفقهية، 2/110؛ القواعد الفقهية الكبرى لشيخنا أ.د. صالح السدلان، ص142-143؛ قواعد الفقه الإسلامي للدكتور الروكي، ص193.</w:t>
      </w:r>
    </w:p>
    <w:p w:rsidR="00035BE3" w:rsidRDefault="00035BE3" w:rsidP="00C10469">
      <w:pPr>
        <w:pStyle w:val="a6"/>
        <w:ind w:left="422" w:firstLine="0"/>
        <w:rPr>
          <w:spacing w:val="6"/>
          <w:rtl/>
        </w:rPr>
      </w:pPr>
      <w:r>
        <w:rPr>
          <w:rFonts w:hint="cs"/>
          <w:spacing w:val="6"/>
          <w:rtl/>
        </w:rPr>
        <w:t xml:space="preserve">كما علَّل بها ابن السبكي في مواضع متعددة من أشباهه، ومن ذلك قوله-1/37-: </w:t>
      </w:r>
      <w:r>
        <w:rPr>
          <w:rFonts w:hint="eastAsia"/>
          <w:spacing w:val="6"/>
          <w:rtl/>
        </w:rPr>
        <w:t>«</w:t>
      </w:r>
      <w:r>
        <w:rPr>
          <w:rFonts w:hint="cs"/>
          <w:spacing w:val="6"/>
          <w:rtl/>
        </w:rPr>
        <w:t>لأن الأصل بقاء الحياة</w:t>
      </w:r>
      <w:r>
        <w:rPr>
          <w:rFonts w:hint="eastAsia"/>
          <w:spacing w:val="6"/>
          <w:rtl/>
        </w:rPr>
        <w:t>»</w:t>
      </w:r>
      <w:r>
        <w:rPr>
          <w:rFonts w:hint="cs"/>
          <w:spacing w:val="6"/>
          <w:rtl/>
        </w:rPr>
        <w:t>.</w:t>
      </w:r>
    </w:p>
    <w:p w:rsidR="00035BE3" w:rsidRDefault="00035BE3" w:rsidP="00C10469">
      <w:pPr>
        <w:pStyle w:val="a6"/>
        <w:ind w:left="422" w:firstLine="0"/>
        <w:rPr>
          <w:spacing w:val="6"/>
          <w:rtl/>
        </w:rPr>
      </w:pPr>
      <w:r>
        <w:rPr>
          <w:rFonts w:hint="cs"/>
          <w:spacing w:val="6"/>
          <w:rtl/>
        </w:rPr>
        <w:t xml:space="preserve">وأيضًا علَّل بها ابن الهمام في (فتح القدير) -6/334- حيث قال : </w:t>
      </w:r>
      <w:r>
        <w:rPr>
          <w:rFonts w:hint="eastAsia"/>
          <w:spacing w:val="6"/>
          <w:rtl/>
        </w:rPr>
        <w:t>«</w:t>
      </w:r>
      <w:r>
        <w:rPr>
          <w:rFonts w:hint="cs"/>
          <w:spacing w:val="6"/>
          <w:rtl/>
        </w:rPr>
        <w:t>والأصل في هذا أن القول لمن تمسَّك بالأصل، وأن العدم في الصفات العارضة أصل، والوجود في الصفات الأصلية أصل</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وأيضًا علَّل بها ابن نجيم في (البحر الرائق) -4/25- حيث قال: </w:t>
      </w:r>
      <w:r>
        <w:rPr>
          <w:rFonts w:hint="eastAsia"/>
          <w:rtl/>
        </w:rPr>
        <w:t>«</w:t>
      </w:r>
      <w:r>
        <w:rPr>
          <w:rFonts w:hint="cs"/>
          <w:rtl/>
        </w:rPr>
        <w:t>… فإن كان الوصف عارضًا : لا يقبل قوله، وإن كان أصلـيًّا : قبل قوله؛ لأن القول قول من يتمسَّك بالأصل</w:t>
      </w:r>
      <w:r>
        <w:rPr>
          <w:rFonts w:hint="eastAsia"/>
          <w:rtl/>
        </w:rPr>
        <w:t>»</w:t>
      </w:r>
      <w:r>
        <w:rPr>
          <w:rFonts w:hint="cs"/>
          <w:rtl/>
        </w:rPr>
        <w:t>.</w:t>
      </w:r>
    </w:p>
  </w:footnote>
  <w:footnote w:id="868">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أن </w:t>
      </w:r>
      <w:r>
        <w:rPr>
          <w:rFonts w:hint="eastAsia"/>
          <w:rtl/>
        </w:rPr>
        <w:t>»</w:t>
      </w:r>
      <w:r>
        <w:rPr>
          <w:rFonts w:hint="cs"/>
          <w:rtl/>
        </w:rPr>
        <w:t>.</w:t>
      </w:r>
    </w:p>
  </w:footnote>
  <w:footnote w:id="869">
    <w:p w:rsidR="00035BE3" w:rsidRDefault="00035BE3" w:rsidP="00C10469">
      <w:pPr>
        <w:pStyle w:val="a8"/>
        <w:bidi/>
        <w:spacing w:line="48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cs"/>
          <w:spacing w:val="8"/>
          <w:rtl/>
        </w:rPr>
        <w:t>وهذا وجه الاختلاف بين هذا المثال والذي قبله، ففي الأَمَة : القول قول البائع، وهنا : القول قول المشتري.</w:t>
      </w:r>
    </w:p>
  </w:footnote>
  <w:footnote w:id="870">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و(هـ) و(و) : </w:t>
      </w:r>
      <w:r>
        <w:rPr>
          <w:rFonts w:hint="eastAsia"/>
          <w:rtl/>
        </w:rPr>
        <w:t>«</w:t>
      </w:r>
      <w:r>
        <w:rPr>
          <w:rFonts w:hint="cs"/>
          <w:rtl/>
        </w:rPr>
        <w:t>الصفات</w:t>
      </w:r>
      <w:r>
        <w:rPr>
          <w:rFonts w:hint="eastAsia"/>
          <w:rtl/>
        </w:rPr>
        <w:t>»</w:t>
      </w:r>
      <w:r>
        <w:rPr>
          <w:rFonts w:hint="cs"/>
          <w:rtl/>
        </w:rPr>
        <w:t>. وهذا الأولى.</w:t>
      </w:r>
    </w:p>
  </w:footnote>
  <w:footnote w:id="871">
    <w:p w:rsidR="00035BE3" w:rsidRDefault="00035BE3" w:rsidP="00C10469">
      <w:pPr>
        <w:pStyle w:val="a8"/>
        <w:bidi/>
        <w:spacing w:line="48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هكذا في (ب) و(و)، وفي باقي النسخ : </w:t>
      </w:r>
      <w:r>
        <w:rPr>
          <w:rFonts w:hint="eastAsia"/>
          <w:spacing w:val="-4"/>
          <w:rtl/>
        </w:rPr>
        <w:t>«</w:t>
      </w:r>
      <w:r>
        <w:rPr>
          <w:rFonts w:hint="cs"/>
          <w:spacing w:val="-4"/>
          <w:rtl/>
        </w:rPr>
        <w:t>العارضية</w:t>
      </w:r>
      <w:r>
        <w:rPr>
          <w:rFonts w:hint="eastAsia"/>
          <w:spacing w:val="-4"/>
          <w:rtl/>
        </w:rPr>
        <w:t>»</w:t>
      </w:r>
      <w:r>
        <w:rPr>
          <w:rFonts w:hint="cs"/>
          <w:spacing w:val="-4"/>
          <w:rtl/>
        </w:rPr>
        <w:t>. والمثبت هو الصحيح، وهو الموافق لأشباه ابن نجيم.</w:t>
      </w:r>
    </w:p>
  </w:footnote>
  <w:footnote w:id="872">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معنى هذا التعليل : أي لكون جنس الخَبْز أو الكتابة، من جنس الصفة العارضة. وبهذا يسلم إفراد الضمير في قوله </w:t>
      </w:r>
      <w:r>
        <w:rPr>
          <w:rFonts w:hint="eastAsia"/>
          <w:rtl/>
        </w:rPr>
        <w:t>«</w:t>
      </w:r>
      <w:r>
        <w:rPr>
          <w:rFonts w:hint="cs"/>
          <w:rtl/>
        </w:rPr>
        <w:t>لكونها</w:t>
      </w:r>
      <w:r>
        <w:rPr>
          <w:rFonts w:hint="eastAsia"/>
          <w:rtl/>
        </w:rPr>
        <w:t>»</w:t>
      </w:r>
      <w:r>
        <w:rPr>
          <w:rFonts w:hint="cs"/>
          <w:rtl/>
        </w:rPr>
        <w:t xml:space="preserve"> وإفراد </w:t>
      </w:r>
      <w:r>
        <w:rPr>
          <w:rFonts w:hint="eastAsia"/>
          <w:rtl/>
        </w:rPr>
        <w:t>«</w:t>
      </w:r>
      <w:r>
        <w:rPr>
          <w:rFonts w:hint="cs"/>
          <w:rtl/>
        </w:rPr>
        <w:t>الصفة</w:t>
      </w:r>
      <w:r>
        <w:rPr>
          <w:rFonts w:hint="eastAsia"/>
          <w:rtl/>
        </w:rPr>
        <w:t>»</w:t>
      </w:r>
      <w:r>
        <w:rPr>
          <w:rFonts w:hint="cs"/>
          <w:rtl/>
        </w:rPr>
        <w:t xml:space="preserve">، يسلمان من الإشكال. علمًا بأنه جاء في مصدر هذه العبارة (وهو أشباه ابن نجيم): </w:t>
      </w:r>
      <w:r>
        <w:rPr>
          <w:rFonts w:hint="eastAsia"/>
          <w:rtl/>
        </w:rPr>
        <w:t>«</w:t>
      </w:r>
      <w:r>
        <w:rPr>
          <w:rFonts w:hint="cs"/>
          <w:rtl/>
        </w:rPr>
        <w:t>لكونهما من الصفات العارضة</w:t>
      </w:r>
      <w:r>
        <w:rPr>
          <w:rFonts w:hint="eastAsia"/>
          <w:rtl/>
        </w:rPr>
        <w:t>»</w:t>
      </w:r>
      <w:r>
        <w:rPr>
          <w:rFonts w:hint="cs"/>
          <w:rtl/>
        </w:rPr>
        <w:t>.</w:t>
      </w:r>
    </w:p>
    <w:p w:rsidR="00035BE3" w:rsidRDefault="00035BE3" w:rsidP="00C10469">
      <w:pPr>
        <w:pStyle w:val="a6"/>
        <w:spacing w:line="480" w:lineRule="exact"/>
        <w:ind w:left="422" w:firstLine="0"/>
        <w:rPr>
          <w:spacing w:val="6"/>
          <w:rtl/>
        </w:rPr>
      </w:pPr>
      <w:r>
        <w:rPr>
          <w:rFonts w:hint="cs"/>
          <w:spacing w:val="6"/>
          <w:rtl/>
        </w:rPr>
        <w:t xml:space="preserve">ونص هذين المثالين في أشباه ابن نجيم - ص84- : </w:t>
      </w:r>
      <w:r>
        <w:rPr>
          <w:rFonts w:hint="eastAsia"/>
          <w:spacing w:val="6"/>
          <w:rtl/>
        </w:rPr>
        <w:t>«</w:t>
      </w:r>
      <w:r>
        <w:rPr>
          <w:rFonts w:hint="cs"/>
          <w:spacing w:val="6"/>
          <w:rtl/>
        </w:rPr>
        <w:t xml:space="preserve">وتفرع على ذلك أنه لو اشتراه على أنـه خباز، أو كاتب، وأنكر وجود ذلك الوصف : فالقول له؛ لأن الأصل عدمهما؛ لكونهما من </w:t>
      </w:r>
      <w:r>
        <w:rPr>
          <w:rFonts w:hint="cs"/>
          <w:b/>
          <w:bCs/>
          <w:spacing w:val="6"/>
          <w:rtl/>
        </w:rPr>
        <w:t>الصفات العارضة</w:t>
      </w:r>
      <w:r>
        <w:rPr>
          <w:rFonts w:hint="cs"/>
          <w:spacing w:val="6"/>
          <w:rtl/>
        </w:rPr>
        <w:t>.</w:t>
      </w:r>
    </w:p>
    <w:p w:rsidR="00035BE3" w:rsidRDefault="00035BE3" w:rsidP="00C10469">
      <w:pPr>
        <w:pStyle w:val="a6"/>
        <w:spacing w:line="480" w:lineRule="exact"/>
        <w:ind w:left="422" w:firstLine="0"/>
        <w:rPr>
          <w:spacing w:val="12"/>
          <w:rtl/>
        </w:rPr>
      </w:pPr>
      <w:r>
        <w:rPr>
          <w:rFonts w:hint="cs"/>
          <w:spacing w:val="12"/>
          <w:rtl/>
        </w:rPr>
        <w:t>ولو اشتراها على أنها بكر، وأنكر قيام البكارة، وادّعاه البائع : فالقول للبائع؛ لأن الأصل وجودها؛ لكونها صفة أصلية. كذا في (فتح القدير) من خيار الشرط</w:t>
      </w:r>
      <w:r>
        <w:rPr>
          <w:rFonts w:hint="eastAsia"/>
          <w:spacing w:val="12"/>
          <w:rtl/>
        </w:rPr>
        <w:t>»</w:t>
      </w:r>
      <w:r>
        <w:rPr>
          <w:rFonts w:hint="cs"/>
          <w:spacing w:val="12"/>
          <w:rtl/>
        </w:rPr>
        <w:t>. والموضع المحال إليه في (فتح القـدير) هو 6/334؛ وانظر شرح العلائي لقواعد الخادمي، ل9/أ؛ منافع الدقائق، ص312.</w:t>
      </w:r>
    </w:p>
  </w:footnote>
  <w:footnote w:id="8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وجه الاختلاف بين هذين المثالين كَوَجْهِ الاختلاف بين الأوَّلين، ففي الثالث : القول قول البكر؛ لأن البكـارة صـفـة أصلـية، فالأصل وجودها، وفي الرابع : القول قول المولى؛ لأن الخَبْزَ صفة عارضة، فالأصل عدمها.</w:t>
      </w:r>
    </w:p>
    <w:p w:rsidR="00035BE3" w:rsidRDefault="00035BE3" w:rsidP="00C10469">
      <w:pPr>
        <w:pStyle w:val="a6"/>
        <w:ind w:left="422" w:firstLine="0"/>
        <w:rPr>
          <w:rtl/>
        </w:rPr>
      </w:pPr>
      <w:r>
        <w:rPr>
          <w:rFonts w:hint="cs"/>
          <w:rtl/>
        </w:rPr>
        <w:t xml:space="preserve">وهذان المثالان مستفادان من أشباه ابن نجيم -ص84- وقد قال عقبهما: </w:t>
      </w:r>
      <w:r>
        <w:rPr>
          <w:rFonts w:hint="eastAsia"/>
          <w:rtl/>
        </w:rPr>
        <w:t>«</w:t>
      </w:r>
      <w:r>
        <w:rPr>
          <w:rFonts w:hint="cs"/>
          <w:rtl/>
        </w:rPr>
        <w:t xml:space="preserve">وتمام تفريعه في شرحنا على (الكـنـز)، في تعليق الطلاق، عند شرح قوله : </w:t>
      </w:r>
      <w:r>
        <w:rPr>
          <w:rFonts w:hint="eastAsia"/>
          <w:rtl/>
        </w:rPr>
        <w:t>«</w:t>
      </w:r>
      <w:r>
        <w:rPr>
          <w:rFonts w:hint="cs"/>
          <w:rtl/>
        </w:rPr>
        <w:t>وإن اختلفنا في وجود الشرط</w:t>
      </w:r>
      <w:r>
        <w:rPr>
          <w:rFonts w:hint="eastAsia"/>
          <w:rtl/>
        </w:rPr>
        <w:t>»»</w:t>
      </w:r>
      <w:r>
        <w:rPr>
          <w:rFonts w:hint="cs"/>
          <w:rtl/>
        </w:rPr>
        <w:t>.</w:t>
      </w:r>
    </w:p>
    <w:p w:rsidR="00035BE3" w:rsidRDefault="00035BE3" w:rsidP="00C10469">
      <w:pPr>
        <w:pStyle w:val="a6"/>
        <w:ind w:left="422" w:firstLine="0"/>
        <w:rPr>
          <w:rtl/>
        </w:rPr>
      </w:pPr>
      <w:r>
        <w:rPr>
          <w:rFonts w:hint="cs"/>
          <w:rtl/>
        </w:rPr>
        <w:t>وبالرجوع إلى هذه الإحالة من (البحر الرائق) تمَّ الوقوف على عدة أمثلة يمكن أن تندرج تحت هذه القاعدة، وقد نـقل فيه -عن الكافي- مثـالين قريـبـيـن من المثال الثالث والرابع إلا أنه خالف في الحكم فجعل القول قول المولى فيهما معًا.</w:t>
      </w:r>
    </w:p>
    <w:p w:rsidR="00035BE3" w:rsidRDefault="00035BE3" w:rsidP="00C10469">
      <w:pPr>
        <w:pStyle w:val="a6"/>
        <w:ind w:left="422" w:firstLine="0"/>
        <w:rPr>
          <w:rtl/>
        </w:rPr>
      </w:pPr>
      <w:r>
        <w:rPr>
          <w:rFonts w:hint="cs"/>
          <w:rtl/>
        </w:rPr>
        <w:t xml:space="preserve">وتمام كلامه -4/26-: </w:t>
      </w:r>
      <w:r>
        <w:rPr>
          <w:rFonts w:hint="eastAsia"/>
          <w:rtl/>
        </w:rPr>
        <w:t>«</w:t>
      </w:r>
      <w:r>
        <w:rPr>
          <w:rFonts w:hint="cs"/>
          <w:rtl/>
        </w:rPr>
        <w:t xml:space="preserve">ولو قال : كلُّ أمة لي بكر أو ثيب ... أو خبّازة أو غير خبازة فهي حرّة. ثم أنكر هذه الأوصاف : </w:t>
      </w:r>
      <w:r>
        <w:rPr>
          <w:rFonts w:hint="cs"/>
          <w:b/>
          <w:bCs/>
          <w:rtl/>
        </w:rPr>
        <w:t>فالقول له</w:t>
      </w:r>
      <w:r>
        <w:rPr>
          <w:rFonts w:hint="cs"/>
          <w:rtl/>
        </w:rPr>
        <w:t>؛ لأنه أوجب العتق بوصف خاص، ثم أنكر وجود ذلك الوصف، فكان القول قوله</w:t>
      </w:r>
      <w:r>
        <w:rPr>
          <w:rFonts w:hint="eastAsia"/>
          <w:rtl/>
        </w:rPr>
        <w:t>»</w:t>
      </w:r>
      <w:r>
        <w:rPr>
          <w:rFonts w:hint="cs"/>
          <w:rtl/>
        </w:rPr>
        <w:t>.</w:t>
      </w:r>
    </w:p>
    <w:p w:rsidR="00035BE3" w:rsidRDefault="00035BE3" w:rsidP="00C10469">
      <w:pPr>
        <w:pStyle w:val="a6"/>
        <w:ind w:left="422" w:firstLine="0"/>
        <w:rPr>
          <w:rtl/>
        </w:rPr>
      </w:pPr>
      <w:r>
        <w:rPr>
          <w:rFonts w:hint="cs"/>
          <w:rtl/>
        </w:rPr>
        <w:t>فهو هنا جعل القول قول المولى وليس البكر مع أنها متمسكة بالأصل وهو بقاء البكارة؛ وذلك لأن إنكاره لهذه الصفة يتضمّن إنكار الإعتاق أصلاً فيكون قد تمسك بأصل آخر وهو عدم الإعتاق، فيستصحب هذا الأصل ويحتج به في عدم إثبات العتق؛ لأن الاستصحاب في الدفع : يُعدُّ حجةً - على ما هو مقرّر عند المتأخرين من الحنفية، وقد سبق بيانه مفصلاً، ص307 (ل10/أ)، قاعدة 22.</w:t>
      </w:r>
    </w:p>
    <w:p w:rsidR="00035BE3" w:rsidRDefault="00035BE3" w:rsidP="00C10469">
      <w:pPr>
        <w:pStyle w:val="a6"/>
        <w:ind w:left="422" w:firstLine="0"/>
        <w:rPr>
          <w:rtl/>
        </w:rPr>
      </w:pPr>
      <w:r>
        <w:rPr>
          <w:rFonts w:hint="cs"/>
          <w:rtl/>
        </w:rPr>
        <w:t xml:space="preserve">وكون إنكار المولى للبكارة : إنكارًا للعتق أصلاً، هذا المعنى صرَّح به أيضًا صاحب (البحر الرائق) - 4/25- حيث جاء فيه نقلاً عن (الكافي): </w:t>
      </w:r>
      <w:r>
        <w:rPr>
          <w:rFonts w:hint="eastAsia"/>
          <w:rtl/>
        </w:rPr>
        <w:t>«</w:t>
      </w:r>
      <w:r>
        <w:rPr>
          <w:rFonts w:hint="cs"/>
          <w:rtl/>
        </w:rPr>
        <w:t>... وإن أوجب العتق بلفظ خاص، ثم أنكر وجود ذلك الوصف : فالقول قوله؛ لأنه ينكر الإعتاق أصلاً ...</w:t>
      </w:r>
      <w:r>
        <w:rPr>
          <w:rFonts w:hint="eastAsia"/>
          <w:rtl/>
        </w:rPr>
        <w:t>»</w:t>
      </w:r>
      <w:r>
        <w:rPr>
          <w:rFonts w:hint="cs"/>
          <w:rtl/>
        </w:rPr>
        <w:t>.</w:t>
      </w:r>
    </w:p>
    <w:p w:rsidR="00035BE3" w:rsidRDefault="00035BE3" w:rsidP="00C10469">
      <w:pPr>
        <w:pStyle w:val="a6"/>
        <w:ind w:left="422" w:firstLine="0"/>
        <w:rPr>
          <w:rtl/>
        </w:rPr>
      </w:pPr>
      <w:r>
        <w:rPr>
          <w:rFonts w:hint="cs"/>
          <w:rtl/>
        </w:rPr>
        <w:t xml:space="preserve">هذا ما يـتعـلق بتوجيه ما جاء في (البـحـر الرائـق). وهو وارد على ما ذكره المؤلف وما جاء قبله في أشباه ابن نجيم أيضًا. </w:t>
      </w:r>
    </w:p>
  </w:footnote>
  <w:footnote w:id="87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كثير من كتب الفقه وقواعده:</w:t>
      </w:r>
    </w:p>
    <w:p w:rsidR="00035BE3" w:rsidRDefault="00035BE3" w:rsidP="00C10469">
      <w:pPr>
        <w:pStyle w:val="a6"/>
        <w:ind w:left="422" w:firstLine="0"/>
        <w:rPr>
          <w:rtl/>
        </w:rPr>
      </w:pPr>
      <w:r>
        <w:rPr>
          <w:rFonts w:hint="cs"/>
          <w:b/>
          <w:bCs/>
          <w:rtl/>
        </w:rPr>
        <w:t>فمن كتب القواعد</w:t>
      </w:r>
      <w:r>
        <w:rPr>
          <w:rFonts w:hint="cs"/>
          <w:rtl/>
        </w:rPr>
        <w:t xml:space="preserve"> : </w:t>
      </w:r>
    </w:p>
    <w:p w:rsidR="00035BE3" w:rsidRDefault="00035BE3" w:rsidP="00C10469">
      <w:pPr>
        <w:pStyle w:val="a6"/>
        <w:ind w:left="422" w:firstLine="0"/>
        <w:rPr>
          <w:rtl/>
        </w:rPr>
      </w:pPr>
      <w:r>
        <w:rPr>
          <w:rFonts w:hint="cs"/>
          <w:rtl/>
        </w:rPr>
        <w:t xml:space="preserve">المنثور في القواعد، 1/174-176- ولفظه : </w:t>
      </w:r>
      <w:r>
        <w:rPr>
          <w:rFonts w:hint="eastAsia"/>
          <w:rtl/>
        </w:rPr>
        <w:t>«</w:t>
      </w:r>
      <w:r>
        <w:rPr>
          <w:rFonts w:hint="cs"/>
          <w:rtl/>
        </w:rPr>
        <w:t>الأصل في كل حادث تقديره بأقرب زمن</w:t>
      </w:r>
      <w:r>
        <w:rPr>
          <w:rFonts w:hint="eastAsia"/>
          <w:rtl/>
        </w:rPr>
        <w:t>»</w:t>
      </w:r>
      <w:r>
        <w:rPr>
          <w:rFonts w:hint="cs"/>
          <w:rtl/>
        </w:rPr>
        <w:t xml:space="preserve">-؛ مختصر من قـواعـد العـلائي وكلام الإسنـوي، 2/629-630- ولفظه مطابق للمنـثـور إلا أنه قال: </w:t>
      </w:r>
      <w:r>
        <w:rPr>
          <w:rFonts w:hint="eastAsia"/>
          <w:rtl/>
        </w:rPr>
        <w:t>«</w:t>
      </w:r>
      <w:r>
        <w:rPr>
          <w:rFonts w:hint="cs"/>
          <w:rtl/>
        </w:rPr>
        <w:t>... زمـان</w:t>
      </w:r>
      <w:r>
        <w:rPr>
          <w:rFonts w:hint="eastAsia"/>
          <w:rtl/>
        </w:rPr>
        <w:t>»</w:t>
      </w:r>
      <w:r>
        <w:rPr>
          <w:rFonts w:hint="cs"/>
          <w:rtl/>
        </w:rPr>
        <w:t>-؛ الأشباه والنظائر للسيوطي، 1/165-166- ولفظه كالمنـثور-؛ وأشباه ابن نجيم، ص84-87؛ وشرحه : غمز عيون البصائر، 1/217-223؛ الفرائد البهية وشرحاها : الأقمار المضيئة، ص88-89؛ والمواهب السنية وحاشيتها : الفوائد الجنية، 1/204-205- ولفظ الفرائد :</w:t>
      </w:r>
    </w:p>
    <w:p w:rsidR="00035BE3" w:rsidRDefault="00035BE3" w:rsidP="00C10469">
      <w:pPr>
        <w:pStyle w:val="a6"/>
        <w:ind w:left="422" w:hanging="425"/>
        <w:jc w:val="center"/>
        <w:rPr>
          <w:b/>
          <w:bCs/>
          <w:rtl/>
        </w:rPr>
      </w:pPr>
      <w:r>
        <w:rPr>
          <w:rFonts w:hint="cs"/>
          <w:b/>
          <w:bCs/>
          <w:rtl/>
        </w:rPr>
        <w:t xml:space="preserve">     والأصـل فـي الـحـادث أن يـقـدرا           بـأقـرب الـزمـان فـيمـا قـررا-؛</w:t>
      </w:r>
    </w:p>
    <w:p w:rsidR="00035BE3" w:rsidRDefault="00035BE3" w:rsidP="00C10469">
      <w:pPr>
        <w:pStyle w:val="a6"/>
        <w:ind w:left="422" w:firstLine="0"/>
        <w:rPr>
          <w:rtl/>
        </w:rPr>
      </w:pPr>
      <w:r>
        <w:rPr>
          <w:rFonts w:hint="cs"/>
          <w:rtl/>
        </w:rPr>
        <w:t xml:space="preserve">الفرائد البهية للحمزاوي، ص74-75، قاعدة 103- ولفظه: </w:t>
      </w:r>
      <w:r>
        <w:rPr>
          <w:rFonts w:hint="eastAsia"/>
          <w:rtl/>
        </w:rPr>
        <w:t>«</w:t>
      </w:r>
      <w:r>
        <w:rPr>
          <w:rFonts w:hint="cs"/>
          <w:rtl/>
        </w:rPr>
        <w:t>الحوادث تضاف إلى أقرب الأوقات</w:t>
      </w:r>
      <w:r>
        <w:rPr>
          <w:rFonts w:hint="eastAsia"/>
          <w:rtl/>
        </w:rPr>
        <w:t>»</w:t>
      </w:r>
      <w:r>
        <w:rPr>
          <w:rFonts w:hint="cs"/>
          <w:rtl/>
        </w:rPr>
        <w:t xml:space="preserve">-؛ مجلة الأحكام العدلية، مادة 11؛ شرحها لسليم رستم، 1/24؛ ولعلي حيدر، 1/25-26؛ وللأتاسي، 1/32-34؛ وشرح قواعدها للزرقا، ص125-131؛ قواعد الفقه للمجدِّدي، ص58، قاعدة 29؛ المدخل الفقهي العـام، 2/970-972، فقرة 579؛ القواعد الفقهية للـدكتور الندوي، ص148، 245، 343، 391 </w:t>
      </w:r>
      <w:r>
        <w:rPr>
          <w:rtl/>
        </w:rPr>
        <w:t>–</w:t>
      </w:r>
      <w:r>
        <w:rPr>
          <w:rFonts w:hint="cs"/>
          <w:rtl/>
        </w:rPr>
        <w:t xml:space="preserve"> وقد أحال في ص 343 إلى شرح الصدر الشهيد لأدب القاضي للخصاف، 2/414، كما أحال في ص391 إلى المجلة ولفظها مطابق للفظ المؤلف-؛ القواعد والضوابط المستخلصة من التحرير، ص147، 486 - ولفظه في الموضعين : </w:t>
      </w:r>
      <w:r>
        <w:rPr>
          <w:rFonts w:hint="eastAsia"/>
          <w:rtl/>
        </w:rPr>
        <w:t>«</w:t>
      </w:r>
      <w:r>
        <w:rPr>
          <w:rFonts w:hint="cs"/>
          <w:rtl/>
        </w:rPr>
        <w:t>الحادث يحال بحدوثه إلى أقرب الأوقات</w:t>
      </w:r>
      <w:r>
        <w:rPr>
          <w:rFonts w:hint="eastAsia"/>
          <w:rtl/>
        </w:rPr>
        <w:t>»</w:t>
      </w:r>
      <w:r>
        <w:rPr>
          <w:rFonts w:hint="cs"/>
          <w:rtl/>
        </w:rPr>
        <w:t>، وأحال في الموضع الثاني إلى سبعة مواضع من التحرير-؛ الوجيز، ص125؛ موسوعة القواعد الفقهية، 1/83، 2/112، كلاهما للدكتور البورنو - وقد ذكر فيهما عدة ألفاظ للقاعدة منها لفظ المؤلف-؛ القواعد الفقهية الكبرى لشيخنا أ.د. صالح السدلان، ص146-152؛ تطبيقات القواعد والضوابط للدكتور الغديان، ص887؛ قواعد الفقه الإسلامي للدكتور الروكي، ص194؛ القواعد الكبرى للدكـتور العجـلان، ص57-58؛ المـبـادئ الفقهية، ص14؛ القواعد الفقهية للدعاس، ص21-22، قاعدة 8؛ وللدكتور الزحيلي، ص52-53.</w:t>
      </w:r>
    </w:p>
    <w:p w:rsidR="00035BE3" w:rsidRDefault="00035BE3" w:rsidP="00C10469">
      <w:pPr>
        <w:pStyle w:val="a6"/>
        <w:ind w:left="422" w:firstLine="0"/>
        <w:rPr>
          <w:rtl/>
        </w:rPr>
      </w:pPr>
      <w:r>
        <w:rPr>
          <w:rFonts w:hint="cs"/>
          <w:b/>
          <w:bCs/>
          <w:rtl/>
        </w:rPr>
        <w:t>ونظرًا لأهميتها وردت في مقام التعليل في كثير من كتب الفقه</w:t>
      </w:r>
      <w:r>
        <w:rPr>
          <w:rFonts w:hint="cs"/>
          <w:rtl/>
        </w:rPr>
        <w:t>، وذلك بلفظ المؤلف أو ألفاظ مقاربة</w:t>
      </w:r>
      <w:r>
        <w:rPr>
          <w:rFonts w:hint="eastAsia"/>
          <w:rtl/>
        </w:rPr>
        <w:t> </w:t>
      </w:r>
      <w:r>
        <w:rPr>
          <w:rFonts w:hint="cs"/>
          <w:rtl/>
        </w:rPr>
        <w:t xml:space="preserve">له، ومن ذلك: </w:t>
      </w:r>
    </w:p>
    <w:p w:rsidR="00035BE3" w:rsidRDefault="00035BE3" w:rsidP="00C10469">
      <w:pPr>
        <w:pStyle w:val="a6"/>
        <w:ind w:left="422" w:firstLine="0"/>
        <w:rPr>
          <w:rtl/>
        </w:rPr>
      </w:pPr>
      <w:r>
        <w:rPr>
          <w:rFonts w:hint="cs"/>
          <w:rtl/>
        </w:rPr>
        <w:t>شرح السير الكبير، 1/357، فقرة 532، و3/967، فقرة 1778، و5/1728، فقرة 3444؛ المبسوط، 14/178، 16/161-162؛ شرح الزيادات لقاضي خان، ص654؛ الهداية وشرحاها: العناية وفتح القدير، 7/339، 340؛ جامع الفصولين، 1/190؛ فتح القدير، 7/362؛ تبيين الحقائق، 4/199-200؛ 6/223؛ الدّرر شرح الغرر، 2/345، 417؛ البحر الرائق، 7/43.</w:t>
      </w:r>
    </w:p>
    <w:p w:rsidR="00035BE3" w:rsidRDefault="00035BE3" w:rsidP="00C10469">
      <w:pPr>
        <w:pStyle w:val="a6"/>
        <w:ind w:left="422" w:firstLine="0"/>
        <w:rPr>
          <w:spacing w:val="10"/>
          <w:rtl/>
        </w:rPr>
      </w:pPr>
      <w:r>
        <w:rPr>
          <w:rFonts w:hint="cs"/>
          <w:b/>
          <w:bCs/>
          <w:spacing w:val="10"/>
          <w:rtl/>
        </w:rPr>
        <w:t>وهذه القاعدة</w:t>
      </w:r>
      <w:r>
        <w:rPr>
          <w:rFonts w:hint="cs"/>
          <w:spacing w:val="10"/>
          <w:rtl/>
        </w:rPr>
        <w:t xml:space="preserve"> : تشبه القاعدة 27، المذكورة ص322 (ل11/أ)، وهي : </w:t>
      </w:r>
      <w:r>
        <w:rPr>
          <w:rFonts w:hint="eastAsia"/>
          <w:spacing w:val="10"/>
          <w:rtl/>
        </w:rPr>
        <w:t>«</w:t>
      </w:r>
      <w:r>
        <w:rPr>
          <w:rFonts w:hint="cs"/>
          <w:spacing w:val="10"/>
          <w:rtl/>
        </w:rPr>
        <w:t>الأصل العدم في الصفات العارضة</w:t>
      </w:r>
      <w:r>
        <w:rPr>
          <w:rFonts w:hint="eastAsia"/>
          <w:spacing w:val="10"/>
          <w:rtl/>
        </w:rPr>
        <w:t>»</w:t>
      </w:r>
      <w:r>
        <w:rPr>
          <w:rFonts w:hint="cs"/>
          <w:spacing w:val="10"/>
          <w:rtl/>
        </w:rPr>
        <w:t xml:space="preserve">، تشبهها من وجه، وتخالفها من وجه. </w:t>
      </w:r>
      <w:r>
        <w:rPr>
          <w:rFonts w:hint="cs"/>
          <w:b/>
          <w:bCs/>
          <w:spacing w:val="10"/>
          <w:rtl/>
        </w:rPr>
        <w:t>ووجه التشابه:</w:t>
      </w:r>
      <w:r>
        <w:rPr>
          <w:rFonts w:hint="cs"/>
          <w:spacing w:val="10"/>
          <w:rtl/>
        </w:rPr>
        <w:t xml:space="preserve"> هو أن الحادث الذي هو موضوع البحث هنا : هو الشيء الذي كان غير موجود ثم وجد، فهو من الصفات العارضة أيضًا. </w:t>
      </w:r>
      <w:r>
        <w:rPr>
          <w:rFonts w:hint="cs"/>
          <w:b/>
          <w:bCs/>
          <w:spacing w:val="10"/>
          <w:rtl/>
        </w:rPr>
        <w:t>ووجه الاختلاف:</w:t>
      </w:r>
      <w:r>
        <w:rPr>
          <w:rFonts w:hint="cs"/>
          <w:spacing w:val="10"/>
          <w:rtl/>
        </w:rPr>
        <w:t xml:space="preserve"> هو أن تلك القاعدة يحتاج إليها عند الاختلاف في ذات الصفة وجودًا وعدمًا. أما الوصف الحادث هنا فهو متفق على وجوده، والاختلاف إنما هو في زمن حدوثه.</w:t>
      </w:r>
    </w:p>
    <w:p w:rsidR="00035BE3" w:rsidRDefault="00035BE3" w:rsidP="00C10469">
      <w:pPr>
        <w:pStyle w:val="a6"/>
        <w:ind w:left="422" w:firstLine="0"/>
        <w:rPr>
          <w:rtl/>
        </w:rPr>
      </w:pPr>
      <w:r>
        <w:rPr>
          <w:rFonts w:hint="cs"/>
          <w:rtl/>
        </w:rPr>
        <w:t xml:space="preserve">فإذا كان القول هناك : قول من ينفيه، فالقول هنا قول من يضيفه إلى أقرب الأوقات إلى الحال. </w:t>
      </w:r>
      <w:r>
        <w:rPr>
          <w:rtl/>
        </w:rPr>
        <w:t>–</w:t>
      </w:r>
      <w:r>
        <w:rPr>
          <w:rFonts w:hint="cs"/>
          <w:rtl/>
        </w:rPr>
        <w:t xml:space="preserve"> انظر : شرح المجلة للأتاسي، 1/32؛ ولعلي حيدر، 1/25-. </w:t>
      </w:r>
    </w:p>
    <w:p w:rsidR="00035BE3" w:rsidRDefault="00035BE3" w:rsidP="00C10469">
      <w:pPr>
        <w:pStyle w:val="a6"/>
        <w:ind w:left="422" w:firstLine="0"/>
        <w:rPr>
          <w:spacing w:val="8"/>
          <w:rtl/>
        </w:rPr>
      </w:pPr>
      <w:r>
        <w:rPr>
          <w:rFonts w:hint="cs"/>
          <w:spacing w:val="8"/>
          <w:rtl/>
        </w:rPr>
        <w:t xml:space="preserve">والوجه في كون </w:t>
      </w:r>
      <w:r>
        <w:rPr>
          <w:rFonts w:hint="eastAsia"/>
          <w:spacing w:val="8"/>
          <w:rtl/>
        </w:rPr>
        <w:t>«</w:t>
      </w:r>
      <w:r>
        <w:rPr>
          <w:rFonts w:hint="cs"/>
          <w:spacing w:val="8"/>
          <w:rtl/>
        </w:rPr>
        <w:t>الأصل إضافة الحادث إلى أقرب أوقاته</w:t>
      </w:r>
      <w:r>
        <w:rPr>
          <w:rFonts w:hint="eastAsia"/>
          <w:spacing w:val="8"/>
          <w:rtl/>
        </w:rPr>
        <w:t>»</w:t>
      </w:r>
      <w:r>
        <w:rPr>
          <w:rFonts w:hint="cs"/>
          <w:spacing w:val="8"/>
          <w:rtl/>
        </w:rPr>
        <w:t xml:space="preserve"> هو : أن الوقت الأقرب قد اتفق الطرفان على وجود الحادث فيه، وانفرد أحدهما بدعوى وجوده قبل ذلك، فعلى هذا المدعي أن يثبت دعواه لهذه الزيادة في الوقت، وإلا فيضاف الحادث إلى الوقت الذي اتفق الطرفان عليه؛ لأنه المتيقن، وما زاد عليه مشكوك فيه و</w:t>
      </w:r>
      <w:r>
        <w:rPr>
          <w:rFonts w:hint="eastAsia"/>
          <w:spacing w:val="8"/>
          <w:rtl/>
        </w:rPr>
        <w:t>«</w:t>
      </w:r>
      <w:r>
        <w:rPr>
          <w:rFonts w:hint="cs"/>
          <w:spacing w:val="8"/>
          <w:rtl/>
        </w:rPr>
        <w:t>اليقين لا يزول بالشك</w:t>
      </w:r>
      <w:r>
        <w:rPr>
          <w:rFonts w:hint="eastAsia"/>
          <w:spacing w:val="8"/>
          <w:rtl/>
        </w:rPr>
        <w:t>»</w:t>
      </w:r>
      <w:r>
        <w:rPr>
          <w:rFonts w:hint="cs"/>
          <w:spacing w:val="8"/>
          <w:rtl/>
        </w:rPr>
        <w:t>.- انظر: شرح القواعد للزرقا، ص125؛ المدخل الفقهي العام، 2/971؛ القواعد الفقهية الكبرى لشيخنا أ.د. صالح السدلان، ص146-.</w:t>
      </w:r>
    </w:p>
  </w:footnote>
  <w:footnote w:id="87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الأشبـاه والنظائر، ص86- إلا أنه قال في أخر المثال: </w:t>
      </w:r>
      <w:r>
        <w:rPr>
          <w:rFonts w:hint="eastAsia"/>
          <w:rtl/>
        </w:rPr>
        <w:t>«</w:t>
      </w:r>
      <w:r>
        <w:rPr>
          <w:rFonts w:hint="cs"/>
          <w:rtl/>
        </w:rPr>
        <w:t>... فالقول لهم</w:t>
      </w:r>
      <w:r>
        <w:rPr>
          <w:rFonts w:hint="eastAsia"/>
          <w:rtl/>
        </w:rPr>
        <w:t>»</w:t>
      </w:r>
      <w:r>
        <w:rPr>
          <w:rFonts w:hint="cs"/>
          <w:rtl/>
        </w:rPr>
        <w:t>-؛ وانظر : الحاوي القدسي، ل98/ب (باب القضاء بالظاهر)؛ الـهـداية وشرحيها : العناية وفتح القدير، 7/340؛ تبيين الحقائق، 4/200؛ الدُّرر شرح الغرر، 2/417؛ البحر الرائق، 7/43.</w:t>
      </w:r>
    </w:p>
  </w:footnote>
  <w:footnote w:id="87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8/ب من (د).</w:t>
      </w:r>
    </w:p>
  </w:footnote>
  <w:footnote w:id="87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وقالت</w:t>
      </w:r>
      <w:r>
        <w:rPr>
          <w:rFonts w:hint="eastAsia"/>
          <w:rtl/>
        </w:rPr>
        <w:t>»</w:t>
      </w:r>
      <w:r>
        <w:rPr>
          <w:rFonts w:hint="cs"/>
          <w:rtl/>
        </w:rPr>
        <w:t xml:space="preserve">. وهذا الموافق لمصدر هذه العبارة (وهو أشباه ابن نجيم)، حيث جاء فيه : </w:t>
      </w:r>
      <w:r>
        <w:rPr>
          <w:rFonts w:hint="eastAsia"/>
          <w:rtl/>
        </w:rPr>
        <w:t>«</w:t>
      </w:r>
      <w:r>
        <w:rPr>
          <w:rFonts w:hint="cs"/>
          <w:rtl/>
        </w:rPr>
        <w:t xml:space="preserve">... </w:t>
      </w:r>
      <w:r>
        <w:rPr>
          <w:rFonts w:hint="cs"/>
          <w:b/>
          <w:bCs/>
          <w:rtl/>
        </w:rPr>
        <w:t>وقالت</w:t>
      </w:r>
      <w:r>
        <w:rPr>
          <w:rFonts w:hint="cs"/>
          <w:rtl/>
        </w:rPr>
        <w:t xml:space="preserve"> الورثة : أسْلمَتْ قبل موته ...</w:t>
      </w:r>
      <w:r>
        <w:rPr>
          <w:rFonts w:hint="eastAsia"/>
          <w:rtl/>
        </w:rPr>
        <w:t>»</w:t>
      </w:r>
      <w:r>
        <w:rPr>
          <w:rFonts w:hint="cs"/>
          <w:rtl/>
        </w:rPr>
        <w:t>.</w:t>
      </w:r>
    </w:p>
  </w:footnote>
  <w:footnote w:id="87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12/أ من (أ).</w:t>
      </w:r>
    </w:p>
  </w:footnote>
  <w:footnote w:id="87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زُفَر</w:t>
      </w:r>
      <w:r>
        <w:rPr>
          <w:rFonts w:hint="cs"/>
          <w:rtl/>
        </w:rPr>
        <w:t xml:space="preserve"> : هو زُفَر بن الهُذيل بن قيس، أبو الهذيل العَنْبَري البصري (110هـ - 158هـ).</w:t>
      </w:r>
    </w:p>
    <w:p w:rsidR="00035BE3" w:rsidRDefault="00035BE3" w:rsidP="00C10469">
      <w:pPr>
        <w:pStyle w:val="a6"/>
        <w:ind w:left="422" w:firstLine="0"/>
        <w:rPr>
          <w:rtl/>
        </w:rPr>
      </w:pPr>
      <w:r>
        <w:rPr>
          <w:rFonts w:hint="cs"/>
          <w:rtl/>
        </w:rPr>
        <w:t>وهو صـاحـب الإمـام أبي حنيفة، وقد خلفه في حلقته بعد موته، وكان الإمام يقول فيه: هو أقيس أصحابي.</w:t>
      </w:r>
    </w:p>
    <w:p w:rsidR="00035BE3" w:rsidRDefault="00035BE3" w:rsidP="00C10469">
      <w:pPr>
        <w:pStyle w:val="a6"/>
        <w:ind w:left="422" w:firstLine="0"/>
        <w:rPr>
          <w:rtl/>
        </w:rPr>
      </w:pPr>
      <w:r>
        <w:rPr>
          <w:rFonts w:hint="cs"/>
          <w:rtl/>
        </w:rPr>
        <w:t>وقد اشتغل أولاً بعلم الحديث، ثم غلب عليه الفقه والقياس.</w:t>
      </w:r>
    </w:p>
    <w:p w:rsidR="00035BE3" w:rsidRDefault="00035BE3" w:rsidP="00C10469">
      <w:pPr>
        <w:pStyle w:val="a6"/>
        <w:ind w:left="422" w:firstLine="0"/>
        <w:rPr>
          <w:rtl/>
        </w:rPr>
      </w:pPr>
      <w:r>
        <w:rPr>
          <w:rFonts w:hint="cs"/>
          <w:rtl/>
        </w:rPr>
        <w:t>وتولى قضاء البصرة، وبها توفي وله ثمان وأربعون سنة.</w:t>
      </w:r>
    </w:p>
    <w:p w:rsidR="00035BE3" w:rsidRDefault="00035BE3" w:rsidP="00C10469">
      <w:pPr>
        <w:pStyle w:val="a6"/>
        <w:ind w:left="422" w:firstLine="0"/>
        <w:rPr>
          <w:rtl/>
        </w:rPr>
      </w:pPr>
      <w:r>
        <w:rPr>
          <w:rFonts w:hint="cs"/>
          <w:rtl/>
        </w:rPr>
        <w:t>من تصانيفه : المقالات (في مقالات الفرق)؛ ومجرّد في الفروع.</w:t>
      </w:r>
    </w:p>
    <w:p w:rsidR="00035BE3" w:rsidRDefault="00035BE3" w:rsidP="00C10469">
      <w:pPr>
        <w:pStyle w:val="a6"/>
        <w:ind w:left="422" w:firstLine="0"/>
        <w:rPr>
          <w:rtl/>
        </w:rPr>
      </w:pPr>
      <w:r>
        <w:rPr>
          <w:rFonts w:hint="cs"/>
          <w:rtl/>
        </w:rPr>
        <w:t>انظر : الجواهر المضيّة، 2/207-209، رقم 596؛ تهذيب الأسماء الواقعة في الهداية والخلاصة، ص104؛ تاج التراجم، 102-103، رقم 113؛ مفتاح السعادة، 2/224-225؛ الطبقات السنية، 3/254-255، رقم 879؛ كشف الظنون، 2/1782؛ الفـوائد البهيـة، ص75-77؛ هدية العـارفين، 1/373؛ الإمام زفر وآراؤه الفقهية، 1/49-102.</w:t>
      </w:r>
    </w:p>
  </w:footnote>
  <w:footnote w:id="88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والنظائـر لابن نجيم، ص85 - مع اختلاف سـبـقت الإشـارة إليه -. </w:t>
      </w:r>
    </w:p>
    <w:p w:rsidR="00035BE3" w:rsidRDefault="00035BE3" w:rsidP="00C10469">
      <w:pPr>
        <w:pStyle w:val="a6"/>
        <w:ind w:left="422" w:firstLine="0"/>
        <w:rPr>
          <w:rtl/>
        </w:rPr>
      </w:pPr>
      <w:r>
        <w:rPr>
          <w:rFonts w:hint="cs"/>
          <w:rtl/>
        </w:rPr>
        <w:t>وممن قال بأن القول للورثة : الإمام أبو حنيفة :</w:t>
      </w:r>
    </w:p>
    <w:p w:rsidR="00035BE3" w:rsidRDefault="00035BE3" w:rsidP="00C10469">
      <w:pPr>
        <w:pStyle w:val="a6"/>
        <w:ind w:left="422" w:firstLine="0"/>
        <w:rPr>
          <w:rtl/>
        </w:rPr>
      </w:pPr>
      <w:r>
        <w:rPr>
          <w:rFonts w:hint="cs"/>
          <w:rtl/>
        </w:rPr>
        <w:t>فقد جاء في (الجامع الصغير) - ص396-:</w:t>
      </w:r>
      <w:r>
        <w:rPr>
          <w:rFonts w:hint="eastAsia"/>
          <w:rtl/>
        </w:rPr>
        <w:t>«</w:t>
      </w:r>
      <w:r>
        <w:rPr>
          <w:rFonts w:hint="cs"/>
          <w:rtl/>
        </w:rPr>
        <w:t>محمد عن يعقوب عن أبي حنيفة (رضي الله عنهم) : في نصرانيٍّ مات، فجاءت امرأته مسلمةً، فقالت : أسلمتُ بعد موته. وقالت الورثة : أسلمَتْ قبل موته: فالقول قول الورثة</w:t>
      </w:r>
      <w:r>
        <w:rPr>
          <w:rFonts w:hint="eastAsia"/>
          <w:rtl/>
        </w:rPr>
        <w:t>»</w:t>
      </w:r>
      <w:r>
        <w:rPr>
          <w:rFonts w:hint="cs"/>
          <w:rtl/>
        </w:rPr>
        <w:t>.</w:t>
      </w:r>
    </w:p>
    <w:p w:rsidR="00035BE3" w:rsidRDefault="00035BE3" w:rsidP="00C10469">
      <w:pPr>
        <w:pStyle w:val="a6"/>
        <w:ind w:left="422" w:firstLine="0"/>
        <w:rPr>
          <w:rtl/>
        </w:rPr>
      </w:pPr>
      <w:r>
        <w:rPr>
          <w:rFonts w:hint="cs"/>
          <w:rtl/>
        </w:rPr>
        <w:t>كما ورد التصريح بأن القول للورثة في : الهداية وشرحيها : العناية وفتح القدير، 7/339؛ الحاوي القدسي، ل98/ب، (باب القضاء بالظاهر)؛ كنز الدقائق وشرحيه : تبيين الحقائق، 4/199؛ والبحر الرائق، 7/43؛ الغرر وشرحه: الدّرر، 2/417؛ شرح المجلة للأتاسي، 1/21 - وقد صرّح الأخير بأن هذا قول الثلاثة [أبي حنيفة وصاحبيه].</w:t>
      </w:r>
    </w:p>
    <w:p w:rsidR="00035BE3" w:rsidRDefault="00035BE3" w:rsidP="00C10469">
      <w:pPr>
        <w:pStyle w:val="a6"/>
        <w:ind w:left="422" w:firstLine="0"/>
        <w:rPr>
          <w:rtl/>
        </w:rPr>
      </w:pPr>
      <w:r>
        <w:rPr>
          <w:rFonts w:hint="cs"/>
          <w:rtl/>
        </w:rPr>
        <w:t>أما القول المنسوب إلى زُفَرْ ، فهو معزوّ إليه أيضًا في الهداية والعناية وفتح القدير، 7/339؛ العناية ونتائج الأفكار، 8/252؛ تبيين الحقائق، 4/199-200؛ البـحر الرائق، 7/43؛ غمز عيون البصائر، 1/219؛ شرح المجلة للأتاسي، 1/21؛ موسوعة القواعد الفقهية، 3/233.</w:t>
      </w:r>
    </w:p>
  </w:footnote>
  <w:footnote w:id="88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في (ب). وفي باقي النسخ : </w:t>
      </w:r>
      <w:r>
        <w:rPr>
          <w:rFonts w:hint="eastAsia"/>
          <w:rtl/>
        </w:rPr>
        <w:t>«</w:t>
      </w:r>
      <w:r>
        <w:rPr>
          <w:rFonts w:hint="cs"/>
          <w:rtl/>
        </w:rPr>
        <w:t>تحكم</w:t>
      </w:r>
      <w:r>
        <w:rPr>
          <w:rFonts w:hint="eastAsia"/>
          <w:rtl/>
        </w:rPr>
        <w:t>»</w:t>
      </w:r>
      <w:r>
        <w:rPr>
          <w:rFonts w:hint="cs"/>
          <w:rtl/>
        </w:rPr>
        <w:t>. والمثبت من (ب) هو الصحيح، وهو الموافق لجميع المصادر المذكورة في نهاية الهامش السابق.</w:t>
      </w:r>
    </w:p>
  </w:footnote>
  <w:footnote w:id="882">
    <w:p w:rsidR="00035BE3" w:rsidRDefault="00035BE3" w:rsidP="00C10469">
      <w:pPr>
        <w:pStyle w:val="a8"/>
        <w:bidi/>
        <w:ind w:left="422" w:right="0" w:hanging="425"/>
        <w:rPr>
          <w:spacing w:val="-6"/>
          <w:rtl/>
        </w:rPr>
      </w:pPr>
      <w:r>
        <w:rPr>
          <w:rFonts w:hint="cs"/>
          <w:vertAlign w:val="superscript"/>
          <w:rtl/>
        </w:rPr>
        <w:t>(</w:t>
      </w:r>
      <w:r>
        <w:rPr>
          <w:rStyle w:val="a7"/>
        </w:rPr>
        <w:footnoteRef/>
      </w:r>
      <w:r>
        <w:rPr>
          <w:rFonts w:hint="cs"/>
          <w:vertAlign w:val="superscript"/>
          <w:rtl/>
        </w:rPr>
        <w:t>)</w:t>
      </w:r>
      <w:r>
        <w:rPr>
          <w:rFonts w:hint="cs"/>
          <w:rtl/>
        </w:rPr>
        <w:t xml:space="preserve">  جميع من ذكروا قولَ زفر - في الهامش قبل السابق- ناقشوه وأوردوا في أثناء المناقشة هذا الأصل، كما ورد في : أشباه ابن نجيم، ص85؛ مجلة الأحكام العدلية، مادة 1683، 1776؛ شرحها للأتـاسـي، 1/20؛ القواعد والضوابط المستخلصة من التحرير، ص484 - وقد أحال إلى التحرير، 4/1254-؛ </w:t>
      </w:r>
      <w:r>
        <w:rPr>
          <w:rFonts w:hint="cs"/>
          <w:spacing w:val="-10"/>
          <w:rtl/>
        </w:rPr>
        <w:t xml:space="preserve">موسوعة القواعد الفقهية، 3/232-233 ولفظ الأخيرين: </w:t>
      </w:r>
      <w:r>
        <w:rPr>
          <w:rFonts w:hint="eastAsia"/>
          <w:spacing w:val="-10"/>
          <w:rtl/>
        </w:rPr>
        <w:t>«</w:t>
      </w:r>
      <w:r>
        <w:rPr>
          <w:rFonts w:hint="cs"/>
          <w:spacing w:val="-10"/>
          <w:rtl/>
        </w:rPr>
        <w:t>تحكيم الحال واجب في كل أمر أشكل في الماضي</w:t>
      </w:r>
      <w:r>
        <w:rPr>
          <w:rFonts w:hint="eastAsia"/>
          <w:spacing w:val="-10"/>
          <w:rtl/>
        </w:rPr>
        <w:t>»</w:t>
      </w:r>
      <w:r>
        <w:rPr>
          <w:rFonts w:hint="cs"/>
          <w:spacing w:val="-10"/>
          <w:rtl/>
        </w:rPr>
        <w:t>.</w:t>
      </w:r>
    </w:p>
    <w:p w:rsidR="00035BE3" w:rsidRDefault="00035BE3" w:rsidP="00C10469">
      <w:pPr>
        <w:pStyle w:val="a6"/>
        <w:ind w:left="422" w:firstLine="0"/>
        <w:rPr>
          <w:rtl/>
        </w:rPr>
      </w:pPr>
      <w:r>
        <w:rPr>
          <w:rFonts w:hint="cs"/>
          <w:rtl/>
        </w:rPr>
        <w:t xml:space="preserve">وسوف يفرد المؤلف هذه القاعدة بلفظ: </w:t>
      </w:r>
      <w:r>
        <w:rPr>
          <w:rFonts w:hint="eastAsia"/>
          <w:rtl/>
        </w:rPr>
        <w:t>«</w:t>
      </w:r>
      <w:r>
        <w:rPr>
          <w:rFonts w:hint="cs"/>
          <w:rtl/>
        </w:rPr>
        <w:t>الحال تدل على ما قبلها</w:t>
      </w:r>
      <w:r>
        <w:rPr>
          <w:rFonts w:hint="eastAsia"/>
          <w:rtl/>
        </w:rPr>
        <w:t>»</w:t>
      </w:r>
      <w:r>
        <w:rPr>
          <w:rFonts w:hint="cs"/>
          <w:rtl/>
        </w:rPr>
        <w:t>، وذلك ص632 (ل45/أ)، قاعدة 110.</w:t>
      </w:r>
    </w:p>
    <w:p w:rsidR="00035BE3" w:rsidRDefault="00035BE3" w:rsidP="00C10469">
      <w:pPr>
        <w:pStyle w:val="a6"/>
        <w:spacing w:line="228" w:lineRule="auto"/>
        <w:ind w:left="420" w:firstLine="0"/>
        <w:rPr>
          <w:rtl/>
        </w:rPr>
      </w:pPr>
      <w:r>
        <w:rPr>
          <w:rFonts w:hint="cs"/>
          <w:rtl/>
        </w:rPr>
        <w:t xml:space="preserve">و </w:t>
      </w:r>
      <w:r>
        <w:rPr>
          <w:rFonts w:hint="eastAsia"/>
          <w:rtl/>
        </w:rPr>
        <w:t>«</w:t>
      </w:r>
      <w:r>
        <w:rPr>
          <w:rFonts w:hint="cs"/>
          <w:b/>
          <w:bCs/>
          <w:rtl/>
        </w:rPr>
        <w:t xml:space="preserve">تحكيم الحال يعني </w:t>
      </w:r>
      <w:r>
        <w:rPr>
          <w:rFonts w:hint="cs"/>
          <w:rtl/>
        </w:rPr>
        <w:t>: جعل الحال الحاضر الموجود أثناء مرافعة الخصمين الدالِّ والشاهدِ لأحد الطرفين : حَكَمًا. [و] هو من قبيل الاستصحاب، ويدعى : (استصحاب الحال في الماضي)، أو (الاستصحاب المقلوب)</w:t>
      </w:r>
      <w:r>
        <w:rPr>
          <w:rFonts w:hint="eastAsia"/>
          <w:rtl/>
        </w:rPr>
        <w:t>»</w:t>
      </w:r>
      <w:r>
        <w:rPr>
          <w:rFonts w:hint="cs"/>
          <w:rtl/>
        </w:rPr>
        <w:t xml:space="preserve"> - قاله علي حيدر في شرحه للمجلة، 15/295-. </w:t>
      </w:r>
    </w:p>
    <w:p w:rsidR="00035BE3" w:rsidRDefault="00035BE3" w:rsidP="00C10469">
      <w:pPr>
        <w:pStyle w:val="a6"/>
        <w:spacing w:line="228" w:lineRule="auto"/>
        <w:ind w:left="420" w:firstLine="0"/>
        <w:rPr>
          <w:rtl/>
        </w:rPr>
      </w:pPr>
      <w:r>
        <w:rPr>
          <w:rFonts w:hint="cs"/>
          <w:rtl/>
        </w:rPr>
        <w:t>ويقاسمه : (استصحاب الماضي للحال).</w:t>
      </w:r>
    </w:p>
    <w:p w:rsidR="00035BE3" w:rsidRDefault="00035BE3" w:rsidP="00C10469">
      <w:pPr>
        <w:pStyle w:val="a6"/>
        <w:spacing w:line="228" w:lineRule="auto"/>
        <w:ind w:left="420" w:firstLine="0"/>
        <w:rPr>
          <w:rtl/>
        </w:rPr>
      </w:pPr>
      <w:r>
        <w:rPr>
          <w:rFonts w:hint="cs"/>
          <w:b/>
          <w:bCs/>
          <w:rtl/>
        </w:rPr>
        <w:t>والفرق بينهما</w:t>
      </w:r>
      <w:r>
        <w:rPr>
          <w:rFonts w:hint="cs"/>
          <w:rtl/>
        </w:rPr>
        <w:t xml:space="preserve">: أن الثاني </w:t>
      </w:r>
      <w:r>
        <w:rPr>
          <w:rFonts w:hint="eastAsia"/>
          <w:rtl/>
        </w:rPr>
        <w:t>«</w:t>
      </w:r>
      <w:r>
        <w:rPr>
          <w:rFonts w:hint="cs"/>
          <w:rtl/>
        </w:rPr>
        <w:t xml:space="preserve">هو الحكم على شيء ببقائه على الحال الذي كان عليه في الزمن السابق، </w:t>
      </w:r>
      <w:r w:rsidRPr="00350FCA">
        <w:rPr>
          <w:rFonts w:hint="cs"/>
          <w:spacing w:val="-4"/>
          <w:rtl/>
        </w:rPr>
        <w:t xml:space="preserve">ما لم يقم دليلٌ على خلافه. ويقال له (استصحاب الماضي بالحال) ... [أما الأول وهو المقلوب فهو] </w:t>
      </w:r>
      <w:r>
        <w:rPr>
          <w:rFonts w:hint="cs"/>
          <w:rtl/>
        </w:rPr>
        <w:t>... اعتبار حالة الشيء في الزمن الحاضر أنها حالة ذلك الشيء في الماضي، ما لم يثبت خلاف ذلك بدليل</w:t>
      </w:r>
      <w:r>
        <w:rPr>
          <w:rFonts w:hint="eastAsia"/>
          <w:rtl/>
        </w:rPr>
        <w:t>»</w:t>
      </w:r>
      <w:r>
        <w:rPr>
          <w:rFonts w:hint="cs"/>
          <w:rtl/>
        </w:rPr>
        <w:t>- قاله علي حيدر أيضًا في شرحه للمجلة، 1/21؛ وانظر : شرحها للأتاسي، 1/20؛ الدّرر البهيّة في إيضاح القواعد الفقهية، ص81-.</w:t>
      </w:r>
    </w:p>
  </w:footnote>
  <w:footnote w:id="883">
    <w:p w:rsidR="00035BE3" w:rsidRDefault="00035BE3" w:rsidP="00C10469">
      <w:pPr>
        <w:pStyle w:val="a8"/>
        <w:bidi/>
        <w:spacing w:line="228" w:lineRule="auto"/>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يشير بهذا إلى مسألة أخرى استُدلَّ فيها بتحكيم الحال - أيضًا- وقد ورد التصريح بهذه المسألة في مجلة الأحكام العدلية، مادة 1776، ونصها : </w:t>
      </w:r>
      <w:r>
        <w:rPr>
          <w:rFonts w:hint="eastAsia"/>
          <w:rtl/>
        </w:rPr>
        <w:t>«</w:t>
      </w:r>
      <w:r>
        <w:rPr>
          <w:rFonts w:hint="cs"/>
          <w:rtl/>
        </w:rPr>
        <w:t xml:space="preserve">إذا انقضت مدَّة إجارة الرَّحى، فادعى المستأجر انقطاع الماء في أثناء مدّة الإجارة، وأراد حطّ ما أصاب مدّة الانقطاع من الأجرة، واختلف في ذلك </w:t>
      </w:r>
      <w:r w:rsidRPr="00350FCA">
        <w:rPr>
          <w:rFonts w:hint="cs"/>
          <w:spacing w:val="-4"/>
          <w:rtl/>
        </w:rPr>
        <w:t>مع المؤجر، ولم تكن هناك بينة ... و .. كان الاختلاف في أصل الانقطاع؛ بأن أنكر المؤجر انقطاع الماء بالكلية: يُحكَّمُ الحالُ الحاضر (أي: يجعل حكمًا)؛ فإذا كان الماء جاريًا وقت الدعوى والخصومة:</w:t>
      </w:r>
      <w:r>
        <w:rPr>
          <w:rFonts w:hint="cs"/>
          <w:rtl/>
        </w:rPr>
        <w:t xml:space="preserve"> فالقول للمؤجر مع اليمين، وإذا كان في ذلك الوقت منقطعًا: فالـقول للمـستأجر مع اليمين</w:t>
      </w:r>
      <w:r>
        <w:rPr>
          <w:rFonts w:hint="eastAsia"/>
          <w:rtl/>
        </w:rPr>
        <w:t>»</w:t>
      </w:r>
      <w:r>
        <w:rPr>
          <w:rFonts w:hint="cs"/>
          <w:rtl/>
        </w:rPr>
        <w:t>. وانظر: فتـح القديـر، 7/340؛ موسوعة القواعد الفقهية، 3/232.</w:t>
      </w:r>
    </w:p>
  </w:footnote>
  <w:footnote w:id="884">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2"/>
          <w:sz w:val="30"/>
          <w:rtl/>
        </w:rPr>
        <w:t xml:space="preserve">في (أ) و(جـ) و(د) : </w:t>
      </w:r>
      <w:r>
        <w:rPr>
          <w:rFonts w:hint="eastAsia"/>
          <w:spacing w:val="2"/>
          <w:sz w:val="30"/>
          <w:rtl/>
        </w:rPr>
        <w:t>«</w:t>
      </w:r>
      <w:r>
        <w:rPr>
          <w:rFonts w:hint="cs"/>
          <w:spacing w:val="2"/>
          <w:sz w:val="30"/>
          <w:rtl/>
        </w:rPr>
        <w:t>تحكم</w:t>
      </w:r>
      <w:r>
        <w:rPr>
          <w:rFonts w:hint="eastAsia"/>
          <w:spacing w:val="2"/>
          <w:sz w:val="30"/>
          <w:rtl/>
        </w:rPr>
        <w:t>»</w:t>
      </w:r>
      <w:r>
        <w:rPr>
          <w:rFonts w:hint="cs"/>
          <w:spacing w:val="2"/>
          <w:sz w:val="30"/>
          <w:rtl/>
        </w:rPr>
        <w:t xml:space="preserve"> والصحيح ما تمَّ إثباته من (ب)، وهو الموافق لكثير من المصادر التي وردت فيها هذه المناقشة.</w:t>
      </w:r>
    </w:p>
  </w:footnote>
  <w:footnote w:id="885">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يشير بهذا إلى قاعدة سبق ذكرها، وهي : </w:t>
      </w:r>
      <w:r>
        <w:rPr>
          <w:rFonts w:hint="eastAsia"/>
          <w:rtl/>
        </w:rPr>
        <w:t>«</w:t>
      </w:r>
      <w:r>
        <w:rPr>
          <w:rFonts w:hint="cs"/>
          <w:rtl/>
        </w:rPr>
        <w:t>الاستصـحاب حجة دافعة لا مـثبتة</w:t>
      </w:r>
      <w:r>
        <w:rPr>
          <w:rFonts w:hint="eastAsia"/>
          <w:rtl/>
        </w:rPr>
        <w:t>»</w:t>
      </w:r>
      <w:r>
        <w:rPr>
          <w:rFonts w:hint="cs"/>
          <w:rtl/>
        </w:rPr>
        <w:t>- وذلـك ص307 (ل10/أ)، قاعدة 22- إلا أنه هنا عبّر عن الاستصحاب بأحد نوعية وهو الاستصحاب المقلوب، فكأنه يقول : الاستصحاب المقلوب يكون تحكيمه معتبرًا للدفع لا للاستحقاق.</w:t>
      </w:r>
    </w:p>
  </w:footnote>
  <w:footnote w:id="886">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9/ب من (جـ).</w:t>
      </w:r>
    </w:p>
  </w:footnote>
  <w:footnote w:id="887">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8/ب من (ب).</w:t>
      </w:r>
    </w:p>
  </w:footnote>
  <w:footnote w:id="888">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وفتح القدير، 7/339-340؛ تبيـين الحقـائـق، 4/200؛ الدّرر شرح الغرر، 2/417؛ البحر الرائق، 7/43؛ شرح المجلة للأتاسي، 1/21-22.</w:t>
      </w:r>
    </w:p>
  </w:footnote>
  <w:footnote w:id="889">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أشباه ابن نجيم) زيادة : </w:t>
      </w:r>
      <w:r>
        <w:rPr>
          <w:rFonts w:hint="eastAsia"/>
          <w:rtl/>
        </w:rPr>
        <w:t>«</w:t>
      </w:r>
      <w:r>
        <w:rPr>
          <w:rFonts w:hint="cs"/>
          <w:rtl/>
        </w:rPr>
        <w:t>لرجل</w:t>
      </w:r>
      <w:r>
        <w:rPr>
          <w:rFonts w:hint="eastAsia"/>
          <w:rtl/>
        </w:rPr>
        <w:t>»</w:t>
      </w:r>
      <w:r>
        <w:rPr>
          <w:rFonts w:hint="cs"/>
          <w:rtl/>
        </w:rPr>
        <w:t>.</w:t>
      </w:r>
    </w:p>
  </w:footnote>
  <w:footnote w:id="890">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 </w:t>
      </w:r>
      <w:r>
        <w:rPr>
          <w:rFonts w:hint="eastAsia"/>
          <w:rtl/>
        </w:rPr>
        <w:t>«</w:t>
      </w:r>
      <w:r>
        <w:rPr>
          <w:rFonts w:hint="cs"/>
          <w:rtl/>
        </w:rPr>
        <w:t>ودفعتُها</w:t>
      </w:r>
      <w:r>
        <w:rPr>
          <w:rFonts w:hint="eastAsia"/>
          <w:rtl/>
        </w:rPr>
        <w:t>»</w:t>
      </w:r>
      <w:r>
        <w:rPr>
          <w:rFonts w:hint="cs"/>
          <w:rtl/>
        </w:rPr>
        <w:t xml:space="preserve">، وفي الجامع الصغير : </w:t>
      </w:r>
      <w:r>
        <w:rPr>
          <w:rFonts w:hint="eastAsia"/>
          <w:rtl/>
        </w:rPr>
        <w:t>«</w:t>
      </w:r>
      <w:r>
        <w:rPr>
          <w:rFonts w:hint="cs"/>
          <w:rtl/>
        </w:rPr>
        <w:t>ودفعت</w:t>
      </w:r>
      <w:r>
        <w:rPr>
          <w:rFonts w:hint="eastAsia"/>
          <w:rtl/>
        </w:rPr>
        <w:t>»</w:t>
      </w:r>
      <w:r>
        <w:rPr>
          <w:rFonts w:hint="cs"/>
          <w:rtl/>
        </w:rPr>
        <w:t>.</w:t>
      </w:r>
    </w:p>
  </w:footnote>
  <w:footnote w:id="891">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دُفعتْ إلى زيد بسبب قضائي بها عليك.</w:t>
      </w:r>
    </w:p>
  </w:footnote>
  <w:footnote w:id="892">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بالقول الثاني قال البعض، والقول الثاني هو أن القول قول الرجل وليس القاضي؛ لأنه أضافه إلى وقت متأخر وهو وقت العزل، والأصل أن يضاف الحكم إلى أقرب أوقاته.</w:t>
      </w:r>
    </w:p>
  </w:footnote>
  <w:footnote w:id="893">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الهاء زيادة من (ب) و(د). وهي لابد منها، وهو الموافق لمصدر هذه العبارة (وهو أشباه ابن نجيم).</w:t>
      </w:r>
    </w:p>
  </w:footnote>
  <w:footnote w:id="89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spacing w:val="4"/>
          <w:sz w:val="30"/>
          <w:rtl/>
        </w:rPr>
        <w:t>السَّرْخَسي</w:t>
      </w:r>
      <w:r>
        <w:rPr>
          <w:rFonts w:hint="cs"/>
          <w:spacing w:val="4"/>
          <w:sz w:val="30"/>
          <w:rtl/>
        </w:rPr>
        <w:t>: هو محمد بن أحمد بن أبي سهل، أبو بكر السَّرْخَسِيّ المشهور عند الحنفية بشمس الأئمة (ت 483هـ).</w:t>
      </w:r>
    </w:p>
    <w:p w:rsidR="00035BE3" w:rsidRDefault="00035BE3" w:rsidP="00C10469">
      <w:pPr>
        <w:pStyle w:val="a6"/>
        <w:ind w:left="422" w:firstLine="0"/>
        <w:rPr>
          <w:rtl/>
        </w:rPr>
      </w:pPr>
      <w:r>
        <w:rPr>
          <w:rFonts w:hint="cs"/>
          <w:rtl/>
        </w:rPr>
        <w:t>كان فقيهًا أصوليَّا مناظرًا متكلمًا.</w:t>
      </w:r>
    </w:p>
    <w:p w:rsidR="00035BE3" w:rsidRDefault="00035BE3" w:rsidP="00C10469">
      <w:pPr>
        <w:pStyle w:val="a6"/>
        <w:ind w:left="422" w:firstLine="0"/>
        <w:rPr>
          <w:rtl/>
        </w:rPr>
      </w:pPr>
      <w:r>
        <w:rPr>
          <w:rFonts w:hint="cs"/>
          <w:rtl/>
        </w:rPr>
        <w:t>وقد شرح عدَّة كتب لمحمد بن الحسن؛ كالجامع الصغير والكبير والسِّير الكبير والزيادات وزيادة الزيادات والكسب، ومن أشهر تصانيفه : المبسوط الذي شرح به الكافي للحاكم الشهيد، وله المحرّر في أصول الفـقه، وتمهيد الفصول في الأصول (وهو المشهور بأصول السَّرْخَسِيّ)، وصفة أشـراط  الساعة وله غير ذلك.</w:t>
      </w:r>
    </w:p>
    <w:p w:rsidR="00035BE3" w:rsidRDefault="00035BE3" w:rsidP="00C10469">
      <w:pPr>
        <w:pStyle w:val="a6"/>
        <w:ind w:left="422" w:firstLine="0"/>
        <w:rPr>
          <w:rtl/>
        </w:rPr>
      </w:pPr>
      <w:r>
        <w:rPr>
          <w:rFonts w:hint="cs"/>
          <w:rtl/>
        </w:rPr>
        <w:t>انظر : الجواهر المضية، 3/78-82، رقم 1219؛ تهذيب الأسماء الواقعة في الهداية والخلاصة، ص165-166؛ تاج التراجم، ص182-185، رقم 205؛ مفتاح السعادة، 2/165-166؛ الفوائد البهية، ص158-159، 242-243؛ هدية العارفين، 2/76.</w:t>
      </w:r>
    </w:p>
  </w:footnote>
  <w:footnote w:id="89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نُسب هذا القول - وهو كون القول للرجل وليس للقاضي - للسَّرْخَسي في أكثر المراجع الآتي ذكرها عند توثيق هذه المسألة، كتبيين الحقائق والعناية وفتح القدير والبحر الرائق وأشباه ابن نجيم.</w:t>
      </w:r>
    </w:p>
    <w:p w:rsidR="00035BE3" w:rsidRDefault="00035BE3" w:rsidP="00C10469">
      <w:pPr>
        <w:pStyle w:val="a6"/>
        <w:ind w:left="422" w:firstLine="0"/>
        <w:rPr>
          <w:rtl/>
        </w:rPr>
      </w:pPr>
      <w:r>
        <w:rPr>
          <w:rFonts w:hint="cs"/>
          <w:rtl/>
        </w:rPr>
        <w:t xml:space="preserve">وقد جاء في فتح القدير - 7/362- : التصريح بأن السَّرْخَسيّ قال هذا القول في شرحه للجامع  الصغير، وتمام كلامه : </w:t>
      </w:r>
      <w:r>
        <w:rPr>
          <w:rFonts w:hint="eastAsia"/>
          <w:rtl/>
        </w:rPr>
        <w:t>«</w:t>
      </w:r>
      <w:r>
        <w:rPr>
          <w:rFonts w:hint="cs"/>
          <w:rtl/>
        </w:rPr>
        <w:t>... واحترز بقوله (هو الصحيح) عمّا قال شمس الأئمة في شرحه للجامع الصغير؛ إن القول للمدعي؛ لأن هذا الفعل حادث فيضاف إلى أقرب الأوقات</w:t>
      </w:r>
      <w:r>
        <w:rPr>
          <w:rFonts w:hint="eastAsia"/>
          <w:rtl/>
        </w:rPr>
        <w:t>»</w:t>
      </w:r>
      <w:r>
        <w:rPr>
          <w:rFonts w:hint="cs"/>
          <w:rtl/>
        </w:rPr>
        <w:t>.</w:t>
      </w:r>
    </w:p>
  </w:footnote>
  <w:footnote w:id="89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حاله [بالهاء المهملة] متنافية</w:t>
      </w:r>
      <w:r>
        <w:rPr>
          <w:rFonts w:hint="eastAsia"/>
          <w:rtl/>
        </w:rPr>
        <w:t>»</w:t>
      </w:r>
      <w:r>
        <w:rPr>
          <w:rFonts w:hint="cs"/>
          <w:rtl/>
        </w:rPr>
        <w:t xml:space="preserve">، وفي (جـ) : </w:t>
      </w:r>
      <w:r>
        <w:rPr>
          <w:rFonts w:hint="eastAsia"/>
          <w:rtl/>
        </w:rPr>
        <w:t>«</w:t>
      </w:r>
      <w:r>
        <w:rPr>
          <w:rFonts w:hint="cs"/>
          <w:rtl/>
        </w:rPr>
        <w:t>حالة متنافية</w:t>
      </w:r>
      <w:r>
        <w:rPr>
          <w:rFonts w:hint="eastAsia"/>
          <w:rtl/>
        </w:rPr>
        <w:t>»</w:t>
      </w:r>
      <w:r>
        <w:rPr>
          <w:rFonts w:hint="cs"/>
          <w:rtl/>
        </w:rPr>
        <w:t>. والمُثبت من (ب) و(د) هو الصحيح، وهو الموافق لمصدر هذه العبارة و(هو أشباه ابن نجيم).</w:t>
      </w:r>
    </w:p>
  </w:footnote>
  <w:footnote w:id="89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ص86 - وفي طبعة دار الفكر، ص72-، مع اختلاف سبقت الإشارة إلى أهمه.</w:t>
      </w:r>
    </w:p>
    <w:p w:rsidR="00035BE3" w:rsidRDefault="00035BE3" w:rsidP="00C10469">
      <w:pPr>
        <w:pStyle w:val="a6"/>
        <w:spacing w:line="440" w:lineRule="exact"/>
        <w:ind w:left="422" w:firstLine="0"/>
        <w:rPr>
          <w:spacing w:val="6"/>
          <w:rtl/>
        </w:rPr>
      </w:pPr>
      <w:r>
        <w:rPr>
          <w:rFonts w:hint="cs"/>
          <w:spacing w:val="6"/>
          <w:rtl/>
        </w:rPr>
        <w:t xml:space="preserve">وأصل المسألة مذكور في (الجامع الصغير)، ص400، ونص (الجامع) : </w:t>
      </w:r>
      <w:r>
        <w:rPr>
          <w:rFonts w:hint="eastAsia"/>
          <w:spacing w:val="6"/>
          <w:rtl/>
        </w:rPr>
        <w:t>«</w:t>
      </w:r>
      <w:r>
        <w:rPr>
          <w:rFonts w:hint="cs"/>
          <w:spacing w:val="6"/>
          <w:rtl/>
        </w:rPr>
        <w:t>قاضٍ عُزل، فقال لرجل: أخذت منك ألفًا، ودُفعت إلى فـلان؛ قضيت له بها عليك. فقال الرجل : أخذتها بغير حق : فالقول قول القاضي</w:t>
      </w:r>
      <w:r>
        <w:rPr>
          <w:rFonts w:hint="eastAsia"/>
          <w:spacing w:val="6"/>
          <w:rtl/>
        </w:rPr>
        <w:t>»</w:t>
      </w:r>
      <w:r>
        <w:rPr>
          <w:rFonts w:hint="cs"/>
          <w:spacing w:val="6"/>
          <w:rtl/>
        </w:rPr>
        <w:t>.</w:t>
      </w:r>
    </w:p>
    <w:p w:rsidR="00035BE3" w:rsidRDefault="00035BE3" w:rsidP="00C10469">
      <w:pPr>
        <w:pStyle w:val="a6"/>
        <w:spacing w:line="440" w:lineRule="exact"/>
        <w:ind w:left="422" w:firstLine="0"/>
        <w:rPr>
          <w:rtl/>
        </w:rPr>
      </w:pPr>
      <w:r>
        <w:rPr>
          <w:rFonts w:hint="cs"/>
          <w:rtl/>
        </w:rPr>
        <w:t>وانظر : الهداية والعناية وفتح القدير، 7/360-363؛ الكنز وشرحيه : تبيين الحقائق، 4/205؛ والبحر الرائق، 7/54؛ الدّرر شرح الغرر، 2/420.</w:t>
      </w:r>
    </w:p>
  </w:footnote>
  <w:footnote w:id="898">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ص86- وفي طبعة دار الفكر ص 72- إلا أنه قال: </w:t>
      </w:r>
      <w:r>
        <w:rPr>
          <w:rFonts w:hint="eastAsia"/>
          <w:rtl/>
        </w:rPr>
        <w:t>«</w:t>
      </w:r>
      <w:r>
        <w:rPr>
          <w:rFonts w:hint="cs"/>
          <w:rtl/>
        </w:rPr>
        <w:t xml:space="preserve">... وقال المقر له: </w:t>
      </w:r>
      <w:r>
        <w:rPr>
          <w:rFonts w:hint="cs"/>
          <w:b/>
          <w:bCs/>
          <w:rtl/>
        </w:rPr>
        <w:t>بل</w:t>
      </w:r>
      <w:r>
        <w:rPr>
          <w:rFonts w:hint="cs"/>
          <w:rtl/>
        </w:rPr>
        <w:t xml:space="preserve"> قطعتها...</w:t>
      </w:r>
      <w:r>
        <w:rPr>
          <w:rFonts w:hint="eastAsia"/>
          <w:rtl/>
        </w:rPr>
        <w:t>»</w:t>
      </w:r>
      <w:r>
        <w:rPr>
          <w:rFonts w:hint="cs"/>
          <w:rtl/>
        </w:rPr>
        <w:t>؛ وانظر : البحر الرائق له أيضًا، 7/54.</w:t>
      </w:r>
    </w:p>
  </w:footnote>
  <w:footnote w:id="899">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إذا</w:t>
      </w:r>
      <w:r>
        <w:rPr>
          <w:rFonts w:hint="eastAsia"/>
          <w:rtl/>
        </w:rPr>
        <w:t>»</w:t>
      </w:r>
      <w:r>
        <w:rPr>
          <w:rFonts w:hint="cs"/>
          <w:rtl/>
        </w:rPr>
        <w:t>.</w:t>
      </w:r>
    </w:p>
  </w:footnote>
  <w:footnote w:id="900">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للعبد</w:t>
      </w:r>
      <w:r>
        <w:rPr>
          <w:rFonts w:hint="eastAsia"/>
          <w:rtl/>
        </w:rPr>
        <w:t>»</w:t>
      </w:r>
      <w:r>
        <w:rPr>
          <w:rFonts w:hint="cs"/>
          <w:rtl/>
        </w:rPr>
        <w:t xml:space="preserve">، وفي (جـ) : </w:t>
      </w:r>
      <w:r>
        <w:rPr>
          <w:rFonts w:hint="eastAsia"/>
          <w:rtl/>
        </w:rPr>
        <w:t>«</w:t>
      </w:r>
      <w:r>
        <w:rPr>
          <w:rFonts w:hint="cs"/>
          <w:rtl/>
        </w:rPr>
        <w:t>العبد</w:t>
      </w:r>
      <w:r>
        <w:rPr>
          <w:rFonts w:hint="eastAsia"/>
          <w:rtl/>
        </w:rPr>
        <w:t>»</w:t>
      </w:r>
      <w:r>
        <w:rPr>
          <w:rFonts w:hint="cs"/>
          <w:rtl/>
        </w:rPr>
        <w:t xml:space="preserve">. والصحيح ما تم إثباته من (ب) و(د). علمًا بأنه جاء في مصدر هذه العبارة (وهو أشباه ابن نجيم) : </w:t>
      </w:r>
      <w:r>
        <w:rPr>
          <w:rFonts w:hint="eastAsia"/>
          <w:rtl/>
        </w:rPr>
        <w:t>«</w:t>
      </w:r>
      <w:r>
        <w:rPr>
          <w:rFonts w:hint="cs"/>
          <w:rtl/>
        </w:rPr>
        <w:t>... لعبده - وقد اعتقه - : أخذت ...</w:t>
      </w:r>
      <w:r>
        <w:rPr>
          <w:rFonts w:hint="eastAsia"/>
          <w:rtl/>
        </w:rPr>
        <w:t>»</w:t>
      </w:r>
      <w:r>
        <w:rPr>
          <w:rFonts w:hint="cs"/>
          <w:rtl/>
        </w:rPr>
        <w:t>.</w:t>
      </w:r>
    </w:p>
  </w:footnote>
  <w:footnote w:id="901">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12/ب من (أ).</w:t>
      </w:r>
    </w:p>
  </w:footnote>
  <w:footnote w:id="902">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أشباه ابن نجيم والبحر الرائق : </w:t>
      </w:r>
      <w:r>
        <w:rPr>
          <w:rFonts w:hint="eastAsia"/>
          <w:rtl/>
        </w:rPr>
        <w:t>«</w:t>
      </w:r>
      <w:r>
        <w:rPr>
          <w:rFonts w:hint="cs"/>
          <w:rtl/>
        </w:rPr>
        <w:t>... فقال المعتَق ...</w:t>
      </w:r>
      <w:r>
        <w:rPr>
          <w:rFonts w:hint="eastAsia"/>
          <w:rtl/>
        </w:rPr>
        <w:t>»</w:t>
      </w:r>
      <w:r>
        <w:rPr>
          <w:rFonts w:hint="cs"/>
          <w:rtl/>
        </w:rPr>
        <w:t>.</w:t>
      </w:r>
    </w:p>
  </w:footnote>
  <w:footnote w:id="903">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ص86 - وفي طبعة دار الفكر ص 72 -، مع اختلاف يسير سبقت الإشارة إليه، وانظر: البحر الرائق، 7/54.</w:t>
      </w:r>
    </w:p>
  </w:footnote>
  <w:footnote w:id="904">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أشباه ابن نجيم) : </w:t>
      </w:r>
      <w:r>
        <w:rPr>
          <w:rFonts w:hint="eastAsia"/>
          <w:rtl/>
        </w:rPr>
        <w:t>«</w:t>
      </w:r>
      <w:r>
        <w:rPr>
          <w:rFonts w:hint="cs"/>
          <w:rtl/>
        </w:rPr>
        <w:t>بعد العزل</w:t>
      </w:r>
      <w:r>
        <w:rPr>
          <w:rFonts w:hint="eastAsia"/>
          <w:rtl/>
        </w:rPr>
        <w:t>»</w:t>
      </w:r>
      <w:r>
        <w:rPr>
          <w:rFonts w:hint="cs"/>
          <w:rtl/>
        </w:rPr>
        <w:t>.</w:t>
      </w:r>
    </w:p>
  </w:footnote>
  <w:footnote w:id="905">
    <w:p w:rsidR="00035BE3" w:rsidRPr="00A34781" w:rsidRDefault="00035BE3" w:rsidP="00C10469">
      <w:pPr>
        <w:pStyle w:val="a8"/>
        <w:bidi/>
        <w:spacing w:line="440" w:lineRule="exact"/>
        <w:ind w:left="422" w:right="0" w:hanging="425"/>
        <w:rPr>
          <w:spacing w:val="-6"/>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A34781">
        <w:rPr>
          <w:rFonts w:hint="cs"/>
          <w:spacing w:val="-6"/>
          <w:rtl/>
        </w:rPr>
        <w:t>الأشباه والنظائر لابن نجيم، ص86- مع اختلاف يسير سبقت الإشارة إليه-؛ وانظر: البحر الرائق، 7/54.</w:t>
      </w:r>
    </w:p>
  </w:footnote>
  <w:footnote w:id="90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على مقتضى الأصل</w:t>
      </w:r>
      <w:r>
        <w:rPr>
          <w:rFonts w:hint="eastAsia"/>
          <w:rtl/>
        </w:rPr>
        <w:t>»</w:t>
      </w:r>
      <w:r>
        <w:rPr>
          <w:rFonts w:hint="cs"/>
          <w:rtl/>
        </w:rPr>
        <w:t xml:space="preserve"> المراد به : الشق الثاني من المثال، وهو ما إذا كان المبيع قائمًا. أما الشق الأول (وهو ما إن كان المبيع مستهلكًا) فهو على خلاف الأصل ظاهرًا.</w:t>
      </w:r>
      <w:r>
        <w:rPr>
          <w:rFonts w:hint="eastAsia"/>
          <w:rtl/>
        </w:rPr>
        <w:t xml:space="preserve"> </w:t>
      </w:r>
    </w:p>
  </w:footnote>
  <w:footnote w:id="90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زيادة : </w:t>
      </w:r>
      <w:r>
        <w:rPr>
          <w:rFonts w:hint="eastAsia"/>
          <w:rtl/>
        </w:rPr>
        <w:t>«</w:t>
      </w:r>
      <w:r>
        <w:rPr>
          <w:rFonts w:hint="cs"/>
          <w:rtl/>
        </w:rPr>
        <w:t xml:space="preserve"> أنّ </w:t>
      </w:r>
      <w:r>
        <w:rPr>
          <w:rFonts w:hint="eastAsia"/>
          <w:rtl/>
        </w:rPr>
        <w:t>»</w:t>
      </w:r>
      <w:r>
        <w:rPr>
          <w:rFonts w:hint="cs"/>
          <w:rtl/>
        </w:rPr>
        <w:t>.</w:t>
      </w:r>
    </w:p>
  </w:footnote>
  <w:footnote w:id="90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الحديث عنها استقلالاً، وذلك ص318 (ل10/ب)، قاعدة 26.</w:t>
      </w:r>
    </w:p>
  </w:footnote>
  <w:footnote w:id="90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فلا يضاف</w:t>
      </w:r>
      <w:r>
        <w:rPr>
          <w:rFonts w:hint="eastAsia"/>
          <w:rtl/>
        </w:rPr>
        <w:t>»</w:t>
      </w:r>
      <w:r>
        <w:rPr>
          <w:rFonts w:hint="cs"/>
          <w:rtl/>
        </w:rPr>
        <w:t>. وهذه زيادة مجانبة للصواب.</w:t>
      </w:r>
    </w:p>
  </w:footnote>
  <w:footnote w:id="91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الرجلين</w:t>
      </w:r>
      <w:r>
        <w:rPr>
          <w:rFonts w:hint="eastAsia"/>
          <w:rtl/>
        </w:rPr>
        <w:t>»</w:t>
      </w:r>
      <w:r>
        <w:rPr>
          <w:rFonts w:hint="cs"/>
          <w:rtl/>
        </w:rPr>
        <w:t>. والصحيح هو المُثبت من (ب) و(د)؛ لأن (الرجلان) فاعل مرفوع، وعلامة رفعه الألف؛ لأنه مثنى.</w:t>
      </w:r>
    </w:p>
  </w:footnote>
  <w:footnote w:id="91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9/أ من (د)، وأيضًا نهاية 10/أ من (جـ).</w:t>
      </w:r>
    </w:p>
  </w:footnote>
  <w:footnote w:id="91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العناية) : </w:t>
      </w:r>
      <w:r>
        <w:rPr>
          <w:rFonts w:hint="eastAsia"/>
          <w:rtl/>
        </w:rPr>
        <w:t>«</w:t>
      </w:r>
      <w:r>
        <w:rPr>
          <w:rFonts w:hint="cs"/>
          <w:b/>
          <w:bCs/>
          <w:rtl/>
        </w:rPr>
        <w:t>بثبوتهما</w:t>
      </w:r>
      <w:r>
        <w:rPr>
          <w:rFonts w:hint="eastAsia"/>
          <w:rtl/>
        </w:rPr>
        <w:t>»</w:t>
      </w:r>
      <w:r>
        <w:rPr>
          <w:rFonts w:hint="cs"/>
          <w:rtl/>
        </w:rPr>
        <w:t>، وهذا الأولى؛ لأن المراد : يحكم بثبوت قبضه وشراء غيره في الحال.</w:t>
      </w:r>
    </w:p>
  </w:footnote>
  <w:footnote w:id="91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(ب) و(د). وفي مصدر هذه العبارة (وهو العناية): </w:t>
      </w:r>
      <w:r>
        <w:rPr>
          <w:rFonts w:hint="eastAsia"/>
          <w:rtl/>
        </w:rPr>
        <w:t>«</w:t>
      </w:r>
      <w:r>
        <w:rPr>
          <w:rFonts w:hint="cs"/>
          <w:rtl/>
        </w:rPr>
        <w:t>وقبض القابض مبني على شرائه ومتأخر عنه ظاهرًا ...</w:t>
      </w:r>
      <w:r>
        <w:rPr>
          <w:rFonts w:hint="eastAsia"/>
          <w:rtl/>
        </w:rPr>
        <w:t>»</w:t>
      </w:r>
      <w:r>
        <w:rPr>
          <w:rFonts w:hint="cs"/>
          <w:rtl/>
        </w:rPr>
        <w:t>.</w:t>
      </w:r>
    </w:p>
    <w:p w:rsidR="00035BE3" w:rsidRDefault="00035BE3" w:rsidP="00C10469">
      <w:pPr>
        <w:pStyle w:val="a6"/>
        <w:ind w:left="422" w:firstLine="0"/>
        <w:rPr>
          <w:rtl/>
        </w:rPr>
      </w:pPr>
      <w:r>
        <w:rPr>
          <w:rFonts w:hint="cs"/>
          <w:rtl/>
        </w:rPr>
        <w:t xml:space="preserve">وما تمَّ إثباته يتّفق </w:t>
      </w:r>
      <w:r>
        <w:rPr>
          <w:rtl/>
        </w:rPr>
        <w:t>–</w:t>
      </w:r>
      <w:r>
        <w:rPr>
          <w:rFonts w:hint="cs"/>
          <w:rtl/>
        </w:rPr>
        <w:t>في المعنى- مع ما جاء في (العناية)؛ إذْ كلمة (ومتأخر) فيهما معطوفة على (مرتب)؛ والمعنى : أن القبض مرتّبٌ على شراء، وهذا القبض متأخر عن الشراء.</w:t>
      </w:r>
    </w:p>
    <w:p w:rsidR="00035BE3" w:rsidRDefault="00035BE3" w:rsidP="00C10469">
      <w:pPr>
        <w:pStyle w:val="a6"/>
        <w:ind w:left="422" w:firstLine="0"/>
        <w:rPr>
          <w:rtl/>
        </w:rPr>
      </w:pPr>
      <w:r>
        <w:rPr>
          <w:rFonts w:hint="cs"/>
          <w:rtl/>
        </w:rPr>
        <w:t xml:space="preserve">ولو لم تُثبت (الواو) </w:t>
      </w:r>
      <w:r>
        <w:rPr>
          <w:rtl/>
        </w:rPr>
        <w:t>–</w:t>
      </w:r>
      <w:r>
        <w:rPr>
          <w:rFonts w:hint="cs"/>
          <w:rtl/>
        </w:rPr>
        <w:t xml:space="preserve"> كما في نسختي (ب) و(د) </w:t>
      </w:r>
      <w:r>
        <w:rPr>
          <w:rtl/>
        </w:rPr>
        <w:t>–</w:t>
      </w:r>
      <w:r>
        <w:rPr>
          <w:rFonts w:hint="cs"/>
          <w:rtl/>
        </w:rPr>
        <w:t xml:space="preserve"> لكانت (متأخر) نعتًا لِـ (شراءٍ) وهذا يقلب المعنى! -والله أعلم-.</w:t>
      </w:r>
    </w:p>
  </w:footnote>
  <w:footnote w:id="91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شرائه</w:t>
      </w:r>
      <w:r>
        <w:rPr>
          <w:rFonts w:hint="eastAsia"/>
          <w:rtl/>
        </w:rPr>
        <w:t>»</w:t>
      </w:r>
      <w:r>
        <w:rPr>
          <w:rFonts w:hint="cs"/>
          <w:rtl/>
        </w:rPr>
        <w:t>. ولا شك أن الزيادة في المبنى زيادة في المعنى؛ فالأولى زيادة الضمير ليعلم أن هذا الشراء يقصد به شراء ذي اليد.</w:t>
      </w:r>
    </w:p>
  </w:footnote>
  <w:footnote w:id="91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شراء</w:t>
      </w:r>
      <w:r>
        <w:rPr>
          <w:rFonts w:hint="eastAsia"/>
          <w:rtl/>
        </w:rPr>
        <w:t>»</w:t>
      </w:r>
      <w:r>
        <w:rPr>
          <w:rFonts w:hint="cs"/>
          <w:rtl/>
        </w:rPr>
        <w:t>: ساقطة من (ب).</w:t>
      </w:r>
    </w:p>
  </w:footnote>
  <w:footnote w:id="91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9/أ من (ب).</w:t>
      </w:r>
    </w:p>
  </w:footnote>
  <w:footnote w:id="91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13/أ من (أ).</w:t>
      </w:r>
    </w:p>
  </w:footnote>
  <w:footnote w:id="91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من يمعن النظرَ في هذا الفرع قد يظهر له أنه مخالف للقاعدة؛ لأن مقتضاها : أن يكون القولُ قولَ الآخر؛ لأن شراء الآخر متأخر فيكون وقته أقرب الأوقات إلى الحاضر، وحيث إن </w:t>
      </w:r>
      <w:r>
        <w:rPr>
          <w:rFonts w:hint="eastAsia"/>
          <w:rtl/>
        </w:rPr>
        <w:t>«</w:t>
      </w:r>
      <w:r>
        <w:rPr>
          <w:rFonts w:hint="cs"/>
          <w:rtl/>
        </w:rPr>
        <w:t>الأصل إضافة الحادث إلى أقرب أوقاته</w:t>
      </w:r>
      <w:r>
        <w:rPr>
          <w:rFonts w:hint="eastAsia"/>
          <w:rtl/>
        </w:rPr>
        <w:t>»</w:t>
      </w:r>
      <w:r>
        <w:rPr>
          <w:rFonts w:hint="cs"/>
          <w:rtl/>
        </w:rPr>
        <w:t>: يكون القول قوله (أي الآخر)!.</w:t>
      </w:r>
    </w:p>
    <w:p w:rsidR="00035BE3" w:rsidRDefault="00035BE3" w:rsidP="00C10469">
      <w:pPr>
        <w:pStyle w:val="a6"/>
        <w:ind w:left="422" w:firstLine="0"/>
        <w:rPr>
          <w:rtl/>
        </w:rPr>
      </w:pPr>
      <w:r>
        <w:rPr>
          <w:rFonts w:hint="cs"/>
          <w:rtl/>
        </w:rPr>
        <w:t>ويمكن أن يجاب عن هذا بأن يقال : إن التفريع على القاعدة إنما كان في إثبات قبض ذي اليد وشراء الآخر في الحال؛ لأنه أقرب الأوقات إلى وقت التخاصم.</w:t>
      </w:r>
    </w:p>
    <w:p w:rsidR="00035BE3" w:rsidRDefault="00035BE3" w:rsidP="00C10469">
      <w:pPr>
        <w:pStyle w:val="a6"/>
        <w:ind w:left="422" w:firstLine="0"/>
        <w:rPr>
          <w:rtl/>
        </w:rPr>
      </w:pPr>
      <w:r>
        <w:rPr>
          <w:rFonts w:hint="cs"/>
          <w:rtl/>
        </w:rPr>
        <w:t xml:space="preserve">أما كونه يقضى لذي اليد؛ فلأنه زاد على الآخر بكون العين المتنازع عليها تحت يده، وهي لا تكون تحت اليد إلا إذا تقدمها شراء غالبًا، ويلزم من هذا أن يكون شراء ذي اليد قبل شراء الآخر، فتكون العين له؛ </w:t>
      </w:r>
      <w:r>
        <w:rPr>
          <w:rFonts w:hint="eastAsia"/>
          <w:rtl/>
        </w:rPr>
        <w:t>«</w:t>
      </w:r>
      <w:r>
        <w:rPr>
          <w:rFonts w:hint="cs"/>
          <w:rtl/>
        </w:rPr>
        <w:t>لأنه أثبت الشراء في زمان لا ينازعه فيه أحد</w:t>
      </w:r>
      <w:r>
        <w:rPr>
          <w:rFonts w:hint="eastAsia"/>
          <w:rtl/>
        </w:rPr>
        <w:t>»</w:t>
      </w:r>
      <w:r>
        <w:rPr>
          <w:rFonts w:hint="cs"/>
          <w:rtl/>
        </w:rPr>
        <w:t>- كذا في (العناية)، 8/251-.</w:t>
      </w:r>
    </w:p>
    <w:p w:rsidR="00035BE3" w:rsidRDefault="00035BE3" w:rsidP="00C10469">
      <w:pPr>
        <w:pStyle w:val="a6"/>
        <w:ind w:left="422" w:firstLine="0"/>
        <w:rPr>
          <w:rtl/>
        </w:rPr>
      </w:pPr>
      <w:r>
        <w:rPr>
          <w:rFonts w:hint="cs"/>
          <w:rtl/>
        </w:rPr>
        <w:t xml:space="preserve">ولا يقال : إن </w:t>
      </w:r>
      <w:r>
        <w:rPr>
          <w:rFonts w:hint="eastAsia"/>
          <w:rtl/>
        </w:rPr>
        <w:t>«</w:t>
      </w:r>
      <w:r>
        <w:rPr>
          <w:rFonts w:hint="cs"/>
          <w:rtl/>
        </w:rPr>
        <w:t>الأصل إضافة الحادث إلى أقرب أوقاته</w:t>
      </w:r>
      <w:r>
        <w:rPr>
          <w:rFonts w:hint="eastAsia"/>
          <w:rtl/>
        </w:rPr>
        <w:t>»</w:t>
      </w:r>
      <w:r>
        <w:rPr>
          <w:rFonts w:hint="cs"/>
          <w:rtl/>
        </w:rPr>
        <w:t xml:space="preserve"> وأقرب الأوقات هو وقت شراء المتأخر؛ وذلك لأن الأصل إنما يتمسك به عند عدم البينة، وهنا : ذو اليد لديه بينه على الشراء وزاد عليها القبض الذي يفهم منه تقدم تاريخ شرائه على الآخر والتاريخ المتقدم أولى -والله أعلم-.</w:t>
      </w:r>
    </w:p>
  </w:footnote>
  <w:footnote w:id="91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هذا</w:t>
      </w:r>
      <w:r>
        <w:rPr>
          <w:rFonts w:hint="eastAsia"/>
          <w:rtl/>
        </w:rPr>
        <w:t>»</w:t>
      </w:r>
      <w:r>
        <w:rPr>
          <w:rFonts w:hint="cs"/>
          <w:rtl/>
        </w:rPr>
        <w:t>: يراد به الفرع الأخير. فقد ورد مفصلاً في العناية، 8/249، 252-253؛ وانظر الكتاب للقدوري وشرحه : اللباب، 4/33؛ الدّرر شرح الغرر، 2/345، علمًا بـأن الـمؤلف سـيذكر هذا المثـال، ص788 (ل61/أ-ب)</w:t>
      </w:r>
    </w:p>
  </w:footnote>
  <w:footnote w:id="92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(العناية). ولو قيل : </w:t>
      </w:r>
      <w:r>
        <w:rPr>
          <w:rFonts w:hint="eastAsia"/>
          <w:rtl/>
        </w:rPr>
        <w:t>«</w:t>
      </w:r>
      <w:r>
        <w:rPr>
          <w:rFonts w:hint="cs"/>
          <w:rtl/>
        </w:rPr>
        <w:t>فكانت</w:t>
      </w:r>
      <w:r>
        <w:rPr>
          <w:rFonts w:hint="eastAsia"/>
          <w:rtl/>
        </w:rPr>
        <w:t>»</w:t>
      </w:r>
      <w:r>
        <w:rPr>
          <w:rFonts w:hint="cs"/>
          <w:rtl/>
        </w:rPr>
        <w:t xml:space="preserve"> لكان أفصح.</w:t>
      </w:r>
    </w:p>
  </w:footnote>
  <w:footnote w:id="92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العناية، 8/253 - مع اختلاف يسير-.</w:t>
      </w:r>
    </w:p>
  </w:footnote>
  <w:footnote w:id="9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(الفروق) للكرابيسي، 2/227 بلفظ : </w:t>
      </w:r>
      <w:r>
        <w:rPr>
          <w:rFonts w:hint="eastAsia"/>
          <w:rtl/>
        </w:rPr>
        <w:t>«</w:t>
      </w:r>
      <w:r>
        <w:rPr>
          <w:rFonts w:hint="cs"/>
          <w:rtl/>
        </w:rPr>
        <w:t>... والفرق أن عقد الوكالة يقتضي الخصوص ... وأما المضاربة فمطلقها يقتضي العموم</w:t>
      </w:r>
      <w:r>
        <w:rPr>
          <w:rFonts w:hint="eastAsia"/>
          <w:rtl/>
        </w:rPr>
        <w:t>»</w:t>
      </w:r>
      <w:r>
        <w:rPr>
          <w:rFonts w:hint="cs"/>
          <w:rtl/>
        </w:rPr>
        <w:t xml:space="preserve">؛ وانظر منه : 2/219؛ كما وردت بمعناها -عرضًا - في شرح المجلة لسليم رستم، 1/51؛ شرح القواعد الفقهية للزرقا، 1/391. </w:t>
      </w:r>
    </w:p>
    <w:p w:rsidR="00035BE3" w:rsidRDefault="00035BE3" w:rsidP="00C10469">
      <w:pPr>
        <w:pStyle w:val="a6"/>
        <w:ind w:left="422" w:firstLine="0"/>
        <w:rPr>
          <w:rtl/>
        </w:rPr>
      </w:pPr>
      <w:r>
        <w:rPr>
          <w:rFonts w:hint="cs"/>
          <w:rtl/>
        </w:rPr>
        <w:t>وأيضًا ورد التعليل بها بشقَّيها أو أحدهما في بعض كتب الفقه، منها : الهداية والعناية ونتائج الأفكار، 8/93؛ شرح الوقاية لعبيد الله بن مسعود، 2/100؛ تبيين الحقائق، 4/274؛ الغرر وشرحه الدّرر، 2/290، 318؛ البحر الرائق، 7/172؛ تنوير الأبصار وشرحه : الدر المختار، وحـاشية الشـرح: رد المحتار، 8/262، 11/460 - ولفظ الغرر والتنوير مطابق للفظ المؤلف-.</w:t>
      </w:r>
    </w:p>
    <w:p w:rsidR="00035BE3" w:rsidRDefault="00035BE3" w:rsidP="00C10469">
      <w:pPr>
        <w:pStyle w:val="a6"/>
        <w:ind w:left="422" w:firstLine="0"/>
        <w:rPr>
          <w:rtl/>
        </w:rPr>
      </w:pPr>
      <w:r>
        <w:rPr>
          <w:rFonts w:hint="cs"/>
          <w:rtl/>
        </w:rPr>
        <w:t xml:space="preserve">علمًا بأن الشق الأول منها ورد في (تبيين الحقائق) بلفظ : </w:t>
      </w:r>
      <w:r>
        <w:rPr>
          <w:rFonts w:hint="eastAsia"/>
          <w:rtl/>
        </w:rPr>
        <w:t>«</w:t>
      </w:r>
      <w:r>
        <w:rPr>
          <w:rFonts w:hint="cs"/>
          <w:rtl/>
        </w:rPr>
        <w:t>.. لأن مبنى الوكالة على التقييد</w:t>
      </w:r>
      <w:r>
        <w:rPr>
          <w:rFonts w:hint="eastAsia"/>
          <w:rtl/>
        </w:rPr>
        <w:t>»</w:t>
      </w:r>
      <w:r>
        <w:rPr>
          <w:rFonts w:hint="cs"/>
          <w:rtl/>
        </w:rPr>
        <w:t xml:space="preserve">، كما ورد الشق الثاني فيه وفي (نتائج الأفكار) بلفظ : </w:t>
      </w:r>
      <w:r>
        <w:rPr>
          <w:rFonts w:hint="eastAsia"/>
          <w:rtl/>
        </w:rPr>
        <w:t>«</w:t>
      </w:r>
      <w:r>
        <w:rPr>
          <w:rFonts w:hint="cs"/>
          <w:rtl/>
        </w:rPr>
        <w:t>... الأصل في المضاربة الإطلاق والعموم</w:t>
      </w:r>
      <w:r>
        <w:rPr>
          <w:rFonts w:hint="eastAsia"/>
          <w:rtl/>
        </w:rPr>
        <w:t>»</w:t>
      </w:r>
      <w:r>
        <w:rPr>
          <w:rFonts w:hint="cs"/>
          <w:rtl/>
        </w:rPr>
        <w:t>- إلا أن الثاني قدم العموم على الإطلاق-.</w:t>
      </w:r>
    </w:p>
    <w:p w:rsidR="00035BE3" w:rsidRDefault="00035BE3" w:rsidP="00C10469">
      <w:pPr>
        <w:pStyle w:val="a6"/>
        <w:ind w:left="422" w:firstLine="0"/>
        <w:rPr>
          <w:rtl/>
        </w:rPr>
      </w:pPr>
      <w:r>
        <w:rPr>
          <w:rFonts w:hint="cs"/>
          <w:rtl/>
        </w:rPr>
        <w:t xml:space="preserve">وبالجمع بين هذه الألفاظ يمكن أن تؤول القاعدة إلى أن: </w:t>
      </w:r>
      <w:r>
        <w:rPr>
          <w:rFonts w:hint="eastAsia"/>
          <w:rtl/>
        </w:rPr>
        <w:t>«</w:t>
      </w:r>
      <w:r>
        <w:rPr>
          <w:rFonts w:hint="cs"/>
          <w:rtl/>
        </w:rPr>
        <w:t>الأصل في الوكالة الخصوص والتقييد، وفي المضاربة العموم والإطلاق</w:t>
      </w:r>
      <w:r>
        <w:rPr>
          <w:rFonts w:hint="eastAsia"/>
          <w:rtl/>
        </w:rPr>
        <w:t>»</w:t>
      </w:r>
      <w:r>
        <w:rPr>
          <w:rFonts w:hint="cs"/>
          <w:rtl/>
        </w:rPr>
        <w:t>، ولعل هذا الأولى؛ حتى تنسجم الفروع المذكورة مع القاعدة؛ لأن الوكيل والمضارب هنا إنما يدّعيان الإطلاق لا العموم.</w:t>
      </w:r>
    </w:p>
  </w:footnote>
  <w:footnote w:id="923">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eastAsia"/>
          <w:spacing w:val="-4"/>
          <w:rtl/>
        </w:rPr>
        <w:t>«</w:t>
      </w:r>
      <w:r>
        <w:rPr>
          <w:rFonts w:hint="cs"/>
          <w:b/>
          <w:bCs/>
          <w:spacing w:val="-4"/>
          <w:rtl/>
        </w:rPr>
        <w:t>النَّسيئة والنَّساء في اللغة واصطلاح الفقهاء</w:t>
      </w:r>
      <w:r>
        <w:rPr>
          <w:rFonts w:hint="cs"/>
          <w:spacing w:val="-4"/>
          <w:rtl/>
        </w:rPr>
        <w:t xml:space="preserve"> : يعني التأخير والتأجيل، خلاف النَّقد والتعجيل. من قولهم: نَسَأ الشيء إذا أُخّر</w:t>
      </w:r>
      <w:r>
        <w:rPr>
          <w:rFonts w:hint="eastAsia"/>
          <w:spacing w:val="-4"/>
          <w:rtl/>
        </w:rPr>
        <w:t>»</w:t>
      </w:r>
      <w:r>
        <w:rPr>
          <w:rFonts w:hint="cs"/>
          <w:spacing w:val="-4"/>
          <w:rtl/>
        </w:rPr>
        <w:t xml:space="preserve"> - قاله د. نزيه حمّاد في (معجم المصطلحات الاقتصادية في لغة الفقهاء)، ص337-.</w:t>
      </w:r>
    </w:p>
    <w:p w:rsidR="00035BE3" w:rsidRDefault="00035BE3" w:rsidP="00C10469">
      <w:pPr>
        <w:pStyle w:val="a6"/>
        <w:ind w:left="422" w:firstLine="0"/>
        <w:rPr>
          <w:rtl/>
        </w:rPr>
      </w:pPr>
      <w:r>
        <w:rPr>
          <w:rFonts w:hint="cs"/>
          <w:rtl/>
        </w:rPr>
        <w:t xml:space="preserve">وانظر : القاموس المحيط، مادة </w:t>
      </w:r>
      <w:r>
        <w:rPr>
          <w:rFonts w:hint="eastAsia"/>
          <w:rtl/>
        </w:rPr>
        <w:t>«</w:t>
      </w:r>
      <w:r>
        <w:rPr>
          <w:rFonts w:hint="cs"/>
          <w:rtl/>
        </w:rPr>
        <w:t>نَسَأ</w:t>
      </w:r>
      <w:r>
        <w:rPr>
          <w:rFonts w:hint="eastAsia"/>
          <w:rtl/>
        </w:rPr>
        <w:t>»</w:t>
      </w:r>
      <w:r>
        <w:rPr>
          <w:rFonts w:hint="cs"/>
          <w:rtl/>
        </w:rPr>
        <w:t>، ص68؛ طـلبة الطلبة، ص152؛ النهاية في غريب الحديث والأثر، 5/44-45؛ الدُّر النقي في شرح ألفاظ الخرقي، 2/447، فقرة 934.</w:t>
      </w:r>
    </w:p>
  </w:footnote>
  <w:footnote w:id="9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تمسك</w:t>
      </w:r>
      <w:r>
        <w:rPr>
          <w:rFonts w:hint="eastAsia"/>
          <w:rtl/>
        </w:rPr>
        <w:t>»</w:t>
      </w:r>
      <w:r>
        <w:rPr>
          <w:rFonts w:hint="cs"/>
          <w:rtl/>
        </w:rPr>
        <w:t>.</w:t>
      </w:r>
    </w:p>
  </w:footnote>
  <w:footnote w:id="9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الجامع الصغير لمحمد بن الحسن وشرحه : النافع الكبير، ص409-410؛ وانظر المصادر الفقهية الآنف ذكرها عند توثيق القاعدة.</w:t>
      </w:r>
    </w:p>
  </w:footnote>
  <w:footnote w:id="9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توقَّف</w:t>
      </w:r>
      <w:r>
        <w:rPr>
          <w:rFonts w:hint="eastAsia"/>
          <w:rtl/>
        </w:rPr>
        <w:t>»</w:t>
      </w:r>
      <w:r>
        <w:rPr>
          <w:rFonts w:hint="cs"/>
          <w:rtl/>
        </w:rPr>
        <w:t>. وهو الأولى، وفاقًا لمصدر القاعدة (وهو العناية).</w:t>
      </w:r>
    </w:p>
  </w:footnote>
  <w:footnote w:id="9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5E2AFF">
        <w:rPr>
          <w:rFonts w:hint="cs"/>
          <w:spacing w:val="-4"/>
          <w:rtl/>
        </w:rPr>
        <w:t>هذه القاعدة وجلّ ما جاء في شرحها مستفاد من العناية، 7/60-61، ونص ما في العناية - 7/61-:</w:t>
      </w:r>
      <w:r>
        <w:rPr>
          <w:rFonts w:hint="cs"/>
          <w:rtl/>
        </w:rPr>
        <w:t xml:space="preserve"> </w:t>
      </w:r>
      <w:r>
        <w:rPr>
          <w:rFonts w:hint="eastAsia"/>
          <w:rtl/>
        </w:rPr>
        <w:t>«</w:t>
      </w:r>
      <w:r>
        <w:rPr>
          <w:rFonts w:hint="cs"/>
          <w:rtl/>
        </w:rPr>
        <w:t>الأصل أن كلّ تصرف توقَّف حكمه على شيء : يجب أن يجعل معلقًا بالشرط، لا سببًا من وقت وجوده، لئلا يتـخلف الحكم عن السبب، إلا فيما لا يحتمل التعليق بالشرط</w:t>
      </w:r>
      <w:r>
        <w:rPr>
          <w:rFonts w:hint="eastAsia"/>
          <w:rtl/>
        </w:rPr>
        <w:t>»</w:t>
      </w:r>
      <w:r>
        <w:rPr>
          <w:rFonts w:hint="cs"/>
          <w:rtl/>
        </w:rPr>
        <w:t>.</w:t>
      </w:r>
    </w:p>
    <w:p w:rsidR="00035BE3" w:rsidRDefault="00035BE3" w:rsidP="00C10469">
      <w:pPr>
        <w:pStyle w:val="a6"/>
        <w:ind w:left="422" w:firstLine="0"/>
        <w:rPr>
          <w:rtl/>
        </w:rPr>
      </w:pPr>
      <w:r>
        <w:rPr>
          <w:rFonts w:hint="cs"/>
          <w:rtl/>
        </w:rPr>
        <w:t>وقد سبق تعريف الشرط وبيان أنواعه وصلة الـشـروط اللغوية بالأسبـاب، وذلك ص237 هامش 2.</w:t>
      </w:r>
    </w:p>
    <w:p w:rsidR="00035BE3" w:rsidRDefault="00035BE3" w:rsidP="00C10469">
      <w:pPr>
        <w:pStyle w:val="a6"/>
        <w:ind w:left="422" w:firstLine="0"/>
        <w:rPr>
          <w:rtl/>
        </w:rPr>
      </w:pPr>
      <w:r>
        <w:rPr>
          <w:rFonts w:hint="cs"/>
          <w:b/>
          <w:bCs/>
          <w:rtl/>
        </w:rPr>
        <w:t>وهنا قد يرد تساؤل</w:t>
      </w:r>
      <w:r>
        <w:rPr>
          <w:rFonts w:hint="cs"/>
          <w:rtl/>
        </w:rPr>
        <w:t xml:space="preserve"> : </w:t>
      </w:r>
      <w:r>
        <w:rPr>
          <w:rFonts w:hint="cs"/>
          <w:b/>
          <w:bCs/>
          <w:rtl/>
        </w:rPr>
        <w:t>وهو ما الأمور التي تحتمل التعليق والتي لا تحتمله؟.</w:t>
      </w:r>
    </w:p>
    <w:p w:rsidR="00035BE3" w:rsidRDefault="00035BE3" w:rsidP="00C10469">
      <w:pPr>
        <w:pStyle w:val="a6"/>
        <w:ind w:left="422" w:firstLine="0"/>
        <w:rPr>
          <w:rtl/>
        </w:rPr>
      </w:pPr>
      <w:r>
        <w:rPr>
          <w:rFonts w:hint="cs"/>
          <w:rtl/>
        </w:rPr>
        <w:t xml:space="preserve">وقد أجاب على ذلك القرافي، ورتب كلامه واختصره البقوري، فقال الأخير : </w:t>
      </w:r>
      <w:r>
        <w:rPr>
          <w:rFonts w:hint="eastAsia"/>
          <w:rtl/>
        </w:rPr>
        <w:t>«</w:t>
      </w:r>
      <w:r>
        <w:rPr>
          <w:rFonts w:hint="cs"/>
          <w:rtl/>
        </w:rPr>
        <w:t xml:space="preserve"> القاعدة الرابعة عشرة : في تقرير قبول الشرط والتعليق على الشرط فأقول : </w:t>
      </w:r>
    </w:p>
    <w:p w:rsidR="00035BE3" w:rsidRDefault="00035BE3" w:rsidP="00C10469">
      <w:pPr>
        <w:pStyle w:val="a6"/>
        <w:ind w:left="422" w:firstLine="0"/>
        <w:rPr>
          <w:rtl/>
        </w:rPr>
      </w:pPr>
      <w:r>
        <w:rPr>
          <w:rFonts w:hint="cs"/>
          <w:b/>
          <w:bCs/>
          <w:rtl/>
        </w:rPr>
        <w:t xml:space="preserve">الحقائق في الشريعة أربعة أقسام </w:t>
      </w:r>
      <w:r>
        <w:rPr>
          <w:rFonts w:hint="cs"/>
          <w:rtl/>
        </w:rPr>
        <w:t>:</w:t>
      </w:r>
    </w:p>
    <w:p w:rsidR="00035BE3" w:rsidRDefault="00035BE3" w:rsidP="00C10469">
      <w:pPr>
        <w:pStyle w:val="a6"/>
        <w:ind w:left="422" w:firstLine="0"/>
        <w:rPr>
          <w:rtl/>
        </w:rPr>
      </w:pPr>
      <w:r>
        <w:rPr>
          <w:rFonts w:hint="cs"/>
          <w:rtl/>
        </w:rPr>
        <w:t xml:space="preserve">- </w:t>
      </w:r>
      <w:r>
        <w:rPr>
          <w:rFonts w:hint="cs"/>
          <w:b/>
          <w:bCs/>
          <w:rtl/>
        </w:rPr>
        <w:t>ما يقبل الشرط والتعليق</w:t>
      </w:r>
      <w:r>
        <w:rPr>
          <w:rFonts w:hint="cs"/>
          <w:rtl/>
        </w:rPr>
        <w:t xml:space="preserve">، كالطلاق والعتاق ونحوهما؛ فإنه يجوز أن يقول : إنْ دخلتِ الدار فأنتِ طالق، وأنتَ حرّ. فهذا تعليق. </w:t>
      </w:r>
    </w:p>
    <w:p w:rsidR="00035BE3" w:rsidRDefault="00035BE3" w:rsidP="00C10469">
      <w:pPr>
        <w:pStyle w:val="a6"/>
        <w:ind w:left="422" w:firstLine="0"/>
        <w:rPr>
          <w:rtl/>
        </w:rPr>
      </w:pPr>
      <w:r>
        <w:rPr>
          <w:rFonts w:hint="cs"/>
          <w:rtl/>
        </w:rPr>
        <w:t>ويجوز أن يقول : أنت طالق وعليكِ ألف. أو أنت حر وعليك ألف. فهذا ينفذُ إذا اتفقا عليه.</w:t>
      </w:r>
    </w:p>
    <w:p w:rsidR="00035BE3" w:rsidRDefault="00035BE3" w:rsidP="00C10469">
      <w:pPr>
        <w:pStyle w:val="a6"/>
        <w:ind w:left="422" w:firstLine="0"/>
        <w:rPr>
          <w:rtl/>
        </w:rPr>
      </w:pPr>
      <w:r>
        <w:rPr>
          <w:rFonts w:hint="cs"/>
          <w:b/>
          <w:bCs/>
          <w:rtl/>
        </w:rPr>
        <w:t>- القسم الثاني :</w:t>
      </w:r>
      <w:r>
        <w:rPr>
          <w:rFonts w:hint="cs"/>
          <w:rtl/>
        </w:rPr>
        <w:t xml:space="preserve"> ما لا يقْبلها، كالإيمان بالله تعالى، فلا يجوزُ : أسلَمتُ على أن أشرب الخمر. ولا يصح -أيضًا- إن دخلتُ الدار فأنا كافرٌ ...</w:t>
      </w:r>
    </w:p>
    <w:p w:rsidR="00035BE3" w:rsidRDefault="00035BE3" w:rsidP="00C10469">
      <w:pPr>
        <w:pStyle w:val="a6"/>
        <w:ind w:left="422" w:firstLine="0"/>
        <w:rPr>
          <w:rtl/>
        </w:rPr>
      </w:pPr>
      <w:r>
        <w:rPr>
          <w:rFonts w:hint="cs"/>
          <w:b/>
          <w:bCs/>
          <w:rtl/>
        </w:rPr>
        <w:t>- القسم الثالث</w:t>
      </w:r>
      <w:r>
        <w:rPr>
          <w:rFonts w:hint="cs"/>
          <w:rtl/>
        </w:rPr>
        <w:t xml:space="preserve"> : ما يقبل الشرط دون التعليق، كالبيع والإجارة ونحوهما. فإنه يصح : بعتك على أن تأتيني بالرهن، أو الكفيلُ بالثمن.</w:t>
      </w:r>
    </w:p>
    <w:p w:rsidR="00035BE3" w:rsidRDefault="00035BE3" w:rsidP="00C10469">
      <w:pPr>
        <w:pStyle w:val="a6"/>
        <w:ind w:left="422" w:firstLine="0"/>
        <w:rPr>
          <w:rtl/>
        </w:rPr>
      </w:pPr>
      <w:r>
        <w:rPr>
          <w:rFonts w:hint="cs"/>
          <w:rtl/>
        </w:rPr>
        <w:t>ولا يصح التعليق كأن يقول : إن قدم زيد فقد بعتك، بسبب أن انتقال المِلْك يعتمد الرضى، والرضى إنما يكون مع الجزم، ولا جزم مع التعليق.</w:t>
      </w:r>
    </w:p>
    <w:p w:rsidR="00035BE3" w:rsidRDefault="00035BE3" w:rsidP="00C10469">
      <w:pPr>
        <w:pStyle w:val="a6"/>
        <w:ind w:left="422" w:firstLine="0"/>
        <w:rPr>
          <w:rtl/>
        </w:rPr>
      </w:pPr>
      <w:r>
        <w:rPr>
          <w:rFonts w:hint="cs"/>
          <w:b/>
          <w:bCs/>
          <w:rtl/>
        </w:rPr>
        <w:t>- القسم الرابع</w:t>
      </w:r>
      <w:r>
        <w:rPr>
          <w:rFonts w:hint="cs"/>
          <w:rtl/>
        </w:rPr>
        <w:t xml:space="preserve"> : ما يقبل التعليق دون الشرط، كالصلاة والصوم. فإنه يصح : ان قدم فلان فعليّ صيام شهر. ولا يصح : أَدْخُلُ في الصلاة على ألاّ أسجد، أو ما أشبه ذلك </w:t>
      </w:r>
      <w:r>
        <w:rPr>
          <w:rFonts w:hint="eastAsia"/>
          <w:rtl/>
        </w:rPr>
        <w:t>»</w:t>
      </w:r>
      <w:r>
        <w:rPr>
          <w:rFonts w:hint="cs"/>
          <w:rtl/>
        </w:rPr>
        <w:t>.</w:t>
      </w:r>
    </w:p>
    <w:p w:rsidR="00035BE3" w:rsidRDefault="00035BE3" w:rsidP="00C10469">
      <w:pPr>
        <w:pStyle w:val="a6"/>
        <w:ind w:left="422" w:firstLine="0"/>
        <w:rPr>
          <w:rtl/>
        </w:rPr>
      </w:pPr>
      <w:r>
        <w:rPr>
          <w:rFonts w:hint="cs"/>
          <w:rtl/>
        </w:rPr>
        <w:t>ترتيب الفروق واختصارها، 1/116-117؛ وانظر : أنوار البروق للقرافي، 1/228-229، الفرق 45؛ وانظر أيضًا : البحر الرائق، 6/195، فقد جاء فيه بعض المعاني الآنف نقلها عن البقوري.</w:t>
      </w:r>
    </w:p>
  </w:footnote>
  <w:footnote w:id="9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الفُضولي في اللغة</w:t>
      </w:r>
      <w:r>
        <w:rPr>
          <w:rFonts w:hint="cs"/>
          <w:rtl/>
        </w:rPr>
        <w:t xml:space="preserve"> : جمع الفضل، والفاء والضاد واللام -كما يقول ابن فارس- : </w:t>
      </w:r>
      <w:r>
        <w:rPr>
          <w:rFonts w:hint="eastAsia"/>
          <w:rtl/>
        </w:rPr>
        <w:t>«</w:t>
      </w:r>
      <w:r>
        <w:rPr>
          <w:rFonts w:hint="cs"/>
          <w:rtl/>
        </w:rPr>
        <w:t>أصل صحيح يدلّ على زيادةٍ في شيء</w:t>
      </w:r>
      <w:r>
        <w:rPr>
          <w:rFonts w:hint="eastAsia"/>
          <w:rtl/>
        </w:rPr>
        <w:t>»</w:t>
      </w:r>
      <w:r>
        <w:rPr>
          <w:rFonts w:hint="cs"/>
          <w:rtl/>
        </w:rPr>
        <w:t xml:space="preserve">، ومن ذلك ما جاء في القاموس المحيط : </w:t>
      </w:r>
      <w:r>
        <w:rPr>
          <w:rFonts w:hint="eastAsia"/>
          <w:rtl/>
        </w:rPr>
        <w:t>«</w:t>
      </w:r>
      <w:r>
        <w:rPr>
          <w:rFonts w:hint="cs"/>
          <w:rtl/>
        </w:rPr>
        <w:t>والفُضولي (بالضم) : المشتغل بما لا يعنيه</w:t>
      </w:r>
      <w:r>
        <w:rPr>
          <w:rFonts w:hint="eastAsia"/>
          <w:rtl/>
        </w:rPr>
        <w:t>»</w:t>
      </w:r>
      <w:r>
        <w:rPr>
          <w:rFonts w:hint="cs"/>
          <w:rtl/>
        </w:rPr>
        <w:t>، أي زاد على الأمور التي تعنيه أمورًا أخرى لا تعنيه.</w:t>
      </w:r>
    </w:p>
    <w:p w:rsidR="00035BE3" w:rsidRDefault="00035BE3" w:rsidP="00C10469">
      <w:pPr>
        <w:pStyle w:val="a6"/>
        <w:ind w:left="422" w:firstLine="0"/>
        <w:rPr>
          <w:rtl/>
        </w:rPr>
      </w:pPr>
      <w:r>
        <w:rPr>
          <w:rFonts w:hint="cs"/>
          <w:b/>
          <w:bCs/>
          <w:rtl/>
        </w:rPr>
        <w:t xml:space="preserve">أما في الاصطلاح </w:t>
      </w:r>
      <w:r>
        <w:rPr>
          <w:rFonts w:hint="cs"/>
          <w:rtl/>
        </w:rPr>
        <w:t xml:space="preserve"> : فهو </w:t>
      </w:r>
      <w:r>
        <w:rPr>
          <w:rFonts w:hint="eastAsia"/>
          <w:rtl/>
        </w:rPr>
        <w:t>«</w:t>
      </w:r>
      <w:r>
        <w:rPr>
          <w:rFonts w:hint="cs"/>
          <w:rtl/>
        </w:rPr>
        <w:t>من يتصرف في حقّ غيره بلا إذن شرعي</w:t>
      </w:r>
      <w:r>
        <w:rPr>
          <w:rFonts w:hint="eastAsia"/>
          <w:rtl/>
        </w:rPr>
        <w:t>»</w:t>
      </w:r>
      <w:r>
        <w:rPr>
          <w:rFonts w:hint="cs"/>
          <w:rtl/>
        </w:rPr>
        <w:t xml:space="preserve"> - جاء ذلك في البحر الرائق-</w:t>
      </w:r>
    </w:p>
    <w:p w:rsidR="00035BE3" w:rsidRDefault="00035BE3" w:rsidP="00C10469">
      <w:pPr>
        <w:pStyle w:val="a6"/>
        <w:ind w:left="422" w:firstLine="0"/>
        <w:rPr>
          <w:rtl/>
        </w:rPr>
      </w:pPr>
      <w:r>
        <w:rPr>
          <w:rFonts w:hint="cs"/>
          <w:rtl/>
        </w:rPr>
        <w:t xml:space="preserve">المقاييس في اللـغـة، مـادة </w:t>
      </w:r>
      <w:r>
        <w:rPr>
          <w:rFonts w:hint="eastAsia"/>
          <w:rtl/>
        </w:rPr>
        <w:t>«</w:t>
      </w:r>
      <w:r>
        <w:rPr>
          <w:rFonts w:hint="cs"/>
          <w:rtl/>
        </w:rPr>
        <w:t>فضل</w:t>
      </w:r>
      <w:r>
        <w:rPr>
          <w:rFonts w:hint="eastAsia"/>
          <w:rtl/>
        </w:rPr>
        <w:t>»</w:t>
      </w:r>
      <w:r>
        <w:rPr>
          <w:rFonts w:hint="cs"/>
          <w:rtl/>
        </w:rPr>
        <w:t xml:space="preserve">، ص838؛ القاموس المحيط، مادة </w:t>
      </w:r>
      <w:r>
        <w:rPr>
          <w:rFonts w:hint="eastAsia"/>
          <w:rtl/>
        </w:rPr>
        <w:t>«</w:t>
      </w:r>
      <w:r>
        <w:rPr>
          <w:rFonts w:hint="cs"/>
          <w:rtl/>
        </w:rPr>
        <w:t>فضل</w:t>
      </w:r>
      <w:r>
        <w:rPr>
          <w:rFonts w:hint="eastAsia"/>
          <w:rtl/>
        </w:rPr>
        <w:t>»</w:t>
      </w:r>
      <w:r>
        <w:rPr>
          <w:rFonts w:hint="cs"/>
          <w:rtl/>
        </w:rPr>
        <w:t>، ص1348؛ البحر الرائق، 6/160؛ وانظر : العناية، 7/51؛ مغني المحتاج، 2/5؛ الدُّر المختار وردّ المحتار عليه، 7/311؛ معجم المصطلحات الاقتصادية في لغة الفقهاء، ص269.</w:t>
      </w:r>
    </w:p>
  </w:footnote>
  <w:footnote w:id="9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الزوج</w:t>
      </w:r>
      <w:r>
        <w:rPr>
          <w:rFonts w:hint="eastAsia"/>
          <w:rtl/>
        </w:rPr>
        <w:t>»</w:t>
      </w:r>
      <w:r>
        <w:rPr>
          <w:rFonts w:hint="cs"/>
          <w:rtl/>
        </w:rPr>
        <w:t xml:space="preserve"> بإسقاط الباء. وهذا الأولى.</w:t>
      </w:r>
    </w:p>
  </w:footnote>
  <w:footnote w:id="9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فأجازه</w:t>
      </w:r>
      <w:r>
        <w:rPr>
          <w:rFonts w:hint="eastAsia"/>
          <w:rtl/>
        </w:rPr>
        <w:t>»</w:t>
      </w:r>
      <w:r>
        <w:rPr>
          <w:rFonts w:hint="cs"/>
          <w:rtl/>
        </w:rPr>
        <w:t>.</w:t>
      </w:r>
    </w:p>
  </w:footnote>
  <w:footnote w:id="9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صحّ التفويض من الزوج للفضولي وما يحصل بعد هذا التفويض دون التعليق : أي دون الأمر المعلق بالإجازة المتقدم في وقته عليها، وهو تطليقها لنفسها. وقد صُرّح بذلك في (العناية)، حيث جاء فيها : </w:t>
      </w:r>
      <w:r>
        <w:rPr>
          <w:rFonts w:hint="eastAsia"/>
          <w:rtl/>
        </w:rPr>
        <w:t>«</w:t>
      </w:r>
      <w:r>
        <w:rPr>
          <w:rFonts w:hint="cs"/>
          <w:rtl/>
        </w:rPr>
        <w:t xml:space="preserve">... فأجاز : صح التفويض دون </w:t>
      </w:r>
      <w:r>
        <w:rPr>
          <w:rFonts w:hint="cs"/>
          <w:b/>
          <w:bCs/>
          <w:rtl/>
        </w:rPr>
        <w:t>التطليق</w:t>
      </w:r>
      <w:r>
        <w:rPr>
          <w:rFonts w:hint="eastAsia"/>
          <w:rtl/>
        </w:rPr>
        <w:t>»</w:t>
      </w:r>
      <w:r>
        <w:rPr>
          <w:rFonts w:hint="cs"/>
          <w:rtl/>
        </w:rPr>
        <w:t>.</w:t>
      </w:r>
    </w:p>
  </w:footnote>
  <w:footnote w:id="9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مختصر خليل وشرحه : مواهب الجليل للحطاب، 5/309.</w:t>
      </w:r>
    </w:p>
  </w:footnote>
  <w:footnote w:id="9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في</w:t>
      </w:r>
      <w:r>
        <w:rPr>
          <w:rFonts w:hint="eastAsia"/>
          <w:rtl/>
        </w:rPr>
        <w:t>»</w:t>
      </w:r>
      <w:r>
        <w:rPr>
          <w:rFonts w:hint="cs"/>
          <w:rtl/>
        </w:rPr>
        <w:t>.</w:t>
      </w:r>
    </w:p>
  </w:footnote>
  <w:footnote w:id="9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7/61، مع اختلاف يسير، ومنه قول صاحب العناية في بداية المثال : </w:t>
      </w:r>
      <w:r>
        <w:rPr>
          <w:rFonts w:hint="eastAsia"/>
          <w:rtl/>
        </w:rPr>
        <w:t>«</w:t>
      </w:r>
      <w:r>
        <w:rPr>
          <w:rFonts w:hint="cs"/>
          <w:rtl/>
        </w:rPr>
        <w:t>واعترض ... بالفضولي إذ قال لامرأةٍ : أمرُك بيدك ...</w:t>
      </w:r>
      <w:r>
        <w:rPr>
          <w:rFonts w:hint="eastAsia"/>
          <w:rtl/>
        </w:rPr>
        <w:t>»</w:t>
      </w:r>
      <w:r>
        <w:rPr>
          <w:rFonts w:hint="cs"/>
          <w:rtl/>
        </w:rPr>
        <w:t>، بالإضافة إلى ما سبق ذكره في بعض الهوامش السابقة.</w:t>
      </w:r>
    </w:p>
  </w:footnote>
  <w:footnote w:id="9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13/ب من (أ).</w:t>
      </w:r>
    </w:p>
  </w:footnote>
  <w:footnote w:id="9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توقَّف</w:t>
      </w:r>
      <w:r>
        <w:rPr>
          <w:rFonts w:hint="eastAsia"/>
          <w:rtl/>
        </w:rPr>
        <w:t>»</w:t>
      </w:r>
      <w:r>
        <w:rPr>
          <w:rFonts w:hint="cs"/>
          <w:rtl/>
        </w:rPr>
        <w:t>. وهذا أولى.</w:t>
      </w:r>
    </w:p>
  </w:footnote>
  <w:footnote w:id="9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لا</w:t>
      </w:r>
      <w:r>
        <w:rPr>
          <w:rFonts w:hint="eastAsia"/>
          <w:rtl/>
        </w:rPr>
        <w:t>»</w:t>
      </w:r>
      <w:r>
        <w:rPr>
          <w:rFonts w:hint="cs"/>
          <w:rtl/>
        </w:rPr>
        <w:t xml:space="preserve">، وليس : </w:t>
      </w:r>
      <w:r>
        <w:rPr>
          <w:rFonts w:hint="eastAsia"/>
          <w:rtl/>
        </w:rPr>
        <w:t>«</w:t>
      </w:r>
      <w:r>
        <w:rPr>
          <w:rFonts w:hint="cs"/>
          <w:rtl/>
        </w:rPr>
        <w:t>ممّا</w:t>
      </w:r>
      <w:r>
        <w:rPr>
          <w:rFonts w:hint="eastAsia"/>
          <w:rtl/>
        </w:rPr>
        <w:t>»</w:t>
      </w:r>
      <w:r>
        <w:rPr>
          <w:rFonts w:hint="cs"/>
          <w:rtl/>
        </w:rPr>
        <w:t>. وهذا مجانب للصواب.</w:t>
      </w:r>
    </w:p>
  </w:footnote>
  <w:footnote w:id="9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العناية) : </w:t>
      </w:r>
      <w:r>
        <w:rPr>
          <w:rFonts w:hint="eastAsia"/>
          <w:rtl/>
        </w:rPr>
        <w:t>«</w:t>
      </w:r>
      <w:r>
        <w:rPr>
          <w:rFonts w:hint="cs"/>
          <w:rtl/>
        </w:rPr>
        <w:t>الموجود</w:t>
      </w:r>
      <w:r>
        <w:rPr>
          <w:rFonts w:hint="eastAsia"/>
          <w:rtl/>
        </w:rPr>
        <w:t>»</w:t>
      </w:r>
      <w:r>
        <w:rPr>
          <w:rFonts w:hint="cs"/>
          <w:rtl/>
        </w:rPr>
        <w:t>.</w:t>
      </w:r>
    </w:p>
  </w:footnote>
  <w:footnote w:id="9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10/ب من (جـ).</w:t>
      </w:r>
    </w:p>
  </w:footnote>
  <w:footnote w:id="9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يثبت</w:t>
      </w:r>
      <w:r>
        <w:rPr>
          <w:rFonts w:hint="eastAsia"/>
          <w:rtl/>
        </w:rPr>
        <w:t>»</w:t>
      </w:r>
      <w:r>
        <w:rPr>
          <w:rFonts w:hint="cs"/>
          <w:rtl/>
        </w:rPr>
        <w:t xml:space="preserve"> : ساقطة من (د).</w:t>
      </w:r>
    </w:p>
  </w:footnote>
  <w:footnote w:id="9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من</w:t>
      </w:r>
      <w:r>
        <w:rPr>
          <w:rFonts w:hint="eastAsia"/>
          <w:rtl/>
        </w:rPr>
        <w:t>»</w:t>
      </w:r>
      <w:r>
        <w:rPr>
          <w:rFonts w:hint="cs"/>
          <w:rtl/>
        </w:rPr>
        <w:t xml:space="preserve"> : ساقطة من (ب).</w:t>
      </w:r>
    </w:p>
  </w:footnote>
  <w:footnote w:id="9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7/61 - مع اختلاف يسير سبقت الإشارة إلى أهمه-.</w:t>
      </w:r>
    </w:p>
  </w:footnote>
  <w:footnote w:id="9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ووجه تخلف الحكم عن السبب فيما لو لم يُجز الزوجُ التعليق. وقد عبّر القرافي عن هذا التعليل بقاعدة نصّها : </w:t>
      </w:r>
      <w:r>
        <w:rPr>
          <w:rFonts w:hint="eastAsia"/>
          <w:rtl/>
        </w:rPr>
        <w:t>«</w:t>
      </w:r>
      <w:r>
        <w:rPr>
          <w:rFonts w:hint="cs"/>
          <w:rtl/>
        </w:rPr>
        <w:t>إنّ وجود السبب بكماله بدون آثاره يدل على فساده</w:t>
      </w:r>
      <w:r>
        <w:rPr>
          <w:rFonts w:hint="eastAsia"/>
          <w:rtl/>
        </w:rPr>
        <w:t>»</w:t>
      </w:r>
      <w:r>
        <w:rPr>
          <w:rFonts w:hint="cs"/>
          <w:rtl/>
        </w:rPr>
        <w:t xml:space="preserve">. </w:t>
      </w:r>
    </w:p>
    <w:p w:rsidR="00035BE3" w:rsidRDefault="00035BE3" w:rsidP="00C10469">
      <w:pPr>
        <w:pStyle w:val="a6"/>
        <w:ind w:left="422" w:firstLine="0"/>
        <w:rPr>
          <w:rtl/>
        </w:rPr>
      </w:pPr>
      <w:r>
        <w:rPr>
          <w:rFonts w:hint="cs"/>
          <w:rtl/>
        </w:rPr>
        <w:t>أنوار البروق، 3/242-243، ونقله عنه صاحب تهذيب الفروق، 3/241.</w:t>
      </w:r>
    </w:p>
  </w:footnote>
  <w:footnote w:id="9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تعليق</w:t>
      </w:r>
      <w:r>
        <w:rPr>
          <w:rFonts w:hint="eastAsia"/>
          <w:rtl/>
        </w:rPr>
        <w:t>»</w:t>
      </w:r>
      <w:r>
        <w:rPr>
          <w:rFonts w:hint="cs"/>
          <w:rtl/>
        </w:rPr>
        <w:t>.</w:t>
      </w:r>
    </w:p>
  </w:footnote>
  <w:footnote w:id="9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فحيث إنه ثبت تطليق نفسها قبل وقت التفويض، فلا يصح هذا التطليق؛ لتقدّمه على شرطه.</w:t>
      </w:r>
    </w:p>
  </w:footnote>
  <w:footnote w:id="9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9/ب من (د).</w:t>
      </w:r>
    </w:p>
  </w:footnote>
  <w:footnote w:id="9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البائع</w:t>
      </w:r>
      <w:r>
        <w:rPr>
          <w:rFonts w:hint="eastAsia"/>
          <w:rtl/>
        </w:rPr>
        <w:t>»</w:t>
      </w:r>
      <w:r>
        <w:rPr>
          <w:rFonts w:hint="cs"/>
          <w:rtl/>
        </w:rPr>
        <w:t>.</w:t>
      </w:r>
    </w:p>
  </w:footnote>
  <w:footnote w:id="9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9/ب من (ب).</w:t>
      </w:r>
    </w:p>
  </w:footnote>
  <w:footnote w:id="9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إرثها</w:t>
      </w:r>
      <w:r>
        <w:rPr>
          <w:rFonts w:hint="eastAsia"/>
          <w:rtl/>
        </w:rPr>
        <w:t>»</w:t>
      </w:r>
      <w:r>
        <w:rPr>
          <w:rFonts w:hint="cs"/>
          <w:rtl/>
        </w:rPr>
        <w:t>.</w:t>
      </w:r>
    </w:p>
  </w:footnote>
  <w:footnote w:id="950">
    <w:p w:rsidR="00035BE3" w:rsidRDefault="00035BE3" w:rsidP="00C10469">
      <w:pPr>
        <w:pStyle w:val="a8"/>
        <w:bidi/>
        <w:ind w:left="422" w:right="0"/>
        <w:rPr>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b/>
          <w:bCs/>
          <w:spacing w:val="8"/>
          <w:rtl/>
        </w:rPr>
        <w:t>المراد بالأرش هنا</w:t>
      </w:r>
      <w:r>
        <w:rPr>
          <w:rFonts w:hint="cs"/>
          <w:spacing w:val="8"/>
          <w:rtl/>
        </w:rPr>
        <w:t xml:space="preserve"> : </w:t>
      </w:r>
      <w:r>
        <w:rPr>
          <w:rFonts w:hint="eastAsia"/>
          <w:spacing w:val="8"/>
          <w:rtl/>
        </w:rPr>
        <w:t>«</w:t>
      </w:r>
      <w:r>
        <w:rPr>
          <w:rFonts w:hint="cs"/>
          <w:spacing w:val="8"/>
          <w:rtl/>
        </w:rPr>
        <w:t>الفـرق بـيـن قـيـمـة الـمـبـيـع [وهو العبد هنا] معيبًا، وبين قيمته سليمًا من الثمن</w:t>
      </w:r>
      <w:r>
        <w:rPr>
          <w:rFonts w:hint="eastAsia"/>
          <w:spacing w:val="8"/>
          <w:rtl/>
        </w:rPr>
        <w:t>»</w:t>
      </w:r>
      <w:r>
        <w:rPr>
          <w:rFonts w:hint="cs"/>
          <w:spacing w:val="8"/>
          <w:rtl/>
        </w:rPr>
        <w:t xml:space="preserve"> - قاله صاحب معجم الـمـصـطلحات الاقتصادية في لغة الفقهاء، ص49. </w:t>
      </w:r>
    </w:p>
  </w:footnote>
  <w:footnote w:id="95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 (جـ) : </w:t>
      </w:r>
      <w:r>
        <w:rPr>
          <w:rFonts w:hint="eastAsia"/>
          <w:rtl/>
        </w:rPr>
        <w:t>«</w:t>
      </w:r>
      <w:r>
        <w:rPr>
          <w:rFonts w:hint="cs"/>
          <w:rtl/>
        </w:rPr>
        <w:t>فيكون</w:t>
      </w:r>
      <w:r>
        <w:rPr>
          <w:rFonts w:hint="eastAsia"/>
          <w:rtl/>
        </w:rPr>
        <w:t>»</w:t>
      </w:r>
      <w:r>
        <w:rPr>
          <w:rFonts w:hint="cs"/>
          <w:rtl/>
        </w:rPr>
        <w:t xml:space="preserve">، وفي (د) : </w:t>
      </w:r>
      <w:r>
        <w:rPr>
          <w:rFonts w:hint="eastAsia"/>
          <w:rtl/>
        </w:rPr>
        <w:t>«</w:t>
      </w:r>
      <w:r>
        <w:rPr>
          <w:rFonts w:hint="cs"/>
          <w:rtl/>
        </w:rPr>
        <w:t>يكون</w:t>
      </w:r>
      <w:r>
        <w:rPr>
          <w:rFonts w:hint="eastAsia"/>
          <w:rtl/>
        </w:rPr>
        <w:t>»</w:t>
      </w:r>
      <w:r>
        <w:rPr>
          <w:rFonts w:hint="cs"/>
          <w:rtl/>
        </w:rPr>
        <w:t>. والصحيح ما تمّ إثباته من (ب)، وهو الموافق لمصدر هذه العبارة (وهو العناية).</w:t>
      </w:r>
    </w:p>
  </w:footnote>
  <w:footnote w:id="952">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الإجارة</w:t>
      </w:r>
      <w:r>
        <w:rPr>
          <w:rFonts w:hint="eastAsia"/>
          <w:rtl/>
        </w:rPr>
        <w:t>»</w:t>
      </w:r>
      <w:r>
        <w:rPr>
          <w:rFonts w:hint="cs"/>
          <w:rtl/>
        </w:rPr>
        <w:t xml:space="preserve"> (بالراء المهملة).</w:t>
      </w:r>
    </w:p>
  </w:footnote>
  <w:footnote w:id="95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الإنشاء</w:t>
      </w:r>
      <w:r>
        <w:rPr>
          <w:rFonts w:hint="eastAsia"/>
          <w:rtl/>
        </w:rPr>
        <w:t>»</w:t>
      </w:r>
      <w:r>
        <w:rPr>
          <w:rFonts w:hint="cs"/>
          <w:rtl/>
        </w:rPr>
        <w:t>.</w:t>
      </w:r>
    </w:p>
  </w:footnote>
  <w:footnote w:id="95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إذن</w:t>
      </w:r>
      <w:r>
        <w:rPr>
          <w:rFonts w:hint="eastAsia"/>
          <w:rtl/>
        </w:rPr>
        <w:t>»</w:t>
      </w:r>
      <w:r>
        <w:rPr>
          <w:rFonts w:hint="cs"/>
          <w:rtl/>
        </w:rPr>
        <w:t xml:space="preserve">. والصحيح نصبها كما في باقي النسخ؛ لأن (كون) مصدر (كان)، و(كان) مما يتصرف تصرفًا تامًّا فيحتاج إلى اسم وخبر، فأما اسمه فهو (الإجازة)، و(الإجازة) لها محلان: </w:t>
      </w:r>
      <w:r>
        <w:rPr>
          <w:rFonts w:hint="cs"/>
          <w:b/>
          <w:bCs/>
          <w:rtl/>
        </w:rPr>
        <w:t>أحدهما</w:t>
      </w:r>
      <w:r>
        <w:rPr>
          <w:rFonts w:hint="cs"/>
          <w:rtl/>
        </w:rPr>
        <w:t xml:space="preserve"> : جرّ بالإضافة. </w:t>
      </w:r>
      <w:r>
        <w:rPr>
          <w:rFonts w:hint="cs"/>
          <w:b/>
          <w:bCs/>
          <w:rtl/>
        </w:rPr>
        <w:t xml:space="preserve">والثاني </w:t>
      </w:r>
      <w:r>
        <w:rPr>
          <w:rFonts w:hint="cs"/>
          <w:rtl/>
        </w:rPr>
        <w:t>: رفعٌ على انها الاسم. وأما خبره فقوله: (إذنًا).</w:t>
      </w:r>
    </w:p>
    <w:p w:rsidR="00035BE3" w:rsidRDefault="00035BE3" w:rsidP="00C10469">
      <w:pPr>
        <w:pStyle w:val="a6"/>
        <w:spacing w:line="420" w:lineRule="exact"/>
        <w:ind w:left="422" w:firstLine="0"/>
        <w:rPr>
          <w:rtl/>
        </w:rPr>
      </w:pPr>
      <w:r>
        <w:rPr>
          <w:rFonts w:hint="cs"/>
          <w:rtl/>
        </w:rPr>
        <w:t>انظر : أوضح المسالك وشرحه : عدة السالك، 1/239.</w:t>
      </w:r>
    </w:p>
  </w:footnote>
  <w:footnote w:id="955">
    <w:p w:rsidR="00035BE3" w:rsidRDefault="00035BE3" w:rsidP="00C10469">
      <w:pPr>
        <w:pStyle w:val="a8"/>
        <w:bidi/>
        <w:spacing w:line="42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هذه قاعدة من القواعد التي يكثر التعليل بها في كتب الفقه الحنفي، كما وردت في بعض كتبهم في القواعد :</w:t>
      </w:r>
    </w:p>
    <w:p w:rsidR="00035BE3" w:rsidRDefault="00035BE3" w:rsidP="00C10469">
      <w:pPr>
        <w:pStyle w:val="a6"/>
        <w:spacing w:line="420" w:lineRule="exact"/>
        <w:ind w:left="422" w:firstLine="0"/>
        <w:rPr>
          <w:b/>
          <w:bCs/>
          <w:rtl/>
        </w:rPr>
      </w:pPr>
      <w:r>
        <w:rPr>
          <w:rFonts w:hint="cs"/>
          <w:b/>
          <w:bCs/>
          <w:rtl/>
        </w:rPr>
        <w:t>فمن كتب القواعد :</w:t>
      </w:r>
    </w:p>
    <w:p w:rsidR="00035BE3" w:rsidRDefault="00035BE3" w:rsidP="00C10469">
      <w:pPr>
        <w:pStyle w:val="a6"/>
        <w:spacing w:line="420" w:lineRule="exact"/>
        <w:ind w:left="422" w:firstLine="0"/>
        <w:rPr>
          <w:rtl/>
        </w:rPr>
      </w:pPr>
      <w:r>
        <w:rPr>
          <w:rFonts w:hint="cs"/>
          <w:rtl/>
        </w:rPr>
        <w:t xml:space="preserve">رسالة الكرخي في الأصول، ص167 </w:t>
      </w:r>
      <w:r>
        <w:rPr>
          <w:rtl/>
        </w:rPr>
        <w:t>–</w:t>
      </w:r>
      <w:r>
        <w:rPr>
          <w:rFonts w:hint="cs"/>
          <w:rtl/>
        </w:rPr>
        <w:t xml:space="preserve"> ولفظه : </w:t>
      </w:r>
      <w:r>
        <w:rPr>
          <w:rFonts w:hint="eastAsia"/>
          <w:rtl/>
        </w:rPr>
        <w:t>«</w:t>
      </w:r>
      <w:r>
        <w:rPr>
          <w:rFonts w:hint="cs"/>
          <w:rtl/>
        </w:rPr>
        <w:t>الأصل أن الإجازة اللاحقة كالوكالة السابقة</w:t>
      </w:r>
      <w:r>
        <w:rPr>
          <w:rFonts w:hint="eastAsia"/>
          <w:rtl/>
        </w:rPr>
        <w:t>»</w:t>
      </w:r>
      <w:r>
        <w:rPr>
          <w:rFonts w:hint="cs"/>
          <w:rtl/>
        </w:rPr>
        <w:t xml:space="preserve">؛ مجلة الاحكام العدلية، مادة 1453 </w:t>
      </w:r>
      <w:r>
        <w:rPr>
          <w:rtl/>
        </w:rPr>
        <w:t>–</w:t>
      </w:r>
      <w:r>
        <w:rPr>
          <w:rFonts w:hint="cs"/>
          <w:rtl/>
        </w:rPr>
        <w:t xml:space="preserve"> ولفظها : </w:t>
      </w:r>
      <w:r>
        <w:rPr>
          <w:rFonts w:hint="eastAsia"/>
          <w:rtl/>
        </w:rPr>
        <w:t>«</w:t>
      </w:r>
      <w:r>
        <w:rPr>
          <w:rFonts w:hint="cs"/>
          <w:rtl/>
        </w:rPr>
        <w:t>الإجازة اللاحقة في حكم الوكالة السابقة</w:t>
      </w:r>
      <w:r>
        <w:rPr>
          <w:rFonts w:hint="eastAsia"/>
          <w:rtl/>
        </w:rPr>
        <w:t>»</w:t>
      </w:r>
      <w:r>
        <w:rPr>
          <w:rFonts w:hint="cs"/>
          <w:rtl/>
        </w:rPr>
        <w:t xml:space="preserve">-؛ شرحها لسليم رستم، 2/771؛ قواعد الفقه للمجدّدي، ص53، قاعدة6 </w:t>
      </w:r>
      <w:r>
        <w:rPr>
          <w:rtl/>
        </w:rPr>
        <w:t>–</w:t>
      </w:r>
      <w:r>
        <w:rPr>
          <w:rFonts w:hint="cs"/>
          <w:rtl/>
        </w:rPr>
        <w:t xml:space="preserve"> ولفظه كلفظ الكرخي.</w:t>
      </w:r>
    </w:p>
    <w:p w:rsidR="00035BE3" w:rsidRDefault="00035BE3" w:rsidP="00C10469">
      <w:pPr>
        <w:pStyle w:val="a6"/>
        <w:spacing w:line="420" w:lineRule="exact"/>
        <w:ind w:left="422" w:firstLine="0"/>
        <w:rPr>
          <w:b/>
          <w:bCs/>
          <w:rtl/>
        </w:rPr>
      </w:pPr>
      <w:r>
        <w:rPr>
          <w:rFonts w:hint="cs"/>
          <w:b/>
          <w:bCs/>
          <w:rtl/>
        </w:rPr>
        <w:t>ومن كتب الفقه :</w:t>
      </w:r>
    </w:p>
    <w:p w:rsidR="00035BE3" w:rsidRDefault="00035BE3" w:rsidP="00C10469">
      <w:pPr>
        <w:pStyle w:val="a6"/>
        <w:spacing w:line="420" w:lineRule="exact"/>
        <w:ind w:left="422" w:firstLine="0"/>
        <w:rPr>
          <w:rtl/>
        </w:rPr>
      </w:pPr>
      <w:r>
        <w:rPr>
          <w:rFonts w:hint="cs"/>
          <w:rtl/>
        </w:rPr>
        <w:t>تحفة الفقهاء، 2/35؛ بدائع الصنائع، 2/237؛ الهداية والعناية وفتح القدير، 7/54، 55، 9/306؛ تبيين الحقائق، 5/218؛ الدرر شرح الغرر، 2/280؛ البحر الرائق، 4/233، 402، 6/160.</w:t>
      </w:r>
    </w:p>
  </w:footnote>
  <w:footnote w:id="95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كله</w:t>
      </w:r>
      <w:r>
        <w:rPr>
          <w:rFonts w:hint="eastAsia"/>
          <w:rtl/>
        </w:rPr>
        <w:t>»</w:t>
      </w:r>
      <w:r>
        <w:rPr>
          <w:rFonts w:hint="cs"/>
          <w:rtl/>
        </w:rPr>
        <w:t>.</w:t>
      </w:r>
    </w:p>
  </w:footnote>
  <w:footnote w:id="95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العناية) : </w:t>
      </w:r>
      <w:r>
        <w:rPr>
          <w:rFonts w:hint="eastAsia"/>
          <w:rtl/>
        </w:rPr>
        <w:t>«</w:t>
      </w:r>
      <w:r>
        <w:rPr>
          <w:rFonts w:hint="cs"/>
          <w:rtl/>
        </w:rPr>
        <w:t>... فإن لم يسلِّم المالك المبيع</w:t>
      </w:r>
      <w:r>
        <w:rPr>
          <w:rFonts w:hint="eastAsia"/>
          <w:rtl/>
        </w:rPr>
        <w:t>»</w:t>
      </w:r>
      <w:r>
        <w:rPr>
          <w:rFonts w:hint="cs"/>
          <w:rtl/>
        </w:rPr>
        <w:t>.</w:t>
      </w:r>
    </w:p>
  </w:footnote>
  <w:footnote w:id="95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14/أ من (أ).</w:t>
      </w:r>
    </w:p>
  </w:footnote>
  <w:footnote w:id="95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7/60-61 -مع اختلاف سبقت الإشارة إلى أهمه-.</w:t>
      </w:r>
    </w:p>
  </w:footnote>
  <w:footnote w:id="9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بيع</w:t>
      </w:r>
      <w:r>
        <w:rPr>
          <w:rFonts w:hint="eastAsia"/>
          <w:rtl/>
        </w:rPr>
        <w:t>»</w:t>
      </w:r>
      <w:r>
        <w:rPr>
          <w:rFonts w:hint="cs"/>
          <w:rtl/>
        </w:rPr>
        <w:t>. والمُثبت من (ب) هو الصحيح؛ لأن السياق يقتضي أن يكون الفاسدُ وصفًا للبيع وليس البيع مضافًا إلى الفاسد؛ لأنه لو كان مضافًا إليه لانحصر البيع المذكور في بيع الشيء الفاسد، والشيء الفاسد لا ينتج زيادة ينتفع بها !.</w:t>
      </w:r>
    </w:p>
  </w:footnote>
  <w:footnote w:id="9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بحثت في مظان هذه المسألة من كتب الحنفية فلم أجد ما يُسند رأي المؤلف فيها؛ بل ظاهر ما جاء عندهم يخالفه!.</w:t>
      </w:r>
    </w:p>
    <w:p w:rsidR="00035BE3" w:rsidRDefault="00035BE3" w:rsidP="00C10469">
      <w:pPr>
        <w:pStyle w:val="a6"/>
        <w:ind w:left="422" w:firstLine="0"/>
        <w:rPr>
          <w:spacing w:val="6"/>
          <w:rtl/>
        </w:rPr>
      </w:pPr>
      <w:r>
        <w:rPr>
          <w:rFonts w:hint="cs"/>
          <w:spacing w:val="6"/>
          <w:rtl/>
        </w:rPr>
        <w:t xml:space="preserve">ومن ذلك ما جاء في (فتح القدير) -3/350- : </w:t>
      </w:r>
      <w:r>
        <w:rPr>
          <w:rFonts w:hint="eastAsia"/>
          <w:spacing w:val="6"/>
          <w:rtl/>
        </w:rPr>
        <w:t>«</w:t>
      </w:r>
      <w:r>
        <w:rPr>
          <w:rFonts w:hint="cs"/>
          <w:spacing w:val="6"/>
          <w:rtl/>
        </w:rPr>
        <w:t>... كالمشتراة شراء فاسدًا : تُردّ بالزيادة المتصلة والمنفصلة</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والمؤلف نفسُهُ نقل عن (العناية) ما يعارض رأيه هنا؛ إذ يـقول المؤلف - ص719 (ل56/أ) - : </w:t>
      </w:r>
      <w:r>
        <w:rPr>
          <w:rFonts w:hint="eastAsia"/>
          <w:rtl/>
        </w:rPr>
        <w:t>«</w:t>
      </w:r>
      <w:r>
        <w:rPr>
          <w:rFonts w:hint="cs"/>
          <w:rtl/>
        </w:rPr>
        <w:t>... وأما المنفصلة المتولدة؛ كالولد والثمر : تمنع عنه.</w:t>
      </w:r>
    </w:p>
    <w:p w:rsidR="00035BE3" w:rsidRDefault="00035BE3" w:rsidP="00C10469">
      <w:pPr>
        <w:pStyle w:val="a6"/>
        <w:ind w:left="422" w:firstLine="0"/>
        <w:rPr>
          <w:rtl/>
        </w:rPr>
      </w:pPr>
      <w:r>
        <w:rPr>
          <w:rFonts w:hint="cs"/>
          <w:rtl/>
        </w:rPr>
        <w:t>وغير المتولدة؛ كالكسب : لا يمنع. لكن طريق ذلك أن يفسخ العقد في الأصل دون الزيادة، ويسلِّم الزيادة للمشتري مجّانًا، بخلاف الولد ...</w:t>
      </w:r>
      <w:r>
        <w:rPr>
          <w:rFonts w:hint="eastAsia"/>
          <w:rtl/>
        </w:rPr>
        <w:t>»</w:t>
      </w:r>
      <w:r>
        <w:rPr>
          <w:rFonts w:hint="cs"/>
          <w:rtl/>
        </w:rPr>
        <w:t>.</w:t>
      </w:r>
    </w:p>
    <w:p w:rsidR="00035BE3" w:rsidRDefault="00035BE3" w:rsidP="00C10469">
      <w:pPr>
        <w:pStyle w:val="a6"/>
        <w:ind w:left="422" w:firstLine="0"/>
        <w:rPr>
          <w:rtl/>
        </w:rPr>
      </w:pPr>
      <w:r>
        <w:rPr>
          <w:rFonts w:hint="cs"/>
          <w:rtl/>
        </w:rPr>
        <w:t>فيُلحظ أنه فرّق بين الولد والكسب، فجعل الكسب للمشتري دون الولد، وهذا يعني : أن الزيادة التي تُسلّم للمشتري مجانًا هي الزيادة المنفصلة غير المتولدة عن المبيع وليست المنفصلة المتولدة عنه.</w:t>
      </w:r>
    </w:p>
    <w:p w:rsidR="00035BE3" w:rsidRDefault="00035BE3" w:rsidP="00C10469">
      <w:pPr>
        <w:pStyle w:val="a6"/>
        <w:ind w:left="422" w:firstLine="0"/>
        <w:rPr>
          <w:rtl/>
        </w:rPr>
      </w:pPr>
      <w:r>
        <w:rPr>
          <w:rFonts w:hint="cs"/>
          <w:rtl/>
        </w:rPr>
        <w:t xml:space="preserve">وإذا سُلِّم هذا فلعلّه يقود إلى القول : بأن العبارة المذكورة هنا فيها سبق قلم أو لسان؛ إذ سقطت منها كلمة (غير) قبل قوله : </w:t>
      </w:r>
      <w:r>
        <w:rPr>
          <w:rFonts w:hint="eastAsia"/>
          <w:rtl/>
        </w:rPr>
        <w:t>«</w:t>
      </w:r>
      <w:r>
        <w:rPr>
          <w:rFonts w:hint="cs"/>
          <w:rtl/>
        </w:rPr>
        <w:t>... المتولدة من الأصل ...</w:t>
      </w:r>
      <w:r>
        <w:rPr>
          <w:rFonts w:hint="eastAsia"/>
          <w:rtl/>
        </w:rPr>
        <w:t>»</w:t>
      </w:r>
      <w:r>
        <w:rPr>
          <w:rFonts w:hint="cs"/>
          <w:rtl/>
        </w:rPr>
        <w:t xml:space="preserve"> -والله أعلم-.</w:t>
      </w:r>
    </w:p>
    <w:p w:rsidR="00035BE3" w:rsidRDefault="00035BE3" w:rsidP="00C10469">
      <w:pPr>
        <w:pStyle w:val="a6"/>
        <w:ind w:left="422" w:firstLine="0"/>
        <w:rPr>
          <w:rtl/>
        </w:rPr>
      </w:pPr>
      <w:r>
        <w:rPr>
          <w:rFonts w:hint="cs"/>
          <w:rtl/>
        </w:rPr>
        <w:t>ومسألة الزيادة وما يتعلق بها من أحكام سوف يتكلم عنها المؤلف في قـاعدة مسـتقلة، ص718 (ل55/ب)، قاعدة 136.</w:t>
      </w:r>
    </w:p>
  </w:footnote>
  <w:footnote w:id="9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بعض </w:t>
      </w:r>
      <w:r>
        <w:rPr>
          <w:rFonts w:hint="cs"/>
          <w:b/>
          <w:bCs/>
          <w:rtl/>
        </w:rPr>
        <w:t>كتب القواعد المتأخرة عن المؤلف</w:t>
      </w:r>
      <w:r>
        <w:rPr>
          <w:rFonts w:hint="cs"/>
          <w:rtl/>
        </w:rPr>
        <w:t xml:space="preserve">، منها : </w:t>
      </w:r>
    </w:p>
    <w:p w:rsidR="00035BE3" w:rsidRDefault="00035BE3" w:rsidP="00C10469">
      <w:pPr>
        <w:pStyle w:val="a6"/>
        <w:ind w:left="422" w:firstLine="0"/>
        <w:rPr>
          <w:rtl/>
        </w:rPr>
      </w:pPr>
      <w:r>
        <w:rPr>
          <w:rFonts w:hint="cs"/>
          <w:rtl/>
        </w:rPr>
        <w:t>مجامع الحقائق (الخاتمة)، ص44-45؛ شرح العلائي لقواعد الخادمي، ل9/أ-ب؛ منافع الدقائق، ص312؛ مجلة الأحكام العدلية، مادة 33؛ شرحها لسليـم رستم، 1/33؛ ولعلي حيدر، 1/38-39؛ وللأتـاسي، 1/76-77؛ وشرح قواعدها للزرقا، ص213-214؛ قواعد الفقه للمجدِّدي، ص60، قاعدة 36؛ المدخل الفقهي العام، 2/996-997، فقرة 602؛ المشقة تجلب التيسير، للدكتور اليوسف، ص389-393؛ القواعد الفقهية للدكتور الندوي، ص102؛ القواعد والضوابط المستخلصة، ص134؛ الوجيز، ص185-186؛ موسوعة القواعد الفقهية، 2/208؛ القواعد الفقهية الكبرى لشيخنا أ.د. صالح السدلان، ص297-309؛ المبادئ الفقهية، ص28؛ القواعد الفقهية للدعاس، ص44، قاعدة 30؛ وللدكتور الزحيلي، ص68-69؛ كما وردت باللفظ نفسه في نظرية الضرورة الشرعية للدكتور وهبة الزحيلي، ص259.</w:t>
      </w:r>
    </w:p>
    <w:p w:rsidR="00035BE3" w:rsidRDefault="00035BE3" w:rsidP="00C10469">
      <w:pPr>
        <w:pStyle w:val="a6"/>
        <w:ind w:left="422" w:firstLine="0"/>
        <w:rPr>
          <w:rtl/>
        </w:rPr>
      </w:pPr>
      <w:r>
        <w:rPr>
          <w:rFonts w:hint="cs"/>
          <w:rtl/>
        </w:rPr>
        <w:t xml:space="preserve">وورد معناها في بعض </w:t>
      </w:r>
      <w:r>
        <w:rPr>
          <w:rFonts w:hint="cs"/>
          <w:b/>
          <w:bCs/>
          <w:rtl/>
        </w:rPr>
        <w:t>كتب الفقه وقواعده المتقدمة على المؤلف</w:t>
      </w:r>
      <w:r>
        <w:rPr>
          <w:rFonts w:hint="cs"/>
          <w:rtl/>
        </w:rPr>
        <w:t xml:space="preserve"> :</w:t>
      </w:r>
    </w:p>
    <w:p w:rsidR="00035BE3" w:rsidRDefault="00035BE3" w:rsidP="00C10469">
      <w:pPr>
        <w:pStyle w:val="a6"/>
        <w:ind w:left="422" w:firstLine="0"/>
        <w:rPr>
          <w:rtl/>
        </w:rPr>
      </w:pPr>
      <w:r>
        <w:rPr>
          <w:rFonts w:hint="cs"/>
          <w:b/>
          <w:bCs/>
          <w:rtl/>
        </w:rPr>
        <w:t>فمن كتب القواعد :</w:t>
      </w:r>
      <w:r>
        <w:rPr>
          <w:rFonts w:hint="cs"/>
          <w:rtl/>
        </w:rPr>
        <w:t xml:space="preserve"> أنوار البروق للقرافي، 1/195؛ تهذيب الفروق، 1/197، حيث جاء فيهما : </w:t>
      </w:r>
      <w:r>
        <w:rPr>
          <w:rFonts w:hint="eastAsia"/>
          <w:rtl/>
        </w:rPr>
        <w:t>«</w:t>
      </w:r>
      <w:r>
        <w:rPr>
          <w:rFonts w:hint="cs"/>
          <w:rtl/>
        </w:rPr>
        <w:t>الفرق الثاني والثلاثون بين قاعدة الإذن العام من قبل صاحب الشرع في التصرفات، وبين إذن المالك الآدمي في التصرفات : في أنّ الأول : لا يسقط الضمان، والثاني: يسقطه</w:t>
      </w:r>
      <w:r>
        <w:rPr>
          <w:rFonts w:hint="eastAsia"/>
          <w:rtl/>
        </w:rPr>
        <w:t>»</w:t>
      </w:r>
      <w:r>
        <w:rPr>
          <w:rFonts w:hint="cs"/>
          <w:rtl/>
        </w:rPr>
        <w:t xml:space="preserve">؛ تقرير القواعد لابن </w:t>
      </w:r>
      <w:r w:rsidRPr="00F71026">
        <w:rPr>
          <w:rFonts w:hint="cs"/>
          <w:spacing w:val="-2"/>
          <w:rtl/>
        </w:rPr>
        <w:t xml:space="preserve">رجب، 1/206، قاعدة 26، ولفظه: </w:t>
      </w:r>
      <w:r w:rsidRPr="00F71026">
        <w:rPr>
          <w:rFonts w:hint="eastAsia"/>
          <w:spacing w:val="-2"/>
          <w:rtl/>
        </w:rPr>
        <w:t>«</w:t>
      </w:r>
      <w:r w:rsidRPr="00F71026">
        <w:rPr>
          <w:rFonts w:hint="cs"/>
          <w:spacing w:val="-2"/>
          <w:rtl/>
        </w:rPr>
        <w:t>من أتلف شيئًا لدفع أذاه له: لم يضمنه. وإن أتلفه لدفع أذاه</w:t>
      </w:r>
      <w:r>
        <w:rPr>
          <w:rFonts w:hint="cs"/>
          <w:rtl/>
        </w:rPr>
        <w:t xml:space="preserve"> به: ضمنه</w:t>
      </w:r>
      <w:r>
        <w:rPr>
          <w:rFonts w:hint="eastAsia"/>
          <w:rtl/>
        </w:rPr>
        <w:t>»</w:t>
      </w:r>
      <w:r>
        <w:rPr>
          <w:rFonts w:hint="cs"/>
          <w:rtl/>
        </w:rPr>
        <w:t>؛ وقد تابعه على ذلك : القاري في مجلته، ص81، مادة 26؛ كما نظم هذا المعنى العلامة السعدي في رسالته في القواعد، ص38، حيث قال في البيت الحادي والثلاثين :</w:t>
      </w:r>
    </w:p>
    <w:p w:rsidR="00035BE3" w:rsidRDefault="00035BE3" w:rsidP="00C10469">
      <w:pPr>
        <w:pStyle w:val="a6"/>
        <w:ind w:left="422" w:hanging="454"/>
        <w:jc w:val="center"/>
        <w:rPr>
          <w:b/>
          <w:bCs/>
          <w:rtl/>
        </w:rPr>
      </w:pPr>
      <w:r>
        <w:rPr>
          <w:rFonts w:hint="cs"/>
          <w:b/>
          <w:bCs/>
          <w:rtl/>
        </w:rPr>
        <w:t xml:space="preserve">      ومتـلـفٌ مـؤذيـه لـيـس يَـضْمَنُ           بـعـد الـدفـاع بالـتي هي أَحْـسَـنُ</w:t>
      </w:r>
    </w:p>
    <w:p w:rsidR="00035BE3" w:rsidRDefault="00035BE3" w:rsidP="00C10469">
      <w:pPr>
        <w:pStyle w:val="a6"/>
        <w:ind w:left="422" w:firstLine="0"/>
        <w:rPr>
          <w:b/>
          <w:bCs/>
          <w:rtl/>
        </w:rPr>
      </w:pPr>
      <w:r>
        <w:rPr>
          <w:rFonts w:hint="cs"/>
          <w:b/>
          <w:bCs/>
          <w:rtl/>
        </w:rPr>
        <w:t xml:space="preserve">ومن كتب الفقه : </w:t>
      </w:r>
    </w:p>
    <w:p w:rsidR="00035BE3" w:rsidRDefault="00035BE3" w:rsidP="00C10469">
      <w:pPr>
        <w:pStyle w:val="a6"/>
        <w:ind w:left="422" w:firstLine="0"/>
        <w:rPr>
          <w:rtl/>
        </w:rPr>
      </w:pPr>
      <w:r>
        <w:rPr>
          <w:rFonts w:hint="cs"/>
          <w:rtl/>
        </w:rPr>
        <w:t xml:space="preserve">مختصر اختلاف العلماء تأليف الجصَّاص، 3/404، فقرة 1547، و5/211، فقرة 2308، حيث نقل فيهما عن أبي جعفر الطحاوي : </w:t>
      </w:r>
      <w:r>
        <w:rPr>
          <w:rFonts w:hint="eastAsia"/>
          <w:rtl/>
        </w:rPr>
        <w:t>«</w:t>
      </w:r>
      <w:r>
        <w:rPr>
          <w:rFonts w:hint="cs"/>
          <w:rtl/>
        </w:rPr>
        <w:t>... فدلّ أن الضرورات لا تبيح اتلاف مال الغير بغير ضمان</w:t>
      </w:r>
      <w:r>
        <w:rPr>
          <w:rFonts w:hint="eastAsia"/>
          <w:rtl/>
        </w:rPr>
        <w:t>»</w:t>
      </w:r>
      <w:r>
        <w:rPr>
          <w:rFonts w:hint="cs"/>
          <w:rtl/>
        </w:rPr>
        <w:t xml:space="preserve">، </w:t>
      </w:r>
      <w:r>
        <w:rPr>
          <w:rFonts w:hint="eastAsia"/>
          <w:rtl/>
        </w:rPr>
        <w:t>«</w:t>
      </w:r>
      <w:r>
        <w:rPr>
          <w:rFonts w:hint="cs"/>
          <w:rtl/>
        </w:rPr>
        <w:t>ولأن الضرورة إلى مال الغير لا يسقط ضمانه</w:t>
      </w:r>
      <w:r>
        <w:rPr>
          <w:rFonts w:hint="eastAsia"/>
          <w:rtl/>
        </w:rPr>
        <w:t>»</w:t>
      </w:r>
      <w:r>
        <w:rPr>
          <w:rFonts w:hint="cs"/>
          <w:rtl/>
        </w:rPr>
        <w:t xml:space="preserve">؛ رد المحتار، 5/13 </w:t>
      </w:r>
      <w:r>
        <w:rPr>
          <w:rtl/>
        </w:rPr>
        <w:t>–</w:t>
      </w:r>
      <w:r>
        <w:rPr>
          <w:rFonts w:hint="cs"/>
          <w:rtl/>
        </w:rPr>
        <w:t xml:space="preserve"> ولفظه : </w:t>
      </w:r>
      <w:r>
        <w:rPr>
          <w:rFonts w:hint="eastAsia"/>
          <w:rtl/>
        </w:rPr>
        <w:t>«</w:t>
      </w:r>
      <w:r>
        <w:rPr>
          <w:rFonts w:hint="cs"/>
          <w:rtl/>
        </w:rPr>
        <w:t>واضطراره لا يبطل حق غيره</w:t>
      </w:r>
      <w:r>
        <w:rPr>
          <w:rFonts w:hint="eastAsia"/>
          <w:rtl/>
        </w:rPr>
        <w:t>»</w:t>
      </w:r>
      <w:r>
        <w:rPr>
          <w:rFonts w:hint="cs"/>
          <w:rtl/>
        </w:rPr>
        <w:t>-.</w:t>
      </w:r>
    </w:p>
    <w:p w:rsidR="00035BE3" w:rsidRDefault="00035BE3" w:rsidP="00C10469">
      <w:pPr>
        <w:pStyle w:val="a6"/>
        <w:ind w:left="422" w:firstLine="0"/>
        <w:rPr>
          <w:rtl/>
        </w:rPr>
      </w:pPr>
      <w:r>
        <w:rPr>
          <w:rFonts w:hint="cs"/>
          <w:rtl/>
        </w:rPr>
        <w:t>ونظرًا لأهمية موضوع هذه القاعدة (وهو الضرورة) أُفردت فيه مؤلفات مستقلة، منها : الفعل الضار والضمان فيه للأستاذ مصطفى الزرقا؛ فقه الضرورة وتطبيقاته المعاصرة لِـ أ.د. عبد الوهاب  أبو</w:t>
      </w:r>
      <w:r>
        <w:rPr>
          <w:rFonts w:hint="eastAsia"/>
          <w:rtl/>
        </w:rPr>
        <w:t> </w:t>
      </w:r>
      <w:r>
        <w:rPr>
          <w:rFonts w:hint="cs"/>
          <w:rtl/>
        </w:rPr>
        <w:t>سليمان؛ نظرية الضرورة الشرعية للدكتور وهبة الزحيلي؛ وأيضًا لجميل محمد مبارك؛ الضرر في الفقه الإسلامي للدكتور أحمد موافي.</w:t>
      </w:r>
    </w:p>
    <w:p w:rsidR="00035BE3" w:rsidRDefault="00035BE3" w:rsidP="00C10469">
      <w:pPr>
        <w:pStyle w:val="a6"/>
        <w:ind w:left="422" w:firstLine="0"/>
        <w:rPr>
          <w:rtl/>
        </w:rPr>
      </w:pPr>
      <w:r>
        <w:rPr>
          <w:rFonts w:hint="cs"/>
          <w:rtl/>
        </w:rPr>
        <w:t>ومما يدل على أهميته وسعة شموله : كثرة القواعد المتعلقة به، وقد ذكر المؤلف من بين هذه القواعد أكثر من خمس عشرة قاعـدة، وأرقامها : 15، 32، 76، 80، 97، 108، 118، 155، 156، 157، 158، 170، 220، 241، 259.</w:t>
      </w:r>
    </w:p>
    <w:p w:rsidR="00035BE3" w:rsidRDefault="00035BE3" w:rsidP="00C10469">
      <w:pPr>
        <w:pStyle w:val="a6"/>
        <w:ind w:left="422" w:firstLine="0"/>
        <w:rPr>
          <w:rtl/>
        </w:rPr>
      </w:pPr>
      <w:r>
        <w:rPr>
          <w:rFonts w:hint="cs"/>
          <w:rtl/>
        </w:rPr>
        <w:t xml:space="preserve">ومعنى الاضطرار </w:t>
      </w:r>
      <w:r>
        <w:rPr>
          <w:rFonts w:hint="cs"/>
          <w:b/>
          <w:bCs/>
          <w:rtl/>
        </w:rPr>
        <w:t>في اللغة</w:t>
      </w:r>
      <w:r>
        <w:rPr>
          <w:rFonts w:hint="cs"/>
          <w:rtl/>
        </w:rPr>
        <w:t xml:space="preserve"> مصدر : اضطّر، واسم المصدر منه : ضرورة، ومادّتهما: ضرّ، والضاد والراء - كما يقول ابن فارس -: </w:t>
      </w:r>
      <w:r>
        <w:rPr>
          <w:rFonts w:hint="eastAsia"/>
          <w:rtl/>
        </w:rPr>
        <w:t>«</w:t>
      </w:r>
      <w:r>
        <w:rPr>
          <w:rFonts w:hint="cs"/>
          <w:rtl/>
        </w:rPr>
        <w:t xml:space="preserve"> ثلاثة أصول :</w:t>
      </w:r>
    </w:p>
    <w:p w:rsidR="00035BE3" w:rsidRDefault="00035BE3" w:rsidP="00C10469">
      <w:pPr>
        <w:pStyle w:val="a6"/>
        <w:ind w:left="422" w:firstLine="0"/>
        <w:rPr>
          <w:rtl/>
        </w:rPr>
      </w:pPr>
      <w:r>
        <w:rPr>
          <w:rFonts w:hint="cs"/>
          <w:b/>
          <w:bCs/>
          <w:rtl/>
        </w:rPr>
        <w:t>الأول</w:t>
      </w:r>
      <w:r>
        <w:rPr>
          <w:rFonts w:hint="cs"/>
          <w:rtl/>
        </w:rPr>
        <w:t xml:space="preserve"> : خلاف النفع. </w:t>
      </w:r>
      <w:r>
        <w:rPr>
          <w:rFonts w:hint="cs"/>
          <w:b/>
          <w:bCs/>
          <w:rtl/>
        </w:rPr>
        <w:t>والثاني</w:t>
      </w:r>
      <w:r>
        <w:rPr>
          <w:rFonts w:hint="cs"/>
          <w:rtl/>
        </w:rPr>
        <w:t xml:space="preserve"> : اجتماع الشيء. </w:t>
      </w:r>
      <w:r>
        <w:rPr>
          <w:rFonts w:hint="cs"/>
          <w:b/>
          <w:bCs/>
          <w:rtl/>
        </w:rPr>
        <w:t>والثالث</w:t>
      </w:r>
      <w:r>
        <w:rPr>
          <w:rFonts w:hint="cs"/>
          <w:rtl/>
        </w:rPr>
        <w:t xml:space="preserve"> : القوّة</w:t>
      </w:r>
      <w:r>
        <w:rPr>
          <w:rFonts w:hint="eastAsia"/>
          <w:rtl/>
        </w:rPr>
        <w:t>»</w:t>
      </w:r>
      <w:r>
        <w:rPr>
          <w:rFonts w:hint="cs"/>
          <w:rtl/>
        </w:rPr>
        <w:t>.</w:t>
      </w:r>
    </w:p>
    <w:p w:rsidR="00035BE3" w:rsidRDefault="00035BE3" w:rsidP="00C10469">
      <w:pPr>
        <w:pStyle w:val="a6"/>
        <w:ind w:left="422" w:firstLine="0"/>
        <w:rPr>
          <w:rtl/>
        </w:rPr>
      </w:pPr>
      <w:r>
        <w:rPr>
          <w:rFonts w:hint="cs"/>
          <w:rtl/>
        </w:rPr>
        <w:t xml:space="preserve">ومن الأول ما جاء في مفردات الأصفهاني : </w:t>
      </w:r>
      <w:r>
        <w:rPr>
          <w:rFonts w:hint="eastAsia"/>
          <w:rtl/>
        </w:rPr>
        <w:t>«</w:t>
      </w:r>
      <w:r>
        <w:rPr>
          <w:rFonts w:hint="cs"/>
          <w:rtl/>
        </w:rPr>
        <w:t>والاضرار : حمل الإنسان على ما يضرّه. وهو في التعارف : حمله على أمر يكرهه. وذلك على ضربين :</w:t>
      </w:r>
    </w:p>
    <w:p w:rsidR="00035BE3" w:rsidRDefault="00035BE3" w:rsidP="00C10469">
      <w:pPr>
        <w:pStyle w:val="a6"/>
        <w:ind w:left="422" w:firstLine="0"/>
        <w:rPr>
          <w:rtl/>
        </w:rPr>
      </w:pPr>
      <w:r>
        <w:rPr>
          <w:rFonts w:hint="cs"/>
          <w:b/>
          <w:bCs/>
          <w:rtl/>
        </w:rPr>
        <w:t>أحدهما</w:t>
      </w:r>
      <w:r>
        <w:rPr>
          <w:rFonts w:hint="cs"/>
          <w:rtl/>
        </w:rPr>
        <w:t xml:space="preserve"> : اضرار بسبب خارج؛ كمن يُضرَب أو يُهَدَّد حتى يفـعل منقادًا، ويؤخذ قهرًا ... كما قال: </w:t>
      </w:r>
      <w:r>
        <w:rPr>
          <w:color w:val="000000"/>
          <w:sz w:val="22"/>
          <w:szCs w:val="22"/>
        </w:rPr>
        <w:sym w:font="HQPB2" w:char="F0E2"/>
      </w:r>
      <w:r>
        <w:rPr>
          <w:color w:val="000000"/>
          <w:sz w:val="22"/>
          <w:szCs w:val="22"/>
          <w:rtl/>
        </w:rPr>
        <w:t xml:space="preserve"> </w:t>
      </w:r>
      <w:r>
        <w:rPr>
          <w:color w:val="000000"/>
          <w:sz w:val="22"/>
          <w:szCs w:val="22"/>
        </w:rPr>
        <w:sym w:font="HQPB4" w:char="F0A7"/>
      </w:r>
      <w:r>
        <w:rPr>
          <w:color w:val="000000"/>
          <w:sz w:val="22"/>
          <w:szCs w:val="22"/>
        </w:rPr>
        <w:sym w:font="HQPB2" w:char="F04E"/>
      </w:r>
      <w:r>
        <w:rPr>
          <w:color w:val="000000"/>
          <w:sz w:val="22"/>
          <w:szCs w:val="22"/>
        </w:rPr>
        <w:sym w:font="HQPB4" w:char="F0E8"/>
      </w:r>
      <w:r>
        <w:rPr>
          <w:color w:val="000000"/>
          <w:sz w:val="22"/>
          <w:szCs w:val="22"/>
        </w:rPr>
        <w:sym w:font="HQPB1" w:char="F04F"/>
      </w:r>
      <w:r>
        <w:rPr>
          <w:color w:val="000000"/>
          <w:sz w:val="22"/>
          <w:szCs w:val="22"/>
          <w:rtl/>
        </w:rPr>
        <w:t xml:space="preserve"> </w:t>
      </w:r>
      <w:r>
        <w:rPr>
          <w:color w:val="000000"/>
          <w:sz w:val="22"/>
          <w:szCs w:val="22"/>
        </w:rPr>
        <w:sym w:font="HQPB4" w:char="F0FF"/>
      </w:r>
      <w:r>
        <w:rPr>
          <w:color w:val="000000"/>
          <w:sz w:val="22"/>
          <w:szCs w:val="22"/>
        </w:rPr>
        <w:sym w:font="HQPB2" w:char="F0BC"/>
      </w:r>
      <w:r>
        <w:rPr>
          <w:color w:val="000000"/>
          <w:sz w:val="22"/>
          <w:szCs w:val="22"/>
        </w:rPr>
        <w:sym w:font="HQPB4" w:char="F0E7"/>
      </w:r>
      <w:r>
        <w:rPr>
          <w:color w:val="000000"/>
          <w:sz w:val="22"/>
          <w:szCs w:val="22"/>
        </w:rPr>
        <w:sym w:font="HQPB2" w:char="F06E"/>
      </w:r>
      <w:r>
        <w:rPr>
          <w:color w:val="000000"/>
          <w:sz w:val="22"/>
          <w:szCs w:val="22"/>
        </w:rPr>
        <w:sym w:font="HQPB4" w:char="F094"/>
      </w:r>
      <w:r>
        <w:rPr>
          <w:color w:val="000000"/>
          <w:sz w:val="22"/>
          <w:szCs w:val="22"/>
        </w:rPr>
        <w:sym w:font="HQPB1" w:char="F08D"/>
      </w:r>
      <w:r>
        <w:rPr>
          <w:color w:val="000000"/>
          <w:sz w:val="22"/>
          <w:szCs w:val="22"/>
        </w:rPr>
        <w:sym w:font="HQPB5" w:char="F073"/>
      </w:r>
      <w:r>
        <w:rPr>
          <w:color w:val="000000"/>
          <w:sz w:val="22"/>
          <w:szCs w:val="22"/>
        </w:rPr>
        <w:sym w:font="HQPB1" w:char="F0DC"/>
      </w:r>
      <w:r>
        <w:rPr>
          <w:color w:val="000000"/>
          <w:sz w:val="22"/>
          <w:szCs w:val="22"/>
        </w:rPr>
        <w:sym w:font="HQPB4" w:char="F0F4"/>
      </w:r>
      <w:r>
        <w:rPr>
          <w:color w:val="000000"/>
          <w:sz w:val="22"/>
          <w:szCs w:val="22"/>
        </w:rPr>
        <w:sym w:font="HQPB1" w:char="F0CA"/>
      </w:r>
      <w:r>
        <w:rPr>
          <w:color w:val="000000"/>
          <w:sz w:val="22"/>
          <w:szCs w:val="22"/>
        </w:rPr>
        <w:sym w:font="HQPB5" w:char="F072"/>
      </w:r>
      <w:r>
        <w:rPr>
          <w:color w:val="000000"/>
          <w:sz w:val="22"/>
          <w:szCs w:val="22"/>
        </w:rPr>
        <w:sym w:font="HQPB1" w:char="F026"/>
      </w:r>
      <w:r>
        <w:rPr>
          <w:color w:val="000000"/>
          <w:sz w:val="22"/>
          <w:szCs w:val="22"/>
          <w:rtl/>
        </w:rPr>
        <w:t xml:space="preserve"> </w:t>
      </w:r>
      <w:r>
        <w:rPr>
          <w:color w:val="000000"/>
          <w:sz w:val="22"/>
          <w:szCs w:val="22"/>
        </w:rPr>
        <w:sym w:font="HQPB5" w:char="F034"/>
      </w:r>
      <w:r>
        <w:rPr>
          <w:color w:val="000000"/>
          <w:sz w:val="22"/>
          <w:szCs w:val="22"/>
        </w:rPr>
        <w:sym w:font="HQPB2" w:char="F092"/>
      </w:r>
      <w:r>
        <w:rPr>
          <w:color w:val="000000"/>
          <w:sz w:val="22"/>
          <w:szCs w:val="22"/>
        </w:rPr>
        <w:sym w:font="HQPB5" w:char="F06E"/>
      </w:r>
      <w:r>
        <w:rPr>
          <w:color w:val="000000"/>
          <w:sz w:val="22"/>
          <w:szCs w:val="22"/>
        </w:rPr>
        <w:sym w:font="HQPB2" w:char="F03C"/>
      </w:r>
      <w:r>
        <w:rPr>
          <w:color w:val="000000"/>
          <w:sz w:val="22"/>
          <w:szCs w:val="22"/>
        </w:rPr>
        <w:sym w:font="HQPB4" w:char="F0CE"/>
      </w:r>
      <w:r>
        <w:rPr>
          <w:color w:val="000000"/>
          <w:sz w:val="22"/>
          <w:szCs w:val="22"/>
        </w:rPr>
        <w:sym w:font="HQPB1" w:char="F029"/>
      </w:r>
      <w:r>
        <w:rPr>
          <w:color w:val="000000"/>
          <w:sz w:val="22"/>
          <w:szCs w:val="22"/>
          <w:rtl/>
        </w:rPr>
        <w:t xml:space="preserve"> </w:t>
      </w:r>
      <w:r>
        <w:rPr>
          <w:color w:val="000000"/>
          <w:sz w:val="22"/>
          <w:szCs w:val="22"/>
        </w:rPr>
        <w:sym w:font="HQPB4" w:char="F0C9"/>
      </w:r>
      <w:r>
        <w:rPr>
          <w:color w:val="000000"/>
          <w:sz w:val="22"/>
          <w:szCs w:val="22"/>
        </w:rPr>
        <w:sym w:font="HQPB1" w:char="F03E"/>
      </w:r>
      <w:r>
        <w:rPr>
          <w:color w:val="000000"/>
          <w:sz w:val="22"/>
          <w:szCs w:val="22"/>
        </w:rPr>
        <w:sym w:font="HQPB1" w:char="F023"/>
      </w:r>
      <w:r>
        <w:rPr>
          <w:color w:val="000000"/>
          <w:sz w:val="22"/>
          <w:szCs w:val="22"/>
        </w:rPr>
        <w:sym w:font="HQPB5" w:char="F078"/>
      </w:r>
      <w:r>
        <w:rPr>
          <w:color w:val="000000"/>
          <w:sz w:val="22"/>
          <w:szCs w:val="22"/>
        </w:rPr>
        <w:sym w:font="HQPB1" w:char="F08B"/>
      </w:r>
      <w:r>
        <w:rPr>
          <w:color w:val="000000"/>
          <w:sz w:val="22"/>
          <w:szCs w:val="22"/>
        </w:rPr>
        <w:sym w:font="HQPB5" w:char="F074"/>
      </w:r>
      <w:r>
        <w:rPr>
          <w:color w:val="000000"/>
          <w:sz w:val="22"/>
          <w:szCs w:val="22"/>
        </w:rPr>
        <w:sym w:font="HQPB1" w:char="F0E3"/>
      </w:r>
      <w:r>
        <w:rPr>
          <w:color w:val="000000"/>
          <w:sz w:val="22"/>
          <w:szCs w:val="22"/>
          <w:rtl/>
        </w:rPr>
        <w:t xml:space="preserve"> </w:t>
      </w:r>
      <w:r>
        <w:rPr>
          <w:color w:val="000000"/>
          <w:sz w:val="22"/>
          <w:szCs w:val="22"/>
        </w:rPr>
        <w:sym w:font="HQPB4" w:char="F0CD"/>
      </w:r>
      <w:r>
        <w:rPr>
          <w:color w:val="000000"/>
          <w:sz w:val="22"/>
          <w:szCs w:val="22"/>
        </w:rPr>
        <w:sym w:font="HQPB1" w:char="F091"/>
      </w:r>
      <w:r>
        <w:rPr>
          <w:color w:val="000000"/>
          <w:sz w:val="22"/>
          <w:szCs w:val="22"/>
        </w:rPr>
        <w:sym w:font="HQPB1" w:char="F024"/>
      </w:r>
      <w:r>
        <w:rPr>
          <w:color w:val="000000"/>
          <w:sz w:val="22"/>
          <w:szCs w:val="22"/>
        </w:rPr>
        <w:sym w:font="HQPB4" w:char="F0A8"/>
      </w:r>
      <w:r>
        <w:rPr>
          <w:color w:val="000000"/>
          <w:sz w:val="22"/>
          <w:szCs w:val="22"/>
        </w:rPr>
        <w:sym w:font="HQPB2" w:char="F05A"/>
      </w:r>
      <w:r>
        <w:rPr>
          <w:color w:val="000000"/>
          <w:sz w:val="22"/>
          <w:szCs w:val="22"/>
        </w:rPr>
        <w:sym w:font="HQPB2" w:char="F039"/>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28"/>
      </w:r>
      <w:r>
        <w:rPr>
          <w:color w:val="000000"/>
          <w:sz w:val="22"/>
          <w:szCs w:val="22"/>
          <w:rtl/>
        </w:rPr>
        <w:t xml:space="preserve"> </w:t>
      </w:r>
      <w:r>
        <w:rPr>
          <w:color w:val="000000"/>
          <w:sz w:val="22"/>
          <w:szCs w:val="22"/>
        </w:rPr>
        <w:sym w:font="HQPB2" w:char="F0E1"/>
      </w:r>
      <w:r>
        <w:rPr>
          <w:rFonts w:hint="cs"/>
          <w:sz w:val="22"/>
          <w:szCs w:val="22"/>
          <w:rtl/>
        </w:rPr>
        <w:t xml:space="preserve"> </w:t>
      </w:r>
      <w:r>
        <w:rPr>
          <w:rFonts w:hint="cs"/>
          <w:rtl/>
        </w:rPr>
        <w:t>[من الآية رقم (126) من سورة (البقرة)]...</w:t>
      </w:r>
    </w:p>
    <w:p w:rsidR="00035BE3" w:rsidRDefault="00035BE3" w:rsidP="00C10469">
      <w:pPr>
        <w:pStyle w:val="a6"/>
        <w:ind w:left="422" w:firstLine="0"/>
        <w:rPr>
          <w:rtl/>
        </w:rPr>
      </w:pPr>
      <w:r>
        <w:rPr>
          <w:rFonts w:hint="cs"/>
          <w:b/>
          <w:bCs/>
          <w:rtl/>
        </w:rPr>
        <w:t>والثاني</w:t>
      </w:r>
      <w:r>
        <w:rPr>
          <w:rFonts w:hint="cs"/>
          <w:rtl/>
        </w:rPr>
        <w:t xml:space="preserve"> : بسبب داخل ... كمن اشتدّ به الجُوع، فاضطُرَّ إلى أكل ميتة. وعلى هذا قوله ...: </w:t>
      </w:r>
      <w:r>
        <w:rPr>
          <w:color w:val="000000"/>
          <w:sz w:val="22"/>
          <w:szCs w:val="22"/>
        </w:rPr>
        <w:sym w:font="HQPB2" w:char="F0E2"/>
      </w:r>
      <w:r>
        <w:rPr>
          <w:color w:val="000000"/>
          <w:sz w:val="22"/>
          <w:szCs w:val="22"/>
          <w:rtl/>
        </w:rPr>
        <w:t xml:space="preserve"> </w:t>
      </w:r>
      <w:r>
        <w:rPr>
          <w:color w:val="000000"/>
          <w:sz w:val="22"/>
          <w:szCs w:val="22"/>
        </w:rPr>
        <w:sym w:font="HQPB4" w:char="F0C7"/>
      </w:r>
      <w:r>
        <w:rPr>
          <w:color w:val="000000"/>
          <w:sz w:val="22"/>
          <w:szCs w:val="22"/>
        </w:rPr>
        <w:sym w:font="HQPB2" w:char="F060"/>
      </w:r>
      <w:r>
        <w:rPr>
          <w:color w:val="000000"/>
          <w:sz w:val="22"/>
          <w:szCs w:val="22"/>
        </w:rPr>
        <w:sym w:font="HQPB5" w:char="F079"/>
      </w:r>
      <w:r>
        <w:rPr>
          <w:color w:val="000000"/>
          <w:sz w:val="22"/>
          <w:szCs w:val="22"/>
        </w:rPr>
        <w:sym w:font="HQPB2" w:char="F04A"/>
      </w:r>
      <w:r>
        <w:rPr>
          <w:color w:val="000000"/>
          <w:sz w:val="22"/>
          <w:szCs w:val="22"/>
        </w:rPr>
        <w:sym w:font="HQPB5" w:char="F073"/>
      </w:r>
      <w:r>
        <w:rPr>
          <w:color w:val="000000"/>
          <w:sz w:val="22"/>
          <w:szCs w:val="22"/>
        </w:rPr>
        <w:sym w:font="HQPB1" w:char="F0F9"/>
      </w:r>
      <w:r>
        <w:rPr>
          <w:color w:val="000000"/>
          <w:sz w:val="22"/>
          <w:szCs w:val="22"/>
          <w:rtl/>
        </w:rPr>
        <w:t xml:space="preserve"> </w:t>
      </w:r>
      <w:r>
        <w:rPr>
          <w:color w:val="000000"/>
          <w:sz w:val="22"/>
          <w:szCs w:val="22"/>
        </w:rPr>
        <w:sym w:font="HQPB4" w:char="F0A7"/>
      </w:r>
      <w:r>
        <w:rPr>
          <w:color w:val="000000"/>
          <w:sz w:val="22"/>
          <w:szCs w:val="22"/>
        </w:rPr>
        <w:sym w:font="HQPB1" w:char="F08D"/>
      </w:r>
      <w:r>
        <w:rPr>
          <w:color w:val="000000"/>
          <w:sz w:val="22"/>
          <w:szCs w:val="22"/>
        </w:rPr>
        <w:sym w:font="HQPB4" w:char="F0E4"/>
      </w:r>
      <w:r>
        <w:rPr>
          <w:color w:val="000000"/>
          <w:sz w:val="22"/>
          <w:szCs w:val="22"/>
        </w:rPr>
        <w:sym w:font="HQPB1" w:char="F0DC"/>
      </w:r>
      <w:r>
        <w:rPr>
          <w:color w:val="000000"/>
          <w:sz w:val="22"/>
          <w:szCs w:val="22"/>
        </w:rPr>
        <w:sym w:font="HQPB4" w:char="F0F4"/>
      </w:r>
      <w:r>
        <w:rPr>
          <w:color w:val="000000"/>
          <w:sz w:val="22"/>
          <w:szCs w:val="22"/>
        </w:rPr>
        <w:sym w:font="HQPB1" w:char="F0CA"/>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2" w:char="F092"/>
      </w:r>
      <w:r>
        <w:rPr>
          <w:color w:val="000000"/>
          <w:sz w:val="22"/>
          <w:szCs w:val="22"/>
        </w:rPr>
        <w:sym w:font="HQPB4" w:char="F0CE"/>
      </w:r>
      <w:r>
        <w:rPr>
          <w:color w:val="000000"/>
          <w:sz w:val="22"/>
          <w:szCs w:val="22"/>
        </w:rPr>
        <w:sym w:font="HQPB1" w:char="F0FB"/>
      </w:r>
      <w:r>
        <w:rPr>
          <w:color w:val="000000"/>
          <w:sz w:val="22"/>
          <w:szCs w:val="22"/>
          <w:rtl/>
        </w:rPr>
        <w:t xml:space="preserve"> </w:t>
      </w:r>
      <w:r>
        <w:rPr>
          <w:color w:val="000000"/>
          <w:sz w:val="22"/>
          <w:szCs w:val="22"/>
        </w:rPr>
        <w:sym w:font="HQPB4" w:char="F03E"/>
      </w:r>
      <w:r>
        <w:rPr>
          <w:color w:val="000000"/>
          <w:sz w:val="22"/>
          <w:szCs w:val="22"/>
        </w:rPr>
        <w:sym w:font="HQPB2" w:char="F070"/>
      </w:r>
      <w:r>
        <w:rPr>
          <w:color w:val="000000"/>
          <w:sz w:val="22"/>
          <w:szCs w:val="22"/>
        </w:rPr>
        <w:sym w:font="HQPB5" w:char="F07C"/>
      </w:r>
      <w:r>
        <w:rPr>
          <w:color w:val="000000"/>
          <w:sz w:val="22"/>
          <w:szCs w:val="22"/>
        </w:rPr>
        <w:sym w:font="HQPB1" w:char="F0C1"/>
      </w:r>
      <w:r>
        <w:rPr>
          <w:color w:val="000000"/>
          <w:sz w:val="22"/>
          <w:szCs w:val="22"/>
        </w:rPr>
        <w:sym w:font="HQPB5" w:char="F075"/>
      </w:r>
      <w:r>
        <w:rPr>
          <w:color w:val="000000"/>
          <w:sz w:val="22"/>
          <w:szCs w:val="22"/>
        </w:rPr>
        <w:sym w:font="HQPB2" w:char="F04B"/>
      </w:r>
      <w:r>
        <w:rPr>
          <w:color w:val="000000"/>
          <w:sz w:val="22"/>
          <w:szCs w:val="22"/>
        </w:rPr>
        <w:sym w:font="HQPB4" w:char="F0F8"/>
      </w:r>
      <w:r>
        <w:rPr>
          <w:color w:val="000000"/>
          <w:sz w:val="22"/>
          <w:szCs w:val="22"/>
        </w:rPr>
        <w:sym w:font="HQPB1" w:char="F083"/>
      </w:r>
      <w:r>
        <w:rPr>
          <w:color w:val="000000"/>
          <w:sz w:val="22"/>
          <w:szCs w:val="22"/>
        </w:rPr>
        <w:sym w:font="HQPB5" w:char="F078"/>
      </w:r>
      <w:r>
        <w:rPr>
          <w:color w:val="000000"/>
          <w:sz w:val="22"/>
          <w:szCs w:val="22"/>
        </w:rPr>
        <w:sym w:font="HQPB2" w:char="F043"/>
      </w:r>
      <w:r>
        <w:rPr>
          <w:color w:val="000000"/>
          <w:sz w:val="22"/>
          <w:szCs w:val="22"/>
          <w:rtl/>
        </w:rPr>
        <w:t xml:space="preserve"> </w:t>
      </w:r>
      <w:r>
        <w:rPr>
          <w:color w:val="000000"/>
          <w:sz w:val="22"/>
          <w:szCs w:val="22"/>
        </w:rPr>
        <w:sym w:font="HQPB2" w:char="F0E1"/>
      </w:r>
      <w:r>
        <w:rPr>
          <w:rFonts w:hint="eastAsia"/>
          <w:rtl/>
        </w:rPr>
        <w:t>»</w:t>
      </w:r>
      <w:r>
        <w:rPr>
          <w:rFonts w:hint="cs"/>
          <w:rtl/>
        </w:rPr>
        <w:t>. من الآية رقم (3) من سورة (المائدة).</w:t>
      </w:r>
    </w:p>
    <w:p w:rsidR="00035BE3" w:rsidRDefault="00035BE3" w:rsidP="00C10469">
      <w:pPr>
        <w:pStyle w:val="a6"/>
        <w:spacing w:line="500" w:lineRule="exact"/>
        <w:ind w:left="422" w:firstLine="0"/>
        <w:rPr>
          <w:rtl/>
        </w:rPr>
      </w:pPr>
      <w:r>
        <w:rPr>
          <w:rFonts w:hint="cs"/>
          <w:b/>
          <w:bCs/>
          <w:rtl/>
        </w:rPr>
        <w:t>أما في الاصطلاح</w:t>
      </w:r>
      <w:r>
        <w:rPr>
          <w:rFonts w:hint="cs"/>
          <w:rtl/>
        </w:rPr>
        <w:t xml:space="preserve"> : فـ </w:t>
      </w:r>
      <w:r>
        <w:rPr>
          <w:rFonts w:hint="eastAsia"/>
          <w:rtl/>
        </w:rPr>
        <w:t>«</w:t>
      </w:r>
      <w:r>
        <w:rPr>
          <w:rFonts w:hint="cs"/>
          <w:rtl/>
        </w:rPr>
        <w:t>معنى الضرورة في المخمصة : أنه لو امتنع عن التناول يخاف تلف النفس أو العضو</w:t>
      </w:r>
      <w:r>
        <w:rPr>
          <w:rFonts w:hint="eastAsia"/>
          <w:rtl/>
        </w:rPr>
        <w:t>»</w:t>
      </w:r>
      <w:r>
        <w:rPr>
          <w:rFonts w:hint="cs"/>
          <w:rtl/>
        </w:rPr>
        <w:t>. وهذا اختيار صاحب (كشف الأسرار).</w:t>
      </w:r>
    </w:p>
    <w:p w:rsidR="00035BE3" w:rsidRDefault="00035BE3" w:rsidP="00C10469">
      <w:pPr>
        <w:pStyle w:val="a6"/>
        <w:spacing w:line="500" w:lineRule="exact"/>
        <w:ind w:left="422" w:firstLine="0"/>
        <w:rPr>
          <w:rtl/>
        </w:rPr>
      </w:pPr>
      <w:r>
        <w:rPr>
          <w:rFonts w:hint="cs"/>
          <w:rtl/>
        </w:rPr>
        <w:t xml:space="preserve">ومن التعريفات المعاصرة تعريف د. نزيه حمّاد لها بأنها: </w:t>
      </w:r>
      <w:r>
        <w:rPr>
          <w:rFonts w:hint="eastAsia"/>
          <w:rtl/>
        </w:rPr>
        <w:t>«</w:t>
      </w:r>
      <w:r>
        <w:rPr>
          <w:rFonts w:hint="cs"/>
          <w:rtl/>
        </w:rPr>
        <w:t>الحالة الملجئة لاقتراف الممنوع، أو ترك فعل المطلوب؛ بحيث يغلب على ظن المكلف أنه إن لم يرتكب المحظور : هَلَكَ، أو لحقه ضرر جسيم ببدنه أو ماله أو عرضه، مما يجعله فاقد الرِّضا بما يأتي، وإن اختاره لمفسدته المرجوحة</w:t>
      </w:r>
      <w:r>
        <w:rPr>
          <w:rFonts w:hint="eastAsia"/>
          <w:rtl/>
        </w:rPr>
        <w:t>»</w:t>
      </w:r>
      <w:r>
        <w:rPr>
          <w:rFonts w:hint="cs"/>
          <w:rtl/>
        </w:rPr>
        <w:t>.</w:t>
      </w:r>
    </w:p>
    <w:p w:rsidR="00035BE3" w:rsidRDefault="00035BE3" w:rsidP="00C10469">
      <w:pPr>
        <w:pStyle w:val="a6"/>
        <w:spacing w:line="500" w:lineRule="exact"/>
        <w:ind w:left="422" w:firstLine="0"/>
        <w:rPr>
          <w:rtl/>
        </w:rPr>
      </w:pPr>
      <w:r>
        <w:rPr>
          <w:rFonts w:hint="cs"/>
          <w:b/>
          <w:bCs/>
          <w:rtl/>
        </w:rPr>
        <w:t>ولثوتيق ما سبق</w:t>
      </w:r>
      <w:r>
        <w:rPr>
          <w:rFonts w:hint="cs"/>
          <w:rtl/>
        </w:rPr>
        <w:t xml:space="preserve"> : فإن المعنى اللغوي للضرورة منقول من المقاييس في اللغة، مادة </w:t>
      </w:r>
      <w:r>
        <w:rPr>
          <w:rFonts w:hint="eastAsia"/>
          <w:rtl/>
        </w:rPr>
        <w:t>«</w:t>
      </w:r>
      <w:r>
        <w:rPr>
          <w:rFonts w:hint="cs"/>
          <w:rtl/>
        </w:rPr>
        <w:t>ضرّ</w:t>
      </w:r>
      <w:r>
        <w:rPr>
          <w:rFonts w:hint="eastAsia"/>
          <w:rtl/>
        </w:rPr>
        <w:t>»</w:t>
      </w:r>
      <w:r>
        <w:rPr>
          <w:rFonts w:hint="cs"/>
          <w:rtl/>
        </w:rPr>
        <w:t xml:space="preserve">؛ مفردات ألفاظ القرآن، مادة </w:t>
      </w:r>
      <w:r>
        <w:rPr>
          <w:rFonts w:hint="eastAsia"/>
          <w:rtl/>
        </w:rPr>
        <w:t>«</w:t>
      </w:r>
      <w:r>
        <w:rPr>
          <w:rFonts w:hint="cs"/>
          <w:rtl/>
        </w:rPr>
        <w:t>ضرّ</w:t>
      </w:r>
      <w:r>
        <w:rPr>
          <w:rFonts w:hint="eastAsia"/>
          <w:rtl/>
        </w:rPr>
        <w:t>»</w:t>
      </w:r>
      <w:r>
        <w:rPr>
          <w:rFonts w:hint="cs"/>
          <w:rtl/>
        </w:rPr>
        <w:t xml:space="preserve">، ص320؛ وانظر القاموس المحيط، مادة </w:t>
      </w:r>
      <w:r>
        <w:rPr>
          <w:rFonts w:hint="eastAsia"/>
          <w:rtl/>
        </w:rPr>
        <w:t>«</w:t>
      </w:r>
      <w:r>
        <w:rPr>
          <w:rFonts w:hint="cs"/>
          <w:rtl/>
        </w:rPr>
        <w:t>ضر</w:t>
      </w:r>
      <w:r>
        <w:rPr>
          <w:rFonts w:hint="eastAsia"/>
          <w:rtl/>
        </w:rPr>
        <w:t>»</w:t>
      </w:r>
      <w:r>
        <w:rPr>
          <w:rFonts w:hint="cs"/>
          <w:rtl/>
        </w:rPr>
        <w:t xml:space="preserve">، ص 550. </w:t>
      </w:r>
    </w:p>
    <w:p w:rsidR="00035BE3" w:rsidRDefault="00035BE3" w:rsidP="00C10469">
      <w:pPr>
        <w:pStyle w:val="a6"/>
        <w:spacing w:line="500" w:lineRule="exact"/>
        <w:ind w:left="422" w:firstLine="0"/>
        <w:rPr>
          <w:rtl/>
        </w:rPr>
      </w:pPr>
      <w:r>
        <w:rPr>
          <w:rFonts w:hint="cs"/>
          <w:rtl/>
        </w:rPr>
        <w:t xml:space="preserve">والمعنى الاصطلاحي من كشف الأسرار، 4/660؛ معجم المصـطلحات الاقتصادية في لغة الفقهاء، </w:t>
      </w:r>
      <w:r w:rsidRPr="003C40D7">
        <w:rPr>
          <w:rFonts w:hint="cs"/>
          <w:spacing w:val="-4"/>
          <w:rtl/>
        </w:rPr>
        <w:t>ص220؛ وانظر: نظرية الضرورة الشرعية للدكتور وهبة، ص66-68؛ ولجميل مبارك، ص 24-29.</w:t>
      </w:r>
    </w:p>
  </w:footnote>
  <w:footnote w:id="96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الصائل في اللغة</w:t>
      </w:r>
      <w:r>
        <w:rPr>
          <w:rFonts w:hint="cs"/>
          <w:rtl/>
        </w:rPr>
        <w:t xml:space="preserve">: اسم فاعل من (صول)، والصاد والواو واللام - كما يقول ابن فـارس-: </w:t>
      </w:r>
      <w:r>
        <w:rPr>
          <w:rFonts w:hint="eastAsia"/>
          <w:rtl/>
        </w:rPr>
        <w:t>«</w:t>
      </w:r>
      <w:r>
        <w:rPr>
          <w:rFonts w:hint="cs"/>
          <w:rtl/>
        </w:rPr>
        <w:t>أصل</w:t>
      </w:r>
    </w:p>
    <w:p w:rsidR="00035BE3" w:rsidRDefault="00035BE3" w:rsidP="00C10469">
      <w:pPr>
        <w:pStyle w:val="a6"/>
        <w:ind w:left="422" w:firstLine="0"/>
        <w:rPr>
          <w:rtl/>
        </w:rPr>
      </w:pPr>
      <w:r>
        <w:rPr>
          <w:rFonts w:hint="cs"/>
          <w:rtl/>
        </w:rPr>
        <w:t xml:space="preserve"> صحيح يدل على قهر وعلّو</w:t>
      </w:r>
      <w:r>
        <w:rPr>
          <w:rFonts w:hint="eastAsia"/>
          <w:rtl/>
        </w:rPr>
        <w:t>»</w:t>
      </w:r>
      <w:r>
        <w:rPr>
          <w:rFonts w:hint="cs"/>
          <w:rtl/>
        </w:rPr>
        <w:t xml:space="preserve">. ومن هذا الأصل ما جاء في (اللسان) : </w:t>
      </w:r>
      <w:r>
        <w:rPr>
          <w:rFonts w:hint="eastAsia"/>
          <w:rtl/>
        </w:rPr>
        <w:t>«</w:t>
      </w:r>
      <w:r>
        <w:rPr>
          <w:rFonts w:hint="cs"/>
          <w:rtl/>
        </w:rPr>
        <w:t>... وصال عليه: وثب ... وصال الجملُ صِيالاً وصُوالاً، وهو جمل صؤول، وهو الذي يأكل راعيه، ويواثب الناس فيأكلهم...، وصال الفحل على الإبل صولاً فهو صؤول : قاتلها وقدّمها</w:t>
      </w:r>
      <w:r>
        <w:rPr>
          <w:rFonts w:hint="eastAsia"/>
          <w:rtl/>
        </w:rPr>
        <w:t>»</w:t>
      </w:r>
      <w:r>
        <w:rPr>
          <w:rFonts w:hint="cs"/>
          <w:rtl/>
        </w:rPr>
        <w:t>.</w:t>
      </w:r>
    </w:p>
    <w:p w:rsidR="00035BE3" w:rsidRDefault="00035BE3" w:rsidP="00C10469">
      <w:pPr>
        <w:pStyle w:val="a6"/>
        <w:ind w:left="422" w:firstLine="0"/>
        <w:rPr>
          <w:rtl/>
        </w:rPr>
      </w:pPr>
      <w:r>
        <w:rPr>
          <w:rFonts w:hint="cs"/>
          <w:rtl/>
        </w:rPr>
        <w:t>فالجمل الصائل على الإنسان هو القاصد الوثوب عليه ليقتله.</w:t>
      </w:r>
    </w:p>
    <w:p w:rsidR="00035BE3" w:rsidRDefault="00035BE3" w:rsidP="00C10469">
      <w:pPr>
        <w:pStyle w:val="a6"/>
        <w:ind w:left="422" w:firstLine="0"/>
        <w:rPr>
          <w:rtl/>
        </w:rPr>
      </w:pPr>
      <w:r>
        <w:rPr>
          <w:rFonts w:hint="cs"/>
          <w:rtl/>
        </w:rPr>
        <w:t xml:space="preserve">المقاييس في اللغة، مادة </w:t>
      </w:r>
      <w:r>
        <w:rPr>
          <w:rFonts w:hint="eastAsia"/>
          <w:rtl/>
        </w:rPr>
        <w:t>«</w:t>
      </w:r>
      <w:r>
        <w:rPr>
          <w:rFonts w:hint="cs"/>
          <w:rtl/>
        </w:rPr>
        <w:t>صول</w:t>
      </w:r>
      <w:r>
        <w:rPr>
          <w:rFonts w:hint="eastAsia"/>
          <w:rtl/>
        </w:rPr>
        <w:t>»</w:t>
      </w:r>
      <w:r>
        <w:rPr>
          <w:rFonts w:hint="cs"/>
          <w:rtl/>
        </w:rPr>
        <w:t xml:space="preserve">، ص582؛ لسان العرب، مادة </w:t>
      </w:r>
      <w:r>
        <w:rPr>
          <w:rFonts w:hint="eastAsia"/>
          <w:rtl/>
        </w:rPr>
        <w:t>«</w:t>
      </w:r>
      <w:r>
        <w:rPr>
          <w:rFonts w:hint="cs"/>
          <w:rtl/>
        </w:rPr>
        <w:t>صول</w:t>
      </w:r>
      <w:r>
        <w:rPr>
          <w:rFonts w:hint="eastAsia"/>
          <w:rtl/>
        </w:rPr>
        <w:t>»</w:t>
      </w:r>
      <w:r>
        <w:rPr>
          <w:rFonts w:hint="cs"/>
          <w:rtl/>
        </w:rPr>
        <w:t xml:space="preserve">، 11/387؛ وانظر: القاموس المحيط، مادة </w:t>
      </w:r>
      <w:r>
        <w:rPr>
          <w:rFonts w:hint="eastAsia"/>
          <w:rtl/>
        </w:rPr>
        <w:t>«</w:t>
      </w:r>
      <w:r>
        <w:rPr>
          <w:rFonts w:hint="cs"/>
          <w:rtl/>
        </w:rPr>
        <w:t>صال</w:t>
      </w:r>
      <w:r>
        <w:rPr>
          <w:rFonts w:hint="eastAsia"/>
          <w:rtl/>
        </w:rPr>
        <w:t>»</w:t>
      </w:r>
      <w:r>
        <w:rPr>
          <w:rFonts w:hint="cs"/>
          <w:rtl/>
        </w:rPr>
        <w:t xml:space="preserve">، ص1323؛ الدّر النقي في شرح ألفاظ الخرقي، 3/762، فقرة 1529؛ المعجم الوسيط، مادة </w:t>
      </w:r>
      <w:r>
        <w:rPr>
          <w:rFonts w:hint="eastAsia"/>
          <w:rtl/>
        </w:rPr>
        <w:t>«</w:t>
      </w:r>
      <w:r>
        <w:rPr>
          <w:rFonts w:hint="cs"/>
          <w:rtl/>
        </w:rPr>
        <w:t>صال</w:t>
      </w:r>
      <w:r>
        <w:rPr>
          <w:rFonts w:hint="eastAsia"/>
          <w:rtl/>
        </w:rPr>
        <w:t>»</w:t>
      </w:r>
      <w:r>
        <w:rPr>
          <w:rFonts w:hint="cs"/>
          <w:rtl/>
        </w:rPr>
        <w:t>، 1/529.</w:t>
      </w:r>
    </w:p>
  </w:footnote>
  <w:footnote w:id="9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 xml:space="preserve">مضطرًا </w:t>
      </w:r>
      <w:r>
        <w:rPr>
          <w:rFonts w:hint="cs"/>
          <w:b/>
          <w:bCs/>
          <w:rtl/>
        </w:rPr>
        <w:t>له</w:t>
      </w:r>
      <w:r>
        <w:rPr>
          <w:rFonts w:hint="cs"/>
          <w:rtl/>
        </w:rPr>
        <w:t xml:space="preserve"> دفع</w:t>
      </w:r>
      <w:r>
        <w:rPr>
          <w:rFonts w:hint="eastAsia"/>
          <w:rtl/>
        </w:rPr>
        <w:t>»</w:t>
      </w:r>
      <w:r>
        <w:rPr>
          <w:rFonts w:hint="cs"/>
          <w:rtl/>
        </w:rPr>
        <w:t>.</w:t>
      </w:r>
    </w:p>
  </w:footnote>
  <w:footnote w:id="965">
    <w:p w:rsidR="00035BE3" w:rsidRPr="00566B7B" w:rsidRDefault="00035BE3" w:rsidP="00C10469">
      <w:pPr>
        <w:pStyle w:val="a8"/>
        <w:bidi/>
        <w:ind w:left="422" w:right="0"/>
        <w:rPr>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566B7B">
        <w:rPr>
          <w:rFonts w:hint="cs"/>
          <w:rtl/>
        </w:rPr>
        <w:t xml:space="preserve">انظر: مختصر اختلاف العلماء للجصَّاص، 5/210-211؛ فقرة 2308؛ طريقة الخلاف في الفقه بين الأئمة الأسلاف للأسمندي، ص493-496، مسألة 197؛ رؤوس المسائل، ص506؛ الهداية والعناية ونتائج الأفكار، 10/232؛ تبيين الحقائق، 6/110؛ تكملة البحر الرائق، 8/344؛ مجمع الضمانات، ص193. </w:t>
      </w:r>
    </w:p>
    <w:p w:rsidR="00035BE3" w:rsidRDefault="00035BE3" w:rsidP="00C10469">
      <w:pPr>
        <w:pStyle w:val="a6"/>
        <w:ind w:left="422" w:firstLine="0"/>
        <w:rPr>
          <w:rtl/>
        </w:rPr>
      </w:pPr>
      <w:r>
        <w:rPr>
          <w:rFonts w:hint="cs"/>
          <w:rtl/>
        </w:rPr>
        <w:t>وإذا كان الحنفية يرون الضمان على قاتل الجمل الصائل، فإن الجمهور على خلافهم حيث اسقطوا عنه الضمان. وبهذا قال الأئمة الثلاثة مالك والشافعي وأحمد.</w:t>
      </w:r>
    </w:p>
    <w:p w:rsidR="00035BE3" w:rsidRDefault="00035BE3" w:rsidP="00C10469">
      <w:pPr>
        <w:pStyle w:val="a6"/>
        <w:ind w:left="422" w:firstLine="0"/>
        <w:rPr>
          <w:spacing w:val="-6"/>
          <w:rtl/>
        </w:rPr>
      </w:pPr>
      <w:r>
        <w:rPr>
          <w:rFonts w:hint="cs"/>
          <w:spacing w:val="-6"/>
          <w:rtl/>
        </w:rPr>
        <w:t>انظر : الأم، 6/245؛ المغني، 12/530، مسألة 1610؛ الشرح الكبير وحاشية الدسوقي عليه، 4/287.</w:t>
      </w:r>
    </w:p>
  </w:footnote>
  <w:footnote w:id="9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مكونة من شقين :</w:t>
      </w:r>
    </w:p>
    <w:p w:rsidR="00035BE3" w:rsidRDefault="00035BE3" w:rsidP="00C10469">
      <w:pPr>
        <w:pStyle w:val="a6"/>
        <w:ind w:left="422" w:firstLine="0"/>
        <w:rPr>
          <w:rtl/>
        </w:rPr>
      </w:pPr>
      <w:r>
        <w:rPr>
          <w:rFonts w:hint="cs"/>
          <w:b/>
          <w:bCs/>
          <w:rtl/>
        </w:rPr>
        <w:t>أحدهما</w:t>
      </w:r>
      <w:r>
        <w:rPr>
          <w:rFonts w:hint="cs"/>
          <w:rtl/>
        </w:rPr>
        <w:t xml:space="preserve"> : إعمال الكلام أولى من إهماله متى أمكن.</w:t>
      </w:r>
    </w:p>
    <w:p w:rsidR="00035BE3" w:rsidRDefault="00035BE3" w:rsidP="00C10469">
      <w:pPr>
        <w:pStyle w:val="a6"/>
        <w:ind w:left="422" w:firstLine="0"/>
        <w:rPr>
          <w:rtl/>
        </w:rPr>
      </w:pPr>
      <w:r>
        <w:rPr>
          <w:rFonts w:hint="cs"/>
          <w:b/>
          <w:bCs/>
          <w:rtl/>
        </w:rPr>
        <w:t>الثاني</w:t>
      </w:r>
      <w:r>
        <w:rPr>
          <w:rFonts w:hint="cs"/>
          <w:rtl/>
        </w:rPr>
        <w:t xml:space="preserve"> : إذا لم يمكن إعمال الكلام يهمل.</w:t>
      </w:r>
    </w:p>
    <w:p w:rsidR="00035BE3" w:rsidRDefault="00035BE3" w:rsidP="00C10469">
      <w:pPr>
        <w:pStyle w:val="a6"/>
        <w:ind w:left="422" w:firstLine="0"/>
        <w:rPr>
          <w:rtl/>
        </w:rPr>
      </w:pPr>
      <w:r>
        <w:rPr>
          <w:rFonts w:hint="cs"/>
          <w:rtl/>
        </w:rPr>
        <w:t>ويتبين أنّ الثاني يمثل المفهوم المخالف للأول، وله فروع مختلفة عن الأول؛ ممّا يعنى أنّ له نوعَ استقلال؛ لهذا أفرده بعض العلماء في قاعدة مستقلة.</w:t>
      </w:r>
    </w:p>
    <w:p w:rsidR="00035BE3" w:rsidRDefault="00035BE3" w:rsidP="00C10469">
      <w:pPr>
        <w:pStyle w:val="a6"/>
        <w:ind w:left="422" w:firstLine="0"/>
        <w:rPr>
          <w:rtl/>
        </w:rPr>
      </w:pPr>
      <w:r>
        <w:rPr>
          <w:rFonts w:hint="cs"/>
          <w:rtl/>
        </w:rPr>
        <w:t>ولكنّ صنيع المؤلف فيه توسيعٌ لمدلول القاعدة وتكثيرٌ للقواعد والفروع المندرجةِ تحتها.</w:t>
      </w:r>
    </w:p>
    <w:p w:rsidR="00035BE3" w:rsidRDefault="00035BE3" w:rsidP="00C10469">
      <w:pPr>
        <w:pStyle w:val="a6"/>
        <w:ind w:left="422" w:firstLine="0"/>
        <w:rPr>
          <w:rtl/>
        </w:rPr>
      </w:pPr>
      <w:r>
        <w:rPr>
          <w:rFonts w:hint="cs"/>
          <w:rtl/>
        </w:rPr>
        <w:t>- ومن كتب القواعد التي أوردتها بشقَّيها معًا :</w:t>
      </w:r>
    </w:p>
    <w:p w:rsidR="00035BE3" w:rsidRDefault="00035BE3" w:rsidP="00C10469">
      <w:pPr>
        <w:pStyle w:val="a6"/>
        <w:ind w:left="422" w:firstLine="0"/>
        <w:rPr>
          <w:spacing w:val="-4"/>
          <w:rtl/>
        </w:rPr>
      </w:pPr>
      <w:r>
        <w:rPr>
          <w:rFonts w:hint="cs"/>
          <w:spacing w:val="-4"/>
          <w:rtl/>
        </w:rPr>
        <w:t xml:space="preserve">الأشباه والنظائر لابن نجيم، ص161؛ مجامع الحقائق (الخاتمة)، ص45؛ شرح العلائي لقواعـد الخادمي، </w:t>
      </w:r>
      <w:r w:rsidRPr="00EF3FEF">
        <w:rPr>
          <w:rFonts w:hint="cs"/>
          <w:spacing w:val="-6"/>
          <w:rtl/>
        </w:rPr>
        <w:t>ل9/ب؛ منافع الدقائق، 312- ولفظ المجامع (كما في النسخة الخطية، ل35/أ، وفي شرحيه</w:t>
      </w:r>
      <w:r w:rsidRPr="00BF4860">
        <w:rPr>
          <w:rFonts w:hint="cs"/>
          <w:rtl/>
        </w:rPr>
        <w:t xml:space="preserve"> المذكورين)-</w:t>
      </w:r>
      <w:r>
        <w:rPr>
          <w:rFonts w:hint="cs"/>
          <w:spacing w:val="-4"/>
          <w:rtl/>
        </w:rPr>
        <w:t xml:space="preserve">: </w:t>
      </w:r>
      <w:r>
        <w:rPr>
          <w:rFonts w:hint="eastAsia"/>
          <w:spacing w:val="-4"/>
          <w:rtl/>
        </w:rPr>
        <w:t>«</w:t>
      </w:r>
      <w:r>
        <w:rPr>
          <w:rFonts w:hint="cs"/>
          <w:spacing w:val="-4"/>
          <w:rtl/>
        </w:rPr>
        <w:t>إعمال الكلام أولى من إهماله إلا أن لا يمكن</w:t>
      </w:r>
      <w:r>
        <w:rPr>
          <w:rFonts w:hint="eastAsia"/>
          <w:spacing w:val="-4"/>
          <w:rtl/>
        </w:rPr>
        <w:t>»</w:t>
      </w:r>
      <w:r>
        <w:rPr>
          <w:rFonts w:hint="cs"/>
          <w:spacing w:val="-4"/>
          <w:rtl/>
        </w:rPr>
        <w:t>-؛ الفرائد البهية للحمزاوي، ص21، قاعدة 26؛ القواعد الفقية للـدكتور علي الندوي، ص394 - ولفظه:</w:t>
      </w:r>
      <w:r>
        <w:rPr>
          <w:rFonts w:hint="eastAsia"/>
          <w:spacing w:val="-4"/>
          <w:rtl/>
        </w:rPr>
        <w:t xml:space="preserve"> «</w:t>
      </w:r>
      <w:r>
        <w:rPr>
          <w:rFonts w:hint="cs"/>
          <w:spacing w:val="-4"/>
          <w:rtl/>
        </w:rPr>
        <w:t>إعمال الكلام أولى من إهماله ما لم يتعذر</w:t>
      </w:r>
      <w:r>
        <w:rPr>
          <w:rFonts w:hint="eastAsia"/>
          <w:spacing w:val="-4"/>
          <w:rtl/>
        </w:rPr>
        <w:t>»</w:t>
      </w:r>
      <w:r>
        <w:rPr>
          <w:rFonts w:hint="cs"/>
          <w:spacing w:val="-4"/>
          <w:rtl/>
        </w:rPr>
        <w:t>-.</w:t>
      </w:r>
    </w:p>
    <w:p w:rsidR="00035BE3" w:rsidRPr="000015F2" w:rsidRDefault="00035BE3" w:rsidP="00C10469">
      <w:pPr>
        <w:pStyle w:val="a6"/>
        <w:ind w:left="422" w:firstLine="0"/>
        <w:rPr>
          <w:spacing w:val="4"/>
          <w:rtl/>
        </w:rPr>
      </w:pPr>
      <w:r>
        <w:rPr>
          <w:rFonts w:hint="cs"/>
          <w:rtl/>
        </w:rPr>
        <w:t xml:space="preserve">- </w:t>
      </w:r>
      <w:r w:rsidRPr="000015F2">
        <w:rPr>
          <w:rFonts w:hint="cs"/>
          <w:spacing w:val="-4"/>
          <w:rtl/>
        </w:rPr>
        <w:t xml:space="preserve">ومن الكتب التي جعلت كل شقٍّ منها في قاعدة مستقلة، أو وَرَدَ الشقُّ الثاني منها في أثناء شرح الشق الأول كالقيد له : الأشباه والنظائر لابن السبكي، 1/171-174؛ وقد أشار إلى الشق الثاني بقوله: </w:t>
      </w:r>
      <w:r w:rsidRPr="000015F2">
        <w:rPr>
          <w:rFonts w:hint="eastAsia"/>
          <w:spacing w:val="-4"/>
          <w:rtl/>
        </w:rPr>
        <w:t>«</w:t>
      </w:r>
      <w:r w:rsidRPr="000015F2">
        <w:rPr>
          <w:rFonts w:hint="cs"/>
          <w:spacing w:val="-4"/>
          <w:rtl/>
        </w:rPr>
        <w:t>محل القاعدة فيما إذا استوى الإعمال والإهمال بالنسبة في الكلام أو تقاربا … أما إذا بعد عن اللفظ وصار بالنسبة إليه كاللغز : فما الإعمال راجحًا …</w:t>
      </w:r>
      <w:r w:rsidRPr="000015F2">
        <w:rPr>
          <w:rFonts w:hint="eastAsia"/>
          <w:spacing w:val="-4"/>
          <w:rtl/>
        </w:rPr>
        <w:t>»</w:t>
      </w:r>
      <w:r w:rsidRPr="000015F2">
        <w:rPr>
          <w:rFonts w:hint="cs"/>
          <w:spacing w:val="-4"/>
          <w:rtl/>
        </w:rPr>
        <w:t xml:space="preserve">؛ الأشباه والنظائر للسيوطي، 1/301- وقد نقل عن السبكي ووالده نحو القيد السابق-؛ وكذلك فعل صاحب الأقمار المضيئة، ص181-183؛ مجلة الأحكام العدلية، مادة 60 و62- ونصُّ المادَّتين : </w:t>
      </w:r>
      <w:r w:rsidRPr="000015F2">
        <w:rPr>
          <w:rFonts w:hint="eastAsia"/>
          <w:spacing w:val="-4"/>
          <w:rtl/>
        </w:rPr>
        <w:t>«</w:t>
      </w:r>
      <w:r w:rsidRPr="000015F2">
        <w:rPr>
          <w:rFonts w:hint="cs"/>
          <w:spacing w:val="-4"/>
          <w:rtl/>
        </w:rPr>
        <w:t>إعمال الكلام أولى من إهماله…</w:t>
      </w:r>
      <w:r w:rsidRPr="000015F2">
        <w:rPr>
          <w:rFonts w:hint="eastAsia"/>
          <w:spacing w:val="-4"/>
          <w:rtl/>
        </w:rPr>
        <w:t>»</w:t>
      </w:r>
      <w:r w:rsidRPr="000015F2">
        <w:rPr>
          <w:rFonts w:hint="cs"/>
          <w:spacing w:val="-4"/>
          <w:rtl/>
        </w:rPr>
        <w:t xml:space="preserve">، </w:t>
      </w:r>
      <w:r w:rsidRPr="000015F2">
        <w:rPr>
          <w:rFonts w:hint="eastAsia"/>
          <w:spacing w:val="-4"/>
          <w:rtl/>
        </w:rPr>
        <w:t>«</w:t>
      </w:r>
      <w:r w:rsidRPr="000015F2">
        <w:rPr>
          <w:rFonts w:hint="cs"/>
          <w:spacing w:val="-4"/>
          <w:rtl/>
        </w:rPr>
        <w:t>إذا تعذر إعمال الكلام يهمل …</w:t>
      </w:r>
      <w:r w:rsidRPr="000015F2">
        <w:rPr>
          <w:rFonts w:hint="eastAsia"/>
          <w:spacing w:val="-4"/>
          <w:rtl/>
        </w:rPr>
        <w:t>»</w:t>
      </w:r>
      <w:r w:rsidRPr="000015F2">
        <w:rPr>
          <w:rFonts w:hint="cs"/>
          <w:spacing w:val="-4"/>
          <w:rtl/>
        </w:rPr>
        <w:t xml:space="preserve">- ؛ شرحها لسليم رستم، 1/44؛ ولعلي حيدر، 1/53، 54-55؛ وللأتاسي، 1/151-156، 162-165؛ شرح قواعدها للزرقا، ص315-316، 319-320؛ قواعد الفقه للمجدِّدي، ص56، قاعدة 20، وص60، قاعدة 38؛ المدخل الفقهي العام، 2/1001-1002، فقرة 615، وص1007-1008، فقرة 622؛ القواعد الفقهية للدكتور الندوي، ص393-394؛ المبادئ الفقهية، ص38، 39؛ القواعد الفقهية للدعّاس، ص63-64، قاعدة 44؛ وص71، قاعدة 51؛ وللدكتور الزحيلي، ص74، 76؛ مـوسـوعة القواعد الـفقهية، 1/289-290، 2/219-220، 4/306؛ الوجيز، ص23، 257-259؛ القواعد </w:t>
      </w:r>
      <w:r>
        <w:rPr>
          <w:rFonts w:hint="cs"/>
          <w:rtl/>
        </w:rPr>
        <w:t xml:space="preserve">الفقهية لشيخنا أ.د. صالح السدلان، ص170-173؛ القواعد </w:t>
      </w:r>
      <w:r w:rsidRPr="000015F2">
        <w:rPr>
          <w:rFonts w:hint="cs"/>
          <w:spacing w:val="4"/>
          <w:rtl/>
        </w:rPr>
        <w:t>الكبرى للعجـلان، ص103-106؛ الـمدخل إلى القواعد الفقهية الكلية، ص117-119.</w:t>
      </w:r>
      <w:r>
        <w:rPr>
          <w:rFonts w:hint="cs"/>
          <w:spacing w:val="4"/>
          <w:rtl/>
        </w:rPr>
        <w:t xml:space="preserve"> </w:t>
      </w:r>
    </w:p>
    <w:p w:rsidR="00035BE3" w:rsidRDefault="00035BE3" w:rsidP="00C10469">
      <w:pPr>
        <w:pStyle w:val="a6"/>
        <w:ind w:left="422" w:firstLine="0"/>
        <w:rPr>
          <w:rtl/>
        </w:rPr>
      </w:pPr>
      <w:r>
        <w:rPr>
          <w:rFonts w:hint="cs"/>
          <w:rtl/>
        </w:rPr>
        <w:t xml:space="preserve"> - كما ورد الشق الأول منها في عدة كتب، منها :</w:t>
      </w:r>
    </w:p>
    <w:p w:rsidR="00035BE3" w:rsidRDefault="00035BE3" w:rsidP="00C10469">
      <w:pPr>
        <w:pStyle w:val="a6"/>
        <w:ind w:left="422" w:firstLine="0"/>
        <w:rPr>
          <w:rtl/>
        </w:rPr>
      </w:pPr>
      <w:r>
        <w:rPr>
          <w:rFonts w:hint="cs"/>
          <w:rtl/>
        </w:rPr>
        <w:t xml:space="preserve">تأسيس النظر، ص 29-31 - ولفظه : </w:t>
      </w:r>
      <w:r>
        <w:rPr>
          <w:rFonts w:hint="eastAsia"/>
          <w:rtl/>
        </w:rPr>
        <w:t>«</w:t>
      </w:r>
      <w:r>
        <w:rPr>
          <w:rFonts w:hint="cs"/>
          <w:rtl/>
        </w:rPr>
        <w:t>الأصل عند أبي حنيفة : إن من جمع في كلامه بين ما يتعلق به الحكم وما لا يتعلق به الحكم فلا عبرة لما لا يتعلق به الحكم</w:t>
      </w:r>
      <w:r>
        <w:rPr>
          <w:rFonts w:hint="eastAsia"/>
          <w:rtl/>
        </w:rPr>
        <w:t>»</w:t>
      </w:r>
      <w:r>
        <w:rPr>
          <w:rFonts w:hint="cs"/>
          <w:rtl/>
        </w:rPr>
        <w:t xml:space="preserve">-؛ المنثور في القواعد، 1/183؛ مختصر من قواعد العلائي وكلام الإسنوي، 1/377، -ولفظه : </w:t>
      </w:r>
      <w:r>
        <w:rPr>
          <w:rFonts w:hint="eastAsia"/>
          <w:rtl/>
        </w:rPr>
        <w:t>«</w:t>
      </w:r>
      <w:r>
        <w:rPr>
          <w:rFonts w:hint="cs"/>
          <w:rtl/>
        </w:rPr>
        <w:t>إذا أمكن إعمـال اللفظ فهو أولى من إلغائه</w:t>
      </w:r>
      <w:r>
        <w:rPr>
          <w:rFonts w:hint="eastAsia"/>
          <w:rtl/>
        </w:rPr>
        <w:t>»</w:t>
      </w:r>
      <w:r>
        <w:rPr>
          <w:rFonts w:hint="cs"/>
          <w:rtl/>
        </w:rPr>
        <w:t xml:space="preserve">-؛ الفرائد البهية للحمزاوي، ص159، قاعدة 208 - وقد سبقت الإشارة إلى أنه : ذكر القاعدة بشقيها أيضًا في موضع آخر (وهو ص21)-؛ القواعد الفقهية للدكتور الندوي، ص144-145- وقد سبقت الإشارة إلى ذكره للقاعدة بشقيها أيضًا- ؛ القواعد والضوابط المستخلصة من التحرير، ص160- ولفظه : </w:t>
      </w:r>
      <w:r>
        <w:rPr>
          <w:rFonts w:hint="eastAsia"/>
          <w:rtl/>
        </w:rPr>
        <w:t>«</w:t>
      </w:r>
      <w:r>
        <w:rPr>
          <w:rFonts w:hint="cs"/>
          <w:rtl/>
        </w:rPr>
        <w:t>… كلام العاقل يعتبر صحيحًا ما أمكن</w:t>
      </w:r>
      <w:r>
        <w:rPr>
          <w:rFonts w:hint="eastAsia"/>
          <w:rtl/>
        </w:rPr>
        <w:t>»</w:t>
      </w:r>
      <w:r>
        <w:rPr>
          <w:rFonts w:hint="cs"/>
          <w:rtl/>
        </w:rPr>
        <w:t xml:space="preserve">، وقد أحالها إلى (نكت الجامع الكبير) للكرماني، ل213/ب-، وأيضًا ص481، 484- وقد أحال فيهما إلى التحرير، 4/1084 و1/705، 3/569، 3/793، ولفظ التحرير الأول : </w:t>
      </w:r>
      <w:r>
        <w:rPr>
          <w:rFonts w:hint="eastAsia"/>
          <w:rtl/>
        </w:rPr>
        <w:t>«</w:t>
      </w:r>
      <w:r>
        <w:rPr>
          <w:rFonts w:hint="cs"/>
          <w:rtl/>
        </w:rPr>
        <w:t>الإعمال أولى من الإهمال</w:t>
      </w:r>
      <w:r>
        <w:rPr>
          <w:rFonts w:hint="eastAsia"/>
          <w:rtl/>
        </w:rPr>
        <w:t>»</w:t>
      </w:r>
      <w:r>
        <w:rPr>
          <w:rFonts w:hint="cs"/>
          <w:rtl/>
        </w:rPr>
        <w:t>.</w:t>
      </w:r>
    </w:p>
    <w:p w:rsidR="00035BE3" w:rsidRDefault="00035BE3" w:rsidP="00C10469">
      <w:pPr>
        <w:pStyle w:val="a6"/>
        <w:ind w:left="422" w:firstLine="0"/>
        <w:rPr>
          <w:rtl/>
        </w:rPr>
      </w:pPr>
      <w:r>
        <w:rPr>
          <w:rFonts w:hint="cs"/>
          <w:rtl/>
        </w:rPr>
        <w:t>- وكما وردت هذه القاعدة في كتب القواعد الفقهية وردت أيضًا في كتب الفقه والتخـريج ومن هذه الكتب : المبسوط، 6/62، 9/26-27؛ المقدمات الممهدات، 1/415؛ الدّرر شرح الغرر، 2/3 ،306، 396، 400، 436، 445؛ التـمهيـد للإسنوي، ص151-152؛ الـوصـول إلى قواعـد الأصـول، 1/178-188.</w:t>
      </w:r>
    </w:p>
    <w:p w:rsidR="00035BE3" w:rsidRDefault="00035BE3" w:rsidP="00C10469">
      <w:pPr>
        <w:pStyle w:val="a6"/>
        <w:ind w:left="422" w:firstLine="0"/>
        <w:rPr>
          <w:rtl/>
        </w:rPr>
      </w:pPr>
      <w:r>
        <w:rPr>
          <w:rFonts w:hint="cs"/>
          <w:rtl/>
        </w:rPr>
        <w:t xml:space="preserve">- وقبل الانتهاء من توثيق القاعدة تجدر الإشارة إلى أن هناك </w:t>
      </w:r>
      <w:r>
        <w:rPr>
          <w:rFonts w:hint="cs"/>
          <w:b/>
          <w:bCs/>
          <w:rtl/>
        </w:rPr>
        <w:t>رسالة ماجستير</w:t>
      </w:r>
      <w:r>
        <w:rPr>
          <w:rFonts w:hint="cs"/>
          <w:rtl/>
        </w:rPr>
        <w:t xml:space="preserve"> مطـبوعة بعنوان </w:t>
      </w:r>
      <w:r>
        <w:rPr>
          <w:rFonts w:hint="eastAsia"/>
          <w:rtl/>
        </w:rPr>
        <w:t>«</w:t>
      </w:r>
      <w:r>
        <w:rPr>
          <w:rFonts w:hint="cs"/>
          <w:rtl/>
        </w:rPr>
        <w:t>القاعدة الكلية : إعمال الكلام أولى من إهماله، وأثرها في الأصول</w:t>
      </w:r>
      <w:r>
        <w:rPr>
          <w:rFonts w:hint="eastAsia"/>
          <w:rtl/>
        </w:rPr>
        <w:t>»</w:t>
      </w:r>
      <w:r>
        <w:rPr>
          <w:rFonts w:hint="cs"/>
          <w:rtl/>
        </w:rPr>
        <w:t xml:space="preserve"> للشيخ محمود مصطفى عبود هرموش.</w:t>
      </w:r>
    </w:p>
    <w:p w:rsidR="00035BE3" w:rsidRDefault="00035BE3" w:rsidP="00C10469">
      <w:pPr>
        <w:pStyle w:val="a6"/>
        <w:ind w:left="422" w:firstLine="0"/>
        <w:rPr>
          <w:rtl/>
        </w:rPr>
      </w:pPr>
      <w:r>
        <w:rPr>
          <w:rFonts w:hint="cs"/>
          <w:rtl/>
        </w:rPr>
        <w:t>- وهذه القاعدة يظهر من تفريعات العلماء عليها وتعليلاتهم بها أنها من القواعد المتفق عليها.</w:t>
      </w:r>
    </w:p>
    <w:p w:rsidR="00035BE3" w:rsidRDefault="00035BE3" w:rsidP="00C10469">
      <w:pPr>
        <w:pStyle w:val="a6"/>
        <w:ind w:left="422" w:firstLine="0"/>
        <w:rPr>
          <w:rtl/>
        </w:rPr>
      </w:pPr>
      <w:r>
        <w:rPr>
          <w:rFonts w:hint="cs"/>
          <w:rtl/>
        </w:rPr>
        <w:t>ولهذا السبب ولأسباب أخرى؛ كسعة شمولها وكثرة القواعد الفرعية المندرجة تحتها : جعلها بعض المعاصرين قاعدة سادسة تضاف إلى القواعد الخمس الكلية الكبرى.</w:t>
      </w:r>
    </w:p>
    <w:p w:rsidR="00035BE3" w:rsidRDefault="00035BE3" w:rsidP="00C10469">
      <w:pPr>
        <w:pStyle w:val="a6"/>
        <w:ind w:left="422" w:firstLine="0"/>
        <w:rPr>
          <w:rtl/>
        </w:rPr>
      </w:pPr>
      <w:r>
        <w:rPr>
          <w:rFonts w:hint="cs"/>
          <w:rtl/>
        </w:rPr>
        <w:t>ومنهم : الدكتور محمد البورنو، والدكتور عبد الله العجلان، والشيخ محمود هرموش.</w:t>
      </w:r>
    </w:p>
    <w:p w:rsidR="00035BE3" w:rsidRDefault="00035BE3" w:rsidP="00C10469">
      <w:pPr>
        <w:pStyle w:val="a6"/>
        <w:ind w:left="422" w:firstLine="0"/>
        <w:rPr>
          <w:rtl/>
        </w:rPr>
      </w:pPr>
      <w:r>
        <w:rPr>
          <w:rFonts w:hint="cs"/>
          <w:rtl/>
        </w:rPr>
        <w:t xml:space="preserve">انظر : الوجيز، ص23؛ موسوعة القواعد الفقهية، 2/219-220؛ القواعد الكبرى، ص103-104، القاعدة الكلية : إعمال الكلام أولى من إهماله، ص481. </w:t>
      </w:r>
    </w:p>
    <w:p w:rsidR="00035BE3" w:rsidRDefault="00035BE3" w:rsidP="00C10469">
      <w:pPr>
        <w:pStyle w:val="a6"/>
        <w:ind w:left="422" w:firstLine="0"/>
        <w:rPr>
          <w:rtl/>
        </w:rPr>
      </w:pPr>
      <w:r>
        <w:rPr>
          <w:rFonts w:hint="cs"/>
          <w:b/>
          <w:bCs/>
          <w:rtl/>
        </w:rPr>
        <w:t>أما معناها</w:t>
      </w:r>
      <w:r>
        <w:rPr>
          <w:rFonts w:hint="cs"/>
          <w:rtl/>
        </w:rPr>
        <w:t xml:space="preserve"> : فـ </w:t>
      </w:r>
      <w:r>
        <w:rPr>
          <w:rFonts w:hint="eastAsia"/>
          <w:rtl/>
        </w:rPr>
        <w:t>«</w:t>
      </w:r>
      <w:r>
        <w:rPr>
          <w:rFonts w:hint="cs"/>
          <w:rtl/>
        </w:rPr>
        <w:t>إعمال الكلام : إعطاؤه حكمًا. وإهماله : عدم ترتب ثمرة عملية عليه</w:t>
      </w:r>
      <w:r>
        <w:rPr>
          <w:rFonts w:hint="eastAsia"/>
          <w:rtl/>
        </w:rPr>
        <w:t>»</w:t>
      </w:r>
      <w:r>
        <w:rPr>
          <w:rFonts w:hint="cs"/>
          <w:rtl/>
        </w:rPr>
        <w:t>.</w:t>
      </w:r>
    </w:p>
    <w:p w:rsidR="00035BE3" w:rsidRDefault="00035BE3" w:rsidP="00C10469">
      <w:pPr>
        <w:pStyle w:val="a6"/>
        <w:ind w:left="422" w:firstLine="0"/>
        <w:rPr>
          <w:rtl/>
        </w:rPr>
      </w:pPr>
      <w:r>
        <w:rPr>
          <w:rFonts w:hint="cs"/>
          <w:rtl/>
        </w:rPr>
        <w:t xml:space="preserve">إذا علم هذا فالمعنى الإجمالي لها هو: </w:t>
      </w:r>
      <w:r>
        <w:rPr>
          <w:rFonts w:hint="eastAsia"/>
          <w:rtl/>
        </w:rPr>
        <w:t>«</w:t>
      </w:r>
      <w:r>
        <w:rPr>
          <w:rFonts w:hint="cs"/>
          <w:rtl/>
        </w:rPr>
        <w:t>أن اللفظ الصادر في مقام التشريع أو التصرف إذا كان حمله على أحد المعاني الممكنة لا يترتب عليه حكم، وحمله على معنى آخر يترتب عليه حكم : فالواجب حمله على المعنى المفيد لحكم جديد؛ لأن خلافه إهمال وإلغاء، وأن كلام العقلاء يصان عن الإلغاء ما أمكن</w:t>
      </w:r>
      <w:r>
        <w:rPr>
          <w:rFonts w:hint="eastAsia"/>
          <w:rtl/>
        </w:rPr>
        <w:t>»</w:t>
      </w:r>
      <w:r>
        <w:rPr>
          <w:rFonts w:hint="cs"/>
          <w:rtl/>
        </w:rPr>
        <w:t>. هذا معنى الشقَّ الأول.</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80" w:lineRule="exact"/>
        <w:ind w:left="422" w:firstLine="0"/>
        <w:rPr>
          <w:rtl/>
        </w:rPr>
      </w:pPr>
      <w:r>
        <w:rPr>
          <w:rFonts w:hint="cs"/>
          <w:rtl/>
        </w:rPr>
        <w:t xml:space="preserve"> أما الشق الثاني فمعناه : أن تصرّف المكلف إذا كان </w:t>
      </w:r>
      <w:r>
        <w:rPr>
          <w:rFonts w:hint="eastAsia"/>
          <w:rtl/>
        </w:rPr>
        <w:t>«</w:t>
      </w:r>
      <w:r>
        <w:rPr>
          <w:rFonts w:hint="cs"/>
          <w:rtl/>
        </w:rPr>
        <w:t>لا يمكن حمله على معنى صحيح ولو مجازًا : فيكون لغوًا، فيهمل</w:t>
      </w:r>
      <w:r>
        <w:rPr>
          <w:rFonts w:hint="eastAsia"/>
          <w:rtl/>
        </w:rPr>
        <w:t>»</w:t>
      </w:r>
      <w:r>
        <w:rPr>
          <w:rFonts w:hint="cs"/>
          <w:rtl/>
        </w:rPr>
        <w:t>- وجميع النقول المذكورة في معنى القاعدة من المدخل الفقهي العام، 2/1001-1002، فقرة 615،وص 1007، فقرة 622.</w:t>
      </w:r>
    </w:p>
    <w:p w:rsidR="00035BE3" w:rsidRDefault="00035BE3" w:rsidP="00C10469">
      <w:pPr>
        <w:pStyle w:val="a6"/>
        <w:spacing w:line="480" w:lineRule="exact"/>
        <w:ind w:left="422" w:firstLine="0"/>
        <w:rPr>
          <w:rtl/>
        </w:rPr>
      </w:pPr>
      <w:r>
        <w:rPr>
          <w:rFonts w:hint="cs"/>
          <w:rtl/>
        </w:rPr>
        <w:t>علمًا بأن الشيخ محمود هرموش في رسالته المذكورة - ص335-476- قد أفرد بابًا مستقلاً تحدَّت فيه عن أثر القاعدة في أصول الفقه. وهذا يزيد القاعدة أهميةً وشمولاً.</w:t>
      </w:r>
    </w:p>
  </w:footnote>
  <w:footnote w:id="96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فإذا</w:t>
      </w:r>
      <w:r>
        <w:rPr>
          <w:rFonts w:hint="eastAsia"/>
          <w:rtl/>
        </w:rPr>
        <w:t>»</w:t>
      </w:r>
      <w:r>
        <w:rPr>
          <w:rFonts w:hint="cs"/>
          <w:rtl/>
        </w:rPr>
        <w:t>.</w:t>
      </w:r>
    </w:p>
  </w:footnote>
  <w:footnote w:id="96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تناول</w:t>
      </w:r>
      <w:r>
        <w:rPr>
          <w:rFonts w:hint="eastAsia"/>
          <w:rtl/>
        </w:rPr>
        <w:t>»</w:t>
      </w:r>
      <w:r>
        <w:rPr>
          <w:rFonts w:hint="cs"/>
          <w:rtl/>
        </w:rPr>
        <w:t>.</w:t>
      </w:r>
    </w:p>
  </w:footnote>
  <w:footnote w:id="96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حاصة</w:t>
      </w:r>
      <w:r>
        <w:rPr>
          <w:rFonts w:hint="eastAsia"/>
          <w:rtl/>
        </w:rPr>
        <w:t>»</w:t>
      </w:r>
      <w:r>
        <w:rPr>
          <w:rFonts w:hint="cs"/>
          <w:rtl/>
        </w:rPr>
        <w:t xml:space="preserve"> بالحاء المهملة. والصحيح ما تمّ إثباته من باقي النسخ.</w:t>
      </w:r>
    </w:p>
  </w:footnote>
  <w:footnote w:id="97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آخرًا </w:t>
      </w:r>
      <w:r>
        <w:rPr>
          <w:rFonts w:hint="cs"/>
          <w:rtl/>
        </w:rPr>
        <w:t xml:space="preserve">: أي آخر قوليه. وقد ورد التصريح بذلك في بعض كتب الفقه، ومن ذلك ما جاء في (الهداية)، 10/481 (مع تكملة فتح القدير) : </w:t>
      </w:r>
      <w:r>
        <w:rPr>
          <w:rFonts w:hint="eastAsia"/>
          <w:rtl/>
        </w:rPr>
        <w:t>«</w:t>
      </w:r>
      <w:r>
        <w:rPr>
          <w:rFonts w:hint="cs"/>
          <w:rtl/>
        </w:rPr>
        <w:t>ولو أوصى لبني فلان يدخل فيهم الإناث في قول أبي حنيفة أول قوليه. وهو قولهما؛ لأن جمع الذكور يتناول الإناث.</w:t>
      </w:r>
    </w:p>
    <w:p w:rsidR="00035BE3" w:rsidRDefault="00035BE3" w:rsidP="00C10469">
      <w:pPr>
        <w:pStyle w:val="a6"/>
        <w:spacing w:line="440" w:lineRule="exact"/>
        <w:ind w:left="422" w:firstLine="0"/>
        <w:rPr>
          <w:spacing w:val="-8"/>
          <w:rtl/>
        </w:rPr>
      </w:pPr>
      <w:r>
        <w:rPr>
          <w:rFonts w:hint="cs"/>
          <w:spacing w:val="-8"/>
          <w:rtl/>
        </w:rPr>
        <w:t>ثم رجع وقال: يتناول الذكور خاصَّة؛ لأن حقيقة الاسم للذكور وانتظامه للإناث تجوز والكلام لحقيقته ...</w:t>
      </w:r>
      <w:r>
        <w:rPr>
          <w:rFonts w:hint="eastAsia"/>
          <w:spacing w:val="-8"/>
          <w:rtl/>
        </w:rPr>
        <w:t>»</w:t>
      </w:r>
      <w:r>
        <w:rPr>
          <w:rFonts w:hint="cs"/>
          <w:spacing w:val="-8"/>
          <w:rtl/>
        </w:rPr>
        <w:t>.</w:t>
      </w:r>
    </w:p>
  </w:footnote>
  <w:footnote w:id="97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11/أ من (جـ). وقد جاء لفظ </w:t>
      </w:r>
      <w:r>
        <w:rPr>
          <w:rFonts w:hint="eastAsia"/>
          <w:rtl/>
        </w:rPr>
        <w:t>«</w:t>
      </w:r>
      <w:r>
        <w:rPr>
          <w:rFonts w:hint="cs"/>
          <w:rtl/>
        </w:rPr>
        <w:t>الإناث</w:t>
      </w:r>
      <w:r>
        <w:rPr>
          <w:rFonts w:hint="eastAsia"/>
          <w:rtl/>
        </w:rPr>
        <w:t>»</w:t>
      </w:r>
      <w:r>
        <w:rPr>
          <w:rFonts w:hint="cs"/>
          <w:rtl/>
        </w:rPr>
        <w:t xml:space="preserve"> معرّفًا بـ (أل) في جميع النسخ وفي بعض المصادر كالعناية والدّرر.</w:t>
      </w:r>
    </w:p>
    <w:p w:rsidR="00035BE3" w:rsidRDefault="00035BE3" w:rsidP="00C10469">
      <w:pPr>
        <w:pStyle w:val="a6"/>
        <w:spacing w:line="440" w:lineRule="exact"/>
        <w:ind w:left="422" w:firstLine="0"/>
        <w:rPr>
          <w:rtl/>
        </w:rPr>
      </w:pPr>
      <w:r>
        <w:rPr>
          <w:rFonts w:hint="cs"/>
          <w:rtl/>
        </w:rPr>
        <w:t xml:space="preserve">إلا أنه جاء في الهداية : </w:t>
      </w:r>
      <w:r>
        <w:rPr>
          <w:rFonts w:hint="eastAsia"/>
          <w:rtl/>
        </w:rPr>
        <w:t>«</w:t>
      </w:r>
      <w:r>
        <w:rPr>
          <w:rFonts w:hint="cs"/>
          <w:rtl/>
        </w:rPr>
        <w:t>للإناث</w:t>
      </w:r>
      <w:r>
        <w:rPr>
          <w:rFonts w:hint="eastAsia"/>
          <w:rtl/>
        </w:rPr>
        <w:t>»</w:t>
      </w:r>
      <w:r>
        <w:rPr>
          <w:rFonts w:hint="cs"/>
          <w:rtl/>
        </w:rPr>
        <w:t>. وهذا الأولى.</w:t>
      </w:r>
    </w:p>
  </w:footnote>
  <w:footnote w:id="97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يجوز</w:t>
      </w:r>
      <w:r>
        <w:rPr>
          <w:rFonts w:hint="eastAsia"/>
          <w:rtl/>
        </w:rPr>
        <w:t>»</w:t>
      </w:r>
      <w:r>
        <w:rPr>
          <w:rFonts w:hint="cs"/>
          <w:rtl/>
        </w:rPr>
        <w:t>.</w:t>
      </w:r>
    </w:p>
  </w:footnote>
  <w:footnote w:id="97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10/481 - وقد مرّ آنفًا نقلُ نصِّ الهداية-؛ الدُّرر شرح الغرر، 2/443.</w:t>
      </w:r>
    </w:p>
  </w:footnote>
  <w:footnote w:id="97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لكونه</w:t>
      </w:r>
      <w:r>
        <w:rPr>
          <w:rFonts w:hint="eastAsia"/>
          <w:rtl/>
        </w:rPr>
        <w:t>»</w:t>
      </w:r>
      <w:r>
        <w:rPr>
          <w:rFonts w:hint="cs"/>
          <w:rtl/>
        </w:rPr>
        <w:t>. وهذا الأولى.</w:t>
      </w:r>
    </w:p>
  </w:footnote>
  <w:footnote w:id="97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محجورًا</w:t>
      </w:r>
      <w:r>
        <w:rPr>
          <w:rFonts w:hint="eastAsia"/>
          <w:rtl/>
        </w:rPr>
        <w:t>»</w:t>
      </w:r>
      <w:r>
        <w:rPr>
          <w:rFonts w:hint="cs"/>
          <w:rtl/>
        </w:rPr>
        <w:t>.</w:t>
      </w:r>
    </w:p>
  </w:footnote>
  <w:footnote w:id="9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العبارة وهي : (وإن تعذر العمل به ... يهمل فإن كان له مجاز متعارف يعمل به).</w:t>
      </w:r>
    </w:p>
    <w:p w:rsidR="00035BE3" w:rsidRDefault="00035BE3" w:rsidP="00C10469">
      <w:pPr>
        <w:pStyle w:val="a6"/>
        <w:ind w:left="422" w:firstLine="0"/>
        <w:rPr>
          <w:rtl/>
        </w:rPr>
      </w:pPr>
      <w:r>
        <w:rPr>
          <w:rFonts w:hint="cs"/>
          <w:rtl/>
        </w:rPr>
        <w:t xml:space="preserve">بمعنى قاعدة مشهورة وهي : </w:t>
      </w:r>
      <w:r>
        <w:rPr>
          <w:rFonts w:hint="eastAsia"/>
          <w:rtl/>
        </w:rPr>
        <w:t>«</w:t>
      </w:r>
      <w:r>
        <w:rPr>
          <w:rFonts w:hint="cs"/>
          <w:rtl/>
        </w:rPr>
        <w:t>إذا تعذرت الحقيقة يصار إلى المجاز</w:t>
      </w:r>
      <w:r>
        <w:rPr>
          <w:rFonts w:hint="eastAsia"/>
          <w:rtl/>
        </w:rPr>
        <w:t>»</w:t>
      </w:r>
      <w:r>
        <w:rPr>
          <w:rFonts w:hint="cs"/>
          <w:rtl/>
        </w:rPr>
        <w:t>.</w:t>
      </w:r>
      <w:r>
        <w:rPr>
          <w:rFonts w:hint="cs"/>
          <w:rtl/>
        </w:rPr>
        <w:tab/>
      </w:r>
      <w:r>
        <w:rPr>
          <w:rFonts w:hint="cs"/>
          <w:rtl/>
        </w:rPr>
        <w:tab/>
      </w:r>
      <w:r>
        <w:rPr>
          <w:rFonts w:hint="cs"/>
          <w:rtl/>
        </w:rPr>
        <w:tab/>
      </w:r>
      <w:r>
        <w:rPr>
          <w:rFonts w:hint="cs"/>
          <w:rtl/>
        </w:rPr>
        <w:tab/>
      </w:r>
    </w:p>
    <w:p w:rsidR="00035BE3" w:rsidRDefault="00035BE3" w:rsidP="00C10469">
      <w:pPr>
        <w:pStyle w:val="a6"/>
        <w:ind w:left="422" w:firstLine="0"/>
        <w:rPr>
          <w:spacing w:val="-6"/>
          <w:rtl/>
        </w:rPr>
      </w:pPr>
      <w:r>
        <w:rPr>
          <w:rFonts w:hint="cs"/>
          <w:spacing w:val="-6"/>
          <w:rtl/>
        </w:rPr>
        <w:t>وللتوسع في هذه القاعدة  انظر : الأشباه والنظائر لابن الوكيل، 1/154؛ ولابن السبكي، 1/274؛ القواعد للحصني، 1/441؛ الأشباه والنظائر لابن نجيم، ص161؛ مجلة الأحكام العدلية، مادة 61؛ القواعد الفقهية للدكتور الندوي، ص459؛ الوجيز، ص263؛ موسوعة القواعد الفقهية، 1/291؛ المدخل إلى القواعد الفقهية الكلية، ص117؛ القاعدة الكلية : إعمال الكلام أولى من من إهماله، ص151-223.</w:t>
      </w:r>
    </w:p>
  </w:footnote>
  <w:footnote w:id="9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كما</w:t>
      </w:r>
      <w:r>
        <w:rPr>
          <w:rFonts w:hint="eastAsia"/>
          <w:rtl/>
        </w:rPr>
        <w:t>»</w:t>
      </w:r>
      <w:r>
        <w:rPr>
          <w:rFonts w:hint="cs"/>
          <w:rtl/>
        </w:rPr>
        <w:t xml:space="preserve"> : ساقطة من (جـ).</w:t>
      </w:r>
    </w:p>
  </w:footnote>
  <w:footnote w:id="9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الضمير يعود على : </w:t>
      </w:r>
      <w:r>
        <w:rPr>
          <w:rFonts w:hint="eastAsia"/>
          <w:rtl/>
        </w:rPr>
        <w:t>«</w:t>
      </w:r>
      <w:r>
        <w:rPr>
          <w:rFonts w:hint="cs"/>
          <w:rtl/>
        </w:rPr>
        <w:t>ثمنها</w:t>
      </w:r>
      <w:r>
        <w:rPr>
          <w:rFonts w:hint="eastAsia"/>
          <w:rtl/>
        </w:rPr>
        <w:t>»</w:t>
      </w:r>
      <w:r>
        <w:rPr>
          <w:rFonts w:hint="cs"/>
          <w:rtl/>
        </w:rPr>
        <w:t>.</w:t>
      </w:r>
    </w:p>
  </w:footnote>
  <w:footnote w:id="9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يأكل</w:t>
      </w:r>
      <w:r>
        <w:rPr>
          <w:rFonts w:hint="eastAsia"/>
          <w:rtl/>
        </w:rPr>
        <w:t>»</w:t>
      </w:r>
      <w:r>
        <w:rPr>
          <w:rFonts w:hint="cs"/>
          <w:rtl/>
        </w:rPr>
        <w:t>.</w:t>
      </w:r>
    </w:p>
  </w:footnote>
  <w:footnote w:id="9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كالخبر</w:t>
      </w:r>
      <w:r>
        <w:rPr>
          <w:rFonts w:hint="eastAsia"/>
          <w:rtl/>
        </w:rPr>
        <w:t>»</w:t>
      </w:r>
      <w:r>
        <w:rPr>
          <w:rFonts w:hint="cs"/>
          <w:rtl/>
        </w:rPr>
        <w:t>.</w:t>
      </w:r>
    </w:p>
  </w:footnote>
  <w:footnote w:id="9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التاء المربوطة زيادة من (ب). ولا يصح اللفظ إلا بها.</w:t>
      </w:r>
    </w:p>
  </w:footnote>
  <w:footnote w:id="9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 161- مع اختلاف في بعض الألفاظ وأبرزه أنه قال في آخر العبارة : </w:t>
      </w:r>
      <w:r>
        <w:rPr>
          <w:rFonts w:hint="eastAsia"/>
          <w:rtl/>
        </w:rPr>
        <w:t>«</w:t>
      </w:r>
      <w:r>
        <w:rPr>
          <w:rFonts w:hint="cs"/>
          <w:rtl/>
        </w:rPr>
        <w:t>...لم يحنث على الصحيح، والمهجور شرعًا أو عرفًا كالمتعذر</w:t>
      </w:r>
      <w:r>
        <w:rPr>
          <w:rFonts w:hint="eastAsia"/>
          <w:rtl/>
        </w:rPr>
        <w:t>»</w:t>
      </w:r>
      <w:r>
        <w:rPr>
          <w:rFonts w:hint="cs"/>
          <w:rtl/>
        </w:rPr>
        <w:t>؛ وانظر : الهداية والعناية وفتح القديـر، 5/117، 126؛ تبيين الحقائق، 3/125، 129؛ الدّرر شرح الغرر، 2/49.</w:t>
      </w:r>
    </w:p>
  </w:footnote>
  <w:footnote w:id="983">
    <w:p w:rsidR="00035BE3" w:rsidRDefault="00035BE3" w:rsidP="00C10469">
      <w:pPr>
        <w:pStyle w:val="a8"/>
        <w:bidi/>
        <w:ind w:left="422" w:right="0"/>
        <w:rPr>
          <w:spacing w:val="-20"/>
          <w:sz w:val="29"/>
          <w:szCs w:val="29"/>
          <w:rtl/>
        </w:rPr>
      </w:pPr>
      <w:r>
        <w:rPr>
          <w:rFonts w:hint="cs"/>
          <w:spacing w:val="-20"/>
          <w:vertAlign w:val="superscript"/>
          <w:rtl/>
        </w:rPr>
        <w:t>(</w:t>
      </w:r>
      <w:r>
        <w:rPr>
          <w:rStyle w:val="a7"/>
          <w:spacing w:val="-20"/>
        </w:rPr>
        <w:footnoteRef/>
      </w:r>
      <w:r>
        <w:rPr>
          <w:rFonts w:hint="cs"/>
          <w:spacing w:val="-20"/>
          <w:vertAlign w:val="superscript"/>
          <w:rtl/>
        </w:rPr>
        <w:t>)</w:t>
      </w:r>
      <w:r>
        <w:rPr>
          <w:rFonts w:hint="cs"/>
          <w:spacing w:val="-20"/>
          <w:rtl/>
        </w:rPr>
        <w:t xml:space="preserve">  </w:t>
      </w:r>
      <w:r>
        <w:rPr>
          <w:rFonts w:hint="cs"/>
          <w:spacing w:val="-20"/>
          <w:sz w:val="29"/>
          <w:szCs w:val="29"/>
          <w:rtl/>
        </w:rPr>
        <w:t xml:space="preserve"> يُلحظ أنّ (أو) هنا عُطف بها بعد همزة التسوية، وهذا ممّا نصّ كثير من أهلُ اللغة على عدم جوازه قياسًا أو كونه خلاف الأكثر الفصيح.</w:t>
      </w:r>
    </w:p>
    <w:p w:rsidR="00035BE3" w:rsidRDefault="00035BE3" w:rsidP="00C10469">
      <w:pPr>
        <w:pStyle w:val="a6"/>
        <w:ind w:left="422" w:firstLine="0"/>
        <w:rPr>
          <w:rtl/>
        </w:rPr>
      </w:pPr>
      <w:r>
        <w:rPr>
          <w:rFonts w:hint="cs"/>
          <w:rtl/>
        </w:rPr>
        <w:t xml:space="preserve">جاء في (مغني اللبيب)، 1/81 : </w:t>
      </w:r>
      <w:r>
        <w:rPr>
          <w:rFonts w:hint="eastAsia"/>
          <w:rtl/>
        </w:rPr>
        <w:t>«</w:t>
      </w:r>
      <w:r>
        <w:rPr>
          <w:rFonts w:hint="cs"/>
          <w:rtl/>
        </w:rPr>
        <w:t>مسألة : إذا عَطَفْتَ بعد الهمزة بـ (أو) : فإن كانت همزة التسوية لم يجر قياسًا. وقد أُولِعَ الفقهاء وغيرُهم بأن يقولوا : سواء كان كذا أو كذا. وهو نظير قولهم : يجب أقل الأمرين من كذا أو كذا. والصواب : العطف في الأول بـ (أم)، وفي الثاني بـ (الواو)...</w:t>
      </w:r>
      <w:r>
        <w:rPr>
          <w:rFonts w:hint="eastAsia"/>
          <w:rtl/>
        </w:rPr>
        <w:t>»</w:t>
      </w:r>
      <w:r>
        <w:rPr>
          <w:rFonts w:hint="cs"/>
          <w:rtl/>
        </w:rPr>
        <w:t>.</w:t>
      </w:r>
    </w:p>
    <w:p w:rsidR="00035BE3" w:rsidRDefault="00035BE3" w:rsidP="00C10469">
      <w:pPr>
        <w:pStyle w:val="a6"/>
        <w:ind w:left="422" w:firstLine="0"/>
        <w:rPr>
          <w:rtl/>
        </w:rPr>
      </w:pPr>
      <w:r>
        <w:rPr>
          <w:rFonts w:hint="cs"/>
          <w:rtl/>
        </w:rPr>
        <w:t>وجاء في قرارات مجمع اللغة العربية بالقاهرة : «يجوز إستعمال (أم) مع (الهمزة) وبغيرها؛ وفاقًا لما قررّه جمهور النحاة.</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واستعمال (أو) مع (الهمزة) وبغيرها كذلك. على نحو التعبيرات الآتية : سواء  عليّ أحضرت أم غبتَ، سواء عليّ حضرتَ أم غبت، سواء عليّ أحضرت أو غبتَ، سواء عليّ حضرت أو غبتَ.</w:t>
      </w:r>
    </w:p>
    <w:p w:rsidR="00035BE3" w:rsidRDefault="00035BE3" w:rsidP="00C10469">
      <w:pPr>
        <w:pStyle w:val="a6"/>
        <w:ind w:left="422" w:firstLine="0"/>
        <w:rPr>
          <w:rtl/>
        </w:rPr>
      </w:pPr>
      <w:r>
        <w:rPr>
          <w:rFonts w:hint="cs"/>
          <w:b/>
          <w:bCs/>
          <w:rtl/>
        </w:rPr>
        <w:t>والأكثر الفصيح</w:t>
      </w:r>
      <w:r>
        <w:rPr>
          <w:rFonts w:hint="cs"/>
          <w:rtl/>
        </w:rPr>
        <w:t xml:space="preserve"> : استعمال (الهمزة) و(أم) في أسلوب (سواء)».</w:t>
      </w:r>
    </w:p>
    <w:p w:rsidR="00035BE3" w:rsidRDefault="00035BE3" w:rsidP="00C10469">
      <w:pPr>
        <w:pStyle w:val="a6"/>
        <w:ind w:left="422" w:firstLine="0"/>
        <w:rPr>
          <w:rtl/>
        </w:rPr>
      </w:pPr>
      <w:r>
        <w:rPr>
          <w:rFonts w:hint="cs"/>
          <w:rtl/>
        </w:rPr>
        <w:t>نقل ذلك صاحب (النحو الوافي)، 3/588 عن (كتاب في أصول اللغة)، الذي أصدره مجمع اللغة العربية، ص227؛ وانظر : المعجم المفصل في النحو العربي، 1/77.</w:t>
      </w:r>
    </w:p>
  </w:footnote>
  <w:footnote w:id="984">
    <w:p w:rsidR="00035BE3" w:rsidRPr="00562E26" w:rsidRDefault="00035BE3" w:rsidP="00C10469">
      <w:pPr>
        <w:pStyle w:val="a8"/>
        <w:bidi/>
        <w:ind w:left="422" w:right="0"/>
        <w:rPr>
          <w:rtl/>
        </w:rPr>
      </w:pPr>
      <w:r>
        <w:rPr>
          <w:rFonts w:hint="cs"/>
          <w:spacing w:val="-12"/>
          <w:vertAlign w:val="superscript"/>
          <w:rtl/>
        </w:rPr>
        <w:t>(</w:t>
      </w:r>
      <w:r>
        <w:rPr>
          <w:rStyle w:val="a7"/>
          <w:spacing w:val="-12"/>
        </w:rPr>
        <w:footnoteRef/>
      </w:r>
      <w:r>
        <w:rPr>
          <w:rFonts w:hint="cs"/>
          <w:spacing w:val="-12"/>
          <w:vertAlign w:val="superscript"/>
          <w:rtl/>
        </w:rPr>
        <w:t>)</w:t>
      </w:r>
      <w:r>
        <w:rPr>
          <w:rFonts w:hint="cs"/>
          <w:spacing w:val="-12"/>
          <w:rtl/>
        </w:rPr>
        <w:t xml:space="preserve">   </w:t>
      </w:r>
      <w:r w:rsidRPr="00562E26">
        <w:rPr>
          <w:rFonts w:hint="cs"/>
          <w:rtl/>
        </w:rPr>
        <w:t xml:space="preserve">الدُّرر شرح الغرر، 2/48 - مع اختلاف يسير، ومنه قوله : </w:t>
      </w:r>
      <w:r w:rsidRPr="00562E26">
        <w:rPr>
          <w:rFonts w:hint="eastAsia"/>
          <w:rtl/>
        </w:rPr>
        <w:t>«</w:t>
      </w:r>
      <w:r w:rsidRPr="00562E26">
        <w:rPr>
          <w:rFonts w:hint="cs"/>
          <w:rtl/>
        </w:rPr>
        <w:t>... حنث بدخولها مطلقًا، أي سواء كان راكبًا أو ...</w:t>
      </w:r>
      <w:r w:rsidRPr="00562E26">
        <w:rPr>
          <w:rFonts w:hint="eastAsia"/>
          <w:rtl/>
        </w:rPr>
        <w:t>»</w:t>
      </w:r>
      <w:r w:rsidRPr="00562E26">
        <w:rPr>
          <w:rFonts w:hint="cs"/>
          <w:rtl/>
        </w:rPr>
        <w:t>.</w:t>
      </w:r>
    </w:p>
  </w:footnote>
  <w:footnote w:id="9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العتَّابي </w:t>
      </w:r>
      <w:r>
        <w:rPr>
          <w:rFonts w:hint="cs"/>
          <w:rtl/>
        </w:rPr>
        <w:t>: هو أحمد بن محمد بن عمر، أبو نصر العتَّابي البخاري الحنفي، والعتَّابي نسبة إلى العتّابية وهي محلَّة ببخارى (ت 586هـ).</w:t>
      </w:r>
    </w:p>
    <w:p w:rsidR="00035BE3" w:rsidRDefault="00035BE3" w:rsidP="00C10469">
      <w:pPr>
        <w:pStyle w:val="a6"/>
        <w:ind w:left="422" w:firstLine="0"/>
        <w:rPr>
          <w:rtl/>
        </w:rPr>
      </w:pPr>
      <w:r>
        <w:rPr>
          <w:rFonts w:hint="cs"/>
          <w:rtl/>
        </w:rPr>
        <w:t>اشتهر بالفقه والتفسير، وله فيهما عدّة مصنّفات منها : جوامع الفقه (المعروفة بالفتاوى العتّابـّـية)، والزيادات، وشرح الزيادات والجامع الكبير والصغير لمحمد بن الحسن، وتفسير القرآن.</w:t>
      </w:r>
    </w:p>
    <w:p w:rsidR="00035BE3" w:rsidRDefault="00035BE3" w:rsidP="00C10469">
      <w:pPr>
        <w:pStyle w:val="a6"/>
        <w:ind w:left="422" w:firstLine="0"/>
        <w:rPr>
          <w:rtl/>
        </w:rPr>
      </w:pPr>
      <w:r>
        <w:rPr>
          <w:rFonts w:hint="cs"/>
          <w:rtl/>
        </w:rPr>
        <w:t>انظر : الجواهر المضية، 1/298-300، رقم 222؛ تاج التراجم، ص25، رقم 22؛ مفتاح السعادة، 2/168، 256؛ الطبقات السنية، 2/72-73، رقم 344؛ كـشف الظنون، 1/453، 563، 568، 2/963، 964؛ الفوائد البهية، ص36-37.</w:t>
      </w:r>
    </w:p>
  </w:footnote>
  <w:footnote w:id="9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14/ب من (أ)، ونهاية 10/أ من (د).</w:t>
      </w:r>
    </w:p>
  </w:footnote>
  <w:footnote w:id="9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10/أ من (ب). ولعلّ وجه إفراد </w:t>
      </w:r>
      <w:r>
        <w:rPr>
          <w:rFonts w:hint="eastAsia"/>
          <w:rtl/>
        </w:rPr>
        <w:t>«</w:t>
      </w:r>
      <w:r>
        <w:rPr>
          <w:rFonts w:hint="cs"/>
          <w:rtl/>
        </w:rPr>
        <w:t>مهجور</w:t>
      </w:r>
      <w:r>
        <w:rPr>
          <w:rFonts w:hint="eastAsia"/>
          <w:rtl/>
        </w:rPr>
        <w:t>»</w:t>
      </w:r>
      <w:r>
        <w:rPr>
          <w:rFonts w:hint="cs"/>
          <w:rtl/>
        </w:rPr>
        <w:t xml:space="preserve"> هو أنّ المعنى : لأنهما بلفظ مهجورٍ شرعًا.</w:t>
      </w:r>
    </w:p>
  </w:footnote>
  <w:footnote w:id="9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ق2، جـ3، ص1451.ولفظ الكافي : </w:t>
      </w:r>
      <w:r>
        <w:rPr>
          <w:rFonts w:hint="eastAsia"/>
          <w:rtl/>
        </w:rPr>
        <w:t>«</w:t>
      </w:r>
      <w:r>
        <w:rPr>
          <w:rFonts w:hint="cs"/>
          <w:rtl/>
        </w:rPr>
        <w:t>حلف لا يأكل لحمًا، فأكل لحم خنزير، أو لحم إنسان ... وذكر الزاهد العتابي : أنه لا يحنث. وعليه الفتوى</w:t>
      </w:r>
      <w:r>
        <w:rPr>
          <w:rFonts w:hint="eastAsia"/>
          <w:rtl/>
        </w:rPr>
        <w:t>»</w:t>
      </w:r>
      <w:r>
        <w:rPr>
          <w:rFonts w:hint="cs"/>
          <w:rtl/>
        </w:rPr>
        <w:t>. وانظر : فتح القدير، 5/122؛ تبيـيـن الحقائق، 3/127-128؛ الدّرر شرح الغرر، 2/51؛ البحر الرائق، 4/348.</w:t>
      </w:r>
    </w:p>
    <w:p w:rsidR="00035BE3" w:rsidRDefault="00035BE3" w:rsidP="00C10469">
      <w:pPr>
        <w:pStyle w:val="a6"/>
        <w:ind w:left="422" w:firstLine="0"/>
        <w:rPr>
          <w:rtl/>
        </w:rPr>
      </w:pPr>
      <w:r>
        <w:rPr>
          <w:rFonts w:hint="cs"/>
          <w:b/>
          <w:bCs/>
          <w:rtl/>
        </w:rPr>
        <w:t xml:space="preserve">والكافي </w:t>
      </w:r>
      <w:r>
        <w:rPr>
          <w:rFonts w:hint="cs"/>
          <w:rtl/>
        </w:rPr>
        <w:t>: لعبد الله بن أحمد بن محمود، أبو البركات النَّسفي (ت 710هـ)، وقبل تأليفه لهذا الكتاب كان قد ألف مختصراً سمّاه (الوافي) جمع فيه مسائل الجامع الكبير والصغير والزيادات لمحمد بن الحسن، والكتاب للقُدُوري، ونظم الخلافيات لأبي حفص النسفي (ت 537هـ)، كما ضمَّنه بعض مسائل الفتاوي والواقعات.</w:t>
      </w:r>
    </w:p>
    <w:p w:rsidR="00035BE3" w:rsidRDefault="00035BE3" w:rsidP="00C10469">
      <w:pPr>
        <w:pStyle w:val="a6"/>
        <w:ind w:left="422" w:firstLine="0"/>
        <w:rPr>
          <w:rtl/>
        </w:rPr>
      </w:pPr>
      <w:r>
        <w:rPr>
          <w:rFonts w:hint="cs"/>
          <w:rtl/>
        </w:rPr>
        <w:t>- وقد أفصح عن ذلك في مقدمته للوافي-.</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وبعد أن أتمّ هذا المتن شرحه في (الكافي).</w:t>
      </w:r>
    </w:p>
    <w:p w:rsidR="00035BE3" w:rsidRDefault="00035BE3" w:rsidP="00C10469">
      <w:pPr>
        <w:pStyle w:val="a6"/>
        <w:ind w:left="422" w:firstLine="0"/>
        <w:rPr>
          <w:rtl/>
        </w:rPr>
      </w:pPr>
      <w:r>
        <w:rPr>
          <w:rFonts w:hint="cs"/>
          <w:rtl/>
        </w:rPr>
        <w:t>ويعد المتن وشرحه من كتب الفقه الحنفي المعتدّ بها:</w:t>
      </w:r>
    </w:p>
    <w:p w:rsidR="00035BE3" w:rsidRDefault="00035BE3" w:rsidP="00C10469">
      <w:pPr>
        <w:pStyle w:val="a6"/>
        <w:ind w:left="422" w:firstLine="0"/>
        <w:rPr>
          <w:rtl/>
        </w:rPr>
      </w:pPr>
      <w:r>
        <w:rPr>
          <w:rFonts w:hint="cs"/>
          <w:rtl/>
        </w:rPr>
        <w:t xml:space="preserve">يقول الكفوي : </w:t>
      </w:r>
      <w:r>
        <w:rPr>
          <w:rFonts w:hint="eastAsia"/>
          <w:rtl/>
        </w:rPr>
        <w:t>«</w:t>
      </w:r>
      <w:r>
        <w:rPr>
          <w:rFonts w:hint="cs"/>
          <w:rtl/>
        </w:rPr>
        <w:t>... وله تصانيف معتبرة؛ منها الوافي ... وشرحه الكافي ...</w:t>
      </w:r>
      <w:r>
        <w:rPr>
          <w:rFonts w:hint="eastAsia"/>
          <w:rtl/>
        </w:rPr>
        <w:t>»</w:t>
      </w:r>
    </w:p>
    <w:p w:rsidR="00035BE3" w:rsidRDefault="00035BE3" w:rsidP="00C10469">
      <w:pPr>
        <w:pStyle w:val="a6"/>
        <w:ind w:left="422" w:firstLine="0"/>
        <w:rPr>
          <w:rtl/>
        </w:rPr>
      </w:pPr>
      <w:r>
        <w:rPr>
          <w:rFonts w:hint="cs"/>
          <w:rtl/>
        </w:rPr>
        <w:t xml:space="preserve">ويقول اللكنوي : </w:t>
      </w:r>
      <w:r>
        <w:rPr>
          <w:rFonts w:hint="eastAsia"/>
          <w:rtl/>
        </w:rPr>
        <w:t>«</w:t>
      </w:r>
      <w:r>
        <w:rPr>
          <w:rFonts w:hint="cs"/>
          <w:rtl/>
        </w:rPr>
        <w:t>قد انتفعت من تصانيفه بالوافي والكافي ... وكل تصانيفه نافعة معتبرة عند الفقهاء، مطروحة لأنظار العلماء</w:t>
      </w:r>
      <w:r>
        <w:rPr>
          <w:rFonts w:hint="eastAsia"/>
          <w:rtl/>
        </w:rPr>
        <w:t>»</w:t>
      </w:r>
      <w:r>
        <w:rPr>
          <w:rFonts w:hint="cs"/>
          <w:rtl/>
        </w:rPr>
        <w:t>.</w:t>
      </w:r>
    </w:p>
    <w:p w:rsidR="00035BE3" w:rsidRDefault="00035BE3" w:rsidP="00C10469">
      <w:pPr>
        <w:pStyle w:val="a6"/>
        <w:ind w:left="422" w:firstLine="0"/>
        <w:rPr>
          <w:rtl/>
        </w:rPr>
      </w:pPr>
      <w:r>
        <w:rPr>
          <w:rFonts w:hint="cs"/>
          <w:rtl/>
        </w:rPr>
        <w:t>وقد حُقَّق (الكافي) جميعه في المعهد العالي للقضاء في ثلاث رسائل للدكتوراه.</w:t>
      </w:r>
    </w:p>
    <w:p w:rsidR="00035BE3" w:rsidRDefault="00035BE3" w:rsidP="00C10469">
      <w:pPr>
        <w:pStyle w:val="a6"/>
        <w:ind w:left="422" w:firstLine="0"/>
        <w:rPr>
          <w:rtl/>
        </w:rPr>
      </w:pPr>
      <w:r>
        <w:rPr>
          <w:rFonts w:hint="cs"/>
          <w:rtl/>
        </w:rPr>
        <w:t>الفوائد البهية، ص102؛ وانظر : مقدمة المؤلف للوافي، ق1، جـ1، ص2؛ الجـواهـر الـمضية، 2/294-295، رقم 692؛ تاج التراجم، ص111، رقم 126؛ مفتاح السعادة، 2/167، 217، 255؛ كـشف الظنون، 2/1378، 1997؛ الفوائد البهية، ص101-102.</w:t>
      </w:r>
    </w:p>
  </w:footnote>
  <w:footnote w:id="9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الأشباه والنظائر لابن نجيم، ص161 : </w:t>
      </w:r>
      <w:r>
        <w:rPr>
          <w:rFonts w:hint="eastAsia"/>
          <w:rtl/>
        </w:rPr>
        <w:t>«</w:t>
      </w:r>
      <w:r>
        <w:rPr>
          <w:rFonts w:hint="cs"/>
          <w:rtl/>
        </w:rPr>
        <w:t>تعذّرت</w:t>
      </w:r>
      <w:r>
        <w:rPr>
          <w:rFonts w:hint="eastAsia"/>
          <w:rtl/>
        </w:rPr>
        <w:t>»</w:t>
      </w:r>
      <w:r>
        <w:rPr>
          <w:rFonts w:hint="cs"/>
          <w:rtl/>
        </w:rPr>
        <w:t>. وهذا الأفصح.</w:t>
      </w:r>
    </w:p>
  </w:footnote>
  <w:footnote w:id="9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يحرم</w:t>
      </w:r>
      <w:r>
        <w:rPr>
          <w:rFonts w:hint="eastAsia"/>
          <w:rtl/>
        </w:rPr>
        <w:t>»</w:t>
      </w:r>
      <w:r>
        <w:rPr>
          <w:rFonts w:hint="cs"/>
          <w:rtl/>
        </w:rPr>
        <w:t>. والصحيح ما تمّ إثباته من (ب)، وهو الموافق لأشباه ابن نجيم.</w:t>
      </w:r>
    </w:p>
  </w:footnote>
  <w:footnote w:id="9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لابن نجيم، ص161.</w:t>
      </w:r>
    </w:p>
  </w:footnote>
  <w:footnote w:id="992">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cs"/>
          <w:b/>
          <w:bCs/>
          <w:spacing w:val="-4"/>
          <w:rtl/>
        </w:rPr>
        <w:t>الحدّ في اللّغة:</w:t>
      </w:r>
      <w:r>
        <w:rPr>
          <w:rFonts w:hint="cs"/>
          <w:spacing w:val="-4"/>
          <w:rtl/>
        </w:rPr>
        <w:t xml:space="preserve"> مصدَر (حدّ)، والحاء والدال - كما يقول ابن فارس-: </w:t>
      </w:r>
      <w:r>
        <w:rPr>
          <w:rFonts w:hint="eastAsia"/>
          <w:spacing w:val="-4"/>
          <w:rtl/>
        </w:rPr>
        <w:t>«</w:t>
      </w:r>
      <w:r>
        <w:rPr>
          <w:rFonts w:hint="cs"/>
          <w:spacing w:val="-4"/>
          <w:rtl/>
        </w:rPr>
        <w:t>أصلان : الأول : المنع. والثاني: طرف الشيء</w:t>
      </w:r>
      <w:r>
        <w:rPr>
          <w:rFonts w:hint="eastAsia"/>
          <w:spacing w:val="-4"/>
          <w:rtl/>
        </w:rPr>
        <w:t>»</w:t>
      </w:r>
      <w:r>
        <w:rPr>
          <w:rFonts w:hint="cs"/>
          <w:spacing w:val="-4"/>
          <w:rtl/>
        </w:rPr>
        <w:t xml:space="preserve">. ومن الأول ما جاء في (اللسان) : </w:t>
      </w:r>
      <w:r>
        <w:rPr>
          <w:rFonts w:hint="eastAsia"/>
          <w:spacing w:val="-4"/>
          <w:rtl/>
        </w:rPr>
        <w:t>«</w:t>
      </w:r>
      <w:r>
        <w:rPr>
          <w:rFonts w:hint="cs"/>
          <w:spacing w:val="-4"/>
          <w:rtl/>
        </w:rPr>
        <w:t>وحدُّ كل شيء: منتهاه؛ لأنه يردّه ويمنعه عن التمادي ... وحدّ السّارق وغيره : ما يمنعه عن المعاودة ويمنع أيضًا غيره عن إتيان الجنايات، وجمعه: حدود</w:t>
      </w:r>
      <w:r>
        <w:rPr>
          <w:rFonts w:hint="eastAsia"/>
          <w:spacing w:val="-4"/>
          <w:rtl/>
        </w:rPr>
        <w:t>»</w:t>
      </w:r>
      <w:r>
        <w:rPr>
          <w:rFonts w:hint="cs"/>
          <w:spacing w:val="-4"/>
          <w:rtl/>
        </w:rPr>
        <w:t>.</w:t>
      </w:r>
    </w:p>
    <w:p w:rsidR="00035BE3" w:rsidRDefault="00035BE3" w:rsidP="00C10469">
      <w:pPr>
        <w:pStyle w:val="a6"/>
        <w:ind w:left="422" w:firstLine="0"/>
        <w:rPr>
          <w:spacing w:val="-6"/>
          <w:sz w:val="28"/>
          <w:szCs w:val="28"/>
          <w:rtl/>
        </w:rPr>
      </w:pPr>
      <w:r>
        <w:rPr>
          <w:rFonts w:hint="cs"/>
          <w:b/>
          <w:bCs/>
          <w:spacing w:val="-6"/>
          <w:sz w:val="28"/>
          <w:szCs w:val="28"/>
          <w:rtl/>
        </w:rPr>
        <w:t>أما في اصطلاح أهل المنطق والأصول</w:t>
      </w:r>
      <w:r>
        <w:rPr>
          <w:rFonts w:hint="cs"/>
          <w:spacing w:val="-6"/>
          <w:sz w:val="28"/>
          <w:szCs w:val="28"/>
          <w:rtl/>
        </w:rPr>
        <w:t xml:space="preserve"> وغيرهم فهو: </w:t>
      </w:r>
      <w:r>
        <w:rPr>
          <w:rFonts w:hint="eastAsia"/>
          <w:spacing w:val="-6"/>
          <w:sz w:val="28"/>
          <w:szCs w:val="28"/>
          <w:rtl/>
        </w:rPr>
        <w:t>«</w:t>
      </w:r>
      <w:r>
        <w:rPr>
          <w:rFonts w:hint="cs"/>
          <w:spacing w:val="-6"/>
          <w:sz w:val="28"/>
          <w:szCs w:val="28"/>
          <w:rtl/>
        </w:rPr>
        <w:t xml:space="preserve">قولٌ دال على ماهية الشيء </w:t>
      </w:r>
      <w:r>
        <w:rPr>
          <w:rFonts w:hint="eastAsia"/>
          <w:spacing w:val="-6"/>
          <w:sz w:val="28"/>
          <w:szCs w:val="28"/>
          <w:rtl/>
        </w:rPr>
        <w:t>»</w:t>
      </w:r>
      <w:r>
        <w:rPr>
          <w:rFonts w:hint="cs"/>
          <w:spacing w:val="-6"/>
          <w:sz w:val="28"/>
          <w:szCs w:val="28"/>
          <w:rtl/>
        </w:rPr>
        <w:t>- قاله صاحب التعريفات-.</w:t>
      </w:r>
    </w:p>
    <w:p w:rsidR="00035BE3" w:rsidRDefault="00035BE3" w:rsidP="00C10469">
      <w:pPr>
        <w:pStyle w:val="a6"/>
        <w:ind w:left="422" w:firstLine="0"/>
        <w:rPr>
          <w:spacing w:val="-10"/>
          <w:sz w:val="28"/>
          <w:szCs w:val="28"/>
          <w:rtl/>
        </w:rPr>
      </w:pPr>
      <w:r>
        <w:rPr>
          <w:rFonts w:hint="cs"/>
          <w:spacing w:val="-10"/>
          <w:sz w:val="28"/>
          <w:szCs w:val="28"/>
          <w:rtl/>
        </w:rPr>
        <w:t>وهو نوع من أنواع المعرِّفات وأشهرها، ويقاسمه: التعريف بالرسم وهذان القسمان وما ضُمّ إليهما مفصَّلة في كتب المنطق.</w:t>
      </w:r>
    </w:p>
    <w:p w:rsidR="00035BE3" w:rsidRDefault="00035BE3" w:rsidP="00C10469">
      <w:pPr>
        <w:pStyle w:val="a6"/>
        <w:ind w:left="422" w:firstLine="0"/>
        <w:rPr>
          <w:spacing w:val="-4"/>
          <w:rtl/>
        </w:rPr>
      </w:pPr>
      <w:r>
        <w:rPr>
          <w:rFonts w:hint="cs"/>
          <w:spacing w:val="-4"/>
          <w:rtl/>
        </w:rPr>
        <w:t xml:space="preserve">المقاييس في اللغة، مادَّة </w:t>
      </w:r>
      <w:r>
        <w:rPr>
          <w:rFonts w:hint="eastAsia"/>
          <w:spacing w:val="-4"/>
          <w:rtl/>
        </w:rPr>
        <w:t>«</w:t>
      </w:r>
      <w:r>
        <w:rPr>
          <w:rFonts w:hint="cs"/>
          <w:spacing w:val="-4"/>
          <w:rtl/>
        </w:rPr>
        <w:t>حدّ</w:t>
      </w:r>
      <w:r>
        <w:rPr>
          <w:rFonts w:hint="eastAsia"/>
          <w:spacing w:val="-4"/>
          <w:rtl/>
        </w:rPr>
        <w:t>»</w:t>
      </w:r>
      <w:r>
        <w:rPr>
          <w:rFonts w:hint="cs"/>
          <w:spacing w:val="-4"/>
          <w:rtl/>
        </w:rPr>
        <w:t xml:space="preserve">، ص239؛ لسان العرب، مادة </w:t>
      </w:r>
      <w:r>
        <w:rPr>
          <w:rFonts w:hint="eastAsia"/>
          <w:spacing w:val="-4"/>
          <w:rtl/>
        </w:rPr>
        <w:t>«</w:t>
      </w:r>
      <w:r>
        <w:rPr>
          <w:rFonts w:hint="cs"/>
          <w:spacing w:val="-4"/>
          <w:rtl/>
        </w:rPr>
        <w:t>حدد</w:t>
      </w:r>
      <w:r>
        <w:rPr>
          <w:rFonts w:hint="eastAsia"/>
          <w:spacing w:val="-4"/>
          <w:rtl/>
        </w:rPr>
        <w:t>»</w:t>
      </w:r>
      <w:r>
        <w:rPr>
          <w:rFonts w:hint="cs"/>
          <w:spacing w:val="-4"/>
          <w:rtl/>
        </w:rPr>
        <w:t xml:space="preserve">، 3/140؛ - وانظر القاموس المحيط، مادة </w:t>
      </w:r>
      <w:r>
        <w:rPr>
          <w:rFonts w:hint="eastAsia"/>
          <w:spacing w:val="-4"/>
          <w:rtl/>
        </w:rPr>
        <w:t>«</w:t>
      </w:r>
      <w:r>
        <w:rPr>
          <w:rFonts w:hint="cs"/>
          <w:spacing w:val="-4"/>
          <w:rtl/>
        </w:rPr>
        <w:t>حدد</w:t>
      </w:r>
      <w:r>
        <w:rPr>
          <w:rFonts w:hint="eastAsia"/>
          <w:spacing w:val="-4"/>
          <w:rtl/>
        </w:rPr>
        <w:t>»</w:t>
      </w:r>
      <w:r>
        <w:rPr>
          <w:rFonts w:hint="cs"/>
          <w:spacing w:val="-4"/>
          <w:rtl/>
        </w:rPr>
        <w:t>، ص352-؛ التعريفات، ص112، رقم 536. وانظر : الرسالة الشمسية وشرحها: تسهيل القطبي، ص90-97؛ شرح تنقيح الفصول، ص4؛ تيسير التحرير، 1/177؛ شرح الأخضري لسلمه، ص28-29؛ إيضاح المبهم من معاني الـسلّم، ص8-9؛ ضوابط المعرفة للميداني، ص62.</w:t>
      </w:r>
    </w:p>
  </w:footnote>
  <w:footnote w:id="9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59064A">
        <w:rPr>
          <w:rFonts w:hint="cs"/>
          <w:b/>
          <w:bCs/>
          <w:spacing w:val="-2"/>
          <w:rtl/>
        </w:rPr>
        <w:t>الظَّهار في اللغة:</w:t>
      </w:r>
      <w:r w:rsidRPr="0059064A">
        <w:rPr>
          <w:rFonts w:hint="cs"/>
          <w:spacing w:val="-2"/>
          <w:rtl/>
        </w:rPr>
        <w:t xml:space="preserve"> مشتق من مادة (ظهر)، والظاء والهاء والراء - كما يقول ابن فارس-: </w:t>
      </w:r>
      <w:r w:rsidRPr="0059064A">
        <w:rPr>
          <w:rFonts w:hint="eastAsia"/>
          <w:spacing w:val="-2"/>
          <w:rtl/>
        </w:rPr>
        <w:t>«</w:t>
      </w:r>
      <w:r w:rsidRPr="0059064A">
        <w:rPr>
          <w:rFonts w:hint="cs"/>
          <w:spacing w:val="-2"/>
          <w:rtl/>
        </w:rPr>
        <w:t xml:space="preserve">أصل </w:t>
      </w:r>
      <w:r>
        <w:rPr>
          <w:rFonts w:hint="cs"/>
          <w:rtl/>
        </w:rPr>
        <w:t>صحيح واحد يدل على قوّة وبروز</w:t>
      </w:r>
      <w:r>
        <w:rPr>
          <w:rFonts w:hint="eastAsia"/>
          <w:rtl/>
        </w:rPr>
        <w:t>»</w:t>
      </w:r>
      <w:r>
        <w:rPr>
          <w:rFonts w:hint="cs"/>
          <w:rtl/>
        </w:rPr>
        <w:t xml:space="preserve">، ومن ذلك ما جاء في (القاموس المحيط): </w:t>
      </w:r>
      <w:r>
        <w:rPr>
          <w:rFonts w:hint="eastAsia"/>
          <w:rtl/>
        </w:rPr>
        <w:t>«</w:t>
      </w:r>
      <w:r>
        <w:rPr>
          <w:rFonts w:hint="cs"/>
          <w:rtl/>
        </w:rPr>
        <w:t>الظَّهْرُ: خلاف البطن</w:t>
      </w:r>
      <w:r>
        <w:rPr>
          <w:rFonts w:hint="eastAsia"/>
          <w:rtl/>
        </w:rPr>
        <w:t>»</w:t>
      </w:r>
      <w:r>
        <w:rPr>
          <w:rFonts w:hint="cs"/>
          <w:rtl/>
        </w:rPr>
        <w:t>؛ لأنه يجمع البروز والقوة - كما أفاد ذلك ابن فارس-.</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وإذا علم - في الهامش السابق - أنّ الحدّ أشهر أنواع المعرّفات، فمراد المؤلف من حدّ الظهار أي تعريفه عند الفقهاء، ومن تعريفاتهم له ما جاء في (العناية) : </w:t>
      </w:r>
    </w:p>
    <w:p w:rsidR="00035BE3" w:rsidRDefault="00035BE3" w:rsidP="00C10469">
      <w:pPr>
        <w:pStyle w:val="a6"/>
        <w:ind w:left="422" w:firstLine="0"/>
        <w:rPr>
          <w:spacing w:val="-4"/>
          <w:rtl/>
        </w:rPr>
      </w:pPr>
      <w:r>
        <w:rPr>
          <w:rFonts w:hint="eastAsia"/>
          <w:spacing w:val="-4"/>
          <w:rtl/>
        </w:rPr>
        <w:t>«</w:t>
      </w:r>
      <w:r>
        <w:rPr>
          <w:rFonts w:hint="cs"/>
          <w:b/>
          <w:bCs/>
          <w:spacing w:val="-4"/>
          <w:rtl/>
        </w:rPr>
        <w:t>وفي اصطلاح الفقهاء</w:t>
      </w:r>
      <w:r>
        <w:rPr>
          <w:rFonts w:hint="cs"/>
          <w:spacing w:val="-4"/>
          <w:rtl/>
        </w:rPr>
        <w:t>: تشبيه المنكوحة بالمحرّمة على سبيل التأبيد اتفاقًا بنسب أو رضاع أو مصاهرة</w:t>
      </w:r>
      <w:r>
        <w:rPr>
          <w:rFonts w:hint="eastAsia"/>
          <w:spacing w:val="-4"/>
          <w:rtl/>
        </w:rPr>
        <w:t>»</w:t>
      </w:r>
      <w:r>
        <w:rPr>
          <w:rFonts w:hint="cs"/>
          <w:spacing w:val="-4"/>
          <w:rtl/>
        </w:rPr>
        <w:t>.</w:t>
      </w:r>
    </w:p>
    <w:p w:rsidR="00035BE3" w:rsidRDefault="00035BE3" w:rsidP="00C10469">
      <w:pPr>
        <w:pStyle w:val="a6"/>
        <w:ind w:left="422" w:firstLine="0"/>
        <w:rPr>
          <w:spacing w:val="-4"/>
          <w:rtl/>
        </w:rPr>
      </w:pPr>
      <w:r>
        <w:rPr>
          <w:rFonts w:hint="cs"/>
          <w:rtl/>
        </w:rPr>
        <w:t xml:space="preserve">المقاييس في اللغة، مادة </w:t>
      </w:r>
      <w:r>
        <w:rPr>
          <w:rFonts w:hint="eastAsia"/>
          <w:rtl/>
        </w:rPr>
        <w:t>«</w:t>
      </w:r>
      <w:r>
        <w:rPr>
          <w:rFonts w:hint="cs"/>
          <w:rtl/>
        </w:rPr>
        <w:t>ظهر</w:t>
      </w:r>
      <w:r>
        <w:rPr>
          <w:rFonts w:hint="eastAsia"/>
          <w:rtl/>
        </w:rPr>
        <w:t>»</w:t>
      </w:r>
      <w:r>
        <w:rPr>
          <w:rFonts w:hint="cs"/>
          <w:rtl/>
        </w:rPr>
        <w:t xml:space="preserve">، ص642-643؛ القاموس المحيط، مادة </w:t>
      </w:r>
      <w:r>
        <w:rPr>
          <w:rFonts w:hint="eastAsia"/>
          <w:rtl/>
        </w:rPr>
        <w:t>«</w:t>
      </w:r>
      <w:r>
        <w:rPr>
          <w:rFonts w:hint="cs"/>
          <w:rtl/>
        </w:rPr>
        <w:t>ظهر</w:t>
      </w:r>
      <w:r>
        <w:rPr>
          <w:rFonts w:hint="eastAsia"/>
          <w:rtl/>
        </w:rPr>
        <w:t>»</w:t>
      </w:r>
      <w:r>
        <w:rPr>
          <w:rFonts w:hint="cs"/>
          <w:rtl/>
        </w:rPr>
        <w:t>، ص557؛ العناية، 4/246؛ وانظر: فتح القدير، 4/245؛ الدّرر شرح الغرر، 1/393؛ مواهب الـجليـل للحـطاب، 5</w:t>
      </w:r>
      <w:r>
        <w:rPr>
          <w:rFonts w:hint="cs"/>
          <w:spacing w:val="-4"/>
          <w:rtl/>
        </w:rPr>
        <w:t>/422-423؛ منتهى الإرادات لابن النجار، 2/324؛ مغني المحتاج، 3/352؛ أنيس الفقهاء، ص162.</w:t>
      </w:r>
    </w:p>
  </w:footnote>
  <w:footnote w:id="9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المشتَرَك في اللغة</w:t>
      </w:r>
      <w:r>
        <w:rPr>
          <w:rFonts w:hint="cs"/>
          <w:rtl/>
        </w:rPr>
        <w:t xml:space="preserve"> : اسم مفعول من اشترك، ومادته : شرك، والشين والراء والكاف -كما يقول ابن فارس-: </w:t>
      </w:r>
      <w:r>
        <w:rPr>
          <w:rFonts w:hint="eastAsia"/>
          <w:rtl/>
        </w:rPr>
        <w:t>«</w:t>
      </w:r>
      <w:r>
        <w:rPr>
          <w:rFonts w:hint="cs"/>
          <w:rtl/>
        </w:rPr>
        <w:t>أصلان: أحدهما : يدلّ على مقارنةٍ وخلاف انفراد. والآخر: يدلّ على امتداد واستقامة</w:t>
      </w:r>
      <w:r>
        <w:rPr>
          <w:rFonts w:hint="eastAsia"/>
          <w:rtl/>
        </w:rPr>
        <w:t>»</w:t>
      </w:r>
      <w:r>
        <w:rPr>
          <w:rFonts w:hint="cs"/>
          <w:rtl/>
        </w:rPr>
        <w:t>.</w:t>
      </w:r>
    </w:p>
    <w:p w:rsidR="00035BE3" w:rsidRDefault="00035BE3" w:rsidP="00C10469">
      <w:pPr>
        <w:pStyle w:val="a6"/>
        <w:ind w:left="422" w:firstLine="0"/>
        <w:rPr>
          <w:rtl/>
        </w:rPr>
      </w:pPr>
      <w:r>
        <w:rPr>
          <w:rFonts w:hint="cs"/>
          <w:rtl/>
        </w:rPr>
        <w:t xml:space="preserve">ومن الأول ما جاء في (لسان العرب) : </w:t>
      </w:r>
      <w:r>
        <w:rPr>
          <w:rFonts w:hint="eastAsia"/>
          <w:rtl/>
        </w:rPr>
        <w:t>«</w:t>
      </w:r>
      <w:r>
        <w:rPr>
          <w:rFonts w:hint="cs"/>
          <w:rtl/>
        </w:rPr>
        <w:t>وطريق مشترَك : يستوي فيه الناس. واسم مشترك : تشترك فيه معانٍ كثيرة؛ كالعين ونحوها، فإنه يجمع معاني كثيرة</w:t>
      </w:r>
      <w:r>
        <w:rPr>
          <w:rFonts w:hint="eastAsia"/>
          <w:rtl/>
        </w:rPr>
        <w:t>»</w:t>
      </w:r>
      <w:r>
        <w:rPr>
          <w:rFonts w:hint="cs"/>
          <w:rtl/>
        </w:rPr>
        <w:t>.</w:t>
      </w:r>
    </w:p>
    <w:p w:rsidR="00035BE3" w:rsidRDefault="00035BE3" w:rsidP="00C10469">
      <w:pPr>
        <w:pStyle w:val="a6"/>
        <w:ind w:left="422" w:firstLine="0"/>
        <w:rPr>
          <w:rtl/>
        </w:rPr>
      </w:pPr>
      <w:r>
        <w:rPr>
          <w:rFonts w:hint="cs"/>
          <w:b/>
          <w:bCs/>
          <w:rtl/>
        </w:rPr>
        <w:t>أما في اصطلاح أهل المنطق والأصول</w:t>
      </w:r>
      <w:r>
        <w:rPr>
          <w:rFonts w:hint="cs"/>
          <w:rtl/>
        </w:rPr>
        <w:t xml:space="preserve"> فقد عرفه القرافي بقوله : </w:t>
      </w:r>
      <w:r>
        <w:rPr>
          <w:rFonts w:hint="eastAsia"/>
          <w:rtl/>
        </w:rPr>
        <w:t>«</w:t>
      </w:r>
      <w:r>
        <w:rPr>
          <w:rFonts w:hint="cs"/>
          <w:rtl/>
        </w:rPr>
        <w:t>المشترَك هو اللفظ الموضوع لكل واحد من معنيين فأكثر</w:t>
      </w:r>
      <w:r>
        <w:rPr>
          <w:rFonts w:hint="eastAsia"/>
          <w:rtl/>
        </w:rPr>
        <w:t>»</w:t>
      </w:r>
      <w:r>
        <w:rPr>
          <w:rFonts w:hint="cs"/>
          <w:rtl/>
        </w:rPr>
        <w:t>.</w:t>
      </w:r>
    </w:p>
    <w:p w:rsidR="00035BE3" w:rsidRDefault="00035BE3" w:rsidP="00C10469">
      <w:pPr>
        <w:pStyle w:val="a6"/>
        <w:ind w:left="422" w:firstLine="0"/>
        <w:rPr>
          <w:rtl/>
        </w:rPr>
      </w:pPr>
      <w:r>
        <w:rPr>
          <w:rFonts w:hint="cs"/>
          <w:rtl/>
        </w:rPr>
        <w:t xml:space="preserve">وعرفه الدمنهوري بأنه : </w:t>
      </w:r>
      <w:r>
        <w:rPr>
          <w:rFonts w:hint="eastAsia"/>
          <w:rtl/>
        </w:rPr>
        <w:t>«</w:t>
      </w:r>
      <w:r>
        <w:rPr>
          <w:rFonts w:hint="cs"/>
          <w:rtl/>
        </w:rPr>
        <w:t>ما اتحد فيه اللفظ، وتعدّد المعنى</w:t>
      </w:r>
      <w:r>
        <w:rPr>
          <w:rFonts w:hint="eastAsia"/>
          <w:rtl/>
        </w:rPr>
        <w:t>»</w:t>
      </w:r>
      <w:r>
        <w:rPr>
          <w:rFonts w:hint="cs"/>
          <w:rtl/>
        </w:rPr>
        <w:t>.</w:t>
      </w:r>
    </w:p>
    <w:p w:rsidR="00035BE3" w:rsidRPr="008A0460" w:rsidRDefault="00035BE3" w:rsidP="00C10469">
      <w:pPr>
        <w:pStyle w:val="a6"/>
        <w:ind w:left="422" w:firstLine="0"/>
        <w:rPr>
          <w:spacing w:val="-4"/>
          <w:rtl/>
        </w:rPr>
      </w:pPr>
      <w:r>
        <w:rPr>
          <w:rFonts w:hint="cs"/>
          <w:rtl/>
        </w:rPr>
        <w:t xml:space="preserve">المقاييس في اللغة، مادة </w:t>
      </w:r>
      <w:r>
        <w:rPr>
          <w:rFonts w:hint="eastAsia"/>
          <w:rtl/>
        </w:rPr>
        <w:t>«</w:t>
      </w:r>
      <w:r>
        <w:rPr>
          <w:rFonts w:hint="cs"/>
          <w:rtl/>
        </w:rPr>
        <w:t>شرك</w:t>
      </w:r>
      <w:r>
        <w:rPr>
          <w:rFonts w:hint="eastAsia"/>
          <w:rtl/>
        </w:rPr>
        <w:t>»</w:t>
      </w:r>
      <w:r>
        <w:rPr>
          <w:rFonts w:hint="cs"/>
          <w:rtl/>
        </w:rPr>
        <w:t xml:space="preserve">، ص557؛ لسان العرب، مادة </w:t>
      </w:r>
      <w:r>
        <w:rPr>
          <w:rFonts w:hint="eastAsia"/>
          <w:rtl/>
        </w:rPr>
        <w:t>«</w:t>
      </w:r>
      <w:r>
        <w:rPr>
          <w:rFonts w:hint="cs"/>
          <w:rtl/>
        </w:rPr>
        <w:t>شرك</w:t>
      </w:r>
      <w:r>
        <w:rPr>
          <w:rFonts w:hint="eastAsia"/>
          <w:rtl/>
        </w:rPr>
        <w:t>»</w:t>
      </w:r>
      <w:r>
        <w:rPr>
          <w:rFonts w:hint="cs"/>
          <w:rtl/>
        </w:rPr>
        <w:t xml:space="preserve">، 10/449؛ تنقيح الفصول، </w:t>
      </w:r>
      <w:r w:rsidRPr="008A0460">
        <w:rPr>
          <w:rFonts w:hint="cs"/>
          <w:spacing w:val="-4"/>
          <w:rtl/>
        </w:rPr>
        <w:t xml:space="preserve">ص29 (مع شرحه)؛ إيضاح المبهم عن معاني السّلم، ص8؛ وانظر: المستصـفى، 1/32؛ </w:t>
      </w:r>
      <w:r>
        <w:rPr>
          <w:rFonts w:hint="cs"/>
          <w:rtl/>
        </w:rPr>
        <w:t xml:space="preserve">المحصـول، 1/96؛ السراج الوهاج، 1/306؛ التعريفات، ص274-275، رقم 1372؛ شرح </w:t>
      </w:r>
      <w:r w:rsidRPr="008A0460">
        <w:rPr>
          <w:rFonts w:hint="cs"/>
          <w:spacing w:val="-4"/>
          <w:rtl/>
        </w:rPr>
        <w:t>الأخضري على سلمه، ص27؛ مسلم الثبوت وشرحه: فواتح الرحموت، 1/198؛ ضوابط المعرفة، ص53.</w:t>
      </w:r>
    </w:p>
  </w:footnote>
  <w:footnote w:id="995">
    <w:p w:rsidR="00035BE3" w:rsidRPr="00FD49FE"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10/482، حيث جاء في (الهداية): </w:t>
      </w:r>
      <w:r>
        <w:rPr>
          <w:rFonts w:hint="eastAsia"/>
          <w:rtl/>
        </w:rPr>
        <w:t>«</w:t>
      </w:r>
      <w:r>
        <w:rPr>
          <w:rFonts w:hint="cs"/>
          <w:rtl/>
        </w:rPr>
        <w:t>ومن أوصى لمواليه وله موالٍ أعتقهم وموال أعتقوه: فالوصية باطلة</w:t>
      </w:r>
      <w:r>
        <w:rPr>
          <w:rFonts w:hint="eastAsia"/>
          <w:rtl/>
        </w:rPr>
        <w:t>»</w:t>
      </w:r>
      <w:r>
        <w:rPr>
          <w:rFonts w:hint="cs"/>
          <w:rtl/>
        </w:rPr>
        <w:t xml:space="preserve">، وعلق على ذلك صاحب (العناية) فقال: </w:t>
      </w:r>
      <w:r>
        <w:rPr>
          <w:rFonts w:hint="eastAsia"/>
          <w:rtl/>
        </w:rPr>
        <w:t>«</w:t>
      </w:r>
      <w:r>
        <w:rPr>
          <w:rFonts w:hint="cs"/>
          <w:rtl/>
        </w:rPr>
        <w:t>وقوله: (</w:t>
      </w:r>
      <w:r>
        <w:rPr>
          <w:rFonts w:hint="cs"/>
          <w:b/>
          <w:bCs/>
          <w:rtl/>
        </w:rPr>
        <w:t>ومن أوصى لمواليه</w:t>
      </w:r>
      <w:r>
        <w:rPr>
          <w:rFonts w:hint="cs"/>
          <w:rtl/>
        </w:rPr>
        <w:t xml:space="preserve">) مبناه على جواز </w:t>
      </w:r>
      <w:r w:rsidRPr="00FD49FE">
        <w:rPr>
          <w:rFonts w:hint="cs"/>
          <w:spacing w:val="-4"/>
          <w:rtl/>
        </w:rPr>
        <w:t>عموم المشترك وعدم جوازه، والشافعي يجيز ذلك، فأجاز هذا، وأصحابنا ما جوّزوه، وكذلك هذا ...</w:t>
      </w:r>
      <w:r w:rsidRPr="00FD49FE">
        <w:rPr>
          <w:rFonts w:hint="eastAsia"/>
          <w:spacing w:val="-4"/>
          <w:rtl/>
        </w:rPr>
        <w:t>»</w:t>
      </w:r>
      <w:r w:rsidRPr="00FD49FE">
        <w:rPr>
          <w:rFonts w:hint="cs"/>
          <w:spacing w:val="-4"/>
          <w:rtl/>
        </w:rPr>
        <w:t>.</w:t>
      </w:r>
    </w:p>
    <w:p w:rsidR="00035BE3" w:rsidRDefault="00035BE3" w:rsidP="00C10469">
      <w:pPr>
        <w:pStyle w:val="a6"/>
        <w:ind w:left="422" w:firstLine="0"/>
        <w:rPr>
          <w:rtl/>
        </w:rPr>
      </w:pPr>
      <w:r>
        <w:rPr>
          <w:rFonts w:hint="cs"/>
          <w:rtl/>
        </w:rPr>
        <w:t>وانظر الأشباه والنظائر لابن نجيم، ص161.</w:t>
      </w:r>
    </w:p>
    <w:p w:rsidR="00035BE3" w:rsidRDefault="00035BE3" w:rsidP="00C10469">
      <w:pPr>
        <w:pStyle w:val="a6"/>
        <w:ind w:left="422" w:firstLine="0"/>
        <w:rPr>
          <w:spacing w:val="-4"/>
          <w:rtl/>
        </w:rPr>
      </w:pPr>
      <w:r>
        <w:rPr>
          <w:rFonts w:hint="cs"/>
          <w:spacing w:val="-4"/>
          <w:rtl/>
        </w:rPr>
        <w:t>وسوف يأتي مزيد تفصيل لمسألة (عموم المشترك) في قاعدة مستقلة، ص362 (ل16/أ)، قاعدة 35.</w:t>
      </w:r>
    </w:p>
  </w:footnote>
  <w:footnote w:id="996">
    <w:p w:rsidR="00035BE3" w:rsidRDefault="00035BE3" w:rsidP="00C10469">
      <w:pPr>
        <w:pStyle w:val="a8"/>
        <w:bidi/>
        <w:ind w:left="422" w:right="0"/>
        <w:rPr>
          <w:rtl/>
        </w:rPr>
      </w:pPr>
      <w:r w:rsidRPr="0042533B">
        <w:rPr>
          <w:rFonts w:hint="cs"/>
          <w:sz w:val="30"/>
          <w:vertAlign w:val="superscript"/>
          <w:rtl/>
        </w:rPr>
        <w:t>(</w:t>
      </w:r>
      <w:r w:rsidRPr="0042533B">
        <w:rPr>
          <w:rStyle w:val="a7"/>
          <w:sz w:val="30"/>
          <w:szCs w:val="30"/>
        </w:rPr>
        <w:footnoteRef/>
      </w:r>
      <w:r w:rsidRPr="0042533B">
        <w:rPr>
          <w:rFonts w:hint="cs"/>
          <w:sz w:val="30"/>
          <w:vertAlign w:val="superscript"/>
          <w:rtl/>
        </w:rPr>
        <w:t>)</w:t>
      </w:r>
      <w:r>
        <w:rPr>
          <w:rFonts w:hint="cs"/>
          <w:rtl/>
        </w:rPr>
        <w:t xml:space="preserve">   مما يلفت النظر في هذه القاعدة كونها موضع خلاف بين العلماء، كما أدرجها كثير ممّن كتب في القواعد تحت قاعدة : </w:t>
      </w:r>
      <w:r>
        <w:rPr>
          <w:rFonts w:hint="eastAsia"/>
          <w:rtl/>
        </w:rPr>
        <w:t>«</w:t>
      </w:r>
      <w:r>
        <w:rPr>
          <w:rFonts w:hint="cs"/>
          <w:rtl/>
        </w:rPr>
        <w:t>الأمور بمقاصدها</w:t>
      </w:r>
      <w:r>
        <w:rPr>
          <w:rFonts w:hint="eastAsia"/>
          <w:rtl/>
        </w:rPr>
        <w:t>»</w:t>
      </w:r>
      <w:r>
        <w:rPr>
          <w:rFonts w:hint="cs"/>
          <w:rtl/>
        </w:rPr>
        <w:t xml:space="preserve"> ولم يجعلوها مستقلة عنها، ومع ذلك فهي تعدّ من أشهر القواعد الفقهية، وأكثرها تداولا عند علماء هذا الفن؛ إذ لا يكاد يخلو منها كتاب من كتبهم.</w:t>
      </w:r>
    </w:p>
    <w:p w:rsidR="00035BE3" w:rsidRDefault="00035BE3" w:rsidP="00C10469">
      <w:pPr>
        <w:pStyle w:val="a6"/>
        <w:ind w:left="422" w:firstLine="0"/>
        <w:rPr>
          <w:rtl/>
        </w:rPr>
      </w:pPr>
      <w:r>
        <w:rPr>
          <w:rFonts w:hint="cs"/>
          <w:rtl/>
        </w:rPr>
        <w:t>كما وردت في كتب أخر كثيرة.</w:t>
      </w:r>
    </w:p>
    <w:p w:rsidR="00035BE3" w:rsidRDefault="00035BE3" w:rsidP="00C10469">
      <w:pPr>
        <w:pStyle w:val="a6"/>
        <w:ind w:left="422" w:firstLine="0"/>
        <w:rPr>
          <w:rtl/>
        </w:rPr>
      </w:pPr>
      <w:r>
        <w:rPr>
          <w:rFonts w:hint="cs"/>
          <w:rtl/>
        </w:rPr>
        <w:t>وممّن أولى هذه القاعدة مزيد عناية : الإمام ابن القيم في كتابه القيِّم (إعلام الموقعين)، 3/97-99. حيث قدّم لها بتمهيد يمكن أن يكون ضابطًا لموضوعها (وهو تعارض اللفظ والقصد)، وتحريرًا لمحل النزاع فيها، وحاصله : «الألفاظ بالنسبة إلى مقاصد المكلفين ... ثلاثة أقسام :</w:t>
      </w:r>
    </w:p>
    <w:p w:rsidR="00035BE3" w:rsidRDefault="00035BE3" w:rsidP="00C10469">
      <w:pPr>
        <w:pStyle w:val="a6"/>
        <w:ind w:left="422" w:firstLine="0"/>
        <w:rPr>
          <w:rtl/>
        </w:rPr>
      </w:pPr>
      <w:r>
        <w:rPr>
          <w:rFonts w:hint="cs"/>
          <w:b/>
          <w:bCs/>
          <w:rtl/>
        </w:rPr>
        <w:t>أحدها</w:t>
      </w:r>
      <w:r>
        <w:rPr>
          <w:rFonts w:hint="cs"/>
          <w:rtl/>
        </w:rPr>
        <w:t xml:space="preserve"> : أن تظهر مطابقة القصد للفظ. وللظهور مراتب تنتهى إلى اليقين... بمراد المتكلم ...</w:t>
      </w:r>
    </w:p>
    <w:p w:rsidR="00035BE3" w:rsidRDefault="00035BE3" w:rsidP="00C10469">
      <w:pPr>
        <w:pStyle w:val="a6"/>
        <w:ind w:left="422" w:firstLine="0"/>
        <w:rPr>
          <w:rtl/>
        </w:rPr>
      </w:pPr>
      <w:r>
        <w:rPr>
          <w:rFonts w:hint="cs"/>
          <w:b/>
          <w:bCs/>
          <w:rtl/>
        </w:rPr>
        <w:t>القسم الثاني</w:t>
      </w:r>
      <w:r>
        <w:rPr>
          <w:rFonts w:hint="cs"/>
          <w:rtl/>
        </w:rPr>
        <w:t xml:space="preserve"> : ما يظهر بأن المتكلِّم لم يرد معناه ...</w:t>
      </w:r>
    </w:p>
    <w:p w:rsidR="00035BE3" w:rsidRDefault="00035BE3" w:rsidP="00C10469">
      <w:pPr>
        <w:pStyle w:val="a6"/>
        <w:ind w:left="422" w:firstLine="0"/>
        <w:rPr>
          <w:rtl/>
        </w:rPr>
      </w:pPr>
      <w:r>
        <w:rPr>
          <w:rFonts w:hint="cs"/>
          <w:rtl/>
        </w:rPr>
        <w:t>وهذا القسم نوعان :</w:t>
      </w:r>
    </w:p>
    <w:p w:rsidR="00035BE3" w:rsidRDefault="00035BE3" w:rsidP="00C10469">
      <w:pPr>
        <w:pStyle w:val="a6"/>
        <w:ind w:left="422" w:firstLine="0"/>
        <w:rPr>
          <w:rtl/>
        </w:rPr>
      </w:pPr>
      <w:r>
        <w:rPr>
          <w:rFonts w:hint="cs"/>
          <w:b/>
          <w:bCs/>
          <w:rtl/>
        </w:rPr>
        <w:t>أحدهما</w:t>
      </w:r>
      <w:r>
        <w:rPr>
          <w:rFonts w:hint="cs"/>
          <w:rtl/>
        </w:rPr>
        <w:t xml:space="preserve"> : أن لا يكون مريدًا لمقتضاه، ولا لغيره.</w:t>
      </w:r>
    </w:p>
    <w:p w:rsidR="00035BE3" w:rsidRDefault="00035BE3" w:rsidP="00C10469">
      <w:pPr>
        <w:pStyle w:val="a6"/>
        <w:ind w:left="422" w:firstLine="0"/>
        <w:rPr>
          <w:rtl/>
        </w:rPr>
      </w:pPr>
      <w:r>
        <w:rPr>
          <w:rFonts w:hint="cs"/>
          <w:b/>
          <w:bCs/>
          <w:rtl/>
        </w:rPr>
        <w:t>والثاني</w:t>
      </w:r>
      <w:r>
        <w:rPr>
          <w:rFonts w:hint="cs"/>
          <w:rtl/>
        </w:rPr>
        <w:t xml:space="preserve"> : أن يكون مريدًا لمعنى يخالفه.</w:t>
      </w:r>
    </w:p>
    <w:p w:rsidR="00035BE3" w:rsidRDefault="00035BE3" w:rsidP="00C10469">
      <w:pPr>
        <w:pStyle w:val="a6"/>
        <w:ind w:left="422" w:firstLine="0"/>
        <w:rPr>
          <w:rtl/>
        </w:rPr>
      </w:pPr>
      <w:r>
        <w:rPr>
          <w:rFonts w:hint="cs"/>
          <w:rtl/>
        </w:rPr>
        <w:t>فالأول : كالمكره والنائم والمجنون، ومن اشتدّ به الغضب، والسكران.</w:t>
      </w:r>
    </w:p>
    <w:p w:rsidR="00035BE3" w:rsidRDefault="00035BE3" w:rsidP="00C10469">
      <w:pPr>
        <w:pStyle w:val="a6"/>
        <w:ind w:left="422" w:firstLine="0"/>
        <w:rPr>
          <w:rtl/>
        </w:rPr>
      </w:pPr>
      <w:r>
        <w:rPr>
          <w:rFonts w:hint="cs"/>
          <w:rtl/>
        </w:rPr>
        <w:t>والثاني : كالمعرِّض ... والمُلغِز والمتأول.</w:t>
      </w:r>
    </w:p>
    <w:p w:rsidR="00035BE3" w:rsidRDefault="00035BE3" w:rsidP="00C10469">
      <w:pPr>
        <w:pStyle w:val="a6"/>
        <w:ind w:left="422" w:firstLine="0"/>
        <w:rPr>
          <w:rtl/>
        </w:rPr>
      </w:pPr>
      <w:r>
        <w:rPr>
          <w:rFonts w:hint="cs"/>
          <w:b/>
          <w:bCs/>
          <w:rtl/>
        </w:rPr>
        <w:t>القسم الثالث :</w:t>
      </w:r>
      <w:r>
        <w:rPr>
          <w:rFonts w:hint="cs"/>
          <w:rtl/>
        </w:rPr>
        <w:t xml:space="preserve"> ما هو ظاهر في معناه، ويحتمل إرادة المتكلم له، ويحتمل إرادته غيره، ولا دلالة على واحد من الأمرين ...</w:t>
      </w:r>
    </w:p>
    <w:p w:rsidR="00035BE3" w:rsidRDefault="00035BE3" w:rsidP="00C10469">
      <w:pPr>
        <w:pStyle w:val="a6"/>
        <w:ind w:left="422" w:firstLine="0"/>
        <w:rPr>
          <w:rtl/>
        </w:rPr>
      </w:pPr>
      <w:r>
        <w:rPr>
          <w:rFonts w:hint="cs"/>
          <w:rtl/>
        </w:rPr>
        <w:t>[وبعد أن بين الأقسام ذكر حكمها (وهو ما يمكن أن يمثِّل تحرير محلّ النزاع فيها، فقال :]</w:t>
      </w:r>
    </w:p>
    <w:p w:rsidR="00035BE3" w:rsidRDefault="00035BE3" w:rsidP="00C10469">
      <w:pPr>
        <w:pStyle w:val="a6"/>
        <w:ind w:left="422" w:firstLine="0"/>
        <w:rPr>
          <w:rtl/>
        </w:rPr>
      </w:pPr>
      <w:r>
        <w:rPr>
          <w:rFonts w:hint="cs"/>
          <w:rtl/>
        </w:rPr>
        <w:t>فهذه أقسام الألفاظ بالنسبة إلى ... مقاصد المتكلم بها. وعند هذا يقال :</w:t>
      </w:r>
    </w:p>
    <w:p w:rsidR="00035BE3" w:rsidRDefault="00035BE3" w:rsidP="00C10469">
      <w:pPr>
        <w:pStyle w:val="a6"/>
        <w:ind w:left="422" w:firstLine="0"/>
        <w:rPr>
          <w:b/>
          <w:bCs/>
          <w:rtl/>
        </w:rPr>
      </w:pPr>
      <w:r>
        <w:rPr>
          <w:rFonts w:hint="cs"/>
          <w:b/>
          <w:bCs/>
          <w:rtl/>
        </w:rPr>
        <w:t>إذا ظهر قصد المتكلّم لمعنى كلامه، أو لم يظهر قصدٌ يخالف كلامَه : وجب حمل كلامه على ظاهره</w:t>
      </w:r>
      <w:r>
        <w:rPr>
          <w:rFonts w:hint="eastAsia"/>
          <w:b/>
          <w:bCs/>
          <w:rtl/>
        </w:rPr>
        <w:t> </w:t>
      </w:r>
      <w:r>
        <w:rPr>
          <w:rFonts w:hint="cs"/>
          <w:b/>
          <w:bCs/>
          <w:rtl/>
        </w:rPr>
        <w:t>... وهذا حقٌّ لا يُنازع فيه عالم...</w:t>
      </w:r>
    </w:p>
    <w:p w:rsidR="00035BE3" w:rsidRDefault="00035BE3" w:rsidP="00C10469">
      <w:pPr>
        <w:pStyle w:val="a6"/>
        <w:ind w:left="-32" w:firstLine="454"/>
        <w:rPr>
          <w:b/>
          <w:bCs/>
          <w:rtl/>
        </w:rPr>
      </w:pPr>
      <w:r>
        <w:rPr>
          <w:b/>
          <w:bCs/>
          <w:rtl/>
        </w:rPr>
        <w:t>•</w:t>
      </w:r>
      <w:r>
        <w:rPr>
          <w:rFonts w:hint="cs"/>
          <w:b/>
          <w:bCs/>
          <w:rtl/>
        </w:rPr>
        <w:t xml:space="preserve"> وإنما النزاع في الحمل على الظاهر حكمًا بعد ظهور مراد المتكلّم والفاعل بخلاف ما أظهره.</w:t>
      </w:r>
    </w:p>
    <w:p w:rsidR="00035BE3" w:rsidRDefault="00035BE3" w:rsidP="00C10469">
      <w:pPr>
        <w:pStyle w:val="a6"/>
        <w:ind w:left="422" w:firstLine="0"/>
        <w:rPr>
          <w:rtl/>
        </w:rPr>
      </w:pPr>
      <w:r>
        <w:rPr>
          <w:rFonts w:hint="cs"/>
          <w:rtl/>
        </w:rPr>
        <w:t>[ثم ربط ذلك بالقاعدة، وبين الراجح عنده فيها فقال:]</w:t>
      </w:r>
    </w:p>
    <w:p w:rsidR="00035BE3" w:rsidRDefault="00035BE3" w:rsidP="00C10469">
      <w:pPr>
        <w:pStyle w:val="a6"/>
        <w:ind w:left="422" w:firstLine="0"/>
        <w:rPr>
          <w:rtl/>
        </w:rPr>
      </w:pPr>
      <w:r>
        <w:rPr>
          <w:rFonts w:hint="cs"/>
          <w:rtl/>
        </w:rPr>
        <w:t>فهذا هو الذي وقع فيه النزاع وهو : هل الاعتبار بظواهر الألفاظ والعقود، وإن ظهرت المقاصد والنيّات بخلافها، أم للقصود والنيّات تأثير يوجب الالتفات إليها، ومراعاة جانبها؟.</w:t>
      </w:r>
      <w:r>
        <w:rPr>
          <w:rFonts w:hint="cs"/>
          <w:rtl/>
        </w:rPr>
        <w:tab/>
      </w:r>
      <w:r>
        <w:rPr>
          <w:rFonts w:hint="cs"/>
          <w:rtl/>
        </w:rPr>
        <w:tab/>
        <w:t xml:space="preserve">  </w:t>
      </w:r>
    </w:p>
    <w:p w:rsidR="00035BE3" w:rsidRDefault="00035BE3" w:rsidP="00C10469">
      <w:pPr>
        <w:pStyle w:val="a6"/>
        <w:ind w:left="422" w:firstLine="0"/>
        <w:rPr>
          <w:rtl/>
        </w:rPr>
      </w:pPr>
      <w:r>
        <w:rPr>
          <w:rFonts w:hint="cs"/>
          <w:rtl/>
        </w:rPr>
        <w:t>وقد تظاهرت أدّلة الشرع وقواعده على أنّ القصود في العقود معتبرة، وأنها تؤثر في صحة العقد وفساده، وفي حلّه وحرمته ...».</w:t>
      </w:r>
    </w:p>
    <w:p w:rsidR="00035BE3" w:rsidRDefault="00035BE3" w:rsidP="00C10469">
      <w:pPr>
        <w:pStyle w:val="a6"/>
        <w:ind w:left="422" w:firstLine="0"/>
        <w:rPr>
          <w:spacing w:val="8"/>
          <w:rtl/>
        </w:rPr>
      </w:pPr>
      <w:r>
        <w:rPr>
          <w:rFonts w:hint="cs"/>
          <w:spacing w:val="8"/>
          <w:rtl/>
        </w:rPr>
        <w:t>وهذا الرأي الذي رجّحه هو ما يحكيه لفظ القاعدة، وهو رأي الجمهور؛ إذ هو رأي الحنفية وأكثر المالكية، وأحد الوجهين عند الشافعية والحنابلة. وقد جعله شيخ الإسلام ابن تيمية أصلَ الإمام أحمد، فقال في فتاواه -30/112- : «فإن الاعتبار في العقود بالـمعاني والمقاصد، لا بمجرّد اللفظ.</w:t>
      </w:r>
    </w:p>
    <w:p w:rsidR="00035BE3" w:rsidRDefault="00035BE3" w:rsidP="00C10469">
      <w:pPr>
        <w:pStyle w:val="a6"/>
        <w:ind w:left="422" w:firstLine="0"/>
        <w:rPr>
          <w:rtl/>
        </w:rPr>
      </w:pPr>
      <w:r>
        <w:rPr>
          <w:rFonts w:hint="cs"/>
          <w:rtl/>
        </w:rPr>
        <w:t>هذا أصل أحمد، وجمهور العلماء، وأحد الوجهين في مذهب الشافعي. ولكن بعض أصحاب أحمد قد يجعلون الحكم يختلف بتغاير اللفظ ...».</w:t>
      </w:r>
    </w:p>
    <w:p w:rsidR="00035BE3" w:rsidRDefault="00035BE3" w:rsidP="00C10469">
      <w:pPr>
        <w:pStyle w:val="a6"/>
        <w:ind w:left="422" w:firstLine="0"/>
        <w:rPr>
          <w:b/>
          <w:bCs/>
          <w:rtl/>
        </w:rPr>
      </w:pPr>
      <w:r>
        <w:rPr>
          <w:rFonts w:hint="cs"/>
          <w:b/>
          <w:bCs/>
          <w:rtl/>
        </w:rPr>
        <w:t>ولتوثيق القاعدة ومعرفة ألفاظها في كافة المذاهب الأربعة يقال :</w:t>
      </w:r>
    </w:p>
    <w:p w:rsidR="00035BE3" w:rsidRDefault="00035BE3" w:rsidP="00C10469">
      <w:pPr>
        <w:pStyle w:val="a6"/>
        <w:ind w:left="422" w:firstLine="0"/>
        <w:rPr>
          <w:rtl/>
        </w:rPr>
      </w:pPr>
      <w:r>
        <w:rPr>
          <w:rFonts w:hint="cs"/>
          <w:rtl/>
        </w:rPr>
        <w:t>وردت بلفظها، أو نحوه، أو معناه في كثير من كتب القواعد وغيرها :</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spacing w:line="228" w:lineRule="auto"/>
        <w:ind w:left="420" w:firstLine="0"/>
        <w:rPr>
          <w:rtl/>
        </w:rPr>
      </w:pPr>
      <w:r w:rsidRPr="00956523">
        <w:rPr>
          <w:rFonts w:hint="cs"/>
          <w:spacing w:val="4"/>
          <w:rtl/>
        </w:rPr>
        <w:t xml:space="preserve">رسالة الكرخي في الأصول، ص162- ولفظه : </w:t>
      </w:r>
      <w:r w:rsidRPr="00956523">
        <w:rPr>
          <w:rFonts w:hint="eastAsia"/>
          <w:spacing w:val="4"/>
          <w:rtl/>
        </w:rPr>
        <w:t>«</w:t>
      </w:r>
      <w:r w:rsidRPr="00956523">
        <w:rPr>
          <w:rFonts w:hint="cs"/>
          <w:spacing w:val="4"/>
          <w:rtl/>
        </w:rPr>
        <w:t>الأصل أنه يعتبر في الدعاوي مقصود الخصمين في المنازعة دون الظاهر</w:t>
      </w:r>
      <w:r w:rsidRPr="00956523">
        <w:rPr>
          <w:rFonts w:hint="eastAsia"/>
          <w:spacing w:val="4"/>
          <w:rtl/>
        </w:rPr>
        <w:t>»</w:t>
      </w:r>
      <w:r w:rsidRPr="00956523">
        <w:rPr>
          <w:rFonts w:hint="cs"/>
          <w:spacing w:val="4"/>
          <w:rtl/>
        </w:rPr>
        <w:t xml:space="preserve">-؛ قواعد الأحكام لابن عبد السلام، 2/77- فقد أشار إليها عند حديثه عن: </w:t>
      </w:r>
      <w:r w:rsidRPr="00956523">
        <w:rPr>
          <w:rFonts w:hint="eastAsia"/>
          <w:spacing w:val="4"/>
          <w:rtl/>
        </w:rPr>
        <w:t>«</w:t>
      </w:r>
      <w:r w:rsidRPr="00956523">
        <w:rPr>
          <w:rFonts w:hint="cs"/>
          <w:spacing w:val="4"/>
          <w:rtl/>
        </w:rPr>
        <w:t>قاعدة فيما تحمل عليه ألفاظ التصرفات</w:t>
      </w:r>
      <w:r w:rsidRPr="00956523">
        <w:rPr>
          <w:rFonts w:hint="eastAsia"/>
          <w:spacing w:val="4"/>
          <w:rtl/>
        </w:rPr>
        <w:t>»</w:t>
      </w:r>
      <w:r w:rsidRPr="00956523">
        <w:rPr>
          <w:rFonts w:hint="cs"/>
          <w:spacing w:val="4"/>
          <w:rtl/>
        </w:rPr>
        <w:t xml:space="preserve">-؛ الأشباه والنظائر لابن الوكيل، 2/222-235- ولفظه: </w:t>
      </w:r>
      <w:r w:rsidRPr="00956523">
        <w:rPr>
          <w:rFonts w:hint="eastAsia"/>
          <w:spacing w:val="4"/>
          <w:rtl/>
        </w:rPr>
        <w:t>«</w:t>
      </w:r>
      <w:r w:rsidRPr="00956523">
        <w:rPr>
          <w:rFonts w:hint="cs"/>
          <w:spacing w:val="4"/>
          <w:rtl/>
        </w:rPr>
        <w:t>العبرة باللفظ أو المعنى؟</w:t>
      </w:r>
      <w:r w:rsidRPr="00956523">
        <w:rPr>
          <w:rFonts w:hint="eastAsia"/>
          <w:spacing w:val="4"/>
          <w:rtl/>
        </w:rPr>
        <w:t>»</w:t>
      </w:r>
      <w:r w:rsidRPr="00956523">
        <w:rPr>
          <w:rFonts w:hint="cs"/>
          <w:spacing w:val="4"/>
          <w:rtl/>
        </w:rPr>
        <w:t xml:space="preserve">-؛ القواعد النورانية الفقهية لشيخ الإسلام ابن تيمية، ص126- ضمن قاعدة </w:t>
      </w:r>
      <w:r w:rsidRPr="00956523">
        <w:rPr>
          <w:rFonts w:hint="eastAsia"/>
          <w:spacing w:val="4"/>
          <w:rtl/>
        </w:rPr>
        <w:t>«</w:t>
      </w:r>
      <w:r w:rsidRPr="00956523">
        <w:rPr>
          <w:rFonts w:hint="cs"/>
          <w:spacing w:val="4"/>
          <w:rtl/>
        </w:rPr>
        <w:t>صفة العقود</w:t>
      </w:r>
      <w:r w:rsidRPr="00956523">
        <w:rPr>
          <w:rFonts w:hint="eastAsia"/>
          <w:spacing w:val="4"/>
          <w:rtl/>
        </w:rPr>
        <w:t>»</w:t>
      </w:r>
      <w:r w:rsidRPr="00956523">
        <w:rPr>
          <w:rFonts w:hint="cs"/>
          <w:spacing w:val="4"/>
          <w:rtl/>
        </w:rPr>
        <w:t xml:space="preserve">-؛ القواعد للمقّري، 2/572، قاعدة 351- ولفظه: </w:t>
      </w:r>
      <w:r w:rsidRPr="00956523">
        <w:rPr>
          <w:rFonts w:hint="eastAsia"/>
          <w:spacing w:val="4"/>
          <w:rtl/>
        </w:rPr>
        <w:t>«</w:t>
      </w:r>
      <w:r w:rsidRPr="00956523">
        <w:rPr>
          <w:rFonts w:hint="cs"/>
          <w:spacing w:val="4"/>
          <w:rtl/>
        </w:rPr>
        <w:t>اختلف المالكية في المقدَّم من اللفظ والقصد عند تعارضهما</w:t>
      </w:r>
      <w:r w:rsidRPr="00956523">
        <w:rPr>
          <w:rFonts w:hint="eastAsia"/>
          <w:spacing w:val="4"/>
          <w:rtl/>
        </w:rPr>
        <w:t>»</w:t>
      </w:r>
      <w:r w:rsidRPr="00956523">
        <w:rPr>
          <w:rFonts w:hint="cs"/>
          <w:spacing w:val="4"/>
          <w:rtl/>
        </w:rPr>
        <w:t xml:space="preserve">-؛ المجموع المذهب، 2/454- ولفظه: </w:t>
      </w:r>
      <w:r w:rsidRPr="00956523">
        <w:rPr>
          <w:rFonts w:hint="eastAsia"/>
          <w:spacing w:val="4"/>
          <w:rtl/>
        </w:rPr>
        <w:t>«</w:t>
      </w:r>
      <w:r w:rsidRPr="00956523">
        <w:rPr>
          <w:rFonts w:hint="cs"/>
          <w:spacing w:val="4"/>
          <w:rtl/>
        </w:rPr>
        <w:t>هل العبرة باللفظ أم بالمعنى؟</w:t>
      </w:r>
      <w:r w:rsidRPr="00956523">
        <w:rPr>
          <w:rFonts w:hint="eastAsia"/>
          <w:spacing w:val="4"/>
          <w:rtl/>
        </w:rPr>
        <w:t>»</w:t>
      </w:r>
      <w:r w:rsidRPr="00956523">
        <w:rPr>
          <w:rFonts w:hint="cs"/>
          <w:spacing w:val="4"/>
          <w:rtl/>
        </w:rPr>
        <w:t xml:space="preserve">-؛ الأشباه والنظائر لابن السبكي، 1/174-184، 347- ولفظ الأول : </w:t>
      </w:r>
      <w:r w:rsidRPr="00956523">
        <w:rPr>
          <w:rFonts w:hint="eastAsia"/>
          <w:spacing w:val="4"/>
          <w:rtl/>
        </w:rPr>
        <w:t>«</w:t>
      </w:r>
      <w:r w:rsidRPr="00956523">
        <w:rPr>
          <w:rFonts w:hint="cs"/>
          <w:spacing w:val="4"/>
          <w:rtl/>
        </w:rPr>
        <w:t>هل الاعتبار بألفاظ العقود أو بمعانيها؟</w:t>
      </w:r>
      <w:r w:rsidRPr="00956523">
        <w:rPr>
          <w:rFonts w:hint="eastAsia"/>
          <w:spacing w:val="4"/>
          <w:rtl/>
        </w:rPr>
        <w:t>»</w:t>
      </w:r>
      <w:r w:rsidRPr="00956523">
        <w:rPr>
          <w:rFonts w:hint="cs"/>
          <w:spacing w:val="4"/>
          <w:rtl/>
        </w:rPr>
        <w:t xml:space="preserve">-؛ المنثور في القواعد، 2/371-374 - ولفظه: </w:t>
      </w:r>
      <w:r w:rsidRPr="00956523">
        <w:rPr>
          <w:rFonts w:hint="eastAsia"/>
          <w:spacing w:val="4"/>
          <w:rtl/>
        </w:rPr>
        <w:t>«</w:t>
      </w:r>
      <w:r w:rsidRPr="00956523">
        <w:rPr>
          <w:rFonts w:hint="cs"/>
          <w:spacing w:val="4"/>
          <w:rtl/>
        </w:rPr>
        <w:t>العبرة بصيغ العقود أو بمعانيها</w:t>
      </w:r>
      <w:r w:rsidRPr="00956523">
        <w:rPr>
          <w:rFonts w:hint="eastAsia"/>
          <w:spacing w:val="4"/>
          <w:rtl/>
        </w:rPr>
        <w:t>»</w:t>
      </w:r>
      <w:r w:rsidRPr="00956523">
        <w:rPr>
          <w:rFonts w:hint="cs"/>
          <w:spacing w:val="4"/>
          <w:rtl/>
        </w:rPr>
        <w:t xml:space="preserve">-؛ تقرير القواعد لابن رجب، 1/267-273، قاعدة 38- ولفظه: </w:t>
      </w:r>
      <w:r w:rsidRPr="00956523">
        <w:rPr>
          <w:rFonts w:hint="eastAsia"/>
          <w:spacing w:val="4"/>
          <w:rtl/>
        </w:rPr>
        <w:t>«</w:t>
      </w:r>
      <w:r w:rsidRPr="00956523">
        <w:rPr>
          <w:rFonts w:hint="cs"/>
          <w:spacing w:val="4"/>
          <w:rtl/>
        </w:rPr>
        <w:t>فيما إذا وصل بألفاظ العقود ما يخرجها عن موضوعها: فهل يفسد العقد بذلك، أو يجعل كناية عمّا يمكن صحته على ذلك الوجه؟</w:t>
      </w:r>
      <w:r w:rsidRPr="00956523">
        <w:rPr>
          <w:rFonts w:hint="eastAsia"/>
          <w:spacing w:val="4"/>
          <w:rtl/>
        </w:rPr>
        <w:t>»</w:t>
      </w:r>
      <w:r w:rsidRPr="00956523">
        <w:rPr>
          <w:rFonts w:hint="cs"/>
          <w:spacing w:val="4"/>
          <w:rtl/>
        </w:rPr>
        <w:t xml:space="preserve">-؛ وانظر منه 1/64، قاعدة 10؛ الأشباه والنظائر لابن الملقن، 2/18-39، قاعدة 90- ولفظه </w:t>
      </w:r>
      <w:r w:rsidRPr="00956523">
        <w:rPr>
          <w:rFonts w:hint="eastAsia"/>
          <w:spacing w:val="4"/>
          <w:rtl/>
        </w:rPr>
        <w:t>«</w:t>
      </w:r>
      <w:r w:rsidRPr="00956523">
        <w:rPr>
          <w:rFonts w:hint="cs"/>
          <w:spacing w:val="4"/>
          <w:rtl/>
        </w:rPr>
        <w:t>هل الاعتبار بألفاظ العقود أو بمعانيها؟</w:t>
      </w:r>
      <w:r w:rsidRPr="00956523">
        <w:rPr>
          <w:rFonts w:hint="eastAsia"/>
          <w:spacing w:val="4"/>
          <w:rtl/>
        </w:rPr>
        <w:t>»</w:t>
      </w:r>
      <w:r w:rsidRPr="00956523">
        <w:rPr>
          <w:rFonts w:hint="cs"/>
          <w:spacing w:val="4"/>
          <w:rtl/>
        </w:rPr>
        <w:t xml:space="preserve">-؛ القواعد للحـصني، 1/401-421؛ مختصر من قواعد العلائي وكلام الإسنوي، 1/253-255، 296- ولفظ العلائي ومن بعده : </w:t>
      </w:r>
      <w:r w:rsidRPr="00956523">
        <w:rPr>
          <w:rFonts w:hint="eastAsia"/>
          <w:spacing w:val="4"/>
          <w:rtl/>
        </w:rPr>
        <w:t>«</w:t>
      </w:r>
      <w:r w:rsidRPr="00956523">
        <w:rPr>
          <w:rFonts w:hint="cs"/>
          <w:spacing w:val="4"/>
          <w:rtl/>
        </w:rPr>
        <w:t>إذا استعمل لفظ موضوع لعقد في عقد آخر، هل العبرة باللفظ أم بالمعنى؟</w:t>
      </w:r>
      <w:r w:rsidRPr="00956523">
        <w:rPr>
          <w:rFonts w:hint="eastAsia"/>
          <w:spacing w:val="4"/>
          <w:rtl/>
        </w:rPr>
        <w:t>»</w:t>
      </w:r>
      <w:r w:rsidRPr="00956523">
        <w:rPr>
          <w:rFonts w:hint="cs"/>
          <w:spacing w:val="4"/>
          <w:rtl/>
        </w:rPr>
        <w:t xml:space="preserve">-؛ إيضاح المسالك، ص87، قاعدة 50- </w:t>
      </w:r>
      <w:r w:rsidRPr="00A55819">
        <w:rPr>
          <w:rFonts w:hint="cs"/>
          <w:rtl/>
        </w:rPr>
        <w:t xml:space="preserve">ولفظه: </w:t>
      </w:r>
      <w:r w:rsidRPr="00A55819">
        <w:rPr>
          <w:rFonts w:hint="eastAsia"/>
          <w:rtl/>
        </w:rPr>
        <w:t>«</w:t>
      </w:r>
      <w:r w:rsidRPr="00A55819">
        <w:rPr>
          <w:rFonts w:hint="cs"/>
          <w:rtl/>
        </w:rPr>
        <w:t>إذا تعارض القصد واللفظ أيهما يقدم ؟</w:t>
      </w:r>
      <w:r w:rsidRPr="00A55819">
        <w:rPr>
          <w:rFonts w:hint="eastAsia"/>
          <w:rtl/>
        </w:rPr>
        <w:t>»</w:t>
      </w:r>
      <w:r w:rsidRPr="00A55819">
        <w:rPr>
          <w:rFonts w:hint="cs"/>
          <w:rtl/>
        </w:rPr>
        <w:t>-؛ الأشباه</w:t>
      </w:r>
      <w:r w:rsidRPr="00A55819">
        <w:rPr>
          <w:rFonts w:hint="eastAsia"/>
          <w:rtl/>
        </w:rPr>
        <w:t> </w:t>
      </w:r>
      <w:r w:rsidRPr="00A55819">
        <w:rPr>
          <w:rFonts w:hint="cs"/>
          <w:rtl/>
        </w:rPr>
        <w:t>والنظائر للسيوطي، 1/360-</w:t>
      </w:r>
      <w:r w:rsidRPr="00956523">
        <w:rPr>
          <w:rFonts w:hint="cs"/>
          <w:spacing w:val="4"/>
          <w:rtl/>
        </w:rPr>
        <w:t xml:space="preserve">365- </w:t>
      </w:r>
      <w:r w:rsidRPr="00A55819">
        <w:rPr>
          <w:rFonts w:hint="cs"/>
          <w:spacing w:val="-4"/>
          <w:rtl/>
        </w:rPr>
        <w:t xml:space="preserve">ولفظه: </w:t>
      </w:r>
      <w:r w:rsidRPr="00A55819">
        <w:rPr>
          <w:rFonts w:hint="eastAsia"/>
          <w:spacing w:val="-4"/>
          <w:rtl/>
        </w:rPr>
        <w:t>«</w:t>
      </w:r>
      <w:r w:rsidRPr="00A55819">
        <w:rPr>
          <w:rFonts w:hint="cs"/>
          <w:spacing w:val="-4"/>
          <w:rtl/>
        </w:rPr>
        <w:t>هل العبرة بصيغ العقود أو بمعانيها؟</w:t>
      </w:r>
      <w:r w:rsidRPr="00A55819">
        <w:rPr>
          <w:rFonts w:hint="eastAsia"/>
          <w:spacing w:val="-4"/>
          <w:rtl/>
        </w:rPr>
        <w:t>»</w:t>
      </w:r>
      <w:r w:rsidRPr="00A55819">
        <w:rPr>
          <w:rFonts w:hint="cs"/>
          <w:spacing w:val="-4"/>
          <w:rtl/>
        </w:rPr>
        <w:t>-؛ الأشباه</w:t>
      </w:r>
      <w:r w:rsidRPr="00A55819">
        <w:rPr>
          <w:rFonts w:hint="eastAsia"/>
          <w:spacing w:val="-4"/>
          <w:rtl/>
        </w:rPr>
        <w:t> </w:t>
      </w:r>
      <w:r w:rsidRPr="00A55819">
        <w:rPr>
          <w:rFonts w:hint="cs"/>
          <w:spacing w:val="-4"/>
          <w:rtl/>
        </w:rPr>
        <w:t>والنظائر لابن نجيم، ص234-235،</w:t>
      </w:r>
      <w:r>
        <w:rPr>
          <w:rFonts w:hint="cs"/>
          <w:spacing w:val="8"/>
          <w:rtl/>
        </w:rPr>
        <w:t xml:space="preserve"> 355 </w:t>
      </w:r>
      <w:r>
        <w:rPr>
          <w:rFonts w:hint="cs"/>
          <w:rtl/>
        </w:rPr>
        <w:t xml:space="preserve"> </w:t>
      </w:r>
    </w:p>
    <w:p w:rsidR="00035BE3" w:rsidRPr="005136C7" w:rsidRDefault="00035BE3" w:rsidP="00C10469">
      <w:pPr>
        <w:pStyle w:val="a6"/>
        <w:spacing w:line="228" w:lineRule="auto"/>
        <w:ind w:left="420" w:firstLine="0"/>
        <w:rPr>
          <w:rtl/>
        </w:rPr>
      </w:pPr>
      <w:r>
        <w:rPr>
          <w:rFonts w:hint="cs"/>
          <w:rtl/>
        </w:rPr>
        <w:t xml:space="preserve">ولفظه الأول : </w:t>
      </w:r>
      <w:r>
        <w:rPr>
          <w:rFonts w:hint="eastAsia"/>
          <w:rtl/>
        </w:rPr>
        <w:t>«</w:t>
      </w:r>
      <w:r>
        <w:rPr>
          <w:rFonts w:hint="cs"/>
          <w:rtl/>
        </w:rPr>
        <w:t>الاعتبار للمعنى لا للألفاظ</w:t>
      </w:r>
      <w:r>
        <w:rPr>
          <w:rFonts w:hint="eastAsia"/>
          <w:rtl/>
        </w:rPr>
        <w:t>»</w:t>
      </w:r>
      <w:r>
        <w:rPr>
          <w:rFonts w:hint="cs"/>
          <w:rtl/>
        </w:rPr>
        <w:t xml:space="preserve">-؛ غمز عيـون البصائر، 2/266-270؛ قواعد </w:t>
      </w:r>
      <w:r w:rsidRPr="005136C7">
        <w:rPr>
          <w:rFonts w:hint="cs"/>
          <w:rtl/>
        </w:rPr>
        <w:t xml:space="preserve">الفقه لابن نجيم، ص128، قاعدة 313- ولفظه: </w:t>
      </w:r>
      <w:r w:rsidRPr="005136C7">
        <w:rPr>
          <w:rFonts w:hint="eastAsia"/>
          <w:rtl/>
        </w:rPr>
        <w:t>«</w:t>
      </w:r>
      <w:r w:rsidRPr="005136C7">
        <w:rPr>
          <w:rFonts w:hint="cs"/>
          <w:rtl/>
        </w:rPr>
        <w:t>العبرة للمعاني لا للألفاظ</w:t>
      </w:r>
      <w:r w:rsidRPr="005136C7">
        <w:rPr>
          <w:rFonts w:hint="eastAsia"/>
          <w:rtl/>
        </w:rPr>
        <w:t>»</w:t>
      </w:r>
      <w:r w:rsidRPr="005136C7">
        <w:rPr>
          <w:rFonts w:hint="cs"/>
          <w:rtl/>
        </w:rPr>
        <w:t xml:space="preserve">-؛ شرح المنهج للمنجور، ص579-580- ولفظه : </w:t>
      </w:r>
      <w:r w:rsidRPr="005136C7">
        <w:rPr>
          <w:rFonts w:hint="eastAsia"/>
          <w:rtl/>
        </w:rPr>
        <w:t>«</w:t>
      </w:r>
      <w:r w:rsidRPr="005136C7">
        <w:rPr>
          <w:rFonts w:hint="cs"/>
          <w:rtl/>
        </w:rPr>
        <w:t>هل يقدَّم القصد أو اللفظ عند تعارضهما؟</w:t>
      </w:r>
      <w:r w:rsidRPr="005136C7">
        <w:rPr>
          <w:rFonts w:hint="eastAsia"/>
          <w:rtl/>
        </w:rPr>
        <w:t>»</w:t>
      </w:r>
      <w:r w:rsidRPr="005136C7">
        <w:rPr>
          <w:rFonts w:hint="cs"/>
          <w:rtl/>
        </w:rPr>
        <w:t xml:space="preserve">؛ الفرائد البهية وشرحاها: الأقمار المضيئة، ص252-257؛ والمواهب السنية، وحاشيتها: الفوائد الجنية، 2/377-378- ولفظ الفرائد قريب من أشباه السيوطي-؛ مجامع الحقائق (الخاتمة)، ص45، شرح العلائي لقواعد الخادمي، ل9/ب؛ منافع الدقائق، ص312-313- ولفظ المجامع: </w:t>
      </w:r>
      <w:r w:rsidRPr="005136C7">
        <w:rPr>
          <w:rFonts w:hint="eastAsia"/>
          <w:rtl/>
        </w:rPr>
        <w:t>«</w:t>
      </w:r>
      <w:r w:rsidRPr="005136C7">
        <w:rPr>
          <w:rFonts w:hint="cs"/>
          <w:rtl/>
        </w:rPr>
        <w:t>الاعتبار بالمقاصد لا بالألفاظ</w:t>
      </w:r>
      <w:r w:rsidRPr="005136C7">
        <w:rPr>
          <w:rFonts w:hint="eastAsia"/>
          <w:rtl/>
        </w:rPr>
        <w:t>»</w:t>
      </w:r>
      <w:r w:rsidRPr="005136C7">
        <w:rPr>
          <w:rFonts w:hint="cs"/>
          <w:rtl/>
        </w:rPr>
        <w:t xml:space="preserve">-؛ مجلة الأحكام العدلية، مادة 3؛ شرحها لسليم رستم، 1/19؛ ولعلي حيدر، 1/18-19؛ وللأتاسي، 1/16-18؛ شرح قواعدها للزرقا، ص55-78- ولفظ المجلة : </w:t>
      </w:r>
      <w:r w:rsidRPr="005136C7">
        <w:rPr>
          <w:rFonts w:hint="eastAsia"/>
          <w:rtl/>
        </w:rPr>
        <w:t>«</w:t>
      </w:r>
      <w:r w:rsidRPr="005136C7">
        <w:rPr>
          <w:rFonts w:hint="cs"/>
          <w:rtl/>
        </w:rPr>
        <w:t>العبرة في العقود للمقاصد والمعاني لا للألفاظ والمباني</w:t>
      </w:r>
      <w:r w:rsidRPr="005136C7">
        <w:rPr>
          <w:rFonts w:hint="eastAsia"/>
          <w:rtl/>
        </w:rPr>
        <w:t>»</w:t>
      </w:r>
      <w:r w:rsidRPr="005136C7">
        <w:rPr>
          <w:rFonts w:hint="cs"/>
          <w:rtl/>
        </w:rPr>
        <w:t xml:space="preserve">-؛ مجلة الأحكام الشرعية ، ص 82، مادة 38- ولفظها مطابق للفظ ابن رجب-؛ قواعد الفقه للمجدّدي، ص60، قاعدة 37، وص91، قاعدة 183، وص141، قاعدة 412- ولفظه الأول مطابق لأشباه ابن نجيم، والثاني للمجلة، والثالث للكرخي-؛ المدخل الفقهي العام، 2/966-967، فقرة 573؛ القواعد الفقهية للدكتور الندوي، ص64، 246، 286، 327- ولفظه الثاني مطابق للمنثور-؛ القواعد والضوابط المستخلصة من التحرير، ص490، وأحال إلى التحرير، 5/400 - ولفظه: </w:t>
      </w:r>
      <w:r w:rsidRPr="005136C7">
        <w:rPr>
          <w:rFonts w:hint="eastAsia"/>
          <w:rtl/>
        </w:rPr>
        <w:t>«</w:t>
      </w:r>
      <w:r w:rsidRPr="005136C7">
        <w:rPr>
          <w:rFonts w:hint="cs"/>
          <w:rtl/>
        </w:rPr>
        <w:t>العبرة للمقاصد دون الصّور</w:t>
      </w:r>
      <w:r w:rsidRPr="005136C7">
        <w:rPr>
          <w:rFonts w:hint="eastAsia"/>
          <w:rtl/>
        </w:rPr>
        <w:t>»</w:t>
      </w:r>
      <w:r w:rsidRPr="005136C7">
        <w:rPr>
          <w:rFonts w:hint="cs"/>
          <w:rtl/>
        </w:rPr>
        <w:t xml:space="preserve">-؛ الوجيز، ص28، 84-88؛ موسوعة القواعد الفقهية، 1/250-251، 2/198، كلاهما للدكتور البورنو -وقد ذكر فيهما عدة ألفاظ منها لفظ المجلة-؛ النية وأثرها في الأحكام الشرعية، 1/236-237؛ القواعد الفقهية الكبرى، ص67-69، كلاهما لشيخنا أ.د. صالح السدلان - ولفظه كأشباه السيوطي-؛ القواعد الكبرى في الفقه الإسلامي للدكتور العجلان، ص49-50 -ولفظه كالمجلة- ؛ قواعد الفقه الإسلامي من خلال كتاب الإشراف، ص160، 174، وأحال إلى الإشـراف، 2/63 -ولفظهما قريب من لفظ المؤلف-؛ القواعد الفقهية في بابي العبادات والمعاملات لشيخنا د. عبد الله العيسى، ص287- فقد صدّر الحديث عنها بقوله : </w:t>
      </w:r>
      <w:r w:rsidRPr="005136C7">
        <w:rPr>
          <w:rFonts w:hint="eastAsia"/>
          <w:rtl/>
        </w:rPr>
        <w:t>«</w:t>
      </w:r>
      <w:r w:rsidRPr="005136C7">
        <w:rPr>
          <w:rFonts w:hint="cs"/>
          <w:rtl/>
        </w:rPr>
        <w:t>اعتبار المقاصد في العقود</w:t>
      </w:r>
      <w:r w:rsidRPr="005136C7">
        <w:rPr>
          <w:rFonts w:hint="eastAsia"/>
          <w:rtl/>
        </w:rPr>
        <w:t>»</w:t>
      </w:r>
      <w:r w:rsidRPr="005136C7">
        <w:rPr>
          <w:rFonts w:hint="cs"/>
          <w:rtl/>
        </w:rPr>
        <w:t xml:space="preserve">-؛ تطبيقات القواعد والضوابط للدكتور الغـديان، ص1323- ولفظه كالمجلة-، قاعدة : </w:t>
      </w:r>
      <w:r w:rsidRPr="005136C7">
        <w:rPr>
          <w:rFonts w:hint="eastAsia"/>
          <w:rtl/>
        </w:rPr>
        <w:t>«</w:t>
      </w:r>
      <w:r w:rsidRPr="005136C7">
        <w:rPr>
          <w:rFonts w:hint="cs"/>
          <w:rtl/>
        </w:rPr>
        <w:t>الأمور بمقاصدها</w:t>
      </w:r>
      <w:r w:rsidRPr="005136C7">
        <w:rPr>
          <w:rFonts w:hint="eastAsia"/>
          <w:rtl/>
        </w:rPr>
        <w:t>»</w:t>
      </w:r>
      <w:r w:rsidRPr="005136C7">
        <w:rPr>
          <w:rFonts w:hint="cs"/>
          <w:rtl/>
        </w:rPr>
        <w:t xml:space="preserve"> لشيخنا د. يعقوب الباحسين، ص129-141- فقد عقد لها مبحثًا مستقلاً بعنوان: </w:t>
      </w:r>
      <w:r w:rsidRPr="005136C7">
        <w:rPr>
          <w:rFonts w:hint="eastAsia"/>
          <w:rtl/>
        </w:rPr>
        <w:t>«</w:t>
      </w:r>
      <w:r w:rsidRPr="005136C7">
        <w:rPr>
          <w:rFonts w:hint="cs"/>
          <w:rtl/>
        </w:rPr>
        <w:t>تعارض المقاصد أو النيَّات مع صريح اللفظ</w:t>
      </w:r>
      <w:r w:rsidRPr="005136C7">
        <w:rPr>
          <w:rFonts w:hint="eastAsia"/>
          <w:rtl/>
        </w:rPr>
        <w:t>»</w:t>
      </w:r>
      <w:r w:rsidRPr="005136C7">
        <w:rPr>
          <w:rFonts w:hint="cs"/>
          <w:rtl/>
        </w:rPr>
        <w:t>؛ المدخل إلى القواعد الفقهية الكلية للدكتور الحريري، ص77؛ المبـادئ الفقهيـة، ص10؛ القواعد الفقهية للدعاس، 14-15، قاعـدة 2؛ وللدكتور الزحيلي، ص49 -وقد اختار الحريري ومن بعده لفظ المجلة-.</w:t>
      </w:r>
    </w:p>
    <w:p w:rsidR="00035BE3" w:rsidRDefault="00035BE3" w:rsidP="00C10469">
      <w:pPr>
        <w:pStyle w:val="a6"/>
        <w:spacing w:line="228" w:lineRule="auto"/>
        <w:ind w:left="420" w:firstLine="0"/>
        <w:rPr>
          <w:rtl/>
        </w:rPr>
      </w:pPr>
      <w:r>
        <w:rPr>
          <w:rFonts w:hint="cs"/>
          <w:rtl/>
        </w:rPr>
        <w:t xml:space="preserve">وممّا يؤكد أهميتها : كثرة ورودها في </w:t>
      </w:r>
      <w:r>
        <w:rPr>
          <w:rFonts w:hint="cs"/>
          <w:b/>
          <w:bCs/>
          <w:rtl/>
        </w:rPr>
        <w:t>كتب الفقه وغيره</w:t>
      </w:r>
      <w:r>
        <w:rPr>
          <w:rFonts w:hint="cs"/>
          <w:rtl/>
        </w:rPr>
        <w:t>، ومن ذلك :</w:t>
      </w:r>
    </w:p>
    <w:p w:rsidR="00035BE3" w:rsidRDefault="00035BE3" w:rsidP="00C10469">
      <w:pPr>
        <w:pStyle w:val="a6"/>
        <w:spacing w:line="264" w:lineRule="auto"/>
        <w:ind w:left="420" w:firstLine="0"/>
        <w:rPr>
          <w:rtl/>
        </w:rPr>
      </w:pPr>
      <w:r w:rsidRPr="000076A1">
        <w:rPr>
          <w:rFonts w:hint="cs"/>
          <w:rtl/>
        </w:rPr>
        <w:t>فتح العزيز، 12/206؛ شرح السير، 2/570، 571؛  المبسوط، 22/23؛ بدائع الصنائع، 4/134، 6/162؛ الهداية والعناية ، 7/72، 9/48، 49؛ ومعهما فتح القدير</w:t>
      </w:r>
      <w:r>
        <w:rPr>
          <w:rFonts w:hint="cs"/>
          <w:rtl/>
        </w:rPr>
        <w:t xml:space="preserve">، 6/251؛ مجموع الفتـاوى، </w:t>
      </w:r>
    </w:p>
    <w:p w:rsidR="00035BE3" w:rsidRDefault="00035BE3" w:rsidP="00C10469">
      <w:pPr>
        <w:pStyle w:val="a6"/>
        <w:ind w:left="422" w:firstLine="0"/>
        <w:rPr>
          <w:rtl/>
        </w:rPr>
      </w:pPr>
      <w:r>
        <w:rPr>
          <w:rFonts w:hint="cs"/>
          <w:rtl/>
        </w:rPr>
        <w:t xml:space="preserve">20/551، 552، 30/112؛ تبيين الحقائق، 4/291، 5/102؛ زاد المعاد، 5/200؛ إعلام الموقعين، 3/99-100، وانظر منه 3/85-102؛ الفتاوي البزازية، 2/306؛ جامع الفصولين، 1/109؛ الدّرر شرح الغرر، 2/143، 207، 224، 253، 320، 329، 397؛ البحر الرائق، 3/94؛ مغني المحتاج، 2/68؛ تيسير التحرير، 1/176؛ </w:t>
      </w:r>
      <w:r>
        <w:rPr>
          <w:rFonts w:hint="cs"/>
          <w:spacing w:val="-4"/>
          <w:rtl/>
        </w:rPr>
        <w:t>كشاف القناع، 3/94؛ رد المحتار، 11/538؛ المدخل لدراسة الشريعة الإسلامية للدكتور زيدان، ص304.</w:t>
      </w:r>
      <w:r>
        <w:rPr>
          <w:rFonts w:hint="cs"/>
          <w:rtl/>
        </w:rPr>
        <w:t xml:space="preserve"> </w:t>
      </w:r>
    </w:p>
  </w:footnote>
  <w:footnote w:id="9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الكفالة في اللغة</w:t>
      </w:r>
      <w:r>
        <w:rPr>
          <w:rFonts w:hint="cs"/>
          <w:rtl/>
        </w:rPr>
        <w:t xml:space="preserve"> : مشتقة من </w:t>
      </w:r>
      <w:r>
        <w:rPr>
          <w:rFonts w:hint="eastAsia"/>
          <w:rtl/>
        </w:rPr>
        <w:t>«</w:t>
      </w:r>
      <w:r>
        <w:rPr>
          <w:rFonts w:hint="cs"/>
          <w:rtl/>
        </w:rPr>
        <w:t>كفل</w:t>
      </w:r>
      <w:r>
        <w:rPr>
          <w:rFonts w:hint="eastAsia"/>
          <w:rtl/>
        </w:rPr>
        <w:t>»</w:t>
      </w:r>
      <w:r>
        <w:rPr>
          <w:rFonts w:hint="cs"/>
          <w:rtl/>
        </w:rPr>
        <w:t xml:space="preserve">، والكاف والفاء واللام -كما يقول ابن فارس-: </w:t>
      </w:r>
      <w:r>
        <w:rPr>
          <w:rFonts w:hint="eastAsia"/>
          <w:rtl/>
        </w:rPr>
        <w:t>«</w:t>
      </w:r>
      <w:r>
        <w:rPr>
          <w:rFonts w:hint="cs"/>
          <w:rtl/>
        </w:rPr>
        <w:t>أصل صحيح يدل على تضمُّن الشيء للشيء</w:t>
      </w:r>
      <w:r>
        <w:rPr>
          <w:rFonts w:hint="eastAsia"/>
          <w:rtl/>
        </w:rPr>
        <w:t>»</w:t>
      </w:r>
      <w:r>
        <w:rPr>
          <w:rFonts w:hint="cs"/>
          <w:rtl/>
        </w:rPr>
        <w:t>.</w:t>
      </w:r>
    </w:p>
    <w:p w:rsidR="00035BE3" w:rsidRDefault="00035BE3" w:rsidP="00C10469">
      <w:pPr>
        <w:pStyle w:val="a6"/>
        <w:ind w:left="422" w:firstLine="0"/>
        <w:rPr>
          <w:rtl/>
        </w:rPr>
      </w:pPr>
      <w:r>
        <w:rPr>
          <w:rFonts w:hint="cs"/>
          <w:rtl/>
        </w:rPr>
        <w:t xml:space="preserve">ومن ذلك ما جاء في (لسان العرب) : </w:t>
      </w:r>
      <w:r>
        <w:rPr>
          <w:rFonts w:hint="eastAsia"/>
          <w:rtl/>
        </w:rPr>
        <w:t>«</w:t>
      </w:r>
      <w:r>
        <w:rPr>
          <w:rFonts w:hint="cs"/>
          <w:rtl/>
        </w:rPr>
        <w:t>وكفلَ المالَ وبالمالِ : ضَمِنَهُ . وكَفَلَ بالرجل يكْفُل ويكفِل كفْلاً وكُفُولاُ وكفالةً وكَفُلَ وكفِلَ وتكفّل به، كله : ضمِنَهُ ...</w:t>
      </w:r>
      <w:r>
        <w:rPr>
          <w:rFonts w:hint="eastAsia"/>
          <w:rtl/>
        </w:rPr>
        <w:t>»</w:t>
      </w:r>
      <w:r>
        <w:rPr>
          <w:rFonts w:hint="cs"/>
          <w:rtl/>
        </w:rPr>
        <w:t>.</w:t>
      </w:r>
    </w:p>
    <w:p w:rsidR="00035BE3" w:rsidRDefault="00035BE3" w:rsidP="00C10469">
      <w:pPr>
        <w:pStyle w:val="a6"/>
        <w:ind w:left="422" w:firstLine="0"/>
        <w:rPr>
          <w:rtl/>
        </w:rPr>
      </w:pPr>
      <w:r>
        <w:rPr>
          <w:rFonts w:hint="cs"/>
          <w:rtl/>
        </w:rPr>
        <w:t xml:space="preserve">فهي في اللغة بمعنى الضمان، وكذلك في </w:t>
      </w:r>
      <w:r>
        <w:rPr>
          <w:rFonts w:hint="cs"/>
          <w:b/>
          <w:bCs/>
          <w:rtl/>
        </w:rPr>
        <w:t>اصطلاح</w:t>
      </w:r>
      <w:r>
        <w:rPr>
          <w:rFonts w:hint="cs"/>
          <w:rtl/>
        </w:rPr>
        <w:t xml:space="preserve"> المالكية وأكثر الشافعية؛ أما الحنفية فقد خصُّوا الضمان بما فيه التزام بتعويض مالي عن ضرر الآخرين، كما أن الحنابلة خصُّوا الكفالة بالكفالة بالنفس وعدّوها نوعًا من الضمان، وكذلك فعل بعض الشافعية.</w:t>
      </w:r>
    </w:p>
    <w:p w:rsidR="00035BE3" w:rsidRDefault="00035BE3" w:rsidP="00C10469">
      <w:pPr>
        <w:pStyle w:val="a6"/>
        <w:ind w:left="422" w:firstLine="0"/>
        <w:rPr>
          <w:spacing w:val="-2"/>
          <w:rtl/>
        </w:rPr>
      </w:pPr>
      <w:r>
        <w:rPr>
          <w:rFonts w:hint="cs"/>
          <w:spacing w:val="-2"/>
          <w:rtl/>
        </w:rPr>
        <w:t>وقد اتفق الجميع على أن الكفالة- والضمان عند الحنابلة- ضمّ ذمة الكفيل إلى ذمة الأصيل في الالتزام بحقٍّ ما، لكن اختلفوا في حقيقة هذا الالتزام من الكفيل : هل هو مجرد التزام بالمطالبة، أو بالدين أيضًا ؟.</w:t>
      </w:r>
    </w:p>
    <w:p w:rsidR="00035BE3" w:rsidRDefault="00035BE3" w:rsidP="00C10469">
      <w:pPr>
        <w:pStyle w:val="a6"/>
        <w:ind w:left="422" w:firstLine="0"/>
        <w:rPr>
          <w:rtl/>
        </w:rPr>
      </w:pPr>
      <w:r>
        <w:rPr>
          <w:rtl/>
        </w:rPr>
        <w:t>•</w:t>
      </w:r>
      <w:r>
        <w:t xml:space="preserve"> </w:t>
      </w:r>
      <w:r>
        <w:rPr>
          <w:rFonts w:hint="cs"/>
          <w:rtl/>
        </w:rPr>
        <w:t>فذهب الجمهور من المالكية والشافعية والحنابلة إلى أنه التزام بهما؛ فعّرفوه تبعًا لذلك، ومن تعريفاتهم:</w:t>
      </w:r>
    </w:p>
    <w:p w:rsidR="00035BE3" w:rsidRDefault="00035BE3" w:rsidP="00C10469">
      <w:pPr>
        <w:pStyle w:val="a6"/>
        <w:ind w:left="422" w:firstLine="0"/>
        <w:rPr>
          <w:rtl/>
        </w:rPr>
      </w:pPr>
      <w:r>
        <w:rPr>
          <w:rFonts w:hint="cs"/>
          <w:rtl/>
        </w:rPr>
        <w:t xml:space="preserve">- ما جاء في (الشرح الصغير) على (أقرب المسالك) : </w:t>
      </w:r>
      <w:r>
        <w:rPr>
          <w:rFonts w:hint="eastAsia"/>
          <w:rtl/>
        </w:rPr>
        <w:t>«</w:t>
      </w:r>
      <w:r>
        <w:rPr>
          <w:rFonts w:hint="cs"/>
          <w:rtl/>
        </w:rPr>
        <w:t>الضمان ... (ويسمى حمالة وكفالة): التزام مكلّفٍ غيرِ سفيهٍ دينًا على غيره، أو طَلَبُهُ مَنْ عليه الدين لمن هو له بما يدلّ عليه</w:t>
      </w:r>
      <w:r>
        <w:rPr>
          <w:rFonts w:hint="eastAsia"/>
          <w:rtl/>
        </w:rPr>
        <w:t>»</w:t>
      </w:r>
      <w:r>
        <w:rPr>
          <w:rFonts w:hint="cs"/>
          <w:rtl/>
        </w:rPr>
        <w:t>.</w:t>
      </w:r>
    </w:p>
    <w:p w:rsidR="00035BE3" w:rsidRDefault="00035BE3" w:rsidP="00C10469">
      <w:pPr>
        <w:pStyle w:val="a6"/>
        <w:ind w:left="422" w:firstLine="0"/>
        <w:rPr>
          <w:rtl/>
        </w:rPr>
      </w:pPr>
      <w:r>
        <w:rPr>
          <w:rFonts w:hint="cs"/>
          <w:rtl/>
        </w:rPr>
        <w:t xml:space="preserve">- وما جاء في (مغني المحتاج) : </w:t>
      </w:r>
      <w:r>
        <w:rPr>
          <w:rFonts w:hint="eastAsia"/>
          <w:rtl/>
        </w:rPr>
        <w:t>«</w:t>
      </w:r>
      <w:r>
        <w:rPr>
          <w:rFonts w:hint="cs"/>
          <w:rtl/>
        </w:rPr>
        <w:t>التزامُ حقٍّ ثابت في ذمة الغير أو إحضار من هو عليه، أو عينٍ مضمونة ... ويسمّى الملتزم لذلك ... ضمينًا وكفيلاً ... قال الماوردي : غير أن العرف جارٍ بأن الضمين مستعمل في الأموال ... والكفيل في النفوس...</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 xml:space="preserve">- وما جاء في (المغني) لابن قدامة : </w:t>
      </w:r>
      <w:r>
        <w:rPr>
          <w:rFonts w:hint="eastAsia"/>
          <w:spacing w:val="-4"/>
          <w:rtl/>
        </w:rPr>
        <w:t>«</w:t>
      </w:r>
      <w:r>
        <w:rPr>
          <w:rFonts w:hint="cs"/>
          <w:spacing w:val="-4"/>
          <w:rtl/>
        </w:rPr>
        <w:t>الضمان : ضمُّ ذمَّةِ الضامن إلى ذمة المضمون عنه في التزام الحق</w:t>
      </w:r>
      <w:r>
        <w:rPr>
          <w:rFonts w:hint="eastAsia"/>
          <w:spacing w:val="-4"/>
          <w:rtl/>
        </w:rPr>
        <w:t>»</w:t>
      </w:r>
      <w:r>
        <w:rPr>
          <w:rFonts w:hint="cs"/>
          <w:spacing w:val="-4"/>
          <w:rtl/>
        </w:rPr>
        <w:t>.</w:t>
      </w:r>
    </w:p>
    <w:p w:rsidR="00035BE3" w:rsidRDefault="00035BE3" w:rsidP="00C10469">
      <w:pPr>
        <w:pStyle w:val="a6"/>
        <w:ind w:left="422" w:firstLine="0"/>
        <w:rPr>
          <w:rtl/>
        </w:rPr>
      </w:pPr>
      <w:r>
        <w:rPr>
          <w:rtl/>
        </w:rPr>
        <w:t>•</w:t>
      </w:r>
      <w:r>
        <w:rPr>
          <w:rFonts w:hint="cs"/>
          <w:rtl/>
        </w:rPr>
        <w:t xml:space="preserve"> وذهب الحنفية إلى أن حقيقة الالتزام من الكفيل تكون بمطالبة الأصيل بالأداء دون تحمّل الدين عنه؛ فعرّفوه تبعًا لذلك.</w:t>
      </w:r>
    </w:p>
    <w:p w:rsidR="00035BE3" w:rsidRDefault="00035BE3" w:rsidP="00C10469">
      <w:pPr>
        <w:pStyle w:val="a6"/>
        <w:ind w:left="422" w:firstLine="0"/>
        <w:rPr>
          <w:rtl/>
        </w:rPr>
      </w:pPr>
      <w:r>
        <w:rPr>
          <w:rFonts w:hint="cs"/>
          <w:rtl/>
        </w:rPr>
        <w:t xml:space="preserve">يقول صاحب (طِلَبَة الطلبة) : </w:t>
      </w:r>
      <w:r>
        <w:rPr>
          <w:rFonts w:hint="eastAsia"/>
          <w:rtl/>
        </w:rPr>
        <w:t>«</w:t>
      </w:r>
      <w:r>
        <w:rPr>
          <w:rFonts w:hint="cs"/>
          <w:rtl/>
        </w:rPr>
        <w:t>فالكفالة : ضمّ ذمَّةٍ في التزام المطالبة بالدَّين</w:t>
      </w:r>
      <w:r>
        <w:rPr>
          <w:rFonts w:hint="eastAsia"/>
          <w:rtl/>
        </w:rPr>
        <w:t>»</w:t>
      </w:r>
      <w:r>
        <w:rPr>
          <w:rFonts w:hint="cs"/>
          <w:rtl/>
        </w:rPr>
        <w:t>.</w:t>
      </w:r>
    </w:p>
    <w:p w:rsidR="00035BE3" w:rsidRDefault="00035BE3" w:rsidP="00C10469">
      <w:pPr>
        <w:pStyle w:val="a6"/>
        <w:ind w:left="422" w:firstLine="0"/>
        <w:rPr>
          <w:spacing w:val="-10"/>
          <w:sz w:val="28"/>
          <w:szCs w:val="28"/>
          <w:rtl/>
        </w:rPr>
      </w:pPr>
      <w:r>
        <w:rPr>
          <w:rFonts w:hint="cs"/>
          <w:b/>
          <w:bCs/>
          <w:spacing w:val="-10"/>
          <w:sz w:val="28"/>
          <w:szCs w:val="28"/>
          <w:rtl/>
        </w:rPr>
        <w:t>ولتوثيق ما سبق</w:t>
      </w:r>
      <w:r>
        <w:rPr>
          <w:rFonts w:hint="cs"/>
          <w:spacing w:val="-10"/>
          <w:sz w:val="28"/>
          <w:szCs w:val="28"/>
          <w:rtl/>
        </w:rPr>
        <w:t xml:space="preserve"> : فإن المعنى اللغوي مستفاد من : المقاييس في اللغة، مادة </w:t>
      </w:r>
      <w:r>
        <w:rPr>
          <w:rFonts w:hint="eastAsia"/>
          <w:spacing w:val="-10"/>
          <w:sz w:val="28"/>
          <w:szCs w:val="28"/>
          <w:rtl/>
        </w:rPr>
        <w:t>«</w:t>
      </w:r>
      <w:r>
        <w:rPr>
          <w:rFonts w:hint="cs"/>
          <w:spacing w:val="-10"/>
          <w:sz w:val="28"/>
          <w:szCs w:val="28"/>
          <w:rtl/>
        </w:rPr>
        <w:t>كفل</w:t>
      </w:r>
      <w:r>
        <w:rPr>
          <w:rFonts w:hint="eastAsia"/>
          <w:spacing w:val="-10"/>
          <w:sz w:val="28"/>
          <w:szCs w:val="28"/>
          <w:rtl/>
        </w:rPr>
        <w:t>»</w:t>
      </w:r>
      <w:r>
        <w:rPr>
          <w:rFonts w:hint="cs"/>
          <w:spacing w:val="-10"/>
          <w:sz w:val="28"/>
          <w:szCs w:val="28"/>
          <w:rtl/>
        </w:rPr>
        <w:t xml:space="preserve">، ص929؛ لسان العرب، مادة </w:t>
      </w:r>
      <w:r>
        <w:rPr>
          <w:rFonts w:hint="eastAsia"/>
          <w:spacing w:val="-10"/>
          <w:sz w:val="28"/>
          <w:szCs w:val="28"/>
          <w:rtl/>
        </w:rPr>
        <w:t>«</w:t>
      </w:r>
      <w:r>
        <w:rPr>
          <w:rFonts w:hint="cs"/>
          <w:spacing w:val="-10"/>
          <w:sz w:val="28"/>
          <w:szCs w:val="28"/>
          <w:rtl/>
        </w:rPr>
        <w:t>كفل</w:t>
      </w:r>
      <w:r>
        <w:rPr>
          <w:rFonts w:hint="eastAsia"/>
          <w:spacing w:val="-10"/>
          <w:sz w:val="28"/>
          <w:szCs w:val="28"/>
          <w:rtl/>
        </w:rPr>
        <w:t>»</w:t>
      </w:r>
      <w:r>
        <w:rPr>
          <w:rFonts w:hint="cs"/>
          <w:spacing w:val="-10"/>
          <w:sz w:val="28"/>
          <w:szCs w:val="28"/>
          <w:rtl/>
        </w:rPr>
        <w:t xml:space="preserve">، </w:t>
      </w:r>
      <w:r w:rsidRPr="00CD2E06">
        <w:rPr>
          <w:rFonts w:hint="cs"/>
          <w:spacing w:val="-8"/>
          <w:sz w:val="28"/>
          <w:szCs w:val="28"/>
          <w:rtl/>
        </w:rPr>
        <w:t xml:space="preserve">11/590؛ وانظر : القاموس المحيط، مادة </w:t>
      </w:r>
      <w:r w:rsidRPr="00CD2E06">
        <w:rPr>
          <w:rFonts w:hint="eastAsia"/>
          <w:spacing w:val="-8"/>
          <w:sz w:val="28"/>
          <w:szCs w:val="28"/>
          <w:rtl/>
        </w:rPr>
        <w:t>«</w:t>
      </w:r>
      <w:r w:rsidRPr="00CD2E06">
        <w:rPr>
          <w:rFonts w:hint="cs"/>
          <w:spacing w:val="-8"/>
          <w:sz w:val="28"/>
          <w:szCs w:val="28"/>
          <w:rtl/>
        </w:rPr>
        <w:t>كفل</w:t>
      </w:r>
      <w:r w:rsidRPr="00CD2E06">
        <w:rPr>
          <w:rFonts w:hint="eastAsia"/>
          <w:spacing w:val="-8"/>
          <w:sz w:val="28"/>
          <w:szCs w:val="28"/>
          <w:rtl/>
        </w:rPr>
        <w:t>»</w:t>
      </w:r>
      <w:r w:rsidRPr="00CD2E06">
        <w:rPr>
          <w:rFonts w:hint="cs"/>
          <w:spacing w:val="-8"/>
          <w:sz w:val="28"/>
          <w:szCs w:val="28"/>
          <w:rtl/>
        </w:rPr>
        <w:t xml:space="preserve">، ص1361؛ المعجم الوسيط، مادة </w:t>
      </w:r>
      <w:r w:rsidRPr="00CD2E06">
        <w:rPr>
          <w:rFonts w:hint="eastAsia"/>
          <w:spacing w:val="-8"/>
          <w:sz w:val="28"/>
          <w:szCs w:val="28"/>
          <w:rtl/>
        </w:rPr>
        <w:t>«</w:t>
      </w:r>
      <w:r w:rsidRPr="00CD2E06">
        <w:rPr>
          <w:rFonts w:hint="cs"/>
          <w:spacing w:val="-8"/>
          <w:sz w:val="28"/>
          <w:szCs w:val="28"/>
          <w:rtl/>
        </w:rPr>
        <w:t>كفل</w:t>
      </w:r>
      <w:r w:rsidRPr="00CD2E06">
        <w:rPr>
          <w:rFonts w:hint="eastAsia"/>
          <w:spacing w:val="-8"/>
          <w:sz w:val="28"/>
          <w:szCs w:val="28"/>
          <w:rtl/>
        </w:rPr>
        <w:t>»</w:t>
      </w:r>
      <w:r w:rsidRPr="00CD2E06">
        <w:rPr>
          <w:rFonts w:hint="cs"/>
          <w:spacing w:val="-8"/>
          <w:sz w:val="28"/>
          <w:szCs w:val="28"/>
          <w:rtl/>
        </w:rPr>
        <w:t>، 2/792-793.</w:t>
      </w:r>
      <w:r>
        <w:rPr>
          <w:rFonts w:hint="cs"/>
          <w:spacing w:val="-8"/>
          <w:sz w:val="28"/>
          <w:szCs w:val="28"/>
          <w:rtl/>
        </w:rPr>
        <w:t xml:space="preserve">   </w:t>
      </w:r>
    </w:p>
    <w:p w:rsidR="00035BE3" w:rsidRDefault="00035BE3" w:rsidP="00C10469">
      <w:pPr>
        <w:pStyle w:val="a6"/>
        <w:spacing w:line="470" w:lineRule="exact"/>
        <w:ind w:left="422" w:firstLine="0"/>
        <w:rPr>
          <w:rtl/>
        </w:rPr>
      </w:pPr>
      <w:r>
        <w:rPr>
          <w:rFonts w:hint="cs"/>
          <w:rtl/>
        </w:rPr>
        <w:t>والمعنى الاصطلاحي مستفـاد من : الشرح الصغير، 4/562-565؛ مغني المحتاج، 2/198؛ المغني، 7/71؛ طلبة الطلبة، ص286؛ وانظر الفرق بينها وبين الضمان وتعريفات أخرى لها أيضًا في: الهداية والعناية وفتح القدير، 7/163؛ الاختيار لتعليل المختار، 2/166؛ الكنـز وشرحه: تـبـيين الحقائق، 4/146؛ مواهب الجليل لشرح مختصر خليل للحطاب، 7/30، الدُّرر شرح الغرر، 2/295؛ أنيس الفقهاء، ص223؛ شرح منتهى الإرادات، 2/245، 252؛ اللباب في شرح الكتـاب، 2/152؛ مـعجم المصطلحات الاقتصادية، ص222، 287.</w:t>
      </w:r>
    </w:p>
  </w:footnote>
  <w:footnote w:id="998">
    <w:p w:rsidR="00035BE3" w:rsidRDefault="00035BE3" w:rsidP="00C10469">
      <w:pPr>
        <w:pStyle w:val="a8"/>
        <w:bidi/>
        <w:spacing w:line="47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cs"/>
          <w:b/>
          <w:bCs/>
          <w:spacing w:val="-4"/>
          <w:rtl/>
        </w:rPr>
        <w:t>الحوالة في اللغة</w:t>
      </w:r>
      <w:r>
        <w:rPr>
          <w:rFonts w:hint="cs"/>
          <w:spacing w:val="-4"/>
          <w:rtl/>
        </w:rPr>
        <w:t xml:space="preserve"> : مشتقة من مادة </w:t>
      </w:r>
      <w:r>
        <w:rPr>
          <w:rFonts w:hint="eastAsia"/>
          <w:spacing w:val="-4"/>
          <w:rtl/>
        </w:rPr>
        <w:t>«</w:t>
      </w:r>
      <w:r>
        <w:rPr>
          <w:rFonts w:hint="cs"/>
          <w:spacing w:val="-4"/>
          <w:rtl/>
        </w:rPr>
        <w:t>حول</w:t>
      </w:r>
      <w:r>
        <w:rPr>
          <w:rFonts w:hint="eastAsia"/>
          <w:spacing w:val="-4"/>
          <w:rtl/>
        </w:rPr>
        <w:t>»</w:t>
      </w:r>
      <w:r>
        <w:rPr>
          <w:rFonts w:hint="cs"/>
          <w:spacing w:val="-4"/>
          <w:rtl/>
        </w:rPr>
        <w:t xml:space="preserve">، والحاء والواو واللام -كما يقول ابن فارس-: </w:t>
      </w:r>
      <w:r>
        <w:rPr>
          <w:rFonts w:hint="eastAsia"/>
          <w:spacing w:val="-4"/>
          <w:rtl/>
        </w:rPr>
        <w:t>«</w:t>
      </w:r>
      <w:r>
        <w:rPr>
          <w:rFonts w:hint="cs"/>
          <w:spacing w:val="-4"/>
          <w:rtl/>
        </w:rPr>
        <w:t>أصل واحد، وهو تحرُّكٌ في دَوْرٍ فالحول : العام؛ وذلك أنه يحول أي يدور ... وحال الشخص يحول : إذا تحرك</w:t>
      </w:r>
      <w:r>
        <w:rPr>
          <w:rFonts w:hint="eastAsia"/>
          <w:spacing w:val="-4"/>
          <w:rtl/>
        </w:rPr>
        <w:t>»</w:t>
      </w:r>
      <w:r>
        <w:rPr>
          <w:rFonts w:hint="cs"/>
          <w:spacing w:val="-4"/>
          <w:rtl/>
        </w:rPr>
        <w:t>.</w:t>
      </w:r>
    </w:p>
    <w:p w:rsidR="00035BE3" w:rsidRDefault="00035BE3" w:rsidP="00C10469">
      <w:pPr>
        <w:pStyle w:val="a6"/>
        <w:spacing w:line="470" w:lineRule="exact"/>
        <w:ind w:left="422" w:firstLine="0"/>
        <w:rPr>
          <w:rtl/>
        </w:rPr>
      </w:pPr>
      <w:r>
        <w:rPr>
          <w:rFonts w:hint="cs"/>
          <w:rtl/>
        </w:rPr>
        <w:t xml:space="preserve">ومن هذا الأصل ما جاء في (لسان العرب) : </w:t>
      </w:r>
      <w:r>
        <w:rPr>
          <w:rFonts w:hint="eastAsia"/>
          <w:rtl/>
        </w:rPr>
        <w:t>«</w:t>
      </w:r>
      <w:r>
        <w:rPr>
          <w:rFonts w:hint="cs"/>
          <w:rtl/>
        </w:rPr>
        <w:t>... وأحال الغريمَ : زَجَّاهُ عنه إلى غريم آخر. والاسم: الحَوالة ... الحوالة : إحالتُكَ غريمًا وتحوُّل ماء من نهر إلى نهر</w:t>
      </w:r>
      <w:r>
        <w:rPr>
          <w:rFonts w:hint="eastAsia"/>
          <w:rtl/>
        </w:rPr>
        <w:t>»</w:t>
      </w:r>
      <w:r>
        <w:rPr>
          <w:rFonts w:hint="cs"/>
          <w:rtl/>
        </w:rPr>
        <w:t>، ولا شكَّ أن نقل المال من شخص إلى آخرفيه معنى الحركة.</w:t>
      </w:r>
    </w:p>
    <w:p w:rsidR="00035BE3" w:rsidRDefault="00035BE3" w:rsidP="00C10469">
      <w:pPr>
        <w:pStyle w:val="a6"/>
        <w:spacing w:line="470" w:lineRule="exact"/>
        <w:ind w:left="422" w:firstLine="0"/>
        <w:rPr>
          <w:rtl/>
        </w:rPr>
      </w:pPr>
      <w:r>
        <w:rPr>
          <w:rFonts w:hint="cs"/>
          <w:b/>
          <w:bCs/>
          <w:rtl/>
        </w:rPr>
        <w:t>أما في الاصطلاح</w:t>
      </w:r>
      <w:r>
        <w:rPr>
          <w:rFonts w:hint="cs"/>
          <w:rtl/>
        </w:rPr>
        <w:t xml:space="preserve"> : فقد اختلفت عبارات الفقهاء في تعريفها ومن ذلك :</w:t>
      </w:r>
    </w:p>
    <w:p w:rsidR="00035BE3" w:rsidRDefault="00035BE3" w:rsidP="00C10469">
      <w:pPr>
        <w:pStyle w:val="a6"/>
        <w:spacing w:line="470" w:lineRule="exact"/>
        <w:ind w:left="422" w:firstLine="0"/>
        <w:rPr>
          <w:rtl/>
        </w:rPr>
      </w:pPr>
      <w:r>
        <w:rPr>
          <w:rFonts w:hint="cs"/>
          <w:rtl/>
        </w:rPr>
        <w:t xml:space="preserve">- ما جاء في (الاختيار ) : </w:t>
      </w:r>
      <w:r>
        <w:rPr>
          <w:rFonts w:hint="eastAsia"/>
          <w:rtl/>
        </w:rPr>
        <w:t>«</w:t>
      </w:r>
      <w:r>
        <w:rPr>
          <w:rFonts w:hint="cs"/>
          <w:rtl/>
        </w:rPr>
        <w:t>وفي الشرع : نقل الدَّين وتحويله من ذمّة المحيل إلى ذمّة المحال عليه</w:t>
      </w:r>
      <w:r>
        <w:rPr>
          <w:rFonts w:hint="eastAsia"/>
          <w:rtl/>
        </w:rPr>
        <w:t>»</w:t>
      </w:r>
      <w:r>
        <w:rPr>
          <w:rFonts w:hint="cs"/>
          <w:rtl/>
        </w:rPr>
        <w:t>.</w:t>
      </w:r>
    </w:p>
    <w:p w:rsidR="00035BE3" w:rsidRDefault="00035BE3" w:rsidP="00C10469">
      <w:pPr>
        <w:pStyle w:val="a6"/>
        <w:spacing w:line="470" w:lineRule="exact"/>
        <w:ind w:left="422" w:firstLine="0"/>
        <w:rPr>
          <w:rtl/>
        </w:rPr>
      </w:pPr>
      <w:r>
        <w:rPr>
          <w:rFonts w:hint="cs"/>
          <w:rtl/>
        </w:rPr>
        <w:t>والحوالة والكفالة : تتشابهان في كونهما التزامًا عن الأصيل.</w:t>
      </w:r>
    </w:p>
    <w:p w:rsidR="00035BE3" w:rsidRDefault="00035BE3" w:rsidP="00C10469">
      <w:pPr>
        <w:pStyle w:val="a6"/>
        <w:spacing w:line="470" w:lineRule="exact"/>
        <w:ind w:left="422" w:firstLine="0"/>
        <w:rPr>
          <w:rtl/>
        </w:rPr>
      </w:pPr>
      <w:r>
        <w:rPr>
          <w:rFonts w:hint="cs"/>
          <w:rtl/>
        </w:rPr>
        <w:t xml:space="preserve">وتختلفان في كون الحوالة تتضمن براءة الأصيل بمجرّد الإحالة بخلاف الكفالة. ووجه ذلك أن </w:t>
      </w:r>
      <w:r>
        <w:rPr>
          <w:rFonts w:hint="eastAsia"/>
          <w:rtl/>
        </w:rPr>
        <w:t>«</w:t>
      </w:r>
      <w:r>
        <w:rPr>
          <w:rFonts w:hint="cs"/>
          <w:rtl/>
        </w:rPr>
        <w:t>الحوالة مأخوذة من التحويل، وهو النقل من مكان إلى مكان، فهو نقل الدين من ذمة إلى ذمة، فيقتضي فراغ الأولى عنه وثبوته في الثانية. وليست الكفـالـة كـذلـك؛ فإنها ضمّ ذمـة، فيقـتـضي بقاء الدين في الذمة الأولى؛ ليتحقق معنى الضمّ</w:t>
      </w:r>
      <w:r>
        <w:rPr>
          <w:rFonts w:hint="eastAsia"/>
          <w:rtl/>
        </w:rPr>
        <w:t>»</w:t>
      </w:r>
      <w:r>
        <w:rPr>
          <w:rFonts w:hint="cs"/>
          <w:rtl/>
        </w:rPr>
        <w:t>. قاله صاحب (طلبة الطلبة).</w:t>
      </w:r>
    </w:p>
    <w:p w:rsidR="00035BE3" w:rsidRDefault="00035BE3" w:rsidP="00C10469">
      <w:pPr>
        <w:pStyle w:val="a6"/>
        <w:spacing w:line="470" w:lineRule="exact"/>
        <w:ind w:left="422" w:firstLine="0"/>
        <w:rPr>
          <w:rtl/>
        </w:rPr>
      </w:pPr>
      <w:r>
        <w:rPr>
          <w:rFonts w:hint="cs"/>
          <w:rtl/>
        </w:rPr>
        <w:t xml:space="preserve">ولتوثيق ما سبق فإن المعنى اللغوي مستفاد من : المقاييس في اللغة، مادة </w:t>
      </w:r>
      <w:r>
        <w:rPr>
          <w:rFonts w:hint="eastAsia"/>
          <w:rtl/>
        </w:rPr>
        <w:t>«</w:t>
      </w:r>
      <w:r>
        <w:rPr>
          <w:rFonts w:hint="cs"/>
          <w:rtl/>
        </w:rPr>
        <w:t>حول</w:t>
      </w:r>
      <w:r>
        <w:rPr>
          <w:rFonts w:hint="eastAsia"/>
          <w:rtl/>
        </w:rPr>
        <w:t>»</w:t>
      </w:r>
      <w:r>
        <w:rPr>
          <w:rFonts w:hint="cs"/>
          <w:rtl/>
        </w:rPr>
        <w:t xml:space="preserve">، ص290؛ لسان العرب، مادة </w:t>
      </w:r>
      <w:r>
        <w:rPr>
          <w:rFonts w:hint="eastAsia"/>
          <w:rtl/>
        </w:rPr>
        <w:t>«</w:t>
      </w:r>
      <w:r>
        <w:rPr>
          <w:rFonts w:hint="cs"/>
          <w:rtl/>
        </w:rPr>
        <w:t>حول</w:t>
      </w:r>
      <w:r>
        <w:rPr>
          <w:rFonts w:hint="eastAsia"/>
          <w:rtl/>
        </w:rPr>
        <w:t>»</w:t>
      </w:r>
      <w:r>
        <w:rPr>
          <w:rFonts w:hint="cs"/>
          <w:rtl/>
        </w:rPr>
        <w:t xml:space="preserve">، 11/190؛ وانظر : القاموس المحيط، مادة </w:t>
      </w:r>
      <w:r>
        <w:rPr>
          <w:rFonts w:hint="eastAsia"/>
          <w:rtl/>
        </w:rPr>
        <w:t>«</w:t>
      </w:r>
      <w:r>
        <w:rPr>
          <w:rFonts w:hint="cs"/>
          <w:rtl/>
        </w:rPr>
        <w:t>حول</w:t>
      </w:r>
      <w:r>
        <w:rPr>
          <w:rFonts w:hint="eastAsia"/>
          <w:rtl/>
        </w:rPr>
        <w:t>»</w:t>
      </w:r>
      <w:r>
        <w:rPr>
          <w:rFonts w:hint="cs"/>
          <w:rtl/>
        </w:rPr>
        <w:t xml:space="preserve">، 1278؛ المعجم الوسيط، مادة </w:t>
      </w:r>
      <w:r>
        <w:rPr>
          <w:rFonts w:hint="eastAsia"/>
          <w:rtl/>
        </w:rPr>
        <w:t>«</w:t>
      </w:r>
      <w:r>
        <w:rPr>
          <w:rFonts w:hint="cs"/>
          <w:rtl/>
        </w:rPr>
        <w:t>حال</w:t>
      </w:r>
      <w:r>
        <w:rPr>
          <w:rFonts w:hint="eastAsia"/>
          <w:rtl/>
        </w:rPr>
        <w:t>»</w:t>
      </w:r>
      <w:r>
        <w:rPr>
          <w:rFonts w:hint="cs"/>
          <w:rtl/>
        </w:rPr>
        <w:t>، 1/208-210.</w:t>
      </w:r>
    </w:p>
    <w:p w:rsidR="00035BE3" w:rsidRDefault="00035BE3" w:rsidP="00C10469">
      <w:pPr>
        <w:pStyle w:val="a6"/>
        <w:spacing w:line="470" w:lineRule="exact"/>
        <w:ind w:left="422" w:firstLine="0"/>
        <w:rPr>
          <w:rtl/>
        </w:rPr>
      </w:pPr>
      <w:r>
        <w:rPr>
          <w:rFonts w:hint="cs"/>
          <w:rtl/>
        </w:rPr>
        <w:t xml:space="preserve">والمعنى الاصطلاحي مستفاد من: الاختيار في تعليل المختار، 3/3؛ وانظر : طلبة الطلبة، ص289؛ كنز الدقائق وشرحه: تبيين الحقائق، 4/171؛ العناية، 7/238؛ الدرر شرح الغرر، 2/302، 308؛ مغني المحتاج، 2/193؛ أنيس الفقهاء، ص224؛ شرح منتهى الإرادات، 2/256؛ الشرح الصغير للدردير، 4/544؛ اللباب في شرح الكتاب، 2/160؛ معجم المصطلحات الاقتصادية، ص147.  </w:t>
      </w:r>
    </w:p>
    <w:p w:rsidR="00035BE3" w:rsidRDefault="00035BE3" w:rsidP="00C10469">
      <w:pPr>
        <w:pStyle w:val="a6"/>
        <w:ind w:left="422" w:firstLine="0"/>
        <w:rPr>
          <w:rtl/>
        </w:rPr>
      </w:pPr>
      <w:r>
        <w:rPr>
          <w:rFonts w:hint="cs"/>
          <w:rtl/>
        </w:rPr>
        <w:t>والعلاقة بينها وبين الكفالة مستفادة من طلبة الطلبة، ص289؛ وانظر : العناية، 7/241-242؛ أنيس الفقهاء، ص224.</w:t>
      </w:r>
    </w:p>
  </w:footnote>
  <w:footnote w:id="999">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spacing w:val="-4"/>
        </w:rPr>
        <w:t xml:space="preserve"> </w:t>
      </w:r>
      <w:r>
        <w:rPr>
          <w:rFonts w:hint="cs"/>
          <w:spacing w:val="-4"/>
          <w:rtl/>
        </w:rPr>
        <w:t xml:space="preserve">  الأشباه والنظائر لابن نجيم، ص234- إلا أنه قال في بداية المثال : </w:t>
      </w:r>
      <w:r>
        <w:rPr>
          <w:rFonts w:hint="eastAsia"/>
          <w:spacing w:val="-4"/>
          <w:rtl/>
        </w:rPr>
        <w:t>«</w:t>
      </w:r>
      <w:r>
        <w:rPr>
          <w:rFonts w:hint="cs"/>
          <w:spacing w:val="-4"/>
          <w:rtl/>
        </w:rPr>
        <w:t>... منها الكفالة : فهي بشرط ...</w:t>
      </w:r>
      <w:r>
        <w:rPr>
          <w:rFonts w:hint="eastAsia"/>
          <w:spacing w:val="-4"/>
          <w:rtl/>
        </w:rPr>
        <w:t>»</w:t>
      </w:r>
      <w:r>
        <w:rPr>
          <w:rFonts w:hint="cs"/>
          <w:spacing w:val="-4"/>
          <w:rtl/>
        </w:rPr>
        <w:t>.</w:t>
      </w:r>
    </w:p>
    <w:p w:rsidR="00035BE3" w:rsidRDefault="00035BE3" w:rsidP="00C10469">
      <w:pPr>
        <w:pStyle w:val="a6"/>
        <w:ind w:left="422" w:firstLine="0"/>
        <w:rPr>
          <w:spacing w:val="-12"/>
          <w:sz w:val="29"/>
          <w:szCs w:val="29"/>
          <w:rtl/>
        </w:rPr>
      </w:pPr>
      <w:r>
        <w:rPr>
          <w:rFonts w:hint="cs"/>
          <w:spacing w:val="-12"/>
          <w:sz w:val="29"/>
          <w:szCs w:val="29"/>
          <w:rtl/>
        </w:rPr>
        <w:t>وانظر : الدّرر شرح الغرر، 2/302؛ الأشباه والنظائر للسيوطي، 1/364؛ المدخل الفقهي العام، 2/966، فقرة 573.</w:t>
      </w:r>
    </w:p>
  </w:footnote>
  <w:footnote w:id="10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عد</w:t>
      </w:r>
      <w:r>
        <w:rPr>
          <w:rFonts w:hint="eastAsia"/>
          <w:rtl/>
        </w:rPr>
        <w:t>»</w:t>
      </w:r>
      <w:r>
        <w:rPr>
          <w:rFonts w:hint="cs"/>
          <w:rtl/>
        </w:rPr>
        <w:t>.</w:t>
      </w:r>
    </w:p>
  </w:footnote>
  <w:footnote w:id="10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مصدر هذه العبارة (وهو أشباه ابن نجيم) : </w:t>
      </w:r>
      <w:r>
        <w:rPr>
          <w:rFonts w:hint="eastAsia"/>
          <w:rtl/>
        </w:rPr>
        <w:t>«</w:t>
      </w:r>
      <w:r>
        <w:rPr>
          <w:rFonts w:hint="cs"/>
          <w:rtl/>
        </w:rPr>
        <w:t>تراعى</w:t>
      </w:r>
      <w:r>
        <w:rPr>
          <w:rFonts w:hint="eastAsia"/>
          <w:rtl/>
        </w:rPr>
        <w:t>»</w:t>
      </w:r>
      <w:r>
        <w:rPr>
          <w:rFonts w:hint="cs"/>
          <w:rtl/>
        </w:rPr>
        <w:t>. وهذا الأفصح.</w:t>
      </w:r>
    </w:p>
  </w:footnote>
  <w:footnote w:id="10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زيادة : </w:t>
      </w:r>
      <w:r>
        <w:rPr>
          <w:rFonts w:hint="eastAsia"/>
          <w:rtl/>
        </w:rPr>
        <w:t>«</w:t>
      </w:r>
      <w:r>
        <w:rPr>
          <w:rFonts w:hint="cs"/>
          <w:rtl/>
        </w:rPr>
        <w:t>كيس آخر</w:t>
      </w:r>
      <w:r>
        <w:rPr>
          <w:rFonts w:hint="eastAsia"/>
          <w:rtl/>
        </w:rPr>
        <w:t>»</w:t>
      </w:r>
      <w:r>
        <w:rPr>
          <w:rFonts w:hint="cs"/>
          <w:rtl/>
        </w:rPr>
        <w:t xml:space="preserve">. وفي أشباه ابن نجيم : </w:t>
      </w:r>
      <w:r>
        <w:rPr>
          <w:rFonts w:hint="eastAsia"/>
          <w:rtl/>
        </w:rPr>
        <w:t>«</w:t>
      </w:r>
      <w:r>
        <w:rPr>
          <w:rFonts w:hint="cs"/>
          <w:rtl/>
        </w:rPr>
        <w:t>كيس أحمر</w:t>
      </w:r>
      <w:r>
        <w:rPr>
          <w:rFonts w:hint="eastAsia"/>
          <w:rtl/>
        </w:rPr>
        <w:t>»</w:t>
      </w:r>
      <w:r>
        <w:rPr>
          <w:rFonts w:hint="cs"/>
          <w:rtl/>
        </w:rPr>
        <w:t>.</w:t>
      </w:r>
    </w:p>
  </w:footnote>
  <w:footnote w:id="10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يطلق</w:t>
      </w:r>
      <w:r>
        <w:rPr>
          <w:rFonts w:hint="eastAsia"/>
          <w:rtl/>
        </w:rPr>
        <w:t>»</w:t>
      </w:r>
      <w:r>
        <w:rPr>
          <w:rFonts w:hint="cs"/>
          <w:rtl/>
        </w:rPr>
        <w:t>. والصحيح ما تمّ إثباته من (ب) و(د)، وهو الموافق لأشباه ابن نجيم.</w:t>
      </w:r>
    </w:p>
  </w:footnote>
  <w:footnote w:id="10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ص235، إلا أنه قال في بداية العبارة : </w:t>
      </w:r>
      <w:r>
        <w:rPr>
          <w:rFonts w:hint="eastAsia"/>
          <w:rtl/>
        </w:rPr>
        <w:t>«</w:t>
      </w:r>
      <w:r>
        <w:rPr>
          <w:rFonts w:hint="cs"/>
          <w:rtl/>
        </w:rPr>
        <w:t>... والطلاق والعتاق تراعى فيهما الألفاظ لا المعنى فقط. فلو قال لعبده ...</w:t>
      </w:r>
      <w:r>
        <w:rPr>
          <w:rFonts w:hint="eastAsia"/>
          <w:rtl/>
        </w:rPr>
        <w:t>»</w:t>
      </w:r>
      <w:r>
        <w:rPr>
          <w:rFonts w:hint="cs"/>
          <w:rtl/>
        </w:rPr>
        <w:t xml:space="preserve">. بالإضافة إلى الاختلاف الذي سبقت الإشارة إليه. </w:t>
      </w:r>
    </w:p>
    <w:p w:rsidR="00035BE3" w:rsidRDefault="00035BE3" w:rsidP="00C10469">
      <w:pPr>
        <w:pStyle w:val="a6"/>
        <w:ind w:left="422" w:firstLine="0"/>
        <w:rPr>
          <w:rtl/>
        </w:rPr>
      </w:pPr>
      <w:r>
        <w:rPr>
          <w:rFonts w:hint="cs"/>
          <w:rtl/>
        </w:rPr>
        <w:t>وانظر في كون المراعى في الطلاق والعتاق إنما هو اللفظ لا المعنى : فتح القدير، 6/251.</w:t>
      </w:r>
    </w:p>
    <w:p w:rsidR="00035BE3" w:rsidRDefault="00035BE3" w:rsidP="00C10469">
      <w:pPr>
        <w:pStyle w:val="a6"/>
        <w:ind w:left="422" w:firstLine="0"/>
        <w:rPr>
          <w:rtl/>
        </w:rPr>
      </w:pPr>
      <w:r>
        <w:rPr>
          <w:rFonts w:hint="cs"/>
          <w:rtl/>
        </w:rPr>
        <w:t xml:space="preserve">والمثال المتعلق بالطلاق ورد في الأشباه والنظائر للسيوطي، 1/363، بالنص الآتي: </w:t>
      </w:r>
      <w:r>
        <w:rPr>
          <w:rFonts w:hint="eastAsia"/>
          <w:rtl/>
        </w:rPr>
        <w:t>«</w:t>
      </w:r>
      <w:r>
        <w:rPr>
          <w:rFonts w:hint="cs"/>
          <w:rtl/>
        </w:rPr>
        <w:t>ومنها : إذا وكلّه أن يطلّق زوجته طلاقًا منجزًا، وكانت قد دخلت الدار، فقال لها: إن كنت دخلت الدار فأنت طالق، فهل يقع الطلاق ؟ فيه وجهان؛ لأنه منجّز من حيث المعنى، معلق من حيث اللفظ</w:t>
      </w:r>
      <w:r>
        <w:rPr>
          <w:rFonts w:hint="eastAsia"/>
          <w:rtl/>
        </w:rPr>
        <w:t>»</w:t>
      </w:r>
      <w:r>
        <w:rPr>
          <w:rFonts w:hint="cs"/>
          <w:rtl/>
        </w:rPr>
        <w:t xml:space="preserve">. ومن هذا يُعلّم أن قول المؤلف </w:t>
      </w:r>
      <w:r>
        <w:rPr>
          <w:rFonts w:hint="eastAsia"/>
          <w:rtl/>
        </w:rPr>
        <w:t>«</w:t>
      </w:r>
      <w:r>
        <w:rPr>
          <w:rFonts w:hint="cs"/>
          <w:rtl/>
        </w:rPr>
        <w:t>كائن</w:t>
      </w:r>
      <w:r>
        <w:rPr>
          <w:rFonts w:hint="eastAsia"/>
          <w:rtl/>
        </w:rPr>
        <w:t>»</w:t>
      </w:r>
      <w:r>
        <w:rPr>
          <w:rFonts w:hint="cs"/>
          <w:rtl/>
        </w:rPr>
        <w:t xml:space="preserve"> معناه : حاصل ومنجّز.</w:t>
      </w:r>
    </w:p>
  </w:footnote>
  <w:footnote w:id="10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ينعقد</w:t>
      </w:r>
      <w:r>
        <w:rPr>
          <w:rFonts w:hint="eastAsia"/>
          <w:rtl/>
        </w:rPr>
        <w:t>»</w:t>
      </w:r>
      <w:r>
        <w:rPr>
          <w:rFonts w:hint="cs"/>
          <w:rtl/>
        </w:rPr>
        <w:t>. والأفصح ما تمّ إثباته من (ب)، وهو الموافق لأشباه ابن نجيم.</w:t>
      </w:r>
    </w:p>
  </w:footnote>
  <w:footnote w:id="10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ص235، إلا أنه قال في آخر المسألة : </w:t>
      </w:r>
      <w:r>
        <w:rPr>
          <w:rFonts w:hint="eastAsia"/>
          <w:rtl/>
        </w:rPr>
        <w:t>«</w:t>
      </w:r>
      <w:r>
        <w:rPr>
          <w:rFonts w:hint="cs"/>
          <w:rtl/>
        </w:rPr>
        <w:t>بلا ثمن</w:t>
      </w:r>
      <w:r>
        <w:rPr>
          <w:rFonts w:hint="eastAsia"/>
          <w:rtl/>
        </w:rPr>
        <w:t>»</w:t>
      </w:r>
      <w:r>
        <w:rPr>
          <w:rFonts w:hint="cs"/>
          <w:rtl/>
        </w:rPr>
        <w:t>.</w:t>
      </w:r>
      <w:r>
        <w:rPr>
          <w:rFonts w:hint="cs"/>
          <w:rtl/>
        </w:rPr>
        <w:tab/>
      </w:r>
      <w:r>
        <w:rPr>
          <w:rFonts w:hint="cs"/>
          <w:rtl/>
        </w:rPr>
        <w:tab/>
      </w:r>
      <w:r>
        <w:rPr>
          <w:rFonts w:hint="cs"/>
          <w:rtl/>
        </w:rPr>
        <w:tab/>
      </w:r>
    </w:p>
    <w:p w:rsidR="00035BE3" w:rsidRDefault="00035BE3" w:rsidP="00C10469">
      <w:pPr>
        <w:pStyle w:val="a6"/>
        <w:ind w:left="422" w:firstLine="0"/>
        <w:rPr>
          <w:rtl/>
        </w:rPr>
      </w:pPr>
      <w:r>
        <w:rPr>
          <w:rFonts w:hint="cs"/>
          <w:rtl/>
        </w:rPr>
        <w:t>كما ورد ذكر هذا المثال في بعض كتب القواعد عند الشافعية على أنه مندرج تحتها لا خارج منها بناء على أن القاعدة مختلف فيها عندهم.</w:t>
      </w:r>
    </w:p>
    <w:p w:rsidR="00035BE3" w:rsidRDefault="00035BE3" w:rsidP="00C10469">
      <w:pPr>
        <w:pStyle w:val="a6"/>
        <w:ind w:left="422" w:firstLine="0"/>
        <w:rPr>
          <w:rtl/>
        </w:rPr>
      </w:pPr>
      <w:r>
        <w:rPr>
          <w:rFonts w:hint="cs"/>
          <w:rtl/>
        </w:rPr>
        <w:t xml:space="preserve">ومن هذه الكتب : الأشباه والنظائر لابن الملقن، 2/21؛ القواعد للحصني، 1/402؛ الأشباه والنظائر للسيوطي، 1/361. ولفظ الأول : </w:t>
      </w:r>
      <w:r>
        <w:rPr>
          <w:rFonts w:hint="eastAsia"/>
          <w:rtl/>
        </w:rPr>
        <w:t>«</w:t>
      </w:r>
      <w:r>
        <w:rPr>
          <w:rFonts w:hint="cs"/>
          <w:rtl/>
        </w:rPr>
        <w:t>إذا قال : بعتك بـلا ثـمن، أو لا ثـمن لي عليك، أو على أن لا ثـمن لي عليك ...: فليس بيعًا، وفي انعقاده هبةً قولا تعارُضِ اللفظِ والمعنى ...</w:t>
      </w:r>
      <w:r>
        <w:rPr>
          <w:rFonts w:hint="eastAsia"/>
          <w:rtl/>
        </w:rPr>
        <w:t>»</w:t>
      </w:r>
    </w:p>
  </w:footnote>
  <w:footnote w:id="10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11/ب من (جـ).</w:t>
      </w:r>
    </w:p>
  </w:footnote>
  <w:footnote w:id="10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المنع</w:t>
      </w:r>
      <w:r>
        <w:rPr>
          <w:rFonts w:hint="eastAsia"/>
          <w:rtl/>
        </w:rPr>
        <w:t>»</w:t>
      </w:r>
      <w:r>
        <w:rPr>
          <w:rFonts w:hint="cs"/>
          <w:rtl/>
        </w:rPr>
        <w:t>.</w:t>
      </w:r>
    </w:p>
  </w:footnote>
  <w:footnote w:id="10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ينفيه</w:t>
      </w:r>
      <w:r>
        <w:rPr>
          <w:rFonts w:hint="eastAsia"/>
          <w:rtl/>
        </w:rPr>
        <w:t>»</w:t>
      </w:r>
      <w:r>
        <w:rPr>
          <w:rFonts w:hint="cs"/>
          <w:rtl/>
        </w:rPr>
        <w:t>.</w:t>
      </w:r>
    </w:p>
  </w:footnote>
  <w:footnote w:id="10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الهداية</w:t>
      </w:r>
      <w:r>
        <w:rPr>
          <w:rFonts w:hint="cs"/>
          <w:rtl/>
        </w:rPr>
        <w:t xml:space="preserve"> : تكرر ذكر المؤلف لها فيما يزيد على عشرين موضعًا من كتابه.</w:t>
      </w:r>
    </w:p>
    <w:p w:rsidR="00035BE3" w:rsidRDefault="00035BE3" w:rsidP="00C10469">
      <w:pPr>
        <w:pStyle w:val="a6"/>
        <w:ind w:left="422" w:firstLine="0"/>
        <w:rPr>
          <w:rtl/>
        </w:rPr>
      </w:pPr>
      <w:r>
        <w:rPr>
          <w:rFonts w:hint="cs"/>
          <w:rtl/>
        </w:rPr>
        <w:t>وهي كتاب في الفقه الحنفي ألّفه : علي بن أبي بكر بن عبد الـجلـيـل، أبـو الحسن الفَرْغَاني المَرْغينانيّ (530هـ-593هـ).</w:t>
      </w:r>
    </w:p>
    <w:p w:rsidR="00035BE3" w:rsidRDefault="00035BE3" w:rsidP="00C10469">
      <w:pPr>
        <w:pStyle w:val="a6"/>
        <w:ind w:left="422" w:firstLine="0"/>
        <w:rPr>
          <w:rtl/>
        </w:rPr>
      </w:pPr>
      <w:r>
        <w:rPr>
          <w:rFonts w:hint="cs"/>
          <w:rtl/>
        </w:rPr>
        <w:t xml:space="preserve">وقبل تأليفه لهذا الكتاب كان قد ألّف (بداية المبتدي)، جَمَعَ فيه مسائل (القُدُوري) و(الجامع الصغير) لمحمد بن الحسن، ثم شرع في شرحه شرحًا مطولاً في كتاب سماه (كفاية المنتهي) وقبل انتهائه من هذا الشرح، تبيّن له أن فيه شيئًا من الإطناب، فخشي أن يُهجر لأجله الكتاب، فعدل عن ذلك </w:t>
      </w:r>
      <w:r>
        <w:rPr>
          <w:rFonts w:hint="eastAsia"/>
          <w:rtl/>
        </w:rPr>
        <w:t>«</w:t>
      </w:r>
      <w:r>
        <w:rPr>
          <w:rFonts w:hint="cs"/>
          <w:rtl/>
        </w:rPr>
        <w:t>إلى شرحٍ آخرَ موسوم بـ (الهداية) [جمع] فيه ... بين عيون الرواية، ومتون الدراية، تاركًا للزوائد في كل باب، معرضًا عن هذا النوع من الإسهاب</w:t>
      </w:r>
      <w:r>
        <w:rPr>
          <w:rFonts w:hint="eastAsia"/>
          <w:rtl/>
        </w:rPr>
        <w:t>»</w:t>
      </w:r>
      <w:r>
        <w:rPr>
          <w:rFonts w:hint="cs"/>
          <w:rtl/>
        </w:rPr>
        <w:t>- كذا في مقدمة (الهداية)-.</w:t>
      </w:r>
    </w:p>
    <w:p w:rsidR="00035BE3" w:rsidRDefault="00035BE3" w:rsidP="00C10469">
      <w:pPr>
        <w:pStyle w:val="a6"/>
        <w:ind w:left="422" w:firstLine="0"/>
        <w:rPr>
          <w:rtl/>
        </w:rPr>
      </w:pPr>
      <w:r>
        <w:rPr>
          <w:rFonts w:hint="cs"/>
          <w:rtl/>
        </w:rPr>
        <w:t xml:space="preserve">وقد </w:t>
      </w:r>
      <w:r>
        <w:rPr>
          <w:rFonts w:hint="eastAsia"/>
          <w:rtl/>
        </w:rPr>
        <w:t>«</w:t>
      </w:r>
      <w:r>
        <w:rPr>
          <w:rFonts w:hint="cs"/>
          <w:rtl/>
        </w:rPr>
        <w:t>حُكِي أنّه بقي في تصنيف كتاب (الهداية) ثلاث عشرة سنة ...</w:t>
      </w:r>
      <w:r>
        <w:rPr>
          <w:rFonts w:hint="eastAsia"/>
          <w:rtl/>
        </w:rPr>
        <w:t>»</w:t>
      </w:r>
      <w:r>
        <w:rPr>
          <w:rFonts w:hint="cs"/>
          <w:rtl/>
        </w:rPr>
        <w:t>.</w:t>
      </w:r>
    </w:p>
    <w:p w:rsidR="00035BE3" w:rsidRDefault="00035BE3" w:rsidP="00C10469">
      <w:pPr>
        <w:pStyle w:val="a6"/>
        <w:ind w:left="422" w:firstLine="0"/>
        <w:rPr>
          <w:rtl/>
        </w:rPr>
      </w:pPr>
      <w:r>
        <w:rPr>
          <w:rFonts w:hint="cs"/>
          <w:rtl/>
        </w:rPr>
        <w:t xml:space="preserve">قاله صاحب (مفتاح السعادة)، وجاء فيه أيضًا: </w:t>
      </w:r>
      <w:r>
        <w:rPr>
          <w:rFonts w:hint="eastAsia"/>
          <w:rtl/>
        </w:rPr>
        <w:t>«</w:t>
      </w:r>
      <w:r>
        <w:rPr>
          <w:rFonts w:hint="cs"/>
          <w:rtl/>
        </w:rPr>
        <w:t>... وبالجملة : هو كما قال صاحب (الوقاية) : كتاب فاخر، لم يكتحل [هكذا بالياء] عين الزمان بثانيه</w:t>
      </w:r>
      <w:r>
        <w:rPr>
          <w:rFonts w:hint="eastAsia"/>
          <w:rtl/>
        </w:rPr>
        <w:t>»</w:t>
      </w:r>
      <w:r>
        <w:rPr>
          <w:rFonts w:hint="cs"/>
          <w:rtl/>
        </w:rPr>
        <w:t>.</w:t>
      </w:r>
    </w:p>
    <w:p w:rsidR="00035BE3" w:rsidRDefault="00035BE3" w:rsidP="00C10469">
      <w:pPr>
        <w:pStyle w:val="a6"/>
        <w:ind w:left="422" w:firstLine="0"/>
        <w:rPr>
          <w:rtl/>
        </w:rPr>
      </w:pPr>
      <w:r>
        <w:rPr>
          <w:rFonts w:hint="cs"/>
          <w:rtl/>
        </w:rPr>
        <w:t xml:space="preserve">كما جاء في (الفوائد البهيّة) : </w:t>
      </w:r>
      <w:r>
        <w:rPr>
          <w:rFonts w:hint="eastAsia"/>
          <w:rtl/>
        </w:rPr>
        <w:t>«</w:t>
      </w:r>
      <w:r>
        <w:rPr>
          <w:rFonts w:hint="cs"/>
          <w:rtl/>
        </w:rPr>
        <w:t>... وكل تصانيفه مقبولة معتمدة لاسيما (الهداية)؛ فإنه لم يزل مرجعًا للفضلاء، ومنظرًا للفقهاء</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لهذا وغيره تبوَّأ هذا الكتاب مكان الصدارة في الفقه الحنفي، وحظي بقدر كبير من عناية علماء هذا المذهب؛ فصنَّفوا حوله مصنفاتٍ كثيرة جدًّا، ذكر منها صاحب (كشف الظنون) ما يربو على سبعين مصنفًا !!.</w:t>
      </w:r>
    </w:p>
    <w:p w:rsidR="00035BE3" w:rsidRDefault="00035BE3" w:rsidP="00C10469">
      <w:pPr>
        <w:pStyle w:val="a6"/>
        <w:ind w:left="422" w:firstLine="0"/>
        <w:rPr>
          <w:rtl/>
        </w:rPr>
      </w:pPr>
      <w:r>
        <w:rPr>
          <w:rFonts w:hint="cs"/>
          <w:rtl/>
        </w:rPr>
        <w:t>وهذا الكتاب مطبوع ومتداول؛ إما استقلالاً، أو مع شروحه كفتح القدير والعناية والبناية وغيرهما- وقد سبق ذكر بعض طبعات العناية مع فتح القدير، ص221-.</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مقدمة الهداية، 1/9-10 (مع فتح القدير)؛ مفتاح السعادة، 2/238؛ الفوائد البهية، ص142؛ وانظر : الجواهر المضيّة، 2/627، رقم 1030؛ تاج التراجم، ص148، رقم 166؛ مفتـاح السعادة، 2/237-246؛ كشف الظنون، 2/2031-2040؛ الفوائد البهية، ص141-144؛ هدية العارفين، 1/702؛ مرجع العلوم الإسلامية، ص489؛ المذهب عند الحنفية، ص77.</w:t>
      </w:r>
    </w:p>
  </w:footnote>
  <w:footnote w:id="10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بحثت عن هذه المسألة في مظانها من كتاب (الهداية) ولـكن لم أظفر بها، إلاّ أنها مذكورة في (الدّرر شرح الغرر) -2/169- حيث جاء فيه : </w:t>
      </w:r>
      <w:r>
        <w:rPr>
          <w:rFonts w:hint="eastAsia"/>
          <w:rtl/>
        </w:rPr>
        <w:t>«</w:t>
      </w:r>
      <w:r>
        <w:rPr>
          <w:rFonts w:hint="cs"/>
          <w:rtl/>
        </w:rPr>
        <w:t>وبطل أيضًا ... بيعٌ نُفي فـيـه الثمن، فإنه إذا نُفي فقد نفي الركن فلم يكن بيعًا.</w:t>
      </w:r>
    </w:p>
    <w:p w:rsidR="00035BE3" w:rsidRDefault="00035BE3" w:rsidP="00C10469">
      <w:pPr>
        <w:pStyle w:val="a6"/>
        <w:ind w:left="422" w:firstLine="0"/>
        <w:rPr>
          <w:rtl/>
        </w:rPr>
      </w:pPr>
      <w:r>
        <w:rPr>
          <w:rFonts w:hint="cs"/>
          <w:rtl/>
        </w:rPr>
        <w:t>وقيل : ينعقد؛ لأن نفيه لم يصح؛ لأنه نفي العقد، وإذا لم يصح نفيه صار كأنه سكت عن ذكر الثمن، ولو باع وسكت عنه ينعقد البيع ويثبت الملك بالقبض...</w:t>
      </w:r>
      <w:r>
        <w:rPr>
          <w:rFonts w:hint="eastAsia"/>
          <w:rtl/>
        </w:rPr>
        <w:t>»</w:t>
      </w:r>
      <w:r>
        <w:rPr>
          <w:rFonts w:hint="cs"/>
          <w:rtl/>
        </w:rPr>
        <w:t>.</w:t>
      </w:r>
    </w:p>
    <w:p w:rsidR="00035BE3" w:rsidRDefault="00035BE3" w:rsidP="00C10469">
      <w:pPr>
        <w:pStyle w:val="a6"/>
        <w:ind w:left="422" w:firstLine="0"/>
        <w:rPr>
          <w:rtl/>
        </w:rPr>
      </w:pPr>
      <w:r>
        <w:rPr>
          <w:rFonts w:hint="cs"/>
          <w:rtl/>
        </w:rPr>
        <w:t xml:space="preserve">ثم لمّا فرغ من بيان البيع الباطل، شرع في بيان الفاسد فقال : </w:t>
      </w:r>
      <w:r>
        <w:rPr>
          <w:rFonts w:hint="eastAsia"/>
          <w:rtl/>
        </w:rPr>
        <w:t>«</w:t>
      </w:r>
      <w:r>
        <w:rPr>
          <w:rFonts w:hint="cs"/>
          <w:rtl/>
        </w:rPr>
        <w:t>(وَفَسَدَ ما) أي : بيعٌ (سكت) أي وقع السكوت (فيه عن الثمن) فإن البيع لا يبطل به؛ بل ينعقد، ويثبت الملك بالقبض؛ لأن مطلق البيع يقتضي المعاوضة، فإذا سكت كان غرضه القيمة، فكأنه باع بقيمته، فيفسد ولا يبطل</w:t>
      </w:r>
      <w:r>
        <w:rPr>
          <w:rFonts w:hint="eastAsia"/>
          <w:rtl/>
        </w:rPr>
        <w:t>»</w:t>
      </w:r>
      <w:r>
        <w:rPr>
          <w:rFonts w:hint="cs"/>
          <w:rtl/>
        </w:rPr>
        <w:t>.</w:t>
      </w:r>
    </w:p>
    <w:p w:rsidR="00035BE3" w:rsidRDefault="00035BE3" w:rsidP="00C10469">
      <w:pPr>
        <w:pStyle w:val="a6"/>
        <w:ind w:left="422" w:firstLine="0"/>
        <w:rPr>
          <w:rtl/>
        </w:rPr>
      </w:pPr>
      <w:r>
        <w:rPr>
          <w:rFonts w:hint="cs"/>
          <w:rtl/>
        </w:rPr>
        <w:t>وانظر : بدائع الصنائع، 5/305؛ الخلاصة، 3/14-15.</w:t>
      </w:r>
    </w:p>
  </w:footnote>
  <w:footnote w:id="10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15/أ من (أ).</w:t>
      </w:r>
    </w:p>
  </w:footnote>
  <w:footnote w:id="1013">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هذه المسألة التي قيل: إنها مستثناة من القاعدة استفادها المؤلف من أشباه ابن نجيم -كما سبق بيان ذلك - إلا أنه قال : </w:t>
      </w:r>
      <w:r>
        <w:rPr>
          <w:rFonts w:hint="eastAsia"/>
          <w:spacing w:val="-2"/>
          <w:rtl/>
        </w:rPr>
        <w:t>«</w:t>
      </w:r>
      <w:r>
        <w:rPr>
          <w:rFonts w:hint="cs"/>
          <w:spacing w:val="-2"/>
          <w:rtl/>
        </w:rPr>
        <w:t xml:space="preserve">لا تنعقد الهبة بالبيع </w:t>
      </w:r>
      <w:r>
        <w:rPr>
          <w:rFonts w:hint="cs"/>
          <w:b/>
          <w:bCs/>
          <w:spacing w:val="-2"/>
          <w:rtl/>
        </w:rPr>
        <w:t>بلا ثمن</w:t>
      </w:r>
      <w:r>
        <w:rPr>
          <w:rFonts w:hint="eastAsia"/>
          <w:spacing w:val="-2"/>
          <w:rtl/>
        </w:rPr>
        <w:t>»</w:t>
      </w:r>
      <w:r>
        <w:rPr>
          <w:rFonts w:hint="cs"/>
          <w:spacing w:val="-2"/>
          <w:rtl/>
        </w:rPr>
        <w:t xml:space="preserve"> وليس : </w:t>
      </w:r>
      <w:r>
        <w:rPr>
          <w:rFonts w:hint="eastAsia"/>
          <w:spacing w:val="-2"/>
          <w:rtl/>
        </w:rPr>
        <w:t>«</w:t>
      </w:r>
      <w:r>
        <w:rPr>
          <w:rFonts w:hint="cs"/>
          <w:spacing w:val="-2"/>
          <w:rtl/>
        </w:rPr>
        <w:t>بلا ذكر الثمن</w:t>
      </w:r>
      <w:r>
        <w:rPr>
          <w:rFonts w:hint="eastAsia"/>
          <w:spacing w:val="-2"/>
          <w:rtl/>
        </w:rPr>
        <w:t>»</w:t>
      </w:r>
      <w:r>
        <w:rPr>
          <w:rFonts w:hint="cs"/>
          <w:spacing w:val="-2"/>
          <w:rtl/>
        </w:rPr>
        <w:t>.</w:t>
      </w:r>
    </w:p>
    <w:p w:rsidR="00035BE3" w:rsidRDefault="00035BE3" w:rsidP="00C10469">
      <w:pPr>
        <w:pStyle w:val="a6"/>
        <w:ind w:left="422" w:firstLine="0"/>
        <w:rPr>
          <w:rtl/>
        </w:rPr>
      </w:pPr>
      <w:r>
        <w:rPr>
          <w:rFonts w:hint="cs"/>
          <w:rtl/>
        </w:rPr>
        <w:t>فلو سُلّم بأن البيع بلا ذكر الثمن ينعقد بيعًا؛ لأنه سكت عن الثمن ولم ينفه، فكيف يكون الجواب عن المسألة التي ذكرها ابن نجيم والتي تدلُّ صراحة على نفي الثمن ؟!.</w:t>
      </w:r>
    </w:p>
    <w:p w:rsidR="00035BE3" w:rsidRDefault="00035BE3" w:rsidP="00C10469">
      <w:pPr>
        <w:pStyle w:val="a6"/>
        <w:ind w:left="422" w:firstLine="0"/>
        <w:rPr>
          <w:rtl/>
        </w:rPr>
      </w:pPr>
      <w:r>
        <w:rPr>
          <w:rFonts w:hint="cs"/>
          <w:rtl/>
        </w:rPr>
        <w:t>أُجيب عن هذا بجوابين :</w:t>
      </w:r>
    </w:p>
    <w:p w:rsidR="00035BE3" w:rsidRDefault="00035BE3" w:rsidP="00C10469">
      <w:pPr>
        <w:pStyle w:val="a6"/>
        <w:ind w:left="422" w:firstLine="0"/>
        <w:rPr>
          <w:rtl/>
        </w:rPr>
      </w:pPr>
      <w:r>
        <w:rPr>
          <w:rFonts w:hint="cs"/>
          <w:b/>
          <w:bCs/>
          <w:rtl/>
        </w:rPr>
        <w:t>أحدهما</w:t>
      </w:r>
      <w:r>
        <w:rPr>
          <w:rFonts w:hint="cs"/>
          <w:rtl/>
        </w:rPr>
        <w:t xml:space="preserve"> : أنَّ </w:t>
      </w:r>
      <w:r>
        <w:rPr>
          <w:rFonts w:hint="eastAsia"/>
          <w:rtl/>
        </w:rPr>
        <w:t>«</w:t>
      </w:r>
      <w:r>
        <w:rPr>
          <w:rFonts w:hint="cs"/>
          <w:rtl/>
        </w:rPr>
        <w:t>البيع لفظ شرعي وضع للمعاوضة، ولا يكون إلا بثمن، ولا يصحُّ التجوُّز به عن الهبة؛ لأن الشرط المجوِّز للتجويز أن يكون المعنى المشتَرَكُ بين الـمتجوز والمتجوز عنه على وجه يكون في المتجوّز عنه أقوى منه في المتجوز، ومن المعلوم أن معنى التملك في البيع أقوى منه في الهبة ... فتكون هذه الصيغة لغوًا، واللغو باطل لا يبنى عليه حكم</w:t>
      </w:r>
      <w:r>
        <w:rPr>
          <w:rFonts w:hint="eastAsia"/>
          <w:rtl/>
        </w:rPr>
        <w:t>»</w:t>
      </w:r>
      <w:r>
        <w:rPr>
          <w:rFonts w:hint="cs"/>
          <w:rtl/>
        </w:rPr>
        <w:t>- قاله الأتاسي في شرح المجلة، 1/17-.</w:t>
      </w:r>
    </w:p>
    <w:p w:rsidR="00035BE3" w:rsidRDefault="00035BE3" w:rsidP="00C10469">
      <w:pPr>
        <w:pStyle w:val="a6"/>
        <w:ind w:left="422" w:firstLine="0"/>
        <w:rPr>
          <w:rtl/>
        </w:rPr>
      </w:pPr>
      <w:r>
        <w:rPr>
          <w:rFonts w:hint="cs"/>
          <w:b/>
          <w:bCs/>
          <w:rtl/>
        </w:rPr>
        <w:t>الثاني</w:t>
      </w:r>
      <w:r>
        <w:rPr>
          <w:rFonts w:hint="cs"/>
          <w:rtl/>
        </w:rPr>
        <w:t xml:space="preserve">: أن هذا العقد دار الأمر فيه بين عقد محظور (وهو البيع بلا ثمن) وعقد مباح (وهو الهبة) فيغلب المحظور؛ لأنه </w:t>
      </w:r>
      <w:r>
        <w:rPr>
          <w:rFonts w:hint="eastAsia"/>
          <w:rtl/>
        </w:rPr>
        <w:t>«</w:t>
      </w:r>
      <w:r>
        <w:rPr>
          <w:rFonts w:hint="cs"/>
          <w:rtl/>
        </w:rPr>
        <w:t xml:space="preserve">إذا اجتمع الحلال </w:t>
      </w:r>
      <w:r>
        <w:rPr>
          <w:rFonts w:hint="cs"/>
          <w:spacing w:val="-6"/>
          <w:rtl/>
        </w:rPr>
        <w:t>والحرام غلب الحرام</w:t>
      </w:r>
      <w:r>
        <w:rPr>
          <w:rFonts w:hint="eastAsia"/>
          <w:spacing w:val="-6"/>
          <w:rtl/>
        </w:rPr>
        <w:t>»</w:t>
      </w:r>
      <w:r>
        <w:rPr>
          <w:rFonts w:hint="cs"/>
          <w:spacing w:val="-6"/>
          <w:rtl/>
        </w:rPr>
        <w:t xml:space="preserve"> -على ماسبق بيانه، ص290، قاعدة 16-</w:t>
      </w:r>
      <w:r>
        <w:rPr>
          <w:rFonts w:hint="cs"/>
          <w:rtl/>
        </w:rPr>
        <w:t xml:space="preserve">  </w:t>
      </w:r>
      <w:r>
        <w:rPr>
          <w:rtl/>
        </w:rPr>
        <w:br/>
      </w:r>
      <w:r>
        <w:rPr>
          <w:rFonts w:hint="cs"/>
          <w:rtl/>
        </w:rPr>
        <w:t xml:space="preserve"> بخلاف الفرع الذي صدَّر به المؤلف الحديث عن القاعدة وهو الكفالة بشرط براءة الأصيل، فقد دار الأمر فيه بين الكفالة والـحوالة وهـما أمـران مباحان، وكذلك الحال في بقية فروع هذه القاعدة- انظر : القواعد الفقهية للزرقا، ص76-.</w:t>
      </w:r>
    </w:p>
    <w:p w:rsidR="00035BE3" w:rsidRDefault="00035BE3" w:rsidP="00C10469">
      <w:pPr>
        <w:pStyle w:val="a6"/>
        <w:ind w:left="422" w:firstLine="0"/>
        <w:rPr>
          <w:rtl/>
        </w:rPr>
      </w:pPr>
      <w:r>
        <w:rPr>
          <w:rFonts w:hint="cs"/>
          <w:rtl/>
        </w:rPr>
        <w:t>ويمكن أن يصاغ هذا الجواب بصيغة أخرى بأن يقال :</w:t>
      </w:r>
    </w:p>
    <w:p w:rsidR="00035BE3" w:rsidRDefault="00035BE3" w:rsidP="00C10469">
      <w:pPr>
        <w:pStyle w:val="a6"/>
        <w:ind w:left="422" w:firstLine="0"/>
        <w:rPr>
          <w:rtl/>
        </w:rPr>
      </w:pPr>
      <w:r>
        <w:rPr>
          <w:rFonts w:hint="cs"/>
          <w:rtl/>
        </w:rPr>
        <w:t xml:space="preserve">إن البيع بلا ثمن لم ينعقد هبة؛ لعدم دخوله تحت القاعدة؛ لتخلف شرطٍ من شروطها (وهو كون العقد بين مباحين)، والبيع بلا ثمن عقد غير مباح. </w:t>
      </w:r>
    </w:p>
  </w:footnote>
  <w:footnote w:id="1014">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بـجعل</w:t>
      </w:r>
      <w:r>
        <w:rPr>
          <w:rFonts w:hint="eastAsia"/>
          <w:rtl/>
        </w:rPr>
        <w:t>»</w:t>
      </w:r>
      <w:r>
        <w:rPr>
          <w:rFonts w:hint="cs"/>
          <w:rtl/>
        </w:rPr>
        <w:t>.</w:t>
      </w:r>
    </w:p>
  </w:footnote>
  <w:footnote w:id="1015">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استمرار</w:t>
      </w:r>
      <w:r>
        <w:rPr>
          <w:rFonts w:hint="eastAsia"/>
          <w:rtl/>
        </w:rPr>
        <w:t>»</w:t>
      </w:r>
      <w:r>
        <w:rPr>
          <w:rFonts w:hint="cs"/>
          <w:rtl/>
        </w:rPr>
        <w:t>.</w:t>
      </w:r>
    </w:p>
  </w:footnote>
  <w:footnote w:id="1016">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هذه العبارة ذكرها صاحب (الهداية) في متنه : (بداية المبتدي) وشَرحَها في (الهداية)، ونصُّ كلامه في (البداية)، 8/187 (في ضمن الهداية وكلاهما مطبوعان مع فتح القدير) : </w:t>
      </w:r>
      <w:r>
        <w:rPr>
          <w:rFonts w:hint="eastAsia"/>
          <w:rtl/>
        </w:rPr>
        <w:t>«</w:t>
      </w:r>
      <w:r>
        <w:rPr>
          <w:rFonts w:hint="cs"/>
          <w:rtl/>
        </w:rPr>
        <w:t xml:space="preserve">وإذا ادعت المراة </w:t>
      </w:r>
      <w:r>
        <w:rPr>
          <w:rFonts w:hint="cs"/>
          <w:b/>
          <w:bCs/>
          <w:rtl/>
        </w:rPr>
        <w:t>طلاقًا</w:t>
      </w:r>
      <w:r>
        <w:rPr>
          <w:rFonts w:hint="cs"/>
          <w:rtl/>
        </w:rPr>
        <w:t xml:space="preserve"> قبل </w:t>
      </w:r>
      <w:r>
        <w:rPr>
          <w:rFonts w:hint="cs"/>
          <w:b/>
          <w:bCs/>
          <w:rtl/>
        </w:rPr>
        <w:t>الدخول</w:t>
      </w:r>
      <w:r>
        <w:rPr>
          <w:rFonts w:hint="cs"/>
          <w:rtl/>
        </w:rPr>
        <w:t xml:space="preserve"> : استُحْلِفَ الزوج؛ فإن نكل ضمن نصف المهر في قولهم</w:t>
      </w:r>
      <w:r>
        <w:rPr>
          <w:rFonts w:hint="eastAsia"/>
          <w:rtl/>
        </w:rPr>
        <w:t>»</w:t>
      </w:r>
      <w:r>
        <w:rPr>
          <w:rFonts w:hint="cs"/>
          <w:rtl/>
        </w:rPr>
        <w:t xml:space="preserve">. ثم قال في (الهداية) معلَّلاً : </w:t>
      </w:r>
      <w:r>
        <w:rPr>
          <w:rFonts w:hint="eastAsia"/>
          <w:rtl/>
        </w:rPr>
        <w:t>«</w:t>
      </w:r>
      <w:r>
        <w:rPr>
          <w:rFonts w:hint="cs"/>
          <w:rtl/>
        </w:rPr>
        <w:t>لأن الاستحلاف يجري في الطلاق عندهم، لا سيما إذا كان المقصود هو المال</w:t>
      </w:r>
      <w:r>
        <w:rPr>
          <w:rFonts w:hint="eastAsia"/>
          <w:rtl/>
        </w:rPr>
        <w:t>»</w:t>
      </w:r>
      <w:r>
        <w:rPr>
          <w:rFonts w:hint="cs"/>
          <w:rtl/>
        </w:rPr>
        <w:t>.</w:t>
      </w:r>
    </w:p>
    <w:p w:rsidR="00035BE3" w:rsidRDefault="00035BE3" w:rsidP="00C10469">
      <w:pPr>
        <w:pStyle w:val="a6"/>
        <w:ind w:left="420" w:firstLine="0"/>
        <w:rPr>
          <w:rtl/>
        </w:rPr>
      </w:pPr>
      <w:r>
        <w:rPr>
          <w:rFonts w:hint="cs"/>
          <w:rtl/>
        </w:rPr>
        <w:t>وسوف يأتي ذكر المؤلف لهذه المسألة في موضع آخر، وهو ص500 (ل31/أ)</w:t>
      </w:r>
    </w:p>
  </w:footnote>
  <w:footnote w:id="1017">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10/ب من (ب).</w:t>
      </w:r>
    </w:p>
  </w:footnote>
  <w:footnote w:id="1018">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بقلبة</w:t>
      </w:r>
      <w:r>
        <w:rPr>
          <w:rFonts w:hint="eastAsia"/>
          <w:rtl/>
        </w:rPr>
        <w:t>»</w:t>
      </w:r>
      <w:r>
        <w:rPr>
          <w:rFonts w:hint="cs"/>
          <w:rtl/>
        </w:rPr>
        <w:t>.</w:t>
      </w:r>
    </w:p>
  </w:footnote>
  <w:footnote w:id="1019">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الأكملية</w:t>
      </w:r>
      <w:r>
        <w:rPr>
          <w:rFonts w:hint="cs"/>
          <w:rtl/>
        </w:rPr>
        <w:t xml:space="preserve">: نسبة إلى مؤلفها : محمد بن محمد بن محمود، أبو عبد الله البابرتي الملقب بـ </w:t>
      </w:r>
      <w:r>
        <w:rPr>
          <w:rFonts w:hint="cs"/>
          <w:b/>
          <w:bCs/>
          <w:rtl/>
        </w:rPr>
        <w:t>(أكمل الدين)</w:t>
      </w:r>
      <w:r>
        <w:rPr>
          <w:rFonts w:hint="cs"/>
          <w:rtl/>
        </w:rPr>
        <w:t>.</w:t>
      </w:r>
    </w:p>
    <w:p w:rsidR="00035BE3" w:rsidRDefault="00035BE3" w:rsidP="00C10469">
      <w:pPr>
        <w:pStyle w:val="a6"/>
        <w:ind w:left="422" w:firstLine="0"/>
        <w:rPr>
          <w:rtl/>
        </w:rPr>
      </w:pPr>
      <w:r>
        <w:rPr>
          <w:rFonts w:hint="cs"/>
          <w:rtl/>
        </w:rPr>
        <w:t xml:space="preserve">وليس مراد المؤلف من وصف (العناية) بـ (الأكملية) أن هذا الوصف جزء من التسمية؛ بل مراده </w:t>
      </w:r>
      <w:r w:rsidRPr="00B602A5">
        <w:rPr>
          <w:rFonts w:hint="cs"/>
          <w:spacing w:val="-4"/>
          <w:rtl/>
        </w:rPr>
        <w:t>تمييزها عن غيرها بالرمز إلى مؤلفها؛ ويشهد لذلك أنه ذكرها فيما يقارب ثلاثين موضعًا باسم (العناية)</w:t>
      </w:r>
      <w:r>
        <w:rPr>
          <w:rFonts w:hint="cs"/>
          <w:rtl/>
        </w:rPr>
        <w:t xml:space="preserve"> فحسب، ولعلّ الذي دفعه إلى وصفها بالأكملية كونه ذكرها هنا في سياق شروح الهداية، وللهداية شروح أخرى باسم (العناية) مثل : (العناية بشأن الهداية) لأحمد بن يوسف، جلال الدين التباني- انظر كـشف الظـنون، 2/2037- فلكي لا تلتبسْ بغيرها قرنها هنا بالنسبة إلى مؤلفها.</w:t>
      </w:r>
    </w:p>
  </w:footnote>
  <w:footnote w:id="10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يحصل</w:t>
      </w:r>
      <w:r>
        <w:rPr>
          <w:rFonts w:hint="eastAsia"/>
          <w:rtl/>
        </w:rPr>
        <w:t>»</w:t>
      </w:r>
      <w:r>
        <w:rPr>
          <w:rFonts w:hint="cs"/>
          <w:rtl/>
        </w:rPr>
        <w:t>.</w:t>
      </w:r>
    </w:p>
  </w:footnote>
  <w:footnote w:id="10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10/ب من (د). علمًا بأنه في (العناية)- بعد هذه الكلمة مباشرة-: </w:t>
      </w:r>
      <w:r>
        <w:rPr>
          <w:rFonts w:hint="eastAsia"/>
          <w:rtl/>
        </w:rPr>
        <w:t>«</w:t>
      </w:r>
      <w:r>
        <w:rPr>
          <w:rFonts w:hint="cs"/>
          <w:rtl/>
        </w:rPr>
        <w:t>الطلاق</w:t>
      </w:r>
      <w:r>
        <w:rPr>
          <w:rFonts w:hint="eastAsia"/>
          <w:rtl/>
        </w:rPr>
        <w:t>»</w:t>
      </w:r>
      <w:r>
        <w:rPr>
          <w:rFonts w:hint="cs"/>
          <w:rtl/>
        </w:rPr>
        <w:t>.</w:t>
      </w:r>
    </w:p>
  </w:footnote>
  <w:footnote w:id="10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w:t>
      </w:r>
      <w:r>
        <w:rPr>
          <w:rFonts w:hint="eastAsia"/>
          <w:rtl/>
        </w:rPr>
        <w:t>«</w:t>
      </w:r>
      <w:r>
        <w:rPr>
          <w:rFonts w:hint="cs"/>
          <w:rtl/>
        </w:rPr>
        <w:t>تتفاوت</w:t>
      </w:r>
      <w:r>
        <w:rPr>
          <w:rFonts w:hint="eastAsia"/>
          <w:rtl/>
        </w:rPr>
        <w:t>»</w:t>
      </w:r>
      <w:r>
        <w:rPr>
          <w:rFonts w:hint="cs"/>
          <w:rtl/>
        </w:rPr>
        <w:t xml:space="preserve">؛ بناء على أن الفاعل ضمير مستتر يعود على مؤنث وهو دعوى. </w:t>
      </w:r>
    </w:p>
  </w:footnote>
  <w:footnote w:id="10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مهر</w:t>
      </w:r>
      <w:r>
        <w:rPr>
          <w:rFonts w:hint="eastAsia"/>
          <w:rtl/>
        </w:rPr>
        <w:t>»</w:t>
      </w:r>
      <w:r>
        <w:rPr>
          <w:rFonts w:hint="cs"/>
          <w:rtl/>
        </w:rPr>
        <w:t>. والصحيح ما تمّ إثباته من (ب)؛ وفاقًا للعناية.</w:t>
      </w:r>
    </w:p>
  </w:footnote>
  <w:footnote w:id="10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8/187 - مع اختلاف سبق بيانه في موضعه-.</w:t>
      </w:r>
    </w:p>
  </w:footnote>
  <w:footnote w:id="10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8/187-188. وهذا الجواب ونقضه مذكور أيضًا في نتائج الأفكار، 8/187-188، إلا أنه أحال الجواب إلى كتابي : (النهاية) و(معراج الدراية)، وليس (العناية)، ونسبته إليهما أولى من نسبته إلى (العناية)؛ لأنهما متقدمان عليها؛ إذ (النهاية) لحسين بن علي السِّغْناقي (ت711هـ)، و(معراج الدراية) لمحمد بن محمد البخاري الكاكي (ت749هـ)، بينما صاحب (العناية) توفي عام 786؛ بل إن نسبته إلى (النهاية) أقرب؛ لتقدّمها، ولأنها أول شروح الهداية، حيث فرغ منها مؤلفها </w:t>
      </w:r>
      <w:r w:rsidRPr="00C16EA7">
        <w:rPr>
          <w:rFonts w:hint="cs"/>
          <w:spacing w:val="-2"/>
          <w:rtl/>
        </w:rPr>
        <w:t>سنة 700هـ، ثم إنها المصدر الرئيس للعناية. -انظر: كشف الظنون، 2/2032، 2033، 2035-</w:t>
      </w:r>
      <w:r>
        <w:rPr>
          <w:rFonts w:hint="cs"/>
          <w:rtl/>
        </w:rPr>
        <w:t>.</w:t>
      </w:r>
    </w:p>
    <w:p w:rsidR="00035BE3" w:rsidRDefault="00035BE3" w:rsidP="00C10469">
      <w:pPr>
        <w:pStyle w:val="a6"/>
        <w:ind w:left="422" w:firstLine="0"/>
        <w:rPr>
          <w:rtl/>
        </w:rPr>
      </w:pPr>
      <w:r>
        <w:rPr>
          <w:rFonts w:hint="cs"/>
          <w:rtl/>
        </w:rPr>
        <w:t>هذا ما يتعلق بالجواب المذكور وصاحب هذا الجواب.</w:t>
      </w:r>
    </w:p>
    <w:p w:rsidR="00035BE3" w:rsidRDefault="00035BE3" w:rsidP="00C10469">
      <w:pPr>
        <w:pStyle w:val="a6"/>
        <w:ind w:left="422" w:firstLine="0"/>
        <w:rPr>
          <w:rtl/>
        </w:rPr>
      </w:pPr>
      <w:r>
        <w:rPr>
          <w:rFonts w:hint="cs"/>
          <w:rtl/>
        </w:rPr>
        <w:t xml:space="preserve">وهناك جواب آخر ورد في (نتائج الأفكار)، 8/188، حيث جاء فيه : </w:t>
      </w:r>
      <w:r>
        <w:rPr>
          <w:rFonts w:hint="eastAsia"/>
          <w:rtl/>
        </w:rPr>
        <w:t>«</w:t>
      </w:r>
      <w:r>
        <w:rPr>
          <w:rFonts w:hint="cs"/>
          <w:rtl/>
        </w:rPr>
        <w:t>وأجاب عنه بعضهم بأنه لو أطلق لربما ذهب الوهم إلى الطلاق بعد الدخول؛ لغلبته، فقيّد به ليُعلم حكمه بطريق الأولوية، فإنه إذا استُحلف قبل تأكد المهر فبعده أولى كما لا يخفى</w:t>
      </w:r>
      <w:r>
        <w:rPr>
          <w:rFonts w:hint="eastAsia"/>
          <w:rtl/>
        </w:rPr>
        <w:t>»</w:t>
      </w:r>
      <w:r>
        <w:rPr>
          <w:rFonts w:hint="cs"/>
          <w:rtl/>
        </w:rPr>
        <w:t>.</w:t>
      </w:r>
    </w:p>
    <w:p w:rsidR="00035BE3" w:rsidRDefault="00035BE3" w:rsidP="00C10469">
      <w:pPr>
        <w:pStyle w:val="a6"/>
        <w:ind w:left="422" w:firstLine="0"/>
        <w:rPr>
          <w:rtl/>
        </w:rPr>
      </w:pPr>
      <w:r>
        <w:rPr>
          <w:rFonts w:hint="cs"/>
          <w:rtl/>
        </w:rPr>
        <w:t xml:space="preserve">وهذا الجواب أيضًا منقوض بما في (العناية)؛ لأن الإطلاق يغني عنه، وكون الطلاق أغلبه بعد الدخول لا يلزم منه انصراف كل طلاق إليه دون ما قبل الدخول فتوهم انصراف الطلاق إلى ما بعد الدخول </w:t>
      </w:r>
      <w:r w:rsidRPr="00C16EA7">
        <w:rPr>
          <w:rFonts w:hint="cs"/>
          <w:spacing w:val="-4"/>
          <w:rtl/>
        </w:rPr>
        <w:t>فحسب: بعيد ، فلا حاجة لرفعه بالتقييد بما قبل الدخول، ومن ثمّ الدلالة على ما بعد الدخول</w:t>
      </w:r>
      <w:r>
        <w:rPr>
          <w:rFonts w:hint="cs"/>
          <w:rtl/>
        </w:rPr>
        <w:t xml:space="preserve"> بالمفهوم الأولوي؛ بل إطلاق لفظ (الطلاق) في هذه الحالة أقوى من تقييده؛ لأن دلالة الطلاق على ما قبل الدخول وما بعده معًا بالمنطوق أولى من دلالته على أحدهما بالمنطوق والثاني بالمفهوم الأولوي.</w:t>
      </w:r>
    </w:p>
  </w:footnote>
  <w:footnote w:id="10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15/ب من (أ).</w:t>
      </w:r>
    </w:p>
  </w:footnote>
  <w:footnote w:id="10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يُوجّه</w:t>
      </w:r>
      <w:r>
        <w:rPr>
          <w:rFonts w:hint="eastAsia"/>
          <w:rtl/>
        </w:rPr>
        <w:t>»</w:t>
      </w:r>
      <w:r>
        <w:rPr>
          <w:rFonts w:hint="cs"/>
          <w:rtl/>
        </w:rPr>
        <w:t>.</w:t>
      </w:r>
    </w:p>
  </w:footnote>
  <w:footnote w:id="10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يدّعي</w:t>
      </w:r>
      <w:r>
        <w:rPr>
          <w:rFonts w:hint="eastAsia"/>
          <w:rtl/>
        </w:rPr>
        <w:t>»</w:t>
      </w:r>
      <w:r>
        <w:rPr>
          <w:rFonts w:hint="cs"/>
          <w:rtl/>
        </w:rPr>
        <w:t>.</w:t>
      </w:r>
    </w:p>
  </w:footnote>
  <w:footnote w:id="10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12/أ من (جـ).</w:t>
      </w:r>
    </w:p>
  </w:footnote>
  <w:footnote w:id="10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عند صاحب (الهداية).</w:t>
      </w:r>
    </w:p>
  </w:footnote>
  <w:footnote w:id="10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القبلة</w:t>
      </w:r>
      <w:r>
        <w:rPr>
          <w:rFonts w:hint="eastAsia"/>
          <w:rtl/>
        </w:rPr>
        <w:t>»</w:t>
      </w:r>
      <w:r>
        <w:rPr>
          <w:rFonts w:hint="cs"/>
          <w:rtl/>
        </w:rPr>
        <w:t>.</w:t>
      </w:r>
    </w:p>
  </w:footnote>
  <w:footnote w:id="10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اختلاف</w:t>
      </w:r>
      <w:r>
        <w:rPr>
          <w:rFonts w:hint="eastAsia"/>
          <w:rtl/>
        </w:rPr>
        <w:t>»</w:t>
      </w:r>
      <w:r>
        <w:rPr>
          <w:rFonts w:hint="cs"/>
          <w:rtl/>
        </w:rPr>
        <w:t>.</w:t>
      </w:r>
    </w:p>
  </w:footnote>
  <w:footnote w:id="10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الجواب الذي ارتضاه المؤلف في بيان فائدة تقييد صاحب (الهداية) لدعواها الطلاق بكونه قبل </w:t>
      </w:r>
      <w:r w:rsidRPr="00805ED4">
        <w:rPr>
          <w:rFonts w:hint="cs"/>
          <w:spacing w:val="-4"/>
          <w:rtl/>
        </w:rPr>
        <w:t xml:space="preserve">الدخول. والذي يظهر -والله أعلم- أن منطلقه هو </w:t>
      </w:r>
      <w:r w:rsidRPr="00805ED4">
        <w:rPr>
          <w:rFonts w:hint="eastAsia"/>
          <w:spacing w:val="-4"/>
          <w:rtl/>
        </w:rPr>
        <w:t>«</w:t>
      </w:r>
      <w:r w:rsidRPr="00805ED4">
        <w:rPr>
          <w:rFonts w:hint="cs"/>
          <w:spacing w:val="-4"/>
          <w:rtl/>
        </w:rPr>
        <w:t>أن الاستحلاف يجري في الطلاق عندهم، ولا سيما</w:t>
      </w:r>
      <w:r>
        <w:rPr>
          <w:rFonts w:hint="cs"/>
          <w:rtl/>
        </w:rPr>
        <w:t xml:space="preserve"> إذا كان المقصود هو المال</w:t>
      </w:r>
      <w:r>
        <w:rPr>
          <w:rFonts w:hint="eastAsia"/>
          <w:rtl/>
        </w:rPr>
        <w:t>»</w:t>
      </w:r>
      <w:r>
        <w:rPr>
          <w:rFonts w:hint="cs"/>
          <w:rtl/>
        </w:rPr>
        <w:t xml:space="preserve">- وقد سبق نقل ذلك عن (الهداية) في ص363، هامش3-؛ أما النكاح فلا يجري فيه الاستحلاف؛ لأن </w:t>
      </w:r>
      <w:r>
        <w:rPr>
          <w:rFonts w:hint="eastAsia"/>
          <w:rtl/>
        </w:rPr>
        <w:t>«</w:t>
      </w:r>
      <w:r>
        <w:rPr>
          <w:rFonts w:hint="cs"/>
          <w:rtl/>
        </w:rPr>
        <w:t>البذل لا يجري فيه</w:t>
      </w:r>
      <w:r>
        <w:rPr>
          <w:rFonts w:hint="eastAsia"/>
          <w:rtl/>
        </w:rPr>
        <w:t>»</w:t>
      </w:r>
      <w:r>
        <w:rPr>
          <w:rFonts w:hint="cs"/>
          <w:rtl/>
        </w:rPr>
        <w:t xml:space="preserve">- كما أفاد ذلك صاحب (العناية)، 8/188-. </w:t>
      </w:r>
    </w:p>
    <w:p w:rsidR="00035BE3" w:rsidRDefault="00035BE3" w:rsidP="00C10469">
      <w:pPr>
        <w:pStyle w:val="a6"/>
        <w:ind w:left="422" w:firstLine="0"/>
        <w:rPr>
          <w:rtl/>
        </w:rPr>
      </w:pPr>
      <w:r>
        <w:rPr>
          <w:rFonts w:hint="cs"/>
          <w:rtl/>
        </w:rPr>
        <w:t>فإذا ادّعت الطلاق قبل الدخول بها قد يتوهم من هذا عدمُ جواز الاستحلاف؛ لأنه هنا سيكون في النكاح لا في الطلاق. ووجهه : أنها وإن كانت تدَّعي الطلاق لفظًا، إلا أن هذه الدعوى تتضمَّن سبق النكاح معنى، والاعتبار للمعاني لا للألفاظ، فيكون الاستحلاف في النكاح لا في الطلاق، وحيث إن الاستحلاف لا يجري في النكاح فلا يصح!.</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6"/>
          <w:rtl/>
        </w:rPr>
      </w:pPr>
      <w:r>
        <w:rPr>
          <w:rFonts w:hint="cs"/>
          <w:spacing w:val="6"/>
          <w:rtl/>
        </w:rPr>
        <w:t>فلدفع هذا التوهُّم صرَّح صاحب (الهداية) بجواز الاستحلاف وإن كانت تدَّعي الطلاق قبل الدخول.</w:t>
      </w:r>
    </w:p>
    <w:p w:rsidR="00035BE3" w:rsidRDefault="00035BE3" w:rsidP="00C10469">
      <w:pPr>
        <w:pStyle w:val="a6"/>
        <w:ind w:left="422" w:firstLine="0"/>
        <w:rPr>
          <w:rtl/>
        </w:rPr>
      </w:pPr>
      <w:r>
        <w:rPr>
          <w:rFonts w:hint="cs"/>
          <w:rtl/>
        </w:rPr>
        <w:t xml:space="preserve">أما إذا ادَّعت الطلاق بعد الدخول فإن الأمر واضح في جواز الاستحلاف؛ لأن الاستحلاف حينئذ </w:t>
      </w:r>
      <w:r w:rsidRPr="00805ED4">
        <w:rPr>
          <w:rFonts w:hint="cs"/>
          <w:spacing w:val="-2"/>
          <w:rtl/>
        </w:rPr>
        <w:t>سيكون في الطلاق لفظًا ومعنى. ولا شبهة عند صاحب (الهداية) في أن الاستحلاف يجري في الطلاق.</w:t>
      </w:r>
    </w:p>
    <w:p w:rsidR="00035BE3" w:rsidRDefault="00035BE3" w:rsidP="00C10469">
      <w:pPr>
        <w:pStyle w:val="a6"/>
        <w:ind w:left="422" w:firstLine="0"/>
        <w:rPr>
          <w:rtl/>
        </w:rPr>
      </w:pPr>
      <w:r>
        <w:rPr>
          <w:rFonts w:hint="cs"/>
          <w:rtl/>
        </w:rPr>
        <w:t>وكونه في الطلاق لفظًا ومعنى؛ لأنها تدَّعي المهر بتسليم البضع لا بمجرد النكاح.</w:t>
      </w:r>
    </w:p>
  </w:footnote>
  <w:footnote w:id="10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فيه</w:t>
      </w:r>
      <w:r>
        <w:rPr>
          <w:rFonts w:hint="eastAsia"/>
          <w:rtl/>
        </w:rPr>
        <w:t>»</w:t>
      </w:r>
      <w:r>
        <w:rPr>
          <w:rFonts w:hint="cs"/>
          <w:rtl/>
        </w:rPr>
        <w:t>.</w:t>
      </w:r>
    </w:p>
  </w:footnote>
  <w:footnote w:id="10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الصلوات</w:t>
      </w:r>
      <w:r>
        <w:rPr>
          <w:rFonts w:hint="eastAsia"/>
          <w:rtl/>
        </w:rPr>
        <w:t>»</w:t>
      </w:r>
      <w:r>
        <w:rPr>
          <w:rFonts w:hint="cs"/>
          <w:rtl/>
        </w:rPr>
        <w:t>.</w:t>
      </w:r>
    </w:p>
  </w:footnote>
  <w:footnote w:id="10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الركعة الثالثة والرابعة من الصلاة.</w:t>
      </w:r>
    </w:p>
  </w:footnote>
  <w:footnote w:id="10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صلاتهم</w:t>
      </w:r>
      <w:r>
        <w:rPr>
          <w:rFonts w:hint="eastAsia"/>
          <w:rtl/>
        </w:rPr>
        <w:t>»</w:t>
      </w:r>
      <w:r>
        <w:rPr>
          <w:rFonts w:hint="cs"/>
          <w:rtl/>
        </w:rPr>
        <w:t>. وهو الموافق لِـ (بداية المبتدي) و(الكنـز)، وهو الأنسب.</w:t>
      </w:r>
    </w:p>
  </w:footnote>
  <w:footnote w:id="10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المتون التي وردت فيها هذه العبارة : بداية المبتدي، 1/376 (في ضمن شرحها: الهداية، وكلاهما </w:t>
      </w:r>
      <w:r w:rsidRPr="00AB1085">
        <w:rPr>
          <w:rFonts w:hint="cs"/>
          <w:spacing w:val="-4"/>
          <w:rtl/>
        </w:rPr>
        <w:t>مطبوعان مع فتح القدير)؛ الوقاية، 1/56 (في ضمن شرحها لصدر الشريعة، وكلاهما في هامش كشف</w:t>
      </w:r>
      <w:r w:rsidRPr="00AB1085">
        <w:rPr>
          <w:rFonts w:hint="cs"/>
          <w:spacing w:val="-2"/>
          <w:rtl/>
        </w:rPr>
        <w:t xml:space="preserve"> الحقائق)؛ كنـز الدقائق - في الموضع السابق من شرحه: كشف الحقائق، ومع البحر الرائق، 1/388.</w:t>
      </w:r>
    </w:p>
    <w:p w:rsidR="00035BE3" w:rsidRDefault="00035BE3" w:rsidP="00C10469">
      <w:pPr>
        <w:pStyle w:val="a6"/>
        <w:ind w:left="422" w:firstLine="0"/>
        <w:rPr>
          <w:rtl/>
        </w:rPr>
      </w:pPr>
      <w:r>
        <w:rPr>
          <w:rFonts w:hint="cs"/>
          <w:rtl/>
        </w:rPr>
        <w:t>وهذه المسألة ذكرها المؤلف أيضًا، ص492، وعزاها إلى غرر الأحكام.</w:t>
      </w:r>
    </w:p>
  </w:footnote>
  <w:footnote w:id="10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الاستخلاف</w:t>
      </w:r>
      <w:r>
        <w:rPr>
          <w:rFonts w:hint="eastAsia"/>
          <w:rtl/>
        </w:rPr>
        <w:t>»</w:t>
      </w:r>
      <w:r>
        <w:rPr>
          <w:rFonts w:hint="cs"/>
          <w:rtl/>
        </w:rPr>
        <w:t>.</w:t>
      </w:r>
    </w:p>
  </w:footnote>
  <w:footnote w:id="10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بعدم</w:t>
      </w:r>
      <w:r>
        <w:rPr>
          <w:rFonts w:hint="eastAsia"/>
          <w:rtl/>
        </w:rPr>
        <w:t>»</w:t>
      </w:r>
      <w:r>
        <w:rPr>
          <w:rFonts w:hint="cs"/>
          <w:rtl/>
        </w:rPr>
        <w:t>.</w:t>
      </w:r>
    </w:p>
  </w:footnote>
  <w:footnote w:id="10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الكلية</w:t>
      </w:r>
      <w:r>
        <w:rPr>
          <w:rFonts w:hint="cs"/>
          <w:rtl/>
        </w:rPr>
        <w:t xml:space="preserve"> عند أهل المنطق أي: </w:t>
      </w:r>
      <w:r>
        <w:rPr>
          <w:rFonts w:hint="eastAsia"/>
          <w:rtl/>
        </w:rPr>
        <w:t>«</w:t>
      </w:r>
      <w:r>
        <w:rPr>
          <w:rFonts w:hint="cs"/>
          <w:rtl/>
        </w:rPr>
        <w:t>محكوم فيها على كلِّ فرد</w:t>
      </w:r>
      <w:r>
        <w:rPr>
          <w:rFonts w:hint="eastAsia"/>
          <w:rtl/>
        </w:rPr>
        <w:t>»</w:t>
      </w:r>
      <w:r>
        <w:rPr>
          <w:rFonts w:hint="cs"/>
          <w:rtl/>
        </w:rPr>
        <w:t>، قاله البناني في حاشيته على شرح المحلي لجمع الجوامع، 1/21؛ وانظر : شرح تنقيح الفصول، ص28؛ شرح الأخـضري على سلّمه، ص28؛ إيضاح المبهم من معاني السلم، ص8؛ آداب البحث والمناظرة للشيخ محمد الأمين الشـنـقيطي، ق1، ص24؛ المنطق المفيد للبهنسي، 1/37.</w:t>
      </w:r>
    </w:p>
  </w:footnote>
  <w:footnote w:id="1042">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و(ب) و(د): </w:t>
      </w:r>
      <w:r>
        <w:rPr>
          <w:rFonts w:hint="eastAsia"/>
          <w:spacing w:val="-4"/>
          <w:rtl/>
        </w:rPr>
        <w:t>«</w:t>
      </w:r>
      <w:r>
        <w:rPr>
          <w:rFonts w:hint="cs"/>
          <w:spacing w:val="-4"/>
          <w:rtl/>
        </w:rPr>
        <w:t>للمدعي</w:t>
      </w:r>
      <w:r>
        <w:rPr>
          <w:rFonts w:hint="eastAsia"/>
          <w:spacing w:val="-4"/>
          <w:rtl/>
        </w:rPr>
        <w:t>»</w:t>
      </w:r>
      <w:r>
        <w:rPr>
          <w:rFonts w:hint="cs"/>
          <w:spacing w:val="-4"/>
          <w:rtl/>
        </w:rPr>
        <w:t>. والصحيح ما تم إثباته من (جـ)؛ وفاقًا للفظ الحديث -كما سيأتي بيانه-</w:t>
      </w:r>
    </w:p>
    <w:p w:rsidR="00035BE3" w:rsidRDefault="00035BE3" w:rsidP="00C10469">
      <w:pPr>
        <w:pStyle w:val="a6"/>
        <w:ind w:left="422" w:firstLine="0"/>
        <w:rPr>
          <w:spacing w:val="-2"/>
          <w:rtl/>
        </w:rPr>
      </w:pPr>
      <w:r>
        <w:rPr>
          <w:rFonts w:hint="cs"/>
          <w:spacing w:val="-2"/>
          <w:rtl/>
        </w:rPr>
        <w:t xml:space="preserve">علمًا بأن هذا الحديث تكرر عند المؤلف في موضعـين هـما : ص540 (ل36/ب)، وص1187 (ل115/ب)، وقد اتفقت جميع النسخ على أن لفظه في الموضع الأول منهما : </w:t>
      </w:r>
      <w:r>
        <w:rPr>
          <w:rFonts w:hint="eastAsia"/>
          <w:spacing w:val="-2"/>
          <w:rtl/>
        </w:rPr>
        <w:t>«</w:t>
      </w:r>
      <w:r>
        <w:rPr>
          <w:rFonts w:hint="cs"/>
          <w:spacing w:val="-2"/>
          <w:rtl/>
        </w:rPr>
        <w:t>البينة على المدعي...</w:t>
      </w:r>
      <w:r>
        <w:rPr>
          <w:rFonts w:hint="eastAsia"/>
          <w:spacing w:val="-2"/>
          <w:rtl/>
        </w:rPr>
        <w:t>»</w:t>
      </w:r>
      <w:r>
        <w:rPr>
          <w:rFonts w:hint="cs"/>
          <w:spacing w:val="-2"/>
          <w:rtl/>
        </w:rPr>
        <w:t>.</w:t>
      </w:r>
    </w:p>
  </w:footnote>
  <w:footnote w:id="10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أخرجه الشافعي بنحوه في مسنده، ص191؛ والبيهقي بلفظـه، كـتـاب الدعوى والبيـنـات، باب البينة على المدعي واليمين على المدعى عليه، 10/252.</w:t>
      </w:r>
    </w:p>
    <w:p w:rsidR="00035BE3" w:rsidRDefault="00035BE3" w:rsidP="00C10469">
      <w:pPr>
        <w:pStyle w:val="a6"/>
        <w:ind w:left="422" w:firstLine="0"/>
        <w:rPr>
          <w:rtl/>
        </w:rPr>
      </w:pPr>
      <w:r>
        <w:rPr>
          <w:rFonts w:hint="cs"/>
          <w:rtl/>
        </w:rPr>
        <w:t xml:space="preserve">وأخرجـه البخـاري بـلـفـظ : </w:t>
      </w:r>
      <w:r>
        <w:rPr>
          <w:rFonts w:hint="eastAsia"/>
          <w:rtl/>
        </w:rPr>
        <w:t>«</w:t>
      </w:r>
      <w:r>
        <w:rPr>
          <w:rFonts w:hint="cs"/>
          <w:rtl/>
        </w:rPr>
        <w:t>اليمـين عـلى الـمـدعـى عـلـيـه</w:t>
      </w:r>
      <w:r>
        <w:rPr>
          <w:rFonts w:hint="eastAsia"/>
          <w:rtl/>
        </w:rPr>
        <w:t>»</w:t>
      </w:r>
      <w:r>
        <w:rPr>
          <w:rFonts w:hint="cs"/>
          <w:rtl/>
        </w:rPr>
        <w:t xml:space="preserve">، في كتاب التفسير، باب </w:t>
      </w:r>
      <w:r>
        <w:rPr>
          <w:color w:val="000000"/>
          <w:sz w:val="24"/>
          <w:szCs w:val="24"/>
        </w:rPr>
        <w:sym w:font="HQPB2" w:char="F0E2"/>
      </w:r>
      <w:r>
        <w:rPr>
          <w:color w:val="000000"/>
          <w:sz w:val="24"/>
          <w:szCs w:val="24"/>
          <w:rtl/>
        </w:rPr>
        <w:t xml:space="preserve"> </w:t>
      </w:r>
      <w:r>
        <w:rPr>
          <w:color w:val="000000"/>
          <w:sz w:val="24"/>
          <w:szCs w:val="24"/>
        </w:rPr>
        <w:sym w:font="HQPB4" w:char="F0A8"/>
      </w:r>
      <w:r>
        <w:rPr>
          <w:color w:val="000000"/>
          <w:sz w:val="24"/>
          <w:szCs w:val="24"/>
        </w:rPr>
        <w:sym w:font="HQPB2" w:char="F062"/>
      </w:r>
      <w:r>
        <w:rPr>
          <w:color w:val="000000"/>
          <w:sz w:val="24"/>
          <w:szCs w:val="24"/>
        </w:rPr>
        <w:sym w:font="HQPB4" w:char="F0CE"/>
      </w:r>
      <w:r>
        <w:rPr>
          <w:color w:val="000000"/>
          <w:sz w:val="24"/>
          <w:szCs w:val="24"/>
        </w:rPr>
        <w:sym w:font="HQPB1" w:char="F029"/>
      </w:r>
      <w:r>
        <w:rPr>
          <w:color w:val="000000"/>
          <w:sz w:val="24"/>
          <w:szCs w:val="24"/>
          <w:rtl/>
        </w:rPr>
        <w:t xml:space="preserve"> </w:t>
      </w:r>
      <w:r>
        <w:rPr>
          <w:color w:val="000000"/>
          <w:sz w:val="24"/>
          <w:szCs w:val="24"/>
        </w:rPr>
        <w:sym w:font="HQPB5" w:char="F074"/>
      </w:r>
      <w:r>
        <w:rPr>
          <w:color w:val="000000"/>
          <w:sz w:val="24"/>
          <w:szCs w:val="24"/>
        </w:rPr>
        <w:sym w:font="HQPB2" w:char="F0FB"/>
      </w:r>
      <w:r>
        <w:rPr>
          <w:color w:val="000000"/>
          <w:sz w:val="24"/>
          <w:szCs w:val="24"/>
        </w:rPr>
        <w:sym w:font="HQPB2" w:char="F0EF"/>
      </w:r>
      <w:r>
        <w:rPr>
          <w:color w:val="000000"/>
          <w:sz w:val="24"/>
          <w:szCs w:val="24"/>
        </w:rPr>
        <w:sym w:font="HQPB4" w:char="F0CF"/>
      </w:r>
      <w:r>
        <w:rPr>
          <w:color w:val="000000"/>
          <w:sz w:val="24"/>
          <w:szCs w:val="24"/>
        </w:rPr>
        <w:sym w:font="HQPB3" w:char="F025"/>
      </w:r>
      <w:r>
        <w:rPr>
          <w:color w:val="000000"/>
          <w:sz w:val="24"/>
          <w:szCs w:val="24"/>
        </w:rPr>
        <w:sym w:font="HQPB4" w:char="F0A9"/>
      </w:r>
      <w:r>
        <w:rPr>
          <w:color w:val="000000"/>
          <w:sz w:val="24"/>
          <w:szCs w:val="24"/>
        </w:rPr>
        <w:sym w:font="HQPB3" w:char="F021"/>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5" w:char="F074"/>
      </w:r>
      <w:r>
        <w:rPr>
          <w:color w:val="000000"/>
          <w:sz w:val="24"/>
          <w:szCs w:val="24"/>
        </w:rPr>
        <w:sym w:font="HQPB2" w:char="F062"/>
      </w:r>
      <w:r>
        <w:rPr>
          <w:color w:val="000000"/>
          <w:sz w:val="24"/>
          <w:szCs w:val="24"/>
        </w:rPr>
        <w:sym w:font="HQPB2" w:char="F072"/>
      </w:r>
      <w:r>
        <w:rPr>
          <w:color w:val="000000"/>
          <w:sz w:val="24"/>
          <w:szCs w:val="24"/>
        </w:rPr>
        <w:sym w:font="HQPB4" w:char="F0E7"/>
      </w:r>
      <w:r>
        <w:rPr>
          <w:color w:val="000000"/>
          <w:sz w:val="24"/>
          <w:szCs w:val="24"/>
        </w:rPr>
        <w:sym w:font="HQPB1" w:char="F08E"/>
      </w:r>
      <w:r>
        <w:rPr>
          <w:color w:val="000000"/>
          <w:sz w:val="24"/>
          <w:szCs w:val="24"/>
        </w:rPr>
        <w:sym w:font="HQPB5" w:char="F074"/>
      </w:r>
      <w:r>
        <w:rPr>
          <w:color w:val="000000"/>
          <w:sz w:val="24"/>
          <w:szCs w:val="24"/>
        </w:rPr>
        <w:sym w:font="HQPB1" w:char="F049"/>
      </w:r>
      <w:r>
        <w:rPr>
          <w:color w:val="000000"/>
          <w:sz w:val="24"/>
          <w:szCs w:val="24"/>
        </w:rPr>
        <w:sym w:font="HQPB4" w:char="F0F4"/>
      </w:r>
      <w:r>
        <w:rPr>
          <w:color w:val="000000"/>
          <w:sz w:val="24"/>
          <w:szCs w:val="24"/>
        </w:rPr>
        <w:sym w:font="HQPB1" w:char="F0B1"/>
      </w:r>
      <w:r>
        <w:rPr>
          <w:color w:val="000000"/>
          <w:sz w:val="24"/>
          <w:szCs w:val="24"/>
        </w:rPr>
        <w:sym w:font="HQPB5" w:char="F06F"/>
      </w:r>
      <w:r>
        <w:rPr>
          <w:color w:val="000000"/>
          <w:sz w:val="24"/>
          <w:szCs w:val="24"/>
        </w:rPr>
        <w:sym w:font="HQPB2" w:char="F084"/>
      </w:r>
      <w:r>
        <w:rPr>
          <w:color w:val="000000"/>
          <w:sz w:val="24"/>
          <w:szCs w:val="24"/>
          <w:rtl/>
        </w:rPr>
        <w:t xml:space="preserve"> </w:t>
      </w:r>
      <w:r>
        <w:rPr>
          <w:color w:val="000000"/>
          <w:sz w:val="24"/>
          <w:szCs w:val="24"/>
        </w:rPr>
        <w:sym w:font="HQPB4" w:char="F0CF"/>
      </w:r>
      <w:r>
        <w:rPr>
          <w:color w:val="000000"/>
          <w:sz w:val="24"/>
          <w:szCs w:val="24"/>
        </w:rPr>
        <w:sym w:font="HQPB1" w:char="F089"/>
      </w:r>
      <w:r>
        <w:rPr>
          <w:color w:val="000000"/>
          <w:sz w:val="24"/>
          <w:szCs w:val="24"/>
        </w:rPr>
        <w:sym w:font="HQPB4" w:char="F0F4"/>
      </w:r>
      <w:r>
        <w:rPr>
          <w:color w:val="000000"/>
          <w:sz w:val="24"/>
          <w:szCs w:val="24"/>
        </w:rPr>
        <w:sym w:font="HQPB2" w:char="F067"/>
      </w:r>
      <w:r>
        <w:rPr>
          <w:color w:val="000000"/>
          <w:sz w:val="24"/>
          <w:szCs w:val="24"/>
        </w:rPr>
        <w:sym w:font="HQPB5" w:char="F079"/>
      </w:r>
      <w:r>
        <w:rPr>
          <w:color w:val="000000"/>
          <w:sz w:val="24"/>
          <w:szCs w:val="24"/>
        </w:rPr>
        <w:sym w:font="HQPB1" w:char="F0E8"/>
      </w:r>
      <w:r>
        <w:rPr>
          <w:color w:val="000000"/>
          <w:sz w:val="24"/>
          <w:szCs w:val="24"/>
        </w:rPr>
        <w:sym w:font="HQPB4" w:char="F0CE"/>
      </w:r>
      <w:r>
        <w:rPr>
          <w:color w:val="000000"/>
          <w:sz w:val="24"/>
          <w:szCs w:val="24"/>
        </w:rPr>
        <w:sym w:font="HQPB1" w:char="F02F"/>
      </w:r>
      <w:r>
        <w:rPr>
          <w:color w:val="000000"/>
          <w:sz w:val="24"/>
          <w:szCs w:val="24"/>
          <w:rtl/>
        </w:rPr>
        <w:t xml:space="preserve"> </w:t>
      </w:r>
      <w:r>
        <w:rPr>
          <w:color w:val="000000"/>
          <w:sz w:val="24"/>
          <w:szCs w:val="24"/>
        </w:rPr>
        <w:sym w:font="HQPB5" w:char="F0AB"/>
      </w:r>
      <w:r>
        <w:rPr>
          <w:color w:val="000000"/>
          <w:sz w:val="24"/>
          <w:szCs w:val="24"/>
        </w:rPr>
        <w:sym w:font="HQPB1" w:char="F021"/>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4" w:char="F0F6"/>
      </w:r>
      <w:r>
        <w:rPr>
          <w:color w:val="000000"/>
          <w:sz w:val="24"/>
          <w:szCs w:val="24"/>
        </w:rPr>
        <w:sym w:font="HQPB2" w:char="F04E"/>
      </w:r>
      <w:r>
        <w:rPr>
          <w:color w:val="000000"/>
          <w:sz w:val="24"/>
          <w:szCs w:val="24"/>
        </w:rPr>
        <w:sym w:font="HQPB4" w:char="F0CD"/>
      </w:r>
      <w:r>
        <w:rPr>
          <w:color w:val="000000"/>
          <w:sz w:val="24"/>
          <w:szCs w:val="24"/>
        </w:rPr>
        <w:sym w:font="HQPB2" w:char="F06B"/>
      </w:r>
      <w:r>
        <w:rPr>
          <w:color w:val="000000"/>
          <w:sz w:val="24"/>
          <w:szCs w:val="24"/>
        </w:rPr>
        <w:sym w:font="HQPB4" w:char="F0C8"/>
      </w:r>
      <w:r>
        <w:rPr>
          <w:color w:val="000000"/>
          <w:sz w:val="24"/>
          <w:szCs w:val="24"/>
        </w:rPr>
        <w:sym w:font="HQPB2" w:char="F05D"/>
      </w:r>
      <w:r>
        <w:rPr>
          <w:color w:val="000000"/>
          <w:sz w:val="24"/>
          <w:szCs w:val="24"/>
        </w:rPr>
        <w:sym w:font="HQPB2" w:char="F0BB"/>
      </w:r>
      <w:r>
        <w:rPr>
          <w:color w:val="000000"/>
          <w:sz w:val="24"/>
          <w:szCs w:val="24"/>
        </w:rPr>
        <w:sym w:font="HQPB5" w:char="F079"/>
      </w:r>
      <w:r>
        <w:rPr>
          <w:color w:val="000000"/>
          <w:sz w:val="24"/>
          <w:szCs w:val="24"/>
        </w:rPr>
        <w:sym w:font="HQPB2" w:char="F04A"/>
      </w:r>
      <w:r>
        <w:rPr>
          <w:color w:val="000000"/>
          <w:sz w:val="24"/>
          <w:szCs w:val="24"/>
        </w:rPr>
        <w:sym w:font="HQPB4" w:char="F0F7"/>
      </w:r>
      <w:r>
        <w:rPr>
          <w:color w:val="000000"/>
          <w:sz w:val="24"/>
          <w:szCs w:val="24"/>
        </w:rPr>
        <w:sym w:font="HQPB2" w:char="F083"/>
      </w:r>
      <w:r>
        <w:rPr>
          <w:color w:val="000000"/>
          <w:sz w:val="24"/>
          <w:szCs w:val="24"/>
        </w:rPr>
        <w:sym w:font="HQPB5" w:char="F072"/>
      </w:r>
      <w:r>
        <w:rPr>
          <w:color w:val="000000"/>
          <w:sz w:val="24"/>
          <w:szCs w:val="24"/>
        </w:rPr>
        <w:sym w:font="HQPB1" w:char="F026"/>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1" w:char="F024"/>
      </w:r>
      <w:r>
        <w:rPr>
          <w:color w:val="000000"/>
          <w:sz w:val="24"/>
          <w:szCs w:val="24"/>
        </w:rPr>
        <w:sym w:font="HQPB4" w:char="F059"/>
      </w:r>
      <w:r>
        <w:rPr>
          <w:color w:val="000000"/>
          <w:sz w:val="24"/>
          <w:szCs w:val="24"/>
        </w:rPr>
        <w:sym w:font="HQPB2" w:char="F059"/>
      </w:r>
      <w:r>
        <w:rPr>
          <w:color w:val="000000"/>
          <w:sz w:val="24"/>
          <w:szCs w:val="24"/>
        </w:rPr>
        <w:sym w:font="HQPB5" w:char="F079"/>
      </w:r>
      <w:r>
        <w:rPr>
          <w:color w:val="000000"/>
          <w:sz w:val="24"/>
          <w:szCs w:val="24"/>
        </w:rPr>
        <w:sym w:font="HQPB2" w:char="F04A"/>
      </w:r>
      <w:r>
        <w:rPr>
          <w:color w:val="000000"/>
          <w:sz w:val="24"/>
          <w:szCs w:val="24"/>
        </w:rPr>
        <w:sym w:font="HQPB5" w:char="F072"/>
      </w:r>
      <w:r>
        <w:rPr>
          <w:color w:val="000000"/>
          <w:sz w:val="24"/>
          <w:szCs w:val="24"/>
        </w:rPr>
        <w:sym w:font="HQPB1" w:char="F04F"/>
      </w:r>
      <w:r>
        <w:rPr>
          <w:color w:val="000000"/>
          <w:sz w:val="24"/>
          <w:szCs w:val="24"/>
          <w:rtl/>
        </w:rPr>
        <w:t xml:space="preserve"> </w:t>
      </w:r>
      <w:r>
        <w:rPr>
          <w:color w:val="000000"/>
          <w:sz w:val="24"/>
          <w:szCs w:val="24"/>
        </w:rPr>
        <w:sym w:font="HQPB4" w:char="F0B8"/>
      </w:r>
      <w:r>
        <w:rPr>
          <w:color w:val="000000"/>
          <w:sz w:val="24"/>
          <w:szCs w:val="24"/>
        </w:rPr>
        <w:sym w:font="HQPB2" w:char="F078"/>
      </w:r>
      <w:r>
        <w:rPr>
          <w:color w:val="000000"/>
          <w:sz w:val="24"/>
          <w:szCs w:val="24"/>
        </w:rPr>
        <w:sym w:font="HQPB2" w:char="F08B"/>
      </w:r>
      <w:r>
        <w:rPr>
          <w:color w:val="000000"/>
          <w:sz w:val="24"/>
          <w:szCs w:val="24"/>
        </w:rPr>
        <w:sym w:font="HQPB4" w:char="F0CE"/>
      </w:r>
      <w:r>
        <w:rPr>
          <w:color w:val="000000"/>
          <w:sz w:val="24"/>
          <w:szCs w:val="24"/>
        </w:rPr>
        <w:sym w:font="HQPB2" w:char="F03D"/>
      </w:r>
      <w:r>
        <w:rPr>
          <w:color w:val="000000"/>
          <w:sz w:val="24"/>
          <w:szCs w:val="24"/>
        </w:rPr>
        <w:sym w:font="HQPB5" w:char="F073"/>
      </w:r>
      <w:r>
        <w:rPr>
          <w:color w:val="000000"/>
          <w:sz w:val="24"/>
          <w:szCs w:val="24"/>
        </w:rPr>
        <w:sym w:font="HQPB2" w:char="F025"/>
      </w:r>
      <w:r>
        <w:rPr>
          <w:color w:val="000000"/>
          <w:sz w:val="24"/>
          <w:szCs w:val="24"/>
          <w:rtl/>
        </w:rPr>
        <w:t xml:space="preserve"> </w:t>
      </w:r>
      <w:r>
        <w:rPr>
          <w:color w:val="000000"/>
          <w:sz w:val="24"/>
          <w:szCs w:val="24"/>
        </w:rPr>
        <w:sym w:font="HQPB5" w:char="F09A"/>
      </w:r>
      <w:r>
        <w:rPr>
          <w:color w:val="000000"/>
          <w:sz w:val="24"/>
          <w:szCs w:val="24"/>
        </w:rPr>
        <w:sym w:font="HQPB3" w:char="F081"/>
      </w:r>
      <w:r>
        <w:rPr>
          <w:color w:val="000000"/>
          <w:sz w:val="24"/>
          <w:szCs w:val="24"/>
        </w:rPr>
        <w:sym w:font="HQPB4" w:char="F0CD"/>
      </w:r>
      <w:r>
        <w:rPr>
          <w:color w:val="000000"/>
          <w:sz w:val="24"/>
          <w:szCs w:val="24"/>
        </w:rPr>
        <w:sym w:font="HQPB2" w:char="F0B4"/>
      </w:r>
      <w:r>
        <w:rPr>
          <w:color w:val="000000"/>
          <w:sz w:val="24"/>
          <w:szCs w:val="24"/>
        </w:rPr>
        <w:sym w:font="HQPB5" w:char="F0AF"/>
      </w:r>
      <w:r>
        <w:rPr>
          <w:color w:val="000000"/>
          <w:sz w:val="24"/>
          <w:szCs w:val="24"/>
        </w:rPr>
        <w:sym w:font="HQPB2" w:char="F0BB"/>
      </w:r>
      <w:r>
        <w:rPr>
          <w:color w:val="000000"/>
          <w:sz w:val="24"/>
          <w:szCs w:val="24"/>
        </w:rPr>
        <w:sym w:font="HQPB5" w:char="F073"/>
      </w:r>
      <w:r>
        <w:rPr>
          <w:color w:val="000000"/>
          <w:sz w:val="24"/>
          <w:szCs w:val="24"/>
        </w:rPr>
        <w:sym w:font="HQPB2" w:char="F039"/>
      </w:r>
      <w:r>
        <w:rPr>
          <w:color w:val="000000"/>
          <w:sz w:val="24"/>
          <w:szCs w:val="24"/>
        </w:rPr>
        <w:sym w:font="HQPB5" w:char="F027"/>
      </w:r>
      <w:r>
        <w:rPr>
          <w:color w:val="000000"/>
          <w:sz w:val="24"/>
          <w:szCs w:val="24"/>
        </w:rPr>
        <w:sym w:font="HQPB2" w:char="F072"/>
      </w:r>
      <w:r>
        <w:rPr>
          <w:color w:val="000000"/>
          <w:sz w:val="24"/>
          <w:szCs w:val="24"/>
        </w:rPr>
        <w:sym w:font="HQPB4" w:char="F0E9"/>
      </w:r>
      <w:r>
        <w:rPr>
          <w:color w:val="000000"/>
          <w:sz w:val="24"/>
          <w:szCs w:val="24"/>
        </w:rPr>
        <w:sym w:font="HQPB1" w:char="F026"/>
      </w:r>
      <w:r>
        <w:rPr>
          <w:color w:val="000000"/>
          <w:sz w:val="24"/>
          <w:szCs w:val="24"/>
          <w:rtl/>
        </w:rPr>
        <w:t xml:space="preserve"> </w:t>
      </w:r>
      <w:r>
        <w:rPr>
          <w:color w:val="000000"/>
          <w:sz w:val="24"/>
          <w:szCs w:val="24"/>
        </w:rPr>
        <w:sym w:font="HQPB5" w:char="F09F"/>
      </w:r>
      <w:r>
        <w:rPr>
          <w:color w:val="000000"/>
          <w:sz w:val="24"/>
          <w:szCs w:val="24"/>
        </w:rPr>
        <w:sym w:font="HQPB2" w:char="F077"/>
      </w:r>
      <w:r>
        <w:rPr>
          <w:color w:val="000000"/>
          <w:sz w:val="24"/>
          <w:szCs w:val="24"/>
          <w:rtl/>
        </w:rPr>
        <w:t xml:space="preserve"> </w:t>
      </w:r>
      <w:r>
        <w:rPr>
          <w:color w:val="000000"/>
          <w:sz w:val="24"/>
          <w:szCs w:val="24"/>
        </w:rPr>
        <w:sym w:font="HQPB5" w:char="F074"/>
      </w:r>
      <w:r>
        <w:rPr>
          <w:color w:val="000000"/>
          <w:sz w:val="24"/>
          <w:szCs w:val="24"/>
        </w:rPr>
        <w:sym w:font="HQPB2" w:char="F02C"/>
      </w:r>
      <w:r>
        <w:rPr>
          <w:color w:val="000000"/>
          <w:sz w:val="24"/>
          <w:szCs w:val="24"/>
        </w:rPr>
        <w:sym w:font="HQPB2" w:char="F0BB"/>
      </w:r>
      <w:r>
        <w:rPr>
          <w:color w:val="000000"/>
          <w:sz w:val="24"/>
          <w:szCs w:val="24"/>
        </w:rPr>
        <w:sym w:font="HQPB5" w:char="F06E"/>
      </w:r>
      <w:r>
        <w:rPr>
          <w:color w:val="000000"/>
          <w:sz w:val="24"/>
          <w:szCs w:val="24"/>
        </w:rPr>
        <w:sym w:font="HQPB2" w:char="F03D"/>
      </w:r>
      <w:r>
        <w:rPr>
          <w:color w:val="000000"/>
          <w:sz w:val="24"/>
          <w:szCs w:val="24"/>
        </w:rPr>
        <w:sym w:font="HQPB5" w:char="F079"/>
      </w:r>
      <w:r>
        <w:rPr>
          <w:color w:val="000000"/>
          <w:sz w:val="24"/>
          <w:szCs w:val="24"/>
        </w:rPr>
        <w:sym w:font="HQPB1" w:char="F07A"/>
      </w:r>
      <w:r>
        <w:rPr>
          <w:color w:val="000000"/>
          <w:sz w:val="24"/>
          <w:szCs w:val="24"/>
          <w:rtl/>
        </w:rPr>
        <w:t xml:space="preserve"> </w:t>
      </w:r>
      <w:r>
        <w:rPr>
          <w:color w:val="000000"/>
          <w:sz w:val="24"/>
          <w:szCs w:val="24"/>
        </w:rPr>
        <w:sym w:font="HQPB4" w:char="F0F6"/>
      </w:r>
      <w:r>
        <w:rPr>
          <w:color w:val="000000"/>
          <w:sz w:val="24"/>
          <w:szCs w:val="24"/>
        </w:rPr>
        <w:sym w:font="HQPB2" w:char="F04E"/>
      </w:r>
      <w:r>
        <w:rPr>
          <w:color w:val="000000"/>
          <w:sz w:val="24"/>
          <w:szCs w:val="24"/>
        </w:rPr>
        <w:sym w:font="HQPB4" w:char="F0DF"/>
      </w:r>
      <w:r>
        <w:rPr>
          <w:color w:val="000000"/>
          <w:sz w:val="24"/>
          <w:szCs w:val="24"/>
        </w:rPr>
        <w:sym w:font="HQPB2" w:char="F067"/>
      </w:r>
      <w:r>
        <w:rPr>
          <w:color w:val="000000"/>
          <w:sz w:val="24"/>
          <w:szCs w:val="24"/>
        </w:rPr>
        <w:sym w:font="HQPB5" w:char="F073"/>
      </w:r>
      <w:r>
        <w:rPr>
          <w:color w:val="000000"/>
          <w:sz w:val="24"/>
          <w:szCs w:val="24"/>
        </w:rPr>
        <w:sym w:font="HQPB2" w:char="F039"/>
      </w:r>
      <w:r>
        <w:rPr>
          <w:color w:val="000000"/>
          <w:sz w:val="24"/>
          <w:szCs w:val="24"/>
          <w:rtl/>
        </w:rPr>
        <w:t xml:space="preserve"> </w:t>
      </w:r>
      <w:r>
        <w:rPr>
          <w:color w:val="000000"/>
          <w:sz w:val="24"/>
          <w:szCs w:val="24"/>
        </w:rPr>
        <w:sym w:font="HQPB2" w:char="F0E1"/>
      </w:r>
      <w:r>
        <w:rPr>
          <w:rFonts w:hint="cs"/>
          <w:rtl/>
        </w:rPr>
        <w:t xml:space="preserve"> [من الآية رقم (77) من سورة آل عمران]، 4/1656-1657، ح  4277، كما أخرجه بمثل هذا اللفظ أيضًا في كتاب الرهن، باب إذا اختلف الراهن والمرتهن ونحوه فالبينة على المدعي واليمين على المدّعى عليه، 2/888، ح2379، وبنحوه في كتاب الشهادات، باب اليمين على المدّعى عليه في الأموال والـحدود، 2/949، ح2524؛ وأخرجه مسلم بمثل لفظ البخاري - المذكور-، كتاب  الأقضية، باب اليمين على المدّعى عليه، 3/1336، ح 1711.</w:t>
      </w:r>
    </w:p>
    <w:p w:rsidR="00035BE3" w:rsidRDefault="00035BE3" w:rsidP="00C10469">
      <w:pPr>
        <w:pStyle w:val="a6"/>
        <w:ind w:left="422" w:firstLine="0"/>
        <w:rPr>
          <w:rtl/>
        </w:rPr>
      </w:pPr>
      <w:r>
        <w:rPr>
          <w:rFonts w:hint="cs"/>
          <w:rtl/>
        </w:rPr>
        <w:t>جميعهم من حديث ابن عباس رضي الله عنهما .</w:t>
      </w:r>
    </w:p>
    <w:p w:rsidR="00035BE3" w:rsidRDefault="00035BE3" w:rsidP="00C10469">
      <w:pPr>
        <w:pStyle w:val="a6"/>
        <w:ind w:left="422" w:firstLine="0"/>
        <w:rPr>
          <w:rtl/>
        </w:rPr>
      </w:pPr>
      <w:r>
        <w:rPr>
          <w:rFonts w:hint="cs"/>
          <w:rtl/>
        </w:rPr>
        <w:t xml:space="preserve">ويلحظ أن البيهقي زاد على الصحيحين لفظ </w:t>
      </w:r>
      <w:r>
        <w:rPr>
          <w:rFonts w:hint="eastAsia"/>
          <w:rtl/>
        </w:rPr>
        <w:t>«</w:t>
      </w:r>
      <w:r>
        <w:rPr>
          <w:rFonts w:hint="cs"/>
          <w:rtl/>
        </w:rPr>
        <w:t>البينة على المدعي</w:t>
      </w:r>
      <w:r>
        <w:rPr>
          <w:rFonts w:hint="eastAsia"/>
          <w:rtl/>
        </w:rPr>
        <w:t>»</w:t>
      </w:r>
      <w:r>
        <w:rPr>
          <w:rFonts w:hint="cs"/>
          <w:rtl/>
        </w:rPr>
        <w:t>.</w:t>
      </w:r>
    </w:p>
    <w:p w:rsidR="00035BE3" w:rsidRDefault="00035BE3" w:rsidP="00C10469">
      <w:pPr>
        <w:pStyle w:val="a6"/>
        <w:ind w:left="422" w:firstLine="0"/>
        <w:rPr>
          <w:rtl/>
        </w:rPr>
      </w:pPr>
      <w:r>
        <w:rPr>
          <w:rFonts w:hint="cs"/>
          <w:rtl/>
        </w:rPr>
        <w:t>والحديث بهذه الزيادة حسنه النووي وابن الصلاح وابن حجر وصححه الألباني :</w:t>
      </w:r>
    </w:p>
    <w:p w:rsidR="00035BE3" w:rsidRDefault="00035BE3" w:rsidP="00C10469">
      <w:pPr>
        <w:pStyle w:val="a6"/>
        <w:ind w:left="422" w:firstLine="0"/>
        <w:rPr>
          <w:rtl/>
        </w:rPr>
      </w:pPr>
      <w:r>
        <w:rPr>
          <w:rFonts w:hint="cs"/>
          <w:rtl/>
        </w:rPr>
        <w:t xml:space="preserve">- إذْ إن هذا الحديث يمثل الحديث الثالث والثلاثين من الأربعين النووية وقد قال النووي عقبه: </w:t>
      </w:r>
      <w:r>
        <w:rPr>
          <w:rFonts w:hint="eastAsia"/>
          <w:rtl/>
        </w:rPr>
        <w:t>«</w:t>
      </w:r>
      <w:r>
        <w:rPr>
          <w:rFonts w:hint="cs"/>
          <w:rtl/>
        </w:rPr>
        <w:t>حديث حسن، رواه البيهقي وغيره هكذا، وبعضه في الصحيحين</w:t>
      </w:r>
      <w:r>
        <w:rPr>
          <w:rFonts w:hint="eastAsia"/>
          <w:rtl/>
        </w:rPr>
        <w:t>»</w:t>
      </w:r>
      <w:r>
        <w:rPr>
          <w:rFonts w:hint="cs"/>
          <w:rtl/>
        </w:rPr>
        <w:t xml:space="preserve"> (الأربعين النووية (المطبوعة مع جامع العلوم والحكم)، ص310).</w:t>
      </w:r>
    </w:p>
    <w:p w:rsidR="00035BE3" w:rsidRDefault="00035BE3" w:rsidP="00C10469">
      <w:pPr>
        <w:pStyle w:val="a6"/>
        <w:ind w:left="422" w:firstLine="0"/>
        <w:rPr>
          <w:rtl/>
        </w:rPr>
      </w:pPr>
      <w:r>
        <w:rPr>
          <w:rFonts w:hint="cs"/>
          <w:rtl/>
        </w:rPr>
        <w:t xml:space="preserve">- وقد نقل ابن رجب عن ابن الصلاح أنه قال : </w:t>
      </w:r>
      <w:r>
        <w:rPr>
          <w:rFonts w:hint="eastAsia"/>
          <w:rtl/>
        </w:rPr>
        <w:t>«</w:t>
      </w:r>
      <w:r>
        <w:rPr>
          <w:rFonts w:hint="cs"/>
          <w:rtl/>
        </w:rPr>
        <w:t>رواه البيهقي بإسناد حسن</w:t>
      </w:r>
      <w:r>
        <w:rPr>
          <w:rFonts w:hint="eastAsia"/>
          <w:rtl/>
        </w:rPr>
        <w:t>»</w:t>
      </w:r>
      <w:r>
        <w:rPr>
          <w:rFonts w:hint="cs"/>
          <w:rtl/>
        </w:rPr>
        <w:t xml:space="preserve"> (وذلك في الموضع السابق من جامع العلوم والحكم). </w:t>
      </w:r>
    </w:p>
    <w:p w:rsidR="00035BE3" w:rsidRDefault="00035BE3" w:rsidP="00C10469">
      <w:pPr>
        <w:pStyle w:val="a6"/>
        <w:ind w:left="422" w:firstLine="0"/>
        <w:rPr>
          <w:spacing w:val="-4"/>
          <w:rtl/>
        </w:rPr>
      </w:pPr>
      <w:r>
        <w:rPr>
          <w:rFonts w:hint="cs"/>
          <w:spacing w:val="-4"/>
          <w:rtl/>
        </w:rPr>
        <w:t xml:space="preserve">- كما قال الحافظ في (فتح الباري)، 5/334: </w:t>
      </w:r>
      <w:r>
        <w:rPr>
          <w:rFonts w:hint="eastAsia"/>
          <w:spacing w:val="-4"/>
          <w:rtl/>
        </w:rPr>
        <w:t>«</w:t>
      </w:r>
      <w:r>
        <w:rPr>
          <w:rFonts w:hint="cs"/>
          <w:spacing w:val="-4"/>
          <w:rtl/>
        </w:rPr>
        <w:t>وهذه الزيادة ليست في الصحيحين، وإسنادها حسن</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 xml:space="preserve">- وقال الألباني في (إرواء الغليل)، 8/266: </w:t>
      </w:r>
      <w:r>
        <w:rPr>
          <w:rFonts w:hint="eastAsia"/>
          <w:rtl/>
        </w:rPr>
        <w:t>«</w:t>
      </w:r>
      <w:r>
        <w:rPr>
          <w:rFonts w:hint="cs"/>
          <w:rtl/>
        </w:rPr>
        <w:t>أخرجه البيهقي ... من طريق الحسن بن سهل ثنا عبد الله بن إدريس ثنا ابن جريج وعثمان بن الأسود عن أبن أبي مليكة.</w:t>
      </w:r>
    </w:p>
    <w:p w:rsidR="00035BE3" w:rsidRDefault="00035BE3" w:rsidP="00C10469">
      <w:pPr>
        <w:pStyle w:val="a6"/>
        <w:ind w:left="422" w:firstLine="0"/>
        <w:rPr>
          <w:spacing w:val="-4"/>
          <w:rtl/>
        </w:rPr>
      </w:pPr>
      <w:r>
        <w:rPr>
          <w:rFonts w:hint="cs"/>
          <w:spacing w:val="-4"/>
          <w:rtl/>
        </w:rPr>
        <w:t>قلت : وهذا إسناد صحيح، رجاله كلهم ثقات رجال الشيخين، غير الحسن بن سهل، وهو ثقة ...</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كما أن هذه الزيادة لها شواهد من حديث أبي هريرة ووائل بن حجر والأشعث بن قيس وعبد الله ابن</w:t>
      </w:r>
      <w:r>
        <w:rPr>
          <w:rFonts w:hint="eastAsia"/>
          <w:rtl/>
        </w:rPr>
        <w:t> </w:t>
      </w:r>
      <w:r>
        <w:rPr>
          <w:rFonts w:hint="cs"/>
          <w:rtl/>
        </w:rPr>
        <w:t>عمر، ومن رواية عمرو بن شعيب عن أبيه عن جدّه وغيرهم.</w:t>
      </w:r>
      <w:r>
        <w:rPr>
          <w:rFonts w:hint="cs"/>
          <w:rtl/>
        </w:rPr>
        <w:tab/>
      </w:r>
      <w:r>
        <w:rPr>
          <w:rFonts w:hint="cs"/>
          <w:rtl/>
        </w:rPr>
        <w:tab/>
        <w:t xml:space="preserve">                     </w:t>
      </w:r>
    </w:p>
    <w:p w:rsidR="00035BE3" w:rsidRDefault="00035BE3" w:rsidP="00C10469">
      <w:pPr>
        <w:pStyle w:val="a6"/>
        <w:ind w:left="422" w:firstLine="0"/>
        <w:rPr>
          <w:rtl/>
        </w:rPr>
      </w:pPr>
      <w:r>
        <w:rPr>
          <w:rFonts w:hint="cs"/>
          <w:rtl/>
        </w:rPr>
        <w:t>بل إن الترمذي قال في سننه -3/326- :</w:t>
      </w:r>
      <w:r>
        <w:rPr>
          <w:rFonts w:hint="eastAsia"/>
          <w:rtl/>
        </w:rPr>
        <w:t xml:space="preserve"> «</w:t>
      </w:r>
      <w:r>
        <w:rPr>
          <w:rFonts w:hint="cs"/>
          <w:rtl/>
        </w:rPr>
        <w:t xml:space="preserve">... والعمل على هذا عـند أهل العلم من أصحاب النبي </w:t>
      </w:r>
      <w:r>
        <w:rPr>
          <w:rFonts w:ascii="AGA Arabesque" w:hAnsi="AGA Arabesque"/>
          <w:sz w:val="36"/>
          <w:szCs w:val="36"/>
        </w:rPr>
        <w:t></w:t>
      </w:r>
      <w:r>
        <w:rPr>
          <w:rFonts w:hint="cs"/>
          <w:rtl/>
        </w:rPr>
        <w:t xml:space="preserve"> وغيرهم : أن البينة على المدّعي، واليمين على المدعى عليه</w:t>
      </w:r>
      <w:r>
        <w:rPr>
          <w:rFonts w:hint="eastAsia"/>
          <w:rtl/>
        </w:rPr>
        <w:t>»</w:t>
      </w:r>
      <w:r>
        <w:rPr>
          <w:rFonts w:hint="cs"/>
          <w:rtl/>
        </w:rPr>
        <w:t>.</w:t>
      </w:r>
    </w:p>
    <w:p w:rsidR="00035BE3" w:rsidRDefault="00035BE3" w:rsidP="00C10469">
      <w:pPr>
        <w:pStyle w:val="a6"/>
        <w:ind w:left="422" w:firstLine="0"/>
        <w:rPr>
          <w:rtl/>
        </w:rPr>
      </w:pPr>
      <w:r>
        <w:rPr>
          <w:rFonts w:hint="cs"/>
          <w:rtl/>
        </w:rPr>
        <w:t>وللتوسع انظر : نصب الراية، 4/96؛ تلخـيص الحبير، 4/167، 208؛ كشف الخفاء، 1/342؛ إرواء الغليل، 8/264-267، ح 2641.</w:t>
      </w:r>
    </w:p>
  </w:footnote>
  <w:footnote w:id="10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الضمير هنا يعود إلى مسألة: الطلاق بعد الدخول، أي لا حاجة لتصريح صاحب (الهداية) بحكم الطلاق بعد الدخول.</w:t>
      </w:r>
    </w:p>
  </w:footnote>
  <w:footnote w:id="104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16/أ من (أ).</w:t>
      </w:r>
    </w:p>
  </w:footnote>
  <w:footnote w:id="1046">
    <w:p w:rsidR="00035BE3" w:rsidRDefault="00035BE3" w:rsidP="00C10469">
      <w:pPr>
        <w:pStyle w:val="a8"/>
        <w:bidi/>
        <w:spacing w:line="50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هـذه الـقـاعـدة تـحـكـي قـولاً مـن الأقـوال فـي مـسـألـة أصـولـيـة خـلافـية، عـبَّر عـنـهـا ابن الهمام في (التـحريـر) بقوله: </w:t>
      </w:r>
      <w:r>
        <w:rPr>
          <w:rFonts w:hint="eastAsia"/>
          <w:spacing w:val="6"/>
          <w:rtl/>
        </w:rPr>
        <w:t>«</w:t>
      </w:r>
      <w:r>
        <w:rPr>
          <w:rFonts w:hint="cs"/>
          <w:spacing w:val="6"/>
          <w:rtl/>
        </w:rPr>
        <w:t>هـل الـمشتـرك عـام استغـراقـي فـي مفاهيمه؟</w:t>
      </w:r>
      <w:r>
        <w:rPr>
          <w:rFonts w:hint="eastAsia"/>
          <w:spacing w:val="6"/>
          <w:rtl/>
        </w:rPr>
        <w:t>»</w:t>
      </w:r>
      <w:r>
        <w:rPr>
          <w:rFonts w:hint="cs"/>
          <w:spacing w:val="6"/>
          <w:rtl/>
        </w:rPr>
        <w:t>.</w:t>
      </w:r>
    </w:p>
    <w:p w:rsidR="00035BE3" w:rsidRDefault="00035BE3" w:rsidP="00C10469">
      <w:pPr>
        <w:pStyle w:val="a6"/>
        <w:spacing w:line="500" w:lineRule="exact"/>
        <w:ind w:left="422" w:firstLine="0"/>
        <w:rPr>
          <w:rtl/>
          <w:lang w:eastAsia="en-GB"/>
        </w:rPr>
      </w:pPr>
      <w:r>
        <w:rPr>
          <w:rFonts w:hint="cs"/>
          <w:rtl/>
          <w:lang w:eastAsia="en-GB"/>
        </w:rPr>
        <w:t>وهذا القول الذي تحكيه قاعدة المؤلف هو اختيار صاحب (التحرير)، وقد خرّجه على مسألة مذكورة في (الهداية)- وسيأتي ذكرها بنصِّها عن</w:t>
      </w:r>
      <w:r>
        <w:rPr>
          <w:rtl/>
          <w:lang w:eastAsia="en-GB"/>
        </w:rPr>
        <w:t>د</w:t>
      </w:r>
      <w:r>
        <w:rPr>
          <w:rFonts w:hint="cs"/>
          <w:rtl/>
          <w:lang w:eastAsia="en-GB"/>
        </w:rPr>
        <w:t xml:space="preserve"> توثيق شرح المؤلف للقاعدة- وكلامٍ آخر لصاحب (المبسوط)، وتمام كلامه: </w:t>
      </w:r>
      <w:r>
        <w:rPr>
          <w:rFonts w:hint="eastAsia"/>
          <w:rtl/>
          <w:lang w:eastAsia="en-GB"/>
        </w:rPr>
        <w:t>«</w:t>
      </w:r>
      <w:r>
        <w:rPr>
          <w:rFonts w:hint="cs"/>
          <w:rtl/>
          <w:lang w:eastAsia="en-GB"/>
        </w:rPr>
        <w:t xml:space="preserve">وقيل [يصحّ] في النفي فقط حقيقة. وعليه فرَّع في وصايا (الهداية)، وفي (المبسوط) : </w:t>
      </w:r>
      <w:r>
        <w:rPr>
          <w:rFonts w:hint="eastAsia"/>
          <w:rtl/>
        </w:rPr>
        <w:t>«</w:t>
      </w:r>
      <w:r>
        <w:rPr>
          <w:rFonts w:hint="cs"/>
          <w:rtl/>
          <w:lang w:eastAsia="en-GB"/>
        </w:rPr>
        <w:t>حلف : لا أكلِّم مولاك. وله أعـلون وأسـفـلون : أيـهم كلَّم حنث</w:t>
      </w:r>
      <w:r>
        <w:rPr>
          <w:rFonts w:hint="eastAsia"/>
          <w:rtl/>
        </w:rPr>
        <w:t>»</w:t>
      </w:r>
      <w:r>
        <w:rPr>
          <w:rFonts w:hint="cs"/>
          <w:rtl/>
          <w:lang w:eastAsia="en-GB"/>
        </w:rPr>
        <w:t xml:space="preserve">؛ لأن المشترك في النفي يعم، </w:t>
      </w:r>
      <w:r>
        <w:rPr>
          <w:rFonts w:hint="cs"/>
          <w:b/>
          <w:bCs/>
          <w:rtl/>
          <w:lang w:eastAsia="en-GB"/>
        </w:rPr>
        <w:t>وهو المختار</w:t>
      </w:r>
      <w:r>
        <w:rPr>
          <w:rFonts w:hint="eastAsia"/>
          <w:rtl/>
          <w:lang w:eastAsia="en-GB"/>
        </w:rPr>
        <w:t>»</w:t>
      </w:r>
      <w:r>
        <w:rPr>
          <w:rFonts w:hint="cs"/>
          <w:rtl/>
          <w:lang w:eastAsia="en-GB"/>
        </w:rPr>
        <w:t>.</w:t>
      </w:r>
    </w:p>
    <w:p w:rsidR="00035BE3" w:rsidRDefault="00035BE3" w:rsidP="00C10469">
      <w:pPr>
        <w:pStyle w:val="a6"/>
        <w:spacing w:line="500" w:lineRule="exact"/>
        <w:ind w:left="422" w:firstLine="0"/>
        <w:rPr>
          <w:spacing w:val="6"/>
          <w:rtl/>
          <w:lang w:eastAsia="en-GB"/>
        </w:rPr>
      </w:pPr>
      <w:r>
        <w:rPr>
          <w:rFonts w:hint="cs"/>
          <w:spacing w:val="6"/>
          <w:rtl/>
          <w:lang w:eastAsia="en-GB"/>
        </w:rPr>
        <w:t>التـحريـر، 1/213-214 (مـع التـقريـر والتحبـير)، (ومع التيسير، 1/235)؛ المبسوط، 9/23.</w:t>
      </w:r>
    </w:p>
    <w:p w:rsidR="00035BE3" w:rsidRDefault="00035BE3" w:rsidP="00C10469">
      <w:pPr>
        <w:pStyle w:val="a6"/>
        <w:spacing w:line="500" w:lineRule="exact"/>
        <w:ind w:left="422" w:firstLine="0"/>
        <w:rPr>
          <w:rtl/>
          <w:lang w:eastAsia="en-GB"/>
        </w:rPr>
      </w:pPr>
      <w:r>
        <w:rPr>
          <w:rFonts w:hint="cs"/>
          <w:rtl/>
          <w:lang w:eastAsia="en-GB"/>
        </w:rPr>
        <w:t>وللتوسع في هذه المسألة انظر أيضًا : التبصرة، ص184؛ البرهان، 1/235، فقرة 246؛ المستصفى، 2/71؛ الـمحصول</w:t>
      </w:r>
      <w:r>
        <w:rPr>
          <w:rtl/>
          <w:lang w:eastAsia="en-GB"/>
        </w:rPr>
        <w:t>،</w:t>
      </w:r>
      <w:r>
        <w:rPr>
          <w:rFonts w:hint="cs"/>
          <w:rtl/>
          <w:lang w:eastAsia="en-GB"/>
        </w:rPr>
        <w:t xml:space="preserve"> 1/101؛ المنهاج وشرحيه : السراج الوهاج، 1/319؛ والإبهاج، 1/255؛ جمع الجوامع وشرح المحلى وحاشية البناني، 1/194؛ مسلم الثبوت وشرحه: فواتح الرحموت، 1/201؛ نشر البنود، 1/119؛ إرشاد الفحول، 1/106.</w:t>
      </w:r>
    </w:p>
    <w:p w:rsidR="00035BE3" w:rsidRDefault="00035BE3" w:rsidP="00C10469">
      <w:pPr>
        <w:pStyle w:val="a6"/>
        <w:spacing w:line="500" w:lineRule="exact"/>
        <w:ind w:left="422" w:firstLine="0"/>
        <w:rPr>
          <w:rtl/>
          <w:lang w:eastAsia="en-GB"/>
        </w:rPr>
      </w:pPr>
      <w:r>
        <w:rPr>
          <w:rFonts w:hint="cs"/>
          <w:rtl/>
          <w:lang w:eastAsia="en-GB"/>
        </w:rPr>
        <w:t>ولو عدت إلى القاعدة فقد وردت بمعناها في بعض كتب الفقه وقواعده، منها : الأشباه والنظائرلابن الوكيل، 2/23؛ الهداية وشرحها : العناية، 10/480.</w:t>
      </w:r>
    </w:p>
  </w:footnote>
  <w:footnote w:id="1047">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11/أ من (ب).</w:t>
      </w:r>
    </w:p>
  </w:footnote>
  <w:footnote w:id="1048">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النفي والإثبات في فيه</w:t>
      </w:r>
      <w:r>
        <w:rPr>
          <w:rFonts w:hint="eastAsia"/>
          <w:rtl/>
        </w:rPr>
        <w:t>»</w:t>
      </w:r>
      <w:r>
        <w:rPr>
          <w:rFonts w:hint="cs"/>
          <w:rtl/>
        </w:rPr>
        <w:t>.</w:t>
      </w:r>
    </w:p>
  </w:footnote>
  <w:footnote w:id="104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وشرحها : العناية، 10/482.</w:t>
      </w:r>
    </w:p>
    <w:p w:rsidR="00035BE3" w:rsidRDefault="00035BE3" w:rsidP="00C10469">
      <w:pPr>
        <w:pStyle w:val="a6"/>
        <w:ind w:left="422" w:firstLine="0"/>
        <w:rPr>
          <w:rtl/>
          <w:lang w:eastAsia="en-GB"/>
        </w:rPr>
      </w:pPr>
      <w:r>
        <w:rPr>
          <w:rFonts w:hint="cs"/>
          <w:rtl/>
          <w:lang w:eastAsia="en-GB"/>
        </w:rPr>
        <w:t xml:space="preserve">ونصّ ما جاء في (الهداية) : </w:t>
      </w:r>
      <w:r>
        <w:rPr>
          <w:rFonts w:hint="eastAsia"/>
          <w:rtl/>
          <w:lang w:eastAsia="en-GB"/>
        </w:rPr>
        <w:t>«</w:t>
      </w:r>
      <w:r>
        <w:rPr>
          <w:rFonts w:hint="cs"/>
          <w:rtl/>
          <w:lang w:eastAsia="en-GB"/>
        </w:rPr>
        <w:t xml:space="preserve">ومن أوصى </w:t>
      </w:r>
      <w:r>
        <w:rPr>
          <w:rtl/>
          <w:lang w:eastAsia="en-GB"/>
        </w:rPr>
        <w:t>ل</w:t>
      </w:r>
      <w:r>
        <w:rPr>
          <w:rFonts w:hint="cs"/>
          <w:rtl/>
          <w:lang w:eastAsia="en-GB"/>
        </w:rPr>
        <w:t>مواليه، وله موالٍ أعتقهم وموالٍ أعتقوه : فالوصية باطلة. وقال الشافعي في بعض كتبه : إن الوصية لهم جميعًا، وذكر في موضع آخر أنه يوقف حتى يصالحوا...</w:t>
      </w:r>
    </w:p>
    <w:p w:rsidR="00035BE3" w:rsidRDefault="00035BE3" w:rsidP="00C10469">
      <w:pPr>
        <w:pStyle w:val="a6"/>
        <w:ind w:left="422" w:firstLine="0"/>
        <w:rPr>
          <w:rtl/>
          <w:lang w:eastAsia="en-GB"/>
        </w:rPr>
      </w:pPr>
      <w:r>
        <w:rPr>
          <w:rFonts w:hint="cs"/>
          <w:rtl/>
          <w:lang w:eastAsia="en-GB"/>
        </w:rPr>
        <w:t xml:space="preserve">ولنا : أن الجهة مختلفة؛ لأن أحدهما يسمى : </w:t>
      </w:r>
      <w:r>
        <w:rPr>
          <w:rtl/>
          <w:lang w:eastAsia="en-GB"/>
        </w:rPr>
        <w:t>م</w:t>
      </w:r>
      <w:r>
        <w:rPr>
          <w:rFonts w:hint="cs"/>
          <w:rtl/>
          <w:lang w:eastAsia="en-GB"/>
        </w:rPr>
        <w:t>ولى النعمة، والآخر : منعم عليه، فصار مشتركاً، فلا ينتظمهما لفظ واحد في موضع الإثبات.</w:t>
      </w:r>
    </w:p>
    <w:p w:rsidR="00035BE3" w:rsidRDefault="00035BE3" w:rsidP="00C10469">
      <w:pPr>
        <w:pStyle w:val="a6"/>
        <w:ind w:left="422" w:firstLine="0"/>
        <w:rPr>
          <w:rtl/>
          <w:lang w:eastAsia="en-GB"/>
        </w:rPr>
      </w:pPr>
      <w:r>
        <w:rPr>
          <w:rFonts w:hint="cs"/>
          <w:rtl/>
          <w:lang w:eastAsia="en-GB"/>
        </w:rPr>
        <w:t>بخلاف ما إذا حـلف : لا يكلِّم مولى فلان : حيث يتناول الأعلى والأسفل؛ لأنه مقام النَّفي، ولا تنافي فيه</w:t>
      </w:r>
      <w:r>
        <w:rPr>
          <w:rFonts w:hint="eastAsia"/>
          <w:rtl/>
          <w:lang w:eastAsia="en-GB"/>
        </w:rPr>
        <w:t>»</w:t>
      </w:r>
      <w:r>
        <w:rPr>
          <w:rFonts w:hint="cs"/>
          <w:rtl/>
          <w:lang w:eastAsia="en-GB"/>
        </w:rPr>
        <w:t>.</w:t>
      </w:r>
    </w:p>
    <w:p w:rsidR="00035BE3" w:rsidRDefault="00035BE3" w:rsidP="00C10469">
      <w:pPr>
        <w:pStyle w:val="a6"/>
        <w:ind w:left="422" w:firstLine="0"/>
        <w:rPr>
          <w:rtl/>
          <w:lang w:eastAsia="en-GB"/>
        </w:rPr>
      </w:pPr>
      <w:r>
        <w:rPr>
          <w:rFonts w:hint="cs"/>
          <w:rtl/>
          <w:lang w:eastAsia="en-GB"/>
        </w:rPr>
        <w:t>علمًا بأن المؤلف سبق أن أشار إلى هذا المثال، ص354،</w:t>
      </w:r>
      <w:r>
        <w:rPr>
          <w:rtl/>
          <w:lang w:eastAsia="en-GB"/>
        </w:rPr>
        <w:t xml:space="preserve"> (ل15/أ)</w:t>
      </w:r>
      <w:r>
        <w:rPr>
          <w:rFonts w:hint="cs"/>
          <w:rtl/>
          <w:lang w:eastAsia="en-GB"/>
        </w:rPr>
        <w:t xml:space="preserve"> و</w:t>
      </w:r>
      <w:r>
        <w:rPr>
          <w:rtl/>
          <w:lang w:eastAsia="en-GB"/>
        </w:rPr>
        <w:t>عز</w:t>
      </w:r>
      <w:r>
        <w:rPr>
          <w:rFonts w:hint="cs"/>
          <w:rtl/>
          <w:lang w:eastAsia="en-GB"/>
        </w:rPr>
        <w:t>اه هناك إلى (العناية).</w:t>
      </w:r>
    </w:p>
  </w:footnote>
  <w:footnote w:id="105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اللفظ لا يصدق عليه حدّ القواعد، التي هي : </w:t>
      </w:r>
      <w:r>
        <w:rPr>
          <w:rFonts w:hint="eastAsia"/>
          <w:rtl/>
        </w:rPr>
        <w:t>«</w:t>
      </w:r>
      <w:r>
        <w:rPr>
          <w:rFonts w:hint="cs"/>
          <w:rtl/>
        </w:rPr>
        <w:t>القضايا الكلية</w:t>
      </w:r>
      <w:r>
        <w:rPr>
          <w:rFonts w:hint="eastAsia"/>
          <w:rtl/>
        </w:rPr>
        <w:t>»</w:t>
      </w:r>
      <w:r>
        <w:rPr>
          <w:rFonts w:hint="cs"/>
          <w:rtl/>
        </w:rPr>
        <w:t>- وهو تعريف صدر الشريعة في (التوضيح)،  1/20، واختيار شيخنا د. يعقوب الباحسين في (القواعد الفقهية)، ص37-.</w:t>
      </w:r>
    </w:p>
    <w:p w:rsidR="00035BE3" w:rsidRDefault="00035BE3" w:rsidP="00C10469">
      <w:pPr>
        <w:pStyle w:val="a6"/>
        <w:spacing w:line="420" w:lineRule="exact"/>
        <w:ind w:left="422" w:firstLine="0"/>
        <w:rPr>
          <w:spacing w:val="-4"/>
          <w:rtl/>
          <w:lang w:eastAsia="en-GB"/>
        </w:rPr>
      </w:pPr>
      <w:r w:rsidRPr="002B3684">
        <w:rPr>
          <w:rFonts w:hint="cs"/>
          <w:spacing w:val="-6"/>
          <w:rtl/>
          <w:lang w:eastAsia="en-GB"/>
        </w:rPr>
        <w:t>فهو أشبه ما يكون بالعنوان. ولو نظرت إلى مضمونه لوجدته بيانًا لأقسام الأعيان من حيث الضمان</w:t>
      </w:r>
      <w:r>
        <w:rPr>
          <w:rFonts w:hint="cs"/>
          <w:spacing w:val="-4"/>
          <w:rtl/>
          <w:lang w:eastAsia="en-GB"/>
        </w:rPr>
        <w:t xml:space="preserve"> وعدمه. وقد اختار المؤلف أحدَ هذه الأقسام وهو : </w:t>
      </w:r>
      <w:r>
        <w:rPr>
          <w:rFonts w:hint="eastAsia"/>
          <w:spacing w:val="-4"/>
          <w:rtl/>
          <w:lang w:eastAsia="en-GB"/>
        </w:rPr>
        <w:t>«</w:t>
      </w:r>
      <w:r>
        <w:rPr>
          <w:rFonts w:hint="cs"/>
          <w:spacing w:val="-4"/>
          <w:rtl/>
          <w:lang w:eastAsia="en-GB"/>
        </w:rPr>
        <w:t>الأعيان المضمونة بنفسها</w:t>
      </w:r>
      <w:r>
        <w:rPr>
          <w:rFonts w:hint="eastAsia"/>
          <w:spacing w:val="-4"/>
          <w:rtl/>
          <w:lang w:eastAsia="en-GB"/>
        </w:rPr>
        <w:t>»</w:t>
      </w:r>
      <w:r>
        <w:rPr>
          <w:rFonts w:hint="cs"/>
          <w:spacing w:val="-4"/>
          <w:rtl/>
          <w:lang w:eastAsia="en-GB"/>
        </w:rPr>
        <w:t>، وجعله كالعنوان لما تحته.</w:t>
      </w:r>
    </w:p>
    <w:p w:rsidR="00035BE3" w:rsidRDefault="00035BE3" w:rsidP="00C10469">
      <w:pPr>
        <w:pStyle w:val="a6"/>
        <w:spacing w:line="420" w:lineRule="exact"/>
        <w:ind w:left="422" w:firstLine="0"/>
        <w:rPr>
          <w:rtl/>
          <w:lang w:eastAsia="en-GB"/>
        </w:rPr>
      </w:pPr>
      <w:r>
        <w:rPr>
          <w:rFonts w:hint="cs"/>
          <w:rtl/>
          <w:lang w:eastAsia="en-GB"/>
        </w:rPr>
        <w:t>وإطلاق لفظ القاعدة على ما فيه تقس</w:t>
      </w:r>
      <w:r>
        <w:rPr>
          <w:rtl/>
          <w:lang w:eastAsia="en-GB"/>
        </w:rPr>
        <w:t>ي</w:t>
      </w:r>
      <w:r>
        <w:rPr>
          <w:rFonts w:hint="cs"/>
          <w:rtl/>
          <w:lang w:eastAsia="en-GB"/>
        </w:rPr>
        <w:t>مٌ ليس من منهج المؤلف في صياغة قواعده؛ بل منهجه هو صياغتها على أنها قضايا كلية، تحتمل الصدق والكذب لذاتها؛ إذْ فيها نسبة أمر لأمر أو نفيه عنه، وهذه القضايا منطبقة على جميع جزئياتها</w:t>
      </w:r>
      <w:r>
        <w:rPr>
          <w:rtl/>
          <w:lang w:eastAsia="en-GB"/>
        </w:rPr>
        <w:t xml:space="preserve">. وقد سلك هذا المنهج في جميع كتابه </w:t>
      </w:r>
      <w:r>
        <w:rPr>
          <w:rFonts w:hint="cs"/>
          <w:rtl/>
          <w:lang w:eastAsia="en-GB"/>
        </w:rPr>
        <w:t>إلا هذا الموضع، حيث ذكر هنا لفظًا لا يصدق عليه حدُّ القاعدة المذكور.</w:t>
      </w:r>
    </w:p>
    <w:p w:rsidR="00035BE3" w:rsidRDefault="00035BE3" w:rsidP="00C10469">
      <w:pPr>
        <w:pStyle w:val="a6"/>
        <w:spacing w:line="420" w:lineRule="exact"/>
        <w:ind w:left="422" w:firstLine="0"/>
        <w:rPr>
          <w:rtl/>
          <w:lang w:eastAsia="en-GB"/>
        </w:rPr>
      </w:pPr>
      <w:r>
        <w:rPr>
          <w:rFonts w:hint="cs"/>
          <w:rtl/>
          <w:lang w:eastAsia="en-GB"/>
        </w:rPr>
        <w:t>وب</w:t>
      </w:r>
      <w:r>
        <w:rPr>
          <w:rtl/>
          <w:lang w:eastAsia="en-GB"/>
        </w:rPr>
        <w:t>غ</w:t>
      </w:r>
      <w:r>
        <w:rPr>
          <w:rFonts w:hint="cs"/>
          <w:rtl/>
          <w:lang w:eastAsia="en-GB"/>
        </w:rPr>
        <w:t>ضِّ النظر عن كون هذا اللفظ تصلح تسميته : قاعدة أم لا ، فإن جلَّ ما جاء في شرحه مذكور في الدّرر شرح الغرر، 2/252.</w:t>
      </w:r>
    </w:p>
    <w:p w:rsidR="00035BE3" w:rsidRDefault="00035BE3" w:rsidP="00C10469">
      <w:pPr>
        <w:pStyle w:val="a6"/>
        <w:spacing w:line="420" w:lineRule="exact"/>
        <w:ind w:left="422" w:firstLine="0"/>
        <w:rPr>
          <w:rtl/>
          <w:lang w:eastAsia="en-GB"/>
        </w:rPr>
      </w:pPr>
      <w:r>
        <w:rPr>
          <w:rFonts w:hint="cs"/>
          <w:rtl/>
          <w:lang w:eastAsia="en-GB"/>
        </w:rPr>
        <w:t>وانظر : الهداية والعناية، 7/198</w:t>
      </w:r>
      <w:r>
        <w:rPr>
          <w:rtl/>
          <w:lang w:eastAsia="en-GB"/>
        </w:rPr>
        <w:t>؛</w:t>
      </w:r>
      <w:r>
        <w:rPr>
          <w:rFonts w:hint="cs"/>
          <w:rtl/>
          <w:lang w:eastAsia="en-GB"/>
        </w:rPr>
        <w:t xml:space="preserve"> تبيـين الحقائق، 6/70</w:t>
      </w:r>
      <w:r>
        <w:rPr>
          <w:rtl/>
          <w:lang w:eastAsia="en-GB"/>
        </w:rPr>
        <w:t xml:space="preserve"> </w:t>
      </w:r>
      <w:r>
        <w:rPr>
          <w:lang w:eastAsia="en-GB"/>
        </w:rPr>
        <w:t>–</w:t>
      </w:r>
      <w:r>
        <w:rPr>
          <w:rtl/>
          <w:lang w:eastAsia="en-GB"/>
        </w:rPr>
        <w:t xml:space="preserve"> </w:t>
      </w:r>
      <w:r>
        <w:rPr>
          <w:rFonts w:hint="cs"/>
          <w:rtl/>
          <w:lang w:eastAsia="en-GB"/>
        </w:rPr>
        <w:t>71؛ البـحر الرائق، 6/250؛ وتكملته، 8/277-278.</w:t>
      </w:r>
    </w:p>
    <w:p w:rsidR="00035BE3" w:rsidRDefault="00035BE3" w:rsidP="00C10469">
      <w:pPr>
        <w:pStyle w:val="a6"/>
        <w:spacing w:line="420" w:lineRule="exact"/>
        <w:ind w:left="422" w:firstLine="0"/>
        <w:rPr>
          <w:rtl/>
          <w:lang w:eastAsia="en-GB"/>
        </w:rPr>
      </w:pPr>
      <w:r>
        <w:rPr>
          <w:rFonts w:hint="cs"/>
          <w:rtl/>
          <w:lang w:eastAsia="en-GB"/>
        </w:rPr>
        <w:t xml:space="preserve">وموضوع هذه القاعدة، </w:t>
      </w:r>
      <w:r>
        <w:rPr>
          <w:rtl/>
          <w:lang w:eastAsia="en-GB"/>
        </w:rPr>
        <w:t>و</w:t>
      </w:r>
      <w:r>
        <w:rPr>
          <w:rFonts w:hint="cs"/>
          <w:rtl/>
          <w:lang w:eastAsia="en-GB"/>
        </w:rPr>
        <w:t xml:space="preserve">هو الأعيان وأقسامها من حيث الضمان وعدمه مطروق بطريق مباشر أو غير مباشر في بعض </w:t>
      </w:r>
      <w:r>
        <w:rPr>
          <w:rFonts w:hint="cs"/>
          <w:b/>
          <w:bCs/>
          <w:rtl/>
          <w:lang w:eastAsia="en-GB"/>
        </w:rPr>
        <w:t>كتب القواعد</w:t>
      </w:r>
      <w:r>
        <w:rPr>
          <w:rFonts w:hint="cs"/>
          <w:rtl/>
          <w:lang w:eastAsia="en-GB"/>
        </w:rPr>
        <w:t>، منها :</w:t>
      </w:r>
    </w:p>
    <w:p w:rsidR="00035BE3" w:rsidRDefault="00035BE3" w:rsidP="00C10469">
      <w:pPr>
        <w:pStyle w:val="a6"/>
        <w:spacing w:line="420" w:lineRule="exact"/>
        <w:ind w:left="422" w:firstLine="0"/>
        <w:rPr>
          <w:rtl/>
          <w:lang w:eastAsia="en-GB"/>
        </w:rPr>
      </w:pPr>
      <w:r>
        <w:rPr>
          <w:rFonts w:hint="cs"/>
          <w:rtl/>
          <w:lang w:eastAsia="en-GB"/>
        </w:rPr>
        <w:t>الأشباه والنظائر لابن الوكيل، 1/389؛ ترتيب الفروق واختصارها، 2/188؛ المنثور في القواعـد، 2/322، 3/327؛ تقرير القواعد لابن رجب، 1/294، قاعدة 43</w:t>
      </w:r>
      <w:r>
        <w:rPr>
          <w:rtl/>
          <w:lang w:eastAsia="en-GB"/>
        </w:rPr>
        <w:t>،</w:t>
      </w:r>
      <w:r>
        <w:rPr>
          <w:rFonts w:hint="cs"/>
          <w:rtl/>
          <w:lang w:eastAsia="en-GB"/>
        </w:rPr>
        <w:t xml:space="preserve"> و 3/49، قاعدة 138</w:t>
      </w:r>
      <w:r>
        <w:rPr>
          <w:rtl/>
          <w:lang w:eastAsia="en-GB"/>
        </w:rPr>
        <w:t>؛</w:t>
      </w:r>
      <w:r>
        <w:rPr>
          <w:rFonts w:hint="cs"/>
          <w:rtl/>
          <w:lang w:eastAsia="en-GB"/>
        </w:rPr>
        <w:t xml:space="preserve"> القواعد للحصني، 3/420؛ الأشباه والنظائر للسيوطي، 2/644؛ شرح المنهج للمنجور، ص534؛ الدليل الماهر، ص222؛ مجلة الأحكام الشرعية للقاري، ص83، مادة 43، وص101، مادة 138.</w:t>
      </w:r>
    </w:p>
  </w:footnote>
  <w:footnote w:id="105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للأعيان</w:t>
      </w:r>
      <w:r>
        <w:rPr>
          <w:rFonts w:hint="eastAsia"/>
          <w:rtl/>
        </w:rPr>
        <w:t>»</w:t>
      </w:r>
      <w:r>
        <w:rPr>
          <w:rFonts w:hint="cs"/>
          <w:rtl/>
        </w:rPr>
        <w:t>.</w:t>
      </w:r>
    </w:p>
  </w:footnote>
  <w:footnote w:id="1052">
    <w:p w:rsidR="00035BE3" w:rsidRDefault="00035BE3" w:rsidP="00C10469">
      <w:pPr>
        <w:pStyle w:val="a8"/>
        <w:bidi/>
        <w:spacing w:line="420" w:lineRule="exact"/>
        <w:ind w:left="422" w:right="0"/>
        <w:rPr>
          <w:rtl/>
          <w:lang w:eastAsia="en-GB"/>
        </w:rPr>
      </w:pPr>
      <w:r>
        <w:rPr>
          <w:rFonts w:hint="cs"/>
          <w:vertAlign w:val="superscript"/>
          <w:rtl/>
        </w:rPr>
        <w:t>(</w:t>
      </w:r>
      <w:r>
        <w:rPr>
          <w:rStyle w:val="a7"/>
        </w:rPr>
        <w:footnoteRef/>
      </w:r>
      <w:r>
        <w:rPr>
          <w:rFonts w:hint="cs"/>
          <w:vertAlign w:val="superscript"/>
          <w:rtl/>
        </w:rPr>
        <w:t>)</w:t>
      </w:r>
      <w:r>
        <w:rPr>
          <w:rFonts w:hint="cs"/>
          <w:rtl/>
        </w:rPr>
        <w:t xml:space="preserve">   نهاية 11/أ من (د).</w:t>
      </w:r>
      <w:r>
        <w:rPr>
          <w:rFonts w:hint="cs"/>
          <w:rtl/>
          <w:lang w:eastAsia="en-GB"/>
        </w:rPr>
        <w:t xml:space="preserve"> </w:t>
      </w:r>
    </w:p>
  </w:footnote>
  <w:footnote w:id="105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المعنى الاصطلاحي للضمان مذكور بنصه في الدّرر شرح الغرر، 2/252</w:t>
      </w:r>
      <w:r>
        <w:rPr>
          <w:rtl/>
        </w:rPr>
        <w:t>،</w:t>
      </w:r>
      <w:r>
        <w:rPr>
          <w:rFonts w:hint="cs"/>
          <w:rtl/>
        </w:rPr>
        <w:t xml:space="preserve"> وهو اصطلاح خاصّ بالحنفية. وقد سبقت الإشارة إلى هذا عند تعريف الكفالة</w:t>
      </w:r>
      <w:r>
        <w:rPr>
          <w:rtl/>
        </w:rPr>
        <w:t>،</w:t>
      </w:r>
      <w:r>
        <w:rPr>
          <w:rFonts w:hint="cs"/>
          <w:rtl/>
        </w:rPr>
        <w:t xml:space="preserve"> ص358، هامش 1.</w:t>
      </w:r>
    </w:p>
  </w:footnote>
  <w:footnote w:id="1054">
    <w:p w:rsidR="00035BE3" w:rsidRDefault="00035BE3" w:rsidP="00C10469">
      <w:pPr>
        <w:pStyle w:val="a8"/>
        <w:bidi/>
        <w:spacing w:line="44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و(د): </w:t>
      </w:r>
      <w:r>
        <w:rPr>
          <w:rFonts w:hint="eastAsia"/>
          <w:spacing w:val="-6"/>
          <w:rtl/>
        </w:rPr>
        <w:t>«</w:t>
      </w:r>
      <w:r>
        <w:rPr>
          <w:rFonts w:hint="cs"/>
          <w:spacing w:val="-6"/>
          <w:rtl/>
        </w:rPr>
        <w:t>هلك</w:t>
      </w:r>
      <w:r>
        <w:rPr>
          <w:rFonts w:hint="eastAsia"/>
          <w:spacing w:val="-6"/>
          <w:rtl/>
        </w:rPr>
        <w:t>»</w:t>
      </w:r>
      <w:r>
        <w:rPr>
          <w:rFonts w:hint="cs"/>
          <w:spacing w:val="-6"/>
          <w:rtl/>
        </w:rPr>
        <w:t>. والصحيح ما تمّ إثباته من (ب)، وهو الموافق لمصدر هذه العبارة (وهو الدُّرر).</w:t>
      </w:r>
    </w:p>
  </w:footnote>
  <w:footnote w:id="1055">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و(جـ) و(د) : </w:t>
      </w:r>
      <w:r>
        <w:rPr>
          <w:rFonts w:hint="eastAsia"/>
          <w:spacing w:val="-4"/>
          <w:rtl/>
        </w:rPr>
        <w:t>«</w:t>
      </w:r>
      <w:r>
        <w:rPr>
          <w:rFonts w:hint="cs"/>
          <w:spacing w:val="-4"/>
          <w:rtl/>
        </w:rPr>
        <w:t>يبقى</w:t>
      </w:r>
      <w:r>
        <w:rPr>
          <w:rFonts w:hint="eastAsia"/>
          <w:spacing w:val="-4"/>
          <w:rtl/>
        </w:rPr>
        <w:t>»</w:t>
      </w:r>
      <w:r>
        <w:rPr>
          <w:rFonts w:hint="cs"/>
          <w:spacing w:val="-4"/>
          <w:rtl/>
        </w:rPr>
        <w:t>. والصحيح ما تمّ اثباته من (ب)، وهو الموافق للدرر.</w:t>
      </w:r>
    </w:p>
  </w:footnote>
  <w:footnote w:id="1056">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يكون</w:t>
      </w:r>
      <w:r>
        <w:rPr>
          <w:rFonts w:hint="eastAsia"/>
          <w:rtl/>
        </w:rPr>
        <w:t>»</w:t>
      </w:r>
      <w:r>
        <w:rPr>
          <w:rFonts w:hint="cs"/>
          <w:rtl/>
        </w:rPr>
        <w:t>. والصحيح ما تمّ إثباته من (ب)، وهو الموافق للدّرر.</w:t>
      </w:r>
    </w:p>
  </w:footnote>
  <w:footnote w:id="1057">
    <w:p w:rsidR="00035BE3" w:rsidRPr="00417673" w:rsidRDefault="00035BE3" w:rsidP="00C10469">
      <w:pPr>
        <w:pStyle w:val="a8"/>
        <w:bidi/>
        <w:spacing w:line="228" w:lineRule="auto"/>
        <w:ind w:left="420" w:right="0"/>
        <w:rPr>
          <w:rtl/>
        </w:rPr>
      </w:pPr>
      <w:r>
        <w:rPr>
          <w:rFonts w:hint="cs"/>
          <w:spacing w:val="-9"/>
          <w:vertAlign w:val="superscript"/>
          <w:rtl/>
        </w:rPr>
        <w:t>(</w:t>
      </w:r>
      <w:r>
        <w:rPr>
          <w:rStyle w:val="a7"/>
          <w:spacing w:val="-9"/>
        </w:rPr>
        <w:footnoteRef/>
      </w:r>
      <w:r>
        <w:rPr>
          <w:rFonts w:hint="cs"/>
          <w:spacing w:val="-9"/>
          <w:vertAlign w:val="superscript"/>
          <w:rtl/>
        </w:rPr>
        <w:t>)</w:t>
      </w:r>
      <w:r>
        <w:rPr>
          <w:rFonts w:hint="cs"/>
          <w:spacing w:val="-9"/>
          <w:rtl/>
        </w:rPr>
        <w:t xml:space="preserve">   </w:t>
      </w:r>
      <w:r w:rsidRPr="00417673">
        <w:rPr>
          <w:rFonts w:hint="cs"/>
          <w:rtl/>
        </w:rPr>
        <w:t xml:space="preserve">قوله: </w:t>
      </w:r>
      <w:r w:rsidRPr="00417673">
        <w:rPr>
          <w:rFonts w:hint="eastAsia"/>
          <w:rtl/>
        </w:rPr>
        <w:t>«</w:t>
      </w:r>
      <w:r w:rsidRPr="00417673">
        <w:rPr>
          <w:rFonts w:hint="cs"/>
          <w:rtl/>
        </w:rPr>
        <w:t>والمقبوض على سوم الشراء والمبيع بيعًا فاسدًا</w:t>
      </w:r>
      <w:r w:rsidRPr="00417673">
        <w:rPr>
          <w:rFonts w:hint="eastAsia"/>
          <w:rtl/>
        </w:rPr>
        <w:t>»</w:t>
      </w:r>
      <w:r w:rsidRPr="00417673">
        <w:rPr>
          <w:rFonts w:hint="cs"/>
          <w:rtl/>
        </w:rPr>
        <w:t>:ليس في مصدر هذه العبارة (وهو الدّرر)؛ إلا أنه ورد التمثيل بهما للأعيان المضمونة بنفسها في مصادر أخرى، كتبيين الحقائق، 6/71؛ والعناية، 7/198. وسوف يفرد المؤلف قاعدة مستقلة للحديث عن المقبوض على سوم الشراء؛ وذلك ص1070 (ل100/أ)، قاعدة 233.</w:t>
      </w:r>
    </w:p>
  </w:footnote>
  <w:footnote w:id="1058">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12/ب من (جـ).</w:t>
      </w:r>
    </w:p>
  </w:footnote>
  <w:footnote w:id="1059">
    <w:p w:rsidR="00035BE3" w:rsidRDefault="00035BE3" w:rsidP="00C10469">
      <w:pPr>
        <w:pStyle w:val="a8"/>
        <w:bidi/>
        <w:spacing w:line="228" w:lineRule="auto"/>
        <w:ind w:left="420"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مصدر هذه العبارة (وهو الدّرر) مزيد توضيح للأعيان المضمونة، ونصه: </w:t>
      </w:r>
      <w:r>
        <w:rPr>
          <w:rFonts w:hint="eastAsia"/>
          <w:spacing w:val="-4"/>
          <w:rtl/>
        </w:rPr>
        <w:t>«</w:t>
      </w:r>
      <w:r>
        <w:rPr>
          <w:rFonts w:hint="cs"/>
          <w:spacing w:val="-4"/>
          <w:rtl/>
        </w:rPr>
        <w:t xml:space="preserve">ويريدون: الأعيان المضمونة </w:t>
      </w:r>
      <w:r w:rsidRPr="00417673">
        <w:rPr>
          <w:rFonts w:hint="cs"/>
          <w:spacing w:val="-6"/>
          <w:rtl/>
        </w:rPr>
        <w:t>في حدّ ذاتها، ووج</w:t>
      </w:r>
      <w:r w:rsidRPr="00417673">
        <w:rPr>
          <w:spacing w:val="-6"/>
          <w:rtl/>
        </w:rPr>
        <w:t>ه</w:t>
      </w:r>
      <w:r w:rsidRPr="00417673">
        <w:rPr>
          <w:rFonts w:hint="cs"/>
          <w:spacing w:val="-6"/>
          <w:rtl/>
        </w:rPr>
        <w:t>ه : أن الضمان كما عرفت عبارة عن ردّ مثل الهالك أو قيمته، فالشيء إذا كان مثليًّا أو</w:t>
      </w:r>
      <w:r>
        <w:rPr>
          <w:rFonts w:hint="cs"/>
          <w:spacing w:val="-4"/>
          <w:rtl/>
        </w:rPr>
        <w:t xml:space="preserve"> </w:t>
      </w:r>
      <w:r w:rsidRPr="00417673">
        <w:rPr>
          <w:rFonts w:hint="cs"/>
          <w:spacing w:val="-6"/>
          <w:rtl/>
        </w:rPr>
        <w:t>قيميًّا يكون بحيث لو هلك تعيّن المثل أو القيمة، فتكون مضمونة ف</w:t>
      </w:r>
      <w:r w:rsidRPr="00417673">
        <w:rPr>
          <w:spacing w:val="-6"/>
          <w:rtl/>
        </w:rPr>
        <w:t>ي</w:t>
      </w:r>
      <w:r w:rsidRPr="00417673">
        <w:rPr>
          <w:rFonts w:hint="cs"/>
          <w:spacing w:val="-6"/>
          <w:rtl/>
        </w:rPr>
        <w:t xml:space="preserve"> حدّ ذاتها مع قطع النظر عن العوارض</w:t>
      </w:r>
      <w:r w:rsidRPr="00417673">
        <w:rPr>
          <w:rFonts w:hint="eastAsia"/>
          <w:spacing w:val="-6"/>
          <w:rtl/>
        </w:rPr>
        <w:t>»</w:t>
      </w:r>
      <w:r w:rsidRPr="00417673">
        <w:rPr>
          <w:rFonts w:hint="cs"/>
          <w:spacing w:val="-6"/>
          <w:rtl/>
        </w:rPr>
        <w:t>.</w:t>
      </w:r>
    </w:p>
  </w:footnote>
  <w:footnote w:id="1060">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يشبه</w:t>
      </w:r>
      <w:r>
        <w:rPr>
          <w:rFonts w:hint="eastAsia"/>
          <w:rtl/>
        </w:rPr>
        <w:t>»</w:t>
      </w:r>
      <w:r>
        <w:rPr>
          <w:rFonts w:hint="cs"/>
          <w:rtl/>
        </w:rPr>
        <w:t xml:space="preserve">، وفي (جـ) : </w:t>
      </w:r>
      <w:r>
        <w:rPr>
          <w:rFonts w:hint="eastAsia"/>
          <w:rtl/>
        </w:rPr>
        <w:t>«</w:t>
      </w:r>
      <w:r>
        <w:rPr>
          <w:rFonts w:hint="cs"/>
          <w:rtl/>
        </w:rPr>
        <w:t>شبه</w:t>
      </w:r>
      <w:r>
        <w:rPr>
          <w:rFonts w:hint="eastAsia"/>
          <w:rtl/>
        </w:rPr>
        <w:t>»</w:t>
      </w:r>
      <w:r>
        <w:rPr>
          <w:rFonts w:hint="cs"/>
          <w:rtl/>
        </w:rPr>
        <w:t>. والصحيح ما تمّ إثباته من (ب) و(د)، وهو الموافق للدُّر.</w:t>
      </w:r>
    </w:p>
  </w:footnote>
  <w:footnote w:id="1061">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مثله</w:t>
      </w:r>
      <w:r>
        <w:rPr>
          <w:rFonts w:hint="eastAsia"/>
          <w:rtl/>
        </w:rPr>
        <w:t>»</w:t>
      </w:r>
      <w:r>
        <w:rPr>
          <w:rFonts w:hint="cs"/>
          <w:rtl/>
        </w:rPr>
        <w:t>.</w:t>
      </w:r>
    </w:p>
  </w:footnote>
  <w:footnote w:id="1062">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المشاكلة في اللغة</w:t>
      </w:r>
      <w:r>
        <w:rPr>
          <w:rFonts w:hint="cs"/>
          <w:rtl/>
        </w:rPr>
        <w:t xml:space="preserve"> : الموافقة والمماثلة - انظر مادة </w:t>
      </w:r>
      <w:r>
        <w:rPr>
          <w:rFonts w:hint="eastAsia"/>
          <w:rtl/>
        </w:rPr>
        <w:t>«</w:t>
      </w:r>
      <w:r>
        <w:rPr>
          <w:rFonts w:hint="cs"/>
          <w:rtl/>
        </w:rPr>
        <w:t>شكل</w:t>
      </w:r>
      <w:r>
        <w:rPr>
          <w:rFonts w:hint="eastAsia"/>
          <w:rtl/>
        </w:rPr>
        <w:t>»</w:t>
      </w:r>
      <w:r>
        <w:rPr>
          <w:rFonts w:hint="cs"/>
          <w:rtl/>
        </w:rPr>
        <w:t xml:space="preserve"> في : لسان العرب</w:t>
      </w:r>
      <w:r>
        <w:rPr>
          <w:rtl/>
        </w:rPr>
        <w:t>،</w:t>
      </w:r>
      <w:r>
        <w:rPr>
          <w:rFonts w:hint="cs"/>
          <w:rtl/>
        </w:rPr>
        <w:t xml:space="preserve"> 11/351؛ المعجم الوسيط</w:t>
      </w:r>
      <w:r>
        <w:rPr>
          <w:rtl/>
        </w:rPr>
        <w:t>،</w:t>
      </w:r>
      <w:r>
        <w:rPr>
          <w:rFonts w:hint="cs"/>
          <w:rtl/>
        </w:rPr>
        <w:t xml:space="preserve"> 1/</w:t>
      </w:r>
      <w:r>
        <w:rPr>
          <w:rtl/>
        </w:rPr>
        <w:t>4</w:t>
      </w:r>
      <w:r>
        <w:rPr>
          <w:rFonts w:hint="cs"/>
          <w:rtl/>
        </w:rPr>
        <w:t>91</w:t>
      </w:r>
      <w:r>
        <w:rPr>
          <w:rtl/>
        </w:rPr>
        <w:t>.</w:t>
      </w:r>
    </w:p>
    <w:p w:rsidR="00035BE3" w:rsidRDefault="00035BE3" w:rsidP="00C10469">
      <w:pPr>
        <w:pStyle w:val="a6"/>
        <w:spacing w:line="228" w:lineRule="auto"/>
        <w:ind w:left="420" w:firstLine="0"/>
        <w:rPr>
          <w:rtl/>
          <w:lang w:eastAsia="en-GB"/>
        </w:rPr>
      </w:pPr>
      <w:r>
        <w:rPr>
          <w:rFonts w:hint="cs"/>
          <w:b/>
          <w:bCs/>
          <w:rtl/>
          <w:lang w:eastAsia="en-GB"/>
        </w:rPr>
        <w:t xml:space="preserve">وفي اصطلاح البلاغيين هي </w:t>
      </w:r>
      <w:r>
        <w:rPr>
          <w:rFonts w:hint="cs"/>
          <w:rtl/>
          <w:lang w:eastAsia="en-GB"/>
        </w:rPr>
        <w:t xml:space="preserve"> : </w:t>
      </w:r>
      <w:r>
        <w:rPr>
          <w:rFonts w:hint="eastAsia"/>
          <w:rtl/>
          <w:lang w:eastAsia="en-GB"/>
        </w:rPr>
        <w:t>«</w:t>
      </w:r>
      <w:r>
        <w:rPr>
          <w:rFonts w:hint="cs"/>
          <w:rtl/>
          <w:lang w:eastAsia="en-GB"/>
        </w:rPr>
        <w:t>ذكر الشيء بلفظ غيره لوقوعه في صحبته، تحقيقًا أو تقديرًا</w:t>
      </w:r>
      <w:r>
        <w:rPr>
          <w:rFonts w:hint="eastAsia"/>
          <w:rtl/>
          <w:lang w:eastAsia="en-GB"/>
        </w:rPr>
        <w:t>»</w:t>
      </w:r>
      <w:r>
        <w:rPr>
          <w:rFonts w:hint="cs"/>
          <w:rtl/>
          <w:lang w:eastAsia="en-GB"/>
        </w:rPr>
        <w:t>.</w:t>
      </w:r>
    </w:p>
    <w:p w:rsidR="00035BE3" w:rsidRDefault="00035BE3" w:rsidP="00C10469">
      <w:pPr>
        <w:pStyle w:val="a6"/>
        <w:spacing w:line="228" w:lineRule="auto"/>
        <w:ind w:left="420" w:firstLine="0"/>
        <w:rPr>
          <w:rtl/>
          <w:lang w:eastAsia="en-GB"/>
        </w:rPr>
      </w:pPr>
      <w:r>
        <w:rPr>
          <w:rFonts w:hint="cs"/>
          <w:rtl/>
          <w:lang w:eastAsia="en-GB"/>
        </w:rPr>
        <w:t xml:space="preserve">وهذا تعريف القزويني، وقد شرح ذلك السّعد بقوله : </w:t>
      </w:r>
      <w:r>
        <w:rPr>
          <w:rFonts w:hint="eastAsia"/>
          <w:rtl/>
          <w:lang w:eastAsia="en-GB"/>
        </w:rPr>
        <w:t>«</w:t>
      </w:r>
      <w:r>
        <w:rPr>
          <w:rFonts w:hint="cs"/>
          <w:rtl/>
          <w:lang w:eastAsia="en-GB"/>
        </w:rPr>
        <w:t>..(المشاكلة، وهي : ذكر الشيء بلفظ غيره لوقوعه) أي : ذلك الشيء (في صحبته) أي ذلك الغير (تحقيقًا أو تقديرًا) أي وقوعًا محقَّقا أو مقدرًا</w:t>
      </w:r>
      <w:r>
        <w:rPr>
          <w:rFonts w:hint="eastAsia"/>
          <w:rtl/>
          <w:lang w:eastAsia="en-GB"/>
        </w:rPr>
        <w:t>»</w:t>
      </w:r>
      <w:r>
        <w:rPr>
          <w:rFonts w:hint="cs"/>
          <w:rtl/>
          <w:lang w:eastAsia="en-GB"/>
        </w:rPr>
        <w:t>.</w:t>
      </w:r>
    </w:p>
    <w:p w:rsidR="00035BE3" w:rsidRDefault="00035BE3" w:rsidP="00C10469">
      <w:pPr>
        <w:pStyle w:val="a6"/>
        <w:spacing w:line="228" w:lineRule="auto"/>
        <w:ind w:left="420" w:firstLine="0"/>
        <w:rPr>
          <w:rtl/>
          <w:lang w:eastAsia="en-GB"/>
        </w:rPr>
      </w:pPr>
      <w:r>
        <w:rPr>
          <w:rFonts w:hint="cs"/>
          <w:rtl/>
          <w:lang w:eastAsia="en-GB"/>
        </w:rPr>
        <w:t>تلخيص المفتاح للقزويني وشرحه للسعد التفتازاني، 4/309-310؛ وانظر : مواهب الفتّاح في شرح تلخيص المفتاح لابن يعقوب المغربي، وعروس الأفراح في شرح تلخيص المفتاح لبهاء الدين السـبكي، 4/309-310؛ معجم المصطلحات البلاغية وتطورها للدكتور أحمد مطلوب، ص621.</w:t>
      </w:r>
    </w:p>
  </w:footnote>
  <w:footnote w:id="10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2/252 ـ مع اختلاف سبقت الإشارة إلى أكثره</w:t>
      </w:r>
      <w:r>
        <w:rPr>
          <w:rtl/>
        </w:rPr>
        <w:t>-</w:t>
      </w:r>
      <w:r>
        <w:rPr>
          <w:rFonts w:hint="cs"/>
          <w:rtl/>
        </w:rPr>
        <w:t>.</w:t>
      </w:r>
    </w:p>
  </w:footnote>
  <w:footnote w:id="106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w:t>
      </w:r>
      <w:r>
        <w:rPr>
          <w:rtl/>
        </w:rPr>
        <w:t>ساقطة من</w:t>
      </w:r>
      <w:r>
        <w:rPr>
          <w:rFonts w:hint="cs"/>
          <w:rtl/>
        </w:rPr>
        <w:t xml:space="preserve"> (جـ).</w:t>
      </w:r>
    </w:p>
  </w:footnote>
  <w:footnote w:id="106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في الدّرر شرح الغرر، 2/91، إلا أنه قال </w:t>
      </w:r>
      <w:r>
        <w:rPr>
          <w:rFonts w:hint="eastAsia"/>
          <w:rtl/>
        </w:rPr>
        <w:t>«</w:t>
      </w:r>
      <w:r>
        <w:rPr>
          <w:rFonts w:hint="cs"/>
          <w:rtl/>
        </w:rPr>
        <w:t xml:space="preserve">لا </w:t>
      </w:r>
      <w:r>
        <w:rPr>
          <w:rtl/>
        </w:rPr>
        <w:t>ت</w:t>
      </w:r>
      <w:r>
        <w:rPr>
          <w:rFonts w:hint="cs"/>
          <w:rtl/>
        </w:rPr>
        <w:t>جوز</w:t>
      </w:r>
      <w:r>
        <w:rPr>
          <w:rFonts w:hint="eastAsia"/>
          <w:rtl/>
        </w:rPr>
        <w:t>»</w:t>
      </w:r>
      <w:r>
        <w:rPr>
          <w:rFonts w:hint="cs"/>
          <w:rtl/>
        </w:rPr>
        <w:t xml:space="preserve"> </w:t>
      </w:r>
      <w:r>
        <w:rPr>
          <w:rtl/>
        </w:rPr>
        <w:t>(</w:t>
      </w:r>
      <w:r>
        <w:rPr>
          <w:rFonts w:hint="cs"/>
          <w:rtl/>
        </w:rPr>
        <w:t>بالتاء وليس الياء</w:t>
      </w:r>
      <w:r>
        <w:rPr>
          <w:rtl/>
        </w:rPr>
        <w:t>)</w:t>
      </w:r>
      <w:r>
        <w:rPr>
          <w:rFonts w:hint="cs"/>
          <w:rtl/>
        </w:rPr>
        <w:t>. وهذا الأفصح.</w:t>
      </w:r>
    </w:p>
    <w:p w:rsidR="00035BE3" w:rsidRDefault="00035BE3" w:rsidP="00C10469">
      <w:pPr>
        <w:pStyle w:val="a6"/>
        <w:spacing w:line="440" w:lineRule="exact"/>
        <w:ind w:left="422" w:firstLine="0"/>
        <w:rPr>
          <w:rtl/>
          <w:lang w:eastAsia="en-GB"/>
        </w:rPr>
      </w:pPr>
      <w:r>
        <w:rPr>
          <w:rFonts w:hint="cs"/>
          <w:rtl/>
          <w:lang w:eastAsia="en-GB"/>
        </w:rPr>
        <w:t xml:space="preserve">كما وردت مختصرة في مجامع الحقائق (الخاتمة)، ص367 (من النسخة الخطيّة المصوّرة المحفوظة في قسم أصول الفقه بكلية الشريعة بالرياض) (والنسخة الخطية، ل35/أ) بلفظ : </w:t>
      </w:r>
      <w:r>
        <w:rPr>
          <w:rFonts w:hint="eastAsia"/>
          <w:rtl/>
          <w:lang w:eastAsia="en-GB"/>
        </w:rPr>
        <w:t>«</w:t>
      </w:r>
      <w:r>
        <w:rPr>
          <w:rFonts w:hint="cs"/>
          <w:rtl/>
          <w:lang w:eastAsia="en-GB"/>
        </w:rPr>
        <w:t>الأفعال المباحة إنما يجوز [هكذا بالياء!] بشرط عدم إذاء [هكذا!] أحد</w:t>
      </w:r>
      <w:r>
        <w:rPr>
          <w:rFonts w:hint="eastAsia"/>
          <w:rtl/>
          <w:lang w:eastAsia="en-GB"/>
        </w:rPr>
        <w:t>»</w:t>
      </w:r>
      <w:r>
        <w:rPr>
          <w:rFonts w:hint="cs"/>
          <w:rtl/>
          <w:lang w:eastAsia="en-GB"/>
        </w:rPr>
        <w:t xml:space="preserve">؛ وكذلك شرح العلائي لقواعد الخادمي، ل12/أ؛ منافع الدقائق، ص313؛ موسوعة القواعد الفقهية، 2/223؛ إلا أنهم قالوا: </w:t>
      </w:r>
      <w:r>
        <w:rPr>
          <w:rFonts w:hint="eastAsia"/>
          <w:rtl/>
          <w:lang w:eastAsia="en-GB"/>
        </w:rPr>
        <w:t>«</w:t>
      </w:r>
      <w:r>
        <w:rPr>
          <w:rFonts w:hint="cs"/>
          <w:rtl/>
          <w:lang w:eastAsia="en-GB"/>
        </w:rPr>
        <w:t>تجوز</w:t>
      </w:r>
      <w:r>
        <w:rPr>
          <w:rFonts w:hint="eastAsia"/>
          <w:rtl/>
          <w:lang w:eastAsia="en-GB"/>
        </w:rPr>
        <w:t>»</w:t>
      </w:r>
      <w:r>
        <w:rPr>
          <w:rFonts w:hint="cs"/>
          <w:rtl/>
          <w:lang w:eastAsia="en-GB"/>
        </w:rPr>
        <w:t xml:space="preserve"> وليس: </w:t>
      </w:r>
      <w:r>
        <w:rPr>
          <w:rFonts w:hint="eastAsia"/>
          <w:rtl/>
          <w:lang w:eastAsia="en-GB"/>
        </w:rPr>
        <w:t>«</w:t>
      </w:r>
      <w:r>
        <w:rPr>
          <w:rFonts w:hint="cs"/>
          <w:rtl/>
          <w:lang w:eastAsia="en-GB"/>
        </w:rPr>
        <w:t>يجوز</w:t>
      </w:r>
      <w:r>
        <w:rPr>
          <w:rFonts w:hint="eastAsia"/>
          <w:rtl/>
          <w:lang w:eastAsia="en-GB"/>
        </w:rPr>
        <w:t>»</w:t>
      </w:r>
      <w:r>
        <w:rPr>
          <w:rFonts w:hint="cs"/>
          <w:rtl/>
          <w:lang w:eastAsia="en-GB"/>
        </w:rPr>
        <w:t xml:space="preserve">، كما أن الأخير قال : </w:t>
      </w:r>
      <w:r>
        <w:rPr>
          <w:rFonts w:hint="eastAsia"/>
          <w:rtl/>
          <w:lang w:eastAsia="en-GB"/>
        </w:rPr>
        <w:t>«</w:t>
      </w:r>
      <w:r>
        <w:rPr>
          <w:rFonts w:hint="cs"/>
          <w:rtl/>
          <w:lang w:eastAsia="en-GB"/>
        </w:rPr>
        <w:t>إيذاء</w:t>
      </w:r>
      <w:r>
        <w:rPr>
          <w:rFonts w:hint="eastAsia"/>
          <w:rtl/>
          <w:lang w:eastAsia="en-GB"/>
        </w:rPr>
        <w:t>»</w:t>
      </w:r>
      <w:r>
        <w:rPr>
          <w:rFonts w:hint="cs"/>
          <w:rtl/>
          <w:lang w:eastAsia="en-GB"/>
        </w:rPr>
        <w:t xml:space="preserve"> وليس : </w:t>
      </w:r>
      <w:r>
        <w:rPr>
          <w:rFonts w:hint="eastAsia"/>
          <w:rtl/>
          <w:lang w:eastAsia="en-GB"/>
        </w:rPr>
        <w:t>«</w:t>
      </w:r>
      <w:r>
        <w:rPr>
          <w:rFonts w:hint="cs"/>
          <w:rtl/>
          <w:lang w:eastAsia="en-GB"/>
        </w:rPr>
        <w:t>إذاء</w:t>
      </w:r>
      <w:r>
        <w:rPr>
          <w:rFonts w:hint="eastAsia"/>
          <w:rtl/>
          <w:lang w:eastAsia="en-GB"/>
        </w:rPr>
        <w:t>»</w:t>
      </w:r>
      <w:r>
        <w:rPr>
          <w:rFonts w:hint="cs"/>
          <w:rtl/>
          <w:lang w:eastAsia="en-GB"/>
        </w:rPr>
        <w:t>.</w:t>
      </w:r>
    </w:p>
  </w:footnote>
  <w:footnote w:id="106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16/ب من (أ).</w:t>
      </w:r>
    </w:p>
  </w:footnote>
  <w:footnote w:id="106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دون إثم القتل العمد، وهو أشد أنواع القتل، ويقاسمه -عند الحنفية- أربعة أنواعٍ أخر، أشار المؤلف إلى اثنين منها في نهاية شرح القاعدة، وبيانها على النحو الآتي :</w:t>
      </w:r>
    </w:p>
    <w:p w:rsidR="00035BE3" w:rsidRDefault="00035BE3" w:rsidP="00C10469">
      <w:pPr>
        <w:pStyle w:val="a6"/>
        <w:spacing w:line="440" w:lineRule="exact"/>
        <w:ind w:left="422" w:firstLine="0"/>
        <w:rPr>
          <w:rtl/>
          <w:lang w:eastAsia="en-GB"/>
        </w:rPr>
      </w:pPr>
      <w:r>
        <w:rPr>
          <w:rFonts w:hint="cs"/>
          <w:b/>
          <w:bCs/>
          <w:rtl/>
          <w:lang w:eastAsia="en-GB"/>
        </w:rPr>
        <w:t>الأول</w:t>
      </w:r>
      <w:r>
        <w:rPr>
          <w:rFonts w:hint="cs"/>
          <w:rtl/>
          <w:lang w:eastAsia="en-GB"/>
        </w:rPr>
        <w:t xml:space="preserve"> : العمد، وهو ما تعمّد ضربه بسلاح أو ما أجري مجرى السلاح كالمحدد. وهذا الذي ينصرف إليه الإثم الوارد في قوله تعالى : </w:t>
      </w:r>
      <w:r>
        <w:rPr>
          <w:color w:val="000000"/>
          <w:sz w:val="24"/>
          <w:szCs w:val="24"/>
        </w:rPr>
        <w:sym w:font="HQPB2" w:char="F0E2"/>
      </w:r>
      <w:r>
        <w:rPr>
          <w:color w:val="000000"/>
          <w:sz w:val="24"/>
          <w:szCs w:val="24"/>
          <w:rtl/>
        </w:rPr>
        <w:t xml:space="preserve"> </w:t>
      </w:r>
      <w:r>
        <w:rPr>
          <w:color w:val="000000"/>
          <w:sz w:val="24"/>
          <w:szCs w:val="24"/>
        </w:rPr>
        <w:sym w:font="HQPB2" w:char="F060"/>
      </w:r>
      <w:r>
        <w:rPr>
          <w:color w:val="000000"/>
          <w:sz w:val="24"/>
          <w:szCs w:val="24"/>
        </w:rPr>
        <w:sym w:font="HQPB5" w:char="F074"/>
      </w:r>
      <w:r>
        <w:rPr>
          <w:color w:val="000000"/>
          <w:sz w:val="24"/>
          <w:szCs w:val="24"/>
        </w:rPr>
        <w:sym w:font="HQPB2" w:char="F042"/>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4" w:char="F0F6"/>
      </w:r>
      <w:r>
        <w:rPr>
          <w:color w:val="000000"/>
          <w:sz w:val="24"/>
          <w:szCs w:val="24"/>
        </w:rPr>
        <w:sym w:font="HQPB2" w:char="F040"/>
      </w:r>
      <w:r>
        <w:rPr>
          <w:color w:val="000000"/>
          <w:sz w:val="24"/>
          <w:szCs w:val="24"/>
        </w:rPr>
        <w:sym w:font="HQPB4" w:char="F0E7"/>
      </w:r>
      <w:r>
        <w:rPr>
          <w:color w:val="000000"/>
          <w:sz w:val="24"/>
          <w:szCs w:val="24"/>
        </w:rPr>
        <w:sym w:font="HQPB1" w:char="F046"/>
      </w:r>
      <w:r>
        <w:rPr>
          <w:color w:val="000000"/>
          <w:sz w:val="24"/>
          <w:szCs w:val="24"/>
        </w:rPr>
        <w:sym w:font="HQPB4" w:char="F0F8"/>
      </w:r>
      <w:r>
        <w:rPr>
          <w:color w:val="000000"/>
          <w:sz w:val="24"/>
          <w:szCs w:val="24"/>
        </w:rPr>
        <w:sym w:font="HQPB2" w:char="F029"/>
      </w:r>
      <w:r>
        <w:rPr>
          <w:color w:val="000000"/>
          <w:sz w:val="24"/>
          <w:szCs w:val="24"/>
        </w:rPr>
        <w:sym w:font="HQPB5" w:char="F074"/>
      </w:r>
      <w:r>
        <w:rPr>
          <w:color w:val="000000"/>
          <w:sz w:val="24"/>
          <w:szCs w:val="24"/>
        </w:rPr>
        <w:sym w:font="HQPB2" w:char="F083"/>
      </w:r>
      <w:r>
        <w:rPr>
          <w:color w:val="000000"/>
          <w:sz w:val="24"/>
          <w:szCs w:val="24"/>
          <w:rtl/>
        </w:rPr>
        <w:t xml:space="preserve"> </w:t>
      </w:r>
      <w:r>
        <w:rPr>
          <w:color w:val="000000"/>
          <w:sz w:val="24"/>
          <w:szCs w:val="24"/>
        </w:rPr>
        <w:sym w:font="HQPB1" w:char="F024"/>
      </w:r>
      <w:r>
        <w:rPr>
          <w:color w:val="000000"/>
          <w:sz w:val="24"/>
          <w:szCs w:val="24"/>
        </w:rPr>
        <w:sym w:font="HQPB4" w:char="F059"/>
      </w:r>
      <w:r>
        <w:rPr>
          <w:color w:val="000000"/>
          <w:sz w:val="24"/>
          <w:szCs w:val="24"/>
        </w:rPr>
        <w:sym w:font="HQPB2" w:char="F059"/>
      </w:r>
      <w:r>
        <w:rPr>
          <w:color w:val="000000"/>
          <w:sz w:val="24"/>
          <w:szCs w:val="24"/>
        </w:rPr>
        <w:sym w:font="HQPB4" w:char="F0CF"/>
      </w:r>
      <w:r>
        <w:rPr>
          <w:color w:val="000000"/>
          <w:sz w:val="24"/>
          <w:szCs w:val="24"/>
        </w:rPr>
        <w:sym w:font="HQPB2" w:char="F042"/>
      </w:r>
      <w:r>
        <w:rPr>
          <w:color w:val="000000"/>
          <w:sz w:val="24"/>
          <w:szCs w:val="24"/>
        </w:rPr>
        <w:sym w:font="HQPB4" w:char="F0F7"/>
      </w:r>
      <w:r>
        <w:rPr>
          <w:color w:val="000000"/>
          <w:sz w:val="24"/>
          <w:szCs w:val="24"/>
        </w:rPr>
        <w:sym w:font="HQPB2" w:char="F073"/>
      </w:r>
      <w:r>
        <w:rPr>
          <w:color w:val="000000"/>
          <w:sz w:val="24"/>
          <w:szCs w:val="24"/>
        </w:rPr>
        <w:sym w:font="HQPB4" w:char="F0E3"/>
      </w:r>
      <w:r>
        <w:rPr>
          <w:color w:val="000000"/>
          <w:sz w:val="24"/>
          <w:szCs w:val="24"/>
        </w:rPr>
        <w:sym w:font="HQPB2" w:char="F042"/>
      </w:r>
      <w:r>
        <w:rPr>
          <w:color w:val="000000"/>
          <w:sz w:val="24"/>
          <w:szCs w:val="24"/>
          <w:rtl/>
        </w:rPr>
        <w:t xml:space="preserve"> </w:t>
      </w:r>
      <w:r>
        <w:rPr>
          <w:color w:val="000000"/>
          <w:sz w:val="24"/>
          <w:szCs w:val="24"/>
        </w:rPr>
        <w:sym w:font="HQPB1" w:char="F023"/>
      </w:r>
      <w:r>
        <w:rPr>
          <w:color w:val="000000"/>
          <w:sz w:val="24"/>
          <w:szCs w:val="24"/>
        </w:rPr>
        <w:sym w:font="HQPB4" w:char="F059"/>
      </w:r>
      <w:r>
        <w:rPr>
          <w:color w:val="000000"/>
          <w:sz w:val="24"/>
          <w:szCs w:val="24"/>
        </w:rPr>
        <w:sym w:font="HQPB1" w:char="F089"/>
      </w:r>
      <w:r>
        <w:rPr>
          <w:color w:val="000000"/>
          <w:sz w:val="24"/>
          <w:szCs w:val="24"/>
        </w:rPr>
        <w:sym w:font="HQPB4" w:char="F0CF"/>
      </w:r>
      <w:r>
        <w:rPr>
          <w:color w:val="000000"/>
          <w:sz w:val="24"/>
          <w:szCs w:val="24"/>
        </w:rPr>
        <w:sym w:font="HQPB4" w:char="F064"/>
      </w:r>
      <w:r>
        <w:rPr>
          <w:color w:val="000000"/>
          <w:sz w:val="24"/>
          <w:szCs w:val="24"/>
        </w:rPr>
        <w:sym w:font="HQPB2" w:char="F04A"/>
      </w:r>
      <w:r>
        <w:rPr>
          <w:color w:val="000000"/>
          <w:sz w:val="24"/>
          <w:szCs w:val="24"/>
        </w:rPr>
        <w:sym w:font="HQPB5" w:char="F079"/>
      </w:r>
      <w:r>
        <w:rPr>
          <w:color w:val="000000"/>
          <w:sz w:val="24"/>
          <w:szCs w:val="24"/>
        </w:rPr>
        <w:sym w:font="HQPB1" w:char="F0E8"/>
      </w:r>
      <w:r>
        <w:rPr>
          <w:color w:val="000000"/>
          <w:sz w:val="24"/>
          <w:szCs w:val="24"/>
        </w:rPr>
        <w:sym w:font="HQPB5" w:char="F074"/>
      </w:r>
      <w:r>
        <w:rPr>
          <w:color w:val="000000"/>
          <w:sz w:val="24"/>
          <w:szCs w:val="24"/>
        </w:rPr>
        <w:sym w:font="HQPB1" w:char="F047"/>
      </w:r>
      <w:r>
        <w:rPr>
          <w:color w:val="000000"/>
          <w:sz w:val="24"/>
          <w:szCs w:val="24"/>
        </w:rPr>
        <w:sym w:font="HQPB4" w:char="F095"/>
      </w:r>
      <w:r>
        <w:rPr>
          <w:color w:val="000000"/>
          <w:sz w:val="24"/>
          <w:szCs w:val="24"/>
        </w:rPr>
        <w:sym w:font="HQPB2" w:char="F042"/>
      </w:r>
      <w:r>
        <w:rPr>
          <w:color w:val="000000"/>
          <w:sz w:val="24"/>
          <w:szCs w:val="24"/>
          <w:rtl/>
        </w:rPr>
        <w:t xml:space="preserve"> </w:t>
      </w:r>
      <w:r>
        <w:rPr>
          <w:color w:val="000000"/>
          <w:sz w:val="24"/>
          <w:szCs w:val="24"/>
        </w:rPr>
        <w:sym w:font="HQPB2" w:char="F0BC"/>
      </w:r>
      <w:r>
        <w:rPr>
          <w:color w:val="000000"/>
          <w:sz w:val="24"/>
          <w:szCs w:val="24"/>
        </w:rPr>
        <w:sym w:font="HQPB4" w:char="F0E7"/>
      </w:r>
      <w:r>
        <w:rPr>
          <w:color w:val="000000"/>
          <w:sz w:val="24"/>
          <w:szCs w:val="24"/>
        </w:rPr>
        <w:sym w:font="HQPB2" w:char="F06E"/>
      </w:r>
      <w:r>
        <w:rPr>
          <w:color w:val="000000"/>
          <w:sz w:val="24"/>
          <w:szCs w:val="24"/>
        </w:rPr>
        <w:sym w:font="HQPB4" w:char="F0E4"/>
      </w:r>
      <w:r>
        <w:rPr>
          <w:color w:val="000000"/>
          <w:sz w:val="24"/>
          <w:szCs w:val="24"/>
        </w:rPr>
        <w:sym w:font="HQPB2" w:char="F074"/>
      </w:r>
      <w:r>
        <w:rPr>
          <w:color w:val="000000"/>
          <w:sz w:val="24"/>
          <w:szCs w:val="24"/>
        </w:rPr>
        <w:sym w:font="HQPB5" w:char="F021"/>
      </w:r>
      <w:r>
        <w:rPr>
          <w:color w:val="000000"/>
          <w:sz w:val="24"/>
          <w:szCs w:val="24"/>
        </w:rPr>
        <w:sym w:font="HQPB1" w:char="F023"/>
      </w:r>
      <w:r>
        <w:rPr>
          <w:color w:val="000000"/>
          <w:sz w:val="24"/>
          <w:szCs w:val="24"/>
        </w:rPr>
        <w:sym w:font="HQPB5" w:char="F074"/>
      </w:r>
      <w:r>
        <w:rPr>
          <w:color w:val="000000"/>
          <w:sz w:val="24"/>
          <w:szCs w:val="24"/>
        </w:rPr>
        <w:sym w:font="HQPB1" w:char="F093"/>
      </w:r>
      <w:r>
        <w:rPr>
          <w:color w:val="000000"/>
          <w:sz w:val="24"/>
          <w:szCs w:val="24"/>
        </w:rPr>
        <w:sym w:font="HQPB5" w:char="F079"/>
      </w:r>
      <w:r>
        <w:rPr>
          <w:color w:val="000000"/>
          <w:sz w:val="24"/>
          <w:szCs w:val="24"/>
        </w:rPr>
        <w:sym w:font="HQPB1" w:char="F066"/>
      </w:r>
      <w:r>
        <w:rPr>
          <w:color w:val="000000"/>
          <w:sz w:val="24"/>
          <w:szCs w:val="24"/>
        </w:rPr>
        <w:sym w:font="HQPB5" w:char="F073"/>
      </w:r>
      <w:r>
        <w:rPr>
          <w:color w:val="000000"/>
          <w:sz w:val="24"/>
          <w:szCs w:val="24"/>
        </w:rPr>
        <w:sym w:font="HQPB1" w:char="F0F9"/>
      </w:r>
      <w:r>
        <w:rPr>
          <w:color w:val="000000"/>
          <w:sz w:val="24"/>
          <w:szCs w:val="24"/>
          <w:rtl/>
        </w:rPr>
        <w:t xml:space="preserve"> </w:t>
      </w:r>
      <w:r>
        <w:rPr>
          <w:color w:val="000000"/>
          <w:sz w:val="24"/>
          <w:szCs w:val="24"/>
        </w:rPr>
        <w:sym w:font="HQPB4" w:char="F0DE"/>
      </w:r>
      <w:r>
        <w:rPr>
          <w:color w:val="000000"/>
          <w:sz w:val="24"/>
          <w:szCs w:val="24"/>
        </w:rPr>
        <w:sym w:font="HQPB2" w:char="F04F"/>
      </w:r>
      <w:r>
        <w:rPr>
          <w:color w:val="000000"/>
          <w:sz w:val="24"/>
          <w:szCs w:val="24"/>
        </w:rPr>
        <w:sym w:font="HQPB4" w:char="F0A8"/>
      </w:r>
      <w:r>
        <w:rPr>
          <w:color w:val="000000"/>
          <w:sz w:val="24"/>
          <w:szCs w:val="24"/>
        </w:rPr>
        <w:sym w:font="HQPB2" w:char="F059"/>
      </w:r>
      <w:r>
        <w:rPr>
          <w:color w:val="000000"/>
          <w:sz w:val="24"/>
          <w:szCs w:val="24"/>
        </w:rPr>
        <w:sym w:font="HQPB5" w:char="F079"/>
      </w:r>
      <w:r>
        <w:rPr>
          <w:color w:val="000000"/>
          <w:sz w:val="24"/>
          <w:szCs w:val="24"/>
        </w:rPr>
        <w:sym w:font="HQPB2" w:char="F067"/>
      </w:r>
      <w:r>
        <w:rPr>
          <w:color w:val="000000"/>
          <w:sz w:val="24"/>
          <w:szCs w:val="24"/>
        </w:rPr>
        <w:sym w:font="HQPB5" w:char="F079"/>
      </w:r>
      <w:r>
        <w:rPr>
          <w:color w:val="000000"/>
          <w:sz w:val="24"/>
          <w:szCs w:val="24"/>
        </w:rPr>
        <w:sym w:font="HQPB1" w:char="F05F"/>
      </w:r>
      <w:r>
        <w:rPr>
          <w:color w:val="000000"/>
          <w:sz w:val="24"/>
          <w:szCs w:val="24"/>
          <w:rtl/>
        </w:rPr>
        <w:t xml:space="preserve"> </w:t>
      </w:r>
      <w:r>
        <w:rPr>
          <w:rFonts w:hint="cs"/>
          <w:color w:val="000000"/>
          <w:sz w:val="24"/>
          <w:szCs w:val="24"/>
          <w:rtl/>
        </w:rPr>
        <w:t>...</w:t>
      </w:r>
      <w:r>
        <w:rPr>
          <w:color w:val="000000"/>
          <w:sz w:val="24"/>
          <w:szCs w:val="24"/>
        </w:rPr>
        <w:sym w:font="HQPB2" w:char="F0E1"/>
      </w:r>
      <w:r>
        <w:rPr>
          <w:rFonts w:hint="cs"/>
          <w:rtl/>
          <w:lang w:eastAsia="en-GB"/>
        </w:rPr>
        <w:t xml:space="preserve"> [مـن الأيـة رقم </w:t>
      </w:r>
      <w:r>
        <w:rPr>
          <w:rtl/>
          <w:lang w:eastAsia="en-GB"/>
        </w:rPr>
        <w:t>(</w:t>
      </w:r>
      <w:r>
        <w:rPr>
          <w:rFonts w:hint="cs"/>
          <w:rtl/>
          <w:lang w:eastAsia="en-GB"/>
        </w:rPr>
        <w:t>93</w:t>
      </w:r>
      <w:r>
        <w:rPr>
          <w:rtl/>
          <w:lang w:eastAsia="en-GB"/>
        </w:rPr>
        <w:t xml:space="preserve">) </w:t>
      </w:r>
      <w:r>
        <w:rPr>
          <w:rFonts w:hint="cs"/>
          <w:rtl/>
          <w:lang w:eastAsia="en-GB"/>
        </w:rPr>
        <w:t xml:space="preserve">من سورة </w:t>
      </w:r>
      <w:r>
        <w:rPr>
          <w:rtl/>
          <w:lang w:eastAsia="en-GB"/>
        </w:rPr>
        <w:t>(</w:t>
      </w:r>
      <w:r>
        <w:rPr>
          <w:rFonts w:hint="cs"/>
          <w:rtl/>
          <w:lang w:eastAsia="en-GB"/>
        </w:rPr>
        <w:t>النساء</w:t>
      </w:r>
      <w:r>
        <w:rPr>
          <w:rtl/>
          <w:lang w:eastAsia="en-GB"/>
        </w:rPr>
        <w:t>)</w:t>
      </w:r>
      <w:r>
        <w:rPr>
          <w:rFonts w:hint="cs"/>
          <w:rtl/>
          <w:lang w:eastAsia="en-GB"/>
        </w:rPr>
        <w:t>]</w:t>
      </w:r>
      <w:r>
        <w:rPr>
          <w:rtl/>
          <w:lang w:eastAsia="en-GB"/>
        </w:rPr>
        <w:t>.</w:t>
      </w:r>
    </w:p>
    <w:p w:rsidR="00035BE3" w:rsidRDefault="00035BE3" w:rsidP="00C10469">
      <w:pPr>
        <w:pStyle w:val="a6"/>
        <w:spacing w:line="440" w:lineRule="exact"/>
        <w:ind w:left="422" w:firstLine="0"/>
        <w:rPr>
          <w:rtl/>
          <w:lang w:eastAsia="en-GB"/>
        </w:rPr>
      </w:pPr>
      <w:r>
        <w:rPr>
          <w:rFonts w:hint="cs"/>
          <w:b/>
          <w:bCs/>
          <w:rtl/>
          <w:lang w:eastAsia="en-GB"/>
        </w:rPr>
        <w:t>الثاني</w:t>
      </w:r>
      <w:r>
        <w:rPr>
          <w:rFonts w:hint="cs"/>
          <w:rtl/>
          <w:lang w:eastAsia="en-GB"/>
        </w:rPr>
        <w:t xml:space="preserve"> : شبه العمد، وهو عند</w:t>
      </w:r>
      <w:r>
        <w:rPr>
          <w:rtl/>
          <w:lang w:eastAsia="en-GB"/>
        </w:rPr>
        <w:t xml:space="preserve"> الإمام</w:t>
      </w:r>
      <w:r>
        <w:rPr>
          <w:rFonts w:hint="cs"/>
          <w:rtl/>
          <w:lang w:eastAsia="en-GB"/>
        </w:rPr>
        <w:t xml:space="preserve"> أبي حنيفة أن يتعمّدَ الضرب بما ليس بسلاح ولا ما أجري مجرى السلاح. وعند صاحبيه : إذا ضربه بحجر عظيم أو خشبة عظيمة فهو عَمْدٌ. وشبه العمد : أن يتعمد ضربه بما لا يقتل به غالبًا.</w:t>
      </w:r>
    </w:p>
    <w:p w:rsidR="00035BE3" w:rsidRDefault="00035BE3" w:rsidP="00C10469">
      <w:pPr>
        <w:pStyle w:val="a6"/>
        <w:spacing w:line="440" w:lineRule="exact"/>
        <w:ind w:left="422" w:firstLine="0"/>
        <w:rPr>
          <w:rtl/>
          <w:lang w:eastAsia="en-GB"/>
        </w:rPr>
      </w:pPr>
      <w:r>
        <w:rPr>
          <w:rFonts w:hint="cs"/>
          <w:b/>
          <w:bCs/>
          <w:rtl/>
          <w:lang w:eastAsia="en-GB"/>
        </w:rPr>
        <w:t>الثالث</w:t>
      </w:r>
      <w:r>
        <w:rPr>
          <w:rFonts w:hint="cs"/>
          <w:rtl/>
          <w:lang w:eastAsia="en-GB"/>
        </w:rPr>
        <w:t xml:space="preserve"> : الخطأ، وهو نوعان :</w:t>
      </w:r>
    </w:p>
    <w:p w:rsidR="00035BE3" w:rsidRDefault="00035BE3" w:rsidP="00C10469">
      <w:pPr>
        <w:pStyle w:val="a6"/>
        <w:ind w:left="422" w:firstLine="0"/>
        <w:rPr>
          <w:rtl/>
          <w:lang w:eastAsia="en-GB"/>
        </w:rPr>
      </w:pPr>
      <w:r>
        <w:rPr>
          <w:rFonts w:hint="cs"/>
          <w:b/>
          <w:bCs/>
          <w:rtl/>
          <w:lang w:eastAsia="en-GB"/>
        </w:rPr>
        <w:t>أحدهما</w:t>
      </w:r>
      <w:r>
        <w:rPr>
          <w:rFonts w:hint="cs"/>
          <w:rtl/>
          <w:lang w:eastAsia="en-GB"/>
        </w:rPr>
        <w:t xml:space="preserve"> : الخطأ في الف</w:t>
      </w:r>
      <w:r>
        <w:rPr>
          <w:rtl/>
          <w:lang w:eastAsia="en-GB"/>
        </w:rPr>
        <w:t>ع</w:t>
      </w:r>
      <w:r>
        <w:rPr>
          <w:rFonts w:hint="cs"/>
          <w:rtl/>
          <w:lang w:eastAsia="en-GB"/>
        </w:rPr>
        <w:t>ل، وهو أن يقصد فعلاً فصدر منه فعل آخر؛ كما لو وجّه سلاحه إلى غرض فانحرف فأصاب نفسًا معصومة، فقتلها. أو تجاوز هدفه إلى ما وراءه فأصاب النفس.</w:t>
      </w:r>
    </w:p>
    <w:p w:rsidR="00035BE3" w:rsidRDefault="00035BE3" w:rsidP="00C10469">
      <w:pPr>
        <w:pStyle w:val="a6"/>
        <w:ind w:left="422" w:firstLine="0"/>
        <w:rPr>
          <w:rtl/>
          <w:lang w:eastAsia="en-GB"/>
        </w:rPr>
      </w:pPr>
      <w:r>
        <w:rPr>
          <w:rFonts w:hint="cs"/>
          <w:b/>
          <w:bCs/>
          <w:rtl/>
          <w:lang w:eastAsia="en-GB"/>
        </w:rPr>
        <w:t xml:space="preserve">ثانيهما </w:t>
      </w:r>
      <w:r>
        <w:rPr>
          <w:rFonts w:hint="cs"/>
          <w:rtl/>
          <w:lang w:eastAsia="en-GB"/>
        </w:rPr>
        <w:t>: الخطأ في القصد، كما لو وجّه سلاحه إلى من يظنه حربيًا، فأصابه فإذا هو معصوم الدّم.</w:t>
      </w:r>
    </w:p>
    <w:p w:rsidR="00035BE3" w:rsidRDefault="00035BE3" w:rsidP="00C10469">
      <w:pPr>
        <w:pStyle w:val="a6"/>
        <w:ind w:left="422" w:firstLine="0"/>
        <w:rPr>
          <w:spacing w:val="-4"/>
          <w:rtl/>
          <w:lang w:eastAsia="en-GB"/>
        </w:rPr>
      </w:pPr>
      <w:r>
        <w:rPr>
          <w:rFonts w:hint="cs"/>
          <w:b/>
          <w:bCs/>
          <w:spacing w:val="-4"/>
          <w:rtl/>
          <w:lang w:eastAsia="en-GB"/>
        </w:rPr>
        <w:t>الرابع</w:t>
      </w:r>
      <w:r>
        <w:rPr>
          <w:rFonts w:hint="cs"/>
          <w:spacing w:val="-4"/>
          <w:rtl/>
          <w:lang w:eastAsia="en-GB"/>
        </w:rPr>
        <w:t xml:space="preserve"> : ما جرى مجرى الخطأ ، وهو أن يصدر من</w:t>
      </w:r>
      <w:r>
        <w:rPr>
          <w:spacing w:val="-4"/>
          <w:rtl/>
          <w:lang w:eastAsia="en-GB"/>
        </w:rPr>
        <w:t>ه</w:t>
      </w:r>
      <w:r>
        <w:rPr>
          <w:rFonts w:hint="cs"/>
          <w:spacing w:val="-4"/>
          <w:rtl/>
          <w:lang w:eastAsia="en-GB"/>
        </w:rPr>
        <w:t xml:space="preserve"> فعل بغير اختياره؛ كالنائم ينقلب على رجل فيقتله.</w:t>
      </w:r>
    </w:p>
    <w:p w:rsidR="00035BE3" w:rsidRDefault="00035BE3" w:rsidP="00C10469">
      <w:pPr>
        <w:pStyle w:val="a6"/>
        <w:ind w:left="422" w:firstLine="0"/>
        <w:rPr>
          <w:rtl/>
          <w:lang w:eastAsia="en-GB"/>
        </w:rPr>
      </w:pPr>
      <w:r>
        <w:rPr>
          <w:rFonts w:hint="cs"/>
          <w:b/>
          <w:bCs/>
          <w:rtl/>
          <w:lang w:eastAsia="en-GB"/>
        </w:rPr>
        <w:t>الخامس</w:t>
      </w:r>
      <w:r>
        <w:rPr>
          <w:rFonts w:hint="cs"/>
          <w:rtl/>
          <w:lang w:eastAsia="en-GB"/>
        </w:rPr>
        <w:t xml:space="preserve"> : القتل بالسّبب، أي بكونه سببًا للقتل؛ كحافر البئر وواضع الحجر في غير ملكه.          </w:t>
      </w:r>
    </w:p>
    <w:p w:rsidR="00035BE3" w:rsidRDefault="00035BE3" w:rsidP="00C10469">
      <w:pPr>
        <w:pStyle w:val="a6"/>
        <w:ind w:left="422" w:firstLine="0"/>
        <w:rPr>
          <w:rtl/>
          <w:lang w:eastAsia="en-GB"/>
        </w:rPr>
      </w:pPr>
      <w:r>
        <w:rPr>
          <w:rFonts w:hint="cs"/>
          <w:rtl/>
          <w:lang w:eastAsia="en-GB"/>
        </w:rPr>
        <w:t xml:space="preserve">انظر : الهداية والعناية ونتائج الأفكار، 10/203-214؛ الدّرر شرح الغرر، 2/88-91؛ قواعد الفقه </w:t>
      </w:r>
      <w:r>
        <w:rPr>
          <w:rtl/>
          <w:lang w:eastAsia="en-GB"/>
        </w:rPr>
        <w:t>ل</w:t>
      </w:r>
      <w:r>
        <w:rPr>
          <w:rFonts w:hint="cs"/>
          <w:rtl/>
          <w:lang w:eastAsia="en-GB"/>
        </w:rPr>
        <w:t>لمجدّدي، ص423-424.</w:t>
      </w:r>
    </w:p>
  </w:footnote>
  <w:footnote w:id="10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وكذا الحكم في الخطأ</w:t>
      </w:r>
      <w:r>
        <w:rPr>
          <w:rFonts w:hint="eastAsia"/>
          <w:rtl/>
        </w:rPr>
        <w:t>»</w:t>
      </w:r>
      <w:r>
        <w:rPr>
          <w:rFonts w:hint="cs"/>
          <w:rtl/>
        </w:rPr>
        <w:t xml:space="preserve"> قد يُفهم منه أن ما قبل واو العطف ليس من الخطأ؛ لأن العطف يقتضي المغايرة ! إلا أن هذا غير مراد؛ لأنه قال عقب ذلك : </w:t>
      </w:r>
      <w:r>
        <w:rPr>
          <w:rFonts w:hint="eastAsia"/>
          <w:rtl/>
        </w:rPr>
        <w:t>«</w:t>
      </w:r>
      <w:r>
        <w:rPr>
          <w:rFonts w:hint="cs"/>
          <w:rtl/>
        </w:rPr>
        <w:t xml:space="preserve">والجاري مجراه في </w:t>
      </w:r>
      <w:r>
        <w:rPr>
          <w:rFonts w:hint="cs"/>
          <w:b/>
          <w:bCs/>
          <w:rtl/>
        </w:rPr>
        <w:t>كلِّ جناية</w:t>
      </w:r>
      <w:r>
        <w:rPr>
          <w:rFonts w:hint="eastAsia"/>
          <w:rtl/>
        </w:rPr>
        <w:t>»</w:t>
      </w:r>
      <w:r>
        <w:rPr>
          <w:rFonts w:hint="cs"/>
          <w:rtl/>
        </w:rPr>
        <w:t>، مما يعنى أن المراد: كما أن الحكم في الجناية المذكورة والتي تعدُّ من القتل الخطأ هو أنه يضمن ويأثم دون إثم القتل فكذلك الحكم في كل جناية فيها خطأ أو جرت مجراه.</w:t>
      </w:r>
    </w:p>
  </w:footnote>
  <w:footnote w:id="10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2/90-91.</w:t>
      </w:r>
    </w:p>
  </w:footnote>
  <w:footnote w:id="1070">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w:t>
      </w:r>
      <w:r>
        <w:rPr>
          <w:rFonts w:hint="eastAsia"/>
          <w:spacing w:val="-8"/>
          <w:rtl/>
        </w:rPr>
        <w:t>«</w:t>
      </w:r>
      <w:r>
        <w:rPr>
          <w:rFonts w:hint="cs"/>
          <w:spacing w:val="-8"/>
          <w:rtl/>
        </w:rPr>
        <w:t>ملتزمة</w:t>
      </w:r>
      <w:r>
        <w:rPr>
          <w:rFonts w:hint="eastAsia"/>
          <w:spacing w:val="-8"/>
          <w:rtl/>
        </w:rPr>
        <w:t>»</w:t>
      </w:r>
      <w:r>
        <w:rPr>
          <w:rFonts w:hint="cs"/>
          <w:spacing w:val="-8"/>
          <w:rtl/>
        </w:rPr>
        <w:t xml:space="preserve">، وفي (د): </w:t>
      </w:r>
      <w:r>
        <w:rPr>
          <w:rFonts w:hint="eastAsia"/>
          <w:spacing w:val="-8"/>
          <w:rtl/>
        </w:rPr>
        <w:t>«</w:t>
      </w:r>
      <w:r>
        <w:rPr>
          <w:rFonts w:hint="cs"/>
          <w:spacing w:val="-8"/>
          <w:rtl/>
        </w:rPr>
        <w:t>ملزمة</w:t>
      </w:r>
      <w:r>
        <w:rPr>
          <w:rFonts w:hint="eastAsia"/>
          <w:spacing w:val="-8"/>
          <w:rtl/>
        </w:rPr>
        <w:t>»</w:t>
      </w:r>
      <w:r>
        <w:rPr>
          <w:rFonts w:hint="cs"/>
          <w:spacing w:val="-8"/>
          <w:rtl/>
        </w:rPr>
        <w:t xml:space="preserve">، وفي (ب): </w:t>
      </w:r>
      <w:r>
        <w:rPr>
          <w:rFonts w:hint="eastAsia"/>
          <w:spacing w:val="-8"/>
          <w:rtl/>
        </w:rPr>
        <w:t>«</w:t>
      </w:r>
      <w:r>
        <w:rPr>
          <w:rFonts w:hint="cs"/>
          <w:spacing w:val="-8"/>
          <w:rtl/>
        </w:rPr>
        <w:t>ملزم</w:t>
      </w:r>
      <w:r>
        <w:rPr>
          <w:rFonts w:hint="eastAsia"/>
          <w:spacing w:val="-8"/>
          <w:rtl/>
        </w:rPr>
        <w:t>»</w:t>
      </w:r>
      <w:r>
        <w:rPr>
          <w:rFonts w:hint="cs"/>
          <w:spacing w:val="-8"/>
          <w:rtl/>
        </w:rPr>
        <w:t>. ولا شك أن ال</w:t>
      </w:r>
      <w:r>
        <w:rPr>
          <w:spacing w:val="-8"/>
          <w:rtl/>
        </w:rPr>
        <w:t>إ</w:t>
      </w:r>
      <w:r>
        <w:rPr>
          <w:rFonts w:hint="cs"/>
          <w:spacing w:val="-8"/>
          <w:rtl/>
        </w:rPr>
        <w:t xml:space="preserve">خبار عن الإقرار بأنه ملزم هو المناسب؛ لأنه مذكّر، فناسب أن يكون خبره </w:t>
      </w:r>
      <w:r>
        <w:rPr>
          <w:spacing w:val="-8"/>
          <w:rtl/>
        </w:rPr>
        <w:t>م</w:t>
      </w:r>
      <w:r>
        <w:rPr>
          <w:rFonts w:hint="cs"/>
          <w:spacing w:val="-8"/>
          <w:rtl/>
        </w:rPr>
        <w:t>ذكرًا؛ ولأن المعنى المقصود من ذكر الإقرار هنا هو كونه ملزمٌ لصاحبه بما يترتب عليه وليس كون صاحبه مُلز</w:t>
      </w:r>
      <w:r>
        <w:rPr>
          <w:spacing w:val="-8"/>
          <w:rtl/>
        </w:rPr>
        <w:t>َ</w:t>
      </w:r>
      <w:r>
        <w:rPr>
          <w:rFonts w:hint="cs"/>
          <w:spacing w:val="-8"/>
          <w:rtl/>
        </w:rPr>
        <w:t>مًا بالإقرار؛ لهذا ناسب الإخبار عنه بأنه مُلزِمٌ، لا مُلتزم.</w:t>
      </w:r>
    </w:p>
  </w:footnote>
  <w:footnote w:id="1071">
    <w:p w:rsidR="00035BE3" w:rsidRPr="004E3F71"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sidRPr="004E3F71">
        <w:rPr>
          <w:rFonts w:hint="cs"/>
          <w:spacing w:val="-4"/>
          <w:rtl/>
        </w:rPr>
        <w:t>وردت هذه القاعدة بمعناها في كثير من كتب الفقه وقواعده، كما وردت بنحوها في بعض كتب الفقه.</w:t>
      </w:r>
    </w:p>
    <w:p w:rsidR="00035BE3" w:rsidRDefault="00035BE3" w:rsidP="00C10469">
      <w:pPr>
        <w:pStyle w:val="a6"/>
        <w:ind w:left="422" w:firstLine="0"/>
        <w:rPr>
          <w:b/>
          <w:bCs/>
          <w:rtl/>
          <w:lang w:eastAsia="en-GB"/>
        </w:rPr>
      </w:pPr>
      <w:r>
        <w:rPr>
          <w:rFonts w:hint="cs"/>
          <w:b/>
          <w:bCs/>
          <w:rtl/>
          <w:lang w:eastAsia="en-GB"/>
        </w:rPr>
        <w:t>فمن كتب القواعد :</w:t>
      </w:r>
    </w:p>
    <w:p w:rsidR="00035BE3" w:rsidRDefault="00035BE3" w:rsidP="00C10469">
      <w:pPr>
        <w:pStyle w:val="a6"/>
        <w:spacing w:line="440" w:lineRule="exact"/>
        <w:ind w:left="422" w:firstLine="0"/>
        <w:rPr>
          <w:rtl/>
          <w:lang w:eastAsia="en-GB"/>
        </w:rPr>
      </w:pPr>
      <w:r>
        <w:rPr>
          <w:rFonts w:hint="cs"/>
          <w:rtl/>
          <w:lang w:eastAsia="en-GB"/>
        </w:rPr>
        <w:t>رسالة الكرخي في الأصول؛ ص164 (مع تأسيس النظر)؛ الأشباه والنظائر لابن الوكيل، 2/125؛ ترتيب الفروق للبقوري، 2/215؛ المنثور، 1/187؛ الأشباه والنظائر لابن الملقن، 2/389، قاعدة 173؛ القواعد للحصني، 4/171؛ مختصر من قواعد العلائي وكلام ال</w:t>
      </w:r>
      <w:r>
        <w:rPr>
          <w:rtl/>
          <w:lang w:eastAsia="en-GB"/>
        </w:rPr>
        <w:t>إ</w:t>
      </w:r>
      <w:r>
        <w:rPr>
          <w:rFonts w:hint="cs"/>
          <w:rtl/>
          <w:lang w:eastAsia="en-GB"/>
        </w:rPr>
        <w:t>سنوي، 1/334؛ الأشباه والنظائر للسيوطي، 2/797؛ مجلة الأحكام العدلية، مادة 79؛ شرحها لسليم رستم، 1/53؛ ولعلي حيدر، 1/70؛ وللأتاسي، 1/226</w:t>
      </w:r>
      <w:r>
        <w:rPr>
          <w:rtl/>
          <w:lang w:eastAsia="en-GB"/>
        </w:rPr>
        <w:t xml:space="preserve"> </w:t>
      </w:r>
      <w:r>
        <w:rPr>
          <w:rFonts w:hint="cs"/>
          <w:rtl/>
          <w:lang w:eastAsia="en-GB"/>
        </w:rPr>
        <w:t>-</w:t>
      </w:r>
      <w:r>
        <w:rPr>
          <w:rtl/>
          <w:lang w:eastAsia="en-GB"/>
        </w:rPr>
        <w:t xml:space="preserve"> </w:t>
      </w:r>
      <w:r>
        <w:rPr>
          <w:rFonts w:hint="cs"/>
          <w:rtl/>
          <w:lang w:eastAsia="en-GB"/>
        </w:rPr>
        <w:t>228؛ وشرح قواعدها للزرقـا، ص401-404؛ قواعـد الفقه</w:t>
      </w:r>
      <w:r>
        <w:rPr>
          <w:rtl/>
          <w:lang w:eastAsia="en-GB"/>
        </w:rPr>
        <w:t xml:space="preserve"> للمجدِّدي</w:t>
      </w:r>
      <w:r>
        <w:rPr>
          <w:rFonts w:hint="cs"/>
          <w:rtl/>
          <w:lang w:eastAsia="en-GB"/>
        </w:rPr>
        <w:t>، ص61، قاعدة 41و 43، وص120، قاعدة 314 و315؛ المدخل الفقهي العام، 2/1054-1055، فقرة 665؛ القواعد والضوابط المستخلصة من التحـرير، ص485، وأحال إلى التحرير، 4/972؛ القواعد الفقهية للدكتور الندوي</w:t>
      </w:r>
      <w:r>
        <w:rPr>
          <w:rtl/>
          <w:lang w:eastAsia="en-GB"/>
        </w:rPr>
        <w:t>،</w:t>
      </w:r>
      <w:r>
        <w:rPr>
          <w:rFonts w:hint="cs"/>
          <w:rtl/>
          <w:lang w:eastAsia="en-GB"/>
        </w:rPr>
        <w:t xml:space="preserve"> ص94</w:t>
      </w:r>
      <w:r>
        <w:rPr>
          <w:rFonts w:hint="cs"/>
          <w:spacing w:val="-2"/>
          <w:rtl/>
          <w:lang w:eastAsia="en-GB"/>
        </w:rPr>
        <w:t xml:space="preserve">، وأحال إلى أخبار القضاة </w:t>
      </w:r>
      <w:r>
        <w:rPr>
          <w:spacing w:val="-2"/>
          <w:rtl/>
          <w:lang w:eastAsia="en-GB"/>
        </w:rPr>
        <w:t>لوكيع</w:t>
      </w:r>
      <w:r>
        <w:rPr>
          <w:rFonts w:hint="cs"/>
          <w:spacing w:val="-2"/>
          <w:rtl/>
          <w:lang w:eastAsia="en-GB"/>
        </w:rPr>
        <w:t>، 3/231؛</w:t>
      </w:r>
      <w:r>
        <w:rPr>
          <w:rFonts w:hint="cs"/>
          <w:rtl/>
          <w:lang w:eastAsia="en-GB"/>
        </w:rPr>
        <w:t xml:space="preserve"> الوجيز، ص298-300؛ موسوعة القواعد الفقهية، 2/226-235.</w:t>
      </w:r>
    </w:p>
    <w:p w:rsidR="00035BE3" w:rsidRDefault="00035BE3" w:rsidP="00C10469">
      <w:pPr>
        <w:pStyle w:val="a6"/>
        <w:ind w:left="422" w:firstLine="0"/>
        <w:rPr>
          <w:b/>
          <w:bCs/>
          <w:rtl/>
          <w:lang w:eastAsia="en-GB"/>
        </w:rPr>
      </w:pPr>
      <w:r>
        <w:rPr>
          <w:rFonts w:hint="cs"/>
          <w:b/>
          <w:bCs/>
          <w:rtl/>
          <w:lang w:eastAsia="en-GB"/>
        </w:rPr>
        <w:t xml:space="preserve">ومن كتب الفقه التي وردت القاعدة </w:t>
      </w:r>
      <w:r>
        <w:rPr>
          <w:b/>
          <w:bCs/>
          <w:rtl/>
          <w:lang w:eastAsia="en-GB"/>
        </w:rPr>
        <w:t>في</w:t>
      </w:r>
      <w:r>
        <w:rPr>
          <w:rFonts w:hint="cs"/>
          <w:b/>
          <w:bCs/>
          <w:rtl/>
          <w:lang w:eastAsia="en-GB"/>
        </w:rPr>
        <w:t xml:space="preserve">ها بنحو لفظ المؤلف : </w:t>
      </w:r>
    </w:p>
    <w:p w:rsidR="00035BE3" w:rsidRDefault="00035BE3" w:rsidP="00C10469">
      <w:pPr>
        <w:pStyle w:val="a6"/>
        <w:ind w:left="422" w:firstLine="0"/>
        <w:rPr>
          <w:spacing w:val="-10"/>
          <w:rtl/>
          <w:lang w:eastAsia="en-GB"/>
        </w:rPr>
      </w:pPr>
      <w:r>
        <w:rPr>
          <w:rFonts w:hint="cs"/>
          <w:spacing w:val="-10"/>
          <w:rtl/>
          <w:lang w:eastAsia="en-GB"/>
        </w:rPr>
        <w:t>تبيين الحقائق، 6/224؛ الدُّرر شرح الغرر</w:t>
      </w:r>
      <w:r>
        <w:rPr>
          <w:spacing w:val="-10"/>
          <w:rtl/>
          <w:lang w:eastAsia="en-GB"/>
        </w:rPr>
        <w:t>،</w:t>
      </w:r>
      <w:r>
        <w:rPr>
          <w:rFonts w:hint="cs"/>
          <w:spacing w:val="-10"/>
          <w:rtl/>
          <w:lang w:eastAsia="en-GB"/>
        </w:rPr>
        <w:t xml:space="preserve"> 2/339، ولفظهما : </w:t>
      </w:r>
      <w:r>
        <w:rPr>
          <w:rFonts w:hint="eastAsia"/>
          <w:spacing w:val="-10"/>
          <w:rtl/>
          <w:lang w:eastAsia="en-GB"/>
        </w:rPr>
        <w:t>«</w:t>
      </w:r>
      <w:r>
        <w:rPr>
          <w:rFonts w:hint="cs"/>
          <w:spacing w:val="-10"/>
          <w:rtl/>
          <w:lang w:eastAsia="en-GB"/>
        </w:rPr>
        <w:t>الإقرار حجة ملزمة شرعًا ... كالبينة؛ بل أولى</w:t>
      </w:r>
      <w:r>
        <w:rPr>
          <w:rFonts w:hint="eastAsia"/>
          <w:spacing w:val="-10"/>
          <w:rtl/>
        </w:rPr>
        <w:t>»</w:t>
      </w:r>
      <w:r>
        <w:rPr>
          <w:rFonts w:hint="cs"/>
          <w:spacing w:val="-10"/>
          <w:rtl/>
          <w:lang w:eastAsia="en-GB"/>
        </w:rPr>
        <w:t xml:space="preserve">؛ كما وردت بلفظ : </w:t>
      </w:r>
      <w:r>
        <w:rPr>
          <w:rFonts w:hint="eastAsia"/>
          <w:spacing w:val="-10"/>
          <w:rtl/>
          <w:lang w:eastAsia="en-GB"/>
        </w:rPr>
        <w:t>«</w:t>
      </w:r>
      <w:r>
        <w:rPr>
          <w:rFonts w:hint="cs"/>
          <w:spacing w:val="-10"/>
          <w:rtl/>
          <w:lang w:eastAsia="en-GB"/>
        </w:rPr>
        <w:t>الإقرار ملزم بنفسه</w:t>
      </w:r>
      <w:r>
        <w:rPr>
          <w:rFonts w:hint="eastAsia"/>
          <w:spacing w:val="-10"/>
          <w:rtl/>
        </w:rPr>
        <w:t>»</w:t>
      </w:r>
      <w:r>
        <w:rPr>
          <w:rFonts w:hint="cs"/>
          <w:spacing w:val="-10"/>
          <w:rtl/>
        </w:rPr>
        <w:t xml:space="preserve"> في المبسوط، 17/36، 18/33، 108، 146، 22/120.</w:t>
      </w:r>
    </w:p>
    <w:p w:rsidR="00035BE3" w:rsidRDefault="00035BE3" w:rsidP="00C10469">
      <w:pPr>
        <w:pStyle w:val="a6"/>
        <w:ind w:left="422" w:firstLine="0"/>
        <w:rPr>
          <w:b/>
          <w:bCs/>
          <w:rtl/>
          <w:lang w:eastAsia="en-GB"/>
        </w:rPr>
      </w:pPr>
      <w:r>
        <w:rPr>
          <w:rFonts w:hint="cs"/>
          <w:b/>
          <w:bCs/>
          <w:rtl/>
          <w:lang w:eastAsia="en-GB"/>
        </w:rPr>
        <w:t xml:space="preserve">ومن كتب الفقه التي وردت فيها بمعناها : </w:t>
      </w:r>
    </w:p>
    <w:p w:rsidR="00035BE3" w:rsidRDefault="00035BE3" w:rsidP="00C10469">
      <w:pPr>
        <w:pStyle w:val="a6"/>
        <w:ind w:left="422" w:firstLine="0"/>
        <w:rPr>
          <w:rtl/>
          <w:lang w:eastAsia="en-GB"/>
        </w:rPr>
      </w:pPr>
      <w:r>
        <w:rPr>
          <w:rFonts w:hint="cs"/>
          <w:rtl/>
          <w:lang w:eastAsia="en-GB"/>
        </w:rPr>
        <w:t>شرح السير الكبير، 1/321، فقرة 453، و1/343، فـقرة 502، و4/1310، فـقرة 2489، و5/1736، فقرة 3460، و 5/1923، فقرة 3855؛ المبسوط، 11/8، 18/106؛ الهداية والعناية ونتائج الأفكار، 8/321، 348-349؛ المغني لابن قدامه، 7/262؛ الدّرر شرح الغرر، 2/332، 357؛ مغني المحتاج، 2/238، الشرح الكبير وحاشية الدسوقي عليه، 3/397.</w:t>
      </w:r>
    </w:p>
  </w:footnote>
  <w:footnote w:id="10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tl/>
        </w:rPr>
        <w:t>وممن علّل بذلك أصحاب الكتب الفقهية الآتية : المغني، 7/262؛ تبيين الحقائق، 6/224؛ الدرر شرح الغرر، 2/339؛ نتائج الأفكار، 8/319.</w:t>
      </w:r>
    </w:p>
  </w:footnote>
  <w:footnote w:id="107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 xml:space="preserve">)    </w:t>
      </w:r>
      <w:r>
        <w:rPr>
          <w:rFonts w:hint="cs"/>
          <w:rtl/>
        </w:rPr>
        <w:t xml:space="preserve">أنه : </w:t>
      </w:r>
      <w:r>
        <w:rPr>
          <w:rFonts w:hint="eastAsia"/>
          <w:rtl/>
        </w:rPr>
        <w:t>«</w:t>
      </w:r>
      <w:r>
        <w:rPr>
          <w:rFonts w:hint="cs"/>
          <w:rtl/>
        </w:rPr>
        <w:t>أي المقِرّ</w:t>
      </w:r>
      <w:r>
        <w:rPr>
          <w:rFonts w:hint="eastAsia"/>
          <w:rtl/>
        </w:rPr>
        <w:t>»</w:t>
      </w:r>
      <w:r>
        <w:rPr>
          <w:rFonts w:hint="cs"/>
          <w:rtl/>
        </w:rPr>
        <w:t>. هكذا</w:t>
      </w:r>
      <w:r>
        <w:rPr>
          <w:rtl/>
        </w:rPr>
        <w:t xml:space="preserve"> ورد تفسيرها</w:t>
      </w:r>
      <w:r>
        <w:rPr>
          <w:rFonts w:hint="cs"/>
          <w:rtl/>
        </w:rPr>
        <w:t xml:space="preserve"> في الدّرر شرح الغرر، كما ورد التصريح به في (تبيين الحقائق)، حيث جاء فيه : </w:t>
      </w:r>
      <w:r>
        <w:rPr>
          <w:rFonts w:hint="eastAsia"/>
          <w:rtl/>
        </w:rPr>
        <w:t>«</w:t>
      </w:r>
      <w:r>
        <w:rPr>
          <w:rFonts w:hint="cs"/>
          <w:rtl/>
        </w:rPr>
        <w:t xml:space="preserve">... حلف المقرّ له على أن </w:t>
      </w:r>
      <w:r>
        <w:rPr>
          <w:rFonts w:hint="cs"/>
          <w:b/>
          <w:bCs/>
          <w:rtl/>
        </w:rPr>
        <w:t>المقرّ</w:t>
      </w:r>
      <w:r>
        <w:rPr>
          <w:rFonts w:hint="cs"/>
          <w:rtl/>
        </w:rPr>
        <w:t xml:space="preserve"> ما كان كاذبًا فيما أقر به ولست بمبطل فيما تدعيه عليه من الإقرار. وهذا قول أبي يوسف ...</w:t>
      </w:r>
      <w:r>
        <w:rPr>
          <w:rFonts w:hint="eastAsia"/>
          <w:rtl/>
        </w:rPr>
        <w:t>»</w:t>
      </w:r>
      <w:r>
        <w:rPr>
          <w:rFonts w:hint="cs"/>
          <w:rtl/>
        </w:rPr>
        <w:t>.</w:t>
      </w:r>
    </w:p>
  </w:footnote>
  <w:footnote w:id="1074">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vertAlign w:val="superscript"/>
          <w:rtl/>
        </w:rPr>
        <w:t xml:space="preserve">   </w:t>
      </w:r>
      <w:r>
        <w:rPr>
          <w:rFonts w:hint="cs"/>
          <w:vertAlign w:val="superscript"/>
          <w:rtl/>
        </w:rPr>
        <w:t xml:space="preserve"> </w:t>
      </w:r>
      <w:r>
        <w:rPr>
          <w:rFonts w:hint="cs"/>
          <w:rtl/>
        </w:rPr>
        <w:t xml:space="preserve">في (أ) و(جـ) : </w:t>
      </w:r>
      <w:r>
        <w:rPr>
          <w:rFonts w:hint="eastAsia"/>
          <w:rtl/>
        </w:rPr>
        <w:t>«</w:t>
      </w:r>
      <w:r>
        <w:rPr>
          <w:rFonts w:hint="cs"/>
          <w:rtl/>
        </w:rPr>
        <w:t>ليست</w:t>
      </w:r>
      <w:r>
        <w:rPr>
          <w:rFonts w:hint="eastAsia"/>
          <w:rtl/>
        </w:rPr>
        <w:t>»</w:t>
      </w:r>
      <w:r>
        <w:rPr>
          <w:rFonts w:hint="cs"/>
          <w:rtl/>
        </w:rPr>
        <w:t>. والصحيح ما تمّ إثباته من (ب) و(د)، وهو الموافق للدّرر وتبيين الحقائق.</w:t>
      </w:r>
    </w:p>
  </w:footnote>
  <w:footnote w:id="1075">
    <w:p w:rsidR="00035BE3" w:rsidRPr="00996423" w:rsidRDefault="00035BE3" w:rsidP="00C10469">
      <w:pPr>
        <w:pStyle w:val="a8"/>
        <w:bidi/>
        <w:spacing w:line="221" w:lineRule="auto"/>
        <w:ind w:left="420" w:right="0"/>
        <w:rPr>
          <w:rtl/>
        </w:rPr>
      </w:pPr>
      <w:r>
        <w:rPr>
          <w:rFonts w:hint="cs"/>
          <w:spacing w:val="-6"/>
          <w:vertAlign w:val="superscript"/>
          <w:rtl/>
        </w:rPr>
        <w:t>(</w:t>
      </w:r>
      <w:r>
        <w:rPr>
          <w:rStyle w:val="a7"/>
          <w:spacing w:val="-6"/>
        </w:rPr>
        <w:footnoteRef/>
      </w:r>
      <w:r>
        <w:rPr>
          <w:rFonts w:hint="cs"/>
          <w:spacing w:val="-6"/>
          <w:vertAlign w:val="superscript"/>
          <w:rtl/>
        </w:rPr>
        <w:t>)</w:t>
      </w:r>
      <w:r>
        <w:rPr>
          <w:spacing w:val="-6"/>
          <w:vertAlign w:val="superscript"/>
          <w:rtl/>
        </w:rPr>
        <w:t xml:space="preserve">   </w:t>
      </w:r>
      <w:r w:rsidRPr="00996423">
        <w:rPr>
          <w:rFonts w:hint="cs"/>
          <w:rtl/>
        </w:rPr>
        <w:t xml:space="preserve">وزاد في تبيين الحقائق : </w:t>
      </w:r>
      <w:r w:rsidRPr="00996423">
        <w:rPr>
          <w:rFonts w:hint="eastAsia"/>
          <w:rtl/>
        </w:rPr>
        <w:t>«</w:t>
      </w:r>
      <w:r w:rsidRPr="00996423">
        <w:rPr>
          <w:rFonts w:hint="cs"/>
          <w:rtl/>
        </w:rPr>
        <w:t>وهذا قول أبي يوسف رحمه الله. وهو الاستحسان. وعندهما : يؤمر بتسليم المقرِّ به إلى المقرّ له، وهو القياس؛ لأن الإقرار حجة ملزمة شرعًا، فلا ي</w:t>
      </w:r>
      <w:r w:rsidRPr="00996423">
        <w:rPr>
          <w:rtl/>
        </w:rPr>
        <w:t>ص</w:t>
      </w:r>
      <w:r w:rsidRPr="00996423">
        <w:rPr>
          <w:rFonts w:hint="cs"/>
          <w:rtl/>
        </w:rPr>
        <w:t>ار معه إلى اليمين كالبينة؛ بل أولى؛ لأن احتمال الكذب فيه أبعد؛ لتضرره بذلك. ووجه الاستحسان : أن العادة ...</w:t>
      </w:r>
      <w:r w:rsidRPr="00996423">
        <w:rPr>
          <w:rFonts w:hint="eastAsia"/>
          <w:rtl/>
        </w:rPr>
        <w:t>»</w:t>
      </w:r>
      <w:r w:rsidRPr="00996423">
        <w:rPr>
          <w:rFonts w:hint="cs"/>
          <w:rtl/>
        </w:rPr>
        <w:t>، وتابعه صاحب (الدّرر) على هذا.</w:t>
      </w:r>
    </w:p>
  </w:footnote>
  <w:footnote w:id="1076">
    <w:p w:rsidR="00035BE3" w:rsidRDefault="00035BE3" w:rsidP="00C10469">
      <w:pPr>
        <w:pStyle w:val="a8"/>
        <w:bidi/>
        <w:spacing w:line="221" w:lineRule="auto"/>
        <w:ind w:left="420" w:right="0"/>
        <w:rPr>
          <w:rtl/>
          <w:lang w:eastAsia="en-GB"/>
        </w:rPr>
      </w:pPr>
      <w:r>
        <w:rPr>
          <w:rFonts w:hint="cs"/>
          <w:vertAlign w:val="superscript"/>
          <w:rtl/>
        </w:rPr>
        <w:t>(</w:t>
      </w:r>
      <w:r>
        <w:rPr>
          <w:rStyle w:val="a7"/>
        </w:rPr>
        <w:footnoteRef/>
      </w:r>
      <w:r>
        <w:rPr>
          <w:rFonts w:hint="cs"/>
          <w:vertAlign w:val="superscript"/>
          <w:rtl/>
        </w:rPr>
        <w:t>)</w:t>
      </w:r>
      <w:r>
        <w:rPr>
          <w:vertAlign w:val="superscript"/>
          <w:rtl/>
        </w:rPr>
        <w:t xml:space="preserve">   </w:t>
      </w:r>
      <w:r>
        <w:rPr>
          <w:rFonts w:hint="cs"/>
          <w:rtl/>
        </w:rPr>
        <w:t xml:space="preserve">في (ب) و(جـ) : </w:t>
      </w:r>
      <w:r>
        <w:rPr>
          <w:rFonts w:hint="eastAsia"/>
          <w:rtl/>
        </w:rPr>
        <w:t>«</w:t>
      </w:r>
      <w:r>
        <w:rPr>
          <w:rFonts w:hint="cs"/>
          <w:rtl/>
        </w:rPr>
        <w:t>ووجهه</w:t>
      </w:r>
      <w:r>
        <w:rPr>
          <w:rFonts w:hint="eastAsia"/>
          <w:rtl/>
        </w:rPr>
        <w:t>»</w:t>
      </w:r>
      <w:r>
        <w:rPr>
          <w:rFonts w:hint="cs"/>
          <w:rtl/>
        </w:rPr>
        <w:t xml:space="preserve"> بزيادة واو العطف.</w:t>
      </w:r>
    </w:p>
  </w:footnote>
  <w:footnote w:id="1077">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vertAlign w:val="superscript"/>
          <w:rtl/>
        </w:rPr>
        <w:t xml:space="preserve">    </w:t>
      </w:r>
      <w:r>
        <w:rPr>
          <w:rFonts w:hint="cs"/>
          <w:b/>
          <w:bCs/>
          <w:rtl/>
        </w:rPr>
        <w:t>الصك في اللغة</w:t>
      </w:r>
      <w:r>
        <w:rPr>
          <w:rFonts w:hint="cs"/>
          <w:rtl/>
        </w:rPr>
        <w:t xml:space="preserve"> : الكتاب، وهو لفظ فارسي معرّبٌ، جاء في (اللسان) : </w:t>
      </w:r>
      <w:r>
        <w:rPr>
          <w:rFonts w:hint="eastAsia"/>
          <w:rtl/>
        </w:rPr>
        <w:t>«</w:t>
      </w:r>
      <w:r>
        <w:rPr>
          <w:rFonts w:hint="cs"/>
          <w:rtl/>
        </w:rPr>
        <w:t>... قال أبو منصور: والصك الذي يُكتب للعُهدة، معَرَّب أصله جَكّ، ويجمعُ صكاكًا وصُكوكًا ...</w:t>
      </w:r>
      <w:r>
        <w:rPr>
          <w:rFonts w:hint="eastAsia"/>
          <w:rtl/>
        </w:rPr>
        <w:t>»</w:t>
      </w:r>
      <w:r>
        <w:rPr>
          <w:rFonts w:hint="cs"/>
          <w:rtl/>
        </w:rPr>
        <w:t xml:space="preserve">. وجاء في (المعجم الوسيط) : </w:t>
      </w:r>
      <w:r>
        <w:rPr>
          <w:rFonts w:hint="eastAsia"/>
          <w:rtl/>
        </w:rPr>
        <w:t>«</w:t>
      </w:r>
      <w:r>
        <w:rPr>
          <w:rFonts w:hint="cs"/>
          <w:rtl/>
        </w:rPr>
        <w:t>الصَّك : وثيقة بمال أو نحوه</w:t>
      </w:r>
      <w:r>
        <w:rPr>
          <w:rFonts w:hint="eastAsia"/>
          <w:rtl/>
        </w:rPr>
        <w:t>»</w:t>
      </w:r>
      <w:r>
        <w:rPr>
          <w:rFonts w:hint="cs"/>
          <w:rtl/>
        </w:rPr>
        <w:t>.</w:t>
      </w:r>
    </w:p>
    <w:p w:rsidR="00035BE3" w:rsidRDefault="00035BE3" w:rsidP="00C10469">
      <w:pPr>
        <w:pStyle w:val="a6"/>
        <w:spacing w:line="221" w:lineRule="auto"/>
        <w:ind w:left="420" w:firstLine="0"/>
        <w:rPr>
          <w:rtl/>
          <w:lang w:eastAsia="en-GB"/>
        </w:rPr>
      </w:pPr>
      <w:r>
        <w:rPr>
          <w:rFonts w:hint="cs"/>
          <w:rtl/>
          <w:lang w:eastAsia="en-GB"/>
        </w:rPr>
        <w:t>والمعنى الأخير منسجم مع السياق الذي ورد فيه (الصَّك) عند المؤلف.</w:t>
      </w:r>
    </w:p>
    <w:p w:rsidR="00035BE3" w:rsidRDefault="00035BE3" w:rsidP="00C10469">
      <w:pPr>
        <w:pStyle w:val="a6"/>
        <w:spacing w:line="221" w:lineRule="auto"/>
        <w:ind w:left="420" w:firstLine="0"/>
        <w:rPr>
          <w:rtl/>
        </w:rPr>
      </w:pPr>
      <w:r>
        <w:rPr>
          <w:rFonts w:hint="cs"/>
          <w:rtl/>
          <w:lang w:eastAsia="en-GB"/>
        </w:rPr>
        <w:t xml:space="preserve">لسان العرب، مادة </w:t>
      </w:r>
      <w:r>
        <w:rPr>
          <w:rFonts w:hint="eastAsia"/>
          <w:rtl/>
          <w:lang w:eastAsia="en-GB"/>
        </w:rPr>
        <w:t>«</w:t>
      </w:r>
      <w:r>
        <w:rPr>
          <w:rFonts w:hint="cs"/>
          <w:rtl/>
          <w:lang w:eastAsia="en-GB"/>
        </w:rPr>
        <w:t>صكك</w:t>
      </w:r>
      <w:r>
        <w:rPr>
          <w:rFonts w:hint="eastAsia"/>
          <w:rtl/>
          <w:lang w:eastAsia="en-GB"/>
        </w:rPr>
        <w:t>»</w:t>
      </w:r>
      <w:r>
        <w:rPr>
          <w:rFonts w:hint="cs"/>
          <w:rtl/>
          <w:lang w:eastAsia="en-GB"/>
        </w:rPr>
        <w:t xml:space="preserve">، 10/457؛ المعجم الوسيط، مادة </w:t>
      </w:r>
      <w:r>
        <w:rPr>
          <w:rFonts w:hint="eastAsia"/>
          <w:rtl/>
          <w:lang w:eastAsia="en-GB"/>
        </w:rPr>
        <w:t>«</w:t>
      </w:r>
      <w:r>
        <w:rPr>
          <w:rFonts w:hint="cs"/>
          <w:rtl/>
          <w:lang w:eastAsia="en-GB"/>
        </w:rPr>
        <w:t>صكّ</w:t>
      </w:r>
      <w:r>
        <w:rPr>
          <w:rFonts w:hint="eastAsia"/>
          <w:rtl/>
          <w:lang w:eastAsia="en-GB"/>
        </w:rPr>
        <w:t>»</w:t>
      </w:r>
      <w:r>
        <w:rPr>
          <w:rFonts w:hint="cs"/>
          <w:rtl/>
          <w:lang w:eastAsia="en-GB"/>
        </w:rPr>
        <w:t xml:space="preserve">، 1/519؛ وانظر : القاموس المحيط، مادة </w:t>
      </w:r>
      <w:r>
        <w:rPr>
          <w:rFonts w:hint="eastAsia"/>
          <w:rtl/>
          <w:lang w:eastAsia="en-GB"/>
        </w:rPr>
        <w:t>«</w:t>
      </w:r>
      <w:r>
        <w:rPr>
          <w:rFonts w:hint="cs"/>
          <w:rtl/>
          <w:lang w:eastAsia="en-GB"/>
        </w:rPr>
        <w:t>صكّ</w:t>
      </w:r>
      <w:r>
        <w:rPr>
          <w:rFonts w:hint="eastAsia"/>
          <w:rtl/>
          <w:lang w:eastAsia="en-GB"/>
        </w:rPr>
        <w:t>»</w:t>
      </w:r>
      <w:r>
        <w:rPr>
          <w:rFonts w:hint="cs"/>
          <w:rtl/>
          <w:lang w:eastAsia="en-GB"/>
        </w:rPr>
        <w:t>، ص1221-1222.</w:t>
      </w:r>
    </w:p>
  </w:footnote>
  <w:footnote w:id="107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vertAlign w:val="superscript"/>
          <w:rtl/>
        </w:rPr>
        <w:t xml:space="preserve">   </w:t>
      </w:r>
      <w:r>
        <w:rPr>
          <w:rFonts w:hint="cs"/>
          <w:rtl/>
        </w:rPr>
        <w:t xml:space="preserve">في (أ) و(جـ) : </w:t>
      </w:r>
      <w:r>
        <w:rPr>
          <w:rFonts w:hint="eastAsia"/>
          <w:rtl/>
        </w:rPr>
        <w:t>«</w:t>
      </w:r>
      <w:r>
        <w:rPr>
          <w:rFonts w:hint="cs"/>
          <w:rtl/>
        </w:rPr>
        <w:t>الجنايات</w:t>
      </w:r>
      <w:r>
        <w:rPr>
          <w:rFonts w:hint="eastAsia"/>
          <w:rtl/>
        </w:rPr>
        <w:t>»</w:t>
      </w:r>
      <w:r>
        <w:rPr>
          <w:rFonts w:hint="cs"/>
          <w:rtl/>
        </w:rPr>
        <w:t xml:space="preserve">، وفي (ب) : </w:t>
      </w:r>
      <w:r>
        <w:rPr>
          <w:rFonts w:hint="eastAsia"/>
          <w:rtl/>
        </w:rPr>
        <w:t>«</w:t>
      </w:r>
      <w:r>
        <w:rPr>
          <w:rFonts w:hint="cs"/>
          <w:rtl/>
        </w:rPr>
        <w:t>الخيا</w:t>
      </w:r>
      <w:r>
        <w:rPr>
          <w:rtl/>
        </w:rPr>
        <w:t>ي</w:t>
      </w:r>
      <w:r>
        <w:rPr>
          <w:rFonts w:hint="cs"/>
          <w:rtl/>
        </w:rPr>
        <w:t>ات</w:t>
      </w:r>
      <w:r>
        <w:rPr>
          <w:rFonts w:hint="eastAsia"/>
          <w:rtl/>
        </w:rPr>
        <w:t>»</w:t>
      </w:r>
      <w:r>
        <w:rPr>
          <w:rFonts w:hint="cs"/>
          <w:rtl/>
        </w:rPr>
        <w:t>، و</w:t>
      </w:r>
      <w:r>
        <w:rPr>
          <w:rtl/>
        </w:rPr>
        <w:t xml:space="preserve">كذلك </w:t>
      </w:r>
      <w:r>
        <w:rPr>
          <w:rFonts w:hint="cs"/>
          <w:rtl/>
        </w:rPr>
        <w:t>في (هـ)</w:t>
      </w:r>
      <w:r>
        <w:rPr>
          <w:rtl/>
        </w:rPr>
        <w:t xml:space="preserve"> </w:t>
      </w:r>
      <w:r>
        <w:rPr>
          <w:rFonts w:hint="cs"/>
          <w:rtl/>
        </w:rPr>
        <w:t>و</w:t>
      </w:r>
      <w:r>
        <w:rPr>
          <w:rtl/>
        </w:rPr>
        <w:t>لكن مع رسم الياء الثانية بالنون أيضا.</w:t>
      </w:r>
      <w:r>
        <w:rPr>
          <w:rFonts w:hint="cs"/>
          <w:rtl/>
        </w:rPr>
        <w:t xml:space="preserve"> والمُثبت من (د) و(و) هو الصحيح؛ لدلالة السياق؛ ووفاقًا لتبيين الحقائق والدّرر.</w:t>
      </w:r>
    </w:p>
  </w:footnote>
  <w:footnote w:id="1079">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11/ب من (ب). وفي (تبيين الحقائق) : </w:t>
      </w:r>
      <w:r>
        <w:rPr>
          <w:rFonts w:hint="eastAsia"/>
          <w:rtl/>
        </w:rPr>
        <w:t>«</w:t>
      </w:r>
      <w:r>
        <w:rPr>
          <w:rFonts w:hint="cs"/>
          <w:rtl/>
        </w:rPr>
        <w:t>تضره</w:t>
      </w:r>
      <w:r>
        <w:rPr>
          <w:rFonts w:hint="eastAsia"/>
          <w:rtl/>
        </w:rPr>
        <w:t>»</w:t>
      </w:r>
      <w:r>
        <w:rPr>
          <w:rFonts w:hint="cs"/>
          <w:rtl/>
        </w:rPr>
        <w:t>. وهذا الأفصح.</w:t>
      </w:r>
    </w:p>
  </w:footnote>
  <w:footnote w:id="1080">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تبيين الحقائق والدّرر زيادة : </w:t>
      </w:r>
      <w:r>
        <w:rPr>
          <w:rFonts w:hint="eastAsia"/>
          <w:rtl/>
        </w:rPr>
        <w:t>«</w:t>
      </w:r>
      <w:r>
        <w:rPr>
          <w:rFonts w:hint="cs"/>
          <w:rtl/>
        </w:rPr>
        <w:t>إن كان</w:t>
      </w:r>
      <w:r>
        <w:rPr>
          <w:rFonts w:hint="eastAsia"/>
          <w:rtl/>
        </w:rPr>
        <w:t>»</w:t>
      </w:r>
      <w:r>
        <w:rPr>
          <w:rFonts w:hint="cs"/>
          <w:rtl/>
        </w:rPr>
        <w:t>.</w:t>
      </w:r>
    </w:p>
  </w:footnote>
  <w:footnote w:id="1081">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تبيين الحقائق والدّرر : </w:t>
      </w:r>
      <w:r>
        <w:rPr>
          <w:rFonts w:hint="eastAsia"/>
          <w:rtl/>
        </w:rPr>
        <w:t>«</w:t>
      </w:r>
      <w:r>
        <w:rPr>
          <w:rFonts w:hint="cs"/>
          <w:rtl/>
        </w:rPr>
        <w:t>فيصار</w:t>
      </w:r>
      <w:r>
        <w:rPr>
          <w:rFonts w:hint="eastAsia"/>
          <w:rtl/>
        </w:rPr>
        <w:t>»</w:t>
      </w:r>
      <w:r>
        <w:rPr>
          <w:rFonts w:hint="cs"/>
          <w:rtl/>
        </w:rPr>
        <w:t>، وهذا الأولى.</w:t>
      </w:r>
    </w:p>
  </w:footnote>
  <w:footnote w:id="108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526BFB">
        <w:rPr>
          <w:rFonts w:hint="cs"/>
          <w:spacing w:val="-2"/>
          <w:rtl/>
        </w:rPr>
        <w:t xml:space="preserve">تبيين الحقائق، 6/223-224؛ الدّرر، 2/339، مع اختلاف سبقت الإشارة إلى أهمه؛ وانظر: </w:t>
      </w:r>
      <w:r>
        <w:rPr>
          <w:rFonts w:hint="cs"/>
          <w:rtl/>
        </w:rPr>
        <w:t>الدّرر، 2/367.</w:t>
      </w:r>
    </w:p>
  </w:footnote>
  <w:footnote w:id="10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يدل السياق على أن (ما) هنا يمكن حملها على أحد معنيين :</w:t>
      </w:r>
    </w:p>
    <w:p w:rsidR="00035BE3" w:rsidRDefault="00035BE3" w:rsidP="00C10469">
      <w:pPr>
        <w:pStyle w:val="a6"/>
        <w:ind w:left="420" w:firstLine="0"/>
        <w:rPr>
          <w:spacing w:val="-10"/>
          <w:rtl/>
        </w:rPr>
      </w:pPr>
      <w:r>
        <w:rPr>
          <w:rFonts w:hint="cs"/>
          <w:b/>
          <w:bCs/>
          <w:spacing w:val="-10"/>
          <w:rtl/>
        </w:rPr>
        <w:t>الأول</w:t>
      </w:r>
      <w:r>
        <w:rPr>
          <w:rFonts w:hint="cs"/>
          <w:spacing w:val="-10"/>
          <w:rtl/>
        </w:rPr>
        <w:t xml:space="preserve"> : كـونـها مـصـدريـة مـؤولـة مـع ما بعـدها بـمصدر، والتقدير : </w:t>
      </w:r>
      <w:r>
        <w:rPr>
          <w:rFonts w:hint="eastAsia"/>
          <w:spacing w:val="-10"/>
          <w:rtl/>
        </w:rPr>
        <w:t>«</w:t>
      </w:r>
      <w:r>
        <w:rPr>
          <w:rFonts w:hint="cs"/>
          <w:spacing w:val="-10"/>
          <w:rtl/>
        </w:rPr>
        <w:t xml:space="preserve">وخرج عن هذا الأصل </w:t>
      </w:r>
      <w:r>
        <w:rPr>
          <w:rFonts w:hint="cs"/>
          <w:b/>
          <w:bCs/>
          <w:spacing w:val="-10"/>
          <w:rtl/>
        </w:rPr>
        <w:t>قول</w:t>
      </w:r>
      <w:r>
        <w:rPr>
          <w:rFonts w:hint="cs"/>
          <w:spacing w:val="-10"/>
          <w:rtl/>
        </w:rPr>
        <w:t xml:space="preserve"> رجل لآخر ...</w:t>
      </w:r>
      <w:r>
        <w:rPr>
          <w:rFonts w:hint="eastAsia"/>
          <w:spacing w:val="-10"/>
          <w:rtl/>
        </w:rPr>
        <w:t>»</w:t>
      </w:r>
      <w:r>
        <w:rPr>
          <w:rFonts w:hint="cs"/>
          <w:spacing w:val="-10"/>
          <w:rtl/>
        </w:rPr>
        <w:t>.</w:t>
      </w:r>
    </w:p>
    <w:p w:rsidR="00035BE3" w:rsidRDefault="00035BE3" w:rsidP="00C10469">
      <w:pPr>
        <w:pStyle w:val="a6"/>
        <w:ind w:left="420" w:firstLine="0"/>
        <w:rPr>
          <w:spacing w:val="10"/>
          <w:rtl/>
        </w:rPr>
      </w:pPr>
      <w:r>
        <w:rPr>
          <w:rFonts w:hint="cs"/>
          <w:b/>
          <w:bCs/>
          <w:spacing w:val="10"/>
          <w:rtl/>
        </w:rPr>
        <w:t>الثاني</w:t>
      </w:r>
      <w:r>
        <w:rPr>
          <w:rFonts w:hint="cs"/>
          <w:spacing w:val="10"/>
          <w:rtl/>
        </w:rPr>
        <w:t xml:space="preserve"> : كونها شرطية. ولم يظهر لي ما يمنع ذلك لغة؛ ولاسيـما أن أهـل اللـغة نـصُّوا على أن (ما) تأتي شرطية جازمة لـفـعليـن شأنـها شـأن بـقـية أدوات الشرط الجازمة لفعلين - وهذان الفعلان يمكن أن يـكـونا ماض</w:t>
      </w:r>
      <w:r>
        <w:rPr>
          <w:spacing w:val="10"/>
          <w:rtl/>
        </w:rPr>
        <w:t>ي</w:t>
      </w:r>
      <w:r>
        <w:rPr>
          <w:rFonts w:hint="cs"/>
          <w:spacing w:val="10"/>
          <w:rtl/>
        </w:rPr>
        <w:t xml:space="preserve">ين، فيكون جزمهما محلاً؛ لأن لفظ الماضي </w:t>
      </w:r>
      <w:r>
        <w:rPr>
          <w:rFonts w:hint="eastAsia"/>
          <w:spacing w:val="10"/>
          <w:rtl/>
        </w:rPr>
        <w:t>«</w:t>
      </w:r>
      <w:r>
        <w:rPr>
          <w:rFonts w:hint="cs"/>
          <w:spacing w:val="10"/>
          <w:rtl/>
        </w:rPr>
        <w:t>لا يجزم، وإنما يكون في محل جزم، ومعناه ينقلب إلى ال</w:t>
      </w:r>
      <w:r>
        <w:rPr>
          <w:spacing w:val="10"/>
          <w:rtl/>
        </w:rPr>
        <w:t>ا</w:t>
      </w:r>
      <w:r>
        <w:rPr>
          <w:rFonts w:hint="cs"/>
          <w:spacing w:val="10"/>
          <w:rtl/>
        </w:rPr>
        <w:t>ستقبال؛ لأن أدوات الشرط الجازمة تجعل زمن شرطها وجوابها مستقبلاً خالصًا</w:t>
      </w:r>
      <w:r>
        <w:rPr>
          <w:rFonts w:hint="eastAsia"/>
          <w:spacing w:val="10"/>
          <w:rtl/>
        </w:rPr>
        <w:t>»</w:t>
      </w:r>
      <w:r>
        <w:rPr>
          <w:rFonts w:hint="cs"/>
          <w:spacing w:val="10"/>
          <w:rtl/>
        </w:rPr>
        <w:t>.</w:t>
      </w:r>
    </w:p>
    <w:p w:rsidR="00035BE3" w:rsidRDefault="00035BE3" w:rsidP="00C10469">
      <w:pPr>
        <w:pStyle w:val="a6"/>
        <w:ind w:left="420" w:firstLine="0"/>
        <w:rPr>
          <w:spacing w:val="8"/>
          <w:rtl/>
          <w:lang w:eastAsia="en-GB"/>
        </w:rPr>
      </w:pPr>
      <w:r>
        <w:rPr>
          <w:rFonts w:hint="cs"/>
          <w:spacing w:val="8"/>
          <w:rtl/>
          <w:lang w:eastAsia="en-GB"/>
        </w:rPr>
        <w:t>الـنـص الـمـذكـور مـنـقـول مـن ضـيـاء الـسـالـك، 4/41؛ وانـظر ما يـتـعلق بشـرطيـة (مـا) في: الـجـني الـدّانـي فـي حـروف الـمعـانـي، ص336؛ أوضح المسالك وشرحه: عدة السالك، 4/205؛ مغني اللبيب، 1/492-493؛ المعجم المفصّل في النحو العربي، 2/910.</w:t>
      </w:r>
    </w:p>
  </w:footnote>
  <w:footnote w:id="1084">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متى</w:t>
      </w:r>
      <w:r>
        <w:rPr>
          <w:rFonts w:hint="eastAsia"/>
          <w:rtl/>
        </w:rPr>
        <w:t>»</w:t>
      </w:r>
      <w:r>
        <w:rPr>
          <w:rFonts w:hint="cs"/>
          <w:rtl/>
        </w:rPr>
        <w:t>.</w:t>
      </w:r>
    </w:p>
  </w:footnote>
  <w:footnote w:id="1085">
    <w:p w:rsidR="00035BE3" w:rsidRDefault="00035BE3" w:rsidP="00C10469">
      <w:pPr>
        <w:pStyle w:val="a8"/>
        <w:bidi/>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3311E9">
        <w:rPr>
          <w:rFonts w:hint="cs"/>
          <w:spacing w:val="6"/>
          <w:rtl/>
        </w:rPr>
        <w:t xml:space="preserve">الفـاعـل لِـ (أنـكر) والمـفعول به مـحذوفان، وقد صرّح بهما صاحب (الدّرر) </w:t>
      </w:r>
      <w:r>
        <w:rPr>
          <w:rFonts w:hint="cs"/>
          <w:spacing w:val="8"/>
          <w:rtl/>
        </w:rPr>
        <w:t xml:space="preserve">فقال: </w:t>
      </w:r>
      <w:r>
        <w:rPr>
          <w:rFonts w:hint="eastAsia"/>
          <w:spacing w:val="8"/>
          <w:rtl/>
        </w:rPr>
        <w:t>«</w:t>
      </w:r>
      <w:r>
        <w:rPr>
          <w:rFonts w:hint="cs"/>
          <w:spacing w:val="8"/>
          <w:rtl/>
        </w:rPr>
        <w:t>أي الآخرُ الشراء</w:t>
      </w:r>
      <w:r>
        <w:rPr>
          <w:spacing w:val="8"/>
          <w:rtl/>
        </w:rPr>
        <w:t>َ</w:t>
      </w:r>
      <w:r>
        <w:rPr>
          <w:rFonts w:hint="eastAsia"/>
          <w:spacing w:val="8"/>
          <w:rtl/>
        </w:rPr>
        <w:t>»</w:t>
      </w:r>
      <w:r>
        <w:rPr>
          <w:rFonts w:hint="cs"/>
          <w:spacing w:val="8"/>
          <w:rtl/>
        </w:rPr>
        <w:t>.</w:t>
      </w:r>
    </w:p>
  </w:footnote>
  <w:footnote w:id="1086">
    <w:p w:rsidR="00035BE3" w:rsidRDefault="00035BE3" w:rsidP="00C10469">
      <w:pPr>
        <w:pStyle w:val="a8"/>
        <w:bidi/>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و(د) : </w:t>
      </w:r>
      <w:r>
        <w:rPr>
          <w:rFonts w:hint="eastAsia"/>
          <w:spacing w:val="8"/>
          <w:rtl/>
        </w:rPr>
        <w:t>«</w:t>
      </w:r>
      <w:r>
        <w:rPr>
          <w:rFonts w:hint="cs"/>
          <w:spacing w:val="8"/>
          <w:rtl/>
        </w:rPr>
        <w:t>جوازها</w:t>
      </w:r>
      <w:r>
        <w:rPr>
          <w:rFonts w:hint="eastAsia"/>
          <w:spacing w:val="8"/>
          <w:rtl/>
        </w:rPr>
        <w:t>»</w:t>
      </w:r>
      <w:r>
        <w:rPr>
          <w:rFonts w:hint="cs"/>
          <w:spacing w:val="8"/>
          <w:rtl/>
        </w:rPr>
        <w:t xml:space="preserve">. والصحيح ما تمَّ إثباته من (ب)؛ لأن الضمير يعود إلى الوطء، والوطء مذكر، </w:t>
      </w:r>
      <w:r>
        <w:rPr>
          <w:spacing w:val="8"/>
          <w:rtl/>
        </w:rPr>
        <w:t>ف</w:t>
      </w:r>
      <w:r>
        <w:rPr>
          <w:rFonts w:hint="cs"/>
          <w:spacing w:val="8"/>
          <w:rtl/>
        </w:rPr>
        <w:t>ناسب أن يكون الضمير العائد إليه مذكرًا أيضًا. علمًا بأن</w:t>
      </w:r>
      <w:r>
        <w:rPr>
          <w:spacing w:val="8"/>
          <w:rtl/>
        </w:rPr>
        <w:t>ه</w:t>
      </w:r>
      <w:r>
        <w:rPr>
          <w:rFonts w:hint="cs"/>
          <w:spacing w:val="8"/>
          <w:rtl/>
        </w:rPr>
        <w:t xml:space="preserve"> جاء في الدّرر : </w:t>
      </w:r>
      <w:r>
        <w:rPr>
          <w:rFonts w:hint="eastAsia"/>
          <w:spacing w:val="8"/>
          <w:rtl/>
        </w:rPr>
        <w:t>«</w:t>
      </w:r>
      <w:r>
        <w:rPr>
          <w:rFonts w:hint="cs"/>
          <w:spacing w:val="8"/>
          <w:rtl/>
        </w:rPr>
        <w:t>... أيْ: جاز لمن قال : (اشتريت</w:t>
      </w:r>
      <w:r>
        <w:rPr>
          <w:spacing w:val="8"/>
          <w:rtl/>
        </w:rPr>
        <w:t>َ</w:t>
      </w:r>
      <w:r>
        <w:rPr>
          <w:rFonts w:hint="cs"/>
          <w:spacing w:val="8"/>
          <w:rtl/>
        </w:rPr>
        <w:t>) وطؤُها، وكان الظاهر أن لا يجوز لإقراره بملك الغير إن ترك أي البائع</w:t>
      </w:r>
      <w:r>
        <w:rPr>
          <w:spacing w:val="8"/>
          <w:rtl/>
        </w:rPr>
        <w:t xml:space="preserve"> </w:t>
      </w:r>
      <w:r>
        <w:rPr>
          <w:rFonts w:hint="cs"/>
          <w:spacing w:val="8"/>
          <w:rtl/>
        </w:rPr>
        <w:t>الخصومة؛ لأن المشتري لمَّا جحد كان فسخًا ...</w:t>
      </w:r>
      <w:r>
        <w:rPr>
          <w:rFonts w:hint="eastAsia"/>
          <w:spacing w:val="8"/>
          <w:rtl/>
        </w:rPr>
        <w:t>»</w:t>
      </w:r>
      <w:r>
        <w:rPr>
          <w:rFonts w:hint="cs"/>
          <w:spacing w:val="8"/>
          <w:rtl/>
        </w:rPr>
        <w:t>.</w:t>
      </w:r>
    </w:p>
  </w:footnote>
  <w:footnote w:id="1087">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11/ب من (د).</w:t>
      </w:r>
    </w:p>
  </w:footnote>
  <w:footnote w:id="10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باقتران</w:t>
      </w:r>
      <w:r>
        <w:rPr>
          <w:rFonts w:hint="eastAsia"/>
          <w:rtl/>
        </w:rPr>
        <w:t>»</w:t>
      </w:r>
      <w:r>
        <w:rPr>
          <w:rFonts w:hint="cs"/>
          <w:rtl/>
        </w:rPr>
        <w:t xml:space="preserve">؛ وفاقًا للدّرر، وفي (ب) : </w:t>
      </w:r>
      <w:r>
        <w:rPr>
          <w:rFonts w:hint="eastAsia"/>
          <w:rtl/>
        </w:rPr>
        <w:t>«</w:t>
      </w:r>
      <w:r>
        <w:rPr>
          <w:rFonts w:hint="cs"/>
          <w:rtl/>
        </w:rPr>
        <w:t>ب</w:t>
      </w:r>
      <w:r>
        <w:rPr>
          <w:rtl/>
        </w:rPr>
        <w:t>إ</w:t>
      </w:r>
      <w:r>
        <w:rPr>
          <w:rFonts w:hint="cs"/>
          <w:rtl/>
        </w:rPr>
        <w:t>قران أن</w:t>
      </w:r>
      <w:r>
        <w:rPr>
          <w:rFonts w:hint="eastAsia"/>
          <w:rtl/>
        </w:rPr>
        <w:t>»</w:t>
      </w:r>
      <w:r>
        <w:rPr>
          <w:rFonts w:hint="cs"/>
          <w:rtl/>
        </w:rPr>
        <w:t xml:space="preserve"> (بزيادة أن).</w:t>
      </w:r>
    </w:p>
  </w:footnote>
  <w:footnote w:id="10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الأحكام</w:t>
      </w:r>
      <w:r>
        <w:rPr>
          <w:rFonts w:hint="eastAsia"/>
          <w:rtl/>
        </w:rPr>
        <w:t>»</w:t>
      </w:r>
      <w:r>
        <w:rPr>
          <w:rFonts w:hint="cs"/>
          <w:rtl/>
        </w:rPr>
        <w:t>.</w:t>
      </w:r>
    </w:p>
  </w:footnote>
  <w:footnote w:id="10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2/416 -مع اختلاف سبق</w:t>
      </w:r>
      <w:r>
        <w:rPr>
          <w:rtl/>
        </w:rPr>
        <w:t>ت</w:t>
      </w:r>
      <w:r>
        <w:rPr>
          <w:rFonts w:hint="cs"/>
          <w:rtl/>
        </w:rPr>
        <w:t xml:space="preserve"> الإشارة إلى أهمه-.</w:t>
      </w:r>
    </w:p>
    <w:p w:rsidR="00035BE3" w:rsidRDefault="00035BE3" w:rsidP="00C10469">
      <w:pPr>
        <w:pStyle w:val="a6"/>
        <w:ind w:left="422" w:firstLine="0"/>
        <w:rPr>
          <w:rtl/>
          <w:lang w:eastAsia="en-GB"/>
        </w:rPr>
      </w:pPr>
      <w:r>
        <w:rPr>
          <w:rFonts w:hint="cs"/>
          <w:b/>
          <w:bCs/>
          <w:rtl/>
          <w:lang w:eastAsia="en-GB"/>
        </w:rPr>
        <w:t>و(درر الحكام ):</w:t>
      </w:r>
      <w:r>
        <w:rPr>
          <w:rFonts w:hint="cs"/>
          <w:rtl/>
          <w:lang w:eastAsia="en-GB"/>
        </w:rPr>
        <w:t xml:space="preserve"> من كتب الشروح المهمّة في فروع الحنفية؛ إذ هو شرح لغرر الأحكام، كلاهما للقاضي محمد بن فراموز- أوفرامرز </w:t>
      </w:r>
      <w:r>
        <w:rPr>
          <w:lang w:eastAsia="en-GB"/>
        </w:rPr>
        <w:t>–</w:t>
      </w:r>
      <w:r>
        <w:rPr>
          <w:rFonts w:hint="cs"/>
          <w:rtl/>
          <w:lang w:eastAsia="en-GB"/>
        </w:rPr>
        <w:t xml:space="preserve"> بن علي، الشهير بملا </w:t>
      </w:r>
      <w:r>
        <w:rPr>
          <w:lang w:eastAsia="en-GB"/>
        </w:rPr>
        <w:t>–</w:t>
      </w:r>
      <w:r>
        <w:rPr>
          <w:rFonts w:hint="cs"/>
          <w:rtl/>
          <w:lang w:eastAsia="en-GB"/>
        </w:rPr>
        <w:t xml:space="preserve"> أو </w:t>
      </w:r>
      <w:r>
        <w:rPr>
          <w:rtl/>
          <w:lang w:eastAsia="en-GB"/>
        </w:rPr>
        <w:t>من</w:t>
      </w:r>
      <w:r>
        <w:rPr>
          <w:rFonts w:hint="cs"/>
          <w:rtl/>
          <w:lang w:eastAsia="en-GB"/>
        </w:rPr>
        <w:t>لا أو المولى - خسرو (ت885هـ)، وقد فرغ من تأليفه سنة 883هـ.</w:t>
      </w:r>
    </w:p>
    <w:p w:rsidR="00035BE3" w:rsidRDefault="00035BE3" w:rsidP="00C10469">
      <w:pPr>
        <w:pStyle w:val="a6"/>
        <w:ind w:left="422" w:firstLine="0"/>
        <w:rPr>
          <w:rtl/>
          <w:lang w:eastAsia="en-GB"/>
        </w:rPr>
      </w:pPr>
      <w:r>
        <w:rPr>
          <w:rFonts w:hint="cs"/>
          <w:rtl/>
          <w:lang w:eastAsia="en-GB"/>
        </w:rPr>
        <w:t xml:space="preserve">ورَتَّبَهُ مؤلِّفُه </w:t>
      </w:r>
      <w:r>
        <w:rPr>
          <w:rFonts w:hint="eastAsia"/>
          <w:rtl/>
          <w:lang w:eastAsia="en-GB"/>
        </w:rPr>
        <w:t>«</w:t>
      </w:r>
      <w:r>
        <w:rPr>
          <w:rFonts w:hint="cs"/>
          <w:rtl/>
          <w:lang w:eastAsia="en-GB"/>
        </w:rPr>
        <w:t>على أبواب الفقه، وفيه خمسة وخمسون كتابًا، فيها مائة وعشرون بابًا، وخمسة وثلاثون فصلاً، وتذنيبات، وثلاث مسائل شتى، وتك</w:t>
      </w:r>
      <w:r>
        <w:rPr>
          <w:rtl/>
          <w:lang w:eastAsia="en-GB"/>
        </w:rPr>
        <w:t>م</w:t>
      </w:r>
      <w:r>
        <w:rPr>
          <w:rFonts w:hint="cs"/>
          <w:rtl/>
          <w:lang w:eastAsia="en-GB"/>
        </w:rPr>
        <w:t>لة وتتمة وتنبيه، وفيه تسعون قولاً بلفظ : أقول، ... والكتاب معتمد عند الحنفية، وفيه من الفوائد مالا توجد في غيره، ويمتاز بالدِّقة والإحكام، ويقتصر على الأقوال الراجحة</w:t>
      </w:r>
      <w:r>
        <w:rPr>
          <w:rFonts w:hint="eastAsia"/>
          <w:rtl/>
          <w:lang w:eastAsia="en-GB"/>
        </w:rPr>
        <w:t>»</w:t>
      </w:r>
      <w:r>
        <w:rPr>
          <w:rFonts w:hint="cs"/>
          <w:rtl/>
          <w:lang w:eastAsia="en-GB"/>
        </w:rPr>
        <w:t>- كذا في مرجع العلوم الإسلامية-</w:t>
      </w:r>
      <w:r>
        <w:rPr>
          <w:rtl/>
          <w:lang w:eastAsia="en-GB"/>
        </w:rPr>
        <w:t>.</w:t>
      </w:r>
    </w:p>
    <w:p w:rsidR="00035BE3" w:rsidRDefault="00035BE3" w:rsidP="00C10469">
      <w:pPr>
        <w:pStyle w:val="a6"/>
        <w:ind w:left="422" w:firstLine="0"/>
        <w:rPr>
          <w:rtl/>
          <w:lang w:eastAsia="en-GB"/>
        </w:rPr>
      </w:pPr>
      <w:r>
        <w:rPr>
          <w:rFonts w:hint="cs"/>
          <w:rtl/>
          <w:lang w:eastAsia="en-GB"/>
        </w:rPr>
        <w:t>وممّا يدل على أهميته : كثرة المصنفات حوله- على الرغم من تأخره-، وقد ذكر منها صاحب (كشف الظنون) واحداً وعشرين كتابًا.</w:t>
      </w:r>
    </w:p>
    <w:p w:rsidR="00035BE3" w:rsidRDefault="00035BE3" w:rsidP="00C10469">
      <w:pPr>
        <w:pStyle w:val="a6"/>
        <w:ind w:left="422" w:firstLine="0"/>
        <w:rPr>
          <w:rtl/>
          <w:lang w:eastAsia="en-GB"/>
        </w:rPr>
      </w:pPr>
      <w:r>
        <w:rPr>
          <w:rFonts w:hint="cs"/>
          <w:rtl/>
          <w:lang w:eastAsia="en-GB"/>
        </w:rPr>
        <w:t>وللكتاب عدّة طبعات قديمة منها :</w:t>
      </w:r>
    </w:p>
    <w:p w:rsidR="00035BE3" w:rsidRDefault="00035BE3" w:rsidP="00C10469">
      <w:pPr>
        <w:pStyle w:val="a6"/>
        <w:ind w:left="422" w:firstLine="0"/>
        <w:rPr>
          <w:rtl/>
          <w:lang w:eastAsia="en-GB"/>
        </w:rPr>
      </w:pPr>
      <w:r>
        <w:rPr>
          <w:rFonts w:hint="cs"/>
          <w:rtl/>
          <w:lang w:eastAsia="en-GB"/>
        </w:rPr>
        <w:t>1- مطبعة مصطفى وه</w:t>
      </w:r>
      <w:r>
        <w:rPr>
          <w:rtl/>
          <w:lang w:eastAsia="en-GB"/>
        </w:rPr>
        <w:t>ـ</w:t>
      </w:r>
      <w:r>
        <w:rPr>
          <w:rFonts w:hint="cs"/>
          <w:rtl/>
          <w:lang w:eastAsia="en-GB"/>
        </w:rPr>
        <w:t>ب</w:t>
      </w:r>
      <w:r>
        <w:rPr>
          <w:rtl/>
          <w:lang w:eastAsia="en-GB"/>
        </w:rPr>
        <w:t>ـ</w:t>
      </w:r>
      <w:r>
        <w:rPr>
          <w:rFonts w:hint="cs"/>
          <w:rtl/>
          <w:lang w:eastAsia="en-GB"/>
        </w:rPr>
        <w:t>ي، عام 1294هـ، وبها</w:t>
      </w:r>
      <w:r>
        <w:rPr>
          <w:rtl/>
          <w:lang w:eastAsia="en-GB"/>
        </w:rPr>
        <w:t>مشه</w:t>
      </w:r>
      <w:r>
        <w:rPr>
          <w:rFonts w:hint="cs"/>
          <w:rtl/>
          <w:lang w:eastAsia="en-GB"/>
        </w:rPr>
        <w:t xml:space="preserve"> : غنية ذوي ال</w:t>
      </w:r>
      <w:r>
        <w:rPr>
          <w:rtl/>
          <w:lang w:eastAsia="en-GB"/>
        </w:rPr>
        <w:t>أ</w:t>
      </w:r>
      <w:r>
        <w:rPr>
          <w:rFonts w:hint="cs"/>
          <w:rtl/>
          <w:lang w:eastAsia="en-GB"/>
        </w:rPr>
        <w:t>حكام في بغية درر الحكام لحسن الشرنبلالي (ت 1069 هـ)</w:t>
      </w:r>
    </w:p>
    <w:p w:rsidR="00035BE3" w:rsidRDefault="00035BE3" w:rsidP="00C10469">
      <w:pPr>
        <w:pStyle w:val="a6"/>
        <w:ind w:left="422" w:firstLine="0"/>
        <w:rPr>
          <w:rtl/>
          <w:lang w:eastAsia="en-GB"/>
        </w:rPr>
      </w:pPr>
      <w:r>
        <w:rPr>
          <w:rFonts w:hint="cs"/>
          <w:rtl/>
          <w:lang w:eastAsia="en-GB"/>
        </w:rPr>
        <w:t>2- وكذلك طبع وبها</w:t>
      </w:r>
      <w:r>
        <w:rPr>
          <w:rtl/>
          <w:lang w:eastAsia="en-GB"/>
        </w:rPr>
        <w:t>مشه</w:t>
      </w:r>
      <w:r>
        <w:rPr>
          <w:rFonts w:hint="cs"/>
          <w:rtl/>
          <w:lang w:eastAsia="en-GB"/>
        </w:rPr>
        <w:t xml:space="preserve"> الكتاب المذكور في المطبعة العامرة الشرفية بالقاهرة</w:t>
      </w:r>
      <w:r>
        <w:rPr>
          <w:rtl/>
          <w:lang w:eastAsia="en-GB"/>
        </w:rPr>
        <w:t>،</w:t>
      </w:r>
      <w:r>
        <w:rPr>
          <w:rFonts w:hint="cs"/>
          <w:rtl/>
          <w:lang w:eastAsia="en-GB"/>
        </w:rPr>
        <w:t xml:space="preserve"> عام 1304</w:t>
      </w:r>
      <w:r>
        <w:rPr>
          <w:rtl/>
          <w:lang w:eastAsia="en-GB"/>
        </w:rPr>
        <w:t>هـ</w:t>
      </w:r>
      <w:r>
        <w:rPr>
          <w:rFonts w:hint="cs"/>
          <w:rtl/>
          <w:lang w:eastAsia="en-GB"/>
        </w:rPr>
        <w:t>.</w:t>
      </w:r>
    </w:p>
    <w:p w:rsidR="00035BE3" w:rsidRDefault="00035BE3" w:rsidP="00C10469">
      <w:pPr>
        <w:pStyle w:val="a6"/>
        <w:ind w:left="422" w:firstLine="0"/>
        <w:rPr>
          <w:rtl/>
          <w:lang w:eastAsia="en-GB"/>
        </w:rPr>
      </w:pPr>
      <w:r>
        <w:rPr>
          <w:rFonts w:hint="cs"/>
          <w:rtl/>
          <w:lang w:eastAsia="en-GB"/>
        </w:rPr>
        <w:t>3- وأيضًا في المطبعة الكاملية باستانبول</w:t>
      </w:r>
      <w:r>
        <w:rPr>
          <w:rtl/>
          <w:lang w:eastAsia="en-GB"/>
        </w:rPr>
        <w:t>،</w:t>
      </w:r>
      <w:r>
        <w:rPr>
          <w:rFonts w:hint="cs"/>
          <w:rtl/>
          <w:lang w:eastAsia="en-GB"/>
        </w:rPr>
        <w:t xml:space="preserve"> عام 1330 هـ.</w:t>
      </w:r>
    </w:p>
    <w:p w:rsidR="00035BE3" w:rsidRDefault="00035BE3" w:rsidP="00C10469">
      <w:pPr>
        <w:pStyle w:val="a6"/>
        <w:ind w:left="422" w:firstLine="0"/>
        <w:rPr>
          <w:rtl/>
          <w:lang w:eastAsia="en-GB"/>
        </w:rPr>
      </w:pPr>
      <w:r>
        <w:rPr>
          <w:rFonts w:hint="cs"/>
          <w:rtl/>
          <w:lang w:eastAsia="en-GB"/>
        </w:rPr>
        <w:t>مرجع العلوم الاسلامية، ص491، 492؛ وانظر : كشف الظنون، 1/747، 2/1199-1200؛ الفوائد البهية، ص184؛ الفتح المبين، 3/51-52؛ الفكر السامي، 3/215، رقم 527؛ معجم المطبوعات العربية والمعربة، 2/1790.</w:t>
      </w:r>
    </w:p>
  </w:footnote>
  <w:footnote w:id="10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 موسوعة القواعد الفقهية، 2/243؛ مع زيادة لفظ: </w:t>
      </w:r>
      <w:r>
        <w:rPr>
          <w:rFonts w:hint="eastAsia"/>
          <w:rtl/>
        </w:rPr>
        <w:t>«</w:t>
      </w:r>
      <w:r>
        <w:rPr>
          <w:rFonts w:hint="cs"/>
          <w:rtl/>
        </w:rPr>
        <w:t>بالشرط</w:t>
      </w:r>
      <w:r>
        <w:rPr>
          <w:rFonts w:hint="eastAsia"/>
          <w:rtl/>
        </w:rPr>
        <w:t>»</w:t>
      </w:r>
      <w:r>
        <w:rPr>
          <w:rFonts w:hint="cs"/>
          <w:rtl/>
        </w:rPr>
        <w:t>.</w:t>
      </w:r>
    </w:p>
    <w:p w:rsidR="00035BE3" w:rsidRDefault="00035BE3" w:rsidP="00C10469">
      <w:pPr>
        <w:pStyle w:val="a6"/>
        <w:ind w:left="422" w:firstLine="0"/>
        <w:rPr>
          <w:rtl/>
          <w:lang w:eastAsia="en-GB"/>
        </w:rPr>
      </w:pPr>
      <w:r>
        <w:rPr>
          <w:rFonts w:hint="cs"/>
          <w:rtl/>
          <w:lang w:eastAsia="en-GB"/>
        </w:rPr>
        <w:t>كما وردت قبل ذلك في بعض كتب الفقه الحنفي</w:t>
      </w:r>
      <w:r>
        <w:rPr>
          <w:rtl/>
          <w:lang w:eastAsia="en-GB"/>
        </w:rPr>
        <w:t>،</w:t>
      </w:r>
      <w:r>
        <w:rPr>
          <w:rFonts w:hint="cs"/>
          <w:rtl/>
          <w:lang w:eastAsia="en-GB"/>
        </w:rPr>
        <w:t xml:space="preserve"> منها :</w:t>
      </w:r>
    </w:p>
    <w:p w:rsidR="00035BE3" w:rsidRDefault="00035BE3" w:rsidP="00C10469">
      <w:pPr>
        <w:pStyle w:val="a6"/>
        <w:ind w:left="422" w:firstLine="0"/>
        <w:rPr>
          <w:rtl/>
          <w:lang w:eastAsia="en-GB"/>
        </w:rPr>
      </w:pPr>
      <w:r>
        <w:rPr>
          <w:rFonts w:hint="cs"/>
          <w:rtl/>
          <w:lang w:eastAsia="en-GB"/>
        </w:rPr>
        <w:t>المبسوط، 17/198، 18/79؛ الهداية والعناية ونتائج الأفكار، 8/357؛ تبيين الحقائق، 5/15؛ الدّرر شرح الغرر، 2/200.</w:t>
      </w:r>
    </w:p>
  </w:footnote>
  <w:footnote w:id="10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حطير</w:t>
      </w:r>
      <w:r>
        <w:rPr>
          <w:rFonts w:hint="eastAsia"/>
          <w:rtl/>
        </w:rPr>
        <w:t>»</w:t>
      </w:r>
      <w:r>
        <w:rPr>
          <w:rFonts w:hint="cs"/>
          <w:rtl/>
        </w:rPr>
        <w:t>.</w:t>
      </w:r>
    </w:p>
  </w:footnote>
  <w:footnote w:id="10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خطر</w:t>
      </w:r>
      <w:r>
        <w:rPr>
          <w:rFonts w:hint="cs"/>
          <w:rtl/>
        </w:rPr>
        <w:t xml:space="preserve"> : معناها هنا : بمنزلة وقدر ومكانة. أي: أن التعليق بمنزلة اليمين.</w:t>
      </w:r>
    </w:p>
    <w:p w:rsidR="00035BE3" w:rsidRDefault="00035BE3" w:rsidP="00C10469">
      <w:pPr>
        <w:pStyle w:val="a6"/>
        <w:ind w:left="422" w:firstLine="0"/>
        <w:rPr>
          <w:rtl/>
          <w:lang w:eastAsia="en-GB"/>
        </w:rPr>
      </w:pPr>
      <w:r>
        <w:rPr>
          <w:rFonts w:hint="cs"/>
          <w:rtl/>
          <w:lang w:eastAsia="en-GB"/>
        </w:rPr>
        <w:t xml:space="preserve">وقد جاء التصريح بهذا المعنى في (المقاييس في اللغة) - مادة </w:t>
      </w:r>
      <w:r>
        <w:rPr>
          <w:rFonts w:hint="eastAsia"/>
          <w:rtl/>
          <w:lang w:eastAsia="en-GB"/>
        </w:rPr>
        <w:t>«</w:t>
      </w:r>
      <w:r>
        <w:rPr>
          <w:rFonts w:hint="cs"/>
          <w:rtl/>
          <w:lang w:eastAsia="en-GB"/>
        </w:rPr>
        <w:t>خطر</w:t>
      </w:r>
      <w:r>
        <w:rPr>
          <w:rFonts w:hint="eastAsia"/>
          <w:rtl/>
          <w:lang w:eastAsia="en-GB"/>
        </w:rPr>
        <w:t>»</w:t>
      </w:r>
      <w:r>
        <w:rPr>
          <w:rFonts w:hint="cs"/>
          <w:rtl/>
          <w:lang w:eastAsia="en-GB"/>
        </w:rPr>
        <w:t xml:space="preserve">، ص323 - حيث قال: </w:t>
      </w:r>
      <w:r>
        <w:rPr>
          <w:rFonts w:hint="eastAsia"/>
          <w:rtl/>
          <w:lang w:eastAsia="en-GB"/>
        </w:rPr>
        <w:t>«</w:t>
      </w:r>
      <w:r>
        <w:rPr>
          <w:rFonts w:hint="cs"/>
          <w:rtl/>
          <w:lang w:eastAsia="en-GB"/>
        </w:rPr>
        <w:t>الخاء والطاء والراء أصلان: أحدهما : القدر والمكانة. والثاني اضطراب وحركة. فالأول قولهم لنظ</w:t>
      </w:r>
      <w:r>
        <w:rPr>
          <w:rtl/>
          <w:lang w:eastAsia="en-GB"/>
        </w:rPr>
        <w:t>ي</w:t>
      </w:r>
      <w:r>
        <w:rPr>
          <w:rFonts w:hint="cs"/>
          <w:rtl/>
          <w:lang w:eastAsia="en-GB"/>
        </w:rPr>
        <w:t xml:space="preserve">ر الشيء: </w:t>
      </w:r>
      <w:r w:rsidRPr="00DF319C">
        <w:rPr>
          <w:rFonts w:hint="cs"/>
          <w:spacing w:val="-2"/>
          <w:rtl/>
          <w:lang w:eastAsia="en-GB"/>
        </w:rPr>
        <w:t>خَطِيْرُهُ، ولفلان: خَطَرٌ، أي منـزلةٌ ومكانةٌ تناظره وتصلُح لمثلِهِ</w:t>
      </w:r>
      <w:r w:rsidRPr="00DF319C">
        <w:rPr>
          <w:rFonts w:hint="eastAsia"/>
          <w:spacing w:val="-2"/>
          <w:rtl/>
          <w:lang w:eastAsia="en-GB"/>
        </w:rPr>
        <w:t>»</w:t>
      </w:r>
      <w:r w:rsidRPr="00DF319C">
        <w:rPr>
          <w:rFonts w:hint="cs"/>
          <w:spacing w:val="-2"/>
          <w:rtl/>
          <w:lang w:eastAsia="en-GB"/>
        </w:rPr>
        <w:t>. وانظر معجم لغة الفقهاء، ص175.</w:t>
      </w:r>
    </w:p>
  </w:footnote>
  <w:footnote w:id="10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13/أ من (جـ).</w:t>
      </w:r>
    </w:p>
  </w:footnote>
  <w:footnote w:id="10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17/أ من (أ)</w:t>
      </w:r>
      <w:r>
        <w:rPr>
          <w:rtl/>
        </w:rPr>
        <w:t>.</w:t>
      </w:r>
    </w:p>
  </w:footnote>
  <w:footnote w:id="10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w:t>
      </w:r>
      <w:r>
        <w:rPr>
          <w:rtl/>
        </w:rPr>
        <w:t>ـ</w:t>
      </w:r>
      <w:r>
        <w:rPr>
          <w:rFonts w:hint="cs"/>
          <w:rtl/>
        </w:rPr>
        <w:t>تردد</w:t>
      </w:r>
      <w:r>
        <w:rPr>
          <w:rFonts w:hint="eastAsia"/>
          <w:rtl/>
        </w:rPr>
        <w:t>»</w:t>
      </w:r>
      <w:r>
        <w:rPr>
          <w:rFonts w:hint="cs"/>
          <w:rtl/>
        </w:rPr>
        <w:t>.</w:t>
      </w:r>
    </w:p>
  </w:footnote>
  <w:footnote w:id="10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كذابا</w:t>
      </w:r>
      <w:r>
        <w:rPr>
          <w:rFonts w:hint="eastAsia"/>
          <w:rtl/>
        </w:rPr>
        <w:t>»</w:t>
      </w:r>
      <w:r>
        <w:rPr>
          <w:rFonts w:hint="cs"/>
          <w:rtl/>
        </w:rPr>
        <w:t>.</w:t>
      </w:r>
    </w:p>
  </w:footnote>
  <w:footnote w:id="1098">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C6710E">
        <w:rPr>
          <w:rFonts w:hint="cs"/>
          <w:spacing w:val="6"/>
          <w:rtl/>
        </w:rPr>
        <w:t>انظر: الهداية والعناية ونتائج الأفكار، 8/357-358؛ تبيين الحقـائق، 5/15-16؛</w:t>
      </w:r>
      <w:r>
        <w:rPr>
          <w:rFonts w:hint="cs"/>
          <w:spacing w:val="8"/>
          <w:rtl/>
        </w:rPr>
        <w:t xml:space="preserve"> البحـر الرائق، 7/252؛ الدّرر شرح الغرر، 2/200-201</w:t>
      </w:r>
      <w:r>
        <w:rPr>
          <w:spacing w:val="8"/>
          <w:rtl/>
        </w:rPr>
        <w:t>،</w:t>
      </w:r>
      <w:r>
        <w:rPr>
          <w:rFonts w:hint="cs"/>
          <w:spacing w:val="8"/>
          <w:rtl/>
        </w:rPr>
        <w:t xml:space="preserve"> 364-365، وقد جاء في العناية ونتائج الأفكار تعليل آخر، ونصّه : </w:t>
      </w:r>
      <w:r>
        <w:rPr>
          <w:rFonts w:hint="eastAsia"/>
          <w:spacing w:val="8"/>
          <w:rtl/>
        </w:rPr>
        <w:t>«</w:t>
      </w:r>
      <w:r>
        <w:rPr>
          <w:rFonts w:hint="cs"/>
          <w:spacing w:val="8"/>
          <w:rtl/>
        </w:rPr>
        <w:t>لأن الإقرار إخبار عمّا سبق، والتعليق إن</w:t>
      </w:r>
      <w:r>
        <w:rPr>
          <w:spacing w:val="8"/>
          <w:rtl/>
        </w:rPr>
        <w:t>م</w:t>
      </w:r>
      <w:r>
        <w:rPr>
          <w:rFonts w:hint="cs"/>
          <w:spacing w:val="8"/>
          <w:rtl/>
        </w:rPr>
        <w:t>ا يكون بالنسبة إلى المستقبل، وبينهما منافاة</w:t>
      </w:r>
      <w:r>
        <w:rPr>
          <w:rFonts w:hint="eastAsia"/>
          <w:spacing w:val="8"/>
          <w:rtl/>
        </w:rPr>
        <w:t>»</w:t>
      </w:r>
      <w:r>
        <w:rPr>
          <w:rFonts w:hint="cs"/>
          <w:spacing w:val="8"/>
          <w:rtl/>
        </w:rPr>
        <w:t>.</w:t>
      </w:r>
    </w:p>
  </w:footnote>
  <w:footnote w:id="10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 العناية ونتائج الأفكار، 8/359، 360-361؛ كما وردت بمعناها في البحر الرائق، 7/253؛ ردّ المحتار، 8/376.</w:t>
      </w:r>
    </w:p>
  </w:footnote>
  <w:footnote w:id="11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الأفصح تأنيث الفعل (تكون).</w:t>
      </w:r>
    </w:p>
  </w:footnote>
  <w:footnote w:id="11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الرجوع عن الإقرار باطل</w:t>
      </w:r>
      <w:r>
        <w:rPr>
          <w:rFonts w:hint="eastAsia"/>
          <w:rtl/>
        </w:rPr>
        <w:t>»</w:t>
      </w:r>
      <w:r>
        <w:rPr>
          <w:rFonts w:hint="cs"/>
          <w:rtl/>
        </w:rPr>
        <w:t>: قاعدة سـيأتي الـحديث عنها اسـ</w:t>
      </w:r>
      <w:r>
        <w:rPr>
          <w:rtl/>
        </w:rPr>
        <w:t>ت</w:t>
      </w:r>
      <w:r>
        <w:rPr>
          <w:rFonts w:hint="cs"/>
          <w:rtl/>
        </w:rPr>
        <w:t>ـقلالاً</w:t>
      </w:r>
      <w:r>
        <w:rPr>
          <w:rtl/>
        </w:rPr>
        <w:t>،</w:t>
      </w:r>
      <w:r>
        <w:rPr>
          <w:rFonts w:hint="cs"/>
          <w:rtl/>
        </w:rPr>
        <w:t xml:space="preserve"> وذلـك ص725 (ل54/ب)، قاعدة 131.</w:t>
      </w:r>
    </w:p>
  </w:footnote>
  <w:footnote w:id="11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هذين المثالين في مصادر القاعدة. والمؤلف سيذكرهما لاحقًا، وذلك في أثناء شرحه للقاعـدة (87) وهي</w:t>
      </w:r>
      <w:r>
        <w:rPr>
          <w:rtl/>
        </w:rPr>
        <w:t>:</w:t>
      </w:r>
      <w:r>
        <w:rPr>
          <w:rFonts w:hint="cs"/>
          <w:rtl/>
        </w:rPr>
        <w:t xml:space="preserve"> </w:t>
      </w:r>
      <w:r>
        <w:rPr>
          <w:rFonts w:hint="eastAsia"/>
          <w:rtl/>
        </w:rPr>
        <w:t>«</w:t>
      </w:r>
      <w:r>
        <w:rPr>
          <w:rFonts w:hint="cs"/>
          <w:rtl/>
        </w:rPr>
        <w:t>التناقض يفسد الدعوى</w:t>
      </w:r>
      <w:r>
        <w:rPr>
          <w:rFonts w:hint="eastAsia"/>
          <w:rtl/>
        </w:rPr>
        <w:t>»</w:t>
      </w:r>
      <w:r>
        <w:rPr>
          <w:rFonts w:hint="cs"/>
          <w:rtl/>
        </w:rPr>
        <w:t>، ص552 (ل38/أ).</w:t>
      </w:r>
      <w:r>
        <w:rPr>
          <w:rFonts w:hint="eastAsia"/>
          <w:rtl/>
        </w:rPr>
        <w:t xml:space="preserve"> </w:t>
      </w:r>
    </w:p>
  </w:footnote>
  <w:footnote w:id="11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معناه في كثير من كتب الفقه وقواعده</w:t>
      </w:r>
      <w:r>
        <w:rPr>
          <w:rtl/>
        </w:rPr>
        <w:t>:</w:t>
      </w:r>
    </w:p>
    <w:p w:rsidR="00035BE3" w:rsidRDefault="00035BE3" w:rsidP="00C10469">
      <w:pPr>
        <w:pStyle w:val="a6"/>
        <w:ind w:left="422" w:firstLine="0"/>
        <w:rPr>
          <w:b/>
          <w:bCs/>
          <w:rtl/>
        </w:rPr>
      </w:pPr>
      <w:r>
        <w:rPr>
          <w:b/>
          <w:bCs/>
          <w:rtl/>
        </w:rPr>
        <w:t>ف</w:t>
      </w:r>
      <w:r>
        <w:rPr>
          <w:rFonts w:hint="cs"/>
          <w:b/>
          <w:bCs/>
          <w:rtl/>
        </w:rPr>
        <w:t>من كتب القواعد :</w:t>
      </w:r>
    </w:p>
    <w:p w:rsidR="00035BE3" w:rsidRPr="00D279C0" w:rsidRDefault="00035BE3" w:rsidP="00C10469">
      <w:pPr>
        <w:pStyle w:val="a6"/>
        <w:ind w:left="422" w:firstLine="0"/>
        <w:rPr>
          <w:spacing w:val="-4"/>
          <w:rtl/>
          <w:lang w:eastAsia="en-GB"/>
        </w:rPr>
      </w:pPr>
      <w:r w:rsidRPr="00D279C0">
        <w:rPr>
          <w:rFonts w:hint="cs"/>
          <w:spacing w:val="-4"/>
          <w:rtl/>
          <w:lang w:eastAsia="en-GB"/>
        </w:rPr>
        <w:t xml:space="preserve">رسالة الكرخي في الأصول، ص164 (مع تأسيس النظر) - ولفظه : </w:t>
      </w:r>
      <w:r w:rsidRPr="00D279C0">
        <w:rPr>
          <w:rFonts w:hint="eastAsia"/>
          <w:spacing w:val="-4"/>
          <w:rtl/>
        </w:rPr>
        <w:t>«</w:t>
      </w:r>
      <w:r w:rsidRPr="00D279C0">
        <w:rPr>
          <w:rFonts w:hint="cs"/>
          <w:spacing w:val="-4"/>
          <w:rtl/>
          <w:lang w:eastAsia="en-GB"/>
        </w:rPr>
        <w:t>الأصل أن المرْ</w:t>
      </w:r>
      <w:r w:rsidRPr="00D279C0">
        <w:rPr>
          <w:spacing w:val="-4"/>
          <w:rtl/>
          <w:lang w:eastAsia="en-GB"/>
        </w:rPr>
        <w:t>ء</w:t>
      </w:r>
      <w:r w:rsidRPr="00D279C0">
        <w:rPr>
          <w:rFonts w:hint="cs"/>
          <w:spacing w:val="-4"/>
          <w:rtl/>
          <w:lang w:eastAsia="en-GB"/>
        </w:rPr>
        <w:t>َ يعامل في حق نفسه كما أقرّ به، ولا يصدّق على إبطال حق الغير، ولا بإلزام الغير حقًّا</w:t>
      </w:r>
      <w:r w:rsidRPr="00D279C0">
        <w:rPr>
          <w:rFonts w:hint="eastAsia"/>
          <w:spacing w:val="-4"/>
          <w:rtl/>
        </w:rPr>
        <w:t>»</w:t>
      </w:r>
      <w:r w:rsidRPr="00D279C0">
        <w:rPr>
          <w:rFonts w:hint="cs"/>
          <w:spacing w:val="-4"/>
          <w:rtl/>
          <w:lang w:eastAsia="en-GB"/>
        </w:rPr>
        <w:t>-؛ المنثور في القواعد، 1/187- ولفظه:</w:t>
      </w:r>
      <w:r w:rsidRPr="00D279C0">
        <w:rPr>
          <w:rFonts w:hint="eastAsia"/>
          <w:spacing w:val="-4"/>
          <w:rtl/>
        </w:rPr>
        <w:t xml:space="preserve"> «</w:t>
      </w:r>
      <w:r w:rsidRPr="00D279C0">
        <w:rPr>
          <w:spacing w:val="-4"/>
          <w:lang w:eastAsia="en-GB"/>
        </w:rPr>
        <w:t>…</w:t>
      </w:r>
      <w:r w:rsidRPr="00D279C0">
        <w:rPr>
          <w:rFonts w:hint="cs"/>
          <w:spacing w:val="-4"/>
          <w:rtl/>
          <w:lang w:eastAsia="en-GB"/>
        </w:rPr>
        <w:t xml:space="preserve"> إقرار الإنسان على نفسه مقبول وعلى غيره غير مقبول إلا في خصلة واحدة</w:t>
      </w:r>
      <w:r w:rsidRPr="00D279C0">
        <w:rPr>
          <w:spacing w:val="-4"/>
          <w:rtl/>
        </w:rPr>
        <w:t>..</w:t>
      </w:r>
      <w:r w:rsidRPr="00D279C0">
        <w:rPr>
          <w:rFonts w:hint="eastAsia"/>
          <w:spacing w:val="-4"/>
          <w:rtl/>
        </w:rPr>
        <w:t>»</w:t>
      </w:r>
      <w:r w:rsidRPr="00D279C0">
        <w:rPr>
          <w:rFonts w:hint="cs"/>
          <w:spacing w:val="-4"/>
          <w:rtl/>
          <w:lang w:eastAsia="en-GB"/>
        </w:rPr>
        <w:t xml:space="preserve">- الأشباه والنظائر للسيوطي، 2/797 </w:t>
      </w:r>
      <w:r w:rsidRPr="00D279C0">
        <w:rPr>
          <w:spacing w:val="-4"/>
          <w:lang w:eastAsia="en-GB"/>
        </w:rPr>
        <w:t>–</w:t>
      </w:r>
      <w:r w:rsidRPr="00D279C0">
        <w:rPr>
          <w:rFonts w:hint="cs"/>
          <w:spacing w:val="-4"/>
          <w:rtl/>
          <w:lang w:eastAsia="en-GB"/>
        </w:rPr>
        <w:t xml:space="preserve"> ولفظه: </w:t>
      </w:r>
      <w:r w:rsidRPr="00D279C0">
        <w:rPr>
          <w:rFonts w:hint="eastAsia"/>
          <w:spacing w:val="-4"/>
          <w:rtl/>
        </w:rPr>
        <w:t>«</w:t>
      </w:r>
      <w:r w:rsidRPr="00D279C0">
        <w:rPr>
          <w:rFonts w:hint="cs"/>
          <w:spacing w:val="-4"/>
          <w:rtl/>
          <w:lang w:eastAsia="en-GB"/>
        </w:rPr>
        <w:t>إقرار الإنسان على نفسه مقبول، وعلى غيره غير مقبول</w:t>
      </w:r>
      <w:r w:rsidRPr="00D279C0">
        <w:rPr>
          <w:rFonts w:hint="eastAsia"/>
          <w:spacing w:val="-4"/>
          <w:rtl/>
        </w:rPr>
        <w:t>»</w:t>
      </w:r>
      <w:r w:rsidRPr="00D279C0">
        <w:rPr>
          <w:rFonts w:hint="cs"/>
          <w:spacing w:val="-4"/>
          <w:rtl/>
          <w:lang w:eastAsia="en-GB"/>
        </w:rPr>
        <w:t xml:space="preserve">-؛ ولابن نجيم، ص285 </w:t>
      </w:r>
      <w:r w:rsidRPr="00D279C0">
        <w:rPr>
          <w:spacing w:val="-4"/>
          <w:rtl/>
          <w:lang w:eastAsia="en-GB"/>
        </w:rPr>
        <w:t xml:space="preserve">- </w:t>
      </w:r>
      <w:r w:rsidRPr="00D279C0">
        <w:rPr>
          <w:rFonts w:hint="cs"/>
          <w:spacing w:val="-4"/>
          <w:rtl/>
          <w:lang w:eastAsia="en-GB"/>
        </w:rPr>
        <w:t xml:space="preserve">ولفظه : </w:t>
      </w:r>
      <w:r w:rsidRPr="00D279C0">
        <w:rPr>
          <w:rFonts w:hint="eastAsia"/>
          <w:spacing w:val="-4"/>
          <w:rtl/>
        </w:rPr>
        <w:t>«</w:t>
      </w:r>
      <w:r w:rsidRPr="00D279C0">
        <w:rPr>
          <w:rFonts w:hint="cs"/>
          <w:spacing w:val="-4"/>
          <w:rtl/>
          <w:lang w:eastAsia="en-GB"/>
        </w:rPr>
        <w:t>الإقرار حجة قاصرة على المقر، ولا يتعدى إلى غيره</w:t>
      </w:r>
      <w:r w:rsidRPr="00D279C0">
        <w:rPr>
          <w:rFonts w:hint="eastAsia"/>
          <w:spacing w:val="-4"/>
          <w:rtl/>
        </w:rPr>
        <w:t>»</w:t>
      </w:r>
      <w:r w:rsidRPr="00D279C0">
        <w:rPr>
          <w:rFonts w:hint="cs"/>
          <w:spacing w:val="-4"/>
          <w:rtl/>
          <w:lang w:eastAsia="en-GB"/>
        </w:rPr>
        <w:t xml:space="preserve">-؛ وقواعد الفقه له أيضًا، ص103، قاعدة 43، وص326، قاعدة 440- ولفظه في هاتين القاعدتين قريب من لفظه في الأشباه -؛ مجامع الحقائق (الخاتمة)، ص45- ولفظه: </w:t>
      </w:r>
      <w:r w:rsidRPr="00D279C0">
        <w:rPr>
          <w:rFonts w:hint="eastAsia"/>
          <w:spacing w:val="-4"/>
          <w:rtl/>
        </w:rPr>
        <w:t>«</w:t>
      </w:r>
      <w:r w:rsidRPr="00D279C0">
        <w:rPr>
          <w:rFonts w:hint="cs"/>
          <w:spacing w:val="-4"/>
          <w:rtl/>
          <w:lang w:eastAsia="en-GB"/>
        </w:rPr>
        <w:t>الإقرار على الغير ليس بجا</w:t>
      </w:r>
      <w:r w:rsidRPr="00D279C0">
        <w:rPr>
          <w:spacing w:val="-4"/>
          <w:rtl/>
          <w:lang w:eastAsia="en-GB"/>
        </w:rPr>
        <w:t>ئ</w:t>
      </w:r>
      <w:r w:rsidRPr="00D279C0">
        <w:rPr>
          <w:rFonts w:hint="cs"/>
          <w:spacing w:val="-4"/>
          <w:rtl/>
          <w:lang w:eastAsia="en-GB"/>
        </w:rPr>
        <w:t>ز</w:t>
      </w:r>
      <w:r w:rsidRPr="00D279C0">
        <w:rPr>
          <w:rFonts w:hint="eastAsia"/>
          <w:spacing w:val="-4"/>
          <w:rtl/>
        </w:rPr>
        <w:t>»</w:t>
      </w:r>
      <w:r w:rsidRPr="00D279C0">
        <w:rPr>
          <w:rFonts w:hint="cs"/>
          <w:spacing w:val="-4"/>
          <w:rtl/>
          <w:lang w:eastAsia="en-GB"/>
        </w:rPr>
        <w:t xml:space="preserve">-؛ شرح العلائي لقواعد الخادمي، ل12/ب؛ منافع الدقائق، ص313؛ قواعد الفقه  </w:t>
      </w:r>
      <w:r w:rsidRPr="00D279C0">
        <w:rPr>
          <w:spacing w:val="-4"/>
          <w:rtl/>
          <w:lang w:eastAsia="en-GB"/>
        </w:rPr>
        <w:t>ل</w:t>
      </w:r>
      <w:r w:rsidRPr="00D279C0">
        <w:rPr>
          <w:rFonts w:hint="cs"/>
          <w:spacing w:val="-4"/>
          <w:rtl/>
          <w:lang w:eastAsia="en-GB"/>
        </w:rPr>
        <w:t>لمجدّ</w:t>
      </w:r>
      <w:r w:rsidRPr="00D279C0">
        <w:rPr>
          <w:spacing w:val="-4"/>
          <w:rtl/>
          <w:lang w:eastAsia="en-GB"/>
        </w:rPr>
        <w:t>ِ</w:t>
      </w:r>
      <w:r w:rsidRPr="00D279C0">
        <w:rPr>
          <w:rFonts w:hint="cs"/>
          <w:spacing w:val="-4"/>
          <w:rtl/>
          <w:lang w:eastAsia="en-GB"/>
        </w:rPr>
        <w:t xml:space="preserve">دي، ص61، قاعدة 43- ولفظه : </w:t>
      </w:r>
      <w:r w:rsidRPr="00D279C0">
        <w:rPr>
          <w:rFonts w:hint="eastAsia"/>
          <w:spacing w:val="-4"/>
          <w:rtl/>
        </w:rPr>
        <w:t>«</w:t>
      </w:r>
      <w:r w:rsidRPr="00D279C0">
        <w:rPr>
          <w:rFonts w:hint="cs"/>
          <w:spacing w:val="-4"/>
          <w:rtl/>
          <w:lang w:eastAsia="en-GB"/>
        </w:rPr>
        <w:t>إقرار المقّر إنما يثبت في حقّه خاصة</w:t>
      </w:r>
      <w:r w:rsidRPr="00D279C0">
        <w:rPr>
          <w:rFonts w:hint="eastAsia"/>
          <w:spacing w:val="-4"/>
          <w:rtl/>
        </w:rPr>
        <w:t>»</w:t>
      </w:r>
      <w:r w:rsidRPr="00D279C0">
        <w:rPr>
          <w:rFonts w:hint="cs"/>
          <w:spacing w:val="-4"/>
          <w:rtl/>
          <w:lang w:eastAsia="en-GB"/>
        </w:rPr>
        <w:t>-؛ القواعد والضوابط المستخلصة من التحرير</w:t>
      </w:r>
      <w:r w:rsidRPr="00D279C0">
        <w:rPr>
          <w:spacing w:val="-4"/>
          <w:rtl/>
          <w:lang w:eastAsia="en-GB"/>
        </w:rPr>
        <w:t>،</w:t>
      </w:r>
      <w:r w:rsidRPr="00D279C0">
        <w:rPr>
          <w:rFonts w:hint="cs"/>
          <w:spacing w:val="-4"/>
          <w:rtl/>
          <w:lang w:eastAsia="en-GB"/>
        </w:rPr>
        <w:t xml:space="preserve"> ص169، 170، 172، 175 - ولفظه الأخير : </w:t>
      </w:r>
      <w:r w:rsidRPr="00D279C0">
        <w:rPr>
          <w:rFonts w:hint="eastAsia"/>
          <w:spacing w:val="-4"/>
          <w:rtl/>
          <w:lang w:eastAsia="en-GB"/>
        </w:rPr>
        <w:t>«</w:t>
      </w:r>
      <w:r w:rsidRPr="00D279C0">
        <w:rPr>
          <w:rFonts w:hint="cs"/>
          <w:spacing w:val="-4"/>
          <w:rtl/>
          <w:lang w:eastAsia="en-GB"/>
        </w:rPr>
        <w:t>إقرار الإنسان على نفسه صحيح، وعلى غيره لا</w:t>
      </w:r>
      <w:r w:rsidRPr="00D279C0">
        <w:rPr>
          <w:rFonts w:hint="eastAsia"/>
          <w:spacing w:val="-4"/>
          <w:rtl/>
          <w:lang w:eastAsia="en-GB"/>
        </w:rPr>
        <w:t>»</w:t>
      </w:r>
      <w:r w:rsidRPr="00D279C0">
        <w:rPr>
          <w:rFonts w:hint="cs"/>
          <w:spacing w:val="-4"/>
          <w:rtl/>
          <w:lang w:eastAsia="en-GB"/>
        </w:rPr>
        <w:t>، وأحاله إلى التحرير، 2/848 ومواضع أخرى منه -؛ موسوعة القواعد الفقهية، 2/226-227، 231-232- وقد ذكر طائفة كثيرة من القواعد التي بمعنى القاعدة منها أكثر الألفاظ السابقة-؛ الوجيز، ص36، 301 - وقد ذكر فيه لفظ الكرخي ولفظ</w:t>
      </w:r>
      <w:r w:rsidRPr="00D279C0">
        <w:rPr>
          <w:spacing w:val="-4"/>
          <w:rtl/>
          <w:lang w:eastAsia="en-GB"/>
        </w:rPr>
        <w:t>ًا</w:t>
      </w:r>
      <w:r w:rsidRPr="00D279C0">
        <w:rPr>
          <w:rFonts w:hint="cs"/>
          <w:spacing w:val="-4"/>
          <w:rtl/>
          <w:lang w:eastAsia="en-GB"/>
        </w:rPr>
        <w:t xml:space="preserve"> آخر-؛ قواعد الفقه للروكي، ص270 - ولفظه: </w:t>
      </w:r>
      <w:r w:rsidRPr="00D279C0">
        <w:rPr>
          <w:rFonts w:hint="eastAsia"/>
          <w:spacing w:val="-4"/>
          <w:rtl/>
          <w:lang w:eastAsia="en-GB"/>
        </w:rPr>
        <w:t>«</w:t>
      </w:r>
      <w:r w:rsidRPr="00D279C0">
        <w:rPr>
          <w:rFonts w:hint="cs"/>
          <w:spacing w:val="-4"/>
          <w:rtl/>
          <w:lang w:eastAsia="en-GB"/>
        </w:rPr>
        <w:t xml:space="preserve">من أقرّ على نفسه وعلى غيره: قبل إقراره على نفسه، ولم يقبل على غيره </w:t>
      </w:r>
      <w:r w:rsidRPr="00D279C0">
        <w:rPr>
          <w:rFonts w:hint="eastAsia"/>
          <w:spacing w:val="-4"/>
          <w:rtl/>
          <w:lang w:eastAsia="en-GB"/>
        </w:rPr>
        <w:t>»</w:t>
      </w:r>
      <w:r w:rsidRPr="00D279C0">
        <w:rPr>
          <w:spacing w:val="-4"/>
          <w:rtl/>
          <w:lang w:eastAsia="en-GB"/>
        </w:rPr>
        <w:t>.</w:t>
      </w:r>
    </w:p>
    <w:p w:rsidR="00035BE3" w:rsidRDefault="00035BE3" w:rsidP="00C10469">
      <w:pPr>
        <w:pStyle w:val="a6"/>
        <w:ind w:left="422" w:firstLine="0"/>
        <w:rPr>
          <w:b/>
          <w:bCs/>
          <w:rtl/>
          <w:lang w:eastAsia="en-GB"/>
        </w:rPr>
      </w:pPr>
      <w:r>
        <w:rPr>
          <w:rFonts w:hint="cs"/>
          <w:b/>
          <w:bCs/>
          <w:rtl/>
          <w:lang w:eastAsia="en-GB"/>
        </w:rPr>
        <w:t>ومن كتب الفقه :</w:t>
      </w:r>
    </w:p>
    <w:p w:rsidR="00035BE3" w:rsidRDefault="00035BE3" w:rsidP="00C10469">
      <w:pPr>
        <w:pStyle w:val="a6"/>
        <w:ind w:left="422" w:firstLine="0"/>
        <w:rPr>
          <w:rtl/>
          <w:lang w:eastAsia="en-GB"/>
        </w:rPr>
      </w:pPr>
      <w:r>
        <w:rPr>
          <w:rFonts w:hint="cs"/>
          <w:rtl/>
          <w:lang w:eastAsia="en-GB"/>
        </w:rPr>
        <w:t>شرح السِّير الكبير، 4/1310، فقرة 2489، و1654، فقرة 3314، و5/1731، فقرة 3448؛ المبسوط، 4/225؛ الهداية والعناية وفتح القدير، 7/187</w:t>
      </w:r>
      <w:r>
        <w:rPr>
          <w:rtl/>
          <w:lang w:eastAsia="en-GB"/>
        </w:rPr>
        <w:t>؛</w:t>
      </w:r>
      <w:r>
        <w:rPr>
          <w:rFonts w:hint="cs"/>
          <w:rtl/>
          <w:lang w:eastAsia="en-GB"/>
        </w:rPr>
        <w:t xml:space="preserve"> الاختيار لتعليل المختار، 2/137؛ الكافي شرع الوافي، ق2، ص1947؛ تبيين الحقائق، 4/99، 5/17؛ العنـاية ونتـائج الأفـكار، 8/360، 361 - ولفظه</w:t>
      </w:r>
      <w:r>
        <w:rPr>
          <w:rtl/>
          <w:lang w:eastAsia="en-GB"/>
        </w:rPr>
        <w:t>م</w:t>
      </w:r>
      <w:r>
        <w:rPr>
          <w:rFonts w:hint="cs"/>
          <w:rtl/>
          <w:lang w:eastAsia="en-GB"/>
        </w:rPr>
        <w:t>ا مطابق للفـظ المؤلف-؛ الدّرر شـرح الغرر، 2/191؛ البحر الرائق، 6/151؛ ردّ المحتار، 8/376.</w:t>
      </w:r>
    </w:p>
    <w:p w:rsidR="00035BE3" w:rsidRDefault="00035BE3" w:rsidP="00C10469">
      <w:pPr>
        <w:pStyle w:val="a6"/>
        <w:ind w:left="422" w:firstLine="0"/>
        <w:rPr>
          <w:rtl/>
          <w:lang w:eastAsia="en-GB"/>
        </w:rPr>
      </w:pPr>
      <w:r>
        <w:rPr>
          <w:rFonts w:hint="cs"/>
          <w:rtl/>
          <w:lang w:eastAsia="en-GB"/>
        </w:rPr>
        <w:t xml:space="preserve">وهذه القاعدة تمثِّل المفهوم المخالف لقاعدة أخرى أكثر منها شهرة وشمولاً وهي قولهم : </w:t>
      </w:r>
      <w:r>
        <w:rPr>
          <w:rFonts w:hint="eastAsia"/>
          <w:rtl/>
          <w:lang w:eastAsia="en-GB"/>
        </w:rPr>
        <w:t>«</w:t>
      </w:r>
      <w:r>
        <w:rPr>
          <w:rFonts w:hint="cs"/>
          <w:rtl/>
          <w:lang w:eastAsia="en-GB"/>
        </w:rPr>
        <w:t>الإقرار حّجة قاصرة</w:t>
      </w:r>
      <w:r>
        <w:rPr>
          <w:rFonts w:hint="eastAsia"/>
          <w:rtl/>
          <w:lang w:eastAsia="en-GB"/>
        </w:rPr>
        <w:t>»</w:t>
      </w:r>
      <w:r>
        <w:rPr>
          <w:rFonts w:hint="cs"/>
          <w:rtl/>
          <w:lang w:eastAsia="en-GB"/>
        </w:rPr>
        <w:t>، وقد تكرَّر ذكر المؤلف لها عرضًا في موضعين أولهما، ص577 (ل41/أ)، فناسب توثيقها في ذلك الموضع؛ لأنه أوّل</w:t>
      </w:r>
      <w:r>
        <w:rPr>
          <w:rtl/>
          <w:lang w:eastAsia="en-GB"/>
        </w:rPr>
        <w:t>ُ</w:t>
      </w:r>
      <w:r>
        <w:rPr>
          <w:rFonts w:hint="cs"/>
          <w:rtl/>
          <w:lang w:eastAsia="en-GB"/>
        </w:rPr>
        <w:t xml:space="preserve"> موضع</w:t>
      </w:r>
      <w:r>
        <w:rPr>
          <w:rtl/>
          <w:lang w:eastAsia="en-GB"/>
        </w:rPr>
        <w:t>ٍ</w:t>
      </w:r>
      <w:r>
        <w:rPr>
          <w:rFonts w:hint="cs"/>
          <w:rtl/>
          <w:lang w:eastAsia="en-GB"/>
        </w:rPr>
        <w:t xml:space="preserve"> صرَّح المؤلف بها فيه. </w:t>
      </w:r>
    </w:p>
  </w:footnote>
  <w:footnote w:id="11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(أ)، وفي باقي النسخ : </w:t>
      </w:r>
      <w:r>
        <w:rPr>
          <w:rFonts w:hint="eastAsia"/>
          <w:rtl/>
        </w:rPr>
        <w:t>«</w:t>
      </w:r>
      <w:r>
        <w:rPr>
          <w:rFonts w:hint="cs"/>
          <w:rtl/>
        </w:rPr>
        <w:t>ببنا</w:t>
      </w:r>
      <w:r>
        <w:rPr>
          <w:rtl/>
        </w:rPr>
        <w:t>ئ</w:t>
      </w:r>
      <w:r>
        <w:rPr>
          <w:rFonts w:hint="cs"/>
          <w:rtl/>
        </w:rPr>
        <w:t>ها</w:t>
      </w:r>
      <w:r>
        <w:rPr>
          <w:rFonts w:hint="eastAsia"/>
          <w:rtl/>
        </w:rPr>
        <w:t>»</w:t>
      </w:r>
      <w:r>
        <w:rPr>
          <w:rtl/>
        </w:rPr>
        <w:t>.</w:t>
      </w:r>
      <w:r>
        <w:rPr>
          <w:rFonts w:hint="cs"/>
          <w:rtl/>
        </w:rPr>
        <w:t xml:space="preserve"> وهذا الأولى؛ لأن الباء وإن كانت حرف جرّ زائد إلاّ أن المؤلف أثبتها في الجملة التي قبلها وهي قوله</w:t>
      </w:r>
      <w:r>
        <w:rPr>
          <w:rtl/>
        </w:rPr>
        <w:t>:</w:t>
      </w:r>
      <w:r>
        <w:rPr>
          <w:rFonts w:hint="cs"/>
          <w:rtl/>
        </w:rPr>
        <w:t xml:space="preserve"> </w:t>
      </w:r>
      <w:r>
        <w:rPr>
          <w:rFonts w:hint="eastAsia"/>
          <w:rtl/>
        </w:rPr>
        <w:t>«</w:t>
      </w:r>
      <w:r>
        <w:rPr>
          <w:rFonts w:hint="cs"/>
          <w:rtl/>
        </w:rPr>
        <w:t xml:space="preserve">أقرّ </w:t>
      </w:r>
      <w:r>
        <w:rPr>
          <w:rFonts w:hint="cs"/>
          <w:b/>
          <w:bCs/>
          <w:rtl/>
        </w:rPr>
        <w:t>بالأرض</w:t>
      </w:r>
      <w:r>
        <w:rPr>
          <w:rFonts w:hint="cs"/>
          <w:rtl/>
        </w:rPr>
        <w:t xml:space="preserve"> ...</w:t>
      </w:r>
      <w:r>
        <w:rPr>
          <w:rFonts w:hint="eastAsia"/>
          <w:rtl/>
        </w:rPr>
        <w:t>»</w:t>
      </w:r>
      <w:r>
        <w:rPr>
          <w:rFonts w:hint="cs"/>
          <w:rtl/>
        </w:rPr>
        <w:t xml:space="preserve"> </w:t>
      </w:r>
      <w:r>
        <w:rPr>
          <w:rtl/>
        </w:rPr>
        <w:t>ف</w:t>
      </w:r>
      <w:r>
        <w:rPr>
          <w:rFonts w:hint="cs"/>
          <w:rtl/>
        </w:rPr>
        <w:t xml:space="preserve">ناسب ذكرها في الجملة المعطوفة عليها، ولاسيّما أن حرف الجر الزائد </w:t>
      </w:r>
      <w:r>
        <w:rPr>
          <w:rFonts w:hint="eastAsia"/>
          <w:rtl/>
        </w:rPr>
        <w:t>«</w:t>
      </w:r>
      <w:r>
        <w:rPr>
          <w:rFonts w:hint="cs"/>
          <w:rtl/>
        </w:rPr>
        <w:t>يقوّي المعنى القائم في الجملة ويؤكده</w:t>
      </w:r>
      <w:r>
        <w:rPr>
          <w:rFonts w:hint="eastAsia"/>
          <w:rtl/>
        </w:rPr>
        <w:t>»</w:t>
      </w:r>
      <w:r>
        <w:rPr>
          <w:rFonts w:hint="cs"/>
          <w:rtl/>
        </w:rPr>
        <w:t>- قاله صاحب ضياء السالك، 2/268</w:t>
      </w:r>
      <w:r>
        <w:rPr>
          <w:rtl/>
        </w:rPr>
        <w:t>-</w:t>
      </w:r>
      <w:r>
        <w:rPr>
          <w:rFonts w:hint="cs"/>
          <w:rtl/>
        </w:rPr>
        <w:t>.</w:t>
      </w:r>
    </w:p>
  </w:footnote>
  <w:footnote w:id="11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تصح</w:t>
      </w:r>
      <w:r>
        <w:rPr>
          <w:rFonts w:hint="eastAsia"/>
          <w:rtl/>
        </w:rPr>
        <w:t>»</w:t>
      </w:r>
      <w:r>
        <w:rPr>
          <w:rFonts w:hint="cs"/>
          <w:rtl/>
        </w:rPr>
        <w:t>.</w:t>
      </w:r>
    </w:p>
  </w:footnote>
  <w:footnote w:id="11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تبيين الحقائق، 5/17؛ العناية ونتائج الأفكار، 8/360، 361، ردّ المحتار، 8/376.</w:t>
      </w:r>
    </w:p>
  </w:footnote>
  <w:footnote w:id="11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(جامع الفصولين)، 2/61 بلفظ : </w:t>
      </w:r>
      <w:r>
        <w:rPr>
          <w:rFonts w:hint="eastAsia"/>
          <w:rtl/>
        </w:rPr>
        <w:t>«</w:t>
      </w:r>
      <w:r>
        <w:rPr>
          <w:rFonts w:hint="cs"/>
          <w:rtl/>
        </w:rPr>
        <w:t>الإقرار لا يصلح سببًا للاستحقاق</w:t>
      </w:r>
      <w:r>
        <w:rPr>
          <w:rFonts w:hint="eastAsia"/>
          <w:rtl/>
        </w:rPr>
        <w:t>»</w:t>
      </w:r>
      <w:r>
        <w:rPr>
          <w:rFonts w:hint="cs"/>
          <w:rtl/>
        </w:rPr>
        <w:t>. كما نقل المؤلف في أثناء شرحه للقاعدة لفظين قريبين من القاعدة :</w:t>
      </w:r>
    </w:p>
    <w:p w:rsidR="00035BE3" w:rsidRDefault="00035BE3" w:rsidP="00C10469">
      <w:pPr>
        <w:pStyle w:val="a6"/>
        <w:ind w:left="422" w:firstLine="0"/>
        <w:rPr>
          <w:spacing w:val="-10"/>
          <w:sz w:val="29"/>
          <w:szCs w:val="29"/>
          <w:rtl/>
          <w:lang w:eastAsia="en-GB"/>
        </w:rPr>
      </w:pPr>
      <w:r>
        <w:rPr>
          <w:rFonts w:hint="cs"/>
          <w:b/>
          <w:bCs/>
          <w:spacing w:val="-10"/>
          <w:sz w:val="29"/>
          <w:szCs w:val="29"/>
          <w:rtl/>
          <w:lang w:eastAsia="en-GB"/>
        </w:rPr>
        <w:t>الأول</w:t>
      </w:r>
      <w:r>
        <w:rPr>
          <w:rFonts w:hint="cs"/>
          <w:spacing w:val="-10"/>
          <w:sz w:val="29"/>
          <w:szCs w:val="29"/>
          <w:rtl/>
          <w:lang w:eastAsia="en-GB"/>
        </w:rPr>
        <w:t xml:space="preserve"> : قول صاحب (المحيط البرهاني) : </w:t>
      </w:r>
      <w:r>
        <w:rPr>
          <w:rFonts w:hint="eastAsia"/>
          <w:spacing w:val="-10"/>
          <w:sz w:val="29"/>
          <w:szCs w:val="29"/>
          <w:rtl/>
          <w:lang w:eastAsia="en-GB"/>
        </w:rPr>
        <w:t>«</w:t>
      </w:r>
      <w:r>
        <w:rPr>
          <w:rFonts w:hint="cs"/>
          <w:spacing w:val="-10"/>
          <w:sz w:val="29"/>
          <w:szCs w:val="29"/>
          <w:rtl/>
          <w:lang w:eastAsia="en-GB"/>
        </w:rPr>
        <w:t>...لا تسمع بينته</w:t>
      </w:r>
      <w:r>
        <w:rPr>
          <w:spacing w:val="-10"/>
          <w:sz w:val="29"/>
          <w:szCs w:val="29"/>
          <w:rtl/>
          <w:lang w:eastAsia="en-GB"/>
        </w:rPr>
        <w:t>؛</w:t>
      </w:r>
      <w:r>
        <w:rPr>
          <w:rFonts w:hint="cs"/>
          <w:spacing w:val="-10"/>
          <w:sz w:val="29"/>
          <w:szCs w:val="29"/>
          <w:rtl/>
          <w:lang w:eastAsia="en-GB"/>
        </w:rPr>
        <w:t xml:space="preserve"> لأن هذا دعوى الإقرار في طريق الاستحقاق</w:t>
      </w:r>
      <w:r>
        <w:rPr>
          <w:rFonts w:hint="eastAsia"/>
          <w:spacing w:val="-10"/>
          <w:sz w:val="29"/>
          <w:szCs w:val="29"/>
          <w:rtl/>
          <w:lang w:eastAsia="en-GB"/>
        </w:rPr>
        <w:t>»</w:t>
      </w:r>
      <w:r>
        <w:rPr>
          <w:rFonts w:hint="cs"/>
          <w:spacing w:val="-10"/>
          <w:sz w:val="29"/>
          <w:szCs w:val="29"/>
          <w:rtl/>
          <w:lang w:eastAsia="en-GB"/>
        </w:rPr>
        <w:t>.</w:t>
      </w:r>
    </w:p>
    <w:p w:rsidR="00035BE3" w:rsidRDefault="00035BE3" w:rsidP="00C10469">
      <w:pPr>
        <w:pStyle w:val="a6"/>
        <w:ind w:left="422" w:firstLine="0"/>
        <w:rPr>
          <w:rtl/>
          <w:lang w:eastAsia="en-GB"/>
        </w:rPr>
      </w:pPr>
      <w:r>
        <w:rPr>
          <w:rFonts w:hint="cs"/>
          <w:b/>
          <w:bCs/>
          <w:rtl/>
          <w:lang w:eastAsia="en-GB"/>
        </w:rPr>
        <w:t>الثاني</w:t>
      </w:r>
      <w:r>
        <w:rPr>
          <w:rFonts w:hint="cs"/>
          <w:rtl/>
          <w:lang w:eastAsia="en-GB"/>
        </w:rPr>
        <w:t xml:space="preserve"> : قول صاح</w:t>
      </w:r>
      <w:r>
        <w:rPr>
          <w:rtl/>
          <w:lang w:eastAsia="en-GB"/>
        </w:rPr>
        <w:t>ب</w:t>
      </w:r>
      <w:r>
        <w:rPr>
          <w:rFonts w:hint="cs"/>
          <w:rtl/>
          <w:lang w:eastAsia="en-GB"/>
        </w:rPr>
        <w:t xml:space="preserve"> (الدّرر شرح الغرر) -2/357- : </w:t>
      </w:r>
      <w:r>
        <w:rPr>
          <w:rFonts w:hint="eastAsia"/>
          <w:rtl/>
          <w:lang w:eastAsia="en-GB"/>
        </w:rPr>
        <w:t>«</w:t>
      </w:r>
      <w:r>
        <w:rPr>
          <w:rFonts w:hint="cs"/>
          <w:rtl/>
          <w:lang w:eastAsia="en-GB"/>
        </w:rPr>
        <w:t>الإقرار ليس ناقلاً للملك</w:t>
      </w:r>
      <w:r>
        <w:rPr>
          <w:rFonts w:hint="eastAsia"/>
          <w:rtl/>
          <w:lang w:eastAsia="en-GB"/>
        </w:rPr>
        <w:t>»</w:t>
      </w:r>
      <w:r>
        <w:rPr>
          <w:rFonts w:hint="cs"/>
          <w:rtl/>
          <w:lang w:eastAsia="en-GB"/>
        </w:rPr>
        <w:t>.</w:t>
      </w:r>
    </w:p>
    <w:p w:rsidR="00035BE3" w:rsidRDefault="00035BE3" w:rsidP="00C10469">
      <w:pPr>
        <w:pStyle w:val="a6"/>
        <w:ind w:left="422" w:firstLine="0"/>
        <w:rPr>
          <w:spacing w:val="-2"/>
          <w:rtl/>
          <w:lang w:eastAsia="en-GB"/>
        </w:rPr>
      </w:pPr>
      <w:r>
        <w:rPr>
          <w:rFonts w:hint="cs"/>
          <w:spacing w:val="-2"/>
          <w:rtl/>
          <w:lang w:eastAsia="en-GB"/>
        </w:rPr>
        <w:t>كما ورد معناه ضمنًا في بعض كتب الفقه الحنفي، وذلك في أثناء بيانهم لحقيقة الإقرار، كتبيين الحقائق، 5/2؛ الدّرر شرح الغرر، 2/357؛ الدّر المختار وحاشيته : رد المحتار، 8/351، 352</w:t>
      </w:r>
      <w:r>
        <w:rPr>
          <w:spacing w:val="-2"/>
          <w:rtl/>
          <w:lang w:eastAsia="en-GB"/>
        </w:rPr>
        <w:t>؛</w:t>
      </w:r>
      <w:r>
        <w:rPr>
          <w:rFonts w:hint="cs"/>
          <w:spacing w:val="-2"/>
          <w:rtl/>
          <w:lang w:eastAsia="en-GB"/>
        </w:rPr>
        <w:t xml:space="preserve"> وغيرها .</w:t>
      </w:r>
    </w:p>
    <w:p w:rsidR="00035BE3" w:rsidRDefault="00035BE3" w:rsidP="00C10469">
      <w:pPr>
        <w:pStyle w:val="a6"/>
        <w:ind w:left="422" w:firstLine="0"/>
        <w:rPr>
          <w:rtl/>
          <w:lang w:eastAsia="en-GB"/>
        </w:rPr>
      </w:pPr>
      <w:r>
        <w:rPr>
          <w:rFonts w:hint="cs"/>
          <w:b/>
          <w:bCs/>
          <w:rtl/>
          <w:lang w:eastAsia="en-GB"/>
        </w:rPr>
        <w:t>وحاصل</w:t>
      </w:r>
      <w:r>
        <w:rPr>
          <w:rFonts w:hint="cs"/>
          <w:rtl/>
          <w:lang w:eastAsia="en-GB"/>
        </w:rPr>
        <w:t xml:space="preserve"> ما ذكروه : أن الإقرار </w:t>
      </w:r>
      <w:r>
        <w:rPr>
          <w:rFonts w:hint="eastAsia"/>
          <w:rtl/>
          <w:lang w:eastAsia="en-GB"/>
        </w:rPr>
        <w:t>«</w:t>
      </w:r>
      <w:r>
        <w:rPr>
          <w:rFonts w:hint="cs"/>
          <w:rtl/>
          <w:lang w:eastAsia="en-GB"/>
        </w:rPr>
        <w:t>إخبار عن ثبوت حـق</w:t>
      </w:r>
      <w:r>
        <w:rPr>
          <w:rtl/>
          <w:lang w:eastAsia="en-GB"/>
        </w:rPr>
        <w:t>ٍّ</w:t>
      </w:r>
      <w:r>
        <w:rPr>
          <w:rFonts w:hint="cs"/>
          <w:rtl/>
          <w:lang w:eastAsia="en-GB"/>
        </w:rPr>
        <w:t xml:space="preserve"> </w:t>
      </w:r>
      <w:r>
        <w:rPr>
          <w:rtl/>
          <w:lang w:eastAsia="en-GB"/>
        </w:rPr>
        <w:t>ل</w:t>
      </w:r>
      <w:r>
        <w:rPr>
          <w:rFonts w:hint="cs"/>
          <w:rtl/>
          <w:lang w:eastAsia="en-GB"/>
        </w:rPr>
        <w:t>لغير على نفسه</w:t>
      </w:r>
      <w:r>
        <w:rPr>
          <w:rFonts w:hint="eastAsia"/>
          <w:rtl/>
          <w:lang w:eastAsia="en-GB"/>
        </w:rPr>
        <w:t>»</w:t>
      </w:r>
      <w:r>
        <w:rPr>
          <w:rtl/>
          <w:lang w:eastAsia="en-GB"/>
        </w:rPr>
        <w:t>.</w:t>
      </w:r>
      <w:r>
        <w:rPr>
          <w:rFonts w:hint="cs"/>
          <w:rtl/>
          <w:lang w:eastAsia="en-GB"/>
        </w:rPr>
        <w:t xml:space="preserve"> قال</w:t>
      </w:r>
      <w:r>
        <w:rPr>
          <w:rtl/>
          <w:lang w:eastAsia="en-GB"/>
        </w:rPr>
        <w:t>ه</w:t>
      </w:r>
      <w:r>
        <w:rPr>
          <w:rFonts w:hint="cs"/>
          <w:rtl/>
          <w:lang w:eastAsia="en-GB"/>
        </w:rPr>
        <w:t xml:space="preserve"> في نتائج الأفكار </w:t>
      </w:r>
      <w:r>
        <w:rPr>
          <w:lang w:eastAsia="en-GB"/>
        </w:rPr>
        <w:t>–</w:t>
      </w:r>
      <w:r>
        <w:rPr>
          <w:rFonts w:hint="cs"/>
          <w:rtl/>
          <w:lang w:eastAsia="en-GB"/>
        </w:rPr>
        <w:t xml:space="preserve"> 8/317- </w:t>
      </w:r>
      <w:r>
        <w:rPr>
          <w:rtl/>
          <w:lang w:eastAsia="en-GB"/>
        </w:rPr>
        <w:t>ثم قال عقبه</w:t>
      </w:r>
      <w:r>
        <w:rPr>
          <w:rFonts w:hint="cs"/>
          <w:rtl/>
          <w:lang w:eastAsia="en-GB"/>
        </w:rPr>
        <w:t xml:space="preserve">: </w:t>
      </w:r>
      <w:r>
        <w:rPr>
          <w:rFonts w:hint="eastAsia"/>
          <w:rtl/>
          <w:lang w:eastAsia="en-GB"/>
        </w:rPr>
        <w:t>«</w:t>
      </w:r>
      <w:r>
        <w:rPr>
          <w:rFonts w:hint="cs"/>
          <w:rtl/>
          <w:lang w:eastAsia="en-GB"/>
        </w:rPr>
        <w:t>كذا في الكافي وعامة المتون والشروح</w:t>
      </w:r>
      <w:r>
        <w:rPr>
          <w:rFonts w:hint="eastAsia"/>
          <w:rtl/>
          <w:lang w:eastAsia="en-GB"/>
        </w:rPr>
        <w:t>»</w:t>
      </w:r>
      <w:r>
        <w:rPr>
          <w:rFonts w:hint="cs"/>
          <w:rtl/>
          <w:lang w:eastAsia="en-GB"/>
        </w:rPr>
        <w:t>.</w:t>
      </w:r>
    </w:p>
    <w:p w:rsidR="00035BE3" w:rsidRDefault="00035BE3" w:rsidP="00C10469">
      <w:pPr>
        <w:pStyle w:val="a6"/>
        <w:ind w:left="422" w:firstLine="0"/>
        <w:rPr>
          <w:rtl/>
          <w:lang w:eastAsia="en-GB"/>
        </w:rPr>
      </w:pPr>
      <w:r>
        <w:rPr>
          <w:rFonts w:hint="cs"/>
          <w:rtl/>
          <w:lang w:eastAsia="en-GB"/>
        </w:rPr>
        <w:t xml:space="preserve">وإذا كان الإقرار إخبارًا عن حقٍّ سابق، وليس إنشاءً وإثباتًا لحقٍّ جديد، فإن حكمه : ظهور المقرّ به للمقَرِّ له، لا ثبوته ابتداء؛ لأنه ليس بناقلٍ لملك المقِرّ إلى المقَرِّ له؛ بل مظهر ومعلن عن ذلك الملك المتقدم فحسب، وهذا بمعنى قول المؤلف : </w:t>
      </w:r>
      <w:r>
        <w:rPr>
          <w:rFonts w:hint="eastAsia"/>
          <w:rtl/>
          <w:lang w:eastAsia="en-GB"/>
        </w:rPr>
        <w:t>«</w:t>
      </w:r>
      <w:r>
        <w:rPr>
          <w:rFonts w:hint="cs"/>
          <w:rtl/>
          <w:lang w:eastAsia="en-GB"/>
        </w:rPr>
        <w:t>الإقرار لا يكون سببًا للاستحقاق</w:t>
      </w:r>
      <w:r>
        <w:rPr>
          <w:rFonts w:hint="eastAsia"/>
          <w:rtl/>
          <w:lang w:eastAsia="en-GB"/>
        </w:rPr>
        <w:t>»</w:t>
      </w:r>
      <w:r>
        <w:rPr>
          <w:rFonts w:hint="cs"/>
          <w:rtl/>
          <w:lang w:eastAsia="en-GB"/>
        </w:rPr>
        <w:t>.</w:t>
      </w:r>
    </w:p>
    <w:p w:rsidR="00035BE3" w:rsidRDefault="00035BE3" w:rsidP="00C10469">
      <w:pPr>
        <w:pStyle w:val="a6"/>
        <w:ind w:left="422" w:firstLine="0"/>
        <w:rPr>
          <w:rtl/>
          <w:lang w:eastAsia="en-GB"/>
        </w:rPr>
      </w:pPr>
      <w:r>
        <w:rPr>
          <w:rFonts w:hint="cs"/>
          <w:rtl/>
          <w:lang w:eastAsia="en-GB"/>
        </w:rPr>
        <w:t>و</w:t>
      </w:r>
      <w:r>
        <w:rPr>
          <w:rtl/>
          <w:lang w:eastAsia="en-GB"/>
        </w:rPr>
        <w:t>م</w:t>
      </w:r>
      <w:r>
        <w:rPr>
          <w:rFonts w:hint="cs"/>
          <w:rtl/>
          <w:lang w:eastAsia="en-GB"/>
        </w:rPr>
        <w:t xml:space="preserve">ع كون الإقرار إخبارًا وليس إنشاء عند عامّة أصحاب المتون والشروح من الحنفية، إلاّ أن هناك من خالف منهم وقال : إنه إنشاء، وينبني على كونه إنشاء : إمكانية انتقال الملك به. وذهب أصحاب (البحر الرائق) و(تنوير الأبصار) و(الدّر المختار) إلى الجمع بينهما فقالوا : هو </w:t>
      </w:r>
      <w:r>
        <w:rPr>
          <w:rFonts w:hint="eastAsia"/>
          <w:rtl/>
          <w:lang w:eastAsia="en-GB"/>
        </w:rPr>
        <w:t>«</w:t>
      </w:r>
      <w:r>
        <w:rPr>
          <w:rFonts w:hint="cs"/>
          <w:rtl/>
          <w:lang w:eastAsia="en-GB"/>
        </w:rPr>
        <w:t>إخبار بحقٍّ عليه من وجه</w:t>
      </w:r>
      <w:r>
        <w:rPr>
          <w:rtl/>
          <w:lang w:eastAsia="en-GB"/>
        </w:rPr>
        <w:t>،</w:t>
      </w:r>
      <w:r>
        <w:rPr>
          <w:rFonts w:hint="cs"/>
          <w:rtl/>
          <w:lang w:eastAsia="en-GB"/>
        </w:rPr>
        <w:t xml:space="preserve"> إنشاء من وجه</w:t>
      </w:r>
      <w:r>
        <w:rPr>
          <w:rFonts w:hint="eastAsia"/>
          <w:rtl/>
          <w:lang w:eastAsia="en-GB"/>
        </w:rPr>
        <w:t>»</w:t>
      </w:r>
      <w:r>
        <w:rPr>
          <w:rFonts w:hint="cs"/>
          <w:rtl/>
          <w:lang w:eastAsia="en-GB"/>
        </w:rPr>
        <w:t>.</w:t>
      </w:r>
    </w:p>
    <w:p w:rsidR="00035BE3" w:rsidRDefault="00035BE3" w:rsidP="00C10469">
      <w:pPr>
        <w:pStyle w:val="a6"/>
        <w:ind w:left="422" w:firstLine="0"/>
        <w:rPr>
          <w:rtl/>
          <w:lang w:eastAsia="en-GB"/>
        </w:rPr>
      </w:pPr>
      <w:r>
        <w:rPr>
          <w:rFonts w:hint="cs"/>
          <w:rtl/>
          <w:lang w:eastAsia="en-GB"/>
        </w:rPr>
        <w:t>البحر الرائق، 7/249؛ التنوير والدّر، 8/350.</w:t>
      </w:r>
    </w:p>
  </w:footnote>
  <w:footnote w:id="11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17/ب من (أ).</w:t>
      </w:r>
    </w:p>
  </w:footnote>
  <w:footnote w:id="11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يقبل</w:t>
      </w:r>
      <w:r>
        <w:rPr>
          <w:rFonts w:hint="eastAsia"/>
          <w:rtl/>
        </w:rPr>
        <w:t>»</w:t>
      </w:r>
      <w:r>
        <w:rPr>
          <w:rFonts w:hint="cs"/>
          <w:rtl/>
        </w:rPr>
        <w:t>. والأفصح ما تمَّ إثباته من (ب).</w:t>
      </w:r>
    </w:p>
  </w:footnote>
  <w:footnote w:id="11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بينة</w:t>
      </w:r>
      <w:r>
        <w:rPr>
          <w:rFonts w:hint="eastAsia"/>
          <w:rtl/>
        </w:rPr>
        <w:t>»</w:t>
      </w:r>
      <w:r>
        <w:rPr>
          <w:rFonts w:hint="cs"/>
          <w:rtl/>
        </w:rPr>
        <w:t>.</w:t>
      </w:r>
    </w:p>
  </w:footnote>
  <w:footnote w:id="11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(أم) هنا أُتي بها بعد (هل). وهذا لم يَرْتَضِهِ كثيرٌ من أهل اللغة، حيث نصّوا على أن </w:t>
      </w:r>
      <w:r>
        <w:rPr>
          <w:rFonts w:hint="eastAsia"/>
          <w:rtl/>
        </w:rPr>
        <w:t>«</w:t>
      </w:r>
      <w:r>
        <w:rPr>
          <w:rFonts w:hint="cs"/>
          <w:rtl/>
        </w:rPr>
        <w:t xml:space="preserve">(هل) لطلب </w:t>
      </w:r>
      <w:r w:rsidRPr="00954DB5">
        <w:rPr>
          <w:rFonts w:hint="cs"/>
          <w:spacing w:val="-4"/>
          <w:rtl/>
        </w:rPr>
        <w:t>التّصديق الموجب لا غير، نحو: هل قام زيد؟</w:t>
      </w:r>
      <w:r w:rsidRPr="00954DB5">
        <w:rPr>
          <w:rFonts w:hint="eastAsia"/>
          <w:spacing w:val="-4"/>
          <w:rtl/>
        </w:rPr>
        <w:t>»</w:t>
      </w:r>
      <w:r w:rsidRPr="00954DB5">
        <w:rPr>
          <w:rFonts w:hint="cs"/>
          <w:spacing w:val="-4"/>
          <w:rtl/>
        </w:rPr>
        <w:t xml:space="preserve">، </w:t>
      </w:r>
      <w:r w:rsidRPr="00954DB5">
        <w:rPr>
          <w:rFonts w:hint="eastAsia"/>
          <w:spacing w:val="-4"/>
          <w:rtl/>
        </w:rPr>
        <w:t>«</w:t>
      </w:r>
      <w:r w:rsidRPr="00954DB5">
        <w:rPr>
          <w:rFonts w:hint="cs"/>
          <w:spacing w:val="-4"/>
          <w:rtl/>
        </w:rPr>
        <w:t>أي لإدراك النسبة الإيجابية</w:t>
      </w:r>
      <w:r w:rsidRPr="00954DB5">
        <w:rPr>
          <w:rFonts w:hint="eastAsia"/>
          <w:spacing w:val="-4"/>
          <w:rtl/>
        </w:rPr>
        <w:t>»</w:t>
      </w:r>
      <w:r w:rsidRPr="00954DB5">
        <w:rPr>
          <w:rFonts w:hint="cs"/>
          <w:spacing w:val="-4"/>
          <w:rtl/>
        </w:rPr>
        <w:t xml:space="preserve"> بين الموضوع </w:t>
      </w:r>
      <w:r>
        <w:rPr>
          <w:rFonts w:hint="cs"/>
          <w:rtl/>
        </w:rPr>
        <w:t xml:space="preserve">والمحمول، </w:t>
      </w:r>
      <w:r>
        <w:rPr>
          <w:rFonts w:hint="eastAsia"/>
          <w:rtl/>
        </w:rPr>
        <w:t>«</w:t>
      </w:r>
      <w:r>
        <w:rPr>
          <w:rFonts w:hint="cs"/>
          <w:rtl/>
        </w:rPr>
        <w:t>دون التصوّر، ودون التصديق السلبي، فيمتنع نحو : ... هل زيد قائم أم عـمـرو؟ [لأنـه للتصور] ... و : هل لم يقم زيد؟</w:t>
      </w:r>
      <w:r>
        <w:rPr>
          <w:rFonts w:hint="eastAsia"/>
          <w:rtl/>
        </w:rPr>
        <w:t>»</w:t>
      </w:r>
      <w:r>
        <w:rPr>
          <w:rFonts w:hint="cs"/>
          <w:rtl/>
        </w:rPr>
        <w:t>؛ لأنه للتصديق السلبي.</w:t>
      </w:r>
    </w:p>
    <w:p w:rsidR="00035BE3" w:rsidRDefault="00035BE3" w:rsidP="00C10469">
      <w:pPr>
        <w:pStyle w:val="a6"/>
        <w:ind w:left="422" w:firstLine="0"/>
        <w:rPr>
          <w:rtl/>
        </w:rPr>
      </w:pPr>
      <w:r>
        <w:rPr>
          <w:rFonts w:hint="cs"/>
          <w:rtl/>
        </w:rPr>
        <w:t>بخلاف (الهمزة) فإنه يمكن أن يسأل بها عن ذلك كله.</w:t>
      </w:r>
    </w:p>
    <w:p w:rsidR="00035BE3" w:rsidRDefault="00035BE3" w:rsidP="00C10469">
      <w:pPr>
        <w:pStyle w:val="a6"/>
        <w:ind w:left="422" w:firstLine="0"/>
        <w:rPr>
          <w:rtl/>
        </w:rPr>
      </w:pPr>
      <w:r>
        <w:rPr>
          <w:rFonts w:hint="cs"/>
          <w:b/>
          <w:bCs/>
          <w:rtl/>
        </w:rPr>
        <w:t>وبناء على هذا :</w:t>
      </w:r>
      <w:r>
        <w:rPr>
          <w:rFonts w:hint="cs"/>
          <w:rtl/>
        </w:rPr>
        <w:t xml:space="preserve"> فإنه لا يناسب مجىء (أم) المتصلة بعد (هل)؛ لأن (أم) مع الاستفهام يُطلب بها تعيين أحد الأمرين، والذي يمكن أن يسأل به لتعيين أحد الأمرين وتصوّره هو (الهمزة).</w:t>
      </w:r>
    </w:p>
    <w:p w:rsidR="00035BE3" w:rsidRDefault="00035BE3" w:rsidP="00C10469">
      <w:pPr>
        <w:pStyle w:val="a6"/>
        <w:ind w:left="422" w:firstLine="0"/>
        <w:rPr>
          <w:spacing w:val="-2"/>
          <w:rtl/>
        </w:rPr>
      </w:pPr>
      <w:r>
        <w:rPr>
          <w:rFonts w:hint="cs"/>
          <w:spacing w:val="-2"/>
          <w:rtl/>
        </w:rPr>
        <w:t xml:space="preserve">وكون (أم) لا تأتي بعد (هل) ممّا أطلقه كثير من أهل اللغة، كالمرادي وابن هشام وابن يعيش وغيرهم. إلاّ أن المالقي له تفصيل، مفاده أن (أم) يمكن أن تتقدّمها (هل) إذا وقع الاستفهام عن كل جملة، حيث يقول في شأن (أم) : </w:t>
      </w:r>
      <w:r>
        <w:rPr>
          <w:rFonts w:hint="eastAsia"/>
          <w:spacing w:val="-2"/>
          <w:rtl/>
        </w:rPr>
        <w:t>«</w:t>
      </w:r>
      <w:r>
        <w:rPr>
          <w:rFonts w:hint="cs"/>
          <w:spacing w:val="-2"/>
          <w:rtl/>
        </w:rPr>
        <w:t>ويقع قبلها حرف الاستفهام ظاهرًا أو مقدّرًا... ولا يشترط أن تتقدمّها (الهمزة) لا غير؛ بل تتقدّم (هل) إذا وقع الاستفهام عن كل جملة، وإن كان المعنى المعادلة، كما قال :</w:t>
      </w:r>
    </w:p>
    <w:p w:rsidR="00035BE3" w:rsidRDefault="00035BE3" w:rsidP="00C10469">
      <w:pPr>
        <w:pStyle w:val="a6"/>
        <w:ind w:left="422" w:hanging="454"/>
        <w:jc w:val="left"/>
        <w:rPr>
          <w:b/>
          <w:bCs/>
          <w:rtl/>
        </w:rPr>
      </w:pPr>
      <w:r>
        <w:rPr>
          <w:rFonts w:hint="cs"/>
          <w:b/>
          <w:bCs/>
          <w:rtl/>
        </w:rPr>
        <w:t xml:space="preserve">    </w:t>
      </w:r>
      <w:r w:rsidRPr="00DA4FF7">
        <w:rPr>
          <w:rFonts w:hint="cs"/>
          <w:b/>
          <w:bCs/>
          <w:sz w:val="14"/>
          <w:szCs w:val="24"/>
          <w:rtl/>
        </w:rPr>
        <w:t xml:space="preserve">   </w:t>
      </w:r>
      <w:r>
        <w:rPr>
          <w:rFonts w:hint="cs"/>
          <w:b/>
          <w:bCs/>
          <w:rtl/>
        </w:rPr>
        <w:t>هـل مـا علمـتَ وما استـودعتَ مكتوم       أم حـبلُـها إذْ نـأتـكَ اليـوم مـصرومُ</w:t>
      </w:r>
    </w:p>
    <w:p w:rsidR="00035BE3" w:rsidRDefault="00035BE3" w:rsidP="00C10469">
      <w:pPr>
        <w:pStyle w:val="a6"/>
        <w:ind w:left="422" w:firstLine="0"/>
        <w:rPr>
          <w:rtl/>
        </w:rPr>
      </w:pPr>
      <w:r>
        <w:rPr>
          <w:rFonts w:hint="cs"/>
          <w:rtl/>
        </w:rPr>
        <w:t>لأن المعنى : أيّ هذين كان؟</w:t>
      </w:r>
      <w:r>
        <w:rPr>
          <w:rFonts w:hint="eastAsia"/>
          <w:rtl/>
        </w:rPr>
        <w:t>»</w:t>
      </w:r>
      <w:r>
        <w:rPr>
          <w:rFonts w:hint="cs"/>
          <w:rtl/>
        </w:rPr>
        <w:t>.</w:t>
      </w:r>
    </w:p>
    <w:p w:rsidR="00035BE3" w:rsidRDefault="00035BE3" w:rsidP="00C10469">
      <w:pPr>
        <w:pStyle w:val="a6"/>
        <w:ind w:left="422" w:firstLine="0"/>
      </w:pPr>
      <w:r>
        <w:rPr>
          <w:rFonts w:hint="cs"/>
          <w:rtl/>
        </w:rPr>
        <w:t xml:space="preserve"> هذا حاصل ما وجدته في كتب اللغة (فإن النصوص المذكورة منقولة </w:t>
      </w:r>
      <w:r>
        <w:rPr>
          <w:rtl/>
        </w:rPr>
        <w:t>–</w:t>
      </w:r>
      <w:r>
        <w:rPr>
          <w:rFonts w:hint="cs"/>
          <w:rtl/>
        </w:rPr>
        <w:t xml:space="preserve"> مرتبة </w:t>
      </w:r>
      <w:r>
        <w:rPr>
          <w:rtl/>
        </w:rPr>
        <w:t>–</w:t>
      </w:r>
      <w:r>
        <w:rPr>
          <w:rFonts w:hint="cs"/>
          <w:rtl/>
        </w:rPr>
        <w:t xml:space="preserve"> مما يأتي: الجني الداني، ص341، وانظر منه ص30؛ المعجم المفصل في النحو العربي، 2/1150؛ مغني اللبيب، </w:t>
      </w:r>
      <w:r w:rsidRPr="005E473C">
        <w:rPr>
          <w:rFonts w:hint="cs"/>
          <w:spacing w:val="-4"/>
          <w:rtl/>
        </w:rPr>
        <w:t>1/562، وانظر منه 26، 77؛ رصف المباني، ص179؛ وانظر: شرح المفصّل لابن يعيش، 8/151).</w:t>
      </w:r>
    </w:p>
    <w:p w:rsidR="00035BE3" w:rsidRDefault="00035BE3" w:rsidP="00C10469">
      <w:pPr>
        <w:pStyle w:val="a6"/>
        <w:ind w:left="422" w:firstLine="0"/>
        <w:rPr>
          <w:sz w:val="40"/>
          <w:rtl/>
        </w:rPr>
      </w:pPr>
      <w:r>
        <w:rPr>
          <w:rFonts w:hint="cs"/>
          <w:sz w:val="40"/>
          <w:rtl/>
        </w:rPr>
        <w:t>وبالتأمل في النص المذكور : يظهر -والله أعلم- أن (أم) وما بعدها أقحمت في هذه العبارة بدون حاجة ؛ إذ المعنى يستقيم بدونها ، ويبقى معنى (هل) على حاله، وهو الاستفهام عن وقوع الن</w:t>
      </w:r>
      <w:r>
        <w:rPr>
          <w:sz w:val="40"/>
          <w:rtl/>
        </w:rPr>
        <w:t>ّ</w:t>
      </w:r>
      <w:r>
        <w:rPr>
          <w:rFonts w:hint="cs"/>
          <w:sz w:val="40"/>
          <w:rtl/>
        </w:rPr>
        <w:t>سبة بين الموضوع (وهو : بي</w:t>
      </w:r>
      <w:r>
        <w:rPr>
          <w:sz w:val="40"/>
          <w:rtl/>
        </w:rPr>
        <w:t>ّ</w:t>
      </w:r>
      <w:r>
        <w:rPr>
          <w:rFonts w:hint="cs"/>
          <w:sz w:val="40"/>
          <w:rtl/>
        </w:rPr>
        <w:t>نته) ، والمحمول (وهو : تقبل).</w:t>
      </w:r>
    </w:p>
    <w:p w:rsidR="00035BE3" w:rsidRDefault="00035BE3" w:rsidP="00C10469">
      <w:pPr>
        <w:pStyle w:val="a6"/>
        <w:ind w:left="422" w:firstLine="0"/>
        <w:rPr>
          <w:sz w:val="40"/>
          <w:rtl/>
        </w:rPr>
      </w:pPr>
      <w:r>
        <w:rPr>
          <w:rFonts w:hint="cs"/>
          <w:sz w:val="40"/>
          <w:rtl/>
        </w:rPr>
        <w:t>وعندما وردت (أم) بعد (هل) أثار ذلك إشكالاً ، وهو أن الظاهر أن نوع (أم) هنا هو (أم المتصلة) التي يطلب بها وبالاستفهام التـعيين، و(هل) لا يسأل بها عن تعيين أحد الأمرين وتصوره، فحصل الإشكال.</w:t>
      </w:r>
    </w:p>
    <w:p w:rsidR="00035BE3" w:rsidRDefault="00035BE3" w:rsidP="00C10469">
      <w:pPr>
        <w:pStyle w:val="a6"/>
        <w:ind w:left="422" w:firstLine="0"/>
        <w:rPr>
          <w:sz w:val="40"/>
          <w:rtl/>
        </w:rPr>
      </w:pPr>
      <w:r>
        <w:rPr>
          <w:rFonts w:hint="cs"/>
          <w:sz w:val="40"/>
          <w:rtl/>
        </w:rPr>
        <w:t>ويمكن دفع هذا الإشكال بأن</w:t>
      </w:r>
      <w:r>
        <w:rPr>
          <w:sz w:val="40"/>
          <w:rtl/>
        </w:rPr>
        <w:t>ّ</w:t>
      </w:r>
      <w:r>
        <w:rPr>
          <w:rFonts w:hint="cs"/>
          <w:sz w:val="40"/>
          <w:rtl/>
        </w:rPr>
        <w:t xml:space="preserve"> (أم) هنا بمعنى (أو) -باعتبار أن</w:t>
      </w:r>
      <w:r>
        <w:rPr>
          <w:sz w:val="40"/>
          <w:rtl/>
        </w:rPr>
        <w:t>ّ</w:t>
      </w:r>
      <w:r>
        <w:rPr>
          <w:rFonts w:hint="cs"/>
          <w:sz w:val="40"/>
          <w:rtl/>
        </w:rPr>
        <w:t xml:space="preserve"> (أو) هي أصل (أم)- على مذهب ابن كيسان (كما في الجني الداني ، ص 205)-. و(أو) يمكن ورودها بعد (هل)؛ لأ</w:t>
      </w:r>
      <w:r>
        <w:rPr>
          <w:sz w:val="40"/>
          <w:rtl/>
        </w:rPr>
        <w:t xml:space="preserve">نه </w:t>
      </w:r>
      <w:r>
        <w:rPr>
          <w:rFonts w:hint="eastAsia"/>
          <w:rtl/>
        </w:rPr>
        <w:t>«</w:t>
      </w:r>
      <w:r>
        <w:rPr>
          <w:rFonts w:hint="cs"/>
          <w:sz w:val="40"/>
          <w:rtl/>
        </w:rPr>
        <w:t xml:space="preserve">ورد </w:t>
      </w:r>
      <w:r>
        <w:t>–</w:t>
      </w:r>
      <w:r>
        <w:rPr>
          <w:rFonts w:hint="cs"/>
          <w:sz w:val="40"/>
          <w:rtl/>
        </w:rPr>
        <w:t>قليلاً- في المسموع وقوع (أو) بعد (هل) ..</w:t>
      </w:r>
      <w:r>
        <w:rPr>
          <w:rFonts w:hint="eastAsia"/>
          <w:rtl/>
        </w:rPr>
        <w:t xml:space="preserve"> »</w:t>
      </w:r>
      <w:r>
        <w:rPr>
          <w:sz w:val="40"/>
          <w:rtl/>
        </w:rPr>
        <w:t xml:space="preserve">- </w:t>
      </w:r>
      <w:r>
        <w:rPr>
          <w:rFonts w:hint="cs"/>
          <w:sz w:val="40"/>
          <w:rtl/>
        </w:rPr>
        <w:t>قاله صاحب النحو الوافي، 3/609-.</w:t>
      </w:r>
    </w:p>
    <w:p w:rsidR="00035BE3" w:rsidRDefault="00035BE3" w:rsidP="00C10469">
      <w:pPr>
        <w:pStyle w:val="a6"/>
        <w:ind w:left="422" w:firstLine="0"/>
        <w:rPr>
          <w:b/>
          <w:bCs/>
          <w:sz w:val="40"/>
          <w:rtl/>
        </w:rPr>
      </w:pPr>
      <w:r>
        <w:rPr>
          <w:rFonts w:hint="cs"/>
          <w:b/>
          <w:bCs/>
          <w:sz w:val="40"/>
          <w:rtl/>
        </w:rPr>
        <w:t>ومن أمثلة ذلك :</w:t>
      </w:r>
    </w:p>
    <w:p w:rsidR="00035BE3" w:rsidRDefault="00035BE3" w:rsidP="00C10469">
      <w:pPr>
        <w:pStyle w:val="a6"/>
        <w:ind w:left="422" w:firstLine="0"/>
        <w:rPr>
          <w:sz w:val="40"/>
          <w:rtl/>
        </w:rPr>
      </w:pPr>
      <w:r>
        <w:rPr>
          <w:rFonts w:hint="cs"/>
          <w:sz w:val="40"/>
          <w:rtl/>
        </w:rPr>
        <w:t xml:space="preserve">قوله تعالى: </w:t>
      </w:r>
      <w:r>
        <w:rPr>
          <w:color w:val="000000"/>
          <w:sz w:val="22"/>
          <w:szCs w:val="22"/>
        </w:rPr>
        <w:sym w:font="HQPB2" w:char="F0E2"/>
      </w:r>
      <w:r>
        <w:rPr>
          <w:color w:val="000000"/>
          <w:sz w:val="22"/>
          <w:szCs w:val="22"/>
          <w:rtl/>
        </w:rPr>
        <w:t xml:space="preserve"> </w:t>
      </w:r>
      <w:r>
        <w:rPr>
          <w:color w:val="000000"/>
          <w:sz w:val="22"/>
          <w:szCs w:val="22"/>
        </w:rPr>
        <w:sym w:font="HQPB5" w:char="F074"/>
      </w:r>
      <w:r>
        <w:rPr>
          <w:color w:val="000000"/>
          <w:sz w:val="22"/>
          <w:szCs w:val="22"/>
        </w:rPr>
        <w:sym w:font="HQPB2" w:char="F041"/>
      </w:r>
      <w:r>
        <w:rPr>
          <w:color w:val="000000"/>
          <w:sz w:val="22"/>
          <w:szCs w:val="22"/>
        </w:rPr>
        <w:sym w:font="HQPB1" w:char="F024"/>
      </w:r>
      <w:r>
        <w:rPr>
          <w:color w:val="000000"/>
          <w:sz w:val="22"/>
          <w:szCs w:val="22"/>
        </w:rPr>
        <w:sym w:font="HQPB5" w:char="F073"/>
      </w:r>
      <w:r>
        <w:rPr>
          <w:color w:val="000000"/>
          <w:sz w:val="22"/>
          <w:szCs w:val="22"/>
        </w:rPr>
        <w:sym w:font="HQPB2" w:char="F025"/>
      </w:r>
      <w:r>
        <w:rPr>
          <w:color w:val="000000"/>
          <w:sz w:val="22"/>
          <w:szCs w:val="22"/>
          <w:rtl/>
        </w:rPr>
        <w:t xml:space="preserve"> </w:t>
      </w:r>
      <w:r>
        <w:rPr>
          <w:color w:val="000000"/>
          <w:sz w:val="22"/>
          <w:szCs w:val="22"/>
        </w:rPr>
        <w:sym w:font="HQPB4" w:char="F0F6"/>
      </w:r>
      <w:r>
        <w:rPr>
          <w:color w:val="000000"/>
          <w:sz w:val="22"/>
          <w:szCs w:val="22"/>
        </w:rPr>
        <w:sym w:font="HQPB2" w:char="F040"/>
      </w:r>
      <w:r>
        <w:rPr>
          <w:color w:val="000000"/>
          <w:sz w:val="22"/>
          <w:szCs w:val="22"/>
        </w:rPr>
        <w:sym w:font="HQPB5" w:char="F079"/>
      </w:r>
      <w:r>
        <w:rPr>
          <w:color w:val="000000"/>
          <w:sz w:val="22"/>
          <w:szCs w:val="22"/>
        </w:rPr>
        <w:sym w:font="HQPB2" w:char="F064"/>
      </w:r>
      <w:r>
        <w:rPr>
          <w:color w:val="000000"/>
          <w:sz w:val="22"/>
          <w:szCs w:val="22"/>
          <w:rtl/>
        </w:rPr>
        <w:t xml:space="preserve"> </w:t>
      </w:r>
      <w:r>
        <w:rPr>
          <w:color w:val="000000"/>
          <w:sz w:val="22"/>
          <w:szCs w:val="22"/>
        </w:rPr>
        <w:sym w:font="HQPB4" w:char="F0F6"/>
      </w:r>
      <w:r>
        <w:rPr>
          <w:color w:val="000000"/>
          <w:sz w:val="22"/>
          <w:szCs w:val="22"/>
        </w:rPr>
        <w:sym w:font="HQPB3" w:char="F02F"/>
      </w:r>
      <w:r>
        <w:rPr>
          <w:color w:val="000000"/>
          <w:sz w:val="22"/>
          <w:szCs w:val="22"/>
        </w:rPr>
        <w:sym w:font="HQPB4" w:char="F0E4"/>
      </w:r>
      <w:r>
        <w:rPr>
          <w:color w:val="000000"/>
          <w:sz w:val="22"/>
          <w:szCs w:val="22"/>
        </w:rPr>
        <w:sym w:font="HQPB2" w:char="F033"/>
      </w:r>
      <w:r>
        <w:rPr>
          <w:color w:val="000000"/>
          <w:sz w:val="22"/>
          <w:szCs w:val="22"/>
        </w:rPr>
        <w:sym w:font="HQPB5" w:char="F074"/>
      </w:r>
      <w:r>
        <w:rPr>
          <w:color w:val="000000"/>
          <w:sz w:val="22"/>
          <w:szCs w:val="22"/>
        </w:rPr>
        <w:sym w:font="HQPB2" w:char="F052"/>
      </w:r>
      <w:r>
        <w:rPr>
          <w:color w:val="000000"/>
          <w:sz w:val="22"/>
          <w:szCs w:val="22"/>
        </w:rPr>
        <w:sym w:font="HQPB2" w:char="F071"/>
      </w:r>
      <w:r>
        <w:rPr>
          <w:color w:val="000000"/>
          <w:sz w:val="22"/>
          <w:szCs w:val="22"/>
        </w:rPr>
        <w:sym w:font="HQPB4" w:char="F0E3"/>
      </w:r>
      <w:r>
        <w:rPr>
          <w:color w:val="000000"/>
          <w:sz w:val="22"/>
          <w:szCs w:val="22"/>
        </w:rPr>
        <w:sym w:font="HQPB1" w:char="F0E8"/>
      </w:r>
      <w:r>
        <w:rPr>
          <w:color w:val="000000"/>
          <w:sz w:val="22"/>
          <w:szCs w:val="22"/>
        </w:rPr>
        <w:sym w:font="HQPB5" w:char="F079"/>
      </w:r>
      <w:r>
        <w:rPr>
          <w:color w:val="000000"/>
          <w:sz w:val="22"/>
          <w:szCs w:val="22"/>
        </w:rPr>
        <w:sym w:font="HQPB2" w:char="F04A"/>
      </w:r>
      <w:r>
        <w:rPr>
          <w:color w:val="000000"/>
          <w:sz w:val="22"/>
          <w:szCs w:val="22"/>
        </w:rPr>
        <w:sym w:font="HQPB4" w:char="F0F3"/>
      </w:r>
      <w:r>
        <w:rPr>
          <w:color w:val="000000"/>
          <w:sz w:val="22"/>
          <w:szCs w:val="22"/>
        </w:rPr>
        <w:sym w:font="HQPB1" w:char="F0A1"/>
      </w:r>
      <w:r>
        <w:rPr>
          <w:color w:val="000000"/>
          <w:sz w:val="22"/>
          <w:szCs w:val="22"/>
        </w:rPr>
        <w:sym w:font="HQPB5" w:char="F06F"/>
      </w:r>
      <w:r>
        <w:rPr>
          <w:color w:val="000000"/>
          <w:sz w:val="22"/>
          <w:szCs w:val="22"/>
        </w:rPr>
        <w:sym w:font="HQPB2" w:char="F084"/>
      </w:r>
      <w:r>
        <w:rPr>
          <w:color w:val="000000"/>
          <w:sz w:val="22"/>
          <w:szCs w:val="22"/>
          <w:rtl/>
        </w:rPr>
        <w:t xml:space="preserve"> </w:t>
      </w:r>
      <w:r>
        <w:rPr>
          <w:color w:val="000000"/>
          <w:sz w:val="22"/>
          <w:szCs w:val="22"/>
        </w:rPr>
        <w:sym w:font="HQPB4" w:char="F0F8"/>
      </w:r>
      <w:r>
        <w:rPr>
          <w:color w:val="000000"/>
          <w:sz w:val="22"/>
          <w:szCs w:val="22"/>
        </w:rPr>
        <w:sym w:font="HQPB1" w:char="F08C"/>
      </w:r>
      <w:r>
        <w:rPr>
          <w:color w:val="000000"/>
          <w:sz w:val="22"/>
          <w:szCs w:val="22"/>
        </w:rPr>
        <w:sym w:font="HQPB4" w:char="F0CE"/>
      </w:r>
      <w:r>
        <w:rPr>
          <w:color w:val="000000"/>
          <w:sz w:val="22"/>
          <w:szCs w:val="22"/>
        </w:rPr>
        <w:sym w:font="HQPB1" w:char="F029"/>
      </w:r>
      <w:r>
        <w:rPr>
          <w:color w:val="000000"/>
          <w:sz w:val="22"/>
          <w:szCs w:val="22"/>
          <w:rtl/>
        </w:rPr>
        <w:t xml:space="preserve"> </w:t>
      </w:r>
      <w:r>
        <w:rPr>
          <w:color w:val="000000"/>
          <w:sz w:val="22"/>
          <w:szCs w:val="22"/>
        </w:rPr>
        <w:sym w:font="HQPB5" w:char="F074"/>
      </w:r>
      <w:r>
        <w:rPr>
          <w:color w:val="000000"/>
          <w:sz w:val="22"/>
          <w:szCs w:val="22"/>
        </w:rPr>
        <w:sym w:font="HQPB2" w:char="F062"/>
      </w:r>
      <w:r>
        <w:rPr>
          <w:color w:val="000000"/>
          <w:sz w:val="22"/>
          <w:szCs w:val="22"/>
        </w:rPr>
        <w:sym w:font="HQPB2" w:char="F071"/>
      </w:r>
      <w:r>
        <w:rPr>
          <w:color w:val="000000"/>
          <w:sz w:val="22"/>
          <w:szCs w:val="22"/>
        </w:rPr>
        <w:sym w:font="HQPB4" w:char="F0E3"/>
      </w:r>
      <w:r>
        <w:rPr>
          <w:color w:val="000000"/>
          <w:sz w:val="22"/>
          <w:szCs w:val="22"/>
        </w:rPr>
        <w:sym w:font="HQPB1" w:char="F0E3"/>
      </w:r>
      <w:r>
        <w:rPr>
          <w:color w:val="000000"/>
          <w:sz w:val="22"/>
          <w:szCs w:val="22"/>
        </w:rPr>
        <w:sym w:font="HQPB4" w:char="F0F4"/>
      </w:r>
      <w:r>
        <w:rPr>
          <w:color w:val="000000"/>
          <w:sz w:val="22"/>
          <w:szCs w:val="22"/>
        </w:rPr>
        <w:sym w:font="HQPB1" w:char="F089"/>
      </w:r>
      <w:r>
        <w:rPr>
          <w:color w:val="000000"/>
          <w:sz w:val="22"/>
          <w:szCs w:val="22"/>
        </w:rPr>
        <w:sym w:font="HQPB5" w:char="F073"/>
      </w:r>
      <w:r>
        <w:rPr>
          <w:color w:val="000000"/>
          <w:sz w:val="22"/>
          <w:szCs w:val="22"/>
        </w:rPr>
        <w:sym w:font="HQPB1" w:char="F03F"/>
      </w:r>
      <w:r>
        <w:rPr>
          <w:color w:val="000000"/>
          <w:sz w:val="22"/>
          <w:szCs w:val="22"/>
          <w:rtl/>
        </w:rPr>
        <w:t xml:space="preserve"> </w:t>
      </w:r>
      <w:r>
        <w:rPr>
          <w:color w:val="000000"/>
          <w:sz w:val="22"/>
          <w:szCs w:val="22"/>
        </w:rPr>
        <w:sym w:font="HQPB4" w:char="F0F7"/>
      </w:r>
      <w:r>
        <w:rPr>
          <w:color w:val="000000"/>
          <w:sz w:val="22"/>
          <w:szCs w:val="22"/>
        </w:rPr>
        <w:sym w:font="HQPB2" w:char="F072"/>
      </w:r>
      <w:r>
        <w:rPr>
          <w:color w:val="000000"/>
          <w:sz w:val="22"/>
          <w:szCs w:val="22"/>
        </w:rPr>
        <w:sym w:font="HQPB5" w:char="F072"/>
      </w:r>
      <w:r>
        <w:rPr>
          <w:color w:val="000000"/>
          <w:sz w:val="22"/>
          <w:szCs w:val="22"/>
        </w:rPr>
        <w:sym w:font="HQPB1" w:char="F026"/>
      </w:r>
      <w:r>
        <w:rPr>
          <w:color w:val="000000"/>
          <w:sz w:val="22"/>
          <w:szCs w:val="22"/>
          <w:rtl/>
        </w:rPr>
        <w:t xml:space="preserve"> </w:t>
      </w:r>
      <w:r>
        <w:rPr>
          <w:color w:val="000000"/>
          <w:sz w:val="22"/>
          <w:szCs w:val="22"/>
        </w:rPr>
        <w:sym w:font="HQPB4" w:char="F0F6"/>
      </w:r>
      <w:r>
        <w:rPr>
          <w:color w:val="000000"/>
          <w:sz w:val="22"/>
          <w:szCs w:val="22"/>
        </w:rPr>
        <w:sym w:font="HQPB2" w:char="F04E"/>
      </w:r>
      <w:r>
        <w:rPr>
          <w:color w:val="000000"/>
          <w:sz w:val="22"/>
          <w:szCs w:val="22"/>
        </w:rPr>
        <w:sym w:font="HQPB4" w:char="F0E4"/>
      </w:r>
      <w:r>
        <w:rPr>
          <w:color w:val="000000"/>
          <w:sz w:val="22"/>
          <w:szCs w:val="22"/>
        </w:rPr>
        <w:sym w:font="HQPB2" w:char="F033"/>
      </w:r>
      <w:r>
        <w:rPr>
          <w:color w:val="000000"/>
          <w:sz w:val="22"/>
          <w:szCs w:val="22"/>
        </w:rPr>
        <w:sym w:font="HQPB5" w:char="F074"/>
      </w:r>
      <w:r>
        <w:rPr>
          <w:color w:val="000000"/>
          <w:sz w:val="22"/>
          <w:szCs w:val="22"/>
        </w:rPr>
        <w:sym w:font="HQPB2" w:char="F052"/>
      </w:r>
      <w:r>
        <w:rPr>
          <w:color w:val="000000"/>
          <w:sz w:val="22"/>
          <w:szCs w:val="22"/>
        </w:rPr>
        <w:sym w:font="HQPB2" w:char="F071"/>
      </w:r>
      <w:r>
        <w:rPr>
          <w:color w:val="000000"/>
          <w:sz w:val="22"/>
          <w:szCs w:val="22"/>
        </w:rPr>
        <w:sym w:font="HQPB4" w:char="F0E3"/>
      </w:r>
      <w:r>
        <w:rPr>
          <w:color w:val="000000"/>
          <w:sz w:val="22"/>
          <w:szCs w:val="22"/>
        </w:rPr>
        <w:sym w:font="HQPB1" w:char="F0E8"/>
      </w:r>
      <w:r>
        <w:rPr>
          <w:color w:val="000000"/>
          <w:sz w:val="22"/>
          <w:szCs w:val="22"/>
        </w:rPr>
        <w:sym w:font="HQPB5" w:char="F078"/>
      </w:r>
      <w:r>
        <w:rPr>
          <w:color w:val="000000"/>
          <w:sz w:val="22"/>
          <w:szCs w:val="22"/>
        </w:rPr>
        <w:sym w:font="HQPB1" w:char="F0FF"/>
      </w:r>
      <w:r>
        <w:rPr>
          <w:color w:val="000000"/>
          <w:sz w:val="22"/>
          <w:szCs w:val="22"/>
        </w:rPr>
        <w:sym w:font="HQPB2" w:char="F05A"/>
      </w:r>
      <w:r>
        <w:rPr>
          <w:color w:val="000000"/>
          <w:sz w:val="22"/>
          <w:szCs w:val="22"/>
        </w:rPr>
        <w:sym w:font="HQPB5" w:char="F074"/>
      </w:r>
      <w:r>
        <w:rPr>
          <w:color w:val="000000"/>
          <w:sz w:val="22"/>
          <w:szCs w:val="22"/>
        </w:rPr>
        <w:sym w:font="HQPB2" w:char="F083"/>
      </w:r>
      <w:r>
        <w:rPr>
          <w:color w:val="000000"/>
          <w:sz w:val="22"/>
          <w:szCs w:val="22"/>
          <w:rtl/>
        </w:rPr>
        <w:t xml:space="preserve"> </w:t>
      </w:r>
      <w:r>
        <w:rPr>
          <w:color w:val="000000"/>
          <w:sz w:val="22"/>
          <w:szCs w:val="22"/>
        </w:rPr>
        <w:sym w:font="HQPB4" w:char="F0F7"/>
      </w:r>
      <w:r>
        <w:rPr>
          <w:color w:val="000000"/>
          <w:sz w:val="22"/>
          <w:szCs w:val="22"/>
        </w:rPr>
        <w:sym w:font="HQPB2" w:char="F072"/>
      </w:r>
      <w:r>
        <w:rPr>
          <w:color w:val="000000"/>
          <w:sz w:val="22"/>
          <w:szCs w:val="22"/>
        </w:rPr>
        <w:sym w:font="HQPB5" w:char="F072"/>
      </w:r>
      <w:r>
        <w:rPr>
          <w:color w:val="000000"/>
          <w:sz w:val="22"/>
          <w:szCs w:val="22"/>
        </w:rPr>
        <w:sym w:font="HQPB1" w:char="F026"/>
      </w:r>
      <w:r>
        <w:rPr>
          <w:color w:val="000000"/>
          <w:sz w:val="22"/>
          <w:szCs w:val="22"/>
          <w:rtl/>
        </w:rPr>
        <w:t xml:space="preserve"> </w:t>
      </w:r>
      <w:r>
        <w:rPr>
          <w:color w:val="000000"/>
          <w:sz w:val="22"/>
          <w:szCs w:val="22"/>
        </w:rPr>
        <w:sym w:font="HQPB5" w:char="F074"/>
      </w:r>
      <w:r>
        <w:rPr>
          <w:color w:val="000000"/>
          <w:sz w:val="22"/>
          <w:szCs w:val="22"/>
        </w:rPr>
        <w:sym w:font="HQPB2" w:char="F062"/>
      </w:r>
      <w:r>
        <w:rPr>
          <w:color w:val="000000"/>
          <w:sz w:val="22"/>
          <w:szCs w:val="22"/>
        </w:rPr>
        <w:sym w:font="HQPB2" w:char="F072"/>
      </w:r>
      <w:r>
        <w:rPr>
          <w:color w:val="000000"/>
          <w:sz w:val="22"/>
          <w:szCs w:val="22"/>
        </w:rPr>
        <w:sym w:font="HQPB4" w:char="F095"/>
      </w:r>
      <w:r>
        <w:rPr>
          <w:color w:val="000000"/>
          <w:sz w:val="22"/>
          <w:szCs w:val="22"/>
        </w:rPr>
        <w:sym w:font="HQPB1" w:char="F08E"/>
      </w:r>
      <w:r>
        <w:rPr>
          <w:color w:val="000000"/>
          <w:sz w:val="22"/>
          <w:szCs w:val="22"/>
        </w:rPr>
        <w:sym w:font="HQPB4" w:char="F0DB"/>
      </w:r>
      <w:r>
        <w:rPr>
          <w:color w:val="000000"/>
          <w:sz w:val="22"/>
          <w:szCs w:val="22"/>
        </w:rPr>
        <w:sym w:font="HQPB1" w:char="F0D8"/>
      </w:r>
      <w:r>
        <w:rPr>
          <w:color w:val="000000"/>
          <w:sz w:val="22"/>
          <w:szCs w:val="22"/>
        </w:rPr>
        <w:sym w:font="HQPB5" w:char="F06F"/>
      </w:r>
      <w:r>
        <w:rPr>
          <w:color w:val="000000"/>
          <w:sz w:val="22"/>
          <w:szCs w:val="22"/>
        </w:rPr>
        <w:sym w:font="HQPB2" w:char="F084"/>
      </w:r>
      <w:r>
        <w:rPr>
          <w:color w:val="000000"/>
          <w:sz w:val="22"/>
          <w:szCs w:val="22"/>
          <w:rtl/>
        </w:rPr>
        <w:t xml:space="preserve">  </w:t>
      </w:r>
      <w:r>
        <w:rPr>
          <w:color w:val="000000"/>
          <w:sz w:val="22"/>
          <w:szCs w:val="22"/>
        </w:rPr>
        <w:sym w:font="HQPB2" w:char="F0E1"/>
      </w:r>
      <w:r>
        <w:rPr>
          <w:rFonts w:hint="cs"/>
          <w:sz w:val="40"/>
          <w:rtl/>
        </w:rPr>
        <w:t>. [ الآية</w:t>
      </w:r>
      <w:r>
        <w:rPr>
          <w:sz w:val="40"/>
          <w:rtl/>
        </w:rPr>
        <w:t xml:space="preserve"> </w:t>
      </w:r>
      <w:r>
        <w:rPr>
          <w:rFonts w:hint="cs"/>
          <w:sz w:val="40"/>
          <w:rtl/>
        </w:rPr>
        <w:t>رقم (72) و(73) من سورة (الشعراء)].</w:t>
      </w:r>
    </w:p>
    <w:p w:rsidR="00035BE3" w:rsidRDefault="00035BE3" w:rsidP="00C10469">
      <w:pPr>
        <w:pStyle w:val="a6"/>
        <w:ind w:left="422" w:firstLine="0"/>
      </w:pPr>
      <w:r>
        <w:rPr>
          <w:rFonts w:hint="cs"/>
          <w:sz w:val="40"/>
          <w:rtl/>
        </w:rPr>
        <w:t>وقول الشاعر :</w:t>
      </w:r>
    </w:p>
    <w:p w:rsidR="00035BE3" w:rsidRDefault="00035BE3" w:rsidP="00C10469">
      <w:pPr>
        <w:pStyle w:val="a6"/>
        <w:ind w:left="422" w:hanging="454"/>
        <w:jc w:val="center"/>
        <w:rPr>
          <w:b/>
          <w:bCs/>
          <w:sz w:val="40"/>
          <w:rtl/>
        </w:rPr>
      </w:pPr>
      <w:r>
        <w:rPr>
          <w:rFonts w:hint="cs"/>
          <w:b/>
          <w:bCs/>
          <w:sz w:val="40"/>
          <w:rtl/>
        </w:rPr>
        <w:t xml:space="preserve">    لـيـتَ شـعري هلُ ثم</w:t>
      </w:r>
      <w:r>
        <w:rPr>
          <w:b/>
          <w:bCs/>
          <w:sz w:val="40"/>
          <w:rtl/>
        </w:rPr>
        <w:t>ّ</w:t>
      </w:r>
      <w:r>
        <w:rPr>
          <w:rFonts w:hint="cs"/>
          <w:b/>
          <w:bCs/>
          <w:sz w:val="40"/>
          <w:rtl/>
        </w:rPr>
        <w:t xml:space="preserve"> هل آتِـيَـن</w:t>
      </w:r>
      <w:r>
        <w:rPr>
          <w:b/>
          <w:bCs/>
          <w:sz w:val="40"/>
          <w:rtl/>
        </w:rPr>
        <w:t>ـ</w:t>
      </w:r>
      <w:r>
        <w:rPr>
          <w:rFonts w:hint="cs"/>
          <w:b/>
          <w:bCs/>
          <w:sz w:val="40"/>
          <w:rtl/>
        </w:rPr>
        <w:t>هُم         أو يـحـولَـن</w:t>
      </w:r>
      <w:r>
        <w:rPr>
          <w:b/>
          <w:bCs/>
          <w:sz w:val="40"/>
          <w:rtl/>
        </w:rPr>
        <w:t>ّ</w:t>
      </w:r>
      <w:r>
        <w:rPr>
          <w:rFonts w:hint="cs"/>
          <w:b/>
          <w:bCs/>
          <w:sz w:val="40"/>
          <w:rtl/>
        </w:rPr>
        <w:t>َ دون ذ</w:t>
      </w:r>
      <w:r>
        <w:rPr>
          <w:b/>
          <w:bCs/>
          <w:sz w:val="40"/>
          <w:rtl/>
        </w:rPr>
        <w:t>ا</w:t>
      </w:r>
      <w:r>
        <w:rPr>
          <w:rFonts w:hint="cs"/>
          <w:b/>
          <w:bCs/>
          <w:sz w:val="40"/>
          <w:rtl/>
        </w:rPr>
        <w:t>ك حِـم</w:t>
      </w:r>
      <w:r>
        <w:rPr>
          <w:b/>
          <w:bCs/>
          <w:sz w:val="40"/>
          <w:rtl/>
        </w:rPr>
        <w:t>ـ</w:t>
      </w:r>
      <w:r>
        <w:rPr>
          <w:rFonts w:hint="cs"/>
          <w:b/>
          <w:bCs/>
          <w:sz w:val="40"/>
          <w:rtl/>
        </w:rPr>
        <w:t>امِي ؟</w:t>
      </w:r>
      <w:r>
        <w:rPr>
          <w:rFonts w:hint="cs"/>
          <w:sz w:val="40"/>
          <w:rtl/>
        </w:rPr>
        <w:t xml:space="preserve"> </w:t>
      </w:r>
    </w:p>
    <w:p w:rsidR="00035BE3" w:rsidRDefault="00035BE3" w:rsidP="00C10469">
      <w:pPr>
        <w:pStyle w:val="a6"/>
        <w:ind w:left="422" w:firstLine="0"/>
        <w:rPr>
          <w:spacing w:val="4"/>
          <w:sz w:val="40"/>
          <w:rtl/>
        </w:rPr>
      </w:pPr>
      <w:r>
        <w:rPr>
          <w:rFonts w:hint="cs"/>
          <w:spacing w:val="4"/>
          <w:sz w:val="40"/>
          <w:rtl/>
        </w:rPr>
        <w:t>- وقد ذكر هذا البيت صاحبا شرح المفصل، 8/151؛ و(مغني اللبيب)، 1/563، مستشهدين به على وقوع (هل) بعد العاطف-. وهو للكميت بن زيد الأسدي (ت126هـ). وانظر: هاشميات الكميت، ص24.</w:t>
      </w:r>
    </w:p>
    <w:p w:rsidR="00035BE3" w:rsidRDefault="00035BE3" w:rsidP="00C10469">
      <w:pPr>
        <w:pStyle w:val="a6"/>
        <w:ind w:left="422" w:firstLine="0"/>
        <w:rPr>
          <w:rtl/>
        </w:rPr>
      </w:pPr>
      <w:r>
        <w:rPr>
          <w:rFonts w:hint="cs"/>
          <w:sz w:val="40"/>
          <w:rtl/>
        </w:rPr>
        <w:t>هذا والله أعلم.</w:t>
      </w:r>
      <w:r>
        <w:rPr>
          <w:rtl/>
        </w:rPr>
        <w:t xml:space="preserve"> </w:t>
      </w:r>
    </w:p>
  </w:footnote>
  <w:footnote w:id="11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فلما عَرَضَ المستفتي الفتوى على القاضي.</w:t>
      </w:r>
    </w:p>
  </w:footnote>
  <w:footnote w:id="11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12/أ من (ب).</w:t>
      </w:r>
    </w:p>
  </w:footnote>
  <w:footnote w:id="1114">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w:t>
      </w:r>
      <w:r>
        <w:rPr>
          <w:rFonts w:hint="cs"/>
          <w:b/>
          <w:bCs/>
          <w:spacing w:val="-2"/>
          <w:rtl/>
        </w:rPr>
        <w:t>المحيط البرهاني</w:t>
      </w:r>
      <w:r>
        <w:rPr>
          <w:rFonts w:hint="cs"/>
          <w:spacing w:val="-2"/>
          <w:rtl/>
        </w:rPr>
        <w:t>: لمحم</w:t>
      </w:r>
      <w:r>
        <w:rPr>
          <w:spacing w:val="-2"/>
          <w:rtl/>
        </w:rPr>
        <w:t>و</w:t>
      </w:r>
      <w:r>
        <w:rPr>
          <w:rFonts w:hint="cs"/>
          <w:spacing w:val="-2"/>
          <w:rtl/>
        </w:rPr>
        <w:t>د بن أحمد بن عبد العزيز بن عمر بن مازه، البرهان البخاريّ الحنفي (ت616هـ).</w:t>
      </w:r>
    </w:p>
    <w:p w:rsidR="00035BE3" w:rsidRDefault="00035BE3" w:rsidP="00C10469">
      <w:pPr>
        <w:pStyle w:val="a6"/>
        <w:ind w:left="422" w:firstLine="0"/>
        <w:rPr>
          <w:spacing w:val="8"/>
          <w:rtl/>
          <w:lang w:eastAsia="en-GB"/>
        </w:rPr>
      </w:pPr>
      <w:r>
        <w:rPr>
          <w:rFonts w:hint="cs"/>
          <w:spacing w:val="8"/>
          <w:rtl/>
          <w:lang w:eastAsia="en-GB"/>
        </w:rPr>
        <w:t xml:space="preserve">وهو كتاب كبير في الفقه الحنفي، جمعه مؤلفه من كُتب ظاهر الرواية الستّة ومسائل النوادر والفتاوى والواقعات، وأضاف إليها فوائد من أبيه وغيره </w:t>
      </w:r>
      <w:r>
        <w:rPr>
          <w:spacing w:val="8"/>
          <w:lang w:eastAsia="en-GB"/>
        </w:rPr>
        <w:t>–</w:t>
      </w:r>
      <w:r>
        <w:rPr>
          <w:rFonts w:hint="cs"/>
          <w:spacing w:val="8"/>
          <w:rtl/>
          <w:lang w:eastAsia="en-GB"/>
        </w:rPr>
        <w:t xml:space="preserve"> هذا ما أفصح به من المراجع في مقدمة الكتاب -</w:t>
      </w:r>
      <w:r>
        <w:rPr>
          <w:spacing w:val="8"/>
          <w:rtl/>
          <w:lang w:eastAsia="en-GB"/>
        </w:rPr>
        <w:t>.</w:t>
      </w:r>
    </w:p>
    <w:p w:rsidR="00035BE3" w:rsidRDefault="00035BE3" w:rsidP="00C10469">
      <w:pPr>
        <w:pStyle w:val="a6"/>
        <w:ind w:left="422" w:firstLine="0"/>
        <w:rPr>
          <w:rtl/>
          <w:lang w:eastAsia="en-GB"/>
        </w:rPr>
      </w:pPr>
      <w:r>
        <w:rPr>
          <w:rFonts w:hint="cs"/>
          <w:rtl/>
          <w:lang w:eastAsia="en-GB"/>
        </w:rPr>
        <w:t xml:space="preserve">وكان (المحيط) مفقودًا مما جعل البعضَ يصنِّفه ضمن الكتب الغريبة غير المعتّد بها، وكان من بينهم اللكنوي، إلا أنه بعد اطلاعه عليه رجع عن هذا الحكم وقال : </w:t>
      </w:r>
      <w:r>
        <w:rPr>
          <w:rFonts w:hint="eastAsia"/>
          <w:rtl/>
          <w:lang w:eastAsia="en-GB"/>
        </w:rPr>
        <w:t>«</w:t>
      </w:r>
      <w:r>
        <w:rPr>
          <w:rFonts w:hint="cs"/>
          <w:rtl/>
          <w:lang w:eastAsia="en-GB"/>
        </w:rPr>
        <w:t>... ثم لما منحني الله مطالعته رأيتُه كتابًا نفيسًا مشتملاً على مسائل معتمدة</w:t>
      </w:r>
      <w:r>
        <w:rPr>
          <w:rtl/>
          <w:lang w:eastAsia="en-GB"/>
        </w:rPr>
        <w:t>،</w:t>
      </w:r>
      <w:r>
        <w:rPr>
          <w:rFonts w:hint="cs"/>
          <w:rtl/>
          <w:lang w:eastAsia="en-GB"/>
        </w:rPr>
        <w:t xml:space="preserve"> متجنبًا عن المسائل الغريبة الغير المعتبرة، إلا في مواضع قليلة، ومثله واقع في كتب كثيرة</w:t>
      </w:r>
      <w:r>
        <w:rPr>
          <w:rFonts w:hint="eastAsia"/>
          <w:rtl/>
          <w:lang w:eastAsia="en-GB"/>
        </w:rPr>
        <w:t>»</w:t>
      </w:r>
      <w:r>
        <w:rPr>
          <w:rFonts w:hint="cs"/>
          <w:rtl/>
          <w:lang w:eastAsia="en-GB"/>
        </w:rPr>
        <w:t>.</w:t>
      </w:r>
    </w:p>
    <w:p w:rsidR="00035BE3" w:rsidRDefault="00035BE3" w:rsidP="00C10469">
      <w:pPr>
        <w:pStyle w:val="a6"/>
        <w:ind w:left="422" w:firstLine="0"/>
        <w:rPr>
          <w:rtl/>
          <w:lang w:eastAsia="en-GB"/>
        </w:rPr>
      </w:pPr>
      <w:r>
        <w:rPr>
          <w:rFonts w:hint="cs"/>
          <w:rtl/>
          <w:lang w:eastAsia="en-GB"/>
        </w:rPr>
        <w:t>وعلى الرغم من أن المؤلف قد صرح باسمه واسم الكتاب في المقدمة، كما اتفقت النسخ الخطية وكتب التراجم على نسبته للمؤلف المذكور - على الرغم من ذلك إلا أن هناك مَنِ التبس عليه اسم المؤلف، فظنه محمد بن محمد بن محمد، الرضّي البرهان السَّرْخسي (ت 571هـ)</w:t>
      </w:r>
      <w:r>
        <w:rPr>
          <w:rtl/>
          <w:lang w:eastAsia="en-GB"/>
        </w:rPr>
        <w:t>،</w:t>
      </w:r>
      <w:r>
        <w:rPr>
          <w:rFonts w:hint="cs"/>
          <w:rtl/>
          <w:lang w:eastAsia="en-GB"/>
        </w:rPr>
        <w:t xml:space="preserve"> وممّن التبس عليه ذلك صاحب (الجواهر المضيّة)، ولعل السّبب هو أن السَّرْخسي هذا يلقب أيضًا بالبرهان، وله أكثر من كتاب يعرف بالمحيط</w:t>
      </w:r>
      <w:r>
        <w:rPr>
          <w:rtl/>
          <w:lang w:eastAsia="en-GB"/>
        </w:rPr>
        <w:t>،</w:t>
      </w:r>
      <w:r>
        <w:rPr>
          <w:rFonts w:hint="cs"/>
          <w:rtl/>
          <w:lang w:eastAsia="en-GB"/>
        </w:rPr>
        <w:t xml:space="preserve"> فظن أن الكتابَ المعرَّف به أحدُها.</w:t>
      </w:r>
    </w:p>
    <w:p w:rsidR="00035BE3" w:rsidRDefault="00035BE3" w:rsidP="00C10469">
      <w:pPr>
        <w:pStyle w:val="a6"/>
        <w:ind w:left="422" w:firstLine="0"/>
        <w:rPr>
          <w:rtl/>
          <w:lang w:eastAsia="en-GB"/>
        </w:rPr>
      </w:pPr>
      <w:r>
        <w:rPr>
          <w:rFonts w:hint="cs"/>
          <w:rtl/>
          <w:lang w:eastAsia="en-GB"/>
        </w:rPr>
        <w:t>كما نسبه البعض إلى جـد المؤلف وهو عبد العزيز بن عمر بن مازه، منهم أمير كـاتب الإتْقَانِي (ت 758هـ) في كتابه (غاية البيان شرح الهداية)؛ ولعل هذا الاشتباه ناتج من الاشتراك بين الجد وال</w:t>
      </w:r>
      <w:r>
        <w:rPr>
          <w:rtl/>
          <w:lang w:eastAsia="en-GB"/>
        </w:rPr>
        <w:t>ح</w:t>
      </w:r>
      <w:r>
        <w:rPr>
          <w:rFonts w:hint="cs"/>
          <w:rtl/>
          <w:lang w:eastAsia="en-GB"/>
        </w:rPr>
        <w:t>فيد في اللقب وهو البرهان.</w:t>
      </w:r>
    </w:p>
    <w:p w:rsidR="00035BE3" w:rsidRDefault="00035BE3" w:rsidP="00C10469">
      <w:pPr>
        <w:pStyle w:val="a6"/>
        <w:ind w:left="422" w:firstLine="0"/>
        <w:rPr>
          <w:rtl/>
          <w:lang w:eastAsia="en-GB"/>
        </w:rPr>
      </w:pPr>
      <w:r>
        <w:rPr>
          <w:rFonts w:hint="cs"/>
          <w:rtl/>
          <w:lang w:eastAsia="en-GB"/>
        </w:rPr>
        <w:t>وقد أفصح عن هذين الاشتباهين وردّهما صاحب (كشف الظنون)، كما أفصح عن الأول منهما صاحبا (مفتاح السّعادة) و(الفوائد البهية) وغير</w:t>
      </w:r>
      <w:r>
        <w:rPr>
          <w:rtl/>
          <w:lang w:eastAsia="en-GB"/>
        </w:rPr>
        <w:t>ُ</w:t>
      </w:r>
      <w:r>
        <w:rPr>
          <w:rFonts w:hint="cs"/>
          <w:rtl/>
          <w:lang w:eastAsia="en-GB"/>
        </w:rPr>
        <w:t>هما.</w:t>
      </w:r>
      <w:r>
        <w:rPr>
          <w:rFonts w:hint="cs"/>
          <w:rtl/>
          <w:lang w:eastAsia="en-GB"/>
        </w:rPr>
        <w:tab/>
      </w:r>
      <w:r>
        <w:rPr>
          <w:rFonts w:hint="cs"/>
          <w:rtl/>
          <w:lang w:eastAsia="en-GB"/>
        </w:rPr>
        <w:tab/>
      </w:r>
      <w:r>
        <w:rPr>
          <w:rFonts w:hint="cs"/>
          <w:rtl/>
          <w:lang w:eastAsia="en-GB"/>
        </w:rPr>
        <w:tab/>
      </w:r>
      <w:r>
        <w:rPr>
          <w:rFonts w:hint="cs"/>
          <w:rtl/>
          <w:lang w:eastAsia="en-GB"/>
        </w:rPr>
        <w:tab/>
      </w:r>
      <w:r>
        <w:rPr>
          <w:rFonts w:hint="cs"/>
          <w:rtl/>
          <w:lang w:eastAsia="en-GB"/>
        </w:rPr>
        <w:tab/>
      </w:r>
      <w:r>
        <w:rPr>
          <w:rFonts w:hint="cs"/>
          <w:rtl/>
          <w:lang w:eastAsia="en-GB"/>
        </w:rPr>
        <w:tab/>
        <w:t xml:space="preserve">  </w:t>
      </w:r>
    </w:p>
    <w:p w:rsidR="00035BE3" w:rsidRDefault="00035BE3" w:rsidP="00C10469">
      <w:pPr>
        <w:pStyle w:val="a6"/>
        <w:ind w:left="422" w:firstLine="0"/>
        <w:rPr>
          <w:rtl/>
          <w:lang w:eastAsia="en-GB"/>
        </w:rPr>
      </w:pPr>
      <w:r>
        <w:rPr>
          <w:rFonts w:hint="cs"/>
          <w:rtl/>
          <w:lang w:eastAsia="en-GB"/>
        </w:rPr>
        <w:t>وممّن أَوْلَوا هذه المسألة مزيد عناية محققو الكتاب عند تحقيقهم لنسبة الكتاب إلى المؤلف؛ إذ أن الكتاب وإن كان لا يزال مخطوطًا إلا أن العمل جار في تحقيقه على شكل رسائل علمية لنيل درجة الدكتوراه، وذلك على أيدي قرابة خمسة عشر باحثًا في المعهد العالي للقضاء بالرياض.</w:t>
      </w:r>
    </w:p>
    <w:p w:rsidR="00035BE3" w:rsidRDefault="00035BE3" w:rsidP="00C10469">
      <w:pPr>
        <w:pStyle w:val="a6"/>
        <w:ind w:left="422" w:firstLine="0"/>
        <w:rPr>
          <w:rtl/>
          <w:lang w:eastAsia="en-GB"/>
        </w:rPr>
      </w:pPr>
      <w:r>
        <w:rPr>
          <w:rFonts w:hint="cs"/>
          <w:rtl/>
          <w:lang w:eastAsia="en-GB"/>
        </w:rPr>
        <w:t xml:space="preserve">كما أن إدارة القرآن والعلوم الإسلامية بكراتشي لها جهد آخر في طباعة هذا الكتاب، وقد أعلنت </w:t>
      </w:r>
      <w:r w:rsidRPr="00EF4437">
        <w:rPr>
          <w:rFonts w:hint="cs"/>
          <w:spacing w:val="-4"/>
          <w:rtl/>
          <w:lang w:eastAsia="en-GB"/>
        </w:rPr>
        <w:t xml:space="preserve">عنه بتصدير غلاف الكتاب في نهاية طبعتها لكشف الحقائق، وصدّرت الصورة بلفظ: </w:t>
      </w:r>
      <w:r w:rsidRPr="00EF4437">
        <w:rPr>
          <w:rFonts w:hint="eastAsia"/>
          <w:spacing w:val="-4"/>
          <w:rtl/>
          <w:lang w:eastAsia="en-GB"/>
        </w:rPr>
        <w:t>«</w:t>
      </w:r>
      <w:r w:rsidRPr="00EF4437">
        <w:rPr>
          <w:rFonts w:hint="cs"/>
          <w:spacing w:val="-4"/>
          <w:rtl/>
          <w:lang w:eastAsia="en-GB"/>
        </w:rPr>
        <w:t xml:space="preserve">سيصدر </w:t>
      </w:r>
      <w:r>
        <w:rPr>
          <w:rFonts w:hint="cs"/>
          <w:rtl/>
          <w:lang w:eastAsia="en-GB"/>
        </w:rPr>
        <w:t>قريبًا</w:t>
      </w:r>
      <w:r>
        <w:rPr>
          <w:rFonts w:hint="eastAsia"/>
          <w:rtl/>
          <w:lang w:eastAsia="en-GB"/>
        </w:rPr>
        <w:t>»</w:t>
      </w:r>
      <w:r>
        <w:rPr>
          <w:rFonts w:hint="cs"/>
          <w:rtl/>
          <w:lang w:eastAsia="en-GB"/>
        </w:rPr>
        <w:t>.</w:t>
      </w:r>
    </w:p>
    <w:p w:rsidR="00035BE3" w:rsidRDefault="00035BE3" w:rsidP="00C10469">
      <w:pPr>
        <w:pStyle w:val="a6"/>
        <w:ind w:left="422" w:firstLine="0"/>
        <w:rPr>
          <w:spacing w:val="-2"/>
          <w:rtl/>
          <w:lang w:eastAsia="en-GB"/>
        </w:rPr>
      </w:pPr>
      <w:r>
        <w:rPr>
          <w:rFonts w:hint="cs"/>
          <w:spacing w:val="-2"/>
          <w:rtl/>
          <w:lang w:eastAsia="en-GB"/>
        </w:rPr>
        <w:t>انظر : مقـدمة</w:t>
      </w:r>
      <w:r>
        <w:rPr>
          <w:spacing w:val="-2"/>
          <w:rtl/>
          <w:lang w:eastAsia="en-GB"/>
        </w:rPr>
        <w:t xml:space="preserve"> المحيط</w:t>
      </w:r>
      <w:r>
        <w:rPr>
          <w:rFonts w:hint="cs"/>
          <w:spacing w:val="-2"/>
          <w:rtl/>
          <w:lang w:eastAsia="en-GB"/>
        </w:rPr>
        <w:t xml:space="preserve"> البرهاني، ق1، جـ1، ص7؛ الجواهر المضيّة وهـامـش المحقّق، 1/130- 131، 3/357، 4/364؛ تاج التراجم، ص200، رقم 219؛ مفتاح السّعادة، 2/246؛ كشف الظنون، 2/1619-1620؛ الفوائد البهية، ص188-191، 205-207</w:t>
      </w:r>
      <w:r>
        <w:rPr>
          <w:spacing w:val="-2"/>
          <w:rtl/>
          <w:lang w:eastAsia="en-GB"/>
        </w:rPr>
        <w:t xml:space="preserve"> ، 246</w:t>
      </w:r>
      <w:r>
        <w:rPr>
          <w:rFonts w:hint="cs"/>
          <w:spacing w:val="-2"/>
          <w:rtl/>
          <w:lang w:eastAsia="en-GB"/>
        </w:rPr>
        <w:t>؛</w:t>
      </w:r>
      <w:r>
        <w:rPr>
          <w:spacing w:val="-2"/>
          <w:rtl/>
          <w:lang w:eastAsia="en-GB"/>
        </w:rPr>
        <w:t xml:space="preserve"> </w:t>
      </w:r>
      <w:r>
        <w:rPr>
          <w:rFonts w:hint="cs"/>
          <w:spacing w:val="-2"/>
          <w:rtl/>
          <w:lang w:eastAsia="en-GB"/>
        </w:rPr>
        <w:t xml:space="preserve"> النافع الكـبير (المـقدمة)</w:t>
      </w:r>
      <w:r>
        <w:rPr>
          <w:spacing w:val="-2"/>
          <w:rtl/>
          <w:lang w:eastAsia="en-GB"/>
        </w:rPr>
        <w:t>،</w:t>
      </w:r>
      <w:r>
        <w:rPr>
          <w:rFonts w:hint="cs"/>
          <w:spacing w:val="-2"/>
          <w:rtl/>
          <w:lang w:eastAsia="en-GB"/>
        </w:rPr>
        <w:t xml:space="preserve"> ص28، 50؛ هدية العارفين، 2/404؛ مقدمة تحـقيق الشيخ أحمد الربيش للقسم الثالث من المحيط البرهاني</w:t>
      </w:r>
      <w:r>
        <w:rPr>
          <w:spacing w:val="-2"/>
          <w:rtl/>
          <w:lang w:eastAsia="en-GB"/>
        </w:rPr>
        <w:t>،</w:t>
      </w:r>
      <w:r>
        <w:rPr>
          <w:rFonts w:hint="cs"/>
          <w:spacing w:val="-2"/>
          <w:rtl/>
          <w:lang w:eastAsia="en-GB"/>
        </w:rPr>
        <w:t xml:space="preserve"> 1/39-41.</w:t>
      </w:r>
    </w:p>
  </w:footnote>
  <w:footnote w:id="11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w:t>
      </w:r>
    </w:p>
    <w:p w:rsidR="00035BE3" w:rsidRDefault="00035BE3" w:rsidP="00C10469">
      <w:pPr>
        <w:pStyle w:val="a6"/>
        <w:ind w:left="422" w:firstLine="0"/>
        <w:rPr>
          <w:rtl/>
          <w:lang w:eastAsia="en-GB"/>
        </w:rPr>
      </w:pPr>
      <w:r>
        <w:rPr>
          <w:rFonts w:hint="cs"/>
          <w:rtl/>
          <w:lang w:eastAsia="en-GB"/>
        </w:rPr>
        <w:t xml:space="preserve">ولو قال: منِّي؛ لكان أولى؛ لأن الضمير في (منه) يعود إلى المدعى عليه وهو المديون، والقول - المحكي هنا- محكيٌّ على لسان المدعى عليه نفسه، </w:t>
      </w:r>
      <w:r>
        <w:rPr>
          <w:rtl/>
          <w:lang w:eastAsia="en-GB"/>
        </w:rPr>
        <w:t>ف</w:t>
      </w:r>
      <w:r>
        <w:rPr>
          <w:rFonts w:hint="cs"/>
          <w:rtl/>
          <w:lang w:eastAsia="en-GB"/>
        </w:rPr>
        <w:t>ناسب أن يكون بِـ (ياء) المتكلم لا (هاء) الغائب.</w:t>
      </w:r>
    </w:p>
  </w:footnote>
  <w:footnote w:id="11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الضمير يعود إلى قول المدعى عليه المذكور.</w:t>
      </w:r>
    </w:p>
  </w:footnote>
  <w:footnote w:id="11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أن</w:t>
      </w:r>
      <w:r>
        <w:rPr>
          <w:rFonts w:hint="eastAsia"/>
          <w:rtl/>
        </w:rPr>
        <w:t>»</w:t>
      </w:r>
      <w:r>
        <w:rPr>
          <w:rFonts w:hint="cs"/>
          <w:rtl/>
        </w:rPr>
        <w:t>.</w:t>
      </w:r>
    </w:p>
  </w:footnote>
  <w:footnote w:id="11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طرف</w:t>
      </w:r>
      <w:r>
        <w:rPr>
          <w:rFonts w:hint="eastAsia"/>
          <w:rtl/>
        </w:rPr>
        <w:t>»</w:t>
      </w:r>
      <w:r>
        <w:rPr>
          <w:rFonts w:hint="cs"/>
          <w:rtl/>
        </w:rPr>
        <w:t>. ولعل هذا الأولى، لأن هذه الكلمة تكررت بعد سطرين تقريبًا، وقد ا</w:t>
      </w:r>
      <w:r>
        <w:rPr>
          <w:rtl/>
        </w:rPr>
        <w:t>تفق</w:t>
      </w:r>
      <w:r>
        <w:rPr>
          <w:rFonts w:hint="cs"/>
          <w:rtl/>
        </w:rPr>
        <w:t xml:space="preserve">ت جميع النسخ على أنها : </w:t>
      </w:r>
      <w:r>
        <w:rPr>
          <w:rFonts w:hint="eastAsia"/>
          <w:rtl/>
        </w:rPr>
        <w:t>«</w:t>
      </w:r>
      <w:r>
        <w:rPr>
          <w:rFonts w:hint="cs"/>
          <w:rtl/>
        </w:rPr>
        <w:t>طرف</w:t>
      </w:r>
      <w:r>
        <w:rPr>
          <w:rFonts w:hint="eastAsia"/>
          <w:rtl/>
        </w:rPr>
        <w:t>»</w:t>
      </w:r>
      <w:r>
        <w:rPr>
          <w:rFonts w:hint="cs"/>
          <w:rtl/>
        </w:rPr>
        <w:t>.</w:t>
      </w:r>
    </w:p>
  </w:footnote>
  <w:footnote w:id="11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تعليل بقاعدة أفردها المؤلف بالحديث، ص706 (ل53/أ)، قاعدة 128. وسيأتي توضيح المؤلف لمعناها في الصفحة الآتية. </w:t>
      </w:r>
    </w:p>
  </w:footnote>
  <w:footnote w:id="11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13/ب من (جـ).</w:t>
      </w:r>
    </w:p>
  </w:footnote>
  <w:footnote w:id="11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جامع الفصولين، 2/62؛ ردّ المحتار، 8/352. وقد أحال الأخير إلى (المحيط)، و(وجامع الفصولين) وغيرهما. وقد بحثت عن العبارة في (المحيط البرهاني) فلم أقف عليها.</w:t>
      </w:r>
    </w:p>
  </w:footnote>
  <w:footnote w:id="11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12/أ من (د).</w:t>
      </w:r>
    </w:p>
  </w:footnote>
  <w:footnote w:id="11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العبارة قد يكون فيها شيء من الركاكة، ولعلها تسلم من ذلك لو كانت : (إن المسألة التي اس</w:t>
      </w:r>
      <w:r>
        <w:rPr>
          <w:rtl/>
        </w:rPr>
        <w:t>تفتيت</w:t>
      </w:r>
      <w:r>
        <w:rPr>
          <w:rFonts w:hint="cs"/>
          <w:rtl/>
        </w:rPr>
        <w:t>ُ عنها ليست من هذا الجنس)</w:t>
      </w:r>
      <w:r>
        <w:rPr>
          <w:rtl/>
        </w:rPr>
        <w:t>.</w:t>
      </w:r>
    </w:p>
  </w:footnote>
  <w:footnote w:id="11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التدبّر</w:t>
      </w:r>
      <w:r>
        <w:rPr>
          <w:rFonts w:hint="eastAsia"/>
          <w:rtl/>
        </w:rPr>
        <w:t>»</w:t>
      </w:r>
      <w:r>
        <w:rPr>
          <w:rFonts w:hint="cs"/>
          <w:rtl/>
        </w:rPr>
        <w:t>.</w:t>
      </w:r>
    </w:p>
  </w:footnote>
  <w:footnote w:id="11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صاحب المحيط</w:t>
      </w:r>
      <w:r>
        <w:rPr>
          <w:rFonts w:hint="cs"/>
          <w:rtl/>
        </w:rPr>
        <w:t xml:space="preserve"> : هو الآنف ذكره </w:t>
      </w:r>
      <w:r>
        <w:t>–</w:t>
      </w:r>
      <w:r>
        <w:rPr>
          <w:rFonts w:hint="cs"/>
          <w:rtl/>
        </w:rPr>
        <w:t xml:space="preserve"> ص385 هامش 3- وهو محمود بن أحمد بن مازه، البرهان البخاري المرغيناني، (551-616هـ).</w:t>
      </w:r>
    </w:p>
    <w:p w:rsidR="00035BE3" w:rsidRDefault="00035BE3" w:rsidP="00C10469">
      <w:pPr>
        <w:pStyle w:val="a6"/>
        <w:ind w:left="422" w:firstLine="0"/>
        <w:rPr>
          <w:rtl/>
          <w:lang w:eastAsia="en-GB"/>
        </w:rPr>
      </w:pPr>
      <w:r>
        <w:rPr>
          <w:rFonts w:hint="cs"/>
          <w:rtl/>
          <w:lang w:eastAsia="en-GB"/>
        </w:rPr>
        <w:t>من أكابر فقهاء الحنفية، عدَّه ابن كمال باشا من المجتهدين في المسائل، من مصنفاته : المحيط البرهاني، ومختصره : الذخيرة، والتجريد</w:t>
      </w:r>
      <w:r>
        <w:rPr>
          <w:rtl/>
          <w:lang w:eastAsia="en-GB"/>
        </w:rPr>
        <w:t>-</w:t>
      </w:r>
      <w:r>
        <w:rPr>
          <w:rFonts w:hint="cs"/>
          <w:rtl/>
          <w:lang w:eastAsia="en-GB"/>
        </w:rPr>
        <w:t xml:space="preserve"> في الفروع-، وشرح الجامع الصغير، وشرح الزيادات، وشرح أدب القضاء للخصاف، والفتاوي والواقعات.</w:t>
      </w:r>
    </w:p>
    <w:p w:rsidR="00035BE3" w:rsidRDefault="00035BE3" w:rsidP="00C10469">
      <w:pPr>
        <w:pStyle w:val="a6"/>
        <w:ind w:left="422" w:firstLine="0"/>
        <w:rPr>
          <w:rtl/>
          <w:lang w:eastAsia="en-GB"/>
        </w:rPr>
      </w:pPr>
      <w:r>
        <w:rPr>
          <w:rFonts w:hint="cs"/>
          <w:rtl/>
          <w:lang w:eastAsia="en-GB"/>
        </w:rPr>
        <w:t>انظر : مفتاح السعادة، 2/246؛ الفوائد البهية، ص205-207؛ النافع الكبير (المقدمة)، ص50؛ هدية العارفين، 2/404؛ الأعلام، 7/161.</w:t>
      </w:r>
    </w:p>
  </w:footnote>
  <w:footnote w:id="11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المقدمتين</w:t>
      </w:r>
      <w:r>
        <w:rPr>
          <w:rFonts w:hint="eastAsia"/>
          <w:rtl/>
        </w:rPr>
        <w:t>»</w:t>
      </w:r>
      <w:r>
        <w:rPr>
          <w:rFonts w:hint="cs"/>
          <w:rtl/>
        </w:rPr>
        <w:t>. والصحيح ما تمَّ إثباته من (ب).</w:t>
      </w:r>
    </w:p>
  </w:footnote>
  <w:footnote w:id="1127">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و(د) : </w:t>
      </w:r>
      <w:r>
        <w:rPr>
          <w:rFonts w:hint="eastAsia"/>
          <w:spacing w:val="8"/>
          <w:rtl/>
        </w:rPr>
        <w:t>«</w:t>
      </w:r>
      <w:r>
        <w:rPr>
          <w:rFonts w:hint="cs"/>
          <w:spacing w:val="8"/>
          <w:rtl/>
        </w:rPr>
        <w:t>فتحقق</w:t>
      </w:r>
      <w:r>
        <w:rPr>
          <w:rFonts w:hint="eastAsia"/>
          <w:spacing w:val="8"/>
          <w:rtl/>
        </w:rPr>
        <w:t>»</w:t>
      </w:r>
      <w:r>
        <w:rPr>
          <w:rFonts w:hint="cs"/>
          <w:spacing w:val="8"/>
          <w:rtl/>
        </w:rPr>
        <w:t xml:space="preserve">، وفي (ب) : </w:t>
      </w:r>
      <w:r>
        <w:rPr>
          <w:rFonts w:hint="eastAsia"/>
          <w:spacing w:val="8"/>
          <w:rtl/>
        </w:rPr>
        <w:t>«</w:t>
      </w:r>
      <w:r>
        <w:rPr>
          <w:rFonts w:hint="cs"/>
          <w:spacing w:val="8"/>
          <w:rtl/>
        </w:rPr>
        <w:t>فتتحقق</w:t>
      </w:r>
      <w:r>
        <w:rPr>
          <w:rFonts w:hint="eastAsia"/>
          <w:spacing w:val="8"/>
          <w:rtl/>
        </w:rPr>
        <w:t>»</w:t>
      </w:r>
      <w:r>
        <w:rPr>
          <w:rFonts w:hint="cs"/>
          <w:spacing w:val="8"/>
          <w:rtl/>
        </w:rPr>
        <w:t>. والمناسب أن يكون الفعل هنا مضارعًا؛ لأنه قد عطف عليه فعل آخـر (وهو : ويصح) وقد اتفقت جميع النسخ على كون الثاني مضارعًا. كما أن الأفصح أن يـكون الأول مؤنثًا بإلحاق تاء المضارعة في أوَّله؛ لأن الفاعل مؤنت مجازي.</w:t>
      </w:r>
    </w:p>
    <w:p w:rsidR="00035BE3" w:rsidRDefault="00035BE3" w:rsidP="00C10469">
      <w:pPr>
        <w:pStyle w:val="a6"/>
        <w:ind w:left="422" w:firstLine="0"/>
        <w:rPr>
          <w:rtl/>
          <w:lang w:eastAsia="en-GB"/>
        </w:rPr>
      </w:pPr>
      <w:r>
        <w:rPr>
          <w:rFonts w:hint="cs"/>
          <w:rtl/>
          <w:lang w:eastAsia="en-GB"/>
        </w:rPr>
        <w:t>وقد تحقَّق هذان الأمران فيما جاء في نسخة (ب)؛ لهذا تمّ إثباته في الصلب.</w:t>
      </w:r>
    </w:p>
  </w:footnote>
  <w:footnote w:id="11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w:t>
      </w:r>
      <w:r>
        <w:rPr>
          <w:rFonts w:hint="eastAsia"/>
          <w:rtl/>
        </w:rPr>
        <w:t>«</w:t>
      </w:r>
      <w:r>
        <w:rPr>
          <w:rFonts w:hint="cs"/>
          <w:rtl/>
        </w:rPr>
        <w:t>وتصح</w:t>
      </w:r>
      <w:r>
        <w:rPr>
          <w:rFonts w:hint="eastAsia"/>
          <w:rtl/>
        </w:rPr>
        <w:t>»</w:t>
      </w:r>
      <w:r>
        <w:rPr>
          <w:rFonts w:hint="cs"/>
          <w:rtl/>
        </w:rPr>
        <w:t>. والأفصح ما تمَّ إثباته من (ب) و(د). وقد أعاد المؤلفُ العبارةَ بعد سطرين، واتفقت جميع النسخ على إثبات ياء المضارعة (يصح).</w:t>
      </w:r>
    </w:p>
  </w:footnote>
  <w:footnote w:id="1129">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أكرّر التذكير بأنه سوف يأتي الحديث عن هذه المقولة في قاعدة مستقلّة</w:t>
      </w:r>
      <w:r>
        <w:rPr>
          <w:spacing w:val="-6"/>
          <w:rtl/>
        </w:rPr>
        <w:t>،</w:t>
      </w:r>
      <w:r>
        <w:rPr>
          <w:rFonts w:hint="cs"/>
          <w:spacing w:val="-6"/>
          <w:rtl/>
        </w:rPr>
        <w:t xml:space="preserve"> ص706 (ل53/أ)، قاعدة 128.</w:t>
      </w:r>
    </w:p>
  </w:footnote>
  <w:footnote w:id="11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18/أ من (أ).</w:t>
      </w:r>
    </w:p>
  </w:footnote>
  <w:footnote w:id="1131">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في (أ) و(جـ) : </w:t>
      </w:r>
      <w:r>
        <w:rPr>
          <w:rFonts w:hint="eastAsia"/>
          <w:spacing w:val="-2"/>
          <w:rtl/>
        </w:rPr>
        <w:t>«</w:t>
      </w:r>
      <w:r>
        <w:rPr>
          <w:rFonts w:hint="cs"/>
          <w:spacing w:val="-2"/>
          <w:rtl/>
        </w:rPr>
        <w:t>فتحقق</w:t>
      </w:r>
      <w:r>
        <w:rPr>
          <w:rFonts w:hint="eastAsia"/>
          <w:spacing w:val="-2"/>
          <w:rtl/>
        </w:rPr>
        <w:t>»</w:t>
      </w:r>
      <w:r>
        <w:rPr>
          <w:rFonts w:hint="cs"/>
          <w:spacing w:val="-2"/>
          <w:rtl/>
        </w:rPr>
        <w:t xml:space="preserve">. والمناسب ما تمَّ إثباته من (ب) و(د) </w:t>
      </w:r>
      <w:r>
        <w:rPr>
          <w:spacing w:val="-2"/>
        </w:rPr>
        <w:t>–</w:t>
      </w:r>
      <w:r>
        <w:rPr>
          <w:rFonts w:hint="cs"/>
          <w:spacing w:val="-2"/>
          <w:rtl/>
        </w:rPr>
        <w:t xml:space="preserve"> كما سبق بيان ذلك</w:t>
      </w:r>
      <w:r>
        <w:rPr>
          <w:spacing w:val="-2"/>
          <w:rtl/>
        </w:rPr>
        <w:t xml:space="preserve"> </w:t>
      </w:r>
      <w:r>
        <w:rPr>
          <w:rFonts w:hint="cs"/>
          <w:spacing w:val="-2"/>
          <w:rtl/>
        </w:rPr>
        <w:t>آنفاً-.</w:t>
      </w:r>
    </w:p>
  </w:footnote>
  <w:footnote w:id="11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راجلاً</w:t>
      </w:r>
      <w:r>
        <w:rPr>
          <w:rFonts w:hint="eastAsia"/>
          <w:rtl/>
        </w:rPr>
        <w:t>»</w:t>
      </w:r>
      <w:r>
        <w:rPr>
          <w:rFonts w:hint="cs"/>
          <w:rtl/>
        </w:rPr>
        <w:t>.</w:t>
      </w:r>
    </w:p>
  </w:footnote>
  <w:footnote w:id="11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تقول</w:t>
      </w:r>
      <w:r>
        <w:rPr>
          <w:rFonts w:hint="eastAsia"/>
          <w:rtl/>
        </w:rPr>
        <w:t>»</w:t>
      </w:r>
      <w:r>
        <w:rPr>
          <w:rFonts w:hint="cs"/>
          <w:rtl/>
        </w:rPr>
        <w:t>.</w:t>
      </w:r>
    </w:p>
  </w:footnote>
  <w:footnote w:id="11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كذا</w:t>
      </w:r>
      <w:r>
        <w:rPr>
          <w:rFonts w:hint="eastAsia"/>
          <w:rtl/>
        </w:rPr>
        <w:t>»</w:t>
      </w:r>
      <w:r>
        <w:rPr>
          <w:rFonts w:hint="cs"/>
          <w:rtl/>
        </w:rPr>
        <w:t xml:space="preserve"> : ليست في (ب) و(د).</w:t>
      </w:r>
    </w:p>
  </w:footnote>
  <w:footnote w:id="11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تسمع </w:t>
      </w:r>
      <w:r>
        <w:rPr>
          <w:rFonts w:hint="cs"/>
          <w:b/>
          <w:bCs/>
          <w:rtl/>
        </w:rPr>
        <w:t>عنه عليه</w:t>
      </w:r>
      <w:r>
        <w:rPr>
          <w:rFonts w:hint="cs"/>
          <w:rtl/>
        </w:rPr>
        <w:t xml:space="preserve"> عامة ...</w:t>
      </w:r>
      <w:r>
        <w:rPr>
          <w:rFonts w:hint="eastAsia"/>
          <w:rtl/>
        </w:rPr>
        <w:t>»</w:t>
      </w:r>
      <w:r>
        <w:rPr>
          <w:rFonts w:hint="cs"/>
          <w:rtl/>
        </w:rPr>
        <w:t>.</w:t>
      </w:r>
    </w:p>
  </w:footnote>
  <w:footnote w:id="11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251FA3">
        <w:rPr>
          <w:rFonts w:hint="cs"/>
          <w:sz w:val="16"/>
          <w:szCs w:val="26"/>
          <w:rtl/>
        </w:rPr>
        <w:t xml:space="preserve">  </w:t>
      </w:r>
      <w:r>
        <w:rPr>
          <w:rFonts w:hint="eastAsia"/>
          <w:b/>
          <w:bCs/>
          <w:rtl/>
        </w:rPr>
        <w:t>«</w:t>
      </w:r>
      <w:r>
        <w:rPr>
          <w:rFonts w:hint="cs"/>
          <w:b/>
          <w:bCs/>
          <w:rtl/>
        </w:rPr>
        <w:t>المشايخ في اصطلاح الحنفية</w:t>
      </w:r>
      <w:r>
        <w:rPr>
          <w:rFonts w:hint="cs"/>
          <w:rtl/>
        </w:rPr>
        <w:t xml:space="preserve"> : من لم يدرك الإمام أبا حنيفة - رحمه الله- من علماء مذهبه</w:t>
      </w:r>
      <w:r>
        <w:rPr>
          <w:rFonts w:hint="eastAsia"/>
          <w:rtl/>
        </w:rPr>
        <w:t>»</w:t>
      </w:r>
      <w:r>
        <w:rPr>
          <w:rFonts w:hint="cs"/>
          <w:rtl/>
        </w:rPr>
        <w:t>- قال</w:t>
      </w:r>
      <w:r>
        <w:rPr>
          <w:rtl/>
        </w:rPr>
        <w:t>ه</w:t>
      </w:r>
      <w:r>
        <w:rPr>
          <w:rFonts w:hint="cs"/>
          <w:rtl/>
        </w:rPr>
        <w:t xml:space="preserve"> أحمد النقيب</w:t>
      </w:r>
      <w:r>
        <w:rPr>
          <w:rtl/>
        </w:rPr>
        <w:t>.</w:t>
      </w:r>
      <w:r>
        <w:rPr>
          <w:rFonts w:hint="cs"/>
          <w:rtl/>
        </w:rPr>
        <w:t xml:space="preserve"> </w:t>
      </w:r>
    </w:p>
    <w:p w:rsidR="00035BE3" w:rsidRDefault="00035BE3" w:rsidP="00C10469">
      <w:pPr>
        <w:pStyle w:val="a6"/>
        <w:ind w:left="422" w:firstLine="0"/>
        <w:rPr>
          <w:rtl/>
        </w:rPr>
      </w:pPr>
      <w:r>
        <w:rPr>
          <w:rFonts w:hint="cs"/>
          <w:rtl/>
        </w:rPr>
        <w:t>والمراد بعامتهم : أكثرهم.</w:t>
      </w:r>
    </w:p>
    <w:p w:rsidR="00035BE3" w:rsidRDefault="00035BE3" w:rsidP="00C10469">
      <w:pPr>
        <w:pStyle w:val="a6"/>
        <w:ind w:left="422" w:firstLine="0"/>
        <w:rPr>
          <w:rtl/>
          <w:lang w:eastAsia="en-GB"/>
        </w:rPr>
      </w:pPr>
      <w:r>
        <w:rPr>
          <w:rFonts w:hint="cs"/>
          <w:rtl/>
          <w:lang w:eastAsia="en-GB"/>
        </w:rPr>
        <w:t>المذهب الحنفي لأحمد النقيب، 1/272؛ وانظر</w:t>
      </w:r>
      <w:r>
        <w:rPr>
          <w:rtl/>
          <w:lang w:eastAsia="en-GB"/>
        </w:rPr>
        <w:t xml:space="preserve"> منه</w:t>
      </w:r>
      <w:r>
        <w:rPr>
          <w:rFonts w:hint="cs"/>
          <w:rtl/>
          <w:lang w:eastAsia="en-GB"/>
        </w:rPr>
        <w:t xml:space="preserve"> : 1/267؛ فتح القدير، 1/477؛ الفوائد البهية، ص242؛ مقدمة في الفقه للدكتور سليمان أبا الخيل، ص117.</w:t>
      </w:r>
    </w:p>
  </w:footnote>
  <w:footnote w:id="1137">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w:t>
      </w:r>
      <w:r w:rsidRPr="00C47A5A">
        <w:rPr>
          <w:rFonts w:hint="cs"/>
          <w:spacing w:val="-4"/>
          <w:rtl/>
        </w:rPr>
        <w:t xml:space="preserve">الدّرر شرح الغرر، 2/357 - مع اختلاف يسير-؛ وانظر: </w:t>
      </w:r>
      <w:r w:rsidRPr="00C47A5A">
        <w:rPr>
          <w:spacing w:val="-4"/>
          <w:rtl/>
        </w:rPr>
        <w:t xml:space="preserve">الدر </w:t>
      </w:r>
      <w:r w:rsidRPr="00C47A5A">
        <w:rPr>
          <w:rFonts w:hint="cs"/>
          <w:spacing w:val="-4"/>
          <w:rtl/>
        </w:rPr>
        <w:t xml:space="preserve"> الم</w:t>
      </w:r>
      <w:r w:rsidRPr="00C47A5A">
        <w:rPr>
          <w:spacing w:val="-4"/>
          <w:rtl/>
        </w:rPr>
        <w:t>خ</w:t>
      </w:r>
      <w:r w:rsidRPr="00C47A5A">
        <w:rPr>
          <w:rFonts w:hint="cs"/>
          <w:spacing w:val="-4"/>
          <w:rtl/>
        </w:rPr>
        <w:t>تار وحاشيته: رد الم</w:t>
      </w:r>
      <w:r w:rsidRPr="00C47A5A">
        <w:rPr>
          <w:spacing w:val="-4"/>
          <w:rtl/>
        </w:rPr>
        <w:t>ح</w:t>
      </w:r>
      <w:r w:rsidRPr="00C47A5A">
        <w:rPr>
          <w:rFonts w:hint="cs"/>
          <w:spacing w:val="-4"/>
          <w:rtl/>
        </w:rPr>
        <w:t>تار، 8/352.</w:t>
      </w:r>
    </w:p>
  </w:footnote>
  <w:footnote w:id="1138">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w:t>
      </w:r>
      <w:r>
        <w:rPr>
          <w:rFonts w:hint="eastAsia"/>
          <w:spacing w:val="-8"/>
          <w:rtl/>
        </w:rPr>
        <w:t>«</w:t>
      </w:r>
      <w:r>
        <w:rPr>
          <w:rFonts w:hint="cs"/>
          <w:spacing w:val="-8"/>
          <w:rtl/>
        </w:rPr>
        <w:t>يصح</w:t>
      </w:r>
      <w:r>
        <w:rPr>
          <w:rFonts w:hint="eastAsia"/>
          <w:spacing w:val="-8"/>
          <w:rtl/>
        </w:rPr>
        <w:t>»</w:t>
      </w:r>
      <w:r>
        <w:rPr>
          <w:rFonts w:hint="cs"/>
          <w:spacing w:val="-8"/>
          <w:rtl/>
        </w:rPr>
        <w:t>.  والأفصح ما تمَّ إثباته من (ب) و(د)، وهو الموافق لمصدر هذه العبارة (وهو الدّرر).</w:t>
      </w:r>
    </w:p>
  </w:footnote>
  <w:footnote w:id="11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sidRPr="00BC1FD0">
        <w:rPr>
          <w:rFonts w:hint="cs"/>
          <w:sz w:val="14"/>
          <w:szCs w:val="24"/>
          <w:rtl/>
        </w:rPr>
        <w:t xml:space="preserve"> </w:t>
      </w:r>
      <w:r w:rsidRPr="00BC1FD0">
        <w:rPr>
          <w:rFonts w:hint="cs"/>
          <w:sz w:val="8"/>
          <w:szCs w:val="18"/>
          <w:rtl/>
        </w:rPr>
        <w:t xml:space="preserve">  </w:t>
      </w:r>
      <w:r>
        <w:rPr>
          <w:rFonts w:hint="cs"/>
          <w:rtl/>
        </w:rPr>
        <w:t>الدّرر شرح الغرر، 2/358- مع اختلاف يسير-</w:t>
      </w:r>
      <w:r>
        <w:rPr>
          <w:rtl/>
        </w:rPr>
        <w:t>؛</w:t>
      </w:r>
      <w:r>
        <w:rPr>
          <w:rFonts w:hint="cs"/>
          <w:rtl/>
        </w:rPr>
        <w:t xml:space="preserve"> وانظر : الدر المختار، 8/351.</w:t>
      </w:r>
    </w:p>
  </w:footnote>
  <w:footnote w:id="1140">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أي: ما جاء في المقدمة الثانية ذكره صاحب </w:t>
      </w:r>
      <w:r>
        <w:rPr>
          <w:spacing w:val="-4"/>
          <w:rtl/>
        </w:rPr>
        <w:t>(</w:t>
      </w:r>
      <w:r>
        <w:rPr>
          <w:rFonts w:hint="cs"/>
          <w:spacing w:val="-4"/>
          <w:rtl/>
        </w:rPr>
        <w:t>الدرر</w:t>
      </w:r>
      <w:r>
        <w:rPr>
          <w:spacing w:val="-4"/>
          <w:rtl/>
        </w:rPr>
        <w:t>)</w:t>
      </w:r>
      <w:r>
        <w:rPr>
          <w:rFonts w:hint="cs"/>
          <w:spacing w:val="-4"/>
          <w:rtl/>
        </w:rPr>
        <w:t xml:space="preserve"> في موضعين من كتابه. كما ذكر كلامًا بينهما لم </w:t>
      </w:r>
      <w:r w:rsidRPr="003916BF">
        <w:rPr>
          <w:rFonts w:hint="cs"/>
          <w:spacing w:val="-6"/>
          <w:rtl/>
        </w:rPr>
        <w:t xml:space="preserve">يذكره المؤلف، إلا أنه يُحتاج إليه ليتّم المعنى، ونصه: </w:t>
      </w:r>
      <w:r w:rsidRPr="003916BF">
        <w:rPr>
          <w:rFonts w:hint="eastAsia"/>
          <w:spacing w:val="-6"/>
          <w:rtl/>
        </w:rPr>
        <w:t>«</w:t>
      </w:r>
      <w:r w:rsidRPr="003916BF">
        <w:rPr>
          <w:rFonts w:hint="cs"/>
          <w:spacing w:val="-6"/>
          <w:rtl/>
        </w:rPr>
        <w:t>... لأن نفس الإقرار ليس ناقلاً للملك؛ لما عرفت.</w:t>
      </w:r>
      <w:r>
        <w:rPr>
          <w:rFonts w:hint="cs"/>
          <w:spacing w:val="-6"/>
          <w:rtl/>
        </w:rPr>
        <w:t xml:space="preserve"> </w:t>
      </w:r>
    </w:p>
    <w:p w:rsidR="00035BE3" w:rsidRDefault="00035BE3" w:rsidP="00C10469">
      <w:pPr>
        <w:pStyle w:val="a6"/>
        <w:ind w:left="422" w:firstLine="0"/>
        <w:rPr>
          <w:spacing w:val="-4"/>
          <w:rtl/>
          <w:lang w:eastAsia="en-GB"/>
        </w:rPr>
      </w:pPr>
      <w:r>
        <w:rPr>
          <w:rFonts w:hint="cs"/>
          <w:spacing w:val="-4"/>
          <w:rtl/>
          <w:lang w:eastAsia="en-GB"/>
        </w:rPr>
        <w:t xml:space="preserve"> بخلاف دعواه (أي الإقرار) في الدفع : فإنهم اختلفوا أنه هل يصح دعوى الإقرار في طرف الدفع</w:t>
      </w:r>
      <w:r>
        <w:rPr>
          <w:spacing w:val="-4"/>
          <w:rtl/>
          <w:lang w:eastAsia="en-GB"/>
        </w:rPr>
        <w:t>،</w:t>
      </w:r>
      <w:r>
        <w:rPr>
          <w:rFonts w:hint="cs"/>
          <w:spacing w:val="-4"/>
          <w:rtl/>
          <w:lang w:eastAsia="en-GB"/>
        </w:rPr>
        <w:t xml:space="preserve"> حتى لو أقام المدَّعَى عليه بينةً أنّ المدّع</w:t>
      </w:r>
      <w:r>
        <w:rPr>
          <w:spacing w:val="-4"/>
          <w:rtl/>
          <w:lang w:eastAsia="en-GB"/>
        </w:rPr>
        <w:t>ي</w:t>
      </w:r>
      <w:r>
        <w:rPr>
          <w:rFonts w:hint="cs"/>
          <w:spacing w:val="-4"/>
          <w:rtl/>
          <w:lang w:eastAsia="en-GB"/>
        </w:rPr>
        <w:t xml:space="preserve"> أقرّ أنه لا حقّ له على المدعى عليه، أو أقام بينة أن المدّع</w:t>
      </w:r>
      <w:r>
        <w:rPr>
          <w:spacing w:val="-4"/>
          <w:rtl/>
          <w:lang w:eastAsia="en-GB"/>
        </w:rPr>
        <w:t>ي</w:t>
      </w:r>
      <w:r>
        <w:rPr>
          <w:rFonts w:hint="cs"/>
          <w:spacing w:val="-4"/>
          <w:rtl/>
          <w:lang w:eastAsia="en-GB"/>
        </w:rPr>
        <w:t xml:space="preserve"> أقرّ أن </w:t>
      </w:r>
      <w:r>
        <w:rPr>
          <w:rFonts w:hint="cs"/>
          <w:b/>
          <w:bCs/>
          <w:spacing w:val="-4"/>
          <w:rtl/>
          <w:lang w:eastAsia="en-GB"/>
        </w:rPr>
        <w:t>هذا</w:t>
      </w:r>
      <w:r>
        <w:rPr>
          <w:rFonts w:hint="cs"/>
          <w:spacing w:val="-4"/>
          <w:rtl/>
          <w:lang w:eastAsia="en-GB"/>
        </w:rPr>
        <w:t xml:space="preserve"> [هكذا!] العين ملك هذا المدّعى عليه، هل يقبل؟ قال بعضهم: لا يقبل، وعامتهم ههنا على أنه يقبل. </w:t>
      </w:r>
      <w:r w:rsidRPr="00AD571F">
        <w:rPr>
          <w:rFonts w:hint="cs"/>
          <w:spacing w:val="-6"/>
          <w:rtl/>
          <w:lang w:eastAsia="en-GB"/>
        </w:rPr>
        <w:t>وأجمعوا على أنه لو قال: هذا العين ملكي، وأقرّ به صاحب اليد، أو قال: لي عليه كذا. وهكذا أقر به...</w:t>
      </w:r>
      <w:r w:rsidRPr="00AD571F">
        <w:rPr>
          <w:rFonts w:hint="eastAsia"/>
          <w:spacing w:val="-6"/>
          <w:rtl/>
          <w:lang w:eastAsia="en-GB"/>
        </w:rPr>
        <w:t>»</w:t>
      </w:r>
      <w:r w:rsidRPr="00AD571F">
        <w:rPr>
          <w:rFonts w:hint="cs"/>
          <w:spacing w:val="-6"/>
          <w:rtl/>
          <w:lang w:eastAsia="en-GB"/>
        </w:rPr>
        <w:t>.</w:t>
      </w:r>
    </w:p>
    <w:p w:rsidR="00035BE3" w:rsidRDefault="00035BE3" w:rsidP="00C10469">
      <w:pPr>
        <w:pStyle w:val="a6"/>
        <w:ind w:left="422" w:firstLine="0"/>
        <w:rPr>
          <w:rtl/>
          <w:lang w:eastAsia="en-GB"/>
        </w:rPr>
      </w:pPr>
      <w:r>
        <w:rPr>
          <w:rFonts w:hint="cs"/>
          <w:rtl/>
          <w:lang w:eastAsia="en-GB"/>
        </w:rPr>
        <w:t>وهذا الكلام - بالإضافة إلى ما نقله المؤلف - فيه تفريق بين دعوى الإقرار ابتداء وبين دعواه على سبيل الدفع:</w:t>
      </w:r>
    </w:p>
    <w:p w:rsidR="00035BE3" w:rsidRDefault="00035BE3" w:rsidP="00C10469">
      <w:pPr>
        <w:pStyle w:val="a6"/>
        <w:ind w:left="422" w:firstLine="0"/>
        <w:rPr>
          <w:rtl/>
          <w:lang w:eastAsia="en-GB"/>
        </w:rPr>
      </w:pPr>
      <w:r>
        <w:rPr>
          <w:rFonts w:hint="cs"/>
          <w:rtl/>
          <w:lang w:eastAsia="en-GB"/>
        </w:rPr>
        <w:t xml:space="preserve">فدعوى الإقرار ابتداء لا تسمع؛ لأن نفس </w:t>
      </w:r>
      <w:r>
        <w:rPr>
          <w:rFonts w:hint="eastAsia"/>
          <w:rtl/>
          <w:lang w:eastAsia="en-GB"/>
        </w:rPr>
        <w:t>«</w:t>
      </w:r>
      <w:r>
        <w:rPr>
          <w:rFonts w:hint="cs"/>
          <w:rtl/>
          <w:lang w:eastAsia="en-GB"/>
        </w:rPr>
        <w:t>الإقرار لا يكون سببًا للاستحقاق</w:t>
      </w:r>
      <w:r>
        <w:rPr>
          <w:rFonts w:hint="eastAsia"/>
          <w:rtl/>
          <w:lang w:eastAsia="en-GB"/>
        </w:rPr>
        <w:t>»</w:t>
      </w:r>
      <w:r>
        <w:rPr>
          <w:rFonts w:hint="cs"/>
          <w:rtl/>
          <w:lang w:eastAsia="en-GB"/>
        </w:rPr>
        <w:t>- كما نصت على ذلك القاعدة</w:t>
      </w:r>
      <w:r>
        <w:rPr>
          <w:rtl/>
          <w:lang w:eastAsia="en-GB"/>
        </w:rPr>
        <w:t>-</w:t>
      </w:r>
      <w:r>
        <w:rPr>
          <w:rFonts w:hint="cs"/>
          <w:rtl/>
          <w:lang w:eastAsia="en-GB"/>
        </w:rPr>
        <w:t>.</w:t>
      </w:r>
    </w:p>
    <w:p w:rsidR="00035BE3" w:rsidRDefault="00035BE3" w:rsidP="00C10469">
      <w:pPr>
        <w:pStyle w:val="a6"/>
        <w:ind w:left="422" w:firstLine="0"/>
        <w:rPr>
          <w:rtl/>
          <w:lang w:eastAsia="en-GB"/>
        </w:rPr>
      </w:pPr>
      <w:r>
        <w:rPr>
          <w:rFonts w:hint="cs"/>
          <w:rtl/>
          <w:lang w:eastAsia="en-GB"/>
        </w:rPr>
        <w:t>وعلى هذا يُنـزَّلُ كلامُ صاحب المحيط.</w:t>
      </w:r>
    </w:p>
    <w:p w:rsidR="00035BE3" w:rsidRDefault="00035BE3" w:rsidP="00C10469">
      <w:pPr>
        <w:pStyle w:val="a6"/>
        <w:ind w:left="422" w:firstLine="0"/>
        <w:rPr>
          <w:spacing w:val="-6"/>
          <w:rtl/>
          <w:lang w:eastAsia="en-GB"/>
        </w:rPr>
      </w:pPr>
      <w:r>
        <w:rPr>
          <w:rFonts w:hint="cs"/>
          <w:spacing w:val="-6"/>
          <w:rtl/>
          <w:lang w:eastAsia="en-GB"/>
        </w:rPr>
        <w:t>أما دعواه في الدفع فهي مقبولة؛ لأن الإقرار في هذه الدعوى لم يجعل سببًا للاستحقاق أي ناقلاً للملك؛ بل مجرد إخبار؛ ولهذا لو أقرّ المدَّعى عليه بدعوى المدّعي : فإنها تقبل باتفاق، فكذلك العكس. -والله أعلم-.</w:t>
      </w:r>
    </w:p>
  </w:footnote>
  <w:footnote w:id="11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(هـ) و(و) : زيادة </w:t>
      </w:r>
      <w:r>
        <w:rPr>
          <w:rFonts w:hint="eastAsia"/>
          <w:rtl/>
        </w:rPr>
        <w:t>«</w:t>
      </w:r>
      <w:r>
        <w:rPr>
          <w:rFonts w:hint="cs"/>
          <w:rtl/>
        </w:rPr>
        <w:t>فاعلم</w:t>
      </w:r>
      <w:r>
        <w:rPr>
          <w:rFonts w:hint="eastAsia"/>
          <w:rtl/>
        </w:rPr>
        <w:t>»</w:t>
      </w:r>
      <w:r>
        <w:rPr>
          <w:rFonts w:hint="cs"/>
          <w:rtl/>
        </w:rPr>
        <w:t>. ولو قيل : (فاعلم أنه) لكانت زيادة مناسبة.</w:t>
      </w:r>
    </w:p>
  </w:footnote>
  <w:footnote w:id="11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تعارض</w:t>
      </w:r>
      <w:r>
        <w:rPr>
          <w:rFonts w:hint="eastAsia"/>
          <w:rtl/>
        </w:rPr>
        <w:t>»</w:t>
      </w:r>
      <w:r>
        <w:rPr>
          <w:rFonts w:hint="cs"/>
          <w:rtl/>
        </w:rPr>
        <w:t>.</w:t>
      </w:r>
    </w:p>
  </w:footnote>
  <w:footnote w:id="11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بالدين</w:t>
      </w:r>
      <w:r>
        <w:rPr>
          <w:rFonts w:hint="eastAsia"/>
          <w:rtl/>
        </w:rPr>
        <w:t>»</w:t>
      </w:r>
      <w:r>
        <w:rPr>
          <w:rFonts w:hint="cs"/>
          <w:rtl/>
        </w:rPr>
        <w:t xml:space="preserve"> : ساقطة من (ب).</w:t>
      </w:r>
    </w:p>
  </w:footnote>
  <w:footnote w:id="11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12/ب من (ب).</w:t>
      </w:r>
    </w:p>
  </w:footnote>
  <w:footnote w:id="11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في المقدمة الأولى، ص387 (ل18/أ)</w:t>
      </w:r>
      <w:r>
        <w:rPr>
          <w:rtl/>
        </w:rPr>
        <w:t>.</w:t>
      </w:r>
    </w:p>
  </w:footnote>
  <w:footnote w:id="11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والأفصح : (تصح).</w:t>
      </w:r>
    </w:p>
  </w:footnote>
  <w:footnote w:id="11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وما</w:t>
      </w:r>
      <w:r>
        <w:rPr>
          <w:rFonts w:hint="eastAsia"/>
          <w:rtl/>
        </w:rPr>
        <w:t>»</w:t>
      </w:r>
      <w:r>
        <w:rPr>
          <w:rFonts w:hint="cs"/>
          <w:rtl/>
        </w:rPr>
        <w:t>.</w:t>
      </w:r>
    </w:p>
  </w:footnote>
  <w:footnote w:id="11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14/أ من (جـ).</w:t>
      </w:r>
    </w:p>
  </w:footnote>
  <w:footnote w:id="11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18/ب من (أ).</w:t>
      </w:r>
    </w:p>
  </w:footnote>
  <w:footnote w:id="11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والأفصح : </w:t>
      </w:r>
      <w:r>
        <w:rPr>
          <w:rFonts w:hint="eastAsia"/>
          <w:rtl/>
        </w:rPr>
        <w:t>«</w:t>
      </w:r>
      <w:r>
        <w:rPr>
          <w:rFonts w:hint="cs"/>
          <w:rtl/>
        </w:rPr>
        <w:t>تصح</w:t>
      </w:r>
      <w:r>
        <w:rPr>
          <w:rFonts w:hint="eastAsia"/>
          <w:rtl/>
        </w:rPr>
        <w:t>»</w:t>
      </w:r>
      <w:r>
        <w:rPr>
          <w:rFonts w:hint="cs"/>
          <w:rtl/>
        </w:rPr>
        <w:t>.</w:t>
      </w:r>
    </w:p>
  </w:footnote>
  <w:footnote w:id="11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ويسمع</w:t>
      </w:r>
      <w:r>
        <w:rPr>
          <w:rFonts w:hint="eastAsia"/>
          <w:rtl/>
        </w:rPr>
        <w:t>»</w:t>
      </w:r>
      <w:r>
        <w:rPr>
          <w:rFonts w:hint="cs"/>
          <w:rtl/>
        </w:rPr>
        <w:t>. والأفصح ما تم إثباته من باقي النسخ.</w:t>
      </w:r>
    </w:p>
  </w:footnote>
  <w:footnote w:id="11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و(د) : </w:t>
      </w:r>
      <w:r>
        <w:rPr>
          <w:rFonts w:hint="eastAsia"/>
          <w:rtl/>
        </w:rPr>
        <w:t>«</w:t>
      </w:r>
      <w:r>
        <w:rPr>
          <w:rFonts w:hint="cs"/>
          <w:rtl/>
        </w:rPr>
        <w:t>والمراد</w:t>
      </w:r>
      <w:r>
        <w:rPr>
          <w:rFonts w:hint="eastAsia"/>
          <w:rtl/>
        </w:rPr>
        <w:t>»</w:t>
      </w:r>
      <w:r>
        <w:rPr>
          <w:rFonts w:hint="cs"/>
          <w:rtl/>
        </w:rPr>
        <w:t>.</w:t>
      </w:r>
    </w:p>
  </w:footnote>
  <w:footnote w:id="11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12/ب من (د).</w:t>
      </w:r>
    </w:p>
  </w:footnote>
  <w:footnote w:id="11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الإمام</w:t>
      </w:r>
      <w:r>
        <w:rPr>
          <w:rFonts w:hint="eastAsia"/>
          <w:rtl/>
        </w:rPr>
        <w:t>»</w:t>
      </w:r>
      <w:r>
        <w:rPr>
          <w:rFonts w:hint="cs"/>
          <w:rtl/>
        </w:rPr>
        <w:t>.</w:t>
      </w:r>
    </w:p>
  </w:footnote>
  <w:footnote w:id="11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على</w:t>
      </w:r>
      <w:r>
        <w:rPr>
          <w:rFonts w:hint="eastAsia"/>
          <w:rtl/>
        </w:rPr>
        <w:t>»</w:t>
      </w:r>
      <w:r>
        <w:rPr>
          <w:rFonts w:hint="cs"/>
          <w:rtl/>
        </w:rPr>
        <w:t xml:space="preserve"> ساقطة من (أ).</w:t>
      </w:r>
    </w:p>
  </w:footnote>
  <w:footnote w:id="115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w:t>
      </w:r>
      <w:r>
        <w:rPr>
          <w:rtl/>
        </w:rPr>
        <w:t>معناه</w:t>
      </w:r>
      <w:r>
        <w:rPr>
          <w:rFonts w:hint="cs"/>
          <w:rtl/>
        </w:rPr>
        <w:t xml:space="preserve"> أو قريب من معناه في بعض كتب الفقه وقواعده.</w:t>
      </w:r>
    </w:p>
    <w:p w:rsidR="00035BE3" w:rsidRDefault="00035BE3" w:rsidP="00C10469">
      <w:pPr>
        <w:pStyle w:val="a6"/>
        <w:spacing w:line="420" w:lineRule="exact"/>
        <w:ind w:left="422" w:firstLine="0"/>
        <w:rPr>
          <w:b/>
          <w:bCs/>
          <w:rtl/>
          <w:lang w:eastAsia="en-GB"/>
        </w:rPr>
      </w:pPr>
      <w:r>
        <w:rPr>
          <w:b/>
          <w:bCs/>
          <w:rtl/>
          <w:lang w:eastAsia="en-GB"/>
        </w:rPr>
        <w:t>ف</w:t>
      </w:r>
      <w:r>
        <w:rPr>
          <w:rFonts w:hint="cs"/>
          <w:b/>
          <w:bCs/>
          <w:rtl/>
          <w:lang w:eastAsia="en-GB"/>
        </w:rPr>
        <w:t xml:space="preserve">من كتب القواعد : </w:t>
      </w:r>
    </w:p>
    <w:p w:rsidR="00035BE3" w:rsidRDefault="00035BE3" w:rsidP="00C10469">
      <w:pPr>
        <w:pStyle w:val="a6"/>
        <w:spacing w:line="420" w:lineRule="exact"/>
        <w:ind w:left="422" w:firstLine="0"/>
        <w:rPr>
          <w:spacing w:val="-4"/>
          <w:rtl/>
          <w:lang w:eastAsia="en-GB"/>
        </w:rPr>
      </w:pPr>
      <w:r>
        <w:rPr>
          <w:rFonts w:hint="cs"/>
          <w:spacing w:val="-4"/>
          <w:rtl/>
          <w:lang w:eastAsia="en-GB"/>
        </w:rPr>
        <w:t xml:space="preserve">قواعد الأحكام لابن عبد السلام، 2/100- ولفظه : </w:t>
      </w:r>
      <w:r>
        <w:rPr>
          <w:rFonts w:hint="eastAsia"/>
          <w:spacing w:val="-4"/>
          <w:rtl/>
          <w:lang w:eastAsia="en-GB"/>
        </w:rPr>
        <w:t>«</w:t>
      </w:r>
      <w:r>
        <w:rPr>
          <w:rFonts w:hint="cs"/>
          <w:spacing w:val="-4"/>
          <w:rtl/>
          <w:lang w:eastAsia="en-GB"/>
        </w:rPr>
        <w:t>من ذكر لفظًا ظاهرًا مع الأدلة على شيء ثم تأوَّله: لم يقبل تأويله في الظاهر إلا في صورةٍ يكون إقراره فيها مبنيًّا على ظنِّه</w:t>
      </w:r>
      <w:r>
        <w:rPr>
          <w:rFonts w:hint="eastAsia"/>
          <w:spacing w:val="-4"/>
          <w:rtl/>
        </w:rPr>
        <w:t>»</w:t>
      </w:r>
      <w:r>
        <w:rPr>
          <w:rFonts w:hint="cs"/>
          <w:spacing w:val="-4"/>
          <w:rtl/>
          <w:lang w:eastAsia="en-GB"/>
        </w:rPr>
        <w:t xml:space="preserve">-؛ الأشباه والنظائر لابن السبكي، 1/338؛ ولابن الملقِّن، 2/291-292- ومن ألفاظهما : </w:t>
      </w:r>
      <w:r>
        <w:rPr>
          <w:rFonts w:hint="eastAsia"/>
          <w:spacing w:val="-4"/>
          <w:rtl/>
          <w:lang w:eastAsia="en-GB"/>
        </w:rPr>
        <w:t>«</w:t>
      </w:r>
      <w:r>
        <w:rPr>
          <w:rFonts w:hint="cs"/>
          <w:spacing w:val="-4"/>
          <w:rtl/>
          <w:lang w:eastAsia="en-GB"/>
        </w:rPr>
        <w:t>إذا أقرّ بالشيء صريحًا ثم أنكره : لم يقبل- وإن أقام عليه بيّنة- وإن أقرَّ به مطلقًا، ثم ادّعى قيدًا يُبطل الإطلاق : لم يقبل إلا ببينة</w:t>
      </w:r>
      <w:r>
        <w:rPr>
          <w:rFonts w:hint="eastAsia"/>
          <w:spacing w:val="-4"/>
          <w:rtl/>
          <w:lang w:eastAsia="en-GB"/>
        </w:rPr>
        <w:t>»</w:t>
      </w:r>
      <w:r>
        <w:rPr>
          <w:rFonts w:hint="cs"/>
          <w:spacing w:val="-4"/>
          <w:rtl/>
          <w:lang w:eastAsia="en-GB"/>
        </w:rPr>
        <w:t xml:space="preserve">-؛ الـمنثور، 1/187؛ الأشباه والنظائر للسيوطي، 2/798- ولفظهما : </w:t>
      </w:r>
      <w:r>
        <w:rPr>
          <w:rFonts w:hint="eastAsia"/>
          <w:spacing w:val="-4"/>
          <w:rtl/>
          <w:lang w:eastAsia="en-GB"/>
        </w:rPr>
        <w:t>«</w:t>
      </w:r>
      <w:r>
        <w:rPr>
          <w:rFonts w:hint="cs"/>
          <w:spacing w:val="-4"/>
          <w:rtl/>
          <w:lang w:eastAsia="en-GB"/>
        </w:rPr>
        <w:t>كل من أقَرَّ بشيء ثم رجع : لم يُقبل إلا في حدود الله تعالى</w:t>
      </w:r>
      <w:r>
        <w:rPr>
          <w:rFonts w:hint="eastAsia"/>
          <w:spacing w:val="-4"/>
          <w:rtl/>
          <w:lang w:eastAsia="en-GB"/>
        </w:rPr>
        <w:t>»</w:t>
      </w:r>
      <w:r>
        <w:rPr>
          <w:rFonts w:hint="cs"/>
          <w:spacing w:val="-4"/>
          <w:rtl/>
          <w:lang w:eastAsia="en-GB"/>
        </w:rPr>
        <w:t xml:space="preserve">-؛ القواعد والضوابط المستخلصة، ص158، 160، 172- ولفظه الأول: </w:t>
      </w:r>
      <w:r>
        <w:rPr>
          <w:rFonts w:hint="eastAsia"/>
          <w:spacing w:val="-4"/>
          <w:rtl/>
          <w:lang w:eastAsia="en-GB"/>
        </w:rPr>
        <w:t>«</w:t>
      </w:r>
      <w:r>
        <w:rPr>
          <w:rFonts w:hint="cs"/>
          <w:spacing w:val="-4"/>
          <w:rtl/>
          <w:lang w:eastAsia="en-GB"/>
        </w:rPr>
        <w:t>متى أقرَّ بسبب الضمان، وادّعى ما يُسقطه : لا يصدّق إلا بحجة</w:t>
      </w:r>
      <w:r>
        <w:rPr>
          <w:rFonts w:hint="eastAsia"/>
          <w:spacing w:val="-4"/>
          <w:rtl/>
          <w:lang w:eastAsia="en-GB"/>
        </w:rPr>
        <w:t>»</w:t>
      </w:r>
      <w:r>
        <w:rPr>
          <w:rFonts w:hint="cs"/>
          <w:spacing w:val="-4"/>
          <w:rtl/>
          <w:lang w:eastAsia="en-GB"/>
        </w:rPr>
        <w:t>. وأحال هذا اللفظ إلى نكت الجامع الكبير للكرماني، ل125/ب-؛ موسوعة القواعد الفقهية، 1/262-263- ومن ألفاظ</w:t>
      </w:r>
      <w:r>
        <w:rPr>
          <w:spacing w:val="-4"/>
          <w:rtl/>
          <w:lang w:eastAsia="en-GB"/>
        </w:rPr>
        <w:t>ه</w:t>
      </w:r>
      <w:r>
        <w:rPr>
          <w:rFonts w:hint="cs"/>
          <w:spacing w:val="-4"/>
          <w:rtl/>
          <w:lang w:eastAsia="en-GB"/>
        </w:rPr>
        <w:t xml:space="preserve"> لفظ ابن ال</w:t>
      </w:r>
      <w:r>
        <w:rPr>
          <w:spacing w:val="-4"/>
          <w:rtl/>
          <w:lang w:eastAsia="en-GB"/>
        </w:rPr>
        <w:t>س</w:t>
      </w:r>
      <w:r>
        <w:rPr>
          <w:rFonts w:hint="cs"/>
          <w:spacing w:val="-4"/>
          <w:rtl/>
          <w:lang w:eastAsia="en-GB"/>
        </w:rPr>
        <w:t>بكي والسيوطي-.</w:t>
      </w:r>
    </w:p>
    <w:p w:rsidR="00035BE3" w:rsidRDefault="00035BE3" w:rsidP="00C10469">
      <w:pPr>
        <w:pStyle w:val="a6"/>
        <w:spacing w:line="420" w:lineRule="exact"/>
        <w:ind w:left="422" w:firstLine="0"/>
        <w:rPr>
          <w:rtl/>
          <w:lang w:eastAsia="en-GB"/>
        </w:rPr>
      </w:pPr>
      <w:r>
        <w:rPr>
          <w:rFonts w:hint="cs"/>
          <w:b/>
          <w:bCs/>
          <w:rtl/>
          <w:lang w:eastAsia="en-GB"/>
        </w:rPr>
        <w:t>ومن كتب الفقه</w:t>
      </w:r>
      <w:r>
        <w:rPr>
          <w:rFonts w:hint="cs"/>
          <w:rtl/>
          <w:lang w:eastAsia="en-GB"/>
        </w:rPr>
        <w:t xml:space="preserve"> : </w:t>
      </w:r>
    </w:p>
    <w:p w:rsidR="00035BE3" w:rsidRDefault="00035BE3" w:rsidP="00C10469">
      <w:pPr>
        <w:pStyle w:val="a6"/>
        <w:spacing w:line="420" w:lineRule="exact"/>
        <w:ind w:left="422" w:firstLine="0"/>
        <w:rPr>
          <w:rtl/>
          <w:lang w:eastAsia="en-GB"/>
        </w:rPr>
      </w:pPr>
      <w:r>
        <w:rPr>
          <w:rFonts w:hint="cs"/>
          <w:rtl/>
          <w:lang w:eastAsia="en-GB"/>
        </w:rPr>
        <w:t xml:space="preserve">تبيين الحقائق، 4/266؛ العناية ونتائج الأفكار، 8/55- علمًا بأن لفظهما كلفظ المؤلف؛ إلا </w:t>
      </w:r>
      <w:r>
        <w:rPr>
          <w:rtl/>
          <w:lang w:eastAsia="en-GB"/>
        </w:rPr>
        <w:t>أ</w:t>
      </w:r>
      <w:r>
        <w:rPr>
          <w:rFonts w:hint="cs"/>
          <w:rtl/>
          <w:lang w:eastAsia="en-GB"/>
        </w:rPr>
        <w:t>نهما ق</w:t>
      </w:r>
      <w:r>
        <w:rPr>
          <w:rtl/>
          <w:lang w:eastAsia="en-GB"/>
        </w:rPr>
        <w:t>الا</w:t>
      </w:r>
      <w:r>
        <w:rPr>
          <w:rFonts w:hint="cs"/>
          <w:rtl/>
          <w:lang w:eastAsia="en-GB"/>
        </w:rPr>
        <w:t xml:space="preserve"> : </w:t>
      </w:r>
      <w:r>
        <w:rPr>
          <w:rFonts w:hint="eastAsia"/>
          <w:rtl/>
          <w:lang w:eastAsia="en-GB"/>
        </w:rPr>
        <w:t>«</w:t>
      </w:r>
      <w:r>
        <w:rPr>
          <w:rFonts w:hint="cs"/>
          <w:rtl/>
          <w:lang w:eastAsia="en-GB"/>
        </w:rPr>
        <w:t xml:space="preserve">الإقرار </w:t>
      </w:r>
      <w:r>
        <w:rPr>
          <w:rFonts w:hint="cs"/>
          <w:b/>
          <w:bCs/>
          <w:rtl/>
          <w:lang w:eastAsia="en-GB"/>
        </w:rPr>
        <w:t>بالشيء</w:t>
      </w:r>
      <w:r>
        <w:rPr>
          <w:rFonts w:hint="cs"/>
          <w:rtl/>
          <w:lang w:eastAsia="en-GB"/>
        </w:rPr>
        <w:t xml:space="preserve"> ...</w:t>
      </w:r>
      <w:r>
        <w:rPr>
          <w:rFonts w:hint="eastAsia"/>
          <w:rtl/>
          <w:lang w:eastAsia="en-GB"/>
        </w:rPr>
        <w:t>»</w:t>
      </w:r>
      <w:r>
        <w:rPr>
          <w:rFonts w:hint="cs"/>
          <w:rtl/>
          <w:lang w:eastAsia="en-GB"/>
        </w:rPr>
        <w:t>؛ الدّرر شرح الغرر، 2/288؛ البحر الرائق</w:t>
      </w:r>
      <w:r>
        <w:rPr>
          <w:rtl/>
          <w:lang w:eastAsia="en-GB"/>
        </w:rPr>
        <w:t>،</w:t>
      </w:r>
      <w:r>
        <w:rPr>
          <w:rFonts w:hint="cs"/>
          <w:rtl/>
          <w:lang w:eastAsia="en-GB"/>
        </w:rPr>
        <w:t xml:space="preserve"> 7/162.</w:t>
      </w:r>
    </w:p>
    <w:p w:rsidR="00035BE3" w:rsidRDefault="00035BE3" w:rsidP="00C10469">
      <w:pPr>
        <w:pStyle w:val="a6"/>
        <w:spacing w:line="420" w:lineRule="exact"/>
        <w:ind w:left="422" w:firstLine="0"/>
        <w:rPr>
          <w:rtl/>
          <w:lang w:eastAsia="en-GB"/>
        </w:rPr>
      </w:pPr>
      <w:r>
        <w:rPr>
          <w:rFonts w:hint="cs"/>
          <w:rtl/>
          <w:lang w:eastAsia="en-GB"/>
        </w:rPr>
        <w:t>وهذه القاعدة قري</w:t>
      </w:r>
      <w:r>
        <w:rPr>
          <w:rtl/>
          <w:lang w:eastAsia="en-GB"/>
        </w:rPr>
        <w:t>ب</w:t>
      </w:r>
      <w:r>
        <w:rPr>
          <w:rFonts w:hint="cs"/>
          <w:rtl/>
          <w:lang w:eastAsia="en-GB"/>
        </w:rPr>
        <w:t>ة من قاعدة أخرى أفردها المؤلف بالحديث، وهي</w:t>
      </w:r>
      <w:r>
        <w:rPr>
          <w:rtl/>
          <w:lang w:eastAsia="en-GB"/>
        </w:rPr>
        <w:t>:</w:t>
      </w:r>
      <w:r>
        <w:rPr>
          <w:rFonts w:hint="cs"/>
          <w:rtl/>
          <w:lang w:eastAsia="en-GB"/>
        </w:rPr>
        <w:t xml:space="preserve"> </w:t>
      </w:r>
      <w:r>
        <w:rPr>
          <w:rFonts w:hint="eastAsia"/>
          <w:rtl/>
          <w:lang w:eastAsia="en-GB"/>
        </w:rPr>
        <w:t>«</w:t>
      </w:r>
      <w:r>
        <w:rPr>
          <w:rFonts w:hint="cs"/>
          <w:rtl/>
          <w:lang w:eastAsia="en-GB"/>
        </w:rPr>
        <w:t>الرجوع من الإقرار باطل</w:t>
      </w:r>
      <w:r>
        <w:rPr>
          <w:rFonts w:hint="eastAsia"/>
          <w:rtl/>
          <w:lang w:eastAsia="en-GB"/>
        </w:rPr>
        <w:t>»</w:t>
      </w:r>
      <w:r>
        <w:rPr>
          <w:rFonts w:hint="cs"/>
          <w:rtl/>
          <w:lang w:eastAsia="en-GB"/>
        </w:rPr>
        <w:t xml:space="preserve">، وذلك ص707 (ل54/ب)، قاعدة 131 </w:t>
      </w:r>
      <w:r>
        <w:rPr>
          <w:rtl/>
          <w:lang w:eastAsia="en-GB"/>
        </w:rPr>
        <w:t>.</w:t>
      </w:r>
    </w:p>
    <w:p w:rsidR="00035BE3" w:rsidRDefault="00035BE3" w:rsidP="00C10469">
      <w:pPr>
        <w:pStyle w:val="a6"/>
        <w:spacing w:line="420" w:lineRule="exact"/>
        <w:ind w:left="422" w:firstLine="0"/>
        <w:rPr>
          <w:rtl/>
          <w:lang w:eastAsia="en-GB"/>
        </w:rPr>
      </w:pPr>
      <w:r>
        <w:rPr>
          <w:rFonts w:hint="cs"/>
          <w:rtl/>
          <w:lang w:eastAsia="en-GB"/>
        </w:rPr>
        <w:t>كما أنها يمكن أن تدخل تحت قاعدة أخرى أفردت بالحديث أيضًا، وهي</w:t>
      </w:r>
      <w:r>
        <w:rPr>
          <w:rtl/>
          <w:lang w:eastAsia="en-GB"/>
        </w:rPr>
        <w:t>:</w:t>
      </w:r>
      <w:r>
        <w:rPr>
          <w:rFonts w:hint="cs"/>
          <w:rtl/>
          <w:lang w:eastAsia="en-GB"/>
        </w:rPr>
        <w:t xml:space="preserve"> </w:t>
      </w:r>
      <w:r>
        <w:rPr>
          <w:rFonts w:hint="eastAsia"/>
          <w:rtl/>
          <w:lang w:eastAsia="en-GB"/>
        </w:rPr>
        <w:t>«</w:t>
      </w:r>
      <w:r>
        <w:rPr>
          <w:rFonts w:hint="cs"/>
          <w:rtl/>
          <w:lang w:eastAsia="en-GB"/>
        </w:rPr>
        <w:t>من سعى في نقض ما تمَّ من جهته فسعيه مردود عليه</w:t>
      </w:r>
      <w:r>
        <w:rPr>
          <w:rFonts w:hint="eastAsia"/>
          <w:rtl/>
          <w:lang w:eastAsia="en-GB"/>
        </w:rPr>
        <w:t>»</w:t>
      </w:r>
      <w:r>
        <w:rPr>
          <w:rtl/>
          <w:lang w:eastAsia="en-GB"/>
        </w:rPr>
        <w:t>،</w:t>
      </w:r>
      <w:r>
        <w:rPr>
          <w:rFonts w:hint="cs"/>
          <w:rtl/>
          <w:lang w:eastAsia="en-GB"/>
        </w:rPr>
        <w:t xml:space="preserve"> وذلك ص1077 (ل100/ب)، قاعدة 235.</w:t>
      </w:r>
    </w:p>
  </w:footnote>
  <w:footnote w:id="115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بأن</w:t>
      </w:r>
      <w:r>
        <w:rPr>
          <w:rFonts w:hint="eastAsia"/>
          <w:rtl/>
        </w:rPr>
        <w:t>»</w:t>
      </w:r>
      <w:r>
        <w:rPr>
          <w:rFonts w:hint="cs"/>
          <w:rtl/>
        </w:rPr>
        <w:t>.</w:t>
      </w:r>
    </w:p>
  </w:footnote>
  <w:footnote w:id="115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زيادة : </w:t>
      </w:r>
      <w:r>
        <w:rPr>
          <w:rFonts w:hint="eastAsia"/>
          <w:rtl/>
        </w:rPr>
        <w:t>«</w:t>
      </w:r>
      <w:r>
        <w:rPr>
          <w:rFonts w:hint="cs"/>
          <w:rtl/>
        </w:rPr>
        <w:t>آخر</w:t>
      </w:r>
      <w:r>
        <w:rPr>
          <w:rFonts w:hint="eastAsia"/>
          <w:rtl/>
        </w:rPr>
        <w:t>»</w:t>
      </w:r>
      <w:r>
        <w:rPr>
          <w:rFonts w:hint="cs"/>
          <w:rtl/>
        </w:rPr>
        <w:t>.</w:t>
      </w:r>
    </w:p>
  </w:footnote>
  <w:footnote w:id="115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8/54- 55- مع اختلاف يسير أبرزه أنه قال في آخر المثال : </w:t>
      </w:r>
      <w:r>
        <w:rPr>
          <w:rFonts w:hint="eastAsia"/>
          <w:rtl/>
        </w:rPr>
        <w:t>«</w:t>
      </w:r>
      <w:r>
        <w:rPr>
          <w:rFonts w:hint="cs"/>
          <w:rtl/>
        </w:rPr>
        <w:t>...بالوكالة عنه، والإقرار بالشيء لا يبطل بالإنكار اللاحق</w:t>
      </w:r>
      <w:r>
        <w:rPr>
          <w:rFonts w:hint="eastAsia"/>
          <w:rtl/>
        </w:rPr>
        <w:t>»</w:t>
      </w:r>
      <w:r>
        <w:rPr>
          <w:rFonts w:hint="cs"/>
          <w:rtl/>
        </w:rPr>
        <w:t>-.</w:t>
      </w:r>
    </w:p>
    <w:p w:rsidR="00035BE3" w:rsidRDefault="00035BE3" w:rsidP="00C10469">
      <w:pPr>
        <w:pStyle w:val="a6"/>
        <w:spacing w:line="420" w:lineRule="exact"/>
        <w:ind w:left="422" w:firstLine="0"/>
        <w:rPr>
          <w:rtl/>
          <w:lang w:eastAsia="en-GB"/>
        </w:rPr>
      </w:pPr>
      <w:r>
        <w:rPr>
          <w:rFonts w:hint="cs"/>
          <w:rtl/>
          <w:lang w:eastAsia="en-GB"/>
        </w:rPr>
        <w:t>وانظر : الهداية ونتائج الأفكار</w:t>
      </w:r>
      <w:r>
        <w:rPr>
          <w:rtl/>
          <w:lang w:eastAsia="en-GB"/>
        </w:rPr>
        <w:t>،</w:t>
      </w:r>
      <w:r>
        <w:rPr>
          <w:rFonts w:hint="cs"/>
          <w:rtl/>
          <w:lang w:eastAsia="en-GB"/>
        </w:rPr>
        <w:t xml:space="preserve"> 8/54- 55</w:t>
      </w:r>
      <w:r>
        <w:rPr>
          <w:rtl/>
          <w:lang w:eastAsia="en-GB"/>
        </w:rPr>
        <w:t>؛</w:t>
      </w:r>
      <w:r>
        <w:rPr>
          <w:rFonts w:hint="cs"/>
          <w:rtl/>
          <w:lang w:eastAsia="en-GB"/>
        </w:rPr>
        <w:t xml:space="preserve"> والمصادر الفقهية السابقة المذكورة عند توثيق القاعدة.</w:t>
      </w:r>
    </w:p>
  </w:footnote>
  <w:footnote w:id="1160">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حصل فيها شيء من الاضطراب؛ سواء في النسخ الخطية، أم شرح المؤلف لها، أم مصادر القاعدة :</w:t>
      </w:r>
    </w:p>
    <w:p w:rsidR="00035BE3" w:rsidRDefault="00035BE3" w:rsidP="00C10469">
      <w:pPr>
        <w:pStyle w:val="a6"/>
        <w:spacing w:line="228" w:lineRule="auto"/>
        <w:ind w:left="420" w:firstLine="0"/>
        <w:rPr>
          <w:rtl/>
        </w:rPr>
      </w:pPr>
      <w:r>
        <w:rPr>
          <w:rFonts w:hint="cs"/>
          <w:rtl/>
        </w:rPr>
        <w:t xml:space="preserve">- فقد وردت في جميع النسخ باللفظ المذكور، إلا نسخة (ب) فلفظها : </w:t>
      </w:r>
      <w:r>
        <w:rPr>
          <w:rFonts w:hint="eastAsia"/>
          <w:rtl/>
        </w:rPr>
        <w:t>«</w:t>
      </w:r>
      <w:r>
        <w:rPr>
          <w:rFonts w:hint="cs"/>
          <w:rtl/>
        </w:rPr>
        <w:t>الإقرار يرتدّ بالرّد</w:t>
      </w:r>
      <w:r>
        <w:rPr>
          <w:rFonts w:hint="eastAsia"/>
          <w:rtl/>
        </w:rPr>
        <w:t>»</w:t>
      </w:r>
      <w:r>
        <w:rPr>
          <w:rFonts w:hint="cs"/>
          <w:rtl/>
        </w:rPr>
        <w:t>- بإسقاط (لا) النافية-.</w:t>
      </w:r>
    </w:p>
    <w:p w:rsidR="00035BE3" w:rsidRDefault="00035BE3" w:rsidP="00C10469">
      <w:pPr>
        <w:pStyle w:val="a6"/>
        <w:spacing w:line="228" w:lineRule="auto"/>
        <w:ind w:left="420" w:firstLine="0"/>
        <w:rPr>
          <w:rtl/>
        </w:rPr>
      </w:pPr>
      <w:r>
        <w:rPr>
          <w:rFonts w:hint="cs"/>
          <w:rtl/>
        </w:rPr>
        <w:t xml:space="preserve">- أما الشرح : فقد تضمّن مثالين : </w:t>
      </w:r>
      <w:r>
        <w:rPr>
          <w:rFonts w:hint="cs"/>
          <w:b/>
          <w:bCs/>
          <w:rtl/>
        </w:rPr>
        <w:t>الثاني</w:t>
      </w:r>
      <w:r>
        <w:rPr>
          <w:rFonts w:hint="cs"/>
          <w:rtl/>
        </w:rPr>
        <w:t xml:space="preserve"> منهما منسجم مع نسخة (ب)؛ ولا سيما أن المؤلف صرّح بهذا حين قال : </w:t>
      </w:r>
      <w:r>
        <w:rPr>
          <w:rFonts w:hint="eastAsia"/>
          <w:rtl/>
        </w:rPr>
        <w:t>«</w:t>
      </w:r>
      <w:r>
        <w:rPr>
          <w:rFonts w:hint="cs"/>
          <w:rtl/>
        </w:rPr>
        <w:t>لأن إقرار الرجل باشترائه له ارتدَّ بالرّد على مقتضى هذا الأصل</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أما المثال </w:t>
      </w:r>
      <w:r>
        <w:rPr>
          <w:rFonts w:hint="cs"/>
          <w:b/>
          <w:bCs/>
          <w:spacing w:val="6"/>
          <w:rtl/>
        </w:rPr>
        <w:t>الأول</w:t>
      </w:r>
      <w:r>
        <w:rPr>
          <w:rFonts w:hint="cs"/>
          <w:spacing w:val="6"/>
          <w:rtl/>
        </w:rPr>
        <w:t xml:space="preserve"> : فقد يبدو للناظر لأول وهلة أنه منسجم مع لفظ النسخ الأخر؛ لأن المشتري حين الشراء : أقرّ بأنه يشتري لغيره، فلمّا طلبَ المشترى له العينَ المشتَراة : ردّ المشتري إقراره السابق بإنكاره أمر المشترى له، إلا أن هذا الإقرار السابق لم يرتد بردِّ المقِرّ؛ إذ للرَّجل المشترى له ولاية أخذ العين المشتراة؛ لأن المشتري أقرّ بأنها لغيره، والإقرار لا يرتد بالردّ.</w:t>
      </w:r>
    </w:p>
    <w:p w:rsidR="00035BE3" w:rsidRDefault="00035BE3" w:rsidP="00C10469">
      <w:pPr>
        <w:pStyle w:val="a6"/>
        <w:ind w:left="422" w:firstLine="0"/>
        <w:rPr>
          <w:rtl/>
        </w:rPr>
      </w:pPr>
      <w:r>
        <w:rPr>
          <w:rFonts w:hint="cs"/>
          <w:rtl/>
        </w:rPr>
        <w:t xml:space="preserve">ولو عدت إلى المثال المذكور في القاعدة السابقة لوجدت صورته متفقة مع صورة هذا المثال؛ ولعل هذا يقود إلى القول بأن المؤلف ساق هذا المثال للتمهيد للمثال الثّاني، لا أنه مثال للقاعدة، بدليل أنه خصّ المثال الثاني بالتصريح بأنه : </w:t>
      </w:r>
      <w:r>
        <w:rPr>
          <w:rFonts w:hint="eastAsia"/>
          <w:rtl/>
        </w:rPr>
        <w:t>«</w:t>
      </w:r>
      <w:r>
        <w:rPr>
          <w:rFonts w:hint="cs"/>
          <w:rtl/>
        </w:rPr>
        <w:t>على مقتضى هذا الأصل</w:t>
      </w:r>
      <w:r>
        <w:rPr>
          <w:rFonts w:hint="eastAsia"/>
          <w:rtl/>
        </w:rPr>
        <w:t>»</w:t>
      </w:r>
      <w:r>
        <w:rPr>
          <w:rFonts w:hint="cs"/>
          <w:rtl/>
        </w:rPr>
        <w:t>.</w:t>
      </w:r>
    </w:p>
    <w:p w:rsidR="00035BE3" w:rsidRDefault="00035BE3" w:rsidP="00C10469">
      <w:pPr>
        <w:pStyle w:val="a6"/>
        <w:ind w:left="422" w:firstLine="0"/>
        <w:rPr>
          <w:rtl/>
        </w:rPr>
      </w:pPr>
      <w:r>
        <w:rPr>
          <w:rFonts w:hint="cs"/>
          <w:rtl/>
        </w:rPr>
        <w:t>- أما مصادر القاعدة فقد وردت فيها على ثلاث صور :</w:t>
      </w:r>
    </w:p>
    <w:p w:rsidR="00035BE3" w:rsidRDefault="00035BE3" w:rsidP="00C10469">
      <w:pPr>
        <w:pStyle w:val="a6"/>
        <w:ind w:left="422" w:firstLine="0"/>
        <w:rPr>
          <w:rtl/>
        </w:rPr>
      </w:pPr>
      <w:r>
        <w:rPr>
          <w:rFonts w:hint="cs"/>
          <w:b/>
          <w:bCs/>
          <w:rtl/>
        </w:rPr>
        <w:t>الأولى</w:t>
      </w:r>
      <w:r>
        <w:rPr>
          <w:rFonts w:hint="cs"/>
          <w:rtl/>
        </w:rPr>
        <w:t xml:space="preserve"> : أن الإقرار يرتد بالرد. ومن المصادر التي وردت فيها بهذه الصورة : تبيين الحقائق 4/266؛ الهداية والعناية ونتائج الأفكار، 8/55؛ الدّرر شرح الغرر، 2/288، 353؛ البحر الرائق، 7/162؛ الدر المختار وقرة عيون الأخيار، 12/263، 265.</w:t>
      </w:r>
    </w:p>
    <w:p w:rsidR="00035BE3" w:rsidRDefault="00035BE3" w:rsidP="00C10469">
      <w:pPr>
        <w:pStyle w:val="a6"/>
        <w:ind w:left="422" w:firstLine="0"/>
        <w:rPr>
          <w:rtl/>
        </w:rPr>
      </w:pPr>
      <w:r>
        <w:rPr>
          <w:rFonts w:hint="cs"/>
          <w:b/>
          <w:bCs/>
          <w:rtl/>
        </w:rPr>
        <w:t xml:space="preserve">الثانية </w:t>
      </w:r>
      <w:r>
        <w:rPr>
          <w:rFonts w:hint="cs"/>
          <w:rtl/>
        </w:rPr>
        <w:t>: أن الإقرار لا يرتد بالرّد. ومن مصادر هذه الصورة :</w:t>
      </w:r>
    </w:p>
    <w:p w:rsidR="00035BE3" w:rsidRDefault="00035BE3" w:rsidP="00C10469">
      <w:pPr>
        <w:pStyle w:val="a6"/>
        <w:ind w:left="422" w:firstLine="0"/>
        <w:rPr>
          <w:rtl/>
        </w:rPr>
      </w:pPr>
      <w:r>
        <w:rPr>
          <w:rFonts w:hint="cs"/>
          <w:rtl/>
        </w:rPr>
        <w:t xml:space="preserve">الدّرر شـرح الـغرر، 2/353؛ الـدر المختار، 8/352- ولفظه : </w:t>
      </w:r>
      <w:r>
        <w:rPr>
          <w:rFonts w:hint="eastAsia"/>
          <w:rtl/>
        </w:rPr>
        <w:t>«</w:t>
      </w:r>
      <w:r>
        <w:rPr>
          <w:rFonts w:hint="cs"/>
          <w:rtl/>
        </w:rPr>
        <w:t>... لو ردّ المقرّ له إقراره [أي إقرار المقرِ]، ثم قبل : لا يصح ...</w:t>
      </w:r>
      <w:r>
        <w:rPr>
          <w:rFonts w:hint="eastAsia"/>
          <w:rtl/>
        </w:rPr>
        <w:t>»</w:t>
      </w:r>
      <w:r>
        <w:rPr>
          <w:rFonts w:hint="cs"/>
          <w:rtl/>
        </w:rPr>
        <w:t>-؛ مجامع الحقائق (الخاتمة)، ص45؛ شرح العلائي لقواعد الخادمي، ل 12/أ-ب؛ منافع الدقائق، ص313.</w:t>
      </w:r>
    </w:p>
    <w:p w:rsidR="00035BE3" w:rsidRDefault="00035BE3" w:rsidP="00C10469">
      <w:pPr>
        <w:pStyle w:val="a6"/>
        <w:ind w:left="422" w:firstLine="0"/>
        <w:rPr>
          <w:rtl/>
        </w:rPr>
      </w:pPr>
      <w:r>
        <w:rPr>
          <w:rFonts w:hint="cs"/>
          <w:b/>
          <w:bCs/>
          <w:rtl/>
        </w:rPr>
        <w:t>الثالثة</w:t>
      </w:r>
      <w:r>
        <w:rPr>
          <w:rFonts w:hint="cs"/>
          <w:rtl/>
        </w:rPr>
        <w:t xml:space="preserve"> : التفصيل على اختلاف بينهم في حقيقة هذا التفصيل.</w:t>
      </w:r>
    </w:p>
    <w:p w:rsidR="00035BE3" w:rsidRPr="00F10B2B" w:rsidRDefault="00035BE3" w:rsidP="00C10469">
      <w:pPr>
        <w:pStyle w:val="a6"/>
        <w:spacing w:line="400" w:lineRule="exact"/>
        <w:ind w:left="422" w:firstLine="0"/>
        <w:rPr>
          <w:spacing w:val="-2"/>
          <w:rtl/>
        </w:rPr>
      </w:pPr>
      <w:r w:rsidRPr="00F10B2B">
        <w:rPr>
          <w:rFonts w:hint="cs"/>
          <w:spacing w:val="-4"/>
          <w:rtl/>
        </w:rPr>
        <w:t xml:space="preserve">ومن مصـادر هذه الصورة: المصـفى مختصر المستـصفى، ل58/أ؛ الأشباه والنظائر لابن نجيم، ص283؛ قواعد الفقه له أيضًا، ص130، قاعدة 120؛ القواعد والضوابـط المستخلصة من التحرير، ص481، وأحال إلى التحرير، 4/87؛ الوجيز، 304، ولفظ القاعدة عنده كلفظ الصورة الأولى إلا أنه </w:t>
      </w:r>
      <w:r w:rsidRPr="00F10B2B">
        <w:rPr>
          <w:rFonts w:hint="cs"/>
          <w:spacing w:val="-2"/>
          <w:rtl/>
        </w:rPr>
        <w:t xml:space="preserve">فصل في الشرح بما يتفق مع المصادر المذكورة في هذه الصورة، </w:t>
      </w:r>
      <w:r w:rsidRPr="00F10B2B">
        <w:rPr>
          <w:rFonts w:hint="cs"/>
          <w:b/>
          <w:bCs/>
          <w:spacing w:val="-2"/>
          <w:rtl/>
        </w:rPr>
        <w:t>وحاصل هذا التفصيل</w:t>
      </w:r>
      <w:r w:rsidRPr="00F10B2B">
        <w:rPr>
          <w:rFonts w:hint="cs"/>
          <w:spacing w:val="-2"/>
          <w:rtl/>
        </w:rPr>
        <w:t xml:space="preserve"> أن المقرّ به: </w:t>
      </w:r>
      <w:r>
        <w:rPr>
          <w:rFonts w:hint="cs"/>
          <w:spacing w:val="-2"/>
          <w:rtl/>
        </w:rPr>
        <w:t xml:space="preserve"> </w:t>
      </w:r>
      <w:r w:rsidRPr="00F10B2B">
        <w:rPr>
          <w:rFonts w:hint="cs"/>
          <w:spacing w:val="-2"/>
          <w:rtl/>
        </w:rPr>
        <w:t xml:space="preserve"> </w:t>
      </w:r>
      <w:r>
        <w:rPr>
          <w:rFonts w:hint="cs"/>
          <w:spacing w:val="-2"/>
          <w:rtl/>
        </w:rPr>
        <w:t xml:space="preserve"> </w:t>
      </w:r>
    </w:p>
    <w:p w:rsidR="00035BE3" w:rsidRDefault="00035BE3" w:rsidP="00C10469">
      <w:pPr>
        <w:pStyle w:val="a6"/>
        <w:ind w:left="422" w:firstLine="0"/>
        <w:rPr>
          <w:rtl/>
        </w:rPr>
      </w:pPr>
      <w:r>
        <w:rPr>
          <w:rFonts w:hint="cs"/>
          <w:rtl/>
        </w:rPr>
        <w:t>- إن كان مما يحتمل الإبطال والإلغاء فهو يرتدّ برد المقر له.</w:t>
      </w:r>
    </w:p>
    <w:p w:rsidR="00035BE3" w:rsidRDefault="00035BE3" w:rsidP="00C10469">
      <w:pPr>
        <w:pStyle w:val="a6"/>
        <w:ind w:left="422" w:firstLine="0"/>
        <w:rPr>
          <w:rtl/>
        </w:rPr>
      </w:pPr>
      <w:r>
        <w:rPr>
          <w:rFonts w:hint="cs"/>
          <w:rtl/>
        </w:rPr>
        <w:t>- وإن كان ممّا لا يحتملهما - كالعتق والطلاق والوقف - فهذا لا يرتد بالرّد.</w:t>
      </w:r>
    </w:p>
    <w:p w:rsidR="00035BE3" w:rsidRDefault="00035BE3" w:rsidP="00C10469">
      <w:pPr>
        <w:pStyle w:val="a6"/>
        <w:ind w:left="422" w:firstLine="0"/>
        <w:rPr>
          <w:rtl/>
        </w:rPr>
      </w:pPr>
      <w:r>
        <w:rPr>
          <w:rFonts w:hint="cs"/>
          <w:rtl/>
        </w:rPr>
        <w:t xml:space="preserve">وهناك تفصيل آخر في موسوعة القواعد الفقهية، 2/240، حاصله : </w:t>
      </w:r>
    </w:p>
    <w:p w:rsidR="00035BE3" w:rsidRDefault="00035BE3" w:rsidP="00C10469">
      <w:pPr>
        <w:pStyle w:val="a6"/>
        <w:ind w:left="422" w:firstLine="0"/>
        <w:rPr>
          <w:rtl/>
        </w:rPr>
      </w:pPr>
      <w:r>
        <w:rPr>
          <w:rFonts w:hint="cs"/>
          <w:rtl/>
        </w:rPr>
        <w:t xml:space="preserve"> أنّ ردّ الإقرار إن كان من المقِر : فإنه لا يرتدّ، إلا فيما يتعلق بحقوق الله.</w:t>
      </w:r>
    </w:p>
    <w:p w:rsidR="00035BE3" w:rsidRDefault="00035BE3" w:rsidP="00C10469">
      <w:pPr>
        <w:pStyle w:val="a6"/>
        <w:ind w:left="422" w:firstLine="0"/>
        <w:rPr>
          <w:rtl/>
        </w:rPr>
      </w:pPr>
      <w:r>
        <w:rPr>
          <w:rFonts w:hint="cs"/>
          <w:rtl/>
        </w:rPr>
        <w:t>أما إن كان من المقَرّ له فإنه يرتد بردّه.</w:t>
      </w:r>
    </w:p>
    <w:p w:rsidR="00035BE3" w:rsidRDefault="00035BE3" w:rsidP="00C10469">
      <w:pPr>
        <w:pStyle w:val="a6"/>
        <w:ind w:left="422" w:firstLine="0"/>
        <w:rPr>
          <w:rtl/>
        </w:rPr>
      </w:pPr>
      <w:r>
        <w:rPr>
          <w:rFonts w:hint="cs"/>
          <w:b/>
          <w:bCs/>
          <w:rtl/>
        </w:rPr>
        <w:t>والذي يظهر -والله أعلم-</w:t>
      </w:r>
      <w:r>
        <w:rPr>
          <w:rFonts w:hint="cs"/>
          <w:rtl/>
        </w:rPr>
        <w:t xml:space="preserve"> : أنه يمكن التوفيق بين جميع ما سبق بنحو التفصيل الأخير المستفاد من الموسوعة مع اختلاف يسير، وذلك على النحو الآتي : </w:t>
      </w:r>
    </w:p>
    <w:p w:rsidR="00035BE3" w:rsidRDefault="00035BE3" w:rsidP="00C10469">
      <w:pPr>
        <w:pStyle w:val="a6"/>
        <w:ind w:left="422" w:firstLine="0"/>
        <w:rPr>
          <w:rtl/>
        </w:rPr>
      </w:pPr>
      <w:r>
        <w:rPr>
          <w:rFonts w:hint="cs"/>
          <w:rtl/>
        </w:rPr>
        <w:t>إنَّ ردّ الإقرار إما أن يكون صادرًا من المقِرّ نفسِه، أو من المقَرّ له.</w:t>
      </w:r>
    </w:p>
    <w:p w:rsidR="00035BE3" w:rsidRDefault="00035BE3" w:rsidP="00C10469">
      <w:pPr>
        <w:pStyle w:val="a6"/>
        <w:ind w:left="-32" w:firstLine="454"/>
        <w:rPr>
          <w:rtl/>
        </w:rPr>
      </w:pPr>
      <w:r>
        <w:rPr>
          <w:rtl/>
        </w:rPr>
        <w:t>•</w:t>
      </w:r>
      <w:r>
        <w:rPr>
          <w:rFonts w:hint="cs"/>
          <w:rtl/>
        </w:rPr>
        <w:t xml:space="preserve"> فإن كان من المُقِرّ، فإما أن يكون الإقرار يتعلق بحق من حقوق الله أو العباد.</w:t>
      </w:r>
    </w:p>
    <w:p w:rsidR="00035BE3" w:rsidRDefault="00035BE3" w:rsidP="00C10469">
      <w:pPr>
        <w:pStyle w:val="a6"/>
        <w:ind w:left="422" w:firstLine="0"/>
        <w:rPr>
          <w:rtl/>
        </w:rPr>
      </w:pPr>
      <w:r>
        <w:rPr>
          <w:rFonts w:hint="cs"/>
          <w:rtl/>
        </w:rPr>
        <w:t xml:space="preserve">- فإن كان يتعلق بحق من حقوق الله فإنه يرتد بردّ المقِرّ؛ لأن حقوق الله مبنية على المسامحة، ولما قرّره صاحب المنثور-1/187- والسيوطي في أشباهه -2/798- من أن </w:t>
      </w:r>
      <w:r>
        <w:rPr>
          <w:rFonts w:hint="eastAsia"/>
          <w:rtl/>
        </w:rPr>
        <w:t>«</w:t>
      </w:r>
      <w:r>
        <w:rPr>
          <w:rFonts w:hint="cs"/>
          <w:rtl/>
        </w:rPr>
        <w:t>... من أقرّ بشيء ثم رجع : لم</w:t>
      </w:r>
      <w:r>
        <w:rPr>
          <w:rFonts w:hint="eastAsia"/>
          <w:rtl/>
        </w:rPr>
        <w:t> </w:t>
      </w:r>
      <w:r>
        <w:rPr>
          <w:rFonts w:hint="cs"/>
          <w:rtl/>
        </w:rPr>
        <w:t>يقبل إلا في حدود الله تعالى</w:t>
      </w:r>
      <w:r>
        <w:rPr>
          <w:rFonts w:hint="eastAsia"/>
          <w:rtl/>
        </w:rPr>
        <w:t>»</w:t>
      </w:r>
      <w:r>
        <w:rPr>
          <w:rFonts w:hint="cs"/>
          <w:rtl/>
        </w:rPr>
        <w:t>.</w:t>
      </w:r>
    </w:p>
    <w:p w:rsidR="00035BE3" w:rsidRDefault="00035BE3" w:rsidP="00C10469">
      <w:pPr>
        <w:pStyle w:val="a6"/>
        <w:ind w:left="422" w:firstLine="0"/>
        <w:rPr>
          <w:rtl/>
        </w:rPr>
      </w:pPr>
      <w:r>
        <w:rPr>
          <w:rFonts w:hint="cs"/>
          <w:rtl/>
        </w:rPr>
        <w:t xml:space="preserve">- وإن كان يتعلق بحقٍّ من حقوق العباد فإنه لا يرتدّ بردِّ المُقِرّ؛ لأن حقوق العباد مبنية على المشاحّة؛ ولما تقرّر في القاعدة السابقة، والقاعدة الثامنة والثلاثين، والقاعدة الحادية والثلاثون بعد المئة من أن: </w:t>
      </w:r>
      <w:r>
        <w:rPr>
          <w:rFonts w:hint="eastAsia"/>
          <w:rtl/>
        </w:rPr>
        <w:t>«</w:t>
      </w:r>
      <w:r>
        <w:rPr>
          <w:rFonts w:hint="cs"/>
          <w:rtl/>
        </w:rPr>
        <w:t>الإقرار ملزم شرعًا كالبينة؛ بل أولى</w:t>
      </w:r>
      <w:r>
        <w:rPr>
          <w:rFonts w:hint="eastAsia"/>
          <w:rtl/>
        </w:rPr>
        <w:t>»</w:t>
      </w:r>
      <w:r>
        <w:rPr>
          <w:rFonts w:hint="cs"/>
          <w:rtl/>
        </w:rPr>
        <w:t xml:space="preserve">، كما أنَّ </w:t>
      </w:r>
      <w:r>
        <w:rPr>
          <w:rFonts w:hint="eastAsia"/>
          <w:rtl/>
        </w:rPr>
        <w:t>«</w:t>
      </w:r>
      <w:r>
        <w:rPr>
          <w:rFonts w:hint="cs"/>
          <w:rtl/>
        </w:rPr>
        <w:t>الإقرار بشيء لا يبطل بالإنكار اللاحق</w:t>
      </w:r>
      <w:r>
        <w:rPr>
          <w:rFonts w:hint="eastAsia"/>
          <w:rtl/>
        </w:rPr>
        <w:t>»</w:t>
      </w:r>
      <w:r>
        <w:rPr>
          <w:rFonts w:hint="cs"/>
          <w:rtl/>
        </w:rPr>
        <w:t xml:space="preserve"> وأيضَا:</w:t>
      </w:r>
      <w:r>
        <w:rPr>
          <w:rFonts w:hint="eastAsia"/>
          <w:rtl/>
        </w:rPr>
        <w:t xml:space="preserve"> «</w:t>
      </w:r>
      <w:r>
        <w:rPr>
          <w:rFonts w:hint="cs"/>
          <w:rtl/>
        </w:rPr>
        <w:t>الرجوع من الإقرار باطل</w:t>
      </w:r>
      <w:r>
        <w:rPr>
          <w:rFonts w:hint="eastAsia"/>
          <w:rtl/>
        </w:rPr>
        <w:t>»</w:t>
      </w:r>
      <w:r>
        <w:rPr>
          <w:rFonts w:hint="cs"/>
          <w:rtl/>
        </w:rPr>
        <w:t>؛ ولأن ردّه للإقرار يعدّ تكذيبًا له.</w:t>
      </w:r>
    </w:p>
    <w:p w:rsidR="00035BE3" w:rsidRDefault="00035BE3" w:rsidP="00C10469">
      <w:pPr>
        <w:pStyle w:val="a6"/>
        <w:ind w:left="422" w:firstLine="0"/>
        <w:rPr>
          <w:spacing w:val="-4"/>
          <w:rtl/>
        </w:rPr>
      </w:pPr>
      <w:r>
        <w:rPr>
          <w:rFonts w:hint="cs"/>
          <w:spacing w:val="-4"/>
          <w:rtl/>
        </w:rPr>
        <w:t xml:space="preserve">هذا كله إن كان الرّد صادرًا من المقِرّ. </w:t>
      </w:r>
    </w:p>
    <w:p w:rsidR="00035BE3" w:rsidRDefault="00035BE3" w:rsidP="00C10469">
      <w:pPr>
        <w:pStyle w:val="a6"/>
        <w:ind w:left="-32" w:firstLine="454"/>
        <w:rPr>
          <w:spacing w:val="-4"/>
          <w:rtl/>
        </w:rPr>
      </w:pPr>
      <w:r>
        <w:rPr>
          <w:spacing w:val="-4"/>
          <w:rtl/>
        </w:rPr>
        <w:t>•</w:t>
      </w:r>
      <w:r>
        <w:rPr>
          <w:rFonts w:hint="cs"/>
          <w:spacing w:val="-4"/>
          <w:rtl/>
        </w:rPr>
        <w:t xml:space="preserve"> أما إن كان من المقَرّ له فإن أثر هذا الردّ يختلف باختلاف المقَرّ به:</w:t>
      </w:r>
    </w:p>
    <w:p w:rsidR="00035BE3" w:rsidRDefault="00035BE3" w:rsidP="00C10469">
      <w:pPr>
        <w:pStyle w:val="a6"/>
        <w:ind w:left="422" w:firstLine="0"/>
        <w:rPr>
          <w:rtl/>
        </w:rPr>
      </w:pPr>
      <w:r>
        <w:rPr>
          <w:rFonts w:hint="cs"/>
          <w:rtl/>
        </w:rPr>
        <w:t>- فإن كان المقَرّ به ممّا يحتمل النقض والإلغاء، فإنه يرتد بردّه؛ لأنه صاحب الحقّ، ويكون هذا إما تكذيبًا منه، أو إسقاطاً للحق.</w:t>
      </w:r>
    </w:p>
    <w:p w:rsidR="00035BE3" w:rsidRDefault="00035BE3" w:rsidP="00C10469">
      <w:pPr>
        <w:pStyle w:val="a6"/>
        <w:ind w:left="422" w:firstLine="0"/>
        <w:rPr>
          <w:rtl/>
        </w:rPr>
      </w:pPr>
      <w:r>
        <w:rPr>
          <w:rFonts w:hint="cs"/>
          <w:rtl/>
        </w:rPr>
        <w:t>- وإن كان ممّا لا يحتمل النقض والإبطال كالحرية والنسب فهذا لا يرتدّ بردّه.</w:t>
      </w:r>
    </w:p>
    <w:p w:rsidR="00035BE3" w:rsidRDefault="00035BE3" w:rsidP="00C10469">
      <w:pPr>
        <w:pStyle w:val="a6"/>
        <w:ind w:left="422" w:firstLine="0"/>
        <w:rPr>
          <w:rtl/>
        </w:rPr>
      </w:pPr>
      <w:r>
        <w:rPr>
          <w:rFonts w:hint="cs"/>
          <w:rtl/>
        </w:rPr>
        <w:t xml:space="preserve">ولو عدتَ إلى لفظ القاعدة عند المؤلف وما حصل فيه من خلاف بين النسخ فإنها إن كانت بلفظ : </w:t>
      </w:r>
      <w:r>
        <w:rPr>
          <w:rFonts w:hint="eastAsia"/>
          <w:rtl/>
        </w:rPr>
        <w:t>«</w:t>
      </w:r>
      <w:r>
        <w:rPr>
          <w:rFonts w:hint="cs"/>
          <w:rtl/>
        </w:rPr>
        <w:t>الإقرار لا يرتدّ بالرّد</w:t>
      </w:r>
      <w:r>
        <w:rPr>
          <w:rFonts w:hint="eastAsia"/>
          <w:rtl/>
        </w:rPr>
        <w:t>»</w:t>
      </w:r>
      <w:r>
        <w:rPr>
          <w:rFonts w:hint="cs"/>
          <w:rtl/>
        </w:rPr>
        <w:t xml:space="preserve"> فالمراد بالرّد : ردّ المقِرِّ لإقراره بشكل عام.</w:t>
      </w:r>
    </w:p>
    <w:p w:rsidR="00035BE3" w:rsidRDefault="00035BE3" w:rsidP="00C10469">
      <w:pPr>
        <w:pStyle w:val="a6"/>
        <w:ind w:left="422" w:firstLine="0"/>
        <w:rPr>
          <w:rtl/>
        </w:rPr>
      </w:pPr>
      <w:r>
        <w:rPr>
          <w:rFonts w:hint="cs"/>
          <w:rtl/>
        </w:rPr>
        <w:t xml:space="preserve">وإن كانت بلفظ </w:t>
      </w:r>
      <w:r>
        <w:rPr>
          <w:rFonts w:hint="eastAsia"/>
          <w:rtl/>
        </w:rPr>
        <w:t>«</w:t>
      </w:r>
      <w:r>
        <w:rPr>
          <w:rFonts w:hint="cs"/>
          <w:rtl/>
        </w:rPr>
        <w:t>الإقرار يرتد بالردّ</w:t>
      </w:r>
      <w:r>
        <w:rPr>
          <w:rFonts w:hint="eastAsia"/>
          <w:rtl/>
        </w:rPr>
        <w:t>»</w:t>
      </w:r>
      <w:r>
        <w:rPr>
          <w:rFonts w:hint="cs"/>
          <w:rtl/>
        </w:rPr>
        <w:t>، فالمراد بالرّد : ردّ المقَرّ له بشكل عام.</w:t>
      </w:r>
    </w:p>
    <w:p w:rsidR="00035BE3" w:rsidRDefault="00035BE3" w:rsidP="00C10469">
      <w:pPr>
        <w:pStyle w:val="a6"/>
        <w:ind w:left="422" w:firstLine="0"/>
        <w:rPr>
          <w:rtl/>
        </w:rPr>
      </w:pPr>
      <w:r>
        <w:rPr>
          <w:rFonts w:hint="cs"/>
          <w:b/>
          <w:bCs/>
          <w:rtl/>
        </w:rPr>
        <w:t>والراجح -والله أعلم-</w:t>
      </w:r>
      <w:r>
        <w:rPr>
          <w:rFonts w:hint="cs"/>
          <w:rtl/>
        </w:rPr>
        <w:t xml:space="preserve"> : هو اللفظ الثاني؛ لأمور منها : </w:t>
      </w:r>
    </w:p>
    <w:p w:rsidR="00035BE3" w:rsidRDefault="00035BE3" w:rsidP="00C10469">
      <w:pPr>
        <w:pStyle w:val="a6"/>
        <w:ind w:left="422" w:firstLine="0"/>
        <w:rPr>
          <w:rtl/>
        </w:rPr>
      </w:pPr>
      <w:r>
        <w:rPr>
          <w:rFonts w:hint="cs"/>
          <w:b/>
          <w:bCs/>
          <w:rtl/>
        </w:rPr>
        <w:t>1</w:t>
      </w:r>
      <w:r>
        <w:rPr>
          <w:rFonts w:hint="cs"/>
          <w:rtl/>
        </w:rPr>
        <w:t xml:space="preserve">- لو قارنت بين معنى لفظي هذه القاعدة، والقاعدة التي قبلها (وهي </w:t>
      </w:r>
      <w:r>
        <w:rPr>
          <w:rFonts w:hint="eastAsia"/>
          <w:rtl/>
        </w:rPr>
        <w:t>«</w:t>
      </w:r>
      <w:r>
        <w:rPr>
          <w:rFonts w:hint="cs"/>
          <w:rtl/>
        </w:rPr>
        <w:t xml:space="preserve">الإقرار لشيء لا يبطل </w:t>
      </w:r>
      <w:r w:rsidRPr="00A03D5F">
        <w:rPr>
          <w:rFonts w:hint="cs"/>
          <w:spacing w:val="2"/>
          <w:rtl/>
        </w:rPr>
        <w:t>بالإنكار اللاحق</w:t>
      </w:r>
      <w:r w:rsidRPr="00A03D5F">
        <w:rPr>
          <w:rFonts w:hint="eastAsia"/>
          <w:spacing w:val="2"/>
          <w:rtl/>
        </w:rPr>
        <w:t>»</w:t>
      </w:r>
      <w:r w:rsidRPr="00A03D5F">
        <w:rPr>
          <w:rFonts w:hint="cs"/>
          <w:spacing w:val="2"/>
          <w:rtl/>
        </w:rPr>
        <w:t xml:space="preserve">): لوجدت أن اللفظ الأول (وهو </w:t>
      </w:r>
      <w:r w:rsidRPr="00A03D5F">
        <w:rPr>
          <w:rFonts w:hint="eastAsia"/>
          <w:spacing w:val="2"/>
          <w:rtl/>
        </w:rPr>
        <w:t>«</w:t>
      </w:r>
      <w:r w:rsidRPr="00A03D5F">
        <w:rPr>
          <w:rFonts w:hint="cs"/>
          <w:spacing w:val="2"/>
          <w:rtl/>
        </w:rPr>
        <w:t>الإقرار لا يرتدّ بالرّد</w:t>
      </w:r>
      <w:r w:rsidRPr="00A03D5F">
        <w:rPr>
          <w:rFonts w:hint="eastAsia"/>
          <w:spacing w:val="2"/>
          <w:rtl/>
        </w:rPr>
        <w:t>»</w:t>
      </w:r>
      <w:r w:rsidRPr="00A03D5F">
        <w:rPr>
          <w:rFonts w:hint="cs"/>
          <w:spacing w:val="2"/>
          <w:rtl/>
        </w:rPr>
        <w:t>) ليس فيه معنى جديد؛</w:t>
      </w:r>
      <w:r>
        <w:rPr>
          <w:rFonts w:hint="cs"/>
          <w:rtl/>
        </w:rPr>
        <w:t xml:space="preserve"> بل هو مجرّد تأكيد للقاعدة التي قبله، بخلاف اللفظ الثاني.</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وبما أن </w:t>
      </w:r>
      <w:r>
        <w:rPr>
          <w:rFonts w:hint="eastAsia"/>
          <w:rtl/>
        </w:rPr>
        <w:t>«</w:t>
      </w:r>
      <w:r>
        <w:rPr>
          <w:rFonts w:hint="cs"/>
          <w:rtl/>
        </w:rPr>
        <w:t>التأسيس خير من التأكيد</w:t>
      </w:r>
      <w:r>
        <w:rPr>
          <w:rFonts w:hint="eastAsia"/>
          <w:rtl/>
        </w:rPr>
        <w:t>»</w:t>
      </w:r>
      <w:r>
        <w:rPr>
          <w:rFonts w:hint="cs"/>
          <w:rtl/>
        </w:rPr>
        <w:t xml:space="preserve"> فإن اللفظ الثاني أرجح.</w:t>
      </w:r>
    </w:p>
    <w:p w:rsidR="00035BE3" w:rsidRDefault="00035BE3" w:rsidP="00C10469">
      <w:pPr>
        <w:pStyle w:val="a6"/>
        <w:ind w:left="422" w:firstLine="0"/>
        <w:rPr>
          <w:rtl/>
        </w:rPr>
      </w:pPr>
      <w:r>
        <w:rPr>
          <w:rFonts w:hint="cs"/>
          <w:b/>
          <w:bCs/>
          <w:rtl/>
        </w:rPr>
        <w:t>2</w:t>
      </w:r>
      <w:r>
        <w:rPr>
          <w:rFonts w:hint="cs"/>
          <w:rtl/>
        </w:rPr>
        <w:t xml:space="preserve">-  أن شرح المؤلف للقاعدة منسجم مع اللفظ الثاني؛ لأنه صرح بأن الذي على مقتضى هذه القاعدة والأصل هو أن : </w:t>
      </w:r>
      <w:r>
        <w:rPr>
          <w:rFonts w:hint="eastAsia"/>
          <w:rtl/>
        </w:rPr>
        <w:t>«</w:t>
      </w:r>
      <w:r>
        <w:rPr>
          <w:rFonts w:hint="cs"/>
          <w:rtl/>
        </w:rPr>
        <w:t>الإقرار يرتد بالرد</w:t>
      </w:r>
      <w:r>
        <w:rPr>
          <w:rFonts w:hint="eastAsia"/>
          <w:rtl/>
        </w:rPr>
        <w:t>»</w:t>
      </w:r>
      <w:r>
        <w:rPr>
          <w:rFonts w:hint="cs"/>
          <w:rtl/>
        </w:rPr>
        <w:t xml:space="preserve">. ونص كلامه : </w:t>
      </w:r>
      <w:r>
        <w:rPr>
          <w:rFonts w:hint="eastAsia"/>
          <w:rtl/>
        </w:rPr>
        <w:t>«</w:t>
      </w:r>
      <w:r>
        <w:rPr>
          <w:rFonts w:hint="cs"/>
          <w:rtl/>
        </w:rPr>
        <w:t xml:space="preserve">لأن إقرار الرجل باشترائه له </w:t>
      </w:r>
      <w:r>
        <w:rPr>
          <w:rFonts w:hint="cs"/>
          <w:b/>
          <w:bCs/>
          <w:rtl/>
        </w:rPr>
        <w:t>ارتد</w:t>
      </w:r>
      <w:r>
        <w:rPr>
          <w:rFonts w:hint="cs"/>
          <w:rtl/>
        </w:rPr>
        <w:t xml:space="preserve"> </w:t>
      </w:r>
      <w:r>
        <w:rPr>
          <w:rFonts w:hint="cs"/>
          <w:b/>
          <w:bCs/>
          <w:rtl/>
        </w:rPr>
        <w:t>بالرّد على مقتضى هذا الأصل</w:t>
      </w:r>
      <w:r>
        <w:rPr>
          <w:rFonts w:hint="eastAsia"/>
          <w:rtl/>
        </w:rPr>
        <w:t>»</w:t>
      </w:r>
      <w:r>
        <w:rPr>
          <w:rFonts w:hint="cs"/>
          <w:rtl/>
        </w:rPr>
        <w:t>.</w:t>
      </w:r>
    </w:p>
    <w:p w:rsidR="00035BE3" w:rsidRDefault="00035BE3" w:rsidP="00C10469">
      <w:pPr>
        <w:pStyle w:val="a6"/>
        <w:ind w:left="422" w:firstLine="0"/>
        <w:rPr>
          <w:spacing w:val="-4"/>
          <w:rtl/>
        </w:rPr>
      </w:pPr>
      <w:r>
        <w:rPr>
          <w:rFonts w:hint="cs"/>
          <w:b/>
          <w:bCs/>
          <w:spacing w:val="-4"/>
          <w:rtl/>
        </w:rPr>
        <w:t>3</w:t>
      </w:r>
      <w:r>
        <w:rPr>
          <w:rFonts w:hint="cs"/>
          <w:spacing w:val="-4"/>
          <w:rtl/>
        </w:rPr>
        <w:t xml:space="preserve">- أن صاحب (العناية) ذكر هذه القاعدة والقاعدة التي قبلها في موضعين متواليين، وكان لفظ الثانية عنده هو : </w:t>
      </w:r>
      <w:r>
        <w:rPr>
          <w:rFonts w:hint="eastAsia"/>
          <w:spacing w:val="-4"/>
          <w:rtl/>
        </w:rPr>
        <w:t>«</w:t>
      </w:r>
      <w:r>
        <w:rPr>
          <w:rFonts w:hint="cs"/>
          <w:spacing w:val="-4"/>
          <w:rtl/>
        </w:rPr>
        <w:t>.. لأن الإقرار ارتد بالرّد</w:t>
      </w:r>
      <w:r>
        <w:rPr>
          <w:rFonts w:hint="eastAsia"/>
          <w:spacing w:val="-4"/>
          <w:rtl/>
        </w:rPr>
        <w:t>»</w:t>
      </w:r>
      <w:r>
        <w:rPr>
          <w:rFonts w:hint="cs"/>
          <w:spacing w:val="-4"/>
          <w:rtl/>
        </w:rPr>
        <w:t>، وحيث إن (العناية) تُعدّ من أبرز مصادر المؤلف بشكل عام، وهي المصدر الرئيس في هاتين القاعدتين - يترجّح اللفظ الموافق لها، وهو اللفظ الثاني -والله أعلم-.</w:t>
      </w:r>
    </w:p>
    <w:p w:rsidR="00035BE3" w:rsidRDefault="00035BE3" w:rsidP="00C10469">
      <w:pPr>
        <w:pStyle w:val="a6"/>
        <w:ind w:left="422" w:firstLine="0"/>
        <w:rPr>
          <w:rtl/>
        </w:rPr>
      </w:pPr>
      <w:r>
        <w:rPr>
          <w:rFonts w:hint="cs"/>
          <w:b/>
          <w:bCs/>
          <w:rtl/>
        </w:rPr>
        <w:t>4</w:t>
      </w:r>
      <w:r>
        <w:rPr>
          <w:rFonts w:hint="cs"/>
          <w:rtl/>
        </w:rPr>
        <w:t>- ثم إنّ ردّ المقِر لا يسميه الفقهاء ردًّا، وإنما يُسمى رجوعًا.</w:t>
      </w:r>
    </w:p>
  </w:footnote>
  <w:footnote w:id="11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بهذا اللفظ أو نحوه أو معناه في بعض كتب الفقه وقواعده:</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ind w:left="422" w:firstLine="0"/>
        <w:rPr>
          <w:rtl/>
        </w:rPr>
      </w:pPr>
      <w:r>
        <w:rPr>
          <w:rFonts w:hint="cs"/>
          <w:rtl/>
        </w:rPr>
        <w:t xml:space="preserve">رسالة الكرخي في الأصول، ص164 (مع تأسيس النظر)- ولفظه: </w:t>
      </w:r>
      <w:r>
        <w:rPr>
          <w:rFonts w:hint="eastAsia"/>
          <w:rtl/>
        </w:rPr>
        <w:t>«</w:t>
      </w:r>
      <w:r>
        <w:rPr>
          <w:rFonts w:hint="cs"/>
          <w:rtl/>
        </w:rPr>
        <w:t xml:space="preserve">إن المرء يعامل في حقِّ نفسه كما أقرّ به، </w:t>
      </w:r>
      <w:r>
        <w:rPr>
          <w:rFonts w:hint="cs"/>
          <w:b/>
          <w:bCs/>
          <w:rtl/>
        </w:rPr>
        <w:t>ولا يصدّق على إبطال حق الغير</w:t>
      </w:r>
      <w:r>
        <w:rPr>
          <w:rFonts w:hint="cs"/>
          <w:rtl/>
        </w:rPr>
        <w:t xml:space="preserve"> ...</w:t>
      </w:r>
      <w:r>
        <w:rPr>
          <w:rFonts w:hint="eastAsia"/>
          <w:rtl/>
        </w:rPr>
        <w:t>»</w:t>
      </w:r>
      <w:r>
        <w:rPr>
          <w:rFonts w:hint="cs"/>
          <w:rtl/>
        </w:rPr>
        <w:t xml:space="preserve">-؛ المنثور، 1/187؛ الأشباه والنظائر للسيوطي، 2/797- وقد نقلا عن ابن خيران أنه قال : </w:t>
      </w:r>
      <w:r>
        <w:rPr>
          <w:rFonts w:hint="eastAsia"/>
          <w:rtl/>
        </w:rPr>
        <w:t>«</w:t>
      </w:r>
      <w:r>
        <w:rPr>
          <w:rFonts w:hint="cs"/>
          <w:rtl/>
        </w:rPr>
        <w:t>كل من أقرّ بشيء؛ ليضرَّ به غيره : لم يقبل إلا في صورة</w:t>
      </w:r>
      <w:r>
        <w:rPr>
          <w:rFonts w:hint="eastAsia"/>
          <w:rtl/>
        </w:rPr>
        <w:t>»</w:t>
      </w:r>
      <w:r>
        <w:rPr>
          <w:rFonts w:hint="cs"/>
          <w:rtl/>
        </w:rPr>
        <w:t>-؛ قواعد الفقه للمجدِّدي، ص120، قاعدة 315؛ الوجيز، ص301؛ موسوعة القواعد الفقهية، 2/226- ولفظ الكتب الثلاثة الأخيرة هو ذاته لفظ الكرخي-.</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 xml:space="preserve">الهداية والعناية ونتائج الأفكار، 8/381، 383 </w:t>
      </w:r>
      <w:r>
        <w:rPr>
          <w:rtl/>
        </w:rPr>
        <w:t>–</w:t>
      </w:r>
      <w:r>
        <w:rPr>
          <w:rFonts w:hint="cs"/>
          <w:rtl/>
        </w:rPr>
        <w:t xml:space="preserve"> ولفظ العناية والنتائج مطابق للفظ المؤلف -تبيين الحقائق، 5/24-.</w:t>
      </w:r>
    </w:p>
  </w:footnote>
  <w:footnote w:id="11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لو قال : </w:t>
      </w:r>
      <w:r>
        <w:rPr>
          <w:rFonts w:hint="eastAsia"/>
          <w:rtl/>
        </w:rPr>
        <w:t>«</w:t>
      </w:r>
      <w:r>
        <w:rPr>
          <w:rFonts w:hint="cs"/>
          <w:rtl/>
        </w:rPr>
        <w:t>تُـقَـدَّمُ</w:t>
      </w:r>
      <w:r>
        <w:rPr>
          <w:rFonts w:hint="eastAsia"/>
          <w:rtl/>
        </w:rPr>
        <w:t>»</w:t>
      </w:r>
      <w:r>
        <w:rPr>
          <w:rFonts w:hint="cs"/>
          <w:rtl/>
        </w:rPr>
        <w:t xml:space="preserve"> لكان أولى.</w:t>
      </w:r>
    </w:p>
  </w:footnote>
  <w:footnote w:id="11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صدرُ المثال مفصلاً في (العناية) على النحو الآتي : </w:t>
      </w:r>
      <w:r>
        <w:rPr>
          <w:rFonts w:hint="eastAsia"/>
          <w:rtl/>
        </w:rPr>
        <w:t>«</w:t>
      </w:r>
      <w:r>
        <w:rPr>
          <w:rFonts w:hint="cs"/>
          <w:rtl/>
        </w:rPr>
        <w:t>إذا مرض المديون ولزمته ديونٌ حال مرضه بأسباب معلومة؛ مثل : بدل مالٍ مَلَكَهُ، أو استهلكه، أو مهرِ مثلِ امرأةٍ تزوّجها وعلم معاينة، أو أقرّ في مرضه بديونٍ غير معلومة الأسباب : فديون الصحةِ، والتي عُرفت أسبابها مقدمة على الديون المقرّ بها</w:t>
      </w:r>
      <w:r>
        <w:rPr>
          <w:rFonts w:hint="eastAsia"/>
          <w:rtl/>
        </w:rPr>
        <w:t>»</w:t>
      </w:r>
      <w:r>
        <w:rPr>
          <w:rFonts w:hint="cs"/>
          <w:rtl/>
        </w:rPr>
        <w:t>، ثم نقل عن (الهداية) أن الشافعي يسوي بين ديون الصحة والمرض.</w:t>
      </w:r>
    </w:p>
  </w:footnote>
  <w:footnote w:id="1164">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الهداية والعناية ونتائج الأفكار، 8/380-381؛ تبيين الحقائق، 5/23-24؛ الدّرر شرح الغرر، 2/367.</w:t>
      </w:r>
    </w:p>
  </w:footnote>
  <w:footnote w:id="11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14/ب من (جـ).</w:t>
      </w:r>
    </w:p>
  </w:footnote>
  <w:footnote w:id="11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19/أ من (أ).</w:t>
      </w:r>
    </w:p>
  </w:footnote>
  <w:footnote w:id="11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يضمن</w:t>
      </w:r>
      <w:r>
        <w:rPr>
          <w:rFonts w:hint="eastAsia"/>
          <w:rtl/>
        </w:rPr>
        <w:t>»</w:t>
      </w:r>
      <w:r>
        <w:rPr>
          <w:rFonts w:hint="cs"/>
          <w:rtl/>
        </w:rPr>
        <w:t>. والصحيح ما تمَّ إثباته من (ب) و(د)، وهو الموافق للعناية.</w:t>
      </w:r>
    </w:p>
  </w:footnote>
  <w:footnote w:id="11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بقته</w:t>
      </w:r>
      <w:r>
        <w:rPr>
          <w:rFonts w:hint="eastAsia"/>
          <w:rtl/>
        </w:rPr>
        <w:t>»</w:t>
      </w:r>
      <w:r>
        <w:rPr>
          <w:rFonts w:hint="cs"/>
          <w:rtl/>
        </w:rPr>
        <w:t>.</w:t>
      </w:r>
    </w:p>
  </w:footnote>
  <w:footnote w:id="11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وفي باقي النسخ : </w:t>
      </w:r>
      <w:r>
        <w:rPr>
          <w:rFonts w:hint="eastAsia"/>
          <w:rtl/>
        </w:rPr>
        <w:t>«</w:t>
      </w:r>
      <w:r>
        <w:rPr>
          <w:rFonts w:hint="cs"/>
          <w:rtl/>
        </w:rPr>
        <w:t>بالمال</w:t>
      </w:r>
      <w:r>
        <w:rPr>
          <w:rFonts w:hint="eastAsia"/>
          <w:rtl/>
        </w:rPr>
        <w:t>»</w:t>
      </w:r>
      <w:r>
        <w:rPr>
          <w:rFonts w:hint="cs"/>
          <w:rtl/>
        </w:rPr>
        <w:t xml:space="preserve">. والمُثبَت من (ب) هو الصحيح. علمًا بأنه جاء في </w:t>
      </w:r>
      <w:r w:rsidRPr="005535F0">
        <w:rPr>
          <w:rFonts w:hint="cs"/>
          <w:spacing w:val="-4"/>
          <w:rtl/>
        </w:rPr>
        <w:t xml:space="preserve">المصادر الآتي ذكرها - عند توثيق المثال والجواب عنه -: </w:t>
      </w:r>
      <w:r w:rsidRPr="005535F0">
        <w:rPr>
          <w:rFonts w:hint="eastAsia"/>
          <w:spacing w:val="-4"/>
          <w:rtl/>
        </w:rPr>
        <w:t>«</w:t>
      </w:r>
      <w:r w:rsidRPr="005535F0">
        <w:rPr>
          <w:rFonts w:hint="cs"/>
          <w:spacing w:val="-4"/>
          <w:rtl/>
        </w:rPr>
        <w:t>... وأجيب: بأنّ استحقاق الوارث المالَ ...</w:t>
      </w:r>
      <w:r w:rsidRPr="005535F0">
        <w:rPr>
          <w:rFonts w:hint="eastAsia"/>
          <w:spacing w:val="-4"/>
          <w:rtl/>
        </w:rPr>
        <w:t>»</w:t>
      </w:r>
      <w:r w:rsidRPr="005535F0">
        <w:rPr>
          <w:rFonts w:hint="cs"/>
          <w:spacing w:val="-4"/>
          <w:rtl/>
        </w:rPr>
        <w:t>.</w:t>
      </w:r>
    </w:p>
  </w:footnote>
  <w:footnote w:id="11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ففسد</w:t>
      </w:r>
      <w:r>
        <w:rPr>
          <w:rFonts w:hint="eastAsia"/>
          <w:rtl/>
        </w:rPr>
        <w:t>»</w:t>
      </w:r>
      <w:r>
        <w:rPr>
          <w:rFonts w:hint="cs"/>
          <w:rtl/>
        </w:rPr>
        <w:t>. والصحيح ما تمَّ إثباته من (ب) و(هـ) و(و).</w:t>
      </w:r>
    </w:p>
  </w:footnote>
  <w:footnote w:id="11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 حقَّ</w:t>
      </w:r>
      <w:r>
        <w:rPr>
          <w:rFonts w:hint="eastAsia"/>
          <w:rtl/>
        </w:rPr>
        <w:t>»</w:t>
      </w:r>
      <w:r>
        <w:rPr>
          <w:rFonts w:hint="cs"/>
          <w:rtl/>
        </w:rPr>
        <w:t xml:space="preserve"> : ساقطة من (د)، ومكانها بياض.</w:t>
      </w:r>
    </w:p>
  </w:footnote>
  <w:footnote w:id="11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للوارثة</w:t>
      </w:r>
      <w:r>
        <w:rPr>
          <w:rFonts w:hint="eastAsia"/>
          <w:rtl/>
        </w:rPr>
        <w:t>»</w:t>
      </w:r>
      <w:r>
        <w:rPr>
          <w:rFonts w:hint="cs"/>
          <w:rtl/>
        </w:rPr>
        <w:t>.</w:t>
      </w:r>
    </w:p>
  </w:footnote>
  <w:footnote w:id="11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13/أ من (ب).</w:t>
      </w:r>
    </w:p>
  </w:footnote>
  <w:footnote w:id="11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تبيين الحقائق، 5/24؛ العناية ونتائج الأفكار، 8/382.</w:t>
      </w:r>
    </w:p>
  </w:footnote>
  <w:footnote w:id="11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بهذا اللفظ في عددٍ من كتب القواعد المتأخرة عن المؤلف، كما وردت به أو بنحوه في بعض كتب الفقه المتقدمة عليه:</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ind w:left="422" w:firstLine="0"/>
        <w:rPr>
          <w:spacing w:val="2"/>
          <w:rtl/>
        </w:rPr>
      </w:pPr>
      <w:r>
        <w:rPr>
          <w:rFonts w:hint="cs"/>
          <w:spacing w:val="2"/>
          <w:rtl/>
        </w:rPr>
        <w:t xml:space="preserve">مجامع الحقائق (الخاتمة)، ص45؛ شرح العلائي لقواعد الخادمي، </w:t>
      </w:r>
      <w:r>
        <w:rPr>
          <w:rFonts w:hint="cs"/>
          <w:spacing w:val="-2"/>
          <w:rtl/>
        </w:rPr>
        <w:t>ل12/ب؛ منافع الدقائق، ص313؛</w:t>
      </w:r>
      <w:r>
        <w:rPr>
          <w:rFonts w:hint="cs"/>
          <w:spacing w:val="2"/>
          <w:rtl/>
        </w:rPr>
        <w:t xml:space="preserve"> مجلة الأحكام العدلية، مادة 95؛ شرحها لسليم رسـتم، 1/61؛ ولعـلي حيـدر، 1/84-85؛ </w:t>
      </w:r>
      <w:r w:rsidRPr="00160AAD">
        <w:rPr>
          <w:rFonts w:hint="cs"/>
          <w:spacing w:val="-2"/>
          <w:rtl/>
        </w:rPr>
        <w:t>ولـلأتاسي، 1/260-262؛ وشرح قواعدها للزرقا، ص459-460؛ قـواعد الفـقه</w:t>
      </w:r>
      <w:r>
        <w:rPr>
          <w:rFonts w:hint="cs"/>
          <w:spacing w:val="2"/>
          <w:rtl/>
        </w:rPr>
        <w:t xml:space="preserve"> للمجدِّدي، ص62، قاعدة 50؛ المدخل الفقهي العام، 2/1039-1040، فقرة 654؛ الوجيز، ص327؛ موسوعة القواعد الفقهية، 2/269؛ المدخل إلى القواعد الفقهية الكلية، ص146؛ المبادئ الفقهية، ص53؛ القواعد الفقهية للدعّاس، ص99-100، قاعدة 83؛ وللدكتور محمد الزحيلي، ص86.</w:t>
      </w:r>
    </w:p>
    <w:p w:rsidR="00035BE3" w:rsidRDefault="00035BE3" w:rsidP="00C10469">
      <w:pPr>
        <w:pStyle w:val="a6"/>
        <w:ind w:left="422" w:firstLine="0"/>
        <w:rPr>
          <w:b/>
          <w:bCs/>
          <w:rtl/>
        </w:rPr>
      </w:pPr>
      <w:r>
        <w:rPr>
          <w:rFonts w:hint="cs"/>
          <w:b/>
          <w:bCs/>
          <w:rtl/>
        </w:rPr>
        <w:t xml:space="preserve">ومن كتب الفقه : </w:t>
      </w:r>
    </w:p>
    <w:p w:rsidR="00035BE3" w:rsidRDefault="00035BE3" w:rsidP="00C10469">
      <w:pPr>
        <w:pStyle w:val="a6"/>
        <w:ind w:left="422" w:firstLine="0"/>
        <w:rPr>
          <w:rtl/>
        </w:rPr>
      </w:pPr>
      <w:r>
        <w:rPr>
          <w:rFonts w:hint="cs"/>
          <w:rtl/>
        </w:rPr>
        <w:t>العناية ونتائج الأفكار، 8/22، 23، 62؛ الدّرر شرح الغرر، 2/284.</w:t>
      </w:r>
    </w:p>
    <w:p w:rsidR="00035BE3" w:rsidRDefault="00035BE3" w:rsidP="00C10469">
      <w:pPr>
        <w:pStyle w:val="a6"/>
        <w:ind w:left="422" w:firstLine="0"/>
        <w:rPr>
          <w:spacing w:val="8"/>
          <w:rtl/>
        </w:rPr>
      </w:pPr>
      <w:r>
        <w:rPr>
          <w:rFonts w:hint="cs"/>
          <w:spacing w:val="8"/>
          <w:rtl/>
        </w:rPr>
        <w:t xml:space="preserve">وهذه القاعدة لها ارتباط وثيق بالقاعدة الأولى وهي : </w:t>
      </w:r>
      <w:r>
        <w:rPr>
          <w:rFonts w:hint="eastAsia"/>
          <w:spacing w:val="8"/>
          <w:rtl/>
        </w:rPr>
        <w:t>«</w:t>
      </w:r>
      <w:r>
        <w:rPr>
          <w:rFonts w:hint="cs"/>
          <w:spacing w:val="8"/>
          <w:rtl/>
        </w:rPr>
        <w:t>الآمر لا يضـمن بـالأمر</w:t>
      </w:r>
      <w:r>
        <w:rPr>
          <w:rFonts w:hint="eastAsia"/>
          <w:spacing w:val="8"/>
          <w:rtl/>
        </w:rPr>
        <w:t>»</w:t>
      </w:r>
      <w:r>
        <w:rPr>
          <w:rFonts w:hint="cs"/>
          <w:spacing w:val="8"/>
          <w:rtl/>
        </w:rPr>
        <w:t xml:space="preserve"> - المـذكورة ص201 (ل2/أ)-، حيث إن القاعدة الأولى كالثمرة لهذه القاعدة. وقد أفصح عن ذلك طـاهر الأتـاسي في شرح المجلة، 1/261- حيث قال - في أثناء شرحه للمادة</w:t>
      </w:r>
      <w:r>
        <w:rPr>
          <w:rFonts w:hint="eastAsia"/>
          <w:spacing w:val="8"/>
          <w:rtl/>
        </w:rPr>
        <w:t> </w:t>
      </w:r>
      <w:r>
        <w:rPr>
          <w:rFonts w:hint="cs"/>
          <w:spacing w:val="8"/>
          <w:rtl/>
        </w:rPr>
        <w:t xml:space="preserve">95 (وهي : الأمر بالتصرف في ملك الغير باطل)-: </w:t>
      </w:r>
      <w:r>
        <w:rPr>
          <w:rFonts w:hint="eastAsia"/>
          <w:spacing w:val="8"/>
          <w:rtl/>
        </w:rPr>
        <w:t>«</w:t>
      </w:r>
      <w:r>
        <w:rPr>
          <w:rFonts w:hint="cs"/>
          <w:spacing w:val="8"/>
          <w:rtl/>
        </w:rPr>
        <w:t>وهذه المادة تؤول إلى معنى المادة (89)؛ إذ تقدّم أن الفعل يضاف إلى الفاعل لا الآمر، وهنا حيث كان الأمر باطلاً كالعدم، فالمؤاخدة على الفاعل المأمور دون الآمر</w:t>
      </w:r>
      <w:r>
        <w:rPr>
          <w:rFonts w:hint="eastAsia"/>
          <w:spacing w:val="8"/>
          <w:rtl/>
        </w:rPr>
        <w:t>»</w:t>
      </w:r>
      <w:r>
        <w:rPr>
          <w:rFonts w:hint="cs"/>
          <w:spacing w:val="8"/>
          <w:rtl/>
        </w:rPr>
        <w:t>.</w:t>
      </w:r>
    </w:p>
  </w:footnote>
  <w:footnote w:id="11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للأخ</w:t>
      </w:r>
      <w:r>
        <w:rPr>
          <w:rFonts w:hint="eastAsia"/>
          <w:rtl/>
        </w:rPr>
        <w:t>»</w:t>
      </w:r>
      <w:r>
        <w:rPr>
          <w:rFonts w:hint="cs"/>
          <w:rtl/>
        </w:rPr>
        <w:t>.</w:t>
      </w:r>
    </w:p>
  </w:footnote>
  <w:footnote w:id="11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التوكيل بالاستقراض من الآخرين.</w:t>
      </w:r>
    </w:p>
  </w:footnote>
  <w:footnote w:id="11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والعناية ونتائج الأفكار، 8/21-23؛ النهاية، ل230/ب؛ الدّرر شرح الغرر، 2/284؛ </w:t>
      </w:r>
      <w:r w:rsidRPr="00B77CA4">
        <w:rPr>
          <w:rFonts w:hint="cs"/>
          <w:spacing w:val="-4"/>
          <w:rtl/>
        </w:rPr>
        <w:t>وانظر أيضًا: بدائع الصنائع، 6/23؛ الاختيار لتعليل المختار، 2/159؛ تبيين الحقائق، 4/254-</w:t>
      </w:r>
      <w:r>
        <w:rPr>
          <w:rFonts w:hint="cs"/>
          <w:rtl/>
        </w:rPr>
        <w:t>255، 257؛ البحر الرائق، 7/143، 152.</w:t>
      </w:r>
    </w:p>
  </w:footnote>
  <w:footnote w:id="11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(هـ) و(و) : </w:t>
      </w:r>
      <w:r>
        <w:rPr>
          <w:rFonts w:hint="eastAsia"/>
          <w:rtl/>
        </w:rPr>
        <w:t>«</w:t>
      </w:r>
      <w:r>
        <w:rPr>
          <w:rFonts w:hint="cs"/>
          <w:rtl/>
        </w:rPr>
        <w:t>المحلّ</w:t>
      </w:r>
      <w:r>
        <w:rPr>
          <w:rFonts w:hint="eastAsia"/>
          <w:rtl/>
        </w:rPr>
        <w:t>»</w:t>
      </w:r>
      <w:r>
        <w:rPr>
          <w:rFonts w:hint="cs"/>
          <w:rtl/>
        </w:rPr>
        <w:t xml:space="preserve"> (بالإفراد)، علمًا بأنه في (أ) و(جـ) و(د) : أُثبت بعد (الـمحالِّ) حرف الواو، إلا أن هذا الحرف مطموس في (أ).</w:t>
      </w:r>
    </w:p>
    <w:p w:rsidR="00035BE3" w:rsidRDefault="00035BE3" w:rsidP="00C10469">
      <w:pPr>
        <w:pStyle w:val="a6"/>
        <w:ind w:left="422" w:firstLine="0"/>
        <w:rPr>
          <w:rtl/>
        </w:rPr>
      </w:pPr>
      <w:r>
        <w:rPr>
          <w:rFonts w:hint="cs"/>
          <w:b/>
          <w:bCs/>
          <w:rtl/>
        </w:rPr>
        <w:t>والمَحَالُّ في اللغة :</w:t>
      </w:r>
      <w:r>
        <w:rPr>
          <w:rFonts w:hint="cs"/>
          <w:rtl/>
        </w:rPr>
        <w:t xml:space="preserve"> جمع المَحَلِّ، نقيض المرتَحَل، وهو الموضع الذي يُحَلُّ فيه. انظر : لسان العرب، مادة </w:t>
      </w:r>
      <w:r>
        <w:rPr>
          <w:rFonts w:hint="eastAsia"/>
          <w:rtl/>
        </w:rPr>
        <w:t>«</w:t>
      </w:r>
      <w:r>
        <w:rPr>
          <w:rFonts w:hint="cs"/>
          <w:rtl/>
        </w:rPr>
        <w:t>حلل</w:t>
      </w:r>
      <w:r>
        <w:rPr>
          <w:rFonts w:hint="eastAsia"/>
          <w:rtl/>
        </w:rPr>
        <w:t>»</w:t>
      </w:r>
      <w:r>
        <w:rPr>
          <w:rFonts w:hint="cs"/>
          <w:rtl/>
        </w:rPr>
        <w:t xml:space="preserve">، 11/163؛ القاموس المحيط، مادة </w:t>
      </w:r>
      <w:r>
        <w:rPr>
          <w:rFonts w:hint="eastAsia"/>
          <w:rtl/>
        </w:rPr>
        <w:t>«</w:t>
      </w:r>
      <w:r>
        <w:rPr>
          <w:rFonts w:hint="cs"/>
          <w:rtl/>
        </w:rPr>
        <w:t>حلّ</w:t>
      </w:r>
      <w:r>
        <w:rPr>
          <w:rFonts w:hint="eastAsia"/>
          <w:rtl/>
        </w:rPr>
        <w:t>»</w:t>
      </w:r>
      <w:r>
        <w:rPr>
          <w:rFonts w:hint="cs"/>
          <w:rtl/>
        </w:rPr>
        <w:t>، ص1274.</w:t>
      </w:r>
    </w:p>
  </w:footnote>
  <w:footnote w:id="11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و(هـ) و(و) : </w:t>
      </w:r>
      <w:r>
        <w:rPr>
          <w:rFonts w:hint="eastAsia"/>
          <w:rtl/>
        </w:rPr>
        <w:t>«</w:t>
      </w:r>
      <w:r>
        <w:rPr>
          <w:rFonts w:hint="cs"/>
          <w:rtl/>
        </w:rPr>
        <w:t>شرطًا</w:t>
      </w:r>
      <w:r>
        <w:rPr>
          <w:rFonts w:hint="eastAsia"/>
          <w:rtl/>
        </w:rPr>
        <w:t>»</w:t>
      </w:r>
      <w:r>
        <w:rPr>
          <w:rFonts w:hint="cs"/>
          <w:rtl/>
        </w:rPr>
        <w:t>.</w:t>
      </w:r>
    </w:p>
  </w:footnote>
  <w:footnote w:id="11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من كتب الأصول : شرح المغني للقاءاني، ق1، جـ2، ص727. كما أن المؤلف سيتكلم عن شرطية المحلّ بشيء من التفصيل في أثناء حديثه عن القاعدة 240، ص1059 (ل103/ب).</w:t>
      </w:r>
    </w:p>
  </w:footnote>
  <w:footnote w:id="11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لأن محل العقد...</w:t>
      </w:r>
      <w:r>
        <w:rPr>
          <w:rFonts w:hint="eastAsia"/>
          <w:rtl/>
        </w:rPr>
        <w:t>»</w:t>
      </w:r>
      <w:r>
        <w:rPr>
          <w:rFonts w:hint="cs"/>
          <w:rtl/>
        </w:rPr>
        <w:t xml:space="preserve"> معناه -والله أعلم- : لأن مِلْكَ المعقود عليه -الذي هو محل العقد (وهو هنا مال المقرِض)- من شروط جواز التصرف فيه. وكون ملك المحل من شروط الجواز؛ لأن المَحَالّ والأماكن يمكن أن تكون شروطًا، وهذا مـن جـنس ما قرَّره الأصـوليـون من أن طهارة المكان شرط في الصلاة، والزوجيَّـة شـرط لـصحة الطلاق، فإذا لم يصادف الطلاق محلاًّ وهو الزوجية فلا طلاق، وهكذا... </w:t>
      </w:r>
    </w:p>
    <w:p w:rsidR="00035BE3" w:rsidRDefault="00035BE3" w:rsidP="00C10469">
      <w:pPr>
        <w:pStyle w:val="a6"/>
        <w:ind w:left="422" w:firstLine="0"/>
        <w:rPr>
          <w:rtl/>
        </w:rPr>
      </w:pPr>
      <w:r>
        <w:rPr>
          <w:rFonts w:hint="cs"/>
          <w:rtl/>
        </w:rPr>
        <w:t xml:space="preserve">وإذا عُلم أن ملك المحل من شروط جواز التصرف فيه فإن هذا الشرط ليس بموجود في التوكيل بالاستقراض؛ لأن محل العقد (وهو المال المستقرَض) ليس مِلْكًا للموكِّل؛ بل ملكًا للمقرِض، فيكون أمرُ الموكِّل الـوكيلَ بالاستقراض من المـقرِض أمـرًا بالتصرف في ملك الآخرين، و </w:t>
      </w:r>
      <w:r>
        <w:rPr>
          <w:rFonts w:hint="eastAsia"/>
          <w:rtl/>
        </w:rPr>
        <w:t>«</w:t>
      </w:r>
      <w:r>
        <w:rPr>
          <w:rFonts w:hint="cs"/>
          <w:rtl/>
        </w:rPr>
        <w:t>الأمر بالتصَرُّف في ملك الغير باطل</w:t>
      </w:r>
      <w:r>
        <w:rPr>
          <w:rFonts w:hint="eastAsia"/>
          <w:rtl/>
        </w:rPr>
        <w:t>»</w:t>
      </w:r>
      <w:r>
        <w:rPr>
          <w:rFonts w:hint="cs"/>
          <w:rtl/>
        </w:rPr>
        <w:t>.</w:t>
      </w:r>
    </w:p>
  </w:footnote>
  <w:footnote w:id="11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أن</w:t>
      </w:r>
      <w:r>
        <w:rPr>
          <w:rFonts w:hint="eastAsia"/>
          <w:rtl/>
        </w:rPr>
        <w:t>»</w:t>
      </w:r>
      <w:r>
        <w:rPr>
          <w:rFonts w:hint="cs"/>
          <w:rtl/>
        </w:rPr>
        <w:t>.</w:t>
      </w:r>
    </w:p>
  </w:footnote>
  <w:footnote w:id="11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تحتمل : </w:t>
      </w:r>
      <w:r>
        <w:rPr>
          <w:rFonts w:hint="eastAsia"/>
          <w:rtl/>
        </w:rPr>
        <w:t>«</w:t>
      </w:r>
      <w:r>
        <w:rPr>
          <w:rFonts w:hint="cs"/>
          <w:rtl/>
        </w:rPr>
        <w:t>المحلّ</w:t>
      </w:r>
      <w:r>
        <w:rPr>
          <w:rFonts w:hint="eastAsia"/>
          <w:rtl/>
        </w:rPr>
        <w:t>»</w:t>
      </w:r>
      <w:r>
        <w:rPr>
          <w:rFonts w:hint="cs"/>
          <w:rtl/>
        </w:rPr>
        <w:t xml:space="preserve"> أو </w:t>
      </w:r>
      <w:r>
        <w:rPr>
          <w:rFonts w:hint="eastAsia"/>
          <w:rtl/>
        </w:rPr>
        <w:t>«</w:t>
      </w:r>
      <w:r>
        <w:rPr>
          <w:rFonts w:hint="cs"/>
          <w:rtl/>
        </w:rPr>
        <w:t>المحال</w:t>
      </w:r>
      <w:r>
        <w:rPr>
          <w:rFonts w:hint="eastAsia"/>
          <w:rtl/>
        </w:rPr>
        <w:t>»</w:t>
      </w:r>
      <w:r>
        <w:rPr>
          <w:rFonts w:hint="cs"/>
          <w:rtl/>
        </w:rPr>
        <w:t>.</w:t>
      </w:r>
    </w:p>
  </w:footnote>
  <w:footnote w:id="11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لو زاد هنا : (وهي) لكان أنسب؛ حتى تنسجم هذه الجملة مع الجملة التي قبلها، حيث جاء فيها : </w:t>
      </w:r>
      <w:r>
        <w:rPr>
          <w:rFonts w:hint="eastAsia"/>
          <w:rtl/>
        </w:rPr>
        <w:t>«</w:t>
      </w:r>
      <w:r>
        <w:rPr>
          <w:rFonts w:hint="cs"/>
          <w:b/>
          <w:bCs/>
          <w:rtl/>
        </w:rPr>
        <w:t>وهو</w:t>
      </w:r>
      <w:r>
        <w:rPr>
          <w:rFonts w:hint="cs"/>
          <w:rtl/>
        </w:rPr>
        <w:t xml:space="preserve"> ملك الموكل</w:t>
      </w:r>
      <w:r>
        <w:rPr>
          <w:rFonts w:hint="eastAsia"/>
          <w:rtl/>
        </w:rPr>
        <w:t>»</w:t>
      </w:r>
      <w:r>
        <w:rPr>
          <w:rFonts w:hint="cs"/>
          <w:rtl/>
        </w:rPr>
        <w:t>.</w:t>
      </w:r>
    </w:p>
  </w:footnote>
  <w:footnote w:id="1186">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في (ب) و(د) : </w:t>
      </w:r>
      <w:r>
        <w:rPr>
          <w:rFonts w:hint="eastAsia"/>
          <w:spacing w:val="-2"/>
          <w:rtl/>
        </w:rPr>
        <w:t>«</w:t>
      </w:r>
      <w:r>
        <w:rPr>
          <w:rFonts w:hint="cs"/>
          <w:spacing w:val="-2"/>
          <w:rtl/>
        </w:rPr>
        <w:t>بالاقتراض</w:t>
      </w:r>
      <w:r>
        <w:rPr>
          <w:rFonts w:hint="eastAsia"/>
          <w:spacing w:val="-2"/>
          <w:rtl/>
        </w:rPr>
        <w:t>»</w:t>
      </w:r>
      <w:r>
        <w:rPr>
          <w:rFonts w:hint="cs"/>
          <w:spacing w:val="-2"/>
          <w:rtl/>
        </w:rPr>
        <w:t xml:space="preserve">. وفي هامش (أ) تصحيح بخط مغاير وفيه  بياض بين بعض الحروف لعلّه: </w:t>
      </w:r>
      <w:r w:rsidRPr="0017311C">
        <w:rPr>
          <w:rFonts w:hint="eastAsia"/>
          <w:spacing w:val="-4"/>
          <w:rtl/>
        </w:rPr>
        <w:t>«</w:t>
      </w:r>
      <w:r w:rsidRPr="0017311C">
        <w:rPr>
          <w:rFonts w:hint="cs"/>
          <w:spacing w:val="-4"/>
          <w:rtl/>
        </w:rPr>
        <w:t>وهو غير (صح)</w:t>
      </w:r>
      <w:r w:rsidRPr="0017311C">
        <w:rPr>
          <w:rFonts w:hint="eastAsia"/>
          <w:spacing w:val="-4"/>
          <w:rtl/>
        </w:rPr>
        <w:t>»</w:t>
      </w:r>
      <w:r w:rsidRPr="0017311C">
        <w:rPr>
          <w:rFonts w:hint="cs"/>
          <w:spacing w:val="-4"/>
          <w:rtl/>
        </w:rPr>
        <w:t>. ولو اكتفي بإثبات الضمير فحسب لكانت الزيادة مناسبة (وهو جائز) -والله أعلم-.</w:t>
      </w:r>
    </w:p>
  </w:footnote>
  <w:footnote w:id="11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ذكره المؤلف في بداية شرحه للقاعدة إلى هذا الموضع مذكور في (العناية) - 8/22- بعبارة مختصرة وأكثر وضوحًا، ونصها : </w:t>
      </w:r>
    </w:p>
    <w:p w:rsidR="00035BE3" w:rsidRDefault="00035BE3" w:rsidP="00C10469">
      <w:pPr>
        <w:pStyle w:val="a6"/>
        <w:ind w:left="422" w:firstLine="0"/>
        <w:rPr>
          <w:rtl/>
        </w:rPr>
      </w:pPr>
      <w:r>
        <w:rPr>
          <w:rFonts w:hint="eastAsia"/>
          <w:rtl/>
        </w:rPr>
        <w:t>«</w:t>
      </w:r>
      <w:r>
        <w:rPr>
          <w:rFonts w:hint="cs"/>
          <w:rtl/>
        </w:rPr>
        <w:t>التوكيل بالاستقراض لا يصح؛ لأنه أمر بالتصرّف في مال الغير وأنه لا يجوز.</w:t>
      </w:r>
    </w:p>
    <w:p w:rsidR="00035BE3" w:rsidRDefault="00035BE3" w:rsidP="00C10469">
      <w:pPr>
        <w:pStyle w:val="a6"/>
        <w:ind w:left="422" w:firstLine="0"/>
        <w:rPr>
          <w:rtl/>
        </w:rPr>
      </w:pPr>
      <w:r>
        <w:rPr>
          <w:rFonts w:hint="cs"/>
          <w:rtl/>
        </w:rPr>
        <w:t>ورُدَّ : بالتَّوكيل بالشراء؛ فإنه أمرٌ بقبض المبيع وهو ملك الغير!.</w:t>
      </w:r>
    </w:p>
    <w:p w:rsidR="00035BE3" w:rsidRDefault="00035BE3" w:rsidP="00C10469">
      <w:pPr>
        <w:pStyle w:val="a6"/>
        <w:ind w:left="422" w:firstLine="0"/>
        <w:rPr>
          <w:rtl/>
        </w:rPr>
      </w:pPr>
      <w:r>
        <w:rPr>
          <w:rFonts w:hint="cs"/>
          <w:rtl/>
        </w:rPr>
        <w:t>وأجيب : بأن محلّه هو الثمن في ذمَّة الموكل وهو ملكه.</w:t>
      </w:r>
    </w:p>
    <w:p w:rsidR="00035BE3" w:rsidRDefault="00035BE3" w:rsidP="00C10469">
      <w:pPr>
        <w:pStyle w:val="a6"/>
        <w:ind w:left="422" w:firstLine="0"/>
        <w:rPr>
          <w:rtl/>
        </w:rPr>
      </w:pPr>
      <w:r>
        <w:rPr>
          <w:rFonts w:hint="cs"/>
          <w:rtl/>
        </w:rPr>
        <w:t>وأورد : بأنه هلاّ جُعل محله في الاستقراض البدل في ذمة الموكِّل!.</w:t>
      </w:r>
    </w:p>
    <w:p w:rsidR="00035BE3" w:rsidRDefault="00035BE3" w:rsidP="00C10469">
      <w:pPr>
        <w:pStyle w:val="a6"/>
        <w:ind w:left="422" w:firstLine="0"/>
        <w:rPr>
          <w:rtl/>
        </w:rPr>
      </w:pPr>
      <w:r>
        <w:rPr>
          <w:rFonts w:hint="cs"/>
          <w:rtl/>
        </w:rPr>
        <w:t>وأجيب : بأن ذلك محلّ إيفاء القرض لا الاستقراض</w:t>
      </w:r>
      <w:r>
        <w:rPr>
          <w:rFonts w:hint="eastAsia"/>
          <w:rtl/>
        </w:rPr>
        <w:t>»</w:t>
      </w:r>
      <w:r>
        <w:rPr>
          <w:rFonts w:hint="cs"/>
          <w:rtl/>
        </w:rPr>
        <w:t>.</w:t>
      </w:r>
    </w:p>
  </w:footnote>
  <w:footnote w:id="11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بالاقتراض</w:t>
      </w:r>
      <w:r>
        <w:rPr>
          <w:rFonts w:hint="eastAsia"/>
          <w:rtl/>
        </w:rPr>
        <w:t>»</w:t>
      </w:r>
      <w:r>
        <w:rPr>
          <w:rFonts w:hint="cs"/>
          <w:rtl/>
        </w:rPr>
        <w:t>.</w:t>
      </w:r>
    </w:p>
  </w:footnote>
  <w:footnote w:id="11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بداية جواب لاعتراض محذوف تقديره : بعضهم قال في التعليل الأخير :</w:t>
      </w:r>
    </w:p>
    <w:p w:rsidR="00035BE3" w:rsidRDefault="00035BE3" w:rsidP="00C10469">
      <w:pPr>
        <w:pStyle w:val="a6"/>
        <w:ind w:left="422" w:firstLine="0"/>
        <w:rPr>
          <w:rtl/>
        </w:rPr>
      </w:pPr>
      <w:r>
        <w:rPr>
          <w:rFonts w:hint="eastAsia"/>
          <w:rtl/>
        </w:rPr>
        <w:t>«</w:t>
      </w:r>
      <w:r>
        <w:rPr>
          <w:rFonts w:hint="cs"/>
          <w:rtl/>
        </w:rPr>
        <w:t xml:space="preserve">بأن ذلك محل </w:t>
      </w:r>
      <w:r>
        <w:rPr>
          <w:rFonts w:hint="cs"/>
          <w:b/>
          <w:bCs/>
          <w:rtl/>
        </w:rPr>
        <w:t>إيفاء القرض</w:t>
      </w:r>
      <w:r>
        <w:rPr>
          <w:rFonts w:hint="cs"/>
          <w:rtl/>
        </w:rPr>
        <w:t>...</w:t>
      </w:r>
      <w:r>
        <w:rPr>
          <w:rFonts w:hint="eastAsia"/>
          <w:rtl/>
        </w:rPr>
        <w:t>»</w:t>
      </w:r>
      <w:r>
        <w:rPr>
          <w:rFonts w:hint="cs"/>
          <w:rtl/>
        </w:rPr>
        <w:t xml:space="preserve">- كما فعل صاحب (العناية)- فلماذا قلتم : </w:t>
      </w:r>
      <w:r>
        <w:rPr>
          <w:rFonts w:hint="eastAsia"/>
          <w:rtl/>
        </w:rPr>
        <w:t>«</w:t>
      </w:r>
      <w:r>
        <w:rPr>
          <w:rFonts w:hint="cs"/>
          <w:rtl/>
        </w:rPr>
        <w:t>بالإقراض</w:t>
      </w:r>
      <w:r>
        <w:rPr>
          <w:rFonts w:hint="eastAsia"/>
          <w:rtl/>
        </w:rPr>
        <w:t>»</w:t>
      </w:r>
      <w:r>
        <w:rPr>
          <w:rFonts w:hint="cs"/>
          <w:rtl/>
        </w:rPr>
        <w:t xml:space="preserve"> ولم تقولوا (إيفاء القرض) ؟</w:t>
      </w:r>
    </w:p>
  </w:footnote>
  <w:footnote w:id="11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ما</w:t>
      </w:r>
      <w:r>
        <w:rPr>
          <w:rFonts w:hint="eastAsia"/>
          <w:rtl/>
        </w:rPr>
        <w:t>»</w:t>
      </w:r>
      <w:r>
        <w:rPr>
          <w:rFonts w:hint="cs"/>
          <w:rtl/>
        </w:rPr>
        <w:t xml:space="preserve"> : ساقطة من (جـ).</w:t>
      </w:r>
    </w:p>
  </w:footnote>
  <w:footnote w:id="11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19/ب من (أ).</w:t>
      </w:r>
    </w:p>
  </w:footnote>
  <w:footnote w:id="11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مقضى</w:t>
      </w:r>
      <w:r>
        <w:rPr>
          <w:rFonts w:hint="eastAsia"/>
          <w:rtl/>
        </w:rPr>
        <w:t>»</w:t>
      </w:r>
      <w:r>
        <w:rPr>
          <w:rFonts w:hint="cs"/>
          <w:rtl/>
        </w:rPr>
        <w:t>.</w:t>
      </w:r>
    </w:p>
  </w:footnote>
  <w:footnote w:id="11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ص706 (ل53/أ)، قاعدة 128.</w:t>
      </w:r>
    </w:p>
  </w:footnote>
  <w:footnote w:id="11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إبقاء</w:t>
      </w:r>
      <w:r>
        <w:rPr>
          <w:rFonts w:hint="eastAsia"/>
          <w:rtl/>
        </w:rPr>
        <w:t>»</w:t>
      </w:r>
      <w:r>
        <w:rPr>
          <w:rFonts w:hint="cs"/>
          <w:rtl/>
        </w:rPr>
        <w:t>.</w:t>
      </w:r>
    </w:p>
  </w:footnote>
  <w:footnote w:id="11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القاعـدة تـحكي قولاً من أقوال الأصوليين في مسألةٍ لا يكاد يخلو منها كتاب من كتبهم، وهي ما ترجم لها صـاحب (الـمعتمد) بقولـه : </w:t>
      </w:r>
      <w:r>
        <w:rPr>
          <w:rFonts w:hint="eastAsia"/>
          <w:rtl/>
        </w:rPr>
        <w:t>«</w:t>
      </w:r>
      <w:r>
        <w:rPr>
          <w:rFonts w:hint="cs"/>
          <w:rtl/>
        </w:rPr>
        <w:t>... الأمر المطلق ه</w:t>
      </w:r>
      <w:r>
        <w:rPr>
          <w:rFonts w:hint="cs"/>
          <w:rtl/>
          <w:lang w:bidi="ar-AE"/>
        </w:rPr>
        <w:t>ـ</w:t>
      </w:r>
      <w:r>
        <w:rPr>
          <w:rFonts w:hint="cs"/>
          <w:rtl/>
        </w:rPr>
        <w:t>ل يقتـضي الفعل مرّة واحدة أو يقتضي التكرار؟</w:t>
      </w:r>
      <w:r>
        <w:rPr>
          <w:rFonts w:hint="eastAsia"/>
          <w:rtl/>
        </w:rPr>
        <w:t>»</w:t>
      </w:r>
      <w:r>
        <w:rPr>
          <w:rFonts w:hint="cs"/>
          <w:rtl/>
        </w:rPr>
        <w:t>.</w:t>
      </w:r>
    </w:p>
    <w:p w:rsidR="00035BE3" w:rsidRDefault="00035BE3" w:rsidP="00C10469">
      <w:pPr>
        <w:pStyle w:val="a6"/>
        <w:ind w:left="422" w:firstLine="0"/>
        <w:rPr>
          <w:rtl/>
        </w:rPr>
      </w:pPr>
      <w:r>
        <w:rPr>
          <w:rFonts w:hint="cs"/>
          <w:rtl/>
        </w:rPr>
        <w:t>إذْ إنّ هذه المسألة اختلفوا فيها على مذاهب، تؤول في الجملة إلى ثلاثة :</w:t>
      </w:r>
    </w:p>
    <w:p w:rsidR="00035BE3" w:rsidRDefault="00035BE3" w:rsidP="00C10469">
      <w:pPr>
        <w:pStyle w:val="a6"/>
        <w:ind w:left="422" w:firstLine="0"/>
        <w:rPr>
          <w:rtl/>
        </w:rPr>
      </w:pPr>
      <w:r>
        <w:rPr>
          <w:rFonts w:hint="cs"/>
          <w:b/>
          <w:bCs/>
          <w:rtl/>
        </w:rPr>
        <w:t>المذهب الأول</w:t>
      </w:r>
      <w:r>
        <w:rPr>
          <w:rFonts w:hint="cs"/>
          <w:rtl/>
        </w:rPr>
        <w:t xml:space="preserve"> : الأمر المطلق لا يقتضي التكرار. وهذا قول جمهور الفقهاء والمتكلمين. </w:t>
      </w:r>
    </w:p>
    <w:p w:rsidR="00035BE3" w:rsidRDefault="00035BE3" w:rsidP="00C10469">
      <w:pPr>
        <w:pStyle w:val="a6"/>
        <w:ind w:left="422" w:firstLine="0"/>
        <w:rPr>
          <w:rtl/>
        </w:rPr>
      </w:pPr>
      <w:r>
        <w:rPr>
          <w:rFonts w:hint="cs"/>
          <w:rtl/>
        </w:rPr>
        <w:t>وأصحاب هذا المذهب بعد أن اتفقوا على أنه لا يقتضي التكرار اختلفوا فيما يقتضيه على قولين :</w:t>
      </w:r>
    </w:p>
    <w:p w:rsidR="00035BE3" w:rsidRDefault="00035BE3" w:rsidP="00C10469">
      <w:pPr>
        <w:pStyle w:val="a6"/>
        <w:ind w:left="422" w:firstLine="0"/>
        <w:rPr>
          <w:rtl/>
        </w:rPr>
      </w:pPr>
      <w:r>
        <w:rPr>
          <w:rFonts w:hint="cs"/>
          <w:b/>
          <w:bCs/>
          <w:rtl/>
        </w:rPr>
        <w:t xml:space="preserve">أحدهما </w:t>
      </w:r>
      <w:r>
        <w:rPr>
          <w:rFonts w:hint="cs"/>
          <w:rtl/>
        </w:rPr>
        <w:t xml:space="preserve">: كونه يقتضي طلب إيقاع الفعل فقط من غير إشعار بالتكرار أو المرّة، غير أنه بالمرة الواحدة يحصل ذلك. </w:t>
      </w:r>
    </w:p>
    <w:p w:rsidR="00035BE3" w:rsidRDefault="00035BE3" w:rsidP="00C10469">
      <w:pPr>
        <w:pStyle w:val="a6"/>
        <w:ind w:left="422" w:firstLine="0"/>
        <w:rPr>
          <w:rtl/>
        </w:rPr>
      </w:pPr>
      <w:r>
        <w:rPr>
          <w:rFonts w:hint="cs"/>
          <w:rtl/>
        </w:rPr>
        <w:t>وهو رواية عن الإمام أحمد -ذكرها ابن اللحام وابن النجار- وأيضًا قول عامة الحنفية - كما صرّح بذلك البزدوي والسَّرْخسي- وهو المختار عندهم -كما صرّح بذلك ابن الهمام- كما أنّه اختيار أبي الحسين البصري والفخر الرازي وابن الحاجب والبيضاوي والإسنوي وغيرهم.</w:t>
      </w:r>
    </w:p>
    <w:p w:rsidR="00035BE3" w:rsidRDefault="00035BE3" w:rsidP="00C10469">
      <w:pPr>
        <w:pStyle w:val="a6"/>
        <w:ind w:left="422" w:firstLine="0"/>
        <w:rPr>
          <w:rtl/>
        </w:rPr>
      </w:pPr>
      <w:r>
        <w:rPr>
          <w:rFonts w:hint="cs"/>
          <w:rtl/>
        </w:rPr>
        <w:t>وأصحاب هذا القول اختلفوا بعد ذلك : هل يحتمل التكرار أولا يحتمله أو يتوقف في ذلك ؟ والذي عليه عامة الحنفية أنه لا يـحتمـله- كما صرح بذلك المؤلف (في بداية شرح القاعدة) والمذكورون من الحنفية -.</w:t>
      </w:r>
    </w:p>
    <w:p w:rsidR="00035BE3" w:rsidRDefault="00035BE3" w:rsidP="00C10469">
      <w:pPr>
        <w:pStyle w:val="a6"/>
        <w:ind w:left="422" w:firstLine="0"/>
        <w:rPr>
          <w:rtl/>
        </w:rPr>
      </w:pPr>
      <w:r>
        <w:rPr>
          <w:rFonts w:hint="cs"/>
          <w:b/>
          <w:bCs/>
          <w:rtl/>
        </w:rPr>
        <w:t>ثانيهما</w:t>
      </w:r>
      <w:r>
        <w:rPr>
          <w:rFonts w:hint="cs"/>
          <w:rtl/>
        </w:rPr>
        <w:t xml:space="preserve"> : يقتضي الفعل مرةً واحدة.</w:t>
      </w:r>
    </w:p>
    <w:p w:rsidR="00035BE3" w:rsidRDefault="00035BE3" w:rsidP="00C10469">
      <w:pPr>
        <w:pStyle w:val="a6"/>
        <w:ind w:left="422" w:firstLine="0"/>
        <w:rPr>
          <w:rtl/>
        </w:rPr>
      </w:pPr>
      <w:r>
        <w:rPr>
          <w:rFonts w:hint="cs"/>
          <w:rtl/>
        </w:rPr>
        <w:t>وهذا قول الإمام الشافعي -كما صرّح بذلك في الرسالة- وأصحاب الإمام مالك - كما أفاد ذلك القرافي- وكثير من الحنفية - كما صرح بذلك ابن الهمام - وهو اختيار أبي الخطاب من الحنابلة.</w:t>
      </w:r>
    </w:p>
    <w:p w:rsidR="00035BE3" w:rsidRDefault="00035BE3" w:rsidP="00C10469">
      <w:pPr>
        <w:pStyle w:val="a6"/>
        <w:ind w:left="422" w:firstLine="0"/>
        <w:rPr>
          <w:rtl/>
        </w:rPr>
      </w:pPr>
      <w:r>
        <w:rPr>
          <w:rFonts w:hint="cs"/>
          <w:rtl/>
        </w:rPr>
        <w:t>وكما اختلف أصحاب القول الأول : هل يحتمل التكرار؟ اختلف في ذلك أيضًا أصحاب هذا القول:</w:t>
      </w:r>
    </w:p>
    <w:p w:rsidR="00035BE3" w:rsidRDefault="00035BE3" w:rsidP="00C10469">
      <w:pPr>
        <w:pStyle w:val="a6"/>
        <w:ind w:left="422" w:firstLine="0"/>
        <w:rPr>
          <w:rtl/>
        </w:rPr>
      </w:pPr>
      <w:r>
        <w:rPr>
          <w:rFonts w:hint="cs"/>
          <w:rtl/>
        </w:rPr>
        <w:t>والذي عليه الحنفية القائلون بهذا القول هو كون الأمر لا يحتمل التكرار.</w:t>
      </w:r>
    </w:p>
    <w:p w:rsidR="00035BE3" w:rsidRDefault="00035BE3" w:rsidP="00C10469">
      <w:pPr>
        <w:pStyle w:val="a6"/>
        <w:ind w:left="422" w:firstLine="0"/>
        <w:rPr>
          <w:b/>
          <w:bCs/>
          <w:rtl/>
        </w:rPr>
      </w:pPr>
      <w:r>
        <w:rPr>
          <w:rFonts w:hint="cs"/>
          <w:b/>
          <w:bCs/>
          <w:rtl/>
        </w:rPr>
        <w:t xml:space="preserve">ونصّ القاعدة -عند المؤلف- وما جاء في شرحها يتّفق مع هذا. </w:t>
      </w:r>
    </w:p>
    <w:p w:rsidR="00035BE3" w:rsidRDefault="00035BE3" w:rsidP="00C10469">
      <w:pPr>
        <w:pStyle w:val="a6"/>
        <w:ind w:left="422" w:firstLine="0"/>
        <w:rPr>
          <w:rtl/>
        </w:rPr>
      </w:pPr>
      <w:r>
        <w:rPr>
          <w:rFonts w:hint="cs"/>
          <w:b/>
          <w:bCs/>
          <w:rtl/>
        </w:rPr>
        <w:t>المذهب الثاني</w:t>
      </w:r>
      <w:r>
        <w:rPr>
          <w:rFonts w:hint="cs"/>
          <w:rtl/>
        </w:rPr>
        <w:t xml:space="preserve"> : الأمر المطلق يقتضي التكرار مع الإمكان.</w:t>
      </w:r>
    </w:p>
    <w:p w:rsidR="00035BE3" w:rsidRDefault="00035BE3" w:rsidP="00C10469">
      <w:pPr>
        <w:pStyle w:val="a6"/>
        <w:ind w:left="422" w:firstLine="0"/>
        <w:rPr>
          <w:rtl/>
        </w:rPr>
      </w:pPr>
      <w:r>
        <w:rPr>
          <w:rFonts w:hint="cs"/>
          <w:rtl/>
        </w:rPr>
        <w:t>وهذا المذهب نسبه القرافي إلى الإمام مالك، كما نسبه ابن النجار إلى الإمام أحمد وأكثر أصحابه، وهو اختيار بعض الفـقـهاء والمتـكلمين، منهم أبو إسحاق الإسفراييني وأبو حاتم الرازي وأبو</w:t>
      </w:r>
      <w:r>
        <w:rPr>
          <w:rFonts w:hint="eastAsia"/>
          <w:rtl/>
        </w:rPr>
        <w:t> </w:t>
      </w:r>
      <w:r>
        <w:rPr>
          <w:rFonts w:hint="cs"/>
          <w:rtl/>
        </w:rPr>
        <w:t>الحسن بن القصّار المالكي.</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 xml:space="preserve"> المذهب الثالث</w:t>
      </w:r>
      <w:r>
        <w:rPr>
          <w:rFonts w:hint="cs"/>
          <w:rtl/>
        </w:rPr>
        <w:t xml:space="preserve"> : التوقّف -على خلاف بين القائلين به في تفسيره-.</w:t>
      </w:r>
    </w:p>
    <w:p w:rsidR="00035BE3" w:rsidRDefault="00035BE3" w:rsidP="00C10469">
      <w:pPr>
        <w:pStyle w:val="a6"/>
        <w:ind w:left="422" w:firstLine="0"/>
        <w:rPr>
          <w:spacing w:val="8"/>
          <w:rtl/>
        </w:rPr>
      </w:pPr>
      <w:r>
        <w:rPr>
          <w:rFonts w:hint="cs"/>
          <w:spacing w:val="8"/>
          <w:rtl/>
        </w:rPr>
        <w:t xml:space="preserve">وهو مذهب القاضي أبي بكر الباقلاني وجـماعة الـواقفية -كما صرح بذلك صاحب البحر المحيط-. </w:t>
      </w:r>
    </w:p>
    <w:p w:rsidR="00035BE3" w:rsidRDefault="00035BE3" w:rsidP="00C10469">
      <w:pPr>
        <w:pStyle w:val="a6"/>
        <w:ind w:left="422" w:firstLine="0"/>
        <w:rPr>
          <w:b/>
          <w:bCs/>
          <w:rtl/>
        </w:rPr>
      </w:pPr>
      <w:r>
        <w:rPr>
          <w:rFonts w:hint="cs"/>
          <w:b/>
          <w:bCs/>
          <w:rtl/>
        </w:rPr>
        <w:t>وللتوسع في هذه المسألة انظر :</w:t>
      </w:r>
    </w:p>
    <w:p w:rsidR="00035BE3" w:rsidRDefault="00035BE3" w:rsidP="00C10469">
      <w:pPr>
        <w:pStyle w:val="a6"/>
        <w:spacing w:line="228" w:lineRule="auto"/>
        <w:ind w:left="420" w:firstLine="0"/>
        <w:rPr>
          <w:spacing w:val="4"/>
          <w:rtl/>
        </w:rPr>
      </w:pPr>
      <w:r>
        <w:rPr>
          <w:rFonts w:hint="cs"/>
          <w:spacing w:val="4"/>
          <w:rtl/>
        </w:rPr>
        <w:t>الرسالة، ص164، فقرة 454، أصول الشاشي، ص123؛ المعتمد، 1/108؛ الإحكام لابن حزم، 3/328؛ العدة للقاضي أبي يعلى، 1/264؛ إحكام الفصول للبـاجي، ص89؛ الـتبصرة، ص41؛ شرح اللمع، 1/219؛ البرهان، 1/164؛ التلخيص، 1/298؛ أصول البزدوي وشرحه: كشف الأسرار، 1/281؛ أصول السرخسي، 1/20؛ المستصفى، 2/2؛ التمهيد لأبي الـخطاب، 1/186؛ ميزان الأصول، 1/230؛ المحصول، 1/237؛ روضة الناظر، 2/616؛ الإحكام للآمدي، 2/173؛ مختصر ابن الحاجب وشرح العضد، 2/81؛ شرح تنقيح الفصول، ص130؛ المنهاج وشروحه : معراج المنهاج، 1/325؛ والسراج الوهاج، 1/467؛ والإبهاج، 2/48؛ ونهاية السول ومنهاج العقول، 2/48؛ الفائق، 2/64؛ المغني للخبازي، ص34؛ وشرحه للقاءاني، ق1، جـ1، ص65؛ المنار وشرحه : كشف الأسرار، 1/58؛ المسوّدة، ص20؛ التنقيح وشرحيه : التوضيح والتلويح، 1/158؛ جمع الجوامع وشرحيه: تشنيف المسامع، 2/604؛ وشرح المحلى مع حاشية البناني، 1/379؛ التمهيد للإسنوي، ص282؛ البحر المحيط، 2/385؛ القواعد لابن اللحام، ص229، قاعدة 46؛ التحرير وشرحيه : التقرير والتحبير، 1/311؛ وتيسير التحرير، 1/351؛ شرح الكوكب المنير، 3/43؛ مسلّم الثبوت وشرحه : فواتح الرحموت، 1/380؛ حاشية الإزميري على مرآة الأصول، 1/185؛ القواعد المتعلقة بالأمر والنهي، ص210.</w:t>
      </w:r>
    </w:p>
    <w:p w:rsidR="00035BE3" w:rsidRDefault="00035BE3" w:rsidP="00C10469">
      <w:pPr>
        <w:pStyle w:val="a6"/>
        <w:spacing w:line="228" w:lineRule="auto"/>
        <w:ind w:left="420" w:firstLine="0"/>
        <w:rPr>
          <w:rtl/>
        </w:rPr>
      </w:pPr>
      <w:r>
        <w:rPr>
          <w:rFonts w:hint="cs"/>
          <w:rtl/>
        </w:rPr>
        <w:t xml:space="preserve">ومع أن هذه القاعدة أصولية إلا أنها ورردت في بعض </w:t>
      </w:r>
      <w:r>
        <w:rPr>
          <w:rFonts w:hint="cs"/>
          <w:b/>
          <w:bCs/>
          <w:rtl/>
        </w:rPr>
        <w:t>كتب القواعد الفقهية</w:t>
      </w:r>
      <w:r>
        <w:rPr>
          <w:rFonts w:hint="cs"/>
          <w:rtl/>
        </w:rPr>
        <w:t xml:space="preserve">، منها : </w:t>
      </w:r>
    </w:p>
    <w:p w:rsidR="00035BE3" w:rsidRDefault="00035BE3" w:rsidP="00C10469">
      <w:pPr>
        <w:pStyle w:val="a6"/>
        <w:spacing w:line="228" w:lineRule="auto"/>
        <w:ind w:left="420" w:firstLine="0"/>
        <w:rPr>
          <w:spacing w:val="6"/>
          <w:rtl/>
        </w:rPr>
      </w:pPr>
      <w:r>
        <w:rPr>
          <w:rFonts w:hint="cs"/>
          <w:spacing w:val="6"/>
          <w:rtl/>
        </w:rPr>
        <w:t>الأشباه والنظائر لابن السبكي، 2/115؛ مختصر من قواعد العلائي وكلام الإسنوي، 1/321؛ إيضاح المسالك، ص70، قاعدة 16؛ شرح المنهج المنتخب للمنجور، ص149؛ الدليل الماهر الناصح، ص24.</w:t>
      </w:r>
    </w:p>
    <w:p w:rsidR="00035BE3" w:rsidRDefault="00035BE3" w:rsidP="00C10469">
      <w:pPr>
        <w:pStyle w:val="a6"/>
        <w:ind w:left="422" w:firstLine="0"/>
        <w:rPr>
          <w:rtl/>
        </w:rPr>
      </w:pPr>
      <w:r>
        <w:rPr>
          <w:rFonts w:hint="cs"/>
          <w:rtl/>
        </w:rPr>
        <w:t>كما وردت في شرح مجمع البحرين، ق2، ص528، 584.</w:t>
      </w:r>
    </w:p>
  </w:footnote>
  <w:footnote w:id="11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زيادة </w:t>
      </w:r>
      <w:r>
        <w:rPr>
          <w:rFonts w:hint="eastAsia"/>
          <w:rtl/>
        </w:rPr>
        <w:t>«</w:t>
      </w:r>
      <w:r>
        <w:rPr>
          <w:rFonts w:hint="cs"/>
          <w:rtl/>
        </w:rPr>
        <w:t>لا</w:t>
      </w:r>
      <w:r>
        <w:rPr>
          <w:rFonts w:hint="eastAsia"/>
          <w:rtl/>
        </w:rPr>
        <w:t>»</w:t>
      </w:r>
      <w:r>
        <w:rPr>
          <w:rFonts w:hint="cs"/>
          <w:rtl/>
        </w:rPr>
        <w:t>.</w:t>
      </w:r>
    </w:p>
  </w:footnote>
  <w:footnote w:id="1197">
    <w:p w:rsidR="00035BE3" w:rsidRDefault="00035BE3" w:rsidP="00C10469">
      <w:pPr>
        <w:pStyle w:val="a8"/>
        <w:bidi/>
        <w:ind w:left="422" w:right="0"/>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جـ1، ص65 -مع اختلاف يسير-. </w:t>
      </w:r>
      <w:r>
        <w:rPr>
          <w:rFonts w:hint="cs"/>
          <w:rtl/>
        </w:rPr>
        <w:tab/>
      </w:r>
      <w:r>
        <w:rPr>
          <w:rFonts w:hint="cs"/>
          <w:rtl/>
        </w:rPr>
        <w:tab/>
      </w:r>
      <w:r>
        <w:rPr>
          <w:rFonts w:hint="cs"/>
          <w:rtl/>
        </w:rPr>
        <w:tab/>
      </w:r>
      <w:r>
        <w:rPr>
          <w:rFonts w:hint="cs"/>
          <w:rtl/>
        </w:rPr>
        <w:tab/>
      </w:r>
    </w:p>
    <w:p w:rsidR="00035BE3" w:rsidRDefault="00035BE3" w:rsidP="00C10469">
      <w:pPr>
        <w:pStyle w:val="a6"/>
        <w:ind w:left="422" w:firstLine="0"/>
        <w:rPr>
          <w:rtl/>
        </w:rPr>
      </w:pPr>
      <w:r>
        <w:rPr>
          <w:rFonts w:hint="cs"/>
          <w:rtl/>
        </w:rPr>
        <w:t>ومعنى كلامه هنا: أن الأمر المطلق لا يوجب التكرار عند علماء الحنفية، وإذا كان الأمر لا يوجب التكرار، فإن التكرار لا يفهم من الأمر إلا بقرينة، وكما أنه لا يوجب التكرار كذلك لا يحتمله عند الإطلاق، فلو صدر منه أمر مطلق وقال : نويت التكرار لم يقبل منه هذا.</w:t>
      </w:r>
    </w:p>
  </w:footnote>
  <w:footnote w:id="11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(جـ) و(هـ) و(و)، وفي (أ) : </w:t>
      </w:r>
      <w:r>
        <w:rPr>
          <w:rFonts w:hint="eastAsia"/>
          <w:rtl/>
        </w:rPr>
        <w:t>«</w:t>
      </w:r>
      <w:r>
        <w:rPr>
          <w:rFonts w:hint="cs"/>
          <w:rtl/>
        </w:rPr>
        <w:t>بحقيق</w:t>
      </w:r>
      <w:r>
        <w:rPr>
          <w:rFonts w:hint="eastAsia"/>
          <w:rtl/>
        </w:rPr>
        <w:t>»</w:t>
      </w:r>
      <w:r>
        <w:rPr>
          <w:rFonts w:hint="cs"/>
          <w:rtl/>
        </w:rPr>
        <w:t xml:space="preserve">، وفي (ب) : </w:t>
      </w:r>
      <w:r>
        <w:rPr>
          <w:rFonts w:hint="eastAsia"/>
          <w:rtl/>
        </w:rPr>
        <w:t>«</w:t>
      </w:r>
      <w:r>
        <w:rPr>
          <w:rFonts w:hint="cs"/>
          <w:rtl/>
        </w:rPr>
        <w:t>بحقيقة</w:t>
      </w:r>
      <w:r>
        <w:rPr>
          <w:rFonts w:hint="eastAsia"/>
          <w:rtl/>
        </w:rPr>
        <w:t>»</w:t>
      </w:r>
      <w:r>
        <w:rPr>
          <w:rFonts w:hint="cs"/>
          <w:rtl/>
        </w:rPr>
        <w:t xml:space="preserve"> وفي (د) : </w:t>
      </w:r>
      <w:r>
        <w:rPr>
          <w:rFonts w:hint="eastAsia"/>
          <w:rtl/>
        </w:rPr>
        <w:t>«</w:t>
      </w:r>
      <w:r>
        <w:rPr>
          <w:rFonts w:hint="cs"/>
          <w:rtl/>
        </w:rPr>
        <w:t>تحقق</w:t>
      </w:r>
      <w:r>
        <w:rPr>
          <w:rFonts w:hint="eastAsia"/>
          <w:rtl/>
        </w:rPr>
        <w:t>»</w:t>
      </w:r>
      <w:r>
        <w:rPr>
          <w:rFonts w:hint="cs"/>
          <w:rtl/>
        </w:rPr>
        <w:t>. ولا شك أن ما في (أ) لا يستقيم به المعنى بخلاف باقي النسخ، وقد آثرت إثبات ما في (جـ) و(هـ) و(و)؛ لاستقامة المعنى بما فيها، ووفاقًا لمصدر هذه العبارة (وهو المغني).</w:t>
      </w:r>
    </w:p>
  </w:footnote>
  <w:footnote w:id="11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العدّ</w:t>
      </w:r>
      <w:r>
        <w:rPr>
          <w:rFonts w:hint="eastAsia"/>
          <w:rtl/>
        </w:rPr>
        <w:t>»</w:t>
      </w:r>
      <w:r>
        <w:rPr>
          <w:rFonts w:hint="cs"/>
          <w:rtl/>
        </w:rPr>
        <w:t>.</w:t>
      </w:r>
    </w:p>
  </w:footnote>
  <w:footnote w:id="12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w:t>
      </w:r>
      <w:r>
        <w:rPr>
          <w:rFonts w:hint="cs"/>
          <w:rtl/>
          <w:lang w:bidi="ar-AE"/>
        </w:rPr>
        <w:t>ي</w:t>
      </w:r>
      <w:r>
        <w:rPr>
          <w:rFonts w:hint="cs"/>
          <w:rtl/>
        </w:rPr>
        <w:t xml:space="preserve"> في أصول الفقه، ص36؛ وانظر : شرح المغني للقاءاني، ق1، جـ1، ص70؛ حاشية الإزميري على مرآة الأصول، 1/190؛ وانظر الشق الأول من التعليل في شرح اللمع</w:t>
      </w:r>
      <w:r>
        <w:rPr>
          <w:rFonts w:hint="cs"/>
          <w:spacing w:val="-4"/>
          <w:rtl/>
        </w:rPr>
        <w:t>، 1/220؛ البرهان، 1/167؛</w:t>
      </w:r>
      <w:r>
        <w:rPr>
          <w:rFonts w:hint="cs"/>
          <w:rtl/>
        </w:rPr>
        <w:t xml:space="preserve"> ميزان الأصول، 1/236-237؛ والشقّ الثاني في التلويح، 1/160.</w:t>
      </w:r>
    </w:p>
  </w:footnote>
  <w:footnote w:id="12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زيادة من (ب) و(جـ).</w:t>
      </w:r>
    </w:p>
  </w:footnote>
  <w:footnote w:id="12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زيادة : </w:t>
      </w:r>
      <w:r>
        <w:rPr>
          <w:rFonts w:hint="eastAsia"/>
          <w:rtl/>
        </w:rPr>
        <w:t>«</w:t>
      </w:r>
      <w:r>
        <w:rPr>
          <w:rFonts w:hint="cs"/>
          <w:rtl/>
        </w:rPr>
        <w:t>عنه</w:t>
      </w:r>
      <w:r>
        <w:rPr>
          <w:rFonts w:hint="eastAsia"/>
          <w:rtl/>
        </w:rPr>
        <w:t>»</w:t>
      </w:r>
      <w:r>
        <w:rPr>
          <w:rFonts w:hint="cs"/>
          <w:rtl/>
        </w:rPr>
        <w:t xml:space="preserve">. وهي زيادة لا يستقيم بها المعني؛ لأن السياق سيكون : </w:t>
      </w:r>
      <w:r>
        <w:rPr>
          <w:rFonts w:hint="eastAsia"/>
          <w:rtl/>
        </w:rPr>
        <w:t>«</w:t>
      </w:r>
      <w:r>
        <w:rPr>
          <w:rFonts w:hint="cs"/>
          <w:rtl/>
        </w:rPr>
        <w:t xml:space="preserve">... يحتمله ويحمل عليه </w:t>
      </w:r>
      <w:r>
        <w:rPr>
          <w:rFonts w:hint="cs"/>
          <w:b/>
          <w:bCs/>
          <w:rtl/>
        </w:rPr>
        <w:t>عنه</w:t>
      </w:r>
      <w:r>
        <w:rPr>
          <w:rFonts w:hint="cs"/>
          <w:rtl/>
        </w:rPr>
        <w:t xml:space="preserve"> عند النية!!</w:t>
      </w:r>
      <w:r>
        <w:rPr>
          <w:rFonts w:hint="eastAsia"/>
          <w:rtl/>
        </w:rPr>
        <w:t>»</w:t>
      </w:r>
      <w:r>
        <w:rPr>
          <w:rFonts w:hint="cs"/>
          <w:rtl/>
        </w:rPr>
        <w:t>.</w:t>
      </w:r>
    </w:p>
  </w:footnote>
  <w:footnote w:id="12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15/أ من (جـ).</w:t>
      </w:r>
    </w:p>
  </w:footnote>
  <w:footnote w:id="12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تكثر نسبة هذا القول إلى الإمام الشافعي في كتب الحنفية الأصولية -ومن هذه الكتب : أصول البزدوي وشرحه : كشف الأسرار، 1/282، 283؛ أصول السرخسي، 1/20؛ المغني، ص35؛ وشرحه للقاءاني، ق1، جـ1، ص66؛ كشف الأسرار للنسفي، 1/58؛ التوضيح في حلِّ غوامض التنـقـيح، 1/158؛ تيسير التحرير، 1/351-.</w:t>
      </w:r>
    </w:p>
    <w:p w:rsidR="00035BE3" w:rsidRDefault="00035BE3" w:rsidP="00C10469">
      <w:pPr>
        <w:pStyle w:val="a6"/>
        <w:ind w:left="422" w:firstLine="0"/>
        <w:rPr>
          <w:rtl/>
        </w:rPr>
      </w:pPr>
      <w:r>
        <w:rPr>
          <w:rFonts w:hint="cs"/>
          <w:rtl/>
        </w:rPr>
        <w:t>وبتتبُّع كتب الشافعية الأصولية المذكورة في أثناء توثيق القاعدة -في الصفحة السابقة- لم أجد مَنْ نسب هذا القول صراحة إلى الإمام الشافعي إلا التفتازاني في (التلويح إلى كـشف حقائـق الـتـنـقيح) -1/159- ولكن (التلويح)- على القول بأن مؤلفه شافعي -ليس كتابًا مستقلاً؛ بل هو شرح لكتاب حنفي وهو (التنقيح)، فلعله تابع المتن في هذه النسبة.</w:t>
      </w:r>
    </w:p>
    <w:p w:rsidR="00035BE3" w:rsidRDefault="00035BE3" w:rsidP="00C10469">
      <w:pPr>
        <w:pStyle w:val="a6"/>
        <w:ind w:left="422" w:firstLine="0"/>
        <w:rPr>
          <w:spacing w:val="-6"/>
          <w:rtl/>
        </w:rPr>
      </w:pPr>
      <w:r>
        <w:rPr>
          <w:rFonts w:hint="cs"/>
          <w:spacing w:val="-6"/>
          <w:rtl/>
        </w:rPr>
        <w:t xml:space="preserve">ولو سُلم بأنه قد تبنى نسبة هذا القول إلى إمامه فقد خالفه غير واحد من الشافعية فنسبوا إلى الإمام الشافعي </w:t>
      </w:r>
      <w:r w:rsidRPr="007D1846">
        <w:rPr>
          <w:rFonts w:hint="cs"/>
          <w:spacing w:val="-8"/>
          <w:rtl/>
        </w:rPr>
        <w:t xml:space="preserve">أن الأمر: </w:t>
      </w:r>
      <w:r w:rsidRPr="007D1846">
        <w:rPr>
          <w:rFonts w:hint="eastAsia"/>
          <w:spacing w:val="-8"/>
          <w:rtl/>
        </w:rPr>
        <w:t>«</w:t>
      </w:r>
      <w:r w:rsidRPr="007D1846">
        <w:rPr>
          <w:rFonts w:hint="cs"/>
          <w:spacing w:val="-8"/>
          <w:rtl/>
        </w:rPr>
        <w:t>نصٌّ في المرة الواحدة فقط، ولا يحتمل التكرار، وإنما يحمل عليه بدليل</w:t>
      </w:r>
      <w:r w:rsidRPr="007D1846">
        <w:rPr>
          <w:rFonts w:hint="eastAsia"/>
          <w:spacing w:val="-8"/>
          <w:rtl/>
        </w:rPr>
        <w:t>»</w:t>
      </w:r>
      <w:r w:rsidRPr="007D1846">
        <w:rPr>
          <w:rFonts w:hint="cs"/>
          <w:spacing w:val="-8"/>
          <w:rtl/>
        </w:rPr>
        <w:t>، قاله صاحب (البحر</w:t>
      </w:r>
      <w:r>
        <w:rPr>
          <w:rFonts w:hint="cs"/>
          <w:spacing w:val="-6"/>
          <w:rtl/>
        </w:rPr>
        <w:t xml:space="preserve"> المحيط) -2/386- ثم بين بعض من نسبه إلى الشافعي فقال: </w:t>
      </w:r>
      <w:r>
        <w:rPr>
          <w:rFonts w:hint="eastAsia"/>
          <w:spacing w:val="-6"/>
          <w:rtl/>
        </w:rPr>
        <w:t>«</w:t>
      </w:r>
      <w:r>
        <w:rPr>
          <w:rFonts w:hint="cs"/>
          <w:spacing w:val="-6"/>
          <w:rtl/>
        </w:rPr>
        <w:t>قال أبو الحسين بن القطان: وهو مذهب الشافعي وأصحابه، وكذا قال الغزالي في (المنخول)، وقال الشيخ أبو حامد الإسفرايـيـني في كتابه في أصول الفقه: إنه هو الذي يدل عليه كلام الشافعي في الفروع</w:t>
      </w:r>
      <w:r>
        <w:rPr>
          <w:rFonts w:hint="eastAsia"/>
          <w:spacing w:val="-6"/>
          <w:rtl/>
        </w:rPr>
        <w:t>»</w:t>
      </w:r>
      <w:r>
        <w:rPr>
          <w:rFonts w:hint="cs"/>
          <w:spacing w:val="-6"/>
          <w:rtl/>
        </w:rPr>
        <w:t>، ثم عضد ذلك بذكر قولين للشافعي في الفروع يمكن أن يُخرَّج عليهما القول المذكور، -الثاني منهما مذكور في الرسالة، ص164-.</w:t>
      </w:r>
    </w:p>
    <w:p w:rsidR="00035BE3" w:rsidRDefault="00035BE3" w:rsidP="00C10469">
      <w:pPr>
        <w:pStyle w:val="a6"/>
        <w:ind w:left="422" w:firstLine="0"/>
        <w:rPr>
          <w:rtl/>
        </w:rPr>
      </w:pPr>
      <w:r>
        <w:rPr>
          <w:rFonts w:hint="cs"/>
          <w:rtl/>
        </w:rPr>
        <w:t xml:space="preserve">وأقرب ما يمكن أن يقال -والله أعلم- : إن القول بأن الأمر المطلق يحتمل التكرار هو اختيار بعض الشافعية، منهم الآمدي حيث قال في الإحكام - 2/174-: </w:t>
      </w:r>
      <w:r>
        <w:rPr>
          <w:rFonts w:hint="eastAsia"/>
          <w:rtl/>
        </w:rPr>
        <w:t>«</w:t>
      </w:r>
      <w:r>
        <w:rPr>
          <w:rFonts w:hint="cs"/>
          <w:rtl/>
        </w:rPr>
        <w:t>والمختار أن المرّة الواحدة لابّد منها في الامتثال، وهو معلوم قطعًا، والتكرار محتمل؛ فإن اقترن به قرينة أشعرت بإرادة المتكلم التكرار : حُمل عليه، وإلا كان الاقتصار على المرة الواحدة كافيًا</w:t>
      </w:r>
      <w:r>
        <w:rPr>
          <w:rFonts w:hint="eastAsia"/>
          <w:rtl/>
        </w:rPr>
        <w:t>»</w:t>
      </w:r>
      <w:r>
        <w:rPr>
          <w:rFonts w:hint="cs"/>
          <w:rtl/>
        </w:rPr>
        <w:t>.</w:t>
      </w:r>
    </w:p>
  </w:footnote>
  <w:footnote w:id="12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نفسك</w:t>
      </w:r>
      <w:r>
        <w:rPr>
          <w:rFonts w:hint="eastAsia"/>
          <w:rtl/>
        </w:rPr>
        <w:t>»</w:t>
      </w:r>
      <w:r>
        <w:rPr>
          <w:rFonts w:hint="cs"/>
          <w:rtl/>
        </w:rPr>
        <w:t xml:space="preserve"> : ساقطة من (د).</w:t>
      </w:r>
    </w:p>
  </w:footnote>
  <w:footnote w:id="12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يصح</w:t>
      </w:r>
      <w:r>
        <w:rPr>
          <w:rFonts w:hint="eastAsia"/>
          <w:rtl/>
        </w:rPr>
        <w:t>»</w:t>
      </w:r>
      <w:r>
        <w:rPr>
          <w:rFonts w:hint="cs"/>
          <w:rtl/>
        </w:rPr>
        <w:t xml:space="preserve">، وفي (د) : </w:t>
      </w:r>
      <w:r>
        <w:rPr>
          <w:rFonts w:hint="eastAsia"/>
          <w:rtl/>
        </w:rPr>
        <w:t>«</w:t>
      </w:r>
      <w:r>
        <w:rPr>
          <w:rFonts w:hint="cs"/>
          <w:rtl/>
        </w:rPr>
        <w:t>يصّح</w:t>
      </w:r>
      <w:r>
        <w:rPr>
          <w:rFonts w:hint="eastAsia"/>
          <w:rtl/>
        </w:rPr>
        <w:t>»</w:t>
      </w:r>
      <w:r>
        <w:rPr>
          <w:rFonts w:hint="cs"/>
          <w:rtl/>
        </w:rPr>
        <w:t xml:space="preserve"> (بالتاء والياء معًا). والأفصح ما تمَّ إثباته من (ب).</w:t>
      </w:r>
    </w:p>
  </w:footnote>
  <w:footnote w:id="12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الاثنين</w:t>
      </w:r>
      <w:r>
        <w:rPr>
          <w:rFonts w:hint="eastAsia"/>
          <w:rtl/>
        </w:rPr>
        <w:t>»</w:t>
      </w:r>
      <w:r>
        <w:rPr>
          <w:rFonts w:hint="cs"/>
          <w:rtl/>
        </w:rPr>
        <w:t>.</w:t>
      </w:r>
    </w:p>
  </w:footnote>
  <w:footnote w:id="12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المسألة الفقهية وردت في تنوير الأبصار وشرحه : الدر المختار، ورد المحتار عليه، 4/575، كما خرّجها كثير من الحنفية على قولهم بأن الأمر المطلق لا يقتضي التكرار ولا يحتمله، - انظر : أصول البزدوي وشرحه : كشف الأسرار، 1/284؛ أصول السرخسي، 1/23؛ ميزان الأصول، 1/236؛ المغني، ص37؛ التوضيح، 1/159؛ كشف الأسرار للنسفي، 1/59-.</w:t>
      </w:r>
    </w:p>
    <w:p w:rsidR="00035BE3" w:rsidRDefault="00035BE3" w:rsidP="00C10469">
      <w:pPr>
        <w:pStyle w:val="a6"/>
        <w:ind w:left="422" w:firstLine="0"/>
        <w:rPr>
          <w:rtl/>
        </w:rPr>
      </w:pPr>
      <w:r>
        <w:rPr>
          <w:rFonts w:hint="cs"/>
          <w:rtl/>
        </w:rPr>
        <w:t xml:space="preserve">إلا أن هذا التخريج لم يرتضه ابن الهمام ومن تابعه؛ بل رأوا أن هذه المسألة الفرعية مخرّجه على مسألة أصولية مستقلة أعّم من السابقة، وهي أنّ </w:t>
      </w:r>
      <w:r>
        <w:rPr>
          <w:rFonts w:hint="eastAsia"/>
          <w:rtl/>
        </w:rPr>
        <w:t>«</w:t>
      </w:r>
      <w:r>
        <w:rPr>
          <w:rFonts w:hint="cs"/>
          <w:rtl/>
        </w:rPr>
        <w:t>صيغة الأمر لا تحتمل العموم والتعدّد المحض عند الحنفية، خلافًا للشافعي</w:t>
      </w:r>
      <w:r>
        <w:rPr>
          <w:rFonts w:hint="eastAsia"/>
          <w:rtl/>
        </w:rPr>
        <w:t>»</w:t>
      </w:r>
      <w:r>
        <w:rPr>
          <w:rFonts w:hint="cs"/>
          <w:rtl/>
        </w:rPr>
        <w:t>- هذه صورتها عند صاحب (مسلم الثبوت) -1/384-.</w:t>
      </w:r>
    </w:p>
    <w:p w:rsidR="00035BE3" w:rsidRDefault="00035BE3" w:rsidP="00C10469">
      <w:pPr>
        <w:pStyle w:val="a6"/>
        <w:ind w:left="422" w:firstLine="0"/>
        <w:rPr>
          <w:rtl/>
        </w:rPr>
      </w:pPr>
      <w:r>
        <w:rPr>
          <w:rFonts w:hint="cs"/>
          <w:rtl/>
        </w:rPr>
        <w:t xml:space="preserve">وقد علّق على ذلك صاحب (فواتح الرحموت) فقال : </w:t>
      </w:r>
      <w:r>
        <w:rPr>
          <w:rFonts w:hint="eastAsia"/>
          <w:rtl/>
        </w:rPr>
        <w:t>«</w:t>
      </w:r>
      <w:r>
        <w:rPr>
          <w:rFonts w:hint="cs"/>
          <w:rtl/>
        </w:rPr>
        <w:t>لم يُفردْ أكثر مشايخنا هذه المسألة. وفرّعوا على مسألة (التكرار) مسألة (طَلقِي).</w:t>
      </w:r>
    </w:p>
    <w:p w:rsidR="00035BE3" w:rsidRDefault="00035BE3" w:rsidP="00C10469">
      <w:pPr>
        <w:pStyle w:val="a6"/>
        <w:ind w:left="422" w:firstLine="0"/>
        <w:rPr>
          <w:rtl/>
        </w:rPr>
      </w:pPr>
      <w:r>
        <w:rPr>
          <w:rFonts w:hint="cs"/>
          <w:rtl/>
        </w:rPr>
        <w:t>وتعقّب عليه [أي : على هذا التفريع] في (التحرير) بأن الطلقات الكثيرة قد تكون بتطليق واحد، فليس هناك تكرار، فلا يصح هذا التفريع؛ بل هي مبتدأة...</w:t>
      </w:r>
      <w:r>
        <w:rPr>
          <w:rFonts w:hint="eastAsia"/>
          <w:rtl/>
        </w:rPr>
        <w:t>»</w:t>
      </w:r>
      <w:r>
        <w:rPr>
          <w:rFonts w:hint="cs"/>
          <w:rtl/>
        </w:rPr>
        <w:t>.</w:t>
      </w:r>
    </w:p>
    <w:p w:rsidR="00035BE3" w:rsidRDefault="00035BE3" w:rsidP="00C10469">
      <w:pPr>
        <w:pStyle w:val="a6"/>
        <w:ind w:left="422" w:firstLine="0"/>
        <w:rPr>
          <w:rtl/>
        </w:rPr>
      </w:pPr>
      <w:r>
        <w:rPr>
          <w:rFonts w:hint="cs"/>
          <w:rtl/>
        </w:rPr>
        <w:t>وانظر : التحرير وشرحيه : التقرير والتحبير، 1/314-315؛ وتيسير التحرير، 1/355.</w:t>
      </w:r>
    </w:p>
  </w:footnote>
  <w:footnote w:id="12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المسألة الفرعية المنسوبة إلى الإمام الشافعي - كما هو ظاهر - مخرَّجة على ما نُسب إليه سابقًا بأن الأمر يحتمل التكرار، وقد سبق بيان رأي الشافعية في حقيقة تلك النسبة.</w:t>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وكما أن تلك المسألة الأصولية منسوبة إلى الإمام الشافعي في كثير من كتب الحنفية الأصولية دون الشافعية، كذلك هذه المسألة الفرعية المخرجة عليها. ومن كتب الحنفية : أصول البزدوي وشرحه : كشف الأسرار، 1/284؛ المغني للخبَّازي، ص37؛ التوضيح، 1/158-159؛ كشف الأسرار للنسفي، 1/58؛ التحرير وشرحاه: التقرير والتحبير، 1/315؛ وتيسير التحرير، 1/355.</w:t>
      </w:r>
    </w:p>
    <w:p w:rsidR="00035BE3" w:rsidRDefault="00035BE3" w:rsidP="00C10469">
      <w:pPr>
        <w:pStyle w:val="a6"/>
        <w:ind w:left="422" w:firstLine="0"/>
        <w:rPr>
          <w:rtl/>
        </w:rPr>
      </w:pPr>
      <w:r>
        <w:rPr>
          <w:rFonts w:hint="cs"/>
          <w:rtl/>
        </w:rPr>
        <w:t xml:space="preserve">وبالنظر إلى ما أمكن الوقوف عليه من كتب الشافعية الأصولية والفقهية لم أجد مَنْ نسب هذا القول إلى الإمام الشافعي صراحةً، لكن ورد مضمونُهُ في أحد الكتب المعتمدة في المذهب الشافعي وهو (نهاية المحتاج إلى شرح المنهاج) -6/440-441-  حيث جاء فيه : </w:t>
      </w:r>
      <w:r>
        <w:rPr>
          <w:rFonts w:hint="eastAsia"/>
          <w:rtl/>
        </w:rPr>
        <w:t>«</w:t>
      </w:r>
      <w:r>
        <w:rPr>
          <w:rFonts w:hint="cs"/>
          <w:rtl/>
        </w:rPr>
        <w:t xml:space="preserve">ولو قال طلِّقي نفسك، ونوى ثلاثًا. فقالت : طلقتُ، ونوتهن ... : فثلاث؛ </w:t>
      </w:r>
      <w:r>
        <w:rPr>
          <w:rFonts w:hint="cs"/>
          <w:b/>
          <w:bCs/>
          <w:rtl/>
        </w:rPr>
        <w:t>لأن اللفظ يحتمل العدد</w:t>
      </w:r>
      <w:r>
        <w:rPr>
          <w:rFonts w:hint="cs"/>
          <w:rtl/>
        </w:rPr>
        <w:t>، وقد نوياه، وإلاّ (بأن لم ينو شيئًا أو نواه أحدهما) فواحدة تقع دون ما زاد عليها في الأصح؛ لأن صريح الطلاق كناية في العدد، فاحتاج لنيته منهما. نعم فيما إذا لم ينو واحد منهما لا خلاف، وكذا إن نوت هي فقط. ولو نوت فيما إذا نوى ثلاثًا واحدة أو ثنـتين : وقع ما نوته اتفاقًا؛ لأنه بعض المأذون</w:t>
      </w:r>
      <w:r>
        <w:rPr>
          <w:rFonts w:hint="eastAsia"/>
          <w:rtl/>
        </w:rPr>
        <w:t>»</w:t>
      </w:r>
      <w:r>
        <w:rPr>
          <w:rFonts w:hint="cs"/>
          <w:rtl/>
        </w:rPr>
        <w:t>.</w:t>
      </w:r>
    </w:p>
  </w:footnote>
  <w:footnote w:id="12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يصح</w:t>
      </w:r>
      <w:r>
        <w:rPr>
          <w:rFonts w:hint="eastAsia"/>
          <w:rtl/>
        </w:rPr>
        <w:t>»</w:t>
      </w:r>
      <w:r>
        <w:rPr>
          <w:rFonts w:hint="cs"/>
          <w:rtl/>
        </w:rPr>
        <w:t>. والصحيح ما تمَّ إثباته من (ب).</w:t>
      </w:r>
    </w:p>
  </w:footnote>
  <w:footnote w:id="12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فيما</w:t>
      </w:r>
      <w:r>
        <w:rPr>
          <w:rFonts w:hint="eastAsia"/>
          <w:rtl/>
        </w:rPr>
        <w:t>»</w:t>
      </w:r>
      <w:r>
        <w:rPr>
          <w:rFonts w:hint="cs"/>
          <w:rtl/>
        </w:rPr>
        <w:t>. والصحيح ما تمّ إثباته من (ب) و(د)؛ لأن زيادة الياء لا يستقيم بها المعنى.</w:t>
      </w:r>
    </w:p>
  </w:footnote>
  <w:footnote w:id="12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قولهم</w:t>
      </w:r>
      <w:r>
        <w:rPr>
          <w:rFonts w:hint="eastAsia"/>
          <w:rtl/>
        </w:rPr>
        <w:t>»</w:t>
      </w:r>
      <w:r>
        <w:rPr>
          <w:rFonts w:hint="cs"/>
          <w:rtl/>
        </w:rPr>
        <w:t>.</w:t>
      </w:r>
    </w:p>
  </w:footnote>
  <w:footnote w:id="12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العبارة بداية جواب لاعتراضٍ تضمَّنـته، حاصله: إذا كنّا نرى أن الزوج إذا قال لزوجته: طلقِي نفسكِ. ونوى ثلاثًا تصح هذه النية، فما حقيقة قولكم في القاعدة بأن الأمر المطلق لا يحتمل العدد؟.</w:t>
      </w:r>
    </w:p>
    <w:p w:rsidR="00035BE3" w:rsidRDefault="00035BE3" w:rsidP="00C10469">
      <w:pPr>
        <w:pStyle w:val="a6"/>
        <w:ind w:left="422" w:firstLine="0"/>
        <w:rPr>
          <w:spacing w:val="4"/>
          <w:rtl/>
        </w:rPr>
      </w:pPr>
      <w:r>
        <w:rPr>
          <w:rFonts w:hint="cs"/>
          <w:spacing w:val="4"/>
          <w:rtl/>
        </w:rPr>
        <w:t xml:space="preserve">وقد عبر القاءاني عن هذا الاعتراض بعبارة مختصرة، حيث قال في (شرح المغني) </w:t>
      </w:r>
      <w:r>
        <w:rPr>
          <w:spacing w:val="4"/>
          <w:rtl/>
        </w:rPr>
        <w:t>–</w:t>
      </w:r>
      <w:r>
        <w:rPr>
          <w:rFonts w:hint="cs"/>
          <w:spacing w:val="4"/>
          <w:rtl/>
        </w:rPr>
        <w:t xml:space="preserve">ق1، جـ1، ص72- : </w:t>
      </w:r>
      <w:r>
        <w:rPr>
          <w:rFonts w:hint="eastAsia"/>
          <w:spacing w:val="4"/>
          <w:rtl/>
        </w:rPr>
        <w:t>«</w:t>
      </w:r>
      <w:r>
        <w:rPr>
          <w:rFonts w:hint="cs"/>
          <w:spacing w:val="4"/>
          <w:rtl/>
        </w:rPr>
        <w:t>أنه لو لم يكن محتملاً التكرار لما صحّ نية الثلاث، وقد صحّ ذلك بالاتفاق</w:t>
      </w:r>
      <w:r>
        <w:rPr>
          <w:rFonts w:hint="eastAsia"/>
          <w:spacing w:val="4"/>
          <w:rtl/>
        </w:rPr>
        <w:t>»</w:t>
      </w:r>
      <w:r>
        <w:rPr>
          <w:rFonts w:hint="cs"/>
          <w:spacing w:val="4"/>
          <w:rtl/>
        </w:rPr>
        <w:t>.</w:t>
      </w:r>
    </w:p>
  </w:footnote>
  <w:footnote w:id="12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المفرد</w:t>
      </w:r>
      <w:r>
        <w:rPr>
          <w:rFonts w:hint="eastAsia"/>
          <w:rtl/>
        </w:rPr>
        <w:t>»</w:t>
      </w:r>
      <w:r>
        <w:rPr>
          <w:rFonts w:hint="cs"/>
          <w:rtl/>
        </w:rPr>
        <w:t>.</w:t>
      </w:r>
    </w:p>
  </w:footnote>
  <w:footnote w:id="1215">
    <w:p w:rsidR="00035BE3" w:rsidRPr="00D834E8"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sidRPr="00D834E8">
        <w:rPr>
          <w:rFonts w:hint="cs"/>
          <w:spacing w:val="-2"/>
          <w:rtl/>
        </w:rPr>
        <w:t xml:space="preserve">في (أ) و(جـ): </w:t>
      </w:r>
      <w:r w:rsidRPr="00D834E8">
        <w:rPr>
          <w:rFonts w:hint="eastAsia"/>
          <w:spacing w:val="-2"/>
          <w:rtl/>
        </w:rPr>
        <w:t>«</w:t>
      </w:r>
      <w:r w:rsidRPr="00D834E8">
        <w:rPr>
          <w:rFonts w:hint="cs"/>
          <w:spacing w:val="-2"/>
          <w:rtl/>
        </w:rPr>
        <w:t>تتنوع</w:t>
      </w:r>
      <w:r w:rsidRPr="00D834E8">
        <w:rPr>
          <w:rFonts w:hint="eastAsia"/>
          <w:spacing w:val="-2"/>
          <w:rtl/>
        </w:rPr>
        <w:t>»</w:t>
      </w:r>
      <w:r w:rsidRPr="00D834E8">
        <w:rPr>
          <w:rFonts w:hint="cs"/>
          <w:spacing w:val="-2"/>
          <w:rtl/>
        </w:rPr>
        <w:t>. والصحيح ما تم إثباته من (ب) و(د)، وهو الموافق لكتاب (المغني) للخبّازي.</w:t>
      </w:r>
    </w:p>
  </w:footnote>
  <w:footnote w:id="12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للخبّازي، ص36-37؛ وانظر: شرح المغني للقاءاني، ق1، جـ1، ص72؛ التعريفات، ص287، فقرة 1435.</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8"/>
          <w:rtl/>
        </w:rPr>
      </w:pPr>
      <w:r>
        <w:rPr>
          <w:rFonts w:hint="cs"/>
          <w:spacing w:val="8"/>
          <w:rtl/>
        </w:rPr>
        <w:t xml:space="preserve">والأجناس جمع جنس، </w:t>
      </w:r>
      <w:r>
        <w:rPr>
          <w:rFonts w:hint="cs"/>
          <w:b/>
          <w:bCs/>
          <w:spacing w:val="8"/>
          <w:rtl/>
        </w:rPr>
        <w:t>والجنس عند أهل اللغة</w:t>
      </w:r>
      <w:r>
        <w:rPr>
          <w:rFonts w:hint="cs"/>
          <w:spacing w:val="8"/>
          <w:rtl/>
        </w:rPr>
        <w:t xml:space="preserve"> : </w:t>
      </w:r>
      <w:r>
        <w:rPr>
          <w:rFonts w:hint="eastAsia"/>
          <w:spacing w:val="8"/>
          <w:rtl/>
        </w:rPr>
        <w:t>«</w:t>
      </w:r>
      <w:r>
        <w:rPr>
          <w:rFonts w:hint="cs"/>
          <w:spacing w:val="8"/>
          <w:rtl/>
        </w:rPr>
        <w:t>أعمُّ من النوع، وهو كل ضرب من الشيء؛ فالإبل جنس من البـهـائـم و[الجـمـع] : أجنـاس وجنوس</w:t>
      </w:r>
      <w:r>
        <w:rPr>
          <w:rFonts w:hint="eastAsia"/>
          <w:spacing w:val="8"/>
          <w:rtl/>
        </w:rPr>
        <w:t>»</w:t>
      </w:r>
      <w:r>
        <w:rPr>
          <w:rFonts w:hint="cs"/>
          <w:spacing w:val="8"/>
          <w:rtl/>
        </w:rPr>
        <w:t xml:space="preserve"> -قاله صاحب (القاموس المحيط)-.</w:t>
      </w:r>
    </w:p>
    <w:p w:rsidR="00035BE3" w:rsidRDefault="00035BE3" w:rsidP="00C10469">
      <w:pPr>
        <w:pStyle w:val="a6"/>
        <w:ind w:left="422" w:firstLine="0"/>
        <w:rPr>
          <w:rtl/>
        </w:rPr>
      </w:pPr>
      <w:r>
        <w:rPr>
          <w:rFonts w:hint="cs"/>
          <w:b/>
          <w:bCs/>
          <w:rtl/>
        </w:rPr>
        <w:t>وفي اصطلاح أهل المنطق</w:t>
      </w:r>
      <w:r>
        <w:rPr>
          <w:rFonts w:hint="cs"/>
          <w:rtl/>
        </w:rPr>
        <w:t xml:space="preserve"> : هو : </w:t>
      </w:r>
      <w:r>
        <w:rPr>
          <w:rFonts w:hint="eastAsia"/>
          <w:rtl/>
        </w:rPr>
        <w:t>«</w:t>
      </w:r>
      <w:r>
        <w:rPr>
          <w:rFonts w:hint="cs"/>
          <w:rtl/>
        </w:rPr>
        <w:t>كلِّي مقول على كثيرين مختلفين بالحقائق في جواب ما هو</w:t>
      </w:r>
      <w:r>
        <w:rPr>
          <w:rFonts w:hint="eastAsia"/>
          <w:rtl/>
        </w:rPr>
        <w:t>»</w:t>
      </w:r>
      <w:r>
        <w:rPr>
          <w:rFonts w:hint="cs"/>
          <w:rtl/>
        </w:rPr>
        <w:t>- قاله صاحب الرسالة الشمسية-.</w:t>
      </w:r>
    </w:p>
    <w:p w:rsidR="00035BE3" w:rsidRDefault="00035BE3" w:rsidP="00C10469">
      <w:pPr>
        <w:pStyle w:val="a6"/>
        <w:ind w:left="422" w:firstLine="0"/>
        <w:rPr>
          <w:rtl/>
        </w:rPr>
      </w:pPr>
      <w:r>
        <w:rPr>
          <w:rFonts w:hint="cs"/>
          <w:rtl/>
        </w:rPr>
        <w:t xml:space="preserve">المعنى اللغوي منقول من القاموس المحيط، مادة </w:t>
      </w:r>
      <w:r>
        <w:rPr>
          <w:rFonts w:hint="eastAsia"/>
          <w:rtl/>
        </w:rPr>
        <w:t>«</w:t>
      </w:r>
      <w:r>
        <w:rPr>
          <w:rFonts w:hint="cs"/>
          <w:rtl/>
        </w:rPr>
        <w:t>جنس</w:t>
      </w:r>
      <w:r>
        <w:rPr>
          <w:rFonts w:hint="eastAsia"/>
          <w:rtl/>
        </w:rPr>
        <w:t>»</w:t>
      </w:r>
      <w:r>
        <w:rPr>
          <w:rFonts w:hint="cs"/>
          <w:rtl/>
        </w:rPr>
        <w:t xml:space="preserve">، ص691؛ وانظر المقاييس في اللغة، مادة </w:t>
      </w:r>
      <w:r>
        <w:rPr>
          <w:rFonts w:hint="eastAsia"/>
          <w:rtl/>
        </w:rPr>
        <w:t>«</w:t>
      </w:r>
      <w:r>
        <w:rPr>
          <w:rFonts w:hint="cs"/>
          <w:rtl/>
        </w:rPr>
        <w:t>جنس</w:t>
      </w:r>
      <w:r>
        <w:rPr>
          <w:rFonts w:hint="eastAsia"/>
          <w:rtl/>
        </w:rPr>
        <w:t>»</w:t>
      </w:r>
      <w:r>
        <w:rPr>
          <w:rFonts w:hint="cs"/>
          <w:rtl/>
        </w:rPr>
        <w:t xml:space="preserve">، ص227؛ المعجم الوسيط، مادة </w:t>
      </w:r>
      <w:r>
        <w:rPr>
          <w:rFonts w:hint="eastAsia"/>
          <w:rtl/>
        </w:rPr>
        <w:t>«</w:t>
      </w:r>
      <w:r>
        <w:rPr>
          <w:rFonts w:hint="cs"/>
          <w:rtl/>
        </w:rPr>
        <w:t>جنس</w:t>
      </w:r>
      <w:r>
        <w:rPr>
          <w:rFonts w:hint="eastAsia"/>
          <w:rtl/>
        </w:rPr>
        <w:t>»</w:t>
      </w:r>
      <w:r>
        <w:rPr>
          <w:rFonts w:hint="cs"/>
          <w:rtl/>
        </w:rPr>
        <w:t>، 1/140.</w:t>
      </w:r>
    </w:p>
    <w:p w:rsidR="00035BE3" w:rsidRDefault="00035BE3" w:rsidP="00C10469">
      <w:pPr>
        <w:pStyle w:val="a6"/>
        <w:ind w:left="422" w:firstLine="0"/>
        <w:rPr>
          <w:spacing w:val="8"/>
          <w:rtl/>
        </w:rPr>
      </w:pPr>
      <w:r>
        <w:rPr>
          <w:rFonts w:hint="cs"/>
          <w:spacing w:val="8"/>
          <w:rtl/>
        </w:rPr>
        <w:t>والمعنى الاصطلاحي منقول من الرسالة الشمسية المطبوعة مع شرحها : تسهيل القطـبي، ص53؛ وانظر : التعريفات، ص107، فقرة 514؛ شرح الأخضري على سلمه، ص27؛ آداب البحث والمناظرة للشيخ الأمين الشنقيطي، ص33؛ ضوابط المعرفة، ص39.</w:t>
      </w:r>
    </w:p>
  </w:footnote>
  <w:footnote w:id="12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يحتمل</w:t>
      </w:r>
      <w:r>
        <w:rPr>
          <w:rFonts w:hint="eastAsia"/>
          <w:rtl/>
        </w:rPr>
        <w:t>»</w:t>
      </w:r>
      <w:r>
        <w:rPr>
          <w:rFonts w:hint="cs"/>
          <w:rtl/>
        </w:rPr>
        <w:t>.</w:t>
      </w:r>
    </w:p>
  </w:footnote>
  <w:footnote w:id="12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فرد</w:t>
      </w:r>
      <w:r>
        <w:rPr>
          <w:rFonts w:hint="eastAsia"/>
          <w:rtl/>
        </w:rPr>
        <w:t>»</w:t>
      </w:r>
      <w:r>
        <w:rPr>
          <w:rFonts w:hint="cs"/>
          <w:rtl/>
        </w:rPr>
        <w:t>. والمثبت من (ب) و(د) هو الصحيح.</w:t>
      </w:r>
    </w:p>
  </w:footnote>
  <w:footnote w:id="12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اثنتان</w:t>
      </w:r>
      <w:r>
        <w:rPr>
          <w:rFonts w:hint="eastAsia"/>
          <w:rtl/>
        </w:rPr>
        <w:t>»</w:t>
      </w:r>
      <w:r>
        <w:rPr>
          <w:rFonts w:hint="cs"/>
          <w:rtl/>
        </w:rPr>
        <w:t>.</w:t>
      </w:r>
    </w:p>
  </w:footnote>
  <w:footnote w:id="12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تعتبر</w:t>
      </w:r>
      <w:r>
        <w:rPr>
          <w:rFonts w:hint="eastAsia"/>
          <w:rtl/>
        </w:rPr>
        <w:t>»</w:t>
      </w:r>
      <w:r>
        <w:rPr>
          <w:rFonts w:hint="cs"/>
          <w:rtl/>
        </w:rPr>
        <w:t>.</w:t>
      </w:r>
    </w:p>
  </w:footnote>
  <w:footnote w:id="12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(جـ)، وفي (ب) : </w:t>
      </w:r>
      <w:r>
        <w:rPr>
          <w:rFonts w:hint="eastAsia"/>
          <w:rtl/>
        </w:rPr>
        <w:t>«</w:t>
      </w:r>
      <w:r>
        <w:rPr>
          <w:rFonts w:hint="cs"/>
          <w:rtl/>
        </w:rPr>
        <w:t>نيّته</w:t>
      </w:r>
      <w:r>
        <w:rPr>
          <w:rFonts w:hint="eastAsia"/>
          <w:rtl/>
        </w:rPr>
        <w:t>»</w:t>
      </w:r>
      <w:r>
        <w:rPr>
          <w:rFonts w:hint="cs"/>
          <w:rtl/>
        </w:rPr>
        <w:t xml:space="preserve">، وفي (أ) و(د) : </w:t>
      </w:r>
      <w:r>
        <w:rPr>
          <w:rFonts w:hint="eastAsia"/>
          <w:rtl/>
        </w:rPr>
        <w:t>«</w:t>
      </w:r>
      <w:r>
        <w:rPr>
          <w:rFonts w:hint="cs"/>
          <w:rtl/>
        </w:rPr>
        <w:t>بنية</w:t>
      </w:r>
      <w:r>
        <w:rPr>
          <w:rFonts w:hint="eastAsia"/>
          <w:rtl/>
        </w:rPr>
        <w:t>»</w:t>
      </w:r>
      <w:r>
        <w:rPr>
          <w:rFonts w:hint="cs"/>
          <w:rtl/>
        </w:rPr>
        <w:t>. وما في (أ) و(د) لا يستقيم به المعنى.</w:t>
      </w:r>
    </w:p>
  </w:footnote>
  <w:footnote w:id="12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الجواب في : المغني للخبَّازي، ص36-37؛ شرحه للقاءاني، ق1، جـ1، ص72-74؛ كشف الأسرار للنسفي، 1/60؛ حاشية الإزميري على مرآة الأصول، 1/190.</w:t>
      </w:r>
    </w:p>
    <w:p w:rsidR="00035BE3" w:rsidRDefault="00035BE3" w:rsidP="00C10469">
      <w:pPr>
        <w:pStyle w:val="a6"/>
        <w:ind w:left="422" w:firstLine="0"/>
        <w:rPr>
          <w:rtl/>
        </w:rPr>
      </w:pPr>
      <w:r>
        <w:rPr>
          <w:rFonts w:hint="cs"/>
          <w:rtl/>
        </w:rPr>
        <w:t xml:space="preserve">وقوله: </w:t>
      </w:r>
      <w:r>
        <w:rPr>
          <w:rFonts w:hint="eastAsia"/>
          <w:rtl/>
        </w:rPr>
        <w:t>«</w:t>
      </w:r>
      <w:r>
        <w:rPr>
          <w:rFonts w:hint="cs"/>
          <w:rtl/>
        </w:rPr>
        <w:t>وأما الثنتان ... الخ</w:t>
      </w:r>
      <w:r>
        <w:rPr>
          <w:rFonts w:hint="eastAsia"/>
          <w:rtl/>
        </w:rPr>
        <w:t>»</w:t>
      </w:r>
      <w:r>
        <w:rPr>
          <w:rFonts w:hint="cs"/>
          <w:rtl/>
        </w:rPr>
        <w:t xml:space="preserve"> معناه : بما أن العدد المحض لا يتناوله الاسم المفرد، فإنه لو قال: طلِّقِي نفسك، ونوى طلقتين: لا يعتد بنيته هذه؛ لأن الثنـتين عددٌ محض، فلا يتناوله المفرد (وهو: طلِّقي).</w:t>
      </w:r>
    </w:p>
  </w:footnote>
  <w:footnote w:id="12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13/ب من (ب).</w:t>
      </w:r>
    </w:p>
  </w:footnote>
  <w:footnote w:id="1224">
    <w:p w:rsidR="00035BE3" w:rsidRPr="00181D85"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sidRPr="00181D85">
        <w:rPr>
          <w:rFonts w:hint="cs"/>
          <w:spacing w:val="-2"/>
          <w:rtl/>
        </w:rPr>
        <w:t>انظر: المغني للخبّازي، ص37؛ شرحه للقاءاني، ق1، جـ1، ص75؛ كشف الأسرار للنسفي، 1/59.</w:t>
      </w:r>
    </w:p>
  </w:footnote>
  <w:footnote w:id="1225">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وكذا سائر الأجناس في كون كلٍّ منها </w:t>
      </w:r>
      <w:r>
        <w:rPr>
          <w:rFonts w:hint="eastAsia"/>
          <w:rtl/>
        </w:rPr>
        <w:t>«</w:t>
      </w:r>
      <w:r>
        <w:rPr>
          <w:rFonts w:hint="cs"/>
          <w:rtl/>
        </w:rPr>
        <w:t>يحمل على أدنى الجنس على احتمال كل الجنس</w:t>
      </w:r>
      <w:r>
        <w:rPr>
          <w:rFonts w:hint="eastAsia"/>
          <w:rtl/>
        </w:rPr>
        <w:t>»</w:t>
      </w:r>
      <w:r>
        <w:rPr>
          <w:rFonts w:hint="cs"/>
          <w:rtl/>
        </w:rPr>
        <w:t>، وقد صرَّح بذلك المؤلف قبيل إنهائه لهذه الفقرة.</w:t>
      </w:r>
    </w:p>
  </w:footnote>
  <w:footnote w:id="1226">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20/أ من (أ).</w:t>
      </w:r>
    </w:p>
  </w:footnote>
  <w:footnote w:id="1227">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كما إذا لم يكن الفرد الحقيقي صيغته صيغة ... الخ</w:t>
      </w:r>
    </w:p>
  </w:footnote>
  <w:footnote w:id="1228">
    <w:p w:rsidR="00035BE3" w:rsidRPr="008C096B" w:rsidRDefault="00035BE3" w:rsidP="00C10469">
      <w:pPr>
        <w:pStyle w:val="a8"/>
        <w:bidi/>
        <w:spacing w:line="216" w:lineRule="auto"/>
        <w:ind w:left="420" w:right="0"/>
        <w:rPr>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w:t>
      </w:r>
      <w:r w:rsidRPr="008C096B">
        <w:rPr>
          <w:rFonts w:hint="cs"/>
          <w:rtl/>
        </w:rPr>
        <w:t>هذا المثال قد لا يسلم؛ لأن (الماء) مفرد حكمي؛ لهذا كان من المناسب التمثيل بنحو : (لا أكلم الرجل) -والله أعلم-.</w:t>
      </w:r>
    </w:p>
  </w:footnote>
  <w:footnote w:id="1229">
    <w:p w:rsidR="00035BE3" w:rsidRDefault="00035BE3" w:rsidP="00C10469">
      <w:pPr>
        <w:pStyle w:val="a8"/>
        <w:bidi/>
        <w:spacing w:line="216" w:lineRule="auto"/>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يظهر أنها صفة لِـ (جمع)، وحيث إن (جمع) مجرورة لأنها مضاف إليه، فكذلك ينبغي أن تكون صفتها كذلك.</w:t>
      </w:r>
    </w:p>
    <w:p w:rsidR="00035BE3" w:rsidRDefault="00035BE3" w:rsidP="00C10469">
      <w:pPr>
        <w:pStyle w:val="a6"/>
        <w:spacing w:line="216" w:lineRule="auto"/>
        <w:ind w:left="420" w:firstLine="0"/>
        <w:rPr>
          <w:spacing w:val="-6"/>
          <w:rtl/>
        </w:rPr>
      </w:pPr>
      <w:r>
        <w:rPr>
          <w:rFonts w:hint="cs"/>
          <w:spacing w:val="-6"/>
          <w:rtl/>
        </w:rPr>
        <w:t>ويبعد أن تكون حالاً، لأن الموصوف نكرة وليس معرفة، كما يبعد أن تكون خبر كانت؛ ولاسيما أنها لفظ مذكر واسم كانت هو (صيغته) وهو مؤنث وليس مذكر، وكذلك الحال بما عطف عليها وهي (أو مضافًا).</w:t>
      </w:r>
    </w:p>
  </w:footnote>
  <w:footnote w:id="1230">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أو كانت صيغته صيغة جمع مضافٍ إلى الجنس. </w:t>
      </w:r>
    </w:p>
  </w:footnote>
  <w:footnote w:id="1231">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ببني</w:t>
      </w:r>
      <w:r>
        <w:rPr>
          <w:rFonts w:hint="eastAsia"/>
          <w:rtl/>
        </w:rPr>
        <w:t>»</w:t>
      </w:r>
      <w:r>
        <w:rPr>
          <w:rFonts w:hint="cs"/>
          <w:rtl/>
        </w:rPr>
        <w:t xml:space="preserve"> (بزيادة الباء). وهي زيادة لا يستقيم بها المعنى. </w:t>
      </w:r>
    </w:p>
  </w:footnote>
  <w:footnote w:id="1232">
    <w:p w:rsidR="00035BE3" w:rsidRDefault="00035BE3" w:rsidP="00C10469">
      <w:pPr>
        <w:pStyle w:val="a8"/>
        <w:bidi/>
        <w:spacing w:line="216" w:lineRule="auto"/>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30011B">
        <w:rPr>
          <w:rFonts w:hint="cs"/>
          <w:sz w:val="29"/>
          <w:szCs w:val="29"/>
          <w:rtl/>
        </w:rPr>
        <w:t>هذا المثال فيه نظر؛ لأن (آدم) مفرد وليس جنسًا؛ لهذا كان من المناسب التمثيل بنحو : (لا أكلم بني الإنسان) -والله أعلم-.</w:t>
      </w:r>
    </w:p>
  </w:footnote>
  <w:footnote w:id="1233">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أصول البزدوي وشرحه : كشف الأسرار، 1/291-297؛ المغني للخبَّازي، ص39؛ شرحه للقاءاني، ق1، جـ1، ص85؛ كشف الأسرار للنسفي، 1/60-61.</w:t>
      </w:r>
    </w:p>
    <w:p w:rsidR="00035BE3" w:rsidRDefault="00035BE3" w:rsidP="00C10469">
      <w:pPr>
        <w:pStyle w:val="a6"/>
        <w:spacing w:line="216" w:lineRule="auto"/>
        <w:ind w:left="420" w:firstLine="0"/>
        <w:rPr>
          <w:spacing w:val="-18"/>
          <w:sz w:val="29"/>
          <w:szCs w:val="29"/>
          <w:rtl/>
        </w:rPr>
      </w:pPr>
      <w:r>
        <w:rPr>
          <w:rFonts w:hint="cs"/>
          <w:spacing w:val="-18"/>
          <w:sz w:val="29"/>
          <w:szCs w:val="29"/>
          <w:rtl/>
        </w:rPr>
        <w:t>والمعني : أن كل فرد من الأجناس -التي صدر المؤلف هذه الفقرة بالحديث عنها- يحمل على أدنى الجنس مع احتمال كل الجنس.</w:t>
      </w:r>
    </w:p>
  </w:footnote>
  <w:footnote w:id="1234">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(د) يستدعيها السياق.</w:t>
      </w:r>
    </w:p>
  </w:footnote>
  <w:footnote w:id="1235">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يبطل</w:t>
      </w:r>
      <w:r>
        <w:rPr>
          <w:rFonts w:hint="eastAsia"/>
          <w:rtl/>
        </w:rPr>
        <w:t>»</w:t>
      </w:r>
      <w:r>
        <w:rPr>
          <w:rFonts w:hint="cs"/>
          <w:rtl/>
        </w:rPr>
        <w:t>، وفي (د) : بإهمال التاء. والأفصح ما تمّ إثباته من (ب).</w:t>
      </w:r>
    </w:p>
  </w:footnote>
  <w:footnote w:id="1236">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وذلك ص602 (ل42/أ)، قاعدة 101.</w:t>
      </w:r>
    </w:p>
  </w:footnote>
  <w:footnote w:id="12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الجمع</w:t>
      </w:r>
      <w:r>
        <w:rPr>
          <w:rFonts w:hint="eastAsia"/>
          <w:rtl/>
        </w:rPr>
        <w:t>»</w:t>
      </w:r>
      <w:r>
        <w:rPr>
          <w:rFonts w:hint="cs"/>
          <w:rtl/>
        </w:rPr>
        <w:t xml:space="preserve"> : ساقطة من (ب).</w:t>
      </w:r>
    </w:p>
  </w:footnote>
  <w:footnote w:id="12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مسألة أقل الجمع سبق أن تطرق لها المؤلف وأشار إلى القولين المشهورين فيها، وتمَّ توثيقها مفصلة، وذلك ص 320 (ل11/أ).</w:t>
      </w:r>
    </w:p>
  </w:footnote>
  <w:footnote w:id="12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المخالف</w:t>
      </w:r>
      <w:r>
        <w:rPr>
          <w:rFonts w:hint="eastAsia"/>
          <w:rtl/>
        </w:rPr>
        <w:t>»</w:t>
      </w:r>
      <w:r>
        <w:rPr>
          <w:rFonts w:hint="cs"/>
          <w:rtl/>
        </w:rPr>
        <w:t>.</w:t>
      </w:r>
    </w:p>
  </w:footnote>
  <w:footnote w:id="12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تـثنية</w:t>
      </w:r>
      <w:r>
        <w:rPr>
          <w:rFonts w:hint="eastAsia"/>
          <w:rtl/>
        </w:rPr>
        <w:t>»</w:t>
      </w:r>
      <w:r>
        <w:rPr>
          <w:rFonts w:hint="cs"/>
          <w:rtl/>
        </w:rPr>
        <w:t>.</w:t>
      </w:r>
    </w:p>
  </w:footnote>
  <w:footnote w:id="12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الجمع</w:t>
      </w:r>
      <w:r>
        <w:rPr>
          <w:rFonts w:hint="eastAsia"/>
          <w:rtl/>
        </w:rPr>
        <w:t>»</w:t>
      </w:r>
      <w:r>
        <w:rPr>
          <w:rFonts w:hint="cs"/>
          <w:rtl/>
        </w:rPr>
        <w:t>.</w:t>
      </w:r>
    </w:p>
  </w:footnote>
  <w:footnote w:id="12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الإشارة إلى ما ذكره المؤلف هنا في بعض كتب الحنفية الأصولية عند الحديث عن الجمع المنكر، هل هو من صيغ العموم ؟ ومن تلك الكتب : أصول البزدوي وشرحه : كشف الأسرار، 2/6-8؛ كشف الأسرار للنسفي، 1/177؛ مسلم الثبوت وشرحه : فواتح الرحموت، 1/269، كما أشار إليه ابن عابدين في ردّ المحتار، 5/611.</w:t>
      </w:r>
    </w:p>
  </w:footnote>
  <w:footnote w:id="12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13/ب من (د).</w:t>
      </w:r>
    </w:p>
  </w:footnote>
  <w:footnote w:id="12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أصول البزدوي وشرحه : كشف الأسرار، 1/293-294؛ كشف الأسرار للنسفي، 1/61؛ شرح المغني للقاءاني، ق1، جـ1، ص87.</w:t>
      </w:r>
    </w:p>
  </w:footnote>
  <w:footnote w:id="12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إضافة كلمة (غير) فيها إشكال وبيانه على النحو الآتي :</w:t>
      </w:r>
    </w:p>
    <w:p w:rsidR="00035BE3" w:rsidRDefault="00035BE3" w:rsidP="00C10469">
      <w:pPr>
        <w:pStyle w:val="a6"/>
        <w:ind w:left="422" w:firstLine="0"/>
        <w:rPr>
          <w:rtl/>
        </w:rPr>
      </w:pPr>
      <w:r>
        <w:rPr>
          <w:rFonts w:hint="cs"/>
          <w:rtl/>
        </w:rPr>
        <w:t xml:space="preserve">سبق أن ذكر المؤلف -في الصفحة السابقة- أن </w:t>
      </w:r>
      <w:r>
        <w:rPr>
          <w:rFonts w:hint="eastAsia"/>
          <w:rtl/>
        </w:rPr>
        <w:t>«</w:t>
      </w:r>
      <w:r>
        <w:rPr>
          <w:rFonts w:hint="cs"/>
          <w:rtl/>
        </w:rPr>
        <w:t>سائر الأجناس ... يحمل [كل منها] على أدنى الجنس على احتمال كل الجنس</w:t>
      </w:r>
      <w:r>
        <w:rPr>
          <w:rFonts w:hint="eastAsia"/>
          <w:rtl/>
        </w:rPr>
        <w:t>»</w:t>
      </w:r>
      <w:r>
        <w:rPr>
          <w:rFonts w:hint="cs"/>
          <w:rtl/>
        </w:rPr>
        <w:t>.</w:t>
      </w:r>
    </w:p>
    <w:p w:rsidR="00035BE3" w:rsidRDefault="00035BE3" w:rsidP="00C10469">
      <w:pPr>
        <w:pStyle w:val="a6"/>
        <w:ind w:left="422" w:firstLine="0"/>
        <w:rPr>
          <w:spacing w:val="8"/>
          <w:rtl/>
        </w:rPr>
      </w:pPr>
      <w:r>
        <w:rPr>
          <w:rFonts w:hint="cs"/>
          <w:spacing w:val="8"/>
          <w:rtl/>
        </w:rPr>
        <w:t xml:space="preserve">وذكر منها : الفرد حكمًا الذي </w:t>
      </w:r>
      <w:r>
        <w:rPr>
          <w:rFonts w:hint="eastAsia"/>
          <w:spacing w:val="8"/>
          <w:rtl/>
        </w:rPr>
        <w:t>«</w:t>
      </w:r>
      <w:r>
        <w:rPr>
          <w:rFonts w:hint="cs"/>
          <w:spacing w:val="8"/>
          <w:rtl/>
        </w:rPr>
        <w:t xml:space="preserve">صيغته صيغة جمع ... </w:t>
      </w:r>
      <w:r>
        <w:rPr>
          <w:rFonts w:hint="cs"/>
          <w:b/>
          <w:bCs/>
          <w:spacing w:val="8"/>
          <w:rtl/>
        </w:rPr>
        <w:t>مضافًا إلى الجنس</w:t>
      </w:r>
      <w:r>
        <w:rPr>
          <w:rFonts w:hint="cs"/>
          <w:spacing w:val="8"/>
          <w:rtl/>
        </w:rPr>
        <w:t>، كقوله: لا أكلم بني آدام</w:t>
      </w:r>
      <w:r>
        <w:rPr>
          <w:rFonts w:hint="eastAsia"/>
          <w:spacing w:val="8"/>
          <w:rtl/>
        </w:rPr>
        <w:t>»</w:t>
      </w:r>
      <w:r>
        <w:rPr>
          <w:rFonts w:hint="cs"/>
          <w:spacing w:val="8"/>
          <w:rtl/>
        </w:rPr>
        <w:t>، فصرّح هناك بأن الـجمع الـمضاف الذي يكون من قبيل الفرد حكمًا هو المضاف إلى الجنس.</w:t>
      </w:r>
    </w:p>
    <w:p w:rsidR="00035BE3" w:rsidRDefault="00035BE3" w:rsidP="00C10469">
      <w:pPr>
        <w:pStyle w:val="a6"/>
        <w:ind w:left="422" w:firstLine="0"/>
        <w:rPr>
          <w:rtl/>
        </w:rPr>
      </w:pPr>
      <w:r>
        <w:rPr>
          <w:rFonts w:hint="cs"/>
          <w:rtl/>
        </w:rPr>
        <w:t xml:space="preserve">ولكنه خالف ذلك هنا وقال : إنه </w:t>
      </w:r>
      <w:r>
        <w:rPr>
          <w:rFonts w:hint="eastAsia"/>
          <w:rtl/>
        </w:rPr>
        <w:t>«</w:t>
      </w:r>
      <w:r>
        <w:rPr>
          <w:rFonts w:hint="cs"/>
          <w:rtl/>
        </w:rPr>
        <w:t xml:space="preserve">المضاف إلى </w:t>
      </w:r>
      <w:r>
        <w:rPr>
          <w:rFonts w:hint="cs"/>
          <w:b/>
          <w:bCs/>
          <w:rtl/>
        </w:rPr>
        <w:t>غير</w:t>
      </w:r>
      <w:r>
        <w:rPr>
          <w:rFonts w:hint="cs"/>
          <w:rtl/>
        </w:rPr>
        <w:t xml:space="preserve"> الجنس</w:t>
      </w:r>
      <w:r>
        <w:rPr>
          <w:rFonts w:hint="eastAsia"/>
          <w:rtl/>
        </w:rPr>
        <w:t>»</w:t>
      </w:r>
      <w:r>
        <w:rPr>
          <w:rFonts w:hint="cs"/>
          <w:rtl/>
        </w:rPr>
        <w:t>!!.</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وبالنظر إلى ما قاله عقب ذلك يلحظ أن معناه يستقيم بحذف أداة النفي (غير)؛ لأن المعنى : أن الجمع المضاف الذي هو من قبيل الفرد حكمًا هو الجمع المضاف إلى الجنس، مثل : لا أكلِّم بني الإنسان؛ أما المضاف إلى غير الجنس، فإنه لا يعدّ من قبيل الفرد حكمًا؛ بل تبقى دلالته على الجمع؛ فلو حلف : لا يكلم أخوة فلان : فإنه لا يحنث ما لم يكلم جميع أخوته، ولا يعد هذا من قبيل الفرد حكمًا؛ لأن (أخوة) جمع مضاف إلى غير الجنس (وهو فلان).</w:t>
      </w:r>
    </w:p>
    <w:p w:rsidR="00035BE3" w:rsidRDefault="00035BE3" w:rsidP="00C10469">
      <w:pPr>
        <w:pStyle w:val="a6"/>
        <w:ind w:left="422" w:firstLine="0"/>
        <w:rPr>
          <w:rtl/>
        </w:rPr>
      </w:pPr>
      <w:r>
        <w:rPr>
          <w:rFonts w:hint="cs"/>
          <w:rtl/>
        </w:rPr>
        <w:t>إذا ثبت هذا فلعل زيادة كلمة (غير) سهو من النساخ أو المؤلف -والله أعلم-.</w:t>
      </w:r>
    </w:p>
  </w:footnote>
  <w:footnote w:id="12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يتكلَّم</w:t>
      </w:r>
      <w:r>
        <w:rPr>
          <w:rFonts w:hint="eastAsia"/>
          <w:rtl/>
        </w:rPr>
        <w:t>»</w:t>
      </w:r>
      <w:r>
        <w:rPr>
          <w:rFonts w:hint="cs"/>
          <w:rtl/>
        </w:rPr>
        <w:t>. والصحيح ما تمَّ إثباته من (ب) و(د).</w:t>
      </w:r>
    </w:p>
  </w:footnote>
  <w:footnote w:id="12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المثال في : الاختيار لتعليل المختار، 4/61؛ رد المحتار، 5/611؛ وانظره أيضًا في : شرح المغني للقاءاني، ق1، جـ1، ص87، فقد عزا هذه المسألة إلى (الزيادات).</w:t>
      </w:r>
    </w:p>
  </w:footnote>
  <w:footnote w:id="12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15/ب من (جـ).</w:t>
      </w:r>
    </w:p>
  </w:footnote>
  <w:footnote w:id="12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الزيادة</w:t>
      </w:r>
      <w:r>
        <w:rPr>
          <w:rFonts w:hint="eastAsia"/>
          <w:rtl/>
        </w:rPr>
        <w:t>»</w:t>
      </w:r>
      <w:r>
        <w:rPr>
          <w:rFonts w:hint="cs"/>
          <w:rtl/>
        </w:rPr>
        <w:t>. والصحيح ما تمَّ إثباته من (ب) و(جـ).</w:t>
      </w:r>
    </w:p>
  </w:footnote>
  <w:footnote w:id="12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الزيادات</w:t>
      </w:r>
      <w:r>
        <w:rPr>
          <w:rFonts w:hint="cs"/>
          <w:rtl/>
        </w:rPr>
        <w:t xml:space="preserve"> : لمحمد بن الحسن بن فَرْقد الشيباني (ت 189 هـ).</w:t>
      </w:r>
    </w:p>
    <w:p w:rsidR="00035BE3" w:rsidRDefault="00035BE3" w:rsidP="00C10469">
      <w:pPr>
        <w:pStyle w:val="a6"/>
        <w:ind w:left="422" w:hanging="454"/>
        <w:rPr>
          <w:rtl/>
        </w:rPr>
      </w:pPr>
      <w:r>
        <w:rPr>
          <w:rFonts w:hint="cs"/>
          <w:rtl/>
        </w:rPr>
        <w:tab/>
        <w:t>وهو كتاب في فروع الحنفية، وقيل بأن مؤلفه ألفه بعد الجامع الكبير استدراكًا لما فاته فيه من المسائل؛ لهذا سميت بالزيادات، ثم استدرك مسائل أخرى، فألف زيادة الزيادات.</w:t>
      </w:r>
    </w:p>
    <w:p w:rsidR="00035BE3" w:rsidRDefault="00035BE3" w:rsidP="00C10469">
      <w:pPr>
        <w:pStyle w:val="a6"/>
        <w:ind w:left="422" w:firstLine="0"/>
        <w:rPr>
          <w:rtl/>
        </w:rPr>
      </w:pPr>
      <w:r>
        <w:rPr>
          <w:rFonts w:hint="cs"/>
          <w:rtl/>
        </w:rPr>
        <w:t>وهو أحد كتب ظاهر الرواية المعتمدة في المذهب الحنفي؛ لهذا اعتنى به مجموعة من العلماء، ذكر ثمانية منهم صاحب (كشف الظنون)، وله عدّة نسخٍ خطية، منها نسخ المكتبات الآتية :</w:t>
      </w:r>
    </w:p>
    <w:p w:rsidR="00035BE3" w:rsidRDefault="00035BE3" w:rsidP="00C10469">
      <w:pPr>
        <w:pStyle w:val="a6"/>
        <w:ind w:left="422" w:firstLine="0"/>
        <w:rPr>
          <w:rtl/>
        </w:rPr>
      </w:pPr>
      <w:r>
        <w:rPr>
          <w:rFonts w:hint="cs"/>
          <w:rtl/>
        </w:rPr>
        <w:t>1- الحرم المكي، برقم 51 دهلوي.</w:t>
      </w:r>
    </w:p>
    <w:p w:rsidR="00035BE3" w:rsidRDefault="00035BE3" w:rsidP="00C10469">
      <w:pPr>
        <w:pStyle w:val="a6"/>
        <w:ind w:left="422" w:firstLine="0"/>
        <w:rPr>
          <w:rtl/>
        </w:rPr>
      </w:pPr>
      <w:r>
        <w:rPr>
          <w:rFonts w:hint="cs"/>
          <w:rtl/>
        </w:rPr>
        <w:t>2-3- السليمانية باستانبول (فهرس لا له لي)، برقم 946، و(فهرس فاتح)، برقم 2555.</w:t>
      </w:r>
    </w:p>
    <w:p w:rsidR="00035BE3" w:rsidRDefault="00035BE3" w:rsidP="00C10469">
      <w:pPr>
        <w:pStyle w:val="a6"/>
        <w:ind w:left="422" w:firstLine="0"/>
        <w:rPr>
          <w:rtl/>
        </w:rPr>
      </w:pPr>
      <w:r>
        <w:rPr>
          <w:rFonts w:hint="cs"/>
          <w:rtl/>
        </w:rPr>
        <w:t>4- متحف طوبقابي باستانبول، برقم 2543.</w:t>
      </w:r>
    </w:p>
    <w:p w:rsidR="00035BE3" w:rsidRDefault="00035BE3" w:rsidP="00C10469">
      <w:pPr>
        <w:pStyle w:val="a6"/>
        <w:ind w:left="422" w:firstLine="0"/>
        <w:rPr>
          <w:rtl/>
        </w:rPr>
      </w:pPr>
      <w:r>
        <w:rPr>
          <w:rFonts w:hint="cs"/>
          <w:rtl/>
        </w:rPr>
        <w:t>5- أياصوفيا باستانبول، برقم 1385/5.</w:t>
      </w:r>
    </w:p>
    <w:p w:rsidR="00035BE3" w:rsidRDefault="00035BE3" w:rsidP="00C10469">
      <w:pPr>
        <w:pStyle w:val="a6"/>
        <w:ind w:left="422" w:firstLine="0"/>
        <w:rPr>
          <w:rtl/>
        </w:rPr>
      </w:pPr>
      <w:r>
        <w:rPr>
          <w:rFonts w:hint="cs"/>
          <w:rtl/>
        </w:rPr>
        <w:t>انظر : الفهرست، ص254؛ مفتاح السعادة، 2/236؛ كشف الظنون، 2/962-963؛ الفوائد البهية، ص163؛ النافع الكبير (المقدمة)، ص17؛ هدية العارفين، 2/8؛ مرجع العلوم الإسلامية، ص483؛ تاريخ التراث العربي، المجلد الأول، جـ3، ص54-58.</w:t>
      </w:r>
    </w:p>
  </w:footnote>
  <w:footnote w:id="12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المخالف</w:t>
      </w:r>
      <w:r>
        <w:rPr>
          <w:rFonts w:hint="eastAsia"/>
          <w:rtl/>
        </w:rPr>
        <w:t>»</w:t>
      </w:r>
      <w:r>
        <w:rPr>
          <w:rFonts w:hint="cs"/>
          <w:rtl/>
        </w:rPr>
        <w:t>.</w:t>
      </w:r>
    </w:p>
  </w:footnote>
  <w:footnote w:id="1252">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الأصل المُقرَّر في المسألة السابقة (وهو أن الجمع المضاف الذي يكون من قبيل الفرد حكمًا هو المضاف إلى الجنس وليس المضاف إلى غير الجنس).</w:t>
      </w:r>
    </w:p>
  </w:footnote>
  <w:footnote w:id="125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مصدر هذه العبارة (وهو شرح المغني للقاءاني). ولا يظهر لي وجه في تأنيث اسم الإشارة؛ لأنه يراد به (فلان)، و(فلان) مذكّر وليس مؤنـثًا، ولا يقال : الـمراد باسـم الإشـارة العبيد، لأنه لو أرادهم لقال: هؤلاء.</w:t>
      </w:r>
    </w:p>
  </w:footnote>
  <w:footnote w:id="1254">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20/ب من (أ).</w:t>
      </w:r>
    </w:p>
  </w:footnote>
  <w:footnote w:id="1255">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مسألة</w:t>
      </w:r>
      <w:r>
        <w:rPr>
          <w:rFonts w:hint="eastAsia"/>
          <w:rtl/>
        </w:rPr>
        <w:t>»</w:t>
      </w:r>
      <w:r>
        <w:rPr>
          <w:rFonts w:hint="cs"/>
          <w:rtl/>
        </w:rPr>
        <w:t>. والصحيح ما تمَّ إثباته من (ب) و(د).</w:t>
      </w:r>
    </w:p>
  </w:footnote>
  <w:footnote w:id="1256">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جمع</w:t>
      </w:r>
      <w:r>
        <w:rPr>
          <w:rFonts w:hint="eastAsia"/>
          <w:rtl/>
        </w:rPr>
        <w:t>»</w:t>
      </w:r>
      <w:r>
        <w:rPr>
          <w:rFonts w:hint="cs"/>
          <w:rtl/>
        </w:rPr>
        <w:t>. والصحيح ما تمَّ إثباته من (ب) و(جـ).</w:t>
      </w:r>
    </w:p>
  </w:footnote>
  <w:footnote w:id="1257">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الاعتراض وجوابه في : شرح المغني للقاءاني، ق1، جـ1، ص87.</w:t>
      </w:r>
    </w:p>
  </w:footnote>
  <w:footnote w:id="1258">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وما هو للتعريف</w:t>
      </w:r>
      <w:r>
        <w:rPr>
          <w:rFonts w:hint="eastAsia"/>
          <w:rtl/>
        </w:rPr>
        <w:t>»</w:t>
      </w:r>
      <w:r>
        <w:rPr>
          <w:rFonts w:hint="cs"/>
          <w:rtl/>
        </w:rPr>
        <w:t>: زيادة من (جـ) و(هـ) و(و) و(العناية). وهي لابّد منها.</w:t>
      </w:r>
    </w:p>
  </w:footnote>
  <w:footnote w:id="1259">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تلغو</w:t>
      </w:r>
      <w:r>
        <w:rPr>
          <w:rFonts w:hint="eastAsia"/>
          <w:rtl/>
        </w:rPr>
        <w:t>»</w:t>
      </w:r>
      <w:r>
        <w:rPr>
          <w:rFonts w:hint="cs"/>
          <w:rtl/>
        </w:rPr>
        <w:t>.</w:t>
      </w:r>
    </w:p>
  </w:footnote>
  <w:footnote w:id="1260">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عنه</w:t>
      </w:r>
      <w:r>
        <w:rPr>
          <w:rFonts w:hint="eastAsia"/>
          <w:rtl/>
        </w:rPr>
        <w:t>»</w:t>
      </w:r>
      <w:r>
        <w:rPr>
          <w:rFonts w:hint="cs"/>
          <w:rtl/>
        </w:rPr>
        <w:t>.</w:t>
      </w:r>
    </w:p>
  </w:footnote>
  <w:footnote w:id="1261">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أبلغ من الإضافة في التعريف.</w:t>
      </w:r>
    </w:p>
  </w:footnote>
  <w:footnote w:id="1262">
    <w:p w:rsidR="00035BE3" w:rsidRDefault="00035BE3" w:rsidP="00C10469">
      <w:pPr>
        <w:pStyle w:val="a8"/>
        <w:bidi/>
        <w:spacing w:line="228" w:lineRule="auto"/>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E845EA">
        <w:rPr>
          <w:rFonts w:hint="cs"/>
          <w:rtl/>
        </w:rPr>
        <w:t xml:space="preserve"> أي على المشار إليه - علمًا</w:t>
      </w:r>
      <w:r>
        <w:rPr>
          <w:rFonts w:hint="cs"/>
          <w:rtl/>
        </w:rPr>
        <w:t xml:space="preserve"> بأن صاحب (العناية) زاد بعد ذلك</w:t>
      </w:r>
      <w:r w:rsidRPr="00E845EA">
        <w:rPr>
          <w:rFonts w:hint="cs"/>
          <w:rtl/>
        </w:rPr>
        <w:t xml:space="preserve">: </w:t>
      </w:r>
      <w:r w:rsidRPr="00E845EA">
        <w:rPr>
          <w:rFonts w:hint="eastAsia"/>
          <w:rtl/>
        </w:rPr>
        <w:t>«</w:t>
      </w:r>
      <w:r w:rsidRPr="00E845EA">
        <w:rPr>
          <w:rFonts w:hint="cs"/>
          <w:rtl/>
        </w:rPr>
        <w:t>بخلاف الإضافة لجواز أن يكون لفلان عبيد</w:t>
      </w:r>
      <w:r w:rsidRPr="00E845EA">
        <w:rPr>
          <w:rFonts w:hint="eastAsia"/>
          <w:rtl/>
        </w:rPr>
        <w:t>»</w:t>
      </w:r>
      <w:r w:rsidRPr="00E845EA">
        <w:rPr>
          <w:rFonts w:hint="cs"/>
          <w:rtl/>
        </w:rPr>
        <w:t>.</w:t>
      </w:r>
    </w:p>
  </w:footnote>
  <w:footnote w:id="126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(العناية) : </w:t>
      </w:r>
      <w:r>
        <w:rPr>
          <w:rFonts w:hint="eastAsia"/>
          <w:rtl/>
        </w:rPr>
        <w:t>«</w:t>
      </w:r>
      <w:r>
        <w:rPr>
          <w:rFonts w:hint="cs"/>
          <w:rtl/>
        </w:rPr>
        <w:t>فاعتبرت</w:t>
      </w:r>
      <w:r>
        <w:rPr>
          <w:rFonts w:hint="eastAsia"/>
          <w:rtl/>
        </w:rPr>
        <w:t>»</w:t>
      </w:r>
      <w:r>
        <w:rPr>
          <w:rFonts w:hint="cs"/>
          <w:rtl/>
        </w:rPr>
        <w:t>. وما في العناية أفصح.</w:t>
      </w:r>
    </w:p>
  </w:footnote>
  <w:footnote w:id="1264">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ولغت</w:t>
      </w:r>
      <w:r>
        <w:rPr>
          <w:rFonts w:hint="eastAsia"/>
          <w:rtl/>
        </w:rPr>
        <w:t>»</w:t>
      </w:r>
      <w:r>
        <w:rPr>
          <w:rFonts w:hint="cs"/>
          <w:rtl/>
        </w:rPr>
        <w:t>. وهذا الأولى، وهو الموافق للعناية.</w:t>
      </w:r>
    </w:p>
  </w:footnote>
  <w:footnote w:id="12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5/152 - مع اختلاف يسير سبق التنبيه عليه-.</w:t>
      </w:r>
    </w:p>
  </w:footnote>
  <w:footnote w:id="12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دلائلهم</w:t>
      </w:r>
      <w:r>
        <w:rPr>
          <w:rFonts w:hint="eastAsia"/>
          <w:rtl/>
        </w:rPr>
        <w:t>»</w:t>
      </w:r>
      <w:r>
        <w:rPr>
          <w:rFonts w:hint="cs"/>
          <w:rtl/>
        </w:rPr>
        <w:t>.</w:t>
      </w:r>
    </w:p>
    <w:p w:rsidR="00035BE3" w:rsidRDefault="00035BE3" w:rsidP="00C10469">
      <w:pPr>
        <w:pStyle w:val="a6"/>
        <w:ind w:left="422" w:firstLine="0"/>
        <w:rPr>
          <w:rtl/>
        </w:rPr>
      </w:pPr>
      <w:r>
        <w:rPr>
          <w:rFonts w:hint="cs"/>
          <w:rtl/>
        </w:rPr>
        <w:t xml:space="preserve">ومعنى </w:t>
      </w:r>
      <w:r>
        <w:rPr>
          <w:rFonts w:hint="eastAsia"/>
          <w:rtl/>
        </w:rPr>
        <w:t>«</w:t>
      </w:r>
      <w:r>
        <w:rPr>
          <w:rFonts w:hint="cs"/>
          <w:rtl/>
        </w:rPr>
        <w:t>ولا تهم</w:t>
      </w:r>
      <w:r>
        <w:rPr>
          <w:rFonts w:hint="eastAsia"/>
          <w:rtl/>
        </w:rPr>
        <w:t>»</w:t>
      </w:r>
      <w:r>
        <w:rPr>
          <w:rFonts w:hint="cs"/>
          <w:rtl/>
        </w:rPr>
        <w:t xml:space="preserve"> هنا أي : ولا تغلط؛ لأن نتيجة الحفظ عدم الغلط.</w:t>
      </w:r>
    </w:p>
    <w:p w:rsidR="00035BE3" w:rsidRDefault="00035BE3" w:rsidP="00C10469">
      <w:pPr>
        <w:pStyle w:val="a6"/>
        <w:ind w:left="422" w:firstLine="0"/>
        <w:rPr>
          <w:rtl/>
        </w:rPr>
      </w:pPr>
      <w:r>
        <w:rPr>
          <w:rFonts w:hint="cs"/>
          <w:rtl/>
        </w:rPr>
        <w:t xml:space="preserve">انظر : المقاييس في اللغة، مادة </w:t>
      </w:r>
      <w:r>
        <w:rPr>
          <w:rFonts w:hint="eastAsia"/>
          <w:rtl/>
        </w:rPr>
        <w:t>«</w:t>
      </w:r>
      <w:r>
        <w:rPr>
          <w:rFonts w:hint="cs"/>
          <w:rtl/>
        </w:rPr>
        <w:t>وهم</w:t>
      </w:r>
      <w:r>
        <w:rPr>
          <w:rFonts w:hint="eastAsia"/>
          <w:rtl/>
        </w:rPr>
        <w:t>»</w:t>
      </w:r>
      <w:r>
        <w:rPr>
          <w:rFonts w:hint="cs"/>
          <w:rtl/>
        </w:rPr>
        <w:t xml:space="preserve">، ص1107؛ لسان العرب، مادة </w:t>
      </w:r>
      <w:r>
        <w:rPr>
          <w:rFonts w:hint="eastAsia"/>
          <w:rtl/>
        </w:rPr>
        <w:t>«</w:t>
      </w:r>
      <w:r>
        <w:rPr>
          <w:rFonts w:hint="cs"/>
          <w:rtl/>
        </w:rPr>
        <w:t>وهم</w:t>
      </w:r>
      <w:r>
        <w:rPr>
          <w:rFonts w:hint="eastAsia"/>
          <w:rtl/>
        </w:rPr>
        <w:t>»</w:t>
      </w:r>
      <w:r>
        <w:rPr>
          <w:rFonts w:hint="cs"/>
          <w:rtl/>
        </w:rPr>
        <w:t xml:space="preserve">، 12/643؛ المعجم الوسيط، مادة </w:t>
      </w:r>
      <w:r>
        <w:rPr>
          <w:rFonts w:hint="eastAsia"/>
          <w:rtl/>
        </w:rPr>
        <w:t>«</w:t>
      </w:r>
      <w:r>
        <w:rPr>
          <w:rFonts w:hint="cs"/>
          <w:rtl/>
        </w:rPr>
        <w:t>وهم</w:t>
      </w:r>
      <w:r>
        <w:rPr>
          <w:rFonts w:hint="eastAsia"/>
          <w:rtl/>
        </w:rPr>
        <w:t>»</w:t>
      </w:r>
      <w:r>
        <w:rPr>
          <w:rFonts w:hint="cs"/>
          <w:rtl/>
        </w:rPr>
        <w:t>، 2/1060.</w:t>
      </w:r>
    </w:p>
  </w:footnote>
  <w:footnote w:id="12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ومن</w:t>
      </w:r>
      <w:r>
        <w:rPr>
          <w:rFonts w:hint="eastAsia"/>
          <w:rtl/>
        </w:rPr>
        <w:t>»</w:t>
      </w:r>
      <w:r>
        <w:rPr>
          <w:rFonts w:hint="cs"/>
          <w:rtl/>
        </w:rPr>
        <w:t>، والواو في (أ) عليها طمس.</w:t>
      </w:r>
    </w:p>
  </w:footnote>
  <w:footnote w:id="12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الأيمان</w:t>
      </w:r>
      <w:r>
        <w:rPr>
          <w:rFonts w:hint="eastAsia"/>
          <w:rtl/>
        </w:rPr>
        <w:t>»</w:t>
      </w:r>
      <w:r>
        <w:rPr>
          <w:rFonts w:hint="cs"/>
          <w:rtl/>
        </w:rPr>
        <w:t xml:space="preserve">. والصحيح ما تمَّ إثباته من (ب)؛ لأن جميع الأمثلة التي سيذكرها المؤلف تتعلق بالأمور وليس لها أي تعلق بالأيمان ، كما أن جل ما في شرح القاعدة مستفاد من أشباه ابن نجيم، ولفظها عنده : </w:t>
      </w:r>
      <w:r>
        <w:rPr>
          <w:rFonts w:hint="eastAsia"/>
          <w:rtl/>
        </w:rPr>
        <w:t>«</w:t>
      </w:r>
      <w:r>
        <w:rPr>
          <w:rFonts w:hint="cs"/>
          <w:rtl/>
        </w:rPr>
        <w:t>الأمور بمقاصدها</w:t>
      </w:r>
      <w:r>
        <w:rPr>
          <w:rFonts w:hint="eastAsia"/>
          <w:rtl/>
        </w:rPr>
        <w:t>»</w:t>
      </w:r>
      <w:r>
        <w:rPr>
          <w:rFonts w:hint="cs"/>
          <w:rtl/>
        </w:rPr>
        <w:t>.</w:t>
      </w:r>
    </w:p>
  </w:footnote>
  <w:footnote w:id="12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الفقهية الخمس المتفق عليها؛ لهذا لا يكاد يخلو منها كتاب في القواعد الفقهية؛ بل أفردت فيها كتب مستقلة قديمًا وحديثًا، كما وردت في كثير من كتب الفقه وأصوله :</w:t>
      </w:r>
    </w:p>
    <w:p w:rsidR="00035BE3" w:rsidRDefault="00035BE3" w:rsidP="00C10469">
      <w:pPr>
        <w:pStyle w:val="a6"/>
        <w:ind w:left="422" w:firstLine="0"/>
        <w:rPr>
          <w:b/>
          <w:bCs/>
          <w:rtl/>
        </w:rPr>
      </w:pPr>
      <w:r>
        <w:rPr>
          <w:rFonts w:hint="cs"/>
          <w:b/>
          <w:bCs/>
          <w:rtl/>
        </w:rPr>
        <w:t>فمن كتب القواعد:</w:t>
      </w:r>
    </w:p>
    <w:p w:rsidR="00035BE3" w:rsidRDefault="00035BE3" w:rsidP="00C10469">
      <w:pPr>
        <w:pStyle w:val="a6"/>
        <w:ind w:left="422" w:firstLine="0"/>
        <w:rPr>
          <w:rtl/>
        </w:rPr>
      </w:pPr>
      <w:r>
        <w:rPr>
          <w:rFonts w:hint="cs"/>
          <w:rtl/>
        </w:rPr>
        <w:t xml:space="preserve">الأشباه والنظائر لابن السبكي، 1/54؛ المنثور للزركشي، 3/284- وقد عنون لها بقوله : </w:t>
      </w:r>
      <w:r>
        <w:rPr>
          <w:rFonts w:hint="eastAsia"/>
          <w:rtl/>
        </w:rPr>
        <w:t>«</w:t>
      </w:r>
      <w:r>
        <w:rPr>
          <w:rFonts w:hint="cs"/>
          <w:rtl/>
        </w:rPr>
        <w:t>النية يتعلق بها مباحث</w:t>
      </w:r>
      <w:r>
        <w:rPr>
          <w:rFonts w:hint="eastAsia"/>
          <w:rtl/>
        </w:rPr>
        <w:t>»</w:t>
      </w:r>
      <w:r>
        <w:rPr>
          <w:rFonts w:hint="cs"/>
          <w:rtl/>
        </w:rPr>
        <w:t>-؛ المجموع المذهب، 1/255؛ القواعد للحصني، 1/208؛ الأشباه والنظائر للسيوطي، 1/65؛ ولابن نجيم، 1/19، 39؛ الفرائد البهية وشرحاها : الأقمار المضيئة، ص31؛ والمواهب السنية وحاشيتها : الفوائد الجنية، 1/65؛  مجامع الحقائق (الخاتمة)، ص45؛ شرح العلائي لقواعد الخادمي، ل2/ب-4/أ؛ منافع الدقائق، ص305-307؛ مجلة الأحكام العدلية، المادة الثانية؛ شرحها لسليم رستم، 1/17؛ ولعلي حيدر، 1/17؛ وللأتـاسي، 1/13؛ وشرح قواعدها للـزرقا، ص47؛ رسالة في القواعد الفقهية للشيخ عبد الرحمن السعدي، ص14، البيت الحادي عشر؛ قواعد الفقه للمجدّدي، ص52، قاعدة1، وص62، قاعدة 51- ولفظه الأول : إنما الأعمال بالنيات-؛ المدخل الفقهي العام، 2/965، فقرة 552؛ القواعد الفقهية للدكتور الندوي، ص136، 171، 176، 205، 241، 269، 282، 286، 351، 395؛ الوجيز، ص20، 22، 23، 25، 34، 36، 38، 59، 213؛ موسوعة القواعد الفقهية، 1/120؛ القواعـد الفقـهية الكبرى لشيخنا أ.د. صالح السدلان، ص41؛ قواعد الفقه للروكي، ص160، 174 - وأحال إلى الإشراف، 1/7؛ القواعد الفقهية في بابي العبادات والمعاملات لشيخنا د. عبد الله العيسى، ص130؛ القواعد الكبرى للدكتور العجلان، ص47؛ المدخل إلى القواعد الفقهية للدكتور الحريري، ص73؛ المبادئ الفقهية، ص9؛ القواعد الفقهية للدّعاس، ص12، قاعدة 1؛ وللدكتور الزحيلي، ص46.</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مغني المحتاج، 1/39؛ إعانة الطالبين، 1/105؛ ردّ المحتار، 9/505.</w:t>
      </w:r>
    </w:p>
    <w:p w:rsidR="00035BE3" w:rsidRDefault="00035BE3" w:rsidP="00C10469">
      <w:pPr>
        <w:pStyle w:val="a6"/>
        <w:ind w:left="422" w:firstLine="0"/>
        <w:rPr>
          <w:spacing w:val="-2"/>
          <w:rtl/>
        </w:rPr>
      </w:pPr>
      <w:r>
        <w:rPr>
          <w:rFonts w:hint="cs"/>
          <w:b/>
          <w:bCs/>
          <w:spacing w:val="-2"/>
          <w:rtl/>
        </w:rPr>
        <w:t xml:space="preserve">ومن كتب الأصول </w:t>
      </w:r>
      <w:r>
        <w:rPr>
          <w:rFonts w:hint="cs"/>
          <w:spacing w:val="-2"/>
          <w:rtl/>
        </w:rPr>
        <w:t xml:space="preserve">: </w:t>
      </w:r>
    </w:p>
    <w:p w:rsidR="00035BE3" w:rsidRPr="003F19FF" w:rsidRDefault="00035BE3" w:rsidP="00C10469">
      <w:pPr>
        <w:pStyle w:val="a6"/>
        <w:ind w:left="422" w:firstLine="0"/>
        <w:rPr>
          <w:spacing w:val="-8"/>
          <w:rtl/>
        </w:rPr>
      </w:pPr>
      <w:r w:rsidRPr="003F19FF">
        <w:rPr>
          <w:rFonts w:hint="cs"/>
          <w:spacing w:val="-8"/>
          <w:rtl/>
        </w:rPr>
        <w:t xml:space="preserve">الموافقات، 2/246؛ جمع الجوامع وشرح المحلي وحاشية العطار، 2/399؛ شرح الكوكب المنير، 4/454. </w:t>
      </w:r>
    </w:p>
    <w:p w:rsidR="00035BE3" w:rsidRDefault="00035BE3" w:rsidP="00C10469">
      <w:pPr>
        <w:pStyle w:val="a6"/>
        <w:ind w:left="422" w:firstLine="0"/>
        <w:rPr>
          <w:b/>
          <w:bCs/>
          <w:spacing w:val="-4"/>
          <w:rtl/>
        </w:rPr>
      </w:pPr>
      <w:r>
        <w:rPr>
          <w:rFonts w:hint="cs"/>
          <w:b/>
          <w:bCs/>
          <w:spacing w:val="-4"/>
          <w:rtl/>
        </w:rPr>
        <w:t xml:space="preserve"> ومن الكتب التي أفردت للحديث عنها وعن دليلها (وهو حديث النية) أو عن النية بشكل عام : </w:t>
      </w:r>
    </w:p>
    <w:p w:rsidR="00035BE3" w:rsidRDefault="00035BE3" w:rsidP="00C10469">
      <w:pPr>
        <w:pStyle w:val="a6"/>
        <w:ind w:left="422" w:firstLine="0"/>
        <w:rPr>
          <w:spacing w:val="-6"/>
          <w:sz w:val="28"/>
          <w:szCs w:val="28"/>
          <w:rtl/>
        </w:rPr>
      </w:pPr>
      <w:r>
        <w:rPr>
          <w:rFonts w:hint="cs"/>
          <w:spacing w:val="-6"/>
          <w:sz w:val="28"/>
          <w:szCs w:val="28"/>
          <w:rtl/>
        </w:rPr>
        <w:t xml:space="preserve">الأمنية في إدراك النية للقرافي؛ شرح حديث </w:t>
      </w:r>
      <w:r>
        <w:rPr>
          <w:rFonts w:hint="eastAsia"/>
          <w:spacing w:val="-6"/>
          <w:sz w:val="28"/>
          <w:szCs w:val="28"/>
          <w:rtl/>
        </w:rPr>
        <w:t>«</w:t>
      </w:r>
      <w:r>
        <w:rPr>
          <w:rFonts w:cs="DecoType Naskh" w:hint="cs"/>
          <w:spacing w:val="-6"/>
          <w:sz w:val="28"/>
          <w:szCs w:val="28"/>
          <w:rtl/>
        </w:rPr>
        <w:t>إنما الأعمال بالنيات</w:t>
      </w:r>
      <w:r>
        <w:rPr>
          <w:rFonts w:hint="eastAsia"/>
          <w:spacing w:val="-6"/>
          <w:sz w:val="28"/>
          <w:szCs w:val="28"/>
          <w:rtl/>
        </w:rPr>
        <w:t>»</w:t>
      </w:r>
      <w:r>
        <w:rPr>
          <w:rFonts w:hint="cs"/>
          <w:spacing w:val="-6"/>
          <w:sz w:val="28"/>
          <w:szCs w:val="28"/>
          <w:rtl/>
        </w:rPr>
        <w:t xml:space="preserve"> لشيخ الإسلام ابن تيمية؛ منتهى الآمال في شرح حديث </w:t>
      </w:r>
      <w:r>
        <w:rPr>
          <w:rFonts w:hint="eastAsia"/>
          <w:spacing w:val="-6"/>
          <w:sz w:val="28"/>
          <w:szCs w:val="28"/>
          <w:rtl/>
        </w:rPr>
        <w:t>«</w:t>
      </w:r>
      <w:r>
        <w:rPr>
          <w:rFonts w:hint="cs"/>
          <w:spacing w:val="-6"/>
          <w:sz w:val="28"/>
          <w:szCs w:val="28"/>
          <w:rtl/>
        </w:rPr>
        <w:t>إنما الأعمال</w:t>
      </w:r>
      <w:r>
        <w:rPr>
          <w:rFonts w:hint="eastAsia"/>
          <w:spacing w:val="-6"/>
          <w:sz w:val="28"/>
          <w:szCs w:val="28"/>
          <w:rtl/>
        </w:rPr>
        <w:t>»</w:t>
      </w:r>
      <w:r>
        <w:rPr>
          <w:rFonts w:hint="cs"/>
          <w:spacing w:val="-6"/>
          <w:sz w:val="28"/>
          <w:szCs w:val="28"/>
          <w:rtl/>
        </w:rPr>
        <w:t xml:space="preserve"> لجلال السيوطي، الـنيـة وأثرها في الأحكام الشرعية لشيخنا أ. د. صالح السدلان؛ مقاصد المكلفين للدكتور عمر الأشقر - والأخيران رسالتا دكتوراه -؛ قاعدة الأمور بمقاصدها لشيخنا د. يعقوب الباحسين.</w:t>
      </w:r>
    </w:p>
  </w:footnote>
  <w:footnote w:id="12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العصر </w:t>
      </w:r>
      <w:r>
        <w:rPr>
          <w:rFonts w:hint="eastAsia"/>
          <w:rtl/>
        </w:rPr>
        <w:t>»</w:t>
      </w:r>
      <w:r>
        <w:rPr>
          <w:rFonts w:hint="cs"/>
          <w:rtl/>
        </w:rPr>
        <w:t>. والصحيح ما تمَّ إثـباته من (ب)، وهو الموافق لمصدر هذه العبارة (وهو أشباه ابن نجيم).</w:t>
      </w:r>
    </w:p>
  </w:footnote>
  <w:footnote w:id="12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بها</w:t>
      </w:r>
      <w:r>
        <w:rPr>
          <w:rFonts w:hint="eastAsia"/>
          <w:rtl/>
        </w:rPr>
        <w:t>»</w:t>
      </w:r>
      <w:r>
        <w:rPr>
          <w:rFonts w:hint="cs"/>
          <w:rtl/>
        </w:rPr>
        <w:t>.</w:t>
      </w:r>
    </w:p>
  </w:footnote>
  <w:footnote w:id="12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التخمّر</w:t>
      </w:r>
      <w:r>
        <w:rPr>
          <w:rFonts w:hint="eastAsia"/>
          <w:rtl/>
        </w:rPr>
        <w:t>»</w:t>
      </w:r>
      <w:r>
        <w:rPr>
          <w:rFonts w:hint="cs"/>
          <w:rtl/>
        </w:rPr>
        <w:t>.</w:t>
      </w:r>
    </w:p>
  </w:footnote>
  <w:footnote w:id="12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ص39- مع اختلاف يسير جدًّا-</w:t>
      </w:r>
    </w:p>
  </w:footnote>
  <w:footnote w:id="12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ونظائرهما</w:t>
      </w:r>
      <w:r>
        <w:rPr>
          <w:rFonts w:hint="eastAsia"/>
          <w:rtl/>
        </w:rPr>
        <w:t>»</w:t>
      </w:r>
      <w:r>
        <w:rPr>
          <w:rFonts w:hint="cs"/>
          <w:rtl/>
        </w:rPr>
        <w:t>.</w:t>
      </w:r>
    </w:p>
  </w:footnote>
  <w:footnote w:id="1275">
    <w:p w:rsidR="00035BE3" w:rsidRPr="00741452" w:rsidRDefault="00035BE3" w:rsidP="00C10469">
      <w:pPr>
        <w:pStyle w:val="a8"/>
        <w:bidi/>
        <w:ind w:left="422" w:right="0"/>
        <w:rPr>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w:t>
      </w:r>
      <w:r w:rsidRPr="00741452">
        <w:rPr>
          <w:rFonts w:hint="cs"/>
          <w:sz w:val="29"/>
          <w:szCs w:val="29"/>
          <w:rtl/>
        </w:rPr>
        <w:t xml:space="preserve">في (أ) و(جـ) : </w:t>
      </w:r>
      <w:r w:rsidRPr="00741452">
        <w:rPr>
          <w:rFonts w:hint="eastAsia"/>
          <w:sz w:val="29"/>
          <w:szCs w:val="29"/>
          <w:rtl/>
        </w:rPr>
        <w:t>«</w:t>
      </w:r>
      <w:r w:rsidRPr="00741452">
        <w:rPr>
          <w:rFonts w:hint="cs"/>
          <w:sz w:val="29"/>
          <w:szCs w:val="29"/>
          <w:rtl/>
        </w:rPr>
        <w:t>الألفاظ</w:t>
      </w:r>
      <w:r w:rsidRPr="00741452">
        <w:rPr>
          <w:rFonts w:hint="eastAsia"/>
          <w:sz w:val="29"/>
          <w:szCs w:val="29"/>
          <w:rtl/>
        </w:rPr>
        <w:t>»</w:t>
      </w:r>
      <w:r w:rsidRPr="00741452">
        <w:rPr>
          <w:rFonts w:hint="cs"/>
          <w:sz w:val="29"/>
          <w:szCs w:val="29"/>
          <w:rtl/>
        </w:rPr>
        <w:t xml:space="preserve">. والصحيح ما تمَّ إثباته من (ب) و(د)؛ لأن كلمة (ألفاظ) لو كانت معرّفة لما جازت إضافتها إلى (التكفير)؛ </w:t>
      </w:r>
      <w:r w:rsidRPr="00741452">
        <w:rPr>
          <w:rFonts w:hint="eastAsia"/>
          <w:sz w:val="29"/>
          <w:szCs w:val="29"/>
          <w:rtl/>
        </w:rPr>
        <w:t>«</w:t>
      </w:r>
      <w:r w:rsidRPr="00741452">
        <w:rPr>
          <w:rFonts w:hint="cs"/>
          <w:sz w:val="29"/>
          <w:szCs w:val="29"/>
          <w:rtl/>
        </w:rPr>
        <w:t>لأن الأصل أنه لا يجوز بوجه عام أن يضاف الاسم المعرفة؛ لأن أهمَّ أغراض الإضافة تعريفُ المضاف بالمضاف إليه، فإذا كان المضاف في نفسه معرفة : لم تكن به حاجة إلى التعريف</w:t>
      </w:r>
      <w:r w:rsidRPr="00741452">
        <w:rPr>
          <w:rFonts w:hint="eastAsia"/>
          <w:sz w:val="29"/>
          <w:szCs w:val="29"/>
          <w:rtl/>
        </w:rPr>
        <w:t>»</w:t>
      </w:r>
      <w:r w:rsidRPr="00741452">
        <w:rPr>
          <w:rFonts w:hint="cs"/>
          <w:sz w:val="29"/>
          <w:szCs w:val="29"/>
          <w:rtl/>
        </w:rPr>
        <w:t>- قاله صاحب عدّة السَّالك، 3/99-.</w:t>
      </w:r>
    </w:p>
  </w:footnote>
  <w:footnote w:id="12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14/أ من (ب).</w:t>
      </w:r>
    </w:p>
  </w:footnote>
  <w:footnote w:id="12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الاستحقاق</w:t>
      </w:r>
      <w:r>
        <w:rPr>
          <w:rFonts w:hint="eastAsia"/>
          <w:rtl/>
        </w:rPr>
        <w:t>»</w:t>
      </w:r>
      <w:r>
        <w:rPr>
          <w:rFonts w:hint="cs"/>
          <w:rtl/>
        </w:rPr>
        <w:t>. والصحيح ما تمَّ إثباته من (ب).</w:t>
      </w:r>
    </w:p>
  </w:footnote>
  <w:footnote w:id="12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(د)، وفي باقي النسخ: </w:t>
      </w:r>
      <w:r>
        <w:rPr>
          <w:rFonts w:hint="eastAsia"/>
          <w:rtl/>
        </w:rPr>
        <w:t>«</w:t>
      </w:r>
      <w:r>
        <w:rPr>
          <w:rFonts w:hint="cs"/>
          <w:rtl/>
        </w:rPr>
        <w:t>لعل أنه</w:t>
      </w:r>
      <w:r>
        <w:rPr>
          <w:rFonts w:hint="eastAsia"/>
          <w:rtl/>
        </w:rPr>
        <w:t>»</w:t>
      </w:r>
      <w:r>
        <w:rPr>
          <w:rFonts w:hint="cs"/>
          <w:rtl/>
        </w:rPr>
        <w:t>. والصحيح ما في (د)، وهو الموافق لأشباه ابن نجيم.</w:t>
      </w:r>
    </w:p>
  </w:footnote>
  <w:footnote w:id="12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المنفعة</w:t>
      </w:r>
      <w:r>
        <w:rPr>
          <w:rFonts w:hint="eastAsia"/>
          <w:rtl/>
        </w:rPr>
        <w:t>»</w:t>
      </w:r>
      <w:r>
        <w:rPr>
          <w:rFonts w:hint="cs"/>
          <w:rtl/>
        </w:rPr>
        <w:t>.</w:t>
      </w:r>
    </w:p>
  </w:footnote>
  <w:footnote w:id="12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ص40- مع اختلاف سبقت الإشارة إلى أهمه -.</w:t>
      </w:r>
    </w:p>
  </w:footnote>
  <w:footnote w:id="12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بهذا اللفظ أو نحوه في كثير من كتب الفقه وقواعده :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8"/>
          <w:rtl/>
        </w:rPr>
      </w:pPr>
      <w:r>
        <w:rPr>
          <w:rFonts w:hint="cs"/>
          <w:spacing w:val="-2"/>
          <w:rtl/>
        </w:rPr>
        <w:t xml:space="preserve">تقرير القواعد لابن رجب، 1/9 - حيث وردت فيه عرضًا بلفظ : </w:t>
      </w:r>
      <w:r>
        <w:rPr>
          <w:rFonts w:hint="eastAsia"/>
          <w:spacing w:val="-2"/>
          <w:rtl/>
        </w:rPr>
        <w:t>«</w:t>
      </w:r>
      <w:r>
        <w:rPr>
          <w:rFonts w:hint="cs"/>
          <w:spacing w:val="-2"/>
          <w:rtl/>
        </w:rPr>
        <w:t>الأيمان مرجعها إلى العرف</w:t>
      </w:r>
      <w:r>
        <w:rPr>
          <w:rFonts w:hint="eastAsia"/>
          <w:spacing w:val="-2"/>
          <w:rtl/>
        </w:rPr>
        <w:t>»</w:t>
      </w:r>
      <w:r>
        <w:rPr>
          <w:rFonts w:hint="cs"/>
          <w:spacing w:val="-2"/>
          <w:rtl/>
        </w:rPr>
        <w:t xml:space="preserve">-؛ الأشباه والنظائر لابن نجيم، ص22، 72، 121، 212؛ قواعد الفقه له أيضًا، ص122، قاعدة 97؛ الفوائد الزينية له كذلك، ص153، فائدة 186- ولفظه الأول في الأشباه ولفظه في القواعد : </w:t>
      </w:r>
      <w:r>
        <w:rPr>
          <w:rFonts w:hint="eastAsia"/>
          <w:spacing w:val="-2"/>
          <w:rtl/>
        </w:rPr>
        <w:t>«</w:t>
      </w:r>
      <w:r>
        <w:rPr>
          <w:rFonts w:hint="cs"/>
          <w:spacing w:val="-2"/>
          <w:rtl/>
        </w:rPr>
        <w:t>الأيمان مبنية على العرف</w:t>
      </w:r>
      <w:r>
        <w:rPr>
          <w:rFonts w:hint="eastAsia"/>
          <w:spacing w:val="-2"/>
          <w:rtl/>
        </w:rPr>
        <w:t>»</w:t>
      </w:r>
      <w:r>
        <w:rPr>
          <w:rFonts w:hint="cs"/>
          <w:spacing w:val="-2"/>
          <w:rtl/>
        </w:rPr>
        <w:t xml:space="preserve">، كما أن لفظه الثاني في الأشباه ولفظه في الفوائد : </w:t>
      </w:r>
      <w:r>
        <w:rPr>
          <w:rFonts w:hint="eastAsia"/>
          <w:spacing w:val="-2"/>
          <w:rtl/>
        </w:rPr>
        <w:t>«</w:t>
      </w:r>
      <w:r>
        <w:rPr>
          <w:rFonts w:hint="cs"/>
          <w:spacing w:val="-2"/>
          <w:rtl/>
        </w:rPr>
        <w:t>الأيمان مبنية على الألفاظ، لا على الأغراض</w:t>
      </w:r>
      <w:r>
        <w:rPr>
          <w:rFonts w:hint="eastAsia"/>
          <w:spacing w:val="-2"/>
          <w:rtl/>
        </w:rPr>
        <w:t>»</w:t>
      </w:r>
      <w:r>
        <w:rPr>
          <w:rFonts w:hint="cs"/>
          <w:spacing w:val="-2"/>
          <w:rtl/>
        </w:rPr>
        <w:t xml:space="preserve">؛ مجامع الحقائق (الخاتمة)، ص45؛ -وفي المخطوطة : ل35/أ- شرح العلائي لقواعد الخادمي، 9/ب؛ منافع الدقائق، ص313 -ولفظ المجامع وشرح العلائي : </w:t>
      </w:r>
      <w:r>
        <w:rPr>
          <w:rFonts w:hint="eastAsia"/>
          <w:spacing w:val="-2"/>
          <w:rtl/>
        </w:rPr>
        <w:t>«</w:t>
      </w:r>
      <w:r>
        <w:rPr>
          <w:rFonts w:hint="cs"/>
          <w:spacing w:val="-2"/>
          <w:rtl/>
        </w:rPr>
        <w:t>الأيمـان مبنية على الألفاظ لا على الأعراض</w:t>
      </w:r>
      <w:r>
        <w:rPr>
          <w:rFonts w:hint="eastAsia"/>
          <w:spacing w:val="-2"/>
          <w:rtl/>
        </w:rPr>
        <w:t>»</w:t>
      </w:r>
      <w:r>
        <w:rPr>
          <w:rFonts w:hint="cs"/>
          <w:spacing w:val="-2"/>
          <w:rtl/>
        </w:rPr>
        <w:t xml:space="preserve">، حيث وردت الكلمة الأخيرة بِـ (العين) وليس بِـ (الغين)! إلا أنها وردت في المنافع بِـ (الغين)-؛ قواعد الـفقه للمجدّدي، ص65، قاعدة 60 - ولفظه: </w:t>
      </w:r>
      <w:r>
        <w:rPr>
          <w:rFonts w:hint="eastAsia"/>
          <w:spacing w:val="-2"/>
          <w:rtl/>
        </w:rPr>
        <w:t>«</w:t>
      </w:r>
      <w:r>
        <w:rPr>
          <w:rFonts w:hint="cs"/>
          <w:spacing w:val="-2"/>
          <w:rtl/>
        </w:rPr>
        <w:t>الأيمان مبنية على الألفاظ</w:t>
      </w:r>
      <w:r>
        <w:rPr>
          <w:rFonts w:hint="eastAsia"/>
          <w:spacing w:val="-2"/>
          <w:rtl/>
        </w:rPr>
        <w:t>»</w:t>
      </w:r>
      <w:r>
        <w:rPr>
          <w:rFonts w:hint="cs"/>
          <w:spacing w:val="-2"/>
          <w:rtl/>
        </w:rPr>
        <w:t xml:space="preserve">-؛ القواعد والضوابط المستخلصة من التحرير، ص140، 482 - ولفظـه فيهما : </w:t>
      </w:r>
      <w:r>
        <w:rPr>
          <w:rFonts w:hint="eastAsia"/>
          <w:spacing w:val="-2"/>
          <w:rtl/>
        </w:rPr>
        <w:t>«</w:t>
      </w:r>
      <w:r>
        <w:rPr>
          <w:rFonts w:hint="cs"/>
          <w:spacing w:val="-2"/>
          <w:rtl/>
        </w:rPr>
        <w:t>الأيمـان مبنية على العرف</w:t>
      </w:r>
      <w:r>
        <w:rPr>
          <w:rFonts w:hint="eastAsia"/>
          <w:spacing w:val="-2"/>
          <w:rtl/>
        </w:rPr>
        <w:t>»</w:t>
      </w:r>
      <w:r>
        <w:rPr>
          <w:rFonts w:hint="cs"/>
          <w:spacing w:val="-2"/>
          <w:rtl/>
        </w:rPr>
        <w:t xml:space="preserve">، وقد أحال في الموضع الثاني إلى التحرير، 1/276، 797-؛ موسوعة القواعد الفقهية، 2/312، 341، 343، 3/76- وقد ذكر في الموضع الأول لفظًا ورد في كثير من كتب الشافعية منسوبًا للعز بن عبد السلام، وهو : </w:t>
      </w:r>
      <w:r>
        <w:rPr>
          <w:rFonts w:hint="eastAsia"/>
          <w:spacing w:val="-2"/>
          <w:rtl/>
        </w:rPr>
        <w:t>«</w:t>
      </w:r>
      <w:r>
        <w:rPr>
          <w:rFonts w:hint="cs"/>
          <w:spacing w:val="-2"/>
          <w:rtl/>
        </w:rPr>
        <w:t>إن قاعدة الأيمان: البناء على العرف إذا لم يضطرب، فإن اضطراب : فالرجوع إلى اللغة</w:t>
      </w:r>
      <w:r>
        <w:rPr>
          <w:rFonts w:hint="eastAsia"/>
          <w:spacing w:val="-2"/>
          <w:rtl/>
        </w:rPr>
        <w:t>»</w:t>
      </w:r>
      <w:r>
        <w:rPr>
          <w:rFonts w:hint="cs"/>
          <w:spacing w:val="-2"/>
          <w:rtl/>
        </w:rPr>
        <w:t>-؛ ومن كتب الشافعية التي ذكرته</w:t>
      </w:r>
      <w:r>
        <w:rPr>
          <w:rFonts w:hint="cs"/>
          <w:spacing w:val="-8"/>
          <w:rtl/>
        </w:rPr>
        <w:t>: الأشباه والنظائر لابن الوكيل، 1/134؛ المجموع المذهب، 2/478؛</w:t>
      </w:r>
      <w:r>
        <w:rPr>
          <w:rFonts w:hint="cs"/>
          <w:spacing w:val="-2"/>
          <w:rtl/>
        </w:rPr>
        <w:t xml:space="preserve"> </w:t>
      </w:r>
      <w:r>
        <w:rPr>
          <w:rFonts w:hint="cs"/>
          <w:spacing w:val="-8"/>
          <w:rtl/>
        </w:rPr>
        <w:t>القواعد للحصني، 1/432؛ مختصر من قواعد العلائي والإسـنوي، 2/604؛ الأشـباه والنـظائر للسيوطـي، 1/229.</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 xml:space="preserve">فتاوي النوازل لأبي الليث السمرقندي، ص162، 170؛ المبـسوط، 5/127؛ الدّرر شرح الغرر، 2/44؛ مغني المحتاج، 4/336؛ الدر المختار ورد المحتار، 5/528 -وقد أفرد صاحب (رد المحتار) للقاعدة مطلبًا مستقلاً، فراجعه إن شئت-؛ منار السبيل، 2/442. </w:t>
      </w:r>
    </w:p>
  </w:footnote>
  <w:footnote w:id="12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أن </w:t>
      </w:r>
      <w:r>
        <w:rPr>
          <w:rFonts w:hint="eastAsia"/>
          <w:rtl/>
        </w:rPr>
        <w:t>»</w:t>
      </w:r>
      <w:r>
        <w:rPr>
          <w:rFonts w:hint="cs"/>
          <w:rtl/>
        </w:rPr>
        <w:t xml:space="preserve"> وليس ( لا ).</w:t>
      </w:r>
    </w:p>
  </w:footnote>
  <w:footnote w:id="12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21/أ من (أ).</w:t>
      </w:r>
    </w:p>
  </w:footnote>
  <w:footnote w:id="12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ولم يوجد هكذا في (الأشباه والنظائر)، ولكن ذكر في أيمان (الخلاصة)</w:t>
      </w:r>
      <w:r>
        <w:rPr>
          <w:rFonts w:hint="eastAsia"/>
          <w:rtl/>
        </w:rPr>
        <w:t>»</w:t>
      </w:r>
      <w:r>
        <w:rPr>
          <w:rFonts w:hint="cs"/>
          <w:rtl/>
        </w:rPr>
        <w:t xml:space="preserve"> هذا القول ربّما المراد منه: أن المثالَ المذكورَ مذكورٌ في (الخلاصة) دون الأشباه.</w:t>
      </w:r>
    </w:p>
    <w:p w:rsidR="00035BE3" w:rsidRDefault="00035BE3" w:rsidP="00C10469">
      <w:pPr>
        <w:pStyle w:val="a6"/>
        <w:ind w:left="422" w:firstLine="0"/>
        <w:rPr>
          <w:rtl/>
        </w:rPr>
      </w:pPr>
      <w:r>
        <w:rPr>
          <w:rFonts w:hint="cs"/>
          <w:rtl/>
        </w:rPr>
        <w:t xml:space="preserve">ولكن بتتبع كتاب (الأشباه)  يلحظ أن ابن نجيم ذكر القاعدة في أربعة مواضع - وهي ص22، 72، 121، 212 - ولم يُغفل المثال المذكور؛ بل ذكره في الموضع الأخير، ص212، حيث قال: </w:t>
      </w:r>
      <w:r>
        <w:rPr>
          <w:rFonts w:hint="eastAsia"/>
          <w:rtl/>
        </w:rPr>
        <w:t>«</w:t>
      </w:r>
      <w:r>
        <w:rPr>
          <w:rFonts w:hint="cs"/>
          <w:rtl/>
        </w:rPr>
        <w:t xml:space="preserve">الأيمان مبنية على الألفاظ لا على الأغراض ... إلا في مسائل : حلف لا يشتريه بعشرة: حنث بأحد عشر. ولو حلف البائع: لم يحنث به؛ ... ولو اشترى أو باع بتسعة لم يحنث؛ لأن المشتري مستنقص، </w:t>
      </w:r>
      <w:r w:rsidRPr="00D33ED7">
        <w:rPr>
          <w:rFonts w:hint="cs"/>
          <w:spacing w:val="-4"/>
          <w:rtl/>
        </w:rPr>
        <w:t xml:space="preserve">والبائع - وإن كان مستزيدًا، لكن لا حنث بالغرض بلا مسمى. وتمامه في (الجامع) من باب </w:t>
      </w:r>
      <w:r>
        <w:rPr>
          <w:rFonts w:hint="cs"/>
          <w:rtl/>
        </w:rPr>
        <w:t>المساومة</w:t>
      </w:r>
      <w:r>
        <w:rPr>
          <w:rFonts w:hint="eastAsia"/>
          <w:rtl/>
        </w:rPr>
        <w:t>»</w:t>
      </w:r>
      <w:r>
        <w:rPr>
          <w:rFonts w:hint="cs"/>
          <w:rtl/>
        </w:rPr>
        <w:t>. فيُلحظ أن ابن نجيم صرّح بأن البائع إذا حلف لا يبيعه بعشرة لم يحنث ببيعه بأحد عشرة أو تسعة !!.</w:t>
      </w:r>
    </w:p>
    <w:p w:rsidR="00035BE3" w:rsidRDefault="00035BE3" w:rsidP="00C10469">
      <w:pPr>
        <w:pStyle w:val="a6"/>
        <w:ind w:left="422" w:firstLine="0"/>
        <w:rPr>
          <w:rtl/>
        </w:rPr>
      </w:pPr>
      <w:r>
        <w:rPr>
          <w:rFonts w:hint="cs"/>
          <w:rtl/>
        </w:rPr>
        <w:t>فلعل المؤلف له مراد آخر لم يظهر لي، أو أن هذا مراده ولكنه لم يقف على هذا الموضع من (الأشباه)-والله أعلم-.</w:t>
      </w:r>
    </w:p>
  </w:footnote>
  <w:footnote w:id="12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2/138؛ وانظر : فتاوى النوازل، ص172.</w:t>
      </w:r>
    </w:p>
    <w:p w:rsidR="00035BE3" w:rsidRDefault="00035BE3" w:rsidP="00C10469">
      <w:pPr>
        <w:pStyle w:val="a6"/>
        <w:ind w:left="422" w:firstLine="0"/>
        <w:rPr>
          <w:rtl/>
        </w:rPr>
      </w:pPr>
      <w:r>
        <w:rPr>
          <w:rFonts w:hint="cs"/>
          <w:b/>
          <w:bCs/>
          <w:rtl/>
        </w:rPr>
        <w:t>والخلاصة</w:t>
      </w:r>
      <w:r>
        <w:rPr>
          <w:rFonts w:hint="cs"/>
          <w:rtl/>
        </w:rPr>
        <w:t xml:space="preserve"> : كتاب في الفقه الحنفي، ألّفه طاهر بن أحمد بن عبد الرشيد البخاري (ت 542 هـ).</w:t>
      </w:r>
    </w:p>
    <w:p w:rsidR="00035BE3" w:rsidRDefault="00035BE3" w:rsidP="00C10469">
      <w:pPr>
        <w:pStyle w:val="a6"/>
        <w:ind w:left="422" w:firstLine="0"/>
        <w:rPr>
          <w:rtl/>
        </w:rPr>
      </w:pPr>
      <w:r>
        <w:rPr>
          <w:rFonts w:hint="cs"/>
          <w:rtl/>
        </w:rPr>
        <w:t>وقد بين المؤلف في المقدمة أنه كَتَبَ في فنِّ الفقه : (خزانة الواقعات)، وكتاب (النصاب)، فسأله بعض إخوانه كتابة نسخةٍ قصيرة يمكن ضبطها، فكتب الخلاصة جامعة للرواية، خالية عن الزوائد.</w:t>
      </w:r>
    </w:p>
    <w:p w:rsidR="00035BE3" w:rsidRDefault="00035BE3" w:rsidP="00C10469">
      <w:pPr>
        <w:pStyle w:val="a6"/>
        <w:ind w:left="422" w:firstLine="0"/>
        <w:rPr>
          <w:rtl/>
        </w:rPr>
      </w:pPr>
      <w:r>
        <w:rPr>
          <w:rFonts w:hint="cs"/>
          <w:rtl/>
        </w:rPr>
        <w:t xml:space="preserve">وقد نصّ اللكنوي على أنه : </w:t>
      </w:r>
      <w:r>
        <w:rPr>
          <w:rFonts w:hint="eastAsia"/>
          <w:rtl/>
        </w:rPr>
        <w:t>«</w:t>
      </w:r>
      <w:r>
        <w:rPr>
          <w:rFonts w:hint="cs"/>
          <w:rtl/>
        </w:rPr>
        <w:t>كتاب معتبر عند العلماء، معتمد عند الفقهاء</w:t>
      </w:r>
      <w:r>
        <w:rPr>
          <w:rFonts w:hint="eastAsia"/>
          <w:rtl/>
        </w:rPr>
        <w:t>»</w:t>
      </w:r>
      <w:r>
        <w:rPr>
          <w:rFonts w:hint="cs"/>
          <w:rtl/>
        </w:rPr>
        <w:t>.</w:t>
      </w:r>
    </w:p>
    <w:p w:rsidR="00035BE3" w:rsidRDefault="00035BE3" w:rsidP="00C10469">
      <w:pPr>
        <w:pStyle w:val="a6"/>
        <w:ind w:left="422" w:firstLine="0"/>
        <w:rPr>
          <w:rtl/>
        </w:rPr>
      </w:pPr>
      <w:r>
        <w:rPr>
          <w:rFonts w:hint="cs"/>
          <w:rtl/>
        </w:rPr>
        <w:t>وقد طبع الكتاب طباعة قديمة في فولكشور بلكنهو بالهند، عام 1329هـ، وهي محفوظة في مكتبة جامعة الملك سعود، ورقم التصنيف 4 ، 217 ب ط خ، وأيضًا في مكتبة الملك عبد العزيز بالمدينة النبوية، مجموعة مكتبة الشيخ عبد القادر شلبي، برقم 935.</w:t>
      </w:r>
    </w:p>
    <w:p w:rsidR="00035BE3" w:rsidRDefault="00035BE3" w:rsidP="00C10469">
      <w:pPr>
        <w:pStyle w:val="a6"/>
        <w:ind w:left="422" w:firstLine="0"/>
        <w:rPr>
          <w:rtl/>
        </w:rPr>
      </w:pPr>
      <w:r>
        <w:rPr>
          <w:rFonts w:hint="cs"/>
          <w:rtl/>
        </w:rPr>
        <w:t xml:space="preserve">كما أن له عدّة نسخ خطية منها النسخ الآتية : </w:t>
      </w:r>
    </w:p>
    <w:p w:rsidR="00035BE3" w:rsidRDefault="00035BE3" w:rsidP="00C10469">
      <w:pPr>
        <w:pStyle w:val="a6"/>
        <w:ind w:left="422" w:firstLine="0"/>
        <w:rPr>
          <w:rtl/>
        </w:rPr>
      </w:pPr>
      <w:r>
        <w:rPr>
          <w:rFonts w:hint="cs"/>
          <w:rtl/>
        </w:rPr>
        <w:t>1- مكتبة الملك عبد العزيز بالمدينة النبوية، مجموعة بشير أغا، برقم 826.</w:t>
      </w:r>
    </w:p>
    <w:p w:rsidR="00035BE3" w:rsidRDefault="00035BE3" w:rsidP="00C10469">
      <w:pPr>
        <w:pStyle w:val="a6"/>
        <w:ind w:left="422" w:firstLine="0"/>
        <w:rPr>
          <w:rtl/>
        </w:rPr>
      </w:pPr>
      <w:r>
        <w:rPr>
          <w:rFonts w:hint="cs"/>
          <w:rtl/>
        </w:rPr>
        <w:t>2- مكتبة الحرم المكي، برقم (32) دهلوي.</w:t>
      </w:r>
    </w:p>
    <w:p w:rsidR="00035BE3" w:rsidRDefault="00035BE3" w:rsidP="00C10469">
      <w:pPr>
        <w:pStyle w:val="a6"/>
        <w:ind w:left="422" w:firstLine="0"/>
        <w:rPr>
          <w:rtl/>
        </w:rPr>
      </w:pPr>
      <w:r>
        <w:rPr>
          <w:rFonts w:hint="cs"/>
          <w:rtl/>
        </w:rPr>
        <w:t>3- مركز الملك فيصل، برقم 4302.</w:t>
      </w:r>
    </w:p>
    <w:p w:rsidR="00035BE3" w:rsidRDefault="00035BE3" w:rsidP="00C10469">
      <w:pPr>
        <w:pStyle w:val="a6"/>
        <w:ind w:left="422" w:firstLine="0"/>
        <w:rPr>
          <w:rtl/>
        </w:rPr>
      </w:pPr>
      <w:r>
        <w:rPr>
          <w:rFonts w:hint="cs"/>
          <w:rtl/>
        </w:rPr>
        <w:t>4-47- مكتبة السليمانية باستانبول وذلك في الفهارس الآتية :</w:t>
      </w:r>
    </w:p>
    <w:p w:rsidR="00035BE3" w:rsidRDefault="00035BE3" w:rsidP="00C10469">
      <w:pPr>
        <w:pStyle w:val="a6"/>
        <w:ind w:left="422" w:firstLine="0"/>
        <w:rPr>
          <w:rtl/>
        </w:rPr>
      </w:pPr>
      <w:r>
        <w:rPr>
          <w:rFonts w:hint="cs"/>
          <w:rtl/>
        </w:rPr>
        <w:t>- عاشر أفندي، برقم 408.</w:t>
      </w:r>
    </w:p>
    <w:p w:rsidR="00035BE3" w:rsidRDefault="00035BE3" w:rsidP="00C10469">
      <w:pPr>
        <w:pStyle w:val="a6"/>
        <w:ind w:left="422" w:firstLine="0"/>
        <w:rPr>
          <w:rtl/>
        </w:rPr>
      </w:pPr>
      <w:r>
        <w:rPr>
          <w:rFonts w:hint="cs"/>
          <w:rtl/>
        </w:rPr>
        <w:t>- فاتح، وأرقامه : 2294-2317.</w:t>
      </w:r>
    </w:p>
    <w:p w:rsidR="00035BE3" w:rsidRDefault="00035BE3" w:rsidP="00C10469">
      <w:pPr>
        <w:pStyle w:val="a6"/>
        <w:ind w:left="422" w:firstLine="0"/>
        <w:rPr>
          <w:rtl/>
        </w:rPr>
      </w:pPr>
      <w:r>
        <w:rPr>
          <w:rFonts w:hint="cs"/>
          <w:rtl/>
        </w:rPr>
        <w:t>- بشير أغا، برقم 312.</w:t>
      </w:r>
    </w:p>
    <w:p w:rsidR="00035BE3" w:rsidRDefault="00035BE3" w:rsidP="00C10469">
      <w:pPr>
        <w:pStyle w:val="a6"/>
        <w:ind w:left="422" w:firstLine="0"/>
        <w:rPr>
          <w:rtl/>
        </w:rPr>
      </w:pPr>
      <w:r>
        <w:rPr>
          <w:rFonts w:hint="cs"/>
          <w:rtl/>
        </w:rPr>
        <w:t>- نور عثمانية، وأرقامه : 1944-1950.</w:t>
      </w:r>
      <w:r>
        <w:rPr>
          <w:rFonts w:hint="cs"/>
          <w:rtl/>
        </w:rPr>
        <w:tab/>
      </w:r>
      <w:r>
        <w:rPr>
          <w:rFonts w:hint="cs"/>
          <w:rtl/>
        </w:rPr>
        <w:tab/>
      </w:r>
      <w:r>
        <w:rPr>
          <w:rFonts w:hint="cs"/>
          <w:rtl/>
        </w:rPr>
        <w:tab/>
      </w:r>
      <w:r>
        <w:rPr>
          <w:rFonts w:hint="cs"/>
          <w:rtl/>
        </w:rPr>
        <w:tab/>
      </w:r>
      <w:r>
        <w:rPr>
          <w:rFonts w:hint="cs"/>
          <w:rtl/>
        </w:rPr>
        <w:tab/>
      </w:r>
      <w:r>
        <w:rPr>
          <w:rFonts w:hint="cs"/>
          <w:rtl/>
        </w:rPr>
        <w:tab/>
      </w:r>
    </w:p>
    <w:p w:rsidR="00035BE3" w:rsidRDefault="00035BE3" w:rsidP="00C10469">
      <w:pPr>
        <w:pStyle w:val="a6"/>
        <w:ind w:left="422" w:firstLine="0"/>
        <w:rPr>
          <w:rtl/>
        </w:rPr>
      </w:pPr>
      <w:r>
        <w:rPr>
          <w:rFonts w:hint="cs"/>
          <w:rtl/>
        </w:rPr>
        <w:t>- لاله لي، برقم 1253.</w:t>
      </w:r>
    </w:p>
    <w:p w:rsidR="00035BE3" w:rsidRDefault="00035BE3" w:rsidP="00C10469">
      <w:pPr>
        <w:pStyle w:val="a6"/>
        <w:ind w:left="422" w:firstLine="0"/>
        <w:rPr>
          <w:rtl/>
        </w:rPr>
      </w:pPr>
      <w:r>
        <w:rPr>
          <w:rFonts w:hint="cs"/>
          <w:rtl/>
        </w:rPr>
        <w:t>- جورليلي علي باشا، وأرقامه : 267-269.</w:t>
      </w:r>
    </w:p>
    <w:p w:rsidR="00035BE3" w:rsidRDefault="00035BE3" w:rsidP="00C10469">
      <w:pPr>
        <w:pStyle w:val="a6"/>
        <w:ind w:left="422" w:firstLine="0"/>
        <w:rPr>
          <w:rtl/>
        </w:rPr>
      </w:pPr>
      <w:r>
        <w:rPr>
          <w:rFonts w:hint="cs"/>
          <w:rtl/>
        </w:rPr>
        <w:t>- أيا صوفيا، وأرقامه : 1150، 1537-1538.</w:t>
      </w:r>
    </w:p>
    <w:p w:rsidR="00035BE3" w:rsidRDefault="00035BE3" w:rsidP="00C10469">
      <w:pPr>
        <w:pStyle w:val="a6"/>
        <w:ind w:left="422" w:firstLine="0"/>
        <w:rPr>
          <w:rtl/>
        </w:rPr>
      </w:pPr>
      <w:r>
        <w:rPr>
          <w:rFonts w:hint="cs"/>
          <w:rtl/>
        </w:rPr>
        <w:t>- الحاج سليم أغا، وأرقامه : 418-420</w:t>
      </w:r>
    </w:p>
    <w:p w:rsidR="00035BE3" w:rsidRDefault="00035BE3" w:rsidP="00C10469">
      <w:pPr>
        <w:pStyle w:val="a6"/>
        <w:ind w:left="422" w:firstLine="0"/>
        <w:rPr>
          <w:rtl/>
        </w:rPr>
      </w:pPr>
      <w:r>
        <w:rPr>
          <w:rFonts w:hint="cs"/>
          <w:rtl/>
        </w:rPr>
        <w:t>- حلبي عبد الله أفندي، برقم 149.</w:t>
      </w:r>
    </w:p>
    <w:p w:rsidR="00035BE3" w:rsidRDefault="00035BE3" w:rsidP="00C10469">
      <w:pPr>
        <w:pStyle w:val="a6"/>
        <w:ind w:left="422" w:firstLine="0"/>
        <w:rPr>
          <w:rtl/>
        </w:rPr>
      </w:pPr>
      <w:r>
        <w:rPr>
          <w:rFonts w:hint="cs"/>
          <w:b/>
          <w:bCs/>
          <w:rtl/>
        </w:rPr>
        <w:t>انظر</w:t>
      </w:r>
      <w:r>
        <w:rPr>
          <w:rFonts w:hint="cs"/>
          <w:rtl/>
        </w:rPr>
        <w:t xml:space="preserve"> : خلاصة الفتـاوي، ص1/2 ؛ الجواهر المضية، 2/276-277، رقم166؛ تـاج التراجم، ص109، رقم 121؛ الطبقات السنية، 4/105، رقم 997؛ كـشف الـظنون، 1/718؛ النافع الكبير (المقدمة)، ص8-9؛ الفوائد البهية، ص84، 116؛ هدية العارفين، 5/430؛ الفكر السامي في تاريخ الفقه الإسلامي، 3/209.</w:t>
      </w:r>
    </w:p>
  </w:footnote>
  <w:footnote w:id="12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16/أ من (جـ).</w:t>
      </w:r>
    </w:p>
  </w:footnote>
  <w:footnote w:id="12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يشتري به</w:t>
      </w:r>
      <w:r>
        <w:rPr>
          <w:rFonts w:hint="eastAsia"/>
          <w:rtl/>
        </w:rPr>
        <w:t>»</w:t>
      </w:r>
      <w:r>
        <w:rPr>
          <w:rFonts w:hint="cs"/>
          <w:rtl/>
        </w:rPr>
        <w:t xml:space="preserve">. والصحيح ما تمَّ إثباته من باقي النسخ، ولاسيما أن المؤلف كرّر هذا اللفظ لاحقًا - بعد ثلاثة سطور- وقد اتفقت جميع النسخ على أن الكلمة : </w:t>
      </w:r>
      <w:r>
        <w:rPr>
          <w:rFonts w:hint="eastAsia"/>
          <w:rtl/>
        </w:rPr>
        <w:t>«</w:t>
      </w:r>
      <w:r>
        <w:rPr>
          <w:rFonts w:hint="cs"/>
          <w:rtl/>
        </w:rPr>
        <w:t>يشتريه</w:t>
      </w:r>
      <w:r>
        <w:rPr>
          <w:rFonts w:hint="eastAsia"/>
          <w:rtl/>
        </w:rPr>
        <w:t>»</w:t>
      </w:r>
      <w:r>
        <w:rPr>
          <w:rFonts w:hint="cs"/>
          <w:rtl/>
        </w:rPr>
        <w:t>.</w:t>
      </w:r>
    </w:p>
  </w:footnote>
  <w:footnote w:id="12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فاشتراه</w:t>
      </w:r>
      <w:r>
        <w:rPr>
          <w:rFonts w:hint="eastAsia"/>
          <w:rtl/>
        </w:rPr>
        <w:t>»</w:t>
      </w:r>
      <w:r>
        <w:rPr>
          <w:rFonts w:hint="cs"/>
          <w:rtl/>
        </w:rPr>
        <w:t>.</w:t>
      </w:r>
    </w:p>
  </w:footnote>
  <w:footnote w:id="12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أحد</w:t>
      </w:r>
      <w:r>
        <w:rPr>
          <w:rFonts w:hint="eastAsia"/>
          <w:rtl/>
        </w:rPr>
        <w:t>»</w:t>
      </w:r>
      <w:r>
        <w:rPr>
          <w:rFonts w:hint="cs"/>
          <w:rtl/>
        </w:rPr>
        <w:t>.</w:t>
      </w:r>
    </w:p>
  </w:footnote>
  <w:footnote w:id="12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فتاوى النوازل، ص172؛ الأشباه والنظائر لابن نجيم، ص212.</w:t>
      </w:r>
    </w:p>
  </w:footnote>
  <w:footnote w:id="12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يحنث بالاستحسان</w:t>
      </w:r>
      <w:r>
        <w:rPr>
          <w:rFonts w:hint="eastAsia"/>
          <w:rtl/>
        </w:rPr>
        <w:t>»</w:t>
      </w:r>
      <w:r>
        <w:rPr>
          <w:rFonts w:hint="cs"/>
          <w:rtl/>
        </w:rPr>
        <w:t>.</w:t>
      </w:r>
    </w:p>
  </w:footnote>
  <w:footnote w:id="12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14/أ من (د).</w:t>
      </w:r>
    </w:p>
  </w:footnote>
  <w:footnote w:id="129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فاض</w:t>
      </w:r>
      <w:r>
        <w:rPr>
          <w:rFonts w:hint="eastAsia"/>
          <w:rtl/>
        </w:rPr>
        <w:t>»</w:t>
      </w:r>
      <w:r>
        <w:rPr>
          <w:rFonts w:hint="cs"/>
          <w:rtl/>
        </w:rPr>
        <w:t>. والصحيح ما تمَّ إثباته من باقي النسخ.</w:t>
      </w:r>
    </w:p>
  </w:footnote>
  <w:footnote w:id="129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يشير المؤلف إلى قاعدة سيأتي الحديث عنها استقلالاً، وهي : </w:t>
      </w:r>
      <w:r>
        <w:rPr>
          <w:rFonts w:hint="eastAsia"/>
          <w:rtl/>
        </w:rPr>
        <w:t>«</w:t>
      </w:r>
      <w:r>
        <w:rPr>
          <w:rFonts w:hint="cs"/>
          <w:rtl/>
        </w:rPr>
        <w:t>الثابت بالعرف قاضٍ على القياس</w:t>
      </w:r>
      <w:r>
        <w:rPr>
          <w:rFonts w:hint="eastAsia"/>
          <w:rtl/>
        </w:rPr>
        <w:t>»</w:t>
      </w:r>
      <w:r>
        <w:rPr>
          <w:rFonts w:hint="cs"/>
          <w:rtl/>
        </w:rPr>
        <w:t>، وذلك ص568 (ل40/ب)، قاعدة 95.</w:t>
      </w:r>
    </w:p>
  </w:footnote>
  <w:footnote w:id="129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w:t>
      </w:r>
      <w:r>
        <w:rPr>
          <w:rFonts w:hint="eastAsia"/>
          <w:rtl/>
        </w:rPr>
        <w:t>«</w:t>
      </w:r>
      <w:r>
        <w:rPr>
          <w:rFonts w:hint="cs"/>
          <w:rtl/>
        </w:rPr>
        <w:t>يسمى</w:t>
      </w:r>
      <w:r>
        <w:rPr>
          <w:rFonts w:hint="eastAsia"/>
          <w:rtl/>
        </w:rPr>
        <w:t>»</w:t>
      </w:r>
      <w:r>
        <w:rPr>
          <w:rFonts w:hint="cs"/>
          <w:rtl/>
        </w:rPr>
        <w:t xml:space="preserve">. والأفصح ما تمَّ إثباته من (ب) و(د)، وهو الموافق للهداية، حيث جاء فيها: </w:t>
      </w:r>
      <w:r>
        <w:rPr>
          <w:rFonts w:hint="eastAsia"/>
          <w:rtl/>
        </w:rPr>
        <w:t>«</w:t>
      </w:r>
      <w:r>
        <w:rPr>
          <w:rFonts w:hint="cs"/>
          <w:rtl/>
        </w:rPr>
        <w:t>وهذه تسمى يمينُ فورٍ</w:t>
      </w:r>
      <w:r>
        <w:rPr>
          <w:rFonts w:hint="eastAsia"/>
          <w:rtl/>
        </w:rPr>
        <w:t>»</w:t>
      </w:r>
      <w:r>
        <w:rPr>
          <w:rFonts w:hint="cs"/>
          <w:rtl/>
        </w:rPr>
        <w:t>.</w:t>
      </w:r>
    </w:p>
  </w:footnote>
  <w:footnote w:id="129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الصور</w:t>
      </w:r>
      <w:r>
        <w:rPr>
          <w:rFonts w:hint="eastAsia"/>
          <w:rtl/>
        </w:rPr>
        <w:t>»</w:t>
      </w:r>
      <w:r>
        <w:rPr>
          <w:rFonts w:hint="cs"/>
          <w:rtl/>
        </w:rPr>
        <w:t>.</w:t>
      </w:r>
    </w:p>
  </w:footnote>
  <w:footnote w:id="129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يمين الفور</w:t>
      </w:r>
      <w:r>
        <w:rPr>
          <w:rFonts w:hint="cs"/>
          <w:rtl/>
        </w:rPr>
        <w:t xml:space="preserve"> : </w:t>
      </w:r>
      <w:r>
        <w:rPr>
          <w:rFonts w:hint="eastAsia"/>
          <w:rtl/>
        </w:rPr>
        <w:t>«</w:t>
      </w:r>
      <w:r>
        <w:rPr>
          <w:rFonts w:hint="cs"/>
          <w:rtl/>
        </w:rPr>
        <w:t>هي يمين مؤبدَّة لفظًا، مؤقَّتة معنى، تتقيَّد بالحال، وهي ما يكون جوابًا لكلام يتعلق بالحال</w:t>
      </w:r>
      <w:r>
        <w:rPr>
          <w:rFonts w:hint="eastAsia"/>
          <w:rtl/>
        </w:rPr>
        <w:t>»</w:t>
      </w:r>
      <w:r>
        <w:rPr>
          <w:rFonts w:hint="cs"/>
          <w:rtl/>
        </w:rPr>
        <w:t>- قاله صاحب فتح القدير، 5/114، ومثّل لها ببعض الأمثلة فراجعه إن شئت-.</w:t>
      </w:r>
    </w:p>
  </w:footnote>
  <w:footnote w:id="129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وتفر</w:t>
      </w:r>
      <w:r>
        <w:rPr>
          <w:rFonts w:hint="eastAsia"/>
          <w:rtl/>
        </w:rPr>
        <w:t>»</w:t>
      </w:r>
      <w:r>
        <w:rPr>
          <w:rFonts w:hint="cs"/>
          <w:rtl/>
        </w:rPr>
        <w:t xml:space="preserve"> بإسقاط الدال، ومكان الدال في (أ) : سواد خفيف. والصحيح ما تمَّ إثباته من باقي النسخ، وهو الموافق للهداية.</w:t>
      </w:r>
    </w:p>
  </w:footnote>
  <w:footnote w:id="129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وضَّح صاحب (العناية) - 5/113- هذه العبارة فقال : </w:t>
      </w:r>
      <w:r>
        <w:rPr>
          <w:rFonts w:hint="eastAsia"/>
          <w:rtl/>
        </w:rPr>
        <w:t>«</w:t>
      </w:r>
      <w:r>
        <w:rPr>
          <w:rFonts w:hint="cs"/>
          <w:rtl/>
        </w:rPr>
        <w:t>أي باستنباطه. وكان الناس قبله يعلمون اليمين على نوعين : مؤبده، ومؤقتة لفظًا.</w:t>
      </w:r>
    </w:p>
    <w:p w:rsidR="00035BE3" w:rsidRDefault="00035BE3" w:rsidP="00C10469">
      <w:pPr>
        <w:pStyle w:val="a6"/>
        <w:spacing w:line="420" w:lineRule="exact"/>
        <w:ind w:left="422" w:firstLine="0"/>
        <w:rPr>
          <w:rtl/>
        </w:rPr>
      </w:pPr>
      <w:r>
        <w:rPr>
          <w:rFonts w:hint="cs"/>
          <w:rtl/>
        </w:rPr>
        <w:t>ثم استنبط أبو حنيفة هذا النوع الثالث وهو المؤبد لفظًا، والموقت معنى ...</w:t>
      </w:r>
      <w:r>
        <w:rPr>
          <w:rFonts w:hint="eastAsia"/>
          <w:rtl/>
        </w:rPr>
        <w:t>»</w:t>
      </w:r>
      <w:r>
        <w:rPr>
          <w:rFonts w:hint="cs"/>
          <w:rtl/>
        </w:rPr>
        <w:t>.</w:t>
      </w:r>
    </w:p>
  </w:footnote>
  <w:footnote w:id="130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ذلك</w:t>
      </w:r>
      <w:r>
        <w:rPr>
          <w:rFonts w:hint="eastAsia"/>
          <w:rtl/>
        </w:rPr>
        <w:t>»</w:t>
      </w:r>
      <w:r>
        <w:rPr>
          <w:rFonts w:hint="cs"/>
          <w:rtl/>
        </w:rPr>
        <w:t xml:space="preserve">. والصحيح ما تمَّ إثباته من (ب)، وهو الموافق للهداية، حيث جاء فيها : </w:t>
      </w:r>
      <w:r>
        <w:rPr>
          <w:rFonts w:hint="eastAsia"/>
          <w:rtl/>
        </w:rPr>
        <w:t>«</w:t>
      </w:r>
      <w:r>
        <w:rPr>
          <w:rFonts w:hint="cs"/>
          <w:rtl/>
        </w:rPr>
        <w:t>الرّد عن تلك الضربة ...</w:t>
      </w:r>
      <w:r>
        <w:rPr>
          <w:rFonts w:hint="eastAsia"/>
          <w:rtl/>
        </w:rPr>
        <w:t>»</w:t>
      </w:r>
      <w:r>
        <w:rPr>
          <w:rFonts w:hint="cs"/>
          <w:rtl/>
        </w:rPr>
        <w:t>.</w:t>
      </w:r>
    </w:p>
  </w:footnote>
  <w:footnote w:id="130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والخروج</w:t>
      </w:r>
      <w:r>
        <w:rPr>
          <w:rFonts w:hint="eastAsia"/>
          <w:rtl/>
        </w:rPr>
        <w:t>»</w:t>
      </w:r>
      <w:r>
        <w:rPr>
          <w:rFonts w:hint="cs"/>
          <w:rtl/>
        </w:rPr>
        <w:t>.</w:t>
      </w:r>
    </w:p>
  </w:footnote>
  <w:footnote w:id="13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5/113 - مع اختلاف يسير سبقت الإشارة إليه -.</w:t>
      </w:r>
    </w:p>
  </w:footnote>
  <w:footnote w:id="130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بهذا اللفظ في بعض كتب الفقه وقواعده :</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ind w:left="422" w:firstLine="0"/>
        <w:rPr>
          <w:rtl/>
        </w:rPr>
      </w:pPr>
      <w:r>
        <w:rPr>
          <w:rFonts w:hint="cs"/>
          <w:rtl/>
        </w:rPr>
        <w:t xml:space="preserve">موسوعة القواعد الفقهية، 2/337؛ القواعد والضوابط المستخلصة من التحرير، ص482، وأحال إلى التحرير، 1/71، 4/1108، وذكرها في موضعين آخرين بلفظين متقاربين، أولهما: </w:t>
      </w:r>
      <w:r>
        <w:rPr>
          <w:rFonts w:hint="eastAsia"/>
          <w:rtl/>
        </w:rPr>
        <w:t>«</w:t>
      </w:r>
      <w:r>
        <w:rPr>
          <w:rFonts w:hint="cs"/>
          <w:rtl/>
        </w:rPr>
        <w:t>إيجاب العبد يصحّ فيما له من جنسه واجب بإيجاب الشرع، أما ما ليس له من جنسه واجب: لا يصحّ</w:t>
      </w:r>
      <w:r>
        <w:rPr>
          <w:rFonts w:hint="eastAsia"/>
          <w:rtl/>
        </w:rPr>
        <w:t>»</w:t>
      </w:r>
      <w:r>
        <w:rPr>
          <w:rFonts w:hint="cs"/>
          <w:rtl/>
        </w:rPr>
        <w:t xml:space="preserve">، وذلك ص155، و164؛ كما ورد شيء من معناها في تقرير القواعد لابن رجب - 2/394، قاعدة100- باللفظ الآتي: </w:t>
      </w:r>
      <w:r>
        <w:rPr>
          <w:rFonts w:hint="eastAsia"/>
          <w:rtl/>
        </w:rPr>
        <w:t>«</w:t>
      </w:r>
      <w:r>
        <w:rPr>
          <w:rFonts w:hint="cs"/>
          <w:rtl/>
        </w:rPr>
        <w:t>الواجب بالنذر هل يلحق بالواجب بالشرع أو بالمندوب</w:t>
      </w:r>
      <w:r>
        <w:rPr>
          <w:rFonts w:hint="eastAsia"/>
          <w:rtl/>
        </w:rPr>
        <w:t>»</w:t>
      </w:r>
      <w:r>
        <w:rPr>
          <w:rFonts w:hint="cs"/>
          <w:rtl/>
        </w:rPr>
        <w:t>؛ وتابعه على ذلك صاحب مجلة الأحكام الشرعية، ص95، مادة 100.</w:t>
      </w:r>
    </w:p>
    <w:p w:rsidR="00035BE3" w:rsidRDefault="00035BE3" w:rsidP="00C10469">
      <w:pPr>
        <w:pStyle w:val="a6"/>
        <w:ind w:left="422" w:firstLine="0"/>
        <w:rPr>
          <w:b/>
          <w:bCs/>
          <w:rtl/>
        </w:rPr>
      </w:pPr>
      <w:r>
        <w:rPr>
          <w:rFonts w:hint="cs"/>
          <w:b/>
          <w:bCs/>
          <w:rtl/>
        </w:rPr>
        <w:t xml:space="preserve">ومن كتب الفقه : </w:t>
      </w:r>
    </w:p>
    <w:p w:rsidR="00035BE3" w:rsidRDefault="00035BE3" w:rsidP="00C10469">
      <w:pPr>
        <w:pStyle w:val="a6"/>
        <w:ind w:left="422" w:firstLine="0"/>
        <w:rPr>
          <w:spacing w:val="10"/>
          <w:rtl/>
        </w:rPr>
      </w:pPr>
      <w:r>
        <w:rPr>
          <w:rFonts w:hint="cs"/>
          <w:spacing w:val="10"/>
          <w:rtl/>
        </w:rPr>
        <w:t>فتاوى النوازل لأبي الليث السمرقندي، ص164؛ الهداية والعناية وفتـح القدير، 3/178، 7/352؛ الدُّرر شرح الغرر، 2/418، البحر الرائق، 2/68، 329، 3/75؛ 4/322؛ النافع الكبير، 398.</w:t>
      </w:r>
    </w:p>
  </w:footnote>
  <w:footnote w:id="130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أو مالك</w:t>
      </w:r>
      <w:r>
        <w:rPr>
          <w:rFonts w:hint="eastAsia"/>
          <w:rtl/>
        </w:rPr>
        <w:t>»</w:t>
      </w:r>
      <w:r>
        <w:rPr>
          <w:rFonts w:hint="cs"/>
          <w:rtl/>
        </w:rPr>
        <w:t>.</w:t>
      </w:r>
    </w:p>
  </w:footnote>
  <w:footnote w:id="130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21/ب من (أ).</w:t>
      </w:r>
    </w:p>
  </w:footnote>
  <w:footnote w:id="1306">
    <w:p w:rsidR="00035BE3" w:rsidRDefault="00035BE3" w:rsidP="00C10469">
      <w:pPr>
        <w:pStyle w:val="a8"/>
        <w:bidi/>
        <w:ind w:left="422" w:right="0" w:hanging="425"/>
        <w:rPr>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جاء فوق هذه الكلمة من نسخة (ب) بخطٍّ مغاير : </w:t>
      </w:r>
      <w:r>
        <w:rPr>
          <w:rFonts w:hint="eastAsia"/>
          <w:spacing w:val="-4"/>
          <w:rtl/>
        </w:rPr>
        <w:t>«</w:t>
      </w:r>
      <w:r>
        <w:rPr>
          <w:rFonts w:hint="cs"/>
          <w:spacing w:val="-4"/>
          <w:rtl/>
        </w:rPr>
        <w:t>الظاهر وصية سيد علي</w:t>
      </w:r>
      <w:r>
        <w:rPr>
          <w:rFonts w:hint="eastAsia"/>
          <w:spacing w:val="-4"/>
          <w:rtl/>
        </w:rPr>
        <w:t>»</w:t>
      </w:r>
      <w:r>
        <w:rPr>
          <w:rFonts w:hint="cs"/>
          <w:spacing w:val="-4"/>
          <w:rtl/>
        </w:rPr>
        <w:t>.</w:t>
      </w:r>
      <w:r>
        <w:rPr>
          <w:rFonts w:hint="cs"/>
          <w:rtl/>
        </w:rPr>
        <w:t xml:space="preserve"> </w:t>
      </w:r>
    </w:p>
  </w:footnote>
  <w:footnote w:id="130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أن </w:t>
      </w:r>
      <w:r>
        <w:rPr>
          <w:rFonts w:hint="eastAsia"/>
          <w:rtl/>
        </w:rPr>
        <w:t>»</w:t>
      </w:r>
      <w:r>
        <w:rPr>
          <w:rFonts w:hint="cs"/>
          <w:rtl/>
        </w:rPr>
        <w:t xml:space="preserve"> : ساقطة من (جـ). </w:t>
      </w:r>
    </w:p>
  </w:footnote>
  <w:footnote w:id="130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مال</w:t>
      </w:r>
      <w:r>
        <w:rPr>
          <w:rFonts w:hint="eastAsia"/>
          <w:rtl/>
        </w:rPr>
        <w:t>»</w:t>
      </w:r>
      <w:r>
        <w:rPr>
          <w:rFonts w:hint="cs"/>
          <w:rtl/>
        </w:rPr>
        <w:t>. والصحيح ما ثم إثباته من (ب) و(د).</w:t>
      </w:r>
    </w:p>
  </w:footnote>
  <w:footnote w:id="130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(103) من سورة (التوبة). وكلمة : </w:t>
      </w:r>
      <w:r>
        <w:rPr>
          <w:rFonts w:hint="eastAsia"/>
          <w:rtl/>
        </w:rPr>
        <w:t>«</w:t>
      </w:r>
      <w:r>
        <w:rPr>
          <w:rFonts w:hint="cs"/>
          <w:rtl/>
        </w:rPr>
        <w:t>خذ</w:t>
      </w:r>
      <w:r>
        <w:rPr>
          <w:rFonts w:hint="eastAsia"/>
          <w:rtl/>
        </w:rPr>
        <w:t>»</w:t>
      </w:r>
      <w:r>
        <w:rPr>
          <w:rFonts w:hint="cs"/>
          <w:rtl/>
        </w:rPr>
        <w:t xml:space="preserve"> تُمثِّل نهاية 14/ب من (ب).</w:t>
      </w:r>
    </w:p>
  </w:footnote>
  <w:footnote w:id="131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تصرف</w:t>
      </w:r>
      <w:r>
        <w:rPr>
          <w:rFonts w:hint="eastAsia"/>
          <w:rtl/>
        </w:rPr>
        <w:t>»</w:t>
      </w:r>
      <w:r>
        <w:rPr>
          <w:rFonts w:hint="cs"/>
          <w:rtl/>
        </w:rPr>
        <w:t>.</w:t>
      </w:r>
    </w:p>
  </w:footnote>
  <w:footnote w:id="131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الفضولي</w:t>
      </w:r>
      <w:r>
        <w:rPr>
          <w:rFonts w:hint="eastAsia"/>
          <w:rtl/>
        </w:rPr>
        <w:t>»</w:t>
      </w:r>
      <w:r>
        <w:rPr>
          <w:rFonts w:hint="cs"/>
          <w:rtl/>
        </w:rPr>
        <w:t>. والصحيح ما تم إثباته من (ب) و(جـ).</w:t>
      </w:r>
    </w:p>
  </w:footnote>
  <w:footnote w:id="131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هكذا</w:t>
      </w:r>
      <w:r>
        <w:rPr>
          <w:rFonts w:hint="eastAsia"/>
          <w:rtl/>
        </w:rPr>
        <w:t>»</w:t>
      </w:r>
      <w:r>
        <w:rPr>
          <w:rFonts w:hint="cs"/>
          <w:rtl/>
        </w:rPr>
        <w:t>.</w:t>
      </w:r>
    </w:p>
  </w:footnote>
  <w:footnote w:id="131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يوجب</w:t>
      </w:r>
      <w:r>
        <w:rPr>
          <w:rFonts w:hint="eastAsia"/>
          <w:rtl/>
        </w:rPr>
        <w:t>»</w:t>
      </w:r>
      <w:r>
        <w:rPr>
          <w:rFonts w:hint="cs"/>
          <w:rtl/>
        </w:rPr>
        <w:t>.</w:t>
      </w:r>
    </w:p>
  </w:footnote>
  <w:footnote w:id="131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الحرفان الأخيران غير واضحين في (أ)، وتمام الكلمة من (جـ) و(د) و(هـ) و(و)، وفي (ب) : </w:t>
      </w:r>
      <w:r>
        <w:rPr>
          <w:rFonts w:hint="eastAsia"/>
          <w:rtl/>
        </w:rPr>
        <w:t>«</w:t>
      </w:r>
      <w:r>
        <w:rPr>
          <w:rFonts w:hint="cs"/>
          <w:rtl/>
        </w:rPr>
        <w:t>كالوارثة</w:t>
      </w:r>
      <w:r>
        <w:rPr>
          <w:rFonts w:hint="eastAsia"/>
          <w:rtl/>
        </w:rPr>
        <w:t>»</w:t>
      </w:r>
      <w:r>
        <w:rPr>
          <w:rFonts w:hint="cs"/>
          <w:rtl/>
        </w:rPr>
        <w:t>.</w:t>
      </w:r>
    </w:p>
  </w:footnote>
  <w:footnote w:id="131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زيادة : </w:t>
      </w:r>
      <w:r>
        <w:rPr>
          <w:rFonts w:hint="eastAsia"/>
          <w:rtl/>
        </w:rPr>
        <w:t>«</w:t>
      </w:r>
      <w:r>
        <w:rPr>
          <w:rFonts w:hint="cs"/>
          <w:rtl/>
        </w:rPr>
        <w:t>بالصواب</w:t>
      </w:r>
      <w:r>
        <w:rPr>
          <w:rFonts w:hint="eastAsia"/>
          <w:rtl/>
        </w:rPr>
        <w:t>»</w:t>
      </w:r>
      <w:r>
        <w:rPr>
          <w:rFonts w:hint="cs"/>
          <w:rtl/>
        </w:rPr>
        <w:t>.</w:t>
      </w:r>
    </w:p>
  </w:footnote>
  <w:footnote w:id="131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ما جاء في شرح القاعدة في الهداية والعناية وفتح القدير، 7/351-353؛ وانظر أصل المثال في: الجامع الصغير والنافع الكبير، ص398.</w:t>
      </w:r>
    </w:p>
  </w:footnote>
  <w:footnote w:id="1317">
    <w:p w:rsidR="00035BE3" w:rsidRPr="00E87E83" w:rsidRDefault="00035BE3" w:rsidP="00C10469">
      <w:pPr>
        <w:pStyle w:val="a8"/>
        <w:bidi/>
        <w:ind w:left="422" w:right="0"/>
        <w:rPr>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E87E83">
        <w:rPr>
          <w:rFonts w:hint="cs"/>
          <w:rtl/>
        </w:rPr>
        <w:t>اقتران (بعض) بـ (أل) ممّا منعه كثير من أهل اللغة؛ كالأصمعي وأبي حاتم السجستاني وغيرهما. إلاّ أنه أجازه آخرون، منهم الأزهري، كما ورد في كلام كثير من كبار علماء اللغة؛ كسيبويه والأخفش وغيرهما.</w:t>
      </w:r>
    </w:p>
    <w:p w:rsidR="00035BE3" w:rsidRDefault="00035BE3" w:rsidP="00C10469">
      <w:pPr>
        <w:pStyle w:val="a6"/>
        <w:ind w:left="422" w:firstLine="0"/>
        <w:rPr>
          <w:rtl/>
        </w:rPr>
      </w:pPr>
      <w:r>
        <w:rPr>
          <w:rFonts w:hint="cs"/>
          <w:rtl/>
        </w:rPr>
        <w:t>انظر : المعجم المفصل في النحو، 1/308، 2/726؛ وانظر أيضا : رد المحتار، 4/9.</w:t>
      </w:r>
    </w:p>
  </w:footnote>
  <w:footnote w:id="131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«لا يرتد».</w:t>
      </w:r>
    </w:p>
  </w:footnote>
  <w:footnote w:id="131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w:t>
      </w:r>
      <w:r>
        <w:rPr>
          <w:rFonts w:hint="cs"/>
          <w:rtl/>
        </w:rPr>
        <w:t>ت</w:t>
      </w:r>
      <w:r>
        <w:rPr>
          <w:rtl/>
        </w:rPr>
        <w:t xml:space="preserve"> هذ</w:t>
      </w:r>
      <w:r>
        <w:rPr>
          <w:rFonts w:hint="cs"/>
          <w:rtl/>
        </w:rPr>
        <w:t>ه</w:t>
      </w:r>
      <w:r>
        <w:rPr>
          <w:rtl/>
        </w:rPr>
        <w:t xml:space="preserve"> ا</w:t>
      </w:r>
      <w:r>
        <w:rPr>
          <w:rFonts w:hint="cs"/>
          <w:rtl/>
        </w:rPr>
        <w:t>لقاعدة</w:t>
      </w:r>
      <w:r>
        <w:rPr>
          <w:rtl/>
        </w:rPr>
        <w:t xml:space="preserve"> بنحو هذا اللفظ في بعض </w:t>
      </w:r>
      <w:r>
        <w:rPr>
          <w:b/>
          <w:bCs/>
          <w:rtl/>
        </w:rPr>
        <w:t xml:space="preserve">كتب </w:t>
      </w:r>
      <w:r>
        <w:rPr>
          <w:rFonts w:hint="eastAsia"/>
          <w:b/>
          <w:bCs/>
          <w:rtl/>
        </w:rPr>
        <w:t>القواعد</w:t>
      </w:r>
      <w:r>
        <w:rPr>
          <w:b/>
          <w:bCs/>
          <w:rtl/>
        </w:rPr>
        <w:t xml:space="preserve"> الفقهية</w:t>
      </w:r>
      <w:r>
        <w:rPr>
          <w:rtl/>
        </w:rPr>
        <w:t xml:space="preserve">، منها: </w:t>
      </w:r>
    </w:p>
    <w:p w:rsidR="00035BE3" w:rsidRDefault="00035BE3" w:rsidP="00C10469">
      <w:pPr>
        <w:pStyle w:val="a6"/>
        <w:ind w:left="422" w:firstLine="0"/>
        <w:rPr>
          <w:rtl/>
        </w:rPr>
      </w:pPr>
      <w:r>
        <w:rPr>
          <w:rFonts w:hint="eastAsia"/>
          <w:rtl/>
        </w:rPr>
        <w:t>الأشباه</w:t>
      </w:r>
      <w:r>
        <w:rPr>
          <w:rtl/>
        </w:rPr>
        <w:t xml:space="preserve"> والنظائر </w:t>
      </w:r>
      <w:r>
        <w:rPr>
          <w:rFonts w:hint="eastAsia"/>
          <w:rtl/>
        </w:rPr>
        <w:t>لابن</w:t>
      </w:r>
      <w:r>
        <w:rPr>
          <w:rtl/>
        </w:rPr>
        <w:t xml:space="preserve"> الوكيل، 2/20؛ ولابن السبكي، 2/340؛ المنثور، 3/361؛ الأشباه والنظائر للسيوطي، 1/350؛ ولابن نجيم، ص187- ولفظهم جميعًا : «لا يزيد البعض على الكل إلاَّ في مسألة </w:t>
      </w:r>
      <w:r>
        <w:rPr>
          <w:rFonts w:hint="eastAsia"/>
          <w:rtl/>
        </w:rPr>
        <w:t>واحدة،</w:t>
      </w:r>
      <w:r>
        <w:rPr>
          <w:rtl/>
        </w:rPr>
        <w:t xml:space="preserve"> وهي إذا قال : أنت عليّ كظهر أمي»- ؛ الفرائد البهية وشرحاها : الأقمار </w:t>
      </w:r>
      <w:r>
        <w:rPr>
          <w:rFonts w:hint="eastAsia"/>
          <w:rtl/>
        </w:rPr>
        <w:t>المضيئة،</w:t>
      </w:r>
      <w:r>
        <w:rPr>
          <w:rtl/>
        </w:rPr>
        <w:t xml:space="preserve"> ص241؛ والمواهب السنية وحاشيتها : الفوائد الجنية، 2/355 - ولفظ الفرائد :</w:t>
      </w:r>
    </w:p>
    <w:p w:rsidR="00035BE3" w:rsidRDefault="00035BE3" w:rsidP="00C10469">
      <w:pPr>
        <w:pStyle w:val="a6"/>
        <w:ind w:left="422" w:hanging="454"/>
        <w:jc w:val="center"/>
        <w:rPr>
          <w:b/>
          <w:bCs/>
          <w:rtl/>
        </w:rPr>
      </w:pPr>
      <w:r>
        <w:rPr>
          <w:rFonts w:hint="cs"/>
          <w:b/>
          <w:bCs/>
          <w:rtl/>
        </w:rPr>
        <w:t xml:space="preserve">     </w:t>
      </w:r>
      <w:r>
        <w:rPr>
          <w:rFonts w:hint="eastAsia"/>
          <w:b/>
          <w:bCs/>
          <w:rtl/>
        </w:rPr>
        <w:t>وما</w:t>
      </w:r>
      <w:r>
        <w:rPr>
          <w:b/>
          <w:bCs/>
          <w:rtl/>
        </w:rPr>
        <w:t xml:space="preserve"> </w:t>
      </w:r>
      <w:r>
        <w:rPr>
          <w:rFonts w:hint="eastAsia"/>
          <w:b/>
          <w:bCs/>
          <w:rtl/>
        </w:rPr>
        <w:t>عـلى</w:t>
      </w:r>
      <w:r>
        <w:rPr>
          <w:b/>
          <w:bCs/>
          <w:rtl/>
        </w:rPr>
        <w:t xml:space="preserve"> الكـل يـزيـد البع</w:t>
      </w:r>
      <w:r>
        <w:rPr>
          <w:rFonts w:hint="cs"/>
          <w:b/>
          <w:bCs/>
          <w:rtl/>
        </w:rPr>
        <w:t>ـ</w:t>
      </w:r>
      <w:r>
        <w:rPr>
          <w:b/>
          <w:bCs/>
          <w:rtl/>
        </w:rPr>
        <w:t xml:space="preserve">ض قـط </w:t>
      </w:r>
      <w:r>
        <w:rPr>
          <w:rFonts w:hint="cs"/>
          <w:b/>
          <w:bCs/>
          <w:rtl/>
        </w:rPr>
        <w:t xml:space="preserve">     </w:t>
      </w:r>
      <w:r>
        <w:rPr>
          <w:b/>
          <w:bCs/>
          <w:rtl/>
        </w:rPr>
        <w:t xml:space="preserve"> </w:t>
      </w:r>
      <w:r>
        <w:rPr>
          <w:rFonts w:hint="eastAsia"/>
          <w:b/>
          <w:bCs/>
          <w:rtl/>
        </w:rPr>
        <w:t>إلا</w:t>
      </w:r>
      <w:r>
        <w:rPr>
          <w:b/>
          <w:bCs/>
          <w:rtl/>
        </w:rPr>
        <w:t xml:space="preserve"> بفـرع ف</w:t>
      </w:r>
      <w:r>
        <w:rPr>
          <w:rFonts w:hint="cs"/>
          <w:b/>
          <w:bCs/>
          <w:rtl/>
        </w:rPr>
        <w:t>ـ</w:t>
      </w:r>
      <w:r>
        <w:rPr>
          <w:b/>
          <w:bCs/>
          <w:rtl/>
        </w:rPr>
        <w:t>ي ظـهـار انـضـبـط-؛</w:t>
      </w:r>
    </w:p>
    <w:p w:rsidR="00035BE3" w:rsidRDefault="00035BE3" w:rsidP="00C10469">
      <w:pPr>
        <w:pStyle w:val="a6"/>
        <w:ind w:left="422" w:firstLine="0"/>
        <w:rPr>
          <w:spacing w:val="-8"/>
          <w:rtl/>
        </w:rPr>
      </w:pPr>
      <w:r>
        <w:rPr>
          <w:rFonts w:hint="eastAsia"/>
          <w:spacing w:val="-8"/>
          <w:rtl/>
        </w:rPr>
        <w:t>قواعد</w:t>
      </w:r>
      <w:r>
        <w:rPr>
          <w:spacing w:val="-8"/>
          <w:rtl/>
        </w:rPr>
        <w:t xml:space="preserve"> الفقه </w:t>
      </w:r>
      <w:r>
        <w:rPr>
          <w:rFonts w:hint="cs"/>
          <w:spacing w:val="-8"/>
          <w:rtl/>
        </w:rPr>
        <w:t>ل</w:t>
      </w:r>
      <w:r>
        <w:rPr>
          <w:rFonts w:hint="eastAsia"/>
          <w:spacing w:val="-8"/>
          <w:rtl/>
        </w:rPr>
        <w:t>لمجدّدي،</w:t>
      </w:r>
      <w:r>
        <w:rPr>
          <w:spacing w:val="-8"/>
          <w:rtl/>
        </w:rPr>
        <w:t xml:space="preserve"> ص111، قاعدة 273، -ولفظه : «لايزيد البعض على الكل إلا في مسألة الظهار»-.</w:t>
      </w:r>
    </w:p>
  </w:footnote>
  <w:footnote w:id="132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16/ب من (جـ).</w:t>
      </w:r>
    </w:p>
  </w:footnote>
  <w:footnote w:id="132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انظر</w:t>
      </w:r>
      <w:r>
        <w:rPr>
          <w:rtl/>
        </w:rPr>
        <w:t xml:space="preserve"> </w:t>
      </w:r>
      <w:r>
        <w:rPr>
          <w:rFonts w:hint="cs"/>
          <w:rtl/>
        </w:rPr>
        <w:t xml:space="preserve">: </w:t>
      </w:r>
      <w:r>
        <w:rPr>
          <w:rtl/>
        </w:rPr>
        <w:t>مَصَادر</w:t>
      </w:r>
      <w:r>
        <w:rPr>
          <w:rFonts w:hint="cs"/>
          <w:rtl/>
        </w:rPr>
        <w:t>َ</w:t>
      </w:r>
      <w:r>
        <w:rPr>
          <w:rtl/>
        </w:rPr>
        <w:t xml:space="preserve"> القاعدة الآنف ذكرها.</w:t>
      </w:r>
    </w:p>
  </w:footnote>
  <w:footnote w:id="132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«الكراهة». والصحيح ما تمَّ </w:t>
      </w:r>
      <w:r>
        <w:rPr>
          <w:rFonts w:hint="eastAsia"/>
          <w:rtl/>
        </w:rPr>
        <w:t>إثباته</w:t>
      </w:r>
      <w:r>
        <w:rPr>
          <w:rtl/>
        </w:rPr>
        <w:t xml:space="preserve"> من (ب) و(د).</w:t>
      </w:r>
    </w:p>
  </w:footnote>
  <w:footnote w:id="132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«ممّا» (بالميم). والصحيح ما </w:t>
      </w:r>
      <w:r>
        <w:rPr>
          <w:rFonts w:hint="eastAsia"/>
          <w:rtl/>
        </w:rPr>
        <w:t>تمَّ</w:t>
      </w:r>
      <w:r>
        <w:rPr>
          <w:rtl/>
        </w:rPr>
        <w:t xml:space="preserve"> إثباته من (ب) و(د).</w:t>
      </w:r>
    </w:p>
  </w:footnote>
  <w:footnote w:id="132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«يتعين».</w:t>
      </w:r>
    </w:p>
  </w:footnote>
  <w:footnote w:id="1325">
    <w:p w:rsidR="00035BE3" w:rsidRDefault="00035BE3" w:rsidP="00C10469">
      <w:pPr>
        <w:pStyle w:val="a8"/>
        <w:bidi/>
        <w:ind w:left="422" w:right="0"/>
        <w:rPr>
          <w:spacing w:val="8"/>
          <w:rtl/>
        </w:rPr>
      </w:pPr>
      <w:r>
        <w:rPr>
          <w:spacing w:val="8"/>
          <w:vertAlign w:val="superscript"/>
          <w:rtl/>
        </w:rPr>
        <w:t>(</w:t>
      </w:r>
      <w:r>
        <w:rPr>
          <w:rStyle w:val="a7"/>
          <w:spacing w:val="8"/>
        </w:rPr>
        <w:footnoteRef/>
      </w:r>
      <w:r>
        <w:rPr>
          <w:spacing w:val="8"/>
          <w:vertAlign w:val="superscript"/>
          <w:rtl/>
        </w:rPr>
        <w:t>)</w:t>
      </w:r>
      <w:r>
        <w:rPr>
          <w:spacing w:val="8"/>
          <w:rtl/>
        </w:rPr>
        <w:t xml:space="preserve">   </w:t>
      </w:r>
      <w:r>
        <w:rPr>
          <w:rFonts w:hint="cs"/>
          <w:b/>
          <w:bCs/>
          <w:spacing w:val="8"/>
          <w:rtl/>
        </w:rPr>
        <w:t>معنى هذه القاعدة</w:t>
      </w:r>
      <w:r>
        <w:rPr>
          <w:rFonts w:hint="cs"/>
          <w:spacing w:val="8"/>
          <w:rtl/>
        </w:rPr>
        <w:t xml:space="preserve"> :</w:t>
      </w:r>
    </w:p>
    <w:p w:rsidR="00035BE3" w:rsidRDefault="00035BE3" w:rsidP="00C10469">
      <w:pPr>
        <w:pStyle w:val="a6"/>
        <w:ind w:left="422" w:firstLine="0"/>
        <w:rPr>
          <w:spacing w:val="-4"/>
          <w:rtl/>
        </w:rPr>
      </w:pPr>
      <w:r>
        <w:rPr>
          <w:rFonts w:hint="cs"/>
          <w:spacing w:val="-4"/>
          <w:rtl/>
        </w:rPr>
        <w:t>أن بقاء حكم الشيء ودوامه يكون موافقًا للوصف الذي يكون عليه ابتداءً : فإن كان ثابتًا عند إنشائه ابتداء فالشأن فيه أن يستمر على هذا الوصف، وإن كان غير ثابت ابتداء فإنه لا ينقلب ثابتًا انتهاءً.</w:t>
      </w:r>
    </w:p>
    <w:p w:rsidR="00035BE3" w:rsidRDefault="00035BE3" w:rsidP="00C10469">
      <w:pPr>
        <w:pStyle w:val="a6"/>
        <w:ind w:left="422" w:firstLine="0"/>
        <w:rPr>
          <w:rtl/>
        </w:rPr>
      </w:pPr>
      <w:r>
        <w:rPr>
          <w:rFonts w:hint="cs"/>
          <w:rtl/>
        </w:rPr>
        <w:t>هذا ما يتعلق بمعناها.</w:t>
      </w:r>
    </w:p>
    <w:p w:rsidR="00035BE3" w:rsidRDefault="00035BE3" w:rsidP="00C10469">
      <w:pPr>
        <w:pStyle w:val="a6"/>
        <w:ind w:left="422" w:firstLine="0"/>
        <w:rPr>
          <w:b/>
          <w:bCs/>
          <w:rtl/>
        </w:rPr>
      </w:pPr>
      <w:r>
        <w:rPr>
          <w:rFonts w:hint="cs"/>
          <w:b/>
          <w:bCs/>
          <w:rtl/>
        </w:rPr>
        <w:t>أما توثيقها :</w:t>
      </w:r>
    </w:p>
    <w:p w:rsidR="00035BE3" w:rsidRDefault="00035BE3" w:rsidP="00C10469">
      <w:pPr>
        <w:pStyle w:val="a6"/>
        <w:ind w:left="422" w:firstLine="0"/>
        <w:rPr>
          <w:rtl/>
        </w:rPr>
      </w:pPr>
      <w:r>
        <w:rPr>
          <w:rFonts w:hint="cs"/>
          <w:rtl/>
        </w:rPr>
        <w:t xml:space="preserve">فقد وردت بهذا اللفظ أو نحوه في بعض كتب الفقه الحنفي، منها : العناية، 6/302 </w:t>
      </w:r>
      <w:r>
        <w:rPr>
          <w:rtl/>
        </w:rPr>
        <w:t>–</w:t>
      </w:r>
      <w:r>
        <w:rPr>
          <w:rFonts w:hint="cs"/>
          <w:rtl/>
        </w:rPr>
        <w:t xml:space="preserve"> ولفظه مطابق للفظ المؤلف-؛ فتح القدير، 6/302 </w:t>
      </w:r>
      <w:r>
        <w:rPr>
          <w:rtl/>
        </w:rPr>
        <w:t>–</w:t>
      </w:r>
      <w:r>
        <w:rPr>
          <w:rFonts w:hint="cs"/>
          <w:rtl/>
        </w:rPr>
        <w:t xml:space="preserve"> ولفظه : </w:t>
      </w:r>
      <w:r>
        <w:rPr>
          <w:rtl/>
        </w:rPr>
        <w:t>«</w:t>
      </w:r>
      <w:r>
        <w:rPr>
          <w:rFonts w:hint="cs"/>
          <w:rtl/>
        </w:rPr>
        <w:t>البقاء على حسب الثبوت</w:t>
      </w:r>
      <w:r>
        <w:rPr>
          <w:rtl/>
        </w:rPr>
        <w:t>»</w:t>
      </w:r>
      <w:r>
        <w:rPr>
          <w:rFonts w:hint="cs"/>
          <w:rtl/>
        </w:rPr>
        <w:t xml:space="preserve">-؛ الـدرر شرح الغرر، 2/307- ولفظه </w:t>
      </w:r>
      <w:r>
        <w:rPr>
          <w:rtl/>
        </w:rPr>
        <w:t>«</w:t>
      </w:r>
      <w:r>
        <w:rPr>
          <w:rFonts w:hint="cs"/>
          <w:rtl/>
        </w:rPr>
        <w:t>البقاء على وصف الثبوت</w:t>
      </w:r>
      <w:r>
        <w:rPr>
          <w:rtl/>
        </w:rPr>
        <w:t>»</w:t>
      </w:r>
      <w:r>
        <w:rPr>
          <w:rFonts w:hint="cs"/>
          <w:rtl/>
        </w:rPr>
        <w:t>.</w:t>
      </w:r>
    </w:p>
    <w:p w:rsidR="00035BE3" w:rsidRDefault="00035BE3" w:rsidP="00C10469">
      <w:pPr>
        <w:pStyle w:val="a6"/>
        <w:ind w:left="422" w:firstLine="0"/>
        <w:rPr>
          <w:rtl/>
        </w:rPr>
      </w:pPr>
      <w:r>
        <w:rPr>
          <w:rFonts w:hint="cs"/>
          <w:rtl/>
        </w:rPr>
        <w:t xml:space="preserve">والمؤلف سيذكر قاعدة يمكن أن تكون مندرجة تحت هذه القاعدة، وهي </w:t>
      </w:r>
      <w:r>
        <w:rPr>
          <w:rtl/>
        </w:rPr>
        <w:t>«</w:t>
      </w:r>
      <w:r>
        <w:rPr>
          <w:rFonts w:hint="cs"/>
          <w:rtl/>
        </w:rPr>
        <w:t>ما لا يكون لازما من التصرفات يكون لدوامه حكم الابتداء</w:t>
      </w:r>
      <w:r>
        <w:rPr>
          <w:rtl/>
        </w:rPr>
        <w:t>»</w:t>
      </w:r>
      <w:r>
        <w:rPr>
          <w:rFonts w:hint="cs"/>
          <w:rtl/>
        </w:rPr>
        <w:t>- وذلك ص1017 (ل91/ب)، قاعدة 215-.</w:t>
      </w:r>
    </w:p>
    <w:p w:rsidR="00035BE3" w:rsidRDefault="00035BE3" w:rsidP="00C10469">
      <w:pPr>
        <w:pStyle w:val="a6"/>
        <w:ind w:left="422" w:firstLine="0"/>
        <w:rPr>
          <w:rtl/>
        </w:rPr>
      </w:pPr>
      <w:r>
        <w:rPr>
          <w:rFonts w:hint="cs"/>
          <w:rtl/>
        </w:rPr>
        <w:t>كما أنه سبق أن ذكر قاعدة قريبة منهما</w:t>
      </w:r>
      <w:r>
        <w:rPr>
          <w:rtl/>
        </w:rPr>
        <w:t xml:space="preserve"> وهي : «استدامـة الشيء تعتبر بأصله»،- وذلك ص</w:t>
      </w:r>
      <w:r>
        <w:rPr>
          <w:rFonts w:hint="cs"/>
          <w:rtl/>
        </w:rPr>
        <w:t>298</w:t>
      </w:r>
      <w:r>
        <w:rPr>
          <w:rtl/>
        </w:rPr>
        <w:t xml:space="preserve"> (ل9/ب)، قاعدة 21.</w:t>
      </w:r>
    </w:p>
  </w:footnote>
  <w:footnote w:id="132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العناية،</w:t>
      </w:r>
      <w:r>
        <w:rPr>
          <w:rtl/>
        </w:rPr>
        <w:t xml:space="preserve"> 6/302؛ وانظر : فتح القدير، 6/302.</w:t>
      </w:r>
    </w:p>
  </w:footnote>
  <w:footnote w:id="132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«جائز».</w:t>
      </w:r>
    </w:p>
  </w:footnote>
  <w:footnote w:id="132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العناية،</w:t>
      </w:r>
      <w:r>
        <w:rPr>
          <w:rtl/>
        </w:rPr>
        <w:t xml:space="preserve"> 6/302.</w:t>
      </w:r>
    </w:p>
  </w:footnote>
  <w:footnote w:id="132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«موته».</w:t>
      </w:r>
    </w:p>
  </w:footnote>
  <w:footnote w:id="133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 فأجاز من له الخيار البيعَ في المدة </w:t>
      </w:r>
      <w:r>
        <w:rPr>
          <w:rFonts w:hint="eastAsia"/>
          <w:rtl/>
        </w:rPr>
        <w:t>المتاحة</w:t>
      </w:r>
      <w:r>
        <w:rPr>
          <w:rtl/>
        </w:rPr>
        <w:t xml:space="preserve"> للخيار وهي ثلاثة أيام.</w:t>
      </w:r>
    </w:p>
  </w:footnote>
  <w:footnote w:id="133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14/ب من (د).</w:t>
      </w:r>
    </w:p>
  </w:footnote>
  <w:footnote w:id="133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هامش (أ) : «إمام أبي يوسف وإمام محمد </w:t>
      </w:r>
      <w:r>
        <w:rPr>
          <w:rFonts w:hint="cs"/>
          <w:rtl/>
        </w:rPr>
        <w:t>-</w:t>
      </w:r>
      <w:r>
        <w:rPr>
          <w:rFonts w:hint="eastAsia"/>
          <w:rtl/>
        </w:rPr>
        <w:t>رحمهما</w:t>
      </w:r>
      <w:r>
        <w:rPr>
          <w:rtl/>
        </w:rPr>
        <w:t xml:space="preserve"> الله</w:t>
      </w:r>
      <w:r>
        <w:rPr>
          <w:rFonts w:hint="cs"/>
          <w:rtl/>
        </w:rPr>
        <w:t>-</w:t>
      </w:r>
      <w:r>
        <w:rPr>
          <w:rtl/>
        </w:rPr>
        <w:t>».</w:t>
      </w:r>
    </w:p>
  </w:footnote>
  <w:footnote w:id="133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22/أ من (أ).</w:t>
      </w:r>
    </w:p>
  </w:footnote>
  <w:footnote w:id="133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«إن هذا عقدته انعقد».</w:t>
      </w:r>
    </w:p>
  </w:footnote>
  <w:footnote w:id="133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و(د) : «الذي». </w:t>
      </w:r>
      <w:r>
        <w:rPr>
          <w:rFonts w:hint="eastAsia"/>
          <w:rtl/>
        </w:rPr>
        <w:t>والصحيح</w:t>
      </w:r>
      <w:r>
        <w:rPr>
          <w:rtl/>
        </w:rPr>
        <w:t xml:space="preserve"> </w:t>
      </w:r>
      <w:r>
        <w:rPr>
          <w:rFonts w:hint="eastAsia"/>
          <w:rtl/>
        </w:rPr>
        <w:t>ما</w:t>
      </w:r>
      <w:r>
        <w:rPr>
          <w:rtl/>
        </w:rPr>
        <w:t xml:space="preserve"> تمَّ إثباته من (ب).</w:t>
      </w:r>
    </w:p>
  </w:footnote>
  <w:footnote w:id="133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انظر</w:t>
      </w:r>
      <w:r>
        <w:rPr>
          <w:rtl/>
        </w:rPr>
        <w:t xml:space="preserve"> : الهداية والعناية وفتح القدير، 6/302؛ </w:t>
      </w:r>
      <w:r>
        <w:rPr>
          <w:rFonts w:hint="eastAsia"/>
          <w:rtl/>
        </w:rPr>
        <w:t>تبيين</w:t>
      </w:r>
      <w:r>
        <w:rPr>
          <w:rtl/>
        </w:rPr>
        <w:t xml:space="preserve"> الحقائق، 4/15؛ الدّرر شرح الغرر، 2/152.</w:t>
      </w:r>
    </w:p>
  </w:footnote>
  <w:footnote w:id="133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العناية،</w:t>
      </w:r>
      <w:r>
        <w:rPr>
          <w:rtl/>
        </w:rPr>
        <w:t xml:space="preserve"> 6/302؛ وانظر المصادر السابقة.</w:t>
      </w:r>
    </w:p>
  </w:footnote>
  <w:footnote w:id="133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«لأن</w:t>
      </w:r>
      <w:r>
        <w:rPr>
          <w:rtl/>
        </w:rPr>
        <w:t xml:space="preserve"> الظاهر» : ساقطة من (جـ).</w:t>
      </w:r>
    </w:p>
  </w:footnote>
  <w:footnote w:id="133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«دوامهما». ولم تظهر لي فائدة من </w:t>
      </w:r>
      <w:r>
        <w:rPr>
          <w:rFonts w:hint="eastAsia"/>
          <w:rtl/>
        </w:rPr>
        <w:t>إضافة</w:t>
      </w:r>
      <w:r>
        <w:rPr>
          <w:rtl/>
        </w:rPr>
        <w:t xml:space="preserve"> ضمير التثنية هنا.</w:t>
      </w:r>
    </w:p>
    <w:p w:rsidR="00035BE3" w:rsidRDefault="00035BE3" w:rsidP="00C10469">
      <w:pPr>
        <w:pStyle w:val="a6"/>
        <w:ind w:left="422" w:firstLine="0"/>
        <w:rPr>
          <w:rtl/>
        </w:rPr>
      </w:pPr>
      <w:r>
        <w:rPr>
          <w:rFonts w:hint="eastAsia"/>
          <w:rtl/>
        </w:rPr>
        <w:t>ولعلّ</w:t>
      </w:r>
      <w:r>
        <w:rPr>
          <w:rtl/>
        </w:rPr>
        <w:t xml:space="preserve"> الضمير المؤنث </w:t>
      </w:r>
      <w:r>
        <w:rPr>
          <w:rFonts w:hint="eastAsia"/>
          <w:rtl/>
        </w:rPr>
        <w:t>المفرد</w:t>
      </w:r>
      <w:r>
        <w:rPr>
          <w:rtl/>
        </w:rPr>
        <w:t xml:space="preserve"> في باقي النسخ يرجع إلى </w:t>
      </w:r>
      <w:r>
        <w:rPr>
          <w:rFonts w:hint="eastAsia"/>
          <w:b/>
          <w:bCs/>
          <w:rtl/>
        </w:rPr>
        <w:t>المسألة</w:t>
      </w:r>
      <w:r>
        <w:rPr>
          <w:rtl/>
        </w:rPr>
        <w:t xml:space="preserve"> </w:t>
      </w:r>
      <w:r>
        <w:rPr>
          <w:rFonts w:hint="eastAsia"/>
          <w:rtl/>
        </w:rPr>
        <w:t>الأخيرة؛</w:t>
      </w:r>
      <w:r>
        <w:rPr>
          <w:rtl/>
        </w:rPr>
        <w:t xml:space="preserve"> إذْ معنى التعليل المذكور: لأن المتبادر للذهن دوام المسألة الأخيرة على الشرط المذكور فيها؛ فالمشترى إذا </w:t>
      </w:r>
      <w:r>
        <w:rPr>
          <w:rFonts w:hint="eastAsia"/>
          <w:rtl/>
        </w:rPr>
        <w:t>اشترط</w:t>
      </w:r>
      <w:r>
        <w:rPr>
          <w:rtl/>
        </w:rPr>
        <w:t xml:space="preserve"> الخيار أكثر من </w:t>
      </w:r>
      <w:r w:rsidRPr="00FA7407">
        <w:rPr>
          <w:spacing w:val="-2"/>
          <w:rtl/>
        </w:rPr>
        <w:t xml:space="preserve">ثلاثة أيام فالغالب أن يبقى على خياره أكثر من ثلاثة أيام؛ </w:t>
      </w:r>
      <w:r w:rsidRPr="00FA7407">
        <w:rPr>
          <w:rFonts w:hint="eastAsia"/>
          <w:spacing w:val="-2"/>
          <w:rtl/>
        </w:rPr>
        <w:t>لأنه</w:t>
      </w:r>
      <w:r w:rsidRPr="00FA7407">
        <w:rPr>
          <w:spacing w:val="-2"/>
          <w:rtl/>
        </w:rPr>
        <w:t xml:space="preserve"> ما اشترط ذلك الشرط إلا لهذا الغرض.</w:t>
      </w:r>
    </w:p>
  </w:footnote>
  <w:footnote w:id="134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و(د) : «يوم». والصحيح ما تمَّ </w:t>
      </w:r>
      <w:r>
        <w:rPr>
          <w:rFonts w:hint="eastAsia"/>
          <w:rtl/>
        </w:rPr>
        <w:t>إثباته</w:t>
      </w:r>
      <w:r>
        <w:rPr>
          <w:rtl/>
        </w:rPr>
        <w:t xml:space="preserve"> من (ب)</w:t>
      </w:r>
      <w:r>
        <w:rPr>
          <w:rFonts w:hint="cs"/>
          <w:rtl/>
        </w:rPr>
        <w:t>،</w:t>
      </w:r>
      <w:r>
        <w:rPr>
          <w:rtl/>
        </w:rPr>
        <w:t xml:space="preserve"> و</w:t>
      </w:r>
      <w:r>
        <w:rPr>
          <w:rFonts w:hint="cs"/>
          <w:rtl/>
        </w:rPr>
        <w:t>هو الـموافق</w:t>
      </w:r>
      <w:r>
        <w:rPr>
          <w:rtl/>
        </w:rPr>
        <w:t xml:space="preserve"> لمصدر هذه العبارة (وهو العناية).</w:t>
      </w:r>
    </w:p>
  </w:footnote>
  <w:footnote w:id="134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«بل إلى ما فيه».</w:t>
      </w:r>
    </w:p>
  </w:footnote>
  <w:footnote w:id="1342">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و(ب) و(د) : «به». </w:t>
      </w:r>
      <w:r>
        <w:rPr>
          <w:rFonts w:hint="eastAsia"/>
          <w:rtl/>
        </w:rPr>
        <w:t>والصحيح</w:t>
      </w:r>
      <w:r>
        <w:rPr>
          <w:rtl/>
        </w:rPr>
        <w:t xml:space="preserve"> ما تمَّ </w:t>
      </w:r>
      <w:r>
        <w:rPr>
          <w:rFonts w:hint="eastAsia"/>
          <w:rtl/>
        </w:rPr>
        <w:t>إثباته</w:t>
      </w:r>
      <w:r>
        <w:rPr>
          <w:rtl/>
        </w:rPr>
        <w:t xml:space="preserve"> من (جـ)</w:t>
      </w:r>
      <w:r>
        <w:rPr>
          <w:rFonts w:hint="cs"/>
          <w:rtl/>
        </w:rPr>
        <w:t>،</w:t>
      </w:r>
      <w:r>
        <w:rPr>
          <w:rtl/>
        </w:rPr>
        <w:t xml:space="preserve"> و</w:t>
      </w:r>
      <w:r>
        <w:rPr>
          <w:rFonts w:hint="cs"/>
          <w:rtl/>
        </w:rPr>
        <w:t>هو الموافق</w:t>
      </w:r>
      <w:r>
        <w:rPr>
          <w:rtl/>
        </w:rPr>
        <w:t xml:space="preserve"> للعناية.</w:t>
      </w:r>
    </w:p>
  </w:footnote>
  <w:footnote w:id="1343">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«الثوب»</w:t>
      </w:r>
      <w:r>
        <w:rPr>
          <w:rtl/>
        </w:rPr>
        <w:t xml:space="preserve"> : ساقطة من (د).</w:t>
      </w:r>
    </w:p>
  </w:footnote>
  <w:footnote w:id="1344">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15/أ من (ب). </w:t>
      </w:r>
      <w:r>
        <w:rPr>
          <w:rFonts w:hint="cs"/>
          <w:rtl/>
        </w:rPr>
        <w:t>و</w:t>
      </w:r>
      <w:r>
        <w:rPr>
          <w:rtl/>
        </w:rPr>
        <w:t xml:space="preserve">هذا التفسير </w:t>
      </w:r>
      <w:r>
        <w:rPr>
          <w:rFonts w:hint="eastAsia"/>
          <w:rtl/>
        </w:rPr>
        <w:t>للبيع</w:t>
      </w:r>
      <w:r>
        <w:rPr>
          <w:rtl/>
        </w:rPr>
        <w:t xml:space="preserve"> بالرقم مستفاد من (العناية) - وسوف يأتي تصريح المؤلف بهذا في نهاية </w:t>
      </w:r>
      <w:r>
        <w:rPr>
          <w:rFonts w:hint="eastAsia"/>
          <w:rtl/>
        </w:rPr>
        <w:t>القاعدة</w:t>
      </w:r>
      <w:r>
        <w:rPr>
          <w:rtl/>
        </w:rPr>
        <w:t>-.</w:t>
      </w:r>
    </w:p>
    <w:p w:rsidR="00035BE3" w:rsidRDefault="00035BE3" w:rsidP="00C10469">
      <w:pPr>
        <w:pStyle w:val="a6"/>
        <w:spacing w:line="460" w:lineRule="exact"/>
        <w:ind w:left="422" w:firstLine="0"/>
        <w:rPr>
          <w:rtl/>
        </w:rPr>
      </w:pPr>
      <w:r>
        <w:rPr>
          <w:rFonts w:hint="eastAsia"/>
          <w:rtl/>
        </w:rPr>
        <w:t>إلا</w:t>
      </w:r>
      <w:r>
        <w:rPr>
          <w:rtl/>
        </w:rPr>
        <w:t xml:space="preserve"> أن صاحب العناية </w:t>
      </w:r>
      <w:r>
        <w:rPr>
          <w:rFonts w:hint="eastAsia"/>
          <w:rtl/>
        </w:rPr>
        <w:t>زاد</w:t>
      </w:r>
      <w:r>
        <w:rPr>
          <w:rtl/>
        </w:rPr>
        <w:t xml:space="preserve"> : «ذلك» بعد قوله : «ولا يعلم المشتري». كما أن ابن عابدين في رد الم</w:t>
      </w:r>
      <w:r>
        <w:rPr>
          <w:rFonts w:hint="cs"/>
          <w:rtl/>
        </w:rPr>
        <w:t>ح</w:t>
      </w:r>
      <w:r>
        <w:rPr>
          <w:rtl/>
        </w:rPr>
        <w:t>تار -7/65- عقد مطلبًا مستقلاًّ للبيع بالرقم، فطالعه إن شئت.</w:t>
      </w:r>
    </w:p>
  </w:footnote>
  <w:footnote w:id="1345">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17/أ من (جـ).</w:t>
      </w:r>
    </w:p>
  </w:footnote>
  <w:footnote w:id="1346">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«قدرًا برقم».</w:t>
      </w:r>
    </w:p>
  </w:footnote>
  <w:footnote w:id="1347">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«بالإنفاق».</w:t>
      </w:r>
    </w:p>
  </w:footnote>
  <w:footnote w:id="1348">
    <w:p w:rsidR="00035BE3" w:rsidRDefault="00035BE3" w:rsidP="00C10469">
      <w:pPr>
        <w:pStyle w:val="a8"/>
        <w:bidi/>
        <w:spacing w:line="460" w:lineRule="exact"/>
        <w:ind w:left="422" w:right="0"/>
        <w:rPr>
          <w:spacing w:val="8"/>
          <w:rtl/>
        </w:rPr>
      </w:pPr>
      <w:r>
        <w:rPr>
          <w:spacing w:val="8"/>
          <w:vertAlign w:val="superscript"/>
          <w:rtl/>
        </w:rPr>
        <w:t>(</w:t>
      </w:r>
      <w:r>
        <w:rPr>
          <w:rStyle w:val="a7"/>
          <w:spacing w:val="8"/>
        </w:rPr>
        <w:footnoteRef/>
      </w:r>
      <w:r>
        <w:rPr>
          <w:spacing w:val="8"/>
          <w:vertAlign w:val="superscript"/>
          <w:rtl/>
        </w:rPr>
        <w:t>)</w:t>
      </w:r>
      <w:r>
        <w:rPr>
          <w:spacing w:val="8"/>
          <w:rtl/>
        </w:rPr>
        <w:t xml:space="preserve"> </w:t>
      </w:r>
      <w:r>
        <w:rPr>
          <w:rFonts w:hint="cs"/>
          <w:spacing w:val="8"/>
          <w:rtl/>
        </w:rPr>
        <w:t xml:space="preserve"> </w:t>
      </w:r>
      <w:r>
        <w:rPr>
          <w:rFonts w:hint="eastAsia"/>
          <w:spacing w:val="8"/>
          <w:rtl/>
        </w:rPr>
        <w:t>ف</w:t>
      </w:r>
      <w:r>
        <w:rPr>
          <w:rFonts w:hint="cs"/>
          <w:spacing w:val="8"/>
          <w:rtl/>
        </w:rPr>
        <w:t>ـ</w:t>
      </w:r>
      <w:r>
        <w:rPr>
          <w:rFonts w:hint="eastAsia"/>
          <w:spacing w:val="8"/>
          <w:rtl/>
        </w:rPr>
        <w:t>ي</w:t>
      </w:r>
      <w:r>
        <w:rPr>
          <w:spacing w:val="8"/>
          <w:rtl/>
        </w:rPr>
        <w:t xml:space="preserve"> (أ) و(د) : «ق</w:t>
      </w:r>
      <w:r>
        <w:rPr>
          <w:rFonts w:hint="cs"/>
          <w:spacing w:val="8"/>
          <w:rtl/>
        </w:rPr>
        <w:t>ـ</w:t>
      </w:r>
      <w:r>
        <w:rPr>
          <w:spacing w:val="8"/>
          <w:rtl/>
        </w:rPr>
        <w:t>ال»، وف</w:t>
      </w:r>
      <w:r>
        <w:rPr>
          <w:rFonts w:hint="cs"/>
          <w:spacing w:val="8"/>
          <w:rtl/>
        </w:rPr>
        <w:t>ـ</w:t>
      </w:r>
      <w:r>
        <w:rPr>
          <w:spacing w:val="8"/>
          <w:rtl/>
        </w:rPr>
        <w:t>ي (ب) : «ذه</w:t>
      </w:r>
      <w:r>
        <w:rPr>
          <w:rFonts w:hint="cs"/>
          <w:spacing w:val="8"/>
          <w:rtl/>
        </w:rPr>
        <w:t>ـ</w:t>
      </w:r>
      <w:r>
        <w:rPr>
          <w:spacing w:val="8"/>
          <w:rtl/>
        </w:rPr>
        <w:t>ب»، وف</w:t>
      </w:r>
      <w:r>
        <w:rPr>
          <w:rFonts w:hint="cs"/>
          <w:spacing w:val="8"/>
          <w:rtl/>
        </w:rPr>
        <w:t>ـ</w:t>
      </w:r>
      <w:r>
        <w:rPr>
          <w:spacing w:val="8"/>
          <w:rtl/>
        </w:rPr>
        <w:t xml:space="preserve">ي (جـ) : «مال». والذي يستقيم به المعنى : ما في (ب) و(جـ)، وتمّ اختيار ما في (جـ)؛ </w:t>
      </w:r>
      <w:r>
        <w:rPr>
          <w:rFonts w:hint="eastAsia"/>
          <w:spacing w:val="8"/>
          <w:rtl/>
        </w:rPr>
        <w:t>لأنه</w:t>
      </w:r>
      <w:r>
        <w:rPr>
          <w:spacing w:val="8"/>
          <w:rtl/>
        </w:rPr>
        <w:t xml:space="preserve"> الموافق لمصدر هذه العبارة (وهو العناية).</w:t>
      </w:r>
    </w:p>
  </w:footnote>
  <w:footnote w:id="1349">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«إلى»</w:t>
      </w:r>
      <w:r>
        <w:rPr>
          <w:rtl/>
        </w:rPr>
        <w:t xml:space="preserve"> : ساقطة من (ب) و(جـ).</w:t>
      </w:r>
    </w:p>
  </w:footnote>
  <w:footnote w:id="1350">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«لأنه».</w:t>
      </w:r>
    </w:p>
  </w:footnote>
  <w:footnote w:id="1351">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«وتقرره».</w:t>
      </w:r>
    </w:p>
  </w:footnote>
  <w:footnote w:id="1352">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22/ب من (أ).</w:t>
      </w:r>
    </w:p>
  </w:footnote>
  <w:footnote w:id="1353">
    <w:p w:rsidR="00035BE3" w:rsidRDefault="00035BE3" w:rsidP="00C10469">
      <w:pPr>
        <w:pStyle w:val="a8"/>
        <w:bidi/>
        <w:spacing w:line="46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«فإذا أجاز»</w:t>
      </w:r>
      <w:r>
        <w:rPr>
          <w:rFonts w:hint="cs"/>
          <w:rtl/>
        </w:rPr>
        <w:t>، وهذا الأولى.</w:t>
      </w:r>
    </w:p>
  </w:footnote>
  <w:footnote w:id="135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«قاس». وفي العناية : «قاس عليه».</w:t>
      </w:r>
    </w:p>
  </w:footnote>
  <w:footnote w:id="135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الم</w:t>
      </w:r>
      <w:r>
        <w:rPr>
          <w:rFonts w:hint="eastAsia"/>
          <w:rtl/>
        </w:rPr>
        <w:t>راد</w:t>
      </w:r>
      <w:r>
        <w:rPr>
          <w:rtl/>
        </w:rPr>
        <w:t xml:space="preserve"> بالمسائل : المسألتان اللتان صدَّر بهما </w:t>
      </w:r>
      <w:r>
        <w:rPr>
          <w:rFonts w:hint="eastAsia"/>
          <w:rtl/>
        </w:rPr>
        <w:t>المؤلف</w:t>
      </w:r>
      <w:r>
        <w:rPr>
          <w:rtl/>
        </w:rPr>
        <w:t xml:space="preserve"> حديثه عن القاعدة.</w:t>
      </w:r>
    </w:p>
  </w:footnote>
  <w:footnote w:id="135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«حلب».</w:t>
      </w:r>
    </w:p>
  </w:footnote>
  <w:footnote w:id="135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«وفي</w:t>
      </w:r>
      <w:r>
        <w:rPr>
          <w:rtl/>
        </w:rPr>
        <w:t xml:space="preserve"> مسألتنا» : وردت مكرّرة في (د).</w:t>
      </w:r>
    </w:p>
    <w:p w:rsidR="00035BE3" w:rsidRDefault="00035BE3" w:rsidP="00C10469">
      <w:pPr>
        <w:pStyle w:val="a6"/>
        <w:ind w:left="422" w:hanging="454"/>
        <w:rPr>
          <w:rtl/>
        </w:rPr>
      </w:pPr>
      <w:r>
        <w:rPr>
          <w:rFonts w:hint="cs"/>
          <w:rtl/>
        </w:rPr>
        <w:tab/>
      </w:r>
      <w:r>
        <w:rPr>
          <w:rFonts w:hint="eastAsia"/>
          <w:rtl/>
        </w:rPr>
        <w:t>والمراد</w:t>
      </w:r>
      <w:r>
        <w:rPr>
          <w:rtl/>
        </w:rPr>
        <w:t xml:space="preserve"> بِـ (مسألتنا): ما إذا باع بشرط الخيار أكثر من ثلاثة أيام.</w:t>
      </w:r>
    </w:p>
  </w:footnote>
  <w:footnote w:id="135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العناية،</w:t>
      </w:r>
      <w:r>
        <w:rPr>
          <w:rtl/>
        </w:rPr>
        <w:t xml:space="preserve"> 6/302-303، مع اختلاف يسير في بعض </w:t>
      </w:r>
      <w:r>
        <w:rPr>
          <w:rFonts w:hint="eastAsia"/>
          <w:rtl/>
        </w:rPr>
        <w:t>الألفاظ</w:t>
      </w:r>
      <w:r>
        <w:rPr>
          <w:rtl/>
        </w:rPr>
        <w:t xml:space="preserve"> سبقت الإشارة إلى أهمه، وأيضًا في الترتيب، حيث ذكر صاحب (العناية) مذهب </w:t>
      </w:r>
      <w:r>
        <w:rPr>
          <w:rFonts w:hint="eastAsia"/>
          <w:rtl/>
        </w:rPr>
        <w:t>العراقيين</w:t>
      </w:r>
      <w:r>
        <w:rPr>
          <w:rtl/>
        </w:rPr>
        <w:t xml:space="preserve"> وأهل خراسان أولاً ثم ذكر التقريرين آخر</w:t>
      </w:r>
      <w:r>
        <w:rPr>
          <w:rFonts w:hint="cs"/>
          <w:rtl/>
        </w:rPr>
        <w:t>ً</w:t>
      </w:r>
      <w:r>
        <w:rPr>
          <w:rtl/>
        </w:rPr>
        <w:t>ا.</w:t>
      </w:r>
    </w:p>
  </w:footnote>
  <w:footnote w:id="135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هذه القاعدة وجميع ما جاء في شرحها مستفاد </w:t>
      </w:r>
      <w:r>
        <w:rPr>
          <w:rFonts w:hint="eastAsia"/>
          <w:rtl/>
        </w:rPr>
        <w:t>من</w:t>
      </w:r>
      <w:r>
        <w:rPr>
          <w:rtl/>
        </w:rPr>
        <w:t xml:space="preserve"> العناية، 6/302-303.</w:t>
      </w:r>
    </w:p>
  </w:footnote>
  <w:footnote w:id="136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وردت</w:t>
      </w:r>
      <w:r>
        <w:rPr>
          <w:rtl/>
        </w:rPr>
        <w:t xml:space="preserve"> هذه القاعدة في مجامع الحقائق (الخاتمة)، ص45- بلفظ: «بقاء الحكم الشرعي يستغني عن بقاء السبب»؛ كما وردت بهذا </w:t>
      </w:r>
      <w:r>
        <w:rPr>
          <w:rFonts w:hint="eastAsia"/>
          <w:rtl/>
        </w:rPr>
        <w:t>اللفظ</w:t>
      </w:r>
      <w:r>
        <w:rPr>
          <w:rtl/>
        </w:rPr>
        <w:t xml:space="preserve"> في : شرح العلائي لقواعد الخادمي، ل13/أ؛ منافع الدقائق، </w:t>
      </w:r>
      <w:r w:rsidRPr="00F15B44">
        <w:rPr>
          <w:spacing w:val="-2"/>
          <w:rtl/>
        </w:rPr>
        <w:t xml:space="preserve">ص314؛ ووردت في </w:t>
      </w:r>
      <w:r w:rsidRPr="00F15B44">
        <w:rPr>
          <w:rFonts w:hint="eastAsia"/>
          <w:spacing w:val="-2"/>
          <w:rtl/>
        </w:rPr>
        <w:t>نسخة</w:t>
      </w:r>
      <w:r w:rsidRPr="00F15B44">
        <w:rPr>
          <w:spacing w:val="-2"/>
          <w:rtl/>
        </w:rPr>
        <w:t xml:space="preserve"> خطية للمجامع موافقة للفظ المؤلف- بإسقاط (الشرعي) </w:t>
      </w:r>
      <w:r w:rsidRPr="00F15B44">
        <w:rPr>
          <w:rFonts w:hint="cs"/>
          <w:spacing w:val="-2"/>
          <w:rtl/>
        </w:rPr>
        <w:t>وذلك</w:t>
      </w:r>
      <w:r w:rsidRPr="00F15B44">
        <w:rPr>
          <w:spacing w:val="-2"/>
          <w:rtl/>
        </w:rPr>
        <w:t xml:space="preserve"> ل35/أ.</w:t>
      </w:r>
    </w:p>
    <w:p w:rsidR="00035BE3" w:rsidRDefault="00035BE3" w:rsidP="00C10469">
      <w:pPr>
        <w:pStyle w:val="a6"/>
        <w:ind w:left="422" w:firstLine="0"/>
        <w:rPr>
          <w:rtl/>
        </w:rPr>
      </w:pPr>
      <w:r>
        <w:rPr>
          <w:rFonts w:hint="eastAsia"/>
          <w:rtl/>
        </w:rPr>
        <w:t>كما</w:t>
      </w:r>
      <w:r>
        <w:rPr>
          <w:rtl/>
        </w:rPr>
        <w:t xml:space="preserve"> وردت بلفظ </w:t>
      </w:r>
      <w:r>
        <w:rPr>
          <w:rFonts w:hint="eastAsia"/>
          <w:rtl/>
        </w:rPr>
        <w:t>المؤلف</w:t>
      </w:r>
      <w:r>
        <w:rPr>
          <w:rtl/>
        </w:rPr>
        <w:t xml:space="preserve"> وبلفظ آخر في موسوعة القواعد الفقهية، 3/56.</w:t>
      </w:r>
    </w:p>
    <w:p w:rsidR="00035BE3" w:rsidRDefault="00035BE3" w:rsidP="00C10469">
      <w:pPr>
        <w:pStyle w:val="a6"/>
        <w:ind w:left="422" w:firstLine="0"/>
        <w:rPr>
          <w:rtl/>
        </w:rPr>
      </w:pPr>
      <w:r>
        <w:rPr>
          <w:rFonts w:hint="cs"/>
          <w:rtl/>
        </w:rPr>
        <w:t>و</w:t>
      </w:r>
      <w:r>
        <w:rPr>
          <w:rFonts w:hint="eastAsia"/>
          <w:rtl/>
        </w:rPr>
        <w:t>وردت</w:t>
      </w:r>
      <w:r>
        <w:rPr>
          <w:rtl/>
        </w:rPr>
        <w:t xml:space="preserve"> قبل ذلك في بعض </w:t>
      </w:r>
      <w:r>
        <w:rPr>
          <w:rFonts w:hint="eastAsia"/>
          <w:b/>
          <w:bCs/>
          <w:rtl/>
        </w:rPr>
        <w:t>كتب</w:t>
      </w:r>
      <w:r>
        <w:rPr>
          <w:b/>
          <w:bCs/>
          <w:rtl/>
        </w:rPr>
        <w:t xml:space="preserve"> الفقه</w:t>
      </w:r>
      <w:r>
        <w:rPr>
          <w:rtl/>
        </w:rPr>
        <w:t xml:space="preserve">، منها : شرح الزيادات، تأليف قاضي خان، ص1801- بلفظ: «بقاء السبب ليس </w:t>
      </w:r>
      <w:r>
        <w:rPr>
          <w:rFonts w:hint="eastAsia"/>
          <w:rtl/>
        </w:rPr>
        <w:t>بشرط</w:t>
      </w:r>
      <w:r>
        <w:rPr>
          <w:rtl/>
        </w:rPr>
        <w:t xml:space="preserve"> لبقاء الحكم»-</w:t>
      </w:r>
      <w:r>
        <w:rPr>
          <w:rFonts w:hint="cs"/>
          <w:rtl/>
        </w:rPr>
        <w:t xml:space="preserve">؛ البحر الرائق، 1/355، 2/354- ولفـظه الثاني : </w:t>
      </w:r>
      <w:r>
        <w:rPr>
          <w:rFonts w:hint="eastAsia"/>
          <w:rtl/>
        </w:rPr>
        <w:t>«</w:t>
      </w:r>
      <w:r>
        <w:rPr>
          <w:rFonts w:hint="cs"/>
          <w:rtl/>
        </w:rPr>
        <w:t>... فيجوز بقاء الحكم بعد زوال علته ...</w:t>
      </w:r>
      <w:r>
        <w:rPr>
          <w:rFonts w:hint="eastAsia"/>
          <w:rtl/>
        </w:rPr>
        <w:t>»</w:t>
      </w:r>
      <w:r>
        <w:rPr>
          <w:rFonts w:hint="cs"/>
          <w:rtl/>
        </w:rPr>
        <w:t>، أما لفظه الأول فقريب من لفظ المؤلف-.</w:t>
      </w:r>
    </w:p>
    <w:p w:rsidR="00035BE3" w:rsidRDefault="00035BE3" w:rsidP="00C10469">
      <w:pPr>
        <w:pStyle w:val="a6"/>
        <w:ind w:left="422" w:firstLine="0"/>
        <w:rPr>
          <w:rtl/>
        </w:rPr>
      </w:pPr>
      <w:r>
        <w:rPr>
          <w:rFonts w:hint="cs"/>
          <w:rtl/>
        </w:rPr>
        <w:t>و</w:t>
      </w:r>
      <w:r>
        <w:rPr>
          <w:rFonts w:hint="eastAsia"/>
          <w:rtl/>
        </w:rPr>
        <w:t>سوف</w:t>
      </w:r>
      <w:r>
        <w:rPr>
          <w:rtl/>
        </w:rPr>
        <w:t xml:space="preserve"> يذكر</w:t>
      </w:r>
      <w:r>
        <w:rPr>
          <w:rFonts w:hint="cs"/>
          <w:rtl/>
        </w:rPr>
        <w:t xml:space="preserve"> المؤلف</w:t>
      </w:r>
      <w:r>
        <w:rPr>
          <w:rtl/>
        </w:rPr>
        <w:t xml:space="preserve"> قاعدتين معناهما قريب من هذه الق</w:t>
      </w:r>
      <w:r>
        <w:rPr>
          <w:rFonts w:hint="cs"/>
          <w:rtl/>
        </w:rPr>
        <w:t>ـ</w:t>
      </w:r>
      <w:r>
        <w:rPr>
          <w:rtl/>
        </w:rPr>
        <w:t>اعدة، وذل</w:t>
      </w:r>
      <w:r>
        <w:rPr>
          <w:rFonts w:hint="cs"/>
          <w:rtl/>
        </w:rPr>
        <w:t>ـ</w:t>
      </w:r>
      <w:r>
        <w:rPr>
          <w:rtl/>
        </w:rPr>
        <w:t xml:space="preserve">ك </w:t>
      </w:r>
      <w:r>
        <w:rPr>
          <w:rFonts w:hint="eastAsia"/>
          <w:rtl/>
        </w:rPr>
        <w:t>ص</w:t>
      </w:r>
      <w:r>
        <w:rPr>
          <w:rFonts w:hint="cs"/>
          <w:rtl/>
        </w:rPr>
        <w:t>429</w:t>
      </w:r>
      <w:r>
        <w:rPr>
          <w:rtl/>
        </w:rPr>
        <w:t xml:space="preserve"> (ل23/ب)، قاعدة 54، وص</w:t>
      </w:r>
      <w:r>
        <w:rPr>
          <w:rFonts w:hint="cs"/>
          <w:rtl/>
        </w:rPr>
        <w:t>770</w:t>
      </w:r>
      <w:r>
        <w:rPr>
          <w:rtl/>
        </w:rPr>
        <w:t xml:space="preserve"> (ل58/ب)، قاعدة 147، وقد صرّح في الموضع الأخير بالتقارب بين هذه </w:t>
      </w:r>
      <w:r>
        <w:rPr>
          <w:rFonts w:hint="eastAsia"/>
          <w:rtl/>
        </w:rPr>
        <w:t>القواعد</w:t>
      </w:r>
      <w:r>
        <w:rPr>
          <w:rtl/>
        </w:rPr>
        <w:t xml:space="preserve"> الثلاث، ويضاف إليها قاعدة رابعة سيذكرها استقلالاً، وهي : «يغتفر في </w:t>
      </w:r>
      <w:r>
        <w:rPr>
          <w:rFonts w:hint="eastAsia"/>
          <w:rtl/>
        </w:rPr>
        <w:t>الانتهاء</w:t>
      </w:r>
      <w:r>
        <w:rPr>
          <w:rtl/>
        </w:rPr>
        <w:t xml:space="preserve"> مالا يغتفر في الابتداء»، وذلك ص</w:t>
      </w:r>
      <w:r>
        <w:rPr>
          <w:rFonts w:hint="cs"/>
          <w:rtl/>
        </w:rPr>
        <w:t>1178</w:t>
      </w:r>
      <w:r>
        <w:rPr>
          <w:rtl/>
        </w:rPr>
        <w:t xml:space="preserve"> (ل114/أ)، قاعدة 26</w:t>
      </w:r>
      <w:r>
        <w:rPr>
          <w:rFonts w:hint="cs"/>
          <w:rtl/>
        </w:rPr>
        <w:t>3</w:t>
      </w:r>
      <w:r>
        <w:rPr>
          <w:rtl/>
        </w:rPr>
        <w:t>.</w:t>
      </w:r>
    </w:p>
  </w:footnote>
  <w:footnote w:id="136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الدرر</w:t>
      </w:r>
      <w:r>
        <w:rPr>
          <w:rtl/>
        </w:rPr>
        <w:t xml:space="preserve"> شرح الغرر، 2/224 -مع اختلاف يسير-.</w:t>
      </w:r>
    </w:p>
    <w:p w:rsidR="00035BE3" w:rsidRDefault="00035BE3" w:rsidP="00C10469">
      <w:pPr>
        <w:pStyle w:val="a6"/>
        <w:ind w:left="422" w:firstLine="0"/>
        <w:rPr>
          <w:spacing w:val="-8"/>
          <w:rtl/>
        </w:rPr>
      </w:pPr>
      <w:r>
        <w:rPr>
          <w:rFonts w:hint="cs"/>
          <w:spacing w:val="-8"/>
          <w:rtl/>
        </w:rPr>
        <w:t>وانظر : المحيط البرهاني، ق6، جـ1، ص735-736؛ فتاوى قاضي خان، 2/183؛ فتح القدير، 6/317.</w:t>
      </w:r>
    </w:p>
    <w:p w:rsidR="00035BE3" w:rsidRDefault="00035BE3" w:rsidP="00C10469">
      <w:pPr>
        <w:pStyle w:val="a6"/>
        <w:ind w:left="422" w:firstLine="0"/>
        <w:rPr>
          <w:rtl/>
        </w:rPr>
      </w:pPr>
      <w:r>
        <w:rPr>
          <w:rFonts w:hint="cs"/>
          <w:rtl/>
        </w:rPr>
        <w:t xml:space="preserve">ونص ما في (المحيط) : </w:t>
      </w:r>
      <w:r>
        <w:rPr>
          <w:rFonts w:hint="eastAsia"/>
          <w:rtl/>
        </w:rPr>
        <w:t>«</w:t>
      </w:r>
      <w:r>
        <w:rPr>
          <w:rFonts w:hint="cs"/>
          <w:rtl/>
        </w:rPr>
        <w:t>وفي (نوادر هشام) عن محمد : رجل اشترى من آخر عبدًا على أنه بالخيار ثلاثة أيام، فمرض العبد في الثلاث فنقض المشتري العقد وردّ العبد، وأبى البائع أن يقبله : فإن مضى الثلاث والعبد مريض في حالة : لزم المشتري، وإن صحّ قبل الثلاث ثم مضى الثلاث قبل أن يرد فله أن يرد بالرّد الذي كان منه في الثلاث ...</w:t>
      </w:r>
      <w:r>
        <w:rPr>
          <w:rFonts w:hint="eastAsia"/>
          <w:rtl/>
        </w:rPr>
        <w:t>»</w:t>
      </w:r>
      <w:r>
        <w:rPr>
          <w:rFonts w:hint="cs"/>
          <w:rtl/>
        </w:rPr>
        <w:t>.</w:t>
      </w:r>
    </w:p>
  </w:footnote>
  <w:footnote w:id="136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15/أ من (د).</w:t>
      </w:r>
    </w:p>
  </w:footnote>
  <w:footnote w:id="136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و(د) : «ببقاء». والصحيح ما </w:t>
      </w:r>
      <w:r>
        <w:rPr>
          <w:rFonts w:hint="eastAsia"/>
          <w:rtl/>
        </w:rPr>
        <w:t>تمَّ</w:t>
      </w:r>
      <w:r>
        <w:rPr>
          <w:rtl/>
        </w:rPr>
        <w:t xml:space="preserve"> إثباته من (ب). </w:t>
      </w:r>
    </w:p>
  </w:footnote>
  <w:footnote w:id="136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زيادة : «لأن».</w:t>
      </w:r>
    </w:p>
  </w:footnote>
  <w:footnote w:id="1365">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وممن</w:t>
      </w:r>
      <w:r>
        <w:rPr>
          <w:rtl/>
        </w:rPr>
        <w:t xml:space="preserve"> قال ذلك : صاحب (الدّرر شرح الغرر)، 2/224؛ حيث ذكر النص المذكور</w:t>
      </w:r>
      <w:r>
        <w:rPr>
          <w:rFonts w:hint="cs"/>
          <w:rtl/>
        </w:rPr>
        <w:t>،</w:t>
      </w:r>
      <w:r>
        <w:rPr>
          <w:rtl/>
        </w:rPr>
        <w:t xml:space="preserve"> ثم بيَّنه بقوله : «بيانه: أنه إذا بن</w:t>
      </w:r>
      <w:r>
        <w:rPr>
          <w:rFonts w:hint="cs"/>
          <w:rtl/>
        </w:rPr>
        <w:t>ى</w:t>
      </w:r>
      <w:r>
        <w:rPr>
          <w:rtl/>
        </w:rPr>
        <w:t xml:space="preserve"> في الدار </w:t>
      </w:r>
      <w:r>
        <w:rPr>
          <w:rFonts w:hint="eastAsia"/>
          <w:rtl/>
        </w:rPr>
        <w:t>الموهوبة،</w:t>
      </w:r>
      <w:r>
        <w:rPr>
          <w:rtl/>
        </w:rPr>
        <w:t xml:space="preserve"> وأبطل القاضي رجوع الواهب بسبب البناء، فَهدَمَ الموهوبُ له البناءَ، </w:t>
      </w:r>
      <w:r>
        <w:rPr>
          <w:rFonts w:hint="eastAsia"/>
          <w:rtl/>
        </w:rPr>
        <w:t>وعادت</w:t>
      </w:r>
      <w:r>
        <w:rPr>
          <w:rtl/>
        </w:rPr>
        <w:t xml:space="preserve"> الدار كما كانت : فله أن يرجع فيها».</w:t>
      </w:r>
    </w:p>
    <w:p w:rsidR="00035BE3" w:rsidRPr="0095029A" w:rsidRDefault="00035BE3" w:rsidP="00C10469">
      <w:pPr>
        <w:pStyle w:val="a6"/>
        <w:spacing w:line="221" w:lineRule="auto"/>
        <w:ind w:left="420" w:firstLine="0"/>
        <w:rPr>
          <w:sz w:val="29"/>
          <w:szCs w:val="29"/>
          <w:rtl/>
        </w:rPr>
      </w:pPr>
      <w:r w:rsidRPr="0095029A">
        <w:rPr>
          <w:rFonts w:hint="eastAsia"/>
          <w:sz w:val="29"/>
          <w:szCs w:val="29"/>
          <w:rtl/>
        </w:rPr>
        <w:t>ثم</w:t>
      </w:r>
      <w:r w:rsidRPr="0095029A">
        <w:rPr>
          <w:sz w:val="29"/>
          <w:szCs w:val="29"/>
          <w:rtl/>
        </w:rPr>
        <w:t xml:space="preserve"> ساق المثال </w:t>
      </w:r>
      <w:r w:rsidRPr="0095029A">
        <w:rPr>
          <w:rFonts w:hint="cs"/>
          <w:sz w:val="29"/>
          <w:szCs w:val="29"/>
          <w:rtl/>
        </w:rPr>
        <w:t>-</w:t>
      </w:r>
      <w:r w:rsidRPr="0095029A">
        <w:rPr>
          <w:sz w:val="29"/>
          <w:szCs w:val="29"/>
          <w:rtl/>
        </w:rPr>
        <w:t xml:space="preserve">الذي </w:t>
      </w:r>
      <w:r w:rsidRPr="0095029A">
        <w:rPr>
          <w:rFonts w:hint="eastAsia"/>
          <w:sz w:val="29"/>
          <w:szCs w:val="29"/>
          <w:rtl/>
        </w:rPr>
        <w:t>ذكره</w:t>
      </w:r>
      <w:r w:rsidRPr="0095029A">
        <w:rPr>
          <w:sz w:val="29"/>
          <w:szCs w:val="29"/>
          <w:rtl/>
        </w:rPr>
        <w:t xml:space="preserve"> المؤلف ابتداءً</w:t>
      </w:r>
      <w:r w:rsidRPr="0095029A">
        <w:rPr>
          <w:rFonts w:hint="cs"/>
          <w:sz w:val="29"/>
          <w:szCs w:val="29"/>
          <w:rtl/>
        </w:rPr>
        <w:t>-</w:t>
      </w:r>
      <w:r w:rsidRPr="0095029A">
        <w:rPr>
          <w:sz w:val="29"/>
          <w:szCs w:val="29"/>
          <w:rtl/>
        </w:rPr>
        <w:t xml:space="preserve"> وصدره بقوله : «بخلاف ما لو اشترى عبدًا بالخيار ثلاثة أيام، </w:t>
      </w:r>
      <w:r w:rsidRPr="0095029A">
        <w:rPr>
          <w:rFonts w:hint="eastAsia"/>
          <w:sz w:val="29"/>
          <w:szCs w:val="29"/>
          <w:rtl/>
        </w:rPr>
        <w:t>فحمّ</w:t>
      </w:r>
      <w:r w:rsidRPr="0095029A">
        <w:rPr>
          <w:sz w:val="29"/>
          <w:szCs w:val="29"/>
          <w:rtl/>
        </w:rPr>
        <w:t xml:space="preserve"> العبد ...».</w:t>
      </w:r>
    </w:p>
  </w:footnote>
  <w:footnote w:id="1366">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 «الأول». والصحيح ما تم إثباته من </w:t>
      </w:r>
      <w:r>
        <w:rPr>
          <w:rFonts w:hint="eastAsia"/>
          <w:rtl/>
        </w:rPr>
        <w:t>باقي</w:t>
      </w:r>
      <w:r>
        <w:rPr>
          <w:rtl/>
        </w:rPr>
        <w:t xml:space="preserve"> النسخ.</w:t>
      </w:r>
    </w:p>
  </w:footnote>
  <w:footnote w:id="1367">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و(د) : «بحكم». والصحيح ما تمّ </w:t>
      </w:r>
      <w:r>
        <w:rPr>
          <w:rFonts w:hint="eastAsia"/>
          <w:rtl/>
        </w:rPr>
        <w:t>إثباته</w:t>
      </w:r>
      <w:r>
        <w:rPr>
          <w:rtl/>
        </w:rPr>
        <w:t xml:space="preserve"> من (ب).</w:t>
      </w:r>
    </w:p>
  </w:footnote>
  <w:footnote w:id="1368">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«يصير»، وفي (د) : «فصار».</w:t>
      </w:r>
    </w:p>
  </w:footnote>
  <w:footnote w:id="1369">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هذه</w:t>
      </w:r>
      <w:r>
        <w:rPr>
          <w:rtl/>
        </w:rPr>
        <w:t xml:space="preserve"> القاعدة سيأتي الحديث عنها استقلالاً، </w:t>
      </w:r>
      <w:r>
        <w:rPr>
          <w:rFonts w:hint="eastAsia"/>
          <w:rtl/>
        </w:rPr>
        <w:t>وذلك</w:t>
      </w:r>
      <w:r>
        <w:rPr>
          <w:rtl/>
        </w:rPr>
        <w:t xml:space="preserve"> ص</w:t>
      </w:r>
      <w:r>
        <w:rPr>
          <w:rFonts w:hint="cs"/>
          <w:rtl/>
        </w:rPr>
        <w:t>741</w:t>
      </w:r>
      <w:r>
        <w:rPr>
          <w:rtl/>
        </w:rPr>
        <w:t xml:space="preserve"> (ل56/أ)، </w:t>
      </w:r>
      <w:r>
        <w:rPr>
          <w:rFonts w:hint="eastAsia"/>
          <w:rtl/>
        </w:rPr>
        <w:t>قاعدة</w:t>
      </w:r>
      <w:r>
        <w:rPr>
          <w:rFonts w:hint="cs"/>
          <w:rtl/>
        </w:rPr>
        <w:t xml:space="preserve"> 137.</w:t>
      </w:r>
    </w:p>
  </w:footnote>
  <w:footnote w:id="1370">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الواو</w:t>
      </w:r>
      <w:r>
        <w:rPr>
          <w:rtl/>
        </w:rPr>
        <w:t xml:space="preserve"> : ساقطة من (جـ).</w:t>
      </w:r>
    </w:p>
  </w:footnote>
  <w:footnote w:id="1371">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«الواحد».</w:t>
      </w:r>
    </w:p>
  </w:footnote>
  <w:footnote w:id="1372">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«أحق بهبته»، وفي (د) : «في هبة».</w:t>
      </w:r>
    </w:p>
  </w:footnote>
  <w:footnote w:id="1373">
    <w:p w:rsidR="00035BE3" w:rsidRPr="0095029A" w:rsidRDefault="00035BE3" w:rsidP="00C10469">
      <w:pPr>
        <w:pStyle w:val="a8"/>
        <w:bidi/>
        <w:spacing w:line="221" w:lineRule="auto"/>
        <w:ind w:left="420" w:right="0"/>
        <w:rPr>
          <w:rtl/>
        </w:rPr>
      </w:pPr>
      <w:r>
        <w:rPr>
          <w:spacing w:val="-8"/>
          <w:vertAlign w:val="superscript"/>
          <w:rtl/>
        </w:rPr>
        <w:t>(</w:t>
      </w:r>
      <w:r>
        <w:rPr>
          <w:rStyle w:val="a7"/>
          <w:spacing w:val="-8"/>
        </w:rPr>
        <w:footnoteRef/>
      </w:r>
      <w:r>
        <w:rPr>
          <w:spacing w:val="-8"/>
          <w:vertAlign w:val="superscript"/>
          <w:rtl/>
        </w:rPr>
        <w:t>)</w:t>
      </w:r>
      <w:r>
        <w:rPr>
          <w:spacing w:val="-8"/>
          <w:rtl/>
        </w:rPr>
        <w:t xml:space="preserve">   </w:t>
      </w:r>
      <w:r w:rsidRPr="0095029A">
        <w:rPr>
          <w:rFonts w:hint="eastAsia"/>
          <w:sz w:val="29"/>
          <w:szCs w:val="29"/>
          <w:rtl/>
        </w:rPr>
        <w:t>الضمير</w:t>
      </w:r>
      <w:r w:rsidRPr="0095029A">
        <w:rPr>
          <w:sz w:val="29"/>
          <w:szCs w:val="29"/>
          <w:rtl/>
        </w:rPr>
        <w:t xml:space="preserve"> (هو) يعود إلى (مقتضى الرجوع)، </w:t>
      </w:r>
      <w:r w:rsidRPr="0095029A">
        <w:rPr>
          <w:rFonts w:hint="eastAsia"/>
          <w:sz w:val="29"/>
          <w:szCs w:val="29"/>
          <w:rtl/>
        </w:rPr>
        <w:t>والمعنى</w:t>
      </w:r>
      <w:r w:rsidRPr="0095029A">
        <w:rPr>
          <w:sz w:val="29"/>
          <w:szCs w:val="29"/>
          <w:rtl/>
        </w:rPr>
        <w:t xml:space="preserve">: ومقتضى الرجوع </w:t>
      </w:r>
      <w:r w:rsidRPr="0095029A">
        <w:rPr>
          <w:rFonts w:hint="cs"/>
          <w:sz w:val="29"/>
          <w:szCs w:val="29"/>
          <w:rtl/>
        </w:rPr>
        <w:t>(</w:t>
      </w:r>
      <w:r w:rsidRPr="0095029A">
        <w:rPr>
          <w:sz w:val="29"/>
          <w:szCs w:val="29"/>
          <w:rtl/>
        </w:rPr>
        <w:t>وهو كون الواهب أحقّ في هبته</w:t>
      </w:r>
      <w:r w:rsidRPr="0095029A">
        <w:rPr>
          <w:rFonts w:hint="cs"/>
          <w:sz w:val="29"/>
          <w:szCs w:val="29"/>
          <w:rtl/>
        </w:rPr>
        <w:t>)</w:t>
      </w:r>
      <w:r w:rsidRPr="0095029A">
        <w:rPr>
          <w:sz w:val="29"/>
          <w:szCs w:val="29"/>
          <w:rtl/>
        </w:rPr>
        <w:t xml:space="preserve"> موجودٌ ...</w:t>
      </w:r>
    </w:p>
  </w:footnote>
  <w:footnote w:id="1374">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 لقضاء »، وفي (د) : « ال</w:t>
      </w:r>
      <w:r>
        <w:rPr>
          <w:rFonts w:hint="cs"/>
          <w:rtl/>
        </w:rPr>
        <w:t>ب</w:t>
      </w:r>
      <w:r>
        <w:rPr>
          <w:rtl/>
        </w:rPr>
        <w:t>قضاء ».</w:t>
      </w:r>
    </w:p>
  </w:footnote>
  <w:footnote w:id="1375">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23/أ من (أ).</w:t>
      </w:r>
    </w:p>
  </w:footnote>
  <w:footnote w:id="1376">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اسم</w:t>
      </w:r>
      <w:r>
        <w:rPr>
          <w:rtl/>
        </w:rPr>
        <w:t xml:space="preserve"> (لكن) </w:t>
      </w:r>
      <w:r>
        <w:rPr>
          <w:rFonts w:hint="cs"/>
          <w:rtl/>
        </w:rPr>
        <w:t>ضمير مستتر تقديره هو. والمعنى</w:t>
      </w:r>
      <w:r>
        <w:rPr>
          <w:rtl/>
        </w:rPr>
        <w:t xml:space="preserve"> : ولكن المقتضي لا </w:t>
      </w:r>
      <w:r>
        <w:rPr>
          <w:rFonts w:hint="eastAsia"/>
          <w:rtl/>
        </w:rPr>
        <w:t>يعمل</w:t>
      </w:r>
      <w:r>
        <w:rPr>
          <w:rtl/>
        </w:rPr>
        <w:t xml:space="preserve"> ... </w:t>
      </w:r>
    </w:p>
  </w:footnote>
  <w:footnote w:id="1377">
    <w:p w:rsidR="00035BE3" w:rsidRPr="0095029A" w:rsidRDefault="00035BE3" w:rsidP="00C10469">
      <w:pPr>
        <w:pStyle w:val="a8"/>
        <w:bidi/>
        <w:ind w:left="422" w:right="0"/>
        <w:rPr>
          <w:spacing w:val="-8"/>
          <w:rtl/>
        </w:rPr>
      </w:pPr>
      <w:r>
        <w:rPr>
          <w:spacing w:val="-6"/>
          <w:vertAlign w:val="superscript"/>
          <w:rtl/>
        </w:rPr>
        <w:t>(</w:t>
      </w:r>
      <w:r>
        <w:rPr>
          <w:rStyle w:val="a7"/>
          <w:spacing w:val="-6"/>
        </w:rPr>
        <w:footnoteRef/>
      </w:r>
      <w:r>
        <w:rPr>
          <w:spacing w:val="-6"/>
          <w:vertAlign w:val="superscript"/>
          <w:rtl/>
        </w:rPr>
        <w:t>)</w:t>
      </w:r>
      <w:r>
        <w:rPr>
          <w:spacing w:val="-6"/>
          <w:rtl/>
        </w:rPr>
        <w:t xml:space="preserve">  </w:t>
      </w:r>
      <w:r>
        <w:rPr>
          <w:rFonts w:hint="eastAsia"/>
          <w:spacing w:val="-6"/>
          <w:rtl/>
        </w:rPr>
        <w:t>هذه</w:t>
      </w:r>
      <w:r>
        <w:rPr>
          <w:spacing w:val="-6"/>
          <w:rtl/>
        </w:rPr>
        <w:t xml:space="preserve"> قاعدةٌ سبق الحديث عنها استقلالاً، وذلك </w:t>
      </w:r>
      <w:r>
        <w:rPr>
          <w:rFonts w:hint="eastAsia"/>
          <w:spacing w:val="-6"/>
          <w:rtl/>
        </w:rPr>
        <w:t>ص</w:t>
      </w:r>
      <w:r>
        <w:rPr>
          <w:rFonts w:hint="cs"/>
          <w:spacing w:val="-6"/>
          <w:rtl/>
        </w:rPr>
        <w:t>280</w:t>
      </w:r>
      <w:r>
        <w:rPr>
          <w:spacing w:val="-6"/>
          <w:rtl/>
        </w:rPr>
        <w:t xml:space="preserve"> (ل7/أ)، قاعدة 13، وقد مثّل لها بنحو المثال الذي </w:t>
      </w:r>
      <w:r w:rsidRPr="0095029A">
        <w:rPr>
          <w:spacing w:val="-8"/>
          <w:rtl/>
        </w:rPr>
        <w:t xml:space="preserve">صدّر به هذه القاعدة، </w:t>
      </w:r>
      <w:r w:rsidRPr="0095029A">
        <w:rPr>
          <w:rFonts w:hint="eastAsia"/>
          <w:spacing w:val="-8"/>
          <w:rtl/>
        </w:rPr>
        <w:t>إلا</w:t>
      </w:r>
      <w:r w:rsidRPr="0095029A">
        <w:rPr>
          <w:spacing w:val="-8"/>
          <w:rtl/>
        </w:rPr>
        <w:t xml:space="preserve"> أنه فرق بين المثالين فقال هناك: «هذا قبل قضاء القاضي بسقوط خيار المشتري».</w:t>
      </w:r>
      <w:r w:rsidRPr="0095029A">
        <w:rPr>
          <w:rFonts w:hint="cs"/>
          <w:spacing w:val="-8"/>
          <w:rtl/>
        </w:rPr>
        <w:t xml:space="preserve"> </w:t>
      </w:r>
    </w:p>
    <w:p w:rsidR="00035BE3" w:rsidRDefault="00035BE3" w:rsidP="00C10469">
      <w:pPr>
        <w:pStyle w:val="a6"/>
        <w:ind w:left="422" w:firstLine="0"/>
        <w:rPr>
          <w:rtl/>
        </w:rPr>
      </w:pPr>
      <w:r>
        <w:rPr>
          <w:rFonts w:hint="eastAsia"/>
          <w:rtl/>
        </w:rPr>
        <w:t>وعندما</w:t>
      </w:r>
      <w:r>
        <w:rPr>
          <w:rtl/>
        </w:rPr>
        <w:t xml:space="preserve"> ذكر المثال </w:t>
      </w:r>
      <w:r>
        <w:rPr>
          <w:rFonts w:hint="eastAsia"/>
          <w:rtl/>
        </w:rPr>
        <w:t>هنا</w:t>
      </w:r>
      <w:r>
        <w:rPr>
          <w:rtl/>
        </w:rPr>
        <w:t xml:space="preserve"> : أثبت هذا القيد فقال </w:t>
      </w:r>
      <w:r>
        <w:rPr>
          <w:rFonts w:hint="cs"/>
          <w:rtl/>
        </w:rPr>
        <w:t>-</w:t>
      </w:r>
      <w:r>
        <w:rPr>
          <w:rFonts w:hint="eastAsia"/>
          <w:rtl/>
        </w:rPr>
        <w:t>ص</w:t>
      </w:r>
      <w:r>
        <w:rPr>
          <w:rFonts w:hint="cs"/>
          <w:rtl/>
        </w:rPr>
        <w:t>426</w:t>
      </w:r>
      <w:r>
        <w:rPr>
          <w:rtl/>
        </w:rPr>
        <w:t xml:space="preserve">-: «وأبطل القاضي الخيار في الرّد بسبب المرض </w:t>
      </w:r>
      <w:r>
        <w:rPr>
          <w:rFonts w:hint="eastAsia"/>
          <w:rtl/>
        </w:rPr>
        <w:t>في</w:t>
      </w:r>
      <w:r>
        <w:rPr>
          <w:rtl/>
        </w:rPr>
        <w:t xml:space="preserve"> مدّة الخيار»، وبهذا التفريق يزول الاشتباه الذي قد يرد بين المثالين.</w:t>
      </w:r>
    </w:p>
  </w:footnote>
  <w:footnote w:id="137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«هذه». </w:t>
      </w:r>
      <w:r>
        <w:rPr>
          <w:rFonts w:hint="eastAsia"/>
          <w:rtl/>
        </w:rPr>
        <w:t>والصحيح</w:t>
      </w:r>
      <w:r>
        <w:rPr>
          <w:rtl/>
        </w:rPr>
        <w:t xml:space="preserve"> ما تمَّ </w:t>
      </w:r>
      <w:r>
        <w:rPr>
          <w:rFonts w:hint="eastAsia"/>
          <w:rtl/>
        </w:rPr>
        <w:t>إثباته</w:t>
      </w:r>
      <w:r>
        <w:rPr>
          <w:rtl/>
        </w:rPr>
        <w:t xml:space="preserve"> من (ب) و(د)</w:t>
      </w:r>
      <w:r>
        <w:rPr>
          <w:rFonts w:hint="cs"/>
          <w:rtl/>
        </w:rPr>
        <w:t>.</w:t>
      </w:r>
    </w:p>
    <w:p w:rsidR="00035BE3" w:rsidRDefault="00035BE3" w:rsidP="00C10469">
      <w:pPr>
        <w:pStyle w:val="a6"/>
        <w:ind w:left="422" w:firstLine="0"/>
        <w:rPr>
          <w:rtl/>
        </w:rPr>
      </w:pPr>
      <w:r>
        <w:rPr>
          <w:rFonts w:hint="cs"/>
          <w:rtl/>
        </w:rPr>
        <w:t>و</w:t>
      </w:r>
      <w:r>
        <w:rPr>
          <w:rtl/>
        </w:rPr>
        <w:t xml:space="preserve">كلمة (هذه) تمثّل نهاية 17/ب من (جـ) مع تكرارها </w:t>
      </w:r>
      <w:r>
        <w:rPr>
          <w:rFonts w:hint="eastAsia"/>
          <w:rtl/>
        </w:rPr>
        <w:t>في</w:t>
      </w:r>
      <w:r>
        <w:rPr>
          <w:rtl/>
        </w:rPr>
        <w:t xml:space="preserve"> اللوحة التي تليها.</w:t>
      </w:r>
    </w:p>
  </w:footnote>
  <w:footnote w:id="1379">
    <w:p w:rsidR="00035BE3" w:rsidRDefault="00035BE3" w:rsidP="00C10469">
      <w:pPr>
        <w:pStyle w:val="a8"/>
        <w:bidi/>
        <w:ind w:left="422" w:right="0"/>
        <w:rPr>
          <w:spacing w:val="10"/>
          <w:rtl/>
        </w:rPr>
      </w:pPr>
      <w:r>
        <w:rPr>
          <w:spacing w:val="10"/>
          <w:vertAlign w:val="superscript"/>
          <w:rtl/>
        </w:rPr>
        <w:t>(</w:t>
      </w:r>
      <w:r>
        <w:rPr>
          <w:rStyle w:val="a7"/>
          <w:spacing w:val="10"/>
        </w:rPr>
        <w:footnoteRef/>
      </w:r>
      <w:r>
        <w:rPr>
          <w:spacing w:val="10"/>
          <w:vertAlign w:val="superscript"/>
          <w:rtl/>
        </w:rPr>
        <w:t>)</w:t>
      </w:r>
      <w:r>
        <w:rPr>
          <w:spacing w:val="10"/>
          <w:rtl/>
        </w:rPr>
        <w:t xml:space="preserve">   </w:t>
      </w:r>
      <w:r>
        <w:rPr>
          <w:rFonts w:hint="eastAsia"/>
          <w:spacing w:val="10"/>
          <w:rtl/>
        </w:rPr>
        <w:t>«ينتهي»</w:t>
      </w:r>
      <w:r>
        <w:rPr>
          <w:spacing w:val="10"/>
          <w:rtl/>
        </w:rPr>
        <w:t xml:space="preserve"> : زيادة من (ب) و(جـ)، وقد اتفقت </w:t>
      </w:r>
      <w:r>
        <w:rPr>
          <w:rFonts w:hint="eastAsia"/>
          <w:spacing w:val="10"/>
          <w:rtl/>
        </w:rPr>
        <w:t>جميع</w:t>
      </w:r>
      <w:r>
        <w:rPr>
          <w:spacing w:val="10"/>
          <w:rtl/>
        </w:rPr>
        <w:t xml:space="preserve"> النسخ على إثباتها عند إعادة لفظ القاعدة </w:t>
      </w:r>
      <w:r>
        <w:rPr>
          <w:rFonts w:hint="eastAsia"/>
          <w:spacing w:val="10"/>
          <w:rtl/>
        </w:rPr>
        <w:t>بعد</w:t>
      </w:r>
      <w:r>
        <w:rPr>
          <w:spacing w:val="10"/>
          <w:rtl/>
        </w:rPr>
        <w:t xml:space="preserve"> </w:t>
      </w:r>
      <w:r>
        <w:rPr>
          <w:rFonts w:hint="cs"/>
          <w:spacing w:val="10"/>
          <w:rtl/>
        </w:rPr>
        <w:t>سطر فقط.</w:t>
      </w:r>
    </w:p>
  </w:footnote>
  <w:footnote w:id="138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وهذا</w:t>
      </w:r>
      <w:r>
        <w:rPr>
          <w:rtl/>
        </w:rPr>
        <w:t xml:space="preserve"> الأصل سيأتي الحديث عنه استقلالاً، </w:t>
      </w:r>
      <w:r>
        <w:rPr>
          <w:rFonts w:hint="eastAsia"/>
          <w:rtl/>
        </w:rPr>
        <w:t>ص</w:t>
      </w:r>
      <w:r>
        <w:rPr>
          <w:rFonts w:hint="cs"/>
          <w:rtl/>
        </w:rPr>
        <w:t>652</w:t>
      </w:r>
      <w:r>
        <w:rPr>
          <w:rtl/>
        </w:rPr>
        <w:t xml:space="preserve"> (ل</w:t>
      </w:r>
      <w:r>
        <w:rPr>
          <w:rFonts w:hint="cs"/>
          <w:rtl/>
        </w:rPr>
        <w:t>47</w:t>
      </w:r>
      <w:r>
        <w:rPr>
          <w:rtl/>
        </w:rPr>
        <w:t>/</w:t>
      </w:r>
      <w:r>
        <w:rPr>
          <w:rFonts w:hint="cs"/>
          <w:rtl/>
        </w:rPr>
        <w:t>أ</w:t>
      </w:r>
      <w:r>
        <w:rPr>
          <w:rtl/>
        </w:rPr>
        <w:t>)، قاعدة 115.</w:t>
      </w:r>
    </w:p>
  </w:footnote>
  <w:footnote w:id="138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«الأول».</w:t>
      </w:r>
    </w:p>
  </w:footnote>
  <w:footnote w:id="138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«الحلم» (باللام).</w:t>
      </w:r>
    </w:p>
  </w:footnote>
  <w:footnote w:id="138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15/ب من (ب).</w:t>
      </w:r>
    </w:p>
  </w:footnote>
  <w:footnote w:id="13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ص721 (ل56/أ)، قاعدة 137.</w:t>
      </w:r>
    </w:p>
  </w:footnote>
  <w:footnote w:id="138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باب السين إن شاء الله» : ساقطة من (جـ).</w:t>
      </w:r>
    </w:p>
  </w:footnote>
  <w:footnote w:id="138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sidRPr="00232D6E">
        <w:rPr>
          <w:rFonts w:hint="eastAsia"/>
          <w:spacing w:val="6"/>
          <w:rtl/>
        </w:rPr>
        <w:t>وردت</w:t>
      </w:r>
      <w:r w:rsidRPr="00232D6E">
        <w:rPr>
          <w:spacing w:val="6"/>
          <w:rtl/>
        </w:rPr>
        <w:t xml:space="preserve"> هذه القاعدة بهذا اللفظ أو نحوه أو </w:t>
      </w:r>
      <w:r w:rsidRPr="00232D6E">
        <w:rPr>
          <w:rFonts w:hint="eastAsia"/>
          <w:spacing w:val="6"/>
          <w:rtl/>
        </w:rPr>
        <w:t>معناه</w:t>
      </w:r>
      <w:r w:rsidRPr="00232D6E">
        <w:rPr>
          <w:spacing w:val="6"/>
          <w:rtl/>
        </w:rPr>
        <w:t xml:space="preserve"> في كثير من كتب الفقه وقواعده، كما تطرق الأصوليون إليها ضمنًا عند حديثهم </w:t>
      </w:r>
      <w:r w:rsidRPr="00232D6E">
        <w:rPr>
          <w:rFonts w:hint="eastAsia"/>
          <w:spacing w:val="6"/>
          <w:rtl/>
        </w:rPr>
        <w:t>عن</w:t>
      </w:r>
      <w:r w:rsidRPr="00232D6E">
        <w:rPr>
          <w:spacing w:val="6"/>
          <w:rtl/>
        </w:rPr>
        <w:t xml:space="preserve"> أقسام</w:t>
      </w:r>
      <w:r>
        <w:rPr>
          <w:rtl/>
        </w:rPr>
        <w:t xml:space="preserve"> المانع؛ إذْ ذكروا من أقسامه : ما يمنع ابتداء الحكم دون استمراره.</w:t>
      </w:r>
    </w:p>
    <w:p w:rsidR="00035BE3" w:rsidRDefault="00035BE3" w:rsidP="00C10469">
      <w:pPr>
        <w:pStyle w:val="a6"/>
        <w:ind w:left="422" w:firstLine="0"/>
        <w:rPr>
          <w:rtl/>
        </w:rPr>
      </w:pPr>
      <w:r>
        <w:rPr>
          <w:rFonts w:hint="eastAsia"/>
          <w:b/>
          <w:bCs/>
          <w:rtl/>
        </w:rPr>
        <w:t>فمن</w:t>
      </w:r>
      <w:r>
        <w:rPr>
          <w:b/>
          <w:bCs/>
          <w:rtl/>
        </w:rPr>
        <w:t xml:space="preserve"> كتب القواعد</w:t>
      </w:r>
      <w:r>
        <w:rPr>
          <w:rtl/>
        </w:rPr>
        <w:t xml:space="preserve"> : </w:t>
      </w:r>
    </w:p>
    <w:p w:rsidR="00035BE3" w:rsidRDefault="00035BE3" w:rsidP="00C10469">
      <w:pPr>
        <w:pStyle w:val="a6"/>
        <w:spacing w:line="228" w:lineRule="auto"/>
        <w:ind w:left="420" w:firstLine="0"/>
        <w:rPr>
          <w:rtl/>
        </w:rPr>
      </w:pPr>
      <w:r>
        <w:rPr>
          <w:rtl/>
        </w:rPr>
        <w:t xml:space="preserve">الأشباه والنظائر لابن </w:t>
      </w:r>
      <w:r>
        <w:rPr>
          <w:rFonts w:hint="eastAsia"/>
          <w:rtl/>
        </w:rPr>
        <w:t>الوكيل،</w:t>
      </w:r>
      <w:r>
        <w:rPr>
          <w:rtl/>
        </w:rPr>
        <w:t xml:space="preserve"> 2/296 - ولفظه: «يحتمل في الدوام ما لا يحتمل في الابتداء، وقد يحتمل في </w:t>
      </w:r>
      <w:r>
        <w:rPr>
          <w:rFonts w:hint="eastAsia"/>
          <w:rtl/>
        </w:rPr>
        <w:t>الابتداء</w:t>
      </w:r>
      <w:r>
        <w:rPr>
          <w:rtl/>
        </w:rPr>
        <w:t xml:space="preserve"> ما لا يحتمل في الدوام»-؛ القواعد للمقّري، 1/278، قاعدة 56 - ولفظه: «اختلف </w:t>
      </w:r>
      <w:r>
        <w:rPr>
          <w:rFonts w:hint="eastAsia"/>
          <w:rtl/>
        </w:rPr>
        <w:t>المالكية</w:t>
      </w:r>
      <w:r>
        <w:rPr>
          <w:rtl/>
        </w:rPr>
        <w:t xml:space="preserve"> في التمادي على الشيء، هل يكون كابتدا</w:t>
      </w:r>
      <w:r>
        <w:rPr>
          <w:rFonts w:hint="cs"/>
          <w:rtl/>
        </w:rPr>
        <w:t>ئ</w:t>
      </w:r>
      <w:r>
        <w:rPr>
          <w:rtl/>
        </w:rPr>
        <w:t xml:space="preserve">ه في الحكم، أولا ؟...»-؛ إيضاح </w:t>
      </w:r>
      <w:r w:rsidRPr="00140439">
        <w:rPr>
          <w:rFonts w:hint="eastAsia"/>
          <w:spacing w:val="-4"/>
          <w:rtl/>
        </w:rPr>
        <w:t>المسالك</w:t>
      </w:r>
      <w:r w:rsidRPr="00140439">
        <w:rPr>
          <w:spacing w:val="-4"/>
          <w:rtl/>
        </w:rPr>
        <w:t xml:space="preserve"> للونشريسي، ص66، قاعدة 13- ولفظه: «الدّوام على الشيء، هل هو كالابتداء، </w:t>
      </w:r>
      <w:r w:rsidRPr="00140439">
        <w:rPr>
          <w:rFonts w:hint="eastAsia"/>
          <w:spacing w:val="-4"/>
          <w:rtl/>
        </w:rPr>
        <w:t>أم</w:t>
      </w:r>
      <w:r w:rsidRPr="00140439">
        <w:rPr>
          <w:spacing w:val="-4"/>
          <w:rtl/>
        </w:rPr>
        <w:t xml:space="preserve"> لا</w:t>
      </w:r>
      <w:r>
        <w:rPr>
          <w:rtl/>
        </w:rPr>
        <w:t xml:space="preserve"> ؟»-؛ الأش</w:t>
      </w:r>
      <w:r>
        <w:rPr>
          <w:rFonts w:hint="cs"/>
          <w:rtl/>
        </w:rPr>
        <w:t>ـ</w:t>
      </w:r>
      <w:r>
        <w:rPr>
          <w:rtl/>
        </w:rPr>
        <w:t>باه والنظ</w:t>
      </w:r>
      <w:r>
        <w:rPr>
          <w:rFonts w:hint="cs"/>
          <w:rtl/>
        </w:rPr>
        <w:t>ـ</w:t>
      </w:r>
      <w:r>
        <w:rPr>
          <w:rtl/>
        </w:rPr>
        <w:t>ائر لابن ن</w:t>
      </w:r>
      <w:r>
        <w:rPr>
          <w:rFonts w:hint="cs"/>
          <w:rtl/>
        </w:rPr>
        <w:t>ـ</w:t>
      </w:r>
      <w:r>
        <w:rPr>
          <w:rtl/>
        </w:rPr>
        <w:t xml:space="preserve">جيم، ص255؛ قواعد الفقه له أيضًا، ص89، قاعدة 8؛ المنهج المنتخب وشرحه للمنجور، ص215- ولفظ المنهج: «وهل دوامٌ كابتداء ...»-؛ </w:t>
      </w:r>
      <w:r>
        <w:rPr>
          <w:rFonts w:hint="eastAsia"/>
          <w:rtl/>
        </w:rPr>
        <w:t>مجامع</w:t>
      </w:r>
      <w:r>
        <w:rPr>
          <w:rtl/>
        </w:rPr>
        <w:t xml:space="preserve"> الحقائق (الخاتـمة)، ص45؛ شرح العلائي لقـواعد الـخادمي، ل13/ب؛ منافع </w:t>
      </w:r>
      <w:r>
        <w:rPr>
          <w:rFonts w:hint="eastAsia"/>
          <w:rtl/>
        </w:rPr>
        <w:t>الدقائق،</w:t>
      </w:r>
      <w:r>
        <w:rPr>
          <w:rtl/>
        </w:rPr>
        <w:t xml:space="preserve"> ص314؛ مجلة الأحكام العدلية، مادة 56؛ شرحها لسليم رستم، 1/42؛ ولعلي </w:t>
      </w:r>
      <w:r>
        <w:rPr>
          <w:rFonts w:hint="eastAsia"/>
          <w:rtl/>
        </w:rPr>
        <w:t>حيدر،</w:t>
      </w:r>
      <w:r>
        <w:rPr>
          <w:rtl/>
        </w:rPr>
        <w:t xml:space="preserve"> 1/51؛ وللأتاسي، 1/138؛ وشرح قواعدها للزرقا، ص297؛ قواعد الفقه للمجدِّدي، </w:t>
      </w:r>
      <w:r>
        <w:rPr>
          <w:rFonts w:hint="eastAsia"/>
          <w:rtl/>
        </w:rPr>
        <w:t>ص</w:t>
      </w:r>
      <w:r>
        <w:rPr>
          <w:rtl/>
        </w:rPr>
        <w:t xml:space="preserve">65، قاعدة 61؛ المدخل الفقهي العام، 2/1016، فقرة 632؛ القـواعد الفقهية للدكتور </w:t>
      </w:r>
      <w:r>
        <w:rPr>
          <w:rFonts w:hint="eastAsia"/>
          <w:rtl/>
        </w:rPr>
        <w:t>الندوي،</w:t>
      </w:r>
      <w:r>
        <w:rPr>
          <w:rtl/>
        </w:rPr>
        <w:t xml:space="preserve"> ص146، 151، 153، 177، 352، 435- وأول ألفاظه: «إن البقاء أسهل»-؛ القواعد </w:t>
      </w:r>
      <w:r>
        <w:rPr>
          <w:rFonts w:hint="eastAsia"/>
          <w:rtl/>
        </w:rPr>
        <w:t>والضـوابط</w:t>
      </w:r>
      <w:r>
        <w:rPr>
          <w:rtl/>
        </w:rPr>
        <w:t xml:space="preserve"> المستخلصة من التحرير، ص181، 483- ولفظه الأول: «البقاء أسهل من الثبوت»-؛ </w:t>
      </w:r>
      <w:r>
        <w:rPr>
          <w:rFonts w:hint="eastAsia"/>
          <w:rtl/>
        </w:rPr>
        <w:t>القواعد</w:t>
      </w:r>
      <w:r>
        <w:rPr>
          <w:rtl/>
        </w:rPr>
        <w:t xml:space="preserve"> والضوابط الفقهية عند ابن تيمية، ص314- ومن ألفاظه: «الاستدامة أقوى من </w:t>
      </w:r>
      <w:r>
        <w:rPr>
          <w:rFonts w:hint="eastAsia"/>
          <w:rtl/>
        </w:rPr>
        <w:t>الابتداء»</w:t>
      </w:r>
      <w:r>
        <w:rPr>
          <w:rtl/>
        </w:rPr>
        <w:t>-؛ موسوعة القواعد الفقهية، 1/80،</w:t>
      </w:r>
      <w:r>
        <w:rPr>
          <w:rFonts w:hint="cs"/>
          <w:rtl/>
        </w:rPr>
        <w:t xml:space="preserve"> 456،</w:t>
      </w:r>
      <w:r>
        <w:rPr>
          <w:rtl/>
        </w:rPr>
        <w:t xml:space="preserve"> 3/54 -ولفظه الأول: «إن البقاء أسهل»-؛ </w:t>
      </w:r>
      <w:r>
        <w:rPr>
          <w:rFonts w:hint="eastAsia"/>
          <w:rtl/>
        </w:rPr>
        <w:t>المدخل</w:t>
      </w:r>
      <w:r>
        <w:rPr>
          <w:rtl/>
        </w:rPr>
        <w:t xml:space="preserve"> إلى القواعد الفقهية للدكتور الحريري، ص139؛ المبادئ الفقهية، ص36؛ القواعد </w:t>
      </w:r>
      <w:r>
        <w:rPr>
          <w:rFonts w:hint="eastAsia"/>
          <w:rtl/>
        </w:rPr>
        <w:t>الفقهية</w:t>
      </w:r>
      <w:r>
        <w:rPr>
          <w:rtl/>
        </w:rPr>
        <w:t xml:space="preserve"> للدعّاس، ص81، قاعدة 61؛ وللدكتور محمد الزحيلي، ص80</w:t>
      </w:r>
      <w:r>
        <w:rPr>
          <w:rFonts w:hint="cs"/>
          <w:rtl/>
        </w:rPr>
        <w:t xml:space="preserve">؛ تطبيقات القواعد والضوابط للدكتور سعود الغديان، ص1234 </w:t>
      </w:r>
      <w:r>
        <w:rPr>
          <w:rtl/>
        </w:rPr>
        <w:t>–</w:t>
      </w:r>
      <w:r>
        <w:rPr>
          <w:rFonts w:hint="cs"/>
          <w:rtl/>
        </w:rPr>
        <w:t xml:space="preserve">ولفظه: </w:t>
      </w:r>
      <w:r>
        <w:rPr>
          <w:rtl/>
        </w:rPr>
        <w:t>«</w:t>
      </w:r>
      <w:r>
        <w:rPr>
          <w:rFonts w:hint="cs"/>
          <w:rtl/>
        </w:rPr>
        <w:t>الدوام على الشيء هل هو كابتدائه؟</w:t>
      </w:r>
      <w:r>
        <w:rPr>
          <w:rtl/>
        </w:rPr>
        <w:t>»</w:t>
      </w:r>
      <w:r>
        <w:rPr>
          <w:rFonts w:hint="cs"/>
          <w:rtl/>
        </w:rPr>
        <w:t>-.</w:t>
      </w:r>
    </w:p>
    <w:p w:rsidR="00035BE3" w:rsidRDefault="00035BE3" w:rsidP="00C10469">
      <w:pPr>
        <w:pStyle w:val="a6"/>
        <w:spacing w:line="228" w:lineRule="auto"/>
        <w:ind w:left="420" w:firstLine="0"/>
        <w:rPr>
          <w:rtl/>
        </w:rPr>
      </w:pPr>
      <w:r>
        <w:rPr>
          <w:rFonts w:hint="eastAsia"/>
          <w:b/>
          <w:bCs/>
          <w:rtl/>
        </w:rPr>
        <w:t>ومن</w:t>
      </w:r>
      <w:r>
        <w:rPr>
          <w:b/>
          <w:bCs/>
          <w:rtl/>
        </w:rPr>
        <w:t xml:space="preserve"> كتب الفقه</w:t>
      </w:r>
      <w:r>
        <w:rPr>
          <w:rtl/>
        </w:rPr>
        <w:t xml:space="preserve"> : </w:t>
      </w:r>
    </w:p>
    <w:p w:rsidR="00035BE3" w:rsidRDefault="00035BE3" w:rsidP="00C10469">
      <w:pPr>
        <w:pStyle w:val="a6"/>
        <w:spacing w:line="228" w:lineRule="auto"/>
        <w:ind w:left="420" w:firstLine="0"/>
        <w:rPr>
          <w:rtl/>
        </w:rPr>
      </w:pPr>
      <w:r w:rsidRPr="00B24198">
        <w:rPr>
          <w:rFonts w:hint="eastAsia"/>
          <w:spacing w:val="-4"/>
          <w:rtl/>
        </w:rPr>
        <w:t>شرح</w:t>
      </w:r>
      <w:r w:rsidRPr="00B24198">
        <w:rPr>
          <w:spacing w:val="-4"/>
          <w:rtl/>
        </w:rPr>
        <w:t xml:space="preserve"> كتاب السـير </w:t>
      </w:r>
      <w:r w:rsidRPr="00B24198">
        <w:rPr>
          <w:rFonts w:hint="eastAsia"/>
          <w:spacing w:val="-4"/>
          <w:rtl/>
        </w:rPr>
        <w:t>الكبير</w:t>
      </w:r>
      <w:r w:rsidRPr="00B24198">
        <w:rPr>
          <w:spacing w:val="-4"/>
          <w:rtl/>
        </w:rPr>
        <w:t xml:space="preserve"> للسرخسي، 3/943، فقرة 1720</w:t>
      </w:r>
      <w:r w:rsidRPr="00B24198">
        <w:rPr>
          <w:rFonts w:hint="cs"/>
          <w:spacing w:val="-4"/>
          <w:rtl/>
        </w:rPr>
        <w:t>،</w:t>
      </w:r>
      <w:r w:rsidRPr="00B24198">
        <w:rPr>
          <w:spacing w:val="-4"/>
          <w:rtl/>
        </w:rPr>
        <w:t xml:space="preserve"> و 956، فقرة 1753؛ المبسوط، 2/118، 4/116، 30/197؛ بدائع الصـنائع، 2/114</w:t>
      </w:r>
      <w:r w:rsidRPr="00B24198">
        <w:rPr>
          <w:rFonts w:hint="cs"/>
          <w:spacing w:val="-4"/>
          <w:rtl/>
        </w:rPr>
        <w:t>، 3/175، 5/20، 217، 309، 6/131، 138، 7/395</w:t>
      </w:r>
      <w:r w:rsidRPr="00B24198">
        <w:rPr>
          <w:spacing w:val="-4"/>
          <w:rtl/>
        </w:rPr>
        <w:t xml:space="preserve">؛ الهداية، 7/108، 10/154؛ المصفى للنسفي، ل8/أ، 10/أ؛ مجموع </w:t>
      </w:r>
      <w:r>
        <w:rPr>
          <w:rtl/>
        </w:rPr>
        <w:t xml:space="preserve">فتاوى شيخ </w:t>
      </w:r>
      <w:r w:rsidRPr="00B24198">
        <w:rPr>
          <w:spacing w:val="-4"/>
          <w:rtl/>
        </w:rPr>
        <w:t>الإسلام ابن تيمية، 21/312، 23/213؛ العناية، 4/454، 7/107، 255، 480، 483، 9/45؛</w:t>
      </w:r>
      <w:r w:rsidRPr="00B24198">
        <w:rPr>
          <w:rFonts w:hint="cs"/>
          <w:spacing w:val="-4"/>
          <w:rtl/>
        </w:rPr>
        <w:t xml:space="preserve"> </w:t>
      </w:r>
      <w:r>
        <w:rPr>
          <w:rtl/>
        </w:rPr>
        <w:t xml:space="preserve"> </w:t>
      </w:r>
    </w:p>
    <w:p w:rsidR="00035BE3" w:rsidRDefault="00035BE3" w:rsidP="00C10469">
      <w:pPr>
        <w:pStyle w:val="a6"/>
        <w:ind w:left="422" w:hanging="2"/>
        <w:rPr>
          <w:rtl/>
        </w:rPr>
      </w:pPr>
      <w:r>
        <w:rPr>
          <w:rtl/>
        </w:rPr>
        <w:t>فتح القدير، 7/254</w:t>
      </w:r>
      <w:r>
        <w:rPr>
          <w:rFonts w:hint="cs"/>
          <w:rtl/>
        </w:rPr>
        <w:t xml:space="preserve">؛ البحر الرائق، 2/319، 3/233، 6/284 </w:t>
      </w:r>
      <w:r>
        <w:rPr>
          <w:rtl/>
        </w:rPr>
        <w:t>–</w:t>
      </w:r>
      <w:r>
        <w:rPr>
          <w:rFonts w:hint="cs"/>
          <w:rtl/>
        </w:rPr>
        <w:t xml:space="preserve">وفي الموضع الأخير قال قُبيل القاعدة: </w:t>
      </w:r>
      <w:r>
        <w:rPr>
          <w:rtl/>
        </w:rPr>
        <w:t>«</w:t>
      </w:r>
      <w:r>
        <w:rPr>
          <w:rFonts w:hint="cs"/>
          <w:rtl/>
        </w:rPr>
        <w:t>... عكس السائر على ألسنة الفقهاء وهو أن البقاء ...</w:t>
      </w:r>
      <w:r>
        <w:rPr>
          <w:rtl/>
        </w:rPr>
        <w:t>»</w:t>
      </w:r>
      <w:r>
        <w:rPr>
          <w:rFonts w:hint="cs"/>
          <w:rtl/>
        </w:rPr>
        <w:t>؛ تكملة البحر، 8/276.</w:t>
      </w:r>
    </w:p>
    <w:p w:rsidR="00035BE3" w:rsidRDefault="00035BE3" w:rsidP="00C10469">
      <w:pPr>
        <w:pStyle w:val="a6"/>
        <w:ind w:left="422" w:hanging="2"/>
        <w:rPr>
          <w:rtl/>
        </w:rPr>
      </w:pPr>
      <w:r>
        <w:rPr>
          <w:rFonts w:hint="eastAsia"/>
          <w:b/>
          <w:bCs/>
          <w:rtl/>
        </w:rPr>
        <w:t>ومن</w:t>
      </w:r>
      <w:r>
        <w:rPr>
          <w:b/>
          <w:bCs/>
          <w:rtl/>
        </w:rPr>
        <w:t xml:space="preserve"> الكتب الأصولية</w:t>
      </w:r>
      <w:r>
        <w:rPr>
          <w:rtl/>
        </w:rPr>
        <w:t xml:space="preserve"> </w:t>
      </w:r>
      <w:r>
        <w:rPr>
          <w:rFonts w:hint="eastAsia"/>
          <w:rtl/>
        </w:rPr>
        <w:t>التي</w:t>
      </w:r>
      <w:r>
        <w:rPr>
          <w:rtl/>
        </w:rPr>
        <w:t xml:space="preserve"> تطرقت إليها عند الحديث عن أقسام المانع :</w:t>
      </w:r>
    </w:p>
    <w:p w:rsidR="00035BE3" w:rsidRDefault="00035BE3" w:rsidP="00C10469">
      <w:pPr>
        <w:pStyle w:val="a6"/>
        <w:ind w:left="422" w:hanging="2"/>
        <w:rPr>
          <w:rtl/>
        </w:rPr>
      </w:pPr>
      <w:r>
        <w:rPr>
          <w:rFonts w:hint="eastAsia"/>
          <w:rtl/>
        </w:rPr>
        <w:t>شرح</w:t>
      </w:r>
      <w:r>
        <w:rPr>
          <w:rtl/>
        </w:rPr>
        <w:t xml:space="preserve"> تنقيح الفصول، </w:t>
      </w:r>
      <w:r>
        <w:rPr>
          <w:rFonts w:hint="eastAsia"/>
          <w:rtl/>
        </w:rPr>
        <w:t>ص</w:t>
      </w:r>
      <w:r>
        <w:rPr>
          <w:rtl/>
        </w:rPr>
        <w:t xml:space="preserve">84؛ شرح مختصر الروضة، 1/438؛ شرح الكوكب المنير، 1/463؛ مذكرة في أصول الفقه </w:t>
      </w:r>
      <w:r>
        <w:rPr>
          <w:rFonts w:hint="eastAsia"/>
          <w:rtl/>
        </w:rPr>
        <w:t>للعلامة</w:t>
      </w:r>
      <w:r>
        <w:rPr>
          <w:rtl/>
        </w:rPr>
        <w:t xml:space="preserve"> الشنقيطي، ص53. </w:t>
      </w:r>
    </w:p>
    <w:p w:rsidR="00035BE3" w:rsidRDefault="00035BE3" w:rsidP="00C10469">
      <w:pPr>
        <w:pStyle w:val="a6"/>
        <w:ind w:left="422" w:hanging="2"/>
        <w:rPr>
          <w:rtl/>
        </w:rPr>
      </w:pPr>
      <w:r>
        <w:rPr>
          <w:rtl/>
        </w:rPr>
        <w:t xml:space="preserve">كما ذُكرتْ ضمن أقسام المانع في : قواعد الأحكام لابن عبد </w:t>
      </w:r>
      <w:r>
        <w:rPr>
          <w:rFonts w:hint="eastAsia"/>
          <w:rtl/>
        </w:rPr>
        <w:t>السلام،</w:t>
      </w:r>
      <w:r>
        <w:rPr>
          <w:rtl/>
        </w:rPr>
        <w:t xml:space="preserve"> 2/88؛ أنوار البروق للقرافي</w:t>
      </w:r>
      <w:r>
        <w:rPr>
          <w:rFonts w:hint="cs"/>
          <w:rtl/>
        </w:rPr>
        <w:t>، 1/110، الفرق9</w:t>
      </w:r>
      <w:r>
        <w:rPr>
          <w:rtl/>
        </w:rPr>
        <w:t>؛ تهذيب الفروق، 1/1</w:t>
      </w:r>
      <w:r>
        <w:rPr>
          <w:rFonts w:hint="cs"/>
          <w:rtl/>
        </w:rPr>
        <w:t>2</w:t>
      </w:r>
      <w:r>
        <w:rPr>
          <w:rtl/>
        </w:rPr>
        <w:t>0.</w:t>
      </w:r>
    </w:p>
    <w:p w:rsidR="00035BE3" w:rsidRDefault="00035BE3" w:rsidP="00C10469">
      <w:pPr>
        <w:pStyle w:val="a6"/>
        <w:ind w:left="422" w:hanging="2"/>
        <w:rPr>
          <w:b/>
          <w:bCs/>
          <w:rtl/>
        </w:rPr>
      </w:pPr>
      <w:r>
        <w:rPr>
          <w:rFonts w:hint="eastAsia"/>
          <w:b/>
          <w:bCs/>
          <w:rtl/>
        </w:rPr>
        <w:t>يضاف</w:t>
      </w:r>
      <w:r>
        <w:rPr>
          <w:b/>
          <w:bCs/>
          <w:rtl/>
        </w:rPr>
        <w:t xml:space="preserve"> إلى جميع ما </w:t>
      </w:r>
      <w:r>
        <w:rPr>
          <w:rFonts w:hint="eastAsia"/>
          <w:b/>
          <w:bCs/>
          <w:rtl/>
        </w:rPr>
        <w:t>سبق</w:t>
      </w:r>
      <w:r>
        <w:rPr>
          <w:b/>
          <w:bCs/>
          <w:rtl/>
        </w:rPr>
        <w:t xml:space="preserve"> أنها وردت بألفاظ أخر، منها :</w:t>
      </w:r>
    </w:p>
    <w:p w:rsidR="00035BE3" w:rsidRDefault="00035BE3" w:rsidP="00C10469">
      <w:pPr>
        <w:pStyle w:val="a6"/>
        <w:ind w:left="422" w:hanging="2"/>
        <w:rPr>
          <w:rtl/>
        </w:rPr>
      </w:pPr>
      <w:r>
        <w:rPr>
          <w:rFonts w:hint="cs"/>
          <w:b/>
          <w:bCs/>
          <w:rtl/>
        </w:rPr>
        <w:t>1</w:t>
      </w:r>
      <w:r>
        <w:rPr>
          <w:rFonts w:hint="cs"/>
          <w:rtl/>
        </w:rPr>
        <w:t xml:space="preserve"> - </w:t>
      </w:r>
      <w:r>
        <w:rPr>
          <w:rFonts w:hint="eastAsia"/>
          <w:rtl/>
        </w:rPr>
        <w:t>«يغتفر</w:t>
      </w:r>
      <w:r>
        <w:rPr>
          <w:rtl/>
        </w:rPr>
        <w:t xml:space="preserve"> </w:t>
      </w:r>
      <w:r>
        <w:rPr>
          <w:rFonts w:hint="eastAsia"/>
          <w:rtl/>
        </w:rPr>
        <w:t>في</w:t>
      </w:r>
      <w:r>
        <w:rPr>
          <w:rtl/>
        </w:rPr>
        <w:t xml:space="preserve"> الانتهاء </w:t>
      </w:r>
      <w:r>
        <w:rPr>
          <w:rFonts w:hint="cs"/>
          <w:rtl/>
        </w:rPr>
        <w:t>م</w:t>
      </w:r>
      <w:r>
        <w:rPr>
          <w:rtl/>
        </w:rPr>
        <w:t>الا يغتفر في الابتداء».</w:t>
      </w:r>
    </w:p>
    <w:p w:rsidR="00035BE3" w:rsidRDefault="00035BE3" w:rsidP="00C10469">
      <w:pPr>
        <w:pStyle w:val="a6"/>
        <w:ind w:left="422" w:hanging="2"/>
        <w:rPr>
          <w:rtl/>
        </w:rPr>
      </w:pPr>
      <w:r>
        <w:rPr>
          <w:rFonts w:hint="cs"/>
          <w:b/>
          <w:bCs/>
          <w:rtl/>
        </w:rPr>
        <w:t>2</w:t>
      </w:r>
      <w:r>
        <w:rPr>
          <w:rFonts w:hint="cs"/>
          <w:rtl/>
        </w:rPr>
        <w:t xml:space="preserve"> - </w:t>
      </w:r>
      <w:r>
        <w:rPr>
          <w:rFonts w:hint="eastAsia"/>
          <w:rtl/>
        </w:rPr>
        <w:t>«المنع</w:t>
      </w:r>
      <w:r>
        <w:rPr>
          <w:rtl/>
        </w:rPr>
        <w:t xml:space="preserve"> </w:t>
      </w:r>
      <w:r>
        <w:rPr>
          <w:rFonts w:hint="eastAsia"/>
          <w:rtl/>
        </w:rPr>
        <w:t>أسهل</w:t>
      </w:r>
      <w:r>
        <w:rPr>
          <w:rtl/>
        </w:rPr>
        <w:t xml:space="preserve"> من الرفع».</w:t>
      </w:r>
    </w:p>
    <w:p w:rsidR="00035BE3" w:rsidRDefault="00035BE3" w:rsidP="00C10469">
      <w:pPr>
        <w:pStyle w:val="a6"/>
        <w:ind w:left="422" w:hanging="2"/>
        <w:rPr>
          <w:spacing w:val="8"/>
          <w:rtl/>
        </w:rPr>
      </w:pPr>
      <w:r>
        <w:rPr>
          <w:rFonts w:hint="eastAsia"/>
          <w:spacing w:val="8"/>
          <w:rtl/>
        </w:rPr>
        <w:t>فَـ</w:t>
      </w:r>
      <w:r>
        <w:rPr>
          <w:spacing w:val="8"/>
          <w:rtl/>
        </w:rPr>
        <w:t xml:space="preserve"> «هذه الصيغ -وإن </w:t>
      </w:r>
      <w:r>
        <w:rPr>
          <w:rFonts w:hint="eastAsia"/>
          <w:spacing w:val="8"/>
          <w:rtl/>
        </w:rPr>
        <w:t>اختلفت</w:t>
      </w:r>
      <w:r>
        <w:rPr>
          <w:spacing w:val="8"/>
          <w:rtl/>
        </w:rPr>
        <w:t xml:space="preserve"> في ظاهرها، إلا أنها </w:t>
      </w:r>
      <w:r>
        <w:rPr>
          <w:b/>
          <w:bCs/>
          <w:spacing w:val="8"/>
          <w:rtl/>
        </w:rPr>
        <w:t>تؤدي معنى واحدًا هو</w:t>
      </w:r>
      <w:r>
        <w:rPr>
          <w:spacing w:val="8"/>
          <w:rtl/>
        </w:rPr>
        <w:t xml:space="preserve"> : أن استمرار الشيء وبقاءه على </w:t>
      </w:r>
      <w:r>
        <w:rPr>
          <w:rFonts w:hint="eastAsia"/>
          <w:spacing w:val="8"/>
          <w:rtl/>
        </w:rPr>
        <w:t>حالته</w:t>
      </w:r>
      <w:r>
        <w:rPr>
          <w:spacing w:val="8"/>
          <w:rtl/>
        </w:rPr>
        <w:t xml:space="preserve"> التي هو عليها أسهل من إحداثه وإنشائه من جديد...»- قاله الميمان في (القواعد والضوابط الفقهية عند ابن تيمية)، ص314؛ وانظر القواعد الفقهية للدكتور </w:t>
      </w:r>
      <w:r>
        <w:rPr>
          <w:rFonts w:hint="eastAsia"/>
          <w:spacing w:val="8"/>
          <w:rtl/>
        </w:rPr>
        <w:t>الندوي،</w:t>
      </w:r>
      <w:r>
        <w:rPr>
          <w:spacing w:val="8"/>
          <w:rtl/>
        </w:rPr>
        <w:t xml:space="preserve"> ص433-435-.</w:t>
      </w:r>
    </w:p>
    <w:p w:rsidR="00035BE3" w:rsidRDefault="00035BE3" w:rsidP="00C10469">
      <w:pPr>
        <w:pStyle w:val="a6"/>
        <w:ind w:left="422" w:hanging="2"/>
        <w:rPr>
          <w:rtl/>
        </w:rPr>
      </w:pPr>
      <w:r>
        <w:rPr>
          <w:rFonts w:hint="cs"/>
          <w:rtl/>
        </w:rPr>
        <w:t>و</w:t>
      </w:r>
      <w:r>
        <w:rPr>
          <w:rtl/>
        </w:rPr>
        <w:t xml:space="preserve">الـمؤلف </w:t>
      </w:r>
      <w:r>
        <w:rPr>
          <w:rFonts w:hint="eastAsia"/>
          <w:rtl/>
        </w:rPr>
        <w:t>سوف</w:t>
      </w:r>
      <w:r>
        <w:rPr>
          <w:rtl/>
        </w:rPr>
        <w:t xml:space="preserve"> يتكلَّم استقـلالاً عن قاعدة : «يـغتفر في الان</w:t>
      </w:r>
      <w:r>
        <w:rPr>
          <w:rFonts w:hint="cs"/>
          <w:rtl/>
        </w:rPr>
        <w:t>ـ</w:t>
      </w:r>
      <w:r>
        <w:rPr>
          <w:rtl/>
        </w:rPr>
        <w:t>تهاء...»، وذلك ص</w:t>
      </w:r>
      <w:r>
        <w:rPr>
          <w:rFonts w:hint="cs"/>
          <w:rtl/>
        </w:rPr>
        <w:t>1178</w:t>
      </w:r>
      <w:r>
        <w:rPr>
          <w:rtl/>
        </w:rPr>
        <w:t>، (ل114</w:t>
      </w:r>
      <w:r>
        <w:rPr>
          <w:rFonts w:hint="cs"/>
          <w:rtl/>
        </w:rPr>
        <w:t>/أ</w:t>
      </w:r>
      <w:r>
        <w:rPr>
          <w:rtl/>
        </w:rPr>
        <w:t xml:space="preserve">)، </w:t>
      </w:r>
      <w:r>
        <w:rPr>
          <w:rFonts w:hint="eastAsia"/>
          <w:rtl/>
        </w:rPr>
        <w:t>قاعدة</w:t>
      </w:r>
      <w:r>
        <w:rPr>
          <w:rtl/>
        </w:rPr>
        <w:t xml:space="preserve"> 263.</w:t>
      </w:r>
    </w:p>
    <w:p w:rsidR="00035BE3" w:rsidRDefault="00035BE3" w:rsidP="00C10469">
      <w:pPr>
        <w:pStyle w:val="a6"/>
        <w:ind w:left="422" w:hanging="2"/>
        <w:rPr>
          <w:spacing w:val="10"/>
          <w:rtl/>
        </w:rPr>
      </w:pPr>
      <w:r>
        <w:rPr>
          <w:rFonts w:hint="eastAsia"/>
          <w:spacing w:val="10"/>
          <w:rtl/>
        </w:rPr>
        <w:t>أما</w:t>
      </w:r>
      <w:r>
        <w:rPr>
          <w:spacing w:val="10"/>
          <w:rtl/>
        </w:rPr>
        <w:t xml:space="preserve"> القاعدة الأخرى </w:t>
      </w:r>
      <w:r>
        <w:rPr>
          <w:rFonts w:hint="eastAsia"/>
          <w:spacing w:val="10"/>
          <w:rtl/>
        </w:rPr>
        <w:t>فقد</w:t>
      </w:r>
      <w:r>
        <w:rPr>
          <w:spacing w:val="10"/>
          <w:rtl/>
        </w:rPr>
        <w:t xml:space="preserve"> وردت بذلك اللفظ في : تقرير القواعد لابن رجب، 3/23، قاعدة 134.</w:t>
      </w:r>
    </w:p>
    <w:p w:rsidR="00035BE3" w:rsidRDefault="00035BE3" w:rsidP="00C10469">
      <w:pPr>
        <w:pStyle w:val="a6"/>
        <w:ind w:left="422" w:hanging="2"/>
        <w:rPr>
          <w:spacing w:val="6"/>
          <w:rtl/>
        </w:rPr>
      </w:pPr>
      <w:r>
        <w:rPr>
          <w:rFonts w:hint="eastAsia"/>
          <w:spacing w:val="6"/>
          <w:rtl/>
        </w:rPr>
        <w:t>كما</w:t>
      </w:r>
      <w:r>
        <w:rPr>
          <w:spacing w:val="6"/>
          <w:rtl/>
        </w:rPr>
        <w:t xml:space="preserve"> وردت بنحوه في </w:t>
      </w:r>
      <w:r>
        <w:rPr>
          <w:rFonts w:hint="eastAsia"/>
          <w:spacing w:val="6"/>
          <w:rtl/>
        </w:rPr>
        <w:t>الأشباه</w:t>
      </w:r>
      <w:r>
        <w:rPr>
          <w:spacing w:val="6"/>
          <w:rtl/>
        </w:rPr>
        <w:t xml:space="preserve"> والنظائر لابن السبكي، 1/117؛ المنثور للزركشي، 2/155؛ الأشباه والنظائر </w:t>
      </w:r>
      <w:r>
        <w:rPr>
          <w:rFonts w:hint="eastAsia"/>
          <w:spacing w:val="6"/>
          <w:rtl/>
        </w:rPr>
        <w:t>للسيوطي،</w:t>
      </w:r>
      <w:r>
        <w:rPr>
          <w:spacing w:val="6"/>
          <w:rtl/>
        </w:rPr>
        <w:t xml:space="preserve"> 1/310؛ الأقمار المضيئة، </w:t>
      </w:r>
      <w:r>
        <w:rPr>
          <w:spacing w:val="4"/>
          <w:rtl/>
        </w:rPr>
        <w:t>ص188؛ الفرائد البهية للحمزاوي، ص88،</w:t>
      </w:r>
      <w:r>
        <w:rPr>
          <w:spacing w:val="6"/>
          <w:rtl/>
        </w:rPr>
        <w:t xml:space="preserve"> قاعدة 128؛ </w:t>
      </w:r>
      <w:r>
        <w:rPr>
          <w:rFonts w:hint="eastAsia"/>
          <w:spacing w:val="6"/>
          <w:rtl/>
        </w:rPr>
        <w:t>مجلة</w:t>
      </w:r>
      <w:r>
        <w:rPr>
          <w:spacing w:val="6"/>
          <w:rtl/>
        </w:rPr>
        <w:t xml:space="preserve"> الاحكام الشرعية للقاري، ص100، مادة 134؛ الف</w:t>
      </w:r>
      <w:r>
        <w:rPr>
          <w:rFonts w:hint="cs"/>
          <w:spacing w:val="6"/>
          <w:rtl/>
        </w:rPr>
        <w:t>و</w:t>
      </w:r>
      <w:r>
        <w:rPr>
          <w:spacing w:val="6"/>
          <w:rtl/>
        </w:rPr>
        <w:t>ائد الجنية، 2/200؛</w:t>
      </w:r>
      <w:r>
        <w:rPr>
          <w:rFonts w:hint="cs"/>
          <w:spacing w:val="6"/>
          <w:rtl/>
        </w:rPr>
        <w:t xml:space="preserve"> القواعد الفقهية في بابي العبادات والمعاملات، ص659؛</w:t>
      </w:r>
      <w:r>
        <w:rPr>
          <w:spacing w:val="6"/>
          <w:rtl/>
        </w:rPr>
        <w:t xml:space="preserve"> تطبيقات </w:t>
      </w:r>
      <w:r>
        <w:rPr>
          <w:rFonts w:hint="eastAsia"/>
          <w:spacing w:val="6"/>
          <w:rtl/>
        </w:rPr>
        <w:t>القواعد</w:t>
      </w:r>
      <w:r>
        <w:rPr>
          <w:spacing w:val="6"/>
          <w:rtl/>
        </w:rPr>
        <w:t xml:space="preserve"> والضوابط الفقهية للدكتور الغديان، ص1206.</w:t>
      </w:r>
    </w:p>
    <w:p w:rsidR="00035BE3" w:rsidRDefault="00035BE3" w:rsidP="00C10469">
      <w:pPr>
        <w:pStyle w:val="a6"/>
        <w:ind w:left="422" w:hanging="2"/>
        <w:rPr>
          <w:spacing w:val="-4"/>
          <w:rtl/>
        </w:rPr>
      </w:pPr>
      <w:r>
        <w:rPr>
          <w:rFonts w:hint="cs"/>
          <w:spacing w:val="-4"/>
          <w:rtl/>
        </w:rPr>
        <w:t xml:space="preserve">وأيضًا </w:t>
      </w:r>
      <w:r>
        <w:rPr>
          <w:spacing w:val="-4"/>
          <w:rtl/>
        </w:rPr>
        <w:t xml:space="preserve">وردت في الدرر شرح </w:t>
      </w:r>
      <w:r>
        <w:rPr>
          <w:rFonts w:hint="eastAsia"/>
          <w:spacing w:val="-4"/>
          <w:rtl/>
        </w:rPr>
        <w:t>الغرر،</w:t>
      </w:r>
      <w:r>
        <w:rPr>
          <w:spacing w:val="-4"/>
          <w:rtl/>
        </w:rPr>
        <w:t xml:space="preserve"> 1/299، 2/382.</w:t>
      </w:r>
    </w:p>
  </w:footnote>
  <w:footnote w:id="138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 بدون شهادة الشهود.</w:t>
      </w:r>
    </w:p>
  </w:footnote>
  <w:footnote w:id="138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جاء</w:t>
      </w:r>
      <w:r>
        <w:rPr>
          <w:rtl/>
        </w:rPr>
        <w:t xml:space="preserve"> في (أ) - بعد كلمة (بقاء) -: «الابتداء»، </w:t>
      </w:r>
      <w:r>
        <w:rPr>
          <w:rFonts w:hint="eastAsia"/>
          <w:rtl/>
        </w:rPr>
        <w:t>وفي</w:t>
      </w:r>
      <w:r>
        <w:rPr>
          <w:rtl/>
        </w:rPr>
        <w:t xml:space="preserve"> (جـ) : «لابتداء». والصحيح ما تمَّ إثباته من (ب) و(د)</w:t>
      </w:r>
      <w:r>
        <w:rPr>
          <w:rFonts w:hint="cs"/>
          <w:rtl/>
        </w:rPr>
        <w:t>،</w:t>
      </w:r>
      <w:r>
        <w:rPr>
          <w:rtl/>
        </w:rPr>
        <w:t xml:space="preserve"> و</w:t>
      </w:r>
      <w:r>
        <w:rPr>
          <w:rFonts w:hint="cs"/>
          <w:rtl/>
        </w:rPr>
        <w:t>هو الموافق</w:t>
      </w:r>
      <w:r>
        <w:rPr>
          <w:rtl/>
        </w:rPr>
        <w:t xml:space="preserve"> لمصدر هذه </w:t>
      </w:r>
      <w:r>
        <w:rPr>
          <w:rFonts w:hint="eastAsia"/>
          <w:rtl/>
        </w:rPr>
        <w:t>العبارة</w:t>
      </w:r>
      <w:r>
        <w:rPr>
          <w:rtl/>
        </w:rPr>
        <w:t xml:space="preserve"> (وهو العناية).</w:t>
      </w:r>
    </w:p>
  </w:footnote>
  <w:footnote w:id="138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العناية،</w:t>
      </w:r>
      <w:r>
        <w:rPr>
          <w:rtl/>
        </w:rPr>
        <w:t xml:space="preserve"> 7/255 -مع اختلاف يسير-.</w:t>
      </w:r>
    </w:p>
  </w:footnote>
  <w:footnote w:id="139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«أوهب».</w:t>
      </w:r>
    </w:p>
  </w:footnote>
  <w:footnote w:id="1391">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انظر</w:t>
      </w:r>
      <w:r>
        <w:rPr>
          <w:rtl/>
        </w:rPr>
        <w:t xml:space="preserve"> هذا المثال في : العناية، 9/45، 46. </w:t>
      </w:r>
      <w:r>
        <w:rPr>
          <w:rFonts w:hint="eastAsia"/>
          <w:rtl/>
        </w:rPr>
        <w:t>وانظر</w:t>
      </w:r>
      <w:r>
        <w:rPr>
          <w:rtl/>
        </w:rPr>
        <w:t xml:space="preserve"> فتاوى قاضي خان، 3/271، حيث جاء فيها : «الشيوع الطارئ لا يبطل الهبة إلا </w:t>
      </w:r>
      <w:r>
        <w:rPr>
          <w:rFonts w:hint="eastAsia"/>
          <w:rtl/>
        </w:rPr>
        <w:t>رواية</w:t>
      </w:r>
      <w:r>
        <w:rPr>
          <w:rtl/>
        </w:rPr>
        <w:t xml:space="preserve"> عن أبي يوسف -رحمه الله تعالى-».</w:t>
      </w:r>
    </w:p>
    <w:p w:rsidR="00035BE3" w:rsidRDefault="00035BE3" w:rsidP="00C10469">
      <w:pPr>
        <w:pStyle w:val="a6"/>
        <w:spacing w:line="440" w:lineRule="exact"/>
        <w:ind w:left="422" w:firstLine="0"/>
        <w:rPr>
          <w:spacing w:val="8"/>
          <w:rtl/>
        </w:rPr>
      </w:pPr>
      <w:r>
        <w:rPr>
          <w:rFonts w:hint="cs"/>
          <w:spacing w:val="8"/>
          <w:rtl/>
        </w:rPr>
        <w:t>و</w:t>
      </w:r>
      <w:r>
        <w:rPr>
          <w:spacing w:val="8"/>
          <w:rtl/>
        </w:rPr>
        <w:t xml:space="preserve">هذا </w:t>
      </w:r>
      <w:r>
        <w:rPr>
          <w:rFonts w:hint="eastAsia"/>
          <w:spacing w:val="8"/>
          <w:rtl/>
        </w:rPr>
        <w:t>المثال</w:t>
      </w:r>
      <w:r>
        <w:rPr>
          <w:spacing w:val="8"/>
          <w:rtl/>
        </w:rPr>
        <w:t xml:space="preserve"> خُرِّج على القاعدة في </w:t>
      </w:r>
      <w:r>
        <w:rPr>
          <w:rFonts w:hint="cs"/>
          <w:spacing w:val="8"/>
          <w:rtl/>
        </w:rPr>
        <w:t xml:space="preserve">: </w:t>
      </w:r>
      <w:r>
        <w:rPr>
          <w:spacing w:val="8"/>
          <w:rtl/>
        </w:rPr>
        <w:t xml:space="preserve">شرح العلائي لقواعد الخادمي، ل13/ب؛ منافع الدقائق، 314؛ كما خُرِّج في كثير من شروح المجلة على المادة 55، وهي : «يغتفر في البقاء ما </w:t>
      </w:r>
      <w:r>
        <w:rPr>
          <w:rFonts w:hint="eastAsia"/>
          <w:spacing w:val="8"/>
          <w:rtl/>
        </w:rPr>
        <w:t>لا</w:t>
      </w:r>
      <w:r>
        <w:rPr>
          <w:spacing w:val="8"/>
          <w:rtl/>
        </w:rPr>
        <w:t xml:space="preserve"> يغتفر في الابتداء».</w:t>
      </w:r>
    </w:p>
  </w:footnote>
  <w:footnote w:id="1392">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«الفاسد». والصحيح ما تمَّ </w:t>
      </w:r>
      <w:r>
        <w:rPr>
          <w:rFonts w:hint="eastAsia"/>
          <w:rtl/>
        </w:rPr>
        <w:t>إثباته</w:t>
      </w:r>
      <w:r>
        <w:rPr>
          <w:rtl/>
        </w:rPr>
        <w:t xml:space="preserve"> من (ب) و(د)</w:t>
      </w:r>
      <w:r>
        <w:rPr>
          <w:rFonts w:hint="cs"/>
          <w:rtl/>
        </w:rPr>
        <w:t>،</w:t>
      </w:r>
      <w:r>
        <w:rPr>
          <w:rtl/>
        </w:rPr>
        <w:t xml:space="preserve"> </w:t>
      </w:r>
      <w:r>
        <w:rPr>
          <w:rFonts w:hint="cs"/>
          <w:rtl/>
        </w:rPr>
        <w:t>وهو الموافق</w:t>
      </w:r>
      <w:r>
        <w:rPr>
          <w:rtl/>
        </w:rPr>
        <w:t xml:space="preserve"> للهداية والعناية.</w:t>
      </w:r>
    </w:p>
  </w:footnote>
  <w:footnote w:id="1393">
    <w:p w:rsidR="00035BE3" w:rsidRDefault="00035BE3" w:rsidP="00C10469">
      <w:pPr>
        <w:pStyle w:val="a8"/>
        <w:bidi/>
        <w:spacing w:line="440" w:lineRule="exact"/>
        <w:ind w:left="422" w:right="0"/>
        <w:rPr>
          <w:spacing w:val="8"/>
          <w:rtl/>
        </w:rPr>
      </w:pPr>
      <w:r>
        <w:rPr>
          <w:spacing w:val="8"/>
          <w:vertAlign w:val="superscript"/>
          <w:rtl/>
        </w:rPr>
        <w:t>(</w:t>
      </w:r>
      <w:r>
        <w:rPr>
          <w:rStyle w:val="a7"/>
          <w:spacing w:val="8"/>
        </w:rPr>
        <w:footnoteRef/>
      </w:r>
      <w:r>
        <w:rPr>
          <w:spacing w:val="8"/>
          <w:vertAlign w:val="superscript"/>
          <w:rtl/>
        </w:rPr>
        <w:t>)</w:t>
      </w:r>
      <w:r>
        <w:rPr>
          <w:spacing w:val="8"/>
          <w:rtl/>
        </w:rPr>
        <w:t xml:space="preserve"> </w:t>
      </w:r>
      <w:r>
        <w:rPr>
          <w:rFonts w:hint="cs"/>
          <w:spacing w:val="8"/>
          <w:rtl/>
        </w:rPr>
        <w:t xml:space="preserve"> </w:t>
      </w:r>
      <w:r>
        <w:rPr>
          <w:rFonts w:hint="eastAsia"/>
          <w:spacing w:val="8"/>
          <w:rtl/>
        </w:rPr>
        <w:t>هكذا</w:t>
      </w:r>
      <w:r>
        <w:rPr>
          <w:spacing w:val="8"/>
          <w:rtl/>
        </w:rPr>
        <w:t xml:space="preserve"> في (ب)، وفي باقي النسخ : «العدل». </w:t>
      </w:r>
      <w:r>
        <w:rPr>
          <w:rFonts w:hint="eastAsia"/>
          <w:spacing w:val="8"/>
          <w:rtl/>
        </w:rPr>
        <w:t>والذي</w:t>
      </w:r>
      <w:r>
        <w:rPr>
          <w:spacing w:val="8"/>
          <w:rtl/>
        </w:rPr>
        <w:t xml:space="preserve"> يشهد له السياق ما في (ب)</w:t>
      </w:r>
      <w:r>
        <w:rPr>
          <w:rFonts w:hint="cs"/>
          <w:spacing w:val="8"/>
          <w:rtl/>
        </w:rPr>
        <w:t>،</w:t>
      </w:r>
      <w:r>
        <w:rPr>
          <w:spacing w:val="8"/>
          <w:rtl/>
        </w:rPr>
        <w:t xml:space="preserve"> و</w:t>
      </w:r>
      <w:r>
        <w:rPr>
          <w:rFonts w:hint="cs"/>
          <w:spacing w:val="8"/>
          <w:rtl/>
        </w:rPr>
        <w:t>هو الموافق</w:t>
      </w:r>
      <w:r>
        <w:rPr>
          <w:spacing w:val="8"/>
          <w:rtl/>
        </w:rPr>
        <w:t xml:space="preserve"> للهداية والعناية.</w:t>
      </w:r>
    </w:p>
  </w:footnote>
  <w:footnote w:id="1394">
    <w:p w:rsidR="00035BE3" w:rsidRDefault="00035BE3" w:rsidP="00C10469">
      <w:pPr>
        <w:pStyle w:val="a8"/>
        <w:bidi/>
        <w:spacing w:line="440" w:lineRule="exact"/>
        <w:ind w:left="422" w:right="0"/>
        <w:rPr>
          <w:spacing w:val="10"/>
          <w:rtl/>
        </w:rPr>
      </w:pPr>
      <w:r>
        <w:rPr>
          <w:spacing w:val="10"/>
          <w:vertAlign w:val="superscript"/>
          <w:rtl/>
        </w:rPr>
        <w:t>(</w:t>
      </w:r>
      <w:r>
        <w:rPr>
          <w:rStyle w:val="a7"/>
          <w:spacing w:val="10"/>
        </w:rPr>
        <w:footnoteRef/>
      </w:r>
      <w:r>
        <w:rPr>
          <w:spacing w:val="10"/>
          <w:vertAlign w:val="superscript"/>
          <w:rtl/>
        </w:rPr>
        <w:t>)</w:t>
      </w:r>
      <w:r>
        <w:rPr>
          <w:spacing w:val="10"/>
          <w:rtl/>
        </w:rPr>
        <w:t xml:space="preserve">  </w:t>
      </w:r>
      <w:r>
        <w:rPr>
          <w:rFonts w:hint="eastAsia"/>
          <w:spacing w:val="10"/>
          <w:rtl/>
        </w:rPr>
        <w:t>الهداية</w:t>
      </w:r>
      <w:r>
        <w:rPr>
          <w:spacing w:val="10"/>
          <w:rtl/>
        </w:rPr>
        <w:t xml:space="preserve"> وشرحها : العناية، 7/255 - مـع </w:t>
      </w:r>
      <w:r>
        <w:rPr>
          <w:rFonts w:hint="eastAsia"/>
          <w:spacing w:val="10"/>
          <w:rtl/>
        </w:rPr>
        <w:t>اختلاف</w:t>
      </w:r>
      <w:r>
        <w:rPr>
          <w:spacing w:val="10"/>
          <w:rtl/>
        </w:rPr>
        <w:t xml:space="preserve"> يسير، ومن ذلك كون صاحب الهداية قال في آخر العبارة : «ينعزل بالفسق»- </w:t>
      </w:r>
      <w:r>
        <w:rPr>
          <w:rFonts w:hint="eastAsia"/>
          <w:spacing w:val="10"/>
          <w:rtl/>
        </w:rPr>
        <w:t>وانظر</w:t>
      </w:r>
      <w:r>
        <w:rPr>
          <w:spacing w:val="10"/>
          <w:rtl/>
        </w:rPr>
        <w:t xml:space="preserve"> : الأشباه والنظائر لابن نجيم، ص255</w:t>
      </w:r>
      <w:r>
        <w:rPr>
          <w:rFonts w:hint="cs"/>
          <w:spacing w:val="10"/>
          <w:rtl/>
        </w:rPr>
        <w:t>؛ البحر الرائق، 6/284.</w:t>
      </w:r>
    </w:p>
  </w:footnote>
  <w:footnote w:id="1395">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العناية،</w:t>
      </w:r>
      <w:r>
        <w:rPr>
          <w:rtl/>
        </w:rPr>
        <w:t xml:space="preserve"> 7/255.</w:t>
      </w:r>
    </w:p>
  </w:footnote>
  <w:footnote w:id="1396">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«وصح</w:t>
      </w:r>
      <w:r>
        <w:rPr>
          <w:rFonts w:hint="cs"/>
          <w:rtl/>
        </w:rPr>
        <w:t>ة</w:t>
      </w:r>
      <w:r>
        <w:rPr>
          <w:rtl/>
        </w:rPr>
        <w:t>».</w:t>
      </w:r>
    </w:p>
  </w:footnote>
  <w:footnote w:id="1397">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الواو</w:t>
      </w:r>
      <w:r>
        <w:rPr>
          <w:rtl/>
        </w:rPr>
        <w:t xml:space="preserve"> ساقطة من (ب).</w:t>
      </w:r>
    </w:p>
  </w:footnote>
  <w:footnote w:id="1398">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«العدالة»: وهذا الأولى؛ لأنها تدل </w:t>
      </w:r>
      <w:r>
        <w:rPr>
          <w:rFonts w:hint="eastAsia"/>
          <w:rtl/>
        </w:rPr>
        <w:t>على</w:t>
      </w:r>
      <w:r>
        <w:rPr>
          <w:rtl/>
        </w:rPr>
        <w:t xml:space="preserve"> المعنى المراد دلا</w:t>
      </w:r>
      <w:r>
        <w:rPr>
          <w:rFonts w:hint="cs"/>
          <w:rtl/>
        </w:rPr>
        <w:t>لة</w:t>
      </w:r>
      <w:r>
        <w:rPr>
          <w:rtl/>
        </w:rPr>
        <w:t xml:space="preserve"> مباشرة؛ أما كلمة (العدل) فيستقيم بها المعنى إذا قيل : </w:t>
      </w:r>
      <w:r>
        <w:rPr>
          <w:rFonts w:hint="eastAsia"/>
          <w:rtl/>
        </w:rPr>
        <w:t>إن</w:t>
      </w:r>
      <w:r>
        <w:rPr>
          <w:rtl/>
        </w:rPr>
        <w:t xml:space="preserve"> تقليد القاضي حالة كونه متصّفا بصفة العدل يتضمن ...</w:t>
      </w:r>
    </w:p>
  </w:footnote>
  <w:footnote w:id="1399">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«بشرط</w:t>
      </w:r>
      <w:r>
        <w:rPr>
          <w:rFonts w:hint="eastAsia"/>
          <w:rtl/>
        </w:rPr>
        <w:t>»</w:t>
      </w:r>
      <w:r>
        <w:rPr>
          <w:rtl/>
        </w:rPr>
        <w:t>.</w:t>
      </w:r>
    </w:p>
  </w:footnote>
  <w:footnote w:id="1400">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«بالشرط»</w:t>
      </w:r>
      <w:r>
        <w:rPr>
          <w:rtl/>
        </w:rPr>
        <w:t xml:space="preserve"> : ساقطة من (جـ).</w:t>
      </w:r>
    </w:p>
  </w:footnote>
  <w:footnote w:id="1401">
    <w:p w:rsidR="00035BE3" w:rsidRPr="00B73AEF" w:rsidRDefault="00035BE3" w:rsidP="00C10469">
      <w:pPr>
        <w:pStyle w:val="a8"/>
        <w:bidi/>
        <w:spacing w:line="440" w:lineRule="exact"/>
        <w:ind w:left="422" w:right="0"/>
        <w:rPr>
          <w:spacing w:val="2"/>
          <w:rtl/>
        </w:rPr>
      </w:pPr>
      <w:r>
        <w:rPr>
          <w:spacing w:val="-6"/>
          <w:vertAlign w:val="superscript"/>
          <w:rtl/>
        </w:rPr>
        <w:t>(</w:t>
      </w:r>
      <w:r>
        <w:rPr>
          <w:rStyle w:val="a7"/>
          <w:spacing w:val="-6"/>
        </w:rPr>
        <w:footnoteRef/>
      </w:r>
      <w:r>
        <w:rPr>
          <w:spacing w:val="-6"/>
          <w:vertAlign w:val="superscript"/>
          <w:rtl/>
        </w:rPr>
        <w:t>)</w:t>
      </w:r>
      <w:r>
        <w:rPr>
          <w:spacing w:val="-6"/>
          <w:rtl/>
        </w:rPr>
        <w:t xml:space="preserve">   </w:t>
      </w:r>
      <w:r w:rsidRPr="00B73AEF">
        <w:rPr>
          <w:rFonts w:hint="eastAsia"/>
          <w:spacing w:val="2"/>
          <w:rtl/>
        </w:rPr>
        <w:t>هذه</w:t>
      </w:r>
      <w:r w:rsidRPr="00B73AEF">
        <w:rPr>
          <w:spacing w:val="2"/>
          <w:rtl/>
        </w:rPr>
        <w:t xml:space="preserve"> القاعدة أوردها المؤلف بلفظ</w:t>
      </w:r>
      <w:r w:rsidRPr="00B73AEF">
        <w:rPr>
          <w:rFonts w:hint="cs"/>
          <w:spacing w:val="2"/>
          <w:rtl/>
        </w:rPr>
        <w:t>:</w:t>
      </w:r>
      <w:r w:rsidRPr="00B73AEF">
        <w:rPr>
          <w:spacing w:val="2"/>
          <w:rtl/>
        </w:rPr>
        <w:t xml:space="preserve"> «المعلق </w:t>
      </w:r>
      <w:r w:rsidRPr="00B73AEF">
        <w:rPr>
          <w:rFonts w:hint="eastAsia"/>
          <w:spacing w:val="2"/>
          <w:rtl/>
        </w:rPr>
        <w:t>بالشرط</w:t>
      </w:r>
      <w:r w:rsidRPr="00B73AEF">
        <w:rPr>
          <w:spacing w:val="2"/>
          <w:rtl/>
        </w:rPr>
        <w:t xml:space="preserve"> معدوم قبله»، وذلك </w:t>
      </w:r>
      <w:r w:rsidRPr="00B73AEF">
        <w:rPr>
          <w:rFonts w:hint="eastAsia"/>
          <w:spacing w:val="2"/>
          <w:rtl/>
        </w:rPr>
        <w:t>ص</w:t>
      </w:r>
      <w:r w:rsidRPr="00B73AEF">
        <w:rPr>
          <w:rFonts w:hint="cs"/>
          <w:spacing w:val="2"/>
          <w:rtl/>
        </w:rPr>
        <w:t>1059</w:t>
      </w:r>
      <w:r w:rsidRPr="00B73AEF">
        <w:rPr>
          <w:spacing w:val="2"/>
          <w:rtl/>
        </w:rPr>
        <w:t xml:space="preserve"> </w:t>
      </w:r>
      <w:r w:rsidRPr="00B73AEF">
        <w:rPr>
          <w:rFonts w:hint="cs"/>
          <w:spacing w:val="2"/>
          <w:rtl/>
        </w:rPr>
        <w:t>(</w:t>
      </w:r>
      <w:r w:rsidRPr="00B73AEF">
        <w:rPr>
          <w:spacing w:val="2"/>
          <w:rtl/>
        </w:rPr>
        <w:t>ل98/أ</w:t>
      </w:r>
      <w:r w:rsidRPr="00B73AEF">
        <w:rPr>
          <w:rFonts w:hint="cs"/>
          <w:spacing w:val="2"/>
          <w:rtl/>
        </w:rPr>
        <w:t>)</w:t>
      </w:r>
      <w:r w:rsidRPr="00B73AEF">
        <w:rPr>
          <w:spacing w:val="2"/>
          <w:rtl/>
        </w:rPr>
        <w:t xml:space="preserve"> ، قاعدة 2</w:t>
      </w:r>
      <w:r w:rsidRPr="00B73AEF">
        <w:rPr>
          <w:rFonts w:hint="cs"/>
          <w:spacing w:val="2"/>
          <w:rtl/>
        </w:rPr>
        <w:t>29</w:t>
      </w:r>
      <w:r w:rsidRPr="00B73AEF">
        <w:rPr>
          <w:spacing w:val="2"/>
          <w:rtl/>
        </w:rPr>
        <w:t>.</w:t>
      </w:r>
    </w:p>
  </w:footnote>
  <w:footnote w:id="140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انظر</w:t>
      </w:r>
      <w:r>
        <w:rPr>
          <w:rtl/>
        </w:rPr>
        <w:t xml:space="preserve"> : الهداية والعناية، 7/255-256.</w:t>
      </w:r>
    </w:p>
    <w:p w:rsidR="00035BE3" w:rsidRDefault="00035BE3" w:rsidP="00C10469">
      <w:pPr>
        <w:pStyle w:val="a6"/>
        <w:ind w:left="422" w:firstLine="0"/>
        <w:rPr>
          <w:rtl/>
        </w:rPr>
      </w:pPr>
      <w:r>
        <w:rPr>
          <w:rFonts w:hint="eastAsia"/>
          <w:rtl/>
        </w:rPr>
        <w:t>وهذا</w:t>
      </w:r>
      <w:r>
        <w:rPr>
          <w:rtl/>
        </w:rPr>
        <w:t xml:space="preserve"> الجواب صدَّره </w:t>
      </w:r>
      <w:r>
        <w:rPr>
          <w:rFonts w:hint="eastAsia"/>
          <w:rtl/>
        </w:rPr>
        <w:t>صاحب</w:t>
      </w:r>
      <w:r>
        <w:rPr>
          <w:rtl/>
        </w:rPr>
        <w:t xml:space="preserve"> </w:t>
      </w:r>
      <w:r>
        <w:rPr>
          <w:rFonts w:hint="cs"/>
          <w:rtl/>
        </w:rPr>
        <w:t>(</w:t>
      </w:r>
      <w:r>
        <w:rPr>
          <w:rtl/>
        </w:rPr>
        <w:t>العناية</w:t>
      </w:r>
      <w:r>
        <w:rPr>
          <w:rFonts w:hint="cs"/>
          <w:rtl/>
        </w:rPr>
        <w:t>)</w:t>
      </w:r>
      <w:r>
        <w:rPr>
          <w:rtl/>
        </w:rPr>
        <w:t xml:space="preserve"> بقوله : «والجواب يؤخد من الدليل المذكور، وهو أن التقليد كان معلقًا </w:t>
      </w:r>
      <w:r>
        <w:rPr>
          <w:rFonts w:hint="eastAsia"/>
          <w:rtl/>
        </w:rPr>
        <w:t>بالشرط</w:t>
      </w:r>
      <w:r>
        <w:rPr>
          <w:rtl/>
        </w:rPr>
        <w:t xml:space="preserve"> ...».</w:t>
      </w:r>
    </w:p>
    <w:p w:rsidR="00035BE3" w:rsidRDefault="00035BE3" w:rsidP="00C10469">
      <w:pPr>
        <w:pStyle w:val="a6"/>
        <w:ind w:left="422" w:firstLine="0"/>
        <w:rPr>
          <w:rtl/>
        </w:rPr>
      </w:pPr>
      <w:r>
        <w:rPr>
          <w:rFonts w:hint="eastAsia"/>
          <w:rtl/>
        </w:rPr>
        <w:t>وقوله</w:t>
      </w:r>
      <w:r>
        <w:rPr>
          <w:rtl/>
        </w:rPr>
        <w:t xml:space="preserve"> : «الدليل </w:t>
      </w:r>
      <w:r>
        <w:rPr>
          <w:rFonts w:hint="eastAsia"/>
          <w:rtl/>
        </w:rPr>
        <w:t>المذكور»</w:t>
      </w:r>
      <w:r>
        <w:rPr>
          <w:rtl/>
        </w:rPr>
        <w:t xml:space="preserve">: يعني به الدليل المذكور في </w:t>
      </w:r>
      <w:r>
        <w:rPr>
          <w:rFonts w:hint="cs"/>
          <w:rtl/>
        </w:rPr>
        <w:t>(</w:t>
      </w:r>
      <w:r>
        <w:rPr>
          <w:rtl/>
        </w:rPr>
        <w:t>الهداية</w:t>
      </w:r>
      <w:r>
        <w:rPr>
          <w:rFonts w:hint="cs"/>
          <w:rtl/>
        </w:rPr>
        <w:t>)</w:t>
      </w:r>
      <w:r>
        <w:rPr>
          <w:rtl/>
        </w:rPr>
        <w:t xml:space="preserve"> وهو قوله : «لأن المقلِّد [أي الذي </w:t>
      </w:r>
      <w:r>
        <w:rPr>
          <w:rFonts w:hint="eastAsia"/>
          <w:rtl/>
        </w:rPr>
        <w:t>عيَّن</w:t>
      </w:r>
      <w:r>
        <w:rPr>
          <w:rtl/>
        </w:rPr>
        <w:t xml:space="preserve"> القاضي] اعتمد عدالتَه [أي عدالةَ القاضي]، فلم يكن راضيًا بتقليده دونها».</w:t>
      </w:r>
    </w:p>
    <w:p w:rsidR="00035BE3" w:rsidRDefault="00035BE3" w:rsidP="00C10469">
      <w:pPr>
        <w:pStyle w:val="a6"/>
        <w:ind w:left="422" w:firstLine="0"/>
        <w:rPr>
          <w:rtl/>
        </w:rPr>
      </w:pPr>
      <w:r>
        <w:rPr>
          <w:rFonts w:hint="eastAsia"/>
          <w:rtl/>
        </w:rPr>
        <w:t>وبناء</w:t>
      </w:r>
      <w:r>
        <w:rPr>
          <w:rtl/>
        </w:rPr>
        <w:t xml:space="preserve"> على هذا يمكن </w:t>
      </w:r>
      <w:r>
        <w:rPr>
          <w:rFonts w:hint="eastAsia"/>
          <w:rtl/>
        </w:rPr>
        <w:t>توضيح</w:t>
      </w:r>
      <w:r>
        <w:rPr>
          <w:rtl/>
        </w:rPr>
        <w:t xml:space="preserve"> الاعتراض وجوابه على النحو الآتي :</w:t>
      </w:r>
    </w:p>
    <w:p w:rsidR="00035BE3" w:rsidRDefault="00035BE3" w:rsidP="00C10469">
      <w:pPr>
        <w:pStyle w:val="a6"/>
        <w:ind w:left="422" w:firstLine="0"/>
        <w:rPr>
          <w:rtl/>
        </w:rPr>
      </w:pPr>
      <w:r>
        <w:rPr>
          <w:rFonts w:hint="eastAsia"/>
          <w:rtl/>
        </w:rPr>
        <w:t>يرد</w:t>
      </w:r>
      <w:r>
        <w:rPr>
          <w:rtl/>
        </w:rPr>
        <w:t xml:space="preserve"> على القاعدة </w:t>
      </w:r>
      <w:r>
        <w:rPr>
          <w:rFonts w:hint="eastAsia"/>
          <w:b/>
          <w:bCs/>
          <w:rtl/>
        </w:rPr>
        <w:t>اعتراض</w:t>
      </w:r>
      <w:r>
        <w:rPr>
          <w:rtl/>
        </w:rPr>
        <w:t xml:space="preserve"> </w:t>
      </w:r>
      <w:r>
        <w:rPr>
          <w:rFonts w:hint="eastAsia"/>
          <w:rtl/>
        </w:rPr>
        <w:t>حاصله</w:t>
      </w:r>
      <w:r>
        <w:rPr>
          <w:rtl/>
        </w:rPr>
        <w:t xml:space="preserve"> : أن بقاء القاضي على القضاء حالة الفسق</w:t>
      </w:r>
      <w:r>
        <w:rPr>
          <w:rFonts w:hint="cs"/>
          <w:rtl/>
        </w:rPr>
        <w:t xml:space="preserve"> على</w:t>
      </w:r>
      <w:r>
        <w:rPr>
          <w:rtl/>
        </w:rPr>
        <w:t xml:space="preserve"> الرغم من كونه أسهل من تقليده </w:t>
      </w:r>
      <w:r>
        <w:rPr>
          <w:rFonts w:hint="eastAsia"/>
          <w:rtl/>
        </w:rPr>
        <w:t>القضاء</w:t>
      </w:r>
      <w:r>
        <w:rPr>
          <w:rtl/>
        </w:rPr>
        <w:t xml:space="preserve"> ابتداءً وهو فاسق إلا أن بعضهم أجاز تقليده القضاء ابتداء</w:t>
      </w:r>
      <w:r>
        <w:rPr>
          <w:rFonts w:hint="cs"/>
          <w:rtl/>
        </w:rPr>
        <w:t>ً</w:t>
      </w:r>
      <w:r>
        <w:rPr>
          <w:rtl/>
        </w:rPr>
        <w:t xml:space="preserve"> ولم يُجِزْ </w:t>
      </w:r>
      <w:r>
        <w:rPr>
          <w:rFonts w:hint="eastAsia"/>
          <w:rtl/>
        </w:rPr>
        <w:t>ابقاء</w:t>
      </w:r>
      <w:r>
        <w:rPr>
          <w:rFonts w:hint="cs"/>
          <w:rtl/>
        </w:rPr>
        <w:t>َ</w:t>
      </w:r>
      <w:r>
        <w:rPr>
          <w:rFonts w:hint="eastAsia"/>
          <w:rtl/>
        </w:rPr>
        <w:t>ه</w:t>
      </w:r>
      <w:r>
        <w:rPr>
          <w:rFonts w:hint="cs"/>
          <w:rtl/>
        </w:rPr>
        <w:t>ُ</w:t>
      </w:r>
      <w:r>
        <w:rPr>
          <w:rtl/>
        </w:rPr>
        <w:t xml:space="preserve"> على القضاء، فكيف تقولون : البقاء أسهل من الابتداء؟!</w:t>
      </w:r>
      <w:r>
        <w:rPr>
          <w:rFonts w:hint="cs"/>
          <w:rtl/>
        </w:rPr>
        <w:t>.</w:t>
      </w:r>
    </w:p>
    <w:p w:rsidR="00035BE3" w:rsidRDefault="00035BE3" w:rsidP="00C10469">
      <w:pPr>
        <w:pStyle w:val="a6"/>
        <w:ind w:left="422" w:firstLine="0"/>
        <w:rPr>
          <w:rtl/>
        </w:rPr>
      </w:pPr>
      <w:r>
        <w:rPr>
          <w:rFonts w:hint="eastAsia"/>
          <w:b/>
          <w:bCs/>
          <w:rtl/>
        </w:rPr>
        <w:t>والجواب</w:t>
      </w:r>
      <w:r>
        <w:rPr>
          <w:b/>
          <w:bCs/>
          <w:rtl/>
        </w:rPr>
        <w:t xml:space="preserve"> </w:t>
      </w:r>
      <w:r>
        <w:rPr>
          <w:rtl/>
        </w:rPr>
        <w:t xml:space="preserve">: </w:t>
      </w:r>
      <w:r>
        <w:rPr>
          <w:rFonts w:hint="eastAsia"/>
          <w:rtl/>
        </w:rPr>
        <w:t>هذا</w:t>
      </w:r>
      <w:r>
        <w:rPr>
          <w:rtl/>
        </w:rPr>
        <w:t xml:space="preserve"> الفرع (وهو كون القاضي لا يجوز إبقاؤه على القضاء إذا طرأ عليه الفسق) يدخل </w:t>
      </w:r>
      <w:r>
        <w:rPr>
          <w:rFonts w:hint="eastAsia"/>
          <w:rtl/>
        </w:rPr>
        <w:t>تحت</w:t>
      </w:r>
      <w:r>
        <w:rPr>
          <w:rtl/>
        </w:rPr>
        <w:t xml:space="preserve"> قاعدة أخرى هي أليق به، وهي : «المعلق بالشرط ي</w:t>
      </w:r>
      <w:r>
        <w:rPr>
          <w:rFonts w:hint="cs"/>
          <w:rtl/>
        </w:rPr>
        <w:t>ـ</w:t>
      </w:r>
      <w:r>
        <w:rPr>
          <w:rtl/>
        </w:rPr>
        <w:t>ن</w:t>
      </w:r>
      <w:r>
        <w:rPr>
          <w:rFonts w:hint="cs"/>
          <w:rtl/>
        </w:rPr>
        <w:t>ـ</w:t>
      </w:r>
      <w:r>
        <w:rPr>
          <w:rtl/>
        </w:rPr>
        <w:t>تفي بانتفائه».</w:t>
      </w:r>
    </w:p>
    <w:p w:rsidR="00035BE3" w:rsidRDefault="00035BE3" w:rsidP="00C10469">
      <w:pPr>
        <w:pStyle w:val="a6"/>
        <w:ind w:left="422" w:firstLine="0"/>
        <w:rPr>
          <w:rtl/>
        </w:rPr>
      </w:pPr>
      <w:r>
        <w:rPr>
          <w:rFonts w:hint="eastAsia"/>
          <w:b/>
          <w:bCs/>
          <w:rtl/>
        </w:rPr>
        <w:t>ووجه</w:t>
      </w:r>
      <w:r>
        <w:rPr>
          <w:b/>
          <w:bCs/>
          <w:rtl/>
        </w:rPr>
        <w:t xml:space="preserve"> ذلك </w:t>
      </w:r>
      <w:r>
        <w:rPr>
          <w:rtl/>
        </w:rPr>
        <w:t xml:space="preserve">: </w:t>
      </w:r>
      <w:r>
        <w:rPr>
          <w:rFonts w:hint="eastAsia"/>
          <w:rtl/>
        </w:rPr>
        <w:t>هو</w:t>
      </w:r>
      <w:r>
        <w:rPr>
          <w:rtl/>
        </w:rPr>
        <w:t xml:space="preserve"> أن الذي عيّن القاضي العدل وقلّدَه القضاءَ إنما قلَّده؛ لتحقق شرط العدالة </w:t>
      </w:r>
      <w:r>
        <w:rPr>
          <w:rFonts w:hint="eastAsia"/>
          <w:rtl/>
        </w:rPr>
        <w:t>فيه،</w:t>
      </w:r>
      <w:r>
        <w:rPr>
          <w:rtl/>
        </w:rPr>
        <w:t xml:space="preserve"> فلا يرضى بتولِّيه القضاء دونها، فلو انتفت العدالة انتفى التقليد؛ لأن «المعلَّق </w:t>
      </w:r>
      <w:r>
        <w:rPr>
          <w:rFonts w:hint="eastAsia"/>
          <w:rtl/>
        </w:rPr>
        <w:t>بالشرط</w:t>
      </w:r>
      <w:r>
        <w:rPr>
          <w:rtl/>
        </w:rPr>
        <w:t xml:space="preserve"> ين</w:t>
      </w:r>
      <w:r>
        <w:rPr>
          <w:rFonts w:hint="cs"/>
          <w:rtl/>
        </w:rPr>
        <w:t>ـت</w:t>
      </w:r>
      <w:r>
        <w:rPr>
          <w:rtl/>
        </w:rPr>
        <w:t>في بانتفائه».</w:t>
      </w:r>
    </w:p>
  </w:footnote>
  <w:footnote w:id="140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هذه القاعدة وجل ما جاء فيها مذكور في (العناية)، وذلك 7/255-256.</w:t>
      </w:r>
    </w:p>
  </w:footnote>
  <w:footnote w:id="1404">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«محلَّين». وهذا الأولى</w:t>
      </w:r>
      <w:r>
        <w:rPr>
          <w:rFonts w:hint="cs"/>
          <w:rtl/>
        </w:rPr>
        <w:t>،</w:t>
      </w:r>
      <w:r>
        <w:rPr>
          <w:rtl/>
        </w:rPr>
        <w:t xml:space="preserve"> و</w:t>
      </w:r>
      <w:r>
        <w:rPr>
          <w:rFonts w:hint="cs"/>
          <w:rtl/>
        </w:rPr>
        <w:t>هو الموافق</w:t>
      </w:r>
      <w:r>
        <w:rPr>
          <w:rtl/>
        </w:rPr>
        <w:t xml:space="preserve"> لمصدر </w:t>
      </w:r>
      <w:r>
        <w:rPr>
          <w:rFonts w:hint="eastAsia"/>
          <w:rtl/>
        </w:rPr>
        <w:t>القاعدة</w:t>
      </w:r>
      <w:r>
        <w:rPr>
          <w:rtl/>
        </w:rPr>
        <w:t xml:space="preserve"> وشرحها (وهو الدّرر شرح الغرر).</w:t>
      </w:r>
    </w:p>
  </w:footnote>
  <w:footnote w:id="1405">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23/ب من (أ).</w:t>
      </w:r>
    </w:p>
  </w:footnote>
  <w:footnote w:id="1406">
    <w:p w:rsidR="00035BE3" w:rsidRDefault="00035BE3" w:rsidP="00C10469">
      <w:pPr>
        <w:pStyle w:val="a8"/>
        <w:bidi/>
        <w:spacing w:line="216" w:lineRule="auto"/>
        <w:ind w:left="420" w:right="0"/>
        <w:rPr>
          <w:spacing w:val="-8"/>
          <w:rtl/>
        </w:rPr>
      </w:pPr>
      <w:r>
        <w:rPr>
          <w:spacing w:val="-8"/>
          <w:vertAlign w:val="superscript"/>
          <w:rtl/>
        </w:rPr>
        <w:t>(</w:t>
      </w:r>
      <w:r>
        <w:rPr>
          <w:rStyle w:val="a7"/>
          <w:spacing w:val="-8"/>
        </w:rPr>
        <w:footnoteRef/>
      </w:r>
      <w:r>
        <w:rPr>
          <w:spacing w:val="-8"/>
          <w:vertAlign w:val="superscript"/>
          <w:rtl/>
        </w:rPr>
        <w:t>)</w:t>
      </w:r>
      <w:r>
        <w:rPr>
          <w:spacing w:val="-8"/>
          <w:rtl/>
        </w:rPr>
        <w:t xml:space="preserve">   </w:t>
      </w:r>
      <w:r w:rsidRPr="00280292">
        <w:rPr>
          <w:rFonts w:hint="eastAsia"/>
          <w:rtl/>
        </w:rPr>
        <w:t>هذه</w:t>
      </w:r>
      <w:r w:rsidRPr="00280292">
        <w:rPr>
          <w:rtl/>
        </w:rPr>
        <w:t xml:space="preserve"> القاعدة وما </w:t>
      </w:r>
      <w:r w:rsidRPr="00280292">
        <w:rPr>
          <w:rFonts w:hint="eastAsia"/>
          <w:rtl/>
        </w:rPr>
        <w:t>جاء</w:t>
      </w:r>
      <w:r w:rsidRPr="00280292">
        <w:rPr>
          <w:rtl/>
        </w:rPr>
        <w:t xml:space="preserve"> في شرحها مذكور في الدرّر شرح الغرر، 2/308، ولفظه: «... لأن من المحال بقاء </w:t>
      </w:r>
      <w:r w:rsidRPr="00280292">
        <w:rPr>
          <w:rFonts w:hint="eastAsia"/>
          <w:rtl/>
        </w:rPr>
        <w:t>الشيء</w:t>
      </w:r>
      <w:r w:rsidRPr="00280292">
        <w:rPr>
          <w:rtl/>
        </w:rPr>
        <w:t xml:space="preserve"> الواحد في محلين في زمان واحد»؛ كما ورد معناها في تأسيس النظر، ص106، بلفظ: </w:t>
      </w:r>
      <w:r w:rsidRPr="00280292">
        <w:rPr>
          <w:rFonts w:hint="eastAsia"/>
          <w:rtl/>
        </w:rPr>
        <w:t>«الأصل</w:t>
      </w:r>
      <w:r w:rsidRPr="00280292">
        <w:rPr>
          <w:rtl/>
        </w:rPr>
        <w:t xml:space="preserve"> عن [هكذا!] ابن أبي ليلى أنّ الحقّ الواحد لا يجوز أن يثبت في محلين </w:t>
      </w:r>
      <w:r w:rsidRPr="00280292">
        <w:rPr>
          <w:rFonts w:hint="eastAsia"/>
          <w:rtl/>
        </w:rPr>
        <w:t>مختلفين؛</w:t>
      </w:r>
      <w:r w:rsidRPr="00280292">
        <w:rPr>
          <w:rtl/>
        </w:rPr>
        <w:t xml:space="preserve"> لأنه متى ثبت في محل خلا عنه المحل الأول».</w:t>
      </w:r>
    </w:p>
    <w:p w:rsidR="00035BE3" w:rsidRDefault="00035BE3" w:rsidP="00C10469">
      <w:pPr>
        <w:pStyle w:val="a6"/>
        <w:spacing w:line="216" w:lineRule="auto"/>
        <w:ind w:left="420" w:firstLine="0"/>
        <w:rPr>
          <w:rtl/>
        </w:rPr>
      </w:pPr>
      <w:r>
        <w:rPr>
          <w:rFonts w:hint="eastAsia"/>
          <w:rtl/>
        </w:rPr>
        <w:t>وهذا</w:t>
      </w:r>
      <w:r>
        <w:rPr>
          <w:rtl/>
        </w:rPr>
        <w:t xml:space="preserve"> اللفظ ورد أيضًا في موسوعة القواعد </w:t>
      </w:r>
      <w:r>
        <w:rPr>
          <w:rFonts w:hint="eastAsia"/>
          <w:rtl/>
        </w:rPr>
        <w:t>الفقهية،</w:t>
      </w:r>
      <w:r>
        <w:rPr>
          <w:rtl/>
        </w:rPr>
        <w:t xml:space="preserve"> 1/490.</w:t>
      </w:r>
    </w:p>
  </w:footnote>
  <w:footnote w:id="1407">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و(د) : «بدين». والصحيح ما تمَّ إثباته </w:t>
      </w:r>
      <w:r>
        <w:rPr>
          <w:rFonts w:hint="eastAsia"/>
          <w:rtl/>
        </w:rPr>
        <w:t>من</w:t>
      </w:r>
      <w:r>
        <w:rPr>
          <w:rtl/>
        </w:rPr>
        <w:t xml:space="preserve"> (ب) و(جـ) و(هـ)</w:t>
      </w:r>
      <w:r>
        <w:rPr>
          <w:rFonts w:hint="cs"/>
          <w:rtl/>
        </w:rPr>
        <w:t>،</w:t>
      </w:r>
      <w:r>
        <w:rPr>
          <w:rtl/>
        </w:rPr>
        <w:t xml:space="preserve"> و</w:t>
      </w:r>
      <w:r>
        <w:rPr>
          <w:rFonts w:hint="cs"/>
          <w:rtl/>
        </w:rPr>
        <w:t>هو الموافق</w:t>
      </w:r>
      <w:r>
        <w:rPr>
          <w:rtl/>
        </w:rPr>
        <w:t xml:space="preserve"> للدّرر.</w:t>
      </w:r>
    </w:p>
  </w:footnote>
  <w:footnote w:id="1408">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«والمحال عليه».</w:t>
      </w:r>
    </w:p>
    <w:p w:rsidR="00035BE3" w:rsidRPr="00280292" w:rsidRDefault="00035BE3" w:rsidP="00C10469">
      <w:pPr>
        <w:pStyle w:val="a6"/>
        <w:spacing w:line="216" w:lineRule="auto"/>
        <w:ind w:left="420" w:firstLine="0"/>
        <w:rPr>
          <w:rtl/>
        </w:rPr>
      </w:pPr>
      <w:r w:rsidRPr="00280292">
        <w:rPr>
          <w:rFonts w:hint="eastAsia"/>
          <w:rtl/>
        </w:rPr>
        <w:t>وكلاهما</w:t>
      </w:r>
      <w:r w:rsidRPr="00280292">
        <w:rPr>
          <w:rtl/>
        </w:rPr>
        <w:t xml:space="preserve"> صحيح؛ إذ </w:t>
      </w:r>
      <w:r w:rsidRPr="00280292">
        <w:rPr>
          <w:rFonts w:hint="cs"/>
          <w:rtl/>
        </w:rPr>
        <w:t>إ</w:t>
      </w:r>
      <w:r w:rsidRPr="00280292">
        <w:rPr>
          <w:rtl/>
        </w:rPr>
        <w:t xml:space="preserve">نهما </w:t>
      </w:r>
      <w:r w:rsidRPr="00280292">
        <w:rPr>
          <w:rFonts w:hint="eastAsia"/>
          <w:rtl/>
        </w:rPr>
        <w:t>لفظان</w:t>
      </w:r>
      <w:r w:rsidRPr="00280292">
        <w:rPr>
          <w:rtl/>
        </w:rPr>
        <w:t xml:space="preserve"> يطلقان على من يقبل الحوالة. ويقاسم المُحْتال عليه شخصان </w:t>
      </w:r>
      <w:r w:rsidRPr="00280292">
        <w:rPr>
          <w:rFonts w:hint="cs"/>
          <w:rtl/>
        </w:rPr>
        <w:t>آ</w:t>
      </w:r>
      <w:r w:rsidRPr="00280292">
        <w:rPr>
          <w:rtl/>
        </w:rPr>
        <w:t xml:space="preserve">خران - ذكرهما </w:t>
      </w:r>
      <w:r w:rsidRPr="00280292">
        <w:rPr>
          <w:rFonts w:hint="eastAsia"/>
          <w:rtl/>
        </w:rPr>
        <w:t>المؤلف</w:t>
      </w:r>
      <w:r w:rsidRPr="00280292">
        <w:rPr>
          <w:rtl/>
        </w:rPr>
        <w:t xml:space="preserve"> آنفًا- وهما: المحيل وهو (المديون)، والمحتال وهو (الدائن)، ويسمى أيضًا </w:t>
      </w:r>
      <w:r w:rsidRPr="00280292">
        <w:rPr>
          <w:rFonts w:hint="eastAsia"/>
          <w:rtl/>
        </w:rPr>
        <w:t>محتال</w:t>
      </w:r>
      <w:r w:rsidRPr="00280292">
        <w:rPr>
          <w:rtl/>
        </w:rPr>
        <w:t xml:space="preserve"> له ومحال ومحال له.</w:t>
      </w:r>
    </w:p>
    <w:p w:rsidR="00035BE3" w:rsidRDefault="00035BE3" w:rsidP="00C10469">
      <w:pPr>
        <w:pStyle w:val="a6"/>
        <w:spacing w:line="216" w:lineRule="auto"/>
        <w:ind w:left="420" w:firstLine="0"/>
        <w:rPr>
          <w:rtl/>
        </w:rPr>
      </w:pPr>
      <w:r>
        <w:rPr>
          <w:rFonts w:hint="eastAsia"/>
          <w:rtl/>
        </w:rPr>
        <w:t>أما</w:t>
      </w:r>
      <w:r>
        <w:rPr>
          <w:rtl/>
        </w:rPr>
        <w:t xml:space="preserve"> الدين فيسمى (محالٌ به).</w:t>
      </w:r>
    </w:p>
    <w:p w:rsidR="00035BE3" w:rsidRDefault="00035BE3" w:rsidP="00C10469">
      <w:pPr>
        <w:pStyle w:val="a6"/>
        <w:spacing w:line="216" w:lineRule="auto"/>
        <w:ind w:left="420" w:firstLine="0"/>
        <w:rPr>
          <w:rtl/>
        </w:rPr>
      </w:pPr>
      <w:r>
        <w:rPr>
          <w:rFonts w:hint="eastAsia"/>
          <w:rtl/>
        </w:rPr>
        <w:t>انظر</w:t>
      </w:r>
      <w:r>
        <w:rPr>
          <w:rtl/>
        </w:rPr>
        <w:t xml:space="preserve"> : الدّرر شرح الغرر، 2/308.</w:t>
      </w:r>
    </w:p>
  </w:footnote>
  <w:footnote w:id="1409">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و(د) : زيادة «برئ الأصل».</w:t>
      </w:r>
    </w:p>
  </w:footnote>
  <w:footnote w:id="1410">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الدرر شرح الغرر -2/307- زيادة : «كما </w:t>
      </w:r>
      <w:r>
        <w:rPr>
          <w:rFonts w:hint="eastAsia"/>
          <w:rtl/>
        </w:rPr>
        <w:t>مرّ»،</w:t>
      </w:r>
      <w:r>
        <w:rPr>
          <w:rtl/>
        </w:rPr>
        <w:t xml:space="preserve"> أي كما مرّ عنده في بداية حديثه عن الحوالة حيث عرفها - في الصفحة نفسها- </w:t>
      </w:r>
      <w:r>
        <w:rPr>
          <w:rFonts w:hint="eastAsia"/>
          <w:rtl/>
        </w:rPr>
        <w:t>بأنها</w:t>
      </w:r>
      <w:r>
        <w:rPr>
          <w:rtl/>
        </w:rPr>
        <w:t xml:space="preserve"> : «نقل دين من ذمّة إلى ذمّة».</w:t>
      </w:r>
    </w:p>
    <w:p w:rsidR="00035BE3" w:rsidRDefault="00035BE3" w:rsidP="00C10469">
      <w:pPr>
        <w:pStyle w:val="a6"/>
        <w:spacing w:line="216" w:lineRule="auto"/>
        <w:ind w:left="420" w:firstLine="0"/>
        <w:rPr>
          <w:rtl/>
        </w:rPr>
      </w:pPr>
      <w:r>
        <w:rPr>
          <w:rFonts w:hint="cs"/>
          <w:rtl/>
        </w:rPr>
        <w:t>و</w:t>
      </w:r>
      <w:r>
        <w:rPr>
          <w:rtl/>
        </w:rPr>
        <w:t xml:space="preserve">تعريف الحوالة سبق بيانه لغة </w:t>
      </w:r>
      <w:r>
        <w:rPr>
          <w:rFonts w:hint="eastAsia"/>
          <w:rtl/>
        </w:rPr>
        <w:t>واصطلاحًا،</w:t>
      </w:r>
      <w:r>
        <w:rPr>
          <w:rtl/>
        </w:rPr>
        <w:t xml:space="preserve"> ص</w:t>
      </w:r>
      <w:r>
        <w:rPr>
          <w:rFonts w:hint="cs"/>
          <w:rtl/>
        </w:rPr>
        <w:t>359</w:t>
      </w:r>
      <w:r>
        <w:rPr>
          <w:rtl/>
        </w:rPr>
        <w:t>.</w:t>
      </w:r>
    </w:p>
  </w:footnote>
  <w:footnote w:id="1411">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«تقتضي». </w:t>
      </w:r>
      <w:r>
        <w:rPr>
          <w:rFonts w:hint="eastAsia"/>
          <w:rtl/>
        </w:rPr>
        <w:t>والصحيح</w:t>
      </w:r>
      <w:r>
        <w:rPr>
          <w:rtl/>
        </w:rPr>
        <w:t xml:space="preserve"> ما تمَّ </w:t>
      </w:r>
      <w:r>
        <w:rPr>
          <w:rFonts w:hint="eastAsia"/>
          <w:rtl/>
        </w:rPr>
        <w:t>إثباته</w:t>
      </w:r>
      <w:r>
        <w:rPr>
          <w:rtl/>
        </w:rPr>
        <w:t xml:space="preserve"> من (ب) و(د)</w:t>
      </w:r>
      <w:r>
        <w:rPr>
          <w:rFonts w:hint="cs"/>
          <w:rtl/>
        </w:rPr>
        <w:t>،</w:t>
      </w:r>
      <w:r>
        <w:rPr>
          <w:rtl/>
        </w:rPr>
        <w:t xml:space="preserve"> و</w:t>
      </w:r>
      <w:r>
        <w:rPr>
          <w:rFonts w:hint="cs"/>
          <w:rtl/>
        </w:rPr>
        <w:t>هو الموافق</w:t>
      </w:r>
      <w:r>
        <w:rPr>
          <w:rtl/>
        </w:rPr>
        <w:t xml:space="preserve"> للدّرر. </w:t>
      </w:r>
    </w:p>
  </w:footnote>
  <w:footnote w:id="1412">
    <w:p w:rsidR="00035BE3" w:rsidRDefault="00035BE3" w:rsidP="00C10469">
      <w:pPr>
        <w:pStyle w:val="a8"/>
        <w:bidi/>
        <w:spacing w:line="216"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«الأصيل»</w:t>
      </w:r>
      <w:r>
        <w:rPr>
          <w:rFonts w:hint="cs"/>
          <w:rtl/>
        </w:rPr>
        <w:t>؛</w:t>
      </w:r>
      <w:r>
        <w:rPr>
          <w:rtl/>
        </w:rPr>
        <w:t xml:space="preserve"> وفاقًا للدّرر.</w:t>
      </w:r>
    </w:p>
    <w:p w:rsidR="00035BE3" w:rsidRDefault="00035BE3" w:rsidP="00C10469">
      <w:pPr>
        <w:pStyle w:val="a6"/>
        <w:spacing w:line="216" w:lineRule="auto"/>
        <w:ind w:left="420" w:firstLine="0"/>
        <w:rPr>
          <w:rtl/>
        </w:rPr>
      </w:pPr>
      <w:r>
        <w:rPr>
          <w:rFonts w:hint="cs"/>
          <w:rtl/>
        </w:rPr>
        <w:t>و</w:t>
      </w:r>
      <w:r>
        <w:rPr>
          <w:rtl/>
        </w:rPr>
        <w:t>تمام العبارة في (الدّرر) : «ف</w:t>
      </w:r>
      <w:r>
        <w:rPr>
          <w:rFonts w:hint="cs"/>
          <w:rtl/>
        </w:rPr>
        <w:t>ـ</w:t>
      </w:r>
      <w:r>
        <w:rPr>
          <w:rtl/>
        </w:rPr>
        <w:t xml:space="preserve">راغ </w:t>
      </w:r>
      <w:r>
        <w:rPr>
          <w:rFonts w:hint="eastAsia"/>
          <w:rtl/>
        </w:rPr>
        <w:t>ذم</w:t>
      </w:r>
      <w:r>
        <w:rPr>
          <w:rFonts w:hint="cs"/>
          <w:rtl/>
        </w:rPr>
        <w:t>ـ</w:t>
      </w:r>
      <w:r>
        <w:rPr>
          <w:rFonts w:hint="eastAsia"/>
          <w:rtl/>
        </w:rPr>
        <w:t>ة</w:t>
      </w:r>
      <w:r>
        <w:rPr>
          <w:rtl/>
        </w:rPr>
        <w:t xml:space="preserve"> </w:t>
      </w:r>
      <w:r>
        <w:rPr>
          <w:rFonts w:hint="eastAsia"/>
          <w:b/>
          <w:bCs/>
          <w:rtl/>
        </w:rPr>
        <w:t>الأصيل؛</w:t>
      </w:r>
      <w:r>
        <w:rPr>
          <w:b/>
          <w:bCs/>
          <w:rtl/>
        </w:rPr>
        <w:t xml:space="preserve"> لأن م</w:t>
      </w:r>
      <w:r>
        <w:rPr>
          <w:rFonts w:hint="cs"/>
          <w:b/>
          <w:bCs/>
          <w:rtl/>
        </w:rPr>
        <w:t>ـ</w:t>
      </w:r>
      <w:r>
        <w:rPr>
          <w:b/>
          <w:bCs/>
          <w:rtl/>
        </w:rPr>
        <w:t>ن المُحال</w:t>
      </w:r>
      <w:r>
        <w:rPr>
          <w:rtl/>
        </w:rPr>
        <w:t xml:space="preserve"> بقاء الشيء </w:t>
      </w:r>
      <w:r>
        <w:rPr>
          <w:rFonts w:hint="eastAsia"/>
          <w:b/>
          <w:bCs/>
          <w:rtl/>
        </w:rPr>
        <w:t>الواحد</w:t>
      </w:r>
      <w:r>
        <w:rPr>
          <w:rtl/>
        </w:rPr>
        <w:t xml:space="preserve"> </w:t>
      </w:r>
      <w:r>
        <w:rPr>
          <w:rFonts w:hint="eastAsia"/>
          <w:rtl/>
        </w:rPr>
        <w:t>في</w:t>
      </w:r>
      <w:r>
        <w:rPr>
          <w:rtl/>
        </w:rPr>
        <w:t xml:space="preserve"> </w:t>
      </w:r>
      <w:r>
        <w:rPr>
          <w:rFonts w:hint="eastAsia"/>
          <w:b/>
          <w:bCs/>
          <w:rtl/>
        </w:rPr>
        <w:t>محلَّين</w:t>
      </w:r>
      <w:r>
        <w:rPr>
          <w:rtl/>
        </w:rPr>
        <w:t xml:space="preserve"> </w:t>
      </w:r>
      <w:r>
        <w:rPr>
          <w:rFonts w:hint="eastAsia"/>
          <w:rtl/>
        </w:rPr>
        <w:t>في</w:t>
      </w:r>
      <w:r>
        <w:rPr>
          <w:rtl/>
        </w:rPr>
        <w:t xml:space="preserve"> </w:t>
      </w:r>
      <w:r>
        <w:rPr>
          <w:rFonts w:hint="eastAsia"/>
          <w:rtl/>
        </w:rPr>
        <w:t>زمان</w:t>
      </w:r>
      <w:r>
        <w:rPr>
          <w:rtl/>
        </w:rPr>
        <w:t xml:space="preserve"> واحد». </w:t>
      </w:r>
    </w:p>
    <w:p w:rsidR="00035BE3" w:rsidRDefault="00035BE3" w:rsidP="00C10469">
      <w:pPr>
        <w:pStyle w:val="a6"/>
        <w:spacing w:line="216" w:lineRule="auto"/>
        <w:ind w:left="422" w:firstLine="0"/>
        <w:rPr>
          <w:rtl/>
        </w:rPr>
      </w:pPr>
      <w:r>
        <w:rPr>
          <w:rFonts w:hint="cs"/>
          <w:rtl/>
        </w:rPr>
        <w:t>و</w:t>
      </w:r>
      <w:r>
        <w:rPr>
          <w:rtl/>
        </w:rPr>
        <w:t>هذه الكلمة نهاية 15/ب من (د).</w:t>
      </w:r>
    </w:p>
  </w:footnote>
  <w:footnote w:id="1413">
    <w:p w:rsidR="00035BE3" w:rsidRPr="00821B78" w:rsidRDefault="00035BE3" w:rsidP="00C10469">
      <w:pPr>
        <w:pStyle w:val="a8"/>
        <w:bidi/>
        <w:spacing w:line="440" w:lineRule="exact"/>
        <w:ind w:left="422" w:right="0"/>
        <w:rPr>
          <w:spacing w:val="-2"/>
          <w:rtl/>
        </w:rPr>
      </w:pPr>
      <w:r>
        <w:rPr>
          <w:vertAlign w:val="superscript"/>
          <w:rtl/>
        </w:rPr>
        <w:t>(</w:t>
      </w:r>
      <w:r>
        <w:rPr>
          <w:rStyle w:val="a7"/>
        </w:rPr>
        <w:footnoteRef/>
      </w:r>
      <w:r>
        <w:rPr>
          <w:vertAlign w:val="superscript"/>
          <w:rtl/>
        </w:rPr>
        <w:t>)</w:t>
      </w:r>
      <w:r>
        <w:rPr>
          <w:rtl/>
        </w:rPr>
        <w:t xml:space="preserve"> </w:t>
      </w:r>
      <w:r>
        <w:rPr>
          <w:rFonts w:hint="cs"/>
          <w:rtl/>
        </w:rPr>
        <w:t xml:space="preserve"> </w:t>
      </w:r>
      <w:r w:rsidRPr="00821B78">
        <w:rPr>
          <w:rFonts w:hint="eastAsia"/>
          <w:spacing w:val="-2"/>
          <w:rtl/>
        </w:rPr>
        <w:t>الدرر</w:t>
      </w:r>
      <w:r w:rsidRPr="00821B78">
        <w:rPr>
          <w:spacing w:val="-2"/>
          <w:rtl/>
        </w:rPr>
        <w:t xml:space="preserve"> شرح الغرر، 2/308 -مع اختلاف سبق بيانه-؛ </w:t>
      </w:r>
      <w:r w:rsidRPr="00821B78">
        <w:rPr>
          <w:rFonts w:hint="eastAsia"/>
          <w:spacing w:val="-2"/>
          <w:rtl/>
        </w:rPr>
        <w:t>وانظر</w:t>
      </w:r>
      <w:r w:rsidRPr="00821B78">
        <w:rPr>
          <w:spacing w:val="-2"/>
          <w:rtl/>
        </w:rPr>
        <w:t>: الهداية والعناية وفتح القدير، 7/241.</w:t>
      </w:r>
    </w:p>
  </w:footnote>
  <w:footnote w:id="14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ترد بكثرة في كتب الفقه الحنفي، وأكثر ما يذكرونها في معرض التعليل بها لعدم صحة اقتداء المأموم بمن هو دونه، فلا يصلي القارئ خلف الأمي، ولا المكسيّ خلف العاري، ولا الراكع الساجد خلف المومئ ... بناءً على القاعدة.</w:t>
      </w:r>
    </w:p>
    <w:p w:rsidR="00035BE3" w:rsidRDefault="00035BE3" w:rsidP="00C10469">
      <w:pPr>
        <w:pStyle w:val="a6"/>
        <w:ind w:left="422" w:firstLine="0"/>
        <w:rPr>
          <w:spacing w:val="6"/>
          <w:rtl/>
        </w:rPr>
      </w:pPr>
      <w:r>
        <w:rPr>
          <w:rFonts w:hint="cs"/>
          <w:spacing w:val="6"/>
          <w:rtl/>
        </w:rPr>
        <w:t xml:space="preserve">كما يذكرونها في مواضع أخر، كالفرع الذي سيذكره المؤلف، وكالتعليل بها على أن الوديعة أو نحوها إذا باعها المودِع على المودَع </w:t>
      </w:r>
      <w:r>
        <w:rPr>
          <w:rFonts w:hint="eastAsia"/>
          <w:spacing w:val="6"/>
          <w:rtl/>
        </w:rPr>
        <w:t>«</w:t>
      </w:r>
      <w:r>
        <w:rPr>
          <w:rFonts w:hint="cs"/>
          <w:spacing w:val="6"/>
          <w:rtl/>
        </w:rPr>
        <w:t>يحتاج إلى قبض جديد؛ لأن البيع يقتضي قبضًا مضمونًا، وقبضُ المودَع قبضُ أمانةٍ، فلا ينوب عن قبض الضمان؛ بل يحتاج إلى تجديد القبض. والأصل فيه : أن القبضين إذا تجانسا ناب أحدهما مناب الآخر؛ لاتحادهما جنسًا، وإذا اختلفا ناب الأقوى عن الأضعف بلا عكس؛ لأن في الأقوى مثل الأدنى وزيادة، وليس في الأدنى ما في الأقوى</w:t>
      </w:r>
      <w:r>
        <w:rPr>
          <w:rFonts w:hint="eastAsia"/>
          <w:spacing w:val="6"/>
          <w:rtl/>
        </w:rPr>
        <w:t>»</w:t>
      </w:r>
      <w:r>
        <w:rPr>
          <w:rFonts w:hint="cs"/>
          <w:spacing w:val="6"/>
          <w:rtl/>
        </w:rPr>
        <w:t>- قاله صاحب الدرر، 2/220-.</w:t>
      </w:r>
    </w:p>
    <w:p w:rsidR="00035BE3" w:rsidRDefault="00035BE3" w:rsidP="00C10469">
      <w:pPr>
        <w:pStyle w:val="a6"/>
        <w:ind w:left="422" w:firstLine="0"/>
        <w:rPr>
          <w:rtl/>
        </w:rPr>
      </w:pPr>
      <w:r>
        <w:rPr>
          <w:rFonts w:hint="cs"/>
          <w:rtl/>
        </w:rPr>
        <w:t xml:space="preserve">إذ علم هذا فيمكن أن يقال : </w:t>
      </w:r>
      <w:r>
        <w:rPr>
          <w:rFonts w:hint="cs"/>
          <w:b/>
          <w:bCs/>
          <w:rtl/>
        </w:rPr>
        <w:t>إن معنى القاعدة</w:t>
      </w:r>
      <w:r>
        <w:rPr>
          <w:rFonts w:hint="cs"/>
          <w:rtl/>
        </w:rPr>
        <w:t xml:space="preserve"> :</w:t>
      </w:r>
    </w:p>
    <w:p w:rsidR="00035BE3" w:rsidRDefault="00035BE3" w:rsidP="00C10469">
      <w:pPr>
        <w:pStyle w:val="a6"/>
        <w:ind w:left="422" w:firstLine="0"/>
        <w:rPr>
          <w:rtl/>
        </w:rPr>
      </w:pPr>
      <w:r>
        <w:rPr>
          <w:rFonts w:hint="cs"/>
          <w:rtl/>
        </w:rPr>
        <w:t>إن الأمور التي تبنى على غيرها، لكونها فرعًا لها أو تابعة لها أو نحو ذلك إذا كانت متفاوتة في القوة فلا يصح بناء ما كان فيها قويًّا على ما كان ضعيفًا.</w:t>
      </w:r>
    </w:p>
    <w:p w:rsidR="00035BE3" w:rsidRDefault="00035BE3" w:rsidP="00C10469">
      <w:pPr>
        <w:pStyle w:val="a6"/>
        <w:ind w:left="422" w:firstLine="0"/>
        <w:rPr>
          <w:rtl/>
        </w:rPr>
      </w:pPr>
      <w:r>
        <w:rPr>
          <w:rFonts w:hint="cs"/>
          <w:rtl/>
        </w:rPr>
        <w:t xml:space="preserve">ويفهم من هذا أنها إذا كانت متجانسة في القوة يصح بناء بعضها على بعض، ومن باب أولى يصح بناء الضعيف على القوي. </w:t>
      </w:r>
    </w:p>
    <w:p w:rsidR="00035BE3" w:rsidRDefault="00035BE3" w:rsidP="00C10469">
      <w:pPr>
        <w:pStyle w:val="a6"/>
        <w:ind w:left="422" w:firstLine="0"/>
        <w:rPr>
          <w:b/>
          <w:bCs/>
          <w:rtl/>
        </w:rPr>
      </w:pPr>
      <w:r>
        <w:rPr>
          <w:rFonts w:hint="cs"/>
          <w:b/>
          <w:bCs/>
          <w:rtl/>
        </w:rPr>
        <w:t>أما توثيقها :</w:t>
      </w:r>
    </w:p>
    <w:p w:rsidR="00035BE3" w:rsidRDefault="00035BE3" w:rsidP="00C10469">
      <w:pPr>
        <w:pStyle w:val="a6"/>
        <w:ind w:left="422" w:firstLine="0"/>
        <w:rPr>
          <w:rtl/>
        </w:rPr>
      </w:pPr>
      <w:r>
        <w:rPr>
          <w:rFonts w:hint="cs"/>
          <w:rtl/>
        </w:rPr>
        <w:t xml:space="preserve">فقد </w:t>
      </w:r>
      <w:r>
        <w:rPr>
          <w:rFonts w:hint="eastAsia"/>
          <w:rtl/>
        </w:rPr>
        <w:t>وردت</w:t>
      </w:r>
      <w:r>
        <w:rPr>
          <w:rtl/>
        </w:rPr>
        <w:t xml:space="preserve"> </w:t>
      </w:r>
      <w:r>
        <w:rPr>
          <w:rFonts w:hint="cs"/>
          <w:rtl/>
        </w:rPr>
        <w:t>بلفظها</w:t>
      </w:r>
      <w:r>
        <w:rPr>
          <w:rtl/>
        </w:rPr>
        <w:t xml:space="preserve"> أو نحوه في بعض </w:t>
      </w:r>
      <w:r>
        <w:rPr>
          <w:rFonts w:hint="eastAsia"/>
          <w:rtl/>
        </w:rPr>
        <w:t>كتب</w:t>
      </w:r>
      <w:r>
        <w:rPr>
          <w:rtl/>
        </w:rPr>
        <w:t xml:space="preserve"> الفقه الحنفي وقواعده</w:t>
      </w:r>
      <w:r>
        <w:rPr>
          <w:rFonts w:hint="cs"/>
          <w:rtl/>
        </w:rPr>
        <w:t xml:space="preserve"> :</w:t>
      </w:r>
    </w:p>
    <w:p w:rsidR="00035BE3" w:rsidRDefault="00035BE3" w:rsidP="00C10469">
      <w:pPr>
        <w:pStyle w:val="a6"/>
        <w:ind w:left="422" w:firstLine="0"/>
        <w:rPr>
          <w:b/>
          <w:bCs/>
          <w:rtl/>
        </w:rPr>
      </w:pPr>
      <w:r>
        <w:rPr>
          <w:rFonts w:hint="cs"/>
          <w:b/>
          <w:bCs/>
          <w:rtl/>
        </w:rPr>
        <w:t>ف</w:t>
      </w:r>
      <w:r>
        <w:rPr>
          <w:rFonts w:hint="eastAsia"/>
          <w:b/>
          <w:bCs/>
          <w:rtl/>
        </w:rPr>
        <w:t>من</w:t>
      </w:r>
      <w:r>
        <w:rPr>
          <w:b/>
          <w:bCs/>
          <w:rtl/>
        </w:rPr>
        <w:t xml:space="preserve"> كتب القواعد :</w:t>
      </w:r>
    </w:p>
    <w:p w:rsidR="00035BE3" w:rsidRDefault="00035BE3" w:rsidP="00C10469">
      <w:pPr>
        <w:pStyle w:val="a6"/>
        <w:ind w:left="422" w:firstLine="0"/>
        <w:rPr>
          <w:rtl/>
        </w:rPr>
      </w:pPr>
      <w:r>
        <w:rPr>
          <w:rFonts w:hint="eastAsia"/>
          <w:rtl/>
        </w:rPr>
        <w:t>مجامع</w:t>
      </w:r>
      <w:r>
        <w:rPr>
          <w:rtl/>
        </w:rPr>
        <w:t xml:space="preserve"> الحقائق (الخاتمة)، ص45؛ شرح العلائي لقواعد الخادمي، ل13/ب؛ منافع الدقائق، ص314؛ القواعد </w:t>
      </w:r>
      <w:r>
        <w:rPr>
          <w:rFonts w:hint="eastAsia"/>
          <w:rtl/>
        </w:rPr>
        <w:t>الفقهية</w:t>
      </w:r>
      <w:r>
        <w:rPr>
          <w:rtl/>
        </w:rPr>
        <w:t xml:space="preserve"> للدكتور الندوي، ص177؛ القواعد والضوابط المستخلصة، ص145 -ولفظه: «لا يقام </w:t>
      </w:r>
      <w:r>
        <w:rPr>
          <w:rFonts w:hint="eastAsia"/>
          <w:rtl/>
        </w:rPr>
        <w:t>القوي</w:t>
      </w:r>
      <w:r>
        <w:rPr>
          <w:rtl/>
        </w:rPr>
        <w:t xml:space="preserve"> بالضعيف»-؛ موسوعة القواعد الفقهية، 3/86.</w:t>
      </w:r>
    </w:p>
    <w:p w:rsidR="00035BE3" w:rsidRDefault="00035BE3" w:rsidP="00C10469">
      <w:pPr>
        <w:pStyle w:val="a6"/>
        <w:ind w:left="422" w:firstLine="0"/>
        <w:rPr>
          <w:b/>
          <w:bCs/>
          <w:rtl/>
        </w:rPr>
      </w:pPr>
      <w:r>
        <w:rPr>
          <w:rFonts w:hint="eastAsia"/>
          <w:b/>
          <w:bCs/>
          <w:rtl/>
        </w:rPr>
        <w:t>ومن</w:t>
      </w:r>
      <w:r>
        <w:rPr>
          <w:b/>
          <w:bCs/>
          <w:rtl/>
        </w:rPr>
        <w:t xml:space="preserve"> كتب الفقه :</w:t>
      </w:r>
    </w:p>
    <w:p w:rsidR="00035BE3" w:rsidRDefault="00035BE3" w:rsidP="00C10469">
      <w:pPr>
        <w:pStyle w:val="a6"/>
        <w:ind w:left="422" w:firstLine="0"/>
        <w:rPr>
          <w:rtl/>
        </w:rPr>
      </w:pPr>
      <w:r>
        <w:rPr>
          <w:rFonts w:hint="eastAsia"/>
          <w:rtl/>
        </w:rPr>
        <w:t>النتف</w:t>
      </w:r>
      <w:r>
        <w:rPr>
          <w:rtl/>
        </w:rPr>
        <w:t xml:space="preserve"> في الفتاوي </w:t>
      </w:r>
      <w:r>
        <w:rPr>
          <w:rFonts w:hint="eastAsia"/>
          <w:rtl/>
        </w:rPr>
        <w:t>للسّغْدي،</w:t>
      </w:r>
      <w:r>
        <w:rPr>
          <w:rtl/>
        </w:rPr>
        <w:t xml:space="preserve"> 2/787؛ المبسوط، 1/180، 182، 2/99، 124، 125؛ بدائع الصنائع، 1/238؛</w:t>
      </w:r>
      <w:r>
        <w:rPr>
          <w:rFonts w:hint="cs"/>
          <w:rtl/>
        </w:rPr>
        <w:t xml:space="preserve"> الهداية والعناية وفتح القدير، 1/358؛ الفتاوى البزازية، 1/32؛</w:t>
      </w:r>
      <w:r>
        <w:rPr>
          <w:rtl/>
        </w:rPr>
        <w:t xml:space="preserve"> </w:t>
      </w:r>
      <w:r>
        <w:rPr>
          <w:rFonts w:hint="eastAsia"/>
          <w:rtl/>
        </w:rPr>
        <w:t>الدّرر</w:t>
      </w:r>
      <w:r>
        <w:rPr>
          <w:rtl/>
        </w:rPr>
        <w:t xml:space="preserve"> شرح الغرر، 1/61، 2/220</w:t>
      </w:r>
      <w:r>
        <w:rPr>
          <w:rFonts w:hint="cs"/>
          <w:rtl/>
        </w:rPr>
        <w:t>؛ البحر الرائق، 1/166، 385، 386، 387، 2/68، 71، 6/283؛ اللباب في شرح الكتاب، 1/82.</w:t>
      </w:r>
      <w:r>
        <w:rPr>
          <w:rFonts w:hint="cs"/>
          <w:rtl/>
        </w:rPr>
        <w:tab/>
      </w:r>
    </w:p>
  </w:footnote>
  <w:footnote w:id="141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«وإن</w:t>
      </w:r>
      <w:r>
        <w:rPr>
          <w:rtl/>
        </w:rPr>
        <w:t xml:space="preserve"> علم ... حاله» : ساقطة من (جـ).</w:t>
      </w:r>
    </w:p>
  </w:footnote>
  <w:footnote w:id="141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انظر</w:t>
      </w:r>
      <w:r>
        <w:rPr>
          <w:rtl/>
        </w:rPr>
        <w:t xml:space="preserve"> : الدّرر شرح الغرر، 1/61، ونصه : «... </w:t>
      </w:r>
      <w:r>
        <w:rPr>
          <w:rFonts w:hint="eastAsia"/>
          <w:rtl/>
        </w:rPr>
        <w:t>وفسدت</w:t>
      </w:r>
      <w:r>
        <w:rPr>
          <w:rtl/>
        </w:rPr>
        <w:t xml:space="preserve"> إن شرع فيها بلا تحرٍّ؛ لأن قبلته جهة تحرّيه ولم يوجد، وإن علم فيها (أي في </w:t>
      </w:r>
      <w:r>
        <w:rPr>
          <w:rFonts w:hint="eastAsia"/>
          <w:rtl/>
        </w:rPr>
        <w:t>الصلاة</w:t>
      </w:r>
      <w:r>
        <w:rPr>
          <w:rtl/>
        </w:rPr>
        <w:t xml:space="preserve">) إصابته؛ لأن بناء القوي على الضعيف فاسد، وحاله بعد العلم أقوى من حاله </w:t>
      </w:r>
      <w:r>
        <w:rPr>
          <w:rFonts w:hint="eastAsia"/>
          <w:rtl/>
        </w:rPr>
        <w:t>قبله»</w:t>
      </w:r>
      <w:r>
        <w:rPr>
          <w:rtl/>
        </w:rPr>
        <w:t>.</w:t>
      </w:r>
    </w:p>
  </w:footnote>
  <w:footnote w:id="141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w:t>
      </w:r>
      <w:r>
        <w:rPr>
          <w:rtl/>
        </w:rPr>
        <w:t xml:space="preserve"> التعليل بهذه القاعدة في عددٍ من كتب </w:t>
      </w:r>
      <w:r>
        <w:rPr>
          <w:rFonts w:hint="eastAsia"/>
          <w:rtl/>
        </w:rPr>
        <w:t>الفقه</w:t>
      </w:r>
      <w:r>
        <w:rPr>
          <w:rtl/>
        </w:rPr>
        <w:t xml:space="preserve"> الحنفي، منها :</w:t>
      </w:r>
    </w:p>
    <w:p w:rsidR="00035BE3" w:rsidRDefault="00035BE3" w:rsidP="00C10469">
      <w:pPr>
        <w:pStyle w:val="a6"/>
        <w:ind w:left="422" w:firstLine="0"/>
        <w:rPr>
          <w:rtl/>
        </w:rPr>
      </w:pPr>
      <w:r>
        <w:rPr>
          <w:rFonts w:hint="eastAsia"/>
          <w:rtl/>
        </w:rPr>
        <w:t>تبيين</w:t>
      </w:r>
      <w:r>
        <w:rPr>
          <w:rtl/>
        </w:rPr>
        <w:t xml:space="preserve"> الحقائق، 4/254؛ العناية وفتح القدير، 7/512؛ الدّرر شرح الغرر، 2/274، 281، 282؛ </w:t>
      </w:r>
      <w:r>
        <w:rPr>
          <w:rFonts w:hint="cs"/>
          <w:rtl/>
        </w:rPr>
        <w:t xml:space="preserve">تكملة البحر الرائق، 8/89، 121؛ </w:t>
      </w:r>
      <w:r>
        <w:rPr>
          <w:rtl/>
        </w:rPr>
        <w:t xml:space="preserve">رد </w:t>
      </w:r>
      <w:r>
        <w:rPr>
          <w:rFonts w:hint="eastAsia"/>
          <w:rtl/>
        </w:rPr>
        <w:t>المحتار،</w:t>
      </w:r>
      <w:r>
        <w:rPr>
          <w:rtl/>
        </w:rPr>
        <w:t xml:space="preserve"> 9/254.</w:t>
      </w:r>
    </w:p>
  </w:footnote>
  <w:footnote w:id="141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18/أ من (جـ)، مع تكرار حرف الواو في </w:t>
      </w:r>
      <w:r>
        <w:rPr>
          <w:rFonts w:hint="eastAsia"/>
          <w:rtl/>
        </w:rPr>
        <w:t>اللوحة</w:t>
      </w:r>
      <w:r>
        <w:rPr>
          <w:rtl/>
        </w:rPr>
        <w:t xml:space="preserve"> التي تليها.</w:t>
      </w:r>
    </w:p>
  </w:footnote>
  <w:footnote w:id="1419">
    <w:p w:rsidR="00035BE3" w:rsidRDefault="00035BE3" w:rsidP="00C10469">
      <w:pPr>
        <w:pStyle w:val="a8"/>
        <w:bidi/>
        <w:ind w:left="422" w:right="0"/>
        <w:rPr>
          <w:spacing w:val="10"/>
          <w:rtl/>
        </w:rPr>
      </w:pPr>
      <w:r>
        <w:rPr>
          <w:spacing w:val="10"/>
          <w:vertAlign w:val="superscript"/>
          <w:rtl/>
        </w:rPr>
        <w:t>(</w:t>
      </w:r>
      <w:r>
        <w:rPr>
          <w:rStyle w:val="a7"/>
          <w:spacing w:val="10"/>
        </w:rPr>
        <w:footnoteRef/>
      </w:r>
      <w:r>
        <w:rPr>
          <w:spacing w:val="10"/>
          <w:vertAlign w:val="superscript"/>
          <w:rtl/>
        </w:rPr>
        <w:t>)</w:t>
      </w:r>
      <w:r>
        <w:rPr>
          <w:spacing w:val="10"/>
          <w:rtl/>
        </w:rPr>
        <w:t xml:space="preserve">   </w:t>
      </w:r>
      <w:r>
        <w:rPr>
          <w:rFonts w:hint="eastAsia"/>
          <w:spacing w:val="10"/>
          <w:rtl/>
        </w:rPr>
        <w:t>انظر</w:t>
      </w:r>
      <w:r>
        <w:rPr>
          <w:spacing w:val="10"/>
          <w:rtl/>
        </w:rPr>
        <w:t xml:space="preserve"> : الدّرر شرح الغرر، 2/274، فقد ورد فيه </w:t>
      </w:r>
      <w:r>
        <w:rPr>
          <w:rFonts w:hint="eastAsia"/>
          <w:spacing w:val="10"/>
          <w:rtl/>
        </w:rPr>
        <w:t>زيادة</w:t>
      </w:r>
      <w:r>
        <w:rPr>
          <w:spacing w:val="10"/>
          <w:rtl/>
        </w:rPr>
        <w:t xml:space="preserve"> تفصيل، ونصُّه : «إذا عقد منهم (أي: من المحجورين) من يعقله، أي يعقل العقد </w:t>
      </w:r>
      <w:r>
        <w:rPr>
          <w:rFonts w:hint="eastAsia"/>
          <w:spacing w:val="10"/>
          <w:rtl/>
        </w:rPr>
        <w:t>بأن</w:t>
      </w:r>
      <w:r>
        <w:rPr>
          <w:spacing w:val="10"/>
          <w:rtl/>
        </w:rPr>
        <w:t xml:space="preserve"> البيع سالب للملك والشراء جالب له (احترز به عن المجنون المغلوب والصبي الغير </w:t>
      </w:r>
      <w:r>
        <w:rPr>
          <w:rFonts w:hint="eastAsia"/>
          <w:spacing w:val="10"/>
          <w:rtl/>
        </w:rPr>
        <w:t>مميِّز</w:t>
      </w:r>
      <w:r>
        <w:rPr>
          <w:spacing w:val="10"/>
          <w:rtl/>
        </w:rPr>
        <w:t>) خُيِّر ول</w:t>
      </w:r>
      <w:r>
        <w:rPr>
          <w:rFonts w:hint="cs"/>
          <w:spacing w:val="10"/>
          <w:rtl/>
        </w:rPr>
        <w:t>ـ</w:t>
      </w:r>
      <w:r>
        <w:rPr>
          <w:spacing w:val="10"/>
          <w:rtl/>
        </w:rPr>
        <w:t>ي</w:t>
      </w:r>
      <w:r>
        <w:rPr>
          <w:rFonts w:hint="cs"/>
          <w:spacing w:val="10"/>
          <w:rtl/>
        </w:rPr>
        <w:t>ّـ</w:t>
      </w:r>
      <w:r>
        <w:rPr>
          <w:spacing w:val="10"/>
          <w:rtl/>
        </w:rPr>
        <w:t xml:space="preserve">ه بين الفسخ والإمضاء. وأراد بالعقد: ما دار بين النفع والضر، </w:t>
      </w:r>
      <w:r>
        <w:rPr>
          <w:rFonts w:hint="eastAsia"/>
          <w:spacing w:val="10"/>
          <w:rtl/>
        </w:rPr>
        <w:t>بخلاف</w:t>
      </w:r>
      <w:r>
        <w:rPr>
          <w:spacing w:val="10"/>
          <w:rtl/>
        </w:rPr>
        <w:t xml:space="preserve"> الاتِّهاب، حيث يصحّ بلا إذن الوليّ، بخلاف الطلاق والعتاق، حيث لا يصحان - </w:t>
      </w:r>
      <w:r>
        <w:rPr>
          <w:rFonts w:hint="eastAsia"/>
          <w:spacing w:val="10"/>
          <w:rtl/>
        </w:rPr>
        <w:t>وإن</w:t>
      </w:r>
      <w:r>
        <w:rPr>
          <w:spacing w:val="10"/>
          <w:rtl/>
        </w:rPr>
        <w:t xml:space="preserve"> أَذِنَ الوليّ».</w:t>
      </w:r>
    </w:p>
  </w:footnote>
  <w:footnote w:id="142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وردت</w:t>
      </w:r>
      <w:r>
        <w:rPr>
          <w:rtl/>
        </w:rPr>
        <w:t xml:space="preserve"> هذه القاعدة بهذا اللفظ أو نحوه في </w:t>
      </w:r>
      <w:r>
        <w:rPr>
          <w:rFonts w:hint="cs"/>
          <w:rtl/>
        </w:rPr>
        <w:t>كثير</w:t>
      </w:r>
      <w:r>
        <w:rPr>
          <w:rtl/>
        </w:rPr>
        <w:t xml:space="preserve"> </w:t>
      </w:r>
      <w:r>
        <w:rPr>
          <w:rFonts w:hint="eastAsia"/>
          <w:rtl/>
        </w:rPr>
        <w:t>من</w:t>
      </w:r>
      <w:r>
        <w:rPr>
          <w:rtl/>
        </w:rPr>
        <w:t xml:space="preserve"> كتب الفقه وقواعده</w:t>
      </w:r>
      <w:r>
        <w:rPr>
          <w:rFonts w:hint="cs"/>
          <w:rtl/>
        </w:rPr>
        <w:t xml:space="preserve"> :</w:t>
      </w:r>
    </w:p>
    <w:p w:rsidR="00035BE3" w:rsidRDefault="00035BE3" w:rsidP="00C10469">
      <w:pPr>
        <w:pStyle w:val="a6"/>
        <w:ind w:left="422" w:firstLine="0"/>
        <w:rPr>
          <w:rtl/>
        </w:rPr>
      </w:pPr>
      <w:r>
        <w:rPr>
          <w:rFonts w:hint="eastAsia"/>
          <w:b/>
          <w:bCs/>
          <w:rtl/>
        </w:rPr>
        <w:t>فمن</w:t>
      </w:r>
      <w:r>
        <w:rPr>
          <w:b/>
          <w:bCs/>
          <w:rtl/>
        </w:rPr>
        <w:t xml:space="preserve"> كتب القواعد</w:t>
      </w:r>
      <w:r>
        <w:rPr>
          <w:rtl/>
        </w:rPr>
        <w:t xml:space="preserve"> : </w:t>
      </w:r>
    </w:p>
    <w:p w:rsidR="00035BE3" w:rsidRDefault="00035BE3" w:rsidP="00C10469">
      <w:pPr>
        <w:pStyle w:val="a6"/>
        <w:ind w:left="422" w:firstLine="0"/>
        <w:rPr>
          <w:rtl/>
        </w:rPr>
      </w:pPr>
      <w:r>
        <w:rPr>
          <w:rFonts w:hint="eastAsia"/>
          <w:rtl/>
        </w:rPr>
        <w:t>أنوا</w:t>
      </w:r>
      <w:r>
        <w:rPr>
          <w:rFonts w:hint="cs"/>
          <w:rtl/>
        </w:rPr>
        <w:t>ر</w:t>
      </w:r>
      <w:r>
        <w:rPr>
          <w:rtl/>
        </w:rPr>
        <w:t xml:space="preserve"> البروق </w:t>
      </w:r>
      <w:r>
        <w:rPr>
          <w:rFonts w:hint="eastAsia"/>
          <w:rtl/>
        </w:rPr>
        <w:t>للقرافي،</w:t>
      </w:r>
      <w:r>
        <w:rPr>
          <w:rtl/>
        </w:rPr>
        <w:t xml:space="preserve"> 4/61؛ تهذيب الفروق، 4/103 - ولفظ القرافي: «الشهادة على النفي غير مقبول</w:t>
      </w:r>
      <w:r>
        <w:rPr>
          <w:rFonts w:hint="cs"/>
          <w:rtl/>
        </w:rPr>
        <w:t>ة</w:t>
      </w:r>
      <w:r>
        <w:rPr>
          <w:rtl/>
        </w:rPr>
        <w:t xml:space="preserve"> ...»-؛ الأشباه والنظائر لابن نجيم، ص250؛ قواعد الفقه له أيضًا، ص157، قاعدة 188-ولفظه : «بينة النفي لا تقبل ...»-؛ الفوائد الزينية له أيضًا، ص142، قاعدة 168 - ولفظه: «الشهادة على النفي لا تقبل»-؛ شرح المنهج المنتخب للمنجور، ص533؛ </w:t>
      </w:r>
      <w:r>
        <w:rPr>
          <w:rFonts w:hint="eastAsia"/>
          <w:rtl/>
        </w:rPr>
        <w:t>قواعد</w:t>
      </w:r>
      <w:r>
        <w:rPr>
          <w:rtl/>
        </w:rPr>
        <w:t xml:space="preserve"> الفقه للمجدِّدي، ص86، قاعدة 158 - ولفظه كلفظ الفوائد الزينية-؛ موسوعة </w:t>
      </w:r>
      <w:r>
        <w:rPr>
          <w:rFonts w:hint="eastAsia"/>
          <w:rtl/>
        </w:rPr>
        <w:t>القواعد</w:t>
      </w:r>
      <w:r>
        <w:rPr>
          <w:rtl/>
        </w:rPr>
        <w:t xml:space="preserve"> الفقهية، 3/141 - وقد ذكر لفظ المؤلف وألفاظ</w:t>
      </w:r>
      <w:r>
        <w:rPr>
          <w:rFonts w:hint="cs"/>
          <w:rtl/>
        </w:rPr>
        <w:t>ًا</w:t>
      </w:r>
      <w:r>
        <w:rPr>
          <w:rtl/>
        </w:rPr>
        <w:t xml:space="preserve"> أ</w:t>
      </w:r>
      <w:r>
        <w:rPr>
          <w:rFonts w:hint="cs"/>
          <w:rtl/>
        </w:rPr>
        <w:t>ُ</w:t>
      </w:r>
      <w:r>
        <w:rPr>
          <w:rtl/>
        </w:rPr>
        <w:t xml:space="preserve">خر، منها لفظ المبسوط : «البينات </w:t>
      </w:r>
      <w:r>
        <w:rPr>
          <w:rFonts w:hint="eastAsia"/>
          <w:rtl/>
        </w:rPr>
        <w:t>للإثبات</w:t>
      </w:r>
      <w:r>
        <w:rPr>
          <w:rtl/>
        </w:rPr>
        <w:t xml:space="preserve"> دون النفي»-.</w:t>
      </w:r>
    </w:p>
    <w:p w:rsidR="00035BE3" w:rsidRDefault="00035BE3" w:rsidP="00C10469">
      <w:pPr>
        <w:pStyle w:val="a6"/>
        <w:ind w:left="422" w:firstLine="0"/>
      </w:pPr>
      <w:r>
        <w:rPr>
          <w:rFonts w:hint="eastAsia"/>
          <w:b/>
          <w:bCs/>
          <w:rtl/>
        </w:rPr>
        <w:t>ومن</w:t>
      </w:r>
      <w:r>
        <w:rPr>
          <w:b/>
          <w:bCs/>
          <w:rtl/>
        </w:rPr>
        <w:t xml:space="preserve"> كتب الفقه</w:t>
      </w:r>
      <w:r>
        <w:rPr>
          <w:rtl/>
        </w:rPr>
        <w:t xml:space="preserve"> : </w:t>
      </w:r>
    </w:p>
    <w:p w:rsidR="00035BE3" w:rsidRDefault="00035BE3" w:rsidP="00C10469">
      <w:pPr>
        <w:pStyle w:val="a6"/>
        <w:ind w:left="422" w:firstLine="0"/>
        <w:rPr>
          <w:rtl/>
        </w:rPr>
      </w:pPr>
      <w:r>
        <w:rPr>
          <w:rtl/>
        </w:rPr>
        <w:t>المبسوط، 11/81، 82، 146، 13/36،</w:t>
      </w:r>
      <w:r>
        <w:rPr>
          <w:rFonts w:hint="cs"/>
          <w:rtl/>
        </w:rPr>
        <w:t xml:space="preserve"> 17/33؛</w:t>
      </w:r>
      <w:r>
        <w:rPr>
          <w:rtl/>
        </w:rPr>
        <w:t xml:space="preserve"> 21/133، 30/152؛ الفت</w:t>
      </w:r>
      <w:r>
        <w:rPr>
          <w:rFonts w:hint="cs"/>
          <w:rtl/>
        </w:rPr>
        <w:t>ـ</w:t>
      </w:r>
      <w:r>
        <w:rPr>
          <w:rtl/>
        </w:rPr>
        <w:t>اوى الب</w:t>
      </w:r>
      <w:r>
        <w:rPr>
          <w:rFonts w:hint="cs"/>
          <w:rtl/>
        </w:rPr>
        <w:t>ـ</w:t>
      </w:r>
      <w:r>
        <w:rPr>
          <w:rtl/>
        </w:rPr>
        <w:t xml:space="preserve">زازية، 2/198؛ فتح </w:t>
      </w:r>
      <w:r>
        <w:rPr>
          <w:rFonts w:hint="eastAsia"/>
          <w:rtl/>
        </w:rPr>
        <w:t>القدير،</w:t>
      </w:r>
      <w:r>
        <w:rPr>
          <w:rtl/>
        </w:rPr>
        <w:t xml:space="preserve"> 5/185؛ جامع الفصولين، 1/125؛ الرسائل الزينية في م</w:t>
      </w:r>
      <w:r>
        <w:rPr>
          <w:rFonts w:hint="cs"/>
          <w:rtl/>
        </w:rPr>
        <w:t>ـ</w:t>
      </w:r>
      <w:r>
        <w:rPr>
          <w:rtl/>
        </w:rPr>
        <w:t>ذهب ال</w:t>
      </w:r>
      <w:r>
        <w:rPr>
          <w:rFonts w:hint="cs"/>
          <w:rtl/>
        </w:rPr>
        <w:t>ـ</w:t>
      </w:r>
      <w:r>
        <w:rPr>
          <w:rtl/>
        </w:rPr>
        <w:t>حن</w:t>
      </w:r>
      <w:r>
        <w:rPr>
          <w:rFonts w:hint="cs"/>
          <w:rtl/>
        </w:rPr>
        <w:t>ـ</w:t>
      </w:r>
      <w:r>
        <w:rPr>
          <w:rtl/>
        </w:rPr>
        <w:t xml:space="preserve">فية، ص175-178، </w:t>
      </w:r>
      <w:r>
        <w:rPr>
          <w:rFonts w:hint="eastAsia"/>
          <w:rtl/>
        </w:rPr>
        <w:t>فقرة</w:t>
      </w:r>
      <w:r>
        <w:rPr>
          <w:rtl/>
        </w:rPr>
        <w:t xml:space="preserve"> 446-450؛</w:t>
      </w:r>
      <w:r>
        <w:rPr>
          <w:rFonts w:hint="cs"/>
          <w:rtl/>
        </w:rPr>
        <w:t xml:space="preserve"> البحر الرائق، 2/315؛</w:t>
      </w:r>
      <w:r>
        <w:rPr>
          <w:rtl/>
        </w:rPr>
        <w:t xml:space="preserve"> ردّ المحتار، 5/645.</w:t>
      </w:r>
    </w:p>
    <w:p w:rsidR="00035BE3" w:rsidRDefault="00035BE3" w:rsidP="00C10469">
      <w:pPr>
        <w:pStyle w:val="a6"/>
        <w:ind w:left="422" w:firstLine="0"/>
        <w:rPr>
          <w:rtl/>
        </w:rPr>
      </w:pPr>
      <w:r>
        <w:rPr>
          <w:rFonts w:hint="cs"/>
          <w:b/>
          <w:bCs/>
          <w:rtl/>
        </w:rPr>
        <w:t>كما وردت عرضًا في كتاب</w:t>
      </w:r>
      <w:r>
        <w:rPr>
          <w:rFonts w:hint="cs"/>
          <w:rtl/>
        </w:rPr>
        <w:t xml:space="preserve"> : المحصول، 1/168.</w:t>
      </w:r>
    </w:p>
    <w:p w:rsidR="00035BE3" w:rsidRDefault="00035BE3" w:rsidP="00C10469">
      <w:pPr>
        <w:pStyle w:val="a6"/>
        <w:ind w:left="422" w:firstLine="0"/>
        <w:rPr>
          <w:rtl/>
        </w:rPr>
      </w:pPr>
      <w:r>
        <w:rPr>
          <w:rFonts w:hint="eastAsia"/>
          <w:rtl/>
        </w:rPr>
        <w:t>وقبل</w:t>
      </w:r>
      <w:r>
        <w:rPr>
          <w:rtl/>
        </w:rPr>
        <w:t xml:space="preserve"> الانتهاء من </w:t>
      </w:r>
      <w:r>
        <w:rPr>
          <w:rFonts w:hint="eastAsia"/>
          <w:rtl/>
        </w:rPr>
        <w:t>توثيق</w:t>
      </w:r>
      <w:r>
        <w:rPr>
          <w:rtl/>
        </w:rPr>
        <w:t xml:space="preserve"> القاعدة يحسن </w:t>
      </w:r>
      <w:r>
        <w:rPr>
          <w:b/>
          <w:bCs/>
          <w:rtl/>
        </w:rPr>
        <w:t>التنبيه</w:t>
      </w:r>
      <w:r>
        <w:rPr>
          <w:rtl/>
        </w:rPr>
        <w:t xml:space="preserve"> على أن للقرافي كلامًا نفيسًا عن هذه القاعدة؛ حيث قال </w:t>
      </w:r>
      <w:r>
        <w:rPr>
          <w:rFonts w:hint="eastAsia"/>
          <w:rtl/>
        </w:rPr>
        <w:t>في</w:t>
      </w:r>
      <w:r>
        <w:rPr>
          <w:rtl/>
        </w:rPr>
        <w:t xml:space="preserve"> أنوا</w:t>
      </w:r>
      <w:r>
        <w:rPr>
          <w:rFonts w:hint="cs"/>
          <w:rtl/>
        </w:rPr>
        <w:t>ر</w:t>
      </w:r>
      <w:r>
        <w:rPr>
          <w:rtl/>
        </w:rPr>
        <w:t xml:space="preserve"> البروق -4/61 - : «اشتهر على ألسنة الفقهاء أن الشهادة على النفي غير </w:t>
      </w:r>
      <w:r>
        <w:rPr>
          <w:rFonts w:hint="eastAsia"/>
          <w:rtl/>
        </w:rPr>
        <w:t>مقبولة</w:t>
      </w:r>
      <w:r>
        <w:rPr>
          <w:rtl/>
        </w:rPr>
        <w:t>.</w:t>
      </w:r>
    </w:p>
    <w:p w:rsidR="00035BE3" w:rsidRDefault="00035BE3" w:rsidP="00C10469">
      <w:pPr>
        <w:pStyle w:val="a6"/>
        <w:ind w:left="422" w:firstLine="0"/>
        <w:rPr>
          <w:rtl/>
        </w:rPr>
      </w:pPr>
      <w:r>
        <w:rPr>
          <w:rFonts w:hint="eastAsia"/>
          <w:rtl/>
        </w:rPr>
        <w:t>وفيه</w:t>
      </w:r>
      <w:r>
        <w:rPr>
          <w:rtl/>
        </w:rPr>
        <w:t xml:space="preserve"> تفصيل :</w:t>
      </w:r>
    </w:p>
    <w:p w:rsidR="00035BE3" w:rsidRDefault="00035BE3" w:rsidP="00C10469">
      <w:pPr>
        <w:pStyle w:val="a6"/>
        <w:ind w:left="-32" w:firstLine="454"/>
        <w:rPr>
          <w:rtl/>
        </w:rPr>
      </w:pPr>
      <w:r>
        <w:rPr>
          <w:rFonts w:hint="cs"/>
          <w:rtl/>
        </w:rPr>
        <w:t xml:space="preserve">- </w:t>
      </w:r>
      <w:r>
        <w:rPr>
          <w:rFonts w:hint="eastAsia"/>
          <w:rtl/>
        </w:rPr>
        <w:t>فإن</w:t>
      </w:r>
      <w:r>
        <w:rPr>
          <w:rtl/>
        </w:rPr>
        <w:t xml:space="preserve"> النفي قد يكون معلومًا بالضّرورة. </w:t>
      </w:r>
    </w:p>
    <w:p w:rsidR="00035BE3" w:rsidRDefault="00035BE3" w:rsidP="00C10469">
      <w:pPr>
        <w:pStyle w:val="a6"/>
        <w:ind w:left="-32" w:firstLine="454"/>
        <w:rPr>
          <w:rtl/>
        </w:rPr>
      </w:pPr>
      <w:r>
        <w:rPr>
          <w:rFonts w:hint="cs"/>
          <w:rtl/>
        </w:rPr>
        <w:t xml:space="preserve">- </w:t>
      </w:r>
      <w:r>
        <w:rPr>
          <w:rFonts w:hint="eastAsia"/>
          <w:rtl/>
        </w:rPr>
        <w:t>أو</w:t>
      </w:r>
      <w:r>
        <w:rPr>
          <w:rtl/>
        </w:rPr>
        <w:t xml:space="preserve"> بالظنّ الغالب الناش</w:t>
      </w:r>
      <w:r>
        <w:rPr>
          <w:rFonts w:hint="cs"/>
          <w:rtl/>
        </w:rPr>
        <w:t>ئ</w:t>
      </w:r>
      <w:r>
        <w:rPr>
          <w:rtl/>
        </w:rPr>
        <w:t xml:space="preserve"> عن الفحص.</w:t>
      </w:r>
    </w:p>
    <w:p w:rsidR="00035BE3" w:rsidRDefault="00035BE3" w:rsidP="00C10469">
      <w:pPr>
        <w:pStyle w:val="a6"/>
        <w:ind w:left="-32" w:firstLine="454"/>
        <w:rPr>
          <w:rtl/>
        </w:rPr>
      </w:pPr>
      <w:r>
        <w:rPr>
          <w:rFonts w:hint="cs"/>
          <w:rtl/>
        </w:rPr>
        <w:t xml:space="preserve">- </w:t>
      </w:r>
      <w:r>
        <w:rPr>
          <w:rFonts w:hint="eastAsia"/>
          <w:rtl/>
        </w:rPr>
        <w:t>وقد</w:t>
      </w:r>
      <w:r>
        <w:rPr>
          <w:rtl/>
        </w:rPr>
        <w:t xml:space="preserve"> يع</w:t>
      </w:r>
      <w:r>
        <w:rPr>
          <w:rFonts w:hint="cs"/>
          <w:rtl/>
        </w:rPr>
        <w:t>ر</w:t>
      </w:r>
      <w:r>
        <w:rPr>
          <w:rtl/>
        </w:rPr>
        <w:t>ى عنهما.</w:t>
      </w:r>
    </w:p>
    <w:p w:rsidR="00035BE3" w:rsidRDefault="00035BE3" w:rsidP="00C10469">
      <w:pPr>
        <w:pStyle w:val="a6"/>
        <w:ind w:left="422" w:firstLine="0"/>
        <w:rPr>
          <w:rtl/>
        </w:rPr>
      </w:pPr>
      <w:r>
        <w:rPr>
          <w:rFonts w:hint="eastAsia"/>
          <w:rtl/>
        </w:rPr>
        <w:t>فهذه</w:t>
      </w:r>
      <w:r>
        <w:rPr>
          <w:rtl/>
        </w:rPr>
        <w:t xml:space="preserve"> </w:t>
      </w:r>
      <w:r>
        <w:rPr>
          <w:rFonts w:hint="eastAsia"/>
          <w:rtl/>
        </w:rPr>
        <w:t>أقسام</w:t>
      </w:r>
      <w:r>
        <w:rPr>
          <w:rtl/>
        </w:rPr>
        <w:t xml:space="preserve"> ثلاثة :</w:t>
      </w:r>
    </w:p>
    <w:p w:rsidR="00035BE3" w:rsidRDefault="00035BE3" w:rsidP="00C10469">
      <w:pPr>
        <w:pStyle w:val="a6"/>
        <w:ind w:left="422" w:firstLine="0"/>
        <w:rPr>
          <w:rtl/>
        </w:rPr>
      </w:pPr>
      <w:r>
        <w:rPr>
          <w:rFonts w:hint="eastAsia"/>
          <w:b/>
          <w:bCs/>
          <w:rtl/>
        </w:rPr>
        <w:t>أما</w:t>
      </w:r>
      <w:r>
        <w:rPr>
          <w:b/>
          <w:bCs/>
          <w:rtl/>
        </w:rPr>
        <w:t xml:space="preserve"> القسم الأول</w:t>
      </w:r>
      <w:r>
        <w:rPr>
          <w:rtl/>
        </w:rPr>
        <w:t xml:space="preserve"> : فتجوز الشهادة به اتفاقًا؛ كما لو شهد أنه ليس في البقعة التي بين يديه فرس </w:t>
      </w:r>
      <w:r>
        <w:rPr>
          <w:rFonts w:hint="eastAsia"/>
          <w:rtl/>
        </w:rPr>
        <w:t>ونحوه،</w:t>
      </w:r>
      <w:r>
        <w:rPr>
          <w:rtl/>
        </w:rPr>
        <w:t xml:space="preserve"> فإنه</w:t>
      </w:r>
      <w:r>
        <w:rPr>
          <w:rFonts w:hint="cs"/>
          <w:rtl/>
        </w:rPr>
        <w:t xml:space="preserve"> يقع [هكذا ! ولعلها : يقطع]</w:t>
      </w:r>
      <w:r>
        <w:rPr>
          <w:rtl/>
        </w:rPr>
        <w:t xml:space="preserve"> بذلك، وليس مع القطع مطلب آخر.</w:t>
      </w:r>
    </w:p>
    <w:p w:rsidR="00035BE3" w:rsidRDefault="00035BE3" w:rsidP="00C10469">
      <w:pPr>
        <w:pStyle w:val="a6"/>
        <w:ind w:left="422" w:firstLine="0"/>
        <w:rPr>
          <w:rtl/>
        </w:rPr>
      </w:pPr>
      <w:r>
        <w:rPr>
          <w:rFonts w:hint="eastAsia"/>
          <w:b/>
          <w:bCs/>
          <w:rtl/>
        </w:rPr>
        <w:t>والثاني</w:t>
      </w:r>
      <w:r>
        <w:rPr>
          <w:rtl/>
        </w:rPr>
        <w:t xml:space="preserve"> : نحو الشهادة في صورٍ، منها : التفليس، وحصر الورثة، فإن الحاصل فيه إنما هو </w:t>
      </w:r>
      <w:r>
        <w:rPr>
          <w:rFonts w:hint="eastAsia"/>
          <w:rtl/>
        </w:rPr>
        <w:t>الظنّ</w:t>
      </w:r>
      <w:r>
        <w:rPr>
          <w:rtl/>
        </w:rPr>
        <w:t xml:space="preserve"> الغالب؛ لأنه يجوز عقلاً حصولُ المال للمفلس، وهو يكتمه، وحصول وارثٍ لا </w:t>
      </w:r>
      <w:r>
        <w:rPr>
          <w:rFonts w:hint="eastAsia"/>
          <w:rtl/>
        </w:rPr>
        <w:t>يُطلَّع</w:t>
      </w:r>
      <w:r>
        <w:rPr>
          <w:rtl/>
        </w:rPr>
        <w:t xml:space="preserve"> عليه. ومن ههنا قول المحدثين ليس هذا الحديث بصحيح بناء على الاستقراء ...</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eastAsia"/>
          <w:b/>
          <w:bCs/>
          <w:rtl/>
        </w:rPr>
        <w:t>والقسم</w:t>
      </w:r>
      <w:r>
        <w:rPr>
          <w:b/>
          <w:bCs/>
          <w:rtl/>
        </w:rPr>
        <w:t xml:space="preserve"> الثالث</w:t>
      </w:r>
      <w:r>
        <w:rPr>
          <w:rtl/>
        </w:rPr>
        <w:t>: نحو: إن</w:t>
      </w:r>
      <w:r>
        <w:rPr>
          <w:rFonts w:hint="cs"/>
          <w:rtl/>
        </w:rPr>
        <w:t>َّ</w:t>
      </w:r>
      <w:r>
        <w:rPr>
          <w:rtl/>
        </w:rPr>
        <w:t xml:space="preserve"> زيدًا ما وفّى الدين الذي عليه، أو ما باع سلعته ونحو ذلك. فإنه نفيٌ </w:t>
      </w:r>
      <w:r>
        <w:rPr>
          <w:rFonts w:hint="eastAsia"/>
          <w:rtl/>
        </w:rPr>
        <w:t>غير</w:t>
      </w:r>
      <w:r>
        <w:rPr>
          <w:rtl/>
        </w:rPr>
        <w:t xml:space="preserve"> منضبط، وإنما يجوز في النفي المنضبط قطعًا أو</w:t>
      </w:r>
      <w:r>
        <w:rPr>
          <w:rFonts w:hint="cs"/>
          <w:rtl/>
        </w:rPr>
        <w:t xml:space="preserve"> </w:t>
      </w:r>
      <w:r>
        <w:rPr>
          <w:rtl/>
        </w:rPr>
        <w:t>ظنًا، وكذلك يجوز : إن</w:t>
      </w:r>
      <w:r>
        <w:rPr>
          <w:rFonts w:hint="cs"/>
          <w:rtl/>
        </w:rPr>
        <w:t>َّ</w:t>
      </w:r>
      <w:r>
        <w:rPr>
          <w:rtl/>
        </w:rPr>
        <w:t xml:space="preserve"> زيدًا لم </w:t>
      </w:r>
      <w:r>
        <w:rPr>
          <w:rFonts w:hint="eastAsia"/>
          <w:rtl/>
        </w:rPr>
        <w:t>يقتُل</w:t>
      </w:r>
      <w:r>
        <w:rPr>
          <w:rtl/>
        </w:rPr>
        <w:t xml:space="preserve"> عمرًا أمس لأنه كان عنده في البيت أو ... فهذه كلها شهادة صحيحة بالنفي، </w:t>
      </w:r>
      <w:r>
        <w:rPr>
          <w:rFonts w:hint="eastAsia"/>
          <w:rtl/>
        </w:rPr>
        <w:t>وإنما</w:t>
      </w:r>
      <w:r>
        <w:rPr>
          <w:rtl/>
        </w:rPr>
        <w:t xml:space="preserve"> يمتنع غير المنضبط</w:t>
      </w:r>
      <w:r>
        <w:rPr>
          <w:rFonts w:hint="cs"/>
          <w:rtl/>
        </w:rPr>
        <w:t>،</w:t>
      </w:r>
      <w:r>
        <w:rPr>
          <w:rtl/>
        </w:rPr>
        <w:t xml:space="preserve"> فاعلم ذلك.</w:t>
      </w:r>
    </w:p>
    <w:p w:rsidR="00035BE3" w:rsidRDefault="00035BE3" w:rsidP="00C10469">
      <w:pPr>
        <w:pStyle w:val="a6"/>
        <w:ind w:left="422" w:firstLine="0"/>
        <w:rPr>
          <w:rtl/>
        </w:rPr>
      </w:pPr>
      <w:r>
        <w:rPr>
          <w:rFonts w:hint="eastAsia"/>
          <w:rtl/>
        </w:rPr>
        <w:t>وبه</w:t>
      </w:r>
      <w:r>
        <w:rPr>
          <w:rtl/>
        </w:rPr>
        <w:t xml:space="preserve"> </w:t>
      </w:r>
      <w:r>
        <w:rPr>
          <w:rFonts w:hint="eastAsia"/>
          <w:rtl/>
        </w:rPr>
        <w:t>يظهر</w:t>
      </w:r>
      <w:r>
        <w:rPr>
          <w:rtl/>
        </w:rPr>
        <w:t xml:space="preserve"> أن قولهم : «الشهادة على النفي غير مقبولة» ليس على عمومه ...».</w:t>
      </w:r>
    </w:p>
  </w:footnote>
  <w:footnote w:id="142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w:t>
      </w:r>
      <w:r>
        <w:rPr>
          <w:rtl/>
        </w:rPr>
        <w:t xml:space="preserve"> به » : زيادة من (ب) و(د).</w:t>
      </w:r>
    </w:p>
  </w:footnote>
  <w:footnote w:id="142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و(د) : «المقبول». والصحيح ما تمَّ </w:t>
      </w:r>
      <w:r>
        <w:rPr>
          <w:rFonts w:hint="eastAsia"/>
          <w:rtl/>
        </w:rPr>
        <w:t>إثباته</w:t>
      </w:r>
      <w:r>
        <w:rPr>
          <w:rtl/>
        </w:rPr>
        <w:t xml:space="preserve"> من (ب) و(جـ).</w:t>
      </w:r>
    </w:p>
  </w:footnote>
  <w:footnote w:id="142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«تيسيرًا»</w:t>
      </w:r>
      <w:r>
        <w:rPr>
          <w:rFonts w:hint="cs"/>
          <w:rtl/>
        </w:rPr>
        <w:t xml:space="preserve"> :</w:t>
      </w:r>
      <w:r>
        <w:rPr>
          <w:rtl/>
        </w:rPr>
        <w:t xml:space="preserve"> ساقطة من (ب) و(د)، وفي (أ) و(جـ) : «تيسير» </w:t>
      </w:r>
      <w:r>
        <w:rPr>
          <w:rFonts w:hint="cs"/>
          <w:rtl/>
        </w:rPr>
        <w:t>(بالرفع)</w:t>
      </w:r>
      <w:r>
        <w:rPr>
          <w:rtl/>
        </w:rPr>
        <w:t xml:space="preserve">. والصحيح ما تمَّ إثباته من (و)؛ لأن الكلمة تُعْرَبُ </w:t>
      </w:r>
      <w:r>
        <w:rPr>
          <w:rFonts w:hint="cs"/>
          <w:rtl/>
        </w:rPr>
        <w:t>مفعولاً لأجله، والمفعول لأجله منصوب.</w:t>
      </w:r>
    </w:p>
  </w:footnote>
  <w:footnote w:id="142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«وكيل»، وفي (ب) و(د) : «دليل» </w:t>
      </w:r>
      <w:r>
        <w:rPr>
          <w:rFonts w:hint="eastAsia"/>
          <w:rtl/>
        </w:rPr>
        <w:t>وفي</w:t>
      </w:r>
      <w:r>
        <w:rPr>
          <w:rtl/>
        </w:rPr>
        <w:t xml:space="preserve"> (و) :  </w:t>
      </w:r>
      <w:r>
        <w:rPr>
          <w:rFonts w:hint="eastAsia"/>
          <w:rtl/>
        </w:rPr>
        <w:t>«ذكر»</w:t>
      </w:r>
      <w:r>
        <w:rPr>
          <w:rtl/>
        </w:rPr>
        <w:t xml:space="preserve">. والصحيح ما في (ب) و(د) </w:t>
      </w:r>
      <w:r>
        <w:rPr>
          <w:rFonts w:hint="eastAsia"/>
          <w:rtl/>
        </w:rPr>
        <w:t>وما</w:t>
      </w:r>
      <w:r>
        <w:rPr>
          <w:rtl/>
        </w:rPr>
        <w:t xml:space="preserve"> في (و) أيضًا.</w:t>
      </w:r>
    </w:p>
  </w:footnote>
  <w:footnote w:id="142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جميع النسخ وفي </w:t>
      </w:r>
      <w:r>
        <w:rPr>
          <w:rFonts w:hint="eastAsia"/>
          <w:rtl/>
        </w:rPr>
        <w:t>مصدر</w:t>
      </w:r>
      <w:r>
        <w:rPr>
          <w:rtl/>
        </w:rPr>
        <w:t xml:space="preserve"> العبارة (وهو الهداية): «عبدي». وهذا الصحيح؛ لأنه هنا لا ينقل معنى كلام </w:t>
      </w:r>
      <w:r>
        <w:rPr>
          <w:rFonts w:hint="eastAsia"/>
          <w:rtl/>
        </w:rPr>
        <w:t>ال</w:t>
      </w:r>
      <w:r>
        <w:rPr>
          <w:rFonts w:hint="cs"/>
          <w:rtl/>
        </w:rPr>
        <w:t>س</w:t>
      </w:r>
      <w:r>
        <w:rPr>
          <w:rFonts w:hint="eastAsia"/>
          <w:rtl/>
        </w:rPr>
        <w:t>يّد؛</w:t>
      </w:r>
      <w:r>
        <w:rPr>
          <w:rtl/>
        </w:rPr>
        <w:t xml:space="preserve"> بل يذكر نصّه</w:t>
      </w:r>
      <w:r>
        <w:rPr>
          <w:rFonts w:hint="cs"/>
          <w:rtl/>
        </w:rPr>
        <w:t>؛</w:t>
      </w:r>
      <w:r>
        <w:rPr>
          <w:rtl/>
        </w:rPr>
        <w:t xml:space="preserve"> بدليل أنه قال عقب ذلك : «حرٌّ إن لم </w:t>
      </w:r>
      <w:r>
        <w:rPr>
          <w:b/>
          <w:bCs/>
          <w:rtl/>
        </w:rPr>
        <w:t>أحج</w:t>
      </w:r>
      <w:r>
        <w:rPr>
          <w:rtl/>
        </w:rPr>
        <w:t>»، ولم يقل : «</w:t>
      </w:r>
      <w:r>
        <w:rPr>
          <w:b/>
          <w:bCs/>
          <w:rtl/>
        </w:rPr>
        <w:t>يحج</w:t>
      </w:r>
      <w:r>
        <w:rPr>
          <w:rtl/>
        </w:rPr>
        <w:t>».</w:t>
      </w:r>
    </w:p>
  </w:footnote>
  <w:footnote w:id="142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 «حج». والصحيح ما تمَّ إثباته من </w:t>
      </w:r>
      <w:r>
        <w:rPr>
          <w:rFonts w:hint="eastAsia"/>
          <w:rtl/>
        </w:rPr>
        <w:t>باقي</w:t>
      </w:r>
      <w:r>
        <w:rPr>
          <w:rtl/>
        </w:rPr>
        <w:t xml:space="preserve"> النسخ.</w:t>
      </w:r>
    </w:p>
  </w:footnote>
  <w:footnote w:id="142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16/أ من (ب).</w:t>
      </w:r>
    </w:p>
  </w:footnote>
  <w:footnote w:id="14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دليل الإمام أبي حنيفة وأبي يوسف.</w:t>
      </w:r>
    </w:p>
  </w:footnote>
  <w:footnote w:id="142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24/أ من (أ).</w:t>
      </w:r>
    </w:p>
  </w:footnote>
  <w:footnote w:id="143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في</w:t>
      </w:r>
      <w:r>
        <w:rPr>
          <w:rtl/>
        </w:rPr>
        <w:t xml:space="preserve"> (أ)</w:t>
      </w:r>
      <w:r>
        <w:rPr>
          <w:rFonts w:hint="cs"/>
          <w:rtl/>
        </w:rPr>
        <w:t>:</w:t>
      </w:r>
      <w:r>
        <w:rPr>
          <w:rtl/>
        </w:rPr>
        <w:t xml:space="preserve"> «الأمر» وكُتب فوقها : «لنفي». </w:t>
      </w:r>
      <w:r>
        <w:rPr>
          <w:rFonts w:hint="eastAsia"/>
          <w:rtl/>
        </w:rPr>
        <w:t>والصحيح</w:t>
      </w:r>
      <w:r>
        <w:rPr>
          <w:rtl/>
        </w:rPr>
        <w:t xml:space="preserve"> ما تمَّ إثباته من باقي النسخ</w:t>
      </w:r>
      <w:r>
        <w:rPr>
          <w:rFonts w:hint="cs"/>
          <w:rtl/>
        </w:rPr>
        <w:t>،</w:t>
      </w:r>
      <w:r>
        <w:rPr>
          <w:rtl/>
        </w:rPr>
        <w:t xml:space="preserve"> و</w:t>
      </w:r>
      <w:r>
        <w:rPr>
          <w:rFonts w:hint="cs"/>
          <w:rtl/>
        </w:rPr>
        <w:t>هو الموافق</w:t>
      </w:r>
      <w:r>
        <w:rPr>
          <w:rtl/>
        </w:rPr>
        <w:t xml:space="preserve"> للهداية.</w:t>
      </w:r>
    </w:p>
  </w:footnote>
  <w:footnote w:id="143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في</w:t>
      </w:r>
      <w:r>
        <w:rPr>
          <w:rtl/>
        </w:rPr>
        <w:t xml:space="preserve"> (ب) و(د) : «يعتبر».</w:t>
      </w:r>
    </w:p>
  </w:footnote>
  <w:footnote w:id="143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في</w:t>
      </w:r>
      <w:r>
        <w:rPr>
          <w:rtl/>
        </w:rPr>
        <w:t xml:space="preserve"> (جـ) : «لا»</w:t>
      </w:r>
      <w:r>
        <w:rPr>
          <w:rFonts w:hint="cs"/>
          <w:rtl/>
        </w:rPr>
        <w:t>، وليس (</w:t>
      </w:r>
      <w:r>
        <w:rPr>
          <w:rtl/>
        </w:rPr>
        <w:t xml:space="preserve"> لم </w:t>
      </w:r>
      <w:r>
        <w:rPr>
          <w:rFonts w:hint="cs"/>
          <w:rtl/>
        </w:rPr>
        <w:t>).</w:t>
      </w:r>
      <w:r>
        <w:rPr>
          <w:rtl/>
        </w:rPr>
        <w:t xml:space="preserve"> </w:t>
      </w:r>
    </w:p>
  </w:footnote>
  <w:footnote w:id="143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الواو</w:t>
      </w:r>
      <w:r>
        <w:rPr>
          <w:rtl/>
        </w:rPr>
        <w:t xml:space="preserve"> ساقطة من (جـ).</w:t>
      </w:r>
    </w:p>
  </w:footnote>
  <w:footnote w:id="143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في</w:t>
      </w:r>
      <w:r>
        <w:rPr>
          <w:rtl/>
        </w:rPr>
        <w:t xml:space="preserve"> </w:t>
      </w:r>
      <w:r>
        <w:rPr>
          <w:rFonts w:hint="cs"/>
          <w:rtl/>
        </w:rPr>
        <w:t xml:space="preserve">(أ) و(ب) : </w:t>
      </w:r>
      <w:r>
        <w:rPr>
          <w:rtl/>
        </w:rPr>
        <w:t>«</w:t>
      </w:r>
      <w:r>
        <w:rPr>
          <w:rFonts w:hint="cs"/>
          <w:rtl/>
        </w:rPr>
        <w:t>تيسير</w:t>
      </w:r>
      <w:r>
        <w:rPr>
          <w:rtl/>
        </w:rPr>
        <w:t>»</w:t>
      </w:r>
      <w:r>
        <w:rPr>
          <w:rFonts w:hint="cs"/>
          <w:rtl/>
        </w:rPr>
        <w:t xml:space="preserve"> وفي (جـ)</w:t>
      </w:r>
      <w:r>
        <w:rPr>
          <w:rtl/>
        </w:rPr>
        <w:t xml:space="preserve"> «تيثسرًا»، وفي (د): «تـ</w:t>
      </w:r>
      <w:r>
        <w:rPr>
          <w:rFonts w:hint="cs"/>
          <w:rtl/>
        </w:rPr>
        <w:t>ث</w:t>
      </w:r>
      <w:r>
        <w:rPr>
          <w:rtl/>
        </w:rPr>
        <w:t>يسر»</w:t>
      </w:r>
      <w:r>
        <w:rPr>
          <w:rFonts w:hint="cs"/>
          <w:rtl/>
        </w:rPr>
        <w:t>.</w:t>
      </w:r>
      <w:r>
        <w:rPr>
          <w:rtl/>
        </w:rPr>
        <w:t xml:space="preserve"> </w:t>
      </w:r>
      <w:r>
        <w:rPr>
          <w:rFonts w:hint="eastAsia"/>
          <w:rtl/>
        </w:rPr>
        <w:t>والصحيح</w:t>
      </w:r>
      <w:r>
        <w:rPr>
          <w:rtl/>
        </w:rPr>
        <w:t>:</w:t>
      </w:r>
      <w:r>
        <w:rPr>
          <w:rFonts w:hint="cs"/>
          <w:rtl/>
        </w:rPr>
        <w:t xml:space="preserve"> ما تمّ إثباته من (و)</w:t>
      </w:r>
      <w:r>
        <w:rPr>
          <w:rtl/>
        </w:rPr>
        <w:t xml:space="preserve"> (بالنصب)؛ لأنها </w:t>
      </w:r>
      <w:r>
        <w:rPr>
          <w:rFonts w:hint="cs"/>
          <w:rtl/>
        </w:rPr>
        <w:t>مفعول لأجله، وهو الموافق</w:t>
      </w:r>
      <w:r>
        <w:rPr>
          <w:rtl/>
        </w:rPr>
        <w:t xml:space="preserve"> للهداية، حيث جاء فيها</w:t>
      </w:r>
      <w:r>
        <w:rPr>
          <w:rFonts w:hint="cs"/>
          <w:rtl/>
        </w:rPr>
        <w:t xml:space="preserve"> :</w:t>
      </w:r>
      <w:r>
        <w:rPr>
          <w:rtl/>
        </w:rPr>
        <w:t xml:space="preserve"> «... </w:t>
      </w:r>
      <w:r>
        <w:rPr>
          <w:rFonts w:hint="eastAsia"/>
          <w:rtl/>
        </w:rPr>
        <w:t>مما</w:t>
      </w:r>
      <w:r>
        <w:rPr>
          <w:rtl/>
        </w:rPr>
        <w:t xml:space="preserve"> يحيط علم الشاهد به، ولكنه لا يميز بين نفي ونفي تيسيرًا».</w:t>
      </w:r>
    </w:p>
  </w:footnote>
  <w:footnote w:id="143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الهداية،</w:t>
      </w:r>
      <w:r>
        <w:rPr>
          <w:rtl/>
        </w:rPr>
        <w:t xml:space="preserve"> 5/184-185- مع اختلاف سبقت الإشارة </w:t>
      </w:r>
      <w:r>
        <w:rPr>
          <w:rFonts w:hint="eastAsia"/>
          <w:rtl/>
        </w:rPr>
        <w:t>إلى</w:t>
      </w:r>
      <w:r>
        <w:rPr>
          <w:rtl/>
        </w:rPr>
        <w:t xml:space="preserve"> أهمه - علمًا بأنه جاء في (ب) و(د) زيادة: «الاطلاع عليه»</w:t>
      </w:r>
      <w:r>
        <w:rPr>
          <w:rFonts w:hint="cs"/>
          <w:rtl/>
        </w:rPr>
        <w:t>-</w:t>
      </w:r>
      <w:r>
        <w:rPr>
          <w:rtl/>
        </w:rPr>
        <w:t>.</w:t>
      </w:r>
    </w:p>
    <w:p w:rsidR="00035BE3" w:rsidRDefault="00035BE3" w:rsidP="00C10469">
      <w:pPr>
        <w:pStyle w:val="a6"/>
        <w:spacing w:line="228" w:lineRule="auto"/>
        <w:ind w:left="420" w:firstLine="0"/>
        <w:rPr>
          <w:spacing w:val="-8"/>
          <w:rtl/>
        </w:rPr>
      </w:pPr>
      <w:r>
        <w:rPr>
          <w:rFonts w:hint="eastAsia"/>
          <w:spacing w:val="-8"/>
          <w:rtl/>
        </w:rPr>
        <w:t>وكلام</w:t>
      </w:r>
      <w:r>
        <w:rPr>
          <w:spacing w:val="-8"/>
          <w:rtl/>
        </w:rPr>
        <w:t xml:space="preserve"> صاحب </w:t>
      </w:r>
      <w:r>
        <w:rPr>
          <w:rFonts w:hint="eastAsia"/>
          <w:spacing w:val="-8"/>
          <w:rtl/>
        </w:rPr>
        <w:t>الهداية</w:t>
      </w:r>
      <w:r>
        <w:rPr>
          <w:spacing w:val="-8"/>
          <w:rtl/>
        </w:rPr>
        <w:t xml:space="preserve"> هذا نقله أيضًا صاحب البحر الرائق، 4/387، وقال عقبه: «وحاصل</w:t>
      </w:r>
      <w:r>
        <w:rPr>
          <w:rFonts w:hint="cs"/>
          <w:spacing w:val="-8"/>
          <w:rtl/>
        </w:rPr>
        <w:t>ه</w:t>
      </w:r>
      <w:r>
        <w:rPr>
          <w:spacing w:val="-8"/>
          <w:rtl/>
        </w:rPr>
        <w:t xml:space="preserve"> : أنه </w:t>
      </w:r>
      <w:r>
        <w:rPr>
          <w:rFonts w:hint="eastAsia"/>
          <w:spacing w:val="-8"/>
          <w:rtl/>
        </w:rPr>
        <w:t>لا</w:t>
      </w:r>
      <w:r>
        <w:rPr>
          <w:spacing w:val="-8"/>
          <w:rtl/>
        </w:rPr>
        <w:t xml:space="preserve"> يفصل في النفي بين أن يحيط به علم الشاهد فتقبل الشهادة، أوْلا فلا؛ بل لا تقبل </w:t>
      </w:r>
      <w:r>
        <w:rPr>
          <w:rFonts w:hint="eastAsia"/>
          <w:spacing w:val="-8"/>
          <w:rtl/>
        </w:rPr>
        <w:t>الشهادة</w:t>
      </w:r>
      <w:r>
        <w:rPr>
          <w:spacing w:val="-8"/>
          <w:rtl/>
        </w:rPr>
        <w:t xml:space="preserve"> على النـفي مطلقًا».</w:t>
      </w:r>
    </w:p>
  </w:footnote>
  <w:footnote w:id="1436">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ومن</w:t>
      </w:r>
      <w:r>
        <w:rPr>
          <w:rtl/>
        </w:rPr>
        <w:t xml:space="preserve"> هذه الكت</w:t>
      </w:r>
      <w:r>
        <w:rPr>
          <w:rFonts w:hint="cs"/>
          <w:rtl/>
        </w:rPr>
        <w:t>ـ</w:t>
      </w:r>
      <w:r>
        <w:rPr>
          <w:rtl/>
        </w:rPr>
        <w:t xml:space="preserve">ب : الهداية والبحر -كما مرّ في </w:t>
      </w:r>
      <w:r>
        <w:rPr>
          <w:rFonts w:hint="eastAsia"/>
          <w:rtl/>
        </w:rPr>
        <w:t>الهامش</w:t>
      </w:r>
      <w:r>
        <w:rPr>
          <w:rtl/>
        </w:rPr>
        <w:t xml:space="preserve"> السابق-؛ الكـنـز وشرحه : تبيين الحقائق، 3/153-154؛ الدّرر شرح الغرر، 2/55.</w:t>
      </w:r>
    </w:p>
  </w:footnote>
  <w:footnote w:id="1437">
    <w:p w:rsidR="00035BE3" w:rsidRDefault="00035BE3" w:rsidP="00C10469">
      <w:pPr>
        <w:pStyle w:val="a8"/>
        <w:bidi/>
        <w:spacing w:line="228" w:lineRule="auto"/>
        <w:ind w:left="420" w:right="0"/>
        <w:rPr>
          <w:spacing w:val="-4"/>
          <w:rtl/>
        </w:rPr>
      </w:pPr>
      <w:r>
        <w:rPr>
          <w:spacing w:val="-4"/>
          <w:vertAlign w:val="superscript"/>
          <w:rtl/>
        </w:rPr>
        <w:t>(</w:t>
      </w:r>
      <w:r>
        <w:rPr>
          <w:rStyle w:val="a7"/>
          <w:spacing w:val="-4"/>
        </w:rPr>
        <w:footnoteRef/>
      </w:r>
      <w:r>
        <w:rPr>
          <w:spacing w:val="-4"/>
          <w:vertAlign w:val="superscript"/>
          <w:rtl/>
        </w:rPr>
        <w:t>)</w:t>
      </w:r>
      <w:r>
        <w:rPr>
          <w:spacing w:val="-4"/>
          <w:rtl/>
        </w:rPr>
        <w:t xml:space="preserve">   </w:t>
      </w:r>
      <w:r>
        <w:rPr>
          <w:rFonts w:hint="eastAsia"/>
          <w:spacing w:val="-4"/>
          <w:rtl/>
        </w:rPr>
        <w:t>الدّرر</w:t>
      </w:r>
      <w:r>
        <w:rPr>
          <w:spacing w:val="-4"/>
          <w:rtl/>
        </w:rPr>
        <w:t xml:space="preserve"> شرح الغرر، 2/55. وتمام عبارته: «كذا </w:t>
      </w:r>
      <w:r>
        <w:rPr>
          <w:rFonts w:hint="eastAsia"/>
          <w:spacing w:val="-4"/>
          <w:rtl/>
        </w:rPr>
        <w:t>في</w:t>
      </w:r>
      <w:r>
        <w:rPr>
          <w:spacing w:val="-4"/>
          <w:rtl/>
        </w:rPr>
        <w:t xml:space="preserve"> الهداية والكافي وغيرهما، لكن</w:t>
      </w:r>
      <w:r>
        <w:rPr>
          <w:rFonts w:hint="cs"/>
          <w:spacing w:val="-4"/>
          <w:rtl/>
        </w:rPr>
        <w:t>ه</w:t>
      </w:r>
      <w:r>
        <w:rPr>
          <w:spacing w:val="-4"/>
          <w:rtl/>
        </w:rPr>
        <w:t xml:space="preserve"> مخالف لما تقرر في كتب </w:t>
      </w:r>
      <w:r w:rsidRPr="00AF72E0">
        <w:rPr>
          <w:spacing w:val="-6"/>
          <w:rtl/>
        </w:rPr>
        <w:t xml:space="preserve">الأصول: أن النفي إذا كان </w:t>
      </w:r>
      <w:r w:rsidRPr="00AF72E0">
        <w:rPr>
          <w:rFonts w:hint="eastAsia"/>
          <w:spacing w:val="-6"/>
          <w:rtl/>
        </w:rPr>
        <w:t>محصورًا</w:t>
      </w:r>
      <w:r w:rsidRPr="00AF72E0">
        <w:rPr>
          <w:spacing w:val="-6"/>
          <w:rtl/>
        </w:rPr>
        <w:t xml:space="preserve"> أحاط به علم الشاهد كان مثل الإثبات»</w:t>
      </w:r>
      <w:r w:rsidRPr="00AF72E0">
        <w:rPr>
          <w:rFonts w:hint="cs"/>
          <w:spacing w:val="-6"/>
          <w:rtl/>
        </w:rPr>
        <w:t>.</w:t>
      </w:r>
      <w:r w:rsidRPr="00AF72E0">
        <w:rPr>
          <w:spacing w:val="-6"/>
          <w:rtl/>
        </w:rPr>
        <w:t xml:space="preserve"> انتهى كلام صاحب </w:t>
      </w:r>
      <w:r w:rsidRPr="00AF72E0">
        <w:rPr>
          <w:rFonts w:hint="cs"/>
          <w:spacing w:val="-6"/>
          <w:rtl/>
        </w:rPr>
        <w:t>(</w:t>
      </w:r>
      <w:r w:rsidRPr="00AF72E0">
        <w:rPr>
          <w:spacing w:val="-6"/>
          <w:rtl/>
        </w:rPr>
        <w:t>الدّرر</w:t>
      </w:r>
      <w:r w:rsidRPr="00AF72E0">
        <w:rPr>
          <w:rFonts w:hint="cs"/>
          <w:spacing w:val="-6"/>
          <w:rtl/>
        </w:rPr>
        <w:t>)</w:t>
      </w:r>
      <w:r w:rsidRPr="00AF72E0">
        <w:rPr>
          <w:spacing w:val="-6"/>
          <w:rtl/>
        </w:rPr>
        <w:t>.</w:t>
      </w:r>
    </w:p>
    <w:p w:rsidR="00035BE3" w:rsidRDefault="00035BE3" w:rsidP="00C10469">
      <w:pPr>
        <w:pStyle w:val="a6"/>
        <w:spacing w:line="228" w:lineRule="auto"/>
        <w:ind w:left="420" w:firstLine="0"/>
        <w:rPr>
          <w:spacing w:val="-10"/>
          <w:rtl/>
        </w:rPr>
      </w:pPr>
      <w:r>
        <w:rPr>
          <w:rFonts w:hint="eastAsia"/>
          <w:spacing w:val="-10"/>
          <w:rtl/>
        </w:rPr>
        <w:t>ولو</w:t>
      </w:r>
      <w:r>
        <w:rPr>
          <w:spacing w:val="-10"/>
          <w:rtl/>
        </w:rPr>
        <w:t xml:space="preserve"> عدتَ إلى كلام </w:t>
      </w:r>
      <w:r>
        <w:rPr>
          <w:rFonts w:hint="eastAsia"/>
          <w:spacing w:val="-10"/>
          <w:rtl/>
        </w:rPr>
        <w:t>المؤلف</w:t>
      </w:r>
      <w:r>
        <w:rPr>
          <w:spacing w:val="-10"/>
          <w:rtl/>
        </w:rPr>
        <w:t xml:space="preserve"> : فإنه </w:t>
      </w:r>
      <w:r>
        <w:rPr>
          <w:rFonts w:hint="cs"/>
          <w:spacing w:val="-10"/>
          <w:rtl/>
        </w:rPr>
        <w:t>سيبين</w:t>
      </w:r>
      <w:r>
        <w:rPr>
          <w:spacing w:val="-10"/>
          <w:rtl/>
        </w:rPr>
        <w:t xml:space="preserve"> ما أجمله</w:t>
      </w:r>
      <w:r>
        <w:rPr>
          <w:rFonts w:hint="cs"/>
          <w:spacing w:val="-10"/>
          <w:rtl/>
        </w:rPr>
        <w:t xml:space="preserve"> -هنا-</w:t>
      </w:r>
      <w:r>
        <w:rPr>
          <w:spacing w:val="-10"/>
          <w:rtl/>
        </w:rPr>
        <w:t xml:space="preserve"> من كتب الأصوليين بنقل أقوال ثلاثة من الأصوليين :</w:t>
      </w:r>
    </w:p>
    <w:p w:rsidR="00035BE3" w:rsidRDefault="00035BE3" w:rsidP="00C10469">
      <w:pPr>
        <w:pStyle w:val="a6"/>
        <w:spacing w:line="228" w:lineRule="auto"/>
        <w:ind w:left="420" w:firstLine="0"/>
        <w:rPr>
          <w:rtl/>
        </w:rPr>
      </w:pPr>
      <w:r>
        <w:rPr>
          <w:rFonts w:hint="eastAsia"/>
          <w:b/>
          <w:bCs/>
          <w:rtl/>
        </w:rPr>
        <w:t>الأول</w:t>
      </w:r>
      <w:r>
        <w:rPr>
          <w:b/>
          <w:bCs/>
          <w:rtl/>
        </w:rPr>
        <w:t xml:space="preserve"> </w:t>
      </w:r>
      <w:r>
        <w:rPr>
          <w:rtl/>
        </w:rPr>
        <w:t xml:space="preserve">: </w:t>
      </w:r>
      <w:r>
        <w:rPr>
          <w:rFonts w:hint="eastAsia"/>
          <w:rtl/>
        </w:rPr>
        <w:t>صاحب</w:t>
      </w:r>
      <w:r>
        <w:rPr>
          <w:rtl/>
        </w:rPr>
        <w:t xml:space="preserve"> المغني - وقد نقل كلامه من المغني مباشرة-</w:t>
      </w:r>
    </w:p>
    <w:p w:rsidR="00035BE3" w:rsidRDefault="00035BE3" w:rsidP="00C10469">
      <w:pPr>
        <w:pStyle w:val="a6"/>
        <w:spacing w:line="228" w:lineRule="auto"/>
        <w:ind w:left="420" w:firstLine="0"/>
        <w:rPr>
          <w:rtl/>
        </w:rPr>
      </w:pPr>
      <w:r>
        <w:rPr>
          <w:rFonts w:hint="eastAsia"/>
          <w:b/>
          <w:bCs/>
          <w:rtl/>
        </w:rPr>
        <w:t>الثاني</w:t>
      </w:r>
      <w:r>
        <w:rPr>
          <w:b/>
          <w:bCs/>
          <w:rtl/>
        </w:rPr>
        <w:t xml:space="preserve"> والثالث</w:t>
      </w:r>
      <w:r>
        <w:rPr>
          <w:rtl/>
        </w:rPr>
        <w:t xml:space="preserve"> : هما الفخر البزدوي والشمس السرخسي - وقد نقل كلامهما بواسطة (العناية)- وسوف </w:t>
      </w:r>
      <w:r>
        <w:rPr>
          <w:rFonts w:hint="eastAsia"/>
          <w:rtl/>
        </w:rPr>
        <w:t>يأتي</w:t>
      </w:r>
      <w:r>
        <w:rPr>
          <w:rtl/>
        </w:rPr>
        <w:t xml:space="preserve"> توثيق كلامهم عقب العبارات المنقولة عنهم.</w:t>
      </w:r>
    </w:p>
  </w:footnote>
  <w:footnote w:id="1438">
    <w:p w:rsidR="00035BE3" w:rsidRDefault="00035BE3" w:rsidP="00C10469">
      <w:pPr>
        <w:pStyle w:val="a8"/>
        <w:bidi/>
        <w:spacing w:line="228" w:lineRule="auto"/>
        <w:ind w:left="420" w:right="0"/>
        <w:rPr>
          <w:spacing w:val="-8"/>
          <w:rtl/>
        </w:rPr>
      </w:pPr>
      <w:r>
        <w:rPr>
          <w:spacing w:val="-8"/>
          <w:vertAlign w:val="superscript"/>
          <w:rtl/>
        </w:rPr>
        <w:t>(</w:t>
      </w:r>
      <w:r>
        <w:rPr>
          <w:rStyle w:val="a7"/>
          <w:spacing w:val="-8"/>
        </w:rPr>
        <w:footnoteRef/>
      </w:r>
      <w:r>
        <w:rPr>
          <w:spacing w:val="-8"/>
          <w:vertAlign w:val="superscript"/>
          <w:rtl/>
        </w:rPr>
        <w:t>)</w:t>
      </w:r>
      <w:r>
        <w:rPr>
          <w:spacing w:val="-8"/>
          <w:rtl/>
        </w:rPr>
        <w:t xml:space="preserve">   </w:t>
      </w:r>
      <w:r>
        <w:rPr>
          <w:rFonts w:hint="cs"/>
          <w:spacing w:val="-8"/>
          <w:rtl/>
        </w:rPr>
        <w:t xml:space="preserve"> </w:t>
      </w:r>
      <w:r>
        <w:rPr>
          <w:rFonts w:hint="eastAsia"/>
          <w:b/>
          <w:bCs/>
          <w:spacing w:val="-8"/>
          <w:rtl/>
        </w:rPr>
        <w:t>المغني</w:t>
      </w:r>
      <w:r>
        <w:rPr>
          <w:spacing w:val="-8"/>
          <w:rtl/>
        </w:rPr>
        <w:t xml:space="preserve">: كتاب في الأصول على طريقة </w:t>
      </w:r>
      <w:r>
        <w:rPr>
          <w:rFonts w:hint="eastAsia"/>
          <w:spacing w:val="-8"/>
          <w:rtl/>
        </w:rPr>
        <w:t>الفقهاء</w:t>
      </w:r>
      <w:r>
        <w:rPr>
          <w:spacing w:val="-8"/>
          <w:rtl/>
        </w:rPr>
        <w:t xml:space="preserve"> (الحنفية)، لخّصه صاحبه من أصول البزدوي وأصول السرخسي.</w:t>
      </w:r>
    </w:p>
    <w:p w:rsidR="00035BE3" w:rsidRDefault="00035BE3" w:rsidP="00C10469">
      <w:pPr>
        <w:pStyle w:val="a6"/>
        <w:ind w:left="422" w:firstLine="0"/>
        <w:rPr>
          <w:rtl/>
        </w:rPr>
      </w:pPr>
      <w:r>
        <w:rPr>
          <w:rFonts w:hint="eastAsia"/>
          <w:rtl/>
        </w:rPr>
        <w:t>وقد</w:t>
      </w:r>
      <w:r>
        <w:rPr>
          <w:rtl/>
        </w:rPr>
        <w:t xml:space="preserve"> أكثر مؤلفه في </w:t>
      </w:r>
      <w:r>
        <w:rPr>
          <w:rFonts w:hint="eastAsia"/>
          <w:rtl/>
        </w:rPr>
        <w:t>إيجاز</w:t>
      </w:r>
      <w:r>
        <w:rPr>
          <w:rtl/>
        </w:rPr>
        <w:t xml:space="preserve"> العبارة؛ مما جعله في أمس الحاجة إلى الشرح، فشرحه المؤلف نفسه، </w:t>
      </w:r>
      <w:r>
        <w:rPr>
          <w:rFonts w:hint="cs"/>
          <w:rtl/>
        </w:rPr>
        <w:t>ك</w:t>
      </w:r>
      <w:r>
        <w:rPr>
          <w:rtl/>
        </w:rPr>
        <w:t xml:space="preserve">ما شرحه </w:t>
      </w:r>
      <w:r>
        <w:rPr>
          <w:rFonts w:hint="eastAsia"/>
          <w:rtl/>
        </w:rPr>
        <w:t>غيره</w:t>
      </w:r>
      <w:r>
        <w:rPr>
          <w:rtl/>
        </w:rPr>
        <w:t xml:space="preserve"> من العلماء.</w:t>
      </w:r>
      <w:r>
        <w:rPr>
          <w:rFonts w:hint="cs"/>
          <w:rtl/>
        </w:rPr>
        <w:tab/>
        <w:t xml:space="preserve">                                                                       </w:t>
      </w:r>
    </w:p>
    <w:p w:rsidR="00035BE3" w:rsidRDefault="00035BE3" w:rsidP="00C10469">
      <w:pPr>
        <w:pStyle w:val="a6"/>
        <w:ind w:left="422" w:firstLine="0"/>
        <w:rPr>
          <w:rtl/>
        </w:rPr>
      </w:pPr>
      <w:r>
        <w:rPr>
          <w:rFonts w:hint="eastAsia"/>
          <w:rtl/>
        </w:rPr>
        <w:t>و</w:t>
      </w:r>
      <w:r>
        <w:rPr>
          <w:rtl/>
        </w:rPr>
        <w:t xml:space="preserve">(المغني) من </w:t>
      </w:r>
      <w:r>
        <w:rPr>
          <w:rFonts w:hint="cs"/>
          <w:rtl/>
        </w:rPr>
        <w:t>الـ</w:t>
      </w:r>
      <w:r>
        <w:rPr>
          <w:rtl/>
        </w:rPr>
        <w:t>كت</w:t>
      </w:r>
      <w:r>
        <w:rPr>
          <w:rFonts w:hint="cs"/>
          <w:rtl/>
        </w:rPr>
        <w:t>ـ</w:t>
      </w:r>
      <w:r>
        <w:rPr>
          <w:rtl/>
        </w:rPr>
        <w:t xml:space="preserve">ب </w:t>
      </w:r>
      <w:r>
        <w:rPr>
          <w:rFonts w:hint="eastAsia"/>
          <w:rtl/>
        </w:rPr>
        <w:t>المطبوعة</w:t>
      </w:r>
      <w:r>
        <w:rPr>
          <w:rtl/>
        </w:rPr>
        <w:t xml:space="preserve"> المتداولة، حيث طبعته جامعة أم القرى الطبعة الأولى</w:t>
      </w:r>
      <w:r>
        <w:rPr>
          <w:rFonts w:hint="cs"/>
          <w:rtl/>
        </w:rPr>
        <w:t>،</w:t>
      </w:r>
      <w:r>
        <w:rPr>
          <w:rtl/>
        </w:rPr>
        <w:t xml:space="preserve"> عام 1403 هـ بتحقيق </w:t>
      </w:r>
      <w:r>
        <w:rPr>
          <w:rFonts w:hint="eastAsia"/>
          <w:rtl/>
        </w:rPr>
        <w:t>د</w:t>
      </w:r>
      <w:r>
        <w:rPr>
          <w:rtl/>
        </w:rPr>
        <w:t>. محمد مظهَر بقا.</w:t>
      </w:r>
    </w:p>
    <w:p w:rsidR="00035BE3" w:rsidRDefault="00035BE3" w:rsidP="00C10469">
      <w:pPr>
        <w:pStyle w:val="a6"/>
        <w:spacing w:line="221" w:lineRule="auto"/>
        <w:ind w:left="420" w:firstLine="0"/>
        <w:rPr>
          <w:spacing w:val="-6"/>
          <w:rtl/>
        </w:rPr>
      </w:pPr>
      <w:r>
        <w:rPr>
          <w:rFonts w:hint="eastAsia"/>
          <w:b/>
          <w:bCs/>
          <w:spacing w:val="-6"/>
          <w:rtl/>
        </w:rPr>
        <w:t>أما</w:t>
      </w:r>
      <w:r>
        <w:rPr>
          <w:b/>
          <w:bCs/>
          <w:spacing w:val="-6"/>
          <w:rtl/>
        </w:rPr>
        <w:t xml:space="preserve"> صاحب المغني</w:t>
      </w:r>
      <w:r>
        <w:rPr>
          <w:spacing w:val="-6"/>
          <w:rtl/>
        </w:rPr>
        <w:t xml:space="preserve"> : فهو عمر بن محمد بن عمر، أبو محمد الخبَّازي الخُـجَنْدي (629هـ-691هـ)، </w:t>
      </w:r>
      <w:r>
        <w:rPr>
          <w:rFonts w:hint="eastAsia"/>
          <w:spacing w:val="-6"/>
          <w:rtl/>
        </w:rPr>
        <w:t>والخُجَنْدي</w:t>
      </w:r>
      <w:r>
        <w:rPr>
          <w:spacing w:val="-6"/>
          <w:rtl/>
        </w:rPr>
        <w:t xml:space="preserve"> : نسبة إلى خُجَنْدَة «وهي بلدة مشهورة بما وراء النهر على شاطئ سيحون»</w:t>
      </w:r>
      <w:r>
        <w:rPr>
          <w:rFonts w:hint="cs"/>
          <w:spacing w:val="-6"/>
          <w:rtl/>
        </w:rPr>
        <w:t xml:space="preserve"> ـ</w:t>
      </w:r>
      <w:r>
        <w:rPr>
          <w:spacing w:val="-6"/>
          <w:rtl/>
        </w:rPr>
        <w:t xml:space="preserve"> </w:t>
      </w:r>
      <w:r>
        <w:rPr>
          <w:rFonts w:hint="eastAsia"/>
          <w:spacing w:val="-6"/>
          <w:rtl/>
        </w:rPr>
        <w:t>قاله</w:t>
      </w:r>
      <w:r>
        <w:rPr>
          <w:spacing w:val="-6"/>
          <w:rtl/>
        </w:rPr>
        <w:t xml:space="preserve"> الحموي</w:t>
      </w:r>
      <w:r>
        <w:rPr>
          <w:rFonts w:hint="cs"/>
          <w:spacing w:val="-6"/>
          <w:rtl/>
        </w:rPr>
        <w:t xml:space="preserve"> ـ وهي الآن تقع شمال جمهورية طاجكستان</w:t>
      </w:r>
      <w:r>
        <w:rPr>
          <w:spacing w:val="-6"/>
          <w:rtl/>
        </w:rPr>
        <w:t>.</w:t>
      </w:r>
    </w:p>
    <w:p w:rsidR="00035BE3" w:rsidRDefault="00035BE3" w:rsidP="00C10469">
      <w:pPr>
        <w:pStyle w:val="a6"/>
        <w:spacing w:line="221" w:lineRule="auto"/>
        <w:ind w:left="420" w:firstLine="0"/>
        <w:rPr>
          <w:rtl/>
        </w:rPr>
      </w:pPr>
      <w:r>
        <w:rPr>
          <w:rFonts w:hint="eastAsia"/>
          <w:rtl/>
        </w:rPr>
        <w:t>كان</w:t>
      </w:r>
      <w:r>
        <w:rPr>
          <w:rtl/>
        </w:rPr>
        <w:t xml:space="preserve"> فقيهًا</w:t>
      </w:r>
      <w:r>
        <w:rPr>
          <w:rStyle w:val="a7"/>
          <w:bCs w:val="0"/>
          <w:rtl/>
        </w:rPr>
        <w:t xml:space="preserve"> </w:t>
      </w:r>
      <w:r>
        <w:rPr>
          <w:rFonts w:hint="cs"/>
          <w:rtl/>
        </w:rPr>
        <w:t>أصوليًّا،</w:t>
      </w:r>
      <w:r>
        <w:rPr>
          <w:rStyle w:val="a7"/>
          <w:bCs w:val="0"/>
          <w:rtl/>
        </w:rPr>
        <w:t xml:space="preserve"> من مؤلفاته : شرح الهداية للمرغيناني </w:t>
      </w:r>
      <w:r>
        <w:rPr>
          <w:rtl/>
        </w:rPr>
        <w:t xml:space="preserve">(ت 593هـ) إلا أنه لم يتمّه، والمغني في أصول </w:t>
      </w:r>
      <w:r>
        <w:rPr>
          <w:rFonts w:hint="eastAsia"/>
          <w:rtl/>
        </w:rPr>
        <w:t>الفقه،</w:t>
      </w:r>
      <w:r>
        <w:rPr>
          <w:rtl/>
        </w:rPr>
        <w:t xml:space="preserve"> وشرحه أيضًا.</w:t>
      </w:r>
    </w:p>
    <w:p w:rsidR="00035BE3" w:rsidRDefault="00035BE3" w:rsidP="00C10469">
      <w:pPr>
        <w:pStyle w:val="a6"/>
        <w:spacing w:line="221" w:lineRule="auto"/>
        <w:ind w:left="420" w:firstLine="0"/>
        <w:rPr>
          <w:rStyle w:val="a7"/>
          <w:spacing w:val="-6"/>
          <w:rtl/>
        </w:rPr>
      </w:pPr>
      <w:r>
        <w:rPr>
          <w:rFonts w:hint="eastAsia"/>
          <w:spacing w:val="-6"/>
          <w:rtl/>
        </w:rPr>
        <w:t>انظر</w:t>
      </w:r>
      <w:r>
        <w:rPr>
          <w:spacing w:val="-6"/>
          <w:rtl/>
        </w:rPr>
        <w:t xml:space="preserve"> : الجواهر </w:t>
      </w:r>
      <w:r>
        <w:rPr>
          <w:rFonts w:hint="eastAsia"/>
          <w:spacing w:val="-6"/>
          <w:rtl/>
        </w:rPr>
        <w:t>المضية،</w:t>
      </w:r>
      <w:r>
        <w:rPr>
          <w:spacing w:val="-6"/>
          <w:rtl/>
        </w:rPr>
        <w:t xml:space="preserve"> 2/66</w:t>
      </w:r>
      <w:r>
        <w:rPr>
          <w:rFonts w:hint="cs"/>
          <w:spacing w:val="-6"/>
          <w:rtl/>
        </w:rPr>
        <w:t>8</w:t>
      </w:r>
      <w:r>
        <w:rPr>
          <w:spacing w:val="-6"/>
          <w:rtl/>
        </w:rPr>
        <w:t>-6</w:t>
      </w:r>
      <w:r>
        <w:rPr>
          <w:rFonts w:hint="cs"/>
          <w:spacing w:val="-6"/>
          <w:rtl/>
        </w:rPr>
        <w:t>69</w:t>
      </w:r>
      <w:r>
        <w:rPr>
          <w:spacing w:val="-6"/>
          <w:rtl/>
        </w:rPr>
        <w:t xml:space="preserve">، رقم 1072؛ تاج التراجم، ص 164-165، رقم 185؛ مفتاح السعادة، 2/168؛ كشف الظنون، 2/1749، 2033؛ الفوائد البهية، ص151؛ هدية العارفين، 1/787؛ </w:t>
      </w:r>
      <w:r>
        <w:rPr>
          <w:rFonts w:hint="eastAsia"/>
          <w:spacing w:val="-6"/>
          <w:rtl/>
        </w:rPr>
        <w:t>مقدمة</w:t>
      </w:r>
      <w:r>
        <w:rPr>
          <w:spacing w:val="-6"/>
          <w:rtl/>
        </w:rPr>
        <w:t xml:space="preserve"> تحقيق المغني، ص7-15؛ </w:t>
      </w:r>
      <w:r>
        <w:rPr>
          <w:rFonts w:hint="cs"/>
          <w:spacing w:val="-6"/>
          <w:rtl/>
        </w:rPr>
        <w:t>وكلام الحموي منقول من :</w:t>
      </w:r>
      <w:r>
        <w:rPr>
          <w:spacing w:val="-6"/>
          <w:rtl/>
        </w:rPr>
        <w:t xml:space="preserve"> معجم البلدان، 2/397، رقم 4138.</w:t>
      </w:r>
    </w:p>
  </w:footnote>
  <w:footnote w:id="1439">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«فضل» (بالضاد المعجمة).</w:t>
      </w:r>
    </w:p>
  </w:footnote>
  <w:footnote w:id="1440">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 المنف</w:t>
      </w:r>
      <w:r>
        <w:rPr>
          <w:rFonts w:hint="cs"/>
          <w:rtl/>
        </w:rPr>
        <w:t>ي</w:t>
      </w:r>
      <w:r>
        <w:rPr>
          <w:rtl/>
        </w:rPr>
        <w:t xml:space="preserve"> ».</w:t>
      </w:r>
    </w:p>
  </w:footnote>
  <w:footnote w:id="1441">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(المغني) </w:t>
      </w:r>
      <w:r>
        <w:rPr>
          <w:rFonts w:hint="cs"/>
          <w:rtl/>
        </w:rPr>
        <w:t xml:space="preserve">: </w:t>
      </w:r>
      <w:r>
        <w:rPr>
          <w:rtl/>
        </w:rPr>
        <w:t>زيادة «متى عرف».</w:t>
      </w:r>
    </w:p>
  </w:footnote>
  <w:footnote w:id="1442">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 إن لم يكن له دليل، فلا يعارض المثبت.</w:t>
      </w:r>
    </w:p>
  </w:footnote>
  <w:footnote w:id="1443">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«أن»</w:t>
      </w:r>
      <w:r>
        <w:rPr>
          <w:rFonts w:hint="cs"/>
          <w:rtl/>
        </w:rPr>
        <w:t>:</w:t>
      </w:r>
      <w:r>
        <w:rPr>
          <w:rtl/>
        </w:rPr>
        <w:t xml:space="preserve"> </w:t>
      </w:r>
      <w:r>
        <w:rPr>
          <w:rFonts w:hint="cs"/>
          <w:rtl/>
        </w:rPr>
        <w:t>ساقطة من</w:t>
      </w:r>
      <w:r>
        <w:rPr>
          <w:rtl/>
        </w:rPr>
        <w:t xml:space="preserve"> (المغني).</w:t>
      </w:r>
      <w:r>
        <w:rPr>
          <w:rFonts w:hint="cs"/>
          <w:rtl/>
        </w:rPr>
        <w:t xml:space="preserve"> وهذا الأولى.</w:t>
      </w:r>
    </w:p>
  </w:footnote>
  <w:footnote w:id="1444">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w:t>
      </w:r>
      <w:r>
        <w:rPr>
          <w:rtl/>
        </w:rPr>
        <w:t xml:space="preserve"> أنه » : </w:t>
      </w:r>
      <w:r>
        <w:rPr>
          <w:rFonts w:hint="cs"/>
          <w:rtl/>
        </w:rPr>
        <w:t>ساقطة من</w:t>
      </w:r>
      <w:r>
        <w:rPr>
          <w:rtl/>
        </w:rPr>
        <w:t xml:space="preserve"> (ب) و(د). وهذا الأولى.</w:t>
      </w:r>
    </w:p>
  </w:footnote>
  <w:footnote w:id="1445">
    <w:p w:rsidR="00035BE3" w:rsidRDefault="00035BE3" w:rsidP="00C10469">
      <w:pPr>
        <w:pStyle w:val="a8"/>
        <w:bidi/>
        <w:spacing w:line="221" w:lineRule="auto"/>
        <w:ind w:left="420" w:right="0"/>
        <w:rPr>
          <w:spacing w:val="10"/>
          <w:sz w:val="28"/>
          <w:rtl/>
        </w:rPr>
      </w:pPr>
      <w:r>
        <w:rPr>
          <w:spacing w:val="10"/>
          <w:vertAlign w:val="superscript"/>
          <w:rtl/>
        </w:rPr>
        <w:t>(</w:t>
      </w:r>
      <w:r>
        <w:rPr>
          <w:rStyle w:val="a7"/>
          <w:spacing w:val="10"/>
        </w:rPr>
        <w:footnoteRef/>
      </w:r>
      <w:r>
        <w:rPr>
          <w:spacing w:val="10"/>
          <w:vertAlign w:val="superscript"/>
          <w:rtl/>
        </w:rPr>
        <w:t>)</w:t>
      </w:r>
      <w:r>
        <w:rPr>
          <w:spacing w:val="10"/>
          <w:rtl/>
        </w:rPr>
        <w:t xml:space="preserve">  </w:t>
      </w:r>
      <w:r>
        <w:rPr>
          <w:rFonts w:hint="eastAsia"/>
          <w:spacing w:val="10"/>
          <w:sz w:val="28"/>
          <w:rtl/>
        </w:rPr>
        <w:t>في</w:t>
      </w:r>
      <w:r>
        <w:rPr>
          <w:spacing w:val="10"/>
          <w:sz w:val="28"/>
          <w:rtl/>
        </w:rPr>
        <w:t xml:space="preserve"> (أ) و(ب) و(جـ) : «يستثني»، وفي (و) : «يستثنِ» </w:t>
      </w:r>
      <w:r>
        <w:rPr>
          <w:rFonts w:hint="eastAsia"/>
          <w:spacing w:val="10"/>
          <w:sz w:val="28"/>
          <w:rtl/>
        </w:rPr>
        <w:t>وفي</w:t>
      </w:r>
      <w:r>
        <w:rPr>
          <w:spacing w:val="10"/>
          <w:sz w:val="28"/>
          <w:rtl/>
        </w:rPr>
        <w:t xml:space="preserve"> (د) يحتمل الأمرين. والصحيح ما في (و)؛ وفاقًا للمغني.</w:t>
      </w:r>
    </w:p>
  </w:footnote>
  <w:footnote w:id="1446">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(المغني) : «قول».</w:t>
      </w:r>
    </w:p>
  </w:footnote>
  <w:footnote w:id="1447">
    <w:p w:rsidR="00035BE3" w:rsidRDefault="00035BE3" w:rsidP="00C10469">
      <w:pPr>
        <w:pStyle w:val="a8"/>
        <w:bidi/>
        <w:spacing w:line="221" w:lineRule="auto"/>
        <w:ind w:left="420" w:right="0"/>
        <w:rPr>
          <w:spacing w:val="6"/>
          <w:sz w:val="29"/>
          <w:szCs w:val="29"/>
          <w:rtl/>
        </w:rPr>
      </w:pPr>
      <w:r>
        <w:rPr>
          <w:spacing w:val="6"/>
          <w:vertAlign w:val="superscript"/>
          <w:rtl/>
        </w:rPr>
        <w:t>(</w:t>
      </w:r>
      <w:r>
        <w:rPr>
          <w:rStyle w:val="a7"/>
          <w:spacing w:val="6"/>
        </w:rPr>
        <w:footnoteRef/>
      </w:r>
      <w:r>
        <w:rPr>
          <w:spacing w:val="6"/>
          <w:vertAlign w:val="superscript"/>
          <w:rtl/>
        </w:rPr>
        <w:t>)</w:t>
      </w:r>
      <w:r>
        <w:rPr>
          <w:spacing w:val="6"/>
          <w:rtl/>
        </w:rPr>
        <w:t xml:space="preserve">  </w:t>
      </w:r>
      <w:r>
        <w:rPr>
          <w:rFonts w:hint="cs"/>
          <w:spacing w:val="6"/>
          <w:rtl/>
        </w:rPr>
        <w:t xml:space="preserve"> </w:t>
      </w:r>
      <w:r>
        <w:rPr>
          <w:rFonts w:hint="eastAsia"/>
          <w:spacing w:val="6"/>
          <w:sz w:val="29"/>
          <w:szCs w:val="29"/>
          <w:rtl/>
        </w:rPr>
        <w:t>من</w:t>
      </w:r>
      <w:r>
        <w:rPr>
          <w:spacing w:val="6"/>
          <w:sz w:val="29"/>
          <w:szCs w:val="29"/>
          <w:rtl/>
        </w:rPr>
        <w:t xml:space="preserve"> الأية</w:t>
      </w:r>
      <w:r>
        <w:rPr>
          <w:rFonts w:hint="cs"/>
          <w:spacing w:val="6"/>
          <w:sz w:val="29"/>
          <w:szCs w:val="29"/>
          <w:rtl/>
        </w:rPr>
        <w:t xml:space="preserve"> رقم</w:t>
      </w:r>
      <w:r>
        <w:rPr>
          <w:spacing w:val="6"/>
          <w:sz w:val="29"/>
          <w:szCs w:val="29"/>
          <w:rtl/>
        </w:rPr>
        <w:t xml:space="preserve"> (30) من سورة (التوبة). وأول الآية: </w:t>
      </w:r>
      <w:r>
        <w:rPr>
          <w:color w:val="000000"/>
          <w:sz w:val="22"/>
          <w:szCs w:val="22"/>
        </w:rPr>
        <w:sym w:font="HQPB2" w:char="F0E2"/>
      </w:r>
      <w:r>
        <w:rPr>
          <w:color w:val="000000"/>
          <w:sz w:val="22"/>
          <w:szCs w:val="22"/>
          <w:rtl/>
        </w:rPr>
        <w:t xml:space="preserve"> </w:t>
      </w:r>
      <w:r>
        <w:rPr>
          <w:color w:val="000000"/>
          <w:sz w:val="22"/>
          <w:szCs w:val="22"/>
        </w:rPr>
        <w:sym w:font="HQPB4" w:char="F0CF"/>
      </w:r>
      <w:r>
        <w:rPr>
          <w:color w:val="000000"/>
          <w:sz w:val="22"/>
          <w:szCs w:val="22"/>
        </w:rPr>
        <w:sym w:font="HQPB1" w:char="F04D"/>
      </w:r>
      <w:r>
        <w:rPr>
          <w:color w:val="000000"/>
          <w:sz w:val="22"/>
          <w:szCs w:val="22"/>
        </w:rPr>
        <w:sym w:font="HQPB5" w:char="F073"/>
      </w:r>
      <w:r>
        <w:rPr>
          <w:color w:val="000000"/>
          <w:sz w:val="22"/>
          <w:szCs w:val="22"/>
        </w:rPr>
        <w:sym w:font="HQPB2" w:char="F039"/>
      </w:r>
      <w:r>
        <w:rPr>
          <w:color w:val="000000"/>
          <w:sz w:val="22"/>
          <w:szCs w:val="22"/>
        </w:rPr>
        <w:sym w:font="HQPB1" w:char="F024"/>
      </w:r>
      <w:r>
        <w:rPr>
          <w:color w:val="000000"/>
          <w:sz w:val="22"/>
          <w:szCs w:val="22"/>
        </w:rPr>
        <w:sym w:font="HQPB5" w:char="F073"/>
      </w:r>
      <w:r>
        <w:rPr>
          <w:color w:val="000000"/>
          <w:sz w:val="22"/>
          <w:szCs w:val="22"/>
        </w:rPr>
        <w:sym w:font="HQPB2" w:char="F025"/>
      </w:r>
      <w:r>
        <w:rPr>
          <w:color w:val="000000"/>
          <w:sz w:val="22"/>
          <w:szCs w:val="22"/>
        </w:rPr>
        <w:sym w:font="HQPB5" w:char="F075"/>
      </w:r>
      <w:r>
        <w:rPr>
          <w:color w:val="000000"/>
          <w:sz w:val="22"/>
          <w:szCs w:val="22"/>
        </w:rPr>
        <w:sym w:font="HQPB2" w:char="F072"/>
      </w:r>
      <w:r>
        <w:rPr>
          <w:color w:val="000000"/>
          <w:sz w:val="22"/>
          <w:szCs w:val="22"/>
          <w:rtl/>
        </w:rPr>
        <w:t xml:space="preserve"> </w:t>
      </w:r>
      <w:r>
        <w:rPr>
          <w:color w:val="000000"/>
          <w:sz w:val="22"/>
          <w:szCs w:val="22"/>
        </w:rPr>
        <w:sym w:font="HQPB4" w:char="F0DF"/>
      </w:r>
      <w:r>
        <w:rPr>
          <w:color w:val="000000"/>
          <w:sz w:val="22"/>
          <w:szCs w:val="22"/>
        </w:rPr>
        <w:sym w:font="HQPB1" w:char="F08A"/>
      </w:r>
      <w:r>
        <w:rPr>
          <w:color w:val="000000"/>
          <w:sz w:val="22"/>
          <w:szCs w:val="22"/>
        </w:rPr>
        <w:sym w:font="HQPB2" w:char="F071"/>
      </w:r>
      <w:r>
        <w:rPr>
          <w:color w:val="000000"/>
          <w:sz w:val="22"/>
          <w:szCs w:val="22"/>
        </w:rPr>
        <w:sym w:font="HQPB4" w:char="F0DF"/>
      </w:r>
      <w:r>
        <w:rPr>
          <w:color w:val="000000"/>
          <w:sz w:val="22"/>
          <w:szCs w:val="22"/>
        </w:rPr>
        <w:sym w:font="HQPB2" w:char="F067"/>
      </w:r>
      <w:r>
        <w:rPr>
          <w:color w:val="000000"/>
          <w:sz w:val="22"/>
          <w:szCs w:val="22"/>
        </w:rPr>
        <w:sym w:font="HQPB5" w:char="F075"/>
      </w:r>
      <w:r>
        <w:rPr>
          <w:color w:val="000000"/>
          <w:sz w:val="22"/>
          <w:szCs w:val="22"/>
        </w:rPr>
        <w:sym w:font="HQPB2" w:char="F08B"/>
      </w:r>
      <w:r>
        <w:rPr>
          <w:color w:val="000000"/>
          <w:sz w:val="22"/>
          <w:szCs w:val="22"/>
        </w:rPr>
        <w:sym w:font="HQPB4" w:char="F0F8"/>
      </w:r>
      <w:r>
        <w:rPr>
          <w:color w:val="000000"/>
          <w:sz w:val="22"/>
          <w:szCs w:val="22"/>
        </w:rPr>
        <w:sym w:font="HQPB2" w:char="F039"/>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ED"/>
      </w:r>
      <w:r>
        <w:rPr>
          <w:color w:val="000000"/>
          <w:sz w:val="22"/>
          <w:szCs w:val="22"/>
        </w:rPr>
        <w:sym w:font="HQPB1" w:char="F08D"/>
      </w:r>
      <w:r>
        <w:rPr>
          <w:color w:val="000000"/>
          <w:sz w:val="22"/>
          <w:szCs w:val="22"/>
        </w:rPr>
        <w:sym w:font="HQPB4" w:char="F0F7"/>
      </w:r>
      <w:r>
        <w:rPr>
          <w:color w:val="000000"/>
          <w:sz w:val="22"/>
          <w:szCs w:val="22"/>
        </w:rPr>
        <w:sym w:font="HQPB2" w:char="F083"/>
      </w:r>
      <w:r>
        <w:rPr>
          <w:color w:val="000000"/>
          <w:sz w:val="22"/>
          <w:szCs w:val="22"/>
        </w:rPr>
        <w:sym w:font="HQPB5" w:char="F074"/>
      </w:r>
      <w:r>
        <w:rPr>
          <w:color w:val="000000"/>
          <w:sz w:val="22"/>
          <w:szCs w:val="22"/>
        </w:rPr>
        <w:sym w:font="HQPB1" w:char="F093"/>
      </w:r>
      <w:r>
        <w:rPr>
          <w:color w:val="000000"/>
          <w:sz w:val="22"/>
          <w:szCs w:val="22"/>
        </w:rPr>
        <w:sym w:font="HQPB4" w:char="F0E3"/>
      </w:r>
      <w:r>
        <w:rPr>
          <w:color w:val="000000"/>
          <w:sz w:val="22"/>
          <w:szCs w:val="22"/>
        </w:rPr>
        <w:sym w:font="HQPB1" w:char="F0E3"/>
      </w:r>
      <w:r>
        <w:rPr>
          <w:color w:val="000000"/>
          <w:sz w:val="22"/>
          <w:szCs w:val="22"/>
          <w:rtl/>
        </w:rPr>
        <w:t xml:space="preserve"> </w:t>
      </w:r>
      <w:r>
        <w:rPr>
          <w:color w:val="000000"/>
          <w:sz w:val="22"/>
          <w:szCs w:val="22"/>
        </w:rPr>
        <w:sym w:font="HQPB4" w:char="F0DF"/>
      </w:r>
      <w:r>
        <w:rPr>
          <w:color w:val="000000"/>
          <w:sz w:val="22"/>
          <w:szCs w:val="22"/>
        </w:rPr>
        <w:sym w:font="HQPB2" w:char="F0FB"/>
      </w:r>
      <w:r>
        <w:rPr>
          <w:color w:val="000000"/>
          <w:sz w:val="22"/>
          <w:szCs w:val="22"/>
        </w:rPr>
        <w:sym w:font="HQPB4" w:char="F0F8"/>
      </w:r>
      <w:r>
        <w:rPr>
          <w:color w:val="000000"/>
          <w:sz w:val="22"/>
          <w:szCs w:val="22"/>
        </w:rPr>
        <w:sym w:font="HQPB2" w:char="F0F3"/>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5" w:char="F0AB"/>
      </w:r>
      <w:r>
        <w:rPr>
          <w:color w:val="000000"/>
          <w:sz w:val="22"/>
          <w:szCs w:val="22"/>
        </w:rPr>
        <w:sym w:font="HQPB1" w:char="F021"/>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CF"/>
      </w:r>
      <w:r>
        <w:rPr>
          <w:color w:val="000000"/>
          <w:sz w:val="22"/>
          <w:szCs w:val="22"/>
        </w:rPr>
        <w:sym w:font="HQPB1" w:char="F04D"/>
      </w:r>
      <w:r>
        <w:rPr>
          <w:color w:val="000000"/>
          <w:sz w:val="22"/>
          <w:szCs w:val="22"/>
        </w:rPr>
        <w:sym w:font="HQPB5" w:char="F073"/>
      </w:r>
      <w:r>
        <w:rPr>
          <w:color w:val="000000"/>
          <w:sz w:val="22"/>
          <w:szCs w:val="22"/>
        </w:rPr>
        <w:sym w:font="HQPB2" w:char="F039"/>
      </w:r>
      <w:r>
        <w:rPr>
          <w:color w:val="000000"/>
          <w:sz w:val="22"/>
          <w:szCs w:val="22"/>
        </w:rPr>
        <w:sym w:font="HQPB1" w:char="F024"/>
      </w:r>
      <w:r>
        <w:rPr>
          <w:color w:val="000000"/>
          <w:sz w:val="22"/>
          <w:szCs w:val="22"/>
        </w:rPr>
        <w:sym w:font="HQPB5" w:char="F073"/>
      </w:r>
      <w:r>
        <w:rPr>
          <w:color w:val="000000"/>
          <w:sz w:val="22"/>
          <w:szCs w:val="22"/>
        </w:rPr>
        <w:sym w:font="HQPB2" w:char="F025"/>
      </w:r>
      <w:r>
        <w:rPr>
          <w:color w:val="000000"/>
          <w:sz w:val="22"/>
          <w:szCs w:val="22"/>
        </w:rPr>
        <w:sym w:font="HQPB5" w:char="F075"/>
      </w:r>
      <w:r>
        <w:rPr>
          <w:color w:val="000000"/>
          <w:sz w:val="22"/>
          <w:szCs w:val="22"/>
        </w:rPr>
        <w:sym w:font="HQPB2" w:char="F072"/>
      </w:r>
      <w:r>
        <w:rPr>
          <w:color w:val="000000"/>
          <w:sz w:val="22"/>
          <w:szCs w:val="22"/>
          <w:rtl/>
        </w:rPr>
        <w:t xml:space="preserve"> </w:t>
      </w:r>
      <w:r>
        <w:rPr>
          <w:color w:val="000000"/>
          <w:sz w:val="22"/>
          <w:szCs w:val="22"/>
        </w:rPr>
        <w:sym w:font="HQPB2" w:char="F093"/>
      </w:r>
      <w:r>
        <w:rPr>
          <w:color w:val="000000"/>
          <w:sz w:val="22"/>
          <w:szCs w:val="22"/>
        </w:rPr>
        <w:sym w:font="HQPB5" w:char="F074"/>
      </w:r>
      <w:r>
        <w:rPr>
          <w:color w:val="000000"/>
          <w:sz w:val="22"/>
          <w:szCs w:val="22"/>
        </w:rPr>
        <w:sym w:font="HQPB1" w:char="F08D"/>
      </w:r>
      <w:r>
        <w:rPr>
          <w:color w:val="000000"/>
          <w:sz w:val="22"/>
          <w:szCs w:val="22"/>
        </w:rPr>
        <w:sym w:font="HQPB2" w:char="F0BB"/>
      </w:r>
      <w:r>
        <w:rPr>
          <w:color w:val="000000"/>
          <w:sz w:val="22"/>
          <w:szCs w:val="22"/>
        </w:rPr>
        <w:sym w:font="HQPB5" w:char="F07C"/>
      </w:r>
      <w:r>
        <w:rPr>
          <w:color w:val="000000"/>
          <w:sz w:val="22"/>
          <w:szCs w:val="22"/>
        </w:rPr>
        <w:sym w:font="HQPB1" w:char="F0C1"/>
      </w:r>
      <w:r>
        <w:rPr>
          <w:color w:val="000000"/>
          <w:sz w:val="22"/>
          <w:szCs w:val="22"/>
        </w:rPr>
        <w:sym w:font="HQPB4" w:char="F0A8"/>
      </w:r>
      <w:r>
        <w:rPr>
          <w:color w:val="000000"/>
          <w:sz w:val="22"/>
          <w:szCs w:val="22"/>
        </w:rPr>
        <w:sym w:font="HQPB2" w:char="F059"/>
      </w:r>
      <w:r>
        <w:rPr>
          <w:color w:val="000000"/>
          <w:sz w:val="22"/>
          <w:szCs w:val="22"/>
        </w:rPr>
        <w:sym w:font="HQPB2" w:char="F039"/>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DF"/>
      </w:r>
      <w:r>
        <w:rPr>
          <w:color w:val="000000"/>
          <w:sz w:val="22"/>
          <w:szCs w:val="22"/>
        </w:rPr>
        <w:sym w:font="HQPB1" w:char="F078"/>
      </w:r>
      <w:r>
        <w:rPr>
          <w:color w:val="000000"/>
          <w:sz w:val="22"/>
          <w:szCs w:val="22"/>
        </w:rPr>
        <w:sym w:font="HQPB2" w:char="F08A"/>
      </w:r>
      <w:r>
        <w:rPr>
          <w:color w:val="000000"/>
          <w:sz w:val="22"/>
          <w:szCs w:val="22"/>
        </w:rPr>
        <w:sym w:font="HQPB4" w:char="F0C5"/>
      </w:r>
      <w:r>
        <w:rPr>
          <w:color w:val="000000"/>
          <w:sz w:val="22"/>
          <w:szCs w:val="22"/>
        </w:rPr>
        <w:sym w:font="HQPB1" w:char="F0A1"/>
      </w:r>
      <w:r>
        <w:rPr>
          <w:color w:val="000000"/>
          <w:sz w:val="22"/>
          <w:szCs w:val="22"/>
        </w:rPr>
        <w:sym w:font="HQPB5" w:char="F079"/>
      </w:r>
      <w:r>
        <w:rPr>
          <w:color w:val="000000"/>
          <w:sz w:val="22"/>
          <w:szCs w:val="22"/>
        </w:rPr>
        <w:sym w:font="HQPB2" w:char="F04A"/>
      </w:r>
      <w:r>
        <w:rPr>
          <w:color w:val="000000"/>
          <w:sz w:val="22"/>
          <w:szCs w:val="22"/>
        </w:rPr>
        <w:sym w:font="HQPB4" w:char="F0F8"/>
      </w:r>
      <w:r>
        <w:rPr>
          <w:color w:val="000000"/>
          <w:sz w:val="22"/>
          <w:szCs w:val="22"/>
        </w:rPr>
        <w:sym w:font="HQPB2" w:char="F039"/>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DA"/>
      </w:r>
      <w:r>
        <w:rPr>
          <w:color w:val="000000"/>
          <w:sz w:val="22"/>
          <w:szCs w:val="22"/>
        </w:rPr>
        <w:sym w:font="HQPB2" w:char="F0C6"/>
      </w:r>
      <w:r>
        <w:rPr>
          <w:color w:val="000000"/>
          <w:sz w:val="22"/>
          <w:szCs w:val="22"/>
        </w:rPr>
        <w:sym w:font="HQPB4" w:char="F0F6"/>
      </w:r>
      <w:r>
        <w:rPr>
          <w:color w:val="000000"/>
          <w:sz w:val="22"/>
          <w:szCs w:val="22"/>
        </w:rPr>
        <w:sym w:font="HQPB1" w:char="F02F"/>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5" w:char="F0AB"/>
      </w:r>
      <w:r>
        <w:rPr>
          <w:color w:val="000000"/>
          <w:sz w:val="22"/>
          <w:szCs w:val="22"/>
        </w:rPr>
        <w:sym w:font="HQPB1" w:char="F021"/>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28"/>
      </w:r>
      <w:r>
        <w:rPr>
          <w:color w:val="000000"/>
          <w:sz w:val="22"/>
          <w:szCs w:val="22"/>
          <w:rtl/>
        </w:rPr>
        <w:t xml:space="preserve"> </w:t>
      </w:r>
      <w:r>
        <w:rPr>
          <w:rFonts w:hint="cs"/>
          <w:color w:val="000000"/>
          <w:sz w:val="22"/>
          <w:szCs w:val="22"/>
          <w:rtl/>
        </w:rPr>
        <w:t xml:space="preserve"> ...</w:t>
      </w:r>
      <w:r>
        <w:rPr>
          <w:color w:val="000000"/>
          <w:sz w:val="22"/>
          <w:szCs w:val="22"/>
        </w:rPr>
        <w:sym w:font="HQPB2" w:char="F0E1"/>
      </w:r>
      <w:r>
        <w:rPr>
          <w:spacing w:val="6"/>
          <w:sz w:val="29"/>
          <w:szCs w:val="29"/>
          <w:rtl/>
        </w:rPr>
        <w:t>.</w:t>
      </w:r>
    </w:p>
  </w:footnote>
  <w:footnote w:id="1448">
    <w:p w:rsidR="00035BE3" w:rsidRDefault="00035BE3" w:rsidP="00C10469">
      <w:pPr>
        <w:pStyle w:val="a8"/>
        <w:bidi/>
        <w:spacing w:line="221"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«النفي».</w:t>
      </w:r>
    </w:p>
  </w:footnote>
  <w:footnote w:id="144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w:t>
      </w:r>
      <w:r>
        <w:rPr>
          <w:rtl/>
        </w:rPr>
        <w:t xml:space="preserve"> به » : ساقطة من (ب).</w:t>
      </w:r>
    </w:p>
  </w:footnote>
  <w:footnote w:id="145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الدّندَنةُ</w:t>
      </w:r>
      <w:r>
        <w:rPr>
          <w:b/>
          <w:bCs/>
          <w:rtl/>
        </w:rPr>
        <w:t xml:space="preserve"> </w:t>
      </w:r>
      <w:r>
        <w:rPr>
          <w:rtl/>
        </w:rPr>
        <w:t>: هي «أن تسمع من الرجل</w:t>
      </w:r>
      <w:r>
        <w:rPr>
          <w:rFonts w:hint="cs"/>
          <w:rtl/>
        </w:rPr>
        <w:t xml:space="preserve"> ...</w:t>
      </w:r>
      <w:r>
        <w:rPr>
          <w:rtl/>
        </w:rPr>
        <w:t xml:space="preserve"> [نغمة] لا </w:t>
      </w:r>
      <w:r>
        <w:rPr>
          <w:rFonts w:hint="eastAsia"/>
          <w:rtl/>
        </w:rPr>
        <w:t>تُفْهم؛</w:t>
      </w:r>
      <w:r>
        <w:rPr>
          <w:rtl/>
        </w:rPr>
        <w:t xml:space="preserve"> وذلك لأنه يخفض صوتَه بما يقوله ويخفيه». قاله في المقاييس، مادة «دنّ»، </w:t>
      </w:r>
      <w:r>
        <w:rPr>
          <w:rFonts w:hint="eastAsia"/>
          <w:rtl/>
        </w:rPr>
        <w:t>ص</w:t>
      </w:r>
      <w:r>
        <w:rPr>
          <w:rtl/>
        </w:rPr>
        <w:t>350</w:t>
      </w:r>
      <w:r>
        <w:rPr>
          <w:rFonts w:hint="cs"/>
          <w:rtl/>
        </w:rPr>
        <w:t>؛</w:t>
      </w:r>
      <w:r>
        <w:rPr>
          <w:rtl/>
        </w:rPr>
        <w:t xml:space="preserve"> وانظر : المعجم الوسيط، مادة «دنّ»، 1/299.</w:t>
      </w:r>
    </w:p>
  </w:footnote>
  <w:footnote w:id="1451">
    <w:p w:rsidR="00035BE3" w:rsidRPr="009255F1" w:rsidRDefault="00035BE3" w:rsidP="00C10469">
      <w:pPr>
        <w:pStyle w:val="a8"/>
        <w:bidi/>
        <w:ind w:left="422" w:right="0"/>
        <w:rPr>
          <w:rtl/>
        </w:rPr>
      </w:pPr>
      <w:r>
        <w:rPr>
          <w:spacing w:val="-8"/>
          <w:vertAlign w:val="superscript"/>
          <w:rtl/>
        </w:rPr>
        <w:t>(</w:t>
      </w:r>
      <w:r>
        <w:rPr>
          <w:rStyle w:val="a7"/>
          <w:spacing w:val="-8"/>
        </w:rPr>
        <w:footnoteRef/>
      </w:r>
      <w:r>
        <w:rPr>
          <w:spacing w:val="-8"/>
          <w:vertAlign w:val="superscript"/>
          <w:rtl/>
        </w:rPr>
        <w:t>)</w:t>
      </w:r>
      <w:r>
        <w:rPr>
          <w:spacing w:val="-8"/>
          <w:rtl/>
        </w:rPr>
        <w:t xml:space="preserve">   </w:t>
      </w:r>
      <w:r w:rsidRPr="009255F1">
        <w:rPr>
          <w:rFonts w:hint="eastAsia"/>
          <w:rtl/>
        </w:rPr>
        <w:t>المغني،</w:t>
      </w:r>
      <w:r w:rsidRPr="009255F1">
        <w:rPr>
          <w:rtl/>
        </w:rPr>
        <w:t xml:space="preserve"> ص232، مع الاختلاف الذي سبقت الإشارة </w:t>
      </w:r>
      <w:r w:rsidRPr="009255F1">
        <w:rPr>
          <w:rFonts w:hint="eastAsia"/>
          <w:rtl/>
        </w:rPr>
        <w:t>إليه،</w:t>
      </w:r>
      <w:r w:rsidRPr="009255F1">
        <w:rPr>
          <w:rtl/>
        </w:rPr>
        <w:t xml:space="preserve"> ويضاف إليه أنه قال في آخر العبارة: «يحيط به علم الشاهد؛ لأن ما لا يُسمع </w:t>
      </w:r>
      <w:r w:rsidRPr="009255F1">
        <w:rPr>
          <w:rFonts w:hint="eastAsia"/>
          <w:rtl/>
        </w:rPr>
        <w:t>ليس</w:t>
      </w:r>
      <w:r w:rsidRPr="009255F1">
        <w:rPr>
          <w:rtl/>
        </w:rPr>
        <w:t xml:space="preserve"> بكلامٍ، لكنه دَنْدَنةٌ»</w:t>
      </w:r>
      <w:r w:rsidRPr="009255F1">
        <w:rPr>
          <w:rFonts w:hint="cs"/>
          <w:rtl/>
        </w:rPr>
        <w:t>؛وانظر: شرح المغني للقاءاني، ق1، حـ3، ص193-915.</w:t>
      </w:r>
    </w:p>
  </w:footnote>
  <w:footnote w:id="145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 العمان ».</w:t>
      </w:r>
    </w:p>
  </w:footnote>
  <w:footnote w:id="1453">
    <w:p w:rsidR="00035BE3" w:rsidRDefault="00035BE3" w:rsidP="00C10469">
      <w:pPr>
        <w:pStyle w:val="a8"/>
        <w:bidi/>
        <w:spacing w:line="228" w:lineRule="auto"/>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شمس</w:t>
      </w:r>
      <w:r>
        <w:rPr>
          <w:b/>
          <w:bCs/>
          <w:rtl/>
        </w:rPr>
        <w:t xml:space="preserve"> الأئمة</w:t>
      </w:r>
      <w:r>
        <w:rPr>
          <w:rtl/>
        </w:rPr>
        <w:t xml:space="preserve"> : هذا لقب لعدد من علماء الحنفية، </w:t>
      </w:r>
      <w:r>
        <w:rPr>
          <w:rFonts w:hint="eastAsia"/>
          <w:rtl/>
        </w:rPr>
        <w:t>وإذا</w:t>
      </w:r>
      <w:r>
        <w:rPr>
          <w:rtl/>
        </w:rPr>
        <w:t xml:space="preserve"> أطلق عندهم يراد به</w:t>
      </w:r>
      <w:r>
        <w:rPr>
          <w:rFonts w:hint="cs"/>
          <w:rtl/>
        </w:rPr>
        <w:t xml:space="preserve"> :</w:t>
      </w:r>
      <w:r>
        <w:rPr>
          <w:rtl/>
        </w:rPr>
        <w:t xml:space="preserve"> السَّرْخَسي (ت483هـ)، وقد سبق بيان ذلك مع </w:t>
      </w:r>
      <w:r>
        <w:rPr>
          <w:rFonts w:hint="eastAsia"/>
          <w:rtl/>
        </w:rPr>
        <w:t>التعريف</w:t>
      </w:r>
      <w:r>
        <w:rPr>
          <w:rtl/>
        </w:rPr>
        <w:t xml:space="preserve"> بالسَّرْخسِي، ص</w:t>
      </w:r>
      <w:r>
        <w:rPr>
          <w:rFonts w:hint="cs"/>
          <w:rtl/>
        </w:rPr>
        <w:t>335</w:t>
      </w:r>
      <w:r>
        <w:rPr>
          <w:rtl/>
        </w:rPr>
        <w:t xml:space="preserve"> </w:t>
      </w:r>
      <w:r>
        <w:rPr>
          <w:rFonts w:hint="cs"/>
          <w:rtl/>
        </w:rPr>
        <w:t>-.</w:t>
      </w:r>
    </w:p>
  </w:footnote>
  <w:footnote w:id="1454">
    <w:p w:rsidR="00035BE3" w:rsidRDefault="00035BE3" w:rsidP="00C10469">
      <w:pPr>
        <w:pStyle w:val="a8"/>
        <w:bidi/>
        <w:spacing w:line="228" w:lineRule="auto"/>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الواو</w:t>
      </w:r>
      <w:r>
        <w:rPr>
          <w:rtl/>
        </w:rPr>
        <w:t xml:space="preserve"> ساقطة من (جـ).</w:t>
      </w:r>
    </w:p>
  </w:footnote>
  <w:footnote w:id="1455">
    <w:p w:rsidR="00035BE3" w:rsidRDefault="00035BE3" w:rsidP="00C10469">
      <w:pPr>
        <w:pStyle w:val="a8"/>
        <w:bidi/>
        <w:spacing w:line="228" w:lineRule="auto"/>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فخر</w:t>
      </w:r>
      <w:r>
        <w:rPr>
          <w:b/>
          <w:bCs/>
          <w:rtl/>
        </w:rPr>
        <w:t xml:space="preserve"> الإسلام</w:t>
      </w:r>
      <w:r>
        <w:rPr>
          <w:rtl/>
        </w:rPr>
        <w:t xml:space="preserve"> : لقب أيضًا لعدد من علماء </w:t>
      </w:r>
      <w:r>
        <w:rPr>
          <w:rFonts w:hint="eastAsia"/>
          <w:rtl/>
        </w:rPr>
        <w:t>الحنفية،</w:t>
      </w:r>
      <w:r>
        <w:rPr>
          <w:rtl/>
        </w:rPr>
        <w:t xml:space="preserve"> وإذا أطلقوه فمرادهم : البَـزْدوي.</w:t>
      </w:r>
    </w:p>
    <w:p w:rsidR="00035BE3" w:rsidRDefault="00035BE3" w:rsidP="00C10469">
      <w:pPr>
        <w:pStyle w:val="a6"/>
        <w:spacing w:line="228" w:lineRule="auto"/>
        <w:ind w:left="422" w:firstLine="0"/>
        <w:rPr>
          <w:rtl/>
        </w:rPr>
      </w:pPr>
      <w:r>
        <w:rPr>
          <w:rFonts w:hint="eastAsia"/>
          <w:b/>
          <w:bCs/>
          <w:rtl/>
        </w:rPr>
        <w:t>والبَزْدوي</w:t>
      </w:r>
      <w:r>
        <w:rPr>
          <w:rFonts w:hint="cs"/>
          <w:rtl/>
        </w:rPr>
        <w:t xml:space="preserve"> :</w:t>
      </w:r>
      <w:r>
        <w:rPr>
          <w:rtl/>
        </w:rPr>
        <w:t xml:space="preserve"> هو علي </w:t>
      </w:r>
      <w:r>
        <w:rPr>
          <w:rFonts w:hint="eastAsia"/>
          <w:rtl/>
        </w:rPr>
        <w:t>بن</w:t>
      </w:r>
      <w:r>
        <w:rPr>
          <w:rtl/>
        </w:rPr>
        <w:t xml:space="preserve"> محمد بن الحسين بن عبد الكريم بن موسى بن عيسى بن مجاهد، أ</w:t>
      </w:r>
      <w:r>
        <w:rPr>
          <w:rFonts w:hint="cs"/>
          <w:rtl/>
        </w:rPr>
        <w:t>ب</w:t>
      </w:r>
      <w:r>
        <w:rPr>
          <w:rtl/>
        </w:rPr>
        <w:t xml:space="preserve">و الحسن المعروف </w:t>
      </w:r>
      <w:r>
        <w:rPr>
          <w:rFonts w:hint="eastAsia"/>
          <w:rtl/>
        </w:rPr>
        <w:t>بفخر</w:t>
      </w:r>
      <w:r>
        <w:rPr>
          <w:rtl/>
        </w:rPr>
        <w:t xml:space="preserve"> الإسلام.</w:t>
      </w:r>
    </w:p>
    <w:p w:rsidR="00035BE3" w:rsidRDefault="00035BE3" w:rsidP="00C10469">
      <w:pPr>
        <w:pStyle w:val="a6"/>
        <w:spacing w:line="228" w:lineRule="auto"/>
        <w:ind w:left="422" w:firstLine="0"/>
        <w:rPr>
          <w:rtl/>
        </w:rPr>
      </w:pPr>
      <w:r>
        <w:rPr>
          <w:rFonts w:hint="eastAsia"/>
          <w:rtl/>
        </w:rPr>
        <w:t>و</w:t>
      </w:r>
      <w:r>
        <w:rPr>
          <w:rtl/>
        </w:rPr>
        <w:t xml:space="preserve">(البَزْدَوي) نسبة </w:t>
      </w:r>
      <w:r>
        <w:rPr>
          <w:rFonts w:hint="eastAsia"/>
          <w:rtl/>
        </w:rPr>
        <w:t>إلى</w:t>
      </w:r>
      <w:r>
        <w:rPr>
          <w:rtl/>
        </w:rPr>
        <w:t xml:space="preserve"> (بَزْدَة)، وهي</w:t>
      </w:r>
      <w:r>
        <w:rPr>
          <w:rFonts w:hint="cs"/>
          <w:rtl/>
        </w:rPr>
        <w:t xml:space="preserve"> :</w:t>
      </w:r>
      <w:r>
        <w:rPr>
          <w:rtl/>
        </w:rPr>
        <w:t xml:space="preserve"> «قلعة حصينة على ستّة فراسخ من نسف». و(نسف): «مدينة كبيرة بين </w:t>
      </w:r>
      <w:r>
        <w:rPr>
          <w:rFonts w:hint="eastAsia"/>
          <w:rtl/>
        </w:rPr>
        <w:t>جيحو</w:t>
      </w:r>
      <w:r>
        <w:rPr>
          <w:rFonts w:hint="cs"/>
          <w:rtl/>
        </w:rPr>
        <w:t>ن</w:t>
      </w:r>
      <w:r>
        <w:rPr>
          <w:rtl/>
        </w:rPr>
        <w:t xml:space="preserve"> وسمرقند» </w:t>
      </w:r>
      <w:r>
        <w:rPr>
          <w:rFonts w:hint="cs"/>
          <w:rtl/>
        </w:rPr>
        <w:t>-</w:t>
      </w:r>
      <w:r>
        <w:rPr>
          <w:rtl/>
        </w:rPr>
        <w:t>أفاد ذلك صاحب معجم البلدان-.</w:t>
      </w:r>
    </w:p>
    <w:p w:rsidR="00035BE3" w:rsidRDefault="00035BE3" w:rsidP="00C10469">
      <w:pPr>
        <w:pStyle w:val="a6"/>
        <w:spacing w:line="228" w:lineRule="auto"/>
        <w:ind w:left="422" w:firstLine="0"/>
        <w:rPr>
          <w:rtl/>
        </w:rPr>
      </w:pPr>
      <w:r>
        <w:rPr>
          <w:rFonts w:hint="eastAsia"/>
          <w:rtl/>
        </w:rPr>
        <w:t>وقد</w:t>
      </w:r>
      <w:r>
        <w:rPr>
          <w:rtl/>
        </w:rPr>
        <w:t xml:space="preserve"> اشتهر بالفقه </w:t>
      </w:r>
      <w:r>
        <w:rPr>
          <w:rFonts w:hint="eastAsia"/>
          <w:rtl/>
        </w:rPr>
        <w:t>وأصوله،</w:t>
      </w:r>
      <w:r>
        <w:rPr>
          <w:rtl/>
        </w:rPr>
        <w:t xml:space="preserve"> كما أن له مؤلفات في التفسير والحديث، وتتميّز مصنفاته بالعسر؛ لهذا اشتهر </w:t>
      </w:r>
      <w:r>
        <w:rPr>
          <w:rFonts w:hint="eastAsia"/>
          <w:rtl/>
        </w:rPr>
        <w:t>بأبي</w:t>
      </w:r>
      <w:r>
        <w:rPr>
          <w:rtl/>
        </w:rPr>
        <w:t xml:space="preserve"> العسر.</w:t>
      </w:r>
    </w:p>
    <w:p w:rsidR="00035BE3" w:rsidRDefault="00035BE3" w:rsidP="00C10469">
      <w:pPr>
        <w:pStyle w:val="a6"/>
        <w:spacing w:line="228" w:lineRule="auto"/>
        <w:ind w:left="422" w:firstLine="0"/>
        <w:rPr>
          <w:rtl/>
        </w:rPr>
      </w:pPr>
      <w:r>
        <w:rPr>
          <w:rFonts w:hint="eastAsia"/>
          <w:rtl/>
        </w:rPr>
        <w:t>من</w:t>
      </w:r>
      <w:r>
        <w:rPr>
          <w:rtl/>
        </w:rPr>
        <w:t xml:space="preserve"> مصنفاته : شرح </w:t>
      </w:r>
      <w:r>
        <w:rPr>
          <w:rFonts w:hint="eastAsia"/>
          <w:rtl/>
        </w:rPr>
        <w:t>الجامع</w:t>
      </w:r>
      <w:r>
        <w:rPr>
          <w:rtl/>
        </w:rPr>
        <w:t xml:space="preserve"> الكبير والصغير (كلاهما لمحمد بن الحسن)، والمبسوط في الفروع (وهو أحد عشر </w:t>
      </w:r>
      <w:r>
        <w:rPr>
          <w:rFonts w:hint="eastAsia"/>
          <w:rtl/>
        </w:rPr>
        <w:t>مجلدًا</w:t>
      </w:r>
      <w:r>
        <w:rPr>
          <w:rtl/>
        </w:rPr>
        <w:t xml:space="preserve">)، وكنز الفصول إلى معرفة الأصول (وهو المشهور بأصول البَزْدَوي)، وشرح </w:t>
      </w:r>
      <w:r>
        <w:rPr>
          <w:rFonts w:hint="eastAsia"/>
          <w:rtl/>
        </w:rPr>
        <w:t>تقويم</w:t>
      </w:r>
      <w:r>
        <w:rPr>
          <w:rtl/>
        </w:rPr>
        <w:t xml:space="preserve"> الأدلة في الأصول للدَّبوسي، وكشف الأستار في التفسير، وشرح الجامع الصحيح </w:t>
      </w:r>
      <w:r>
        <w:rPr>
          <w:rFonts w:hint="eastAsia"/>
          <w:rtl/>
        </w:rPr>
        <w:t>للبخاري</w:t>
      </w:r>
      <w:r>
        <w:rPr>
          <w:rtl/>
        </w:rPr>
        <w:t>.</w:t>
      </w:r>
    </w:p>
    <w:p w:rsidR="00035BE3" w:rsidRDefault="00035BE3" w:rsidP="00C10469">
      <w:pPr>
        <w:pStyle w:val="a6"/>
        <w:ind w:left="422" w:firstLine="0"/>
        <w:rPr>
          <w:rtl/>
        </w:rPr>
      </w:pPr>
      <w:r>
        <w:rPr>
          <w:rFonts w:hint="eastAsia"/>
          <w:rtl/>
        </w:rPr>
        <w:t>انظر</w:t>
      </w:r>
      <w:r>
        <w:rPr>
          <w:rtl/>
        </w:rPr>
        <w:t xml:space="preserve">: الجواهر </w:t>
      </w:r>
      <w:r>
        <w:rPr>
          <w:rFonts w:hint="eastAsia"/>
          <w:rtl/>
        </w:rPr>
        <w:t>المضية،</w:t>
      </w:r>
      <w:r>
        <w:rPr>
          <w:rtl/>
        </w:rPr>
        <w:t xml:space="preserve"> 2/594-595، رقم 997، 4/419؛ تاج التراجم، ص146، رقم 164؛ </w:t>
      </w:r>
      <w:r w:rsidRPr="00C52D37">
        <w:rPr>
          <w:spacing w:val="-4"/>
          <w:rtl/>
        </w:rPr>
        <w:t>مفتاح السعادة، 2/164-165؛ كشف الظنون، 1/1</w:t>
      </w:r>
      <w:r w:rsidRPr="00C52D37">
        <w:rPr>
          <w:rFonts w:hint="cs"/>
          <w:spacing w:val="-4"/>
          <w:rtl/>
        </w:rPr>
        <w:t>1</w:t>
      </w:r>
      <w:r w:rsidRPr="00C52D37">
        <w:rPr>
          <w:spacing w:val="-4"/>
          <w:rtl/>
        </w:rPr>
        <w:t xml:space="preserve">2، 467، 553، 563، 568، </w:t>
      </w:r>
      <w:r>
        <w:rPr>
          <w:rtl/>
        </w:rPr>
        <w:t xml:space="preserve">2/1016، 1485؛ الفوائد البهية، </w:t>
      </w:r>
      <w:r>
        <w:rPr>
          <w:rFonts w:hint="eastAsia"/>
          <w:rtl/>
        </w:rPr>
        <w:t>ص</w:t>
      </w:r>
      <w:r>
        <w:rPr>
          <w:rtl/>
        </w:rPr>
        <w:t>124-125؛ هدية العارفين، 1/693؛ الفتح المبين، 1/276.</w:t>
      </w:r>
    </w:p>
    <w:p w:rsidR="00035BE3" w:rsidRDefault="00035BE3" w:rsidP="00C10469">
      <w:pPr>
        <w:pStyle w:val="a6"/>
        <w:ind w:left="422" w:firstLine="0"/>
        <w:rPr>
          <w:spacing w:val="-8"/>
          <w:rtl/>
        </w:rPr>
      </w:pPr>
      <w:r>
        <w:rPr>
          <w:rFonts w:hint="eastAsia"/>
          <w:spacing w:val="-8"/>
          <w:rtl/>
        </w:rPr>
        <w:t>والتعريف</w:t>
      </w:r>
      <w:r>
        <w:rPr>
          <w:spacing w:val="-8"/>
          <w:rtl/>
        </w:rPr>
        <w:t xml:space="preserve"> بِـ (بَزْدَة) و(نَسَف) مستفاد من معجم البلدان، 1/486، رقم 486، </w:t>
      </w:r>
      <w:r>
        <w:rPr>
          <w:rFonts w:hint="cs"/>
          <w:spacing w:val="-8"/>
          <w:rtl/>
        </w:rPr>
        <w:t>و</w:t>
      </w:r>
      <w:r>
        <w:rPr>
          <w:spacing w:val="-8"/>
          <w:rtl/>
        </w:rPr>
        <w:t xml:space="preserve">5/329، رقم 12007. </w:t>
      </w:r>
    </w:p>
  </w:footnote>
  <w:footnote w:id="145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w:t>
      </w:r>
      <w:r>
        <w:rPr>
          <w:rtl/>
        </w:rPr>
        <w:t xml:space="preserve"> إن » : </w:t>
      </w:r>
      <w:r>
        <w:rPr>
          <w:rFonts w:hint="cs"/>
          <w:rtl/>
        </w:rPr>
        <w:t>ساقطة من</w:t>
      </w:r>
      <w:r>
        <w:rPr>
          <w:rtl/>
        </w:rPr>
        <w:t xml:space="preserve"> (ب)</w:t>
      </w:r>
      <w:r>
        <w:rPr>
          <w:rFonts w:hint="cs"/>
          <w:rtl/>
        </w:rPr>
        <w:t>،</w:t>
      </w:r>
      <w:r>
        <w:rPr>
          <w:rtl/>
        </w:rPr>
        <w:t xml:space="preserve"> و</w:t>
      </w:r>
      <w:r>
        <w:rPr>
          <w:rFonts w:hint="cs"/>
          <w:rtl/>
        </w:rPr>
        <w:t>هو الموافق</w:t>
      </w:r>
      <w:r>
        <w:rPr>
          <w:rtl/>
        </w:rPr>
        <w:t xml:space="preserve"> للعناية.</w:t>
      </w:r>
    </w:p>
  </w:footnote>
  <w:footnote w:id="145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18/ب من (جـ).</w:t>
      </w:r>
    </w:p>
  </w:footnote>
  <w:footnote w:id="145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16/أ من (د).</w:t>
      </w:r>
    </w:p>
  </w:footnote>
  <w:footnote w:id="145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الواو</w:t>
      </w:r>
      <w:r>
        <w:rPr>
          <w:rtl/>
        </w:rPr>
        <w:t xml:space="preserve"> ساقطة من (جـ).</w:t>
      </w:r>
    </w:p>
  </w:footnote>
  <w:footnote w:id="146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العناية : « لكنه ».</w:t>
      </w:r>
    </w:p>
  </w:footnote>
  <w:footnote w:id="1461">
    <w:p w:rsidR="00035BE3" w:rsidRDefault="00035BE3" w:rsidP="00C10469">
      <w:pPr>
        <w:pStyle w:val="a8"/>
        <w:bidi/>
        <w:ind w:left="422" w:right="0"/>
        <w:rPr>
          <w:spacing w:val="-8"/>
          <w:rtl/>
        </w:rPr>
      </w:pPr>
      <w:r>
        <w:rPr>
          <w:spacing w:val="-8"/>
          <w:vertAlign w:val="superscript"/>
          <w:rtl/>
        </w:rPr>
        <w:t>(</w:t>
      </w:r>
      <w:r>
        <w:rPr>
          <w:rStyle w:val="a7"/>
          <w:spacing w:val="-8"/>
        </w:rPr>
        <w:footnoteRef/>
      </w:r>
      <w:r>
        <w:rPr>
          <w:spacing w:val="-8"/>
          <w:vertAlign w:val="superscript"/>
          <w:rtl/>
        </w:rPr>
        <w:t>)</w:t>
      </w:r>
      <w:r>
        <w:rPr>
          <w:spacing w:val="-8"/>
          <w:rtl/>
        </w:rPr>
        <w:t xml:space="preserve">   </w:t>
      </w:r>
      <w:r>
        <w:rPr>
          <w:rFonts w:hint="eastAsia"/>
          <w:spacing w:val="-8"/>
          <w:rtl/>
        </w:rPr>
        <w:t>أي</w:t>
      </w:r>
      <w:r>
        <w:rPr>
          <w:spacing w:val="-8"/>
          <w:rtl/>
        </w:rPr>
        <w:t xml:space="preserve"> </w:t>
      </w:r>
      <w:r>
        <w:rPr>
          <w:rFonts w:hint="cs"/>
          <w:spacing w:val="-8"/>
          <w:rtl/>
        </w:rPr>
        <w:t xml:space="preserve">: </w:t>
      </w:r>
      <w:r>
        <w:rPr>
          <w:spacing w:val="-8"/>
          <w:rtl/>
        </w:rPr>
        <w:t>م</w:t>
      </w:r>
      <w:r>
        <w:rPr>
          <w:rFonts w:hint="cs"/>
          <w:spacing w:val="-8"/>
          <w:rtl/>
        </w:rPr>
        <w:t>ـ</w:t>
      </w:r>
      <w:r>
        <w:rPr>
          <w:spacing w:val="-8"/>
          <w:rtl/>
        </w:rPr>
        <w:t>ص</w:t>
      </w:r>
      <w:r>
        <w:rPr>
          <w:rFonts w:hint="cs"/>
          <w:spacing w:val="-8"/>
          <w:rtl/>
        </w:rPr>
        <w:t>ـ</w:t>
      </w:r>
      <w:r>
        <w:rPr>
          <w:spacing w:val="-8"/>
          <w:rtl/>
        </w:rPr>
        <w:t>نِّ</w:t>
      </w:r>
      <w:r>
        <w:rPr>
          <w:rFonts w:hint="cs"/>
          <w:spacing w:val="-8"/>
          <w:rtl/>
        </w:rPr>
        <w:t>ـ</w:t>
      </w:r>
      <w:r>
        <w:rPr>
          <w:spacing w:val="-8"/>
          <w:rtl/>
        </w:rPr>
        <w:t>ف (ال</w:t>
      </w:r>
      <w:r>
        <w:rPr>
          <w:rFonts w:hint="cs"/>
          <w:spacing w:val="-8"/>
          <w:rtl/>
        </w:rPr>
        <w:t>ـ</w:t>
      </w:r>
      <w:r>
        <w:rPr>
          <w:spacing w:val="-8"/>
          <w:rtl/>
        </w:rPr>
        <w:t>هداي</w:t>
      </w:r>
      <w:r>
        <w:rPr>
          <w:rFonts w:hint="cs"/>
          <w:spacing w:val="-8"/>
          <w:rtl/>
        </w:rPr>
        <w:t>ـ</w:t>
      </w:r>
      <w:r>
        <w:rPr>
          <w:spacing w:val="-8"/>
          <w:rtl/>
        </w:rPr>
        <w:t>ة)</w:t>
      </w:r>
      <w:r>
        <w:rPr>
          <w:rFonts w:hint="cs"/>
          <w:spacing w:val="-8"/>
          <w:rtl/>
        </w:rPr>
        <w:t>،</w:t>
      </w:r>
      <w:r>
        <w:rPr>
          <w:spacing w:val="-8"/>
          <w:rtl/>
        </w:rPr>
        <w:t xml:space="preserve"> وهو علي المرغيناني (ت59</w:t>
      </w:r>
      <w:r>
        <w:rPr>
          <w:rFonts w:hint="cs"/>
          <w:spacing w:val="-8"/>
          <w:rtl/>
        </w:rPr>
        <w:t>3</w:t>
      </w:r>
      <w:r>
        <w:rPr>
          <w:spacing w:val="-8"/>
          <w:rtl/>
        </w:rPr>
        <w:t xml:space="preserve">هـ)؛ لأن هذا الكلام منقول من (العناية) وهي شرح </w:t>
      </w:r>
      <w:r>
        <w:rPr>
          <w:rFonts w:hint="cs"/>
          <w:spacing w:val="-8"/>
          <w:rtl/>
        </w:rPr>
        <w:t>ل</w:t>
      </w:r>
      <w:r>
        <w:rPr>
          <w:spacing w:val="-8"/>
          <w:rtl/>
        </w:rPr>
        <w:t>لهداية.</w:t>
      </w:r>
    </w:p>
  </w:footnote>
  <w:footnote w:id="1462">
    <w:p w:rsidR="00035BE3" w:rsidRPr="00C52D37" w:rsidRDefault="00035BE3" w:rsidP="00C10469">
      <w:pPr>
        <w:pStyle w:val="a8"/>
        <w:bidi/>
        <w:ind w:left="422" w:right="0"/>
        <w:rPr>
          <w:rtl/>
        </w:rPr>
      </w:pPr>
      <w:r w:rsidRPr="00C52D37">
        <w:rPr>
          <w:vertAlign w:val="superscript"/>
          <w:rtl/>
        </w:rPr>
        <w:t>(</w:t>
      </w:r>
      <w:r w:rsidRPr="00C52D37">
        <w:rPr>
          <w:rStyle w:val="a7"/>
        </w:rPr>
        <w:footnoteRef/>
      </w:r>
      <w:r w:rsidRPr="00C52D37">
        <w:rPr>
          <w:vertAlign w:val="superscript"/>
          <w:rtl/>
        </w:rPr>
        <w:t>)</w:t>
      </w:r>
      <w:r w:rsidRPr="00C52D37">
        <w:rPr>
          <w:rtl/>
        </w:rPr>
        <w:t xml:space="preserve">  </w:t>
      </w:r>
      <w:r w:rsidRPr="00C52D37">
        <w:rPr>
          <w:rFonts w:hint="cs"/>
          <w:rtl/>
        </w:rPr>
        <w:t xml:space="preserve"> </w:t>
      </w:r>
      <w:r w:rsidRPr="00C52D37">
        <w:rPr>
          <w:rFonts w:hint="eastAsia"/>
          <w:rtl/>
        </w:rPr>
        <w:t>العناية،</w:t>
      </w:r>
      <w:r w:rsidRPr="00C52D37">
        <w:rPr>
          <w:rtl/>
        </w:rPr>
        <w:t xml:space="preserve"> 5/</w:t>
      </w:r>
      <w:r w:rsidRPr="00C52D37">
        <w:rPr>
          <w:rFonts w:hint="cs"/>
          <w:rtl/>
        </w:rPr>
        <w:t>185</w:t>
      </w:r>
      <w:r w:rsidRPr="00C52D37">
        <w:rPr>
          <w:rtl/>
        </w:rPr>
        <w:t xml:space="preserve"> - مع اختلاف سبق بيانه-</w:t>
      </w:r>
      <w:r w:rsidRPr="00C52D37">
        <w:rPr>
          <w:rFonts w:hint="cs"/>
          <w:rtl/>
        </w:rPr>
        <w:t>؛</w:t>
      </w:r>
      <w:r w:rsidRPr="00C52D37">
        <w:rPr>
          <w:rtl/>
        </w:rPr>
        <w:t xml:space="preserve"> وانظر : أصول الفخر البزدوي</w:t>
      </w:r>
      <w:r w:rsidRPr="00C52D37">
        <w:rPr>
          <w:rFonts w:hint="cs"/>
          <w:rtl/>
        </w:rPr>
        <w:t>،</w:t>
      </w:r>
      <w:r w:rsidRPr="00C52D37">
        <w:rPr>
          <w:rtl/>
        </w:rPr>
        <w:t xml:space="preserve"> 3/201</w:t>
      </w:r>
      <w:r w:rsidRPr="00C52D37">
        <w:rPr>
          <w:rFonts w:hint="cs"/>
          <w:rtl/>
        </w:rPr>
        <w:t>؛</w:t>
      </w:r>
      <w:r w:rsidRPr="00C52D37">
        <w:rPr>
          <w:rtl/>
        </w:rPr>
        <w:t xml:space="preserve"> أصول الشمس السَّرْخسي، 2/22. فقد ذكرا مضمون ما في (المغني) و(العناية) في </w:t>
      </w:r>
      <w:r w:rsidRPr="00C52D37">
        <w:rPr>
          <w:rFonts w:hint="cs"/>
          <w:rtl/>
        </w:rPr>
        <w:t>أ</w:t>
      </w:r>
      <w:r w:rsidRPr="00C52D37">
        <w:rPr>
          <w:rtl/>
        </w:rPr>
        <w:t>ثنا</w:t>
      </w:r>
      <w:r w:rsidRPr="00C52D37">
        <w:rPr>
          <w:rFonts w:hint="cs"/>
          <w:rtl/>
        </w:rPr>
        <w:t>ء</w:t>
      </w:r>
      <w:r w:rsidRPr="00C52D37">
        <w:rPr>
          <w:rtl/>
        </w:rPr>
        <w:t xml:space="preserve"> حديثهم عن تعارض النفي والإثبات.</w:t>
      </w:r>
    </w:p>
    <w:p w:rsidR="00035BE3" w:rsidRDefault="00035BE3" w:rsidP="00C10469">
      <w:pPr>
        <w:pStyle w:val="a6"/>
        <w:ind w:left="422" w:firstLine="0"/>
        <w:rPr>
          <w:rtl/>
        </w:rPr>
      </w:pPr>
      <w:r>
        <w:rPr>
          <w:rFonts w:hint="eastAsia"/>
          <w:rtl/>
        </w:rPr>
        <w:t>وتمام</w:t>
      </w:r>
      <w:r>
        <w:rPr>
          <w:rtl/>
        </w:rPr>
        <w:t xml:space="preserve"> كلام السرخسي : «إن خبر النفي إما أن يكون لدليل يوجب العلم به، أو لعدم الدليل المثبت، أو يكون </w:t>
      </w:r>
      <w:r>
        <w:rPr>
          <w:rFonts w:hint="eastAsia"/>
          <w:rtl/>
        </w:rPr>
        <w:t>مشتبهًا</w:t>
      </w:r>
      <w:r>
        <w:rPr>
          <w:rtl/>
        </w:rPr>
        <w:t xml:space="preserve">: </w:t>
      </w:r>
    </w:p>
    <w:p w:rsidR="00035BE3" w:rsidRDefault="00035BE3" w:rsidP="00C10469">
      <w:pPr>
        <w:pStyle w:val="a6"/>
        <w:ind w:left="422" w:firstLine="0"/>
        <w:rPr>
          <w:rtl/>
        </w:rPr>
      </w:pPr>
      <w:r>
        <w:rPr>
          <w:rFonts w:hint="eastAsia"/>
          <w:rtl/>
        </w:rPr>
        <w:t>فإن</w:t>
      </w:r>
      <w:r>
        <w:rPr>
          <w:rtl/>
        </w:rPr>
        <w:t xml:space="preserve"> كان لدليل يوجب </w:t>
      </w:r>
      <w:r>
        <w:rPr>
          <w:rFonts w:hint="eastAsia"/>
          <w:rtl/>
        </w:rPr>
        <w:t>العلم</w:t>
      </w:r>
      <w:r>
        <w:rPr>
          <w:rtl/>
        </w:rPr>
        <w:t xml:space="preserve"> به : فهو مساوٍ للمثبت وتـتحقق المعارضة بينهما. وعلى هذا قال في (السير </w:t>
      </w:r>
      <w:r>
        <w:rPr>
          <w:rFonts w:hint="eastAsia"/>
          <w:rtl/>
        </w:rPr>
        <w:t>الكبير</w:t>
      </w:r>
      <w:r>
        <w:rPr>
          <w:rtl/>
        </w:rPr>
        <w:t>) : إذا قالت المرأة سمعت زوجي يقول</w:t>
      </w:r>
      <w:r>
        <w:rPr>
          <w:rFonts w:hint="cs"/>
          <w:rtl/>
        </w:rPr>
        <w:t>:</w:t>
      </w:r>
      <w:r>
        <w:rPr>
          <w:rtl/>
        </w:rPr>
        <w:t xml:space="preserve"> المسيح ابن الله</w:t>
      </w:r>
      <w:r>
        <w:rPr>
          <w:rFonts w:hint="cs"/>
          <w:rtl/>
        </w:rPr>
        <w:t>.</w:t>
      </w:r>
      <w:r>
        <w:rPr>
          <w:rtl/>
        </w:rPr>
        <w:t xml:space="preserve"> فبنت منه. وقال </w:t>
      </w:r>
      <w:r>
        <w:rPr>
          <w:rFonts w:hint="eastAsia"/>
          <w:rtl/>
        </w:rPr>
        <w:t>الزوج</w:t>
      </w:r>
      <w:r>
        <w:rPr>
          <w:rtl/>
        </w:rPr>
        <w:t xml:space="preserve"> : إنما قُلتُ المسيح ابن الله قول النصارى ...</w:t>
      </w:r>
      <w:r>
        <w:rPr>
          <w:rFonts w:hint="cs"/>
          <w:rtl/>
        </w:rPr>
        <w:t>:</w:t>
      </w:r>
      <w:r>
        <w:rPr>
          <w:rtl/>
        </w:rPr>
        <w:t xml:space="preserve"> فالقول قوله. فإن شهد للمرأة </w:t>
      </w:r>
      <w:r>
        <w:rPr>
          <w:rFonts w:hint="eastAsia"/>
          <w:rtl/>
        </w:rPr>
        <w:t>شاهدان</w:t>
      </w:r>
      <w:r>
        <w:rPr>
          <w:rtl/>
        </w:rPr>
        <w:t xml:space="preserve"> وقالا: لم نسمع من الزوج هذه الزيادة : فالقول قوله أيضًا. وإن قالا: لم </w:t>
      </w:r>
      <w:r>
        <w:rPr>
          <w:rFonts w:hint="eastAsia"/>
          <w:rtl/>
        </w:rPr>
        <w:t>يقل</w:t>
      </w:r>
      <w:r>
        <w:rPr>
          <w:rtl/>
        </w:rPr>
        <w:t xml:space="preserve"> هذه الزيادة</w:t>
      </w:r>
      <w:r>
        <w:rPr>
          <w:rFonts w:hint="cs"/>
          <w:rtl/>
        </w:rPr>
        <w:t xml:space="preserve"> :</w:t>
      </w:r>
      <w:r>
        <w:rPr>
          <w:rtl/>
        </w:rPr>
        <w:t xml:space="preserve"> قبلت الشهادة</w:t>
      </w:r>
      <w:r>
        <w:rPr>
          <w:rFonts w:hint="cs"/>
          <w:rtl/>
        </w:rPr>
        <w:t>،</w:t>
      </w:r>
      <w:r>
        <w:rPr>
          <w:rtl/>
        </w:rPr>
        <w:t xml:space="preserve"> وف</w:t>
      </w:r>
      <w:r>
        <w:rPr>
          <w:rFonts w:hint="cs"/>
          <w:rtl/>
        </w:rPr>
        <w:t>ُ</w:t>
      </w:r>
      <w:r>
        <w:rPr>
          <w:rtl/>
        </w:rPr>
        <w:t>رِّق بينهما.</w:t>
      </w:r>
    </w:p>
    <w:p w:rsidR="00035BE3" w:rsidRDefault="00035BE3" w:rsidP="00C10469">
      <w:pPr>
        <w:pStyle w:val="a6"/>
        <w:ind w:left="422" w:firstLine="0"/>
        <w:rPr>
          <w:rtl/>
        </w:rPr>
      </w:pPr>
      <w:r>
        <w:rPr>
          <w:rFonts w:hint="eastAsia"/>
          <w:rtl/>
        </w:rPr>
        <w:t>وكذا</w:t>
      </w:r>
      <w:r>
        <w:rPr>
          <w:rtl/>
        </w:rPr>
        <w:t xml:space="preserve"> لو </w:t>
      </w:r>
      <w:r>
        <w:rPr>
          <w:rFonts w:hint="cs"/>
          <w:rtl/>
        </w:rPr>
        <w:t>ا</w:t>
      </w:r>
      <w:r>
        <w:rPr>
          <w:rtl/>
        </w:rPr>
        <w:t xml:space="preserve">دعى </w:t>
      </w:r>
      <w:r>
        <w:rPr>
          <w:rFonts w:hint="eastAsia"/>
          <w:rtl/>
        </w:rPr>
        <w:t>الاستثناء</w:t>
      </w:r>
      <w:r>
        <w:rPr>
          <w:rtl/>
        </w:rPr>
        <w:t xml:space="preserve"> في الطلاق وشهد </w:t>
      </w:r>
      <w:r>
        <w:rPr>
          <w:rFonts w:hint="cs"/>
          <w:rtl/>
        </w:rPr>
        <w:t>ال</w:t>
      </w:r>
      <w:r>
        <w:rPr>
          <w:rtl/>
        </w:rPr>
        <w:t>شهود أنه لم يستثنِ : ق</w:t>
      </w:r>
      <w:r>
        <w:rPr>
          <w:rFonts w:hint="cs"/>
          <w:rtl/>
        </w:rPr>
        <w:t>ُ</w:t>
      </w:r>
      <w:r>
        <w:rPr>
          <w:rtl/>
        </w:rPr>
        <w:t>بلت</w:t>
      </w:r>
      <w:r>
        <w:rPr>
          <w:rFonts w:hint="cs"/>
          <w:rtl/>
        </w:rPr>
        <w:t>ْ</w:t>
      </w:r>
      <w:r>
        <w:rPr>
          <w:rtl/>
        </w:rPr>
        <w:t xml:space="preserve"> الشهادة</w:t>
      </w:r>
      <w:r>
        <w:rPr>
          <w:rFonts w:hint="cs"/>
          <w:rtl/>
        </w:rPr>
        <w:t>ُ</w:t>
      </w:r>
      <w:r>
        <w:rPr>
          <w:rtl/>
        </w:rPr>
        <w:t xml:space="preserve">. وهذه شهادة على </w:t>
      </w:r>
      <w:r>
        <w:rPr>
          <w:rFonts w:hint="eastAsia"/>
          <w:rtl/>
        </w:rPr>
        <w:t>النفي</w:t>
      </w:r>
      <w:r>
        <w:rPr>
          <w:rtl/>
        </w:rPr>
        <w:t xml:space="preserve"> ولكنها عن دليل موجب للعلم به</w:t>
      </w:r>
      <w:r>
        <w:rPr>
          <w:rFonts w:hint="cs"/>
          <w:rtl/>
        </w:rPr>
        <w:t>،</w:t>
      </w:r>
      <w:r>
        <w:rPr>
          <w:rtl/>
        </w:rPr>
        <w:t xml:space="preserve"> وهو أن ما يكون من باب الكلام فهو مسموع من </w:t>
      </w:r>
      <w:r>
        <w:rPr>
          <w:rFonts w:hint="eastAsia"/>
          <w:rtl/>
        </w:rPr>
        <w:t>المتكلم</w:t>
      </w:r>
      <w:r>
        <w:rPr>
          <w:rtl/>
        </w:rPr>
        <w:t xml:space="preserve"> لمن كان بالقرب منه، وما لا يسمع </w:t>
      </w:r>
      <w:r>
        <w:rPr>
          <w:rFonts w:hint="cs"/>
          <w:rtl/>
        </w:rPr>
        <w:t>من</w:t>
      </w:r>
      <w:r>
        <w:rPr>
          <w:rtl/>
        </w:rPr>
        <w:t>ه يكون دندنة لا كلامًا».</w:t>
      </w:r>
    </w:p>
  </w:footnote>
  <w:footnote w:id="146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«المسألة». والصحيح ما تمَّ </w:t>
      </w:r>
      <w:r>
        <w:rPr>
          <w:rFonts w:hint="eastAsia"/>
          <w:rtl/>
        </w:rPr>
        <w:t>إثباته</w:t>
      </w:r>
      <w:r>
        <w:rPr>
          <w:rtl/>
        </w:rPr>
        <w:t xml:space="preserve"> من (ب) و(د).</w:t>
      </w:r>
    </w:p>
  </w:footnote>
  <w:footnote w:id="146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«وغيرهما»</w:t>
      </w:r>
    </w:p>
  </w:footnote>
  <w:footnote w:id="146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«يخالف».</w:t>
      </w:r>
    </w:p>
  </w:footnote>
  <w:footnote w:id="1466">
    <w:p w:rsidR="00035BE3" w:rsidRDefault="00035BE3" w:rsidP="00C10469">
      <w:pPr>
        <w:pStyle w:val="a8"/>
        <w:bidi/>
        <w:ind w:left="422" w:right="0"/>
        <w:rPr>
          <w:spacing w:val="-10"/>
          <w:rtl/>
        </w:rPr>
      </w:pPr>
      <w:r>
        <w:rPr>
          <w:spacing w:val="-10"/>
          <w:vertAlign w:val="superscript"/>
          <w:rtl/>
        </w:rPr>
        <w:t>(</w:t>
      </w:r>
      <w:r>
        <w:rPr>
          <w:rStyle w:val="a7"/>
          <w:spacing w:val="-10"/>
        </w:rPr>
        <w:footnoteRef/>
      </w:r>
      <w:r>
        <w:rPr>
          <w:spacing w:val="-10"/>
          <w:vertAlign w:val="superscript"/>
          <w:rtl/>
        </w:rPr>
        <w:t>)</w:t>
      </w:r>
      <w:r>
        <w:rPr>
          <w:spacing w:val="-10"/>
          <w:rtl/>
        </w:rPr>
        <w:t xml:space="preserve">   </w:t>
      </w:r>
      <w:r>
        <w:rPr>
          <w:rFonts w:hint="eastAsia"/>
          <w:spacing w:val="-10"/>
          <w:rtl/>
        </w:rPr>
        <w:t>جاء</w:t>
      </w:r>
      <w:r>
        <w:rPr>
          <w:spacing w:val="-10"/>
          <w:rtl/>
        </w:rPr>
        <w:t xml:space="preserve"> في هامش (د) بخط مغاير : «قوله : وكذا </w:t>
      </w:r>
      <w:r>
        <w:rPr>
          <w:rFonts w:hint="eastAsia"/>
          <w:spacing w:val="-10"/>
          <w:rtl/>
        </w:rPr>
        <w:t>مخالف</w:t>
      </w:r>
      <w:r>
        <w:rPr>
          <w:spacing w:val="-10"/>
          <w:rtl/>
        </w:rPr>
        <w:t>. عطف على قوله: لكنه مخالف لما تقرّر في كتب الأصول».</w:t>
      </w:r>
    </w:p>
  </w:footnote>
  <w:footnote w:id="146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المبسوط</w:t>
      </w:r>
      <w:r>
        <w:rPr>
          <w:rtl/>
        </w:rPr>
        <w:t xml:space="preserve"> : لمحمد بن أحمد بن أبي سهل، أبوبكر </w:t>
      </w:r>
      <w:r>
        <w:rPr>
          <w:rFonts w:hint="eastAsia"/>
          <w:rtl/>
        </w:rPr>
        <w:t>السَّرْخسي</w:t>
      </w:r>
      <w:r>
        <w:rPr>
          <w:rtl/>
        </w:rPr>
        <w:t xml:space="preserve"> (ت483هـ).</w:t>
      </w:r>
    </w:p>
    <w:p w:rsidR="00035BE3" w:rsidRDefault="00035BE3" w:rsidP="00C10469">
      <w:pPr>
        <w:pStyle w:val="a6"/>
        <w:ind w:left="422" w:firstLine="0"/>
        <w:rPr>
          <w:rtl/>
        </w:rPr>
      </w:pPr>
      <w:r>
        <w:rPr>
          <w:rFonts w:hint="eastAsia"/>
          <w:rtl/>
        </w:rPr>
        <w:t>وهو</w:t>
      </w:r>
      <w:r>
        <w:rPr>
          <w:rtl/>
        </w:rPr>
        <w:t xml:space="preserve"> كتاب في الفقه </w:t>
      </w:r>
      <w:r>
        <w:rPr>
          <w:rFonts w:hint="eastAsia"/>
          <w:rtl/>
        </w:rPr>
        <w:t>الحنفي</w:t>
      </w:r>
      <w:r>
        <w:rPr>
          <w:rtl/>
        </w:rPr>
        <w:t xml:space="preserve"> شرح فيه مؤلفه كتاب (الكافي) للحاكم الشهيد (ت334هـ) ويعدّ من أكبر الشروح </w:t>
      </w:r>
      <w:r>
        <w:rPr>
          <w:rFonts w:hint="eastAsia"/>
          <w:rtl/>
        </w:rPr>
        <w:t>الفقهية</w:t>
      </w:r>
      <w:r>
        <w:rPr>
          <w:rtl/>
        </w:rPr>
        <w:t xml:space="preserve"> المعتمدة عند ال</w:t>
      </w:r>
      <w:r>
        <w:rPr>
          <w:rFonts w:hint="cs"/>
          <w:rtl/>
        </w:rPr>
        <w:t>حنفية</w:t>
      </w:r>
      <w:r>
        <w:rPr>
          <w:rtl/>
        </w:rPr>
        <w:t>.</w:t>
      </w:r>
    </w:p>
    <w:p w:rsidR="00035BE3" w:rsidRDefault="00035BE3" w:rsidP="00C10469">
      <w:pPr>
        <w:pStyle w:val="a6"/>
        <w:ind w:left="422" w:firstLine="0"/>
        <w:rPr>
          <w:rtl/>
        </w:rPr>
      </w:pPr>
      <w:r>
        <w:rPr>
          <w:rFonts w:hint="cs"/>
          <w:rtl/>
        </w:rPr>
        <w:t xml:space="preserve">ومما يدلّ على أهميته عندهم ما </w:t>
      </w:r>
      <w:r>
        <w:rPr>
          <w:rFonts w:hint="eastAsia"/>
          <w:rtl/>
        </w:rPr>
        <w:t>جاء</w:t>
      </w:r>
      <w:r>
        <w:rPr>
          <w:rtl/>
        </w:rPr>
        <w:t xml:space="preserve"> في </w:t>
      </w:r>
      <w:r>
        <w:rPr>
          <w:rFonts w:hint="cs"/>
          <w:rtl/>
        </w:rPr>
        <w:t>(</w:t>
      </w:r>
      <w:r>
        <w:rPr>
          <w:rtl/>
        </w:rPr>
        <w:t>رد المحتار</w:t>
      </w:r>
      <w:r>
        <w:rPr>
          <w:rFonts w:hint="cs"/>
          <w:rtl/>
        </w:rPr>
        <w:t>)</w:t>
      </w:r>
      <w:r>
        <w:rPr>
          <w:rtl/>
        </w:rPr>
        <w:t xml:space="preserve"> </w:t>
      </w:r>
      <w:r>
        <w:rPr>
          <w:rFonts w:hint="eastAsia"/>
          <w:rtl/>
        </w:rPr>
        <w:t>و</w:t>
      </w:r>
      <w:r>
        <w:rPr>
          <w:rFonts w:hint="cs"/>
          <w:rtl/>
        </w:rPr>
        <w:t>(</w:t>
      </w:r>
      <w:r>
        <w:rPr>
          <w:rFonts w:hint="eastAsia"/>
          <w:rtl/>
        </w:rPr>
        <w:t>قواعد</w:t>
      </w:r>
      <w:r>
        <w:rPr>
          <w:rtl/>
        </w:rPr>
        <w:t xml:space="preserve"> الفقه</w:t>
      </w:r>
      <w:r>
        <w:rPr>
          <w:rFonts w:hint="cs"/>
          <w:rtl/>
        </w:rPr>
        <w:t>)</w:t>
      </w:r>
      <w:r>
        <w:rPr>
          <w:rtl/>
        </w:rPr>
        <w:t xml:space="preserve"> للمجدِّدي : «مبسوط السَّرْخسي لا يُعمل بما يخالفه، ولا يُركن إلا </w:t>
      </w:r>
      <w:r>
        <w:rPr>
          <w:rFonts w:hint="eastAsia"/>
          <w:rtl/>
        </w:rPr>
        <w:t>إليه،</w:t>
      </w:r>
      <w:r>
        <w:rPr>
          <w:rtl/>
        </w:rPr>
        <w:t xml:space="preserve"> ولا يُفتى ولا يُعوَّل إلا عليه».</w:t>
      </w:r>
    </w:p>
    <w:p w:rsidR="00035BE3" w:rsidRDefault="00035BE3" w:rsidP="00C10469">
      <w:pPr>
        <w:pStyle w:val="a6"/>
        <w:ind w:left="422" w:firstLine="0"/>
        <w:rPr>
          <w:rtl/>
        </w:rPr>
      </w:pPr>
      <w:r>
        <w:rPr>
          <w:rFonts w:hint="eastAsia"/>
          <w:rtl/>
        </w:rPr>
        <w:t>ومما</w:t>
      </w:r>
      <w:r>
        <w:rPr>
          <w:rtl/>
        </w:rPr>
        <w:t xml:space="preserve"> يلفت النظر </w:t>
      </w:r>
      <w:r>
        <w:rPr>
          <w:rFonts w:hint="eastAsia"/>
          <w:rtl/>
        </w:rPr>
        <w:t>أنه</w:t>
      </w:r>
      <w:r>
        <w:rPr>
          <w:rtl/>
        </w:rPr>
        <w:t xml:space="preserve"> -مع كبر حجمه- ألفه السَّرْخسي كلّه أو جلّه إملاءً من ذاكرته وهو سجين في </w:t>
      </w:r>
      <w:r>
        <w:rPr>
          <w:rFonts w:hint="eastAsia"/>
          <w:rtl/>
        </w:rPr>
        <w:t>بئرٍ</w:t>
      </w:r>
      <w:r>
        <w:rPr>
          <w:rtl/>
        </w:rPr>
        <w:t xml:space="preserve"> في أُوزْجَند بفرغانة (بما وراء النهر).</w:t>
      </w:r>
    </w:p>
    <w:p w:rsidR="00035BE3" w:rsidRDefault="00035BE3" w:rsidP="00C10469">
      <w:pPr>
        <w:pStyle w:val="a6"/>
        <w:ind w:left="422" w:firstLine="0"/>
        <w:rPr>
          <w:rtl/>
        </w:rPr>
      </w:pPr>
      <w:r>
        <w:rPr>
          <w:rFonts w:hint="eastAsia"/>
          <w:rtl/>
        </w:rPr>
        <w:t>والكتاب</w:t>
      </w:r>
      <w:r>
        <w:rPr>
          <w:rtl/>
        </w:rPr>
        <w:t xml:space="preserve"> مطبوع في </w:t>
      </w:r>
      <w:r>
        <w:rPr>
          <w:rFonts w:hint="eastAsia"/>
          <w:rtl/>
        </w:rPr>
        <w:t>القاهرة</w:t>
      </w:r>
      <w:r>
        <w:rPr>
          <w:rFonts w:hint="cs"/>
          <w:rtl/>
        </w:rPr>
        <w:t>،</w:t>
      </w:r>
      <w:r>
        <w:rPr>
          <w:rtl/>
        </w:rPr>
        <w:t xml:space="preserve"> سنة 1324هـ في ثلاثين جزءً</w:t>
      </w:r>
      <w:r>
        <w:rPr>
          <w:rFonts w:hint="cs"/>
          <w:rtl/>
        </w:rPr>
        <w:t>ا</w:t>
      </w:r>
      <w:r>
        <w:rPr>
          <w:rtl/>
        </w:rPr>
        <w:t>، وله طبعات أخرى كثيرة ومتداولة.</w:t>
      </w:r>
    </w:p>
    <w:p w:rsidR="00035BE3" w:rsidRDefault="00035BE3" w:rsidP="00C10469">
      <w:pPr>
        <w:pStyle w:val="a6"/>
        <w:ind w:left="422" w:firstLine="0"/>
        <w:rPr>
          <w:rtl/>
        </w:rPr>
      </w:pPr>
      <w:r>
        <w:rPr>
          <w:rFonts w:hint="eastAsia"/>
          <w:rtl/>
        </w:rPr>
        <w:t>ردّ</w:t>
      </w:r>
      <w:r>
        <w:rPr>
          <w:rtl/>
        </w:rPr>
        <w:t xml:space="preserve"> المحتار، 1/169-170، قواعد الفقه </w:t>
      </w:r>
      <w:r>
        <w:rPr>
          <w:rFonts w:hint="cs"/>
          <w:rtl/>
        </w:rPr>
        <w:t>ل</w:t>
      </w:r>
      <w:r>
        <w:rPr>
          <w:rtl/>
        </w:rPr>
        <w:t>لمجدِّدي</w:t>
      </w:r>
      <w:r>
        <w:rPr>
          <w:rFonts w:hint="cs"/>
          <w:rtl/>
        </w:rPr>
        <w:t xml:space="preserve"> (الرسالة الخامسة : آدب المفتي)</w:t>
      </w:r>
      <w:r>
        <w:rPr>
          <w:rtl/>
        </w:rPr>
        <w:t>، ص570</w:t>
      </w:r>
      <w:r>
        <w:rPr>
          <w:rFonts w:hint="cs"/>
          <w:rtl/>
        </w:rPr>
        <w:t>.</w:t>
      </w:r>
      <w:r>
        <w:rPr>
          <w:rtl/>
        </w:rPr>
        <w:t xml:space="preserve"> </w:t>
      </w:r>
    </w:p>
    <w:p w:rsidR="00035BE3" w:rsidRDefault="00035BE3" w:rsidP="00C10469">
      <w:pPr>
        <w:pStyle w:val="a6"/>
        <w:ind w:left="422" w:firstLine="0"/>
        <w:rPr>
          <w:spacing w:val="4"/>
          <w:rtl/>
        </w:rPr>
      </w:pPr>
      <w:r>
        <w:rPr>
          <w:rFonts w:hint="eastAsia"/>
          <w:spacing w:val="4"/>
          <w:rtl/>
        </w:rPr>
        <w:t>وانظر</w:t>
      </w:r>
      <w:r>
        <w:rPr>
          <w:spacing w:val="4"/>
          <w:rtl/>
        </w:rPr>
        <w:t xml:space="preserve"> : الجواهر </w:t>
      </w:r>
      <w:r>
        <w:rPr>
          <w:rFonts w:hint="eastAsia"/>
          <w:spacing w:val="4"/>
          <w:rtl/>
        </w:rPr>
        <w:t>المضية،</w:t>
      </w:r>
      <w:r>
        <w:rPr>
          <w:spacing w:val="4"/>
          <w:rtl/>
        </w:rPr>
        <w:t xml:space="preserve"> 3/78؛ تاج التراجم، ص182؛ مفتاح الس</w:t>
      </w:r>
      <w:r>
        <w:rPr>
          <w:rFonts w:hint="cs"/>
          <w:spacing w:val="4"/>
          <w:rtl/>
        </w:rPr>
        <w:t>ـ</w:t>
      </w:r>
      <w:r>
        <w:rPr>
          <w:spacing w:val="4"/>
          <w:rtl/>
        </w:rPr>
        <w:t>عادة، 2/237؛ كش</w:t>
      </w:r>
      <w:r>
        <w:rPr>
          <w:rFonts w:hint="cs"/>
          <w:spacing w:val="4"/>
          <w:rtl/>
        </w:rPr>
        <w:t>ـ</w:t>
      </w:r>
      <w:r>
        <w:rPr>
          <w:spacing w:val="4"/>
          <w:rtl/>
        </w:rPr>
        <w:t>ف الظ</w:t>
      </w:r>
      <w:r>
        <w:rPr>
          <w:rFonts w:hint="cs"/>
          <w:spacing w:val="4"/>
          <w:rtl/>
        </w:rPr>
        <w:t>ـ</w:t>
      </w:r>
      <w:r>
        <w:rPr>
          <w:spacing w:val="4"/>
          <w:rtl/>
        </w:rPr>
        <w:t xml:space="preserve">نون، 2/1580؛ </w:t>
      </w:r>
      <w:r>
        <w:rPr>
          <w:rFonts w:hint="eastAsia"/>
          <w:spacing w:val="4"/>
          <w:rtl/>
        </w:rPr>
        <w:t>الفوائد</w:t>
      </w:r>
      <w:r>
        <w:rPr>
          <w:spacing w:val="4"/>
          <w:rtl/>
        </w:rPr>
        <w:t xml:space="preserve"> البهية، 158؛ مرجع العلوم الإسلامية، ص484-485؛ المذهب عند الحنفية، </w:t>
      </w:r>
      <w:r>
        <w:rPr>
          <w:rFonts w:hint="eastAsia"/>
          <w:spacing w:val="4"/>
          <w:rtl/>
        </w:rPr>
        <w:t>ص</w:t>
      </w:r>
      <w:r>
        <w:rPr>
          <w:spacing w:val="4"/>
          <w:rtl/>
        </w:rPr>
        <w:t>76-77.</w:t>
      </w:r>
    </w:p>
  </w:footnote>
  <w:footnote w:id="146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و(د) : «ولذا».</w:t>
      </w:r>
    </w:p>
  </w:footnote>
  <w:footnote w:id="146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24/ب من (أ).</w:t>
      </w:r>
    </w:p>
  </w:footnote>
  <w:footnote w:id="1470">
    <w:p w:rsidR="00035BE3" w:rsidRDefault="00035BE3" w:rsidP="00C10469">
      <w:pPr>
        <w:pStyle w:val="a8"/>
        <w:bidi/>
        <w:ind w:left="422" w:right="0"/>
        <w:rPr>
          <w:spacing w:val="-6"/>
          <w:rtl/>
        </w:rPr>
      </w:pPr>
      <w:r>
        <w:rPr>
          <w:spacing w:val="-6"/>
          <w:vertAlign w:val="superscript"/>
          <w:rtl/>
        </w:rPr>
        <w:t>(</w:t>
      </w:r>
      <w:r>
        <w:rPr>
          <w:rStyle w:val="a7"/>
          <w:spacing w:val="-6"/>
        </w:rPr>
        <w:footnoteRef/>
      </w:r>
      <w:r>
        <w:rPr>
          <w:spacing w:val="-6"/>
          <w:vertAlign w:val="superscript"/>
          <w:rtl/>
        </w:rPr>
        <w:t>)</w:t>
      </w:r>
      <w:r>
        <w:rPr>
          <w:spacing w:val="-6"/>
          <w:rtl/>
        </w:rPr>
        <w:t xml:space="preserve">   </w:t>
      </w:r>
      <w:r>
        <w:rPr>
          <w:rFonts w:hint="eastAsia"/>
          <w:spacing w:val="-6"/>
          <w:rtl/>
        </w:rPr>
        <w:t>هذا</w:t>
      </w:r>
      <w:r>
        <w:rPr>
          <w:spacing w:val="-6"/>
          <w:rtl/>
        </w:rPr>
        <w:t xml:space="preserve"> النص بعينه مذكور في حاشية سعدي أفندي </w:t>
      </w:r>
      <w:r>
        <w:rPr>
          <w:rFonts w:hint="eastAsia"/>
          <w:spacing w:val="-6"/>
          <w:rtl/>
        </w:rPr>
        <w:t>على</w:t>
      </w:r>
      <w:r>
        <w:rPr>
          <w:spacing w:val="-6"/>
          <w:rtl/>
        </w:rPr>
        <w:t xml:space="preserve"> العناية، 5/185</w:t>
      </w:r>
      <w:r>
        <w:rPr>
          <w:rFonts w:hint="cs"/>
          <w:spacing w:val="-6"/>
          <w:rtl/>
        </w:rPr>
        <w:t>،</w:t>
      </w:r>
      <w:r>
        <w:rPr>
          <w:spacing w:val="-6"/>
          <w:rtl/>
        </w:rPr>
        <w:t xml:space="preserve"> إلا أنه صدَّره بقـوله : «أقول : في (الكافي) : فإن قيل : ذكر </w:t>
      </w:r>
      <w:r>
        <w:rPr>
          <w:rFonts w:hint="eastAsia"/>
          <w:spacing w:val="-6"/>
          <w:rtl/>
        </w:rPr>
        <w:t>في</w:t>
      </w:r>
      <w:r>
        <w:rPr>
          <w:spacing w:val="-6"/>
          <w:rtl/>
        </w:rPr>
        <w:t xml:space="preserve"> المبسوط ...»</w:t>
      </w:r>
      <w:r>
        <w:rPr>
          <w:rFonts w:hint="cs"/>
          <w:spacing w:val="-6"/>
          <w:rtl/>
        </w:rPr>
        <w:t>،</w:t>
      </w:r>
      <w:r>
        <w:rPr>
          <w:spacing w:val="-6"/>
          <w:rtl/>
        </w:rPr>
        <w:t xml:space="preserve"> كما أنهاه بقوله : «... وما نحن بصدده من قبيل الشروط».</w:t>
      </w:r>
    </w:p>
    <w:p w:rsidR="00035BE3" w:rsidRDefault="00035BE3" w:rsidP="00C10469">
      <w:pPr>
        <w:pStyle w:val="a6"/>
        <w:ind w:left="422" w:firstLine="0"/>
        <w:rPr>
          <w:rtl/>
        </w:rPr>
      </w:pPr>
      <w:r>
        <w:rPr>
          <w:rFonts w:hint="eastAsia"/>
          <w:b/>
          <w:bCs/>
          <w:rtl/>
        </w:rPr>
        <w:t>أما</w:t>
      </w:r>
      <w:r>
        <w:rPr>
          <w:b/>
          <w:bCs/>
          <w:rtl/>
        </w:rPr>
        <w:t xml:space="preserve"> لفظ (المبسوط)</w:t>
      </w:r>
      <w:r>
        <w:rPr>
          <w:rtl/>
        </w:rPr>
        <w:t xml:space="preserve"> -17/53- فهو على النحو الآتي : «... وهذه شهادة منهم على إثبات شرط الوراثة، إلا </w:t>
      </w:r>
      <w:r>
        <w:rPr>
          <w:rFonts w:hint="eastAsia"/>
          <w:rtl/>
        </w:rPr>
        <w:t>أنّ</w:t>
      </w:r>
      <w:r>
        <w:rPr>
          <w:rtl/>
        </w:rPr>
        <w:t xml:space="preserve"> الشرط نفيٌ، والشرط يجوز إثباته بالبينة، نفيًا كان أو إثباتًا، كما لو قال </w:t>
      </w:r>
      <w:r>
        <w:rPr>
          <w:rFonts w:hint="eastAsia"/>
          <w:rtl/>
        </w:rPr>
        <w:t>لعبده</w:t>
      </w:r>
      <w:r>
        <w:rPr>
          <w:rtl/>
        </w:rPr>
        <w:t xml:space="preserve"> : إن لم تدخل الدار اليوم فأنت حرّ. فأقام العبدُ البينة أنّه لم يدخلها».</w:t>
      </w:r>
    </w:p>
  </w:footnote>
  <w:footnote w:id="147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جميع النسخ</w:t>
      </w:r>
      <w:r>
        <w:rPr>
          <w:rFonts w:hint="cs"/>
          <w:rtl/>
        </w:rPr>
        <w:t>.</w:t>
      </w:r>
      <w:r>
        <w:rPr>
          <w:rtl/>
        </w:rPr>
        <w:t xml:space="preserve"> </w:t>
      </w:r>
      <w:r>
        <w:rPr>
          <w:rFonts w:hint="eastAsia"/>
          <w:rtl/>
        </w:rPr>
        <w:t>والصحيح</w:t>
      </w:r>
      <w:r>
        <w:rPr>
          <w:rtl/>
        </w:rPr>
        <w:t xml:space="preserve"> : «واقعة»؛ لأنه يخبر عن مسألة الحج وليس الحج.</w:t>
      </w:r>
    </w:p>
  </w:footnote>
  <w:footnote w:id="147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الواو</w:t>
      </w:r>
      <w:r>
        <w:rPr>
          <w:rtl/>
        </w:rPr>
        <w:t xml:space="preserve"> </w:t>
      </w:r>
      <w:r>
        <w:rPr>
          <w:rFonts w:hint="cs"/>
          <w:rtl/>
        </w:rPr>
        <w:t xml:space="preserve">: </w:t>
      </w:r>
      <w:r>
        <w:rPr>
          <w:rtl/>
        </w:rPr>
        <w:t xml:space="preserve">زيادة من (د)، </w:t>
      </w:r>
      <w:r>
        <w:rPr>
          <w:rFonts w:hint="cs"/>
          <w:rtl/>
        </w:rPr>
        <w:t>وقد</w:t>
      </w:r>
      <w:r>
        <w:rPr>
          <w:rtl/>
        </w:rPr>
        <w:t xml:space="preserve"> جاء في (و) : </w:t>
      </w:r>
      <w:r>
        <w:rPr>
          <w:rFonts w:hint="eastAsia"/>
          <w:rtl/>
        </w:rPr>
        <w:t>«ببينة»</w:t>
      </w:r>
      <w:r>
        <w:rPr>
          <w:rtl/>
        </w:rPr>
        <w:t>.</w:t>
      </w:r>
    </w:p>
  </w:footnote>
  <w:footnote w:id="147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«النهاية».</w:t>
      </w:r>
    </w:p>
  </w:footnote>
  <w:footnote w:id="147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الـتَّـهَاتِرُ</w:t>
      </w:r>
      <w:r>
        <w:rPr>
          <w:b/>
          <w:bCs/>
          <w:rtl/>
        </w:rPr>
        <w:t xml:space="preserve"> ف</w:t>
      </w:r>
      <w:r>
        <w:rPr>
          <w:rFonts w:hint="cs"/>
          <w:b/>
          <w:bCs/>
          <w:rtl/>
        </w:rPr>
        <w:t>ـ</w:t>
      </w:r>
      <w:r>
        <w:rPr>
          <w:b/>
          <w:bCs/>
          <w:rtl/>
        </w:rPr>
        <w:t>ي ال</w:t>
      </w:r>
      <w:r>
        <w:rPr>
          <w:rFonts w:hint="cs"/>
          <w:b/>
          <w:bCs/>
          <w:rtl/>
        </w:rPr>
        <w:t>ـ</w:t>
      </w:r>
      <w:r>
        <w:rPr>
          <w:b/>
          <w:bCs/>
          <w:rtl/>
        </w:rPr>
        <w:t>ل</w:t>
      </w:r>
      <w:r>
        <w:rPr>
          <w:rFonts w:hint="cs"/>
          <w:b/>
          <w:bCs/>
          <w:rtl/>
        </w:rPr>
        <w:t>ـ</w:t>
      </w:r>
      <w:r>
        <w:rPr>
          <w:b/>
          <w:bCs/>
          <w:rtl/>
        </w:rPr>
        <w:t>غ</w:t>
      </w:r>
      <w:r>
        <w:rPr>
          <w:rFonts w:hint="cs"/>
          <w:b/>
          <w:bCs/>
          <w:rtl/>
        </w:rPr>
        <w:t>ـ</w:t>
      </w:r>
      <w:r>
        <w:rPr>
          <w:b/>
          <w:bCs/>
          <w:rtl/>
        </w:rPr>
        <w:t>ة</w:t>
      </w:r>
      <w:r>
        <w:rPr>
          <w:rtl/>
        </w:rPr>
        <w:t xml:space="preserve"> : م</w:t>
      </w:r>
      <w:r>
        <w:rPr>
          <w:rFonts w:hint="cs"/>
          <w:rtl/>
        </w:rPr>
        <w:t>ـ</w:t>
      </w:r>
      <w:r>
        <w:rPr>
          <w:rtl/>
        </w:rPr>
        <w:t>ش</w:t>
      </w:r>
      <w:r>
        <w:rPr>
          <w:rFonts w:hint="cs"/>
          <w:rtl/>
        </w:rPr>
        <w:t>ـ</w:t>
      </w:r>
      <w:r>
        <w:rPr>
          <w:rtl/>
        </w:rPr>
        <w:t>ت</w:t>
      </w:r>
      <w:r>
        <w:rPr>
          <w:rFonts w:hint="cs"/>
          <w:rtl/>
        </w:rPr>
        <w:t>ـ</w:t>
      </w:r>
      <w:r>
        <w:rPr>
          <w:rtl/>
        </w:rPr>
        <w:t>ق</w:t>
      </w:r>
      <w:r>
        <w:rPr>
          <w:rFonts w:hint="cs"/>
          <w:rtl/>
        </w:rPr>
        <w:t>ـ</w:t>
      </w:r>
      <w:r>
        <w:rPr>
          <w:rtl/>
        </w:rPr>
        <w:t>ة م</w:t>
      </w:r>
      <w:r>
        <w:rPr>
          <w:rFonts w:hint="cs"/>
          <w:rtl/>
        </w:rPr>
        <w:t>ـ</w:t>
      </w:r>
      <w:r>
        <w:rPr>
          <w:rtl/>
        </w:rPr>
        <w:t>ن م</w:t>
      </w:r>
      <w:r>
        <w:rPr>
          <w:rFonts w:hint="cs"/>
          <w:rtl/>
        </w:rPr>
        <w:t>ـ</w:t>
      </w:r>
      <w:r>
        <w:rPr>
          <w:rtl/>
        </w:rPr>
        <w:t>ادة «هَ</w:t>
      </w:r>
      <w:r>
        <w:rPr>
          <w:rFonts w:hint="cs"/>
          <w:rtl/>
        </w:rPr>
        <w:t>ـ</w:t>
      </w:r>
      <w:r>
        <w:rPr>
          <w:rtl/>
        </w:rPr>
        <w:t>تَ</w:t>
      </w:r>
      <w:r>
        <w:rPr>
          <w:rFonts w:hint="cs"/>
          <w:rtl/>
        </w:rPr>
        <w:t>ـ</w:t>
      </w:r>
      <w:r>
        <w:rPr>
          <w:rtl/>
        </w:rPr>
        <w:t xml:space="preserve">رَ»، </w:t>
      </w:r>
      <w:r>
        <w:rPr>
          <w:rFonts w:hint="eastAsia"/>
          <w:rtl/>
        </w:rPr>
        <w:t>وال</w:t>
      </w:r>
      <w:r>
        <w:rPr>
          <w:rFonts w:hint="cs"/>
          <w:rtl/>
        </w:rPr>
        <w:t>ـ</w:t>
      </w:r>
      <w:r>
        <w:rPr>
          <w:rFonts w:hint="eastAsia"/>
          <w:rtl/>
        </w:rPr>
        <w:t>ه</w:t>
      </w:r>
      <w:r>
        <w:rPr>
          <w:rFonts w:hint="cs"/>
          <w:rtl/>
        </w:rPr>
        <w:t>ـ</w:t>
      </w:r>
      <w:r>
        <w:rPr>
          <w:rFonts w:hint="eastAsia"/>
          <w:rtl/>
        </w:rPr>
        <w:t>اء</w:t>
      </w:r>
      <w:r>
        <w:rPr>
          <w:rtl/>
        </w:rPr>
        <w:t xml:space="preserve"> والت</w:t>
      </w:r>
      <w:r>
        <w:rPr>
          <w:rFonts w:hint="cs"/>
          <w:rtl/>
        </w:rPr>
        <w:t>ـ</w:t>
      </w:r>
      <w:r>
        <w:rPr>
          <w:rtl/>
        </w:rPr>
        <w:t>اء وال</w:t>
      </w:r>
      <w:r>
        <w:rPr>
          <w:rFonts w:hint="cs"/>
          <w:rtl/>
        </w:rPr>
        <w:t>ـ</w:t>
      </w:r>
      <w:r>
        <w:rPr>
          <w:rtl/>
        </w:rPr>
        <w:t>راء -كما يقول ابن ف</w:t>
      </w:r>
      <w:r>
        <w:rPr>
          <w:rFonts w:hint="cs"/>
          <w:rtl/>
        </w:rPr>
        <w:t>ـ</w:t>
      </w:r>
      <w:r>
        <w:rPr>
          <w:rtl/>
        </w:rPr>
        <w:t>ارس-</w:t>
      </w:r>
      <w:r>
        <w:rPr>
          <w:rFonts w:hint="cs"/>
          <w:rtl/>
        </w:rPr>
        <w:t>:</w:t>
      </w:r>
      <w:r>
        <w:rPr>
          <w:rtl/>
        </w:rPr>
        <w:t xml:space="preserve"> «أُصَيْلٌ يدلّ على باطلٍ وس</w:t>
      </w:r>
      <w:r>
        <w:rPr>
          <w:rFonts w:hint="cs"/>
          <w:rtl/>
        </w:rPr>
        <w:t>ـ</w:t>
      </w:r>
      <w:r>
        <w:rPr>
          <w:rtl/>
        </w:rPr>
        <w:t>يّء م</w:t>
      </w:r>
      <w:r>
        <w:rPr>
          <w:rFonts w:hint="cs"/>
          <w:rtl/>
        </w:rPr>
        <w:t>ـ</w:t>
      </w:r>
      <w:r>
        <w:rPr>
          <w:rtl/>
        </w:rPr>
        <w:t xml:space="preserve">ن </w:t>
      </w:r>
      <w:r>
        <w:rPr>
          <w:rFonts w:hint="eastAsia"/>
          <w:rtl/>
        </w:rPr>
        <w:t>القول»،</w:t>
      </w:r>
      <w:r>
        <w:rPr>
          <w:rtl/>
        </w:rPr>
        <w:t xml:space="preserve"> وم</w:t>
      </w:r>
      <w:r>
        <w:rPr>
          <w:rFonts w:hint="cs"/>
          <w:rtl/>
        </w:rPr>
        <w:t>ـ</w:t>
      </w:r>
      <w:r>
        <w:rPr>
          <w:rtl/>
        </w:rPr>
        <w:t>ن ذل</w:t>
      </w:r>
      <w:r>
        <w:rPr>
          <w:rFonts w:hint="cs"/>
          <w:rtl/>
        </w:rPr>
        <w:t>ـ</w:t>
      </w:r>
      <w:r>
        <w:rPr>
          <w:rtl/>
        </w:rPr>
        <w:t>ك م</w:t>
      </w:r>
      <w:r>
        <w:rPr>
          <w:rFonts w:hint="cs"/>
          <w:rtl/>
        </w:rPr>
        <w:t>ـ</w:t>
      </w:r>
      <w:r>
        <w:rPr>
          <w:rtl/>
        </w:rPr>
        <w:t>ا جاء ف</w:t>
      </w:r>
      <w:r>
        <w:rPr>
          <w:rFonts w:hint="cs"/>
          <w:rtl/>
        </w:rPr>
        <w:t>ـ</w:t>
      </w:r>
      <w:r>
        <w:rPr>
          <w:rtl/>
        </w:rPr>
        <w:t xml:space="preserve">ي </w:t>
      </w:r>
      <w:r>
        <w:rPr>
          <w:rFonts w:hint="cs"/>
          <w:rtl/>
        </w:rPr>
        <w:t>(</w:t>
      </w:r>
      <w:r>
        <w:rPr>
          <w:rtl/>
        </w:rPr>
        <w:t>الق</w:t>
      </w:r>
      <w:r>
        <w:rPr>
          <w:rFonts w:hint="cs"/>
          <w:rtl/>
        </w:rPr>
        <w:t>ـ</w:t>
      </w:r>
      <w:r>
        <w:rPr>
          <w:rtl/>
        </w:rPr>
        <w:t>اموس</w:t>
      </w:r>
      <w:r>
        <w:rPr>
          <w:rFonts w:hint="cs"/>
          <w:rtl/>
        </w:rPr>
        <w:t>)</w:t>
      </w:r>
      <w:r>
        <w:rPr>
          <w:rtl/>
        </w:rPr>
        <w:t xml:space="preserve"> : «التَّ</w:t>
      </w:r>
      <w:r>
        <w:rPr>
          <w:rFonts w:hint="cs"/>
          <w:rtl/>
        </w:rPr>
        <w:t>ـ</w:t>
      </w:r>
      <w:r>
        <w:rPr>
          <w:rtl/>
        </w:rPr>
        <w:t>هَ</w:t>
      </w:r>
      <w:r>
        <w:rPr>
          <w:rFonts w:hint="cs"/>
          <w:rtl/>
        </w:rPr>
        <w:t>ـ</w:t>
      </w:r>
      <w:r>
        <w:rPr>
          <w:rtl/>
        </w:rPr>
        <w:t xml:space="preserve">اتِرُ: الشهادات التي يكذّب بعضها </w:t>
      </w:r>
      <w:r>
        <w:rPr>
          <w:rFonts w:hint="eastAsia"/>
          <w:rtl/>
        </w:rPr>
        <w:t>بعضًا،</w:t>
      </w:r>
      <w:r>
        <w:rPr>
          <w:rtl/>
        </w:rPr>
        <w:t xml:space="preserve"> كأنها جمعُ تَهْتَرٍ».</w:t>
      </w:r>
    </w:p>
    <w:p w:rsidR="00035BE3" w:rsidRDefault="00035BE3" w:rsidP="00C10469">
      <w:pPr>
        <w:pStyle w:val="a6"/>
        <w:ind w:left="422" w:firstLine="0"/>
        <w:rPr>
          <w:rtl/>
        </w:rPr>
      </w:pPr>
      <w:r>
        <w:rPr>
          <w:rFonts w:hint="eastAsia"/>
          <w:rtl/>
        </w:rPr>
        <w:t>المقاييس</w:t>
      </w:r>
      <w:r>
        <w:rPr>
          <w:rtl/>
        </w:rPr>
        <w:t xml:space="preserve"> في اللغة، </w:t>
      </w:r>
      <w:r>
        <w:rPr>
          <w:rFonts w:hint="eastAsia"/>
          <w:rtl/>
        </w:rPr>
        <w:t>مادة</w:t>
      </w:r>
      <w:r>
        <w:rPr>
          <w:rtl/>
        </w:rPr>
        <w:t xml:space="preserve"> «هتر»، ص1063؛ القاموس المحيط، مادة «ه</w:t>
      </w:r>
      <w:r>
        <w:rPr>
          <w:rFonts w:hint="cs"/>
          <w:rtl/>
        </w:rPr>
        <w:t>ـ</w:t>
      </w:r>
      <w:r>
        <w:rPr>
          <w:rtl/>
        </w:rPr>
        <w:t xml:space="preserve">تر»، ص637؛ وانظر المعجم الوسيط، مادة </w:t>
      </w:r>
      <w:r>
        <w:rPr>
          <w:rFonts w:hint="eastAsia"/>
          <w:rtl/>
        </w:rPr>
        <w:t>«هتر»،</w:t>
      </w:r>
      <w:r>
        <w:rPr>
          <w:rtl/>
        </w:rPr>
        <w:t xml:space="preserve"> 2/971. </w:t>
      </w:r>
    </w:p>
  </w:footnote>
  <w:footnote w:id="147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 «تدفع»، وفي (جـ) : «تندفع». </w:t>
      </w:r>
      <w:r>
        <w:rPr>
          <w:rFonts w:hint="eastAsia"/>
          <w:rtl/>
        </w:rPr>
        <w:t>والصحيح</w:t>
      </w:r>
      <w:r>
        <w:rPr>
          <w:rtl/>
        </w:rPr>
        <w:t xml:space="preserve"> ما تمَّ إثباته من (ب) و(د).</w:t>
      </w:r>
    </w:p>
  </w:footnote>
  <w:footnote w:id="147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«المالك».</w:t>
      </w:r>
    </w:p>
  </w:footnote>
  <w:footnote w:id="147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16/ب من (ب).</w:t>
      </w:r>
      <w:r>
        <w:rPr>
          <w:rFonts w:hint="cs"/>
          <w:rtl/>
        </w:rPr>
        <w:t xml:space="preserve"> </w:t>
      </w:r>
    </w:p>
  </w:footnote>
  <w:footnote w:id="147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في (أ) و(جـ) : </w:t>
      </w:r>
      <w:r>
        <w:rPr>
          <w:rtl/>
        </w:rPr>
        <w:t>«</w:t>
      </w:r>
      <w:r>
        <w:rPr>
          <w:rFonts w:hint="cs"/>
          <w:rtl/>
        </w:rPr>
        <w:t>فبينّة</w:t>
      </w:r>
      <w:r>
        <w:rPr>
          <w:rtl/>
        </w:rPr>
        <w:t>»</w:t>
      </w:r>
      <w:r>
        <w:rPr>
          <w:rFonts w:hint="cs"/>
          <w:rtl/>
        </w:rPr>
        <w:t>. والصحيح ما تمَّ إثباته من (ب) و(د).</w:t>
      </w:r>
    </w:p>
  </w:footnote>
  <w:footnote w:id="147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مسألة</w:t>
      </w:r>
      <w:r>
        <w:rPr>
          <w:b/>
          <w:bCs/>
          <w:rtl/>
        </w:rPr>
        <w:t xml:space="preserve"> المبسوط</w:t>
      </w:r>
      <w:r>
        <w:rPr>
          <w:rtl/>
        </w:rPr>
        <w:t xml:space="preserve"> :</w:t>
      </w:r>
    </w:p>
    <w:p w:rsidR="00035BE3" w:rsidRDefault="00035BE3" w:rsidP="00C10469">
      <w:pPr>
        <w:pStyle w:val="a6"/>
        <w:ind w:left="422" w:firstLine="0"/>
        <w:rPr>
          <w:rtl/>
        </w:rPr>
      </w:pPr>
      <w:r>
        <w:rPr>
          <w:rFonts w:hint="eastAsia"/>
          <w:rtl/>
        </w:rPr>
        <w:t>لم</w:t>
      </w:r>
      <w:r>
        <w:rPr>
          <w:rtl/>
        </w:rPr>
        <w:t xml:space="preserve"> يظهر لي وجه</w:t>
      </w:r>
      <w:r>
        <w:rPr>
          <w:rFonts w:hint="cs"/>
          <w:rtl/>
        </w:rPr>
        <w:t>ٌ</w:t>
      </w:r>
      <w:r>
        <w:rPr>
          <w:rtl/>
        </w:rPr>
        <w:t xml:space="preserve"> </w:t>
      </w:r>
      <w:r>
        <w:rPr>
          <w:rFonts w:hint="eastAsia"/>
          <w:rtl/>
        </w:rPr>
        <w:t>لنسبة</w:t>
      </w:r>
      <w:r>
        <w:rPr>
          <w:rtl/>
        </w:rPr>
        <w:t xml:space="preserve"> هذه المسألة إلى (المبسوط)؛ لأنه من بداية شرح القاعدة؛ بل من بداية الكتاب </w:t>
      </w:r>
      <w:r>
        <w:rPr>
          <w:rFonts w:hint="eastAsia"/>
          <w:rtl/>
        </w:rPr>
        <w:t>إلى</w:t>
      </w:r>
      <w:r>
        <w:rPr>
          <w:rtl/>
        </w:rPr>
        <w:t xml:space="preserve"> هذا الموضع لم يذكر كتاب (المبسوط) إلا مرة واحدة -وذلك </w:t>
      </w:r>
      <w:r>
        <w:rPr>
          <w:rFonts w:hint="cs"/>
          <w:rtl/>
        </w:rPr>
        <w:t>في الصفحة السابقة</w:t>
      </w:r>
      <w:r>
        <w:rPr>
          <w:rtl/>
        </w:rPr>
        <w:t xml:space="preserve"> </w:t>
      </w:r>
      <w:r>
        <w:rPr>
          <w:rFonts w:hint="cs"/>
          <w:rtl/>
        </w:rPr>
        <w:t>(ل24/ب)</w:t>
      </w:r>
      <w:r>
        <w:rPr>
          <w:rtl/>
        </w:rPr>
        <w:t xml:space="preserve">-، </w:t>
      </w:r>
      <w:r>
        <w:rPr>
          <w:rFonts w:hint="eastAsia"/>
          <w:rtl/>
        </w:rPr>
        <w:t>والمسألة</w:t>
      </w:r>
      <w:r>
        <w:rPr>
          <w:rtl/>
        </w:rPr>
        <w:t xml:space="preserve"> المعزوّة إلى المبسوط هناك تتعلق بالعتق</w:t>
      </w:r>
      <w:r>
        <w:rPr>
          <w:rFonts w:hint="cs"/>
          <w:rtl/>
        </w:rPr>
        <w:t>،</w:t>
      </w:r>
      <w:r>
        <w:rPr>
          <w:rtl/>
        </w:rPr>
        <w:t xml:space="preserve"> بينما هنا تتعلق بالطلاق!</w:t>
      </w:r>
      <w:r>
        <w:rPr>
          <w:rFonts w:hint="cs"/>
          <w:rtl/>
        </w:rPr>
        <w:t>.</w:t>
      </w:r>
    </w:p>
    <w:p w:rsidR="00035BE3" w:rsidRDefault="00035BE3" w:rsidP="00C10469">
      <w:pPr>
        <w:pStyle w:val="a6"/>
        <w:ind w:left="422" w:firstLine="0"/>
        <w:rPr>
          <w:rtl/>
        </w:rPr>
      </w:pPr>
      <w:r>
        <w:rPr>
          <w:rFonts w:hint="eastAsia"/>
          <w:rtl/>
        </w:rPr>
        <w:t>ثم</w:t>
      </w:r>
      <w:r>
        <w:rPr>
          <w:rtl/>
        </w:rPr>
        <w:t xml:space="preserve"> إن المؤلف من </w:t>
      </w:r>
      <w:r>
        <w:rPr>
          <w:rFonts w:hint="eastAsia"/>
          <w:rtl/>
        </w:rPr>
        <w:t>بداية</w:t>
      </w:r>
      <w:r>
        <w:rPr>
          <w:rtl/>
        </w:rPr>
        <w:t xml:space="preserve"> شرحه للقاعدة ذكر أربعة نقول : </w:t>
      </w:r>
    </w:p>
    <w:p w:rsidR="00035BE3" w:rsidRDefault="00035BE3" w:rsidP="00C10469">
      <w:pPr>
        <w:pStyle w:val="a6"/>
        <w:ind w:left="422" w:firstLine="0"/>
        <w:rPr>
          <w:rtl/>
        </w:rPr>
      </w:pPr>
      <w:r>
        <w:rPr>
          <w:rFonts w:hint="eastAsia"/>
          <w:b/>
          <w:bCs/>
          <w:rtl/>
        </w:rPr>
        <w:t>الأول</w:t>
      </w:r>
      <w:r>
        <w:rPr>
          <w:rtl/>
        </w:rPr>
        <w:t xml:space="preserve"> : عن (الهداية)،  </w:t>
      </w:r>
      <w:r>
        <w:rPr>
          <w:rFonts w:hint="eastAsia"/>
          <w:rtl/>
        </w:rPr>
        <w:t>وهو</w:t>
      </w:r>
      <w:r>
        <w:rPr>
          <w:rtl/>
        </w:rPr>
        <w:t xml:space="preserve"> متفق مع القاعدة على </w:t>
      </w:r>
      <w:r>
        <w:rPr>
          <w:rFonts w:hint="eastAsia"/>
          <w:rtl/>
        </w:rPr>
        <w:t>رأي</w:t>
      </w:r>
      <w:r>
        <w:rPr>
          <w:rtl/>
        </w:rPr>
        <w:t xml:space="preserve"> ال</w:t>
      </w:r>
      <w:r>
        <w:rPr>
          <w:rFonts w:hint="cs"/>
          <w:rtl/>
        </w:rPr>
        <w:t>إ</w:t>
      </w:r>
      <w:r>
        <w:rPr>
          <w:rtl/>
        </w:rPr>
        <w:t>مام أبي حنيفة وأبي يوسف؛ لأنه ر</w:t>
      </w:r>
      <w:r>
        <w:rPr>
          <w:rFonts w:hint="cs"/>
          <w:rtl/>
        </w:rPr>
        <w:t>ُ</w:t>
      </w:r>
      <w:r>
        <w:rPr>
          <w:rtl/>
        </w:rPr>
        <w:t>دّت</w:t>
      </w:r>
      <w:r>
        <w:rPr>
          <w:rFonts w:hint="cs"/>
          <w:rtl/>
        </w:rPr>
        <w:t>ْ</w:t>
      </w:r>
      <w:r>
        <w:rPr>
          <w:rtl/>
        </w:rPr>
        <w:t xml:space="preserve"> فيه الشهادة على عدم الحج.</w:t>
      </w:r>
      <w:r>
        <w:rPr>
          <w:rFonts w:hint="cs"/>
          <w:rtl/>
        </w:rPr>
        <w:tab/>
        <w:t xml:space="preserve">                                                                      </w:t>
      </w:r>
    </w:p>
    <w:p w:rsidR="00035BE3" w:rsidRDefault="00035BE3" w:rsidP="00C10469">
      <w:pPr>
        <w:pStyle w:val="a6"/>
        <w:ind w:left="422" w:firstLine="0"/>
        <w:rPr>
          <w:rtl/>
        </w:rPr>
      </w:pPr>
      <w:r>
        <w:rPr>
          <w:rFonts w:hint="eastAsia"/>
          <w:b/>
          <w:bCs/>
          <w:rtl/>
        </w:rPr>
        <w:t>الثاني</w:t>
      </w:r>
      <w:r>
        <w:rPr>
          <w:b/>
          <w:bCs/>
          <w:rtl/>
        </w:rPr>
        <w:t xml:space="preserve"> والثالث</w:t>
      </w:r>
      <w:r>
        <w:rPr>
          <w:rtl/>
        </w:rPr>
        <w:t xml:space="preserve"> : عن (المغني) و(العناية)، ومضمونهما واحد وهو ما إذا ادعت الزوجة أن زوجها طلقها </w:t>
      </w:r>
      <w:r>
        <w:rPr>
          <w:rFonts w:hint="eastAsia"/>
          <w:rtl/>
        </w:rPr>
        <w:t>ولم</w:t>
      </w:r>
      <w:r>
        <w:rPr>
          <w:rtl/>
        </w:rPr>
        <w:t xml:space="preserve"> يستثنِ، أو أنها بانت منه؛ لأنه كفر بقوله : المسيح ابن الله، دون عزوه هذا </w:t>
      </w:r>
      <w:r>
        <w:rPr>
          <w:rFonts w:hint="eastAsia"/>
          <w:rtl/>
        </w:rPr>
        <w:t>القول</w:t>
      </w:r>
      <w:r>
        <w:rPr>
          <w:rtl/>
        </w:rPr>
        <w:t xml:space="preserve"> إلى النصارى، وأقامت على ذلك البينة : فإن بيِّنتها تقبل مع أنها بيِّنة </w:t>
      </w:r>
      <w:r>
        <w:rPr>
          <w:rFonts w:hint="eastAsia"/>
          <w:rtl/>
        </w:rPr>
        <w:t>نفيٍ</w:t>
      </w:r>
      <w:r>
        <w:rPr>
          <w:rtl/>
        </w:rPr>
        <w:t xml:space="preserve"> !</w:t>
      </w:r>
      <w:r>
        <w:rPr>
          <w:rFonts w:hint="cs"/>
          <w:rtl/>
        </w:rPr>
        <w:t>.</w:t>
      </w:r>
    </w:p>
    <w:p w:rsidR="00035BE3" w:rsidRDefault="00035BE3" w:rsidP="00C10469">
      <w:pPr>
        <w:pStyle w:val="a6"/>
        <w:ind w:left="422" w:firstLine="0"/>
        <w:rPr>
          <w:rtl/>
        </w:rPr>
      </w:pPr>
      <w:r>
        <w:rPr>
          <w:rFonts w:hint="eastAsia"/>
          <w:b/>
          <w:bCs/>
          <w:rtl/>
        </w:rPr>
        <w:t>الرابع</w:t>
      </w:r>
      <w:r>
        <w:rPr>
          <w:b/>
          <w:bCs/>
          <w:rtl/>
        </w:rPr>
        <w:t xml:space="preserve"> </w:t>
      </w:r>
      <w:r>
        <w:rPr>
          <w:rtl/>
        </w:rPr>
        <w:t xml:space="preserve">: </w:t>
      </w:r>
      <w:r>
        <w:rPr>
          <w:rFonts w:hint="eastAsia"/>
          <w:rtl/>
        </w:rPr>
        <w:t>عن</w:t>
      </w:r>
      <w:r>
        <w:rPr>
          <w:rtl/>
        </w:rPr>
        <w:t xml:space="preserve"> المبسوط. وخلاصته : أنه لو قال : إن لم أدخل الدار اليوم فأنت حرّ</w:t>
      </w:r>
      <w:r>
        <w:rPr>
          <w:rFonts w:hint="cs"/>
          <w:rtl/>
        </w:rPr>
        <w:t>.</w:t>
      </w:r>
      <w:r>
        <w:rPr>
          <w:rtl/>
        </w:rPr>
        <w:t xml:space="preserve"> فشهد</w:t>
      </w:r>
      <w:r>
        <w:rPr>
          <w:rFonts w:hint="cs"/>
          <w:rtl/>
        </w:rPr>
        <w:t>ا</w:t>
      </w:r>
      <w:r>
        <w:rPr>
          <w:rtl/>
        </w:rPr>
        <w:t xml:space="preserve"> أنّه </w:t>
      </w:r>
      <w:r>
        <w:rPr>
          <w:rFonts w:hint="eastAsia"/>
          <w:rtl/>
        </w:rPr>
        <w:t>لم</w:t>
      </w:r>
      <w:r>
        <w:rPr>
          <w:rtl/>
        </w:rPr>
        <w:t xml:space="preserve"> يدخل : تقبل شهادتهما، مع أنها بيِّنةُ نفيٍ!</w:t>
      </w:r>
      <w:r>
        <w:rPr>
          <w:rFonts w:hint="cs"/>
          <w:rtl/>
        </w:rPr>
        <w:t>.</w:t>
      </w:r>
    </w:p>
    <w:p w:rsidR="00035BE3" w:rsidRDefault="00035BE3" w:rsidP="00C10469">
      <w:pPr>
        <w:pStyle w:val="a6"/>
        <w:ind w:left="422" w:firstLine="0"/>
        <w:rPr>
          <w:rtl/>
        </w:rPr>
      </w:pPr>
      <w:r>
        <w:rPr>
          <w:rFonts w:hint="eastAsia"/>
          <w:rtl/>
        </w:rPr>
        <w:t>والنقول</w:t>
      </w:r>
      <w:r>
        <w:rPr>
          <w:rtl/>
        </w:rPr>
        <w:t xml:space="preserve"> الأخيرة (الثاني والثالث والرابع) مخالفة للقاعدة.</w:t>
      </w:r>
    </w:p>
    <w:p w:rsidR="00035BE3" w:rsidRDefault="00035BE3" w:rsidP="00C10469">
      <w:pPr>
        <w:pStyle w:val="a6"/>
        <w:ind w:left="422" w:firstLine="0"/>
        <w:rPr>
          <w:rtl/>
        </w:rPr>
      </w:pPr>
      <w:r>
        <w:rPr>
          <w:rFonts w:hint="eastAsia"/>
          <w:rtl/>
        </w:rPr>
        <w:t>وقد</w:t>
      </w:r>
      <w:r>
        <w:rPr>
          <w:rtl/>
        </w:rPr>
        <w:t xml:space="preserve"> أجاب المؤلف عن </w:t>
      </w:r>
      <w:r>
        <w:rPr>
          <w:rFonts w:hint="eastAsia"/>
          <w:rtl/>
        </w:rPr>
        <w:t>الرابع</w:t>
      </w:r>
      <w:r>
        <w:rPr>
          <w:rtl/>
        </w:rPr>
        <w:t xml:space="preserve"> عقبه مباشرة، وذلك ص</w:t>
      </w:r>
      <w:r>
        <w:rPr>
          <w:rFonts w:hint="cs"/>
          <w:rtl/>
        </w:rPr>
        <w:t>443</w:t>
      </w:r>
      <w:r>
        <w:rPr>
          <w:rtl/>
        </w:rPr>
        <w:t xml:space="preserve"> </w:t>
      </w:r>
      <w:r>
        <w:rPr>
          <w:rFonts w:hint="cs"/>
          <w:rtl/>
        </w:rPr>
        <w:t xml:space="preserve">(ل25/أ)، </w:t>
      </w:r>
      <w:r>
        <w:rPr>
          <w:rtl/>
        </w:rPr>
        <w:t xml:space="preserve">حينما قال : «فالفرق بين عدم الدخول وبين عدم </w:t>
      </w:r>
      <w:r>
        <w:rPr>
          <w:rFonts w:hint="eastAsia"/>
          <w:rtl/>
        </w:rPr>
        <w:t>الحج</w:t>
      </w:r>
      <w:r>
        <w:rPr>
          <w:rtl/>
        </w:rPr>
        <w:t xml:space="preserve"> مشكل، اللهم إلا أن يقال ...».</w:t>
      </w:r>
    </w:p>
    <w:p w:rsidR="00035BE3" w:rsidRDefault="00035BE3" w:rsidP="00C10469">
      <w:pPr>
        <w:pStyle w:val="a6"/>
        <w:ind w:left="422" w:firstLine="0"/>
        <w:rPr>
          <w:rtl/>
        </w:rPr>
      </w:pPr>
      <w:r>
        <w:rPr>
          <w:rFonts w:hint="eastAsia"/>
          <w:rtl/>
        </w:rPr>
        <w:t>وبقي</w:t>
      </w:r>
      <w:r>
        <w:rPr>
          <w:rtl/>
        </w:rPr>
        <w:t xml:space="preserve"> الثاني والثالث </w:t>
      </w:r>
      <w:r>
        <w:rPr>
          <w:rFonts w:hint="eastAsia"/>
          <w:rtl/>
        </w:rPr>
        <w:t>لم</w:t>
      </w:r>
      <w:r>
        <w:rPr>
          <w:rtl/>
        </w:rPr>
        <w:t xml:space="preserve"> يجب عنهما.</w:t>
      </w:r>
    </w:p>
    <w:p w:rsidR="00035BE3" w:rsidRDefault="00035BE3" w:rsidP="00C10469">
      <w:pPr>
        <w:pStyle w:val="a6"/>
        <w:ind w:left="422" w:firstLine="0"/>
        <w:rPr>
          <w:rtl/>
        </w:rPr>
      </w:pPr>
      <w:r>
        <w:rPr>
          <w:rFonts w:hint="eastAsia"/>
          <w:rtl/>
        </w:rPr>
        <w:t>هذا</w:t>
      </w:r>
      <w:r>
        <w:rPr>
          <w:rtl/>
        </w:rPr>
        <w:t xml:space="preserve"> ما يتعلّق </w:t>
      </w:r>
      <w:r>
        <w:rPr>
          <w:rFonts w:hint="eastAsia"/>
          <w:rtl/>
        </w:rPr>
        <w:t>ببداية</w:t>
      </w:r>
      <w:r>
        <w:rPr>
          <w:rtl/>
        </w:rPr>
        <w:t xml:space="preserve"> حديثه عن القاعدة إلى هذا الموضع.</w:t>
      </w:r>
    </w:p>
    <w:p w:rsidR="00035BE3" w:rsidRDefault="00035BE3" w:rsidP="00C10469">
      <w:pPr>
        <w:pStyle w:val="a6"/>
        <w:ind w:left="422" w:firstLine="0"/>
        <w:rPr>
          <w:rtl/>
        </w:rPr>
      </w:pPr>
      <w:r>
        <w:rPr>
          <w:rFonts w:hint="eastAsia"/>
          <w:rtl/>
        </w:rPr>
        <w:t>وبإمعان</w:t>
      </w:r>
      <w:r>
        <w:rPr>
          <w:rtl/>
        </w:rPr>
        <w:t xml:space="preserve"> النظر فيما </w:t>
      </w:r>
      <w:r>
        <w:rPr>
          <w:rFonts w:hint="eastAsia"/>
          <w:rtl/>
        </w:rPr>
        <w:t>قاله</w:t>
      </w:r>
      <w:r>
        <w:rPr>
          <w:rtl/>
        </w:rPr>
        <w:t xml:space="preserve"> بعد ذلك يُلحظ أنه جواب عن الثاني والثالث، لأنه يتعلق بالطلاق؛ بل منطبق </w:t>
      </w:r>
      <w:r>
        <w:rPr>
          <w:rFonts w:hint="eastAsia"/>
          <w:rtl/>
        </w:rPr>
        <w:t>تمامًا</w:t>
      </w:r>
      <w:r>
        <w:rPr>
          <w:rtl/>
        </w:rPr>
        <w:t xml:space="preserve"> على ما جاء في النقلين.</w:t>
      </w:r>
    </w:p>
    <w:p w:rsidR="00035BE3" w:rsidRDefault="00035BE3" w:rsidP="00C10469">
      <w:pPr>
        <w:pStyle w:val="a6"/>
        <w:spacing w:line="228" w:lineRule="auto"/>
        <w:ind w:left="422" w:firstLine="0"/>
        <w:rPr>
          <w:spacing w:val="8"/>
          <w:rtl/>
        </w:rPr>
      </w:pPr>
      <w:r>
        <w:rPr>
          <w:rFonts w:hint="eastAsia"/>
          <w:spacing w:val="8"/>
          <w:rtl/>
        </w:rPr>
        <w:t>إذا</w:t>
      </w:r>
      <w:r>
        <w:rPr>
          <w:spacing w:val="8"/>
          <w:rtl/>
        </w:rPr>
        <w:t xml:space="preserve"> ع</w:t>
      </w:r>
      <w:r>
        <w:rPr>
          <w:rFonts w:hint="cs"/>
          <w:spacing w:val="8"/>
          <w:rtl/>
        </w:rPr>
        <w:t>ـ</w:t>
      </w:r>
      <w:r>
        <w:rPr>
          <w:spacing w:val="8"/>
          <w:rtl/>
        </w:rPr>
        <w:t>ل</w:t>
      </w:r>
      <w:r>
        <w:rPr>
          <w:rFonts w:hint="cs"/>
          <w:spacing w:val="8"/>
          <w:rtl/>
        </w:rPr>
        <w:t>ـ</w:t>
      </w:r>
      <w:r>
        <w:rPr>
          <w:spacing w:val="8"/>
          <w:rtl/>
        </w:rPr>
        <w:t>م ه</w:t>
      </w:r>
      <w:r>
        <w:rPr>
          <w:rFonts w:hint="cs"/>
          <w:spacing w:val="8"/>
          <w:rtl/>
        </w:rPr>
        <w:t>ـ</w:t>
      </w:r>
      <w:r>
        <w:rPr>
          <w:spacing w:val="8"/>
          <w:rtl/>
        </w:rPr>
        <w:t>ذا ف</w:t>
      </w:r>
      <w:r>
        <w:rPr>
          <w:rFonts w:hint="cs"/>
          <w:spacing w:val="8"/>
          <w:rtl/>
        </w:rPr>
        <w:t>ـ</w:t>
      </w:r>
      <w:r>
        <w:rPr>
          <w:spacing w:val="8"/>
          <w:rtl/>
        </w:rPr>
        <w:t xml:space="preserve">المعنى </w:t>
      </w:r>
      <w:r>
        <w:rPr>
          <w:rFonts w:hint="eastAsia"/>
          <w:spacing w:val="8"/>
          <w:rtl/>
        </w:rPr>
        <w:t>يستقيم</w:t>
      </w:r>
      <w:r>
        <w:rPr>
          <w:spacing w:val="8"/>
          <w:rtl/>
        </w:rPr>
        <w:t xml:space="preserve"> لو قال هنا : «</w:t>
      </w:r>
      <w:r>
        <w:rPr>
          <w:rFonts w:hint="eastAsia"/>
          <w:b/>
          <w:bCs/>
          <w:spacing w:val="8"/>
          <w:rtl/>
        </w:rPr>
        <w:t>وأمّا</w:t>
      </w:r>
      <w:r>
        <w:rPr>
          <w:b/>
          <w:bCs/>
          <w:spacing w:val="8"/>
          <w:rtl/>
        </w:rPr>
        <w:t xml:space="preserve"> مسألة (المغني)</w:t>
      </w:r>
      <w:r>
        <w:rPr>
          <w:rFonts w:hint="eastAsia"/>
          <w:spacing w:val="8"/>
          <w:rtl/>
        </w:rPr>
        <w:t>»</w:t>
      </w:r>
      <w:r>
        <w:rPr>
          <w:spacing w:val="8"/>
          <w:rtl/>
        </w:rPr>
        <w:t xml:space="preserve"> أو «... </w:t>
      </w:r>
      <w:r>
        <w:rPr>
          <w:b/>
          <w:bCs/>
          <w:spacing w:val="8"/>
          <w:rtl/>
        </w:rPr>
        <w:t>(العناية)</w:t>
      </w:r>
      <w:r>
        <w:rPr>
          <w:rFonts w:hint="eastAsia"/>
          <w:spacing w:val="8"/>
          <w:rtl/>
        </w:rPr>
        <w:t>»</w:t>
      </w:r>
      <w:r>
        <w:rPr>
          <w:spacing w:val="8"/>
          <w:rtl/>
        </w:rPr>
        <w:t xml:space="preserve"> -والله أعلم-.</w:t>
      </w:r>
    </w:p>
  </w:footnote>
  <w:footnote w:id="1480">
    <w:p w:rsidR="00035BE3" w:rsidRDefault="00035BE3" w:rsidP="00C10469">
      <w:pPr>
        <w:pStyle w:val="a8"/>
        <w:bidi/>
        <w:spacing w:line="228" w:lineRule="auto"/>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w:t>
      </w:r>
      <w:r>
        <w:rPr>
          <w:rFonts w:hint="cs"/>
          <w:rtl/>
        </w:rPr>
        <w:t>ـ</w:t>
      </w:r>
      <w:r>
        <w:rPr>
          <w:rFonts w:hint="eastAsia"/>
          <w:rtl/>
        </w:rPr>
        <w:t>ك</w:t>
      </w:r>
      <w:r>
        <w:rPr>
          <w:rFonts w:hint="cs"/>
          <w:rtl/>
        </w:rPr>
        <w:t>ـ</w:t>
      </w:r>
      <w:r>
        <w:rPr>
          <w:rFonts w:hint="eastAsia"/>
          <w:rtl/>
        </w:rPr>
        <w:t>ذا</w:t>
      </w:r>
      <w:r>
        <w:rPr>
          <w:rtl/>
        </w:rPr>
        <w:t xml:space="preserve"> ف</w:t>
      </w:r>
      <w:r>
        <w:rPr>
          <w:rFonts w:hint="cs"/>
          <w:rtl/>
        </w:rPr>
        <w:t>ـ</w:t>
      </w:r>
      <w:r>
        <w:rPr>
          <w:rtl/>
        </w:rPr>
        <w:t>ي ج</w:t>
      </w:r>
      <w:r>
        <w:rPr>
          <w:rFonts w:hint="cs"/>
          <w:rtl/>
        </w:rPr>
        <w:t>ـ</w:t>
      </w:r>
      <w:r>
        <w:rPr>
          <w:rtl/>
        </w:rPr>
        <w:t>مي</w:t>
      </w:r>
      <w:r>
        <w:rPr>
          <w:rFonts w:hint="cs"/>
          <w:rtl/>
        </w:rPr>
        <w:t>ـ</w:t>
      </w:r>
      <w:r>
        <w:rPr>
          <w:rtl/>
        </w:rPr>
        <w:t>ع ال</w:t>
      </w:r>
      <w:r>
        <w:rPr>
          <w:rFonts w:hint="cs"/>
          <w:rtl/>
        </w:rPr>
        <w:t>ـ</w:t>
      </w:r>
      <w:r>
        <w:rPr>
          <w:rtl/>
        </w:rPr>
        <w:t>ن</w:t>
      </w:r>
      <w:r>
        <w:rPr>
          <w:rFonts w:hint="cs"/>
          <w:rtl/>
        </w:rPr>
        <w:t>ـ</w:t>
      </w:r>
      <w:r>
        <w:rPr>
          <w:rtl/>
        </w:rPr>
        <w:t>س</w:t>
      </w:r>
      <w:r>
        <w:rPr>
          <w:rFonts w:hint="cs"/>
          <w:rtl/>
        </w:rPr>
        <w:t>ـ</w:t>
      </w:r>
      <w:r>
        <w:rPr>
          <w:rtl/>
        </w:rPr>
        <w:t>خ. والص</w:t>
      </w:r>
      <w:r>
        <w:rPr>
          <w:rFonts w:hint="cs"/>
          <w:rtl/>
        </w:rPr>
        <w:t>ـ</w:t>
      </w:r>
      <w:r>
        <w:rPr>
          <w:rtl/>
        </w:rPr>
        <w:t>حي</w:t>
      </w:r>
      <w:r>
        <w:rPr>
          <w:rFonts w:hint="cs"/>
          <w:rtl/>
        </w:rPr>
        <w:t>ـ</w:t>
      </w:r>
      <w:r>
        <w:rPr>
          <w:rtl/>
        </w:rPr>
        <w:t xml:space="preserve">ح : </w:t>
      </w:r>
      <w:r>
        <w:rPr>
          <w:rFonts w:hint="eastAsia"/>
          <w:rtl/>
        </w:rPr>
        <w:t>واق</w:t>
      </w:r>
      <w:r>
        <w:rPr>
          <w:rFonts w:hint="cs"/>
          <w:rtl/>
        </w:rPr>
        <w:t>ـ</w:t>
      </w:r>
      <w:r>
        <w:rPr>
          <w:rFonts w:hint="eastAsia"/>
          <w:rtl/>
        </w:rPr>
        <w:t>ع</w:t>
      </w:r>
      <w:r>
        <w:rPr>
          <w:rFonts w:hint="cs"/>
          <w:rtl/>
        </w:rPr>
        <w:t>ـ</w:t>
      </w:r>
      <w:r>
        <w:rPr>
          <w:rFonts w:hint="eastAsia"/>
          <w:rtl/>
        </w:rPr>
        <w:t>ة؛</w:t>
      </w:r>
      <w:r>
        <w:rPr>
          <w:rtl/>
        </w:rPr>
        <w:t xml:space="preserve"> </w:t>
      </w:r>
      <w:r>
        <w:rPr>
          <w:rFonts w:hint="eastAsia"/>
          <w:rtl/>
        </w:rPr>
        <w:t>لأنه</w:t>
      </w:r>
      <w:r>
        <w:rPr>
          <w:rtl/>
        </w:rPr>
        <w:t xml:space="preserve"> يخبر عن (مسألة المبسوط) وليس </w:t>
      </w:r>
      <w:r>
        <w:rPr>
          <w:rFonts w:hint="cs"/>
          <w:rtl/>
        </w:rPr>
        <w:t>(</w:t>
      </w:r>
      <w:r>
        <w:rPr>
          <w:rtl/>
        </w:rPr>
        <w:t>ال</w:t>
      </w:r>
      <w:r>
        <w:rPr>
          <w:rFonts w:hint="cs"/>
          <w:rtl/>
        </w:rPr>
        <w:t>ـ</w:t>
      </w:r>
      <w:r>
        <w:rPr>
          <w:rtl/>
        </w:rPr>
        <w:t>مبسوط</w:t>
      </w:r>
      <w:r>
        <w:rPr>
          <w:rFonts w:hint="cs"/>
          <w:rtl/>
        </w:rPr>
        <w:t>)</w:t>
      </w:r>
      <w:r>
        <w:rPr>
          <w:rtl/>
        </w:rPr>
        <w:t>.</w:t>
      </w:r>
    </w:p>
  </w:footnote>
  <w:footnote w:id="1481">
    <w:p w:rsidR="00035BE3" w:rsidRDefault="00035BE3" w:rsidP="00C10469">
      <w:pPr>
        <w:pStyle w:val="a8"/>
        <w:bidi/>
        <w:spacing w:line="228" w:lineRule="auto"/>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«بالإنفاق» (بالنون).</w:t>
      </w:r>
    </w:p>
  </w:footnote>
  <w:footnote w:id="1482">
    <w:p w:rsidR="00035BE3" w:rsidRDefault="00035BE3" w:rsidP="00C10469">
      <w:pPr>
        <w:pStyle w:val="a8"/>
        <w:bidi/>
        <w:spacing w:line="228" w:lineRule="auto"/>
        <w:ind w:left="422" w:right="0"/>
        <w:rPr>
          <w:spacing w:val="8"/>
          <w:rtl/>
        </w:rPr>
      </w:pPr>
      <w:r>
        <w:rPr>
          <w:spacing w:val="8"/>
          <w:vertAlign w:val="superscript"/>
          <w:rtl/>
        </w:rPr>
        <w:t>(</w:t>
      </w:r>
      <w:r>
        <w:rPr>
          <w:rStyle w:val="a7"/>
          <w:spacing w:val="8"/>
        </w:rPr>
        <w:footnoteRef/>
      </w:r>
      <w:r>
        <w:rPr>
          <w:spacing w:val="8"/>
          <w:vertAlign w:val="superscript"/>
          <w:rtl/>
        </w:rPr>
        <w:t>)</w:t>
      </w:r>
      <w:r>
        <w:rPr>
          <w:spacing w:val="8"/>
          <w:rtl/>
        </w:rPr>
        <w:t xml:space="preserve">  </w:t>
      </w:r>
      <w:r>
        <w:rPr>
          <w:rFonts w:hint="eastAsia"/>
          <w:spacing w:val="8"/>
          <w:rtl/>
        </w:rPr>
        <w:t>في</w:t>
      </w:r>
      <w:r>
        <w:rPr>
          <w:spacing w:val="8"/>
          <w:rtl/>
        </w:rPr>
        <w:t xml:space="preserve"> هامش (أ) بخط مغاير : «أي المبسوط </w:t>
      </w:r>
      <w:r>
        <w:rPr>
          <w:rFonts w:hint="eastAsia"/>
          <w:spacing w:val="8"/>
          <w:rtl/>
        </w:rPr>
        <w:t>والهداية»</w:t>
      </w:r>
      <w:r>
        <w:rPr>
          <w:spacing w:val="8"/>
          <w:rtl/>
        </w:rPr>
        <w:t>. والذي يظهر</w:t>
      </w:r>
      <w:r>
        <w:rPr>
          <w:rFonts w:hint="cs"/>
          <w:spacing w:val="8"/>
          <w:rtl/>
        </w:rPr>
        <w:t xml:space="preserve"> -والله أعلم-</w:t>
      </w:r>
      <w:r>
        <w:rPr>
          <w:spacing w:val="8"/>
          <w:rtl/>
        </w:rPr>
        <w:t xml:space="preserve"> أن هذا التعليق مجانب للصواب</w:t>
      </w:r>
      <w:r>
        <w:rPr>
          <w:rFonts w:hint="cs"/>
          <w:spacing w:val="8"/>
          <w:rtl/>
        </w:rPr>
        <w:t>؛</w:t>
      </w:r>
      <w:r>
        <w:rPr>
          <w:spacing w:val="8"/>
          <w:rtl/>
        </w:rPr>
        <w:t xml:space="preserve"> </w:t>
      </w:r>
      <w:r w:rsidRPr="006F76F6">
        <w:rPr>
          <w:rtl/>
        </w:rPr>
        <w:t>لأن المؤلف يحكي</w:t>
      </w:r>
      <w:r w:rsidRPr="006F76F6">
        <w:rPr>
          <w:rFonts w:hint="cs"/>
          <w:rtl/>
        </w:rPr>
        <w:t>:</w:t>
      </w:r>
      <w:r w:rsidRPr="006F76F6">
        <w:rPr>
          <w:rtl/>
        </w:rPr>
        <w:t xml:space="preserve"> </w:t>
      </w:r>
      <w:r w:rsidRPr="006F76F6">
        <w:rPr>
          <w:rFonts w:hint="cs"/>
          <w:rtl/>
        </w:rPr>
        <w:t>(</w:t>
      </w:r>
      <w:r w:rsidRPr="006F76F6">
        <w:rPr>
          <w:rtl/>
        </w:rPr>
        <w:t xml:space="preserve">دليلهما في </w:t>
      </w:r>
      <w:r w:rsidRPr="006F76F6">
        <w:rPr>
          <w:rFonts w:hint="eastAsia"/>
          <w:rtl/>
        </w:rPr>
        <w:t>وقوع</w:t>
      </w:r>
      <w:r w:rsidRPr="006F76F6">
        <w:rPr>
          <w:rtl/>
        </w:rPr>
        <w:t xml:space="preserve"> الطلاق</w:t>
      </w:r>
      <w:r w:rsidRPr="006F76F6">
        <w:rPr>
          <w:rFonts w:hint="cs"/>
          <w:rtl/>
        </w:rPr>
        <w:t>)</w:t>
      </w:r>
      <w:r w:rsidRPr="006F76F6">
        <w:rPr>
          <w:rtl/>
        </w:rPr>
        <w:t xml:space="preserve"> وهما لم يتطرقا إلى الطلاق أصلاً، واللذان تطرقا للطلاق هما شمس </w:t>
      </w:r>
      <w:r w:rsidRPr="006F76F6">
        <w:rPr>
          <w:rFonts w:hint="eastAsia"/>
          <w:rtl/>
        </w:rPr>
        <w:t>الأئمة</w:t>
      </w:r>
      <w:r w:rsidRPr="006F76F6">
        <w:rPr>
          <w:rtl/>
        </w:rPr>
        <w:t xml:space="preserve"> وفخر الإسلام - المُصرَّح بهما ص</w:t>
      </w:r>
      <w:r w:rsidRPr="006F76F6">
        <w:rPr>
          <w:rFonts w:hint="cs"/>
          <w:rtl/>
        </w:rPr>
        <w:t>441 (ل24/ب)</w:t>
      </w:r>
      <w:r>
        <w:rPr>
          <w:rtl/>
        </w:rPr>
        <w:t>–</w:t>
      </w:r>
      <w:r w:rsidRPr="006F76F6">
        <w:rPr>
          <w:rtl/>
        </w:rPr>
        <w:t xml:space="preserve"> </w:t>
      </w:r>
      <w:r>
        <w:rPr>
          <w:rFonts w:hint="cs"/>
          <w:rtl/>
        </w:rPr>
        <w:t xml:space="preserve">والذي يدل عليه السياق اللاحق أن المراد بضمير التثنية هنا: الإمام أبو حنيفة ومحمد؛ لأنه قال في الصفحة اللاحقة: </w:t>
      </w:r>
      <w:r>
        <w:rPr>
          <w:rtl/>
        </w:rPr>
        <w:t>«</w:t>
      </w:r>
      <w:r>
        <w:rPr>
          <w:rFonts w:hint="cs"/>
          <w:rtl/>
        </w:rPr>
        <w:t>وعند أبي يوسف...</w:t>
      </w:r>
      <w:r w:rsidRPr="009031C1">
        <w:rPr>
          <w:rFonts w:hint="cs"/>
          <w:rtl/>
        </w:rPr>
        <w:t xml:space="preserve"> </w:t>
      </w:r>
      <w:r>
        <w:rPr>
          <w:rFonts w:hint="cs"/>
          <w:rtl/>
        </w:rPr>
        <w:t xml:space="preserve">» </w:t>
      </w:r>
      <w:r>
        <w:rPr>
          <w:spacing w:val="8"/>
          <w:rtl/>
        </w:rPr>
        <w:t>.</w:t>
      </w:r>
    </w:p>
  </w:footnote>
  <w:footnote w:id="1483">
    <w:p w:rsidR="00035BE3" w:rsidRDefault="00035BE3" w:rsidP="00C10469">
      <w:pPr>
        <w:pStyle w:val="a8"/>
        <w:bidi/>
        <w:spacing w:line="228" w:lineRule="auto"/>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«لأن».</w:t>
      </w:r>
    </w:p>
  </w:footnote>
  <w:footnote w:id="1484">
    <w:p w:rsidR="00035BE3" w:rsidRDefault="00035BE3" w:rsidP="00C10469">
      <w:pPr>
        <w:pStyle w:val="a8"/>
        <w:bidi/>
        <w:spacing w:line="228" w:lineRule="auto"/>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هذه</w:t>
      </w:r>
      <w:r>
        <w:rPr>
          <w:rtl/>
        </w:rPr>
        <w:t xml:space="preserve"> قاعدة سبق أن أفردها المؤلف بالحديث،</w:t>
      </w:r>
      <w:r>
        <w:rPr>
          <w:rFonts w:hint="cs"/>
          <w:rtl/>
        </w:rPr>
        <w:t xml:space="preserve"> ص322 (ل</w:t>
      </w:r>
      <w:r>
        <w:rPr>
          <w:rtl/>
        </w:rPr>
        <w:t>11/أ</w:t>
      </w:r>
      <w:r>
        <w:rPr>
          <w:rFonts w:hint="cs"/>
          <w:rtl/>
        </w:rPr>
        <w:t>)</w:t>
      </w:r>
      <w:r>
        <w:rPr>
          <w:rtl/>
        </w:rPr>
        <w:t>، قاعدة 27، ولفظه هناك: «الأصل العدم في الصفات العارضة».</w:t>
      </w:r>
    </w:p>
  </w:footnote>
  <w:footnote w:id="148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«تـثـبـت».</w:t>
      </w:r>
    </w:p>
  </w:footnote>
  <w:footnote w:id="148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الضمير</w:t>
      </w:r>
      <w:r>
        <w:rPr>
          <w:rtl/>
        </w:rPr>
        <w:t xml:space="preserve"> يعود إلى : الزيادة المذكورة </w:t>
      </w:r>
      <w:r>
        <w:rPr>
          <w:rFonts w:hint="eastAsia"/>
          <w:rtl/>
        </w:rPr>
        <w:t>ص</w:t>
      </w:r>
      <w:r>
        <w:rPr>
          <w:rFonts w:hint="cs"/>
          <w:rtl/>
        </w:rPr>
        <w:t>442 (ل24/ب)،</w:t>
      </w:r>
      <w:r>
        <w:rPr>
          <w:rtl/>
        </w:rPr>
        <w:t xml:space="preserve"> في </w:t>
      </w:r>
      <w:r>
        <w:rPr>
          <w:rFonts w:hint="cs"/>
          <w:rtl/>
        </w:rPr>
        <w:t>أ</w:t>
      </w:r>
      <w:r>
        <w:rPr>
          <w:rtl/>
        </w:rPr>
        <w:t>ثنا</w:t>
      </w:r>
      <w:r>
        <w:rPr>
          <w:rFonts w:hint="cs"/>
          <w:rtl/>
        </w:rPr>
        <w:t>ء</w:t>
      </w:r>
      <w:r>
        <w:rPr>
          <w:rtl/>
        </w:rPr>
        <w:t xml:space="preserve"> قوله: «إذا قال الشاهدان إن الزوج لم يقل هذه الزيادة : قُبلت </w:t>
      </w:r>
      <w:r>
        <w:rPr>
          <w:rFonts w:hint="eastAsia"/>
          <w:rtl/>
        </w:rPr>
        <w:t>الشهادة</w:t>
      </w:r>
      <w:r>
        <w:rPr>
          <w:rtl/>
        </w:rPr>
        <w:t xml:space="preserve"> ...».</w:t>
      </w:r>
    </w:p>
    <w:p w:rsidR="00035BE3" w:rsidRDefault="00035BE3" w:rsidP="00C10469">
      <w:pPr>
        <w:pStyle w:val="a6"/>
        <w:ind w:left="422" w:firstLine="0"/>
        <w:rPr>
          <w:rtl/>
        </w:rPr>
      </w:pPr>
      <w:r>
        <w:rPr>
          <w:rFonts w:hint="eastAsia"/>
          <w:rtl/>
        </w:rPr>
        <w:t>والمعنى</w:t>
      </w:r>
      <w:r>
        <w:rPr>
          <w:rtl/>
        </w:rPr>
        <w:t xml:space="preserve"> : حكمنا أن </w:t>
      </w:r>
      <w:r>
        <w:rPr>
          <w:rFonts w:hint="eastAsia"/>
          <w:rtl/>
        </w:rPr>
        <w:t>الزوج</w:t>
      </w:r>
      <w:r>
        <w:rPr>
          <w:rtl/>
        </w:rPr>
        <w:t xml:space="preserve"> عندما طلق، أو قال : المسيح ابن الله : لم يُدخل على كلامه الزيادة -المصرح </w:t>
      </w:r>
      <w:r>
        <w:rPr>
          <w:rFonts w:hint="eastAsia"/>
          <w:rtl/>
        </w:rPr>
        <w:t>بحقيقتها</w:t>
      </w:r>
      <w:r>
        <w:rPr>
          <w:rtl/>
        </w:rPr>
        <w:t xml:space="preserve"> </w:t>
      </w:r>
      <w:r>
        <w:rPr>
          <w:rFonts w:hint="cs"/>
          <w:rtl/>
        </w:rPr>
        <w:t xml:space="preserve">ص432 (ل24/ب) </w:t>
      </w:r>
      <w:r>
        <w:rPr>
          <w:rtl/>
        </w:rPr>
        <w:t>- وهي الاستثناء في الطلاق، أو قوله : قالت النصارى.</w:t>
      </w:r>
    </w:p>
  </w:footnote>
  <w:footnote w:id="148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«الأصل».</w:t>
      </w:r>
    </w:p>
    <w:p w:rsidR="00035BE3" w:rsidRDefault="00035BE3" w:rsidP="00C10469">
      <w:pPr>
        <w:pStyle w:val="a6"/>
        <w:ind w:left="422" w:firstLine="0"/>
        <w:rPr>
          <w:rtl/>
        </w:rPr>
      </w:pPr>
      <w:r>
        <w:rPr>
          <w:rFonts w:hint="eastAsia"/>
          <w:rtl/>
        </w:rPr>
        <w:t>والمعنى</w:t>
      </w:r>
      <w:r>
        <w:rPr>
          <w:rtl/>
        </w:rPr>
        <w:t xml:space="preserve"> : لأن عدم </w:t>
      </w:r>
      <w:r>
        <w:rPr>
          <w:rFonts w:hint="eastAsia"/>
          <w:rtl/>
        </w:rPr>
        <w:t>الدخول</w:t>
      </w:r>
      <w:r>
        <w:rPr>
          <w:rtl/>
        </w:rPr>
        <w:t xml:space="preserve"> هو الأصل</w:t>
      </w:r>
      <w:r>
        <w:rPr>
          <w:rFonts w:hint="cs"/>
          <w:rtl/>
        </w:rPr>
        <w:t>؛</w:t>
      </w:r>
      <w:r>
        <w:rPr>
          <w:rtl/>
        </w:rPr>
        <w:t xml:space="preserve"> لأنه حادث و«الأصل في الحوادث العدم».</w:t>
      </w:r>
    </w:p>
  </w:footnote>
  <w:footnote w:id="148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«فتحقق».</w:t>
      </w:r>
    </w:p>
  </w:footnote>
  <w:footnote w:id="148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19/أ من (جـ).</w:t>
      </w:r>
    </w:p>
  </w:footnote>
  <w:footnote w:id="149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جميع النسخ (بلا إثبات الألف). </w:t>
      </w:r>
      <w:r>
        <w:rPr>
          <w:rFonts w:hint="eastAsia"/>
          <w:rtl/>
        </w:rPr>
        <w:t>والصحيح</w:t>
      </w:r>
      <w:r>
        <w:rPr>
          <w:rtl/>
        </w:rPr>
        <w:t xml:space="preserve"> إثباتها؛ لأن (مسلمًا) خبر </w:t>
      </w:r>
      <w:r>
        <w:rPr>
          <w:rFonts w:hint="cs"/>
          <w:rtl/>
        </w:rPr>
        <w:t>(</w:t>
      </w:r>
      <w:r>
        <w:rPr>
          <w:rtl/>
        </w:rPr>
        <w:t>كون</w:t>
      </w:r>
      <w:r>
        <w:rPr>
          <w:rFonts w:hint="cs"/>
          <w:rtl/>
        </w:rPr>
        <w:t>)</w:t>
      </w:r>
      <w:r>
        <w:rPr>
          <w:rtl/>
        </w:rPr>
        <w:t xml:space="preserve"> وخبرها يكون منصوبًا لا مرفوعًا</w:t>
      </w:r>
      <w:r>
        <w:rPr>
          <w:rFonts w:hint="cs"/>
          <w:rtl/>
        </w:rPr>
        <w:t>؛ لأنها مصدر (كان)، وكان ممّا يتصرّف تصرّفًا تامًّا، فلمصدره ماله من العمل.</w:t>
      </w:r>
    </w:p>
    <w:p w:rsidR="00035BE3" w:rsidRDefault="00035BE3" w:rsidP="00C10469">
      <w:pPr>
        <w:pStyle w:val="a8"/>
        <w:bidi/>
        <w:ind w:left="422" w:right="0" w:firstLine="0"/>
        <w:rPr>
          <w:rtl/>
        </w:rPr>
      </w:pPr>
      <w:r>
        <w:rPr>
          <w:rFonts w:hint="cs"/>
          <w:rtl/>
        </w:rPr>
        <w:t>انظر : أوضح المسالك وشرحه : ضياء السالك، 1/244.</w:t>
      </w:r>
      <w:r>
        <w:rPr>
          <w:rtl/>
        </w:rPr>
        <w:t xml:space="preserve"> </w:t>
      </w:r>
    </w:p>
  </w:footnote>
  <w:footnote w:id="14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نهاية</w:t>
      </w:r>
      <w:r>
        <w:rPr>
          <w:rtl/>
        </w:rPr>
        <w:t xml:space="preserve"> 25/أ من (أ).</w:t>
      </w:r>
    </w:p>
  </w:footnote>
  <w:footnote w:id="149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جميع النسخ</w:t>
      </w:r>
      <w:r>
        <w:rPr>
          <w:rFonts w:hint="cs"/>
          <w:rtl/>
        </w:rPr>
        <w:t>.</w:t>
      </w:r>
      <w:r>
        <w:rPr>
          <w:rtl/>
        </w:rPr>
        <w:t xml:space="preserve"> </w:t>
      </w:r>
      <w:r>
        <w:rPr>
          <w:rFonts w:hint="eastAsia"/>
          <w:rtl/>
        </w:rPr>
        <w:t>ولعل</w:t>
      </w:r>
      <w:r>
        <w:rPr>
          <w:rtl/>
        </w:rPr>
        <w:t xml:space="preserve"> السبب في تذكير</w:t>
      </w:r>
      <w:r>
        <w:rPr>
          <w:rFonts w:hint="cs"/>
          <w:rtl/>
        </w:rPr>
        <w:t xml:space="preserve"> الضمير</w:t>
      </w:r>
      <w:r>
        <w:rPr>
          <w:rtl/>
        </w:rPr>
        <w:t xml:space="preserve"> : كونه يرجع إلى الأصل. ولو أن</w:t>
      </w:r>
      <w:r>
        <w:rPr>
          <w:rFonts w:hint="cs"/>
          <w:rtl/>
        </w:rPr>
        <w:t>ـثـ</w:t>
      </w:r>
      <w:r>
        <w:rPr>
          <w:rtl/>
        </w:rPr>
        <w:t xml:space="preserve">ه؛ لكونه يعود على الضرورات </w:t>
      </w:r>
      <w:r>
        <w:rPr>
          <w:rFonts w:hint="eastAsia"/>
          <w:rtl/>
        </w:rPr>
        <w:t>لكان</w:t>
      </w:r>
      <w:r>
        <w:rPr>
          <w:rtl/>
        </w:rPr>
        <w:t xml:space="preserve"> أقرب إلى الصواب -والله أعلم-.</w:t>
      </w:r>
    </w:p>
  </w:footnote>
  <w:footnote w:id="149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و(د) : «بشهادة».</w:t>
      </w:r>
    </w:p>
  </w:footnote>
  <w:footnote w:id="149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به</w:t>
      </w:r>
      <w:r>
        <w:rPr>
          <w:rtl/>
        </w:rPr>
        <w:t xml:space="preserve"> : أي بالنفي.</w:t>
      </w:r>
    </w:p>
  </w:footnote>
  <w:footnote w:id="149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في</w:t>
      </w:r>
      <w:r>
        <w:rPr>
          <w:rtl/>
        </w:rPr>
        <w:t xml:space="preserve"> (د) : «للثابت». وهذا الأولى.</w:t>
      </w:r>
    </w:p>
  </w:footnote>
  <w:footnote w:id="1496">
    <w:p w:rsidR="00035BE3" w:rsidRPr="0073492F"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sidRPr="0073492F">
        <w:rPr>
          <w:rFonts w:hint="eastAsia"/>
          <w:sz w:val="28"/>
          <w:rtl/>
        </w:rPr>
        <w:t>في</w:t>
      </w:r>
      <w:r w:rsidRPr="0073492F">
        <w:rPr>
          <w:sz w:val="28"/>
          <w:rtl/>
        </w:rPr>
        <w:t xml:space="preserve"> (أ) و(جـ): «أصلين». والصحيح ما تمَّ إثباته </w:t>
      </w:r>
      <w:r w:rsidRPr="0073492F">
        <w:rPr>
          <w:rFonts w:hint="eastAsia"/>
          <w:sz w:val="28"/>
          <w:rtl/>
        </w:rPr>
        <w:t>من</w:t>
      </w:r>
      <w:r w:rsidRPr="0073492F">
        <w:rPr>
          <w:sz w:val="28"/>
          <w:rtl/>
        </w:rPr>
        <w:t xml:space="preserve"> (ب) و(د)؛ لأن (</w:t>
      </w:r>
      <w:r w:rsidRPr="0073492F">
        <w:rPr>
          <w:rFonts w:hint="cs"/>
          <w:sz w:val="28"/>
          <w:rtl/>
        </w:rPr>
        <w:t>أ</w:t>
      </w:r>
      <w:r w:rsidRPr="0073492F">
        <w:rPr>
          <w:sz w:val="28"/>
          <w:rtl/>
        </w:rPr>
        <w:t xml:space="preserve">صلان) </w:t>
      </w:r>
      <w:r w:rsidRPr="0073492F">
        <w:rPr>
          <w:rFonts w:hint="cs"/>
          <w:sz w:val="28"/>
          <w:rtl/>
        </w:rPr>
        <w:t>ا</w:t>
      </w:r>
      <w:r w:rsidRPr="0073492F">
        <w:rPr>
          <w:sz w:val="28"/>
          <w:rtl/>
        </w:rPr>
        <w:t>سم يكون، فيكون حكمه الرفع لا النصب.</w:t>
      </w:r>
    </w:p>
  </w:footnote>
  <w:footnote w:id="1497">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16/ب من (د).</w:t>
      </w:r>
    </w:p>
  </w:footnote>
  <w:footnote w:id="1498">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وم</w:t>
      </w:r>
      <w:r>
        <w:rPr>
          <w:rFonts w:hint="cs"/>
          <w:rtl/>
        </w:rPr>
        <w:t>ـ</w:t>
      </w:r>
      <w:r>
        <w:rPr>
          <w:rFonts w:hint="eastAsia"/>
          <w:rtl/>
        </w:rPr>
        <w:t>مّن</w:t>
      </w:r>
      <w:r>
        <w:rPr>
          <w:rtl/>
        </w:rPr>
        <w:t xml:space="preserve"> قال بهذا التوجيه</w:t>
      </w:r>
      <w:r>
        <w:rPr>
          <w:rFonts w:hint="cs"/>
          <w:rtl/>
        </w:rPr>
        <w:t>:</w:t>
      </w:r>
      <w:r>
        <w:rPr>
          <w:rtl/>
        </w:rPr>
        <w:t xml:space="preserve"> صاحب (الهداية)</w:t>
      </w:r>
      <w:r>
        <w:rPr>
          <w:rFonts w:hint="cs"/>
          <w:rtl/>
        </w:rPr>
        <w:t>،</w:t>
      </w:r>
      <w:r>
        <w:rPr>
          <w:rtl/>
        </w:rPr>
        <w:t xml:space="preserve"> وقد </w:t>
      </w:r>
      <w:r>
        <w:rPr>
          <w:rFonts w:hint="eastAsia"/>
          <w:rtl/>
        </w:rPr>
        <w:t>سبق</w:t>
      </w:r>
      <w:r>
        <w:rPr>
          <w:rtl/>
        </w:rPr>
        <w:t xml:space="preserve"> أن صرّح المؤلف بذلك، ص</w:t>
      </w:r>
      <w:r>
        <w:rPr>
          <w:rFonts w:hint="cs"/>
          <w:rtl/>
        </w:rPr>
        <w:t>439 (ل24/ب)</w:t>
      </w:r>
      <w:r>
        <w:rPr>
          <w:rtl/>
        </w:rPr>
        <w:t>.</w:t>
      </w:r>
    </w:p>
  </w:footnote>
  <w:footnote w:id="1499">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«فلم»</w:t>
      </w:r>
      <w:r>
        <w:rPr>
          <w:rtl/>
        </w:rPr>
        <w:t xml:space="preserve"> : ساقطة من (ب).</w:t>
      </w:r>
    </w:p>
  </w:footnote>
  <w:footnote w:id="1500">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«أنه»</w:t>
      </w:r>
      <w:r>
        <w:rPr>
          <w:rtl/>
        </w:rPr>
        <w:t xml:space="preserve"> : ليست في (ب). وهذا الأولى.</w:t>
      </w:r>
    </w:p>
  </w:footnote>
  <w:footnote w:id="1501">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و(ب) و(جـ) و(هـ) : «يستثني» (</w:t>
      </w:r>
      <w:r>
        <w:rPr>
          <w:rFonts w:hint="cs"/>
          <w:rtl/>
        </w:rPr>
        <w:t>بز</w:t>
      </w:r>
      <w:r>
        <w:rPr>
          <w:rtl/>
        </w:rPr>
        <w:t xml:space="preserve">يادة </w:t>
      </w:r>
      <w:r>
        <w:rPr>
          <w:rFonts w:hint="eastAsia"/>
          <w:rtl/>
        </w:rPr>
        <w:t>الياء</w:t>
      </w:r>
      <w:r>
        <w:rPr>
          <w:rtl/>
        </w:rPr>
        <w:t>). والصحيح ما تمَّ إثباته من (</w:t>
      </w:r>
      <w:r>
        <w:rPr>
          <w:rFonts w:hint="cs"/>
          <w:rtl/>
        </w:rPr>
        <w:t>د</w:t>
      </w:r>
      <w:r>
        <w:rPr>
          <w:rtl/>
        </w:rPr>
        <w:t>) ومن (</w:t>
      </w:r>
      <w:r>
        <w:rPr>
          <w:rFonts w:hint="cs"/>
          <w:rtl/>
        </w:rPr>
        <w:t>و</w:t>
      </w:r>
      <w:r>
        <w:rPr>
          <w:rtl/>
        </w:rPr>
        <w:t xml:space="preserve">)؛ لأن (يستثن) فعل مضارع مجزوم بلم، </w:t>
      </w:r>
      <w:r>
        <w:rPr>
          <w:rFonts w:hint="eastAsia"/>
          <w:rtl/>
        </w:rPr>
        <w:t>وعلامة</w:t>
      </w:r>
      <w:r>
        <w:rPr>
          <w:rtl/>
        </w:rPr>
        <w:t xml:space="preserve"> جزمه حذف حرف العلة.</w:t>
      </w:r>
    </w:p>
  </w:footnote>
  <w:footnote w:id="1502">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«قول».</w:t>
      </w:r>
    </w:p>
  </w:footnote>
  <w:footnote w:id="1503">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من</w:t>
      </w:r>
      <w:r>
        <w:rPr>
          <w:rtl/>
        </w:rPr>
        <w:t xml:space="preserve"> ال</w:t>
      </w:r>
      <w:r>
        <w:rPr>
          <w:rFonts w:hint="cs"/>
          <w:rtl/>
        </w:rPr>
        <w:t>آ</w:t>
      </w:r>
      <w:r>
        <w:rPr>
          <w:rtl/>
        </w:rPr>
        <w:t xml:space="preserve">ية </w:t>
      </w:r>
      <w:r>
        <w:rPr>
          <w:rFonts w:hint="cs"/>
          <w:rtl/>
        </w:rPr>
        <w:t xml:space="preserve">رقم </w:t>
      </w:r>
      <w:r>
        <w:rPr>
          <w:rtl/>
        </w:rPr>
        <w:t>(30) من سورة (التوبة).</w:t>
      </w:r>
    </w:p>
  </w:footnote>
  <w:footnote w:id="1504">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 أطلق ».</w:t>
      </w:r>
    </w:p>
  </w:footnote>
  <w:footnote w:id="150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هذه</w:t>
      </w:r>
      <w:r>
        <w:rPr>
          <w:rtl/>
        </w:rPr>
        <w:t xml:space="preserve"> قاعدة سبق أن أفردها المؤلف بالحديث، </w:t>
      </w:r>
      <w:r>
        <w:rPr>
          <w:rFonts w:hint="eastAsia"/>
          <w:rtl/>
        </w:rPr>
        <w:t>وذلك</w:t>
      </w:r>
      <w:r>
        <w:rPr>
          <w:rFonts w:hint="cs"/>
          <w:rtl/>
        </w:rPr>
        <w:t>،</w:t>
      </w:r>
      <w:r>
        <w:rPr>
          <w:rtl/>
        </w:rPr>
        <w:t xml:space="preserve"> ص</w:t>
      </w:r>
      <w:r>
        <w:rPr>
          <w:rFonts w:hint="cs"/>
          <w:rtl/>
        </w:rPr>
        <w:t>322</w:t>
      </w:r>
      <w:r>
        <w:rPr>
          <w:rtl/>
        </w:rPr>
        <w:t xml:space="preserve"> </w:t>
      </w:r>
      <w:r>
        <w:rPr>
          <w:rFonts w:hint="cs"/>
          <w:rtl/>
        </w:rPr>
        <w:t>(ل</w:t>
      </w:r>
      <w:r>
        <w:rPr>
          <w:rtl/>
        </w:rPr>
        <w:t>11/أ</w:t>
      </w:r>
      <w:r>
        <w:rPr>
          <w:rFonts w:hint="cs"/>
          <w:rtl/>
        </w:rPr>
        <w:t>)</w:t>
      </w:r>
      <w:r>
        <w:rPr>
          <w:rtl/>
        </w:rPr>
        <w:t>، قاعدة 27.</w:t>
      </w:r>
    </w:p>
  </w:footnote>
  <w:footnote w:id="150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17/أ من (ب).</w:t>
      </w:r>
    </w:p>
  </w:footnote>
  <w:footnote w:id="15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هذا سبق لسان، والصحيح : (ودليل محمد)؛ لأن الخلاف بين أبي حنيفة وأبي يوسف من جهة ومحمد من جهة أخرى، وقد سبق ذكر دليلهما في الصفحة السابقة، أما دليل محمد في التفريق بين نفي ونفي ... فقد سبق في مواضع متعددة، منها ص432 </w:t>
      </w:r>
      <w:r>
        <w:rPr>
          <w:rtl/>
        </w:rPr>
        <w:t>–</w:t>
      </w:r>
      <w:r>
        <w:rPr>
          <w:rFonts w:hint="cs"/>
          <w:rtl/>
        </w:rPr>
        <w:t>والله أعلم-.</w:t>
      </w:r>
    </w:p>
  </w:footnote>
  <w:footnote w:id="150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25/ب من (أ).</w:t>
      </w:r>
    </w:p>
  </w:footnote>
  <w:footnote w:id="150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 إعادة ».</w:t>
      </w:r>
    </w:p>
  </w:footnote>
  <w:footnote w:id="151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 من ».</w:t>
      </w:r>
    </w:p>
  </w:footnote>
  <w:footnote w:id="151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ص250-251.</w:t>
      </w:r>
    </w:p>
  </w:footnote>
  <w:footnote w:id="151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(ب)، وفي باقي النسخ : «عشرة». </w:t>
      </w:r>
      <w:r>
        <w:rPr>
          <w:rFonts w:hint="eastAsia"/>
          <w:rtl/>
        </w:rPr>
        <w:t>والصحيح</w:t>
      </w:r>
      <w:r>
        <w:rPr>
          <w:rtl/>
        </w:rPr>
        <w:t xml:space="preserve"> ما تم إثباته من (ب)؛ لأن (عشرة) إذا </w:t>
      </w:r>
      <w:r>
        <w:rPr>
          <w:rFonts w:hint="cs"/>
          <w:rtl/>
        </w:rPr>
        <w:t>أ</w:t>
      </w:r>
      <w:r>
        <w:rPr>
          <w:rtl/>
        </w:rPr>
        <w:t xml:space="preserve">فردت تخالف المعدود في التذكير </w:t>
      </w:r>
      <w:r>
        <w:rPr>
          <w:rFonts w:hint="eastAsia"/>
          <w:rtl/>
        </w:rPr>
        <w:t>والتأنيث،</w:t>
      </w:r>
      <w:r>
        <w:rPr>
          <w:rtl/>
        </w:rPr>
        <w:t xml:space="preserve"> والمعدود مؤنث (وهو مسألة) فوجب تذكيرها. </w:t>
      </w:r>
    </w:p>
    <w:p w:rsidR="00035BE3" w:rsidRDefault="00035BE3" w:rsidP="00C10469">
      <w:pPr>
        <w:pStyle w:val="a6"/>
        <w:ind w:left="422" w:firstLine="0"/>
        <w:rPr>
          <w:rtl/>
        </w:rPr>
      </w:pPr>
      <w:r>
        <w:rPr>
          <w:rtl/>
        </w:rPr>
        <w:t>انظر</w:t>
      </w:r>
      <w:r>
        <w:rPr>
          <w:rFonts w:hint="cs"/>
          <w:rtl/>
        </w:rPr>
        <w:t xml:space="preserve"> :</w:t>
      </w:r>
      <w:r>
        <w:rPr>
          <w:rtl/>
        </w:rPr>
        <w:t xml:space="preserve"> المعجم المفصل في المذكر </w:t>
      </w:r>
      <w:r>
        <w:rPr>
          <w:rFonts w:hint="eastAsia"/>
          <w:rtl/>
        </w:rPr>
        <w:t>والمؤنت،</w:t>
      </w:r>
      <w:r>
        <w:rPr>
          <w:rtl/>
        </w:rPr>
        <w:t xml:space="preserve"> ص118.</w:t>
      </w:r>
    </w:p>
  </w:footnote>
  <w:footnote w:id="1513">
    <w:p w:rsidR="00035BE3" w:rsidRPr="00DE638C" w:rsidRDefault="00035BE3" w:rsidP="00C10469">
      <w:pPr>
        <w:pStyle w:val="a8"/>
        <w:bidi/>
        <w:ind w:left="422" w:right="0"/>
        <w:rPr>
          <w:spacing w:val="-6"/>
          <w:rtl/>
        </w:rPr>
      </w:pPr>
      <w:r>
        <w:rPr>
          <w:spacing w:val="-4"/>
          <w:vertAlign w:val="superscript"/>
          <w:rtl/>
        </w:rPr>
        <w:t>(</w:t>
      </w:r>
      <w:r>
        <w:rPr>
          <w:rStyle w:val="a7"/>
          <w:spacing w:val="-4"/>
        </w:rPr>
        <w:footnoteRef/>
      </w:r>
      <w:r>
        <w:rPr>
          <w:spacing w:val="-4"/>
          <w:vertAlign w:val="superscript"/>
          <w:rtl/>
        </w:rPr>
        <w:t>)</w:t>
      </w:r>
      <w:r>
        <w:rPr>
          <w:spacing w:val="-4"/>
          <w:rtl/>
        </w:rPr>
        <w:t xml:space="preserve">  </w:t>
      </w:r>
      <w:r w:rsidRPr="00DE638C">
        <w:rPr>
          <w:rFonts w:hint="eastAsia"/>
          <w:spacing w:val="-6"/>
          <w:rtl/>
        </w:rPr>
        <w:t>في</w:t>
      </w:r>
      <w:r w:rsidRPr="00DE638C">
        <w:rPr>
          <w:spacing w:val="-6"/>
          <w:rtl/>
        </w:rPr>
        <w:t xml:space="preserve"> (أ) و(جـ) و(د): «المستث</w:t>
      </w:r>
      <w:r w:rsidRPr="00DE638C">
        <w:rPr>
          <w:rFonts w:hint="cs"/>
          <w:spacing w:val="-6"/>
          <w:rtl/>
        </w:rPr>
        <w:t>ـ</w:t>
      </w:r>
      <w:r w:rsidRPr="00DE638C">
        <w:rPr>
          <w:spacing w:val="-6"/>
          <w:rtl/>
        </w:rPr>
        <w:t xml:space="preserve">ناة». والصحيح </w:t>
      </w:r>
      <w:r w:rsidRPr="00DE638C">
        <w:rPr>
          <w:rFonts w:hint="eastAsia"/>
          <w:spacing w:val="-6"/>
          <w:rtl/>
        </w:rPr>
        <w:t>ما</w:t>
      </w:r>
      <w:r w:rsidRPr="00DE638C">
        <w:rPr>
          <w:spacing w:val="-6"/>
          <w:rtl/>
        </w:rPr>
        <w:t xml:space="preserve"> تمَّ إثباته من (ب). </w:t>
      </w:r>
      <w:r w:rsidRPr="00DE638C">
        <w:rPr>
          <w:rFonts w:hint="cs"/>
          <w:spacing w:val="-6"/>
          <w:rtl/>
        </w:rPr>
        <w:t>و</w:t>
      </w:r>
      <w:r w:rsidRPr="00DE638C">
        <w:rPr>
          <w:spacing w:val="-6"/>
          <w:rtl/>
        </w:rPr>
        <w:t>هذه الكلمة نهاية 19/ب من (جـ).</w:t>
      </w:r>
    </w:p>
  </w:footnote>
  <w:footnote w:id="151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«تفصيل».</w:t>
      </w:r>
    </w:p>
  </w:footnote>
  <w:footnote w:id="151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b/>
          <w:bCs/>
          <w:rtl/>
        </w:rPr>
        <w:t>المراد من هذه القاعدة :</w:t>
      </w:r>
    </w:p>
    <w:p w:rsidR="00035BE3" w:rsidRDefault="00035BE3" w:rsidP="00C10469">
      <w:pPr>
        <w:pStyle w:val="a6"/>
        <w:ind w:left="422" w:firstLine="0"/>
        <w:rPr>
          <w:rtl/>
        </w:rPr>
      </w:pPr>
      <w:r>
        <w:rPr>
          <w:rFonts w:hint="eastAsia"/>
          <w:rtl/>
        </w:rPr>
        <w:t>«</w:t>
      </w:r>
      <w:r>
        <w:rPr>
          <w:rFonts w:hint="cs"/>
          <w:rtl/>
        </w:rPr>
        <w:t>أن الحقوق المجردّة عن الأعيان ... لا تقابل بمالٍ بدلاً منها، وعوضًا عنها</w:t>
      </w:r>
      <w:r>
        <w:rPr>
          <w:rFonts w:hint="eastAsia"/>
          <w:rtl/>
        </w:rPr>
        <w:t>»</w:t>
      </w:r>
      <w:r>
        <w:rPr>
          <w:rFonts w:hint="cs"/>
          <w:rtl/>
        </w:rPr>
        <w:t>.</w:t>
      </w:r>
    </w:p>
    <w:p w:rsidR="00035BE3" w:rsidRDefault="00035BE3" w:rsidP="00C10469">
      <w:pPr>
        <w:pStyle w:val="a6"/>
        <w:ind w:left="422" w:firstLine="0"/>
        <w:rPr>
          <w:rtl/>
        </w:rPr>
      </w:pPr>
      <w:r>
        <w:rPr>
          <w:rFonts w:hint="cs"/>
          <w:rtl/>
        </w:rPr>
        <w:t>قاله صاحب موسوعة القواعد، 3/113.</w:t>
      </w:r>
    </w:p>
    <w:p w:rsidR="00035BE3" w:rsidRDefault="00035BE3" w:rsidP="00C10469">
      <w:pPr>
        <w:pStyle w:val="a6"/>
        <w:ind w:left="422" w:firstLine="0"/>
        <w:rPr>
          <w:b/>
          <w:bCs/>
          <w:rtl/>
        </w:rPr>
      </w:pPr>
      <w:r>
        <w:rPr>
          <w:rFonts w:hint="cs"/>
          <w:b/>
          <w:bCs/>
          <w:rtl/>
        </w:rPr>
        <w:t>أما توثيقها :</w:t>
      </w:r>
    </w:p>
    <w:p w:rsidR="00035BE3" w:rsidRDefault="00035BE3" w:rsidP="00C10469">
      <w:pPr>
        <w:pStyle w:val="a6"/>
        <w:ind w:left="422" w:firstLine="0"/>
        <w:rPr>
          <w:rtl/>
        </w:rPr>
      </w:pPr>
      <w:r>
        <w:rPr>
          <w:rFonts w:hint="cs"/>
          <w:rtl/>
        </w:rPr>
        <w:t xml:space="preserve">فقد </w:t>
      </w:r>
      <w:r>
        <w:rPr>
          <w:rFonts w:hint="eastAsia"/>
          <w:rtl/>
        </w:rPr>
        <w:t>وردت</w:t>
      </w:r>
      <w:r>
        <w:rPr>
          <w:rtl/>
        </w:rPr>
        <w:t xml:space="preserve"> بهذا اللفظ أو نحوه في بعض </w:t>
      </w:r>
      <w:r>
        <w:rPr>
          <w:rFonts w:hint="eastAsia"/>
          <w:rtl/>
        </w:rPr>
        <w:t>كتب</w:t>
      </w:r>
      <w:r>
        <w:rPr>
          <w:rtl/>
        </w:rPr>
        <w:t xml:space="preserve"> الفقه الحنفي وقواعده</w:t>
      </w:r>
      <w:r>
        <w:rPr>
          <w:rFonts w:hint="cs"/>
          <w:rtl/>
        </w:rPr>
        <w:t xml:space="preserve"> :</w:t>
      </w:r>
    </w:p>
    <w:p w:rsidR="00035BE3" w:rsidRDefault="00035BE3" w:rsidP="00C10469">
      <w:pPr>
        <w:pStyle w:val="a6"/>
        <w:ind w:left="422" w:firstLine="0"/>
        <w:rPr>
          <w:rtl/>
        </w:rPr>
      </w:pPr>
      <w:r>
        <w:rPr>
          <w:rFonts w:hint="eastAsia"/>
          <w:b/>
          <w:bCs/>
          <w:rtl/>
        </w:rPr>
        <w:t>فمن</w:t>
      </w:r>
      <w:r>
        <w:rPr>
          <w:b/>
          <w:bCs/>
          <w:rtl/>
        </w:rPr>
        <w:t xml:space="preserve"> كتب القواعد</w:t>
      </w:r>
      <w:r>
        <w:rPr>
          <w:rtl/>
        </w:rPr>
        <w:t xml:space="preserve"> : </w:t>
      </w:r>
    </w:p>
    <w:p w:rsidR="00035BE3" w:rsidRPr="0062237B" w:rsidRDefault="00035BE3" w:rsidP="00C10469">
      <w:pPr>
        <w:pStyle w:val="a6"/>
        <w:ind w:left="420" w:firstLine="0"/>
        <w:jc w:val="mediumKashida"/>
        <w:rPr>
          <w:rtl/>
        </w:rPr>
      </w:pPr>
      <w:r w:rsidRPr="0062237B">
        <w:rPr>
          <w:rtl/>
        </w:rPr>
        <w:t>الأش</w:t>
      </w:r>
      <w:r w:rsidRPr="0062237B">
        <w:rPr>
          <w:rFonts w:hint="cs"/>
          <w:rtl/>
        </w:rPr>
        <w:t>ـ</w:t>
      </w:r>
      <w:r w:rsidRPr="0062237B">
        <w:rPr>
          <w:rtl/>
        </w:rPr>
        <w:t>ب</w:t>
      </w:r>
      <w:r w:rsidRPr="0062237B">
        <w:rPr>
          <w:rFonts w:hint="cs"/>
          <w:rtl/>
        </w:rPr>
        <w:t>ـ</w:t>
      </w:r>
      <w:r w:rsidRPr="0062237B">
        <w:rPr>
          <w:rtl/>
        </w:rPr>
        <w:t>اه والن</w:t>
      </w:r>
      <w:r w:rsidRPr="0062237B">
        <w:rPr>
          <w:rFonts w:hint="cs"/>
          <w:rtl/>
        </w:rPr>
        <w:t>ـ</w:t>
      </w:r>
      <w:r w:rsidRPr="0062237B">
        <w:rPr>
          <w:rtl/>
        </w:rPr>
        <w:t>ظ</w:t>
      </w:r>
      <w:r w:rsidRPr="0062237B">
        <w:rPr>
          <w:rFonts w:hint="cs"/>
          <w:rtl/>
        </w:rPr>
        <w:t>ـ</w:t>
      </w:r>
      <w:r w:rsidRPr="0062237B">
        <w:rPr>
          <w:rtl/>
        </w:rPr>
        <w:t>ائ</w:t>
      </w:r>
      <w:r w:rsidRPr="0062237B">
        <w:rPr>
          <w:rFonts w:hint="cs"/>
          <w:rtl/>
        </w:rPr>
        <w:t>ـ</w:t>
      </w:r>
      <w:r w:rsidRPr="0062237B">
        <w:rPr>
          <w:rtl/>
        </w:rPr>
        <w:t xml:space="preserve">ر، ص240؛ وقواعد الفقه، ص317، قاعدة418 - كلاهما لابن نجيم، </w:t>
      </w:r>
      <w:r w:rsidRPr="0062237B">
        <w:rPr>
          <w:rFonts w:hint="eastAsia"/>
          <w:rtl/>
        </w:rPr>
        <w:t>ولفظهما</w:t>
      </w:r>
      <w:r w:rsidRPr="0062237B">
        <w:rPr>
          <w:rtl/>
        </w:rPr>
        <w:t>: «الح</w:t>
      </w:r>
      <w:r w:rsidRPr="0062237B">
        <w:rPr>
          <w:rFonts w:hint="cs"/>
          <w:rtl/>
        </w:rPr>
        <w:t>ـ</w:t>
      </w:r>
      <w:r w:rsidRPr="0062237B">
        <w:rPr>
          <w:rtl/>
        </w:rPr>
        <w:t>قوق ال</w:t>
      </w:r>
      <w:r w:rsidRPr="0062237B">
        <w:rPr>
          <w:rFonts w:hint="cs"/>
          <w:rtl/>
        </w:rPr>
        <w:t>ـ</w:t>
      </w:r>
      <w:r w:rsidRPr="0062237B">
        <w:rPr>
          <w:rtl/>
        </w:rPr>
        <w:t>مجرّدة لا ي</w:t>
      </w:r>
      <w:r w:rsidRPr="0062237B">
        <w:rPr>
          <w:rFonts w:hint="cs"/>
          <w:rtl/>
        </w:rPr>
        <w:t>ـ</w:t>
      </w:r>
      <w:r w:rsidRPr="0062237B">
        <w:rPr>
          <w:rtl/>
        </w:rPr>
        <w:t>جوز الاعت</w:t>
      </w:r>
      <w:r w:rsidRPr="0062237B">
        <w:rPr>
          <w:rFonts w:hint="cs"/>
          <w:rtl/>
        </w:rPr>
        <w:t>ـ</w:t>
      </w:r>
      <w:r w:rsidRPr="0062237B">
        <w:rPr>
          <w:rtl/>
        </w:rPr>
        <w:t>ياض عن</w:t>
      </w:r>
      <w:r w:rsidRPr="0062237B">
        <w:rPr>
          <w:rFonts w:hint="cs"/>
          <w:rtl/>
        </w:rPr>
        <w:t>ـ</w:t>
      </w:r>
      <w:r w:rsidRPr="0062237B">
        <w:rPr>
          <w:rtl/>
        </w:rPr>
        <w:t>ها»؛ م</w:t>
      </w:r>
      <w:r w:rsidRPr="0062237B">
        <w:rPr>
          <w:rFonts w:hint="cs"/>
          <w:rtl/>
        </w:rPr>
        <w:t>ـ</w:t>
      </w:r>
      <w:r w:rsidRPr="0062237B">
        <w:rPr>
          <w:rtl/>
        </w:rPr>
        <w:t>جام</w:t>
      </w:r>
      <w:r w:rsidRPr="0062237B">
        <w:rPr>
          <w:rFonts w:hint="cs"/>
          <w:rtl/>
        </w:rPr>
        <w:t>ـ</w:t>
      </w:r>
      <w:r w:rsidRPr="0062237B">
        <w:rPr>
          <w:rtl/>
        </w:rPr>
        <w:t>ع ال</w:t>
      </w:r>
      <w:r w:rsidRPr="0062237B">
        <w:rPr>
          <w:rFonts w:hint="cs"/>
          <w:rtl/>
        </w:rPr>
        <w:t>ـ</w:t>
      </w:r>
      <w:r w:rsidRPr="0062237B">
        <w:rPr>
          <w:rtl/>
        </w:rPr>
        <w:t>ح</w:t>
      </w:r>
      <w:r w:rsidRPr="0062237B">
        <w:rPr>
          <w:rFonts w:hint="cs"/>
          <w:rtl/>
        </w:rPr>
        <w:t>ـ</w:t>
      </w:r>
      <w:r w:rsidRPr="0062237B">
        <w:rPr>
          <w:rtl/>
        </w:rPr>
        <w:t>قائ</w:t>
      </w:r>
      <w:r w:rsidRPr="0062237B">
        <w:rPr>
          <w:rFonts w:hint="cs"/>
          <w:rtl/>
        </w:rPr>
        <w:t>ـ</w:t>
      </w:r>
      <w:r w:rsidRPr="0062237B">
        <w:rPr>
          <w:rtl/>
        </w:rPr>
        <w:t>ق (الخ</w:t>
      </w:r>
      <w:r w:rsidRPr="0062237B">
        <w:rPr>
          <w:rFonts w:hint="cs"/>
          <w:rtl/>
        </w:rPr>
        <w:t>ـ</w:t>
      </w:r>
      <w:r w:rsidRPr="0062237B">
        <w:rPr>
          <w:rtl/>
        </w:rPr>
        <w:t>ات</w:t>
      </w:r>
      <w:r w:rsidRPr="0062237B">
        <w:rPr>
          <w:rFonts w:hint="cs"/>
          <w:rtl/>
        </w:rPr>
        <w:t>ـ</w:t>
      </w:r>
      <w:r w:rsidRPr="0062237B">
        <w:rPr>
          <w:rtl/>
        </w:rPr>
        <w:t xml:space="preserve">مة)، </w:t>
      </w:r>
      <w:r w:rsidRPr="0062237B">
        <w:rPr>
          <w:rFonts w:hint="eastAsia"/>
          <w:rtl/>
        </w:rPr>
        <w:t>ص</w:t>
      </w:r>
      <w:r w:rsidRPr="0062237B">
        <w:rPr>
          <w:rFonts w:hint="cs"/>
          <w:rtl/>
        </w:rPr>
        <w:t xml:space="preserve"> </w:t>
      </w:r>
      <w:r w:rsidRPr="0062237B">
        <w:rPr>
          <w:rtl/>
        </w:rPr>
        <w:t>45؛ ش</w:t>
      </w:r>
      <w:r w:rsidRPr="0062237B">
        <w:rPr>
          <w:rFonts w:hint="cs"/>
          <w:rtl/>
        </w:rPr>
        <w:t>ـ</w:t>
      </w:r>
      <w:r w:rsidRPr="0062237B">
        <w:rPr>
          <w:rtl/>
        </w:rPr>
        <w:t>رح الع</w:t>
      </w:r>
      <w:r w:rsidRPr="0062237B">
        <w:rPr>
          <w:rFonts w:hint="cs"/>
          <w:rtl/>
        </w:rPr>
        <w:t>ـ</w:t>
      </w:r>
      <w:r w:rsidRPr="0062237B">
        <w:rPr>
          <w:rtl/>
        </w:rPr>
        <w:t>لائ</w:t>
      </w:r>
      <w:r w:rsidRPr="0062237B">
        <w:rPr>
          <w:rFonts w:hint="cs"/>
          <w:rtl/>
        </w:rPr>
        <w:t>ـ</w:t>
      </w:r>
      <w:r w:rsidRPr="0062237B">
        <w:rPr>
          <w:rtl/>
        </w:rPr>
        <w:t>ي ل</w:t>
      </w:r>
      <w:r w:rsidRPr="0062237B">
        <w:rPr>
          <w:rFonts w:hint="cs"/>
          <w:rtl/>
        </w:rPr>
        <w:t>ـ</w:t>
      </w:r>
      <w:r w:rsidRPr="0062237B">
        <w:rPr>
          <w:rtl/>
        </w:rPr>
        <w:t>ق</w:t>
      </w:r>
      <w:r w:rsidRPr="0062237B">
        <w:rPr>
          <w:rFonts w:hint="cs"/>
          <w:rtl/>
        </w:rPr>
        <w:t>ـ</w:t>
      </w:r>
      <w:r w:rsidRPr="0062237B">
        <w:rPr>
          <w:rtl/>
        </w:rPr>
        <w:t>واع</w:t>
      </w:r>
      <w:r w:rsidRPr="0062237B">
        <w:rPr>
          <w:rFonts w:hint="cs"/>
          <w:rtl/>
        </w:rPr>
        <w:t>ـ</w:t>
      </w:r>
      <w:r w:rsidRPr="0062237B">
        <w:rPr>
          <w:rtl/>
        </w:rPr>
        <w:t>د ال</w:t>
      </w:r>
      <w:r w:rsidRPr="0062237B">
        <w:rPr>
          <w:rFonts w:hint="cs"/>
          <w:rtl/>
        </w:rPr>
        <w:t>ـ</w:t>
      </w:r>
      <w:r w:rsidRPr="0062237B">
        <w:rPr>
          <w:rtl/>
        </w:rPr>
        <w:t>خ</w:t>
      </w:r>
      <w:r w:rsidRPr="0062237B">
        <w:rPr>
          <w:rFonts w:hint="cs"/>
          <w:rtl/>
        </w:rPr>
        <w:t>ـ</w:t>
      </w:r>
      <w:r w:rsidRPr="0062237B">
        <w:rPr>
          <w:rtl/>
        </w:rPr>
        <w:t>ادم</w:t>
      </w:r>
      <w:r w:rsidRPr="0062237B">
        <w:rPr>
          <w:rFonts w:hint="cs"/>
          <w:rtl/>
        </w:rPr>
        <w:t>ــ</w:t>
      </w:r>
      <w:r w:rsidRPr="0062237B">
        <w:rPr>
          <w:rtl/>
        </w:rPr>
        <w:t xml:space="preserve">ي، </w:t>
      </w:r>
      <w:r w:rsidRPr="0062237B">
        <w:rPr>
          <w:rFonts w:hint="cs"/>
          <w:rtl/>
        </w:rPr>
        <w:t>ل</w:t>
      </w:r>
      <w:r w:rsidRPr="0062237B">
        <w:rPr>
          <w:rtl/>
        </w:rPr>
        <w:t>14/أ؛ منافع الدقائق، ص314؛ قواعد الفقه للمجدِّدي، ص77، قاعدة 118 -ولفظه ك</w:t>
      </w:r>
      <w:r w:rsidRPr="0062237B">
        <w:rPr>
          <w:rFonts w:hint="cs"/>
          <w:rtl/>
        </w:rPr>
        <w:t xml:space="preserve">لفظ </w:t>
      </w:r>
      <w:r w:rsidRPr="0062237B">
        <w:rPr>
          <w:rtl/>
        </w:rPr>
        <w:t xml:space="preserve">أشباه ابن نجيم -؛ القواعد والضوابط </w:t>
      </w:r>
      <w:r w:rsidRPr="0062237B">
        <w:rPr>
          <w:rFonts w:hint="eastAsia"/>
          <w:rtl/>
        </w:rPr>
        <w:t>ال</w:t>
      </w:r>
      <w:r w:rsidRPr="0062237B">
        <w:rPr>
          <w:rFonts w:hint="cs"/>
          <w:rtl/>
        </w:rPr>
        <w:t>ـ</w:t>
      </w:r>
      <w:r w:rsidRPr="0062237B">
        <w:rPr>
          <w:rFonts w:hint="eastAsia"/>
          <w:rtl/>
        </w:rPr>
        <w:t>مستخ</w:t>
      </w:r>
      <w:r w:rsidRPr="0062237B">
        <w:rPr>
          <w:rFonts w:hint="cs"/>
          <w:rtl/>
        </w:rPr>
        <w:t>ـ</w:t>
      </w:r>
      <w:r w:rsidRPr="0062237B">
        <w:rPr>
          <w:rFonts w:hint="eastAsia"/>
          <w:rtl/>
        </w:rPr>
        <w:t>لصة</w:t>
      </w:r>
      <w:r w:rsidRPr="0062237B">
        <w:rPr>
          <w:rtl/>
        </w:rPr>
        <w:t xml:space="preserve"> م</w:t>
      </w:r>
      <w:r w:rsidRPr="0062237B">
        <w:rPr>
          <w:rFonts w:hint="cs"/>
          <w:rtl/>
        </w:rPr>
        <w:t>ـ</w:t>
      </w:r>
      <w:r w:rsidRPr="0062237B">
        <w:rPr>
          <w:rtl/>
        </w:rPr>
        <w:t>ن ال</w:t>
      </w:r>
      <w:r w:rsidRPr="0062237B">
        <w:rPr>
          <w:rFonts w:hint="cs"/>
          <w:rtl/>
        </w:rPr>
        <w:t>ـ</w:t>
      </w:r>
      <w:r w:rsidRPr="0062237B">
        <w:rPr>
          <w:rtl/>
        </w:rPr>
        <w:t>تح</w:t>
      </w:r>
      <w:r w:rsidRPr="0062237B">
        <w:rPr>
          <w:rFonts w:hint="cs"/>
          <w:rtl/>
        </w:rPr>
        <w:t>ـ</w:t>
      </w:r>
      <w:r w:rsidRPr="0062237B">
        <w:rPr>
          <w:rtl/>
        </w:rPr>
        <w:t>رير، ص481، وأح</w:t>
      </w:r>
      <w:r w:rsidRPr="0062237B">
        <w:rPr>
          <w:rFonts w:hint="cs"/>
          <w:rtl/>
        </w:rPr>
        <w:t>ـ</w:t>
      </w:r>
      <w:r w:rsidRPr="0062237B">
        <w:rPr>
          <w:rtl/>
        </w:rPr>
        <w:t>ال إلى التحرير، 5/286 –ولفظه</w:t>
      </w:r>
      <w:r w:rsidRPr="0062237B">
        <w:rPr>
          <w:rFonts w:hint="cs"/>
          <w:rtl/>
        </w:rPr>
        <w:t xml:space="preserve"> :</w:t>
      </w:r>
      <w:r w:rsidRPr="0062237B">
        <w:rPr>
          <w:rtl/>
        </w:rPr>
        <w:t xml:space="preserve"> «الاعتياض عن م</w:t>
      </w:r>
      <w:r w:rsidRPr="0062237B">
        <w:rPr>
          <w:rFonts w:hint="cs"/>
          <w:rtl/>
        </w:rPr>
        <w:t>ـ</w:t>
      </w:r>
      <w:r w:rsidRPr="0062237B">
        <w:rPr>
          <w:rtl/>
        </w:rPr>
        <w:t xml:space="preserve">جرّد </w:t>
      </w:r>
      <w:r w:rsidRPr="0062237B">
        <w:rPr>
          <w:rFonts w:hint="eastAsia"/>
          <w:rtl/>
        </w:rPr>
        <w:t>حقٍّ</w:t>
      </w:r>
      <w:r w:rsidRPr="0062237B">
        <w:rPr>
          <w:rtl/>
        </w:rPr>
        <w:t xml:space="preserve"> لا يحتمل التقوم : باطل»-؛ موسوعة القواعد الفقه</w:t>
      </w:r>
      <w:r w:rsidRPr="0062237B">
        <w:rPr>
          <w:rFonts w:hint="eastAsia"/>
          <w:rtl/>
        </w:rPr>
        <w:t>ية،</w:t>
      </w:r>
      <w:r w:rsidRPr="0062237B">
        <w:rPr>
          <w:rtl/>
        </w:rPr>
        <w:t xml:space="preserve"> 3/113 - وقد ذكر لفظ </w:t>
      </w:r>
      <w:r w:rsidRPr="0062237B">
        <w:rPr>
          <w:rFonts w:hint="eastAsia"/>
          <w:rtl/>
        </w:rPr>
        <w:t>المؤلف</w:t>
      </w:r>
      <w:r w:rsidRPr="0062237B">
        <w:rPr>
          <w:rFonts w:hint="cs"/>
          <w:rtl/>
        </w:rPr>
        <w:t xml:space="preserve"> </w:t>
      </w:r>
      <w:r w:rsidRPr="0062237B">
        <w:rPr>
          <w:rFonts w:hint="eastAsia"/>
          <w:rtl/>
        </w:rPr>
        <w:t>وابن</w:t>
      </w:r>
      <w:r w:rsidRPr="0062237B">
        <w:rPr>
          <w:rtl/>
        </w:rPr>
        <w:t xml:space="preserve"> نجيم ولفظًا ثالثًا وهو</w:t>
      </w:r>
      <w:r w:rsidRPr="0062237B">
        <w:rPr>
          <w:rFonts w:hint="cs"/>
          <w:rtl/>
        </w:rPr>
        <w:t xml:space="preserve">: </w:t>
      </w:r>
      <w:r w:rsidRPr="0062237B">
        <w:rPr>
          <w:rtl/>
        </w:rPr>
        <w:t>«بيع مجرّد الحق باطل»-.</w:t>
      </w:r>
    </w:p>
    <w:p w:rsidR="00035BE3" w:rsidRDefault="00035BE3" w:rsidP="00C10469">
      <w:pPr>
        <w:pStyle w:val="a6"/>
        <w:spacing w:line="480" w:lineRule="exact"/>
        <w:ind w:left="422" w:hanging="2"/>
        <w:rPr>
          <w:rtl/>
        </w:rPr>
      </w:pPr>
      <w:r>
        <w:rPr>
          <w:rFonts w:hint="eastAsia"/>
          <w:b/>
          <w:bCs/>
          <w:rtl/>
        </w:rPr>
        <w:t>ومن</w:t>
      </w:r>
      <w:r>
        <w:rPr>
          <w:b/>
          <w:bCs/>
          <w:rtl/>
        </w:rPr>
        <w:t xml:space="preserve"> كتب الفقه </w:t>
      </w:r>
      <w:r>
        <w:rPr>
          <w:rtl/>
        </w:rPr>
        <w:t xml:space="preserve">: </w:t>
      </w:r>
    </w:p>
    <w:p w:rsidR="00035BE3" w:rsidRDefault="00035BE3" w:rsidP="00C10469">
      <w:pPr>
        <w:pStyle w:val="a6"/>
        <w:spacing w:line="480" w:lineRule="exact"/>
        <w:ind w:left="422" w:hanging="2"/>
        <w:rPr>
          <w:rtl/>
        </w:rPr>
      </w:pPr>
      <w:r>
        <w:rPr>
          <w:rFonts w:hint="eastAsia"/>
          <w:rtl/>
        </w:rPr>
        <w:t>المبسوط،</w:t>
      </w:r>
      <w:r>
        <w:rPr>
          <w:rtl/>
        </w:rPr>
        <w:t xml:space="preserve"> 23/180؛ العناية وفتح القدير، 6/430؛ الدّرر شرح الغرر، 2/173؛ ردّ </w:t>
      </w:r>
      <w:r>
        <w:rPr>
          <w:rFonts w:hint="eastAsia"/>
          <w:rtl/>
        </w:rPr>
        <w:t>المحتار،</w:t>
      </w:r>
      <w:r>
        <w:rPr>
          <w:rtl/>
        </w:rPr>
        <w:t xml:space="preserve"> 7/33</w:t>
      </w:r>
      <w:r>
        <w:rPr>
          <w:rFonts w:hint="cs"/>
          <w:rtl/>
        </w:rPr>
        <w:t xml:space="preserve"> </w:t>
      </w:r>
      <w:r>
        <w:rPr>
          <w:rtl/>
        </w:rPr>
        <w:t>–</w:t>
      </w:r>
      <w:r>
        <w:rPr>
          <w:rFonts w:hint="cs"/>
          <w:rtl/>
        </w:rPr>
        <w:t>وقد عقد الأخير مطلبًا مستقلاً للقاعدة-.</w:t>
      </w:r>
    </w:p>
  </w:footnote>
  <w:footnote w:id="1516">
    <w:p w:rsidR="00035BE3" w:rsidRDefault="00035BE3" w:rsidP="00C10469">
      <w:pPr>
        <w:pStyle w:val="a8"/>
        <w:bidi/>
        <w:spacing w:line="48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«لا»</w:t>
      </w:r>
      <w:r>
        <w:rPr>
          <w:rFonts w:hint="cs"/>
          <w:rtl/>
        </w:rPr>
        <w:t xml:space="preserve"> :</w:t>
      </w:r>
      <w:r>
        <w:rPr>
          <w:rtl/>
        </w:rPr>
        <w:t xml:space="preserve"> زيادة من (ب) و(و). ولا يستقيم المعنى </w:t>
      </w:r>
      <w:r>
        <w:rPr>
          <w:rFonts w:hint="eastAsia"/>
          <w:rtl/>
        </w:rPr>
        <w:t>بدونها</w:t>
      </w:r>
      <w:r>
        <w:rPr>
          <w:rtl/>
        </w:rPr>
        <w:t>.</w:t>
      </w:r>
    </w:p>
  </w:footnote>
  <w:footnote w:id="1517">
    <w:p w:rsidR="00035BE3" w:rsidRDefault="00035BE3" w:rsidP="00C10469">
      <w:pPr>
        <w:pStyle w:val="a8"/>
        <w:bidi/>
        <w:spacing w:line="48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بيّن</w:t>
      </w:r>
      <w:r>
        <w:rPr>
          <w:rtl/>
        </w:rPr>
        <w:t xml:space="preserve"> صاحب الهداية -6/427 - صورة بيع حق </w:t>
      </w:r>
      <w:r>
        <w:rPr>
          <w:rFonts w:hint="eastAsia"/>
          <w:rtl/>
        </w:rPr>
        <w:t>التعلي</w:t>
      </w:r>
      <w:r>
        <w:rPr>
          <w:rtl/>
        </w:rPr>
        <w:t xml:space="preserve"> ووجه بطلانه بقوله : «وإذا كان السُّفل لرجل وعلوُّه لآخر، فسقطا، أو سقط </w:t>
      </w:r>
      <w:r>
        <w:rPr>
          <w:rFonts w:hint="eastAsia"/>
          <w:rtl/>
        </w:rPr>
        <w:t>العلو</w:t>
      </w:r>
      <w:r>
        <w:rPr>
          <w:rtl/>
        </w:rPr>
        <w:t xml:space="preserve"> وحده، فباع صاحب العلو علوّه : لم يجز؛ لأن حق التعلِّي ليس بمال؛ لأن المال </w:t>
      </w:r>
      <w:r>
        <w:rPr>
          <w:rFonts w:hint="eastAsia"/>
          <w:rtl/>
        </w:rPr>
        <w:t>ما</w:t>
      </w:r>
      <w:r>
        <w:rPr>
          <w:rtl/>
        </w:rPr>
        <w:t xml:space="preserve"> يمكن إح</w:t>
      </w:r>
      <w:r>
        <w:rPr>
          <w:rFonts w:hint="cs"/>
          <w:rtl/>
        </w:rPr>
        <w:t>ر</w:t>
      </w:r>
      <w:r>
        <w:rPr>
          <w:rtl/>
        </w:rPr>
        <w:t>ازه، والمال هو المحلّ للبيع».</w:t>
      </w:r>
    </w:p>
  </w:footnote>
  <w:footnote w:id="151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وذلك</w:t>
      </w:r>
      <w:r>
        <w:rPr>
          <w:rtl/>
        </w:rPr>
        <w:t xml:space="preserve"> 6/427-430</w:t>
      </w:r>
      <w:r>
        <w:rPr>
          <w:rFonts w:hint="cs"/>
          <w:rtl/>
        </w:rPr>
        <w:t>؛</w:t>
      </w:r>
      <w:r>
        <w:rPr>
          <w:rtl/>
        </w:rPr>
        <w:t xml:space="preserve"> وانظر : (شرحيها : العناية </w:t>
      </w:r>
      <w:r>
        <w:rPr>
          <w:rFonts w:hint="eastAsia"/>
          <w:rtl/>
        </w:rPr>
        <w:t>وفتح</w:t>
      </w:r>
      <w:r>
        <w:rPr>
          <w:rtl/>
        </w:rPr>
        <w:t xml:space="preserve"> القدير)؛ تبيين الحقائق، 4/51-52؛ الدّرر شرح الغرر، 2/173؛ البحر الرائق، 6/88-89؛ ردّ المحتار، 7/375.</w:t>
      </w:r>
    </w:p>
    <w:p w:rsidR="00035BE3" w:rsidRDefault="00035BE3" w:rsidP="00C10469">
      <w:pPr>
        <w:pStyle w:val="a6"/>
        <w:ind w:left="422" w:firstLine="0"/>
        <w:rPr>
          <w:rtl/>
        </w:rPr>
      </w:pPr>
      <w:r>
        <w:rPr>
          <w:rFonts w:hint="eastAsia"/>
          <w:rtl/>
        </w:rPr>
        <w:t>علمًا</w:t>
      </w:r>
      <w:r>
        <w:rPr>
          <w:rtl/>
        </w:rPr>
        <w:t xml:space="preserve"> بأن ما ذكره </w:t>
      </w:r>
      <w:r>
        <w:rPr>
          <w:rFonts w:hint="eastAsia"/>
          <w:rtl/>
        </w:rPr>
        <w:t>المؤلف</w:t>
      </w:r>
      <w:r>
        <w:rPr>
          <w:rtl/>
        </w:rPr>
        <w:t xml:space="preserve"> مقتضب، وقد ورد مفصلاً في الكتب الآنف ذكرها</w:t>
      </w:r>
      <w:r>
        <w:rPr>
          <w:rFonts w:hint="cs"/>
          <w:rtl/>
        </w:rPr>
        <w:t>،</w:t>
      </w:r>
      <w:r>
        <w:rPr>
          <w:rtl/>
        </w:rPr>
        <w:t xml:space="preserve"> ومن ذلك قول صاحب </w:t>
      </w:r>
      <w:r>
        <w:rPr>
          <w:rFonts w:hint="cs"/>
          <w:rtl/>
        </w:rPr>
        <w:t>(</w:t>
      </w:r>
      <w:r>
        <w:rPr>
          <w:rtl/>
        </w:rPr>
        <w:t>الدرر</w:t>
      </w:r>
      <w:r>
        <w:rPr>
          <w:rFonts w:hint="cs"/>
          <w:rtl/>
        </w:rPr>
        <w:t>)</w:t>
      </w:r>
      <w:r>
        <w:rPr>
          <w:rtl/>
        </w:rPr>
        <w:t xml:space="preserve"> : «وصحّ </w:t>
      </w:r>
      <w:r>
        <w:rPr>
          <w:rFonts w:hint="eastAsia"/>
          <w:rtl/>
        </w:rPr>
        <w:t>بيع</w:t>
      </w:r>
      <w:r>
        <w:rPr>
          <w:rtl/>
        </w:rPr>
        <w:t xml:space="preserve"> حق المرور تبعًا للأرض بالإجماع. </w:t>
      </w:r>
    </w:p>
    <w:p w:rsidR="00035BE3" w:rsidRDefault="00035BE3" w:rsidP="00C10469">
      <w:pPr>
        <w:pStyle w:val="a6"/>
        <w:ind w:left="-32" w:firstLine="454"/>
        <w:rPr>
          <w:rtl/>
        </w:rPr>
      </w:pPr>
      <w:r>
        <w:rPr>
          <w:rtl/>
        </w:rPr>
        <w:t>•</w:t>
      </w:r>
      <w:r>
        <w:rPr>
          <w:rFonts w:hint="cs"/>
          <w:rtl/>
        </w:rPr>
        <w:t xml:space="preserve"> </w:t>
      </w:r>
      <w:r>
        <w:rPr>
          <w:rFonts w:hint="eastAsia"/>
          <w:rtl/>
        </w:rPr>
        <w:t>وَوَحْدُهُ</w:t>
      </w:r>
      <w:r>
        <w:rPr>
          <w:rtl/>
        </w:rPr>
        <w:t xml:space="preserve"> في روايةٍ (وهي رواية ابن </w:t>
      </w:r>
      <w:r>
        <w:rPr>
          <w:rFonts w:hint="eastAsia"/>
          <w:rtl/>
        </w:rPr>
        <w:t>سماعة</w:t>
      </w:r>
      <w:r>
        <w:rPr>
          <w:rtl/>
        </w:rPr>
        <w:t>).</w:t>
      </w:r>
    </w:p>
    <w:p w:rsidR="00035BE3" w:rsidRDefault="00035BE3" w:rsidP="00C10469">
      <w:pPr>
        <w:pStyle w:val="a6"/>
        <w:ind w:left="564" w:hanging="142"/>
        <w:rPr>
          <w:rtl/>
        </w:rPr>
      </w:pPr>
      <w:r>
        <w:rPr>
          <w:rtl/>
        </w:rPr>
        <w:t>•</w:t>
      </w:r>
      <w:r>
        <w:rPr>
          <w:rFonts w:hint="cs"/>
          <w:rtl/>
        </w:rPr>
        <w:t xml:space="preserve"> </w:t>
      </w:r>
      <w:r>
        <w:rPr>
          <w:rFonts w:hint="eastAsia"/>
          <w:rtl/>
        </w:rPr>
        <w:t>وفي</w:t>
      </w:r>
      <w:r>
        <w:rPr>
          <w:rtl/>
        </w:rPr>
        <w:t xml:space="preserve"> رواية (الزيادات) : لا يجوز. وصححه [أي : صحّح عَدَمَ الجواز] الفقيهُ أبو الليث؛ بأنه حق من الحقوق، وبيع الحقوق </w:t>
      </w:r>
      <w:r>
        <w:rPr>
          <w:rFonts w:hint="eastAsia"/>
          <w:rtl/>
        </w:rPr>
        <w:t>بالانفراد</w:t>
      </w:r>
      <w:r>
        <w:rPr>
          <w:rtl/>
        </w:rPr>
        <w:t xml:space="preserve"> لا يجوز.</w:t>
      </w:r>
    </w:p>
    <w:p w:rsidR="00035BE3" w:rsidRDefault="00035BE3" w:rsidP="00C10469">
      <w:pPr>
        <w:pStyle w:val="a6"/>
        <w:ind w:left="422" w:firstLine="0"/>
        <w:rPr>
          <w:rtl/>
        </w:rPr>
      </w:pPr>
      <w:r>
        <w:rPr>
          <w:rFonts w:hint="eastAsia"/>
          <w:b/>
          <w:bCs/>
          <w:rtl/>
        </w:rPr>
        <w:t>والشرب</w:t>
      </w:r>
      <w:r>
        <w:rPr>
          <w:b/>
          <w:bCs/>
          <w:rtl/>
        </w:rPr>
        <w:t xml:space="preserve"> </w:t>
      </w:r>
      <w:r>
        <w:rPr>
          <w:rFonts w:hint="eastAsia"/>
          <w:b/>
          <w:bCs/>
          <w:rtl/>
        </w:rPr>
        <w:t>كذلك</w:t>
      </w:r>
      <w:r>
        <w:rPr>
          <w:rtl/>
        </w:rPr>
        <w:t xml:space="preserve"> (أي صح بيعه تبعًا للأرض بالإجماع).</w:t>
      </w:r>
    </w:p>
    <w:p w:rsidR="00035BE3" w:rsidRDefault="00035BE3" w:rsidP="00C10469">
      <w:pPr>
        <w:pStyle w:val="a6"/>
        <w:ind w:left="422" w:firstLine="0"/>
        <w:rPr>
          <w:rtl/>
        </w:rPr>
      </w:pPr>
      <w:r>
        <w:rPr>
          <w:b/>
          <w:bCs/>
          <w:rtl/>
        </w:rPr>
        <w:t>•</w:t>
      </w:r>
      <w:r>
        <w:rPr>
          <w:rFonts w:hint="cs"/>
          <w:b/>
          <w:bCs/>
          <w:rtl/>
        </w:rPr>
        <w:t xml:space="preserve"> </w:t>
      </w:r>
      <w:r w:rsidRPr="00764D4B">
        <w:rPr>
          <w:rFonts w:hint="eastAsia"/>
          <w:b/>
          <w:bCs/>
          <w:rtl/>
        </w:rPr>
        <w:t>وَوَحْدُهُ</w:t>
      </w:r>
      <w:r>
        <w:rPr>
          <w:rtl/>
        </w:rPr>
        <w:t xml:space="preserve"> في رواية. وهو اختيار مشايخ </w:t>
      </w:r>
      <w:r>
        <w:rPr>
          <w:rFonts w:hint="eastAsia"/>
          <w:rtl/>
        </w:rPr>
        <w:t>بلخ؛</w:t>
      </w:r>
      <w:r>
        <w:rPr>
          <w:rtl/>
        </w:rPr>
        <w:t xml:space="preserve"> لأنه نصيب من الماء.</w:t>
      </w:r>
    </w:p>
    <w:p w:rsidR="00035BE3" w:rsidRDefault="00035BE3" w:rsidP="00C10469">
      <w:pPr>
        <w:pStyle w:val="a6"/>
        <w:ind w:left="422" w:firstLine="0"/>
        <w:rPr>
          <w:rtl/>
        </w:rPr>
      </w:pPr>
      <w:r>
        <w:rPr>
          <w:rtl/>
        </w:rPr>
        <w:t>•</w:t>
      </w:r>
      <w:r>
        <w:rPr>
          <w:rFonts w:hint="cs"/>
          <w:rtl/>
        </w:rPr>
        <w:t xml:space="preserve"> </w:t>
      </w:r>
      <w:r>
        <w:rPr>
          <w:rFonts w:hint="eastAsia"/>
          <w:rtl/>
        </w:rPr>
        <w:t>ولم</w:t>
      </w:r>
      <w:r>
        <w:rPr>
          <w:rtl/>
        </w:rPr>
        <w:t xml:space="preserve"> يَجُزْ في أخرى. وهو اختيار مشايخ </w:t>
      </w:r>
      <w:r>
        <w:rPr>
          <w:rFonts w:hint="eastAsia"/>
          <w:rtl/>
        </w:rPr>
        <w:t>بخارى</w:t>
      </w:r>
      <w:r>
        <w:rPr>
          <w:rtl/>
        </w:rPr>
        <w:t xml:space="preserve"> ؛ للجهالة.</w:t>
      </w:r>
    </w:p>
    <w:p w:rsidR="00035BE3" w:rsidRDefault="00035BE3" w:rsidP="00C10469">
      <w:pPr>
        <w:pStyle w:val="a6"/>
        <w:ind w:left="422" w:firstLine="0"/>
        <w:rPr>
          <w:rtl/>
        </w:rPr>
      </w:pPr>
      <w:r>
        <w:rPr>
          <w:rFonts w:hint="eastAsia"/>
          <w:rtl/>
        </w:rPr>
        <w:t>لا</w:t>
      </w:r>
      <w:r>
        <w:rPr>
          <w:rtl/>
        </w:rPr>
        <w:t xml:space="preserve"> </w:t>
      </w:r>
      <w:r>
        <w:rPr>
          <w:rFonts w:hint="eastAsia"/>
          <w:rtl/>
        </w:rPr>
        <w:t>بيعُ</w:t>
      </w:r>
      <w:r>
        <w:rPr>
          <w:rtl/>
        </w:rPr>
        <w:t xml:space="preserve"> حقِّ التسييل وهبتُهُ؛ لأنه إن كان على السطح كان حقّ التعلِّي، وقد مرّ أن </w:t>
      </w:r>
      <w:r>
        <w:rPr>
          <w:rFonts w:hint="eastAsia"/>
          <w:rtl/>
        </w:rPr>
        <w:t>بيعه</w:t>
      </w:r>
      <w:r>
        <w:rPr>
          <w:rtl/>
        </w:rPr>
        <w:t xml:space="preserve"> باطل، وإن كان على الأرض كان مجهولاً؛ لجهالة محله ... ».</w:t>
      </w:r>
    </w:p>
  </w:footnote>
  <w:footnote w:id="151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وردت</w:t>
      </w:r>
      <w:r>
        <w:rPr>
          <w:rtl/>
        </w:rPr>
        <w:t xml:space="preserve"> هذه القاعدة بهذا اللفظ أو نحوه في كثير </w:t>
      </w:r>
      <w:r>
        <w:rPr>
          <w:rFonts w:hint="eastAsia"/>
          <w:rtl/>
        </w:rPr>
        <w:t>من</w:t>
      </w:r>
      <w:r>
        <w:rPr>
          <w:rtl/>
        </w:rPr>
        <w:t xml:space="preserve"> كتب الفقه وقواعده</w:t>
      </w:r>
      <w:r>
        <w:rPr>
          <w:rFonts w:hint="cs"/>
          <w:rtl/>
        </w:rPr>
        <w:t>:</w:t>
      </w:r>
    </w:p>
    <w:p w:rsidR="00035BE3" w:rsidRDefault="00035BE3" w:rsidP="00C10469">
      <w:pPr>
        <w:pStyle w:val="a6"/>
        <w:ind w:left="422" w:firstLine="0"/>
        <w:rPr>
          <w:rtl/>
        </w:rPr>
      </w:pPr>
      <w:r>
        <w:rPr>
          <w:rFonts w:hint="eastAsia"/>
          <w:b/>
          <w:bCs/>
          <w:rtl/>
        </w:rPr>
        <w:t>فمن</w:t>
      </w:r>
      <w:r>
        <w:rPr>
          <w:b/>
          <w:bCs/>
          <w:rtl/>
        </w:rPr>
        <w:t xml:space="preserve"> كتب القواعد</w:t>
      </w:r>
      <w:r>
        <w:rPr>
          <w:rtl/>
        </w:rPr>
        <w:t xml:space="preserve"> : </w:t>
      </w:r>
    </w:p>
    <w:p w:rsidR="00035BE3" w:rsidRDefault="00035BE3" w:rsidP="00C10469">
      <w:pPr>
        <w:pStyle w:val="a6"/>
        <w:ind w:left="422" w:firstLine="0"/>
        <w:rPr>
          <w:spacing w:val="8"/>
          <w:rtl/>
        </w:rPr>
      </w:pPr>
      <w:r>
        <w:rPr>
          <w:rFonts w:hint="cs"/>
          <w:spacing w:val="8"/>
          <w:rtl/>
        </w:rPr>
        <w:t xml:space="preserve">المنثور، 2/150 </w:t>
      </w:r>
      <w:r>
        <w:rPr>
          <w:spacing w:val="8"/>
          <w:rtl/>
        </w:rPr>
        <w:t>–</w:t>
      </w:r>
      <w:r>
        <w:rPr>
          <w:rFonts w:hint="cs"/>
          <w:spacing w:val="8"/>
          <w:rtl/>
        </w:rPr>
        <w:t xml:space="preserve"> إذ قال عرضًا : </w:t>
      </w:r>
      <w:r>
        <w:rPr>
          <w:rFonts w:hint="eastAsia"/>
          <w:rtl/>
        </w:rPr>
        <w:t>«</w:t>
      </w:r>
      <w:r>
        <w:rPr>
          <w:rFonts w:hint="cs"/>
          <w:rtl/>
        </w:rPr>
        <w:t>... كان باطلاً؛ لأنه بيع الدين بالدين</w:t>
      </w:r>
      <w:r>
        <w:rPr>
          <w:rFonts w:hint="eastAsia"/>
          <w:rtl/>
        </w:rPr>
        <w:t>»</w:t>
      </w:r>
      <w:r>
        <w:rPr>
          <w:rFonts w:hint="cs"/>
          <w:rtl/>
        </w:rPr>
        <w:t>-؛</w:t>
      </w:r>
      <w:r>
        <w:rPr>
          <w:rFonts w:hint="cs"/>
          <w:spacing w:val="8"/>
          <w:rtl/>
        </w:rPr>
        <w:t xml:space="preserve"> </w:t>
      </w:r>
      <w:r>
        <w:rPr>
          <w:spacing w:val="8"/>
          <w:rtl/>
        </w:rPr>
        <w:t xml:space="preserve">الأشباه والنظائر للسيوطي، 2/612- إذ قال في </w:t>
      </w:r>
      <w:r>
        <w:rPr>
          <w:rFonts w:hint="cs"/>
          <w:spacing w:val="8"/>
          <w:rtl/>
        </w:rPr>
        <w:t>أ</w:t>
      </w:r>
      <w:r>
        <w:rPr>
          <w:spacing w:val="8"/>
          <w:rtl/>
        </w:rPr>
        <w:t>ثنا</w:t>
      </w:r>
      <w:r>
        <w:rPr>
          <w:rFonts w:hint="cs"/>
          <w:spacing w:val="8"/>
          <w:rtl/>
        </w:rPr>
        <w:t>ء</w:t>
      </w:r>
      <w:r>
        <w:rPr>
          <w:spacing w:val="8"/>
          <w:rtl/>
        </w:rPr>
        <w:t xml:space="preserve"> عرضه لأحكام الدين: «الحكم </w:t>
      </w:r>
      <w:r>
        <w:rPr>
          <w:rFonts w:hint="eastAsia"/>
          <w:spacing w:val="8"/>
          <w:rtl/>
        </w:rPr>
        <w:t>الرابع</w:t>
      </w:r>
      <w:r>
        <w:rPr>
          <w:spacing w:val="8"/>
          <w:rtl/>
        </w:rPr>
        <w:t xml:space="preserve">: لايصح بيع الدين بالدين قطعًا...»-؛ الأشباه والنظائر لابن نجيم، ص393 - </w:t>
      </w:r>
      <w:r>
        <w:rPr>
          <w:rFonts w:hint="eastAsia"/>
          <w:spacing w:val="8"/>
          <w:rtl/>
        </w:rPr>
        <w:t>إذ</w:t>
      </w:r>
      <w:r>
        <w:rPr>
          <w:spacing w:val="8"/>
          <w:rtl/>
        </w:rPr>
        <w:t xml:space="preserve"> قال عرضًا: «وبيع الدين لا يجوز...»-؛ مجامع الحقائق (الخاتمة)، ص45؛ شرح </w:t>
      </w:r>
      <w:r>
        <w:rPr>
          <w:rFonts w:hint="eastAsia"/>
          <w:spacing w:val="8"/>
          <w:rtl/>
        </w:rPr>
        <w:t>العلائي</w:t>
      </w:r>
      <w:r>
        <w:rPr>
          <w:spacing w:val="8"/>
          <w:rtl/>
        </w:rPr>
        <w:t xml:space="preserve"> لقواعد الخ</w:t>
      </w:r>
      <w:r>
        <w:rPr>
          <w:rFonts w:hint="cs"/>
          <w:spacing w:val="8"/>
          <w:rtl/>
        </w:rPr>
        <w:t>ـ</w:t>
      </w:r>
      <w:r>
        <w:rPr>
          <w:spacing w:val="8"/>
          <w:rtl/>
        </w:rPr>
        <w:t>ادمي، ل14/أ؛ منافع الدقائق، ص314؛ الفرائد البهيَّة ل</w:t>
      </w:r>
      <w:r>
        <w:rPr>
          <w:rFonts w:hint="cs"/>
          <w:spacing w:val="8"/>
          <w:rtl/>
        </w:rPr>
        <w:t>لحمزاوي</w:t>
      </w:r>
      <w:r>
        <w:rPr>
          <w:spacing w:val="8"/>
          <w:rtl/>
        </w:rPr>
        <w:t xml:space="preserve">، </w:t>
      </w:r>
      <w:r>
        <w:rPr>
          <w:rFonts w:hint="eastAsia"/>
          <w:spacing w:val="8"/>
          <w:rtl/>
        </w:rPr>
        <w:t>ص</w:t>
      </w:r>
      <w:r>
        <w:rPr>
          <w:spacing w:val="8"/>
          <w:rtl/>
        </w:rPr>
        <w:t>106، قاعدة 150 - ولفظه: «الصلح على دين بدين لا يجوز»-.</w:t>
      </w:r>
    </w:p>
    <w:p w:rsidR="00035BE3" w:rsidRDefault="00035BE3" w:rsidP="00C10469">
      <w:pPr>
        <w:pStyle w:val="a6"/>
        <w:ind w:left="422" w:firstLine="0"/>
        <w:rPr>
          <w:rtl/>
        </w:rPr>
      </w:pPr>
      <w:r>
        <w:rPr>
          <w:rFonts w:hint="eastAsia"/>
          <w:b/>
          <w:bCs/>
          <w:rtl/>
        </w:rPr>
        <w:t>ومن</w:t>
      </w:r>
      <w:r>
        <w:rPr>
          <w:b/>
          <w:bCs/>
          <w:rtl/>
        </w:rPr>
        <w:t xml:space="preserve"> كتب الفقه</w:t>
      </w:r>
      <w:r>
        <w:rPr>
          <w:rtl/>
        </w:rPr>
        <w:t xml:space="preserve"> : </w:t>
      </w:r>
    </w:p>
    <w:p w:rsidR="00035BE3" w:rsidRDefault="00035BE3" w:rsidP="00C10469">
      <w:pPr>
        <w:pStyle w:val="a6"/>
        <w:ind w:left="422" w:firstLine="0"/>
        <w:rPr>
          <w:spacing w:val="12"/>
          <w:rtl/>
        </w:rPr>
      </w:pPr>
      <w:r>
        <w:rPr>
          <w:spacing w:val="12"/>
          <w:rtl/>
        </w:rPr>
        <w:t>الأم للشافعي، 3/</w:t>
      </w:r>
      <w:r>
        <w:rPr>
          <w:rFonts w:hint="cs"/>
          <w:spacing w:val="12"/>
          <w:rtl/>
        </w:rPr>
        <w:t>40</w:t>
      </w:r>
      <w:r>
        <w:rPr>
          <w:spacing w:val="12"/>
          <w:rtl/>
        </w:rPr>
        <w:t xml:space="preserve">؛ الهداية، 7/22، 97؛ فتاوى قاضي خان، 3/94؛ بداية المجتهد </w:t>
      </w:r>
      <w:r>
        <w:rPr>
          <w:rFonts w:hint="eastAsia"/>
          <w:spacing w:val="12"/>
          <w:rtl/>
        </w:rPr>
        <w:t>لابن</w:t>
      </w:r>
      <w:r>
        <w:rPr>
          <w:spacing w:val="12"/>
          <w:rtl/>
        </w:rPr>
        <w:t xml:space="preserve"> رشد، 2/</w:t>
      </w:r>
      <w:r>
        <w:rPr>
          <w:rFonts w:hint="cs"/>
          <w:spacing w:val="12"/>
          <w:rtl/>
        </w:rPr>
        <w:t>242</w:t>
      </w:r>
      <w:r>
        <w:rPr>
          <w:spacing w:val="12"/>
          <w:rtl/>
        </w:rPr>
        <w:t xml:space="preserve">؛ المغني لابن قدامة، 6/106؛ مجموع فتاوى شيخ الإسلام ابن </w:t>
      </w:r>
      <w:r>
        <w:rPr>
          <w:rFonts w:hint="eastAsia"/>
          <w:spacing w:val="12"/>
          <w:rtl/>
        </w:rPr>
        <w:t>تيمية،</w:t>
      </w:r>
      <w:r>
        <w:rPr>
          <w:spacing w:val="12"/>
          <w:rtl/>
        </w:rPr>
        <w:t xml:space="preserve"> 20/512؛ الدّرر شرح الغرر، 2/401؛ منحة الخالق على البحر الرائق، 5/281؛</w:t>
      </w:r>
      <w:r>
        <w:rPr>
          <w:rFonts w:hint="cs"/>
          <w:spacing w:val="12"/>
          <w:rtl/>
        </w:rPr>
        <w:t xml:space="preserve"> مغني المحتاج، 2/330؛</w:t>
      </w:r>
      <w:r>
        <w:rPr>
          <w:spacing w:val="12"/>
          <w:rtl/>
        </w:rPr>
        <w:t xml:space="preserve"> </w:t>
      </w:r>
      <w:r>
        <w:rPr>
          <w:rFonts w:hint="eastAsia"/>
          <w:spacing w:val="12"/>
          <w:rtl/>
        </w:rPr>
        <w:t>شرح</w:t>
      </w:r>
      <w:r>
        <w:rPr>
          <w:spacing w:val="12"/>
          <w:rtl/>
        </w:rPr>
        <w:t xml:space="preserve"> منتهى الإرادات، 2/200؛</w:t>
      </w:r>
      <w:r>
        <w:rPr>
          <w:rFonts w:hint="cs"/>
          <w:spacing w:val="12"/>
          <w:rtl/>
        </w:rPr>
        <w:t xml:space="preserve"> الشرح الكبير وحاشية </w:t>
      </w:r>
      <w:r>
        <w:rPr>
          <w:rFonts w:hint="cs"/>
          <w:spacing w:val="8"/>
          <w:rtl/>
        </w:rPr>
        <w:t>الدسوقي، 3/63؛</w:t>
      </w:r>
      <w:r>
        <w:rPr>
          <w:rFonts w:hint="cs"/>
          <w:spacing w:val="12"/>
          <w:rtl/>
        </w:rPr>
        <w:t xml:space="preserve"> النافع الكبير، ص335؛</w:t>
      </w:r>
      <w:r>
        <w:rPr>
          <w:spacing w:val="12"/>
          <w:rtl/>
        </w:rPr>
        <w:t xml:space="preserve"> دراسات في أصول المدا</w:t>
      </w:r>
      <w:r>
        <w:rPr>
          <w:rFonts w:hint="cs"/>
          <w:spacing w:val="12"/>
          <w:rtl/>
        </w:rPr>
        <w:t>ي</w:t>
      </w:r>
      <w:r>
        <w:rPr>
          <w:spacing w:val="12"/>
          <w:rtl/>
        </w:rPr>
        <w:t xml:space="preserve">نات للدكتور نزيه حماد، ص233-281، </w:t>
      </w:r>
      <w:r>
        <w:rPr>
          <w:rFonts w:hint="eastAsia"/>
          <w:spacing w:val="12"/>
          <w:rtl/>
        </w:rPr>
        <w:t>فقد</w:t>
      </w:r>
      <w:r>
        <w:rPr>
          <w:spacing w:val="12"/>
          <w:rtl/>
        </w:rPr>
        <w:t xml:space="preserve"> أفرد المبحث الخامس للحديث عن</w:t>
      </w:r>
      <w:r>
        <w:rPr>
          <w:rFonts w:hint="cs"/>
          <w:spacing w:val="12"/>
          <w:rtl/>
        </w:rPr>
        <w:t xml:space="preserve"> :</w:t>
      </w:r>
      <w:r>
        <w:rPr>
          <w:spacing w:val="12"/>
          <w:rtl/>
        </w:rPr>
        <w:t xml:space="preserve"> «بيع الكالئ بالكالئ ... في الفقه الإسلامي»، </w:t>
      </w:r>
      <w:r>
        <w:rPr>
          <w:rFonts w:hint="eastAsia"/>
          <w:spacing w:val="12"/>
          <w:rtl/>
        </w:rPr>
        <w:t>فأجاد</w:t>
      </w:r>
      <w:r>
        <w:rPr>
          <w:spacing w:val="12"/>
          <w:rtl/>
        </w:rPr>
        <w:t xml:space="preserve"> فيه وأفاد.</w:t>
      </w:r>
    </w:p>
    <w:p w:rsidR="00035BE3" w:rsidRDefault="00035BE3" w:rsidP="00C10469">
      <w:pPr>
        <w:pStyle w:val="a6"/>
        <w:ind w:left="422" w:firstLine="0"/>
        <w:rPr>
          <w:spacing w:val="10"/>
          <w:rtl/>
        </w:rPr>
      </w:pPr>
      <w:r>
        <w:rPr>
          <w:rFonts w:hint="eastAsia"/>
          <w:spacing w:val="10"/>
          <w:rtl/>
        </w:rPr>
        <w:t>وق</w:t>
      </w:r>
      <w:r>
        <w:rPr>
          <w:rFonts w:hint="cs"/>
          <w:spacing w:val="10"/>
          <w:rtl/>
        </w:rPr>
        <w:t>ـ</w:t>
      </w:r>
      <w:r>
        <w:rPr>
          <w:rFonts w:hint="eastAsia"/>
          <w:spacing w:val="10"/>
          <w:rtl/>
        </w:rPr>
        <w:t>ب</w:t>
      </w:r>
      <w:r>
        <w:rPr>
          <w:rFonts w:hint="cs"/>
          <w:spacing w:val="10"/>
          <w:rtl/>
        </w:rPr>
        <w:t>ـ</w:t>
      </w:r>
      <w:r>
        <w:rPr>
          <w:rFonts w:hint="eastAsia"/>
          <w:spacing w:val="10"/>
          <w:rtl/>
        </w:rPr>
        <w:t>ل</w:t>
      </w:r>
      <w:r>
        <w:rPr>
          <w:spacing w:val="10"/>
          <w:rtl/>
        </w:rPr>
        <w:t xml:space="preserve"> الان</w:t>
      </w:r>
      <w:r>
        <w:rPr>
          <w:rFonts w:hint="cs"/>
          <w:spacing w:val="10"/>
          <w:rtl/>
        </w:rPr>
        <w:t>ـ</w:t>
      </w:r>
      <w:r>
        <w:rPr>
          <w:spacing w:val="10"/>
          <w:rtl/>
        </w:rPr>
        <w:t>ت</w:t>
      </w:r>
      <w:r>
        <w:rPr>
          <w:rFonts w:hint="cs"/>
          <w:spacing w:val="10"/>
          <w:rtl/>
        </w:rPr>
        <w:t>ـ</w:t>
      </w:r>
      <w:r>
        <w:rPr>
          <w:spacing w:val="10"/>
          <w:rtl/>
        </w:rPr>
        <w:t>ه</w:t>
      </w:r>
      <w:r>
        <w:rPr>
          <w:rFonts w:hint="cs"/>
          <w:spacing w:val="10"/>
          <w:rtl/>
        </w:rPr>
        <w:t>ـ</w:t>
      </w:r>
      <w:r>
        <w:rPr>
          <w:spacing w:val="10"/>
          <w:rtl/>
        </w:rPr>
        <w:t xml:space="preserve">اء من </w:t>
      </w:r>
      <w:r>
        <w:rPr>
          <w:rFonts w:hint="eastAsia"/>
          <w:spacing w:val="10"/>
          <w:rtl/>
        </w:rPr>
        <w:t>توثي</w:t>
      </w:r>
      <w:r>
        <w:rPr>
          <w:rFonts w:hint="cs"/>
          <w:spacing w:val="10"/>
          <w:rtl/>
        </w:rPr>
        <w:t>ـ</w:t>
      </w:r>
      <w:r>
        <w:rPr>
          <w:rFonts w:hint="eastAsia"/>
          <w:spacing w:val="10"/>
          <w:rtl/>
        </w:rPr>
        <w:t>ق</w:t>
      </w:r>
      <w:r>
        <w:rPr>
          <w:spacing w:val="10"/>
          <w:rtl/>
        </w:rPr>
        <w:t xml:space="preserve"> ه</w:t>
      </w:r>
      <w:r>
        <w:rPr>
          <w:rFonts w:hint="cs"/>
          <w:spacing w:val="10"/>
          <w:rtl/>
        </w:rPr>
        <w:t>ـ</w:t>
      </w:r>
      <w:r>
        <w:rPr>
          <w:spacing w:val="10"/>
          <w:rtl/>
        </w:rPr>
        <w:t>ذه ال</w:t>
      </w:r>
      <w:r>
        <w:rPr>
          <w:rFonts w:hint="cs"/>
          <w:spacing w:val="10"/>
          <w:rtl/>
        </w:rPr>
        <w:t>ـ</w:t>
      </w:r>
      <w:r>
        <w:rPr>
          <w:spacing w:val="10"/>
          <w:rtl/>
        </w:rPr>
        <w:t>ق</w:t>
      </w:r>
      <w:r>
        <w:rPr>
          <w:rFonts w:hint="cs"/>
          <w:spacing w:val="10"/>
          <w:rtl/>
        </w:rPr>
        <w:t>ـ</w:t>
      </w:r>
      <w:r>
        <w:rPr>
          <w:spacing w:val="10"/>
          <w:rtl/>
        </w:rPr>
        <w:t>اع</w:t>
      </w:r>
      <w:r>
        <w:rPr>
          <w:rFonts w:hint="cs"/>
          <w:spacing w:val="10"/>
          <w:rtl/>
        </w:rPr>
        <w:t>ـ</w:t>
      </w:r>
      <w:r>
        <w:rPr>
          <w:spacing w:val="10"/>
          <w:rtl/>
        </w:rPr>
        <w:t xml:space="preserve">دة : </w:t>
      </w:r>
      <w:r>
        <w:rPr>
          <w:b/>
          <w:bCs/>
          <w:spacing w:val="10"/>
          <w:rtl/>
        </w:rPr>
        <w:t>ي</w:t>
      </w:r>
      <w:r>
        <w:rPr>
          <w:rFonts w:hint="cs"/>
          <w:b/>
          <w:bCs/>
          <w:spacing w:val="10"/>
          <w:rtl/>
        </w:rPr>
        <w:t>ـ</w:t>
      </w:r>
      <w:r>
        <w:rPr>
          <w:b/>
          <w:bCs/>
          <w:spacing w:val="10"/>
          <w:rtl/>
        </w:rPr>
        <w:t>ح</w:t>
      </w:r>
      <w:r>
        <w:rPr>
          <w:rFonts w:hint="cs"/>
          <w:b/>
          <w:bCs/>
          <w:spacing w:val="10"/>
          <w:rtl/>
        </w:rPr>
        <w:t>ـ</w:t>
      </w:r>
      <w:r>
        <w:rPr>
          <w:b/>
          <w:bCs/>
          <w:spacing w:val="10"/>
          <w:rtl/>
        </w:rPr>
        <w:t>س</w:t>
      </w:r>
      <w:r>
        <w:rPr>
          <w:rFonts w:hint="cs"/>
          <w:b/>
          <w:bCs/>
          <w:spacing w:val="10"/>
          <w:rtl/>
        </w:rPr>
        <w:t>ـ</w:t>
      </w:r>
      <w:r>
        <w:rPr>
          <w:b/>
          <w:bCs/>
          <w:spacing w:val="10"/>
          <w:rtl/>
        </w:rPr>
        <w:t>ن ال</w:t>
      </w:r>
      <w:r>
        <w:rPr>
          <w:rFonts w:hint="cs"/>
          <w:b/>
          <w:bCs/>
          <w:spacing w:val="10"/>
          <w:rtl/>
        </w:rPr>
        <w:t>ـ</w:t>
      </w:r>
      <w:r>
        <w:rPr>
          <w:b/>
          <w:bCs/>
          <w:spacing w:val="10"/>
          <w:rtl/>
        </w:rPr>
        <w:t>ت</w:t>
      </w:r>
      <w:r>
        <w:rPr>
          <w:rFonts w:hint="cs"/>
          <w:b/>
          <w:bCs/>
          <w:spacing w:val="10"/>
          <w:rtl/>
        </w:rPr>
        <w:t>ـ</w:t>
      </w:r>
      <w:r>
        <w:rPr>
          <w:b/>
          <w:bCs/>
          <w:spacing w:val="10"/>
          <w:rtl/>
        </w:rPr>
        <w:t>ن</w:t>
      </w:r>
      <w:r>
        <w:rPr>
          <w:rFonts w:hint="cs"/>
          <w:b/>
          <w:bCs/>
          <w:spacing w:val="10"/>
          <w:rtl/>
        </w:rPr>
        <w:t>ـ</w:t>
      </w:r>
      <w:r>
        <w:rPr>
          <w:b/>
          <w:bCs/>
          <w:spacing w:val="10"/>
          <w:rtl/>
        </w:rPr>
        <w:t>بي</w:t>
      </w:r>
      <w:r>
        <w:rPr>
          <w:rFonts w:hint="cs"/>
          <w:b/>
          <w:bCs/>
          <w:spacing w:val="10"/>
          <w:rtl/>
        </w:rPr>
        <w:t>ـ</w:t>
      </w:r>
      <w:r>
        <w:rPr>
          <w:b/>
          <w:bCs/>
          <w:spacing w:val="10"/>
          <w:rtl/>
        </w:rPr>
        <w:t>ه ع</w:t>
      </w:r>
      <w:r>
        <w:rPr>
          <w:rFonts w:hint="cs"/>
          <w:b/>
          <w:bCs/>
          <w:spacing w:val="10"/>
          <w:rtl/>
        </w:rPr>
        <w:t>ـ</w:t>
      </w:r>
      <w:r>
        <w:rPr>
          <w:b/>
          <w:bCs/>
          <w:spacing w:val="10"/>
          <w:rtl/>
        </w:rPr>
        <w:t>لى أن</w:t>
      </w:r>
      <w:r>
        <w:rPr>
          <w:rFonts w:hint="cs"/>
          <w:b/>
          <w:bCs/>
          <w:spacing w:val="10"/>
          <w:rtl/>
        </w:rPr>
        <w:t>ـ</w:t>
      </w:r>
      <w:r>
        <w:rPr>
          <w:b/>
          <w:bCs/>
          <w:spacing w:val="10"/>
          <w:rtl/>
        </w:rPr>
        <w:t>ها وردت ب</w:t>
      </w:r>
      <w:r>
        <w:rPr>
          <w:rFonts w:hint="cs"/>
          <w:b/>
          <w:bCs/>
          <w:spacing w:val="10"/>
          <w:rtl/>
        </w:rPr>
        <w:t>ـ</w:t>
      </w:r>
      <w:r>
        <w:rPr>
          <w:b/>
          <w:bCs/>
          <w:spacing w:val="10"/>
          <w:rtl/>
        </w:rPr>
        <w:t>م</w:t>
      </w:r>
      <w:r>
        <w:rPr>
          <w:rFonts w:hint="cs"/>
          <w:b/>
          <w:bCs/>
          <w:spacing w:val="10"/>
          <w:rtl/>
        </w:rPr>
        <w:t>ع</w:t>
      </w:r>
      <w:r>
        <w:rPr>
          <w:b/>
          <w:bCs/>
          <w:spacing w:val="10"/>
          <w:rtl/>
        </w:rPr>
        <w:t>نى حديث مروي عن النبي</w:t>
      </w:r>
      <w:r>
        <w:rPr>
          <w:spacing w:val="10"/>
          <w:rtl/>
        </w:rPr>
        <w:t xml:space="preserve"> </w:t>
      </w:r>
      <w:r>
        <w:rPr>
          <w:rFonts w:ascii="AGA Arabesque" w:hAnsi="AGA Arabesque"/>
          <w:spacing w:val="10"/>
          <w:sz w:val="36"/>
          <w:szCs w:val="36"/>
        </w:rPr>
        <w:t></w:t>
      </w:r>
      <w:r>
        <w:rPr>
          <w:spacing w:val="10"/>
          <w:rtl/>
        </w:rPr>
        <w:t xml:space="preserve"> وهو </w:t>
      </w:r>
      <w:r>
        <w:rPr>
          <w:rFonts w:hint="eastAsia"/>
          <w:spacing w:val="10"/>
          <w:rtl/>
        </w:rPr>
        <w:t>ما</w:t>
      </w:r>
      <w:r>
        <w:rPr>
          <w:spacing w:val="10"/>
          <w:rtl/>
        </w:rPr>
        <w:t xml:space="preserve"> جاء عن ابن عمر رضي الله عنهما أنه قال :  </w:t>
      </w:r>
      <w:r>
        <w:rPr>
          <w:rFonts w:cs="DecoType Naskh"/>
          <w:spacing w:val="10"/>
          <w:rtl/>
        </w:rPr>
        <w:t>نهى رسول الله</w:t>
      </w:r>
      <w:r>
        <w:rPr>
          <w:spacing w:val="10"/>
          <w:rtl/>
        </w:rPr>
        <w:t xml:space="preserve"> </w:t>
      </w:r>
      <w:r>
        <w:rPr>
          <w:rFonts w:ascii="AGA Arabesque" w:hAnsi="AGA Arabesque"/>
          <w:spacing w:val="10"/>
          <w:sz w:val="36"/>
          <w:szCs w:val="36"/>
        </w:rPr>
        <w:t></w:t>
      </w:r>
      <w:r>
        <w:rPr>
          <w:spacing w:val="10"/>
          <w:rtl/>
        </w:rPr>
        <w:t xml:space="preserve"> </w:t>
      </w:r>
      <w:r>
        <w:rPr>
          <w:rFonts w:cs="DecoType Naskh"/>
          <w:spacing w:val="10"/>
          <w:rtl/>
        </w:rPr>
        <w:t xml:space="preserve">عن بيع الكالئ </w:t>
      </w:r>
      <w:r>
        <w:rPr>
          <w:rFonts w:cs="DecoType Naskh" w:hint="eastAsia"/>
          <w:spacing w:val="10"/>
          <w:rtl/>
        </w:rPr>
        <w:t>بالكالئ</w:t>
      </w:r>
      <w:r>
        <w:rPr>
          <w:spacing w:val="10"/>
          <w:rtl/>
        </w:rPr>
        <w:t>. قال نافع: وهو بيع الدين بالدين.</w:t>
      </w:r>
    </w:p>
    <w:p w:rsidR="00035BE3" w:rsidRDefault="00035BE3" w:rsidP="00C10469">
      <w:pPr>
        <w:pStyle w:val="a6"/>
        <w:ind w:left="422" w:firstLine="0"/>
        <w:rPr>
          <w:spacing w:val="8"/>
          <w:rtl/>
        </w:rPr>
      </w:pPr>
      <w:r>
        <w:rPr>
          <w:rFonts w:hint="cs"/>
          <w:spacing w:val="8"/>
          <w:rtl/>
        </w:rPr>
        <w:t>أخرجه الطحاوي بلفظه، في شرح معاني الآثار، كتاب البيوع، باب بيع المصراة، 4/21؛ والدارقطني بلفظه، كتاب البيوع، 3/71، 72؛ والحاكم بلفظه، كتاب البيوع، باب النهي عن بيع الكالئ بالكالئ، 2/66؛ والبيهقي بلفظه، كتاب البيوع، باب ما جاء في النهي عن بيع الدين بالدين، 5/290.</w:t>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t xml:space="preserve"> </w:t>
      </w:r>
    </w:p>
    <w:p w:rsidR="00035BE3" w:rsidRDefault="00035BE3" w:rsidP="00C10469">
      <w:pPr>
        <w:pStyle w:val="a6"/>
        <w:ind w:left="422" w:firstLine="0"/>
        <w:rPr>
          <w:spacing w:val="6"/>
          <w:rtl/>
        </w:rPr>
      </w:pPr>
      <w:r>
        <w:rPr>
          <w:rFonts w:hint="cs"/>
          <w:spacing w:val="6"/>
          <w:rtl/>
        </w:rPr>
        <w:t xml:space="preserve">وهذا الحديث صححه الحاكم، ووافقه الذهبي!. إلا أن الحافظ تعقّبهما : فقال في التلخيص </w:t>
      </w:r>
      <w:r>
        <w:rPr>
          <w:spacing w:val="6"/>
          <w:rtl/>
        </w:rPr>
        <w:t>–</w:t>
      </w:r>
      <w:r>
        <w:rPr>
          <w:rFonts w:hint="cs"/>
          <w:spacing w:val="6"/>
          <w:rtl/>
        </w:rPr>
        <w:t xml:space="preserve">3/26- : </w:t>
      </w:r>
      <w:r>
        <w:rPr>
          <w:rFonts w:hint="eastAsia"/>
          <w:spacing w:val="6"/>
          <w:rtl/>
        </w:rPr>
        <w:t>«</w:t>
      </w:r>
      <w:r>
        <w:rPr>
          <w:rFonts w:hint="cs"/>
          <w:spacing w:val="6"/>
          <w:rtl/>
        </w:rPr>
        <w:t>... وصححه الحاكم على شرط مسلم فوهم؛ فإن راويه موسى بن عبيدة الربذي، لا موسى بن عقبة ...</w:t>
      </w:r>
      <w:r>
        <w:rPr>
          <w:rFonts w:hint="eastAsia"/>
          <w:spacing w:val="6"/>
          <w:rtl/>
        </w:rPr>
        <w:t>»</w:t>
      </w:r>
      <w:r>
        <w:rPr>
          <w:rFonts w:hint="cs"/>
          <w:spacing w:val="6"/>
          <w:rtl/>
        </w:rPr>
        <w:t>.</w:t>
      </w:r>
    </w:p>
    <w:p w:rsidR="00035BE3" w:rsidRDefault="00035BE3" w:rsidP="00C10469">
      <w:pPr>
        <w:pStyle w:val="a6"/>
        <w:spacing w:line="500" w:lineRule="exact"/>
        <w:ind w:left="422" w:firstLine="0"/>
        <w:rPr>
          <w:spacing w:val="8"/>
          <w:rtl/>
        </w:rPr>
      </w:pPr>
      <w:r>
        <w:rPr>
          <w:rFonts w:hint="cs"/>
          <w:spacing w:val="8"/>
          <w:rtl/>
        </w:rPr>
        <w:t xml:space="preserve">ثم عضد كلامه هذا بنقل كلام عن البيهقي. ولهذا </w:t>
      </w:r>
      <w:r>
        <w:rPr>
          <w:spacing w:val="8"/>
          <w:rtl/>
        </w:rPr>
        <w:t xml:space="preserve">ضعّف </w:t>
      </w:r>
      <w:r>
        <w:rPr>
          <w:rFonts w:hint="eastAsia"/>
          <w:spacing w:val="8"/>
          <w:rtl/>
        </w:rPr>
        <w:t>سند</w:t>
      </w:r>
      <w:r>
        <w:rPr>
          <w:rFonts w:hint="cs"/>
          <w:spacing w:val="8"/>
          <w:rtl/>
        </w:rPr>
        <w:t>َ</w:t>
      </w:r>
      <w:r>
        <w:rPr>
          <w:rFonts w:hint="eastAsia"/>
          <w:spacing w:val="8"/>
          <w:rtl/>
        </w:rPr>
        <w:t>ه</w:t>
      </w:r>
      <w:r>
        <w:rPr>
          <w:spacing w:val="8"/>
          <w:rtl/>
        </w:rPr>
        <w:t xml:space="preserve"> كثير</w:t>
      </w:r>
      <w:r>
        <w:rPr>
          <w:rFonts w:hint="cs"/>
          <w:spacing w:val="8"/>
          <w:rtl/>
        </w:rPr>
        <w:t>ٌ</w:t>
      </w:r>
      <w:r>
        <w:rPr>
          <w:spacing w:val="8"/>
          <w:rtl/>
        </w:rPr>
        <w:t xml:space="preserve"> من العلماء؛ لع</w:t>
      </w:r>
      <w:r>
        <w:rPr>
          <w:rFonts w:hint="cs"/>
          <w:spacing w:val="8"/>
          <w:rtl/>
        </w:rPr>
        <w:t>ّ</w:t>
      </w:r>
      <w:r>
        <w:rPr>
          <w:spacing w:val="8"/>
          <w:rtl/>
        </w:rPr>
        <w:t>ل</w:t>
      </w:r>
      <w:r>
        <w:rPr>
          <w:rFonts w:hint="cs"/>
          <w:spacing w:val="8"/>
          <w:rtl/>
        </w:rPr>
        <w:t>ة</w:t>
      </w:r>
      <w:r>
        <w:rPr>
          <w:spacing w:val="8"/>
          <w:rtl/>
        </w:rPr>
        <w:t xml:space="preserve"> تفرّد موسى بن عبيد</w:t>
      </w:r>
      <w:r>
        <w:rPr>
          <w:rFonts w:hint="cs"/>
          <w:spacing w:val="8"/>
          <w:rtl/>
        </w:rPr>
        <w:t>ة</w:t>
      </w:r>
      <w:r>
        <w:rPr>
          <w:spacing w:val="8"/>
          <w:rtl/>
        </w:rPr>
        <w:t xml:space="preserve"> به، وقد تكلموا فيه من قبل حفظه - </w:t>
      </w:r>
      <w:r>
        <w:rPr>
          <w:rFonts w:hint="eastAsia"/>
          <w:spacing w:val="8"/>
          <w:rtl/>
        </w:rPr>
        <w:t>ولهم</w:t>
      </w:r>
      <w:r>
        <w:rPr>
          <w:spacing w:val="8"/>
          <w:rtl/>
        </w:rPr>
        <w:t xml:space="preserve"> في ذلك كلام كثير ليس هذا موضع بسطه - إلا أن «تلقي الأمة</w:t>
      </w:r>
      <w:r>
        <w:rPr>
          <w:rFonts w:hint="cs"/>
          <w:spacing w:val="8"/>
          <w:rtl/>
        </w:rPr>
        <w:t>ُ</w:t>
      </w:r>
      <w:r>
        <w:rPr>
          <w:spacing w:val="8"/>
          <w:rtl/>
        </w:rPr>
        <w:t xml:space="preserve"> هذا الحديث بالقبول </w:t>
      </w:r>
      <w:r>
        <w:rPr>
          <w:rFonts w:hint="eastAsia"/>
          <w:spacing w:val="8"/>
          <w:rtl/>
        </w:rPr>
        <w:t>يغني</w:t>
      </w:r>
      <w:r>
        <w:rPr>
          <w:spacing w:val="8"/>
          <w:rtl/>
        </w:rPr>
        <w:t xml:space="preserve"> عن طلب الإسناد» - قاله ابن عرفه المالكي، كما أفاد ذلك المواق في التاج </w:t>
      </w:r>
      <w:r>
        <w:rPr>
          <w:rFonts w:hint="eastAsia"/>
          <w:spacing w:val="8"/>
          <w:rtl/>
        </w:rPr>
        <w:t>والإكليل،</w:t>
      </w:r>
      <w:r>
        <w:rPr>
          <w:spacing w:val="8"/>
          <w:rtl/>
        </w:rPr>
        <w:t xml:space="preserve"> </w:t>
      </w:r>
      <w:r>
        <w:rPr>
          <w:rFonts w:hint="cs"/>
          <w:spacing w:val="8"/>
          <w:rtl/>
        </w:rPr>
        <w:t>6/232-</w:t>
      </w:r>
      <w:r>
        <w:rPr>
          <w:spacing w:val="8"/>
          <w:rtl/>
        </w:rPr>
        <w:t>.</w:t>
      </w:r>
    </w:p>
    <w:p w:rsidR="00035BE3" w:rsidRDefault="00035BE3" w:rsidP="00C10469">
      <w:pPr>
        <w:pStyle w:val="a6"/>
        <w:spacing w:line="500" w:lineRule="exact"/>
        <w:ind w:left="422" w:firstLine="0"/>
        <w:rPr>
          <w:rtl/>
        </w:rPr>
      </w:pPr>
      <w:r>
        <w:rPr>
          <w:rFonts w:hint="eastAsia"/>
          <w:rtl/>
        </w:rPr>
        <w:t>وقال</w:t>
      </w:r>
      <w:r>
        <w:rPr>
          <w:rtl/>
        </w:rPr>
        <w:t xml:space="preserve"> الشوك</w:t>
      </w:r>
      <w:r>
        <w:rPr>
          <w:rFonts w:hint="cs"/>
          <w:rtl/>
        </w:rPr>
        <w:t>ان</w:t>
      </w:r>
      <w:r>
        <w:rPr>
          <w:rtl/>
        </w:rPr>
        <w:t>ي في (السيل الجرّار)-3/14- : «وهو وإن كان في إسناده موسى بن عبيدة ال</w:t>
      </w:r>
      <w:r>
        <w:rPr>
          <w:rFonts w:hint="cs"/>
          <w:rtl/>
        </w:rPr>
        <w:t>ر</w:t>
      </w:r>
      <w:r>
        <w:rPr>
          <w:rtl/>
        </w:rPr>
        <w:t>ب</w:t>
      </w:r>
      <w:r>
        <w:rPr>
          <w:rFonts w:hint="cs"/>
          <w:rtl/>
        </w:rPr>
        <w:t>ذ</w:t>
      </w:r>
      <w:r>
        <w:rPr>
          <w:rtl/>
        </w:rPr>
        <w:t xml:space="preserve">ي، فقد </w:t>
      </w:r>
      <w:r>
        <w:rPr>
          <w:rFonts w:hint="eastAsia"/>
          <w:rtl/>
        </w:rPr>
        <w:t>شدَّ</w:t>
      </w:r>
      <w:r>
        <w:rPr>
          <w:rtl/>
        </w:rPr>
        <w:t xml:space="preserve"> من عضده ما يُحكى من الإجماع على عدم جواز بيع الكالئ بالكالئ».</w:t>
      </w:r>
    </w:p>
    <w:p w:rsidR="00035BE3" w:rsidRDefault="00035BE3" w:rsidP="00C10469">
      <w:pPr>
        <w:pStyle w:val="a6"/>
        <w:spacing w:line="500" w:lineRule="exact"/>
        <w:ind w:left="422" w:firstLine="0"/>
        <w:rPr>
          <w:rtl/>
        </w:rPr>
      </w:pPr>
      <w:r>
        <w:rPr>
          <w:rFonts w:hint="eastAsia"/>
          <w:rtl/>
        </w:rPr>
        <w:t>وقد</w:t>
      </w:r>
      <w:r>
        <w:rPr>
          <w:rtl/>
        </w:rPr>
        <w:t xml:space="preserve"> حكى هذا الإجماع </w:t>
      </w:r>
      <w:r>
        <w:rPr>
          <w:rFonts w:hint="eastAsia"/>
          <w:rtl/>
        </w:rPr>
        <w:t>الإمام</w:t>
      </w:r>
      <w:r>
        <w:rPr>
          <w:rtl/>
        </w:rPr>
        <w:t xml:space="preserve"> أحمد؛ حيث قال : «ليس في هذا حديث صحيح، لكن إجماع الناس على أنه لا يجوز </w:t>
      </w:r>
      <w:r>
        <w:rPr>
          <w:rFonts w:hint="eastAsia"/>
          <w:rtl/>
        </w:rPr>
        <w:t>بيع</w:t>
      </w:r>
      <w:r>
        <w:rPr>
          <w:rtl/>
        </w:rPr>
        <w:t xml:space="preserve"> الدين بالدين».</w:t>
      </w:r>
    </w:p>
    <w:p w:rsidR="00035BE3" w:rsidRDefault="00035BE3" w:rsidP="00C10469">
      <w:pPr>
        <w:pStyle w:val="a6"/>
        <w:spacing w:line="500" w:lineRule="exact"/>
        <w:ind w:left="422" w:firstLine="0"/>
        <w:rPr>
          <w:rtl/>
        </w:rPr>
      </w:pPr>
      <w:r>
        <w:rPr>
          <w:rFonts w:hint="eastAsia"/>
          <w:rtl/>
        </w:rPr>
        <w:t>ومم</w:t>
      </w:r>
      <w:r>
        <w:rPr>
          <w:rFonts w:hint="cs"/>
          <w:rtl/>
        </w:rPr>
        <w:t>ّ</w:t>
      </w:r>
      <w:r>
        <w:rPr>
          <w:rFonts w:hint="eastAsia"/>
          <w:rtl/>
        </w:rPr>
        <w:t>ن</w:t>
      </w:r>
      <w:r>
        <w:rPr>
          <w:rtl/>
        </w:rPr>
        <w:t xml:space="preserve"> حكى ذلك أيضًا : ابن المنذر وابن قدامة وشيخ الإسلام ابن تيمية </w:t>
      </w:r>
      <w:r>
        <w:rPr>
          <w:rFonts w:hint="cs"/>
          <w:rtl/>
        </w:rPr>
        <w:t xml:space="preserve">والشربيني </w:t>
      </w:r>
      <w:r>
        <w:rPr>
          <w:rtl/>
        </w:rPr>
        <w:t>وغيرهم.</w:t>
      </w:r>
    </w:p>
    <w:p w:rsidR="00035BE3" w:rsidRDefault="00035BE3" w:rsidP="00C10469">
      <w:pPr>
        <w:pStyle w:val="a6"/>
        <w:spacing w:line="500" w:lineRule="exact"/>
        <w:ind w:left="422" w:firstLine="0"/>
        <w:rPr>
          <w:rtl/>
        </w:rPr>
      </w:pPr>
      <w:r>
        <w:rPr>
          <w:rFonts w:hint="eastAsia"/>
          <w:rtl/>
        </w:rPr>
        <w:t>انظر</w:t>
      </w:r>
      <w:r>
        <w:rPr>
          <w:rtl/>
        </w:rPr>
        <w:t xml:space="preserve"> : الإجماع لابن </w:t>
      </w:r>
      <w:r>
        <w:rPr>
          <w:rFonts w:hint="eastAsia"/>
          <w:rtl/>
        </w:rPr>
        <w:t>المنذر،</w:t>
      </w:r>
      <w:r>
        <w:rPr>
          <w:rtl/>
        </w:rPr>
        <w:t xml:space="preserve"> ص104، فقرة 485؛ المغني، 6/104؛ مجموع فتاوى شيخ الإسلام ابن تيمية، 20/512؛</w:t>
      </w:r>
      <w:r>
        <w:rPr>
          <w:rFonts w:hint="cs"/>
          <w:rtl/>
        </w:rPr>
        <w:t xml:space="preserve"> مغني المحتاج، 2/330؛</w:t>
      </w:r>
      <w:r>
        <w:rPr>
          <w:rtl/>
        </w:rPr>
        <w:t xml:space="preserve"> تلخيص الحبير، 3/2</w:t>
      </w:r>
      <w:r>
        <w:rPr>
          <w:rFonts w:hint="cs"/>
          <w:rtl/>
        </w:rPr>
        <w:t>7</w:t>
      </w:r>
      <w:r>
        <w:rPr>
          <w:rtl/>
        </w:rPr>
        <w:t>.</w:t>
      </w:r>
    </w:p>
    <w:p w:rsidR="00035BE3" w:rsidRDefault="00035BE3" w:rsidP="00C10469">
      <w:pPr>
        <w:pStyle w:val="a6"/>
        <w:spacing w:line="500" w:lineRule="exact"/>
        <w:ind w:left="422" w:firstLine="0"/>
        <w:rPr>
          <w:rtl/>
        </w:rPr>
      </w:pPr>
      <w:r>
        <w:rPr>
          <w:rFonts w:hint="eastAsia"/>
          <w:rtl/>
        </w:rPr>
        <w:t>وانظر</w:t>
      </w:r>
      <w:r>
        <w:rPr>
          <w:rtl/>
        </w:rPr>
        <w:t xml:space="preserve"> في الحكم على </w:t>
      </w:r>
      <w:r>
        <w:rPr>
          <w:rFonts w:hint="eastAsia"/>
          <w:rtl/>
        </w:rPr>
        <w:t>الحديث</w:t>
      </w:r>
      <w:r>
        <w:rPr>
          <w:rtl/>
        </w:rPr>
        <w:t xml:space="preserve">: نصب الراية، </w:t>
      </w:r>
      <w:r>
        <w:rPr>
          <w:rFonts w:hint="cs"/>
          <w:rtl/>
        </w:rPr>
        <w:t>4</w:t>
      </w:r>
      <w:r>
        <w:rPr>
          <w:rtl/>
        </w:rPr>
        <w:t>/</w:t>
      </w:r>
      <w:r>
        <w:rPr>
          <w:rFonts w:hint="cs"/>
          <w:rtl/>
        </w:rPr>
        <w:t>39</w:t>
      </w:r>
      <w:r>
        <w:rPr>
          <w:rtl/>
        </w:rPr>
        <w:t>-</w:t>
      </w:r>
      <w:r>
        <w:rPr>
          <w:rFonts w:hint="cs"/>
          <w:rtl/>
        </w:rPr>
        <w:t>40</w:t>
      </w:r>
      <w:r>
        <w:rPr>
          <w:rtl/>
        </w:rPr>
        <w:t>؛ تلخيص الحبير،</w:t>
      </w:r>
      <w:r>
        <w:rPr>
          <w:rFonts w:hint="cs"/>
          <w:rtl/>
        </w:rPr>
        <w:t xml:space="preserve"> 3/26؛ الدراية، 2/157؛</w:t>
      </w:r>
      <w:r>
        <w:rPr>
          <w:rtl/>
        </w:rPr>
        <w:t xml:space="preserve"> إرواء الغليل، 5/220-222، رقم 1382.</w:t>
      </w:r>
    </w:p>
  </w:footnote>
  <w:footnote w:id="1520">
    <w:p w:rsidR="00035BE3" w:rsidRDefault="00035BE3" w:rsidP="00C10469">
      <w:pPr>
        <w:pStyle w:val="a8"/>
        <w:bidi/>
        <w:spacing w:line="48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الكُرُّ</w:t>
      </w:r>
      <w:r>
        <w:rPr>
          <w:rtl/>
        </w:rPr>
        <w:t xml:space="preserve"> : مكيالٌ لأهل العراق. وقد نصّ </w:t>
      </w:r>
      <w:r>
        <w:rPr>
          <w:rFonts w:hint="cs"/>
          <w:rtl/>
        </w:rPr>
        <w:t>أ</w:t>
      </w:r>
      <w:r>
        <w:rPr>
          <w:rtl/>
        </w:rPr>
        <w:t xml:space="preserve">هل </w:t>
      </w:r>
      <w:r>
        <w:rPr>
          <w:rFonts w:hint="eastAsia"/>
          <w:rtl/>
        </w:rPr>
        <w:t>اللغة</w:t>
      </w:r>
      <w:r>
        <w:rPr>
          <w:rtl/>
        </w:rPr>
        <w:t xml:space="preserve"> على </w:t>
      </w:r>
      <w:r>
        <w:rPr>
          <w:rFonts w:hint="cs"/>
          <w:rtl/>
        </w:rPr>
        <w:t>أ</w:t>
      </w:r>
      <w:r>
        <w:rPr>
          <w:rtl/>
        </w:rPr>
        <w:t xml:space="preserve">نه يساوي ستون قَفِيزًا، والقفيز ثمانية مكاكيك، والمكوك : صاع ونصف. </w:t>
      </w:r>
      <w:r>
        <w:rPr>
          <w:rFonts w:hint="eastAsia"/>
          <w:rtl/>
        </w:rPr>
        <w:t>كما</w:t>
      </w:r>
      <w:r>
        <w:rPr>
          <w:rtl/>
        </w:rPr>
        <w:t xml:space="preserve"> نصوا على أنه يساوي أيضًا اثنا عشر وَسْقًا، وكل وَسْقٍ ستون صاعًا.</w:t>
      </w:r>
    </w:p>
    <w:p w:rsidR="00035BE3" w:rsidRDefault="00035BE3" w:rsidP="00C10469">
      <w:pPr>
        <w:pStyle w:val="a6"/>
        <w:spacing w:line="480" w:lineRule="exact"/>
        <w:ind w:left="422" w:firstLine="0"/>
        <w:rPr>
          <w:rtl/>
        </w:rPr>
      </w:pPr>
      <w:r>
        <w:rPr>
          <w:rFonts w:hint="eastAsia"/>
          <w:rtl/>
        </w:rPr>
        <w:t>وعلى</w:t>
      </w:r>
      <w:r>
        <w:rPr>
          <w:rtl/>
        </w:rPr>
        <w:t xml:space="preserve"> كلا التقديرين </w:t>
      </w:r>
      <w:r>
        <w:rPr>
          <w:rFonts w:hint="eastAsia"/>
          <w:rtl/>
        </w:rPr>
        <w:t>فإن</w:t>
      </w:r>
      <w:r>
        <w:rPr>
          <w:rtl/>
        </w:rPr>
        <w:t xml:space="preserve"> الكُرَّ</w:t>
      </w:r>
      <w:r>
        <w:rPr>
          <w:rFonts w:hint="cs"/>
          <w:rtl/>
        </w:rPr>
        <w:t xml:space="preserve"> </w:t>
      </w:r>
      <w:r>
        <w:rPr>
          <w:rtl/>
        </w:rPr>
        <w:t>يساوي 720 صاعًا.</w:t>
      </w:r>
      <w:r>
        <w:rPr>
          <w:rFonts w:hint="cs"/>
          <w:rtl/>
        </w:rPr>
        <w:t xml:space="preserve"> </w:t>
      </w:r>
    </w:p>
    <w:p w:rsidR="00035BE3" w:rsidRDefault="00035BE3" w:rsidP="00C10469">
      <w:pPr>
        <w:pStyle w:val="a6"/>
        <w:spacing w:line="480" w:lineRule="exact"/>
        <w:ind w:left="422" w:firstLine="0"/>
        <w:rPr>
          <w:spacing w:val="-8"/>
          <w:rtl/>
        </w:rPr>
      </w:pPr>
      <w:r>
        <w:rPr>
          <w:rFonts w:hint="eastAsia"/>
          <w:spacing w:val="-8"/>
          <w:rtl/>
        </w:rPr>
        <w:t>انظر</w:t>
      </w:r>
      <w:r>
        <w:rPr>
          <w:spacing w:val="-8"/>
          <w:rtl/>
        </w:rPr>
        <w:t xml:space="preserve"> : لسان العرب، </w:t>
      </w:r>
      <w:r>
        <w:rPr>
          <w:rFonts w:hint="eastAsia"/>
          <w:spacing w:val="-8"/>
          <w:rtl/>
        </w:rPr>
        <w:t>مادة</w:t>
      </w:r>
      <w:r>
        <w:rPr>
          <w:spacing w:val="-8"/>
          <w:rtl/>
        </w:rPr>
        <w:t xml:space="preserve"> «كرّ»، 5/137؛ القاموس المحيط، مادة «كرّ»، ص603؛ المعجم الوسيط، مادة «كرّ»، 2/782؛ وانظر</w:t>
      </w:r>
      <w:r>
        <w:rPr>
          <w:rFonts w:hint="cs"/>
          <w:spacing w:val="-8"/>
          <w:rtl/>
        </w:rPr>
        <w:t xml:space="preserve"> :</w:t>
      </w:r>
      <w:r>
        <w:rPr>
          <w:spacing w:val="-8"/>
          <w:rtl/>
        </w:rPr>
        <w:t xml:space="preserve"> النهاية في غريب الحديث، 4/162.</w:t>
      </w:r>
    </w:p>
  </w:footnote>
  <w:footnote w:id="152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بحثت</w:t>
      </w:r>
      <w:r>
        <w:rPr>
          <w:rtl/>
        </w:rPr>
        <w:t xml:space="preserve"> عن هذه المسألة في مظانها من (العناية) </w:t>
      </w:r>
      <w:r>
        <w:rPr>
          <w:rFonts w:hint="eastAsia"/>
          <w:rtl/>
        </w:rPr>
        <w:t>ولم</w:t>
      </w:r>
      <w:r>
        <w:rPr>
          <w:rtl/>
        </w:rPr>
        <w:t xml:space="preserve"> أجدها، إلاّ أنها تكاد تكون موجودة بحروفها في الدرر شرح الغرر، 2/401.</w:t>
      </w:r>
    </w:p>
    <w:p w:rsidR="00035BE3" w:rsidRDefault="00035BE3" w:rsidP="00C10469">
      <w:pPr>
        <w:pStyle w:val="a6"/>
        <w:ind w:left="422" w:firstLine="0"/>
        <w:rPr>
          <w:rtl/>
        </w:rPr>
      </w:pPr>
      <w:r>
        <w:rPr>
          <w:rFonts w:hint="eastAsia"/>
          <w:rtl/>
        </w:rPr>
        <w:t>فلعل</w:t>
      </w:r>
      <w:r>
        <w:rPr>
          <w:rtl/>
        </w:rPr>
        <w:t xml:space="preserve"> صاحب الدرر </w:t>
      </w:r>
      <w:r>
        <w:rPr>
          <w:rFonts w:hint="eastAsia"/>
          <w:rtl/>
        </w:rPr>
        <w:t>استفادها</w:t>
      </w:r>
      <w:r>
        <w:rPr>
          <w:rtl/>
        </w:rPr>
        <w:t xml:space="preserve"> من (العناية) إلا أني لم أهتدِ إليها في (العناية)</w:t>
      </w:r>
      <w:r>
        <w:rPr>
          <w:rFonts w:hint="cs"/>
          <w:rtl/>
        </w:rPr>
        <w:t>،</w:t>
      </w:r>
      <w:r>
        <w:rPr>
          <w:rtl/>
        </w:rPr>
        <w:t xml:space="preserve"> أو أن المؤلف استفادها </w:t>
      </w:r>
      <w:r>
        <w:rPr>
          <w:rFonts w:hint="eastAsia"/>
          <w:rtl/>
        </w:rPr>
        <w:t>من</w:t>
      </w:r>
      <w:r>
        <w:rPr>
          <w:rtl/>
        </w:rPr>
        <w:t xml:space="preserve"> الدّرر، إلا أنه وهم فنسبها إلى (العناية)، والوهم لا يسلم منه أحد من البشر </w:t>
      </w:r>
      <w:r>
        <w:rPr>
          <w:rFonts w:hint="eastAsia"/>
          <w:rtl/>
        </w:rPr>
        <w:t>إلا</w:t>
      </w:r>
      <w:r>
        <w:rPr>
          <w:rtl/>
        </w:rPr>
        <w:t xml:space="preserve"> من عصمهم الله.</w:t>
      </w:r>
    </w:p>
    <w:p w:rsidR="00035BE3" w:rsidRDefault="00035BE3" w:rsidP="00C10469">
      <w:pPr>
        <w:pStyle w:val="a6"/>
        <w:ind w:left="422" w:firstLine="0"/>
        <w:rPr>
          <w:rtl/>
        </w:rPr>
      </w:pPr>
      <w:r>
        <w:rPr>
          <w:rFonts w:hint="eastAsia"/>
          <w:rtl/>
        </w:rPr>
        <w:t>ولكي</w:t>
      </w:r>
      <w:r>
        <w:rPr>
          <w:rtl/>
        </w:rPr>
        <w:t xml:space="preserve"> يتضح لكَ هذا </w:t>
      </w:r>
      <w:r>
        <w:rPr>
          <w:rFonts w:hint="eastAsia"/>
          <w:rtl/>
        </w:rPr>
        <w:t>فإن</w:t>
      </w:r>
      <w:r>
        <w:rPr>
          <w:rtl/>
        </w:rPr>
        <w:t xml:space="preserve"> نصها في </w:t>
      </w:r>
      <w:r>
        <w:rPr>
          <w:rFonts w:hint="cs"/>
          <w:rtl/>
        </w:rPr>
        <w:t>(</w:t>
      </w:r>
      <w:r>
        <w:rPr>
          <w:rtl/>
        </w:rPr>
        <w:t>الدرر</w:t>
      </w:r>
      <w:r>
        <w:rPr>
          <w:rFonts w:hint="cs"/>
          <w:rtl/>
        </w:rPr>
        <w:t>)</w:t>
      </w:r>
      <w:r>
        <w:rPr>
          <w:rtl/>
        </w:rPr>
        <w:t xml:space="preserve"> على النحو الآتي : «صالح عن كرّ حنطة على عشرة دراهم: فإن قبض (أي العشرة) في المجلس : جاز (أي الصلح)؛ لما عرفتَ أن الصلح في صورة اختلاف الجنس </w:t>
      </w:r>
      <w:r>
        <w:rPr>
          <w:rFonts w:hint="eastAsia"/>
          <w:rtl/>
        </w:rPr>
        <w:t>في</w:t>
      </w:r>
      <w:r>
        <w:rPr>
          <w:rtl/>
        </w:rPr>
        <w:t xml:space="preserve"> معنى البيع، فيجب قبض أحد العوضين في المجلس.</w:t>
      </w:r>
    </w:p>
    <w:p w:rsidR="00035BE3" w:rsidRDefault="00035BE3" w:rsidP="00C10469">
      <w:pPr>
        <w:pStyle w:val="a6"/>
        <w:ind w:left="422" w:firstLine="0"/>
        <w:rPr>
          <w:spacing w:val="8"/>
          <w:rtl/>
        </w:rPr>
      </w:pPr>
      <w:r>
        <w:rPr>
          <w:rFonts w:hint="eastAsia"/>
          <w:spacing w:val="8"/>
          <w:rtl/>
        </w:rPr>
        <w:t>وإلا</w:t>
      </w:r>
      <w:r>
        <w:rPr>
          <w:spacing w:val="8"/>
          <w:rtl/>
        </w:rPr>
        <w:t xml:space="preserve"> فلا، أي : وإن </w:t>
      </w:r>
      <w:r>
        <w:rPr>
          <w:rFonts w:hint="eastAsia"/>
          <w:spacing w:val="8"/>
          <w:rtl/>
        </w:rPr>
        <w:t>لم</w:t>
      </w:r>
      <w:r>
        <w:rPr>
          <w:spacing w:val="8"/>
          <w:rtl/>
        </w:rPr>
        <w:t xml:space="preserve"> يقبض العشرة فلا يصح الصلح؛ لأنه حينئذ يكون بيع الدين بالدين، وهو باطل».</w:t>
      </w:r>
    </w:p>
  </w:footnote>
  <w:footnote w:id="152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وردت</w:t>
      </w:r>
      <w:r>
        <w:rPr>
          <w:rtl/>
        </w:rPr>
        <w:t xml:space="preserve"> هذه القاعدة بهذا اللفظ أو نحوه في كثير </w:t>
      </w:r>
      <w:r>
        <w:rPr>
          <w:rFonts w:hint="eastAsia"/>
          <w:rtl/>
        </w:rPr>
        <w:t>من</w:t>
      </w:r>
      <w:r>
        <w:rPr>
          <w:rtl/>
        </w:rPr>
        <w:t xml:space="preserve"> كتب الفقه وقواعده</w:t>
      </w:r>
      <w:r>
        <w:rPr>
          <w:rFonts w:hint="cs"/>
          <w:rtl/>
        </w:rPr>
        <w:t>:</w:t>
      </w:r>
    </w:p>
    <w:p w:rsidR="00035BE3" w:rsidRDefault="00035BE3" w:rsidP="00C10469">
      <w:pPr>
        <w:pStyle w:val="a6"/>
        <w:ind w:left="422" w:firstLine="0"/>
        <w:rPr>
          <w:rtl/>
        </w:rPr>
      </w:pPr>
      <w:r>
        <w:rPr>
          <w:rFonts w:hint="eastAsia"/>
          <w:b/>
          <w:bCs/>
          <w:rtl/>
        </w:rPr>
        <w:t>فمن</w:t>
      </w:r>
      <w:r>
        <w:rPr>
          <w:b/>
          <w:bCs/>
          <w:rtl/>
        </w:rPr>
        <w:t xml:space="preserve"> كتب القواعد :</w:t>
      </w:r>
      <w:r>
        <w:rPr>
          <w:rtl/>
        </w:rPr>
        <w:t xml:space="preserve"> </w:t>
      </w:r>
    </w:p>
    <w:p w:rsidR="00035BE3" w:rsidRDefault="00035BE3" w:rsidP="00C10469">
      <w:pPr>
        <w:pStyle w:val="a6"/>
        <w:ind w:left="422" w:firstLine="0"/>
        <w:rPr>
          <w:rtl/>
        </w:rPr>
      </w:pPr>
      <w:r>
        <w:rPr>
          <w:rFonts w:hint="eastAsia"/>
          <w:rtl/>
        </w:rPr>
        <w:t>رسالة</w:t>
      </w:r>
      <w:r>
        <w:rPr>
          <w:rtl/>
        </w:rPr>
        <w:t xml:space="preserve"> الكرخي في الأصول، ص161-162 (مع تأسيس النظر)- ولفظه : «الأصل أن من ساعده </w:t>
      </w:r>
      <w:r>
        <w:rPr>
          <w:rFonts w:hint="eastAsia"/>
          <w:rtl/>
        </w:rPr>
        <w:t>الظاهر</w:t>
      </w:r>
      <w:r>
        <w:rPr>
          <w:rtl/>
        </w:rPr>
        <w:t xml:space="preserve"> فالقول قوله، والبينة على من يدعي خلاف الظاهر»؛ مجامع الحقائق(الخاتمة)، </w:t>
      </w:r>
      <w:r>
        <w:rPr>
          <w:rFonts w:hint="eastAsia"/>
          <w:rtl/>
        </w:rPr>
        <w:t>ص</w:t>
      </w:r>
      <w:r>
        <w:rPr>
          <w:rtl/>
        </w:rPr>
        <w:t xml:space="preserve">45؛ شرح العلائي لقواعد الخادمي، ل14/أ-ب؛ منافع الدقائق، ص314-315؛ مجلة الأحكام </w:t>
      </w:r>
      <w:r>
        <w:rPr>
          <w:rFonts w:hint="eastAsia"/>
          <w:rtl/>
        </w:rPr>
        <w:t>العدلية،</w:t>
      </w:r>
      <w:r>
        <w:rPr>
          <w:rtl/>
        </w:rPr>
        <w:t xml:space="preserve"> مادة 77- وأوّل لفظها : «البينة لإثبات ...»-؛ شرحها لسليم رستم، 1/51؛ </w:t>
      </w:r>
      <w:r>
        <w:rPr>
          <w:rFonts w:hint="eastAsia"/>
          <w:rtl/>
        </w:rPr>
        <w:t>ولعلي</w:t>
      </w:r>
      <w:r>
        <w:rPr>
          <w:rtl/>
        </w:rPr>
        <w:t xml:space="preserve"> حيدر، 1/67؛ وللأتاسي، 1/218؛ وشرح قواعدها للزرقا، ص391؛ قواعد الفقه </w:t>
      </w:r>
      <w:r>
        <w:rPr>
          <w:rFonts w:hint="cs"/>
          <w:rtl/>
        </w:rPr>
        <w:t>ل</w:t>
      </w:r>
      <w:r>
        <w:rPr>
          <w:rtl/>
        </w:rPr>
        <w:t xml:space="preserve">لمجدِّدي، ص66، قاعدة 65، وص129، قاعدة 352 - ولفظه الأول كلفظ المجلة، </w:t>
      </w:r>
      <w:r>
        <w:rPr>
          <w:rFonts w:hint="eastAsia"/>
          <w:rtl/>
        </w:rPr>
        <w:t>والثاني</w:t>
      </w:r>
      <w:r>
        <w:rPr>
          <w:rtl/>
        </w:rPr>
        <w:t xml:space="preserve"> كلفظ الكرخي-؛ ال</w:t>
      </w:r>
      <w:r>
        <w:rPr>
          <w:rFonts w:hint="cs"/>
          <w:rtl/>
        </w:rPr>
        <w:t>ـ</w:t>
      </w:r>
      <w:r>
        <w:rPr>
          <w:rtl/>
        </w:rPr>
        <w:t>م</w:t>
      </w:r>
      <w:r>
        <w:rPr>
          <w:rFonts w:hint="cs"/>
          <w:rtl/>
        </w:rPr>
        <w:t>ـ</w:t>
      </w:r>
      <w:r>
        <w:rPr>
          <w:rtl/>
        </w:rPr>
        <w:t xml:space="preserve">دخل الفقهي العام، 2/1057، فقرة 668- علمًا بأن مؤلفه </w:t>
      </w:r>
      <w:r>
        <w:rPr>
          <w:rFonts w:hint="eastAsia"/>
          <w:rtl/>
        </w:rPr>
        <w:t>عقد</w:t>
      </w:r>
      <w:r>
        <w:rPr>
          <w:rtl/>
        </w:rPr>
        <w:t xml:space="preserve"> فصلاً بعنوان نظرية تحليلية في قواع</w:t>
      </w:r>
      <w:r>
        <w:rPr>
          <w:rFonts w:hint="cs"/>
          <w:rtl/>
        </w:rPr>
        <w:t>ـ</w:t>
      </w:r>
      <w:r>
        <w:rPr>
          <w:rtl/>
        </w:rPr>
        <w:t>د الإثبات</w:t>
      </w:r>
      <w:r>
        <w:rPr>
          <w:rFonts w:hint="cs"/>
          <w:rtl/>
        </w:rPr>
        <w:t>،</w:t>
      </w:r>
      <w:r>
        <w:rPr>
          <w:rtl/>
        </w:rPr>
        <w:t xml:space="preserve"> وذلك ص1060-1076، وتطرّق فيه إلى </w:t>
      </w:r>
      <w:r>
        <w:rPr>
          <w:rFonts w:hint="eastAsia"/>
          <w:rtl/>
        </w:rPr>
        <w:t>معنى</w:t>
      </w:r>
      <w:r>
        <w:rPr>
          <w:rtl/>
        </w:rPr>
        <w:t xml:space="preserve"> الظاهر وخلاف الظاهر والأصل-؛ الوجيز، ص117؛ موسوعة القواعد الفقهية، 2/106 - </w:t>
      </w:r>
      <w:r>
        <w:rPr>
          <w:rFonts w:hint="eastAsia"/>
          <w:rtl/>
        </w:rPr>
        <w:t>ولفظهما</w:t>
      </w:r>
      <w:r>
        <w:rPr>
          <w:rtl/>
        </w:rPr>
        <w:t xml:space="preserve"> كلفظ الكرخي-؛ القواعد الفقهية للدّعاس، ص116، قاعدة 97؛ ول</w:t>
      </w:r>
      <w:r>
        <w:rPr>
          <w:rFonts w:hint="cs"/>
          <w:rtl/>
        </w:rPr>
        <w:t xml:space="preserve">ِـ </w:t>
      </w:r>
      <w:r>
        <w:rPr>
          <w:rtl/>
        </w:rPr>
        <w:t>د</w:t>
      </w:r>
      <w:r>
        <w:rPr>
          <w:rFonts w:hint="cs"/>
          <w:rtl/>
        </w:rPr>
        <w:t>. محمد</w:t>
      </w:r>
      <w:r>
        <w:rPr>
          <w:rtl/>
        </w:rPr>
        <w:t xml:space="preserve"> </w:t>
      </w:r>
      <w:r>
        <w:rPr>
          <w:rFonts w:hint="eastAsia"/>
          <w:rtl/>
        </w:rPr>
        <w:t>الزحيلي،</w:t>
      </w:r>
      <w:r>
        <w:rPr>
          <w:rtl/>
        </w:rPr>
        <w:t xml:space="preserve"> ص90- ولفظهما كلفظ المجلة.</w:t>
      </w:r>
    </w:p>
    <w:p w:rsidR="00035BE3" w:rsidRDefault="00035BE3" w:rsidP="00C10469">
      <w:pPr>
        <w:pStyle w:val="a6"/>
        <w:ind w:left="422" w:firstLine="0"/>
        <w:rPr>
          <w:b/>
          <w:bCs/>
          <w:rtl/>
        </w:rPr>
      </w:pPr>
      <w:r>
        <w:rPr>
          <w:rFonts w:hint="eastAsia"/>
          <w:b/>
          <w:bCs/>
          <w:rtl/>
        </w:rPr>
        <w:t>ومن</w:t>
      </w:r>
      <w:r>
        <w:rPr>
          <w:b/>
          <w:bCs/>
          <w:rtl/>
        </w:rPr>
        <w:t xml:space="preserve"> كتب الفقه : </w:t>
      </w:r>
    </w:p>
    <w:p w:rsidR="00035BE3" w:rsidRDefault="00035BE3" w:rsidP="00C10469">
      <w:pPr>
        <w:pStyle w:val="a6"/>
        <w:ind w:left="422" w:firstLine="0"/>
        <w:rPr>
          <w:rtl/>
        </w:rPr>
      </w:pPr>
      <w:r>
        <w:rPr>
          <w:rtl/>
        </w:rPr>
        <w:t xml:space="preserve">شرح </w:t>
      </w:r>
      <w:r>
        <w:rPr>
          <w:rFonts w:hint="eastAsia"/>
          <w:rtl/>
        </w:rPr>
        <w:t>مختصر</w:t>
      </w:r>
      <w:r>
        <w:rPr>
          <w:rtl/>
        </w:rPr>
        <w:t xml:space="preserve"> الطّحاوي للجصّاص، (الجزء الثاني من الكتاب، المجل</w:t>
      </w:r>
      <w:r>
        <w:rPr>
          <w:rFonts w:hint="cs"/>
          <w:rtl/>
        </w:rPr>
        <w:t>د</w:t>
      </w:r>
      <w:r>
        <w:rPr>
          <w:rtl/>
        </w:rPr>
        <w:t xml:space="preserve"> الثاني من الجزء الثاني، </w:t>
      </w:r>
      <w:r>
        <w:rPr>
          <w:rFonts w:hint="eastAsia"/>
          <w:rtl/>
        </w:rPr>
        <w:t>ص</w:t>
      </w:r>
      <w:r>
        <w:rPr>
          <w:rtl/>
        </w:rPr>
        <w:t>213)؛ الدرر شرح الغرر، 2/263.</w:t>
      </w:r>
    </w:p>
  </w:footnote>
  <w:footnote w:id="152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طلبتْ نفقتهم - كما سبق بيان ذلك ص</w:t>
      </w:r>
      <w:r>
        <w:rPr>
          <w:rFonts w:hint="cs"/>
          <w:rtl/>
        </w:rPr>
        <w:t>324-</w:t>
      </w:r>
      <w:r>
        <w:rPr>
          <w:rtl/>
        </w:rPr>
        <w:t>.</w:t>
      </w:r>
    </w:p>
  </w:footnote>
  <w:footnote w:id="152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1/446.</w:t>
      </w:r>
    </w:p>
  </w:footnote>
  <w:footnote w:id="152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«وجوابه قدم في باب الألف».</w:t>
      </w:r>
    </w:p>
  </w:footnote>
  <w:footnote w:id="152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(ب)، وفي باقي النسخ </w:t>
      </w:r>
      <w:r>
        <w:rPr>
          <w:rFonts w:hint="cs"/>
          <w:rtl/>
        </w:rPr>
        <w:t>:</w:t>
      </w:r>
      <w:r>
        <w:rPr>
          <w:rtl/>
        </w:rPr>
        <w:t xml:space="preserve"> «القاعدة» بإثبات (أل) التعريف. و</w:t>
      </w:r>
      <w:r>
        <w:rPr>
          <w:rFonts w:hint="cs"/>
          <w:rtl/>
        </w:rPr>
        <w:t>الأسلوب</w:t>
      </w:r>
      <w:r>
        <w:rPr>
          <w:rtl/>
        </w:rPr>
        <w:t xml:space="preserve"> مع إثباتها فيه ركاكة؛ لهذا تمَّ </w:t>
      </w:r>
      <w:r>
        <w:rPr>
          <w:rFonts w:hint="eastAsia"/>
          <w:rtl/>
        </w:rPr>
        <w:t>حذفها</w:t>
      </w:r>
      <w:r>
        <w:rPr>
          <w:rtl/>
        </w:rPr>
        <w:t xml:space="preserve"> تبعًا لنسخة (ب)</w:t>
      </w:r>
    </w:p>
  </w:footnote>
  <w:footnote w:id="152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وذلك</w:t>
      </w:r>
      <w:r>
        <w:rPr>
          <w:rtl/>
        </w:rPr>
        <w:t xml:space="preserve"> ص</w:t>
      </w:r>
      <w:r>
        <w:rPr>
          <w:rFonts w:hint="cs"/>
          <w:rtl/>
        </w:rPr>
        <w:t>325</w:t>
      </w:r>
      <w:r>
        <w:rPr>
          <w:rtl/>
        </w:rPr>
        <w:t>،</w:t>
      </w:r>
      <w:r>
        <w:rPr>
          <w:rFonts w:hint="cs"/>
          <w:rtl/>
        </w:rPr>
        <w:t xml:space="preserve"> (ل11/ب)</w:t>
      </w:r>
      <w:r>
        <w:rPr>
          <w:rtl/>
        </w:rPr>
        <w:t xml:space="preserve"> قاعدة 27.</w:t>
      </w:r>
    </w:p>
  </w:footnote>
  <w:footnote w:id="1528">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«يصل»، وكذلك في بعض مصادر القاعدة - الآتي ذكرها - كالمبسوط وتبيين الحقائق والبحر. وهذا الأولى. علمًا بأن </w:t>
      </w:r>
      <w:r>
        <w:rPr>
          <w:rFonts w:hint="cs"/>
          <w:rtl/>
        </w:rPr>
        <w:t>ال</w:t>
      </w:r>
      <w:r>
        <w:rPr>
          <w:rtl/>
        </w:rPr>
        <w:t xml:space="preserve">لفظ </w:t>
      </w:r>
      <w:r>
        <w:rPr>
          <w:rFonts w:hint="cs"/>
          <w:rtl/>
        </w:rPr>
        <w:t>المذكور في الصلب</w:t>
      </w:r>
      <w:r>
        <w:rPr>
          <w:rtl/>
        </w:rPr>
        <w:t xml:space="preserve"> مطابق للفظ الدّرر.</w:t>
      </w:r>
    </w:p>
  </w:footnote>
  <w:footnote w:id="1529">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وردت</w:t>
      </w:r>
      <w:r>
        <w:rPr>
          <w:rtl/>
        </w:rPr>
        <w:t xml:space="preserve"> هذه القاعدة بهذا اللفظ أو نحوه في عدد </w:t>
      </w:r>
      <w:r>
        <w:rPr>
          <w:rFonts w:hint="eastAsia"/>
          <w:rtl/>
        </w:rPr>
        <w:t>من</w:t>
      </w:r>
      <w:r>
        <w:rPr>
          <w:rtl/>
        </w:rPr>
        <w:t xml:space="preserve"> </w:t>
      </w:r>
      <w:r>
        <w:rPr>
          <w:b/>
          <w:bCs/>
          <w:rtl/>
        </w:rPr>
        <w:t>كتب الفقه الحنفي</w:t>
      </w:r>
      <w:r>
        <w:rPr>
          <w:rtl/>
        </w:rPr>
        <w:t xml:space="preserve">، منها : </w:t>
      </w:r>
    </w:p>
    <w:p w:rsidR="00035BE3" w:rsidRDefault="00035BE3" w:rsidP="00C10469">
      <w:pPr>
        <w:pStyle w:val="a6"/>
        <w:spacing w:line="500" w:lineRule="exact"/>
        <w:ind w:left="422" w:firstLine="0"/>
        <w:rPr>
          <w:rtl/>
        </w:rPr>
      </w:pPr>
      <w:r>
        <w:rPr>
          <w:rtl/>
        </w:rPr>
        <w:t xml:space="preserve">المبسوط، 25/71؛ تبيين الحقائق، 5/215؛ الدّرر شرح </w:t>
      </w:r>
      <w:r>
        <w:rPr>
          <w:rFonts w:hint="eastAsia"/>
          <w:rtl/>
        </w:rPr>
        <w:t>الغرر،</w:t>
      </w:r>
      <w:r>
        <w:rPr>
          <w:rtl/>
        </w:rPr>
        <w:t xml:space="preserve"> 2/279؛ البحر الرائق، 8/116.</w:t>
      </w:r>
    </w:p>
  </w:footnote>
  <w:footnote w:id="1530">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(ب)، وفي </w:t>
      </w:r>
      <w:r>
        <w:rPr>
          <w:rFonts w:hint="cs"/>
          <w:rtl/>
        </w:rPr>
        <w:t>(أ) و(جـ) و(د) و(هـ)</w:t>
      </w:r>
      <w:r>
        <w:rPr>
          <w:rtl/>
        </w:rPr>
        <w:t xml:space="preserve"> : «للبائع»، وفي (و) : «الملك للبائع». والذي يستقيم به المعنى هو ما في (ب) و(و).</w:t>
      </w:r>
    </w:p>
  </w:footnote>
  <w:footnote w:id="1531">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17/أ من (د).</w:t>
      </w:r>
    </w:p>
  </w:footnote>
  <w:footnote w:id="1532">
    <w:p w:rsidR="00035BE3" w:rsidRDefault="00035BE3" w:rsidP="00C10469">
      <w:pPr>
        <w:pStyle w:val="a8"/>
        <w:bidi/>
        <w:spacing w:line="500" w:lineRule="exact"/>
        <w:ind w:left="422" w:right="0"/>
        <w:rPr>
          <w:spacing w:val="6"/>
          <w:rtl/>
        </w:rPr>
      </w:pPr>
      <w:r>
        <w:rPr>
          <w:spacing w:val="6"/>
          <w:vertAlign w:val="superscript"/>
          <w:rtl/>
        </w:rPr>
        <w:t>(</w:t>
      </w:r>
      <w:r>
        <w:rPr>
          <w:rStyle w:val="a7"/>
          <w:spacing w:val="6"/>
        </w:rPr>
        <w:footnoteRef/>
      </w:r>
      <w:r>
        <w:rPr>
          <w:spacing w:val="6"/>
          <w:vertAlign w:val="superscript"/>
          <w:rtl/>
        </w:rPr>
        <w:t>)</w:t>
      </w:r>
      <w:r>
        <w:rPr>
          <w:spacing w:val="6"/>
          <w:rtl/>
        </w:rPr>
        <w:t xml:space="preserve">  </w:t>
      </w:r>
      <w:r>
        <w:rPr>
          <w:rFonts w:hint="eastAsia"/>
          <w:spacing w:val="6"/>
          <w:rtl/>
        </w:rPr>
        <w:t>في</w:t>
      </w:r>
      <w:r>
        <w:rPr>
          <w:spacing w:val="6"/>
          <w:rtl/>
        </w:rPr>
        <w:t xml:space="preserve"> (أ) و(جـ) : «ملك سلك»، وفي (د) و(هـ) : «ملك </w:t>
      </w:r>
      <w:r>
        <w:rPr>
          <w:rFonts w:hint="eastAsia"/>
          <w:spacing w:val="6"/>
          <w:rtl/>
        </w:rPr>
        <w:t>هلك»</w:t>
      </w:r>
      <w:r>
        <w:rPr>
          <w:spacing w:val="6"/>
          <w:rtl/>
        </w:rPr>
        <w:t>. والصحيح ما تمَّ إثباته من (ب) و(و).</w:t>
      </w:r>
    </w:p>
  </w:footnote>
  <w:footnote w:id="1533">
    <w:p w:rsidR="00035BE3" w:rsidRDefault="00035BE3" w:rsidP="00C10469">
      <w:pPr>
        <w:pStyle w:val="a8"/>
        <w:bidi/>
        <w:spacing w:line="500" w:lineRule="exact"/>
        <w:ind w:left="422" w:right="0"/>
        <w:rPr>
          <w:spacing w:val="6"/>
          <w:rtl/>
        </w:rPr>
      </w:pPr>
      <w:r>
        <w:rPr>
          <w:spacing w:val="6"/>
          <w:vertAlign w:val="superscript"/>
          <w:rtl/>
        </w:rPr>
        <w:t>(</w:t>
      </w:r>
      <w:r>
        <w:rPr>
          <w:rStyle w:val="a7"/>
          <w:spacing w:val="6"/>
        </w:rPr>
        <w:footnoteRef/>
      </w:r>
      <w:r>
        <w:rPr>
          <w:spacing w:val="6"/>
          <w:vertAlign w:val="superscript"/>
          <w:rtl/>
        </w:rPr>
        <w:t>)</w:t>
      </w:r>
      <w:r>
        <w:rPr>
          <w:spacing w:val="6"/>
          <w:rtl/>
        </w:rPr>
        <w:t xml:space="preserve">  </w:t>
      </w:r>
      <w:r>
        <w:rPr>
          <w:rFonts w:hint="eastAsia"/>
          <w:spacing w:val="6"/>
          <w:rtl/>
        </w:rPr>
        <w:t>انظر</w:t>
      </w:r>
      <w:r>
        <w:rPr>
          <w:spacing w:val="6"/>
          <w:rtl/>
        </w:rPr>
        <w:t xml:space="preserve">: مصادر القاعدة الآنف ذكرها؛ وانظر : </w:t>
      </w:r>
      <w:r>
        <w:rPr>
          <w:rFonts w:hint="eastAsia"/>
          <w:spacing w:val="6"/>
          <w:rtl/>
        </w:rPr>
        <w:t>بدائع</w:t>
      </w:r>
      <w:r>
        <w:rPr>
          <w:spacing w:val="6"/>
          <w:rtl/>
        </w:rPr>
        <w:t xml:space="preserve"> الصنائع، 5/249؛ الهداية وشرحها: العناية، 9/303؛ الأشباه والنظائر لابن </w:t>
      </w:r>
      <w:r>
        <w:rPr>
          <w:rFonts w:hint="eastAsia"/>
          <w:spacing w:val="6"/>
          <w:rtl/>
        </w:rPr>
        <w:t>نجيم،</w:t>
      </w:r>
      <w:r>
        <w:rPr>
          <w:spacing w:val="6"/>
          <w:rtl/>
        </w:rPr>
        <w:t xml:space="preserve"> ص240؛ البحر الرائق، 5/331.</w:t>
      </w:r>
    </w:p>
  </w:footnote>
  <w:footnote w:id="1534">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 بناءً على الكلام السابق فإنه لا يقال : </w:t>
      </w:r>
      <w:r>
        <w:rPr>
          <w:rFonts w:hint="eastAsia"/>
          <w:rtl/>
        </w:rPr>
        <w:t>إن</w:t>
      </w:r>
      <w:r>
        <w:rPr>
          <w:rtl/>
        </w:rPr>
        <w:t xml:space="preserve"> المشتري ...</w:t>
      </w:r>
    </w:p>
  </w:footnote>
  <w:footnote w:id="1535">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«يصل». وكلمة : «يتصل» : نهاية 26/أ </w:t>
      </w:r>
      <w:r>
        <w:rPr>
          <w:rFonts w:hint="cs"/>
          <w:rtl/>
        </w:rPr>
        <w:t>من</w:t>
      </w:r>
      <w:r>
        <w:rPr>
          <w:rtl/>
        </w:rPr>
        <w:t xml:space="preserve"> (أ).</w:t>
      </w:r>
    </w:p>
  </w:footnote>
  <w:footnote w:id="1536">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جاء</w:t>
      </w:r>
      <w:r>
        <w:rPr>
          <w:rtl/>
        </w:rPr>
        <w:t xml:space="preserve"> في هامش (أ) بخط</w:t>
      </w:r>
      <w:r>
        <w:rPr>
          <w:rFonts w:hint="cs"/>
          <w:rtl/>
        </w:rPr>
        <w:t>ٍّ</w:t>
      </w:r>
      <w:r>
        <w:rPr>
          <w:rtl/>
        </w:rPr>
        <w:t xml:space="preserve"> مغاير : «دينًا على </w:t>
      </w:r>
      <w:r>
        <w:rPr>
          <w:rFonts w:hint="eastAsia"/>
          <w:rtl/>
        </w:rPr>
        <w:t>المشتري»</w:t>
      </w:r>
      <w:r>
        <w:rPr>
          <w:rtl/>
        </w:rPr>
        <w:t>.</w:t>
      </w:r>
    </w:p>
  </w:footnote>
  <w:footnote w:id="1537">
    <w:p w:rsidR="00035BE3" w:rsidRDefault="00035BE3" w:rsidP="00C10469">
      <w:pPr>
        <w:pStyle w:val="a8"/>
        <w:bidi/>
        <w:spacing w:line="50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يظهر</w:t>
      </w:r>
      <w:r>
        <w:rPr>
          <w:rtl/>
        </w:rPr>
        <w:t xml:space="preserve"> -والله أعلم- أن ما سيذكره المؤلف هنا </w:t>
      </w:r>
      <w:r>
        <w:rPr>
          <w:rFonts w:hint="eastAsia"/>
          <w:rtl/>
        </w:rPr>
        <w:t>بمثابة</w:t>
      </w:r>
      <w:r>
        <w:rPr>
          <w:rtl/>
        </w:rPr>
        <w:t xml:space="preserve"> اعتراض</w:t>
      </w:r>
      <w:r>
        <w:rPr>
          <w:rFonts w:hint="cs"/>
          <w:rtl/>
        </w:rPr>
        <w:t xml:space="preserve"> على</w:t>
      </w:r>
      <w:r>
        <w:rPr>
          <w:rtl/>
        </w:rPr>
        <w:t xml:space="preserve"> القاعدة، ولبيان ذلك يُقال: </w:t>
      </w:r>
    </w:p>
    <w:p w:rsidR="00035BE3" w:rsidRDefault="00035BE3" w:rsidP="00C10469">
      <w:pPr>
        <w:pStyle w:val="a6"/>
        <w:spacing w:line="500" w:lineRule="exact"/>
        <w:ind w:left="422" w:firstLine="0"/>
        <w:rPr>
          <w:rtl/>
        </w:rPr>
      </w:pPr>
      <w:r>
        <w:rPr>
          <w:rFonts w:hint="eastAsia"/>
          <w:rtl/>
        </w:rPr>
        <w:t>لقد</w:t>
      </w:r>
      <w:r>
        <w:rPr>
          <w:rtl/>
        </w:rPr>
        <w:t xml:space="preserve"> دلّت القاعدة </w:t>
      </w:r>
      <w:r>
        <w:rPr>
          <w:rFonts w:hint="eastAsia"/>
          <w:rtl/>
        </w:rPr>
        <w:t>على</w:t>
      </w:r>
      <w:r>
        <w:rPr>
          <w:rtl/>
        </w:rPr>
        <w:t xml:space="preserve"> أن البائع إذا باع شيئًا فإن ملكه باقٍ على حاله إلى أن يصل إليه الثمن.</w:t>
      </w:r>
      <w:r>
        <w:rPr>
          <w:rFonts w:hint="cs"/>
          <w:rtl/>
        </w:rPr>
        <w:t xml:space="preserve">      </w:t>
      </w:r>
    </w:p>
    <w:p w:rsidR="00035BE3" w:rsidRDefault="00035BE3" w:rsidP="00C10469">
      <w:pPr>
        <w:pStyle w:val="a6"/>
        <w:ind w:left="422" w:firstLine="0"/>
        <w:rPr>
          <w:rtl/>
        </w:rPr>
      </w:pPr>
      <w:r>
        <w:rPr>
          <w:rFonts w:hint="eastAsia"/>
          <w:rtl/>
        </w:rPr>
        <w:t>وينبني</w:t>
      </w:r>
      <w:r>
        <w:rPr>
          <w:rtl/>
        </w:rPr>
        <w:t xml:space="preserve"> على هذا : </w:t>
      </w:r>
      <w:r>
        <w:rPr>
          <w:rFonts w:hint="eastAsia"/>
          <w:rtl/>
        </w:rPr>
        <w:t>كون</w:t>
      </w:r>
      <w:r>
        <w:rPr>
          <w:rtl/>
        </w:rPr>
        <w:t xml:space="preserve"> قبض المشتري للمبيع بإذن البائع ليس كاف</w:t>
      </w:r>
      <w:r>
        <w:rPr>
          <w:rFonts w:hint="cs"/>
          <w:rtl/>
        </w:rPr>
        <w:t>يًا</w:t>
      </w:r>
      <w:r>
        <w:rPr>
          <w:rtl/>
        </w:rPr>
        <w:t xml:space="preserve"> في انتقال الملك إليه؛ بل لابّد أن </w:t>
      </w:r>
      <w:r>
        <w:rPr>
          <w:rFonts w:hint="eastAsia"/>
          <w:rtl/>
        </w:rPr>
        <w:t>يسلّم</w:t>
      </w:r>
      <w:r>
        <w:rPr>
          <w:rtl/>
        </w:rPr>
        <w:t xml:space="preserve"> الثمن إلى البائع، وإلا فإن البائع أحق الناس بالمبيع.</w:t>
      </w:r>
    </w:p>
    <w:p w:rsidR="00035BE3" w:rsidRDefault="00035BE3" w:rsidP="00C10469">
      <w:pPr>
        <w:pStyle w:val="a6"/>
        <w:ind w:left="422" w:firstLine="0"/>
        <w:rPr>
          <w:rtl/>
        </w:rPr>
      </w:pPr>
      <w:r>
        <w:rPr>
          <w:rFonts w:hint="eastAsia"/>
          <w:rtl/>
        </w:rPr>
        <w:t>وبعد</w:t>
      </w:r>
      <w:r>
        <w:rPr>
          <w:rtl/>
        </w:rPr>
        <w:t xml:space="preserve"> أن بيّن المؤلف </w:t>
      </w:r>
      <w:r>
        <w:rPr>
          <w:rFonts w:hint="eastAsia"/>
          <w:rtl/>
        </w:rPr>
        <w:t>ذلك</w:t>
      </w:r>
      <w:r>
        <w:rPr>
          <w:rtl/>
        </w:rPr>
        <w:t xml:space="preserve"> : اعترض عليه هنا بأن حصر انتقال الملك عن البائع بوصول الثمن إليه غير مسلم؛ </w:t>
      </w:r>
      <w:r>
        <w:rPr>
          <w:rFonts w:hint="eastAsia"/>
          <w:rtl/>
        </w:rPr>
        <w:t>لأنه</w:t>
      </w:r>
      <w:r>
        <w:rPr>
          <w:rtl/>
        </w:rPr>
        <w:t xml:space="preserve"> ورد في الكتب المعتبرة ما يدل على أن انتقال الملك عن البائع يمكن أن يحصل </w:t>
      </w:r>
      <w:r>
        <w:rPr>
          <w:rFonts w:hint="eastAsia"/>
          <w:rtl/>
        </w:rPr>
        <w:t>بقبض</w:t>
      </w:r>
      <w:r>
        <w:rPr>
          <w:rtl/>
        </w:rPr>
        <w:t xml:space="preserve"> المشتري المبيع وإن لم ينقد الثمن للبائع.</w:t>
      </w:r>
    </w:p>
  </w:footnote>
  <w:footnote w:id="153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المراد</w:t>
      </w:r>
      <w:r>
        <w:rPr>
          <w:b/>
          <w:bCs/>
          <w:rtl/>
        </w:rPr>
        <w:t xml:space="preserve"> بالمعتبرات</w:t>
      </w:r>
      <w:r>
        <w:rPr>
          <w:rtl/>
        </w:rPr>
        <w:t xml:space="preserve"> : الكتب المعتبرة في الفقه </w:t>
      </w:r>
      <w:r>
        <w:rPr>
          <w:rFonts w:hint="eastAsia"/>
          <w:rtl/>
        </w:rPr>
        <w:t>الحنفي</w:t>
      </w:r>
      <w:r>
        <w:rPr>
          <w:rtl/>
        </w:rPr>
        <w:t>.</w:t>
      </w:r>
    </w:p>
    <w:p w:rsidR="00035BE3" w:rsidRDefault="00035BE3" w:rsidP="00C10469">
      <w:pPr>
        <w:pStyle w:val="a6"/>
        <w:ind w:left="422" w:firstLine="0"/>
        <w:rPr>
          <w:rtl/>
        </w:rPr>
      </w:pPr>
      <w:r>
        <w:rPr>
          <w:rFonts w:hint="eastAsia"/>
          <w:rtl/>
        </w:rPr>
        <w:t>وقد</w:t>
      </w:r>
      <w:r>
        <w:rPr>
          <w:rtl/>
        </w:rPr>
        <w:t xml:space="preserve"> اعتنى العلماء </w:t>
      </w:r>
      <w:r>
        <w:rPr>
          <w:rFonts w:hint="eastAsia"/>
          <w:rtl/>
        </w:rPr>
        <w:t>والباحثون</w:t>
      </w:r>
      <w:r>
        <w:rPr>
          <w:rtl/>
        </w:rPr>
        <w:t xml:space="preserve"> ببيان الكتب المعتمدة في كل مذهب.</w:t>
      </w:r>
    </w:p>
    <w:p w:rsidR="00035BE3" w:rsidRDefault="00035BE3" w:rsidP="00C10469">
      <w:pPr>
        <w:pStyle w:val="a6"/>
        <w:ind w:left="422" w:firstLine="0"/>
        <w:rPr>
          <w:rtl/>
        </w:rPr>
      </w:pPr>
      <w:r>
        <w:rPr>
          <w:rFonts w:hint="eastAsia"/>
          <w:rtl/>
        </w:rPr>
        <w:t>وممّن</w:t>
      </w:r>
      <w:r>
        <w:rPr>
          <w:rtl/>
        </w:rPr>
        <w:t xml:space="preserve"> اعتنى ببيان </w:t>
      </w:r>
      <w:r>
        <w:rPr>
          <w:rFonts w:hint="eastAsia"/>
          <w:rtl/>
        </w:rPr>
        <w:t>الكتب</w:t>
      </w:r>
      <w:r>
        <w:rPr>
          <w:rtl/>
        </w:rPr>
        <w:t xml:space="preserve"> المعتمدة في المذهب الحنفي : اللكنوي في مقدمة كتابه : النافع الكبير، ص23؛ </w:t>
      </w:r>
      <w:r>
        <w:rPr>
          <w:rFonts w:hint="eastAsia"/>
          <w:rtl/>
        </w:rPr>
        <w:t>والمجدِّدي</w:t>
      </w:r>
      <w:r>
        <w:rPr>
          <w:rtl/>
        </w:rPr>
        <w:t xml:space="preserve"> في نهاية الرسالة الخامسة من رسائل كتابه : قواعد الفقه، ص572؛ </w:t>
      </w:r>
      <w:r>
        <w:rPr>
          <w:rFonts w:hint="cs"/>
          <w:rtl/>
        </w:rPr>
        <w:t>و</w:t>
      </w:r>
      <w:r>
        <w:rPr>
          <w:rtl/>
        </w:rPr>
        <w:t xml:space="preserve">د. محمد </w:t>
      </w:r>
      <w:r>
        <w:rPr>
          <w:rFonts w:hint="eastAsia"/>
          <w:rtl/>
        </w:rPr>
        <w:t>إبراهيم</w:t>
      </w:r>
      <w:r>
        <w:rPr>
          <w:rtl/>
        </w:rPr>
        <w:t xml:space="preserve"> في </w:t>
      </w:r>
      <w:r>
        <w:rPr>
          <w:rFonts w:hint="cs"/>
          <w:rtl/>
        </w:rPr>
        <w:t>ال</w:t>
      </w:r>
      <w:r>
        <w:rPr>
          <w:rtl/>
        </w:rPr>
        <w:t>بحث الثاني من كتاب : دراسات في الفقه الإسلامي، ص91؛ و</w:t>
      </w:r>
      <w:r>
        <w:rPr>
          <w:rFonts w:hint="cs"/>
          <w:rtl/>
        </w:rPr>
        <w:t>أحمد ال</w:t>
      </w:r>
      <w:r>
        <w:rPr>
          <w:rtl/>
        </w:rPr>
        <w:t xml:space="preserve">نقيب في </w:t>
      </w:r>
      <w:r>
        <w:rPr>
          <w:rFonts w:hint="eastAsia"/>
          <w:rtl/>
        </w:rPr>
        <w:t>بحثه</w:t>
      </w:r>
      <w:r>
        <w:rPr>
          <w:rtl/>
        </w:rPr>
        <w:t xml:space="preserve"> للماجستير الم</w:t>
      </w:r>
      <w:r>
        <w:rPr>
          <w:rFonts w:hint="cs"/>
          <w:rtl/>
        </w:rPr>
        <w:t>و</w:t>
      </w:r>
      <w:r>
        <w:rPr>
          <w:rtl/>
        </w:rPr>
        <w:t>سوم بـ (المذهب الحنفي ...)، 1/</w:t>
      </w:r>
      <w:r>
        <w:rPr>
          <w:rFonts w:hint="cs"/>
          <w:rtl/>
        </w:rPr>
        <w:t>228</w:t>
      </w:r>
      <w:r>
        <w:rPr>
          <w:rtl/>
        </w:rPr>
        <w:t>-</w:t>
      </w:r>
      <w:r>
        <w:rPr>
          <w:rFonts w:hint="cs"/>
          <w:rtl/>
        </w:rPr>
        <w:t>281</w:t>
      </w:r>
      <w:r>
        <w:rPr>
          <w:rtl/>
        </w:rPr>
        <w:t xml:space="preserve">. </w:t>
      </w:r>
    </w:p>
  </w:footnote>
  <w:footnote w:id="153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من</w:t>
      </w:r>
      <w:r>
        <w:rPr>
          <w:rtl/>
        </w:rPr>
        <w:t xml:space="preserve"> الكتب المعتبرة التي ورد فيها هذا النص : </w:t>
      </w:r>
      <w:r>
        <w:rPr>
          <w:rFonts w:hint="eastAsia"/>
          <w:rtl/>
        </w:rPr>
        <w:t>غرر</w:t>
      </w:r>
      <w:r>
        <w:rPr>
          <w:rtl/>
        </w:rPr>
        <w:t xml:space="preserve"> الأحكام، 2/151؛ تنوير الأبصار، 7/99.</w:t>
      </w:r>
    </w:p>
    <w:p w:rsidR="00035BE3" w:rsidRDefault="00035BE3" w:rsidP="00C10469">
      <w:pPr>
        <w:pStyle w:val="a6"/>
        <w:ind w:left="422" w:firstLine="0"/>
        <w:rPr>
          <w:rtl/>
        </w:rPr>
      </w:pPr>
      <w:r>
        <w:rPr>
          <w:rFonts w:hint="eastAsia"/>
          <w:rtl/>
        </w:rPr>
        <w:t>ومن</w:t>
      </w:r>
      <w:r>
        <w:rPr>
          <w:rtl/>
        </w:rPr>
        <w:t xml:space="preserve"> النصوص الفقهية </w:t>
      </w:r>
      <w:r>
        <w:rPr>
          <w:rFonts w:hint="eastAsia"/>
          <w:rtl/>
        </w:rPr>
        <w:t>التي</w:t>
      </w:r>
      <w:r>
        <w:rPr>
          <w:rtl/>
        </w:rPr>
        <w:t xml:space="preserve"> تعضد هذا النص : ما جاء في البحر الرائق، 5/331 : «ولو سلم البائع المبيع قبل </w:t>
      </w:r>
      <w:r>
        <w:rPr>
          <w:rFonts w:hint="eastAsia"/>
          <w:rtl/>
        </w:rPr>
        <w:t>قبض</w:t>
      </w:r>
      <w:r>
        <w:rPr>
          <w:rtl/>
        </w:rPr>
        <w:t xml:space="preserve"> الثمن سقط حقه، فليس له بعده رده إليه...».</w:t>
      </w:r>
    </w:p>
    <w:p w:rsidR="00035BE3" w:rsidRDefault="00035BE3" w:rsidP="00C10469">
      <w:pPr>
        <w:pStyle w:val="a6"/>
        <w:ind w:left="422" w:firstLine="0"/>
        <w:rPr>
          <w:rtl/>
        </w:rPr>
      </w:pPr>
      <w:r>
        <w:rPr>
          <w:rFonts w:hint="eastAsia"/>
          <w:rtl/>
        </w:rPr>
        <w:t>وانظر</w:t>
      </w:r>
      <w:r>
        <w:rPr>
          <w:rtl/>
        </w:rPr>
        <w:t xml:space="preserve"> : الأشباه </w:t>
      </w:r>
      <w:r>
        <w:rPr>
          <w:rFonts w:hint="eastAsia"/>
          <w:rtl/>
        </w:rPr>
        <w:t>والنظائر</w:t>
      </w:r>
      <w:r>
        <w:rPr>
          <w:rtl/>
        </w:rPr>
        <w:t xml:space="preserve"> لابن نجيم، ص413.</w:t>
      </w:r>
    </w:p>
  </w:footnote>
  <w:footnote w:id="154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أي</w:t>
      </w:r>
      <w:r>
        <w:rPr>
          <w:rtl/>
        </w:rPr>
        <w:t xml:space="preserve"> : حصل هذا الفعل (وهو الإزالة).</w:t>
      </w:r>
    </w:p>
  </w:footnote>
  <w:footnote w:id="154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عدد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Pr="00342B10" w:rsidRDefault="00035BE3" w:rsidP="00C10469">
      <w:pPr>
        <w:pStyle w:val="a6"/>
        <w:ind w:left="422" w:firstLine="0"/>
        <w:rPr>
          <w:rtl/>
        </w:rPr>
      </w:pPr>
      <w:r>
        <w:rPr>
          <w:rFonts w:hint="cs"/>
          <w:spacing w:val="-2"/>
          <w:rtl/>
        </w:rPr>
        <w:t xml:space="preserve">المنثور للزركشي، 1/234 -ولفظه: </w:t>
      </w:r>
      <w:r>
        <w:rPr>
          <w:rFonts w:hint="eastAsia"/>
          <w:spacing w:val="-2"/>
          <w:rtl/>
        </w:rPr>
        <w:t>«</w:t>
      </w:r>
      <w:r>
        <w:rPr>
          <w:rFonts w:hint="cs"/>
          <w:spacing w:val="-2"/>
          <w:rtl/>
        </w:rPr>
        <w:t>التابع لا يفرد</w:t>
      </w:r>
      <w:r>
        <w:rPr>
          <w:rFonts w:hint="eastAsia"/>
          <w:spacing w:val="-2"/>
          <w:rtl/>
        </w:rPr>
        <w:t>»</w:t>
      </w:r>
      <w:r>
        <w:rPr>
          <w:rFonts w:hint="cs"/>
          <w:spacing w:val="-2"/>
          <w:rtl/>
        </w:rPr>
        <w:t xml:space="preserve">-؛ الأشباه والنظائر للسيوطي، 1/272؛ ولابن نجيم، ص146؛ الفرائد البهية وشرحاها: الأقمار المضيئة، ص162؛ والمواهب السنية وحاشيتها : الفوائد الجنية، 2/106؛ مجامع الحقائق (الخاتمة)، ص45؛ شرح العلائي لقواعد الخادمي، ل14/ب؛ منافع الدقائق، ص315؛ مجلة الأحكام العدلية، مادة 48؛ شرحها لسليم رستم، 1/39؛ ولعلي حيدر، </w:t>
      </w:r>
      <w:r w:rsidRPr="004B0BF3">
        <w:rPr>
          <w:rFonts w:hint="cs"/>
          <w:spacing w:val="-4"/>
          <w:rtl/>
        </w:rPr>
        <w:t xml:space="preserve">1/47؛ وللأتاسي، 1/109؛ وشرح قواعدها للزرقا، ص257 - وزاد عليها قيدًا وهو: </w:t>
      </w:r>
      <w:r w:rsidRPr="004B0BF3">
        <w:rPr>
          <w:rFonts w:hint="eastAsia"/>
          <w:spacing w:val="-4"/>
          <w:rtl/>
        </w:rPr>
        <w:t>«</w:t>
      </w:r>
      <w:r w:rsidRPr="004B0BF3">
        <w:rPr>
          <w:rFonts w:hint="cs"/>
          <w:spacing w:val="-4"/>
          <w:rtl/>
        </w:rPr>
        <w:t xml:space="preserve">... </w:t>
      </w:r>
      <w:r w:rsidRPr="004B0BF3">
        <w:rPr>
          <w:rFonts w:hint="cs"/>
          <w:b/>
          <w:bCs/>
          <w:spacing w:val="-4"/>
          <w:rtl/>
        </w:rPr>
        <w:t xml:space="preserve">مَا لمْ </w:t>
      </w:r>
      <w:r>
        <w:rPr>
          <w:rFonts w:hint="cs"/>
          <w:b/>
          <w:bCs/>
          <w:spacing w:val="-2"/>
          <w:rtl/>
        </w:rPr>
        <w:t>يَصِرْ مقصودًا</w:t>
      </w:r>
      <w:r>
        <w:rPr>
          <w:rFonts w:hint="eastAsia"/>
          <w:spacing w:val="-2"/>
          <w:rtl/>
        </w:rPr>
        <w:t>»</w:t>
      </w:r>
      <w:r>
        <w:rPr>
          <w:rFonts w:hint="cs"/>
          <w:spacing w:val="-2"/>
          <w:rtl/>
        </w:rPr>
        <w:t xml:space="preserve">-؛ قواعد الفقه للمجدِّدي، ص67، قاعدة 69، وص109، قاعدة 266 -ولفظه الثاني: </w:t>
      </w:r>
      <w:r>
        <w:rPr>
          <w:rFonts w:hint="eastAsia"/>
          <w:spacing w:val="-2"/>
          <w:rtl/>
        </w:rPr>
        <w:t>«</w:t>
      </w:r>
      <w:r>
        <w:rPr>
          <w:rFonts w:hint="cs"/>
          <w:spacing w:val="-2"/>
          <w:rtl/>
        </w:rPr>
        <w:t>لا يجوز أن يثبت في التابع حكم آخر سوى الثابت فيمن هو أصل</w:t>
      </w:r>
      <w:r>
        <w:rPr>
          <w:rFonts w:hint="eastAsia"/>
          <w:spacing w:val="-2"/>
          <w:rtl/>
        </w:rPr>
        <w:t>»</w:t>
      </w:r>
      <w:r>
        <w:rPr>
          <w:rFonts w:hint="cs"/>
          <w:spacing w:val="-2"/>
          <w:rtl/>
        </w:rPr>
        <w:t xml:space="preserve">-؛ المدخل الفقهي العام، 2/1019، فقرة 636؛ القواعد الفقهية للدكتور الندوي، ص177، 402- وزاد في الموضع الثاني: </w:t>
      </w:r>
      <w:r>
        <w:rPr>
          <w:rFonts w:hint="eastAsia"/>
          <w:spacing w:val="-2"/>
          <w:rtl/>
        </w:rPr>
        <w:t>«</w:t>
      </w:r>
      <w:r>
        <w:rPr>
          <w:rFonts w:hint="cs"/>
          <w:spacing w:val="-2"/>
          <w:rtl/>
        </w:rPr>
        <w:t xml:space="preserve">... </w:t>
      </w:r>
      <w:r>
        <w:rPr>
          <w:rFonts w:hint="cs"/>
          <w:b/>
          <w:bCs/>
          <w:spacing w:val="-2"/>
          <w:rtl/>
        </w:rPr>
        <w:t>مَا لمْ يَصِرْ مقصودًا</w:t>
      </w:r>
      <w:r>
        <w:rPr>
          <w:rFonts w:hint="eastAsia"/>
          <w:spacing w:val="-2"/>
          <w:rtl/>
        </w:rPr>
        <w:t>»</w:t>
      </w:r>
      <w:r>
        <w:rPr>
          <w:rFonts w:hint="cs"/>
          <w:spacing w:val="-2"/>
          <w:rtl/>
        </w:rPr>
        <w:t xml:space="preserve">؛ القواعد والضوابط المستخلصة من التحرير، ص485، وأحال إلى التحرير، 6/715 - </w:t>
      </w:r>
      <w:r w:rsidRPr="00342B10">
        <w:rPr>
          <w:rFonts w:hint="cs"/>
          <w:rtl/>
        </w:rPr>
        <w:t xml:space="preserve">ولفظه: </w:t>
      </w:r>
      <w:r w:rsidRPr="00342B10">
        <w:rPr>
          <w:rFonts w:hint="eastAsia"/>
          <w:rtl/>
        </w:rPr>
        <w:t>«</w:t>
      </w:r>
      <w:r w:rsidRPr="00342B10">
        <w:rPr>
          <w:rFonts w:hint="cs"/>
          <w:rtl/>
        </w:rPr>
        <w:t>التوابع لا تقصد بالعقود</w:t>
      </w:r>
      <w:r w:rsidRPr="00342B10">
        <w:rPr>
          <w:rFonts w:hint="eastAsia"/>
          <w:rtl/>
        </w:rPr>
        <w:t>»</w:t>
      </w:r>
      <w:r w:rsidRPr="00342B10">
        <w:rPr>
          <w:rFonts w:hint="cs"/>
          <w:rtl/>
        </w:rPr>
        <w:t>-؛ الوجيز، ص278؛ موسوعة القواعد الفقهية، 1/303، 3/164، 4/509- ومن ألفاظه: لفظا المنثور والقواعد والضوابط المستخلصة-؛ المدخل إلى القواعد الفقهية الكلية، ص128؛ المبادئ الفقهية، ص33؛ القواعد الفقهية للدعاس، ص84، قاعدة 65؛ وللدكتور محمد الزحيلي، ص81.</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 xml:space="preserve">المبسوط، 14/135 </w:t>
      </w:r>
      <w:r>
        <w:rPr>
          <w:rtl/>
        </w:rPr>
        <w:t>–</w:t>
      </w:r>
      <w:r>
        <w:rPr>
          <w:rFonts w:hint="cs"/>
          <w:rtl/>
        </w:rPr>
        <w:t xml:space="preserve"> فقد وردت عرضًا بلفظ : </w:t>
      </w:r>
      <w:r>
        <w:rPr>
          <w:rFonts w:hint="eastAsia"/>
          <w:rtl/>
        </w:rPr>
        <w:t>«</w:t>
      </w:r>
      <w:r>
        <w:rPr>
          <w:rFonts w:hint="cs"/>
          <w:rtl/>
        </w:rPr>
        <w:t>... بمنزلة الأوصاف، فلا يفرد بالبيع ...</w:t>
      </w:r>
      <w:r>
        <w:rPr>
          <w:rFonts w:hint="eastAsia"/>
          <w:rtl/>
        </w:rPr>
        <w:t xml:space="preserve"> »</w:t>
      </w:r>
      <w:r>
        <w:rPr>
          <w:rFonts w:hint="cs"/>
          <w:rtl/>
        </w:rPr>
        <w:t xml:space="preserve">-؛ المحيط البرهاني، ق3، ص399- ولفظه : </w:t>
      </w:r>
      <w:r>
        <w:rPr>
          <w:rFonts w:hint="eastAsia"/>
          <w:rtl/>
        </w:rPr>
        <w:t>«</w:t>
      </w:r>
      <w:r>
        <w:rPr>
          <w:rFonts w:hint="cs"/>
          <w:rtl/>
        </w:rPr>
        <w:t>التبع ليس له حكم نفسه، وإنما له حكم الأصل</w:t>
      </w:r>
      <w:r>
        <w:rPr>
          <w:rFonts w:hint="eastAsia"/>
          <w:rtl/>
        </w:rPr>
        <w:t>»</w:t>
      </w:r>
      <w:r>
        <w:rPr>
          <w:rFonts w:hint="cs"/>
          <w:rtl/>
        </w:rPr>
        <w:t>-.</w:t>
      </w:r>
    </w:p>
    <w:p w:rsidR="00035BE3" w:rsidRDefault="00035BE3" w:rsidP="00C10469">
      <w:pPr>
        <w:pStyle w:val="a6"/>
        <w:spacing w:line="228" w:lineRule="auto"/>
        <w:ind w:left="420" w:firstLine="0"/>
        <w:rPr>
          <w:rtl/>
        </w:rPr>
      </w:pPr>
      <w:r>
        <w:rPr>
          <w:rFonts w:hint="cs"/>
          <w:b/>
          <w:bCs/>
          <w:rtl/>
        </w:rPr>
        <w:t>وممّا يجدر التنبيه عليه</w:t>
      </w:r>
      <w:r>
        <w:rPr>
          <w:rFonts w:hint="cs"/>
          <w:rtl/>
        </w:rPr>
        <w:t xml:space="preserve">: أنَّ المستثنى الذي ذكره الزرقا والندوي (وهو : ما لم يصرْ مقصودًا) سيفرده المؤلف في قاعدة مستقلة، وهي : </w:t>
      </w:r>
      <w:r>
        <w:rPr>
          <w:rFonts w:hint="eastAsia"/>
          <w:rtl/>
        </w:rPr>
        <w:t>«</w:t>
      </w:r>
      <w:r>
        <w:rPr>
          <w:rFonts w:hint="cs"/>
          <w:rtl/>
        </w:rPr>
        <w:t>الوصف يقابله شيء من الثـمن إذا كان مقصودًا بالتناول</w:t>
      </w:r>
      <w:r>
        <w:rPr>
          <w:rFonts w:hint="eastAsia"/>
          <w:rtl/>
        </w:rPr>
        <w:t>»</w:t>
      </w:r>
      <w:r>
        <w:rPr>
          <w:rFonts w:hint="cs"/>
          <w:rtl/>
        </w:rPr>
        <w:t>، وذلك ص1107 (ل110/ب)، قاعدة 254.</w:t>
      </w:r>
    </w:p>
  </w:footnote>
  <w:footnote w:id="1542">
    <w:p w:rsidR="00035BE3" w:rsidRDefault="00035BE3" w:rsidP="00C10469">
      <w:pPr>
        <w:pStyle w:val="a8"/>
        <w:bidi/>
        <w:spacing w:line="228" w:lineRule="auto"/>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20/أ من (جـ).</w:t>
      </w:r>
    </w:p>
  </w:footnote>
  <w:footnote w:id="1543">
    <w:p w:rsidR="00035BE3" w:rsidRDefault="00035BE3" w:rsidP="00C10469">
      <w:pPr>
        <w:pStyle w:val="a8"/>
        <w:bidi/>
        <w:spacing w:line="228" w:lineRule="auto"/>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17/ب من (ب).</w:t>
      </w:r>
    </w:p>
  </w:footnote>
  <w:footnote w:id="1544">
    <w:p w:rsidR="00035BE3" w:rsidRDefault="00035BE3" w:rsidP="00C10469">
      <w:pPr>
        <w:pStyle w:val="a8"/>
        <w:bidi/>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الأشباه والنظائر لابن نجيم، ص146 -إلا أنه قال في آخر المثال: </w:t>
      </w:r>
      <w:r>
        <w:rPr>
          <w:rFonts w:hint="eastAsia"/>
          <w:spacing w:val="-6"/>
          <w:rtl/>
        </w:rPr>
        <w:t>«</w:t>
      </w:r>
      <w:r>
        <w:rPr>
          <w:rFonts w:hint="cs"/>
          <w:spacing w:val="-6"/>
          <w:rtl/>
        </w:rPr>
        <w:t>... ولا يفرد بالبيع، والهبة كالبيع</w:t>
      </w:r>
      <w:r>
        <w:rPr>
          <w:rFonts w:hint="eastAsia"/>
          <w:spacing w:val="-6"/>
          <w:rtl/>
        </w:rPr>
        <w:t>»</w:t>
      </w:r>
      <w:r>
        <w:rPr>
          <w:rFonts w:hint="cs"/>
          <w:spacing w:val="-6"/>
          <w:rtl/>
        </w:rPr>
        <w:t xml:space="preserve">.     </w:t>
      </w:r>
    </w:p>
    <w:p w:rsidR="00035BE3" w:rsidRDefault="00035BE3" w:rsidP="00C10469">
      <w:pPr>
        <w:pStyle w:val="a6"/>
        <w:ind w:left="422" w:firstLine="0"/>
        <w:rPr>
          <w:rtl/>
        </w:rPr>
      </w:pPr>
      <w:r>
        <w:rPr>
          <w:rFonts w:hint="cs"/>
          <w:rtl/>
        </w:rPr>
        <w:t>كما ورد تخريجه على القاعدة في كثير من كتب القواعد الآنف ذكرها؛ كالمنثور وأشباه السيوطي ومجلة الأحكام العدلية وغيرها.</w:t>
      </w:r>
    </w:p>
    <w:p w:rsidR="00035BE3" w:rsidRDefault="00035BE3" w:rsidP="00C10469">
      <w:pPr>
        <w:pStyle w:val="a6"/>
        <w:ind w:left="422" w:firstLine="0"/>
        <w:rPr>
          <w:rtl/>
        </w:rPr>
      </w:pPr>
      <w:r>
        <w:rPr>
          <w:rFonts w:hint="cs"/>
          <w:rtl/>
        </w:rPr>
        <w:t>وانظر في عدم إفراد الحمل بالبيع : الهداية، 4/454، 6/411؛ تبيين الحقائق، 4/46؛ العناية وفتح القدير، 6/411؛ الدرّر شرح الغرر، 2/170؛ البحر الرائق، 7/296.</w:t>
      </w:r>
    </w:p>
    <w:p w:rsidR="00035BE3" w:rsidRDefault="00035BE3" w:rsidP="00C10469">
      <w:pPr>
        <w:pStyle w:val="a6"/>
        <w:ind w:left="422" w:firstLine="0"/>
        <w:rPr>
          <w:rtl/>
        </w:rPr>
      </w:pPr>
      <w:r>
        <w:rPr>
          <w:rFonts w:hint="cs"/>
          <w:rtl/>
        </w:rPr>
        <w:t>وانظر في عدم إفراد الحمل بالهبة : الهداية، 4/454؛ ومعها العناية وفتح القدير، 9/500؛ الدّرر شرح الغرر، 2/221؛ البحر الرائق، 7/296.</w:t>
      </w:r>
    </w:p>
  </w:footnote>
  <w:footnote w:id="154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على المحل على الحمل</w:t>
      </w:r>
      <w:r>
        <w:rPr>
          <w:rFonts w:hint="eastAsia"/>
          <w:rtl/>
        </w:rPr>
        <w:t>»</w:t>
      </w:r>
      <w:r>
        <w:rPr>
          <w:rFonts w:hint="cs"/>
          <w:rtl/>
        </w:rPr>
        <w:t xml:space="preserve"> - بزيادة : (على المحل)-.</w:t>
      </w:r>
    </w:p>
  </w:footnote>
  <w:footnote w:id="154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ص146.</w:t>
      </w:r>
    </w:p>
    <w:p w:rsidR="00035BE3" w:rsidRDefault="00035BE3" w:rsidP="00C10469">
      <w:pPr>
        <w:pStyle w:val="a6"/>
        <w:ind w:left="422" w:firstLine="0"/>
        <w:rPr>
          <w:spacing w:val="-4"/>
          <w:rtl/>
        </w:rPr>
      </w:pPr>
      <w:r>
        <w:rPr>
          <w:rFonts w:hint="cs"/>
          <w:spacing w:val="-4"/>
          <w:rtl/>
        </w:rPr>
        <w:t xml:space="preserve">ونصُّ الهداية - 4/294- : </w:t>
      </w:r>
      <w:r>
        <w:rPr>
          <w:rFonts w:hint="eastAsia"/>
          <w:spacing w:val="-4"/>
          <w:rtl/>
        </w:rPr>
        <w:t>«</w:t>
      </w:r>
      <w:r>
        <w:rPr>
          <w:rFonts w:hint="cs"/>
          <w:spacing w:val="-4"/>
          <w:rtl/>
        </w:rPr>
        <w:t>ولنا أنّ الاحكام لا تترتب عليه إلا بعد الولادة؛ لتمكن الاحتمال قبله</w:t>
      </w:r>
      <w:r>
        <w:rPr>
          <w:rFonts w:hint="eastAsia"/>
          <w:spacing w:val="-4"/>
          <w:rtl/>
        </w:rPr>
        <w:t>»</w:t>
      </w:r>
      <w:r>
        <w:rPr>
          <w:rFonts w:hint="cs"/>
          <w:spacing w:val="-4"/>
          <w:rtl/>
        </w:rPr>
        <w:t>.</w:t>
      </w:r>
    </w:p>
  </w:footnote>
  <w:footnote w:id="154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كما</w:t>
      </w:r>
      <w:r>
        <w:rPr>
          <w:rFonts w:hint="eastAsia"/>
          <w:rtl/>
        </w:rPr>
        <w:t>»</w:t>
      </w:r>
      <w:r>
        <w:rPr>
          <w:rFonts w:hint="cs"/>
          <w:rtl/>
        </w:rPr>
        <w:t>.</w:t>
      </w:r>
    </w:p>
  </w:footnote>
  <w:footnote w:id="1548">
    <w:p w:rsidR="00035BE3" w:rsidRDefault="00035BE3" w:rsidP="00C10469">
      <w:pPr>
        <w:pStyle w:val="a8"/>
        <w:bidi/>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جاء في هامش (أ) : </w:t>
      </w:r>
      <w:r>
        <w:rPr>
          <w:rFonts w:hint="eastAsia"/>
          <w:spacing w:val="-6"/>
          <w:rtl/>
        </w:rPr>
        <w:t>«</w:t>
      </w:r>
      <w:r>
        <w:rPr>
          <w:rFonts w:hint="cs"/>
          <w:spacing w:val="-6"/>
          <w:rtl/>
        </w:rPr>
        <w:t>قوله : المراد : الألف واللام فيه عوض من المضاف إليه، أي : مراد صاحب (الهداية)</w:t>
      </w:r>
      <w:r>
        <w:rPr>
          <w:rFonts w:hint="eastAsia"/>
          <w:spacing w:val="-6"/>
          <w:rtl/>
        </w:rPr>
        <w:t>»</w:t>
      </w:r>
      <w:r>
        <w:rPr>
          <w:rFonts w:hint="cs"/>
          <w:spacing w:val="-6"/>
          <w:rtl/>
        </w:rPr>
        <w:t>.</w:t>
      </w:r>
    </w:p>
  </w:footnote>
  <w:footnote w:id="154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ص146. وقد قال عقب ذلك : </w:t>
      </w:r>
      <w:r>
        <w:rPr>
          <w:rFonts w:hint="eastAsia"/>
          <w:rtl/>
        </w:rPr>
        <w:t>«</w:t>
      </w:r>
      <w:r>
        <w:rPr>
          <w:rFonts w:hint="cs"/>
          <w:rtl/>
        </w:rPr>
        <w:t>فالـمراد بـعـضـها، كما أشار إليه في (العناية)</w:t>
      </w:r>
      <w:r>
        <w:rPr>
          <w:rFonts w:hint="eastAsia"/>
          <w:rtl/>
        </w:rPr>
        <w:t>»</w:t>
      </w:r>
      <w:r>
        <w:rPr>
          <w:rFonts w:hint="cs"/>
          <w:rtl/>
        </w:rPr>
        <w:t>.</w:t>
      </w:r>
    </w:p>
    <w:p w:rsidR="00035BE3" w:rsidRDefault="00035BE3" w:rsidP="00C10469">
      <w:pPr>
        <w:pStyle w:val="a6"/>
        <w:ind w:left="422" w:firstLine="0"/>
        <w:rPr>
          <w:rtl/>
        </w:rPr>
      </w:pPr>
      <w:r>
        <w:rPr>
          <w:rFonts w:hint="cs"/>
          <w:rtl/>
        </w:rPr>
        <w:t xml:space="preserve">ونص العناية -4/294- : </w:t>
      </w:r>
      <w:r>
        <w:rPr>
          <w:rFonts w:hint="eastAsia"/>
          <w:rtl/>
        </w:rPr>
        <w:t>«</w:t>
      </w:r>
      <w:r>
        <w:rPr>
          <w:rFonts w:hint="cs"/>
          <w:rtl/>
        </w:rPr>
        <w:t xml:space="preserve">وحاصل الجواب : أنّ قوله : </w:t>
      </w:r>
      <w:r>
        <w:rPr>
          <w:rFonts w:hint="eastAsia"/>
          <w:rtl/>
        </w:rPr>
        <w:t>«</w:t>
      </w:r>
      <w:r>
        <w:rPr>
          <w:rFonts w:hint="cs"/>
          <w:rtl/>
        </w:rPr>
        <w:t>الأحكام لا تترتب</w:t>
      </w:r>
      <w:r>
        <w:rPr>
          <w:rFonts w:hint="eastAsia"/>
          <w:rtl/>
        </w:rPr>
        <w:t>»</w:t>
      </w:r>
      <w:r>
        <w:rPr>
          <w:rFonts w:hint="cs"/>
          <w:rtl/>
        </w:rPr>
        <w:t xml:space="preserve"> يراد بعضها، ونفْيُ الولد منها؛ لئلا يلزم إقامة الحدّ مع قيام الشبهة</w:t>
      </w:r>
      <w:r>
        <w:rPr>
          <w:rFonts w:hint="eastAsia"/>
          <w:rtl/>
        </w:rPr>
        <w:t>»</w:t>
      </w:r>
      <w:r>
        <w:rPr>
          <w:rFonts w:hint="cs"/>
          <w:rtl/>
        </w:rPr>
        <w:t>.</w:t>
      </w:r>
    </w:p>
  </w:footnote>
  <w:footnote w:id="155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هذا الفرع الفقهي في : الهداية، 4/454؛ الدّرر شرح الغرر، 2/5-6. وانظر في كونه خارجًا عن القاعدة : الأشباه والنظائر، ص146؛ غمز عيون البصائر للحموي، 1/361-362؛ شرح العلائي لقواعد الخادمي، ل14/ب؛ شرح المجلة للأتاسي، 1/110.</w:t>
      </w:r>
    </w:p>
    <w:p w:rsidR="00035BE3" w:rsidRDefault="00035BE3" w:rsidP="00C10469">
      <w:pPr>
        <w:pStyle w:val="a6"/>
        <w:ind w:left="422" w:firstLine="0"/>
        <w:rPr>
          <w:rtl/>
        </w:rPr>
      </w:pPr>
      <w:r>
        <w:rPr>
          <w:rFonts w:hint="cs"/>
          <w:rtl/>
        </w:rPr>
        <w:t>فقد ذكروا أن هذا الفرع مستثنى من القاعدة، إلاّ أن الحموي والأتاسي -وإن كانا نقلا ذلك عن أشباه ابن نجيم، إلا أنهما لم يسلِّما به؛ لأن العتق يقبل التعليق بالشرط، وإعتاق الحمل معلَّق معنىً لا صورة، كأنه قال : إن أتيتِ بولد فهو حرّ.</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2"/>
          <w:rtl/>
        </w:rPr>
      </w:pPr>
      <w:r>
        <w:rPr>
          <w:rFonts w:hint="cs"/>
          <w:spacing w:val="-2"/>
          <w:rtl/>
        </w:rPr>
        <w:t>وبناء على هذا فإن الحكم في العتق لم يتعلّق بكون الحمل تابعًا لأُمِّه؛ بل بالحمل بعد إنفصاله عن أمه.</w:t>
      </w:r>
    </w:p>
  </w:footnote>
  <w:footnote w:id="1551">
    <w:p w:rsidR="00035BE3" w:rsidRDefault="00035BE3" w:rsidP="00C10469">
      <w:pPr>
        <w:pStyle w:val="a8"/>
        <w:bidi/>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قوله : </w:t>
      </w:r>
      <w:r>
        <w:rPr>
          <w:rFonts w:hint="eastAsia"/>
          <w:spacing w:val="6"/>
          <w:rtl/>
        </w:rPr>
        <w:t>«</w:t>
      </w:r>
      <w:r>
        <w:rPr>
          <w:rFonts w:hint="cs"/>
          <w:spacing w:val="6"/>
          <w:rtl/>
        </w:rPr>
        <w:t>فعلم بهذا</w:t>
      </w:r>
      <w:r>
        <w:rPr>
          <w:rFonts w:hint="eastAsia"/>
          <w:spacing w:val="6"/>
          <w:rtl/>
        </w:rPr>
        <w:t>»</w:t>
      </w:r>
      <w:r>
        <w:rPr>
          <w:rFonts w:hint="cs"/>
          <w:spacing w:val="6"/>
          <w:rtl/>
        </w:rPr>
        <w:t xml:space="preserve"> المراد به : فعلم بكون الحمل يُفرد ببـعض الأحـكام وإن كان تابعًا، كثبوت نسبه، وصحة إعتاقه دون الأم، علم بهذا عدم اطراد الـقاعـدة (وهـي : التـابع لا يفرد بالحكم).</w:t>
      </w:r>
    </w:p>
  </w:footnote>
  <w:footnote w:id="155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بمطر</w:t>
      </w:r>
      <w:r>
        <w:rPr>
          <w:rFonts w:hint="eastAsia"/>
          <w:rtl/>
        </w:rPr>
        <w:t>»</w:t>
      </w:r>
      <w:r>
        <w:rPr>
          <w:rFonts w:hint="cs"/>
          <w:rtl/>
        </w:rPr>
        <w:t xml:space="preserve"> (بـإسقاط الدال).</w:t>
      </w:r>
    </w:p>
  </w:footnote>
  <w:footnote w:id="155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يلحظ أن المؤلف قد بنى حكمه بعدم صحة تفريع المسائل على القاعدة بناه على عدم اطرادها. وعدم الاطراد هذا بناه على وجود كثير من الأمور التي أفردت بالحكم، مع كونها تابعة لغيرها، ومثلّ لذلك بمثالين، وهما : ثبوت نسب الحمل، وصحة إعتاق الحمل دون أمّه ثم ختم القاعدة بمثال ثالث، وذكر أن أمثال هذه الأمثلة كثيرة لا تحصى في كتب الفقه.</w:t>
      </w:r>
    </w:p>
    <w:p w:rsidR="00035BE3" w:rsidRDefault="00035BE3" w:rsidP="00C10469">
      <w:pPr>
        <w:pStyle w:val="a6"/>
        <w:ind w:left="422" w:firstLine="0"/>
        <w:rPr>
          <w:rtl/>
        </w:rPr>
      </w:pPr>
      <w:r>
        <w:rPr>
          <w:rFonts w:hint="cs"/>
          <w:rtl/>
        </w:rPr>
        <w:t>وهذا الاضطراب في التطبيق - الذي دفع المؤلف إلى الحكم بعدم اعتبار القاعدة - لاحظه أيضًا بعض علماء القواعد المعاصرين، إلا أنهم لم يوافقوا المؤلف في عدم الاعتداد بالقاعدة؛ بل أبدوا وجهات نظرهم فيها، ومـا يمكن أن يطرأ عليها من تعديل، لتجاوز هذا الاضطراب، ومنهم : الشيخ أحـمد الزرقا، ود. علي الندوي، والأستاذ مصطفى الزرقا.</w:t>
      </w:r>
    </w:p>
    <w:p w:rsidR="00035BE3" w:rsidRDefault="00035BE3" w:rsidP="00C10469">
      <w:pPr>
        <w:pStyle w:val="a6"/>
        <w:ind w:left="422" w:firstLine="0"/>
        <w:rPr>
          <w:rtl/>
        </w:rPr>
      </w:pPr>
      <w:r>
        <w:rPr>
          <w:rFonts w:hint="cs"/>
          <w:rtl/>
        </w:rPr>
        <w:t>أما الأولان فقد عبّرا عن وجهة نظرهما بصياغة القاعدة على النحو الآتي :</w:t>
      </w:r>
    </w:p>
    <w:p w:rsidR="00035BE3" w:rsidRDefault="00035BE3" w:rsidP="00C10469">
      <w:pPr>
        <w:pStyle w:val="a6"/>
        <w:ind w:left="422" w:firstLine="0"/>
        <w:rPr>
          <w:rtl/>
        </w:rPr>
      </w:pPr>
      <w:r>
        <w:rPr>
          <w:rFonts w:hint="eastAsia"/>
          <w:rtl/>
        </w:rPr>
        <w:t>«</w:t>
      </w:r>
      <w:r>
        <w:rPr>
          <w:rFonts w:hint="cs"/>
          <w:rtl/>
        </w:rPr>
        <w:t>التابع لا يفرد بالحكم ما لم يَصِرْ مقصودًا</w:t>
      </w:r>
      <w:r>
        <w:rPr>
          <w:rFonts w:hint="eastAsia"/>
          <w:rtl/>
        </w:rPr>
        <w:t>»</w:t>
      </w:r>
      <w:r>
        <w:rPr>
          <w:rFonts w:hint="cs"/>
          <w:rtl/>
        </w:rPr>
        <w:t>.</w:t>
      </w:r>
    </w:p>
    <w:p w:rsidR="00035BE3" w:rsidRDefault="00035BE3" w:rsidP="00C10469">
      <w:pPr>
        <w:pStyle w:val="a6"/>
        <w:ind w:left="422" w:firstLine="0"/>
        <w:rPr>
          <w:rtl/>
        </w:rPr>
      </w:pPr>
      <w:r>
        <w:rPr>
          <w:rFonts w:hint="cs"/>
          <w:rtl/>
        </w:rPr>
        <w:t xml:space="preserve">وأما الأخير فقد فصَّل وجهة نظره على النحو الآتي : </w:t>
      </w:r>
    </w:p>
    <w:p w:rsidR="00035BE3" w:rsidRDefault="00035BE3" w:rsidP="00C10469">
      <w:pPr>
        <w:pStyle w:val="a6"/>
        <w:ind w:left="422" w:firstLine="0"/>
        <w:rPr>
          <w:rtl/>
        </w:rPr>
      </w:pPr>
      <w:r>
        <w:rPr>
          <w:rFonts w:hint="eastAsia"/>
          <w:rtl/>
        </w:rPr>
        <w:t>«</w:t>
      </w:r>
      <w:r>
        <w:rPr>
          <w:rFonts w:hint="cs"/>
          <w:rtl/>
        </w:rPr>
        <w:t>هذه القاعدة مضطربة التطبيق والفروع؛ لأن صيغتها - فيما يظهر- أعمّ من موضوعها؛ ولذا يذكر لها الشرّاح مستثنيات كثيرة.</w:t>
      </w:r>
    </w:p>
    <w:p w:rsidR="00035BE3" w:rsidRDefault="00035BE3" w:rsidP="00C10469">
      <w:pPr>
        <w:pStyle w:val="a6"/>
        <w:ind w:left="422" w:firstLine="0"/>
        <w:rPr>
          <w:rtl/>
        </w:rPr>
      </w:pPr>
      <w:r>
        <w:rPr>
          <w:rFonts w:hint="cs"/>
          <w:rtl/>
        </w:rPr>
        <w:t>أ- فالمراد بها -فيما أعتقد- : أن التابع الذي هو من قبيل الجزء، أو كالجزء من غيره : لا يصلح أن يكون محلاًّ في العقود : أي معقودًا عليه ...</w:t>
      </w:r>
    </w:p>
    <w:p w:rsidR="00035BE3" w:rsidRDefault="00035BE3" w:rsidP="00C10469">
      <w:pPr>
        <w:pStyle w:val="a6"/>
        <w:ind w:left="422" w:firstLine="0"/>
        <w:rPr>
          <w:rtl/>
        </w:rPr>
      </w:pPr>
      <w:r>
        <w:rPr>
          <w:rFonts w:hint="cs"/>
          <w:rtl/>
        </w:rPr>
        <w:t>ب- أما فيما وراء هذا النطاق فالتابع يمكن أن يفرد بالأحكام ...</w:t>
      </w:r>
      <w:r>
        <w:rPr>
          <w:rFonts w:hint="cs"/>
          <w:rtl/>
        </w:rPr>
        <w:tab/>
      </w:r>
    </w:p>
    <w:p w:rsidR="00035BE3" w:rsidRDefault="00035BE3" w:rsidP="00C10469">
      <w:pPr>
        <w:pStyle w:val="a6"/>
        <w:ind w:left="422" w:firstLine="0"/>
        <w:rPr>
          <w:rtl/>
        </w:rPr>
      </w:pPr>
      <w:r>
        <w:rPr>
          <w:rFonts w:hint="cs"/>
          <w:rtl/>
        </w:rPr>
        <w:t>وبهذا الفهم في هذه القاعدة يزول الاضطراب من طريق تطبيقها، كما يزول استثناء كثير من مستثنياتها، فتصبح منطبقة عليها</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يضاف إلى ما سبق : أنّ المؤلفَ نفسَه أفرد المستثنى الذي ذكره الشيخ أحمد الزرقا ود. الندوي في قاعدة مستقلة، وقد سبقت الإشارة إلى ذلك في نهاية توثيق القاعدة.</w:t>
      </w:r>
    </w:p>
    <w:p w:rsidR="00035BE3" w:rsidRDefault="00035BE3" w:rsidP="00C10469">
      <w:pPr>
        <w:pStyle w:val="a6"/>
        <w:ind w:left="422" w:firstLine="0"/>
        <w:rPr>
          <w:rtl/>
        </w:rPr>
      </w:pPr>
      <w:r>
        <w:rPr>
          <w:rFonts w:hint="cs"/>
          <w:rtl/>
        </w:rPr>
        <w:t>شرح القواعد الفقهية لأحمد الزرقا، ص257؛ القواعد الفقهية للدكتور علي الندوي، ص402؛ المدخل الفقهي العام، 2/1019-1020، فقرة 636.</w:t>
      </w:r>
    </w:p>
  </w:footnote>
  <w:footnote w:id="155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الواو : زيادة من (ب) و(جـ) و(هـ) و(و). ومعنى السياق المذكور لا يستقيم بدونها.</w:t>
      </w:r>
    </w:p>
  </w:footnote>
  <w:footnote w:id="155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اشتراط</w:t>
      </w:r>
      <w:r>
        <w:rPr>
          <w:rFonts w:hint="eastAsia"/>
          <w:rtl/>
        </w:rPr>
        <w:t>»</w:t>
      </w:r>
      <w:r>
        <w:rPr>
          <w:rFonts w:hint="cs"/>
          <w:rtl/>
        </w:rPr>
        <w:t xml:space="preserve">،  وتمام العبارة : </w:t>
      </w:r>
      <w:r>
        <w:rPr>
          <w:rFonts w:hint="eastAsia"/>
          <w:rtl/>
        </w:rPr>
        <w:t>«</w:t>
      </w:r>
      <w:r>
        <w:rPr>
          <w:rFonts w:hint="cs"/>
          <w:rtl/>
        </w:rPr>
        <w:t>ولم يوجد في العتق اشتراط شيء منهما</w:t>
      </w:r>
      <w:r>
        <w:rPr>
          <w:rFonts w:hint="eastAsia"/>
          <w:rtl/>
        </w:rPr>
        <w:t>»</w:t>
      </w:r>
      <w:r>
        <w:rPr>
          <w:rFonts w:hint="cs"/>
          <w:rtl/>
        </w:rPr>
        <w:t xml:space="preserve">. وبهذا يتغيّر السياق؛ فيستقيم المعنى على الرغم من حذف (الواو) في قوله : </w:t>
      </w:r>
      <w:r>
        <w:rPr>
          <w:rFonts w:hint="eastAsia"/>
          <w:rtl/>
        </w:rPr>
        <w:t>«</w:t>
      </w:r>
      <w:r>
        <w:rPr>
          <w:rFonts w:hint="cs"/>
          <w:rtl/>
        </w:rPr>
        <w:t>وفي العتق</w:t>
      </w:r>
      <w:r>
        <w:rPr>
          <w:rFonts w:hint="eastAsia"/>
          <w:rtl/>
        </w:rPr>
        <w:t>»</w:t>
      </w:r>
      <w:r>
        <w:rPr>
          <w:rFonts w:hint="cs"/>
          <w:rtl/>
        </w:rPr>
        <w:t>.</w:t>
      </w:r>
    </w:p>
  </w:footnote>
  <w:footnote w:id="155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وممّن علّل بذلك صاحب الهداية -4/454- وتمام كلامه : </w:t>
      </w:r>
      <w:r>
        <w:rPr>
          <w:rFonts w:hint="eastAsia"/>
          <w:rtl/>
        </w:rPr>
        <w:t>«</w:t>
      </w:r>
      <w:r>
        <w:rPr>
          <w:rFonts w:hint="cs"/>
          <w:rtl/>
        </w:rPr>
        <w:t>ثم إعتاق الحمل صحيح، ولا يصح بيعه وهبته؛ لأن التسليم نفسه شرطٌ في الهبة، والقدرة عليه في البيع، ولم يوجد ذلك بالإضافة إلى الجنين [أي إضافة البيع والهبة إلى الجنين].</w:t>
      </w:r>
    </w:p>
    <w:p w:rsidR="00035BE3" w:rsidRDefault="00035BE3" w:rsidP="00C10469">
      <w:pPr>
        <w:pStyle w:val="a6"/>
        <w:ind w:left="422" w:firstLine="0"/>
        <w:rPr>
          <w:rtl/>
        </w:rPr>
      </w:pPr>
      <w:r>
        <w:rPr>
          <w:rFonts w:hint="cs"/>
          <w:rtl/>
        </w:rPr>
        <w:t>وشيء من ذلك ليس بشرط في الإعتاق، فافترقا</w:t>
      </w:r>
      <w:r>
        <w:rPr>
          <w:rFonts w:hint="eastAsia"/>
          <w:rtl/>
        </w:rPr>
        <w:t>»</w:t>
      </w:r>
      <w:r>
        <w:rPr>
          <w:rFonts w:hint="cs"/>
          <w:rtl/>
        </w:rPr>
        <w:t>.</w:t>
      </w:r>
    </w:p>
  </w:footnote>
  <w:footnote w:id="155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26/ب من (أ).</w:t>
      </w:r>
    </w:p>
  </w:footnote>
  <w:footnote w:id="155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فتح القدير، 6/285.</w:t>
      </w:r>
    </w:p>
  </w:footnote>
  <w:footnote w:id="155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يحصى</w:t>
      </w:r>
      <w:r>
        <w:rPr>
          <w:rFonts w:hint="eastAsia"/>
          <w:rtl/>
        </w:rPr>
        <w:t>»</w:t>
      </w:r>
      <w:r>
        <w:rPr>
          <w:rFonts w:hint="cs"/>
          <w:rtl/>
        </w:rPr>
        <w:t xml:space="preserve">، وفي (جـ) : </w:t>
      </w:r>
      <w:r>
        <w:rPr>
          <w:rFonts w:hint="eastAsia"/>
          <w:rtl/>
        </w:rPr>
        <w:t>«</w:t>
      </w:r>
      <w:r>
        <w:rPr>
          <w:rFonts w:hint="cs"/>
          <w:rtl/>
        </w:rPr>
        <w:t>يحفي</w:t>
      </w:r>
      <w:r>
        <w:rPr>
          <w:rFonts w:hint="eastAsia"/>
          <w:rtl/>
        </w:rPr>
        <w:t>»</w:t>
      </w:r>
      <w:r>
        <w:rPr>
          <w:rFonts w:hint="cs"/>
          <w:rtl/>
        </w:rPr>
        <w:t>.  والصحيح ما تم إثباته من (ب) و(د).</w:t>
      </w:r>
    </w:p>
  </w:footnote>
  <w:footnote w:id="1560">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عدد من </w:t>
      </w:r>
      <w:r>
        <w:rPr>
          <w:rFonts w:hint="cs"/>
          <w:b/>
          <w:bCs/>
          <w:rtl/>
        </w:rPr>
        <w:t>كتب القواعد الفقهية</w:t>
      </w:r>
      <w:r>
        <w:rPr>
          <w:rFonts w:hint="cs"/>
          <w:rtl/>
        </w:rPr>
        <w:t>، منها :</w:t>
      </w:r>
    </w:p>
    <w:p w:rsidR="00035BE3" w:rsidRDefault="00035BE3" w:rsidP="00C10469">
      <w:pPr>
        <w:pStyle w:val="a6"/>
        <w:spacing w:line="480" w:lineRule="exact"/>
        <w:ind w:left="422" w:firstLine="0"/>
        <w:rPr>
          <w:rtl/>
        </w:rPr>
      </w:pPr>
      <w:r>
        <w:rPr>
          <w:rFonts w:hint="cs"/>
          <w:rtl/>
        </w:rPr>
        <w:t>المنثور، 1/235-236؛ الأشباه والنظائر للسيوطي، 1/273-274؛ الأشباه والنظائر لابـن نـجيم، ص147؛ مجامع الحقائق (الخاتمة)، ص45؛ شـرح العلائي لقواعـد الـخادمي، ل15/أ؛ منافع الدقائق، ص315؛ الفرائد البهية وشرحاها : الأقمار المضيئة، ص163-164؛ والمواهب السنية وحاشيـتها الفـرائد البهـية، 2/107-108؛ قواعد الفقه للمجدّدي، ص67، قاعدة 71؛ الوجيز، ص281؛ موسوعة القواعد الفقهية، 1/271-272، 3/165-166.</w:t>
      </w:r>
    </w:p>
    <w:p w:rsidR="00035BE3" w:rsidRDefault="00035BE3" w:rsidP="00C10469">
      <w:pPr>
        <w:pStyle w:val="a6"/>
        <w:spacing w:line="480" w:lineRule="exact"/>
        <w:ind w:left="422" w:firstLine="0"/>
        <w:rPr>
          <w:rtl/>
        </w:rPr>
      </w:pPr>
      <w:r>
        <w:rPr>
          <w:rFonts w:hint="cs"/>
          <w:rtl/>
        </w:rPr>
        <w:t xml:space="preserve">وبمعنى هذه القاعدة قاعدة أخرى سيأتي الحديث عنها، وهي القاعدة 262، ونصها : </w:t>
      </w:r>
      <w:r>
        <w:rPr>
          <w:rFonts w:hint="eastAsia"/>
          <w:rtl/>
        </w:rPr>
        <w:t>«</w:t>
      </w:r>
      <w:r>
        <w:rPr>
          <w:rFonts w:hint="cs"/>
          <w:rtl/>
        </w:rPr>
        <w:t>يسقط الفرع إذا سقط الأصل</w:t>
      </w:r>
      <w:r>
        <w:rPr>
          <w:rFonts w:hint="eastAsia"/>
          <w:rtl/>
        </w:rPr>
        <w:t>»</w:t>
      </w:r>
      <w:r>
        <w:rPr>
          <w:rFonts w:hint="cs"/>
          <w:rtl/>
        </w:rPr>
        <w:t>، وذلك ص1176 (ل113/ب).</w:t>
      </w:r>
    </w:p>
    <w:p w:rsidR="00035BE3" w:rsidRDefault="00035BE3" w:rsidP="00C10469">
      <w:pPr>
        <w:pStyle w:val="a6"/>
        <w:spacing w:line="480" w:lineRule="exact"/>
        <w:ind w:left="422" w:firstLine="0"/>
        <w:rPr>
          <w:rtl/>
        </w:rPr>
      </w:pPr>
      <w:r>
        <w:rPr>
          <w:rFonts w:hint="cs"/>
          <w:rtl/>
        </w:rPr>
        <w:t xml:space="preserve">وقريب منهما قاعدة ثالثة سبق أن تكلم عنها المؤلف، وهي القاعدة 10، ولفظها : </w:t>
      </w:r>
      <w:r>
        <w:rPr>
          <w:rFonts w:hint="eastAsia"/>
          <w:rtl/>
        </w:rPr>
        <w:t>«</w:t>
      </w:r>
      <w:r>
        <w:rPr>
          <w:rFonts w:hint="cs"/>
          <w:rtl/>
        </w:rPr>
        <w:t>إذا بطل الشيء بطل ما في ضمنه</w:t>
      </w:r>
      <w:r>
        <w:rPr>
          <w:rFonts w:hint="eastAsia"/>
          <w:rtl/>
        </w:rPr>
        <w:t>»</w:t>
      </w:r>
      <w:r>
        <w:rPr>
          <w:rFonts w:hint="cs"/>
          <w:rtl/>
        </w:rPr>
        <w:t>، وذلك ص267 (ل6/أ).</w:t>
      </w:r>
    </w:p>
  </w:footnote>
  <w:footnote w:id="1561">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بايعان</w:t>
      </w:r>
      <w:r>
        <w:rPr>
          <w:rFonts w:hint="eastAsia"/>
          <w:rtl/>
        </w:rPr>
        <w:t>»</w:t>
      </w:r>
      <w:r>
        <w:rPr>
          <w:rFonts w:hint="cs"/>
          <w:rtl/>
        </w:rPr>
        <w:t>، مع رسم الحرف الأول بالتاء أيضًا.</w:t>
      </w:r>
    </w:p>
  </w:footnote>
  <w:footnote w:id="1562">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الفارس</w:t>
      </w:r>
      <w:r>
        <w:rPr>
          <w:rFonts w:hint="eastAsia"/>
          <w:rtl/>
        </w:rPr>
        <w:t>»</w:t>
      </w:r>
      <w:r>
        <w:rPr>
          <w:rFonts w:hint="cs"/>
          <w:rtl/>
        </w:rPr>
        <w:t>. والصحيح ما تمّ إثباته من (ب) و(د) و(جـ)، وهو الموافق لجميع المراجع الآتي ذكرها في الهامش الآتي.</w:t>
      </w:r>
    </w:p>
  </w:footnote>
  <w:footnote w:id="1563">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ص147؛ وانظر : المنثور، 1/235؛ الأشباه والنظائر للسيوطي، 1/273؛ الأقمار المضيئة، ص163؛ شرح العلائي لقواعد الخادمي، ل15/أ؛ الوجيز، ص282.</w:t>
      </w:r>
    </w:p>
  </w:footnote>
  <w:footnote w:id="1564">
    <w:p w:rsidR="00035BE3" w:rsidRDefault="00035BE3" w:rsidP="00C10469">
      <w:pPr>
        <w:pStyle w:val="a8"/>
        <w:bidi/>
        <w:spacing w:line="48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eastAsia"/>
          <w:spacing w:val="-6"/>
          <w:rtl/>
        </w:rPr>
        <w:t>«</w:t>
      </w:r>
      <w:r>
        <w:rPr>
          <w:rFonts w:hint="cs"/>
          <w:spacing w:val="-6"/>
          <w:rtl/>
        </w:rPr>
        <w:t>له</w:t>
      </w:r>
      <w:r>
        <w:rPr>
          <w:rFonts w:hint="eastAsia"/>
          <w:spacing w:val="-6"/>
          <w:rtl/>
        </w:rPr>
        <w:t>»</w:t>
      </w:r>
      <w:r>
        <w:rPr>
          <w:rFonts w:hint="cs"/>
          <w:spacing w:val="-6"/>
          <w:rtl/>
        </w:rPr>
        <w:t>: زيادة من (ب) و(جـ) و(د). والصحيح إثباتها، وهو الموافق لمصدر هذه العبارة (وهو أشباه ابن نجيم).</w:t>
      </w:r>
    </w:p>
  </w:footnote>
  <w:footnote w:id="1565">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b/>
          <w:bCs/>
          <w:spacing w:val="-8"/>
          <w:rtl/>
        </w:rPr>
        <w:t>الديوان معناه</w:t>
      </w:r>
      <w:r>
        <w:rPr>
          <w:rFonts w:hint="cs"/>
          <w:spacing w:val="-8"/>
          <w:rtl/>
        </w:rPr>
        <w:t xml:space="preserve"> : </w:t>
      </w:r>
      <w:r>
        <w:rPr>
          <w:rFonts w:hint="eastAsia"/>
          <w:spacing w:val="-8"/>
          <w:rtl/>
        </w:rPr>
        <w:t>«</w:t>
      </w:r>
      <w:r>
        <w:rPr>
          <w:rFonts w:hint="cs"/>
          <w:spacing w:val="-8"/>
          <w:rtl/>
        </w:rPr>
        <w:t>مُجتمع الصحف، والكتاب يُكتب فيه أهل الجيش، وأهل العطيّة</w:t>
      </w:r>
      <w:r>
        <w:rPr>
          <w:rFonts w:hint="eastAsia"/>
          <w:spacing w:val="-8"/>
          <w:rtl/>
        </w:rPr>
        <w:t>»</w:t>
      </w:r>
      <w:r>
        <w:rPr>
          <w:rFonts w:hint="cs"/>
          <w:spacing w:val="-8"/>
          <w:rtl/>
        </w:rPr>
        <w:t xml:space="preserve"> -قاله صاحب القاموس-.</w:t>
      </w:r>
    </w:p>
    <w:p w:rsidR="00035BE3" w:rsidRPr="0004007C" w:rsidRDefault="00035BE3" w:rsidP="00C10469">
      <w:pPr>
        <w:pStyle w:val="a6"/>
        <w:ind w:left="422" w:firstLine="0"/>
        <w:rPr>
          <w:rtl/>
        </w:rPr>
      </w:pPr>
      <w:r>
        <w:rPr>
          <w:rFonts w:hint="cs"/>
          <w:b/>
          <w:bCs/>
          <w:rtl/>
        </w:rPr>
        <w:t xml:space="preserve">أما </w:t>
      </w:r>
      <w:r w:rsidRPr="0004007C">
        <w:rPr>
          <w:rFonts w:hint="cs"/>
          <w:b/>
          <w:bCs/>
          <w:rtl/>
        </w:rPr>
        <w:t>الخراج</w:t>
      </w:r>
      <w:r w:rsidRPr="0004007C">
        <w:rPr>
          <w:rFonts w:hint="cs"/>
          <w:rtl/>
        </w:rPr>
        <w:t xml:space="preserve"> (بتثليث الخاء) : فهو يختص غالبًا بضريبة الأرض -كما أفاد ذلك المجدّدي- </w:t>
      </w:r>
      <w:r w:rsidRPr="0004007C">
        <w:rPr>
          <w:rFonts w:hint="eastAsia"/>
          <w:rtl/>
        </w:rPr>
        <w:t>«</w:t>
      </w:r>
      <w:r w:rsidRPr="0004007C">
        <w:rPr>
          <w:rFonts w:hint="cs"/>
          <w:rtl/>
        </w:rPr>
        <w:t>والأراضي الخراجية : سواد العراق...، وما فتح عنوة، وأقر أهله عليه، أو صالحهم الإمام ... أو أجلاهم ... ونقل إليها قومًا آخرين ... كفارًا، وموات ... أحياه الذمي بالإذن، أو رضخ له من الغنيمة إذا قاتل مع المسلمين</w:t>
      </w:r>
      <w:r w:rsidRPr="0004007C">
        <w:rPr>
          <w:rFonts w:hint="eastAsia"/>
          <w:rtl/>
        </w:rPr>
        <w:t>»</w:t>
      </w:r>
      <w:r w:rsidRPr="0004007C">
        <w:rPr>
          <w:rFonts w:hint="cs"/>
          <w:rtl/>
        </w:rPr>
        <w:t xml:space="preserve"> - قاله صاحب الدرر-.</w:t>
      </w:r>
    </w:p>
    <w:p w:rsidR="00035BE3" w:rsidRPr="0004007C" w:rsidRDefault="00035BE3" w:rsidP="00C10469">
      <w:pPr>
        <w:pStyle w:val="a6"/>
        <w:ind w:left="422" w:firstLine="0"/>
        <w:rPr>
          <w:rtl/>
        </w:rPr>
      </w:pPr>
      <w:r w:rsidRPr="0004007C">
        <w:rPr>
          <w:rFonts w:hint="eastAsia"/>
          <w:rtl/>
        </w:rPr>
        <w:t>«</w:t>
      </w:r>
      <w:r w:rsidRPr="0004007C">
        <w:rPr>
          <w:rFonts w:hint="cs"/>
          <w:rtl/>
        </w:rPr>
        <w:t>... والخراج ... يصرف في مصالحنا : كسد الثغور، وبناء القناطر والجسور، وكفاية القضاة، والعلماء، والعمال، والمقاتلة، وذراريهم</w:t>
      </w:r>
      <w:r w:rsidRPr="0004007C">
        <w:rPr>
          <w:rFonts w:hint="eastAsia"/>
          <w:rtl/>
        </w:rPr>
        <w:t>»</w:t>
      </w:r>
      <w:r w:rsidRPr="0004007C">
        <w:rPr>
          <w:rFonts w:hint="cs"/>
          <w:rtl/>
        </w:rPr>
        <w:t xml:space="preserve"> -قاله صاحب الكنـز-.</w:t>
      </w:r>
    </w:p>
    <w:p w:rsidR="00035BE3" w:rsidRPr="0004007C" w:rsidRDefault="00035BE3" w:rsidP="00C10469">
      <w:pPr>
        <w:pStyle w:val="a6"/>
        <w:ind w:left="422" w:firstLine="0"/>
        <w:rPr>
          <w:rtl/>
        </w:rPr>
      </w:pPr>
      <w:r w:rsidRPr="0004007C">
        <w:rPr>
          <w:rFonts w:hint="cs"/>
          <w:rtl/>
        </w:rPr>
        <w:t xml:space="preserve">إذا عُلم هذا </w:t>
      </w:r>
      <w:r w:rsidRPr="0004007C">
        <w:rPr>
          <w:rFonts w:hint="cs"/>
          <w:b/>
          <w:bCs/>
          <w:rtl/>
        </w:rPr>
        <w:t>فالمراد بديوان الخراج</w:t>
      </w:r>
      <w:r w:rsidRPr="0004007C">
        <w:rPr>
          <w:rFonts w:hint="cs"/>
          <w:rtl/>
        </w:rPr>
        <w:t xml:space="preserve"> : الكتاب الذي يكتب فيه مصارف الأراضي الخراجية، ويدخل فيها: أهل العطية : كالمقاتلة والعلماء ...</w:t>
      </w:r>
    </w:p>
    <w:p w:rsidR="00035BE3" w:rsidRPr="0004007C" w:rsidRDefault="00035BE3" w:rsidP="00C10469">
      <w:pPr>
        <w:pStyle w:val="a6"/>
        <w:ind w:left="422" w:firstLine="0"/>
        <w:rPr>
          <w:rtl/>
        </w:rPr>
      </w:pPr>
      <w:r w:rsidRPr="0004007C">
        <w:rPr>
          <w:rFonts w:hint="cs"/>
          <w:b/>
          <w:bCs/>
          <w:rtl/>
        </w:rPr>
        <w:t>ولتوثيق ما سبق</w:t>
      </w:r>
      <w:r w:rsidRPr="0004007C">
        <w:rPr>
          <w:rFonts w:hint="cs"/>
          <w:rtl/>
        </w:rPr>
        <w:t xml:space="preserve"> : فإن معنى الديوان مستفاد من : القاموس المحيط، مادة </w:t>
      </w:r>
      <w:r w:rsidRPr="0004007C">
        <w:rPr>
          <w:rFonts w:hint="eastAsia"/>
          <w:rtl/>
        </w:rPr>
        <w:t>«</w:t>
      </w:r>
      <w:r w:rsidRPr="0004007C">
        <w:rPr>
          <w:rFonts w:hint="cs"/>
          <w:rtl/>
        </w:rPr>
        <w:t>دون</w:t>
      </w:r>
      <w:r w:rsidRPr="0004007C">
        <w:rPr>
          <w:rFonts w:hint="eastAsia"/>
          <w:rtl/>
        </w:rPr>
        <w:t>»</w:t>
      </w:r>
      <w:r w:rsidRPr="0004007C">
        <w:rPr>
          <w:rFonts w:hint="cs"/>
          <w:rtl/>
        </w:rPr>
        <w:t xml:space="preserve">، ص1545؛ وانظر: المعجم الوسيط، مادة </w:t>
      </w:r>
      <w:r w:rsidRPr="0004007C">
        <w:rPr>
          <w:rFonts w:hint="eastAsia"/>
          <w:rtl/>
        </w:rPr>
        <w:t>«</w:t>
      </w:r>
      <w:r w:rsidRPr="0004007C">
        <w:rPr>
          <w:rFonts w:hint="cs"/>
          <w:rtl/>
        </w:rPr>
        <w:t>دان</w:t>
      </w:r>
      <w:r w:rsidRPr="0004007C">
        <w:rPr>
          <w:rFonts w:hint="eastAsia"/>
          <w:rtl/>
        </w:rPr>
        <w:t>»</w:t>
      </w:r>
      <w:r w:rsidRPr="0004007C">
        <w:rPr>
          <w:rFonts w:hint="cs"/>
          <w:rtl/>
        </w:rPr>
        <w:t>، 1/305؛ قواعد الفقه (الرسالة الرابعة : التعريفات الفقهية)، ص297.</w:t>
      </w:r>
    </w:p>
    <w:p w:rsidR="00035BE3" w:rsidRPr="0004007C" w:rsidRDefault="00035BE3" w:rsidP="00C10469">
      <w:pPr>
        <w:pStyle w:val="a6"/>
        <w:spacing w:line="216" w:lineRule="auto"/>
        <w:ind w:left="420" w:firstLine="0"/>
        <w:rPr>
          <w:sz w:val="29"/>
          <w:szCs w:val="29"/>
          <w:rtl/>
        </w:rPr>
      </w:pPr>
      <w:r w:rsidRPr="0004007C">
        <w:rPr>
          <w:rFonts w:hint="cs"/>
          <w:sz w:val="29"/>
          <w:szCs w:val="29"/>
          <w:rtl/>
        </w:rPr>
        <w:t>ومعنى الخراج مستفاد من : قواعد الفقه للمجدّدي، ص275؛ الدرر شرح الغرر، 1/295-296؛ كنز الدقائق (مع البحر الرائق)، 5/127؛ وانظر : طلبة الطلبة، ص188؛ العناية وفتح القدير، 6/31؛ أنيس الفقهاء، ص185.</w:t>
      </w:r>
    </w:p>
  </w:footnote>
  <w:footnote w:id="1566">
    <w:p w:rsidR="00035BE3" w:rsidRPr="0004007C" w:rsidRDefault="00035BE3" w:rsidP="00C10469">
      <w:pPr>
        <w:pStyle w:val="a8"/>
        <w:bidi/>
        <w:spacing w:line="216" w:lineRule="auto"/>
        <w:ind w:left="420" w:right="0"/>
        <w:rPr>
          <w:rtl/>
        </w:rPr>
      </w:pPr>
      <w:r w:rsidRPr="0004007C">
        <w:rPr>
          <w:rFonts w:hint="cs"/>
          <w:vertAlign w:val="superscript"/>
          <w:rtl/>
        </w:rPr>
        <w:t>(</w:t>
      </w:r>
      <w:r w:rsidRPr="0004007C">
        <w:rPr>
          <w:rStyle w:val="a7"/>
        </w:rPr>
        <w:footnoteRef/>
      </w:r>
      <w:r w:rsidRPr="0004007C">
        <w:rPr>
          <w:rFonts w:hint="cs"/>
          <w:vertAlign w:val="superscript"/>
          <w:rtl/>
        </w:rPr>
        <w:t>)</w:t>
      </w:r>
      <w:r w:rsidRPr="0004007C">
        <w:rPr>
          <w:rFonts w:hint="cs"/>
          <w:rtl/>
        </w:rPr>
        <w:t xml:space="preserve">   في (أ) و(ب) و(د) : </w:t>
      </w:r>
      <w:r w:rsidRPr="0004007C">
        <w:rPr>
          <w:rFonts w:hint="eastAsia"/>
          <w:rtl/>
        </w:rPr>
        <w:t>«</w:t>
      </w:r>
      <w:r w:rsidRPr="0004007C">
        <w:rPr>
          <w:rFonts w:hint="cs"/>
          <w:rtl/>
        </w:rPr>
        <w:t>المفتيين</w:t>
      </w:r>
      <w:r w:rsidRPr="0004007C">
        <w:rPr>
          <w:rFonts w:hint="eastAsia"/>
          <w:rtl/>
        </w:rPr>
        <w:t>»</w:t>
      </w:r>
      <w:r w:rsidRPr="0004007C">
        <w:rPr>
          <w:rFonts w:hint="cs"/>
          <w:rtl/>
        </w:rPr>
        <w:t>. والصحيح ما تمَّ إثباته من (جـ).</w:t>
      </w:r>
    </w:p>
  </w:footnote>
  <w:footnote w:id="1567">
    <w:p w:rsidR="00035BE3" w:rsidRPr="00B075D3" w:rsidRDefault="00035BE3" w:rsidP="00C10469">
      <w:pPr>
        <w:pStyle w:val="a8"/>
        <w:bidi/>
        <w:spacing w:line="216" w:lineRule="auto"/>
        <w:ind w:left="420" w:right="0"/>
        <w:rPr>
          <w:rtl/>
        </w:rPr>
      </w:pPr>
      <w:r w:rsidRPr="0004007C">
        <w:rPr>
          <w:rFonts w:hint="cs"/>
          <w:vertAlign w:val="superscript"/>
          <w:rtl/>
        </w:rPr>
        <w:t>(</w:t>
      </w:r>
      <w:r w:rsidRPr="0004007C">
        <w:rPr>
          <w:rStyle w:val="a7"/>
        </w:rPr>
        <w:footnoteRef/>
      </w:r>
      <w:r w:rsidRPr="0004007C">
        <w:rPr>
          <w:rFonts w:hint="cs"/>
          <w:vertAlign w:val="superscript"/>
          <w:rtl/>
        </w:rPr>
        <w:t>)</w:t>
      </w:r>
      <w:r w:rsidRPr="0004007C">
        <w:rPr>
          <w:rFonts w:hint="cs"/>
          <w:rtl/>
        </w:rPr>
        <w:t xml:space="preserve">   </w:t>
      </w:r>
      <w:r w:rsidRPr="00B075D3">
        <w:rPr>
          <w:rFonts w:hint="cs"/>
          <w:rtl/>
        </w:rPr>
        <w:t xml:space="preserve">الأشباه والنظائر لابن نجيم، ص147، إلا أنه جاء فيه : </w:t>
      </w:r>
      <w:r w:rsidRPr="00B075D3">
        <w:rPr>
          <w:rFonts w:hint="eastAsia"/>
          <w:rtl/>
        </w:rPr>
        <w:t>«</w:t>
      </w:r>
      <w:r w:rsidRPr="00B075D3">
        <w:rPr>
          <w:rFonts w:hint="cs"/>
          <w:rtl/>
        </w:rPr>
        <w:t>... الـمفتين والفقهاء يفرض لأولادهم تبعًا</w:t>
      </w:r>
      <w:r w:rsidRPr="00B075D3">
        <w:rPr>
          <w:rFonts w:hint="eastAsia"/>
          <w:rtl/>
        </w:rPr>
        <w:t>»</w:t>
      </w:r>
      <w:r w:rsidRPr="00B075D3">
        <w:rPr>
          <w:rFonts w:hint="cs"/>
          <w:rtl/>
        </w:rPr>
        <w:t xml:space="preserve">، ثم قال عقب تلك العبارة : </w:t>
      </w:r>
      <w:r w:rsidRPr="00B075D3">
        <w:rPr>
          <w:rFonts w:hint="eastAsia"/>
          <w:rtl/>
        </w:rPr>
        <w:t>«</w:t>
      </w:r>
      <w:r w:rsidRPr="00B075D3">
        <w:rPr>
          <w:rFonts w:hint="cs"/>
          <w:rtl/>
        </w:rPr>
        <w:t>وقد أوضحناه في شرح (الكنـز)</w:t>
      </w:r>
      <w:r w:rsidRPr="00B075D3">
        <w:rPr>
          <w:rFonts w:hint="eastAsia"/>
          <w:rtl/>
        </w:rPr>
        <w:t>»</w:t>
      </w:r>
      <w:r w:rsidRPr="00B075D3">
        <w:rPr>
          <w:rFonts w:hint="cs"/>
          <w:rtl/>
        </w:rPr>
        <w:t xml:space="preserve"> وهذا الإيضاح حاصل في البحر الرائق، 5/127.</w:t>
      </w:r>
    </w:p>
    <w:p w:rsidR="00035BE3" w:rsidRPr="0004007C" w:rsidRDefault="00035BE3" w:rsidP="00C10469">
      <w:pPr>
        <w:pStyle w:val="a6"/>
        <w:spacing w:line="216" w:lineRule="auto"/>
        <w:ind w:left="420" w:firstLine="0"/>
        <w:rPr>
          <w:rtl/>
        </w:rPr>
      </w:pPr>
      <w:r w:rsidRPr="0004007C">
        <w:rPr>
          <w:rFonts w:hint="cs"/>
          <w:rtl/>
        </w:rPr>
        <w:t>وانظر : شرح العلائي لقواعد الخادمي، ل15/أ؛ منافع الدقائق، ص315؛ الوجيز، ص282؛ موسوعة القواعد الفقهية، 3/166.</w:t>
      </w:r>
    </w:p>
  </w:footnote>
  <w:footnote w:id="1568">
    <w:p w:rsidR="00035BE3" w:rsidRPr="0004007C" w:rsidRDefault="00035BE3" w:rsidP="00C10469">
      <w:pPr>
        <w:pStyle w:val="a8"/>
        <w:bidi/>
        <w:spacing w:line="216" w:lineRule="auto"/>
        <w:ind w:left="420" w:right="0"/>
        <w:rPr>
          <w:rtl/>
        </w:rPr>
      </w:pPr>
      <w:r w:rsidRPr="0004007C">
        <w:rPr>
          <w:rFonts w:hint="cs"/>
          <w:vertAlign w:val="superscript"/>
          <w:rtl/>
        </w:rPr>
        <w:t>(</w:t>
      </w:r>
      <w:r w:rsidRPr="0004007C">
        <w:rPr>
          <w:rStyle w:val="a7"/>
        </w:rPr>
        <w:footnoteRef/>
      </w:r>
      <w:r w:rsidRPr="0004007C">
        <w:rPr>
          <w:rFonts w:hint="cs"/>
          <w:vertAlign w:val="superscript"/>
          <w:rtl/>
        </w:rPr>
        <w:t>)</w:t>
      </w:r>
      <w:r w:rsidRPr="0004007C">
        <w:rPr>
          <w:rFonts w:hint="cs"/>
          <w:rtl/>
        </w:rPr>
        <w:t xml:space="preserve">   نهاية 17/ب من (د).</w:t>
      </w:r>
    </w:p>
  </w:footnote>
  <w:footnote w:id="1569">
    <w:p w:rsidR="00035BE3" w:rsidRPr="0004007C" w:rsidRDefault="00035BE3" w:rsidP="00C10469">
      <w:pPr>
        <w:pStyle w:val="a8"/>
        <w:bidi/>
        <w:spacing w:line="216" w:lineRule="auto"/>
        <w:ind w:left="420" w:right="0"/>
        <w:rPr>
          <w:rtl/>
        </w:rPr>
      </w:pPr>
      <w:r w:rsidRPr="0004007C">
        <w:rPr>
          <w:rFonts w:hint="cs"/>
          <w:vertAlign w:val="superscript"/>
          <w:rtl/>
        </w:rPr>
        <w:t>(</w:t>
      </w:r>
      <w:r w:rsidRPr="0004007C">
        <w:rPr>
          <w:rStyle w:val="a7"/>
        </w:rPr>
        <w:footnoteRef/>
      </w:r>
      <w:r w:rsidRPr="0004007C">
        <w:rPr>
          <w:rFonts w:hint="cs"/>
          <w:vertAlign w:val="superscript"/>
          <w:rtl/>
        </w:rPr>
        <w:t>)</w:t>
      </w:r>
      <w:r w:rsidRPr="0004007C">
        <w:rPr>
          <w:rFonts w:hint="cs"/>
          <w:rtl/>
        </w:rPr>
        <w:t xml:space="preserve">   </w:t>
      </w:r>
      <w:r w:rsidRPr="0004007C">
        <w:rPr>
          <w:rFonts w:hint="eastAsia"/>
          <w:rtl/>
        </w:rPr>
        <w:t>«</w:t>
      </w:r>
      <w:r w:rsidRPr="0004007C">
        <w:rPr>
          <w:rFonts w:hint="cs"/>
          <w:rtl/>
        </w:rPr>
        <w:t>القاعدة</w:t>
      </w:r>
      <w:r w:rsidRPr="0004007C">
        <w:rPr>
          <w:rFonts w:hint="eastAsia"/>
          <w:rtl/>
        </w:rPr>
        <w:t>»</w:t>
      </w:r>
      <w:r w:rsidRPr="0004007C">
        <w:rPr>
          <w:rFonts w:hint="cs"/>
          <w:rtl/>
        </w:rPr>
        <w:t xml:space="preserve"> : ساقطة من (د).</w:t>
      </w:r>
    </w:p>
  </w:footnote>
  <w:footnote w:id="1570">
    <w:p w:rsidR="00035BE3" w:rsidRPr="0004007C" w:rsidRDefault="00035BE3" w:rsidP="00C10469">
      <w:pPr>
        <w:pStyle w:val="a8"/>
        <w:bidi/>
        <w:spacing w:line="216" w:lineRule="auto"/>
        <w:ind w:left="420" w:right="0"/>
        <w:rPr>
          <w:rtl/>
        </w:rPr>
      </w:pPr>
      <w:r w:rsidRPr="0004007C">
        <w:rPr>
          <w:rFonts w:hint="cs"/>
          <w:vertAlign w:val="superscript"/>
          <w:rtl/>
        </w:rPr>
        <w:t>(</w:t>
      </w:r>
      <w:r w:rsidRPr="0004007C">
        <w:rPr>
          <w:rStyle w:val="a7"/>
        </w:rPr>
        <w:footnoteRef/>
      </w:r>
      <w:r w:rsidRPr="0004007C">
        <w:rPr>
          <w:rFonts w:hint="cs"/>
          <w:vertAlign w:val="superscript"/>
          <w:rtl/>
        </w:rPr>
        <w:t>)</w:t>
      </w:r>
      <w:r w:rsidRPr="0004007C">
        <w:rPr>
          <w:rFonts w:hint="cs"/>
          <w:rtl/>
        </w:rPr>
        <w:t xml:space="preserve">   في (ب) : </w:t>
      </w:r>
      <w:r w:rsidRPr="0004007C">
        <w:rPr>
          <w:rFonts w:hint="eastAsia"/>
          <w:rtl/>
        </w:rPr>
        <w:t>«</w:t>
      </w:r>
      <w:r w:rsidRPr="0004007C">
        <w:rPr>
          <w:rFonts w:hint="cs"/>
          <w:rtl/>
        </w:rPr>
        <w:t>أجر</w:t>
      </w:r>
      <w:r w:rsidRPr="0004007C">
        <w:rPr>
          <w:rFonts w:hint="eastAsia"/>
          <w:rtl/>
        </w:rPr>
        <w:t>»</w:t>
      </w:r>
      <w:r w:rsidRPr="0004007C">
        <w:rPr>
          <w:rFonts w:hint="cs"/>
          <w:rtl/>
        </w:rPr>
        <w:t>.</w:t>
      </w:r>
    </w:p>
  </w:footnote>
  <w:footnote w:id="15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الموس</w:t>
      </w:r>
      <w:r>
        <w:rPr>
          <w:rFonts w:hint="eastAsia"/>
          <w:rtl/>
        </w:rPr>
        <w:t>»</w:t>
      </w:r>
      <w:r>
        <w:rPr>
          <w:rFonts w:hint="cs"/>
          <w:rtl/>
        </w:rPr>
        <w:t>.</w:t>
      </w:r>
    </w:p>
  </w:footnote>
  <w:footnote w:id="1572">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w:t>
      </w:r>
      <w:r>
        <w:rPr>
          <w:rFonts w:hint="cs"/>
          <w:spacing w:val="-4"/>
          <w:rtl/>
        </w:rPr>
        <w:t xml:space="preserve"> </w:t>
      </w:r>
      <w:r w:rsidRPr="00251DD1">
        <w:rPr>
          <w:rFonts w:hint="cs"/>
          <w:spacing w:val="-4"/>
          <w:rtl/>
        </w:rPr>
        <w:t xml:space="preserve">الأشباه والنظائر لابن نجيم، ص147؛ وانظر: البحر الرائق، 2/273؛ الدر المختار ورد المحتار، 3/535؛ </w:t>
      </w:r>
      <w:r>
        <w:rPr>
          <w:rFonts w:hint="cs"/>
          <w:spacing w:val="-2"/>
          <w:rtl/>
        </w:rPr>
        <w:t>المبدع، 3/243؛ انظر أيضًا : الوجيز، ص282؛ موسوعة القواعد الفقهية، 3/166.</w:t>
      </w:r>
    </w:p>
  </w:footnote>
  <w:footnote w:id="15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عمل</w:t>
      </w:r>
      <w:r>
        <w:rPr>
          <w:rFonts w:hint="eastAsia"/>
          <w:rtl/>
        </w:rPr>
        <w:t>»</w:t>
      </w:r>
      <w:r>
        <w:rPr>
          <w:rFonts w:hint="cs"/>
          <w:rtl/>
        </w:rPr>
        <w:t>.</w:t>
      </w:r>
    </w:p>
  </w:footnote>
  <w:footnote w:id="1574">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ليس المقصود بالمفهوم -هنا- المعنى الاصطلاحي (وهو قسيم المنطوق)؛ بل المراد به: المعنى العام للحديث.</w:t>
      </w:r>
    </w:p>
  </w:footnote>
  <w:footnote w:id="15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20/ب من (جـ).</w:t>
      </w:r>
    </w:p>
  </w:footnote>
  <w:footnote w:id="15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2"/>
          <w:rtl/>
        </w:rPr>
        <w:t xml:space="preserve"> </w:t>
      </w:r>
      <w:r w:rsidRPr="003C5E7B">
        <w:rPr>
          <w:rFonts w:hint="cs"/>
          <w:spacing w:val="-4"/>
          <w:rtl/>
        </w:rPr>
        <w:t xml:space="preserve">أخرجه ابن أبي شيبه بلفظه، كتاب السير، ما قالوا فيما ذكر من الرماح واتخاذها، 6/471، </w:t>
      </w:r>
      <w:r>
        <w:rPr>
          <w:rFonts w:hint="cs"/>
          <w:rtl/>
        </w:rPr>
        <w:t xml:space="preserve">ح33016؛ والإمام أحمد بلفظه، 9/123-126، 478، ح5114 و5115 و5667؛ وأبو داود بلفظه : كتاب اللباس، باب في لبس الشهرة، 4/314، ح4031؛ والطحاوي في مشكل الآثار باب بيان مشكل ما روي عن رسول الله </w:t>
      </w:r>
      <w:r>
        <w:rPr>
          <w:rFonts w:ascii="AGA Arabesque" w:hAnsi="AGA Arabesque"/>
          <w:sz w:val="36"/>
          <w:szCs w:val="36"/>
        </w:rPr>
        <w:t></w:t>
      </w:r>
      <w:r>
        <w:rPr>
          <w:rFonts w:hint="cs"/>
          <w:rtl/>
        </w:rPr>
        <w:t xml:space="preserve"> في الذلّ بالزرع، 1/88.</w:t>
      </w:r>
    </w:p>
    <w:p w:rsidR="00035BE3" w:rsidRDefault="00035BE3" w:rsidP="00C10469">
      <w:pPr>
        <w:pStyle w:val="a6"/>
        <w:ind w:left="422" w:firstLine="0"/>
        <w:rPr>
          <w:rtl/>
        </w:rPr>
      </w:pPr>
      <w:r>
        <w:rPr>
          <w:rFonts w:hint="cs"/>
          <w:rtl/>
        </w:rPr>
        <w:t xml:space="preserve">جميعهم من حديث عبد الله بن عمر رضي الله عنهما. </w:t>
      </w:r>
    </w:p>
    <w:p w:rsidR="00035BE3" w:rsidRDefault="00035BE3" w:rsidP="00C10469">
      <w:pPr>
        <w:pStyle w:val="a6"/>
        <w:ind w:left="422" w:firstLine="0"/>
        <w:rPr>
          <w:rtl/>
        </w:rPr>
      </w:pPr>
      <w:r>
        <w:rPr>
          <w:rFonts w:hint="cs"/>
          <w:rtl/>
        </w:rPr>
        <w:t>وقد اختلفت أقوال المحدثين في هذا الحديث :</w:t>
      </w:r>
    </w:p>
    <w:p w:rsidR="00035BE3" w:rsidRDefault="00035BE3" w:rsidP="00C10469">
      <w:pPr>
        <w:pStyle w:val="a6"/>
        <w:ind w:left="422" w:firstLine="0"/>
        <w:rPr>
          <w:spacing w:val="8"/>
          <w:rtl/>
        </w:rPr>
      </w:pPr>
      <w:r>
        <w:rPr>
          <w:rFonts w:hint="cs"/>
          <w:spacing w:val="8"/>
          <w:rtl/>
        </w:rPr>
        <w:t xml:space="preserve">- فقد ذكره صاحب (نصب الراية) </w:t>
      </w:r>
      <w:r>
        <w:rPr>
          <w:spacing w:val="8"/>
          <w:rtl/>
        </w:rPr>
        <w:t>–</w:t>
      </w:r>
      <w:r>
        <w:rPr>
          <w:rFonts w:hint="cs"/>
          <w:spacing w:val="8"/>
          <w:rtl/>
        </w:rPr>
        <w:t xml:space="preserve">4/347- عددًا من شواهده، ثم قال : </w:t>
      </w:r>
      <w:r>
        <w:rPr>
          <w:rFonts w:hint="eastAsia"/>
          <w:spacing w:val="8"/>
          <w:rtl/>
        </w:rPr>
        <w:t>«</w:t>
      </w:r>
      <w:r>
        <w:rPr>
          <w:rFonts w:hint="cs"/>
          <w:spacing w:val="8"/>
          <w:rtl/>
        </w:rPr>
        <w:t>فحديث ابن عمر أخرجه أبو داود في اللـباس عـن عـبـد الرحـمن بن ثابت بن ثوبان عن ...، وابن ثوبان ضعيف</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 xml:space="preserve">- وذكره شيخ الإسلام في (اقتضاء الصراط المستقيم) -1/239-240- وساق سنده عند أبي داود ثم قال : </w:t>
      </w:r>
      <w:r>
        <w:rPr>
          <w:rFonts w:hint="eastAsia"/>
          <w:rtl/>
        </w:rPr>
        <w:t>«</w:t>
      </w:r>
      <w:r>
        <w:rPr>
          <w:rFonts w:hint="cs"/>
          <w:rtl/>
        </w:rPr>
        <w:t>هذا إسناد جيّد</w:t>
      </w:r>
      <w:r>
        <w:rPr>
          <w:rFonts w:hint="eastAsia"/>
          <w:rtl/>
        </w:rPr>
        <w:t>»</w:t>
      </w:r>
      <w:r>
        <w:rPr>
          <w:rFonts w:hint="cs"/>
          <w:rtl/>
        </w:rPr>
        <w:t>.</w:t>
      </w:r>
    </w:p>
    <w:p w:rsidR="00035BE3" w:rsidRDefault="00035BE3" w:rsidP="00C10469">
      <w:pPr>
        <w:pStyle w:val="a6"/>
        <w:ind w:left="422" w:firstLine="0"/>
        <w:rPr>
          <w:rtl/>
        </w:rPr>
      </w:pPr>
      <w:r>
        <w:rPr>
          <w:rFonts w:hint="cs"/>
          <w:rtl/>
        </w:rPr>
        <w:t xml:space="preserve">كما ذكره في (مجموع الفتاوى) -25/331- وقال عقبه : </w:t>
      </w:r>
      <w:r>
        <w:rPr>
          <w:rFonts w:hint="eastAsia"/>
          <w:rtl/>
        </w:rPr>
        <w:t>«</w:t>
      </w:r>
      <w:r>
        <w:rPr>
          <w:rFonts w:hint="cs"/>
          <w:rtl/>
        </w:rPr>
        <w:t>وهو حديث جيّد</w:t>
      </w:r>
      <w:r>
        <w:rPr>
          <w:rFonts w:hint="eastAsia"/>
          <w:rtl/>
        </w:rPr>
        <w:t>»</w:t>
      </w:r>
      <w:r>
        <w:rPr>
          <w:rFonts w:hint="cs"/>
          <w:rtl/>
        </w:rPr>
        <w:t>.</w:t>
      </w:r>
    </w:p>
    <w:p w:rsidR="00035BE3" w:rsidRDefault="00035BE3" w:rsidP="00C10469">
      <w:pPr>
        <w:pStyle w:val="a6"/>
        <w:ind w:left="422" w:firstLine="0"/>
        <w:rPr>
          <w:rtl/>
        </w:rPr>
      </w:pPr>
      <w:r>
        <w:rPr>
          <w:rFonts w:hint="cs"/>
          <w:rtl/>
        </w:rPr>
        <w:t xml:space="preserve">- وأورده الحافظ في الفتح </w:t>
      </w:r>
      <w:r>
        <w:rPr>
          <w:rtl/>
        </w:rPr>
        <w:t>–</w:t>
      </w:r>
      <w:r>
        <w:rPr>
          <w:rFonts w:hint="cs"/>
          <w:rtl/>
        </w:rPr>
        <w:t xml:space="preserve">10/282- فقال : </w:t>
      </w:r>
      <w:r>
        <w:rPr>
          <w:rFonts w:hint="eastAsia"/>
          <w:rtl/>
        </w:rPr>
        <w:t>«</w:t>
      </w:r>
      <w:r>
        <w:rPr>
          <w:rFonts w:hint="cs"/>
          <w:rtl/>
        </w:rPr>
        <w:t xml:space="preserve">وقد ورد حديث ابن عمر رفعه : </w:t>
      </w:r>
      <w:r>
        <w:rPr>
          <w:rFonts w:hint="eastAsia"/>
          <w:rtl/>
        </w:rPr>
        <w:t>«</w:t>
      </w:r>
      <w:r>
        <w:rPr>
          <w:rFonts w:hint="cs"/>
          <w:rtl/>
        </w:rPr>
        <w:t>من تشبه بقوم فهو منهم</w:t>
      </w:r>
      <w:r>
        <w:rPr>
          <w:rFonts w:hint="eastAsia"/>
          <w:rtl/>
        </w:rPr>
        <w:t>»</w:t>
      </w:r>
      <w:r>
        <w:rPr>
          <w:rFonts w:hint="cs"/>
          <w:rtl/>
        </w:rPr>
        <w:t>. قلت : أخرجه أبو داود بسند حسن</w:t>
      </w:r>
      <w:r>
        <w:rPr>
          <w:rFonts w:hint="eastAsia"/>
          <w:rtl/>
        </w:rPr>
        <w:t>»</w:t>
      </w:r>
      <w:r>
        <w:rPr>
          <w:rFonts w:hint="cs"/>
          <w:rtl/>
        </w:rPr>
        <w:t>. وانظر الدراية، 2/297.</w:t>
      </w:r>
    </w:p>
    <w:p w:rsidR="00035BE3" w:rsidRDefault="00035BE3" w:rsidP="00C10469">
      <w:pPr>
        <w:pStyle w:val="a6"/>
        <w:spacing w:line="420" w:lineRule="exact"/>
        <w:ind w:left="422" w:firstLine="0"/>
        <w:rPr>
          <w:spacing w:val="8"/>
          <w:rtl/>
        </w:rPr>
      </w:pPr>
      <w:r>
        <w:rPr>
          <w:rFonts w:hint="cs"/>
          <w:spacing w:val="8"/>
          <w:rtl/>
        </w:rPr>
        <w:t xml:space="preserve">- كـمـا أورده وأورد شـواهـده صـاحب كشـف الـخفاء </w:t>
      </w:r>
      <w:r>
        <w:rPr>
          <w:spacing w:val="8"/>
          <w:rtl/>
        </w:rPr>
        <w:t>–</w:t>
      </w:r>
      <w:r>
        <w:rPr>
          <w:rFonts w:hint="cs"/>
          <w:spacing w:val="8"/>
          <w:rtl/>
        </w:rPr>
        <w:t xml:space="preserve">2/314، ح2436- فـقـال : </w:t>
      </w:r>
      <w:r>
        <w:rPr>
          <w:rFonts w:hint="eastAsia"/>
          <w:spacing w:val="8"/>
          <w:rtl/>
        </w:rPr>
        <w:t>««</w:t>
      </w:r>
      <w:r>
        <w:rPr>
          <w:rFonts w:hint="cs"/>
          <w:spacing w:val="8"/>
          <w:rtl/>
        </w:rPr>
        <w:t>مـن تشبـه بـقوم فـهو مـنـهـم</w:t>
      </w:r>
      <w:r>
        <w:rPr>
          <w:rFonts w:hint="eastAsia"/>
          <w:spacing w:val="8"/>
          <w:rtl/>
        </w:rPr>
        <w:t>»</w:t>
      </w:r>
      <w:r>
        <w:rPr>
          <w:rFonts w:hint="cs"/>
          <w:spacing w:val="8"/>
          <w:rtl/>
        </w:rPr>
        <w:t xml:space="preserve"> رواه أحـمد وأبو داود والطـبـرانـي في الكبير عن ابن عمر رفعه، وفي سنده ضعيف- كما في اللآلئ والمقاصد، لكن قال العراقي : سنده صحيح. وله شاهد عند البزار عن حذيفة وأبي هريرة، وعند أبي نعيم في تاريخ أصبهان عن أنس، وعند القضاعي عن طاوس مرسلاً، وصححه ابن حبان</w:t>
      </w:r>
      <w:r>
        <w:rPr>
          <w:rFonts w:hint="eastAsia"/>
          <w:spacing w:val="8"/>
          <w:rtl/>
        </w:rPr>
        <w:t>»</w:t>
      </w:r>
      <w:r>
        <w:rPr>
          <w:rFonts w:hint="cs"/>
          <w:spacing w:val="8"/>
          <w:rtl/>
        </w:rPr>
        <w:t xml:space="preserve">. </w:t>
      </w:r>
    </w:p>
    <w:p w:rsidR="00035BE3" w:rsidRDefault="00035BE3" w:rsidP="00C10469">
      <w:pPr>
        <w:pStyle w:val="a6"/>
        <w:ind w:left="422" w:firstLine="0"/>
        <w:rPr>
          <w:rtl/>
        </w:rPr>
      </w:pPr>
      <w:r>
        <w:rPr>
          <w:rFonts w:hint="cs"/>
          <w:spacing w:val="-14"/>
          <w:rtl/>
        </w:rPr>
        <w:t>- وأيضًا صحّحـه الألـباني فـي (صحيـح الجامع الصـغـير) -2/1059، ح6149- وفي (إرواء الغليل) -5/109، ح1269-.</w:t>
      </w:r>
    </w:p>
    <w:p w:rsidR="00035BE3" w:rsidRDefault="00035BE3" w:rsidP="00C10469">
      <w:pPr>
        <w:pStyle w:val="a6"/>
        <w:ind w:left="422" w:firstLine="0"/>
        <w:rPr>
          <w:spacing w:val="-2"/>
          <w:rtl/>
        </w:rPr>
      </w:pPr>
      <w:r>
        <w:rPr>
          <w:rFonts w:hint="cs"/>
          <w:spacing w:val="-2"/>
          <w:rtl/>
        </w:rPr>
        <w:t xml:space="preserve">- يضاف إلى ذلك أنّ البخاري ذكر طرف الحديث - خاليًا من لفظ : </w:t>
      </w:r>
      <w:r>
        <w:rPr>
          <w:rFonts w:hint="eastAsia"/>
          <w:spacing w:val="-2"/>
          <w:rtl/>
        </w:rPr>
        <w:t>«</w:t>
      </w:r>
      <w:r>
        <w:rPr>
          <w:rFonts w:hint="cs"/>
          <w:spacing w:val="-2"/>
          <w:rtl/>
        </w:rPr>
        <w:t>من تشبه بقوم فهو منهم</w:t>
      </w:r>
      <w:r>
        <w:rPr>
          <w:rFonts w:hint="eastAsia"/>
          <w:spacing w:val="-2"/>
          <w:rtl/>
        </w:rPr>
        <w:t>»</w:t>
      </w:r>
      <w:r>
        <w:rPr>
          <w:rFonts w:hint="cs"/>
          <w:spacing w:val="-2"/>
          <w:rtl/>
        </w:rPr>
        <w:t xml:space="preserve">- وذلك معلقًا بصيغة التمريض، وقد علق عليه الحافظ في (الفتح) -6/115-116- فقال : </w:t>
      </w:r>
    </w:p>
    <w:p w:rsidR="00035BE3" w:rsidRDefault="00035BE3" w:rsidP="00C10469">
      <w:pPr>
        <w:pStyle w:val="a6"/>
        <w:ind w:left="422" w:firstLine="0"/>
        <w:rPr>
          <w:rtl/>
        </w:rPr>
      </w:pPr>
      <w:r>
        <w:rPr>
          <w:rFonts w:hint="eastAsia"/>
          <w:rtl/>
        </w:rPr>
        <w:t>«</w:t>
      </w:r>
      <w:r>
        <w:rPr>
          <w:rFonts w:hint="cs"/>
          <w:rtl/>
        </w:rPr>
        <w:t xml:space="preserve">قوله : (ويُذكر عن ابن عمر الخ) هو طرف من حديث أخرجه أحمد من طريق أبي مُنِيْب ... الجُرشي ... عن ابن عمر بلفظ : بعثت بين يدي الساعة ...، وأبو منيب لا يعرف اسمه. وفي الإسناد عبد الرحمن بن ثابت بن ثوبان مختلف في توثيقه. وله شاهد مرسل بإسناد حسن أخرجه ابن أبي شيبة من طريق الأوزاعي عن سعيد بن جبلة عن النبي </w:t>
      </w:r>
      <w:r>
        <w:rPr>
          <w:rFonts w:ascii="AGA Arabesque" w:hAnsi="AGA Arabesque"/>
          <w:sz w:val="36"/>
          <w:szCs w:val="36"/>
        </w:rPr>
        <w:t></w:t>
      </w:r>
      <w:r>
        <w:rPr>
          <w:rFonts w:hint="cs"/>
          <w:rtl/>
        </w:rPr>
        <w:t xml:space="preserve"> بتمامه</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 xml:space="preserve">- كما ذكر الهيثمي في (مجمع الزوائد) </w:t>
      </w:r>
      <w:r>
        <w:rPr>
          <w:spacing w:val="4"/>
          <w:rtl/>
        </w:rPr>
        <w:t>–</w:t>
      </w:r>
      <w:r>
        <w:rPr>
          <w:rFonts w:hint="cs"/>
          <w:spacing w:val="4"/>
          <w:rtl/>
        </w:rPr>
        <w:t xml:space="preserve">10/271- شاهدًا له من حديث حذيفة بن اليمان، ثم قال: </w:t>
      </w:r>
      <w:r>
        <w:rPr>
          <w:rFonts w:hint="eastAsia"/>
          <w:spacing w:val="4"/>
          <w:rtl/>
        </w:rPr>
        <w:t>«</w:t>
      </w:r>
      <w:r>
        <w:rPr>
          <w:rFonts w:hint="cs"/>
          <w:spacing w:val="4"/>
          <w:rtl/>
        </w:rPr>
        <w:t>رواه الطبراني في الأوسط، وفيه: علي بن غراب، وقد وثقه غير واحد، وضعفه بعضهم، وبقية رجاله ثقات</w:t>
      </w:r>
      <w:r>
        <w:rPr>
          <w:rFonts w:hint="eastAsia"/>
          <w:spacing w:val="4"/>
          <w:rtl/>
        </w:rPr>
        <w:t>»</w:t>
      </w:r>
      <w:r>
        <w:rPr>
          <w:rFonts w:hint="cs"/>
          <w:spacing w:val="4"/>
          <w:rtl/>
        </w:rPr>
        <w:t>.</w:t>
      </w:r>
    </w:p>
  </w:footnote>
  <w:footnote w:id="15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التشبيه</w:t>
      </w:r>
      <w:r>
        <w:rPr>
          <w:rFonts w:hint="eastAsia"/>
          <w:rtl/>
        </w:rPr>
        <w:t>»</w:t>
      </w:r>
      <w:r>
        <w:rPr>
          <w:rFonts w:hint="cs"/>
          <w:rtl/>
        </w:rPr>
        <w:t>.</w:t>
      </w:r>
    </w:p>
  </w:footnote>
  <w:footnote w:id="15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2/490.</w:t>
      </w:r>
    </w:p>
  </w:footnote>
  <w:footnote w:id="15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w:t>
      </w:r>
      <w:r>
        <w:rPr>
          <w:rFonts w:hint="eastAsia"/>
          <w:rtl/>
        </w:rPr>
        <w:t>»</w:t>
      </w:r>
      <w:r>
        <w:rPr>
          <w:rFonts w:hint="cs"/>
          <w:rtl/>
        </w:rPr>
        <w:t xml:space="preserve"> وليس : </w:t>
      </w:r>
      <w:r>
        <w:rPr>
          <w:rFonts w:hint="eastAsia"/>
          <w:rtl/>
        </w:rPr>
        <w:t>«</w:t>
      </w:r>
      <w:r>
        <w:rPr>
          <w:rFonts w:hint="cs"/>
          <w:rtl/>
        </w:rPr>
        <w:t>أو</w:t>
      </w:r>
      <w:r>
        <w:rPr>
          <w:rFonts w:hint="eastAsia"/>
          <w:rtl/>
        </w:rPr>
        <w:t>»</w:t>
      </w:r>
      <w:r>
        <w:rPr>
          <w:rFonts w:hint="cs"/>
          <w:rtl/>
        </w:rPr>
        <w:t>.</w:t>
      </w:r>
    </w:p>
  </w:footnote>
  <w:footnote w:id="15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ويمكن أن يضاف إلى هذا جواب آخر، وهو أن هذا الفرع داخل تحت قاعدة أخرى هي أليق به، وهي: </w:t>
      </w:r>
      <w:r>
        <w:rPr>
          <w:rFonts w:hint="eastAsia"/>
          <w:rtl/>
        </w:rPr>
        <w:t>«</w:t>
      </w:r>
      <w:r>
        <w:rPr>
          <w:rFonts w:hint="cs"/>
          <w:rtl/>
        </w:rPr>
        <w:t>التشبّه يقام مقام الحقيقة في موضع العجز</w:t>
      </w:r>
      <w:r>
        <w:rPr>
          <w:rFonts w:hint="eastAsia"/>
          <w:rtl/>
        </w:rPr>
        <w:t>»</w:t>
      </w:r>
      <w:r>
        <w:rPr>
          <w:rFonts w:hint="cs"/>
          <w:rtl/>
        </w:rPr>
        <w:t>.</w:t>
      </w:r>
    </w:p>
    <w:p w:rsidR="00035BE3" w:rsidRDefault="00035BE3" w:rsidP="00C10469">
      <w:pPr>
        <w:pStyle w:val="a6"/>
        <w:ind w:left="422" w:firstLine="0"/>
        <w:rPr>
          <w:rtl/>
        </w:rPr>
      </w:pPr>
      <w:r>
        <w:rPr>
          <w:rFonts w:hint="cs"/>
          <w:rtl/>
        </w:rPr>
        <w:t xml:space="preserve">وهذه القاعدة ذكرها صاحب (العناية) -6/349- في مقام التعليل، وربط بها عددًا من الفروع </w:t>
      </w:r>
      <w:r>
        <w:rPr>
          <w:rtl/>
        </w:rPr>
        <w:br/>
      </w:r>
      <w:r>
        <w:rPr>
          <w:rFonts w:hint="cs"/>
          <w:rtl/>
        </w:rPr>
        <w:t xml:space="preserve">منها: </w:t>
      </w:r>
      <w:r>
        <w:rPr>
          <w:rFonts w:hint="eastAsia"/>
          <w:rtl/>
        </w:rPr>
        <w:t>«</w:t>
      </w:r>
      <w:r>
        <w:rPr>
          <w:rFonts w:hint="cs"/>
          <w:rtl/>
        </w:rPr>
        <w:t>... وإجراء الموسى مقام الحلق في حقِّ من لا شعر له في الحج</w:t>
      </w:r>
      <w:r>
        <w:rPr>
          <w:rFonts w:hint="eastAsia"/>
          <w:rtl/>
        </w:rPr>
        <w:t>»</w:t>
      </w:r>
      <w:r>
        <w:rPr>
          <w:rFonts w:hint="cs"/>
          <w:rtl/>
        </w:rPr>
        <w:t>.</w:t>
      </w:r>
    </w:p>
  </w:footnote>
  <w:footnote w:id="15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كثير من كتب الفقه وقواعده:</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المنثور للزركشي، 1/236؛ الأشباه والنظائر للسيوطي، 1/275؛ ولابن نجيم، ص148؛ غمز عيون البصائر، 1/365؛ الفرائد البهية وشرحاه: الأقمار المضيئة، ص165؛ والمواهب السنية وحاشيتهما : الفوائد الجنية، 2/112 - ولفظ الفرائد : </w:t>
      </w:r>
    </w:p>
    <w:p w:rsidR="00035BE3" w:rsidRDefault="00035BE3" w:rsidP="00C10469">
      <w:pPr>
        <w:pStyle w:val="a6"/>
        <w:ind w:left="422" w:hanging="454"/>
        <w:jc w:val="center"/>
        <w:rPr>
          <w:b/>
          <w:bCs/>
          <w:rtl/>
        </w:rPr>
      </w:pPr>
      <w:r>
        <w:rPr>
          <w:rFonts w:hint="eastAsia"/>
          <w:b/>
          <w:bCs/>
          <w:rtl/>
        </w:rPr>
        <w:t>«</w:t>
      </w:r>
      <w:r>
        <w:rPr>
          <w:rFonts w:hint="cs"/>
          <w:b/>
          <w:bCs/>
          <w:rtl/>
        </w:rPr>
        <w:t>ثـالـثـها التـابـع لا يـتـقـدم        أصـلاً عـلى الـمـتـبوع فيما جزموا</w:t>
      </w:r>
      <w:r>
        <w:rPr>
          <w:rFonts w:hint="eastAsia"/>
          <w:b/>
          <w:bCs/>
          <w:rtl/>
        </w:rPr>
        <w:t>»</w:t>
      </w:r>
      <w:r>
        <w:rPr>
          <w:rFonts w:hint="cs"/>
          <w:b/>
          <w:bCs/>
          <w:rtl/>
        </w:rPr>
        <w:t>؛-</w:t>
      </w:r>
    </w:p>
    <w:p w:rsidR="00035BE3" w:rsidRDefault="00035BE3" w:rsidP="00C10469">
      <w:pPr>
        <w:pStyle w:val="a6"/>
        <w:ind w:left="422" w:firstLine="0"/>
        <w:rPr>
          <w:rtl/>
        </w:rPr>
      </w:pPr>
      <w:r>
        <w:rPr>
          <w:rFonts w:hint="cs"/>
          <w:rtl/>
        </w:rPr>
        <w:t xml:space="preserve">مجامع الحقائق (الخاتمة)، ص45؛ شرح العلائي لقواعد الخادمي، ل15/أ؛ منافع الدقائق، ص315؛ قواعد الفقه للمجدّدي، ص67، قاعدة 70؛ القواعد الفقهية في بابي العبادات والمعاملات لشيخنا د. عبد الله العيسى، ص648 - ولفظه : </w:t>
      </w:r>
      <w:r>
        <w:rPr>
          <w:rFonts w:hint="eastAsia"/>
          <w:rtl/>
        </w:rPr>
        <w:t>«</w:t>
      </w:r>
      <w:r>
        <w:rPr>
          <w:rFonts w:hint="cs"/>
          <w:rtl/>
        </w:rPr>
        <w:t>التابع لا يتقدّم المتبوع</w:t>
      </w:r>
      <w:r>
        <w:rPr>
          <w:rFonts w:hint="eastAsia"/>
          <w:rtl/>
        </w:rPr>
        <w:t>»</w:t>
      </w:r>
      <w:r>
        <w:rPr>
          <w:rFonts w:hint="cs"/>
          <w:rtl/>
        </w:rPr>
        <w:t xml:space="preserve">؛ القواعد والضوابط الفقهية عند ابن تـيميـة، ص383- وقد ذكر لفظ شيخ الإسلام ابن تيمية وهو : </w:t>
      </w:r>
      <w:r>
        <w:rPr>
          <w:rFonts w:hint="eastAsia"/>
          <w:rtl/>
        </w:rPr>
        <w:t>«</w:t>
      </w:r>
      <w:r>
        <w:rPr>
          <w:rFonts w:hint="cs"/>
          <w:rtl/>
        </w:rPr>
        <w:t>التابع المقتدي لا يتقدّم على متبوعه وقدوته</w:t>
      </w:r>
      <w:r>
        <w:rPr>
          <w:rFonts w:hint="eastAsia"/>
          <w:rtl/>
        </w:rPr>
        <w:t>»</w:t>
      </w:r>
      <w:r>
        <w:rPr>
          <w:rFonts w:hint="cs"/>
          <w:rtl/>
        </w:rPr>
        <w:t>، ثم ربطه بلفظ المؤلف-؛ موسوعة القواعد الفقهية، 3/162.</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6"/>
          <w:rtl/>
        </w:rPr>
      </w:pPr>
      <w:r>
        <w:rPr>
          <w:rFonts w:hint="cs"/>
          <w:spacing w:val="6"/>
          <w:rtl/>
        </w:rPr>
        <w:t>المغني لابن قدامة، 1/331، 257؛ مجموع فتاوى شيخ الإسلام ابن تيمية، 23/337؛ مغني المحتاج، 1/272.</w:t>
      </w:r>
    </w:p>
  </w:footnote>
  <w:footnote w:id="1582">
    <w:p w:rsidR="00035BE3" w:rsidRPr="009879C0"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sidRPr="009879C0">
        <w:rPr>
          <w:rFonts w:hint="cs"/>
          <w:spacing w:val="-4"/>
          <w:rtl/>
        </w:rPr>
        <w:t xml:space="preserve">الأشباه والنظائر لابن نجيم، ص148- إلا أنه قال: </w:t>
      </w:r>
      <w:r w:rsidRPr="009879C0">
        <w:rPr>
          <w:rFonts w:hint="eastAsia"/>
          <w:spacing w:val="-4"/>
          <w:rtl/>
        </w:rPr>
        <w:t>«</w:t>
      </w:r>
      <w:r w:rsidRPr="009879C0">
        <w:rPr>
          <w:rFonts w:hint="cs"/>
          <w:spacing w:val="-4"/>
          <w:rtl/>
        </w:rPr>
        <w:t>... على إمامه ...</w:t>
      </w:r>
      <w:r w:rsidRPr="009879C0">
        <w:rPr>
          <w:rFonts w:hint="eastAsia"/>
          <w:spacing w:val="-4"/>
          <w:rtl/>
        </w:rPr>
        <w:t>»</w:t>
      </w:r>
      <w:r w:rsidRPr="009879C0">
        <w:rPr>
          <w:rFonts w:hint="cs"/>
          <w:spacing w:val="-4"/>
          <w:rtl/>
        </w:rPr>
        <w:t xml:space="preserve"> وليس </w:t>
      </w:r>
      <w:r w:rsidRPr="009879C0">
        <w:rPr>
          <w:rFonts w:hint="eastAsia"/>
          <w:spacing w:val="-4"/>
          <w:rtl/>
        </w:rPr>
        <w:t>«</w:t>
      </w:r>
      <w:r w:rsidRPr="009879C0">
        <w:rPr>
          <w:rFonts w:hint="cs"/>
          <w:spacing w:val="-4"/>
          <w:rtl/>
        </w:rPr>
        <w:t>... على الإمام ...</w:t>
      </w:r>
      <w:r w:rsidRPr="009879C0">
        <w:rPr>
          <w:rFonts w:hint="eastAsia"/>
          <w:spacing w:val="-4"/>
          <w:rtl/>
        </w:rPr>
        <w:t>»</w:t>
      </w:r>
      <w:r w:rsidRPr="009879C0">
        <w:rPr>
          <w:rFonts w:hint="cs"/>
          <w:spacing w:val="-4"/>
          <w:rtl/>
        </w:rPr>
        <w:t>.</w:t>
      </w:r>
    </w:p>
    <w:p w:rsidR="00035BE3" w:rsidRDefault="00035BE3" w:rsidP="00C10469">
      <w:pPr>
        <w:pStyle w:val="a6"/>
        <w:ind w:left="422" w:firstLine="0"/>
        <w:rPr>
          <w:rtl/>
        </w:rPr>
      </w:pPr>
      <w:r>
        <w:rPr>
          <w:rFonts w:hint="cs"/>
          <w:rtl/>
        </w:rPr>
        <w:t>كما ورد تخريج المثال على القاعدة في كثير من كتب القواعد الآنف ذكرها كأشباه السيوطي وشرح العلائي ومنافع الدقائق وقواعد المجدّدي وموسوعة القواعد.</w:t>
      </w:r>
    </w:p>
    <w:p w:rsidR="00035BE3" w:rsidRDefault="00035BE3" w:rsidP="00C10469">
      <w:pPr>
        <w:pStyle w:val="a6"/>
        <w:ind w:left="422" w:firstLine="0"/>
        <w:rPr>
          <w:rtl/>
        </w:rPr>
      </w:pPr>
      <w:r>
        <w:rPr>
          <w:rFonts w:hint="cs"/>
          <w:rtl/>
        </w:rPr>
        <w:t>ومن كتب الفقه التي ورد فيها المثال بشقيه أو أحدهما : بدائع الصنائع، 1/138؛ المغـنى لابن قـدامة، 2/131؛ مجموع فتاوى شيخ الإسلام، 23/336-338؛ منار السبيل، 1/122؛ أحكام الإمامة والائتمام في الصلاة للمنيف، ص405-412.</w:t>
      </w:r>
    </w:p>
  </w:footnote>
  <w:footnote w:id="15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المشتركة بين أصول الفقه وقواعده؛ لذا وردت في كثير من كتب القواعد الفقهية وكتب تخريج الفروع على الأصول، كما تطرقت إليها بعض الكتب الأصولية، وورد التعليل بها في طائفة من كتب الفقه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spacing w:line="480" w:lineRule="exact"/>
        <w:ind w:left="422" w:firstLine="0"/>
        <w:rPr>
          <w:rtl/>
        </w:rPr>
      </w:pPr>
      <w:r>
        <w:rPr>
          <w:rFonts w:hint="cs"/>
          <w:rtl/>
        </w:rPr>
        <w:t xml:space="preserve">تقرير القواعد لابن رجب، 3/189 -فقد وردت فيه عرضًا بلفظ: </w:t>
      </w:r>
      <w:r>
        <w:rPr>
          <w:rFonts w:hint="eastAsia"/>
          <w:rtl/>
        </w:rPr>
        <w:t>«</w:t>
      </w:r>
      <w:r>
        <w:rPr>
          <w:rFonts w:hint="cs"/>
          <w:rtl/>
        </w:rPr>
        <w:t>إذا دار الأمر بين التأسيس والتأكيد : فالتأسيس أولى</w:t>
      </w:r>
      <w:r>
        <w:rPr>
          <w:rFonts w:hint="eastAsia"/>
          <w:rtl/>
        </w:rPr>
        <w:t>»</w:t>
      </w:r>
      <w:r>
        <w:rPr>
          <w:rFonts w:hint="cs"/>
          <w:rtl/>
        </w:rPr>
        <w:t xml:space="preserve">-؛ القواعد للحصني، 3/50- وقد عُنون لها بـ (التأسيس والتأكيد)-؛ الأشباه والنظائر للسيوطي، 1/302- ولفظه : </w:t>
      </w:r>
      <w:r>
        <w:rPr>
          <w:rFonts w:hint="eastAsia"/>
          <w:rtl/>
        </w:rPr>
        <w:t>«</w:t>
      </w:r>
      <w:r>
        <w:rPr>
          <w:rFonts w:hint="cs"/>
          <w:rtl/>
        </w:rPr>
        <w:t>التأسيس أولى من التأكيد</w:t>
      </w:r>
      <w:r>
        <w:rPr>
          <w:rFonts w:hint="eastAsia"/>
          <w:rtl/>
        </w:rPr>
        <w:t>»</w:t>
      </w:r>
      <w:r>
        <w:rPr>
          <w:rFonts w:hint="cs"/>
          <w:rtl/>
        </w:rPr>
        <w:t xml:space="preserve">-؛ الأشباه والنظائر لابن نجيم، ص176 - ولفظ المؤلف للقاعدة وجل ما جاء في شرحه لها مذكور في أشباه ابن نجيم-؛ الفرائد البهية وشرحاها: الأقمار المضيئة، ص183؛ والمواهب السنية وحاشيتها : الفوائد الجنية، 2/166؛ درر الحكام شرح مجلة الأحكام، 1/53- ولفظ الفرائد ومن بعده كلفظ أشباه السيوطي؛ الفرائد البهية للحمزاوي، ص21، قاعدة 25- ولفظه : </w:t>
      </w:r>
      <w:r>
        <w:rPr>
          <w:rFonts w:hint="eastAsia"/>
          <w:rtl/>
        </w:rPr>
        <w:t>«</w:t>
      </w:r>
      <w:r>
        <w:rPr>
          <w:rFonts w:hint="cs"/>
          <w:rtl/>
        </w:rPr>
        <w:t>إذا دار الأمر بين التأسيس والتأكيد : تعيَّن الحمل على التأسيس</w:t>
      </w:r>
      <w:r>
        <w:rPr>
          <w:rFonts w:hint="eastAsia"/>
          <w:rtl/>
        </w:rPr>
        <w:t>»</w:t>
      </w:r>
      <w:r>
        <w:rPr>
          <w:rFonts w:hint="cs"/>
          <w:rtl/>
        </w:rPr>
        <w:t xml:space="preserve">-؛ القواعد الفقهية للدكتور الندوي، ص144؛ الوجيز، ص274؛ القاعدة </w:t>
      </w:r>
      <w:r w:rsidRPr="002C5A97">
        <w:rPr>
          <w:rFonts w:hint="cs"/>
          <w:spacing w:val="-2"/>
          <w:rtl/>
        </w:rPr>
        <w:t xml:space="preserve">الكلية: إعمال الكلام أولى من إهماله، ص285- ولفظ الأخيرين كلفظ أشباه السيوطي-؛ </w:t>
      </w:r>
      <w:r>
        <w:rPr>
          <w:rFonts w:hint="cs"/>
          <w:rtl/>
        </w:rPr>
        <w:t xml:space="preserve">موسوعـة </w:t>
      </w:r>
      <w:r w:rsidRPr="00F36528">
        <w:rPr>
          <w:rFonts w:hint="cs"/>
          <w:spacing w:val="-2"/>
          <w:rtl/>
        </w:rPr>
        <w:t>القواعد الفقهية، 1/311؛ 3/151 - وقد ذكر لفظ الفرائد للحمزاوي وأشباه السيوطي-؛</w:t>
      </w:r>
      <w:r>
        <w:rPr>
          <w:rFonts w:hint="cs"/>
          <w:rtl/>
        </w:rPr>
        <w:t xml:space="preserve"> تطبيقات القواعد والضوابط الفقهية للدكتور سعود الغديان، ص964- ولفظه كلفظ أشباه السيوطي-.</w:t>
      </w:r>
    </w:p>
    <w:p w:rsidR="00035BE3" w:rsidRDefault="00035BE3" w:rsidP="00C10469">
      <w:pPr>
        <w:pStyle w:val="a6"/>
        <w:ind w:left="422" w:firstLine="0"/>
        <w:rPr>
          <w:b/>
          <w:bCs/>
          <w:rtl/>
        </w:rPr>
      </w:pPr>
      <w:r>
        <w:rPr>
          <w:rFonts w:hint="cs"/>
          <w:b/>
          <w:bCs/>
          <w:rtl/>
        </w:rPr>
        <w:t xml:space="preserve">ومن كتب التخريج : </w:t>
      </w:r>
    </w:p>
    <w:p w:rsidR="00035BE3" w:rsidRDefault="00035BE3" w:rsidP="00C10469">
      <w:pPr>
        <w:pStyle w:val="a6"/>
        <w:ind w:left="422" w:firstLine="0"/>
        <w:rPr>
          <w:rtl/>
        </w:rPr>
      </w:pPr>
      <w:r>
        <w:rPr>
          <w:rFonts w:hint="cs"/>
          <w:rtl/>
        </w:rPr>
        <w:t>التمهيد للإسنوي، ص167؛ مفتاح الوصول للتلمساني، ص583؛ القواعد لابن اللحام، ص231؛ الوصول إلى قواعد الأصول، 1/192.</w:t>
      </w:r>
    </w:p>
    <w:p w:rsidR="00035BE3" w:rsidRDefault="00035BE3" w:rsidP="00C10469">
      <w:pPr>
        <w:pStyle w:val="a6"/>
        <w:ind w:left="422" w:firstLine="0"/>
        <w:rPr>
          <w:b/>
          <w:bCs/>
          <w:rtl/>
        </w:rPr>
      </w:pPr>
      <w:r>
        <w:rPr>
          <w:rFonts w:hint="cs"/>
          <w:b/>
          <w:bCs/>
          <w:rtl/>
        </w:rPr>
        <w:t>ومن الكتب الأصولية :</w:t>
      </w:r>
    </w:p>
    <w:p w:rsidR="00035BE3" w:rsidRDefault="00035BE3" w:rsidP="00C10469">
      <w:pPr>
        <w:pStyle w:val="a6"/>
        <w:ind w:left="422" w:firstLine="0"/>
        <w:rPr>
          <w:rtl/>
        </w:rPr>
      </w:pPr>
      <w:r>
        <w:rPr>
          <w:rFonts w:hint="cs"/>
          <w:rtl/>
        </w:rPr>
        <w:t xml:space="preserve">المعتمد، 1/173؛ المحصول، 1/95؛ الإحكام للآمدي، 2/205؛ القواعد الأصولية المتعلقة بالأمر والنهي، ص316. </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المقـدمات الممهدات، 1/74؛ الكـافي للنسـفي، ق1، ص808؛ مجموع فتاوى شيخ الإسلام، 31/132، 133؛ العناية، 8/175؛ البحر الرائق، 5/242؛ مغني المحتاج، 2/253.</w:t>
      </w:r>
    </w:p>
  </w:footnote>
  <w:footnote w:id="15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دار</w:t>
      </w:r>
      <w:r>
        <w:rPr>
          <w:rFonts w:hint="eastAsia"/>
          <w:rtl/>
        </w:rPr>
        <w:t>»</w:t>
      </w:r>
      <w:r>
        <w:rPr>
          <w:rFonts w:hint="cs"/>
          <w:rtl/>
        </w:rPr>
        <w:t xml:space="preserve">. وهذا الأولى، وهو الموافق لمصدر هذه العبارة (وهو أشباه ابن نجيم)، حيث جاء فيه: </w:t>
      </w:r>
      <w:r>
        <w:rPr>
          <w:rFonts w:hint="eastAsia"/>
          <w:rtl/>
        </w:rPr>
        <w:t>«</w:t>
      </w:r>
      <w:r>
        <w:rPr>
          <w:rFonts w:hint="cs"/>
          <w:rtl/>
        </w:rPr>
        <w:t>فإذا دار اللفظ بينهما تعيّن ...</w:t>
      </w:r>
      <w:r>
        <w:rPr>
          <w:rFonts w:hint="eastAsia"/>
          <w:rtl/>
        </w:rPr>
        <w:t>»</w:t>
      </w:r>
      <w:r>
        <w:rPr>
          <w:rFonts w:hint="cs"/>
          <w:rtl/>
        </w:rPr>
        <w:t>.</w:t>
      </w:r>
    </w:p>
  </w:footnote>
  <w:footnote w:id="15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18/أ من (ب).</w:t>
      </w:r>
    </w:p>
  </w:footnote>
  <w:footnote w:id="15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27/أ من (أ).</w:t>
      </w:r>
    </w:p>
  </w:footnote>
  <w:footnote w:id="15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الأشباه</w:t>
      </w:r>
      <w:r>
        <w:rPr>
          <w:rtl/>
        </w:rPr>
        <w:t xml:space="preserve"> والنظائر</w:t>
      </w:r>
      <w:r>
        <w:rPr>
          <w:rFonts w:hint="cs"/>
          <w:rtl/>
        </w:rPr>
        <w:t xml:space="preserve"> لابن نجيم، ص176 - مع اختلاف يسير سبقت الإشارة إلى أهمه -.</w:t>
      </w:r>
    </w:p>
    <w:p w:rsidR="00035BE3" w:rsidRDefault="00035BE3" w:rsidP="00C10469">
      <w:pPr>
        <w:pStyle w:val="a6"/>
        <w:ind w:left="422" w:firstLine="0"/>
        <w:rPr>
          <w:rtl/>
        </w:rPr>
      </w:pPr>
      <w:r>
        <w:rPr>
          <w:rFonts w:hint="cs"/>
          <w:rtl/>
        </w:rPr>
        <w:t xml:space="preserve">ونَصُّ كلام الزيلعي في (تبيين الحقائق)- 2/218- : </w:t>
      </w:r>
      <w:r>
        <w:rPr>
          <w:rFonts w:hint="eastAsia"/>
          <w:rtl/>
        </w:rPr>
        <w:t>«</w:t>
      </w:r>
      <w:r>
        <w:rPr>
          <w:rFonts w:hint="cs"/>
          <w:rtl/>
        </w:rPr>
        <w:t>... لأنه خلاف الظاهر فلا يصدقه القاضي؛ كما إذا قال : أنت طالقٌ طالقٌ طالقٌ، وقال : إنما أردتُ به التكرار : صُدِّقَ ديانةً لا قضاءً</w:t>
      </w:r>
      <w:r>
        <w:rPr>
          <w:rFonts w:hint="eastAsia"/>
          <w:rtl/>
        </w:rPr>
        <w:t>»</w:t>
      </w:r>
      <w:r>
        <w:rPr>
          <w:rFonts w:hint="cs"/>
          <w:rtl/>
        </w:rPr>
        <w:t>.</w:t>
      </w:r>
    </w:p>
  </w:footnote>
  <w:footnote w:id="15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يمين</w:t>
      </w:r>
      <w:r>
        <w:rPr>
          <w:rFonts w:hint="eastAsia"/>
          <w:rtl/>
        </w:rPr>
        <w:t>»</w:t>
      </w:r>
      <w:r>
        <w:rPr>
          <w:rFonts w:hint="cs"/>
          <w:rtl/>
        </w:rPr>
        <w:t>.</w:t>
      </w:r>
    </w:p>
  </w:footnote>
  <w:footnote w:id="15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الأشباه</w:t>
      </w:r>
      <w:r>
        <w:rPr>
          <w:rtl/>
        </w:rPr>
        <w:t xml:space="preserve"> والنظائر</w:t>
      </w:r>
      <w:r>
        <w:rPr>
          <w:rFonts w:hint="cs"/>
          <w:rtl/>
        </w:rPr>
        <w:t xml:space="preserve"> لابن نجيم، ص176 -مع اختلاف في بعض الألفاظ-؛ وانظر : الأصل لمحمد بن الحسن، 3/196؛ البحر الرائق، 4/316.</w:t>
      </w:r>
    </w:p>
    <w:p w:rsidR="00035BE3" w:rsidRDefault="00035BE3" w:rsidP="00C10469">
      <w:pPr>
        <w:pStyle w:val="a6"/>
        <w:spacing w:line="480" w:lineRule="exact"/>
        <w:ind w:left="422" w:firstLine="0"/>
        <w:rPr>
          <w:rtl/>
        </w:rPr>
      </w:pPr>
      <w:r>
        <w:rPr>
          <w:rFonts w:hint="cs"/>
          <w:rtl/>
        </w:rPr>
        <w:t xml:space="preserve">علمًا بأن ابن نجيم </w:t>
      </w:r>
      <w:r>
        <w:rPr>
          <w:rtl/>
        </w:rPr>
        <w:t>–</w:t>
      </w:r>
      <w:r>
        <w:rPr>
          <w:rFonts w:hint="cs"/>
          <w:rtl/>
        </w:rPr>
        <w:t>في كتابيه- عزا هذا النصّ إلى (الخلاصة)، وكذلك الحال مع النصين الآتيين وهما: نص (التجريد)، ونص (النوازل).</w:t>
      </w:r>
    </w:p>
  </w:footnote>
  <w:footnote w:id="1590">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التجريد</w:t>
      </w:r>
      <w:r>
        <w:rPr>
          <w:rFonts w:hint="cs"/>
          <w:rtl/>
        </w:rPr>
        <w:t xml:space="preserve"> : هناك أكثر من كتاب في الفقه الحنفي بهذا الاسم؛ كالتجريد للقُدُوري، والتجريد لعبد الرحمن ابن محمد، أبي الفضل المعروف بابن أَمِيروَيْه الكِرْمَانِيّ الحنفي (457-543هـ)، والتجريد في الفروع لمحمود بن أحمد بن مازه البخاري (صاحب المحيط البرهاني)(ت616هـ)، وغيرها.</w:t>
      </w:r>
    </w:p>
    <w:p w:rsidR="00035BE3" w:rsidRDefault="00035BE3" w:rsidP="00C10469">
      <w:pPr>
        <w:pStyle w:val="a6"/>
        <w:ind w:left="422" w:firstLine="0"/>
        <w:rPr>
          <w:rtl/>
        </w:rPr>
      </w:pPr>
      <w:r>
        <w:rPr>
          <w:rFonts w:hint="cs"/>
          <w:rtl/>
        </w:rPr>
        <w:t>ولا استطيع الجزم بأيها المراد هنا؛ ولا سيما أن المؤلف استفاد هذا النفي المعزو إلى (التجريد) من أشباه ابن نجيم، وابن نجيم استفاده من (الخلاصة).</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ولكن الأظهر والله أعلم أن الأول (وهو تجريد القُدُوري) هو المراد؛ لأنه أشهرها، فيكون هو المراد عند الإطلاق؛ لهذا سأكتفي بالتعريف به دون غيره، وذلك على النحو الآتي :</w:t>
      </w:r>
    </w:p>
    <w:p w:rsidR="00035BE3" w:rsidRDefault="00035BE3" w:rsidP="00C10469">
      <w:pPr>
        <w:pStyle w:val="a6"/>
        <w:ind w:left="422" w:firstLine="0"/>
        <w:rPr>
          <w:rtl/>
        </w:rPr>
      </w:pPr>
      <w:r>
        <w:rPr>
          <w:rFonts w:hint="cs"/>
          <w:rtl/>
        </w:rPr>
        <w:t>هو كتاب في الفقه الحنفي، ألّفه أحمد بن محمد بن أحمد، أبو الحسين الفقيه البغدادي المعروف بالقُدُوري، صاحب المختصر المشهور (362هـ-428هـ).</w:t>
      </w:r>
    </w:p>
    <w:p w:rsidR="00035BE3" w:rsidRDefault="00035BE3" w:rsidP="00C10469">
      <w:pPr>
        <w:pStyle w:val="a6"/>
        <w:ind w:left="422" w:firstLine="0"/>
        <w:rPr>
          <w:spacing w:val="-6"/>
          <w:rtl/>
        </w:rPr>
      </w:pPr>
      <w:r>
        <w:rPr>
          <w:rFonts w:hint="cs"/>
          <w:spacing w:val="-6"/>
          <w:rtl/>
        </w:rPr>
        <w:t>والكتاب متضمِّن الخلاف بين أبي حنيفة والشافعي، مجردٌ عن الدلائل، وشرع في إملائه سنة 405هـ.</w:t>
      </w:r>
    </w:p>
    <w:p w:rsidR="00035BE3" w:rsidRDefault="00035BE3" w:rsidP="00C10469">
      <w:pPr>
        <w:pStyle w:val="a6"/>
        <w:ind w:left="422" w:firstLine="0"/>
        <w:rPr>
          <w:spacing w:val="-10"/>
          <w:rtl/>
        </w:rPr>
      </w:pPr>
      <w:r>
        <w:rPr>
          <w:rFonts w:hint="cs"/>
          <w:spacing w:val="-10"/>
          <w:rtl/>
        </w:rPr>
        <w:t>ولا يزال هذا الكتاب مخطوطًا، وقد سجِّل جزآن منه في رسالتين للدكتوراه في المعهد العالي للقضاء في الرياض :</w:t>
      </w:r>
    </w:p>
    <w:p w:rsidR="00035BE3" w:rsidRDefault="00035BE3" w:rsidP="00C10469">
      <w:pPr>
        <w:pStyle w:val="a6"/>
        <w:ind w:left="422" w:firstLine="0"/>
        <w:rPr>
          <w:spacing w:val="-6"/>
          <w:rtl/>
        </w:rPr>
      </w:pPr>
      <w:r>
        <w:rPr>
          <w:rFonts w:hint="cs"/>
          <w:b/>
          <w:bCs/>
          <w:spacing w:val="-6"/>
          <w:rtl/>
        </w:rPr>
        <w:t>إحداهما</w:t>
      </w:r>
      <w:r>
        <w:rPr>
          <w:rFonts w:hint="cs"/>
          <w:spacing w:val="-6"/>
          <w:rtl/>
        </w:rPr>
        <w:t xml:space="preserve"> : من بداية كتاب الطهارة؛ إلى نهاية كتاب الزكاة، للباحث : عبد المحسن آل الشيخ.</w:t>
      </w:r>
    </w:p>
    <w:p w:rsidR="00035BE3" w:rsidRDefault="00035BE3" w:rsidP="00C10469">
      <w:pPr>
        <w:pStyle w:val="a6"/>
        <w:ind w:left="422" w:firstLine="0"/>
        <w:rPr>
          <w:spacing w:val="-6"/>
          <w:rtl/>
        </w:rPr>
      </w:pPr>
      <w:r>
        <w:rPr>
          <w:rFonts w:hint="cs"/>
          <w:b/>
          <w:bCs/>
          <w:spacing w:val="-6"/>
          <w:rtl/>
        </w:rPr>
        <w:t>والثانية</w:t>
      </w:r>
      <w:r>
        <w:rPr>
          <w:rFonts w:hint="cs"/>
          <w:spacing w:val="-6"/>
          <w:rtl/>
        </w:rPr>
        <w:t xml:space="preserve"> : من بداية كتاب الصيام، إلى نهاية كتاب الحج، للباحث : عبد الحكيم المطوّع.</w:t>
      </w:r>
    </w:p>
    <w:p w:rsidR="00035BE3" w:rsidRDefault="00035BE3" w:rsidP="00C10469">
      <w:pPr>
        <w:pStyle w:val="a6"/>
        <w:ind w:left="422" w:firstLine="0"/>
        <w:rPr>
          <w:rtl/>
        </w:rPr>
      </w:pPr>
      <w:r>
        <w:rPr>
          <w:rFonts w:hint="cs"/>
          <w:rtl/>
        </w:rPr>
        <w:t>ومن نسخه الخطية : نسخ المكتبات الآتية :</w:t>
      </w:r>
    </w:p>
    <w:p w:rsidR="00035BE3" w:rsidRDefault="00035BE3" w:rsidP="00C10469">
      <w:pPr>
        <w:pStyle w:val="a6"/>
        <w:ind w:left="422" w:firstLine="0"/>
        <w:rPr>
          <w:rtl/>
        </w:rPr>
      </w:pPr>
      <w:r>
        <w:rPr>
          <w:rFonts w:hint="cs"/>
          <w:b/>
          <w:bCs/>
          <w:rtl/>
        </w:rPr>
        <w:t>1</w:t>
      </w:r>
      <w:r>
        <w:rPr>
          <w:rFonts w:hint="cs"/>
          <w:rtl/>
        </w:rPr>
        <w:t>- مكتبة الملك فهد الوطنية بالرياض، وهي مصورة عن مكتبة برنستون، ورقمها الخاص 151، ورقمها العام 501807.</w:t>
      </w:r>
    </w:p>
    <w:p w:rsidR="00035BE3" w:rsidRDefault="00035BE3" w:rsidP="00C10469">
      <w:pPr>
        <w:pStyle w:val="a6"/>
        <w:ind w:left="422" w:firstLine="0"/>
        <w:rPr>
          <w:rtl/>
        </w:rPr>
      </w:pPr>
      <w:r>
        <w:rPr>
          <w:rFonts w:hint="cs"/>
          <w:b/>
          <w:bCs/>
          <w:rtl/>
        </w:rPr>
        <w:t>2</w:t>
      </w:r>
      <w:r>
        <w:rPr>
          <w:rFonts w:hint="cs"/>
          <w:rtl/>
        </w:rPr>
        <w:t>-</w:t>
      </w:r>
      <w:r>
        <w:rPr>
          <w:rFonts w:hint="cs"/>
          <w:b/>
          <w:bCs/>
          <w:rtl/>
        </w:rPr>
        <w:t>3</w:t>
      </w:r>
      <w:r>
        <w:rPr>
          <w:rFonts w:hint="cs"/>
          <w:rtl/>
        </w:rPr>
        <w:t>- جامعة الإمام محمد بن بن سعود الإسلامية بالرياض، ورقمهما  3523ف و 3571ف.</w:t>
      </w:r>
    </w:p>
    <w:p w:rsidR="00035BE3" w:rsidRDefault="00035BE3" w:rsidP="00C10469">
      <w:pPr>
        <w:pStyle w:val="a6"/>
        <w:ind w:left="422" w:firstLine="0"/>
        <w:rPr>
          <w:rtl/>
        </w:rPr>
      </w:pPr>
      <w:r>
        <w:rPr>
          <w:rFonts w:hint="cs"/>
          <w:b/>
          <w:bCs/>
          <w:rtl/>
        </w:rPr>
        <w:t>4</w:t>
      </w:r>
      <w:r>
        <w:rPr>
          <w:rFonts w:hint="cs"/>
          <w:rtl/>
        </w:rPr>
        <w:t>-</w:t>
      </w:r>
      <w:r>
        <w:rPr>
          <w:rFonts w:hint="cs"/>
          <w:b/>
          <w:bCs/>
          <w:rtl/>
        </w:rPr>
        <w:t>6</w:t>
      </w:r>
      <w:r>
        <w:rPr>
          <w:rFonts w:hint="cs"/>
          <w:rtl/>
        </w:rPr>
        <w:t>- الجامعة الإسلامية بالمدينة النبوية، وتشكل كل نسخة جزءًا مستقلاً، وأرقامها 8496/1، 8496/2، 8497.</w:t>
      </w:r>
    </w:p>
    <w:p w:rsidR="00035BE3" w:rsidRDefault="00035BE3" w:rsidP="00C10469">
      <w:pPr>
        <w:pStyle w:val="a6"/>
        <w:ind w:left="422" w:firstLine="0"/>
        <w:rPr>
          <w:rtl/>
        </w:rPr>
      </w:pPr>
      <w:r>
        <w:rPr>
          <w:rFonts w:hint="cs"/>
          <w:rtl/>
        </w:rPr>
        <w:t>وهذه النسخ مصورة من مكتبة أحمد الثالث باستانبول، وأرقامها 981، 982، 982 (أيضًا).</w:t>
      </w:r>
    </w:p>
    <w:p w:rsidR="00035BE3" w:rsidRDefault="00035BE3" w:rsidP="00C10469">
      <w:pPr>
        <w:pStyle w:val="a6"/>
        <w:ind w:left="422" w:firstLine="0"/>
        <w:rPr>
          <w:rtl/>
        </w:rPr>
      </w:pPr>
      <w:r>
        <w:rPr>
          <w:rFonts w:hint="cs"/>
          <w:b/>
          <w:bCs/>
          <w:rtl/>
        </w:rPr>
        <w:t>7</w:t>
      </w:r>
      <w:r>
        <w:rPr>
          <w:rFonts w:hint="cs"/>
          <w:rtl/>
        </w:rPr>
        <w:t>- الجامعة الإسلامية أيضًا، ورقمها  8516، وهي مصورة عن مكتبة تشستربيتي في دبلن بايرلندا برقم 3571. وهي تشكل الجزء الثاني، أما الجزء الأول فرقمه في تـشستربيتي  3523.</w:t>
      </w:r>
    </w:p>
    <w:p w:rsidR="00035BE3" w:rsidRDefault="00035BE3" w:rsidP="00C10469">
      <w:pPr>
        <w:pStyle w:val="a6"/>
        <w:ind w:left="422" w:firstLine="0"/>
        <w:rPr>
          <w:rtl/>
        </w:rPr>
      </w:pPr>
      <w:r>
        <w:rPr>
          <w:rFonts w:hint="cs"/>
          <w:b/>
          <w:bCs/>
          <w:rtl/>
        </w:rPr>
        <w:t>8</w:t>
      </w:r>
      <w:r>
        <w:rPr>
          <w:rFonts w:hint="cs"/>
          <w:rtl/>
        </w:rPr>
        <w:t>- مكتبة نور عثمانية باستانبول، برقم 1405.</w:t>
      </w:r>
    </w:p>
    <w:p w:rsidR="00035BE3" w:rsidRDefault="00035BE3" w:rsidP="00C10469">
      <w:pPr>
        <w:pStyle w:val="a6"/>
        <w:ind w:left="422" w:firstLine="0"/>
        <w:rPr>
          <w:rtl/>
        </w:rPr>
      </w:pPr>
      <w:r>
        <w:rPr>
          <w:rFonts w:hint="cs"/>
          <w:b/>
          <w:bCs/>
          <w:rtl/>
        </w:rPr>
        <w:t>9</w:t>
      </w:r>
      <w:r>
        <w:rPr>
          <w:rFonts w:hint="cs"/>
          <w:rtl/>
        </w:rPr>
        <w:t>- مكتبة السليمانية باستنبول، فهرس الفاتح، برقم 2040.</w:t>
      </w:r>
    </w:p>
    <w:p w:rsidR="00035BE3" w:rsidRDefault="00035BE3" w:rsidP="00C10469">
      <w:pPr>
        <w:pStyle w:val="a6"/>
        <w:ind w:left="422" w:firstLine="0"/>
        <w:rPr>
          <w:rtl/>
        </w:rPr>
      </w:pPr>
      <w:r>
        <w:rPr>
          <w:rFonts w:hint="cs"/>
          <w:b/>
          <w:bCs/>
          <w:rtl/>
        </w:rPr>
        <w:t>10</w:t>
      </w:r>
      <w:r>
        <w:rPr>
          <w:rFonts w:hint="cs"/>
          <w:rtl/>
        </w:rPr>
        <w:t xml:space="preserve"> </w:t>
      </w:r>
      <w:r>
        <w:rPr>
          <w:rtl/>
        </w:rPr>
        <w:t>–</w:t>
      </w:r>
      <w:r>
        <w:rPr>
          <w:rFonts w:hint="cs"/>
          <w:rtl/>
        </w:rPr>
        <w:t xml:space="preserve"> مكتبة مركز جمعة الماجد بدبي، رقم 780 (وهو من بداية الكتاب إلى نهاية كتاب الصوم).</w:t>
      </w:r>
    </w:p>
    <w:p w:rsidR="00035BE3" w:rsidRDefault="00035BE3" w:rsidP="00C10469">
      <w:pPr>
        <w:pStyle w:val="a6"/>
        <w:spacing w:line="460" w:lineRule="exact"/>
        <w:ind w:left="422" w:firstLine="0"/>
        <w:rPr>
          <w:rtl/>
        </w:rPr>
      </w:pPr>
      <w:r>
        <w:rPr>
          <w:rFonts w:hint="cs"/>
          <w:rtl/>
        </w:rPr>
        <w:t>انظر : الجواهر المضية، 1/247-250، رقم 179؛ تاج التراجم، ص19-20، رقم 17؛ مفتاح السعادة، 2/253-255؛ كشف الظنون، 1/346؛ الفوائد البهية، ص30-31؛ الفكر السامي في تاريخ الفقه الإسلامي، 2/206؛ تاريخ التراث العربي، المجلد الأول، جـ3، ص123؛ فهرس كتب الفقه الحنفي والمالكي بالجامعة الإسلامية، ص82-84.</w:t>
      </w:r>
    </w:p>
    <w:p w:rsidR="00035BE3" w:rsidRDefault="00035BE3" w:rsidP="00C10469">
      <w:pPr>
        <w:pStyle w:val="a6"/>
        <w:spacing w:line="460" w:lineRule="exact"/>
        <w:ind w:left="422" w:firstLine="0"/>
        <w:rPr>
          <w:spacing w:val="6"/>
          <w:rtl/>
        </w:rPr>
      </w:pPr>
      <w:r>
        <w:rPr>
          <w:rFonts w:hint="cs"/>
          <w:spacing w:val="6"/>
          <w:rtl/>
        </w:rPr>
        <w:t xml:space="preserve">وانظر ما يتعلق بكتاب (التجريد) لابن أميرويه إلى: الجواهر المضية، 2/388-389، رقم </w:t>
      </w:r>
      <w:r w:rsidRPr="007D2A50">
        <w:rPr>
          <w:rFonts w:hint="cs"/>
          <w:spacing w:val="2"/>
          <w:rtl/>
        </w:rPr>
        <w:t xml:space="preserve">781؛ تاج التراجم، ص122، رقم 138؛ مفتاح السعادة، 2/257 </w:t>
      </w:r>
      <w:r w:rsidRPr="007D2A50">
        <w:rPr>
          <w:spacing w:val="2"/>
          <w:rtl/>
        </w:rPr>
        <w:t>–</w:t>
      </w:r>
      <w:r w:rsidRPr="007D2A50">
        <w:rPr>
          <w:rFonts w:hint="cs"/>
          <w:spacing w:val="2"/>
          <w:rtl/>
        </w:rPr>
        <w:t xml:space="preserve"> وفـيـه أن اسم </w:t>
      </w:r>
      <w:r>
        <w:rPr>
          <w:rFonts w:hint="cs"/>
          <w:spacing w:val="6"/>
          <w:rtl/>
        </w:rPr>
        <w:t>المؤلف عبد الله وليس عبد الرحمن - كشف الظنون، 1/345 -وقد سماه : (التجريد الركني)، وذلك نسبة إلى لقبه : ركن الدين-؛ الفوائد البهية، ص91-92.</w:t>
      </w:r>
    </w:p>
    <w:p w:rsidR="00035BE3" w:rsidRDefault="00035BE3" w:rsidP="00C10469">
      <w:pPr>
        <w:pStyle w:val="a6"/>
        <w:spacing w:line="490" w:lineRule="exact"/>
        <w:ind w:left="422" w:firstLine="0"/>
        <w:rPr>
          <w:spacing w:val="-6"/>
          <w:rtl/>
        </w:rPr>
      </w:pPr>
      <w:r>
        <w:rPr>
          <w:rFonts w:hint="cs"/>
          <w:spacing w:val="-6"/>
          <w:rtl/>
        </w:rPr>
        <w:t>وانظر ما يتعلق بالتجريد لابن مازه : المراجع التي سبق ذكرها عند ترجمة ابن مازه، وذلك ص387.</w:t>
      </w:r>
    </w:p>
  </w:footnote>
  <w:footnote w:id="1591">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المجاليس</w:t>
      </w:r>
      <w:r>
        <w:rPr>
          <w:rFonts w:hint="eastAsia"/>
          <w:rtl/>
        </w:rPr>
        <w:t>»</w:t>
      </w:r>
      <w:r>
        <w:rPr>
          <w:rFonts w:hint="cs"/>
          <w:rtl/>
        </w:rPr>
        <w:t>.</w:t>
      </w:r>
    </w:p>
  </w:footnote>
  <w:footnote w:id="1592">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فيه</w:t>
      </w:r>
      <w:r>
        <w:rPr>
          <w:rFonts w:hint="eastAsia"/>
          <w:rtl/>
        </w:rPr>
        <w:t>»</w:t>
      </w:r>
      <w:r>
        <w:rPr>
          <w:rFonts w:hint="cs"/>
          <w:rtl/>
        </w:rPr>
        <w:t xml:space="preserve"> : زيادة من (ب) و(د)، وهي مثبتة في أشباه ابن نجيم، لهذا تم إثباتها.</w:t>
      </w:r>
    </w:p>
  </w:footnote>
  <w:footnote w:id="1593">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لو</w:t>
      </w:r>
      <w:r>
        <w:rPr>
          <w:rFonts w:hint="eastAsia"/>
          <w:rtl/>
        </w:rPr>
        <w:t>»</w:t>
      </w:r>
      <w:r>
        <w:rPr>
          <w:rFonts w:hint="cs"/>
          <w:rtl/>
        </w:rPr>
        <w:t xml:space="preserve"> : زيادة من (هـ) و(و) ومن أشباه ابن نجيم، ولا يستقيم المعنى بدونها.</w:t>
      </w:r>
    </w:p>
  </w:footnote>
  <w:footnote w:id="1594">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قال</w:t>
      </w:r>
      <w:r>
        <w:rPr>
          <w:rFonts w:hint="eastAsia"/>
          <w:rtl/>
        </w:rPr>
        <w:t>»</w:t>
      </w:r>
      <w:r>
        <w:rPr>
          <w:rFonts w:hint="cs"/>
          <w:rtl/>
        </w:rPr>
        <w:t xml:space="preserve"> : زيادة من (ب) و(د)، وهي مثبتة في أشباه ابن نجيم أيضًا، حيث جاء فيه : </w:t>
      </w:r>
      <w:r>
        <w:rPr>
          <w:rFonts w:hint="eastAsia"/>
          <w:rtl/>
        </w:rPr>
        <w:t>«</w:t>
      </w:r>
      <w:r>
        <w:rPr>
          <w:rFonts w:hint="cs"/>
          <w:rtl/>
        </w:rPr>
        <w:t>وفي (الأصل) أيضًا: لو قال هو يهودي وهو ... فهو يمين واحد</w:t>
      </w:r>
      <w:r>
        <w:rPr>
          <w:rFonts w:hint="eastAsia"/>
          <w:rtl/>
        </w:rPr>
        <w:t>»</w:t>
      </w:r>
      <w:r>
        <w:rPr>
          <w:rFonts w:hint="cs"/>
          <w:rtl/>
        </w:rPr>
        <w:t>.</w:t>
      </w:r>
    </w:p>
  </w:footnote>
  <w:footnote w:id="1595">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فيهما</w:t>
      </w:r>
      <w:r>
        <w:rPr>
          <w:rFonts w:hint="eastAsia"/>
          <w:rtl/>
        </w:rPr>
        <w:t>»</w:t>
      </w:r>
      <w:r>
        <w:rPr>
          <w:rFonts w:hint="cs"/>
          <w:rtl/>
        </w:rPr>
        <w:t>.</w:t>
      </w:r>
    </w:p>
  </w:footnote>
  <w:footnote w:id="1596">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لأنه</w:t>
      </w:r>
      <w:r>
        <w:rPr>
          <w:rFonts w:hint="eastAsia"/>
          <w:rtl/>
        </w:rPr>
        <w:t>»</w:t>
      </w:r>
      <w:r>
        <w:rPr>
          <w:rFonts w:hint="cs"/>
          <w:rtl/>
        </w:rPr>
        <w:t>. والصحيح ما تمَّ إثباته من (ب) و(د).</w:t>
      </w:r>
    </w:p>
    <w:p w:rsidR="00035BE3" w:rsidRDefault="00035BE3" w:rsidP="00C10469">
      <w:pPr>
        <w:pStyle w:val="a6"/>
        <w:spacing w:line="490" w:lineRule="exact"/>
        <w:ind w:left="422" w:firstLine="0"/>
        <w:rPr>
          <w:rtl/>
        </w:rPr>
      </w:pPr>
      <w:r>
        <w:rPr>
          <w:rFonts w:hint="cs"/>
          <w:rtl/>
        </w:rPr>
        <w:t>وهذا التعليل غير مثبت في أشباه ابن نجيم، وكذلك الحال مع تعليل المسألة السابقة.</w:t>
      </w:r>
    </w:p>
  </w:footnote>
  <w:footnote w:id="1597">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والتأكيد، فيرجح التأسيس</w:t>
      </w:r>
      <w:r>
        <w:rPr>
          <w:rFonts w:hint="eastAsia"/>
          <w:rtl/>
        </w:rPr>
        <w:t>»</w:t>
      </w:r>
      <w:r>
        <w:rPr>
          <w:rFonts w:hint="cs"/>
          <w:rtl/>
        </w:rPr>
        <w:t xml:space="preserve"> : ساقطة من (ب).</w:t>
      </w:r>
    </w:p>
  </w:footnote>
  <w:footnote w:id="1598">
    <w:p w:rsidR="00035BE3" w:rsidRDefault="00035BE3" w:rsidP="00C10469">
      <w:pPr>
        <w:pStyle w:val="a8"/>
        <w:bidi/>
        <w:spacing w:line="49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الأشباه</w:t>
      </w:r>
      <w:r>
        <w:rPr>
          <w:rtl/>
        </w:rPr>
        <w:t xml:space="preserve"> والنظائر</w:t>
      </w:r>
      <w:r>
        <w:rPr>
          <w:rFonts w:hint="cs"/>
          <w:rtl/>
        </w:rPr>
        <w:t xml:space="preserve"> لابن نجيم، ص176 - مع اختلاف سبقت الإشارة إليه- وانظر : فتح القدير، 4/199، 5/79؛ البحر الرائق، 4/316.</w:t>
      </w:r>
    </w:p>
    <w:p w:rsidR="00035BE3" w:rsidRDefault="00035BE3" w:rsidP="00C10469">
      <w:pPr>
        <w:pStyle w:val="a6"/>
        <w:ind w:left="422" w:firstLine="0"/>
        <w:rPr>
          <w:spacing w:val="-6"/>
          <w:rtl/>
        </w:rPr>
      </w:pPr>
      <w:r w:rsidRPr="00B86AA7">
        <w:rPr>
          <w:rFonts w:hint="cs"/>
          <w:spacing w:val="-8"/>
          <w:rtl/>
        </w:rPr>
        <w:t xml:space="preserve">علمًا بأن المسألة الثانية معزوّة عندهم إلى (الأصل) (وهي المصدرة بقوله: </w:t>
      </w:r>
      <w:r w:rsidRPr="00B86AA7">
        <w:rPr>
          <w:rFonts w:hint="eastAsia"/>
          <w:spacing w:val="-8"/>
          <w:rtl/>
        </w:rPr>
        <w:t>«</w:t>
      </w:r>
      <w:r w:rsidRPr="00B86AA7">
        <w:rPr>
          <w:rFonts w:hint="cs"/>
          <w:spacing w:val="-8"/>
          <w:rtl/>
        </w:rPr>
        <w:t>ولو قال هو يهودي...</w:t>
      </w:r>
      <w:r w:rsidRPr="00B86AA7">
        <w:rPr>
          <w:rFonts w:hint="eastAsia"/>
          <w:spacing w:val="-8"/>
          <w:rtl/>
        </w:rPr>
        <w:t>»</w:t>
      </w:r>
      <w:r w:rsidRPr="00B86AA7">
        <w:rPr>
          <w:rFonts w:hint="cs"/>
          <w:spacing w:val="-8"/>
          <w:rtl/>
        </w:rPr>
        <w:t xml:space="preserve">) أما </w:t>
      </w:r>
      <w:r>
        <w:rPr>
          <w:rFonts w:hint="cs"/>
          <w:spacing w:val="-6"/>
          <w:rtl/>
        </w:rPr>
        <w:t>الأولى فإلى (التجريد). وقد بحثت عن موضعها من التجريد في ثلاث نسخ خطية (تمثل أجزاء متفرقة) ولم أجده.</w:t>
      </w:r>
    </w:p>
  </w:footnote>
  <w:footnote w:id="15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النوازل</w:t>
      </w:r>
      <w:r>
        <w:rPr>
          <w:rFonts w:hint="cs"/>
          <w:rtl/>
        </w:rPr>
        <w:t xml:space="preserve"> : كتاب ألّفه نصر بن محمد بن أحمد بن إبراهيم، أبو الليث السمرقندي (ت373هـ).</w:t>
      </w:r>
      <w:r>
        <w:rPr>
          <w:rFonts w:hint="cs"/>
          <w:rtl/>
        </w:rPr>
        <w:tab/>
        <w:t xml:space="preserve">  </w:t>
      </w:r>
    </w:p>
    <w:p w:rsidR="00035BE3" w:rsidRDefault="00035BE3" w:rsidP="00C10469">
      <w:pPr>
        <w:pStyle w:val="a6"/>
        <w:ind w:left="422" w:firstLine="0"/>
        <w:rPr>
          <w:spacing w:val="-10"/>
          <w:rtl/>
        </w:rPr>
      </w:pPr>
      <w:r>
        <w:rPr>
          <w:rFonts w:hint="cs"/>
          <w:spacing w:val="-10"/>
          <w:rtl/>
        </w:rPr>
        <w:t xml:space="preserve">وهو كتاب في الفقه الحنفي، صرّح مؤلفه في مقدمته بأنه </w:t>
      </w:r>
      <w:r>
        <w:rPr>
          <w:rFonts w:hint="eastAsia"/>
          <w:spacing w:val="-10"/>
          <w:rtl/>
        </w:rPr>
        <w:t>«</w:t>
      </w:r>
      <w:r>
        <w:rPr>
          <w:rFonts w:hint="cs"/>
          <w:spacing w:val="-10"/>
          <w:rtl/>
        </w:rPr>
        <w:t>جمعه من أقاويل المشايخ وشيئًا من أقاويل أصحابنا</w:t>
      </w:r>
      <w:r>
        <w:rPr>
          <w:rFonts w:hint="eastAsia"/>
          <w:spacing w:val="-10"/>
          <w:rtl/>
        </w:rPr>
        <w:t>»</w:t>
      </w:r>
      <w:r>
        <w:rPr>
          <w:rFonts w:hint="cs"/>
          <w:spacing w:val="-10"/>
          <w:rtl/>
        </w:rPr>
        <w:t>.</w:t>
      </w:r>
    </w:p>
    <w:p w:rsidR="00035BE3" w:rsidRDefault="00035BE3" w:rsidP="00C10469">
      <w:pPr>
        <w:pStyle w:val="a6"/>
        <w:ind w:left="422" w:firstLine="0"/>
        <w:rPr>
          <w:rtl/>
        </w:rPr>
      </w:pPr>
      <w:r>
        <w:rPr>
          <w:rFonts w:hint="cs"/>
          <w:rtl/>
        </w:rPr>
        <w:t>وقد عدّه صاحب (مفتاح السعادة) من بين الكتب المعتبرة.</w:t>
      </w:r>
    </w:p>
    <w:p w:rsidR="00035BE3" w:rsidRDefault="00035BE3" w:rsidP="00C10469">
      <w:pPr>
        <w:pStyle w:val="a6"/>
        <w:ind w:left="422" w:firstLine="0"/>
        <w:rPr>
          <w:rtl/>
        </w:rPr>
      </w:pPr>
      <w:r>
        <w:rPr>
          <w:rFonts w:hint="cs"/>
          <w:rtl/>
        </w:rPr>
        <w:t>وقد طبع الكتاب عام 1355، بمطبعة شمس الإسلام بحيدر أباد الدكن.</w:t>
      </w:r>
    </w:p>
    <w:p w:rsidR="00035BE3" w:rsidRDefault="00035BE3" w:rsidP="00C10469">
      <w:pPr>
        <w:pStyle w:val="a6"/>
        <w:ind w:left="422" w:firstLine="0"/>
        <w:rPr>
          <w:rtl/>
        </w:rPr>
      </w:pPr>
      <w:r>
        <w:rPr>
          <w:rFonts w:hint="cs"/>
          <w:rtl/>
        </w:rPr>
        <w:t xml:space="preserve">انظر : كشف الظنون، 2/1981؛ مفتاح السعادة، 2/251؛ وانظر في نسبة الكتاب للمؤلف: الجواهر المضية، 3/544، رقم 1743؛ تاج التراجم، ص275، رقم 308؛ الفوائد البهية، ص220؛ هدية العارفين، 2/490. </w:t>
      </w:r>
    </w:p>
  </w:footnote>
  <w:footnote w:id="16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قال</w:t>
      </w:r>
      <w:r>
        <w:rPr>
          <w:rFonts w:hint="eastAsia"/>
          <w:rtl/>
        </w:rPr>
        <w:t>»</w:t>
      </w:r>
      <w:r>
        <w:rPr>
          <w:rFonts w:hint="cs"/>
          <w:rtl/>
        </w:rPr>
        <w:t xml:space="preserve"> : ساقطة من (جـ).</w:t>
      </w:r>
    </w:p>
  </w:footnote>
  <w:footnote w:id="16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والله</w:t>
      </w:r>
      <w:r>
        <w:rPr>
          <w:rFonts w:hint="eastAsia"/>
          <w:rtl/>
        </w:rPr>
        <w:t>»</w:t>
      </w:r>
      <w:r>
        <w:rPr>
          <w:rFonts w:hint="cs"/>
          <w:rtl/>
        </w:rPr>
        <w:t xml:space="preserve"> : كلمة ساقطة من (جـ).</w:t>
      </w:r>
    </w:p>
  </w:footnote>
  <w:footnote w:id="16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بعد</w:t>
      </w:r>
      <w:r>
        <w:rPr>
          <w:rFonts w:hint="eastAsia"/>
          <w:rtl/>
        </w:rPr>
        <w:t>»</w:t>
      </w:r>
      <w:r>
        <w:rPr>
          <w:rFonts w:hint="cs"/>
          <w:rtl/>
        </w:rPr>
        <w:t xml:space="preserve"> : ساقطة من (جـ).</w:t>
      </w:r>
    </w:p>
  </w:footnote>
  <w:footnote w:id="16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21/أ من (جـ).</w:t>
      </w:r>
    </w:p>
  </w:footnote>
  <w:footnote w:id="16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وكذا</w:t>
      </w:r>
      <w:r>
        <w:rPr>
          <w:rFonts w:hint="eastAsia"/>
          <w:rtl/>
        </w:rPr>
        <w:t>»</w:t>
      </w:r>
      <w:r>
        <w:rPr>
          <w:rFonts w:hint="cs"/>
          <w:rtl/>
        </w:rPr>
        <w:t>.</w:t>
      </w:r>
    </w:p>
  </w:footnote>
  <w:footnote w:id="16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ص176 -مع اختلاف يسير-؛ وانظر : فتح القدير، 4/199، 5/79؛ البحر الرائق، 4/316. وهذه المسألة المعزوّة إلى (النوازل) بحثت عنها فيه ولم أقف عليها.</w:t>
      </w:r>
    </w:p>
    <w:p w:rsidR="00035BE3" w:rsidRDefault="00035BE3" w:rsidP="00C10469">
      <w:pPr>
        <w:pStyle w:val="a6"/>
        <w:ind w:left="422" w:firstLine="0"/>
        <w:rPr>
          <w:rtl/>
        </w:rPr>
      </w:pPr>
      <w:r>
        <w:rPr>
          <w:rFonts w:hint="cs"/>
          <w:spacing w:val="4"/>
          <w:rtl/>
        </w:rPr>
        <w:t>وأما قوله :</w:t>
      </w:r>
      <w:r>
        <w:rPr>
          <w:rFonts w:hint="eastAsia"/>
          <w:spacing w:val="4"/>
          <w:rtl/>
        </w:rPr>
        <w:t xml:space="preserve"> «</w:t>
      </w:r>
      <w:r>
        <w:rPr>
          <w:rFonts w:hint="cs"/>
          <w:spacing w:val="4"/>
          <w:rtl/>
        </w:rPr>
        <w:t>كذا في الخلاصة</w:t>
      </w:r>
      <w:r>
        <w:rPr>
          <w:rFonts w:hint="eastAsia"/>
          <w:spacing w:val="4"/>
          <w:rtl/>
        </w:rPr>
        <w:t>»</w:t>
      </w:r>
      <w:r>
        <w:rPr>
          <w:rFonts w:hint="cs"/>
          <w:spacing w:val="4"/>
          <w:rtl/>
        </w:rPr>
        <w:t xml:space="preserve"> فيراد به ما جاء في شرح القاعدة من قوله : </w:t>
      </w:r>
      <w:r>
        <w:rPr>
          <w:rFonts w:hint="eastAsia"/>
          <w:spacing w:val="4"/>
          <w:rtl/>
        </w:rPr>
        <w:t>«</w:t>
      </w:r>
      <w:r>
        <w:rPr>
          <w:rFonts w:hint="cs"/>
          <w:spacing w:val="4"/>
          <w:rtl/>
        </w:rPr>
        <w:t>إذا حلف على أمر لا يفعله ...</w:t>
      </w:r>
      <w:r>
        <w:rPr>
          <w:rFonts w:hint="eastAsia"/>
          <w:spacing w:val="4"/>
          <w:rtl/>
        </w:rPr>
        <w:t>»</w:t>
      </w:r>
      <w:r>
        <w:rPr>
          <w:rFonts w:hint="cs"/>
          <w:spacing w:val="4"/>
          <w:rtl/>
        </w:rPr>
        <w:t xml:space="preserve"> إلى آخر القاعدة - </w:t>
      </w:r>
      <w:r>
        <w:rPr>
          <w:rFonts w:hint="cs"/>
          <w:rtl/>
        </w:rPr>
        <w:t>حيث جاء ذلك في الخلاصة، 2/128. وأيضاً</w:t>
      </w:r>
      <w:r>
        <w:rPr>
          <w:rFonts w:hint="cs"/>
          <w:spacing w:val="4"/>
          <w:rtl/>
        </w:rPr>
        <w:t xml:space="preserve"> صرّح بذلك ابن نجيم في أشباهه وفي البحر-.</w:t>
      </w:r>
    </w:p>
  </w:footnote>
  <w:footnote w:id="16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فصل</w:t>
      </w:r>
      <w:r>
        <w:rPr>
          <w:rFonts w:hint="eastAsia"/>
          <w:rtl/>
        </w:rPr>
        <w:t>»</w:t>
      </w:r>
      <w:r>
        <w:rPr>
          <w:rFonts w:hint="cs"/>
          <w:rtl/>
        </w:rPr>
        <w:t>. والصحيح ما تم إثباته من (ب) و(د) و(و).</w:t>
      </w:r>
    </w:p>
  </w:footnote>
  <w:footnote w:id="16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27/ب من (أ).</w:t>
      </w:r>
    </w:p>
  </w:footnote>
  <w:footnote w:id="160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معنى القاعدة </w:t>
      </w:r>
      <w:r>
        <w:rPr>
          <w:rFonts w:hint="cs"/>
          <w:rtl/>
        </w:rPr>
        <w:t xml:space="preserve">: </w:t>
      </w:r>
    </w:p>
    <w:p w:rsidR="00035BE3" w:rsidRDefault="00035BE3" w:rsidP="00C10469">
      <w:pPr>
        <w:pStyle w:val="a6"/>
        <w:spacing w:line="420" w:lineRule="exact"/>
        <w:ind w:left="422" w:firstLine="0"/>
        <w:rPr>
          <w:rtl/>
        </w:rPr>
      </w:pPr>
      <w:r>
        <w:rPr>
          <w:rFonts w:hint="cs"/>
          <w:rtl/>
        </w:rPr>
        <w:t>أن الشيء إذا كان يغلب على الظنّ أنه سيسقط قريبًا، وأتى مكلّف وتسبّب في تعجيل إسقاطه : فإن فعله هذا يكون بمثابة الإتلاف لهذا الشيء؛ فيجب الضمان.</w:t>
      </w:r>
    </w:p>
    <w:p w:rsidR="00035BE3" w:rsidRDefault="00035BE3" w:rsidP="00C10469">
      <w:pPr>
        <w:pStyle w:val="a6"/>
        <w:spacing w:line="420" w:lineRule="exact"/>
        <w:ind w:left="422" w:firstLine="0"/>
        <w:rPr>
          <w:rtl/>
        </w:rPr>
      </w:pPr>
      <w:r>
        <w:rPr>
          <w:rFonts w:hint="cs"/>
          <w:b/>
          <w:bCs/>
          <w:rtl/>
        </w:rPr>
        <w:t>أما توثيقها</w:t>
      </w:r>
      <w:r>
        <w:rPr>
          <w:rFonts w:hint="cs"/>
          <w:rtl/>
        </w:rPr>
        <w:t xml:space="preserve"> : </w:t>
      </w:r>
    </w:p>
    <w:p w:rsidR="00035BE3" w:rsidRDefault="00035BE3" w:rsidP="00C10469">
      <w:pPr>
        <w:pStyle w:val="a6"/>
        <w:spacing w:line="420" w:lineRule="exact"/>
        <w:ind w:left="422" w:firstLine="0"/>
        <w:rPr>
          <w:rtl/>
        </w:rPr>
      </w:pPr>
      <w:r>
        <w:rPr>
          <w:rFonts w:hint="cs"/>
          <w:rtl/>
        </w:rPr>
        <w:t xml:space="preserve">فقد وردت بنحو هذا اللفظ في كثير من كتب </w:t>
      </w:r>
      <w:r>
        <w:rPr>
          <w:rFonts w:hint="cs"/>
          <w:b/>
          <w:bCs/>
          <w:rtl/>
        </w:rPr>
        <w:t>الفقه الحنفي</w:t>
      </w:r>
      <w:r>
        <w:rPr>
          <w:rFonts w:hint="cs"/>
          <w:rtl/>
        </w:rPr>
        <w:t>، منها :</w:t>
      </w:r>
    </w:p>
    <w:p w:rsidR="00035BE3" w:rsidRDefault="00035BE3" w:rsidP="00C10469">
      <w:pPr>
        <w:pStyle w:val="a6"/>
        <w:spacing w:line="420" w:lineRule="exact"/>
        <w:ind w:left="422" w:firstLine="0"/>
        <w:rPr>
          <w:rtl/>
        </w:rPr>
      </w:pPr>
      <w:r>
        <w:rPr>
          <w:rFonts w:hint="cs"/>
          <w:rtl/>
        </w:rPr>
        <w:t>المبسوط، 17/4؛ بدائع الصنائع، 4/12؛ الهداية وشرحاها : العناية وفتح القدير، 3/322، 458، 459، 6/502، 7/490؛ تبيين الحقائق، 2/186؛ البحر الرائق، 7/134.</w:t>
      </w:r>
    </w:p>
  </w:footnote>
  <w:footnote w:id="160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علّل ذلك صاحب الهداية -3/457- بقوله : </w:t>
      </w:r>
      <w:r>
        <w:rPr>
          <w:rFonts w:hint="eastAsia"/>
          <w:rtl/>
        </w:rPr>
        <w:t>«</w:t>
      </w:r>
      <w:r>
        <w:rPr>
          <w:rFonts w:hint="cs"/>
          <w:rtl/>
        </w:rPr>
        <w:t>لأنه يصير جامعًا بين الأم والبنت رضاعًا، وذلك حرام؛ كالجمع بينهما نسبًا</w:t>
      </w:r>
      <w:r>
        <w:rPr>
          <w:rFonts w:hint="eastAsia"/>
          <w:rtl/>
        </w:rPr>
        <w:t>»</w:t>
      </w:r>
      <w:r>
        <w:rPr>
          <w:rFonts w:hint="cs"/>
          <w:rtl/>
        </w:rPr>
        <w:t>.</w:t>
      </w:r>
    </w:p>
  </w:footnote>
  <w:footnote w:id="161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المهر</w:t>
      </w:r>
      <w:r>
        <w:rPr>
          <w:rFonts w:hint="eastAsia"/>
          <w:rtl/>
        </w:rPr>
        <w:t>»</w:t>
      </w:r>
      <w:r>
        <w:rPr>
          <w:rFonts w:hint="cs"/>
          <w:rtl/>
        </w:rPr>
        <w:t xml:space="preserve"> : ساقطة من (ب).</w:t>
      </w:r>
    </w:p>
  </w:footnote>
  <w:footnote w:id="161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تستحق نصف المهر؛ لأنها رضيعة، فلا يتصور الدخول بها.</w:t>
      </w:r>
    </w:p>
    <w:p w:rsidR="00035BE3" w:rsidRDefault="00035BE3" w:rsidP="00C10469">
      <w:pPr>
        <w:pStyle w:val="a6"/>
        <w:spacing w:line="420" w:lineRule="exact"/>
        <w:ind w:left="422" w:firstLine="0"/>
        <w:rPr>
          <w:spacing w:val="-8"/>
          <w:rtl/>
        </w:rPr>
      </w:pPr>
      <w:r>
        <w:rPr>
          <w:rFonts w:hint="cs"/>
          <w:spacing w:val="-8"/>
          <w:rtl/>
        </w:rPr>
        <w:t xml:space="preserve">ولا يسقط حقها؛ </w:t>
      </w:r>
      <w:r>
        <w:rPr>
          <w:rFonts w:hint="eastAsia"/>
          <w:spacing w:val="-8"/>
          <w:rtl/>
        </w:rPr>
        <w:t>«</w:t>
      </w:r>
      <w:r>
        <w:rPr>
          <w:rFonts w:hint="cs"/>
          <w:spacing w:val="-8"/>
          <w:rtl/>
        </w:rPr>
        <w:t>لأن الفرقة وقعت لا من جهتها، والارتضاع- وإن كان فِعْلُها وبه وقع الفساد، لكن فعلها لا يؤثر في إسقاط حقها؛ لعدم خطابها بالأحكام، وصار كما لو قتلت مورِّثها، فإنها ترثه، ولا يكون قتلها موجبًا لحرمانها شرعًا، ولأنها مجبورة بحكم الطبع على الارتضاع ...</w:t>
      </w:r>
      <w:r>
        <w:rPr>
          <w:rFonts w:hint="eastAsia"/>
          <w:spacing w:val="-8"/>
          <w:rtl/>
        </w:rPr>
        <w:t>»</w:t>
      </w:r>
      <w:r>
        <w:rPr>
          <w:rFonts w:hint="cs"/>
          <w:spacing w:val="-8"/>
          <w:rtl/>
        </w:rPr>
        <w:t>. قاله صاحب (فتح القدير)، 3/457-458؛ وانظر : الهداية والعناية، 3/458.</w:t>
      </w:r>
    </w:p>
  </w:footnote>
  <w:footnote w:id="1612">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18/أ من (د).</w:t>
      </w:r>
    </w:p>
  </w:footnote>
  <w:footnote w:id="161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الرضيعة</w:t>
      </w:r>
      <w:r>
        <w:rPr>
          <w:rFonts w:hint="eastAsia"/>
          <w:rtl/>
        </w:rPr>
        <w:t>»</w:t>
      </w:r>
      <w:r>
        <w:rPr>
          <w:rFonts w:hint="cs"/>
          <w:rtl/>
        </w:rPr>
        <w:t xml:space="preserve">، وفي (جـ) : </w:t>
      </w:r>
      <w:r>
        <w:rPr>
          <w:rFonts w:hint="eastAsia"/>
          <w:rtl/>
        </w:rPr>
        <w:t>«</w:t>
      </w:r>
      <w:r>
        <w:rPr>
          <w:rFonts w:hint="cs"/>
          <w:rtl/>
        </w:rPr>
        <w:t>الرضعة</w:t>
      </w:r>
      <w:r>
        <w:rPr>
          <w:rFonts w:hint="eastAsia"/>
          <w:rtl/>
        </w:rPr>
        <w:t>»</w:t>
      </w:r>
      <w:r>
        <w:rPr>
          <w:rFonts w:hint="cs"/>
          <w:rtl/>
        </w:rPr>
        <w:t>. والصحيح ما تمّ إثباته من (ب).</w:t>
      </w:r>
    </w:p>
  </w:footnote>
  <w:footnote w:id="161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لتأكّد</w:t>
      </w:r>
      <w:r>
        <w:rPr>
          <w:rFonts w:hint="eastAsia"/>
          <w:rtl/>
        </w:rPr>
        <w:t>»</w:t>
      </w:r>
      <w:r>
        <w:rPr>
          <w:rFonts w:hint="cs"/>
          <w:rtl/>
        </w:rPr>
        <w:t>.</w:t>
      </w:r>
    </w:p>
  </w:footnote>
  <w:footnote w:id="161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على</w:t>
      </w:r>
      <w:r>
        <w:rPr>
          <w:rFonts w:hint="eastAsia"/>
          <w:rtl/>
        </w:rPr>
        <w:t>»</w:t>
      </w:r>
      <w:r>
        <w:rPr>
          <w:rFonts w:hint="cs"/>
          <w:rtl/>
        </w:rPr>
        <w:t>. وهذا الأولى؛ وفاقًا لنص القاعدة.</w:t>
      </w:r>
    </w:p>
  </w:footnote>
  <w:footnote w:id="1616">
    <w:p w:rsidR="00035BE3" w:rsidRPr="00481AB8"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أي: أن نصف المهر يمكن أن يسقط قريبًا؛ وذلك إن تجاوزت سنّ الرضاع، وبلغت حدّ الشهوة، </w:t>
      </w:r>
      <w:r w:rsidRPr="00481AB8">
        <w:rPr>
          <w:rFonts w:hint="cs"/>
          <w:spacing w:val="-2"/>
          <w:rtl/>
        </w:rPr>
        <w:t>وقبّلها ابن زوجها، فإنها تحرم على أبيه عند الحنفية؛ فيسقط نصف مهر الزوجة؛ لعدم الدخول بها بعد.</w:t>
      </w:r>
    </w:p>
  </w:footnote>
  <w:footnote w:id="1617">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التاء المربوطة زيادة من (ب)؛ ولا يستقيم المعنى بدونها.</w:t>
      </w:r>
    </w:p>
  </w:footnote>
  <w:footnote w:id="1618">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معتدته</w:t>
      </w:r>
      <w:r>
        <w:rPr>
          <w:rFonts w:hint="eastAsia"/>
          <w:rtl/>
        </w:rPr>
        <w:t>»</w:t>
      </w:r>
      <w:r>
        <w:rPr>
          <w:rFonts w:hint="cs"/>
          <w:rtl/>
        </w:rPr>
        <w:t>.</w:t>
      </w:r>
    </w:p>
  </w:footnote>
  <w:footnote w:id="1619">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يعلم</w:t>
      </w:r>
      <w:r>
        <w:rPr>
          <w:rFonts w:hint="eastAsia"/>
          <w:rtl/>
        </w:rPr>
        <w:t>»</w:t>
      </w:r>
      <w:r>
        <w:rPr>
          <w:rFonts w:hint="cs"/>
          <w:rtl/>
        </w:rPr>
        <w:t>. والصحيح ما تمّ إثباته من (ب).</w:t>
      </w:r>
    </w:p>
  </w:footnote>
  <w:footnote w:id="1620">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زيادة من (جـ)؛ ولا يستقيم المعنى بدونها. وهي مثبتة في كثير من مراجع هذه المسألة الآتي ذكرها -كالهداية وشرحيها-.</w:t>
      </w:r>
    </w:p>
  </w:footnote>
  <w:footnote w:id="1621">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عن</w:t>
      </w:r>
      <w:r>
        <w:rPr>
          <w:rFonts w:hint="eastAsia"/>
          <w:rtl/>
        </w:rPr>
        <w:t>»</w:t>
      </w:r>
      <w:r>
        <w:rPr>
          <w:rFonts w:hint="cs"/>
          <w:rtl/>
        </w:rPr>
        <w:t>. وهذا الأولى، وهو الموافق للهداية وغيرها.</w:t>
      </w:r>
    </w:p>
  </w:footnote>
  <w:footnote w:id="1622">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18/ب من (ب).</w:t>
      </w:r>
    </w:p>
  </w:footnote>
  <w:footnote w:id="1623">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يكون</w:t>
      </w:r>
      <w:r>
        <w:rPr>
          <w:rFonts w:hint="eastAsia"/>
          <w:rtl/>
        </w:rPr>
        <w:t>»</w:t>
      </w:r>
      <w:r>
        <w:rPr>
          <w:rFonts w:hint="cs"/>
          <w:rtl/>
        </w:rPr>
        <w:t>، وفي (د) : رُسم الحرف الأول بالتاء والياء معًا. والصحيح ما تمّ إثباته من (ب)، وهو الموافق للهداية وغيرها.</w:t>
      </w:r>
    </w:p>
  </w:footnote>
  <w:footnote w:id="1624">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ص1045 (ل96/أ)، قاعدة 225، ونص القاعدة : </w:t>
      </w:r>
      <w:r>
        <w:rPr>
          <w:rFonts w:hint="eastAsia"/>
          <w:rtl/>
        </w:rPr>
        <w:t>«</w:t>
      </w:r>
      <w:r>
        <w:rPr>
          <w:rFonts w:hint="cs"/>
          <w:rtl/>
        </w:rPr>
        <w:t>المباشر ضامن وإن لم يتعمد. والمسبّب لا، إلا إذا كان متعمدًا</w:t>
      </w:r>
      <w:r>
        <w:rPr>
          <w:rFonts w:hint="eastAsia"/>
          <w:rtl/>
        </w:rPr>
        <w:t>»</w:t>
      </w:r>
      <w:r>
        <w:rPr>
          <w:rFonts w:hint="cs"/>
          <w:rtl/>
        </w:rPr>
        <w:t>.</w:t>
      </w:r>
    </w:p>
  </w:footnote>
  <w:footnote w:id="1625">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زيادة : </w:t>
      </w:r>
      <w:r>
        <w:rPr>
          <w:rFonts w:hint="eastAsia"/>
          <w:rtl/>
        </w:rPr>
        <w:t>«</w:t>
      </w:r>
      <w:r>
        <w:rPr>
          <w:rFonts w:hint="cs"/>
          <w:rtl/>
        </w:rPr>
        <w:t>بالنكاح</w:t>
      </w:r>
      <w:r>
        <w:rPr>
          <w:rFonts w:hint="eastAsia"/>
          <w:rtl/>
        </w:rPr>
        <w:t>»</w:t>
      </w:r>
      <w:r>
        <w:rPr>
          <w:rFonts w:hint="cs"/>
          <w:rtl/>
        </w:rPr>
        <w:t xml:space="preserve">، وتمام العبارة : </w:t>
      </w:r>
      <w:r>
        <w:rPr>
          <w:rFonts w:hint="eastAsia"/>
          <w:rtl/>
        </w:rPr>
        <w:t>«</w:t>
      </w:r>
      <w:r>
        <w:rPr>
          <w:rFonts w:hint="cs"/>
          <w:rtl/>
        </w:rPr>
        <w:t>وكذا إذا علمت بالنكاح ولم تعلم بالنكاح بالفساد ...</w:t>
      </w:r>
      <w:r>
        <w:rPr>
          <w:rFonts w:hint="eastAsia"/>
          <w:rtl/>
        </w:rPr>
        <w:t>»</w:t>
      </w:r>
      <w:r>
        <w:rPr>
          <w:rFonts w:hint="cs"/>
          <w:rtl/>
        </w:rPr>
        <w:t>، فيلحظ أن في إثباتها جمعًا بين الشيء ونقيضه (وهما العلم بالنكاح وعدمه)، ومن المعلوم أن النقيضين لا يجتمعان؛ فتعين إسقاطها. انظر في تعريف النقيضين : قواعد الفقه للمجدِّدي (الرسالة الرابعة : التعريفات الفقهية)، ص533؛ ضوابط المعرفة، ص55 ، 58؛ مذكرة المنطق، 3/37.</w:t>
      </w:r>
    </w:p>
  </w:footnote>
  <w:footnote w:id="1626">
    <w:p w:rsidR="00035BE3" w:rsidRDefault="00035BE3" w:rsidP="00C10469">
      <w:pPr>
        <w:pStyle w:val="a8"/>
        <w:bidi/>
        <w:spacing w:line="46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 </w:t>
      </w:r>
      <w:r>
        <w:rPr>
          <w:rFonts w:hint="eastAsia"/>
          <w:spacing w:val="6"/>
          <w:rtl/>
        </w:rPr>
        <w:t>«</w:t>
      </w:r>
      <w:r>
        <w:rPr>
          <w:rFonts w:hint="cs"/>
          <w:spacing w:val="6"/>
          <w:rtl/>
        </w:rPr>
        <w:t>يكون</w:t>
      </w:r>
      <w:r>
        <w:rPr>
          <w:rFonts w:hint="eastAsia"/>
          <w:spacing w:val="6"/>
          <w:rtl/>
        </w:rPr>
        <w:t>»</w:t>
      </w:r>
      <w:r>
        <w:rPr>
          <w:rFonts w:hint="cs"/>
          <w:spacing w:val="6"/>
          <w:rtl/>
        </w:rPr>
        <w:t>، وفي (د) : رسم الحرف الأول بالتاء والياء معًا. والصحيح ما تم إثباته من (ب).</w:t>
      </w:r>
    </w:p>
  </w:footnote>
  <w:footnote w:id="16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بالأحكام</w:t>
      </w:r>
      <w:r>
        <w:rPr>
          <w:rFonts w:hint="eastAsia"/>
          <w:rtl/>
        </w:rPr>
        <w:t>»</w:t>
      </w:r>
      <w:r>
        <w:rPr>
          <w:rFonts w:hint="cs"/>
          <w:rtl/>
        </w:rPr>
        <w:t xml:space="preserve">. وفي العناية : </w:t>
      </w:r>
      <w:r>
        <w:rPr>
          <w:rFonts w:hint="eastAsia"/>
          <w:rtl/>
        </w:rPr>
        <w:t>«</w:t>
      </w:r>
      <w:r>
        <w:rPr>
          <w:rFonts w:hint="cs"/>
          <w:rtl/>
        </w:rPr>
        <w:t>الجهل بحكم الشرع ...</w:t>
      </w:r>
      <w:r>
        <w:rPr>
          <w:rFonts w:hint="eastAsia"/>
          <w:rtl/>
        </w:rPr>
        <w:t>»</w:t>
      </w:r>
      <w:r>
        <w:rPr>
          <w:rFonts w:hint="cs"/>
          <w:rtl/>
        </w:rPr>
        <w:t>.</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وهذان التعبيران أشمل من المُثبت من باقي النسخ.</w:t>
      </w:r>
    </w:p>
  </w:footnote>
  <w:footnote w:id="16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زيادة واو العطف. وتمام السياق : </w:t>
      </w:r>
      <w:r>
        <w:rPr>
          <w:rFonts w:hint="eastAsia"/>
          <w:rtl/>
        </w:rPr>
        <w:t>«</w:t>
      </w:r>
      <w:r>
        <w:rPr>
          <w:rFonts w:hint="cs"/>
          <w:rtl/>
        </w:rPr>
        <w:t>لدفع قصد الفساد، ولا لدفع الحكم</w:t>
      </w:r>
      <w:r>
        <w:rPr>
          <w:rFonts w:hint="eastAsia"/>
          <w:rtl/>
        </w:rPr>
        <w:t>»</w:t>
      </w:r>
      <w:r>
        <w:rPr>
          <w:rFonts w:hint="cs"/>
          <w:rtl/>
        </w:rPr>
        <w:t>.</w:t>
      </w:r>
    </w:p>
  </w:footnote>
  <w:footnote w:id="16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ولعل الصحيح : </w:t>
      </w:r>
      <w:r>
        <w:rPr>
          <w:rFonts w:hint="eastAsia"/>
          <w:rtl/>
        </w:rPr>
        <w:t>«</w:t>
      </w:r>
      <w:r>
        <w:rPr>
          <w:rFonts w:hint="cs"/>
          <w:rtl/>
        </w:rPr>
        <w:t>وبعدم</w:t>
      </w:r>
      <w:r>
        <w:rPr>
          <w:rFonts w:hint="eastAsia"/>
          <w:rtl/>
        </w:rPr>
        <w:t>»</w:t>
      </w:r>
      <w:r>
        <w:rPr>
          <w:rFonts w:hint="cs"/>
          <w:rtl/>
        </w:rPr>
        <w:t xml:space="preserve">؛ لدلالة السياق، ولأن هذه الجملة أعادها المؤلف في نهاية هذه الفقرة بلفظ : </w:t>
      </w:r>
      <w:r>
        <w:rPr>
          <w:rFonts w:hint="eastAsia"/>
          <w:rtl/>
        </w:rPr>
        <w:t>«</w:t>
      </w:r>
      <w:r>
        <w:rPr>
          <w:rFonts w:hint="cs"/>
          <w:rtl/>
        </w:rPr>
        <w:t>بل بعدم قصد الفساد</w:t>
      </w:r>
      <w:r>
        <w:rPr>
          <w:rFonts w:hint="eastAsia"/>
          <w:rtl/>
        </w:rPr>
        <w:t>»</w:t>
      </w:r>
      <w:r>
        <w:rPr>
          <w:rFonts w:hint="cs"/>
          <w:rtl/>
        </w:rPr>
        <w:t>.</w:t>
      </w:r>
    </w:p>
  </w:footnote>
  <w:footnote w:id="16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يكون</w:t>
      </w:r>
      <w:r>
        <w:rPr>
          <w:rFonts w:hint="eastAsia"/>
          <w:rtl/>
        </w:rPr>
        <w:t>»</w:t>
      </w:r>
      <w:r>
        <w:rPr>
          <w:rFonts w:hint="cs"/>
          <w:rtl/>
        </w:rPr>
        <w:t>. والصحيح ما تم إثباته من (ب).</w:t>
      </w:r>
    </w:p>
  </w:footnote>
  <w:footnote w:id="16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أيضًا ولا يقال ... متعدية</w:t>
      </w:r>
      <w:r>
        <w:rPr>
          <w:rFonts w:hint="eastAsia"/>
          <w:rtl/>
        </w:rPr>
        <w:t>»</w:t>
      </w:r>
      <w:r>
        <w:rPr>
          <w:rFonts w:hint="cs"/>
          <w:rtl/>
        </w:rPr>
        <w:t xml:space="preserve"> : ساقطة من (د).</w:t>
      </w:r>
    </w:p>
  </w:footnote>
  <w:footnote w:id="16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بعد</w:t>
      </w:r>
      <w:r>
        <w:rPr>
          <w:rFonts w:hint="eastAsia"/>
          <w:rtl/>
        </w:rPr>
        <w:t>»</w:t>
      </w:r>
      <w:r>
        <w:rPr>
          <w:rFonts w:hint="cs"/>
          <w:rtl/>
        </w:rPr>
        <w:t>.</w:t>
      </w:r>
    </w:p>
  </w:footnote>
  <w:footnote w:id="16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بل</w:t>
      </w:r>
      <w:r>
        <w:rPr>
          <w:rFonts w:hint="eastAsia"/>
          <w:rtl/>
        </w:rPr>
        <w:t>»</w:t>
      </w:r>
      <w:r>
        <w:rPr>
          <w:rFonts w:hint="cs"/>
          <w:rtl/>
        </w:rPr>
        <w:t xml:space="preserve"> : ساقطة من (جـ).</w:t>
      </w:r>
    </w:p>
  </w:footnote>
  <w:footnote w:id="16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لعدم</w:t>
      </w:r>
      <w:r>
        <w:rPr>
          <w:rFonts w:hint="eastAsia"/>
          <w:rtl/>
        </w:rPr>
        <w:t>»</w:t>
      </w:r>
      <w:r>
        <w:rPr>
          <w:rFonts w:hint="cs"/>
          <w:rtl/>
        </w:rPr>
        <w:t>.</w:t>
      </w:r>
    </w:p>
  </w:footnote>
  <w:footnote w:id="16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3/457-461. وقد ذكر المؤلف هذه المسألة في موضع آخر وعزاها إلى (العناية)، وذلك ص1046-1049 (ل96/أ).</w:t>
      </w:r>
    </w:p>
    <w:p w:rsidR="00035BE3" w:rsidRDefault="00035BE3" w:rsidP="00C10469">
      <w:pPr>
        <w:pStyle w:val="a6"/>
        <w:ind w:left="422" w:firstLine="0"/>
        <w:rPr>
          <w:spacing w:val="-2"/>
          <w:rtl/>
        </w:rPr>
      </w:pPr>
      <w:r>
        <w:rPr>
          <w:rFonts w:hint="cs"/>
          <w:spacing w:val="-2"/>
          <w:rtl/>
        </w:rPr>
        <w:t>وانظر هذه المسألة في : الجامع الصغير وشرحه : النافع الكبير، ص177؛ بدائع الصنائع، 4/11-12؛ الهداية وفتح القدير، 3/457-461؛ كنز الدقائق وشرحيه : تبيين الحقائق، 2/186-187؛ والبحر الرائق، 3/246-247؛ الغرر وشرحه : الدّرر، 1/357-358.</w:t>
      </w:r>
    </w:p>
  </w:footnote>
  <w:footnote w:id="1636">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28/أ من (أ).</w:t>
      </w:r>
    </w:p>
  </w:footnote>
  <w:footnote w:id="1637">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عدّة كتب من كتب الفقه الحنفي وقواعده:</w:t>
      </w:r>
    </w:p>
    <w:p w:rsidR="00035BE3" w:rsidRDefault="00035BE3" w:rsidP="00C10469">
      <w:pPr>
        <w:pStyle w:val="a6"/>
        <w:spacing w:line="221" w:lineRule="auto"/>
        <w:ind w:left="420" w:firstLine="0"/>
        <w:rPr>
          <w:b/>
          <w:bCs/>
          <w:rtl/>
        </w:rPr>
      </w:pPr>
      <w:r>
        <w:rPr>
          <w:rFonts w:hint="cs"/>
          <w:b/>
          <w:bCs/>
          <w:rtl/>
        </w:rPr>
        <w:t>فمن كتب القواعد :</w:t>
      </w:r>
    </w:p>
    <w:p w:rsidR="00035BE3" w:rsidRPr="00EC1F0A" w:rsidRDefault="00035BE3" w:rsidP="00C10469">
      <w:pPr>
        <w:pStyle w:val="a6"/>
        <w:spacing w:line="221" w:lineRule="auto"/>
        <w:ind w:left="420" w:firstLine="0"/>
        <w:rPr>
          <w:sz w:val="28"/>
          <w:szCs w:val="28"/>
          <w:rtl/>
        </w:rPr>
      </w:pPr>
      <w:r w:rsidRPr="00EC1F0A">
        <w:rPr>
          <w:rFonts w:hint="cs"/>
          <w:sz w:val="28"/>
          <w:szCs w:val="28"/>
          <w:rtl/>
        </w:rPr>
        <w:t>مجامع الحقائق (الخاتمة)، ص45؛ شرح العلائي لقواعد الخادمي، ل15/أ؛ منافع الدقائق، ص315؛ مجلة الأحكام العدلية، مادة 98؛ وشرحها لسليم رستم، 1/62؛ وشرحها لعلي حيدر، 1/86-87؛ وشرحُها للأتاسي، 1/266-267؛ وشرح قواعدها لأحمد الزرقا، ص467-469؛ قواعد الفقه  للمجدّدي، ص68، قاعدة 74؛ المدخل الفقهي العام، 2/1027، فقرة 644؛ الوجيز، ص290-291؛ موسوعة القواعد الفقهية، 1/204، 3/171؛ المبادئ الفقهية، ص54-55؛ القواعد الفقهية للدّعاس، ص90-91، قاعدة 73؛ القواعد الفقهية للدكتور الزحيلي، ص83-84.</w:t>
      </w:r>
    </w:p>
    <w:p w:rsidR="00035BE3" w:rsidRDefault="00035BE3" w:rsidP="00C10469">
      <w:pPr>
        <w:pStyle w:val="a6"/>
        <w:spacing w:line="221" w:lineRule="auto"/>
        <w:ind w:left="420" w:firstLine="0"/>
        <w:rPr>
          <w:b/>
          <w:bCs/>
          <w:rtl/>
        </w:rPr>
      </w:pPr>
      <w:r>
        <w:rPr>
          <w:rFonts w:hint="cs"/>
          <w:b/>
          <w:bCs/>
          <w:rtl/>
        </w:rPr>
        <w:t>ومن كتب الفقه :</w:t>
      </w:r>
    </w:p>
    <w:p w:rsidR="00035BE3" w:rsidRDefault="00035BE3" w:rsidP="00C10469">
      <w:pPr>
        <w:pStyle w:val="a6"/>
        <w:spacing w:line="221" w:lineRule="auto"/>
        <w:ind w:left="420" w:firstLine="0"/>
        <w:rPr>
          <w:rtl/>
        </w:rPr>
      </w:pPr>
      <w:r>
        <w:rPr>
          <w:rFonts w:hint="cs"/>
          <w:rtl/>
        </w:rPr>
        <w:t xml:space="preserve">المبسوط، 9/166، 12/56؛ العناية، 9/43، 214؛ الدرر شرح الغرر، 2/32، 222. </w:t>
      </w:r>
    </w:p>
    <w:p w:rsidR="00035BE3" w:rsidRDefault="00035BE3" w:rsidP="00C10469">
      <w:pPr>
        <w:pStyle w:val="a6"/>
        <w:spacing w:line="221" w:lineRule="auto"/>
        <w:ind w:left="420" w:firstLine="0"/>
        <w:rPr>
          <w:rtl/>
        </w:rPr>
      </w:pPr>
      <w:r>
        <w:rPr>
          <w:rFonts w:hint="cs"/>
          <w:b/>
          <w:bCs/>
          <w:rtl/>
        </w:rPr>
        <w:t>كما وردت في:</w:t>
      </w:r>
      <w:r>
        <w:rPr>
          <w:rFonts w:hint="cs"/>
          <w:rtl/>
        </w:rPr>
        <w:t xml:space="preserve"> كشف الأسرار شرح المصنّف على المنار، 1/75؛ التقرير والتحبير، 2/127. </w:t>
      </w:r>
    </w:p>
    <w:p w:rsidR="00035BE3" w:rsidRPr="00EC1F0A" w:rsidRDefault="00035BE3" w:rsidP="00C10469">
      <w:pPr>
        <w:pStyle w:val="a6"/>
        <w:spacing w:line="221" w:lineRule="auto"/>
        <w:ind w:left="420" w:firstLine="0"/>
        <w:rPr>
          <w:sz w:val="29"/>
          <w:szCs w:val="29"/>
          <w:rtl/>
        </w:rPr>
      </w:pPr>
      <w:r w:rsidRPr="00EC1F0A">
        <w:rPr>
          <w:rFonts w:hint="cs"/>
          <w:sz w:val="29"/>
          <w:szCs w:val="29"/>
          <w:rtl/>
        </w:rPr>
        <w:t xml:space="preserve">علمًا بأن المؤلف سبق أن أورد قاعدة أخرى مخالفة لهذه في اللفظ، وموافقة لها في المعنى، وهي: </w:t>
      </w:r>
      <w:r w:rsidRPr="00EC1F0A">
        <w:rPr>
          <w:rFonts w:hint="eastAsia"/>
          <w:sz w:val="29"/>
          <w:szCs w:val="29"/>
          <w:rtl/>
        </w:rPr>
        <w:t>«</w:t>
      </w:r>
      <w:r w:rsidRPr="00EC1F0A">
        <w:rPr>
          <w:rFonts w:hint="cs"/>
          <w:sz w:val="29"/>
          <w:szCs w:val="29"/>
          <w:rtl/>
        </w:rPr>
        <w:t>اختلاف الأسباب بمنزلة اختلاف الأعيان</w:t>
      </w:r>
      <w:r w:rsidRPr="00EC1F0A">
        <w:rPr>
          <w:rFonts w:hint="eastAsia"/>
          <w:sz w:val="29"/>
          <w:szCs w:val="29"/>
          <w:rtl/>
        </w:rPr>
        <w:t>»</w:t>
      </w:r>
      <w:r w:rsidRPr="00EC1F0A">
        <w:rPr>
          <w:rFonts w:hint="cs"/>
          <w:sz w:val="29"/>
          <w:szCs w:val="29"/>
          <w:rtl/>
        </w:rPr>
        <w:t>، وذلك ص264 (ل5/ب)، قاعدة 8، وقد سبق بيان وجه الموافقة بينهما هناك.</w:t>
      </w:r>
    </w:p>
  </w:footnote>
  <w:footnote w:id="163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إذا</w:t>
      </w:r>
      <w:r>
        <w:rPr>
          <w:rFonts w:hint="eastAsia"/>
          <w:rtl/>
        </w:rPr>
        <w:t>»</w:t>
      </w:r>
      <w:r>
        <w:rPr>
          <w:rFonts w:hint="cs"/>
          <w:rtl/>
        </w:rPr>
        <w:t>: ساقطة من (ب).</w:t>
      </w:r>
    </w:p>
  </w:footnote>
  <w:footnote w:id="1639">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للونه</w:t>
      </w:r>
      <w:r>
        <w:rPr>
          <w:rFonts w:hint="eastAsia"/>
          <w:rtl/>
        </w:rPr>
        <w:t>»</w:t>
      </w:r>
      <w:r>
        <w:rPr>
          <w:rFonts w:hint="cs"/>
          <w:rtl/>
        </w:rPr>
        <w:t>.</w:t>
      </w:r>
    </w:p>
  </w:footnote>
  <w:footnote w:id="1640">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21/ب من (جـ)، مع تكرار (من) في بداية اللوحة التي بعدها.</w:t>
      </w:r>
    </w:p>
  </w:footnote>
  <w:footnote w:id="1641">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هاء الضمير يعود إلى ما أخذه، أي : أدى ما أخذه.</w:t>
      </w:r>
    </w:p>
  </w:footnote>
  <w:footnote w:id="1642">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أخذ المال صدقة.</w:t>
      </w:r>
    </w:p>
  </w:footnote>
  <w:footnote w:id="164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السبب، وتبدل</w:t>
      </w:r>
      <w:r>
        <w:rPr>
          <w:rFonts w:hint="eastAsia"/>
          <w:rtl/>
        </w:rPr>
        <w:t>»</w:t>
      </w:r>
      <w:r>
        <w:rPr>
          <w:rFonts w:hint="cs"/>
          <w:rtl/>
        </w:rPr>
        <w:t>: ساقطة من (ب) و(د).</w:t>
      </w:r>
    </w:p>
  </w:footnote>
  <w:footnote w:id="164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تبدّل</w:t>
      </w:r>
      <w:r>
        <w:rPr>
          <w:rFonts w:hint="eastAsia"/>
          <w:rtl/>
        </w:rPr>
        <w:t>»</w:t>
      </w:r>
      <w:r>
        <w:rPr>
          <w:rFonts w:hint="cs"/>
          <w:rtl/>
        </w:rPr>
        <w:t xml:space="preserve"> : زيادة من (ب) و(د)؛ ولا يستقيم المعنى بدونها.</w:t>
      </w:r>
    </w:p>
  </w:footnote>
  <w:footnote w:id="164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أخذًا</w:t>
      </w:r>
      <w:r>
        <w:rPr>
          <w:rFonts w:hint="eastAsia"/>
          <w:rtl/>
        </w:rPr>
        <w:t>»</w:t>
      </w:r>
      <w:r>
        <w:rPr>
          <w:rFonts w:hint="cs"/>
          <w:rtl/>
        </w:rPr>
        <w:t>؛ وهذا الأولى.</w:t>
      </w:r>
    </w:p>
  </w:footnote>
  <w:footnote w:id="164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بريرة</w:t>
      </w:r>
      <w:r>
        <w:rPr>
          <w:rFonts w:hint="eastAsia"/>
          <w:rtl/>
        </w:rPr>
        <w:t>»</w:t>
      </w:r>
      <w:r>
        <w:rPr>
          <w:rFonts w:hint="cs"/>
          <w:rtl/>
        </w:rPr>
        <w:t xml:space="preserve"> بإسقاط اللام. والصحيح ما تمّ إثباته من (ب)، وهو الموافق لمصدر هذه العبارة (وهو الدّرر شرح الغرر).</w:t>
      </w:r>
    </w:p>
  </w:footnote>
  <w:footnote w:id="1647">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b/>
          <w:bCs/>
          <w:spacing w:val="-8"/>
          <w:rtl/>
        </w:rPr>
        <w:t>بريرة</w:t>
      </w:r>
      <w:r>
        <w:rPr>
          <w:rFonts w:hint="cs"/>
          <w:spacing w:val="-8"/>
          <w:rtl/>
        </w:rPr>
        <w:t xml:space="preserve"> : هي مولاة عائشة رضي الله عنهما، وكانت مولاة لقوم من الأنصار، وقيل : بني هلال، وقيل غير ذلك.</w:t>
      </w:r>
    </w:p>
    <w:p w:rsidR="00035BE3" w:rsidRDefault="00035BE3" w:rsidP="00C10469">
      <w:pPr>
        <w:pStyle w:val="a6"/>
        <w:ind w:left="422" w:firstLine="0"/>
        <w:rPr>
          <w:rtl/>
        </w:rPr>
      </w:pPr>
      <w:r>
        <w:rPr>
          <w:rFonts w:hint="cs"/>
          <w:rtl/>
        </w:rPr>
        <w:t xml:space="preserve">وقد أعتقتها عائشة، وكانت تحت زوج، فخيّرها رسول الله </w:t>
      </w:r>
      <w:r>
        <w:rPr>
          <w:rFonts w:ascii="AGA Arabesque" w:hAnsi="AGA Arabesque"/>
          <w:sz w:val="36"/>
          <w:szCs w:val="36"/>
        </w:rPr>
        <w:t></w:t>
      </w:r>
      <w:r>
        <w:rPr>
          <w:rFonts w:hint="cs"/>
          <w:rtl/>
        </w:rPr>
        <w:t xml:space="preserve"> فاختارت فراق زوجها، وكان يحبها، فكان يمشي في طرق المدينة وهو يبكي، واستشفع إليها برسول الله </w:t>
      </w:r>
      <w:r>
        <w:rPr>
          <w:rFonts w:ascii="AGA Arabesque" w:hAnsi="AGA Arabesque"/>
          <w:sz w:val="36"/>
          <w:szCs w:val="36"/>
        </w:rPr>
        <w:t></w:t>
      </w:r>
      <w:r>
        <w:rPr>
          <w:rFonts w:hint="cs"/>
          <w:rtl/>
        </w:rPr>
        <w:t xml:space="preserve"> ، فقال لها فيه، فقالت : أتأمر؟ قال : بل أشفع. قالت : فلا أريده.</w:t>
      </w:r>
    </w:p>
    <w:p w:rsidR="00035BE3" w:rsidRPr="002D1763" w:rsidRDefault="00035BE3" w:rsidP="00C10469">
      <w:pPr>
        <w:pStyle w:val="a6"/>
        <w:ind w:left="422" w:firstLine="0"/>
        <w:rPr>
          <w:rtl/>
        </w:rPr>
      </w:pPr>
      <w:r w:rsidRPr="002D1763">
        <w:rPr>
          <w:rFonts w:hint="cs"/>
          <w:rtl/>
        </w:rPr>
        <w:t>انظر</w:t>
      </w:r>
      <w:r>
        <w:rPr>
          <w:rFonts w:hint="cs"/>
          <w:rtl/>
        </w:rPr>
        <w:t xml:space="preserve"> </w:t>
      </w:r>
      <w:r w:rsidRPr="002D1763">
        <w:rPr>
          <w:rFonts w:hint="cs"/>
          <w:rtl/>
        </w:rPr>
        <w:t xml:space="preserve">: الطبقات الكبرى لابن سعد، 8/201-205، رقم 4202؛ الاستيعاب في معرفة الأصحاب،4/1795-1796، رقم 3254؛ أسد الغابة، 7/39، رقم 6770؛ تهذيب الكمال، 35/136-137، رقم 7796؛ الإصابة في تمييز الصحابة، 7/535-536، رقم 10929. </w:t>
      </w:r>
    </w:p>
  </w:footnote>
  <w:footnote w:id="1648">
    <w:p w:rsidR="00035BE3" w:rsidRPr="002D1763" w:rsidRDefault="00035BE3" w:rsidP="00C10469">
      <w:pPr>
        <w:pStyle w:val="a8"/>
        <w:bidi/>
        <w:ind w:left="422" w:right="0"/>
        <w:rPr>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2D1763">
        <w:rPr>
          <w:rFonts w:hint="cs"/>
          <w:rtl/>
        </w:rPr>
        <w:t>ورد أصل هذا الحديث في مواضع كثيرة من الصحيحين وغيرهما، فعلى سبيل المثال: ورد عند البخاري إحدى وعشرين مرة، وأرقامه : 444، 1422، 2047، 2060، 2399، 2421، 2422، 2424، 2426، 2439، 2568، 2576، 2579،  2584، 4980، 6339، 6370، 6373، 6377، 6379.</w:t>
      </w:r>
    </w:p>
    <w:p w:rsidR="00035BE3" w:rsidRDefault="00035BE3" w:rsidP="00C10469">
      <w:pPr>
        <w:pStyle w:val="a6"/>
        <w:ind w:left="422" w:firstLine="0"/>
        <w:rPr>
          <w:rtl/>
        </w:rPr>
      </w:pPr>
      <w:r>
        <w:rPr>
          <w:rFonts w:hint="cs"/>
          <w:rtl/>
        </w:rPr>
        <w:t xml:space="preserve">ومع كثرة وروده في كتب الحديث: لم أجده باللفظ الذي ذكره المؤلف، لكنه ورد بألفاظ مقاربه له </w:t>
      </w:r>
      <w:r w:rsidRPr="00E15310">
        <w:rPr>
          <w:rFonts w:hint="cs"/>
          <w:spacing w:val="-6"/>
          <w:rtl/>
        </w:rPr>
        <w:t>ومن ذلك: ما أخرجه البخاري، كتاب  الهبة وفضلها، باب  قبول الهديـة، 2/910-911، ح</w:t>
      </w:r>
      <w:r>
        <w:rPr>
          <w:rFonts w:hint="cs"/>
          <w:spacing w:val="-2"/>
          <w:rtl/>
        </w:rPr>
        <w:t xml:space="preserve"> 2439،</w:t>
      </w:r>
      <w:r>
        <w:rPr>
          <w:rFonts w:hint="cs"/>
          <w:rtl/>
        </w:rPr>
        <w:t xml:space="preserve"> بسنده عن عائشة رضي الله عنها </w:t>
      </w:r>
      <w:r>
        <w:rPr>
          <w:rFonts w:hint="cs"/>
          <w:spacing w:val="-2"/>
          <w:rtl/>
        </w:rPr>
        <w:t xml:space="preserve">: أنها أرادت أن تشتري بريرة، وأنهم اشترطوا ولاءها، فذُكر للنبي </w:t>
      </w:r>
      <w:r>
        <w:rPr>
          <w:rFonts w:ascii="AGA Arabesque" w:hAnsi="AGA Arabesque"/>
          <w:spacing w:val="-2"/>
          <w:sz w:val="36"/>
          <w:szCs w:val="36"/>
        </w:rPr>
        <w:t></w:t>
      </w:r>
      <w:r>
        <w:rPr>
          <w:rFonts w:hint="cs"/>
          <w:spacing w:val="-2"/>
          <w:rtl/>
        </w:rPr>
        <w:t xml:space="preserve"> ،</w:t>
      </w:r>
      <w:r>
        <w:rPr>
          <w:rFonts w:hint="cs"/>
          <w:rtl/>
        </w:rPr>
        <w:t xml:space="preserve"> فقال النبي </w:t>
      </w:r>
      <w:r>
        <w:rPr>
          <w:rFonts w:ascii="AGA Arabesque" w:hAnsi="AGA Arabesque"/>
          <w:sz w:val="36"/>
          <w:szCs w:val="36"/>
        </w:rPr>
        <w:t></w:t>
      </w:r>
      <w:r>
        <w:rPr>
          <w:rFonts w:hint="cs"/>
          <w:rtl/>
        </w:rPr>
        <w:t xml:space="preserve"> : </w:t>
      </w:r>
      <w:r>
        <w:rPr>
          <w:rFonts w:hint="eastAsia"/>
          <w:rtl/>
        </w:rPr>
        <w:t>«</w:t>
      </w:r>
      <w:r>
        <w:rPr>
          <w:rFonts w:hint="cs"/>
          <w:rtl/>
        </w:rPr>
        <w:t>اشتريها فأعتقيها، فإنما الولاء لمن أعتق</w:t>
      </w:r>
      <w:r>
        <w:rPr>
          <w:rFonts w:hint="eastAsia"/>
          <w:rtl/>
        </w:rPr>
        <w:t>»</w:t>
      </w:r>
      <w:r>
        <w:rPr>
          <w:rFonts w:hint="cs"/>
          <w:rtl/>
        </w:rPr>
        <w:t xml:space="preserve">. وأُهدِيَ لها لحم، فقيل للنبي </w:t>
      </w:r>
      <w:r>
        <w:rPr>
          <w:rFonts w:ascii="AGA Arabesque" w:hAnsi="AGA Arabesque"/>
          <w:sz w:val="36"/>
          <w:szCs w:val="36"/>
        </w:rPr>
        <w:t></w:t>
      </w:r>
      <w:r>
        <w:rPr>
          <w:rFonts w:hint="cs"/>
          <w:rtl/>
        </w:rPr>
        <w:t xml:space="preserve"> : هذا تُصُدِّق على بريرة، فقال النبي </w:t>
      </w:r>
      <w:r>
        <w:rPr>
          <w:rFonts w:ascii="AGA Arabesque" w:hAnsi="AGA Arabesque"/>
          <w:sz w:val="36"/>
          <w:szCs w:val="36"/>
        </w:rPr>
        <w:t></w:t>
      </w:r>
      <w:r>
        <w:rPr>
          <w:rFonts w:hint="cs"/>
          <w:rtl/>
        </w:rPr>
        <w:t xml:space="preserve">: </w:t>
      </w:r>
      <w:r>
        <w:rPr>
          <w:rFonts w:hint="eastAsia"/>
          <w:rtl/>
        </w:rPr>
        <w:t>«</w:t>
      </w:r>
      <w:r>
        <w:rPr>
          <w:rFonts w:cs="DecoType Naskh Swashes" w:hint="cs"/>
          <w:rtl/>
        </w:rPr>
        <w:t>هو لها صدقة ولنا هدية</w:t>
      </w:r>
      <w:r>
        <w:rPr>
          <w:rFonts w:hint="eastAsia"/>
          <w:rtl/>
        </w:rPr>
        <w:t>»</w:t>
      </w:r>
      <w:r>
        <w:rPr>
          <w:rFonts w:hint="cs"/>
          <w:rtl/>
        </w:rPr>
        <w:t xml:space="preserve"> وخُيّرت.</w:t>
      </w:r>
    </w:p>
    <w:p w:rsidR="00035BE3" w:rsidRDefault="00035BE3" w:rsidP="00C10469">
      <w:pPr>
        <w:pStyle w:val="a6"/>
        <w:ind w:left="422" w:firstLine="0"/>
        <w:rPr>
          <w:spacing w:val="6"/>
          <w:rtl/>
        </w:rPr>
      </w:pPr>
      <w:r>
        <w:rPr>
          <w:rFonts w:hint="cs"/>
          <w:spacing w:val="6"/>
          <w:rtl/>
        </w:rPr>
        <w:t xml:space="preserve">وأخرجه مسلم بنحوه، كتاب  الزكاة، باب  إباحة الهدية للنبي </w:t>
      </w:r>
      <w:r>
        <w:rPr>
          <w:rFonts w:ascii="AGA Arabesque" w:hAnsi="AGA Arabesque"/>
          <w:spacing w:val="6"/>
          <w:sz w:val="36"/>
          <w:szCs w:val="36"/>
        </w:rPr>
        <w:t></w:t>
      </w:r>
      <w:r>
        <w:rPr>
          <w:rFonts w:hint="cs"/>
          <w:spacing w:val="6"/>
          <w:rtl/>
        </w:rPr>
        <w:t xml:space="preserve"> ... وإن كان المهدي ملكها بطريق الصدقة ...، 2/755-756، ح 1074-1076، وكتاب  العتق، باب  إنما الولاء لمن أعتق، 2/1143-1145.</w:t>
      </w:r>
    </w:p>
    <w:p w:rsidR="00035BE3" w:rsidRDefault="00035BE3" w:rsidP="00C10469">
      <w:pPr>
        <w:pStyle w:val="a6"/>
        <w:ind w:left="422" w:firstLine="0"/>
        <w:rPr>
          <w:spacing w:val="-8"/>
          <w:sz w:val="29"/>
          <w:szCs w:val="29"/>
          <w:rtl/>
        </w:rPr>
      </w:pPr>
      <w:r>
        <w:rPr>
          <w:rFonts w:hint="cs"/>
          <w:spacing w:val="-8"/>
          <w:sz w:val="29"/>
          <w:szCs w:val="29"/>
          <w:rtl/>
        </w:rPr>
        <w:t>علمًا بأنه ورد باللفظ الذي ذكره المؤلف في بعض كتب الفقه؛ كالكفاية، 3/226؛ والدّرر شرح الغرر، 2/32.</w:t>
      </w:r>
    </w:p>
    <w:p w:rsidR="00035BE3" w:rsidRDefault="00035BE3" w:rsidP="00C10469">
      <w:pPr>
        <w:pStyle w:val="a6"/>
        <w:ind w:left="422" w:firstLine="0"/>
        <w:rPr>
          <w:rtl/>
        </w:rPr>
      </w:pPr>
      <w:r>
        <w:rPr>
          <w:rFonts w:hint="cs"/>
          <w:b/>
          <w:bCs/>
          <w:rtl/>
        </w:rPr>
        <w:t>ووجه الاستشهاد بالحديث</w:t>
      </w:r>
      <w:r>
        <w:rPr>
          <w:rFonts w:hint="cs"/>
          <w:rtl/>
        </w:rPr>
        <w:t xml:space="preserve"> : أن اللحم الذي أهدي إلى النبي </w:t>
      </w:r>
      <w:r>
        <w:rPr>
          <w:rFonts w:ascii="AGA Arabesque" w:hAnsi="AGA Arabesque"/>
          <w:sz w:val="36"/>
          <w:szCs w:val="36"/>
        </w:rPr>
        <w:t></w:t>
      </w:r>
      <w:r>
        <w:rPr>
          <w:rFonts w:hint="cs"/>
          <w:rtl/>
        </w:rPr>
        <w:t xml:space="preserve"> هو عين اللحم الذي تُصُدَّق به على بريرة، إلا أن بريرة ملكته عن طريق الصدقة، والرسول </w:t>
      </w:r>
      <w:r>
        <w:rPr>
          <w:rFonts w:ascii="AGA Arabesque" w:hAnsi="AGA Arabesque"/>
          <w:sz w:val="36"/>
          <w:szCs w:val="36"/>
        </w:rPr>
        <w:t></w:t>
      </w:r>
      <w:r>
        <w:rPr>
          <w:rFonts w:hint="cs"/>
          <w:rtl/>
        </w:rPr>
        <w:t xml:space="preserve"> عن طريق الهدية، فجعل هذا قائم مقام تبدل الذات.</w:t>
      </w:r>
    </w:p>
  </w:footnote>
  <w:footnote w:id="16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درر الحكام شرح غرر الأحكام، 2/32؛ وانظر أيضًا : العناية، 9/213-214.</w:t>
      </w:r>
    </w:p>
  </w:footnote>
  <w:footnote w:id="16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النقد في اللغة</w:t>
      </w:r>
      <w:r>
        <w:rPr>
          <w:rFonts w:hint="cs"/>
          <w:rtl/>
        </w:rPr>
        <w:t xml:space="preserve"> : مصدر نَقَدَ. والنون والقاف والدال - كما يقول ابن فارس -: </w:t>
      </w:r>
      <w:r>
        <w:rPr>
          <w:rFonts w:hint="eastAsia"/>
          <w:rtl/>
        </w:rPr>
        <w:t>«</w:t>
      </w:r>
      <w:r>
        <w:rPr>
          <w:rFonts w:hint="cs"/>
          <w:rtl/>
        </w:rPr>
        <w:t xml:space="preserve"> أصل صحيح يدل على إبراز شيء وبروزه</w:t>
      </w:r>
      <w:r>
        <w:rPr>
          <w:rFonts w:hint="eastAsia"/>
          <w:rtl/>
        </w:rPr>
        <w:t>»</w:t>
      </w:r>
      <w:r>
        <w:rPr>
          <w:rFonts w:hint="cs"/>
          <w:rtl/>
        </w:rPr>
        <w:t xml:space="preserve">، ويدخل في هذا الأصل ما جاء في (المعجم الوسيط) : </w:t>
      </w:r>
      <w:r>
        <w:rPr>
          <w:rFonts w:hint="eastAsia"/>
          <w:rtl/>
        </w:rPr>
        <w:t>«</w:t>
      </w:r>
      <w:r>
        <w:rPr>
          <w:rFonts w:hint="cs"/>
          <w:rtl/>
        </w:rPr>
        <w:t>ونَقَدَ ... فلانًا الثمن، وله الثمن : أعطاه إياه نقدًا معجّلاً</w:t>
      </w:r>
      <w:r>
        <w:rPr>
          <w:rFonts w:hint="eastAsia"/>
          <w:rtl/>
        </w:rPr>
        <w:t>»</w:t>
      </w:r>
      <w:r>
        <w:rPr>
          <w:rFonts w:hint="cs"/>
          <w:rtl/>
        </w:rPr>
        <w:t>.</w:t>
      </w:r>
    </w:p>
    <w:p w:rsidR="00035BE3" w:rsidRDefault="00035BE3" w:rsidP="00C10469">
      <w:pPr>
        <w:pStyle w:val="a6"/>
        <w:ind w:left="422" w:firstLine="0"/>
        <w:rPr>
          <w:spacing w:val="-2"/>
          <w:rtl/>
        </w:rPr>
      </w:pPr>
      <w:r>
        <w:rPr>
          <w:rFonts w:hint="cs"/>
          <w:spacing w:val="-2"/>
          <w:rtl/>
        </w:rPr>
        <w:t xml:space="preserve">المقاييس في اللغة، مادة </w:t>
      </w:r>
      <w:r>
        <w:rPr>
          <w:rFonts w:hint="eastAsia"/>
          <w:spacing w:val="-2"/>
          <w:rtl/>
        </w:rPr>
        <w:t>«</w:t>
      </w:r>
      <w:r>
        <w:rPr>
          <w:rFonts w:hint="cs"/>
          <w:spacing w:val="-2"/>
          <w:rtl/>
        </w:rPr>
        <w:t>نقد</w:t>
      </w:r>
      <w:r>
        <w:rPr>
          <w:rFonts w:hint="eastAsia"/>
          <w:spacing w:val="-2"/>
          <w:rtl/>
        </w:rPr>
        <w:t>»</w:t>
      </w:r>
      <w:r>
        <w:rPr>
          <w:rFonts w:hint="cs"/>
          <w:spacing w:val="-2"/>
          <w:rtl/>
        </w:rPr>
        <w:t xml:space="preserve">، ص1043-1044؛ المعجم الوسيط، مادة </w:t>
      </w:r>
      <w:r>
        <w:rPr>
          <w:rFonts w:hint="eastAsia"/>
          <w:spacing w:val="-2"/>
          <w:rtl/>
        </w:rPr>
        <w:t>«</w:t>
      </w:r>
      <w:r>
        <w:rPr>
          <w:rFonts w:hint="cs"/>
          <w:spacing w:val="-2"/>
          <w:rtl/>
        </w:rPr>
        <w:t>نقد</w:t>
      </w:r>
      <w:r>
        <w:rPr>
          <w:rFonts w:hint="eastAsia"/>
          <w:spacing w:val="-2"/>
          <w:rtl/>
        </w:rPr>
        <w:t>»</w:t>
      </w:r>
      <w:r>
        <w:rPr>
          <w:rFonts w:hint="cs"/>
          <w:spacing w:val="-2"/>
          <w:rtl/>
        </w:rPr>
        <w:t xml:space="preserve">، 2/944، وانظر : القاموس المحيط، مادة </w:t>
      </w:r>
      <w:r>
        <w:rPr>
          <w:rFonts w:hint="eastAsia"/>
          <w:spacing w:val="-2"/>
          <w:rtl/>
        </w:rPr>
        <w:t>«</w:t>
      </w:r>
      <w:r>
        <w:rPr>
          <w:rFonts w:hint="cs"/>
          <w:spacing w:val="-2"/>
          <w:rtl/>
        </w:rPr>
        <w:t>نقد</w:t>
      </w:r>
      <w:r>
        <w:rPr>
          <w:rFonts w:hint="eastAsia"/>
          <w:spacing w:val="-2"/>
          <w:rtl/>
        </w:rPr>
        <w:t>»</w:t>
      </w:r>
      <w:r>
        <w:rPr>
          <w:rFonts w:hint="cs"/>
          <w:spacing w:val="-2"/>
          <w:rtl/>
        </w:rPr>
        <w:t>، ص412.</w:t>
      </w:r>
    </w:p>
  </w:footnote>
  <w:footnote w:id="1651">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ووقت</w:t>
      </w:r>
      <w:r>
        <w:rPr>
          <w:rFonts w:hint="eastAsia"/>
          <w:rtl/>
        </w:rPr>
        <w:t>»</w:t>
      </w:r>
      <w:r>
        <w:rPr>
          <w:rFonts w:hint="cs"/>
          <w:rtl/>
        </w:rPr>
        <w:t>.</w:t>
      </w:r>
    </w:p>
  </w:footnote>
  <w:footnote w:id="1652">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لو</w:t>
      </w:r>
      <w:r>
        <w:rPr>
          <w:rFonts w:hint="eastAsia"/>
          <w:rtl/>
        </w:rPr>
        <w:t>»</w:t>
      </w:r>
      <w:r>
        <w:rPr>
          <w:rFonts w:hint="cs"/>
          <w:rtl/>
        </w:rPr>
        <w:t>.</w:t>
      </w:r>
    </w:p>
  </w:footnote>
  <w:footnote w:id="165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أن البائع الأول لم يشتَرِ العين من المشتري الأول مباشرة؛ بل بواسطة مشترٍ آخر، اشترى العين من المشتري الأول، ثم باعها المشتري الآخر للبائع الأول.</w:t>
      </w:r>
    </w:p>
  </w:footnote>
  <w:footnote w:id="1654">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المسفاد</w:t>
      </w:r>
      <w:r>
        <w:rPr>
          <w:rFonts w:hint="eastAsia"/>
          <w:rtl/>
        </w:rPr>
        <w:t>»</w:t>
      </w:r>
      <w:r>
        <w:rPr>
          <w:rFonts w:hint="cs"/>
          <w:rtl/>
        </w:rPr>
        <w:t>.</w:t>
      </w:r>
    </w:p>
  </w:footnote>
  <w:footnote w:id="1655">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ومن</w:t>
      </w:r>
      <w:r>
        <w:rPr>
          <w:rFonts w:hint="eastAsia"/>
          <w:rtl/>
        </w:rPr>
        <w:t>»</w:t>
      </w:r>
      <w:r>
        <w:rPr>
          <w:rFonts w:hint="cs"/>
          <w:rtl/>
        </w:rPr>
        <w:t>. والصحيح ما تمَّ إثباته من (ب) و(د) و(هـ)؛ لأنه لا معنى لزيادة الواو.</w:t>
      </w:r>
    </w:p>
  </w:footnote>
  <w:footnote w:id="1656">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الفرع الذي صدَّر المؤلفُ الحديثَ عنه بقوله : </w:t>
      </w:r>
      <w:r>
        <w:rPr>
          <w:rFonts w:hint="eastAsia"/>
          <w:rtl/>
        </w:rPr>
        <w:t>«</w:t>
      </w:r>
      <w:r>
        <w:rPr>
          <w:rFonts w:hint="cs"/>
          <w:rtl/>
        </w:rPr>
        <w:t>ومن فروع هذا الأصل...</w:t>
      </w:r>
      <w:r>
        <w:rPr>
          <w:rFonts w:hint="eastAsia"/>
          <w:rtl/>
        </w:rPr>
        <w:t>»</w:t>
      </w:r>
      <w:r>
        <w:rPr>
          <w:rFonts w:hint="cs"/>
          <w:rtl/>
        </w:rPr>
        <w:t>. فـقد اختصره من العناية، 6/433، 434؛ أما الفرع الذي قبله فهو - وإن كان مذكورًا في العناية، إلا أنه مستفاد بالدرجة الأولى من الدّرر شرح الغرر؛ للتقارب اللفظي بينهما.</w:t>
      </w:r>
    </w:p>
    <w:p w:rsidR="00035BE3" w:rsidRDefault="00035BE3" w:rsidP="00C10469">
      <w:pPr>
        <w:pStyle w:val="a6"/>
        <w:ind w:left="420" w:firstLine="0"/>
        <w:rPr>
          <w:spacing w:val="-6"/>
          <w:rtl/>
        </w:rPr>
      </w:pPr>
      <w:r>
        <w:rPr>
          <w:rFonts w:hint="cs"/>
          <w:spacing w:val="-6"/>
          <w:rtl/>
        </w:rPr>
        <w:t xml:space="preserve">وهذا الفرع الثاني سبق أن مثَّل به المؤلف في قاعدة سابقة، وهي: </w:t>
      </w:r>
      <w:r>
        <w:rPr>
          <w:rFonts w:hint="eastAsia"/>
          <w:spacing w:val="-6"/>
          <w:rtl/>
        </w:rPr>
        <w:t>«</w:t>
      </w:r>
      <w:r>
        <w:rPr>
          <w:rFonts w:hint="cs"/>
          <w:spacing w:val="-6"/>
          <w:rtl/>
        </w:rPr>
        <w:t>اختلاف الأسباب بمنزلة اختلاف الأعيان</w:t>
      </w:r>
      <w:r>
        <w:rPr>
          <w:rFonts w:hint="eastAsia"/>
          <w:spacing w:val="-6"/>
          <w:rtl/>
        </w:rPr>
        <w:t>»</w:t>
      </w:r>
      <w:r>
        <w:rPr>
          <w:rFonts w:hint="cs"/>
          <w:spacing w:val="-6"/>
          <w:rtl/>
        </w:rPr>
        <w:t>- وذلك ص264 (ل5/ب - 6/أ)، قاعدة 8 - وقد سبق توثيق هذا الفرع مفصلاً هناك-.</w:t>
      </w:r>
    </w:p>
  </w:footnote>
  <w:footnote w:id="16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العبارة حصل فيها خلاف بين النسخ : فالعبارة المثبتة في الصلب من (أ)، وهي كذلك في (جـ) و(هـ) و(و) إلا أن الكلمة الثانية فيها هي : </w:t>
      </w:r>
      <w:r>
        <w:rPr>
          <w:rFonts w:hint="eastAsia"/>
          <w:rtl/>
        </w:rPr>
        <w:t>«</w:t>
      </w:r>
      <w:r>
        <w:rPr>
          <w:rFonts w:hint="cs"/>
          <w:rtl/>
        </w:rPr>
        <w:t>باع</w:t>
      </w:r>
      <w:r>
        <w:rPr>
          <w:rFonts w:hint="eastAsia"/>
          <w:rtl/>
        </w:rPr>
        <w:t>»</w:t>
      </w:r>
      <w:r>
        <w:rPr>
          <w:rFonts w:hint="cs"/>
          <w:rtl/>
        </w:rPr>
        <w:t xml:space="preserve"> وليست : </w:t>
      </w:r>
      <w:r>
        <w:rPr>
          <w:rFonts w:hint="eastAsia"/>
          <w:rtl/>
        </w:rPr>
        <w:t>«</w:t>
      </w:r>
      <w:r>
        <w:rPr>
          <w:rFonts w:hint="cs"/>
          <w:rtl/>
        </w:rPr>
        <w:t>بائع</w:t>
      </w:r>
      <w:r>
        <w:rPr>
          <w:rFonts w:hint="eastAsia"/>
          <w:rtl/>
        </w:rPr>
        <w:t>»</w:t>
      </w:r>
      <w:r>
        <w:rPr>
          <w:rFonts w:hint="cs"/>
          <w:rtl/>
        </w:rPr>
        <w:t>.</w:t>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وفي (ب) : </w:t>
      </w:r>
      <w:r>
        <w:rPr>
          <w:rFonts w:hint="eastAsia"/>
          <w:rtl/>
        </w:rPr>
        <w:t>«</w:t>
      </w:r>
      <w:r>
        <w:rPr>
          <w:rFonts w:hint="cs"/>
          <w:rtl/>
        </w:rPr>
        <w:t>فكان بائع المشتري الثاني غير بائع البائع الأول</w:t>
      </w:r>
      <w:r>
        <w:rPr>
          <w:rFonts w:hint="eastAsia"/>
          <w:rtl/>
        </w:rPr>
        <w:t>»</w:t>
      </w:r>
      <w:r>
        <w:rPr>
          <w:rFonts w:hint="cs"/>
          <w:rtl/>
        </w:rPr>
        <w:t>.</w:t>
      </w:r>
    </w:p>
    <w:p w:rsidR="00035BE3" w:rsidRDefault="00035BE3" w:rsidP="00C10469">
      <w:pPr>
        <w:pStyle w:val="a6"/>
        <w:ind w:left="422" w:firstLine="0"/>
        <w:rPr>
          <w:rtl/>
        </w:rPr>
      </w:pPr>
      <w:r>
        <w:rPr>
          <w:rFonts w:hint="cs"/>
          <w:rtl/>
        </w:rPr>
        <w:t xml:space="preserve">وهي كذلك في (د) إلا أن الكلمة الأولى هي : </w:t>
      </w:r>
      <w:r>
        <w:rPr>
          <w:rFonts w:hint="eastAsia"/>
          <w:rtl/>
        </w:rPr>
        <w:t>«</w:t>
      </w:r>
      <w:r>
        <w:rPr>
          <w:rFonts w:hint="cs"/>
          <w:rtl/>
        </w:rPr>
        <w:t>فكأنه</w:t>
      </w:r>
      <w:r>
        <w:rPr>
          <w:rFonts w:hint="eastAsia"/>
          <w:rtl/>
        </w:rPr>
        <w:t>»</w:t>
      </w:r>
      <w:r>
        <w:rPr>
          <w:rFonts w:hint="cs"/>
          <w:rtl/>
        </w:rPr>
        <w:t>.</w:t>
      </w:r>
    </w:p>
    <w:p w:rsidR="00035BE3" w:rsidRDefault="00035BE3" w:rsidP="00C10469">
      <w:pPr>
        <w:pStyle w:val="a6"/>
        <w:ind w:left="422" w:firstLine="0"/>
        <w:rPr>
          <w:rtl/>
        </w:rPr>
      </w:pPr>
      <w:r>
        <w:rPr>
          <w:rFonts w:hint="cs"/>
          <w:rtl/>
        </w:rPr>
        <w:t xml:space="preserve">وما في (جـ) و(هـ) و(و) أولى ممّا في (أ)، غير أن المنهج المتبع في هذا البحث (وهو اتخاذ إحدى النسخ أصلاً) يقتضي إثبات ما في نسخة الأصل (وهي أ) وإن كان ما في النسخ الأخرى أولى منه، إلا إذا كان ما فيها خطأ. ويلحظ هنا أن ما في (أ) له معنى صحيح؛ إذا المعنى: أن المشتري الأول </w:t>
      </w:r>
      <w:r w:rsidRPr="007A07D3">
        <w:rPr>
          <w:rFonts w:hint="cs"/>
          <w:spacing w:val="-2"/>
          <w:rtl/>
        </w:rPr>
        <w:t>كأنه بائع للمشتري الثاني عينًا مختلفة عمّا باعها له البائع الأول؛ لأن تبدل سبب الملك قائم مقام تبدل العين.</w:t>
      </w:r>
    </w:p>
  </w:footnote>
  <w:footnote w:id="16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زيادة من (جـ) و(هـ) و(و). وقد احتاج المؤلف إلى هذه العـبـارة في ص940 (ل80/ب)، وقد أُثبتت هناك في جميع النسخ.</w:t>
      </w:r>
    </w:p>
  </w:footnote>
  <w:footnote w:id="16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28/ب من (أ).</w:t>
      </w:r>
    </w:p>
  </w:footnote>
  <w:footnote w:id="16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تقييد المؤلف للقاعدة بكونها : بالنظر إلى غير العاقدين مستفاد من الكفاية، 3/226.</w:t>
      </w:r>
    </w:p>
    <w:p w:rsidR="00035BE3" w:rsidRDefault="00035BE3" w:rsidP="00C10469">
      <w:pPr>
        <w:pStyle w:val="a6"/>
        <w:ind w:left="422" w:firstLine="0"/>
        <w:rPr>
          <w:spacing w:val="-4"/>
          <w:rtl/>
        </w:rPr>
      </w:pPr>
      <w:r>
        <w:rPr>
          <w:rFonts w:hint="cs"/>
          <w:spacing w:val="-4"/>
          <w:rtl/>
        </w:rPr>
        <w:t xml:space="preserve">وقد احتاج المؤلف إلى إيراد هذا القيد ثانية عند حديـثه عن القـاعـدة : 193 </w:t>
      </w:r>
      <w:r>
        <w:rPr>
          <w:spacing w:val="-4"/>
          <w:rtl/>
        </w:rPr>
        <w:t>–</w:t>
      </w:r>
      <w:r>
        <w:rPr>
          <w:rFonts w:hint="cs"/>
          <w:spacing w:val="-4"/>
          <w:rtl/>
        </w:rPr>
        <w:t xml:space="preserve"> وذلـك ص940 </w:t>
      </w:r>
      <w:r w:rsidRPr="004D40C3">
        <w:rPr>
          <w:rFonts w:hint="cs"/>
          <w:spacing w:val="-6"/>
          <w:rtl/>
        </w:rPr>
        <w:t xml:space="preserve">(ل80/أ - ب) - ويمكن الاستفادة ممّا ذكره هناك، وممّا في (الكفاية) في توضيح هذا القيد على النحو </w:t>
      </w:r>
      <w:r>
        <w:rPr>
          <w:rFonts w:hint="cs"/>
          <w:spacing w:val="-4"/>
          <w:rtl/>
        </w:rPr>
        <w:t>الآتي:</w:t>
      </w:r>
    </w:p>
    <w:p w:rsidR="00035BE3" w:rsidRDefault="00035BE3" w:rsidP="00C10469">
      <w:pPr>
        <w:pStyle w:val="a6"/>
        <w:ind w:left="422" w:firstLine="0"/>
        <w:rPr>
          <w:rtl/>
        </w:rPr>
      </w:pPr>
      <w:r>
        <w:rPr>
          <w:rFonts w:hint="cs"/>
          <w:rtl/>
        </w:rPr>
        <w:t xml:space="preserve">قاعدة : </w:t>
      </w:r>
      <w:r>
        <w:rPr>
          <w:rFonts w:hint="eastAsia"/>
          <w:rtl/>
        </w:rPr>
        <w:t>«</w:t>
      </w:r>
      <w:r>
        <w:rPr>
          <w:rFonts w:hint="cs"/>
          <w:rtl/>
        </w:rPr>
        <w:t>تبدل سبب الملك قائم مقام تبدل الذات</w:t>
      </w:r>
      <w:r>
        <w:rPr>
          <w:rFonts w:hint="eastAsia"/>
          <w:rtl/>
        </w:rPr>
        <w:t>»</w:t>
      </w:r>
      <w:r>
        <w:rPr>
          <w:rFonts w:hint="cs"/>
          <w:rtl/>
        </w:rPr>
        <w:t xml:space="preserve">، وكذلك القاعدة الثامنة - التي بمعناها - وهي : </w:t>
      </w:r>
      <w:r>
        <w:rPr>
          <w:rFonts w:hint="eastAsia"/>
          <w:rtl/>
        </w:rPr>
        <w:t>«</w:t>
      </w:r>
      <w:r>
        <w:rPr>
          <w:rFonts w:hint="cs"/>
          <w:rtl/>
        </w:rPr>
        <w:t>اختلاف الأسباب بمنزلة اختلاف الأعيان</w:t>
      </w:r>
      <w:r>
        <w:rPr>
          <w:rFonts w:hint="eastAsia"/>
          <w:rtl/>
        </w:rPr>
        <w:t>»</w:t>
      </w:r>
      <w:r>
        <w:rPr>
          <w:rFonts w:hint="cs"/>
          <w:rtl/>
        </w:rPr>
        <w:t xml:space="preserve"> مقيّدتان بما إذا تغير العاقدان في هذه الأسباب المختلفة؛ أما بالنظر إليهما نفسيهما، وعدم تغيرهما : فلا يقال : إن اختلاف الأسباب بمنزلة اختلاف الأعيان؛ بل العين نفسها لم تتغير، وإن اختلف سببها؛ لأنه </w:t>
      </w:r>
      <w:r>
        <w:rPr>
          <w:rFonts w:hint="eastAsia"/>
          <w:rtl/>
        </w:rPr>
        <w:t>«</w:t>
      </w:r>
      <w:r>
        <w:rPr>
          <w:rFonts w:hint="cs"/>
          <w:rtl/>
        </w:rPr>
        <w:t>لا يـبالى باختلاف الأسباب عند حصول المقصود</w:t>
      </w:r>
      <w:r>
        <w:rPr>
          <w:rFonts w:hint="eastAsia"/>
          <w:rtl/>
        </w:rPr>
        <w:t>»</w:t>
      </w:r>
      <w:r>
        <w:rPr>
          <w:rFonts w:hint="cs"/>
          <w:rtl/>
        </w:rPr>
        <w:t>.</w:t>
      </w:r>
    </w:p>
    <w:p w:rsidR="00035BE3" w:rsidRDefault="00035BE3" w:rsidP="00C10469">
      <w:pPr>
        <w:pStyle w:val="a6"/>
        <w:ind w:left="422" w:firstLine="0"/>
        <w:rPr>
          <w:rtl/>
        </w:rPr>
      </w:pPr>
      <w:r>
        <w:rPr>
          <w:rFonts w:hint="cs"/>
          <w:rtl/>
        </w:rPr>
        <w:t>ويتضح هذا بالمثالين الآتيين :</w:t>
      </w:r>
    </w:p>
    <w:p w:rsidR="00035BE3" w:rsidRDefault="00035BE3" w:rsidP="00C10469">
      <w:pPr>
        <w:pStyle w:val="a6"/>
        <w:ind w:left="422" w:firstLine="0"/>
        <w:rPr>
          <w:rtl/>
        </w:rPr>
      </w:pPr>
      <w:r>
        <w:rPr>
          <w:rFonts w:hint="cs"/>
          <w:b/>
          <w:bCs/>
          <w:rtl/>
        </w:rPr>
        <w:t>الأول</w:t>
      </w:r>
      <w:r>
        <w:rPr>
          <w:rFonts w:hint="cs"/>
          <w:rtl/>
        </w:rPr>
        <w:t xml:space="preserve"> : قول الرسول </w:t>
      </w:r>
      <w:r>
        <w:rPr>
          <w:rFonts w:ascii="AGA Arabesque" w:hAnsi="AGA Arabesque"/>
          <w:sz w:val="36"/>
          <w:szCs w:val="36"/>
        </w:rPr>
        <w:t></w:t>
      </w:r>
      <w:r>
        <w:rPr>
          <w:rFonts w:hint="cs"/>
          <w:rtl/>
        </w:rPr>
        <w:t xml:space="preserve"> : </w:t>
      </w:r>
      <w:r>
        <w:rPr>
          <w:rFonts w:hint="eastAsia"/>
          <w:rtl/>
        </w:rPr>
        <w:t>«</w:t>
      </w:r>
      <w:r>
        <w:rPr>
          <w:rFonts w:cs="DecoType Naskh Swashes" w:hint="cs"/>
          <w:rtl/>
        </w:rPr>
        <w:t>هو لها صدقةٌ ولنا هدِيَّةٌ</w:t>
      </w:r>
      <w:r>
        <w:rPr>
          <w:rFonts w:hint="eastAsia"/>
          <w:rtl/>
        </w:rPr>
        <w:t>»</w:t>
      </w:r>
      <w:r>
        <w:rPr>
          <w:rFonts w:hint="cs"/>
          <w:rtl/>
        </w:rPr>
        <w:t xml:space="preserve"> : فقد نُزِّل اختلاف الأسباب فيه منزلة اختلاف الأعيان؛ لاختلاف العاقدين في الهدية والصدقة.</w:t>
      </w:r>
    </w:p>
    <w:p w:rsidR="00035BE3" w:rsidRDefault="00035BE3" w:rsidP="00C10469">
      <w:pPr>
        <w:pStyle w:val="a6"/>
        <w:ind w:left="422" w:firstLine="0"/>
        <w:rPr>
          <w:rtl/>
        </w:rPr>
      </w:pPr>
      <w:r>
        <w:rPr>
          <w:rFonts w:hint="cs"/>
          <w:rtl/>
        </w:rPr>
        <w:t xml:space="preserve">ففي الهدية؛ هما : الرسول </w:t>
      </w:r>
      <w:r>
        <w:rPr>
          <w:rFonts w:ascii="AGA Arabesque" w:hAnsi="AGA Arabesque"/>
          <w:sz w:val="36"/>
          <w:szCs w:val="36"/>
        </w:rPr>
        <w:t></w:t>
      </w:r>
      <w:r>
        <w:rPr>
          <w:rFonts w:hint="cs"/>
          <w:rtl/>
        </w:rPr>
        <w:t xml:space="preserve"> وبريرة. وفي الصدقة؛ هما : المتصدق وبريرة.</w:t>
      </w:r>
    </w:p>
    <w:p w:rsidR="00035BE3" w:rsidRDefault="00035BE3" w:rsidP="00C10469">
      <w:pPr>
        <w:pStyle w:val="a6"/>
        <w:ind w:left="422" w:firstLine="0"/>
        <w:rPr>
          <w:rtl/>
        </w:rPr>
      </w:pPr>
      <w:r>
        <w:rPr>
          <w:rFonts w:hint="cs"/>
          <w:b/>
          <w:bCs/>
          <w:rtl/>
        </w:rPr>
        <w:t>الثاني</w:t>
      </w:r>
      <w:r>
        <w:rPr>
          <w:rFonts w:hint="cs"/>
          <w:rtl/>
        </w:rPr>
        <w:t xml:space="preserve"> : لو قال رجل لآخر : علىّ ألف درهم من ثمن هذه الجارية التي اشتريتها منك.</w:t>
      </w:r>
    </w:p>
    <w:p w:rsidR="00035BE3" w:rsidRDefault="00035BE3" w:rsidP="00C10469">
      <w:pPr>
        <w:pStyle w:val="a6"/>
        <w:ind w:left="422" w:firstLine="0"/>
        <w:rPr>
          <w:rtl/>
        </w:rPr>
      </w:pPr>
      <w:r>
        <w:rPr>
          <w:rFonts w:hint="cs"/>
          <w:rtl/>
        </w:rPr>
        <w:t>وقال الآخر : الجارية جاريتك، ولي عليك ألف :</w:t>
      </w:r>
    </w:p>
    <w:p w:rsidR="00035BE3" w:rsidRDefault="00035BE3" w:rsidP="00C10469">
      <w:pPr>
        <w:pStyle w:val="a6"/>
        <w:ind w:left="422" w:firstLine="0"/>
        <w:rPr>
          <w:rtl/>
        </w:rPr>
      </w:pPr>
      <w:r>
        <w:rPr>
          <w:rFonts w:hint="cs"/>
          <w:rtl/>
        </w:rPr>
        <w:t xml:space="preserve">فيلحظ أن سبب ملك المقَرّ له للألف مختلف؛ فالمقر بالألف يدعي أن سببها شراؤه للجارية من المقَرّ له، والمقَر له الذي يطالب بالألف ينكر أن يكون هذا سببها.                                         </w:t>
      </w:r>
    </w:p>
    <w:p w:rsidR="00035BE3" w:rsidRDefault="00035BE3" w:rsidP="00C10469">
      <w:pPr>
        <w:pStyle w:val="a6"/>
        <w:ind w:left="422" w:firstLine="0"/>
        <w:rPr>
          <w:rtl/>
        </w:rPr>
      </w:pPr>
      <w:r>
        <w:rPr>
          <w:rFonts w:hint="cs"/>
          <w:rtl/>
        </w:rPr>
        <w:t xml:space="preserve">وعلى الرغم من اختلاف السبب فإنه تلزم الـمُقِرَّ الألفُ كاملة، ولا يقال : </w:t>
      </w:r>
      <w:r>
        <w:rPr>
          <w:rFonts w:hint="eastAsia"/>
          <w:rtl/>
        </w:rPr>
        <w:t>«</w:t>
      </w:r>
      <w:r>
        <w:rPr>
          <w:rFonts w:hint="cs"/>
          <w:rtl/>
        </w:rPr>
        <w:t>إن اختلاف الأسباب بمنـزلة اختلاف الأعيان</w:t>
      </w:r>
      <w:r>
        <w:rPr>
          <w:rFonts w:hint="eastAsia"/>
          <w:rtl/>
        </w:rPr>
        <w:t>»</w:t>
      </w:r>
      <w:r>
        <w:rPr>
          <w:rFonts w:hint="cs"/>
          <w:rtl/>
        </w:rPr>
        <w:t>، أي : لا يقال : إن الألف التي أقرّ بها المقر غير الألف التي يطالب بها المقر له؛ وذلك لأن العاقدين (وهما المقر والمقر له) في السببين واحد، وقد حصل المقصود (وهو ملكية المقَر له للألف) على كلا السببين؛ فلا يبالى باختلاف الأسباب عند سلامة المقصود.</w:t>
      </w:r>
    </w:p>
  </w:footnote>
  <w:footnote w:id="16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أن هذا أصل مستقل سيجيء في باب اللام، ونصه : </w:t>
      </w:r>
      <w:r>
        <w:rPr>
          <w:rFonts w:hint="eastAsia"/>
          <w:rtl/>
        </w:rPr>
        <w:t>«</w:t>
      </w:r>
      <w:r>
        <w:rPr>
          <w:rFonts w:hint="cs"/>
          <w:rtl/>
        </w:rPr>
        <w:t>لا يبالى باختلاف الأسباب عند سلامة المقصود</w:t>
      </w:r>
      <w:r>
        <w:rPr>
          <w:rFonts w:hint="eastAsia"/>
          <w:rtl/>
        </w:rPr>
        <w:t>»</w:t>
      </w:r>
      <w:r>
        <w:rPr>
          <w:rFonts w:hint="cs"/>
          <w:rtl/>
        </w:rPr>
        <w:t>، وذلك ص937 (ل 79/ب)، قاعدة 193.</w:t>
      </w:r>
    </w:p>
  </w:footnote>
  <w:footnote w:id="16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معناه في كثير من كتب الفقه وقواعده:</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ind w:left="422" w:firstLine="0"/>
        <w:rPr>
          <w:spacing w:val="6"/>
          <w:rtl/>
        </w:rPr>
      </w:pPr>
      <w:r>
        <w:rPr>
          <w:rFonts w:hint="cs"/>
          <w:spacing w:val="6"/>
          <w:rtl/>
        </w:rPr>
        <w:t xml:space="preserve">تقرير القواعد لابن رجب، 1/278، 279 - فهو وإن لم يصرِّح بها إلاّ أنها تفهم من سياق كلامه؛ لهذا صرح المحقِّق بها في أثناء توضيحه لقاعدة المؤلف؛ حيث قال : </w:t>
      </w:r>
      <w:r>
        <w:rPr>
          <w:rFonts w:hint="eastAsia"/>
          <w:spacing w:val="6"/>
          <w:rtl/>
        </w:rPr>
        <w:t>«</w:t>
      </w:r>
      <w:r>
        <w:rPr>
          <w:rFonts w:hint="cs"/>
          <w:spacing w:val="6"/>
          <w:rtl/>
        </w:rPr>
        <w:t>لأن الهبة لا تلزم إلا بالقبض</w:t>
      </w:r>
      <w:r>
        <w:rPr>
          <w:rFonts w:hint="eastAsia"/>
          <w:spacing w:val="6"/>
          <w:rtl/>
        </w:rPr>
        <w:t>»</w:t>
      </w:r>
      <w:r>
        <w:rPr>
          <w:rFonts w:hint="cs"/>
          <w:spacing w:val="6"/>
          <w:rtl/>
        </w:rPr>
        <w:t xml:space="preserve">-؛ مجامع الحقائق (الخاتمة)، ص45؛ شرح العلائي لقواعد الخادمي، ل15/أ-ب؛ منافع الدقائق، ص315-316؛ مجلة الأحكام العدلية، مادة 57؛ شرحها لسليم رستم، 1/42؛ ولعلي حيدر، 1/51؛ وللأتاسي، 1/138؛ وشرح قواعدها للزرقا، ص299؛ قواعد الفقه للمجدّدي، ص108، قاعدة 262؛ المدخل الفقهي العام، 2/1027، فقرة 643؛ القواعد الفقهية للدكتور علي الندوي، ص180؛ الوجيز، ص322؛ موسوعة القواعد الفقهية، 3/179- وقد ذكر لفظ المؤلف ولفظًا أخر وهو لفظ المبسوط، ونصه: </w:t>
      </w:r>
      <w:r>
        <w:rPr>
          <w:rFonts w:hint="eastAsia"/>
          <w:spacing w:val="6"/>
          <w:rtl/>
        </w:rPr>
        <w:t>«</w:t>
      </w:r>
      <w:r>
        <w:rPr>
          <w:rFonts w:hint="cs"/>
          <w:spacing w:val="6"/>
          <w:rtl/>
        </w:rPr>
        <w:t>الصدقة لا تتم إلا بالقبض</w:t>
      </w:r>
      <w:r>
        <w:rPr>
          <w:rFonts w:hint="eastAsia"/>
          <w:spacing w:val="6"/>
          <w:rtl/>
        </w:rPr>
        <w:t>»</w:t>
      </w:r>
      <w:r>
        <w:rPr>
          <w:rFonts w:hint="cs"/>
          <w:spacing w:val="6"/>
          <w:rtl/>
        </w:rPr>
        <w:t>-؛ المدخل إلى القواعد الفقهية الكلية، ص171؛ المبادئ الفقهية، ص36؛ القواعد الفقهية للدَّعَّاس، ص89، قاعدة 72؛ وللدكتور محمد الزحيلي، ص83.</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المبسوط، 12/35، 21/133؛ الدّرر شرح الغرر، 2/217، 218، 306، 430.</w:t>
      </w:r>
    </w:p>
  </w:footnote>
  <w:footnote w:id="16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آخر</w:t>
      </w:r>
      <w:r>
        <w:rPr>
          <w:rFonts w:hint="eastAsia"/>
          <w:rtl/>
        </w:rPr>
        <w:t>»</w:t>
      </w:r>
      <w:r>
        <w:rPr>
          <w:rFonts w:hint="cs"/>
          <w:rtl/>
        </w:rPr>
        <w:t>. وهذا الأولى، وهو الموافق لمصدر هذه العبارة (وهو الدّرر شرح الغرر).</w:t>
      </w:r>
    </w:p>
  </w:footnote>
  <w:footnote w:id="16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18/ب من (د).</w:t>
      </w:r>
    </w:p>
  </w:footnote>
  <w:footnote w:id="16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بنصيبه</w:t>
      </w:r>
      <w:r>
        <w:rPr>
          <w:rFonts w:hint="eastAsia"/>
          <w:rtl/>
        </w:rPr>
        <w:t>»</w:t>
      </w:r>
      <w:r>
        <w:rPr>
          <w:rFonts w:hint="cs"/>
          <w:rtl/>
        </w:rPr>
        <w:t xml:space="preserve">. وفي مصدر هذه العبارة (وهو الدرر) : </w:t>
      </w:r>
      <w:r>
        <w:rPr>
          <w:rFonts w:hint="eastAsia"/>
          <w:rtl/>
        </w:rPr>
        <w:t>«</w:t>
      </w:r>
      <w:r>
        <w:rPr>
          <w:rFonts w:hint="cs"/>
          <w:rtl/>
        </w:rPr>
        <w:t>لصاحبه بنصيبه من الدين لم يجز ...</w:t>
      </w:r>
      <w:r>
        <w:rPr>
          <w:rFonts w:hint="eastAsia"/>
          <w:rtl/>
        </w:rPr>
        <w:t>»</w:t>
      </w:r>
      <w:r>
        <w:rPr>
          <w:rFonts w:hint="cs"/>
          <w:rtl/>
        </w:rPr>
        <w:t>.</w:t>
      </w:r>
    </w:p>
  </w:footnote>
  <w:footnote w:id="16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لهما دين على آخر ... نصيبه</w:t>
      </w:r>
      <w:r>
        <w:rPr>
          <w:rFonts w:hint="eastAsia"/>
          <w:rtl/>
        </w:rPr>
        <w:t>»</w:t>
      </w:r>
      <w:r>
        <w:rPr>
          <w:rFonts w:hint="cs"/>
          <w:rtl/>
        </w:rPr>
        <w:t xml:space="preserve">  هذا نص ( الغرر)، وفُسَّر في (الدّرر) على النحو الآتي : </w:t>
      </w:r>
      <w:r>
        <w:rPr>
          <w:rFonts w:hint="eastAsia"/>
          <w:rtl/>
        </w:rPr>
        <w:t>«</w:t>
      </w:r>
      <w:r>
        <w:rPr>
          <w:rFonts w:hint="cs"/>
          <w:rtl/>
        </w:rPr>
        <w:t>يعني: إذا كفل أحد الشريكين لصاحبه بنصيبه من الدين: لم يجز؛ لأنه لو انصرف ...</w:t>
      </w:r>
      <w:r>
        <w:rPr>
          <w:rFonts w:hint="eastAsia"/>
          <w:rtl/>
        </w:rPr>
        <w:t>»</w:t>
      </w:r>
      <w:r>
        <w:rPr>
          <w:rFonts w:hint="cs"/>
          <w:rtl/>
        </w:rPr>
        <w:t>.</w:t>
      </w:r>
    </w:p>
  </w:footnote>
  <w:footnote w:id="16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لكون</w:t>
      </w:r>
      <w:r>
        <w:rPr>
          <w:rFonts w:hint="eastAsia"/>
          <w:rtl/>
        </w:rPr>
        <w:t>»</w:t>
      </w:r>
      <w:r>
        <w:rPr>
          <w:rFonts w:hint="cs"/>
          <w:rtl/>
        </w:rPr>
        <w:t>.</w:t>
      </w:r>
    </w:p>
  </w:footnote>
  <w:footnote w:id="16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قسمه</w:t>
      </w:r>
      <w:r>
        <w:rPr>
          <w:rFonts w:hint="eastAsia"/>
          <w:rtl/>
        </w:rPr>
        <w:t>»</w:t>
      </w:r>
      <w:r>
        <w:rPr>
          <w:rFonts w:hint="cs"/>
          <w:rtl/>
        </w:rPr>
        <w:t xml:space="preserve"> (بالهاء).</w:t>
      </w:r>
    </w:p>
  </w:footnote>
  <w:footnote w:id="16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باطلاً</w:t>
      </w:r>
      <w:r>
        <w:rPr>
          <w:rFonts w:hint="eastAsia"/>
          <w:rtl/>
        </w:rPr>
        <w:t>»</w:t>
      </w:r>
      <w:r>
        <w:rPr>
          <w:rFonts w:hint="cs"/>
          <w:rtl/>
        </w:rPr>
        <w:t>. وهذه الكلمة تمثِّل نهاية 19/أ من (ب).</w:t>
      </w:r>
    </w:p>
  </w:footnote>
  <w:footnote w:id="1670">
    <w:p w:rsidR="00035BE3" w:rsidRDefault="00035BE3" w:rsidP="00C10469">
      <w:pPr>
        <w:pStyle w:val="a8"/>
        <w:bidi/>
        <w:spacing w:line="216" w:lineRule="auto"/>
        <w:ind w:left="420"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 </w:t>
      </w:r>
      <w:r>
        <w:rPr>
          <w:rFonts w:hint="eastAsia"/>
          <w:spacing w:val="-6"/>
          <w:rtl/>
        </w:rPr>
        <w:t>«</w:t>
      </w:r>
      <w:r>
        <w:rPr>
          <w:rFonts w:hint="cs"/>
          <w:spacing w:val="-6"/>
          <w:rtl/>
        </w:rPr>
        <w:t>يردّه</w:t>
      </w:r>
      <w:r>
        <w:rPr>
          <w:rFonts w:hint="eastAsia"/>
          <w:spacing w:val="-6"/>
          <w:rtl/>
        </w:rPr>
        <w:t>»</w:t>
      </w:r>
      <w:r>
        <w:rPr>
          <w:rFonts w:hint="cs"/>
          <w:spacing w:val="-6"/>
          <w:rtl/>
        </w:rPr>
        <w:t>. والصحيح ما في باقي النسخ؛ وفاقًا للدّرر؛ لأن الإنسان لا يرد ما دفعه لغيره؛ بل يسترده.</w:t>
      </w:r>
    </w:p>
  </w:footnote>
  <w:footnote w:id="1671">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ما</w:t>
      </w:r>
      <w:r>
        <w:rPr>
          <w:rFonts w:hint="eastAsia"/>
          <w:rtl/>
        </w:rPr>
        <w:t>»</w:t>
      </w:r>
      <w:r>
        <w:rPr>
          <w:rFonts w:hint="cs"/>
          <w:rtl/>
        </w:rPr>
        <w:t xml:space="preserve"> : ساقطة من (جـ).</w:t>
      </w:r>
    </w:p>
  </w:footnote>
  <w:footnote w:id="1672">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عليه</w:t>
      </w:r>
      <w:r>
        <w:rPr>
          <w:rFonts w:hint="eastAsia"/>
          <w:rtl/>
        </w:rPr>
        <w:t>»</w:t>
      </w:r>
      <w:r>
        <w:rPr>
          <w:rFonts w:hint="cs"/>
          <w:rtl/>
        </w:rPr>
        <w:t>: وردت مكررة في بداية السطر الأخير، ونهاية السطر الذي قبله من ل22/أ من نسخة (جـ).</w:t>
      </w:r>
    </w:p>
  </w:footnote>
  <w:footnote w:id="1673">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لأنه أدّى ... يسترده</w:t>
      </w:r>
      <w:r>
        <w:rPr>
          <w:rFonts w:hint="eastAsia"/>
          <w:rtl/>
        </w:rPr>
        <w:t>»</w:t>
      </w:r>
      <w:r>
        <w:rPr>
          <w:rFonts w:hint="cs"/>
          <w:rtl/>
        </w:rPr>
        <w:t xml:space="preserve"> : ساقطة من (د).</w:t>
      </w:r>
    </w:p>
  </w:footnote>
  <w:footnote w:id="1674">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سيأتي الحديث عنها استقلالاً، وذلك ص698 (ل52/أ)، قاعدة 124.</w:t>
      </w:r>
    </w:p>
  </w:footnote>
  <w:footnote w:id="1675">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لو أدّى</w:t>
      </w:r>
      <w:r>
        <w:rPr>
          <w:rFonts w:hint="eastAsia"/>
          <w:rtl/>
        </w:rPr>
        <w:t>»</w:t>
      </w:r>
      <w:r>
        <w:rPr>
          <w:rFonts w:hint="cs"/>
          <w:rtl/>
        </w:rPr>
        <w:t xml:space="preserve"> مكرّرة في السطر نفسه من نسخة (جـ).</w:t>
      </w:r>
    </w:p>
  </w:footnote>
  <w:footnote w:id="1676">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22/أ من (جـ).</w:t>
      </w:r>
    </w:p>
  </w:footnote>
  <w:footnote w:id="1677">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بعقله</w:t>
      </w:r>
      <w:r>
        <w:rPr>
          <w:rFonts w:hint="eastAsia"/>
          <w:rtl/>
        </w:rPr>
        <w:t>»</w:t>
      </w:r>
      <w:r>
        <w:rPr>
          <w:rFonts w:hint="cs"/>
          <w:rtl/>
        </w:rPr>
        <w:t>. والصحيح ما تمَّ إثباته من (ب) و(د)، وهو الموافق للدّرر.</w:t>
      </w:r>
    </w:p>
  </w:footnote>
  <w:footnote w:id="1678">
    <w:p w:rsidR="00035BE3" w:rsidRPr="006D2AD9"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6D2AD9">
        <w:rPr>
          <w:rFonts w:hint="cs"/>
          <w:rtl/>
        </w:rPr>
        <w:t xml:space="preserve">الدّرر شرح الغرر، 2/306، مع اختلاف سبقت الإشارة إلى بعضه، ويضاف إليه أن صاحب (الدّرر) قال في آخر العبارة : </w:t>
      </w:r>
      <w:r w:rsidRPr="006D2AD9">
        <w:rPr>
          <w:rFonts w:hint="eastAsia"/>
          <w:rtl/>
        </w:rPr>
        <w:t>«</w:t>
      </w:r>
      <w:r w:rsidRPr="006D2AD9">
        <w:rPr>
          <w:rFonts w:hint="cs"/>
          <w:rtl/>
        </w:rPr>
        <w:t xml:space="preserve">ولو أدى متبرِّعًا : جاز؛ لأن </w:t>
      </w:r>
      <w:r w:rsidRPr="006D2AD9">
        <w:rPr>
          <w:rFonts w:hint="eastAsia"/>
          <w:rtl/>
        </w:rPr>
        <w:t>«</w:t>
      </w:r>
      <w:r w:rsidRPr="006D2AD9">
        <w:rPr>
          <w:rFonts w:hint="cs"/>
          <w:rtl/>
        </w:rPr>
        <w:t>التبرع لا يتم إلا بالقبض</w:t>
      </w:r>
      <w:r w:rsidRPr="006D2AD9">
        <w:rPr>
          <w:rFonts w:hint="eastAsia"/>
          <w:rtl/>
        </w:rPr>
        <w:t>»</w:t>
      </w:r>
      <w:r w:rsidRPr="006D2AD9">
        <w:rPr>
          <w:rFonts w:hint="cs"/>
          <w:rtl/>
        </w:rPr>
        <w:t>، وبه يصير عينًا، وتميّز نصيب شريكه بصيرورته عينًا بفعله. كذا في (الوجيز شرح الجامع الكبير)</w:t>
      </w:r>
      <w:r w:rsidRPr="006D2AD9">
        <w:rPr>
          <w:rFonts w:hint="eastAsia"/>
          <w:rtl/>
        </w:rPr>
        <w:t>»</w:t>
      </w:r>
      <w:r w:rsidRPr="006D2AD9">
        <w:rPr>
          <w:rFonts w:hint="cs"/>
          <w:rtl/>
        </w:rPr>
        <w:t>.</w:t>
      </w:r>
    </w:p>
    <w:p w:rsidR="00035BE3" w:rsidRPr="006D2AD9" w:rsidRDefault="00035BE3" w:rsidP="00C10469">
      <w:pPr>
        <w:pStyle w:val="a6"/>
        <w:spacing w:line="216" w:lineRule="auto"/>
        <w:ind w:left="420" w:firstLine="0"/>
        <w:rPr>
          <w:rtl/>
        </w:rPr>
      </w:pPr>
      <w:r w:rsidRPr="006D2AD9">
        <w:rPr>
          <w:rFonts w:hint="cs"/>
          <w:rtl/>
        </w:rPr>
        <w:t xml:space="preserve">وقد بحثت طويلاً عن موضع هذا النقل من (الوجيز)، لكن لم أهتدِ إليه. ومعناه مقرّر في عدد من كتب الفقه الحنفي </w:t>
      </w:r>
      <w:r w:rsidRPr="006D2AD9">
        <w:rPr>
          <w:rtl/>
        </w:rPr>
        <w:t>–</w:t>
      </w:r>
      <w:r w:rsidRPr="006D2AD9">
        <w:rPr>
          <w:rFonts w:hint="cs"/>
          <w:rtl/>
        </w:rPr>
        <w:t xml:space="preserve"> وبعضها متقدم على الوجيز-، منها الجامع الصغير وشرحه : النافع الكبير، ص379، المبسوط، 20/131-132؛ الهداية والعناية وفتح القدير، 7/219؛ البحر الرائق، 6/254؛ الدر المختار ورد المحتار، 7/580.</w:t>
      </w:r>
    </w:p>
    <w:p w:rsidR="00035BE3" w:rsidRDefault="00035BE3" w:rsidP="00C10469">
      <w:pPr>
        <w:pStyle w:val="a6"/>
        <w:spacing w:line="216" w:lineRule="auto"/>
        <w:ind w:left="420" w:firstLine="0"/>
        <w:rPr>
          <w:spacing w:val="-8"/>
          <w:sz w:val="29"/>
          <w:szCs w:val="29"/>
          <w:rtl/>
        </w:rPr>
      </w:pPr>
      <w:r>
        <w:rPr>
          <w:rFonts w:hint="cs"/>
          <w:b/>
          <w:bCs/>
          <w:spacing w:val="-8"/>
          <w:sz w:val="29"/>
          <w:szCs w:val="29"/>
          <w:rtl/>
        </w:rPr>
        <w:t>والوجيز</w:t>
      </w:r>
      <w:r>
        <w:rPr>
          <w:rFonts w:hint="cs"/>
          <w:spacing w:val="-8"/>
          <w:sz w:val="29"/>
          <w:szCs w:val="29"/>
          <w:rtl/>
        </w:rPr>
        <w:t xml:space="preserve"> : لمحمود بن أحمد عبد السَّيِّد بن عثمان، أبي المحامد البخاري الحنفي المعروف بالحصيري (ت 636هـ).</w:t>
      </w:r>
    </w:p>
    <w:p w:rsidR="00035BE3" w:rsidRDefault="00035BE3" w:rsidP="00C10469">
      <w:pPr>
        <w:pStyle w:val="a6"/>
        <w:spacing w:line="216" w:lineRule="auto"/>
        <w:ind w:left="420" w:firstLine="0"/>
        <w:rPr>
          <w:rtl/>
        </w:rPr>
      </w:pPr>
      <w:r>
        <w:rPr>
          <w:rFonts w:hint="cs"/>
          <w:rtl/>
        </w:rPr>
        <w:t>وهو كتاب في الفقه الحنفي، شرح فيه (الجامع الكبير) لمحمد بن الحسن الشيباني شرحًا مختصرًا، ثم أتبعه بشرح آخر مطوّل وهو (التحرير).</w:t>
      </w:r>
    </w:p>
    <w:p w:rsidR="00035BE3" w:rsidRPr="00D01B0C" w:rsidRDefault="00035BE3" w:rsidP="00C10469">
      <w:pPr>
        <w:pStyle w:val="a6"/>
        <w:spacing w:line="216" w:lineRule="auto"/>
        <w:ind w:left="420" w:firstLine="0"/>
        <w:rPr>
          <w:rtl/>
        </w:rPr>
      </w:pPr>
      <w:r w:rsidRPr="00D01B0C">
        <w:rPr>
          <w:rFonts w:hint="cs"/>
          <w:rtl/>
        </w:rPr>
        <w:t xml:space="preserve">وقد استفاد في هذا المختصر كثيرًا من شرح الجامع الكبير لمحمد بن عبد الحمـيد، العلاء السـمرقـنـدي (ت 552هـ)، إلا أنه زاد عليه أكثر من ألف مسألة وفرق، كما أفصح عن ذلك في المقدمة حيث قال: </w:t>
      </w:r>
      <w:r w:rsidRPr="00D01B0C">
        <w:rPr>
          <w:rFonts w:hint="eastAsia"/>
          <w:rtl/>
        </w:rPr>
        <w:t>«</w:t>
      </w:r>
      <w:r w:rsidRPr="00D01B0C">
        <w:rPr>
          <w:rFonts w:hint="cs"/>
          <w:rtl/>
        </w:rPr>
        <w:t>حتى زدت في هذا المختصر أكثر من ألف مسألة وفرقٍ على جامع شيخ الإسلام علاء الأئمة السمرقندي رحمه الله</w:t>
      </w:r>
      <w:r w:rsidRPr="00D01B0C">
        <w:rPr>
          <w:rFonts w:hint="eastAsia"/>
          <w:rtl/>
        </w:rPr>
        <w:t>»</w:t>
      </w:r>
      <w:r w:rsidRPr="00D01B0C">
        <w:rPr>
          <w:rFonts w:hint="cs"/>
          <w:rtl/>
        </w:rPr>
        <w:t xml:space="preserve">. </w:t>
      </w:r>
    </w:p>
    <w:p w:rsidR="00035BE3" w:rsidRDefault="00035BE3" w:rsidP="00C10469">
      <w:pPr>
        <w:pStyle w:val="a6"/>
        <w:spacing w:line="216" w:lineRule="auto"/>
        <w:ind w:left="420" w:firstLine="0"/>
        <w:rPr>
          <w:rtl/>
        </w:rPr>
      </w:pPr>
      <w:r>
        <w:rPr>
          <w:rFonts w:hint="cs"/>
          <w:rtl/>
        </w:rPr>
        <w:t>وكتاب الوجيز قام بتحقيقه الباحث : حميد قائد سيف؛ وذلك لنيل درجة الدكتوراه في الفقه المقارن في المعهد العالي للقضاء بالرياض، وقد رجّح المحقّق تسميته بالمختصر.</w:t>
      </w:r>
    </w:p>
    <w:p w:rsidR="00035BE3" w:rsidRPr="00D01B0C" w:rsidRDefault="00035BE3" w:rsidP="00C10469">
      <w:pPr>
        <w:pStyle w:val="a6"/>
        <w:spacing w:line="216" w:lineRule="auto"/>
        <w:ind w:left="420" w:firstLine="0"/>
        <w:rPr>
          <w:sz w:val="28"/>
          <w:szCs w:val="28"/>
          <w:rtl/>
        </w:rPr>
      </w:pPr>
      <w:r>
        <w:rPr>
          <w:rFonts w:hint="cs"/>
          <w:sz w:val="28"/>
          <w:szCs w:val="28"/>
          <w:rtl/>
        </w:rPr>
        <w:t>انظر</w:t>
      </w:r>
      <w:r w:rsidRPr="00D01B0C">
        <w:rPr>
          <w:rFonts w:hint="cs"/>
          <w:sz w:val="28"/>
          <w:szCs w:val="28"/>
          <w:rtl/>
        </w:rPr>
        <w:t xml:space="preserve">: مقدمة الوجيز، 1/3، ومقدمة المحقق له، 1/85؛ الجواهر المضية، 3/431، رقم 1611؛ تاج </w:t>
      </w:r>
      <w:r w:rsidRPr="00D01B0C">
        <w:rPr>
          <w:rFonts w:hint="cs"/>
          <w:spacing w:val="-4"/>
          <w:sz w:val="28"/>
          <w:szCs w:val="28"/>
          <w:rtl/>
        </w:rPr>
        <w:t>الـتراجـم، ص244، رقم 272؛ كشف الظنون، 2/568، 569؛ الفوائد البهية، ص205؛ هدية العارفين، 2/405؛ القواعد والضوابط المستخلصة من التحرير، ص63، 65؛ المذهب الحنفي لأحمد النقيب ، ص443.</w:t>
      </w:r>
    </w:p>
  </w:footnote>
  <w:footnote w:id="16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الثبات</w:t>
      </w:r>
      <w:r>
        <w:rPr>
          <w:rFonts w:hint="eastAsia"/>
          <w:rtl/>
        </w:rPr>
        <w:t>»</w:t>
      </w:r>
      <w:r>
        <w:rPr>
          <w:rFonts w:hint="cs"/>
          <w:rtl/>
        </w:rPr>
        <w:t>.</w:t>
      </w:r>
    </w:p>
  </w:footnote>
  <w:footnote w:id="16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المرجع الرئيس في هذه القاعدة هو (الدّرر)، وقد بيَّن صاحبُ الدرر </w:t>
      </w:r>
      <w:r>
        <w:rPr>
          <w:rFonts w:hint="cs"/>
          <w:b/>
          <w:bCs/>
          <w:rtl/>
        </w:rPr>
        <w:t>معنى هذه القاعدة</w:t>
      </w:r>
      <w:r>
        <w:rPr>
          <w:rFonts w:hint="cs"/>
          <w:rtl/>
        </w:rPr>
        <w:t xml:space="preserve"> فقال : </w:t>
      </w:r>
    </w:p>
    <w:p w:rsidR="00035BE3" w:rsidRDefault="00035BE3" w:rsidP="00C10469">
      <w:pPr>
        <w:pStyle w:val="a6"/>
        <w:ind w:left="422" w:firstLine="0"/>
        <w:rPr>
          <w:spacing w:val="6"/>
          <w:rtl/>
        </w:rPr>
      </w:pPr>
      <w:r>
        <w:rPr>
          <w:rFonts w:hint="eastAsia"/>
          <w:spacing w:val="8"/>
          <w:rtl/>
        </w:rPr>
        <w:t>«</w:t>
      </w:r>
      <w:r>
        <w:rPr>
          <w:rFonts w:hint="cs"/>
          <w:spacing w:val="8"/>
          <w:rtl/>
        </w:rPr>
        <w:t>التحليف على فعل نفسه يكون على البتات، (أي : أنه ليس كذلك، والبتات: القطع) والتحليف على فعل غيره يكون على العلم (أي أنه لا يعلم أنه كذلك)</w:t>
      </w:r>
      <w:r>
        <w:rPr>
          <w:rFonts w:hint="eastAsia"/>
          <w:spacing w:val="8"/>
          <w:rtl/>
        </w:rPr>
        <w:t>»</w:t>
      </w:r>
      <w:r>
        <w:rPr>
          <w:rFonts w:hint="cs"/>
          <w:spacing w:val="8"/>
          <w:rtl/>
        </w:rPr>
        <w:t xml:space="preserve">. يضاف إلى هذا أن المجدّدي بيّن معنى التحليف فقال : </w:t>
      </w:r>
      <w:r>
        <w:rPr>
          <w:rFonts w:hint="eastAsia"/>
          <w:spacing w:val="8"/>
          <w:rtl/>
        </w:rPr>
        <w:t>«</w:t>
      </w:r>
      <w:r>
        <w:rPr>
          <w:rFonts w:hint="cs"/>
          <w:spacing w:val="8"/>
          <w:rtl/>
        </w:rPr>
        <w:t>التحليف : تكليف</w:t>
      </w:r>
      <w:r>
        <w:rPr>
          <w:rFonts w:hint="cs"/>
          <w:spacing w:val="6"/>
          <w:rtl/>
        </w:rPr>
        <w:t xml:space="preserve"> أحد الخصمين اليمين</w:t>
      </w:r>
      <w:r>
        <w:rPr>
          <w:rFonts w:hint="eastAsia"/>
          <w:spacing w:val="6"/>
          <w:rtl/>
        </w:rPr>
        <w:t>»</w:t>
      </w:r>
      <w:r>
        <w:rPr>
          <w:rFonts w:hint="cs"/>
          <w:spacing w:val="6"/>
          <w:rtl/>
        </w:rPr>
        <w:t xml:space="preserve">. </w:t>
      </w:r>
    </w:p>
    <w:p w:rsidR="00035BE3" w:rsidRDefault="00035BE3" w:rsidP="00C10469">
      <w:pPr>
        <w:pStyle w:val="a6"/>
        <w:ind w:left="422" w:firstLine="0"/>
        <w:rPr>
          <w:spacing w:val="8"/>
          <w:rtl/>
        </w:rPr>
      </w:pPr>
      <w:r>
        <w:rPr>
          <w:rFonts w:hint="cs"/>
          <w:spacing w:val="6"/>
          <w:rtl/>
        </w:rPr>
        <w:t>الدّرر، 2/338؛</w:t>
      </w:r>
      <w:r>
        <w:rPr>
          <w:rFonts w:hint="cs"/>
          <w:spacing w:val="8"/>
          <w:rtl/>
        </w:rPr>
        <w:t xml:space="preserve"> قواعد الفقه (الرسالة الرابعة : التعريفات الفقهية)، 222؛ وانظر كون البت بمعنى القطع في : المقاييس في اللغة، مادة </w:t>
      </w:r>
      <w:r>
        <w:rPr>
          <w:rFonts w:hint="eastAsia"/>
          <w:spacing w:val="8"/>
          <w:rtl/>
        </w:rPr>
        <w:t>«</w:t>
      </w:r>
      <w:r>
        <w:rPr>
          <w:rFonts w:hint="cs"/>
          <w:spacing w:val="8"/>
          <w:rtl/>
        </w:rPr>
        <w:t>بتّ</w:t>
      </w:r>
      <w:r>
        <w:rPr>
          <w:rFonts w:hint="eastAsia"/>
          <w:spacing w:val="8"/>
          <w:rtl/>
        </w:rPr>
        <w:t>»</w:t>
      </w:r>
      <w:r>
        <w:rPr>
          <w:rFonts w:hint="cs"/>
          <w:spacing w:val="8"/>
          <w:rtl/>
        </w:rPr>
        <w:t>، ص104</w:t>
      </w:r>
    </w:p>
    <w:p w:rsidR="00035BE3" w:rsidRDefault="00035BE3" w:rsidP="00C10469">
      <w:pPr>
        <w:pStyle w:val="a6"/>
        <w:ind w:left="422" w:firstLine="0"/>
        <w:rPr>
          <w:rtl/>
        </w:rPr>
      </w:pPr>
      <w:r>
        <w:rPr>
          <w:rFonts w:hint="cs"/>
          <w:rtl/>
        </w:rPr>
        <w:t xml:space="preserve">هذا ما يتعلق بمعنى القاعدة : </w:t>
      </w:r>
    </w:p>
    <w:p w:rsidR="00035BE3" w:rsidRDefault="00035BE3" w:rsidP="00C10469">
      <w:pPr>
        <w:pStyle w:val="a6"/>
        <w:ind w:left="422" w:firstLine="0"/>
        <w:rPr>
          <w:b/>
          <w:bCs/>
          <w:rtl/>
        </w:rPr>
      </w:pPr>
      <w:r>
        <w:rPr>
          <w:rFonts w:hint="cs"/>
          <w:b/>
          <w:bCs/>
          <w:rtl/>
        </w:rPr>
        <w:t xml:space="preserve">أما ثوثيقها : </w:t>
      </w:r>
    </w:p>
    <w:p w:rsidR="00035BE3" w:rsidRDefault="00035BE3" w:rsidP="00C10469">
      <w:pPr>
        <w:pStyle w:val="a6"/>
        <w:ind w:left="422" w:firstLine="0"/>
        <w:rPr>
          <w:rtl/>
        </w:rPr>
      </w:pPr>
      <w:r>
        <w:rPr>
          <w:rFonts w:hint="cs"/>
          <w:rtl/>
        </w:rPr>
        <w:t>فقد وردت بهذا اللفظ أو نحوه أو معناه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6"/>
          <w:rtl/>
        </w:rPr>
      </w:pPr>
      <w:r>
        <w:rPr>
          <w:rFonts w:hint="cs"/>
          <w:spacing w:val="6"/>
          <w:rtl/>
        </w:rPr>
        <w:t xml:space="preserve">الأشباه والنظائر لابن الوكيل، 1/280 - ولفظه : </w:t>
      </w:r>
      <w:r>
        <w:rPr>
          <w:rFonts w:hint="eastAsia"/>
          <w:spacing w:val="6"/>
          <w:rtl/>
        </w:rPr>
        <w:t>«</w:t>
      </w:r>
      <w:r>
        <w:rPr>
          <w:rFonts w:hint="cs"/>
          <w:spacing w:val="6"/>
          <w:rtl/>
        </w:rPr>
        <w:t>القاعدة أن الحالف على فعل نفسه يحلف على البتّ، وعلى فعل غيره على نفي العلم</w:t>
      </w:r>
      <w:r>
        <w:rPr>
          <w:rFonts w:hint="eastAsia"/>
          <w:spacing w:val="6"/>
          <w:rtl/>
        </w:rPr>
        <w:t>»</w:t>
      </w:r>
      <w:r>
        <w:rPr>
          <w:rFonts w:hint="cs"/>
          <w:spacing w:val="6"/>
          <w:rtl/>
        </w:rPr>
        <w:t xml:space="preserve">؛ الكليات الفقهية للمقَّرِي، ص342، كلية 446 - ولفظه : </w:t>
      </w:r>
      <w:r>
        <w:rPr>
          <w:rFonts w:hint="eastAsia"/>
          <w:spacing w:val="6"/>
          <w:rtl/>
        </w:rPr>
        <w:t>«</w:t>
      </w:r>
      <w:r>
        <w:rPr>
          <w:rFonts w:hint="cs"/>
          <w:spacing w:val="6"/>
          <w:rtl/>
        </w:rPr>
        <w:t>كل من يحلف على ما جرى على يد غيره : فإنه يحلف على البتّ في الأخذ لنـفسه، وعلى العلم في الدفع عنها</w:t>
      </w:r>
      <w:r>
        <w:rPr>
          <w:rFonts w:hint="eastAsia"/>
          <w:spacing w:val="6"/>
          <w:rtl/>
        </w:rPr>
        <w:t>»</w:t>
      </w:r>
      <w:r>
        <w:rPr>
          <w:rFonts w:hint="cs"/>
          <w:spacing w:val="6"/>
          <w:rtl/>
        </w:rPr>
        <w:t xml:space="preserve">-؛ الأشباه والنظائر لابن السبكي، 1/439 - ولفظه : </w:t>
      </w:r>
      <w:r>
        <w:rPr>
          <w:rFonts w:hint="eastAsia"/>
          <w:spacing w:val="6"/>
          <w:rtl/>
        </w:rPr>
        <w:t>«</w:t>
      </w:r>
      <w:r>
        <w:rPr>
          <w:rFonts w:hint="cs"/>
          <w:spacing w:val="6"/>
          <w:rtl/>
        </w:rPr>
        <w:t>قاعدة : من حلف على فعل نفسه حلف على البتّ، وإن حلف على فعل غيره : فإن كان على إثبات فكذلك، وإن كان على نفيٍ : حَلَفَ على نفي العلم</w:t>
      </w:r>
      <w:r>
        <w:rPr>
          <w:rFonts w:hint="eastAsia"/>
          <w:spacing w:val="6"/>
          <w:rtl/>
        </w:rPr>
        <w:t>»</w:t>
      </w:r>
      <w:r>
        <w:rPr>
          <w:rFonts w:hint="cs"/>
          <w:spacing w:val="6"/>
          <w:rtl/>
        </w:rPr>
        <w:t xml:space="preserve">-؛ المنثور، 2/76، 3/206؛ القواعد للحـصـني، 4/264 - ولفظا المنثور وقواعد الحصني قريبان من لفظ أشباه ابن السبكي-؛ الأشباه والنظائر للسيوطي، 2/851 - ولفظه : </w:t>
      </w:r>
      <w:r>
        <w:rPr>
          <w:rFonts w:hint="eastAsia"/>
          <w:spacing w:val="6"/>
          <w:rtl/>
        </w:rPr>
        <w:t>«</w:t>
      </w:r>
      <w:r>
        <w:rPr>
          <w:rFonts w:hint="cs"/>
          <w:spacing w:val="6"/>
          <w:rtl/>
        </w:rPr>
        <w:t>اليمين في الإثبات على البتِّ مطلقًا، وفي النفي كذلك إن كان على نفي فعل نفسه أو عبده أو دابّته اللذين في يده - وإن لم يكونا ملكه- وإلا فعلى من نفي العلم</w:t>
      </w:r>
      <w:r>
        <w:rPr>
          <w:rFonts w:hint="eastAsia"/>
          <w:spacing w:val="6"/>
          <w:rtl/>
        </w:rPr>
        <w:t>»</w:t>
      </w:r>
      <w:r>
        <w:rPr>
          <w:rFonts w:hint="cs"/>
          <w:spacing w:val="6"/>
          <w:rtl/>
        </w:rPr>
        <w:t xml:space="preserve">-؛ الفرائد البهية للحمزاوي، ص21، قاعدة 22 -ولفظه: </w:t>
      </w:r>
      <w:r>
        <w:rPr>
          <w:rFonts w:hint="eastAsia"/>
          <w:spacing w:val="6"/>
          <w:rtl/>
        </w:rPr>
        <w:t>«</w:t>
      </w:r>
      <w:r>
        <w:rPr>
          <w:rFonts w:hint="cs"/>
          <w:spacing w:val="6"/>
          <w:rtl/>
        </w:rPr>
        <w:t>قاعدة : المدّعى به إن كان وصل لذي اليد بسبب غير الإرث : فاليمين فيه على البتات، وإن كان بسبب الإرث : فاليمين فيه على العلم</w:t>
      </w:r>
      <w:r>
        <w:rPr>
          <w:rFonts w:hint="eastAsia"/>
          <w:spacing w:val="6"/>
          <w:rtl/>
        </w:rPr>
        <w:t>»</w:t>
      </w:r>
      <w:r>
        <w:rPr>
          <w:rFonts w:hint="cs"/>
          <w:spacing w:val="6"/>
          <w:rtl/>
        </w:rPr>
        <w:t>؛ موسوعة القواعد الفقهية، 1/483 - وقد ذكر عدّة ألفاظ منها لفظ ابن الوكيل وابن السبكي-.</w:t>
      </w:r>
      <w:r>
        <w:rPr>
          <w:rFonts w:hint="cs"/>
          <w:spacing w:val="6"/>
          <w:rtl/>
        </w:rPr>
        <w:tab/>
      </w:r>
      <w:r>
        <w:rPr>
          <w:rFonts w:hint="cs"/>
          <w:spacing w:val="6"/>
          <w:rtl/>
        </w:rPr>
        <w:tab/>
      </w:r>
      <w:r>
        <w:rPr>
          <w:rFonts w:hint="cs"/>
          <w:spacing w:val="6"/>
          <w:rtl/>
        </w:rPr>
        <w:tab/>
      </w:r>
      <w:r>
        <w:rPr>
          <w:rFonts w:hint="cs"/>
          <w:spacing w:val="6"/>
          <w:rtl/>
        </w:rPr>
        <w:tab/>
        <w:t xml:space="preserve"> </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بدائع الصنائع، 6/154، 7/287؛ روضة الطالبين للنووي، 6/443-444؛ العناية، 8/201؛ فصول الأحكام لأصول الأحكام (المشهور بالفصول العمادية)، ل88/أ-ب؛ تبيين الحقائق، 4/303؛ جامع الفصوليين، 1/140؛ الدّرر شرح الغرر، 2/164، 338؛ البحر الرائق، 6/65، 7/217؛ الدر المختار، 8/300.</w:t>
      </w:r>
    </w:p>
  </w:footnote>
  <w:footnote w:id="16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فيتضرّر</w:t>
      </w:r>
      <w:r>
        <w:rPr>
          <w:rFonts w:hint="eastAsia"/>
          <w:rtl/>
        </w:rPr>
        <w:t>»</w:t>
      </w:r>
      <w:r>
        <w:rPr>
          <w:rFonts w:hint="cs"/>
          <w:rtl/>
        </w:rPr>
        <w:t>. وهذا الأولى، وهو الموافق لمصدر هذه العبارة (وهو الدّرر شرح الغرر).</w:t>
      </w:r>
    </w:p>
  </w:footnote>
  <w:footnote w:id="1682">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أي : تضرّر الحالف بامتناعه عن اليمين. وبيان ذلك : أنه لو كان التحليف على فعل غيره على القطع لامتنع الحالف عن اليمين، مع كونه صادقًا في يمينه، وفي هذا ضررٌ عليه؛ ولدفع هذا الضرر يُكتفى بتحليفه بأنه لا يعلم أنه كذلك.</w:t>
      </w:r>
    </w:p>
  </w:footnote>
  <w:footnote w:id="1683">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لعلّ المعنى -والله أعلم- : إذا كان قادرًا على الحلف بالصورة المطلوبة، ومع ذلك امتنع عنه : فإن كان يترتب على ذلك تفويت حقٍّ له : يصير باذلاً لهذا الحق، وإن كان يترتب على ذلك ثبوث حق عليه : يكون مقرًّا به.</w:t>
      </w:r>
    </w:p>
  </w:footnote>
  <w:footnote w:id="16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هذا</w:t>
      </w:r>
      <w:r>
        <w:rPr>
          <w:rFonts w:hint="eastAsia"/>
          <w:rtl/>
        </w:rPr>
        <w:t>»</w:t>
      </w:r>
      <w:r>
        <w:rPr>
          <w:rFonts w:hint="cs"/>
          <w:rtl/>
        </w:rPr>
        <w:t xml:space="preserve"> : ساقطة من (جـ).</w:t>
      </w:r>
    </w:p>
  </w:footnote>
  <w:footnote w:id="16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مقرّ</w:t>
      </w:r>
      <w:r>
        <w:rPr>
          <w:rFonts w:hint="eastAsia"/>
          <w:rtl/>
        </w:rPr>
        <w:t>»</w:t>
      </w:r>
      <w:r>
        <w:rPr>
          <w:rFonts w:hint="cs"/>
          <w:rtl/>
        </w:rPr>
        <w:t>.</w:t>
      </w:r>
    </w:p>
  </w:footnote>
  <w:footnote w:id="16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زيادة : </w:t>
      </w:r>
      <w:r>
        <w:rPr>
          <w:rFonts w:hint="eastAsia"/>
          <w:rtl/>
        </w:rPr>
        <w:t>«</w:t>
      </w:r>
      <w:r>
        <w:rPr>
          <w:rFonts w:hint="cs"/>
          <w:rtl/>
        </w:rPr>
        <w:t>الفعل</w:t>
      </w:r>
      <w:r>
        <w:rPr>
          <w:rFonts w:hint="eastAsia"/>
          <w:rtl/>
        </w:rPr>
        <w:t>»</w:t>
      </w:r>
      <w:r>
        <w:rPr>
          <w:rFonts w:hint="cs"/>
          <w:rtl/>
        </w:rPr>
        <w:t>.</w:t>
      </w:r>
    </w:p>
  </w:footnote>
  <w:footnote w:id="16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الجملة الأخيرة مفسرة في الدّرر على النحو الآتي : </w:t>
      </w:r>
      <w:r>
        <w:rPr>
          <w:rFonts w:hint="eastAsia"/>
          <w:rtl/>
        </w:rPr>
        <w:t>«</w:t>
      </w:r>
      <w:r>
        <w:rPr>
          <w:rFonts w:hint="cs"/>
          <w:rtl/>
        </w:rPr>
        <w:t>إلا إذا كان (أي فعل الغير) شيئًا يتصل به (أي بالحالف)</w:t>
      </w:r>
      <w:r>
        <w:rPr>
          <w:rFonts w:hint="eastAsia"/>
          <w:rtl/>
        </w:rPr>
        <w:t>»</w:t>
      </w:r>
      <w:r>
        <w:rPr>
          <w:rFonts w:hint="cs"/>
          <w:rtl/>
        </w:rPr>
        <w:t xml:space="preserve"> ثم قال : </w:t>
      </w:r>
      <w:r>
        <w:rPr>
          <w:rFonts w:hint="eastAsia"/>
          <w:rtl/>
        </w:rPr>
        <w:t>«</w:t>
      </w:r>
      <w:r>
        <w:rPr>
          <w:rFonts w:hint="cs"/>
          <w:rtl/>
        </w:rPr>
        <w:t>وفرّع عليه بقوله : فإذا ادعى ...</w:t>
      </w:r>
      <w:r>
        <w:rPr>
          <w:rFonts w:hint="eastAsia"/>
          <w:rtl/>
        </w:rPr>
        <w:t>»</w:t>
      </w:r>
      <w:r>
        <w:rPr>
          <w:rFonts w:hint="cs"/>
          <w:rtl/>
        </w:rPr>
        <w:t>.</w:t>
      </w:r>
    </w:p>
  </w:footnote>
  <w:footnote w:id="16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و(و) : </w:t>
      </w:r>
      <w:r>
        <w:rPr>
          <w:rFonts w:hint="eastAsia"/>
          <w:rtl/>
        </w:rPr>
        <w:t>«</w:t>
      </w:r>
      <w:r>
        <w:rPr>
          <w:rFonts w:hint="cs"/>
          <w:rtl/>
        </w:rPr>
        <w:t>أنهما</w:t>
      </w:r>
      <w:r>
        <w:rPr>
          <w:rFonts w:hint="eastAsia"/>
          <w:rtl/>
        </w:rPr>
        <w:t>»</w:t>
      </w:r>
      <w:r>
        <w:rPr>
          <w:rFonts w:hint="cs"/>
          <w:rtl/>
        </w:rPr>
        <w:t xml:space="preserve">، وفي الدّرر : </w:t>
      </w:r>
      <w:r>
        <w:rPr>
          <w:rFonts w:hint="eastAsia"/>
          <w:rtl/>
        </w:rPr>
        <w:t>«</w:t>
      </w:r>
      <w:r>
        <w:rPr>
          <w:rFonts w:hint="cs"/>
          <w:rtl/>
        </w:rPr>
        <w:t>أنه</w:t>
      </w:r>
      <w:r>
        <w:rPr>
          <w:rFonts w:hint="eastAsia"/>
          <w:rtl/>
        </w:rPr>
        <w:t>»</w:t>
      </w:r>
      <w:r>
        <w:rPr>
          <w:rFonts w:hint="cs"/>
          <w:rtl/>
        </w:rPr>
        <w:t>.</w:t>
      </w:r>
    </w:p>
    <w:p w:rsidR="00035BE3" w:rsidRDefault="00035BE3" w:rsidP="00C10469">
      <w:pPr>
        <w:pStyle w:val="a6"/>
        <w:ind w:left="422" w:firstLine="0"/>
        <w:rPr>
          <w:rtl/>
        </w:rPr>
      </w:pPr>
      <w:r>
        <w:rPr>
          <w:rFonts w:hint="cs"/>
          <w:rtl/>
        </w:rPr>
        <w:t xml:space="preserve">وهذان الوجهان بالإضافة إلى ما جاء في باقي النسخ يمكن حملها على معانٍ صحيحة :   </w:t>
      </w:r>
      <w:r>
        <w:rPr>
          <w:rFonts w:hint="cs"/>
          <w:rtl/>
        </w:rPr>
        <w:tab/>
        <w:t xml:space="preserve">  </w:t>
      </w:r>
    </w:p>
    <w:p w:rsidR="00035BE3" w:rsidRDefault="00035BE3" w:rsidP="00C10469">
      <w:pPr>
        <w:pStyle w:val="a6"/>
        <w:ind w:left="422" w:firstLine="0"/>
        <w:rPr>
          <w:rtl/>
        </w:rPr>
      </w:pPr>
      <w:r>
        <w:rPr>
          <w:rFonts w:hint="cs"/>
          <w:rtl/>
        </w:rPr>
        <w:t>-فالمثبت في الصلب (وهو مع أنها فعل الغير) يراد به : مع أن السرقة والإباق ونحوهما من الأفعال : فعل الغير، وليست فعل الحالف، وهو البائع.</w:t>
      </w:r>
    </w:p>
    <w:p w:rsidR="00035BE3" w:rsidRDefault="00035BE3" w:rsidP="00C10469">
      <w:pPr>
        <w:pStyle w:val="a6"/>
        <w:ind w:left="422" w:firstLine="0"/>
        <w:rPr>
          <w:rtl/>
        </w:rPr>
      </w:pPr>
      <w:r>
        <w:rPr>
          <w:rFonts w:hint="cs"/>
          <w:rtl/>
        </w:rPr>
        <w:t>-وما جاء في (جـ) و(و) (وهو : أنهما) يراد به : السرقة والإباق.</w:t>
      </w:r>
    </w:p>
    <w:p w:rsidR="00035BE3" w:rsidRDefault="00035BE3" w:rsidP="00C10469">
      <w:pPr>
        <w:pStyle w:val="a6"/>
        <w:ind w:left="422" w:firstLine="0"/>
        <w:rPr>
          <w:spacing w:val="6"/>
          <w:rtl/>
        </w:rPr>
      </w:pPr>
      <w:r>
        <w:rPr>
          <w:rFonts w:hint="cs"/>
          <w:spacing w:val="6"/>
          <w:rtl/>
        </w:rPr>
        <w:t xml:space="preserve">- وما جاء في (الدّرر) (وهو : أنه) يراد به : جنس هذا الفعل، وهو السرقة أو الإباق أو نحوهما -والله أعلم-. </w:t>
      </w:r>
    </w:p>
  </w:footnote>
  <w:footnote w:id="16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2/338 - مع اختلاف سبقت الإشارة إلى أكثره - وانظر : فصول الأحكام لأصول الأحكام، ل88/أ-ب.</w:t>
      </w:r>
    </w:p>
    <w:p w:rsidR="00035BE3" w:rsidRDefault="00035BE3" w:rsidP="00C10469">
      <w:pPr>
        <w:pStyle w:val="a6"/>
        <w:ind w:left="422" w:firstLine="0"/>
        <w:rPr>
          <w:spacing w:val="-8"/>
          <w:rtl/>
        </w:rPr>
      </w:pPr>
      <w:r>
        <w:rPr>
          <w:rFonts w:hint="cs"/>
          <w:spacing w:val="-8"/>
          <w:rtl/>
        </w:rPr>
        <w:t xml:space="preserve">علمًا بأن صاحب (الدّرر) زاد الأمر إيضاحًا بقوله : </w:t>
      </w:r>
      <w:r>
        <w:rPr>
          <w:rFonts w:hint="eastAsia"/>
          <w:spacing w:val="-8"/>
          <w:rtl/>
        </w:rPr>
        <w:t>«</w:t>
      </w:r>
      <w:r>
        <w:rPr>
          <w:rFonts w:hint="cs"/>
          <w:spacing w:val="-8"/>
          <w:rtl/>
        </w:rPr>
        <w:t>يعني : أن مشتري العبد إذا ادّعى أنه سارق أو آبق، وأثبت إباقه أو سرقته في يد نفسه، وادعى أنه أبق أو سرق في يد البائع، وأراد التحليف : يحلف البائع : بالله ما أبق، بالله ما سرق في يدك. وهذا تحليف على فعل الغير. وإنما صحّ؛ لأن تسليمه (أي تسليم البائع المبيع) سليمًا عن العيوب واجب عليه (أي البائع)، فالتحليف يرجع إلى ما ضمن البائع بنفسه، فيكون على البتات</w:t>
      </w:r>
      <w:r>
        <w:rPr>
          <w:rFonts w:hint="eastAsia"/>
          <w:spacing w:val="-8"/>
          <w:rtl/>
        </w:rPr>
        <w:t>»</w:t>
      </w:r>
      <w:r>
        <w:rPr>
          <w:rFonts w:hint="cs"/>
          <w:spacing w:val="-8"/>
          <w:rtl/>
        </w:rPr>
        <w:t>.</w:t>
      </w:r>
    </w:p>
  </w:footnote>
  <w:footnote w:id="16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29/أ من (أ).</w:t>
      </w:r>
    </w:p>
  </w:footnote>
  <w:footnote w:id="16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الكافي، القسم الآخير، جـ2، ص618-623.</w:t>
      </w:r>
    </w:p>
    <w:p w:rsidR="00035BE3" w:rsidRDefault="00035BE3" w:rsidP="00C10469">
      <w:pPr>
        <w:pStyle w:val="a6"/>
        <w:ind w:left="422" w:firstLine="0"/>
        <w:rPr>
          <w:rtl/>
        </w:rPr>
      </w:pPr>
      <w:r>
        <w:rPr>
          <w:rFonts w:hint="cs"/>
          <w:rtl/>
        </w:rPr>
        <w:t>فقد ذكر صاحب (الكافي) المسألة التي سيذكرها المؤلف وأطال الحديث عنها إلا أنه لم يتعرّض إلى كون مدّعي الإيداع قد عجز عن إقامة البينة؛ وانظر : الدرر شرح الغرر، 2/344.</w:t>
      </w:r>
    </w:p>
  </w:footnote>
  <w:footnote w:id="16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يدَّعي</w:t>
      </w:r>
      <w:r>
        <w:rPr>
          <w:rFonts w:hint="eastAsia"/>
          <w:rtl/>
        </w:rPr>
        <w:t>»</w:t>
      </w:r>
      <w:r>
        <w:rPr>
          <w:rFonts w:hint="cs"/>
          <w:rtl/>
        </w:rPr>
        <w:t>.</w:t>
      </w:r>
    </w:p>
  </w:footnote>
  <w:footnote w:id="16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زيادة من (جـ)؛ ولا يستقيم المعنى بدونها.</w:t>
      </w:r>
    </w:p>
  </w:footnote>
  <w:footnote w:id="16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بل</w:t>
      </w:r>
      <w:r>
        <w:rPr>
          <w:rFonts w:hint="eastAsia"/>
          <w:rtl/>
        </w:rPr>
        <w:t>»</w:t>
      </w:r>
      <w:r>
        <w:rPr>
          <w:rFonts w:hint="cs"/>
          <w:rtl/>
        </w:rPr>
        <w:t>.</w:t>
      </w:r>
    </w:p>
  </w:footnote>
  <w:footnote w:id="16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الحلوان</w:t>
      </w:r>
      <w:r>
        <w:rPr>
          <w:rFonts w:hint="eastAsia"/>
          <w:rtl/>
        </w:rPr>
        <w:t>»</w:t>
      </w:r>
      <w:r>
        <w:rPr>
          <w:rFonts w:hint="cs"/>
          <w:rtl/>
        </w:rPr>
        <w:t>.</w:t>
      </w:r>
    </w:p>
  </w:footnote>
  <w:footnote w:id="16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شمس الأئمة الـحَلْوَاني</w:t>
      </w:r>
      <w:r>
        <w:rPr>
          <w:rFonts w:hint="cs"/>
          <w:rtl/>
        </w:rPr>
        <w:t xml:space="preserve"> : هو عبد العزيز بن أحمد بن نصر بن صالح، أبو محمد الـحَلْواني - ويقال: الحَلْوَائي - الملقب بشمس الأئمة، (ت 456 هـ).</w:t>
      </w:r>
    </w:p>
    <w:p w:rsidR="00035BE3" w:rsidRDefault="00035BE3" w:rsidP="00C10469">
      <w:pPr>
        <w:pStyle w:val="a6"/>
        <w:ind w:left="422" w:firstLine="0"/>
        <w:rPr>
          <w:rtl/>
        </w:rPr>
      </w:pPr>
      <w:r>
        <w:rPr>
          <w:rFonts w:hint="cs"/>
          <w:rtl/>
        </w:rPr>
        <w:t>كان من كبار فقهاء الحنفية في وقته، من تصانيفه الفقهية : المبسوط والنوادر، وشرح الجامع الكبير والسير الكبير كلاهما لمحمد بن الحسن، و الفتاوي، و كتاب الكسب، وكتاب النفقات.</w:t>
      </w:r>
    </w:p>
    <w:p w:rsidR="00035BE3" w:rsidRDefault="00035BE3" w:rsidP="00C10469">
      <w:pPr>
        <w:pStyle w:val="a6"/>
        <w:ind w:left="422" w:firstLine="0"/>
        <w:rPr>
          <w:rtl/>
        </w:rPr>
      </w:pPr>
      <w:r>
        <w:rPr>
          <w:rFonts w:hint="cs"/>
          <w:rtl/>
        </w:rPr>
        <w:t>انظر : الجواهر المضية، 2/429، رقم 821؛تاج التراجم، ص 146؛ مفتاح السعادة، 2/246؛ الطبقات السنية، 4/345، رقم 1243؛ الفوائد البهية، ص95؛ هدية العارفين، 1/577.</w:t>
      </w:r>
    </w:p>
  </w:footnote>
  <w:footnote w:id="16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يحلف</w:t>
      </w:r>
      <w:r>
        <w:rPr>
          <w:rFonts w:hint="eastAsia"/>
          <w:rtl/>
        </w:rPr>
        <w:t>»</w:t>
      </w:r>
      <w:r>
        <w:rPr>
          <w:rFonts w:hint="cs"/>
          <w:rtl/>
        </w:rPr>
        <w:t xml:space="preserve"> : ساقطة من (جـ).</w:t>
      </w:r>
    </w:p>
  </w:footnote>
  <w:footnote w:id="16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تدّعي</w:t>
      </w:r>
      <w:r>
        <w:rPr>
          <w:rFonts w:hint="eastAsia"/>
          <w:rtl/>
        </w:rPr>
        <w:t>»</w:t>
      </w:r>
      <w:r>
        <w:rPr>
          <w:rFonts w:hint="cs"/>
          <w:rtl/>
        </w:rPr>
        <w:t>.</w:t>
      </w:r>
    </w:p>
  </w:footnote>
  <w:footnote w:id="16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22/ب من (جـ).</w:t>
      </w:r>
    </w:p>
  </w:footnote>
  <w:footnote w:id="17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2/164؛ وانظر : فصول الأحكام، ل88/أ؛ تبيين الحقائق، 4/303، إلا أنهما نسبا إلى الحَلْواني أنه استثنى : الرد بالعيب مطلقًا وليس دعوى الإباق فحسب، ثمّ مثلا للردّ بالعيب بما إذا ادّعى المشتري أن العبد سارق أو آبق ...</w:t>
      </w:r>
    </w:p>
  </w:footnote>
  <w:footnote w:id="17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وهو الأصل الذي ذكره الحَلْواني.</w:t>
      </w:r>
    </w:p>
  </w:footnote>
  <w:footnote w:id="17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يشمل</w:t>
      </w:r>
      <w:r>
        <w:rPr>
          <w:rFonts w:hint="eastAsia"/>
          <w:rtl/>
        </w:rPr>
        <w:t>»</w:t>
      </w:r>
      <w:r>
        <w:rPr>
          <w:rFonts w:hint="cs"/>
          <w:rtl/>
        </w:rPr>
        <w:t>.</w:t>
      </w:r>
    </w:p>
  </w:footnote>
  <w:footnote w:id="17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وهي التي نقلها عن (الكافي) آنفًا.</w:t>
      </w:r>
    </w:p>
  </w:footnote>
  <w:footnote w:id="17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منفوض</w:t>
      </w:r>
      <w:r>
        <w:rPr>
          <w:rFonts w:hint="eastAsia"/>
          <w:rtl/>
        </w:rPr>
        <w:t>»</w:t>
      </w:r>
      <w:r>
        <w:rPr>
          <w:rFonts w:hint="cs"/>
          <w:rtl/>
        </w:rPr>
        <w:t>.</w:t>
      </w:r>
    </w:p>
  </w:footnote>
  <w:footnote w:id="17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وهي مسألة الإيداع.</w:t>
      </w:r>
    </w:p>
  </w:footnote>
  <w:footnote w:id="17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19/ب من (ب).</w:t>
      </w:r>
    </w:p>
  </w:footnote>
  <w:footnote w:id="17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وهي التي سبق أن ذكرها في بداية شرح القاعدة، ص484 (ل29/أ).</w:t>
      </w:r>
      <w:r>
        <w:rPr>
          <w:rFonts w:hint="cs"/>
          <w:rtl/>
        </w:rPr>
        <w:tab/>
        <w:t xml:space="preserve">   </w:t>
      </w:r>
      <w:r>
        <w:rPr>
          <w:rFonts w:hint="cs"/>
          <w:rtl/>
        </w:rPr>
        <w:tab/>
        <w:t xml:space="preserve">                    </w:t>
      </w:r>
    </w:p>
    <w:p w:rsidR="00035BE3" w:rsidRDefault="00035BE3" w:rsidP="00C10469">
      <w:pPr>
        <w:pStyle w:val="a6"/>
        <w:ind w:left="422" w:firstLine="0"/>
        <w:rPr>
          <w:spacing w:val="8"/>
          <w:rtl/>
        </w:rPr>
      </w:pPr>
      <w:r>
        <w:rPr>
          <w:rFonts w:hint="cs"/>
          <w:spacing w:val="8"/>
          <w:rtl/>
        </w:rPr>
        <w:t xml:space="preserve">وقول المؤلف : </w:t>
      </w:r>
      <w:r>
        <w:rPr>
          <w:rFonts w:hint="eastAsia"/>
          <w:spacing w:val="8"/>
          <w:rtl/>
        </w:rPr>
        <w:t>«</w:t>
      </w:r>
      <w:r>
        <w:rPr>
          <w:rFonts w:hint="cs"/>
          <w:spacing w:val="8"/>
          <w:rtl/>
        </w:rPr>
        <w:t>وحصره منقوض بِـ ... مسألة السرقة</w:t>
      </w:r>
      <w:r>
        <w:rPr>
          <w:rFonts w:hint="eastAsia"/>
          <w:spacing w:val="8"/>
          <w:rtl/>
        </w:rPr>
        <w:t>»</w:t>
      </w:r>
      <w:r>
        <w:rPr>
          <w:rFonts w:hint="cs"/>
          <w:spacing w:val="8"/>
          <w:rtl/>
        </w:rPr>
        <w:t xml:space="preserve"> هذا الاعتراض مبني على ما استفاده المؤلف من (الدّرر شرح الغرر)، حيث نسبا إلى الحَلواني أنه قال : </w:t>
      </w:r>
      <w:r>
        <w:rPr>
          <w:rFonts w:hint="eastAsia"/>
          <w:spacing w:val="8"/>
          <w:rtl/>
        </w:rPr>
        <w:t>«</w:t>
      </w:r>
      <w:r>
        <w:rPr>
          <w:rFonts w:hint="cs"/>
          <w:spacing w:val="8"/>
          <w:rtl/>
        </w:rPr>
        <w:t>التحليف على فعل الغير يكون على العلم مطّردًا في جميع المسائل إلا في في دعوى الإباق</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 xml:space="preserve">إلا أنّ صاحبا (فصول الأحكام) و(تبيين الحقائق) أقرب إلى الحلْواني من المؤلف وصاحب الدّرر، وقد نسبا إلى الحَلْوَاني أنه قال : </w:t>
      </w:r>
      <w:r>
        <w:rPr>
          <w:rFonts w:hint="eastAsia"/>
          <w:rtl/>
        </w:rPr>
        <w:t>«</w:t>
      </w:r>
      <w:r>
        <w:rPr>
          <w:rFonts w:hint="cs"/>
          <w:rtl/>
        </w:rPr>
        <w:t>هذا الأصل مستقيم في المسائل كلها إلا في الردّ بالعيب</w:t>
      </w:r>
      <w:r>
        <w:rPr>
          <w:rFonts w:hint="eastAsia"/>
          <w:rtl/>
        </w:rPr>
        <w:t>»</w:t>
      </w:r>
      <w:r>
        <w:rPr>
          <w:rFonts w:hint="cs"/>
          <w:rtl/>
        </w:rPr>
        <w:t>.</w:t>
      </w:r>
    </w:p>
    <w:p w:rsidR="00035BE3" w:rsidRDefault="00035BE3" w:rsidP="00C10469">
      <w:pPr>
        <w:pStyle w:val="a6"/>
        <w:ind w:left="422" w:firstLine="0"/>
        <w:rPr>
          <w:rtl/>
        </w:rPr>
      </w:pPr>
      <w:r>
        <w:rPr>
          <w:rFonts w:hint="cs"/>
          <w:rtl/>
        </w:rPr>
        <w:t>ولا شكّ أنه يدخل في الرّد بالعيب : ردُّ العبد بعيب الإباق أو السرقة.</w:t>
      </w:r>
    </w:p>
    <w:p w:rsidR="00035BE3" w:rsidRPr="00FF1F18" w:rsidRDefault="00035BE3" w:rsidP="00C10469">
      <w:pPr>
        <w:pStyle w:val="a6"/>
        <w:ind w:left="422" w:firstLine="0"/>
        <w:rPr>
          <w:spacing w:val="-6"/>
          <w:rtl/>
        </w:rPr>
      </w:pPr>
      <w:r w:rsidRPr="00FF1F18">
        <w:rPr>
          <w:rFonts w:hint="cs"/>
          <w:spacing w:val="-6"/>
          <w:rtl/>
        </w:rPr>
        <w:t>وبناء على هذا لا يكون حصر الحَـلْـوَاني منقوضًا بـمسألة السرقة، وإن كان منقوضًا بمسألة الإيداع.</w:t>
      </w:r>
    </w:p>
  </w:footnote>
  <w:footnote w:id="17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19/أ من (د).</w:t>
      </w:r>
    </w:p>
  </w:footnote>
  <w:footnote w:id="17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جعل </w:t>
      </w:r>
      <w:r>
        <w:rPr>
          <w:rFonts w:hint="cs"/>
          <w:b/>
          <w:bCs/>
          <w:rtl/>
        </w:rPr>
        <w:t>الإباق</w:t>
      </w:r>
      <w:r>
        <w:rPr>
          <w:rFonts w:hint="cs"/>
          <w:rtl/>
        </w:rPr>
        <w:t xml:space="preserve"> فرعًا ...</w:t>
      </w:r>
    </w:p>
  </w:footnote>
  <w:footnote w:id="17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فحر</w:t>
      </w:r>
      <w:r>
        <w:rPr>
          <w:rFonts w:hint="eastAsia"/>
          <w:rtl/>
        </w:rPr>
        <w:t>»</w:t>
      </w:r>
      <w:r>
        <w:rPr>
          <w:rFonts w:hint="cs"/>
          <w:rtl/>
        </w:rPr>
        <w:t xml:space="preserve"> (بالحاء المهملة). والصحيح ما تمَّ إثباته من (ب) و(د).</w:t>
      </w:r>
    </w:p>
  </w:footnote>
  <w:footnote w:id="17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29/ب.</w:t>
      </w:r>
    </w:p>
  </w:footnote>
  <w:footnote w:id="17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 ساقطة من (د).</w:t>
      </w:r>
    </w:p>
  </w:footnote>
  <w:footnote w:id="17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فحر</w:t>
      </w:r>
      <w:r>
        <w:rPr>
          <w:rFonts w:hint="eastAsia"/>
          <w:rtl/>
        </w:rPr>
        <w:t>»</w:t>
      </w:r>
      <w:r>
        <w:rPr>
          <w:rFonts w:hint="cs"/>
          <w:rtl/>
        </w:rPr>
        <w:t xml:space="preserve"> (بالحاء المهملة). والصحيح ما تمَّ إثباته من (ب) و(د).</w:t>
      </w:r>
    </w:p>
  </w:footnote>
  <w:footnote w:id="17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تسلم هذه</w:t>
      </w:r>
      <w:r>
        <w:rPr>
          <w:rFonts w:hint="eastAsia"/>
          <w:rtl/>
        </w:rPr>
        <w:t>»</w:t>
      </w:r>
      <w:r>
        <w:rPr>
          <w:rFonts w:hint="cs"/>
          <w:rtl/>
        </w:rPr>
        <w:t xml:space="preserve">، وفي (جـ) : </w:t>
      </w:r>
      <w:r>
        <w:rPr>
          <w:rFonts w:hint="eastAsia"/>
          <w:rtl/>
        </w:rPr>
        <w:t>«</w:t>
      </w:r>
      <w:r>
        <w:rPr>
          <w:rFonts w:hint="cs"/>
          <w:rtl/>
        </w:rPr>
        <w:t>تسلم هذا</w:t>
      </w:r>
      <w:r>
        <w:rPr>
          <w:rFonts w:hint="eastAsia"/>
          <w:rtl/>
        </w:rPr>
        <w:t>»</w:t>
      </w:r>
      <w:r>
        <w:rPr>
          <w:rFonts w:hint="cs"/>
          <w:rtl/>
        </w:rPr>
        <w:t>. والصحيح ما تمَّ إثباته من (ب) و(د).</w:t>
      </w:r>
    </w:p>
  </w:footnote>
  <w:footnote w:id="1715">
    <w:p w:rsidR="00035BE3" w:rsidRDefault="00035BE3" w:rsidP="00C10469">
      <w:pPr>
        <w:pStyle w:val="a8"/>
        <w:bidi/>
        <w:spacing w:line="264" w:lineRule="auto"/>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قوله : </w:t>
      </w:r>
      <w:r>
        <w:rPr>
          <w:rFonts w:hint="eastAsia"/>
          <w:spacing w:val="8"/>
          <w:rtl/>
        </w:rPr>
        <w:t>«</w:t>
      </w:r>
      <w:r>
        <w:rPr>
          <w:rFonts w:hint="cs"/>
          <w:spacing w:val="8"/>
          <w:rtl/>
        </w:rPr>
        <w:t>فبعد تسليم هذا الأصل : طلب الدليل منه عجيب</w:t>
      </w:r>
      <w:r>
        <w:rPr>
          <w:rFonts w:hint="eastAsia"/>
          <w:spacing w:val="8"/>
          <w:rtl/>
        </w:rPr>
        <w:t>»</w:t>
      </w:r>
      <w:r>
        <w:rPr>
          <w:rFonts w:hint="cs"/>
          <w:spacing w:val="8"/>
          <w:rtl/>
        </w:rPr>
        <w:t xml:space="preserve"> هذا القول معناه -والله أعلم- : أن صاحب (الدُّرر) ذكر أصلاً منسوبًا إلى فخر الإسلام، وهو أن </w:t>
      </w:r>
      <w:r>
        <w:rPr>
          <w:rFonts w:hint="eastAsia"/>
          <w:spacing w:val="8"/>
          <w:rtl/>
        </w:rPr>
        <w:t>«</w:t>
      </w:r>
      <w:r>
        <w:rPr>
          <w:rFonts w:hint="cs"/>
          <w:spacing w:val="8"/>
          <w:rtl/>
        </w:rPr>
        <w:t>التحليف على فعل غيره على العلم إلا إذا كان شيئا يتصل به</w:t>
      </w:r>
      <w:r>
        <w:rPr>
          <w:rFonts w:hint="eastAsia"/>
          <w:spacing w:val="8"/>
          <w:rtl/>
        </w:rPr>
        <w:t>»</w:t>
      </w:r>
      <w:r>
        <w:rPr>
          <w:rFonts w:hint="cs"/>
          <w:spacing w:val="8"/>
          <w:rtl/>
        </w:rPr>
        <w:t>.</w:t>
      </w:r>
    </w:p>
    <w:p w:rsidR="00035BE3" w:rsidRDefault="00035BE3" w:rsidP="00C10469">
      <w:pPr>
        <w:pStyle w:val="a6"/>
        <w:spacing w:line="264" w:lineRule="auto"/>
        <w:ind w:left="420" w:firstLine="0"/>
        <w:rPr>
          <w:rtl/>
        </w:rPr>
      </w:pPr>
      <w:r>
        <w:rPr>
          <w:rFonts w:hint="cs"/>
          <w:rtl/>
        </w:rPr>
        <w:t>وهذا الأصل إذا سُلِّم به فإنه يكون دليلاً شاملاً لمسألة الإباق التي نص عليها الحَلْواني وغيرها، وإذا كان الأمر كذلك: فطلب صاحب (الدّرر) الدليل من كلام الحلواني عجيب. أي : لجوؤه إلى الاستدلال بكلام الحلواني عجيب.</w:t>
      </w:r>
    </w:p>
  </w:footnote>
  <w:footnote w:id="17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(جـ) : </w:t>
      </w:r>
      <w:r>
        <w:rPr>
          <w:rFonts w:hint="eastAsia"/>
          <w:rtl/>
        </w:rPr>
        <w:t>«</w:t>
      </w:r>
      <w:r>
        <w:rPr>
          <w:rFonts w:hint="cs"/>
          <w:rtl/>
        </w:rPr>
        <w:t>كلام على صاحب الدّرر)</w:t>
      </w:r>
      <w:r>
        <w:rPr>
          <w:rFonts w:hint="eastAsia"/>
          <w:rtl/>
        </w:rPr>
        <w:t>»</w:t>
      </w:r>
      <w:r>
        <w:rPr>
          <w:rFonts w:hint="cs"/>
          <w:rtl/>
        </w:rPr>
        <w:t>.</w:t>
      </w:r>
    </w:p>
  </w:footnote>
  <w:footnote w:id="17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الخمسة</w:t>
      </w:r>
      <w:r>
        <w:rPr>
          <w:rFonts w:hint="eastAsia"/>
          <w:rtl/>
        </w:rPr>
        <w:t>»</w:t>
      </w:r>
      <w:r>
        <w:rPr>
          <w:rFonts w:hint="cs"/>
          <w:rtl/>
        </w:rPr>
        <w:t>.</w:t>
      </w:r>
    </w:p>
  </w:footnote>
  <w:footnote w:id="17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قرأت فهرس الدّرر مرارًا، كما استعرضت الكتاب جميعه بحثًا عن فصل بعنوان (المسائل المخمسة، أو الخمسة)، ولم أجده.</w:t>
      </w:r>
    </w:p>
    <w:p w:rsidR="00035BE3" w:rsidRDefault="00035BE3" w:rsidP="00C10469">
      <w:pPr>
        <w:pStyle w:val="a6"/>
        <w:ind w:left="422" w:firstLine="0"/>
        <w:rPr>
          <w:rtl/>
        </w:rPr>
      </w:pPr>
      <w:r>
        <w:rPr>
          <w:rFonts w:hint="cs"/>
          <w:rtl/>
        </w:rPr>
        <w:t xml:space="preserve">وأقرب ما يمكن أن يقال : إن مراد المؤلف بهذا الفصل هو ما صدّره صاحب (الدرر) </w:t>
      </w:r>
      <w:r>
        <w:rPr>
          <w:rtl/>
        </w:rPr>
        <w:t>–</w:t>
      </w:r>
      <w:r>
        <w:rPr>
          <w:rFonts w:hint="cs"/>
          <w:rtl/>
        </w:rPr>
        <w:t xml:space="preserve">2/343- بقوله : </w:t>
      </w:r>
      <w:r>
        <w:rPr>
          <w:rFonts w:hint="eastAsia"/>
          <w:rtl/>
        </w:rPr>
        <w:t>«</w:t>
      </w:r>
      <w:r>
        <w:rPr>
          <w:rFonts w:hint="cs"/>
          <w:rtl/>
        </w:rPr>
        <w:t>فصل : فيمن يكون خصمًا ومن لا يكون : قال المدعى عليه : هذا الشيء أودعنيه زيد، أو آجرنيه، أو رهننيه، أو أعارنيه، أو غصبنيه، وبرهن عليه : دفعت خصومة المدعي. ويعني : ...</w:t>
      </w:r>
      <w:r>
        <w:rPr>
          <w:rFonts w:hint="eastAsia"/>
          <w:rtl/>
        </w:rPr>
        <w:t>»</w:t>
      </w:r>
      <w:r>
        <w:rPr>
          <w:rFonts w:hint="cs"/>
          <w:rtl/>
        </w:rPr>
        <w:t>.</w:t>
      </w:r>
    </w:p>
    <w:p w:rsidR="00035BE3" w:rsidRDefault="00035BE3" w:rsidP="00C10469">
      <w:pPr>
        <w:pStyle w:val="a6"/>
        <w:ind w:left="422" w:firstLine="0"/>
        <w:rPr>
          <w:rtl/>
        </w:rPr>
      </w:pPr>
      <w:r>
        <w:rPr>
          <w:rFonts w:hint="cs"/>
          <w:rtl/>
        </w:rPr>
        <w:t xml:space="preserve">فهذا الفصل وإن لم يسمِّه صاحب (الدرر) بأنه (فصل المسائل المخمسة) إلا أنه مصدر بصورها، كما أنّ المحشي على الدرر (وهو الشرنبلالي) في أثناء تعليقه على هذا الفصل </w:t>
      </w:r>
      <w:r>
        <w:rPr>
          <w:rtl/>
        </w:rPr>
        <w:t>–</w:t>
      </w:r>
      <w:r>
        <w:rPr>
          <w:rFonts w:hint="cs"/>
          <w:rtl/>
        </w:rPr>
        <w:t xml:space="preserve">2/343- قال : </w:t>
      </w:r>
      <w:r>
        <w:rPr>
          <w:rFonts w:hint="eastAsia"/>
          <w:rtl/>
        </w:rPr>
        <w:t>«</w:t>
      </w:r>
      <w:r>
        <w:rPr>
          <w:rFonts w:hint="cs"/>
          <w:rtl/>
        </w:rPr>
        <w:t>وهذه مخمّسة كتاب الدعوى</w:t>
      </w:r>
      <w:r>
        <w:rPr>
          <w:rFonts w:hint="eastAsia"/>
          <w:rtl/>
        </w:rPr>
        <w:t>»</w:t>
      </w:r>
      <w:r>
        <w:rPr>
          <w:rFonts w:hint="cs"/>
          <w:rtl/>
        </w:rPr>
        <w:t>. يضاف إلى ذلك أن صاحب (الدرر) ختم هذا الفصل بنقل عن (الكافي)؛ فلهذه الأسباب الثلاثة يترجّح أنه هو الفصل المراد عند المؤلف.</w:t>
      </w:r>
    </w:p>
    <w:p w:rsidR="00035BE3" w:rsidRDefault="00035BE3" w:rsidP="00C10469">
      <w:pPr>
        <w:pStyle w:val="a6"/>
        <w:ind w:left="422" w:firstLine="0"/>
        <w:rPr>
          <w:rtl/>
        </w:rPr>
      </w:pPr>
      <w:r>
        <w:rPr>
          <w:rFonts w:hint="cs"/>
          <w:rtl/>
        </w:rPr>
        <w:t>والمسائل المخمسة سوف يتعرض لها المؤلف في قاعدة مستقلة؛ فناسب أن يكون بيـانـها هناك. (ص680 (ل52/أ)، قاعدة 123).</w:t>
      </w:r>
    </w:p>
  </w:footnote>
  <w:footnote w:id="17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تعليق</w:t>
      </w:r>
      <w:r>
        <w:rPr>
          <w:rFonts w:hint="eastAsia"/>
          <w:rtl/>
        </w:rPr>
        <w:t>»</w:t>
      </w:r>
      <w:r>
        <w:rPr>
          <w:rFonts w:hint="cs"/>
          <w:rtl/>
        </w:rPr>
        <w:t>.</w:t>
      </w:r>
    </w:p>
  </w:footnote>
  <w:footnote w:id="17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يُلحظ أن المؤلف لم يبيِّن اسم هذه الرسالة، ممّا يجعل البحث عنها من خلال اسمها متعذِّر، ولكن يمكن البحث عنها من خلال موضوعها (وهو التحليف على فعل الغير) أو عن طريق اسم المؤلف.</w:t>
      </w:r>
    </w:p>
    <w:p w:rsidR="00035BE3" w:rsidRDefault="00035BE3" w:rsidP="00C10469">
      <w:pPr>
        <w:pStyle w:val="a6"/>
        <w:ind w:left="422" w:firstLine="0"/>
        <w:rPr>
          <w:rtl/>
        </w:rPr>
      </w:pPr>
      <w:r>
        <w:rPr>
          <w:rFonts w:hint="cs"/>
          <w:rtl/>
        </w:rPr>
        <w:t>وقد سلكت هذين الطريقين لعلي أصل بهما أو أحدهما إلى هذه الرسالة، ولكن لم أوفّق إلى ذلك. وحسبي أني بذلت في ذلك غاية جهدي.</w:t>
      </w:r>
    </w:p>
  </w:footnote>
  <w:footnote w:id="17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مبنية</w:t>
      </w:r>
      <w:r>
        <w:rPr>
          <w:rFonts w:hint="eastAsia"/>
          <w:rtl/>
        </w:rPr>
        <w:t>»</w:t>
      </w:r>
      <w:r>
        <w:rPr>
          <w:rFonts w:hint="cs"/>
          <w:rtl/>
        </w:rPr>
        <w:t xml:space="preserve">، وفي (جـ) : </w:t>
      </w:r>
      <w:r>
        <w:rPr>
          <w:rFonts w:hint="eastAsia"/>
          <w:rtl/>
        </w:rPr>
        <w:t>«</w:t>
      </w:r>
      <w:r>
        <w:rPr>
          <w:rFonts w:hint="cs"/>
          <w:rtl/>
        </w:rPr>
        <w:t>بنية</w:t>
      </w:r>
      <w:r>
        <w:rPr>
          <w:rFonts w:hint="eastAsia"/>
          <w:rtl/>
        </w:rPr>
        <w:t>»</w:t>
      </w:r>
      <w:r>
        <w:rPr>
          <w:rFonts w:hint="cs"/>
          <w:rtl/>
        </w:rPr>
        <w:t>.</w:t>
      </w:r>
    </w:p>
  </w:footnote>
  <w:footnote w:id="17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مراده بـ : </w:t>
      </w:r>
      <w:r>
        <w:rPr>
          <w:rFonts w:hint="eastAsia"/>
          <w:rtl/>
        </w:rPr>
        <w:t>«</w:t>
      </w:r>
      <w:r>
        <w:rPr>
          <w:rFonts w:hint="cs"/>
          <w:rtl/>
        </w:rPr>
        <w:t>كتابه وحاشيته</w:t>
      </w:r>
      <w:r>
        <w:rPr>
          <w:rFonts w:hint="eastAsia"/>
          <w:rtl/>
        </w:rPr>
        <w:t>»</w:t>
      </w:r>
      <w:r>
        <w:rPr>
          <w:rFonts w:hint="cs"/>
          <w:rtl/>
        </w:rPr>
        <w:t xml:space="preserve"> : الغرر وشرحه : الدّرر؛ إذ إن كليهما لـملا خسرو.</w:t>
      </w:r>
    </w:p>
  </w:footnote>
  <w:footnote w:id="17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ليست في (ب) و(د). </w:t>
      </w:r>
    </w:p>
  </w:footnote>
  <w:footnote w:id="17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أصولية متعلقة بما يُعرف بمفهوم المخالفة، وهو ما يسمى أيضًا بدليل الخطاب، ولحن الخطاب، وتنبيه الخطاب، والمخصوص بالذكر.</w:t>
      </w:r>
    </w:p>
    <w:p w:rsidR="00035BE3" w:rsidRDefault="00035BE3" w:rsidP="00C10469">
      <w:pPr>
        <w:pStyle w:val="a6"/>
        <w:ind w:left="422" w:firstLine="0"/>
        <w:rPr>
          <w:rtl/>
        </w:rPr>
      </w:pPr>
      <w:r>
        <w:rPr>
          <w:rFonts w:hint="cs"/>
          <w:rtl/>
        </w:rPr>
        <w:t xml:space="preserve">وهو -وإن اختلفت أسماؤه، واختلفت عبارات الأصوليين في تعريفه، إلا أن معناه متقارب عند الجميع؛ إذ يقوم على فكرة واحدة، وهي مخالفة المسكوت عنه للمنطوق به، وممن عبّر عن هذه الفكرة : الآمدي في إحـكامه -3/78 - حيـث عرَّفه بقوله : </w:t>
      </w:r>
      <w:r>
        <w:rPr>
          <w:rFonts w:hint="eastAsia"/>
          <w:rtl/>
        </w:rPr>
        <w:t>«</w:t>
      </w:r>
      <w:r>
        <w:rPr>
          <w:rFonts w:hint="cs"/>
          <w:rtl/>
        </w:rPr>
        <w:t>هو ما يكون مدلول اللفظ في محل السكوت مخالفًا لمدلوله في محل النّطق</w:t>
      </w:r>
      <w:r>
        <w:rPr>
          <w:rFonts w:hint="eastAsia"/>
          <w:rtl/>
        </w:rPr>
        <w:t>»</w:t>
      </w:r>
      <w:r>
        <w:rPr>
          <w:rFonts w:hint="cs"/>
          <w:rtl/>
        </w:rPr>
        <w:t>.</w:t>
      </w:r>
    </w:p>
    <w:p w:rsidR="00035BE3" w:rsidRDefault="00035BE3" w:rsidP="00C10469">
      <w:pPr>
        <w:pStyle w:val="a6"/>
        <w:ind w:left="422" w:firstLine="0"/>
        <w:rPr>
          <w:rtl/>
        </w:rPr>
      </w:pPr>
      <w:r>
        <w:rPr>
          <w:rFonts w:hint="cs"/>
          <w:rtl/>
        </w:rPr>
        <w:t>وقد اختلف العلماء في حجيَّته على قولين في الجملة :</w:t>
      </w:r>
    </w:p>
    <w:p w:rsidR="00035BE3" w:rsidRDefault="00035BE3" w:rsidP="00C10469">
      <w:pPr>
        <w:pStyle w:val="a6"/>
        <w:ind w:left="422" w:firstLine="0"/>
        <w:rPr>
          <w:rtl/>
        </w:rPr>
      </w:pPr>
      <w:r>
        <w:rPr>
          <w:rFonts w:hint="cs"/>
          <w:b/>
          <w:bCs/>
          <w:rtl/>
        </w:rPr>
        <w:t>أحدهما</w:t>
      </w:r>
      <w:r>
        <w:rPr>
          <w:rFonts w:hint="cs"/>
          <w:rtl/>
        </w:rPr>
        <w:t xml:space="preserve"> : كونه حجة. وهذا قول الأئمة الثلاثة، مالك والشافعي وأحمد، وعامّة أصحابهم، وبعض الحنفية كالكرخي وغيره.</w:t>
      </w:r>
    </w:p>
    <w:p w:rsidR="00035BE3" w:rsidRDefault="00035BE3" w:rsidP="00C10469">
      <w:pPr>
        <w:pStyle w:val="a6"/>
        <w:ind w:left="422" w:firstLine="0"/>
        <w:rPr>
          <w:rtl/>
        </w:rPr>
      </w:pPr>
      <w:r>
        <w:rPr>
          <w:rFonts w:hint="cs"/>
          <w:b/>
          <w:bCs/>
          <w:rtl/>
        </w:rPr>
        <w:t xml:space="preserve">الثاني </w:t>
      </w:r>
      <w:r>
        <w:rPr>
          <w:rFonts w:hint="cs"/>
          <w:rtl/>
        </w:rPr>
        <w:t>: ليس بحجة. وهذا قول عامة الحنفية، وجماعة من المالكية - منهم القاضي أبو بكر الباقلاني والباجي -، وجماعة من الشافعية - منهم أبو بكر القفال الشاشي والغزالي والآمدي-، كما قال به أبو الحسن التميمي من الحنابلة وغيرهم.</w:t>
      </w:r>
    </w:p>
    <w:p w:rsidR="00035BE3" w:rsidRDefault="00035BE3" w:rsidP="00C10469">
      <w:pPr>
        <w:pStyle w:val="a6"/>
        <w:ind w:left="422" w:firstLine="0"/>
        <w:rPr>
          <w:rtl/>
        </w:rPr>
      </w:pPr>
      <w:r>
        <w:rPr>
          <w:rFonts w:hint="cs"/>
          <w:rtl/>
        </w:rPr>
        <w:t>ولو عدتَ إلى لفظ القاعدة فإنه يتمشى مع هذا القول؛ لأن كون مفهوم المخالفة ليس بحجة معناه : أن تخصيص الشيء بالذكر لا يدل على حصر الحكم فيه ونفيه عمّا عداه.</w:t>
      </w:r>
    </w:p>
    <w:p w:rsidR="00035BE3" w:rsidRDefault="00035BE3" w:rsidP="00C10469">
      <w:pPr>
        <w:pStyle w:val="a6"/>
        <w:ind w:left="422" w:firstLine="0"/>
        <w:rPr>
          <w:rtl/>
        </w:rPr>
      </w:pPr>
      <w:r>
        <w:rPr>
          <w:rFonts w:hint="cs"/>
          <w:rtl/>
        </w:rPr>
        <w:t>وهذه القاعدة - مع كونها أصولية؛ لكونها تتعلق بطرق الاستنباط من الأدلة إلاّ أنه نظرًا لكثرة الفروع الفقهية المخرَّجة عليها : كثر استناد أصحاب الكتب الفقهية عليها في كيفية إثبات أحكام تلك الفروع من أدلتها التفصيلية أو نفيها.</w:t>
      </w:r>
    </w:p>
    <w:p w:rsidR="00035BE3" w:rsidRDefault="00035BE3" w:rsidP="00C10469">
      <w:pPr>
        <w:pStyle w:val="a6"/>
        <w:ind w:left="422" w:firstLine="0"/>
        <w:rPr>
          <w:rtl/>
        </w:rPr>
      </w:pPr>
      <w:r>
        <w:rPr>
          <w:rFonts w:hint="cs"/>
          <w:rtl/>
        </w:rPr>
        <w:t>وتبعًا لذلك ورد ذكرها في كثير من كتب القواعد الفقهية.</w:t>
      </w:r>
    </w:p>
    <w:p w:rsidR="00035BE3" w:rsidRDefault="00035BE3" w:rsidP="00C10469">
      <w:pPr>
        <w:pStyle w:val="a6"/>
        <w:ind w:left="422" w:firstLine="0"/>
        <w:rPr>
          <w:rtl/>
        </w:rPr>
      </w:pPr>
      <w:r>
        <w:rPr>
          <w:rFonts w:hint="cs"/>
          <w:b/>
          <w:bCs/>
          <w:rtl/>
        </w:rPr>
        <w:t>ولتوثيق جميع ما سبق والتوسع فيه</w:t>
      </w:r>
      <w:r>
        <w:rPr>
          <w:rFonts w:hint="cs"/>
          <w:rtl/>
        </w:rPr>
        <w:t xml:space="preserve"> : انظر </w:t>
      </w:r>
      <w:r>
        <w:rPr>
          <w:rFonts w:hint="cs"/>
          <w:b/>
          <w:bCs/>
          <w:rtl/>
        </w:rPr>
        <w:t>كتب الأصول</w:t>
      </w:r>
      <w:r>
        <w:rPr>
          <w:rFonts w:hint="cs"/>
          <w:rtl/>
        </w:rPr>
        <w:t xml:space="preserve"> الآتية :</w:t>
      </w:r>
    </w:p>
    <w:p w:rsidR="00035BE3" w:rsidRPr="00F34608" w:rsidRDefault="00035BE3" w:rsidP="00C10469">
      <w:pPr>
        <w:pStyle w:val="a6"/>
        <w:ind w:left="422" w:firstLine="0"/>
        <w:rPr>
          <w:spacing w:val="2"/>
          <w:rtl/>
        </w:rPr>
      </w:pPr>
      <w:r>
        <w:rPr>
          <w:rFonts w:hint="cs"/>
          <w:rtl/>
        </w:rPr>
        <w:t xml:space="preserve">المعتمد في أصول الفقه، 1/141-160؛ العدة، 1/154، 2/448؛ إحكام الفصول في أحكام الأصول، ص446؛ الإشارة (كلاهما للباجي)، ص294؛ التبصرة، ص218؛ البرهان، 1/198؛ </w:t>
      </w:r>
      <w:r w:rsidRPr="00F325BE">
        <w:rPr>
          <w:rFonts w:hint="cs"/>
          <w:spacing w:val="-4"/>
          <w:rtl/>
        </w:rPr>
        <w:t xml:space="preserve">أصول البزدوي وشرحه : كشف الأسرار، 2/465؛ أصول السرخسي، 1/255؛ قواطع الأدلة، </w:t>
      </w:r>
      <w:r>
        <w:rPr>
          <w:rFonts w:hint="cs"/>
          <w:rtl/>
        </w:rPr>
        <w:t xml:space="preserve">2/10؛ </w:t>
      </w:r>
      <w:r w:rsidRPr="00F325BE">
        <w:rPr>
          <w:rFonts w:hint="cs"/>
          <w:spacing w:val="-4"/>
          <w:rtl/>
        </w:rPr>
        <w:t>المستصفى، 2/191؛ ميزان الأصول، 1/579؛ الوصول إلى الأصول لابن برهان، 1/338؛</w:t>
      </w:r>
      <w:r>
        <w:rPr>
          <w:rFonts w:hint="cs"/>
          <w:rtl/>
        </w:rPr>
        <w:t xml:space="preserve"> </w:t>
      </w:r>
      <w:r w:rsidRPr="00F325BE">
        <w:rPr>
          <w:rFonts w:hint="cs"/>
          <w:spacing w:val="-4"/>
          <w:rtl/>
        </w:rPr>
        <w:t xml:space="preserve">المحصول، 1/253-268؛ روضة الناظر، 2/775؛ الإحكام للآمدي، 3/78؛ مختصر ابن الحاجب وشرحيه: شرح </w:t>
      </w:r>
      <w:r w:rsidRPr="00F34608">
        <w:rPr>
          <w:rFonts w:hint="cs"/>
          <w:spacing w:val="4"/>
          <w:rtl/>
        </w:rPr>
        <w:t>العضد، 2/173؛ وبيان المختصر، 2/444؛ الكاشف</w:t>
      </w:r>
      <w:r w:rsidRPr="00F34608">
        <w:rPr>
          <w:rFonts w:hint="cs"/>
          <w:spacing w:val="2"/>
          <w:rtl/>
        </w:rPr>
        <w:t xml:space="preserve"> </w:t>
      </w:r>
      <w:r w:rsidRPr="00F34608">
        <w:rPr>
          <w:rFonts w:hint="cs"/>
          <w:spacing w:val="4"/>
          <w:rtl/>
        </w:rPr>
        <w:t>عن المحصول للأصفهاني، 3/351؛ شرح</w:t>
      </w:r>
      <w:r w:rsidRPr="00F34608">
        <w:rPr>
          <w:rFonts w:hint="cs"/>
          <w:spacing w:val="2"/>
          <w:rtl/>
        </w:rPr>
        <w:t xml:space="preserve"> </w:t>
      </w:r>
    </w:p>
    <w:p w:rsidR="00035BE3" w:rsidRDefault="00035BE3" w:rsidP="00C10469">
      <w:pPr>
        <w:pStyle w:val="a6"/>
        <w:spacing w:line="228" w:lineRule="auto"/>
        <w:ind w:left="420" w:firstLine="0"/>
        <w:rPr>
          <w:rtl/>
        </w:rPr>
      </w:pPr>
      <w:r>
        <w:rPr>
          <w:rFonts w:hint="cs"/>
          <w:rtl/>
        </w:rPr>
        <w:t xml:space="preserve">تنقيح الفصول، ص53؛ المغني للخبازي، ص164؛ المنار وشرحيه : كشف الأسرار، وشرح نور الأنوار، 1/406؛ شرح مختصر الروضة للطوفي، 1/724؛ تقريب الوصول لابن جزي، ص169؛ جمع الجوامع وشرحيه : شرح المحلى وعليه حاشية </w:t>
      </w:r>
      <w:r>
        <w:rPr>
          <w:rFonts w:hint="cs"/>
          <w:spacing w:val="-2"/>
          <w:rtl/>
        </w:rPr>
        <w:t>البناني، 1/245؛ وتشنيف المسامع، 1/345؛ البحر المحيط، 4/13؛</w:t>
      </w:r>
      <w:r>
        <w:rPr>
          <w:rFonts w:hint="cs"/>
          <w:rtl/>
        </w:rPr>
        <w:t xml:space="preserve"> التحرير وشرحه : تيسـير التحرير، 1/98؛ شرح الكوكب المنير، 3/488؛ مسلّم الثبوت وشرحه : فواتح الرحموت، 1/414؛ تفسير النصوص للدكتور محمد أديب، 1/609؛ موازنة بين دلالة النص والقياس الأصولي للدكتور الصـاعـدي، 1/265؛ تلقيح الفُهوم بالمنطوق والمفهوم، ص127؛ بحث : مفهوم اللقب عند الأصوليين لشيخنا د. أحمد بن محمد العنقري (البحث الثاني من بحوث مجلة جامعة الإمام محمد بن سعود، العدد 19، ص83-144).</w:t>
      </w:r>
    </w:p>
    <w:p w:rsidR="00035BE3" w:rsidRDefault="00035BE3" w:rsidP="00C10469">
      <w:pPr>
        <w:pStyle w:val="a6"/>
        <w:spacing w:line="228" w:lineRule="auto"/>
        <w:ind w:left="420" w:firstLine="0"/>
        <w:rPr>
          <w:rtl/>
        </w:rPr>
      </w:pPr>
      <w:r>
        <w:rPr>
          <w:rFonts w:hint="cs"/>
          <w:rtl/>
        </w:rPr>
        <w:t xml:space="preserve">وانظر كتب </w:t>
      </w:r>
      <w:r>
        <w:rPr>
          <w:rFonts w:hint="cs"/>
          <w:b/>
          <w:bCs/>
          <w:rtl/>
        </w:rPr>
        <w:t>القواعد الفقهية</w:t>
      </w:r>
      <w:r>
        <w:rPr>
          <w:rFonts w:hint="cs"/>
          <w:rtl/>
        </w:rPr>
        <w:t xml:space="preserve"> الآتية :</w:t>
      </w:r>
    </w:p>
    <w:p w:rsidR="00035BE3" w:rsidRDefault="00035BE3" w:rsidP="00C10469">
      <w:pPr>
        <w:pStyle w:val="a6"/>
        <w:spacing w:line="228" w:lineRule="auto"/>
        <w:ind w:left="420" w:firstLine="0"/>
        <w:rPr>
          <w:rtl/>
        </w:rPr>
      </w:pPr>
      <w:r>
        <w:rPr>
          <w:rFonts w:hint="cs"/>
          <w:rtl/>
        </w:rPr>
        <w:t xml:space="preserve">تأسيس النظر، ص131 - ولفظه : </w:t>
      </w:r>
      <w:r>
        <w:rPr>
          <w:rFonts w:hint="eastAsia"/>
          <w:rtl/>
        </w:rPr>
        <w:t>«</w:t>
      </w:r>
      <w:r>
        <w:rPr>
          <w:rFonts w:hint="cs"/>
          <w:rtl/>
        </w:rPr>
        <w:t>الأصل عند علمائنا أن تخصيص الشيء بالذكر والصفة لا ينفي حكم ما عداه. وعند الشافعي ينفي حكم ماعداه</w:t>
      </w:r>
      <w:r>
        <w:rPr>
          <w:rFonts w:hint="eastAsia"/>
          <w:rtl/>
        </w:rPr>
        <w:t>»</w:t>
      </w:r>
      <w:r>
        <w:rPr>
          <w:rFonts w:hint="cs"/>
          <w:rtl/>
        </w:rPr>
        <w:t xml:space="preserve">-؛ القواعد للمقَّري، 1/348، قاعدة 120 - ولفظه: </w:t>
      </w:r>
      <w:r>
        <w:rPr>
          <w:rFonts w:hint="eastAsia"/>
          <w:rtl/>
        </w:rPr>
        <w:t>«</w:t>
      </w:r>
      <w:r>
        <w:rPr>
          <w:rFonts w:hint="cs"/>
          <w:rtl/>
        </w:rPr>
        <w:t>لا يجوز نسبة التخريج والإلزام بطريق المفهوم أو غيره إلى غير المعصوم عند المحققين</w:t>
      </w:r>
      <w:r>
        <w:rPr>
          <w:rFonts w:hint="eastAsia"/>
          <w:rtl/>
        </w:rPr>
        <w:t>»</w:t>
      </w:r>
      <w:r>
        <w:rPr>
          <w:rFonts w:hint="cs"/>
          <w:rtl/>
        </w:rPr>
        <w:t xml:space="preserve">-؛ تقرير القـواعد، 2/569- فقد وردت عرضًا بلفظ : </w:t>
      </w:r>
      <w:r>
        <w:rPr>
          <w:rFonts w:hint="eastAsia"/>
          <w:rtl/>
        </w:rPr>
        <w:t>«</w:t>
      </w:r>
      <w:r>
        <w:rPr>
          <w:rFonts w:hint="cs"/>
          <w:rtl/>
        </w:rPr>
        <w:t>... وتخصيص بعضهم بالذكر لا يقتضي التخصيص بالحكم...</w:t>
      </w:r>
      <w:r>
        <w:rPr>
          <w:rFonts w:hint="eastAsia"/>
          <w:rtl/>
        </w:rPr>
        <w:t>»</w:t>
      </w:r>
      <w:r>
        <w:rPr>
          <w:rFonts w:hint="cs"/>
          <w:rtl/>
        </w:rPr>
        <w:t xml:space="preserve">-؛ مختصر من قواعد العلائي وكلام الإسنوي، 1/115 -ولفظه : </w:t>
      </w:r>
      <w:r>
        <w:rPr>
          <w:rFonts w:hint="eastAsia"/>
          <w:rtl/>
        </w:rPr>
        <w:t>«</w:t>
      </w:r>
      <w:r>
        <w:rPr>
          <w:rFonts w:hint="cs"/>
          <w:rtl/>
        </w:rPr>
        <w:t>مفهوم العدد حجة عند الشافعي والجمهور. واختار الإمام فخر الدين والآمدي أنه ليس بحجة</w:t>
      </w:r>
      <w:r>
        <w:rPr>
          <w:rFonts w:hint="eastAsia"/>
          <w:rtl/>
        </w:rPr>
        <w:t>»</w:t>
      </w:r>
      <w:r>
        <w:rPr>
          <w:rFonts w:hint="cs"/>
          <w:rtl/>
        </w:rPr>
        <w:t xml:space="preserve">-؛ الأشباه والنظائر لابن نجيم، ص251 -ولفظه : </w:t>
      </w:r>
      <w:r>
        <w:rPr>
          <w:rFonts w:hint="eastAsia"/>
          <w:rtl/>
        </w:rPr>
        <w:t>«</w:t>
      </w:r>
      <w:r>
        <w:rPr>
          <w:rFonts w:hint="cs"/>
          <w:rtl/>
        </w:rPr>
        <w:t>لا يجوز الاحتجاح بالمفهوم في كلام الناس في ظاهر المذهب كالأدلة، وما ذكره محمد رحمه الله في (السير الكبير) من جواز الاحتجاج به فهو خلاف ظاهر المذهب، كما في الدعوى من (الظهيرية)، وأما مفهوم الرواية : فحجة، كما في (غاية البيان) من الحج</w:t>
      </w:r>
      <w:r>
        <w:rPr>
          <w:rFonts w:hint="eastAsia"/>
          <w:rtl/>
        </w:rPr>
        <w:t>»</w:t>
      </w:r>
      <w:r>
        <w:rPr>
          <w:rFonts w:hint="cs"/>
          <w:rtl/>
        </w:rPr>
        <w:t xml:space="preserve">-؛ الفوائد الزينية، ص143، فائدة 169 - ولفظه: </w:t>
      </w:r>
      <w:r>
        <w:rPr>
          <w:rFonts w:hint="eastAsia"/>
          <w:rtl/>
        </w:rPr>
        <w:t>«</w:t>
      </w:r>
      <w:r>
        <w:rPr>
          <w:rFonts w:hint="cs"/>
          <w:rtl/>
        </w:rPr>
        <w:t>قال الأصوليون : التنصيص على الشيء باسمه العلم لا يدّل على نفي الحكم عما عداه، وهو المسمى عندهم بمفهوم اللقب، وهو تعليق الحكم بجامد، وأنكره الكل إلا الدّقاق ...</w:t>
      </w:r>
      <w:r>
        <w:rPr>
          <w:rFonts w:hint="eastAsia"/>
          <w:rtl/>
        </w:rPr>
        <w:t>»</w:t>
      </w:r>
      <w:r>
        <w:rPr>
          <w:rFonts w:hint="cs"/>
          <w:rtl/>
        </w:rPr>
        <w:t xml:space="preserve">-؛ الفرائد البهية للحمزاوي، ص31، قاعدة 46 - ولفظه : </w:t>
      </w:r>
      <w:r>
        <w:rPr>
          <w:rFonts w:hint="eastAsia"/>
          <w:rtl/>
        </w:rPr>
        <w:t>«</w:t>
      </w:r>
      <w:r>
        <w:rPr>
          <w:rFonts w:hint="cs"/>
          <w:rtl/>
        </w:rPr>
        <w:t>الاستدلال بمفهوم النصوص عندنا من الأدلة الفاسدة</w:t>
      </w:r>
      <w:r>
        <w:rPr>
          <w:rFonts w:hint="eastAsia"/>
          <w:rtl/>
        </w:rPr>
        <w:t>»</w:t>
      </w:r>
      <w:r>
        <w:rPr>
          <w:rFonts w:hint="cs"/>
          <w:rtl/>
        </w:rPr>
        <w:t xml:space="preserve">-؛ قواعد الفقه للمجدّدي، ص68، قاعدة78، وص127، قاعدة 341 و342، وص578 -ولفظه قبل الأخير: </w:t>
      </w:r>
      <w:r>
        <w:rPr>
          <w:rFonts w:hint="eastAsia"/>
          <w:rtl/>
        </w:rPr>
        <w:t>«</w:t>
      </w:r>
      <w:r>
        <w:rPr>
          <w:rFonts w:hint="cs"/>
          <w:rtl/>
        </w:rPr>
        <w:t>المفهوم ليس بحجة</w:t>
      </w:r>
      <w:r>
        <w:rPr>
          <w:rFonts w:hint="eastAsia"/>
          <w:rtl/>
        </w:rPr>
        <w:t>»</w:t>
      </w:r>
      <w:r>
        <w:rPr>
          <w:rFonts w:hint="cs"/>
          <w:rtl/>
        </w:rPr>
        <w:t xml:space="preserve">-؛ القواعد والضوابط المستخلصة من التحرير، ص484، وأحال إلى التحرير، 5/230 - ولفظه: </w:t>
      </w:r>
      <w:r>
        <w:rPr>
          <w:rFonts w:hint="eastAsia"/>
          <w:rtl/>
        </w:rPr>
        <w:t>«</w:t>
      </w:r>
      <w:r>
        <w:rPr>
          <w:rFonts w:hint="cs"/>
          <w:rtl/>
        </w:rPr>
        <w:t>تخصيص الشيء بالذكر عندنا لا يدل على أن الحكم فيما عداه بخلافه</w:t>
      </w:r>
      <w:r>
        <w:rPr>
          <w:rFonts w:hint="eastAsia"/>
          <w:rtl/>
        </w:rPr>
        <w:t>»</w:t>
      </w:r>
      <w:r>
        <w:rPr>
          <w:rFonts w:hint="cs"/>
          <w:rtl/>
        </w:rPr>
        <w:t>-؛ موسوعة القـواعد، 1/464، 3/246- وقد ذكر عدة ألفاظ منها ألفاظ : تأسيس النظر، وأشباه ابن نجيم، والقواعد والضوابط المستخلصة-.</w:t>
      </w:r>
    </w:p>
    <w:p w:rsidR="00035BE3" w:rsidRDefault="00035BE3" w:rsidP="00C10469">
      <w:pPr>
        <w:pStyle w:val="a6"/>
        <w:spacing w:line="228" w:lineRule="auto"/>
        <w:ind w:left="420" w:firstLine="0"/>
        <w:rPr>
          <w:rtl/>
        </w:rPr>
      </w:pPr>
      <w:r>
        <w:rPr>
          <w:rFonts w:hint="cs"/>
          <w:rtl/>
        </w:rPr>
        <w:t xml:space="preserve">وانظر من </w:t>
      </w:r>
      <w:r>
        <w:rPr>
          <w:rFonts w:hint="cs"/>
          <w:b/>
          <w:bCs/>
          <w:rtl/>
        </w:rPr>
        <w:t>كتب الفقه</w:t>
      </w:r>
      <w:r>
        <w:rPr>
          <w:rFonts w:hint="cs"/>
          <w:rtl/>
        </w:rPr>
        <w:t xml:space="preserve"> :</w:t>
      </w:r>
    </w:p>
    <w:p w:rsidR="00035BE3" w:rsidRDefault="00035BE3" w:rsidP="00C10469">
      <w:pPr>
        <w:pStyle w:val="a6"/>
        <w:ind w:left="422" w:hanging="2"/>
        <w:rPr>
          <w:rtl/>
        </w:rPr>
      </w:pPr>
      <w:r>
        <w:rPr>
          <w:rFonts w:hint="cs"/>
          <w:rtl/>
        </w:rPr>
        <w:t>المبسوط، 26/85، 134؛ العناية، 8/177؛ الدرر شرح الغرر، 2/89؛ البحر الرائق؛ 3/364.</w:t>
      </w:r>
    </w:p>
  </w:footnote>
  <w:footnote w:id="17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يُلحظ أن الفاعل (وهو أصحاب) اسم ظاهر مجموع، ومع ذلك لم يجرد الفعل الذي أسند إليه (وهو: يسمونه) من علامة الجمع (وهي الواو).</w:t>
      </w:r>
    </w:p>
    <w:p w:rsidR="00035BE3" w:rsidRDefault="00035BE3" w:rsidP="00C10469">
      <w:pPr>
        <w:pStyle w:val="a6"/>
        <w:ind w:left="422" w:firstLine="0"/>
        <w:rPr>
          <w:rtl/>
        </w:rPr>
      </w:pPr>
      <w:r>
        <w:rPr>
          <w:rFonts w:hint="cs"/>
          <w:rtl/>
        </w:rPr>
        <w:t>وهذا وإن كان مخالفًا للشائع الذي عليه جمهور العرب، إلاّ أنه يتمشّى مع مذهب طائفة من العرب (وهم بنو الحارث بن كعب) الذين يأتون بعلامةٍ تدلّ على التثنية أو الجمع إذا أسند الفعل إلى اسم ظاهر مثنى أو مجموع.</w:t>
      </w:r>
    </w:p>
    <w:p w:rsidR="00035BE3" w:rsidRDefault="00035BE3" w:rsidP="00C10469">
      <w:pPr>
        <w:pStyle w:val="a6"/>
        <w:ind w:left="422" w:firstLine="0"/>
        <w:rPr>
          <w:rtl/>
        </w:rPr>
      </w:pPr>
      <w:r>
        <w:rPr>
          <w:rFonts w:hint="cs"/>
          <w:rtl/>
        </w:rPr>
        <w:t>وهذه اللغة هي ما تعرف عند النحاة بـ (أَكَلوني البراغيث). وهي لغة فصيحة، لكنها لم تبلغ من درجة الشيوع والفصاحة ما بلغته لغة الجمهور الذين يوجبون تجريد الفعل من علامة التثنية أو الجمع؛ وذلك لأن الوارد المسموع بها كثير في ذاته، وإن كان قليلاً بالنسبة للوارد في لغة الجمهور.</w:t>
      </w:r>
    </w:p>
    <w:p w:rsidR="00035BE3" w:rsidRDefault="00035BE3" w:rsidP="00C10469">
      <w:pPr>
        <w:pStyle w:val="a6"/>
        <w:ind w:left="422" w:firstLine="0"/>
        <w:rPr>
          <w:rtl/>
        </w:rPr>
      </w:pPr>
      <w:r>
        <w:rPr>
          <w:rFonts w:hint="cs"/>
          <w:rtl/>
        </w:rPr>
        <w:t>وممّا يشهد لتلك اللغة :</w:t>
      </w:r>
    </w:p>
    <w:p w:rsidR="00035BE3" w:rsidRDefault="00035BE3" w:rsidP="00C10469">
      <w:pPr>
        <w:pStyle w:val="a6"/>
        <w:ind w:left="422" w:firstLine="0"/>
        <w:rPr>
          <w:rtl/>
        </w:rPr>
      </w:pPr>
      <w:r>
        <w:rPr>
          <w:rFonts w:hint="cs"/>
          <w:b/>
          <w:bCs/>
          <w:rtl/>
        </w:rPr>
        <w:t>1</w:t>
      </w:r>
      <w:r>
        <w:rPr>
          <w:rFonts w:hint="cs"/>
          <w:rtl/>
        </w:rPr>
        <w:t xml:space="preserve">- قوله تعالى : </w:t>
      </w:r>
      <w:r>
        <w:rPr>
          <w:color w:val="000000"/>
          <w:sz w:val="24"/>
          <w:szCs w:val="24"/>
        </w:rPr>
        <w:sym w:font="HQPB2" w:char="F0E2"/>
      </w:r>
      <w:r>
        <w:rPr>
          <w:color w:val="000000"/>
          <w:sz w:val="24"/>
          <w:szCs w:val="24"/>
        </w:rPr>
        <w:sym w:font="HQPB4" w:char="F033"/>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2" w:char="F072"/>
      </w:r>
      <w:r>
        <w:rPr>
          <w:color w:val="000000"/>
          <w:sz w:val="24"/>
          <w:szCs w:val="24"/>
        </w:rPr>
        <w:sym w:font="HQPB4" w:char="F095"/>
      </w:r>
      <w:r>
        <w:rPr>
          <w:color w:val="000000"/>
          <w:sz w:val="24"/>
          <w:szCs w:val="24"/>
        </w:rPr>
        <w:sym w:font="HQPB1" w:char="F08E"/>
      </w:r>
      <w:r>
        <w:rPr>
          <w:color w:val="000000"/>
          <w:sz w:val="24"/>
          <w:szCs w:val="24"/>
        </w:rPr>
        <w:sym w:font="HQPB5" w:char="F07C"/>
      </w:r>
      <w:r>
        <w:rPr>
          <w:color w:val="000000"/>
          <w:sz w:val="24"/>
          <w:szCs w:val="24"/>
        </w:rPr>
        <w:sym w:font="HQPB1" w:char="F0A0"/>
      </w:r>
      <w:r>
        <w:rPr>
          <w:color w:val="000000"/>
          <w:sz w:val="24"/>
          <w:szCs w:val="24"/>
        </w:rPr>
        <w:sym w:font="HQPB5" w:char="F072"/>
      </w:r>
      <w:r>
        <w:rPr>
          <w:color w:val="000000"/>
          <w:sz w:val="24"/>
          <w:szCs w:val="24"/>
        </w:rPr>
        <w:sym w:font="HQPB1" w:char="F026"/>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2" w:char="F093"/>
      </w:r>
      <w:r>
        <w:rPr>
          <w:color w:val="000000"/>
          <w:sz w:val="24"/>
          <w:szCs w:val="24"/>
        </w:rPr>
        <w:sym w:font="HQPB5" w:char="F075"/>
      </w:r>
      <w:r>
        <w:rPr>
          <w:color w:val="000000"/>
          <w:sz w:val="24"/>
          <w:szCs w:val="24"/>
        </w:rPr>
        <w:sym w:font="HQPB2" w:char="F071"/>
      </w:r>
      <w:r>
        <w:rPr>
          <w:color w:val="000000"/>
          <w:sz w:val="24"/>
          <w:szCs w:val="24"/>
        </w:rPr>
        <w:sym w:font="HQPB4" w:char="F0F4"/>
      </w:r>
      <w:r>
        <w:rPr>
          <w:color w:val="000000"/>
          <w:sz w:val="24"/>
          <w:szCs w:val="24"/>
        </w:rPr>
        <w:sym w:font="HQPB1" w:char="F066"/>
      </w:r>
      <w:r>
        <w:rPr>
          <w:color w:val="000000"/>
          <w:sz w:val="24"/>
          <w:szCs w:val="24"/>
        </w:rPr>
        <w:sym w:font="HQPB4" w:char="F0A8"/>
      </w:r>
      <w:r>
        <w:rPr>
          <w:color w:val="000000"/>
          <w:sz w:val="24"/>
          <w:szCs w:val="24"/>
        </w:rPr>
        <w:sym w:font="HQPB2" w:char="F05A"/>
      </w:r>
      <w:r>
        <w:rPr>
          <w:color w:val="000000"/>
          <w:sz w:val="24"/>
          <w:szCs w:val="24"/>
        </w:rPr>
        <w:sym w:font="HQPB2" w:char="F039"/>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5" w:char="F074"/>
      </w:r>
      <w:r>
        <w:rPr>
          <w:color w:val="000000"/>
          <w:sz w:val="24"/>
          <w:szCs w:val="24"/>
        </w:rPr>
        <w:sym w:font="HQPB2" w:char="F0FB"/>
      </w:r>
      <w:r>
        <w:rPr>
          <w:color w:val="000000"/>
          <w:sz w:val="24"/>
          <w:szCs w:val="24"/>
        </w:rPr>
        <w:sym w:font="HQPB2" w:char="F0EF"/>
      </w:r>
      <w:r>
        <w:rPr>
          <w:color w:val="000000"/>
          <w:sz w:val="24"/>
          <w:szCs w:val="24"/>
        </w:rPr>
        <w:sym w:font="HQPB4" w:char="F0CF"/>
      </w:r>
      <w:r>
        <w:rPr>
          <w:color w:val="000000"/>
          <w:sz w:val="24"/>
          <w:szCs w:val="24"/>
        </w:rPr>
        <w:sym w:font="HQPB3" w:char="F025"/>
      </w:r>
      <w:r>
        <w:rPr>
          <w:color w:val="000000"/>
          <w:sz w:val="24"/>
          <w:szCs w:val="24"/>
        </w:rPr>
        <w:sym w:font="HQPB4" w:char="F0A9"/>
      </w:r>
      <w:r>
        <w:rPr>
          <w:color w:val="000000"/>
          <w:sz w:val="24"/>
          <w:szCs w:val="24"/>
        </w:rPr>
        <w:sym w:font="HQPB3" w:char="F021"/>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2" w:char="F071"/>
      </w:r>
      <w:r>
        <w:rPr>
          <w:color w:val="000000"/>
          <w:sz w:val="24"/>
          <w:szCs w:val="24"/>
        </w:rPr>
        <w:sym w:font="HQPB4" w:char="F0E7"/>
      </w:r>
      <w:r>
        <w:rPr>
          <w:color w:val="000000"/>
          <w:sz w:val="24"/>
          <w:szCs w:val="24"/>
        </w:rPr>
        <w:sym w:font="HQPB2" w:char="F048"/>
      </w:r>
      <w:r>
        <w:rPr>
          <w:color w:val="000000"/>
          <w:sz w:val="24"/>
          <w:szCs w:val="24"/>
        </w:rPr>
        <w:sym w:font="HQPB5" w:char="F073"/>
      </w:r>
      <w:r>
        <w:rPr>
          <w:color w:val="000000"/>
          <w:sz w:val="24"/>
          <w:szCs w:val="24"/>
        </w:rPr>
        <w:sym w:font="HQPB2" w:char="F03E"/>
      </w:r>
      <w:r>
        <w:rPr>
          <w:color w:val="000000"/>
          <w:sz w:val="24"/>
          <w:szCs w:val="24"/>
        </w:rPr>
        <w:sym w:font="HQPB5" w:char="F073"/>
      </w:r>
      <w:r>
        <w:rPr>
          <w:color w:val="000000"/>
          <w:sz w:val="24"/>
          <w:szCs w:val="24"/>
        </w:rPr>
        <w:sym w:font="HQPB1" w:char="F0DF"/>
      </w:r>
      <w:r>
        <w:rPr>
          <w:color w:val="000000"/>
          <w:sz w:val="24"/>
          <w:szCs w:val="24"/>
          <w:rtl/>
        </w:rPr>
        <w:t xml:space="preserve">  </w:t>
      </w:r>
      <w:r>
        <w:rPr>
          <w:color w:val="000000"/>
          <w:sz w:val="24"/>
          <w:szCs w:val="24"/>
        </w:rPr>
        <w:sym w:font="HQPB2" w:char="F0E1"/>
      </w:r>
      <w:r>
        <w:rPr>
          <w:rFonts w:hint="cs"/>
          <w:rtl/>
        </w:rPr>
        <w:t xml:space="preserve"> [من الآية رقم (3) من سورة (الأنبياء)].</w:t>
      </w:r>
    </w:p>
    <w:p w:rsidR="00035BE3" w:rsidRDefault="00035BE3" w:rsidP="00C10469">
      <w:pPr>
        <w:pStyle w:val="a6"/>
        <w:ind w:left="422" w:firstLine="0"/>
        <w:rPr>
          <w:rtl/>
        </w:rPr>
      </w:pPr>
      <w:r>
        <w:rPr>
          <w:rFonts w:hint="cs"/>
          <w:b/>
          <w:bCs/>
          <w:rtl/>
        </w:rPr>
        <w:t>2</w:t>
      </w:r>
      <w:r>
        <w:rPr>
          <w:rFonts w:hint="cs"/>
          <w:rtl/>
        </w:rPr>
        <w:t xml:space="preserve">- وقوله تعالى : </w:t>
      </w:r>
      <w:r>
        <w:rPr>
          <w:color w:val="000000"/>
          <w:sz w:val="24"/>
          <w:szCs w:val="24"/>
        </w:rPr>
        <w:sym w:font="HQPB2" w:char="F0E2"/>
      </w:r>
      <w:r>
        <w:rPr>
          <w:color w:val="000000"/>
          <w:sz w:val="24"/>
          <w:szCs w:val="24"/>
          <w:rtl/>
        </w:rPr>
        <w:t xml:space="preserve">  </w:t>
      </w:r>
      <w:r>
        <w:rPr>
          <w:color w:val="000000"/>
          <w:sz w:val="24"/>
          <w:szCs w:val="24"/>
        </w:rPr>
        <w:sym w:font="HQPB4" w:char="F0A7"/>
      </w:r>
      <w:r>
        <w:rPr>
          <w:color w:val="000000"/>
          <w:sz w:val="24"/>
          <w:szCs w:val="24"/>
        </w:rPr>
        <w:sym w:font="HQPB2" w:char="F04E"/>
      </w:r>
      <w:r>
        <w:rPr>
          <w:color w:val="000000"/>
          <w:sz w:val="24"/>
          <w:szCs w:val="24"/>
        </w:rPr>
        <w:sym w:font="HQPB4" w:char="F0E8"/>
      </w:r>
      <w:r>
        <w:rPr>
          <w:color w:val="000000"/>
          <w:sz w:val="24"/>
          <w:szCs w:val="24"/>
        </w:rPr>
        <w:sym w:font="HQPB1" w:char="F04F"/>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2" w:char="F071"/>
      </w:r>
      <w:r>
        <w:rPr>
          <w:color w:val="000000"/>
          <w:sz w:val="24"/>
          <w:szCs w:val="24"/>
        </w:rPr>
        <w:sym w:font="HQPB4" w:char="F0DF"/>
      </w:r>
      <w:r>
        <w:rPr>
          <w:color w:val="000000"/>
          <w:sz w:val="24"/>
          <w:szCs w:val="24"/>
        </w:rPr>
        <w:sym w:font="HQPB2" w:char="F04A"/>
      </w:r>
      <w:r>
        <w:rPr>
          <w:color w:val="000000"/>
          <w:sz w:val="24"/>
          <w:szCs w:val="24"/>
        </w:rPr>
        <w:sym w:font="HQPB5" w:char="F074"/>
      </w:r>
      <w:r>
        <w:rPr>
          <w:color w:val="000000"/>
          <w:sz w:val="24"/>
          <w:szCs w:val="24"/>
        </w:rPr>
        <w:sym w:font="HQPB1" w:char="F0E3"/>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2" w:char="F071"/>
      </w:r>
      <w:r>
        <w:rPr>
          <w:color w:val="000000"/>
          <w:sz w:val="24"/>
          <w:szCs w:val="24"/>
        </w:rPr>
        <w:sym w:font="HQPB4" w:char="F091"/>
      </w:r>
      <w:r>
        <w:rPr>
          <w:color w:val="000000"/>
          <w:sz w:val="24"/>
          <w:szCs w:val="24"/>
        </w:rPr>
        <w:sym w:font="HQPB2" w:char="F04A"/>
      </w:r>
      <w:r>
        <w:rPr>
          <w:color w:val="000000"/>
          <w:sz w:val="24"/>
          <w:szCs w:val="24"/>
        </w:rPr>
        <w:sym w:font="HQPB5" w:char="F07C"/>
      </w:r>
      <w:r>
        <w:rPr>
          <w:color w:val="000000"/>
          <w:sz w:val="24"/>
          <w:szCs w:val="24"/>
        </w:rPr>
        <w:sym w:font="HQPB1" w:char="F0B9"/>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4" w:char="F0D7"/>
      </w:r>
      <w:r>
        <w:rPr>
          <w:color w:val="000000"/>
          <w:sz w:val="24"/>
          <w:szCs w:val="24"/>
        </w:rPr>
        <w:sym w:font="HQPB1" w:char="F08E"/>
      </w:r>
      <w:r>
        <w:rPr>
          <w:color w:val="000000"/>
          <w:sz w:val="24"/>
          <w:szCs w:val="24"/>
        </w:rPr>
        <w:sym w:font="HQPB2" w:char="F08D"/>
      </w:r>
      <w:r>
        <w:rPr>
          <w:color w:val="000000"/>
          <w:sz w:val="24"/>
          <w:szCs w:val="24"/>
        </w:rPr>
        <w:sym w:font="HQPB4" w:char="F0CF"/>
      </w:r>
      <w:r>
        <w:rPr>
          <w:color w:val="000000"/>
          <w:sz w:val="24"/>
          <w:szCs w:val="24"/>
        </w:rPr>
        <w:sym w:font="HQPB1" w:char="F056"/>
      </w:r>
      <w:r>
        <w:rPr>
          <w:color w:val="000000"/>
          <w:sz w:val="24"/>
          <w:szCs w:val="24"/>
        </w:rPr>
        <w:sym w:font="HQPB5" w:char="F09F"/>
      </w:r>
      <w:r>
        <w:rPr>
          <w:color w:val="000000"/>
          <w:sz w:val="24"/>
          <w:szCs w:val="24"/>
        </w:rPr>
        <w:sym w:font="HQPB2" w:char="F032"/>
      </w:r>
      <w:r>
        <w:rPr>
          <w:color w:val="000000"/>
          <w:sz w:val="24"/>
          <w:szCs w:val="24"/>
          <w:rtl/>
        </w:rPr>
        <w:t xml:space="preserve"> </w:t>
      </w:r>
      <w:r>
        <w:rPr>
          <w:color w:val="000000"/>
          <w:sz w:val="24"/>
          <w:szCs w:val="24"/>
        </w:rPr>
        <w:sym w:font="HQPB4" w:char="F0F6"/>
      </w:r>
      <w:r>
        <w:rPr>
          <w:color w:val="000000"/>
          <w:sz w:val="24"/>
          <w:szCs w:val="24"/>
        </w:rPr>
        <w:sym w:font="HQPB2" w:char="F04E"/>
      </w:r>
      <w:r>
        <w:rPr>
          <w:color w:val="000000"/>
          <w:sz w:val="24"/>
          <w:szCs w:val="24"/>
        </w:rPr>
        <w:sym w:font="HQPB4" w:char="F0E5"/>
      </w:r>
      <w:r>
        <w:rPr>
          <w:color w:val="000000"/>
          <w:sz w:val="24"/>
          <w:szCs w:val="24"/>
        </w:rPr>
        <w:sym w:font="HQPB2" w:char="F06B"/>
      </w:r>
      <w:r>
        <w:rPr>
          <w:color w:val="000000"/>
          <w:sz w:val="24"/>
          <w:szCs w:val="24"/>
        </w:rPr>
        <w:sym w:font="HQPB4" w:char="F0F7"/>
      </w:r>
      <w:r>
        <w:rPr>
          <w:color w:val="000000"/>
          <w:sz w:val="24"/>
          <w:szCs w:val="24"/>
        </w:rPr>
        <w:sym w:font="HQPB2" w:char="F05D"/>
      </w:r>
      <w:r>
        <w:rPr>
          <w:color w:val="000000"/>
          <w:sz w:val="24"/>
          <w:szCs w:val="24"/>
        </w:rPr>
        <w:sym w:font="HQPB4" w:char="F0CF"/>
      </w:r>
      <w:r>
        <w:rPr>
          <w:color w:val="000000"/>
          <w:sz w:val="24"/>
          <w:szCs w:val="24"/>
        </w:rPr>
        <w:sym w:font="HQPB4" w:char="F069"/>
      </w:r>
      <w:r>
        <w:rPr>
          <w:color w:val="000000"/>
          <w:sz w:val="24"/>
          <w:szCs w:val="24"/>
        </w:rPr>
        <w:sym w:font="HQPB2" w:char="F042"/>
      </w:r>
      <w:r>
        <w:rPr>
          <w:color w:val="000000"/>
          <w:sz w:val="24"/>
          <w:szCs w:val="24"/>
          <w:rtl/>
        </w:rPr>
        <w:t xml:space="preserve"> </w:t>
      </w:r>
      <w:r>
        <w:rPr>
          <w:color w:val="000000"/>
          <w:sz w:val="24"/>
          <w:szCs w:val="24"/>
        </w:rPr>
        <w:sym w:font="HQPB4" w:char="F034"/>
      </w:r>
      <w:r>
        <w:rPr>
          <w:color w:val="000000"/>
          <w:sz w:val="24"/>
          <w:szCs w:val="24"/>
          <w:rtl/>
        </w:rPr>
        <w:t xml:space="preserve"> </w:t>
      </w:r>
      <w:r>
        <w:rPr>
          <w:color w:val="000000"/>
          <w:sz w:val="24"/>
          <w:szCs w:val="24"/>
        </w:rPr>
        <w:sym w:font="HQPB2" w:char="F0E1"/>
      </w:r>
      <w:r>
        <w:rPr>
          <w:rFonts w:hint="cs"/>
          <w:rtl/>
        </w:rPr>
        <w:t xml:space="preserve"> [من الآية رقم (71) من سورة (المائدة)].</w:t>
      </w:r>
    </w:p>
    <w:p w:rsidR="00035BE3" w:rsidRDefault="00035BE3" w:rsidP="00C10469">
      <w:pPr>
        <w:pStyle w:val="a6"/>
        <w:ind w:left="422" w:firstLine="0"/>
        <w:rPr>
          <w:rtl/>
        </w:rPr>
      </w:pPr>
      <w:r>
        <w:rPr>
          <w:rFonts w:hint="cs"/>
          <w:rtl/>
        </w:rPr>
        <w:t>وغير ذلك كثير في النثر والشعر، وهو مفصّل في كتب النحو.</w:t>
      </w:r>
    </w:p>
    <w:p w:rsidR="00035BE3" w:rsidRDefault="00035BE3" w:rsidP="00C10469">
      <w:pPr>
        <w:pStyle w:val="a6"/>
        <w:ind w:left="422" w:firstLine="0"/>
        <w:rPr>
          <w:rtl/>
        </w:rPr>
      </w:pPr>
      <w:r>
        <w:rPr>
          <w:rFonts w:hint="cs"/>
          <w:rtl/>
        </w:rPr>
        <w:t>انظر : أوضح المسالك وشرحه : ضياء السالك، 2/14-18؛ شرح ابن عقيل ومعه : منحة الجليل بتحقيق شرح ابن عقيل، 1/424-430؛ النحو الوافي، 2/73-74.</w:t>
      </w:r>
    </w:p>
    <w:p w:rsidR="00035BE3" w:rsidRDefault="00035BE3" w:rsidP="00C10469">
      <w:pPr>
        <w:pStyle w:val="a6"/>
        <w:ind w:left="422" w:firstLine="0"/>
        <w:rPr>
          <w:rtl/>
        </w:rPr>
      </w:pPr>
      <w:r>
        <w:rPr>
          <w:rFonts w:hint="cs"/>
          <w:rtl/>
        </w:rPr>
        <w:t xml:space="preserve">يضاف إلى ذلك : أن هذه المسألة كتب فيها د. عبد الرحمن العمّار بحثًا بعنوان : </w:t>
      </w:r>
      <w:r>
        <w:rPr>
          <w:rFonts w:hint="eastAsia"/>
          <w:rtl/>
        </w:rPr>
        <w:t>«</w:t>
      </w:r>
      <w:r>
        <w:rPr>
          <w:rFonts w:hint="cs"/>
          <w:rtl/>
        </w:rPr>
        <w:t>لغة أكلوني البراغيث</w:t>
      </w:r>
      <w:r>
        <w:rPr>
          <w:rFonts w:hint="eastAsia"/>
          <w:rtl/>
        </w:rPr>
        <w:t>»</w:t>
      </w:r>
      <w:r>
        <w:rPr>
          <w:rFonts w:hint="cs"/>
          <w:rtl/>
        </w:rPr>
        <w:t xml:space="preserve"> (في مجلة جامعة الإمام محمد بن سعود الإسلامية، العدد 27، ص95).</w:t>
      </w:r>
    </w:p>
  </w:footnote>
  <w:footnote w:id="17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وقد نس</w:t>
      </w:r>
      <w:r w:rsidRPr="00A17C17">
        <w:rPr>
          <w:rFonts w:hint="cs"/>
          <w:spacing w:val="-2"/>
          <w:rtl/>
        </w:rPr>
        <w:t xml:space="preserve">ب الغزالي هذه التسمية إلى ابن فورك الشافعي (ت406هـ)، حيث قال في المنخول، </w:t>
      </w:r>
      <w:r>
        <w:rPr>
          <w:rFonts w:hint="cs"/>
          <w:rtl/>
        </w:rPr>
        <w:t xml:space="preserve">ص292: </w:t>
      </w:r>
      <w:r>
        <w:rPr>
          <w:rFonts w:hint="eastAsia"/>
          <w:rtl/>
        </w:rPr>
        <w:t>«</w:t>
      </w:r>
      <w:r>
        <w:rPr>
          <w:rFonts w:hint="cs"/>
          <w:rtl/>
        </w:rPr>
        <w:t>وقد بدَّل ابن فورك لفظ المفهوم بدليل الخطاب في هذا القسم لمخالفته منظوم اللفظ</w:t>
      </w:r>
      <w:r>
        <w:rPr>
          <w:rFonts w:hint="eastAsia"/>
          <w:rtl/>
        </w:rPr>
        <w:t>»</w:t>
      </w:r>
      <w:r>
        <w:rPr>
          <w:rFonts w:hint="cs"/>
          <w:rtl/>
        </w:rPr>
        <w:t>.</w:t>
      </w:r>
    </w:p>
    <w:p w:rsidR="00035BE3" w:rsidRDefault="00035BE3" w:rsidP="00C10469">
      <w:pPr>
        <w:pStyle w:val="a6"/>
        <w:ind w:left="422" w:firstLine="0"/>
        <w:rPr>
          <w:rtl/>
        </w:rPr>
      </w:pPr>
      <w:r>
        <w:rPr>
          <w:rFonts w:hint="cs"/>
          <w:rtl/>
        </w:rPr>
        <w:t>كما وردت تسميته بدليل الخطاب في كثير من الكتب الأصولية الآنف ذكرها - عند توثيق القاعدة-؛ كالعدة للقاضي أبي يعلى والمستصفى وشرح تنقيح الفصول ومسلّم الثبوت وغيرها.</w:t>
      </w:r>
    </w:p>
  </w:footnote>
  <w:footnote w:id="1727">
    <w:p w:rsidR="00035BE3" w:rsidRDefault="00035BE3" w:rsidP="00C10469">
      <w:pPr>
        <w:pStyle w:val="a8"/>
        <w:bidi/>
        <w:ind w:left="422" w:right="0"/>
        <w:rPr>
          <w:rtl/>
          <w:lang w:bidi="ar-AE"/>
        </w:rPr>
      </w:pPr>
      <w:r>
        <w:rPr>
          <w:rFonts w:hint="cs"/>
          <w:vertAlign w:val="superscript"/>
          <w:rtl/>
        </w:rPr>
        <w:t>(</w:t>
      </w:r>
      <w:r>
        <w:rPr>
          <w:rStyle w:val="a7"/>
        </w:rPr>
        <w:footnoteRef/>
      </w:r>
      <w:r>
        <w:rPr>
          <w:rFonts w:hint="cs"/>
          <w:vertAlign w:val="superscript"/>
          <w:rtl/>
        </w:rPr>
        <w:t>)</w:t>
      </w:r>
      <w:r>
        <w:rPr>
          <w:rFonts w:hint="cs"/>
          <w:rtl/>
        </w:rPr>
        <w:t xml:space="preserve">   أي عند الحنفية، فقد عدَّه غير واحد منهم من الوجوه الفاسدة في الاستدلال، منهم : السرخسي في أصوله، 1/255؛ والخبّازي في المغني، ص164؛ والنسفي في كشف الأسرار، 1/407؛ كما صرح ابن الهمام في التحرير -1/101 (مع تيسير التحرير)- بأن </w:t>
      </w:r>
      <w:r>
        <w:rPr>
          <w:rFonts w:hint="eastAsia"/>
          <w:rtl/>
        </w:rPr>
        <w:t>«</w:t>
      </w:r>
      <w:r>
        <w:rPr>
          <w:rFonts w:hint="cs"/>
          <w:rtl/>
        </w:rPr>
        <w:t>الحنفية ينفونه بأقسامه في كلام الشارع فقط</w:t>
      </w:r>
      <w:r>
        <w:rPr>
          <w:rFonts w:hint="eastAsia"/>
          <w:rtl/>
        </w:rPr>
        <w:t>»</w:t>
      </w:r>
      <w:r>
        <w:rPr>
          <w:rFonts w:hint="cs"/>
          <w:rtl/>
        </w:rPr>
        <w:t>، وتابعه على ذلك صاحب مسلم الثبوت، 1/414.</w:t>
      </w:r>
      <w:r>
        <w:rPr>
          <w:rFonts w:hint="cs"/>
          <w:rtl/>
          <w:lang w:bidi="ar-AE"/>
        </w:rPr>
        <w:tab/>
      </w:r>
      <w:r>
        <w:rPr>
          <w:rFonts w:hint="cs"/>
          <w:rtl/>
          <w:lang w:bidi="ar-AE"/>
        </w:rPr>
        <w:tab/>
      </w:r>
      <w:r>
        <w:rPr>
          <w:rFonts w:hint="cs"/>
          <w:rtl/>
          <w:lang w:bidi="ar-AE"/>
        </w:rPr>
        <w:tab/>
      </w:r>
      <w:r>
        <w:rPr>
          <w:rFonts w:hint="cs"/>
          <w:rtl/>
          <w:lang w:bidi="ar-AE"/>
        </w:rPr>
        <w:tab/>
      </w:r>
      <w:r>
        <w:rPr>
          <w:rFonts w:hint="cs"/>
          <w:rtl/>
          <w:lang w:bidi="ar-AE"/>
        </w:rPr>
        <w:tab/>
        <w:t xml:space="preserve">  </w:t>
      </w:r>
    </w:p>
    <w:p w:rsidR="00035BE3" w:rsidRDefault="00035BE3" w:rsidP="00C10469">
      <w:pPr>
        <w:pStyle w:val="a6"/>
        <w:ind w:left="422" w:firstLine="0"/>
        <w:rPr>
          <w:rtl/>
        </w:rPr>
      </w:pPr>
      <w:r>
        <w:rPr>
          <w:rFonts w:hint="cs"/>
          <w:rtl/>
        </w:rPr>
        <w:t xml:space="preserve">ومن أفضل من حرّر مذهب الحنفية السمرقندي الحنفي، حيث قال في ميزان الأصول، 1/581-582 : </w:t>
      </w:r>
      <w:r>
        <w:rPr>
          <w:rFonts w:hint="eastAsia"/>
          <w:rtl/>
        </w:rPr>
        <w:t>«</w:t>
      </w:r>
      <w:r>
        <w:rPr>
          <w:rFonts w:hint="cs"/>
          <w:rtl/>
        </w:rPr>
        <w:t>... ثم عند عامة أصحابنا - في الفصول كلها [أي المفاهيم الخمسة التي ذكرها وهي مفهوم اللقب والصفة والشرط والعدد والغاية]- أنه لا يوجب النفي، وإنما حكمه الإثبات فيما نصّ عليه لا غير، وحكمه موقوف إلى قيام الدليل في النفي والإثبات في غيره</w:t>
      </w:r>
      <w:r>
        <w:rPr>
          <w:rFonts w:hint="eastAsia"/>
          <w:rtl/>
        </w:rPr>
        <w:t>»</w:t>
      </w:r>
      <w:r>
        <w:rPr>
          <w:rFonts w:hint="cs"/>
          <w:rtl/>
        </w:rPr>
        <w:t xml:space="preserve">، ثم بين بعد ذلك قول المخالفين وعدّ منهم : </w:t>
      </w:r>
      <w:r>
        <w:rPr>
          <w:rFonts w:hint="eastAsia"/>
          <w:rtl/>
        </w:rPr>
        <w:t>«</w:t>
      </w:r>
      <w:r>
        <w:rPr>
          <w:rFonts w:hint="cs"/>
          <w:rtl/>
        </w:rPr>
        <w:t>بعض أصحابنا مثل الكرخي وغيره ...</w:t>
      </w:r>
      <w:r>
        <w:rPr>
          <w:rFonts w:hint="eastAsia"/>
          <w:rtl/>
        </w:rPr>
        <w:t>»</w:t>
      </w:r>
      <w:r>
        <w:rPr>
          <w:rFonts w:hint="cs"/>
          <w:rtl/>
        </w:rPr>
        <w:t xml:space="preserve">، ثم استثنى مفهوم اللقب فلم ينسب القول بعدم حجيته إلى عامة الحنفية فحسب؛ بل نسبه إلى </w:t>
      </w:r>
      <w:r>
        <w:rPr>
          <w:rFonts w:hint="eastAsia"/>
          <w:rtl/>
        </w:rPr>
        <w:t>«</w:t>
      </w:r>
      <w:r>
        <w:rPr>
          <w:rFonts w:hint="cs"/>
          <w:rtl/>
        </w:rPr>
        <w:t>عامة العلماء إلا بعض أصحاب الحديث</w:t>
      </w:r>
      <w:r>
        <w:rPr>
          <w:rFonts w:hint="eastAsia"/>
          <w:rtl/>
        </w:rPr>
        <w:t>»</w:t>
      </w:r>
      <w:r>
        <w:rPr>
          <w:rFonts w:hint="cs"/>
          <w:rtl/>
        </w:rPr>
        <w:t>.</w:t>
      </w:r>
    </w:p>
  </w:footnote>
  <w:footnote w:id="17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أهل</w:t>
      </w:r>
      <w:r>
        <w:rPr>
          <w:rFonts w:hint="eastAsia"/>
          <w:rtl/>
        </w:rPr>
        <w:t>»</w:t>
      </w:r>
      <w:r>
        <w:rPr>
          <w:rFonts w:hint="cs"/>
          <w:rtl/>
        </w:rPr>
        <w:t xml:space="preserve"> :  زيادة من (جـ) و(هـ) و(و)، ولا يستقيم المعنى بدونها.</w:t>
      </w:r>
    </w:p>
  </w:footnote>
  <w:footnote w:id="17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في قول </w:t>
      </w:r>
      <w:r>
        <w:rPr>
          <w:rFonts w:hint="cs"/>
          <w:b/>
          <w:bCs/>
          <w:rtl/>
        </w:rPr>
        <w:t>الإنسان</w:t>
      </w:r>
      <w:r>
        <w:rPr>
          <w:rFonts w:hint="eastAsia"/>
          <w:rtl/>
        </w:rPr>
        <w:t>»</w:t>
      </w:r>
      <w:r>
        <w:rPr>
          <w:rFonts w:hint="cs"/>
          <w:rtl/>
        </w:rPr>
        <w:t>.</w:t>
      </w:r>
    </w:p>
  </w:footnote>
  <w:footnote w:id="17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أو</w:t>
      </w:r>
      <w:r>
        <w:rPr>
          <w:rFonts w:hint="eastAsia"/>
          <w:rtl/>
        </w:rPr>
        <w:t>»</w:t>
      </w:r>
      <w:r>
        <w:rPr>
          <w:rFonts w:hint="cs"/>
          <w:rtl/>
        </w:rPr>
        <w:t>. والصحيح ما تمَّ إثباته من (ب) و(د).</w:t>
      </w:r>
    </w:p>
  </w:footnote>
  <w:footnote w:id="17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أعلى هذه الكلمة من نسخة (ب) بخط مغاير : </w:t>
      </w:r>
      <w:r>
        <w:rPr>
          <w:rFonts w:hint="eastAsia"/>
          <w:rtl/>
        </w:rPr>
        <w:t>«</w:t>
      </w:r>
      <w:r>
        <w:rPr>
          <w:rFonts w:hint="cs"/>
          <w:rtl/>
        </w:rPr>
        <w:t>على تقدير كونه معتبرًا</w:t>
      </w:r>
      <w:r>
        <w:rPr>
          <w:rFonts w:hint="eastAsia"/>
          <w:rtl/>
        </w:rPr>
        <w:t>»</w:t>
      </w:r>
      <w:r>
        <w:rPr>
          <w:rFonts w:hint="cs"/>
          <w:rtl/>
        </w:rPr>
        <w:t>. أي على تقدير كونه مفهوم المخالفة معتبرًا.</w:t>
      </w:r>
    </w:p>
  </w:footnote>
  <w:footnote w:id="17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اللازم ليس بمسلم؛ لأنه إنما ينطبق على أضعف أنواع مفهوم المخالفة وهو مفهوم اللقب.</w:t>
      </w:r>
    </w:p>
    <w:p w:rsidR="00035BE3" w:rsidRDefault="00035BE3" w:rsidP="00C10469">
      <w:pPr>
        <w:pStyle w:val="a6"/>
        <w:ind w:left="422" w:firstLine="0"/>
        <w:rPr>
          <w:spacing w:val="-4"/>
          <w:rtl/>
        </w:rPr>
      </w:pPr>
      <w:r>
        <w:rPr>
          <w:rFonts w:hint="cs"/>
          <w:spacing w:val="-4"/>
          <w:rtl/>
        </w:rPr>
        <w:t>ومن يَرِدُ عليهم هذا اللازم (وهم الجمهور) أكثرهم يوافقون عامة الحنفية في عدم حجية مفهوم اللقب - كما سبق بيان ذلك في نهاية هامش 3، من الصفحة السابقة- وبناء على هذا فهو دليل لهم لا عليهم.</w:t>
      </w:r>
    </w:p>
    <w:p w:rsidR="00035BE3" w:rsidRDefault="00035BE3" w:rsidP="00C10469">
      <w:pPr>
        <w:pStyle w:val="a6"/>
        <w:ind w:left="422" w:firstLine="0"/>
        <w:rPr>
          <w:rtl/>
        </w:rPr>
      </w:pPr>
      <w:r>
        <w:rPr>
          <w:rFonts w:hint="cs"/>
          <w:b/>
          <w:bCs/>
          <w:rtl/>
        </w:rPr>
        <w:t>ولتوثيق الدليل الذي ذكره المؤلف</w:t>
      </w:r>
      <w:r>
        <w:rPr>
          <w:rFonts w:hint="cs"/>
          <w:rtl/>
        </w:rPr>
        <w:t xml:space="preserve"> انظر: شرح العضد لمختصر ابن الحاجب، 2/182؛ التحرير وشرحيه: التقرير والتحبير، 1/141؛ وتيسير التحرير، 1/131؛ مسلم الثبوت وشرحه: فواتح </w:t>
      </w:r>
      <w:r w:rsidRPr="00115C55">
        <w:rPr>
          <w:rFonts w:hint="cs"/>
          <w:spacing w:val="-2"/>
          <w:rtl/>
        </w:rPr>
        <w:t>الرحموت، 1/433؛ شرح نور الأنوار على المنار، 1/407؛ شرح العلائي لقواعد الخادمي، ل18/ب.</w:t>
      </w:r>
    </w:p>
    <w:p w:rsidR="00035BE3" w:rsidRDefault="00035BE3" w:rsidP="00C10469">
      <w:pPr>
        <w:pStyle w:val="a6"/>
        <w:ind w:left="422" w:firstLine="0"/>
        <w:rPr>
          <w:rtl/>
        </w:rPr>
      </w:pPr>
      <w:r>
        <w:rPr>
          <w:rFonts w:hint="cs"/>
          <w:b/>
          <w:bCs/>
          <w:rtl/>
        </w:rPr>
        <w:t>وللتوسع في مفهوم اللقب</w:t>
      </w:r>
      <w:r>
        <w:rPr>
          <w:rFonts w:hint="cs"/>
          <w:rtl/>
        </w:rPr>
        <w:t xml:space="preserve"> انظر بحث : مفهوم اللقب عند الأصوليين لشيخنا د. أحمد العنقري (البحث الثاني من مجلة جامعة الإمام محمد بن سعود - العدد 19- ص83-144).</w:t>
      </w:r>
    </w:p>
  </w:footnote>
  <w:footnote w:id="17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ص558 (ل39/أ)، قاعدة 90.</w:t>
      </w:r>
    </w:p>
  </w:footnote>
  <w:footnote w:id="17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الروايات</w:t>
      </w:r>
      <w:r>
        <w:rPr>
          <w:rFonts w:hint="cs"/>
          <w:rtl/>
        </w:rPr>
        <w:t xml:space="preserve"> : هذه الكلمة قد يفهم منها معنى غير مراد؛ لذا يناسب بيان المراد منها قبل التعليق على القاعدة : فالروايات في اللغة : جمع رواية، وهي مشتقَّة من مادة </w:t>
      </w:r>
      <w:r>
        <w:rPr>
          <w:rFonts w:hint="eastAsia"/>
          <w:rtl/>
        </w:rPr>
        <w:t>«</w:t>
      </w:r>
      <w:r>
        <w:rPr>
          <w:rFonts w:hint="cs"/>
          <w:rtl/>
        </w:rPr>
        <w:t>روي</w:t>
      </w:r>
      <w:r>
        <w:rPr>
          <w:rFonts w:hint="eastAsia"/>
          <w:rtl/>
        </w:rPr>
        <w:t>»</w:t>
      </w:r>
      <w:r>
        <w:rPr>
          <w:rFonts w:hint="cs"/>
          <w:rtl/>
        </w:rPr>
        <w:t>، و</w:t>
      </w:r>
      <w:r>
        <w:rPr>
          <w:rFonts w:hint="eastAsia"/>
          <w:rtl/>
        </w:rPr>
        <w:t>«</w:t>
      </w:r>
      <w:r>
        <w:rPr>
          <w:rFonts w:hint="cs"/>
          <w:rtl/>
        </w:rPr>
        <w:t>الراء والواو والياء أصل واحد ثم يشتق منه. فالأصل : ما كان خلاف العطش، ثم يصرف في الكلام لحامل ما يُروى منه.</w:t>
      </w:r>
    </w:p>
    <w:p w:rsidR="00035BE3" w:rsidRDefault="00035BE3" w:rsidP="00C10469">
      <w:pPr>
        <w:pStyle w:val="a6"/>
        <w:ind w:left="422" w:firstLine="0"/>
        <w:rPr>
          <w:rtl/>
        </w:rPr>
      </w:pPr>
      <w:r>
        <w:rPr>
          <w:rFonts w:hint="cs"/>
          <w:rtl/>
        </w:rPr>
        <w:t>فالأصل : رويتُ من الماء رِيًّا ... ثم شُبِّه به الذي يأتي القوم بعلم أو خبر فيرويه، كأنه أتاهم بريّهم من ذلك</w:t>
      </w:r>
      <w:r>
        <w:rPr>
          <w:rFonts w:hint="eastAsia"/>
          <w:rtl/>
        </w:rPr>
        <w:t>»</w:t>
      </w:r>
      <w:r>
        <w:rPr>
          <w:rFonts w:hint="cs"/>
          <w:rtl/>
        </w:rPr>
        <w:t xml:space="preserve">- قاله صاحب المقاييس في اللغة، ص428-. </w:t>
      </w:r>
    </w:p>
    <w:p w:rsidR="00035BE3" w:rsidRDefault="00035BE3" w:rsidP="00C10469">
      <w:pPr>
        <w:pStyle w:val="a6"/>
        <w:ind w:left="422" w:firstLine="0"/>
        <w:rPr>
          <w:rtl/>
        </w:rPr>
      </w:pPr>
      <w:r>
        <w:rPr>
          <w:rFonts w:hint="cs"/>
          <w:rtl/>
        </w:rPr>
        <w:t xml:space="preserve">وتطلق الرواية على رواية الحديث والشعر، وعلى القصة الطويلة ... وكل هذه المعاني غير مرادة هنا، إذْ المراد بها هنا : </w:t>
      </w:r>
      <w:r>
        <w:rPr>
          <w:rFonts w:hint="eastAsia"/>
          <w:rtl/>
        </w:rPr>
        <w:t>«</w:t>
      </w:r>
      <w:r>
        <w:rPr>
          <w:rFonts w:hint="cs"/>
          <w:rtl/>
        </w:rPr>
        <w:t>الرواية .. في عرف الفقهاء [وهي] ما ينقل من المسألة الفرعية عن الفقهاء، سواء كان عن السلف أو الخلف</w:t>
      </w:r>
      <w:r>
        <w:rPr>
          <w:rFonts w:hint="eastAsia"/>
          <w:rtl/>
        </w:rPr>
        <w:t>»</w:t>
      </w:r>
      <w:r>
        <w:rPr>
          <w:rFonts w:hint="cs"/>
          <w:rtl/>
        </w:rPr>
        <w:t>- قاله المجدّدي في رسالة : التعريفات الفقهية، ص310 (وهي الرسالة الرابعة من كتابه : قواعد الفقه).</w:t>
      </w:r>
    </w:p>
    <w:p w:rsidR="00035BE3" w:rsidRDefault="00035BE3" w:rsidP="00C10469">
      <w:pPr>
        <w:pStyle w:val="a6"/>
        <w:ind w:left="422" w:firstLine="0"/>
        <w:rPr>
          <w:rtl/>
        </w:rPr>
      </w:pPr>
      <w:r>
        <w:rPr>
          <w:rFonts w:hint="cs"/>
          <w:rtl/>
        </w:rPr>
        <w:t>وانظر : ما سيذكره المؤلف، ص500 (ل31/أ)؛ غمز عيون البصائر، 2/337.</w:t>
      </w:r>
    </w:p>
  </w:footnote>
  <w:footnote w:id="17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نتائج الأفكار، 9/44 -إلا أنه قال في بدايتها : </w:t>
      </w:r>
      <w:r>
        <w:rPr>
          <w:rFonts w:hint="eastAsia"/>
          <w:rtl/>
        </w:rPr>
        <w:t>«</w:t>
      </w:r>
      <w:r>
        <w:rPr>
          <w:rFonts w:hint="cs"/>
          <w:rtl/>
        </w:rPr>
        <w:t>وتخصيص الشيء بالذكر في الروايات...</w:t>
      </w:r>
      <w:r>
        <w:rPr>
          <w:rFonts w:hint="eastAsia"/>
          <w:rtl/>
        </w:rPr>
        <w:t>»</w:t>
      </w:r>
      <w:r>
        <w:rPr>
          <w:rFonts w:hint="cs"/>
          <w:rtl/>
        </w:rPr>
        <w:t xml:space="preserve">-؛ ووردت في الأشباه والنظائر لابن نجيم، ص251، ولفظه : </w:t>
      </w:r>
      <w:r>
        <w:rPr>
          <w:rFonts w:hint="eastAsia"/>
          <w:rtl/>
        </w:rPr>
        <w:t>«</w:t>
      </w:r>
      <w:r>
        <w:rPr>
          <w:rFonts w:hint="cs"/>
          <w:rtl/>
        </w:rPr>
        <w:t>... وأما مفهوم الرواية : فحجة ...</w:t>
      </w:r>
      <w:r>
        <w:rPr>
          <w:rFonts w:hint="eastAsia"/>
          <w:rtl/>
        </w:rPr>
        <w:t>»</w:t>
      </w:r>
      <w:r>
        <w:rPr>
          <w:rFonts w:hint="cs"/>
          <w:rtl/>
        </w:rPr>
        <w:t>- وقد سبق إيراد كلام ابن نجيم بتمامه، ص490؛ وانظر: غـمز عيون البصائر، 2/337-.</w:t>
      </w:r>
    </w:p>
    <w:p w:rsidR="00035BE3" w:rsidRDefault="00035BE3" w:rsidP="00C10469">
      <w:pPr>
        <w:pStyle w:val="a6"/>
        <w:ind w:left="422" w:firstLine="0"/>
        <w:rPr>
          <w:rtl/>
        </w:rPr>
      </w:pPr>
      <w:r>
        <w:rPr>
          <w:rFonts w:hint="cs"/>
          <w:rtl/>
        </w:rPr>
        <w:t>وعند المقارنة بينها وبين القاعدة السابقة يلحظ أن هذه كالاستثناء من تلك؛ إذْ السابقة أفادت أن تخصيصي الشيء بالذكر لا يدل على نفي الحكم عما عداه.</w:t>
      </w:r>
    </w:p>
    <w:p w:rsidR="00035BE3" w:rsidRDefault="00035BE3" w:rsidP="00C10469">
      <w:pPr>
        <w:pStyle w:val="a6"/>
        <w:ind w:left="422" w:firstLine="0"/>
        <w:rPr>
          <w:spacing w:val="-4"/>
          <w:rtl/>
        </w:rPr>
      </w:pPr>
      <w:r>
        <w:rPr>
          <w:rFonts w:hint="cs"/>
          <w:spacing w:val="-4"/>
          <w:rtl/>
        </w:rPr>
        <w:t>وهذه القاعدة استثنت من ذلك ما إذا كان التخصيص في الروايات، فإنه يدل على نفي الحكم عمّا عداه.</w:t>
      </w:r>
    </w:p>
    <w:p w:rsidR="00035BE3" w:rsidRDefault="00035BE3" w:rsidP="00C10469">
      <w:pPr>
        <w:pStyle w:val="a6"/>
        <w:ind w:left="422" w:firstLine="0"/>
        <w:rPr>
          <w:spacing w:val="4"/>
          <w:rtl/>
        </w:rPr>
      </w:pPr>
      <w:r>
        <w:rPr>
          <w:rFonts w:hint="cs"/>
          <w:spacing w:val="4"/>
          <w:rtl/>
        </w:rPr>
        <w:t xml:space="preserve">وقد ورد في المصفى للنسفي - ل24/ب- ما يشير إلى هذا؛ حيث جاء فيه : </w:t>
      </w:r>
      <w:r>
        <w:rPr>
          <w:rFonts w:hint="eastAsia"/>
          <w:spacing w:val="4"/>
          <w:rtl/>
        </w:rPr>
        <w:t>«</w:t>
      </w:r>
      <w:r>
        <w:rPr>
          <w:rFonts w:hint="cs"/>
          <w:spacing w:val="4"/>
          <w:rtl/>
        </w:rPr>
        <w:t>لأن التخصيص بالذكر لا يدل على نفي ما عداه. قلت : التخصيص في الروايات وفي متفاهم الناس وفي المعقولات يدلّ على نفي ماعداه</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 xml:space="preserve">كما وردت الإشارة إلى ذلك في الأشباه لابن نجيم، ص251 </w:t>
      </w:r>
      <w:r>
        <w:rPr>
          <w:rtl/>
        </w:rPr>
        <w:t>–</w:t>
      </w:r>
      <w:r>
        <w:rPr>
          <w:rFonts w:hint="cs"/>
          <w:rtl/>
        </w:rPr>
        <w:t xml:space="preserve"> وقد سبق نقل كلامه عند توثيق القاعدة السابقة، ص481.</w:t>
      </w:r>
    </w:p>
    <w:p w:rsidR="00035BE3" w:rsidRDefault="00035BE3" w:rsidP="00C10469">
      <w:pPr>
        <w:pStyle w:val="a6"/>
        <w:ind w:left="422" w:firstLine="0"/>
        <w:rPr>
          <w:rtl/>
        </w:rPr>
      </w:pPr>
      <w:r>
        <w:rPr>
          <w:rFonts w:hint="cs"/>
          <w:rtl/>
        </w:rPr>
        <w:t xml:space="preserve">بل ورد التصريح بذلك في غمز عيون البصائر، 2/337؛ حيث جاء فيه : </w:t>
      </w:r>
      <w:r>
        <w:rPr>
          <w:rFonts w:hint="eastAsia"/>
          <w:rtl/>
        </w:rPr>
        <w:t>«</w:t>
      </w:r>
      <w:r>
        <w:rPr>
          <w:rFonts w:hint="cs"/>
          <w:rtl/>
        </w:rPr>
        <w:t>... تخصيص الشيء بالذكر لا يدل على نفي الحكم عمّا عداه في خطاب الشرع. وأما في الروايات فيدل</w:t>
      </w:r>
      <w:r>
        <w:rPr>
          <w:rFonts w:hint="eastAsia"/>
          <w:rtl/>
        </w:rPr>
        <w:t>»</w:t>
      </w:r>
      <w:r>
        <w:rPr>
          <w:rFonts w:hint="cs"/>
          <w:rtl/>
        </w:rPr>
        <w:t>.</w:t>
      </w:r>
    </w:p>
    <w:p w:rsidR="00035BE3" w:rsidRDefault="00035BE3" w:rsidP="00C10469">
      <w:pPr>
        <w:pStyle w:val="a6"/>
        <w:ind w:left="422" w:firstLine="0"/>
        <w:rPr>
          <w:rtl/>
        </w:rPr>
      </w:pPr>
      <w:r>
        <w:rPr>
          <w:rFonts w:hint="cs"/>
          <w:rtl/>
        </w:rPr>
        <w:t>وجاء نحو هذا اللفظ في موضعين من كتاب : قواعد الفقه للمجدّدي :</w:t>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 xml:space="preserve"> أحدهما</w:t>
      </w:r>
      <w:r>
        <w:rPr>
          <w:rFonts w:hint="cs"/>
          <w:rtl/>
        </w:rPr>
        <w:t xml:space="preserve"> : في ص69-70، قاعدة 78، حيث قال : </w:t>
      </w:r>
      <w:r>
        <w:rPr>
          <w:rFonts w:hint="eastAsia"/>
          <w:rtl/>
        </w:rPr>
        <w:t>«</w:t>
      </w:r>
      <w:r>
        <w:rPr>
          <w:rFonts w:hint="cs"/>
          <w:rtl/>
        </w:rPr>
        <w:t>تخصيص الشيء بالذكر يدل على نفي الحكم عمّا عداه في متفاهم الناس وعرفهم، لا في خطابات الشارع</w:t>
      </w:r>
      <w:r>
        <w:rPr>
          <w:rFonts w:hint="eastAsia"/>
          <w:rtl/>
        </w:rPr>
        <w:t>»</w:t>
      </w:r>
      <w:r>
        <w:rPr>
          <w:rFonts w:hint="cs"/>
          <w:rtl/>
        </w:rPr>
        <w:t>.</w:t>
      </w:r>
    </w:p>
    <w:p w:rsidR="00035BE3" w:rsidRDefault="00035BE3" w:rsidP="00C10469">
      <w:pPr>
        <w:pStyle w:val="a6"/>
        <w:ind w:left="422" w:firstLine="0"/>
        <w:rPr>
          <w:rtl/>
        </w:rPr>
      </w:pPr>
      <w:r>
        <w:rPr>
          <w:rFonts w:hint="cs"/>
          <w:b/>
          <w:bCs/>
          <w:rtl/>
        </w:rPr>
        <w:t>الثاني</w:t>
      </w:r>
      <w:r>
        <w:rPr>
          <w:rFonts w:hint="cs"/>
          <w:rtl/>
        </w:rPr>
        <w:t xml:space="preserve">: في ص578- وذلك في الرسالة الخامسة من قواعده وهي أدب المفتي - حيث فصّل القاعدة المذكورة آنفًا فقال: </w:t>
      </w:r>
      <w:r>
        <w:rPr>
          <w:rFonts w:hint="eastAsia"/>
          <w:rtl/>
        </w:rPr>
        <w:t>«</w:t>
      </w:r>
      <w:r>
        <w:rPr>
          <w:rFonts w:hint="cs"/>
          <w:rtl/>
        </w:rPr>
        <w:t xml:space="preserve">مسألة : تخصيص الشيء بالذكر لا يدلّ على نفي الحكم عمّا عداه في خطابات الشارع. أما في متفاهم الناس وعرفهم، حتى في أقوال الصحابة التي تدرك بالرأي، وفي المعاملات </w:t>
      </w:r>
      <w:r w:rsidRPr="00FD7902">
        <w:rPr>
          <w:rFonts w:hint="cs"/>
          <w:spacing w:val="-2"/>
          <w:rtl/>
        </w:rPr>
        <w:t>والعقليات: فيدل عليه. وعليه المتأخرون. وهذا إذا لم يخالفه الصريح، فإن الصريح مقدّم على المفهوم</w:t>
      </w:r>
      <w:r w:rsidRPr="00FD7902">
        <w:rPr>
          <w:rFonts w:hint="eastAsia"/>
          <w:spacing w:val="-2"/>
          <w:rtl/>
        </w:rPr>
        <w:t>»</w:t>
      </w:r>
      <w:r w:rsidRPr="00FD7902">
        <w:rPr>
          <w:rFonts w:hint="cs"/>
          <w:spacing w:val="-2"/>
          <w:rtl/>
        </w:rPr>
        <w:t>.</w:t>
      </w:r>
    </w:p>
    <w:p w:rsidR="00035BE3" w:rsidRDefault="00035BE3" w:rsidP="00C10469">
      <w:pPr>
        <w:pStyle w:val="a6"/>
        <w:ind w:left="422" w:firstLine="0"/>
        <w:rPr>
          <w:rtl/>
        </w:rPr>
      </w:pPr>
      <w:r>
        <w:rPr>
          <w:rFonts w:hint="cs"/>
          <w:rtl/>
        </w:rPr>
        <w:t>والموضع الأول منهما أحال إليه صاحب موسوعة القواعد الفقهية، وذلك 3/246.</w:t>
      </w:r>
    </w:p>
    <w:p w:rsidR="00035BE3" w:rsidRDefault="00035BE3" w:rsidP="00C10469">
      <w:pPr>
        <w:pStyle w:val="a6"/>
        <w:ind w:left="422" w:firstLine="0"/>
        <w:rPr>
          <w:rtl/>
        </w:rPr>
      </w:pPr>
      <w:r>
        <w:rPr>
          <w:rFonts w:hint="cs"/>
          <w:rtl/>
        </w:rPr>
        <w:t xml:space="preserve">كما ورد في بعض كتب الحنفية الأصولية ما يشير إلى هذا؛ ومن ذلك ماجـاء في التـحرير وتيسيره -1/101- حيث قالا : </w:t>
      </w:r>
      <w:r>
        <w:rPr>
          <w:rFonts w:hint="eastAsia"/>
          <w:rtl/>
        </w:rPr>
        <w:t>«</w:t>
      </w:r>
      <w:r>
        <w:rPr>
          <w:rFonts w:hint="cs"/>
          <w:rtl/>
        </w:rPr>
        <w:t>(... والحنفية ينفونه) أي مفهوم المخالفة (بأقسامه في كلام الشارع فقط). قال الكردري : تخصيص الشيء بالذكر لا يدلّ على نفي الحكم عمّا عداه في خطابات الشرع، فأما في متفاهم الناس وعرفهم، وفي المعاملات والعقليات فيدل. انتهى</w:t>
      </w:r>
      <w:r>
        <w:rPr>
          <w:rFonts w:hint="eastAsia"/>
          <w:rtl/>
        </w:rPr>
        <w:t>»</w:t>
      </w:r>
      <w:r>
        <w:rPr>
          <w:rFonts w:hint="cs"/>
          <w:rtl/>
        </w:rPr>
        <w:t>؛ وانظر فتح الغفار لشرح المنار لابن نجيم، 2/55.</w:t>
      </w:r>
    </w:p>
  </w:footnote>
  <w:footnote w:id="17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الكـتـاب</w:t>
      </w:r>
      <w:r>
        <w:rPr>
          <w:rFonts w:hint="cs"/>
          <w:rtl/>
        </w:rPr>
        <w:t xml:space="preserve"> : لأحـمد بن محمـد بـن أحـمـد، أبي الـحسين الفقيـه البغدادي المعروف بالقُدُورِيّ (362هـ - 428هـ).</w:t>
      </w:r>
    </w:p>
    <w:p w:rsidR="00035BE3" w:rsidRDefault="00035BE3" w:rsidP="00C10469">
      <w:pPr>
        <w:pStyle w:val="a6"/>
        <w:ind w:left="422" w:firstLine="0"/>
        <w:rPr>
          <w:rtl/>
        </w:rPr>
      </w:pPr>
      <w:r>
        <w:rPr>
          <w:rFonts w:hint="cs"/>
          <w:rtl/>
        </w:rPr>
        <w:t xml:space="preserve">وهو المشهور بِـ </w:t>
      </w:r>
      <w:r>
        <w:rPr>
          <w:rFonts w:hint="eastAsia"/>
          <w:rtl/>
        </w:rPr>
        <w:t>«</w:t>
      </w:r>
      <w:r>
        <w:rPr>
          <w:rFonts w:hint="cs"/>
          <w:rtl/>
        </w:rPr>
        <w:t>مختصر القدوري</w:t>
      </w:r>
      <w:r>
        <w:rPr>
          <w:rFonts w:hint="eastAsia"/>
          <w:rtl/>
        </w:rPr>
        <w:t>»</w:t>
      </w:r>
      <w:r>
        <w:rPr>
          <w:rFonts w:hint="cs"/>
          <w:rtl/>
        </w:rPr>
        <w:t>، ويتضمّن قرابة اثنتي عشرة ألف مسألةٍ.</w:t>
      </w:r>
    </w:p>
    <w:p w:rsidR="00035BE3" w:rsidRDefault="00035BE3" w:rsidP="00C10469">
      <w:pPr>
        <w:pStyle w:val="a6"/>
        <w:ind w:left="422" w:firstLine="0"/>
        <w:rPr>
          <w:rtl/>
        </w:rPr>
      </w:pPr>
      <w:r>
        <w:rPr>
          <w:rFonts w:hint="cs"/>
          <w:rtl/>
        </w:rPr>
        <w:t>ويعدّ من أهم المتون المعتمدة في الفقه الحنفي؛ لذا اعتنى به الحنفية، ووضعوا له شروحًا كثيرة جدًّا، ولهجوا بالثناء عليه؛ بل جعله المتأخرون منهم من المتون الثلاثة المعتمدة :</w:t>
      </w:r>
    </w:p>
    <w:p w:rsidR="00035BE3" w:rsidRDefault="00035BE3" w:rsidP="00C10469">
      <w:pPr>
        <w:pStyle w:val="a6"/>
        <w:ind w:left="422" w:firstLine="0"/>
        <w:rPr>
          <w:rtl/>
        </w:rPr>
      </w:pPr>
      <w:r>
        <w:rPr>
          <w:rFonts w:hint="cs"/>
          <w:rtl/>
        </w:rPr>
        <w:t xml:space="preserve">يقول صاحب (كشف الظنون) عنه : </w:t>
      </w:r>
      <w:r>
        <w:rPr>
          <w:rFonts w:hint="eastAsia"/>
          <w:rtl/>
        </w:rPr>
        <w:t>«</w:t>
      </w:r>
      <w:r>
        <w:rPr>
          <w:rFonts w:hint="cs"/>
          <w:rtl/>
        </w:rPr>
        <w:t>وهو الذي يطلق عليه لفظ الكتاب في المذهب، وهو متن متين معتبر بين الأئمة والأعيان، وشهرته تغني عن البيان</w:t>
      </w:r>
      <w:r>
        <w:rPr>
          <w:rFonts w:hint="eastAsia"/>
          <w:rtl/>
        </w:rPr>
        <w:t>»</w:t>
      </w:r>
      <w:r>
        <w:rPr>
          <w:rFonts w:hint="cs"/>
          <w:rtl/>
        </w:rPr>
        <w:t>.</w:t>
      </w:r>
    </w:p>
    <w:p w:rsidR="00035BE3" w:rsidRDefault="00035BE3" w:rsidP="00C10469">
      <w:pPr>
        <w:pStyle w:val="a6"/>
        <w:ind w:left="422" w:firstLine="0"/>
        <w:rPr>
          <w:spacing w:val="-8"/>
          <w:rtl/>
        </w:rPr>
      </w:pPr>
      <w:r>
        <w:rPr>
          <w:rFonts w:hint="cs"/>
          <w:spacing w:val="-8"/>
          <w:rtl/>
        </w:rPr>
        <w:t xml:space="preserve">ويقول اللكنوي : </w:t>
      </w:r>
      <w:r>
        <w:rPr>
          <w:rFonts w:hint="eastAsia"/>
          <w:spacing w:val="-8"/>
          <w:rtl/>
        </w:rPr>
        <w:t>«</w:t>
      </w:r>
      <w:r>
        <w:rPr>
          <w:rFonts w:hint="cs"/>
          <w:spacing w:val="-8"/>
          <w:rtl/>
        </w:rPr>
        <w:t>واعلم أن المتأخرين قد اعتمدوا على المتون الثلاثة : الوقاية ومختصر القُدُوري والكنز ...</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 xml:space="preserve">وقد طبع الكتاب مرارًا، من ذلك : </w:t>
      </w:r>
    </w:p>
    <w:p w:rsidR="00035BE3" w:rsidRDefault="00035BE3" w:rsidP="00C10469">
      <w:pPr>
        <w:pStyle w:val="a6"/>
        <w:ind w:left="422" w:firstLine="0"/>
        <w:rPr>
          <w:rtl/>
        </w:rPr>
      </w:pPr>
      <w:r>
        <w:rPr>
          <w:rFonts w:hint="cs"/>
          <w:rtl/>
        </w:rPr>
        <w:t>1- طبعة مكتبة المثنى ببغداد، عام 1377هـ/1957م (الطبعة الثالثة)، وقد طُبع فيها المتن مفردًا.</w:t>
      </w:r>
    </w:p>
    <w:p w:rsidR="00035BE3" w:rsidRDefault="00035BE3" w:rsidP="00C10469">
      <w:pPr>
        <w:pStyle w:val="a6"/>
        <w:ind w:left="422" w:firstLine="0"/>
        <w:rPr>
          <w:rtl/>
        </w:rPr>
      </w:pPr>
      <w:r>
        <w:rPr>
          <w:rFonts w:hint="cs"/>
          <w:rtl/>
        </w:rPr>
        <w:t>2- طبعة دار الحديث بحمص (بلا تاريخ) وذلك مع شرحه : اللباب لعبد الغني الغنيمي، كلاهما بتحقيق محمود أمين النواوي.</w:t>
      </w:r>
    </w:p>
    <w:p w:rsidR="00035BE3" w:rsidRDefault="00035BE3" w:rsidP="00C10469">
      <w:pPr>
        <w:pStyle w:val="a6"/>
        <w:ind w:left="422" w:firstLine="0"/>
        <w:rPr>
          <w:rtl/>
        </w:rPr>
      </w:pPr>
      <w:r>
        <w:rPr>
          <w:rFonts w:hint="cs"/>
          <w:rtl/>
        </w:rPr>
        <w:t>كشف الظنون، 2/1631-1634؛ النافع الكبير شرح الجامع الصغير (المقدمة)، ص23؛ وانظر: الـجواهر المضية، 1/247-250، رقم 179؛ تاج الـتراجم، ص19-20، رقم 17؛ مفتـاح السعادة، 2/253-255؛ الفوائد البهية، ص30-31؛ مرجع العلوم الإسلامية، ص496-497.</w:t>
      </w:r>
    </w:p>
  </w:footnote>
  <w:footnote w:id="17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الغدير</w:t>
      </w:r>
      <w:r>
        <w:rPr>
          <w:rFonts w:hint="cs"/>
          <w:rtl/>
        </w:rPr>
        <w:t xml:space="preserve"> : هذه الكلمة ورد تفسيرها في (الكتاب)، 1/21؛ وبداية المبتدي، 1/79، وذلك على النحو الآتي : </w:t>
      </w:r>
      <w:r>
        <w:rPr>
          <w:rFonts w:hint="eastAsia"/>
          <w:rtl/>
        </w:rPr>
        <w:t>«</w:t>
      </w:r>
      <w:r>
        <w:rPr>
          <w:rFonts w:hint="cs"/>
          <w:rtl/>
        </w:rPr>
        <w:t>الغدير : العظيم الذي لا يتحَرَّكُ أحدُ طرفيه بتحريك الطرف الآخر</w:t>
      </w:r>
      <w:r>
        <w:rPr>
          <w:rFonts w:hint="eastAsia"/>
          <w:rtl/>
        </w:rPr>
        <w:t>»</w:t>
      </w:r>
      <w:r>
        <w:rPr>
          <w:rFonts w:hint="cs"/>
          <w:rtl/>
        </w:rPr>
        <w:t>.</w:t>
      </w:r>
    </w:p>
  </w:footnote>
  <w:footnote w:id="17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جانبه</w:t>
      </w:r>
      <w:r>
        <w:rPr>
          <w:rFonts w:hint="eastAsia"/>
          <w:rtl/>
        </w:rPr>
        <w:t>»</w:t>
      </w:r>
      <w:r>
        <w:rPr>
          <w:rFonts w:hint="cs"/>
          <w:rtl/>
        </w:rPr>
        <w:t>.</w:t>
      </w:r>
    </w:p>
  </w:footnote>
  <w:footnote w:id="17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الكتاب للقدوري، 1/22؛ بداية المبتدي، 1/79.</w:t>
      </w:r>
    </w:p>
  </w:footnote>
  <w:footnote w:id="17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يدل السياق على أن الموجب لعدم جواز الوضوء هو الكلام المنقول عن متن (الكتاب)، ولو صرّح المؤلف بذلك لكان أولى.</w:t>
      </w:r>
    </w:p>
  </w:footnote>
  <w:footnote w:id="174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1/82. وتمام كلامه : </w:t>
      </w:r>
      <w:r>
        <w:rPr>
          <w:rFonts w:hint="eastAsia"/>
          <w:rtl/>
        </w:rPr>
        <w:t>«</w:t>
      </w:r>
      <w:r>
        <w:rPr>
          <w:rFonts w:hint="cs"/>
          <w:rtl/>
        </w:rPr>
        <w:t xml:space="preserve">قوله في (الكتاب): </w:t>
      </w:r>
      <w:r>
        <w:rPr>
          <w:rFonts w:hint="eastAsia"/>
          <w:rtl/>
        </w:rPr>
        <w:t>«</w:t>
      </w:r>
      <w:r>
        <w:rPr>
          <w:rFonts w:hint="cs"/>
          <w:rtl/>
        </w:rPr>
        <w:t>وجاز الوضوء من الجانب الآخر</w:t>
      </w:r>
      <w:r>
        <w:rPr>
          <w:rFonts w:hint="eastAsia"/>
          <w:rtl/>
        </w:rPr>
        <w:t>»</w:t>
      </w:r>
      <w:r>
        <w:rPr>
          <w:rFonts w:hint="cs"/>
          <w:rtl/>
        </w:rPr>
        <w:t>: إشارة إلى أنه ينجس موضع الوقوع</w:t>
      </w:r>
      <w:r>
        <w:rPr>
          <w:rFonts w:hint="eastAsia"/>
          <w:rtl/>
        </w:rPr>
        <w:t>»</w:t>
      </w:r>
      <w:r>
        <w:rPr>
          <w:rFonts w:hint="cs"/>
          <w:rtl/>
        </w:rPr>
        <w:t xml:space="preserve">، ثم ذكر مخالفة أبي يوسف لذلك فقال: </w:t>
      </w:r>
      <w:r>
        <w:rPr>
          <w:rFonts w:hint="eastAsia"/>
          <w:rtl/>
        </w:rPr>
        <w:t>«</w:t>
      </w:r>
      <w:r>
        <w:rPr>
          <w:rFonts w:hint="cs"/>
          <w:rtl/>
        </w:rPr>
        <w:t>وعن أبي يوسف -رحمه الله-: أنه لا ينجس إلا بظهور أثر النجاسة فيه، كالماء الجاري</w:t>
      </w:r>
      <w:r>
        <w:rPr>
          <w:rFonts w:hint="eastAsia"/>
          <w:rtl/>
        </w:rPr>
        <w:t>»</w:t>
      </w:r>
      <w:r>
        <w:rPr>
          <w:rFonts w:hint="cs"/>
          <w:rtl/>
        </w:rPr>
        <w:t>. وقد فصّل صاحبا (العناية) و(فتح القدير) -في الموضع نفسه- الخلافَ عند الحنفية في هذه المسألة فراجعهما إن شئت.</w:t>
      </w:r>
    </w:p>
  </w:footnote>
  <w:footnote w:id="17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30/أ من (أ)، علمًا بأنَّ : </w:t>
      </w:r>
      <w:r>
        <w:rPr>
          <w:rFonts w:hint="eastAsia"/>
          <w:rtl/>
        </w:rPr>
        <w:t>«</w:t>
      </w:r>
      <w:r>
        <w:rPr>
          <w:rFonts w:hint="cs"/>
          <w:rtl/>
        </w:rPr>
        <w:t>أقول</w:t>
      </w:r>
      <w:r>
        <w:rPr>
          <w:rFonts w:hint="eastAsia"/>
          <w:rtl/>
        </w:rPr>
        <w:t>»</w:t>
      </w:r>
      <w:r>
        <w:rPr>
          <w:rFonts w:hint="cs"/>
          <w:rtl/>
        </w:rPr>
        <w:t xml:space="preserve"> ساقطة من (جـ).</w:t>
      </w:r>
    </w:p>
  </w:footnote>
  <w:footnote w:id="17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عداها</w:t>
      </w:r>
      <w:r>
        <w:rPr>
          <w:rFonts w:hint="eastAsia"/>
          <w:rtl/>
        </w:rPr>
        <w:t>»</w:t>
      </w:r>
      <w:r>
        <w:rPr>
          <w:rFonts w:hint="cs"/>
          <w:rtl/>
        </w:rPr>
        <w:t>.</w:t>
      </w:r>
    </w:p>
  </w:footnote>
  <w:footnote w:id="17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23/أ من (جـ).</w:t>
      </w:r>
    </w:p>
  </w:footnote>
  <w:footnote w:id="17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التخصيص</w:t>
      </w:r>
      <w:r>
        <w:rPr>
          <w:rFonts w:hint="eastAsia"/>
          <w:rtl/>
        </w:rPr>
        <w:t>»</w:t>
      </w:r>
      <w:r>
        <w:rPr>
          <w:rFonts w:hint="cs"/>
          <w:rtl/>
        </w:rPr>
        <w:t>: ساقطة من (جـ).</w:t>
      </w:r>
    </w:p>
  </w:footnote>
  <w:footnote w:id="17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علامة</w:t>
      </w:r>
      <w:r>
        <w:rPr>
          <w:rFonts w:hint="eastAsia"/>
          <w:rtl/>
        </w:rPr>
        <w:t>»</w:t>
      </w:r>
      <w:r>
        <w:rPr>
          <w:rFonts w:hint="cs"/>
          <w:rtl/>
        </w:rPr>
        <w:t>. والصحيح ما تمَّ إثباته من (ب) و(د).</w:t>
      </w:r>
    </w:p>
  </w:footnote>
  <w:footnote w:id="17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سنذكر ما قاله النسفي في أواخر هذا الباب.</w:t>
      </w:r>
    </w:p>
  </w:footnote>
  <w:footnote w:id="17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في نهاية باب التاء، وذلك ص565 (ل39/ب).</w:t>
      </w:r>
    </w:p>
    <w:p w:rsidR="00035BE3" w:rsidRDefault="00035BE3" w:rsidP="00C10469">
      <w:pPr>
        <w:pStyle w:val="a6"/>
        <w:spacing w:line="440" w:lineRule="exact"/>
        <w:ind w:left="422" w:firstLine="0"/>
        <w:rPr>
          <w:rtl/>
        </w:rPr>
      </w:pPr>
      <w:r>
        <w:rPr>
          <w:rFonts w:hint="cs"/>
          <w:rtl/>
        </w:rPr>
        <w:t>وإن أردْتَ الوقوفَ على عبارة النسفي مباشرة فراجعها في كشف الأسرار شرح المصنف على المنار، 1/410-411.</w:t>
      </w:r>
    </w:p>
  </w:footnote>
  <w:footnote w:id="17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فللغريم أو بيعه</w:t>
      </w:r>
      <w:r>
        <w:rPr>
          <w:rFonts w:hint="eastAsia"/>
          <w:rtl/>
        </w:rPr>
        <w:t>»</w:t>
      </w:r>
      <w:r>
        <w:rPr>
          <w:rFonts w:hint="cs"/>
          <w:rtl/>
        </w:rPr>
        <w:t xml:space="preserve">، وفي (ب) و(د) : </w:t>
      </w:r>
      <w:r>
        <w:rPr>
          <w:rFonts w:hint="eastAsia"/>
          <w:rtl/>
        </w:rPr>
        <w:t>«</w:t>
      </w:r>
      <w:r>
        <w:rPr>
          <w:rFonts w:hint="cs"/>
          <w:rtl/>
        </w:rPr>
        <w:t>فللغريم بيعه</w:t>
      </w:r>
      <w:r>
        <w:rPr>
          <w:rFonts w:hint="eastAsia"/>
          <w:rtl/>
        </w:rPr>
        <w:t>»</w:t>
      </w:r>
      <w:r>
        <w:rPr>
          <w:rFonts w:hint="cs"/>
          <w:rtl/>
        </w:rPr>
        <w:t xml:space="preserve">، وفي (هـ) : </w:t>
      </w:r>
      <w:r>
        <w:rPr>
          <w:rFonts w:hint="eastAsia"/>
          <w:rtl/>
        </w:rPr>
        <w:t>«</w:t>
      </w:r>
      <w:r>
        <w:rPr>
          <w:rFonts w:hint="cs"/>
          <w:rtl/>
        </w:rPr>
        <w:t>فللغريم ابن بيعه</w:t>
      </w:r>
      <w:r>
        <w:rPr>
          <w:rFonts w:hint="eastAsia"/>
          <w:rtl/>
        </w:rPr>
        <w:t>»</w:t>
      </w:r>
      <w:r>
        <w:rPr>
          <w:rFonts w:hint="cs"/>
          <w:rtl/>
        </w:rPr>
        <w:t xml:space="preserve">، وفي (و) : </w:t>
      </w:r>
      <w:r>
        <w:rPr>
          <w:rFonts w:hint="eastAsia"/>
          <w:rtl/>
        </w:rPr>
        <w:t>«</w:t>
      </w:r>
      <w:r>
        <w:rPr>
          <w:rFonts w:hint="cs"/>
          <w:rtl/>
        </w:rPr>
        <w:t>فللغريم أن يبيعه</w:t>
      </w:r>
      <w:r>
        <w:rPr>
          <w:rFonts w:hint="eastAsia"/>
          <w:rtl/>
        </w:rPr>
        <w:t>»</w:t>
      </w:r>
      <w:r>
        <w:rPr>
          <w:rFonts w:hint="cs"/>
          <w:rtl/>
        </w:rPr>
        <w:t xml:space="preserve">، وفي نسخة مدينة (تـيره) بتركيا : </w:t>
      </w:r>
      <w:r>
        <w:rPr>
          <w:rFonts w:hint="eastAsia"/>
          <w:rtl/>
        </w:rPr>
        <w:t>«</w:t>
      </w:r>
      <w:r>
        <w:rPr>
          <w:rFonts w:hint="cs"/>
          <w:rtl/>
        </w:rPr>
        <w:t>فللغريم حق الرّد</w:t>
      </w:r>
      <w:r>
        <w:rPr>
          <w:rFonts w:hint="eastAsia"/>
          <w:rtl/>
        </w:rPr>
        <w:t>»</w:t>
      </w:r>
      <w:r>
        <w:rPr>
          <w:rFonts w:hint="cs"/>
          <w:rtl/>
        </w:rPr>
        <w:t>.</w:t>
      </w:r>
    </w:p>
    <w:p w:rsidR="00035BE3" w:rsidRDefault="00035BE3" w:rsidP="00C10469">
      <w:pPr>
        <w:pStyle w:val="a6"/>
        <w:ind w:left="422" w:firstLine="0"/>
        <w:rPr>
          <w:rtl/>
        </w:rPr>
      </w:pPr>
      <w:r>
        <w:rPr>
          <w:rFonts w:hint="cs"/>
          <w:rtl/>
        </w:rPr>
        <w:t xml:space="preserve">والذي يشهد له السياق، وتدل عليه المصادر الفقهية هو ما تمَّ إثباته من نسخة (تيره)؛ إذ بمعناه ما جاء في (الوقاية) و(الـغرر) : </w:t>
      </w:r>
      <w:r>
        <w:rPr>
          <w:rFonts w:hint="eastAsia"/>
          <w:rtl/>
        </w:rPr>
        <w:t>«</w:t>
      </w:r>
      <w:r>
        <w:rPr>
          <w:rFonts w:hint="cs"/>
          <w:rtl/>
        </w:rPr>
        <w:t>فللغريم ردّ بيعه</w:t>
      </w:r>
      <w:r>
        <w:rPr>
          <w:rFonts w:hint="eastAsia"/>
          <w:rtl/>
        </w:rPr>
        <w:t>»</w:t>
      </w:r>
      <w:r>
        <w:rPr>
          <w:rFonts w:hint="cs"/>
          <w:rtl/>
        </w:rPr>
        <w:t xml:space="preserve">، وما جاء في (الهداية) : </w:t>
      </w:r>
      <w:r>
        <w:rPr>
          <w:rFonts w:hint="eastAsia"/>
          <w:rtl/>
        </w:rPr>
        <w:t>«</w:t>
      </w:r>
      <w:r>
        <w:rPr>
          <w:rFonts w:hint="cs"/>
          <w:rtl/>
        </w:rPr>
        <w:t>فللغرماء أن يردوا البيع</w:t>
      </w:r>
      <w:r>
        <w:rPr>
          <w:rFonts w:hint="eastAsia"/>
          <w:rtl/>
        </w:rPr>
        <w:t>»</w:t>
      </w:r>
      <w:r>
        <w:rPr>
          <w:rFonts w:hint="cs"/>
          <w:rtl/>
        </w:rPr>
        <w:t xml:space="preserve">، وقريب من لفظ (الهداية) لفظ (الكنز) و(تنوير الأبصار) وغيرهما. علمًا بأن المؤلف أعاد هذه العبارة بعد بضع كلمات، وقد اتفقت جميع النسخ على اللفظ المثبت من نسخـة (تيـره)، حيث جاء فيها جميعًا : </w:t>
      </w:r>
      <w:r>
        <w:rPr>
          <w:rFonts w:hint="eastAsia"/>
          <w:rtl/>
        </w:rPr>
        <w:t>«</w:t>
      </w:r>
      <w:r>
        <w:rPr>
          <w:rFonts w:hint="cs"/>
          <w:rtl/>
        </w:rPr>
        <w:t>مع أن للغريم حقّ الرد ...</w:t>
      </w:r>
      <w:r>
        <w:rPr>
          <w:rFonts w:hint="eastAsia"/>
          <w:rtl/>
        </w:rPr>
        <w:t>»</w:t>
      </w:r>
      <w:r>
        <w:rPr>
          <w:rFonts w:hint="cs"/>
          <w:rtl/>
        </w:rPr>
        <w:t>.</w:t>
      </w:r>
    </w:p>
  </w:footnote>
  <w:footnote w:id="17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يفسد</w:t>
      </w:r>
      <w:r>
        <w:rPr>
          <w:rFonts w:hint="eastAsia"/>
          <w:rtl/>
        </w:rPr>
        <w:t>»</w:t>
      </w:r>
      <w:r>
        <w:rPr>
          <w:rFonts w:hint="cs"/>
          <w:rtl/>
        </w:rPr>
        <w:t xml:space="preserve">، وفي (ب) : </w:t>
      </w:r>
      <w:r>
        <w:rPr>
          <w:rFonts w:hint="eastAsia"/>
          <w:rtl/>
        </w:rPr>
        <w:t>«</w:t>
      </w:r>
      <w:r>
        <w:rPr>
          <w:rFonts w:hint="cs"/>
          <w:rtl/>
        </w:rPr>
        <w:t>يفي</w:t>
      </w:r>
      <w:r>
        <w:rPr>
          <w:rFonts w:hint="eastAsia"/>
          <w:rtl/>
        </w:rPr>
        <w:t>»</w:t>
      </w:r>
      <w:r>
        <w:rPr>
          <w:rFonts w:hint="cs"/>
          <w:rtl/>
        </w:rPr>
        <w:t>. والذي يشهد له السياق : ما تمّ إثباته من (ب) (مع حذف حرف العلة؛ لتقدّم الجازم)، وهو الموافق للغرر.</w:t>
      </w:r>
    </w:p>
  </w:footnote>
  <w:footnote w:id="17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العبارة بذلت جهدي في البحث عنها في (الهداية)، ولم أهتدِ إليها بهذا اللفظ، إلا أن معناها مقرَّر في (الهداية) وغيرها من مصادر الفقه الحنفي، كما أن لفظها قريب من لفظ (الغرر):</w:t>
      </w:r>
    </w:p>
    <w:p w:rsidR="00035BE3" w:rsidRDefault="00035BE3" w:rsidP="00C10469">
      <w:pPr>
        <w:pStyle w:val="a6"/>
        <w:ind w:left="422" w:firstLine="0"/>
        <w:rPr>
          <w:rtl/>
        </w:rPr>
      </w:pPr>
      <w:r>
        <w:rPr>
          <w:rtl/>
        </w:rPr>
        <w:t>•</w:t>
      </w:r>
      <w:r>
        <w:rPr>
          <w:rFonts w:hint="cs"/>
          <w:rtl/>
        </w:rPr>
        <w:t xml:space="preserve"> فعبارة (الهداية) -9/307- : </w:t>
      </w:r>
      <w:r>
        <w:rPr>
          <w:rFonts w:hint="eastAsia"/>
          <w:rtl/>
        </w:rPr>
        <w:t>«</w:t>
      </w:r>
      <w:r>
        <w:rPr>
          <w:rFonts w:hint="cs"/>
          <w:rtl/>
        </w:rPr>
        <w:t>ولو كان المولى باعه وأعلمه بالدين فللغرماء أن يردّوا البيع؛ لتعلّق حقّهم، وهو حق الاستسعاء والاستيفاء من رقبته ...</w:t>
      </w:r>
      <w:r>
        <w:rPr>
          <w:rFonts w:hint="eastAsia"/>
          <w:rtl/>
        </w:rPr>
        <w:t>»</w:t>
      </w:r>
      <w:r>
        <w:rPr>
          <w:rFonts w:hint="cs"/>
          <w:rtl/>
        </w:rPr>
        <w:t>.</w:t>
      </w:r>
    </w:p>
    <w:p w:rsidR="00035BE3" w:rsidRPr="00D35F1E" w:rsidRDefault="00035BE3" w:rsidP="00C10469">
      <w:pPr>
        <w:pStyle w:val="a6"/>
        <w:spacing w:line="264" w:lineRule="auto"/>
        <w:ind w:left="422" w:firstLine="0"/>
        <w:rPr>
          <w:spacing w:val="-6"/>
          <w:rtl/>
        </w:rPr>
      </w:pPr>
      <w:r>
        <w:rPr>
          <w:rtl/>
        </w:rPr>
        <w:t>•</w:t>
      </w:r>
      <w:r>
        <w:rPr>
          <w:rFonts w:hint="cs"/>
          <w:rtl/>
        </w:rPr>
        <w:t xml:space="preserve"> </w:t>
      </w:r>
      <w:r w:rsidRPr="00D35F1E">
        <w:rPr>
          <w:rFonts w:hint="cs"/>
          <w:rtl/>
        </w:rPr>
        <w:t>وعبارة</w:t>
      </w:r>
      <w:r>
        <w:rPr>
          <w:rFonts w:hint="cs"/>
          <w:spacing w:val="-4"/>
          <w:rtl/>
        </w:rPr>
        <w:t xml:space="preserve"> (الغرر) -2/280-: </w:t>
      </w:r>
      <w:r>
        <w:rPr>
          <w:rFonts w:hint="eastAsia"/>
          <w:spacing w:val="-4"/>
          <w:rtl/>
        </w:rPr>
        <w:t>«</w:t>
      </w:r>
      <w:r>
        <w:rPr>
          <w:rFonts w:hint="cs"/>
          <w:spacing w:val="-4"/>
          <w:rtl/>
        </w:rPr>
        <w:t>وإن باعه معلمًا دينه فللغريم ردّ بيعه إن لم يفِ بدنه ثمنه</w:t>
      </w:r>
      <w:r>
        <w:rPr>
          <w:rFonts w:hint="eastAsia"/>
          <w:spacing w:val="-4"/>
          <w:rtl/>
        </w:rPr>
        <w:t>»</w:t>
      </w:r>
      <w:r>
        <w:rPr>
          <w:rFonts w:hint="cs"/>
          <w:spacing w:val="-4"/>
          <w:rtl/>
        </w:rPr>
        <w:t xml:space="preserve"> [ولعل </w:t>
      </w:r>
      <w:r w:rsidRPr="00D35F1E">
        <w:rPr>
          <w:rFonts w:hint="cs"/>
          <w:spacing w:val="-6"/>
          <w:rtl/>
        </w:rPr>
        <w:t xml:space="preserve">الكلمتين الأخـيرتـين من (الغـرر) فيهما تقديم وتأخير وتصحيف، والصواب: (إن لم يفِ </w:t>
      </w:r>
      <w:r w:rsidRPr="00D35F1E">
        <w:rPr>
          <w:rFonts w:hint="cs"/>
          <w:b/>
          <w:bCs/>
          <w:spacing w:val="-6"/>
          <w:rtl/>
        </w:rPr>
        <w:t>ثمنه بدينه</w:t>
      </w:r>
      <w:r w:rsidRPr="00D35F1E">
        <w:rPr>
          <w:rFonts w:hint="cs"/>
          <w:spacing w:val="-6"/>
          <w:rtl/>
        </w:rPr>
        <w:t>)].</w:t>
      </w:r>
    </w:p>
    <w:p w:rsidR="00035BE3" w:rsidRPr="00DA433F" w:rsidRDefault="00035BE3" w:rsidP="00C10469">
      <w:pPr>
        <w:pStyle w:val="a6"/>
        <w:spacing w:line="264" w:lineRule="auto"/>
        <w:ind w:left="420" w:firstLine="0"/>
        <w:rPr>
          <w:rtl/>
        </w:rPr>
      </w:pPr>
      <w:r>
        <w:rPr>
          <w:rFonts w:hint="cs"/>
          <w:b/>
          <w:bCs/>
          <w:rtl/>
        </w:rPr>
        <w:t>ومعنى عبارة المؤلف</w:t>
      </w:r>
      <w:r>
        <w:rPr>
          <w:rFonts w:hint="cs"/>
          <w:rtl/>
        </w:rPr>
        <w:t xml:space="preserve"> : أنه لو أذن السيّد لعبده في التجارة، وصار العبد مديونًا، فباعه السيد، وأعلم المشتريَ بالعيب الذي في العبد (وهو كونه مديونًا تعلّق بقيمته حق الغريم) : فإن للغريم الذي أدان العبد </w:t>
      </w:r>
      <w:r w:rsidRPr="00DA433F">
        <w:rPr>
          <w:rFonts w:hint="cs"/>
          <w:rtl/>
        </w:rPr>
        <w:t>ردَّ هذا البيع، إن كان ثمن العبد لا يفي بالدين.</w:t>
      </w:r>
    </w:p>
    <w:p w:rsidR="00035BE3" w:rsidRPr="00DA433F" w:rsidRDefault="00035BE3" w:rsidP="00C10469">
      <w:pPr>
        <w:pStyle w:val="a6"/>
        <w:spacing w:line="264" w:lineRule="auto"/>
        <w:ind w:left="420" w:firstLine="0"/>
        <w:rPr>
          <w:rtl/>
        </w:rPr>
      </w:pPr>
      <w:r w:rsidRPr="00DA433F">
        <w:rPr>
          <w:rFonts w:hint="cs"/>
          <w:rtl/>
        </w:rPr>
        <w:t>ويفهم من ذلك : أن ثمن العبد إذا كان يفي بالدين فليس للغريم ردُّ البيع؛ لأن حقه في الدين سيأخذه من قيمة العبد.</w:t>
      </w:r>
    </w:p>
    <w:p w:rsidR="00035BE3" w:rsidRDefault="00035BE3" w:rsidP="00C10469">
      <w:pPr>
        <w:pStyle w:val="a6"/>
        <w:spacing w:line="264" w:lineRule="auto"/>
        <w:ind w:left="420" w:firstLine="0"/>
        <w:rPr>
          <w:rtl/>
        </w:rPr>
      </w:pPr>
      <w:r w:rsidRPr="00DA433F">
        <w:rPr>
          <w:rFonts w:hint="cs"/>
          <w:rtl/>
        </w:rPr>
        <w:t>وللتوسع في هذه المسألة انظر بالإضافة إلى ما سبق : الوقاية وشرحها لصدر الشريعة والكنز وشرحه : كشف الحقائق، 2/191؛ وشرحي الكنز أيضًا : تبيين الحقائق، 5/217؛ والبحر الرائق، 8/118؛ العنـايـة، 9/307؛ تنوير الأبصار وشرحه : الدّر المختار، وحاشية الشرح : رد المحتار، 9/249؛ ملتقى الأبحر وشرحه: مجمع الأنهر</w:t>
      </w:r>
      <w:r>
        <w:rPr>
          <w:rFonts w:hint="cs"/>
          <w:rtl/>
        </w:rPr>
        <w:t>، 2/453.</w:t>
      </w:r>
    </w:p>
  </w:footnote>
  <w:footnote w:id="17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20/أ من (ب).</w:t>
      </w:r>
    </w:p>
  </w:footnote>
  <w:footnote w:id="17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 هذا القيد</w:t>
      </w:r>
      <w:r>
        <w:rPr>
          <w:rFonts w:hint="eastAsia"/>
          <w:rtl/>
        </w:rPr>
        <w:t>»</w:t>
      </w:r>
      <w:r>
        <w:rPr>
          <w:rFonts w:hint="cs"/>
          <w:rtl/>
        </w:rPr>
        <w:t xml:space="preserve"> : ساقطة من (ب) و(د).</w:t>
      </w:r>
    </w:p>
  </w:footnote>
  <w:footnote w:id="17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19/ب من (د).</w:t>
      </w:r>
    </w:p>
    <w:p w:rsidR="00035BE3" w:rsidRDefault="00035BE3" w:rsidP="00C10469">
      <w:pPr>
        <w:pStyle w:val="a6"/>
        <w:ind w:left="422" w:hanging="454"/>
        <w:rPr>
          <w:rtl/>
        </w:rPr>
      </w:pPr>
      <w:r>
        <w:rPr>
          <w:rFonts w:hint="cs"/>
          <w:rtl/>
        </w:rPr>
        <w:t>وهذه الرسالة بذلت غاية جهدي في البحث عنها ولكن لم أهتد إليها.</w:t>
      </w:r>
    </w:p>
  </w:footnote>
  <w:footnote w:id="17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 </w:t>
      </w:r>
      <w:r>
        <w:rPr>
          <w:rFonts w:hint="eastAsia"/>
          <w:rtl/>
        </w:rPr>
        <w:t>«</w:t>
      </w:r>
      <w:r>
        <w:rPr>
          <w:rFonts w:hint="cs"/>
          <w:rtl/>
        </w:rPr>
        <w:t>مبنية</w:t>
      </w:r>
      <w:r>
        <w:rPr>
          <w:rFonts w:hint="eastAsia"/>
          <w:rtl/>
        </w:rPr>
        <w:t>»</w:t>
      </w:r>
      <w:r>
        <w:rPr>
          <w:rFonts w:hint="cs"/>
          <w:rtl/>
        </w:rPr>
        <w:t xml:space="preserve">، وفي (جـ) : </w:t>
      </w:r>
      <w:r>
        <w:rPr>
          <w:rFonts w:hint="eastAsia"/>
          <w:rtl/>
        </w:rPr>
        <w:t>«</w:t>
      </w:r>
      <w:r>
        <w:rPr>
          <w:rFonts w:hint="cs"/>
          <w:rtl/>
        </w:rPr>
        <w:t>بنية</w:t>
      </w:r>
      <w:r>
        <w:rPr>
          <w:rFonts w:hint="eastAsia"/>
          <w:rtl/>
        </w:rPr>
        <w:t>»</w:t>
      </w:r>
      <w:r>
        <w:rPr>
          <w:rFonts w:hint="cs"/>
          <w:rtl/>
        </w:rPr>
        <w:t>. والصحيح ما تمّ إثباته من (د).</w:t>
      </w:r>
    </w:p>
  </w:footnote>
  <w:footnote w:id="17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العتبية</w:t>
      </w:r>
      <w:r>
        <w:rPr>
          <w:rFonts w:hint="eastAsia"/>
          <w:rtl/>
        </w:rPr>
        <w:t>»</w:t>
      </w:r>
      <w:r>
        <w:rPr>
          <w:rFonts w:hint="cs"/>
          <w:rtl/>
        </w:rPr>
        <w:t>.</w:t>
      </w:r>
    </w:p>
  </w:footnote>
  <w:footnote w:id="17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العتبة العليّة :</w:t>
      </w:r>
    </w:p>
    <w:p w:rsidR="00035BE3" w:rsidRDefault="00035BE3" w:rsidP="00C10469">
      <w:pPr>
        <w:pStyle w:val="a6"/>
        <w:ind w:left="422" w:firstLine="0"/>
        <w:rPr>
          <w:rtl/>
        </w:rPr>
      </w:pPr>
      <w:r>
        <w:rPr>
          <w:rFonts w:hint="cs"/>
          <w:b/>
          <w:bCs/>
          <w:rtl/>
        </w:rPr>
        <w:t>العتبة في اللغة :</w:t>
      </w:r>
      <w:r>
        <w:rPr>
          <w:rFonts w:hint="cs"/>
          <w:rtl/>
        </w:rPr>
        <w:t xml:space="preserve"> تطلق على عدّة معانٍ، منها :</w:t>
      </w:r>
    </w:p>
    <w:p w:rsidR="00035BE3" w:rsidRDefault="00035BE3" w:rsidP="00C10469">
      <w:pPr>
        <w:pStyle w:val="a6"/>
        <w:ind w:left="422" w:firstLine="0"/>
        <w:rPr>
          <w:rtl/>
        </w:rPr>
      </w:pPr>
      <w:r>
        <w:rPr>
          <w:rFonts w:hint="cs"/>
          <w:b/>
          <w:bCs/>
          <w:rtl/>
        </w:rPr>
        <w:t>1</w:t>
      </w:r>
      <w:r>
        <w:rPr>
          <w:rFonts w:hint="cs"/>
          <w:rtl/>
        </w:rPr>
        <w:t>- أُسْكُفَّة الباب، وهي الخشبة أو البلاطة التي يوطأ عليها عند الدخول والخروج.</w:t>
      </w:r>
    </w:p>
    <w:p w:rsidR="00035BE3" w:rsidRDefault="00035BE3" w:rsidP="00C10469">
      <w:pPr>
        <w:pStyle w:val="a6"/>
        <w:ind w:left="422" w:firstLine="0"/>
        <w:rPr>
          <w:rtl/>
        </w:rPr>
      </w:pPr>
      <w:r>
        <w:rPr>
          <w:rFonts w:hint="cs"/>
          <w:b/>
          <w:bCs/>
          <w:rtl/>
        </w:rPr>
        <w:t>2</w:t>
      </w:r>
      <w:r>
        <w:rPr>
          <w:rFonts w:hint="cs"/>
          <w:rtl/>
        </w:rPr>
        <w:t>- الخشبة العليا من الباب.</w:t>
      </w:r>
    </w:p>
    <w:p w:rsidR="00035BE3" w:rsidRDefault="00035BE3" w:rsidP="00C10469">
      <w:pPr>
        <w:pStyle w:val="a6"/>
        <w:ind w:left="422" w:firstLine="0"/>
        <w:rPr>
          <w:rtl/>
        </w:rPr>
      </w:pPr>
      <w:r>
        <w:rPr>
          <w:rFonts w:hint="cs"/>
          <w:b/>
          <w:bCs/>
          <w:rtl/>
        </w:rPr>
        <w:t>3</w:t>
      </w:r>
      <w:r>
        <w:rPr>
          <w:rFonts w:hint="cs"/>
          <w:rtl/>
        </w:rPr>
        <w:t>- كل مرقاة من مراقي الدرج، فهي تسمّى عتبة.</w:t>
      </w:r>
    </w:p>
    <w:p w:rsidR="00035BE3" w:rsidRDefault="00035BE3" w:rsidP="00C10469">
      <w:pPr>
        <w:pStyle w:val="a6"/>
        <w:ind w:left="422" w:firstLine="0"/>
        <w:rPr>
          <w:rtl/>
        </w:rPr>
      </w:pPr>
      <w:r>
        <w:rPr>
          <w:rFonts w:hint="cs"/>
          <w:rtl/>
        </w:rPr>
        <w:t xml:space="preserve">ويكثر إطلاق هذه الكلمة عند بعض الفرق الإسلامية على المساجد المعظمة، والأصل في ذلك </w:t>
      </w:r>
      <w:r>
        <w:rPr>
          <w:rFonts w:hint="eastAsia"/>
          <w:rtl/>
        </w:rPr>
        <w:t>«</w:t>
      </w:r>
      <w:r>
        <w:rPr>
          <w:rFonts w:hint="cs"/>
          <w:rtl/>
        </w:rPr>
        <w:t>أن الناس تواضعوا على تعظيم عتبات أبواب قصور الملوك والأمراء وعظماء الرجال وأعيان المجتمع؛ احترامًا للمقيمين فيها ومهابة لهم</w:t>
      </w:r>
      <w:r>
        <w:rPr>
          <w:rFonts w:hint="eastAsia"/>
          <w:rtl/>
        </w:rPr>
        <w:t>»</w:t>
      </w:r>
      <w:r>
        <w:rPr>
          <w:rFonts w:hint="cs"/>
          <w:rtl/>
        </w:rPr>
        <w:t>.</w:t>
      </w:r>
    </w:p>
    <w:p w:rsidR="00035BE3" w:rsidRDefault="00035BE3" w:rsidP="00C10469">
      <w:pPr>
        <w:pStyle w:val="a6"/>
        <w:spacing w:line="228" w:lineRule="auto"/>
        <w:ind w:left="422" w:firstLine="0"/>
        <w:rPr>
          <w:rtl/>
        </w:rPr>
      </w:pPr>
      <w:r>
        <w:rPr>
          <w:rFonts w:hint="cs"/>
          <w:b/>
          <w:bCs/>
          <w:rtl/>
        </w:rPr>
        <w:t>والعلية في اللغة :</w:t>
      </w:r>
      <w:r>
        <w:rPr>
          <w:rFonts w:hint="cs"/>
          <w:rtl/>
        </w:rPr>
        <w:t xml:space="preserve"> مؤنث العليّ، أي : الرفيع </w:t>
      </w:r>
      <w:r>
        <w:rPr>
          <w:rtl/>
        </w:rPr>
        <w:t>–</w:t>
      </w:r>
      <w:r>
        <w:rPr>
          <w:rFonts w:hint="cs"/>
          <w:rtl/>
        </w:rPr>
        <w:t xml:space="preserve"> قاله طه الولي-.</w:t>
      </w:r>
    </w:p>
    <w:p w:rsidR="00035BE3" w:rsidRDefault="00035BE3" w:rsidP="00C10469">
      <w:pPr>
        <w:pStyle w:val="a6"/>
        <w:spacing w:line="228" w:lineRule="auto"/>
        <w:ind w:left="420" w:firstLine="0"/>
        <w:rPr>
          <w:rtl/>
        </w:rPr>
      </w:pPr>
      <w:r>
        <w:rPr>
          <w:rFonts w:hint="cs"/>
          <w:b/>
          <w:bCs/>
          <w:rtl/>
        </w:rPr>
        <w:t>والمراد بالعتبة العلّية هنا</w:t>
      </w:r>
      <w:r>
        <w:rPr>
          <w:rFonts w:hint="cs"/>
          <w:rtl/>
        </w:rPr>
        <w:t xml:space="preserve"> - فيما يظهر- : المكان الرفيع الذي درس فيه المؤلف، فهي وصف للمكان، وليست علمًا عليه. أو يقال : إن (أل) في قوله (العتبة) للعهد الذهني، أي : أثناء ملازمته في العتبة المعهودة في ذهنه ومن يملي عليهم كتابه. كما لو قال أستاذ لطلابه الذين يعرفون الكلية التي تخرَّجَ منها : أثناء دراستي في الكلية العريقة.</w:t>
      </w:r>
    </w:p>
    <w:p w:rsidR="00035BE3" w:rsidRDefault="00035BE3" w:rsidP="00C10469">
      <w:pPr>
        <w:pStyle w:val="a6"/>
        <w:spacing w:line="264" w:lineRule="auto"/>
        <w:ind w:left="420" w:firstLine="0"/>
        <w:rPr>
          <w:rtl/>
        </w:rPr>
      </w:pPr>
      <w:r>
        <w:rPr>
          <w:rFonts w:hint="cs"/>
          <w:rtl/>
        </w:rPr>
        <w:t>ومع دلالة السياق على أنها ليست علمًا على مكان بعينه إلا أنه من أجل التأكّد من هذا بحثت في عدد من الكتب التي تعنى بالعتبات المقدّسة، والمدارس والمساجد والمكتبات والمصطلحات، ولم أعثر على ما يُسمّى بالعتبة العلية -والله أعلم-.</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hanging="2"/>
        <w:rPr>
          <w:rtl/>
        </w:rPr>
      </w:pPr>
      <w:r>
        <w:rPr>
          <w:rFonts w:hint="cs"/>
          <w:rtl/>
        </w:rPr>
        <w:t xml:space="preserve">ولتوثيق ما سبق : انظر في المعنى اللغوي للعتبة : الصحاح، مادة </w:t>
      </w:r>
      <w:r>
        <w:rPr>
          <w:rFonts w:hint="eastAsia"/>
          <w:rtl/>
        </w:rPr>
        <w:t>«</w:t>
      </w:r>
      <w:r>
        <w:rPr>
          <w:rFonts w:hint="cs"/>
          <w:rtl/>
        </w:rPr>
        <w:t>عتب</w:t>
      </w:r>
      <w:r>
        <w:rPr>
          <w:rFonts w:hint="eastAsia"/>
          <w:rtl/>
        </w:rPr>
        <w:t>»</w:t>
      </w:r>
      <w:r>
        <w:rPr>
          <w:rFonts w:hint="cs"/>
          <w:rtl/>
        </w:rPr>
        <w:t xml:space="preserve">، 1/177؛ المغرِّب (في الغين مع الفاء)، ص302؛ القاموس المحيط، مادة </w:t>
      </w:r>
      <w:r>
        <w:rPr>
          <w:rFonts w:hint="eastAsia"/>
          <w:rtl/>
        </w:rPr>
        <w:t>«</w:t>
      </w:r>
      <w:r>
        <w:rPr>
          <w:rFonts w:hint="cs"/>
          <w:rtl/>
        </w:rPr>
        <w:t>عتب</w:t>
      </w:r>
      <w:r>
        <w:rPr>
          <w:rFonts w:hint="eastAsia"/>
          <w:rtl/>
        </w:rPr>
        <w:t>»</w:t>
      </w:r>
      <w:r>
        <w:rPr>
          <w:rFonts w:hint="cs"/>
          <w:rtl/>
        </w:rPr>
        <w:t xml:space="preserve">، ص143؛ تاج العروس، مـادة </w:t>
      </w:r>
      <w:r>
        <w:rPr>
          <w:rFonts w:hint="eastAsia"/>
          <w:rtl/>
        </w:rPr>
        <w:t>«</w:t>
      </w:r>
      <w:r>
        <w:rPr>
          <w:rFonts w:hint="cs"/>
          <w:rtl/>
        </w:rPr>
        <w:t>عتـب</w:t>
      </w:r>
      <w:r>
        <w:rPr>
          <w:rFonts w:hint="eastAsia"/>
          <w:rtl/>
        </w:rPr>
        <w:t>»</w:t>
      </w:r>
      <w:r>
        <w:rPr>
          <w:rFonts w:hint="cs"/>
          <w:rtl/>
        </w:rPr>
        <w:t xml:space="preserve">، 3/306؛ المعجم الوسيط، مادة </w:t>
      </w:r>
      <w:r>
        <w:rPr>
          <w:rFonts w:hint="eastAsia"/>
          <w:rtl/>
        </w:rPr>
        <w:t>«</w:t>
      </w:r>
      <w:r>
        <w:rPr>
          <w:rFonts w:hint="cs"/>
          <w:rtl/>
        </w:rPr>
        <w:t>عتب</w:t>
      </w:r>
      <w:r>
        <w:rPr>
          <w:rFonts w:hint="eastAsia"/>
          <w:rtl/>
        </w:rPr>
        <w:t>»</w:t>
      </w:r>
      <w:r>
        <w:rPr>
          <w:rFonts w:hint="cs"/>
          <w:rtl/>
        </w:rPr>
        <w:t>، 2/582؛ وانظر أيضًا : الكليات، ص598؛ والأصل في إطلاقها على المساجد مستفاد من : المساجد في الإسلام، ص121.</w:t>
      </w:r>
    </w:p>
    <w:p w:rsidR="00035BE3" w:rsidRDefault="00035BE3" w:rsidP="00C10469">
      <w:pPr>
        <w:pStyle w:val="a6"/>
        <w:ind w:left="422" w:hanging="2"/>
        <w:rPr>
          <w:rtl/>
        </w:rPr>
      </w:pPr>
      <w:r>
        <w:rPr>
          <w:rFonts w:hint="cs"/>
          <w:rtl/>
        </w:rPr>
        <w:t xml:space="preserve">وانظر في المعنى اللغوي للعلّية : الصحاح، مادة </w:t>
      </w:r>
      <w:r>
        <w:rPr>
          <w:rFonts w:hint="eastAsia"/>
          <w:rtl/>
        </w:rPr>
        <w:t>«</w:t>
      </w:r>
      <w:r>
        <w:rPr>
          <w:rFonts w:hint="cs"/>
          <w:rtl/>
        </w:rPr>
        <w:t>علا</w:t>
      </w:r>
      <w:r>
        <w:rPr>
          <w:rFonts w:hint="eastAsia"/>
          <w:rtl/>
        </w:rPr>
        <w:t>»</w:t>
      </w:r>
      <w:r>
        <w:rPr>
          <w:rFonts w:hint="cs"/>
          <w:rtl/>
        </w:rPr>
        <w:t xml:space="preserve">، 6/2437؛ القاموس المحيط، مادة </w:t>
      </w:r>
      <w:r>
        <w:rPr>
          <w:rFonts w:hint="eastAsia"/>
          <w:rtl/>
        </w:rPr>
        <w:t>«</w:t>
      </w:r>
      <w:r>
        <w:rPr>
          <w:rFonts w:hint="cs"/>
          <w:rtl/>
        </w:rPr>
        <w:t>علا</w:t>
      </w:r>
      <w:r>
        <w:rPr>
          <w:rFonts w:hint="eastAsia"/>
          <w:rtl/>
        </w:rPr>
        <w:t>»</w:t>
      </w:r>
      <w:r>
        <w:rPr>
          <w:rFonts w:hint="cs"/>
          <w:rtl/>
        </w:rPr>
        <w:t xml:space="preserve">، ص1694؛ المعجم الوسيط، مادة </w:t>
      </w:r>
      <w:r>
        <w:rPr>
          <w:rFonts w:hint="eastAsia"/>
          <w:rtl/>
        </w:rPr>
        <w:t>«</w:t>
      </w:r>
      <w:r>
        <w:rPr>
          <w:rFonts w:hint="cs"/>
          <w:rtl/>
        </w:rPr>
        <w:t>علا</w:t>
      </w:r>
      <w:r>
        <w:rPr>
          <w:rFonts w:hint="eastAsia"/>
          <w:rtl/>
        </w:rPr>
        <w:t>»</w:t>
      </w:r>
      <w:r>
        <w:rPr>
          <w:rFonts w:hint="cs"/>
          <w:rtl/>
        </w:rPr>
        <w:t>، 2/625؛ وانظر أيضًا : الكليات، ص627.</w:t>
      </w:r>
    </w:p>
  </w:footnote>
  <w:footnote w:id="17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وعرضها</w:t>
      </w:r>
      <w:r>
        <w:rPr>
          <w:rFonts w:hint="eastAsia"/>
          <w:rtl/>
        </w:rPr>
        <w:t>»</w:t>
      </w:r>
      <w:r>
        <w:rPr>
          <w:rFonts w:hint="cs"/>
          <w:rtl/>
        </w:rPr>
        <w:t>.</w:t>
      </w:r>
    </w:p>
  </w:footnote>
  <w:footnote w:id="17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لو أضيف الضمير وقيل : (وتلقوها) لكان أولى؛ لأن الفعل متعدٍّ.</w:t>
      </w:r>
    </w:p>
  </w:footnote>
  <w:footnote w:id="17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ليس المقصود من (العبد) هنا هو (المملوك)؛ لأنه أعاد الضمير إليه في قوله - بعد بضع كلمات-: </w:t>
      </w:r>
      <w:r>
        <w:rPr>
          <w:rFonts w:hint="eastAsia"/>
          <w:rtl/>
        </w:rPr>
        <w:t>«</w:t>
      </w:r>
      <w:r>
        <w:rPr>
          <w:rFonts w:hint="cs"/>
          <w:rtl/>
        </w:rPr>
        <w:t>عبده</w:t>
      </w:r>
      <w:r>
        <w:rPr>
          <w:rFonts w:hint="eastAsia"/>
          <w:rtl/>
        </w:rPr>
        <w:t>»</w:t>
      </w:r>
      <w:r>
        <w:rPr>
          <w:rFonts w:hint="cs"/>
          <w:rtl/>
        </w:rPr>
        <w:t>، والشأن في المملوك أن لا يملك مملوكًا مثله. إنما المقصود من العبارة -والله أعلم- : جنس عباد الله المؤمنين الذين تمنعهم عبوديتهم لله وتديّنهم له من تجرّئهم على بيع ما يملكونه من العبيد مخفين عيوبهم على المشترين.</w:t>
      </w:r>
    </w:p>
  </w:footnote>
  <w:footnote w:id="17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لا </w:t>
      </w:r>
      <w:r>
        <w:rPr>
          <w:rFonts w:hint="eastAsia"/>
          <w:rtl/>
        </w:rPr>
        <w:t>»</w:t>
      </w:r>
      <w:r>
        <w:rPr>
          <w:rFonts w:hint="cs"/>
          <w:rtl/>
        </w:rPr>
        <w:t xml:space="preserve"> : ساقطة من (جـ).</w:t>
      </w:r>
    </w:p>
  </w:footnote>
  <w:footnote w:id="17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احتراز</w:t>
      </w:r>
      <w:r>
        <w:rPr>
          <w:rFonts w:hint="eastAsia"/>
          <w:rtl/>
        </w:rPr>
        <w:t>»</w:t>
      </w:r>
      <w:r>
        <w:rPr>
          <w:rFonts w:hint="cs"/>
          <w:rtl/>
        </w:rPr>
        <w:t>.</w:t>
      </w:r>
    </w:p>
  </w:footnote>
  <w:footnote w:id="17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التزام</w:t>
      </w:r>
      <w:r>
        <w:rPr>
          <w:rFonts w:hint="eastAsia"/>
          <w:rtl/>
        </w:rPr>
        <w:t>»</w:t>
      </w:r>
      <w:r>
        <w:rPr>
          <w:rFonts w:hint="cs"/>
          <w:rtl/>
        </w:rPr>
        <w:t>.</w:t>
      </w:r>
    </w:p>
  </w:footnote>
  <w:footnote w:id="17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30/ب من (أ).</w:t>
      </w:r>
    </w:p>
  </w:footnote>
  <w:footnote w:id="17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التقرير</w:t>
      </w:r>
      <w:r>
        <w:rPr>
          <w:rFonts w:hint="eastAsia"/>
          <w:rtl/>
        </w:rPr>
        <w:t>»</w:t>
      </w:r>
      <w:r>
        <w:rPr>
          <w:rFonts w:hint="cs"/>
          <w:rtl/>
        </w:rPr>
        <w:t>.</w:t>
      </w:r>
    </w:p>
  </w:footnote>
  <w:footnote w:id="17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 </w:t>
      </w:r>
      <w:r>
        <w:rPr>
          <w:rFonts w:hint="eastAsia"/>
          <w:rtl/>
        </w:rPr>
        <w:t>«</w:t>
      </w:r>
      <w:r>
        <w:rPr>
          <w:rFonts w:hint="cs"/>
          <w:rtl/>
        </w:rPr>
        <w:t xml:space="preserve"> نية </w:t>
      </w:r>
      <w:r>
        <w:rPr>
          <w:rFonts w:hint="eastAsia"/>
          <w:rtl/>
        </w:rPr>
        <w:t>»</w:t>
      </w:r>
      <w:r>
        <w:rPr>
          <w:rFonts w:hint="cs"/>
          <w:rtl/>
        </w:rPr>
        <w:t>. والمناسب هو ما تمَّ إثباته من (جـ) و(د) و(هـ) و(و).</w:t>
      </w:r>
    </w:p>
  </w:footnote>
  <w:footnote w:id="17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لو قيل : (يتعامل)، أو أُسقطت الكلمة التي تليها وهي (مع) لكان أولى؛ حتى لا يكون الأسلوب ركيكًا. علمًا بأنّ </w:t>
      </w:r>
      <w:r>
        <w:rPr>
          <w:rFonts w:hint="eastAsia"/>
          <w:rtl/>
        </w:rPr>
        <w:t>«</w:t>
      </w:r>
      <w:r>
        <w:rPr>
          <w:rFonts w:hint="cs"/>
          <w:rtl/>
        </w:rPr>
        <w:t xml:space="preserve"> مع </w:t>
      </w:r>
      <w:r>
        <w:rPr>
          <w:rFonts w:hint="eastAsia"/>
          <w:rtl/>
        </w:rPr>
        <w:t>»</w:t>
      </w:r>
      <w:r>
        <w:rPr>
          <w:rFonts w:hint="cs"/>
          <w:rtl/>
        </w:rPr>
        <w:t xml:space="preserve"> جاءت في نسخة (ب) مقحمة فوق كلمة </w:t>
      </w:r>
      <w:r>
        <w:rPr>
          <w:rFonts w:hint="eastAsia"/>
          <w:rtl/>
        </w:rPr>
        <w:t>«</w:t>
      </w:r>
      <w:r>
        <w:rPr>
          <w:rFonts w:hint="cs"/>
          <w:rtl/>
        </w:rPr>
        <w:t>يعامل</w:t>
      </w:r>
      <w:r>
        <w:rPr>
          <w:rFonts w:hint="eastAsia"/>
          <w:rtl/>
        </w:rPr>
        <w:t>»</w:t>
      </w:r>
      <w:r>
        <w:rPr>
          <w:rFonts w:hint="cs"/>
          <w:rtl/>
        </w:rPr>
        <w:t>.</w:t>
      </w:r>
    </w:p>
  </w:footnote>
  <w:footnote w:id="17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ويحترز </w:t>
      </w:r>
      <w:r>
        <w:rPr>
          <w:rFonts w:hint="eastAsia"/>
          <w:rtl/>
        </w:rPr>
        <w:t>»</w:t>
      </w:r>
      <w:r>
        <w:rPr>
          <w:rFonts w:hint="cs"/>
          <w:rtl/>
        </w:rPr>
        <w:t>.</w:t>
      </w:r>
    </w:p>
  </w:footnote>
  <w:footnote w:id="17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الإبقاء </w:t>
      </w:r>
      <w:r>
        <w:rPr>
          <w:rFonts w:hint="eastAsia"/>
          <w:rtl/>
        </w:rPr>
        <w:t>»</w:t>
      </w:r>
      <w:r>
        <w:rPr>
          <w:rFonts w:hint="cs"/>
          <w:rtl/>
        </w:rPr>
        <w:t>.</w:t>
      </w:r>
    </w:p>
    <w:p w:rsidR="00035BE3" w:rsidRDefault="00035BE3" w:rsidP="00C10469">
      <w:pPr>
        <w:pStyle w:val="a6"/>
        <w:spacing w:line="228" w:lineRule="auto"/>
        <w:ind w:left="420" w:hanging="454"/>
        <w:rPr>
          <w:rtl/>
        </w:rPr>
      </w:pPr>
      <w:r>
        <w:rPr>
          <w:rFonts w:hint="cs"/>
          <w:rtl/>
        </w:rPr>
        <w:t>ولو قيل (أن يوقع) لكان أرفق.</w:t>
      </w:r>
    </w:p>
  </w:footnote>
  <w:footnote w:id="1770">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ينفعه </w:t>
      </w:r>
      <w:r>
        <w:rPr>
          <w:rFonts w:hint="eastAsia"/>
          <w:rtl/>
        </w:rPr>
        <w:t>»</w:t>
      </w:r>
      <w:r>
        <w:rPr>
          <w:rFonts w:hint="cs"/>
          <w:rtl/>
        </w:rPr>
        <w:t>.</w:t>
      </w:r>
    </w:p>
  </w:footnote>
  <w:footnote w:id="1771">
    <w:p w:rsidR="00035BE3" w:rsidRDefault="00035BE3" w:rsidP="00C10469">
      <w:pPr>
        <w:pStyle w:val="a8"/>
        <w:bidi/>
        <w:spacing w:line="228" w:lineRule="auto"/>
        <w:ind w:left="420"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 زيادة </w:t>
      </w:r>
      <w:r>
        <w:rPr>
          <w:rFonts w:hint="eastAsia"/>
          <w:spacing w:val="-6"/>
          <w:rtl/>
        </w:rPr>
        <w:t>«</w:t>
      </w:r>
      <w:r>
        <w:rPr>
          <w:rFonts w:hint="cs"/>
          <w:spacing w:val="-6"/>
          <w:rtl/>
        </w:rPr>
        <w:t>غير فائدة التخصيص</w:t>
      </w:r>
      <w:r>
        <w:rPr>
          <w:rFonts w:hint="eastAsia"/>
          <w:spacing w:val="-6"/>
          <w:rtl/>
        </w:rPr>
        <w:t>»</w:t>
      </w:r>
      <w:r>
        <w:rPr>
          <w:rFonts w:hint="cs"/>
          <w:spacing w:val="-6"/>
          <w:rtl/>
        </w:rPr>
        <w:t>. وهي زيادة لا يستقيم بها الأسلوب، وغير مثبتة في النسخ الأخر.</w:t>
      </w:r>
    </w:p>
  </w:footnote>
  <w:footnote w:id="1772">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أصله </w:t>
      </w:r>
      <w:r>
        <w:rPr>
          <w:rFonts w:hint="eastAsia"/>
          <w:rtl/>
        </w:rPr>
        <w:t>»</w:t>
      </w:r>
      <w:r>
        <w:rPr>
          <w:rFonts w:hint="cs"/>
          <w:rtl/>
        </w:rPr>
        <w:t>، (بزيادة هاء الضمير).</w:t>
      </w:r>
    </w:p>
    <w:p w:rsidR="00035BE3" w:rsidRDefault="00035BE3" w:rsidP="00C10469">
      <w:pPr>
        <w:pStyle w:val="a6"/>
        <w:spacing w:line="228" w:lineRule="auto"/>
        <w:ind w:left="420" w:firstLine="0"/>
        <w:rPr>
          <w:rtl/>
        </w:rPr>
      </w:pPr>
      <w:r>
        <w:rPr>
          <w:rFonts w:hint="cs"/>
          <w:rtl/>
        </w:rPr>
        <w:t>ويُلحظ أنّ إسقاط هاء الضمير يجعل المعنى ركيكًا، وتزول هذه الركاكة بإثباتها، ولكن يشكل على إثباتها عدم وجود معنى قريب يمكن إعادة الضمير إليه.</w:t>
      </w:r>
    </w:p>
    <w:p w:rsidR="00035BE3" w:rsidRDefault="00035BE3" w:rsidP="00C10469">
      <w:pPr>
        <w:pStyle w:val="a6"/>
        <w:ind w:left="422" w:firstLine="0"/>
        <w:rPr>
          <w:rtl/>
        </w:rPr>
      </w:pPr>
      <w:r>
        <w:rPr>
          <w:rFonts w:hint="cs"/>
          <w:rtl/>
        </w:rPr>
        <w:t xml:space="preserve">ويمكن أن يزول هذا الأشكال بزيادة (أل) التعريف بدل (الهاء) فيكون السياق : </w:t>
      </w:r>
      <w:r>
        <w:rPr>
          <w:rFonts w:hint="eastAsia"/>
          <w:rtl/>
        </w:rPr>
        <w:t>«</w:t>
      </w:r>
      <w:r>
        <w:rPr>
          <w:rFonts w:hint="cs"/>
          <w:rtl/>
        </w:rPr>
        <w:t>على مقتضي الأصل المتقدم</w:t>
      </w:r>
      <w:r>
        <w:rPr>
          <w:rFonts w:hint="eastAsia"/>
          <w:rtl/>
        </w:rPr>
        <w:t>»</w:t>
      </w:r>
      <w:r>
        <w:rPr>
          <w:rFonts w:hint="cs"/>
          <w:rtl/>
        </w:rPr>
        <w:t>، أي القاعدة السابقة.</w:t>
      </w:r>
    </w:p>
  </w:footnote>
  <w:footnote w:id="177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وذلك ص489 أ (ل30/أ)، قاعدة 71.</w:t>
      </w:r>
    </w:p>
  </w:footnote>
  <w:footnote w:id="1774">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زيادة : الواو (ويلزم). </w:t>
      </w:r>
    </w:p>
  </w:footnote>
  <w:footnote w:id="1775">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ميزان الأصول، 1/582؛ روضة الناظر، 2/782؛ مختصر ابن الحاجب وشرحه: بـيـان المختصر، 2/454؛ التحرير وشرحه : تيسير التحرير، 1/105.</w:t>
      </w:r>
    </w:p>
  </w:footnote>
  <w:footnote w:id="1776">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التحرير وشرحه : تيسير التحرير، 1/105.</w:t>
      </w:r>
    </w:p>
  </w:footnote>
  <w:footnote w:id="17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لو قال : </w:t>
      </w:r>
      <w:r>
        <w:rPr>
          <w:rFonts w:hint="eastAsia"/>
          <w:rtl/>
        </w:rPr>
        <w:t>«</w:t>
      </w:r>
      <w:r>
        <w:rPr>
          <w:rFonts w:hint="cs"/>
          <w:rtl/>
        </w:rPr>
        <w:t>وفوائد</w:t>
      </w:r>
      <w:r>
        <w:rPr>
          <w:rFonts w:hint="eastAsia"/>
          <w:rtl/>
        </w:rPr>
        <w:t>»</w:t>
      </w:r>
      <w:r>
        <w:rPr>
          <w:rFonts w:hint="cs"/>
          <w:rtl/>
        </w:rPr>
        <w:t xml:space="preserve"> لكان أولى؛ لأن هذه الكلمة معطوفة على (أحكامًا) وهي بصيغة الجمع؛ فناسب أن يكون ما عطف عليها بصيغة الجمع أيضًا.</w:t>
      </w:r>
    </w:p>
  </w:footnote>
  <w:footnote w:id="1778">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زيادة  </w:t>
      </w:r>
      <w:r>
        <w:rPr>
          <w:rFonts w:hint="eastAsia"/>
          <w:rtl/>
        </w:rPr>
        <w:t>«</w:t>
      </w:r>
      <w:r>
        <w:rPr>
          <w:rFonts w:hint="cs"/>
          <w:rtl/>
        </w:rPr>
        <w:t xml:space="preserve"> الكرام </w:t>
      </w:r>
      <w:r>
        <w:rPr>
          <w:rFonts w:hint="eastAsia"/>
          <w:rtl/>
        </w:rPr>
        <w:t>»</w:t>
      </w:r>
      <w:r>
        <w:rPr>
          <w:rFonts w:hint="cs"/>
          <w:rtl/>
        </w:rPr>
        <w:t>.</w:t>
      </w:r>
    </w:p>
  </w:footnote>
  <w:footnote w:id="1779">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ففيما صدر عنهم نكتةٌ ...</w:t>
      </w:r>
    </w:p>
  </w:footnote>
  <w:footnote w:id="1780">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الـنُّـكْـتَـةُ</w:t>
      </w:r>
      <w:r>
        <w:rPr>
          <w:rFonts w:hint="cs"/>
          <w:rtl/>
        </w:rPr>
        <w:t xml:space="preserve"> : هي في اللغة مشتقة من مادة </w:t>
      </w:r>
      <w:r>
        <w:rPr>
          <w:rFonts w:hint="eastAsia"/>
          <w:rtl/>
        </w:rPr>
        <w:t>«</w:t>
      </w:r>
      <w:r>
        <w:rPr>
          <w:rFonts w:hint="cs"/>
          <w:rtl/>
        </w:rPr>
        <w:t>نكت</w:t>
      </w:r>
      <w:r>
        <w:rPr>
          <w:rFonts w:hint="eastAsia"/>
          <w:rtl/>
        </w:rPr>
        <w:t>»</w:t>
      </w:r>
      <w:r>
        <w:rPr>
          <w:rFonts w:hint="cs"/>
          <w:rtl/>
        </w:rPr>
        <w:t xml:space="preserve">، والنون والكاف والتاء - كما يقول ابن فارس-: </w:t>
      </w:r>
      <w:r>
        <w:rPr>
          <w:rFonts w:hint="eastAsia"/>
          <w:rtl/>
        </w:rPr>
        <w:t>«</w:t>
      </w:r>
      <w:r>
        <w:rPr>
          <w:rFonts w:hint="cs"/>
          <w:rtl/>
        </w:rPr>
        <w:t>أصل واحد يدل على تأثير يسير في الشيء، كالنكتة ونحوها، ونَكَتَ في الأرض بقضيبه ينكت: إذا أثر فيها، وكل نقطة نكتة</w:t>
      </w:r>
      <w:r>
        <w:rPr>
          <w:rFonts w:hint="eastAsia"/>
          <w:rtl/>
        </w:rPr>
        <w:t>»</w:t>
      </w:r>
      <w:r>
        <w:rPr>
          <w:rFonts w:hint="cs"/>
          <w:rtl/>
        </w:rPr>
        <w:t>.</w:t>
      </w:r>
    </w:p>
    <w:p w:rsidR="00035BE3" w:rsidRDefault="00035BE3" w:rsidP="00C10469">
      <w:pPr>
        <w:pStyle w:val="a6"/>
        <w:spacing w:line="520" w:lineRule="exact"/>
        <w:ind w:left="422" w:hanging="454"/>
        <w:rPr>
          <w:rtl/>
        </w:rPr>
      </w:pPr>
      <w:r>
        <w:rPr>
          <w:rFonts w:hint="cs"/>
          <w:rtl/>
        </w:rPr>
        <w:t xml:space="preserve">أما في الاصطلاح فقد عرفها الجرجاني بقوله : </w:t>
      </w:r>
      <w:r>
        <w:rPr>
          <w:rFonts w:hint="eastAsia"/>
          <w:rtl/>
        </w:rPr>
        <w:t>«</w:t>
      </w:r>
      <w:r>
        <w:rPr>
          <w:rFonts w:hint="cs"/>
          <w:rtl/>
        </w:rPr>
        <w:t>هي مسألة لطيفة أُخرجت بدقّة نظر وإمعان</w:t>
      </w:r>
      <w:r>
        <w:rPr>
          <w:rFonts w:hint="eastAsia"/>
          <w:rtl/>
        </w:rPr>
        <w:t>»</w:t>
      </w:r>
      <w:r>
        <w:rPr>
          <w:rFonts w:hint="cs"/>
          <w:rtl/>
        </w:rPr>
        <w:t xml:space="preserve">، ثم ربط بينها وبين المعنى اللغوي فقال : </w:t>
      </w:r>
      <w:r>
        <w:rPr>
          <w:rFonts w:hint="eastAsia"/>
          <w:rtl/>
        </w:rPr>
        <w:t>«</w:t>
      </w:r>
      <w:r>
        <w:rPr>
          <w:rFonts w:hint="cs"/>
          <w:rtl/>
        </w:rPr>
        <w:t xml:space="preserve"> مِنْ : نكت رمحه بأرض، إذا أثر فيها. وسمِّيت المسألة الدقيقة: نكتة؛ لتأثير الخواطر في استنباطها</w:t>
      </w:r>
      <w:r>
        <w:rPr>
          <w:rFonts w:hint="eastAsia"/>
          <w:rtl/>
        </w:rPr>
        <w:t>»</w:t>
      </w:r>
      <w:r>
        <w:rPr>
          <w:rFonts w:hint="cs"/>
          <w:rtl/>
        </w:rPr>
        <w:t>.</w:t>
      </w:r>
    </w:p>
    <w:p w:rsidR="00035BE3" w:rsidRDefault="00035BE3" w:rsidP="00C10469">
      <w:pPr>
        <w:pStyle w:val="a6"/>
        <w:spacing w:line="520" w:lineRule="exact"/>
        <w:ind w:left="422" w:firstLine="0"/>
        <w:rPr>
          <w:rtl/>
        </w:rPr>
      </w:pPr>
      <w:r>
        <w:rPr>
          <w:rFonts w:hint="cs"/>
          <w:rtl/>
        </w:rPr>
        <w:t xml:space="preserve">المقاييس في اللغة، مادة </w:t>
      </w:r>
      <w:r>
        <w:rPr>
          <w:rFonts w:hint="eastAsia"/>
          <w:rtl/>
        </w:rPr>
        <w:t>«</w:t>
      </w:r>
      <w:r>
        <w:rPr>
          <w:rFonts w:hint="cs"/>
          <w:rtl/>
        </w:rPr>
        <w:t>نكت</w:t>
      </w:r>
      <w:r>
        <w:rPr>
          <w:rFonts w:hint="eastAsia"/>
          <w:rtl/>
        </w:rPr>
        <w:t>»</w:t>
      </w:r>
      <w:r>
        <w:rPr>
          <w:rFonts w:hint="cs"/>
          <w:rtl/>
        </w:rPr>
        <w:t xml:space="preserve">، ص1047؛ التعريفات للجرجاني، ص316، فقرة 1570؛ وانظر المعنى اللغوي في : لسان العرب، مادة </w:t>
      </w:r>
      <w:r>
        <w:rPr>
          <w:rFonts w:hint="eastAsia"/>
          <w:rtl/>
        </w:rPr>
        <w:t>«</w:t>
      </w:r>
      <w:r>
        <w:rPr>
          <w:rFonts w:hint="cs"/>
          <w:rtl/>
        </w:rPr>
        <w:t>نكت</w:t>
      </w:r>
      <w:r>
        <w:rPr>
          <w:rFonts w:hint="eastAsia"/>
          <w:rtl/>
        </w:rPr>
        <w:t>»</w:t>
      </w:r>
      <w:r>
        <w:rPr>
          <w:rFonts w:hint="cs"/>
          <w:rtl/>
        </w:rPr>
        <w:t>، 2/100.</w:t>
      </w:r>
    </w:p>
  </w:footnote>
  <w:footnote w:id="1781">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8/187.</w:t>
      </w:r>
    </w:p>
  </w:footnote>
  <w:footnote w:id="1782">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31/أ من (أ).</w:t>
      </w:r>
    </w:p>
  </w:footnote>
  <w:footnote w:id="1783">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ينفع </w:t>
      </w:r>
      <w:r>
        <w:rPr>
          <w:rFonts w:hint="eastAsia"/>
          <w:rtl/>
        </w:rPr>
        <w:t>»</w:t>
      </w:r>
      <w:r>
        <w:rPr>
          <w:rFonts w:hint="cs"/>
          <w:rtl/>
        </w:rPr>
        <w:t>.</w:t>
      </w:r>
    </w:p>
  </w:footnote>
  <w:footnote w:id="1784">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ص363 (ل15/أ)، قاعدة 34.</w:t>
      </w:r>
    </w:p>
  </w:footnote>
  <w:footnote w:id="1785">
    <w:p w:rsidR="00035BE3" w:rsidRDefault="00035BE3" w:rsidP="00C10469">
      <w:pPr>
        <w:pStyle w:val="a8"/>
        <w:bidi/>
        <w:spacing w:line="216"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ومنها </w:t>
      </w:r>
      <w:r>
        <w:rPr>
          <w:rFonts w:hint="eastAsia"/>
          <w:rtl/>
        </w:rPr>
        <w:t>»</w:t>
      </w:r>
      <w:r>
        <w:rPr>
          <w:rFonts w:hint="cs"/>
          <w:rtl/>
        </w:rPr>
        <w:t xml:space="preserve"> : ساقطة من (جـ).</w:t>
      </w:r>
    </w:p>
  </w:footnote>
  <w:footnote w:id="1786">
    <w:p w:rsidR="00035BE3" w:rsidRDefault="00035BE3" w:rsidP="00C10469">
      <w:pPr>
        <w:pStyle w:val="a8"/>
        <w:bidi/>
        <w:spacing w:line="216"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مـرّ </w:t>
      </w:r>
      <w:r>
        <w:rPr>
          <w:rFonts w:hint="eastAsia"/>
          <w:rtl/>
        </w:rPr>
        <w:t>»</w:t>
      </w:r>
      <w:r>
        <w:rPr>
          <w:rFonts w:hint="cs"/>
          <w:rtl/>
        </w:rPr>
        <w:t>.</w:t>
      </w:r>
    </w:p>
  </w:footnote>
  <w:footnote w:id="1787">
    <w:p w:rsidR="00035BE3" w:rsidRDefault="00035BE3" w:rsidP="00C10469">
      <w:pPr>
        <w:pStyle w:val="a8"/>
        <w:bidi/>
        <w:spacing w:line="216"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عذر </w:t>
      </w:r>
      <w:r>
        <w:rPr>
          <w:rFonts w:hint="eastAsia"/>
          <w:rtl/>
        </w:rPr>
        <w:t>»</w:t>
      </w:r>
      <w:r>
        <w:rPr>
          <w:rFonts w:hint="cs"/>
          <w:rtl/>
        </w:rPr>
        <w:t>.</w:t>
      </w:r>
    </w:p>
  </w:footnote>
  <w:footnote w:id="1788">
    <w:p w:rsidR="00035BE3" w:rsidRDefault="00035BE3" w:rsidP="00C10469">
      <w:pPr>
        <w:pStyle w:val="a8"/>
        <w:bidi/>
        <w:spacing w:line="216"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غرر الحكام</w:t>
      </w:r>
      <w:r>
        <w:rPr>
          <w:rFonts w:hint="cs"/>
          <w:rtl/>
        </w:rPr>
        <w:t>: صّرح المـؤلف باسم هذا الكتـاب في هـذا الموضع وفي موضع آخر (وذلك ص507 (ل33/أ))، وقد اتفقت جميع النسخ على تسميته هنا بِـ (غرر الحكام) وهناك بِـ (غرر الأحكام)، والصحيح : التسمية الثانية؛ وفاقًا لما صرّح به الملا خسرو في مقدمة الغرر والدّرر، 1/3 ، 5، ولما هو مثبت على عنوان الكتاب، وأيضًا لما هو وارد في الكتب الأتي ذكرها في نهاية هذا الهامش.</w:t>
      </w:r>
    </w:p>
    <w:p w:rsidR="00035BE3" w:rsidRDefault="00035BE3" w:rsidP="00C10469">
      <w:pPr>
        <w:pStyle w:val="a6"/>
        <w:spacing w:line="216" w:lineRule="auto"/>
        <w:ind w:left="422" w:firstLine="0"/>
        <w:rPr>
          <w:rtl/>
        </w:rPr>
      </w:pPr>
      <w:r>
        <w:rPr>
          <w:rFonts w:hint="cs"/>
          <w:rtl/>
        </w:rPr>
        <w:t>وكتاب (غرر الأحكام) : متن مشهور في فروع الحنفية، ألفه محمد بن فراموز بن علي، الشهير بملا - أو منلا أو الـمولى - خسرو (ت 885هـ).</w:t>
      </w:r>
    </w:p>
    <w:p w:rsidR="00035BE3" w:rsidRDefault="00035BE3" w:rsidP="00C10469">
      <w:pPr>
        <w:pStyle w:val="a6"/>
        <w:spacing w:line="216" w:lineRule="auto"/>
        <w:ind w:left="422" w:firstLine="0"/>
        <w:rPr>
          <w:rtl/>
        </w:rPr>
      </w:pPr>
      <w:r>
        <w:rPr>
          <w:rFonts w:hint="cs"/>
          <w:rtl/>
        </w:rPr>
        <w:t>وقد شرحه المؤلف نفسُهُ في كتاب سماه : (دّرر الحكام في شرح غرر الأحكام).</w:t>
      </w:r>
    </w:p>
    <w:p w:rsidR="00035BE3" w:rsidRPr="00A63B75" w:rsidRDefault="00035BE3" w:rsidP="00C10469">
      <w:pPr>
        <w:pStyle w:val="a6"/>
        <w:spacing w:line="216" w:lineRule="auto"/>
        <w:ind w:left="422" w:firstLine="0"/>
        <w:rPr>
          <w:spacing w:val="-6"/>
          <w:rtl/>
        </w:rPr>
      </w:pPr>
      <w:r w:rsidRPr="00A63B75">
        <w:rPr>
          <w:rFonts w:hint="cs"/>
          <w:spacing w:val="-6"/>
          <w:rtl/>
        </w:rPr>
        <w:t>وذكر في المقدمة أنه عندما بدأ بتأليف هذا المتن حرِصَ -بقدر الإمكان- على أن تتحقق فيه عدّة صفات:</w:t>
      </w:r>
    </w:p>
    <w:p w:rsidR="00035BE3" w:rsidRPr="00A63B75" w:rsidRDefault="00035BE3" w:rsidP="00C10469">
      <w:pPr>
        <w:pStyle w:val="a6"/>
        <w:spacing w:line="216" w:lineRule="auto"/>
        <w:ind w:left="422" w:firstLine="0"/>
        <w:rPr>
          <w:rtl/>
        </w:rPr>
      </w:pPr>
      <w:r w:rsidRPr="00A63B75">
        <w:rPr>
          <w:rFonts w:hint="cs"/>
          <w:rtl/>
        </w:rPr>
        <w:t>منها : أن يكون سالمًا من الروايات الضعيفة، مُـزَيَّـنًا بالقيود- المذكورة في الشروح والفتاوى- لإطلاقات المتون، والإشارات إلى ما وقع في المتون من المساهلات، ومحتويًا على مسائل مهماتٍ، خلت عنها المتون المشهورة.</w:t>
      </w:r>
    </w:p>
    <w:p w:rsidR="00035BE3" w:rsidRDefault="00035BE3" w:rsidP="00C10469">
      <w:pPr>
        <w:pStyle w:val="a6"/>
        <w:spacing w:line="216" w:lineRule="auto"/>
        <w:ind w:left="422" w:firstLine="0"/>
        <w:rPr>
          <w:spacing w:val="-6"/>
          <w:rtl/>
        </w:rPr>
      </w:pPr>
      <w:r>
        <w:rPr>
          <w:rFonts w:hint="cs"/>
          <w:spacing w:val="-6"/>
          <w:rtl/>
        </w:rPr>
        <w:t xml:space="preserve">وهذا المتن وصفه صاحب (كشف الظنون) بأنه : </w:t>
      </w:r>
      <w:r>
        <w:rPr>
          <w:rFonts w:hint="eastAsia"/>
          <w:spacing w:val="-6"/>
          <w:rtl/>
        </w:rPr>
        <w:t>«</w:t>
      </w:r>
      <w:r>
        <w:rPr>
          <w:rFonts w:hint="cs"/>
          <w:spacing w:val="-6"/>
          <w:rtl/>
        </w:rPr>
        <w:t>متن متين</w:t>
      </w:r>
      <w:r>
        <w:rPr>
          <w:rFonts w:hint="eastAsia"/>
          <w:spacing w:val="-6"/>
          <w:rtl/>
        </w:rPr>
        <w:t>»</w:t>
      </w:r>
      <w:r>
        <w:rPr>
          <w:rFonts w:hint="cs"/>
          <w:spacing w:val="-6"/>
          <w:rtl/>
        </w:rPr>
        <w:t>، وجعله ابن عابدين من المتون المشهورة.</w:t>
      </w:r>
    </w:p>
    <w:p w:rsidR="00035BE3" w:rsidRDefault="00035BE3" w:rsidP="00C10469">
      <w:pPr>
        <w:pStyle w:val="a6"/>
        <w:spacing w:line="216" w:lineRule="auto"/>
        <w:ind w:left="420" w:firstLine="0"/>
        <w:rPr>
          <w:rtl/>
        </w:rPr>
      </w:pPr>
      <w:r>
        <w:rPr>
          <w:rFonts w:hint="cs"/>
          <w:rtl/>
        </w:rPr>
        <w:t xml:space="preserve">كما عدّد صاحب (الفوائد البهية) بعضَ كتب الملاخسرو، - منها هذا المتن وشرحه - ثم قال: </w:t>
      </w:r>
      <w:r>
        <w:rPr>
          <w:rFonts w:hint="eastAsia"/>
          <w:rtl/>
        </w:rPr>
        <w:t>«</w:t>
      </w:r>
      <w:r>
        <w:rPr>
          <w:rFonts w:hint="cs"/>
          <w:rtl/>
        </w:rPr>
        <w:t>وكلها مشتملة على دقائق علمية، ومسائل فقهية</w:t>
      </w:r>
      <w:r>
        <w:rPr>
          <w:rFonts w:hint="eastAsia"/>
          <w:rtl/>
        </w:rPr>
        <w:t>»</w:t>
      </w:r>
      <w:r>
        <w:rPr>
          <w:rFonts w:hint="cs"/>
          <w:rtl/>
        </w:rPr>
        <w:t>.</w:t>
      </w:r>
    </w:p>
    <w:p w:rsidR="00035BE3" w:rsidRDefault="00035BE3" w:rsidP="00C10469">
      <w:pPr>
        <w:pStyle w:val="a6"/>
        <w:spacing w:line="216" w:lineRule="auto"/>
        <w:ind w:left="420" w:firstLine="0"/>
        <w:rPr>
          <w:spacing w:val="-12"/>
          <w:rtl/>
        </w:rPr>
      </w:pPr>
      <w:r>
        <w:rPr>
          <w:rFonts w:hint="cs"/>
          <w:spacing w:val="-12"/>
          <w:rtl/>
        </w:rPr>
        <w:t>وقد طبع الكتاب ممزوجًا بشرحه عدة طبعات - سبق بيان بعضها عند التعريف بالشرح، ص378.</w:t>
      </w:r>
    </w:p>
    <w:p w:rsidR="00035BE3" w:rsidRDefault="00035BE3" w:rsidP="00C10469">
      <w:pPr>
        <w:pStyle w:val="a6"/>
        <w:spacing w:line="216" w:lineRule="auto"/>
        <w:ind w:left="420" w:firstLine="0"/>
        <w:rPr>
          <w:rtl/>
        </w:rPr>
      </w:pPr>
      <w:r>
        <w:rPr>
          <w:rFonts w:hint="cs"/>
          <w:rtl/>
        </w:rPr>
        <w:t>كشف الظنون، 2/1199؛ الفوائد البهية، ص184؛ وانظر : غرر الأحكام وشرحه : درر الحكام، 1/3 ، 5؛ مفتاح السعادة، 2/172؛ ردّ المحتار، 11/599؛ الفتح المبين، 3/51-52؛ الفكر السامي، 3/215، رقم 527؛ مرجع العلوم الإسلامية، ص491-492.</w:t>
      </w:r>
    </w:p>
  </w:footnote>
  <w:footnote w:id="1789">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الركعتين : الثالثة والرابعة من الصلاة.</w:t>
      </w:r>
    </w:p>
  </w:footnote>
  <w:footnote w:id="1790">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صلاتهم</w:t>
      </w:r>
      <w:r>
        <w:rPr>
          <w:rFonts w:hint="eastAsia"/>
          <w:rtl/>
        </w:rPr>
        <w:t>»</w:t>
      </w:r>
      <w:r>
        <w:rPr>
          <w:rFonts w:hint="cs"/>
          <w:rtl/>
        </w:rPr>
        <w:t>؛ وفاقًا للغرر.</w:t>
      </w:r>
    </w:p>
  </w:footnote>
  <w:footnote w:id="1791">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غرر الأحكام، 1/89 (مع شرحه : الدّرر)؛ وانظر: الهداية وشرحيها : العناية وفتح القدير، 1/376، وقد بيّن صاحب العناية مخالفة زفر وأبي يوسف فقال : </w:t>
      </w:r>
      <w:r>
        <w:rPr>
          <w:rFonts w:hint="eastAsia"/>
          <w:rtl/>
        </w:rPr>
        <w:t>«</w:t>
      </w:r>
      <w:r>
        <w:rPr>
          <w:rFonts w:hint="cs"/>
          <w:rtl/>
        </w:rPr>
        <w:t xml:space="preserve">وقـال زفر - وهو رواية عن أبي يوسف في </w:t>
      </w:r>
      <w:r w:rsidRPr="00A63B75">
        <w:rPr>
          <w:rFonts w:hint="cs"/>
          <w:spacing w:val="-4"/>
          <w:rtl/>
        </w:rPr>
        <w:t>غير الأصول-: لا تفسد صلاتهم؛ لأن فرض القراءة قد تأدى، فكان استخلاف القارئ والأمي سواء</w:t>
      </w:r>
      <w:r w:rsidRPr="00A63B75">
        <w:rPr>
          <w:rFonts w:hint="eastAsia"/>
          <w:spacing w:val="-4"/>
          <w:rtl/>
        </w:rPr>
        <w:t>»</w:t>
      </w:r>
      <w:r w:rsidRPr="00A63B75">
        <w:rPr>
          <w:rFonts w:hint="cs"/>
          <w:spacing w:val="-4"/>
          <w:rtl/>
        </w:rPr>
        <w:t>.</w:t>
      </w:r>
    </w:p>
    <w:p w:rsidR="00035BE3" w:rsidRDefault="00035BE3" w:rsidP="00C10469">
      <w:pPr>
        <w:pStyle w:val="a6"/>
        <w:spacing w:line="216" w:lineRule="auto"/>
        <w:ind w:left="422" w:hanging="2"/>
        <w:rPr>
          <w:rtl/>
        </w:rPr>
      </w:pPr>
      <w:r>
        <w:rPr>
          <w:rFonts w:hint="cs"/>
          <w:rtl/>
        </w:rPr>
        <w:t>ثم بين دليل فساد صلاتهم. وهذه المسألة سبق وأن ذكرها المؤلف، ص359.</w:t>
      </w:r>
    </w:p>
  </w:footnote>
  <w:footnote w:id="1792">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20/أ من (د).</w:t>
      </w:r>
    </w:p>
  </w:footnote>
  <w:footnote w:id="179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الأخرين </w:t>
      </w:r>
      <w:r>
        <w:rPr>
          <w:rFonts w:hint="eastAsia"/>
          <w:rtl/>
        </w:rPr>
        <w:t>»</w:t>
      </w:r>
      <w:r>
        <w:rPr>
          <w:rFonts w:hint="cs"/>
          <w:rtl/>
        </w:rPr>
        <w:t>.</w:t>
      </w:r>
    </w:p>
  </w:footnote>
  <w:footnote w:id="179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1/89 - إلا أنه قال في بداية الجواب : </w:t>
      </w:r>
      <w:r>
        <w:rPr>
          <w:rFonts w:hint="eastAsia"/>
          <w:rtl/>
        </w:rPr>
        <w:t>«</w:t>
      </w:r>
      <w:r>
        <w:rPr>
          <w:rFonts w:hint="cs"/>
          <w:rtl/>
        </w:rPr>
        <w:t>وخُصَّ الأخريين ...</w:t>
      </w:r>
      <w:r>
        <w:rPr>
          <w:rFonts w:hint="eastAsia"/>
          <w:rtl/>
        </w:rPr>
        <w:t>»</w:t>
      </w:r>
      <w:r>
        <w:rPr>
          <w:rFonts w:hint="cs"/>
          <w:rtl/>
        </w:rPr>
        <w:t>.</w:t>
      </w:r>
    </w:p>
  </w:footnote>
  <w:footnote w:id="179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ومنهما </w:t>
      </w:r>
      <w:r>
        <w:rPr>
          <w:rFonts w:hint="eastAsia"/>
          <w:rtl/>
        </w:rPr>
        <w:t>»</w:t>
      </w:r>
      <w:r>
        <w:rPr>
          <w:rFonts w:hint="cs"/>
          <w:rtl/>
        </w:rPr>
        <w:t>.</w:t>
      </w:r>
    </w:p>
  </w:footnote>
  <w:footnote w:id="179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6/305، 306. ونصّ الهداية : </w:t>
      </w:r>
      <w:r>
        <w:rPr>
          <w:rFonts w:hint="eastAsia"/>
          <w:rtl/>
        </w:rPr>
        <w:t>«</w:t>
      </w:r>
      <w:r>
        <w:rPr>
          <w:rFonts w:hint="cs"/>
          <w:rtl/>
        </w:rPr>
        <w:t xml:space="preserve">وخيار البائع يمنع خروج المبيع عن ملكه ... ولو هلك في يد البائع : انفسخ البيع ولا شيء على المشتري؛ اعتبارًا بالبيع الصحيح المطلق </w:t>
      </w:r>
      <w:r>
        <w:rPr>
          <w:rFonts w:hint="eastAsia"/>
          <w:rtl/>
        </w:rPr>
        <w:t>»</w:t>
      </w:r>
      <w:r>
        <w:rPr>
          <w:rFonts w:hint="cs"/>
          <w:rtl/>
        </w:rPr>
        <w:t>.</w:t>
      </w:r>
    </w:p>
  </w:footnote>
  <w:footnote w:id="179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شراحه </w:t>
      </w:r>
      <w:r>
        <w:rPr>
          <w:rFonts w:hint="eastAsia"/>
          <w:rtl/>
        </w:rPr>
        <w:t>»</w:t>
      </w:r>
      <w:r>
        <w:rPr>
          <w:rFonts w:hint="cs"/>
          <w:rtl/>
        </w:rPr>
        <w:t>.</w:t>
      </w:r>
    </w:p>
  </w:footnote>
  <w:footnote w:id="179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كصاحب </w:t>
      </w:r>
      <w:r>
        <w:rPr>
          <w:rFonts w:hint="eastAsia"/>
          <w:rtl/>
        </w:rPr>
        <w:t>»</w:t>
      </w:r>
      <w:r>
        <w:rPr>
          <w:rFonts w:hint="cs"/>
          <w:rtl/>
        </w:rPr>
        <w:t>.</w:t>
      </w:r>
    </w:p>
  </w:footnote>
  <w:footnote w:id="179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الفلاح </w:t>
      </w:r>
      <w:r>
        <w:rPr>
          <w:rFonts w:hint="eastAsia"/>
          <w:rtl/>
        </w:rPr>
        <w:t>»</w:t>
      </w:r>
      <w:r>
        <w:rPr>
          <w:rFonts w:hint="cs"/>
          <w:rtl/>
        </w:rPr>
        <w:t>.</w:t>
      </w:r>
    </w:p>
  </w:footnote>
  <w:footnote w:id="180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 6/307.</w:t>
      </w:r>
    </w:p>
  </w:footnote>
  <w:footnote w:id="18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يبيع </w:t>
      </w:r>
      <w:r>
        <w:rPr>
          <w:rFonts w:hint="eastAsia"/>
          <w:rtl/>
        </w:rPr>
        <w:t>»</w:t>
      </w:r>
      <w:r>
        <w:rPr>
          <w:rFonts w:hint="cs"/>
          <w:rtl/>
        </w:rPr>
        <w:t>.</w:t>
      </w:r>
    </w:p>
  </w:footnote>
  <w:footnote w:id="1802">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هكذا في جميع النسخ. وإيراد هذه الكلمة يجعل الأسلوب ركيكًا؛ لأن المعنى يستقيم بدونها، لا بها. فلعلّ المؤلف -رحمه الله- أوردها عرضًا في مقام التذكير بمعنى سبقت الإشارة إليه، فكأن مراده : وممّا ورد (العبارة) ... (أي ممّا ورد من قبيل العبارة التي على خلاف الظاهر، والتي سبق أن عُنون لها ، ص 500).</w:t>
      </w:r>
    </w:p>
    <w:p w:rsidR="00035BE3" w:rsidRDefault="00035BE3" w:rsidP="00C10469">
      <w:pPr>
        <w:pStyle w:val="a6"/>
        <w:ind w:left="422" w:firstLine="0"/>
        <w:rPr>
          <w:rtl/>
        </w:rPr>
      </w:pPr>
      <w:r>
        <w:rPr>
          <w:rFonts w:hint="cs"/>
          <w:rtl/>
        </w:rPr>
        <w:t>وقد يُقدَّرُ لفظ آخر وهو : وممّا وردت العبارة فيه على خلاف الظاهر ...</w:t>
      </w:r>
    </w:p>
  </w:footnote>
  <w:footnote w:id="18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24/أ من (جـ).</w:t>
      </w:r>
    </w:p>
  </w:footnote>
  <w:footnote w:id="18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ما ذكره </w:t>
      </w:r>
      <w:r>
        <w:rPr>
          <w:rFonts w:hint="eastAsia"/>
          <w:rtl/>
        </w:rPr>
        <w:t>»</w:t>
      </w:r>
      <w:r>
        <w:rPr>
          <w:rFonts w:hint="cs"/>
          <w:rtl/>
        </w:rPr>
        <w:t>.</w:t>
      </w:r>
    </w:p>
  </w:footnote>
  <w:footnote w:id="18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الوقاية</w:t>
      </w:r>
      <w:r>
        <w:rPr>
          <w:rFonts w:hint="cs"/>
          <w:rtl/>
        </w:rPr>
        <w:t xml:space="preserve"> : كتاب في الفقه الحنفي، وتمام اسمه : (وقاية الرواية في مسائل الهداية)، ومن عنوانه يتّضح أنه مختصر من (الهداية) للمرغيناني (ت 593هـ).</w:t>
      </w:r>
    </w:p>
    <w:p w:rsidR="00035BE3" w:rsidRDefault="00035BE3" w:rsidP="00C10469">
      <w:pPr>
        <w:pStyle w:val="a6"/>
        <w:ind w:left="422" w:firstLine="0"/>
        <w:rPr>
          <w:rtl/>
        </w:rPr>
      </w:pPr>
      <w:r>
        <w:rPr>
          <w:rFonts w:hint="cs"/>
          <w:rtl/>
        </w:rPr>
        <w:t xml:space="preserve">والوقاية أحد المتون الثلاثة التي اعتمد عليها متأخّرو الحنفية </w:t>
      </w:r>
      <w:r>
        <w:rPr>
          <w:rtl/>
        </w:rPr>
        <w:t>–</w:t>
      </w:r>
      <w:r>
        <w:rPr>
          <w:rFonts w:hint="cs"/>
          <w:rtl/>
        </w:rPr>
        <w:t>وثانيها مختصر القدوري (الكتاب)، وثالثها : كنز الدقائق، وقد أفاد ذلك صاحب النافع الكبير، ص23-.</w:t>
      </w:r>
    </w:p>
    <w:p w:rsidR="00035BE3" w:rsidRDefault="00035BE3" w:rsidP="00C10469">
      <w:pPr>
        <w:pStyle w:val="a6"/>
        <w:ind w:left="422" w:firstLine="0"/>
        <w:rPr>
          <w:rtl/>
        </w:rPr>
      </w:pPr>
      <w:r>
        <w:rPr>
          <w:rFonts w:hint="cs"/>
          <w:rtl/>
        </w:rPr>
        <w:t xml:space="preserve">ونظرًا لقيمته العلمية اعتنوا به عناية فائقة، قراءةً وتدريسًا وحفظًا وشرحًا، وقد ذكر صاحب (كشف الظنون) </w:t>
      </w:r>
      <w:r>
        <w:rPr>
          <w:rtl/>
        </w:rPr>
        <w:t>–</w:t>
      </w:r>
      <w:r>
        <w:rPr>
          <w:rFonts w:hint="cs"/>
          <w:rtl/>
        </w:rPr>
        <w:t xml:space="preserve">2/2020- من شروحه قرابة ثمانية عشر شرحًا، منها شرح صدر الشريعة الأصغر عبيدالله ابن مسعود المحبوبي (ت747هـ). وقد عدّ صاحبُ (الفوائد البهية) -ص109- هذا الشرح بأنه </w:t>
      </w:r>
      <w:r>
        <w:rPr>
          <w:rFonts w:hint="eastAsia"/>
          <w:rtl/>
        </w:rPr>
        <w:t>«</w:t>
      </w:r>
      <w:r>
        <w:rPr>
          <w:rFonts w:hint="cs"/>
          <w:rtl/>
        </w:rPr>
        <w:t>أحسن شروحه</w:t>
      </w:r>
      <w:r>
        <w:rPr>
          <w:rFonts w:hint="eastAsia"/>
          <w:rtl/>
        </w:rPr>
        <w:t>»</w:t>
      </w:r>
      <w:r>
        <w:rPr>
          <w:rFonts w:hint="cs"/>
          <w:rtl/>
        </w:rPr>
        <w:t>، وكذا فعل صاحب (كشف الظنون) -2/2021- وممّا يدل على أهمية هذا الشرح كثرة الكتب المؤلفة حوله، فقد ذكر منها صاحب كشف الظنون قرابة تسعة وعشرين كتابًا.</w:t>
      </w:r>
    </w:p>
    <w:p w:rsidR="00035BE3" w:rsidRDefault="00035BE3" w:rsidP="00C10469">
      <w:pPr>
        <w:pStyle w:val="a6"/>
        <w:ind w:left="422" w:firstLine="0"/>
        <w:rPr>
          <w:rtl/>
        </w:rPr>
      </w:pPr>
      <w:r>
        <w:rPr>
          <w:rFonts w:hint="cs"/>
          <w:b/>
          <w:bCs/>
          <w:rtl/>
        </w:rPr>
        <w:t>أما مصنّف الوقاية</w:t>
      </w:r>
      <w:r>
        <w:rPr>
          <w:rFonts w:hint="cs"/>
          <w:rtl/>
        </w:rPr>
        <w:t xml:space="preserve"> : فهو محل خلاف بين العلماء :</w:t>
      </w:r>
    </w:p>
    <w:p w:rsidR="00035BE3" w:rsidRDefault="00035BE3" w:rsidP="00C10469">
      <w:pPr>
        <w:pStyle w:val="a6"/>
        <w:ind w:left="564" w:hanging="142"/>
        <w:rPr>
          <w:rtl/>
        </w:rPr>
      </w:pPr>
      <w:r>
        <w:rPr>
          <w:rtl/>
        </w:rPr>
        <w:t>•</w:t>
      </w:r>
      <w:r>
        <w:rPr>
          <w:rFonts w:hint="cs"/>
          <w:rtl/>
        </w:rPr>
        <w:t xml:space="preserve"> فقد جاء في (تاج التراجم) -ص251- أنه محمود بن [أحمد بن] عبيد الله بن إبراهيم، تاج الشريعة المحبوبي </w:t>
      </w:r>
      <w:r>
        <w:rPr>
          <w:rtl/>
        </w:rPr>
        <w:t>–</w:t>
      </w:r>
      <w:r>
        <w:rPr>
          <w:rFonts w:hint="cs"/>
          <w:rtl/>
        </w:rPr>
        <w:t xml:space="preserve"> وما بين المعقوفتين زيادة من المحقق-.</w:t>
      </w:r>
    </w:p>
    <w:p w:rsidR="00035BE3" w:rsidRDefault="00035BE3" w:rsidP="00C10469">
      <w:pPr>
        <w:pStyle w:val="a6"/>
        <w:ind w:left="564" w:hanging="142"/>
        <w:rPr>
          <w:rtl/>
        </w:rPr>
      </w:pPr>
      <w:r>
        <w:rPr>
          <w:rtl/>
        </w:rPr>
        <w:t>•</w:t>
      </w:r>
      <w:r>
        <w:rPr>
          <w:rFonts w:hint="cs"/>
          <w:rtl/>
        </w:rPr>
        <w:t xml:space="preserve"> وجـاء فـي (مفتاح السعادة) </w:t>
      </w:r>
      <w:r>
        <w:rPr>
          <w:rtl/>
        </w:rPr>
        <w:t>–</w:t>
      </w:r>
      <w:r>
        <w:rPr>
          <w:rFonts w:hint="cs"/>
          <w:rtl/>
        </w:rPr>
        <w:t>2/240، 256- أنه : تاج الشريعة محمود بن عبيد الله بن محمود المحبوبي.</w:t>
      </w:r>
    </w:p>
    <w:p w:rsidR="00035BE3" w:rsidRDefault="00035BE3" w:rsidP="00C10469">
      <w:pPr>
        <w:pStyle w:val="a6"/>
        <w:ind w:left="564" w:hanging="142"/>
        <w:rPr>
          <w:rtl/>
        </w:rPr>
      </w:pPr>
      <w:r>
        <w:rPr>
          <w:rtl/>
        </w:rPr>
        <w:t>•</w:t>
      </w:r>
      <w:r>
        <w:rPr>
          <w:rFonts w:hint="cs"/>
          <w:rtl/>
        </w:rPr>
        <w:t xml:space="preserve"> وجاء في (الطبقات السنية) -4/429- أنه : عبيد الله بن مسعود بن عمر بن عبيد الله صدر الشريعة الأول بن محمود بن محمد المحبوبي.</w:t>
      </w:r>
    </w:p>
    <w:p w:rsidR="00035BE3" w:rsidRDefault="00035BE3" w:rsidP="00C10469">
      <w:pPr>
        <w:pStyle w:val="a6"/>
        <w:ind w:left="422" w:firstLine="0"/>
        <w:rPr>
          <w:rtl/>
        </w:rPr>
      </w:pPr>
      <w:r>
        <w:rPr>
          <w:rFonts w:hint="cs"/>
          <w:rtl/>
        </w:rPr>
        <w:t xml:space="preserve">وبعد أن ذكر هذا قال : </w:t>
      </w:r>
      <w:r>
        <w:rPr>
          <w:rFonts w:hint="eastAsia"/>
          <w:rtl/>
        </w:rPr>
        <w:t>«</w:t>
      </w:r>
      <w:r>
        <w:rPr>
          <w:rFonts w:hint="cs"/>
          <w:rtl/>
        </w:rPr>
        <w:t>ثم بعد كتابتي لهذه الترجمة وقفت على حاشية بهامش بعض نسخ (الجواهر) في الألقاب بخط الإمام العلامة محمد بن الشيخ محمد بن إلياس ... يذكر فيها أن (الوقاية) ليست لصاحب الترجمة، ولا لـتاج الشريعة؛ بل لبرهان الشريعة محمود، أخي تاج الشريعة، وجدّ صدر الشريعة لأمّه، وأبوهما - يعني أبا تاج الشريعة وبرهان الشريعة - صدر الشريعة الكبير عبيد الله بن محمود المحبوبي ...</w:t>
      </w:r>
      <w:r>
        <w:rPr>
          <w:rFonts w:hint="eastAsia"/>
          <w:rtl/>
        </w:rPr>
        <w:t>»</w:t>
      </w:r>
      <w:r>
        <w:rPr>
          <w:rFonts w:hint="cs"/>
          <w:rtl/>
        </w:rPr>
        <w:t>.</w:t>
      </w:r>
    </w:p>
    <w:p w:rsidR="00035BE3" w:rsidRDefault="00035BE3" w:rsidP="00C10469">
      <w:pPr>
        <w:pStyle w:val="a6"/>
        <w:ind w:left="-32" w:firstLine="454"/>
        <w:rPr>
          <w:spacing w:val="-6"/>
          <w:rtl/>
        </w:rPr>
      </w:pPr>
      <w:r>
        <w:rPr>
          <w:spacing w:val="-6"/>
          <w:rtl/>
        </w:rPr>
        <w:t>•</w:t>
      </w:r>
      <w:r>
        <w:rPr>
          <w:rFonts w:hint="cs"/>
          <w:spacing w:val="-6"/>
          <w:rtl/>
        </w:rPr>
        <w:t xml:space="preserve"> وجاء في حاشية على (الجواهر) -2/506- بخط مغاير أنه : عبيد الله بن مسعود بن تاج الشريعة.</w:t>
      </w:r>
    </w:p>
    <w:p w:rsidR="00035BE3" w:rsidRDefault="00035BE3" w:rsidP="00C10469">
      <w:pPr>
        <w:pStyle w:val="a6"/>
        <w:ind w:left="564" w:hanging="142"/>
        <w:rPr>
          <w:rtl/>
        </w:rPr>
      </w:pPr>
      <w:r>
        <w:rPr>
          <w:rFonts w:hint="cs"/>
          <w:rtl/>
        </w:rPr>
        <w:t>وهذا الرأي هو الذي أثبته صاحب (الطبقات السنية) ثم نقضه.</w:t>
      </w:r>
    </w:p>
    <w:p w:rsidR="00035BE3" w:rsidRDefault="00035BE3" w:rsidP="00C10469">
      <w:pPr>
        <w:pStyle w:val="a6"/>
        <w:ind w:left="706" w:hanging="284"/>
        <w:rPr>
          <w:rtl/>
        </w:rPr>
      </w:pPr>
      <w:r>
        <w:rPr>
          <w:rtl/>
        </w:rPr>
        <w:t>•</w:t>
      </w:r>
      <w:r>
        <w:rPr>
          <w:rFonts w:hint="cs"/>
          <w:rtl/>
        </w:rPr>
        <w:t xml:space="preserve"> وجاء في (كشف الظنون) -2/2020- أنه : برهان الشريعة محمود بن صدر الشريعة الأول عبيدالله المحبوبي.</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706" w:hanging="284"/>
        <w:rPr>
          <w:rtl/>
        </w:rPr>
      </w:pPr>
      <w:r>
        <w:rPr>
          <w:rtl/>
        </w:rPr>
        <w:t>•</w:t>
      </w:r>
      <w:r>
        <w:rPr>
          <w:rFonts w:hint="cs"/>
          <w:rtl/>
        </w:rPr>
        <w:t xml:space="preserve"> وجاء في بعض كتب اللكنوي أنه : تاج الشريعة محمود (جدّ صدر الشريعة الأصغر شارح الوقاية) بن صدر الشريعة الأكبر أحمد بن عبيد الله (توفي في حدود سنة 673هـ).</w:t>
      </w:r>
    </w:p>
    <w:p w:rsidR="00035BE3" w:rsidRDefault="00035BE3" w:rsidP="00C10469">
      <w:pPr>
        <w:pStyle w:val="a6"/>
        <w:spacing w:line="420" w:lineRule="exact"/>
        <w:ind w:left="422" w:firstLine="0"/>
        <w:rPr>
          <w:rtl/>
        </w:rPr>
      </w:pPr>
      <w:r>
        <w:rPr>
          <w:rFonts w:hint="cs"/>
          <w:rtl/>
        </w:rPr>
        <w:t>وقد نقل ذلك عن (أعلام الأخيار) و(مدينة العلوم). كما نَقَلَ عن غيرهما أنه برهان الشريعة محمود أخو تاج الشريعة.</w:t>
      </w:r>
    </w:p>
    <w:p w:rsidR="00035BE3" w:rsidRDefault="00035BE3" w:rsidP="00C10469">
      <w:pPr>
        <w:pStyle w:val="a6"/>
        <w:spacing w:line="420" w:lineRule="exact"/>
        <w:ind w:left="422" w:firstLine="0"/>
        <w:rPr>
          <w:rtl/>
        </w:rPr>
      </w:pPr>
      <w:r>
        <w:rPr>
          <w:rFonts w:hint="cs"/>
          <w:rtl/>
        </w:rPr>
        <w:t>ويمكن أن يستخلص من هذا العرض ما يلي :</w:t>
      </w:r>
    </w:p>
    <w:p w:rsidR="00035BE3" w:rsidRDefault="00035BE3" w:rsidP="00C10469">
      <w:pPr>
        <w:pStyle w:val="a6"/>
        <w:spacing w:line="420" w:lineRule="exact"/>
        <w:ind w:left="422" w:firstLine="0"/>
        <w:rPr>
          <w:rtl/>
        </w:rPr>
      </w:pPr>
      <w:r>
        <w:rPr>
          <w:rFonts w:hint="cs"/>
          <w:b/>
          <w:bCs/>
          <w:rtl/>
        </w:rPr>
        <w:t>1</w:t>
      </w:r>
      <w:r>
        <w:rPr>
          <w:rFonts w:hint="cs"/>
          <w:rtl/>
        </w:rPr>
        <w:t>- أنهم اتفقوا على كون المؤلف لا يخرج عن أسرة المحبوبي.</w:t>
      </w:r>
    </w:p>
    <w:p w:rsidR="00035BE3" w:rsidRDefault="00035BE3" w:rsidP="00C10469">
      <w:pPr>
        <w:pStyle w:val="a6"/>
        <w:spacing w:line="420" w:lineRule="exact"/>
        <w:ind w:left="422" w:firstLine="0"/>
        <w:rPr>
          <w:rtl/>
        </w:rPr>
      </w:pPr>
      <w:r>
        <w:rPr>
          <w:rFonts w:hint="cs"/>
          <w:b/>
          <w:bCs/>
          <w:rtl/>
        </w:rPr>
        <w:t>2</w:t>
      </w:r>
      <w:r>
        <w:rPr>
          <w:rFonts w:hint="cs"/>
          <w:rtl/>
        </w:rPr>
        <w:t>- واختلفوا في المؤلف الحقيقي للوقاية.</w:t>
      </w:r>
    </w:p>
    <w:p w:rsidR="00035BE3" w:rsidRDefault="00035BE3" w:rsidP="00C10469">
      <w:pPr>
        <w:pStyle w:val="a6"/>
        <w:spacing w:line="420" w:lineRule="exact"/>
        <w:ind w:left="422" w:firstLine="0"/>
        <w:rPr>
          <w:rtl/>
        </w:rPr>
      </w:pPr>
      <w:r>
        <w:rPr>
          <w:rFonts w:hint="cs"/>
          <w:b/>
          <w:bCs/>
          <w:rtl/>
        </w:rPr>
        <w:t>3</w:t>
      </w:r>
      <w:r>
        <w:rPr>
          <w:rFonts w:hint="cs"/>
          <w:rtl/>
        </w:rPr>
        <w:t>- واختلفوا أيضًا في نسب هذا المؤلف.</w:t>
      </w:r>
    </w:p>
    <w:p w:rsidR="00035BE3" w:rsidRDefault="00035BE3" w:rsidP="00C10469">
      <w:pPr>
        <w:pStyle w:val="a6"/>
        <w:spacing w:line="420" w:lineRule="exact"/>
        <w:ind w:left="422" w:firstLine="0"/>
        <w:rPr>
          <w:rtl/>
        </w:rPr>
      </w:pPr>
      <w:r>
        <w:rPr>
          <w:rFonts w:hint="cs"/>
          <w:b/>
          <w:bCs/>
          <w:rtl/>
        </w:rPr>
        <w:t>4</w:t>
      </w:r>
      <w:r>
        <w:rPr>
          <w:rFonts w:hint="cs"/>
          <w:rtl/>
        </w:rPr>
        <w:t>- وممّا يثير الغرابة أن الخلاف في المؤلف خلاف قوي يصعب معه ترجيح أحد الأقوال واطّراح الأقوال الأخر، وقد حصل هذا على الرغم من أن (الوقاية) من أشهر متون الفقه الحنفي !!.</w:t>
      </w:r>
    </w:p>
    <w:p w:rsidR="00035BE3" w:rsidRDefault="00035BE3" w:rsidP="00C10469">
      <w:pPr>
        <w:pStyle w:val="a6"/>
        <w:ind w:left="422" w:firstLine="0"/>
        <w:rPr>
          <w:rtl/>
        </w:rPr>
      </w:pPr>
      <w:r>
        <w:rPr>
          <w:rFonts w:hint="cs"/>
          <w:rtl/>
        </w:rPr>
        <w:t xml:space="preserve">وممّا يؤكد قوة الخلاف أن أكثر العلماء المذكورين صلة بالوقاية واهتمامًا بتحقيق اسم مؤلفه : اللكنوي، ومع ذلك لم يجزم بحقيقة المؤلف، ووصف </w:t>
      </w:r>
      <w:r>
        <w:rPr>
          <w:rFonts w:hint="eastAsia"/>
          <w:rtl/>
        </w:rPr>
        <w:t>«</w:t>
      </w:r>
      <w:r>
        <w:rPr>
          <w:rFonts w:hint="cs"/>
          <w:rtl/>
        </w:rPr>
        <w:t>هذا المقام بأنه من مزالّ الأقدام</w:t>
      </w:r>
      <w:r>
        <w:rPr>
          <w:rFonts w:hint="eastAsia"/>
          <w:rtl/>
        </w:rPr>
        <w:t>»</w:t>
      </w:r>
      <w:r>
        <w:rPr>
          <w:rFonts w:hint="cs"/>
          <w:rtl/>
        </w:rPr>
        <w:t>.</w:t>
      </w:r>
    </w:p>
    <w:p w:rsidR="00035BE3" w:rsidRDefault="00035BE3" w:rsidP="00C10469">
      <w:pPr>
        <w:pStyle w:val="a6"/>
        <w:spacing w:line="420" w:lineRule="exact"/>
        <w:ind w:left="422" w:firstLine="0"/>
        <w:rPr>
          <w:rtl/>
        </w:rPr>
      </w:pPr>
      <w:r>
        <w:rPr>
          <w:rFonts w:hint="cs"/>
          <w:rtl/>
        </w:rPr>
        <w:t>ويكمن اهتمام اللكنوي بذلك في أنّ له شرحًا على شرح الوقاية لصدر الشريعة الأصغر، كما أنه الوحيد من بين المذكورين - الذي بحث الموضوع أصالة لمعرفة اسم المؤلف وحقيقة نسبه؛ إذْ بحث ذلك في ثلاثة من كتبه هي : (السعاية في كشف ما في شرح الوقاية) -1/2-6، و(الفوائد البهية) -ص109-112-، و(النافع الكبير) -ص23 - 24-، وفي جميع هذه الكتب صدّر حديثه عن مؤلف (الوقاية) بأنه : تاج الشريعة محمود بن صدر الشريعة أحمد بن عبيد الله المحبوبي، وعزا هذه النسبة إلى (أعلام الأخيار) و(مدينة العلوم)، إلا أنه أعقبهما بنقول أُخر جعلته لا يجزم بحقيقة المؤلف :</w:t>
      </w:r>
    </w:p>
    <w:p w:rsidR="00035BE3" w:rsidRDefault="00035BE3" w:rsidP="00C10469">
      <w:pPr>
        <w:pStyle w:val="a6"/>
        <w:ind w:left="-32" w:firstLine="454"/>
        <w:rPr>
          <w:rtl/>
        </w:rPr>
      </w:pPr>
      <w:r>
        <w:rPr>
          <w:rtl/>
        </w:rPr>
        <w:t>•</w:t>
      </w:r>
      <w:r>
        <w:rPr>
          <w:rFonts w:hint="cs"/>
          <w:rtl/>
        </w:rPr>
        <w:t xml:space="preserve"> إذْ ختم حديثه عنه في مقدمة (النافع الكبير) بقوله : </w:t>
      </w:r>
      <w:r>
        <w:rPr>
          <w:rFonts w:hint="eastAsia"/>
          <w:rtl/>
        </w:rPr>
        <w:t>«</w:t>
      </w:r>
      <w:r>
        <w:rPr>
          <w:rFonts w:hint="cs"/>
          <w:rtl/>
        </w:rPr>
        <w:t>والله أعلم بحقيقة الحال</w:t>
      </w:r>
      <w:r>
        <w:rPr>
          <w:rFonts w:hint="eastAsia"/>
          <w:rtl/>
        </w:rPr>
        <w:t>»</w:t>
      </w:r>
      <w:r>
        <w:rPr>
          <w:rFonts w:hint="cs"/>
          <w:rtl/>
        </w:rPr>
        <w:t>.</w:t>
      </w:r>
    </w:p>
    <w:p w:rsidR="00035BE3" w:rsidRDefault="00035BE3" w:rsidP="00C10469">
      <w:pPr>
        <w:pStyle w:val="a6"/>
        <w:ind w:left="564" w:hanging="142"/>
        <w:rPr>
          <w:rtl/>
        </w:rPr>
      </w:pPr>
      <w:r>
        <w:rPr>
          <w:rtl/>
        </w:rPr>
        <w:t>•</w:t>
      </w:r>
      <w:r>
        <w:rPr>
          <w:rFonts w:hint="cs"/>
          <w:rtl/>
        </w:rPr>
        <w:t xml:space="preserve"> وختمه في (الفوائد البهية) بقوله : </w:t>
      </w:r>
      <w:r>
        <w:rPr>
          <w:rFonts w:hint="eastAsia"/>
          <w:rtl/>
        </w:rPr>
        <w:t>«</w:t>
      </w:r>
      <w:r>
        <w:rPr>
          <w:rFonts w:hint="cs"/>
          <w:rtl/>
        </w:rPr>
        <w:t>وبالجملة : فهذا المقام ممّا زلّت فيه أقدام الأعلام، واختلفت فيه أقلام الكرام، ولعلّ القدر الذي فصّلته ممّا لم يطلع عليه أكثر العظام</w:t>
      </w:r>
      <w:r>
        <w:rPr>
          <w:rFonts w:hint="eastAsia"/>
          <w:rtl/>
        </w:rPr>
        <w:t>»</w:t>
      </w:r>
      <w:r>
        <w:rPr>
          <w:rFonts w:hint="cs"/>
          <w:rtl/>
        </w:rPr>
        <w:t>.</w:t>
      </w:r>
    </w:p>
    <w:p w:rsidR="00035BE3" w:rsidRDefault="00035BE3" w:rsidP="00C10469">
      <w:pPr>
        <w:pStyle w:val="a6"/>
        <w:ind w:left="562" w:hanging="142"/>
        <w:jc w:val="mediumKashida"/>
        <w:rPr>
          <w:rtl/>
        </w:rPr>
      </w:pPr>
      <w:r>
        <w:rPr>
          <w:rtl/>
        </w:rPr>
        <w:t>•</w:t>
      </w:r>
      <w:r>
        <w:rPr>
          <w:rFonts w:hint="cs"/>
          <w:rtl/>
        </w:rPr>
        <w:t xml:space="preserve"> وختمه في مقدمة كتابه (السعاية) بخلاصة دقيقة قال فيها : </w:t>
      </w:r>
      <w:r>
        <w:rPr>
          <w:rFonts w:hint="eastAsia"/>
          <w:rtl/>
        </w:rPr>
        <w:t>«</w:t>
      </w:r>
      <w:r>
        <w:rPr>
          <w:rFonts w:hint="cs"/>
          <w:rtl/>
        </w:rPr>
        <w:t xml:space="preserve">وخلاصة المرام في هذا المقام </w:t>
      </w:r>
      <w:r w:rsidRPr="004D0ECB">
        <w:rPr>
          <w:rFonts w:hint="cs"/>
          <w:spacing w:val="-4"/>
          <w:rtl/>
        </w:rPr>
        <w:t>أنهم اختلفوا في ذكر أسامي أجداد شارح (الوقاية)، من جده تاج الشريعة إلى ما بعده،</w:t>
      </w:r>
      <w:r>
        <w:rPr>
          <w:rFonts w:hint="cs"/>
          <w:rtl/>
        </w:rPr>
        <w:t xml:space="preserve"> وفي أن المصنف للوقاية أهو المؤلف لشرح الهداية؟ بعد اتفاقهم في أن عَلَمَ مؤلف الوقاية </w:t>
      </w:r>
      <w:r w:rsidRPr="004D0ECB">
        <w:rPr>
          <w:rFonts w:hint="cs"/>
          <w:spacing w:val="-4"/>
          <w:rtl/>
        </w:rPr>
        <w:t xml:space="preserve">برهان الدين </w:t>
      </w:r>
      <w:r w:rsidRPr="004D0ECB">
        <w:rPr>
          <w:rFonts w:hint="cs"/>
          <w:b/>
          <w:bCs/>
          <w:spacing w:val="-4"/>
          <w:rtl/>
        </w:rPr>
        <w:t>محمود</w:t>
      </w:r>
      <w:r w:rsidRPr="004D0ECB">
        <w:rPr>
          <w:rFonts w:hint="cs"/>
          <w:spacing w:val="-4"/>
          <w:rtl/>
        </w:rPr>
        <w:t xml:space="preserve"> بن صدر الشريعة، وأن مؤلف شرح الهداية هو تاج الشريعة المحبوبي.</w:t>
      </w:r>
      <w:r>
        <w:rPr>
          <w:rFonts w:hint="cs"/>
          <w:rtl/>
        </w:rPr>
        <w:t xml:space="preserve"> </w:t>
      </w:r>
      <w:r w:rsidRPr="004D0ECB">
        <w:rPr>
          <w:rFonts w:hint="cs"/>
          <w:spacing w:val="-4"/>
          <w:rtl/>
        </w:rPr>
        <w:t>فمن صرّح أن اسم تاج الشريعة محمود حكم بالوحدة، ومن ذكر أن اسمه عمر ظنّ أنهما</w:t>
      </w:r>
      <w:r>
        <w:rPr>
          <w:rFonts w:hint="cs"/>
          <w:rtl/>
        </w:rPr>
        <w:t xml:space="preserve"> </w:t>
      </w:r>
      <w:r w:rsidRPr="004D0ECB">
        <w:rPr>
          <w:rFonts w:hint="cs"/>
          <w:spacing w:val="-4"/>
          <w:rtl/>
        </w:rPr>
        <w:t>اثنان أخوان خلفان لصدر الشريعة. ويتفرّع عليه الاختلاف في أن مؤلف الوقاية جدّ</w:t>
      </w:r>
      <w:r>
        <w:rPr>
          <w:rFonts w:hint="cs"/>
          <w:rtl/>
        </w:rPr>
        <w:t xml:space="preserve"> </w:t>
      </w:r>
      <w:r w:rsidRPr="004D0ECB">
        <w:rPr>
          <w:rFonts w:hint="cs"/>
          <w:spacing w:val="-4"/>
          <w:rtl/>
        </w:rPr>
        <w:t>صحيح لشارح (الوقاية)، أوجدّ فاسد له [أي جد له من جهة أمّه] بعد اتفاقهم على أن</w:t>
      </w:r>
      <w:r>
        <w:rPr>
          <w:rFonts w:hint="cs"/>
          <w:rtl/>
        </w:rPr>
        <w:t xml:space="preserve"> </w:t>
      </w:r>
      <w:r w:rsidRPr="004D0ECB">
        <w:rPr>
          <w:rFonts w:hint="cs"/>
          <w:spacing w:val="-4"/>
          <w:rtl/>
        </w:rPr>
        <w:t>لقب جدّه الصحيح تاج الشريعة، وجدّه الفاسد برهان الشريعة والدين. فليحرّر هذا المقام، فإنه مزالّ الأقدام</w:t>
      </w:r>
      <w:r w:rsidRPr="004D0ECB">
        <w:rPr>
          <w:rFonts w:hint="eastAsia"/>
          <w:spacing w:val="-4"/>
          <w:rtl/>
        </w:rPr>
        <w:t>»</w:t>
      </w:r>
      <w:r w:rsidRPr="004D0ECB">
        <w:rPr>
          <w:rFonts w:hint="cs"/>
          <w:spacing w:val="-4"/>
          <w:rtl/>
        </w:rPr>
        <w:t>.</w:t>
      </w:r>
      <w:r>
        <w:rPr>
          <w:rFonts w:hint="cs"/>
          <w:spacing w:val="-4"/>
          <w:rtl/>
        </w:rPr>
        <w:t xml:space="preserve"> </w:t>
      </w:r>
    </w:p>
    <w:p w:rsidR="00035BE3" w:rsidRDefault="00035BE3" w:rsidP="00C10469">
      <w:pPr>
        <w:pStyle w:val="a6"/>
        <w:ind w:left="422" w:hanging="2"/>
        <w:rPr>
          <w:rtl/>
        </w:rPr>
      </w:pPr>
      <w:r>
        <w:rPr>
          <w:rFonts w:hint="cs"/>
          <w:rtl/>
        </w:rPr>
        <w:t>وبعد هذا الكلام من علاَّمة الهند أجد القلم عاجزًا عن الجزم بترجيح رأي معين في حقيقة المؤلف، لكن هذا لا يمنع من لفت نظر القارئ إلى بعض الأمور التي يمكن استفادته منها في الاهتمام بأحد الأقوال:</w:t>
      </w:r>
    </w:p>
    <w:p w:rsidR="00035BE3" w:rsidRDefault="00035BE3" w:rsidP="00C10469">
      <w:pPr>
        <w:pStyle w:val="a6"/>
        <w:ind w:left="422" w:hanging="2"/>
        <w:rPr>
          <w:rtl/>
        </w:rPr>
      </w:pPr>
      <w:r>
        <w:rPr>
          <w:rFonts w:hint="cs"/>
          <w:b/>
          <w:bCs/>
          <w:rtl/>
        </w:rPr>
        <w:t>1-</w:t>
      </w:r>
      <w:r>
        <w:rPr>
          <w:rFonts w:hint="cs"/>
          <w:rtl/>
        </w:rPr>
        <w:t xml:space="preserve"> ففي مقدمة كتاب شرح الوقاية لصدر الشريعة الأصغر </w:t>
      </w:r>
      <w:r>
        <w:rPr>
          <w:rtl/>
        </w:rPr>
        <w:t>–</w:t>
      </w:r>
      <w:r>
        <w:rPr>
          <w:rFonts w:hint="cs"/>
          <w:rtl/>
        </w:rPr>
        <w:t xml:space="preserve">1/2- قال : </w:t>
      </w:r>
      <w:r>
        <w:rPr>
          <w:rFonts w:hint="eastAsia"/>
          <w:rtl/>
        </w:rPr>
        <w:t>«</w:t>
      </w:r>
      <w:r>
        <w:rPr>
          <w:rFonts w:hint="cs"/>
          <w:rtl/>
        </w:rPr>
        <w:t xml:space="preserve">يقول العبد المتوسِّل إلى الله تعالى بأقوى الذريعة، عبيد الله بن مسعود بن تاج الشريعة ... هذا حَلُّ المواضع المغلَقَةِ من (وقاية الرواية في مسائل الهداية) التي ألفها جدّي وأستاذي ... </w:t>
      </w:r>
      <w:r>
        <w:rPr>
          <w:rFonts w:hint="cs"/>
          <w:b/>
          <w:bCs/>
          <w:rtl/>
        </w:rPr>
        <w:t>برهان الشريعة</w:t>
      </w:r>
      <w:r>
        <w:rPr>
          <w:rFonts w:hint="cs"/>
          <w:rtl/>
        </w:rPr>
        <w:t xml:space="preserve"> والحق والدين محمود بن صدر الشريعة</w:t>
      </w:r>
      <w:r>
        <w:rPr>
          <w:rFonts w:hint="eastAsia"/>
          <w:rtl/>
        </w:rPr>
        <w:t>»</w:t>
      </w:r>
      <w:r>
        <w:rPr>
          <w:rFonts w:hint="cs"/>
          <w:rtl/>
        </w:rPr>
        <w:t>.</w:t>
      </w:r>
    </w:p>
    <w:p w:rsidR="00035BE3" w:rsidRDefault="00035BE3" w:rsidP="00C10469">
      <w:pPr>
        <w:pStyle w:val="a6"/>
        <w:ind w:left="422" w:hanging="2"/>
        <w:rPr>
          <w:rtl/>
        </w:rPr>
      </w:pPr>
      <w:r>
        <w:rPr>
          <w:rFonts w:hint="cs"/>
          <w:b/>
          <w:bCs/>
          <w:rtl/>
        </w:rPr>
        <w:t>2-</w:t>
      </w:r>
      <w:r>
        <w:rPr>
          <w:rFonts w:hint="cs"/>
          <w:rtl/>
        </w:rPr>
        <w:t xml:space="preserve"> بالنظر إلى بعض فهارس المخطوطات يلحظ أنه نُسب إلى برهان الشريعة محمود بن صدر الشريعة في ثلاث فهارس (وهي فهرس نور عثمانية، وجور ليلي علي باشا، وأقسراير والده جامع شريف، وأرقامهما : 1890، 261، 310).</w:t>
      </w:r>
    </w:p>
    <w:p w:rsidR="00035BE3" w:rsidRDefault="00035BE3" w:rsidP="00C10469">
      <w:pPr>
        <w:pStyle w:val="a6"/>
        <w:ind w:left="422" w:hanging="2"/>
        <w:rPr>
          <w:rtl/>
        </w:rPr>
      </w:pPr>
      <w:r>
        <w:rPr>
          <w:rFonts w:hint="cs"/>
          <w:rtl/>
        </w:rPr>
        <w:t xml:space="preserve">بينما نسب إلى تاج الشريعة في فهرس واحد (وهو فهرس اسميخان سلطان برقم 209)، كما نسب إلى محمود بن صدر الشريعة الأول في فهرسين (هما لا له لي برقم 1238، وأياصوفيا برقم 1503 - 1507)، وهذه النسبة لا تتعارض مع نسبته إلى برهان الشريعة بن صدر الشريعة الأول؛ لأن اسمه محمود، كما أنها لا تتعارض مع نسبته إلى تاج الشريعة بن صدر الشريعة ؛ لأن اسمه محمود </w:t>
      </w:r>
      <w:r>
        <w:rPr>
          <w:rtl/>
        </w:rPr>
        <w:t>–</w:t>
      </w:r>
      <w:r>
        <w:rPr>
          <w:rFonts w:hint="cs"/>
          <w:rtl/>
        </w:rPr>
        <w:t xml:space="preserve"> على القول الراجح- وليس عمر.</w:t>
      </w:r>
    </w:p>
    <w:p w:rsidR="00035BE3" w:rsidRDefault="00035BE3" w:rsidP="00C10469">
      <w:pPr>
        <w:pStyle w:val="a6"/>
        <w:ind w:left="422" w:hanging="2"/>
        <w:rPr>
          <w:rtl/>
        </w:rPr>
      </w:pPr>
      <w:r>
        <w:rPr>
          <w:rFonts w:hint="cs"/>
          <w:b/>
          <w:bCs/>
          <w:rtl/>
        </w:rPr>
        <w:t>3-</w:t>
      </w:r>
      <w:r>
        <w:rPr>
          <w:rFonts w:hint="cs"/>
          <w:rtl/>
        </w:rPr>
        <w:t xml:space="preserve"> إن القول بأنَّ برهان الشريعة هو المؤلف للوقاية هو القول المشهور، وقد صرّح بذلك اللكنوي نفسُه في مقدمة كتاب (النافع الكبير) -ص23 </w:t>
      </w:r>
      <w:r>
        <w:rPr>
          <w:rtl/>
        </w:rPr>
        <w:t>–</w:t>
      </w:r>
      <w:r>
        <w:rPr>
          <w:rFonts w:hint="cs"/>
          <w:rtl/>
        </w:rPr>
        <w:t xml:space="preserve"> 24 -.</w:t>
      </w:r>
    </w:p>
    <w:p w:rsidR="00035BE3" w:rsidRDefault="00035BE3" w:rsidP="00C10469">
      <w:pPr>
        <w:pStyle w:val="a6"/>
        <w:ind w:left="422" w:hanging="2"/>
        <w:rPr>
          <w:rtl/>
        </w:rPr>
      </w:pPr>
      <w:r>
        <w:rPr>
          <w:rFonts w:hint="cs"/>
          <w:rtl/>
        </w:rPr>
        <w:t>ففي بداية تعريفه بالوقاية نسبها إلى تاج الشريعة محمود بن صدر الشريعة أحمد ثم عزا هذه النسبة إلى (أعلام الأخيار) وإلى (مدينة العلوم) ونقل عنهما عددًا من النصوص.</w:t>
      </w:r>
    </w:p>
    <w:p w:rsidR="00035BE3" w:rsidRDefault="00035BE3" w:rsidP="00C10469">
      <w:pPr>
        <w:pStyle w:val="a6"/>
        <w:ind w:left="422" w:hanging="2"/>
        <w:rPr>
          <w:rtl/>
        </w:rPr>
      </w:pPr>
      <w:r>
        <w:rPr>
          <w:rFonts w:hint="cs"/>
          <w:rtl/>
        </w:rPr>
        <w:t xml:space="preserve">ثم قال : </w:t>
      </w:r>
      <w:r>
        <w:rPr>
          <w:rFonts w:hint="eastAsia"/>
          <w:rtl/>
        </w:rPr>
        <w:t>«</w:t>
      </w:r>
      <w:r>
        <w:rPr>
          <w:rFonts w:hint="cs"/>
          <w:rtl/>
        </w:rPr>
        <w:t>هذا كلّه نصّ على أنّ مصنّف (الوقاية) هو شارح (الهداية) تاج الشريعة، وأن اسمه محمود ابن صدر الشريعة الأكبر، وأنه جدّ صدر الشريعة شارح (الوقاية) من قبل أبيه.</w:t>
      </w:r>
    </w:p>
    <w:p w:rsidR="00035BE3" w:rsidRDefault="00035BE3" w:rsidP="00C10469">
      <w:pPr>
        <w:pStyle w:val="a6"/>
        <w:ind w:left="422" w:hanging="2"/>
        <w:rPr>
          <w:rtl/>
        </w:rPr>
      </w:pPr>
      <w:r>
        <w:rPr>
          <w:rFonts w:hint="cs"/>
          <w:b/>
          <w:bCs/>
          <w:rtl/>
        </w:rPr>
        <w:t>والمشهور : أن مصنف (الوقاية) جدٌّ فاسد لشارح (الوقاية)</w:t>
      </w:r>
      <w:r>
        <w:rPr>
          <w:rFonts w:hint="cs"/>
          <w:rtl/>
        </w:rPr>
        <w:t xml:space="preserve">، وبه صرّح القهستاني في (جامع الرموز)، حيث ذكر : ... أن صاحب (الوقاية) </w:t>
      </w:r>
      <w:r>
        <w:rPr>
          <w:rFonts w:hint="cs"/>
          <w:b/>
          <w:bCs/>
          <w:rtl/>
        </w:rPr>
        <w:t>برهان الشريعة محمود بن صدر الشريعة</w:t>
      </w:r>
      <w:r>
        <w:rPr>
          <w:rFonts w:hint="cs"/>
          <w:rtl/>
        </w:rPr>
        <w:t>، أخو تاج الشريعة. وكذا ذكره صاحب (كشف الظنون) ... والله أعلم بحقيقة الحال ...</w:t>
      </w:r>
      <w:r>
        <w:rPr>
          <w:rFonts w:hint="eastAsia"/>
          <w:rtl/>
        </w:rPr>
        <w:t>»</w:t>
      </w:r>
      <w:r>
        <w:rPr>
          <w:rFonts w:hint="cs"/>
          <w:rtl/>
        </w:rPr>
        <w:t>.</w:t>
      </w:r>
    </w:p>
    <w:p w:rsidR="00035BE3" w:rsidRDefault="00035BE3" w:rsidP="00C10469">
      <w:pPr>
        <w:pStyle w:val="a6"/>
        <w:ind w:left="422" w:hanging="2"/>
        <w:rPr>
          <w:rtl/>
        </w:rPr>
      </w:pPr>
      <w:r>
        <w:rPr>
          <w:rFonts w:hint="cs"/>
          <w:rtl/>
        </w:rPr>
        <w:t>هذا ما أمكن تحريره في بيان مصنف الوقاية.</w:t>
      </w:r>
    </w:p>
    <w:p w:rsidR="00035BE3" w:rsidRDefault="00035BE3" w:rsidP="00C10469">
      <w:pPr>
        <w:pStyle w:val="a6"/>
        <w:ind w:left="422" w:hanging="2"/>
        <w:rPr>
          <w:rtl/>
        </w:rPr>
      </w:pPr>
      <w:r>
        <w:rPr>
          <w:rFonts w:hint="cs"/>
          <w:b/>
          <w:bCs/>
          <w:rtl/>
        </w:rPr>
        <w:t>أما حالة هذا الكتاب</w:t>
      </w:r>
      <w:r>
        <w:rPr>
          <w:rFonts w:hint="cs"/>
          <w:rtl/>
        </w:rPr>
        <w:t xml:space="preserve"> : فهو مطبوع ممزوجًا بشرحه لحفيد المؤلف صدر الشريعة الأصغر، عبيد الله ابن مسعود، ومعهما شرح الشرح المسمى بالسعاية في كشف ما في شرح الوقاية للّكنوي، والناشر هو سهيل الكيسري بلاهور بباكستان، وذلك عام 1408هـ/1987 (الطبعة الثانية).</w:t>
      </w:r>
      <w:r>
        <w:rPr>
          <w:rFonts w:hint="cs"/>
          <w:rtl/>
        </w:rPr>
        <w:tab/>
      </w:r>
      <w:r>
        <w:rPr>
          <w:rFonts w:hint="cs"/>
          <w:rtl/>
        </w:rPr>
        <w:tab/>
        <w:t xml:space="preserve">  </w:t>
      </w:r>
    </w:p>
    <w:p w:rsidR="00035BE3" w:rsidRDefault="00035BE3" w:rsidP="00C10469">
      <w:pPr>
        <w:pStyle w:val="a6"/>
        <w:ind w:left="422" w:hanging="2"/>
        <w:rPr>
          <w:rtl/>
        </w:rPr>
      </w:pPr>
      <w:r>
        <w:rPr>
          <w:rFonts w:hint="cs"/>
          <w:rtl/>
        </w:rPr>
        <w:t>كما طبع مع شرح صدر الشريعة الأصغر بهامش كتاب كشف الحقائق شرح كنز الدقائق لعبد الحكيم القندهاري (ت1326هـ)، وذلك بالمطبعة الأدبية بالقاهرة، عام 1322هـ/1904م، وأيضًا بإدارة القرآن والعلوم الإسلامية بكراتشي، عام 1407هـ/1987م.</w:t>
      </w:r>
    </w:p>
  </w:footnote>
  <w:footnote w:id="1806">
    <w:p w:rsidR="00035BE3" w:rsidRDefault="00035BE3" w:rsidP="00C10469">
      <w:pPr>
        <w:pStyle w:val="a8"/>
        <w:bidi/>
        <w:ind w:left="422" w:right="0"/>
        <w:rPr>
          <w:sz w:val="29"/>
          <w:szCs w:val="29"/>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z w:val="29"/>
          <w:szCs w:val="29"/>
          <w:rtl/>
        </w:rPr>
        <w:t xml:space="preserve">الوقاية، 1/330 (مع شرحها لصدر الشريعة الأصغر). وقد جاء في المطبوع : </w:t>
      </w:r>
      <w:r>
        <w:rPr>
          <w:rFonts w:hint="eastAsia"/>
          <w:sz w:val="29"/>
          <w:szCs w:val="29"/>
          <w:rtl/>
        </w:rPr>
        <w:t>«</w:t>
      </w:r>
      <w:r>
        <w:rPr>
          <w:rFonts w:hint="cs"/>
          <w:sz w:val="29"/>
          <w:szCs w:val="29"/>
          <w:rtl/>
        </w:rPr>
        <w:t>ليردّ</w:t>
      </w:r>
      <w:r>
        <w:rPr>
          <w:rFonts w:hint="eastAsia"/>
          <w:sz w:val="29"/>
          <w:szCs w:val="29"/>
          <w:rtl/>
        </w:rPr>
        <w:t>»</w:t>
      </w:r>
      <w:r>
        <w:rPr>
          <w:rFonts w:hint="cs"/>
          <w:sz w:val="29"/>
          <w:szCs w:val="29"/>
          <w:rtl/>
        </w:rPr>
        <w:t xml:space="preserve">، وليس </w:t>
      </w:r>
      <w:r>
        <w:rPr>
          <w:rFonts w:hint="eastAsia"/>
          <w:sz w:val="29"/>
          <w:szCs w:val="29"/>
          <w:rtl/>
        </w:rPr>
        <w:t>«</w:t>
      </w:r>
      <w:r>
        <w:rPr>
          <w:rFonts w:hint="cs"/>
          <w:sz w:val="29"/>
          <w:szCs w:val="29"/>
          <w:rtl/>
        </w:rPr>
        <w:t>ليرده</w:t>
      </w:r>
      <w:r>
        <w:rPr>
          <w:rFonts w:hint="eastAsia"/>
          <w:sz w:val="29"/>
          <w:szCs w:val="29"/>
          <w:rtl/>
        </w:rPr>
        <w:t>»</w:t>
      </w:r>
      <w:r>
        <w:rPr>
          <w:rFonts w:hint="cs"/>
          <w:sz w:val="29"/>
          <w:szCs w:val="29"/>
          <w:rtl/>
        </w:rPr>
        <w:t>!.</w:t>
      </w:r>
    </w:p>
  </w:footnote>
  <w:footnote w:id="18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31/ب من (أ).</w:t>
      </w:r>
    </w:p>
  </w:footnote>
  <w:footnote w:id="18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ومن الكتب التي وقع فيها ذلك : الكتاب للقدوري وشرحه اللباب، 2/207؛ الهداية وشرحاها : العناية وفتح القدير، 6/118؛ الاختيار لتعليل المختار، 3/32؛ كنـز الدقائق وشرحاه : تبـيـين الحقائـق، 3/301، والبحر الرائق، 5/163.</w:t>
      </w:r>
    </w:p>
  </w:footnote>
  <w:footnote w:id="18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وأما </w:t>
      </w:r>
      <w:r>
        <w:rPr>
          <w:rFonts w:hint="eastAsia"/>
          <w:rtl/>
        </w:rPr>
        <w:t>»</w:t>
      </w:r>
      <w:r>
        <w:rPr>
          <w:rFonts w:hint="cs"/>
          <w:rtl/>
        </w:rPr>
        <w:t>.</w:t>
      </w:r>
    </w:p>
  </w:footnote>
  <w:footnote w:id="18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بحثت عن هذه النكتة -التي سيذكرها المؤلف- ومقدمتها في كثير من كتب الفقه الحنفي فوجدت مضمون المقدمة ولكن لم أجدها ملحوقة بالنكتة؛ فلعلها من استنباطات المؤلف. </w:t>
      </w:r>
    </w:p>
    <w:p w:rsidR="00035BE3" w:rsidRDefault="00035BE3" w:rsidP="00C10469">
      <w:pPr>
        <w:pStyle w:val="a6"/>
        <w:ind w:left="422" w:firstLine="0"/>
        <w:rPr>
          <w:rtl/>
        </w:rPr>
      </w:pPr>
      <w:r>
        <w:rPr>
          <w:rFonts w:hint="cs"/>
          <w:rtl/>
        </w:rPr>
        <w:t xml:space="preserve">والهدف من ذكر المؤلف لهذه النكتة هو تخريج ما جاء في (الوقاية) مخالفًا لما وقع في أكثر كتب الفقه، حيث إن صاحب (الوقاية) قال عن اللقطة : </w:t>
      </w:r>
      <w:r>
        <w:rPr>
          <w:rFonts w:hint="eastAsia"/>
          <w:rtl/>
        </w:rPr>
        <w:t>«</w:t>
      </w:r>
      <w:r>
        <w:rPr>
          <w:rFonts w:hint="cs"/>
          <w:rtl/>
        </w:rPr>
        <w:t>ليرده</w:t>
      </w:r>
      <w:r>
        <w:rPr>
          <w:rFonts w:hint="eastAsia"/>
          <w:rtl/>
        </w:rPr>
        <w:t>»</w:t>
      </w:r>
      <w:r>
        <w:rPr>
          <w:rFonts w:hint="cs"/>
          <w:rtl/>
        </w:rPr>
        <w:t xml:space="preserve">، ولم يقلْ : </w:t>
      </w:r>
      <w:r>
        <w:rPr>
          <w:rFonts w:hint="eastAsia"/>
          <w:rtl/>
        </w:rPr>
        <w:t>«</w:t>
      </w:r>
      <w:r>
        <w:rPr>
          <w:rFonts w:hint="cs"/>
          <w:rtl/>
        </w:rPr>
        <w:t>ليردها</w:t>
      </w:r>
      <w:r>
        <w:rPr>
          <w:rFonts w:hint="eastAsia"/>
          <w:rtl/>
        </w:rPr>
        <w:t>»</w:t>
      </w:r>
      <w:r>
        <w:rPr>
          <w:rFonts w:hint="cs"/>
          <w:rtl/>
        </w:rPr>
        <w:t xml:space="preserve"> كما في أكثر الكتب.</w:t>
      </w:r>
    </w:p>
    <w:p w:rsidR="00035BE3" w:rsidRDefault="00035BE3" w:rsidP="00C10469">
      <w:pPr>
        <w:pStyle w:val="a6"/>
        <w:ind w:left="422" w:firstLine="0"/>
        <w:rPr>
          <w:rtl/>
        </w:rPr>
      </w:pPr>
      <w:r>
        <w:rPr>
          <w:rFonts w:hint="cs"/>
          <w:rtl/>
        </w:rPr>
        <w:t>وهذه النكتة تدل على دقّة ناظرزاده، وإلمامه بأحد مباحث البلاغة الدقيقة، وهو المجاز العقلي. وحرصه على الاستفادة من ذلك في الاعتذار للعلماء، وحمل كلامهم على أحسن المحامل.</w:t>
      </w:r>
    </w:p>
    <w:p w:rsidR="00035BE3" w:rsidRDefault="00035BE3" w:rsidP="00C10469">
      <w:pPr>
        <w:pStyle w:val="a6"/>
        <w:ind w:left="422" w:firstLine="0"/>
        <w:rPr>
          <w:rtl/>
        </w:rPr>
      </w:pPr>
      <w:r>
        <w:rPr>
          <w:rFonts w:hint="cs"/>
          <w:rtl/>
        </w:rPr>
        <w:t>لكن الذي يظهر أن هذا التصرف فيه شيء من التكلّف؛ لأن الضمير عاد إلى (اللقطة) بالتأنيث مرتين (هما في قوله : (</w:t>
      </w:r>
      <w:r>
        <w:rPr>
          <w:rFonts w:hint="cs"/>
          <w:b/>
          <w:bCs/>
          <w:rtl/>
        </w:rPr>
        <w:t>هي</w:t>
      </w:r>
      <w:r>
        <w:rPr>
          <w:rFonts w:hint="cs"/>
          <w:rtl/>
        </w:rPr>
        <w:t xml:space="preserve"> ... على </w:t>
      </w:r>
      <w:r>
        <w:rPr>
          <w:rFonts w:hint="cs"/>
          <w:b/>
          <w:bCs/>
          <w:rtl/>
        </w:rPr>
        <w:t>ربّها</w:t>
      </w:r>
      <w:r>
        <w:rPr>
          <w:rFonts w:hint="cs"/>
          <w:rtl/>
        </w:rPr>
        <w:t>)، وعاد مرة واحدة إلى أصل اللقطة وهو (اللاقط) - كما سيذكر المؤلف لاحقًا -!.</w:t>
      </w:r>
    </w:p>
    <w:p w:rsidR="00035BE3" w:rsidRDefault="00035BE3" w:rsidP="00C10469">
      <w:pPr>
        <w:pStyle w:val="a6"/>
        <w:ind w:left="422" w:firstLine="0"/>
        <w:rPr>
          <w:rtl/>
        </w:rPr>
      </w:pPr>
      <w:r>
        <w:rPr>
          <w:rFonts w:hint="cs"/>
          <w:rtl/>
        </w:rPr>
        <w:t>فلو كان ضمير التذكير مقصودًا لذكّر الضمير في المواضع الثلاث جميعًا.</w:t>
      </w:r>
    </w:p>
    <w:p w:rsidR="00035BE3" w:rsidRDefault="00035BE3" w:rsidP="00C10469">
      <w:pPr>
        <w:pStyle w:val="a6"/>
        <w:ind w:left="422" w:firstLine="0"/>
        <w:rPr>
          <w:rtl/>
        </w:rPr>
      </w:pPr>
      <w:r>
        <w:rPr>
          <w:rFonts w:hint="cs"/>
          <w:rtl/>
        </w:rPr>
        <w:t xml:space="preserve">ثم إن النسخة المطبوعة التي بين يدي - ورد فيها: </w:t>
      </w:r>
      <w:r>
        <w:rPr>
          <w:rFonts w:hint="eastAsia"/>
          <w:rtl/>
        </w:rPr>
        <w:t>«</w:t>
      </w:r>
      <w:r>
        <w:rPr>
          <w:rFonts w:hint="cs"/>
          <w:rtl/>
        </w:rPr>
        <w:t>ليرد</w:t>
      </w:r>
      <w:r>
        <w:rPr>
          <w:rFonts w:hint="eastAsia"/>
          <w:rtl/>
        </w:rPr>
        <w:t>»</w:t>
      </w:r>
      <w:r>
        <w:rPr>
          <w:rFonts w:hint="cs"/>
          <w:rtl/>
        </w:rPr>
        <w:t xml:space="preserve"> (دون إضافة ضمير التذكير)! وهذا يقوي الاحتمال المتبادر إلى الذهن، وهو أن إضافة ضمير التذكير من إضافة الناسخ الذي نسخ النسخة التي بين يدي ناظرزاده، وليس من صنيع مؤلف (الوقاية). وبهذا يتوافق ما جاء في (الوقاية) مع أكثر كتب الفقه (من جهة المعنى) - والله أعلم-.</w:t>
      </w:r>
      <w:r>
        <w:tab/>
      </w:r>
      <w:r>
        <w:tab/>
      </w:r>
      <w:r>
        <w:tab/>
      </w:r>
      <w:r>
        <w:tab/>
      </w:r>
      <w:r>
        <w:tab/>
      </w:r>
      <w:r>
        <w:rPr>
          <w:rFonts w:hint="cs"/>
          <w:rtl/>
          <w:lang w:bidi="ar-AE"/>
        </w:rPr>
        <w:tab/>
      </w:r>
      <w:r>
        <w:rPr>
          <w:rFonts w:hint="cs"/>
          <w:rtl/>
          <w:lang w:bidi="ar-AE"/>
        </w:rPr>
        <w:tab/>
        <w:t xml:space="preserve">  </w:t>
      </w:r>
    </w:p>
    <w:p w:rsidR="00035BE3" w:rsidRDefault="00035BE3" w:rsidP="00C10469">
      <w:pPr>
        <w:pStyle w:val="a6"/>
        <w:ind w:left="422" w:firstLine="0"/>
        <w:rPr>
          <w:rtl/>
        </w:rPr>
      </w:pPr>
      <w:r>
        <w:rPr>
          <w:rFonts w:hint="cs"/>
          <w:rtl/>
        </w:rPr>
        <w:t xml:space="preserve">ولتوثيق ما جاء في بداية هذا الهامش </w:t>
      </w:r>
      <w:r>
        <w:rPr>
          <w:rtl/>
        </w:rPr>
        <w:t>–</w:t>
      </w:r>
      <w:r>
        <w:rPr>
          <w:rFonts w:hint="cs"/>
          <w:rtl/>
        </w:rPr>
        <w:t xml:space="preserve"> من كون مقدمة النكتة موجودة في بعض كتب الفقه يقال:</w:t>
      </w:r>
    </w:p>
    <w:p w:rsidR="00035BE3" w:rsidRDefault="00035BE3" w:rsidP="00C10469">
      <w:pPr>
        <w:pStyle w:val="a6"/>
        <w:ind w:left="422" w:firstLine="0"/>
        <w:rPr>
          <w:rtl/>
        </w:rPr>
      </w:pPr>
      <w:r>
        <w:rPr>
          <w:rFonts w:hint="cs"/>
          <w:rtl/>
        </w:rPr>
        <w:t xml:space="preserve">من ذلك ما جاء في فتح القدير -6/118- حيث قال في أول كتاب اللقطة : </w:t>
      </w:r>
      <w:r>
        <w:rPr>
          <w:rFonts w:hint="eastAsia"/>
          <w:rtl/>
        </w:rPr>
        <w:t>«</w:t>
      </w:r>
      <w:r>
        <w:rPr>
          <w:rFonts w:hint="cs"/>
          <w:rtl/>
        </w:rPr>
        <w:t>هي (بفتح العين) وصف مبالغة للفاعل، كهُمَزَة ولُـمَزَة... لكثير الهمز وغيره. وبسكونها: للمفعول، كضَحْكة  وهزأة للذي يُضحك منه ويُهزأ به.</w:t>
      </w:r>
    </w:p>
    <w:p w:rsidR="00035BE3" w:rsidRDefault="00035BE3" w:rsidP="00C10469">
      <w:pPr>
        <w:pStyle w:val="a6"/>
        <w:ind w:left="422" w:firstLine="0"/>
        <w:rPr>
          <w:rtl/>
        </w:rPr>
      </w:pPr>
      <w:r>
        <w:rPr>
          <w:rFonts w:hint="cs"/>
          <w:rtl/>
        </w:rPr>
        <w:t>وإنما قيل للمال : (لُقَطَةَ) - بالفتح - ؛ لأن طباع النفوس في الغالب تبادر إلى التقاطه؛ لأنه مال، فصار المال باعتبار أنه داع إلى أخذه بمعنى فيه نفسه، كأنه الكثير الالتقاط مجازًا.</w:t>
      </w:r>
    </w:p>
    <w:p w:rsidR="00035BE3" w:rsidRDefault="00035BE3" w:rsidP="00C10469">
      <w:pPr>
        <w:pStyle w:val="a6"/>
        <w:ind w:left="422" w:firstLine="0"/>
        <w:rPr>
          <w:rtl/>
        </w:rPr>
      </w:pPr>
      <w:r>
        <w:rPr>
          <w:rFonts w:hint="cs"/>
          <w:rtl/>
        </w:rPr>
        <w:t>وإلاَّ فحقيقة الملتقَط : الكثير الالتقاط. وما عن الأصمعي وابن الأعرابي أنه (بفتح القاف) اسم للمال: فمحمول على هذا، يعني يطلق على المال أيضًا</w:t>
      </w:r>
      <w:r>
        <w:rPr>
          <w:rFonts w:hint="eastAsia"/>
          <w:rtl/>
        </w:rPr>
        <w:t>»</w:t>
      </w:r>
      <w:r>
        <w:rPr>
          <w:rFonts w:hint="cs"/>
          <w:rtl/>
        </w:rPr>
        <w:t>.</w:t>
      </w:r>
    </w:p>
    <w:p w:rsidR="00035BE3" w:rsidRPr="00D361DF" w:rsidRDefault="00035BE3" w:rsidP="00C10469">
      <w:pPr>
        <w:pStyle w:val="a6"/>
        <w:ind w:left="422" w:firstLine="0"/>
        <w:rPr>
          <w:spacing w:val="-6"/>
          <w:rtl/>
        </w:rPr>
      </w:pPr>
      <w:r>
        <w:rPr>
          <w:rFonts w:hint="cs"/>
          <w:spacing w:val="-4"/>
          <w:rtl/>
        </w:rPr>
        <w:t xml:space="preserve">وانظر: تبيين الحقائق، 3/301؛ البحر الرائق، 5/161؛ ردّ المحتار، 6/431-432- والأخيران نقلا </w:t>
      </w:r>
      <w:r w:rsidRPr="00D361DF">
        <w:rPr>
          <w:rFonts w:hint="cs"/>
          <w:spacing w:val="-6"/>
          <w:rtl/>
        </w:rPr>
        <w:t>النصّ المذكور عن فتح القدير- وللتوسع من الناحية اللغوية فيما يتعلق بتحويل صيغة الفاعل إلى صيغة</w:t>
      </w:r>
      <w:r>
        <w:rPr>
          <w:rFonts w:hint="cs"/>
          <w:spacing w:val="-4"/>
          <w:rtl/>
        </w:rPr>
        <w:t xml:space="preserve"> </w:t>
      </w:r>
      <w:r w:rsidRPr="00D361DF">
        <w:rPr>
          <w:rFonts w:hint="cs"/>
          <w:spacing w:val="-6"/>
          <w:rtl/>
        </w:rPr>
        <w:t>مبالغة انظر: أوضح المسالك وشرحيه: عدة السالك، 3/219؛ وضياء السالك، 3/16؛ النحو الوافي، 3/256.</w:t>
      </w:r>
    </w:p>
  </w:footnote>
  <w:footnote w:id="18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 ساقطة من (ب) و(د).</w:t>
      </w:r>
    </w:p>
  </w:footnote>
  <w:footnote w:id="18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كما </w:t>
      </w:r>
      <w:r>
        <w:rPr>
          <w:rFonts w:hint="eastAsia"/>
          <w:rtl/>
        </w:rPr>
        <w:t>»</w:t>
      </w:r>
      <w:r>
        <w:rPr>
          <w:rFonts w:hint="cs"/>
          <w:rtl/>
        </w:rPr>
        <w:t>. والصحيح ما تمَّ إثباته من (ب) و(هـ) و(و).</w:t>
      </w:r>
    </w:p>
  </w:footnote>
  <w:footnote w:id="18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التقرير </w:t>
      </w:r>
      <w:r>
        <w:rPr>
          <w:rFonts w:hint="eastAsia"/>
          <w:rtl/>
        </w:rPr>
        <w:t>»</w:t>
      </w:r>
      <w:r>
        <w:rPr>
          <w:rFonts w:hint="cs"/>
          <w:rtl/>
        </w:rPr>
        <w:t>.</w:t>
      </w:r>
    </w:p>
  </w:footnote>
  <w:footnote w:id="18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اللالتقاط</w:t>
      </w:r>
      <w:r>
        <w:rPr>
          <w:rFonts w:hint="eastAsia"/>
          <w:rtl/>
        </w:rPr>
        <w:t>»</w:t>
      </w:r>
      <w:r>
        <w:rPr>
          <w:rFonts w:hint="cs"/>
          <w:rtl/>
        </w:rPr>
        <w:t xml:space="preserve"> (بزيادة اللام). ولعل هذا خطأ إملائي.</w:t>
      </w:r>
    </w:p>
  </w:footnote>
  <w:footnote w:id="18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المجاز العقلي</w:t>
      </w:r>
      <w:r>
        <w:rPr>
          <w:rFonts w:hint="cs"/>
          <w:rtl/>
        </w:rPr>
        <w:t xml:space="preserve"> : عرّفه الخطيب القزويني في (تلخيص المفتاح) بقوله : </w:t>
      </w:r>
      <w:r>
        <w:rPr>
          <w:rFonts w:hint="eastAsia"/>
          <w:rtl/>
        </w:rPr>
        <w:t>«</w:t>
      </w:r>
      <w:r>
        <w:rPr>
          <w:rFonts w:hint="cs"/>
          <w:rtl/>
        </w:rPr>
        <w:t>هو إسناد ... [الفعل أو معناه] إلى مُلاَبِسٍ له، غير ما هو له، بتأوّل</w:t>
      </w:r>
      <w:r>
        <w:rPr>
          <w:rFonts w:hint="eastAsia"/>
          <w:rtl/>
        </w:rPr>
        <w:t>»</w:t>
      </w:r>
      <w:r>
        <w:rPr>
          <w:rFonts w:hint="cs"/>
          <w:rtl/>
        </w:rPr>
        <w:t>.</w:t>
      </w:r>
    </w:p>
    <w:p w:rsidR="00035BE3" w:rsidRDefault="00035BE3" w:rsidP="00C10469">
      <w:pPr>
        <w:pStyle w:val="a6"/>
        <w:ind w:left="422" w:firstLine="0"/>
        <w:rPr>
          <w:rtl/>
        </w:rPr>
      </w:pPr>
      <w:r>
        <w:rPr>
          <w:rFonts w:hint="cs"/>
          <w:rtl/>
        </w:rPr>
        <w:t>والمجاز العقلي أحد قسمي الإسناد مطلقًا، سواءً أكان إنشائيًا أم خبريًّا، ويقاسمه الحقيقة العقلية.</w:t>
      </w:r>
    </w:p>
    <w:p w:rsidR="00035BE3" w:rsidRDefault="00035BE3" w:rsidP="00C10469">
      <w:pPr>
        <w:pStyle w:val="a6"/>
        <w:ind w:left="422" w:firstLine="0"/>
        <w:rPr>
          <w:spacing w:val="8"/>
          <w:rtl/>
        </w:rPr>
      </w:pPr>
      <w:r>
        <w:rPr>
          <w:rFonts w:hint="eastAsia"/>
          <w:spacing w:val="8"/>
          <w:rtl/>
        </w:rPr>
        <w:t>«</w:t>
      </w:r>
      <w:r>
        <w:rPr>
          <w:rFonts w:hint="cs"/>
          <w:spacing w:val="8"/>
          <w:rtl/>
        </w:rPr>
        <w:t>وسمِّي الإسناد في هذين القسمين من الكلام عقليا لاستناده إلى العقل دون الوضع؛ لأن إسناد الكلمة إلى الكلـمـة شـيء يـحصل بقصد الـمتكلم دون واضع اللغة</w:t>
      </w:r>
      <w:r>
        <w:rPr>
          <w:rFonts w:hint="eastAsia"/>
          <w:spacing w:val="8"/>
          <w:rtl/>
        </w:rPr>
        <w:t>»</w:t>
      </w:r>
      <w:r>
        <w:rPr>
          <w:rFonts w:hint="cs"/>
          <w:spacing w:val="8"/>
          <w:rtl/>
        </w:rPr>
        <w:t>- قاله صاحب بغية الإيضاح-.</w:t>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t xml:space="preserve"> </w:t>
      </w:r>
    </w:p>
    <w:p w:rsidR="00035BE3" w:rsidRDefault="00035BE3" w:rsidP="00C10469">
      <w:pPr>
        <w:pStyle w:val="a6"/>
        <w:ind w:left="422" w:firstLine="0"/>
        <w:rPr>
          <w:rtl/>
        </w:rPr>
      </w:pPr>
      <w:r>
        <w:rPr>
          <w:rFonts w:hint="cs"/>
          <w:rtl/>
        </w:rPr>
        <w:t xml:space="preserve">وقد أوردهما صاحب (تلخيص المفتاح) في علم المعاني، واختلفت عبارات الشراح في سبب ذلك، ومن ذلك قول التفتازاني : </w:t>
      </w:r>
      <w:r>
        <w:rPr>
          <w:rFonts w:hint="eastAsia"/>
          <w:rtl/>
        </w:rPr>
        <w:t>«</w:t>
      </w:r>
      <w:r>
        <w:rPr>
          <w:rFonts w:hint="cs"/>
          <w:rtl/>
        </w:rPr>
        <w:t xml:space="preserve"> لأنهما من أحوال اللفظ؛ فيدخلان في علم المعاني</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وخـالفه فـي ذلك السـكـاكـي، فـجعـل الإسـنـاد فـي علـم البيان؛ </w:t>
      </w:r>
      <w:r>
        <w:rPr>
          <w:rFonts w:hint="eastAsia"/>
          <w:spacing w:val="6"/>
          <w:rtl/>
        </w:rPr>
        <w:t>«</w:t>
      </w:r>
      <w:r>
        <w:rPr>
          <w:rFonts w:hint="cs"/>
          <w:spacing w:val="6"/>
          <w:rtl/>
        </w:rPr>
        <w:t>لأن السكاكي كان ينكر هذه الحقيقة وهذا المجاز</w:t>
      </w:r>
      <w:r>
        <w:rPr>
          <w:rFonts w:hint="eastAsia"/>
          <w:spacing w:val="6"/>
          <w:rtl/>
        </w:rPr>
        <w:t>»</w:t>
      </w:r>
      <w:r>
        <w:rPr>
          <w:rFonts w:hint="cs"/>
          <w:spacing w:val="6"/>
          <w:rtl/>
        </w:rPr>
        <w:t xml:space="preserve">- كذا في عروس الأفراح- وكان يقول في شأن المجازِ العقلِّي في الكلام : </w:t>
      </w:r>
      <w:r>
        <w:rPr>
          <w:rFonts w:hint="eastAsia"/>
          <w:spacing w:val="6"/>
          <w:rtl/>
        </w:rPr>
        <w:t>«</w:t>
      </w:r>
      <w:r>
        <w:rPr>
          <w:rFonts w:hint="cs"/>
          <w:spacing w:val="6"/>
          <w:rtl/>
        </w:rPr>
        <w:t>والـذي عـنـدي: نظمه في سلك الاستعارة بالكناية</w:t>
      </w:r>
      <w:r>
        <w:rPr>
          <w:rFonts w:hint="eastAsia"/>
          <w:spacing w:val="6"/>
          <w:rtl/>
        </w:rPr>
        <w:t>»</w:t>
      </w:r>
      <w:r>
        <w:rPr>
          <w:rFonts w:hint="cs"/>
          <w:spacing w:val="6"/>
          <w:rtl/>
        </w:rPr>
        <w:t xml:space="preserve">- كذا في بغية الإيضاح-. </w:t>
      </w:r>
    </w:p>
    <w:p w:rsidR="00035BE3" w:rsidRDefault="00035BE3" w:rsidP="00C10469">
      <w:pPr>
        <w:pStyle w:val="a6"/>
        <w:ind w:left="422" w:firstLine="0"/>
        <w:rPr>
          <w:rtl/>
        </w:rPr>
      </w:pPr>
      <w:r>
        <w:rPr>
          <w:rFonts w:hint="cs"/>
          <w:b/>
          <w:bCs/>
          <w:rtl/>
        </w:rPr>
        <w:t>ولتـوثـيـق ما سبـق</w:t>
      </w:r>
      <w:r>
        <w:rPr>
          <w:rFonts w:hint="cs"/>
          <w:rtl/>
        </w:rPr>
        <w:t xml:space="preserve">: فإن تـعريـف المجاز العقلي منقول من تلخيص المفتاح للخطيب القزويني، 1/225، 231-233 (مطبوع مع شروحه)؛ وانظر: التعريفات، ص259، فقرة 1278؛ البلاغة الاصطلاحية للدكتور عبده قلقيله، ص93. </w:t>
      </w:r>
    </w:p>
    <w:p w:rsidR="00035BE3" w:rsidRDefault="00035BE3" w:rsidP="00C10469">
      <w:pPr>
        <w:pStyle w:val="a6"/>
        <w:ind w:left="422" w:firstLine="0"/>
        <w:rPr>
          <w:rtl/>
        </w:rPr>
      </w:pPr>
      <w:r>
        <w:rPr>
          <w:rFonts w:hint="cs"/>
          <w:rtl/>
        </w:rPr>
        <w:t>وكونه أحد قسمي الإسناد مستفاد من التلخيص أيضًا، 1/224.</w:t>
      </w:r>
    </w:p>
    <w:p w:rsidR="00035BE3" w:rsidRDefault="00035BE3" w:rsidP="00C10469">
      <w:pPr>
        <w:pStyle w:val="a6"/>
        <w:ind w:left="422" w:firstLine="0"/>
        <w:rPr>
          <w:rtl/>
        </w:rPr>
      </w:pPr>
      <w:r>
        <w:rPr>
          <w:rFonts w:hint="cs"/>
          <w:rtl/>
        </w:rPr>
        <w:t>ووجه تسمية الإسناد في هذين القسمين عقلـيًّا منقول من بغية الإيضاع لتـلخـيص المفتاح للصَّعيدي، 1/59، وانظر : عروس الأفراح في شرح تلخيص المفتاح لبهاء الدين السبكي، 1/225؛ البلاغة الاصطلاحية، ص94.</w:t>
      </w:r>
    </w:p>
    <w:p w:rsidR="00035BE3" w:rsidRDefault="00035BE3" w:rsidP="00C10469">
      <w:pPr>
        <w:pStyle w:val="a6"/>
        <w:ind w:left="422" w:firstLine="0"/>
        <w:rPr>
          <w:rtl/>
        </w:rPr>
      </w:pPr>
      <w:r>
        <w:rPr>
          <w:rFonts w:hint="cs"/>
          <w:rtl/>
        </w:rPr>
        <w:t>وسبب إيرادهما في علم المعاني عند صاحب التلخيـص مسـتـفاد من شرح التفتازاني على التلخيص، 1/225؛ وانظر : حاشية هذا الشرح للدسوقي، 1/225؛ مواهب الفتاح في شرح تلخيص المفتاح لابن يعقوب المغربي، 1/225؛ بغية الإيضاح، 1/71.</w:t>
      </w:r>
    </w:p>
    <w:p w:rsidR="00035BE3" w:rsidRDefault="00035BE3" w:rsidP="00C10469">
      <w:pPr>
        <w:pStyle w:val="a6"/>
        <w:ind w:left="422" w:firstLine="0"/>
        <w:rPr>
          <w:rtl/>
        </w:rPr>
      </w:pPr>
      <w:r>
        <w:rPr>
          <w:rFonts w:hint="cs"/>
          <w:rtl/>
        </w:rPr>
        <w:t>والنصَّان الأخيران مستفادان من عروس الأفراح، 1/224؛ بغية الإيضاح، 1/70.</w:t>
      </w:r>
    </w:p>
  </w:footnote>
  <w:footnote w:id="18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الاستعارة بالكناية</w:t>
      </w:r>
      <w:r>
        <w:rPr>
          <w:rFonts w:hint="cs"/>
          <w:rtl/>
        </w:rPr>
        <w:t xml:space="preserve"> : عرَّفها الجرجاني في التعريفات - ص35، فقرة 95 - بقوله : </w:t>
      </w:r>
      <w:r>
        <w:rPr>
          <w:rFonts w:hint="eastAsia"/>
          <w:rtl/>
        </w:rPr>
        <w:t>«</w:t>
      </w:r>
      <w:r>
        <w:rPr>
          <w:rFonts w:hint="cs"/>
          <w:rtl/>
        </w:rPr>
        <w:t>هي إطلاق لفظ المشبّه وإرادة معناه المجازي، وهو لازم المشبّه به</w:t>
      </w:r>
      <w:r>
        <w:rPr>
          <w:rFonts w:hint="eastAsia"/>
          <w:rtl/>
        </w:rPr>
        <w:t>»</w:t>
      </w:r>
      <w:r>
        <w:rPr>
          <w:rFonts w:hint="cs"/>
          <w:rtl/>
        </w:rPr>
        <w:t>.</w:t>
      </w:r>
    </w:p>
    <w:p w:rsidR="00035BE3" w:rsidRDefault="00035BE3" w:rsidP="00C10469">
      <w:pPr>
        <w:pStyle w:val="a6"/>
        <w:ind w:left="422" w:firstLine="0"/>
        <w:rPr>
          <w:rtl/>
        </w:rPr>
      </w:pPr>
      <w:r>
        <w:rPr>
          <w:rFonts w:hint="cs"/>
          <w:rtl/>
        </w:rPr>
        <w:t>وانظر: تلخيص المفتاح وشروحه، 4/150؛ البلاغة الاصطلاحية، ص64؛ الاستعارة للدكتور محمود شيخون، ص67.</w:t>
      </w:r>
    </w:p>
  </w:footnote>
  <w:footnote w:id="18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سبقت الإشارة إلى هذين القولين في ما قبل الهامش السابق.</w:t>
      </w:r>
    </w:p>
    <w:p w:rsidR="00035BE3" w:rsidRDefault="00035BE3" w:rsidP="00C10469">
      <w:pPr>
        <w:pStyle w:val="a6"/>
        <w:ind w:left="422" w:firstLine="0"/>
        <w:rPr>
          <w:rtl/>
        </w:rPr>
      </w:pPr>
      <w:r>
        <w:rPr>
          <w:rFonts w:hint="cs"/>
          <w:rtl/>
        </w:rPr>
        <w:t>علمًا بأن صاحب بغية الإيضاح -1/69-70- ذكر خمسة أقوال في ذلك، منها هذان القولان. فراجعه إن شئت.</w:t>
      </w:r>
    </w:p>
  </w:footnote>
  <w:footnote w:id="18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بالاستفاد</w:t>
      </w:r>
      <w:r>
        <w:rPr>
          <w:rFonts w:hint="eastAsia"/>
          <w:rtl/>
        </w:rPr>
        <w:t>»</w:t>
      </w:r>
      <w:r>
        <w:rPr>
          <w:rFonts w:hint="cs"/>
          <w:rtl/>
        </w:rPr>
        <w:t>.</w:t>
      </w:r>
    </w:p>
  </w:footnote>
  <w:footnote w:id="18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21/أ من (ب).</w:t>
      </w:r>
    </w:p>
  </w:footnote>
  <w:footnote w:id="18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وجعل </w:t>
      </w:r>
      <w:r>
        <w:rPr>
          <w:rFonts w:hint="eastAsia"/>
          <w:rtl/>
        </w:rPr>
        <w:t>»</w:t>
      </w:r>
      <w:r>
        <w:rPr>
          <w:rFonts w:hint="cs"/>
          <w:rtl/>
        </w:rPr>
        <w:t>.</w:t>
      </w:r>
    </w:p>
  </w:footnote>
  <w:footnote w:id="18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التي بمعنى اللاقط.</w:t>
      </w:r>
    </w:p>
  </w:footnote>
  <w:footnote w:id="18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وهو الرجل الذي التقط المال.</w:t>
      </w:r>
    </w:p>
    <w:p w:rsidR="00035BE3" w:rsidRDefault="00035BE3" w:rsidP="00C10469">
      <w:pPr>
        <w:pStyle w:val="a6"/>
        <w:ind w:left="422" w:firstLine="0"/>
        <w:rPr>
          <w:rtl/>
        </w:rPr>
      </w:pPr>
      <w:r>
        <w:rPr>
          <w:rFonts w:hint="cs"/>
          <w:rtl/>
        </w:rPr>
        <w:t>فكلمة (ليردّه) تضمنت ضميرين :</w:t>
      </w:r>
    </w:p>
    <w:p w:rsidR="00035BE3" w:rsidRDefault="00035BE3" w:rsidP="00C10469">
      <w:pPr>
        <w:pStyle w:val="a6"/>
        <w:ind w:left="422" w:firstLine="0"/>
        <w:rPr>
          <w:rtl/>
        </w:rPr>
      </w:pPr>
      <w:r>
        <w:rPr>
          <w:rFonts w:hint="cs"/>
          <w:b/>
          <w:bCs/>
          <w:rtl/>
        </w:rPr>
        <w:t>أحدهما</w:t>
      </w:r>
      <w:r>
        <w:rPr>
          <w:rFonts w:hint="cs"/>
          <w:rtl/>
        </w:rPr>
        <w:t xml:space="preserve"> : في محل رفع فـاعل، وهـو الضمير الـمستـتر الـذي تـقـديره (هو) ويعود إلى الرجل اللاقط.</w:t>
      </w:r>
    </w:p>
    <w:p w:rsidR="00035BE3" w:rsidRDefault="00035BE3" w:rsidP="00C10469">
      <w:pPr>
        <w:pStyle w:val="a6"/>
        <w:ind w:left="422" w:firstLine="0"/>
        <w:rPr>
          <w:spacing w:val="-6"/>
          <w:sz w:val="30"/>
          <w:rtl/>
        </w:rPr>
      </w:pPr>
      <w:r>
        <w:rPr>
          <w:rFonts w:hint="cs"/>
          <w:b/>
          <w:bCs/>
          <w:spacing w:val="-6"/>
          <w:sz w:val="30"/>
          <w:rtl/>
        </w:rPr>
        <w:t>والثاني</w:t>
      </w:r>
      <w:r>
        <w:rPr>
          <w:rFonts w:hint="cs"/>
          <w:spacing w:val="-6"/>
          <w:sz w:val="30"/>
          <w:rtl/>
        </w:rPr>
        <w:t xml:space="preserve"> : في محل نصب مفعول بـه، وهـو (الـهاء) المتصلة بالفعل، ويعود إلى الحقيقة الوضعية للّقطة، وهي (اللاقط).</w:t>
      </w:r>
    </w:p>
  </w:footnote>
  <w:footnote w:id="18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اللاقطة </w:t>
      </w:r>
      <w:r>
        <w:rPr>
          <w:rFonts w:hint="eastAsia"/>
          <w:rtl/>
        </w:rPr>
        <w:t>»</w:t>
      </w:r>
      <w:r>
        <w:rPr>
          <w:rFonts w:hint="cs"/>
          <w:rtl/>
        </w:rPr>
        <w:t>.</w:t>
      </w:r>
    </w:p>
  </w:footnote>
  <w:footnote w:id="18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فعلى هذا التقدير : يكون الفهم الصحيح أن الضمير ...</w:t>
      </w:r>
    </w:p>
  </w:footnote>
  <w:footnote w:id="18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20/ب من (د).</w:t>
      </w:r>
    </w:p>
  </w:footnote>
  <w:footnote w:id="18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المأخوذ</w:t>
      </w:r>
      <w:r>
        <w:rPr>
          <w:rFonts w:hint="eastAsia"/>
          <w:rtl/>
        </w:rPr>
        <w:t>»</w:t>
      </w:r>
      <w:r>
        <w:rPr>
          <w:rFonts w:hint="cs"/>
          <w:rtl/>
        </w:rPr>
        <w:t xml:space="preserve">  ساقطة من (ب).</w:t>
      </w:r>
    </w:p>
  </w:footnote>
  <w:footnote w:id="18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منه </w:t>
      </w:r>
      <w:r>
        <w:rPr>
          <w:rFonts w:hint="eastAsia"/>
          <w:rtl/>
        </w:rPr>
        <w:t>»</w:t>
      </w:r>
      <w:r>
        <w:rPr>
          <w:rFonts w:hint="cs"/>
          <w:rtl/>
        </w:rPr>
        <w:t>.</w:t>
      </w:r>
    </w:p>
  </w:footnote>
  <w:footnote w:id="18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24/ب من (جـ).</w:t>
      </w:r>
    </w:p>
  </w:footnote>
  <w:footnote w:id="18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آخذه </w:t>
      </w:r>
      <w:r>
        <w:rPr>
          <w:rFonts w:hint="eastAsia"/>
          <w:rtl/>
        </w:rPr>
        <w:t>»</w:t>
      </w:r>
      <w:r>
        <w:rPr>
          <w:rFonts w:hint="cs"/>
          <w:rtl/>
        </w:rPr>
        <w:t>.</w:t>
      </w:r>
    </w:p>
  </w:footnote>
  <w:footnote w:id="18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المأخوذ </w:t>
      </w:r>
      <w:r>
        <w:rPr>
          <w:rFonts w:hint="eastAsia"/>
          <w:rtl/>
        </w:rPr>
        <w:t>»</w:t>
      </w:r>
      <w:r>
        <w:rPr>
          <w:rFonts w:hint="cs"/>
          <w:rtl/>
        </w:rPr>
        <w:t xml:space="preserve"> : ساقطة من (ب)، ومطموسة في (و).</w:t>
      </w:r>
    </w:p>
  </w:footnote>
  <w:footnote w:id="18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الآخذ، فيكون التقدير ... المأخوذ منه </w:t>
      </w:r>
      <w:r>
        <w:rPr>
          <w:rFonts w:hint="eastAsia"/>
          <w:rtl/>
        </w:rPr>
        <w:t>»</w:t>
      </w:r>
      <w:r>
        <w:rPr>
          <w:rFonts w:hint="cs"/>
          <w:rtl/>
        </w:rPr>
        <w:t xml:space="preserve"> : ساقطة من (د).</w:t>
      </w:r>
    </w:p>
  </w:footnote>
  <w:footnote w:id="18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يكون المصدر (وهو (أَخْذ) في قوله : </w:t>
      </w:r>
      <w:r>
        <w:rPr>
          <w:rFonts w:hint="eastAsia"/>
          <w:rtl/>
        </w:rPr>
        <w:t>«</w:t>
      </w:r>
      <w:r>
        <w:rPr>
          <w:rFonts w:hint="cs"/>
          <w:rtl/>
        </w:rPr>
        <w:t>على أخْذِهِ</w:t>
      </w:r>
      <w:r>
        <w:rPr>
          <w:rFonts w:hint="eastAsia"/>
          <w:rtl/>
        </w:rPr>
        <w:t>»</w:t>
      </w:r>
      <w:r>
        <w:rPr>
          <w:rFonts w:hint="cs"/>
          <w:rtl/>
        </w:rPr>
        <w:t>) مضافًا إلى فاعله من جهة المعنى (وهو ضمير الهاء المتصل العائد إلى المأخوذ منه) -والله أعلم-.</w:t>
      </w:r>
    </w:p>
  </w:footnote>
  <w:footnote w:id="18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32/أ من (أ).</w:t>
      </w:r>
    </w:p>
  </w:footnote>
  <w:footnote w:id="18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و(د) : </w:t>
      </w:r>
      <w:r>
        <w:rPr>
          <w:rFonts w:hint="eastAsia"/>
          <w:rtl/>
        </w:rPr>
        <w:t>«</w:t>
      </w:r>
      <w:r>
        <w:rPr>
          <w:rFonts w:hint="cs"/>
          <w:rtl/>
        </w:rPr>
        <w:t xml:space="preserve"> الملفوظ </w:t>
      </w:r>
      <w:r>
        <w:rPr>
          <w:rFonts w:hint="eastAsia"/>
          <w:rtl/>
        </w:rPr>
        <w:t>»</w:t>
      </w:r>
      <w:r>
        <w:rPr>
          <w:rFonts w:hint="cs"/>
          <w:rtl/>
        </w:rPr>
        <w:t>.</w:t>
      </w:r>
    </w:p>
  </w:footnote>
  <w:footnote w:id="18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وترغب </w:t>
      </w:r>
      <w:r>
        <w:rPr>
          <w:rFonts w:hint="eastAsia"/>
          <w:rtl/>
        </w:rPr>
        <w:t>»</w:t>
      </w:r>
      <w:r>
        <w:rPr>
          <w:rFonts w:hint="cs"/>
          <w:rtl/>
        </w:rPr>
        <w:t>.</w:t>
      </w:r>
    </w:p>
  </w:footnote>
  <w:footnote w:id="18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الملفوظ </w:t>
      </w:r>
      <w:r>
        <w:rPr>
          <w:rFonts w:hint="eastAsia"/>
          <w:rtl/>
        </w:rPr>
        <w:t>»</w:t>
      </w:r>
      <w:r>
        <w:rPr>
          <w:rFonts w:hint="cs"/>
          <w:rtl/>
        </w:rPr>
        <w:t>.</w:t>
      </w:r>
    </w:p>
  </w:footnote>
  <w:footnote w:id="18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الضاع </w:t>
      </w:r>
      <w:r>
        <w:rPr>
          <w:rFonts w:hint="eastAsia"/>
          <w:rtl/>
        </w:rPr>
        <w:t>»</w:t>
      </w:r>
      <w:r>
        <w:rPr>
          <w:rFonts w:hint="cs"/>
          <w:rtl/>
        </w:rPr>
        <w:t>.</w:t>
      </w:r>
    </w:p>
  </w:footnote>
  <w:footnote w:id="18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(و)، أما في (د) : </w:t>
      </w:r>
      <w:r>
        <w:rPr>
          <w:rFonts w:hint="eastAsia"/>
          <w:rtl/>
        </w:rPr>
        <w:t>«</w:t>
      </w:r>
      <w:r>
        <w:rPr>
          <w:rFonts w:hint="cs"/>
          <w:rtl/>
        </w:rPr>
        <w:t xml:space="preserve"> تجالسه </w:t>
      </w:r>
      <w:r>
        <w:rPr>
          <w:rFonts w:hint="eastAsia"/>
          <w:rtl/>
        </w:rPr>
        <w:t>»</w:t>
      </w:r>
      <w:r>
        <w:rPr>
          <w:rFonts w:hint="cs"/>
          <w:rtl/>
        </w:rPr>
        <w:t xml:space="preserve">، وفي (هـ) : </w:t>
      </w:r>
      <w:r>
        <w:rPr>
          <w:rFonts w:hint="eastAsia"/>
          <w:rtl/>
        </w:rPr>
        <w:t>«</w:t>
      </w:r>
      <w:r>
        <w:rPr>
          <w:rFonts w:hint="cs"/>
          <w:rtl/>
        </w:rPr>
        <w:t xml:space="preserve"> يتجاسر </w:t>
      </w:r>
      <w:r>
        <w:rPr>
          <w:rFonts w:hint="eastAsia"/>
          <w:rtl/>
        </w:rPr>
        <w:t>»</w:t>
      </w:r>
      <w:r>
        <w:rPr>
          <w:rFonts w:hint="cs"/>
          <w:rtl/>
        </w:rPr>
        <w:t xml:space="preserve">، وفي باقي النسخ : </w:t>
      </w:r>
      <w:r>
        <w:rPr>
          <w:rFonts w:hint="eastAsia"/>
          <w:rtl/>
        </w:rPr>
        <w:t>«</w:t>
      </w:r>
      <w:r>
        <w:rPr>
          <w:rFonts w:hint="cs"/>
          <w:rtl/>
        </w:rPr>
        <w:t>تجاسر</w:t>
      </w:r>
      <w:r>
        <w:rPr>
          <w:rFonts w:hint="eastAsia"/>
          <w:rtl/>
        </w:rPr>
        <w:t>»</w:t>
      </w:r>
      <w:r>
        <w:rPr>
          <w:rFonts w:hint="cs"/>
          <w:rtl/>
        </w:rPr>
        <w:t>. والصحيح ما في (و).</w:t>
      </w:r>
    </w:p>
  </w:footnote>
  <w:footnote w:id="18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فيقع</w:t>
      </w:r>
      <w:r>
        <w:rPr>
          <w:rFonts w:hint="eastAsia"/>
          <w:rtl/>
        </w:rPr>
        <w:t>»</w:t>
      </w:r>
      <w:r>
        <w:rPr>
          <w:rFonts w:hint="cs"/>
          <w:rtl/>
        </w:rPr>
        <w:t>.</w:t>
      </w:r>
    </w:p>
  </w:footnote>
  <w:footnote w:id="18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و(و): زيادة توحي بأن هذه النكتة مما اهتُدي إليه المؤلف، ونصها : </w:t>
      </w:r>
      <w:r>
        <w:rPr>
          <w:rFonts w:hint="eastAsia"/>
          <w:rtl/>
        </w:rPr>
        <w:t>«</w:t>
      </w:r>
      <w:r>
        <w:rPr>
          <w:rFonts w:hint="cs"/>
          <w:rtl/>
        </w:rPr>
        <w:t>والحمد لله الذي هدانا لهذا وما كنا لنهتدي لولا أن هدانا الله</w:t>
      </w:r>
      <w:r>
        <w:rPr>
          <w:rFonts w:hint="eastAsia"/>
          <w:rtl/>
        </w:rPr>
        <w:t>»</w:t>
      </w:r>
      <w:r>
        <w:rPr>
          <w:rFonts w:hint="cs"/>
          <w:rtl/>
        </w:rPr>
        <w:t>.</w:t>
      </w:r>
    </w:p>
    <w:p w:rsidR="00035BE3" w:rsidRDefault="00035BE3" w:rsidP="00C10469">
      <w:pPr>
        <w:pStyle w:val="a6"/>
        <w:ind w:left="422" w:hanging="454"/>
        <w:rPr>
          <w:rtl/>
        </w:rPr>
      </w:pPr>
    </w:p>
  </w:footnote>
  <w:footnote w:id="18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أصولية خلافية، ونتج عن الخلاف فيها خلاف في كثير من الفروع الفقهية؛ لهذا كثر استناد أصحاب الكتب الفقهية عليها في ترجيح بعض الأدلة التفصيلية على بعضها الآخر، أو نفي ذلك. وتبعًا لذلك وردت في كثير من كتب القواعد الفقهية.</w:t>
      </w:r>
    </w:p>
    <w:p w:rsidR="00035BE3" w:rsidRDefault="00035BE3" w:rsidP="00C10469">
      <w:pPr>
        <w:pStyle w:val="a6"/>
        <w:ind w:left="422" w:firstLine="0"/>
        <w:rPr>
          <w:rtl/>
        </w:rPr>
      </w:pPr>
      <w:r>
        <w:rPr>
          <w:rFonts w:hint="cs"/>
          <w:rtl/>
        </w:rPr>
        <w:t>وسوف يبين المؤلف خلاف الأصوليين فيها وبعض أدلتهم إجمالاً؛ لهذا سأرجئ توثيق القاعدة من الكتب الأصولية إلى ذلك الموضع؛ دفعًا للتكرار.</w:t>
      </w:r>
    </w:p>
    <w:p w:rsidR="00035BE3" w:rsidRDefault="00035BE3" w:rsidP="00C10469">
      <w:pPr>
        <w:pStyle w:val="a6"/>
        <w:ind w:left="422" w:firstLine="0"/>
        <w:rPr>
          <w:rtl/>
        </w:rPr>
      </w:pPr>
      <w:r>
        <w:rPr>
          <w:rFonts w:hint="cs"/>
          <w:b/>
          <w:bCs/>
          <w:rtl/>
        </w:rPr>
        <w:t>أما كتب القواعد</w:t>
      </w:r>
      <w:r>
        <w:rPr>
          <w:rFonts w:hint="cs"/>
          <w:rtl/>
        </w:rPr>
        <w:t xml:space="preserve"> فمنها :</w:t>
      </w:r>
    </w:p>
    <w:p w:rsidR="00035BE3" w:rsidRDefault="00035BE3" w:rsidP="00C10469">
      <w:pPr>
        <w:pStyle w:val="a6"/>
        <w:ind w:left="422" w:firstLine="0"/>
        <w:rPr>
          <w:rtl/>
        </w:rPr>
      </w:pPr>
      <w:r>
        <w:rPr>
          <w:rFonts w:hint="cs"/>
          <w:rtl/>
        </w:rPr>
        <w:t>مجامع الحقائـق (الخاتمة)، ص45؛ شرح العلائي لقواعد الخادمي، ل15/ب؛ قواعد الفقه للمجدّدي، ص69، قاعدة 81- ولفظه : «الترجيح لا يكون بكثرة العدد»-؛ القواعد الفقهية للدكتور الندوي، ص178؛ القواعد والضوابط المستخلصة من التحرير، ص150، 484 - وأحال في الموضع الأول إلى الهداية، 8/275، ولفظه: «الترجيح لا يقع بكثرة العلل؛ بل بقوة فيها»، كما أحـال في الموضع الثاني إلى التحرير، 5/230، ولفظه : «الترجيح بقوّة العلّة لا بكثرة العلة»-؛ موسوعة القواعد الفقهية، 3/274- وقد ذكر أربـعة ألـفاظ، منـها لـفظ المبسوط - 20/138 - وهو : «الترجيح عند التعارض يكون بقوة العلة لا بكثرة العلة».</w:t>
      </w:r>
    </w:p>
    <w:p w:rsidR="00035BE3" w:rsidRDefault="00035BE3" w:rsidP="00C10469">
      <w:pPr>
        <w:pStyle w:val="a6"/>
        <w:ind w:left="422" w:firstLine="0"/>
        <w:rPr>
          <w:rtl/>
        </w:rPr>
      </w:pPr>
      <w:r>
        <w:rPr>
          <w:rFonts w:hint="cs"/>
          <w:b/>
          <w:bCs/>
          <w:rtl/>
        </w:rPr>
        <w:t>وأما كتب الفقه</w:t>
      </w:r>
      <w:r>
        <w:rPr>
          <w:rFonts w:hint="cs"/>
          <w:rtl/>
        </w:rPr>
        <w:t xml:space="preserve"> فمنها :</w:t>
      </w:r>
    </w:p>
    <w:p w:rsidR="00035BE3" w:rsidRDefault="00035BE3" w:rsidP="00C10469">
      <w:pPr>
        <w:pStyle w:val="a6"/>
        <w:ind w:left="422" w:firstLine="0"/>
        <w:rPr>
          <w:spacing w:val="6"/>
          <w:rtl/>
        </w:rPr>
      </w:pPr>
      <w:r>
        <w:rPr>
          <w:rFonts w:hint="cs"/>
          <w:spacing w:val="6"/>
          <w:rtl/>
        </w:rPr>
        <w:t>شرح السير، 1/230، فقرة 291؛ المبسوط، 14/98، 20/138؛ بدائع الصنائع، 7/11؛ الهداية وشرحاها : العناية ونتائج الأفكار، 8/275؛ الدّرر شرح الغرر، 1/325، 2/348؛ البحر الرائق، 7/246.</w:t>
      </w:r>
    </w:p>
  </w:footnote>
  <w:footnote w:id="18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المنار مع شروحه : كشف الأسرار؛ وشرح نور الأنوار، 2/365؛ وفتح الغفار، 3/59؛ وانظر : المغني للخبازي، ص328؛ البحر الرائق، 7/246.</w:t>
      </w:r>
    </w:p>
  </w:footnote>
  <w:footnote w:id="18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«نكون».</w:t>
      </w:r>
    </w:p>
  </w:footnote>
  <w:footnote w:id="18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«واحد وقياس» (بإسقاط همزة (أو)).</w:t>
      </w:r>
    </w:p>
  </w:footnote>
  <w:footnote w:id="18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المشهور عند الحنفية: «إطلاق (</w:t>
      </w:r>
      <w:r>
        <w:rPr>
          <w:rFonts w:hint="cs"/>
          <w:b/>
          <w:bCs/>
          <w:rtl/>
        </w:rPr>
        <w:t>أصحابنا</w:t>
      </w:r>
      <w:r>
        <w:rPr>
          <w:rFonts w:hint="cs"/>
          <w:rtl/>
        </w:rPr>
        <w:t xml:space="preserve">) على الأئمة الثلاثة؛ أبي حنيفة وأبي يوسف ومحمد بن الـحسن -رحمهم الله-  لكن قد يطلق على... علماء المذهب عمومًا»- قاله صاحب (المذهب الحنفي، مراحله وطبقاته ...)، 1/259- وكلا الإطلاقين متأتيّان هنا؛ لأن هذا قول محمد (وهو </w:t>
      </w:r>
      <w:r w:rsidRPr="00964CD7">
        <w:rPr>
          <w:rFonts w:hint="cs"/>
          <w:spacing w:val="-4"/>
          <w:rtl/>
        </w:rPr>
        <w:t>بعض الثلاثة)، كما قال به آخرون من الحنفية، كأبي الحسن الكرخي في رواية، وأبي عبد الله الجرجاني.</w:t>
      </w:r>
    </w:p>
    <w:p w:rsidR="00035BE3" w:rsidRDefault="00035BE3" w:rsidP="00C10469">
      <w:pPr>
        <w:pStyle w:val="a6"/>
        <w:ind w:left="422" w:firstLine="0"/>
        <w:rPr>
          <w:rtl/>
        </w:rPr>
      </w:pPr>
      <w:r>
        <w:rPr>
          <w:rFonts w:hint="cs"/>
          <w:rtl/>
        </w:rPr>
        <w:t>انظر: أصول البزدوي وشرحه : كشف الأسرار، 3/207؛ أصول السَّرخسي، 2/24؛ المنار وشروحه: كشف الأسرار؛ وشرح نور الأنوار، 2/365؛ وفـتـح الغفار، 3/58-59؛ التنقيح وشرحه : التوضيح، 2/110؛ فواتح الرحموت، 2/210.</w:t>
      </w:r>
    </w:p>
  </w:footnote>
  <w:footnote w:id="1846">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b/>
          <w:bCs/>
          <w:spacing w:val="-6"/>
          <w:rtl/>
        </w:rPr>
        <w:t>أصحاب الشافعي</w:t>
      </w:r>
      <w:r>
        <w:rPr>
          <w:rFonts w:hint="cs"/>
          <w:spacing w:val="-6"/>
          <w:rtl/>
        </w:rPr>
        <w:t>: معطوفة على (بعض أصحابنا) وليس (أصحابنا)، والمعنى : وذهب أصحاب الشافعي ...</w:t>
      </w:r>
    </w:p>
    <w:p w:rsidR="00035BE3" w:rsidRDefault="00035BE3" w:rsidP="00C10469">
      <w:pPr>
        <w:pStyle w:val="a6"/>
        <w:ind w:left="422" w:firstLine="0"/>
        <w:rPr>
          <w:rtl/>
        </w:rPr>
      </w:pPr>
      <w:r>
        <w:rPr>
          <w:rFonts w:hint="cs"/>
          <w:rtl/>
        </w:rPr>
        <w:t>وكما أن هذا مذهب عامة الشافعية فهو مذهب عامة الحنابلة والمالكية.</w:t>
      </w:r>
    </w:p>
    <w:p w:rsidR="00035BE3" w:rsidRDefault="00035BE3" w:rsidP="00C10469">
      <w:pPr>
        <w:pStyle w:val="a6"/>
        <w:ind w:left="422" w:firstLine="0"/>
        <w:rPr>
          <w:spacing w:val="-4"/>
          <w:rtl/>
        </w:rPr>
      </w:pPr>
      <w:r>
        <w:rPr>
          <w:rFonts w:hint="cs"/>
          <w:spacing w:val="-4"/>
          <w:rtl/>
        </w:rPr>
        <w:t xml:space="preserve">ولتوثيق ذلك انظر من كتب المالكية : إحكام الفصول للباجي، ص649؛ المنهاج في ترتيب الحجاج للباجي أيضًا، ص223، فقرة 508؛ تنقيح الفصول وشرحه، ص420؛ تقريب الوصول لابـن </w:t>
      </w:r>
      <w:r w:rsidRPr="00964CD7">
        <w:rPr>
          <w:rFonts w:hint="cs"/>
          <w:spacing w:val="-6"/>
          <w:rtl/>
        </w:rPr>
        <w:t>جُـزي، ص476؛ مراقي السعود وشرحيه: نشر البنود، 2/284؛ ونثر الورود لمحمد الأمين الشنقيطي، 2/598.</w:t>
      </w:r>
    </w:p>
    <w:p w:rsidR="00035BE3" w:rsidRDefault="00035BE3" w:rsidP="00C10469">
      <w:pPr>
        <w:pStyle w:val="a6"/>
        <w:spacing w:line="221" w:lineRule="auto"/>
        <w:ind w:left="422" w:firstLine="0"/>
        <w:rPr>
          <w:spacing w:val="-4"/>
          <w:rtl/>
        </w:rPr>
      </w:pPr>
      <w:r>
        <w:rPr>
          <w:rFonts w:hint="cs"/>
          <w:spacing w:val="-4"/>
          <w:rtl/>
        </w:rPr>
        <w:t>وانظر من كتب الشافعية: الرسالة، ص281، فقرة 771؛ المستصفى، 2/394، 395؛ الـمحصول، 2/446؛ الإحكام للآمدي، 4/251؛ المنهاج وشرحيه : شرح الأصفهاني، 2/792، 795؛ والإبـهاج، 3/216، 218؛ البحر المحيط، 6/151.</w:t>
      </w:r>
    </w:p>
    <w:p w:rsidR="00035BE3" w:rsidRPr="00420D78" w:rsidRDefault="00035BE3" w:rsidP="00C10469">
      <w:pPr>
        <w:pStyle w:val="a6"/>
        <w:spacing w:line="221" w:lineRule="auto"/>
        <w:ind w:left="422" w:firstLine="0"/>
        <w:rPr>
          <w:rtl/>
        </w:rPr>
      </w:pPr>
      <w:r w:rsidRPr="00420D78">
        <w:rPr>
          <w:rFonts w:hint="cs"/>
          <w:rtl/>
        </w:rPr>
        <w:t>وانظر من كتب الحنابلة : العدة للقاضي أبي يعلى، 3/1019؛ التمهيد، 3/202؛ روضة الناظر، 3/1030؛ شرح مختصر الروضة، 3/690؛ المسوّدة، ص305؛ مختصر ابن اللحام، ص258؛ شرح الكوكب المنير، 4/628.</w:t>
      </w:r>
    </w:p>
  </w:footnote>
  <w:footnote w:id="1847">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«أي الترجيح».</w:t>
      </w:r>
    </w:p>
  </w:footnote>
  <w:footnote w:id="184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«يقيد».</w:t>
      </w:r>
    </w:p>
  </w:footnote>
  <w:footnote w:id="1849">
    <w:p w:rsidR="00035BE3" w:rsidRDefault="00035BE3" w:rsidP="00C10469">
      <w:pPr>
        <w:pStyle w:val="a8"/>
        <w:bidi/>
        <w:spacing w:line="221" w:lineRule="auto"/>
        <w:ind w:left="420"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w:t>
      </w:r>
      <w:r>
        <w:rPr>
          <w:rFonts w:hint="cs"/>
          <w:spacing w:val="-10"/>
          <w:sz w:val="29"/>
          <w:szCs w:val="29"/>
          <w:rtl/>
        </w:rPr>
        <w:t>في (أ) و(جـ) و(د) : «يحصل». والأفصح ما تمَّ إثباته من (ب)؛ وفاقًا لمصدر هذه العبارة (وهو شرح المغني للقاءاني).</w:t>
      </w:r>
    </w:p>
  </w:footnote>
  <w:footnote w:id="1850">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(أ) أسفل هذه الكلمة : «دليلان».</w:t>
      </w:r>
    </w:p>
  </w:footnote>
  <w:footnote w:id="1851">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E302EB">
        <w:rPr>
          <w:rFonts w:hint="cs"/>
          <w:spacing w:val="-4"/>
          <w:rtl/>
        </w:rPr>
        <w:t>انظر</w:t>
      </w:r>
      <w:r>
        <w:rPr>
          <w:rFonts w:hint="cs"/>
          <w:spacing w:val="-4"/>
          <w:rtl/>
        </w:rPr>
        <w:t>: أصول البزدوي وشرحه</w:t>
      </w:r>
      <w:r w:rsidRPr="00E302EB">
        <w:rPr>
          <w:rFonts w:hint="cs"/>
          <w:spacing w:val="-4"/>
          <w:rtl/>
        </w:rPr>
        <w:t>: كشف الأسرار، 3/207؛ التمهيد لأبي الخطاب، 3/204؛ المحصول،</w:t>
      </w:r>
      <w:r>
        <w:rPr>
          <w:rFonts w:hint="cs"/>
          <w:rtl/>
        </w:rPr>
        <w:t xml:space="preserve"> </w:t>
      </w:r>
      <w:r w:rsidRPr="00E302EB">
        <w:rPr>
          <w:rFonts w:hint="cs"/>
          <w:spacing w:val="-6"/>
          <w:rtl/>
        </w:rPr>
        <w:t>2/446؛ روضة الـناظر، 3/1030، 1031؛ الإحكام للآمدي، 4/251؛ شرح تنقيح الفصول،</w:t>
      </w:r>
      <w:r>
        <w:rPr>
          <w:rFonts w:hint="cs"/>
          <w:rtl/>
        </w:rPr>
        <w:t xml:space="preserve"> </w:t>
      </w:r>
      <w:r w:rsidRPr="007C666B">
        <w:rPr>
          <w:rFonts w:hint="cs"/>
          <w:spacing w:val="-6"/>
          <w:rtl/>
        </w:rPr>
        <w:t xml:space="preserve">ص420؛ المنهاج وشرحيه: شرح الأصفهاني، 2/792؛ والإبهاج، 3/216؛ الفائق للأرموي، </w:t>
      </w:r>
      <w:r w:rsidRPr="00420D78">
        <w:rPr>
          <w:rFonts w:hint="cs"/>
          <w:rtl/>
        </w:rPr>
        <w:t>4/394؛</w:t>
      </w:r>
      <w:r>
        <w:rPr>
          <w:rFonts w:hint="cs"/>
          <w:rtl/>
        </w:rPr>
        <w:t xml:space="preserve"> التنقيح وشرحيه التوضيح والتلويح، 2/115؛ شرح العضد، 2/310؛ شرح المحلي على جمع الجوامع (مع حاشية البناني)، 2/361؛ شرح العلائي لقواعد الخادمي، ل15/ب.</w:t>
      </w:r>
    </w:p>
  </w:footnote>
  <w:footnote w:id="18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«ولو قضى».</w:t>
      </w:r>
    </w:p>
  </w:footnote>
  <w:footnote w:id="18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ممّن حكى ذلك : الرازي وصدر الشريعة وغيرهما : </w:t>
      </w:r>
    </w:p>
    <w:p w:rsidR="00035BE3" w:rsidRDefault="00035BE3" w:rsidP="00C10469">
      <w:pPr>
        <w:pStyle w:val="a6"/>
        <w:ind w:left="422" w:firstLine="0"/>
        <w:rPr>
          <w:rtl/>
        </w:rPr>
      </w:pPr>
      <w:r>
        <w:rPr>
          <w:rFonts w:hint="cs"/>
          <w:rtl/>
        </w:rPr>
        <w:t xml:space="preserve">فقد ذكر الرازي في (المحصول) -2/447-448- أدلَّة المخالفين لرأيه فقال: «واحتجّ الخصم بالخبر </w:t>
      </w:r>
      <w:r w:rsidRPr="00080FB1">
        <w:rPr>
          <w:rFonts w:hint="cs"/>
          <w:spacing w:val="-4"/>
          <w:rtl/>
        </w:rPr>
        <w:t>والقياس... أما القياس فقد أجمعنا على أنه لا يحصل الترجيح بالكثرة في الشهادة والفتوى، فكذا ههنا».</w:t>
      </w:r>
    </w:p>
    <w:p w:rsidR="00035BE3" w:rsidRDefault="00035BE3" w:rsidP="00C10469">
      <w:pPr>
        <w:pStyle w:val="a6"/>
        <w:ind w:left="422" w:firstLine="0"/>
        <w:rPr>
          <w:spacing w:val="6"/>
          <w:rtl/>
        </w:rPr>
      </w:pPr>
      <w:r>
        <w:rPr>
          <w:rFonts w:hint="cs"/>
          <w:spacing w:val="6"/>
          <w:rtl/>
        </w:rPr>
        <w:t>إلا أنّه ناقش هذا فممّا قال : «وأما فصل الشهادة فعند مالك -رحمه الله- : يحصل الترجيح فيها بكثرة الشهود»، ثم بين الفرق بين الشهادة والرواية، ثم قال : «وأما الترجيح بكثرة المفتين فقد جوّزه بعض العلماء».</w:t>
      </w:r>
    </w:p>
    <w:p w:rsidR="00035BE3" w:rsidRDefault="00035BE3" w:rsidP="00C10469">
      <w:pPr>
        <w:pStyle w:val="a6"/>
        <w:ind w:left="422" w:firstLine="0"/>
        <w:rPr>
          <w:rtl/>
        </w:rPr>
      </w:pPr>
      <w:r>
        <w:rPr>
          <w:rFonts w:hint="cs"/>
          <w:rtl/>
        </w:rPr>
        <w:t>وأما صدر الشريعة فقد تبنى هذا الدليل، حيث قال في (التوضيح) -2/116- : «وأيضًا : القياس على الشهادة؛ فإنه لا يرجح بكثرة الشهود إجماعًا».</w:t>
      </w:r>
    </w:p>
    <w:p w:rsidR="00035BE3" w:rsidRDefault="00035BE3" w:rsidP="00C10469">
      <w:pPr>
        <w:pStyle w:val="a6"/>
        <w:ind w:left="422" w:firstLine="0"/>
        <w:rPr>
          <w:rtl/>
        </w:rPr>
      </w:pPr>
      <w:r>
        <w:rPr>
          <w:rFonts w:hint="cs"/>
          <w:rtl/>
        </w:rPr>
        <w:t xml:space="preserve">وقد نقل ذلك عنه صاحب التقرير والتحبير -3/33- إلا أنه ناقشه بقوله : «وقد ينظر فيه بما قدّمنا من أن مالكًا والشافعي في قول لهما يريان ذلك. اللهم إلا أن يراد : إجماع الصدر الأول إن لم يثبت فيه خلاف لأحد من مجتهديه». </w:t>
      </w:r>
    </w:p>
  </w:footnote>
  <w:footnote w:id="18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زيادة  «ذكره»، وفي (جـ) : «وذكره». وهذه زيادة لا تظهر الحاجة إليها؛ لهذا لم يتمّ إثباتها في الصلب؛ وفاقًا لنسختي (ب) و(د) ولشرح المغني. </w:t>
      </w:r>
    </w:p>
  </w:footnote>
  <w:footnote w:id="18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ق2، جـ1، ص352؛ وانظر : أصول السرخسي، 2/25؛ العدة للقاضي أبي يعلى، 3/1023؛ التمهيد لأبي الخطاب، 3/205؛ روضة النـاظر، 3/1031؛ شرح تنقيح الفصول، ص420؛ التحرير وشرحه : تيسير التحرير، 3/169؛ شرح المحلي (مع حاشية البناني)، 2/361؛ مسلم الثبوت وشرحه : فواتح الرحموت، 2/210.</w:t>
      </w:r>
    </w:p>
  </w:footnote>
  <w:footnote w:id="18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«مبصاة»، وفي (د) : «نصاب». والصحيح ما تمَّ إثباته من باقي النسخ.</w:t>
      </w:r>
    </w:p>
  </w:footnote>
  <w:footnote w:id="18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الضابط بهذا اللفظ أو نحوه في بعض </w:t>
      </w:r>
      <w:r>
        <w:rPr>
          <w:rFonts w:hint="cs"/>
          <w:b/>
          <w:bCs/>
          <w:rtl/>
        </w:rPr>
        <w:t>كتب الفقه الحنفي</w:t>
      </w:r>
      <w:r>
        <w:rPr>
          <w:rFonts w:hint="cs"/>
          <w:rtl/>
        </w:rPr>
        <w:t xml:space="preserve">، منها : </w:t>
      </w:r>
    </w:p>
    <w:p w:rsidR="00035BE3" w:rsidRDefault="00035BE3" w:rsidP="00C10469">
      <w:pPr>
        <w:pStyle w:val="a6"/>
        <w:spacing w:line="440" w:lineRule="exact"/>
        <w:ind w:left="422" w:firstLine="0"/>
        <w:rPr>
          <w:spacing w:val="4"/>
          <w:rtl/>
        </w:rPr>
      </w:pPr>
      <w:r>
        <w:rPr>
          <w:rFonts w:hint="cs"/>
          <w:spacing w:val="4"/>
          <w:rtl/>
        </w:rPr>
        <w:t xml:space="preserve">فتاوى النوازل لأبي الليث، ص168- ولفظه: «... لا يملكون التركة قبل القسمة لبقاء ملك الميت فيه حكمًا»-؛ المبسوط، 15/10، 28/50، 111، 29/13 </w:t>
      </w:r>
      <w:r>
        <w:rPr>
          <w:spacing w:val="4"/>
          <w:rtl/>
        </w:rPr>
        <w:t>–</w:t>
      </w:r>
      <w:r>
        <w:rPr>
          <w:rFonts w:hint="cs"/>
          <w:spacing w:val="4"/>
          <w:rtl/>
        </w:rPr>
        <w:t xml:space="preserve"> ولفظه الأول مطابق للفظ المؤلف، ولفظه الأخير، هو : «التركة بعد الموت قبل القسمة مبقاة على حكم ملك الميت»-؛ شرح الزيادات لقاضي خان، ص838، 1456، 1662 - ولفظه: «التركة قبل القسمة مبقاة على حكم ملك الميت»-؛ الهداية وشرحها: العـناية، 9/430 - ولفظ الهداية: «التركة مبقاة على ملكه قبل القسمة»-؛ المصفى للنسفي، ل60/ب - ولفظه: «... والتركة قبل القسمة مبقى [هكذا بدون تاء التأنيث!] على ملك الميّت»؛ الدّرر شرح الغرر، 2/421-422، 438 - ولفظ المؤلف كلفظ الدّرر؛ بل جلَّ ما جاء في شرح المؤلف للضابط مذكور في الدّرر- تكملة </w:t>
      </w:r>
      <w:r w:rsidRPr="00D01EBF">
        <w:rPr>
          <w:rFonts w:hint="cs"/>
          <w:rtl/>
        </w:rPr>
        <w:t xml:space="preserve">البحر الرائق، 8/169، 486 </w:t>
      </w:r>
      <w:r w:rsidRPr="00D01EBF">
        <w:rPr>
          <w:rtl/>
        </w:rPr>
        <w:t>–</w:t>
      </w:r>
      <w:r w:rsidRPr="00D01EBF">
        <w:rPr>
          <w:rFonts w:hint="cs"/>
          <w:rtl/>
        </w:rPr>
        <w:t xml:space="preserve"> ولفظه الأول: «... التركة مبقاة على ملك الميت قبل القسمة»-.</w:t>
      </w:r>
    </w:p>
  </w:footnote>
  <w:footnote w:id="185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أولاد ما يملكه من الإماء والبهائم ونحوهما.</w:t>
      </w:r>
    </w:p>
  </w:footnote>
  <w:footnote w:id="185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«حتى» : ساقطة من (جـ).</w:t>
      </w:r>
    </w:p>
  </w:footnote>
  <w:footnote w:id="186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«يقضى»؛ وفاقًا للدّرر، وفي (جـ) : «تقتضى».</w:t>
      </w:r>
    </w:p>
  </w:footnote>
  <w:footnote w:id="186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 منه ».</w:t>
      </w:r>
    </w:p>
  </w:footnote>
  <w:footnote w:id="186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«ينفذ». والأفصح ما تمَّ إثباته من (د)، وهو الموافق للدّرر.</w:t>
      </w:r>
    </w:p>
  </w:footnote>
  <w:footnote w:id="186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 تنقطع ». والأفصح ما تمَّ إثباته من (ب) و(د)، وهو الموافق للدّرر.</w:t>
      </w:r>
    </w:p>
  </w:footnote>
  <w:footnote w:id="186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32/ب من (أ).</w:t>
      </w:r>
    </w:p>
  </w:footnote>
  <w:footnote w:id="186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أعلى الصفحة من (أ) بخط مغاير : «أي القسمة».</w:t>
      </w:r>
    </w:p>
    <w:p w:rsidR="00035BE3" w:rsidRDefault="00035BE3" w:rsidP="00C10469">
      <w:pPr>
        <w:pStyle w:val="a6"/>
        <w:spacing w:line="440" w:lineRule="exact"/>
        <w:ind w:left="422" w:firstLine="0"/>
        <w:rPr>
          <w:rtl/>
        </w:rPr>
      </w:pPr>
      <w:r>
        <w:rPr>
          <w:rFonts w:hint="cs"/>
          <w:rtl/>
        </w:rPr>
        <w:t>ولو قال : (بعدها) لطابق الضمير ما يعود إليه في التأنيث.</w:t>
      </w:r>
    </w:p>
  </w:footnote>
  <w:footnote w:id="18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sidRPr="0076504F">
        <w:rPr>
          <w:rFonts w:hint="cs"/>
          <w:sz w:val="12"/>
          <w:szCs w:val="22"/>
          <w:rtl/>
        </w:rPr>
        <w:t xml:space="preserve"> </w:t>
      </w:r>
      <w:r w:rsidRPr="0076504F">
        <w:rPr>
          <w:rFonts w:hint="cs"/>
          <w:sz w:val="16"/>
          <w:szCs w:val="26"/>
          <w:rtl/>
        </w:rPr>
        <w:t xml:space="preserve"> </w:t>
      </w:r>
      <w:r>
        <w:rPr>
          <w:rFonts w:hint="cs"/>
          <w:rtl/>
        </w:rPr>
        <w:t>الدّرر، 2/422 - مع اختلاف يسير، منه أن صاحب الدّرر قال في بداية العبارة : «بدليل ...»-؛ وانظر : المبسوط، 15/10؛ تكملة البحر الرائق، 8/486.</w:t>
      </w:r>
    </w:p>
  </w:footnote>
  <w:footnote w:id="18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«برهنوا». والصحيح ما تمَّ إثباته من (ب) و(د).</w:t>
      </w:r>
    </w:p>
  </w:footnote>
  <w:footnote w:id="18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«مورثه».</w:t>
      </w:r>
    </w:p>
  </w:footnote>
  <w:footnote w:id="18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25/أ من (جـ).</w:t>
      </w:r>
    </w:p>
  </w:footnote>
  <w:footnote w:id="18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2/421 - مع اختلاف يسير-؛ وانظر : بداية المبتدي، 9/430- علمًا بأن المرغيناني صرّح بأن هذا قول الإمام أبي حنيفة، كما أن المؤلف سيصرّح بذلك، ص517 (ل33/أ).</w:t>
      </w:r>
    </w:p>
  </w:footnote>
  <w:footnote w:id="18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«تجميع» (مع إهمال النقاط).</w:t>
      </w:r>
    </w:p>
  </w:footnote>
  <w:footnote w:id="18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«فلابدّ لهم» : ساقطة من (د)، ومكانها بياض.</w:t>
      </w:r>
    </w:p>
  </w:footnote>
  <w:footnote w:id="18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21/ب من (ب).</w:t>
      </w:r>
    </w:p>
  </w:footnote>
  <w:footnote w:id="18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اللام زيادة من مصدر هذه العبارة (وهو الدّرر). وقد تمَّ إثباتها؛ لأن المعنى لا يستقيم بدونها.</w:t>
      </w:r>
    </w:p>
  </w:footnote>
  <w:footnote w:id="18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(د)، وفي باقي النسخ : «باق». والصحيح تأنيث اسم الفاعل؛ وفاقًا لنص القاعدة ولمصدر هذه العبارة (وهو الدّرر)؛ حيث جاء فيهما : «مبقاة» (بـتاء التأنيث).</w:t>
      </w:r>
    </w:p>
  </w:footnote>
  <w:footnote w:id="18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كما قال المؤلف في بداية شرح القاعدة (وهو النص الذي تمَّ توثيقه من الدّرر، في الصفحة السّابقة). علمًا بأن ذلك النص ذكره صاحب الدّرر في هذا الموضع.</w:t>
      </w:r>
    </w:p>
  </w:footnote>
  <w:footnote w:id="1877">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2/422 - مع الاختلاف الذي سبق بيانه، ويضاف إليه أن صاحب (الدّرر) قال في آخر العبارة : «ويصير بعضهم حينئذ مدّعيا، والبعض خصمًا وإن كان مقررًّا».</w:t>
      </w:r>
    </w:p>
    <w:p w:rsidR="00035BE3" w:rsidRDefault="00035BE3" w:rsidP="00C10469">
      <w:pPr>
        <w:pStyle w:val="a6"/>
        <w:spacing w:line="228" w:lineRule="auto"/>
        <w:ind w:left="420" w:firstLine="0"/>
        <w:rPr>
          <w:rtl/>
        </w:rPr>
      </w:pPr>
      <w:r>
        <w:rPr>
          <w:rFonts w:hint="cs"/>
          <w:rtl/>
        </w:rPr>
        <w:t>وانظر : الهداية والعناية، 9/430-431.</w:t>
      </w:r>
    </w:p>
  </w:footnote>
  <w:footnote w:id="1878">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المراد بالإمامين : أبو يوسف ومحمد.</w:t>
      </w:r>
    </w:p>
    <w:p w:rsidR="00035BE3" w:rsidRDefault="00035BE3" w:rsidP="00C10469">
      <w:pPr>
        <w:pStyle w:val="a6"/>
        <w:ind w:left="422" w:hanging="2"/>
        <w:rPr>
          <w:rtl/>
        </w:rPr>
      </w:pPr>
      <w:r>
        <w:rPr>
          <w:rFonts w:hint="cs"/>
          <w:rtl/>
        </w:rPr>
        <w:t>إذْ ما سبق هو قول الإمام أبي حنيفة ودليله.</w:t>
      </w:r>
      <w:r>
        <w:rPr>
          <w:rFonts w:hint="cs"/>
          <w:rtl/>
        </w:rPr>
        <w:tab/>
        <w:t xml:space="preserve">                                                  </w:t>
      </w:r>
    </w:p>
    <w:p w:rsidR="00035BE3" w:rsidRDefault="00035BE3" w:rsidP="00C10469">
      <w:pPr>
        <w:pStyle w:val="a6"/>
        <w:spacing w:line="480" w:lineRule="exact"/>
        <w:ind w:left="422" w:hanging="2"/>
        <w:rPr>
          <w:spacing w:val="4"/>
          <w:rtl/>
        </w:rPr>
      </w:pPr>
      <w:r>
        <w:rPr>
          <w:rFonts w:hint="cs"/>
          <w:spacing w:val="4"/>
          <w:rtl/>
        </w:rPr>
        <w:t>وقد خالفه في ذلك صاحباه فلم يشترطا إقامة البينة على موت المورِّث وعدد ورثته؛ بل قالا : «يقسمها باعترافهم، ويَذْكُرُ في كتاب القِسمة أنه قسمها بقولهم»- قاله صاحب الهداية، 9/430- أي يذكر القاضي في صك القِسْمَة أنه قسمها باعترافهم؛ لئلا يكون حكمه متعدِّيًا إلى غيرهم - أفاد ذلك صاحب العناية، 9/430-.</w:t>
      </w:r>
    </w:p>
  </w:footnote>
  <w:footnote w:id="18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الهداية والدّرر : «فيقسمه».</w:t>
      </w:r>
    </w:p>
  </w:footnote>
  <w:footnote w:id="18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9/430؛ والدّرر شرح الغرر، 2/421، مع اختلاف في موضعين : </w:t>
      </w:r>
    </w:p>
    <w:p w:rsidR="00035BE3" w:rsidRDefault="00035BE3" w:rsidP="00C10469">
      <w:pPr>
        <w:pStyle w:val="a6"/>
        <w:ind w:left="422" w:firstLine="0"/>
        <w:rPr>
          <w:rtl/>
        </w:rPr>
      </w:pPr>
      <w:r>
        <w:rPr>
          <w:rFonts w:hint="cs"/>
          <w:b/>
          <w:bCs/>
          <w:rtl/>
        </w:rPr>
        <w:t>أحدهما</w:t>
      </w:r>
      <w:r>
        <w:rPr>
          <w:rFonts w:hint="cs"/>
          <w:rtl/>
        </w:rPr>
        <w:t xml:space="preserve"> : سبق بيانه في الهامش السابق.</w:t>
      </w:r>
    </w:p>
    <w:p w:rsidR="00035BE3" w:rsidRDefault="00035BE3" w:rsidP="00C10469">
      <w:pPr>
        <w:pStyle w:val="a6"/>
        <w:ind w:left="422" w:firstLine="0"/>
        <w:rPr>
          <w:rtl/>
        </w:rPr>
      </w:pPr>
      <w:r>
        <w:rPr>
          <w:rFonts w:hint="cs"/>
          <w:b/>
          <w:bCs/>
          <w:rtl/>
        </w:rPr>
        <w:t>والثاني</w:t>
      </w:r>
      <w:r>
        <w:rPr>
          <w:rFonts w:hint="cs"/>
          <w:rtl/>
        </w:rPr>
        <w:t xml:space="preserve"> : أن صاحب (الهداية) قال في بداية الدليل : «لهما : أن اليد دليل الملك، والإقرار ...»، كما قال صاحب (الدّرر) : «لهما : أنه في أيديهما، وهو دليل الملك، والإقرار ...».</w:t>
      </w:r>
    </w:p>
  </w:footnote>
  <w:footnote w:id="18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 عرز ».</w:t>
      </w:r>
    </w:p>
  </w:footnote>
  <w:footnote w:id="18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21/أ من (د). وقد جاء في الغرر : «أو عقارًا».</w:t>
      </w:r>
    </w:p>
  </w:footnote>
  <w:footnote w:id="18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غرر الأحكام، 2/421 -مع الاختلاف الذي سبق بيانه في الهامش السابق.</w:t>
      </w:r>
    </w:p>
    <w:p w:rsidR="00035BE3" w:rsidRDefault="00035BE3" w:rsidP="00C10469">
      <w:pPr>
        <w:pStyle w:val="a6"/>
        <w:spacing w:line="480" w:lineRule="exact"/>
        <w:ind w:left="422" w:firstLine="0"/>
        <w:rPr>
          <w:rtl/>
        </w:rPr>
      </w:pPr>
      <w:r>
        <w:rPr>
          <w:rFonts w:hint="cs"/>
          <w:rtl/>
        </w:rPr>
        <w:t>ومناسبة ذكر المؤلف لكلام صاحب (الغرر) : أن المنقول الموروث والعقار المشترى تجوز قسمة القاسم لهما مطلقًا دون حاجة إلى بـيِّـنة - كما صرح بذلك صاحب (الغرر) - فكذلك العقار الموروث، بجامع أنّ الجميع في يد الشركاء، ولا منازع لهم فيه.</w:t>
      </w:r>
    </w:p>
  </w:footnote>
  <w:footnote w:id="18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والحاصل من جميع ما سبق.</w:t>
      </w:r>
    </w:p>
  </w:footnote>
  <w:footnote w:id="18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بطلب الشركاء بالاتفاق بين أبي حنيفة وصاحبيه.</w:t>
      </w:r>
    </w:p>
  </w:footnote>
  <w:footnote w:id="18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زيادة : « رثه ».</w:t>
      </w:r>
    </w:p>
  </w:footnote>
  <w:footnote w:id="18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 إرثه » : ساقطة من (د). ولعل هذا ممّا اشتبه على الناسخ، فأسقطها هنا وأثبت أكثرها في الموضع المبيَّن في الهامش السابق.</w:t>
      </w:r>
    </w:p>
  </w:footnote>
  <w:footnote w:id="1888">
    <w:p w:rsidR="00035BE3" w:rsidRPr="007A51ED"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4"/>
          <w:rtl/>
        </w:rPr>
        <w:t xml:space="preserve">  </w:t>
      </w:r>
      <w:r w:rsidRPr="007A51ED">
        <w:rPr>
          <w:rFonts w:hint="cs"/>
          <w:spacing w:val="-4"/>
          <w:rtl/>
        </w:rPr>
        <w:t>في (أ) و(جـ): «برهنوا» (بالباء). والصحيح ما تمَّ إثباته من (ب) و(د)، وهو الموافق للدّرر، 2/421.</w:t>
      </w:r>
    </w:p>
  </w:footnote>
  <w:footnote w:id="18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«ووراثته»، وفي (جـ) : «ورثته» (بإسقاط واو العطف)، وما تمَّ إثباته من (أ) كتب بخط صغير مخالف لحجم باقي الحروف.</w:t>
      </w:r>
    </w:p>
    <w:p w:rsidR="00035BE3" w:rsidRDefault="00035BE3" w:rsidP="00C10469">
      <w:pPr>
        <w:pStyle w:val="a6"/>
        <w:ind w:left="422" w:firstLine="0"/>
        <w:rPr>
          <w:rtl/>
        </w:rPr>
      </w:pPr>
      <w:r>
        <w:rPr>
          <w:rFonts w:hint="cs"/>
          <w:rtl/>
        </w:rPr>
        <w:t>وما جاء في (أ) وفي (ب) و(د) يمكن تأويله على وجه صحيح :</w:t>
      </w:r>
    </w:p>
    <w:p w:rsidR="00035BE3" w:rsidRDefault="00035BE3" w:rsidP="00C10469">
      <w:pPr>
        <w:pStyle w:val="a6"/>
        <w:ind w:left="422" w:firstLine="0"/>
        <w:rPr>
          <w:rtl/>
        </w:rPr>
      </w:pPr>
      <w:r>
        <w:rPr>
          <w:rFonts w:hint="cs"/>
          <w:rtl/>
        </w:rPr>
        <w:t xml:space="preserve">- إذْ جاء في (أ) : «وورثته»، والمعنى : (وعدد ورثته)؛ ويشهد لهذا ما جاء في بداية حديث المؤلف عن هذه المسألة حيث قال </w:t>
      </w:r>
      <w:r>
        <w:rPr>
          <w:rtl/>
        </w:rPr>
        <w:t>–</w:t>
      </w:r>
      <w:r>
        <w:rPr>
          <w:rFonts w:hint="cs"/>
          <w:rtl/>
        </w:rPr>
        <w:t xml:space="preserve"> ص515- : «حتى يبرهنوا على موته، وعدد </w:t>
      </w:r>
      <w:r>
        <w:rPr>
          <w:rFonts w:hint="cs"/>
          <w:b/>
          <w:bCs/>
          <w:rtl/>
        </w:rPr>
        <w:t>ورثـته</w:t>
      </w:r>
      <w:r>
        <w:rPr>
          <w:rFonts w:hint="cs"/>
          <w:rtl/>
        </w:rPr>
        <w:t>».</w:t>
      </w:r>
    </w:p>
    <w:p w:rsidR="00035BE3" w:rsidRDefault="00035BE3" w:rsidP="00C10469">
      <w:pPr>
        <w:pStyle w:val="a6"/>
        <w:ind w:left="422" w:firstLine="0"/>
        <w:rPr>
          <w:spacing w:val="6"/>
          <w:rtl/>
        </w:rPr>
      </w:pPr>
      <w:r>
        <w:rPr>
          <w:rFonts w:hint="cs"/>
          <w:spacing w:val="6"/>
          <w:rtl/>
        </w:rPr>
        <w:t>- وجاء في (ب) و(د) : «ووراثته»، والمعنى : حتى يبرهن الشركاء على موت مورثهم، وانحصار وراثته فيهم.</w:t>
      </w:r>
    </w:p>
  </w:footnote>
  <w:footnote w:id="18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 515.</w:t>
      </w:r>
    </w:p>
  </w:footnote>
  <w:footnote w:id="18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«يكون». والصحيح ما تمَّ إثباته من (ب) و(د).</w:t>
      </w:r>
    </w:p>
  </w:footnote>
  <w:footnote w:id="18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«الزنيته».</w:t>
      </w:r>
    </w:p>
  </w:footnote>
  <w:footnote w:id="18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33/أ من (أ).</w:t>
      </w:r>
    </w:p>
  </w:footnote>
  <w:footnote w:id="1894">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«لمصلحة». والصحيح ما تمَّ إثباته من (ب)، وهو الموافق لمصدر هذه القاعدة (وهو أشباه ابن نجيم) وبقية المصادر الآتي ذكرها.</w:t>
      </w:r>
    </w:p>
  </w:footnote>
  <w:footnote w:id="1895">
    <w:p w:rsidR="00035BE3" w:rsidRPr="006F6D5A" w:rsidRDefault="00035BE3" w:rsidP="00C10469">
      <w:pPr>
        <w:pStyle w:val="a8"/>
        <w:bidi/>
        <w:spacing w:line="221" w:lineRule="auto"/>
        <w:ind w:left="420" w:right="0"/>
        <w:rPr>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6F6D5A">
        <w:rPr>
          <w:rFonts w:hint="cs"/>
          <w:rtl/>
        </w:rPr>
        <w:t xml:space="preserve">هذه القاعدة وما جاء فيها مذكور في أشباه ابن نجيم، ص149؛ وانظر : غمز عيون البصائر، 1/369؛ أنوار البروق للقرافي، 4/39- ولفظه : «... كل من ولي ولاية الخلافة فما دونها إلى [الوصية] لا يحل له أن يتصرف إلا [بجلب] مصلحة أو درء مفسدة»، علمًا بأن ما بين المعقوفتين ورد في المطبوع : (أوصيه ... يجلب)-؛ الأشباه والنظائر لابن السبكي، 1/310 - ولفظه : «كل متصرف عن الغير فعليه أن يتصرف بالمصلحة...»-؛ المنثور، 1/309؛ الأشباه والنظائر للسيوطي، 1/278 - علمًا بأن الأخيرين ذكرا لفظ المؤلف وعند شرحهما له ذكرا أن هذه القاعدة نصَّ عليها الشافعي وقال : «منزلة الإمام من الرعية منزلة الوليّ من اليتيم»-؛ الفرائد البهية وشرحيها : الأقمار المضيئة، ص168؛ والمواهب السنية وحاشيتها: الفوائد الجنية، 2/123- ولفظ الفرائد : </w:t>
      </w:r>
    </w:p>
    <w:p w:rsidR="00035BE3" w:rsidRDefault="00035BE3" w:rsidP="00C10469">
      <w:pPr>
        <w:pStyle w:val="a6"/>
        <w:spacing w:line="221" w:lineRule="auto"/>
        <w:ind w:left="420" w:hanging="454"/>
        <w:jc w:val="center"/>
        <w:rPr>
          <w:b/>
          <w:bCs/>
          <w:rtl/>
        </w:rPr>
      </w:pPr>
      <w:r>
        <w:rPr>
          <w:rFonts w:hint="cs"/>
          <w:b/>
          <w:bCs/>
          <w:rtl/>
        </w:rPr>
        <w:t>تـصـرف الإمـام لـلـرعـيّـة          أنـيـط بالـمـصلحـة الـمـرعـية-؛</w:t>
      </w:r>
    </w:p>
    <w:p w:rsidR="00035BE3" w:rsidRDefault="00035BE3" w:rsidP="00C10469">
      <w:pPr>
        <w:pStyle w:val="a6"/>
        <w:spacing w:line="221" w:lineRule="auto"/>
        <w:ind w:left="420" w:firstLine="0"/>
        <w:rPr>
          <w:rtl/>
        </w:rPr>
      </w:pPr>
      <w:r>
        <w:rPr>
          <w:rFonts w:hint="cs"/>
          <w:rtl/>
        </w:rPr>
        <w:t>مجامع الحقائق (الخاتمة)، ص45؛ شرح العلائي لقواعد الخادمي، ل16/أ؛ منافع الدقائق، ص316؛ مجلة الأحكام العدلية، مادة 58- ولفظها : «التصرف على الرعية منوط بالمصلحة»؛ شرحـها لـسليم رستم، 1/42؛ ولعلي حيدر، 1/51؛ وللأتاسي، 1/141؛ وشرح قواعدها للزرقا، ص309؛ قواعد الفقه للمجدّدي، ص70، قاعدة 83؛ المدخل الفقهي العام، 2/1050، فقرة 662؛ القواعد الفقهية للدكتور علي الندوي، ص96، 157، 171، 317، 403، 466؛ الوجيز، ص292؛ موسوعة القـواعد الفقهية، 1/33، 4/307 - ولفظ الوجيز والأول من الموسوعة كالمجلة-؛ تطبيقات القواعد والضوابط للدكتور سعود الغديان، ص1011؛ المدخل إلى القواعد الفقهية الكلية، ص164؛ المبادئ الفقهية، ص36؛ القواعد الفقهية للدعاس، ص107، قاعدة 91؛ وللدكتور محمد الزحيلي، ص89.</w:t>
      </w:r>
    </w:p>
    <w:p w:rsidR="00035BE3" w:rsidRDefault="00035BE3" w:rsidP="00C10469">
      <w:pPr>
        <w:pStyle w:val="a6"/>
        <w:spacing w:line="221" w:lineRule="auto"/>
        <w:ind w:left="420" w:firstLine="0"/>
        <w:rPr>
          <w:rtl/>
        </w:rPr>
      </w:pPr>
      <w:r>
        <w:rPr>
          <w:rFonts w:hint="cs"/>
          <w:rtl/>
        </w:rPr>
        <w:t>وانظر من كتب الفقه : مغني المحتاج، 2/368؛ الدّر المختار، 6/313.</w:t>
      </w:r>
    </w:p>
  </w:footnote>
  <w:footnote w:id="1896">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«الأول».</w:t>
      </w:r>
    </w:p>
  </w:footnote>
  <w:footnote w:id="18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ص150 - علمًا بأنه قال في بداية العبارة :</w:t>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«وصرّحوا في كتاب الجنايات : أن السلطان لا يصح عفوه ...»؛ وانظر : شرح العلائي لقواعد الخادمي، ل16/أ؛ منافع الدقائق، ص316. ومن كتب الفقه التي صُرِّح فيها بذلك : الهداية وشرحاها : العناية وفتح القدير، 6/30؛ كنـز الدقائق وشرحاه : تبيين الحقائق، 3/270، 6/107-108؛ والبحر الرائق، 6/112، 8/342؛ الدّرر شرح الغرر، 1/295، 2/94.</w:t>
      </w:r>
    </w:p>
  </w:footnote>
  <w:footnote w:id="18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 تيسرت ».</w:t>
      </w:r>
    </w:p>
  </w:footnote>
  <w:footnote w:id="18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أخرجه سعيد بن منصور بنحوه في سننه، في تفسير سورة المائدة 4/1538، ح788 ؛ وابن سعد في الطبقات الكبرى بنحوه، في ذكر استخلاف عمر، 3/276؛ وابن أبي شيبة بنحوه، كتاب السير، فيما قالوا في عدل الوالي وقسمه، قليلاً كان أو كثيرًا، 6/460، ح23291؛ والبيهقي بلفظه، كتاب البيوع، باب من قال : يقضيه إذا أيسر، 6/4؛ وبلفظه أيضًا، كتاب قسم الفئ والغنيمة، باب ما يكون للوالي الأعظم ووالي الأقاليم، 6/354.</w:t>
      </w:r>
    </w:p>
    <w:p w:rsidR="00035BE3" w:rsidRDefault="00035BE3" w:rsidP="00C10469">
      <w:pPr>
        <w:pStyle w:val="a6"/>
        <w:ind w:left="422" w:firstLine="0"/>
        <w:rPr>
          <w:rtl/>
        </w:rPr>
      </w:pPr>
      <w:r>
        <w:rPr>
          <w:rFonts w:hint="cs"/>
          <w:rtl/>
        </w:rPr>
        <w:t>وهذا الحديث عندما أورده سعيد بن منصور بسنده قال : «سنده ضعيف».</w:t>
      </w:r>
    </w:p>
    <w:p w:rsidR="00035BE3" w:rsidRDefault="00035BE3" w:rsidP="00C10469">
      <w:pPr>
        <w:pStyle w:val="a6"/>
        <w:ind w:left="422" w:firstLine="0"/>
        <w:rPr>
          <w:spacing w:val="-6"/>
          <w:rtl/>
        </w:rPr>
      </w:pPr>
      <w:r>
        <w:rPr>
          <w:rFonts w:hint="cs"/>
          <w:spacing w:val="-6"/>
          <w:rtl/>
        </w:rPr>
        <w:t>كما أورده ابن كثير في تفسيره -2/218- والحافظ في تغليق التعليق -5/294- وقالا: «إسناد صحيح».</w:t>
      </w:r>
    </w:p>
  </w:footnote>
  <w:footnote w:id="19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 (جـ) : « إمام ». والصحيح ما تمَّ إثباته من (ب) و(د)، وهو الموافق لأشباه ابن نجيم.</w:t>
      </w:r>
    </w:p>
  </w:footnote>
  <w:footnote w:id="19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الخراج</w:t>
      </w:r>
      <w:r>
        <w:rPr>
          <w:rFonts w:hint="cs"/>
          <w:rtl/>
        </w:rPr>
        <w:t xml:space="preserve"> : ليعـقوب بـن إبراهيم بـن حـبيب، أبي يوسـف الأنـصاري صـاحب الإمام أبي حنيفة (113هـ- 182هـ).</w:t>
      </w:r>
    </w:p>
    <w:p w:rsidR="00035BE3" w:rsidRDefault="00035BE3" w:rsidP="00C10469">
      <w:pPr>
        <w:pStyle w:val="a6"/>
        <w:ind w:left="422" w:firstLine="0"/>
        <w:rPr>
          <w:rtl/>
        </w:rPr>
      </w:pPr>
      <w:r>
        <w:rPr>
          <w:rFonts w:hint="cs"/>
          <w:rtl/>
        </w:rPr>
        <w:t>وقد بيّن المؤلف في المقدمة ما تضمّنه الكتاب وسبب تأليفه له بقوله : «... إنّ أمير المؤمنين -أيده الله تعالى- [يعني : الخليفة هارون الرشيد] سألني أن أضع له كتابًا جامعًا، يعمل به في جباية الخراج والعشور والصدقات والجوالي [جميع جالية]، وغير ذلك ممّا يجب عليه النظر فيه والعمل به ...».</w:t>
      </w:r>
    </w:p>
    <w:p w:rsidR="00035BE3" w:rsidRDefault="00035BE3" w:rsidP="00C10469">
      <w:pPr>
        <w:pStyle w:val="a6"/>
        <w:ind w:left="422" w:firstLine="0"/>
        <w:rPr>
          <w:rtl/>
        </w:rPr>
      </w:pPr>
      <w:r>
        <w:rPr>
          <w:rFonts w:hint="cs"/>
          <w:rtl/>
        </w:rPr>
        <w:t>فَجَمَعَ فيه الأحاديث والآثار والأحكام الشرعية المتعلّقة بجباية ما ذكر، وما يلحقها من قسمة الغنائم وألفيء وتحديد القطاع وأرض السواد، وإحياء الموات وأحكام الأراضي والعقوبات المالية.</w:t>
      </w:r>
    </w:p>
    <w:p w:rsidR="00035BE3" w:rsidRDefault="00035BE3" w:rsidP="00C10469">
      <w:pPr>
        <w:pStyle w:val="a6"/>
        <w:ind w:left="422" w:firstLine="0"/>
        <w:rPr>
          <w:rtl/>
        </w:rPr>
      </w:pPr>
      <w:r>
        <w:rPr>
          <w:rFonts w:hint="cs"/>
          <w:rtl/>
        </w:rPr>
        <w:t xml:space="preserve">وقد طبع الكتاب مرارًا، ومن أقدم طبعاته : </w:t>
      </w:r>
    </w:p>
    <w:p w:rsidR="00035BE3" w:rsidRDefault="00035BE3" w:rsidP="00C10469">
      <w:pPr>
        <w:pStyle w:val="a6"/>
        <w:ind w:left="422" w:firstLine="0"/>
        <w:rPr>
          <w:rtl/>
        </w:rPr>
      </w:pPr>
      <w:r>
        <w:rPr>
          <w:rFonts w:hint="cs"/>
          <w:rtl/>
        </w:rPr>
        <w:t>طبعة المطبعة الأميرية، عام 1302هـ، وبهامشه الجامع الصغير في الفقه لمحمد بن الحسن الشيباني، وكذلك طبعة مطبعة بولاق في العام نفسه.</w:t>
      </w:r>
    </w:p>
    <w:p w:rsidR="00035BE3" w:rsidRDefault="00035BE3" w:rsidP="00C10469">
      <w:pPr>
        <w:pStyle w:val="a6"/>
        <w:ind w:left="422" w:firstLine="0"/>
        <w:rPr>
          <w:spacing w:val="-6"/>
          <w:rtl/>
        </w:rPr>
      </w:pPr>
      <w:r>
        <w:rPr>
          <w:rFonts w:hint="cs"/>
          <w:spacing w:val="-6"/>
          <w:rtl/>
        </w:rPr>
        <w:t xml:space="preserve">ومن الطبعات الحديثة : طبعة  ايج - ايم سعيد عبني بكراتشي، عام 1409هـ بعناية أبو الوفاء الأفغاني.  </w:t>
      </w:r>
    </w:p>
    <w:p w:rsidR="00035BE3" w:rsidRDefault="00035BE3" w:rsidP="00C10469">
      <w:pPr>
        <w:pStyle w:val="a6"/>
        <w:ind w:left="422" w:firstLine="0"/>
        <w:rPr>
          <w:spacing w:val="-6"/>
          <w:rtl/>
        </w:rPr>
      </w:pPr>
      <w:r>
        <w:rPr>
          <w:rFonts w:hint="cs"/>
          <w:spacing w:val="-6"/>
          <w:rtl/>
        </w:rPr>
        <w:t xml:space="preserve">انظر: كتاب الخراج لأبي يوسف، ص3؛ الفهرست للنديم، ص253؛ كشف الظنون، 2/1415؛ النافع الكبير شرح الجامع الصغير (المقدمة)، ص38؛ الفوائد البهية، ص225؛ هدية العارفين، 2/536؛ الفكر </w:t>
      </w:r>
      <w:r w:rsidRPr="0097283F">
        <w:rPr>
          <w:rFonts w:hint="cs"/>
          <w:spacing w:val="-8"/>
          <w:rtl/>
        </w:rPr>
        <w:t>السامي في تاريخ الفقه الإسلامي، 2/512؛ الفتح المبين، 1/114؛ مرجع العلوم الإسلامية، ص550-551.</w:t>
      </w:r>
    </w:p>
  </w:footnote>
  <w:footnote w:id="19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هو عمار بن ياسر</w:t>
      </w:r>
      <w:r>
        <w:rPr>
          <w:rFonts w:hint="cs"/>
          <w:rtl/>
        </w:rPr>
        <w:t xml:space="preserve"> بن عمار بن مالك بن كنانة بن قيس بن حصين العنسي ثم المُذْحِجي، أبو اليقظان. حليفٌ لبني مخزوم، وأمّه سميّة، مولاة لهم.</w:t>
      </w:r>
    </w:p>
    <w:p w:rsidR="00035BE3" w:rsidRDefault="00035BE3" w:rsidP="00C10469">
      <w:pPr>
        <w:pStyle w:val="a6"/>
        <w:ind w:left="422" w:firstLine="0"/>
        <w:rPr>
          <w:rtl/>
        </w:rPr>
      </w:pPr>
      <w:r>
        <w:rPr>
          <w:rFonts w:hint="cs"/>
          <w:rtl/>
        </w:rPr>
        <w:t xml:space="preserve">كان من الصحابة الأولين، هاجر الهجرتين وشهد المشاهد كلها، وروى عن النبي </w:t>
      </w:r>
      <w:r>
        <w:rPr>
          <w:rFonts w:ascii="AGA Arabesque" w:hAnsi="AGA Arabesque"/>
          <w:sz w:val="36"/>
          <w:szCs w:val="36"/>
          <w:lang w:val="en-US"/>
        </w:rPr>
        <w:t></w:t>
      </w:r>
      <w:r>
        <w:rPr>
          <w:rFonts w:hint="cs"/>
          <w:rtl/>
        </w:rPr>
        <w:t xml:space="preserve"> عدّة أحاديث، واستعمله عمر </w:t>
      </w:r>
      <w:r>
        <w:rPr>
          <w:rFonts w:ascii="AGA Arabesque" w:hAnsi="AGA Arabesque"/>
          <w:sz w:val="36"/>
          <w:szCs w:val="36"/>
          <w:lang w:val="en-US"/>
        </w:rPr>
        <w:t></w:t>
      </w:r>
      <w:r>
        <w:rPr>
          <w:rFonts w:hint="cs"/>
          <w:rtl/>
        </w:rPr>
        <w:t xml:space="preserve"> على الكوفة، وكانت وفاته مقتولاً في صفيّن سنة 37هـ، ودفنه علي </w:t>
      </w:r>
      <w:r>
        <w:rPr>
          <w:rFonts w:ascii="AGA Arabesque" w:hAnsi="AGA Arabesque"/>
          <w:sz w:val="36"/>
          <w:szCs w:val="36"/>
          <w:lang w:val="en-US"/>
        </w:rPr>
        <w:t></w:t>
      </w:r>
      <w:r>
        <w:rPr>
          <w:rFonts w:hint="cs"/>
          <w:rtl/>
        </w:rPr>
        <w:t xml:space="preserve"> في ثيابه ولم يغسله. رضي الله عنه وأرضاه.</w:t>
      </w:r>
    </w:p>
    <w:p w:rsidR="00035BE3" w:rsidRDefault="00035BE3" w:rsidP="00C10469">
      <w:pPr>
        <w:pStyle w:val="a6"/>
        <w:ind w:left="422" w:firstLine="0"/>
        <w:rPr>
          <w:rtl/>
        </w:rPr>
      </w:pPr>
      <w:r>
        <w:rPr>
          <w:rFonts w:hint="cs"/>
          <w:rtl/>
        </w:rPr>
        <w:t>انظر : الطبقات الكبرى لابن سعد، 3/246-264؛ الاستيعاب، 3/1135-1141، رقم 1863؛ الإصابة، 4/575-576، رقم 5708.</w:t>
      </w:r>
    </w:p>
  </w:footnote>
  <w:footnote w:id="19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25/ب من (جـ).</w:t>
      </w:r>
    </w:p>
  </w:footnote>
  <w:footnote w:id="19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هو عبد الله بن مسعود</w:t>
      </w:r>
      <w:r>
        <w:rPr>
          <w:rFonts w:hint="cs"/>
          <w:rtl/>
        </w:rPr>
        <w:t xml:space="preserve"> بن غافل بن حبيب بن شَمْخ بن فأَر بن مخزوم ... بن هذيل، أبو عبد الله الهذلي. توفي بالمدينة سنة 32هـ وهو ابن بضع وستين سنة.</w:t>
      </w:r>
    </w:p>
    <w:p w:rsidR="00035BE3" w:rsidRDefault="00035BE3" w:rsidP="00C10469">
      <w:pPr>
        <w:pStyle w:val="a6"/>
        <w:ind w:left="422" w:firstLine="0"/>
        <w:rPr>
          <w:spacing w:val="-8"/>
          <w:rtl/>
        </w:rPr>
      </w:pPr>
      <w:r>
        <w:rPr>
          <w:rFonts w:hint="cs"/>
          <w:spacing w:val="-8"/>
          <w:rtl/>
        </w:rPr>
        <w:t xml:space="preserve">وكان قد «أسلم قديمًا، وهاجر الهجرتين، وشهد بدرًا والمشاهد بعدها، ولازم النبي </w:t>
      </w:r>
      <w:r>
        <w:rPr>
          <w:rFonts w:ascii="AGA Arabesque" w:hAnsi="AGA Arabesque"/>
          <w:spacing w:val="-8"/>
          <w:sz w:val="36"/>
          <w:szCs w:val="36"/>
          <w:lang w:val="en-US"/>
        </w:rPr>
        <w:t></w:t>
      </w:r>
      <w:r>
        <w:rPr>
          <w:rFonts w:hint="cs"/>
          <w:spacing w:val="-8"/>
          <w:rtl/>
        </w:rPr>
        <w:t xml:space="preserve"> ، وكان صاحب نعليه.</w:t>
      </w:r>
    </w:p>
    <w:p w:rsidR="00035BE3" w:rsidRDefault="00035BE3" w:rsidP="00C10469">
      <w:pPr>
        <w:pStyle w:val="a6"/>
        <w:ind w:left="422" w:firstLine="0"/>
        <w:rPr>
          <w:rtl/>
        </w:rPr>
      </w:pPr>
      <w:r>
        <w:rPr>
          <w:rFonts w:hint="cs"/>
          <w:rtl/>
        </w:rPr>
        <w:t xml:space="preserve">وحدّث عن النبي </w:t>
      </w:r>
      <w:r>
        <w:rPr>
          <w:rFonts w:ascii="AGA Arabesque" w:hAnsi="AGA Arabesque"/>
          <w:sz w:val="36"/>
          <w:szCs w:val="36"/>
          <w:lang w:val="en-US"/>
        </w:rPr>
        <w:t></w:t>
      </w:r>
      <w:r>
        <w:rPr>
          <w:rFonts w:hint="cs"/>
          <w:rtl/>
        </w:rPr>
        <w:t xml:space="preserve"> بالكثير، وعن عمر وسعد بن معاذ»- قاله ابن حجر - «وشهد له رسول الله </w:t>
      </w:r>
      <w:r>
        <w:rPr>
          <w:rFonts w:ascii="AGA Arabesque" w:hAnsi="AGA Arabesque"/>
          <w:sz w:val="36"/>
          <w:szCs w:val="36"/>
          <w:lang w:val="en-US"/>
        </w:rPr>
        <w:t></w:t>
      </w:r>
      <w:r>
        <w:rPr>
          <w:rFonts w:hint="cs"/>
          <w:rtl/>
        </w:rPr>
        <w:t xml:space="preserve"> بالجنة فيما ذكر في حديث العشرة بإسناد حسن جيّد»- قاله ابن عبد البّر ثم ساق الحديث-.</w:t>
      </w:r>
    </w:p>
    <w:p w:rsidR="00035BE3" w:rsidRDefault="00035BE3" w:rsidP="00C10469">
      <w:pPr>
        <w:pStyle w:val="a6"/>
        <w:ind w:left="422" w:firstLine="0"/>
        <w:rPr>
          <w:rtl/>
        </w:rPr>
      </w:pPr>
      <w:r>
        <w:rPr>
          <w:rFonts w:hint="cs"/>
          <w:rtl/>
        </w:rPr>
        <w:t xml:space="preserve">وقد «سئل عليّ </w:t>
      </w:r>
      <w:r>
        <w:rPr>
          <w:rFonts w:ascii="AGA Arabesque" w:hAnsi="AGA Arabesque"/>
          <w:sz w:val="36"/>
          <w:szCs w:val="36"/>
          <w:lang w:val="en-US"/>
        </w:rPr>
        <w:t></w:t>
      </w:r>
      <w:r>
        <w:rPr>
          <w:rFonts w:hint="cs"/>
          <w:rtl/>
        </w:rPr>
        <w:t xml:space="preserve"> عن قوم من الصحابة منهم عبد الله بن مسعود فقال : أما ابن مسعود فقرأ القرآن وعلم السنة وكفى بذلك»- قاله ابن عبد البر أيضًا -. </w:t>
      </w:r>
    </w:p>
    <w:p w:rsidR="00035BE3" w:rsidRDefault="00035BE3" w:rsidP="00C10469">
      <w:pPr>
        <w:pStyle w:val="a6"/>
        <w:ind w:left="422" w:firstLine="0"/>
        <w:rPr>
          <w:rtl/>
        </w:rPr>
      </w:pPr>
      <w:r>
        <w:rPr>
          <w:rFonts w:hint="cs"/>
          <w:rtl/>
        </w:rPr>
        <w:t xml:space="preserve">وأخرج ابن سعد بسنده عن عمر بن الخطاب </w:t>
      </w:r>
      <w:r>
        <w:rPr>
          <w:rFonts w:ascii="AGA Arabesque" w:hAnsi="AGA Arabesque"/>
          <w:sz w:val="36"/>
          <w:szCs w:val="36"/>
          <w:lang w:val="en-US"/>
        </w:rPr>
        <w:t></w:t>
      </w:r>
      <w:r>
        <w:rPr>
          <w:rFonts w:hint="cs"/>
          <w:rtl/>
        </w:rPr>
        <w:t xml:space="preserve"> قال : كُنَيْفٌ مٌلِئ علْمًا».</w:t>
      </w:r>
    </w:p>
    <w:p w:rsidR="00035BE3" w:rsidRDefault="00035BE3" w:rsidP="00C10469">
      <w:pPr>
        <w:pStyle w:val="a6"/>
        <w:ind w:left="422" w:firstLine="0"/>
        <w:rPr>
          <w:rtl/>
        </w:rPr>
      </w:pPr>
      <w:r>
        <w:rPr>
          <w:rFonts w:hint="cs"/>
          <w:rtl/>
        </w:rPr>
        <w:t>طبقات ابن سعد، 2/344، وانظر منه 342-344؛ الاستيعاب، 3/988، وانظر منه :  3/987-994، رقم 1659؛ الإصابة، 4/233، وانظر منه : 4/233-236، رقم 4957.</w:t>
      </w:r>
    </w:p>
  </w:footnote>
  <w:footnote w:id="1905">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و(د) : « حيف ». والصحيح ما تمَّ إثباته من (ب) و(جـ)</w:t>
      </w:r>
      <w:r>
        <w:rPr>
          <w:rFonts w:hint="cs"/>
          <w:rtl/>
        </w:rPr>
        <w:t>، وهو الموافق</w:t>
      </w:r>
      <w:r>
        <w:rPr>
          <w:rFonts w:hint="cs"/>
          <w:spacing w:val="-4"/>
          <w:rtl/>
        </w:rPr>
        <w:t xml:space="preserve"> لأشباه ابن نجيم، وكتاب الخراج نفسه.</w:t>
      </w:r>
    </w:p>
  </w:footnote>
  <w:footnote w:id="19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هو عثمان بن حُنيف</w:t>
      </w:r>
      <w:r>
        <w:rPr>
          <w:rFonts w:hint="cs"/>
          <w:rtl/>
        </w:rPr>
        <w:t xml:space="preserve"> بن واهب بن العُكيم بن ثعلبة بن الحارث بن مجدعة، أبو عمرو الأنصاري، أخو سهل بن حُنيف. توفي في خلافة معاوية.</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والجمهور على أنّ أول مشاهده أحد، خلافًا للترمذي الذي ذكر أنها بدر. وقد عمل لعمر ثم لعلي رضي الله عنهم جميعًا.</w:t>
      </w:r>
    </w:p>
    <w:p w:rsidR="00035BE3" w:rsidRDefault="00035BE3" w:rsidP="00C10469">
      <w:pPr>
        <w:pStyle w:val="a6"/>
        <w:ind w:left="422" w:firstLine="0"/>
        <w:rPr>
          <w:spacing w:val="-2"/>
          <w:rtl/>
        </w:rPr>
      </w:pPr>
      <w:r>
        <w:rPr>
          <w:rFonts w:hint="cs"/>
          <w:spacing w:val="-2"/>
          <w:rtl/>
        </w:rPr>
        <w:t>انظر الطبقات الكبرى لابن سعد، 3/255، 337، 5/48، 6/8، 8/495؛ الاستيعاب، 3/1033، رقم 1769؛ الإصابة، 3/198، 4/449، رقم 5439.</w:t>
      </w:r>
    </w:p>
  </w:footnote>
  <w:footnote w:id="19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الأية رقم (6)، من سورة (النساء).</w:t>
      </w:r>
    </w:p>
  </w:footnote>
  <w:footnote w:id="19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 أدري ».</w:t>
      </w:r>
    </w:p>
  </w:footnote>
  <w:footnote w:id="1909">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أخرجه أبو يوسف بنحوه في كتاب الخراج بسنده، ص36؛ وأخرجه ابن سعد في الطبقات مختصرًا، 3/255؛ والبيهقي بنحوه، كتاب قسم الفئ والغنيمة، </w:t>
      </w:r>
      <w:r>
        <w:rPr>
          <w:rFonts w:hint="cs"/>
          <w:spacing w:val="-6"/>
          <w:rtl/>
        </w:rPr>
        <w:t>باب ما يكون للوالي الأعظم ووالي الأقاليم من مال الله، 6/354؛</w:t>
      </w:r>
      <w:r>
        <w:rPr>
          <w:rFonts w:hint="cs"/>
          <w:spacing w:val="-4"/>
          <w:rtl/>
        </w:rPr>
        <w:t xml:space="preserve"> وبنحوه أيضًا، جامع أبواب السير، باب قدر الخراج الذي وضع على السواد، 9/136.</w:t>
      </w:r>
    </w:p>
  </w:footnote>
  <w:footnote w:id="19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 ص150 - مع اختلاف يسير -.</w:t>
      </w:r>
    </w:p>
  </w:footnote>
  <w:footnote w:id="191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22/أ من (ب).</w:t>
      </w:r>
    </w:p>
  </w:footnote>
  <w:footnote w:id="191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(هـ) و(و) : زيادة </w:t>
      </w:r>
      <w:r>
        <w:rPr>
          <w:rFonts w:hint="eastAsia"/>
          <w:rtl/>
        </w:rPr>
        <w:t>«</w:t>
      </w:r>
      <w:r>
        <w:rPr>
          <w:rFonts w:hint="cs"/>
          <w:rtl/>
        </w:rPr>
        <w:t>الغير</w:t>
      </w:r>
      <w:r>
        <w:rPr>
          <w:rFonts w:hint="eastAsia"/>
          <w:rtl/>
        </w:rPr>
        <w:t>»</w:t>
      </w:r>
      <w:r>
        <w:rPr>
          <w:rFonts w:hint="cs"/>
          <w:rtl/>
        </w:rPr>
        <w:t>.</w:t>
      </w:r>
    </w:p>
  </w:footnote>
  <w:footnote w:id="191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المعنى أو بما يخالفه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أنوار البروق، 1/75؛ ترتيب الفروق واختصارها، 1/62؛ تهذيب الفروق لابن حسين، 1/77 - ولفظهم : </w:t>
      </w:r>
      <w:r>
        <w:rPr>
          <w:rFonts w:hint="eastAsia"/>
          <w:rtl/>
        </w:rPr>
        <w:t>«</w:t>
      </w:r>
      <w:r>
        <w:rPr>
          <w:rFonts w:hint="cs"/>
          <w:rtl/>
        </w:rPr>
        <w:t>أنّ من تصرف فيما يملك وفيما لا يملك : نفذ تصرفه فيما يملك دون ما لا يملك</w:t>
      </w:r>
      <w:r>
        <w:rPr>
          <w:rFonts w:hint="eastAsia"/>
          <w:rtl/>
        </w:rPr>
        <w:t>»</w:t>
      </w:r>
      <w:r>
        <w:rPr>
          <w:rFonts w:hint="cs"/>
          <w:rtl/>
        </w:rPr>
        <w:t xml:space="preserve">-؛ المنثور في القواعد، 2/343، 3/360 - ولفظه الثاني: </w:t>
      </w:r>
      <w:r>
        <w:rPr>
          <w:rFonts w:hint="eastAsia"/>
          <w:rtl/>
        </w:rPr>
        <w:t>«</w:t>
      </w:r>
      <w:r>
        <w:rPr>
          <w:rFonts w:hint="cs"/>
          <w:rtl/>
        </w:rPr>
        <w:t>لا يجب الضمان بإتلاف ملكه إلا إذا تعلق به حقٌّ لغيره</w:t>
      </w:r>
      <w:r>
        <w:rPr>
          <w:rFonts w:hint="eastAsia"/>
          <w:rtl/>
        </w:rPr>
        <w:t>»</w:t>
      </w:r>
      <w:r>
        <w:rPr>
          <w:rFonts w:hint="cs"/>
          <w:rtl/>
        </w:rPr>
        <w:t xml:space="preserve">-؛ مجامع الحقائق (الخاتمة)، ص45؛ شرح العلائي لقواعد الخادمي، ل17/أ؛ منافع الدقائق، ص316 - وجاء في آخر القاعدة عندهم : </w:t>
      </w:r>
      <w:r>
        <w:rPr>
          <w:rFonts w:hint="eastAsia"/>
          <w:rtl/>
        </w:rPr>
        <w:t>«</w:t>
      </w:r>
      <w:r>
        <w:rPr>
          <w:rFonts w:hint="cs"/>
          <w:rtl/>
        </w:rPr>
        <w:t xml:space="preserve">... إذا لم يتضرر به </w:t>
      </w:r>
      <w:r>
        <w:rPr>
          <w:rFonts w:hint="cs"/>
          <w:b/>
          <w:bCs/>
          <w:rtl/>
        </w:rPr>
        <w:t>الجار</w:t>
      </w:r>
      <w:r>
        <w:rPr>
          <w:rFonts w:hint="eastAsia"/>
          <w:rtl/>
        </w:rPr>
        <w:t>»</w:t>
      </w:r>
      <w:r>
        <w:rPr>
          <w:rFonts w:hint="cs"/>
          <w:rtl/>
        </w:rPr>
        <w:t xml:space="preserve">-؛ الفرائد البهية للحمزاوي، ص110، قاعدة 153 - ولفظه : </w:t>
      </w:r>
      <w:r>
        <w:rPr>
          <w:rFonts w:hint="eastAsia"/>
          <w:rtl/>
        </w:rPr>
        <w:t>«</w:t>
      </w:r>
      <w:r>
        <w:rPr>
          <w:rFonts w:hint="cs"/>
          <w:rtl/>
        </w:rPr>
        <w:t>لا يُمنع الرجل من التصرف بملكه</w:t>
      </w:r>
      <w:r>
        <w:rPr>
          <w:rFonts w:hint="eastAsia"/>
          <w:rtl/>
        </w:rPr>
        <w:t>»</w:t>
      </w:r>
      <w:r>
        <w:rPr>
          <w:rFonts w:hint="cs"/>
          <w:rtl/>
        </w:rPr>
        <w:t xml:space="preserve">-؛ القواعد الفقهية للدكتور علي الندوي، ص112،  ولفظه : </w:t>
      </w:r>
      <w:r>
        <w:rPr>
          <w:rFonts w:hint="eastAsia"/>
          <w:rtl/>
        </w:rPr>
        <w:t>«</w:t>
      </w:r>
      <w:r>
        <w:rPr>
          <w:rFonts w:hint="cs"/>
          <w:rtl/>
        </w:rPr>
        <w:t>إذا ثبت الملك : جاز التصرف، ما لم يكن فيه إبطال حق لغيره</w:t>
      </w:r>
      <w:r>
        <w:rPr>
          <w:rFonts w:hint="eastAsia"/>
          <w:rtl/>
        </w:rPr>
        <w:t>»</w:t>
      </w:r>
      <w:r>
        <w:rPr>
          <w:rFonts w:hint="cs"/>
          <w:rtl/>
        </w:rPr>
        <w:t xml:space="preserve">-؛ القواعد والضوابط المستخلصة من التحرير، ص168، 480، 492، 496 - ولفظه الأول: </w:t>
      </w:r>
      <w:r>
        <w:rPr>
          <w:rFonts w:hint="eastAsia"/>
          <w:rtl/>
        </w:rPr>
        <w:t>«</w:t>
      </w:r>
      <w:r>
        <w:rPr>
          <w:rFonts w:hint="cs"/>
          <w:rtl/>
        </w:rPr>
        <w:t>تصرُّف المرء في حق نفسه يجوز ... وفي حق غيره بغير إذنه لا يجوز ...</w:t>
      </w:r>
      <w:r>
        <w:rPr>
          <w:rFonts w:hint="eastAsia"/>
          <w:rtl/>
        </w:rPr>
        <w:t>»</w:t>
      </w:r>
      <w:r>
        <w:rPr>
          <w:rFonts w:hint="cs"/>
          <w:rtl/>
        </w:rPr>
        <w:t xml:space="preserve">، ولفظه الأخير : </w:t>
      </w:r>
      <w:r>
        <w:rPr>
          <w:rFonts w:hint="eastAsia"/>
          <w:rtl/>
        </w:rPr>
        <w:t>«</w:t>
      </w:r>
      <w:r>
        <w:rPr>
          <w:rFonts w:hint="cs"/>
          <w:rtl/>
        </w:rPr>
        <w:t>من تصرف في ملكه تصرفًا يلحق الضرر بغيره : يتمكن ذلك الغير من دفع الضرر عن نفسه</w:t>
      </w:r>
      <w:r>
        <w:rPr>
          <w:rFonts w:hint="eastAsia"/>
          <w:rtl/>
        </w:rPr>
        <w:t>»</w:t>
      </w:r>
      <w:r>
        <w:rPr>
          <w:rFonts w:hint="cs"/>
          <w:rtl/>
        </w:rPr>
        <w:t xml:space="preserve">، علمًا بأنه أحال الأول إلى شرح الجامع الصغير للكردري، ل116/أ، والأخير إلى التحرير، 6/140-؛ مـوسوعـة القواعد الفقهية، 4/309- وقد ذكر لفظين : </w:t>
      </w:r>
      <w:r>
        <w:rPr>
          <w:rFonts w:hint="cs"/>
          <w:b/>
          <w:bCs/>
          <w:rtl/>
        </w:rPr>
        <w:t>أحدهما</w:t>
      </w:r>
      <w:r>
        <w:rPr>
          <w:rFonts w:hint="cs"/>
          <w:rtl/>
        </w:rPr>
        <w:t xml:space="preserve"> موافق للفظ المؤلف، و</w:t>
      </w:r>
      <w:r>
        <w:rPr>
          <w:rFonts w:hint="cs"/>
          <w:b/>
          <w:bCs/>
          <w:rtl/>
        </w:rPr>
        <w:t>الثاني</w:t>
      </w:r>
      <w:r>
        <w:rPr>
          <w:rFonts w:hint="cs"/>
          <w:rtl/>
        </w:rPr>
        <w:t xml:space="preserve"> : مخالف له. ونصّه : </w:t>
      </w:r>
      <w:r>
        <w:rPr>
          <w:rFonts w:hint="eastAsia"/>
          <w:rtl/>
        </w:rPr>
        <w:t>«</w:t>
      </w:r>
      <w:r>
        <w:rPr>
          <w:rFonts w:hint="cs"/>
          <w:rtl/>
        </w:rPr>
        <w:t>تصرُّف المالك في ملكه لا يتقيد بشرط السلامة</w:t>
      </w:r>
      <w:r>
        <w:rPr>
          <w:rFonts w:hint="eastAsia"/>
          <w:rtl/>
        </w:rPr>
        <w:t>»</w:t>
      </w:r>
      <w:r>
        <w:rPr>
          <w:rFonts w:hint="cs"/>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المبسوط، 23/188 - علمًا بأن اللفظ الأخير المعزو إلى الموسـوعـة مستفاد من هذا الموضع من المبسوط - شرح الزيادات لقاضي خان، ص1931؛ المصفى للنسفي، ل70/أ؛ العناية، 9/198؛ فتح القدير، 7/508.</w:t>
      </w:r>
    </w:p>
    <w:p w:rsidR="00035BE3" w:rsidRDefault="00035BE3" w:rsidP="00C10469">
      <w:pPr>
        <w:pStyle w:val="a6"/>
        <w:ind w:left="422" w:firstLine="0"/>
        <w:rPr>
          <w:b/>
          <w:bCs/>
          <w:rtl/>
        </w:rPr>
      </w:pPr>
      <w:r>
        <w:rPr>
          <w:rFonts w:hint="cs"/>
          <w:b/>
          <w:bCs/>
          <w:rtl/>
        </w:rPr>
        <w:t>يضاف إلى هذه الكتب :</w:t>
      </w:r>
    </w:p>
    <w:p w:rsidR="00035BE3" w:rsidRDefault="00035BE3" w:rsidP="00C10469">
      <w:pPr>
        <w:pStyle w:val="a6"/>
        <w:ind w:left="422" w:firstLine="0"/>
        <w:rPr>
          <w:rtl/>
        </w:rPr>
      </w:pPr>
      <w:r>
        <w:rPr>
          <w:rFonts w:hint="cs"/>
          <w:rtl/>
        </w:rPr>
        <w:t>معالم السنة للخطابي، 5/140.</w:t>
      </w:r>
    </w:p>
    <w:p w:rsidR="00035BE3" w:rsidRDefault="00035BE3" w:rsidP="00C10469">
      <w:pPr>
        <w:pStyle w:val="a6"/>
        <w:ind w:left="422" w:firstLine="0"/>
        <w:rPr>
          <w:rtl/>
        </w:rPr>
      </w:pPr>
      <w:r>
        <w:rPr>
          <w:rFonts w:hint="cs"/>
          <w:rtl/>
        </w:rPr>
        <w:t>وبالمقارنة بين الألفاظ المذكورة يلحظ أن بعضها موافق للفظ المؤلف في تقيد جواز تصرف الإنسان في حقّه بعدم الإضرار بغيره.</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وبعضها الآخر مخالف له من جهة إطلاق الحكم دون تقييده بهذا القيد؛ بل صرح البعض بنفي هذا القيد وقال : </w:t>
      </w:r>
      <w:r>
        <w:rPr>
          <w:rFonts w:hint="eastAsia"/>
          <w:rtl/>
        </w:rPr>
        <w:t>«</w:t>
      </w:r>
      <w:r>
        <w:rPr>
          <w:rFonts w:hint="cs"/>
          <w:rtl/>
        </w:rPr>
        <w:t>تصرف المالك في ملكه لا يتقيَّد بشرط السَّلامة</w:t>
      </w:r>
      <w:r>
        <w:rPr>
          <w:rFonts w:hint="eastAsia"/>
          <w:rtl/>
        </w:rPr>
        <w:t>»</w:t>
      </w:r>
      <w:r>
        <w:rPr>
          <w:rFonts w:hint="cs"/>
          <w:rtl/>
        </w:rPr>
        <w:t>.</w:t>
      </w:r>
    </w:p>
    <w:p w:rsidR="00035BE3" w:rsidRDefault="00035BE3" w:rsidP="00C10469">
      <w:pPr>
        <w:pStyle w:val="a6"/>
        <w:ind w:left="422" w:firstLine="0"/>
        <w:rPr>
          <w:rtl/>
        </w:rPr>
      </w:pPr>
      <w:r>
        <w:rPr>
          <w:rFonts w:hint="cs"/>
          <w:rtl/>
        </w:rPr>
        <w:t>وهذان الاتجاهان يمثلان قولين عند الحنفية:</w:t>
      </w:r>
    </w:p>
    <w:p w:rsidR="00035BE3" w:rsidRDefault="00035BE3" w:rsidP="00C10469">
      <w:pPr>
        <w:pStyle w:val="a6"/>
        <w:ind w:left="422" w:firstLine="0"/>
        <w:rPr>
          <w:rtl/>
        </w:rPr>
      </w:pPr>
      <w:r>
        <w:rPr>
          <w:rFonts w:hint="cs"/>
          <w:b/>
          <w:bCs/>
          <w:rtl/>
        </w:rPr>
        <w:t>الأول</w:t>
      </w:r>
      <w:r>
        <w:rPr>
          <w:rFonts w:hint="cs"/>
          <w:rtl/>
        </w:rPr>
        <w:t xml:space="preserve"> : تصحيح تصرف الإنسان في ملكه مطلقًا. وهذا قول الإمام أبي حنيفة. </w:t>
      </w:r>
    </w:p>
    <w:p w:rsidR="00035BE3" w:rsidRDefault="00035BE3" w:rsidP="00C10469">
      <w:pPr>
        <w:pStyle w:val="a6"/>
        <w:ind w:left="422" w:firstLine="0"/>
        <w:rPr>
          <w:rtl/>
        </w:rPr>
      </w:pPr>
      <w:r>
        <w:rPr>
          <w:rFonts w:hint="cs"/>
          <w:b/>
          <w:bCs/>
          <w:rtl/>
        </w:rPr>
        <w:t>الثاني</w:t>
      </w:r>
      <w:r>
        <w:rPr>
          <w:rFonts w:hint="cs"/>
          <w:rtl/>
        </w:rPr>
        <w:t xml:space="preserve"> : تصحيح ذلك بقيد، وهو أن لا يتضرر غيره. وهذا قول أبي يوسف.</w:t>
      </w:r>
    </w:p>
    <w:p w:rsidR="00035BE3" w:rsidRDefault="00035BE3" w:rsidP="00C10469">
      <w:pPr>
        <w:pStyle w:val="a6"/>
        <w:ind w:left="422" w:firstLine="0"/>
        <w:rPr>
          <w:rtl/>
        </w:rPr>
      </w:pPr>
      <w:r>
        <w:rPr>
          <w:rFonts w:hint="cs"/>
          <w:rtl/>
        </w:rPr>
        <w:t xml:space="preserve">وقد حكى هذين القولين الحمزاوي في الفرائد البهية، ص110، ورجح الثاني بقوله : </w:t>
      </w:r>
      <w:r>
        <w:rPr>
          <w:rFonts w:hint="eastAsia"/>
          <w:rtl/>
        </w:rPr>
        <w:t>«</w:t>
      </w:r>
      <w:r>
        <w:rPr>
          <w:rFonts w:hint="cs"/>
          <w:rtl/>
        </w:rPr>
        <w:t>غير أن الفتوى اليوم على قول مشايخ بلخ الذي هو قول أبي يوسف، من أنَّ الضرر إذا كان بيِّـنًا يمنع ...</w:t>
      </w:r>
      <w:r>
        <w:rPr>
          <w:rFonts w:hint="eastAsia"/>
          <w:rtl/>
        </w:rPr>
        <w:t>»</w:t>
      </w:r>
      <w:r>
        <w:rPr>
          <w:rFonts w:hint="cs"/>
          <w:rtl/>
        </w:rPr>
        <w:t>؛ وانظر موسوعة القواعد، 4/309.</w:t>
      </w:r>
    </w:p>
    <w:p w:rsidR="00035BE3" w:rsidRDefault="00035BE3" w:rsidP="00C10469">
      <w:pPr>
        <w:pStyle w:val="a6"/>
        <w:ind w:left="422" w:firstLine="0"/>
        <w:rPr>
          <w:rtl/>
        </w:rPr>
      </w:pPr>
      <w:r>
        <w:rPr>
          <w:rFonts w:hint="cs"/>
          <w:rtl/>
        </w:rPr>
        <w:t>وللتوسع فيما يتعلق بمدى تأثير الضرر بالآخرين على تصرف الإنسان في خالص حقّه، وبيان آراء المذاهب الفقهية في ذلك انظر : الضرر في الفقه الإسلامي للدكتور أحمد موافي، 1/251-327.</w:t>
      </w:r>
    </w:p>
  </w:footnote>
  <w:footnote w:id="191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لكان</w:t>
      </w:r>
      <w:r>
        <w:rPr>
          <w:rFonts w:hint="eastAsia"/>
          <w:rtl/>
        </w:rPr>
        <w:t>»</w:t>
      </w:r>
      <w:r>
        <w:rPr>
          <w:rFonts w:hint="cs"/>
          <w:rtl/>
        </w:rPr>
        <w:t>.</w:t>
      </w:r>
    </w:p>
    <w:p w:rsidR="00035BE3" w:rsidRDefault="00035BE3" w:rsidP="00C10469">
      <w:pPr>
        <w:pStyle w:val="a6"/>
        <w:ind w:left="422" w:firstLine="0"/>
        <w:rPr>
          <w:rtl/>
        </w:rPr>
      </w:pPr>
      <w:r>
        <w:rPr>
          <w:rFonts w:hint="cs"/>
          <w:rtl/>
        </w:rPr>
        <w:t xml:space="preserve">ولو قال : </w:t>
      </w:r>
      <w:r>
        <w:rPr>
          <w:rFonts w:hint="eastAsia"/>
          <w:rtl/>
        </w:rPr>
        <w:t>«</w:t>
      </w:r>
      <w:r>
        <w:rPr>
          <w:rFonts w:hint="cs"/>
          <w:rtl/>
        </w:rPr>
        <w:t>لإمكان</w:t>
      </w:r>
      <w:r>
        <w:rPr>
          <w:rFonts w:hint="eastAsia"/>
          <w:rtl/>
        </w:rPr>
        <w:t>»</w:t>
      </w:r>
      <w:r>
        <w:rPr>
          <w:rFonts w:hint="cs"/>
          <w:rtl/>
        </w:rPr>
        <w:t>: لكان أولى؛ لدلالة السياق على ذلك.</w:t>
      </w:r>
    </w:p>
  </w:footnote>
  <w:footnote w:id="191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فيخيّر</w:t>
      </w:r>
      <w:r>
        <w:rPr>
          <w:rFonts w:hint="eastAsia"/>
          <w:rtl/>
        </w:rPr>
        <w:t>»</w:t>
      </w:r>
      <w:r>
        <w:rPr>
          <w:rFonts w:hint="cs"/>
          <w:rtl/>
        </w:rPr>
        <w:t xml:space="preserve">. وقد جاء في هامش (و) : </w:t>
      </w:r>
      <w:r>
        <w:rPr>
          <w:rFonts w:hint="eastAsia"/>
          <w:rtl/>
        </w:rPr>
        <w:t>«</w:t>
      </w:r>
      <w:r>
        <w:rPr>
          <w:rFonts w:hint="cs"/>
          <w:rtl/>
        </w:rPr>
        <w:t>الشريك</w:t>
      </w:r>
      <w:r>
        <w:rPr>
          <w:rFonts w:hint="eastAsia"/>
          <w:rtl/>
        </w:rPr>
        <w:t>»</w:t>
      </w:r>
      <w:r>
        <w:rPr>
          <w:rFonts w:hint="cs"/>
          <w:rtl/>
        </w:rPr>
        <w:t>.</w:t>
      </w:r>
    </w:p>
    <w:p w:rsidR="00035BE3" w:rsidRDefault="00035BE3" w:rsidP="00C10469">
      <w:pPr>
        <w:pStyle w:val="a6"/>
        <w:ind w:left="422" w:firstLine="0"/>
        <w:rPr>
          <w:rtl/>
        </w:rPr>
      </w:pPr>
      <w:r>
        <w:rPr>
          <w:rFonts w:hint="cs"/>
          <w:rtl/>
        </w:rPr>
        <w:t>أي : فيتخير الشريك، إما إمضاء الكتابة أو فسخها.</w:t>
      </w:r>
    </w:p>
  </w:footnote>
  <w:footnote w:id="191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ونتائج الأفكار، 9/198؛ الدّرر شرح الغرر، 2/30.</w:t>
      </w:r>
    </w:p>
  </w:footnote>
  <w:footnote w:id="19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33/ب من (أ).</w:t>
      </w:r>
    </w:p>
  </w:footnote>
  <w:footnote w:id="1918">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هذه القاعدة يذكرها كثير من الأصوليين من الحنفية في كتاب (الأمر)، وذلك في معرض حديثهم عن أحد أقسام الأمر المقيد بالوقت وهو ما جُعل الوقت فيه ظرفًا للمؤدى وسببًا للوجوب ...- وهو المشهور عند الجمهور بالواجب الموسع- ويعلل الحنفية لكون الوقت سببًا للوجوب بأن </w:t>
      </w:r>
      <w:r>
        <w:rPr>
          <w:rFonts w:hint="eastAsia"/>
          <w:spacing w:val="-4"/>
          <w:rtl/>
        </w:rPr>
        <w:t>«</w:t>
      </w:r>
      <w:r>
        <w:rPr>
          <w:rFonts w:hint="cs"/>
          <w:spacing w:val="-4"/>
          <w:rtl/>
        </w:rPr>
        <w:t xml:space="preserve">الأداء يختلف باختلاف صفة </w:t>
      </w:r>
      <w:r w:rsidRPr="00EE18F1">
        <w:rPr>
          <w:rFonts w:hint="cs"/>
          <w:spacing w:val="-6"/>
          <w:rtl/>
        </w:rPr>
        <w:t>الوقت...</w:t>
      </w:r>
      <w:r w:rsidRPr="00EE18F1">
        <w:rPr>
          <w:rFonts w:hint="eastAsia"/>
          <w:spacing w:val="-6"/>
          <w:rtl/>
        </w:rPr>
        <w:t>»</w:t>
      </w:r>
      <w:r w:rsidRPr="00EE18F1">
        <w:rPr>
          <w:rFonts w:hint="cs"/>
          <w:spacing w:val="-6"/>
          <w:rtl/>
        </w:rPr>
        <w:t xml:space="preserve"> </w:t>
      </w:r>
      <w:r w:rsidRPr="00EE18F1">
        <w:rPr>
          <w:rFonts w:hint="eastAsia"/>
          <w:spacing w:val="-6"/>
          <w:rtl/>
        </w:rPr>
        <w:t>«</w:t>
      </w:r>
      <w:r w:rsidRPr="00EE18F1">
        <w:rPr>
          <w:rFonts w:hint="cs"/>
          <w:spacing w:val="-6"/>
          <w:rtl/>
        </w:rPr>
        <w:t>فإن الأداء في الوقت الصحيح كامل، وفي الوقت الناقص ناقص</w:t>
      </w:r>
      <w:r w:rsidRPr="00EE18F1">
        <w:rPr>
          <w:rFonts w:hint="eastAsia"/>
          <w:spacing w:val="-6"/>
          <w:rtl/>
        </w:rPr>
        <w:t>»</w:t>
      </w:r>
      <w:r w:rsidRPr="00EE18F1">
        <w:rPr>
          <w:rFonts w:hint="cs"/>
          <w:spacing w:val="-6"/>
          <w:rtl/>
        </w:rPr>
        <w:t xml:space="preserve"> - قاله البزدوي والبخاري-.</w:t>
      </w:r>
    </w:p>
    <w:p w:rsidR="00035BE3" w:rsidRDefault="00035BE3" w:rsidP="00C10469">
      <w:pPr>
        <w:pStyle w:val="a6"/>
        <w:ind w:left="422" w:firstLine="0"/>
        <w:rPr>
          <w:rtl/>
        </w:rPr>
      </w:pPr>
      <w:r>
        <w:rPr>
          <w:rFonts w:hint="cs"/>
          <w:rtl/>
        </w:rPr>
        <w:t xml:space="preserve">وهذا التعليل بمعنى القاعدة؛ بل صرح بها صاحب (المغني) حين قال : </w:t>
      </w:r>
      <w:r>
        <w:rPr>
          <w:rFonts w:hint="eastAsia"/>
          <w:rtl/>
        </w:rPr>
        <w:t>«</w:t>
      </w:r>
      <w:r>
        <w:rPr>
          <w:rFonts w:hint="cs"/>
          <w:rtl/>
        </w:rPr>
        <w:t>وتعتبر صفة ذلك الجزء أيضًا [أي جزء الوقت] في نقصان الواجب وكماله</w:t>
      </w:r>
      <w:r>
        <w:rPr>
          <w:rFonts w:hint="eastAsia"/>
          <w:rtl/>
        </w:rPr>
        <w:t>»</w:t>
      </w:r>
      <w:r>
        <w:rPr>
          <w:rFonts w:hint="cs"/>
          <w:rtl/>
        </w:rPr>
        <w:t>.</w:t>
      </w:r>
    </w:p>
    <w:p w:rsidR="00035BE3" w:rsidRDefault="00035BE3" w:rsidP="00C10469">
      <w:pPr>
        <w:pStyle w:val="a6"/>
        <w:ind w:left="422" w:firstLine="0"/>
        <w:rPr>
          <w:rtl/>
        </w:rPr>
      </w:pPr>
      <w:r>
        <w:rPr>
          <w:rFonts w:hint="cs"/>
          <w:rtl/>
        </w:rPr>
        <w:t xml:space="preserve">أصـول البزدوي وشرحه : كشف الأسرار، 1/448؛ المغني، ص45؛ وانـظـر : أصول السرخسي، 1/30؛ كشف الأسرار للنّسفي ومعه : شرح نور الأنوار، 1/115-116؛ التنقيح </w:t>
      </w:r>
      <w:r>
        <w:rPr>
          <w:rFonts w:hint="cs"/>
          <w:spacing w:val="-4"/>
          <w:rtl/>
        </w:rPr>
        <w:t>وشرحه: التلويح، 1/203؛ شرح المغني للقاءاني، ق1، جـ1، ص115؛ فتح الغفار بشرح المنار، 1/72؛</w:t>
      </w:r>
      <w:r>
        <w:rPr>
          <w:rFonts w:hint="cs"/>
          <w:rtl/>
        </w:rPr>
        <w:t xml:space="preserve"> السبب عند الأصوليين لشيخنا أ.د. عبد العزيز الربيعة، 3/34.</w:t>
      </w:r>
    </w:p>
  </w:footnote>
  <w:footnote w:id="19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المفارق </w:t>
      </w:r>
      <w:r>
        <w:rPr>
          <w:rFonts w:hint="eastAsia"/>
          <w:rtl/>
        </w:rPr>
        <w:t>»</w:t>
      </w:r>
      <w:r>
        <w:rPr>
          <w:rFonts w:hint="cs"/>
          <w:rtl/>
        </w:rPr>
        <w:t>.</w:t>
      </w:r>
    </w:p>
  </w:footnote>
  <w:footnote w:id="19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التنقيح وشرحه : التلويح، 1/203؛ شرح المغني للـقاءاني، ق1، جـ1، ص115؛ فتح الغفار، 1/76؛ شرح نور الأنوار، 1/115-116.</w:t>
      </w:r>
    </w:p>
  </w:footnote>
  <w:footnote w:id="19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زيادة الواو (وبالغروب).</w:t>
      </w:r>
    </w:p>
  </w:footnote>
  <w:footnote w:id="19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21/ب من (د).</w:t>
      </w:r>
    </w:p>
  </w:footnote>
  <w:footnote w:id="19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w:t>
      </w:r>
      <w:r>
        <w:rPr>
          <w:rtl/>
        </w:rPr>
        <w:t xml:space="preserve">(أ) و(جـ) و(د) : </w:t>
      </w:r>
      <w:r>
        <w:rPr>
          <w:rFonts w:hint="eastAsia"/>
          <w:rtl/>
        </w:rPr>
        <w:t>«</w:t>
      </w:r>
      <w:r>
        <w:rPr>
          <w:rFonts w:hint="cs"/>
          <w:rtl/>
        </w:rPr>
        <w:t>إذا</w:t>
      </w:r>
      <w:r>
        <w:rPr>
          <w:rFonts w:hint="eastAsia"/>
          <w:rtl/>
        </w:rPr>
        <w:t>»</w:t>
      </w:r>
      <w:r>
        <w:rPr>
          <w:rFonts w:hint="cs"/>
          <w:rtl/>
        </w:rPr>
        <w:t>. والصحيح ما تم إثباته من (ب)؛ لأن هذه جملة تعليل لما قبلها.</w:t>
      </w:r>
    </w:p>
  </w:footnote>
  <w:footnote w:id="19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 لا تفيد ».</w:t>
      </w:r>
    </w:p>
  </w:footnote>
  <w:footnote w:id="19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أصول البزدوي وشرحه : كشف الأسرار، 1/470-471؛ المغني، ص45؛ وانظر : الهداية والعناية وفتح القدير، 1/234.</w:t>
      </w:r>
    </w:p>
  </w:footnote>
  <w:footnote w:id="19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26/أ من (جـ).</w:t>
      </w:r>
    </w:p>
  </w:footnote>
  <w:footnote w:id="19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أصول البزدوي وشرحه : كشف الأسرار، 1/474-475؛ المغني للخبازي، ص45؛ شرحه للقاءاني، ق1، جـ1، ص117؛ فـتح الغفار، 1/77؛ مسلم الثبوت، 1/78.</w:t>
      </w:r>
    </w:p>
  </w:footnote>
  <w:footnote w:id="19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لم ينفضل</w:t>
      </w:r>
      <w:r>
        <w:rPr>
          <w:rFonts w:hint="eastAsia"/>
          <w:rtl/>
        </w:rPr>
        <w:t>»</w:t>
      </w:r>
      <w:r>
        <w:rPr>
          <w:rFonts w:hint="cs"/>
          <w:rtl/>
        </w:rPr>
        <w:t xml:space="preserve"> (بالضاد المعجمة).</w:t>
      </w:r>
    </w:p>
  </w:footnote>
  <w:footnote w:id="19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«يفوت». والصحيح ما تمَّ إثباته من (ب) و(د).</w:t>
      </w:r>
    </w:p>
  </w:footnote>
  <w:footnote w:id="19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بتأخير الأداء.</w:t>
      </w:r>
    </w:p>
  </w:footnote>
  <w:footnote w:id="19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أداء المكلف للصلاة الوقتية.</w:t>
      </w:r>
    </w:p>
  </w:footnote>
  <w:footnote w:id="19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للخبازي، ص46؛ شرحه للقاءاني، ق1، جـ1، ص117؛ أصول السرخسي، 1/34؛ كشف الأسرار للبخاري، 1/474.</w:t>
      </w:r>
    </w:p>
  </w:footnote>
  <w:footnote w:id="19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34/أ من (أ).</w:t>
      </w:r>
    </w:p>
  </w:footnote>
  <w:footnote w:id="19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فيه : أي في وقت الطلوع.</w:t>
      </w:r>
    </w:p>
  </w:footnote>
  <w:footnote w:id="19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للخبازي، ص45؛ شرحه للقاءاني، ق1، جـ1، ص119.</w:t>
      </w:r>
    </w:p>
    <w:p w:rsidR="00035BE3" w:rsidRDefault="00035BE3" w:rsidP="00C10469">
      <w:pPr>
        <w:pStyle w:val="a6"/>
        <w:ind w:left="422" w:firstLine="0"/>
        <w:rPr>
          <w:rtl/>
        </w:rPr>
      </w:pPr>
      <w:r>
        <w:rPr>
          <w:rFonts w:hint="cs"/>
          <w:rtl/>
        </w:rPr>
        <w:t>والمعنى : لو فعل ذلك لجاز السجود عند الزوال، وأيضًا جاز عند الغروب، مع أن السجود في هذين الوقتين منفصل عن سببه وهو وقت الطلوع!.</w:t>
      </w:r>
    </w:p>
  </w:footnote>
  <w:footnote w:id="1936">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A154B3">
        <w:rPr>
          <w:rFonts w:hint="cs"/>
          <w:spacing w:val="-6"/>
          <w:rtl/>
        </w:rPr>
        <w:t>في (أ) و(جـ) و(د): «يجب». والصحيح ما تمَّ إثباته من (ب)، وهو الموافق لمصدر هذه العبارة (وهو المغني).</w:t>
      </w:r>
    </w:p>
  </w:footnote>
  <w:footnote w:id="19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والسجدة ... مقصودة</w:t>
      </w:r>
      <w:r>
        <w:rPr>
          <w:rFonts w:hint="eastAsia"/>
          <w:rtl/>
        </w:rPr>
        <w:t>»</w:t>
      </w:r>
      <w:r>
        <w:rPr>
          <w:rFonts w:hint="cs"/>
          <w:rtl/>
        </w:rPr>
        <w:t xml:space="preserve"> : ساقطة من (د).</w:t>
      </w:r>
    </w:p>
  </w:footnote>
  <w:footnote w:id="1938">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إحدى نسخ المغني للخبازي: </w:t>
      </w:r>
      <w:r>
        <w:rPr>
          <w:rFonts w:hint="eastAsia"/>
          <w:spacing w:val="-4"/>
          <w:rtl/>
        </w:rPr>
        <w:t>«</w:t>
      </w:r>
      <w:r>
        <w:rPr>
          <w:rFonts w:hint="cs"/>
          <w:spacing w:val="-4"/>
          <w:rtl/>
        </w:rPr>
        <w:t>بـمخالفـة</w:t>
      </w:r>
      <w:r>
        <w:rPr>
          <w:rFonts w:hint="eastAsia"/>
          <w:spacing w:val="-4"/>
          <w:rtl/>
        </w:rPr>
        <w:t>»</w:t>
      </w:r>
      <w:r>
        <w:rPr>
          <w:rFonts w:hint="cs"/>
          <w:spacing w:val="-4"/>
          <w:rtl/>
        </w:rPr>
        <w:t>. علـمًا بأنـه من هذه الكلـمة إلى نهاية النصّ ليس في باقي نسخ المغني.</w:t>
      </w:r>
    </w:p>
  </w:footnote>
  <w:footnote w:id="19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المعابدين</w:t>
      </w:r>
      <w:r>
        <w:rPr>
          <w:rFonts w:hint="eastAsia"/>
          <w:rtl/>
        </w:rPr>
        <w:t>»</w:t>
      </w:r>
      <w:r>
        <w:rPr>
          <w:rFonts w:hint="cs"/>
          <w:rtl/>
        </w:rPr>
        <w:t xml:space="preserve">، وفي (د) : </w:t>
      </w:r>
      <w:r>
        <w:rPr>
          <w:rFonts w:hint="eastAsia"/>
          <w:rtl/>
        </w:rPr>
        <w:t>«</w:t>
      </w:r>
      <w:r>
        <w:rPr>
          <w:rFonts w:hint="cs"/>
          <w:rtl/>
        </w:rPr>
        <w:t>المعاندين</w:t>
      </w:r>
      <w:r>
        <w:rPr>
          <w:rFonts w:hint="eastAsia"/>
          <w:rtl/>
        </w:rPr>
        <w:t>»</w:t>
      </w:r>
      <w:r>
        <w:rPr>
          <w:rFonts w:hint="cs"/>
          <w:rtl/>
        </w:rPr>
        <w:t>. والصحيح ما تمَّ إثباته من (ب)، وهو الموافق للمغني.</w:t>
      </w:r>
    </w:p>
  </w:footnote>
  <w:footnote w:id="19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للخبازي، ص46- مع اختلاف يسير-.</w:t>
      </w:r>
    </w:p>
  </w:footnote>
  <w:footnote w:id="19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22/ب من (ب).</w:t>
      </w:r>
    </w:p>
  </w:footnote>
  <w:footnote w:id="19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ومن هذه الكتب : شرح المغني للقاءاني، ق1، جـ1، ص119. </w:t>
      </w:r>
    </w:p>
  </w:footnote>
  <w:footnote w:id="19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يختص</w:t>
      </w:r>
      <w:r>
        <w:rPr>
          <w:rFonts w:hint="eastAsia"/>
          <w:rtl/>
        </w:rPr>
        <w:t>»</w:t>
      </w:r>
      <w:r>
        <w:rPr>
          <w:rFonts w:hint="cs"/>
          <w:rtl/>
        </w:rPr>
        <w:t>. والصحيح ما تمَّ إثباته من (ب) و(د).</w:t>
      </w:r>
    </w:p>
  </w:footnote>
  <w:footnote w:id="19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لا يكون فعلها.</w:t>
      </w:r>
    </w:p>
  </w:footnote>
  <w:footnote w:id="19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في الوقت الناقص.</w:t>
      </w:r>
    </w:p>
  </w:footnote>
  <w:footnote w:id="19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القول بوجوب القضاء على من شرع في نفل وأفسده، أو عدم وجوب ذلك يُعدُّ ثمرة من ثمرات الخلاف في مسألة أصولية وهي : هل يلزم المندوب بالشروع فيه؟.</w:t>
      </w:r>
    </w:p>
    <w:p w:rsidR="00035BE3" w:rsidRDefault="00035BE3" w:rsidP="00C10469">
      <w:pPr>
        <w:pStyle w:val="a6"/>
        <w:ind w:left="422" w:firstLine="0"/>
        <w:rPr>
          <w:rtl/>
        </w:rPr>
      </w:pPr>
      <w:r>
        <w:rPr>
          <w:rFonts w:hint="cs"/>
          <w:rtl/>
        </w:rPr>
        <w:t>ومحل الخلاف فيما إذا كان المندوب صيام نفل أو صدقة تطوع فللعلماء في ذلك قولان في الجملة:</w:t>
      </w:r>
    </w:p>
    <w:p w:rsidR="00035BE3" w:rsidRDefault="00035BE3" w:rsidP="00C10469">
      <w:pPr>
        <w:pStyle w:val="a6"/>
        <w:ind w:left="422" w:firstLine="0"/>
        <w:rPr>
          <w:rtl/>
        </w:rPr>
      </w:pPr>
      <w:r>
        <w:rPr>
          <w:rFonts w:hint="cs"/>
          <w:b/>
          <w:bCs/>
          <w:rtl/>
        </w:rPr>
        <w:t>الأول</w:t>
      </w:r>
      <w:r>
        <w:rPr>
          <w:rFonts w:hint="cs"/>
          <w:rtl/>
        </w:rPr>
        <w:t xml:space="preserve"> : يلزم المندوب بالشروع فيه. وهذا قول الإمامين أبي حنيفة ومالك.</w:t>
      </w:r>
    </w:p>
    <w:p w:rsidR="00035BE3" w:rsidRDefault="00035BE3" w:rsidP="00C10469">
      <w:pPr>
        <w:pStyle w:val="a6"/>
        <w:ind w:left="422" w:firstLine="0"/>
        <w:rPr>
          <w:rtl/>
        </w:rPr>
      </w:pPr>
      <w:r>
        <w:rPr>
          <w:rFonts w:hint="cs"/>
          <w:b/>
          <w:bCs/>
          <w:rtl/>
        </w:rPr>
        <w:t>الثاني</w:t>
      </w:r>
      <w:r>
        <w:rPr>
          <w:rFonts w:hint="cs"/>
          <w:rtl/>
        </w:rPr>
        <w:t xml:space="preserve"> : لا يلزم المندوب بالشروع فيه. وهذا قول الإمام الشافعي، ورواية عن الإمام أحمد.</w:t>
      </w:r>
    </w:p>
    <w:p w:rsidR="00035BE3" w:rsidRDefault="00035BE3" w:rsidP="00C10469">
      <w:pPr>
        <w:pStyle w:val="a6"/>
        <w:ind w:left="422" w:firstLine="0"/>
        <w:rPr>
          <w:rtl/>
        </w:rPr>
      </w:pPr>
      <w:r>
        <w:rPr>
          <w:rFonts w:hint="cs"/>
          <w:rtl/>
        </w:rPr>
        <w:t>ولو عدت إلى ما ذكره المؤلف فإنه مبنيٌّ على القول الأول؛ إذ يترتب على لزوم المندوب بالشروع فيه وجوب القضاء على من أفسده.</w:t>
      </w:r>
    </w:p>
    <w:p w:rsidR="00035BE3" w:rsidRDefault="00035BE3" w:rsidP="00C10469">
      <w:pPr>
        <w:pStyle w:val="a6"/>
        <w:ind w:left="422" w:firstLine="0"/>
        <w:rPr>
          <w:rtl/>
        </w:rPr>
      </w:pPr>
      <w:r>
        <w:rPr>
          <w:rFonts w:hint="cs"/>
          <w:rtl/>
        </w:rPr>
        <w:t>وللتوسع في هذه المسألة انظر : أصول البزدوي وشرحه : كشف الأسرار، 2/570؛ أصول السرخسي، 1/115؛ تخريج الفروع على الأصول، ص138؛ جمع الجوامع وشرح المحلي (مع حاشية البناني)، 1/91؛ الضياء اللامع شرح جمع الجوامع، 1/198؛ شرح الكوكب المنير، 1/407؛ مسلّم الثبوت وشرحه : فواتح الرحموت، 1/114؛ الحكم التكليفي للدكتور محمد البيانوني، ص187.</w:t>
      </w:r>
    </w:p>
  </w:footnote>
  <w:footnote w:id="19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للخبازي، ص46؛ شرحه للقاءاني، ق1، جـ1، ص120.</w:t>
      </w:r>
    </w:p>
  </w:footnote>
  <w:footnote w:id="19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يجو</w:t>
      </w:r>
      <w:r>
        <w:rPr>
          <w:rFonts w:hint="eastAsia"/>
          <w:rtl/>
        </w:rPr>
        <w:t>»</w:t>
      </w:r>
      <w:r>
        <w:rPr>
          <w:rFonts w:hint="cs"/>
          <w:rtl/>
        </w:rPr>
        <w:t>.</w:t>
      </w:r>
    </w:p>
  </w:footnote>
  <w:footnote w:id="19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للخبازي، ص46؛ وانظر : شرحه للقاءاني، ق1، جـ1، ص120.</w:t>
      </w:r>
    </w:p>
  </w:footnote>
  <w:footnote w:id="1950">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أي : ويمكن الجواب عن هذا بجواب آخر، وهو الجواب الثاني عن المسألة السابقة - المذكور ص526-.</w:t>
      </w:r>
    </w:p>
  </w:footnote>
  <w:footnote w:id="19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w:t>
      </w:r>
      <w:r>
        <w:rPr>
          <w:rFonts w:hint="eastAsia"/>
          <w:rtl/>
        </w:rPr>
        <w:t>«</w:t>
      </w:r>
      <w:r>
        <w:rPr>
          <w:rFonts w:hint="cs"/>
          <w:rtl/>
        </w:rPr>
        <w:t>فـليدبر</w:t>
      </w:r>
      <w:r>
        <w:rPr>
          <w:rFonts w:hint="eastAsia"/>
          <w:rtl/>
        </w:rPr>
        <w:t>»</w:t>
      </w:r>
      <w:r>
        <w:rPr>
          <w:rFonts w:hint="cs"/>
          <w:rtl/>
        </w:rPr>
        <w:t>. والصحيح ما تمَّ إثباته من بـاقي النسخ؛ لأن كـلمة (فليدبّر) من (دبَّر)، بينما: (فليتدبر) فهي من (تدبّر). والمعنى الثاني هو الذي يشهد له السياق.</w:t>
      </w:r>
    </w:p>
  </w:footnote>
  <w:footnote w:id="1952">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26/ب من (جـ).</w:t>
      </w:r>
    </w:p>
  </w:footnote>
  <w:footnote w:id="1953">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وردت الإشارة إلى هذه القاعدة عرضًا في مقام التعليل في بعض كتب الفقه وأصوله: </w:t>
      </w:r>
    </w:p>
    <w:p w:rsidR="00035BE3" w:rsidRDefault="00035BE3" w:rsidP="00C10469">
      <w:pPr>
        <w:pStyle w:val="a6"/>
        <w:spacing w:line="216" w:lineRule="auto"/>
        <w:ind w:left="420" w:firstLine="0"/>
        <w:rPr>
          <w:b/>
          <w:bCs/>
          <w:rtl/>
        </w:rPr>
      </w:pPr>
      <w:r>
        <w:rPr>
          <w:rFonts w:hint="cs"/>
          <w:b/>
          <w:bCs/>
          <w:rtl/>
        </w:rPr>
        <w:t>فمن كتب الأصول :</w:t>
      </w:r>
    </w:p>
    <w:p w:rsidR="00035BE3" w:rsidRPr="004F4910" w:rsidRDefault="00035BE3" w:rsidP="00C10469">
      <w:pPr>
        <w:pStyle w:val="a6"/>
        <w:spacing w:line="216" w:lineRule="auto"/>
        <w:ind w:left="420" w:firstLine="0"/>
        <w:rPr>
          <w:rtl/>
        </w:rPr>
      </w:pPr>
      <w:r w:rsidRPr="004F4910">
        <w:rPr>
          <w:rFonts w:hint="cs"/>
          <w:rtl/>
        </w:rPr>
        <w:t xml:space="preserve">أصول السرخسي، 1/52 - فقد أشار إليها في مقام التعليل، وذلك في نهاية السياق الآتي : </w:t>
      </w:r>
      <w:r w:rsidRPr="004F4910">
        <w:rPr>
          <w:rFonts w:hint="eastAsia"/>
          <w:rtl/>
        </w:rPr>
        <w:t>«</w:t>
      </w:r>
      <w:r w:rsidRPr="004F4910">
        <w:rPr>
          <w:rFonts w:hint="cs"/>
          <w:rtl/>
        </w:rPr>
        <w:t xml:space="preserve">ولو قرأ السورة في الأولَيين، ولم يقرأ الفاتحة : لم يقضِ الفاتحة في الأخريين؛ لأنَّ القيامَ في الأخريين محلٌّ للفاتحة أداءً، فلو قرأها على وجه القضاء : </w:t>
      </w:r>
      <w:r w:rsidRPr="004F4910">
        <w:rPr>
          <w:rFonts w:hint="cs"/>
          <w:b/>
          <w:bCs/>
          <w:rtl/>
        </w:rPr>
        <w:t>كان مغيِّرًا به ما هو مشروع في صلاته مع وجود حقيقة الأداء، وذلك ليس في ولاية العبد</w:t>
      </w:r>
      <w:r w:rsidRPr="004F4910">
        <w:rPr>
          <w:rFonts w:hint="eastAsia"/>
          <w:rtl/>
        </w:rPr>
        <w:t>»</w:t>
      </w:r>
      <w:r w:rsidRPr="004F4910">
        <w:rPr>
          <w:rFonts w:hint="cs"/>
          <w:rtl/>
        </w:rPr>
        <w:t xml:space="preserve">-؛ كشف الأسرار للبخاري، 1/350 -فقد اختصر التعليل السابق، حيث قال: </w:t>
      </w:r>
      <w:r w:rsidRPr="004F4910">
        <w:rPr>
          <w:rFonts w:hint="eastAsia"/>
          <w:rtl/>
        </w:rPr>
        <w:t>«</w:t>
      </w:r>
      <w:r w:rsidRPr="004F4910">
        <w:rPr>
          <w:rFonts w:hint="cs"/>
          <w:rtl/>
        </w:rPr>
        <w:t>... لأنه يصير تغييراً للمشروع، وذلك ليس في ولاية العبد</w:t>
      </w:r>
      <w:r w:rsidRPr="004F4910">
        <w:rPr>
          <w:rFonts w:hint="eastAsia"/>
          <w:rtl/>
        </w:rPr>
        <w:t>»</w:t>
      </w:r>
      <w:r w:rsidRPr="004F4910">
        <w:rPr>
          <w:rFonts w:hint="cs"/>
          <w:rtl/>
        </w:rPr>
        <w:t xml:space="preserve">-؛ المغني للخبازي، ص60- فقد علّل للمسألة نفسها بالتعليل المذكور، حيث قال: </w:t>
      </w:r>
      <w:r w:rsidRPr="004F4910">
        <w:rPr>
          <w:rFonts w:hint="eastAsia"/>
          <w:rtl/>
        </w:rPr>
        <w:t>«</w:t>
      </w:r>
      <w:r w:rsidRPr="004F4910">
        <w:rPr>
          <w:rFonts w:hint="cs"/>
          <w:rtl/>
        </w:rPr>
        <w:t xml:space="preserve">فلو قرأها قضاءً </w:t>
      </w:r>
      <w:r w:rsidRPr="004F4910">
        <w:rPr>
          <w:rFonts w:hint="cs"/>
          <w:b/>
          <w:bCs/>
          <w:rtl/>
        </w:rPr>
        <w:t>يلزم تغيير المشروع</w:t>
      </w:r>
      <w:r w:rsidRPr="004F4910">
        <w:rPr>
          <w:rFonts w:hint="eastAsia"/>
          <w:rtl/>
        </w:rPr>
        <w:t>»</w:t>
      </w:r>
      <w:r w:rsidRPr="004F4910">
        <w:rPr>
          <w:rFonts w:hint="cs"/>
          <w:rtl/>
        </w:rPr>
        <w:t>؛ شرح المغني للقاءاني، ق1، جـ1، ص201.</w:t>
      </w:r>
    </w:p>
    <w:p w:rsidR="00035BE3" w:rsidRDefault="00035BE3" w:rsidP="00C10469">
      <w:pPr>
        <w:pStyle w:val="a6"/>
        <w:spacing w:line="216" w:lineRule="auto"/>
        <w:ind w:left="420" w:firstLine="0"/>
        <w:rPr>
          <w:b/>
          <w:bCs/>
          <w:rtl/>
        </w:rPr>
      </w:pPr>
      <w:r>
        <w:rPr>
          <w:rFonts w:hint="cs"/>
          <w:b/>
          <w:bCs/>
          <w:rtl/>
        </w:rPr>
        <w:t>ومن كتب الفقه:</w:t>
      </w:r>
    </w:p>
    <w:p w:rsidR="00035BE3" w:rsidRPr="004F4910" w:rsidRDefault="00035BE3" w:rsidP="00C10469">
      <w:pPr>
        <w:pStyle w:val="a6"/>
        <w:spacing w:line="216" w:lineRule="auto"/>
        <w:ind w:left="420" w:firstLine="0"/>
        <w:rPr>
          <w:sz w:val="29"/>
          <w:szCs w:val="29"/>
          <w:rtl/>
        </w:rPr>
      </w:pPr>
      <w:r w:rsidRPr="004F4910">
        <w:rPr>
          <w:rFonts w:hint="cs"/>
          <w:sz w:val="29"/>
          <w:szCs w:val="29"/>
          <w:rtl/>
        </w:rPr>
        <w:t xml:space="preserve">بدائع الصنائع، 3/110، 7/130 -ولفظه الثاني : «... فيؤدي إلى تغيير المشروع، وهذا لا يجوز»-؛ الهداية والعناية وفتح القدير، 4/49- ولفظ الأخير : «... فيلغو؛ لأنه تغيير المشروع»-؛ المغني لابن قدامة، 13/466 - ولفظه : «... لأنه قصد تغيير المشروع، فلغا ما قصده»؛ الدّرر شرح الغرر، 1/77 - 2/448، ففي الموضع الأول علل لعدم جواز تغيير محلِّ ما اتحَّدت شرعيَّته بقوله : </w:t>
      </w:r>
      <w:r w:rsidRPr="004F4910">
        <w:rPr>
          <w:rFonts w:hint="eastAsia"/>
          <w:sz w:val="29"/>
          <w:szCs w:val="29"/>
          <w:rtl/>
        </w:rPr>
        <w:t>«</w:t>
      </w:r>
      <w:r w:rsidRPr="004F4910">
        <w:rPr>
          <w:rFonts w:hint="cs"/>
          <w:sz w:val="29"/>
          <w:szCs w:val="29"/>
          <w:rtl/>
        </w:rPr>
        <w:t xml:space="preserve">لأنه كذلك شرع، فإذا غيّره فقد قلب الفعل وعكسه، </w:t>
      </w:r>
      <w:r w:rsidRPr="004F4910">
        <w:rPr>
          <w:rFonts w:hint="cs"/>
          <w:b/>
          <w:bCs/>
          <w:sz w:val="29"/>
          <w:szCs w:val="29"/>
          <w:rtl/>
        </w:rPr>
        <w:t>وقلب المشروع باطل</w:t>
      </w:r>
      <w:r w:rsidRPr="004F4910">
        <w:rPr>
          <w:rFonts w:hint="eastAsia"/>
          <w:sz w:val="29"/>
          <w:szCs w:val="29"/>
          <w:rtl/>
        </w:rPr>
        <w:t>»</w:t>
      </w:r>
      <w:r w:rsidRPr="004F4910">
        <w:rPr>
          <w:rFonts w:hint="cs"/>
          <w:sz w:val="29"/>
          <w:szCs w:val="29"/>
          <w:rtl/>
        </w:rPr>
        <w:t xml:space="preserve">؛ تكملة البحر الرائق، 8/325 - ولفظه : «وفيه تغيير المشروع وتبديل الموضوع، وهو باطل»-. </w:t>
      </w:r>
    </w:p>
  </w:footnote>
  <w:footnote w:id="1954">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بمصلي</w:t>
      </w:r>
      <w:r>
        <w:rPr>
          <w:rFonts w:hint="eastAsia"/>
          <w:rtl/>
        </w:rPr>
        <w:t>»</w:t>
      </w:r>
      <w:r>
        <w:rPr>
          <w:rFonts w:hint="cs"/>
          <w:rtl/>
        </w:rPr>
        <w:t>، وكذلك في صلب نسخة (أ)، إلاّ أنها مصحَّحة في الهامش على وفق ما تمَّ إثباته في الصلب هنا من باقي النسخ.</w:t>
      </w:r>
    </w:p>
  </w:footnote>
  <w:footnote w:id="1955">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(ب) و(جـ). وهذا الأولى.</w:t>
      </w:r>
    </w:p>
  </w:footnote>
  <w:footnote w:id="1956">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22/أ من (د).</w:t>
      </w:r>
    </w:p>
  </w:footnote>
  <w:footnote w:id="1957">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الفريضة</w:t>
      </w:r>
      <w:r>
        <w:rPr>
          <w:rFonts w:hint="eastAsia"/>
          <w:rtl/>
        </w:rPr>
        <w:t>»</w:t>
      </w:r>
      <w:r>
        <w:rPr>
          <w:rFonts w:hint="cs"/>
          <w:rtl/>
        </w:rPr>
        <w:t>.</w:t>
      </w:r>
    </w:p>
  </w:footnote>
  <w:footnote w:id="1958">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أسفل هذه الكلمة من نسخة (أ) (بخطٍّ مغاير) : </w:t>
      </w:r>
      <w:r>
        <w:rPr>
          <w:rFonts w:hint="eastAsia"/>
          <w:rtl/>
        </w:rPr>
        <w:t>«</w:t>
      </w:r>
      <w:r>
        <w:rPr>
          <w:rFonts w:hint="cs"/>
          <w:rtl/>
        </w:rPr>
        <w:t>أي الركوع</w:t>
      </w:r>
      <w:r>
        <w:rPr>
          <w:rFonts w:hint="eastAsia"/>
          <w:rtl/>
        </w:rPr>
        <w:t>»</w:t>
      </w:r>
      <w:r>
        <w:rPr>
          <w:rFonts w:hint="cs"/>
          <w:rtl/>
        </w:rPr>
        <w:t>.</w:t>
      </w:r>
    </w:p>
  </w:footnote>
  <w:footnote w:id="195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34/ب من (أ).</w:t>
      </w:r>
    </w:p>
  </w:footnote>
  <w:footnote w:id="19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1/77.</w:t>
      </w:r>
    </w:p>
  </w:footnote>
  <w:footnote w:id="19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(بخطٍّ مغاير) : </w:t>
      </w:r>
      <w:r>
        <w:rPr>
          <w:rFonts w:hint="eastAsia"/>
          <w:rtl/>
        </w:rPr>
        <w:t>«</w:t>
      </w:r>
      <w:r>
        <w:rPr>
          <w:rFonts w:hint="cs"/>
          <w:rtl/>
        </w:rPr>
        <w:t>تغيير المشروع</w:t>
      </w:r>
      <w:r>
        <w:rPr>
          <w:rFonts w:hint="eastAsia"/>
          <w:rtl/>
        </w:rPr>
        <w:t>»</w:t>
      </w:r>
      <w:r>
        <w:rPr>
          <w:rFonts w:hint="cs"/>
          <w:rtl/>
        </w:rPr>
        <w:t>.</w:t>
      </w:r>
    </w:p>
  </w:footnote>
  <w:footnote w:id="19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وجوب </w:t>
      </w:r>
      <w:r>
        <w:rPr>
          <w:rFonts w:hint="eastAsia"/>
          <w:rtl/>
        </w:rPr>
        <w:t>»</w:t>
      </w:r>
      <w:r>
        <w:rPr>
          <w:rFonts w:hint="cs"/>
          <w:rtl/>
        </w:rPr>
        <w:t>.</w:t>
      </w:r>
    </w:p>
  </w:footnote>
  <w:footnote w:id="19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تقرير القواعد لابن رجب، 1/24، القاعدة 4، فقد أفرد قاعدة مستقلة للحديث عن هذه المسألة، حيث قال : </w:t>
      </w:r>
      <w:r>
        <w:rPr>
          <w:rFonts w:hint="eastAsia"/>
          <w:rtl/>
        </w:rPr>
        <w:t>«</w:t>
      </w:r>
      <w:r>
        <w:rPr>
          <w:rFonts w:hint="cs"/>
          <w:rtl/>
        </w:rPr>
        <w:t>العبادات كلها ... لا يجوز تقديمها على سبب وجوبها، ويجوز تقديمها بعد سبب الوجوب، وقبل الوجوب، أو قبل شرط الوجوب</w:t>
      </w:r>
      <w:r>
        <w:rPr>
          <w:rFonts w:hint="eastAsia"/>
          <w:rtl/>
        </w:rPr>
        <w:t>»</w:t>
      </w:r>
      <w:r>
        <w:rPr>
          <w:rFonts w:hint="cs"/>
          <w:rtl/>
        </w:rPr>
        <w:t>.</w:t>
      </w:r>
    </w:p>
    <w:p w:rsidR="00035BE3" w:rsidRDefault="00035BE3" w:rsidP="00C10469">
      <w:pPr>
        <w:pStyle w:val="a6"/>
        <w:ind w:left="422" w:firstLine="0"/>
        <w:rPr>
          <w:rtl/>
        </w:rPr>
      </w:pPr>
      <w:r>
        <w:rPr>
          <w:rFonts w:hint="cs"/>
          <w:rtl/>
        </w:rPr>
        <w:t>وانظر : أصول البزدوي، 2/632؛ السبب عند الأصوليين لشيخنا أ. د. عبد العزيز الربيعة، 3/34.</w:t>
      </w:r>
    </w:p>
  </w:footnote>
  <w:footnote w:id="19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2/42.</w:t>
      </w:r>
    </w:p>
  </w:footnote>
  <w:footnote w:id="19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1/267-268.</w:t>
      </w:r>
    </w:p>
  </w:footnote>
  <w:footnote w:id="19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1/50.</w:t>
      </w:r>
    </w:p>
  </w:footnote>
  <w:footnote w:id="19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«العرفات». والصحيح ما تمَّ إثباته من (ب).</w:t>
      </w:r>
    </w:p>
  </w:footnote>
  <w:footnote w:id="19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وجه كون هذه المسألة خارجة عن القاعدة هو : أن الحنفية يرون أنه </w:t>
      </w:r>
      <w:r>
        <w:rPr>
          <w:rFonts w:hint="eastAsia"/>
          <w:rtl/>
        </w:rPr>
        <w:t>«</w:t>
      </w:r>
      <w:r>
        <w:rPr>
          <w:rFonts w:hint="cs"/>
          <w:rtl/>
        </w:rPr>
        <w:t xml:space="preserve">لا يُجمع بين صلاتين في وقتٍ واحد في حضر ولا سفر؛ لقوله تعالى: </w:t>
      </w:r>
      <w:r>
        <w:rPr>
          <w:color w:val="000000"/>
          <w:sz w:val="22"/>
          <w:szCs w:val="22"/>
        </w:rPr>
        <w:sym w:font="HQPB2" w:char="F0E2"/>
      </w:r>
      <w:r>
        <w:rPr>
          <w:color w:val="000000"/>
          <w:sz w:val="22"/>
          <w:szCs w:val="22"/>
          <w:rtl/>
        </w:rPr>
        <w:t xml:space="preserve"> </w:t>
      </w:r>
      <w:r>
        <w:rPr>
          <w:color w:val="000000"/>
          <w:sz w:val="22"/>
          <w:szCs w:val="22"/>
        </w:rPr>
        <w:sym w:font="HQPB4" w:char="F0A8"/>
      </w:r>
      <w:r>
        <w:rPr>
          <w:color w:val="000000"/>
          <w:sz w:val="22"/>
          <w:szCs w:val="22"/>
        </w:rPr>
        <w:sym w:font="HQPB2" w:char="F062"/>
      </w:r>
      <w:r>
        <w:rPr>
          <w:color w:val="000000"/>
          <w:sz w:val="22"/>
          <w:szCs w:val="22"/>
        </w:rPr>
        <w:sym w:font="HQPB4" w:char="F0CE"/>
      </w:r>
      <w:r>
        <w:rPr>
          <w:color w:val="000000"/>
          <w:sz w:val="22"/>
          <w:szCs w:val="22"/>
        </w:rPr>
        <w:sym w:font="HQPB1" w:char="F029"/>
      </w:r>
      <w:r>
        <w:rPr>
          <w:color w:val="000000"/>
          <w:sz w:val="22"/>
          <w:szCs w:val="22"/>
          <w:rtl/>
        </w:rPr>
        <w:t xml:space="preserve"> </w:t>
      </w:r>
      <w:r>
        <w:rPr>
          <w:color w:val="000000"/>
          <w:sz w:val="22"/>
          <w:szCs w:val="22"/>
        </w:rPr>
        <w:sym w:font="HQPB5" w:char="F06E"/>
      </w:r>
      <w:r>
        <w:rPr>
          <w:color w:val="000000"/>
          <w:sz w:val="22"/>
          <w:szCs w:val="22"/>
        </w:rPr>
        <w:sym w:font="HQPB2" w:char="F06F"/>
      </w:r>
      <w:r>
        <w:rPr>
          <w:color w:val="000000"/>
          <w:sz w:val="22"/>
          <w:szCs w:val="22"/>
        </w:rPr>
        <w:sym w:font="HQPB5" w:char="F034"/>
      </w:r>
      <w:r>
        <w:rPr>
          <w:color w:val="000000"/>
          <w:sz w:val="22"/>
          <w:szCs w:val="22"/>
        </w:rPr>
        <w:sym w:font="HQPB2" w:char="F071"/>
      </w:r>
      <w:r>
        <w:rPr>
          <w:color w:val="000000"/>
          <w:sz w:val="22"/>
          <w:szCs w:val="22"/>
        </w:rPr>
        <w:sym w:font="HQPB5" w:char="F06E"/>
      </w:r>
      <w:r>
        <w:rPr>
          <w:color w:val="000000"/>
          <w:sz w:val="22"/>
          <w:szCs w:val="22"/>
        </w:rPr>
        <w:sym w:font="HQPB2" w:char="F03D"/>
      </w:r>
      <w:r>
        <w:rPr>
          <w:color w:val="000000"/>
          <w:sz w:val="22"/>
          <w:szCs w:val="22"/>
        </w:rPr>
        <w:sym w:font="HQPB4" w:char="F0A2"/>
      </w:r>
      <w:r>
        <w:rPr>
          <w:color w:val="000000"/>
          <w:sz w:val="22"/>
          <w:szCs w:val="22"/>
        </w:rPr>
        <w:sym w:font="HQPB1" w:char="F0C1"/>
      </w:r>
      <w:r>
        <w:rPr>
          <w:color w:val="000000"/>
          <w:sz w:val="22"/>
          <w:szCs w:val="22"/>
        </w:rPr>
        <w:sym w:font="HQPB2" w:char="F039"/>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4" w:char="F0F4"/>
      </w:r>
      <w:r>
        <w:rPr>
          <w:color w:val="000000"/>
          <w:sz w:val="22"/>
          <w:szCs w:val="22"/>
        </w:rPr>
        <w:sym w:font="HQPB1" w:char="F04D"/>
      </w:r>
      <w:r>
        <w:rPr>
          <w:color w:val="000000"/>
          <w:sz w:val="22"/>
          <w:szCs w:val="22"/>
        </w:rPr>
        <w:sym w:font="HQPB5" w:char="F074"/>
      </w:r>
      <w:r>
        <w:rPr>
          <w:color w:val="000000"/>
          <w:sz w:val="22"/>
          <w:szCs w:val="22"/>
        </w:rPr>
        <w:sym w:font="HQPB2" w:char="F052"/>
      </w:r>
      <w:r>
        <w:rPr>
          <w:color w:val="000000"/>
          <w:sz w:val="22"/>
          <w:szCs w:val="22"/>
        </w:rPr>
        <w:sym w:font="HQPB1" w:char="F025"/>
      </w:r>
      <w:r>
        <w:rPr>
          <w:color w:val="000000"/>
          <w:sz w:val="22"/>
          <w:szCs w:val="22"/>
        </w:rPr>
        <w:sym w:font="HQPB5" w:char="F078"/>
      </w:r>
      <w:r>
        <w:rPr>
          <w:color w:val="000000"/>
          <w:sz w:val="22"/>
          <w:szCs w:val="22"/>
        </w:rPr>
        <w:sym w:font="HQPB2" w:char="F02E"/>
      </w:r>
      <w:r>
        <w:rPr>
          <w:color w:val="000000"/>
          <w:sz w:val="22"/>
          <w:szCs w:val="22"/>
          <w:rtl/>
        </w:rPr>
        <w:t xml:space="preserve"> </w:t>
      </w:r>
      <w:r>
        <w:rPr>
          <w:color w:val="000000"/>
          <w:sz w:val="22"/>
          <w:szCs w:val="22"/>
        </w:rPr>
        <w:sym w:font="HQPB2" w:char="F092"/>
      </w:r>
      <w:r>
        <w:rPr>
          <w:color w:val="000000"/>
          <w:sz w:val="22"/>
          <w:szCs w:val="22"/>
        </w:rPr>
        <w:sym w:font="HQPB5" w:char="F06E"/>
      </w:r>
      <w:r>
        <w:rPr>
          <w:color w:val="000000"/>
          <w:sz w:val="22"/>
          <w:szCs w:val="22"/>
        </w:rPr>
        <w:sym w:font="HQPB2" w:char="F03F"/>
      </w:r>
      <w:r>
        <w:rPr>
          <w:color w:val="000000"/>
          <w:sz w:val="22"/>
          <w:szCs w:val="22"/>
        </w:rPr>
        <w:sym w:font="HQPB5" w:char="F074"/>
      </w:r>
      <w:r>
        <w:rPr>
          <w:color w:val="000000"/>
          <w:sz w:val="22"/>
          <w:szCs w:val="22"/>
        </w:rPr>
        <w:sym w:font="HQPB1" w:char="F0E3"/>
      </w:r>
      <w:r>
        <w:rPr>
          <w:color w:val="000000"/>
          <w:sz w:val="22"/>
          <w:szCs w:val="22"/>
          <w:rtl/>
        </w:rPr>
        <w:t xml:space="preserve"> </w:t>
      </w:r>
      <w:r>
        <w:rPr>
          <w:color w:val="000000"/>
          <w:sz w:val="22"/>
          <w:szCs w:val="22"/>
        </w:rPr>
        <w:sym w:font="HQPB5" w:char="F09A"/>
      </w:r>
      <w:r>
        <w:rPr>
          <w:color w:val="000000"/>
          <w:sz w:val="22"/>
          <w:szCs w:val="22"/>
        </w:rPr>
        <w:sym w:font="HQPB2" w:char="F0FA"/>
      </w:r>
      <w:r>
        <w:rPr>
          <w:color w:val="000000"/>
          <w:sz w:val="22"/>
          <w:szCs w:val="22"/>
        </w:rPr>
        <w:sym w:font="HQPB2" w:char="F0FC"/>
      </w:r>
      <w:r>
        <w:rPr>
          <w:color w:val="000000"/>
          <w:sz w:val="22"/>
          <w:szCs w:val="22"/>
        </w:rPr>
        <w:sym w:font="HQPB4" w:char="F0CF"/>
      </w:r>
      <w:r>
        <w:rPr>
          <w:color w:val="000000"/>
          <w:sz w:val="22"/>
          <w:szCs w:val="22"/>
        </w:rPr>
        <w:sym w:font="HQPB2" w:char="F05A"/>
      </w:r>
      <w:r>
        <w:rPr>
          <w:color w:val="000000"/>
          <w:sz w:val="22"/>
          <w:szCs w:val="22"/>
        </w:rPr>
        <w:sym w:font="HQPB4" w:char="F0CF"/>
      </w:r>
      <w:r>
        <w:rPr>
          <w:color w:val="000000"/>
          <w:sz w:val="22"/>
          <w:szCs w:val="22"/>
        </w:rPr>
        <w:sym w:font="HQPB2" w:char="F042"/>
      </w:r>
      <w:r>
        <w:rPr>
          <w:color w:val="000000"/>
          <w:sz w:val="22"/>
          <w:szCs w:val="22"/>
        </w:rPr>
        <w:sym w:font="HQPB4" w:char="F0F7"/>
      </w:r>
      <w:r>
        <w:rPr>
          <w:color w:val="000000"/>
          <w:sz w:val="22"/>
          <w:szCs w:val="22"/>
        </w:rPr>
        <w:sym w:font="HQPB2" w:char="F073"/>
      </w:r>
      <w:r>
        <w:rPr>
          <w:color w:val="000000"/>
          <w:sz w:val="22"/>
          <w:szCs w:val="22"/>
        </w:rPr>
        <w:sym w:font="HQPB4" w:char="F0DF"/>
      </w:r>
      <w:r>
        <w:rPr>
          <w:color w:val="000000"/>
          <w:sz w:val="22"/>
          <w:szCs w:val="22"/>
        </w:rPr>
        <w:sym w:font="HQPB2" w:char="F04A"/>
      </w:r>
      <w:r>
        <w:rPr>
          <w:color w:val="000000"/>
          <w:sz w:val="22"/>
          <w:szCs w:val="22"/>
        </w:rPr>
        <w:sym w:font="HQPB4" w:char="F0F8"/>
      </w:r>
      <w:r>
        <w:rPr>
          <w:color w:val="000000"/>
          <w:sz w:val="22"/>
          <w:szCs w:val="22"/>
        </w:rPr>
        <w:sym w:font="HQPB2" w:char="F039"/>
      </w:r>
      <w:r>
        <w:rPr>
          <w:color w:val="000000"/>
          <w:sz w:val="22"/>
          <w:szCs w:val="22"/>
        </w:rPr>
        <w:sym w:font="HQPB5" w:char="F024"/>
      </w:r>
      <w:r>
        <w:rPr>
          <w:color w:val="000000"/>
          <w:sz w:val="22"/>
          <w:szCs w:val="22"/>
        </w:rPr>
        <w:sym w:font="HQPB1" w:char="F023"/>
      </w:r>
      <w:r>
        <w:rPr>
          <w:color w:val="000000"/>
          <w:sz w:val="22"/>
          <w:szCs w:val="22"/>
          <w:rtl/>
        </w:rPr>
        <w:t xml:space="preserve"> </w:t>
      </w:r>
      <w:r>
        <w:rPr>
          <w:color w:val="000000"/>
          <w:sz w:val="22"/>
          <w:szCs w:val="22"/>
        </w:rPr>
        <w:sym w:font="HQPB1" w:char="F024"/>
      </w:r>
      <w:r>
        <w:rPr>
          <w:color w:val="000000"/>
          <w:sz w:val="22"/>
          <w:szCs w:val="22"/>
        </w:rPr>
        <w:sym w:font="HQPB4" w:char="F059"/>
      </w:r>
      <w:r>
        <w:rPr>
          <w:color w:val="000000"/>
          <w:sz w:val="22"/>
          <w:szCs w:val="22"/>
        </w:rPr>
        <w:sym w:font="HQPB1" w:char="F037"/>
      </w:r>
      <w:r>
        <w:rPr>
          <w:color w:val="000000"/>
          <w:sz w:val="22"/>
          <w:szCs w:val="22"/>
        </w:rPr>
        <w:sym w:font="HQPB2" w:char="F0BB"/>
      </w:r>
      <w:r>
        <w:rPr>
          <w:color w:val="000000"/>
          <w:sz w:val="22"/>
          <w:szCs w:val="22"/>
        </w:rPr>
        <w:sym w:font="HQPB5" w:char="F074"/>
      </w:r>
      <w:r>
        <w:rPr>
          <w:color w:val="000000"/>
          <w:sz w:val="22"/>
          <w:szCs w:val="22"/>
        </w:rPr>
        <w:sym w:font="HQPB1" w:char="F046"/>
      </w:r>
      <w:r>
        <w:rPr>
          <w:color w:val="000000"/>
          <w:sz w:val="22"/>
          <w:szCs w:val="22"/>
        </w:rPr>
        <w:sym w:font="HQPB4" w:char="F0CF"/>
      </w:r>
      <w:r>
        <w:rPr>
          <w:color w:val="000000"/>
          <w:sz w:val="22"/>
          <w:szCs w:val="22"/>
        </w:rPr>
        <w:sym w:font="HQPB2" w:char="F02E"/>
      </w:r>
      <w:r>
        <w:rPr>
          <w:color w:val="000000"/>
          <w:sz w:val="22"/>
          <w:szCs w:val="22"/>
          <w:rtl/>
        </w:rPr>
        <w:t xml:space="preserve"> </w:t>
      </w:r>
      <w:r>
        <w:rPr>
          <w:color w:val="000000"/>
          <w:sz w:val="22"/>
          <w:szCs w:val="22"/>
        </w:rPr>
        <w:sym w:font="HQPB1" w:char="F024"/>
      </w:r>
      <w:r>
        <w:rPr>
          <w:color w:val="000000"/>
          <w:sz w:val="22"/>
          <w:szCs w:val="22"/>
        </w:rPr>
        <w:sym w:font="HQPB4" w:char="F059"/>
      </w:r>
      <w:r>
        <w:rPr>
          <w:color w:val="000000"/>
          <w:sz w:val="22"/>
          <w:szCs w:val="22"/>
        </w:rPr>
        <w:sym w:font="HQPB1" w:char="F03F"/>
      </w:r>
      <w:r>
        <w:rPr>
          <w:color w:val="000000"/>
          <w:sz w:val="22"/>
          <w:szCs w:val="22"/>
        </w:rPr>
        <w:sym w:font="HQPB2" w:char="F071"/>
      </w:r>
      <w:r>
        <w:rPr>
          <w:color w:val="000000"/>
          <w:sz w:val="22"/>
          <w:szCs w:val="22"/>
        </w:rPr>
        <w:sym w:font="HQPB4" w:char="F0E8"/>
      </w:r>
      <w:r>
        <w:rPr>
          <w:color w:val="000000"/>
          <w:sz w:val="22"/>
          <w:szCs w:val="22"/>
        </w:rPr>
        <w:sym w:font="HQPB2" w:char="F025"/>
      </w:r>
      <w:r>
        <w:rPr>
          <w:color w:val="000000"/>
          <w:sz w:val="22"/>
          <w:szCs w:val="22"/>
        </w:rPr>
        <w:sym w:font="HQPB4" w:char="F0F6"/>
      </w:r>
      <w:r>
        <w:rPr>
          <w:color w:val="000000"/>
          <w:sz w:val="22"/>
          <w:szCs w:val="22"/>
        </w:rPr>
        <w:sym w:font="HQPB2" w:char="F071"/>
      </w:r>
      <w:r>
        <w:rPr>
          <w:color w:val="000000"/>
          <w:sz w:val="22"/>
          <w:szCs w:val="22"/>
        </w:rPr>
        <w:sym w:font="HQPB4" w:char="F0A8"/>
      </w:r>
      <w:r>
        <w:rPr>
          <w:color w:val="000000"/>
          <w:sz w:val="22"/>
          <w:szCs w:val="22"/>
        </w:rPr>
        <w:sym w:font="HQPB2" w:char="F042"/>
      </w:r>
      <w:r>
        <w:rPr>
          <w:color w:val="000000"/>
          <w:sz w:val="22"/>
          <w:szCs w:val="22"/>
          <w:rtl/>
        </w:rPr>
        <w:t xml:space="preserve"> </w:t>
      </w:r>
      <w:r>
        <w:rPr>
          <w:color w:val="000000"/>
          <w:sz w:val="22"/>
          <w:szCs w:val="22"/>
        </w:rPr>
        <w:sym w:font="HQPB2" w:char="F0E1"/>
      </w:r>
      <w:r>
        <w:rPr>
          <w:rFonts w:hint="cs"/>
          <w:sz w:val="22"/>
          <w:szCs w:val="22"/>
          <w:rtl/>
        </w:rPr>
        <w:t xml:space="preserve"> </w:t>
      </w:r>
      <w:r>
        <w:rPr>
          <w:rFonts w:hint="cs"/>
          <w:rtl/>
        </w:rPr>
        <w:t xml:space="preserve">[من الآية رقم (103) من سورة (النساء)] أي: مؤقتًا، وفي الجمع </w:t>
      </w:r>
      <w:r>
        <w:rPr>
          <w:rFonts w:hint="cs"/>
          <w:b/>
          <w:bCs/>
          <w:rtl/>
        </w:rPr>
        <w:t>تغيير الوقت</w:t>
      </w:r>
      <w:r>
        <w:rPr>
          <w:rFonts w:hint="eastAsia"/>
          <w:rtl/>
        </w:rPr>
        <w:t>»</w:t>
      </w:r>
      <w:r>
        <w:rPr>
          <w:rFonts w:hint="cs"/>
          <w:rtl/>
        </w:rPr>
        <w:t xml:space="preserve">- كذا في الاختيار لتعليل </w:t>
      </w:r>
      <w:r w:rsidRPr="0023363E">
        <w:rPr>
          <w:rFonts w:hint="cs"/>
          <w:spacing w:val="-2"/>
          <w:rtl/>
        </w:rPr>
        <w:t>المختار - ويستثنون من ذلك: الجمع بين الظهر والعصر في يوم عرفة، وبين المغرب والعشاء في مزدلفة.</w:t>
      </w:r>
    </w:p>
    <w:p w:rsidR="00035BE3" w:rsidRDefault="00035BE3" w:rsidP="00C10469">
      <w:pPr>
        <w:pStyle w:val="a6"/>
        <w:ind w:left="422" w:firstLine="0"/>
        <w:rPr>
          <w:rtl/>
        </w:rPr>
      </w:pPr>
      <w:r>
        <w:rPr>
          <w:rFonts w:hint="cs"/>
          <w:rtl/>
        </w:rPr>
        <w:t>والجمهور على خلافهم؛ حيث لم يحصروا جواز الجمع في عرفة ومزدلفة فحسب؛ بل أجازوه عند وجود العذر - على خلاف بينهم في تفصيل الأعذار- ولهم في ذلك أدلة كثيرة مبسوطة في كتب الفقه وأحاديث الأحكام، وليس هذا موضع بيانها.</w:t>
      </w:r>
    </w:p>
    <w:p w:rsidR="00035BE3" w:rsidRDefault="00035BE3" w:rsidP="00C10469">
      <w:pPr>
        <w:pStyle w:val="a6"/>
        <w:ind w:left="422" w:firstLine="0"/>
        <w:rPr>
          <w:rtl/>
        </w:rPr>
      </w:pPr>
      <w:r>
        <w:rPr>
          <w:rFonts w:hint="cs"/>
          <w:rtl/>
        </w:rPr>
        <w:t>الاختيار لتعليل المختار، 1/41.</w:t>
      </w:r>
    </w:p>
    <w:p w:rsidR="00035BE3" w:rsidRDefault="00035BE3" w:rsidP="00C10469">
      <w:pPr>
        <w:pStyle w:val="a6"/>
        <w:ind w:left="422" w:firstLine="0"/>
        <w:rPr>
          <w:spacing w:val="4"/>
          <w:rtl/>
        </w:rPr>
      </w:pPr>
      <w:r>
        <w:rPr>
          <w:rFonts w:hint="cs"/>
          <w:spacing w:val="4"/>
          <w:rtl/>
        </w:rPr>
        <w:t>وانظر : المغني لابن قدامة، 3/127؛ تبيين الحقائق، 1/88؛ روضة الطالبين، 1/499؛ القوانين الفقهية لابن جزي، ص57؛ مواهب الجليل للحطاب، 2/509؛ معرفة أوقات العبادات للدكتور خالد المشيقح، 1/584.</w:t>
      </w:r>
    </w:p>
  </w:footnote>
  <w:footnote w:id="1969">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150584">
        <w:rPr>
          <w:rFonts w:hint="cs"/>
          <w:sz w:val="29"/>
          <w:szCs w:val="29"/>
          <w:rtl/>
        </w:rPr>
        <w:t xml:space="preserve">وذلك في أحاديث كثيرة، منها حديث جابر المشهور الذي أخرجه مسلم، كتاب الحج، باب حجة النبي </w:t>
      </w:r>
      <w:r w:rsidRPr="00150584">
        <w:rPr>
          <w:rFonts w:ascii="AGA Arabesque" w:hAnsi="AGA Arabesque"/>
          <w:sz w:val="29"/>
          <w:szCs w:val="29"/>
        </w:rPr>
        <w:t></w:t>
      </w:r>
      <w:r w:rsidRPr="00150584">
        <w:rPr>
          <w:rFonts w:hint="cs"/>
          <w:sz w:val="29"/>
          <w:szCs w:val="29"/>
          <w:rtl/>
        </w:rPr>
        <w:t>، 2/890.</w:t>
      </w:r>
    </w:p>
  </w:footnote>
  <w:footnote w:id="19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يشير إلى قاعدة سيأتي الحديث عنها استقلالاً وهي : </w:t>
      </w:r>
      <w:r>
        <w:rPr>
          <w:rFonts w:hint="eastAsia"/>
          <w:rtl/>
        </w:rPr>
        <w:t>«</w:t>
      </w:r>
      <w:r>
        <w:rPr>
          <w:rFonts w:hint="cs"/>
          <w:rtl/>
        </w:rPr>
        <w:t>ما ثبت على خلاف القياس فغيره لا يقاس عليه</w:t>
      </w:r>
      <w:r>
        <w:rPr>
          <w:rFonts w:hint="eastAsia"/>
          <w:rtl/>
        </w:rPr>
        <w:t>»</w:t>
      </w:r>
      <w:r>
        <w:rPr>
          <w:rFonts w:hint="cs"/>
          <w:rtl/>
        </w:rPr>
        <w:t>، وذلك ص994 (ل93/ب)، قاعدة 221.</w:t>
      </w:r>
    </w:p>
  </w:footnote>
  <w:footnote w:id="19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(جـ) و(هـ) و(و)، وفي (ب) : </w:t>
      </w:r>
      <w:r>
        <w:rPr>
          <w:rFonts w:hint="eastAsia"/>
          <w:rtl/>
        </w:rPr>
        <w:t>«</w:t>
      </w:r>
      <w:r>
        <w:rPr>
          <w:rFonts w:hint="cs"/>
          <w:rtl/>
        </w:rPr>
        <w:t xml:space="preserve"> ولو فوت </w:t>
      </w:r>
      <w:r>
        <w:rPr>
          <w:rFonts w:hint="eastAsia"/>
          <w:rtl/>
        </w:rPr>
        <w:t>»</w:t>
      </w:r>
      <w:r>
        <w:rPr>
          <w:rFonts w:hint="cs"/>
          <w:rtl/>
        </w:rPr>
        <w:t xml:space="preserve">. وكلا هذين التعبيرين يستقيم بهما المعنى، بخلاف ما جاء في (أ) و(د)؛ حيث جاء فيهما : </w:t>
      </w:r>
      <w:r>
        <w:rPr>
          <w:rFonts w:hint="eastAsia"/>
          <w:rtl/>
        </w:rPr>
        <w:t>«</w:t>
      </w:r>
      <w:r>
        <w:rPr>
          <w:rFonts w:hint="cs"/>
          <w:rtl/>
        </w:rPr>
        <w:t>ليفوِّت</w:t>
      </w:r>
      <w:r>
        <w:rPr>
          <w:rFonts w:hint="eastAsia"/>
          <w:rtl/>
        </w:rPr>
        <w:t>»</w:t>
      </w:r>
      <w:r>
        <w:rPr>
          <w:rFonts w:hint="cs"/>
          <w:rtl/>
        </w:rPr>
        <w:t>.</w:t>
      </w:r>
    </w:p>
  </w:footnote>
  <w:footnote w:id="19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على </w:t>
      </w:r>
      <w:r>
        <w:rPr>
          <w:rFonts w:hint="eastAsia"/>
          <w:rtl/>
        </w:rPr>
        <w:t>»</w:t>
      </w:r>
      <w:r>
        <w:rPr>
          <w:rFonts w:hint="cs"/>
          <w:rtl/>
        </w:rPr>
        <w:t>.</w:t>
      </w:r>
    </w:p>
  </w:footnote>
  <w:footnote w:id="1973">
    <w:p w:rsidR="00035BE3" w:rsidRDefault="00035BE3" w:rsidP="00C10469">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قول الإمام أبي حنيفة ومحمد، خلافًا لأبي يوسف.</w:t>
      </w:r>
    </w:p>
    <w:p w:rsidR="00035BE3" w:rsidRDefault="00035BE3" w:rsidP="00C10469">
      <w:pPr>
        <w:pStyle w:val="a6"/>
        <w:spacing w:line="228" w:lineRule="auto"/>
        <w:ind w:left="422" w:firstLine="0"/>
        <w:rPr>
          <w:spacing w:val="-8"/>
          <w:rtl/>
        </w:rPr>
      </w:pPr>
      <w:r>
        <w:rPr>
          <w:rFonts w:hint="cs"/>
          <w:spacing w:val="-8"/>
          <w:rtl/>
        </w:rPr>
        <w:t xml:space="preserve">أما إذا لم يقرأ الفاتحة في الأوليين فقد اتَّفق الثلاثة على عدم قضائها في الأخريين، وقد بين ذلك صاحب الهداية -1/328 - فقال : </w:t>
      </w:r>
      <w:r>
        <w:rPr>
          <w:rFonts w:hint="eastAsia"/>
          <w:spacing w:val="-8"/>
          <w:rtl/>
        </w:rPr>
        <w:t>«</w:t>
      </w:r>
      <w:r>
        <w:rPr>
          <w:rFonts w:hint="cs"/>
          <w:spacing w:val="-8"/>
          <w:rtl/>
        </w:rPr>
        <w:t>ومن قرأ في العشاء في الأوليين السورة، ولم يقرأ بفاتحة الكتاب : لم يُعدْ في الأخريين.</w:t>
      </w:r>
    </w:p>
    <w:p w:rsidR="00035BE3" w:rsidRDefault="00035BE3" w:rsidP="00C10469">
      <w:pPr>
        <w:pStyle w:val="a6"/>
        <w:spacing w:line="228" w:lineRule="auto"/>
        <w:ind w:left="-32" w:firstLine="454"/>
        <w:rPr>
          <w:rtl/>
        </w:rPr>
      </w:pPr>
      <w:r>
        <w:rPr>
          <w:rtl/>
        </w:rPr>
        <w:t>•</w:t>
      </w:r>
      <w:r>
        <w:rPr>
          <w:rFonts w:hint="cs"/>
          <w:rtl/>
        </w:rPr>
        <w:t xml:space="preserve"> وإن قرأ الفاتحة ولم يزد عليها : قرأ في الأخريين الفاتحة والسورة وجهر.</w:t>
      </w:r>
    </w:p>
    <w:p w:rsidR="00035BE3" w:rsidRDefault="00035BE3" w:rsidP="00C10469">
      <w:pPr>
        <w:pStyle w:val="a6"/>
        <w:spacing w:line="228" w:lineRule="auto"/>
        <w:ind w:left="422" w:firstLine="0"/>
        <w:rPr>
          <w:rtl/>
        </w:rPr>
      </w:pPr>
      <w:r>
        <w:rPr>
          <w:rFonts w:hint="cs"/>
          <w:rtl/>
        </w:rPr>
        <w:t>وهذا عند أبي حنيفة ومحمد - رحمهما الله-.</w:t>
      </w:r>
    </w:p>
    <w:p w:rsidR="00035BE3" w:rsidRDefault="00035BE3" w:rsidP="00C10469">
      <w:pPr>
        <w:pStyle w:val="a6"/>
        <w:spacing w:line="228" w:lineRule="auto"/>
        <w:ind w:left="-32" w:firstLine="454"/>
        <w:rPr>
          <w:rtl/>
        </w:rPr>
      </w:pPr>
      <w:r>
        <w:rPr>
          <w:rtl/>
        </w:rPr>
        <w:t>•</w:t>
      </w:r>
      <w:r>
        <w:rPr>
          <w:rFonts w:hint="cs"/>
          <w:rtl/>
        </w:rPr>
        <w:t xml:space="preserve"> وقال أبو يوسف -رحمه الله- : لا يقضي واحدةً منهما...</w:t>
      </w:r>
      <w:r>
        <w:rPr>
          <w:rFonts w:hint="eastAsia"/>
          <w:rtl/>
        </w:rPr>
        <w:t>»</w:t>
      </w:r>
      <w:r>
        <w:rPr>
          <w:rFonts w:hint="cs"/>
          <w:rtl/>
        </w:rPr>
        <w:t>.</w:t>
      </w:r>
    </w:p>
    <w:p w:rsidR="00035BE3" w:rsidRDefault="00035BE3" w:rsidP="00C10469">
      <w:pPr>
        <w:pStyle w:val="a6"/>
        <w:spacing w:line="228" w:lineRule="auto"/>
        <w:ind w:left="422" w:firstLine="0"/>
        <w:rPr>
          <w:rtl/>
        </w:rPr>
      </w:pPr>
      <w:r>
        <w:rPr>
          <w:rFonts w:hint="cs"/>
          <w:rtl/>
        </w:rPr>
        <w:t>والمسألة الأولى (وهي عدم قراءة الفاتحة) سيذكرها المؤلف ص533.</w:t>
      </w:r>
    </w:p>
  </w:footnote>
  <w:footnote w:id="1974">
    <w:p w:rsidR="00035BE3" w:rsidRDefault="00035BE3" w:rsidP="00C10469">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(بالتذكير) في جميع النسخ. ولعلَّ المعنى : مشروع فعلها.</w:t>
      </w:r>
    </w:p>
  </w:footnote>
  <w:footnote w:id="1975">
    <w:p w:rsidR="00035BE3" w:rsidRDefault="00035BE3" w:rsidP="00C10469">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يقرأ في الأخريين ... في الأوليين</w:t>
      </w:r>
      <w:r>
        <w:rPr>
          <w:rFonts w:hint="eastAsia"/>
          <w:rtl/>
        </w:rPr>
        <w:t>»</w:t>
      </w:r>
      <w:r>
        <w:rPr>
          <w:rFonts w:hint="cs"/>
          <w:rtl/>
        </w:rPr>
        <w:t xml:space="preserve"> : ساقطة من (د).</w:t>
      </w:r>
    </w:p>
  </w:footnote>
  <w:footnote w:id="1976">
    <w:p w:rsidR="00035BE3" w:rsidRDefault="00035BE3" w:rsidP="00C10469">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الأولتـين</w:t>
      </w:r>
      <w:r>
        <w:rPr>
          <w:rFonts w:hint="eastAsia"/>
          <w:rtl/>
        </w:rPr>
        <w:t>»</w:t>
      </w:r>
      <w:r>
        <w:rPr>
          <w:rFonts w:hint="cs"/>
          <w:rtl/>
        </w:rPr>
        <w:t>.</w:t>
      </w:r>
    </w:p>
  </w:footnote>
  <w:footnote w:id="1977">
    <w:p w:rsidR="00035BE3" w:rsidRDefault="00035BE3" w:rsidP="00C10469">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الحديث بحثتُ عن لفظه في كتب الحديث المسندة فلم أعثر عليه، لكنه ورد فيها بمعناه عن عليّ وابن مسعود موقوفًا عليهما، كما أن معناه العام مقرّر في كثير من الأحاديث المرفوعة. فلعلّ المؤلف تابع في لفظه بعض كتب الأصول، حيث جاء بلفظه مرفوعًا في شرح المغني للقاءاني، ق1، جـ1، ص201؛ وفي كشف الأسرار </w:t>
      </w:r>
      <w:r>
        <w:rPr>
          <w:rtl/>
        </w:rPr>
        <w:t>–</w:t>
      </w:r>
      <w:r>
        <w:rPr>
          <w:rFonts w:hint="cs"/>
          <w:rtl/>
        </w:rPr>
        <w:t>1/349- موقوفًا على عليّ. ولبيان ذلك يقال :</w:t>
      </w:r>
      <w:r>
        <w:rPr>
          <w:rFonts w:hint="cs"/>
          <w:rtl/>
        </w:rPr>
        <w:tab/>
      </w:r>
      <w:r>
        <w:rPr>
          <w:rFonts w:hint="cs"/>
          <w:rtl/>
        </w:rPr>
        <w:tab/>
        <w:t xml:space="preserve">  </w:t>
      </w:r>
    </w:p>
    <w:p w:rsidR="00035BE3" w:rsidRDefault="00035BE3" w:rsidP="00C10469">
      <w:pPr>
        <w:pStyle w:val="a6"/>
        <w:ind w:left="420" w:firstLine="0"/>
        <w:rPr>
          <w:rtl/>
        </w:rPr>
      </w:pPr>
      <w:r>
        <w:rPr>
          <w:rtl/>
        </w:rPr>
        <w:t>•</w:t>
      </w:r>
      <w:r>
        <w:rPr>
          <w:rFonts w:hint="cs"/>
          <w:rtl/>
        </w:rPr>
        <w:t xml:space="preserve"> لفظ هذا الحديث أورده ابن الجوزي ضمن عدّة أحاديث، ووصفها بأنها : «لا تُعرف»؛ حيث قال في التحقيق في أحاديث الخلاف </w:t>
      </w:r>
      <w:r>
        <w:rPr>
          <w:rtl/>
        </w:rPr>
        <w:t>–</w:t>
      </w:r>
      <w:r>
        <w:rPr>
          <w:rFonts w:hint="cs"/>
          <w:rtl/>
        </w:rPr>
        <w:t xml:space="preserve">1/372- : «... والثاني : عن عليّ عن النبي </w:t>
      </w:r>
      <w:r>
        <w:rPr>
          <w:rFonts w:ascii="AGA Arabesque" w:hAnsi="AGA Arabesque"/>
          <w:sz w:val="36"/>
          <w:szCs w:val="36"/>
        </w:rPr>
        <w:t></w:t>
      </w:r>
      <w:r>
        <w:rPr>
          <w:rFonts w:hint="cs"/>
          <w:rtl/>
        </w:rPr>
        <w:t xml:space="preserve"> قال: </w:t>
      </w:r>
      <w:r>
        <w:rPr>
          <w:rFonts w:cs="DecoType Naskh Special" w:hint="cs"/>
          <w:sz w:val="28"/>
          <w:szCs w:val="28"/>
          <w:rtl/>
        </w:rPr>
        <w:t>القراءة في الأوليين قراءة في الأخريين</w:t>
      </w:r>
      <w:r>
        <w:rPr>
          <w:rFonts w:hint="cs"/>
          <w:rtl/>
        </w:rPr>
        <w:t>» ... هذه الأحاديث لا تُعرف ...</w:t>
      </w:r>
    </w:p>
    <w:p w:rsidR="00035BE3" w:rsidRDefault="00035BE3" w:rsidP="00C10469">
      <w:pPr>
        <w:pStyle w:val="a6"/>
        <w:ind w:left="422" w:firstLine="0"/>
        <w:rPr>
          <w:rtl/>
        </w:rPr>
      </w:pPr>
      <w:r>
        <w:rPr>
          <w:rFonts w:hint="cs"/>
          <w:rtl/>
        </w:rPr>
        <w:t>وقيل في الثاني: إنه موقوف على علي غير مرفوع، وراويه الحارث الكذاب».</w:t>
      </w:r>
    </w:p>
    <w:p w:rsidR="00035BE3" w:rsidRDefault="00035BE3" w:rsidP="00C10469">
      <w:pPr>
        <w:pStyle w:val="a6"/>
        <w:ind w:left="420" w:firstLine="0"/>
        <w:rPr>
          <w:rtl/>
        </w:rPr>
      </w:pPr>
      <w:r>
        <w:rPr>
          <w:rtl/>
        </w:rPr>
        <w:t>•</w:t>
      </w:r>
      <w:r>
        <w:rPr>
          <w:rFonts w:hint="cs"/>
          <w:rtl/>
        </w:rPr>
        <w:t xml:space="preserve"> وورد بمعناه عن علي وابن مسعود رضي الله عنهما موقوفًا عليها؛ فقد أخرج ابن أبي شيبة، كتاب الصلوات، في مَنْ كان يقرأ في الأوليين بفاتحة الكتاب وسورة، وفي الأخريين بفاتحة الكتاب، 1/327، ح3742، بسنده عن علي وعبد الله أنهما قالا : </w:t>
      </w:r>
      <w:r>
        <w:rPr>
          <w:rFonts w:hint="eastAsia"/>
          <w:rtl/>
        </w:rPr>
        <w:t>«</w:t>
      </w:r>
      <w:r>
        <w:rPr>
          <w:rFonts w:hint="cs"/>
          <w:rtl/>
        </w:rPr>
        <w:t>إقرأ في الأوليين، وسبّح في الأخريين</w:t>
      </w:r>
      <w:r>
        <w:rPr>
          <w:rFonts w:hint="eastAsia"/>
          <w:rtl/>
        </w:rPr>
        <w:t>»</w:t>
      </w:r>
      <w:r>
        <w:rPr>
          <w:rFonts w:hint="cs"/>
          <w:rtl/>
        </w:rPr>
        <w:t>.</w:t>
      </w:r>
    </w:p>
    <w:p w:rsidR="00035BE3" w:rsidRDefault="00035BE3" w:rsidP="00C10469">
      <w:pPr>
        <w:pStyle w:val="a6"/>
        <w:ind w:left="422" w:firstLine="0"/>
        <w:rPr>
          <w:rtl/>
        </w:rPr>
      </w:pPr>
      <w:r>
        <w:rPr>
          <w:rFonts w:hint="cs"/>
          <w:rtl/>
        </w:rPr>
        <w:t xml:space="preserve">وهذا الأثر أورده صاحب نصب الراية </w:t>
      </w:r>
      <w:r>
        <w:rPr>
          <w:rtl/>
        </w:rPr>
        <w:t>–</w:t>
      </w:r>
      <w:r>
        <w:rPr>
          <w:rFonts w:hint="cs"/>
          <w:rtl/>
        </w:rPr>
        <w:t xml:space="preserve">2/148- وقال عقبه : </w:t>
      </w:r>
      <w:r>
        <w:rPr>
          <w:rFonts w:hint="eastAsia"/>
          <w:rtl/>
        </w:rPr>
        <w:t>«</w:t>
      </w:r>
      <w:r>
        <w:rPr>
          <w:rFonts w:hint="cs"/>
          <w:rtl/>
        </w:rPr>
        <w:t>وفيه انقطاع</w:t>
      </w:r>
      <w:r>
        <w:rPr>
          <w:rFonts w:hint="eastAsia"/>
          <w:rtl/>
        </w:rPr>
        <w:t>»</w:t>
      </w:r>
      <w:r>
        <w:rPr>
          <w:rFonts w:hint="cs"/>
          <w:rtl/>
        </w:rPr>
        <w:t>.</w:t>
      </w:r>
    </w:p>
    <w:p w:rsidR="00035BE3" w:rsidRDefault="00035BE3" w:rsidP="00C10469">
      <w:pPr>
        <w:pStyle w:val="a6"/>
        <w:ind w:left="-32" w:firstLine="454"/>
        <w:rPr>
          <w:rtl/>
        </w:rPr>
      </w:pPr>
      <w:r>
        <w:rPr>
          <w:rtl/>
        </w:rPr>
        <w:t>•</w:t>
      </w:r>
      <w:r>
        <w:rPr>
          <w:rFonts w:hint="cs"/>
          <w:rtl/>
        </w:rPr>
        <w:t xml:space="preserve"> والمعنى المقصود من ذكر هذا الحديث مقرَّر في كثير من الأحاديث المرفوعة، منها :</w:t>
      </w:r>
    </w:p>
    <w:p w:rsidR="00035BE3" w:rsidRDefault="00035BE3" w:rsidP="00C10469">
      <w:pPr>
        <w:pStyle w:val="a6"/>
        <w:ind w:left="422" w:firstLine="0"/>
        <w:rPr>
          <w:rtl/>
        </w:rPr>
      </w:pPr>
      <w:r>
        <w:rPr>
          <w:rFonts w:hint="cs"/>
          <w:rtl/>
        </w:rPr>
        <w:t xml:space="preserve">- ما أخرجه البخاري، كتاب أبواب الأذان، باب يقرأ في الأخريين بفاتحة الكتاب، 1/269، ح743، بسنده عن عبد الله بن قتادة عن أبيه </w:t>
      </w:r>
      <w:r>
        <w:rPr>
          <w:rFonts w:hint="eastAsia"/>
          <w:rtl/>
        </w:rPr>
        <w:t>«</w:t>
      </w:r>
      <w:r>
        <w:rPr>
          <w:rFonts w:hint="cs"/>
          <w:rtl/>
        </w:rPr>
        <w:t xml:space="preserve"> أن النبي </w:t>
      </w:r>
      <w:r>
        <w:rPr>
          <w:rFonts w:ascii="AGA Arabesque" w:hAnsi="AGA Arabesque"/>
          <w:sz w:val="36"/>
          <w:szCs w:val="36"/>
        </w:rPr>
        <w:t></w:t>
      </w:r>
      <w:r>
        <w:rPr>
          <w:rFonts w:hint="cs"/>
          <w:rtl/>
        </w:rPr>
        <w:t xml:space="preserve"> كان يقرأ في الظهر في الأوليين بأمّ الكتاب وسورتين، وفي الركعتين الأخريين بأمّ الكتاب، ويُسْمِعُنَا الآية، ويُطوِّل في الركعة الأولى ما لا يطوّل في الركعة الثانية، وهكذا في العصر، وهكذا في الصبح</w:t>
      </w:r>
      <w:r>
        <w:rPr>
          <w:rFonts w:hint="eastAsia"/>
          <w:rtl/>
        </w:rPr>
        <w:t>»</w:t>
      </w:r>
      <w:r>
        <w:rPr>
          <w:rFonts w:hint="cs"/>
          <w:rtl/>
        </w:rPr>
        <w:t>.</w:t>
      </w:r>
    </w:p>
    <w:p w:rsidR="00035BE3" w:rsidRDefault="00035BE3" w:rsidP="00C10469">
      <w:pPr>
        <w:pStyle w:val="a6"/>
        <w:ind w:left="422" w:firstLine="0"/>
        <w:rPr>
          <w:rtl/>
        </w:rPr>
      </w:pPr>
      <w:r>
        <w:rPr>
          <w:rFonts w:hint="cs"/>
          <w:rtl/>
        </w:rPr>
        <w:t>- وقد أخرج الحديث السابق الإمام أحمد بنحوه، 5/305، ح22649.</w:t>
      </w:r>
    </w:p>
    <w:p w:rsidR="00035BE3" w:rsidRDefault="00035BE3" w:rsidP="00C10469">
      <w:pPr>
        <w:pStyle w:val="a6"/>
        <w:ind w:left="420" w:firstLine="0"/>
        <w:rPr>
          <w:rtl/>
        </w:rPr>
      </w:pPr>
      <w:r>
        <w:rPr>
          <w:rFonts w:hint="cs"/>
          <w:rtl/>
        </w:rPr>
        <w:t xml:space="preserve">- ومنها : ما أخرجه مسلم، كتاب الصلاة، باب القراءة في الظهر والعصر، 1/334، ح453، بسنده عن جابر بن سمرة أن أهل الكوفة شكوا سعدًا إلى عمر بن الخطاب فذكروا من صلاته، فأرسل إليه عمر فَقَدِمَ عليه فذكر له ما عابوه به من أمر الصلاة، فقال : إني لأصلي بهم صلاة رسول الله </w:t>
      </w:r>
      <w:r>
        <w:rPr>
          <w:rFonts w:ascii="AGA Arabesque" w:hAnsi="AGA Arabesque"/>
          <w:sz w:val="36"/>
          <w:szCs w:val="36"/>
        </w:rPr>
        <w:t></w:t>
      </w:r>
      <w:r>
        <w:rPr>
          <w:rFonts w:hint="cs"/>
          <w:rtl/>
        </w:rPr>
        <w:t xml:space="preserve"> ما أخرم عنها، إني لأركد بهم في الأوليين، وأحذف في الأخريين. فقال : ذلك الظن بك أبا إسحاق</w:t>
      </w:r>
      <w:r>
        <w:rPr>
          <w:rFonts w:hint="eastAsia"/>
          <w:rtl/>
        </w:rPr>
        <w:t>»</w:t>
      </w:r>
      <w:r>
        <w:rPr>
          <w:rFonts w:hint="cs"/>
          <w:rtl/>
        </w:rPr>
        <w:t>.</w:t>
      </w:r>
    </w:p>
    <w:p w:rsidR="00035BE3" w:rsidRDefault="00035BE3" w:rsidP="00C10469">
      <w:pPr>
        <w:pStyle w:val="a6"/>
        <w:ind w:left="420" w:firstLine="0"/>
        <w:rPr>
          <w:rtl/>
        </w:rPr>
      </w:pPr>
      <w:r>
        <w:rPr>
          <w:rFonts w:hint="cs"/>
          <w:rtl/>
        </w:rPr>
        <w:t>- وقد أخرج هذا الحديث البخاري بنحوه، كتاب أبواب الأذان، باب يُطوّل في الأوليين ويحذف في الأخريين، 1/266، ح736.</w:t>
      </w:r>
    </w:p>
  </w:footnote>
  <w:footnote w:id="1978">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أن ينوي</w:t>
      </w:r>
      <w:r>
        <w:rPr>
          <w:rFonts w:hint="eastAsia"/>
          <w:rtl/>
        </w:rPr>
        <w:t>»</w:t>
      </w:r>
      <w:r>
        <w:rPr>
          <w:rFonts w:hint="cs"/>
          <w:rtl/>
        </w:rPr>
        <w:t>. ولو قال : (تنوب) لكان أصحّ؛ لأن الضمير المستتر يعود على القراءة.</w:t>
      </w:r>
    </w:p>
  </w:footnote>
  <w:footnote w:id="19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تعين </w:t>
      </w:r>
      <w:r>
        <w:rPr>
          <w:rFonts w:hint="eastAsia"/>
          <w:rtl/>
        </w:rPr>
        <w:t>»</w:t>
      </w:r>
      <w:r>
        <w:rPr>
          <w:rFonts w:hint="cs"/>
          <w:rtl/>
        </w:rPr>
        <w:t>.</w:t>
      </w:r>
    </w:p>
  </w:footnote>
  <w:footnote w:id="1980">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دلّ الخبر على أن القراءة في الركعتين الأوليين تنوب عن القراءة في الأخريين. وفي هذا تعيين موضع القراءة، وهو الشفع الأول من الصلاة.</w:t>
      </w:r>
    </w:p>
  </w:footnote>
  <w:footnote w:id="1981">
    <w:p w:rsidR="00035BE3" w:rsidRDefault="00035BE3" w:rsidP="00C10469">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«واحد». والصحيح ما تمَّ إثباته من (ب).</w:t>
      </w:r>
    </w:p>
  </w:footnote>
  <w:footnote w:id="1982">
    <w:p w:rsidR="00035BE3" w:rsidRDefault="00035BE3" w:rsidP="00C10469">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ذهب جمهور الفقهاء والمتكلمين </w:t>
      </w:r>
      <w:r>
        <w:rPr>
          <w:rFonts w:hint="eastAsia"/>
          <w:rtl/>
        </w:rPr>
        <w:t>«</w:t>
      </w:r>
      <w:r>
        <w:rPr>
          <w:rFonts w:hint="cs"/>
          <w:rtl/>
        </w:rPr>
        <w:t>في مؤلفاتهم ... [إلى] اختيار أن خـبر الواحد لا يفيد العلم ولو بقرينة، وإنما يجوز العمل به وإن كـان ظَـنِّي الثـبوت؛ لجواز العمل بما يفيـد الظن!</w:t>
      </w:r>
      <w:r>
        <w:rPr>
          <w:rFonts w:hint="eastAsia"/>
          <w:rtl/>
        </w:rPr>
        <w:t>»</w:t>
      </w:r>
      <w:r>
        <w:rPr>
          <w:rFonts w:hint="cs"/>
          <w:rtl/>
        </w:rPr>
        <w:t>.</w:t>
      </w:r>
    </w:p>
    <w:p w:rsidR="00035BE3" w:rsidRDefault="00035BE3" w:rsidP="00C10469">
      <w:pPr>
        <w:pStyle w:val="a6"/>
        <w:spacing w:line="228" w:lineRule="auto"/>
        <w:ind w:left="422" w:firstLine="0"/>
        <w:rPr>
          <w:rtl/>
        </w:rPr>
      </w:pPr>
      <w:r>
        <w:rPr>
          <w:rFonts w:hint="cs"/>
          <w:rtl/>
        </w:rPr>
        <w:t xml:space="preserve">بل ذهب الغزالي إلى دعوى أن هذا الرأي </w:t>
      </w:r>
      <w:r>
        <w:rPr>
          <w:rFonts w:hint="eastAsia"/>
          <w:rtl/>
        </w:rPr>
        <w:t>«</w:t>
      </w:r>
      <w:r>
        <w:rPr>
          <w:rFonts w:hint="cs"/>
          <w:rtl/>
        </w:rPr>
        <w:t>معلوم بالضرورة</w:t>
      </w:r>
      <w:r>
        <w:rPr>
          <w:rFonts w:hint="eastAsia"/>
          <w:rtl/>
        </w:rPr>
        <w:t>»</w:t>
      </w:r>
      <w:r>
        <w:rPr>
          <w:rFonts w:hint="cs"/>
          <w:rtl/>
        </w:rPr>
        <w:t xml:space="preserve"> ! ولإثبات ذلك تأوّل </w:t>
      </w:r>
      <w:r>
        <w:rPr>
          <w:rFonts w:hint="eastAsia"/>
          <w:rtl/>
        </w:rPr>
        <w:t>«</w:t>
      </w:r>
      <w:r>
        <w:rPr>
          <w:rFonts w:hint="cs"/>
          <w:rtl/>
        </w:rPr>
        <w:t>ما حُكي عن المحدثين من أن ذلك يوجب العلم!</w:t>
      </w:r>
      <w:r>
        <w:rPr>
          <w:rFonts w:hint="eastAsia"/>
          <w:rtl/>
        </w:rPr>
        <w:t>»</w:t>
      </w:r>
      <w:r>
        <w:rPr>
          <w:rFonts w:hint="cs"/>
          <w:rtl/>
        </w:rPr>
        <w:t>.</w:t>
      </w:r>
    </w:p>
    <w:p w:rsidR="00035BE3" w:rsidRDefault="00035BE3" w:rsidP="00C10469">
      <w:pPr>
        <w:pStyle w:val="a6"/>
        <w:spacing w:line="228" w:lineRule="auto"/>
        <w:ind w:left="422" w:firstLine="0"/>
        <w:rPr>
          <w:rtl/>
        </w:rPr>
      </w:pPr>
      <w:r>
        <w:rPr>
          <w:rFonts w:hint="cs"/>
          <w:rtl/>
        </w:rPr>
        <w:t>وقد بيّن ذلك شيخنا العلامة عبد الله الجبرين في كتابه : (أخبار الآحاد في الحديث النبوي، وحجيتها، مفادها، العمل بموجبها) - ص107-120-، واستعرض إحدى عشرة شبهة من شبههم وناقشها مناقشة كافية شافية.</w:t>
      </w:r>
    </w:p>
    <w:p w:rsidR="00035BE3" w:rsidRDefault="00035BE3" w:rsidP="00C10469">
      <w:pPr>
        <w:pStyle w:val="a6"/>
        <w:spacing w:line="228" w:lineRule="auto"/>
        <w:ind w:left="422" w:firstLine="0"/>
        <w:rPr>
          <w:rtl/>
        </w:rPr>
      </w:pPr>
      <w:r>
        <w:rPr>
          <w:rFonts w:hint="cs"/>
          <w:rtl/>
        </w:rPr>
        <w:t xml:space="preserve">وللتوسع في رأي المحدِّثين والأصوليين في المسألة انظر </w:t>
      </w:r>
      <w:r>
        <w:rPr>
          <w:rFonts w:hint="cs"/>
          <w:b/>
          <w:bCs/>
          <w:rtl/>
        </w:rPr>
        <w:t>من كتب المحدثين</w:t>
      </w:r>
      <w:r>
        <w:rPr>
          <w:rFonts w:hint="cs"/>
          <w:rtl/>
        </w:rPr>
        <w:t xml:space="preserve"> :</w:t>
      </w:r>
    </w:p>
    <w:p w:rsidR="00035BE3" w:rsidRDefault="00035BE3" w:rsidP="00C10469">
      <w:pPr>
        <w:pStyle w:val="a6"/>
        <w:spacing w:line="228" w:lineRule="auto"/>
        <w:ind w:left="422" w:firstLine="0"/>
        <w:rPr>
          <w:spacing w:val="-8"/>
          <w:sz w:val="29"/>
          <w:szCs w:val="29"/>
          <w:rtl/>
        </w:rPr>
      </w:pPr>
      <w:r>
        <w:rPr>
          <w:rFonts w:hint="cs"/>
          <w:spacing w:val="-8"/>
          <w:sz w:val="29"/>
          <w:szCs w:val="29"/>
          <w:rtl/>
        </w:rPr>
        <w:t>شرح نخبة الفكر في مصطلح أهل الأثر، ص20؛ النكت على كتاب ابن الصلاح للحافظ ابن حجر، ص111؛ فتح المغيث شرح ألفية الحديث للسخاوي، 1/63؛ تدريب الراوي في شرح تقريب النواوي للسيوطي، 1/141.</w:t>
      </w:r>
    </w:p>
    <w:p w:rsidR="00035BE3" w:rsidRDefault="00035BE3" w:rsidP="00C10469">
      <w:pPr>
        <w:pStyle w:val="a6"/>
        <w:spacing w:line="228" w:lineRule="auto"/>
        <w:ind w:left="422" w:firstLine="0"/>
        <w:rPr>
          <w:rtl/>
        </w:rPr>
      </w:pPr>
      <w:r>
        <w:rPr>
          <w:rFonts w:hint="cs"/>
          <w:b/>
          <w:bCs/>
          <w:rtl/>
        </w:rPr>
        <w:t>ومن كتب الأصوليين:</w:t>
      </w:r>
      <w:r>
        <w:rPr>
          <w:rFonts w:hint="cs"/>
          <w:rtl/>
        </w:rPr>
        <w:t xml:space="preserve"> </w:t>
      </w:r>
    </w:p>
    <w:p w:rsidR="00035BE3" w:rsidRDefault="00035BE3" w:rsidP="00C10469">
      <w:pPr>
        <w:pStyle w:val="a6"/>
        <w:spacing w:line="221" w:lineRule="auto"/>
        <w:ind w:left="422" w:firstLine="0"/>
        <w:rPr>
          <w:rtl/>
        </w:rPr>
      </w:pPr>
      <w:r>
        <w:rPr>
          <w:rFonts w:hint="cs"/>
          <w:rtl/>
        </w:rPr>
        <w:t>العدة للقاضي أبي يعلى، 3/898؛ التبصرة، ص298؛ البرهان، 1/388، فقرة 538؛ أصول البزدوي وشرحه : كشف الأسرار، 2/678؛ أصول السرخسي، 1/321؛ قـواطع الأدلة، 2/258؛ المستـصفى، 1/145؛ روضة الناظر، 1/362؛ الإحكام للآمدي، 2/48؛ المسوَّدة، ص240؛ مجموع فتاوي شيخ الإسلام ابن تيمية، 20/257؛ التحرير وتيسيره، 3/76.</w:t>
      </w:r>
    </w:p>
  </w:footnote>
  <w:footnote w:id="1983">
    <w:p w:rsidR="00035BE3" w:rsidRDefault="00035BE3" w:rsidP="00C10469">
      <w:pPr>
        <w:pStyle w:val="a8"/>
        <w:bidi/>
        <w:spacing w:line="221" w:lineRule="auto"/>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للشفيع</w:t>
      </w:r>
      <w:r>
        <w:rPr>
          <w:rFonts w:hint="eastAsia"/>
          <w:rtl/>
        </w:rPr>
        <w:t>»</w:t>
      </w:r>
      <w:r>
        <w:rPr>
          <w:rFonts w:hint="cs"/>
          <w:rtl/>
        </w:rPr>
        <w:t>.</w:t>
      </w:r>
    </w:p>
  </w:footnote>
  <w:footnote w:id="1984">
    <w:p w:rsidR="00035BE3" w:rsidRDefault="00035BE3" w:rsidP="00C10469">
      <w:pPr>
        <w:pStyle w:val="a8"/>
        <w:bidi/>
        <w:spacing w:line="221" w:lineRule="auto"/>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بشبهة</w:t>
      </w:r>
      <w:r>
        <w:rPr>
          <w:rFonts w:hint="eastAsia"/>
          <w:rtl/>
        </w:rPr>
        <w:t>»</w:t>
      </w:r>
      <w:r>
        <w:rPr>
          <w:rFonts w:hint="cs"/>
          <w:rtl/>
        </w:rPr>
        <w:t>.</w:t>
      </w:r>
    </w:p>
  </w:footnote>
  <w:footnote w:id="1985">
    <w:p w:rsidR="00035BE3" w:rsidRDefault="00035BE3" w:rsidP="00C10469">
      <w:pPr>
        <w:pStyle w:val="a8"/>
        <w:bidi/>
        <w:spacing w:line="221" w:lineRule="auto"/>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الخبر</w:t>
      </w:r>
      <w:r>
        <w:rPr>
          <w:rFonts w:hint="eastAsia"/>
          <w:rtl/>
        </w:rPr>
        <w:t>»</w:t>
      </w:r>
      <w:r>
        <w:rPr>
          <w:rFonts w:hint="cs"/>
          <w:rtl/>
        </w:rPr>
        <w:t>. والصحيح ما تمَّ إثباته من (ب) و(د).</w:t>
      </w:r>
    </w:p>
  </w:footnote>
  <w:footnote w:id="1986">
    <w:p w:rsidR="00035BE3" w:rsidRDefault="00035BE3" w:rsidP="00C10469">
      <w:pPr>
        <w:pStyle w:val="a8"/>
        <w:bidi/>
        <w:spacing w:line="221" w:lineRule="auto"/>
        <w:ind w:left="422" w:right="0"/>
        <w:rPr>
          <w:rtl/>
        </w:rPr>
      </w:pPr>
      <w:r>
        <w:rPr>
          <w:vertAlign w:val="superscript"/>
          <w:rtl/>
        </w:rPr>
        <w:t>(</w:t>
      </w:r>
      <w:r>
        <w:rPr>
          <w:rStyle w:val="a7"/>
        </w:rPr>
        <w:footnoteRef/>
      </w:r>
      <w:r>
        <w:rPr>
          <w:rFonts w:hint="cs"/>
          <w:vertAlign w:val="superscript"/>
          <w:rtl/>
        </w:rPr>
        <w:t>)</w:t>
      </w:r>
      <w:r>
        <w:rPr>
          <w:rFonts w:hint="cs"/>
          <w:rtl/>
        </w:rPr>
        <w:t xml:space="preserve">   من الأية رقم (20) من سورة (المزّمِّل).</w:t>
      </w:r>
    </w:p>
  </w:footnote>
  <w:footnote w:id="1987">
    <w:p w:rsidR="00035BE3" w:rsidRDefault="00035BE3" w:rsidP="00C10469">
      <w:pPr>
        <w:pStyle w:val="a8"/>
        <w:bidi/>
        <w:spacing w:line="221" w:lineRule="auto"/>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واورد</w:t>
      </w:r>
      <w:r>
        <w:rPr>
          <w:rFonts w:hint="eastAsia"/>
          <w:rtl/>
        </w:rPr>
        <w:t>»</w:t>
      </w:r>
      <w:r>
        <w:rPr>
          <w:rFonts w:hint="cs"/>
          <w:rtl/>
        </w:rPr>
        <w:t>.</w:t>
      </w:r>
    </w:p>
  </w:footnote>
  <w:footnote w:id="1988">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الاعتراض المذكور وهذا الجواب عنه في : أصول البزدوي وشرحه : كشف الأسرار، 1/348؛ المغني للخبازي، ص60.</w:t>
      </w:r>
    </w:p>
  </w:footnote>
  <w:footnote w:id="1989">
    <w:p w:rsidR="00035BE3" w:rsidRDefault="00035BE3" w:rsidP="00C10469">
      <w:pPr>
        <w:pStyle w:val="a8"/>
        <w:bidi/>
        <w:spacing w:line="480" w:lineRule="exact"/>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أحكام القرآن للجصاص، 3/628؛ الجامع لأحكام القرآن للقرطبي، 19/53؛ مدارك التنزيل وحقائق التأويل للنسفي، 2/743؛ تفسير القرآن العظيم للحافظ ابن كثير، 8/258؛ فتح القدير للشوكاني، 5/457.</w:t>
      </w:r>
    </w:p>
  </w:footnote>
  <w:footnote w:id="1990">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الجواز</w:t>
      </w:r>
      <w:r>
        <w:rPr>
          <w:rFonts w:hint="eastAsia"/>
          <w:rtl/>
        </w:rPr>
        <w:t>»</w:t>
      </w:r>
      <w:r>
        <w:rPr>
          <w:rFonts w:hint="cs"/>
          <w:rtl/>
        </w:rPr>
        <w:t>.</w:t>
      </w:r>
    </w:p>
  </w:footnote>
  <w:footnote w:id="1991">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لفوتها</w:t>
      </w:r>
      <w:r>
        <w:rPr>
          <w:rFonts w:hint="eastAsia"/>
          <w:rtl/>
        </w:rPr>
        <w:t>»</w:t>
      </w:r>
      <w:r>
        <w:rPr>
          <w:rFonts w:hint="cs"/>
          <w:rtl/>
        </w:rPr>
        <w:t>.</w:t>
      </w:r>
    </w:p>
  </w:footnote>
  <w:footnote w:id="1992">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شاهيًا</w:t>
      </w:r>
      <w:r>
        <w:rPr>
          <w:rFonts w:hint="eastAsia"/>
          <w:rtl/>
        </w:rPr>
        <w:t>»</w:t>
      </w:r>
      <w:r>
        <w:rPr>
          <w:rFonts w:hint="cs"/>
          <w:rtl/>
        </w:rPr>
        <w:t>.</w:t>
      </w:r>
    </w:p>
  </w:footnote>
  <w:footnote w:id="1993">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عدم</w:t>
      </w:r>
      <w:r>
        <w:rPr>
          <w:rFonts w:hint="eastAsia"/>
          <w:rtl/>
        </w:rPr>
        <w:t>»</w:t>
      </w:r>
      <w:r>
        <w:rPr>
          <w:rFonts w:hint="cs"/>
          <w:rtl/>
        </w:rPr>
        <w:t>. والصحيح ما تمَّ إثباته من (ب).</w:t>
      </w:r>
    </w:p>
  </w:footnote>
  <w:footnote w:id="1994">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ممن صرح بذلك صاحب الهداية، 1/328، وقد سبق نقل نصّ كلامه في ص530 هامش 4؛ ويضاف إليه : الجامع الصغير، ص96.</w:t>
      </w:r>
    </w:p>
  </w:footnote>
  <w:footnote w:id="1995">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21/أ من (ب).</w:t>
      </w:r>
    </w:p>
  </w:footnote>
  <w:footnote w:id="1996">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35/أ من (أ).</w:t>
      </w:r>
    </w:p>
  </w:footnote>
  <w:footnote w:id="1997">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من الكتب الأصولية التي ورد فيها الاعتراض المذكور وهذا الجواب عنه: أصول البزدوي وشرحه كشف الأسرار، 1/350؛ المغني للخبازي، ص60؛ شرحه للقاءاني، ق1، جـ1، ص201.</w:t>
      </w:r>
    </w:p>
  </w:footnote>
  <w:footnote w:id="1998">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 كشف الأسرار للبخاري، 1/350.</w:t>
      </w:r>
    </w:p>
  </w:footnote>
  <w:footnote w:id="1999">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سجدة</w:t>
      </w:r>
      <w:r>
        <w:rPr>
          <w:rFonts w:hint="eastAsia"/>
          <w:rtl/>
        </w:rPr>
        <w:t>»</w:t>
      </w:r>
      <w:r>
        <w:rPr>
          <w:rFonts w:hint="cs"/>
          <w:rtl/>
        </w:rPr>
        <w:t>. والصحيح ما تمَّ إثباته من (ب) و(جـ).</w:t>
      </w:r>
    </w:p>
  </w:footnote>
  <w:footnote w:id="2000">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27/أ من (جـ).</w:t>
      </w:r>
    </w:p>
  </w:footnote>
  <w:footnote w:id="200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من الآية رقم (77) من سورة (الحج). وتمام الآية : </w:t>
      </w:r>
      <w:r>
        <w:rPr>
          <w:color w:val="000000"/>
          <w:szCs w:val="20"/>
        </w:rPr>
        <w:sym w:font="HQPB2" w:char="F0E2"/>
      </w:r>
      <w:r>
        <w:rPr>
          <w:color w:val="000000"/>
          <w:szCs w:val="20"/>
          <w:rtl/>
        </w:rPr>
        <w:t xml:space="preserve"> </w:t>
      </w:r>
      <w:r>
        <w:rPr>
          <w:color w:val="000000"/>
          <w:szCs w:val="20"/>
        </w:rPr>
        <w:sym w:font="HQPB1" w:char="F024"/>
      </w:r>
      <w:r>
        <w:rPr>
          <w:color w:val="000000"/>
          <w:szCs w:val="20"/>
        </w:rPr>
        <w:sym w:font="HQPB5" w:char="F079"/>
      </w:r>
      <w:r>
        <w:rPr>
          <w:color w:val="000000"/>
          <w:szCs w:val="20"/>
        </w:rPr>
        <w:sym w:font="HQPB2" w:char="F067"/>
      </w:r>
      <w:r>
        <w:rPr>
          <w:color w:val="000000"/>
          <w:szCs w:val="20"/>
        </w:rPr>
        <w:sym w:font="HQPB4" w:char="F095"/>
      </w:r>
      <w:r>
        <w:rPr>
          <w:color w:val="000000"/>
          <w:szCs w:val="20"/>
        </w:rPr>
        <w:sym w:font="HQPB2" w:char="F083"/>
      </w:r>
      <w:r>
        <w:rPr>
          <w:color w:val="000000"/>
          <w:szCs w:val="20"/>
        </w:rPr>
        <w:sym w:font="HQPB5" w:char="F072"/>
      </w:r>
      <w:r>
        <w:rPr>
          <w:color w:val="000000"/>
          <w:szCs w:val="20"/>
        </w:rPr>
        <w:sym w:font="HQPB1" w:char="F027"/>
      </w:r>
      <w:r>
        <w:rPr>
          <w:color w:val="000000"/>
          <w:szCs w:val="20"/>
        </w:rPr>
        <w:sym w:font="HQPB5" w:char="F0AF"/>
      </w:r>
      <w:r>
        <w:rPr>
          <w:color w:val="000000"/>
          <w:szCs w:val="20"/>
        </w:rPr>
        <w:sym w:font="HQPB2" w:char="F0BB"/>
      </w:r>
      <w:r>
        <w:rPr>
          <w:color w:val="000000"/>
          <w:szCs w:val="20"/>
        </w:rPr>
        <w:sym w:font="HQPB5" w:char="F074"/>
      </w:r>
      <w:r>
        <w:rPr>
          <w:color w:val="000000"/>
          <w:szCs w:val="20"/>
        </w:rPr>
        <w:sym w:font="HQPB2" w:char="F083"/>
      </w:r>
      <w:r>
        <w:rPr>
          <w:color w:val="000000"/>
          <w:szCs w:val="20"/>
          <w:rtl/>
        </w:rPr>
        <w:t xml:space="preserve"> </w:t>
      </w:r>
      <w:r>
        <w:rPr>
          <w:color w:val="000000"/>
          <w:szCs w:val="20"/>
        </w:rPr>
        <w:sym w:font="HQPB5" w:char="F09A"/>
      </w:r>
      <w:r>
        <w:rPr>
          <w:color w:val="000000"/>
          <w:szCs w:val="20"/>
        </w:rPr>
        <w:sym w:font="HQPB2" w:char="F0FA"/>
      </w:r>
      <w:r>
        <w:rPr>
          <w:color w:val="000000"/>
          <w:szCs w:val="20"/>
        </w:rPr>
        <w:sym w:font="HQPB2" w:char="F0EF"/>
      </w:r>
      <w:r>
        <w:rPr>
          <w:color w:val="000000"/>
          <w:szCs w:val="20"/>
        </w:rPr>
        <w:sym w:font="HQPB4" w:char="F0CF"/>
      </w:r>
      <w:r>
        <w:rPr>
          <w:color w:val="000000"/>
          <w:szCs w:val="20"/>
        </w:rPr>
        <w:sym w:font="HQPB3" w:char="F025"/>
      </w:r>
      <w:r>
        <w:rPr>
          <w:color w:val="000000"/>
          <w:szCs w:val="20"/>
        </w:rPr>
        <w:sym w:font="HQPB4" w:char="F0A9"/>
      </w:r>
      <w:r>
        <w:rPr>
          <w:color w:val="000000"/>
          <w:szCs w:val="20"/>
        </w:rPr>
        <w:sym w:font="HQPB3" w:char="F021"/>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5" w:char="F028"/>
      </w:r>
      <w:r>
        <w:rPr>
          <w:color w:val="000000"/>
          <w:szCs w:val="20"/>
        </w:rPr>
        <w:sym w:font="HQPB1" w:char="F023"/>
      </w:r>
      <w:r>
        <w:rPr>
          <w:color w:val="000000"/>
          <w:szCs w:val="20"/>
        </w:rPr>
        <w:sym w:font="HQPB2" w:char="F071"/>
      </w:r>
      <w:r>
        <w:rPr>
          <w:color w:val="000000"/>
          <w:szCs w:val="20"/>
        </w:rPr>
        <w:sym w:font="HQPB4" w:char="F0E3"/>
      </w:r>
      <w:r>
        <w:rPr>
          <w:color w:val="000000"/>
          <w:szCs w:val="20"/>
        </w:rPr>
        <w:sym w:font="HQPB2" w:char="F05A"/>
      </w:r>
      <w:r>
        <w:rPr>
          <w:color w:val="000000"/>
          <w:szCs w:val="20"/>
        </w:rPr>
        <w:sym w:font="HQPB5" w:char="F074"/>
      </w:r>
      <w:r>
        <w:rPr>
          <w:color w:val="000000"/>
          <w:szCs w:val="20"/>
        </w:rPr>
        <w:sym w:font="HQPB2" w:char="F042"/>
      </w:r>
      <w:r>
        <w:rPr>
          <w:color w:val="000000"/>
          <w:szCs w:val="20"/>
        </w:rPr>
        <w:sym w:font="HQPB1" w:char="F023"/>
      </w:r>
      <w:r>
        <w:rPr>
          <w:color w:val="000000"/>
          <w:szCs w:val="20"/>
        </w:rPr>
        <w:sym w:font="HQPB5" w:char="F075"/>
      </w:r>
      <w:r>
        <w:rPr>
          <w:color w:val="000000"/>
          <w:szCs w:val="20"/>
        </w:rPr>
        <w:sym w:font="HQPB2" w:char="F0E4"/>
      </w:r>
      <w:r>
        <w:rPr>
          <w:color w:val="000000"/>
          <w:szCs w:val="20"/>
          <w:rtl/>
        </w:rPr>
        <w:t xml:space="preserve"> </w:t>
      </w:r>
      <w:r>
        <w:rPr>
          <w:color w:val="000000"/>
          <w:szCs w:val="20"/>
        </w:rPr>
        <w:sym w:font="HQPB5" w:char="F028"/>
      </w:r>
      <w:r>
        <w:rPr>
          <w:color w:val="000000"/>
          <w:szCs w:val="20"/>
        </w:rPr>
        <w:sym w:font="HQPB1" w:char="F023"/>
      </w:r>
      <w:r>
        <w:rPr>
          <w:color w:val="000000"/>
          <w:szCs w:val="20"/>
        </w:rPr>
        <w:sym w:font="HQPB2" w:char="F071"/>
      </w:r>
      <w:r>
        <w:rPr>
          <w:color w:val="000000"/>
          <w:szCs w:val="20"/>
        </w:rPr>
        <w:sym w:font="HQPB4" w:char="F0E3"/>
      </w:r>
      <w:r>
        <w:rPr>
          <w:color w:val="000000"/>
          <w:szCs w:val="20"/>
        </w:rPr>
        <w:sym w:font="HQPB1" w:char="F0E8"/>
      </w:r>
      <w:r>
        <w:rPr>
          <w:color w:val="000000"/>
          <w:szCs w:val="20"/>
        </w:rPr>
        <w:sym w:font="HQPB5" w:char="F09F"/>
      </w:r>
      <w:r>
        <w:rPr>
          <w:color w:val="000000"/>
          <w:szCs w:val="20"/>
        </w:rPr>
        <w:sym w:font="HQPB2" w:char="F032"/>
      </w:r>
      <w:r>
        <w:rPr>
          <w:color w:val="000000"/>
          <w:szCs w:val="20"/>
        </w:rPr>
        <w:sym w:font="HQPB4" w:char="F0F6"/>
      </w:r>
      <w:r>
        <w:rPr>
          <w:color w:val="000000"/>
          <w:szCs w:val="20"/>
        </w:rPr>
        <w:sym w:font="HQPB1" w:char="F091"/>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5" w:char="F028"/>
      </w:r>
      <w:r>
        <w:rPr>
          <w:color w:val="000000"/>
          <w:szCs w:val="20"/>
        </w:rPr>
        <w:sym w:font="HQPB1" w:char="F023"/>
      </w:r>
      <w:r>
        <w:rPr>
          <w:color w:val="000000"/>
          <w:szCs w:val="20"/>
        </w:rPr>
        <w:sym w:font="HQPB2" w:char="F072"/>
      </w:r>
      <w:r>
        <w:rPr>
          <w:color w:val="000000"/>
          <w:szCs w:val="20"/>
        </w:rPr>
        <w:sym w:font="HQPB4" w:char="F0DF"/>
      </w:r>
      <w:r>
        <w:rPr>
          <w:color w:val="000000"/>
          <w:szCs w:val="20"/>
        </w:rPr>
        <w:sym w:font="HQPB1" w:char="F089"/>
      </w:r>
      <w:r>
        <w:rPr>
          <w:color w:val="000000"/>
          <w:szCs w:val="20"/>
        </w:rPr>
        <w:sym w:font="HQPB4" w:char="F0E0"/>
      </w:r>
      <w:r>
        <w:rPr>
          <w:color w:val="000000"/>
          <w:szCs w:val="20"/>
        </w:rPr>
        <w:sym w:font="HQPB1" w:char="F066"/>
      </w:r>
      <w:r>
        <w:rPr>
          <w:color w:val="000000"/>
          <w:szCs w:val="20"/>
        </w:rPr>
        <w:sym w:font="HQPB4" w:char="F0F3"/>
      </w:r>
      <w:r>
        <w:rPr>
          <w:color w:val="000000"/>
          <w:szCs w:val="20"/>
        </w:rPr>
        <w:sym w:font="HQPB1" w:char="F099"/>
      </w:r>
      <w:r>
        <w:rPr>
          <w:color w:val="000000"/>
          <w:szCs w:val="20"/>
        </w:rPr>
        <w:sym w:font="HQPB5" w:char="F024"/>
      </w:r>
      <w:r>
        <w:rPr>
          <w:color w:val="000000"/>
          <w:szCs w:val="20"/>
        </w:rPr>
        <w:sym w:font="HQPB1" w:char="F023"/>
      </w:r>
      <w:r>
        <w:rPr>
          <w:color w:val="000000"/>
          <w:szCs w:val="20"/>
        </w:rPr>
        <w:sym w:font="HQPB5" w:char="F075"/>
      </w:r>
      <w:r>
        <w:rPr>
          <w:color w:val="000000"/>
          <w:szCs w:val="20"/>
        </w:rPr>
        <w:sym w:font="HQPB2" w:char="F072"/>
      </w:r>
      <w:r>
        <w:rPr>
          <w:color w:val="000000"/>
          <w:szCs w:val="20"/>
          <w:rtl/>
        </w:rPr>
        <w:t xml:space="preserve"> </w:t>
      </w:r>
      <w:r>
        <w:rPr>
          <w:color w:val="000000"/>
          <w:szCs w:val="20"/>
        </w:rPr>
        <w:sym w:font="HQPB5" w:char="F028"/>
      </w:r>
      <w:r>
        <w:rPr>
          <w:color w:val="000000"/>
          <w:szCs w:val="20"/>
        </w:rPr>
        <w:sym w:font="HQPB1" w:char="F023"/>
      </w:r>
      <w:r>
        <w:rPr>
          <w:color w:val="000000"/>
          <w:szCs w:val="20"/>
        </w:rPr>
        <w:sym w:font="HQPB2" w:char="F072"/>
      </w:r>
      <w:r>
        <w:rPr>
          <w:color w:val="000000"/>
          <w:szCs w:val="20"/>
        </w:rPr>
        <w:sym w:font="HQPB4" w:char="F0DF"/>
      </w:r>
      <w:r>
        <w:rPr>
          <w:color w:val="000000"/>
          <w:szCs w:val="20"/>
        </w:rPr>
        <w:sym w:font="HQPB1" w:char="F089"/>
      </w:r>
      <w:r>
        <w:rPr>
          <w:color w:val="000000"/>
          <w:szCs w:val="20"/>
        </w:rPr>
        <w:sym w:font="HQPB4" w:char="F0E7"/>
      </w:r>
      <w:r>
        <w:rPr>
          <w:color w:val="000000"/>
          <w:szCs w:val="20"/>
        </w:rPr>
        <w:sym w:font="HQPB1" w:char="F036"/>
      </w:r>
      <w:r>
        <w:rPr>
          <w:color w:val="000000"/>
          <w:szCs w:val="20"/>
        </w:rPr>
        <w:sym w:font="HQPB4" w:char="F0F4"/>
      </w:r>
      <w:r>
        <w:rPr>
          <w:color w:val="000000"/>
          <w:szCs w:val="20"/>
        </w:rPr>
        <w:sym w:font="HQPB1" w:char="F0E3"/>
      </w:r>
      <w:r>
        <w:rPr>
          <w:color w:val="000000"/>
          <w:szCs w:val="20"/>
        </w:rPr>
        <w:sym w:font="HQPB5" w:char="F024"/>
      </w:r>
      <w:r>
        <w:rPr>
          <w:color w:val="000000"/>
          <w:szCs w:val="20"/>
        </w:rPr>
        <w:sym w:font="HQPB1" w:char="F023"/>
      </w:r>
      <w:r>
        <w:rPr>
          <w:color w:val="000000"/>
          <w:szCs w:val="20"/>
        </w:rPr>
        <w:sym w:font="HQPB5" w:char="F075"/>
      </w:r>
      <w:r>
        <w:rPr>
          <w:color w:val="000000"/>
          <w:szCs w:val="20"/>
        </w:rPr>
        <w:sym w:font="HQPB2" w:char="F072"/>
      </w:r>
      <w:r>
        <w:rPr>
          <w:color w:val="000000"/>
          <w:szCs w:val="20"/>
          <w:rtl/>
        </w:rPr>
        <w:t xml:space="preserve"> </w:t>
      </w:r>
      <w:r>
        <w:rPr>
          <w:color w:val="000000"/>
          <w:szCs w:val="20"/>
        </w:rPr>
        <w:sym w:font="HQPB4" w:char="F0F6"/>
      </w:r>
      <w:r>
        <w:rPr>
          <w:color w:val="000000"/>
          <w:szCs w:val="20"/>
        </w:rPr>
        <w:sym w:font="HQPB2" w:char="F04E"/>
      </w:r>
      <w:r>
        <w:rPr>
          <w:color w:val="000000"/>
          <w:szCs w:val="20"/>
        </w:rPr>
        <w:sym w:font="HQPB4" w:char="F0E4"/>
      </w:r>
      <w:r>
        <w:rPr>
          <w:color w:val="000000"/>
          <w:szCs w:val="20"/>
        </w:rPr>
        <w:sym w:font="HQPB2" w:char="F033"/>
      </w:r>
      <w:r>
        <w:rPr>
          <w:color w:val="000000"/>
          <w:szCs w:val="20"/>
        </w:rPr>
        <w:sym w:font="HQPB4" w:char="F0AD"/>
      </w:r>
      <w:r>
        <w:rPr>
          <w:color w:val="000000"/>
          <w:szCs w:val="20"/>
        </w:rPr>
        <w:sym w:font="HQPB1" w:char="F02F"/>
      </w:r>
      <w:r>
        <w:rPr>
          <w:color w:val="000000"/>
          <w:szCs w:val="20"/>
        </w:rPr>
        <w:sym w:font="HQPB5" w:char="F075"/>
      </w:r>
      <w:r>
        <w:rPr>
          <w:color w:val="000000"/>
          <w:szCs w:val="20"/>
        </w:rPr>
        <w:sym w:font="HQPB1" w:char="F091"/>
      </w:r>
      <w:r>
        <w:rPr>
          <w:color w:val="000000"/>
          <w:szCs w:val="20"/>
          <w:rtl/>
        </w:rPr>
        <w:t xml:space="preserve"> </w:t>
      </w:r>
      <w:r>
        <w:rPr>
          <w:color w:val="000000"/>
          <w:szCs w:val="20"/>
        </w:rPr>
        <w:sym w:font="HQPB5" w:char="F028"/>
      </w:r>
      <w:r>
        <w:rPr>
          <w:color w:val="000000"/>
          <w:szCs w:val="20"/>
        </w:rPr>
        <w:sym w:font="HQPB1" w:char="F023"/>
      </w:r>
      <w:r>
        <w:rPr>
          <w:color w:val="000000"/>
          <w:szCs w:val="20"/>
        </w:rPr>
        <w:sym w:font="HQPB2" w:char="F071"/>
      </w:r>
      <w:r>
        <w:rPr>
          <w:color w:val="000000"/>
          <w:szCs w:val="20"/>
        </w:rPr>
        <w:sym w:font="HQPB4" w:char="F0E8"/>
      </w:r>
      <w:r>
        <w:rPr>
          <w:color w:val="000000"/>
          <w:szCs w:val="20"/>
        </w:rPr>
        <w:sym w:font="HQPB2" w:char="F03D"/>
      </w:r>
      <w:r>
        <w:rPr>
          <w:color w:val="000000"/>
          <w:szCs w:val="20"/>
        </w:rPr>
        <w:sym w:font="HQPB5" w:char="F079"/>
      </w:r>
      <w:r>
        <w:rPr>
          <w:color w:val="000000"/>
          <w:szCs w:val="20"/>
        </w:rPr>
        <w:sym w:font="HQPB1" w:char="F0E8"/>
      </w:r>
      <w:r>
        <w:rPr>
          <w:color w:val="000000"/>
          <w:szCs w:val="20"/>
        </w:rPr>
        <w:sym w:font="HQPB4" w:char="F0F8"/>
      </w:r>
      <w:r>
        <w:rPr>
          <w:color w:val="000000"/>
          <w:szCs w:val="20"/>
        </w:rPr>
        <w:sym w:font="HQPB1" w:char="F0F9"/>
      </w:r>
      <w:r>
        <w:rPr>
          <w:color w:val="000000"/>
          <w:szCs w:val="20"/>
        </w:rPr>
        <w:sym w:font="HQPB5" w:char="F024"/>
      </w:r>
      <w:r>
        <w:rPr>
          <w:color w:val="000000"/>
          <w:szCs w:val="20"/>
        </w:rPr>
        <w:sym w:font="HQPB1" w:char="F023"/>
      </w:r>
      <w:r>
        <w:rPr>
          <w:color w:val="000000"/>
          <w:szCs w:val="20"/>
        </w:rPr>
        <w:sym w:font="HQPB5" w:char="F075"/>
      </w:r>
      <w:r>
        <w:rPr>
          <w:color w:val="000000"/>
          <w:szCs w:val="20"/>
        </w:rPr>
        <w:sym w:font="HQPB2" w:char="F072"/>
      </w:r>
      <w:r>
        <w:rPr>
          <w:color w:val="000000"/>
          <w:szCs w:val="20"/>
          <w:rtl/>
        </w:rPr>
        <w:t xml:space="preserve"> </w:t>
      </w:r>
      <w:r>
        <w:rPr>
          <w:color w:val="000000"/>
          <w:szCs w:val="20"/>
        </w:rPr>
        <w:sym w:font="HQPB5" w:char="F075"/>
      </w:r>
      <w:r>
        <w:rPr>
          <w:color w:val="000000"/>
          <w:szCs w:val="20"/>
        </w:rPr>
        <w:sym w:font="HQPB1" w:char="F08E"/>
      </w:r>
      <w:r>
        <w:rPr>
          <w:color w:val="000000"/>
          <w:szCs w:val="20"/>
        </w:rPr>
        <w:sym w:font="HQPB4" w:char="F0F6"/>
      </w:r>
      <w:r>
        <w:rPr>
          <w:color w:val="000000"/>
          <w:szCs w:val="20"/>
        </w:rPr>
        <w:sym w:font="HQPB2" w:char="F08D"/>
      </w:r>
      <w:r>
        <w:rPr>
          <w:color w:val="000000"/>
          <w:szCs w:val="20"/>
        </w:rPr>
        <w:sym w:font="HQPB5" w:char="F079"/>
      </w:r>
      <w:r>
        <w:rPr>
          <w:color w:val="000000"/>
          <w:szCs w:val="20"/>
        </w:rPr>
        <w:sym w:font="HQPB1" w:char="F082"/>
      </w:r>
      <w:r>
        <w:rPr>
          <w:color w:val="000000"/>
          <w:szCs w:val="20"/>
        </w:rPr>
        <w:sym w:font="HQPB4" w:char="F0F8"/>
      </w:r>
      <w:r>
        <w:rPr>
          <w:color w:val="000000"/>
          <w:szCs w:val="20"/>
        </w:rPr>
        <w:sym w:font="HQPB2" w:char="F039"/>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4" w:char="F0F6"/>
      </w:r>
      <w:r>
        <w:rPr>
          <w:color w:val="000000"/>
          <w:szCs w:val="20"/>
        </w:rPr>
        <w:sym w:font="HQPB2" w:char="F04E"/>
      </w:r>
      <w:r>
        <w:rPr>
          <w:color w:val="000000"/>
          <w:szCs w:val="20"/>
        </w:rPr>
        <w:sym w:font="HQPB4" w:char="F0E0"/>
      </w:r>
      <w:r>
        <w:rPr>
          <w:color w:val="000000"/>
          <w:szCs w:val="20"/>
        </w:rPr>
        <w:sym w:font="HQPB2" w:char="F036"/>
      </w:r>
      <w:r>
        <w:rPr>
          <w:color w:val="000000"/>
          <w:szCs w:val="20"/>
        </w:rPr>
        <w:sym w:font="HQPB4" w:char="F0AF"/>
      </w:r>
      <w:r>
        <w:rPr>
          <w:color w:val="000000"/>
          <w:szCs w:val="20"/>
        </w:rPr>
        <w:sym w:font="HQPB2" w:char="F03D"/>
      </w:r>
      <w:r>
        <w:rPr>
          <w:color w:val="000000"/>
          <w:szCs w:val="20"/>
        </w:rPr>
        <w:sym w:font="HQPB5" w:char="F079"/>
      </w:r>
      <w:r>
        <w:rPr>
          <w:color w:val="000000"/>
          <w:szCs w:val="20"/>
        </w:rPr>
        <w:sym w:font="HQPB1" w:char="F0E8"/>
      </w:r>
      <w:r>
        <w:rPr>
          <w:color w:val="000000"/>
          <w:szCs w:val="20"/>
        </w:rPr>
        <w:sym w:font="HQPB5" w:char="F073"/>
      </w:r>
      <w:r>
        <w:rPr>
          <w:color w:val="000000"/>
          <w:szCs w:val="20"/>
        </w:rPr>
        <w:sym w:font="HQPB2" w:char="F039"/>
      </w:r>
      <w:r>
        <w:rPr>
          <w:color w:val="000000"/>
          <w:szCs w:val="20"/>
          <w:rtl/>
        </w:rPr>
        <w:t xml:space="preserve"> </w:t>
      </w:r>
      <w:r>
        <w:rPr>
          <w:color w:val="000000"/>
          <w:szCs w:val="20"/>
        </w:rPr>
        <w:sym w:font="HQPB5" w:char="F09A"/>
      </w:r>
      <w:r>
        <w:rPr>
          <w:color w:val="000000"/>
          <w:szCs w:val="20"/>
        </w:rPr>
        <w:sym w:font="HQPB2" w:char="F063"/>
      </w:r>
      <w:r>
        <w:rPr>
          <w:color w:val="000000"/>
          <w:szCs w:val="20"/>
        </w:rPr>
        <w:sym w:font="HQPB2" w:char="F071"/>
      </w:r>
      <w:r>
        <w:rPr>
          <w:color w:val="000000"/>
          <w:szCs w:val="20"/>
        </w:rPr>
        <w:sym w:font="HQPB4" w:char="F0DF"/>
      </w:r>
      <w:r>
        <w:rPr>
          <w:color w:val="000000"/>
          <w:szCs w:val="20"/>
        </w:rPr>
        <w:sym w:font="HQPB1" w:char="F073"/>
      </w:r>
      <w:r>
        <w:rPr>
          <w:color w:val="000000"/>
          <w:szCs w:val="20"/>
        </w:rPr>
        <w:sym w:font="HQPB4" w:char="F0CE"/>
      </w:r>
      <w:r>
        <w:rPr>
          <w:color w:val="000000"/>
          <w:szCs w:val="20"/>
        </w:rPr>
        <w:sym w:font="HQPB2" w:char="F03D"/>
      </w:r>
      <w:r>
        <w:rPr>
          <w:color w:val="000000"/>
          <w:szCs w:val="20"/>
        </w:rPr>
        <w:sym w:font="HQPB4" w:char="F0F8"/>
      </w:r>
      <w:r>
        <w:rPr>
          <w:color w:val="000000"/>
          <w:szCs w:val="20"/>
        </w:rPr>
        <w:sym w:font="HQPB1" w:char="F0FF"/>
      </w:r>
      <w:r>
        <w:rPr>
          <w:color w:val="000000"/>
          <w:szCs w:val="20"/>
        </w:rPr>
        <w:sym w:font="HQPB4" w:char="F0E8"/>
      </w:r>
      <w:r>
        <w:rPr>
          <w:color w:val="000000"/>
          <w:szCs w:val="20"/>
        </w:rPr>
        <w:sym w:font="HQPB1" w:char="F03F"/>
      </w:r>
      <w:r>
        <w:rPr>
          <w:color w:val="000000"/>
          <w:szCs w:val="20"/>
          <w:rtl/>
        </w:rPr>
        <w:t xml:space="preserve"> </w:t>
      </w:r>
      <w:r>
        <w:rPr>
          <w:color w:val="000000"/>
          <w:szCs w:val="20"/>
        </w:rPr>
        <w:sym w:font="HQPB2" w:char="F0E1"/>
      </w:r>
      <w:r>
        <w:rPr>
          <w:rFonts w:hint="cs"/>
          <w:szCs w:val="20"/>
          <w:rtl/>
        </w:rPr>
        <w:t>.</w:t>
      </w:r>
    </w:p>
  </w:footnote>
  <w:footnote w:id="200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ومن ذلك ما أخرجه البخاري في صحيحه، كتاب صفة الصلاة، باب يهوي بالتكبير حـين يـسجد، 1/276، ح770، بسنده أن أبا هريرة رضي الله عنه كان يكبَّر في كل صلاة ... ثم يقول: الله أكبر حين يهوي ساجدًا، ثم يكبر حين يرفع رأسه من السجود، ثم يكبر حين يسجد، ثم يكبر حين يرفع رأسه من السجود ... ثم يقول حين ينصرف : والذي نفسي بيده، إني لأقربكم شبها بصلاة رسول الله </w:t>
      </w:r>
      <w:r>
        <w:rPr>
          <w:rFonts w:ascii="AGA Arabesque" w:hAnsi="AGA Arabesque"/>
          <w:sz w:val="36"/>
          <w:szCs w:val="36"/>
        </w:rPr>
        <w:t></w:t>
      </w:r>
      <w:r>
        <w:rPr>
          <w:rFonts w:hint="cs"/>
          <w:rtl/>
        </w:rPr>
        <w:t xml:space="preserve"> ، وإنْ كانت هذه لصلاته حتى فارق الدنيا</w:t>
      </w:r>
      <w:r>
        <w:rPr>
          <w:rFonts w:hint="eastAsia"/>
          <w:rtl/>
        </w:rPr>
        <w:t>»</w:t>
      </w:r>
      <w:r>
        <w:rPr>
          <w:rFonts w:hint="cs"/>
          <w:rtl/>
        </w:rPr>
        <w:t>.</w:t>
      </w:r>
    </w:p>
  </w:footnote>
  <w:footnote w:id="200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رسمت هذه الكلمةفي جميع النسخ بالياء (إحديهما)، إلا أنه في (أ) أثبتت فوق الياء ألف مدّ، فلعلّ هذا ناتج عن الاختلاف في الإملاء، إذ مراد الناسخ : (إحداهما). وحيث إن الرسم الأخير هو المتفق وقواعد الإملاء الحديثة تمَّ إثباته. </w:t>
      </w:r>
    </w:p>
    <w:p w:rsidR="00035BE3" w:rsidRDefault="00035BE3" w:rsidP="00C10469">
      <w:pPr>
        <w:pStyle w:val="a6"/>
        <w:ind w:left="422" w:firstLine="0"/>
        <w:rPr>
          <w:rtl/>
        </w:rPr>
      </w:pPr>
      <w:r>
        <w:rPr>
          <w:rFonts w:hint="cs"/>
          <w:rtl/>
        </w:rPr>
        <w:t xml:space="preserve">علمًا بأنه جاء في الدّرر شرح الغرر : </w:t>
      </w:r>
      <w:r>
        <w:rPr>
          <w:rFonts w:hint="eastAsia"/>
          <w:rtl/>
        </w:rPr>
        <w:t>«</w:t>
      </w:r>
      <w:r>
        <w:rPr>
          <w:rFonts w:hint="cs"/>
          <w:rtl/>
        </w:rPr>
        <w:t>فإذا وجدت الأولى في محلها</w:t>
      </w:r>
      <w:r>
        <w:rPr>
          <w:rFonts w:hint="eastAsia"/>
          <w:rtl/>
        </w:rPr>
        <w:t>»</w:t>
      </w:r>
      <w:r>
        <w:rPr>
          <w:rFonts w:hint="cs"/>
          <w:rtl/>
        </w:rPr>
        <w:t>.</w:t>
      </w:r>
    </w:p>
  </w:footnote>
  <w:footnote w:id="200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بما </w:t>
      </w:r>
      <w:r>
        <w:rPr>
          <w:rFonts w:hint="eastAsia"/>
          <w:rtl/>
        </w:rPr>
        <w:t>»</w:t>
      </w:r>
      <w:r>
        <w:rPr>
          <w:rFonts w:hint="cs"/>
          <w:rtl/>
        </w:rPr>
        <w:t>.</w:t>
      </w:r>
    </w:p>
  </w:footnote>
  <w:footnote w:id="200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الاعتراض المذكور، وهذا الجواب عنه في : الدّرر شرح الغرر، 1/77.</w:t>
      </w:r>
    </w:p>
  </w:footnote>
  <w:footnote w:id="200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وجلِّ ما جاء فيها مذكور في الدّرر، 2/284.</w:t>
      </w:r>
    </w:p>
    <w:p w:rsidR="00035BE3" w:rsidRDefault="00035BE3" w:rsidP="00C10469">
      <w:pPr>
        <w:pStyle w:val="a6"/>
        <w:ind w:left="422" w:firstLine="0"/>
        <w:rPr>
          <w:rtl/>
        </w:rPr>
      </w:pPr>
      <w:r>
        <w:rPr>
          <w:rFonts w:hint="cs"/>
          <w:rtl/>
        </w:rPr>
        <w:t xml:space="preserve">وقد سبق أن ذكر المؤلف قاعدة قريبة من معناها، إلا أنّها أعمَّ منها، وهي : </w:t>
      </w:r>
      <w:r>
        <w:rPr>
          <w:rFonts w:hint="eastAsia"/>
          <w:rtl/>
        </w:rPr>
        <w:t>«</w:t>
      </w:r>
      <w:r>
        <w:rPr>
          <w:rFonts w:hint="cs"/>
          <w:rtl/>
        </w:rPr>
        <w:t>الأمر بالتصرف في ملك الغير باطل</w:t>
      </w:r>
      <w:r>
        <w:rPr>
          <w:rFonts w:hint="eastAsia"/>
          <w:rtl/>
        </w:rPr>
        <w:t>»</w:t>
      </w:r>
      <w:r>
        <w:rPr>
          <w:rFonts w:hint="cs"/>
          <w:rtl/>
        </w:rPr>
        <w:t xml:space="preserve"> - وذلك ص397 (ل19/ب)، قاعدة 46.</w:t>
      </w:r>
    </w:p>
    <w:p w:rsidR="00035BE3" w:rsidRDefault="00035BE3" w:rsidP="00C10469">
      <w:pPr>
        <w:pStyle w:val="a6"/>
        <w:ind w:left="422" w:firstLine="0"/>
        <w:rPr>
          <w:rtl/>
        </w:rPr>
      </w:pPr>
      <w:r>
        <w:rPr>
          <w:rFonts w:hint="cs"/>
          <w:rtl/>
        </w:rPr>
        <w:t xml:space="preserve">ووجه كونها أعم منها : أنّ الأمر بمعنى الطلب، والطلب يشمل التفويض وغيره؛ بل إن المؤلف صرح بأن التوكل يدخل في الأمر حيث قال - في السطر الثاني من شرح القاعدة-: </w:t>
      </w:r>
      <w:r>
        <w:rPr>
          <w:rFonts w:hint="eastAsia"/>
          <w:rtl/>
        </w:rPr>
        <w:t>«</w:t>
      </w:r>
      <w:r>
        <w:rPr>
          <w:rFonts w:hint="cs"/>
          <w:rtl/>
        </w:rPr>
        <w:t>ونوقض بالتوكيل بالشراء وهو أمر بقبض المبيع</w:t>
      </w:r>
      <w:r>
        <w:rPr>
          <w:rFonts w:hint="eastAsia"/>
          <w:rtl/>
        </w:rPr>
        <w:t>»</w:t>
      </w:r>
      <w:r>
        <w:rPr>
          <w:rFonts w:hint="cs"/>
          <w:rtl/>
        </w:rPr>
        <w:t>.</w:t>
      </w:r>
    </w:p>
    <w:p w:rsidR="00035BE3" w:rsidRDefault="00035BE3" w:rsidP="00C10469">
      <w:pPr>
        <w:pStyle w:val="a6"/>
        <w:ind w:left="422" w:firstLine="0"/>
        <w:rPr>
          <w:rtl/>
        </w:rPr>
      </w:pPr>
      <w:r>
        <w:rPr>
          <w:rFonts w:hint="cs"/>
          <w:rtl/>
        </w:rPr>
        <w:t>ومضمون القاعدتين عند المؤلف متقارب جدًّا، إلا أن مرجعه الرئيس هناك هو (العناية)، وهنا هو (الدرر شرح الغرر).</w:t>
      </w:r>
    </w:p>
  </w:footnote>
  <w:footnote w:id="200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قال </w:t>
      </w:r>
      <w:r>
        <w:rPr>
          <w:rFonts w:hint="eastAsia"/>
          <w:rtl/>
        </w:rPr>
        <w:t>»</w:t>
      </w:r>
      <w:r>
        <w:rPr>
          <w:rFonts w:hint="cs"/>
          <w:rtl/>
        </w:rPr>
        <w:t>.</w:t>
      </w:r>
    </w:p>
  </w:footnote>
  <w:footnote w:id="200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التوكيل </w:t>
      </w:r>
      <w:r>
        <w:rPr>
          <w:rFonts w:hint="eastAsia"/>
          <w:rtl/>
        </w:rPr>
        <w:t>»</w:t>
      </w:r>
      <w:r>
        <w:rPr>
          <w:rFonts w:hint="cs"/>
          <w:rtl/>
        </w:rPr>
        <w:t>.</w:t>
      </w:r>
    </w:p>
  </w:footnote>
  <w:footnote w:id="200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الدّرر شرح الغرر، 2/284. وانظر ما قاله المؤلف ص397 (ل19/ب)، والمراجع المذكورة عند توثيق المسألة هناك.</w:t>
      </w:r>
    </w:p>
  </w:footnote>
  <w:footnote w:id="201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22/ب من (د). وقد جاء في (جـ) : </w:t>
      </w:r>
      <w:r>
        <w:rPr>
          <w:rFonts w:hint="eastAsia"/>
          <w:rtl/>
        </w:rPr>
        <w:t>«</w:t>
      </w:r>
      <w:r>
        <w:rPr>
          <w:rFonts w:hint="cs"/>
          <w:rtl/>
        </w:rPr>
        <w:t>ولو قضى</w:t>
      </w:r>
      <w:r>
        <w:rPr>
          <w:rFonts w:hint="eastAsia"/>
          <w:rtl/>
        </w:rPr>
        <w:t>»</w:t>
      </w:r>
      <w:r>
        <w:rPr>
          <w:rFonts w:hint="cs"/>
          <w:rtl/>
        </w:rPr>
        <w:t>.</w:t>
      </w:r>
    </w:p>
  </w:footnote>
  <w:footnote w:id="201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2/284 - مع اختلاف يسير، ومن ذلك أنه قال : </w:t>
      </w:r>
      <w:r>
        <w:rPr>
          <w:rFonts w:hint="eastAsia"/>
          <w:rtl/>
        </w:rPr>
        <w:t>«</w:t>
      </w:r>
      <w:r>
        <w:rPr>
          <w:rFonts w:hint="cs"/>
          <w:b/>
          <w:bCs/>
          <w:rtl/>
        </w:rPr>
        <w:t>فإنه</w:t>
      </w:r>
      <w:r>
        <w:rPr>
          <w:rFonts w:hint="cs"/>
          <w:rtl/>
        </w:rPr>
        <w:t xml:space="preserve"> أمر</w:t>
      </w:r>
      <w:r>
        <w:rPr>
          <w:rFonts w:hint="eastAsia"/>
          <w:rtl/>
        </w:rPr>
        <w:t>»</w:t>
      </w:r>
      <w:r>
        <w:rPr>
          <w:rFonts w:hint="cs"/>
          <w:rtl/>
        </w:rPr>
        <w:t xml:space="preserve"> ولم يقل: </w:t>
      </w:r>
      <w:r>
        <w:rPr>
          <w:rFonts w:hint="eastAsia"/>
          <w:rtl/>
        </w:rPr>
        <w:t>«</w:t>
      </w:r>
      <w:r>
        <w:rPr>
          <w:rFonts w:hint="cs"/>
          <w:rtl/>
        </w:rPr>
        <w:t>وهو أمر</w:t>
      </w:r>
      <w:r>
        <w:rPr>
          <w:rFonts w:hint="eastAsia"/>
          <w:rtl/>
        </w:rPr>
        <w:t>»</w:t>
      </w:r>
      <w:r>
        <w:rPr>
          <w:rFonts w:hint="cs"/>
          <w:rtl/>
        </w:rPr>
        <w:t>-؛ وانظر العناية، 8/22؛ وما قاله المؤلف، ص398 (ل19/ب).</w:t>
      </w:r>
    </w:p>
  </w:footnote>
  <w:footnote w:id="201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ملك</w:t>
      </w:r>
      <w:r>
        <w:rPr>
          <w:rFonts w:hint="eastAsia"/>
          <w:rtl/>
        </w:rPr>
        <w:t>»</w:t>
      </w:r>
      <w:r>
        <w:rPr>
          <w:rFonts w:hint="cs"/>
          <w:rtl/>
        </w:rPr>
        <w:t>.</w:t>
      </w:r>
    </w:p>
  </w:footnote>
  <w:footnote w:id="201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2/284 - إلا أنه قال في أول العبارة : </w:t>
      </w:r>
      <w:r>
        <w:rPr>
          <w:rFonts w:hint="eastAsia"/>
          <w:rtl/>
        </w:rPr>
        <w:t>«</w:t>
      </w:r>
      <w:r>
        <w:rPr>
          <w:rFonts w:hint="cs"/>
          <w:rtl/>
        </w:rPr>
        <w:t>... التوكيل بالإقرار</w:t>
      </w:r>
      <w:r>
        <w:rPr>
          <w:rFonts w:hint="eastAsia"/>
          <w:rtl/>
        </w:rPr>
        <w:t>»</w:t>
      </w:r>
      <w:r>
        <w:rPr>
          <w:rFonts w:hint="cs"/>
          <w:rtl/>
        </w:rPr>
        <w:t>، (بالراء، وليس بالضاد!)، ولعلَّ هذا تصحيف من الطابع.</w:t>
      </w:r>
    </w:p>
  </w:footnote>
  <w:footnote w:id="201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التقرير</w:t>
      </w:r>
      <w:r>
        <w:rPr>
          <w:rFonts w:hint="eastAsia"/>
          <w:rtl/>
        </w:rPr>
        <w:t>»</w:t>
      </w:r>
      <w:r>
        <w:rPr>
          <w:rFonts w:hint="cs"/>
          <w:rtl/>
        </w:rPr>
        <w:t xml:space="preserve">. والصحيح ما تمَّ إثباته من (ب)، وهو الموافق لمصدر القاعدة (وهو الدّرر)، ولأن المؤلف قال قبيل نهاية شرحه القاعدة : </w:t>
      </w:r>
      <w:r>
        <w:rPr>
          <w:rFonts w:hint="eastAsia"/>
          <w:rtl/>
        </w:rPr>
        <w:t>«</w:t>
      </w:r>
      <w:r>
        <w:rPr>
          <w:rFonts w:hint="cs"/>
          <w:rtl/>
        </w:rPr>
        <w:t>لأن المغرور حرّ بالقيمة</w:t>
      </w:r>
      <w:r>
        <w:rPr>
          <w:rFonts w:hint="eastAsia"/>
          <w:rtl/>
        </w:rPr>
        <w:t>»</w:t>
      </w:r>
      <w:r>
        <w:rPr>
          <w:rFonts w:hint="cs"/>
          <w:rtl/>
        </w:rPr>
        <w:t>، وقد اتفقت جميع النسخ على لفظ (المغرور). علمًا بأن الكلمة في (جـ)  تحتمل اللفظين المذكورين.</w:t>
      </w:r>
    </w:p>
  </w:footnote>
  <w:footnote w:id="201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المفاوضة </w:t>
      </w:r>
      <w:r>
        <w:rPr>
          <w:rFonts w:hint="eastAsia"/>
          <w:rtl/>
        </w:rPr>
        <w:t>»</w:t>
      </w:r>
      <w:r>
        <w:rPr>
          <w:rFonts w:hint="cs"/>
          <w:rtl/>
        </w:rPr>
        <w:t xml:space="preserve"> (بالفاء). والصحيح ما تمَّ إثباته من (ب) و(د)، وهو الموافق للدّرر.</w:t>
      </w:r>
    </w:p>
  </w:footnote>
  <w:footnote w:id="201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في الدّرر شرح الغرر، 2/192. وسيذكرها المؤلف بلفظ آخر وهو: </w:t>
      </w:r>
      <w:r>
        <w:rPr>
          <w:rFonts w:hint="eastAsia"/>
          <w:rtl/>
        </w:rPr>
        <w:t>«</w:t>
      </w:r>
      <w:r>
        <w:rPr>
          <w:rFonts w:hint="cs"/>
          <w:rtl/>
        </w:rPr>
        <w:t>المغرور في المعاوضات التي تقتضي سلامة العوض يجعل سببًا للضمان؛ دفعًا للضرر بقدر الإمكان</w:t>
      </w:r>
      <w:r>
        <w:rPr>
          <w:rFonts w:hint="eastAsia"/>
          <w:rtl/>
        </w:rPr>
        <w:t>»</w:t>
      </w:r>
      <w:r>
        <w:rPr>
          <w:rFonts w:hint="cs"/>
          <w:rtl/>
        </w:rPr>
        <w:t xml:space="preserve">؛ وذلك ص1026 (ل98/ب)، قاعدة 230. كما سيفرد قاعدة أخرى قريبة منهما، وهي: </w:t>
      </w:r>
      <w:r>
        <w:rPr>
          <w:rFonts w:hint="eastAsia"/>
          <w:rtl/>
        </w:rPr>
        <w:t>«</w:t>
      </w:r>
      <w:r>
        <w:rPr>
          <w:rFonts w:hint="cs"/>
          <w:rtl/>
        </w:rPr>
        <w:t>الضمان بالتغرير مخصوص بالمعاوضات</w:t>
      </w:r>
      <w:r>
        <w:rPr>
          <w:rFonts w:hint="eastAsia"/>
          <w:rtl/>
        </w:rPr>
        <w:t>»</w:t>
      </w:r>
      <w:r>
        <w:rPr>
          <w:rFonts w:hint="cs"/>
          <w:rtl/>
        </w:rPr>
        <w:t>، وذلك ص787 (ل64/أ)، قاعدة 159.</w:t>
      </w:r>
    </w:p>
  </w:footnote>
  <w:footnote w:id="201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فثبت</w:t>
      </w:r>
      <w:r>
        <w:rPr>
          <w:rFonts w:hint="eastAsia"/>
          <w:rtl/>
        </w:rPr>
        <w:t>»</w:t>
      </w:r>
      <w:r>
        <w:rPr>
          <w:rFonts w:hint="cs"/>
          <w:rtl/>
        </w:rPr>
        <w:t>.</w:t>
      </w:r>
    </w:p>
  </w:footnote>
  <w:footnote w:id="201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هامش (أ) بخط مغاير : </w:t>
      </w:r>
      <w:r>
        <w:rPr>
          <w:rFonts w:hint="eastAsia"/>
          <w:rtl/>
        </w:rPr>
        <w:t>«</w:t>
      </w:r>
      <w:r>
        <w:rPr>
          <w:rFonts w:hint="cs"/>
          <w:rtl/>
        </w:rPr>
        <w:t>أي الرجل</w:t>
      </w:r>
      <w:r>
        <w:rPr>
          <w:rFonts w:hint="eastAsia"/>
          <w:rtl/>
        </w:rPr>
        <w:t>»</w:t>
      </w:r>
      <w:r>
        <w:rPr>
          <w:rFonts w:hint="cs"/>
          <w:rtl/>
        </w:rPr>
        <w:t>.</w:t>
      </w:r>
    </w:p>
  </w:footnote>
  <w:footnote w:id="201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35/ب من (أ).</w:t>
      </w:r>
    </w:p>
  </w:footnote>
  <w:footnote w:id="2020">
    <w:p w:rsidR="00035BE3" w:rsidRDefault="00035BE3" w:rsidP="00C10469">
      <w:pPr>
        <w:pStyle w:val="a8"/>
        <w:bidi/>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الدّرر شرح الغرر، 2/192، فقد جاء فيه تفصيل هذا المثال على النحو الآتي : </w:t>
      </w:r>
      <w:r>
        <w:rPr>
          <w:rFonts w:hint="eastAsia"/>
          <w:spacing w:val="4"/>
          <w:rtl/>
        </w:rPr>
        <w:t>«</w:t>
      </w:r>
      <w:r>
        <w:rPr>
          <w:rFonts w:hint="cs"/>
          <w:spacing w:val="4"/>
          <w:rtl/>
        </w:rPr>
        <w:t>... وفرّع عليه بقوله : فلو قال رجل لآخر : اشترني فإني عبد. فاشتراه، ثم ادعى الحرية، فأثبت حريَّته : ضمن العبدُ إن لم يعلم مكان بائعه؛ لأن الـمُقِرَّ بالعبودية ضمن سلامة نفسه، أو سلامة الثمن عند تعذِّر استيفائه من البائع، فجعل المشتري مغرورًا، والتغرير في المعاوضة سبب الضمان؛ دفعًا للضرر بقدر الإمكان، فإذا ظهر [هكذا بالتذكير] حريته وأهليته للضمان، وتعذّر الاستيفاء من البائع حكم عليه بالضمان، ورجع (أي العبد) عليه (أي على البائع) إذا وجده؛ لأنه قضى دينًا على البائع، وهو مضطرٌّ فيه، فلا يكون متبرِّعًا ...</w:t>
      </w:r>
      <w:r>
        <w:rPr>
          <w:rFonts w:hint="eastAsia"/>
          <w:spacing w:val="4"/>
          <w:rtl/>
        </w:rPr>
        <w:t>»</w:t>
      </w:r>
      <w:r>
        <w:rPr>
          <w:rFonts w:hint="cs"/>
          <w:spacing w:val="4"/>
          <w:rtl/>
        </w:rPr>
        <w:t>؛ وانظر أيضًا: الهداية والعناية وفتح القدير، 7/46-47، وسوف يذكر المؤلف هذا المثال، ص1026 (ل98/ب).</w:t>
      </w:r>
    </w:p>
  </w:footnote>
  <w:footnote w:id="202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إلى </w:t>
      </w:r>
      <w:r>
        <w:rPr>
          <w:rFonts w:hint="eastAsia"/>
          <w:rtl/>
        </w:rPr>
        <w:t>»</w:t>
      </w:r>
      <w:r>
        <w:rPr>
          <w:rFonts w:hint="cs"/>
          <w:rtl/>
        </w:rPr>
        <w:t>. وهذا الأولى.</w:t>
      </w:r>
    </w:p>
  </w:footnote>
  <w:footnote w:id="202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والمسبب</w:t>
      </w:r>
      <w:r>
        <w:rPr>
          <w:rFonts w:hint="eastAsia"/>
          <w:rtl/>
        </w:rPr>
        <w:t>»</w:t>
      </w:r>
      <w:r>
        <w:rPr>
          <w:rFonts w:hint="cs"/>
          <w:rtl/>
        </w:rPr>
        <w:t>.</w:t>
      </w:r>
    </w:p>
  </w:footnote>
  <w:footnote w:id="202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وذلك ص282 (ل7/أ-ب)، قاعدة 14.</w:t>
      </w:r>
    </w:p>
  </w:footnote>
  <w:footnote w:id="202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فههنا البائع</w:t>
      </w:r>
      <w:r>
        <w:rPr>
          <w:rFonts w:hint="eastAsia"/>
          <w:rtl/>
        </w:rPr>
        <w:t>»</w:t>
      </w:r>
      <w:r>
        <w:rPr>
          <w:rFonts w:hint="cs"/>
          <w:rtl/>
        </w:rPr>
        <w:t xml:space="preserve"> : ساقطة من (جـ).</w:t>
      </w:r>
    </w:p>
  </w:footnote>
  <w:footnote w:id="202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المتقرر. والصحيح ما تمَّ إثباته من (ب).</w:t>
      </w:r>
    </w:p>
  </w:footnote>
  <w:footnote w:id="202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ول</w:t>
      </w:r>
      <w:r>
        <w:rPr>
          <w:rFonts w:hint="eastAsia"/>
          <w:rtl/>
        </w:rPr>
        <w:t>»</w:t>
      </w:r>
      <w:r>
        <w:rPr>
          <w:rFonts w:hint="cs"/>
          <w:rtl/>
        </w:rPr>
        <w:t>.</w:t>
      </w:r>
    </w:p>
  </w:footnote>
  <w:footnote w:id="202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21/ب من (ب).</w:t>
      </w:r>
    </w:p>
  </w:footnote>
  <w:footnote w:id="2028">
    <w:p w:rsidR="00035BE3" w:rsidRPr="009D3EE4" w:rsidRDefault="00035BE3" w:rsidP="00C10469">
      <w:pPr>
        <w:pStyle w:val="a8"/>
        <w:bidi/>
        <w:ind w:left="422" w:right="0"/>
        <w:rPr>
          <w:spacing w:val="-4"/>
          <w:rtl/>
        </w:rPr>
      </w:pPr>
      <w:r>
        <w:rPr>
          <w:vertAlign w:val="superscript"/>
          <w:rtl/>
        </w:rPr>
        <w:t>(</w:t>
      </w:r>
      <w:r>
        <w:rPr>
          <w:rStyle w:val="a7"/>
        </w:rPr>
        <w:footnoteRef/>
      </w:r>
      <w:r>
        <w:rPr>
          <w:rFonts w:hint="cs"/>
          <w:vertAlign w:val="superscript"/>
          <w:rtl/>
        </w:rPr>
        <w:t>)</w:t>
      </w:r>
      <w:r>
        <w:rPr>
          <w:rFonts w:hint="cs"/>
          <w:rtl/>
        </w:rPr>
        <w:t xml:space="preserve">  </w:t>
      </w:r>
      <w:r w:rsidRPr="009D3EE4">
        <w:rPr>
          <w:rFonts w:hint="cs"/>
          <w:spacing w:val="-4"/>
          <w:rtl/>
        </w:rPr>
        <w:t>سبق ذِكرُ المؤلف لهذا المثال ص284 (ل7/ب)، وتمَّ توثيقه هناك من أشباه ابن نجيم، ص187، وغيره.</w:t>
      </w:r>
    </w:p>
  </w:footnote>
  <w:footnote w:id="202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27/ب من (جـ).</w:t>
      </w:r>
    </w:p>
  </w:footnote>
  <w:footnote w:id="203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عند</w:t>
      </w:r>
      <w:r>
        <w:rPr>
          <w:rFonts w:hint="eastAsia"/>
          <w:rtl/>
        </w:rPr>
        <w:t>»</w:t>
      </w:r>
      <w:r>
        <w:rPr>
          <w:rFonts w:hint="cs"/>
          <w:rtl/>
        </w:rPr>
        <w:t xml:space="preserve"> : ساقطة من (جـ).</w:t>
      </w:r>
    </w:p>
  </w:footnote>
  <w:footnote w:id="203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ص285 (ل7/أ-ب)، قاعدة 14.</w:t>
      </w:r>
    </w:p>
  </w:footnote>
  <w:footnote w:id="203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بنحو هذا اللفظ أو معناه في كثير من كتب الفقه وقواعده:</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4"/>
          <w:rtl/>
        </w:rPr>
      </w:pPr>
      <w:r>
        <w:rPr>
          <w:rFonts w:hint="cs"/>
          <w:spacing w:val="-4"/>
          <w:rtl/>
        </w:rPr>
        <w:t xml:space="preserve">قواعد الفقه لابن نجيم، ص209، قاعدة 284، وص313، قاعدة 411 - ولفظه الأول : </w:t>
      </w:r>
      <w:r>
        <w:rPr>
          <w:rFonts w:hint="eastAsia"/>
          <w:spacing w:val="-4"/>
          <w:rtl/>
        </w:rPr>
        <w:t>«</w:t>
      </w:r>
      <w:r>
        <w:rPr>
          <w:rFonts w:hint="cs"/>
          <w:spacing w:val="-4"/>
          <w:rtl/>
        </w:rPr>
        <w:t>تفريق الصفقة قبولاً أو قبضًا ممتنع. والعبرة باللفظ عنده. وعندهما بالثمن</w:t>
      </w:r>
      <w:r>
        <w:rPr>
          <w:rFonts w:hint="eastAsia"/>
          <w:spacing w:val="-4"/>
          <w:rtl/>
        </w:rPr>
        <w:t>»</w:t>
      </w:r>
      <w:r>
        <w:rPr>
          <w:rFonts w:hint="cs"/>
          <w:spacing w:val="-4"/>
          <w:rtl/>
        </w:rPr>
        <w:t xml:space="preserve">، ولفظه الثاني : </w:t>
      </w:r>
      <w:r>
        <w:rPr>
          <w:rFonts w:hint="eastAsia"/>
          <w:spacing w:val="-4"/>
          <w:rtl/>
        </w:rPr>
        <w:t>«</w:t>
      </w:r>
      <w:r>
        <w:rPr>
          <w:rFonts w:hint="cs"/>
          <w:spacing w:val="-4"/>
          <w:rtl/>
        </w:rPr>
        <w:t>… لا يجوز تفريق الصفقة على البائع إلا في الشفعة</w:t>
      </w:r>
      <w:r>
        <w:rPr>
          <w:rFonts w:hint="eastAsia"/>
          <w:spacing w:val="-4"/>
          <w:rtl/>
        </w:rPr>
        <w:t>»</w:t>
      </w:r>
      <w:r>
        <w:rPr>
          <w:rFonts w:hint="cs"/>
          <w:spacing w:val="-4"/>
          <w:rtl/>
        </w:rPr>
        <w:t>-؛ الفوائد الزينية، ص113، فائدة 120 - ولفظه كلفظ قواعده الثاني.</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 xml:space="preserve">بدائع الصنائع، 5/286، 287 - ومن ألفاظه : </w:t>
      </w:r>
      <w:r>
        <w:rPr>
          <w:rFonts w:hint="eastAsia"/>
          <w:rtl/>
        </w:rPr>
        <w:t>«</w:t>
      </w:r>
      <w:r>
        <w:rPr>
          <w:rFonts w:hint="cs"/>
          <w:rtl/>
        </w:rPr>
        <w:t>تفريق الصفقة قبل تمامها باطل</w:t>
      </w:r>
      <w:r>
        <w:rPr>
          <w:rFonts w:hint="eastAsia"/>
          <w:rtl/>
        </w:rPr>
        <w:t>»</w:t>
      </w:r>
      <w:r>
        <w:rPr>
          <w:rFonts w:hint="cs"/>
          <w:rtl/>
        </w:rPr>
        <w:t xml:space="preserve">، </w:t>
      </w:r>
      <w:r>
        <w:rPr>
          <w:rFonts w:hint="eastAsia"/>
          <w:rtl/>
        </w:rPr>
        <w:t>«</w:t>
      </w:r>
      <w:r>
        <w:rPr>
          <w:rFonts w:hint="cs"/>
          <w:rtl/>
        </w:rPr>
        <w:t>لا يجوز تفريق الصـفقة على البائع قبل تمامها</w:t>
      </w:r>
      <w:r>
        <w:rPr>
          <w:rFonts w:hint="eastAsia"/>
          <w:rtl/>
        </w:rPr>
        <w:t>»</w:t>
      </w:r>
      <w:r>
        <w:rPr>
          <w:rFonts w:hint="cs"/>
          <w:rtl/>
        </w:rPr>
        <w:t xml:space="preserve">-؛ الهداية والعناية وفتح القدير، 6/255، 256، 271، 353، 386، 387، 390؛ والعناية فقط، 6/388؛ الاختيار لتعليل المختار، </w:t>
      </w:r>
      <w:r>
        <w:rPr>
          <w:rFonts w:hint="cs"/>
          <w:spacing w:val="-4"/>
          <w:rtl/>
        </w:rPr>
        <w:t xml:space="preserve">2/4؛ الدّررشرح الغرر، 2/159، 165، 193 </w:t>
      </w:r>
      <w:r>
        <w:rPr>
          <w:rFonts w:hint="cs"/>
          <w:rtl/>
        </w:rPr>
        <w:t>- وجل ما جاء في شرح هذه القاعدة مذكور في الـموضع الثاني من الدُّرر-؛ البحـر الرائـق، 5/289؛ 6/37؛ رد المحتار، 7/45؛ النافع الكبير، ص351.</w:t>
      </w:r>
    </w:p>
    <w:p w:rsidR="00035BE3" w:rsidRDefault="00035BE3" w:rsidP="00C10469">
      <w:pPr>
        <w:pStyle w:val="a6"/>
        <w:ind w:left="422" w:firstLine="0"/>
        <w:rPr>
          <w:rtl/>
        </w:rPr>
      </w:pPr>
      <w:r>
        <w:rPr>
          <w:rFonts w:hint="cs"/>
          <w:b/>
          <w:bCs/>
          <w:rtl/>
        </w:rPr>
        <w:t>ومن الكتب الأخر</w:t>
      </w:r>
      <w:r>
        <w:rPr>
          <w:rFonts w:hint="cs"/>
          <w:rtl/>
        </w:rPr>
        <w:t xml:space="preserve"> التي تكلمت  عن تفريق الصفقة بشكل عام :</w:t>
      </w:r>
    </w:p>
    <w:p w:rsidR="00035BE3" w:rsidRDefault="00035BE3" w:rsidP="00C10469">
      <w:pPr>
        <w:pStyle w:val="a6"/>
        <w:ind w:left="422" w:firstLine="0"/>
        <w:rPr>
          <w:spacing w:val="-4"/>
          <w:rtl/>
        </w:rPr>
      </w:pPr>
      <w:r w:rsidRPr="00A52B22">
        <w:rPr>
          <w:rFonts w:hint="cs"/>
          <w:spacing w:val="-4"/>
          <w:rtl/>
        </w:rPr>
        <w:t xml:space="preserve">بداية المجتهد، 2/291؛ المغني، 6/335؛ المنهـاج وشرحاه: مغني المحتاج، 2/41؛ ونهاية </w:t>
      </w:r>
      <w:r>
        <w:rPr>
          <w:rFonts w:hint="cs"/>
          <w:rtl/>
        </w:rPr>
        <w:t xml:space="preserve">الـمحتاج، 3/477؛ المنثور في القواعد، 1/382؛ الروض المربع وحاشية ابن قاسم عليه، 4/367؛ الخيار </w:t>
      </w:r>
      <w:r>
        <w:rPr>
          <w:rFonts w:hint="cs"/>
          <w:spacing w:val="-4"/>
          <w:rtl/>
        </w:rPr>
        <w:t>وأثره في العقود للدكتور عبد الستار أبو غدة، ص471؛ أحكام العيب للدكتور العيساوي، ص429.</w:t>
      </w:r>
    </w:p>
    <w:p w:rsidR="00035BE3" w:rsidRDefault="00035BE3" w:rsidP="00C10469">
      <w:pPr>
        <w:pStyle w:val="a6"/>
        <w:ind w:left="422" w:firstLine="0"/>
        <w:rPr>
          <w:rtl/>
        </w:rPr>
      </w:pPr>
      <w:r>
        <w:rPr>
          <w:rFonts w:hint="cs"/>
          <w:rtl/>
        </w:rPr>
        <w:t xml:space="preserve">ويضاف إلى هذا : كون المؤلف سيذكر هذه القاعدة بلفظ آخر، وهو: </w:t>
      </w:r>
      <w:r>
        <w:rPr>
          <w:rFonts w:hint="eastAsia"/>
          <w:rtl/>
        </w:rPr>
        <w:t>«</w:t>
      </w:r>
      <w:r>
        <w:rPr>
          <w:rFonts w:hint="cs"/>
          <w:rtl/>
        </w:rPr>
        <w:t>لا يجوز تفريق الصفقة قبل التمام</w:t>
      </w:r>
      <w:r>
        <w:rPr>
          <w:rFonts w:hint="eastAsia"/>
          <w:rtl/>
        </w:rPr>
        <w:t>»</w:t>
      </w:r>
      <w:r>
        <w:rPr>
          <w:rFonts w:hint="cs"/>
          <w:rtl/>
        </w:rPr>
        <w:t>، وذلك ص1005، (ل90/أ)، قاعدة 212.</w:t>
      </w:r>
    </w:p>
  </w:footnote>
  <w:footnote w:id="2033">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ردّتهما</w:t>
      </w:r>
      <w:r>
        <w:rPr>
          <w:rFonts w:hint="eastAsia"/>
          <w:rtl/>
        </w:rPr>
        <w:t>»</w:t>
      </w:r>
      <w:r>
        <w:rPr>
          <w:rFonts w:hint="cs"/>
          <w:rtl/>
        </w:rPr>
        <w:t>.</w:t>
      </w:r>
    </w:p>
  </w:footnote>
  <w:footnote w:id="2034">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و(د) : (الواو) ساقطة، ومكانها : </w:t>
      </w:r>
      <w:r>
        <w:rPr>
          <w:rFonts w:hint="eastAsia"/>
          <w:rtl/>
        </w:rPr>
        <w:t>«</w:t>
      </w:r>
      <w:r>
        <w:rPr>
          <w:rFonts w:hint="cs"/>
          <w:rtl/>
        </w:rPr>
        <w:t>بخلاف</w:t>
      </w:r>
      <w:r>
        <w:rPr>
          <w:rFonts w:hint="eastAsia"/>
          <w:rtl/>
        </w:rPr>
        <w:t>»</w:t>
      </w:r>
      <w:r>
        <w:rPr>
          <w:rFonts w:hint="cs"/>
          <w:rtl/>
        </w:rPr>
        <w:t>.</w:t>
      </w:r>
    </w:p>
  </w:footnote>
  <w:footnote w:id="2035">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أو</w:t>
      </w:r>
      <w:r>
        <w:rPr>
          <w:rFonts w:hint="eastAsia"/>
          <w:rtl/>
        </w:rPr>
        <w:t>»</w:t>
      </w:r>
      <w:r>
        <w:rPr>
          <w:rFonts w:hint="cs"/>
          <w:rtl/>
        </w:rPr>
        <w:t xml:space="preserve">، وتمام العبارة فيهما : </w:t>
      </w:r>
      <w:r>
        <w:rPr>
          <w:rFonts w:hint="eastAsia"/>
          <w:rtl/>
        </w:rPr>
        <w:t>«</w:t>
      </w:r>
      <w:r>
        <w:rPr>
          <w:rFonts w:hint="cs"/>
          <w:rtl/>
        </w:rPr>
        <w:t>بخلاف لو قبضهما أو المعيب فقط</w:t>
      </w:r>
      <w:r>
        <w:rPr>
          <w:rFonts w:hint="eastAsia"/>
          <w:rtl/>
        </w:rPr>
        <w:t>»</w:t>
      </w:r>
      <w:r>
        <w:rPr>
          <w:rFonts w:hint="cs"/>
          <w:rtl/>
        </w:rPr>
        <w:t xml:space="preserve">، وفي (هـ) و(و): </w:t>
      </w:r>
      <w:r>
        <w:rPr>
          <w:rFonts w:hint="eastAsia"/>
          <w:rtl/>
        </w:rPr>
        <w:t>«</w:t>
      </w:r>
      <w:r>
        <w:rPr>
          <w:rFonts w:hint="cs"/>
          <w:rtl/>
        </w:rPr>
        <w:t>و</w:t>
      </w:r>
      <w:r>
        <w:rPr>
          <w:rFonts w:hint="eastAsia"/>
          <w:rtl/>
        </w:rPr>
        <w:t>»</w:t>
      </w:r>
      <w:r>
        <w:rPr>
          <w:rFonts w:hint="cs"/>
          <w:rtl/>
        </w:rPr>
        <w:t xml:space="preserve"> بإسقاط الهمزة، وفي (أ) و(جـ) الألف أعلى السطر ومقحمة بين الواو وما قبلها. والذي يشهد له السياق هو ما تمَّ إثباته من مصدر هذه العبارة (وهو الدّرر شرح الغرر)؛ لأن القاعدة دلت بمنطوقها على عدم جواز تفريق الصفقة قبل القبض، ودّلت بمفهومها على جوازه بعد القبض.</w:t>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وقوله : </w:t>
      </w:r>
      <w:r>
        <w:rPr>
          <w:rFonts w:hint="eastAsia"/>
          <w:rtl/>
        </w:rPr>
        <w:t>«</w:t>
      </w:r>
      <w:r>
        <w:rPr>
          <w:rFonts w:hint="cs"/>
          <w:rtl/>
        </w:rPr>
        <w:t>ولو قبضها : ردّ المعيب فقط</w:t>
      </w:r>
      <w:r>
        <w:rPr>
          <w:rFonts w:hint="eastAsia"/>
          <w:rtl/>
        </w:rPr>
        <w:t>»</w:t>
      </w:r>
      <w:r>
        <w:rPr>
          <w:rFonts w:hint="cs"/>
          <w:rtl/>
        </w:rPr>
        <w:t xml:space="preserve"> مثالٌ للمفهوم.</w:t>
      </w:r>
    </w:p>
    <w:p w:rsidR="00035BE3" w:rsidRDefault="00035BE3" w:rsidP="00C10469">
      <w:pPr>
        <w:pStyle w:val="a6"/>
        <w:ind w:left="422" w:firstLine="0"/>
        <w:rPr>
          <w:spacing w:val="-8"/>
          <w:rtl/>
        </w:rPr>
      </w:pPr>
      <w:r>
        <w:rPr>
          <w:rFonts w:hint="cs"/>
          <w:spacing w:val="-8"/>
          <w:rtl/>
        </w:rPr>
        <w:t xml:space="preserve">ويؤكد هذا ما جاء في الهداية - 6/387 -: </w:t>
      </w:r>
      <w:r>
        <w:rPr>
          <w:rFonts w:hint="eastAsia"/>
          <w:spacing w:val="-8"/>
          <w:rtl/>
        </w:rPr>
        <w:t>«</w:t>
      </w:r>
      <w:r>
        <w:rPr>
          <w:rFonts w:hint="cs"/>
          <w:spacing w:val="-8"/>
          <w:rtl/>
        </w:rPr>
        <w:t>ولو قبضهما ثم وجد بأحدهما عيبًا : يردّه خاصة. خلافًا لزفر</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 xml:space="preserve">ثم ذكر تعليل زفر. ثمَّ أتبعه بدليله فقال : </w:t>
      </w:r>
      <w:r>
        <w:rPr>
          <w:rFonts w:hint="eastAsia"/>
          <w:rtl/>
        </w:rPr>
        <w:t>«</w:t>
      </w:r>
      <w:r>
        <w:rPr>
          <w:rFonts w:hint="cs"/>
          <w:rtl/>
        </w:rPr>
        <w:t>ولنا : أنه تفريق الصفقة بعد التمام؛ لأن بالقبض تتم الصفقة في خيار العيب...</w:t>
      </w:r>
      <w:r>
        <w:rPr>
          <w:rFonts w:hint="eastAsia"/>
          <w:rtl/>
        </w:rPr>
        <w:t>»</w:t>
      </w:r>
      <w:r>
        <w:rPr>
          <w:rFonts w:hint="cs"/>
          <w:rtl/>
        </w:rPr>
        <w:t>.</w:t>
      </w:r>
    </w:p>
  </w:footnote>
  <w:footnote w:id="203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 xml:space="preserve">سها الكاتب في تحريره : </w:t>
      </w:r>
      <w:r>
        <w:rPr>
          <w:rFonts w:hint="eastAsia"/>
          <w:rtl/>
        </w:rPr>
        <w:t>«</w:t>
      </w:r>
      <w:r>
        <w:rPr>
          <w:rFonts w:hint="cs"/>
          <w:rtl/>
        </w:rPr>
        <w:t>قبل القبض</w:t>
      </w:r>
      <w:r>
        <w:rPr>
          <w:rFonts w:hint="eastAsia"/>
          <w:rtl/>
        </w:rPr>
        <w:t>»</w:t>
      </w:r>
      <w:r>
        <w:rPr>
          <w:rFonts w:hint="cs"/>
          <w:rtl/>
        </w:rPr>
        <w:t xml:space="preserve">، والأرفق : </w:t>
      </w:r>
      <w:r>
        <w:rPr>
          <w:rFonts w:hint="eastAsia"/>
          <w:rtl/>
        </w:rPr>
        <w:t>«</w:t>
      </w:r>
      <w:r>
        <w:rPr>
          <w:rFonts w:hint="cs"/>
          <w:rtl/>
        </w:rPr>
        <w:t>بعد القبض</w:t>
      </w:r>
      <w:r>
        <w:rPr>
          <w:rFonts w:hint="eastAsia"/>
          <w:rtl/>
        </w:rPr>
        <w:t>»</w:t>
      </w:r>
      <w:r>
        <w:rPr>
          <w:rFonts w:hint="cs"/>
          <w:rtl/>
        </w:rPr>
        <w:t>. فليتأمل. منقول من نسخة المصنف</w:t>
      </w:r>
      <w:r>
        <w:rPr>
          <w:rFonts w:hint="eastAsia"/>
          <w:rtl/>
        </w:rPr>
        <w:t>»</w:t>
      </w:r>
      <w:r>
        <w:rPr>
          <w:rFonts w:hint="cs"/>
          <w:rtl/>
        </w:rPr>
        <w:t>!!.</w:t>
      </w:r>
    </w:p>
    <w:p w:rsidR="00035BE3" w:rsidRDefault="00035BE3" w:rsidP="00C10469">
      <w:pPr>
        <w:pStyle w:val="a6"/>
        <w:ind w:left="422" w:firstLine="0"/>
        <w:rPr>
          <w:spacing w:val="8"/>
          <w:rtl/>
        </w:rPr>
      </w:pPr>
      <w:r>
        <w:rPr>
          <w:rFonts w:hint="cs"/>
          <w:spacing w:val="8"/>
          <w:rtl/>
        </w:rPr>
        <w:t xml:space="preserve">وهذا مخالف لجميع النسخ، ومخالف لمصدر هذه العبارة (وهو الدّرر)؛ حيث جاء فيه : </w:t>
      </w:r>
      <w:r>
        <w:rPr>
          <w:rFonts w:hint="eastAsia"/>
          <w:spacing w:val="8"/>
          <w:rtl/>
        </w:rPr>
        <w:t>«</w:t>
      </w:r>
      <w:r>
        <w:rPr>
          <w:rFonts w:hint="cs"/>
          <w:spacing w:val="8"/>
          <w:rtl/>
        </w:rPr>
        <w:t xml:space="preserve">ولو قبضهما ردّ المعيب فقط؛ لأن تمام الصفقة بالقبض، </w:t>
      </w:r>
      <w:r>
        <w:rPr>
          <w:rFonts w:hint="cs"/>
          <w:b/>
          <w:bCs/>
          <w:spacing w:val="8"/>
          <w:rtl/>
        </w:rPr>
        <w:t>وقبل القبض</w:t>
      </w:r>
      <w:r>
        <w:rPr>
          <w:rFonts w:hint="cs"/>
          <w:spacing w:val="8"/>
          <w:rtl/>
        </w:rPr>
        <w:t xml:space="preserve"> لا يجوز تفريقها؛ لأنه يكون بيعًا بالحصة ابتداءً، وهو لا يجوز</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 xml:space="preserve">يضاف إلى ذلك كونه مخالفًا لمقتضى القاعدة !. </w:t>
      </w:r>
    </w:p>
    <w:p w:rsidR="00035BE3" w:rsidRDefault="00035BE3" w:rsidP="00C10469">
      <w:pPr>
        <w:pStyle w:val="a6"/>
        <w:ind w:left="422" w:firstLine="0"/>
        <w:rPr>
          <w:rtl/>
        </w:rPr>
      </w:pPr>
      <w:r>
        <w:rPr>
          <w:rFonts w:hint="cs"/>
          <w:rtl/>
        </w:rPr>
        <w:t>ولعل هذا وهم من المعلِّق؛ سببه وجود عبارتين متشابهتين عند المؤلف وهما :</w:t>
      </w:r>
    </w:p>
    <w:p w:rsidR="00035BE3" w:rsidRDefault="00035BE3" w:rsidP="00C10469">
      <w:pPr>
        <w:pStyle w:val="a6"/>
        <w:ind w:left="-32" w:firstLine="454"/>
        <w:rPr>
          <w:rtl/>
        </w:rPr>
      </w:pPr>
      <w:r>
        <w:rPr>
          <w:rtl/>
        </w:rPr>
        <w:t>•</w:t>
      </w:r>
      <w:r>
        <w:rPr>
          <w:rFonts w:hint="cs"/>
          <w:rtl/>
        </w:rPr>
        <w:t xml:space="preserve"> قوله هنا : </w:t>
      </w:r>
      <w:r>
        <w:rPr>
          <w:rFonts w:hint="eastAsia"/>
          <w:rtl/>
        </w:rPr>
        <w:t>«</w:t>
      </w:r>
      <w:r>
        <w:rPr>
          <w:rFonts w:hint="cs"/>
          <w:rtl/>
        </w:rPr>
        <w:t xml:space="preserve">لأن التفريق </w:t>
      </w:r>
      <w:r>
        <w:rPr>
          <w:rFonts w:hint="cs"/>
          <w:b/>
          <w:bCs/>
          <w:rtl/>
        </w:rPr>
        <w:t>قبل القبض</w:t>
      </w:r>
      <w:r>
        <w:rPr>
          <w:rFonts w:hint="cs"/>
          <w:rtl/>
        </w:rPr>
        <w:t xml:space="preserve"> يكون بيعًا بالحصة ابتداءً، فلا يجوز</w:t>
      </w:r>
      <w:r>
        <w:rPr>
          <w:rFonts w:hint="eastAsia"/>
          <w:rtl/>
        </w:rPr>
        <w:t>»</w:t>
      </w:r>
      <w:r>
        <w:rPr>
          <w:rFonts w:hint="cs"/>
          <w:rtl/>
        </w:rPr>
        <w:t>.</w:t>
      </w:r>
    </w:p>
    <w:p w:rsidR="00035BE3" w:rsidRDefault="00035BE3" w:rsidP="00C10469">
      <w:pPr>
        <w:pStyle w:val="a6"/>
        <w:ind w:left="-32" w:firstLine="454"/>
        <w:rPr>
          <w:rtl/>
        </w:rPr>
      </w:pPr>
      <w:r>
        <w:rPr>
          <w:rtl/>
        </w:rPr>
        <w:t>•</w:t>
      </w:r>
      <w:r>
        <w:rPr>
          <w:rFonts w:hint="cs"/>
          <w:rtl/>
        </w:rPr>
        <w:t xml:space="preserve"> وقوله عقب ذلك مباشرة : </w:t>
      </w:r>
      <w:r>
        <w:rPr>
          <w:rFonts w:hint="eastAsia"/>
          <w:rtl/>
        </w:rPr>
        <w:t>«</w:t>
      </w:r>
      <w:r>
        <w:rPr>
          <w:rFonts w:hint="cs"/>
          <w:rtl/>
        </w:rPr>
        <w:t xml:space="preserve">والتفريق </w:t>
      </w:r>
      <w:r>
        <w:rPr>
          <w:rFonts w:hint="cs"/>
          <w:b/>
          <w:bCs/>
          <w:rtl/>
        </w:rPr>
        <w:t>بعد القبض</w:t>
      </w:r>
      <w:r>
        <w:rPr>
          <w:rFonts w:hint="cs"/>
          <w:rtl/>
        </w:rPr>
        <w:t xml:space="preserve"> يكون بيعًا بالحصة بقاء، وهو جائز</w:t>
      </w:r>
      <w:r>
        <w:rPr>
          <w:rFonts w:hint="eastAsia"/>
          <w:rtl/>
        </w:rPr>
        <w:t>»</w:t>
      </w:r>
      <w:r>
        <w:rPr>
          <w:rFonts w:hint="cs"/>
          <w:rtl/>
        </w:rPr>
        <w:t>.</w:t>
      </w:r>
    </w:p>
    <w:p w:rsidR="00035BE3" w:rsidRDefault="00035BE3" w:rsidP="00C10469">
      <w:pPr>
        <w:pStyle w:val="a6"/>
        <w:ind w:left="422" w:firstLine="0"/>
        <w:rPr>
          <w:rtl/>
        </w:rPr>
      </w:pPr>
      <w:r>
        <w:rPr>
          <w:rFonts w:hint="cs"/>
          <w:rtl/>
        </w:rPr>
        <w:t>فوقع نظر المعلق (على نسخة (أ)) على العبارة الأولى من نسخة (أ)، وعلى العبارة الثانية من نسخة (المصنّف)، فظنّهما عبارة واحدة، فكتب هذا التعليق - والله أعلم-.</w:t>
      </w:r>
    </w:p>
  </w:footnote>
  <w:footnote w:id="203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2/165 -مع اختلاف سبق بيان أكثره - وانظر الشق الأول من المثال في: الجامع الصغير، وشرحه : النافع الكبير، ص351.</w:t>
      </w:r>
    </w:p>
  </w:footnote>
  <w:footnote w:id="203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ص429 (ل23/ب)، قاعدة 54.</w:t>
      </w:r>
    </w:p>
  </w:footnote>
  <w:footnote w:id="203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36/أ من (أ).</w:t>
      </w:r>
    </w:p>
  </w:footnote>
  <w:footnote w:id="204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ص1005 (ل90/أ)، قاعدة 212.</w:t>
      </w:r>
    </w:p>
  </w:footnote>
  <w:footnote w:id="2041">
    <w:p w:rsidR="00035BE3" w:rsidRDefault="00035BE3" w:rsidP="00C10469">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منها</w:t>
      </w:r>
      <w:r>
        <w:rPr>
          <w:rFonts w:hint="eastAsia"/>
          <w:rtl/>
        </w:rPr>
        <w:t>»</w:t>
      </w:r>
      <w:r>
        <w:rPr>
          <w:rFonts w:hint="cs"/>
          <w:rtl/>
        </w:rPr>
        <w:t>. والصحيح ما تمَّ إثباته من (د)، وهو الموافق لمصدرها (وهو الكافي).</w:t>
      </w:r>
    </w:p>
  </w:footnote>
  <w:footnote w:id="2042">
    <w:p w:rsidR="00035BE3" w:rsidRDefault="00035BE3" w:rsidP="00C10469">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على</w:t>
      </w:r>
      <w:r>
        <w:rPr>
          <w:rFonts w:hint="eastAsia"/>
          <w:rtl/>
        </w:rPr>
        <w:t>»</w:t>
      </w:r>
      <w:r>
        <w:rPr>
          <w:rFonts w:hint="cs"/>
          <w:rtl/>
        </w:rPr>
        <w:t>.</w:t>
      </w:r>
    </w:p>
  </w:footnote>
  <w:footnote w:id="2043">
    <w:p w:rsidR="00035BE3" w:rsidRDefault="00035BE3" w:rsidP="00C10469">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وجلّ ما جاء في شرحها مستفاد من الكافي للنسفي، ق3، جـ2، ص535. وقد صرّح بذلك المؤلف في نهاية حديثه عن القاعدة.</w:t>
      </w:r>
    </w:p>
    <w:p w:rsidR="00035BE3" w:rsidRDefault="00035BE3" w:rsidP="00C10469">
      <w:pPr>
        <w:pStyle w:val="a6"/>
        <w:spacing w:line="450" w:lineRule="exact"/>
        <w:ind w:left="422" w:firstLine="0"/>
        <w:rPr>
          <w:rtl/>
        </w:rPr>
      </w:pPr>
      <w:r>
        <w:rPr>
          <w:rFonts w:hint="cs"/>
          <w:rtl/>
        </w:rPr>
        <w:t xml:space="preserve">كما أنها بنصِّها مذكورة في المبسوط، 17/29؛ وانظر : الاختيار لتعليل المختار، 2/111، حيث جاء فيه: </w:t>
      </w:r>
      <w:r>
        <w:rPr>
          <w:rFonts w:hint="eastAsia"/>
          <w:rtl/>
        </w:rPr>
        <w:t>«</w:t>
      </w:r>
      <w:r>
        <w:rPr>
          <w:rFonts w:hint="cs"/>
          <w:rtl/>
        </w:rPr>
        <w:t>... والقسمة تنافي الشركة</w:t>
      </w:r>
      <w:r>
        <w:rPr>
          <w:rFonts w:hint="eastAsia"/>
          <w:rtl/>
        </w:rPr>
        <w:t>»</w:t>
      </w:r>
      <w:r>
        <w:rPr>
          <w:rFonts w:hint="cs"/>
          <w:rtl/>
        </w:rPr>
        <w:t>.</w:t>
      </w:r>
    </w:p>
  </w:footnote>
  <w:footnote w:id="2044">
    <w:p w:rsidR="00035BE3" w:rsidRDefault="00035BE3" w:rsidP="00C10469">
      <w:pPr>
        <w:pStyle w:val="a8"/>
        <w:bidi/>
        <w:spacing w:line="45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قال</w:t>
      </w:r>
      <w:r>
        <w:rPr>
          <w:rFonts w:hint="eastAsia"/>
          <w:rtl/>
        </w:rPr>
        <w:t>»</w:t>
      </w:r>
      <w:r>
        <w:rPr>
          <w:rFonts w:hint="cs"/>
          <w:rtl/>
        </w:rPr>
        <w:t>.</w:t>
      </w:r>
    </w:p>
  </w:footnote>
  <w:footnote w:id="2045">
    <w:p w:rsidR="00035BE3" w:rsidRDefault="00035BE3" w:rsidP="00C10469">
      <w:pPr>
        <w:pStyle w:val="a8"/>
        <w:bidi/>
        <w:spacing w:line="45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23/أ من (د).</w:t>
      </w:r>
    </w:p>
  </w:footnote>
  <w:footnote w:id="2046">
    <w:p w:rsidR="00035BE3" w:rsidRDefault="00035BE3" w:rsidP="00C10469">
      <w:pPr>
        <w:pStyle w:val="a8"/>
        <w:bidi/>
        <w:spacing w:line="450" w:lineRule="exact"/>
        <w:ind w:left="422" w:right="0"/>
        <w:rPr>
          <w:spacing w:val="-10"/>
          <w:rtl/>
        </w:rPr>
      </w:pPr>
      <w:r>
        <w:rPr>
          <w:spacing w:val="-10"/>
          <w:vertAlign w:val="superscript"/>
          <w:rtl/>
        </w:rPr>
        <w:t>(</w:t>
      </w:r>
      <w:r>
        <w:rPr>
          <w:rStyle w:val="a7"/>
          <w:spacing w:val="-10"/>
        </w:rPr>
        <w:footnoteRef/>
      </w:r>
      <w:r>
        <w:rPr>
          <w:rFonts w:hint="cs"/>
          <w:spacing w:val="-10"/>
          <w:vertAlign w:val="superscript"/>
          <w:rtl/>
        </w:rPr>
        <w:t>)</w:t>
      </w:r>
      <w:r>
        <w:rPr>
          <w:rFonts w:hint="cs"/>
          <w:spacing w:val="-10"/>
          <w:rtl/>
        </w:rPr>
        <w:t xml:space="preserve">   وممّن قال بالقضاء باليمين مع الشاهد الواحد : الإمام مالك والإمام أحمد وابن حزم الظاهري. فهو قول الجمهور.</w:t>
      </w:r>
    </w:p>
    <w:p w:rsidR="00035BE3" w:rsidRDefault="00035BE3" w:rsidP="00C10469">
      <w:pPr>
        <w:pStyle w:val="a6"/>
        <w:spacing w:line="450" w:lineRule="exact"/>
        <w:ind w:left="422" w:firstLine="0"/>
        <w:rPr>
          <w:rtl/>
        </w:rPr>
      </w:pPr>
      <w:r>
        <w:rPr>
          <w:rFonts w:hint="cs"/>
          <w:rtl/>
        </w:rPr>
        <w:t>انظر : الأم، 6/355-356؛ التفريع لابن الجلاب، 2/238؛ المحلى لابن حزم، 8/489؛ المغني لابن قدامة، 14/132؛ المنهاج للنووي وشرحيه : مغني المحتاج، 4/443؛ ونهاية المحتاج، 8/313؛ منتهى الإرادات وشرحه للبهوتي، 3/557؛ الشرح الكبير وحاشية الدسوقي عليه، 4/200.</w:t>
      </w:r>
    </w:p>
  </w:footnote>
  <w:footnote w:id="2047">
    <w:p w:rsidR="00035BE3" w:rsidRDefault="00035BE3" w:rsidP="00C10469">
      <w:pPr>
        <w:pStyle w:val="a8"/>
        <w:bidi/>
        <w:spacing w:line="45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أخرجه الإمام أحمد بلفظه، 1/248؛ والإمام مسلم بنحوه، كتاب الأقضية، باب القضاء باليمين والشاهد، 3/1337، ح 1712؛ وغيرُهما من حديث ابن عباس -رضي الله عنهما-.</w:t>
      </w:r>
    </w:p>
  </w:footnote>
  <w:footnote w:id="2048">
    <w:p w:rsidR="00035BE3" w:rsidRDefault="00035BE3" w:rsidP="00C10469">
      <w:pPr>
        <w:pStyle w:val="a8"/>
        <w:bidi/>
        <w:spacing w:line="45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 المبسوط، 17/29؛ الاختيار لتعليل المختار، 2/111.</w:t>
      </w:r>
    </w:p>
  </w:footnote>
  <w:footnote w:id="2049">
    <w:p w:rsidR="00035BE3" w:rsidRDefault="00035BE3" w:rsidP="00C10469">
      <w:pPr>
        <w:pStyle w:val="a8"/>
        <w:bidi/>
        <w:spacing w:line="45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 «عن». والصحيح ما تمَّ إثباته من (د)؛ وفاقًا لنصّ الحديث، ولمصدر المؤلف.</w:t>
      </w:r>
    </w:p>
  </w:footnote>
  <w:footnote w:id="2050">
    <w:p w:rsidR="00035BE3" w:rsidRDefault="00035BE3" w:rsidP="00C10469">
      <w:pPr>
        <w:pStyle w:val="a8"/>
        <w:bidi/>
        <w:spacing w:line="45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سبق تخريجه، ص367.</w:t>
      </w:r>
    </w:p>
  </w:footnote>
  <w:footnote w:id="205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الكافي للنسفي، ق3، جـ2، ص 535-537.</w:t>
      </w:r>
    </w:p>
  </w:footnote>
  <w:footnote w:id="205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منهما</w:t>
      </w:r>
      <w:r>
        <w:rPr>
          <w:rFonts w:hint="eastAsia"/>
          <w:rtl/>
        </w:rPr>
        <w:t>»</w:t>
      </w:r>
      <w:r>
        <w:rPr>
          <w:rFonts w:hint="cs"/>
          <w:rtl/>
        </w:rPr>
        <w:t xml:space="preserve"> : ساقطة من (جـ).</w:t>
      </w:r>
    </w:p>
  </w:footnote>
  <w:footnote w:id="2053">
    <w:p w:rsidR="00035BE3" w:rsidRDefault="00035BE3" w:rsidP="00C10469">
      <w:pPr>
        <w:pStyle w:val="a8"/>
        <w:bidi/>
        <w:ind w:left="422" w:right="0"/>
        <w:rPr>
          <w:sz w:val="30"/>
          <w:rtl/>
        </w:rPr>
      </w:pPr>
      <w:r>
        <w:rPr>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b/>
          <w:bCs/>
          <w:sz w:val="30"/>
          <w:rtl/>
        </w:rPr>
        <w:t>الغريب</w:t>
      </w:r>
      <w:r>
        <w:rPr>
          <w:rFonts w:hint="cs"/>
          <w:sz w:val="30"/>
          <w:rtl/>
        </w:rPr>
        <w:t xml:space="preserve"> : في اللغة : له عدّة معانٍ، منها: الرجل ليس من القوم ولا من البلد، والجمع غرباء، ومنها: الغامض من الكلام.</w:t>
      </w:r>
    </w:p>
    <w:p w:rsidR="00035BE3" w:rsidRDefault="00035BE3" w:rsidP="00C10469">
      <w:pPr>
        <w:pStyle w:val="a6"/>
        <w:ind w:left="422" w:firstLine="0"/>
        <w:rPr>
          <w:rtl/>
        </w:rPr>
      </w:pPr>
      <w:r>
        <w:rPr>
          <w:rFonts w:hint="cs"/>
          <w:rtl/>
        </w:rPr>
        <w:t xml:space="preserve">أما في اصطلاح المحدثين : فقد اختلفت عباراتهم في تعريفه، ومن ذلك قول الحافظ ابن حجر : </w:t>
      </w:r>
      <w:r>
        <w:rPr>
          <w:rFonts w:hint="eastAsia"/>
          <w:rtl/>
        </w:rPr>
        <w:t>«</w:t>
      </w:r>
      <w:r>
        <w:rPr>
          <w:rFonts w:hint="cs"/>
          <w:rtl/>
        </w:rPr>
        <w:t>هو ما ينفرد بروايته شخص واحد في أي موضع وقع التفرّد به من السَّند</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انظر المعنى اللغوي في : لسان العرب، مادة </w:t>
      </w:r>
      <w:r>
        <w:rPr>
          <w:rFonts w:hint="eastAsia"/>
          <w:spacing w:val="-6"/>
          <w:rtl/>
        </w:rPr>
        <w:t>«</w:t>
      </w:r>
      <w:r>
        <w:rPr>
          <w:rFonts w:hint="cs"/>
          <w:spacing w:val="-6"/>
          <w:rtl/>
        </w:rPr>
        <w:t>غرب</w:t>
      </w:r>
      <w:r>
        <w:rPr>
          <w:rFonts w:hint="eastAsia"/>
          <w:spacing w:val="-6"/>
          <w:rtl/>
        </w:rPr>
        <w:t>»</w:t>
      </w:r>
      <w:r>
        <w:rPr>
          <w:rFonts w:hint="cs"/>
          <w:spacing w:val="-6"/>
          <w:rtl/>
        </w:rPr>
        <w:t xml:space="preserve">، 1/640؛ المعجم الوسيط، مادة </w:t>
      </w:r>
      <w:r>
        <w:rPr>
          <w:rFonts w:hint="eastAsia"/>
          <w:spacing w:val="-6"/>
          <w:rtl/>
        </w:rPr>
        <w:t>«</w:t>
      </w:r>
      <w:r>
        <w:rPr>
          <w:rFonts w:hint="cs"/>
          <w:spacing w:val="-6"/>
          <w:rtl/>
        </w:rPr>
        <w:t>غرب</w:t>
      </w:r>
      <w:r>
        <w:rPr>
          <w:rFonts w:hint="eastAsia"/>
          <w:spacing w:val="-6"/>
          <w:rtl/>
        </w:rPr>
        <w:t>»</w:t>
      </w:r>
      <w:r>
        <w:rPr>
          <w:rFonts w:hint="cs"/>
          <w:spacing w:val="-6"/>
          <w:rtl/>
        </w:rPr>
        <w:t>، 2/647.</w:t>
      </w:r>
    </w:p>
    <w:p w:rsidR="00035BE3" w:rsidRDefault="00035BE3" w:rsidP="00C10469">
      <w:pPr>
        <w:pStyle w:val="a6"/>
        <w:ind w:left="422" w:firstLine="0"/>
        <w:rPr>
          <w:spacing w:val="-6"/>
          <w:rtl/>
        </w:rPr>
      </w:pPr>
      <w:r>
        <w:rPr>
          <w:rFonts w:hint="cs"/>
          <w:spacing w:val="-6"/>
          <w:rtl/>
        </w:rPr>
        <w:t>والمعنى الاصطلاحي منقول من شرح نخبة الفكر للحافظ ابن حجر، ص19؛ وانظر : تقريب النواوي وشرحه : تدريب الراوي للسيوطي، 2/632؛ الباعث الحثيث لأحمد شاكر، 2/460؛ تيسير مصطلح الحديث، ص28.</w:t>
      </w:r>
    </w:p>
  </w:footnote>
  <w:footnote w:id="2054">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الكافي : </w:t>
      </w:r>
      <w:r>
        <w:rPr>
          <w:rFonts w:hint="eastAsia"/>
          <w:rtl/>
        </w:rPr>
        <w:t>«</w:t>
      </w:r>
      <w:r>
        <w:rPr>
          <w:rFonts w:hint="cs"/>
          <w:rtl/>
        </w:rPr>
        <w:t>ما رويناه</w:t>
      </w:r>
      <w:r>
        <w:rPr>
          <w:rFonts w:hint="eastAsia"/>
          <w:rtl/>
        </w:rPr>
        <w:t>»</w:t>
      </w:r>
      <w:r>
        <w:rPr>
          <w:rFonts w:hint="cs"/>
          <w:rtl/>
        </w:rPr>
        <w:t xml:space="preserve">. والمراد : حديث : </w:t>
      </w:r>
      <w:r>
        <w:rPr>
          <w:rFonts w:hint="eastAsia"/>
          <w:rtl/>
        </w:rPr>
        <w:t>«</w:t>
      </w:r>
      <w:r>
        <w:rPr>
          <w:rFonts w:cs="DecoType Naskh" w:hint="cs"/>
          <w:rtl/>
        </w:rPr>
        <w:t>البينة على المدعي واليمين على من أنكر</w:t>
      </w:r>
      <w:r>
        <w:rPr>
          <w:rFonts w:hint="eastAsia"/>
          <w:rtl/>
        </w:rPr>
        <w:t>»</w:t>
      </w:r>
      <w:r>
        <w:rPr>
          <w:rFonts w:hint="cs"/>
          <w:rtl/>
        </w:rPr>
        <w:t>.</w:t>
      </w:r>
    </w:p>
  </w:footnote>
  <w:footnote w:id="205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المشهور</w:t>
      </w:r>
      <w:r>
        <w:rPr>
          <w:rFonts w:hint="cs"/>
          <w:rtl/>
        </w:rPr>
        <w:t xml:space="preserve"> في اللغة : اسم مفعول من (شهر)، والشين والهاء والراء - كما يقول ابن فارس - : </w:t>
      </w:r>
      <w:r>
        <w:rPr>
          <w:rFonts w:hint="eastAsia"/>
          <w:rtl/>
        </w:rPr>
        <w:t>«</w:t>
      </w:r>
      <w:r>
        <w:rPr>
          <w:rFonts w:hint="cs"/>
          <w:rtl/>
        </w:rPr>
        <w:t>أصل صحيح يدلّ على وضوح في الأمر وإضاءة</w:t>
      </w:r>
      <w:r>
        <w:rPr>
          <w:rFonts w:hint="eastAsia"/>
          <w:rtl/>
        </w:rPr>
        <w:t>»</w:t>
      </w:r>
      <w:r>
        <w:rPr>
          <w:rFonts w:hint="cs"/>
          <w:rtl/>
        </w:rPr>
        <w:t>.</w:t>
      </w:r>
    </w:p>
    <w:p w:rsidR="00035BE3" w:rsidRDefault="00035BE3" w:rsidP="00C10469">
      <w:pPr>
        <w:pStyle w:val="a6"/>
        <w:ind w:left="422" w:firstLine="0"/>
        <w:rPr>
          <w:rtl/>
        </w:rPr>
      </w:pPr>
      <w:r>
        <w:rPr>
          <w:rFonts w:hint="cs"/>
          <w:rtl/>
        </w:rPr>
        <w:t xml:space="preserve">ومن ذلك ما جاء في القاموس : </w:t>
      </w:r>
      <w:r>
        <w:rPr>
          <w:rFonts w:hint="eastAsia"/>
          <w:rtl/>
        </w:rPr>
        <w:t>«</w:t>
      </w:r>
      <w:r>
        <w:rPr>
          <w:rFonts w:hint="cs"/>
          <w:rtl/>
        </w:rPr>
        <w:t>الشَّهير والمشْهُور : المعروفُ المكانِ، المذكورُ، والنَّبيه</w:t>
      </w:r>
      <w:r>
        <w:rPr>
          <w:rFonts w:hint="eastAsia"/>
          <w:rtl/>
        </w:rPr>
        <w:t>»</w:t>
      </w:r>
      <w:r>
        <w:rPr>
          <w:rFonts w:hint="cs"/>
          <w:rtl/>
        </w:rPr>
        <w:t>.</w:t>
      </w:r>
    </w:p>
    <w:p w:rsidR="00035BE3" w:rsidRDefault="00035BE3" w:rsidP="00C10469">
      <w:pPr>
        <w:pStyle w:val="a6"/>
        <w:ind w:left="422" w:firstLine="0"/>
        <w:rPr>
          <w:rtl/>
        </w:rPr>
      </w:pPr>
      <w:r>
        <w:rPr>
          <w:rFonts w:hint="cs"/>
          <w:rtl/>
        </w:rPr>
        <w:t xml:space="preserve">أما في اصطلاح المحدثين : فله عدّة تعريفات، منها ما جاء في تدريب الراوي : </w:t>
      </w:r>
      <w:r>
        <w:rPr>
          <w:rFonts w:hint="eastAsia"/>
          <w:rtl/>
        </w:rPr>
        <w:t>«</w:t>
      </w:r>
      <w:r>
        <w:rPr>
          <w:rFonts w:hint="cs"/>
          <w:rtl/>
        </w:rPr>
        <w:t>ماله طرق محصورة بأكثر من اثنين، ولم يبلغ حد التواتر</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ولتوثيق ما سبق فالمعنى اللغوي منقول من : المقاييس في اللغة، مادة </w:t>
      </w:r>
      <w:r>
        <w:rPr>
          <w:rFonts w:hint="eastAsia"/>
          <w:spacing w:val="-6"/>
          <w:rtl/>
        </w:rPr>
        <w:t>«</w:t>
      </w:r>
      <w:r>
        <w:rPr>
          <w:rFonts w:hint="cs"/>
          <w:spacing w:val="-6"/>
          <w:rtl/>
        </w:rPr>
        <w:t>شهر</w:t>
      </w:r>
      <w:r>
        <w:rPr>
          <w:rFonts w:hint="eastAsia"/>
          <w:spacing w:val="-6"/>
          <w:rtl/>
        </w:rPr>
        <w:t>»</w:t>
      </w:r>
      <w:r>
        <w:rPr>
          <w:rFonts w:hint="cs"/>
          <w:spacing w:val="-6"/>
          <w:rtl/>
        </w:rPr>
        <w:t xml:space="preserve">، ص540؛ القاموس المحيط، مادة </w:t>
      </w:r>
      <w:r>
        <w:rPr>
          <w:rFonts w:hint="eastAsia"/>
          <w:spacing w:val="-6"/>
          <w:rtl/>
        </w:rPr>
        <w:t>«</w:t>
      </w:r>
      <w:r>
        <w:rPr>
          <w:rFonts w:hint="cs"/>
          <w:spacing w:val="-6"/>
          <w:rtl/>
        </w:rPr>
        <w:t>شهر</w:t>
      </w:r>
      <w:r>
        <w:rPr>
          <w:rFonts w:hint="eastAsia"/>
          <w:spacing w:val="-6"/>
          <w:rtl/>
        </w:rPr>
        <w:t>»</w:t>
      </w:r>
      <w:r>
        <w:rPr>
          <w:rFonts w:hint="cs"/>
          <w:spacing w:val="-6"/>
          <w:rtl/>
        </w:rPr>
        <w:t>، ص540.</w:t>
      </w:r>
    </w:p>
    <w:p w:rsidR="00035BE3" w:rsidRDefault="00035BE3" w:rsidP="00C10469">
      <w:pPr>
        <w:pStyle w:val="a6"/>
        <w:ind w:left="422" w:firstLine="0"/>
        <w:rPr>
          <w:rtl/>
        </w:rPr>
      </w:pPr>
      <w:r>
        <w:rPr>
          <w:rFonts w:hint="cs"/>
          <w:rtl/>
        </w:rPr>
        <w:t>والمعنى الاصطلاحي منقول من : تدريب الراوي، 2/621؛ وانظر : شرح نخبة الفكر، ص14؛ فتح المغيث، 3/35؛ الباعث الحثيث، 2/455؛ تيسير مصطلح الحديث، ص23.</w:t>
      </w:r>
    </w:p>
    <w:p w:rsidR="00035BE3" w:rsidRDefault="00035BE3" w:rsidP="00C10469">
      <w:pPr>
        <w:pStyle w:val="a6"/>
        <w:ind w:left="422" w:firstLine="0"/>
        <w:rPr>
          <w:rtl/>
        </w:rPr>
      </w:pPr>
      <w:r>
        <w:rPr>
          <w:rFonts w:hint="cs"/>
          <w:rtl/>
        </w:rPr>
        <w:t>وانظر تعريف المشهور عند الأصوليين من الحنفية في : أصول السرخسي، 1/292؛ جامع الأسرار في شرح المنار تأليف الكاكي، 3/645.</w:t>
      </w:r>
    </w:p>
  </w:footnote>
  <w:footnote w:id="2056">
    <w:p w:rsidR="00035BE3" w:rsidRDefault="00035BE3" w:rsidP="00C10469">
      <w:pPr>
        <w:pStyle w:val="a8"/>
        <w:bidi/>
        <w:ind w:left="422" w:right="0"/>
        <w:rPr>
          <w:spacing w:val="-4"/>
          <w:rtl/>
        </w:rPr>
      </w:pPr>
      <w:r>
        <w:rPr>
          <w:vertAlign w:val="superscript"/>
          <w:rtl/>
        </w:rPr>
        <w:t>(</w:t>
      </w:r>
      <w:r>
        <w:rPr>
          <w:rStyle w:val="a7"/>
        </w:rPr>
        <w:footnoteRef/>
      </w:r>
      <w:r>
        <w:rPr>
          <w:rFonts w:hint="cs"/>
          <w:vertAlign w:val="superscript"/>
          <w:rtl/>
        </w:rPr>
        <w:t>)</w:t>
      </w:r>
      <w:r>
        <w:rPr>
          <w:rFonts w:hint="cs"/>
          <w:rtl/>
        </w:rPr>
        <w:t xml:space="preserve">   </w:t>
      </w:r>
      <w:r>
        <w:rPr>
          <w:rFonts w:hint="cs"/>
          <w:spacing w:val="-4"/>
          <w:rtl/>
        </w:rPr>
        <w:t xml:space="preserve">في (أ) و(جـ) : </w:t>
      </w:r>
      <w:r>
        <w:rPr>
          <w:rFonts w:hint="eastAsia"/>
          <w:spacing w:val="-4"/>
          <w:rtl/>
        </w:rPr>
        <w:t>«</w:t>
      </w:r>
      <w:r>
        <w:rPr>
          <w:rFonts w:hint="cs"/>
          <w:spacing w:val="-4"/>
          <w:rtl/>
        </w:rPr>
        <w:t>تلقت</w:t>
      </w:r>
      <w:r>
        <w:rPr>
          <w:rFonts w:hint="eastAsia"/>
          <w:spacing w:val="-4"/>
          <w:rtl/>
        </w:rPr>
        <w:t>»</w:t>
      </w:r>
      <w:r>
        <w:rPr>
          <w:rFonts w:hint="cs"/>
          <w:spacing w:val="-4"/>
          <w:rtl/>
        </w:rPr>
        <w:t xml:space="preserve">. والصحيح ما تمَّ إثباته من (ب) و(د).  علمًا بأنه جاء في (الكافي) : </w:t>
      </w:r>
      <w:r>
        <w:rPr>
          <w:rFonts w:hint="eastAsia"/>
          <w:spacing w:val="-4"/>
          <w:rtl/>
        </w:rPr>
        <w:t>«</w:t>
      </w:r>
      <w:r>
        <w:rPr>
          <w:rFonts w:hint="cs"/>
          <w:spacing w:val="-4"/>
          <w:rtl/>
        </w:rPr>
        <w:t>تلقته</w:t>
      </w:r>
      <w:r>
        <w:rPr>
          <w:rFonts w:hint="eastAsia"/>
          <w:spacing w:val="-4"/>
          <w:rtl/>
        </w:rPr>
        <w:t>»</w:t>
      </w:r>
      <w:r>
        <w:rPr>
          <w:rFonts w:hint="cs"/>
          <w:spacing w:val="-4"/>
          <w:rtl/>
        </w:rPr>
        <w:t>.</w:t>
      </w:r>
    </w:p>
  </w:footnote>
  <w:footnote w:id="205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خبر</w:t>
      </w:r>
      <w:r>
        <w:rPr>
          <w:rFonts w:hint="eastAsia"/>
          <w:rtl/>
        </w:rPr>
        <w:t>»</w:t>
      </w:r>
      <w:r>
        <w:rPr>
          <w:rFonts w:hint="cs"/>
          <w:rtl/>
        </w:rPr>
        <w:t>. والصحيح ما تمَّ إثباته من (ب) و(جـ) و(د)؛ وفاقًا للكافي.</w:t>
      </w:r>
    </w:p>
  </w:footnote>
  <w:footnote w:id="205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هو يحيى بن معين</w:t>
      </w:r>
      <w:r>
        <w:rPr>
          <w:rFonts w:hint="cs"/>
          <w:rtl/>
        </w:rPr>
        <w:t xml:space="preserve"> بن عوف بن زياد بن بسطام بن عبد الرحمن، الحافظ أبو زكريا المُرِّي الغطفاني، مولى غطفان (ت 233هـ).</w:t>
      </w:r>
    </w:p>
    <w:p w:rsidR="00035BE3" w:rsidRDefault="00035BE3" w:rsidP="00C10469">
      <w:pPr>
        <w:pStyle w:val="a6"/>
        <w:ind w:left="422" w:firstLine="0"/>
        <w:rPr>
          <w:rtl/>
        </w:rPr>
      </w:pPr>
      <w:r>
        <w:rPr>
          <w:rFonts w:hint="cs"/>
          <w:rtl/>
        </w:rPr>
        <w:t>من أشهر علماء الحديث وأعلمهم بالرجال وصحيح الحديث وضعيفه، وأكثرهم كتابة له.</w:t>
      </w:r>
    </w:p>
    <w:p w:rsidR="00035BE3" w:rsidRDefault="00035BE3" w:rsidP="00C10469">
      <w:pPr>
        <w:pStyle w:val="a6"/>
        <w:ind w:left="422" w:firstLine="0"/>
        <w:rPr>
          <w:rtl/>
        </w:rPr>
      </w:pPr>
      <w:r>
        <w:rPr>
          <w:rFonts w:hint="cs"/>
          <w:rtl/>
        </w:rPr>
        <w:t xml:space="preserve">- قال الإمام أحمد بن حنبل : </w:t>
      </w:r>
      <w:r>
        <w:rPr>
          <w:rFonts w:hint="eastAsia"/>
          <w:rtl/>
        </w:rPr>
        <w:t>«</w:t>
      </w:r>
      <w:r>
        <w:rPr>
          <w:rFonts w:hint="cs"/>
          <w:rtl/>
        </w:rPr>
        <w:t>يحيى بن معين أعلمنا بالرجال</w:t>
      </w:r>
      <w:r>
        <w:rPr>
          <w:rFonts w:hint="eastAsia"/>
          <w:rtl/>
        </w:rPr>
        <w:t>»</w:t>
      </w:r>
      <w:r>
        <w:rPr>
          <w:rFonts w:hint="cs"/>
          <w:rtl/>
        </w:rPr>
        <w:t>.</w:t>
      </w:r>
    </w:p>
    <w:p w:rsidR="00035BE3" w:rsidRDefault="00035BE3" w:rsidP="00C10469">
      <w:pPr>
        <w:pStyle w:val="a6"/>
        <w:ind w:left="422" w:firstLine="0"/>
        <w:rPr>
          <w:rtl/>
        </w:rPr>
      </w:pPr>
      <w:r>
        <w:rPr>
          <w:rFonts w:hint="cs"/>
          <w:rtl/>
        </w:rPr>
        <w:t xml:space="preserve">- وقال أبو عبيد القاسم بن سلام : </w:t>
      </w:r>
      <w:r>
        <w:rPr>
          <w:rFonts w:hint="eastAsia"/>
          <w:rtl/>
        </w:rPr>
        <w:t>«</w:t>
      </w:r>
      <w:r>
        <w:rPr>
          <w:rFonts w:hint="cs"/>
          <w:rtl/>
        </w:rPr>
        <w:t>ربَّانيّو الحديث أربعة : فأعلمهم بالحلال والحرام : أحمد بن حنبل ... وأعلمهم بصحيح الحديث وسقيمه : يحيى بن معين</w:t>
      </w:r>
      <w:r>
        <w:rPr>
          <w:rFonts w:hint="eastAsia"/>
          <w:rtl/>
        </w:rPr>
        <w:t>»</w:t>
      </w:r>
      <w:r>
        <w:rPr>
          <w:rFonts w:hint="cs"/>
          <w:rtl/>
        </w:rPr>
        <w:t>.</w:t>
      </w:r>
    </w:p>
    <w:p w:rsidR="00035BE3" w:rsidRDefault="00035BE3" w:rsidP="00C10469">
      <w:pPr>
        <w:pStyle w:val="a6"/>
        <w:ind w:left="422" w:firstLine="0"/>
        <w:rPr>
          <w:rtl/>
        </w:rPr>
      </w:pPr>
      <w:r>
        <w:rPr>
          <w:rFonts w:hint="cs"/>
          <w:rtl/>
        </w:rPr>
        <w:t xml:space="preserve">- وقال محمد بن سعد : </w:t>
      </w:r>
      <w:r>
        <w:rPr>
          <w:rFonts w:hint="eastAsia"/>
          <w:rtl/>
        </w:rPr>
        <w:t>«</w:t>
      </w:r>
      <w:r>
        <w:rPr>
          <w:rFonts w:hint="cs"/>
          <w:rtl/>
        </w:rPr>
        <w:t>كان أكَثَرَ من كِتابة الحديث، وعُرف به، وكان لا يكاد يحدّث</w:t>
      </w:r>
      <w:r>
        <w:rPr>
          <w:rFonts w:hint="eastAsia"/>
          <w:rtl/>
        </w:rPr>
        <w:t>»</w:t>
      </w:r>
      <w:r>
        <w:rPr>
          <w:rFonts w:hint="cs"/>
          <w:rtl/>
        </w:rPr>
        <w:t>.</w:t>
      </w:r>
    </w:p>
    <w:p w:rsidR="00035BE3" w:rsidRDefault="00035BE3" w:rsidP="00C10469">
      <w:pPr>
        <w:pStyle w:val="a6"/>
        <w:ind w:left="422" w:firstLine="0"/>
        <w:rPr>
          <w:rtl/>
        </w:rPr>
      </w:pPr>
      <w:r>
        <w:rPr>
          <w:rFonts w:hint="cs"/>
          <w:rtl/>
        </w:rPr>
        <w:t>ومع كثرة ما كتبه -رحمة الله- إلا أنه لم يصل إلينا منه إلا النزر اليسير، ومن ذلك :</w:t>
      </w:r>
    </w:p>
    <w:p w:rsidR="00035BE3" w:rsidRDefault="00035BE3" w:rsidP="00C10469">
      <w:pPr>
        <w:pStyle w:val="a6"/>
        <w:ind w:left="422" w:firstLine="0"/>
        <w:rPr>
          <w:rtl/>
        </w:rPr>
      </w:pPr>
      <w:r>
        <w:rPr>
          <w:rFonts w:hint="cs"/>
          <w:rtl/>
        </w:rPr>
        <w:t>التاريخ، وهو كتاب في الجرح والتعديل وعلل الأحاديث، نقله عنه طلابه من روايات متعددة، وقد حققّه د. أحمد نور سيف، ونال بذلك درجة الدكتوراه من الأزهر، عام 1396هـ، وسمى بحثه : (يحيى بن معين وكتابه التاريخ).</w:t>
      </w:r>
    </w:p>
    <w:p w:rsidR="00035BE3" w:rsidRDefault="00035BE3" w:rsidP="00C10469">
      <w:pPr>
        <w:pStyle w:val="a6"/>
        <w:ind w:left="422" w:firstLine="0"/>
        <w:rPr>
          <w:spacing w:val="-2"/>
          <w:rtl/>
        </w:rPr>
      </w:pPr>
      <w:r>
        <w:rPr>
          <w:rFonts w:hint="cs"/>
          <w:spacing w:val="-2"/>
          <w:rtl/>
        </w:rPr>
        <w:t>انظر: التاريخ الكبير للإمام البخاري، 8/307، رقم 3116؛ الطبقات الكبرى لابن سعد، 7/354؛ تهذيب الكمال، 31/543-568، رقم 6926؛ تذكرة الحفاظ، 2/429-431، رقم 437؛ تقريب التهذيب، ص1067؛ يحيى بن معين وكتابه: التاريخ، دراسة و</w:t>
      </w:r>
      <w:r>
        <w:rPr>
          <w:rFonts w:hint="cs"/>
          <w:b/>
          <w:bCs/>
          <w:spacing w:val="-2"/>
          <w:rtl/>
        </w:rPr>
        <w:t>ترتيب</w:t>
      </w:r>
      <w:r>
        <w:rPr>
          <w:rFonts w:hint="cs"/>
          <w:spacing w:val="-2"/>
          <w:rtl/>
        </w:rPr>
        <w:t xml:space="preserve">  وتحقيق لأحمد نور، 1/61-62.</w:t>
      </w:r>
    </w:p>
  </w:footnote>
  <w:footnote w:id="205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حيث جاء في كتاب : يحيى بن معين وكتابه التاريخ، 1/271، رقم 1076: </w:t>
      </w:r>
      <w:r>
        <w:rPr>
          <w:rFonts w:hint="eastAsia"/>
          <w:rtl/>
        </w:rPr>
        <w:t>«</w:t>
      </w:r>
      <w:r>
        <w:rPr>
          <w:rFonts w:hint="cs"/>
          <w:rtl/>
        </w:rPr>
        <w:t xml:space="preserve">قال يحيى : حديث ابن عباس أن النبي </w:t>
      </w:r>
      <w:r>
        <w:rPr>
          <w:rFonts w:ascii="AGA Arabesque" w:hAnsi="AGA Arabesque"/>
          <w:sz w:val="36"/>
          <w:szCs w:val="36"/>
        </w:rPr>
        <w:t></w:t>
      </w:r>
      <w:r>
        <w:rPr>
          <w:rFonts w:hint="cs"/>
          <w:rtl/>
        </w:rPr>
        <w:t xml:space="preserve"> قضى بشاهد ويمين ليس بمحفوظ</w:t>
      </w:r>
      <w:r>
        <w:rPr>
          <w:rFonts w:hint="eastAsia"/>
          <w:rtl/>
        </w:rPr>
        <w:t>»</w:t>
      </w:r>
      <w:r>
        <w:rPr>
          <w:rFonts w:hint="cs"/>
          <w:rtl/>
        </w:rPr>
        <w:t>.</w:t>
      </w:r>
    </w:p>
  </w:footnote>
  <w:footnote w:id="206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الكافي للنسفي،  القسم الأخير، جـ2، ص537-538.</w:t>
      </w:r>
    </w:p>
  </w:footnote>
  <w:footnote w:id="206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القاعدة وجل ما جاء فيها مستفاد من (الكافي) للنسفي.</w:t>
      </w:r>
    </w:p>
  </w:footnote>
  <w:footnote w:id="206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التغرير</w:t>
      </w:r>
      <w:r>
        <w:rPr>
          <w:rFonts w:hint="eastAsia"/>
          <w:rtl/>
        </w:rPr>
        <w:t>»</w:t>
      </w:r>
      <w:r>
        <w:rPr>
          <w:rFonts w:hint="cs"/>
          <w:rtl/>
        </w:rPr>
        <w:t>.</w:t>
      </w:r>
    </w:p>
  </w:footnote>
  <w:footnote w:id="206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من القواعد التي لا يكاد يخلو منها كتاب من كتب أصول الفقه، ويراد بالتقرير: </w:t>
      </w:r>
      <w:r>
        <w:rPr>
          <w:rFonts w:hint="eastAsia"/>
          <w:rtl/>
        </w:rPr>
        <w:t>«</w:t>
      </w:r>
      <w:r>
        <w:rPr>
          <w:rFonts w:hint="cs"/>
          <w:rtl/>
        </w:rPr>
        <w:t xml:space="preserve">سكوته </w:t>
      </w:r>
      <w:r>
        <w:rPr>
          <w:rFonts w:ascii="AGA Arabesque" w:hAnsi="AGA Arabesque"/>
          <w:sz w:val="36"/>
          <w:szCs w:val="36"/>
        </w:rPr>
        <w:t></w:t>
      </w:r>
      <w:r>
        <w:rPr>
          <w:rFonts w:hint="cs"/>
          <w:rtl/>
        </w:rPr>
        <w:t xml:space="preserve"> عن إنكار قول أو فعل، صدر من أحد من أصحابه في حضرته، أو غيبته وعلم به </w:t>
      </w:r>
      <w:r>
        <w:rPr>
          <w:rFonts w:ascii="AGA Arabesque" w:hAnsi="AGA Arabesque"/>
          <w:sz w:val="36"/>
          <w:szCs w:val="36"/>
        </w:rPr>
        <w:t></w:t>
      </w:r>
      <w:r>
        <w:rPr>
          <w:rFonts w:hint="cs"/>
          <w:rtl/>
        </w:rPr>
        <w:t xml:space="preserve">. فهذا السكوت منه </w:t>
      </w:r>
      <w:r>
        <w:rPr>
          <w:rFonts w:ascii="AGA Arabesque" w:hAnsi="AGA Arabesque"/>
          <w:sz w:val="36"/>
          <w:szCs w:val="36"/>
        </w:rPr>
        <w:t></w:t>
      </w:r>
      <w:r>
        <w:rPr>
          <w:rFonts w:hint="cs"/>
          <w:rtl/>
        </w:rPr>
        <w:t xml:space="preserve"> يدلّ على جواز القول أو الفعل؛ لأنه </w:t>
      </w:r>
      <w:r>
        <w:rPr>
          <w:rFonts w:ascii="AGA Arabesque" w:hAnsi="AGA Arabesque"/>
          <w:sz w:val="36"/>
          <w:szCs w:val="36"/>
        </w:rPr>
        <w:t></w:t>
      </w:r>
      <w:r>
        <w:rPr>
          <w:rFonts w:hint="cs"/>
          <w:rtl/>
        </w:rPr>
        <w:t xml:space="preserve"> لا يسكت عن باطل</w:t>
      </w:r>
      <w:r>
        <w:rPr>
          <w:rFonts w:hint="eastAsia"/>
          <w:rtl/>
        </w:rPr>
        <w:t>»</w:t>
      </w:r>
      <w:r>
        <w:rPr>
          <w:rFonts w:hint="cs"/>
          <w:rtl/>
        </w:rPr>
        <w:t>. -قاله أ.د. الحفناوي في كتابه دراسات أصولية في السنة النبوية، ص14-.</w:t>
      </w:r>
    </w:p>
    <w:p w:rsidR="00035BE3" w:rsidRDefault="00035BE3" w:rsidP="00C10469">
      <w:pPr>
        <w:pStyle w:val="a6"/>
        <w:ind w:left="422" w:firstLine="0"/>
        <w:rPr>
          <w:rtl/>
        </w:rPr>
      </w:pPr>
      <w:r>
        <w:rPr>
          <w:rFonts w:hint="cs"/>
          <w:rtl/>
        </w:rPr>
        <w:t xml:space="preserve">وقوله : </w:t>
      </w:r>
      <w:r>
        <w:rPr>
          <w:rFonts w:hint="eastAsia"/>
          <w:rtl/>
        </w:rPr>
        <w:t>«</w:t>
      </w:r>
      <w:r>
        <w:rPr>
          <w:rFonts w:hint="cs"/>
          <w:rtl/>
        </w:rPr>
        <w:t>أحد وجوه السنة</w:t>
      </w:r>
      <w:r>
        <w:rPr>
          <w:rFonts w:hint="eastAsia"/>
          <w:rtl/>
        </w:rPr>
        <w:t>»</w:t>
      </w:r>
      <w:r>
        <w:rPr>
          <w:rFonts w:hint="cs"/>
          <w:rtl/>
        </w:rPr>
        <w:t xml:space="preserve"> معناه : أحد مراتب السنة، أو أحد ألفاظ الرواية بالنسبة للصحابي.</w:t>
      </w:r>
    </w:p>
    <w:p w:rsidR="00035BE3" w:rsidRDefault="00035BE3" w:rsidP="00C10469">
      <w:pPr>
        <w:pStyle w:val="a6"/>
        <w:ind w:left="422" w:firstLine="0"/>
        <w:rPr>
          <w:rtl/>
        </w:rPr>
      </w:pPr>
      <w:r>
        <w:rPr>
          <w:rFonts w:hint="cs"/>
          <w:rtl/>
        </w:rPr>
        <w:t xml:space="preserve">ومن </w:t>
      </w:r>
      <w:r>
        <w:rPr>
          <w:rFonts w:hint="cs"/>
          <w:b/>
          <w:bCs/>
          <w:rtl/>
        </w:rPr>
        <w:t>الكتب الأصولية</w:t>
      </w:r>
      <w:r>
        <w:rPr>
          <w:rFonts w:hint="cs"/>
          <w:rtl/>
        </w:rPr>
        <w:t xml:space="preserve"> التي تكلمت عن القاعدة :</w:t>
      </w:r>
    </w:p>
    <w:p w:rsidR="00035BE3" w:rsidRDefault="00035BE3" w:rsidP="00C10469">
      <w:pPr>
        <w:pStyle w:val="a6"/>
        <w:ind w:left="422" w:firstLine="0"/>
        <w:rPr>
          <w:rtl/>
        </w:rPr>
      </w:pPr>
      <w:r>
        <w:rPr>
          <w:rFonts w:hint="cs"/>
          <w:rtl/>
        </w:rPr>
        <w:t>المعتمد، 2/669؛ العدة للقاضي أبي يعلى، 3/998؛ التبصرة، ص333؛ البرهان، 1/328؛ قواطع الأدلة، 2/196؛ المستصفى، 1/131؛ التمهيد لأبي الخطاب، 3/182؛ ميزان الأصول، 2/677؛ تنقيحات في أصول الفقه للسهروردي، ص193؛ روضة الناظر، 1/345؛ الإحكام للآمدي، 1/241؛ مختصر ابن الحاجب وشرح العضد وحاشية التفتازاني، 2/25؛ شرح تنقيح الفصول، ص288؛ الفائق، 3/468؛ المسوّدة، ص297؛ جمع الجوامع وشرحاه : شرح المحلي (بحاشية البناني)، 2/94؛ وتشنيف المسامع، 2/900؛ البحر المحيط، 4/201؛ التحرير وتيسيره، 3/70، 128؛ شـرح الكوكب الـمنير، 2/194؛ مسلّم الثبوت وشرحه : فواتح الرحموت، 2/183؛ دراسات أصولية في السنة النبوية، ص98.</w:t>
      </w:r>
    </w:p>
  </w:footnote>
  <w:footnote w:id="206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قال</w:t>
      </w:r>
      <w:r>
        <w:rPr>
          <w:rFonts w:hint="eastAsia"/>
          <w:rtl/>
        </w:rPr>
        <w:t>»</w:t>
      </w:r>
      <w:r>
        <w:rPr>
          <w:rFonts w:hint="cs"/>
          <w:rtl/>
        </w:rPr>
        <w:t>. وكذلك في صلب (أ) إلا أنها مصححة في الهامش.</w:t>
      </w:r>
    </w:p>
  </w:footnote>
  <w:footnote w:id="206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بكون</w:t>
      </w:r>
      <w:r>
        <w:rPr>
          <w:rFonts w:hint="eastAsia"/>
          <w:rtl/>
        </w:rPr>
        <w:t>»</w:t>
      </w:r>
      <w:r>
        <w:rPr>
          <w:rFonts w:hint="cs"/>
          <w:rtl/>
        </w:rPr>
        <w:t xml:space="preserve"> (بالباء).</w:t>
      </w:r>
    </w:p>
  </w:footnote>
  <w:footnote w:id="206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28/أ من (جـ).</w:t>
      </w:r>
    </w:p>
  </w:footnote>
  <w:footnote w:id="206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تقرير</w:t>
      </w:r>
      <w:r>
        <w:rPr>
          <w:rFonts w:hint="eastAsia"/>
          <w:rtl/>
        </w:rPr>
        <w:t>»</w:t>
      </w:r>
      <w:r>
        <w:rPr>
          <w:rFonts w:hint="cs"/>
          <w:rtl/>
        </w:rPr>
        <w:t>، وكذلك في هامش (جـ).</w:t>
      </w:r>
    </w:p>
  </w:footnote>
  <w:footnote w:id="206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(جـ). وفي (أ) : </w:t>
      </w:r>
      <w:r>
        <w:rPr>
          <w:rFonts w:hint="eastAsia"/>
          <w:rtl/>
        </w:rPr>
        <w:t>«</w:t>
      </w:r>
      <w:r>
        <w:rPr>
          <w:rFonts w:hint="cs"/>
          <w:rtl/>
        </w:rPr>
        <w:t>أدنى</w:t>
      </w:r>
      <w:r>
        <w:rPr>
          <w:rFonts w:hint="eastAsia"/>
          <w:rtl/>
        </w:rPr>
        <w:t>»</w:t>
      </w:r>
      <w:r>
        <w:rPr>
          <w:rFonts w:hint="cs"/>
          <w:rtl/>
        </w:rPr>
        <w:t xml:space="preserve">، وفي (د) : </w:t>
      </w:r>
      <w:r>
        <w:rPr>
          <w:rFonts w:hint="eastAsia"/>
          <w:rtl/>
        </w:rPr>
        <w:t>«</w:t>
      </w:r>
      <w:r>
        <w:rPr>
          <w:rFonts w:hint="cs"/>
          <w:rtl/>
        </w:rPr>
        <w:t>أقوى</w:t>
      </w:r>
      <w:r>
        <w:rPr>
          <w:rFonts w:hint="eastAsia"/>
          <w:rtl/>
        </w:rPr>
        <w:t>»</w:t>
      </w:r>
      <w:r>
        <w:rPr>
          <w:rFonts w:hint="cs"/>
          <w:rtl/>
        </w:rPr>
        <w:t xml:space="preserve">، وفي (ب) : </w:t>
      </w:r>
      <w:r>
        <w:rPr>
          <w:rFonts w:hint="eastAsia"/>
          <w:rtl/>
        </w:rPr>
        <w:t>«</w:t>
      </w:r>
      <w:r>
        <w:rPr>
          <w:rFonts w:hint="cs"/>
          <w:rtl/>
        </w:rPr>
        <w:t>لا يكون أدنى</w:t>
      </w:r>
      <w:r>
        <w:rPr>
          <w:rFonts w:hint="eastAsia"/>
          <w:rtl/>
        </w:rPr>
        <w:t>»</w:t>
      </w:r>
      <w:r>
        <w:rPr>
          <w:rFonts w:hint="cs"/>
          <w:rtl/>
        </w:rPr>
        <w:t xml:space="preserve"> (بزيادة : لا يكون).  والصحيح ما في (ب) و(جـ) و(د)؛ لدلالة السياق، ولموافقته في المعنى لمصدر القاعدة (وهو الدُّرر)، حيث جاء فيه: </w:t>
      </w:r>
      <w:r>
        <w:rPr>
          <w:rFonts w:hint="eastAsia"/>
          <w:rtl/>
        </w:rPr>
        <w:t>«</w:t>
      </w:r>
      <w:r>
        <w:rPr>
          <w:rFonts w:hint="cs"/>
          <w:rtl/>
        </w:rPr>
        <w:t>تقدير الشرع ليس أدنى من تقدير ...</w:t>
      </w:r>
      <w:r>
        <w:rPr>
          <w:rFonts w:hint="eastAsia"/>
          <w:rtl/>
        </w:rPr>
        <w:t>»</w:t>
      </w:r>
      <w:r>
        <w:rPr>
          <w:rFonts w:hint="cs"/>
          <w:rtl/>
        </w:rPr>
        <w:t>، وتمَّ إثبات ما في (جـ)؛ لكونه أقلَّ تصرفًا في اللفظ ممّا في نسخة (أ).</w:t>
      </w:r>
    </w:p>
  </w:footnote>
  <w:footnote w:id="206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تقرير</w:t>
      </w:r>
      <w:r>
        <w:rPr>
          <w:rFonts w:hint="eastAsia"/>
          <w:rtl/>
        </w:rPr>
        <w:t>»</w:t>
      </w:r>
      <w:r>
        <w:rPr>
          <w:rFonts w:hint="cs"/>
          <w:rtl/>
        </w:rPr>
        <w:t>، وكذلك في هامش (جـ).</w:t>
      </w:r>
    </w:p>
  </w:footnote>
  <w:footnote w:id="207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في قواعد الفقه للمجدّدي، ص86، قاعدة 159 - بلفظ : </w:t>
      </w:r>
      <w:r>
        <w:rPr>
          <w:rFonts w:hint="eastAsia"/>
          <w:rtl/>
        </w:rPr>
        <w:t>«</w:t>
      </w:r>
      <w:r>
        <w:rPr>
          <w:rFonts w:hint="cs"/>
          <w:rtl/>
        </w:rPr>
        <w:t>الشيء إذا ثبت مقدَّرا في الشرع لا يعتبر إلى تقدير آخر</w:t>
      </w:r>
      <w:r>
        <w:rPr>
          <w:rFonts w:hint="eastAsia"/>
          <w:rtl/>
        </w:rPr>
        <w:t>»</w:t>
      </w:r>
      <w:r>
        <w:rPr>
          <w:rFonts w:hint="cs"/>
          <w:rtl/>
        </w:rPr>
        <w:t>-؛ ووردت قبل ذلك - بنحو لفظ المؤلف - في الـدُّرر شـرح الغـرر، 2/399 ، وجل ما جاء في شرحها مذكور في الدّرر.</w:t>
      </w:r>
    </w:p>
  </w:footnote>
  <w:footnote w:id="207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24/أ من (ب). علمًا بأنه جاء في الدّرر :</w:t>
      </w:r>
      <w:r>
        <w:rPr>
          <w:rFonts w:hint="eastAsia"/>
          <w:rtl/>
        </w:rPr>
        <w:t xml:space="preserve"> «</w:t>
      </w:r>
      <w:r>
        <w:rPr>
          <w:rFonts w:hint="cs"/>
          <w:rtl/>
        </w:rPr>
        <w:t>أعتقه</w:t>
      </w:r>
      <w:r>
        <w:rPr>
          <w:rFonts w:hint="eastAsia"/>
          <w:rtl/>
        </w:rPr>
        <w:t>»</w:t>
      </w:r>
      <w:r>
        <w:rPr>
          <w:rFonts w:hint="cs"/>
          <w:rtl/>
        </w:rPr>
        <w:t xml:space="preserve"> (بحذف واو العطف).</w:t>
      </w:r>
    </w:p>
  </w:footnote>
  <w:footnote w:id="207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36/ب من (أ).</w:t>
      </w:r>
    </w:p>
  </w:footnote>
  <w:footnote w:id="2073">
    <w:p w:rsidR="00035BE3" w:rsidRDefault="00035BE3" w:rsidP="00C10469">
      <w:pPr>
        <w:pStyle w:val="a8"/>
        <w:bidi/>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لعل المعنى : منصوص على قدر القيمة. ولو قال : (عليها) لكان أولى؛ وفاقًا لمصدر هذه العبارة وهو الدّرر.</w:t>
      </w:r>
    </w:p>
    <w:p w:rsidR="00035BE3" w:rsidRDefault="00035BE3" w:rsidP="00C10469">
      <w:pPr>
        <w:pStyle w:val="a6"/>
        <w:ind w:left="422" w:firstLine="0"/>
        <w:rPr>
          <w:rtl/>
        </w:rPr>
      </w:pPr>
      <w:r>
        <w:rPr>
          <w:rFonts w:hint="cs"/>
          <w:rtl/>
        </w:rPr>
        <w:t xml:space="preserve">ومن النصوص الدالة على أنّ العبد إذا أُعتق بعضه فإنه يعتق باقية بقدر قسطه من قيمته دون زيادة : ما أخرجه البخاريُّ، كتاب الشركة، باب الشركة في الرقيق، 2/885، ح 2369؛ ومسلم، كتاب الأيمان، باب من أعتق شركًا له في عبد، 3/1287، ح1501؛ والبيهقيُّ، كتاب الغصب؛ باب رد قيمته [أي المغصوب] إن كان من ذوات القيم، أو ردّ مثله إن كان من ذوات الأمثال إذا أتلفه الغاصب، أو تلف في يديه، 6/95 - 96، ح11300؛ وغيرُهم من حديث ابن عمر، ولفظ البخاري: عن النبي </w:t>
      </w:r>
      <w:r>
        <w:rPr>
          <w:rFonts w:ascii="AGA Arabesque" w:hAnsi="AGA Arabesque"/>
          <w:sz w:val="36"/>
          <w:szCs w:val="36"/>
        </w:rPr>
        <w:t></w:t>
      </w:r>
      <w:r>
        <w:rPr>
          <w:rFonts w:hint="cs"/>
          <w:rtl/>
        </w:rPr>
        <w:t xml:space="preserve"> قال : </w:t>
      </w:r>
      <w:r>
        <w:rPr>
          <w:rFonts w:hint="eastAsia"/>
          <w:rtl/>
        </w:rPr>
        <w:t>«</w:t>
      </w:r>
      <w:r>
        <w:rPr>
          <w:rFonts w:hint="cs"/>
          <w:rtl/>
        </w:rPr>
        <w:t xml:space="preserve">من أعتق شركًا له في مملوك وجب عليه أن يَعْتِق كلَّه إن كان له مال </w:t>
      </w:r>
      <w:r>
        <w:rPr>
          <w:rFonts w:hint="cs"/>
          <w:b/>
          <w:bCs/>
          <w:rtl/>
        </w:rPr>
        <w:t>قدر ثمنه</w:t>
      </w:r>
      <w:r>
        <w:rPr>
          <w:rFonts w:hint="cs"/>
          <w:rtl/>
        </w:rPr>
        <w:t>، يقام قيمة عدل، ويُعطى شركاؤه حصتهم، ويُخلّى سبيل المعتَق</w:t>
      </w:r>
      <w:r>
        <w:rPr>
          <w:rFonts w:hint="eastAsia"/>
          <w:rtl/>
        </w:rPr>
        <w:t>»</w:t>
      </w:r>
      <w:r>
        <w:rPr>
          <w:rFonts w:hint="cs"/>
          <w:rtl/>
        </w:rPr>
        <w:t>.</w:t>
      </w:r>
    </w:p>
  </w:footnote>
  <w:footnote w:id="207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تجوز</w:t>
      </w:r>
      <w:r>
        <w:rPr>
          <w:rFonts w:hint="eastAsia"/>
          <w:rtl/>
        </w:rPr>
        <w:t>»</w:t>
      </w:r>
      <w:r>
        <w:rPr>
          <w:rFonts w:hint="cs"/>
          <w:rtl/>
        </w:rPr>
        <w:t>. وهذا الأفصح، إلاّ أنه تمَّ إثبات ما في باقي النسخ؛ وفاقًا للدّرر.</w:t>
      </w:r>
    </w:p>
  </w:footnote>
  <w:footnote w:id="207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2/399 -مع اختلاف يسير سبق بيان أكثره-.</w:t>
      </w:r>
    </w:p>
  </w:footnote>
  <w:footnote w:id="207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من</w:t>
      </w:r>
      <w:r>
        <w:rPr>
          <w:rFonts w:hint="eastAsia"/>
          <w:rtl/>
        </w:rPr>
        <w:t>»</w:t>
      </w:r>
      <w:r>
        <w:rPr>
          <w:rFonts w:hint="cs"/>
          <w:rtl/>
        </w:rPr>
        <w:t>. والصحيح ما تمَّ إثباته من (ب) و(د).</w:t>
      </w:r>
    </w:p>
  </w:footnote>
  <w:footnote w:id="2077">
    <w:p w:rsidR="00035BE3" w:rsidRDefault="00035BE3" w:rsidP="00C10469">
      <w:pPr>
        <w:pStyle w:val="a8"/>
        <w:bidi/>
        <w:ind w:left="422" w:right="0"/>
        <w:rPr>
          <w:spacing w:val="10"/>
          <w:rtl/>
        </w:rPr>
      </w:pPr>
      <w:r>
        <w:rPr>
          <w:spacing w:val="10"/>
          <w:vertAlign w:val="superscript"/>
          <w:rtl/>
        </w:rPr>
        <w:t>(</w:t>
      </w:r>
      <w:r>
        <w:rPr>
          <w:rStyle w:val="a7"/>
          <w:spacing w:val="10"/>
        </w:rPr>
        <w:footnoteRef/>
      </w:r>
      <w:r>
        <w:rPr>
          <w:rFonts w:hint="cs"/>
          <w:spacing w:val="10"/>
          <w:vertAlign w:val="superscript"/>
          <w:rtl/>
        </w:rPr>
        <w:t>)</w:t>
      </w:r>
      <w:r>
        <w:rPr>
          <w:rFonts w:hint="cs"/>
          <w:spacing w:val="10"/>
          <w:rtl/>
        </w:rPr>
        <w:t xml:space="preserve">  لعل المعنى : منصوص على قدر هذه القيمة. ولو قال : (عليها) لكان أولى.-وقد سبق التنبيه على ذلك قريباً-.</w:t>
      </w:r>
    </w:p>
  </w:footnote>
  <w:footnote w:id="207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الدّرر شرح الغرر، 2/399.</w:t>
      </w:r>
    </w:p>
    <w:p w:rsidR="00035BE3" w:rsidRDefault="00035BE3" w:rsidP="00C10469">
      <w:pPr>
        <w:pStyle w:val="a6"/>
        <w:ind w:left="422" w:firstLine="0"/>
        <w:rPr>
          <w:rtl/>
        </w:rPr>
      </w:pPr>
      <w:r>
        <w:rPr>
          <w:rFonts w:hint="cs"/>
          <w:rtl/>
        </w:rPr>
        <w:t xml:space="preserve">وقد جاء في الدُّرر : أن صاحبي الإمام أبي حنيفة لا يريان جواز هذا الصلح </w:t>
      </w:r>
      <w:r>
        <w:rPr>
          <w:rFonts w:hint="eastAsia"/>
          <w:rtl/>
        </w:rPr>
        <w:t>«</w:t>
      </w:r>
      <w:r>
        <w:rPr>
          <w:rFonts w:hint="cs"/>
          <w:rtl/>
        </w:rPr>
        <w:t>إذا كان بغبن فاحش؛ لأن حقه في القيمة، فالزائد عليها ربا</w:t>
      </w:r>
      <w:r>
        <w:rPr>
          <w:rFonts w:hint="eastAsia"/>
          <w:rtl/>
        </w:rPr>
        <w:t>»</w:t>
      </w:r>
      <w:r>
        <w:rPr>
          <w:rFonts w:hint="cs"/>
          <w:rtl/>
        </w:rPr>
        <w:t>.</w:t>
      </w:r>
    </w:p>
  </w:footnote>
  <w:footnote w:id="207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«الكفن» : ساقطة من (ب).</w:t>
      </w:r>
    </w:p>
  </w:footnote>
  <w:footnote w:id="208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الاعتياض</w:t>
      </w:r>
      <w:r>
        <w:rPr>
          <w:rFonts w:hint="cs"/>
          <w:rtl/>
        </w:rPr>
        <w:t xml:space="preserve"> : معناه في اللغة وفي اصطلاح الفقهاء : أخذ العوض.</w:t>
      </w:r>
    </w:p>
    <w:p w:rsidR="00035BE3" w:rsidRDefault="00035BE3" w:rsidP="00C10469">
      <w:pPr>
        <w:pStyle w:val="a6"/>
        <w:ind w:left="422" w:firstLine="0"/>
        <w:rPr>
          <w:rtl/>
        </w:rPr>
      </w:pPr>
      <w:r>
        <w:rPr>
          <w:rFonts w:hint="cs"/>
          <w:rtl/>
        </w:rPr>
        <w:t>والعوض سبق بيان معناه لغة واصطلاحًا، ص 237.</w:t>
      </w:r>
    </w:p>
    <w:p w:rsidR="00035BE3" w:rsidRPr="008B0DB5" w:rsidRDefault="00035BE3" w:rsidP="00C10469">
      <w:pPr>
        <w:pStyle w:val="a6"/>
        <w:ind w:left="422" w:firstLine="0"/>
        <w:rPr>
          <w:spacing w:val="-4"/>
          <w:rtl/>
        </w:rPr>
      </w:pPr>
      <w:r>
        <w:rPr>
          <w:rFonts w:hint="cs"/>
          <w:rtl/>
        </w:rPr>
        <w:t xml:space="preserve">وللتوسع في معنى الاعتياض وما يصح أن يكون عوضًا انظر : بدائع الصنائع، 6/42؛ معجم لغة </w:t>
      </w:r>
      <w:r w:rsidRPr="008B0DB5">
        <w:rPr>
          <w:rFonts w:hint="cs"/>
          <w:spacing w:val="-4"/>
          <w:rtl/>
        </w:rPr>
        <w:t>الفقهاء، ص56؛ معجم المصطلحات الاقتصادية، 68؛ معجم المصطلحات والألفاظ الفقهية، 1/232.</w:t>
      </w:r>
    </w:p>
  </w:footnote>
  <w:footnote w:id="208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مصدر هذه العبارة (وهو الدرر) زيادة : </w:t>
      </w:r>
      <w:r>
        <w:rPr>
          <w:rFonts w:hint="eastAsia"/>
          <w:rtl/>
        </w:rPr>
        <w:t>«</w:t>
      </w:r>
      <w:r>
        <w:rPr>
          <w:rFonts w:hint="cs"/>
          <w:rtl/>
        </w:rPr>
        <w:t>لا يكون ربًا؛ إذْ الزائد على المالية</w:t>
      </w:r>
      <w:r>
        <w:rPr>
          <w:rFonts w:hint="eastAsia"/>
          <w:rtl/>
        </w:rPr>
        <w:t>»</w:t>
      </w:r>
      <w:r>
        <w:rPr>
          <w:rFonts w:hint="cs"/>
          <w:rtl/>
        </w:rPr>
        <w:t>.</w:t>
      </w:r>
    </w:p>
  </w:footnote>
  <w:footnote w:id="208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صالحا</w:t>
      </w:r>
      <w:r>
        <w:rPr>
          <w:rFonts w:hint="eastAsia"/>
          <w:rtl/>
        </w:rPr>
        <w:t>»</w:t>
      </w:r>
      <w:r>
        <w:rPr>
          <w:rFonts w:hint="cs"/>
          <w:rtl/>
        </w:rPr>
        <w:t>. والصحيح ما تمَّ إثباته من (ب)، وهو الموافق للدّرر شرح الغرر.</w:t>
      </w:r>
    </w:p>
  </w:footnote>
  <w:footnote w:id="208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أكثر</w:t>
      </w:r>
      <w:r>
        <w:rPr>
          <w:rFonts w:hint="eastAsia"/>
          <w:rtl/>
        </w:rPr>
        <w:t>»</w:t>
      </w:r>
      <w:r>
        <w:rPr>
          <w:rFonts w:hint="cs"/>
          <w:rtl/>
        </w:rPr>
        <w:t xml:space="preserve">. والذي يشهد له المعنى هو ما تمَّ إثباته من (ب)؛ وفاقًا للمعنى المذكور في الدّرر، حيث جاء فيه : </w:t>
      </w:r>
      <w:r>
        <w:rPr>
          <w:rFonts w:hint="eastAsia"/>
          <w:rtl/>
        </w:rPr>
        <w:t>«</w:t>
      </w:r>
      <w:r>
        <w:rPr>
          <w:rFonts w:hint="cs"/>
          <w:rtl/>
        </w:rPr>
        <w:t>... على الأكثر لم يجز؛ لأن الحق ...</w:t>
      </w:r>
      <w:r>
        <w:rPr>
          <w:rFonts w:hint="eastAsia"/>
          <w:rtl/>
        </w:rPr>
        <w:t>»</w:t>
      </w:r>
      <w:r>
        <w:rPr>
          <w:rFonts w:hint="cs"/>
          <w:rtl/>
        </w:rPr>
        <w:t>.</w:t>
      </w:r>
    </w:p>
  </w:footnote>
  <w:footnote w:id="208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2/399 -مع اختلاف سبق بيانه -.</w:t>
      </w:r>
    </w:p>
  </w:footnote>
  <w:footnote w:id="2085">
    <w:p w:rsidR="00035BE3"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المشتركة بين علوم العقيدة وأصول الفقه والقواعد الفقهية؛ فهي عقدية لارتباطها بالقضاء والقدر، وهي أصولية لارتباطها بالتكليف الذي هو أحد موضوعات أصول الفقه، حيث يبحث في </w:t>
      </w:r>
      <w:r>
        <w:rPr>
          <w:rFonts w:hint="cs"/>
          <w:spacing w:val="-2"/>
          <w:rtl/>
        </w:rPr>
        <w:t xml:space="preserve">المحكوم به، وهي فقهية لارتباطها بأفعال المكلفين وحكم الشرع فيها، وقد عرف من </w:t>
      </w:r>
      <w:r w:rsidRPr="00575075">
        <w:rPr>
          <w:rFonts w:hint="cs"/>
          <w:spacing w:val="-4"/>
          <w:rtl/>
        </w:rPr>
        <w:t>خلال المسائل والفروع الفقهية أن التكليف فيها بحسب الوسع فهي إذن قاعده فقهية أيضًا من هذا الوجه.</w:t>
      </w:r>
    </w:p>
    <w:p w:rsidR="00035BE3" w:rsidRDefault="00035BE3" w:rsidP="00C10469">
      <w:pPr>
        <w:pStyle w:val="a6"/>
        <w:ind w:left="422" w:firstLine="0"/>
        <w:rPr>
          <w:rtl/>
        </w:rPr>
      </w:pPr>
      <w:r>
        <w:rPr>
          <w:rFonts w:hint="cs"/>
          <w:rtl/>
        </w:rPr>
        <w:t>وقد جلاّها د. محمد العروسي في كتابه : المسائل المشتركة بين أصول الفقه وأصول الدين، فقال ما حاصله: إن أول من حكى القول بوقوع التكليف بما لا يطاق هو الجهم بن صفوان. وقد ارتضى هذا القول أبو الحسن الأشعري فقال : إنه لا تأثير للقدرة الحادثة في الفعل الصادر من العباد؛ بل القدرة والداعية مخلوقتان. فهو تابع للجهم في المعنى، وإن أضاف الفعل إلى العبد وسمَّاه كسبًا.</w:t>
      </w:r>
    </w:p>
    <w:p w:rsidR="00035BE3" w:rsidRDefault="00035BE3" w:rsidP="00C10469">
      <w:pPr>
        <w:pStyle w:val="a6"/>
        <w:ind w:left="422" w:firstLine="0"/>
        <w:rPr>
          <w:rtl/>
        </w:rPr>
      </w:pPr>
      <w:r>
        <w:rPr>
          <w:rFonts w:hint="cs"/>
          <w:rtl/>
        </w:rPr>
        <w:t xml:space="preserve">ثم انتقل هذا القول إلى المصنفات في الأصول، فجعلوا التكليف بالمحال </w:t>
      </w:r>
      <w:r>
        <w:rPr>
          <w:rFonts w:hint="cs"/>
          <w:b/>
          <w:bCs/>
          <w:rtl/>
        </w:rPr>
        <w:t>ضربين</w:t>
      </w:r>
      <w:r>
        <w:rPr>
          <w:rFonts w:hint="cs"/>
          <w:rtl/>
        </w:rPr>
        <w:t xml:space="preserve"> : محال لذاته؛ كالجمع بين الضدّين. ومحال لغيره؛ كإيمان أبي لهب.</w:t>
      </w:r>
    </w:p>
    <w:p w:rsidR="00035BE3" w:rsidRDefault="00035BE3" w:rsidP="00C10469">
      <w:pPr>
        <w:pStyle w:val="a6"/>
        <w:ind w:left="422" w:firstLine="0"/>
        <w:rPr>
          <w:spacing w:val="4"/>
          <w:rtl/>
        </w:rPr>
      </w:pPr>
      <w:r>
        <w:rPr>
          <w:rFonts w:hint="cs"/>
          <w:b/>
          <w:bCs/>
          <w:spacing w:val="4"/>
          <w:rtl/>
        </w:rPr>
        <w:t>فالضرب الأول</w:t>
      </w:r>
      <w:r>
        <w:rPr>
          <w:rFonts w:hint="cs"/>
          <w:spacing w:val="4"/>
          <w:rtl/>
        </w:rPr>
        <w:t xml:space="preserve"> : اتفقوا على تسميته أنه لا يطاق، لكن تنازعوا في جواز الأمر به، ولم يتنازعوا في عدم وقوعه.</w:t>
      </w:r>
    </w:p>
    <w:p w:rsidR="00035BE3" w:rsidRDefault="00035BE3" w:rsidP="00C10469">
      <w:pPr>
        <w:pStyle w:val="a6"/>
        <w:ind w:left="422" w:firstLine="0"/>
        <w:rPr>
          <w:rtl/>
        </w:rPr>
      </w:pPr>
      <w:r>
        <w:rPr>
          <w:rFonts w:hint="cs"/>
          <w:b/>
          <w:bCs/>
          <w:rtl/>
        </w:rPr>
        <w:t xml:space="preserve">وأما الضرب الثاني </w:t>
      </w:r>
      <w:r>
        <w:rPr>
          <w:rFonts w:hint="cs"/>
          <w:rtl/>
        </w:rPr>
        <w:t>: فاتَّفق الناس على جوازه ووقوعه، وإنما تنازعوا في إطلاق القول عليه بأنه لا يطاق.- انظر المسائل المشتركة، ص138-139-.</w:t>
      </w:r>
    </w:p>
    <w:p w:rsidR="00035BE3" w:rsidRDefault="00035BE3" w:rsidP="00C10469">
      <w:pPr>
        <w:pStyle w:val="a6"/>
        <w:ind w:left="422" w:firstLine="0"/>
        <w:rPr>
          <w:rtl/>
        </w:rPr>
      </w:pPr>
      <w:r>
        <w:rPr>
          <w:rFonts w:hint="cs"/>
          <w:rtl/>
        </w:rPr>
        <w:t xml:space="preserve">والموافق للسلف والأئمة في المعنى : </w:t>
      </w:r>
      <w:r>
        <w:rPr>
          <w:rFonts w:hint="eastAsia"/>
          <w:rtl/>
        </w:rPr>
        <w:t>«</w:t>
      </w:r>
      <w:r>
        <w:rPr>
          <w:rFonts w:hint="cs"/>
          <w:rtl/>
        </w:rPr>
        <w:t>أن ما لا يطاق للعجز عنه لا يجوز تكليفه، بخلاف ما لا يطاق للاشتغال بضدّه، فإنه يجوز تكليفه ... [والقائلون بهذا] موافقون للسلف والأئمة في المعنى، لكن كونهم جعلوا ما يتركه العبد لا يطاق؛ لكونه تاركًا له، مشتغلاً بضدّه بدعة في الشرع واللغة؛ فإن مضمونه أن فعل ما لا يفعله العبد لا يطيقه!</w:t>
      </w:r>
      <w:r>
        <w:rPr>
          <w:rFonts w:hint="eastAsia"/>
          <w:rtl/>
        </w:rPr>
        <w:t>»</w:t>
      </w:r>
      <w:r>
        <w:rPr>
          <w:rFonts w:hint="cs"/>
          <w:rtl/>
        </w:rPr>
        <w:t>. - قاله شارح الطحاوية، ص654 -.</w:t>
      </w:r>
    </w:p>
    <w:p w:rsidR="00035BE3" w:rsidRDefault="00035BE3" w:rsidP="00C10469">
      <w:pPr>
        <w:pStyle w:val="a6"/>
        <w:ind w:left="422" w:firstLine="0"/>
        <w:rPr>
          <w:rtl/>
        </w:rPr>
      </w:pPr>
      <w:r>
        <w:rPr>
          <w:rFonts w:hint="cs"/>
          <w:rtl/>
        </w:rPr>
        <w:t xml:space="preserve">وللتوسع في ذلك انظر من </w:t>
      </w:r>
      <w:r>
        <w:rPr>
          <w:rFonts w:hint="cs"/>
          <w:b/>
          <w:bCs/>
          <w:rtl/>
        </w:rPr>
        <w:t>كتب العقيدة</w:t>
      </w:r>
      <w:r>
        <w:rPr>
          <w:rFonts w:hint="cs"/>
          <w:rtl/>
        </w:rPr>
        <w:t xml:space="preserve"> : </w:t>
      </w:r>
    </w:p>
    <w:p w:rsidR="00035BE3" w:rsidRDefault="00035BE3" w:rsidP="00C10469">
      <w:pPr>
        <w:pStyle w:val="a6"/>
        <w:ind w:left="422" w:firstLine="0"/>
        <w:rPr>
          <w:rtl/>
        </w:rPr>
      </w:pPr>
      <w:r>
        <w:rPr>
          <w:rFonts w:hint="cs"/>
          <w:rtl/>
        </w:rPr>
        <w:t xml:space="preserve">مجموع فتاوى شيخ الإسلام ابن تيمية، 3/318؛ شرح الطحاوية لابن أبي العز، ص652 وما بعدها؛ القضاء والقدر في ضوء الكتاب والسنة للدكتور عبد الرحمن المحمود، ص184. </w:t>
      </w:r>
    </w:p>
    <w:p w:rsidR="00035BE3" w:rsidRDefault="00035BE3" w:rsidP="00C10469">
      <w:pPr>
        <w:pStyle w:val="a6"/>
        <w:ind w:left="422" w:firstLine="0"/>
        <w:rPr>
          <w:b/>
          <w:bCs/>
          <w:rtl/>
        </w:rPr>
      </w:pPr>
      <w:r>
        <w:rPr>
          <w:rFonts w:hint="cs"/>
          <w:b/>
          <w:bCs/>
          <w:rtl/>
        </w:rPr>
        <w:t>ومن كتب أصول الفقه :</w:t>
      </w:r>
    </w:p>
    <w:p w:rsidR="00035BE3" w:rsidRDefault="00035BE3" w:rsidP="00C10469">
      <w:pPr>
        <w:pStyle w:val="a6"/>
        <w:ind w:left="422" w:firstLine="0"/>
        <w:rPr>
          <w:rtl/>
        </w:rPr>
      </w:pPr>
      <w:r>
        <w:rPr>
          <w:rFonts w:hint="cs"/>
          <w:rtl/>
        </w:rPr>
        <w:t xml:space="preserve">العدة، 2/392؛ البرهان، 1/88، فقرة 27؛ المستصفي، 1/86؛ روضة الناظر، 1/234؛ تنقيح الفصول، ص143؛ المنار وشرحه: جامع الأسرار للكاكي، 1/205؛ الفائق، 2/105؛ جميع الجوامع </w:t>
      </w:r>
      <w:r w:rsidRPr="00A96977">
        <w:rPr>
          <w:rFonts w:hint="cs"/>
          <w:spacing w:val="-6"/>
          <w:rtl/>
        </w:rPr>
        <w:t xml:space="preserve">وشرحه: تشنيف المسامع، 1/280؛ المسوّدة، ص79؛ التحرير وتيسيره، 2/137؛ شرح الكوكب </w:t>
      </w:r>
      <w:r>
        <w:rPr>
          <w:rFonts w:hint="cs"/>
          <w:rtl/>
        </w:rPr>
        <w:t>المنير، 1/485؛ مسلم الثبوت وشرحه: فواتح الرحموت، 1/123؛ القواعد الأصولية المتعلقة بالأدلة للدكتور البصيلي، ص1969.</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شرح السير، 1/189، فقرة 211، وص242، فقرة 317؛ المبسوط، 2/181، 3/13، 4/70، 11/221، 223، 238، 16/112، 25/27؛ بدائع الصنـائـع، 1/118؛ الـمصفى للنـسفي، ل12/ب؛ مـجموع فـتاوى شيخ الإسلام ابن تيمية، 21/634، 24/185؛ الـدّرر شـرح الغرر، 1/59، 60، 61؛ تكملة البحر الرائق، 8/191.</w:t>
      </w:r>
    </w:p>
    <w:p w:rsidR="00035BE3" w:rsidRDefault="00035BE3" w:rsidP="00C10469">
      <w:pPr>
        <w:pStyle w:val="a6"/>
        <w:ind w:left="422" w:firstLine="0"/>
        <w:rPr>
          <w:b/>
          <w:bCs/>
          <w:rtl/>
        </w:rPr>
      </w:pPr>
      <w:r>
        <w:rPr>
          <w:rFonts w:hint="cs"/>
          <w:b/>
          <w:bCs/>
          <w:rtl/>
        </w:rPr>
        <w:t>ومن كتب القواعد :</w:t>
      </w:r>
    </w:p>
    <w:p w:rsidR="00035BE3" w:rsidRDefault="00035BE3" w:rsidP="00C10469">
      <w:pPr>
        <w:pStyle w:val="a6"/>
        <w:ind w:left="422" w:firstLine="0"/>
        <w:rPr>
          <w:rtl/>
        </w:rPr>
      </w:pPr>
      <w:r>
        <w:rPr>
          <w:rFonts w:hint="cs"/>
          <w:rtl/>
        </w:rPr>
        <w:t>القواعد والضوابط الفقهية عند ابن تيمية، ص254؛ موسوعة القواعد الفقهية، 4/459.</w:t>
      </w:r>
    </w:p>
  </w:footnote>
  <w:footnote w:id="2086">
    <w:p w:rsidR="00035BE3" w:rsidRDefault="00035BE3" w:rsidP="00C10469">
      <w:pPr>
        <w:pStyle w:val="a8"/>
        <w:bidi/>
        <w:ind w:left="422" w:right="0"/>
        <w:rPr>
          <w:spacing w:val="12"/>
          <w:rtl/>
        </w:rPr>
      </w:pPr>
      <w:r>
        <w:rPr>
          <w:rFonts w:hint="cs"/>
          <w:spacing w:val="12"/>
          <w:vertAlign w:val="superscript"/>
          <w:rtl/>
        </w:rPr>
        <w:t>(</w:t>
      </w:r>
      <w:r>
        <w:rPr>
          <w:rStyle w:val="a7"/>
          <w:spacing w:val="12"/>
        </w:rPr>
        <w:footnoteRef/>
      </w:r>
      <w:r>
        <w:rPr>
          <w:rFonts w:hint="cs"/>
          <w:spacing w:val="12"/>
          <w:vertAlign w:val="superscript"/>
          <w:rtl/>
        </w:rPr>
        <w:t>)</w:t>
      </w:r>
      <w:r>
        <w:rPr>
          <w:rFonts w:hint="cs"/>
          <w:spacing w:val="12"/>
          <w:rtl/>
        </w:rPr>
        <w:t xml:space="preserve">  في (أ): </w:t>
      </w:r>
      <w:r>
        <w:rPr>
          <w:rFonts w:hint="eastAsia"/>
          <w:spacing w:val="12"/>
          <w:rtl/>
        </w:rPr>
        <w:t>«</w:t>
      </w:r>
      <w:r>
        <w:rPr>
          <w:rFonts w:hint="cs"/>
          <w:spacing w:val="12"/>
          <w:rtl/>
        </w:rPr>
        <w:t>المكة لمكي</w:t>
      </w:r>
      <w:r>
        <w:rPr>
          <w:rFonts w:hint="eastAsia"/>
          <w:spacing w:val="12"/>
          <w:rtl/>
        </w:rPr>
        <w:t>»</w:t>
      </w:r>
      <w:r>
        <w:rPr>
          <w:rFonts w:hint="cs"/>
          <w:spacing w:val="12"/>
          <w:rtl/>
        </w:rPr>
        <w:t xml:space="preserve">، وفي (جـ): </w:t>
      </w:r>
      <w:r>
        <w:rPr>
          <w:rFonts w:hint="eastAsia"/>
          <w:spacing w:val="12"/>
          <w:rtl/>
        </w:rPr>
        <w:t>«</w:t>
      </w:r>
      <w:r>
        <w:rPr>
          <w:rFonts w:hint="cs"/>
          <w:spacing w:val="12"/>
          <w:rtl/>
        </w:rPr>
        <w:t>المكة للمكي</w:t>
      </w:r>
      <w:r>
        <w:rPr>
          <w:rFonts w:hint="eastAsia"/>
          <w:spacing w:val="12"/>
          <w:rtl/>
        </w:rPr>
        <w:t>»</w:t>
      </w:r>
      <w:r>
        <w:rPr>
          <w:rFonts w:hint="cs"/>
          <w:spacing w:val="12"/>
          <w:rtl/>
        </w:rPr>
        <w:t xml:space="preserve">، وفي (د): </w:t>
      </w:r>
      <w:r>
        <w:rPr>
          <w:rFonts w:hint="eastAsia"/>
          <w:spacing w:val="12"/>
          <w:rtl/>
        </w:rPr>
        <w:t>«</w:t>
      </w:r>
      <w:r>
        <w:rPr>
          <w:rFonts w:hint="cs"/>
          <w:spacing w:val="12"/>
          <w:rtl/>
        </w:rPr>
        <w:t>مكة لمكي</w:t>
      </w:r>
      <w:r>
        <w:rPr>
          <w:rFonts w:hint="eastAsia"/>
          <w:spacing w:val="12"/>
          <w:rtl/>
        </w:rPr>
        <w:t>»</w:t>
      </w:r>
      <w:r>
        <w:rPr>
          <w:rFonts w:hint="cs"/>
          <w:spacing w:val="12"/>
          <w:rtl/>
        </w:rPr>
        <w:t>. والصحيح ما تمَّ إثباته من (ب).</w:t>
      </w:r>
    </w:p>
    <w:p w:rsidR="00035BE3" w:rsidRDefault="00035BE3" w:rsidP="00C10469">
      <w:pPr>
        <w:pStyle w:val="a6"/>
        <w:ind w:left="422" w:firstLine="0"/>
        <w:rPr>
          <w:rtl/>
        </w:rPr>
      </w:pPr>
      <w:r>
        <w:rPr>
          <w:rFonts w:hint="cs"/>
          <w:rtl/>
        </w:rPr>
        <w:t>ولو قال : (عين الكعبة) لكان أولى؛ وفاقًا للدّرر، 1/60، إلا إذا كان المراد بالبيت : الكعبة، من باب إطلاق الكل وإرادة الجزء.</w:t>
      </w:r>
    </w:p>
  </w:footnote>
  <w:footnote w:id="20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الآفاقي</w:t>
      </w:r>
      <w:r>
        <w:rPr>
          <w:rFonts w:hint="cs"/>
          <w:rtl/>
        </w:rPr>
        <w:t xml:space="preserve"> : هو غير المكي.</w:t>
      </w:r>
    </w:p>
    <w:p w:rsidR="00035BE3" w:rsidRDefault="00035BE3" w:rsidP="00C10469">
      <w:pPr>
        <w:pStyle w:val="a6"/>
        <w:ind w:left="422" w:firstLine="0"/>
        <w:rPr>
          <w:rtl/>
        </w:rPr>
      </w:pPr>
      <w:r>
        <w:rPr>
          <w:rFonts w:hint="cs"/>
          <w:rtl/>
        </w:rPr>
        <w:t>انظر: الدّرر شرح الغرر، 1/60.</w:t>
      </w:r>
    </w:p>
  </w:footnote>
  <w:footnote w:id="20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بيّن</w:t>
      </w:r>
      <w:r>
        <w:rPr>
          <w:rFonts w:hint="eastAsia"/>
          <w:rtl/>
        </w:rPr>
        <w:t>»</w:t>
      </w:r>
      <w:r>
        <w:rPr>
          <w:rFonts w:hint="cs"/>
          <w:rtl/>
        </w:rPr>
        <w:t>. والصحيح ما تمَّ إثباته من (ب) و(د).</w:t>
      </w:r>
    </w:p>
  </w:footnote>
  <w:footnote w:id="20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المبسوط، 3/13؛ الدّرر شرح الغرر، 1/61.</w:t>
      </w:r>
    </w:p>
  </w:footnote>
  <w:footnote w:id="20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23/ب من (د).</w:t>
      </w:r>
    </w:p>
  </w:footnote>
  <w:footnote w:id="20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1/59.</w:t>
      </w:r>
    </w:p>
  </w:footnote>
  <w:footnote w:id="20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1/29.</w:t>
      </w:r>
    </w:p>
  </w:footnote>
  <w:footnote w:id="20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زيادة : </w:t>
      </w:r>
      <w:r>
        <w:rPr>
          <w:rFonts w:hint="eastAsia"/>
          <w:rtl/>
        </w:rPr>
        <w:t>«</w:t>
      </w:r>
      <w:r>
        <w:rPr>
          <w:rFonts w:hint="cs"/>
          <w:rtl/>
        </w:rPr>
        <w:t>مقتضى</w:t>
      </w:r>
      <w:r>
        <w:rPr>
          <w:rFonts w:hint="eastAsia"/>
          <w:rtl/>
        </w:rPr>
        <w:t>»</w:t>
      </w:r>
      <w:r>
        <w:rPr>
          <w:rFonts w:hint="cs"/>
          <w:rtl/>
        </w:rPr>
        <w:t>.</w:t>
      </w:r>
    </w:p>
  </w:footnote>
  <w:footnote w:id="20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يحصى</w:t>
      </w:r>
      <w:r>
        <w:rPr>
          <w:rFonts w:hint="eastAsia"/>
          <w:rtl/>
        </w:rPr>
        <w:t>»</w:t>
      </w:r>
      <w:r>
        <w:rPr>
          <w:rFonts w:hint="cs"/>
          <w:rtl/>
        </w:rPr>
        <w:t>. والصحيح ما تمَّ إثباته من (ب) و(د).</w:t>
      </w:r>
    </w:p>
  </w:footnote>
  <w:footnote w:id="20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37/أ من (أ).</w:t>
      </w:r>
    </w:p>
  </w:footnote>
  <w:footnote w:id="20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27/ب من (جـ).</w:t>
      </w:r>
    </w:p>
  </w:footnote>
  <w:footnote w:id="20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هذه القاعدة</w:t>
      </w:r>
      <w:r>
        <w:rPr>
          <w:rFonts w:hint="cs"/>
          <w:rtl/>
        </w:rPr>
        <w:t xml:space="preserve"> : </w:t>
      </w:r>
    </w:p>
    <w:p w:rsidR="00035BE3" w:rsidRDefault="00035BE3" w:rsidP="00C10469">
      <w:pPr>
        <w:pStyle w:val="a6"/>
        <w:spacing w:line="228" w:lineRule="auto"/>
        <w:ind w:left="420" w:firstLine="0"/>
        <w:rPr>
          <w:rtl/>
        </w:rPr>
      </w:pPr>
      <w:r>
        <w:rPr>
          <w:rFonts w:hint="cs"/>
          <w:rtl/>
        </w:rPr>
        <w:t>أنه إذا كان للإنسان دين على آخر: فإنه لا يجوز له أن يهب هذا الدين لثالث؛ لأنه لا يقدر على تسليم الدين للثالث.</w:t>
      </w:r>
    </w:p>
    <w:p w:rsidR="00035BE3" w:rsidRDefault="00035BE3" w:rsidP="00C10469">
      <w:pPr>
        <w:pStyle w:val="a6"/>
        <w:spacing w:line="228" w:lineRule="auto"/>
        <w:ind w:left="420" w:firstLine="0"/>
        <w:rPr>
          <w:spacing w:val="-4"/>
          <w:rtl/>
        </w:rPr>
      </w:pPr>
      <w:r>
        <w:rPr>
          <w:rFonts w:hint="cs"/>
          <w:spacing w:val="-4"/>
          <w:rtl/>
        </w:rPr>
        <w:t>بخلاف ما لو وهبه لمن عليه الدين وهو الآخر (المديون) فإن ذلك جائز؛ لأنه في الحقيقة إسقاط للدين.</w:t>
      </w:r>
    </w:p>
    <w:p w:rsidR="00035BE3" w:rsidRDefault="00035BE3" w:rsidP="00C10469">
      <w:pPr>
        <w:pStyle w:val="a6"/>
        <w:spacing w:line="228" w:lineRule="auto"/>
        <w:ind w:left="420" w:firstLine="0"/>
        <w:rPr>
          <w:rtl/>
        </w:rPr>
      </w:pPr>
      <w:r>
        <w:rPr>
          <w:rFonts w:hint="cs"/>
          <w:rtl/>
        </w:rPr>
        <w:t xml:space="preserve">هذا ما يتعلق بمعناها. </w:t>
      </w:r>
    </w:p>
    <w:p w:rsidR="00035BE3" w:rsidRDefault="00035BE3" w:rsidP="00C10469">
      <w:pPr>
        <w:pStyle w:val="a6"/>
        <w:spacing w:line="228" w:lineRule="auto"/>
        <w:ind w:left="420" w:firstLine="0"/>
        <w:rPr>
          <w:rtl/>
        </w:rPr>
      </w:pPr>
      <w:r>
        <w:rPr>
          <w:rFonts w:hint="cs"/>
          <w:b/>
          <w:bCs/>
          <w:rtl/>
        </w:rPr>
        <w:t>أما توثيقها</w:t>
      </w:r>
      <w:r>
        <w:rPr>
          <w:rFonts w:hint="cs"/>
          <w:rtl/>
        </w:rPr>
        <w:t xml:space="preserve">: </w:t>
      </w:r>
    </w:p>
    <w:p w:rsidR="00035BE3" w:rsidRDefault="00035BE3" w:rsidP="00C10469">
      <w:pPr>
        <w:pStyle w:val="a6"/>
        <w:spacing w:line="228" w:lineRule="auto"/>
        <w:ind w:left="420" w:firstLine="0"/>
        <w:rPr>
          <w:rtl/>
        </w:rPr>
      </w:pPr>
      <w:r>
        <w:rPr>
          <w:rFonts w:hint="cs"/>
          <w:rtl/>
        </w:rPr>
        <w:t>فقد وردت بلفظها أو نحوه أو معناه في كثير من كتب الفقه وقواعده:</w:t>
      </w:r>
    </w:p>
    <w:p w:rsidR="00035BE3" w:rsidRDefault="00035BE3" w:rsidP="00C10469">
      <w:pPr>
        <w:pStyle w:val="a6"/>
        <w:spacing w:line="228" w:lineRule="auto"/>
        <w:ind w:left="420" w:firstLine="0"/>
        <w:rPr>
          <w:rtl/>
        </w:rPr>
      </w:pPr>
      <w:r>
        <w:rPr>
          <w:rFonts w:hint="cs"/>
          <w:b/>
          <w:bCs/>
          <w:rtl/>
        </w:rPr>
        <w:t>فمن كتب القواعد</w:t>
      </w:r>
      <w:r>
        <w:rPr>
          <w:rFonts w:hint="cs"/>
          <w:rtl/>
        </w:rPr>
        <w:t xml:space="preserve"> :</w:t>
      </w:r>
    </w:p>
    <w:p w:rsidR="00035BE3" w:rsidRPr="00D0028D" w:rsidRDefault="00035BE3" w:rsidP="00C10469">
      <w:pPr>
        <w:pStyle w:val="a6"/>
        <w:spacing w:line="228" w:lineRule="auto"/>
        <w:ind w:left="420" w:firstLine="0"/>
        <w:rPr>
          <w:rtl/>
        </w:rPr>
      </w:pPr>
      <w:r w:rsidRPr="00D0028D">
        <w:rPr>
          <w:rFonts w:hint="cs"/>
          <w:rtl/>
        </w:rPr>
        <w:t xml:space="preserve">المنثور، 2/161 </w:t>
      </w:r>
      <w:r w:rsidRPr="00D0028D">
        <w:rPr>
          <w:rtl/>
        </w:rPr>
        <w:t>–</w:t>
      </w:r>
      <w:r w:rsidRPr="00D0028D">
        <w:rPr>
          <w:rFonts w:hint="cs"/>
          <w:rtl/>
        </w:rPr>
        <w:t xml:space="preserve">حيث ذكرها عرضًا بلفظ: </w:t>
      </w:r>
      <w:r w:rsidRPr="00D0028D">
        <w:rPr>
          <w:rFonts w:hint="eastAsia"/>
          <w:rtl/>
        </w:rPr>
        <w:t>«</w:t>
      </w:r>
      <w:r w:rsidRPr="00D0028D">
        <w:rPr>
          <w:rFonts w:hint="cs"/>
          <w:rtl/>
        </w:rPr>
        <w:t>هل يجوز بيع الدين من غير من عليه الدين</w:t>
      </w:r>
      <w:r w:rsidRPr="00D0028D">
        <w:rPr>
          <w:rFonts w:hint="eastAsia"/>
          <w:rtl/>
        </w:rPr>
        <w:t>»</w:t>
      </w:r>
      <w:r w:rsidRPr="00D0028D">
        <w:rPr>
          <w:rFonts w:hint="cs"/>
          <w:rtl/>
        </w:rPr>
        <w:t xml:space="preserve">-؛ الأشباه والنظائر للسيوطي، 2/612 - فقد أشار إليها في معرض حديثه عن بيع الدين بالدين فقال: </w:t>
      </w:r>
      <w:r w:rsidRPr="00D0028D">
        <w:rPr>
          <w:rFonts w:hint="eastAsia"/>
          <w:rtl/>
        </w:rPr>
        <w:t>«</w:t>
      </w:r>
      <w:r w:rsidRPr="00D0028D">
        <w:rPr>
          <w:rFonts w:hint="cs"/>
          <w:rtl/>
        </w:rPr>
        <w:t>... وأما بيعه لمن هو عليه فهو الاستبدال -وسيأتي-، وأما لغير من هو عليه بالعين ... ففيه قولان، أظهرهما ... البطلان</w:t>
      </w:r>
      <w:r w:rsidRPr="00D0028D">
        <w:rPr>
          <w:rFonts w:hint="eastAsia"/>
          <w:rtl/>
        </w:rPr>
        <w:t>»</w:t>
      </w:r>
      <w:r w:rsidRPr="00D0028D">
        <w:rPr>
          <w:rFonts w:hint="cs"/>
          <w:rtl/>
        </w:rPr>
        <w:t xml:space="preserve">، ثم تكلّم عمّا يجوز فيه الاستبـدال وما لا يـجوز-؛ الأشباه والنظائر لابن نجيم، ص293، 393؛ قواعد الفقه لابن نجيم أيضًا، ص128، قاعدة 116، وص281، قاعدة 375،- ولفظه الأول في الأشباه والثاني في القواعد: </w:t>
      </w:r>
      <w:r w:rsidRPr="00D0028D">
        <w:rPr>
          <w:rFonts w:hint="eastAsia"/>
          <w:rtl/>
        </w:rPr>
        <w:t>«</w:t>
      </w:r>
      <w:r w:rsidRPr="00D0028D">
        <w:rPr>
          <w:rFonts w:hint="cs"/>
          <w:rtl/>
        </w:rPr>
        <w:t>تمليك الدين من غير من عليه الدين باطل</w:t>
      </w:r>
      <w:r w:rsidRPr="00D0028D">
        <w:rPr>
          <w:rFonts w:hint="eastAsia"/>
          <w:rtl/>
        </w:rPr>
        <w:t>»</w:t>
      </w:r>
      <w:r w:rsidRPr="00D0028D">
        <w:rPr>
          <w:rFonts w:hint="cs"/>
          <w:rtl/>
        </w:rPr>
        <w:t xml:space="preserve">-؛ مجامع الحقائق (الخاتمة)، ص45؛ شرح العلائي لقواعد الخادمي، ل17/أ؛ منافع الدقائق، ص316؛ مجلة الأحكام الشرعية، ص498، مادة 1633 </w:t>
      </w:r>
      <w:r w:rsidRPr="00D0028D">
        <w:rPr>
          <w:rtl/>
        </w:rPr>
        <w:t>–</w:t>
      </w:r>
      <w:r w:rsidRPr="00D0028D">
        <w:rPr>
          <w:rFonts w:hint="cs"/>
          <w:rtl/>
        </w:rPr>
        <w:t xml:space="preserve">ولفظها: </w:t>
      </w:r>
      <w:r w:rsidRPr="00D0028D">
        <w:rPr>
          <w:rFonts w:hint="eastAsia"/>
          <w:rtl/>
        </w:rPr>
        <w:t>«</w:t>
      </w:r>
      <w:r w:rsidRPr="00D0028D">
        <w:rPr>
          <w:rFonts w:hint="cs"/>
          <w:rtl/>
        </w:rPr>
        <w:t>بيع الدين لغير من هو عليه لا يصح</w:t>
      </w:r>
      <w:r w:rsidRPr="00D0028D">
        <w:rPr>
          <w:rFonts w:hint="eastAsia"/>
          <w:rtl/>
        </w:rPr>
        <w:t>»</w:t>
      </w:r>
      <w:r w:rsidRPr="00D0028D">
        <w:rPr>
          <w:rFonts w:hint="cs"/>
          <w:rtl/>
        </w:rPr>
        <w:t xml:space="preserve">-؛ موسوعة الـقواعد الفقهية، 4/480 - وقد ذكر لفظ المؤلف ولفظًا آخر للمبسوط، وهو: </w:t>
      </w:r>
      <w:r w:rsidRPr="00D0028D">
        <w:rPr>
          <w:rFonts w:hint="eastAsia"/>
          <w:rtl/>
        </w:rPr>
        <w:t>«</w:t>
      </w:r>
      <w:r w:rsidRPr="00D0028D">
        <w:rPr>
          <w:rFonts w:hint="cs"/>
          <w:rtl/>
        </w:rPr>
        <w:t>تمليك الدين من غير من عليه الدين بعوض لا يجوز</w:t>
      </w:r>
      <w:r w:rsidRPr="00D0028D">
        <w:rPr>
          <w:rFonts w:hint="eastAsia"/>
          <w:rtl/>
        </w:rPr>
        <w:t>»</w:t>
      </w:r>
      <w:r w:rsidRPr="00D0028D">
        <w:rPr>
          <w:rFonts w:hint="cs"/>
          <w:rtl/>
        </w:rPr>
        <w:t>-.</w:t>
      </w:r>
    </w:p>
    <w:p w:rsidR="00035BE3" w:rsidRDefault="00035BE3" w:rsidP="00C10469">
      <w:pPr>
        <w:pStyle w:val="a6"/>
        <w:spacing w:line="228" w:lineRule="auto"/>
        <w:ind w:left="420" w:firstLine="0"/>
        <w:rPr>
          <w:rtl/>
        </w:rPr>
      </w:pPr>
      <w:r>
        <w:rPr>
          <w:rFonts w:hint="cs"/>
          <w:b/>
          <w:bCs/>
          <w:rtl/>
        </w:rPr>
        <w:t>ومن كتب الفقه</w:t>
      </w:r>
      <w:r>
        <w:rPr>
          <w:rFonts w:hint="cs"/>
          <w:rtl/>
        </w:rPr>
        <w:t xml:space="preserve"> :</w:t>
      </w:r>
    </w:p>
    <w:p w:rsidR="00035BE3" w:rsidRPr="00CE4CA2" w:rsidRDefault="00035BE3" w:rsidP="00C10469">
      <w:pPr>
        <w:pStyle w:val="a6"/>
        <w:spacing w:line="228" w:lineRule="auto"/>
        <w:ind w:left="420" w:firstLine="0"/>
        <w:rPr>
          <w:rtl/>
        </w:rPr>
      </w:pPr>
      <w:r w:rsidRPr="00CE4CA2">
        <w:rPr>
          <w:rFonts w:hint="cs"/>
          <w:rtl/>
        </w:rPr>
        <w:t>المبسوط، 12/146، 15/69، 19/178، 20/5؛ بدائع الصنائع، 6/65 ؛ الهداية، 8/61، 441؛ العناية، 7/163، 189، 190، 8/61، 441؛ فتح القدير، 7/163، 189، 190؛ نتائج الأفكار، 8/61؛ المصفى للنسفي، ل55/أ؛ تبيين الحقائق، 4/146، 5/51؛ الدّرر شرح الغرر، 2/286، 2/403؛ البحر الرائق، 3/153، 6/243، 267، 274، 7/163؛ تنوير الأبصار وشرحه: الدر المختار وحاشية الشرح: رد المحتار، 8/518؛ النافع الكبير، ص410؛ كشف الحقائق، 2/133.</w:t>
      </w:r>
    </w:p>
    <w:p w:rsidR="00035BE3" w:rsidRDefault="00035BE3" w:rsidP="00C10469">
      <w:pPr>
        <w:pStyle w:val="a6"/>
        <w:ind w:left="422" w:firstLine="0"/>
        <w:rPr>
          <w:rtl/>
        </w:rPr>
      </w:pPr>
      <w:r>
        <w:rPr>
          <w:rFonts w:hint="cs"/>
          <w:rtl/>
        </w:rPr>
        <w:t xml:space="preserve">وهذه القاعدة ذكرها المؤلف بلفظ آخر وهو: </w:t>
      </w:r>
      <w:r>
        <w:rPr>
          <w:rFonts w:hint="eastAsia"/>
          <w:rtl/>
        </w:rPr>
        <w:t>«</w:t>
      </w:r>
      <w:r>
        <w:rPr>
          <w:rFonts w:hint="cs"/>
          <w:rtl/>
        </w:rPr>
        <w:t>لا يصح تمليك الدين من غير من عليه الدين</w:t>
      </w:r>
      <w:r>
        <w:rPr>
          <w:rFonts w:hint="eastAsia"/>
          <w:rtl/>
        </w:rPr>
        <w:t>»</w:t>
      </w:r>
      <w:r>
        <w:rPr>
          <w:rFonts w:hint="cs"/>
          <w:rtl/>
        </w:rPr>
        <w:t>، وذلك ص958، (ل83/ب)، قاعدة 199.</w:t>
      </w:r>
    </w:p>
  </w:footnote>
  <w:footnote w:id="20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مهلكا</w:t>
      </w:r>
      <w:r>
        <w:rPr>
          <w:rFonts w:hint="eastAsia"/>
          <w:rtl/>
        </w:rPr>
        <w:t>»</w:t>
      </w:r>
      <w:r>
        <w:rPr>
          <w:rFonts w:hint="cs"/>
          <w:rtl/>
        </w:rPr>
        <w:t>.</w:t>
      </w:r>
    </w:p>
  </w:footnote>
  <w:footnote w:id="20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حصة</w:t>
      </w:r>
      <w:r>
        <w:rPr>
          <w:rFonts w:hint="eastAsia"/>
          <w:rtl/>
        </w:rPr>
        <w:t>»</w:t>
      </w:r>
      <w:r>
        <w:rPr>
          <w:rFonts w:hint="cs"/>
          <w:rtl/>
        </w:rPr>
        <w:t>. والصحيح ما تمَّ إثباته من باقي النسخ.</w:t>
      </w:r>
    </w:p>
  </w:footnote>
  <w:footnote w:id="21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المبسوط، 15/69؛ الهداية والعناية، 8/441؛ كنـز الدقائق وشرحيه: تبيين الحقائق، 5/51؛ وكشف الحقائق، 2/133.</w:t>
      </w:r>
    </w:p>
  </w:footnote>
  <w:footnote w:id="21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ولو قضى</w:t>
      </w:r>
      <w:r>
        <w:rPr>
          <w:rFonts w:hint="eastAsia"/>
          <w:rtl/>
        </w:rPr>
        <w:t>»</w:t>
      </w:r>
      <w:r>
        <w:rPr>
          <w:rFonts w:hint="cs"/>
          <w:rtl/>
        </w:rPr>
        <w:t>.</w:t>
      </w:r>
    </w:p>
  </w:footnote>
  <w:footnote w:id="21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7/163؛ وانظر : تبيين الحقائق، 4/146.</w:t>
      </w:r>
    </w:p>
    <w:p w:rsidR="00035BE3" w:rsidRDefault="00035BE3" w:rsidP="00C10469">
      <w:pPr>
        <w:pStyle w:val="a6"/>
        <w:ind w:left="422" w:firstLine="0"/>
        <w:rPr>
          <w:spacing w:val="6"/>
          <w:rtl/>
        </w:rPr>
      </w:pPr>
      <w:r>
        <w:rPr>
          <w:rFonts w:hint="cs"/>
          <w:b/>
          <w:bCs/>
          <w:spacing w:val="6"/>
          <w:rtl/>
        </w:rPr>
        <w:t>وصورة المسألة</w:t>
      </w:r>
      <w:r>
        <w:rPr>
          <w:rFonts w:hint="cs"/>
          <w:spacing w:val="6"/>
          <w:rtl/>
        </w:rPr>
        <w:t xml:space="preserve"> : ما لو أقرض محمدٌ سعيدًا مالاً وطلب كفيلاً، فكفله حامد، ثم وهب محمدٌ الدينَ لحامد: صحّ ذلك، وبقي الدين في ذمة سعيد، على أن يقضيه لحامد وليس لمحمد. وفي هذا تمليك الدين من صاحب المال (وهو محمد) لشخص أخر غير المديون (وهذا الشخص هو حامد)؛ فهذا تمليك للدين لغير من عليه الدين!.</w:t>
      </w:r>
    </w:p>
  </w:footnote>
  <w:footnote w:id="21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24/ب من (ب).</w:t>
      </w:r>
    </w:p>
  </w:footnote>
  <w:footnote w:id="21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7/163-164- مع اختلاف يسير-.</w:t>
      </w:r>
    </w:p>
  </w:footnote>
  <w:footnote w:id="21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هذه القاعدة وجل ما جاء فيها مستفاد من ( العناية).</w:t>
      </w:r>
    </w:p>
  </w:footnote>
  <w:footnote w:id="2106">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 «تفيد»، وفي (جـ) : «تفسد». والصحيح ما تمَّ إثباته من (ب) و(د).</w:t>
      </w:r>
    </w:p>
  </w:footnote>
  <w:footnote w:id="2107">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معناه في كثير من كتب الفقه وقواعده:</w:t>
      </w:r>
    </w:p>
    <w:p w:rsidR="00035BE3" w:rsidRDefault="00035BE3" w:rsidP="00C10469">
      <w:pPr>
        <w:pStyle w:val="a6"/>
        <w:ind w:left="423" w:firstLine="0"/>
        <w:rPr>
          <w:b/>
          <w:bCs/>
          <w:rtl/>
        </w:rPr>
      </w:pPr>
      <w:r>
        <w:rPr>
          <w:rFonts w:hint="cs"/>
          <w:b/>
          <w:bCs/>
          <w:rtl/>
        </w:rPr>
        <w:t>فمن كتب القواعد :</w:t>
      </w:r>
    </w:p>
    <w:p w:rsidR="00035BE3" w:rsidRDefault="00035BE3" w:rsidP="00C10469">
      <w:pPr>
        <w:pStyle w:val="a6"/>
        <w:ind w:left="423" w:firstLine="0"/>
        <w:rPr>
          <w:spacing w:val="-6"/>
          <w:rtl/>
        </w:rPr>
      </w:pPr>
      <w:r>
        <w:rPr>
          <w:rFonts w:hint="cs"/>
          <w:spacing w:val="-6"/>
          <w:rtl/>
        </w:rPr>
        <w:t xml:space="preserve">الأشباه والنظائر لابن نجيم، ص250 - ولفظه : </w:t>
      </w:r>
      <w:r>
        <w:rPr>
          <w:rFonts w:hint="eastAsia"/>
          <w:spacing w:val="-6"/>
          <w:rtl/>
        </w:rPr>
        <w:t>«</w:t>
      </w:r>
      <w:r>
        <w:rPr>
          <w:rFonts w:hint="cs"/>
          <w:spacing w:val="-6"/>
          <w:rtl/>
        </w:rPr>
        <w:t>التناقض غير مقبول إلا فيما كان محلّ الخفاء</w:t>
      </w:r>
      <w:r>
        <w:rPr>
          <w:rFonts w:hint="eastAsia"/>
          <w:spacing w:val="-6"/>
          <w:rtl/>
        </w:rPr>
        <w:t>»</w:t>
      </w:r>
      <w:r>
        <w:rPr>
          <w:rFonts w:hint="cs"/>
          <w:spacing w:val="-6"/>
          <w:rtl/>
        </w:rPr>
        <w:t xml:space="preserve">-؛ قواعد الفقه له أيضًا، ص153، قاعدة 175 - ولفظه : </w:t>
      </w:r>
      <w:r>
        <w:rPr>
          <w:rFonts w:hint="eastAsia"/>
          <w:spacing w:val="-6"/>
          <w:rtl/>
        </w:rPr>
        <w:t>«</w:t>
      </w:r>
      <w:r>
        <w:rPr>
          <w:rFonts w:hint="cs"/>
          <w:spacing w:val="-6"/>
          <w:rtl/>
        </w:rPr>
        <w:t>التناقض غير مقبول</w:t>
      </w:r>
      <w:r>
        <w:rPr>
          <w:rFonts w:hint="eastAsia"/>
          <w:spacing w:val="-6"/>
          <w:rtl/>
        </w:rPr>
        <w:t>»</w:t>
      </w:r>
      <w:r>
        <w:rPr>
          <w:rFonts w:hint="cs"/>
          <w:spacing w:val="-6"/>
          <w:rtl/>
        </w:rPr>
        <w:t xml:space="preserve">-؛ الفوائد الزينية له كذلك، ص177، فائدة 220 - ولفظه : </w:t>
      </w:r>
      <w:r>
        <w:rPr>
          <w:rFonts w:hint="eastAsia"/>
          <w:spacing w:val="-6"/>
          <w:rtl/>
        </w:rPr>
        <w:t>«</w:t>
      </w:r>
      <w:r>
        <w:rPr>
          <w:rFonts w:hint="cs"/>
          <w:spacing w:val="-6"/>
          <w:rtl/>
        </w:rPr>
        <w:t>إذا أقرّ بالدين بعد الدعوى به عند القاضي، ثمَّ ادعى إيفاءه لا يقبل؛ للتناقض...</w:t>
      </w:r>
      <w:r>
        <w:rPr>
          <w:rFonts w:hint="eastAsia"/>
          <w:spacing w:val="-6"/>
          <w:rtl/>
        </w:rPr>
        <w:t>»</w:t>
      </w:r>
      <w:r>
        <w:rPr>
          <w:rFonts w:hint="cs"/>
          <w:spacing w:val="-6"/>
          <w:rtl/>
        </w:rPr>
        <w:t xml:space="preserve">-؛ مجلة الأحكام العدلية، مادة 80- ولفظها : </w:t>
      </w:r>
      <w:r>
        <w:rPr>
          <w:rFonts w:hint="eastAsia"/>
          <w:spacing w:val="-6"/>
          <w:rtl/>
        </w:rPr>
        <w:t>«</w:t>
      </w:r>
      <w:r>
        <w:rPr>
          <w:rFonts w:hint="cs"/>
          <w:spacing w:val="-6"/>
          <w:rtl/>
        </w:rPr>
        <w:t>لا حجّة مع التناقض، لكن لا يختل معه حكم الحاكم</w:t>
      </w:r>
      <w:r>
        <w:rPr>
          <w:rFonts w:hint="eastAsia"/>
          <w:spacing w:val="-6"/>
          <w:rtl/>
        </w:rPr>
        <w:t>»</w:t>
      </w:r>
      <w:r>
        <w:rPr>
          <w:rFonts w:hint="cs"/>
          <w:spacing w:val="-6"/>
          <w:rtl/>
        </w:rPr>
        <w:t>-؛ وشرحها لسليم رستم، 1/53؛ ولعلي حيدر، 1/70؛ وللأتاسي، 1/228؛ الفرائد البهية للحمزاوي، ص93، قاعدة 136 - ولفظه :</w:t>
      </w:r>
      <w:r>
        <w:rPr>
          <w:rFonts w:hint="eastAsia"/>
          <w:spacing w:val="-6"/>
          <w:rtl/>
        </w:rPr>
        <w:t xml:space="preserve"> «</w:t>
      </w:r>
      <w:r>
        <w:rPr>
          <w:rFonts w:hint="cs"/>
          <w:spacing w:val="-6"/>
          <w:rtl/>
        </w:rPr>
        <w:t xml:space="preserve"> التناقض يمنع صحة الشهادة كما يمنع صحة الدعوى</w:t>
      </w:r>
      <w:r>
        <w:rPr>
          <w:rFonts w:hint="eastAsia"/>
          <w:spacing w:val="-6"/>
          <w:rtl/>
        </w:rPr>
        <w:t>»</w:t>
      </w:r>
      <w:r>
        <w:rPr>
          <w:rFonts w:hint="cs"/>
          <w:spacing w:val="-6"/>
          <w:rtl/>
        </w:rPr>
        <w:t xml:space="preserve">-؛ قواعد الفقه للمجدّدي، ص72، قاعدة 92، وص99، قاعدة 218 - ولفظه الأول كأشباه ابن نجيم، أما الثاني فهو: </w:t>
      </w:r>
      <w:r>
        <w:rPr>
          <w:rFonts w:hint="eastAsia"/>
          <w:spacing w:val="-6"/>
          <w:rtl/>
        </w:rPr>
        <w:t>«</w:t>
      </w:r>
      <w:r>
        <w:rPr>
          <w:rFonts w:hint="cs"/>
          <w:spacing w:val="-6"/>
          <w:rtl/>
        </w:rPr>
        <w:t>قول المناقض لا يعتبر</w:t>
      </w:r>
      <w:r>
        <w:rPr>
          <w:rFonts w:hint="eastAsia"/>
          <w:spacing w:val="-6"/>
          <w:rtl/>
        </w:rPr>
        <w:t>»</w:t>
      </w:r>
      <w:r>
        <w:rPr>
          <w:rFonts w:hint="cs"/>
          <w:spacing w:val="-6"/>
          <w:rtl/>
        </w:rPr>
        <w:t xml:space="preserve">-؛ القواعد والضوابط المستخلصة من التحرير، ص170، 484 - ولفظه الأول: </w:t>
      </w:r>
      <w:r>
        <w:rPr>
          <w:rFonts w:hint="eastAsia"/>
          <w:spacing w:val="-6"/>
          <w:rtl/>
        </w:rPr>
        <w:t>«</w:t>
      </w:r>
      <w:r>
        <w:rPr>
          <w:rFonts w:hint="cs"/>
          <w:spacing w:val="-6"/>
          <w:rtl/>
        </w:rPr>
        <w:t>إنّ دعوى المتناقض باطلة فيما يحتمل الانتقاض</w:t>
      </w:r>
      <w:r>
        <w:rPr>
          <w:rFonts w:hint="eastAsia"/>
          <w:spacing w:val="-6"/>
          <w:rtl/>
        </w:rPr>
        <w:t>»</w:t>
      </w:r>
      <w:r>
        <w:rPr>
          <w:rFonts w:hint="cs"/>
          <w:spacing w:val="-6"/>
          <w:rtl/>
        </w:rPr>
        <w:t xml:space="preserve">-؛ موسوعة القواعد الفقهية، 3/23، 4/493 - ولفظه الأول مستفاد من المبسوط، وهو: </w:t>
      </w:r>
      <w:r>
        <w:rPr>
          <w:rFonts w:hint="eastAsia"/>
          <w:spacing w:val="-6"/>
          <w:rtl/>
        </w:rPr>
        <w:t>«</w:t>
      </w:r>
      <w:r>
        <w:rPr>
          <w:rFonts w:hint="cs"/>
          <w:spacing w:val="-6"/>
          <w:rtl/>
        </w:rPr>
        <w:t>بالدعوى مع التناقض لا تستحق اليمين على الخصـم</w:t>
      </w:r>
      <w:r>
        <w:rPr>
          <w:rFonts w:hint="eastAsia"/>
          <w:spacing w:val="-6"/>
          <w:rtl/>
        </w:rPr>
        <w:t>»</w:t>
      </w:r>
      <w:r>
        <w:rPr>
          <w:rFonts w:hint="cs"/>
          <w:spacing w:val="-6"/>
          <w:rtl/>
        </w:rPr>
        <w:t>-.</w:t>
      </w:r>
    </w:p>
    <w:p w:rsidR="00035BE3" w:rsidRDefault="00035BE3" w:rsidP="00C10469">
      <w:pPr>
        <w:pStyle w:val="a6"/>
        <w:ind w:left="423" w:firstLine="0"/>
        <w:rPr>
          <w:b/>
          <w:bCs/>
          <w:rtl/>
        </w:rPr>
      </w:pPr>
      <w:r>
        <w:rPr>
          <w:rFonts w:hint="cs"/>
          <w:b/>
          <w:bCs/>
          <w:rtl/>
        </w:rPr>
        <w:t xml:space="preserve">ومن كتب الفقه : </w:t>
      </w:r>
    </w:p>
    <w:p w:rsidR="00035BE3" w:rsidRDefault="00035BE3" w:rsidP="00C10469">
      <w:pPr>
        <w:pStyle w:val="a6"/>
        <w:ind w:left="423" w:firstLine="0"/>
        <w:rPr>
          <w:rtl/>
        </w:rPr>
      </w:pPr>
      <w:r>
        <w:rPr>
          <w:rFonts w:hint="cs"/>
          <w:rtl/>
        </w:rPr>
        <w:t>المبسوط، 15/68؛ شرح الزيادات لقاضي خان؛ ص959، 987؛ الهداية وشرحاها : العناية وفتح القدير، 7/48، 64؛ والعناية فقط، 7/47؛ القـنية، ل181/أ؛ كنـز الدقائق وشرحه : البحر الرائق، 6/153؛ جـامع الفصولين، 1/91؛ الدّرر شرح الغرر، 2/191، 192، 194، 425.</w:t>
      </w:r>
    </w:p>
  </w:footnote>
  <w:footnote w:id="2108">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تغيره</w:t>
      </w:r>
      <w:r>
        <w:rPr>
          <w:rFonts w:hint="eastAsia"/>
          <w:rtl/>
        </w:rPr>
        <w:t>»</w:t>
      </w:r>
      <w:r>
        <w:rPr>
          <w:rFonts w:hint="cs"/>
          <w:rtl/>
        </w:rPr>
        <w:t>.</w:t>
      </w:r>
    </w:p>
  </w:footnote>
  <w:footnote w:id="2109">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بمنعها</w:t>
      </w:r>
      <w:r>
        <w:rPr>
          <w:rFonts w:hint="eastAsia"/>
          <w:rtl/>
        </w:rPr>
        <w:t>»</w:t>
      </w:r>
      <w:r>
        <w:rPr>
          <w:rFonts w:hint="cs"/>
          <w:rtl/>
        </w:rPr>
        <w:t xml:space="preserve"> (بالباء المعجمة).</w:t>
      </w:r>
    </w:p>
  </w:footnote>
  <w:footnote w:id="2110">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الغرر وشرحه : الدّرر، 2/355، حيث وردت المسألة في الغرر وعلَّل لها صاحب الدُّرر بقوله : </w:t>
      </w:r>
      <w:r>
        <w:rPr>
          <w:rFonts w:hint="eastAsia"/>
          <w:rtl/>
        </w:rPr>
        <w:t>«</w:t>
      </w:r>
      <w:r>
        <w:rPr>
          <w:rFonts w:hint="cs"/>
          <w:rtl/>
        </w:rPr>
        <w:t>لأن فيه تناقضًا</w:t>
      </w:r>
      <w:r>
        <w:rPr>
          <w:rFonts w:hint="eastAsia"/>
          <w:rtl/>
        </w:rPr>
        <w:t>»</w:t>
      </w:r>
      <w:r>
        <w:rPr>
          <w:rFonts w:hint="cs"/>
          <w:rtl/>
        </w:rPr>
        <w:t xml:space="preserve">، ثم بيّن وجه التناقض فقال : </w:t>
      </w:r>
      <w:r>
        <w:rPr>
          <w:rFonts w:hint="eastAsia"/>
          <w:rtl/>
        </w:rPr>
        <w:t>«</w:t>
      </w:r>
      <w:r>
        <w:rPr>
          <w:rFonts w:hint="cs"/>
          <w:rtl/>
        </w:rPr>
        <w:t>لأن المال الواحد لا يكون لشخصين في حالة واحدة</w:t>
      </w:r>
      <w:r>
        <w:rPr>
          <w:rFonts w:hint="eastAsia"/>
          <w:rtl/>
        </w:rPr>
        <w:t>»</w:t>
      </w:r>
      <w:r>
        <w:rPr>
          <w:rFonts w:hint="cs"/>
          <w:rtl/>
        </w:rPr>
        <w:t>.</w:t>
      </w:r>
    </w:p>
  </w:footnote>
  <w:footnote w:id="2111">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يتناقض</w:t>
      </w:r>
      <w:r>
        <w:rPr>
          <w:rFonts w:hint="eastAsia"/>
          <w:rtl/>
        </w:rPr>
        <w:t>»</w:t>
      </w:r>
      <w:r>
        <w:rPr>
          <w:rFonts w:hint="cs"/>
          <w:rtl/>
        </w:rPr>
        <w:t xml:space="preserve"> (بالياء المعجمة).</w:t>
      </w:r>
    </w:p>
  </w:footnote>
  <w:footnote w:id="2112">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وسنذكر</w:t>
      </w:r>
      <w:r>
        <w:rPr>
          <w:rFonts w:hint="eastAsia"/>
          <w:rtl/>
        </w:rPr>
        <w:t>»</w:t>
      </w:r>
      <w:r>
        <w:rPr>
          <w:rFonts w:hint="cs"/>
          <w:rtl/>
        </w:rPr>
        <w:t xml:space="preserve"> (بإسقاط الهاء).</w:t>
      </w:r>
    </w:p>
  </w:footnote>
  <w:footnote w:id="2113">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37/ب من (أ).</w:t>
      </w:r>
    </w:p>
  </w:footnote>
  <w:footnote w:id="2114">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ص554 (ل38/ب)، قاعدة 88.</w:t>
      </w:r>
    </w:p>
  </w:footnote>
  <w:footnote w:id="2115">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«يصح». والأفصح ما تمَّ إثباته من (د).</w:t>
      </w:r>
    </w:p>
  </w:footnote>
  <w:footnote w:id="2116">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spacing w:val="6"/>
          <w:rtl/>
        </w:rPr>
        <w:t>«</w:t>
      </w:r>
      <w:r>
        <w:rPr>
          <w:rFonts w:hint="cs"/>
          <w:spacing w:val="6"/>
          <w:rtl/>
        </w:rPr>
        <w:t>يكون</w:t>
      </w:r>
      <w:r>
        <w:rPr>
          <w:rFonts w:hint="eastAsia"/>
          <w:spacing w:val="6"/>
          <w:rtl/>
        </w:rPr>
        <w:t>»</w:t>
      </w:r>
      <w:r>
        <w:rPr>
          <w:rFonts w:hint="cs"/>
          <w:spacing w:val="6"/>
          <w:rtl/>
        </w:rPr>
        <w:t>،</w:t>
      </w:r>
      <w:r>
        <w:rPr>
          <w:rFonts w:hint="cs"/>
          <w:rtl/>
        </w:rPr>
        <w:t xml:space="preserve"> وفي (د) : رسم الحرف الأول بالتاء والياء معًا والأفصح : (تكون) (بالتاء)؛ لهذا تم إثباته.</w:t>
      </w:r>
    </w:p>
  </w:footnote>
  <w:footnote w:id="2117">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يشير إلى قاعدة سيأتي الحديث عنها استقلالاً، وهي: </w:t>
      </w:r>
      <w:r>
        <w:rPr>
          <w:rFonts w:hint="eastAsia"/>
          <w:rtl/>
        </w:rPr>
        <w:t>«</w:t>
      </w:r>
      <w:r>
        <w:rPr>
          <w:rFonts w:hint="cs"/>
          <w:rtl/>
        </w:rPr>
        <w:t>الرجـوع من الإقـرار باطل</w:t>
      </w:r>
      <w:r>
        <w:rPr>
          <w:rFonts w:hint="eastAsia"/>
          <w:rtl/>
        </w:rPr>
        <w:t>»</w:t>
      </w:r>
      <w:r>
        <w:rPr>
          <w:rFonts w:hint="cs"/>
          <w:rtl/>
        </w:rPr>
        <w:t>، وذلك ص725 (ل54/ب)، قاعدة 131.</w:t>
      </w:r>
    </w:p>
  </w:footnote>
  <w:footnote w:id="2118">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29/أ من (جـ).</w:t>
      </w:r>
    </w:p>
  </w:footnote>
  <w:footnote w:id="2119">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سبق ذكر المؤلف لهذين المثالين، ص380 (ل17/ب)، وتمَّ توثيقهما هناك.</w:t>
      </w:r>
    </w:p>
  </w:footnote>
  <w:footnote w:id="2120">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24/أ من (د).</w:t>
      </w:r>
    </w:p>
  </w:footnote>
  <w:footnote w:id="2121">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7/48؛ وانظر الدّرر شرح الغرر، 2/191، 354، 355، 356.</w:t>
      </w:r>
      <w:r>
        <w:rPr>
          <w:rFonts w:hint="cs"/>
          <w:rtl/>
        </w:rPr>
        <w:tab/>
      </w:r>
      <w:r>
        <w:rPr>
          <w:rFonts w:hint="cs"/>
          <w:rtl/>
        </w:rPr>
        <w:tab/>
      </w:r>
      <w:r>
        <w:rPr>
          <w:rFonts w:hint="cs"/>
          <w:rtl/>
        </w:rPr>
        <w:tab/>
        <w:t xml:space="preserve">  </w:t>
      </w:r>
    </w:p>
    <w:p w:rsidR="00035BE3" w:rsidRDefault="00035BE3" w:rsidP="00C10469">
      <w:pPr>
        <w:pStyle w:val="a6"/>
        <w:ind w:left="423" w:firstLine="0"/>
        <w:rPr>
          <w:rtl/>
        </w:rPr>
      </w:pPr>
      <w:r>
        <w:rPr>
          <w:rFonts w:hint="cs"/>
          <w:rtl/>
        </w:rPr>
        <w:t xml:space="preserve">وبالمقارنة بين هذه العبارة ونصّ القاعدة يلحظ أنها كالاستثناء منها. وقد صرح بذلك ابن نجيم حيث قال في أشباهه -ص205- : </w:t>
      </w:r>
      <w:r>
        <w:rPr>
          <w:rFonts w:hint="eastAsia"/>
          <w:rtl/>
        </w:rPr>
        <w:t>«</w:t>
      </w:r>
      <w:r>
        <w:rPr>
          <w:rFonts w:hint="cs"/>
          <w:rtl/>
        </w:rPr>
        <w:t>التناقض غير مقبول إلا فيما كان محل الخفاء</w:t>
      </w:r>
      <w:r>
        <w:rPr>
          <w:rFonts w:hint="eastAsia"/>
          <w:rtl/>
        </w:rPr>
        <w:t>»</w:t>
      </w:r>
      <w:r>
        <w:rPr>
          <w:rFonts w:hint="cs"/>
          <w:rtl/>
        </w:rPr>
        <w:t>.</w:t>
      </w:r>
    </w:p>
  </w:footnote>
  <w:footnote w:id="2122">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بالرقبة</w:t>
      </w:r>
      <w:r>
        <w:rPr>
          <w:rFonts w:hint="eastAsia"/>
          <w:rtl/>
        </w:rPr>
        <w:t>»</w:t>
      </w:r>
      <w:r>
        <w:rPr>
          <w:rFonts w:hint="cs"/>
          <w:rtl/>
        </w:rPr>
        <w:t>.</w:t>
      </w:r>
    </w:p>
  </w:footnote>
  <w:footnote w:id="2123">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الرِّقِّيَّة</w:t>
      </w:r>
      <w:r>
        <w:rPr>
          <w:rFonts w:hint="cs"/>
          <w:rtl/>
        </w:rPr>
        <w:t xml:space="preserve"> : أي المِلكيَّة، بمعنى العبودية، مِنْ : رقَّ يرِقُّ رِقَّةً، فهو رقيق : أي عبد. وسمي العبد رقيقًا؛ لأنه يرقُّ لمالكه ويذلُّ ويخضع.</w:t>
      </w:r>
    </w:p>
    <w:p w:rsidR="00035BE3" w:rsidRDefault="00035BE3" w:rsidP="00C10469">
      <w:pPr>
        <w:pStyle w:val="a6"/>
        <w:spacing w:line="440" w:lineRule="exact"/>
        <w:ind w:left="423" w:firstLine="0"/>
        <w:rPr>
          <w:rtl/>
        </w:rPr>
      </w:pPr>
      <w:r>
        <w:rPr>
          <w:rFonts w:hint="cs"/>
          <w:rtl/>
        </w:rPr>
        <w:t xml:space="preserve">انظر : المقاييس في اللغة، مادة </w:t>
      </w:r>
      <w:r>
        <w:rPr>
          <w:rFonts w:hint="eastAsia"/>
          <w:rtl/>
        </w:rPr>
        <w:t>«</w:t>
      </w:r>
      <w:r>
        <w:rPr>
          <w:rFonts w:hint="cs"/>
          <w:rtl/>
        </w:rPr>
        <w:t>رقّ</w:t>
      </w:r>
      <w:r>
        <w:rPr>
          <w:rFonts w:hint="eastAsia"/>
          <w:rtl/>
        </w:rPr>
        <w:t>»</w:t>
      </w:r>
      <w:r>
        <w:rPr>
          <w:rFonts w:hint="cs"/>
          <w:rtl/>
        </w:rPr>
        <w:t xml:space="preserve">، ص396؛ لسان العرب، مادة </w:t>
      </w:r>
      <w:r>
        <w:rPr>
          <w:rFonts w:hint="eastAsia"/>
          <w:rtl/>
        </w:rPr>
        <w:t>«</w:t>
      </w:r>
      <w:r>
        <w:rPr>
          <w:rFonts w:hint="cs"/>
          <w:rtl/>
        </w:rPr>
        <w:t>رقق</w:t>
      </w:r>
      <w:r>
        <w:rPr>
          <w:rFonts w:hint="eastAsia"/>
          <w:rtl/>
        </w:rPr>
        <w:t>»</w:t>
      </w:r>
      <w:r>
        <w:rPr>
          <w:rFonts w:hint="cs"/>
          <w:rtl/>
        </w:rPr>
        <w:t xml:space="preserve">، 10/221، 223، 124؛ القاموس المحيط، مادة </w:t>
      </w:r>
      <w:r>
        <w:rPr>
          <w:rFonts w:hint="eastAsia"/>
          <w:rtl/>
        </w:rPr>
        <w:t>«</w:t>
      </w:r>
      <w:r>
        <w:rPr>
          <w:rFonts w:hint="cs"/>
          <w:rtl/>
        </w:rPr>
        <w:t>رقق</w:t>
      </w:r>
      <w:r>
        <w:rPr>
          <w:rFonts w:hint="eastAsia"/>
          <w:rtl/>
        </w:rPr>
        <w:t>»</w:t>
      </w:r>
      <w:r>
        <w:rPr>
          <w:rFonts w:hint="cs"/>
          <w:rtl/>
        </w:rPr>
        <w:t xml:space="preserve">، ص1146؛ المعجم الوسيط، مادة </w:t>
      </w:r>
      <w:r>
        <w:rPr>
          <w:rFonts w:hint="eastAsia"/>
          <w:rtl/>
        </w:rPr>
        <w:t>«</w:t>
      </w:r>
      <w:r>
        <w:rPr>
          <w:rFonts w:hint="cs"/>
          <w:rtl/>
        </w:rPr>
        <w:t>رقق</w:t>
      </w:r>
      <w:r>
        <w:rPr>
          <w:rFonts w:hint="eastAsia"/>
          <w:rtl/>
        </w:rPr>
        <w:t>»</w:t>
      </w:r>
      <w:r>
        <w:rPr>
          <w:rFonts w:hint="cs"/>
          <w:rtl/>
        </w:rPr>
        <w:t>، 1/365.</w:t>
      </w:r>
    </w:p>
  </w:footnote>
  <w:footnote w:id="2124">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يستبدُّ به : أي يتفرد.</w:t>
      </w:r>
    </w:p>
    <w:p w:rsidR="00035BE3" w:rsidRDefault="00035BE3" w:rsidP="00C10469">
      <w:pPr>
        <w:pStyle w:val="a6"/>
        <w:spacing w:line="440" w:lineRule="exact"/>
        <w:ind w:left="423" w:firstLine="0"/>
        <w:rPr>
          <w:rtl/>
        </w:rPr>
      </w:pPr>
      <w:r>
        <w:rPr>
          <w:rFonts w:hint="cs"/>
          <w:rtl/>
        </w:rPr>
        <w:t xml:space="preserve">انظر : القاموس المحيط، مادة </w:t>
      </w:r>
      <w:r>
        <w:rPr>
          <w:rFonts w:hint="eastAsia"/>
          <w:rtl/>
        </w:rPr>
        <w:t>«</w:t>
      </w:r>
      <w:r>
        <w:rPr>
          <w:rFonts w:hint="cs"/>
          <w:rtl/>
        </w:rPr>
        <w:t>بدّ</w:t>
      </w:r>
      <w:r>
        <w:rPr>
          <w:rFonts w:hint="eastAsia"/>
          <w:rtl/>
        </w:rPr>
        <w:t>»</w:t>
      </w:r>
      <w:r>
        <w:rPr>
          <w:rFonts w:hint="cs"/>
          <w:rtl/>
        </w:rPr>
        <w:t xml:space="preserve">، ص341؛ المعجم الوسيط، مادة </w:t>
      </w:r>
      <w:r>
        <w:rPr>
          <w:rFonts w:hint="eastAsia"/>
          <w:rtl/>
        </w:rPr>
        <w:t>«</w:t>
      </w:r>
      <w:r>
        <w:rPr>
          <w:rFonts w:hint="cs"/>
          <w:rtl/>
        </w:rPr>
        <w:t>بدّ</w:t>
      </w:r>
      <w:r>
        <w:rPr>
          <w:rFonts w:hint="eastAsia"/>
          <w:rtl/>
        </w:rPr>
        <w:t>»</w:t>
      </w:r>
      <w:r>
        <w:rPr>
          <w:rFonts w:hint="cs"/>
          <w:rtl/>
        </w:rPr>
        <w:t>، 1/42.</w:t>
      </w:r>
    </w:p>
  </w:footnote>
  <w:footnote w:id="2125">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7/48.</w:t>
      </w:r>
    </w:p>
  </w:footnote>
  <w:footnote w:id="2126">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يصح</w:t>
      </w:r>
      <w:r>
        <w:rPr>
          <w:rFonts w:hint="eastAsia"/>
          <w:rtl/>
        </w:rPr>
        <w:t>»</w:t>
      </w:r>
      <w:r>
        <w:rPr>
          <w:rFonts w:hint="cs"/>
          <w:rtl/>
        </w:rPr>
        <w:t>. والأفصح ما تمَّ إثباته من (د).</w:t>
      </w:r>
    </w:p>
  </w:footnote>
  <w:footnote w:id="2127">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ينفرده </w:t>
      </w:r>
      <w:r>
        <w:rPr>
          <w:rFonts w:hint="eastAsia"/>
          <w:rtl/>
        </w:rPr>
        <w:t>»</w:t>
      </w:r>
      <w:r>
        <w:rPr>
          <w:rFonts w:hint="cs"/>
          <w:rtl/>
        </w:rPr>
        <w:t xml:space="preserve">، وفي (ب) و(جـ) : </w:t>
      </w:r>
      <w:r>
        <w:rPr>
          <w:rFonts w:hint="eastAsia"/>
          <w:rtl/>
        </w:rPr>
        <w:t>«</w:t>
      </w:r>
      <w:r>
        <w:rPr>
          <w:rFonts w:hint="cs"/>
          <w:rtl/>
        </w:rPr>
        <w:t xml:space="preserve"> ينفرد </w:t>
      </w:r>
      <w:r>
        <w:rPr>
          <w:rFonts w:hint="eastAsia"/>
          <w:rtl/>
        </w:rPr>
        <w:t>»</w:t>
      </w:r>
      <w:r>
        <w:rPr>
          <w:rFonts w:hint="cs"/>
          <w:rtl/>
        </w:rPr>
        <w:t xml:space="preserve">، وفي (د) : </w:t>
      </w:r>
      <w:r>
        <w:rPr>
          <w:rFonts w:hint="eastAsia"/>
          <w:rtl/>
        </w:rPr>
        <w:t>«</w:t>
      </w:r>
      <w:r>
        <w:rPr>
          <w:rFonts w:hint="cs"/>
          <w:rtl/>
        </w:rPr>
        <w:t xml:space="preserve"> يتفرد </w:t>
      </w:r>
      <w:r>
        <w:rPr>
          <w:rFonts w:hint="eastAsia"/>
          <w:rtl/>
        </w:rPr>
        <w:t>»</w:t>
      </w:r>
      <w:r>
        <w:rPr>
          <w:rFonts w:hint="cs"/>
          <w:rtl/>
        </w:rPr>
        <w:t>. والصحيح ما في (ب) و(جـ) وأيضًا (د).</w:t>
      </w:r>
    </w:p>
  </w:footnote>
  <w:footnote w:id="2128">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 7/48.</w:t>
      </w:r>
    </w:p>
  </w:footnote>
  <w:footnote w:id="2129">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إحصاؤها</w:t>
      </w:r>
      <w:r>
        <w:rPr>
          <w:rFonts w:hint="eastAsia"/>
          <w:rtl/>
        </w:rPr>
        <w:t>»</w:t>
      </w:r>
      <w:r>
        <w:rPr>
          <w:rFonts w:hint="cs"/>
          <w:rtl/>
        </w:rPr>
        <w:t>. وهذا الأولى.</w:t>
      </w:r>
    </w:p>
  </w:footnote>
  <w:footnote w:id="2130">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شيء</w:t>
      </w:r>
      <w:r>
        <w:rPr>
          <w:rFonts w:hint="eastAsia"/>
          <w:rtl/>
        </w:rPr>
        <w:t>»</w:t>
      </w:r>
      <w:r>
        <w:rPr>
          <w:rFonts w:hint="cs"/>
          <w:rtl/>
        </w:rPr>
        <w:t>.</w:t>
      </w:r>
    </w:p>
  </w:footnote>
  <w:footnote w:id="2131">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38/أ من (أ). علمًا بأنه جاء في (د) : </w:t>
      </w:r>
      <w:r>
        <w:rPr>
          <w:rFonts w:hint="eastAsia"/>
          <w:rtl/>
        </w:rPr>
        <w:t>«</w:t>
      </w:r>
      <w:r>
        <w:rPr>
          <w:rFonts w:hint="cs"/>
          <w:rtl/>
        </w:rPr>
        <w:t>بالخطأ</w:t>
      </w:r>
      <w:r>
        <w:rPr>
          <w:rFonts w:hint="eastAsia"/>
          <w:rtl/>
        </w:rPr>
        <w:t>»</w:t>
      </w:r>
      <w:r>
        <w:rPr>
          <w:rFonts w:hint="cs"/>
          <w:rtl/>
        </w:rPr>
        <w:t>.</w:t>
      </w:r>
    </w:p>
  </w:footnote>
  <w:footnote w:id="2132">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وتفسد</w:t>
      </w:r>
      <w:r>
        <w:rPr>
          <w:rFonts w:hint="eastAsia"/>
          <w:rtl/>
        </w:rPr>
        <w:t>»</w:t>
      </w:r>
      <w:r>
        <w:rPr>
          <w:rFonts w:hint="cs"/>
          <w:rtl/>
        </w:rPr>
        <w:t>.</w:t>
      </w:r>
    </w:p>
  </w:footnote>
  <w:footnote w:id="21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 مجامع الحقائق (الخاتمة)، ص45؛ شـرح العلائي لقـواعد الـخادمي، ل17/ب؛ منافع الدقائق، ص316-317.</w:t>
      </w:r>
    </w:p>
    <w:p w:rsidR="00035BE3" w:rsidRDefault="00035BE3" w:rsidP="00C10469">
      <w:pPr>
        <w:pStyle w:val="a6"/>
        <w:ind w:left="422" w:firstLine="0"/>
        <w:rPr>
          <w:rtl/>
        </w:rPr>
      </w:pPr>
      <w:r>
        <w:rPr>
          <w:rFonts w:hint="cs"/>
          <w:rtl/>
        </w:rPr>
        <w:t>كما وردت قبل ذلك في بعض كتب الفقه منها :</w:t>
      </w:r>
    </w:p>
    <w:p w:rsidR="00035BE3" w:rsidRDefault="00035BE3" w:rsidP="00C10469">
      <w:pPr>
        <w:pStyle w:val="a6"/>
        <w:ind w:left="422" w:firstLine="0"/>
        <w:rPr>
          <w:rtl/>
        </w:rPr>
      </w:pPr>
      <w:r>
        <w:rPr>
          <w:rFonts w:hint="cs"/>
          <w:rtl/>
        </w:rPr>
        <w:t>الهداية والعناية وفتح القدير، 7/64-65؛ والهداية والعناية، 7/479؛ الدّرر شرح الغرر، 2/194، 392؛ النافع الكبير، ص359.</w:t>
      </w:r>
    </w:p>
  </w:footnote>
  <w:footnote w:id="21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وكتم</w:t>
      </w:r>
      <w:r>
        <w:rPr>
          <w:rFonts w:hint="eastAsia"/>
          <w:rtl/>
        </w:rPr>
        <w:t>»</w:t>
      </w:r>
      <w:r>
        <w:rPr>
          <w:rFonts w:hint="cs"/>
          <w:rtl/>
        </w:rPr>
        <w:t>. والصحيح ما تمَّ إثباته من (ب) و(د).</w:t>
      </w:r>
    </w:p>
  </w:footnote>
  <w:footnote w:id="21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25/أ من (ب).</w:t>
      </w:r>
    </w:p>
  </w:footnote>
  <w:footnote w:id="21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تناقض</w:t>
      </w:r>
      <w:r>
        <w:rPr>
          <w:rFonts w:hint="eastAsia"/>
          <w:rtl/>
        </w:rPr>
        <w:t>»</w:t>
      </w:r>
      <w:r>
        <w:rPr>
          <w:rFonts w:hint="cs"/>
          <w:rtl/>
        </w:rPr>
        <w:t>.</w:t>
      </w:r>
    </w:p>
  </w:footnote>
  <w:footnote w:id="21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7/479؛ وانظر: أيضًا الهداية وفتح القدير، 7/479؛ الدّرر شرح الغرر، 2/392؛ شرح العلائي لقواعد الخادمي، ل17/ب؛ منافع الدقائق، ص317.</w:t>
      </w:r>
    </w:p>
  </w:footnote>
  <w:footnote w:id="21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 فيه ». والصحيح ما تمَّ إثباته من (ب)؛ لأن الضمير يعود على مؤنث وهو الدعوى.</w:t>
      </w:r>
    </w:p>
    <w:p w:rsidR="00035BE3" w:rsidRDefault="00035BE3" w:rsidP="00C10469">
      <w:pPr>
        <w:pStyle w:val="a6"/>
        <w:ind w:left="422" w:firstLine="0"/>
        <w:rPr>
          <w:rtl/>
        </w:rPr>
      </w:pPr>
      <w:r>
        <w:rPr>
          <w:rFonts w:hint="cs"/>
          <w:rtl/>
        </w:rPr>
        <w:t xml:space="preserve">وقد جاء في الدّرر : </w:t>
      </w:r>
      <w:r>
        <w:rPr>
          <w:rFonts w:hint="eastAsia"/>
          <w:rtl/>
        </w:rPr>
        <w:t>«</w:t>
      </w:r>
      <w:r>
        <w:rPr>
          <w:rFonts w:hint="cs"/>
          <w:rtl/>
        </w:rPr>
        <w:t xml:space="preserve">بخلاف الدعوى؛ لأنه متهم </w:t>
      </w:r>
      <w:r>
        <w:rPr>
          <w:rFonts w:hint="cs"/>
          <w:b/>
          <w:bCs/>
          <w:rtl/>
        </w:rPr>
        <w:t>فيه</w:t>
      </w:r>
      <w:r>
        <w:rPr>
          <w:rFonts w:hint="eastAsia"/>
          <w:rtl/>
        </w:rPr>
        <w:t>»</w:t>
      </w:r>
      <w:r>
        <w:rPr>
          <w:rFonts w:hint="cs"/>
          <w:rtl/>
        </w:rPr>
        <w:t xml:space="preserve"> !!.</w:t>
      </w:r>
    </w:p>
  </w:footnote>
  <w:footnote w:id="21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يسمع</w:t>
      </w:r>
      <w:r>
        <w:rPr>
          <w:rFonts w:hint="eastAsia"/>
          <w:rtl/>
        </w:rPr>
        <w:t>»</w:t>
      </w:r>
      <w:r>
        <w:rPr>
          <w:rFonts w:hint="cs"/>
          <w:rtl/>
        </w:rPr>
        <w:t>. والأفصح ما تمَّ إثباته من (د).</w:t>
      </w:r>
    </w:p>
  </w:footnote>
  <w:footnote w:id="21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2/194.</w:t>
      </w:r>
    </w:p>
  </w:footnote>
  <w:footnote w:id="21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29/ب من (جـ).</w:t>
      </w:r>
    </w:p>
  </w:footnote>
  <w:footnote w:id="21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2/194.</w:t>
      </w:r>
    </w:p>
  </w:footnote>
  <w:footnote w:id="2143">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وردت في هذه القاعدة كلمتا : الموجَب والموجِب، وهما اسم مفعول واسم فاعل من الفعل : أوجب، بمعنى اقتضى وألزم. فيكون معنى الموجَب : المقتضى والملزَم، ويكون معنى الموجِب : المقتضي والملزِم.</w:t>
      </w:r>
    </w:p>
    <w:p w:rsidR="00035BE3" w:rsidRDefault="00035BE3" w:rsidP="00C10469">
      <w:pPr>
        <w:pStyle w:val="a6"/>
        <w:ind w:left="422" w:firstLine="0"/>
        <w:rPr>
          <w:rtl/>
        </w:rPr>
      </w:pPr>
      <w:r>
        <w:rPr>
          <w:rFonts w:hint="cs"/>
          <w:rtl/>
        </w:rPr>
        <w:t xml:space="preserve">إذا علم هذا </w:t>
      </w:r>
      <w:r>
        <w:rPr>
          <w:rFonts w:hint="cs"/>
          <w:b/>
          <w:bCs/>
          <w:rtl/>
        </w:rPr>
        <w:t>فمعنى القاعدة</w:t>
      </w:r>
      <w:r>
        <w:rPr>
          <w:rFonts w:hint="cs"/>
          <w:rtl/>
        </w:rPr>
        <w:t xml:space="preserve"> : </w:t>
      </w:r>
    </w:p>
    <w:p w:rsidR="00035BE3" w:rsidRDefault="00035BE3" w:rsidP="00C10469">
      <w:pPr>
        <w:pStyle w:val="a6"/>
        <w:ind w:left="422" w:firstLine="0"/>
        <w:rPr>
          <w:rtl/>
        </w:rPr>
      </w:pPr>
      <w:r>
        <w:rPr>
          <w:rFonts w:hint="eastAsia"/>
          <w:rtl/>
        </w:rPr>
        <w:t>«</w:t>
      </w:r>
      <w:r>
        <w:rPr>
          <w:rFonts w:hint="cs"/>
          <w:rtl/>
        </w:rPr>
        <w:t>أنه لا يُشترط في العقود والمعاملات التي توجب أحكامًا النصُّ على مقتضيات العقد، ونتائجه عند التعاقد؛ لأن شأن وقوع العقد صحيحًا أن تنبني عليه أحكامه، وتترتّب عليه ثمراته ونتائجه...</w:t>
      </w:r>
      <w:r>
        <w:rPr>
          <w:rFonts w:hint="eastAsia"/>
          <w:rtl/>
        </w:rPr>
        <w:t>»</w:t>
      </w:r>
      <w:r>
        <w:rPr>
          <w:rFonts w:hint="cs"/>
          <w:rtl/>
        </w:rPr>
        <w:t xml:space="preserve">. قاله صاحب موسوعة القواعد الفقهية، 4/503؛ وانظر المعنى اللغوي لـ (أوجب) في لسان العرب، مادة </w:t>
      </w:r>
      <w:r>
        <w:rPr>
          <w:rFonts w:hint="eastAsia"/>
          <w:rtl/>
        </w:rPr>
        <w:t>«</w:t>
      </w:r>
      <w:r>
        <w:rPr>
          <w:rFonts w:hint="cs"/>
          <w:rtl/>
        </w:rPr>
        <w:t>وجب</w:t>
      </w:r>
      <w:r>
        <w:rPr>
          <w:rFonts w:hint="eastAsia"/>
          <w:rtl/>
        </w:rPr>
        <w:t>»</w:t>
      </w:r>
      <w:r>
        <w:rPr>
          <w:rFonts w:hint="cs"/>
          <w:rtl/>
        </w:rPr>
        <w:t>، 1/793.</w:t>
      </w:r>
    </w:p>
    <w:p w:rsidR="00035BE3" w:rsidRDefault="00035BE3" w:rsidP="00C10469">
      <w:pPr>
        <w:pStyle w:val="a6"/>
        <w:ind w:left="422" w:firstLine="0"/>
        <w:rPr>
          <w:rtl/>
        </w:rPr>
      </w:pPr>
      <w:r>
        <w:rPr>
          <w:rFonts w:hint="cs"/>
          <w:rtl/>
        </w:rPr>
        <w:t xml:space="preserve">هذا ما يتعلق بمعناها. </w:t>
      </w:r>
    </w:p>
    <w:p w:rsidR="00035BE3" w:rsidRDefault="00035BE3" w:rsidP="00C10469">
      <w:pPr>
        <w:pStyle w:val="a6"/>
        <w:ind w:left="422" w:firstLine="0"/>
        <w:rPr>
          <w:rtl/>
        </w:rPr>
      </w:pPr>
      <w:r>
        <w:rPr>
          <w:rFonts w:hint="cs"/>
          <w:b/>
          <w:bCs/>
          <w:rtl/>
        </w:rPr>
        <w:t>أما توثيقها</w:t>
      </w:r>
      <w:r>
        <w:rPr>
          <w:rFonts w:hint="cs"/>
          <w:rtl/>
        </w:rPr>
        <w:t xml:space="preserve"> : </w:t>
      </w:r>
    </w:p>
    <w:p w:rsidR="00035BE3" w:rsidRDefault="00035BE3" w:rsidP="00C10469">
      <w:pPr>
        <w:pStyle w:val="a6"/>
        <w:ind w:left="422" w:firstLine="0"/>
        <w:rPr>
          <w:spacing w:val="10"/>
          <w:rtl/>
        </w:rPr>
      </w:pPr>
      <w:r>
        <w:rPr>
          <w:rFonts w:hint="cs"/>
          <w:spacing w:val="10"/>
          <w:rtl/>
        </w:rPr>
        <w:t>فقد وردت بلفظ المؤلف في : مجامع الحقائق (الخاتمة)، ص45؛ شرح العلائي لقواعد الخادمي، ل18/أ؛ منافع الدقائق، ص317؛ موسوعة القواعد الفقهية، 4/503.</w:t>
      </w:r>
    </w:p>
    <w:p w:rsidR="00035BE3" w:rsidRDefault="00035BE3" w:rsidP="00C10469">
      <w:pPr>
        <w:pStyle w:val="a6"/>
        <w:ind w:left="422" w:firstLine="0"/>
        <w:rPr>
          <w:spacing w:val="8"/>
          <w:rtl/>
        </w:rPr>
      </w:pPr>
      <w:r>
        <w:rPr>
          <w:rFonts w:hint="cs"/>
          <w:spacing w:val="8"/>
          <w:rtl/>
        </w:rPr>
        <w:t>ووردت قبل ذلك باللفظ نفسه في : العناية، 7/171؛ مـوجـبات الـحكام وواقعات الأيام، ص95.</w:t>
      </w:r>
    </w:p>
  </w:footnote>
  <w:footnote w:id="21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7/171؛ شرح العلائي لقواعد الخادمي، ل18/أ؛ منافع الدقائق، ص317.</w:t>
      </w:r>
    </w:p>
  </w:footnote>
  <w:footnote w:id="2145">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أي: لكون الاستمتاع موجَب عقد النكاح </w:t>
      </w:r>
      <w:r>
        <w:rPr>
          <w:rFonts w:hint="eastAsia"/>
          <w:spacing w:val="2"/>
          <w:rtl/>
        </w:rPr>
        <w:t>«</w:t>
      </w:r>
      <w:r>
        <w:rPr>
          <w:rFonts w:hint="cs"/>
          <w:spacing w:val="2"/>
          <w:rtl/>
        </w:rPr>
        <w:t>فلا يشترط تصريح حلّ الوطء حين يعقد النكاح</w:t>
      </w:r>
      <w:r>
        <w:rPr>
          <w:rFonts w:hint="eastAsia"/>
          <w:spacing w:val="2"/>
          <w:rtl/>
        </w:rPr>
        <w:t>»</w:t>
      </w:r>
      <w:r>
        <w:rPr>
          <w:rFonts w:hint="cs"/>
          <w:spacing w:val="2"/>
          <w:rtl/>
        </w:rPr>
        <w:t>- كذا في المنافع وشرح العلائي-.</w:t>
      </w:r>
    </w:p>
    <w:p w:rsidR="00035BE3" w:rsidRDefault="00035BE3" w:rsidP="00C10469">
      <w:pPr>
        <w:pStyle w:val="a6"/>
        <w:ind w:left="422" w:firstLine="0"/>
        <w:rPr>
          <w:rtl/>
        </w:rPr>
      </w:pPr>
      <w:r>
        <w:rPr>
          <w:rFonts w:hint="cs"/>
          <w:rtl/>
        </w:rPr>
        <w:t>وانظر المسألة في: المراجع السابقة؛ وفي موسوعة القواعد الفقهية، 4/503-504.</w:t>
      </w:r>
    </w:p>
  </w:footnote>
  <w:footnote w:id="21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ينصّ</w:t>
      </w:r>
      <w:r>
        <w:rPr>
          <w:rFonts w:hint="eastAsia"/>
          <w:rtl/>
        </w:rPr>
        <w:t>»</w:t>
      </w:r>
      <w:r>
        <w:rPr>
          <w:rFonts w:hint="cs"/>
          <w:rtl/>
        </w:rPr>
        <w:t>.</w:t>
      </w:r>
    </w:p>
  </w:footnote>
  <w:footnote w:id="21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دفعته</w:t>
      </w:r>
      <w:r>
        <w:rPr>
          <w:rFonts w:hint="eastAsia"/>
          <w:rtl/>
        </w:rPr>
        <w:t>»</w:t>
      </w:r>
      <w:r>
        <w:rPr>
          <w:rFonts w:hint="cs"/>
          <w:rtl/>
        </w:rPr>
        <w:t xml:space="preserve">. والمُثبت من باقي النسخ موافق للهداية والعناية، وعلى كلا اللفظين فالمقصود : دفع الكفيل </w:t>
      </w:r>
      <w:r>
        <w:rPr>
          <w:rFonts w:hint="cs"/>
          <w:b/>
          <w:bCs/>
          <w:rtl/>
        </w:rPr>
        <w:t>المكفول</w:t>
      </w:r>
      <w:r>
        <w:rPr>
          <w:rFonts w:hint="cs"/>
          <w:rtl/>
        </w:rPr>
        <w:t xml:space="preserve"> للمكفول له.</w:t>
      </w:r>
    </w:p>
  </w:footnote>
  <w:footnote w:id="21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38/ب من (أ).</w:t>
      </w:r>
    </w:p>
  </w:footnote>
  <w:footnote w:id="21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والعناية وفتح القدير، 7/171؛ موسوعة القواعد الفقهية، 4/504.</w:t>
      </w:r>
    </w:p>
  </w:footnote>
  <w:footnote w:id="21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هذه القاعدة وما جاء فيها مستفاد من (العناية).</w:t>
      </w:r>
    </w:p>
  </w:footnote>
  <w:footnote w:id="21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تفصيل للقاعدة الحادية والسبعين وهي : </w:t>
      </w:r>
      <w:r>
        <w:rPr>
          <w:rFonts w:hint="eastAsia"/>
          <w:rtl/>
        </w:rPr>
        <w:t>«</w:t>
      </w:r>
      <w:r>
        <w:rPr>
          <w:rFonts w:hint="cs"/>
          <w:rtl/>
        </w:rPr>
        <w:t>التخصيص بالذكر لا يدل على الحصر</w:t>
      </w:r>
      <w:r>
        <w:rPr>
          <w:rFonts w:hint="eastAsia"/>
          <w:rtl/>
        </w:rPr>
        <w:t>»</w:t>
      </w:r>
      <w:r>
        <w:rPr>
          <w:rFonts w:hint="cs"/>
          <w:rtl/>
        </w:rPr>
        <w:t>- كما صرح بذلك المؤلف في نهاية تلك القاعدة-.</w:t>
      </w:r>
    </w:p>
    <w:p w:rsidR="00035BE3" w:rsidRDefault="00035BE3" w:rsidP="00C10469">
      <w:pPr>
        <w:pStyle w:val="a6"/>
        <w:ind w:left="422" w:firstLine="0"/>
        <w:rPr>
          <w:rtl/>
        </w:rPr>
      </w:pPr>
      <w:r>
        <w:rPr>
          <w:rFonts w:hint="cs"/>
          <w:rtl/>
        </w:rPr>
        <w:t>فما قيل في توثيقها هناك يقال هنا.</w:t>
      </w:r>
    </w:p>
    <w:p w:rsidR="00035BE3" w:rsidRDefault="00035BE3" w:rsidP="00C10469">
      <w:pPr>
        <w:pStyle w:val="a6"/>
        <w:ind w:left="422" w:firstLine="0"/>
        <w:rPr>
          <w:rtl/>
        </w:rPr>
      </w:pPr>
      <w:r>
        <w:rPr>
          <w:rFonts w:hint="cs"/>
          <w:rtl/>
        </w:rPr>
        <w:t>إلاّ أن هذه القاعدة ورد فيها إشكال يتلخّص في إسقاط (لا) النافية من أكثر النسخ.</w:t>
      </w:r>
    </w:p>
    <w:p w:rsidR="00035BE3" w:rsidRDefault="00035BE3" w:rsidP="00C10469">
      <w:pPr>
        <w:pStyle w:val="a6"/>
        <w:ind w:left="422" w:firstLine="0"/>
        <w:rPr>
          <w:spacing w:val="-6"/>
          <w:rtl/>
        </w:rPr>
      </w:pPr>
      <w:r>
        <w:rPr>
          <w:rFonts w:hint="cs"/>
          <w:spacing w:val="-6"/>
          <w:rtl/>
        </w:rPr>
        <w:t>ولبيان ذلك يقال : سبق أن أورد المؤلف هذه القاعدة - ص 492 (ل32/أ)، وقد اتفقت جميع النسخ هناك  على اسقاط (لا) النافية ! بل اتفقت تلك النسخ هنا على إسقاطها أيضًا إلا نسخة (ب)، فقد أُثبتت فيها.</w:t>
      </w:r>
    </w:p>
    <w:p w:rsidR="00035BE3" w:rsidRDefault="00035BE3" w:rsidP="00C10469">
      <w:pPr>
        <w:pStyle w:val="a6"/>
        <w:ind w:left="422" w:firstLine="0"/>
        <w:rPr>
          <w:rtl/>
        </w:rPr>
      </w:pPr>
      <w:r>
        <w:rPr>
          <w:rFonts w:hint="cs"/>
          <w:rtl/>
        </w:rPr>
        <w:t>ومما يزيد الأمر إشكالاً أن الخادمي قد استفاد استفادة ظاهرة من ناظر زاده، وقد تابع أكثر النسخ في إسقاط (لا) النافية - انظر مجامع الحقائق (الخاتمة)، ص45- وقد اقتفى أثره الدكتور البورنو في موسوعته - 4/505 - فنقلها عنه باللفظ نفسه، وأبدى وجهة نظره في ذلك.</w:t>
      </w:r>
    </w:p>
    <w:p w:rsidR="00035BE3" w:rsidRDefault="00035BE3" w:rsidP="00C10469">
      <w:pPr>
        <w:pStyle w:val="a6"/>
        <w:ind w:left="422" w:firstLine="0"/>
        <w:rPr>
          <w:rtl/>
        </w:rPr>
      </w:pPr>
      <w:r>
        <w:rPr>
          <w:rFonts w:hint="cs"/>
          <w:b/>
          <w:bCs/>
          <w:rtl/>
        </w:rPr>
        <w:t>والذي يظهر</w:t>
      </w:r>
      <w:r>
        <w:rPr>
          <w:rFonts w:hint="cs"/>
          <w:rtl/>
        </w:rPr>
        <w:t xml:space="preserve"> - والله أعلم- إثباتها؛ وذلك لما يأتي:</w:t>
      </w:r>
    </w:p>
    <w:p w:rsidR="00035BE3" w:rsidRDefault="00035BE3" w:rsidP="00C10469">
      <w:pPr>
        <w:pStyle w:val="a6"/>
        <w:ind w:left="422" w:firstLine="0"/>
        <w:rPr>
          <w:rtl/>
        </w:rPr>
      </w:pPr>
      <w:r>
        <w:rPr>
          <w:rFonts w:hint="cs"/>
          <w:b/>
          <w:bCs/>
          <w:rtl/>
        </w:rPr>
        <w:t>1-</w:t>
      </w:r>
      <w:r>
        <w:rPr>
          <w:rFonts w:hint="cs"/>
          <w:rtl/>
        </w:rPr>
        <w:t xml:space="preserve"> أن ما جاء في شرح المؤلف لهذه القاعدة لا يكون منسجمًا معها إلا بإثبات (لا) النافية، ويظهر هذا بأدنى تأمل في الشرح!.</w:t>
      </w:r>
    </w:p>
    <w:p w:rsidR="00035BE3" w:rsidRDefault="00035BE3" w:rsidP="00C10469">
      <w:pPr>
        <w:pStyle w:val="a6"/>
        <w:ind w:left="-32" w:firstLine="454"/>
        <w:rPr>
          <w:rtl/>
        </w:rPr>
      </w:pPr>
      <w:r>
        <w:rPr>
          <w:rtl/>
        </w:rPr>
        <w:t>•</w:t>
      </w:r>
      <w:r>
        <w:rPr>
          <w:rFonts w:hint="cs"/>
          <w:rtl/>
        </w:rPr>
        <w:t xml:space="preserve"> ولا سيما قوله في بداية الشرح : </w:t>
      </w:r>
      <w:r>
        <w:rPr>
          <w:rFonts w:hint="eastAsia"/>
          <w:rtl/>
        </w:rPr>
        <w:t>«</w:t>
      </w:r>
      <w:r>
        <w:rPr>
          <w:rFonts w:hint="cs"/>
          <w:rtl/>
        </w:rPr>
        <w:t>وإلا يلزم ترجيح القياس على النصّ ...</w:t>
      </w:r>
      <w:r>
        <w:rPr>
          <w:rFonts w:hint="eastAsia"/>
          <w:rtl/>
        </w:rPr>
        <w:t>»</w:t>
      </w:r>
      <w:r>
        <w:rPr>
          <w:rFonts w:hint="cs"/>
          <w:rtl/>
        </w:rPr>
        <w:t>.</w:t>
      </w:r>
    </w:p>
    <w:p w:rsidR="00035BE3" w:rsidRDefault="00035BE3" w:rsidP="00C10469">
      <w:pPr>
        <w:pStyle w:val="a6"/>
        <w:ind w:left="-32" w:firstLine="454"/>
        <w:rPr>
          <w:rtl/>
        </w:rPr>
      </w:pPr>
      <w:r>
        <w:rPr>
          <w:rtl/>
        </w:rPr>
        <w:t>•</w:t>
      </w:r>
      <w:r>
        <w:rPr>
          <w:rFonts w:hint="cs"/>
          <w:rtl/>
        </w:rPr>
        <w:t xml:space="preserve"> وقوله فيما بعد : </w:t>
      </w:r>
      <w:r>
        <w:rPr>
          <w:rFonts w:hint="eastAsia"/>
          <w:rtl/>
        </w:rPr>
        <w:t>«</w:t>
      </w:r>
      <w:r>
        <w:rPr>
          <w:rFonts w:hint="cs"/>
          <w:rtl/>
        </w:rPr>
        <w:t>وخرجت عن هذا الأصل المسألة المذكورة في دعوى (المبسوط)...</w:t>
      </w:r>
      <w:r>
        <w:rPr>
          <w:rFonts w:hint="eastAsia"/>
          <w:rtl/>
        </w:rPr>
        <w:t>»</w:t>
      </w:r>
      <w:r>
        <w:rPr>
          <w:rFonts w:hint="cs"/>
          <w:rtl/>
        </w:rPr>
        <w:t>.</w:t>
      </w:r>
    </w:p>
    <w:p w:rsidR="00035BE3" w:rsidRDefault="00035BE3" w:rsidP="00C10469">
      <w:pPr>
        <w:pStyle w:val="a6"/>
        <w:ind w:left="422" w:firstLine="0"/>
        <w:rPr>
          <w:rtl/>
        </w:rPr>
      </w:pPr>
      <w:r>
        <w:rPr>
          <w:rFonts w:hint="cs"/>
          <w:b/>
          <w:bCs/>
          <w:rtl/>
        </w:rPr>
        <w:t>2-</w:t>
      </w:r>
      <w:r>
        <w:rPr>
          <w:rFonts w:hint="cs"/>
          <w:rtl/>
        </w:rPr>
        <w:t xml:space="preserve"> أن من المقرّر عند عامة الحنفية : عدم حجيّة مفهوم المخالفة، وهذا يعني أن التنصيص لا يوجب التخصيص؛ بل صرح النسفي بذلك في المنار - مع شرحه كشف الأسرار، 1/406-408- حيث قال: </w:t>
      </w:r>
      <w:r>
        <w:rPr>
          <w:rFonts w:hint="eastAsia"/>
          <w:rtl/>
        </w:rPr>
        <w:t>«</w:t>
      </w:r>
      <w:r>
        <w:rPr>
          <w:rFonts w:hint="cs"/>
          <w:rtl/>
        </w:rPr>
        <w:t>التنصيص على الشيء باسمه العَلَم يدل على الخصوص عند البعض.</w:t>
      </w:r>
    </w:p>
    <w:p w:rsidR="00035BE3" w:rsidRDefault="00035BE3" w:rsidP="00C10469">
      <w:pPr>
        <w:pStyle w:val="a6"/>
        <w:ind w:left="422" w:firstLine="0"/>
        <w:rPr>
          <w:rtl/>
        </w:rPr>
      </w:pPr>
      <w:r>
        <w:rPr>
          <w:rFonts w:hint="cs"/>
          <w:rtl/>
        </w:rPr>
        <w:t>وعندنا : لا يدل عليه، سواء كان مقرونا بالعدد أو لم يكن</w:t>
      </w:r>
      <w:r>
        <w:rPr>
          <w:rFonts w:hint="eastAsia"/>
          <w:rtl/>
        </w:rPr>
        <w:t>»</w:t>
      </w:r>
      <w:r>
        <w:rPr>
          <w:rFonts w:hint="cs"/>
          <w:rtl/>
        </w:rPr>
        <w:t xml:space="preserve">. وقد أوجز ذلك المجدّدي في قواعده - ص72، قاعدة 93- فقال : </w:t>
      </w:r>
      <w:r>
        <w:rPr>
          <w:rFonts w:hint="eastAsia"/>
          <w:rtl/>
        </w:rPr>
        <w:t>«</w:t>
      </w:r>
      <w:r>
        <w:rPr>
          <w:rFonts w:hint="cs"/>
          <w:rtl/>
        </w:rPr>
        <w:t>التنصيص لا يدل على التخصيص</w:t>
      </w:r>
      <w:r>
        <w:rPr>
          <w:rFonts w:hint="eastAsia"/>
          <w:rtl/>
        </w:rPr>
        <w:t>»</w:t>
      </w:r>
      <w:r>
        <w:rPr>
          <w:rFonts w:hint="cs"/>
          <w:rtl/>
        </w:rPr>
        <w:t>،- وقد سبق توثيق رأي الحنفية مفصلاً في هامش (3) من ص491- .</w:t>
      </w:r>
    </w:p>
    <w:p w:rsidR="00035BE3" w:rsidRDefault="00035BE3" w:rsidP="00C10469">
      <w:pPr>
        <w:pStyle w:val="a6"/>
        <w:ind w:left="422" w:firstLine="0"/>
        <w:rPr>
          <w:rtl/>
        </w:rPr>
      </w:pPr>
      <w:r>
        <w:rPr>
          <w:rFonts w:hint="cs"/>
          <w:b/>
          <w:bCs/>
          <w:rtl/>
        </w:rPr>
        <w:t>3-</w:t>
      </w:r>
      <w:r>
        <w:rPr>
          <w:rFonts w:hint="cs"/>
          <w:rtl/>
        </w:rPr>
        <w:t xml:space="preserve"> أن المؤلف قد تبنّى هذا الرأي في قاعدة مستقلة (وهي القاعدة الحادية والسبعون؛ حيث قال فيها: </w:t>
      </w:r>
      <w:r>
        <w:rPr>
          <w:rFonts w:hint="eastAsia"/>
          <w:rtl/>
        </w:rPr>
        <w:t>«</w:t>
      </w:r>
      <w:r>
        <w:rPr>
          <w:rFonts w:hint="cs"/>
          <w:rtl/>
        </w:rPr>
        <w:t>التخصيص بالذكر لا يدل على الحصر</w:t>
      </w:r>
      <w:r>
        <w:rPr>
          <w:rFonts w:hint="eastAsia"/>
          <w:rtl/>
        </w:rPr>
        <w:t>»</w:t>
      </w:r>
      <w:r>
        <w:rPr>
          <w:rFonts w:hint="cs"/>
          <w:rtl/>
        </w:rPr>
        <w:t xml:space="preserve">)، ولو كانت صيغة القاعدة التي هي مثار الحديث : </w:t>
      </w:r>
      <w:r>
        <w:rPr>
          <w:rFonts w:hint="eastAsia"/>
          <w:rtl/>
        </w:rPr>
        <w:t>«</w:t>
      </w:r>
      <w:r>
        <w:rPr>
          <w:rFonts w:hint="cs"/>
          <w:rtl/>
        </w:rPr>
        <w:t>التنصيص يوجب التخصيص</w:t>
      </w:r>
      <w:r>
        <w:rPr>
          <w:rFonts w:hint="eastAsia"/>
          <w:rtl/>
        </w:rPr>
        <w:t>»</w:t>
      </w:r>
      <w:r>
        <w:rPr>
          <w:rFonts w:hint="cs"/>
          <w:rtl/>
        </w:rPr>
        <w:t xml:space="preserve"> : لكان في ذلك مخالفة لما سبق أن قرّره في القاعدة السابقة!.</w:t>
      </w:r>
    </w:p>
    <w:p w:rsidR="00035BE3" w:rsidRDefault="00035BE3" w:rsidP="00C10469">
      <w:pPr>
        <w:pStyle w:val="a6"/>
        <w:ind w:left="422" w:firstLine="0"/>
        <w:rPr>
          <w:rtl/>
        </w:rPr>
      </w:pPr>
      <w:r>
        <w:rPr>
          <w:rFonts w:hint="cs"/>
          <w:rtl/>
        </w:rPr>
        <w:t>وبزيادة (لا) النـافيـة يندفع هذا اللازم، وتكون الثانية موافقة لـلأولـى، ومنسجمة مع رأي عامة الحنفية.</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4-</w:t>
      </w:r>
      <w:r>
        <w:rPr>
          <w:rFonts w:hint="cs"/>
          <w:rtl/>
        </w:rPr>
        <w:t xml:space="preserve"> أن المؤلف في نهاية تلك القاعدة أحال إلى هذه القاعدة، وصدّر ذلك بقوله: </w:t>
      </w:r>
      <w:r>
        <w:rPr>
          <w:rFonts w:hint="eastAsia"/>
          <w:rtl/>
        </w:rPr>
        <w:t>«</w:t>
      </w:r>
      <w:r>
        <w:rPr>
          <w:rFonts w:hint="cs"/>
          <w:rtl/>
        </w:rPr>
        <w:t>وسيجيء التفصيل في أواخر هذا الباب -إن شاء الله تعالى-...</w:t>
      </w:r>
      <w:r>
        <w:rPr>
          <w:rFonts w:hint="eastAsia"/>
          <w:rtl/>
        </w:rPr>
        <w:t>»</w:t>
      </w:r>
      <w:r>
        <w:rPr>
          <w:rFonts w:hint="cs"/>
          <w:rtl/>
        </w:rPr>
        <w:t>.</w:t>
      </w:r>
    </w:p>
    <w:p w:rsidR="00035BE3" w:rsidRDefault="00035BE3" w:rsidP="00C10469">
      <w:pPr>
        <w:pStyle w:val="a6"/>
        <w:ind w:left="422" w:firstLine="0"/>
        <w:rPr>
          <w:rtl/>
        </w:rPr>
      </w:pPr>
      <w:r>
        <w:rPr>
          <w:rFonts w:hint="cs"/>
          <w:rtl/>
        </w:rPr>
        <w:t>وكون ما سيذكره المؤلف في الثانية تفصيلاً للأولى يدل على أن الثانية بمعنى الأولى، وليست مؤسسة لحكم جديد، ولا يستقيم هذا إلا إذا كانت الثانية بالنَّفي كالأولى.</w:t>
      </w:r>
    </w:p>
    <w:p w:rsidR="00035BE3" w:rsidRDefault="00035BE3" w:rsidP="00C10469">
      <w:pPr>
        <w:pStyle w:val="a6"/>
        <w:ind w:left="422" w:firstLine="0"/>
        <w:rPr>
          <w:rtl/>
        </w:rPr>
      </w:pPr>
      <w:r>
        <w:rPr>
          <w:rFonts w:hint="cs"/>
          <w:b/>
          <w:bCs/>
          <w:rtl/>
        </w:rPr>
        <w:t>5-</w:t>
      </w:r>
      <w:r>
        <w:rPr>
          <w:rFonts w:hint="cs"/>
          <w:rtl/>
        </w:rPr>
        <w:t xml:space="preserve"> لم أجد من أسقط (لا) النافية من القاعدة إلا الخادمي، ومن شرح قواعده؛ فلعلّ الخادمي استفادها من أحد النسخ التي وردت فيها القاعدة بإسقاط (لا) النافية، ولكنه لم يتنبّه للإشكال الذي قد يرد في خلوَّها من (لا) النافية، ولاسيّما أنه يذكر القواعد سردًا بلا شرح.</w:t>
      </w:r>
    </w:p>
    <w:p w:rsidR="00035BE3" w:rsidRDefault="00035BE3" w:rsidP="00C10469">
      <w:pPr>
        <w:pStyle w:val="a6"/>
        <w:ind w:left="422" w:firstLine="0"/>
        <w:rPr>
          <w:spacing w:val="8"/>
          <w:rtl/>
        </w:rPr>
      </w:pPr>
      <w:r>
        <w:rPr>
          <w:rFonts w:hint="cs"/>
          <w:spacing w:val="8"/>
          <w:rtl/>
        </w:rPr>
        <w:t xml:space="preserve">وممّا يؤكد هذا أن العلائي في شرحه لقواعد الخادمي - ل18/أ - والحصاري في منافع الدقائق - ص317 - أشكلت عليهما صيغة القاعدة، وممّا يدل على ذلك أنهما صدّرا شرحهما لها بقولهما: </w:t>
      </w:r>
      <w:r>
        <w:rPr>
          <w:rFonts w:hint="eastAsia"/>
          <w:spacing w:val="8"/>
          <w:rtl/>
        </w:rPr>
        <w:t>«</w:t>
      </w:r>
      <w:r>
        <w:rPr>
          <w:rFonts w:hint="cs"/>
          <w:spacing w:val="8"/>
          <w:rtl/>
        </w:rPr>
        <w:t>لعله أراد ...</w:t>
      </w:r>
      <w:r>
        <w:rPr>
          <w:rFonts w:hint="eastAsia"/>
          <w:spacing w:val="8"/>
          <w:rtl/>
        </w:rPr>
        <w:t>»</w:t>
      </w:r>
      <w:r>
        <w:rPr>
          <w:rFonts w:hint="cs"/>
          <w:spacing w:val="8"/>
          <w:rtl/>
        </w:rPr>
        <w:t>.</w:t>
      </w:r>
    </w:p>
    <w:p w:rsidR="00035BE3" w:rsidRDefault="00035BE3" w:rsidP="00C10469">
      <w:pPr>
        <w:pStyle w:val="a6"/>
        <w:ind w:left="422" w:firstLine="0"/>
        <w:rPr>
          <w:spacing w:val="6"/>
          <w:rtl/>
        </w:rPr>
      </w:pPr>
      <w:r>
        <w:rPr>
          <w:rFonts w:hint="cs"/>
          <w:spacing w:val="6"/>
          <w:rtl/>
        </w:rPr>
        <w:t>ثم اجتهدا في شرحها بأنها تحكي رأي المخالفين القائلين بعدم حجية مفهوم المخالفة، وناقشا هذا الرأي ... -والله أعلم-.</w:t>
      </w:r>
    </w:p>
  </w:footnote>
  <w:footnote w:id="21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ولم يظهر لي وجه في إيراد هذه الكلمة في السياق المذكور.</w:t>
      </w:r>
    </w:p>
    <w:p w:rsidR="00035BE3" w:rsidRDefault="00035BE3" w:rsidP="00C10469">
      <w:pPr>
        <w:pStyle w:val="a6"/>
        <w:ind w:left="422" w:firstLine="0"/>
        <w:rPr>
          <w:rtl/>
        </w:rPr>
      </w:pPr>
      <w:r>
        <w:rPr>
          <w:rFonts w:hint="cs"/>
          <w:rtl/>
        </w:rPr>
        <w:t>فلعلّه اعتراها شيء من التحريف، وأصلها (في باب)، فيكون السياق : (... ترجيح القياس على النص في باب الربا ...).</w:t>
      </w:r>
    </w:p>
    <w:p w:rsidR="00035BE3" w:rsidRDefault="00035BE3" w:rsidP="00C10469">
      <w:pPr>
        <w:pStyle w:val="a6"/>
        <w:ind w:left="422" w:firstLine="0"/>
        <w:rPr>
          <w:spacing w:val="-4"/>
          <w:rtl/>
        </w:rPr>
      </w:pPr>
      <w:r>
        <w:rPr>
          <w:rFonts w:hint="cs"/>
          <w:spacing w:val="-4"/>
          <w:rtl/>
        </w:rPr>
        <w:t>أو أنه سقطت قبلها كلمة وهي (الذي)، وبإثباتها يكون السياق : (... على النص الذي بيَّن الربا ...).</w:t>
      </w:r>
    </w:p>
    <w:p w:rsidR="00035BE3" w:rsidRDefault="00035BE3" w:rsidP="00C10469">
      <w:pPr>
        <w:pStyle w:val="a6"/>
        <w:ind w:left="422" w:firstLine="0"/>
        <w:rPr>
          <w:rtl/>
        </w:rPr>
      </w:pPr>
      <w:r>
        <w:rPr>
          <w:rFonts w:hint="cs"/>
          <w:rtl/>
        </w:rPr>
        <w:t xml:space="preserve">وممّا يشهد للاحتمال الأول أن الخادمي استفاد من ناظرزاده، وقد قال : </w:t>
      </w:r>
      <w:r>
        <w:rPr>
          <w:rFonts w:hint="eastAsia"/>
          <w:rtl/>
        </w:rPr>
        <w:t>«</w:t>
      </w:r>
      <w:r>
        <w:rPr>
          <w:rFonts w:hint="cs"/>
          <w:rtl/>
        </w:rPr>
        <w:t>التنصيص يوجب التخصيص. و إلا يلزم ترجيح القياس على النص في باب الربا</w:t>
      </w:r>
      <w:r>
        <w:rPr>
          <w:rFonts w:hint="eastAsia"/>
          <w:rtl/>
        </w:rPr>
        <w:t>»</w:t>
      </w:r>
      <w:r>
        <w:rPr>
          <w:rFonts w:hint="cs"/>
          <w:rtl/>
        </w:rPr>
        <w:t xml:space="preserve"> - وقد نقل ذلك عنه العلائي والحصاري في شرحهما لقواعده - ل18/أ، ص317-.</w:t>
      </w:r>
    </w:p>
  </w:footnote>
  <w:footnote w:id="21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إثبات (أل) التعريف هنا في لفظ (الحديث) يجعل الأسلوب ركيكا،ً ويزول ذلك بحذفها.</w:t>
      </w:r>
    </w:p>
  </w:footnote>
  <w:footnote w:id="21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24/ب من (د).</w:t>
      </w:r>
    </w:p>
  </w:footnote>
  <w:footnote w:id="21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هذه العبارة</w:t>
      </w:r>
      <w:r>
        <w:rPr>
          <w:rFonts w:hint="cs"/>
          <w:rtl/>
        </w:rPr>
        <w:t xml:space="preserve"> : لو كان التنصيص يوجب التخصيص للزم ترجيح القياس على النص المذكور في باب الربا، في حديث الأشياء الستَّة، والذي ينصّ بأسماء الأعلام، كالحنطة والشعير.</w:t>
      </w:r>
    </w:p>
    <w:p w:rsidR="00035BE3" w:rsidRDefault="00035BE3" w:rsidP="00C10469">
      <w:pPr>
        <w:pStyle w:val="a6"/>
        <w:ind w:left="422" w:firstLine="0"/>
        <w:rPr>
          <w:rtl/>
        </w:rPr>
      </w:pPr>
      <w:r>
        <w:rPr>
          <w:rFonts w:hint="cs"/>
          <w:rtl/>
        </w:rPr>
        <w:t>وبعبارة أوسع تشمل جميع الدليل : لو قيل بأن التنصيص يوجب التخصيص للزم من ذلك أحد أمرين: ترجيح القياس على النص، أو انسداد باب القياس.</w:t>
      </w:r>
      <w:r>
        <w:rPr>
          <w:rFonts w:hint="cs"/>
          <w:rtl/>
        </w:rPr>
        <w:tab/>
      </w:r>
      <w:r>
        <w:rPr>
          <w:rFonts w:hint="cs"/>
          <w:rtl/>
        </w:rPr>
        <w:tab/>
      </w:r>
      <w:r>
        <w:rPr>
          <w:rFonts w:hint="cs"/>
          <w:rtl/>
        </w:rPr>
        <w:tab/>
      </w:r>
      <w:r>
        <w:rPr>
          <w:rFonts w:hint="cs"/>
          <w:rtl/>
        </w:rPr>
        <w:tab/>
      </w:r>
      <w:r>
        <w:rPr>
          <w:rFonts w:hint="cs"/>
          <w:rtl/>
        </w:rPr>
        <w:tab/>
        <w:t xml:space="preserve">  </w:t>
      </w:r>
    </w:p>
    <w:p w:rsidR="00035BE3" w:rsidRPr="00985726" w:rsidRDefault="00035BE3" w:rsidP="00C10469">
      <w:pPr>
        <w:pStyle w:val="a6"/>
        <w:ind w:left="422" w:firstLine="0"/>
        <w:rPr>
          <w:spacing w:val="-4"/>
          <w:rtl/>
        </w:rPr>
      </w:pPr>
      <w:r>
        <w:rPr>
          <w:rFonts w:hint="cs"/>
          <w:b/>
          <w:bCs/>
          <w:rtl/>
        </w:rPr>
        <w:t>ووجه الأول</w:t>
      </w:r>
      <w:r>
        <w:rPr>
          <w:rFonts w:hint="cs"/>
          <w:rtl/>
        </w:rPr>
        <w:t xml:space="preserve"> : أنه لو قيل بأن التنصيص يوجب التخصيص، ومع ذلك قيل بأن الربا يجري أيضًا في غير (الأشياء الستّة) لكانت تعدية الحكم في الربا في (الأشياء الستّة) إلى غيرها من باب ترجيح القياس </w:t>
      </w:r>
      <w:r w:rsidRPr="00985726">
        <w:rPr>
          <w:rFonts w:hint="cs"/>
          <w:spacing w:val="-4"/>
          <w:rtl/>
        </w:rPr>
        <w:t xml:space="preserve">على النصّ؛ إذ إنه - بناء على القول بأن التنصيص يوجب التخصيص - يلزم من التنصيص على </w:t>
      </w:r>
      <w:r>
        <w:rPr>
          <w:rFonts w:hint="cs"/>
          <w:rtl/>
        </w:rPr>
        <w:t xml:space="preserve">الأشياء </w:t>
      </w:r>
      <w:r w:rsidRPr="00985726">
        <w:rPr>
          <w:rFonts w:hint="cs"/>
          <w:spacing w:val="-4"/>
          <w:rtl/>
        </w:rPr>
        <w:t>الستة اختصاصها بالحكم، إلا أن التعدية جاءت عن طريق القياس، وفي ذلك ترجيح القياس على النص!.</w:t>
      </w:r>
    </w:p>
    <w:p w:rsidR="00035BE3" w:rsidRDefault="00035BE3" w:rsidP="00C10469">
      <w:pPr>
        <w:pStyle w:val="a6"/>
        <w:ind w:left="422" w:firstLine="0"/>
        <w:rPr>
          <w:rtl/>
        </w:rPr>
      </w:pPr>
      <w:r>
        <w:rPr>
          <w:rFonts w:hint="cs"/>
          <w:b/>
          <w:bCs/>
          <w:rtl/>
        </w:rPr>
        <w:t>ووجه الثاني</w:t>
      </w:r>
      <w:r>
        <w:rPr>
          <w:rFonts w:hint="cs"/>
          <w:rtl/>
        </w:rPr>
        <w:t xml:space="preserve"> : أنه لو قيل بأن التنصيص يوجب التخصيص، وبناء على ذلك لا يجوز تعدية الحكم إلى غير (الأشياء الستّة) للزم من ذلك انسداد باب القياس!.</w:t>
      </w:r>
    </w:p>
    <w:p w:rsidR="00035BE3" w:rsidRDefault="00035BE3" w:rsidP="00C10469">
      <w:pPr>
        <w:pStyle w:val="a6"/>
        <w:ind w:left="422" w:firstLine="0"/>
        <w:rPr>
          <w:rtl/>
        </w:rPr>
      </w:pPr>
      <w:r>
        <w:rPr>
          <w:rFonts w:hint="cs"/>
          <w:rtl/>
        </w:rPr>
        <w:t>وكلا هذين الأمرين ممتنعان، فثبت من ذلك أن التنصيص لا يوجب التخصيص.</w:t>
      </w:r>
    </w:p>
  </w:footnote>
  <w:footnote w:id="21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(هـ) و(و)، وفي باقي النسخ : </w:t>
      </w:r>
      <w:r>
        <w:rPr>
          <w:rFonts w:hint="eastAsia"/>
          <w:rtl/>
        </w:rPr>
        <w:t>«</w:t>
      </w:r>
      <w:r>
        <w:rPr>
          <w:rFonts w:hint="cs"/>
          <w:rtl/>
        </w:rPr>
        <w:t>معلول</w:t>
      </w:r>
      <w:r>
        <w:rPr>
          <w:rFonts w:hint="eastAsia"/>
          <w:rtl/>
        </w:rPr>
        <w:t>»</w:t>
      </w:r>
      <w:r>
        <w:rPr>
          <w:rFonts w:hint="cs"/>
          <w:rtl/>
        </w:rPr>
        <w:t>. والصحيح ما في (هـ) و(و).</w:t>
      </w:r>
    </w:p>
  </w:footnote>
  <w:footnote w:id="21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وهذا النص هو قول النبي </w:t>
      </w:r>
      <w:r>
        <w:rPr>
          <w:rFonts w:ascii="AGA Arabesque" w:hAnsi="AGA Arabesque"/>
          <w:sz w:val="36"/>
          <w:szCs w:val="36"/>
        </w:rPr>
        <w:t></w:t>
      </w:r>
      <w:r>
        <w:rPr>
          <w:rFonts w:hint="cs"/>
          <w:rtl/>
        </w:rPr>
        <w:t xml:space="preserve"> : </w:t>
      </w:r>
      <w:r>
        <w:rPr>
          <w:rFonts w:hint="eastAsia"/>
          <w:rtl/>
        </w:rPr>
        <w:t>«</w:t>
      </w:r>
      <w:r>
        <w:rPr>
          <w:rFonts w:hint="cs"/>
          <w:rtl/>
        </w:rPr>
        <w:t xml:space="preserve"> </w:t>
      </w:r>
      <w:r>
        <w:rPr>
          <w:rFonts w:cs="DecoType Naskh Special" w:hint="cs"/>
          <w:sz w:val="26"/>
          <w:szCs w:val="26"/>
          <w:rtl/>
        </w:rPr>
        <w:t>الذهب بالذهب، والفضة بالفضة، والبـر بالبـر، والشعيـر بالشعيـر، والتمـر بالتمـر، والملح بالملح : مِثْلاً بِمثل، يدًا بيد، فمن زاد أو استزاد فقد أربى، الآخذ والمعطي فيه سواء</w:t>
      </w:r>
      <w:r>
        <w:rPr>
          <w:rFonts w:hint="eastAsia"/>
          <w:rtl/>
        </w:rPr>
        <w:t>»</w:t>
      </w:r>
      <w:r>
        <w:rPr>
          <w:rFonts w:hint="cs"/>
          <w:rtl/>
        </w:rPr>
        <w:t>.</w:t>
      </w:r>
    </w:p>
    <w:p w:rsidR="00035BE3" w:rsidRDefault="00035BE3" w:rsidP="00C10469">
      <w:pPr>
        <w:pStyle w:val="a6"/>
        <w:ind w:left="422" w:firstLine="0"/>
        <w:rPr>
          <w:rtl/>
        </w:rPr>
      </w:pPr>
      <w:r>
        <w:rPr>
          <w:rFonts w:hint="cs"/>
          <w:rtl/>
        </w:rPr>
        <w:t>أخرجه مسلم من حديث أبي سعيد الخدري، كتاب المساقاة، باب الصرف وبيع الذهب بالورق نقـدًا، 3/1211، ح 1584.</w:t>
      </w:r>
    </w:p>
  </w:footnote>
  <w:footnote w:id="21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السدادو</w:t>
      </w:r>
      <w:r>
        <w:rPr>
          <w:rFonts w:hint="eastAsia"/>
          <w:rtl/>
        </w:rPr>
        <w:t>»</w:t>
      </w:r>
      <w:r>
        <w:rPr>
          <w:rFonts w:hint="cs"/>
          <w:rtl/>
        </w:rPr>
        <w:t>. والصحيح ما تمَّ إثباته من باقي النسخ.</w:t>
      </w:r>
    </w:p>
  </w:footnote>
  <w:footnote w:id="2159">
    <w:p w:rsidR="00035BE3" w:rsidRPr="009D242E"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sidRPr="009D242E">
        <w:rPr>
          <w:rFonts w:hint="cs"/>
          <w:spacing w:val="-2"/>
          <w:rtl/>
        </w:rPr>
        <w:t>هذا الدليل يستدل به كثير من الأصوليين على عدم حجية مفهوم اللقب، ومنهم أصحاب الكتب الآتية:</w:t>
      </w:r>
    </w:p>
    <w:p w:rsidR="00035BE3" w:rsidRDefault="00035BE3" w:rsidP="00C10469">
      <w:pPr>
        <w:pStyle w:val="a6"/>
        <w:ind w:left="422" w:firstLine="0"/>
        <w:rPr>
          <w:spacing w:val="2"/>
          <w:rtl/>
        </w:rPr>
      </w:pPr>
      <w:r>
        <w:rPr>
          <w:rFonts w:hint="cs"/>
          <w:spacing w:val="2"/>
          <w:rtl/>
        </w:rPr>
        <w:t xml:space="preserve">أصول السرخسي، 1/255؛ روضة الناظر، 2/796؛ الإحكام (للآمدي)، 3/104؛ المغني (للخبازي)، ص165؛ كشف الأسرار (للنسفي)، 1/408-409؛ شرح مختصر الروضة، 2/773؛ شرح العضد لمختصر ابن الـحاجب، 2/182؛ التحرير وشرحه: تيسير التحرير، 1/131؛ مسلم الثبوت وشرحه : فواتح الرحموت، 1/433؛ بحث: مفهوم اللقب عند الأصوليين لشيخنا الدكتور أحمد العنقري (مجلة جامعة الإمام - العدد 19 - ص105). </w:t>
      </w:r>
    </w:p>
  </w:footnote>
  <w:footnote w:id="21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المبسوط، 17/145، ونص كلامه : </w:t>
      </w:r>
      <w:r>
        <w:rPr>
          <w:rFonts w:hint="eastAsia"/>
          <w:rtl/>
        </w:rPr>
        <w:t>«</w:t>
      </w:r>
      <w:r>
        <w:rPr>
          <w:rFonts w:hint="cs"/>
          <w:rtl/>
        </w:rPr>
        <w:t xml:space="preserve">قال [أي صاحب الكافي]: رجل له أمة لها ثلاثة أولاد، ولدتهم في بطون مختلفة من غير زوج، فقال المولى للأكبر منهم: هو ابني: ثبت نسبه منه للدعوة </w:t>
      </w:r>
      <w:r w:rsidRPr="00985726">
        <w:rPr>
          <w:rFonts w:hint="cs"/>
          <w:spacing w:val="-4"/>
          <w:rtl/>
        </w:rPr>
        <w:t>[هكذا!] وصارت الأم أم ولـد له، ولم يثبت نسب الآخَرَين منه عندنا</w:t>
      </w:r>
      <w:r w:rsidRPr="00985726">
        <w:rPr>
          <w:rFonts w:hint="eastAsia"/>
          <w:spacing w:val="-4"/>
          <w:rtl/>
        </w:rPr>
        <w:t>»</w:t>
      </w:r>
      <w:r w:rsidRPr="00985726">
        <w:rPr>
          <w:rFonts w:hint="cs"/>
          <w:spacing w:val="-4"/>
          <w:rtl/>
        </w:rPr>
        <w:t>، ثم نقل عن زفر أنه خالف</w:t>
      </w:r>
      <w:r>
        <w:rPr>
          <w:rFonts w:hint="cs"/>
          <w:rtl/>
        </w:rPr>
        <w:t xml:space="preserve"> وقال : </w:t>
      </w:r>
      <w:r>
        <w:rPr>
          <w:rFonts w:hint="eastAsia"/>
          <w:rtl/>
        </w:rPr>
        <w:t>«</w:t>
      </w:r>
      <w:r>
        <w:rPr>
          <w:rFonts w:hint="cs"/>
          <w:rtl/>
        </w:rPr>
        <w:t>يثبت نسب الآخَرَين منه أيضًا</w:t>
      </w:r>
      <w:r>
        <w:rPr>
          <w:rFonts w:hint="eastAsia"/>
          <w:rtl/>
        </w:rPr>
        <w:t>»</w:t>
      </w:r>
      <w:r>
        <w:rPr>
          <w:rFonts w:hint="cs"/>
          <w:rtl/>
        </w:rPr>
        <w:t>. وانظر أيضًا : أصول البزدوي وشرحه : كشـف الأسرار، 2/477؛ كشف الأسرار للنسفي، 1/421.</w:t>
      </w:r>
    </w:p>
  </w:footnote>
  <w:footnote w:id="21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زيادة : « أن التنصيص ».</w:t>
      </w:r>
    </w:p>
    <w:p w:rsidR="00035BE3" w:rsidRDefault="00035BE3" w:rsidP="00C10469">
      <w:pPr>
        <w:pStyle w:val="a6"/>
        <w:ind w:left="422" w:firstLine="0"/>
        <w:rPr>
          <w:rtl/>
        </w:rPr>
      </w:pPr>
      <w:r>
        <w:rPr>
          <w:rFonts w:hint="cs"/>
          <w:rtl/>
        </w:rPr>
        <w:t>ووجود هذه الزيادة في هذا الموضع يقلب المعنى. بخلاف ما لو كانت قبل (لا) النافية؛ إذ تصير العبارة: «فلو أن التنصيص لا يوجب التخصيص : لثبت نسبهما ...».</w:t>
      </w:r>
    </w:p>
    <w:p w:rsidR="00035BE3" w:rsidRDefault="00035BE3" w:rsidP="00C10469">
      <w:pPr>
        <w:pStyle w:val="a6"/>
        <w:ind w:left="422" w:firstLine="0"/>
        <w:rPr>
          <w:rtl/>
        </w:rPr>
      </w:pPr>
      <w:r>
        <w:rPr>
          <w:rFonts w:hint="cs"/>
          <w:rtl/>
        </w:rPr>
        <w:t>وإذا كانت العبارة بهذه الصيغة يكون معنى الاعتراض على القاعدة مستقيمًا.</w:t>
      </w:r>
    </w:p>
    <w:p w:rsidR="00035BE3" w:rsidRDefault="00035BE3" w:rsidP="00C10469">
      <w:pPr>
        <w:pStyle w:val="a6"/>
        <w:ind w:left="422" w:firstLine="0"/>
        <w:rPr>
          <w:rtl/>
        </w:rPr>
      </w:pPr>
      <w:r>
        <w:rPr>
          <w:rFonts w:hint="cs"/>
          <w:rtl/>
        </w:rPr>
        <w:t>وبيان ذلك : أن القاعدة دلّت على أن التنصيص على الشيء بحكمٍ ما: لا يدل على تخصيصه بذلك الحكم، ونفيه عما عداه.</w:t>
      </w:r>
    </w:p>
    <w:p w:rsidR="00035BE3" w:rsidRDefault="00035BE3" w:rsidP="00C10469">
      <w:pPr>
        <w:pStyle w:val="a6"/>
        <w:ind w:left="422" w:firstLine="0"/>
        <w:rPr>
          <w:spacing w:val="-4"/>
          <w:rtl/>
        </w:rPr>
      </w:pPr>
      <w:r>
        <w:rPr>
          <w:rFonts w:hint="cs"/>
          <w:spacing w:val="-4"/>
          <w:rtl/>
        </w:rPr>
        <w:t>ومع ذلك : عندما نصَّ المولى على أن الأكبرَ ابنُه، وسكتَ عن أخويه الآخرين: لم يثبت نسبهما، ولو كان التنصـيـص لا يـوجب التخصيص لما انتفى نسب الآخرين؛ بل يثبت نسبهما للمولى؛ لكونهما ولدا أم ولده!.</w:t>
      </w:r>
    </w:p>
  </w:footnote>
  <w:footnote w:id="21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نسبهما لأنهما ولدا أم ولده</w:t>
      </w:r>
      <w:r>
        <w:rPr>
          <w:rFonts w:hint="eastAsia"/>
          <w:rtl/>
        </w:rPr>
        <w:t>»</w:t>
      </w:r>
      <w:r>
        <w:rPr>
          <w:rFonts w:hint="cs"/>
          <w:rtl/>
        </w:rPr>
        <w:t xml:space="preserve"> : ساقطة من (ب) و(د)، ومكانها في (د) : </w:t>
      </w:r>
      <w:r>
        <w:rPr>
          <w:rFonts w:hint="eastAsia"/>
          <w:rtl/>
        </w:rPr>
        <w:t>«</w:t>
      </w:r>
      <w:r>
        <w:rPr>
          <w:rFonts w:hint="cs"/>
          <w:rtl/>
        </w:rPr>
        <w:t>نسب ولدي أم ولده</w:t>
      </w:r>
      <w:r>
        <w:rPr>
          <w:rFonts w:hint="eastAsia"/>
          <w:rtl/>
        </w:rPr>
        <w:t>»</w:t>
      </w:r>
      <w:r>
        <w:rPr>
          <w:rFonts w:hint="cs"/>
          <w:rtl/>
        </w:rPr>
        <w:t>، وكذلك في (ب) إلا أنه أضيف في أولها حرف الباء (بنسب ...).</w:t>
      </w:r>
    </w:p>
  </w:footnote>
  <w:footnote w:id="21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الآخر</w:t>
      </w:r>
      <w:r>
        <w:rPr>
          <w:rFonts w:hint="eastAsia"/>
          <w:rtl/>
        </w:rPr>
        <w:t>»</w:t>
      </w:r>
      <w:r>
        <w:rPr>
          <w:rFonts w:hint="cs"/>
          <w:rtl/>
        </w:rPr>
        <w:t>. والصحيح ما تمَّ إثباته من (ب) و(د).</w:t>
      </w:r>
    </w:p>
  </w:footnote>
  <w:footnote w:id="21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الأصل سيأتي الحديث عنه استقلالاً، وذلك ص755 (ل57/ب)، قاعدة 143.</w:t>
      </w:r>
    </w:p>
  </w:footnote>
  <w:footnote w:id="21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25/ب من (ب).</w:t>
      </w:r>
    </w:p>
  </w:footnote>
  <w:footnote w:id="21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صرير </w:t>
      </w:r>
      <w:r>
        <w:rPr>
          <w:rFonts w:hint="eastAsia"/>
          <w:rtl/>
        </w:rPr>
        <w:t>»</w:t>
      </w:r>
      <w:r>
        <w:rPr>
          <w:rFonts w:hint="cs"/>
          <w:rtl/>
        </w:rPr>
        <w:t xml:space="preserve">، وفي (جـ) : </w:t>
      </w:r>
      <w:r>
        <w:rPr>
          <w:rFonts w:hint="eastAsia"/>
          <w:rtl/>
        </w:rPr>
        <w:t>«</w:t>
      </w:r>
      <w:r>
        <w:rPr>
          <w:rFonts w:hint="cs"/>
          <w:rtl/>
        </w:rPr>
        <w:t xml:space="preserve"> أصراح </w:t>
      </w:r>
      <w:r>
        <w:rPr>
          <w:rFonts w:hint="eastAsia"/>
          <w:rtl/>
        </w:rPr>
        <w:t>»</w:t>
      </w:r>
      <w:r>
        <w:rPr>
          <w:rFonts w:hint="cs"/>
          <w:rtl/>
        </w:rPr>
        <w:t xml:space="preserve">، وفي (د) : </w:t>
      </w:r>
      <w:r>
        <w:rPr>
          <w:rFonts w:hint="eastAsia"/>
          <w:rtl/>
        </w:rPr>
        <w:t>«</w:t>
      </w:r>
      <w:r>
        <w:rPr>
          <w:rFonts w:hint="cs"/>
          <w:rtl/>
        </w:rPr>
        <w:t xml:space="preserve"> صريحًا </w:t>
      </w:r>
      <w:r>
        <w:rPr>
          <w:rFonts w:hint="eastAsia"/>
          <w:rtl/>
        </w:rPr>
        <w:t>»</w:t>
      </w:r>
      <w:r>
        <w:rPr>
          <w:rFonts w:hint="cs"/>
          <w:rtl/>
        </w:rPr>
        <w:t>.</w:t>
      </w:r>
    </w:p>
  </w:footnote>
  <w:footnote w:id="21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أصول البزدوي وشرحه : كشف الأسرار، 2/448-449؛ المبسوط، 17/145؛ كشف الأسرار للنسفي، 1/421-422.</w:t>
      </w:r>
    </w:p>
  </w:footnote>
  <w:footnote w:id="2168">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CD1C07">
        <w:rPr>
          <w:rFonts w:hint="cs"/>
          <w:rtl/>
        </w:rPr>
        <w:t xml:space="preserve">أخرجه ابن أبي شيبة بمثله، كتاب الزكاة، باب في زكاة الإبل وما قيل فيها، 2/358، </w:t>
      </w:r>
      <w:r>
        <w:rPr>
          <w:rFonts w:hint="cs"/>
          <w:spacing w:val="6"/>
          <w:rtl/>
        </w:rPr>
        <w:t xml:space="preserve">ح9887، </w:t>
      </w:r>
      <w:r w:rsidRPr="00CD1C07">
        <w:rPr>
          <w:rFonts w:hint="cs"/>
          <w:rtl/>
        </w:rPr>
        <w:t>3/121-122؛ والشافعي بنحوه في مسنده، كتاب الزكاة، ص89؛ والإمـام أحـمد</w:t>
      </w:r>
      <w:r>
        <w:rPr>
          <w:rFonts w:hint="cs"/>
          <w:spacing w:val="6"/>
          <w:rtl/>
        </w:rPr>
        <w:t xml:space="preserve"> بـمثله </w:t>
      </w:r>
    </w:p>
    <w:p w:rsidR="00035BE3" w:rsidRDefault="00035BE3" w:rsidP="00C10469">
      <w:pPr>
        <w:pStyle w:val="a8"/>
        <w:bidi/>
        <w:ind w:left="422" w:right="0"/>
        <w:rPr>
          <w:spacing w:val="6"/>
          <w:rtl/>
        </w:rPr>
      </w:pPr>
    </w:p>
    <w:p w:rsidR="00035BE3" w:rsidRDefault="00035BE3" w:rsidP="00C10469">
      <w:pPr>
        <w:pStyle w:val="a8"/>
        <w:bidi/>
        <w:ind w:left="422" w:right="0"/>
        <w:rPr>
          <w:spacing w:val="6"/>
          <w:rtl/>
        </w:rPr>
      </w:pPr>
      <w:r>
        <w:rPr>
          <w:rFonts w:hint="cs"/>
          <w:spacing w:val="6"/>
          <w:rtl/>
        </w:rPr>
        <w:tab/>
        <w:t>8/253،ح4632؛ والدارمي بنحوه، باب زكاة الإبل، 1/466، ح1626؛ و ابن ماجه بمثله، كتاب الزكاة، باب صـدقـة الإبل، 1/573، ح1798؛ و أبو داود بمثله، كـتاب الزكاة، باب زكاة السائمـة، 2/98، ح 1568؛ والترمذي بمثله، أبواب الزكاة، باب ما جاء في زكاة الإبل والغنم، 3/17، ح621؛ وأبو يعلى بمثله، 9/359، ح5470؛ وابن خزيمة بنحوه؛ في جماع أبواب صدقة المواشي، باب ذكر الدليل على أن اسم الزكاة أيضًا واقع على صـدقة المـواشي، 4/19، ح2267؛ والطحاوي في شرح معاني الآثار بنحوه، كتاب الزيادات، باب فرض الزكاة من الإبل السائمة ...، 4/376؛ والدارقطني بمثله، كتاب الزكاة، بـاب زكاة الإبـل والغنـم، 2/112؛ والحاكم بمثله، كتاب الزكاة، 1/549؛ والبيهقي بمثله، كتاب الزكاة، باب كيف فرض الصدقة، 4/88.</w:t>
      </w:r>
    </w:p>
    <w:p w:rsidR="00035BE3" w:rsidRDefault="00035BE3" w:rsidP="00C10469">
      <w:pPr>
        <w:pStyle w:val="a6"/>
        <w:ind w:left="422" w:firstLine="0"/>
        <w:rPr>
          <w:rtl/>
        </w:rPr>
      </w:pPr>
      <w:r>
        <w:rPr>
          <w:rFonts w:hint="cs"/>
          <w:rtl/>
        </w:rPr>
        <w:t>جميعهم من حديث عبد الله بن عمر -رضي الله عنهما- بطرق مختلفة.</w:t>
      </w:r>
    </w:p>
    <w:p w:rsidR="00035BE3" w:rsidRDefault="00035BE3" w:rsidP="00C10469">
      <w:pPr>
        <w:pStyle w:val="a6"/>
        <w:ind w:left="422" w:firstLine="0"/>
        <w:rPr>
          <w:rtl/>
        </w:rPr>
      </w:pPr>
      <w:r>
        <w:rPr>
          <w:rFonts w:hint="cs"/>
          <w:rtl/>
        </w:rPr>
        <w:t xml:space="preserve">- وقد قال عنه الترمذي: </w:t>
      </w:r>
      <w:r>
        <w:rPr>
          <w:rFonts w:hint="eastAsia"/>
          <w:rtl/>
        </w:rPr>
        <w:t>«</w:t>
      </w:r>
      <w:r>
        <w:rPr>
          <w:rFonts w:hint="cs"/>
          <w:rtl/>
        </w:rPr>
        <w:t>حديث ابن عمر حديث حسن، والعمل على هذا الحديث عند عامة الفقهاء</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 كما قال عنه صاحب خلاصة البدر المنير </w:t>
      </w:r>
      <w:r>
        <w:rPr>
          <w:spacing w:val="6"/>
          <w:rtl/>
        </w:rPr>
        <w:t>–</w:t>
      </w:r>
      <w:r>
        <w:rPr>
          <w:rFonts w:hint="cs"/>
          <w:spacing w:val="6"/>
          <w:rtl/>
        </w:rPr>
        <w:t xml:space="preserve"> 1/297، ح1022- : </w:t>
      </w:r>
      <w:r>
        <w:rPr>
          <w:rFonts w:hint="eastAsia"/>
          <w:spacing w:val="6"/>
          <w:rtl/>
        </w:rPr>
        <w:t>«</w:t>
      </w:r>
      <w:r>
        <w:rPr>
          <w:rFonts w:hint="cs"/>
          <w:spacing w:val="6"/>
          <w:rtl/>
        </w:rPr>
        <w:t>رواه أبو داود والترمذي والحاكم من رواية ابن عمر ... قال الترمذي : حسن. وقال في علله: سألت البخاري عنه، فقال : أرجو أن يكون مـحفوظًا. وذكر الحاكم له شواهد تصححه على شرط الشيخين</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 وله شاهد من حديث أنس بن مالك ومن حديث عمرو بن حزم وغيرهما. وحديث أنس مُخَرَّج في مواضع متعددة من صحيح البخاري، منها كتاب الزكاة، باب زكاة الغنم، 2/527-528، ح 1386، وأوله : </w:t>
      </w:r>
      <w:r>
        <w:rPr>
          <w:rFonts w:hint="eastAsia"/>
          <w:rtl/>
        </w:rPr>
        <w:t>«</w:t>
      </w:r>
      <w:r>
        <w:rPr>
          <w:rFonts w:hint="cs"/>
          <w:rtl/>
        </w:rPr>
        <w:t>في أربع وعشرين من الإبل فما دونها من الغنم من كل خمس شاة ...</w:t>
      </w:r>
      <w:r>
        <w:rPr>
          <w:rFonts w:hint="eastAsia"/>
          <w:rtl/>
        </w:rPr>
        <w:t>»</w:t>
      </w:r>
      <w:r>
        <w:rPr>
          <w:rFonts w:hint="cs"/>
          <w:rtl/>
        </w:rPr>
        <w:t>.</w:t>
      </w:r>
    </w:p>
    <w:p w:rsidR="00035BE3" w:rsidRDefault="00035BE3" w:rsidP="00C10469">
      <w:pPr>
        <w:pStyle w:val="a6"/>
        <w:ind w:left="422" w:firstLine="0"/>
        <w:rPr>
          <w:rtl/>
        </w:rPr>
      </w:pPr>
      <w:r>
        <w:rPr>
          <w:rFonts w:hint="cs"/>
          <w:rtl/>
        </w:rPr>
        <w:t>وللتوسع في تخريج الحديث وما قاله العلماء فيه انظر : نصب الراية تخريج أحاديث الهداية، 2/335؛ إرشاد الفقيه إلى معرفة أدلة التنبيه، 1/248-250؛ تلخيص الحبير، 2/150؛ الدراية، 1/250؛ الهداية في تخريج أحاديث البداية، 5/26-27؛ إرواء الغليل في تخريج أحاديث مـنار السـبيل، 3/264-267، ح792؛ مسند الإمام أحمد (هامش المحققين)، 8/253-256.</w:t>
      </w:r>
    </w:p>
  </w:footnote>
  <w:footnote w:id="21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30/أ من (جـ).</w:t>
      </w:r>
    </w:p>
  </w:footnote>
  <w:footnote w:id="21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بالرجوع إلى كتب الحديث الآنف ذكرها لم أجد من ذكر أن هذا الحديث ورد بناء على سؤال، أو وقوع حادثة!.</w:t>
      </w:r>
    </w:p>
  </w:footnote>
  <w:footnote w:id="21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 له »: زيادة من (جـ) و(هـ) و(و)؛ وفاقًا للمصادر الآتي ذكرها.</w:t>
      </w:r>
    </w:p>
  </w:footnote>
  <w:footnote w:id="21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39/أ من (أ).</w:t>
      </w:r>
    </w:p>
  </w:footnote>
  <w:footnote w:id="21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ساقطة من (ب).</w:t>
      </w:r>
    </w:p>
  </w:footnote>
  <w:footnote w:id="21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نظر: أصول البزدوي وشرحه: كشف الأسرار، 2/478-479؛ كشف الأسرار للنَّسفي، 1/422.</w:t>
      </w:r>
    </w:p>
    <w:p w:rsidR="00035BE3" w:rsidRDefault="00035BE3" w:rsidP="00C10469">
      <w:pPr>
        <w:pStyle w:val="a6"/>
        <w:ind w:left="422" w:firstLine="0"/>
        <w:rPr>
          <w:rtl/>
        </w:rPr>
      </w:pPr>
      <w:r>
        <w:rPr>
          <w:rFonts w:hint="cs"/>
          <w:rtl/>
        </w:rPr>
        <w:t>وهذه المصادر بيّنت أن الحكم برد شهادتهم هو قول أبي يوسف ومحمد، خلافًا لأبي حنيفة.</w:t>
      </w:r>
    </w:p>
  </w:footnote>
  <w:footnote w:id="21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أهل السنة</w:t>
      </w:r>
      <w:r>
        <w:rPr>
          <w:rFonts w:hint="cs"/>
          <w:rtl/>
        </w:rPr>
        <w:t xml:space="preserve">: هذا اللفظ يطلق اصطلاحًا على معنيين، أحدهما عام، والثاني خاص : </w:t>
      </w:r>
    </w:p>
    <w:p w:rsidR="00035BE3" w:rsidRDefault="00035BE3" w:rsidP="00C10469">
      <w:pPr>
        <w:pStyle w:val="a6"/>
        <w:ind w:left="422" w:firstLine="0"/>
        <w:rPr>
          <w:rtl/>
        </w:rPr>
      </w:pPr>
      <w:r>
        <w:rPr>
          <w:rFonts w:hint="cs"/>
          <w:b/>
          <w:bCs/>
          <w:rtl/>
        </w:rPr>
        <w:t>فالأول</w:t>
      </w:r>
      <w:r>
        <w:rPr>
          <w:rFonts w:hint="cs"/>
          <w:rtl/>
        </w:rPr>
        <w:t xml:space="preserve"> : ما يقابل الرافضة.</w:t>
      </w:r>
    </w:p>
    <w:p w:rsidR="00035BE3" w:rsidRDefault="00035BE3" w:rsidP="00C10469">
      <w:pPr>
        <w:pStyle w:val="a6"/>
        <w:ind w:left="422" w:firstLine="0"/>
        <w:rPr>
          <w:rtl/>
        </w:rPr>
      </w:pPr>
      <w:r>
        <w:rPr>
          <w:rFonts w:hint="cs"/>
          <w:b/>
          <w:bCs/>
          <w:rtl/>
        </w:rPr>
        <w:t xml:space="preserve">والثاني </w:t>
      </w:r>
      <w:r>
        <w:rPr>
          <w:rFonts w:hint="cs"/>
          <w:rtl/>
        </w:rPr>
        <w:t>: أهل الحديث والسنة المحضة، وهم السلف الصالح ومن سار على نهجهم.</w:t>
      </w:r>
    </w:p>
    <w:p w:rsidR="00035BE3" w:rsidRDefault="00035BE3" w:rsidP="00C10469">
      <w:pPr>
        <w:pStyle w:val="a6"/>
        <w:ind w:left="422" w:firstLine="0"/>
        <w:rPr>
          <w:rtl/>
        </w:rPr>
      </w:pPr>
      <w:r>
        <w:rPr>
          <w:rFonts w:ascii="Wingdings" w:hAnsi="Wingdings"/>
        </w:rPr>
        <w:t></w:t>
      </w:r>
      <w:r>
        <w:rPr>
          <w:rFonts w:hint="cs"/>
          <w:rtl/>
        </w:rPr>
        <w:t xml:space="preserve"> يقول شيخ الإسلام ابن تيمية- في منهاج السّنّة النبوية، 2/221- : </w:t>
      </w:r>
      <w:r>
        <w:rPr>
          <w:rFonts w:hint="eastAsia"/>
          <w:rtl/>
        </w:rPr>
        <w:t>«</w:t>
      </w:r>
      <w:r>
        <w:rPr>
          <w:rFonts w:hint="cs"/>
          <w:rtl/>
        </w:rPr>
        <w:t>فلفظ (أهل السنة) يراد به:</w:t>
      </w:r>
    </w:p>
    <w:p w:rsidR="00035BE3" w:rsidRDefault="00035BE3" w:rsidP="00C10469">
      <w:pPr>
        <w:pStyle w:val="a6"/>
        <w:ind w:left="-32" w:firstLine="454"/>
        <w:rPr>
          <w:rtl/>
        </w:rPr>
      </w:pPr>
      <w:r>
        <w:rPr>
          <w:rtl/>
        </w:rPr>
        <w:t>•</w:t>
      </w:r>
      <w:r>
        <w:rPr>
          <w:rFonts w:hint="cs"/>
          <w:rtl/>
        </w:rPr>
        <w:t xml:space="preserve"> من أثبت خلافة الخلفاء الثلاثة، فيدخل في ذلك جميع الطوائف إلا الرافضة. </w:t>
      </w:r>
    </w:p>
    <w:p w:rsidR="00035BE3" w:rsidRDefault="00035BE3" w:rsidP="00C10469">
      <w:pPr>
        <w:pStyle w:val="a6"/>
        <w:ind w:left="422" w:firstLine="0"/>
      </w:pPr>
      <w:r>
        <w:rPr>
          <w:rtl/>
        </w:rPr>
        <w:t>•</w:t>
      </w:r>
      <w:r>
        <w:rPr>
          <w:rFonts w:hint="cs"/>
          <w:rtl/>
        </w:rPr>
        <w:t xml:space="preserve"> وقد يراد به أهل الحديث والسنة المحضة، فلا يدخل فيه إلا من يثبت الصفات لله تعالى ويقول: إن  القرآن غير مخلوق، وإن الله يرى في الآخرة، ويثبت القدر، وغير ذلك من الأصول المعروفة عند أهل الحديث والسنة</w:t>
      </w:r>
      <w:r>
        <w:rPr>
          <w:rFonts w:hint="eastAsia"/>
          <w:rtl/>
        </w:rPr>
        <w:t>»</w:t>
      </w:r>
      <w:r>
        <w:rPr>
          <w:rFonts w:hint="cs"/>
          <w:rtl/>
        </w:rPr>
        <w:t>.</w:t>
      </w:r>
    </w:p>
    <w:p w:rsidR="00035BE3" w:rsidRDefault="00035BE3" w:rsidP="00C10469">
      <w:pPr>
        <w:pStyle w:val="a6"/>
        <w:ind w:left="422" w:firstLine="0"/>
        <w:rPr>
          <w:rtl/>
        </w:rPr>
      </w:pPr>
      <w:r>
        <w:rPr>
          <w:rFonts w:ascii="Wingdings" w:hAnsi="Wingdings"/>
        </w:rPr>
        <w:t></w:t>
      </w:r>
      <w:r>
        <w:t xml:space="preserve"> </w:t>
      </w:r>
      <w:r>
        <w:rPr>
          <w:rFonts w:hint="cs"/>
          <w:rtl/>
        </w:rPr>
        <w:t xml:space="preserve"> ويقول ابن حزم - في الفصل في الملل، 2/271- : </w:t>
      </w:r>
      <w:r>
        <w:rPr>
          <w:rFonts w:hint="eastAsia"/>
          <w:rtl/>
        </w:rPr>
        <w:t>«</w:t>
      </w:r>
      <w:r>
        <w:rPr>
          <w:rFonts w:hint="cs"/>
          <w:rtl/>
        </w:rPr>
        <w:t>قال أبو محمد : وأهل السنة الذين نذكرهم أهل الحق، ومن عداهم فأهل البدعة، فإنهم الصحابة رضي الله عنهم، وكل من سلك نهجهم من خيار التابعين - رحمهم الله تعالى-، ثم أصحاب الحديث، ومن اتّبعهم من الفقهاء جيلاً فجيلاً إلى يومنا هذا، ومن اقتدى بهم من العوامّ في شرق الأرض وغربها - رحمة الله عليهم-</w:t>
      </w:r>
      <w:r>
        <w:rPr>
          <w:rFonts w:hint="eastAsia"/>
          <w:rtl/>
        </w:rPr>
        <w:t>»</w:t>
      </w:r>
      <w:r>
        <w:rPr>
          <w:rFonts w:hint="cs"/>
          <w:rtl/>
        </w:rPr>
        <w:t>.</w:t>
      </w:r>
    </w:p>
    <w:p w:rsidR="00035BE3" w:rsidRDefault="00035BE3" w:rsidP="00C10469">
      <w:pPr>
        <w:pStyle w:val="a6"/>
        <w:ind w:left="420" w:firstLine="0"/>
        <w:rPr>
          <w:rtl/>
        </w:rPr>
      </w:pPr>
      <w:r>
        <w:rPr>
          <w:rFonts w:hint="cs"/>
          <w:rtl/>
        </w:rPr>
        <w:t xml:space="preserve">ونظرًا لكون النجاة من الوعيد الوارد في حديث الفرق </w:t>
      </w:r>
      <w:r>
        <w:rPr>
          <w:rFonts w:hint="eastAsia"/>
          <w:rtl/>
        </w:rPr>
        <w:t>«</w:t>
      </w:r>
      <w:r>
        <w:rPr>
          <w:rFonts w:hint="cs"/>
          <w:rtl/>
        </w:rPr>
        <w:t>لا تكون إلا لمن كان على ما كانوا عليه ... ادعى كثير من الطوائف والفرق أنهم هم الفرقة الناجية، وأنهم أهل الحقّ، وتسمّى بعضهم باسم (أهل السنة)</w:t>
      </w:r>
      <w:r>
        <w:rPr>
          <w:rFonts w:hint="eastAsia"/>
          <w:rtl/>
        </w:rPr>
        <w:t>»</w:t>
      </w:r>
      <w:r>
        <w:rPr>
          <w:rFonts w:hint="cs"/>
          <w:rtl/>
        </w:rPr>
        <w:t>- قاله صاحب وسطية أهل السنّة، ص48-49-.</w:t>
      </w:r>
    </w:p>
    <w:p w:rsidR="00035BE3" w:rsidRDefault="00035BE3" w:rsidP="00C10469">
      <w:pPr>
        <w:pStyle w:val="a6"/>
        <w:ind w:left="420" w:firstLine="0"/>
        <w:rPr>
          <w:rtl/>
        </w:rPr>
      </w:pPr>
      <w:r>
        <w:rPr>
          <w:rFonts w:hint="cs"/>
          <w:rtl/>
        </w:rPr>
        <w:t>وممّن تسمّى بهذا الاسم : الأشاعرة والماتريدية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228" w:lineRule="auto"/>
        <w:ind w:left="420" w:firstLine="0"/>
        <w:rPr>
          <w:rtl/>
        </w:rPr>
      </w:pPr>
      <w:r>
        <w:rPr>
          <w:rFonts w:hint="cs"/>
          <w:rtl/>
        </w:rPr>
        <w:t xml:space="preserve">- يقول البغدادي - في الفَرْق بين الفِرَق، ص304-: </w:t>
      </w:r>
      <w:r>
        <w:rPr>
          <w:rFonts w:hint="eastAsia"/>
          <w:rtl/>
        </w:rPr>
        <w:t>«</w:t>
      </w:r>
      <w:r>
        <w:rPr>
          <w:rFonts w:hint="cs"/>
          <w:rtl/>
        </w:rPr>
        <w:t>ولسنا نجد اليوم من فرق الأمة من هم على موافقة الصحابة رضي الله عنهم غير أهل السنة والجماعة من فقهاء الأمة ومتكلّميهم الصفاتية دون الرافضة والقدرية والخوارج والجهمية والنجارية والمشبهة والغلاة والحلوليّة</w:t>
      </w:r>
      <w:r>
        <w:rPr>
          <w:rFonts w:hint="eastAsia"/>
          <w:rtl/>
        </w:rPr>
        <w:t>»</w:t>
      </w:r>
      <w:r>
        <w:rPr>
          <w:rFonts w:hint="cs"/>
          <w:rtl/>
        </w:rPr>
        <w:t>.</w:t>
      </w:r>
    </w:p>
    <w:p w:rsidR="00035BE3" w:rsidRDefault="00035BE3" w:rsidP="00C10469">
      <w:pPr>
        <w:pStyle w:val="a6"/>
        <w:spacing w:line="228" w:lineRule="auto"/>
        <w:ind w:left="420" w:firstLine="0"/>
        <w:rPr>
          <w:rtl/>
        </w:rPr>
      </w:pPr>
      <w:r>
        <w:rPr>
          <w:rFonts w:hint="cs"/>
          <w:rtl/>
        </w:rPr>
        <w:t>ولمّا بين الأصول التي اجتمع عليها أهل السنة -ص309-352- ذكرها على منهج الأشاعرة!.</w:t>
      </w:r>
    </w:p>
    <w:p w:rsidR="00035BE3" w:rsidRDefault="00035BE3" w:rsidP="00C10469">
      <w:pPr>
        <w:pStyle w:val="a6"/>
        <w:spacing w:line="228" w:lineRule="auto"/>
        <w:ind w:left="420" w:firstLine="0"/>
        <w:rPr>
          <w:rtl/>
        </w:rPr>
      </w:pPr>
      <w:r>
        <w:rPr>
          <w:rFonts w:hint="cs"/>
          <w:rtl/>
        </w:rPr>
        <w:t xml:space="preserve">- ويقول الحربي - في كتابه : الماتريدية دراسة وتقويمًا، ص491-: </w:t>
      </w:r>
      <w:r>
        <w:rPr>
          <w:rFonts w:hint="eastAsia"/>
          <w:rtl/>
        </w:rPr>
        <w:t>«</w:t>
      </w:r>
      <w:r>
        <w:rPr>
          <w:rFonts w:hint="cs"/>
          <w:rtl/>
        </w:rPr>
        <w:t>إن الناظر في معتقد الماتريدية ومعتقد الأشاعرة يجد بينهما تقاربًا كبيرًا، وهذا التقارب هو الذي أوجد الاتفاق والائتلاف بينهما، حتى صار كلٌّ منهم يطلق اسم أهل السنة والجماعة على الطائفتين</w:t>
      </w:r>
      <w:r>
        <w:rPr>
          <w:rFonts w:hint="eastAsia"/>
          <w:rtl/>
        </w:rPr>
        <w:t>»</w:t>
      </w:r>
      <w:r>
        <w:rPr>
          <w:rFonts w:hint="cs"/>
          <w:rtl/>
        </w:rPr>
        <w:t xml:space="preserve"> (وانظر منه ص10؛ بحث : الماتريدية ربيبة الكلابية لِـ أ.د. محمد الخميس، ضمن مجلة البحوث الإسلامية، العدد 55، ص140، 158؛ وانظر تحقيق عادل عبد الموجود وصاحبه لردّ المحتار، 4/348، هامش 3- حيث جاء فيهما: </w:t>
      </w:r>
      <w:r>
        <w:rPr>
          <w:rFonts w:hint="eastAsia"/>
          <w:rtl/>
        </w:rPr>
        <w:t>«</w:t>
      </w:r>
      <w:r>
        <w:rPr>
          <w:rFonts w:hint="cs"/>
          <w:rtl/>
        </w:rPr>
        <w:t>تتكوّن جماعة أهل السنّة من فرقتي : الأشاعرة ...، والماتريدية ...</w:t>
      </w:r>
      <w:r>
        <w:rPr>
          <w:rFonts w:hint="eastAsia"/>
          <w:rtl/>
        </w:rPr>
        <w:t>»</w:t>
      </w:r>
      <w:r>
        <w:rPr>
          <w:rFonts w:hint="cs"/>
          <w:rtl/>
        </w:rPr>
        <w:t>).</w:t>
      </w:r>
    </w:p>
    <w:p w:rsidR="00035BE3" w:rsidRDefault="00035BE3" w:rsidP="00C10469">
      <w:pPr>
        <w:pStyle w:val="a6"/>
        <w:spacing w:line="228" w:lineRule="auto"/>
        <w:ind w:left="420" w:firstLine="0"/>
        <w:rPr>
          <w:rtl/>
        </w:rPr>
      </w:pPr>
      <w:r>
        <w:rPr>
          <w:rFonts w:hint="cs"/>
          <w:rtl/>
        </w:rPr>
        <w:t xml:space="preserve">وقد أغرب السّفَّاريني الأثري (ت1188هـ)، حيث أدخل في اسم (أهل السنة) فرقتي الأشاعرة والماتريدية! فقال في لوامع الأنوار البهية، 1/73 : </w:t>
      </w:r>
      <w:r>
        <w:rPr>
          <w:rFonts w:hint="eastAsia"/>
          <w:rtl/>
        </w:rPr>
        <w:t>«</w:t>
      </w:r>
      <w:r>
        <w:rPr>
          <w:rFonts w:hint="cs"/>
          <w:rtl/>
        </w:rPr>
        <w:t>أهل السنة والجماعة ثلاث فرق :</w:t>
      </w:r>
    </w:p>
    <w:p w:rsidR="00035BE3" w:rsidRDefault="00035BE3" w:rsidP="00C10469">
      <w:pPr>
        <w:pStyle w:val="a6"/>
        <w:spacing w:line="228" w:lineRule="auto"/>
        <w:ind w:left="420" w:firstLine="0"/>
        <w:rPr>
          <w:rtl/>
        </w:rPr>
      </w:pPr>
      <w:r>
        <w:rPr>
          <w:rFonts w:hint="cs"/>
          <w:rtl/>
        </w:rPr>
        <w:t xml:space="preserve">الأثرية: وإمامهم أحمد بن حنبل </w:t>
      </w:r>
      <w:r>
        <w:rPr>
          <w:rtl/>
        </w:rPr>
        <w:t>–</w:t>
      </w:r>
      <w:r>
        <w:rPr>
          <w:rFonts w:hint="cs"/>
          <w:rtl/>
        </w:rPr>
        <w:t xml:space="preserve"> رضي الله عنه-. والأشاعرة: وإمامهم أبو الحسن الأشعري </w:t>
      </w:r>
      <w:r>
        <w:rPr>
          <w:rtl/>
        </w:rPr>
        <w:t>–</w:t>
      </w:r>
      <w:r>
        <w:rPr>
          <w:rFonts w:hint="cs"/>
          <w:rtl/>
        </w:rPr>
        <w:t>رحمه الله-. والماتريدية : وإمامهم أبو منصور الماتريدي</w:t>
      </w:r>
      <w:r>
        <w:rPr>
          <w:rFonts w:hint="eastAsia"/>
          <w:rtl/>
        </w:rPr>
        <w:t>»</w:t>
      </w:r>
      <w:r>
        <w:rPr>
          <w:rFonts w:hint="cs"/>
          <w:rtl/>
        </w:rPr>
        <w:t>!!.</w:t>
      </w:r>
    </w:p>
    <w:p w:rsidR="00035BE3" w:rsidRDefault="00035BE3" w:rsidP="00C10469">
      <w:pPr>
        <w:pStyle w:val="a6"/>
        <w:spacing w:line="228" w:lineRule="auto"/>
        <w:ind w:left="420" w:firstLine="0"/>
        <w:rPr>
          <w:rtl/>
        </w:rPr>
      </w:pPr>
      <w:r w:rsidRPr="00276843">
        <w:rPr>
          <w:rFonts w:hint="cs"/>
          <w:spacing w:val="-4"/>
          <w:rtl/>
        </w:rPr>
        <w:t>وقد جاء في هامش الكتاب تعقيب من (أبا ب</w:t>
      </w:r>
      <w:r>
        <w:rPr>
          <w:rFonts w:hint="cs"/>
          <w:spacing w:val="-4"/>
          <w:rtl/>
        </w:rPr>
        <w:t>طين) وغيره.</w:t>
      </w:r>
      <w:r w:rsidRPr="00276843">
        <w:rPr>
          <w:rFonts w:hint="cs"/>
          <w:spacing w:val="-4"/>
          <w:rtl/>
        </w:rPr>
        <w:t xml:space="preserve"> ولعل مراد السفاريني</w:t>
      </w:r>
      <w:r>
        <w:rPr>
          <w:rFonts w:hint="cs"/>
          <w:spacing w:val="-4"/>
          <w:rtl/>
        </w:rPr>
        <w:t xml:space="preserve"> بأهل السنة</w:t>
      </w:r>
      <w:r w:rsidRPr="00276843">
        <w:rPr>
          <w:rFonts w:hint="cs"/>
          <w:spacing w:val="-4"/>
          <w:rtl/>
        </w:rPr>
        <w:t>: ما كان مقابل</w:t>
      </w:r>
      <w:r>
        <w:rPr>
          <w:rFonts w:hint="cs"/>
          <w:rtl/>
        </w:rPr>
        <w:t xml:space="preserve"> </w:t>
      </w:r>
      <w:r w:rsidRPr="00276843">
        <w:rPr>
          <w:rFonts w:hint="cs"/>
          <w:spacing w:val="-4"/>
          <w:rtl/>
        </w:rPr>
        <w:t>المعتزلة؛ كما أن</w:t>
      </w:r>
      <w:r>
        <w:rPr>
          <w:rFonts w:hint="cs"/>
          <w:spacing w:val="-4"/>
          <w:rtl/>
        </w:rPr>
        <w:t>ها</w:t>
      </w:r>
      <w:r w:rsidRPr="00276843">
        <w:rPr>
          <w:rFonts w:hint="cs"/>
          <w:spacing w:val="-4"/>
          <w:rtl/>
        </w:rPr>
        <w:t xml:space="preserve"> تطلق أحياناً في مقابل الرافضة. ويعضد هذا كلام شيخ الإسلام ابن تيمية</w:t>
      </w:r>
      <w:r>
        <w:rPr>
          <w:rFonts w:hint="cs"/>
          <w:spacing w:val="-4"/>
          <w:rtl/>
        </w:rPr>
        <w:t> </w:t>
      </w:r>
      <w:r w:rsidRPr="00276843">
        <w:rPr>
          <w:rFonts w:hint="cs"/>
          <w:spacing w:val="-4"/>
          <w:rtl/>
        </w:rPr>
        <w:t xml:space="preserve">السابق، وأيضاً قوله </w:t>
      </w:r>
      <w:r w:rsidRPr="00276843">
        <w:rPr>
          <w:spacing w:val="-4"/>
          <w:rtl/>
        </w:rPr>
        <w:t>–</w:t>
      </w:r>
      <w:r>
        <w:rPr>
          <w:rFonts w:hint="cs"/>
          <w:spacing w:val="-4"/>
          <w:rtl/>
        </w:rPr>
        <w:t xml:space="preserve"> عن الأشاعرة ـ:</w:t>
      </w:r>
      <w:r w:rsidRPr="00276843">
        <w:rPr>
          <w:rFonts w:hint="cs"/>
          <w:spacing w:val="-4"/>
          <w:rtl/>
        </w:rPr>
        <w:t xml:space="preserve"> </w:t>
      </w:r>
      <w:r w:rsidRPr="00276843">
        <w:rPr>
          <w:rFonts w:hint="eastAsia"/>
          <w:spacing w:val="-4"/>
          <w:rtl/>
        </w:rPr>
        <w:t>«</w:t>
      </w:r>
      <w:r w:rsidRPr="00276843">
        <w:rPr>
          <w:rFonts w:hint="cs"/>
          <w:spacing w:val="-4"/>
          <w:rtl/>
        </w:rPr>
        <w:t>فإنهم أقرب أهل الكلام إلى السنة والجماعة والحديث، وهم</w:t>
      </w:r>
      <w:r>
        <w:rPr>
          <w:rFonts w:hint="cs"/>
          <w:rtl/>
        </w:rPr>
        <w:t xml:space="preserve"> </w:t>
      </w:r>
      <w:r w:rsidRPr="00276843">
        <w:rPr>
          <w:rFonts w:hint="cs"/>
          <w:spacing w:val="-4"/>
          <w:rtl/>
        </w:rPr>
        <w:t>يعدّون من أهل السنة والجماعة عند النظ</w:t>
      </w:r>
      <w:r>
        <w:rPr>
          <w:rFonts w:hint="cs"/>
          <w:spacing w:val="-4"/>
          <w:rtl/>
        </w:rPr>
        <w:t>ر إلى مثل المعتزلة والرافضة ونحو</w:t>
      </w:r>
      <w:r w:rsidRPr="00276843">
        <w:rPr>
          <w:rFonts w:hint="cs"/>
          <w:spacing w:val="-4"/>
          <w:rtl/>
        </w:rPr>
        <w:t>هم...</w:t>
      </w:r>
      <w:r w:rsidRPr="00276843">
        <w:rPr>
          <w:rFonts w:hint="eastAsia"/>
          <w:spacing w:val="-4"/>
          <w:rtl/>
        </w:rPr>
        <w:t xml:space="preserve"> »</w:t>
      </w:r>
      <w:r w:rsidRPr="00276843">
        <w:rPr>
          <w:rFonts w:hint="cs"/>
          <w:spacing w:val="-4"/>
          <w:rtl/>
        </w:rPr>
        <w:t xml:space="preserve"> (نقض</w:t>
      </w:r>
      <w:r>
        <w:rPr>
          <w:rFonts w:hint="cs"/>
          <w:spacing w:val="-4"/>
          <w:rtl/>
        </w:rPr>
        <w:t xml:space="preserve"> تأسيس</w:t>
      </w:r>
      <w:r w:rsidRPr="00276843">
        <w:rPr>
          <w:rFonts w:hint="cs"/>
          <w:spacing w:val="-4"/>
          <w:rtl/>
        </w:rPr>
        <w:t xml:space="preserve"> الجهمية، 2/87).</w:t>
      </w:r>
    </w:p>
    <w:p w:rsidR="00035BE3" w:rsidRDefault="00035BE3" w:rsidP="00C10469">
      <w:pPr>
        <w:pStyle w:val="a6"/>
        <w:spacing w:line="228" w:lineRule="auto"/>
        <w:ind w:left="420" w:firstLine="0"/>
        <w:rPr>
          <w:spacing w:val="8"/>
          <w:rtl/>
        </w:rPr>
      </w:pPr>
      <w:r>
        <w:rPr>
          <w:rFonts w:hint="cs"/>
          <w:b/>
          <w:bCs/>
          <w:spacing w:val="8"/>
          <w:rtl/>
        </w:rPr>
        <w:t>أما مراد المؤلف هنا من (أهل السنة)</w:t>
      </w:r>
      <w:r>
        <w:rPr>
          <w:rFonts w:hint="cs"/>
          <w:spacing w:val="8"/>
          <w:rtl/>
        </w:rPr>
        <w:t xml:space="preserve"> : فيحتمل أن يكون أهل الحديث والسنة؛ لأن العبارة التي سينقلها المؤلف فيها إثبات للرؤية، ولم تتعرض لنفي الجهة، وإثبات الرؤية مطلقًا يتضمن إثبات الجهة، والذين يقولون بإثبات الرؤية والجهة هم أهل الحديث والسنة المحضة. </w:t>
      </w:r>
    </w:p>
    <w:p w:rsidR="00035BE3" w:rsidRPr="00203606" w:rsidRDefault="00035BE3" w:rsidP="00C10469">
      <w:pPr>
        <w:pStyle w:val="a6"/>
        <w:spacing w:line="228" w:lineRule="auto"/>
        <w:ind w:left="420" w:firstLine="0"/>
        <w:rPr>
          <w:spacing w:val="2"/>
          <w:rtl/>
        </w:rPr>
      </w:pPr>
      <w:r w:rsidRPr="00203606">
        <w:rPr>
          <w:rFonts w:hint="cs"/>
          <w:spacing w:val="2"/>
          <w:rtl/>
        </w:rPr>
        <w:t>ويحتمل أنه (الماتريدية)؛ لأن المؤلف أورد هذا الاسم ضمن عبارة استفادها من عبـد الله النسفي (ت710هـ)، والنسفي من علماء الماتريدية، وهم يثبتون الرؤية (مع نفيهم للجهة). إلا أن الاحتمال الأول أرجح</w:t>
      </w:r>
      <w:r>
        <w:rPr>
          <w:rFonts w:hint="cs"/>
          <w:spacing w:val="2"/>
          <w:rtl/>
        </w:rPr>
        <w:t>؛ لما تقدم عند الحديث عن عقيدة المؤلف، ص 47</w:t>
      </w:r>
      <w:r w:rsidRPr="00203606">
        <w:rPr>
          <w:rFonts w:hint="cs"/>
          <w:spacing w:val="2"/>
          <w:rtl/>
        </w:rPr>
        <w:t xml:space="preserve">. </w:t>
      </w:r>
    </w:p>
    <w:p w:rsidR="00035BE3" w:rsidRDefault="00035BE3" w:rsidP="00C10469">
      <w:pPr>
        <w:pStyle w:val="a6"/>
        <w:ind w:left="420" w:firstLine="0"/>
        <w:rPr>
          <w:rtl/>
        </w:rPr>
      </w:pPr>
      <w:r>
        <w:rPr>
          <w:rFonts w:hint="cs"/>
          <w:rtl/>
        </w:rPr>
        <w:t xml:space="preserve">وانظر في كون النسفي من علماء الماتريدية : بحث الماتريدية ربيبة الكلابية، ص126؛ وانظر في إثبات الماتريدية للرؤية (مع نفي الجهة) : الماتريدية للحربي، ص425. </w:t>
      </w:r>
    </w:p>
    <w:p w:rsidR="00035BE3" w:rsidRDefault="00035BE3" w:rsidP="00C10469">
      <w:pPr>
        <w:pStyle w:val="a6"/>
        <w:ind w:left="422" w:firstLine="0"/>
        <w:rPr>
          <w:rtl/>
        </w:rPr>
      </w:pPr>
      <w:r>
        <w:rPr>
          <w:rFonts w:hint="cs"/>
          <w:rtl/>
        </w:rPr>
        <w:t>وللتوسع في معنى (أهل السنة) وما جاء في تنازع الطوائف هذا اللقب انظر ما قاله د. محمد باكريم في رسالته للدكتوراه المطبوعة بعنوان : وسطية أهل السنة بين الفرق، ص46-60؛ كما أنّ للدكتور ناصر العقل كتابًا بعنوان : مفهوم أهل السنة.</w:t>
      </w:r>
    </w:p>
  </w:footnote>
  <w:footnote w:id="21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بقوله تعالى</w:t>
      </w:r>
      <w:r>
        <w:rPr>
          <w:rFonts w:hint="eastAsia"/>
          <w:rtl/>
        </w:rPr>
        <w:t>»</w:t>
      </w:r>
      <w:r>
        <w:rPr>
          <w:rFonts w:hint="cs"/>
          <w:rtl/>
        </w:rPr>
        <w:t>: ساقطة من (جـ).</w:t>
      </w:r>
    </w:p>
  </w:footnote>
  <w:footnote w:id="21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آية رقم (15) من سورة (المطففين).</w:t>
      </w:r>
    </w:p>
  </w:footnote>
  <w:footnote w:id="21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يلحظ أن الفاعل (وهو أصحاب) اسم ظاهر مجموع، ومع ذلك لم يجرّد الفعل الذي أسند إليه (وهو : يسمونه) من علامة الجمع (وهي الواو).</w:t>
      </w:r>
    </w:p>
    <w:p w:rsidR="00035BE3" w:rsidRDefault="00035BE3" w:rsidP="00C10469">
      <w:pPr>
        <w:pStyle w:val="a6"/>
        <w:ind w:left="422" w:firstLine="0"/>
        <w:rPr>
          <w:rtl/>
        </w:rPr>
      </w:pPr>
      <w:r>
        <w:rPr>
          <w:rFonts w:hint="cs"/>
          <w:rtl/>
        </w:rPr>
        <w:t>وهذه لغة فصيحة، إلا أنها مخالفة لما عليه الجمهور من تجريد الفعل من علامة الجمع.</w:t>
      </w:r>
    </w:p>
    <w:p w:rsidR="00035BE3" w:rsidRDefault="00035BE3" w:rsidP="00C10469">
      <w:pPr>
        <w:pStyle w:val="a6"/>
        <w:ind w:left="422" w:firstLine="0"/>
        <w:rPr>
          <w:rtl/>
        </w:rPr>
      </w:pPr>
      <w:r>
        <w:rPr>
          <w:rFonts w:hint="cs"/>
          <w:rtl/>
        </w:rPr>
        <w:t>وقد سبق بيان ذلك مفصَّلا، ص491.</w:t>
      </w:r>
    </w:p>
  </w:footnote>
  <w:footnote w:id="21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وممَّن سماه بمفهوم اللقب من الشافعية أصحاب الكتب الآتية : المستصفى، 2/204؛ الإحكام، 3/104؛ جمع الجوامع وشرحه : تشنيف المسامع، 1/363؛ البحر المحيط، 4/24.</w:t>
      </w:r>
    </w:p>
    <w:p w:rsidR="00035BE3" w:rsidRDefault="00035BE3" w:rsidP="00C10469">
      <w:pPr>
        <w:pStyle w:val="a6"/>
        <w:ind w:left="422" w:firstLine="0"/>
        <w:rPr>
          <w:rtl/>
        </w:rPr>
      </w:pPr>
      <w:r>
        <w:rPr>
          <w:rFonts w:hint="cs"/>
          <w:b/>
          <w:bCs/>
          <w:rtl/>
        </w:rPr>
        <w:t>أما تعريف اللقب :</w:t>
      </w:r>
      <w:r>
        <w:rPr>
          <w:rFonts w:hint="cs"/>
          <w:rtl/>
        </w:rPr>
        <w:t xml:space="preserve"> فهو في اللغة بمعنى النَّبْـز.</w:t>
      </w:r>
    </w:p>
    <w:p w:rsidR="00035BE3" w:rsidRDefault="00035BE3" w:rsidP="00C10469">
      <w:pPr>
        <w:pStyle w:val="a6"/>
        <w:ind w:left="422" w:firstLine="0"/>
        <w:rPr>
          <w:rtl/>
        </w:rPr>
      </w:pPr>
      <w:r>
        <w:rPr>
          <w:rFonts w:hint="cs"/>
          <w:rtl/>
        </w:rPr>
        <w:t xml:space="preserve">أما في الاصطلاح فقد عرفه الزركشي -من الشافعية- بقوله : </w:t>
      </w:r>
      <w:r>
        <w:rPr>
          <w:rFonts w:hint="eastAsia"/>
          <w:rtl/>
        </w:rPr>
        <w:t>«</w:t>
      </w:r>
      <w:r>
        <w:rPr>
          <w:rFonts w:hint="cs"/>
          <w:rtl/>
        </w:rPr>
        <w:t>وهو تعليق الحكم بالاسم العلم- نحو: قام زيد- أو اسم نوع - نحو : في الغنم زكاة-</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 xml:space="preserve">انظر المعنى اللغوي في : المقاييس في اللغة، مادة </w:t>
      </w:r>
      <w:r>
        <w:rPr>
          <w:rFonts w:hint="eastAsia"/>
          <w:spacing w:val="4"/>
          <w:rtl/>
        </w:rPr>
        <w:t>«</w:t>
      </w:r>
      <w:r>
        <w:rPr>
          <w:rFonts w:hint="cs"/>
          <w:spacing w:val="4"/>
          <w:rtl/>
        </w:rPr>
        <w:t>لقب</w:t>
      </w:r>
      <w:r>
        <w:rPr>
          <w:rFonts w:hint="eastAsia"/>
          <w:spacing w:val="4"/>
          <w:rtl/>
        </w:rPr>
        <w:t>»</w:t>
      </w:r>
      <w:r>
        <w:rPr>
          <w:rFonts w:hint="cs"/>
          <w:spacing w:val="4"/>
          <w:rtl/>
        </w:rPr>
        <w:t xml:space="preserve">، ص959؛ القاموس المحيط، مادة </w:t>
      </w:r>
      <w:r>
        <w:rPr>
          <w:rFonts w:hint="eastAsia"/>
          <w:spacing w:val="4"/>
          <w:rtl/>
        </w:rPr>
        <w:t>«</w:t>
      </w:r>
      <w:r>
        <w:rPr>
          <w:rFonts w:hint="cs"/>
          <w:spacing w:val="4"/>
          <w:rtl/>
        </w:rPr>
        <w:t>لقب</w:t>
      </w:r>
      <w:r>
        <w:rPr>
          <w:rFonts w:hint="eastAsia"/>
          <w:spacing w:val="4"/>
          <w:rtl/>
        </w:rPr>
        <w:t>»</w:t>
      </w:r>
      <w:r>
        <w:rPr>
          <w:rFonts w:hint="cs"/>
          <w:spacing w:val="4"/>
          <w:rtl/>
        </w:rPr>
        <w:t>، ص173.</w:t>
      </w:r>
    </w:p>
    <w:p w:rsidR="00035BE3" w:rsidRDefault="00035BE3" w:rsidP="00C10469">
      <w:pPr>
        <w:pStyle w:val="a6"/>
        <w:ind w:left="422" w:firstLine="0"/>
        <w:rPr>
          <w:rtl/>
        </w:rPr>
      </w:pPr>
      <w:r>
        <w:rPr>
          <w:rFonts w:hint="cs"/>
          <w:rtl/>
        </w:rPr>
        <w:t>والمعنى الاصطلاحي منقول من : البحر المحيط، 4/24؛ وانظر : بحث مفهوم اللقب عند الأصوليين لشيخنا الدكتور أحمد العنقري (مجلة جامعة الإمام - العدد 19، ص96).</w:t>
      </w:r>
    </w:p>
  </w:footnote>
  <w:footnote w:id="21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 علامة ». والصحيح ما تمَّ إثباته من (ب) و(د).</w:t>
      </w:r>
    </w:p>
  </w:footnote>
  <w:footnote w:id="2181">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زيادة </w:t>
      </w:r>
      <w:r>
        <w:rPr>
          <w:rFonts w:hint="eastAsia"/>
          <w:spacing w:val="-6"/>
          <w:rtl/>
        </w:rPr>
        <w:t>«</w:t>
      </w:r>
      <w:r>
        <w:rPr>
          <w:rFonts w:hint="cs"/>
          <w:spacing w:val="-6"/>
          <w:rtl/>
        </w:rPr>
        <w:t>ما</w:t>
      </w:r>
      <w:r>
        <w:rPr>
          <w:rFonts w:hint="eastAsia"/>
          <w:spacing w:val="-6"/>
          <w:rtl/>
        </w:rPr>
        <w:t>»</w:t>
      </w:r>
      <w:r>
        <w:rPr>
          <w:rFonts w:hint="cs"/>
          <w:spacing w:val="-6"/>
          <w:rtl/>
        </w:rPr>
        <w:t>. والصحيح إسقاطها كما في باقي النسخ، وهو الموافق  لكـشف الأسـرار للـنّسفي؛ لأنه لا وجه لزيادتها.</w:t>
      </w:r>
    </w:p>
  </w:footnote>
  <w:footnote w:id="21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(ب).</w:t>
      </w:r>
    </w:p>
  </w:footnote>
  <w:footnote w:id="21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بحجب</w:t>
      </w:r>
      <w:r>
        <w:rPr>
          <w:rFonts w:hint="eastAsia"/>
          <w:rtl/>
        </w:rPr>
        <w:t>»</w:t>
      </w:r>
      <w:r>
        <w:rPr>
          <w:rFonts w:hint="cs"/>
          <w:rtl/>
        </w:rPr>
        <w:t>.</w:t>
      </w:r>
    </w:p>
  </w:footnote>
  <w:footnote w:id="21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كشف الأسرار، 1/410-411، مع اختلاف في وسط هذه العبارة، حيث جاء في كشف الأسرار: </w:t>
      </w:r>
      <w:r>
        <w:rPr>
          <w:rFonts w:hint="eastAsia"/>
          <w:rtl/>
        </w:rPr>
        <w:t>«</w:t>
      </w:r>
      <w:r>
        <w:rPr>
          <w:rFonts w:hint="cs"/>
          <w:rtl/>
        </w:rPr>
        <w:t xml:space="preserve">... لا من قبل التخصيص. من ذلك قوله تعالى: </w:t>
      </w:r>
      <w:r>
        <w:rPr>
          <w:rFonts w:hint="eastAsia"/>
          <w:rtl/>
        </w:rPr>
        <w:t>«</w:t>
      </w:r>
      <w:r>
        <w:rPr>
          <w:rFonts w:hint="cs"/>
          <w:rtl/>
        </w:rPr>
        <w:t xml:space="preserve"> </w:t>
      </w:r>
      <w:r>
        <w:rPr>
          <w:color w:val="000000"/>
          <w:sz w:val="21"/>
          <w:szCs w:val="21"/>
        </w:rPr>
        <w:sym w:font="HQPB5" w:char="F048"/>
      </w:r>
      <w:r>
        <w:rPr>
          <w:color w:val="000000"/>
          <w:sz w:val="21"/>
          <w:szCs w:val="21"/>
        </w:rPr>
        <w:sym w:font="HQPB2" w:char="F078"/>
      </w:r>
      <w:r>
        <w:rPr>
          <w:color w:val="000000"/>
          <w:sz w:val="21"/>
          <w:szCs w:val="21"/>
        </w:rPr>
        <w:sym w:font="HQPB5" w:char="F078"/>
      </w:r>
      <w:r>
        <w:rPr>
          <w:color w:val="000000"/>
          <w:sz w:val="21"/>
          <w:szCs w:val="21"/>
        </w:rPr>
        <w:sym w:font="HQPB2" w:char="F02E"/>
      </w:r>
      <w:r>
        <w:rPr>
          <w:color w:val="000000"/>
          <w:sz w:val="21"/>
          <w:szCs w:val="21"/>
          <w:rtl/>
        </w:rPr>
        <w:t xml:space="preserve"> </w:t>
      </w:r>
      <w:r>
        <w:rPr>
          <w:color w:val="000000"/>
          <w:sz w:val="21"/>
          <w:szCs w:val="21"/>
        </w:rPr>
        <w:sym w:font="HQPB4" w:char="F0F6"/>
      </w:r>
      <w:r>
        <w:rPr>
          <w:color w:val="000000"/>
          <w:sz w:val="21"/>
          <w:szCs w:val="21"/>
        </w:rPr>
        <w:sym w:font="HQPB2" w:char="F04E"/>
      </w:r>
      <w:r>
        <w:rPr>
          <w:color w:val="000000"/>
          <w:sz w:val="21"/>
          <w:szCs w:val="21"/>
        </w:rPr>
        <w:sym w:font="HQPB4" w:char="F0E5"/>
      </w:r>
      <w:r>
        <w:rPr>
          <w:color w:val="000000"/>
          <w:sz w:val="21"/>
          <w:szCs w:val="21"/>
        </w:rPr>
        <w:sym w:font="HQPB2" w:char="F06B"/>
      </w:r>
      <w:r>
        <w:rPr>
          <w:color w:val="000000"/>
          <w:sz w:val="21"/>
          <w:szCs w:val="21"/>
        </w:rPr>
        <w:sym w:font="HQPB4" w:char="F0A8"/>
      </w:r>
      <w:r>
        <w:rPr>
          <w:color w:val="000000"/>
          <w:sz w:val="21"/>
          <w:szCs w:val="21"/>
        </w:rPr>
        <w:sym w:font="HQPB2" w:char="F058"/>
      </w:r>
      <w:r>
        <w:rPr>
          <w:color w:val="000000"/>
          <w:sz w:val="21"/>
          <w:szCs w:val="21"/>
        </w:rPr>
        <w:sym w:font="HQPB4" w:char="F0CE"/>
      </w:r>
      <w:r>
        <w:rPr>
          <w:color w:val="000000"/>
          <w:sz w:val="21"/>
          <w:szCs w:val="21"/>
        </w:rPr>
        <w:sym w:font="HQPB1" w:char="F029"/>
      </w:r>
      <w:r>
        <w:rPr>
          <w:color w:val="000000"/>
          <w:sz w:val="21"/>
          <w:szCs w:val="21"/>
          <w:rtl/>
        </w:rPr>
        <w:t xml:space="preserve"> </w:t>
      </w:r>
      <w:r>
        <w:rPr>
          <w:color w:val="000000"/>
          <w:sz w:val="21"/>
          <w:szCs w:val="21"/>
        </w:rPr>
        <w:sym w:font="HQPB2" w:char="F060"/>
      </w:r>
      <w:r>
        <w:rPr>
          <w:color w:val="000000"/>
          <w:sz w:val="21"/>
          <w:szCs w:val="21"/>
        </w:rPr>
        <w:sym w:font="HQPB5" w:char="F074"/>
      </w:r>
      <w:r>
        <w:rPr>
          <w:color w:val="000000"/>
          <w:sz w:val="21"/>
          <w:szCs w:val="21"/>
        </w:rPr>
        <w:sym w:font="HQPB1" w:char="F0E3"/>
      </w:r>
      <w:r>
        <w:rPr>
          <w:color w:val="000000"/>
          <w:sz w:val="21"/>
          <w:szCs w:val="21"/>
          <w:rtl/>
        </w:rPr>
        <w:t xml:space="preserve"> </w:t>
      </w:r>
      <w:r>
        <w:rPr>
          <w:color w:val="000000"/>
          <w:sz w:val="21"/>
          <w:szCs w:val="21"/>
        </w:rPr>
        <w:sym w:font="HQPB4" w:char="F0F6"/>
      </w:r>
      <w:r>
        <w:rPr>
          <w:color w:val="000000"/>
          <w:sz w:val="21"/>
          <w:szCs w:val="21"/>
        </w:rPr>
        <w:sym w:font="HQPB2" w:char="F04E"/>
      </w:r>
      <w:r>
        <w:rPr>
          <w:color w:val="000000"/>
          <w:sz w:val="21"/>
          <w:szCs w:val="21"/>
        </w:rPr>
        <w:sym w:font="HQPB4" w:char="F0CD"/>
      </w:r>
      <w:r>
        <w:rPr>
          <w:color w:val="000000"/>
          <w:sz w:val="21"/>
          <w:szCs w:val="21"/>
        </w:rPr>
        <w:sym w:font="HQPB2" w:char="F06B"/>
      </w:r>
      <w:r>
        <w:rPr>
          <w:color w:val="000000"/>
          <w:sz w:val="21"/>
          <w:szCs w:val="21"/>
        </w:rPr>
        <w:sym w:font="HQPB4" w:char="F0CD"/>
      </w:r>
      <w:r>
        <w:rPr>
          <w:color w:val="000000"/>
          <w:sz w:val="21"/>
          <w:szCs w:val="21"/>
        </w:rPr>
        <w:sym w:font="HQPB4" w:char="F068"/>
      </w:r>
      <w:r>
        <w:rPr>
          <w:color w:val="000000"/>
          <w:sz w:val="21"/>
          <w:szCs w:val="21"/>
        </w:rPr>
        <w:sym w:font="HQPB1" w:char="F035"/>
      </w:r>
      <w:r>
        <w:rPr>
          <w:color w:val="000000"/>
          <w:sz w:val="21"/>
          <w:szCs w:val="21"/>
        </w:rPr>
        <w:sym w:font="HQPB4" w:char="F0A7"/>
      </w:r>
      <w:r>
        <w:rPr>
          <w:color w:val="000000"/>
          <w:sz w:val="21"/>
          <w:szCs w:val="21"/>
        </w:rPr>
        <w:sym w:font="HQPB1" w:char="F091"/>
      </w:r>
      <w:r>
        <w:rPr>
          <w:color w:val="000000"/>
          <w:sz w:val="21"/>
          <w:szCs w:val="21"/>
          <w:rtl/>
        </w:rPr>
        <w:t xml:space="preserve"> </w:t>
      </w:r>
      <w:r>
        <w:rPr>
          <w:color w:val="000000"/>
          <w:sz w:val="21"/>
          <w:szCs w:val="21"/>
        </w:rPr>
        <w:sym w:font="HQPB4" w:char="F037"/>
      </w:r>
      <w:r>
        <w:rPr>
          <w:color w:val="000000"/>
          <w:sz w:val="21"/>
          <w:szCs w:val="21"/>
        </w:rPr>
        <w:sym w:font="HQPB1" w:char="F08B"/>
      </w:r>
      <w:r>
        <w:rPr>
          <w:color w:val="000000"/>
          <w:sz w:val="21"/>
          <w:szCs w:val="21"/>
        </w:rPr>
        <w:sym w:font="HQPB4" w:char="F0CD"/>
      </w:r>
      <w:r>
        <w:rPr>
          <w:color w:val="000000"/>
          <w:sz w:val="21"/>
          <w:szCs w:val="21"/>
        </w:rPr>
        <w:sym w:font="HQPB2" w:char="F0B4"/>
      </w:r>
      <w:r>
        <w:rPr>
          <w:color w:val="000000"/>
          <w:sz w:val="21"/>
          <w:szCs w:val="21"/>
        </w:rPr>
        <w:sym w:font="HQPB5" w:char="F074"/>
      </w:r>
      <w:r>
        <w:rPr>
          <w:color w:val="000000"/>
          <w:sz w:val="21"/>
          <w:szCs w:val="21"/>
        </w:rPr>
        <w:sym w:font="HQPB2" w:char="F042"/>
      </w:r>
      <w:r>
        <w:rPr>
          <w:color w:val="000000"/>
          <w:sz w:val="21"/>
          <w:szCs w:val="21"/>
        </w:rPr>
        <w:sym w:font="HQPB4" w:char="F0F6"/>
      </w:r>
      <w:r>
        <w:rPr>
          <w:color w:val="000000"/>
          <w:sz w:val="21"/>
          <w:szCs w:val="21"/>
        </w:rPr>
        <w:sym w:font="HQPB2" w:char="F071"/>
      </w:r>
      <w:r>
        <w:rPr>
          <w:color w:val="000000"/>
          <w:sz w:val="21"/>
          <w:szCs w:val="21"/>
        </w:rPr>
        <w:sym w:font="HQPB5" w:char="F074"/>
      </w:r>
      <w:r>
        <w:rPr>
          <w:color w:val="000000"/>
          <w:sz w:val="21"/>
          <w:szCs w:val="21"/>
        </w:rPr>
        <w:sym w:font="HQPB2" w:char="F083"/>
      </w:r>
      <w:r>
        <w:rPr>
          <w:color w:val="000000"/>
          <w:sz w:val="21"/>
          <w:szCs w:val="21"/>
          <w:rtl/>
        </w:rPr>
        <w:t xml:space="preserve"> </w:t>
      </w:r>
      <w:r>
        <w:rPr>
          <w:color w:val="000000"/>
          <w:sz w:val="21"/>
          <w:szCs w:val="21"/>
        </w:rPr>
        <w:sym w:font="HQPB5" w:char="F074"/>
      </w:r>
      <w:r>
        <w:rPr>
          <w:color w:val="000000"/>
          <w:sz w:val="21"/>
          <w:szCs w:val="21"/>
        </w:rPr>
        <w:sym w:font="HQPB2" w:char="F062"/>
      </w:r>
      <w:r>
        <w:rPr>
          <w:color w:val="000000"/>
          <w:sz w:val="21"/>
          <w:szCs w:val="21"/>
        </w:rPr>
        <w:sym w:font="HQPB2" w:char="F071"/>
      </w:r>
      <w:r>
        <w:rPr>
          <w:color w:val="000000"/>
          <w:sz w:val="21"/>
          <w:szCs w:val="21"/>
        </w:rPr>
        <w:sym w:font="HQPB4" w:char="F0E7"/>
      </w:r>
      <w:r>
        <w:rPr>
          <w:color w:val="000000"/>
          <w:sz w:val="21"/>
          <w:szCs w:val="21"/>
        </w:rPr>
        <w:sym w:font="HQPB1" w:char="F02F"/>
      </w:r>
      <w:r>
        <w:rPr>
          <w:color w:val="000000"/>
          <w:sz w:val="21"/>
          <w:szCs w:val="21"/>
        </w:rPr>
        <w:sym w:font="HQPB2" w:char="F071"/>
      </w:r>
      <w:r>
        <w:rPr>
          <w:color w:val="000000"/>
          <w:sz w:val="21"/>
          <w:szCs w:val="21"/>
        </w:rPr>
        <w:sym w:font="HQPB4" w:char="F0E0"/>
      </w:r>
      <w:r>
        <w:rPr>
          <w:color w:val="000000"/>
          <w:sz w:val="21"/>
          <w:szCs w:val="21"/>
        </w:rPr>
        <w:sym w:font="HQPB1" w:char="F066"/>
      </w:r>
      <w:r>
        <w:rPr>
          <w:color w:val="000000"/>
          <w:sz w:val="21"/>
          <w:szCs w:val="21"/>
        </w:rPr>
        <w:sym w:font="HQPB4" w:char="F0F3"/>
      </w:r>
      <w:r>
        <w:rPr>
          <w:color w:val="000000"/>
          <w:sz w:val="21"/>
          <w:szCs w:val="21"/>
        </w:rPr>
        <w:sym w:font="HQPB1" w:char="F073"/>
      </w:r>
      <w:r>
        <w:rPr>
          <w:color w:val="000000"/>
          <w:sz w:val="21"/>
          <w:szCs w:val="21"/>
        </w:rPr>
        <w:sym w:font="HQPB5" w:char="F070"/>
      </w:r>
      <w:r>
        <w:rPr>
          <w:color w:val="000000"/>
          <w:sz w:val="21"/>
          <w:szCs w:val="21"/>
        </w:rPr>
        <w:sym w:font="HQPB3" w:char="F052"/>
      </w:r>
      <w:r>
        <w:rPr>
          <w:color w:val="000000"/>
          <w:sz w:val="21"/>
          <w:szCs w:val="21"/>
        </w:rPr>
        <w:sym w:font="HQPB4" w:char="F0B0"/>
      </w:r>
      <w:r>
        <w:rPr>
          <w:color w:val="000000"/>
          <w:sz w:val="21"/>
          <w:szCs w:val="21"/>
        </w:rPr>
        <w:sym w:font="HQPB3" w:char="F051"/>
      </w:r>
      <w:r>
        <w:rPr>
          <w:color w:val="000000"/>
          <w:sz w:val="28"/>
          <w:rtl/>
        </w:rPr>
        <w:t xml:space="preserve"> </w:t>
      </w:r>
      <w:r>
        <w:rPr>
          <w:rFonts w:hint="eastAsia"/>
          <w:rtl/>
        </w:rPr>
        <w:t>»</w:t>
      </w:r>
      <w:r>
        <w:rPr>
          <w:rFonts w:hint="cs"/>
          <w:rtl/>
        </w:rPr>
        <w:t>. فاستدل أهل السنة بهذه الآية على إثبات الرؤية لا من حيث التخصيص؛ بل لكونهم محجوبين ...</w:t>
      </w:r>
      <w:r>
        <w:rPr>
          <w:rFonts w:hint="eastAsia"/>
          <w:rtl/>
        </w:rPr>
        <w:t>»</w:t>
      </w:r>
      <w:r>
        <w:rPr>
          <w:rFonts w:hint="cs"/>
          <w:rtl/>
        </w:rPr>
        <w:t>.</w:t>
      </w:r>
    </w:p>
    <w:p w:rsidR="00035BE3" w:rsidRDefault="00035BE3" w:rsidP="00C10469">
      <w:pPr>
        <w:pStyle w:val="a6"/>
        <w:ind w:left="422" w:firstLine="0"/>
        <w:rPr>
          <w:rtl/>
        </w:rPr>
      </w:pPr>
      <w:r>
        <w:rPr>
          <w:rFonts w:hint="cs"/>
          <w:rtl/>
        </w:rPr>
        <w:t>ويلحظ أن المؤلف أسقط هذه العبارة هنا واستفاد منها في صياغة الاعتراض السابق.</w:t>
      </w:r>
    </w:p>
    <w:p w:rsidR="00035BE3" w:rsidRDefault="00035BE3" w:rsidP="00C10469">
      <w:pPr>
        <w:pStyle w:val="a6"/>
        <w:ind w:left="422" w:firstLine="0"/>
        <w:rPr>
          <w:rtl/>
        </w:rPr>
      </w:pPr>
      <w:r>
        <w:rPr>
          <w:rFonts w:hint="cs"/>
          <w:rtl/>
        </w:rPr>
        <w:t>وانظر شرح العلائي لقواعد الخادمي، ل18/ب.</w:t>
      </w:r>
    </w:p>
  </w:footnote>
  <w:footnote w:id="218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بعض كتب الفقه، كما ورد معناها العام في بعض كتب القواعد:</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الأشباه والنظائر لابن الوكيل، 2/54 -حيث أفرد فصلاً بعنوان : «التائب عن المعصية قد يستبرأ وقد لا يستبرأ»-؛ المنـثور،1/423 -حيث ذكر من مباحث التوبة : «... الخامس : المعصية، إما أن تكون من حقوق الله أو لآدمي.</w:t>
      </w:r>
    </w:p>
    <w:p w:rsidR="00035BE3" w:rsidRDefault="00035BE3" w:rsidP="00C10469">
      <w:pPr>
        <w:pStyle w:val="a6"/>
        <w:ind w:left="422" w:firstLine="0"/>
        <w:rPr>
          <w:rtl/>
        </w:rPr>
      </w:pPr>
      <w:r>
        <w:rPr>
          <w:rFonts w:hint="cs"/>
          <w:b/>
          <w:bCs/>
          <w:rtl/>
        </w:rPr>
        <w:t>الأول</w:t>
      </w:r>
      <w:r>
        <w:rPr>
          <w:rFonts w:hint="cs"/>
          <w:rtl/>
        </w:rPr>
        <w:t xml:space="preserve"> : إن كان ترك صلاة أو صوم أو زكاة : فـلا تصح التوبة منه حتى ينضم إلى ذلك القضاء. و</w:t>
      </w:r>
      <w:r>
        <w:rPr>
          <w:rFonts w:hint="cs"/>
          <w:b/>
          <w:bCs/>
          <w:rtl/>
        </w:rPr>
        <w:t>الثاني</w:t>
      </w:r>
      <w:r>
        <w:rPr>
          <w:rFonts w:hint="cs"/>
          <w:rtl/>
        </w:rPr>
        <w:t xml:space="preserve"> : ...»-.</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الهداية والعناية، 7/480؛ الدّرر، 2/391.</w:t>
      </w:r>
    </w:p>
  </w:footnote>
  <w:footnote w:id="218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جاء في أول شرح القاعدة من نسخة (د) : « ولا الا يصح ».</w:t>
      </w:r>
    </w:p>
  </w:footnote>
  <w:footnote w:id="218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 يتقيد ». والصحيح ما تمّ إثباته من (ب) و(د)، وهو الموافق للدّرر والعناية.</w:t>
      </w:r>
    </w:p>
  </w:footnote>
  <w:footnote w:id="218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2/391 - مع شيء من الاختلاف-.</w:t>
      </w:r>
    </w:p>
    <w:p w:rsidR="00035BE3" w:rsidRDefault="00035BE3" w:rsidP="00C10469">
      <w:pPr>
        <w:pStyle w:val="a6"/>
        <w:ind w:left="422" w:firstLine="0"/>
        <w:rPr>
          <w:rtl/>
        </w:rPr>
      </w:pPr>
      <w:r>
        <w:rPr>
          <w:rFonts w:hint="cs"/>
          <w:rtl/>
        </w:rPr>
        <w:t>وانظر : الهداية وشرحها : العناية، 7/479-480.</w:t>
      </w:r>
    </w:p>
    <w:p w:rsidR="00035BE3" w:rsidRDefault="00035BE3" w:rsidP="00C10469">
      <w:pPr>
        <w:pStyle w:val="a6"/>
        <w:ind w:left="422" w:firstLine="0"/>
        <w:rPr>
          <w:rtl/>
        </w:rPr>
      </w:pPr>
      <w:r>
        <w:rPr>
          <w:rFonts w:hint="cs"/>
          <w:rtl/>
        </w:rPr>
        <w:t>وقوله : «فالتوبة عنها تتقيد به» معناه : فالتوبة عن شهادة الزور تتقيَّد بمجلس الحكم.</w:t>
      </w:r>
    </w:p>
  </w:footnote>
  <w:footnote w:id="2189">
    <w:p w:rsidR="00035BE3" w:rsidRDefault="00035BE3" w:rsidP="00C10469">
      <w:pPr>
        <w:pStyle w:val="a8"/>
        <w:bidi/>
        <w:spacing w:line="228" w:lineRule="auto"/>
        <w:ind w:left="420" w:right="0"/>
        <w:rPr>
          <w:spacing w:val="8"/>
          <w:rtl/>
        </w:rPr>
      </w:pPr>
      <w:r>
        <w:rPr>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و(د) : </w:t>
      </w:r>
      <w:r>
        <w:rPr>
          <w:rFonts w:hint="eastAsia"/>
          <w:spacing w:val="8"/>
          <w:rtl/>
        </w:rPr>
        <w:t>«</w:t>
      </w:r>
      <w:r>
        <w:rPr>
          <w:rFonts w:hint="cs"/>
          <w:spacing w:val="8"/>
          <w:rtl/>
        </w:rPr>
        <w:t>قضاء</w:t>
      </w:r>
      <w:r>
        <w:rPr>
          <w:rFonts w:hint="eastAsia"/>
          <w:spacing w:val="8"/>
          <w:rtl/>
        </w:rPr>
        <w:t>»</w:t>
      </w:r>
      <w:r>
        <w:rPr>
          <w:rFonts w:hint="cs"/>
          <w:spacing w:val="8"/>
          <w:rtl/>
        </w:rPr>
        <w:t xml:space="preserve">. والصحيح ما تمَّ إثباته من (ب)؛ وهو الموافق لمصدر هذه القاعدة (وهو الدّرر)، ولأن المؤلف قد ذكر معنى القاعدة في أثناء الشرح، وقد اتفقت جميع النسخ على لفظ (نصًّا) - وذلك حينما قال : </w:t>
      </w:r>
      <w:r>
        <w:rPr>
          <w:rFonts w:hint="eastAsia"/>
          <w:spacing w:val="8"/>
          <w:rtl/>
        </w:rPr>
        <w:t>«</w:t>
      </w:r>
      <w:r>
        <w:rPr>
          <w:rFonts w:hint="cs"/>
          <w:spacing w:val="8"/>
          <w:rtl/>
        </w:rPr>
        <w:t xml:space="preserve">فإنها وإن لم تكن مشروطة </w:t>
      </w:r>
      <w:r>
        <w:rPr>
          <w:rFonts w:hint="cs"/>
          <w:b/>
          <w:bCs/>
          <w:spacing w:val="8"/>
          <w:rtl/>
        </w:rPr>
        <w:t>نصًّا</w:t>
      </w:r>
      <w:r>
        <w:rPr>
          <w:rFonts w:hint="cs"/>
          <w:spacing w:val="8"/>
          <w:rtl/>
        </w:rPr>
        <w:t xml:space="preserve"> فهي مشروطة اقتضاء</w:t>
      </w:r>
      <w:r>
        <w:rPr>
          <w:rFonts w:hint="eastAsia"/>
          <w:spacing w:val="8"/>
          <w:rtl/>
        </w:rPr>
        <w:t>»</w:t>
      </w:r>
      <w:r>
        <w:rPr>
          <w:rFonts w:hint="cs"/>
          <w:spacing w:val="8"/>
          <w:rtl/>
        </w:rPr>
        <w:t>-؛ بل لم يرد لفظ (قضاء) في أثناء الشرح إطلاقًا.</w:t>
      </w:r>
    </w:p>
  </w:footnote>
  <w:footnote w:id="2190">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هذه قاعدة أصولية تتكلَّم عن حجِّية طريق من طرق دلالة الألفاظ على الأحكام عند الحنفية وهي دلالة الاقتضاء، أو ما يسمُّونه أيضًا بالمقتضى.</w:t>
      </w:r>
    </w:p>
    <w:p w:rsidR="00035BE3" w:rsidRDefault="00035BE3" w:rsidP="00C10469">
      <w:pPr>
        <w:pStyle w:val="a6"/>
        <w:spacing w:line="228" w:lineRule="auto"/>
        <w:ind w:left="420" w:firstLine="0"/>
        <w:rPr>
          <w:rtl/>
        </w:rPr>
      </w:pPr>
      <w:r>
        <w:rPr>
          <w:rFonts w:hint="cs"/>
          <w:rtl/>
        </w:rPr>
        <w:t xml:space="preserve">وممّا قيل في تعريف هذه الطريق : ما جاء في (التلويح) : </w:t>
      </w:r>
      <w:r>
        <w:rPr>
          <w:rFonts w:hint="eastAsia"/>
          <w:rtl/>
        </w:rPr>
        <w:t>«</w:t>
      </w:r>
      <w:r>
        <w:rPr>
          <w:rFonts w:hint="cs"/>
          <w:rtl/>
        </w:rPr>
        <w:t>أن الاقتضاء هو دلالة اللفظ على معنى خارج يتوقف عليه صدقه أو صحته الشرعية أو العقلية</w:t>
      </w:r>
      <w:r>
        <w:rPr>
          <w:rFonts w:hint="eastAsia"/>
          <w:rtl/>
        </w:rPr>
        <w:t>»</w:t>
      </w:r>
      <w:r>
        <w:rPr>
          <w:rFonts w:hint="cs"/>
          <w:rtl/>
        </w:rPr>
        <w:t>.</w:t>
      </w:r>
    </w:p>
    <w:p w:rsidR="00035BE3" w:rsidRDefault="00035BE3" w:rsidP="00C10469">
      <w:pPr>
        <w:pStyle w:val="a6"/>
        <w:spacing w:line="228" w:lineRule="auto"/>
        <w:ind w:left="420" w:firstLine="0"/>
        <w:rPr>
          <w:spacing w:val="8"/>
          <w:rtl/>
        </w:rPr>
      </w:pPr>
      <w:r>
        <w:rPr>
          <w:rFonts w:hint="cs"/>
          <w:spacing w:val="8"/>
          <w:rtl/>
        </w:rPr>
        <w:t xml:space="preserve">وقد زاد المعنى إيضاحًا صاحب (تفسير النصوص)، حيث قال عقب هذا التعريف: </w:t>
      </w:r>
      <w:r>
        <w:rPr>
          <w:rFonts w:hint="eastAsia"/>
          <w:spacing w:val="8"/>
          <w:rtl/>
        </w:rPr>
        <w:t>«</w:t>
      </w:r>
      <w:r>
        <w:rPr>
          <w:rFonts w:hint="cs"/>
          <w:spacing w:val="8"/>
          <w:rtl/>
        </w:rPr>
        <w:t>وهكذا: لم تكن الدلالة على الحكم في هذا النوع من طرق الدلالة بالصيغة أو بمعناها؛ بل بأمرٍ زائد، اقتضاه صدقُ الكلام أو صحته</w:t>
      </w:r>
      <w:r>
        <w:rPr>
          <w:rFonts w:hint="eastAsia"/>
          <w:spacing w:val="8"/>
          <w:rtl/>
        </w:rPr>
        <w:t>»</w:t>
      </w:r>
      <w:r>
        <w:rPr>
          <w:rFonts w:hint="cs"/>
          <w:spacing w:val="8"/>
          <w:rtl/>
        </w:rPr>
        <w:t>.</w:t>
      </w:r>
    </w:p>
    <w:p w:rsidR="00035BE3" w:rsidRDefault="00035BE3" w:rsidP="00C10469">
      <w:pPr>
        <w:pStyle w:val="a6"/>
        <w:spacing w:line="228" w:lineRule="auto"/>
        <w:ind w:left="420" w:firstLine="0"/>
        <w:rPr>
          <w:rtl/>
        </w:rPr>
      </w:pPr>
      <w:r>
        <w:rPr>
          <w:rFonts w:hint="cs"/>
          <w:rtl/>
        </w:rPr>
        <w:t>ويقاسم الاقتضاء ثلاث طرق أخرى من طرق الدلالة، وهي : عبارة النص وإشارته ودلالته.</w:t>
      </w:r>
    </w:p>
    <w:p w:rsidR="00035BE3" w:rsidRDefault="00035BE3" w:rsidP="00C10469">
      <w:pPr>
        <w:pStyle w:val="a6"/>
        <w:spacing w:line="228" w:lineRule="auto"/>
        <w:ind w:left="420" w:firstLine="0"/>
        <w:rPr>
          <w:rtl/>
        </w:rPr>
      </w:pPr>
      <w:r>
        <w:rPr>
          <w:rFonts w:hint="eastAsia"/>
          <w:rtl/>
        </w:rPr>
        <w:t>«</w:t>
      </w:r>
      <w:r>
        <w:rPr>
          <w:rFonts w:hint="cs"/>
          <w:rtl/>
        </w:rPr>
        <w:t>ووجه الضبط في هذه الطرق الأربعة :</w:t>
      </w:r>
    </w:p>
    <w:p w:rsidR="00035BE3" w:rsidRDefault="00035BE3" w:rsidP="00C10469">
      <w:pPr>
        <w:pStyle w:val="a6"/>
        <w:ind w:left="422" w:firstLine="0"/>
        <w:rPr>
          <w:rtl/>
        </w:rPr>
      </w:pPr>
      <w:r>
        <w:rPr>
          <w:rFonts w:hint="cs"/>
          <w:rtl/>
        </w:rPr>
        <w:t>أن دلالة النص على الحكم إما أن تكون ثابتة باللفظ نفسه أوْلا:</w:t>
      </w:r>
    </w:p>
    <w:p w:rsidR="00035BE3" w:rsidRDefault="00035BE3" w:rsidP="00C10469">
      <w:pPr>
        <w:pStyle w:val="a6"/>
        <w:ind w:left="422" w:firstLine="0"/>
        <w:rPr>
          <w:rtl/>
        </w:rPr>
      </w:pPr>
      <w:r>
        <w:rPr>
          <w:rFonts w:hint="cs"/>
          <w:b/>
          <w:bCs/>
          <w:rtl/>
        </w:rPr>
        <w:t>أ</w:t>
      </w:r>
      <w:r>
        <w:rPr>
          <w:rFonts w:hint="cs"/>
          <w:rtl/>
        </w:rPr>
        <w:t xml:space="preserve"> </w:t>
      </w:r>
      <w:r>
        <w:rPr>
          <w:rFonts w:hint="cs"/>
          <w:b/>
          <w:bCs/>
          <w:rtl/>
        </w:rPr>
        <w:t>-</w:t>
      </w:r>
      <w:r>
        <w:rPr>
          <w:rFonts w:hint="cs"/>
          <w:rtl/>
        </w:rPr>
        <w:t xml:space="preserve"> فإن كانت ثابتة باللفظ نفسه، فهي إما أن تكون مقصودة منه أو غير مقصودة:</w:t>
      </w:r>
    </w:p>
    <w:p w:rsidR="00035BE3" w:rsidRDefault="00035BE3" w:rsidP="00C10469">
      <w:pPr>
        <w:pStyle w:val="a6"/>
        <w:ind w:left="422" w:firstLine="0"/>
        <w:rPr>
          <w:rtl/>
        </w:rPr>
      </w:pPr>
      <w:r>
        <w:rPr>
          <w:rFonts w:hint="cs"/>
          <w:b/>
          <w:bCs/>
          <w:rtl/>
        </w:rPr>
        <w:t>1-</w:t>
      </w:r>
      <w:r>
        <w:rPr>
          <w:rFonts w:hint="cs"/>
          <w:rtl/>
        </w:rPr>
        <w:t xml:space="preserve"> فإن كانت مقصودة منه بمعنى أنه مسوق لها : فهي </w:t>
      </w:r>
      <w:r>
        <w:rPr>
          <w:rFonts w:hint="cs"/>
          <w:b/>
          <w:bCs/>
          <w:rtl/>
        </w:rPr>
        <w:t>عبارة النصّ</w:t>
      </w:r>
      <w:r>
        <w:rPr>
          <w:rFonts w:hint="cs"/>
          <w:rtl/>
        </w:rPr>
        <w:t>.</w:t>
      </w:r>
    </w:p>
    <w:p w:rsidR="00035BE3" w:rsidRDefault="00035BE3" w:rsidP="00C10469">
      <w:pPr>
        <w:pStyle w:val="a6"/>
        <w:ind w:left="422" w:firstLine="0"/>
        <w:rPr>
          <w:rtl/>
        </w:rPr>
      </w:pPr>
      <w:r>
        <w:rPr>
          <w:rFonts w:hint="cs"/>
          <w:b/>
          <w:bCs/>
          <w:rtl/>
        </w:rPr>
        <w:t>2-</w:t>
      </w:r>
      <w:r>
        <w:rPr>
          <w:rFonts w:hint="cs"/>
          <w:rtl/>
        </w:rPr>
        <w:t xml:space="preserve"> وإن كانت غير مقصودة منه : فهي </w:t>
      </w:r>
      <w:r>
        <w:rPr>
          <w:rFonts w:hint="cs"/>
          <w:b/>
          <w:bCs/>
          <w:rtl/>
        </w:rPr>
        <w:t>إشارة النص</w:t>
      </w:r>
      <w:r>
        <w:rPr>
          <w:rFonts w:hint="cs"/>
          <w:rtl/>
        </w:rPr>
        <w:t>.</w:t>
      </w:r>
    </w:p>
    <w:p w:rsidR="00035BE3" w:rsidRDefault="00035BE3" w:rsidP="00C10469">
      <w:pPr>
        <w:pStyle w:val="a6"/>
        <w:ind w:left="422" w:firstLine="0"/>
        <w:rPr>
          <w:rtl/>
        </w:rPr>
      </w:pPr>
      <w:r>
        <w:rPr>
          <w:rFonts w:hint="cs"/>
          <w:b/>
          <w:bCs/>
          <w:rtl/>
        </w:rPr>
        <w:t>ب-</w:t>
      </w:r>
      <w:r>
        <w:rPr>
          <w:rFonts w:hint="cs"/>
          <w:rtl/>
        </w:rPr>
        <w:t xml:space="preserve"> أما إذا كانت الدلالة غير ثابتة باللفظ نفسه، فهي إما أن تكون مفهومة من اللفظ لغة أو تكون مفهومة منه شرعًا.</w:t>
      </w:r>
    </w:p>
    <w:p w:rsidR="00035BE3" w:rsidRDefault="00035BE3" w:rsidP="00C10469">
      <w:pPr>
        <w:pStyle w:val="a6"/>
        <w:ind w:left="422" w:firstLine="0"/>
        <w:rPr>
          <w:rtl/>
        </w:rPr>
      </w:pPr>
      <w:r>
        <w:rPr>
          <w:rFonts w:hint="cs"/>
          <w:b/>
          <w:bCs/>
          <w:rtl/>
        </w:rPr>
        <w:t>3-</w:t>
      </w:r>
      <w:r>
        <w:rPr>
          <w:rFonts w:hint="cs"/>
          <w:rtl/>
        </w:rPr>
        <w:t xml:space="preserve"> فإن كانت مفهومة منه لغة : فهي </w:t>
      </w:r>
      <w:r>
        <w:rPr>
          <w:rFonts w:hint="cs"/>
          <w:b/>
          <w:bCs/>
          <w:rtl/>
        </w:rPr>
        <w:t>دلالة النصِّ</w:t>
      </w:r>
      <w:r>
        <w:rPr>
          <w:rFonts w:hint="cs"/>
          <w:rtl/>
        </w:rPr>
        <w:t xml:space="preserve"> [وهي ما تسمى عند الجمهور بمفهوم الموافقة].</w:t>
      </w:r>
    </w:p>
    <w:p w:rsidR="00035BE3" w:rsidRDefault="00035BE3" w:rsidP="00C10469">
      <w:pPr>
        <w:pStyle w:val="a6"/>
        <w:ind w:left="422" w:firstLine="0"/>
        <w:rPr>
          <w:rtl/>
        </w:rPr>
      </w:pPr>
      <w:r>
        <w:rPr>
          <w:rFonts w:hint="cs"/>
          <w:b/>
          <w:bCs/>
          <w:rtl/>
        </w:rPr>
        <w:t>4-</w:t>
      </w:r>
      <w:r>
        <w:rPr>
          <w:rFonts w:hint="cs"/>
          <w:rtl/>
        </w:rPr>
        <w:t xml:space="preserve"> وإن كانت مفهومة منه شرعًا : فهي </w:t>
      </w:r>
      <w:r>
        <w:rPr>
          <w:rFonts w:hint="cs"/>
          <w:b/>
          <w:bCs/>
          <w:rtl/>
        </w:rPr>
        <w:t>دلالة الاقتضاء</w:t>
      </w:r>
      <w:r>
        <w:rPr>
          <w:rFonts w:hint="eastAsia"/>
          <w:rtl/>
        </w:rPr>
        <w:t>»</w:t>
      </w:r>
      <w:r>
        <w:rPr>
          <w:rFonts w:hint="cs"/>
          <w:rtl/>
        </w:rPr>
        <w:t>.</w:t>
      </w:r>
    </w:p>
    <w:p w:rsidR="00035BE3" w:rsidRPr="00465C22" w:rsidRDefault="00035BE3" w:rsidP="00C10469">
      <w:pPr>
        <w:pStyle w:val="a6"/>
        <w:ind w:left="422" w:firstLine="0"/>
        <w:rPr>
          <w:rtl/>
        </w:rPr>
      </w:pPr>
      <w:r w:rsidRPr="00465C22">
        <w:rPr>
          <w:rFonts w:hint="cs"/>
          <w:rtl/>
        </w:rPr>
        <w:t>ولو عدتَ إلى القاعدة فإنها أفادت أن الثابت بدلالة الاقتضاء بمنزلة الثابت بالنص، ولكن ليس فيها ما يبـيّـن المراد بالنصّ: هل هو عبارته أو إشارته أو دلالته أو المراد به النصّ مطلقًا ليشمل هذه المعاني الثلاثة؟.</w:t>
      </w:r>
    </w:p>
    <w:p w:rsidR="00035BE3" w:rsidRDefault="00035BE3" w:rsidP="00C10469">
      <w:pPr>
        <w:pStyle w:val="a6"/>
        <w:ind w:left="422" w:firstLine="0"/>
        <w:rPr>
          <w:rtl/>
        </w:rPr>
      </w:pPr>
      <w:r>
        <w:rPr>
          <w:rFonts w:hint="cs"/>
          <w:rtl/>
        </w:rPr>
        <w:t xml:space="preserve">وإذا علم أن المقصود من القاعدة هو بيان قوة ما ثبت بالاقتضاء، وأنَّ الثابت به أعلى رتبة من الثابت بالقياس - إذا علم هذا فإنه يحصل بكونه :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1-</w:t>
      </w:r>
      <w:r>
        <w:rPr>
          <w:rFonts w:hint="cs"/>
          <w:rtl/>
        </w:rPr>
        <w:t xml:space="preserve"> بمنزلة دلالة النصّ التي هي أعلى من القياس، وأقل من دلالة العبارة والإشارة.</w:t>
      </w:r>
    </w:p>
    <w:p w:rsidR="00035BE3" w:rsidRDefault="00035BE3" w:rsidP="00C10469">
      <w:pPr>
        <w:pStyle w:val="a6"/>
        <w:ind w:left="422" w:firstLine="0"/>
        <w:rPr>
          <w:rtl/>
        </w:rPr>
      </w:pPr>
      <w:r>
        <w:rPr>
          <w:rFonts w:hint="cs"/>
          <w:rtl/>
        </w:rPr>
        <w:t>ولهذا قال السرخسي :</w:t>
      </w:r>
    </w:p>
    <w:p w:rsidR="00035BE3" w:rsidRDefault="00035BE3" w:rsidP="00C10469">
      <w:pPr>
        <w:pStyle w:val="a6"/>
        <w:ind w:left="422" w:firstLine="0"/>
        <w:rPr>
          <w:rtl/>
        </w:rPr>
      </w:pPr>
      <w:r>
        <w:rPr>
          <w:rFonts w:hint="eastAsia"/>
          <w:rtl/>
        </w:rPr>
        <w:t>«</w:t>
      </w:r>
      <w:r>
        <w:rPr>
          <w:rFonts w:hint="cs"/>
          <w:b/>
          <w:bCs/>
          <w:rtl/>
        </w:rPr>
        <w:t>الثابت بطريق الاقتضاء بمنزلة الثابت بدلالة النص</w:t>
      </w:r>
      <w:r>
        <w:rPr>
          <w:rFonts w:hint="cs"/>
          <w:rtl/>
        </w:rPr>
        <w:t>، لا بمنزلة الثابت بطريق القياس</w:t>
      </w:r>
      <w:r>
        <w:rPr>
          <w:rFonts w:hint="eastAsia"/>
          <w:rtl/>
        </w:rPr>
        <w:t>»</w:t>
      </w:r>
      <w:r>
        <w:rPr>
          <w:rFonts w:hint="cs"/>
          <w:rtl/>
        </w:rPr>
        <w:t>.</w:t>
      </w:r>
    </w:p>
    <w:p w:rsidR="00035BE3" w:rsidRDefault="00035BE3" w:rsidP="00C10469">
      <w:pPr>
        <w:pStyle w:val="a6"/>
        <w:ind w:left="422" w:firstLine="0"/>
        <w:rPr>
          <w:rtl/>
        </w:rPr>
      </w:pPr>
      <w:r>
        <w:rPr>
          <w:rFonts w:hint="cs"/>
          <w:rtl/>
        </w:rPr>
        <w:t xml:space="preserve">ثم زاد الأمر إيضاحًا بقوله : </w:t>
      </w:r>
      <w:r>
        <w:rPr>
          <w:rFonts w:hint="eastAsia"/>
          <w:rtl/>
        </w:rPr>
        <w:t>«</w:t>
      </w:r>
      <w:r>
        <w:rPr>
          <w:rFonts w:hint="cs"/>
          <w:rtl/>
        </w:rPr>
        <w:t>إلا أنَّ [كذا قال] عند المعارضة : الثابت بدلالة النص أقوى</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أوجز ذلك الخبَّازي فقال - بعد أن بيَّـن كـون المقتضى لا يعارضه القياس- : </w:t>
      </w:r>
      <w:r>
        <w:rPr>
          <w:rFonts w:hint="eastAsia"/>
          <w:rtl/>
        </w:rPr>
        <w:t>«</w:t>
      </w:r>
      <w:r>
        <w:rPr>
          <w:rFonts w:hint="cs"/>
          <w:rtl/>
        </w:rPr>
        <w:t>والثابت به [أي بالمقتضى] كالثابت بدلالة النص إلا عند المعارضة</w:t>
      </w:r>
      <w:r>
        <w:rPr>
          <w:rFonts w:hint="eastAsia"/>
          <w:rtl/>
        </w:rPr>
        <w:t>»</w:t>
      </w:r>
      <w:r>
        <w:rPr>
          <w:rFonts w:hint="cs"/>
          <w:rtl/>
        </w:rPr>
        <w:t>.</w:t>
      </w:r>
    </w:p>
    <w:p w:rsidR="00035BE3" w:rsidRDefault="00035BE3" w:rsidP="00C10469">
      <w:pPr>
        <w:pStyle w:val="a6"/>
        <w:ind w:left="422" w:firstLine="0"/>
        <w:rPr>
          <w:rtl/>
        </w:rPr>
      </w:pPr>
      <w:r>
        <w:rPr>
          <w:rFonts w:hint="cs"/>
          <w:b/>
          <w:bCs/>
          <w:rtl/>
        </w:rPr>
        <w:t>2-</w:t>
      </w:r>
      <w:r>
        <w:rPr>
          <w:rFonts w:hint="cs"/>
          <w:rtl/>
        </w:rPr>
        <w:t xml:space="preserve"> كما يحصل بكون الثابت بالاقتضاء بمنزلة النص مطلقًا.</w:t>
      </w:r>
    </w:p>
    <w:p w:rsidR="00035BE3" w:rsidRDefault="00035BE3" w:rsidP="00C10469">
      <w:pPr>
        <w:pStyle w:val="a6"/>
        <w:ind w:left="422" w:firstLine="0"/>
        <w:rPr>
          <w:rtl/>
        </w:rPr>
      </w:pPr>
      <w:r>
        <w:rPr>
          <w:rFonts w:hint="cs"/>
          <w:rtl/>
        </w:rPr>
        <w:t xml:space="preserve">لهذا قال البزدوي : </w:t>
      </w:r>
      <w:r>
        <w:rPr>
          <w:rFonts w:hint="eastAsia"/>
          <w:rtl/>
        </w:rPr>
        <w:t>«</w:t>
      </w:r>
      <w:r>
        <w:rPr>
          <w:rFonts w:hint="cs"/>
          <w:b/>
          <w:bCs/>
          <w:rtl/>
        </w:rPr>
        <w:t>الثابت به</w:t>
      </w:r>
      <w:r>
        <w:rPr>
          <w:rFonts w:hint="cs"/>
          <w:rtl/>
        </w:rPr>
        <w:t xml:space="preserve"> [أي بالمقتضى] </w:t>
      </w:r>
      <w:r>
        <w:rPr>
          <w:rFonts w:hint="cs"/>
          <w:b/>
          <w:bCs/>
          <w:rtl/>
        </w:rPr>
        <w:t>بمنزلة الثابت بنفس النظم</w:t>
      </w:r>
      <w:r>
        <w:rPr>
          <w:rFonts w:hint="cs"/>
          <w:rtl/>
        </w:rPr>
        <w:t xml:space="preserve"> دون القياس؛ حتى إن القياس لا يعارض شيئًا من هذه الأقسام. والثابت بهذا يعدل الثابت بالنص إلا عند المعارضة به</w:t>
      </w:r>
      <w:r>
        <w:rPr>
          <w:rFonts w:hint="eastAsia"/>
          <w:rtl/>
        </w:rPr>
        <w:t>»</w:t>
      </w:r>
      <w:r>
        <w:rPr>
          <w:rFonts w:hint="cs"/>
          <w:rtl/>
        </w:rPr>
        <w:t xml:space="preserve">. قال البخاري-: </w:t>
      </w:r>
      <w:r>
        <w:rPr>
          <w:rFonts w:hint="eastAsia"/>
          <w:rtl/>
        </w:rPr>
        <w:t>«</w:t>
      </w:r>
      <w:r>
        <w:rPr>
          <w:rFonts w:hint="cs"/>
          <w:rtl/>
        </w:rPr>
        <w:t>فإن الثابت بالنص أو إشارته أو دلالته يكون أقوى من الثابت بالمقتضى</w:t>
      </w:r>
      <w:r>
        <w:rPr>
          <w:rFonts w:hint="eastAsia"/>
          <w:rtl/>
        </w:rPr>
        <w:t>»</w:t>
      </w:r>
      <w:r>
        <w:rPr>
          <w:rFonts w:hint="cs"/>
          <w:rtl/>
        </w:rPr>
        <w:t>.</w:t>
      </w:r>
    </w:p>
    <w:p w:rsidR="00035BE3" w:rsidRDefault="00035BE3" w:rsidP="00C10469">
      <w:pPr>
        <w:pStyle w:val="a6"/>
        <w:ind w:left="422" w:firstLine="0"/>
        <w:rPr>
          <w:rtl/>
        </w:rPr>
      </w:pPr>
      <w:r>
        <w:rPr>
          <w:rFonts w:hint="cs"/>
          <w:b/>
          <w:bCs/>
          <w:rtl/>
        </w:rPr>
        <w:t>ولتوثيق ما سبق</w:t>
      </w:r>
      <w:r>
        <w:rPr>
          <w:rFonts w:hint="cs"/>
          <w:rtl/>
        </w:rPr>
        <w:t xml:space="preserve"> : فإنّ معنى الاقتضاء منقول من التلويح، 1/137، وتوضيحه مستفاد من تفسير النصوص، 1/548.</w:t>
      </w:r>
    </w:p>
    <w:p w:rsidR="00035BE3" w:rsidRDefault="00035BE3" w:rsidP="00C10469">
      <w:pPr>
        <w:pStyle w:val="a6"/>
        <w:ind w:left="422" w:firstLine="0"/>
        <w:rPr>
          <w:rtl/>
        </w:rPr>
      </w:pPr>
      <w:r>
        <w:rPr>
          <w:rFonts w:hint="cs"/>
          <w:rtl/>
        </w:rPr>
        <w:t>ووجه الضبط للطرق الأربعة مستفاد من تفسير النصوص، 1/466 -بتصرف-؛ وانظر : مختصر ذلك في التلويح، 1/130؛ التعريفات للجرجاني، ص139، فقرة 690.</w:t>
      </w:r>
    </w:p>
    <w:p w:rsidR="00035BE3" w:rsidRDefault="00035BE3" w:rsidP="00C10469">
      <w:pPr>
        <w:pStyle w:val="a6"/>
        <w:ind w:left="422" w:firstLine="0"/>
        <w:rPr>
          <w:rtl/>
        </w:rPr>
      </w:pPr>
      <w:r>
        <w:rPr>
          <w:rFonts w:hint="cs"/>
          <w:rtl/>
        </w:rPr>
        <w:t xml:space="preserve">والكلام المنقول عن السرخسي والخبازي مذكور في كتابيهما : أصول السرخسي، 1/248؛ والمغني، ص158؛ وانظر : كشف الأسرار للبخاري، 1/190. </w:t>
      </w:r>
    </w:p>
    <w:p w:rsidR="00035BE3" w:rsidRDefault="00035BE3" w:rsidP="00C10469">
      <w:pPr>
        <w:pStyle w:val="a6"/>
        <w:ind w:left="422" w:firstLine="0"/>
        <w:rPr>
          <w:rtl/>
        </w:rPr>
      </w:pPr>
      <w:r>
        <w:rPr>
          <w:rFonts w:hint="cs"/>
          <w:rtl/>
        </w:rPr>
        <w:t>والكلام المنقول عن البزدوي والبخاري مذكور في كتابيهما : أصول البزدوي وشرحه : كشف الأسرار، 2/439-440.</w:t>
      </w:r>
    </w:p>
    <w:p w:rsidR="00035BE3" w:rsidRDefault="00035BE3" w:rsidP="00C10469">
      <w:pPr>
        <w:pStyle w:val="a6"/>
        <w:ind w:left="422" w:firstLine="0"/>
        <w:rPr>
          <w:spacing w:val="-6"/>
          <w:rtl/>
        </w:rPr>
      </w:pPr>
      <w:r>
        <w:rPr>
          <w:rFonts w:hint="cs"/>
          <w:spacing w:val="-6"/>
          <w:rtl/>
        </w:rPr>
        <w:t xml:space="preserve">ويـضاف إلى ما سـبـق : فـإن الـقاعدة وردت باللفظ الذي ذكره المؤلف أو نحوه في بعض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القواعد والضوابط المستخلصة من التحرير، ص485، وأحال إلى التحرير، 2/496، 3/209 -ولفظه : </w:t>
      </w:r>
      <w:r>
        <w:rPr>
          <w:rFonts w:hint="eastAsia"/>
          <w:rtl/>
        </w:rPr>
        <w:t>«</w:t>
      </w:r>
      <w:r>
        <w:rPr>
          <w:rFonts w:hint="cs"/>
          <w:rtl/>
        </w:rPr>
        <w:t>الثابت بمقتضى الكلام فيما يرجع إلى تصحيح الكلام كالمصرّح به</w:t>
      </w:r>
      <w:r>
        <w:rPr>
          <w:rFonts w:hint="eastAsia"/>
          <w:rtl/>
        </w:rPr>
        <w:t>»</w:t>
      </w:r>
      <w:r>
        <w:rPr>
          <w:rFonts w:hint="cs"/>
          <w:rtl/>
        </w:rPr>
        <w:t xml:space="preserve">؛ موسوعة القواعد الفقهية، 4/527 - وقد ذكر عدّة ألفاظ منها اللفظ السابق، ولفظ آخر وهو : </w:t>
      </w:r>
      <w:r>
        <w:rPr>
          <w:rFonts w:hint="eastAsia"/>
          <w:rtl/>
        </w:rPr>
        <w:t>«</w:t>
      </w:r>
      <w:r>
        <w:rPr>
          <w:rFonts w:hint="cs"/>
          <w:rtl/>
        </w:rPr>
        <w:t>الثابت بمقتضى الكلام - أو بمقتضى النص- كالثابت بالنَّص</w:t>
      </w:r>
      <w:r>
        <w:rPr>
          <w:rFonts w:hint="eastAsia"/>
          <w:rtl/>
        </w:rPr>
        <w:t>»</w:t>
      </w:r>
      <w:r>
        <w:rPr>
          <w:rFonts w:hint="cs"/>
          <w:rtl/>
        </w:rPr>
        <w:t xml:space="preserve">-. </w:t>
      </w:r>
    </w:p>
    <w:p w:rsidR="00035BE3" w:rsidRDefault="00035BE3" w:rsidP="00C10469">
      <w:pPr>
        <w:pStyle w:val="a6"/>
        <w:rPr>
          <w:b/>
          <w:bCs/>
          <w:rtl/>
        </w:rPr>
      </w:pPr>
      <w:r>
        <w:rPr>
          <w:rFonts w:hint="cs"/>
          <w:b/>
          <w:bCs/>
          <w:rtl/>
        </w:rPr>
        <w:t xml:space="preserve">ومن كتب الفقه : </w:t>
      </w:r>
    </w:p>
    <w:p w:rsidR="00035BE3" w:rsidRDefault="00035BE3" w:rsidP="00C10469">
      <w:pPr>
        <w:pStyle w:val="a6"/>
        <w:ind w:left="422" w:firstLine="0"/>
        <w:rPr>
          <w:rtl/>
        </w:rPr>
      </w:pPr>
      <w:r>
        <w:rPr>
          <w:rFonts w:hint="cs"/>
          <w:rtl/>
        </w:rPr>
        <w:t xml:space="preserve">الـمبسوط، 7/100، 8/177، 17/45؛ الدّرر شرح الغرر، 2/137 - والقاعدة وما جاء في شرحها مذكور في الدّرر-.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4"/>
          <w:rtl/>
        </w:rPr>
      </w:pPr>
      <w:r>
        <w:rPr>
          <w:rFonts w:hint="cs"/>
          <w:spacing w:val="-4"/>
          <w:rtl/>
        </w:rPr>
        <w:t>وللتوسع في طرق الدلالات عند الحنفية انظر : أصول البزدوي وشرحه : كشف الأسرار، 1/171؛ أصول السرخسي، 1/236؛ ميزان الأصول، 1/567؛ المغني للخبازي، ص149؛ المنار وشرحيه : كـشف الأسرار، 1/374؛ وجامع الأسرار للكاكي، 2/499؛ التنقيح وشرحيه : التوضيح والتلويح، 1/129؛ مرآة الأصول وحاشية الإزميري عليه، 2/69.</w:t>
      </w:r>
    </w:p>
  </w:footnote>
  <w:footnote w:id="219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مصدر هذه العبارة (وهو الدّرر) : </w:t>
      </w:r>
      <w:r>
        <w:rPr>
          <w:rFonts w:hint="eastAsia"/>
          <w:rtl/>
        </w:rPr>
        <w:t>«</w:t>
      </w:r>
      <w:r>
        <w:rPr>
          <w:rFonts w:hint="cs"/>
          <w:rtl/>
        </w:rPr>
        <w:t>تجب عمارته، سواء ...</w:t>
      </w:r>
      <w:r>
        <w:rPr>
          <w:rFonts w:hint="eastAsia"/>
          <w:rtl/>
        </w:rPr>
        <w:t>»</w:t>
      </w:r>
      <w:r>
        <w:rPr>
          <w:rFonts w:hint="cs"/>
          <w:rtl/>
        </w:rPr>
        <w:t>، وما في الدرر هو الأفصح.</w:t>
      </w:r>
    </w:p>
  </w:footnote>
  <w:footnote w:id="219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يكن</w:t>
      </w:r>
      <w:r>
        <w:rPr>
          <w:rFonts w:hint="eastAsia"/>
          <w:rtl/>
        </w:rPr>
        <w:t>»</w:t>
      </w:r>
      <w:r>
        <w:rPr>
          <w:rFonts w:hint="cs"/>
          <w:rtl/>
        </w:rPr>
        <w:t>. والصحيح ما تمَّ إثباته من (ب)، وهو الموافق للدّرر.</w:t>
      </w:r>
    </w:p>
  </w:footnote>
  <w:footnote w:id="219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25/أ من (د).</w:t>
      </w:r>
    </w:p>
  </w:footnote>
  <w:footnote w:id="219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39/ب من (أ).</w:t>
      </w:r>
    </w:p>
  </w:footnote>
  <w:footnote w:id="219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العلة</w:t>
      </w:r>
      <w:r>
        <w:rPr>
          <w:rFonts w:hint="eastAsia"/>
          <w:rtl/>
        </w:rPr>
        <w:t>»</w:t>
      </w:r>
      <w:r>
        <w:rPr>
          <w:rFonts w:hint="cs"/>
          <w:rtl/>
        </w:rPr>
        <w:t>.</w:t>
      </w:r>
    </w:p>
  </w:footnote>
  <w:footnote w:id="219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مصارف الوقف. علمًا بأنه جاء في (ب) و(د) : </w:t>
      </w:r>
      <w:r>
        <w:rPr>
          <w:rFonts w:hint="eastAsia"/>
          <w:rtl/>
        </w:rPr>
        <w:t>«</w:t>
      </w:r>
      <w:r>
        <w:rPr>
          <w:rFonts w:hint="cs"/>
          <w:rtl/>
        </w:rPr>
        <w:t>المضاف</w:t>
      </w:r>
      <w:r>
        <w:rPr>
          <w:rFonts w:hint="eastAsia"/>
          <w:rtl/>
        </w:rPr>
        <w:t>»</w:t>
      </w:r>
      <w:r>
        <w:rPr>
          <w:rFonts w:hint="cs"/>
          <w:rtl/>
        </w:rPr>
        <w:t xml:space="preserve"> وليس (المصارف)</w:t>
      </w:r>
    </w:p>
  </w:footnote>
  <w:footnote w:id="219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فثبت</w:t>
      </w:r>
      <w:r>
        <w:rPr>
          <w:rFonts w:hint="eastAsia"/>
          <w:rtl/>
        </w:rPr>
        <w:t>»</w:t>
      </w:r>
      <w:r>
        <w:rPr>
          <w:rFonts w:hint="cs"/>
          <w:rtl/>
        </w:rPr>
        <w:t>.</w:t>
      </w:r>
    </w:p>
  </w:footnote>
  <w:footnote w:id="219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2/137 -مع الاختلاف اليسير الذي سبق بيانه-.</w:t>
      </w:r>
    </w:p>
  </w:footnote>
  <w:footnote w:id="2199">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وردت هذه القاعدة في كتاب قواعد الفقه للمجدّدي، ص73، قاعدة 98، بلفظ : </w:t>
      </w:r>
      <w:r>
        <w:rPr>
          <w:rFonts w:hint="eastAsia"/>
          <w:rtl/>
        </w:rPr>
        <w:t>«</w:t>
      </w:r>
      <w:r>
        <w:rPr>
          <w:rFonts w:hint="cs"/>
          <w:rtl/>
        </w:rPr>
        <w:t xml:space="preserve">الثابت بالبينة كالثابت </w:t>
      </w:r>
      <w:r>
        <w:rPr>
          <w:rFonts w:hint="cs"/>
          <w:b/>
          <w:bCs/>
          <w:rtl/>
        </w:rPr>
        <w:t>باتفاق</w:t>
      </w:r>
      <w:r>
        <w:rPr>
          <w:rFonts w:hint="cs"/>
          <w:rtl/>
        </w:rPr>
        <w:t xml:space="preserve"> الخصم</w:t>
      </w:r>
      <w:r>
        <w:rPr>
          <w:rFonts w:hint="eastAsia"/>
          <w:rtl/>
        </w:rPr>
        <w:t>»</w:t>
      </w:r>
      <w:r>
        <w:rPr>
          <w:rFonts w:hint="cs"/>
          <w:rtl/>
        </w:rPr>
        <w:t xml:space="preserve">؛ كما وردت في موسوعة القواعد الفقهية -4/527- بعدّة ألفاظ، أكثرها مستفاد من المبسوط، منها : </w:t>
      </w:r>
      <w:r>
        <w:rPr>
          <w:rFonts w:hint="eastAsia"/>
          <w:rtl/>
        </w:rPr>
        <w:t>«</w:t>
      </w:r>
      <w:r>
        <w:rPr>
          <w:rFonts w:hint="cs"/>
          <w:rtl/>
        </w:rPr>
        <w:t>الثابت بشهادة العدالة كالثابت بإقرار الخصم، أو أقوى منه</w:t>
      </w:r>
      <w:r>
        <w:rPr>
          <w:rFonts w:hint="eastAsia"/>
          <w:rtl/>
        </w:rPr>
        <w:t>»</w:t>
      </w:r>
      <w:r>
        <w:rPr>
          <w:rFonts w:hint="cs"/>
          <w:rtl/>
        </w:rPr>
        <w:t>.</w:t>
      </w:r>
    </w:p>
    <w:p w:rsidR="00035BE3" w:rsidRDefault="00035BE3" w:rsidP="00C10469">
      <w:pPr>
        <w:pStyle w:val="a6"/>
        <w:ind w:left="422" w:firstLine="0"/>
        <w:rPr>
          <w:rtl/>
        </w:rPr>
      </w:pPr>
      <w:r>
        <w:rPr>
          <w:rFonts w:hint="cs"/>
          <w:rtl/>
        </w:rPr>
        <w:t xml:space="preserve">ووردت قبل ذلك في كثير من كتب الفقه، منها : </w:t>
      </w:r>
    </w:p>
    <w:p w:rsidR="00035BE3" w:rsidRDefault="00035BE3" w:rsidP="00C10469">
      <w:pPr>
        <w:pStyle w:val="a6"/>
        <w:ind w:left="422" w:firstLine="0"/>
        <w:rPr>
          <w:rtl/>
        </w:rPr>
      </w:pPr>
      <w:r>
        <w:rPr>
          <w:rFonts w:hint="cs"/>
          <w:rtl/>
        </w:rPr>
        <w:t>شرح السير، 2/468، فقرة 697؛ المبسوط، 6/144، 7/53، 54، 8/102، 9/94، 11/84،  184، 12/90، 14/174، 178، 15/65، 87، 93، 129، 19/168، 30/114؛ الهداية وشرحيها : العناية ونتائج الأفكار، 8/248، 249؛ الدّرر شرح الغرر، 2/388 - وجلّ ما جاء في شرحها مستفاد من الدّرر-؛ البحر الرائق، 4/130.</w:t>
      </w:r>
    </w:p>
  </w:footnote>
  <w:footnote w:id="2200">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نهاية 30/ب من (جـ).</w:t>
      </w:r>
    </w:p>
  </w:footnote>
  <w:footnote w:id="2201">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أنما</w:t>
      </w:r>
      <w:r>
        <w:rPr>
          <w:rFonts w:hint="eastAsia"/>
          <w:rtl/>
        </w:rPr>
        <w:t>»</w:t>
      </w:r>
      <w:r>
        <w:rPr>
          <w:rFonts w:hint="cs"/>
          <w:rtl/>
        </w:rPr>
        <w:t>. والصحيح ما تمَّ إثباته من (ب) و(د)، وهو الموافق للدُّرر.</w:t>
      </w:r>
    </w:p>
  </w:footnote>
  <w:footnote w:id="2202">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بينته </w:t>
      </w:r>
      <w:r>
        <w:rPr>
          <w:rFonts w:hint="eastAsia"/>
          <w:rtl/>
        </w:rPr>
        <w:t>»</w:t>
      </w:r>
      <w:r>
        <w:rPr>
          <w:rFonts w:hint="cs"/>
          <w:rtl/>
        </w:rPr>
        <w:t xml:space="preserve"> (بزيادة هاء الضمير).</w:t>
      </w:r>
    </w:p>
  </w:footnote>
  <w:footnote w:id="2203">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نهاية 26/أ من (ب).</w:t>
      </w:r>
    </w:p>
  </w:footnote>
  <w:footnote w:id="2204">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به</w:t>
      </w:r>
      <w:r>
        <w:rPr>
          <w:rFonts w:hint="cs"/>
          <w:rtl/>
        </w:rPr>
        <w:t xml:space="preserve"> : أي بالشيء الثابت بالبينة، وهو الدار هنا. لكن يشكل على هذا أنه أعاد الضمير مؤنثا في الكلمة التي تليها فقال : </w:t>
      </w:r>
      <w:r>
        <w:rPr>
          <w:rFonts w:hint="eastAsia"/>
          <w:rtl/>
        </w:rPr>
        <w:t>«</w:t>
      </w:r>
      <w:r>
        <w:rPr>
          <w:rFonts w:hint="cs"/>
          <w:rtl/>
        </w:rPr>
        <w:t>لو أقر به دفعت إلى المدعي</w:t>
      </w:r>
      <w:r>
        <w:rPr>
          <w:rFonts w:hint="eastAsia"/>
          <w:rtl/>
        </w:rPr>
        <w:t>»</w:t>
      </w:r>
      <w:r>
        <w:rPr>
          <w:rFonts w:hint="cs"/>
          <w:rtl/>
        </w:rPr>
        <w:t>، فلو اتفق الضمير فيهما تذكيرًا أو تأنيثًا لكان أولى.</w:t>
      </w:r>
    </w:p>
  </w:footnote>
  <w:footnote w:id="2205">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أي : اتفاقًا بين الإمام أبي حنيفة وصاحبيه - كما يدل عليه سياق الدَّرر، وسيأتي نقل ذلك السياق عند توثيق شرح المؤلف للقاعدة-.</w:t>
      </w:r>
    </w:p>
  </w:footnote>
  <w:footnote w:id="2206">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لعلّ المعنى : أي يقبل الشيء الثابت بالبينة.</w:t>
      </w:r>
    </w:p>
  </w:footnote>
  <w:footnote w:id="2207">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إليه</w:t>
      </w:r>
      <w:r>
        <w:rPr>
          <w:rFonts w:hint="eastAsia"/>
          <w:rtl/>
        </w:rPr>
        <w:t>»</w:t>
      </w:r>
      <w:r>
        <w:rPr>
          <w:rFonts w:hint="cs"/>
          <w:rtl/>
        </w:rPr>
        <w:t xml:space="preserve"> : زيادة من (ب).</w:t>
      </w:r>
    </w:p>
  </w:footnote>
  <w:footnote w:id="2208">
    <w:p w:rsidR="00035BE3" w:rsidRDefault="00035BE3" w:rsidP="00C10469">
      <w:pPr>
        <w:pStyle w:val="a8"/>
        <w:bidi/>
        <w:ind w:left="422" w:right="0" w:hanging="425"/>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في هذا إشارة إلى قاعدة سيفردها الـمؤلف وهـي : </w:t>
      </w:r>
      <w:r>
        <w:rPr>
          <w:rFonts w:hint="eastAsia"/>
          <w:spacing w:val="6"/>
          <w:rtl/>
        </w:rPr>
        <w:t>«</w:t>
      </w:r>
      <w:r>
        <w:rPr>
          <w:rFonts w:hint="cs"/>
          <w:spacing w:val="6"/>
          <w:rtl/>
        </w:rPr>
        <w:t>الشهادة بالمجهول غير صحيحة</w:t>
      </w:r>
      <w:r>
        <w:rPr>
          <w:rFonts w:hint="eastAsia"/>
          <w:spacing w:val="6"/>
          <w:rtl/>
        </w:rPr>
        <w:t>»</w:t>
      </w:r>
      <w:r>
        <w:rPr>
          <w:rFonts w:hint="cs"/>
          <w:spacing w:val="6"/>
          <w:rtl/>
        </w:rPr>
        <w:t>، وذلك ص 775 (ل59/ب)  ، قاعدة 149.</w:t>
      </w:r>
    </w:p>
  </w:footnote>
  <w:footnote w:id="2209">
    <w:p w:rsidR="00035BE3" w:rsidRDefault="00035BE3" w:rsidP="00C10469">
      <w:pPr>
        <w:pStyle w:val="a8"/>
        <w:bidi/>
        <w:ind w:left="422" w:right="0" w:hanging="425"/>
        <w:rPr>
          <w:rtl/>
        </w:rPr>
      </w:pPr>
      <w:r>
        <w:rPr>
          <w:vertAlign w:val="superscript"/>
          <w:rtl/>
        </w:rPr>
        <w:t>(</w:t>
      </w:r>
      <w:r>
        <w:rPr>
          <w:rStyle w:val="a7"/>
        </w:rPr>
        <w:footnoteRef/>
      </w:r>
      <w:r>
        <w:rPr>
          <w:rFonts w:hint="cs"/>
          <w:vertAlign w:val="superscript"/>
          <w:rtl/>
        </w:rPr>
        <w:t>)</w:t>
      </w:r>
      <w:r>
        <w:rPr>
          <w:rFonts w:hint="cs"/>
          <w:rtl/>
        </w:rPr>
        <w:t xml:space="preserve">   ورد هذا الاعتراض والجواب عنه في الدرر شرح الغرر، 2/388، مع اختلاف بينهما في الترتيب، ونص ما جاء في الدرر : </w:t>
      </w:r>
      <w:r>
        <w:rPr>
          <w:rFonts w:hint="eastAsia"/>
          <w:rtl/>
        </w:rPr>
        <w:t>«</w:t>
      </w:r>
      <w:r>
        <w:rPr>
          <w:rFonts w:hint="cs"/>
          <w:rtl/>
        </w:rPr>
        <w:t xml:space="preserve">إذا كانت دار في يد رجلٍ، فادعى آخرُ أنها وأقام [هكذا في المطبوع! ولو قال : (أنها </w:t>
      </w:r>
      <w:r>
        <w:rPr>
          <w:rFonts w:hint="cs"/>
          <w:b/>
          <w:bCs/>
          <w:rtl/>
        </w:rPr>
        <w:t>له</w:t>
      </w:r>
      <w:r>
        <w:rPr>
          <w:rFonts w:hint="cs"/>
          <w:rtl/>
        </w:rPr>
        <w:t xml:space="preserve"> وأقام) لاستقام المعنى - كما فعل المؤلف-] بيِّنة أنها كانت في يده منذ شهر أو سنة : لم تقبل.</w:t>
      </w:r>
    </w:p>
    <w:p w:rsidR="00035BE3" w:rsidRDefault="00035BE3" w:rsidP="00C10469">
      <w:pPr>
        <w:pStyle w:val="a6"/>
        <w:ind w:left="422" w:firstLine="0"/>
        <w:rPr>
          <w:rtl/>
        </w:rPr>
      </w:pPr>
      <w:r>
        <w:rPr>
          <w:rFonts w:hint="cs"/>
          <w:rtl/>
        </w:rPr>
        <w:t xml:space="preserve">وعن أبي يوسف : أنها تقبل؛ لأن </w:t>
      </w:r>
      <w:r>
        <w:rPr>
          <w:rFonts w:hint="eastAsia"/>
          <w:rtl/>
        </w:rPr>
        <w:t>«</w:t>
      </w:r>
      <w:r>
        <w:rPr>
          <w:rFonts w:hint="cs"/>
          <w:rtl/>
        </w:rPr>
        <w:t>الثابت بالبينة كالثابت بإقرار الخصم</w:t>
      </w:r>
      <w:r>
        <w:rPr>
          <w:rFonts w:hint="eastAsia"/>
          <w:rtl/>
        </w:rPr>
        <w:t>»</w:t>
      </w:r>
      <w:r>
        <w:rPr>
          <w:rFonts w:hint="cs"/>
          <w:rtl/>
        </w:rPr>
        <w:t>.</w:t>
      </w:r>
    </w:p>
    <w:p w:rsidR="00035BE3" w:rsidRDefault="00035BE3" w:rsidP="00C10469">
      <w:pPr>
        <w:pStyle w:val="a6"/>
        <w:ind w:left="422" w:firstLine="0"/>
        <w:rPr>
          <w:rtl/>
        </w:rPr>
      </w:pPr>
      <w:r>
        <w:rPr>
          <w:rFonts w:hint="cs"/>
          <w:rtl/>
        </w:rPr>
        <w:t>ولو أقرّ المدعى عليه به : دفعت إلى المدّعي اتفاقًا.</w:t>
      </w:r>
    </w:p>
    <w:p w:rsidR="00035BE3" w:rsidRDefault="00035BE3" w:rsidP="00C10469">
      <w:pPr>
        <w:pStyle w:val="a6"/>
        <w:ind w:left="422" w:firstLine="0"/>
        <w:rPr>
          <w:rtl/>
        </w:rPr>
      </w:pPr>
      <w:r>
        <w:rPr>
          <w:rFonts w:hint="cs"/>
          <w:rtl/>
        </w:rPr>
        <w:t>ولهما : أن هذه شهادة قامت على مجهول، وهو اليد، فإنها الآن منقطعة، ويحتمل أنها كانت يد ملك، أو وديعة أو إجارة أو غصب، فلا يحكم بإعادتها بالشك</w:t>
      </w:r>
      <w:r>
        <w:rPr>
          <w:rFonts w:hint="eastAsia"/>
          <w:rtl/>
        </w:rPr>
        <w:t>»</w:t>
      </w:r>
      <w:r>
        <w:rPr>
          <w:rFonts w:hint="cs"/>
          <w:rtl/>
        </w:rPr>
        <w:t>.</w:t>
      </w:r>
    </w:p>
  </w:footnote>
  <w:footnote w:id="221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بهذين اللفظين أو أحدهما أو نحوهما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spacing w:line="480" w:lineRule="exact"/>
        <w:ind w:left="422" w:firstLine="0"/>
        <w:rPr>
          <w:spacing w:val="10"/>
          <w:rtl/>
        </w:rPr>
      </w:pPr>
      <w:r>
        <w:rPr>
          <w:rFonts w:hint="cs"/>
          <w:spacing w:val="10"/>
          <w:rtl/>
        </w:rPr>
        <w:t xml:space="preserve">مجامع الحقائق (الخاتمة)، ص45؛ شرح العلائي لقـواعـد الخادمي، ل19/أ؛ منافع الدقائق، ص317؛ مجلة الأحكام العدلية، مادة 75؛ شرحها لسليم رستم، 1/50؛ ولعلي حيدر، 1/65؛ وللأتاسي، 1/212؛ وشرح قواعدها للزرقا، ص367؛ قواعد الفقه للمجدّدي، ص73، قاعدة 97؛ المدخل الفقهي العام، 2/1055، مـادة 666؛ الوجيـز، ص296؛ المدخل إلى القواعد الفقهية، ص159؛ القواعد والضوابط الفقهية لنظام القضاء في الإسلام - كلاهما للدكتور الحريري -، ص164؛ المبادئ الفقهية، ص45؛ القواعد الفقهية للدّعاس، ص113، قاعدة 95؛ القواعد الفقهية للدكتور محمد الزحيلي، ص90 -ولفظ جميع الكتب السابقة كلفظ المؤلف الأول-؛ القواعد الفقهية للدكتور علي الندوي، ص345 - ولفظه : </w:t>
      </w:r>
      <w:r>
        <w:rPr>
          <w:rFonts w:hint="eastAsia"/>
          <w:spacing w:val="10"/>
          <w:rtl/>
        </w:rPr>
        <w:t>«</w:t>
      </w:r>
      <w:r>
        <w:rPr>
          <w:rFonts w:hint="cs"/>
          <w:spacing w:val="10"/>
          <w:rtl/>
        </w:rPr>
        <w:t>الثابت بالبينة العادلة كالثابت معاينة</w:t>
      </w:r>
      <w:r>
        <w:rPr>
          <w:rFonts w:hint="eastAsia"/>
          <w:spacing w:val="10"/>
          <w:rtl/>
        </w:rPr>
        <w:t>»</w:t>
      </w:r>
      <w:r>
        <w:rPr>
          <w:rFonts w:hint="cs"/>
          <w:spacing w:val="10"/>
          <w:rtl/>
        </w:rPr>
        <w:t xml:space="preserve">- وقد أحال إلى (معين الحكام فيما يتردّد بين الخصمين من الأحكام) للطرابلسي، ص118؛ القواعد والضوابط المستخلصة من التحـرير، ص148، 452 - ولفظه الثاني: </w:t>
      </w:r>
      <w:r>
        <w:rPr>
          <w:rFonts w:hint="eastAsia"/>
          <w:spacing w:val="10"/>
          <w:rtl/>
        </w:rPr>
        <w:t>«</w:t>
      </w:r>
      <w:r>
        <w:rPr>
          <w:rFonts w:hint="cs"/>
          <w:spacing w:val="10"/>
          <w:rtl/>
        </w:rPr>
        <w:t>الثابت بالبينة كالثابت بالعيان</w:t>
      </w:r>
      <w:r>
        <w:rPr>
          <w:rFonts w:hint="eastAsia"/>
          <w:spacing w:val="10"/>
          <w:rtl/>
        </w:rPr>
        <w:t>»</w:t>
      </w:r>
      <w:r>
        <w:rPr>
          <w:rFonts w:hint="cs"/>
          <w:spacing w:val="10"/>
          <w:rtl/>
        </w:rPr>
        <w:t>-؛ موسوعة القواعد الفقهية، 4/527 -وقد ذكر لفظي المؤلف وألفاظًا أخر-.</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6"/>
          <w:rtl/>
        </w:rPr>
      </w:pPr>
      <w:r>
        <w:rPr>
          <w:rFonts w:hint="cs"/>
          <w:spacing w:val="6"/>
          <w:rtl/>
        </w:rPr>
        <w:t>شرح السِّير، 1/219، فقرة 274، و 220، فقرة 278، و 320، فقرة 451، و4/1131، فقرة 2081، و1132، فـقرة 2084؛ المـبسوط، 5/36، 6/23، 7/54، 57، 165، 8/102، 11/22، 207، 12/90، 20/115، 25/51، 26/162</w:t>
      </w:r>
      <w:r>
        <w:rPr>
          <w:rFonts w:hint="cs"/>
          <w:spacing w:val="4"/>
          <w:rtl/>
        </w:rPr>
        <w:t>؛ فتاوى قاضي خان، 1/493،</w:t>
      </w:r>
      <w:r>
        <w:rPr>
          <w:rFonts w:hint="cs"/>
          <w:spacing w:val="6"/>
          <w:rtl/>
        </w:rPr>
        <w:t xml:space="preserve"> 548-549؛ الهداية وشرحاها : العناية وفتح القدير، 7/186؛ والعناية فقط، 7/216؛ والعناية وتكملة فتح القدير، 8/248-249، 260-261؛ جامع الفصولين، 2/183؛ الدّرر شرح الغرر، 2/302، 439 - وجل ما جاء في القاعدة مستفاد من الموضـع الأول من الـدّرر، كما أشـار إلى ذلـك المؤلف في أثناء شرحه للقاعدة-؛ البحر الرائق، 6/242، 8/367؛ النافع الكبير، ص497.</w:t>
      </w:r>
    </w:p>
  </w:footnote>
  <w:footnote w:id="2211">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مصدر هذه الجملة (وهو العناية) : </w:t>
      </w:r>
      <w:r>
        <w:rPr>
          <w:rFonts w:hint="eastAsia"/>
          <w:rtl/>
        </w:rPr>
        <w:t>«</w:t>
      </w:r>
      <w:r>
        <w:rPr>
          <w:rFonts w:hint="cs"/>
          <w:rtl/>
        </w:rPr>
        <w:t>تكفَّلتُ</w:t>
      </w:r>
      <w:r>
        <w:rPr>
          <w:rFonts w:hint="eastAsia"/>
          <w:rtl/>
        </w:rPr>
        <w:t>»</w:t>
      </w:r>
      <w:r>
        <w:rPr>
          <w:rFonts w:hint="cs"/>
          <w:rtl/>
        </w:rPr>
        <w:t>.</w:t>
      </w:r>
    </w:p>
  </w:footnote>
  <w:footnote w:id="2212">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عين</w:t>
      </w:r>
      <w:r>
        <w:rPr>
          <w:rFonts w:hint="eastAsia"/>
          <w:rtl/>
        </w:rPr>
        <w:t>»</w:t>
      </w:r>
      <w:r>
        <w:rPr>
          <w:rFonts w:hint="cs"/>
          <w:rtl/>
        </w:rPr>
        <w:t>.</w:t>
      </w:r>
    </w:p>
  </w:footnote>
  <w:footnote w:id="2213">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العناية، 7/186 - مع الاختلاف اليسير الذي سبق بـيانـه-؛ وانظر : الهداية وفتح القدير، 7/186؛ الدّرر شرح الغرر، 2/302.</w:t>
      </w:r>
    </w:p>
  </w:footnote>
  <w:footnote w:id="2214">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أي : وإن لم تقم البينة صُدِّق ....</w:t>
      </w:r>
    </w:p>
  </w:footnote>
  <w:footnote w:id="2215">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الأصل</w:t>
      </w:r>
      <w:r>
        <w:rPr>
          <w:rFonts w:hint="eastAsia"/>
          <w:rtl/>
        </w:rPr>
        <w:t>»</w:t>
      </w:r>
      <w:r>
        <w:rPr>
          <w:rFonts w:hint="cs"/>
          <w:rtl/>
        </w:rPr>
        <w:t>.</w:t>
      </w:r>
    </w:p>
  </w:footnote>
  <w:footnote w:id="2216">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40/أ من (أ).</w:t>
      </w:r>
    </w:p>
  </w:footnote>
  <w:footnote w:id="2217">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2/302، وتمام اسم الكتاب : درر الحكام في شرح غرر الأحكام.</w:t>
      </w:r>
    </w:p>
    <w:p w:rsidR="00035BE3" w:rsidRDefault="00035BE3" w:rsidP="00C10469">
      <w:pPr>
        <w:pStyle w:val="a6"/>
        <w:spacing w:line="440" w:lineRule="exact"/>
        <w:ind w:left="422" w:firstLine="0"/>
        <w:rPr>
          <w:rtl/>
        </w:rPr>
      </w:pPr>
      <w:r>
        <w:rPr>
          <w:rFonts w:hint="cs"/>
          <w:rtl/>
        </w:rPr>
        <w:t>وانظر : الهداية والعناية وفتح القدير، 7/186-187.</w:t>
      </w:r>
    </w:p>
  </w:footnote>
  <w:footnote w:id="2218">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و(ب) </w:t>
      </w:r>
      <w:r>
        <w:rPr>
          <w:rFonts w:hint="eastAsia"/>
          <w:rtl/>
        </w:rPr>
        <w:t>«</w:t>
      </w:r>
      <w:r>
        <w:rPr>
          <w:rFonts w:hint="cs"/>
          <w:rtl/>
        </w:rPr>
        <w:t>ثبت</w:t>
      </w:r>
      <w:r>
        <w:rPr>
          <w:rFonts w:hint="eastAsia"/>
          <w:rtl/>
        </w:rPr>
        <w:t>»</w:t>
      </w:r>
      <w:r>
        <w:rPr>
          <w:rFonts w:hint="cs"/>
          <w:rtl/>
        </w:rPr>
        <w:t xml:space="preserve">، وفي (جـ) : </w:t>
      </w:r>
      <w:r>
        <w:rPr>
          <w:rFonts w:hint="eastAsia"/>
          <w:rtl/>
        </w:rPr>
        <w:t>«</w:t>
      </w:r>
      <w:r>
        <w:rPr>
          <w:rFonts w:hint="cs"/>
          <w:rtl/>
        </w:rPr>
        <w:t>أثبت</w:t>
      </w:r>
      <w:r>
        <w:rPr>
          <w:rFonts w:hint="eastAsia"/>
          <w:rtl/>
        </w:rPr>
        <w:t>»</w:t>
      </w:r>
      <w:r>
        <w:rPr>
          <w:rFonts w:hint="cs"/>
          <w:rtl/>
        </w:rPr>
        <w:t>، والأفصح ما تمّ إثباته من (د)، وهو الموافق للعناية.</w:t>
      </w:r>
    </w:p>
  </w:footnote>
  <w:footnote w:id="22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إذا ثبت لدى القاضي أن الكفيل كفل المكفول بأمر من المكفول عيانًا ...</w:t>
      </w:r>
    </w:p>
  </w:footnote>
  <w:footnote w:id="2220">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الأصل</w:t>
      </w:r>
      <w:r>
        <w:rPr>
          <w:rFonts w:hint="eastAsia"/>
          <w:rtl/>
        </w:rPr>
        <w:t>»</w:t>
      </w:r>
      <w:r>
        <w:rPr>
          <w:rFonts w:hint="cs"/>
          <w:rtl/>
        </w:rPr>
        <w:t>.</w:t>
      </w:r>
    </w:p>
  </w:footnote>
  <w:footnote w:id="2221">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ما قيل في هامش (8) يقال هنا.</w:t>
      </w:r>
    </w:p>
  </w:footnote>
  <w:footnote w:id="2222">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فما </w:t>
      </w:r>
      <w:r>
        <w:rPr>
          <w:rFonts w:hint="eastAsia"/>
          <w:rtl/>
        </w:rPr>
        <w:t>»</w:t>
      </w:r>
      <w:r>
        <w:rPr>
          <w:rFonts w:hint="cs"/>
          <w:rtl/>
        </w:rPr>
        <w:t>.</w:t>
      </w:r>
    </w:p>
  </w:footnote>
  <w:footnote w:id="2223">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ظلمت </w:t>
      </w:r>
      <w:r>
        <w:rPr>
          <w:rFonts w:hint="eastAsia"/>
          <w:rtl/>
        </w:rPr>
        <w:t>»</w:t>
      </w:r>
      <w:r>
        <w:rPr>
          <w:rFonts w:hint="cs"/>
          <w:rtl/>
        </w:rPr>
        <w:t>.</w:t>
      </w:r>
    </w:p>
  </w:footnote>
  <w:footnote w:id="222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سيأتي الحديث عنها استقلالاً، وذلك ص1050 (ل97/أ)، قاعدة 226.</w:t>
      </w:r>
    </w:p>
  </w:footnote>
  <w:footnote w:id="222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واستخلفه</w:t>
      </w:r>
      <w:r>
        <w:rPr>
          <w:rFonts w:hint="eastAsia"/>
          <w:rtl/>
        </w:rPr>
        <w:t>»</w:t>
      </w:r>
      <w:r>
        <w:rPr>
          <w:rFonts w:hint="cs"/>
          <w:rtl/>
        </w:rPr>
        <w:t>.</w:t>
      </w:r>
    </w:p>
  </w:footnote>
  <w:footnote w:id="222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أن</w:t>
      </w:r>
      <w:r>
        <w:rPr>
          <w:rFonts w:hint="eastAsia"/>
          <w:rtl/>
        </w:rPr>
        <w:t>»</w:t>
      </w:r>
      <w:r>
        <w:rPr>
          <w:rFonts w:hint="cs"/>
          <w:rtl/>
        </w:rPr>
        <w:t>.</w:t>
      </w:r>
    </w:p>
  </w:footnote>
  <w:footnote w:id="2227">
    <w:p w:rsidR="00035BE3" w:rsidRDefault="00035BE3" w:rsidP="00C10469">
      <w:pPr>
        <w:pStyle w:val="a8"/>
        <w:bidi/>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العناية، 7/216 - مع اختلاف يسير -؛ وانظر : المبسوط، 20/114-115؛ الهداية وفتح القدير، 7/216؛ الإمام زفر وآراؤه الفقهية للدكتور عطية الجبُوري، 2/188-189. </w:t>
      </w:r>
    </w:p>
  </w:footnote>
  <w:footnote w:id="222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بعض </w:t>
      </w:r>
      <w:r>
        <w:rPr>
          <w:rFonts w:hint="cs"/>
          <w:b/>
          <w:bCs/>
          <w:rtl/>
        </w:rPr>
        <w:t>كتب الفقه الحنفي</w:t>
      </w:r>
      <w:r>
        <w:rPr>
          <w:rFonts w:hint="cs"/>
          <w:rtl/>
        </w:rPr>
        <w:t xml:space="preserve">، منها : </w:t>
      </w:r>
    </w:p>
    <w:p w:rsidR="00035BE3" w:rsidRPr="00901BC3" w:rsidRDefault="00035BE3" w:rsidP="00C10469">
      <w:pPr>
        <w:pStyle w:val="a6"/>
        <w:spacing w:line="228" w:lineRule="auto"/>
        <w:ind w:left="420" w:firstLine="0"/>
        <w:rPr>
          <w:rtl/>
        </w:rPr>
      </w:pPr>
      <w:r w:rsidRPr="00901BC3">
        <w:rPr>
          <w:rFonts w:hint="cs"/>
          <w:rtl/>
        </w:rPr>
        <w:t xml:space="preserve">الهداية وشرحها: العناية، 6/442 - ولفظ الهداية : </w:t>
      </w:r>
      <w:r w:rsidRPr="00901BC3">
        <w:rPr>
          <w:rFonts w:hint="eastAsia"/>
          <w:rtl/>
        </w:rPr>
        <w:t>«</w:t>
      </w:r>
      <w:r w:rsidRPr="00901BC3">
        <w:rPr>
          <w:rFonts w:hint="cs"/>
          <w:rtl/>
        </w:rPr>
        <w:t>العرف قاضٍ على القياس</w:t>
      </w:r>
      <w:r w:rsidRPr="00901BC3">
        <w:rPr>
          <w:rFonts w:hint="eastAsia"/>
          <w:rtl/>
        </w:rPr>
        <w:t>»</w:t>
      </w:r>
      <w:r w:rsidRPr="00901BC3">
        <w:rPr>
          <w:rFonts w:hint="cs"/>
          <w:rtl/>
        </w:rPr>
        <w:t xml:space="preserve">، وزاد صاحب (العناية) على أولها: </w:t>
      </w:r>
      <w:r w:rsidRPr="00901BC3">
        <w:rPr>
          <w:rFonts w:hint="eastAsia"/>
          <w:rtl/>
        </w:rPr>
        <w:t>«</w:t>
      </w:r>
      <w:r w:rsidRPr="00901BC3">
        <w:rPr>
          <w:rFonts w:hint="cs"/>
          <w:rtl/>
        </w:rPr>
        <w:t>الثابت بالعرف ...</w:t>
      </w:r>
      <w:r w:rsidRPr="00901BC3">
        <w:rPr>
          <w:rFonts w:hint="eastAsia"/>
          <w:rtl/>
        </w:rPr>
        <w:t>»</w:t>
      </w:r>
      <w:r w:rsidRPr="00901BC3">
        <w:rPr>
          <w:rFonts w:hint="cs"/>
          <w:rtl/>
        </w:rPr>
        <w:t xml:space="preserve">؛ كما ذكرها صاحب العناية، 6/451 - بلفظ: </w:t>
      </w:r>
      <w:r w:rsidRPr="00901BC3">
        <w:rPr>
          <w:rFonts w:hint="eastAsia"/>
          <w:rtl/>
        </w:rPr>
        <w:t>«</w:t>
      </w:r>
      <w:r w:rsidRPr="00901BC3">
        <w:rPr>
          <w:rFonts w:hint="cs"/>
          <w:rtl/>
        </w:rPr>
        <w:t>والتعامل قاضٍ على القياس لكونه إجماعًا فعليًّا</w:t>
      </w:r>
      <w:r w:rsidRPr="00901BC3">
        <w:rPr>
          <w:rFonts w:hint="eastAsia"/>
          <w:rtl/>
        </w:rPr>
        <w:t>»</w:t>
      </w:r>
      <w:r w:rsidRPr="00901BC3">
        <w:rPr>
          <w:rFonts w:hint="cs"/>
          <w:rtl/>
        </w:rPr>
        <w:t xml:space="preserve">-؛ تبيين الحقائق، 4/59- ولفظه: </w:t>
      </w:r>
      <w:r w:rsidRPr="00901BC3">
        <w:rPr>
          <w:rFonts w:hint="eastAsia"/>
          <w:rtl/>
        </w:rPr>
        <w:t>«</w:t>
      </w:r>
      <w:r w:rsidRPr="00901BC3">
        <w:rPr>
          <w:rFonts w:hint="cs"/>
          <w:rtl/>
        </w:rPr>
        <w:t>أن الناس تعاملوه، وبمثله يترك القياس</w:t>
      </w:r>
      <w:r w:rsidRPr="00901BC3">
        <w:rPr>
          <w:rFonts w:hint="eastAsia"/>
          <w:rtl/>
        </w:rPr>
        <w:t>»</w:t>
      </w:r>
      <w:r w:rsidRPr="00901BC3">
        <w:rPr>
          <w:rFonts w:hint="cs"/>
          <w:rtl/>
        </w:rPr>
        <w:t xml:space="preserve">-؛ مجمع الأنهر في شرح ملتقى الأبحر، 2/63- ولفظه: </w:t>
      </w:r>
      <w:r w:rsidRPr="00901BC3">
        <w:rPr>
          <w:rFonts w:hint="eastAsia"/>
          <w:rtl/>
        </w:rPr>
        <w:t>«</w:t>
      </w:r>
      <w:r w:rsidRPr="00901BC3">
        <w:rPr>
          <w:rFonts w:hint="cs"/>
          <w:rtl/>
        </w:rPr>
        <w:t>لأن التعامل يرجّح على القياس؛ لكونه إجماعًا عـمليًّا</w:t>
      </w:r>
      <w:r w:rsidRPr="00901BC3">
        <w:rPr>
          <w:rFonts w:hint="eastAsia"/>
          <w:rtl/>
        </w:rPr>
        <w:t>»</w:t>
      </w:r>
      <w:r w:rsidRPr="00901BC3">
        <w:rPr>
          <w:rFonts w:hint="cs"/>
          <w:rtl/>
        </w:rPr>
        <w:t xml:space="preserve">-؛ ردُّ الـمحتار، 7/286؛ ورسائل ابن عابدين، 2/112 (رسالة: نشر العرف...) -ولفظ الأخيرين: </w:t>
      </w:r>
      <w:r w:rsidRPr="00901BC3">
        <w:rPr>
          <w:rFonts w:hint="eastAsia"/>
          <w:rtl/>
        </w:rPr>
        <w:t>«</w:t>
      </w:r>
      <w:r w:rsidRPr="00901BC3">
        <w:rPr>
          <w:rFonts w:hint="cs"/>
          <w:rtl/>
        </w:rPr>
        <w:t>ولم يبق من الموانع إلا القياس، والعرف قاضٍ عليه</w:t>
      </w:r>
      <w:r w:rsidRPr="00901BC3">
        <w:rPr>
          <w:rFonts w:hint="eastAsia"/>
          <w:rtl/>
        </w:rPr>
        <w:t>»</w:t>
      </w:r>
      <w:r w:rsidRPr="00901BC3">
        <w:rPr>
          <w:rFonts w:hint="cs"/>
          <w:rtl/>
        </w:rPr>
        <w:t xml:space="preserve">؛ كما تكلم عنها د. أحمد أبو سنة في كتابه: العرف والعادة في رأي الفقهاء - ص132 - حيث قال : </w:t>
      </w:r>
      <w:r w:rsidRPr="00901BC3">
        <w:rPr>
          <w:rFonts w:hint="eastAsia"/>
          <w:rtl/>
        </w:rPr>
        <w:t>«</w:t>
      </w:r>
      <w:r w:rsidRPr="00901BC3">
        <w:rPr>
          <w:rFonts w:hint="cs"/>
          <w:rtl/>
        </w:rPr>
        <w:t>أما القياس فإنه يترك للعرف إن كان عامًّا...</w:t>
      </w:r>
      <w:r w:rsidRPr="00901BC3">
        <w:rPr>
          <w:rFonts w:hint="eastAsia"/>
          <w:rtl/>
        </w:rPr>
        <w:t>»</w:t>
      </w:r>
      <w:r w:rsidRPr="00901BC3">
        <w:rPr>
          <w:rFonts w:hint="cs"/>
          <w:rtl/>
        </w:rPr>
        <w:t xml:space="preserve">، كما أشار إليها - ص216- حيث قال: </w:t>
      </w:r>
      <w:r w:rsidRPr="00901BC3">
        <w:rPr>
          <w:rFonts w:hint="eastAsia"/>
          <w:rtl/>
        </w:rPr>
        <w:t>«</w:t>
      </w:r>
      <w:r w:rsidRPr="00901BC3">
        <w:rPr>
          <w:rFonts w:hint="cs"/>
          <w:rtl/>
        </w:rPr>
        <w:t>وجه هذا الاستحسان هو العرف، فإنه يترك به القياس والأصل العام</w:t>
      </w:r>
      <w:r w:rsidRPr="00901BC3">
        <w:rPr>
          <w:rFonts w:hint="eastAsia"/>
          <w:rtl/>
        </w:rPr>
        <w:t>»</w:t>
      </w:r>
      <w:r w:rsidRPr="00901BC3">
        <w:rPr>
          <w:rFonts w:hint="cs"/>
          <w:rtl/>
        </w:rPr>
        <w:t>.</w:t>
      </w:r>
    </w:p>
    <w:p w:rsidR="00035BE3" w:rsidRDefault="00035BE3" w:rsidP="00C10469">
      <w:pPr>
        <w:pStyle w:val="a6"/>
        <w:spacing w:line="228" w:lineRule="auto"/>
        <w:ind w:left="420" w:firstLine="0"/>
        <w:rPr>
          <w:rtl/>
        </w:rPr>
      </w:pPr>
      <w:r>
        <w:rPr>
          <w:rFonts w:hint="cs"/>
          <w:rtl/>
        </w:rPr>
        <w:t xml:space="preserve">هذا ما يتعلَّق </w:t>
      </w:r>
      <w:r>
        <w:rPr>
          <w:rFonts w:hint="cs"/>
          <w:b/>
          <w:bCs/>
          <w:rtl/>
        </w:rPr>
        <w:t>بتوثيق القاعدة.</w:t>
      </w:r>
    </w:p>
    <w:p w:rsidR="00035BE3" w:rsidRDefault="00035BE3" w:rsidP="00C10469">
      <w:pPr>
        <w:pStyle w:val="a6"/>
        <w:spacing w:line="228" w:lineRule="auto"/>
        <w:ind w:left="420" w:firstLine="0"/>
        <w:rPr>
          <w:spacing w:val="-4"/>
          <w:rtl/>
        </w:rPr>
      </w:pPr>
      <w:r>
        <w:rPr>
          <w:rFonts w:hint="cs"/>
          <w:b/>
          <w:bCs/>
          <w:spacing w:val="-4"/>
          <w:rtl/>
        </w:rPr>
        <w:t>أما معناها</w:t>
      </w:r>
      <w:r>
        <w:rPr>
          <w:rFonts w:hint="cs"/>
          <w:spacing w:val="-4"/>
          <w:rtl/>
        </w:rPr>
        <w:t xml:space="preserve"> : </w:t>
      </w:r>
    </w:p>
    <w:p w:rsidR="00035BE3" w:rsidRDefault="00035BE3" w:rsidP="00C10469">
      <w:pPr>
        <w:pStyle w:val="a6"/>
        <w:spacing w:line="228" w:lineRule="auto"/>
        <w:ind w:left="420" w:firstLine="0"/>
        <w:rPr>
          <w:rtl/>
        </w:rPr>
      </w:pPr>
      <w:r>
        <w:rPr>
          <w:rFonts w:hint="cs"/>
          <w:rtl/>
        </w:rPr>
        <w:t>فهي مكونة من اصطلاحين رئيسين، الأول منهما مقدم على الآخر، وهما : العرف والقياس.</w:t>
      </w:r>
    </w:p>
    <w:p w:rsidR="00035BE3" w:rsidRDefault="00035BE3" w:rsidP="00C10469">
      <w:pPr>
        <w:pStyle w:val="a6"/>
        <w:spacing w:line="228" w:lineRule="auto"/>
        <w:ind w:left="420" w:firstLine="0"/>
        <w:rPr>
          <w:rtl/>
        </w:rPr>
      </w:pPr>
      <w:r>
        <w:rPr>
          <w:rFonts w:hint="cs"/>
          <w:rtl/>
        </w:rPr>
        <w:t xml:space="preserve">وبالتأمل في شرح المؤلف للقاعدة والسِّياق التي وردت فيه في الكتب السابقة يتبين أن مرادهم بالعرف : العرف العملي العام الذي قد يكون بمثابة الإجماع العملي؛ بل سبق أن صرَّح المؤلف بهذا عند شرحه لقاعدة : </w:t>
      </w:r>
      <w:r>
        <w:rPr>
          <w:rFonts w:hint="eastAsia"/>
          <w:rtl/>
        </w:rPr>
        <w:t>«</w:t>
      </w:r>
      <w:r>
        <w:rPr>
          <w:rFonts w:hint="cs"/>
          <w:rtl/>
        </w:rPr>
        <w:t>إجماع المسلمين حجة، يُخصُّ بها الأثر، ويترك القياس والنظر</w:t>
      </w:r>
      <w:r>
        <w:rPr>
          <w:rFonts w:hint="eastAsia"/>
          <w:rtl/>
        </w:rPr>
        <w:t>»</w:t>
      </w:r>
      <w:r>
        <w:rPr>
          <w:rFonts w:hint="cs"/>
          <w:rtl/>
        </w:rPr>
        <w:t xml:space="preserve">؛ حيث قال في نهاية شرحها </w:t>
      </w:r>
      <w:r>
        <w:rPr>
          <w:rtl/>
        </w:rPr>
        <w:t>–</w:t>
      </w:r>
      <w:r>
        <w:rPr>
          <w:rFonts w:hint="cs"/>
          <w:rtl/>
        </w:rPr>
        <w:t xml:space="preserve"> ص245 (ل4/أ) -: </w:t>
      </w:r>
      <w:r>
        <w:rPr>
          <w:rFonts w:hint="eastAsia"/>
          <w:rtl/>
        </w:rPr>
        <w:t>«</w:t>
      </w:r>
      <w:r>
        <w:rPr>
          <w:rFonts w:hint="cs"/>
          <w:rtl/>
        </w:rPr>
        <w:t xml:space="preserve">... وتُرِك القياس </w:t>
      </w:r>
      <w:r>
        <w:rPr>
          <w:rFonts w:hint="cs"/>
          <w:b/>
          <w:bCs/>
          <w:rtl/>
        </w:rPr>
        <w:t>بإجماع المسلمين</w:t>
      </w:r>
      <w:r>
        <w:rPr>
          <w:rFonts w:hint="cs"/>
          <w:rtl/>
        </w:rPr>
        <w:t xml:space="preserve">. وهذا مراد القوم ممّا قالوا: </w:t>
      </w:r>
      <w:r>
        <w:rPr>
          <w:rFonts w:hint="eastAsia"/>
          <w:rtl/>
        </w:rPr>
        <w:t>«</w:t>
      </w:r>
      <w:r>
        <w:rPr>
          <w:rFonts w:hint="cs"/>
          <w:rtl/>
        </w:rPr>
        <w:t>الثابت بالعرف قاضٍ على القياس</w:t>
      </w:r>
      <w:r>
        <w:rPr>
          <w:rFonts w:hint="eastAsia"/>
          <w:rtl/>
        </w:rPr>
        <w:t>»»</w:t>
      </w:r>
      <w:r>
        <w:rPr>
          <w:rFonts w:hint="cs"/>
          <w:rtl/>
        </w:rPr>
        <w:t>.</w:t>
      </w:r>
    </w:p>
    <w:p w:rsidR="00035BE3" w:rsidRDefault="00035BE3" w:rsidP="00C10469">
      <w:pPr>
        <w:pStyle w:val="a6"/>
        <w:spacing w:line="228" w:lineRule="auto"/>
        <w:ind w:left="420" w:firstLine="0"/>
        <w:rPr>
          <w:rtl/>
        </w:rPr>
      </w:pPr>
      <w:r>
        <w:rPr>
          <w:rFonts w:hint="cs"/>
          <w:rtl/>
        </w:rPr>
        <w:t>كما صرّح بذلك صاحب العناية، وصاحب مجمع الأنهر، ود. أحمد أبو سنة - وقد سبق نقل تصريحاتهم عند توثيق القاعدة-.</w:t>
      </w:r>
    </w:p>
    <w:p w:rsidR="00035BE3" w:rsidRDefault="00035BE3" w:rsidP="00C10469">
      <w:pPr>
        <w:pStyle w:val="a6"/>
        <w:spacing w:line="228" w:lineRule="auto"/>
        <w:ind w:left="420" w:firstLine="0"/>
        <w:rPr>
          <w:rtl/>
        </w:rPr>
      </w:pPr>
      <w:r>
        <w:rPr>
          <w:rFonts w:hint="cs"/>
          <w:rtl/>
        </w:rPr>
        <w:t>ويلحظ من السياق أيضًا أن مرادهم بالقياس : القياس الذي بمعنى القاعدة العامة وليس القياس المشهور عند الأصوليين. وقد نبَّه على ذلك أ.د. أحمد أبو سنة في كتابه : العرف والعادة؛ ص216؛ وانظر: العرف لشيخنا أ.د. أحمد المباركي، ص167.</w:t>
      </w:r>
    </w:p>
  </w:footnote>
  <w:footnote w:id="2229">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وكذا</w:t>
      </w:r>
      <w:r>
        <w:rPr>
          <w:rFonts w:hint="eastAsia"/>
          <w:rtl/>
        </w:rPr>
        <w:t>»</w:t>
      </w:r>
      <w:r>
        <w:rPr>
          <w:rFonts w:hint="cs"/>
          <w:rtl/>
        </w:rPr>
        <w:t>.</w:t>
      </w:r>
    </w:p>
  </w:footnote>
  <w:footnote w:id="223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زيادة : </w:t>
      </w:r>
      <w:r>
        <w:rPr>
          <w:rFonts w:hint="eastAsia"/>
          <w:rtl/>
        </w:rPr>
        <w:t>«</w:t>
      </w:r>
      <w:r>
        <w:rPr>
          <w:rFonts w:hint="cs"/>
          <w:rtl/>
        </w:rPr>
        <w:t>أن</w:t>
      </w:r>
      <w:r>
        <w:rPr>
          <w:rFonts w:hint="eastAsia"/>
          <w:rtl/>
        </w:rPr>
        <w:t>»</w:t>
      </w:r>
      <w:r>
        <w:rPr>
          <w:rFonts w:hint="cs"/>
          <w:rtl/>
        </w:rPr>
        <w:t>.</w:t>
      </w:r>
    </w:p>
  </w:footnote>
  <w:footnote w:id="223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(ب)، وفي باقي النسخ : </w:t>
      </w:r>
      <w:r>
        <w:rPr>
          <w:rFonts w:hint="eastAsia"/>
          <w:rtl/>
        </w:rPr>
        <w:t>«</w:t>
      </w:r>
      <w:r>
        <w:rPr>
          <w:rFonts w:hint="cs"/>
          <w:rtl/>
        </w:rPr>
        <w:t>الشريك</w:t>
      </w:r>
      <w:r>
        <w:rPr>
          <w:rFonts w:hint="eastAsia"/>
          <w:rtl/>
        </w:rPr>
        <w:t>»</w:t>
      </w:r>
      <w:r>
        <w:rPr>
          <w:rFonts w:hint="cs"/>
          <w:rtl/>
        </w:rPr>
        <w:t>. والصحيح ما في (ب)، وهو الموافق لمصادر هذا المثال الآتي ذكرها.</w:t>
      </w:r>
    </w:p>
    <w:p w:rsidR="00035BE3" w:rsidRDefault="00035BE3" w:rsidP="00C10469">
      <w:pPr>
        <w:pStyle w:val="a6"/>
        <w:ind w:left="422" w:firstLine="0"/>
        <w:rPr>
          <w:rtl/>
        </w:rPr>
      </w:pPr>
      <w:r>
        <w:rPr>
          <w:rFonts w:hint="cs"/>
          <w:b/>
          <w:bCs/>
          <w:rtl/>
        </w:rPr>
        <w:t>والتشريك في اللغة</w:t>
      </w:r>
      <w:r>
        <w:rPr>
          <w:rFonts w:hint="cs"/>
          <w:rtl/>
        </w:rPr>
        <w:t xml:space="preserve"> : وَضْعُ الشِّراكِ بالنَّعل، والشِّراكُ : سَيْرُ النعل على ظهر القدم.</w:t>
      </w:r>
    </w:p>
    <w:p w:rsidR="00035BE3" w:rsidRDefault="00035BE3" w:rsidP="00C10469">
      <w:pPr>
        <w:pStyle w:val="a6"/>
        <w:ind w:left="422" w:firstLine="0"/>
        <w:rPr>
          <w:rtl/>
        </w:rPr>
      </w:pPr>
      <w:r>
        <w:rPr>
          <w:rFonts w:hint="cs"/>
          <w:rtl/>
        </w:rPr>
        <w:t xml:space="preserve">انظر : لسان العرب، مادة </w:t>
      </w:r>
      <w:r>
        <w:rPr>
          <w:rFonts w:hint="eastAsia"/>
          <w:rtl/>
        </w:rPr>
        <w:t>«</w:t>
      </w:r>
      <w:r>
        <w:rPr>
          <w:rFonts w:hint="cs"/>
          <w:rtl/>
        </w:rPr>
        <w:t>شرك</w:t>
      </w:r>
      <w:r>
        <w:rPr>
          <w:rFonts w:hint="eastAsia"/>
          <w:rtl/>
        </w:rPr>
        <w:t>»</w:t>
      </w:r>
      <w:r>
        <w:rPr>
          <w:rFonts w:hint="cs"/>
          <w:rtl/>
        </w:rPr>
        <w:t xml:space="preserve">، 10/451؛ القاموس المحيط، مادة </w:t>
      </w:r>
      <w:r>
        <w:rPr>
          <w:rFonts w:hint="eastAsia"/>
          <w:rtl/>
        </w:rPr>
        <w:t>«</w:t>
      </w:r>
      <w:r>
        <w:rPr>
          <w:rFonts w:hint="cs"/>
          <w:rtl/>
        </w:rPr>
        <w:t>شرك</w:t>
      </w:r>
      <w:r>
        <w:rPr>
          <w:rFonts w:hint="eastAsia"/>
          <w:rtl/>
        </w:rPr>
        <w:t>»</w:t>
      </w:r>
      <w:r>
        <w:rPr>
          <w:rFonts w:hint="cs"/>
          <w:rtl/>
        </w:rPr>
        <w:t xml:space="preserve">، ص 1220؛ المعجم الوسيط، مادة </w:t>
      </w:r>
      <w:r>
        <w:rPr>
          <w:rFonts w:hint="eastAsia"/>
          <w:rtl/>
        </w:rPr>
        <w:t>«</w:t>
      </w:r>
      <w:r>
        <w:rPr>
          <w:rFonts w:hint="cs"/>
          <w:rtl/>
        </w:rPr>
        <w:t>شرك</w:t>
      </w:r>
      <w:r>
        <w:rPr>
          <w:rFonts w:hint="eastAsia"/>
          <w:rtl/>
        </w:rPr>
        <w:t>»</w:t>
      </w:r>
      <w:r>
        <w:rPr>
          <w:rFonts w:hint="cs"/>
          <w:rtl/>
        </w:rPr>
        <w:t>، 1/480.</w:t>
      </w:r>
    </w:p>
  </w:footnote>
  <w:footnote w:id="223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31/أ من (جـ).</w:t>
      </w:r>
    </w:p>
  </w:footnote>
  <w:footnote w:id="2233">
    <w:p w:rsidR="00035BE3" w:rsidRDefault="00035BE3" w:rsidP="00C10469">
      <w:pPr>
        <w:pStyle w:val="a8"/>
        <w:bidi/>
        <w:ind w:left="422" w:right="0"/>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 </w:t>
      </w:r>
      <w:r>
        <w:rPr>
          <w:rFonts w:hint="eastAsia"/>
          <w:spacing w:val="-6"/>
          <w:rtl/>
        </w:rPr>
        <w:t>«</w:t>
      </w:r>
      <w:r>
        <w:rPr>
          <w:rFonts w:hint="cs"/>
          <w:spacing w:val="-6"/>
          <w:rtl/>
        </w:rPr>
        <w:t>شرط</w:t>
      </w:r>
      <w:r>
        <w:rPr>
          <w:rFonts w:hint="eastAsia"/>
          <w:spacing w:val="-6"/>
          <w:rtl/>
        </w:rPr>
        <w:t>»</w:t>
      </w:r>
      <w:r>
        <w:rPr>
          <w:rFonts w:hint="cs"/>
          <w:spacing w:val="-6"/>
          <w:rtl/>
        </w:rPr>
        <w:t>. والصحيح ما تمَّ إثباته من (ب) و(د)؛ لأن (شرطًا) اسم إن  واسمها منصوب.</w:t>
      </w:r>
    </w:p>
  </w:footnote>
  <w:footnote w:id="223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25/ب من (د).</w:t>
      </w:r>
    </w:p>
  </w:footnote>
  <w:footnote w:id="223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الهداية وشرحيها: العناية وفتح القدير، 6/451؛ كنز الدقائق وشرحيه: تبيين الحقائق، 4/59؛ والبحر الرائق، 6/95؛ الدّرر شرح الغرر، 2/173؛ مجمع الأنهر، 2/63؛ تنوير الأبصار، وشرحه : الدُّر المختار، ورد المحتار عليه، 7/286؛ رسائل ابن عابدين، 2/139 (رسالة نشر العرف)؛ اللباب في شرح الكتاب، 2/27-28.</w:t>
      </w:r>
    </w:p>
    <w:p w:rsidR="00035BE3" w:rsidRDefault="00035BE3" w:rsidP="00C10469">
      <w:pPr>
        <w:pStyle w:val="a6"/>
        <w:ind w:left="422" w:firstLine="0"/>
        <w:rPr>
          <w:rtl/>
        </w:rPr>
      </w:pPr>
      <w:r>
        <w:rPr>
          <w:rFonts w:hint="cs"/>
          <w:rtl/>
        </w:rPr>
        <w:t>علمًا بأن القُـدُوري في (الـكـتـاب) اختار أنّ بيع النعل بشرط التشريك فاسد. وهو قول زفر، كما صرح به صاحب (تبيـيـن الحقائق).</w:t>
      </w:r>
    </w:p>
  </w:footnote>
  <w:footnote w:id="223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أخرجه أبو حنيفة في مسنده (المرتّب حسب الرواة)، ص160، والطبراني في المعجم الأوسط، 4/335؛ وابن حزم في المحلى، 8/415؛ والخطابي في معالم السنن، 5/154-155.</w:t>
      </w:r>
    </w:p>
    <w:p w:rsidR="00035BE3" w:rsidRDefault="00035BE3" w:rsidP="00C10469">
      <w:pPr>
        <w:pStyle w:val="a6"/>
        <w:ind w:left="422" w:firstLine="0"/>
        <w:rPr>
          <w:rtl/>
        </w:rPr>
      </w:pPr>
      <w:r>
        <w:rPr>
          <w:rFonts w:hint="cs"/>
          <w:rtl/>
        </w:rPr>
        <w:t>جميعهم بلفظه من حديث الإمام أبي حنيفة عن عمرو بن شعيب عن أبيه عن جدّه (ضمن قصة جرت بين الإمام وعلماء آخرين).</w:t>
      </w:r>
    </w:p>
    <w:p w:rsidR="00035BE3" w:rsidRPr="00406557" w:rsidRDefault="00035BE3" w:rsidP="00C10469">
      <w:pPr>
        <w:pStyle w:val="a6"/>
        <w:ind w:left="422" w:firstLine="0"/>
        <w:rPr>
          <w:rtl/>
        </w:rPr>
      </w:pPr>
      <w:r w:rsidRPr="00406557">
        <w:rPr>
          <w:rFonts w:hint="cs"/>
          <w:rtl/>
        </w:rPr>
        <w:t xml:space="preserve">وهذا </w:t>
      </w:r>
      <w:r w:rsidRPr="00946518">
        <w:rPr>
          <w:rFonts w:hint="cs"/>
          <w:rtl/>
        </w:rPr>
        <w:t xml:space="preserve">الحديث صرّح كثير من المحدثين بأن: </w:t>
      </w:r>
      <w:r w:rsidRPr="00946518">
        <w:rPr>
          <w:rFonts w:hint="eastAsia"/>
          <w:rtl/>
        </w:rPr>
        <w:t>«</w:t>
      </w:r>
      <w:r w:rsidRPr="00946518">
        <w:rPr>
          <w:rFonts w:hint="cs"/>
          <w:rtl/>
        </w:rPr>
        <w:t>فيه مقال</w:t>
      </w:r>
      <w:r w:rsidRPr="00946518">
        <w:rPr>
          <w:rFonts w:hint="eastAsia"/>
          <w:rtl/>
        </w:rPr>
        <w:t>»</w:t>
      </w:r>
      <w:r w:rsidRPr="00946518">
        <w:rPr>
          <w:rFonts w:hint="cs"/>
          <w:rtl/>
        </w:rPr>
        <w:t>، منهم أصحاب الكتب الآتية: فتح الباري، 5/371؛ سبل السلام، 3/8؛ عون المعبود، 9/239</w:t>
      </w:r>
      <w:r w:rsidRPr="00406557">
        <w:rPr>
          <w:rFonts w:hint="cs"/>
          <w:rtl/>
        </w:rPr>
        <w:t>؛ تحفة الأحوذي، 4/362، 384.</w:t>
      </w:r>
    </w:p>
    <w:p w:rsidR="00035BE3" w:rsidRDefault="00035BE3" w:rsidP="00C10469">
      <w:pPr>
        <w:pStyle w:val="a6"/>
        <w:ind w:left="-32" w:firstLine="454"/>
        <w:rPr>
          <w:spacing w:val="-6"/>
          <w:rtl/>
        </w:rPr>
      </w:pPr>
      <w:r>
        <w:rPr>
          <w:spacing w:val="-6"/>
          <w:rtl/>
        </w:rPr>
        <w:t>•</w:t>
      </w:r>
      <w:r>
        <w:rPr>
          <w:rFonts w:hint="cs"/>
          <w:spacing w:val="-6"/>
          <w:rtl/>
        </w:rPr>
        <w:t xml:space="preserve"> ومن عباراتهم قول الأول : </w:t>
      </w:r>
      <w:r>
        <w:rPr>
          <w:rFonts w:hint="eastAsia"/>
          <w:spacing w:val="-6"/>
          <w:rtl/>
        </w:rPr>
        <w:t>«</w:t>
      </w:r>
      <w:r>
        <w:rPr>
          <w:rFonts w:hint="cs"/>
          <w:spacing w:val="-6"/>
          <w:rtl/>
        </w:rPr>
        <w:t>أما حديث النهي عن بيع وشرط ففي إسناده مقال، وهو قابل للتأويل</w:t>
      </w:r>
      <w:r>
        <w:rPr>
          <w:rFonts w:hint="eastAsia"/>
          <w:spacing w:val="-6"/>
          <w:rtl/>
        </w:rPr>
        <w:t>»</w:t>
      </w:r>
      <w:r>
        <w:rPr>
          <w:rFonts w:hint="cs"/>
          <w:spacing w:val="-6"/>
          <w:rtl/>
        </w:rPr>
        <w:t>.</w:t>
      </w:r>
    </w:p>
    <w:p w:rsidR="00035BE3" w:rsidRDefault="00035BE3" w:rsidP="00C10469">
      <w:pPr>
        <w:pStyle w:val="a6"/>
        <w:ind w:left="422" w:firstLine="0"/>
        <w:rPr>
          <w:spacing w:val="-4"/>
          <w:rtl/>
        </w:rPr>
      </w:pPr>
      <w:r>
        <w:rPr>
          <w:spacing w:val="-4"/>
          <w:rtl/>
        </w:rPr>
        <w:t>•</w:t>
      </w:r>
      <w:r>
        <w:rPr>
          <w:rFonts w:hint="cs"/>
          <w:spacing w:val="-4"/>
          <w:rtl/>
        </w:rPr>
        <w:t xml:space="preserve"> </w:t>
      </w:r>
      <w:r w:rsidRPr="00946518">
        <w:rPr>
          <w:rFonts w:hint="cs"/>
          <w:rtl/>
        </w:rPr>
        <w:t xml:space="preserve">كما نقل ابن قدامة عن الإمام أحمد إنكار هذا الحديث، حيث قال عنه في المغني </w:t>
      </w:r>
      <w:r w:rsidRPr="00946518">
        <w:rPr>
          <w:rtl/>
        </w:rPr>
        <w:t>–</w:t>
      </w:r>
      <w:r w:rsidRPr="00946518">
        <w:rPr>
          <w:rFonts w:hint="cs"/>
          <w:rtl/>
        </w:rPr>
        <w:t xml:space="preserve">6/323-: </w:t>
      </w:r>
      <w:r w:rsidRPr="00946518">
        <w:rPr>
          <w:rFonts w:hint="eastAsia"/>
          <w:rtl/>
        </w:rPr>
        <w:t>«</w:t>
      </w:r>
      <w:r w:rsidRPr="00946518">
        <w:rPr>
          <w:rFonts w:hint="cs"/>
          <w:rtl/>
        </w:rPr>
        <w:t>وحديثهم لم يصح، وليس له أصل، وقد أنكره أحمد، ولانعرفه مرويَّا في مسند، فلا يُعوّل عليه</w:t>
      </w:r>
      <w:r w:rsidRPr="00946518">
        <w:rPr>
          <w:rFonts w:hint="eastAsia"/>
          <w:rtl/>
        </w:rPr>
        <w:t>»</w:t>
      </w:r>
      <w:r w:rsidRPr="00946518">
        <w:rPr>
          <w:rFonts w:hint="cs"/>
          <w:rtl/>
        </w:rPr>
        <w:t>.</w:t>
      </w:r>
      <w:r>
        <w:rPr>
          <w:rFonts w:hint="cs"/>
          <w:spacing w:val="-4"/>
          <w:rtl/>
        </w:rPr>
        <w:t xml:space="preserve">  </w:t>
      </w:r>
    </w:p>
    <w:p w:rsidR="00035BE3" w:rsidRPr="004F6D62" w:rsidRDefault="00035BE3" w:rsidP="00C10469">
      <w:pPr>
        <w:pStyle w:val="a6"/>
        <w:ind w:left="422" w:firstLine="0"/>
        <w:rPr>
          <w:rtl/>
        </w:rPr>
      </w:pPr>
      <w:r>
        <w:rPr>
          <w:spacing w:val="8"/>
          <w:rtl/>
        </w:rPr>
        <w:t>•</w:t>
      </w:r>
      <w:r>
        <w:rPr>
          <w:rFonts w:hint="cs"/>
          <w:spacing w:val="8"/>
          <w:rtl/>
        </w:rPr>
        <w:t xml:space="preserve"> </w:t>
      </w:r>
      <w:r w:rsidRPr="004F6D62">
        <w:rPr>
          <w:rFonts w:hint="cs"/>
          <w:rtl/>
        </w:rPr>
        <w:t xml:space="preserve">وأيضا ورد تخريجه في نصب الراية، 4/17-18، مع التصريح بالمقال الذي قيل فيه، فممّا جاء فيه : </w:t>
      </w:r>
      <w:r w:rsidRPr="004F6D62">
        <w:rPr>
          <w:rFonts w:hint="eastAsia"/>
          <w:rtl/>
        </w:rPr>
        <w:t>«</w:t>
      </w:r>
      <w:r w:rsidRPr="004F6D62">
        <w:rPr>
          <w:rFonts w:hint="cs"/>
          <w:rtl/>
        </w:rPr>
        <w:t>قلت : رواه الطبراني في الأوسط، حدثنا... ورواه الحاكم أبو عبد الله النيسابوري في كتاب علوم الحديث، في باب الأحاديث المتعارضة ... ومن جهة الحاكم: ذكره عبد الحقّ في (إحكامه) وسكت عنه. قال ابن القطان : وعلته ضعف أبي حنيفة في الحديث. انتهى.</w:t>
      </w:r>
    </w:p>
    <w:p w:rsidR="00035BE3" w:rsidRPr="004F6D62" w:rsidRDefault="00035BE3" w:rsidP="00C10469">
      <w:pPr>
        <w:pStyle w:val="a6"/>
        <w:ind w:left="422" w:firstLine="0"/>
        <w:rPr>
          <w:rtl/>
        </w:rPr>
      </w:pPr>
      <w:r w:rsidRPr="004F6D62">
        <w:rPr>
          <w:rFonts w:hint="cs"/>
          <w:rtl/>
        </w:rPr>
        <w:t xml:space="preserve">واستدل ابن الجوزي </w:t>
      </w:r>
      <w:r w:rsidRPr="004F6D62">
        <w:rPr>
          <w:rtl/>
        </w:rPr>
        <w:t>–</w:t>
      </w:r>
      <w:r w:rsidRPr="004F6D62">
        <w:rPr>
          <w:rFonts w:hint="cs"/>
          <w:rtl/>
        </w:rPr>
        <w:t xml:space="preserve"> في (التحقيق)- على صحة البيع بشرط العتق بحديث بريرة عن عائشة، اشترتها بشرط العتق ...</w:t>
      </w:r>
      <w:r w:rsidRPr="004F6D62">
        <w:rPr>
          <w:rFonts w:hint="eastAsia"/>
          <w:rtl/>
        </w:rPr>
        <w:t>»</w:t>
      </w:r>
      <w:r w:rsidRPr="004F6D62">
        <w:rPr>
          <w:rFonts w:hint="cs"/>
          <w:rtl/>
        </w:rPr>
        <w:t>.</w:t>
      </w:r>
    </w:p>
    <w:p w:rsidR="00035BE3" w:rsidRPr="004F6D62" w:rsidRDefault="00035BE3" w:rsidP="00C10469">
      <w:pPr>
        <w:pStyle w:val="a6"/>
        <w:spacing w:line="264" w:lineRule="auto"/>
        <w:ind w:left="420" w:firstLine="0"/>
        <w:rPr>
          <w:rtl/>
        </w:rPr>
      </w:pPr>
      <w:r w:rsidRPr="004F6D62">
        <w:rPr>
          <w:rtl/>
        </w:rPr>
        <w:t>•</w:t>
      </w:r>
      <w:r w:rsidRPr="004F6D62">
        <w:rPr>
          <w:rFonts w:hint="cs"/>
          <w:rtl/>
        </w:rPr>
        <w:t xml:space="preserve"> وكذلك خرّجه الحافظ في التلخيص، 3/12، وبين أن من ألفاظه التي بمعناه : </w:t>
      </w:r>
      <w:r w:rsidRPr="004F6D62">
        <w:rPr>
          <w:rFonts w:hint="eastAsia"/>
          <w:rtl/>
        </w:rPr>
        <w:t>«</w:t>
      </w:r>
      <w:r w:rsidRPr="004F6D62">
        <w:rPr>
          <w:rFonts w:hint="cs"/>
          <w:rtl/>
        </w:rPr>
        <w:t xml:space="preserve">وما رواه أصحابُ السنن إلا ابن ماجه، وابن حبان والحاكم من حديث عمرو بن شعيب عن أبيه عن جدّه بلفظ : </w:t>
      </w:r>
      <w:r w:rsidRPr="004F6D62">
        <w:rPr>
          <w:rFonts w:hint="eastAsia"/>
          <w:rtl/>
        </w:rPr>
        <w:t>«</w:t>
      </w:r>
      <w:r w:rsidRPr="004F6D62">
        <w:rPr>
          <w:rFonts w:hint="cs"/>
          <w:rtl/>
        </w:rPr>
        <w:t>لا يحل سلف وبيع، ولا شرطان في بيع</w:t>
      </w:r>
      <w:r w:rsidRPr="004F6D62">
        <w:rPr>
          <w:rFonts w:hint="eastAsia"/>
          <w:rtl/>
        </w:rPr>
        <w:t>»»</w:t>
      </w:r>
      <w:r w:rsidRPr="004F6D62">
        <w:rPr>
          <w:rFonts w:hint="cs"/>
          <w:rtl/>
        </w:rPr>
        <w:t>.</w:t>
      </w:r>
    </w:p>
    <w:p w:rsidR="00035BE3" w:rsidRPr="004F6D62" w:rsidRDefault="00035BE3" w:rsidP="00C10469">
      <w:pPr>
        <w:pStyle w:val="a6"/>
        <w:spacing w:line="264" w:lineRule="auto"/>
        <w:ind w:left="420" w:firstLine="0"/>
        <w:rPr>
          <w:rtl/>
        </w:rPr>
      </w:pPr>
      <w:r w:rsidRPr="004F6D62">
        <w:rPr>
          <w:rFonts w:hint="cs"/>
          <w:b/>
          <w:bCs/>
          <w:rtl/>
        </w:rPr>
        <w:t>ولفظ</w:t>
      </w:r>
      <w:r w:rsidRPr="004F6D62">
        <w:rPr>
          <w:rFonts w:hint="cs"/>
          <w:rtl/>
        </w:rPr>
        <w:t xml:space="preserve"> : </w:t>
      </w:r>
      <w:r w:rsidRPr="004F6D62">
        <w:rPr>
          <w:rFonts w:hint="eastAsia"/>
          <w:rtl/>
        </w:rPr>
        <w:t>«</w:t>
      </w:r>
      <w:r w:rsidRPr="004F6D62">
        <w:rPr>
          <w:rFonts w:hint="cs"/>
          <w:rtl/>
        </w:rPr>
        <w:t>لا يحل سلف وبيع ...</w:t>
      </w:r>
      <w:r w:rsidRPr="004F6D62">
        <w:rPr>
          <w:rFonts w:hint="eastAsia"/>
          <w:rtl/>
        </w:rPr>
        <w:t>»</w:t>
      </w:r>
      <w:r w:rsidRPr="004F6D62">
        <w:rPr>
          <w:rFonts w:hint="cs"/>
          <w:rtl/>
        </w:rPr>
        <w:t xml:space="preserve"> يمثل جزءًا من حـديـث سـيـأتـي تـخـريـجه، ص921، ولم يرد فيه النهي عن بيع وشرط؛ فمن ألفاظه : ما أخرجه الترمـذي بسنـده </w:t>
      </w:r>
      <w:r w:rsidRPr="004F6D62">
        <w:rPr>
          <w:rtl/>
        </w:rPr>
        <w:t>–</w:t>
      </w:r>
      <w:r w:rsidRPr="004F6D62">
        <w:rPr>
          <w:rFonts w:hint="cs"/>
          <w:rtl/>
        </w:rPr>
        <w:t xml:space="preserve">3/535- مرفوعًا : </w:t>
      </w:r>
      <w:r w:rsidRPr="004F6D62">
        <w:rPr>
          <w:rFonts w:hint="eastAsia"/>
          <w:rtl/>
        </w:rPr>
        <w:t>«</w:t>
      </w:r>
      <w:r w:rsidRPr="004F6D62">
        <w:rPr>
          <w:rFonts w:hint="cs"/>
          <w:rtl/>
        </w:rPr>
        <w:t>لا يحلّ سلف وبيع، ولا شرطان في بيع، ولا ربح ما لم يضمن، ولا بيع ما ليس عندك</w:t>
      </w:r>
      <w:r w:rsidRPr="004F6D62">
        <w:rPr>
          <w:rFonts w:hint="eastAsia"/>
          <w:rtl/>
        </w:rPr>
        <w:t>»</w:t>
      </w:r>
      <w:r w:rsidRPr="004F6D62">
        <w:rPr>
          <w:rFonts w:hint="cs"/>
          <w:rtl/>
        </w:rPr>
        <w:t>.</w:t>
      </w:r>
    </w:p>
    <w:p w:rsidR="00035BE3" w:rsidRPr="004F6D62" w:rsidRDefault="00035BE3" w:rsidP="00C10469">
      <w:pPr>
        <w:pStyle w:val="a6"/>
        <w:ind w:left="422" w:firstLine="0"/>
        <w:rPr>
          <w:rtl/>
        </w:rPr>
      </w:pPr>
      <w:r w:rsidRPr="004F6D62">
        <w:rPr>
          <w:rFonts w:hint="cs"/>
          <w:rtl/>
        </w:rPr>
        <w:t xml:space="preserve">وللتوسع انظر </w:t>
      </w:r>
      <w:r w:rsidRPr="004F6D62">
        <w:rPr>
          <w:rtl/>
        </w:rPr>
        <w:t>–</w:t>
      </w:r>
      <w:r w:rsidRPr="004F6D62">
        <w:rPr>
          <w:rFonts w:hint="cs"/>
          <w:rtl/>
        </w:rPr>
        <w:t>أيضًا- : مجمع الزوائد، 4/85؛ الدراية؛ 2/151؛ نيل الأوطار، 5/283.</w:t>
      </w:r>
    </w:p>
  </w:footnote>
  <w:footnote w:id="2237">
    <w:p w:rsidR="00035BE3" w:rsidRPr="004F6D62" w:rsidRDefault="00035BE3" w:rsidP="00C10469">
      <w:pPr>
        <w:pStyle w:val="a8"/>
        <w:bidi/>
        <w:ind w:left="422" w:right="0"/>
        <w:rPr>
          <w:rtl/>
        </w:rPr>
      </w:pPr>
      <w:r w:rsidRPr="004F6D62">
        <w:rPr>
          <w:vertAlign w:val="superscript"/>
          <w:rtl/>
        </w:rPr>
        <w:t>(</w:t>
      </w:r>
      <w:r w:rsidRPr="004F6D62">
        <w:rPr>
          <w:rStyle w:val="a7"/>
        </w:rPr>
        <w:footnoteRef/>
      </w:r>
      <w:r w:rsidRPr="004F6D62">
        <w:rPr>
          <w:rFonts w:hint="cs"/>
          <w:vertAlign w:val="superscript"/>
          <w:rtl/>
        </w:rPr>
        <w:t>)</w:t>
      </w:r>
      <w:r w:rsidRPr="004F6D62">
        <w:rPr>
          <w:rFonts w:hint="cs"/>
          <w:rtl/>
        </w:rPr>
        <w:t xml:space="preserve">   في (ب) و(د) : </w:t>
      </w:r>
      <w:r w:rsidRPr="004F6D62">
        <w:rPr>
          <w:rFonts w:hint="eastAsia"/>
          <w:rtl/>
        </w:rPr>
        <w:t>«</w:t>
      </w:r>
      <w:r w:rsidRPr="004F6D62">
        <w:rPr>
          <w:rFonts w:hint="cs"/>
          <w:rtl/>
        </w:rPr>
        <w:t>بإطلاقه وهو</w:t>
      </w:r>
      <w:r w:rsidRPr="004F6D62">
        <w:rPr>
          <w:rFonts w:hint="eastAsia"/>
          <w:rtl/>
        </w:rPr>
        <w:t>»</w:t>
      </w:r>
      <w:r w:rsidRPr="004F6D62">
        <w:rPr>
          <w:rFonts w:hint="cs"/>
          <w:rtl/>
        </w:rPr>
        <w:t>، (بتأخير (وهو) عن (بإطلاقه)).</w:t>
      </w:r>
    </w:p>
  </w:footnote>
  <w:footnote w:id="2238">
    <w:p w:rsidR="00035BE3" w:rsidRPr="004F6D62" w:rsidRDefault="00035BE3" w:rsidP="00C10469">
      <w:pPr>
        <w:pStyle w:val="a8"/>
        <w:bidi/>
        <w:spacing w:line="264" w:lineRule="auto"/>
        <w:ind w:left="420" w:right="0"/>
        <w:rPr>
          <w:rtl/>
        </w:rPr>
      </w:pPr>
      <w:r w:rsidRPr="004F6D62">
        <w:rPr>
          <w:vertAlign w:val="superscript"/>
          <w:rtl/>
        </w:rPr>
        <w:t>(</w:t>
      </w:r>
      <w:r w:rsidRPr="004F6D62">
        <w:rPr>
          <w:rStyle w:val="a7"/>
        </w:rPr>
        <w:footnoteRef/>
      </w:r>
      <w:r w:rsidRPr="004F6D62">
        <w:rPr>
          <w:rFonts w:hint="cs"/>
          <w:vertAlign w:val="superscript"/>
          <w:rtl/>
        </w:rPr>
        <w:t>)</w:t>
      </w:r>
      <w:r w:rsidRPr="004F6D62">
        <w:rPr>
          <w:rFonts w:hint="cs"/>
          <w:rtl/>
        </w:rPr>
        <w:t xml:space="preserve">   أي : لأن الحديث معلّلٌ بما ذكره المؤلف.</w:t>
      </w:r>
    </w:p>
  </w:footnote>
  <w:footnote w:id="2239">
    <w:p w:rsidR="00035BE3" w:rsidRPr="004F6D62" w:rsidRDefault="00035BE3" w:rsidP="00C10469">
      <w:pPr>
        <w:pStyle w:val="a8"/>
        <w:bidi/>
        <w:spacing w:line="264" w:lineRule="auto"/>
        <w:ind w:left="420" w:right="0"/>
        <w:rPr>
          <w:rtl/>
        </w:rPr>
      </w:pPr>
      <w:r w:rsidRPr="004F6D62">
        <w:rPr>
          <w:vertAlign w:val="superscript"/>
          <w:rtl/>
        </w:rPr>
        <w:t>(</w:t>
      </w:r>
      <w:r w:rsidRPr="004F6D62">
        <w:rPr>
          <w:rStyle w:val="a7"/>
        </w:rPr>
        <w:footnoteRef/>
      </w:r>
      <w:r w:rsidRPr="004F6D62">
        <w:rPr>
          <w:rFonts w:hint="cs"/>
          <w:vertAlign w:val="superscript"/>
          <w:rtl/>
        </w:rPr>
        <w:t>)</w:t>
      </w:r>
      <w:r w:rsidRPr="004F6D62">
        <w:rPr>
          <w:rFonts w:hint="cs"/>
          <w:rtl/>
        </w:rPr>
        <w:t xml:space="preserve">   في (ب) و(د) : </w:t>
      </w:r>
      <w:r w:rsidRPr="004F6D62">
        <w:rPr>
          <w:rFonts w:hint="eastAsia"/>
          <w:rtl/>
        </w:rPr>
        <w:t>«</w:t>
      </w:r>
      <w:r w:rsidRPr="004F6D62">
        <w:rPr>
          <w:rFonts w:hint="cs"/>
          <w:rtl/>
        </w:rPr>
        <w:t>لأن العرف</w:t>
      </w:r>
      <w:r w:rsidRPr="004F6D62">
        <w:rPr>
          <w:rFonts w:hint="eastAsia"/>
          <w:rtl/>
        </w:rPr>
        <w:t>»</w:t>
      </w:r>
      <w:r w:rsidRPr="004F6D62">
        <w:rPr>
          <w:rFonts w:hint="cs"/>
          <w:rtl/>
        </w:rPr>
        <w:t xml:space="preserve"> (بإسقاط) (الواو)، وزيادة (لأن)).</w:t>
      </w:r>
    </w:p>
  </w:footnote>
  <w:footnote w:id="2240">
    <w:p w:rsidR="00035BE3" w:rsidRPr="004F6D62" w:rsidRDefault="00035BE3" w:rsidP="00C10469">
      <w:pPr>
        <w:pStyle w:val="a8"/>
        <w:bidi/>
        <w:spacing w:line="264" w:lineRule="auto"/>
        <w:ind w:left="420" w:right="0"/>
        <w:rPr>
          <w:rtl/>
        </w:rPr>
      </w:pPr>
      <w:r w:rsidRPr="004F6D62">
        <w:rPr>
          <w:vertAlign w:val="superscript"/>
          <w:rtl/>
        </w:rPr>
        <w:t>(</w:t>
      </w:r>
      <w:r w:rsidRPr="004F6D62">
        <w:rPr>
          <w:rStyle w:val="a7"/>
        </w:rPr>
        <w:footnoteRef/>
      </w:r>
      <w:r w:rsidRPr="004F6D62">
        <w:rPr>
          <w:rFonts w:hint="cs"/>
          <w:vertAlign w:val="superscript"/>
          <w:rtl/>
        </w:rPr>
        <w:t>)</w:t>
      </w:r>
      <w:r w:rsidRPr="004F6D62">
        <w:rPr>
          <w:rFonts w:hint="cs"/>
          <w:rtl/>
        </w:rPr>
        <w:t xml:space="preserve">   نهاية 26/ب من (ب).</w:t>
      </w:r>
    </w:p>
  </w:footnote>
  <w:footnote w:id="2241">
    <w:p w:rsidR="00035BE3" w:rsidRPr="004F6D62" w:rsidRDefault="00035BE3" w:rsidP="00C10469">
      <w:pPr>
        <w:pStyle w:val="a8"/>
        <w:bidi/>
        <w:spacing w:line="264" w:lineRule="auto"/>
        <w:ind w:left="420" w:right="0"/>
        <w:rPr>
          <w:rtl/>
        </w:rPr>
      </w:pPr>
      <w:r w:rsidRPr="004F6D62">
        <w:rPr>
          <w:vertAlign w:val="superscript"/>
          <w:rtl/>
        </w:rPr>
        <w:t>(</w:t>
      </w:r>
      <w:r w:rsidRPr="004F6D62">
        <w:rPr>
          <w:rStyle w:val="a7"/>
        </w:rPr>
        <w:footnoteRef/>
      </w:r>
      <w:r w:rsidRPr="004F6D62">
        <w:rPr>
          <w:rFonts w:hint="cs"/>
          <w:vertAlign w:val="superscript"/>
          <w:rtl/>
        </w:rPr>
        <w:t>)</w:t>
      </w:r>
      <w:r w:rsidRPr="004F6D62">
        <w:rPr>
          <w:rFonts w:hint="cs"/>
          <w:rtl/>
        </w:rPr>
        <w:t xml:space="preserve">   في (أ) و(ب) : </w:t>
      </w:r>
      <w:r w:rsidRPr="004F6D62">
        <w:rPr>
          <w:rFonts w:hint="eastAsia"/>
          <w:rtl/>
        </w:rPr>
        <w:t>«</w:t>
      </w:r>
      <w:r w:rsidRPr="004F6D62">
        <w:rPr>
          <w:rFonts w:hint="cs"/>
          <w:rtl/>
        </w:rPr>
        <w:t xml:space="preserve"> يجامع </w:t>
      </w:r>
      <w:r w:rsidRPr="004F6D62">
        <w:rPr>
          <w:rFonts w:hint="eastAsia"/>
          <w:rtl/>
        </w:rPr>
        <w:t>»</w:t>
      </w:r>
      <w:r w:rsidRPr="004F6D62">
        <w:rPr>
          <w:rFonts w:hint="cs"/>
          <w:rtl/>
        </w:rPr>
        <w:t>. والصحيح ما تمَّ إثباته من (جـ) و(د).</w:t>
      </w:r>
    </w:p>
  </w:footnote>
  <w:footnote w:id="2242">
    <w:p w:rsidR="00035BE3" w:rsidRPr="004F6D62" w:rsidRDefault="00035BE3" w:rsidP="00C10469">
      <w:pPr>
        <w:pStyle w:val="a8"/>
        <w:bidi/>
        <w:spacing w:line="264" w:lineRule="auto"/>
        <w:ind w:left="420" w:right="0"/>
        <w:rPr>
          <w:rtl/>
        </w:rPr>
      </w:pPr>
      <w:r w:rsidRPr="004F6D62">
        <w:rPr>
          <w:vertAlign w:val="superscript"/>
          <w:rtl/>
        </w:rPr>
        <w:t>(</w:t>
      </w:r>
      <w:r w:rsidRPr="004F6D62">
        <w:rPr>
          <w:rStyle w:val="a7"/>
        </w:rPr>
        <w:footnoteRef/>
      </w:r>
      <w:r w:rsidRPr="004F6D62">
        <w:rPr>
          <w:rFonts w:hint="cs"/>
          <w:vertAlign w:val="superscript"/>
          <w:rtl/>
        </w:rPr>
        <w:t>)</w:t>
      </w:r>
      <w:r w:rsidRPr="004F6D62">
        <w:rPr>
          <w:rFonts w:hint="cs"/>
          <w:rtl/>
        </w:rPr>
        <w:t xml:space="preserve">  العناية، 6/441-442- مع زيادة في العناية لبعض الجمل -؛ وانظر : رد المحتار، 7/286؛ رسائل ابن عابدين، 2/119 (رسالة : نشر العرف).</w:t>
      </w:r>
    </w:p>
  </w:footnote>
  <w:footnote w:id="224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المراد بالوضع</w:t>
      </w:r>
      <w:r>
        <w:rPr>
          <w:rFonts w:hint="cs"/>
          <w:rtl/>
        </w:rPr>
        <w:t xml:space="preserve"> : الوضع اللغوي.</w:t>
      </w:r>
    </w:p>
    <w:p w:rsidR="00035BE3" w:rsidRDefault="00035BE3" w:rsidP="00C10469">
      <w:pPr>
        <w:pStyle w:val="a6"/>
        <w:ind w:left="422" w:firstLine="0"/>
        <w:rPr>
          <w:rtl/>
        </w:rPr>
      </w:pPr>
      <w:r>
        <w:rPr>
          <w:rFonts w:hint="cs"/>
          <w:rtl/>
        </w:rPr>
        <w:t xml:space="preserve">وقوله : </w:t>
      </w:r>
      <w:r>
        <w:rPr>
          <w:rFonts w:hint="eastAsia"/>
          <w:rtl/>
        </w:rPr>
        <w:t>«</w:t>
      </w:r>
      <w:r>
        <w:rPr>
          <w:rFonts w:hint="cs"/>
          <w:rtl/>
        </w:rPr>
        <w:t>العرف ... قاضٍ على الوضع</w:t>
      </w:r>
      <w:r>
        <w:rPr>
          <w:rFonts w:hint="eastAsia"/>
          <w:rtl/>
        </w:rPr>
        <w:t>»</w:t>
      </w:r>
      <w:r>
        <w:rPr>
          <w:rFonts w:hint="cs"/>
          <w:rtl/>
        </w:rPr>
        <w:t xml:space="preserve"> يمثِّل قاعدة سيأتي الحديث عنها استقلالاً، وذلك ص858 (ل68/أ)، قاعدة 167. وما سيذكره المؤلف هنا إلى نهاية القاعدة هو مضمون ما سيذكره هناك.</w:t>
      </w:r>
    </w:p>
  </w:footnote>
  <w:footnote w:id="224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رجلاً</w:t>
      </w:r>
      <w:r>
        <w:rPr>
          <w:rFonts w:hint="eastAsia"/>
          <w:rtl/>
        </w:rPr>
        <w:t>»</w:t>
      </w:r>
      <w:r>
        <w:rPr>
          <w:rFonts w:hint="cs"/>
          <w:rtl/>
        </w:rPr>
        <w:t>.</w:t>
      </w:r>
    </w:p>
  </w:footnote>
  <w:footnote w:id="224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40/ب من (أ).</w:t>
      </w:r>
    </w:p>
  </w:footnote>
  <w:footnote w:id="224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لا يملك الرّجل الموكَّل القبض في عرف الناس.</w:t>
      </w:r>
    </w:p>
  </w:footnote>
  <w:footnote w:id="224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يقتضي</w:t>
      </w:r>
      <w:r>
        <w:rPr>
          <w:rFonts w:hint="eastAsia"/>
          <w:rtl/>
        </w:rPr>
        <w:t>»</w:t>
      </w:r>
      <w:r>
        <w:rPr>
          <w:rFonts w:hint="cs"/>
          <w:rtl/>
        </w:rPr>
        <w:t xml:space="preserve"> : ساقطة من (ب).</w:t>
      </w:r>
    </w:p>
  </w:footnote>
  <w:footnote w:id="224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قوله : إنه في معناه وضعًا : [أي] أنهما متَّحدان معنى من حيث الوضع في أصل اللغة</w:t>
      </w:r>
      <w:r>
        <w:rPr>
          <w:rFonts w:hint="eastAsia"/>
          <w:rtl/>
        </w:rPr>
        <w:t>»</w:t>
      </w:r>
      <w:r>
        <w:rPr>
          <w:rFonts w:hint="cs"/>
          <w:rtl/>
        </w:rPr>
        <w:t>- كذا قال صاحب نتائج الأفكار - 8/108- تعليقًا على كلامٍ لصاحب الهداية، وهو مناسب هنا-.</w:t>
      </w:r>
    </w:p>
  </w:footnote>
  <w:footnote w:id="224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ويشـهد لهذا المعـنى اللغوي ما جاء في اللسان : </w:t>
      </w:r>
      <w:r>
        <w:rPr>
          <w:rFonts w:hint="eastAsia"/>
          <w:rtl/>
        </w:rPr>
        <w:t>«</w:t>
      </w:r>
      <w:r>
        <w:rPr>
          <w:rFonts w:hint="cs"/>
          <w:rtl/>
        </w:rPr>
        <w:t xml:space="preserve">وتَقَاضَاهُ الدينَ : </w:t>
      </w:r>
      <w:r>
        <w:rPr>
          <w:rFonts w:hint="cs"/>
          <w:b/>
          <w:bCs/>
          <w:rtl/>
        </w:rPr>
        <w:t>قبضه</w:t>
      </w:r>
      <w:r>
        <w:rPr>
          <w:rFonts w:hint="cs"/>
          <w:rtl/>
        </w:rPr>
        <w:t xml:space="preserve"> منه ... ويقال : اقْتَضَيْتُ ما لي عليه : أي </w:t>
      </w:r>
      <w:r>
        <w:rPr>
          <w:rFonts w:hint="cs"/>
          <w:b/>
          <w:bCs/>
          <w:rtl/>
        </w:rPr>
        <w:t>قَبَضْتُهُ</w:t>
      </w:r>
      <w:r>
        <w:rPr>
          <w:rFonts w:hint="cs"/>
          <w:rtl/>
        </w:rPr>
        <w:t xml:space="preserve"> وأخذته</w:t>
      </w:r>
      <w:r>
        <w:rPr>
          <w:rFonts w:hint="eastAsia"/>
          <w:rtl/>
        </w:rPr>
        <w:t>»</w:t>
      </w:r>
      <w:r>
        <w:rPr>
          <w:rFonts w:hint="cs"/>
          <w:rtl/>
        </w:rPr>
        <w:t xml:space="preserve">. </w:t>
      </w:r>
    </w:p>
    <w:p w:rsidR="00035BE3" w:rsidRDefault="00035BE3" w:rsidP="00C10469">
      <w:pPr>
        <w:pStyle w:val="a6"/>
        <w:ind w:left="422" w:firstLine="0"/>
        <w:rPr>
          <w:rtl/>
        </w:rPr>
      </w:pPr>
      <w:r>
        <w:rPr>
          <w:rFonts w:hint="cs"/>
          <w:rtl/>
        </w:rPr>
        <w:t xml:space="preserve">لسان العرب، مادة </w:t>
      </w:r>
      <w:r>
        <w:rPr>
          <w:rFonts w:hint="eastAsia"/>
          <w:rtl/>
        </w:rPr>
        <w:t>«</w:t>
      </w:r>
      <w:r>
        <w:rPr>
          <w:rFonts w:hint="cs"/>
          <w:rtl/>
        </w:rPr>
        <w:t>قضي</w:t>
      </w:r>
      <w:r>
        <w:rPr>
          <w:rFonts w:hint="eastAsia"/>
          <w:rtl/>
        </w:rPr>
        <w:t>»</w:t>
      </w:r>
      <w:r>
        <w:rPr>
          <w:rFonts w:hint="cs"/>
          <w:rtl/>
        </w:rPr>
        <w:t xml:space="preserve">، 15/188؛ وانظر : القاموس المحيط، مادة </w:t>
      </w:r>
      <w:r>
        <w:rPr>
          <w:rFonts w:hint="eastAsia"/>
          <w:rtl/>
        </w:rPr>
        <w:t>«</w:t>
      </w:r>
      <w:r>
        <w:rPr>
          <w:rFonts w:hint="cs"/>
          <w:rtl/>
        </w:rPr>
        <w:t>قضى</w:t>
      </w:r>
      <w:r>
        <w:rPr>
          <w:rFonts w:hint="eastAsia"/>
          <w:rtl/>
        </w:rPr>
        <w:t>»</w:t>
      </w:r>
      <w:r>
        <w:rPr>
          <w:rFonts w:hint="cs"/>
          <w:rtl/>
        </w:rPr>
        <w:t xml:space="preserve">، ص1708؛ المعجم الوسيط، مادة </w:t>
      </w:r>
      <w:r>
        <w:rPr>
          <w:rFonts w:hint="eastAsia"/>
          <w:rtl/>
        </w:rPr>
        <w:t>«</w:t>
      </w:r>
      <w:r>
        <w:rPr>
          <w:rFonts w:hint="cs"/>
          <w:rtl/>
        </w:rPr>
        <w:t>قضى</w:t>
      </w:r>
      <w:r>
        <w:rPr>
          <w:rFonts w:hint="eastAsia"/>
          <w:rtl/>
        </w:rPr>
        <w:t>»</w:t>
      </w:r>
      <w:r>
        <w:rPr>
          <w:rFonts w:hint="cs"/>
          <w:rtl/>
        </w:rPr>
        <w:t>، 2/743.</w:t>
      </w:r>
    </w:p>
  </w:footnote>
  <w:footnote w:id="225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الدّرر شرح الغرر، 2/291؛ وانظر أيضًا : الهداية وشرحيها : العناية ونتائج الأفكار، 8/107-108؛ تبين الحقائق، 4/278؛ البحر الرائق، 7/178.</w:t>
      </w:r>
    </w:p>
    <w:p w:rsidR="00035BE3" w:rsidRDefault="00035BE3" w:rsidP="00C10469">
      <w:pPr>
        <w:pStyle w:val="a6"/>
        <w:ind w:left="422" w:firstLine="0"/>
        <w:rPr>
          <w:rtl/>
        </w:rPr>
      </w:pPr>
      <w:r>
        <w:rPr>
          <w:rFonts w:hint="cs"/>
          <w:rtl/>
        </w:rPr>
        <w:t>وما ذكره المؤلف يتمشَّى مع قول زفر، خلافًا للثلاثة، إلا أن الفتوى عند الحنفية على قول زفر، كما صرّح بذلك أصحاب الكتب السابقة.</w:t>
      </w:r>
    </w:p>
  </w:footnote>
  <w:footnote w:id="225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بالدلالة</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جاءت هذه الكلمة مفسّرة بـ </w:t>
      </w:r>
      <w:r>
        <w:rPr>
          <w:rFonts w:hint="eastAsia"/>
          <w:rtl/>
        </w:rPr>
        <w:t>«</w:t>
      </w:r>
      <w:r>
        <w:rPr>
          <w:rFonts w:hint="cs"/>
          <w:rtl/>
        </w:rPr>
        <w:t>دلالة العرف</w:t>
      </w:r>
      <w:r>
        <w:rPr>
          <w:rFonts w:hint="eastAsia"/>
          <w:rtl/>
        </w:rPr>
        <w:t>»</w:t>
      </w:r>
      <w:r>
        <w:rPr>
          <w:rFonts w:hint="cs"/>
          <w:rtl/>
        </w:rPr>
        <w:t>، وذلك في مصدر هذه القاعدة وشرحها (وهو الفتاوى الولوالجية).</w:t>
      </w:r>
    </w:p>
  </w:footnote>
  <w:footnote w:id="225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توضيح القاعدة :</w:t>
      </w:r>
      <w:r>
        <w:rPr>
          <w:rFonts w:hint="cs"/>
          <w:rtl/>
        </w:rPr>
        <w:t xml:space="preserve"> </w:t>
      </w:r>
    </w:p>
    <w:p w:rsidR="00035BE3" w:rsidRDefault="00035BE3" w:rsidP="00C10469">
      <w:pPr>
        <w:pStyle w:val="a6"/>
        <w:ind w:left="422" w:firstLine="0"/>
        <w:rPr>
          <w:rtl/>
        </w:rPr>
      </w:pPr>
      <w:r>
        <w:rPr>
          <w:rFonts w:hint="cs"/>
          <w:rtl/>
        </w:rPr>
        <w:t>لقد تضمنت لفظين رئيسين، بتوضيحهما يتضح الـمراد من القاعدة، وهما : الدلالة والصريح:</w:t>
      </w:r>
    </w:p>
    <w:p w:rsidR="00035BE3" w:rsidRDefault="00035BE3" w:rsidP="00C10469">
      <w:pPr>
        <w:pStyle w:val="a6"/>
        <w:ind w:left="422" w:firstLine="0"/>
        <w:rPr>
          <w:rtl/>
        </w:rPr>
      </w:pPr>
      <w:r>
        <w:rPr>
          <w:rFonts w:hint="cs"/>
          <w:rtl/>
        </w:rPr>
        <w:t xml:space="preserve">أما معنى </w:t>
      </w:r>
      <w:r>
        <w:rPr>
          <w:rFonts w:hint="cs"/>
          <w:b/>
          <w:bCs/>
          <w:rtl/>
        </w:rPr>
        <w:t>الدلالة</w:t>
      </w:r>
      <w:r>
        <w:rPr>
          <w:rFonts w:hint="cs"/>
          <w:rtl/>
        </w:rPr>
        <w:t xml:space="preserve"> في اللغة : فقد سبق بيانه، ص185.</w:t>
      </w:r>
    </w:p>
    <w:p w:rsidR="00035BE3" w:rsidRDefault="00035BE3" w:rsidP="00C10469">
      <w:pPr>
        <w:pStyle w:val="a6"/>
        <w:ind w:left="422" w:firstLine="0"/>
        <w:rPr>
          <w:spacing w:val="-6"/>
          <w:rtl/>
        </w:rPr>
      </w:pPr>
      <w:r>
        <w:rPr>
          <w:rFonts w:hint="cs"/>
          <w:spacing w:val="-6"/>
          <w:rtl/>
        </w:rPr>
        <w:t xml:space="preserve">والمراد بها هنا : </w:t>
      </w:r>
      <w:r>
        <w:rPr>
          <w:rFonts w:hint="eastAsia"/>
          <w:spacing w:val="-6"/>
          <w:rtl/>
        </w:rPr>
        <w:t>«</w:t>
      </w:r>
      <w:r>
        <w:rPr>
          <w:rFonts w:hint="cs"/>
          <w:spacing w:val="-6"/>
          <w:rtl/>
        </w:rPr>
        <w:t>غير اللفظ، من حالٍ أو عرف أو إشارة أو يد أو غير ذلك</w:t>
      </w:r>
      <w:r>
        <w:rPr>
          <w:rFonts w:hint="eastAsia"/>
          <w:spacing w:val="-6"/>
          <w:rtl/>
        </w:rPr>
        <w:t>»</w:t>
      </w:r>
      <w:r>
        <w:rPr>
          <w:rFonts w:hint="cs"/>
          <w:spacing w:val="-6"/>
          <w:rtl/>
        </w:rPr>
        <w:t xml:space="preserve"> -كذا في الوجيز، ص139-</w:t>
      </w:r>
    </w:p>
    <w:p w:rsidR="00035BE3" w:rsidRDefault="00035BE3" w:rsidP="00C10469">
      <w:pPr>
        <w:pStyle w:val="a6"/>
        <w:ind w:left="422" w:firstLine="0"/>
        <w:rPr>
          <w:rtl/>
        </w:rPr>
      </w:pPr>
      <w:r>
        <w:rPr>
          <w:rFonts w:hint="cs"/>
          <w:rtl/>
        </w:rPr>
        <w:t xml:space="preserve">وأمّا </w:t>
      </w:r>
      <w:r>
        <w:rPr>
          <w:rFonts w:hint="cs"/>
          <w:b/>
          <w:bCs/>
          <w:rtl/>
        </w:rPr>
        <w:t>الصريح</w:t>
      </w:r>
      <w:r>
        <w:rPr>
          <w:rFonts w:hint="cs"/>
          <w:rtl/>
        </w:rPr>
        <w:t xml:space="preserve"> في اللغة : فهو مشتق من مادة </w:t>
      </w:r>
      <w:r>
        <w:rPr>
          <w:rFonts w:hint="eastAsia"/>
          <w:rtl/>
        </w:rPr>
        <w:t>«</w:t>
      </w:r>
      <w:r>
        <w:rPr>
          <w:rFonts w:hint="cs"/>
          <w:rtl/>
        </w:rPr>
        <w:t>صرح</w:t>
      </w:r>
      <w:r>
        <w:rPr>
          <w:rFonts w:hint="eastAsia"/>
          <w:rtl/>
        </w:rPr>
        <w:t>»</w:t>
      </w:r>
      <w:r>
        <w:rPr>
          <w:rFonts w:hint="cs"/>
          <w:rtl/>
        </w:rPr>
        <w:t xml:space="preserve">، والصاد والراء والحاء - كما يقول ابن فارس-: </w:t>
      </w:r>
      <w:r>
        <w:rPr>
          <w:rFonts w:hint="eastAsia"/>
          <w:rtl/>
        </w:rPr>
        <w:t>«</w:t>
      </w:r>
      <w:r>
        <w:rPr>
          <w:rFonts w:hint="cs"/>
          <w:rtl/>
        </w:rPr>
        <w:t>أصل منقاس، يدلّ على ظهور الشيء وبروزه</w:t>
      </w:r>
      <w:r>
        <w:rPr>
          <w:rFonts w:hint="eastAsia"/>
          <w:rtl/>
        </w:rPr>
        <w:t>»</w:t>
      </w:r>
      <w:r>
        <w:rPr>
          <w:rFonts w:hint="cs"/>
          <w:rtl/>
        </w:rPr>
        <w:t>.</w:t>
      </w:r>
    </w:p>
    <w:p w:rsidR="00035BE3" w:rsidRDefault="00035BE3" w:rsidP="00C10469">
      <w:pPr>
        <w:pStyle w:val="a6"/>
        <w:ind w:left="422" w:firstLine="0"/>
        <w:rPr>
          <w:rtl/>
        </w:rPr>
      </w:pPr>
      <w:r>
        <w:rPr>
          <w:rFonts w:hint="cs"/>
          <w:rtl/>
        </w:rPr>
        <w:t xml:space="preserve">ومن ذلك ما جاء في (اللسان) : </w:t>
      </w:r>
      <w:r>
        <w:rPr>
          <w:rFonts w:hint="eastAsia"/>
          <w:rtl/>
        </w:rPr>
        <w:t>«</w:t>
      </w:r>
      <w:r>
        <w:rPr>
          <w:rFonts w:hint="cs"/>
          <w:rtl/>
        </w:rPr>
        <w:t>الصريح : الخالص من كل شيء، وهو ضد الكناية</w:t>
      </w:r>
      <w:r>
        <w:rPr>
          <w:rFonts w:hint="eastAsia"/>
          <w:rtl/>
        </w:rPr>
        <w:t>»</w:t>
      </w:r>
      <w:r>
        <w:rPr>
          <w:rFonts w:hint="cs"/>
          <w:rtl/>
        </w:rPr>
        <w:t>.</w:t>
      </w:r>
    </w:p>
    <w:p w:rsidR="00035BE3" w:rsidRDefault="00035BE3" w:rsidP="00C10469">
      <w:pPr>
        <w:pStyle w:val="a6"/>
        <w:ind w:left="422" w:firstLine="0"/>
        <w:rPr>
          <w:rtl/>
        </w:rPr>
      </w:pPr>
      <w:r>
        <w:rPr>
          <w:rFonts w:hint="cs"/>
          <w:rtl/>
        </w:rPr>
        <w:t xml:space="preserve">وفي الاصطلاح : عرّفه صاحب (المنار) بأنه : </w:t>
      </w:r>
      <w:r>
        <w:rPr>
          <w:rFonts w:hint="eastAsia"/>
          <w:rtl/>
        </w:rPr>
        <w:t>«</w:t>
      </w:r>
      <w:r>
        <w:rPr>
          <w:rFonts w:hint="cs"/>
          <w:rtl/>
        </w:rPr>
        <w:t>ما ظهر المراد به ظهورًا بيِّنًا، حقيقة كان أو مجازًا</w:t>
      </w:r>
      <w:r>
        <w:rPr>
          <w:rFonts w:hint="eastAsia"/>
          <w:rtl/>
        </w:rPr>
        <w:t>»</w:t>
      </w:r>
      <w:r>
        <w:rPr>
          <w:rFonts w:hint="cs"/>
          <w:rtl/>
        </w:rPr>
        <w:t>.</w:t>
      </w:r>
    </w:p>
    <w:p w:rsidR="00035BE3" w:rsidRDefault="00035BE3" w:rsidP="00C10469">
      <w:pPr>
        <w:pStyle w:val="a6"/>
        <w:ind w:left="422" w:firstLine="0"/>
        <w:rPr>
          <w:rtl/>
        </w:rPr>
      </w:pPr>
      <w:r>
        <w:rPr>
          <w:rFonts w:hint="cs"/>
          <w:rtl/>
        </w:rPr>
        <w:t>وهذا المعنى الاصطلاحي هو المراد في القاعدة.</w:t>
      </w:r>
    </w:p>
    <w:p w:rsidR="00035BE3" w:rsidRDefault="00035BE3" w:rsidP="00C10469">
      <w:pPr>
        <w:pStyle w:val="a6"/>
        <w:ind w:left="422" w:firstLine="0"/>
        <w:rPr>
          <w:rtl/>
        </w:rPr>
      </w:pPr>
      <w:r>
        <w:rPr>
          <w:rFonts w:hint="cs"/>
          <w:b/>
          <w:bCs/>
          <w:rtl/>
        </w:rPr>
        <w:t>ولتوثيق</w:t>
      </w:r>
      <w:r>
        <w:rPr>
          <w:rFonts w:hint="cs"/>
          <w:rtl/>
        </w:rPr>
        <w:t xml:space="preserve"> معنى الصريح، فالمعنى اللغوي مستفاد من المقاييس في اللغة، مادة </w:t>
      </w:r>
      <w:r>
        <w:rPr>
          <w:rFonts w:hint="eastAsia"/>
          <w:rtl/>
        </w:rPr>
        <w:t>«</w:t>
      </w:r>
      <w:r>
        <w:rPr>
          <w:rFonts w:hint="cs"/>
          <w:rtl/>
        </w:rPr>
        <w:t>صرح</w:t>
      </w:r>
      <w:r>
        <w:rPr>
          <w:rFonts w:hint="eastAsia"/>
          <w:rtl/>
        </w:rPr>
        <w:t>»</w:t>
      </w:r>
      <w:r>
        <w:rPr>
          <w:rFonts w:hint="cs"/>
          <w:rtl/>
        </w:rPr>
        <w:t xml:space="preserve">، ص592؛ ولسان العرب، مادة </w:t>
      </w:r>
      <w:r>
        <w:rPr>
          <w:rFonts w:hint="eastAsia"/>
          <w:rtl/>
        </w:rPr>
        <w:t>«</w:t>
      </w:r>
      <w:r>
        <w:rPr>
          <w:rFonts w:hint="cs"/>
          <w:rtl/>
        </w:rPr>
        <w:t>صرح</w:t>
      </w:r>
      <w:r>
        <w:rPr>
          <w:rFonts w:hint="eastAsia"/>
          <w:rtl/>
        </w:rPr>
        <w:t>»</w:t>
      </w:r>
      <w:r>
        <w:rPr>
          <w:rFonts w:hint="cs"/>
          <w:rtl/>
        </w:rPr>
        <w:t xml:space="preserve">، 2/509؛ وانظر : القاموس المحيط، مادة </w:t>
      </w:r>
      <w:r>
        <w:rPr>
          <w:rFonts w:hint="eastAsia"/>
          <w:rtl/>
        </w:rPr>
        <w:t>«</w:t>
      </w:r>
      <w:r>
        <w:rPr>
          <w:rFonts w:hint="cs"/>
          <w:rtl/>
        </w:rPr>
        <w:t>صرح</w:t>
      </w:r>
      <w:r>
        <w:rPr>
          <w:rFonts w:hint="eastAsia"/>
          <w:rtl/>
        </w:rPr>
        <w:t>»</w:t>
      </w:r>
      <w:r>
        <w:rPr>
          <w:rFonts w:hint="cs"/>
          <w:rtl/>
        </w:rPr>
        <w:t>، ص292.</w:t>
      </w:r>
    </w:p>
    <w:p w:rsidR="00035BE3" w:rsidRDefault="00035BE3" w:rsidP="00C10469">
      <w:pPr>
        <w:pStyle w:val="a6"/>
        <w:ind w:left="422" w:firstLine="0"/>
        <w:rPr>
          <w:spacing w:val="-6"/>
          <w:rtl/>
        </w:rPr>
      </w:pPr>
      <w:r>
        <w:rPr>
          <w:rFonts w:hint="cs"/>
          <w:spacing w:val="-6"/>
          <w:rtl/>
        </w:rPr>
        <w:t>والمعنى الاصطلاحي مستفاد من المنار، 1/365 (مع شرحه : كشف الأسرار)؛ وهو بعينه مذكور في مرآة الأصول، 2/64؛ وانظر : أصول البزدوي وشرحه : كشف الأسرار، 1/166؛ المغني للخبازي، ص145.</w:t>
      </w:r>
    </w:p>
    <w:p w:rsidR="00035BE3" w:rsidRDefault="00035BE3" w:rsidP="00C10469">
      <w:pPr>
        <w:pStyle w:val="a6"/>
        <w:ind w:left="422" w:firstLine="0"/>
        <w:rPr>
          <w:rtl/>
        </w:rPr>
      </w:pPr>
      <w:r>
        <w:rPr>
          <w:rFonts w:hint="cs"/>
          <w:rtl/>
        </w:rPr>
        <w:t>هذا ما يتعلق بتوثيق ما جاء في توضيح القاعدة.</w:t>
      </w:r>
    </w:p>
    <w:p w:rsidR="00035BE3" w:rsidRDefault="00035BE3" w:rsidP="00C10469">
      <w:pPr>
        <w:pStyle w:val="a6"/>
        <w:ind w:left="422" w:firstLine="0"/>
        <w:rPr>
          <w:b/>
          <w:bCs/>
          <w:rtl/>
        </w:rPr>
      </w:pPr>
      <w:r>
        <w:rPr>
          <w:rFonts w:hint="cs"/>
          <w:b/>
          <w:bCs/>
          <w:rtl/>
        </w:rPr>
        <w:t>أما توثيق القاعدة :</w:t>
      </w:r>
    </w:p>
    <w:p w:rsidR="00035BE3" w:rsidRDefault="00035BE3" w:rsidP="00C10469">
      <w:pPr>
        <w:pStyle w:val="a6"/>
        <w:ind w:left="422" w:firstLine="0"/>
        <w:rPr>
          <w:rtl/>
        </w:rPr>
      </w:pPr>
      <w:r>
        <w:rPr>
          <w:rFonts w:hint="cs"/>
          <w:rtl/>
        </w:rPr>
        <w:t xml:space="preserve">فقد وردت بنحو لفظها أو معناه أو شيء من معناه في كثير من كتب الفقه وأصوله وقواعده: </w:t>
      </w:r>
    </w:p>
    <w:p w:rsidR="00035BE3" w:rsidRDefault="00035BE3" w:rsidP="00C10469">
      <w:pPr>
        <w:pStyle w:val="a6"/>
        <w:ind w:left="422" w:firstLine="0"/>
        <w:rPr>
          <w:b/>
          <w:bCs/>
          <w:rtl/>
        </w:rPr>
      </w:pPr>
      <w:r>
        <w:rPr>
          <w:rFonts w:hint="cs"/>
          <w:b/>
          <w:bCs/>
          <w:rtl/>
        </w:rPr>
        <w:t xml:space="preserve">فمن كتب الأصول : </w:t>
      </w:r>
    </w:p>
    <w:p w:rsidR="00035BE3" w:rsidRDefault="00035BE3" w:rsidP="00C10469">
      <w:pPr>
        <w:pStyle w:val="a6"/>
        <w:ind w:left="422" w:firstLine="0"/>
        <w:rPr>
          <w:rtl/>
        </w:rPr>
      </w:pPr>
      <w:r>
        <w:rPr>
          <w:rFonts w:hint="cs"/>
          <w:rtl/>
        </w:rPr>
        <w:t xml:space="preserve">المغني للخبازي، ص247 - ولفظه : </w:t>
      </w:r>
      <w:r>
        <w:rPr>
          <w:rFonts w:hint="eastAsia"/>
          <w:rtl/>
        </w:rPr>
        <w:t>«</w:t>
      </w:r>
      <w:r>
        <w:rPr>
          <w:rFonts w:hint="cs"/>
          <w:rtl/>
        </w:rPr>
        <w:t>الثابت بالدلالة مثل الثابت بالصريح</w:t>
      </w:r>
      <w:r>
        <w:rPr>
          <w:rFonts w:hint="eastAsia"/>
          <w:rtl/>
        </w:rPr>
        <w:t>»</w:t>
      </w:r>
      <w:r>
        <w:rPr>
          <w:rFonts w:hint="cs"/>
          <w:rtl/>
        </w:rPr>
        <w:t>-.</w:t>
      </w:r>
    </w:p>
    <w:p w:rsidR="00035BE3" w:rsidRDefault="00035BE3" w:rsidP="00C10469">
      <w:pPr>
        <w:pStyle w:val="a6"/>
        <w:ind w:left="422" w:firstLine="0"/>
        <w:rPr>
          <w:b/>
          <w:bCs/>
          <w:rtl/>
        </w:rPr>
      </w:pPr>
      <w:r>
        <w:rPr>
          <w:rFonts w:hint="cs"/>
          <w:b/>
          <w:bCs/>
          <w:rtl/>
        </w:rPr>
        <w:t>ومن كتب القواعد :</w:t>
      </w:r>
    </w:p>
    <w:p w:rsidR="00035BE3" w:rsidRDefault="00035BE3" w:rsidP="00C10469">
      <w:pPr>
        <w:pStyle w:val="a6"/>
        <w:ind w:left="422" w:firstLine="0"/>
        <w:rPr>
          <w:rtl/>
        </w:rPr>
      </w:pPr>
      <w:r>
        <w:rPr>
          <w:rFonts w:hint="cs"/>
          <w:rtl/>
        </w:rPr>
        <w:t xml:space="preserve">رسالة الكرخي في الأصول، ص163 - ولفظه: </w:t>
      </w:r>
      <w:r>
        <w:rPr>
          <w:rFonts w:hint="eastAsia"/>
          <w:rtl/>
        </w:rPr>
        <w:t>«</w:t>
      </w:r>
      <w:r>
        <w:rPr>
          <w:rFonts w:hint="cs"/>
          <w:rtl/>
        </w:rPr>
        <w:t>الأصل أن للحال من الدلالة كما للمقالة</w:t>
      </w:r>
      <w:r>
        <w:rPr>
          <w:rFonts w:hint="eastAsia"/>
          <w:rtl/>
        </w:rPr>
        <w:t>»</w:t>
      </w:r>
      <w:r>
        <w:rPr>
          <w:rFonts w:hint="cs"/>
          <w:rtl/>
        </w:rPr>
        <w:t xml:space="preserve">-؛ تقرير القواعد لابن رجب، 3/105، قاعدة 151 - ولفظه: </w:t>
      </w:r>
      <w:r>
        <w:rPr>
          <w:rFonts w:hint="eastAsia"/>
          <w:rtl/>
        </w:rPr>
        <w:t>«</w:t>
      </w:r>
      <w:r>
        <w:rPr>
          <w:rFonts w:hint="cs"/>
          <w:rtl/>
        </w:rPr>
        <w:t xml:space="preserve">دلالة الأحوال تختلف بها دلالة الأقوال </w:t>
      </w:r>
      <w:r w:rsidRPr="00967EFD">
        <w:rPr>
          <w:rFonts w:hint="cs"/>
          <w:spacing w:val="-4"/>
          <w:rtl/>
        </w:rPr>
        <w:t>في قبول دعوى ما يوافقها وردِّ ما يخالفها، ويترتب عليها الأحكام بمجردها</w:t>
      </w:r>
      <w:r w:rsidRPr="00967EFD">
        <w:rPr>
          <w:rFonts w:hint="eastAsia"/>
          <w:spacing w:val="-4"/>
          <w:rtl/>
        </w:rPr>
        <w:t>»</w:t>
      </w:r>
      <w:r w:rsidRPr="00967EFD">
        <w:rPr>
          <w:rFonts w:hint="cs"/>
          <w:spacing w:val="-4"/>
          <w:rtl/>
        </w:rPr>
        <w:t xml:space="preserve">-؛ قواعد الفقه لابن </w:t>
      </w:r>
      <w:r>
        <w:rPr>
          <w:rFonts w:hint="cs"/>
          <w:rtl/>
        </w:rPr>
        <w:t xml:space="preserve">نجيم،  </w:t>
      </w:r>
      <w:r w:rsidRPr="0063440D">
        <w:rPr>
          <w:rFonts w:hint="cs"/>
          <w:spacing w:val="-4"/>
          <w:rtl/>
        </w:rPr>
        <w:t xml:space="preserve">ص101، قاعدة 39- ولفظه : </w:t>
      </w:r>
      <w:r w:rsidRPr="0063440D">
        <w:rPr>
          <w:rFonts w:hint="eastAsia"/>
          <w:spacing w:val="-4"/>
          <w:rtl/>
        </w:rPr>
        <w:t>«</w:t>
      </w:r>
      <w:r w:rsidRPr="0063440D">
        <w:rPr>
          <w:rFonts w:hint="cs"/>
          <w:spacing w:val="-4"/>
          <w:rtl/>
        </w:rPr>
        <w:t>الثابت دلالة كالثابت صريحًا</w:t>
      </w:r>
      <w:r w:rsidRPr="0063440D">
        <w:rPr>
          <w:rFonts w:hint="eastAsia"/>
          <w:spacing w:val="-4"/>
          <w:rtl/>
        </w:rPr>
        <w:t>»</w:t>
      </w:r>
      <w:r w:rsidRPr="0063440D">
        <w:rPr>
          <w:rFonts w:hint="cs"/>
          <w:spacing w:val="-4"/>
          <w:rtl/>
        </w:rPr>
        <w:t xml:space="preserve">-؛ مجلة الأحكام الشرعية للقاري، ص102، مادّة 151- ولفظه كلفظ ابن رجب-؛ قواعد الفقه للمجدّدي، ص73، قاعدة 99، وص74، قاعدة 101، وص104، قاعدة 242 - ولفظه الثاني: </w:t>
      </w:r>
      <w:r w:rsidRPr="0063440D">
        <w:rPr>
          <w:rFonts w:hint="eastAsia"/>
          <w:spacing w:val="-4"/>
          <w:rtl/>
        </w:rPr>
        <w:t>«</w:t>
      </w:r>
      <w:r w:rsidRPr="0063440D">
        <w:rPr>
          <w:rFonts w:hint="cs"/>
          <w:spacing w:val="-4"/>
          <w:rtl/>
        </w:rPr>
        <w:t>الثابت بالعرف كالثابت بالنص</w:t>
      </w:r>
      <w:r w:rsidRPr="0063440D">
        <w:rPr>
          <w:rFonts w:hint="eastAsia"/>
          <w:spacing w:val="-4"/>
          <w:rtl/>
        </w:rPr>
        <w:t>»</w:t>
      </w:r>
      <w:r w:rsidRPr="0063440D">
        <w:rPr>
          <w:rFonts w:hint="cs"/>
          <w:spacing w:val="-4"/>
          <w:rtl/>
        </w:rPr>
        <w:t xml:space="preserve">، والثالث كلفظ الكرخي -؛ القواعد والضوابط المستخلصة من التحرير، ص147، 481، 485- ولفظه الثاني: </w:t>
      </w:r>
      <w:r w:rsidRPr="0063440D">
        <w:rPr>
          <w:rFonts w:hint="eastAsia"/>
          <w:spacing w:val="-4"/>
          <w:rtl/>
        </w:rPr>
        <w:t>«</w:t>
      </w:r>
      <w:r w:rsidRPr="0063440D">
        <w:rPr>
          <w:rFonts w:hint="cs"/>
          <w:spacing w:val="-4"/>
          <w:rtl/>
        </w:rPr>
        <w:t>الثابت عرفًا كالثابت نصًّا</w:t>
      </w:r>
      <w:r w:rsidRPr="0063440D">
        <w:rPr>
          <w:rFonts w:hint="eastAsia"/>
          <w:spacing w:val="-4"/>
          <w:rtl/>
        </w:rPr>
        <w:t>»</w:t>
      </w:r>
      <w:r w:rsidRPr="0063440D">
        <w:rPr>
          <w:rFonts w:hint="cs"/>
          <w:spacing w:val="-4"/>
          <w:rtl/>
        </w:rPr>
        <w:t xml:space="preserve">-؛ موسوعة القواعد الفقهية، 2/319، 4/537- وقد ذكر في هذين الموضعين ألفاظًا كثيرة، أوَّلها: </w:t>
      </w:r>
      <w:r w:rsidRPr="0063440D">
        <w:rPr>
          <w:rFonts w:hint="eastAsia"/>
          <w:spacing w:val="-4"/>
          <w:rtl/>
        </w:rPr>
        <w:t>«</w:t>
      </w:r>
      <w:r w:rsidRPr="0063440D">
        <w:rPr>
          <w:rFonts w:hint="cs"/>
          <w:spacing w:val="-4"/>
          <w:rtl/>
        </w:rPr>
        <w:t>إنما تعتبر دلالة الحال إذا لم يوجد التنصيص بخلافها</w:t>
      </w:r>
      <w:r w:rsidRPr="0063440D">
        <w:rPr>
          <w:rFonts w:hint="eastAsia"/>
          <w:spacing w:val="-4"/>
          <w:rtl/>
        </w:rPr>
        <w:t>»</w:t>
      </w:r>
      <w:r w:rsidRPr="0063440D">
        <w:rPr>
          <w:rFonts w:hint="cs"/>
          <w:spacing w:val="-4"/>
          <w:rtl/>
        </w:rPr>
        <w:t xml:space="preserve">-؛ تطبيقات القواعد والضوابط للدكتور سعود الغديان، ص 896 - ولفظه : </w:t>
      </w:r>
      <w:r w:rsidRPr="0063440D">
        <w:rPr>
          <w:rFonts w:hint="eastAsia"/>
          <w:spacing w:val="-4"/>
          <w:rtl/>
        </w:rPr>
        <w:t>«</w:t>
      </w:r>
      <w:r w:rsidRPr="0063440D">
        <w:rPr>
          <w:rFonts w:hint="cs"/>
          <w:spacing w:val="-4"/>
          <w:rtl/>
        </w:rPr>
        <w:t>الأصل أن للحال من الدلالة كما للمقالة</w:t>
      </w:r>
      <w:r w:rsidRPr="0063440D">
        <w:rPr>
          <w:rFonts w:hint="eastAsia"/>
          <w:spacing w:val="-4"/>
          <w:rtl/>
        </w:rPr>
        <w:t>»</w:t>
      </w:r>
      <w:r w:rsidRPr="0063440D">
        <w:rPr>
          <w:rFonts w:hint="cs"/>
          <w:spacing w:val="-4"/>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8"/>
          <w:rtl/>
        </w:rPr>
      </w:pPr>
      <w:r>
        <w:rPr>
          <w:rFonts w:hint="cs"/>
          <w:spacing w:val="8"/>
          <w:rtl/>
        </w:rPr>
        <w:t>شرح السير الكبـير، 2/762، فقرة 1339، و780، فـقـرة 1383، و 806، فقرة 1444، و5/1947، فقرة 3902؛ المبسوط، 4/227، 9/4، 11/51؛ 19/99؛ 30/199؛ القنية، ل152/أ؛ المحيط البرهاني، ق3، ص1358؛ المصفى للنسفي، ل20/أ ؛ الفتاوى الولوالجيّة، ل71/ب؛ العناية، 6/256؛ الدّرر شرح الغرر، 1/336، 2/144.</w:t>
      </w:r>
    </w:p>
    <w:p w:rsidR="00035BE3" w:rsidRDefault="00035BE3" w:rsidP="00C10469">
      <w:pPr>
        <w:pStyle w:val="a6"/>
        <w:ind w:left="422" w:firstLine="0"/>
        <w:rPr>
          <w:rtl/>
        </w:rPr>
      </w:pPr>
      <w:r>
        <w:rPr>
          <w:rFonts w:hint="cs"/>
          <w:rtl/>
        </w:rPr>
        <w:t xml:space="preserve">يضاف إلى هذا أن المؤلف ذكر لفظًا آخر للقاعدة وهو : </w:t>
      </w:r>
      <w:r>
        <w:rPr>
          <w:rFonts w:hint="eastAsia"/>
          <w:rtl/>
        </w:rPr>
        <w:t>«</w:t>
      </w:r>
      <w:r>
        <w:rPr>
          <w:rFonts w:hint="cs"/>
          <w:rtl/>
        </w:rPr>
        <w:t>الدلالة تعمل عمل الصريح إذا لم يوجد صريح يعارضها</w:t>
      </w:r>
      <w:r>
        <w:rPr>
          <w:rFonts w:hint="eastAsia"/>
          <w:rtl/>
        </w:rPr>
        <w:t>»</w:t>
      </w:r>
      <w:r>
        <w:rPr>
          <w:rFonts w:hint="cs"/>
          <w:rtl/>
        </w:rPr>
        <w:t>، وذلك ص703 (ل52/ب)، قاعدة 126.</w:t>
      </w:r>
    </w:p>
    <w:p w:rsidR="00035BE3" w:rsidRDefault="00035BE3" w:rsidP="00C10469">
      <w:pPr>
        <w:pStyle w:val="a6"/>
        <w:ind w:left="422" w:firstLine="0"/>
        <w:rPr>
          <w:rtl/>
        </w:rPr>
      </w:pPr>
      <w:r>
        <w:rPr>
          <w:rFonts w:hint="cs"/>
          <w:spacing w:val="4"/>
          <w:rtl/>
        </w:rPr>
        <w:t xml:space="preserve">كما ذكر قاعدة أخرى تمثل المفهوم المخـالـف لهما وهي : </w:t>
      </w:r>
      <w:r>
        <w:rPr>
          <w:rFonts w:hint="eastAsia"/>
          <w:spacing w:val="4"/>
          <w:rtl/>
        </w:rPr>
        <w:t>«</w:t>
      </w:r>
      <w:r>
        <w:rPr>
          <w:rFonts w:hint="cs"/>
          <w:spacing w:val="4"/>
          <w:rtl/>
        </w:rPr>
        <w:t>الصريح يفوِّت الدلالة</w:t>
      </w:r>
      <w:r>
        <w:rPr>
          <w:rFonts w:hint="eastAsia"/>
          <w:spacing w:val="4"/>
          <w:rtl/>
        </w:rPr>
        <w:t>»</w:t>
      </w:r>
      <w:r>
        <w:rPr>
          <w:rFonts w:hint="cs"/>
          <w:spacing w:val="4"/>
          <w:rtl/>
        </w:rPr>
        <w:t>، وذلك ص787 (ل61/أ)، قاعدة 153.</w:t>
      </w:r>
    </w:p>
  </w:footnote>
  <w:footnote w:id="225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لذا</w:t>
      </w:r>
      <w:r>
        <w:rPr>
          <w:rFonts w:hint="eastAsia"/>
          <w:rtl/>
        </w:rPr>
        <w:t>»</w:t>
      </w:r>
      <w:r>
        <w:rPr>
          <w:rFonts w:hint="cs"/>
          <w:rtl/>
        </w:rPr>
        <w:t>.</w:t>
      </w:r>
    </w:p>
  </w:footnote>
  <w:footnote w:id="225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ل 71/ب.</w:t>
      </w:r>
    </w:p>
    <w:p w:rsidR="00035BE3" w:rsidRDefault="00035BE3" w:rsidP="00C10469">
      <w:pPr>
        <w:pStyle w:val="a6"/>
        <w:ind w:left="422" w:firstLine="0"/>
        <w:rPr>
          <w:rtl/>
        </w:rPr>
      </w:pPr>
      <w:r>
        <w:rPr>
          <w:rFonts w:hint="cs"/>
          <w:rtl/>
        </w:rPr>
        <w:t xml:space="preserve">ونص ما جاء فيها : </w:t>
      </w:r>
      <w:r>
        <w:rPr>
          <w:rFonts w:hint="eastAsia"/>
          <w:rtl/>
        </w:rPr>
        <w:t>«</w:t>
      </w:r>
      <w:r>
        <w:rPr>
          <w:rFonts w:hint="cs"/>
          <w:rtl/>
        </w:rPr>
        <w:t>رجل تزوج امرأة على مهر معلوم، فأرادت أن تمنع نفسها حتى تستوفي مهرها: ليس لها ذلك في عرفنا؛ لأن في عرفنا البعض مؤجل، والبعض معجل ....</w:t>
      </w:r>
      <w:r>
        <w:rPr>
          <w:rFonts w:hint="eastAsia"/>
          <w:rtl/>
        </w:rPr>
        <w:t xml:space="preserve"> </w:t>
      </w:r>
    </w:p>
    <w:p w:rsidR="00035BE3" w:rsidRDefault="00035BE3" w:rsidP="00C10469">
      <w:pPr>
        <w:pStyle w:val="a6"/>
        <w:ind w:left="422" w:firstLine="0"/>
        <w:rPr>
          <w:rtl/>
        </w:rPr>
      </w:pPr>
      <w:r>
        <w:rPr>
          <w:rFonts w:hint="cs"/>
          <w:rtl/>
        </w:rPr>
        <w:t xml:space="preserve">فإن شُرطَ تعجيل الكلِّ في العقد : وجب التعجيل؛ لأن </w:t>
      </w:r>
      <w:r>
        <w:rPr>
          <w:rFonts w:hint="eastAsia"/>
          <w:rtl/>
        </w:rPr>
        <w:t>«</w:t>
      </w:r>
      <w:r>
        <w:rPr>
          <w:rFonts w:hint="cs"/>
          <w:rtl/>
        </w:rPr>
        <w:t>الثابت بدلالة العرف إنما لا [هكذا بزيادة (لا) النافية! ولعل هذا خطأ من الناسخ] يُعتبر إذا لم يوجد الصريح بخلافه</w:t>
      </w:r>
      <w:r>
        <w:rPr>
          <w:rFonts w:hint="eastAsia"/>
          <w:rtl/>
        </w:rPr>
        <w:t>»»</w:t>
      </w:r>
      <w:r>
        <w:rPr>
          <w:rFonts w:hint="cs"/>
          <w:rtl/>
        </w:rPr>
        <w:t>.</w:t>
      </w:r>
    </w:p>
    <w:p w:rsidR="00035BE3" w:rsidRDefault="00035BE3" w:rsidP="00C10469">
      <w:pPr>
        <w:pStyle w:val="a6"/>
        <w:ind w:left="422" w:firstLine="0"/>
        <w:rPr>
          <w:rtl/>
        </w:rPr>
      </w:pPr>
      <w:r>
        <w:rPr>
          <w:rFonts w:hint="cs"/>
          <w:rtl/>
        </w:rPr>
        <w:t xml:space="preserve">وانظر : تبيين الحقائق، 2/155-156؛ فتح القدير، 3/370؛ الدّرر شرح الغرر، 1/346-347. </w:t>
      </w:r>
    </w:p>
  </w:footnote>
  <w:footnote w:id="22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كتاب الوَلْوالجيَّة</w:t>
      </w:r>
      <w:r>
        <w:rPr>
          <w:rFonts w:hint="cs"/>
          <w:rtl/>
        </w:rPr>
        <w:t xml:space="preserve"> : كتاب في فروع الحنفية، يسمَّى (الفتاوى الولوالجية).</w:t>
      </w:r>
      <w:r>
        <w:rPr>
          <w:rFonts w:hint="cs"/>
          <w:rtl/>
        </w:rPr>
        <w:tab/>
      </w:r>
      <w:r>
        <w:rPr>
          <w:rFonts w:hint="cs"/>
          <w:rtl/>
        </w:rPr>
        <w:tab/>
      </w:r>
      <w:r>
        <w:rPr>
          <w:rFonts w:hint="cs"/>
          <w:rtl/>
        </w:rPr>
        <w:tab/>
      </w:r>
    </w:p>
    <w:p w:rsidR="00035BE3" w:rsidRDefault="00035BE3" w:rsidP="00C10469">
      <w:pPr>
        <w:pStyle w:val="a6"/>
        <w:ind w:left="422" w:firstLine="0"/>
        <w:rPr>
          <w:rtl/>
        </w:rPr>
      </w:pPr>
      <w:r>
        <w:rPr>
          <w:rFonts w:hint="cs"/>
          <w:rtl/>
        </w:rPr>
        <w:t>وقد ذكر المؤلف في المقدمة أنه فصَّل ما أورده الشيخ حسام الشهيد في كتابه : (الجامع لنوازل الأحكام)، وضمَّ إليه ما سواه من الواقعات المهمة، وما اشتملت عليه كُتُبُ محمد بن الحسن، مما لابدَّ من معرفته لأهل الفتوى.</w:t>
      </w:r>
    </w:p>
    <w:p w:rsidR="00035BE3" w:rsidRDefault="00035BE3" w:rsidP="00C10469">
      <w:pPr>
        <w:pStyle w:val="a6"/>
        <w:ind w:left="422" w:firstLine="0"/>
        <w:rPr>
          <w:rtl/>
        </w:rPr>
      </w:pPr>
      <w:r>
        <w:rPr>
          <w:rFonts w:hint="cs"/>
          <w:rtl/>
        </w:rPr>
        <w:t>أما مؤلف هذا الكتاب فهو محل خلاف على قولين :</w:t>
      </w:r>
    </w:p>
    <w:p w:rsidR="00035BE3" w:rsidRDefault="00035BE3" w:rsidP="00C10469">
      <w:pPr>
        <w:pStyle w:val="a6"/>
        <w:ind w:left="422" w:firstLine="0"/>
        <w:rPr>
          <w:rtl/>
        </w:rPr>
      </w:pPr>
      <w:r>
        <w:rPr>
          <w:rFonts w:hint="cs"/>
          <w:b/>
          <w:bCs/>
          <w:rtl/>
        </w:rPr>
        <w:t>الأول</w:t>
      </w:r>
      <w:r>
        <w:rPr>
          <w:rFonts w:hint="cs"/>
          <w:rtl/>
        </w:rPr>
        <w:t xml:space="preserve"> : هو إسحاق بن أبي بكر، أبو المكارم ظهير الدين الوَلْوَالَجي الحنفي (ت 710هـ). وهذا قول صاحب الطبقات السنية - 4/336- وصاحب كشف الظنون -2/1230-، كما نسبه صاحب الفوائد البهية -ص122- إلى القاري، وهو اختيار محقِّق الجواهر المضية -2/417-.</w:t>
      </w:r>
    </w:p>
    <w:p w:rsidR="00035BE3" w:rsidRDefault="00035BE3" w:rsidP="00C10469">
      <w:pPr>
        <w:pStyle w:val="a6"/>
        <w:ind w:left="422" w:firstLine="0"/>
        <w:rPr>
          <w:rtl/>
        </w:rPr>
      </w:pPr>
      <w:r>
        <w:rPr>
          <w:rFonts w:hint="cs"/>
          <w:b/>
          <w:bCs/>
          <w:rtl/>
        </w:rPr>
        <w:t>الثاني</w:t>
      </w:r>
      <w:r>
        <w:rPr>
          <w:rFonts w:hint="cs"/>
          <w:rtl/>
        </w:rPr>
        <w:t xml:space="preserve"> : هو عـبـد الرشيـد بن أبـي حنـيفـة بن عبد الرزاق، أبو الفتح ظهير الدين الوَلْوَالَجي (ت بعد 540هـ).</w:t>
      </w:r>
    </w:p>
    <w:p w:rsidR="00035BE3" w:rsidRDefault="00035BE3" w:rsidP="00C10469">
      <w:pPr>
        <w:pStyle w:val="a6"/>
        <w:ind w:left="422" w:firstLine="0"/>
        <w:rPr>
          <w:spacing w:val="-2"/>
          <w:rtl/>
        </w:rPr>
      </w:pPr>
      <w:r>
        <w:rPr>
          <w:rFonts w:hint="cs"/>
          <w:spacing w:val="-2"/>
          <w:rtl/>
        </w:rPr>
        <w:t>وهذا قول الكفوي، وصاحب الفوائد البهية - ص94، 122- وصاحب هدية العارفين -1/568-.</w:t>
      </w:r>
    </w:p>
    <w:p w:rsidR="00035BE3" w:rsidRDefault="00035BE3" w:rsidP="00C10469">
      <w:pPr>
        <w:pStyle w:val="a6"/>
        <w:ind w:left="422" w:firstLine="0"/>
        <w:rPr>
          <w:spacing w:val="-6"/>
          <w:rtl/>
        </w:rPr>
      </w:pPr>
      <w:r>
        <w:rPr>
          <w:rFonts w:hint="cs"/>
          <w:spacing w:val="-6"/>
          <w:rtl/>
        </w:rPr>
        <w:t>والقول الذي تشهد له النسخ الخطية هو القول الأول، حيث نُسبت الفتاوى إليه في نسخ المكتبات الآتية:</w:t>
      </w:r>
    </w:p>
    <w:p w:rsidR="00035BE3" w:rsidRDefault="00035BE3" w:rsidP="00C10469">
      <w:pPr>
        <w:pStyle w:val="a6"/>
        <w:ind w:left="422" w:firstLine="0"/>
        <w:rPr>
          <w:rtl/>
        </w:rPr>
      </w:pPr>
      <w:r>
        <w:rPr>
          <w:rFonts w:hint="cs"/>
          <w:b/>
          <w:bCs/>
          <w:rtl/>
        </w:rPr>
        <w:t>1-</w:t>
      </w:r>
      <w:r>
        <w:rPr>
          <w:rFonts w:hint="cs"/>
          <w:rtl/>
        </w:rPr>
        <w:t xml:space="preserve"> جامعة الإمام محمد بن سعود الإسلامية، برقم 367.</w:t>
      </w:r>
    </w:p>
    <w:p w:rsidR="00035BE3" w:rsidRDefault="00035BE3" w:rsidP="00C10469">
      <w:pPr>
        <w:pStyle w:val="a6"/>
        <w:ind w:left="422" w:firstLine="0"/>
        <w:rPr>
          <w:rtl/>
        </w:rPr>
      </w:pPr>
      <w:r>
        <w:rPr>
          <w:rFonts w:hint="cs"/>
          <w:b/>
          <w:bCs/>
          <w:rtl/>
        </w:rPr>
        <w:t>2-4-</w:t>
      </w:r>
      <w:r>
        <w:rPr>
          <w:rFonts w:hint="cs"/>
          <w:rtl/>
        </w:rPr>
        <w:t xml:space="preserve"> معهد البحوث العلمية وإحياء التراث بجامعة أم القرى :</w:t>
      </w:r>
    </w:p>
    <w:p w:rsidR="00035BE3" w:rsidRDefault="00035BE3" w:rsidP="00C10469">
      <w:pPr>
        <w:pStyle w:val="a6"/>
        <w:ind w:left="422" w:firstLine="0"/>
        <w:rPr>
          <w:spacing w:val="8"/>
          <w:rtl/>
        </w:rPr>
      </w:pPr>
      <w:r>
        <w:rPr>
          <w:rFonts w:hint="cs"/>
          <w:spacing w:val="8"/>
          <w:rtl/>
        </w:rPr>
        <w:t>نسخة تمثّل جزأين في مجلد واحد، برقم 29، ونسخة في جزءين، برقم 136، 137، ونسخة تمثّل الجزء الثاني فقط برقم 30.</w:t>
      </w:r>
    </w:p>
    <w:p w:rsidR="00035BE3" w:rsidRDefault="00035BE3" w:rsidP="00C10469">
      <w:pPr>
        <w:pStyle w:val="a6"/>
        <w:ind w:left="422" w:firstLine="0"/>
        <w:rPr>
          <w:rtl/>
        </w:rPr>
      </w:pPr>
      <w:r>
        <w:rPr>
          <w:rFonts w:hint="cs"/>
          <w:b/>
          <w:bCs/>
          <w:rtl/>
        </w:rPr>
        <w:t>5-</w:t>
      </w:r>
      <w:r>
        <w:rPr>
          <w:rFonts w:hint="cs"/>
          <w:rtl/>
        </w:rPr>
        <w:t xml:space="preserve"> كوبرلي، جـ1، برقم 686، وجـ2، برقم 687.</w:t>
      </w:r>
    </w:p>
  </w:footnote>
  <w:footnote w:id="22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معناه أو قريب منه في كثير من كتب الفقه وقواعده:</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6"/>
          <w:rtl/>
        </w:rPr>
      </w:pPr>
      <w:r>
        <w:rPr>
          <w:rFonts w:hint="cs"/>
          <w:spacing w:val="6"/>
          <w:rtl/>
        </w:rPr>
        <w:t xml:space="preserve">قواعد الأحكام للعز بن عبد السلام، 2/141- ولفظه : </w:t>
      </w:r>
      <w:r>
        <w:rPr>
          <w:rFonts w:hint="eastAsia"/>
          <w:spacing w:val="6"/>
          <w:rtl/>
        </w:rPr>
        <w:t>«</w:t>
      </w:r>
      <w:r>
        <w:rPr>
          <w:rFonts w:hint="cs"/>
          <w:spacing w:val="6"/>
          <w:rtl/>
        </w:rPr>
        <w:t>ما أُحِلَّ إلا [هكذا بزيادة (إلا)!] لضرورة أو حاجة يقدر بقدرها، ويزول بزوالها</w:t>
      </w:r>
      <w:r>
        <w:rPr>
          <w:rFonts w:hint="eastAsia"/>
          <w:spacing w:val="6"/>
          <w:rtl/>
        </w:rPr>
        <w:t>»</w:t>
      </w:r>
      <w:r>
        <w:rPr>
          <w:rFonts w:hint="cs"/>
          <w:spacing w:val="6"/>
          <w:rtl/>
        </w:rPr>
        <w:t xml:space="preserve">-؛ الأشباه والنظائر لابن الوكيل، 2/372- ولفظه : </w:t>
      </w:r>
      <w:r>
        <w:rPr>
          <w:rFonts w:hint="eastAsia"/>
          <w:spacing w:val="6"/>
          <w:rtl/>
        </w:rPr>
        <w:t>«</w:t>
      </w:r>
      <w:r>
        <w:rPr>
          <w:rFonts w:hint="cs"/>
          <w:spacing w:val="6"/>
          <w:rtl/>
        </w:rPr>
        <w:t>ما ثبت على خلاف الدليل للحاجة: قد يتقيد بقدرها، وقد يصير أصلاً مستقلاً</w:t>
      </w:r>
      <w:r>
        <w:rPr>
          <w:rFonts w:hint="eastAsia"/>
          <w:spacing w:val="6"/>
          <w:rtl/>
        </w:rPr>
        <w:t>»</w:t>
      </w:r>
      <w:r>
        <w:rPr>
          <w:rFonts w:hint="cs"/>
          <w:spacing w:val="6"/>
          <w:rtl/>
        </w:rPr>
        <w:t xml:space="preserve">-؛ القواعد للمقري، 2/502، قاعدة 262 - ولفظه : </w:t>
      </w:r>
      <w:r>
        <w:rPr>
          <w:rFonts w:hint="eastAsia"/>
          <w:spacing w:val="6"/>
          <w:rtl/>
        </w:rPr>
        <w:t>«</w:t>
      </w:r>
      <w:r>
        <w:rPr>
          <w:rFonts w:hint="cs"/>
          <w:spacing w:val="6"/>
          <w:rtl/>
        </w:rPr>
        <w:t>إذا وجب مخالفة أصلٍ أو قاعدة وجب تقليل المخالفة ما أمكن</w:t>
      </w:r>
      <w:r>
        <w:rPr>
          <w:rFonts w:hint="eastAsia"/>
          <w:spacing w:val="6"/>
          <w:rtl/>
        </w:rPr>
        <w:t>»</w:t>
      </w:r>
      <w:r>
        <w:rPr>
          <w:rFonts w:hint="cs"/>
          <w:spacing w:val="6"/>
          <w:rtl/>
        </w:rPr>
        <w:t xml:space="preserve">-؛ الأشباه والنظائر لابن السبكي، 1/45 - فقد ذكر من القواعد المنتزعة من قاعدة الضرر يزال : </w:t>
      </w:r>
      <w:r>
        <w:rPr>
          <w:rFonts w:hint="eastAsia"/>
          <w:spacing w:val="6"/>
          <w:rtl/>
        </w:rPr>
        <w:t>«</w:t>
      </w:r>
      <w:r>
        <w:rPr>
          <w:rFonts w:hint="cs"/>
          <w:spacing w:val="6"/>
          <w:rtl/>
        </w:rPr>
        <w:t>متى أمكن الدفع بأسهل الوجوه لم يُعدل إلى أصعبها</w:t>
      </w:r>
      <w:r>
        <w:rPr>
          <w:rFonts w:hint="eastAsia"/>
          <w:spacing w:val="6"/>
          <w:rtl/>
        </w:rPr>
        <w:t>»</w:t>
      </w:r>
      <w:r>
        <w:rPr>
          <w:rFonts w:hint="cs"/>
          <w:spacing w:val="6"/>
          <w:rtl/>
        </w:rPr>
        <w:t xml:space="preserve">-؛ الـمنـثور للزركشي، 2/320، 3/138- ولفظه الأول: </w:t>
      </w:r>
      <w:r>
        <w:rPr>
          <w:rFonts w:hint="eastAsia"/>
          <w:spacing w:val="6"/>
          <w:rtl/>
        </w:rPr>
        <w:t>«</w:t>
      </w:r>
      <w:r>
        <w:rPr>
          <w:rFonts w:hint="cs"/>
          <w:spacing w:val="6"/>
          <w:rtl/>
        </w:rPr>
        <w:t>ما أبيح للضرورة يقدَّر بقدرها</w:t>
      </w:r>
      <w:r>
        <w:rPr>
          <w:rFonts w:hint="eastAsia"/>
          <w:spacing w:val="6"/>
          <w:rtl/>
        </w:rPr>
        <w:t>»</w:t>
      </w:r>
      <w:r>
        <w:rPr>
          <w:rFonts w:hint="cs"/>
          <w:spacing w:val="6"/>
          <w:rtl/>
        </w:rPr>
        <w:t xml:space="preserve">، ولفظه الثاني : </w:t>
      </w:r>
      <w:r>
        <w:rPr>
          <w:rFonts w:hint="eastAsia"/>
          <w:spacing w:val="6"/>
          <w:rtl/>
        </w:rPr>
        <w:t>«</w:t>
      </w:r>
      <w:r>
        <w:rPr>
          <w:rFonts w:hint="cs"/>
          <w:spacing w:val="6"/>
          <w:rtl/>
        </w:rPr>
        <w:t>ما ثبت للضرورة يقدر بقدرها</w:t>
      </w:r>
      <w:r>
        <w:rPr>
          <w:rFonts w:hint="eastAsia"/>
          <w:spacing w:val="6"/>
          <w:rtl/>
        </w:rPr>
        <w:t>»</w:t>
      </w:r>
      <w:r>
        <w:rPr>
          <w:rFonts w:hint="cs"/>
          <w:spacing w:val="6"/>
          <w:rtl/>
        </w:rPr>
        <w:t xml:space="preserve">، وقد بيَّن أنَّهما بمعنى واحد حيث أحال في شرح الثانية على الأولى بقوله : </w:t>
      </w:r>
      <w:r>
        <w:rPr>
          <w:rFonts w:hint="eastAsia"/>
          <w:spacing w:val="6"/>
          <w:rtl/>
        </w:rPr>
        <w:t>«</w:t>
      </w:r>
      <w:r>
        <w:rPr>
          <w:rFonts w:hint="cs"/>
          <w:spacing w:val="6"/>
          <w:rtl/>
        </w:rPr>
        <w:t>سبقت في حرف الضاد</w:t>
      </w:r>
      <w:r>
        <w:rPr>
          <w:rFonts w:hint="eastAsia"/>
          <w:spacing w:val="6"/>
          <w:rtl/>
        </w:rPr>
        <w:t>»</w:t>
      </w:r>
      <w:r>
        <w:rPr>
          <w:rFonts w:hint="cs"/>
          <w:spacing w:val="6"/>
          <w:rtl/>
        </w:rPr>
        <w:t>-؛ الأشباه والنظائر لابن المـلقِّن، 2/454، قاعدة 196؛ مختصر من قواعد العلائي وكلام الإسنوي، 1/192 - ولفظ ابن الملقِّن ومن بعده كلفظ ابن الوكيل-؛ الأشباه والنظائر للسيوطي، 1/212؛ ولابن نجيم، ص107- ولفظُهما كلفظ الزركشي الأول-؛ الفرائد البهية وشرحاها: الأقمار المضيئة، ص119؛ والمواهب السنية وحاشيتها : الفوائد الجنية، 1/271- ولفظ الفرائد :</w:t>
      </w:r>
    </w:p>
    <w:p w:rsidR="00035BE3" w:rsidRDefault="00035BE3" w:rsidP="00C10469">
      <w:pPr>
        <w:pStyle w:val="a6"/>
        <w:ind w:left="422" w:hanging="454"/>
        <w:jc w:val="center"/>
        <w:rPr>
          <w:b/>
          <w:bCs/>
          <w:rtl/>
        </w:rPr>
      </w:pPr>
      <w:r>
        <w:rPr>
          <w:rFonts w:hint="cs"/>
          <w:b/>
          <w:bCs/>
          <w:rtl/>
        </w:rPr>
        <w:t xml:space="preserve">ومـا أبــيـح للـضـرورة قُـدِّر  </w:t>
      </w:r>
      <w:r>
        <w:rPr>
          <w:rFonts w:hint="cs"/>
          <w:b/>
          <w:bCs/>
          <w:rtl/>
        </w:rPr>
        <w:tab/>
        <w:t>بـقدرهـا حـتـمًا كـأكـل الـمضطر-؛</w:t>
      </w:r>
    </w:p>
    <w:p w:rsidR="00035BE3" w:rsidRDefault="00035BE3" w:rsidP="00C10469">
      <w:pPr>
        <w:pStyle w:val="a6"/>
        <w:ind w:left="422" w:firstLine="0"/>
        <w:rPr>
          <w:rtl/>
        </w:rPr>
      </w:pPr>
      <w:r>
        <w:rPr>
          <w:rFonts w:hint="cs"/>
          <w:rtl/>
        </w:rPr>
        <w:t xml:space="preserve">مجامع الحقائق (الخاتـمة)، ص45، 46- ولفظه الأول: </w:t>
      </w:r>
      <w:r>
        <w:rPr>
          <w:rFonts w:hint="eastAsia"/>
          <w:rtl/>
        </w:rPr>
        <w:t>«</w:t>
      </w:r>
      <w:r>
        <w:rPr>
          <w:rFonts w:hint="cs"/>
          <w:rtl/>
        </w:rPr>
        <w:t>الثابت بالضرورة يتقدر بقدرها</w:t>
      </w:r>
      <w:r>
        <w:rPr>
          <w:rFonts w:hint="eastAsia"/>
          <w:rtl/>
        </w:rPr>
        <w:t>»</w:t>
      </w:r>
      <w:r>
        <w:rPr>
          <w:rFonts w:hint="cs"/>
          <w:rtl/>
        </w:rPr>
        <w:t xml:space="preserve">، والثاني: </w:t>
      </w:r>
      <w:r>
        <w:rPr>
          <w:rFonts w:hint="eastAsia"/>
          <w:rtl/>
        </w:rPr>
        <w:t>«</w:t>
      </w:r>
      <w:r>
        <w:rPr>
          <w:rFonts w:hint="cs"/>
          <w:rtl/>
        </w:rPr>
        <w:t>ما أبيح للضرورة يتقدر بقدرها</w:t>
      </w:r>
      <w:r>
        <w:rPr>
          <w:rFonts w:hint="eastAsia"/>
          <w:rtl/>
        </w:rPr>
        <w:t>»</w:t>
      </w:r>
      <w:r>
        <w:rPr>
          <w:rFonts w:hint="cs"/>
          <w:rtl/>
        </w:rPr>
        <w:t xml:space="preserve">-؛ شرح العلائي لقواعد الخادمي، ل19/ب، 35/ب؛ منافع الدقائـق، ص318، 331؛ مجلة الأحكام العدلية، مادة 22- ولفظها: </w:t>
      </w:r>
      <w:r>
        <w:rPr>
          <w:rFonts w:hint="eastAsia"/>
          <w:rtl/>
        </w:rPr>
        <w:t>«</w:t>
      </w:r>
      <w:r>
        <w:rPr>
          <w:rFonts w:hint="cs"/>
          <w:rtl/>
        </w:rPr>
        <w:t>الضرورات تقَدَّر بقدرها</w:t>
      </w:r>
      <w:r>
        <w:rPr>
          <w:rFonts w:hint="eastAsia"/>
          <w:rtl/>
        </w:rPr>
        <w:t>»</w:t>
      </w:r>
      <w:r>
        <w:rPr>
          <w:rFonts w:hint="cs"/>
          <w:rtl/>
        </w:rPr>
        <w:t xml:space="preserve">؛ شرحها لسليم رستم، 1/30؛ ولعلي حيدر، 1/34؛ وللأتاسي، 1/56؛ وشـرح قواعدها </w:t>
      </w:r>
      <w:r w:rsidRPr="00E53FAF">
        <w:rPr>
          <w:rFonts w:hint="cs"/>
          <w:spacing w:val="-4"/>
          <w:rtl/>
        </w:rPr>
        <w:t>للـزرقا؛ ص187؛ رسالة في القواعد الفقهية للشيخ عبد الرحمن السعدي، ص25، البيت 17، ونصُّه:</w:t>
      </w:r>
    </w:p>
    <w:p w:rsidR="00035BE3" w:rsidRDefault="00035BE3" w:rsidP="00C10469">
      <w:pPr>
        <w:pStyle w:val="a6"/>
        <w:ind w:left="422" w:hanging="454"/>
        <w:jc w:val="center"/>
        <w:rPr>
          <w:b/>
          <w:bCs/>
          <w:rtl/>
        </w:rPr>
      </w:pPr>
      <w:r>
        <w:rPr>
          <w:rFonts w:hint="cs"/>
          <w:b/>
          <w:bCs/>
          <w:rtl/>
        </w:rPr>
        <w:t>وكـل مـحظـور مـع الضــرورة</w:t>
      </w:r>
      <w:r>
        <w:rPr>
          <w:rFonts w:hint="cs"/>
          <w:b/>
          <w:bCs/>
          <w:rtl/>
        </w:rPr>
        <w:tab/>
        <w:t>بـقـدر مـا تـحـتاجـه الـضـرورة-؛</w:t>
      </w:r>
    </w:p>
    <w:p w:rsidR="00035BE3" w:rsidRPr="002F3458" w:rsidRDefault="00035BE3" w:rsidP="00C10469">
      <w:pPr>
        <w:pStyle w:val="a6"/>
        <w:ind w:left="422" w:firstLine="0"/>
        <w:rPr>
          <w:spacing w:val="-4"/>
          <w:rtl/>
        </w:rPr>
      </w:pPr>
      <w:r>
        <w:rPr>
          <w:rFonts w:hint="cs"/>
          <w:rtl/>
        </w:rPr>
        <w:t xml:space="preserve">قواعد الفقه للمجدّدي، ص74، قاعدة 100، وص89، قاعدة 171 - ولفظه الأول كلفظ المؤلف، والثاني كلفظ المجلة - المدخل الفقهي العام، 2/996، فقرة 601؛ القواعد الفقهية للدكتور علي الندوي، 102، 153، 213، 255، 256، 308 - وقد ذكر عدّة ألفاظ، مـنها لفظي العز بن </w:t>
      </w:r>
      <w:r w:rsidRPr="002F3458">
        <w:rPr>
          <w:rFonts w:hint="cs"/>
          <w:spacing w:val="-4"/>
          <w:rtl/>
        </w:rPr>
        <w:t xml:space="preserve">عبد السلام والمجلة -؛ القواعد والضوابط المستخلصة من التحرير، ص485- وقد ذكر لفظين أحالـهما إلى التحرير، 1/249، 2/16/12، و 4/756، 5/947، وأوّلهما كلفظ المؤلف، والثاني: </w:t>
      </w:r>
      <w:r w:rsidRPr="002F3458">
        <w:rPr>
          <w:rFonts w:hint="eastAsia"/>
          <w:spacing w:val="-4"/>
          <w:rtl/>
        </w:rPr>
        <w:t>«</w:t>
      </w:r>
      <w:r w:rsidRPr="002F3458">
        <w:rPr>
          <w:rFonts w:hint="cs"/>
          <w:spacing w:val="-4"/>
          <w:rtl/>
        </w:rPr>
        <w:t>الثابت بالضرورة لا يعدو موضع الضرورة</w:t>
      </w:r>
      <w:r w:rsidRPr="002F3458">
        <w:rPr>
          <w:rFonts w:hint="eastAsia"/>
          <w:spacing w:val="-4"/>
          <w:rtl/>
        </w:rPr>
        <w:t>»</w:t>
      </w:r>
      <w:r w:rsidRPr="002F3458">
        <w:rPr>
          <w:rFonts w:hint="cs"/>
          <w:spacing w:val="-4"/>
          <w:rtl/>
        </w:rPr>
        <w:t xml:space="preserve">-؛ الوجيز، ص180 - وقد ذكر لفظ المجلة ولفظًا آخر-؛ موسوعة القواعد الفقهية، 4/543- وقد ذكر عدّة ألفاظ، منها لفظ المؤلف ولفظي القواعد والضوابط-؛ قواعد الفقه الإسلامي للدكتور الروكي، ص161، 197، 210؛ القواعد الكبرى للدكتور العجلان، ص80؛ المدخل إلى القواعد الفقهية للدكتور الحريري، ص104؛ المبادئ الفقهية، ص21؛ القواعد الفقهية للدَّعَّاس، ص44، قاعدة 30؛ وللدكتور محمد الزحيلي، ص68؛ تطبيقات القواعد والضوابط الفقهية للدكتور سعود الغديان، ص1304- ولفظ الروكي ومن بعده كلفظ المجلة-؛ القواعد الفقهية الكبرى لشيخنا أ.د. صالح السدلان، ص272 - ولفظه: </w:t>
      </w:r>
      <w:r w:rsidRPr="002F3458">
        <w:rPr>
          <w:rFonts w:hint="eastAsia"/>
          <w:spacing w:val="-4"/>
          <w:rtl/>
        </w:rPr>
        <w:t>«</w:t>
      </w:r>
      <w:r w:rsidRPr="002F3458">
        <w:rPr>
          <w:rFonts w:hint="cs"/>
          <w:spacing w:val="-4"/>
          <w:rtl/>
        </w:rPr>
        <w:t>ما أبيح للضرورة يتقدر بقدرها</w:t>
      </w:r>
      <w:r w:rsidRPr="002F3458">
        <w:rPr>
          <w:rFonts w:hint="eastAsia"/>
          <w:spacing w:val="-4"/>
          <w:rtl/>
        </w:rPr>
        <w:t>»</w:t>
      </w:r>
      <w:r w:rsidRPr="002F3458">
        <w:rPr>
          <w:rFonts w:hint="cs"/>
          <w:spacing w:val="-4"/>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المبسوط، 1/179، 2/127، 3/117، 5/10، 7/147، 11/72، 24/29، 25/43، 30/28؛ بدائع الصنائع، 5/124، 7/124؛ مجموع فتاوى شـيخ الإسلام ابن تيمية، 21/435؛ تبيين الحقائق، 5/21؛ الغرّة المنيفة، ص116؛ العناية، 7/45، 8/489، 9/67، 92؛ فتح القدير، 1/159؛ نتائج الأفكار، 9/24، 68؛ البحر الرائق، 1/197.</w:t>
      </w:r>
    </w:p>
    <w:p w:rsidR="00035BE3" w:rsidRDefault="00035BE3" w:rsidP="00C10469">
      <w:pPr>
        <w:pStyle w:val="a6"/>
        <w:ind w:left="422" w:firstLine="0"/>
        <w:rPr>
          <w:b/>
          <w:bCs/>
          <w:rtl/>
        </w:rPr>
      </w:pPr>
      <w:r>
        <w:rPr>
          <w:rFonts w:hint="cs"/>
          <w:b/>
          <w:bCs/>
          <w:rtl/>
        </w:rPr>
        <w:t>ومن الكتب الأخر :</w:t>
      </w:r>
    </w:p>
    <w:p w:rsidR="00035BE3" w:rsidRDefault="00035BE3" w:rsidP="00C10469">
      <w:pPr>
        <w:pStyle w:val="a6"/>
        <w:ind w:left="422" w:firstLine="0"/>
        <w:rPr>
          <w:rtl/>
        </w:rPr>
      </w:pPr>
      <w:r>
        <w:rPr>
          <w:rFonts w:hint="cs"/>
          <w:rtl/>
        </w:rPr>
        <w:t>كشف الأسرار للبخاري، 2/41، 3/264؛ نظرية الضرورة للدكتور وهبة الزحيلي، ص245؛ ولجميل مبارك، ص336.</w:t>
      </w:r>
    </w:p>
    <w:p w:rsidR="00035BE3" w:rsidRDefault="00035BE3" w:rsidP="00C10469">
      <w:pPr>
        <w:pStyle w:val="a6"/>
        <w:ind w:left="422" w:firstLine="0"/>
        <w:rPr>
          <w:rtl/>
        </w:rPr>
      </w:pPr>
      <w:r>
        <w:rPr>
          <w:rFonts w:hint="cs"/>
          <w:rtl/>
        </w:rPr>
        <w:t xml:space="preserve">يضاف إلى ما سبق أن المؤلف تحَدَّث عن هذه القاعدة في موضع آخر بلفظ آخر وهو : </w:t>
      </w:r>
      <w:r>
        <w:rPr>
          <w:rFonts w:hint="eastAsia"/>
          <w:rtl/>
        </w:rPr>
        <w:t>«</w:t>
      </w:r>
      <w:r>
        <w:rPr>
          <w:rFonts w:hint="cs"/>
          <w:rtl/>
        </w:rPr>
        <w:t>ما أبيح للضرورة يتقدَّر بقدرها</w:t>
      </w:r>
      <w:r>
        <w:rPr>
          <w:rFonts w:hint="eastAsia"/>
          <w:rtl/>
        </w:rPr>
        <w:t>»</w:t>
      </w:r>
      <w:r>
        <w:rPr>
          <w:rFonts w:hint="cs"/>
          <w:rtl/>
        </w:rPr>
        <w:t>، وذلك ص1028 (ل93/ب)، قاعدة 220.</w:t>
      </w:r>
    </w:p>
    <w:p w:rsidR="00035BE3" w:rsidRDefault="00035BE3" w:rsidP="00C10469">
      <w:pPr>
        <w:pStyle w:val="a6"/>
        <w:ind w:left="422" w:firstLine="0"/>
        <w:rPr>
          <w:rtl/>
        </w:rPr>
      </w:pPr>
      <w:r>
        <w:rPr>
          <w:rFonts w:hint="cs"/>
          <w:rtl/>
        </w:rPr>
        <w:t>وقد صرح العلائيُّ بأنهما بمعنى واحد في شرحه لقواعد الخادمي، ل19/ب؛ وصاحب مـنافع الدقائق، ص318 -كما سبق نقل ما قاله الزركشي في ذلك في بداية هذا الهامش-.</w:t>
      </w:r>
    </w:p>
    <w:p w:rsidR="00035BE3" w:rsidRDefault="00035BE3" w:rsidP="00C10469">
      <w:pPr>
        <w:pStyle w:val="a6"/>
        <w:ind w:left="422" w:firstLine="0"/>
        <w:rPr>
          <w:rtl/>
        </w:rPr>
      </w:pPr>
      <w:r>
        <w:rPr>
          <w:rFonts w:hint="cs"/>
          <w:rtl/>
        </w:rPr>
        <w:t>و</w:t>
      </w:r>
      <w:r>
        <w:rPr>
          <w:rFonts w:hint="eastAsia"/>
          <w:rtl/>
        </w:rPr>
        <w:t>«</w:t>
      </w:r>
      <w:r>
        <w:rPr>
          <w:rFonts w:hint="cs"/>
          <w:rtl/>
        </w:rPr>
        <w:t>قريب من هذه القاعدة [أيضًا] : ما جاز لعذر بطل بزواله</w:t>
      </w:r>
      <w:r>
        <w:rPr>
          <w:rFonts w:hint="eastAsia"/>
          <w:rtl/>
        </w:rPr>
        <w:t>»</w:t>
      </w:r>
      <w:r>
        <w:rPr>
          <w:rFonts w:hint="cs"/>
          <w:rtl/>
        </w:rPr>
        <w:t>- قاله السيوطي وابن نجيم في أشباههما، 1/214، ص108-.</w:t>
      </w:r>
    </w:p>
  </w:footnote>
  <w:footnote w:id="22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جـاء في مـصدر هـذه العـبارة (وهو العناية) : </w:t>
      </w:r>
      <w:r>
        <w:rPr>
          <w:rFonts w:hint="eastAsia"/>
          <w:rtl/>
        </w:rPr>
        <w:t>«</w:t>
      </w:r>
      <w:r>
        <w:rPr>
          <w:rFonts w:hint="cs"/>
          <w:rtl/>
        </w:rPr>
        <w:t>لا باستيلاده</w:t>
      </w:r>
      <w:r>
        <w:rPr>
          <w:rFonts w:hint="eastAsia"/>
          <w:rtl/>
        </w:rPr>
        <w:t>»</w:t>
      </w:r>
      <w:r>
        <w:rPr>
          <w:rFonts w:hint="cs"/>
          <w:rtl/>
        </w:rPr>
        <w:t xml:space="preserve"> أي : أن المشتري لم يستولدها؛ بل ولدت من غيره.</w:t>
      </w:r>
    </w:p>
  </w:footnote>
  <w:footnote w:id="22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بها </w:t>
      </w:r>
      <w:r>
        <w:rPr>
          <w:rFonts w:hint="eastAsia"/>
          <w:rtl/>
        </w:rPr>
        <w:t>»</w:t>
      </w:r>
      <w:r>
        <w:rPr>
          <w:rFonts w:hint="cs"/>
          <w:rtl/>
        </w:rPr>
        <w:t xml:space="preserve"> : سـاقـطـة من (أ) و(ب) و(د)، ومكـانها في (أ) : </w:t>
      </w:r>
      <w:r>
        <w:rPr>
          <w:rFonts w:hint="eastAsia"/>
          <w:rtl/>
        </w:rPr>
        <w:t>«</w:t>
      </w:r>
      <w:r>
        <w:rPr>
          <w:rFonts w:hint="cs"/>
          <w:rtl/>
        </w:rPr>
        <w:t xml:space="preserve"> بمال </w:t>
      </w:r>
      <w:r>
        <w:rPr>
          <w:rFonts w:hint="eastAsia"/>
          <w:rtl/>
        </w:rPr>
        <w:t>»</w:t>
      </w:r>
      <w:r>
        <w:rPr>
          <w:rFonts w:hint="cs"/>
          <w:rtl/>
        </w:rPr>
        <w:t>. والصحيح ما تمَّ إثباته من (جـ)، وهو الموافق للـعنـايـة.</w:t>
      </w:r>
    </w:p>
  </w:footnote>
  <w:footnote w:id="2259">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هذه القاعدة من القواعد المشهورة، وهي - وإن لم يفردها المؤلف في قاعدة مستقلة إلا أنّه أفرد عدَّة قواعد بمعناها، أو قريب من معناها، مثل : </w:t>
      </w:r>
    </w:p>
    <w:p w:rsidR="00035BE3" w:rsidRDefault="00035BE3" w:rsidP="00C10469">
      <w:pPr>
        <w:pStyle w:val="a6"/>
        <w:ind w:left="422" w:firstLine="0"/>
        <w:rPr>
          <w:rtl/>
        </w:rPr>
      </w:pPr>
      <w:r>
        <w:rPr>
          <w:rFonts w:hint="cs"/>
          <w:rtl/>
        </w:rPr>
        <w:t xml:space="preserve">القاعدة 9- ص266 (ل6/أ)- وهي: </w:t>
      </w:r>
      <w:r>
        <w:rPr>
          <w:rFonts w:hint="eastAsia"/>
          <w:rtl/>
        </w:rPr>
        <w:t>«</w:t>
      </w:r>
      <w:r>
        <w:rPr>
          <w:rFonts w:hint="cs"/>
          <w:rtl/>
        </w:rPr>
        <w:t>الإخبار إذا رُدَّ في حقِّ غيره باقٍ في حقِّ نفسه</w:t>
      </w:r>
      <w:r>
        <w:rPr>
          <w:rFonts w:hint="eastAsia"/>
          <w:rtl/>
        </w:rPr>
        <w:t>»</w:t>
      </w:r>
      <w:r>
        <w:rPr>
          <w:rFonts w:hint="cs"/>
          <w:rtl/>
        </w:rPr>
        <w:t xml:space="preserve">. </w:t>
      </w:r>
    </w:p>
    <w:p w:rsidR="00035BE3" w:rsidRDefault="00035BE3" w:rsidP="00C10469">
      <w:pPr>
        <w:pStyle w:val="a6"/>
        <w:ind w:left="422" w:firstLine="0"/>
        <w:rPr>
          <w:rtl/>
        </w:rPr>
      </w:pPr>
      <w:r>
        <w:rPr>
          <w:rFonts w:hint="cs"/>
          <w:rtl/>
        </w:rPr>
        <w:t xml:space="preserve">وقاعدة 38 </w:t>
      </w:r>
      <w:r>
        <w:rPr>
          <w:rtl/>
        </w:rPr>
        <w:t>–</w:t>
      </w:r>
      <w:r>
        <w:rPr>
          <w:rFonts w:hint="cs"/>
          <w:rtl/>
        </w:rPr>
        <w:t xml:space="preserve"> ص375 (ل17/أ) - وهي : </w:t>
      </w:r>
      <w:r>
        <w:rPr>
          <w:rFonts w:hint="eastAsia"/>
          <w:rtl/>
        </w:rPr>
        <w:t>«</w:t>
      </w:r>
      <w:r>
        <w:rPr>
          <w:rFonts w:hint="cs"/>
          <w:rtl/>
        </w:rPr>
        <w:t>الإقرار ملزم شرعًا كالبينة؛ بل أولى</w:t>
      </w:r>
      <w:r>
        <w:rPr>
          <w:rFonts w:hint="eastAsia"/>
          <w:rtl/>
        </w:rPr>
        <w:t>»</w:t>
      </w:r>
      <w:r>
        <w:rPr>
          <w:rFonts w:hint="cs"/>
          <w:rtl/>
        </w:rPr>
        <w:t xml:space="preserve">. </w:t>
      </w:r>
    </w:p>
    <w:p w:rsidR="00035BE3" w:rsidRDefault="00035BE3" w:rsidP="00C10469">
      <w:pPr>
        <w:pStyle w:val="a6"/>
        <w:ind w:left="422" w:firstLine="0"/>
        <w:rPr>
          <w:rtl/>
        </w:rPr>
      </w:pPr>
      <w:r>
        <w:rPr>
          <w:rFonts w:hint="cs"/>
          <w:rtl/>
        </w:rPr>
        <w:t xml:space="preserve">وقاعدة 41 </w:t>
      </w:r>
      <w:r>
        <w:rPr>
          <w:rtl/>
        </w:rPr>
        <w:t>–</w:t>
      </w:r>
      <w:r>
        <w:rPr>
          <w:rFonts w:hint="cs"/>
          <w:rtl/>
        </w:rPr>
        <w:t xml:space="preserve"> ص381 (ل17/ب) - وهي : </w:t>
      </w:r>
      <w:r>
        <w:rPr>
          <w:rFonts w:hint="eastAsia"/>
          <w:rtl/>
        </w:rPr>
        <w:t>«</w:t>
      </w:r>
      <w:r>
        <w:rPr>
          <w:rFonts w:hint="cs"/>
          <w:rtl/>
        </w:rPr>
        <w:t>إقرار الإنسان ليس بحجة على غيره</w:t>
      </w:r>
      <w:r>
        <w:rPr>
          <w:rFonts w:hint="eastAsia"/>
          <w:rtl/>
        </w:rPr>
        <w:t>»</w:t>
      </w:r>
      <w:r>
        <w:rPr>
          <w:rFonts w:hint="cs"/>
          <w:rtl/>
        </w:rPr>
        <w:t>.</w:t>
      </w:r>
    </w:p>
    <w:p w:rsidR="00035BE3" w:rsidRDefault="00035BE3" w:rsidP="00C10469">
      <w:pPr>
        <w:pStyle w:val="a6"/>
        <w:ind w:left="422" w:firstLine="0"/>
        <w:rPr>
          <w:rtl/>
        </w:rPr>
      </w:pPr>
      <w:r>
        <w:rPr>
          <w:rFonts w:hint="cs"/>
          <w:rtl/>
        </w:rPr>
        <w:t>ولو عدتَ للقاعدة فقد وردت باللفظ المذكور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الأشباه والنظائر لابن نجيم، ص285؛ قواعد الفقه له أيضًا، ص103، قاعدة 43، وص 326، قاعدة 440؛ الفوائد الزينية، ص51، فائدة 35، وص 132، فائدة 144؛ مجلة الأحكام العدلية، مادة 78؛ شرحـها لسلـيم رسـتم، 1/52؛ ولعلي حيدر، 1/68؛ وللأتاسي، 1/222؛ وشرح قواعدها للزرقا، ص395؛ قـواعد الفقه للمجدّدي، ص66، قاعدة 64؛ القواعد الفقهية للدكتور على الندوي، ص125، 157؛ القواعد والضوابط المستخلصة من التحرير، ص170، 481؛ الوجيز، ص23، 26، 36، 301، 302؛ موسوعة القواعد الفقهية، 2/226، 232؛ المدخل الفقهي العام، 2/1056، فقرة667، و1073، فقرة 683؛ المدخل إلى القواعد الفقهية للدكتور الحريري، ص158، 160؛ قواعد الفقه الإسلامي للدكتور الروكي، ص270.</w:t>
      </w:r>
    </w:p>
    <w:p w:rsidR="00035BE3" w:rsidRDefault="00035BE3" w:rsidP="00C10469">
      <w:pPr>
        <w:pStyle w:val="a6"/>
        <w:ind w:left="422" w:firstLine="0"/>
        <w:rPr>
          <w:b/>
          <w:bCs/>
          <w:rtl/>
        </w:rPr>
      </w:pPr>
      <w:r>
        <w:rPr>
          <w:rFonts w:hint="cs"/>
          <w:b/>
          <w:bCs/>
          <w:rtl/>
        </w:rPr>
        <w:t xml:space="preserve">ومن كتب الفقه : </w:t>
      </w:r>
    </w:p>
    <w:p w:rsidR="00035BE3" w:rsidRDefault="00035BE3" w:rsidP="00C10469">
      <w:pPr>
        <w:pStyle w:val="a6"/>
        <w:ind w:left="422" w:firstLine="0"/>
        <w:rPr>
          <w:rtl/>
        </w:rPr>
      </w:pPr>
      <w:r>
        <w:rPr>
          <w:rFonts w:hint="cs"/>
          <w:rtl/>
        </w:rPr>
        <w:t>المبسوط، 11/24؛ الهداية والعناية وفتح القدير أو نتائج الأفكار، 7/44، 65، 344، 8/321؛ المصفى للنسفي، ل60/ب؛ الدّرر شرح الغرر، 2/191، 358.</w:t>
      </w:r>
    </w:p>
  </w:footnote>
  <w:footnote w:id="22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فثبت </w:t>
      </w:r>
      <w:r>
        <w:rPr>
          <w:rFonts w:hint="eastAsia"/>
          <w:rtl/>
        </w:rPr>
        <w:t>»</w:t>
      </w:r>
      <w:r>
        <w:rPr>
          <w:rFonts w:hint="cs"/>
          <w:rtl/>
        </w:rPr>
        <w:t xml:space="preserve">. علمًا بأنه جاء في (العناية) : </w:t>
      </w:r>
      <w:r>
        <w:rPr>
          <w:rFonts w:hint="eastAsia"/>
          <w:rtl/>
        </w:rPr>
        <w:t>«</w:t>
      </w:r>
      <w:r>
        <w:rPr>
          <w:rFonts w:hint="cs"/>
          <w:rtl/>
        </w:rPr>
        <w:t xml:space="preserve"> يُثبِت </w:t>
      </w:r>
      <w:r>
        <w:rPr>
          <w:rFonts w:hint="eastAsia"/>
          <w:rtl/>
        </w:rPr>
        <w:t>»</w:t>
      </w:r>
      <w:r>
        <w:rPr>
          <w:rFonts w:hint="cs"/>
          <w:rtl/>
        </w:rPr>
        <w:t>.</w:t>
      </w:r>
    </w:p>
  </w:footnote>
  <w:footnote w:id="22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 xml:space="preserve"> المجر </w:t>
      </w:r>
      <w:r>
        <w:rPr>
          <w:rFonts w:hint="eastAsia"/>
          <w:rtl/>
        </w:rPr>
        <w:t>»</w:t>
      </w:r>
      <w:r>
        <w:rPr>
          <w:rFonts w:hint="cs"/>
          <w:rtl/>
        </w:rPr>
        <w:t>. والصحيح ما تمَّ إثباته من (ب) و(جـ)؛ وهو الموافق للعناية.</w:t>
      </w:r>
    </w:p>
  </w:footnote>
  <w:footnote w:id="22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يه </w:t>
      </w:r>
      <w:r>
        <w:rPr>
          <w:rFonts w:hint="eastAsia"/>
          <w:rtl/>
        </w:rPr>
        <w:t>»</w:t>
      </w:r>
      <w:r>
        <w:rPr>
          <w:rFonts w:hint="cs"/>
          <w:rtl/>
        </w:rPr>
        <w:t xml:space="preserve"> (بالياء).</w:t>
      </w:r>
    </w:p>
  </w:footnote>
  <w:footnote w:id="22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مجر </w:t>
      </w:r>
      <w:r>
        <w:rPr>
          <w:rFonts w:hint="eastAsia"/>
          <w:rtl/>
        </w:rPr>
        <w:t>»</w:t>
      </w:r>
      <w:r>
        <w:rPr>
          <w:rFonts w:hint="cs"/>
          <w:rtl/>
        </w:rPr>
        <w:t>. والصحيح ما تمَّ إثباته من باقي النسخ، وهو الموافق للعناية.</w:t>
      </w:r>
    </w:p>
  </w:footnote>
  <w:footnote w:id="22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يندفع</w:t>
      </w:r>
      <w:r>
        <w:rPr>
          <w:rFonts w:hint="eastAsia"/>
          <w:rtl/>
        </w:rPr>
        <w:t>»</w:t>
      </w:r>
      <w:r>
        <w:rPr>
          <w:rFonts w:hint="cs"/>
          <w:rtl/>
        </w:rPr>
        <w:t>. والصحيح ما تمَّ إثباته من (ب) و(د)، وهو الموافق للعناية.</w:t>
      </w:r>
    </w:p>
  </w:footnote>
  <w:footnote w:id="22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31/ب من (جـ).</w:t>
      </w:r>
    </w:p>
  </w:footnote>
  <w:footnote w:id="22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فيقصر </w:t>
      </w:r>
      <w:r>
        <w:rPr>
          <w:rFonts w:hint="eastAsia"/>
          <w:rtl/>
        </w:rPr>
        <w:t>»</w:t>
      </w:r>
      <w:r>
        <w:rPr>
          <w:rFonts w:hint="cs"/>
          <w:rtl/>
        </w:rPr>
        <w:t>.</w:t>
      </w:r>
    </w:p>
  </w:footnote>
  <w:footnote w:id="22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المعنى : أن ملك الرجل - الذي استحقّ الجارية - مُلْكُهُ لها لا يكون ثابتًا من الأصل؛ بل في الحال، أي في الوقت الذي حصل فيه الإقرار دون ما قبله.</w:t>
      </w:r>
    </w:p>
  </w:footnote>
  <w:footnote w:id="22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(جـ)، وفي (هـ) و(و) : </w:t>
      </w:r>
      <w:r>
        <w:rPr>
          <w:rFonts w:hint="eastAsia"/>
          <w:rtl/>
        </w:rPr>
        <w:t>«</w:t>
      </w:r>
      <w:r>
        <w:rPr>
          <w:rFonts w:hint="cs"/>
          <w:rtl/>
        </w:rPr>
        <w:t xml:space="preserve"> إلى </w:t>
      </w:r>
      <w:r>
        <w:rPr>
          <w:rFonts w:hint="eastAsia"/>
          <w:rtl/>
        </w:rPr>
        <w:t>»</w:t>
      </w:r>
      <w:r>
        <w:rPr>
          <w:rFonts w:hint="cs"/>
          <w:rtl/>
        </w:rPr>
        <w:t xml:space="preserve">، أما في (أ) : </w:t>
      </w:r>
      <w:r>
        <w:rPr>
          <w:rFonts w:hint="eastAsia"/>
          <w:rtl/>
        </w:rPr>
        <w:t>«</w:t>
      </w:r>
      <w:r>
        <w:rPr>
          <w:rFonts w:hint="cs"/>
          <w:rtl/>
        </w:rPr>
        <w:t xml:space="preserve"> أي </w:t>
      </w:r>
      <w:r>
        <w:rPr>
          <w:rFonts w:hint="eastAsia"/>
          <w:rtl/>
        </w:rPr>
        <w:t>»</w:t>
      </w:r>
      <w:r>
        <w:rPr>
          <w:rFonts w:hint="cs"/>
          <w:rtl/>
        </w:rPr>
        <w:t xml:space="preserve">، وكذلك في (ب) و(د) إلاَّ أنه جاء فيهما زيادة وتمام عبارتهما : </w:t>
      </w:r>
      <w:r>
        <w:rPr>
          <w:rFonts w:hint="eastAsia"/>
          <w:rtl/>
        </w:rPr>
        <w:t>«</w:t>
      </w:r>
      <w:r>
        <w:rPr>
          <w:rFonts w:hint="cs"/>
          <w:rtl/>
        </w:rPr>
        <w:t xml:space="preserve">فلا يكون الولد أي المستحق </w:t>
      </w:r>
      <w:r>
        <w:rPr>
          <w:rFonts w:hint="cs"/>
          <w:b/>
          <w:bCs/>
          <w:rtl/>
        </w:rPr>
        <w:t>له</w:t>
      </w:r>
      <w:r>
        <w:rPr>
          <w:rFonts w:hint="eastAsia"/>
          <w:rtl/>
        </w:rPr>
        <w:t>»</w:t>
      </w:r>
      <w:r>
        <w:rPr>
          <w:rFonts w:hint="cs"/>
          <w:rtl/>
        </w:rPr>
        <w:t>.</w:t>
      </w:r>
    </w:p>
    <w:p w:rsidR="00035BE3" w:rsidRDefault="00035BE3" w:rsidP="00C10469">
      <w:pPr>
        <w:pStyle w:val="a6"/>
        <w:ind w:left="422" w:firstLine="0"/>
        <w:rPr>
          <w:rtl/>
        </w:rPr>
      </w:pPr>
      <w:r>
        <w:rPr>
          <w:rFonts w:hint="cs"/>
          <w:rtl/>
        </w:rPr>
        <w:t xml:space="preserve">والذي يستقيم به المعنى هو ما في (جـ). وكذلك (هـ) و(و)؛ لأن المؤلف قال في بداية المسألة : </w:t>
      </w:r>
      <w:r>
        <w:rPr>
          <w:rFonts w:hint="eastAsia"/>
          <w:rtl/>
        </w:rPr>
        <w:t>«</w:t>
      </w:r>
      <w:r>
        <w:rPr>
          <w:rFonts w:hint="cs"/>
          <w:rtl/>
        </w:rPr>
        <w:t>وإن أقرّ المشتري بها لرجل : لم يتبعها ولدها</w:t>
      </w:r>
      <w:r>
        <w:rPr>
          <w:rFonts w:hint="eastAsia"/>
          <w:rtl/>
        </w:rPr>
        <w:t>»</w:t>
      </w:r>
      <w:r>
        <w:rPr>
          <w:rFonts w:hint="cs"/>
          <w:rtl/>
        </w:rPr>
        <w:t xml:space="preserve">. وبما أن الولد لا يتبع أمّه في ملكية المستحق لها - يناسب أن يؤكد هذا المعنى في النهاية بأن يقال : </w:t>
      </w:r>
    </w:p>
    <w:p w:rsidR="00035BE3" w:rsidRDefault="00035BE3" w:rsidP="00C10469">
      <w:pPr>
        <w:pStyle w:val="a6"/>
        <w:ind w:left="422" w:firstLine="0"/>
        <w:rPr>
          <w:rtl/>
        </w:rPr>
      </w:pPr>
      <w:r>
        <w:rPr>
          <w:rFonts w:hint="cs"/>
          <w:rtl/>
        </w:rPr>
        <w:t xml:space="preserve">- </w:t>
      </w:r>
      <w:r>
        <w:rPr>
          <w:rFonts w:hint="eastAsia"/>
          <w:rtl/>
        </w:rPr>
        <w:t>«</w:t>
      </w:r>
      <w:r>
        <w:rPr>
          <w:rFonts w:hint="cs"/>
          <w:rtl/>
        </w:rPr>
        <w:t>فلا يكون الولد له</w:t>
      </w:r>
      <w:r>
        <w:rPr>
          <w:rFonts w:hint="eastAsia"/>
          <w:rtl/>
        </w:rPr>
        <w:t>»</w:t>
      </w:r>
      <w:r>
        <w:rPr>
          <w:rFonts w:hint="cs"/>
          <w:rtl/>
        </w:rPr>
        <w:t>- وهذا تعبير صاحب العناية-.</w:t>
      </w:r>
    </w:p>
    <w:p w:rsidR="00035BE3" w:rsidRDefault="00035BE3" w:rsidP="00C10469">
      <w:pPr>
        <w:pStyle w:val="a6"/>
        <w:ind w:left="422" w:firstLine="0"/>
        <w:rPr>
          <w:rtl/>
        </w:rPr>
      </w:pPr>
      <w:r>
        <w:rPr>
          <w:rFonts w:hint="cs"/>
          <w:rtl/>
        </w:rPr>
        <w:t xml:space="preserve">- أو يقال : </w:t>
      </w:r>
      <w:r>
        <w:rPr>
          <w:rFonts w:hint="eastAsia"/>
          <w:rtl/>
        </w:rPr>
        <w:t>«</w:t>
      </w:r>
      <w:r>
        <w:rPr>
          <w:rFonts w:hint="cs"/>
          <w:rtl/>
        </w:rPr>
        <w:t>فلا يكون الولد ابن المستحق</w:t>
      </w:r>
      <w:r>
        <w:rPr>
          <w:rFonts w:hint="eastAsia"/>
          <w:rtl/>
        </w:rPr>
        <w:t>»</w:t>
      </w:r>
      <w:r>
        <w:rPr>
          <w:rFonts w:hint="cs"/>
          <w:rtl/>
        </w:rPr>
        <w:t>- وهذا نصّ ما جاء في (جـ)-.</w:t>
      </w:r>
    </w:p>
    <w:p w:rsidR="00035BE3" w:rsidRDefault="00035BE3" w:rsidP="00C10469">
      <w:pPr>
        <w:pStyle w:val="a6"/>
        <w:ind w:left="422" w:firstLine="0"/>
        <w:rPr>
          <w:rtl/>
        </w:rPr>
      </w:pPr>
      <w:r>
        <w:rPr>
          <w:rFonts w:hint="cs"/>
          <w:rtl/>
        </w:rPr>
        <w:t xml:space="preserve">- أو يقال : </w:t>
      </w:r>
      <w:r>
        <w:rPr>
          <w:rFonts w:hint="eastAsia"/>
          <w:rtl/>
        </w:rPr>
        <w:t>«</w:t>
      </w:r>
      <w:r>
        <w:rPr>
          <w:rFonts w:hint="cs"/>
          <w:rtl/>
        </w:rPr>
        <w:t>فلا يكون الولد إلى المستحق</w:t>
      </w:r>
      <w:r>
        <w:rPr>
          <w:rFonts w:hint="eastAsia"/>
          <w:rtl/>
        </w:rPr>
        <w:t>»</w:t>
      </w:r>
      <w:r>
        <w:rPr>
          <w:rFonts w:hint="cs"/>
          <w:rtl/>
        </w:rPr>
        <w:t>- وهذا نصّ ما جاء في (هـ) و(و)-.</w:t>
      </w:r>
    </w:p>
    <w:p w:rsidR="00035BE3" w:rsidRDefault="00035BE3" w:rsidP="00C10469">
      <w:pPr>
        <w:pStyle w:val="a6"/>
        <w:ind w:left="422" w:firstLine="0"/>
        <w:rPr>
          <w:rtl/>
        </w:rPr>
      </w:pPr>
      <w:r>
        <w:rPr>
          <w:rFonts w:hint="cs"/>
          <w:rtl/>
        </w:rPr>
        <w:t xml:space="preserve">أما نصّ ما جاء في (ب) و(د) فلا يؤدي هذا المعنى إلا إذا كان اللفظ المزيد فيهما (وهو : له) عقب (الولد)، أي : </w:t>
      </w:r>
      <w:r>
        <w:rPr>
          <w:rFonts w:hint="eastAsia"/>
          <w:rtl/>
        </w:rPr>
        <w:t>«</w:t>
      </w:r>
      <w:r>
        <w:rPr>
          <w:rFonts w:hint="cs"/>
          <w:rtl/>
        </w:rPr>
        <w:t>فلا يكون الولد له أي المستحق</w:t>
      </w:r>
      <w:r>
        <w:rPr>
          <w:rFonts w:hint="eastAsia"/>
          <w:rtl/>
        </w:rPr>
        <w:t>»</w:t>
      </w:r>
      <w:r>
        <w:rPr>
          <w:rFonts w:hint="cs"/>
          <w:rtl/>
        </w:rPr>
        <w:t>.</w:t>
      </w:r>
    </w:p>
    <w:p w:rsidR="00035BE3" w:rsidRDefault="00035BE3" w:rsidP="00C10469">
      <w:pPr>
        <w:pStyle w:val="a6"/>
        <w:ind w:left="422" w:firstLine="0"/>
        <w:rPr>
          <w:rtl/>
        </w:rPr>
      </w:pPr>
      <w:r>
        <w:rPr>
          <w:rFonts w:hint="cs"/>
          <w:rtl/>
        </w:rPr>
        <w:t xml:space="preserve">وأما نسخة الأصل وهي (أ) فالجملة فيها غير مفيدة أصلاً؛ إذْ نصُّها : </w:t>
      </w:r>
      <w:r>
        <w:rPr>
          <w:rFonts w:hint="eastAsia"/>
          <w:rtl/>
        </w:rPr>
        <w:t>«</w:t>
      </w:r>
      <w:r>
        <w:rPr>
          <w:rFonts w:hint="cs"/>
          <w:rtl/>
        </w:rPr>
        <w:t>فلا يكون الولد أي المستحق</w:t>
      </w:r>
      <w:r>
        <w:rPr>
          <w:rFonts w:hint="eastAsia"/>
          <w:rtl/>
        </w:rPr>
        <w:t>»</w:t>
      </w:r>
      <w:r>
        <w:rPr>
          <w:rFonts w:hint="cs"/>
          <w:rtl/>
        </w:rPr>
        <w:t>!.</w:t>
      </w:r>
    </w:p>
  </w:footnote>
  <w:footnote w:id="22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أنه </w:t>
      </w:r>
      <w:r>
        <w:rPr>
          <w:rFonts w:hint="eastAsia"/>
          <w:rtl/>
        </w:rPr>
        <w:t>»</w:t>
      </w:r>
      <w:r>
        <w:rPr>
          <w:rFonts w:hint="cs"/>
          <w:rtl/>
        </w:rPr>
        <w:t xml:space="preserve"> : زيادة من (ب)؛ وفاقًا للعناية، والمعنى لا يستقيم بدونها.</w:t>
      </w:r>
    </w:p>
  </w:footnote>
  <w:footnote w:id="22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النهاية</w:t>
      </w:r>
      <w:r>
        <w:rPr>
          <w:rFonts w:hint="cs"/>
          <w:rtl/>
        </w:rPr>
        <w:t xml:space="preserve"> : هناك عدة كتب في الفقه الحنفي تعرف بالنهاية؛ كالنهاية للسَّغناقي، والنهاية في الفروع لمحمد ابن عمر المعروف بمنلا عرب (ت 938هـ) - كشف الظنون، 2/1989-، ونهاية الكفاية في دراية الهداية لتاج الشريعة عمر المحبوبي (ت 672هـ) - كشف الظنون، 2/2033 - وغيرها.</w:t>
      </w:r>
      <w:r>
        <w:rPr>
          <w:rFonts w:hint="cs"/>
          <w:rtl/>
        </w:rPr>
        <w:tab/>
        <w:t xml:space="preserve">  </w:t>
      </w:r>
    </w:p>
    <w:p w:rsidR="00035BE3" w:rsidRDefault="00035BE3" w:rsidP="00C10469">
      <w:pPr>
        <w:pStyle w:val="a6"/>
        <w:ind w:left="422" w:firstLine="0"/>
        <w:rPr>
          <w:rtl/>
        </w:rPr>
      </w:pPr>
      <w:r>
        <w:rPr>
          <w:rFonts w:hint="cs"/>
          <w:rtl/>
        </w:rPr>
        <w:t>والذي يغلب على الظن أن المراد بها الأول، وهو النهاية للسِّغناقي، لـما يأتي :</w:t>
      </w:r>
    </w:p>
    <w:p w:rsidR="00035BE3" w:rsidRDefault="00035BE3" w:rsidP="00C10469">
      <w:pPr>
        <w:pStyle w:val="a6"/>
        <w:ind w:left="422" w:firstLine="0"/>
        <w:rPr>
          <w:spacing w:val="-4"/>
          <w:rtl/>
        </w:rPr>
      </w:pPr>
      <w:r>
        <w:rPr>
          <w:rFonts w:hint="cs"/>
          <w:b/>
          <w:bCs/>
          <w:spacing w:val="-4"/>
          <w:rtl/>
        </w:rPr>
        <w:t>1</w:t>
      </w:r>
      <w:r>
        <w:rPr>
          <w:rFonts w:hint="cs"/>
          <w:spacing w:val="-4"/>
          <w:rtl/>
        </w:rPr>
        <w:t>- أن (النهاية) أطلقت في عدد من كتب التراجم عند الحنفية، وأريد بها (النهاية) للسِّغناقي. ومن ذلك:</w:t>
      </w:r>
    </w:p>
    <w:p w:rsidR="00035BE3" w:rsidRDefault="00035BE3" w:rsidP="00C10469">
      <w:pPr>
        <w:pStyle w:val="a6"/>
        <w:ind w:left="422" w:firstLine="0"/>
        <w:rPr>
          <w:rtl/>
        </w:rPr>
      </w:pPr>
      <w:r>
        <w:rPr>
          <w:rFonts w:hint="cs"/>
          <w:b/>
          <w:bCs/>
          <w:rtl/>
        </w:rPr>
        <w:t>أ-</w:t>
      </w:r>
      <w:r>
        <w:rPr>
          <w:rFonts w:hint="cs"/>
          <w:rtl/>
        </w:rPr>
        <w:t xml:space="preserve"> ما جاء في الجواهر المضية، 4/589 :</w:t>
      </w:r>
    </w:p>
    <w:p w:rsidR="00035BE3" w:rsidRDefault="00035BE3" w:rsidP="00C10469">
      <w:pPr>
        <w:pStyle w:val="a6"/>
        <w:ind w:left="422" w:firstLine="0"/>
        <w:rPr>
          <w:rtl/>
        </w:rPr>
      </w:pPr>
      <w:r>
        <w:rPr>
          <w:rFonts w:hint="eastAsia"/>
          <w:rtl/>
        </w:rPr>
        <w:t>«</w:t>
      </w:r>
      <w:r>
        <w:rPr>
          <w:rFonts w:hint="cs"/>
          <w:rtl/>
        </w:rPr>
        <w:t>فائدة : للحنفية (النهاية) للإمام حسام الدين الصغناقي. وللشافعية (النهاية) لإمام الحرمين</w:t>
      </w:r>
      <w:r>
        <w:rPr>
          <w:rFonts w:hint="eastAsia"/>
          <w:rtl/>
        </w:rPr>
        <w:t>»</w:t>
      </w:r>
      <w:r>
        <w:rPr>
          <w:rFonts w:hint="cs"/>
          <w:rtl/>
        </w:rPr>
        <w:t>. فقد اختار (النهاية) للصغناقي - أو السغناقي - دون غيرها من كتب الحنفية التي تعرف بالنهاية؛ فدلّ أنها المرادة عند الإطلاق.</w:t>
      </w:r>
    </w:p>
    <w:p w:rsidR="00035BE3" w:rsidRDefault="00035BE3" w:rsidP="00C10469">
      <w:pPr>
        <w:pStyle w:val="a6"/>
        <w:ind w:left="422" w:firstLine="0"/>
        <w:rPr>
          <w:rtl/>
        </w:rPr>
      </w:pPr>
      <w:r>
        <w:rPr>
          <w:rFonts w:hint="cs"/>
          <w:b/>
          <w:bCs/>
          <w:rtl/>
        </w:rPr>
        <w:t>ب-</w:t>
      </w:r>
      <w:r>
        <w:rPr>
          <w:rFonts w:hint="cs"/>
          <w:rtl/>
        </w:rPr>
        <w:t xml:space="preserve"> ما جاء في فهرس الفوائد البهية، ص3 :</w:t>
      </w:r>
    </w:p>
    <w:p w:rsidR="00035BE3" w:rsidRDefault="00035BE3" w:rsidP="00C10469">
      <w:pPr>
        <w:pStyle w:val="a6"/>
        <w:ind w:left="422" w:firstLine="0"/>
        <w:rPr>
          <w:rtl/>
        </w:rPr>
      </w:pPr>
      <w:r>
        <w:rPr>
          <w:rFonts w:hint="eastAsia"/>
          <w:rtl/>
        </w:rPr>
        <w:t>«</w:t>
      </w:r>
      <w:r>
        <w:rPr>
          <w:rFonts w:hint="cs"/>
          <w:rtl/>
        </w:rPr>
        <w:t>الحسن بن علي السغناقي، مؤلف (النهاية)</w:t>
      </w:r>
      <w:r>
        <w:rPr>
          <w:rFonts w:hint="eastAsia"/>
          <w:rtl/>
        </w:rPr>
        <w:t>»</w:t>
      </w:r>
      <w:r>
        <w:rPr>
          <w:rFonts w:hint="cs"/>
          <w:rtl/>
        </w:rPr>
        <w:t>.</w:t>
      </w:r>
    </w:p>
    <w:p w:rsidR="00035BE3" w:rsidRDefault="00035BE3" w:rsidP="00C10469">
      <w:pPr>
        <w:pStyle w:val="a6"/>
        <w:ind w:left="422" w:firstLine="0"/>
        <w:rPr>
          <w:rtl/>
        </w:rPr>
      </w:pPr>
      <w:r>
        <w:rPr>
          <w:rFonts w:hint="cs"/>
          <w:rtl/>
        </w:rPr>
        <w:t>فكأنَّ (مؤلف النهاية) شهرة للسغناقي، ففهم من هذا أنها المرادة عند الإطلاق.</w:t>
      </w:r>
    </w:p>
    <w:p w:rsidR="00035BE3" w:rsidRDefault="00035BE3" w:rsidP="00C10469">
      <w:pPr>
        <w:pStyle w:val="a6"/>
        <w:ind w:left="422" w:firstLine="0"/>
        <w:rPr>
          <w:rtl/>
        </w:rPr>
      </w:pPr>
      <w:r>
        <w:rPr>
          <w:rFonts w:hint="cs"/>
          <w:b/>
          <w:bCs/>
          <w:rtl/>
        </w:rPr>
        <w:t>2-</w:t>
      </w:r>
      <w:r>
        <w:rPr>
          <w:rFonts w:hint="cs"/>
          <w:rtl/>
        </w:rPr>
        <w:t xml:space="preserve"> أن من أبرز مصادر المؤلف كتاب : (العناية شرح الهداية) للبابرتي (ت 786هـ). وقد جاء في مقدمةِ (العناية) -ص6- : أنه لخصها من (النهاية) للسغناقي.</w:t>
      </w:r>
    </w:p>
    <w:p w:rsidR="00035BE3" w:rsidRDefault="00035BE3" w:rsidP="00C10469">
      <w:pPr>
        <w:pStyle w:val="a6"/>
        <w:ind w:left="422" w:firstLine="0"/>
        <w:rPr>
          <w:rtl/>
        </w:rPr>
      </w:pPr>
      <w:r>
        <w:rPr>
          <w:rFonts w:hint="cs"/>
          <w:rtl/>
        </w:rPr>
        <w:t>ومن المتبادر للذهن أن يتابع الإنسان من ينقل عنه كثيرًا في مصادره أيضًا.</w:t>
      </w:r>
    </w:p>
    <w:p w:rsidR="00035BE3" w:rsidRDefault="00035BE3" w:rsidP="00C10469">
      <w:pPr>
        <w:pStyle w:val="a6"/>
        <w:ind w:left="422" w:firstLine="32"/>
        <w:rPr>
          <w:rtl/>
        </w:rPr>
      </w:pPr>
      <w:r>
        <w:rPr>
          <w:rFonts w:hint="cs"/>
          <w:rtl/>
        </w:rPr>
        <w:t xml:space="preserve">بل هذا ما حصل في هذا الموضع عند المؤلف؛ إذ جميع ما جاء في شرح القاعدة مذكور في (العناية) بما في ذلك قوله : </w:t>
      </w:r>
      <w:r>
        <w:rPr>
          <w:rFonts w:hint="eastAsia"/>
          <w:rtl/>
        </w:rPr>
        <w:t>«</w:t>
      </w:r>
      <w:r>
        <w:rPr>
          <w:rFonts w:hint="cs"/>
          <w:rtl/>
        </w:rPr>
        <w:t>كذا في النهاية نقلاً عن التمرتاشي</w:t>
      </w:r>
      <w:r>
        <w:rPr>
          <w:rFonts w:hint="eastAsia"/>
          <w:rtl/>
        </w:rPr>
        <w:t>»</w:t>
      </w:r>
      <w:r>
        <w:rPr>
          <w:rFonts w:hint="cs"/>
          <w:rtl/>
        </w:rPr>
        <w:t>.</w:t>
      </w:r>
    </w:p>
    <w:p w:rsidR="00035BE3" w:rsidRDefault="00035BE3" w:rsidP="00C10469">
      <w:pPr>
        <w:pStyle w:val="a6"/>
        <w:ind w:left="422" w:firstLine="0"/>
        <w:rPr>
          <w:rtl/>
        </w:rPr>
      </w:pPr>
      <w:r>
        <w:rPr>
          <w:rFonts w:hint="cs"/>
          <w:b/>
          <w:bCs/>
          <w:rtl/>
        </w:rPr>
        <w:t>3-</w:t>
      </w:r>
      <w:r>
        <w:rPr>
          <w:rFonts w:hint="cs"/>
          <w:rtl/>
        </w:rPr>
        <w:t xml:space="preserve"> أن المؤلف نقل عن (النهاية) في موضع آخر، وقد تمّ العثور على العبارة المنقولة في (النهاية) للسغناقي </w:t>
      </w:r>
      <w:r>
        <w:rPr>
          <w:rtl/>
        </w:rPr>
        <w:t>–</w:t>
      </w:r>
      <w:r>
        <w:rPr>
          <w:rFonts w:hint="cs"/>
          <w:rtl/>
        </w:rPr>
        <w:t xml:space="preserve"> انظر ص1050 (ل102/أ)-.</w:t>
      </w:r>
    </w:p>
    <w:p w:rsidR="00035BE3" w:rsidRDefault="00035BE3" w:rsidP="00C10469">
      <w:pPr>
        <w:pStyle w:val="a6"/>
        <w:ind w:left="422" w:firstLine="0"/>
        <w:rPr>
          <w:rtl/>
        </w:rPr>
      </w:pPr>
      <w:r>
        <w:rPr>
          <w:rFonts w:hint="cs"/>
          <w:rtl/>
        </w:rPr>
        <w:t>وإذا ورد اسم كتاب ما في موضعين بالاسم نفسه فالغالب أن يكون المراد بهما كتابًا واحدًا.</w:t>
      </w:r>
    </w:p>
    <w:p w:rsidR="00035BE3" w:rsidRDefault="00035BE3" w:rsidP="00C10469">
      <w:pPr>
        <w:pStyle w:val="a6"/>
        <w:ind w:left="422" w:firstLine="0"/>
        <w:rPr>
          <w:rtl/>
        </w:rPr>
      </w:pPr>
      <w:r>
        <w:rPr>
          <w:rFonts w:hint="cs"/>
          <w:rtl/>
        </w:rPr>
        <w:t xml:space="preserve">وإذا تقرر هذا </w:t>
      </w:r>
      <w:r>
        <w:rPr>
          <w:rFonts w:hint="cs"/>
          <w:b/>
          <w:bCs/>
          <w:rtl/>
        </w:rPr>
        <w:t>فإن السِّغناقي</w:t>
      </w:r>
      <w:r>
        <w:rPr>
          <w:rFonts w:hint="cs"/>
          <w:rtl/>
        </w:rPr>
        <w:t xml:space="preserve"> </w:t>
      </w:r>
      <w:r>
        <w:rPr>
          <w:rFonts w:hint="cs"/>
          <w:b/>
          <w:bCs/>
          <w:rtl/>
        </w:rPr>
        <w:t>هو</w:t>
      </w:r>
      <w:r>
        <w:rPr>
          <w:rFonts w:hint="cs"/>
          <w:rtl/>
        </w:rPr>
        <w:t xml:space="preserve"> : الحسين بن علي بن حجاج، الحسام السِّغناقي (ت711هـ).</w:t>
      </w:r>
    </w:p>
    <w:p w:rsidR="00035BE3" w:rsidRDefault="00035BE3" w:rsidP="00C10469">
      <w:pPr>
        <w:pStyle w:val="a6"/>
        <w:ind w:left="422" w:firstLine="0"/>
        <w:rPr>
          <w:spacing w:val="-6"/>
          <w:rtl/>
        </w:rPr>
      </w:pPr>
      <w:r>
        <w:rPr>
          <w:rFonts w:hint="cs"/>
          <w:b/>
          <w:bCs/>
          <w:spacing w:val="-6"/>
          <w:rtl/>
        </w:rPr>
        <w:t>وكتابه</w:t>
      </w:r>
      <w:r>
        <w:rPr>
          <w:rFonts w:hint="cs"/>
          <w:spacing w:val="-6"/>
          <w:rtl/>
        </w:rPr>
        <w:t xml:space="preserve"> (</w:t>
      </w:r>
      <w:r>
        <w:rPr>
          <w:rFonts w:hint="cs"/>
          <w:b/>
          <w:bCs/>
          <w:spacing w:val="-6"/>
          <w:rtl/>
        </w:rPr>
        <w:t>النهاية</w:t>
      </w:r>
      <w:r>
        <w:rPr>
          <w:rFonts w:hint="cs"/>
          <w:spacing w:val="-6"/>
          <w:rtl/>
        </w:rPr>
        <w:t>) : في الفقه الحنفي، شرح فيه (الهداية) لعلي المرغيناني (ت593هـ)، وهو أول شروحها</w:t>
      </w:r>
    </w:p>
    <w:p w:rsidR="00035BE3" w:rsidRDefault="00035BE3" w:rsidP="00C10469">
      <w:pPr>
        <w:pStyle w:val="a6"/>
        <w:ind w:left="422" w:firstLine="0"/>
        <w:rPr>
          <w:rtl/>
        </w:rPr>
      </w:pPr>
      <w:r>
        <w:rPr>
          <w:rFonts w:hint="cs"/>
          <w:rtl/>
        </w:rPr>
        <w:t xml:space="preserve">وقد وصفه صاحب (الفوائد البهية) -ص62- بأنه : </w:t>
      </w:r>
      <w:r>
        <w:rPr>
          <w:rFonts w:hint="eastAsia"/>
          <w:rtl/>
        </w:rPr>
        <w:t>«</w:t>
      </w:r>
      <w:r>
        <w:rPr>
          <w:rFonts w:hint="cs"/>
          <w:rtl/>
        </w:rPr>
        <w:t>أبسط شروح الهداية وأشملها، قد اشتمل على مسائل كثيرة، وفروع لطيفة</w:t>
      </w:r>
      <w:r>
        <w:rPr>
          <w:rFonts w:hint="eastAsia"/>
          <w:rtl/>
        </w:rPr>
        <w:t>»</w:t>
      </w:r>
      <w:r>
        <w:rPr>
          <w:rFonts w:hint="cs"/>
          <w:rtl/>
        </w:rPr>
        <w:t>.</w:t>
      </w:r>
    </w:p>
    <w:p w:rsidR="00035BE3" w:rsidRDefault="00035BE3" w:rsidP="00C10469">
      <w:pPr>
        <w:pStyle w:val="a6"/>
        <w:ind w:left="422" w:firstLine="0"/>
        <w:rPr>
          <w:rtl/>
        </w:rPr>
      </w:pPr>
      <w:r>
        <w:rPr>
          <w:rFonts w:hint="cs"/>
          <w:rtl/>
        </w:rPr>
        <w:t>وللنهاية عدة نسخ خطية، منها نسخ المكتبات الآتية :</w:t>
      </w:r>
    </w:p>
    <w:p w:rsidR="00035BE3" w:rsidRDefault="00035BE3" w:rsidP="00C10469">
      <w:pPr>
        <w:pStyle w:val="a6"/>
        <w:ind w:left="422" w:firstLine="0"/>
        <w:rPr>
          <w:rtl/>
        </w:rPr>
      </w:pPr>
      <w:r>
        <w:rPr>
          <w:rFonts w:hint="cs"/>
          <w:b/>
          <w:bCs/>
          <w:rtl/>
        </w:rPr>
        <w:t>1</w:t>
      </w:r>
      <w:r>
        <w:rPr>
          <w:rFonts w:hint="cs"/>
          <w:rtl/>
        </w:rPr>
        <w:t>- مكتبة الملك فهد الوطنية بالريـاض، وهـي مـصـورة عـن برنـستـون يهودا، برقم 2959، والرقم العام 503577.</w:t>
      </w:r>
    </w:p>
    <w:p w:rsidR="00035BE3" w:rsidRDefault="00035BE3" w:rsidP="00C10469">
      <w:pPr>
        <w:pStyle w:val="a6"/>
        <w:ind w:left="422" w:firstLine="0"/>
        <w:rPr>
          <w:rtl/>
        </w:rPr>
      </w:pPr>
      <w:r>
        <w:rPr>
          <w:rFonts w:hint="cs"/>
          <w:b/>
          <w:bCs/>
          <w:rtl/>
        </w:rPr>
        <w:t>2</w:t>
      </w:r>
      <w:r>
        <w:rPr>
          <w:rFonts w:hint="cs"/>
          <w:rtl/>
        </w:rPr>
        <w:t>- مكتبة السليمانية باستانبول، فهرس (عاشر أفندي)، برقم 365.</w:t>
      </w:r>
    </w:p>
    <w:p w:rsidR="00035BE3" w:rsidRDefault="00035BE3" w:rsidP="00C10469">
      <w:pPr>
        <w:pStyle w:val="a6"/>
        <w:ind w:left="422" w:firstLine="0"/>
        <w:rPr>
          <w:rtl/>
        </w:rPr>
      </w:pPr>
      <w:r>
        <w:rPr>
          <w:rFonts w:hint="cs"/>
          <w:b/>
          <w:bCs/>
          <w:rtl/>
        </w:rPr>
        <w:t>3-5</w:t>
      </w:r>
      <w:r>
        <w:rPr>
          <w:rFonts w:hint="cs"/>
          <w:rtl/>
        </w:rPr>
        <w:t>- مكتبة السليمانية أيضًا، فهرس (لا له لي)، وأرقامها : 1086-1088.</w:t>
      </w:r>
    </w:p>
    <w:p w:rsidR="00035BE3" w:rsidRDefault="00035BE3" w:rsidP="00C10469">
      <w:pPr>
        <w:pStyle w:val="a6"/>
        <w:ind w:left="422" w:firstLine="0"/>
        <w:rPr>
          <w:rtl/>
        </w:rPr>
      </w:pPr>
      <w:r>
        <w:rPr>
          <w:rFonts w:hint="cs"/>
          <w:b/>
          <w:bCs/>
          <w:rtl/>
        </w:rPr>
        <w:t>6</w:t>
      </w:r>
      <w:r>
        <w:rPr>
          <w:rFonts w:hint="cs"/>
          <w:rtl/>
        </w:rPr>
        <w:t>-</w:t>
      </w:r>
      <w:r>
        <w:rPr>
          <w:rFonts w:hint="cs"/>
          <w:b/>
          <w:bCs/>
          <w:rtl/>
        </w:rPr>
        <w:t>31</w:t>
      </w:r>
      <w:r>
        <w:rPr>
          <w:rFonts w:hint="cs"/>
          <w:rtl/>
        </w:rPr>
        <w:t>- مكتبة السليمانية أيضًا، فهرس (فاتح) وفيه 26 نسخة، وأرقامها 1980 -2005.</w:t>
      </w:r>
    </w:p>
    <w:p w:rsidR="00035BE3" w:rsidRDefault="00035BE3" w:rsidP="00C10469">
      <w:pPr>
        <w:pStyle w:val="a6"/>
        <w:ind w:left="422" w:firstLine="0"/>
        <w:rPr>
          <w:rtl/>
        </w:rPr>
      </w:pPr>
      <w:r>
        <w:rPr>
          <w:rFonts w:hint="cs"/>
          <w:b/>
          <w:bCs/>
          <w:rtl/>
        </w:rPr>
        <w:t>32</w:t>
      </w:r>
      <w:r>
        <w:rPr>
          <w:rFonts w:hint="cs"/>
          <w:rtl/>
        </w:rPr>
        <w:t>-</w:t>
      </w:r>
      <w:r>
        <w:rPr>
          <w:rFonts w:hint="cs"/>
          <w:b/>
          <w:bCs/>
          <w:rtl/>
        </w:rPr>
        <w:t>41</w:t>
      </w:r>
      <w:r>
        <w:rPr>
          <w:rFonts w:hint="cs"/>
          <w:rtl/>
        </w:rPr>
        <w:t xml:space="preserve">- مكتبة السليمانية أيضًا، فهرس (السليمانية) وفيه 10 نسخ، وأرقامها 557-566.   </w:t>
      </w:r>
    </w:p>
    <w:p w:rsidR="00035BE3" w:rsidRDefault="00035BE3" w:rsidP="00C10469">
      <w:pPr>
        <w:pStyle w:val="a6"/>
        <w:ind w:left="422" w:firstLine="0"/>
        <w:rPr>
          <w:rtl/>
        </w:rPr>
      </w:pPr>
      <w:r>
        <w:rPr>
          <w:rFonts w:hint="cs"/>
          <w:b/>
          <w:bCs/>
          <w:rtl/>
        </w:rPr>
        <w:t>42</w:t>
      </w:r>
      <w:r>
        <w:rPr>
          <w:rFonts w:hint="cs"/>
          <w:rtl/>
        </w:rPr>
        <w:t>-</w:t>
      </w:r>
      <w:r>
        <w:rPr>
          <w:rFonts w:hint="cs"/>
          <w:b/>
          <w:bCs/>
          <w:rtl/>
        </w:rPr>
        <w:t>49</w:t>
      </w:r>
      <w:r>
        <w:rPr>
          <w:rFonts w:hint="cs"/>
          <w:rtl/>
        </w:rPr>
        <w:t>- مكتبة السليمانية أيضًا، فهرس (عاطف أفندي) وفيه 8 نسخ، وأرقامها 977-984.</w:t>
      </w:r>
    </w:p>
    <w:p w:rsidR="00035BE3" w:rsidRDefault="00035BE3" w:rsidP="00C10469">
      <w:pPr>
        <w:pStyle w:val="a6"/>
        <w:ind w:left="422" w:firstLine="0"/>
        <w:rPr>
          <w:rtl/>
        </w:rPr>
      </w:pPr>
      <w:r>
        <w:rPr>
          <w:rFonts w:hint="cs"/>
          <w:b/>
          <w:bCs/>
          <w:rtl/>
        </w:rPr>
        <w:t>50</w:t>
      </w:r>
      <w:r>
        <w:rPr>
          <w:rFonts w:hint="cs"/>
          <w:rtl/>
        </w:rPr>
        <w:t>-</w:t>
      </w:r>
      <w:r>
        <w:rPr>
          <w:rFonts w:hint="cs"/>
          <w:b/>
          <w:bCs/>
          <w:rtl/>
        </w:rPr>
        <w:t>51</w:t>
      </w:r>
      <w:r>
        <w:rPr>
          <w:rFonts w:hint="cs"/>
          <w:rtl/>
        </w:rPr>
        <w:t xml:space="preserve">- مكتبة السليمانية، فهرس (حميد) وفيه نسختان، ورقماهما : 528، 529: </w:t>
      </w:r>
    </w:p>
    <w:p w:rsidR="00035BE3" w:rsidRDefault="00035BE3" w:rsidP="00C10469">
      <w:pPr>
        <w:pStyle w:val="a6"/>
        <w:ind w:left="422" w:firstLine="0"/>
        <w:rPr>
          <w:rtl/>
        </w:rPr>
      </w:pPr>
      <w:r>
        <w:rPr>
          <w:rFonts w:hint="cs"/>
          <w:b/>
          <w:bCs/>
          <w:rtl/>
        </w:rPr>
        <w:t>52-55-</w:t>
      </w:r>
      <w:r>
        <w:rPr>
          <w:rFonts w:hint="cs"/>
          <w:rtl/>
        </w:rPr>
        <w:t xml:space="preserve"> مكتبة السليمانية، فهرس شهرزاد سلطان محمود. وفيه 4 نسخ، وأرقامها 145-148.</w:t>
      </w:r>
    </w:p>
    <w:p w:rsidR="00035BE3" w:rsidRDefault="00035BE3" w:rsidP="00C10469">
      <w:pPr>
        <w:pStyle w:val="a6"/>
        <w:ind w:left="422" w:firstLine="0"/>
        <w:rPr>
          <w:rtl/>
        </w:rPr>
      </w:pPr>
      <w:r>
        <w:rPr>
          <w:rFonts w:hint="cs"/>
          <w:b/>
          <w:bCs/>
          <w:rtl/>
        </w:rPr>
        <w:t>56</w:t>
      </w:r>
      <w:r>
        <w:rPr>
          <w:rFonts w:hint="cs"/>
          <w:rtl/>
        </w:rPr>
        <w:t>- مكتبة السليمانية، فهرس (جوبريلي زاده محمد باشا)، برقم 622.</w:t>
      </w:r>
    </w:p>
    <w:p w:rsidR="00035BE3" w:rsidRDefault="00035BE3" w:rsidP="00C10469">
      <w:pPr>
        <w:pStyle w:val="a6"/>
        <w:ind w:left="422" w:firstLine="0"/>
        <w:rPr>
          <w:rtl/>
        </w:rPr>
      </w:pPr>
      <w:r>
        <w:rPr>
          <w:rFonts w:hint="cs"/>
          <w:b/>
          <w:bCs/>
          <w:rtl/>
        </w:rPr>
        <w:t>57</w:t>
      </w:r>
      <w:r>
        <w:rPr>
          <w:rFonts w:hint="cs"/>
          <w:rtl/>
        </w:rPr>
        <w:t>- مكتبة السليمانية، فهرس (أسعد أفندي)، برقم 666.</w:t>
      </w:r>
    </w:p>
    <w:p w:rsidR="00035BE3" w:rsidRDefault="00035BE3" w:rsidP="00C10469">
      <w:pPr>
        <w:pStyle w:val="a6"/>
        <w:ind w:left="422" w:firstLine="0"/>
        <w:rPr>
          <w:rtl/>
        </w:rPr>
      </w:pPr>
      <w:r>
        <w:rPr>
          <w:rFonts w:hint="cs"/>
          <w:rtl/>
        </w:rPr>
        <w:t>انظر : الجواهر المضية، 2/114؛ مفتاح السعادة، 2/240؛ الطبقات السنية، 3/151؛ كشف الظنون، 2/2032؛ الفوائد البهية، ص62.</w:t>
      </w:r>
    </w:p>
  </w:footnote>
  <w:footnote w:id="22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B40886">
        <w:rPr>
          <w:rFonts w:hint="cs"/>
          <w:b/>
          <w:bCs/>
          <w:spacing w:val="-2"/>
          <w:rtl/>
        </w:rPr>
        <w:t>الـتُّـمُـرْتَـاشي</w:t>
      </w:r>
      <w:r w:rsidRPr="00B40886">
        <w:rPr>
          <w:rFonts w:hint="cs"/>
          <w:spacing w:val="-2"/>
          <w:rtl/>
        </w:rPr>
        <w:t xml:space="preserve">: قد يتبادر إلى الذهن أن المراد به هنا الخطيب التمرتاشي المشهور (ت </w:t>
      </w:r>
      <w:r>
        <w:rPr>
          <w:rFonts w:hint="cs"/>
          <w:rtl/>
        </w:rPr>
        <w:t>1004هـ) وهو محمد بن عبد الله بن أحمد صاحب (تنوير الأبصار)!.</w:t>
      </w:r>
    </w:p>
    <w:p w:rsidR="00035BE3" w:rsidRDefault="00035BE3" w:rsidP="00C10469">
      <w:pPr>
        <w:pStyle w:val="a6"/>
        <w:ind w:left="422" w:firstLine="0"/>
        <w:rPr>
          <w:rtl/>
        </w:rPr>
      </w:pPr>
      <w:r>
        <w:rPr>
          <w:rFonts w:hint="cs"/>
          <w:rtl/>
        </w:rPr>
        <w:t xml:space="preserve">إلاَّ أنه غير مراد هنا؛ لأن هذا النقل عنه أورده صاحب (فتح القدير) (ت 861هـ)، وصاحب (العناية) (ت 786هـ) - كما سيأتي بيان ذلك </w:t>
      </w:r>
      <w:r>
        <w:rPr>
          <w:rtl/>
        </w:rPr>
        <w:t>–</w:t>
      </w:r>
      <w:r>
        <w:rPr>
          <w:rFonts w:hint="cs"/>
          <w:rtl/>
        </w:rPr>
        <w:t xml:space="preserve"> وكلاهما متقدمان على الخطيب التمرتاشي.</w:t>
      </w:r>
    </w:p>
    <w:p w:rsidR="00035BE3" w:rsidRDefault="00035BE3" w:rsidP="00C10469">
      <w:pPr>
        <w:pStyle w:val="a6"/>
        <w:ind w:left="422" w:firstLine="0"/>
        <w:rPr>
          <w:spacing w:val="6"/>
          <w:rtl/>
        </w:rPr>
      </w:pPr>
      <w:r>
        <w:rPr>
          <w:rFonts w:hint="cs"/>
          <w:spacing w:val="6"/>
          <w:rtl/>
        </w:rPr>
        <w:t>والذي تدل عليه المصادر أن المراد به : أحمد بن إسماعيل، أبو العباس الظهير التُّمُرْتاشي الخوارزمي (ت 601هـ)؛ إذ لم أجد فيما وقفت عليه من كتب التراجم من اشتهر بالتُّمُرْتاشي من الحنفية وكان موجودًا قبل عام 710هـ سواه؛ بل لم يرد غيرُه على الإطلاق في (الجواهر المضية) و(تاج التراجم) و(مفتاح السعادة).</w:t>
      </w:r>
    </w:p>
    <w:p w:rsidR="00035BE3" w:rsidRDefault="00035BE3" w:rsidP="00C10469">
      <w:pPr>
        <w:pStyle w:val="a6"/>
        <w:ind w:left="422" w:firstLine="0"/>
        <w:rPr>
          <w:rtl/>
        </w:rPr>
      </w:pPr>
      <w:r>
        <w:rPr>
          <w:rFonts w:hint="cs"/>
          <w:rtl/>
        </w:rPr>
        <w:t>وقد اشتهر أحمد بن إسماعيل التُّمُرْتاشي بالفقه والحديث، من مؤلفاته : شرح الجامع الصغير لمحمد بن الحسن، وفتاوى التُّمُرْتاشي، وفرائص التُّمُرْتاشي، وكتاب التراويح.</w:t>
      </w:r>
    </w:p>
    <w:p w:rsidR="00035BE3" w:rsidRPr="00B40886" w:rsidRDefault="00035BE3" w:rsidP="00C10469">
      <w:pPr>
        <w:pStyle w:val="a6"/>
        <w:ind w:left="422" w:firstLine="0"/>
        <w:rPr>
          <w:rtl/>
        </w:rPr>
      </w:pPr>
      <w:r w:rsidRPr="00B40886">
        <w:rPr>
          <w:rFonts w:hint="cs"/>
          <w:rtl/>
        </w:rPr>
        <w:t>انظر: الجواهر المضيّة، 1/147، 148، رقم 83-84؛ تاج التراجم، ص36، رقم 34؛ مـفتاح السـعادة، 2/256؛ الطبقات السنية، 1/286؛ كشف الظنون، 2/1221؛ الفوائد البهية، ص15؛ هدية العارفين، 1/89.</w:t>
      </w:r>
    </w:p>
  </w:footnote>
  <w:footnote w:id="2272">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العناية، 7/44-45 - مع اختلاف في بعض الألفاظ سبق بيان أهمه-؛ وانظر : الهداية وفتح القدير، 7/44.</w:t>
      </w:r>
    </w:p>
    <w:p w:rsidR="00035BE3" w:rsidRDefault="00035BE3" w:rsidP="00C10469">
      <w:pPr>
        <w:pStyle w:val="a6"/>
        <w:ind w:left="422" w:firstLine="0"/>
        <w:rPr>
          <w:rtl/>
        </w:rPr>
      </w:pPr>
      <w:r>
        <w:rPr>
          <w:rFonts w:hint="cs"/>
          <w:rtl/>
        </w:rPr>
        <w:t>وقد بحثت عن هذا النقل في النسخة الخطية للنهاية (المحفوظة في مكتبة الملك فهد الوطنية) ولم أعثر عليه. مع العلم بأن هذه النسخة غير مكتملة.</w:t>
      </w:r>
    </w:p>
  </w:footnote>
  <w:footnote w:id="227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أو معناه في بعض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قواعد الفقه للمجدّدي، ص119، قاعدة 311 - ولفظه : </w:t>
      </w:r>
      <w:r>
        <w:rPr>
          <w:rFonts w:hint="eastAsia"/>
          <w:rtl/>
        </w:rPr>
        <w:t>«</w:t>
      </w:r>
      <w:r>
        <w:rPr>
          <w:rFonts w:hint="cs"/>
          <w:rtl/>
        </w:rPr>
        <w:t>المحتمل لا يعارض المنصوص</w:t>
      </w:r>
      <w:r>
        <w:rPr>
          <w:rFonts w:hint="eastAsia"/>
          <w:rtl/>
        </w:rPr>
        <w:t>»</w:t>
      </w:r>
      <w:r>
        <w:rPr>
          <w:rFonts w:hint="cs"/>
          <w:rtl/>
        </w:rPr>
        <w:t xml:space="preserve">-؛ القواعد الفقهية للدكتور علي الندوي، ص149، حيث نقل عن (التحرير) - 2/835- : </w:t>
      </w:r>
      <w:r>
        <w:rPr>
          <w:rFonts w:hint="eastAsia"/>
          <w:rtl/>
        </w:rPr>
        <w:t>«</w:t>
      </w:r>
      <w:r>
        <w:rPr>
          <w:rFonts w:hint="cs"/>
          <w:rtl/>
        </w:rPr>
        <w:t>والموهوم لا يعارض المتحقِّق، فلا يؤخر الحقُّ الثابت بيقين لحقٍّ عسى يكون، وعسى لا يكون...</w:t>
      </w:r>
      <w:r>
        <w:rPr>
          <w:rFonts w:hint="eastAsia"/>
          <w:rtl/>
        </w:rPr>
        <w:t>»</w:t>
      </w:r>
      <w:r>
        <w:rPr>
          <w:rFonts w:hint="cs"/>
          <w:rtl/>
        </w:rPr>
        <w:t xml:space="preserve">-؛ القواعد والضوابط المستخلصة من التحرير، ص195- ولفظه قريب من السابق-؛ موسوعة القواعـد الفقهية، 1/85، 2/293- ولفظه الأول هو لفظ التحرير، والثاني : </w:t>
      </w:r>
      <w:r>
        <w:rPr>
          <w:rFonts w:hint="eastAsia"/>
          <w:rtl/>
        </w:rPr>
        <w:t>«</w:t>
      </w:r>
      <w:r>
        <w:rPr>
          <w:rFonts w:hint="cs"/>
          <w:rtl/>
        </w:rPr>
        <w:t>إن غير الثابت لا يثبت بالاحتمال، والثابت لا يزول بالاحتمال</w:t>
      </w:r>
      <w:r>
        <w:rPr>
          <w:rFonts w:hint="eastAsia"/>
          <w:rtl/>
        </w:rPr>
        <w:t>»</w:t>
      </w:r>
      <w:r>
        <w:rPr>
          <w:rFonts w:hint="cs"/>
          <w:rtl/>
        </w:rPr>
        <w:t xml:space="preserve">؛ </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الهداية وشرحاها : العناية وفتح القدير، 7/345، 346- وقد وردت باللفظ نفسه في العناية، وبنحوه في الهداية وفتح القدير-؛ المصفَّى للنسفي، ل64/ب؛ البحر الرائق، 7/45.</w:t>
      </w:r>
    </w:p>
    <w:p w:rsidR="00035BE3" w:rsidRDefault="00035BE3" w:rsidP="00C10469">
      <w:pPr>
        <w:pStyle w:val="a6"/>
        <w:ind w:left="422" w:firstLine="0"/>
        <w:rPr>
          <w:rtl/>
        </w:rPr>
      </w:pPr>
      <w:r>
        <w:rPr>
          <w:rFonts w:hint="cs"/>
          <w:rtl/>
        </w:rPr>
        <w:t xml:space="preserve">كـما ذكر المؤلف قاعدة أخرى بـمعناها، وهي : </w:t>
      </w:r>
      <w:r>
        <w:rPr>
          <w:rFonts w:hint="eastAsia"/>
          <w:rtl/>
        </w:rPr>
        <w:t>«</w:t>
      </w:r>
      <w:r>
        <w:rPr>
          <w:rFonts w:hint="cs"/>
          <w:rtl/>
        </w:rPr>
        <w:t>المعلوم لا يؤخَّر للموهوم</w:t>
      </w:r>
      <w:r>
        <w:rPr>
          <w:rFonts w:hint="eastAsia"/>
          <w:rtl/>
        </w:rPr>
        <w:t>»</w:t>
      </w:r>
      <w:r>
        <w:rPr>
          <w:rFonts w:hint="cs"/>
          <w:rtl/>
        </w:rPr>
        <w:t>، وذلك ص1057 (ل97/ب)، قاعدة 228.</w:t>
      </w:r>
    </w:p>
    <w:p w:rsidR="00035BE3" w:rsidRDefault="00035BE3" w:rsidP="00C10469">
      <w:pPr>
        <w:pStyle w:val="a6"/>
        <w:ind w:left="422" w:firstLine="0"/>
        <w:rPr>
          <w:rtl/>
        </w:rPr>
      </w:pPr>
      <w:r>
        <w:rPr>
          <w:rFonts w:hint="cs"/>
          <w:rtl/>
        </w:rPr>
        <w:t xml:space="preserve">وهناك قاعدة مشهورة قريبة منهما، وهي : </w:t>
      </w:r>
      <w:r>
        <w:rPr>
          <w:rFonts w:hint="eastAsia"/>
          <w:rtl/>
        </w:rPr>
        <w:t>«</w:t>
      </w:r>
      <w:r>
        <w:rPr>
          <w:rFonts w:hint="cs"/>
          <w:rtl/>
        </w:rPr>
        <w:t>لا عبرة للتوهم</w:t>
      </w:r>
      <w:r>
        <w:rPr>
          <w:rFonts w:hint="eastAsia"/>
          <w:rtl/>
        </w:rPr>
        <w:t>»</w:t>
      </w:r>
      <w:r>
        <w:rPr>
          <w:rFonts w:hint="cs"/>
          <w:rtl/>
        </w:rPr>
        <w:t>، فقد وردت بهذا اللفظ في كثير من كتب القواعد، منها :</w:t>
      </w:r>
    </w:p>
    <w:p w:rsidR="00035BE3" w:rsidRDefault="00035BE3" w:rsidP="00C10469">
      <w:pPr>
        <w:pStyle w:val="a6"/>
        <w:ind w:left="422" w:firstLine="0"/>
        <w:rPr>
          <w:rtl/>
        </w:rPr>
      </w:pPr>
      <w:r>
        <w:rPr>
          <w:rFonts w:hint="cs"/>
          <w:rtl/>
        </w:rPr>
        <w:t>مجلة الأحكام العدلـية، مادة 74؛ شرحها لسليم رستم، 1/50؛ ولعلي حيـدر، 1/65؛ ولـلأتاسي، 1/209؛ وشرح قواعدها للزرقا، ص363؛ قواعد الفقه للمجدّدي، ص107، قاعدة 254؛ المدخل الفقهي العام، 2/975، فقرة 582؛ القواعد الفقهية للدكتور علي الندوي، ص416؛ الوجيز، ص146؛ قواعد الفقه للدكتور محمد الـروكـي، ص195؛ القواعد الفقهية الكبرى لشيخنا أ.د. صالح السدلان، ص191؛ المدخل إلى القواعد الفقهية للدكتور الحريري، ص87.</w:t>
      </w:r>
    </w:p>
  </w:footnote>
  <w:footnote w:id="227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41/أ من (أ).</w:t>
      </w:r>
    </w:p>
  </w:footnote>
  <w:footnote w:id="227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شراء </w:t>
      </w:r>
      <w:r>
        <w:rPr>
          <w:rFonts w:hint="eastAsia"/>
          <w:rtl/>
        </w:rPr>
        <w:t>»</w:t>
      </w:r>
      <w:r>
        <w:rPr>
          <w:rFonts w:hint="cs"/>
          <w:rtl/>
        </w:rPr>
        <w:t>.</w:t>
      </w:r>
    </w:p>
  </w:footnote>
  <w:footnote w:id="227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من </w:t>
      </w:r>
      <w:r>
        <w:rPr>
          <w:rFonts w:hint="eastAsia"/>
          <w:rtl/>
        </w:rPr>
        <w:t>»</w:t>
      </w:r>
      <w:r>
        <w:rPr>
          <w:rFonts w:hint="cs"/>
          <w:rtl/>
        </w:rPr>
        <w:t xml:space="preserve"> : زيادة من مصدر هذه العبارة (وهو العناية)، ولا يستقيم المعنى بدونها.</w:t>
      </w:r>
    </w:p>
  </w:footnote>
  <w:footnote w:id="227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الجملة مفسَّرة في (فتح القدير) بقوله : </w:t>
      </w:r>
      <w:r>
        <w:rPr>
          <w:rFonts w:hint="eastAsia"/>
          <w:rtl/>
        </w:rPr>
        <w:t>«</w:t>
      </w:r>
      <w:r>
        <w:rPr>
          <w:rFonts w:hint="cs"/>
          <w:rtl/>
        </w:rPr>
        <w:t>حتى بيع العبد لأجل دينه</w:t>
      </w:r>
      <w:r>
        <w:rPr>
          <w:rFonts w:hint="eastAsia"/>
          <w:rtl/>
        </w:rPr>
        <w:t>»</w:t>
      </w:r>
      <w:r>
        <w:rPr>
          <w:rFonts w:hint="cs"/>
          <w:rtl/>
        </w:rPr>
        <w:t>.</w:t>
      </w:r>
    </w:p>
  </w:footnote>
  <w:footnote w:id="227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والذي </w:t>
      </w:r>
      <w:r>
        <w:rPr>
          <w:rFonts w:hint="eastAsia"/>
          <w:rtl/>
        </w:rPr>
        <w:t>»</w:t>
      </w:r>
      <w:r>
        <w:rPr>
          <w:rFonts w:hint="cs"/>
          <w:rtl/>
        </w:rPr>
        <w:t>.</w:t>
      </w:r>
    </w:p>
  </w:footnote>
  <w:footnote w:id="227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إلى </w:t>
      </w:r>
      <w:r>
        <w:rPr>
          <w:rFonts w:hint="eastAsia"/>
          <w:rtl/>
        </w:rPr>
        <w:t>»</w:t>
      </w:r>
      <w:r>
        <w:rPr>
          <w:rFonts w:hint="cs"/>
          <w:rtl/>
        </w:rPr>
        <w:t xml:space="preserve"> : ساقطة من (جـ)، وفي (ب) و(د) بدلها : </w:t>
      </w:r>
      <w:r>
        <w:rPr>
          <w:rFonts w:hint="eastAsia"/>
          <w:rtl/>
        </w:rPr>
        <w:t>«</w:t>
      </w:r>
      <w:r>
        <w:rPr>
          <w:rFonts w:hint="cs"/>
          <w:rtl/>
        </w:rPr>
        <w:t xml:space="preserve"> على </w:t>
      </w:r>
      <w:r>
        <w:rPr>
          <w:rFonts w:hint="eastAsia"/>
          <w:rtl/>
        </w:rPr>
        <w:t>»</w:t>
      </w:r>
      <w:r>
        <w:rPr>
          <w:rFonts w:hint="cs"/>
          <w:rtl/>
        </w:rPr>
        <w:t>.</w:t>
      </w:r>
    </w:p>
  </w:footnote>
  <w:footnote w:id="228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26/أ من (د).</w:t>
      </w:r>
    </w:p>
  </w:footnote>
  <w:footnote w:id="228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متوفهما </w:t>
      </w:r>
      <w:r>
        <w:rPr>
          <w:rFonts w:hint="eastAsia"/>
          <w:rtl/>
        </w:rPr>
        <w:t>»</w:t>
      </w:r>
      <w:r>
        <w:rPr>
          <w:rFonts w:hint="cs"/>
          <w:rtl/>
        </w:rPr>
        <w:t>.</w:t>
      </w:r>
    </w:p>
  </w:footnote>
  <w:footnote w:id="228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الكفيل </w:t>
      </w:r>
      <w:r>
        <w:rPr>
          <w:rFonts w:hint="eastAsia"/>
          <w:rtl/>
        </w:rPr>
        <w:t>»</w:t>
      </w:r>
      <w:r>
        <w:rPr>
          <w:rFonts w:hint="cs"/>
          <w:rtl/>
        </w:rPr>
        <w:t>.</w:t>
      </w:r>
    </w:p>
  </w:footnote>
  <w:footnote w:id="228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العناية ، 7/345- 346؛ وانظر : الهداية وفتح القدير، 7/346.</w:t>
      </w:r>
    </w:p>
  </w:footnote>
  <w:footnote w:id="228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المفهوم </w:t>
      </w:r>
      <w:r>
        <w:rPr>
          <w:rFonts w:hint="eastAsia"/>
          <w:rtl/>
        </w:rPr>
        <w:t>»</w:t>
      </w:r>
      <w:r>
        <w:rPr>
          <w:rFonts w:hint="cs"/>
          <w:rtl/>
        </w:rPr>
        <w:t>. والصحيح ما تمَّ إثباته من (ب).</w:t>
      </w:r>
    </w:p>
  </w:footnote>
  <w:footnote w:id="22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27/أ من (ب).</w:t>
      </w:r>
    </w:p>
  </w:footnote>
  <w:footnote w:id="22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عرضًا في بعض كتب الفقه الحنفي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الأشباه والنظائر لابن نجيم، ص257؛ قواعد الفقه له أيضًا، ص263.</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spacing w:line="480" w:lineRule="exact"/>
        <w:ind w:left="422" w:firstLine="0"/>
        <w:rPr>
          <w:spacing w:val="10"/>
          <w:rtl/>
        </w:rPr>
      </w:pPr>
      <w:r>
        <w:rPr>
          <w:rFonts w:hint="cs"/>
          <w:spacing w:val="10"/>
          <w:rtl/>
        </w:rPr>
        <w:t>جامع الفصولين، 2/145، كما ورد معناها فيه، 2/31؛ البحر الرائق، 7/203؛ قرة عيون الأخيار، 11/578، ولفظ ابن نجيم في كتابيه ونجل ابن عابدين في حاشيته هو ذاته اللفظ الذي سيذكره المؤلف في نهاية شرحه للقاعدة ويعزوه إلى (جامع الفصولين)، كما أنّ الأمثلة الأربعة التي سيمثل بها المؤلف للقاعدة مذكورة في هذه المصادر.</w:t>
      </w:r>
    </w:p>
    <w:p w:rsidR="00035BE3" w:rsidRDefault="00035BE3" w:rsidP="00C10469">
      <w:pPr>
        <w:pStyle w:val="a6"/>
        <w:ind w:left="422" w:firstLine="0"/>
        <w:rPr>
          <w:rtl/>
        </w:rPr>
      </w:pPr>
      <w:r>
        <w:rPr>
          <w:rFonts w:hint="cs"/>
          <w:rtl/>
        </w:rPr>
        <w:t xml:space="preserve">يضاف إلى ذلك أن المؤلف سيذكر هـذه القاعدة </w:t>
      </w:r>
      <w:r>
        <w:rPr>
          <w:rtl/>
        </w:rPr>
        <w:t>–</w:t>
      </w:r>
      <w:r>
        <w:rPr>
          <w:rFonts w:hint="cs"/>
          <w:rtl/>
        </w:rPr>
        <w:t xml:space="preserve"> عـرضًـا- ومـا جاء في أمثلتـها، وذلك ص980 (ل87/ب).</w:t>
      </w:r>
    </w:p>
  </w:footnote>
  <w:footnote w:id="22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فتاوى قاضي خان، 3/12؛ جامع الفصولين، 2/25، 31؛ الدّرر شرح الغرر، 2/363؛ الدّر المختار ورد المحتار، 8/349.</w:t>
      </w:r>
    </w:p>
    <w:p w:rsidR="00035BE3" w:rsidRDefault="00035BE3" w:rsidP="00C10469">
      <w:pPr>
        <w:pStyle w:val="a6"/>
        <w:ind w:left="422" w:firstLine="0"/>
        <w:rPr>
          <w:rtl/>
        </w:rPr>
      </w:pPr>
      <w:r>
        <w:rPr>
          <w:rFonts w:hint="cs"/>
          <w:rtl/>
        </w:rPr>
        <w:t xml:space="preserve">وقد جاء في هامش (و) بيان أن هذا التَّعدّي : </w:t>
      </w:r>
      <w:r>
        <w:rPr>
          <w:rFonts w:hint="eastAsia"/>
          <w:rtl/>
        </w:rPr>
        <w:t>«</w:t>
      </w:r>
      <w:r>
        <w:rPr>
          <w:rFonts w:hint="cs"/>
          <w:rtl/>
        </w:rPr>
        <w:t>إلى سائر الورثة</w:t>
      </w:r>
      <w:r>
        <w:rPr>
          <w:rFonts w:hint="eastAsia"/>
          <w:rtl/>
        </w:rPr>
        <w:t>»</w:t>
      </w:r>
      <w:r>
        <w:rPr>
          <w:rFonts w:hint="cs"/>
          <w:rtl/>
        </w:rPr>
        <w:t>.</w:t>
      </w:r>
    </w:p>
  </w:footnote>
  <w:footnote w:id="2288">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فتاوى قاضي خان، 3/11-12؛ جامع الفصولين، 2/31، حيث جاء فيه : </w:t>
      </w:r>
      <w:r>
        <w:rPr>
          <w:rFonts w:hint="eastAsia"/>
          <w:rtl/>
        </w:rPr>
        <w:t>«</w:t>
      </w:r>
      <w:r>
        <w:rPr>
          <w:rFonts w:hint="cs"/>
          <w:rtl/>
        </w:rPr>
        <w:t>... قال ... [الحلواني]: تسمع البينة على المقر كما قلنا في الوكيل بقبض العين : لو أقرَّ من عنده العين أنه وكيل بقبض العين : فإن إقراره لا يكفي، ويكلف الوكيل إقامة البينة على إثبات الوكالة حتى يكون له قبض ذلك</w:t>
      </w:r>
      <w:r>
        <w:rPr>
          <w:rFonts w:hint="eastAsia"/>
          <w:rtl/>
        </w:rPr>
        <w:t>»</w:t>
      </w:r>
      <w:r>
        <w:rPr>
          <w:rFonts w:hint="cs"/>
          <w:rtl/>
        </w:rPr>
        <w:t>؛ وانظر أيضًا : الدر المختار ورد المحتار، 8/349.</w:t>
      </w:r>
    </w:p>
    <w:p w:rsidR="00035BE3" w:rsidRDefault="00035BE3" w:rsidP="00C10469">
      <w:pPr>
        <w:pStyle w:val="a6"/>
        <w:spacing w:line="480" w:lineRule="exact"/>
        <w:ind w:left="422" w:firstLine="0"/>
        <w:rPr>
          <w:rtl/>
        </w:rPr>
      </w:pPr>
      <w:r>
        <w:rPr>
          <w:rFonts w:hint="cs"/>
          <w:rtl/>
        </w:rPr>
        <w:t xml:space="preserve">علمًا بأنه جاء في هامش (و) بيان أن هذا الضرر : </w:t>
      </w:r>
      <w:r>
        <w:rPr>
          <w:rFonts w:hint="eastAsia"/>
          <w:rtl/>
        </w:rPr>
        <w:t>«</w:t>
      </w:r>
      <w:r>
        <w:rPr>
          <w:rFonts w:hint="cs"/>
          <w:rtl/>
        </w:rPr>
        <w:t>من المدعى عليه؛ لاحتمال تكذيب الموكل مع عدم القدرة إلى إثباتها لدى الحاجة</w:t>
      </w:r>
      <w:r>
        <w:rPr>
          <w:rFonts w:hint="eastAsia"/>
          <w:rtl/>
        </w:rPr>
        <w:t>»</w:t>
      </w:r>
      <w:r>
        <w:rPr>
          <w:rFonts w:hint="cs"/>
          <w:rtl/>
        </w:rPr>
        <w:t>.</w:t>
      </w:r>
    </w:p>
  </w:footnote>
  <w:footnote w:id="22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أقرّ </w:t>
      </w:r>
      <w:r>
        <w:rPr>
          <w:rFonts w:hint="eastAsia"/>
          <w:rtl/>
        </w:rPr>
        <w:t>»</w:t>
      </w:r>
      <w:r>
        <w:rPr>
          <w:rFonts w:hint="cs"/>
          <w:rtl/>
        </w:rPr>
        <w:t xml:space="preserve"> : ساقطة من (جـ).</w:t>
      </w:r>
    </w:p>
  </w:footnote>
  <w:footnote w:id="22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 </w:t>
      </w:r>
      <w:r>
        <w:rPr>
          <w:rFonts w:hint="eastAsia"/>
          <w:rtl/>
        </w:rPr>
        <w:t>«</w:t>
      </w:r>
      <w:r>
        <w:rPr>
          <w:rFonts w:hint="cs"/>
          <w:rtl/>
        </w:rPr>
        <w:t>يسمع</w:t>
      </w:r>
      <w:r>
        <w:rPr>
          <w:rFonts w:hint="eastAsia"/>
          <w:rtl/>
        </w:rPr>
        <w:t>»</w:t>
      </w:r>
      <w:r>
        <w:rPr>
          <w:rFonts w:hint="cs"/>
          <w:rtl/>
        </w:rPr>
        <w:t xml:space="preserve">، وفي (جـ) : </w:t>
      </w:r>
      <w:r>
        <w:rPr>
          <w:rFonts w:hint="eastAsia"/>
          <w:rtl/>
        </w:rPr>
        <w:t>«</w:t>
      </w:r>
      <w:r>
        <w:rPr>
          <w:rFonts w:hint="cs"/>
          <w:rtl/>
        </w:rPr>
        <w:t>بسميع</w:t>
      </w:r>
      <w:r>
        <w:rPr>
          <w:rFonts w:hint="eastAsia"/>
          <w:rtl/>
        </w:rPr>
        <w:t>»</w:t>
      </w:r>
      <w:r>
        <w:rPr>
          <w:rFonts w:hint="cs"/>
          <w:rtl/>
        </w:rPr>
        <w:t>. والأفصح ما تمَّ إثباته من (د).</w:t>
      </w:r>
    </w:p>
  </w:footnote>
  <w:footnote w:id="2291">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 : فتاوى قاضي خان، 3/12؛ جامع الفصولين، 2/25، 31، حيث جاء في الموضع الثاني منه: </w:t>
      </w:r>
      <w:r>
        <w:rPr>
          <w:rFonts w:hint="eastAsia"/>
          <w:spacing w:val="6"/>
          <w:rtl/>
        </w:rPr>
        <w:t>«</w:t>
      </w:r>
      <w:r>
        <w:rPr>
          <w:rFonts w:hint="cs"/>
          <w:spacing w:val="6"/>
          <w:rtl/>
        </w:rPr>
        <w:t>وكذا الموصى له لو أقر بوصيته وارث واحد أوكل الورثة تقبل بينته</w:t>
      </w:r>
      <w:r>
        <w:rPr>
          <w:rFonts w:hint="eastAsia"/>
          <w:spacing w:val="6"/>
          <w:rtl/>
        </w:rPr>
        <w:t>»</w:t>
      </w:r>
      <w:r>
        <w:rPr>
          <w:rFonts w:hint="cs"/>
          <w:spacing w:val="6"/>
          <w:rtl/>
        </w:rPr>
        <w:t>؛ وانظر أيضًا : الدر المختار ورد المحتار، 8/349.</w:t>
      </w:r>
    </w:p>
    <w:p w:rsidR="00035BE3" w:rsidRDefault="00035BE3" w:rsidP="00C10469">
      <w:pPr>
        <w:pStyle w:val="a6"/>
        <w:ind w:left="422" w:firstLine="0"/>
        <w:rPr>
          <w:rtl/>
        </w:rPr>
      </w:pPr>
      <w:r>
        <w:rPr>
          <w:rFonts w:hint="cs"/>
          <w:rtl/>
        </w:rPr>
        <w:t xml:space="preserve">علمًا بأنه جاء في هامش (و) ما يبين أن التعدي : </w:t>
      </w:r>
      <w:r>
        <w:rPr>
          <w:rFonts w:hint="eastAsia"/>
          <w:rtl/>
        </w:rPr>
        <w:t>«</w:t>
      </w:r>
      <w:r>
        <w:rPr>
          <w:rFonts w:hint="cs"/>
          <w:rtl/>
        </w:rPr>
        <w:t>إلى غير المدّعى عليه</w:t>
      </w:r>
      <w:r>
        <w:rPr>
          <w:rFonts w:hint="eastAsia"/>
          <w:rtl/>
        </w:rPr>
        <w:t>»</w:t>
      </w:r>
      <w:r>
        <w:rPr>
          <w:rFonts w:hint="cs"/>
          <w:rtl/>
        </w:rPr>
        <w:t>.</w:t>
      </w:r>
    </w:p>
  </w:footnote>
  <w:footnote w:id="22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جامع الفصولين</w:t>
      </w:r>
      <w:r>
        <w:rPr>
          <w:rFonts w:hint="cs"/>
          <w:rtl/>
        </w:rPr>
        <w:t xml:space="preserve"> : لمحمود بن إسرائيل بن عبد العزيز، البدر الشهير بابن قاضي سماو (ت823هـ) -وبعضهم يضيف إلى سماو : (نه) أو (الهاء) وقد اختار صاحب هدية العارفين إسقاطهما-.</w:t>
      </w:r>
    </w:p>
    <w:p w:rsidR="00035BE3" w:rsidRDefault="00035BE3" w:rsidP="00C10469">
      <w:pPr>
        <w:pStyle w:val="a6"/>
        <w:ind w:left="422" w:firstLine="0"/>
        <w:rPr>
          <w:rtl/>
        </w:rPr>
      </w:pPr>
      <w:r>
        <w:rPr>
          <w:rFonts w:hint="cs"/>
          <w:rtl/>
        </w:rPr>
        <w:t>وهو كتاب في الفقه الحنفي، جعله مؤلفه خاصَّا بالمعاملات، وقد بيّن في المقدمة : أنّه جمعه من فصول محمد بن محمود الاستروشني وفصول عماد الدين، وضمَّ إليهما ما تيسر له من الخلاصة والكافي ولطائف الإشارات وغيرها، وجعله في أربعين فصلاً.</w:t>
      </w:r>
    </w:p>
    <w:p w:rsidR="00035BE3" w:rsidRDefault="00035BE3" w:rsidP="00C10469">
      <w:pPr>
        <w:pStyle w:val="a6"/>
        <w:ind w:left="422" w:firstLine="0"/>
        <w:rPr>
          <w:rtl/>
        </w:rPr>
      </w:pPr>
      <w:r>
        <w:rPr>
          <w:rFonts w:hint="cs"/>
          <w:rtl/>
        </w:rPr>
        <w:t>كما ذكر أنه شرع في تأليفه جمادى الأولى سنة 813هـ، وختمه في 28 صفر، سنة 814هـ.</w:t>
      </w:r>
    </w:p>
    <w:p w:rsidR="00035BE3" w:rsidRDefault="00035BE3" w:rsidP="00C10469">
      <w:pPr>
        <w:pStyle w:val="a6"/>
        <w:ind w:left="422" w:firstLine="0"/>
        <w:rPr>
          <w:rtl/>
        </w:rPr>
      </w:pPr>
      <w:r>
        <w:rPr>
          <w:rFonts w:hint="cs"/>
          <w:rtl/>
        </w:rPr>
        <w:t>وللكتاب عدّة طبعات قديمة منها :</w:t>
      </w:r>
    </w:p>
    <w:p w:rsidR="00035BE3" w:rsidRDefault="00035BE3" w:rsidP="00C10469">
      <w:pPr>
        <w:pStyle w:val="a6"/>
        <w:ind w:left="422" w:firstLine="0"/>
        <w:rPr>
          <w:rtl/>
        </w:rPr>
      </w:pPr>
      <w:r>
        <w:rPr>
          <w:rFonts w:hint="cs"/>
          <w:b/>
          <w:bCs/>
          <w:rtl/>
        </w:rPr>
        <w:t>1-</w:t>
      </w:r>
      <w:r>
        <w:rPr>
          <w:rFonts w:hint="cs"/>
          <w:rtl/>
        </w:rPr>
        <w:t xml:space="preserve"> المطبعة الأزهرية بالقاهرة، سنة 1300هـ.</w:t>
      </w:r>
    </w:p>
    <w:p w:rsidR="00035BE3" w:rsidRDefault="00035BE3" w:rsidP="00C10469">
      <w:pPr>
        <w:pStyle w:val="a6"/>
        <w:ind w:left="422" w:firstLine="0"/>
        <w:rPr>
          <w:rtl/>
        </w:rPr>
      </w:pPr>
      <w:r>
        <w:rPr>
          <w:rFonts w:hint="cs"/>
          <w:b/>
          <w:bCs/>
          <w:rtl/>
        </w:rPr>
        <w:t>2-</w:t>
      </w:r>
      <w:r>
        <w:rPr>
          <w:rFonts w:hint="cs"/>
          <w:rtl/>
        </w:rPr>
        <w:t xml:space="preserve"> المطبعة الكبرى الميرية ببولاق مصر المحمية، سنة 1301هـ.</w:t>
      </w:r>
    </w:p>
    <w:p w:rsidR="00035BE3" w:rsidRDefault="00035BE3" w:rsidP="00C10469">
      <w:pPr>
        <w:pStyle w:val="a6"/>
        <w:ind w:left="422" w:firstLine="0"/>
        <w:rPr>
          <w:rtl/>
        </w:rPr>
      </w:pPr>
      <w:r>
        <w:rPr>
          <w:rFonts w:hint="cs"/>
          <w:rtl/>
        </w:rPr>
        <w:t>انظر : مقدمة جامع الفصولين، 1/2؛ كشف الظنون، 1/566-567؛ الفوائد البهية، ص127؛ هدية العارفين، 2/410؛ مرجع العلوم الإسلامية، ص490-491.</w:t>
      </w:r>
    </w:p>
  </w:footnote>
  <w:footnote w:id="22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بتوقع</w:t>
      </w:r>
      <w:r>
        <w:rPr>
          <w:rFonts w:hint="eastAsia"/>
          <w:rtl/>
        </w:rPr>
        <w:t>»</w:t>
      </w:r>
      <w:r>
        <w:rPr>
          <w:rFonts w:hint="cs"/>
          <w:rtl/>
        </w:rPr>
        <w:t>.</w:t>
      </w:r>
    </w:p>
  </w:footnote>
  <w:footnote w:id="22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الأصل</w:t>
      </w:r>
      <w:r>
        <w:rPr>
          <w:rFonts w:hint="eastAsia"/>
          <w:rtl/>
        </w:rPr>
        <w:t>»</w:t>
      </w:r>
      <w:r>
        <w:rPr>
          <w:rFonts w:hint="cs"/>
          <w:rtl/>
        </w:rPr>
        <w:t>. إلاّ أن إثبات (أل) يجعل الأسلوب ركيكًا؛ لهذا تمَّ إثبات ما في (ب) و(د)؛ وفاقًا للمصادر الآتي ذكرها.</w:t>
      </w:r>
    </w:p>
  </w:footnote>
  <w:footnote w:id="22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جامع الفصولين، 2/145، 2/201. ولفظ الجامع : </w:t>
      </w:r>
      <w:r>
        <w:rPr>
          <w:rFonts w:hint="eastAsia"/>
          <w:rtl/>
        </w:rPr>
        <w:t>«</w:t>
      </w:r>
      <w:r>
        <w:rPr>
          <w:rFonts w:hint="cs"/>
          <w:rtl/>
        </w:rPr>
        <w:t>أقول : هذا يدلّ على جواز إقامة البينة في كل إقرار يتوقع الضرر من غير المقرّ لولا بينته، فيكون هذا أصلاً</w:t>
      </w:r>
      <w:r>
        <w:rPr>
          <w:rFonts w:hint="eastAsia"/>
          <w:rtl/>
        </w:rPr>
        <w:t>»</w:t>
      </w:r>
      <w:r>
        <w:rPr>
          <w:rFonts w:hint="cs"/>
          <w:rtl/>
        </w:rPr>
        <w:t>.</w:t>
      </w:r>
    </w:p>
    <w:p w:rsidR="00035BE3" w:rsidRDefault="00035BE3" w:rsidP="00C10469">
      <w:pPr>
        <w:pStyle w:val="a6"/>
        <w:ind w:left="422" w:firstLine="0"/>
        <w:rPr>
          <w:rtl/>
        </w:rPr>
      </w:pPr>
      <w:r>
        <w:rPr>
          <w:rFonts w:hint="cs"/>
          <w:rtl/>
        </w:rPr>
        <w:t>كما ورد هذا النص (باللفظ الذي ذكره المؤلف) -مع عزوه إلى جامع الفصولين- في بقية مصادر القاعدة الآنف ذكرها.</w:t>
      </w:r>
    </w:p>
  </w:footnote>
  <w:footnote w:id="22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أقـرَّ </w:t>
      </w:r>
      <w:r>
        <w:rPr>
          <w:rFonts w:hint="eastAsia"/>
          <w:rtl/>
        </w:rPr>
        <w:t>»</w:t>
      </w:r>
      <w:r>
        <w:rPr>
          <w:rFonts w:hint="cs"/>
          <w:rtl/>
        </w:rPr>
        <w:t>.</w:t>
      </w:r>
    </w:p>
  </w:footnote>
  <w:footnote w:id="2297">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جامع الفصولين، 1/155-156؛ الدّرر شرح الغرر، 2/191؛ الدّر المختار ورد المحتار، 8/349.</w:t>
      </w:r>
    </w:p>
  </w:footnote>
  <w:footnote w:id="22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ص593 (ل41/ب )، قاعدة 98 (نهاية شرح القاعدة).</w:t>
      </w:r>
    </w:p>
  </w:footnote>
  <w:footnote w:id="22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ليس </w:t>
      </w:r>
      <w:r>
        <w:rPr>
          <w:rFonts w:hint="eastAsia"/>
          <w:rtl/>
        </w:rPr>
        <w:t>»</w:t>
      </w:r>
      <w:r>
        <w:rPr>
          <w:rFonts w:hint="cs"/>
          <w:rtl/>
        </w:rPr>
        <w:t xml:space="preserve"> : ساقطة من (ب).</w:t>
      </w:r>
    </w:p>
  </w:footnote>
  <w:footnote w:id="23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فإن قيل : ... الوقوع </w:t>
      </w:r>
      <w:r>
        <w:rPr>
          <w:rFonts w:hint="eastAsia"/>
          <w:rtl/>
        </w:rPr>
        <w:t>»</w:t>
      </w:r>
      <w:r>
        <w:rPr>
          <w:rFonts w:hint="cs"/>
          <w:rtl/>
        </w:rPr>
        <w:t xml:space="preserve"> : ساقطة من (ب) و(د).</w:t>
      </w:r>
    </w:p>
  </w:footnote>
  <w:footnote w:id="23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41/ب من (أ).</w:t>
      </w:r>
    </w:p>
  </w:footnote>
  <w:footnote w:id="23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32/أ من (جـ).</w:t>
      </w:r>
    </w:p>
  </w:footnote>
  <w:footnote w:id="23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توضيح الضابط :</w:t>
      </w:r>
    </w:p>
    <w:p w:rsidR="00035BE3" w:rsidRDefault="00035BE3" w:rsidP="00C10469">
      <w:pPr>
        <w:pStyle w:val="a6"/>
        <w:ind w:left="422" w:firstLine="0"/>
        <w:rPr>
          <w:rtl/>
        </w:rPr>
      </w:pPr>
      <w:r>
        <w:rPr>
          <w:rFonts w:hint="cs"/>
          <w:b/>
          <w:bCs/>
          <w:rtl/>
        </w:rPr>
        <w:t xml:space="preserve">المراد بِـ </w:t>
      </w:r>
      <w:r>
        <w:rPr>
          <w:rFonts w:hint="eastAsia"/>
          <w:b/>
          <w:bCs/>
          <w:rtl/>
        </w:rPr>
        <w:t>«</w:t>
      </w:r>
      <w:r>
        <w:rPr>
          <w:rFonts w:hint="cs"/>
          <w:b/>
          <w:bCs/>
          <w:rtl/>
        </w:rPr>
        <w:t>العجماء</w:t>
      </w:r>
      <w:r>
        <w:rPr>
          <w:rFonts w:hint="cs"/>
          <w:rtl/>
        </w:rPr>
        <w:t xml:space="preserve"> : البهيمة، وسُمِّيت عجماء؛ لأنها لا تتكلم</w:t>
      </w:r>
      <w:r>
        <w:rPr>
          <w:rFonts w:hint="eastAsia"/>
          <w:rtl/>
        </w:rPr>
        <w:t>»</w:t>
      </w:r>
      <w:r>
        <w:rPr>
          <w:rFonts w:hint="cs"/>
          <w:rtl/>
        </w:rPr>
        <w:t>.</w:t>
      </w:r>
    </w:p>
    <w:p w:rsidR="00035BE3" w:rsidRDefault="00035BE3" w:rsidP="00C10469">
      <w:pPr>
        <w:pStyle w:val="a6"/>
        <w:ind w:left="422" w:firstLine="0"/>
        <w:rPr>
          <w:rtl/>
        </w:rPr>
      </w:pPr>
      <w:r>
        <w:rPr>
          <w:rFonts w:hint="cs"/>
          <w:b/>
          <w:bCs/>
          <w:rtl/>
        </w:rPr>
        <w:t xml:space="preserve">والمراد بِـ </w:t>
      </w:r>
      <w:r>
        <w:rPr>
          <w:rFonts w:hint="eastAsia"/>
          <w:b/>
          <w:bCs/>
          <w:rtl/>
        </w:rPr>
        <w:t>«</w:t>
      </w:r>
      <w:r>
        <w:rPr>
          <w:rFonts w:hint="cs"/>
          <w:b/>
          <w:bCs/>
          <w:rtl/>
        </w:rPr>
        <w:t>الجبار</w:t>
      </w:r>
      <w:r>
        <w:rPr>
          <w:rFonts w:hint="cs"/>
          <w:rtl/>
        </w:rPr>
        <w:t>: ... الهدر</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 xml:space="preserve">وقد فسر محمد بن الحسن العجماء هنا بالمنفلتة. قال صاحب (العناية شرح الهداية) : </w:t>
      </w:r>
      <w:r>
        <w:rPr>
          <w:rFonts w:hint="eastAsia"/>
          <w:spacing w:val="-4"/>
          <w:rtl/>
        </w:rPr>
        <w:t>«</w:t>
      </w:r>
      <w:r>
        <w:rPr>
          <w:rFonts w:hint="cs"/>
          <w:spacing w:val="-4"/>
          <w:rtl/>
        </w:rPr>
        <w:t xml:space="preserve">قوله (قال محمد -رحمه الله- : هي المنفلته) : أي العجماء التي أهدر النبي </w:t>
      </w:r>
      <w:r>
        <w:rPr>
          <w:rFonts w:ascii="AGA Arabesque" w:hAnsi="AGA Arabesque"/>
          <w:spacing w:val="-4"/>
          <w:sz w:val="36"/>
          <w:szCs w:val="36"/>
        </w:rPr>
        <w:t></w:t>
      </w:r>
      <w:r>
        <w:rPr>
          <w:rFonts w:hint="cs"/>
          <w:spacing w:val="-4"/>
          <w:rtl/>
        </w:rPr>
        <w:t xml:space="preserve"> فعلها هي المنفلتة لا التي أرسلت ...</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 xml:space="preserve">ولتوثيق ما سبق فإن المعنى اللغوي منقول من : المقاييس في اللغة، مادة </w:t>
      </w:r>
      <w:r>
        <w:rPr>
          <w:rFonts w:hint="eastAsia"/>
          <w:rtl/>
        </w:rPr>
        <w:t>«</w:t>
      </w:r>
      <w:r>
        <w:rPr>
          <w:rFonts w:hint="cs"/>
          <w:rtl/>
        </w:rPr>
        <w:t>عجم</w:t>
      </w:r>
      <w:r>
        <w:rPr>
          <w:rFonts w:hint="eastAsia"/>
          <w:rtl/>
        </w:rPr>
        <w:t>»</w:t>
      </w:r>
      <w:r>
        <w:rPr>
          <w:rFonts w:hint="cs"/>
          <w:rtl/>
        </w:rPr>
        <w:t xml:space="preserve">، ص742، ومادة </w:t>
      </w:r>
      <w:r>
        <w:rPr>
          <w:rFonts w:hint="eastAsia"/>
          <w:rtl/>
        </w:rPr>
        <w:t>«</w:t>
      </w:r>
      <w:r>
        <w:rPr>
          <w:rFonts w:hint="cs"/>
          <w:rtl/>
        </w:rPr>
        <w:t>جبر</w:t>
      </w:r>
      <w:r>
        <w:rPr>
          <w:rFonts w:hint="eastAsia"/>
          <w:rtl/>
        </w:rPr>
        <w:t>»</w:t>
      </w:r>
      <w:r>
        <w:rPr>
          <w:rFonts w:hint="cs"/>
          <w:rtl/>
        </w:rPr>
        <w:t xml:space="preserve">، ص232؛ وانظر : القاموس المحيط، مادة </w:t>
      </w:r>
      <w:r>
        <w:rPr>
          <w:rFonts w:hint="eastAsia"/>
          <w:rtl/>
        </w:rPr>
        <w:t>«</w:t>
      </w:r>
      <w:r>
        <w:rPr>
          <w:rFonts w:hint="cs"/>
          <w:rtl/>
        </w:rPr>
        <w:t>عجم</w:t>
      </w:r>
      <w:r>
        <w:rPr>
          <w:rFonts w:hint="eastAsia"/>
          <w:rtl/>
        </w:rPr>
        <w:t>»</w:t>
      </w:r>
      <w:r>
        <w:rPr>
          <w:rFonts w:hint="cs"/>
          <w:rtl/>
        </w:rPr>
        <w:t xml:space="preserve">، ص1466، ومادة </w:t>
      </w:r>
      <w:r>
        <w:rPr>
          <w:rFonts w:hint="eastAsia"/>
          <w:rtl/>
        </w:rPr>
        <w:t>«</w:t>
      </w:r>
      <w:r>
        <w:rPr>
          <w:rFonts w:hint="cs"/>
          <w:rtl/>
        </w:rPr>
        <w:t>جبر</w:t>
      </w:r>
      <w:r>
        <w:rPr>
          <w:rFonts w:hint="eastAsia"/>
          <w:rtl/>
        </w:rPr>
        <w:t>»</w:t>
      </w:r>
      <w:r>
        <w:rPr>
          <w:rFonts w:hint="cs"/>
          <w:rtl/>
        </w:rPr>
        <w:t>، ص460؛ وانظر أيضًا : النهاية في غريب الحديث، 1/236.</w:t>
      </w:r>
    </w:p>
    <w:p w:rsidR="00035BE3" w:rsidRDefault="00035BE3" w:rsidP="00C10469">
      <w:pPr>
        <w:pStyle w:val="a6"/>
        <w:ind w:left="422" w:firstLine="0"/>
        <w:rPr>
          <w:spacing w:val="-8"/>
        </w:rPr>
      </w:pPr>
      <w:r>
        <w:rPr>
          <w:rFonts w:hint="cs"/>
          <w:spacing w:val="-8"/>
          <w:rtl/>
        </w:rPr>
        <w:t>وتفسير محمد بن الحسن للعجماء منقول من الهداية وشرحها : العناية، 10/332-333؛ وانظر: تبيين الحقائق، 6/153.</w:t>
      </w:r>
    </w:p>
    <w:p w:rsidR="00035BE3" w:rsidRDefault="00035BE3" w:rsidP="00C10469">
      <w:pPr>
        <w:pStyle w:val="a6"/>
        <w:ind w:left="422" w:firstLine="0"/>
        <w:rPr>
          <w:rtl/>
        </w:rPr>
      </w:pPr>
      <w:r>
        <w:rPr>
          <w:rFonts w:hint="cs"/>
          <w:rtl/>
        </w:rPr>
        <w:t>هذا ما يتعلق بتوضيح الضابط.</w:t>
      </w:r>
    </w:p>
    <w:p w:rsidR="00035BE3" w:rsidRDefault="00035BE3" w:rsidP="00C10469">
      <w:pPr>
        <w:pStyle w:val="a6"/>
        <w:ind w:left="422" w:firstLine="0"/>
        <w:rPr>
          <w:b/>
          <w:bCs/>
          <w:rtl/>
        </w:rPr>
      </w:pPr>
      <w:r>
        <w:rPr>
          <w:rFonts w:hint="cs"/>
          <w:b/>
          <w:bCs/>
          <w:rtl/>
        </w:rPr>
        <w:t>أما توثيقه :</w:t>
      </w:r>
    </w:p>
    <w:p w:rsidR="00035BE3" w:rsidRDefault="00035BE3" w:rsidP="00C10469">
      <w:pPr>
        <w:pStyle w:val="a6"/>
        <w:ind w:left="422" w:firstLine="0"/>
        <w:rPr>
          <w:rtl/>
        </w:rPr>
      </w:pPr>
      <w:r>
        <w:rPr>
          <w:rFonts w:hint="cs"/>
          <w:rtl/>
        </w:rPr>
        <w:t>فقد ورد بنحو هذا اللفظ في عددٍ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6"/>
          <w:rtl/>
        </w:rPr>
      </w:pPr>
      <w:r>
        <w:rPr>
          <w:rFonts w:hint="cs"/>
          <w:spacing w:val="6"/>
          <w:rtl/>
        </w:rPr>
        <w:t xml:space="preserve">مجامع الحقائق (الخاتمة)، ص45؛ شرح العلائي لقواعد الخادمي، ل19/ب؛ منـافع الدقائق، ص318؛ مجلة الأحكام العدلية، مادة 94؛ شرحها لسليم رستم، 1/60؛ ولعلي حيـدر، 1/83؛ وللأتـاسي، 1/258؛ وشرح قواعدها للزرقا، ص457؛ قواعد الفقه للمجدِّدي، ص74، قاعدة 102؛ المدخل الفقهي العام، 2/1048، فقرة 660؛ القواعد الفقهية للدكتور علي النـدوي، ص276، 405؛ المدخل إلى القواعد الفقهية للدكتور الحريري، ص153، 157؛ المبادئ الفقهية، ص53؛ القواعد الفقهية للدعّاس، ص105، قاعدة 89؛ وللدكتور محمد الزحيلي، ص88 -ولفظ جميع هذه الكتب : </w:t>
      </w:r>
      <w:r>
        <w:rPr>
          <w:rFonts w:hint="eastAsia"/>
          <w:spacing w:val="6"/>
          <w:rtl/>
        </w:rPr>
        <w:t>«</w:t>
      </w:r>
      <w:r>
        <w:rPr>
          <w:rFonts w:hint="cs"/>
          <w:spacing w:val="6"/>
          <w:rtl/>
        </w:rPr>
        <w:t>جناية العجماء جُبار</w:t>
      </w:r>
      <w:r>
        <w:rPr>
          <w:rFonts w:hint="eastAsia"/>
          <w:spacing w:val="6"/>
          <w:rtl/>
        </w:rPr>
        <w:t>»</w:t>
      </w:r>
      <w:r>
        <w:rPr>
          <w:rFonts w:hint="cs"/>
          <w:spacing w:val="6"/>
          <w:rtl/>
        </w:rPr>
        <w:t xml:space="preserve">-؛ كما وردت في الفرائد البهية للحمزاوي، ص53، قاعدة 80 -بلفظ : </w:t>
      </w:r>
      <w:r>
        <w:rPr>
          <w:rFonts w:hint="eastAsia"/>
          <w:spacing w:val="6"/>
          <w:rtl/>
        </w:rPr>
        <w:t>«</w:t>
      </w:r>
      <w:r>
        <w:rPr>
          <w:rFonts w:hint="cs"/>
          <w:spacing w:val="6"/>
          <w:rtl/>
        </w:rPr>
        <w:t>فعل العجماء جبار</w:t>
      </w:r>
      <w:r>
        <w:rPr>
          <w:rFonts w:hint="eastAsia"/>
          <w:spacing w:val="6"/>
          <w:rtl/>
        </w:rPr>
        <w:t>»</w:t>
      </w:r>
      <w:r>
        <w:rPr>
          <w:rFonts w:hint="cs"/>
          <w:spacing w:val="6"/>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فتاوى قاضي خان، 2/258؛ تبيين الحقائق، 6/110؛ البحر الرائق، 8/344.</w:t>
      </w:r>
    </w:p>
    <w:p w:rsidR="00035BE3" w:rsidRDefault="00035BE3" w:rsidP="00C10469">
      <w:pPr>
        <w:pStyle w:val="a6"/>
        <w:ind w:left="422" w:hanging="454"/>
        <w:rPr>
          <w:rtl/>
        </w:rPr>
      </w:pPr>
    </w:p>
  </w:footnote>
  <w:footnote w:id="23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أخرجه النسائي بلفظه، كتاب الزكاة، باب المعدن، 5/45، ح2497؛ والبخاري بنحوه، كتاب الديات، باب المعدن جبار، والبئر جبار، 6/2533، ح6514؛ ومسلم بنحوه، كتاب الحدود، باب جرح العجماء والمعدن والبئر جبار، 3/1334، ح1710. جميعهم من حديث  أبي هريرة </w:t>
      </w:r>
      <w:r>
        <w:rPr>
          <w:rFonts w:ascii="AGA Arabesque" w:hAnsi="AGA Arabesque"/>
          <w:sz w:val="36"/>
          <w:szCs w:val="36"/>
        </w:rPr>
        <w:t></w:t>
      </w:r>
      <w:r>
        <w:t xml:space="preserve"> </w:t>
      </w:r>
      <w:r>
        <w:rPr>
          <w:rFonts w:hint="cs"/>
          <w:rtl/>
        </w:rPr>
        <w:t>.</w:t>
      </w:r>
    </w:p>
  </w:footnote>
  <w:footnote w:id="23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w:t>
      </w:r>
      <w:r>
        <w:rPr>
          <w:rFonts w:hint="eastAsia"/>
          <w:rtl/>
        </w:rPr>
        <w:t>«</w:t>
      </w:r>
      <w:r>
        <w:rPr>
          <w:rFonts w:hint="cs"/>
          <w:rtl/>
        </w:rPr>
        <w:t>مِقْعَلَة</w:t>
      </w:r>
      <w:r>
        <w:rPr>
          <w:rFonts w:hint="eastAsia"/>
          <w:rtl/>
        </w:rPr>
        <w:t>»</w:t>
      </w:r>
      <w:r>
        <w:rPr>
          <w:rFonts w:hint="cs"/>
          <w:rtl/>
        </w:rPr>
        <w:t xml:space="preserve">؛ وفي (ب): </w:t>
      </w:r>
      <w:r>
        <w:rPr>
          <w:rFonts w:hint="eastAsia"/>
          <w:rtl/>
        </w:rPr>
        <w:t>«</w:t>
      </w:r>
      <w:r>
        <w:rPr>
          <w:rFonts w:hint="cs"/>
          <w:rtl/>
        </w:rPr>
        <w:t>معقبتة</w:t>
      </w:r>
      <w:r>
        <w:rPr>
          <w:rFonts w:hint="eastAsia"/>
          <w:rtl/>
        </w:rPr>
        <w:t>»</w:t>
      </w:r>
      <w:r>
        <w:rPr>
          <w:rFonts w:hint="cs"/>
          <w:rtl/>
        </w:rPr>
        <w:t xml:space="preserve">، وفي (جـ): </w:t>
      </w:r>
      <w:r>
        <w:rPr>
          <w:rFonts w:hint="eastAsia"/>
          <w:rtl/>
        </w:rPr>
        <w:t>«</w:t>
      </w:r>
      <w:r>
        <w:rPr>
          <w:rFonts w:hint="cs"/>
          <w:rtl/>
        </w:rPr>
        <w:t>منفعلة</w:t>
      </w:r>
      <w:r>
        <w:rPr>
          <w:rFonts w:hint="eastAsia"/>
          <w:rtl/>
        </w:rPr>
        <w:t>»</w:t>
      </w:r>
      <w:r>
        <w:rPr>
          <w:rFonts w:hint="cs"/>
          <w:rtl/>
        </w:rPr>
        <w:t xml:space="preserve">، وفي (د): </w:t>
      </w:r>
      <w:r>
        <w:rPr>
          <w:rFonts w:hint="eastAsia"/>
          <w:rtl/>
        </w:rPr>
        <w:t>«</w:t>
      </w:r>
      <w:r>
        <w:rPr>
          <w:rFonts w:hint="cs"/>
          <w:rtl/>
        </w:rPr>
        <w:t>مقعلته</w:t>
      </w:r>
      <w:r>
        <w:rPr>
          <w:rFonts w:hint="eastAsia"/>
          <w:rtl/>
        </w:rPr>
        <w:t>»</w:t>
      </w:r>
      <w:r>
        <w:rPr>
          <w:rFonts w:hint="cs"/>
          <w:rtl/>
        </w:rPr>
        <w:t xml:space="preserve"> (بإهمال الحرفين الأخيرين). والصحيح ما تمَّ إثباته من (هـ) و(و)، وهو الموافق لمصدر هذه العبارة (وهو الدُّرر).</w:t>
      </w:r>
    </w:p>
  </w:footnote>
  <w:footnote w:id="23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نفسها </w:t>
      </w:r>
      <w:r>
        <w:rPr>
          <w:rFonts w:hint="eastAsia"/>
          <w:rtl/>
        </w:rPr>
        <w:t>»</w:t>
      </w:r>
      <w:r>
        <w:rPr>
          <w:rFonts w:hint="cs"/>
          <w:rtl/>
        </w:rPr>
        <w:t>.</w:t>
      </w:r>
    </w:p>
  </w:footnote>
  <w:footnote w:id="23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فاعله </w:t>
      </w:r>
      <w:r>
        <w:rPr>
          <w:rFonts w:hint="eastAsia"/>
          <w:rtl/>
        </w:rPr>
        <w:t>»</w:t>
      </w:r>
      <w:r>
        <w:rPr>
          <w:rFonts w:hint="cs"/>
          <w:rtl/>
        </w:rPr>
        <w:t xml:space="preserve">. علمًا بأنه جاء في (الدُّرر) : </w:t>
      </w:r>
      <w:r>
        <w:rPr>
          <w:rFonts w:hint="eastAsia"/>
          <w:rtl/>
        </w:rPr>
        <w:t>«</w:t>
      </w:r>
      <w:r>
        <w:rPr>
          <w:rFonts w:hint="cs"/>
          <w:rtl/>
        </w:rPr>
        <w:t>لم يضف إليه</w:t>
      </w:r>
      <w:r>
        <w:rPr>
          <w:rFonts w:hint="eastAsia"/>
          <w:rtl/>
        </w:rPr>
        <w:t>»</w:t>
      </w:r>
      <w:r>
        <w:rPr>
          <w:rFonts w:hint="cs"/>
          <w:rtl/>
        </w:rPr>
        <w:t>.</w:t>
      </w:r>
    </w:p>
  </w:footnote>
  <w:footnote w:id="23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BE0B88">
        <w:rPr>
          <w:rFonts w:hint="cs"/>
          <w:spacing w:val="-4"/>
          <w:rtl/>
        </w:rPr>
        <w:t>لدّرر شرح الغرر، 2/113 -مع اختلاف في بعض الألفاظ-؛ وانظر: الهداية والعناية ونتائج الأفكار، 10/332؛ الكنز وشرحيه: تبيـين الحقائق، 6/152، 153؛ وتكملة البحر الرائق، 8/412، 413</w:t>
      </w:r>
      <w:r>
        <w:rPr>
          <w:rFonts w:hint="cs"/>
          <w:rtl/>
        </w:rPr>
        <w:t>.</w:t>
      </w:r>
    </w:p>
  </w:footnote>
  <w:footnote w:id="23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وتبطل</w:t>
      </w:r>
      <w:r>
        <w:rPr>
          <w:rFonts w:hint="eastAsia"/>
          <w:rtl/>
        </w:rPr>
        <w:t>»</w:t>
      </w:r>
      <w:r>
        <w:rPr>
          <w:rFonts w:hint="cs"/>
          <w:rtl/>
        </w:rPr>
        <w:t>. وهذا الأولى، وهو الموافق لمصدر القاعدة (وهو الدّرر شرح الغرر).</w:t>
      </w:r>
    </w:p>
  </w:footnote>
  <w:footnote w:id="23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الأصولية المختلف فيها. وقد جلاّها وبيّن الخلاف فيها صاحبُ (البحر المحيط) -3/93- حيث قال : </w:t>
      </w:r>
      <w:r>
        <w:rPr>
          <w:rFonts w:hint="eastAsia"/>
          <w:rtl/>
        </w:rPr>
        <w:t>«</w:t>
      </w:r>
      <w:r>
        <w:rPr>
          <w:rFonts w:hint="cs"/>
          <w:rtl/>
        </w:rPr>
        <w:t xml:space="preserve">إن أداة العموم إذا دخلت على الجمع : </w:t>
      </w:r>
    </w:p>
    <w:p w:rsidR="00035BE3" w:rsidRDefault="00035BE3" w:rsidP="00C10469">
      <w:pPr>
        <w:pStyle w:val="a6"/>
        <w:spacing w:line="228" w:lineRule="auto"/>
        <w:ind w:left="420" w:firstLine="0"/>
        <w:rPr>
          <w:spacing w:val="-6"/>
          <w:rtl/>
        </w:rPr>
      </w:pPr>
      <w:r>
        <w:rPr>
          <w:rFonts w:hint="cs"/>
          <w:spacing w:val="-6"/>
          <w:rtl/>
        </w:rPr>
        <w:t>فهل تسلبه معنى الجمع، ويصير للجنس، ويحمل على أقلِّه وهو الواحد؛ لئلا يجتمع على الكلمة عمومان.</w:t>
      </w:r>
    </w:p>
    <w:p w:rsidR="00035BE3" w:rsidRDefault="00035BE3" w:rsidP="00C10469">
      <w:pPr>
        <w:pStyle w:val="a6"/>
        <w:spacing w:line="228" w:lineRule="auto"/>
        <w:ind w:left="420" w:firstLine="0"/>
        <w:rPr>
          <w:rtl/>
        </w:rPr>
      </w:pPr>
      <w:r>
        <w:rPr>
          <w:rFonts w:hint="cs"/>
          <w:rtl/>
        </w:rPr>
        <w:t>- أو معنى الجمع باقٍ معها ؟.</w:t>
      </w:r>
    </w:p>
    <w:p w:rsidR="00035BE3" w:rsidRDefault="00035BE3" w:rsidP="00C10469">
      <w:pPr>
        <w:pStyle w:val="a6"/>
        <w:spacing w:line="228" w:lineRule="auto"/>
        <w:ind w:left="420" w:firstLine="0"/>
        <w:rPr>
          <w:rtl/>
        </w:rPr>
      </w:pPr>
      <w:r>
        <w:rPr>
          <w:rFonts w:hint="cs"/>
          <w:rtl/>
        </w:rPr>
        <w:t>مذهب الحنفية الأول. وقضية مذهبنا الثاني</w:t>
      </w:r>
      <w:r>
        <w:rPr>
          <w:rFonts w:hint="eastAsia"/>
          <w:rtl/>
        </w:rPr>
        <w:t>»</w:t>
      </w:r>
      <w:r>
        <w:rPr>
          <w:rFonts w:hint="cs"/>
          <w:rtl/>
        </w:rPr>
        <w:t>.</w:t>
      </w:r>
    </w:p>
    <w:p w:rsidR="00035BE3" w:rsidRDefault="00035BE3" w:rsidP="00C10469">
      <w:pPr>
        <w:pStyle w:val="a6"/>
        <w:spacing w:line="228" w:lineRule="auto"/>
        <w:ind w:left="420" w:firstLine="0"/>
        <w:rPr>
          <w:spacing w:val="-6"/>
          <w:rtl/>
        </w:rPr>
      </w:pPr>
      <w:r>
        <w:rPr>
          <w:rFonts w:hint="cs"/>
          <w:spacing w:val="-6"/>
          <w:rtl/>
        </w:rPr>
        <w:t>وصاحب (البحر المحيط) من الشافعية، وقد صرح بأن مذهبهم هو الثاني، وهو أن معنى الجمع باقٍ مع (أل).</w:t>
      </w:r>
    </w:p>
    <w:p w:rsidR="00035BE3" w:rsidRDefault="00035BE3" w:rsidP="00C10469">
      <w:pPr>
        <w:pStyle w:val="a6"/>
        <w:spacing w:line="228" w:lineRule="auto"/>
        <w:ind w:left="420" w:firstLine="0"/>
        <w:rPr>
          <w:rtl/>
        </w:rPr>
      </w:pPr>
      <w:r>
        <w:rPr>
          <w:rFonts w:hint="cs"/>
          <w:rtl/>
        </w:rPr>
        <w:t>أما المذهب الأول - وهو ما صرّحت به القاعدة - فبالإضافة إلى كونه مذهب الحنفية : هو اختيار القرافي من المالكية.</w:t>
      </w:r>
    </w:p>
    <w:p w:rsidR="00035BE3" w:rsidRDefault="00035BE3" w:rsidP="00C10469">
      <w:pPr>
        <w:pStyle w:val="a6"/>
        <w:spacing w:line="228" w:lineRule="auto"/>
        <w:ind w:left="420" w:firstLine="0"/>
        <w:rPr>
          <w:rtl/>
        </w:rPr>
      </w:pPr>
      <w:r>
        <w:rPr>
          <w:rFonts w:hint="cs"/>
          <w:b/>
          <w:bCs/>
          <w:rtl/>
        </w:rPr>
        <w:t>ومن الكتب التي صرّحت بذلك</w:t>
      </w:r>
      <w:r>
        <w:rPr>
          <w:rFonts w:hint="cs"/>
          <w:rtl/>
        </w:rPr>
        <w:t xml:space="preserve"> :</w:t>
      </w:r>
    </w:p>
    <w:p w:rsidR="00035BE3" w:rsidRDefault="00035BE3" w:rsidP="00C10469">
      <w:pPr>
        <w:pStyle w:val="a6"/>
        <w:spacing w:line="228" w:lineRule="auto"/>
        <w:ind w:left="420" w:firstLine="0"/>
        <w:rPr>
          <w:spacing w:val="-2"/>
          <w:rtl/>
        </w:rPr>
      </w:pPr>
      <w:r>
        <w:rPr>
          <w:rFonts w:hint="cs"/>
          <w:spacing w:val="-2"/>
          <w:rtl/>
        </w:rPr>
        <w:t xml:space="preserve">ميزان الأصول، 1/396-397 -ولفظه : </w:t>
      </w:r>
      <w:r>
        <w:rPr>
          <w:rFonts w:hint="eastAsia"/>
          <w:spacing w:val="-2"/>
          <w:rtl/>
        </w:rPr>
        <w:t>«</w:t>
      </w:r>
      <w:r>
        <w:rPr>
          <w:rFonts w:hint="cs"/>
          <w:spacing w:val="-2"/>
          <w:rtl/>
        </w:rPr>
        <w:t>وقال القاضي الإمام أبو زيد -رحمه الله- بأن اللام ... إذا دخل على لفظ الجمع يـبطل معنى الجمع ويصير للجنس إلاّ ...</w:t>
      </w:r>
      <w:r>
        <w:rPr>
          <w:rFonts w:hint="eastAsia"/>
          <w:spacing w:val="-2"/>
          <w:rtl/>
        </w:rPr>
        <w:t>»</w:t>
      </w:r>
      <w:r>
        <w:rPr>
          <w:rFonts w:hint="cs"/>
          <w:spacing w:val="-2"/>
          <w:rtl/>
        </w:rPr>
        <w:t xml:space="preserve">-؛ المغني للخبازي، ص114-115؛ وشرحه للقاءاني، ق1، جـ2، ص493 - ولفظ المغني : </w:t>
      </w:r>
      <w:r>
        <w:rPr>
          <w:rFonts w:hint="eastAsia"/>
          <w:spacing w:val="-2"/>
          <w:rtl/>
        </w:rPr>
        <w:t>«</w:t>
      </w:r>
      <w:r>
        <w:rPr>
          <w:rFonts w:hint="cs"/>
          <w:spacing w:val="-2"/>
          <w:rtl/>
        </w:rPr>
        <w:t>الألف واللام إذا دخلا في اسمٍ، فردًا كان أو جمعًا: يُصرف إلى الجنس</w:t>
      </w:r>
      <w:r>
        <w:rPr>
          <w:rFonts w:hint="eastAsia"/>
          <w:spacing w:val="-2"/>
          <w:rtl/>
        </w:rPr>
        <w:t>»</w:t>
      </w:r>
      <w:r>
        <w:rPr>
          <w:rFonts w:hint="cs"/>
          <w:spacing w:val="-2"/>
          <w:rtl/>
        </w:rPr>
        <w:t xml:space="preserve">-؛ المنار وشرحاه : كشف الأسرار، 1/191؛ وجامـع الأسـرار للكـاكي، 1/306 - ولفظ المنار : </w:t>
      </w:r>
      <w:r>
        <w:rPr>
          <w:rFonts w:hint="eastAsia"/>
          <w:spacing w:val="-2"/>
          <w:rtl/>
        </w:rPr>
        <w:t>«</w:t>
      </w:r>
      <w:r>
        <w:rPr>
          <w:rFonts w:hint="cs"/>
          <w:spacing w:val="-2"/>
          <w:rtl/>
        </w:rPr>
        <w:t>إذا دخلت لام المعرفة فيما لا يحتمل التعريف بمعنى العهد أوجبت العموم، حتى يسقط اعتبار الجمعية إذا دخلت على الجمع؛ عملاً بالدليلين</w:t>
      </w:r>
      <w:r>
        <w:rPr>
          <w:rFonts w:hint="eastAsia"/>
          <w:spacing w:val="-2"/>
          <w:rtl/>
        </w:rPr>
        <w:t>»</w:t>
      </w:r>
      <w:r>
        <w:rPr>
          <w:rFonts w:hint="cs"/>
          <w:spacing w:val="-2"/>
          <w:rtl/>
        </w:rPr>
        <w:t xml:space="preserve">-؛ كشف الأسرار للبخاري، 1/295- ولفظه: </w:t>
      </w:r>
      <w:r>
        <w:rPr>
          <w:rFonts w:hint="eastAsia"/>
          <w:spacing w:val="-2"/>
          <w:rtl/>
        </w:rPr>
        <w:t>«</w:t>
      </w:r>
      <w:r>
        <w:rPr>
          <w:rFonts w:hint="cs"/>
          <w:spacing w:val="-2"/>
          <w:rtl/>
        </w:rPr>
        <w:t>إذا دخلت في الجمع بطل معنى الجمعية (أي لم يبق مقصودًا في الكلام)، وصار مجازًا عن الجنس (أي صار كاسم المفرد المعرَّف باللام)</w:t>
      </w:r>
      <w:r>
        <w:rPr>
          <w:rFonts w:hint="eastAsia"/>
          <w:spacing w:val="-2"/>
          <w:rtl/>
        </w:rPr>
        <w:t>»</w:t>
      </w:r>
      <w:r>
        <w:rPr>
          <w:rFonts w:hint="cs"/>
          <w:spacing w:val="-2"/>
          <w:rtl/>
        </w:rPr>
        <w:t xml:space="preserve">-؛ التوضيح لمتن التنقيح، 1/53 - ولفظه : </w:t>
      </w:r>
      <w:r>
        <w:rPr>
          <w:rFonts w:hint="eastAsia"/>
          <w:spacing w:val="-2"/>
          <w:rtl/>
        </w:rPr>
        <w:t>«</w:t>
      </w:r>
      <w:r>
        <w:rPr>
          <w:rFonts w:hint="cs"/>
          <w:spacing w:val="-2"/>
          <w:rtl/>
        </w:rPr>
        <w:t>(قال مشايخنا : هذا الجمع) أي الجمع المحلي باللام (مجاز عن الجنس وتبطل الجمعية)</w:t>
      </w:r>
      <w:r>
        <w:rPr>
          <w:rFonts w:hint="eastAsia"/>
          <w:spacing w:val="-2"/>
          <w:rtl/>
        </w:rPr>
        <w:t>»</w:t>
      </w:r>
      <w:r>
        <w:rPr>
          <w:rFonts w:hint="cs"/>
          <w:spacing w:val="-2"/>
          <w:rtl/>
        </w:rPr>
        <w:t xml:space="preserve">-؛ التحرير وشرحه : تيسير التحـريـر، 1/192 - ولفظ التحرير : </w:t>
      </w:r>
      <w:r>
        <w:rPr>
          <w:rFonts w:hint="eastAsia"/>
          <w:spacing w:val="-2"/>
          <w:rtl/>
        </w:rPr>
        <w:t>«</w:t>
      </w:r>
      <w:r>
        <w:rPr>
          <w:rFonts w:hint="cs"/>
          <w:spacing w:val="-2"/>
          <w:rtl/>
        </w:rPr>
        <w:t>والحقّ أن لام الجنس تسلب الجمعية إلى الجنسية</w:t>
      </w:r>
      <w:r>
        <w:rPr>
          <w:rFonts w:hint="eastAsia"/>
          <w:spacing w:val="-2"/>
          <w:rtl/>
        </w:rPr>
        <w:t>»</w:t>
      </w:r>
      <w:r>
        <w:rPr>
          <w:rFonts w:hint="cs"/>
          <w:spacing w:val="-2"/>
          <w:rtl/>
        </w:rPr>
        <w:t xml:space="preserve">-؛ وانظر: أصول البزدوي وشرحه : كشف الأسرار، 2/9، وكشف الأسرار فقط، 1/295؛ أصول السرخسي، 1/153. </w:t>
      </w:r>
    </w:p>
    <w:p w:rsidR="00035BE3" w:rsidRDefault="00035BE3" w:rsidP="00C10469">
      <w:pPr>
        <w:pStyle w:val="a6"/>
        <w:spacing w:line="228" w:lineRule="auto"/>
        <w:ind w:left="420" w:firstLine="0"/>
        <w:rPr>
          <w:rtl/>
        </w:rPr>
      </w:pPr>
      <w:r>
        <w:rPr>
          <w:rFonts w:hint="cs"/>
          <w:rtl/>
        </w:rPr>
        <w:t xml:space="preserve">كما وردت في شرح تنقيح الفصول للقرافي -ص180- بلفظ : </w:t>
      </w:r>
      <w:r>
        <w:rPr>
          <w:rFonts w:hint="eastAsia"/>
          <w:rtl/>
        </w:rPr>
        <w:t>«</w:t>
      </w:r>
      <w:r>
        <w:rPr>
          <w:rFonts w:hint="cs"/>
          <w:rtl/>
        </w:rPr>
        <w:t>... لأجل هذا الإشكال يتعيّن أن يُعتقد أن لام التعريف إذا دخلت على الجمع : تبطل حقيقة الجمعية، ويصير الجمع كالمفرد</w:t>
      </w:r>
      <w:r>
        <w:rPr>
          <w:rFonts w:hint="eastAsia"/>
          <w:rtl/>
        </w:rPr>
        <w:t>»</w:t>
      </w:r>
      <w:r>
        <w:rPr>
          <w:rFonts w:hint="cs"/>
          <w:rtl/>
        </w:rPr>
        <w:t>-؛ وانظر: العقد المنظوم في الخصوص والعموم (مقدمة المحقق أو تعليقه)، 1/167، 168، 2/6.</w:t>
      </w:r>
    </w:p>
    <w:p w:rsidR="00035BE3" w:rsidRDefault="00035BE3" w:rsidP="00C10469">
      <w:pPr>
        <w:pStyle w:val="a6"/>
        <w:ind w:left="422" w:firstLine="0"/>
        <w:rPr>
          <w:rtl/>
        </w:rPr>
      </w:pPr>
      <w:r>
        <w:rPr>
          <w:rFonts w:hint="cs"/>
          <w:rtl/>
        </w:rPr>
        <w:t xml:space="preserve">كما وردت في مقام التعليل في </w:t>
      </w:r>
      <w:r>
        <w:rPr>
          <w:rFonts w:hint="cs"/>
          <w:b/>
          <w:bCs/>
          <w:rtl/>
        </w:rPr>
        <w:t>بعض كتب الفقه</w:t>
      </w:r>
      <w:r>
        <w:rPr>
          <w:rFonts w:hint="cs"/>
          <w:rtl/>
        </w:rPr>
        <w:t xml:space="preserve">، منها : </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الدُّرر شرح الغرر، 2/436- ولفظه كلفظ المؤلف -؛ ردّ المحتار، 1/190، 2/161، 5/611.</w:t>
      </w:r>
    </w:p>
  </w:footnote>
  <w:footnote w:id="2311">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وللفقراء </w:t>
      </w:r>
      <w:r>
        <w:rPr>
          <w:rFonts w:hint="eastAsia"/>
          <w:rtl/>
        </w:rPr>
        <w:t>»</w:t>
      </w:r>
      <w:r>
        <w:rPr>
          <w:rFonts w:hint="cs"/>
          <w:rtl/>
        </w:rPr>
        <w:t>.</w:t>
      </w:r>
    </w:p>
  </w:footnote>
  <w:footnote w:id="2312">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و(د) : </w:t>
      </w:r>
      <w:r>
        <w:rPr>
          <w:rFonts w:hint="eastAsia"/>
          <w:rtl/>
        </w:rPr>
        <w:t>«</w:t>
      </w:r>
      <w:r>
        <w:rPr>
          <w:rFonts w:hint="cs"/>
          <w:rtl/>
        </w:rPr>
        <w:t xml:space="preserve"> ينصَّف </w:t>
      </w:r>
      <w:r>
        <w:rPr>
          <w:rFonts w:hint="eastAsia"/>
          <w:rtl/>
        </w:rPr>
        <w:t>»</w:t>
      </w:r>
      <w:r>
        <w:rPr>
          <w:rFonts w:hint="cs"/>
          <w:rtl/>
        </w:rPr>
        <w:t>.</w:t>
      </w:r>
    </w:p>
  </w:footnote>
  <w:footnote w:id="231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(52) من سورة (الأحزاب). علمًا بأنه جاء في (ب) : </w:t>
      </w:r>
      <w:r>
        <w:rPr>
          <w:rFonts w:hint="eastAsia"/>
          <w:rtl/>
        </w:rPr>
        <w:t>«</w:t>
      </w:r>
      <w:r>
        <w:rPr>
          <w:rFonts w:hint="cs"/>
          <w:rtl/>
        </w:rPr>
        <w:t xml:space="preserve"> تحل </w:t>
      </w:r>
      <w:r>
        <w:rPr>
          <w:rFonts w:hint="eastAsia"/>
          <w:rtl/>
        </w:rPr>
        <w:t>»</w:t>
      </w:r>
      <w:r>
        <w:rPr>
          <w:rFonts w:hint="cs"/>
          <w:rtl/>
        </w:rPr>
        <w:t>.وهذا خطأ بيّن.</w:t>
      </w:r>
    </w:p>
  </w:footnote>
  <w:footnote w:id="2314">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و(د) : زيادة الواو (ويراد).</w:t>
      </w:r>
    </w:p>
  </w:footnote>
  <w:footnote w:id="2315">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كما أن لفظ (النساء) في الآية يراد به الواحد، فكذلك لفظ (الفقراء). وإذا كان لفظ (الفقراء) يراد به الواحد : فينصف الثلث بين زيد والفقراء، فَيَأخذ كلُّ واحدٍ منهما سدسَ المال.</w:t>
      </w:r>
    </w:p>
  </w:footnote>
  <w:footnote w:id="2316">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سيأتي الحديث عنها استقلالاً، ص608 (ل43/أ)، قاعدة 102.</w:t>
      </w:r>
    </w:p>
  </w:footnote>
  <w:footnote w:id="2317">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أن الثلث يقسَّم ثلاثة أقسام، ثلث لزيد، وثلثان للفقراء. وجعل الثلثان للفقراء؛ لأن لفظ الجمع في الميراث أقلّه اثنان، والوصية أخت الميراث، فينصرف لفظ (الفقراء) إلى الاثنين، فيكون للفقراء ثلثا الثلث، أي : خُمْس المال تقريبًا.</w:t>
      </w:r>
    </w:p>
  </w:footnote>
  <w:footnote w:id="2318">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2/436؛ كما ورد التمثيل بهذا المثال للقاعدة في التوضيح، 1/53.</w:t>
      </w:r>
    </w:p>
  </w:footnote>
  <w:footnote w:id="2319">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وفي (أ) و(جـ) و(د) : </w:t>
      </w:r>
      <w:r>
        <w:rPr>
          <w:rFonts w:hint="eastAsia"/>
          <w:rtl/>
        </w:rPr>
        <w:t>«</w:t>
      </w:r>
      <w:r>
        <w:rPr>
          <w:rFonts w:hint="cs"/>
          <w:rtl/>
        </w:rPr>
        <w:t xml:space="preserve"> ثمه </w:t>
      </w:r>
      <w:r>
        <w:rPr>
          <w:rFonts w:hint="eastAsia"/>
          <w:rtl/>
        </w:rPr>
        <w:t>»</w:t>
      </w:r>
      <w:r>
        <w:rPr>
          <w:rFonts w:hint="cs"/>
          <w:rtl/>
        </w:rPr>
        <w:t xml:space="preserve"> (بالهاء). والصحيح ما في (ب)، وهو الموافق لمصدر هذه العبارة (وهو شرح المغني للقاءاني).</w:t>
      </w:r>
    </w:p>
    <w:p w:rsidR="00035BE3" w:rsidRDefault="00035BE3" w:rsidP="00C10469">
      <w:pPr>
        <w:pStyle w:val="a6"/>
        <w:spacing w:line="228" w:lineRule="auto"/>
        <w:ind w:left="420" w:firstLine="0"/>
        <w:rPr>
          <w:rtl/>
        </w:rPr>
      </w:pPr>
      <w:r>
        <w:rPr>
          <w:rFonts w:hint="cs"/>
          <w:rtl/>
        </w:rPr>
        <w:t>وهذه الكلمة نهاية 26/ب من (د).</w:t>
      </w:r>
    </w:p>
  </w:footnote>
  <w:footnote w:id="2320">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27/ب من (ب).</w:t>
      </w:r>
    </w:p>
  </w:footnote>
  <w:footnote w:id="2321">
    <w:p w:rsidR="00035BE3" w:rsidRPr="00533CE5"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sidRPr="00533CE5">
        <w:rPr>
          <w:rFonts w:hint="cs"/>
          <w:spacing w:val="-4"/>
          <w:rtl/>
        </w:rPr>
        <w:t>ممن حكى هذا الإجماع صاحب المحصول، 1/378، والقاءاني في شرح المغني، ق1، جـ2، ص492.</w:t>
      </w:r>
    </w:p>
  </w:footnote>
  <w:footnote w:id="23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جاء في هامش  (9) من الصفحة السابقة يقال هنا أيضًا.</w:t>
      </w:r>
    </w:p>
  </w:footnote>
  <w:footnote w:id="23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قول عامة أهل الأصول - كما صرَّح بذلك صاحبا ميزان الأصول والبحر المحيط وغيرهما -.</w:t>
      </w:r>
    </w:p>
    <w:p w:rsidR="00035BE3" w:rsidRDefault="00035BE3" w:rsidP="00C10469">
      <w:pPr>
        <w:pStyle w:val="a6"/>
        <w:spacing w:line="420" w:lineRule="exact"/>
        <w:ind w:left="422" w:firstLine="0"/>
        <w:rPr>
          <w:rtl/>
        </w:rPr>
      </w:pPr>
      <w:r>
        <w:rPr>
          <w:rFonts w:hint="cs"/>
          <w:rtl/>
        </w:rPr>
        <w:t>انظر : المعتمد، 1/240؛ العدة لأبي يعلى، 2/484؛ التلخيص، 2/14؛ قواطع الأدلة، 1/311؛ المستصفى، 2/37؛ ميزان الأصول، 1/395؛ المحصول، 1/378، 382؛ وشرحه : الكاشف عن المحصول، 4/314، 333؛ روضة الناظر، 2/665؛ شرح تنقيح الفصول، ص179؛ المنار وشرحيه: كشف الأسرار، 1/191؛ وجامع الأسرار، 1/304؛ تقريب الوصول لابن جزي، ص138؛ التنقيح وشرحيه : التوضيح والتلويح، 1/52؛ أصول الفقه لابن مفلح، 2/768؛ البحر المحيط، 3/86؛ شرح الكوكب المنير، 3/129؛ مسلّم الثبوت وشرحه : فواتح الرحموت، 1/60.</w:t>
      </w:r>
    </w:p>
  </w:footnote>
  <w:footnote w:id="23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b/>
          <w:bCs/>
          <w:rtl/>
        </w:rPr>
        <w:t>المراد بالمتأخرين من فقهاء الحنفية</w:t>
      </w:r>
      <w:r>
        <w:rPr>
          <w:rFonts w:hint="cs"/>
          <w:rtl/>
        </w:rPr>
        <w:t xml:space="preserve"> : هم الذين لم يدركوا الأئمة الثلاثة : أبا حنيفة، وأبا يوسف، ومحمد بن الحسن -رحمهم الله-</w:t>
      </w:r>
      <w:r>
        <w:rPr>
          <w:rFonts w:hint="eastAsia"/>
          <w:rtl/>
        </w:rPr>
        <w:t>»</w:t>
      </w:r>
      <w:r>
        <w:rPr>
          <w:rFonts w:hint="cs"/>
          <w:rtl/>
        </w:rPr>
        <w:t>- قاله أحمد النقيب في كتابه : (المذهب الحنفي)، 1/271-.</w:t>
      </w:r>
    </w:p>
  </w:footnote>
  <w:footnote w:id="23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ص492؛ وانظر : المغني للخبازي، ص114-115.</w:t>
      </w:r>
    </w:p>
    <w:p w:rsidR="00035BE3" w:rsidRDefault="00035BE3" w:rsidP="00C10469">
      <w:pPr>
        <w:pStyle w:val="a6"/>
        <w:spacing w:line="440" w:lineRule="exact"/>
        <w:ind w:left="422" w:firstLine="0"/>
        <w:rPr>
          <w:rtl/>
        </w:rPr>
      </w:pPr>
      <w:r>
        <w:rPr>
          <w:rFonts w:hint="cs"/>
          <w:rtl/>
        </w:rPr>
        <w:t xml:space="preserve">وقد ورد القول الثاني مفصّلاً مع بيان بعض من قـال به في (ميزان الأصول)- 1/396- على النحو الآتي: </w:t>
      </w:r>
      <w:r>
        <w:rPr>
          <w:rFonts w:hint="eastAsia"/>
          <w:rtl/>
        </w:rPr>
        <w:t>«</w:t>
      </w:r>
      <w:r>
        <w:rPr>
          <w:rFonts w:hint="cs"/>
          <w:rtl/>
        </w:rPr>
        <w:t>وقال أبو علي الفسوي من النحويين - في لفظ الجمع والفرد إذا دخله لام التعريف-: إنه ينصرف إلى مطلق الجنس لا إلى كل الجنس.</w:t>
      </w:r>
    </w:p>
    <w:p w:rsidR="00035BE3" w:rsidRDefault="00035BE3" w:rsidP="00C10469">
      <w:pPr>
        <w:pStyle w:val="a6"/>
        <w:ind w:left="422" w:firstLine="0"/>
        <w:rPr>
          <w:rtl/>
        </w:rPr>
      </w:pPr>
      <w:r>
        <w:rPr>
          <w:rFonts w:hint="cs"/>
          <w:rtl/>
        </w:rPr>
        <w:t>وهو قول أبي هاشم [الجبائي] من المعتزلة في قول</w:t>
      </w:r>
      <w:r>
        <w:rPr>
          <w:rFonts w:hint="eastAsia"/>
          <w:rtl/>
        </w:rPr>
        <w:t>»</w:t>
      </w:r>
      <w:r>
        <w:rPr>
          <w:rFonts w:hint="cs"/>
          <w:rtl/>
        </w:rPr>
        <w:t>.</w:t>
      </w:r>
    </w:p>
    <w:p w:rsidR="00035BE3" w:rsidRDefault="00035BE3" w:rsidP="00C10469">
      <w:pPr>
        <w:pStyle w:val="a6"/>
        <w:ind w:left="422" w:firstLine="0"/>
        <w:rPr>
          <w:rtl/>
        </w:rPr>
      </w:pPr>
      <w:r>
        <w:rPr>
          <w:rFonts w:hint="cs"/>
          <w:rtl/>
        </w:rPr>
        <w:t>وممَّن اختار هذا القول الخبازي في (المغني) والقاءاني في (شرح المغني)- كما سبق بيانه في بداية هذا الهامش- ويظهر أنه قول البزدوي والسرخسي أيضًا.</w:t>
      </w:r>
    </w:p>
    <w:p w:rsidR="00035BE3" w:rsidRDefault="00035BE3" w:rsidP="00C10469">
      <w:pPr>
        <w:pStyle w:val="a6"/>
        <w:ind w:left="422" w:firstLine="0"/>
        <w:rPr>
          <w:rtl/>
        </w:rPr>
      </w:pPr>
      <w:r>
        <w:rPr>
          <w:rFonts w:hint="cs"/>
          <w:rtl/>
        </w:rPr>
        <w:t>انظر : أصول البزدوي، 2/7-8؛ أصول السرخسي، 3/153؛ وانظر أكثر المصادر الأنف ذكرها في هامش (2) من هذه الصفحة.</w:t>
      </w:r>
    </w:p>
  </w:footnote>
  <w:footnote w:id="23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42/أ من (أ).</w:t>
      </w:r>
    </w:p>
  </w:footnote>
  <w:footnote w:id="23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تخصيص التنوين الذي لا يجتمع مع (أل) بتنوين التنكير فيه تساهل؛ لأن حرف التعريف لا يجمع بينه وبين التنوين الذي يلحق الأسماء مطلقًا، سواء كان التنوين تنوين تنكير أم غيره من أنواع التنوين التي تختص بالأسماء.</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انظر : المعجم المفصّل في النحو العربي، 1/377، 381.</w:t>
      </w:r>
    </w:p>
    <w:p w:rsidR="00035BE3" w:rsidRDefault="00035BE3" w:rsidP="00C10469">
      <w:pPr>
        <w:pStyle w:val="a6"/>
        <w:ind w:left="422" w:firstLine="0"/>
        <w:rPr>
          <w:rtl/>
        </w:rPr>
      </w:pPr>
      <w:r>
        <w:rPr>
          <w:rFonts w:hint="cs"/>
          <w:rtl/>
        </w:rPr>
        <w:t>علمًا بأن محقق المغني -ص 115، هامش (أ) - أشار إلى هذا.</w:t>
      </w:r>
    </w:p>
  </w:footnote>
  <w:footnote w:id="23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زيادة من مصدر هذه العبارة (وهو المغني)، حيث جاء فيه : </w:t>
      </w:r>
      <w:r>
        <w:rPr>
          <w:rFonts w:hint="eastAsia"/>
          <w:rtl/>
        </w:rPr>
        <w:t>«</w:t>
      </w:r>
      <w:r>
        <w:rPr>
          <w:rFonts w:hint="cs"/>
          <w:rtl/>
        </w:rPr>
        <w:t>فلولا ...</w:t>
      </w:r>
      <w:r>
        <w:rPr>
          <w:rFonts w:hint="eastAsia"/>
          <w:rtl/>
        </w:rPr>
        <w:t>»</w:t>
      </w:r>
      <w:r>
        <w:rPr>
          <w:rFonts w:hint="cs"/>
          <w:rtl/>
        </w:rPr>
        <w:t xml:space="preserve"> ولا يستقيم المعنى بدونها. ومِمَّا يؤيَّد ذلك أنه جاء في شرح المغني - ق1، جـ2، ص 492-: </w:t>
      </w:r>
      <w:r>
        <w:rPr>
          <w:rFonts w:hint="eastAsia"/>
          <w:rtl/>
        </w:rPr>
        <w:t>«</w:t>
      </w:r>
      <w:r>
        <w:rPr>
          <w:rFonts w:hint="cs"/>
          <w:rtl/>
        </w:rPr>
        <w:t>فلو لم نَصرفه إلى الجنس وبقيناه على الجمعية يلزم إلغاء حرف التعريف ...</w:t>
      </w:r>
      <w:r>
        <w:rPr>
          <w:rFonts w:hint="eastAsia"/>
          <w:rtl/>
        </w:rPr>
        <w:t>»</w:t>
      </w:r>
      <w:r>
        <w:rPr>
          <w:rFonts w:hint="cs"/>
          <w:rtl/>
        </w:rPr>
        <w:t>؛ وانظر : كشف الأسرار للنسفي، 2/8.</w:t>
      </w:r>
    </w:p>
  </w:footnote>
  <w:footnote w:id="23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صرفته </w:t>
      </w:r>
      <w:r>
        <w:rPr>
          <w:rFonts w:hint="eastAsia"/>
          <w:rtl/>
        </w:rPr>
        <w:t>»</w:t>
      </w:r>
      <w:r>
        <w:rPr>
          <w:rFonts w:hint="cs"/>
          <w:rtl/>
        </w:rPr>
        <w:t>.</w:t>
      </w:r>
    </w:p>
  </w:footnote>
  <w:footnote w:id="23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إلى </w:t>
      </w:r>
      <w:r>
        <w:rPr>
          <w:rFonts w:hint="eastAsia"/>
          <w:rtl/>
        </w:rPr>
        <w:t>»</w:t>
      </w:r>
      <w:r>
        <w:rPr>
          <w:rFonts w:hint="cs"/>
          <w:rtl/>
        </w:rPr>
        <w:t xml:space="preserve"> : زيادة من (ب) و (جـ) و (د). والصحيح إثباتها، وهو الموافق للمغني وشرحه.</w:t>
      </w:r>
    </w:p>
  </w:footnote>
  <w:footnote w:id="23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بمعنى لغو</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جاء في (جـ) : </w:t>
      </w:r>
      <w:r>
        <w:rPr>
          <w:rFonts w:hint="eastAsia"/>
          <w:rtl/>
        </w:rPr>
        <w:t>«</w:t>
      </w:r>
      <w:r>
        <w:rPr>
          <w:rFonts w:hint="cs"/>
          <w:rtl/>
        </w:rPr>
        <w:t>إبقاء</w:t>
      </w:r>
      <w:r>
        <w:rPr>
          <w:rFonts w:hint="eastAsia"/>
          <w:rtl/>
        </w:rPr>
        <w:t>»</w:t>
      </w:r>
      <w:r>
        <w:rPr>
          <w:rFonts w:hint="cs"/>
          <w:rtl/>
        </w:rPr>
        <w:t xml:space="preserve"> وليس (إلغاء).</w:t>
      </w:r>
    </w:p>
  </w:footnote>
  <w:footnote w:id="23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للخبازي، ص115 -مع الاختلاف اليسير الذي سبق بيانه-؛ وانظر : شرح المغني للقاءاني، ق1، جـ2، ص492.</w:t>
      </w:r>
    </w:p>
  </w:footnote>
  <w:footnote w:id="23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لأن </w:t>
      </w:r>
      <w:r>
        <w:rPr>
          <w:rFonts w:hint="eastAsia"/>
          <w:rtl/>
        </w:rPr>
        <w:t>»</w:t>
      </w:r>
      <w:r>
        <w:rPr>
          <w:rFonts w:hint="cs"/>
          <w:rtl/>
        </w:rPr>
        <w:t>.</w:t>
      </w:r>
    </w:p>
  </w:footnote>
  <w:footnote w:id="23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32/ب من (جـ).</w:t>
      </w:r>
    </w:p>
  </w:footnote>
  <w:footnote w:id="2335">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شرح المغني للقاءاني، ق1، جـ2، ص492-493- مع اختلاف في بعض الألفاظ، ومن أبرزه أنه قال في بداية العبارة : </w:t>
      </w:r>
      <w:r>
        <w:rPr>
          <w:rFonts w:hint="eastAsia"/>
          <w:spacing w:val="4"/>
          <w:rtl/>
        </w:rPr>
        <w:t>«</w:t>
      </w:r>
      <w:r>
        <w:rPr>
          <w:rFonts w:hint="cs"/>
          <w:spacing w:val="4"/>
          <w:rtl/>
        </w:rPr>
        <w:t>لأنه لا يمكن حمله على بعض أفراد الجمع؛ لعدم الأولوية، إذْ التقدير أنه لا عهد، فتعين ...</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وانظر : كشف الأسرار للبخاري، 2/8.</w:t>
      </w:r>
    </w:p>
  </w:footnote>
  <w:footnote w:id="23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ص493.</w:t>
      </w:r>
    </w:p>
  </w:footnote>
  <w:footnote w:id="23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شرح المغني للقاءاني، ق1، جـ2، ص493.</w:t>
      </w:r>
    </w:p>
  </w:footnote>
  <w:footnote w:id="23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ويصرف</w:t>
      </w:r>
      <w:r>
        <w:rPr>
          <w:rFonts w:hint="eastAsia"/>
          <w:rtl/>
        </w:rPr>
        <w:t>»</w:t>
      </w:r>
      <w:r>
        <w:rPr>
          <w:rFonts w:hint="cs"/>
          <w:rtl/>
        </w:rPr>
        <w:t xml:space="preserve"> (بزيادة الواو).</w:t>
      </w:r>
    </w:p>
  </w:footnote>
  <w:footnote w:id="23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الضوء</w:t>
      </w:r>
      <w:r>
        <w:rPr>
          <w:rFonts w:hint="eastAsia"/>
          <w:rtl/>
        </w:rPr>
        <w:t>»</w:t>
      </w:r>
      <w:r>
        <w:rPr>
          <w:rFonts w:hint="cs"/>
          <w:rtl/>
        </w:rPr>
        <w:t>.</w:t>
      </w:r>
    </w:p>
  </w:footnote>
  <w:footnote w:id="23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كانت</w:t>
      </w:r>
      <w:r>
        <w:rPr>
          <w:rFonts w:hint="eastAsia"/>
          <w:rtl/>
        </w:rPr>
        <w:t>»</w:t>
      </w:r>
      <w:r>
        <w:rPr>
          <w:rFonts w:hint="cs"/>
          <w:rtl/>
        </w:rPr>
        <w:t>. وهذا الأقرب؛ بناء على أن الفاعل ضمير مستتر يعود إلى الصلاة.</w:t>
      </w:r>
    </w:p>
    <w:p w:rsidR="00035BE3" w:rsidRDefault="00035BE3" w:rsidP="00C10469">
      <w:pPr>
        <w:pStyle w:val="a6"/>
        <w:ind w:left="422" w:firstLine="0"/>
        <w:rPr>
          <w:spacing w:val="8"/>
          <w:rtl/>
        </w:rPr>
      </w:pPr>
      <w:r>
        <w:rPr>
          <w:rFonts w:hint="cs"/>
          <w:spacing w:val="8"/>
          <w:rtl/>
        </w:rPr>
        <w:t xml:space="preserve">وما ورد في باقي النسخ يـمكن حـمله على تـقـديـر : (فرضًا كان </w:t>
      </w:r>
      <w:r>
        <w:rPr>
          <w:rFonts w:hint="cs"/>
          <w:b/>
          <w:bCs/>
          <w:spacing w:val="8"/>
          <w:rtl/>
        </w:rPr>
        <w:t>نوع الصلاة</w:t>
      </w:r>
      <w:r>
        <w:rPr>
          <w:rFonts w:hint="cs"/>
          <w:spacing w:val="8"/>
          <w:rtl/>
        </w:rPr>
        <w:t xml:space="preserve"> أو نفلاً) </w:t>
      </w:r>
      <w:r>
        <w:rPr>
          <w:spacing w:val="8"/>
          <w:rtl/>
        </w:rPr>
        <w:t>–</w:t>
      </w:r>
      <w:r>
        <w:rPr>
          <w:rFonts w:hint="cs"/>
          <w:spacing w:val="8"/>
          <w:rtl/>
        </w:rPr>
        <w:t>والله أعلم-.</w:t>
      </w:r>
    </w:p>
  </w:footnote>
  <w:footnote w:id="23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شرح المغني للقاءاني، ق1، جـ2، ص495.</w:t>
      </w:r>
    </w:p>
  </w:footnote>
  <w:footnote w:id="23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وفي باقي النسخ : </w:t>
      </w:r>
      <w:r>
        <w:rPr>
          <w:rFonts w:hint="eastAsia"/>
          <w:rtl/>
        </w:rPr>
        <w:t>«</w:t>
      </w:r>
      <w:r>
        <w:rPr>
          <w:rFonts w:hint="cs"/>
          <w:rtl/>
        </w:rPr>
        <w:t xml:space="preserve">تعالى : وإذا </w:t>
      </w:r>
      <w:r>
        <w:rPr>
          <w:rFonts w:hint="eastAsia"/>
          <w:rtl/>
        </w:rPr>
        <w:t>»</w:t>
      </w:r>
      <w:r>
        <w:rPr>
          <w:rFonts w:hint="cs"/>
          <w:rtl/>
        </w:rPr>
        <w:t>. وزيادة الواو خطأ بيِّن.</w:t>
      </w:r>
    </w:p>
  </w:footnote>
  <w:footnote w:id="23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(6) من سورة (المائدة).</w:t>
      </w:r>
    </w:p>
  </w:footnote>
  <w:footnote w:id="23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حرف اللام. علمًا بأنه جاء في شرح المغني -عقب هذه الآية-: </w:t>
      </w:r>
      <w:r>
        <w:rPr>
          <w:rFonts w:hint="eastAsia"/>
          <w:rtl/>
        </w:rPr>
        <w:t>«</w:t>
      </w:r>
      <w:r>
        <w:rPr>
          <w:rFonts w:hint="cs"/>
          <w:rtl/>
        </w:rPr>
        <w:t xml:space="preserve"> للجنس ...</w:t>
      </w:r>
      <w:r>
        <w:rPr>
          <w:rFonts w:hint="eastAsia"/>
          <w:rtl/>
        </w:rPr>
        <w:t>»</w:t>
      </w:r>
      <w:r>
        <w:rPr>
          <w:rFonts w:hint="cs"/>
          <w:rtl/>
        </w:rPr>
        <w:t>.</w:t>
      </w:r>
    </w:p>
  </w:footnote>
  <w:footnote w:id="23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زيادة </w:t>
      </w:r>
      <w:r>
        <w:rPr>
          <w:rFonts w:hint="eastAsia"/>
          <w:rtl/>
        </w:rPr>
        <w:t>«</w:t>
      </w:r>
      <w:r>
        <w:rPr>
          <w:rFonts w:hint="cs"/>
          <w:rtl/>
        </w:rPr>
        <w:t>ذلك</w:t>
      </w:r>
      <w:r>
        <w:rPr>
          <w:rFonts w:hint="eastAsia"/>
          <w:rtl/>
        </w:rPr>
        <w:t>»</w:t>
      </w:r>
      <w:r>
        <w:rPr>
          <w:rFonts w:hint="cs"/>
          <w:rtl/>
        </w:rPr>
        <w:t xml:space="preserve"> وفي (المغني) : </w:t>
      </w:r>
      <w:r>
        <w:rPr>
          <w:rFonts w:hint="eastAsia"/>
          <w:rtl/>
        </w:rPr>
        <w:t>«</w:t>
      </w:r>
      <w:r>
        <w:rPr>
          <w:rFonts w:hint="cs"/>
          <w:rtl/>
        </w:rPr>
        <w:t>لتكون معهودة</w:t>
      </w:r>
      <w:r>
        <w:rPr>
          <w:rFonts w:hint="eastAsia"/>
          <w:rtl/>
        </w:rPr>
        <w:t>»</w:t>
      </w:r>
      <w:r>
        <w:rPr>
          <w:rFonts w:hint="cs"/>
          <w:rtl/>
        </w:rPr>
        <w:t>.</w:t>
      </w:r>
    </w:p>
  </w:footnote>
  <w:footnote w:id="23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ق1، جـ2، ص495، مع اختلاف في بعض الألفاظ. </w:t>
      </w:r>
    </w:p>
  </w:footnote>
  <w:footnote w:id="23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يصح</w:t>
      </w:r>
      <w:r>
        <w:rPr>
          <w:rFonts w:hint="eastAsia"/>
          <w:rtl/>
        </w:rPr>
        <w:t>»</w:t>
      </w:r>
      <w:r>
        <w:rPr>
          <w:rFonts w:hint="cs"/>
          <w:rtl/>
        </w:rPr>
        <w:t>. والأفصح ما تمَّ إثباته من (د)، وهو الموافق لشرح المغني.</w:t>
      </w:r>
    </w:p>
  </w:footnote>
  <w:footnote w:id="23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الأطلس في اللغة</w:t>
      </w:r>
      <w:r>
        <w:rPr>
          <w:rFonts w:hint="cs"/>
          <w:rtl/>
        </w:rPr>
        <w:t xml:space="preserve"> : </w:t>
      </w:r>
      <w:r>
        <w:rPr>
          <w:rFonts w:hint="eastAsia"/>
          <w:rtl/>
        </w:rPr>
        <w:t>«</w:t>
      </w:r>
      <w:r>
        <w:rPr>
          <w:rFonts w:hint="cs"/>
          <w:rtl/>
        </w:rPr>
        <w:t xml:space="preserve"> الثوب الخَلِق </w:t>
      </w:r>
      <w:r>
        <w:rPr>
          <w:rFonts w:hint="eastAsia"/>
          <w:rtl/>
        </w:rPr>
        <w:t>»</w:t>
      </w:r>
      <w:r>
        <w:rPr>
          <w:rFonts w:hint="cs"/>
          <w:rtl/>
        </w:rPr>
        <w:t>.</w:t>
      </w:r>
    </w:p>
    <w:p w:rsidR="00035BE3" w:rsidRDefault="00035BE3" w:rsidP="00C10469">
      <w:pPr>
        <w:pStyle w:val="a6"/>
        <w:ind w:left="422" w:firstLine="0"/>
        <w:rPr>
          <w:spacing w:val="8"/>
          <w:rtl/>
        </w:rPr>
      </w:pPr>
      <w:r>
        <w:rPr>
          <w:rFonts w:hint="cs"/>
          <w:spacing w:val="8"/>
          <w:rtl/>
        </w:rPr>
        <w:t xml:space="preserve">القـامـوس الـمحيط، مـادة </w:t>
      </w:r>
      <w:r>
        <w:rPr>
          <w:rFonts w:hint="eastAsia"/>
          <w:spacing w:val="8"/>
          <w:rtl/>
        </w:rPr>
        <w:t>«</w:t>
      </w:r>
      <w:r>
        <w:rPr>
          <w:rFonts w:hint="cs"/>
          <w:spacing w:val="8"/>
          <w:rtl/>
        </w:rPr>
        <w:t>طَـلَسَ</w:t>
      </w:r>
      <w:r>
        <w:rPr>
          <w:rFonts w:hint="eastAsia"/>
          <w:spacing w:val="8"/>
          <w:rtl/>
        </w:rPr>
        <w:t>»</w:t>
      </w:r>
      <w:r>
        <w:rPr>
          <w:rFonts w:hint="cs"/>
          <w:spacing w:val="8"/>
          <w:rtl/>
        </w:rPr>
        <w:t xml:space="preserve">، ص714؛ وانظر : المعجم الوسيط، مادة </w:t>
      </w:r>
      <w:r>
        <w:rPr>
          <w:rFonts w:hint="eastAsia"/>
          <w:spacing w:val="8"/>
          <w:rtl/>
        </w:rPr>
        <w:t>«</w:t>
      </w:r>
      <w:r>
        <w:rPr>
          <w:rFonts w:hint="cs"/>
          <w:spacing w:val="8"/>
          <w:rtl/>
        </w:rPr>
        <w:t>طلس</w:t>
      </w:r>
      <w:r>
        <w:rPr>
          <w:rFonts w:hint="eastAsia"/>
          <w:spacing w:val="8"/>
          <w:rtl/>
        </w:rPr>
        <w:t>»</w:t>
      </w:r>
      <w:r>
        <w:rPr>
          <w:rFonts w:hint="cs"/>
          <w:spacing w:val="8"/>
          <w:rtl/>
        </w:rPr>
        <w:t>، 2/561.</w:t>
      </w:r>
    </w:p>
  </w:footnote>
  <w:footnote w:id="23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42/ب من (أ).</w:t>
      </w:r>
    </w:p>
  </w:footnote>
  <w:footnote w:id="23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الأدنى والأعلى من أنواع الثياب.</w:t>
      </w:r>
    </w:p>
  </w:footnote>
  <w:footnote w:id="23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إلى </w:t>
      </w:r>
      <w:r>
        <w:rPr>
          <w:rFonts w:hint="eastAsia"/>
          <w:rtl/>
        </w:rPr>
        <w:t>»</w:t>
      </w:r>
      <w:r>
        <w:rPr>
          <w:rFonts w:hint="cs"/>
          <w:rtl/>
        </w:rPr>
        <w:t>.</w:t>
      </w:r>
    </w:p>
  </w:footnote>
  <w:footnote w:id="23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صرّح</w:t>
      </w:r>
      <w:r>
        <w:rPr>
          <w:rFonts w:hint="eastAsia"/>
          <w:rtl/>
        </w:rPr>
        <w:t>»</w:t>
      </w:r>
      <w:r>
        <w:rPr>
          <w:rFonts w:hint="cs"/>
          <w:rtl/>
        </w:rPr>
        <w:t>. وهذا الأولى.</w:t>
      </w:r>
    </w:p>
  </w:footnote>
  <w:footnote w:id="23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ص496- مع اختلاف في بعض الألفاظ -؛ وانظر : أصول السرخسي، 1/161؛ المغني للخبازي، ص115.</w:t>
      </w:r>
    </w:p>
  </w:footnote>
  <w:footnote w:id="23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الضابط مرتبط بمسألة من المسائل الأصولية الخلافية، وهي : هل أقل الجمع اثنان أو ثلاثة؟.</w:t>
      </w:r>
    </w:p>
    <w:p w:rsidR="00035BE3" w:rsidRDefault="00035BE3" w:rsidP="00C10469">
      <w:pPr>
        <w:pStyle w:val="a6"/>
        <w:ind w:left="422" w:firstLine="0"/>
        <w:rPr>
          <w:rtl/>
        </w:rPr>
      </w:pPr>
      <w:r>
        <w:rPr>
          <w:rFonts w:hint="cs"/>
          <w:rtl/>
        </w:rPr>
        <w:t>وقد سبق أن تطرَّق المؤلف لها وأشار إلى هذين القولين المشهورين - وتم توثيق ما ذكره مفصَّلاً، وذلك ص320 (ل11/أ)-.</w:t>
      </w:r>
    </w:p>
    <w:p w:rsidR="00035BE3" w:rsidRDefault="00035BE3" w:rsidP="00C10469">
      <w:pPr>
        <w:pStyle w:val="a6"/>
        <w:ind w:left="422" w:firstLine="0"/>
        <w:rPr>
          <w:spacing w:val="-6"/>
          <w:sz w:val="29"/>
          <w:szCs w:val="29"/>
          <w:rtl/>
        </w:rPr>
      </w:pPr>
      <w:r>
        <w:rPr>
          <w:rFonts w:hint="cs"/>
          <w:spacing w:val="-6"/>
          <w:sz w:val="29"/>
          <w:szCs w:val="29"/>
          <w:rtl/>
        </w:rPr>
        <w:t>والمؤلف وإن كان قد رجَّح هناك أن أقلَّه ثلاثة إلا أنَّه هنا أراد ضبط أقل الجمع في الميراث بخاصة و(هو اثنان).</w:t>
      </w:r>
    </w:p>
    <w:p w:rsidR="00035BE3" w:rsidRDefault="00035BE3" w:rsidP="00C10469">
      <w:pPr>
        <w:pStyle w:val="a6"/>
        <w:ind w:left="422" w:firstLine="0"/>
        <w:rPr>
          <w:rtl/>
        </w:rPr>
      </w:pPr>
      <w:r>
        <w:rPr>
          <w:rFonts w:hint="cs"/>
          <w:rtl/>
        </w:rPr>
        <w:t>ولتوثيق الضابط يقال :</w:t>
      </w:r>
    </w:p>
    <w:p w:rsidR="00035BE3" w:rsidRDefault="00035BE3" w:rsidP="00C10469">
      <w:pPr>
        <w:pStyle w:val="a6"/>
        <w:ind w:left="422" w:firstLine="0"/>
        <w:rPr>
          <w:rtl/>
        </w:rPr>
      </w:pPr>
      <w:r>
        <w:rPr>
          <w:rFonts w:hint="cs"/>
          <w:rtl/>
        </w:rPr>
        <w:t>ورد بلفظه أو نحوه أو معناه في عدد من كتب الفقه والأصول :</w:t>
      </w:r>
    </w:p>
    <w:p w:rsidR="00035BE3" w:rsidRDefault="00035BE3" w:rsidP="00C10469">
      <w:pPr>
        <w:pStyle w:val="a6"/>
        <w:ind w:left="422" w:firstLine="0"/>
        <w:rPr>
          <w:b/>
          <w:bCs/>
          <w:rtl/>
        </w:rPr>
      </w:pPr>
      <w:r>
        <w:rPr>
          <w:rFonts w:hint="cs"/>
          <w:b/>
          <w:bCs/>
          <w:rtl/>
        </w:rPr>
        <w:t>فمن كتب الفقه :</w:t>
      </w:r>
    </w:p>
    <w:p w:rsidR="00035BE3" w:rsidRDefault="00035BE3" w:rsidP="00C10469">
      <w:pPr>
        <w:pStyle w:val="a6"/>
        <w:ind w:left="422" w:firstLine="0"/>
        <w:rPr>
          <w:rtl/>
        </w:rPr>
      </w:pPr>
      <w:r>
        <w:rPr>
          <w:rFonts w:hint="cs"/>
          <w:rtl/>
        </w:rPr>
        <w:t>بدائع الصنائع، 7/343؛ الهداية والعناية، 10/451، 477؛ الدرر شرح الغرر، 2/436، 440؛ تكملة البحر الرائق، 8/478، 508.</w:t>
      </w:r>
    </w:p>
    <w:p w:rsidR="00035BE3" w:rsidRDefault="00035BE3" w:rsidP="00C10469">
      <w:pPr>
        <w:pStyle w:val="a6"/>
        <w:ind w:left="422" w:firstLine="0"/>
        <w:rPr>
          <w:rtl/>
        </w:rPr>
      </w:pPr>
      <w:r>
        <w:rPr>
          <w:rFonts w:hint="cs"/>
          <w:rtl/>
        </w:rPr>
        <w:t xml:space="preserve">كما أشار إليه السَّرْخَسي -عرضًا- </w:t>
      </w:r>
      <w:r>
        <w:rPr>
          <w:rFonts w:hint="cs"/>
          <w:b/>
          <w:bCs/>
          <w:rtl/>
        </w:rPr>
        <w:t>في أصوله</w:t>
      </w:r>
      <w:r>
        <w:rPr>
          <w:rFonts w:hint="cs"/>
          <w:rtl/>
        </w:rPr>
        <w:t>، 1/252.</w:t>
      </w:r>
    </w:p>
  </w:footnote>
  <w:footnote w:id="23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وهذا قول عامة أهل العلم، ولم يفرِّق بين البنتين والبنات في الميراث إلا ابن عباس </w:t>
      </w:r>
      <w:r>
        <w:rPr>
          <w:rtl/>
        </w:rPr>
        <w:t>–</w:t>
      </w:r>
      <w:r>
        <w:rPr>
          <w:rFonts w:hint="cs"/>
          <w:rtl/>
        </w:rPr>
        <w:t>رضي الله عنهما-  في قول له، حيث جعل البنتين كالبنت الواحدة في إرث النصف، وليستا كالبنات في إرث الثلثين.</w:t>
      </w:r>
    </w:p>
    <w:p w:rsidR="00035BE3" w:rsidRDefault="00035BE3" w:rsidP="00C10469">
      <w:pPr>
        <w:pStyle w:val="a6"/>
        <w:ind w:left="422" w:firstLine="0"/>
        <w:rPr>
          <w:rtl/>
        </w:rPr>
      </w:pPr>
      <w:r>
        <w:rPr>
          <w:rFonts w:hint="cs"/>
          <w:rtl/>
        </w:rPr>
        <w:t xml:space="preserve">وقد بيّن ذلك ابن قدامة في (المغني) -9/11- فقال : </w:t>
      </w:r>
      <w:r>
        <w:rPr>
          <w:rFonts w:hint="eastAsia"/>
          <w:rtl/>
        </w:rPr>
        <w:t>«</w:t>
      </w:r>
      <w:r>
        <w:rPr>
          <w:rFonts w:hint="cs"/>
          <w:rtl/>
        </w:rPr>
        <w:t>أجمع أهل العلم على أن فرض الابنتين الثُّلثان، إلا روايةً شذَّتْ عن ابن عباس، أن فرضهما النصف</w:t>
      </w:r>
      <w:r>
        <w:rPr>
          <w:rFonts w:hint="eastAsia"/>
          <w:rtl/>
        </w:rPr>
        <w:t>»</w:t>
      </w:r>
      <w:r>
        <w:rPr>
          <w:rFonts w:hint="cs"/>
          <w:rtl/>
        </w:rPr>
        <w:t xml:space="preserve"> .</w:t>
      </w:r>
    </w:p>
    <w:p w:rsidR="00035BE3" w:rsidRDefault="00035BE3" w:rsidP="00C10469">
      <w:pPr>
        <w:pStyle w:val="a6"/>
        <w:ind w:left="422" w:firstLine="0"/>
        <w:rPr>
          <w:rtl/>
        </w:rPr>
      </w:pPr>
      <w:r>
        <w:rPr>
          <w:rFonts w:hint="cs"/>
          <w:rtl/>
        </w:rPr>
        <w:t>وانظر : مراتب الإجماع لابن حزم، ص102- إلا أنه ذكر أن إرث البنتين للسدس الزائد على النصف محل خلاف-؛ الإجماع لابن عبد البر -جمع فؤاد الشلهوب وصاحبه-، ص237؛ موسوعة الإجماع لأبي جيب، 3/1104، فقرة 3867؛ فقه المواريث للدكتور عبد الكريم اللاحم، 1/380.</w:t>
      </w:r>
    </w:p>
  </w:footnote>
  <w:footnote w:id="23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وهذا محلُّ إجماع.</w:t>
      </w:r>
    </w:p>
    <w:p w:rsidR="00035BE3" w:rsidRDefault="00035BE3" w:rsidP="00C10469">
      <w:pPr>
        <w:pStyle w:val="a6"/>
        <w:ind w:left="422" w:firstLine="0"/>
        <w:rPr>
          <w:rtl/>
        </w:rPr>
      </w:pPr>
      <w:r>
        <w:rPr>
          <w:rFonts w:hint="cs"/>
          <w:rtl/>
        </w:rPr>
        <w:t xml:space="preserve">قال ابن حزم في (مراتب الإجماع) -ص102- : </w:t>
      </w:r>
      <w:r>
        <w:rPr>
          <w:rFonts w:hint="eastAsia"/>
          <w:rtl/>
        </w:rPr>
        <w:t>«</w:t>
      </w:r>
      <w:r>
        <w:rPr>
          <w:rFonts w:hint="cs"/>
          <w:rtl/>
        </w:rPr>
        <w:t>واتفقوا ... أن للأختين فصاعدًا الثلثين</w:t>
      </w:r>
      <w:r>
        <w:rPr>
          <w:rFonts w:hint="eastAsia"/>
          <w:rtl/>
        </w:rPr>
        <w:t>»</w:t>
      </w:r>
      <w:r>
        <w:rPr>
          <w:rFonts w:hint="cs"/>
          <w:rtl/>
        </w:rPr>
        <w:t>.</w:t>
      </w:r>
    </w:p>
    <w:p w:rsidR="00035BE3" w:rsidRDefault="00035BE3" w:rsidP="00C10469">
      <w:pPr>
        <w:pStyle w:val="a6"/>
        <w:ind w:left="422" w:firstLine="0"/>
        <w:rPr>
          <w:rtl/>
        </w:rPr>
      </w:pPr>
      <w:r>
        <w:rPr>
          <w:rFonts w:hint="cs"/>
          <w:rtl/>
        </w:rPr>
        <w:t>وانظر : المغني لابن قدامة، 9/16؛ فقه المواريث للدكتور اللاحم، ص285؛ موسوعة الإجماع لأبي جيب، 3/1108، فقرة 3877.</w:t>
      </w:r>
    </w:p>
  </w:footnote>
  <w:footnote w:id="235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بهذا اللفظ أو نحوه أو معناه في كثير من </w:t>
      </w:r>
      <w:r>
        <w:rPr>
          <w:rFonts w:hint="cs"/>
          <w:b/>
          <w:bCs/>
          <w:rtl/>
        </w:rPr>
        <w:t>كتب القواعد</w:t>
      </w:r>
      <w:r>
        <w:rPr>
          <w:rFonts w:hint="cs"/>
          <w:rtl/>
        </w:rPr>
        <w:t xml:space="preserve"> المتأخرة عن المؤلف.</w:t>
      </w:r>
    </w:p>
    <w:p w:rsidR="00035BE3" w:rsidRDefault="00035BE3" w:rsidP="00C10469">
      <w:pPr>
        <w:pStyle w:val="a6"/>
        <w:ind w:left="422" w:firstLine="0"/>
        <w:rPr>
          <w:b/>
          <w:bCs/>
          <w:rtl/>
        </w:rPr>
      </w:pPr>
      <w:r>
        <w:rPr>
          <w:rFonts w:hint="cs"/>
          <w:b/>
          <w:bCs/>
          <w:rtl/>
        </w:rPr>
        <w:t>فمن هذه الكتب :</w:t>
      </w:r>
    </w:p>
    <w:p w:rsidR="00035BE3" w:rsidRPr="00126DAA" w:rsidRDefault="00035BE3" w:rsidP="00C10469">
      <w:pPr>
        <w:pStyle w:val="a6"/>
        <w:ind w:left="422" w:firstLine="0"/>
        <w:rPr>
          <w:spacing w:val="-4"/>
          <w:rtl/>
        </w:rPr>
      </w:pPr>
      <w:r w:rsidRPr="00126DAA">
        <w:rPr>
          <w:rFonts w:hint="cs"/>
          <w:spacing w:val="-4"/>
          <w:rtl/>
        </w:rPr>
        <w:t xml:space="preserve">مجامع الحقائق (الخاتمة)، ص45؛ شرح العلائي لقواعد الخادمي، ل20/أ؛ منافع الدقائق، ص318؛ الفرائد البهية للحمزاوي، ص138، قاعدة 178 - ولفظه : </w:t>
      </w:r>
      <w:r w:rsidRPr="00126DAA">
        <w:rPr>
          <w:rFonts w:hint="eastAsia"/>
          <w:spacing w:val="-4"/>
          <w:rtl/>
        </w:rPr>
        <w:t>«</w:t>
      </w:r>
      <w:r w:rsidRPr="00126DAA">
        <w:rPr>
          <w:rFonts w:hint="cs"/>
          <w:spacing w:val="-4"/>
          <w:rtl/>
        </w:rPr>
        <w:t xml:space="preserve">كل موضوع بحقّ إذا عطب به إنسان: فلا ضمان على واضعه </w:t>
      </w:r>
      <w:r w:rsidRPr="00126DAA">
        <w:rPr>
          <w:rFonts w:hint="eastAsia"/>
          <w:spacing w:val="-4"/>
          <w:rtl/>
        </w:rPr>
        <w:t>»</w:t>
      </w:r>
      <w:r w:rsidRPr="00126DAA">
        <w:rPr>
          <w:rFonts w:hint="cs"/>
          <w:spacing w:val="-4"/>
          <w:rtl/>
        </w:rPr>
        <w:t xml:space="preserve">-؛ مجلة الأحكام العدلية، مادة 91- ولفظها: </w:t>
      </w:r>
      <w:r w:rsidRPr="00126DAA">
        <w:rPr>
          <w:rFonts w:hint="eastAsia"/>
          <w:spacing w:val="-4"/>
          <w:rtl/>
        </w:rPr>
        <w:t>«</w:t>
      </w:r>
      <w:r w:rsidRPr="00126DAA">
        <w:rPr>
          <w:rFonts w:hint="cs"/>
          <w:spacing w:val="-4"/>
          <w:rtl/>
        </w:rPr>
        <w:t>الجواز الشرعي ينافي الضمان</w:t>
      </w:r>
      <w:r w:rsidRPr="00126DAA">
        <w:rPr>
          <w:rFonts w:hint="eastAsia"/>
          <w:spacing w:val="-4"/>
          <w:rtl/>
        </w:rPr>
        <w:t>»</w:t>
      </w:r>
      <w:r w:rsidRPr="00126DAA">
        <w:rPr>
          <w:rFonts w:hint="cs"/>
          <w:spacing w:val="-4"/>
          <w:rtl/>
        </w:rPr>
        <w:t>-؛ شرحها لسليم رستم، 1/59؛ ولعلي حيدر، 1/81؛ وللأتاسي، 1/251؛ وشرح قواعدها للـزرقا، ص449؛ قواعد الفقه للمجدّدي، ص75، قاعدة 105؛ المدخل الفقهي العام، 2/1032، فقرة 641 - وقد ذكر قيدًا مهمًّا للقاعدة-؛ الوجيز، ص308؛ المدخل إلى القواعد الفقهية للدكتور الـحريري، ص149، 151؛ المبادئ الفقـهية، ص52؛ القواعد الفقهية للدَّعاس، ص94، قاعدة 77؛ وللدكتور محمد الزحيلي، ص84 -علمًا بأن جميع الكتب الواردة بعد المجلة لفظها كلفظ المجلة-.</w:t>
      </w:r>
    </w:p>
    <w:p w:rsidR="00035BE3" w:rsidRDefault="00035BE3" w:rsidP="00C10469">
      <w:pPr>
        <w:pStyle w:val="a6"/>
        <w:ind w:left="422" w:firstLine="0"/>
        <w:rPr>
          <w:rtl/>
        </w:rPr>
      </w:pPr>
      <w:r>
        <w:rPr>
          <w:rFonts w:hint="cs"/>
          <w:rtl/>
        </w:rPr>
        <w:t xml:space="preserve">كما وردت قبل ذلك في بعض </w:t>
      </w:r>
      <w:r>
        <w:rPr>
          <w:rFonts w:hint="cs"/>
          <w:b/>
          <w:bCs/>
          <w:rtl/>
        </w:rPr>
        <w:t>كتب الفقه</w:t>
      </w:r>
      <w:r>
        <w:rPr>
          <w:rFonts w:hint="cs"/>
          <w:rtl/>
        </w:rPr>
        <w:t>، منها :</w:t>
      </w:r>
    </w:p>
    <w:p w:rsidR="00035BE3" w:rsidRDefault="00035BE3" w:rsidP="00C10469">
      <w:pPr>
        <w:pStyle w:val="a6"/>
        <w:ind w:left="422" w:firstLine="0"/>
        <w:rPr>
          <w:rtl/>
        </w:rPr>
      </w:pPr>
      <w:r>
        <w:rPr>
          <w:rFonts w:hint="cs"/>
          <w:rtl/>
        </w:rPr>
        <w:t xml:space="preserve">فتاوى قاضي خان، 3/252؛ الدُّرر شرح الغرر، 2/289 </w:t>
      </w:r>
      <w:r>
        <w:rPr>
          <w:rtl/>
        </w:rPr>
        <w:t>–</w:t>
      </w:r>
      <w:r>
        <w:rPr>
          <w:rFonts w:hint="cs"/>
          <w:rtl/>
        </w:rPr>
        <w:t xml:space="preserve"> ولفظ قاضي خان قريب من لفظ الحمزاوي الآنف ذكره. أما لفظ الدّرر فهو : </w:t>
      </w:r>
      <w:r>
        <w:rPr>
          <w:rFonts w:hint="eastAsia"/>
          <w:rtl/>
        </w:rPr>
        <w:t>«</w:t>
      </w:r>
      <w:r>
        <w:rPr>
          <w:rFonts w:hint="cs"/>
          <w:b/>
          <w:bCs/>
          <w:rtl/>
        </w:rPr>
        <w:t>الجواز الشرعي</w:t>
      </w:r>
      <w:r>
        <w:rPr>
          <w:rFonts w:hint="cs"/>
          <w:rtl/>
        </w:rPr>
        <w:t xml:space="preserve"> ينافي الضمان</w:t>
      </w:r>
      <w:r>
        <w:rPr>
          <w:rFonts w:hint="eastAsia"/>
          <w:rtl/>
        </w:rPr>
        <w:t>»</w:t>
      </w:r>
      <w:r>
        <w:rPr>
          <w:rFonts w:hint="cs"/>
          <w:rtl/>
        </w:rPr>
        <w:t>-.</w:t>
      </w:r>
    </w:p>
  </w:footnote>
  <w:footnote w:id="235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هنا</w:t>
      </w:r>
      <w:r>
        <w:rPr>
          <w:rFonts w:hint="eastAsia"/>
          <w:rtl/>
        </w:rPr>
        <w:t>»</w:t>
      </w:r>
      <w:r>
        <w:rPr>
          <w:rFonts w:hint="cs"/>
          <w:rtl/>
        </w:rPr>
        <w:t xml:space="preserve"> (بإسقاط الراء).</w:t>
      </w:r>
    </w:p>
  </w:footnote>
  <w:footnote w:id="235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ترى </w:t>
      </w:r>
      <w:r>
        <w:rPr>
          <w:rFonts w:hint="eastAsia"/>
          <w:rtl/>
        </w:rPr>
        <w:t>»</w:t>
      </w:r>
      <w:r>
        <w:rPr>
          <w:rFonts w:hint="cs"/>
          <w:rtl/>
        </w:rPr>
        <w:t xml:space="preserve">، وفي (جـ) و(د) : </w:t>
      </w:r>
      <w:r>
        <w:rPr>
          <w:rFonts w:hint="eastAsia"/>
          <w:rtl/>
        </w:rPr>
        <w:t>«</w:t>
      </w:r>
      <w:r>
        <w:rPr>
          <w:rFonts w:hint="cs"/>
          <w:rtl/>
        </w:rPr>
        <w:t xml:space="preserve"> نوى </w:t>
      </w:r>
      <w:r>
        <w:rPr>
          <w:rFonts w:hint="eastAsia"/>
          <w:rtl/>
        </w:rPr>
        <w:t>»</w:t>
      </w:r>
      <w:r>
        <w:rPr>
          <w:rFonts w:hint="cs"/>
          <w:rtl/>
        </w:rPr>
        <w:t>.</w:t>
      </w:r>
    </w:p>
  </w:footnote>
  <w:footnote w:id="23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توَِيَ في اللغة</w:t>
      </w:r>
      <w:r>
        <w:rPr>
          <w:rFonts w:hint="cs"/>
          <w:rtl/>
        </w:rPr>
        <w:t xml:space="preserve"> : من التَّوَى، وهو ذهاب مالٍ لا يرجى، يُقال : </w:t>
      </w:r>
      <w:r>
        <w:rPr>
          <w:rFonts w:hint="eastAsia"/>
          <w:rtl/>
        </w:rPr>
        <w:t>«</w:t>
      </w:r>
      <w:r>
        <w:rPr>
          <w:rFonts w:hint="cs"/>
          <w:rtl/>
        </w:rPr>
        <w:t>تَوِيَ المال (بالكسر)، ويَتْوى توًى، فهو توٍ : ذهب فلم يُرْجَ، وحكى الفارسي أن طيئًا تقول : تَوَى</w:t>
      </w:r>
      <w:r>
        <w:rPr>
          <w:rFonts w:hint="eastAsia"/>
          <w:rtl/>
        </w:rPr>
        <w:t>»</w:t>
      </w:r>
      <w:r>
        <w:rPr>
          <w:rFonts w:hint="cs"/>
          <w:rtl/>
        </w:rPr>
        <w:t xml:space="preserve">- قاله صاحب اللـسان، مـادة </w:t>
      </w:r>
      <w:r>
        <w:rPr>
          <w:rFonts w:hint="eastAsia"/>
          <w:rtl/>
        </w:rPr>
        <w:t>«</w:t>
      </w:r>
      <w:r>
        <w:rPr>
          <w:rFonts w:hint="cs"/>
          <w:rtl/>
        </w:rPr>
        <w:t>توا</w:t>
      </w:r>
      <w:r>
        <w:rPr>
          <w:rFonts w:hint="eastAsia"/>
          <w:rtl/>
        </w:rPr>
        <w:t>»</w:t>
      </w:r>
      <w:r>
        <w:rPr>
          <w:rFonts w:hint="cs"/>
          <w:rtl/>
        </w:rPr>
        <w:t xml:space="preserve">، 14/106؛ وانظر المعجم الوسيط، مادة </w:t>
      </w:r>
      <w:r>
        <w:rPr>
          <w:rFonts w:hint="eastAsia"/>
          <w:rtl/>
        </w:rPr>
        <w:t>«</w:t>
      </w:r>
      <w:r>
        <w:rPr>
          <w:rFonts w:hint="cs"/>
          <w:rtl/>
        </w:rPr>
        <w:t>توى</w:t>
      </w:r>
      <w:r>
        <w:rPr>
          <w:rFonts w:hint="eastAsia"/>
          <w:rtl/>
        </w:rPr>
        <w:t>»</w:t>
      </w:r>
      <w:r>
        <w:rPr>
          <w:rFonts w:hint="cs"/>
          <w:rtl/>
        </w:rPr>
        <w:t>، 1/91-.</w:t>
      </w:r>
    </w:p>
    <w:p w:rsidR="00035BE3" w:rsidRDefault="00035BE3" w:rsidP="00C10469">
      <w:pPr>
        <w:pStyle w:val="a6"/>
        <w:ind w:left="422" w:firstLine="0"/>
        <w:rPr>
          <w:rtl/>
        </w:rPr>
      </w:pPr>
      <w:r>
        <w:rPr>
          <w:rFonts w:hint="cs"/>
          <w:b/>
          <w:bCs/>
          <w:rtl/>
        </w:rPr>
        <w:t>إذا علم هذا فالمعنى</w:t>
      </w:r>
      <w:r>
        <w:rPr>
          <w:rFonts w:hint="cs"/>
          <w:rtl/>
        </w:rPr>
        <w:t xml:space="preserve"> : أو ذهب المال الذي على الكفيل وأصبح لا يرجى، كأن يموت مفلسًا.</w:t>
      </w:r>
    </w:p>
    <w:p w:rsidR="00035BE3" w:rsidRDefault="00035BE3" w:rsidP="00C10469">
      <w:pPr>
        <w:pStyle w:val="a6"/>
        <w:ind w:left="422" w:firstLine="0"/>
        <w:rPr>
          <w:rtl/>
        </w:rPr>
      </w:pPr>
      <w:r>
        <w:rPr>
          <w:rFonts w:hint="cs"/>
          <w:rtl/>
        </w:rPr>
        <w:t>ولكن يشكل على هذا أن التَّوَى (وهو هنا ذهاب الثمن الذي اتخذ الوكيل كفيلاً عليه) لا يتحقق بذهاب مال الكفيل؛ لأن للوكيل مطالبة الأصيل؛ فلا حاجة لنفي الضمان عن الوكيل بحجة كون تصرفه (وهو طلب كفيلٍ بالثمن) تصرفًا جائزًا شرعًا!.</w:t>
      </w:r>
    </w:p>
    <w:p w:rsidR="00035BE3" w:rsidRDefault="00035BE3" w:rsidP="00C10469">
      <w:pPr>
        <w:pStyle w:val="a6"/>
        <w:ind w:left="422" w:firstLine="0"/>
        <w:rPr>
          <w:rtl/>
        </w:rPr>
      </w:pPr>
      <w:r>
        <w:rPr>
          <w:rFonts w:hint="cs"/>
          <w:rtl/>
        </w:rPr>
        <w:t xml:space="preserve">ولدفع هذا الإشكال بيَّن المؤلف -عقب ذلك مباشرة- صورة التَّوى </w:t>
      </w:r>
      <w:r>
        <w:rPr>
          <w:rFonts w:hint="eastAsia"/>
          <w:rtl/>
        </w:rPr>
        <w:t>«</w:t>
      </w:r>
      <w:r>
        <w:rPr>
          <w:rFonts w:hint="cs"/>
          <w:rtl/>
        </w:rPr>
        <w:t>بأن يرفع الحادثة إلى قاضٍ يرى براءة الأصيل بنفس الكفالة ... ثمَّ مات الكفيل مفلسًا</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وهذا التأويل اختاره بعض شراح المتون من الحنفية، كالنسفي في (الكافي)، والزيلعي في (تبيين الحقائق)، وغيرهما.</w:t>
      </w:r>
    </w:p>
    <w:p w:rsidR="00035BE3" w:rsidRDefault="00035BE3" w:rsidP="00C10469">
      <w:pPr>
        <w:pStyle w:val="a6"/>
        <w:ind w:left="422" w:firstLine="0"/>
        <w:rPr>
          <w:rtl/>
        </w:rPr>
      </w:pPr>
      <w:r>
        <w:rPr>
          <w:rFonts w:hint="cs"/>
          <w:rtl/>
        </w:rPr>
        <w:t>وقيل : التوى هنا بأن يموت الكفيل والأصيل مفلسين.</w:t>
      </w:r>
    </w:p>
    <w:p w:rsidR="00035BE3" w:rsidRDefault="00035BE3" w:rsidP="00C10469">
      <w:pPr>
        <w:pStyle w:val="a6"/>
        <w:ind w:left="422" w:firstLine="0"/>
        <w:rPr>
          <w:rtl/>
        </w:rPr>
      </w:pPr>
      <w:r>
        <w:rPr>
          <w:rFonts w:hint="cs"/>
          <w:rtl/>
        </w:rPr>
        <w:t>وقيل : إن المراد بالكفالة ههنا الحوالة.</w:t>
      </w:r>
    </w:p>
    <w:p w:rsidR="00035BE3" w:rsidRDefault="00035BE3" w:rsidP="00C10469">
      <w:pPr>
        <w:pStyle w:val="a6"/>
        <w:ind w:left="422" w:firstLine="0"/>
        <w:rPr>
          <w:rtl/>
        </w:rPr>
      </w:pPr>
      <w:r>
        <w:rPr>
          <w:rFonts w:hint="cs"/>
          <w:rtl/>
        </w:rPr>
        <w:t>انظر : الهداية وشرحيها : العناية ونتائج الأفكار، 8/93-94؛ كنز الدقائق وشرحيه : تبيين الحقائق، 4/274؛ والبحر الرائق، 7/173؛ الدّرر شرح الغرر، 2/289؛ حاشية على الدّرر شرح الغرر للخادمي، ص384.</w:t>
      </w:r>
    </w:p>
  </w:footnote>
  <w:footnote w:id="236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28/أ من (ب).</w:t>
      </w:r>
    </w:p>
  </w:footnote>
  <w:footnote w:id="236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الأصل</w:t>
      </w:r>
      <w:r>
        <w:rPr>
          <w:rFonts w:hint="eastAsia"/>
          <w:rtl/>
        </w:rPr>
        <w:t>»</w:t>
      </w:r>
      <w:r>
        <w:rPr>
          <w:rFonts w:hint="cs"/>
          <w:rtl/>
        </w:rPr>
        <w:t>.</w:t>
      </w:r>
    </w:p>
  </w:footnote>
  <w:footnote w:id="236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نسبة هذا الرأي إلى مذهب الإمام مالك ليست دقيقة.</w:t>
      </w:r>
    </w:p>
    <w:p w:rsidR="00035BE3" w:rsidRDefault="00035BE3" w:rsidP="00C10469">
      <w:pPr>
        <w:pStyle w:val="a6"/>
        <w:ind w:left="422" w:firstLine="0"/>
        <w:rPr>
          <w:rtl/>
        </w:rPr>
      </w:pPr>
      <w:r>
        <w:rPr>
          <w:rFonts w:hint="cs"/>
          <w:rtl/>
        </w:rPr>
        <w:t>فالمؤلف وإن كان مسبوقًا بهذه النسبة -حيث وردت أيضًا في بعض كتب الحنفية، كنتائج الأفكار، 8/94- إلا أن المالكية في كتبهم نصوا على خلافها:</w:t>
      </w:r>
    </w:p>
    <w:p w:rsidR="00035BE3" w:rsidRDefault="00035BE3" w:rsidP="00C10469">
      <w:pPr>
        <w:pStyle w:val="a6"/>
        <w:ind w:left="422" w:firstLine="0"/>
        <w:rPr>
          <w:rtl/>
        </w:rPr>
      </w:pPr>
      <w:r>
        <w:rPr>
          <w:rtl/>
        </w:rPr>
        <w:t>•</w:t>
      </w:r>
      <w:r>
        <w:rPr>
          <w:rFonts w:hint="cs"/>
          <w:rtl/>
        </w:rPr>
        <w:t xml:space="preserve"> فقد جاء في الشرح الصغير -4/576- ما يفيد أن الإمام مالكًا كان يرى أن رب الدين مُخيَّر في طلب الضامن أو المضمون عنه (وهو المدين).</w:t>
      </w:r>
    </w:p>
    <w:p w:rsidR="00035BE3" w:rsidRDefault="00035BE3" w:rsidP="00C10469">
      <w:pPr>
        <w:pStyle w:val="a6"/>
        <w:ind w:left="422" w:firstLine="0"/>
        <w:rPr>
          <w:rtl/>
        </w:rPr>
      </w:pPr>
      <w:r>
        <w:rPr>
          <w:rFonts w:hint="cs"/>
          <w:rtl/>
        </w:rPr>
        <w:t xml:space="preserve">ثم رجع عن ذلك إلى القول بأن رب الدين ليس له مطالبة الضامن إن تيسر له الأخذ من مال المدين؛ - وانظر: التفريع لابن الجلاّب، 2/286-. </w:t>
      </w:r>
    </w:p>
    <w:p w:rsidR="00035BE3" w:rsidRDefault="00035BE3" w:rsidP="00C10469">
      <w:pPr>
        <w:pStyle w:val="a6"/>
        <w:ind w:left="422" w:firstLine="0"/>
        <w:rPr>
          <w:rtl/>
        </w:rPr>
      </w:pPr>
      <w:r>
        <w:rPr>
          <w:rtl/>
        </w:rPr>
        <w:t>•</w:t>
      </w:r>
      <w:r>
        <w:rPr>
          <w:rFonts w:hint="cs"/>
          <w:rtl/>
        </w:rPr>
        <w:t xml:space="preserve"> كما صرَّح خليل في مختصره -7/43 (مع مواهب الجليل للحطاب)- بأنه: </w:t>
      </w:r>
      <w:r>
        <w:rPr>
          <w:rFonts w:hint="eastAsia"/>
          <w:rtl/>
        </w:rPr>
        <w:t>«</w:t>
      </w:r>
      <w:r>
        <w:rPr>
          <w:rFonts w:hint="cs"/>
          <w:rtl/>
        </w:rPr>
        <w:t>إنْ برئ الأصل : برئ [الكفيل] لا عكسه</w:t>
      </w:r>
      <w:r>
        <w:rPr>
          <w:rFonts w:hint="eastAsia"/>
          <w:rtl/>
        </w:rPr>
        <w:t>»</w:t>
      </w:r>
      <w:r>
        <w:rPr>
          <w:rFonts w:hint="cs"/>
          <w:rtl/>
        </w:rPr>
        <w:t>.</w:t>
      </w:r>
    </w:p>
    <w:p w:rsidR="00035BE3" w:rsidRDefault="00035BE3" w:rsidP="00C10469">
      <w:pPr>
        <w:pStyle w:val="a6"/>
        <w:ind w:left="422" w:firstLine="0"/>
        <w:rPr>
          <w:rtl/>
        </w:rPr>
      </w:pPr>
      <w:r>
        <w:rPr>
          <w:rtl/>
        </w:rPr>
        <w:t>•</w:t>
      </w:r>
      <w:r>
        <w:rPr>
          <w:rFonts w:hint="cs"/>
          <w:rtl/>
        </w:rPr>
        <w:t xml:space="preserve"> ولا يحصل العكس (وهو براءة الأصيل دون الكفيل) إلا على قول عند المالكية، وذلك فيما إذا اشترط رب الدين أنّ حقّه على الكفيل وأبرأ الغريم منه، على أن لهم أقوالاً أخر وإن اشترط المضمون له ذلك.</w:t>
      </w:r>
    </w:p>
    <w:p w:rsidR="00035BE3" w:rsidRDefault="00035BE3" w:rsidP="00C10469">
      <w:pPr>
        <w:pStyle w:val="a6"/>
        <w:ind w:left="422" w:firstLine="0"/>
        <w:rPr>
          <w:rtl/>
        </w:rPr>
      </w:pPr>
      <w:r>
        <w:rPr>
          <w:rFonts w:hint="cs"/>
          <w:rtl/>
        </w:rPr>
        <w:t xml:space="preserve">وقد بين ذلك ابن رشد في (المقدمات الممهدات) -2/380-381- فقال : </w:t>
      </w:r>
      <w:r>
        <w:rPr>
          <w:rFonts w:hint="eastAsia"/>
          <w:rtl/>
        </w:rPr>
        <w:t>«</w:t>
      </w:r>
      <w:r>
        <w:rPr>
          <w:rFonts w:hint="cs"/>
          <w:rtl/>
        </w:rPr>
        <w:t>وكذلك اختُلف - إن اشترط المتحمَّل له على الحميل أنّ حقَّه عليه وأبرأ الغريم :</w:t>
      </w:r>
    </w:p>
    <w:p w:rsidR="00035BE3" w:rsidRDefault="00035BE3" w:rsidP="00C10469">
      <w:pPr>
        <w:pStyle w:val="a6"/>
        <w:ind w:left="422" w:firstLine="0"/>
        <w:rPr>
          <w:rtl/>
        </w:rPr>
      </w:pPr>
      <w:r>
        <w:rPr>
          <w:rFonts w:hint="cs"/>
          <w:rtl/>
        </w:rPr>
        <w:t>- فظاهر قول ابن القاسم - في كتاب الحوالة - أن الشرط جائز ولا رجوع له على الغريم.</w:t>
      </w:r>
    </w:p>
    <w:p w:rsidR="00035BE3" w:rsidRDefault="00035BE3" w:rsidP="00C10469">
      <w:pPr>
        <w:pStyle w:val="a6"/>
        <w:ind w:left="422" w:firstLine="0"/>
        <w:rPr>
          <w:rtl/>
        </w:rPr>
      </w:pPr>
      <w:r>
        <w:rPr>
          <w:rFonts w:hint="cs"/>
          <w:rtl/>
        </w:rPr>
        <w:t>- وروى ابن وهب عن مالك أنه لا رجوع له عليه إلا أن يموت الحميل أو يفلس.</w:t>
      </w:r>
      <w:r>
        <w:rPr>
          <w:rFonts w:hint="cs"/>
          <w:rtl/>
        </w:rPr>
        <w:tab/>
      </w:r>
      <w:r>
        <w:rPr>
          <w:rFonts w:hint="cs"/>
          <w:rtl/>
        </w:rPr>
        <w:tab/>
        <w:t xml:space="preserve"> </w:t>
      </w:r>
    </w:p>
    <w:p w:rsidR="00035BE3" w:rsidRDefault="00035BE3" w:rsidP="00C10469">
      <w:pPr>
        <w:pStyle w:val="a6"/>
        <w:ind w:left="422" w:firstLine="0"/>
        <w:rPr>
          <w:spacing w:val="-4"/>
          <w:rtl/>
        </w:rPr>
      </w:pPr>
      <w:r>
        <w:rPr>
          <w:rFonts w:hint="cs"/>
          <w:spacing w:val="-4"/>
          <w:rtl/>
        </w:rPr>
        <w:t>- وروى مطرب عن مالك في (الواضحة) أن له الرجوع على الغريم إن شاء، ولم يشترط موتًا أو فلسًا.</w:t>
      </w:r>
    </w:p>
    <w:p w:rsidR="00035BE3" w:rsidRDefault="00035BE3" w:rsidP="00C10469">
      <w:pPr>
        <w:pStyle w:val="a6"/>
        <w:ind w:left="422" w:firstLine="0"/>
        <w:rPr>
          <w:spacing w:val="-2"/>
          <w:rtl/>
        </w:rPr>
      </w:pPr>
      <w:r>
        <w:rPr>
          <w:rFonts w:hint="cs"/>
          <w:spacing w:val="-2"/>
          <w:rtl/>
        </w:rPr>
        <w:t>وقال ابن الماجشون: شرطه باطل، ولا يعدى عليه حتى يملأ الغريم؛ لأنها حمالة حتى يسميها حوالة (يقول له: أحَال عليك من حقِّي)، فعند ذلك يكون حقه عليه، ولا يكون له الرجوع على غريمه الأول</w:t>
      </w:r>
      <w:r>
        <w:rPr>
          <w:rFonts w:hint="eastAsia"/>
          <w:spacing w:val="-2"/>
          <w:rtl/>
        </w:rPr>
        <w:t>»</w:t>
      </w:r>
      <w:r>
        <w:rPr>
          <w:rFonts w:hint="cs"/>
          <w:spacing w:val="-2"/>
          <w:rtl/>
        </w:rPr>
        <w:t>.</w:t>
      </w:r>
    </w:p>
  </w:footnote>
  <w:footnote w:id="23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براءة</w:t>
      </w:r>
      <w:r>
        <w:rPr>
          <w:rFonts w:hint="eastAsia"/>
          <w:rtl/>
        </w:rPr>
        <w:t>»</w:t>
      </w:r>
      <w:r>
        <w:rPr>
          <w:rFonts w:hint="cs"/>
          <w:rtl/>
        </w:rPr>
        <w:t>.</w:t>
      </w:r>
    </w:p>
  </w:footnote>
  <w:footnote w:id="236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27/أ من (د).</w:t>
      </w:r>
    </w:p>
  </w:footnote>
  <w:footnote w:id="236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33/أ من (جـ).</w:t>
      </w:r>
    </w:p>
  </w:footnote>
  <w:footnote w:id="236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المصادر الآنف ذكرها في نهاية هامش (4) من ص609.</w:t>
      </w:r>
    </w:p>
  </w:footnote>
  <w:footnote w:id="236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معناه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أنوار البروق للقرافي، 4/12، الفرق 208؛ ترتيب الفروق للبقوري، 2/161؛ تهذيب الفروق لابن حسين، 4/29- ولفظ القرافي: </w:t>
      </w:r>
      <w:r>
        <w:rPr>
          <w:rFonts w:hint="eastAsia"/>
          <w:rtl/>
        </w:rPr>
        <w:t>«</w:t>
      </w:r>
      <w:r>
        <w:rPr>
          <w:rFonts w:hint="cs"/>
          <w:rtl/>
        </w:rPr>
        <w:t>الفرق الثامن والمائتان: بين قاعدة ما يمنع فيه الجهالة، وبين قاعدة ما يشترط فيه الجهالة، بحيث لو فقدت فيه الجهالة فسد</w:t>
      </w:r>
      <w:r>
        <w:rPr>
          <w:rFonts w:hint="eastAsia"/>
          <w:rtl/>
        </w:rPr>
        <w:t>»</w:t>
      </w:r>
      <w:r>
        <w:rPr>
          <w:rFonts w:hint="cs"/>
          <w:rtl/>
        </w:rPr>
        <w:t xml:space="preserve">-؛ القواعد الفقهية للدكتور الندوي، ص58 - ولفظه: </w:t>
      </w:r>
      <w:r>
        <w:rPr>
          <w:rFonts w:hint="eastAsia"/>
          <w:rtl/>
        </w:rPr>
        <w:t>«</w:t>
      </w:r>
      <w:r>
        <w:rPr>
          <w:rFonts w:hint="cs"/>
          <w:rtl/>
        </w:rPr>
        <w:t>كل جهالة تفضي إلى المنازعة فهي مفسدة للعقد</w:t>
      </w:r>
      <w:r>
        <w:rPr>
          <w:rFonts w:hint="eastAsia"/>
          <w:rtl/>
        </w:rPr>
        <w:t>»</w:t>
      </w:r>
      <w:r>
        <w:rPr>
          <w:rFonts w:hint="cs"/>
          <w:rtl/>
        </w:rPr>
        <w:t xml:space="preserve">-؛ القواعد والضوابط المستخلصة من التحرير، ص492، وأحال إلى التحرير، 6/275 - ولفظهما يمثل المفهوم المخالف للقاعدة، ونصُّه: </w:t>
      </w:r>
      <w:r>
        <w:rPr>
          <w:rFonts w:hint="eastAsia"/>
          <w:rtl/>
        </w:rPr>
        <w:t>«</w:t>
      </w:r>
      <w:r>
        <w:rPr>
          <w:rFonts w:hint="cs"/>
          <w:rtl/>
        </w:rPr>
        <w:t>كل جهالة لا تفضي إلى المنازعة لا تمنع جواز العقد</w:t>
      </w:r>
      <w:r>
        <w:rPr>
          <w:rFonts w:hint="eastAsia"/>
          <w:rtl/>
        </w:rPr>
        <w:t>»</w:t>
      </w:r>
      <w:r>
        <w:rPr>
          <w:rFonts w:hint="cs"/>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10"/>
          <w:sz w:val="29"/>
          <w:szCs w:val="29"/>
          <w:rtl/>
        </w:rPr>
      </w:pPr>
      <w:r>
        <w:rPr>
          <w:rFonts w:hint="cs"/>
          <w:spacing w:val="-10"/>
          <w:sz w:val="29"/>
          <w:szCs w:val="29"/>
          <w:rtl/>
        </w:rPr>
        <w:t>المبسوط، 12/131، 13/2، 69، 92، 93، 30/199؛ الهداية وشرحاها العناية وفتح القدير أو نتائج الأفكار، 6/261، 263، 265، 271، 326، 336، 397-398، 452، 7/49، 73، 327، 9/6، 61؛ الدّرر شرح الغرر، 2/145، 146، 147، 155، 157، 167، 232، 258، 396، البحر الرائق، 5/303، 6/75.</w:t>
      </w:r>
    </w:p>
  </w:footnote>
  <w:footnote w:id="23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يحصى</w:t>
      </w:r>
      <w:r>
        <w:rPr>
          <w:rFonts w:hint="eastAsia"/>
          <w:rtl/>
        </w:rPr>
        <w:t>»</w:t>
      </w:r>
      <w:r>
        <w:rPr>
          <w:rFonts w:hint="cs"/>
          <w:rtl/>
        </w:rPr>
        <w:t>. والصحيح ما تمَّ إثباته من (ب).</w:t>
      </w:r>
    </w:p>
  </w:footnote>
  <w:footnote w:id="23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يكن </w:t>
      </w:r>
      <w:r>
        <w:rPr>
          <w:rFonts w:hint="eastAsia"/>
          <w:rtl/>
        </w:rPr>
        <w:t>»</w:t>
      </w:r>
      <w:r>
        <w:rPr>
          <w:rFonts w:hint="cs"/>
          <w:rtl/>
        </w:rPr>
        <w:t xml:space="preserve"> (بالتذكير). ويمكن تأويل هذا بأن اسم يكن محذوف تقديره : (أثرها)، أي إذا لم يكن أثر الجهالة مفضيًا إلى النزاع.</w:t>
      </w:r>
    </w:p>
    <w:p w:rsidR="00035BE3" w:rsidRDefault="00035BE3" w:rsidP="00C10469">
      <w:pPr>
        <w:pStyle w:val="a6"/>
        <w:ind w:left="422" w:firstLine="0"/>
        <w:rPr>
          <w:rtl/>
        </w:rPr>
      </w:pPr>
      <w:r>
        <w:rPr>
          <w:rFonts w:hint="cs"/>
          <w:rtl/>
        </w:rPr>
        <w:t>إلا أن ما تمَّ إثباته من (ب) أظهر دلالة على المراد؛ لأن المتبادر للذهن أن اسم (تكن) ضمير مستتر تقديره (هي) يرجع إلى (الجهالة). فكان حقُّ الفعل (وهو تكن) التأنيث.</w:t>
      </w:r>
    </w:p>
  </w:footnote>
  <w:footnote w:id="23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مفضيًا</w:t>
      </w:r>
      <w:r>
        <w:rPr>
          <w:rFonts w:hint="eastAsia"/>
          <w:rtl/>
        </w:rPr>
        <w:t>»</w:t>
      </w:r>
      <w:r>
        <w:rPr>
          <w:rFonts w:hint="cs"/>
          <w:rtl/>
        </w:rPr>
        <w:t>. والأولى ما تمَّ إثباته من  (ب)؛ للسبب المذكور في الهامش السابق.</w:t>
      </w:r>
    </w:p>
  </w:footnote>
  <w:footnote w:id="23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إليه : أي إلى النـزاع.</w:t>
      </w:r>
    </w:p>
  </w:footnote>
  <w:footnote w:id="23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أو</w:t>
      </w:r>
      <w:r>
        <w:rPr>
          <w:rFonts w:hint="eastAsia"/>
          <w:rtl/>
        </w:rPr>
        <w:t>»</w:t>
      </w:r>
      <w:r>
        <w:rPr>
          <w:rFonts w:hint="cs"/>
          <w:rtl/>
        </w:rPr>
        <w:t>؛ وفاقًا لمصدر هذه العبارة (وهو العناية).</w:t>
      </w:r>
    </w:p>
  </w:footnote>
  <w:footnote w:id="23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زيادة كلمة توضح المعنى، حيث جاء فيها : </w:t>
      </w:r>
      <w:r>
        <w:rPr>
          <w:rFonts w:hint="eastAsia"/>
          <w:rtl/>
        </w:rPr>
        <w:t>«</w:t>
      </w:r>
      <w:r>
        <w:rPr>
          <w:rFonts w:hint="cs"/>
          <w:rtl/>
        </w:rPr>
        <w:t xml:space="preserve">أو </w:t>
      </w:r>
      <w:r>
        <w:rPr>
          <w:rFonts w:hint="cs"/>
          <w:b/>
          <w:bCs/>
          <w:rtl/>
        </w:rPr>
        <w:t>بوزن</w:t>
      </w:r>
      <w:r>
        <w:rPr>
          <w:rFonts w:hint="cs"/>
          <w:rtl/>
        </w:rPr>
        <w:t xml:space="preserve"> حجر بعينه ...</w:t>
      </w:r>
      <w:r>
        <w:rPr>
          <w:rFonts w:hint="eastAsia"/>
          <w:rtl/>
        </w:rPr>
        <w:t>»</w:t>
      </w:r>
      <w:r>
        <w:rPr>
          <w:rFonts w:hint="cs"/>
          <w:rtl/>
        </w:rPr>
        <w:t>.</w:t>
      </w:r>
    </w:p>
  </w:footnote>
  <w:footnote w:id="23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يفضي</w:t>
      </w:r>
      <w:r>
        <w:rPr>
          <w:rFonts w:hint="eastAsia"/>
          <w:rtl/>
        </w:rPr>
        <w:t>»</w:t>
      </w:r>
      <w:r>
        <w:rPr>
          <w:rFonts w:hint="cs"/>
          <w:rtl/>
        </w:rPr>
        <w:t>.  والصحيح ما تمَّ إثباته من (د).</w:t>
      </w:r>
    </w:p>
  </w:footnote>
  <w:footnote w:id="23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6/265 -مع اختلاف في بعض الألفاظ-؛ وانظر : الهداية وفتح القدير، 6/265؛ الدَّرر شرح الغرر، 2/147.</w:t>
      </w:r>
    </w:p>
  </w:footnote>
  <w:footnote w:id="23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43/أ من (أ).</w:t>
      </w:r>
    </w:p>
  </w:footnote>
  <w:footnote w:id="23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أيها</w:t>
      </w:r>
      <w:r>
        <w:rPr>
          <w:rFonts w:hint="eastAsia"/>
          <w:rtl/>
        </w:rPr>
        <w:t>»</w:t>
      </w:r>
      <w:r>
        <w:rPr>
          <w:rFonts w:hint="cs"/>
          <w:rtl/>
        </w:rPr>
        <w:t xml:space="preserve">. وفي مصدر هذه العبارة (وهو العناية) : </w:t>
      </w:r>
      <w:r>
        <w:rPr>
          <w:rFonts w:hint="eastAsia"/>
          <w:rtl/>
        </w:rPr>
        <w:t>«</w:t>
      </w:r>
      <w:r>
        <w:rPr>
          <w:rFonts w:hint="cs"/>
          <w:rtl/>
        </w:rPr>
        <w:t>أيهم</w:t>
      </w:r>
      <w:r>
        <w:rPr>
          <w:rFonts w:hint="eastAsia"/>
          <w:rtl/>
        </w:rPr>
        <w:t>»</w:t>
      </w:r>
      <w:r>
        <w:rPr>
          <w:rFonts w:hint="cs"/>
          <w:rtl/>
        </w:rPr>
        <w:t>.</w:t>
      </w:r>
    </w:p>
  </w:footnote>
  <w:footnote w:id="2379">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الألف زيادة من (هـ) و(و)؛ وفاقًا للعناية. وهي زيادة يحتاج إليها؛ لأن ما بعدها مسألة جديدة وليست تابعة للمسألة التي صدّرها بقوله: </w:t>
      </w:r>
      <w:r>
        <w:rPr>
          <w:rFonts w:hint="eastAsia"/>
          <w:spacing w:val="6"/>
          <w:rtl/>
        </w:rPr>
        <w:t>«</w:t>
      </w:r>
      <w:r>
        <w:rPr>
          <w:rFonts w:hint="cs"/>
          <w:spacing w:val="6"/>
          <w:rtl/>
        </w:rPr>
        <w:t>لو باع العبيد ...</w:t>
      </w:r>
      <w:r>
        <w:rPr>
          <w:rFonts w:hint="eastAsia"/>
          <w:spacing w:val="6"/>
          <w:rtl/>
        </w:rPr>
        <w:t>»</w:t>
      </w:r>
      <w:r>
        <w:rPr>
          <w:rFonts w:hint="cs"/>
          <w:spacing w:val="6"/>
          <w:rtl/>
        </w:rPr>
        <w:t>. وقد صرح المؤلف بأنهما مسألتان في نهاية شرح القاعدة.</w:t>
      </w:r>
    </w:p>
  </w:footnote>
  <w:footnote w:id="23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المنازعة</w:t>
      </w:r>
      <w:r>
        <w:rPr>
          <w:rFonts w:hint="eastAsia"/>
          <w:rtl/>
        </w:rPr>
        <w:t>»</w:t>
      </w:r>
      <w:r>
        <w:rPr>
          <w:rFonts w:hint="cs"/>
          <w:rtl/>
        </w:rPr>
        <w:t>.</w:t>
      </w:r>
    </w:p>
  </w:footnote>
  <w:footnote w:id="23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إلى </w:t>
      </w:r>
      <w:r>
        <w:rPr>
          <w:rFonts w:hint="eastAsia"/>
          <w:rtl/>
        </w:rPr>
        <w:t>»</w:t>
      </w:r>
      <w:r>
        <w:rPr>
          <w:rFonts w:hint="cs"/>
          <w:rtl/>
        </w:rPr>
        <w:t xml:space="preserve"> : زيادة من (ب) و(د)، ولا يستقيم المعنى بدونها.</w:t>
      </w:r>
    </w:p>
  </w:footnote>
  <w:footnote w:id="23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إن </w:t>
      </w:r>
      <w:r>
        <w:rPr>
          <w:rFonts w:hint="eastAsia"/>
          <w:rtl/>
        </w:rPr>
        <w:t>»</w:t>
      </w:r>
      <w:r>
        <w:rPr>
          <w:rFonts w:hint="cs"/>
          <w:rtl/>
        </w:rPr>
        <w:t>. والصحيح ما تمَّ إثباته من (ب) و(د).</w:t>
      </w:r>
    </w:p>
  </w:footnote>
  <w:footnote w:id="23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قلنا : إنا .... باطل</w:t>
      </w:r>
      <w:r>
        <w:rPr>
          <w:rFonts w:hint="eastAsia"/>
          <w:rtl/>
        </w:rPr>
        <w:t>»</w:t>
      </w:r>
      <w:r>
        <w:rPr>
          <w:rFonts w:hint="cs"/>
          <w:rtl/>
        </w:rPr>
        <w:t xml:space="preserve"> : ساقطة من (جـ).</w:t>
      </w:r>
    </w:p>
  </w:footnote>
  <w:footnote w:id="23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و(د) : </w:t>
      </w:r>
      <w:r>
        <w:rPr>
          <w:rFonts w:hint="eastAsia"/>
          <w:rtl/>
        </w:rPr>
        <w:t>«</w:t>
      </w:r>
      <w:r>
        <w:rPr>
          <w:rFonts w:hint="cs"/>
          <w:rtl/>
        </w:rPr>
        <w:t xml:space="preserve"> المقصود </w:t>
      </w:r>
      <w:r>
        <w:rPr>
          <w:rFonts w:hint="eastAsia"/>
          <w:rtl/>
        </w:rPr>
        <w:t>»</w:t>
      </w:r>
      <w:r>
        <w:rPr>
          <w:rFonts w:hint="cs"/>
          <w:rtl/>
        </w:rPr>
        <w:t>.</w:t>
      </w:r>
    </w:p>
  </w:footnote>
  <w:footnote w:id="23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(و) : </w:t>
      </w:r>
      <w:r>
        <w:rPr>
          <w:rFonts w:hint="eastAsia"/>
          <w:rtl/>
        </w:rPr>
        <w:t>«</w:t>
      </w:r>
      <w:r>
        <w:rPr>
          <w:rFonts w:hint="cs"/>
          <w:rtl/>
        </w:rPr>
        <w:t xml:space="preserve"> معين </w:t>
      </w:r>
      <w:r>
        <w:rPr>
          <w:rFonts w:hint="eastAsia"/>
          <w:rtl/>
        </w:rPr>
        <w:t>»</w:t>
      </w:r>
      <w:r>
        <w:rPr>
          <w:rFonts w:hint="cs"/>
          <w:rtl/>
        </w:rPr>
        <w:t>، وفاقًا للعناية. وهذا المناسب.</w:t>
      </w:r>
    </w:p>
  </w:footnote>
  <w:footnote w:id="23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قال المؤلف هنا : الأول، ثم قال بعد ثلاث كلمات : </w:t>
      </w:r>
      <w:r>
        <w:rPr>
          <w:rFonts w:hint="eastAsia"/>
          <w:rtl/>
        </w:rPr>
        <w:t>«</w:t>
      </w:r>
      <w:r>
        <w:rPr>
          <w:rFonts w:hint="cs"/>
          <w:rtl/>
        </w:rPr>
        <w:t>الثانية</w:t>
      </w:r>
      <w:r>
        <w:rPr>
          <w:rFonts w:hint="eastAsia"/>
          <w:rtl/>
        </w:rPr>
        <w:t>»</w:t>
      </w:r>
      <w:r>
        <w:rPr>
          <w:rFonts w:hint="cs"/>
          <w:rtl/>
        </w:rPr>
        <w:t xml:space="preserve"> بتذكير (الأول) وتأنيث (الثانية)، ولو أنَّـثهما معًا لكان أولى؛ وفاقًا للعناية.</w:t>
      </w:r>
    </w:p>
    <w:p w:rsidR="00035BE3" w:rsidRDefault="00035BE3" w:rsidP="00C10469">
      <w:pPr>
        <w:pStyle w:val="a6"/>
        <w:ind w:left="422" w:firstLine="0"/>
        <w:rPr>
          <w:rtl/>
        </w:rPr>
      </w:pPr>
      <w:r>
        <w:rPr>
          <w:rFonts w:hint="cs"/>
          <w:rtl/>
        </w:rPr>
        <w:t xml:space="preserve">علمًا بأن </w:t>
      </w:r>
      <w:r>
        <w:rPr>
          <w:rFonts w:hint="cs"/>
          <w:b/>
          <w:bCs/>
          <w:rtl/>
        </w:rPr>
        <w:t>الأُولى</w:t>
      </w:r>
      <w:r>
        <w:rPr>
          <w:rFonts w:hint="cs"/>
          <w:rtl/>
        </w:rPr>
        <w:t xml:space="preserve"> : يراد بها المسألة الأولى، وهي ما لو باع العبيد الأربعة ...</w:t>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والثانية</w:t>
      </w:r>
      <w:r>
        <w:rPr>
          <w:rFonts w:hint="cs"/>
          <w:rtl/>
        </w:rPr>
        <w:t xml:space="preserve"> : يراد بها المسألة الثانية، وهي ما لو اشترى بأي ثمن شاء ...</w:t>
      </w:r>
    </w:p>
  </w:footnote>
  <w:footnote w:id="23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وجهالة </w:t>
      </w:r>
      <w:r>
        <w:rPr>
          <w:rFonts w:hint="eastAsia"/>
          <w:rtl/>
        </w:rPr>
        <w:t>»</w:t>
      </w:r>
      <w:r>
        <w:rPr>
          <w:rFonts w:hint="cs"/>
          <w:rtl/>
        </w:rPr>
        <w:t>.</w:t>
      </w:r>
    </w:p>
  </w:footnote>
  <w:footnote w:id="23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6/265 -مع اختلاف في بعض الألفاظ وقد سبق بيان بعضها، ويضاف إليها أنه قـال في بداية العبارة : </w:t>
      </w:r>
      <w:r>
        <w:rPr>
          <w:rFonts w:hint="eastAsia"/>
          <w:rtl/>
        </w:rPr>
        <w:t>«</w:t>
      </w:r>
      <w:r>
        <w:rPr>
          <w:rFonts w:hint="cs"/>
          <w:rtl/>
        </w:rPr>
        <w:t>وقيل يشكل على هذا : ما إذا باع ...</w:t>
      </w:r>
      <w:r>
        <w:rPr>
          <w:rFonts w:hint="eastAsia"/>
          <w:rtl/>
        </w:rPr>
        <w:t>»</w:t>
      </w:r>
      <w:r>
        <w:rPr>
          <w:rFonts w:hint="cs"/>
          <w:rtl/>
        </w:rPr>
        <w:t>.</w:t>
      </w:r>
    </w:p>
  </w:footnote>
  <w:footnote w:id="23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نسخ الكتاب، وفي مصدر القاعدة (وهو الدّرر) : </w:t>
      </w:r>
      <w:r>
        <w:rPr>
          <w:rFonts w:hint="eastAsia"/>
          <w:rtl/>
        </w:rPr>
        <w:t>«</w:t>
      </w:r>
      <w:r>
        <w:rPr>
          <w:rFonts w:hint="cs"/>
          <w:rtl/>
        </w:rPr>
        <w:t xml:space="preserve"> لا تعتبر </w:t>
      </w:r>
      <w:r>
        <w:rPr>
          <w:rFonts w:hint="eastAsia"/>
          <w:rtl/>
        </w:rPr>
        <w:t>»</w:t>
      </w:r>
      <w:r>
        <w:rPr>
          <w:rFonts w:hint="cs"/>
          <w:rtl/>
        </w:rPr>
        <w:t xml:space="preserve">. وهذا الأقرب، ويمكن حمل ما جاء في الصّلب بأن المراد : (لا يعتبر تأثيرها) </w:t>
      </w:r>
      <w:r>
        <w:rPr>
          <w:rtl/>
        </w:rPr>
        <w:t>–</w:t>
      </w:r>
      <w:r>
        <w:rPr>
          <w:rFonts w:hint="cs"/>
          <w:rtl/>
        </w:rPr>
        <w:t>والله أعلم-.</w:t>
      </w:r>
    </w:p>
  </w:footnote>
  <w:footnote w:id="23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 مع الاختلاف الآنف ذكره - في الدّرر شرح الغرر، 2/117؛ كما وردت الإشارة إليها في الهداية والعناية ونتائج الأفكار، 10/359 بلفظ : </w:t>
      </w:r>
      <w:r>
        <w:rPr>
          <w:rFonts w:hint="eastAsia"/>
          <w:rtl/>
        </w:rPr>
        <w:t>«</w:t>
      </w:r>
      <w:r>
        <w:rPr>
          <w:rFonts w:hint="cs"/>
          <w:rtl/>
        </w:rPr>
        <w:t>ولا معتبر باختلاف السبب ههنا؛ لأن الحكم لا يختلف</w:t>
      </w:r>
      <w:r>
        <w:rPr>
          <w:rFonts w:hint="eastAsia"/>
          <w:rtl/>
        </w:rPr>
        <w:t>»</w:t>
      </w:r>
      <w:r>
        <w:rPr>
          <w:rFonts w:hint="cs"/>
          <w:rtl/>
        </w:rPr>
        <w:t>.</w:t>
      </w:r>
    </w:p>
    <w:p w:rsidR="00035BE3" w:rsidRDefault="00035BE3" w:rsidP="00C10469">
      <w:pPr>
        <w:pStyle w:val="a6"/>
        <w:ind w:left="422" w:firstLine="0"/>
        <w:rPr>
          <w:rtl/>
        </w:rPr>
      </w:pPr>
      <w:r>
        <w:rPr>
          <w:rFonts w:hint="cs"/>
          <w:rtl/>
        </w:rPr>
        <w:t xml:space="preserve">وقريب منها قاعدة سيأتي الحديث عنها، وهي : </w:t>
      </w:r>
      <w:r>
        <w:rPr>
          <w:rFonts w:hint="eastAsia"/>
          <w:rtl/>
        </w:rPr>
        <w:t>«</w:t>
      </w:r>
      <w:r>
        <w:rPr>
          <w:rFonts w:hint="cs"/>
          <w:rtl/>
        </w:rPr>
        <w:t>لا عبرة لاختلاف السبب مع اتحاد الحكم</w:t>
      </w:r>
      <w:r>
        <w:rPr>
          <w:rFonts w:hint="eastAsia"/>
          <w:rtl/>
        </w:rPr>
        <w:t>»</w:t>
      </w:r>
      <w:r>
        <w:rPr>
          <w:rFonts w:hint="cs"/>
          <w:rtl/>
        </w:rPr>
        <w:t>، وذلك ص983 (ل65/أ)، قاعدة 207.</w:t>
      </w:r>
    </w:p>
  </w:footnote>
  <w:footnote w:id="23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فسرى </w:t>
      </w:r>
      <w:r>
        <w:rPr>
          <w:rFonts w:hint="eastAsia"/>
          <w:rtl/>
        </w:rPr>
        <w:t>»</w:t>
      </w:r>
      <w:r>
        <w:rPr>
          <w:rFonts w:hint="cs"/>
          <w:rtl/>
        </w:rPr>
        <w:t xml:space="preserve"> : ساقطة من (جـ).</w:t>
      </w:r>
    </w:p>
  </w:footnote>
  <w:footnote w:id="23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 xml:space="preserve"> أفيد </w:t>
      </w:r>
      <w:r>
        <w:rPr>
          <w:rFonts w:hint="eastAsia"/>
          <w:rtl/>
        </w:rPr>
        <w:t>»</w:t>
      </w:r>
      <w:r>
        <w:rPr>
          <w:rFonts w:hint="cs"/>
          <w:rtl/>
        </w:rPr>
        <w:t>.</w:t>
      </w:r>
    </w:p>
  </w:footnote>
  <w:footnote w:id="23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ورثة </w:t>
      </w:r>
      <w:r>
        <w:rPr>
          <w:rFonts w:hint="eastAsia"/>
          <w:rtl/>
        </w:rPr>
        <w:t>»</w:t>
      </w:r>
      <w:r>
        <w:rPr>
          <w:rFonts w:hint="cs"/>
          <w:rtl/>
        </w:rPr>
        <w:t xml:space="preserve"> (بالتاء المربوطة).</w:t>
      </w:r>
    </w:p>
  </w:footnote>
  <w:footnote w:id="23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أي : إن كان وارث المعتَق سيده فقط</w:t>
      </w:r>
      <w:r>
        <w:rPr>
          <w:rFonts w:hint="eastAsia"/>
          <w:rtl/>
        </w:rPr>
        <w:t>»</w:t>
      </w:r>
      <w:r>
        <w:rPr>
          <w:rFonts w:hint="cs"/>
          <w:rtl/>
        </w:rPr>
        <w:t>- قاله صاحب الدُّرر شرح الغرر-.</w:t>
      </w:r>
    </w:p>
  </w:footnote>
  <w:footnote w:id="23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فإن اعتبر وقت الجرح </w:t>
      </w:r>
      <w:r>
        <w:rPr>
          <w:rFonts w:hint="eastAsia"/>
          <w:rtl/>
        </w:rPr>
        <w:t>»</w:t>
      </w:r>
      <w:r>
        <w:rPr>
          <w:rFonts w:hint="cs"/>
          <w:rtl/>
        </w:rPr>
        <w:t xml:space="preserve"> : ساقطة من (د).</w:t>
      </w:r>
    </w:p>
  </w:footnote>
  <w:footnote w:id="23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وسبب </w:t>
      </w:r>
      <w:r>
        <w:rPr>
          <w:rFonts w:hint="eastAsia"/>
          <w:rtl/>
        </w:rPr>
        <w:t>»</w:t>
      </w:r>
      <w:r>
        <w:rPr>
          <w:rFonts w:hint="cs"/>
          <w:rtl/>
        </w:rPr>
        <w:t xml:space="preserve"> (بإسقاط هو).</w:t>
      </w:r>
    </w:p>
  </w:footnote>
  <w:footnote w:id="23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يتضمن</w:t>
      </w:r>
      <w:r>
        <w:rPr>
          <w:rFonts w:hint="eastAsia"/>
          <w:rtl/>
        </w:rPr>
        <w:t>»</w:t>
      </w:r>
      <w:r>
        <w:rPr>
          <w:rFonts w:hint="cs"/>
          <w:rtl/>
        </w:rPr>
        <w:t>. والصحيح ما تمّ إثباته من (ب).</w:t>
      </w:r>
    </w:p>
  </w:footnote>
  <w:footnote w:id="2398">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 الدُّرر شرح الغرر، 2/117؛ وانظر أيضًا الهداية وشرحيها: العناية ونتائج الأفكار، 10/356-359.</w:t>
      </w:r>
    </w:p>
  </w:footnote>
  <w:footnote w:id="23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28/ب من (ب).</w:t>
      </w:r>
    </w:p>
  </w:footnote>
  <w:footnote w:id="24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33/ب من (جـ).</w:t>
      </w:r>
    </w:p>
  </w:footnote>
  <w:footnote w:id="24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مقدم </w:t>
      </w:r>
      <w:r>
        <w:rPr>
          <w:rFonts w:hint="eastAsia"/>
          <w:rtl/>
        </w:rPr>
        <w:t>»</w:t>
      </w:r>
      <w:r>
        <w:rPr>
          <w:rFonts w:hint="cs"/>
          <w:rtl/>
        </w:rPr>
        <w:t>.</w:t>
      </w:r>
    </w:p>
  </w:footnote>
  <w:footnote w:id="24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ص476 (ل28/أ - ب)، قاعدة 68.</w:t>
      </w:r>
    </w:p>
  </w:footnote>
  <w:footnote w:id="24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فاعتبرنا</w:t>
      </w:r>
      <w:r>
        <w:rPr>
          <w:rFonts w:hint="eastAsia"/>
          <w:rtl/>
        </w:rPr>
        <w:t>»</w:t>
      </w:r>
      <w:r>
        <w:rPr>
          <w:rFonts w:hint="cs"/>
          <w:rtl/>
        </w:rPr>
        <w:t xml:space="preserve"> (بإسقاط : إن).</w:t>
      </w:r>
    </w:p>
  </w:footnote>
  <w:footnote w:id="24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الفود </w:t>
      </w:r>
      <w:r>
        <w:rPr>
          <w:rFonts w:hint="eastAsia"/>
          <w:rtl/>
        </w:rPr>
        <w:t>»</w:t>
      </w:r>
      <w:r>
        <w:rPr>
          <w:rFonts w:hint="cs"/>
          <w:rtl/>
        </w:rPr>
        <w:t>.</w:t>
      </w:r>
    </w:p>
  </w:footnote>
  <w:footnote w:id="24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زيادة من (جـ) و(هـ) و(و)، ولا يستقيم المعنى بدونها.</w:t>
      </w:r>
    </w:p>
  </w:footnote>
  <w:footnote w:id="24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43/ب من (أ).</w:t>
      </w:r>
    </w:p>
  </w:footnote>
  <w:footnote w:id="24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يُفد </w:t>
      </w:r>
      <w:r>
        <w:rPr>
          <w:rFonts w:hint="eastAsia"/>
          <w:rtl/>
        </w:rPr>
        <w:t>»</w:t>
      </w:r>
      <w:r>
        <w:rPr>
          <w:rFonts w:hint="cs"/>
          <w:rtl/>
        </w:rPr>
        <w:t xml:space="preserve"> (بالفاء)، وقد وردت في (د)، بإهمال النقاط.</w:t>
      </w:r>
    </w:p>
  </w:footnote>
  <w:footnote w:id="24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بالاتفاق بين الإمام أبي حنيفة وصاحبيه.</w:t>
      </w:r>
    </w:p>
  </w:footnote>
  <w:footnote w:id="24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فاستحق </w:t>
      </w:r>
      <w:r>
        <w:rPr>
          <w:rFonts w:hint="eastAsia"/>
          <w:rtl/>
        </w:rPr>
        <w:t>»</w:t>
      </w:r>
      <w:r>
        <w:rPr>
          <w:rFonts w:hint="cs"/>
          <w:rtl/>
        </w:rPr>
        <w:t>.</w:t>
      </w:r>
    </w:p>
  </w:footnote>
  <w:footnote w:id="24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السبب</w:t>
      </w:r>
      <w:r>
        <w:rPr>
          <w:rFonts w:hint="eastAsia"/>
          <w:rtl/>
        </w:rPr>
        <w:t>»</w:t>
      </w:r>
      <w:r>
        <w:rPr>
          <w:rFonts w:hint="cs"/>
          <w:rtl/>
        </w:rPr>
        <w:t>. والصحيح ما تمَّ إثباته من (ب)؛ وهو الموافق لمصدر هذه العبارة (وهو الدُّرر شرح الغرر).</w:t>
      </w:r>
    </w:p>
  </w:footnote>
  <w:footnote w:id="24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27/ب من (د).</w:t>
      </w:r>
    </w:p>
  </w:footnote>
  <w:footnote w:id="24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مصدر هذه العبارة (وهو الدرر). وفي (ب) و(د) و(هـ) و(و) : </w:t>
      </w:r>
      <w:r>
        <w:rPr>
          <w:rFonts w:hint="eastAsia"/>
          <w:rtl/>
        </w:rPr>
        <w:t>«</w:t>
      </w:r>
      <w:r>
        <w:rPr>
          <w:rFonts w:hint="cs"/>
          <w:rtl/>
        </w:rPr>
        <w:t>المفضي</w:t>
      </w:r>
      <w:r>
        <w:rPr>
          <w:rFonts w:hint="eastAsia"/>
          <w:rtl/>
        </w:rPr>
        <w:t>»</w:t>
      </w:r>
      <w:r>
        <w:rPr>
          <w:rFonts w:hint="cs"/>
          <w:rtl/>
        </w:rPr>
        <w:t xml:space="preserve"> (بالفاء) وفي (أ) و(جـ) : يحتمل الأمرين والثاني (وهو المفضي) أقرب. والصحيح (المقضي)؛ وفاقًا للدرر، وأيضًا (الهداية)؛ ولأن هذا ما يستقيم به المعنى، إذْ المعنى أن الذي يقضى له بالقود مجهول؛ لأنه قد يكون السيد أو الوارث أو هما معًا، وحيث جهل من له الحق في القود فإنه يمتنع الحكم به.</w:t>
      </w:r>
    </w:p>
  </w:footnote>
  <w:footnote w:id="24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التقدير : يَمنع حصولُها الحكمَ. علمًا بأنه في (د) : </w:t>
      </w:r>
      <w:r>
        <w:rPr>
          <w:rFonts w:hint="eastAsia"/>
          <w:rtl/>
        </w:rPr>
        <w:t>«</w:t>
      </w:r>
      <w:r>
        <w:rPr>
          <w:rFonts w:hint="cs"/>
          <w:rtl/>
        </w:rPr>
        <w:t>بمنع</w:t>
      </w:r>
      <w:r>
        <w:rPr>
          <w:rFonts w:hint="eastAsia"/>
          <w:rtl/>
        </w:rPr>
        <w:t>»</w:t>
      </w:r>
      <w:r>
        <w:rPr>
          <w:rFonts w:hint="cs"/>
          <w:rtl/>
        </w:rPr>
        <w:t xml:space="preserve">، وفي الدّرر : </w:t>
      </w:r>
      <w:r>
        <w:rPr>
          <w:rFonts w:hint="eastAsia"/>
          <w:rtl/>
        </w:rPr>
        <w:t>«</w:t>
      </w:r>
      <w:r>
        <w:rPr>
          <w:rFonts w:hint="cs"/>
          <w:rtl/>
        </w:rPr>
        <w:t>تمنع</w:t>
      </w:r>
      <w:r>
        <w:rPr>
          <w:rFonts w:hint="eastAsia"/>
          <w:rtl/>
        </w:rPr>
        <w:t>»</w:t>
      </w:r>
      <w:r>
        <w:rPr>
          <w:rFonts w:hint="cs"/>
          <w:rtl/>
        </w:rPr>
        <w:t>، وهذا الأقرب.</w:t>
      </w:r>
    </w:p>
  </w:footnote>
  <w:footnote w:id="24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2/117- مع الاختلاف الذي سبق بيانه، ويضاف إليه أنه قال في بداية العبارة : </w:t>
      </w:r>
      <w:r>
        <w:rPr>
          <w:rFonts w:hint="eastAsia"/>
          <w:rtl/>
        </w:rPr>
        <w:t>«</w:t>
      </w:r>
      <w:r>
        <w:rPr>
          <w:rFonts w:hint="cs"/>
          <w:rtl/>
        </w:rPr>
        <w:t>وإن لم يكن الوارث ...</w:t>
      </w:r>
      <w:r>
        <w:rPr>
          <w:rFonts w:hint="eastAsia"/>
          <w:rtl/>
        </w:rPr>
        <w:t>»</w:t>
      </w:r>
      <w:r>
        <w:rPr>
          <w:rFonts w:hint="cs"/>
          <w:rtl/>
        </w:rPr>
        <w:t>؛ وانظر : الهداية، 10/356.</w:t>
      </w:r>
    </w:p>
  </w:footnote>
  <w:footnote w:id="24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w:t>
      </w:r>
      <w:r>
        <w:rPr>
          <w:rFonts w:hint="eastAsia"/>
          <w:rtl/>
        </w:rPr>
        <w:t>«</w:t>
      </w:r>
      <w:r>
        <w:rPr>
          <w:rFonts w:hint="cs"/>
          <w:rtl/>
        </w:rPr>
        <w:t xml:space="preserve"> يمنع </w:t>
      </w:r>
      <w:r>
        <w:rPr>
          <w:rFonts w:hint="eastAsia"/>
          <w:rtl/>
        </w:rPr>
        <w:t>»</w:t>
      </w:r>
      <w:r>
        <w:rPr>
          <w:rFonts w:hint="cs"/>
          <w:rtl/>
        </w:rPr>
        <w:t xml:space="preserve">، وفي (د): رسم الحرف الأول بالتاء والياء معًا. والصحيح ما تمّ إثباته من (ب)؛ لأن الفاعل ضمير مستتر يعود إلى (جهالة) وهي لفظ مؤنث، فكان حق الفعل أن يؤنث، وممّا </w:t>
      </w:r>
      <w:r w:rsidRPr="00174DF4">
        <w:rPr>
          <w:rFonts w:hint="cs"/>
          <w:spacing w:val="-4"/>
          <w:rtl/>
        </w:rPr>
        <w:t xml:space="preserve">يؤكد أنّ الضمير المستـتر يعود إلى (جهالة) أن المؤلف قال بعد ذلك: </w:t>
      </w:r>
      <w:r w:rsidRPr="00174DF4">
        <w:rPr>
          <w:rFonts w:hint="eastAsia"/>
          <w:spacing w:val="-4"/>
          <w:rtl/>
        </w:rPr>
        <w:t>«</w:t>
      </w:r>
      <w:r w:rsidRPr="00174DF4">
        <w:rPr>
          <w:rFonts w:hint="cs"/>
          <w:spacing w:val="-4"/>
          <w:rtl/>
        </w:rPr>
        <w:t>... لأنها...</w:t>
      </w:r>
      <w:r w:rsidRPr="00174DF4">
        <w:rPr>
          <w:rFonts w:hint="eastAsia"/>
          <w:spacing w:val="-4"/>
          <w:rtl/>
        </w:rPr>
        <w:t>»</w:t>
      </w:r>
      <w:r w:rsidRPr="00174DF4">
        <w:rPr>
          <w:rFonts w:hint="cs"/>
          <w:spacing w:val="-4"/>
          <w:rtl/>
        </w:rPr>
        <w:t xml:space="preserve"> أي لأن الجهالة</w:t>
      </w:r>
    </w:p>
  </w:footnote>
  <w:footnote w:id="24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يفضي</w:t>
      </w:r>
      <w:r>
        <w:rPr>
          <w:rFonts w:hint="eastAsia"/>
          <w:rtl/>
        </w:rPr>
        <w:t>»</w:t>
      </w:r>
      <w:r>
        <w:rPr>
          <w:rFonts w:hint="cs"/>
          <w:rtl/>
        </w:rPr>
        <w:t>. والصحيح ما تمَّ إثباته من (د).</w:t>
      </w:r>
    </w:p>
  </w:footnote>
  <w:footnote w:id="24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بنحو هذا اللفظ في بعض </w:t>
      </w:r>
      <w:r>
        <w:rPr>
          <w:rFonts w:hint="cs"/>
          <w:b/>
          <w:bCs/>
          <w:rtl/>
        </w:rPr>
        <w:t>كتب الفقه</w:t>
      </w:r>
      <w:r>
        <w:rPr>
          <w:rFonts w:hint="cs"/>
          <w:rtl/>
        </w:rPr>
        <w:t>، منها :</w:t>
      </w:r>
    </w:p>
    <w:p w:rsidR="00035BE3" w:rsidRDefault="00035BE3" w:rsidP="00C10469">
      <w:pPr>
        <w:pStyle w:val="a6"/>
        <w:ind w:left="422" w:firstLine="0"/>
        <w:rPr>
          <w:rtl/>
        </w:rPr>
      </w:pPr>
      <w:r>
        <w:rPr>
          <w:rFonts w:hint="cs"/>
          <w:rtl/>
        </w:rPr>
        <w:t xml:space="preserve">الهداية وشروحها : العناية وفتح القدير أو نتائج الأفكار، 7/49، 327، 328، 8/409 - ولفظ الهداية الأول : </w:t>
      </w:r>
      <w:r>
        <w:rPr>
          <w:rFonts w:hint="eastAsia"/>
          <w:rtl/>
        </w:rPr>
        <w:t>«</w:t>
      </w:r>
      <w:r>
        <w:rPr>
          <w:rFonts w:hint="cs"/>
          <w:rtl/>
        </w:rPr>
        <w:t>لأن الجهالة فيما يسقط لا تفضي إلى المنازعة</w:t>
      </w:r>
      <w:r>
        <w:rPr>
          <w:rFonts w:hint="eastAsia"/>
          <w:rtl/>
        </w:rPr>
        <w:t>»</w:t>
      </w:r>
      <w:r>
        <w:rPr>
          <w:rFonts w:hint="cs"/>
          <w:rtl/>
        </w:rPr>
        <w:t xml:space="preserve">، ولفظها الأخير : </w:t>
      </w:r>
      <w:r>
        <w:rPr>
          <w:rFonts w:hint="eastAsia"/>
          <w:rtl/>
        </w:rPr>
        <w:t>«</w:t>
      </w:r>
      <w:r>
        <w:rPr>
          <w:rFonts w:hint="cs"/>
          <w:rtl/>
        </w:rPr>
        <w:t>ويفسده [أي الصلح] جهالة البدل؛ لأنها هي المفضية إلى المنازعة، دون جهالة المصالح عنه؛ لأنه يسقط</w:t>
      </w:r>
      <w:r>
        <w:rPr>
          <w:rFonts w:hint="eastAsia"/>
          <w:rtl/>
        </w:rPr>
        <w:t>»</w:t>
      </w:r>
      <w:r>
        <w:rPr>
          <w:rFonts w:hint="cs"/>
          <w:rtl/>
        </w:rPr>
        <w:t xml:space="preserve">-؛ الدُّرر شرح الغرر، 2/396 - ولفظه : </w:t>
      </w:r>
      <w:r>
        <w:rPr>
          <w:rFonts w:hint="eastAsia"/>
          <w:rtl/>
        </w:rPr>
        <w:t>«</w:t>
      </w:r>
      <w:r>
        <w:rPr>
          <w:rFonts w:hint="cs"/>
          <w:rtl/>
        </w:rPr>
        <w:t>لأن جهالة الساقط لا تفضي إلى المنازعة</w:t>
      </w:r>
      <w:r>
        <w:rPr>
          <w:rFonts w:hint="eastAsia"/>
          <w:rtl/>
        </w:rPr>
        <w:t>»</w:t>
      </w:r>
      <w:r>
        <w:rPr>
          <w:rFonts w:hint="cs"/>
          <w:rtl/>
        </w:rPr>
        <w:t xml:space="preserve">-. وهذه القاعدة تمثّل صورةً من صور المفهوم المخالف لقاعدة سبق أن ذكرها المؤلف، وهي : </w:t>
      </w:r>
      <w:r>
        <w:rPr>
          <w:rFonts w:hint="eastAsia"/>
          <w:rtl/>
        </w:rPr>
        <w:t>«</w:t>
      </w:r>
      <w:r>
        <w:rPr>
          <w:rFonts w:hint="cs"/>
          <w:rtl/>
        </w:rPr>
        <w:t>الجهالة المفضية إلى النـزاع مفسدة للعقد</w:t>
      </w:r>
      <w:r>
        <w:rPr>
          <w:rFonts w:hint="eastAsia"/>
          <w:rtl/>
        </w:rPr>
        <w:t>»</w:t>
      </w:r>
      <w:r>
        <w:rPr>
          <w:rFonts w:hint="cs"/>
          <w:rtl/>
        </w:rPr>
        <w:t>، وذلك ص599 (ل43/أ)، قاعدة 104.</w:t>
      </w:r>
    </w:p>
  </w:footnote>
  <w:footnote w:id="24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 xml:space="preserve"> يفضي </w:t>
      </w:r>
      <w:r>
        <w:rPr>
          <w:rFonts w:hint="eastAsia"/>
          <w:rtl/>
        </w:rPr>
        <w:t>»</w:t>
      </w:r>
      <w:r>
        <w:rPr>
          <w:rFonts w:hint="cs"/>
          <w:rtl/>
        </w:rPr>
        <w:t>. والصحيح ما تمَّ إثباته من (د).</w:t>
      </w:r>
    </w:p>
  </w:footnote>
  <w:footnote w:id="24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المصادر السابقة.</w:t>
      </w:r>
    </w:p>
  </w:footnote>
  <w:footnote w:id="24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الضابط بنحو هذا اللفظ في بعض كتب الفقه الحنفي، منها :</w:t>
      </w:r>
    </w:p>
    <w:p w:rsidR="00035BE3" w:rsidRDefault="00035BE3" w:rsidP="00C10469">
      <w:pPr>
        <w:pStyle w:val="a6"/>
        <w:ind w:left="422" w:firstLine="0"/>
        <w:rPr>
          <w:rtl/>
        </w:rPr>
      </w:pPr>
      <w:r>
        <w:rPr>
          <w:rFonts w:hint="cs"/>
          <w:rtl/>
        </w:rPr>
        <w:t xml:space="preserve">العناية وفتح القدير، 7/183، 184-185، 346- ولفظ فتح القدير : </w:t>
      </w:r>
      <w:r>
        <w:rPr>
          <w:rFonts w:hint="eastAsia"/>
          <w:rtl/>
        </w:rPr>
        <w:t>«</w:t>
      </w:r>
      <w:r>
        <w:rPr>
          <w:rFonts w:hint="cs"/>
          <w:rtl/>
        </w:rPr>
        <w:t>والحاصل أن جهالة المكفول له تمنع صحة الكفالة مطلقًا، وجهالة المكفول به لا تمنعها مطلقًا، وجهالة المكفول عنه في التعليق والإضافة تمنع صحة الكفالة</w:t>
      </w:r>
      <w:r>
        <w:rPr>
          <w:rFonts w:hint="eastAsia"/>
          <w:rtl/>
        </w:rPr>
        <w:t>»</w:t>
      </w:r>
      <w:r>
        <w:rPr>
          <w:rFonts w:hint="cs"/>
          <w:rtl/>
        </w:rPr>
        <w:t xml:space="preserve">-؛ الدَّرر شرح الغرر، 2/299-300، 418- ولفظه الأول : </w:t>
      </w:r>
      <w:r>
        <w:rPr>
          <w:rFonts w:hint="eastAsia"/>
          <w:rtl/>
        </w:rPr>
        <w:t>«</w:t>
      </w:r>
      <w:r>
        <w:rPr>
          <w:rFonts w:hint="cs"/>
          <w:rtl/>
        </w:rPr>
        <w:t>ولا تصحّ بجهالة المكفول عنه وبجهالة المكفول له</w:t>
      </w:r>
      <w:r>
        <w:rPr>
          <w:rFonts w:hint="eastAsia"/>
          <w:rtl/>
        </w:rPr>
        <w:t>»</w:t>
      </w:r>
      <w:r>
        <w:rPr>
          <w:rFonts w:hint="cs"/>
          <w:rtl/>
        </w:rPr>
        <w:t>-؛ تنوير الأبصار وشـرحه : الـدّر الـمختار ورد المحتار عليه، 7/588-589 - ولفظ التنوير كالدّرر-.</w:t>
      </w:r>
    </w:p>
  </w:footnote>
  <w:footnote w:id="2421">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b/>
          <w:bCs/>
          <w:spacing w:val="8"/>
          <w:rtl/>
        </w:rPr>
        <w:t>ذاب في اللغة</w:t>
      </w:r>
      <w:r>
        <w:rPr>
          <w:rFonts w:hint="cs"/>
          <w:spacing w:val="8"/>
          <w:rtl/>
        </w:rPr>
        <w:t xml:space="preserve"> : بمعنى وجب، </w:t>
      </w:r>
      <w:r>
        <w:rPr>
          <w:rFonts w:hint="eastAsia"/>
          <w:spacing w:val="8"/>
          <w:rtl/>
        </w:rPr>
        <w:t>«</w:t>
      </w:r>
      <w:r>
        <w:rPr>
          <w:rFonts w:hint="cs"/>
          <w:spacing w:val="8"/>
          <w:rtl/>
        </w:rPr>
        <w:t>يقولون مجازًا : ذاب لي عليه من المال كذا : أي وجب</w:t>
      </w:r>
      <w:r>
        <w:rPr>
          <w:rFonts w:hint="eastAsia"/>
          <w:spacing w:val="8"/>
          <w:rtl/>
        </w:rPr>
        <w:t>»</w:t>
      </w:r>
      <w:r>
        <w:rPr>
          <w:rFonts w:hint="cs"/>
          <w:spacing w:val="8"/>
          <w:rtl/>
        </w:rPr>
        <w:t xml:space="preserve">. كذا في  المقايـيـس فـي اللـغة، مـادة </w:t>
      </w:r>
      <w:r>
        <w:rPr>
          <w:rFonts w:hint="eastAsia"/>
          <w:spacing w:val="8"/>
          <w:rtl/>
        </w:rPr>
        <w:t>«</w:t>
      </w:r>
      <w:r>
        <w:rPr>
          <w:rFonts w:hint="cs"/>
          <w:spacing w:val="8"/>
          <w:rtl/>
        </w:rPr>
        <w:t>ذوب</w:t>
      </w:r>
      <w:r>
        <w:rPr>
          <w:rFonts w:hint="eastAsia"/>
          <w:spacing w:val="8"/>
          <w:rtl/>
        </w:rPr>
        <w:t>»</w:t>
      </w:r>
      <w:r>
        <w:rPr>
          <w:rFonts w:hint="cs"/>
          <w:spacing w:val="8"/>
          <w:rtl/>
        </w:rPr>
        <w:t xml:space="preserve">، ص390؛ وانـظـر: الـقاموس المحيط، مادة </w:t>
      </w:r>
      <w:r>
        <w:rPr>
          <w:rFonts w:hint="eastAsia"/>
          <w:spacing w:val="8"/>
          <w:rtl/>
        </w:rPr>
        <w:t>«</w:t>
      </w:r>
      <w:r>
        <w:rPr>
          <w:rFonts w:hint="cs"/>
          <w:spacing w:val="8"/>
          <w:rtl/>
        </w:rPr>
        <w:t xml:space="preserve"> ذوب </w:t>
      </w:r>
      <w:r>
        <w:rPr>
          <w:rFonts w:hint="eastAsia"/>
          <w:spacing w:val="8"/>
          <w:rtl/>
        </w:rPr>
        <w:t>»</w:t>
      </w:r>
      <w:r>
        <w:rPr>
          <w:rFonts w:hint="cs"/>
          <w:spacing w:val="8"/>
          <w:rtl/>
        </w:rPr>
        <w:t>، ص110.</w:t>
      </w:r>
    </w:p>
  </w:footnote>
  <w:footnote w:id="24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المكفول له</w:t>
      </w:r>
      <w:r>
        <w:rPr>
          <w:rFonts w:hint="cs"/>
          <w:rtl/>
        </w:rPr>
        <w:t xml:space="preserve"> : هو من ترجع إليه فائدة الكفالة، وهو المدَّعي.</w:t>
      </w:r>
    </w:p>
    <w:p w:rsidR="00035BE3" w:rsidRDefault="00035BE3" w:rsidP="00C10469">
      <w:pPr>
        <w:pStyle w:val="a6"/>
        <w:ind w:left="422" w:firstLine="0"/>
        <w:rPr>
          <w:rtl/>
        </w:rPr>
      </w:pPr>
      <w:r>
        <w:rPr>
          <w:rFonts w:hint="cs"/>
          <w:rtl/>
        </w:rPr>
        <w:t>انظر : الدُّرر شرح الغرر، 2/296.</w:t>
      </w:r>
    </w:p>
  </w:footnote>
  <w:footnote w:id="24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صـورة </w:t>
      </w:r>
      <w:r>
        <w:rPr>
          <w:rFonts w:hint="eastAsia"/>
          <w:rtl/>
        </w:rPr>
        <w:t>»</w:t>
      </w:r>
      <w:r>
        <w:rPr>
          <w:rFonts w:hint="cs"/>
          <w:rtl/>
        </w:rPr>
        <w:t xml:space="preserve"> (بإسـقـاط :أل). وإسـقـاطـها يـجعل الأسلوب ركيكًا؛ لهذا تمَّ إثبات ما في (ب) و(د).</w:t>
      </w:r>
    </w:p>
  </w:footnote>
  <w:footnote w:id="24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الأول </w:t>
      </w:r>
      <w:r>
        <w:rPr>
          <w:rFonts w:hint="eastAsia"/>
          <w:rtl/>
        </w:rPr>
        <w:t>»</w:t>
      </w:r>
      <w:r>
        <w:rPr>
          <w:rFonts w:hint="cs"/>
          <w:rtl/>
        </w:rPr>
        <w:t>.</w:t>
      </w:r>
    </w:p>
  </w:footnote>
  <w:footnote w:id="24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الـمكـفـول عـنـه</w:t>
      </w:r>
      <w:r>
        <w:rPr>
          <w:rFonts w:hint="cs"/>
          <w:rtl/>
        </w:rPr>
        <w:t xml:space="preserve"> : هو </w:t>
      </w:r>
      <w:r>
        <w:rPr>
          <w:rFonts w:hint="eastAsia"/>
          <w:rtl/>
        </w:rPr>
        <w:t>«</w:t>
      </w:r>
      <w:r>
        <w:rPr>
          <w:rFonts w:hint="cs"/>
          <w:rtl/>
        </w:rPr>
        <w:t>المدعى عليه ... ويسمَّى الأصيل أيضًا</w:t>
      </w:r>
      <w:r>
        <w:rPr>
          <w:rFonts w:hint="eastAsia"/>
          <w:rtl/>
        </w:rPr>
        <w:t>»</w:t>
      </w:r>
      <w:r>
        <w:rPr>
          <w:rFonts w:hint="cs"/>
          <w:rtl/>
        </w:rPr>
        <w:t>.</w:t>
      </w:r>
    </w:p>
    <w:p w:rsidR="00035BE3" w:rsidRDefault="00035BE3" w:rsidP="00C10469">
      <w:pPr>
        <w:pStyle w:val="a6"/>
        <w:ind w:left="422" w:firstLine="0"/>
        <w:rPr>
          <w:rtl/>
        </w:rPr>
      </w:pPr>
      <w:r>
        <w:rPr>
          <w:rFonts w:hint="cs"/>
          <w:rtl/>
        </w:rPr>
        <w:t>قاله صاحب الدّرر، 2/296.</w:t>
      </w:r>
    </w:p>
  </w:footnote>
  <w:footnote w:id="24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قيل في هامش (4) يقال هنا.</w:t>
      </w:r>
    </w:p>
  </w:footnote>
  <w:footnote w:id="24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2/300؛ تنوير الأبصار وشرحه : الدّر المختار وردّ المحتار عليه، 7/588-589؛ وانظر أيضًا : فتح القدير، 7/183.</w:t>
      </w:r>
    </w:p>
    <w:p w:rsidR="00035BE3" w:rsidRDefault="00035BE3" w:rsidP="00C10469">
      <w:pPr>
        <w:pStyle w:val="a6"/>
        <w:ind w:left="422" w:firstLine="0"/>
        <w:rPr>
          <w:rtl/>
        </w:rPr>
      </w:pPr>
      <w:r>
        <w:rPr>
          <w:rFonts w:hint="cs"/>
          <w:rtl/>
        </w:rPr>
        <w:t>والعبارة التي ذكرها المؤلف فيها إشكال غير وارد في هذه المصادر. وبيانه :</w:t>
      </w:r>
    </w:p>
    <w:p w:rsidR="00035BE3" w:rsidRDefault="00035BE3" w:rsidP="00C10469">
      <w:pPr>
        <w:pStyle w:val="a6"/>
        <w:ind w:left="422" w:firstLine="0"/>
        <w:rPr>
          <w:spacing w:val="10"/>
          <w:rtl/>
        </w:rPr>
      </w:pPr>
      <w:r>
        <w:rPr>
          <w:rFonts w:hint="cs"/>
          <w:spacing w:val="10"/>
          <w:rtl/>
        </w:rPr>
        <w:t xml:space="preserve">أن مراده بالصورة الأولى : ما عبر عنها بقوله : </w:t>
      </w:r>
      <w:r>
        <w:rPr>
          <w:rFonts w:hint="eastAsia"/>
          <w:spacing w:val="10"/>
          <w:rtl/>
        </w:rPr>
        <w:t>«</w:t>
      </w:r>
      <w:r>
        <w:rPr>
          <w:rFonts w:hint="cs"/>
          <w:spacing w:val="10"/>
          <w:rtl/>
        </w:rPr>
        <w:t>فإذا قال : ما ذاب للناس</w:t>
      </w:r>
      <w:r>
        <w:rPr>
          <w:rFonts w:hint="eastAsia"/>
          <w:spacing w:val="10"/>
          <w:rtl/>
        </w:rPr>
        <w:t>»</w:t>
      </w:r>
      <w:r>
        <w:rPr>
          <w:rFonts w:hint="cs"/>
          <w:spacing w:val="10"/>
          <w:rtl/>
        </w:rPr>
        <w:t>؛ فالمكفول له هنا هو الناس وهو مجهول.</w:t>
      </w:r>
      <w:r>
        <w:rPr>
          <w:rFonts w:hint="cs"/>
          <w:spacing w:val="10"/>
          <w:rtl/>
        </w:rPr>
        <w:tab/>
      </w:r>
      <w:r>
        <w:rPr>
          <w:rFonts w:hint="cs"/>
          <w:spacing w:val="10"/>
          <w:rtl/>
        </w:rPr>
        <w:tab/>
      </w:r>
      <w:r>
        <w:rPr>
          <w:rFonts w:hint="cs"/>
          <w:spacing w:val="10"/>
          <w:rtl/>
        </w:rPr>
        <w:tab/>
      </w:r>
      <w:r>
        <w:rPr>
          <w:rFonts w:hint="cs"/>
          <w:spacing w:val="10"/>
          <w:rtl/>
        </w:rPr>
        <w:tab/>
      </w:r>
      <w:r>
        <w:rPr>
          <w:rFonts w:hint="cs"/>
          <w:spacing w:val="10"/>
          <w:rtl/>
        </w:rPr>
        <w:tab/>
      </w:r>
      <w:r>
        <w:rPr>
          <w:rFonts w:hint="cs"/>
          <w:spacing w:val="10"/>
          <w:rtl/>
        </w:rPr>
        <w:tab/>
      </w:r>
      <w:r>
        <w:rPr>
          <w:rFonts w:hint="cs"/>
          <w:spacing w:val="10"/>
          <w:rtl/>
        </w:rPr>
        <w:tab/>
      </w:r>
      <w:r>
        <w:rPr>
          <w:rFonts w:hint="cs"/>
          <w:spacing w:val="10"/>
          <w:rtl/>
        </w:rPr>
        <w:tab/>
        <w:t xml:space="preserve"> </w:t>
      </w:r>
    </w:p>
    <w:p w:rsidR="00035BE3" w:rsidRDefault="00035BE3" w:rsidP="00C10469">
      <w:pPr>
        <w:pStyle w:val="a6"/>
        <w:spacing w:line="420" w:lineRule="exact"/>
        <w:ind w:left="422" w:firstLine="0"/>
        <w:rPr>
          <w:rtl/>
        </w:rPr>
      </w:pPr>
      <w:r>
        <w:rPr>
          <w:rFonts w:hint="cs"/>
          <w:rtl/>
        </w:rPr>
        <w:t xml:space="preserve">أما الصورة الثانية فيظهر أن مراده بها ما عبّر عنها بقوله : </w:t>
      </w:r>
      <w:r>
        <w:rPr>
          <w:rFonts w:hint="eastAsia"/>
          <w:rtl/>
        </w:rPr>
        <w:t>«</w:t>
      </w:r>
      <w:r>
        <w:rPr>
          <w:rFonts w:hint="cs"/>
          <w:rtl/>
        </w:rPr>
        <w:t>أو لأحد منهم عليك فعليَّ</w:t>
      </w:r>
      <w:r>
        <w:rPr>
          <w:rFonts w:hint="eastAsia"/>
          <w:rtl/>
        </w:rPr>
        <w:t>»</w:t>
      </w:r>
      <w:r>
        <w:rPr>
          <w:rFonts w:hint="cs"/>
          <w:rtl/>
        </w:rPr>
        <w:t xml:space="preserve">، والمكفول عنه هنا هو المخاطب؛ لأنه قال </w:t>
      </w:r>
      <w:r>
        <w:rPr>
          <w:rFonts w:hint="cs"/>
          <w:b/>
          <w:bCs/>
          <w:rtl/>
        </w:rPr>
        <w:t>عليك</w:t>
      </w:r>
      <w:r>
        <w:rPr>
          <w:rFonts w:hint="cs"/>
          <w:rtl/>
        </w:rPr>
        <w:t xml:space="preserve">، ولاشك أن المخاطب معلوم وليس مجهولاً، فكيف يقول: </w:t>
      </w:r>
      <w:r>
        <w:rPr>
          <w:rFonts w:hint="eastAsia"/>
          <w:rtl/>
        </w:rPr>
        <w:t>«</w:t>
      </w:r>
      <w:r>
        <w:rPr>
          <w:rFonts w:hint="cs"/>
          <w:rtl/>
        </w:rPr>
        <w:t>والمكفول عنه في الصورة الثانية مجهول</w:t>
      </w:r>
      <w:r>
        <w:rPr>
          <w:rFonts w:hint="eastAsia"/>
          <w:rtl/>
        </w:rPr>
        <w:t>»</w:t>
      </w:r>
      <w:r>
        <w:rPr>
          <w:rFonts w:hint="cs"/>
          <w:rtl/>
        </w:rPr>
        <w:t xml:space="preserve"> ؟!.</w:t>
      </w:r>
    </w:p>
    <w:p w:rsidR="00035BE3" w:rsidRDefault="00035BE3" w:rsidP="00C10469">
      <w:pPr>
        <w:pStyle w:val="a6"/>
        <w:spacing w:line="420" w:lineRule="exact"/>
        <w:ind w:left="422" w:firstLine="0"/>
        <w:rPr>
          <w:rtl/>
        </w:rPr>
      </w:pPr>
      <w:r>
        <w:rPr>
          <w:rFonts w:hint="cs"/>
          <w:rtl/>
        </w:rPr>
        <w:t xml:space="preserve">وتسلم العبارة من هذا الإشكال لو كانت الصورة الثانية : </w:t>
      </w:r>
      <w:r>
        <w:rPr>
          <w:rFonts w:hint="eastAsia"/>
          <w:rtl/>
        </w:rPr>
        <w:t>«</w:t>
      </w:r>
      <w:r>
        <w:rPr>
          <w:rFonts w:hint="cs"/>
          <w:rtl/>
        </w:rPr>
        <w:t>أو لك على أحد منهم فعليَّ</w:t>
      </w:r>
      <w:r>
        <w:rPr>
          <w:rFonts w:hint="eastAsia"/>
          <w:rtl/>
        </w:rPr>
        <w:t>»</w:t>
      </w:r>
      <w:r>
        <w:rPr>
          <w:rFonts w:hint="cs"/>
          <w:rtl/>
        </w:rPr>
        <w:t>.</w:t>
      </w:r>
    </w:p>
    <w:p w:rsidR="00035BE3" w:rsidRDefault="00035BE3" w:rsidP="00C10469">
      <w:pPr>
        <w:pStyle w:val="a6"/>
        <w:spacing w:line="420" w:lineRule="exact"/>
        <w:ind w:left="422" w:firstLine="0"/>
        <w:rPr>
          <w:rtl/>
        </w:rPr>
      </w:pPr>
      <w:r>
        <w:rPr>
          <w:rFonts w:hint="cs"/>
          <w:rtl/>
        </w:rPr>
        <w:t xml:space="preserve">ويشهد لذلك ما جاء في الدّرر شرح الغرر، 2/299-300 : </w:t>
      </w:r>
      <w:r>
        <w:rPr>
          <w:rFonts w:hint="eastAsia"/>
          <w:rtl/>
        </w:rPr>
        <w:t>«</w:t>
      </w:r>
      <w:r>
        <w:rPr>
          <w:rFonts w:hint="cs"/>
          <w:rtl/>
        </w:rPr>
        <w:t>ولا تصح أيضًا بجهالة المكفول عنه، وبجهالة المكفول له. الأول نحو : ما ذاب لك على الناس، أو أحد منهم فعليَّ. والثاني نحو : ما ذاب للناس أو أحد منهم عليك فعليَّ ...</w:t>
      </w:r>
      <w:r>
        <w:rPr>
          <w:rFonts w:hint="eastAsia"/>
          <w:rtl/>
        </w:rPr>
        <w:t>»</w:t>
      </w:r>
      <w:r>
        <w:rPr>
          <w:rFonts w:hint="cs"/>
          <w:rtl/>
        </w:rPr>
        <w:t>.</w:t>
      </w:r>
    </w:p>
  </w:footnote>
  <w:footnote w:id="24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أي : لم يؤخذ منهم كفيل بالنفس</w:t>
      </w:r>
      <w:r>
        <w:rPr>
          <w:rFonts w:hint="eastAsia"/>
          <w:rtl/>
        </w:rPr>
        <w:t>»</w:t>
      </w:r>
      <w:r>
        <w:rPr>
          <w:rFonts w:hint="cs"/>
          <w:rtl/>
        </w:rPr>
        <w:t>- قاله صاحب الدُّرر، 2/418-.</w:t>
      </w:r>
    </w:p>
  </w:footnote>
  <w:footnote w:id="24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وهو الوارث الذي يحتمل أن يكون موجودًا إلاَّ أنه غائب، وكذلك الغريم.</w:t>
      </w:r>
    </w:p>
  </w:footnote>
  <w:footnote w:id="24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جاز</w:t>
      </w:r>
      <w:r>
        <w:rPr>
          <w:rFonts w:hint="eastAsia"/>
          <w:rtl/>
        </w:rPr>
        <w:t>»</w:t>
      </w:r>
      <w:r>
        <w:rPr>
          <w:rFonts w:hint="cs"/>
          <w:rtl/>
        </w:rPr>
        <w:t>.</w:t>
      </w:r>
    </w:p>
  </w:footnote>
  <w:footnote w:id="24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أي : لا يُدفع إليهم [الإرث] حتى يُكفَلوا</w:t>
      </w:r>
      <w:r>
        <w:rPr>
          <w:rFonts w:hint="eastAsia"/>
          <w:rtl/>
        </w:rPr>
        <w:t>»</w:t>
      </w:r>
      <w:r>
        <w:rPr>
          <w:rFonts w:hint="cs"/>
          <w:rtl/>
        </w:rPr>
        <w:t>- قاله صاحب فتح القدير، 7/344-.</w:t>
      </w:r>
    </w:p>
  </w:footnote>
  <w:footnote w:id="2432">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szCs w:val="29"/>
          <w:rtl/>
        </w:rPr>
        <w:t>أي : مسؤول عن الأمور المتوقّعة مستقبلاً في الدعوى - والله أعلم-. وانظر معنى (ناظر) في معجم لغة الفقهاء، ص442. كما سبق بيان معناها، ص38.</w:t>
      </w:r>
    </w:p>
  </w:footnote>
  <w:footnote w:id="24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وشرحيها : العناية وفتح القدير، 7/344-345؛ الدّرر شرح الغرر، 2/418.</w:t>
      </w:r>
    </w:p>
  </w:footnote>
  <w:footnote w:id="24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(بدون إثبات الألف). والصحيح : (بحثًا)؛ لأنها اسم أنَّ منصوب.</w:t>
      </w:r>
    </w:p>
  </w:footnote>
  <w:footnote w:id="24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إذْ</w:t>
      </w:r>
      <w:r>
        <w:rPr>
          <w:rFonts w:hint="eastAsia"/>
          <w:rtl/>
        </w:rPr>
        <w:t>»</w:t>
      </w:r>
      <w:r>
        <w:rPr>
          <w:rFonts w:hint="cs"/>
          <w:rtl/>
        </w:rPr>
        <w:t>. والصحيح ما تمَّ إثباته من باقي النسخ.</w:t>
      </w:r>
    </w:p>
  </w:footnote>
  <w:footnote w:id="24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تدفع </w:t>
      </w:r>
      <w:r>
        <w:rPr>
          <w:rFonts w:hint="eastAsia"/>
          <w:rtl/>
        </w:rPr>
        <w:t>»</w:t>
      </w:r>
      <w:r>
        <w:rPr>
          <w:rFonts w:hint="cs"/>
          <w:rtl/>
        </w:rPr>
        <w:t xml:space="preserve">، وفي (جـ) : </w:t>
      </w:r>
      <w:r>
        <w:rPr>
          <w:rFonts w:hint="eastAsia"/>
          <w:rtl/>
        </w:rPr>
        <w:t>«</w:t>
      </w:r>
      <w:r>
        <w:rPr>
          <w:rFonts w:hint="cs"/>
          <w:rtl/>
        </w:rPr>
        <w:t xml:space="preserve"> برفع </w:t>
      </w:r>
      <w:r>
        <w:rPr>
          <w:rFonts w:hint="eastAsia"/>
          <w:rtl/>
        </w:rPr>
        <w:t>»</w:t>
      </w:r>
      <w:r>
        <w:rPr>
          <w:rFonts w:hint="cs"/>
          <w:rtl/>
        </w:rPr>
        <w:t xml:space="preserve">، وفي (د) : </w:t>
      </w:r>
      <w:r>
        <w:rPr>
          <w:rFonts w:hint="eastAsia"/>
          <w:rtl/>
        </w:rPr>
        <w:t>«</w:t>
      </w:r>
      <w:r>
        <w:rPr>
          <w:rFonts w:hint="cs"/>
          <w:rtl/>
        </w:rPr>
        <w:t xml:space="preserve"> بدفع </w:t>
      </w:r>
      <w:r>
        <w:rPr>
          <w:rFonts w:hint="eastAsia"/>
          <w:rtl/>
        </w:rPr>
        <w:t>»</w:t>
      </w:r>
      <w:r>
        <w:rPr>
          <w:rFonts w:hint="cs"/>
          <w:rtl/>
        </w:rPr>
        <w:t>.</w:t>
      </w:r>
    </w:p>
  </w:footnote>
  <w:footnote w:id="24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44/أ من (أ).</w:t>
      </w:r>
    </w:p>
  </w:footnote>
  <w:footnote w:id="24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(و)، ولا يستقيم المعنى بدونها، وقد وردت أيضًا في (هـ) إلا أنها بالباء (وبكفل).</w:t>
      </w:r>
    </w:p>
  </w:footnote>
  <w:footnote w:id="24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وهو وارث أو ورثة آخرون يحتمل وجودهم.</w:t>
      </w:r>
    </w:p>
  </w:footnote>
  <w:footnote w:id="24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وفتح القدير، 7/344، 345، 346.</w:t>
      </w:r>
    </w:p>
  </w:footnote>
  <w:footnote w:id="24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34/أ من (جـ).</w:t>
      </w:r>
    </w:p>
  </w:footnote>
  <w:footnote w:id="24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يتثبت </w:t>
      </w:r>
      <w:r>
        <w:rPr>
          <w:rFonts w:hint="eastAsia"/>
          <w:rtl/>
        </w:rPr>
        <w:t>»</w:t>
      </w:r>
      <w:r>
        <w:rPr>
          <w:rFonts w:hint="cs"/>
          <w:rtl/>
        </w:rPr>
        <w:t>.</w:t>
      </w:r>
    </w:p>
  </w:footnote>
  <w:footnote w:id="24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ذكرها المؤلف عرضًا، ص588 (ل41/أ)، وتمَّ توثيقها مفصلة هناك.</w:t>
      </w:r>
    </w:p>
  </w:footnote>
  <w:footnote w:id="24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فكا </w:t>
      </w:r>
      <w:r>
        <w:rPr>
          <w:rFonts w:hint="eastAsia"/>
          <w:rtl/>
        </w:rPr>
        <w:t>»</w:t>
      </w:r>
      <w:r>
        <w:rPr>
          <w:rFonts w:hint="cs"/>
          <w:rtl/>
        </w:rPr>
        <w:t xml:space="preserve"> (بإسقاط النون).</w:t>
      </w:r>
    </w:p>
  </w:footnote>
  <w:footnote w:id="24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7/346 - مع اختلاف في بعض الألفاظ، وأهمه أنه لم يذكر قاعدة : </w:t>
      </w:r>
      <w:r>
        <w:rPr>
          <w:rFonts w:hint="eastAsia"/>
          <w:rtl/>
        </w:rPr>
        <w:t>«</w:t>
      </w:r>
      <w:r>
        <w:rPr>
          <w:rFonts w:hint="cs"/>
          <w:rtl/>
        </w:rPr>
        <w:t xml:space="preserve">الإقرار حجة قاصرة </w:t>
      </w:r>
      <w:r>
        <w:rPr>
          <w:rFonts w:hint="eastAsia"/>
          <w:rtl/>
        </w:rPr>
        <w:t>»</w:t>
      </w:r>
      <w:r>
        <w:rPr>
          <w:rFonts w:hint="cs"/>
          <w:rtl/>
        </w:rPr>
        <w:t xml:space="preserve"> هنا، إنما ذكرها ص344.</w:t>
      </w:r>
    </w:p>
  </w:footnote>
  <w:footnote w:id="24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 xml:space="preserve"> عبد </w:t>
      </w:r>
      <w:r>
        <w:rPr>
          <w:rFonts w:hint="eastAsia"/>
          <w:rtl/>
        </w:rPr>
        <w:t>»</w:t>
      </w:r>
      <w:r>
        <w:rPr>
          <w:rFonts w:hint="cs"/>
          <w:rtl/>
        </w:rPr>
        <w:t xml:space="preserve"> (بإسقاط أل). وإسقاطها يجعل المعنى مختلفًا؛ لهذا تمَّ إثبات ما في (ب) و(جـ)؛ وفاقًا لمصدر هذه العبارة (وهو العناية).</w:t>
      </w:r>
    </w:p>
  </w:footnote>
  <w:footnote w:id="24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29/أ من (ب).</w:t>
      </w:r>
    </w:p>
  </w:footnote>
  <w:footnote w:id="24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7/345 - إلا أنه قال في بداية العبارة : </w:t>
      </w:r>
      <w:r>
        <w:rPr>
          <w:rFonts w:hint="eastAsia"/>
          <w:rtl/>
        </w:rPr>
        <w:t>«</w:t>
      </w:r>
      <w:r>
        <w:rPr>
          <w:rFonts w:hint="cs"/>
          <w:rtl/>
        </w:rPr>
        <w:t>كما إذا دفع القاضي العبد الآبق و...</w:t>
      </w:r>
      <w:r>
        <w:rPr>
          <w:rFonts w:hint="eastAsia"/>
          <w:rtl/>
        </w:rPr>
        <w:t>»</w:t>
      </w:r>
      <w:r>
        <w:rPr>
          <w:rFonts w:hint="cs"/>
          <w:rtl/>
        </w:rPr>
        <w:t>؛ وانظر : الهداية وفتح القدير، 7/345-346.</w:t>
      </w:r>
    </w:p>
  </w:footnote>
  <w:footnote w:id="24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(هـ) و(و) (يعترفان)، وفي (جـ): </w:t>
      </w:r>
      <w:r>
        <w:rPr>
          <w:rFonts w:hint="eastAsia"/>
          <w:rtl/>
        </w:rPr>
        <w:t>«</w:t>
      </w:r>
      <w:r>
        <w:rPr>
          <w:rFonts w:hint="cs"/>
          <w:rtl/>
        </w:rPr>
        <w:t>يعتبر فان</w:t>
      </w:r>
      <w:r>
        <w:rPr>
          <w:rFonts w:hint="eastAsia"/>
          <w:rtl/>
        </w:rPr>
        <w:t>»</w:t>
      </w:r>
      <w:r>
        <w:rPr>
          <w:rFonts w:hint="cs"/>
          <w:rtl/>
        </w:rPr>
        <w:t xml:space="preserve">، وفي (أ) : </w:t>
      </w:r>
      <w:r>
        <w:rPr>
          <w:rFonts w:hint="eastAsia"/>
          <w:rtl/>
        </w:rPr>
        <w:t>«</w:t>
      </w:r>
      <w:r>
        <w:rPr>
          <w:rFonts w:hint="cs"/>
          <w:rtl/>
        </w:rPr>
        <w:t xml:space="preserve"> يعتر </w:t>
      </w:r>
      <w:r>
        <w:rPr>
          <w:rFonts w:hint="eastAsia"/>
          <w:rtl/>
        </w:rPr>
        <w:t>»</w:t>
      </w:r>
      <w:r>
        <w:rPr>
          <w:rFonts w:hint="cs"/>
          <w:rtl/>
        </w:rPr>
        <w:t xml:space="preserve"> (بـإسقاط: فان)، وفي (ب) : </w:t>
      </w:r>
      <w:r>
        <w:rPr>
          <w:rFonts w:hint="eastAsia"/>
          <w:rtl/>
        </w:rPr>
        <w:t>«</w:t>
      </w:r>
      <w:r>
        <w:rPr>
          <w:rFonts w:hint="cs"/>
          <w:rtl/>
        </w:rPr>
        <w:t xml:space="preserve"> يعبد </w:t>
      </w:r>
      <w:r>
        <w:rPr>
          <w:rFonts w:hint="eastAsia"/>
          <w:rtl/>
        </w:rPr>
        <w:t>»</w:t>
      </w:r>
      <w:r>
        <w:rPr>
          <w:rFonts w:hint="cs"/>
          <w:rtl/>
        </w:rPr>
        <w:t xml:space="preserve">، وفي (د) : </w:t>
      </w:r>
      <w:r>
        <w:rPr>
          <w:rFonts w:hint="eastAsia"/>
          <w:rtl/>
        </w:rPr>
        <w:t>«</w:t>
      </w:r>
      <w:r>
        <w:rPr>
          <w:rFonts w:hint="cs"/>
          <w:rtl/>
        </w:rPr>
        <w:t xml:space="preserve"> تعد </w:t>
      </w:r>
      <w:r>
        <w:rPr>
          <w:rFonts w:hint="eastAsia"/>
          <w:rtl/>
        </w:rPr>
        <w:t>»</w:t>
      </w:r>
      <w:r>
        <w:rPr>
          <w:rFonts w:hint="cs"/>
          <w:rtl/>
        </w:rPr>
        <w:t>. والصحيح ما تمَّ اثباته من (هـ) و(و).</w:t>
      </w:r>
    </w:p>
  </w:footnote>
  <w:footnote w:id="24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فلّما ثبت </w:t>
      </w:r>
      <w:r>
        <w:rPr>
          <w:rFonts w:hint="eastAsia"/>
          <w:rtl/>
        </w:rPr>
        <w:t>»</w:t>
      </w:r>
      <w:r>
        <w:rPr>
          <w:rFonts w:hint="cs"/>
          <w:rtl/>
        </w:rPr>
        <w:t>.</w:t>
      </w:r>
    </w:p>
  </w:footnote>
  <w:footnote w:id="24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كالمسألة </w:t>
      </w:r>
      <w:r>
        <w:rPr>
          <w:rFonts w:hint="eastAsia"/>
          <w:rtl/>
        </w:rPr>
        <w:t>»</w:t>
      </w:r>
      <w:r>
        <w:rPr>
          <w:rFonts w:hint="cs"/>
          <w:rtl/>
        </w:rPr>
        <w:t xml:space="preserve"> : ساقطة من (جـ).</w:t>
      </w:r>
    </w:p>
  </w:footnote>
  <w:footnote w:id="24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وهي المذكورة ص607، والتي صدرّها المؤلف بقوله : </w:t>
      </w:r>
      <w:r>
        <w:rPr>
          <w:rFonts w:hint="eastAsia"/>
          <w:rtl/>
        </w:rPr>
        <w:t>«</w:t>
      </w:r>
      <w:r>
        <w:rPr>
          <w:rFonts w:hint="cs"/>
          <w:rtl/>
        </w:rPr>
        <w:t>إذا ادعى رجل دارًا في يد آخر أنها لأبيه...</w:t>
      </w:r>
      <w:r>
        <w:rPr>
          <w:rFonts w:hint="eastAsia"/>
          <w:rtl/>
        </w:rPr>
        <w:t>»</w:t>
      </w:r>
      <w:r>
        <w:rPr>
          <w:rFonts w:hint="cs"/>
          <w:rtl/>
        </w:rPr>
        <w:t>.</w:t>
      </w:r>
    </w:p>
  </w:footnote>
  <w:footnote w:id="24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كثير من </w:t>
      </w:r>
      <w:r>
        <w:rPr>
          <w:rFonts w:hint="cs"/>
          <w:b/>
          <w:bCs/>
          <w:rtl/>
        </w:rPr>
        <w:t>كتب القواعد الفقهية</w:t>
      </w:r>
      <w:r>
        <w:rPr>
          <w:rFonts w:hint="cs"/>
          <w:rtl/>
        </w:rPr>
        <w:t>، منها :</w:t>
      </w:r>
    </w:p>
    <w:p w:rsidR="00035BE3" w:rsidRDefault="00035BE3" w:rsidP="00C10469">
      <w:pPr>
        <w:pStyle w:val="a6"/>
        <w:ind w:left="422" w:firstLine="0"/>
        <w:rPr>
          <w:spacing w:val="8"/>
          <w:rtl/>
        </w:rPr>
      </w:pPr>
      <w:r>
        <w:rPr>
          <w:rFonts w:hint="cs"/>
          <w:spacing w:val="8"/>
          <w:rtl/>
        </w:rPr>
        <w:t xml:space="preserve">الأشباه والنظائر لابن الوكيل، 2/370 -ولفظه : </w:t>
      </w:r>
      <w:r>
        <w:rPr>
          <w:rFonts w:hint="eastAsia"/>
          <w:spacing w:val="8"/>
          <w:rtl/>
        </w:rPr>
        <w:t>«</w:t>
      </w:r>
      <w:r>
        <w:rPr>
          <w:rFonts w:hint="cs"/>
          <w:spacing w:val="8"/>
          <w:rtl/>
        </w:rPr>
        <w:t>الحاجة العامة تنزل منزلة الضرورة الخاصة في صور ...</w:t>
      </w:r>
      <w:r>
        <w:rPr>
          <w:rFonts w:hint="eastAsia"/>
          <w:spacing w:val="8"/>
          <w:rtl/>
        </w:rPr>
        <w:t xml:space="preserve"> »</w:t>
      </w:r>
      <w:r>
        <w:rPr>
          <w:rFonts w:hint="cs"/>
          <w:spacing w:val="8"/>
          <w:rtl/>
        </w:rPr>
        <w:t xml:space="preserve">-؛ المنثور للزركشي، 2/24- ولفظه : </w:t>
      </w:r>
      <w:r>
        <w:rPr>
          <w:rFonts w:hint="eastAsia"/>
          <w:spacing w:val="8"/>
          <w:rtl/>
        </w:rPr>
        <w:t>«</w:t>
      </w:r>
      <w:r>
        <w:rPr>
          <w:rFonts w:hint="cs"/>
          <w:spacing w:val="8"/>
          <w:rtl/>
        </w:rPr>
        <w:t>الحاجة العامة تنزل منزلة الضرورة الخاصة في حق آحاد الناس</w:t>
      </w:r>
      <w:r>
        <w:rPr>
          <w:rFonts w:hint="eastAsia"/>
          <w:spacing w:val="8"/>
          <w:rtl/>
        </w:rPr>
        <w:t>»</w:t>
      </w:r>
      <w:r>
        <w:rPr>
          <w:rFonts w:hint="cs"/>
          <w:spacing w:val="8"/>
          <w:rtl/>
        </w:rPr>
        <w:t>-؛ الأشباه والنظائر لابن الملقن، 2/346 - ولفظه كلفظ أشباه ابن الوكيل-؛ وللسيوطي، 1/218؛ ولابن نجيم، ص114؛ غمز عيون البصائر، 1/293؛ الفرائد البهية وشرحاها : الأقمار المضيئة، ص123؛ والمواهب السنية وحاشيتها : الفوائد الجنية، 1/284 - ولفظ الفرائد :</w:t>
      </w:r>
    </w:p>
    <w:p w:rsidR="00035BE3" w:rsidRDefault="00035BE3" w:rsidP="00C10469">
      <w:pPr>
        <w:pStyle w:val="a6"/>
        <w:ind w:left="422" w:firstLine="0"/>
        <w:jc w:val="center"/>
        <w:rPr>
          <w:b/>
          <w:bCs/>
          <w:rtl/>
        </w:rPr>
      </w:pPr>
      <w:r>
        <w:rPr>
          <w:rFonts w:hint="cs"/>
          <w:b/>
          <w:bCs/>
          <w:rtl/>
        </w:rPr>
        <w:t>خــاتـمـة : والـحاجـة الـمشهـورة</w:t>
      </w:r>
      <w:r>
        <w:rPr>
          <w:rFonts w:hint="cs"/>
          <w:b/>
          <w:bCs/>
          <w:rtl/>
        </w:rPr>
        <w:tab/>
        <w:t xml:space="preserve">     قـد نـزلـت مـنـزلـة الضـرورة-؛</w:t>
      </w:r>
    </w:p>
    <w:p w:rsidR="00035BE3" w:rsidRDefault="00035BE3" w:rsidP="00C10469">
      <w:pPr>
        <w:pStyle w:val="a6"/>
        <w:ind w:left="422" w:firstLine="0"/>
        <w:rPr>
          <w:spacing w:val="8"/>
          <w:rtl/>
        </w:rPr>
      </w:pPr>
      <w:r>
        <w:rPr>
          <w:rFonts w:hint="cs"/>
          <w:spacing w:val="8"/>
          <w:rtl/>
        </w:rPr>
        <w:t xml:space="preserve">مجلة الأحكام العدليـة، مادة 32؛ شرحها لسليـم رستم، 1/33؛ ولعلي حيدر، 1/38؛ وللأتـاسي، 1/75؛ وشرح قواعدها للزرقا، ص209؛ قواعد الفقه للمجدّدي، ص75، قاعدة 108؛ المدخل الفقهي العام، 2/997، فقرة 603؛ القواعد الفقهية للدكتور علي الندوي، ص142، 143، 233- ولفظه الثاني : </w:t>
      </w:r>
      <w:r>
        <w:rPr>
          <w:rFonts w:hint="eastAsia"/>
          <w:spacing w:val="8"/>
          <w:rtl/>
        </w:rPr>
        <w:t>«</w:t>
      </w:r>
      <w:r>
        <w:rPr>
          <w:rFonts w:hint="cs"/>
          <w:spacing w:val="8"/>
          <w:rtl/>
        </w:rPr>
        <w:t>الحاجة في حق آحاد الناس كافة تنزل منزلة الضرورة في حق الواحد المضطر</w:t>
      </w:r>
      <w:r>
        <w:rPr>
          <w:rFonts w:hint="eastAsia"/>
          <w:spacing w:val="8"/>
          <w:rtl/>
        </w:rPr>
        <w:t>»</w:t>
      </w:r>
      <w:r>
        <w:rPr>
          <w:rFonts w:hint="cs"/>
          <w:spacing w:val="8"/>
          <w:rtl/>
        </w:rPr>
        <w:t>-؛ الوجيز، ص183؛ موسوعة القواعد الفقهية، 1/78- ولفظه كلفظ الدكتور علي الندوي-؛ القواعد الفقهية الكبرى لشيخنا أ.د. صالح السدلان، ص286؛ تطبيقات القواعد والضوابط للدكتور سعود الغـديان، ص1139؛ المدخل إلى القواعد الفقهية للدكتور الحريري، ص106؛ المبادئ الفقهية، ص27؛ القواعد الفقهية للدّعاس، ص45؛ وللدكتور محمد الزحيلي، ص69.</w:t>
      </w:r>
    </w:p>
    <w:p w:rsidR="00035BE3" w:rsidRDefault="00035BE3" w:rsidP="00C10469">
      <w:pPr>
        <w:pStyle w:val="a6"/>
        <w:ind w:left="422" w:firstLine="0"/>
        <w:rPr>
          <w:rtl/>
        </w:rPr>
      </w:pPr>
      <w:r>
        <w:rPr>
          <w:rFonts w:hint="cs"/>
          <w:b/>
          <w:bCs/>
          <w:rtl/>
        </w:rPr>
        <w:t>كما وردت أيضًا في البرهان للجويني</w:t>
      </w:r>
      <w:r>
        <w:rPr>
          <w:rFonts w:hint="cs"/>
          <w:rtl/>
        </w:rPr>
        <w:t xml:space="preserve">، 2/606، فقرة 910 - ولفظه : </w:t>
      </w:r>
      <w:r>
        <w:rPr>
          <w:rFonts w:hint="eastAsia"/>
          <w:rtl/>
        </w:rPr>
        <w:t>«</w:t>
      </w:r>
      <w:r>
        <w:rPr>
          <w:rFonts w:hint="cs"/>
          <w:rtl/>
        </w:rPr>
        <w:t>الحاجة العامة تنـزل منـزلة الضرورة الخاصة في حق آحاد الأشخاص</w:t>
      </w:r>
      <w:r>
        <w:rPr>
          <w:rFonts w:hint="eastAsia"/>
          <w:rtl/>
        </w:rPr>
        <w:t>»</w:t>
      </w:r>
      <w:r>
        <w:rPr>
          <w:rFonts w:hint="cs"/>
          <w:rtl/>
        </w:rPr>
        <w:t>-.</w:t>
      </w:r>
    </w:p>
  </w:footnote>
  <w:footnote w:id="24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نـهاية 28/أ من (د).</w:t>
      </w:r>
    </w:p>
  </w:footnote>
  <w:footnote w:id="24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اختلفا </w:t>
      </w:r>
      <w:r>
        <w:rPr>
          <w:rFonts w:hint="eastAsia"/>
          <w:rtl/>
        </w:rPr>
        <w:t>»</w:t>
      </w:r>
      <w:r>
        <w:rPr>
          <w:rFonts w:hint="cs"/>
          <w:rtl/>
        </w:rPr>
        <w:t xml:space="preserve">. </w:t>
      </w:r>
    </w:p>
  </w:footnote>
  <w:footnote w:id="24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ضمان الدَّرْك</w:t>
      </w:r>
      <w:r>
        <w:rPr>
          <w:rFonts w:hint="cs"/>
          <w:rtl/>
        </w:rPr>
        <w:t xml:space="preserve"> : الضمان سبق بيان معناه، ص351، 364. </w:t>
      </w:r>
    </w:p>
    <w:p w:rsidR="00035BE3" w:rsidRDefault="00035BE3" w:rsidP="00C10469">
      <w:pPr>
        <w:pStyle w:val="a6"/>
        <w:ind w:left="422" w:firstLine="0"/>
        <w:rPr>
          <w:rtl/>
        </w:rPr>
      </w:pPr>
      <w:r>
        <w:rPr>
          <w:rFonts w:hint="cs"/>
          <w:rtl/>
        </w:rPr>
        <w:t xml:space="preserve">أما الدَّرَك (بـسكون الراء و فتحها) لغة فهو : </w:t>
      </w:r>
      <w:r>
        <w:rPr>
          <w:rFonts w:hint="eastAsia"/>
          <w:rtl/>
        </w:rPr>
        <w:t>«</w:t>
      </w:r>
      <w:r>
        <w:rPr>
          <w:rFonts w:hint="cs"/>
          <w:rtl/>
        </w:rPr>
        <w:t>التبعة، يسكّن ويحرّك. يقال : ما لَحِقَكَ من دَرَكٍ فعليَّ خَلاصُهُ</w:t>
      </w:r>
      <w:r>
        <w:rPr>
          <w:rFonts w:hint="eastAsia"/>
          <w:rtl/>
        </w:rPr>
        <w:t>»</w:t>
      </w:r>
      <w:r>
        <w:rPr>
          <w:rFonts w:hint="cs"/>
          <w:rtl/>
        </w:rPr>
        <w:t>.</w:t>
      </w:r>
    </w:p>
    <w:p w:rsidR="00035BE3" w:rsidRDefault="00035BE3" w:rsidP="00C10469">
      <w:pPr>
        <w:pStyle w:val="a6"/>
        <w:ind w:left="422" w:firstLine="0"/>
        <w:rPr>
          <w:rtl/>
        </w:rPr>
      </w:pPr>
      <w:r>
        <w:rPr>
          <w:rFonts w:hint="cs"/>
          <w:rtl/>
        </w:rPr>
        <w:t xml:space="preserve">ومعنى ضمان الدَّرَكِ في اصطلاح الفقهاء : </w:t>
      </w:r>
      <w:r>
        <w:rPr>
          <w:rFonts w:hint="eastAsia"/>
          <w:rtl/>
        </w:rPr>
        <w:t>«</w:t>
      </w:r>
      <w:r>
        <w:rPr>
          <w:rFonts w:hint="cs"/>
          <w:rtl/>
        </w:rPr>
        <w:t>هو ضمان الثمن عند استحقاق المبيع</w:t>
      </w:r>
      <w:r>
        <w:rPr>
          <w:rFonts w:hint="eastAsia"/>
          <w:rtl/>
        </w:rPr>
        <w:t>»</w:t>
      </w:r>
      <w:r>
        <w:rPr>
          <w:rFonts w:hint="cs"/>
          <w:rtl/>
        </w:rPr>
        <w:t>- كذا في البدائع- أي: أن يلتزم الضامن بردّ الثمن إلى المشتري عندما يثبت أن المبيع مستحق لأحد غير البائع.</w:t>
      </w:r>
    </w:p>
    <w:p w:rsidR="00035BE3" w:rsidRDefault="00035BE3" w:rsidP="00C10469">
      <w:pPr>
        <w:pStyle w:val="a6"/>
        <w:ind w:left="422" w:firstLine="0"/>
        <w:rPr>
          <w:rtl/>
        </w:rPr>
      </w:pPr>
      <w:r>
        <w:rPr>
          <w:rFonts w:hint="cs"/>
          <w:rtl/>
        </w:rPr>
        <w:t xml:space="preserve">يقول صاحب فـتـح القـديـر : </w:t>
      </w:r>
      <w:r>
        <w:rPr>
          <w:rFonts w:hint="eastAsia"/>
          <w:rtl/>
        </w:rPr>
        <w:t>«</w:t>
      </w:r>
      <w:r>
        <w:rPr>
          <w:rFonts w:hint="cs"/>
          <w:rtl/>
        </w:rPr>
        <w:t>وضمان الدّرك أن يقول للمشتري : أنا ضامن للثمن إن استحقّ المبيعَ أحدٌ</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w:t>
      </w:r>
      <w:r>
        <w:rPr>
          <w:rFonts w:hint="eastAsia"/>
          <w:rtl/>
        </w:rPr>
        <w:t>«</w:t>
      </w:r>
      <w:r>
        <w:rPr>
          <w:rFonts w:hint="cs"/>
          <w:rtl/>
        </w:rPr>
        <w:t>سُميَّ دَرَكاً لالتزامه الغرامة عند إدراكِه المستحق عين ماله</w:t>
      </w:r>
      <w:r>
        <w:rPr>
          <w:rFonts w:hint="eastAsia"/>
          <w:rtl/>
        </w:rPr>
        <w:t>»</w:t>
      </w:r>
      <w:r>
        <w:rPr>
          <w:rFonts w:hint="cs"/>
          <w:rtl/>
        </w:rPr>
        <w:t xml:space="preserve">- كذا في تحرير ألفاظ التنبيه-. </w:t>
      </w:r>
    </w:p>
    <w:p w:rsidR="00035BE3" w:rsidRDefault="00035BE3" w:rsidP="00C10469">
      <w:pPr>
        <w:pStyle w:val="a6"/>
        <w:ind w:left="422" w:firstLine="0"/>
        <w:rPr>
          <w:rtl/>
        </w:rPr>
      </w:pPr>
      <w:r>
        <w:rPr>
          <w:rFonts w:hint="cs"/>
          <w:rtl/>
        </w:rPr>
        <w:t>ويعبّر عنه الحنفية أيضًا بالكفالة بالدّرك، كما يعبر عنه الحنابلة كذلك بضمان العهدة.</w:t>
      </w:r>
    </w:p>
    <w:p w:rsidR="00035BE3" w:rsidRDefault="00035BE3" w:rsidP="00C10469">
      <w:pPr>
        <w:pStyle w:val="a6"/>
        <w:ind w:left="422" w:firstLine="0"/>
        <w:rPr>
          <w:rtl/>
        </w:rPr>
      </w:pPr>
      <w:r>
        <w:rPr>
          <w:rFonts w:hint="cs"/>
          <w:rtl/>
        </w:rPr>
        <w:t xml:space="preserve">ولـتوثيق ما سبق فإن المعنى اللغوي للدَّرَك منقول من لسان العرب، مادة </w:t>
      </w:r>
      <w:r>
        <w:rPr>
          <w:rFonts w:hint="eastAsia"/>
          <w:rtl/>
        </w:rPr>
        <w:t>«</w:t>
      </w:r>
      <w:r>
        <w:rPr>
          <w:rFonts w:hint="cs"/>
          <w:rtl/>
        </w:rPr>
        <w:t>درك</w:t>
      </w:r>
      <w:r>
        <w:rPr>
          <w:rFonts w:hint="eastAsia"/>
          <w:rtl/>
        </w:rPr>
        <w:t>»</w:t>
      </w:r>
      <w:r>
        <w:rPr>
          <w:rFonts w:hint="cs"/>
          <w:rtl/>
        </w:rPr>
        <w:t xml:space="preserve">، 10/419؛ وانظر : المقاييس في اللغة، مادة </w:t>
      </w:r>
      <w:r>
        <w:rPr>
          <w:rFonts w:hint="eastAsia"/>
          <w:rtl/>
        </w:rPr>
        <w:t>«</w:t>
      </w:r>
      <w:r>
        <w:rPr>
          <w:rFonts w:hint="cs"/>
          <w:rtl/>
        </w:rPr>
        <w:t>درك</w:t>
      </w:r>
      <w:r>
        <w:rPr>
          <w:rFonts w:hint="eastAsia"/>
          <w:rtl/>
        </w:rPr>
        <w:t>»</w:t>
      </w:r>
      <w:r>
        <w:rPr>
          <w:rFonts w:hint="cs"/>
          <w:rtl/>
        </w:rPr>
        <w:t xml:space="preserve">، ص352؛ القاموس المحيط، مادة </w:t>
      </w:r>
      <w:r>
        <w:rPr>
          <w:rFonts w:hint="eastAsia"/>
          <w:rtl/>
        </w:rPr>
        <w:t>«</w:t>
      </w:r>
      <w:r>
        <w:rPr>
          <w:rFonts w:hint="cs"/>
          <w:rtl/>
        </w:rPr>
        <w:t>درك</w:t>
      </w:r>
      <w:r>
        <w:rPr>
          <w:rFonts w:hint="eastAsia"/>
          <w:rtl/>
        </w:rPr>
        <w:t>»</w:t>
      </w:r>
      <w:r>
        <w:rPr>
          <w:rFonts w:hint="cs"/>
          <w:rtl/>
        </w:rPr>
        <w:t xml:space="preserve">، ص1211؛ المعجم الوسيط، مادة </w:t>
      </w:r>
      <w:r>
        <w:rPr>
          <w:rFonts w:hint="eastAsia"/>
          <w:rtl/>
        </w:rPr>
        <w:t>«</w:t>
      </w:r>
      <w:r>
        <w:rPr>
          <w:rFonts w:hint="cs"/>
          <w:rtl/>
        </w:rPr>
        <w:t>درك</w:t>
      </w:r>
      <w:r>
        <w:rPr>
          <w:rFonts w:hint="eastAsia"/>
          <w:rtl/>
        </w:rPr>
        <w:t>»</w:t>
      </w:r>
      <w:r>
        <w:rPr>
          <w:rFonts w:hint="cs"/>
          <w:rtl/>
        </w:rPr>
        <w:t>، 1/281.</w:t>
      </w:r>
    </w:p>
    <w:p w:rsidR="00035BE3" w:rsidRDefault="00035BE3" w:rsidP="00C10469">
      <w:pPr>
        <w:pStyle w:val="a6"/>
        <w:ind w:left="422" w:firstLine="0"/>
        <w:rPr>
          <w:rtl/>
        </w:rPr>
      </w:pPr>
      <w:r>
        <w:rPr>
          <w:rFonts w:hint="cs"/>
          <w:rtl/>
        </w:rPr>
        <w:t>والمعنى الاصطلاحي لضمان الدرك منقول من بدائع الصنائع، 6/9. والمثال من فتح القدير، 7/181. والربط بين المعنى اللغوي والاصطلاحي من تحرير ألفاظ التنبيه للنووي، ص204.</w:t>
      </w:r>
    </w:p>
    <w:p w:rsidR="00035BE3" w:rsidRDefault="00035BE3" w:rsidP="00C10469">
      <w:pPr>
        <w:pStyle w:val="a6"/>
        <w:ind w:left="422" w:firstLine="0"/>
        <w:rPr>
          <w:rtl/>
        </w:rPr>
      </w:pPr>
      <w:r>
        <w:rPr>
          <w:rFonts w:hint="cs"/>
          <w:rtl/>
        </w:rPr>
        <w:t>وللتوسع في معناه وأسمائه انظر : طلبة الطلبة، ص293؛ المغني لابن قدامة ، 7/73؛ التعريفات للجرجاني، ص181، فقرة 902؛ فتح القدير، 7/217؛ البحر الرائق، 6/237؛ مجلة الأحكام العدلية، مادة 616؛ شرحها لسليم رستم، 1/335؛ قواعد الفقه للمجدّدي (الرسالة الرابعة : التعريفات الفقهية)، ص359؛ معجم المصطلحات الاقتصادية، ص223؛ معجم لغة الفقهاء، ص256؛ معجم المصطلحات والألفاظ الفقهية، 2/416.</w:t>
      </w:r>
    </w:p>
  </w:footnote>
  <w:footnote w:id="24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44/ب من (أ).</w:t>
      </w:r>
    </w:p>
  </w:footnote>
  <w:footnote w:id="24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بيَّن السيوطيُّ في أشباهه - 1/218- وجهَ كونه مخالفًا للقياس -في نظره- فقال : </w:t>
      </w:r>
      <w:r>
        <w:rPr>
          <w:rFonts w:hint="eastAsia"/>
          <w:rtl/>
        </w:rPr>
        <w:t>«</w:t>
      </w:r>
      <w:r>
        <w:rPr>
          <w:rFonts w:hint="cs"/>
          <w:rtl/>
        </w:rPr>
        <w:t>ضمان الدرك جُوّز على خلاف القياس؛ إذْ البائع إذا باع ملك نفسه ليس ما أخذه من الثمن دينًا عليه حتى يُضمن، لكن لاحتياج الناس إلى معاملة من لا يعرفونه، ولا يضمن خروج المبيع مستحقًّا</w:t>
      </w:r>
      <w:r>
        <w:rPr>
          <w:rFonts w:hint="eastAsia"/>
          <w:rtl/>
        </w:rPr>
        <w:t>»</w:t>
      </w:r>
      <w:r>
        <w:rPr>
          <w:rFonts w:hint="cs"/>
          <w:rtl/>
        </w:rPr>
        <w:t>.</w:t>
      </w:r>
    </w:p>
    <w:p w:rsidR="00035BE3" w:rsidRDefault="00035BE3" w:rsidP="00C10469">
      <w:pPr>
        <w:pStyle w:val="a6"/>
        <w:ind w:left="422" w:firstLine="0"/>
        <w:rPr>
          <w:rtl/>
        </w:rPr>
      </w:pPr>
      <w:r>
        <w:rPr>
          <w:rFonts w:hint="cs"/>
          <w:rtl/>
        </w:rPr>
        <w:t xml:space="preserve">كما بيّن ذلك صاحب غمز عيون البصائر -1/294- فقال : </w:t>
      </w:r>
      <w:r>
        <w:rPr>
          <w:rFonts w:hint="eastAsia"/>
          <w:rtl/>
        </w:rPr>
        <w:t>«</w:t>
      </w:r>
      <w:r>
        <w:rPr>
          <w:rFonts w:hint="cs"/>
          <w:rtl/>
        </w:rPr>
        <w:t>لأن الضمان على البائع؛ فيصير كفيلاً ومكفولاً عنه. وبه يظهر أنه لو ضمنه غير البائع لم يكن مخالفًا للقياس؛ لانتفاء العلَّة في حقه</w:t>
      </w:r>
      <w:r>
        <w:rPr>
          <w:rFonts w:hint="eastAsia"/>
          <w:rtl/>
        </w:rPr>
        <w:t>»</w:t>
      </w:r>
      <w:r>
        <w:rPr>
          <w:rFonts w:hint="cs"/>
          <w:rtl/>
        </w:rPr>
        <w:t>. وانظر : المنثور للزركشي، 2/24؛ الأشباه والنظائر لابن الملقن، 2/346.</w:t>
      </w:r>
    </w:p>
  </w:footnote>
  <w:footnote w:id="24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التسليم </w:t>
      </w:r>
      <w:r>
        <w:rPr>
          <w:rFonts w:hint="eastAsia"/>
          <w:rtl/>
        </w:rPr>
        <w:t>»</w:t>
      </w:r>
      <w:r>
        <w:rPr>
          <w:rFonts w:hint="cs"/>
          <w:rtl/>
        </w:rPr>
        <w:t>.</w:t>
      </w:r>
    </w:p>
  </w:footnote>
  <w:footnote w:id="24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الاستصناع في اللغة</w:t>
      </w:r>
      <w:r>
        <w:rPr>
          <w:rFonts w:hint="cs"/>
          <w:rtl/>
        </w:rPr>
        <w:t xml:space="preserve"> : طلب الصنع. يقال : </w:t>
      </w:r>
      <w:r>
        <w:rPr>
          <w:rFonts w:hint="eastAsia"/>
          <w:rtl/>
        </w:rPr>
        <w:t>«</w:t>
      </w:r>
      <w:r>
        <w:rPr>
          <w:rFonts w:hint="cs"/>
          <w:rtl/>
        </w:rPr>
        <w:t>استصنع فلانًا كذا : طلب منه أن يصنعه له</w:t>
      </w:r>
      <w:r>
        <w:rPr>
          <w:rFonts w:hint="eastAsia"/>
          <w:rtl/>
        </w:rPr>
        <w:t>»</w:t>
      </w:r>
      <w:r>
        <w:rPr>
          <w:rFonts w:hint="cs"/>
          <w:rtl/>
        </w:rPr>
        <w:t>.</w:t>
      </w:r>
    </w:p>
    <w:p w:rsidR="00035BE3" w:rsidRDefault="00035BE3" w:rsidP="00C10469">
      <w:pPr>
        <w:pStyle w:val="a6"/>
        <w:ind w:left="422" w:firstLine="0"/>
        <w:rPr>
          <w:rtl/>
        </w:rPr>
      </w:pPr>
      <w:r>
        <w:rPr>
          <w:rFonts w:hint="cs"/>
          <w:b/>
          <w:bCs/>
          <w:rtl/>
        </w:rPr>
        <w:t>أما في الاصطلاح</w:t>
      </w:r>
      <w:r>
        <w:rPr>
          <w:rFonts w:hint="cs"/>
          <w:rtl/>
        </w:rPr>
        <w:t xml:space="preserve"> فهو : </w:t>
      </w:r>
      <w:r>
        <w:rPr>
          <w:rFonts w:hint="eastAsia"/>
          <w:rtl/>
        </w:rPr>
        <w:t>«</w:t>
      </w:r>
      <w:r>
        <w:rPr>
          <w:rFonts w:hint="cs"/>
          <w:rtl/>
        </w:rPr>
        <w:t>طلب عمل شيء خاصّ، على وجه مخصوص، مادّته من الصانع</w:t>
      </w:r>
      <w:r>
        <w:rPr>
          <w:rFonts w:hint="eastAsia"/>
          <w:rtl/>
        </w:rPr>
        <w:t>»</w:t>
      </w:r>
      <w:r>
        <w:rPr>
          <w:rFonts w:hint="cs"/>
          <w:rtl/>
        </w:rPr>
        <w:t>.</w:t>
      </w:r>
    </w:p>
    <w:p w:rsidR="00035BE3" w:rsidRDefault="00035BE3" w:rsidP="00C10469">
      <w:pPr>
        <w:pStyle w:val="a6"/>
        <w:ind w:left="422" w:firstLine="0"/>
        <w:rPr>
          <w:rtl/>
        </w:rPr>
      </w:pPr>
      <w:r>
        <w:rPr>
          <w:rFonts w:hint="cs"/>
          <w:rtl/>
        </w:rPr>
        <w:t xml:space="preserve">ومثاله : </w:t>
      </w:r>
      <w:r>
        <w:rPr>
          <w:rFonts w:hint="eastAsia"/>
          <w:rtl/>
        </w:rPr>
        <w:t>«</w:t>
      </w:r>
      <w:r>
        <w:rPr>
          <w:rFonts w:hint="cs"/>
          <w:rtl/>
        </w:rPr>
        <w:t>إذا قال شخص لآخر من أهل الصنائع : اصنعْ لي الشيء الفلاني بالأوصاف التالية بكذا درهمًا. وقَبِلَ الصانعُ ذلك : كان ذلك استصناعًا</w:t>
      </w:r>
      <w:r>
        <w:rPr>
          <w:rFonts w:hint="eastAsia"/>
          <w:rtl/>
        </w:rPr>
        <w:t>»</w:t>
      </w:r>
      <w:r>
        <w:rPr>
          <w:rFonts w:hint="cs"/>
          <w:rtl/>
        </w:rPr>
        <w:t>.</w:t>
      </w:r>
    </w:p>
    <w:p w:rsidR="00035BE3" w:rsidRDefault="00035BE3" w:rsidP="00C10469">
      <w:pPr>
        <w:pStyle w:val="a6"/>
        <w:ind w:left="422" w:firstLine="0"/>
        <w:rPr>
          <w:rtl/>
        </w:rPr>
      </w:pPr>
      <w:r>
        <w:rPr>
          <w:rFonts w:hint="cs"/>
          <w:rtl/>
        </w:rPr>
        <w:t xml:space="preserve">المعجم الوسيط، مادة </w:t>
      </w:r>
      <w:r>
        <w:rPr>
          <w:rFonts w:hint="eastAsia"/>
          <w:rtl/>
        </w:rPr>
        <w:t>«</w:t>
      </w:r>
      <w:r>
        <w:rPr>
          <w:rFonts w:hint="cs"/>
          <w:rtl/>
        </w:rPr>
        <w:t>صنع</w:t>
      </w:r>
      <w:r>
        <w:rPr>
          <w:rFonts w:hint="eastAsia"/>
          <w:rtl/>
        </w:rPr>
        <w:t>»</w:t>
      </w:r>
      <w:r>
        <w:rPr>
          <w:rFonts w:hint="cs"/>
          <w:rtl/>
        </w:rPr>
        <w:t xml:space="preserve">، 1/525؛ وانظر : المقاييس في اللغة مادة </w:t>
      </w:r>
      <w:r>
        <w:rPr>
          <w:rFonts w:hint="eastAsia"/>
          <w:rtl/>
        </w:rPr>
        <w:t>«</w:t>
      </w:r>
      <w:r>
        <w:rPr>
          <w:rFonts w:hint="cs"/>
          <w:rtl/>
        </w:rPr>
        <w:t>صنع</w:t>
      </w:r>
      <w:r>
        <w:rPr>
          <w:rFonts w:hint="eastAsia"/>
          <w:rtl/>
        </w:rPr>
        <w:t>»</w:t>
      </w:r>
      <w:r>
        <w:rPr>
          <w:rFonts w:hint="cs"/>
          <w:rtl/>
        </w:rPr>
        <w:t>، ص578. هذا ما يتعلق بالمعنى اللغوي.</w:t>
      </w:r>
    </w:p>
    <w:p w:rsidR="00035BE3" w:rsidRDefault="00035BE3" w:rsidP="00C10469">
      <w:pPr>
        <w:pStyle w:val="a6"/>
        <w:ind w:left="422" w:firstLine="0"/>
        <w:rPr>
          <w:spacing w:val="-2"/>
          <w:rtl/>
        </w:rPr>
      </w:pPr>
      <w:r>
        <w:rPr>
          <w:rFonts w:hint="cs"/>
          <w:spacing w:val="-2"/>
          <w:rtl/>
        </w:rPr>
        <w:t>أما المعنى الاصطلاحي ومثاله فهو مأخوذ من معجم المصطلحات الاقتصادية في لغة الفقهاء، ص59 (نقلاً عن مرشد الحيران إلى معرفة أحوال الإنسان)؛ وانظر : طلبة الطلبة، ص237؛ بدائع الصنائع، 5/2؛ معجم لغة الفقهاء، ص93؛ مصطلحات الفقه المالي المعاصر، ص84؛ عقد الاستصناع للدكتور محمد الأشقر، ص222 (ضمن كتاب : بحوث فقهية في قضايا اقتصادية معاصرة).</w:t>
      </w:r>
    </w:p>
  </w:footnote>
  <w:footnote w:id="24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ورد الضمير (بالتأنيث) في جميع النسخ، وفي مصدر هذه العبارة (وهو أشباه ابن نجيم)!.</w:t>
      </w:r>
    </w:p>
    <w:p w:rsidR="00035BE3" w:rsidRDefault="00035BE3" w:rsidP="00C10469">
      <w:pPr>
        <w:pStyle w:val="a6"/>
        <w:ind w:left="422" w:firstLine="0"/>
        <w:rPr>
          <w:rtl/>
        </w:rPr>
      </w:pPr>
      <w:r>
        <w:rPr>
          <w:rFonts w:hint="cs"/>
          <w:rtl/>
        </w:rPr>
        <w:t>ولعلَّ المعنى : مع جهالة مكثه في الـحمامات بشكل عام.</w:t>
      </w:r>
    </w:p>
    <w:p w:rsidR="00035BE3" w:rsidRDefault="00035BE3" w:rsidP="00C10469">
      <w:pPr>
        <w:pStyle w:val="a6"/>
        <w:ind w:left="422" w:firstLine="0"/>
        <w:rPr>
          <w:rtl/>
        </w:rPr>
      </w:pPr>
      <w:r>
        <w:rPr>
          <w:rFonts w:hint="cs"/>
          <w:rtl/>
        </w:rPr>
        <w:t xml:space="preserve">وكان من المناسب أن يقال : (فيه)؛ لأن المتبادر إلى الذهن أن الضمير يعود إلى (الحمام) وهو </w:t>
      </w:r>
      <w:r>
        <w:rPr>
          <w:rFonts w:hint="eastAsia"/>
          <w:rtl/>
        </w:rPr>
        <w:t>«</w:t>
      </w:r>
      <w:r>
        <w:rPr>
          <w:rFonts w:hint="cs"/>
          <w:rtl/>
        </w:rPr>
        <w:t>مذكر تذكره العرب</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 xml:space="preserve">قاله صاحب (اللسان)، مادة </w:t>
      </w:r>
      <w:r>
        <w:rPr>
          <w:rFonts w:hint="eastAsia"/>
          <w:spacing w:val="-4"/>
          <w:rtl/>
        </w:rPr>
        <w:t>«</w:t>
      </w:r>
      <w:r>
        <w:rPr>
          <w:rFonts w:hint="cs"/>
          <w:spacing w:val="-4"/>
          <w:rtl/>
        </w:rPr>
        <w:t>حمم</w:t>
      </w:r>
      <w:r>
        <w:rPr>
          <w:rFonts w:hint="eastAsia"/>
          <w:spacing w:val="-4"/>
          <w:rtl/>
        </w:rPr>
        <w:t>»</w:t>
      </w:r>
      <w:r>
        <w:rPr>
          <w:rFonts w:hint="cs"/>
          <w:spacing w:val="-4"/>
          <w:rtl/>
        </w:rPr>
        <w:t>، 12/154؛ وانظر : المعجم المفصل في المذكر والمؤنث، ص187.</w:t>
      </w:r>
    </w:p>
  </w:footnote>
  <w:footnote w:id="24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بيع الوفاء</w:t>
      </w:r>
      <w:r>
        <w:rPr>
          <w:rFonts w:hint="cs"/>
          <w:rtl/>
        </w:rPr>
        <w:t xml:space="preserve">: عرّفه ابن عابدين بقوله : </w:t>
      </w:r>
      <w:r>
        <w:rPr>
          <w:rFonts w:hint="eastAsia"/>
          <w:rtl/>
        </w:rPr>
        <w:t>«</w:t>
      </w:r>
      <w:r>
        <w:rPr>
          <w:rFonts w:hint="cs"/>
          <w:rtl/>
        </w:rPr>
        <w:t>هو المشروط فيه رجوع المبيع للبائع متى ردّ الثمن على المشتري</w:t>
      </w:r>
      <w:r>
        <w:rPr>
          <w:rFonts w:hint="eastAsia"/>
          <w:rtl/>
        </w:rPr>
        <w:t>»</w:t>
      </w:r>
      <w:r>
        <w:rPr>
          <w:rFonts w:hint="cs"/>
          <w:rtl/>
        </w:rPr>
        <w:t xml:space="preserve">. وعرّفه أ.د. أحمد أبو سنة بقوله : </w:t>
      </w:r>
      <w:r>
        <w:rPr>
          <w:rFonts w:hint="eastAsia"/>
          <w:rtl/>
        </w:rPr>
        <w:t>«</w:t>
      </w:r>
      <w:r>
        <w:rPr>
          <w:rFonts w:hint="cs"/>
          <w:rtl/>
        </w:rPr>
        <w:t>هو عقد شرط البائع فيه أنه متى ردّ الثمن إلى المشتري: ردّ المشتري إليه المبيع، سواء أكان الثمن نقدًا أو دينًا كان على البائع</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بيّن ابنُ عابدين أنّ </w:t>
      </w:r>
      <w:r>
        <w:rPr>
          <w:rFonts w:hint="eastAsia"/>
          <w:rtl/>
        </w:rPr>
        <w:t>«</w:t>
      </w:r>
      <w:r>
        <w:rPr>
          <w:rFonts w:hint="cs"/>
          <w:rtl/>
        </w:rPr>
        <w:t>وجه تسميته (بيع الوفاء) : أن فيه عهدًا بالوفاء من المشتري، بأن يرد المبيع على البائع حين ردّ الثمن</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والجمهور على عدم صحة هذا البيع؛ لأن حقيقته : (قرضٌ جرَّ نفعًا)، فهو تحايل على الربا. وقد افتى بذلك مجلس مجمع الفقه الإسلامي بجدة في القرار رقم 68/4/7.</w:t>
      </w:r>
    </w:p>
    <w:p w:rsidR="00035BE3" w:rsidRDefault="00035BE3" w:rsidP="00C10469">
      <w:pPr>
        <w:pStyle w:val="a6"/>
        <w:ind w:left="422" w:firstLine="0"/>
        <w:rPr>
          <w:rtl/>
        </w:rPr>
      </w:pPr>
      <w:r>
        <w:rPr>
          <w:rFonts w:hint="cs"/>
          <w:rtl/>
        </w:rPr>
        <w:t>ردّ المحتار، 3/276، 7/545؛ العادة والعرف في رأي الفقهاء، ص218؛ وانظر مجلة البحوث الفقهية المعاصرة، العدد 15 ، ص204.</w:t>
      </w:r>
    </w:p>
    <w:p w:rsidR="00035BE3" w:rsidRDefault="00035BE3" w:rsidP="00C10469">
      <w:pPr>
        <w:pStyle w:val="a6"/>
        <w:ind w:left="422" w:firstLine="0"/>
        <w:rPr>
          <w:rtl/>
        </w:rPr>
      </w:pPr>
      <w:r>
        <w:rPr>
          <w:rFonts w:hint="cs"/>
          <w:rtl/>
        </w:rPr>
        <w:t>وللتوسع في معناه وحكمه انظر أيضًا : فتاوى قاضي خان، 2/65؛ القنية، ل131/ب؛ مجموع فتاوى شيخ الإسلام ابن تيمية، 29/334، 397، 30/36؛ تبيين الحقائق، 5/183؛ خزانة المـفتين، ل24/أ؛ التعريفات للجرجاني، ص69، فقرة 305؛ الفتاوى البزازية، 1/405؛ الدّرر شـرح الغـرر، 2/207؛ تحرير الكلام في مسائل الالتزام للحطاب، ص133؛ البحر الرائق، 6/8؛ كشاف الـقناع،  3/149-150؛ حـواشي الشرواني، 4/296؛ بغية المسترشدين لباعلوي الشافعي، ص133؛ مجلة الأحكام العدلية، المواد  118-119، 396-403؛ شرحها للأتاسي، 2/10-11، 414-431؛ قواعد الفقه للمجدّدي (الرسالة الرابعة: التعريفات الفقهية)، ص215؛ معجم المصطلحات الاقتصادية، ص102؛ معجم المصطلحات والألفاظ الفقهية، 1/405، 416.</w:t>
      </w:r>
    </w:p>
  </w:footnote>
  <w:footnote w:id="24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ممّن اشتهر عنهم تسميته بهذا الاسم : الحنابلة، فانظر من كتبهم : مـجمـوع فتاوى شيخ الإسلام، 29/334، 397، 30/36؛ كشاف القناع،  3/149.</w:t>
      </w:r>
    </w:p>
  </w:footnote>
  <w:footnote w:id="2464">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و(ب) و(د): </w:t>
      </w:r>
      <w:r>
        <w:rPr>
          <w:rFonts w:hint="eastAsia"/>
          <w:spacing w:val="-4"/>
          <w:rtl/>
        </w:rPr>
        <w:t>«</w:t>
      </w:r>
      <w:r>
        <w:rPr>
          <w:rFonts w:hint="cs"/>
          <w:spacing w:val="-4"/>
          <w:rtl/>
        </w:rPr>
        <w:t>البيع</w:t>
      </w:r>
      <w:r>
        <w:rPr>
          <w:rFonts w:hint="eastAsia"/>
          <w:spacing w:val="-4"/>
          <w:rtl/>
        </w:rPr>
        <w:t>»</w:t>
      </w:r>
      <w:r>
        <w:rPr>
          <w:rFonts w:hint="cs"/>
          <w:spacing w:val="-4"/>
          <w:rtl/>
        </w:rPr>
        <w:t>. والصحيح ما تمَّ إثباته من (جـ) و(هـ) و(و)، وهو الموافق لأشباه ابن نجيم.</w:t>
      </w:r>
    </w:p>
  </w:footnote>
  <w:footnote w:id="2465">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بحثت في كثير من كتب الشافعية عن هذه التسمية فلم أهتدِ إليها، إلاّ أنه عزاها إليهم ابن نجيم في أشباهه، ص114؛ كما ذكرها في البحر، 6/8. والتسمية الدارجة في كتبهم هي : (بيع العهدة)، فانظر من كتبهم : تـحفة المحتاج  وحواشي الشـرواني 4/296؛ بغية المسترشدين، ص133.</w:t>
      </w:r>
    </w:p>
  </w:footnote>
  <w:footnote w:id="24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ص114-115- مع اختلاف يسير في بعض الألفاظ، وزيادة في ألفاظ أخر عند ابن نجيم-.</w:t>
      </w:r>
    </w:p>
    <w:p w:rsidR="00035BE3" w:rsidRDefault="00035BE3" w:rsidP="00C10469">
      <w:pPr>
        <w:pStyle w:val="a6"/>
        <w:ind w:left="422" w:firstLine="0"/>
        <w:rPr>
          <w:rtl/>
        </w:rPr>
      </w:pPr>
      <w:r>
        <w:rPr>
          <w:rFonts w:hint="cs"/>
          <w:rtl/>
        </w:rPr>
        <w:t>وقد استعرضت كتاب (القنية) بحثًا عن المسألة المعزوّة إليه، ولم أظفر بها.</w:t>
      </w:r>
    </w:p>
    <w:p w:rsidR="00035BE3" w:rsidRDefault="00035BE3" w:rsidP="00C10469">
      <w:pPr>
        <w:pStyle w:val="a6"/>
        <w:ind w:left="422" w:firstLine="0"/>
        <w:rPr>
          <w:rtl/>
        </w:rPr>
      </w:pPr>
      <w:r>
        <w:rPr>
          <w:rFonts w:hint="cs"/>
          <w:rtl/>
        </w:rPr>
        <w:t>ومثل هذه الفتوى ممّا انطلق منها بعض المعاصرين في إباحة القروض الربوية عند الحاجة!!.</w:t>
      </w:r>
    </w:p>
    <w:p w:rsidR="00035BE3" w:rsidRDefault="00035BE3" w:rsidP="00C10469">
      <w:pPr>
        <w:pStyle w:val="a6"/>
        <w:ind w:left="422" w:firstLine="0"/>
        <w:rPr>
          <w:spacing w:val="4"/>
          <w:rtl/>
        </w:rPr>
      </w:pPr>
      <w:r>
        <w:rPr>
          <w:rFonts w:hint="cs"/>
          <w:spacing w:val="4"/>
          <w:rtl/>
        </w:rPr>
        <w:t>ولا شك أن فتح هذا الباب سيؤدي إلى استباحة كثير من المحرمات المعلومة من الدين بالضرورة بدعوى الحاجة!!.</w:t>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t xml:space="preserve">  </w:t>
      </w:r>
    </w:p>
    <w:p w:rsidR="00035BE3" w:rsidRDefault="00035BE3" w:rsidP="00C10469">
      <w:pPr>
        <w:pStyle w:val="a6"/>
        <w:ind w:left="422" w:firstLine="0"/>
        <w:rPr>
          <w:spacing w:val="6"/>
          <w:rtl/>
        </w:rPr>
      </w:pPr>
      <w:r>
        <w:rPr>
          <w:rFonts w:hint="cs"/>
          <w:spacing w:val="6"/>
          <w:rtl/>
        </w:rPr>
        <w:t xml:space="preserve">وليس هذا مقامٌ لاستعراض هذه الفتوى ومستندها ومناقشته، إلا أنه </w:t>
      </w:r>
      <w:r>
        <w:rPr>
          <w:spacing w:val="6"/>
          <w:rtl/>
        </w:rPr>
        <w:t>–</w:t>
      </w:r>
      <w:r>
        <w:rPr>
          <w:rFonts w:hint="cs"/>
          <w:spacing w:val="6"/>
          <w:rtl/>
        </w:rPr>
        <w:t xml:space="preserve"> مع ما فيها </w:t>
      </w:r>
      <w:r>
        <w:rPr>
          <w:spacing w:val="6"/>
          <w:rtl/>
        </w:rPr>
        <w:t>–</w:t>
      </w:r>
      <w:r>
        <w:rPr>
          <w:rFonts w:hint="cs"/>
          <w:spacing w:val="6"/>
          <w:rtl/>
        </w:rPr>
        <w:t xml:space="preserve"> أقرب ما يمكن حملها عليه : أن المستقرض إذا احتاج حاجة ماسّة إلى المال ولم يجد طريقًا لذلك سوى الاستقراض بالربح، فإنه يجوز له </w:t>
      </w:r>
      <w:r>
        <w:rPr>
          <w:spacing w:val="6"/>
          <w:rtl/>
        </w:rPr>
        <w:t>–</w:t>
      </w:r>
      <w:r>
        <w:rPr>
          <w:rFonts w:hint="cs"/>
          <w:spacing w:val="6"/>
          <w:rtl/>
        </w:rPr>
        <w:t>استثناءً- الاستقراض بالربح، مع بقاء الربح محرمًا على المقرض ويعد مالاً خبيثًا لا يجوز له الانتفاع به؛ لأنه أخذه بطريق غير مشروع.</w:t>
      </w:r>
    </w:p>
    <w:p w:rsidR="00035BE3" w:rsidRDefault="00035BE3" w:rsidP="00C10469">
      <w:pPr>
        <w:pStyle w:val="a6"/>
        <w:ind w:left="422" w:firstLine="0"/>
        <w:rPr>
          <w:spacing w:val="6"/>
          <w:rtl/>
        </w:rPr>
      </w:pPr>
      <w:r>
        <w:rPr>
          <w:rFonts w:hint="cs"/>
          <w:spacing w:val="6"/>
          <w:rtl/>
        </w:rPr>
        <w:t xml:space="preserve">وهذا المعنى قرّره الأستاذ مصطفى الزرقا في مدخله </w:t>
      </w:r>
      <w:r>
        <w:rPr>
          <w:spacing w:val="6"/>
          <w:rtl/>
        </w:rPr>
        <w:t>–</w:t>
      </w:r>
      <w:r>
        <w:rPr>
          <w:rFonts w:hint="cs"/>
          <w:spacing w:val="6"/>
          <w:rtl/>
        </w:rPr>
        <w:t xml:space="preserve">2/1013-1014، فقرة 628 </w:t>
      </w:r>
      <w:r>
        <w:rPr>
          <w:spacing w:val="6"/>
          <w:rtl/>
        </w:rPr>
        <w:t>–</w:t>
      </w:r>
      <w:r>
        <w:rPr>
          <w:rFonts w:hint="cs"/>
          <w:spacing w:val="6"/>
          <w:rtl/>
        </w:rPr>
        <w:t xml:space="preserve"> في </w:t>
      </w:r>
      <w:r w:rsidRPr="00FF315A">
        <w:rPr>
          <w:rFonts w:hint="cs"/>
          <w:rtl/>
        </w:rPr>
        <w:t xml:space="preserve">أثناء حديثه عن قاعدة </w:t>
      </w:r>
      <w:r w:rsidRPr="00FF315A">
        <w:rPr>
          <w:rFonts w:hint="eastAsia"/>
          <w:rtl/>
        </w:rPr>
        <w:t>«</w:t>
      </w:r>
      <w:r w:rsidRPr="00FF315A">
        <w:rPr>
          <w:rFonts w:hint="cs"/>
          <w:rtl/>
        </w:rPr>
        <w:t>ما حرم أخذه حرم إعطاؤه</w:t>
      </w:r>
      <w:r w:rsidRPr="00FF315A">
        <w:rPr>
          <w:rFonts w:hint="eastAsia"/>
          <w:rtl/>
        </w:rPr>
        <w:t>»</w:t>
      </w:r>
      <w:r w:rsidRPr="00FF315A">
        <w:rPr>
          <w:rFonts w:hint="cs"/>
          <w:rtl/>
        </w:rPr>
        <w:t xml:space="preserve">، حيث قال </w:t>
      </w:r>
      <w:r w:rsidRPr="00FF315A">
        <w:rPr>
          <w:rFonts w:hint="eastAsia"/>
          <w:rtl/>
        </w:rPr>
        <w:t>«</w:t>
      </w:r>
      <w:r w:rsidRPr="00FF315A">
        <w:rPr>
          <w:rFonts w:hint="cs"/>
          <w:rtl/>
        </w:rPr>
        <w:t xml:space="preserve">ويستثنى من هذه القاعدة: </w:t>
      </w:r>
      <w:r>
        <w:rPr>
          <w:rFonts w:hint="cs"/>
          <w:spacing w:val="6"/>
          <w:rtl/>
        </w:rPr>
        <w:t xml:space="preserve">... </w:t>
      </w:r>
      <w:r>
        <w:rPr>
          <w:spacing w:val="6"/>
          <w:rtl/>
        </w:rPr>
        <w:br/>
      </w:r>
      <w:r>
        <w:rPr>
          <w:rFonts w:hint="cs"/>
          <w:spacing w:val="6"/>
          <w:rtl/>
        </w:rPr>
        <w:t>وما يدفعه المستقرض بالربا في حالة الاضطرار، ... ففي جميع ذلك وأمثاله تكون الحرمة على الآخذ دون المعطي</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بل إنّ المؤلف نفسه أشار إلى ذلك أيضًا عند شرحه لقاعدة </w:t>
      </w:r>
      <w:r>
        <w:rPr>
          <w:rFonts w:hint="eastAsia"/>
          <w:rtl/>
        </w:rPr>
        <w:t>«</w:t>
      </w:r>
      <w:r>
        <w:rPr>
          <w:rFonts w:hint="cs"/>
          <w:rtl/>
        </w:rPr>
        <w:t>ما حرم أخذه حرم إعطاؤه</w:t>
      </w:r>
      <w:r>
        <w:rPr>
          <w:rFonts w:hint="eastAsia"/>
          <w:rtl/>
        </w:rPr>
        <w:t>»</w:t>
      </w:r>
      <w:r>
        <w:rPr>
          <w:rFonts w:hint="cs"/>
          <w:rtl/>
        </w:rPr>
        <w:t>، وذلك ص987 (ل92/ب)، قاعدة 218.</w:t>
      </w:r>
    </w:p>
    <w:p w:rsidR="00035BE3" w:rsidRDefault="00035BE3" w:rsidP="00C10469">
      <w:pPr>
        <w:pStyle w:val="a6"/>
        <w:ind w:left="422" w:firstLine="0"/>
        <w:rPr>
          <w:rtl/>
        </w:rPr>
      </w:pPr>
      <w:r>
        <w:rPr>
          <w:rFonts w:hint="cs"/>
          <w:rtl/>
        </w:rPr>
        <w:t>وشبهة استباحة الربا بسبب الحاجة مما استعرضها وناقشها د. عبد الله السعيدي في أطروحته للدكتوراه المطبوعة بعنوان : الربا في المعاملات المصرفية المعاصرة، 1/250-263، وكان قد استعرض قبل ذلك بيان قاعدة الضرورة والاحتكام إليها؛ وممن ناقش تلك الشبهة أيضًا : د. محمد النبهان في كتابه مفهوم الربا، ص81-88.</w:t>
      </w:r>
    </w:p>
  </w:footnote>
  <w:footnote w:id="24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بينهما</w:t>
      </w:r>
      <w:r>
        <w:rPr>
          <w:rFonts w:hint="eastAsia"/>
          <w:rtl/>
        </w:rPr>
        <w:t>»</w:t>
      </w:r>
      <w:r>
        <w:rPr>
          <w:rFonts w:hint="cs"/>
          <w:rtl/>
        </w:rPr>
        <w:t>. والصحيح ما تمَّ إثباته من (ب) و(د)، وهو الموافق لمصدر هذه العبارة (وهو الفتاوى البزازية).</w:t>
      </w:r>
    </w:p>
  </w:footnote>
  <w:footnote w:id="24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شهادة و</w:t>
      </w:r>
      <w:r>
        <w:rPr>
          <w:rFonts w:hint="eastAsia"/>
          <w:rtl/>
        </w:rPr>
        <w:t>»</w:t>
      </w:r>
      <w:r>
        <w:rPr>
          <w:rFonts w:hint="cs"/>
          <w:rtl/>
        </w:rPr>
        <w:t>. والصحيح ما تمَّ إثباته من (جـ) و(هـ) و(و).</w:t>
      </w:r>
    </w:p>
    <w:p w:rsidR="00035BE3" w:rsidRDefault="00035BE3" w:rsidP="00C10469">
      <w:pPr>
        <w:pStyle w:val="a6"/>
        <w:ind w:left="422" w:firstLine="0"/>
        <w:rPr>
          <w:spacing w:val="6"/>
          <w:rtl/>
        </w:rPr>
      </w:pPr>
      <w:r>
        <w:rPr>
          <w:rFonts w:hint="cs"/>
          <w:spacing w:val="6"/>
          <w:rtl/>
        </w:rPr>
        <w:t xml:space="preserve">وقـد جـاء فـي (الـفـتـاوى البـزازيـة) : </w:t>
      </w:r>
      <w:r>
        <w:rPr>
          <w:rFonts w:hint="eastAsia"/>
          <w:spacing w:val="6"/>
          <w:rtl/>
        </w:rPr>
        <w:t>«</w:t>
      </w:r>
      <w:r>
        <w:rPr>
          <w:rFonts w:hint="cs"/>
          <w:spacing w:val="6"/>
          <w:rtl/>
        </w:rPr>
        <w:t>... فيما يقع بينهم فيه لا تقبل، وكذا شهادة الصبيان ...</w:t>
      </w:r>
      <w:r>
        <w:rPr>
          <w:rFonts w:hint="eastAsia"/>
          <w:spacing w:val="6"/>
          <w:rtl/>
        </w:rPr>
        <w:t>»</w:t>
      </w:r>
      <w:r>
        <w:rPr>
          <w:rFonts w:hint="cs"/>
          <w:spacing w:val="6"/>
          <w:rtl/>
        </w:rPr>
        <w:t>.</w:t>
      </w:r>
    </w:p>
  </w:footnote>
  <w:footnote w:id="24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34/ب من (جـ). مع تكرار : </w:t>
      </w:r>
      <w:r>
        <w:rPr>
          <w:rFonts w:hint="eastAsia"/>
          <w:rtl/>
        </w:rPr>
        <w:t>«</w:t>
      </w:r>
      <w:r>
        <w:rPr>
          <w:rFonts w:hint="cs"/>
          <w:rtl/>
        </w:rPr>
        <w:t>وإن</w:t>
      </w:r>
      <w:r>
        <w:rPr>
          <w:rFonts w:hint="eastAsia"/>
          <w:rtl/>
        </w:rPr>
        <w:t>»</w:t>
      </w:r>
      <w:r>
        <w:rPr>
          <w:rFonts w:hint="cs"/>
          <w:rtl/>
        </w:rPr>
        <w:t xml:space="preserve"> في بداية اللوحة التي تليها.</w:t>
      </w:r>
    </w:p>
  </w:footnote>
  <w:footnote w:id="24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علَّل البزازي عدم قبول شهادتهم : بعدم عدالتهم فقال : </w:t>
      </w:r>
      <w:r>
        <w:rPr>
          <w:rFonts w:hint="eastAsia"/>
          <w:rtl/>
        </w:rPr>
        <w:t>«</w:t>
      </w:r>
      <w:r>
        <w:rPr>
          <w:rFonts w:hint="cs"/>
          <w:rtl/>
        </w:rPr>
        <w:t>لأن العدل لا يـحضر السجن، والبالغ ملاعبَ الصبيان، والرجل حمامَ النساء</w:t>
      </w:r>
      <w:r>
        <w:rPr>
          <w:rFonts w:hint="eastAsia"/>
          <w:rtl/>
        </w:rPr>
        <w:t>»</w:t>
      </w:r>
      <w:r>
        <w:rPr>
          <w:rFonts w:hint="cs"/>
          <w:rtl/>
        </w:rPr>
        <w:t xml:space="preserve">. ثم ربـط ذلك بـما سيذكره المؤلـف في الـجواب فقـال: </w:t>
      </w:r>
      <w:r>
        <w:rPr>
          <w:rFonts w:hint="eastAsia"/>
          <w:rtl/>
        </w:rPr>
        <w:t>«</w:t>
      </w:r>
      <w:r>
        <w:rPr>
          <w:rFonts w:hint="cs"/>
          <w:rtl/>
        </w:rPr>
        <w:t>والشرع شرع ...</w:t>
      </w:r>
      <w:r>
        <w:rPr>
          <w:rFonts w:hint="eastAsia"/>
          <w:rtl/>
        </w:rPr>
        <w:t>»</w:t>
      </w:r>
      <w:r>
        <w:rPr>
          <w:rFonts w:hint="cs"/>
          <w:rtl/>
        </w:rPr>
        <w:t>.</w:t>
      </w:r>
    </w:p>
  </w:footnote>
  <w:footnote w:id="2471">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جميع النسخ: </w:t>
      </w:r>
      <w:r>
        <w:rPr>
          <w:rFonts w:hint="eastAsia"/>
          <w:rtl/>
        </w:rPr>
        <w:t>«</w:t>
      </w:r>
      <w:r>
        <w:rPr>
          <w:rFonts w:hint="cs"/>
          <w:rtl/>
        </w:rPr>
        <w:t>الانتفاع</w:t>
      </w:r>
      <w:r>
        <w:rPr>
          <w:rFonts w:hint="eastAsia"/>
          <w:rtl/>
        </w:rPr>
        <w:t>»</w:t>
      </w:r>
      <w:r>
        <w:rPr>
          <w:rFonts w:hint="cs"/>
          <w:rtl/>
        </w:rPr>
        <w:t xml:space="preserve">. والصحيح ما تمَّ إثباته من مصدر هذه العبارة (وهو الفتاوى البزازية). وممّا يشهد لذلك أن المعلِّق على نسخة (و) جزم أن لفظ </w:t>
      </w:r>
      <w:r>
        <w:rPr>
          <w:rFonts w:hint="eastAsia"/>
          <w:rtl/>
        </w:rPr>
        <w:t>«</w:t>
      </w:r>
      <w:r>
        <w:rPr>
          <w:rFonts w:hint="cs"/>
          <w:rtl/>
        </w:rPr>
        <w:t>الانتفاع</w:t>
      </w:r>
      <w:r>
        <w:rPr>
          <w:rFonts w:hint="eastAsia"/>
          <w:rtl/>
        </w:rPr>
        <w:t>»</w:t>
      </w:r>
      <w:r>
        <w:rPr>
          <w:rFonts w:hint="cs"/>
          <w:rtl/>
        </w:rPr>
        <w:t xml:space="preserve"> مجانب للصواب فقال: </w:t>
      </w:r>
      <w:r>
        <w:rPr>
          <w:rFonts w:hint="eastAsia"/>
          <w:rtl/>
        </w:rPr>
        <w:t>«</w:t>
      </w:r>
      <w:r>
        <w:rPr>
          <w:rFonts w:hint="cs"/>
          <w:rtl/>
        </w:rPr>
        <w:t>خطأ  والله أعلم أن الظاهر : الانتفاء</w:t>
      </w:r>
      <w:r>
        <w:rPr>
          <w:rFonts w:hint="eastAsia"/>
          <w:rtl/>
        </w:rPr>
        <w:t>»</w:t>
      </w:r>
      <w:r>
        <w:rPr>
          <w:rFonts w:hint="cs"/>
          <w:rtl/>
        </w:rPr>
        <w:t>.</w:t>
      </w:r>
    </w:p>
    <w:p w:rsidR="00035BE3" w:rsidRDefault="00035BE3" w:rsidP="00C10469">
      <w:pPr>
        <w:pStyle w:val="a6"/>
        <w:spacing w:line="228" w:lineRule="auto"/>
        <w:ind w:left="420" w:firstLine="0"/>
        <w:rPr>
          <w:rtl/>
        </w:rPr>
      </w:pPr>
      <w:r>
        <w:rPr>
          <w:rFonts w:hint="cs"/>
          <w:rtl/>
        </w:rPr>
        <w:t xml:space="preserve">فلعلَّ لفظ </w:t>
      </w:r>
      <w:r>
        <w:rPr>
          <w:rFonts w:hint="eastAsia"/>
          <w:rtl/>
        </w:rPr>
        <w:t>«</w:t>
      </w:r>
      <w:r>
        <w:rPr>
          <w:rFonts w:hint="cs"/>
          <w:rtl/>
        </w:rPr>
        <w:t>الانتفاع</w:t>
      </w:r>
      <w:r>
        <w:rPr>
          <w:rFonts w:hint="eastAsia"/>
          <w:rtl/>
        </w:rPr>
        <w:t>»</w:t>
      </w:r>
      <w:r>
        <w:rPr>
          <w:rFonts w:hint="cs"/>
          <w:rtl/>
        </w:rPr>
        <w:t xml:space="preserve"> مصحَّف من قبل الناسخ الأول من لفظ </w:t>
      </w:r>
      <w:r>
        <w:rPr>
          <w:rFonts w:hint="eastAsia"/>
          <w:rtl/>
        </w:rPr>
        <w:t>«</w:t>
      </w:r>
      <w:r>
        <w:rPr>
          <w:rFonts w:hint="cs"/>
          <w:rtl/>
        </w:rPr>
        <w:t>الامتناع</w:t>
      </w:r>
      <w:r>
        <w:rPr>
          <w:rFonts w:hint="eastAsia"/>
          <w:rtl/>
        </w:rPr>
        <w:t>»</w:t>
      </w:r>
      <w:r>
        <w:rPr>
          <w:rFonts w:hint="cs"/>
          <w:rtl/>
        </w:rPr>
        <w:t xml:space="preserve"> أو </w:t>
      </w:r>
      <w:r>
        <w:rPr>
          <w:rFonts w:hint="eastAsia"/>
          <w:rtl/>
        </w:rPr>
        <w:t>«</w:t>
      </w:r>
      <w:r>
        <w:rPr>
          <w:rFonts w:hint="cs"/>
          <w:rtl/>
        </w:rPr>
        <w:t>الانتفاء</w:t>
      </w:r>
      <w:r>
        <w:rPr>
          <w:rFonts w:hint="eastAsia"/>
          <w:rtl/>
        </w:rPr>
        <w:t>»</w:t>
      </w:r>
      <w:r>
        <w:rPr>
          <w:rFonts w:hint="cs"/>
          <w:rtl/>
        </w:rPr>
        <w:t>.</w:t>
      </w:r>
    </w:p>
  </w:footnote>
  <w:footnote w:id="2472">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الملاعيب </w:t>
      </w:r>
      <w:r>
        <w:rPr>
          <w:rFonts w:hint="eastAsia"/>
          <w:rtl/>
        </w:rPr>
        <w:t>»</w:t>
      </w:r>
      <w:r>
        <w:rPr>
          <w:rFonts w:hint="cs"/>
          <w:rtl/>
        </w:rPr>
        <w:t>.</w:t>
      </w:r>
    </w:p>
  </w:footnote>
  <w:footnote w:id="247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به </w:t>
      </w:r>
      <w:r>
        <w:rPr>
          <w:rFonts w:hint="eastAsia"/>
          <w:rtl/>
        </w:rPr>
        <w:t>»</w:t>
      </w:r>
      <w:r>
        <w:rPr>
          <w:rFonts w:hint="cs"/>
          <w:rtl/>
        </w:rPr>
        <w:t xml:space="preserve"> : ساقطة من (د).</w:t>
      </w:r>
    </w:p>
  </w:footnote>
  <w:footnote w:id="2474">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لم </w:t>
      </w:r>
      <w:r>
        <w:rPr>
          <w:rFonts w:hint="eastAsia"/>
          <w:rtl/>
        </w:rPr>
        <w:t>»</w:t>
      </w:r>
      <w:r>
        <w:rPr>
          <w:rFonts w:hint="cs"/>
          <w:rtl/>
        </w:rPr>
        <w:t xml:space="preserve"> : ساقطة من (جـ).</w:t>
      </w:r>
    </w:p>
  </w:footnote>
  <w:footnote w:id="2475">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تمثلوا </w:t>
      </w:r>
      <w:r>
        <w:rPr>
          <w:rFonts w:hint="eastAsia"/>
          <w:rtl/>
        </w:rPr>
        <w:t>»</w:t>
      </w:r>
      <w:r>
        <w:rPr>
          <w:rFonts w:hint="cs"/>
          <w:rtl/>
        </w:rPr>
        <w:t xml:space="preserve">، وفي (ب) : </w:t>
      </w:r>
      <w:r>
        <w:rPr>
          <w:rFonts w:hint="eastAsia"/>
          <w:rtl/>
        </w:rPr>
        <w:t>«</w:t>
      </w:r>
      <w:r>
        <w:rPr>
          <w:rFonts w:hint="cs"/>
          <w:rtl/>
        </w:rPr>
        <w:t xml:space="preserve"> يـمثلوا </w:t>
      </w:r>
      <w:r>
        <w:rPr>
          <w:rFonts w:hint="eastAsia"/>
          <w:rtl/>
        </w:rPr>
        <w:t>»</w:t>
      </w:r>
      <w:r>
        <w:rPr>
          <w:rFonts w:hint="cs"/>
          <w:rtl/>
        </w:rPr>
        <w:t>. والصحيح ما تمَّ إثباته من (د)؛ وهو الموافق للفتاوى البزازية.</w:t>
      </w:r>
    </w:p>
  </w:footnote>
  <w:footnote w:id="2476">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2/265.</w:t>
      </w:r>
    </w:p>
    <w:p w:rsidR="00035BE3" w:rsidRDefault="00035BE3" w:rsidP="00C10469">
      <w:pPr>
        <w:pStyle w:val="a6"/>
        <w:spacing w:line="228" w:lineRule="auto"/>
        <w:ind w:left="420" w:firstLine="0"/>
        <w:rPr>
          <w:rtl/>
        </w:rPr>
      </w:pPr>
      <w:r>
        <w:rPr>
          <w:rFonts w:hint="cs"/>
          <w:b/>
          <w:bCs/>
          <w:rtl/>
        </w:rPr>
        <w:t>والبزَّازية</w:t>
      </w:r>
      <w:r>
        <w:rPr>
          <w:rFonts w:hint="cs"/>
          <w:rtl/>
        </w:rPr>
        <w:t xml:space="preserve"> : كتاب في فتاوى الحنفية، اسمه : الجامع الوجيز، ومشهور بالفتاوى البزازية؛ نسبة إلى مؤلفه وهو محمد بن محمد بن شهاب الخوارزمي الكردري البزازي (ت 827هـ).</w:t>
      </w:r>
    </w:p>
    <w:p w:rsidR="00035BE3" w:rsidRDefault="00035BE3" w:rsidP="00C10469">
      <w:pPr>
        <w:pStyle w:val="a6"/>
        <w:spacing w:line="228" w:lineRule="auto"/>
        <w:ind w:left="420" w:firstLine="0"/>
        <w:rPr>
          <w:rtl/>
        </w:rPr>
      </w:pPr>
      <w:r>
        <w:rPr>
          <w:rFonts w:hint="cs"/>
          <w:rtl/>
        </w:rPr>
        <w:t>وهو كتاب جامع، ذكر فيه خلاصة مسائل الفتاوى والواقعات المختلفة، على رأي الإمام أبي حنيفة وأصحابه. وقد نقل صاحب (كشف الظنون) عن الأئمة أن عليه التعويل.</w:t>
      </w:r>
    </w:p>
    <w:p w:rsidR="00035BE3" w:rsidRDefault="00035BE3" w:rsidP="00C10469">
      <w:pPr>
        <w:pStyle w:val="a6"/>
        <w:spacing w:line="228" w:lineRule="auto"/>
        <w:ind w:left="420" w:firstLine="0"/>
        <w:rPr>
          <w:rtl/>
        </w:rPr>
      </w:pPr>
      <w:r>
        <w:rPr>
          <w:rFonts w:hint="cs"/>
          <w:rtl/>
        </w:rPr>
        <w:t>وطُبع الكتاب عدّة مرات في هامش الأجزاء الثلاثة الأواخر من الفتاوى الهندية منها :</w:t>
      </w:r>
    </w:p>
    <w:p w:rsidR="00035BE3" w:rsidRDefault="00035BE3" w:rsidP="00C10469">
      <w:pPr>
        <w:pStyle w:val="a6"/>
        <w:spacing w:line="228" w:lineRule="auto"/>
        <w:ind w:left="420" w:firstLine="0"/>
        <w:rPr>
          <w:rtl/>
        </w:rPr>
      </w:pPr>
      <w:r>
        <w:rPr>
          <w:rFonts w:hint="cs"/>
          <w:b/>
          <w:bCs/>
          <w:rtl/>
        </w:rPr>
        <w:t>1</w:t>
      </w:r>
      <w:r>
        <w:rPr>
          <w:rFonts w:hint="cs"/>
          <w:rtl/>
        </w:rPr>
        <w:t>- المطبعة الكاستلية، عام 1282 هـ/ 1865م.</w:t>
      </w:r>
    </w:p>
    <w:p w:rsidR="00035BE3" w:rsidRDefault="00035BE3" w:rsidP="00C10469">
      <w:pPr>
        <w:pStyle w:val="a6"/>
        <w:spacing w:line="228" w:lineRule="auto"/>
        <w:ind w:left="420" w:firstLine="0"/>
        <w:rPr>
          <w:rtl/>
        </w:rPr>
      </w:pPr>
      <w:r>
        <w:rPr>
          <w:rFonts w:hint="cs"/>
          <w:b/>
          <w:bCs/>
          <w:rtl/>
        </w:rPr>
        <w:t>2</w:t>
      </w:r>
      <w:r>
        <w:rPr>
          <w:rFonts w:hint="cs"/>
          <w:rtl/>
        </w:rPr>
        <w:t>- المطبعة الأميرية ببولاق، عام 1310هـ-1311هـ ، الطبعة الثانية.</w:t>
      </w:r>
    </w:p>
    <w:p w:rsidR="00035BE3" w:rsidRDefault="00035BE3" w:rsidP="00C10469">
      <w:pPr>
        <w:pStyle w:val="a6"/>
        <w:spacing w:line="228" w:lineRule="auto"/>
        <w:ind w:left="420" w:firstLine="0"/>
        <w:rPr>
          <w:rtl/>
        </w:rPr>
      </w:pPr>
      <w:r>
        <w:rPr>
          <w:rFonts w:hint="cs"/>
          <w:b/>
          <w:bCs/>
          <w:rtl/>
        </w:rPr>
        <w:t>3</w:t>
      </w:r>
      <w:r>
        <w:rPr>
          <w:rFonts w:hint="cs"/>
          <w:rtl/>
        </w:rPr>
        <w:t>- دار إحياء التراث العربي ببيروت، عام 1406هـ، الطبعة الرابعة.</w:t>
      </w:r>
    </w:p>
    <w:p w:rsidR="00035BE3" w:rsidRPr="00BE58DD" w:rsidRDefault="00035BE3" w:rsidP="00C10469">
      <w:pPr>
        <w:pStyle w:val="a6"/>
        <w:spacing w:line="228" w:lineRule="auto"/>
        <w:ind w:left="420" w:firstLine="0"/>
        <w:rPr>
          <w:sz w:val="29"/>
          <w:szCs w:val="29"/>
          <w:rtl/>
        </w:rPr>
      </w:pPr>
      <w:r w:rsidRPr="00BE58DD">
        <w:rPr>
          <w:rFonts w:hint="cs"/>
          <w:sz w:val="29"/>
          <w:szCs w:val="29"/>
          <w:rtl/>
        </w:rPr>
        <w:t>انظر: مقدمة الفتاوى البزازية، 1/2، وآخرها، 3/479-480؛ كشف الظنون، 1/242؛ هدية العارفين، 2/185؛ الفوائد البهية، ص187؛ المدخل الفقهي العام، 1/190، فقرة 69؛ مرجع العلوم الإسلامية، ص495.</w:t>
      </w:r>
    </w:p>
  </w:footnote>
  <w:footnote w:id="24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ص330 (ل12/أ)، قاعدة 29.</w:t>
      </w:r>
    </w:p>
  </w:footnote>
  <w:footnote w:id="24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لا </w:t>
      </w:r>
      <w:r>
        <w:rPr>
          <w:rFonts w:hint="eastAsia"/>
          <w:rtl/>
        </w:rPr>
        <w:t>»</w:t>
      </w:r>
      <w:r>
        <w:rPr>
          <w:rFonts w:hint="cs"/>
          <w:rtl/>
        </w:rPr>
        <w:t xml:space="preserve"> وليس (إلى).</w:t>
      </w:r>
    </w:p>
  </w:footnote>
  <w:footnote w:id="24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يدل </w:t>
      </w:r>
      <w:r>
        <w:rPr>
          <w:rFonts w:hint="eastAsia"/>
          <w:rtl/>
        </w:rPr>
        <w:t>»</w:t>
      </w:r>
      <w:r>
        <w:rPr>
          <w:rFonts w:hint="cs"/>
          <w:rtl/>
        </w:rPr>
        <w:t xml:space="preserve">. والمناسب هو ما تمَّ إثباته من (ب)، وهو الموافق لمصدر هذه القاعدة (وهو الدّرر)، ولكي ينسجم الضمير المسـتـتر العائد إلى (الحال) هنا مع الضمير العائد إليها في قوله: </w:t>
      </w:r>
      <w:r>
        <w:rPr>
          <w:rFonts w:hint="eastAsia"/>
          <w:rtl/>
        </w:rPr>
        <w:t>«</w:t>
      </w:r>
      <w:r>
        <w:rPr>
          <w:rFonts w:hint="cs"/>
          <w:rtl/>
        </w:rPr>
        <w:t>قبلها</w:t>
      </w:r>
      <w:r>
        <w:rPr>
          <w:rFonts w:hint="eastAsia"/>
          <w:rtl/>
        </w:rPr>
        <w:t>»</w:t>
      </w:r>
      <w:r>
        <w:rPr>
          <w:rFonts w:hint="cs"/>
          <w:rtl/>
        </w:rPr>
        <w:t>، في كونهما مؤنـثـين.</w:t>
      </w:r>
    </w:p>
  </w:footnote>
  <w:footnote w:id="2480">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eastAsia"/>
          <w:spacing w:val="-4"/>
          <w:rtl/>
        </w:rPr>
        <w:t>«</w:t>
      </w:r>
      <w:r>
        <w:rPr>
          <w:rFonts w:hint="cs"/>
          <w:spacing w:val="-4"/>
          <w:rtl/>
        </w:rPr>
        <w:t>ما</w:t>
      </w:r>
      <w:r>
        <w:rPr>
          <w:rFonts w:hint="eastAsia"/>
          <w:spacing w:val="-4"/>
          <w:rtl/>
        </w:rPr>
        <w:t>»</w:t>
      </w:r>
      <w:r>
        <w:rPr>
          <w:rFonts w:hint="cs"/>
          <w:spacing w:val="-4"/>
          <w:rtl/>
        </w:rPr>
        <w:t>: زيادة من (ب) و(جـ)؛ والأسلوب بدونها يكون ركيكًا، وهي مذكورة في (الدرر شرح الغرر).</w:t>
      </w:r>
    </w:p>
  </w:footnote>
  <w:footnote w:id="2481">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هذه القاعدة وجل ما جاء فيها مذكورة في الدّرر شرح الغرر، 2/417، وقد سبق أن أشار إليها المؤلف عرضًا بلفظ : </w:t>
      </w:r>
      <w:r>
        <w:rPr>
          <w:rFonts w:hint="eastAsia"/>
          <w:spacing w:val="-4"/>
          <w:rtl/>
        </w:rPr>
        <w:t>«</w:t>
      </w:r>
      <w:r>
        <w:rPr>
          <w:rFonts w:hint="cs"/>
          <w:spacing w:val="-4"/>
          <w:rtl/>
        </w:rPr>
        <w:t>تحكيم الحال</w:t>
      </w:r>
      <w:r>
        <w:rPr>
          <w:rFonts w:hint="eastAsia"/>
          <w:spacing w:val="-4"/>
          <w:rtl/>
        </w:rPr>
        <w:t>»</w:t>
      </w:r>
      <w:r>
        <w:rPr>
          <w:rFonts w:hint="cs"/>
          <w:spacing w:val="-4"/>
          <w:rtl/>
        </w:rPr>
        <w:t>، وذلك ص333 (ل12/ب)، وما قيل في توثيقها هناك يمكن أن يقال هنا.</w:t>
      </w:r>
    </w:p>
  </w:footnote>
  <w:footnote w:id="24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فقامت </w:t>
      </w:r>
      <w:r>
        <w:rPr>
          <w:rFonts w:hint="eastAsia"/>
          <w:rtl/>
        </w:rPr>
        <w:t>»</w:t>
      </w:r>
      <w:r>
        <w:rPr>
          <w:rFonts w:hint="cs"/>
          <w:rtl/>
        </w:rPr>
        <w:t>.</w:t>
      </w:r>
    </w:p>
  </w:footnote>
  <w:footnote w:id="24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عرسه </w:t>
      </w:r>
      <w:r>
        <w:rPr>
          <w:rFonts w:hint="cs"/>
          <w:rtl/>
        </w:rPr>
        <w:t xml:space="preserve">: أي امرأته. قال في (القامـوس) : </w:t>
      </w:r>
      <w:r>
        <w:rPr>
          <w:rFonts w:hint="eastAsia"/>
          <w:rtl/>
        </w:rPr>
        <w:t>«</w:t>
      </w:r>
      <w:r>
        <w:rPr>
          <w:rFonts w:hint="cs"/>
          <w:rtl/>
        </w:rPr>
        <w:t>العِرْس (بالكسـر) : امرأة الرجل، ورَجُلُها، ولبؤة الأسد، .. [والجمع] أعراس</w:t>
      </w:r>
      <w:r>
        <w:rPr>
          <w:rFonts w:hint="eastAsia"/>
          <w:rtl/>
        </w:rPr>
        <w:t>»</w:t>
      </w:r>
      <w:r>
        <w:rPr>
          <w:rFonts w:hint="cs"/>
          <w:rtl/>
        </w:rPr>
        <w:t>.</w:t>
      </w:r>
    </w:p>
    <w:p w:rsidR="00035BE3" w:rsidRDefault="00035BE3" w:rsidP="00C10469">
      <w:pPr>
        <w:pStyle w:val="a6"/>
        <w:ind w:left="422" w:firstLine="0"/>
        <w:rPr>
          <w:rtl/>
        </w:rPr>
      </w:pPr>
      <w:r>
        <w:rPr>
          <w:rFonts w:hint="cs"/>
          <w:rtl/>
        </w:rPr>
        <w:t xml:space="preserve">القاموس المحيط، مادة </w:t>
      </w:r>
      <w:r>
        <w:rPr>
          <w:rFonts w:hint="eastAsia"/>
          <w:rtl/>
        </w:rPr>
        <w:t>«</w:t>
      </w:r>
      <w:r>
        <w:rPr>
          <w:rFonts w:hint="cs"/>
          <w:rtl/>
        </w:rPr>
        <w:t xml:space="preserve"> عرس </w:t>
      </w:r>
      <w:r>
        <w:rPr>
          <w:rFonts w:hint="eastAsia"/>
          <w:rtl/>
        </w:rPr>
        <w:t>»</w:t>
      </w:r>
      <w:r>
        <w:rPr>
          <w:rFonts w:hint="cs"/>
          <w:rtl/>
        </w:rPr>
        <w:t xml:space="preserve">، ص718؛ وانظر : المعجم الوسيط، مادة </w:t>
      </w:r>
      <w:r>
        <w:rPr>
          <w:rFonts w:hint="eastAsia"/>
          <w:rtl/>
        </w:rPr>
        <w:t>«</w:t>
      </w:r>
      <w:r>
        <w:rPr>
          <w:rFonts w:hint="cs"/>
          <w:rtl/>
        </w:rPr>
        <w:t>عرس</w:t>
      </w:r>
      <w:r>
        <w:rPr>
          <w:rFonts w:hint="eastAsia"/>
          <w:rtl/>
        </w:rPr>
        <w:t>»</w:t>
      </w:r>
      <w:r>
        <w:rPr>
          <w:rFonts w:hint="cs"/>
          <w:rtl/>
        </w:rPr>
        <w:t>، 2/592.</w:t>
      </w:r>
    </w:p>
  </w:footnote>
  <w:footnote w:id="24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29/ب من (ب).</w:t>
      </w:r>
    </w:p>
  </w:footnote>
  <w:footnote w:id="24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ورثة </w:t>
      </w:r>
      <w:r>
        <w:rPr>
          <w:rFonts w:hint="eastAsia"/>
          <w:rtl/>
        </w:rPr>
        <w:t>»</w:t>
      </w:r>
      <w:r>
        <w:rPr>
          <w:rFonts w:hint="cs"/>
          <w:rtl/>
        </w:rPr>
        <w:t>.</w:t>
      </w:r>
    </w:p>
  </w:footnote>
  <w:footnote w:id="24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قبل </w:t>
      </w:r>
      <w:r>
        <w:rPr>
          <w:rFonts w:hint="eastAsia"/>
          <w:rtl/>
        </w:rPr>
        <w:t>»</w:t>
      </w:r>
      <w:r>
        <w:rPr>
          <w:rFonts w:hint="cs"/>
          <w:rtl/>
        </w:rPr>
        <w:t xml:space="preserve"> (بإسقاط الهاء). وجاء في الدّرر : </w:t>
      </w:r>
      <w:r>
        <w:rPr>
          <w:rFonts w:hint="eastAsia"/>
          <w:rtl/>
        </w:rPr>
        <w:t>«</w:t>
      </w:r>
      <w:r>
        <w:rPr>
          <w:rFonts w:hint="cs"/>
          <w:rtl/>
        </w:rPr>
        <w:t>بل قبله</w:t>
      </w:r>
      <w:r>
        <w:rPr>
          <w:rFonts w:hint="eastAsia"/>
          <w:rtl/>
        </w:rPr>
        <w:t>»</w:t>
      </w:r>
      <w:r>
        <w:rPr>
          <w:rFonts w:hint="cs"/>
          <w:rtl/>
        </w:rPr>
        <w:t>.</w:t>
      </w:r>
    </w:p>
  </w:footnote>
  <w:footnote w:id="24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45/أ  من (أ).</w:t>
      </w:r>
    </w:p>
  </w:footnote>
  <w:footnote w:id="24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rtl/>
        </w:rPr>
        <w:t>«</w:t>
      </w:r>
      <w:r>
        <w:rPr>
          <w:rFonts w:hint="cs"/>
          <w:rtl/>
        </w:rPr>
        <w:t>يدل</w:t>
      </w:r>
      <w:r>
        <w:rPr>
          <w:rFonts w:hint="eastAsia"/>
          <w:rtl/>
        </w:rPr>
        <w:t>»</w:t>
      </w:r>
      <w:r>
        <w:rPr>
          <w:rFonts w:hint="cs"/>
          <w:rtl/>
        </w:rPr>
        <w:t>. والمناسب ما تمَّ إثباته من (هـ) و(و)، وهو الموافق للدّرر.</w:t>
      </w:r>
    </w:p>
  </w:footnote>
  <w:footnote w:id="24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ما </w:t>
      </w:r>
      <w:r>
        <w:rPr>
          <w:rFonts w:hint="eastAsia"/>
          <w:rtl/>
        </w:rPr>
        <w:t>»</w:t>
      </w:r>
      <w:r>
        <w:rPr>
          <w:rFonts w:hint="cs"/>
          <w:rtl/>
        </w:rPr>
        <w:t xml:space="preserve"> : زيادة من (هـ) و(و)؛ وفاقًا لنص القاعدة وللدّرر.</w:t>
      </w:r>
    </w:p>
  </w:footnote>
  <w:footnote w:id="24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وانقطائه </w:t>
      </w:r>
      <w:r>
        <w:rPr>
          <w:rFonts w:hint="eastAsia"/>
          <w:rtl/>
        </w:rPr>
        <w:t>»</w:t>
      </w:r>
      <w:r>
        <w:rPr>
          <w:rFonts w:hint="cs"/>
          <w:rtl/>
        </w:rPr>
        <w:t>.</w:t>
      </w:r>
    </w:p>
  </w:footnote>
  <w:footnote w:id="24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عن </w:t>
      </w:r>
      <w:r>
        <w:rPr>
          <w:rFonts w:hint="eastAsia"/>
          <w:rtl/>
        </w:rPr>
        <w:t>»</w:t>
      </w:r>
      <w:r>
        <w:rPr>
          <w:rFonts w:hint="cs"/>
          <w:rtl/>
        </w:rPr>
        <w:t>.</w:t>
      </w:r>
    </w:p>
  </w:footnote>
  <w:footnote w:id="24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2/417 -مع الاختلاف اليسير الذي سبق بيانه-.</w:t>
      </w:r>
    </w:p>
  </w:footnote>
  <w:footnote w:id="24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تعبير</w:t>
      </w:r>
      <w:r>
        <w:rPr>
          <w:rFonts w:hint="eastAsia"/>
          <w:rtl/>
        </w:rPr>
        <w:t>»</w:t>
      </w:r>
      <w:r>
        <w:rPr>
          <w:rFonts w:hint="cs"/>
          <w:rtl/>
        </w:rPr>
        <w:t>.</w:t>
      </w:r>
    </w:p>
  </w:footnote>
  <w:footnote w:id="24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للرفع </w:t>
      </w:r>
      <w:r>
        <w:rPr>
          <w:rFonts w:hint="eastAsia"/>
          <w:rtl/>
        </w:rPr>
        <w:t>»</w:t>
      </w:r>
      <w:r>
        <w:rPr>
          <w:rFonts w:hint="cs"/>
          <w:rtl/>
        </w:rPr>
        <w:t>.</w:t>
      </w:r>
    </w:p>
  </w:footnote>
  <w:footnote w:id="24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شرح الغرر : </w:t>
      </w:r>
      <w:r>
        <w:rPr>
          <w:rFonts w:hint="eastAsia"/>
          <w:rtl/>
        </w:rPr>
        <w:t>«</w:t>
      </w:r>
      <w:r>
        <w:rPr>
          <w:rFonts w:hint="cs"/>
          <w:rtl/>
        </w:rPr>
        <w:t>... وإن لم يعتبر ...</w:t>
      </w:r>
      <w:r>
        <w:rPr>
          <w:rFonts w:hint="eastAsia"/>
          <w:rtl/>
        </w:rPr>
        <w:t>»</w:t>
      </w:r>
      <w:r>
        <w:rPr>
          <w:rFonts w:hint="cs"/>
          <w:rtl/>
        </w:rPr>
        <w:t xml:space="preserve"> (بزيادة : إن ).</w:t>
      </w:r>
    </w:p>
  </w:footnote>
  <w:footnote w:id="24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بمعنى قاعدة سبق أن تكلم عنها المؤلف استقلالاً، وهي : </w:t>
      </w:r>
      <w:r>
        <w:rPr>
          <w:rFonts w:hint="eastAsia"/>
          <w:rtl/>
        </w:rPr>
        <w:t>«</w:t>
      </w:r>
      <w:r>
        <w:rPr>
          <w:rFonts w:hint="cs"/>
          <w:rtl/>
        </w:rPr>
        <w:t>الاستصحاب حجة دافعة لا مثبتة</w:t>
      </w:r>
      <w:r>
        <w:rPr>
          <w:rFonts w:hint="eastAsia"/>
          <w:rtl/>
        </w:rPr>
        <w:t>»</w:t>
      </w:r>
      <w:r>
        <w:rPr>
          <w:rFonts w:hint="cs"/>
          <w:rtl/>
        </w:rPr>
        <w:t xml:space="preserve"> وذلك ص307 (ل10/أ)، قاعدة 22.</w:t>
      </w:r>
    </w:p>
  </w:footnote>
  <w:footnote w:id="24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2/417.</w:t>
      </w:r>
    </w:p>
  </w:footnote>
  <w:footnote w:id="2498">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و(جـ) و(د) : </w:t>
      </w:r>
      <w:r>
        <w:rPr>
          <w:rFonts w:hint="eastAsia"/>
          <w:spacing w:val="4"/>
          <w:rtl/>
        </w:rPr>
        <w:t>«</w:t>
      </w:r>
      <w:r>
        <w:rPr>
          <w:rFonts w:hint="cs"/>
          <w:spacing w:val="4"/>
          <w:rtl/>
        </w:rPr>
        <w:t>والمرأة</w:t>
      </w:r>
      <w:r>
        <w:rPr>
          <w:rFonts w:hint="eastAsia"/>
          <w:spacing w:val="4"/>
          <w:rtl/>
        </w:rPr>
        <w:t>»</w:t>
      </w:r>
      <w:r>
        <w:rPr>
          <w:rFonts w:hint="cs"/>
          <w:spacing w:val="4"/>
          <w:rtl/>
        </w:rPr>
        <w:t xml:space="preserve"> (بزيادة الواو). وإثباتها يجعل الأسلوب ركيكًا؛ لهذا تم إسقاطها كما في نسخة (ب).</w:t>
      </w:r>
    </w:p>
  </w:footnote>
  <w:footnote w:id="24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28/ب من (د).</w:t>
      </w:r>
    </w:p>
  </w:footnote>
  <w:footnote w:id="25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مصححّة في (و)، وفي باقي النسخ  : </w:t>
      </w:r>
      <w:r>
        <w:rPr>
          <w:rFonts w:hint="eastAsia"/>
          <w:rtl/>
        </w:rPr>
        <w:t>«</w:t>
      </w:r>
      <w:r>
        <w:rPr>
          <w:rFonts w:hint="cs"/>
          <w:rtl/>
        </w:rPr>
        <w:t>الأصل</w:t>
      </w:r>
      <w:r>
        <w:rPr>
          <w:rFonts w:hint="eastAsia"/>
          <w:rtl/>
        </w:rPr>
        <w:t>»</w:t>
      </w:r>
      <w:r>
        <w:rPr>
          <w:rFonts w:hint="cs"/>
          <w:rtl/>
        </w:rPr>
        <w:t xml:space="preserve">. والذي يشهد له المعنى ما في (و). </w:t>
      </w:r>
    </w:p>
    <w:p w:rsidR="00035BE3" w:rsidRDefault="00035BE3" w:rsidP="00C10469">
      <w:pPr>
        <w:pStyle w:val="a6"/>
        <w:ind w:left="422" w:firstLine="0"/>
        <w:rPr>
          <w:rtl/>
        </w:rPr>
      </w:pPr>
      <w:r>
        <w:rPr>
          <w:rFonts w:hint="cs"/>
          <w:rtl/>
        </w:rPr>
        <w:t xml:space="preserve">وكلمة </w:t>
      </w:r>
      <w:r>
        <w:rPr>
          <w:rFonts w:hint="eastAsia"/>
          <w:rtl/>
        </w:rPr>
        <w:t>«</w:t>
      </w:r>
      <w:r>
        <w:rPr>
          <w:rFonts w:hint="cs"/>
          <w:rtl/>
        </w:rPr>
        <w:t>الأصل</w:t>
      </w:r>
      <w:r>
        <w:rPr>
          <w:rFonts w:hint="eastAsia"/>
          <w:rtl/>
        </w:rPr>
        <w:t>»</w:t>
      </w:r>
      <w:r>
        <w:rPr>
          <w:rFonts w:hint="cs"/>
          <w:rtl/>
        </w:rPr>
        <w:t xml:space="preserve"> نهاية 35/أ من (جـ).</w:t>
      </w:r>
    </w:p>
  </w:footnote>
  <w:footnote w:id="25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ص330(ل12/أ)، قاعدة 29.</w:t>
      </w:r>
    </w:p>
  </w:footnote>
  <w:footnote w:id="25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من هذا </w:t>
      </w:r>
      <w:r>
        <w:rPr>
          <w:rFonts w:hint="eastAsia"/>
          <w:rtl/>
        </w:rPr>
        <w:t>»</w:t>
      </w:r>
      <w:r>
        <w:rPr>
          <w:rFonts w:hint="cs"/>
          <w:rtl/>
        </w:rPr>
        <w:t>.</w:t>
      </w:r>
    </w:p>
  </w:footnote>
  <w:footnote w:id="25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بينة </w:t>
      </w:r>
      <w:r>
        <w:rPr>
          <w:rFonts w:hint="eastAsia"/>
          <w:rtl/>
        </w:rPr>
        <w:t>»</w:t>
      </w:r>
      <w:r>
        <w:rPr>
          <w:rFonts w:hint="cs"/>
          <w:rtl/>
        </w:rPr>
        <w:t xml:space="preserve"> : ساقطة من (جـ).</w:t>
      </w:r>
    </w:p>
  </w:footnote>
  <w:footnote w:id="25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تدرأ </w:t>
      </w:r>
      <w:r>
        <w:rPr>
          <w:rFonts w:hint="eastAsia"/>
          <w:rtl/>
        </w:rPr>
        <w:t>»</w:t>
      </w:r>
      <w:r>
        <w:rPr>
          <w:rFonts w:hint="cs"/>
          <w:rtl/>
        </w:rPr>
        <w:t>.</w:t>
      </w:r>
    </w:p>
  </w:footnote>
  <w:footnote w:id="25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8"/>
          <w:rtl/>
        </w:rPr>
      </w:pPr>
      <w:r>
        <w:rPr>
          <w:rFonts w:hint="cs"/>
          <w:spacing w:val="8"/>
          <w:rtl/>
        </w:rPr>
        <w:t xml:space="preserve">قواعد الأحكام للعز بن عبد السلام، 2/137 - ولفظه: </w:t>
      </w:r>
      <w:r>
        <w:rPr>
          <w:rFonts w:hint="eastAsia"/>
          <w:spacing w:val="8"/>
          <w:rtl/>
        </w:rPr>
        <w:t>«</w:t>
      </w:r>
      <w:r>
        <w:rPr>
          <w:rFonts w:hint="cs"/>
          <w:spacing w:val="8"/>
          <w:rtl/>
        </w:rPr>
        <w:t>قاعدة في الشبهات الدارئة للحدود</w:t>
      </w:r>
      <w:r>
        <w:rPr>
          <w:rFonts w:hint="eastAsia"/>
          <w:spacing w:val="8"/>
          <w:rtl/>
        </w:rPr>
        <w:t>»</w:t>
      </w:r>
      <w:r>
        <w:rPr>
          <w:rFonts w:hint="cs"/>
          <w:spacing w:val="8"/>
          <w:rtl/>
        </w:rPr>
        <w:t xml:space="preserve">-؛ أنوار البروق للقرافي، 4/172 -ولفظه: </w:t>
      </w:r>
      <w:r>
        <w:rPr>
          <w:rFonts w:hint="eastAsia"/>
          <w:spacing w:val="8"/>
          <w:rtl/>
        </w:rPr>
        <w:t>«</w:t>
      </w:r>
      <w:r>
        <w:rPr>
          <w:rFonts w:hint="cs"/>
          <w:spacing w:val="8"/>
          <w:rtl/>
        </w:rPr>
        <w:t>الفرق الرابع والأربعون والمائتان: بين قاعدة ما هو شبهة تدرأ بها الحدود والكفارات، وقاعدة ما ليس كذلك</w:t>
      </w:r>
      <w:r>
        <w:rPr>
          <w:rFonts w:hint="eastAsia"/>
          <w:spacing w:val="8"/>
          <w:rtl/>
        </w:rPr>
        <w:t>»</w:t>
      </w:r>
      <w:r>
        <w:rPr>
          <w:rFonts w:hint="cs"/>
          <w:spacing w:val="8"/>
          <w:rtl/>
        </w:rPr>
        <w:t xml:space="preserve">-؛ ترتيب الفروق واخـتصارها للبقوري، 2/314؛ تـهذيب الفروق لابن حسين، 4/202؛ القواعد للحصني، 4/75؛ الأشباه والنظائر للسيوطي، 1/281- ولفظه: </w:t>
      </w:r>
      <w:r>
        <w:rPr>
          <w:rFonts w:hint="eastAsia"/>
          <w:spacing w:val="8"/>
          <w:rtl/>
        </w:rPr>
        <w:t>«</w:t>
      </w:r>
      <w:r>
        <w:rPr>
          <w:rFonts w:hint="cs"/>
          <w:spacing w:val="8"/>
          <w:rtl/>
        </w:rPr>
        <w:t>الحدود تسقط بالشبهات</w:t>
      </w:r>
      <w:r>
        <w:rPr>
          <w:rFonts w:hint="eastAsia"/>
          <w:spacing w:val="8"/>
          <w:rtl/>
        </w:rPr>
        <w:t>»</w:t>
      </w:r>
      <w:r>
        <w:rPr>
          <w:rFonts w:hint="cs"/>
          <w:spacing w:val="8"/>
          <w:rtl/>
        </w:rPr>
        <w:t xml:space="preserve">-؛ ولابن نجيـم، ص154، 325 - ولفظه في الموضعين: </w:t>
      </w:r>
      <w:r>
        <w:rPr>
          <w:rFonts w:hint="eastAsia"/>
          <w:spacing w:val="8"/>
          <w:rtl/>
        </w:rPr>
        <w:t>«</w:t>
      </w:r>
      <w:r>
        <w:rPr>
          <w:rFonts w:hint="cs"/>
          <w:spacing w:val="8"/>
          <w:rtl/>
        </w:rPr>
        <w:t>الحدود تدرأ بالشبهات</w:t>
      </w:r>
      <w:r>
        <w:rPr>
          <w:rFonts w:hint="eastAsia"/>
          <w:spacing w:val="8"/>
          <w:rtl/>
        </w:rPr>
        <w:t>»</w:t>
      </w:r>
      <w:r>
        <w:rPr>
          <w:rFonts w:hint="cs"/>
          <w:spacing w:val="8"/>
          <w:rtl/>
        </w:rPr>
        <w:t xml:space="preserve">-؛ الفرائد البهية وشرحاها: الأقمار المضيئة، ص171؛ والمواهب السنية وحاشيتها: الفوائد الجنية، 2/133؛ قواعد الفقه للمجدّدي، ص76، قاعدة 111؛ القواعد الفقهية للدكتور علي الندوي، ص205، 223، 278 -ولفظه الأول كلفظ السيوطي-؛ </w:t>
      </w:r>
      <w:r w:rsidRPr="008E161D">
        <w:rPr>
          <w:rFonts w:hint="cs"/>
          <w:rtl/>
        </w:rPr>
        <w:t xml:space="preserve">الوجيز، ص248 - ولفظه: </w:t>
      </w:r>
      <w:r w:rsidRPr="008E161D">
        <w:rPr>
          <w:rFonts w:hint="eastAsia"/>
          <w:rtl/>
        </w:rPr>
        <w:t>«</w:t>
      </w:r>
      <w:r w:rsidRPr="008E161D">
        <w:rPr>
          <w:rFonts w:hint="cs"/>
          <w:rtl/>
        </w:rPr>
        <w:t>وجوب درء الحدود بالشبهات</w:t>
      </w:r>
      <w:r w:rsidRPr="008E161D">
        <w:rPr>
          <w:rFonts w:hint="eastAsia"/>
          <w:rtl/>
        </w:rPr>
        <w:t>»</w:t>
      </w:r>
      <w:r w:rsidRPr="008E161D">
        <w:rPr>
          <w:rFonts w:hint="cs"/>
          <w:rtl/>
        </w:rPr>
        <w:t xml:space="preserve">-؛ قواعد الفقه الإسلامي </w:t>
      </w:r>
      <w:r>
        <w:rPr>
          <w:rFonts w:hint="cs"/>
          <w:spacing w:val="8"/>
          <w:rtl/>
        </w:rPr>
        <w:t>للدكتور محمد الروكي، ص268؛ المدخل إلى القواعد الفقهية، ص166؛ المبادئ الفقهية، ص21.</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بدائع الصنائع، 7/76؛ المغني، 12/344؛ المصفى للنسفي، ل44/ب؛ الدّرر شرح الغرر، 2/64؛ مواهب الجليل للحطاب، 5/469؛ مغني المحتاج، 4/133.</w:t>
      </w:r>
    </w:p>
    <w:p w:rsidR="00035BE3" w:rsidRDefault="00035BE3" w:rsidP="00C10469">
      <w:pPr>
        <w:pStyle w:val="a6"/>
        <w:ind w:left="422" w:firstLine="0"/>
        <w:rPr>
          <w:rtl/>
        </w:rPr>
      </w:pPr>
      <w:r>
        <w:rPr>
          <w:rFonts w:hint="cs"/>
          <w:rtl/>
        </w:rPr>
        <w:t>وقبل الانتهاء من توثيق القاعدة تحسن الإشارة إلى أنه أُفرد للحديث عن موضوعها كتاب مستقبل يقع في  577 صفحة، وهو (أثر الشبهات في درء الحدود)، للدكتور سعيد بن مسفر الوادعي.</w:t>
      </w:r>
    </w:p>
  </w:footnote>
  <w:footnote w:id="25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تشبه </w:t>
      </w:r>
      <w:r>
        <w:rPr>
          <w:rFonts w:hint="eastAsia"/>
          <w:rtl/>
        </w:rPr>
        <w:t>»</w:t>
      </w:r>
      <w:r>
        <w:rPr>
          <w:rFonts w:hint="cs"/>
          <w:rtl/>
        </w:rPr>
        <w:t>.</w:t>
      </w:r>
    </w:p>
  </w:footnote>
  <w:footnote w:id="25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وفتح القدير، 5/249؛ الدرر شرح الغرر، 2/64؛ الأشباه والنظائر لابن نجيم، ص154.</w:t>
      </w:r>
    </w:p>
  </w:footnote>
  <w:footnote w:id="25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45/ب من (أ).</w:t>
      </w:r>
    </w:p>
  </w:footnote>
  <w:footnote w:id="2509">
    <w:p w:rsidR="00035BE3" w:rsidRDefault="00035BE3" w:rsidP="00C10469">
      <w:pPr>
        <w:pStyle w:val="a8"/>
        <w:bidi/>
        <w:spacing w:line="44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و(جـ) : </w:t>
      </w:r>
      <w:r>
        <w:rPr>
          <w:rFonts w:hint="eastAsia"/>
          <w:spacing w:val="4"/>
          <w:rtl/>
        </w:rPr>
        <w:t>«</w:t>
      </w:r>
      <w:r>
        <w:rPr>
          <w:rFonts w:hint="cs"/>
          <w:spacing w:val="4"/>
          <w:rtl/>
        </w:rPr>
        <w:t xml:space="preserve"> انـدرؤا </w:t>
      </w:r>
      <w:r>
        <w:rPr>
          <w:rFonts w:hint="eastAsia"/>
          <w:spacing w:val="4"/>
          <w:rtl/>
        </w:rPr>
        <w:t>»</w:t>
      </w:r>
      <w:r>
        <w:rPr>
          <w:rFonts w:hint="cs"/>
          <w:spacing w:val="4"/>
          <w:rtl/>
        </w:rPr>
        <w:t xml:space="preserve">، وفي (ب) : </w:t>
      </w:r>
      <w:r>
        <w:rPr>
          <w:rFonts w:hint="eastAsia"/>
          <w:spacing w:val="4"/>
          <w:rtl/>
        </w:rPr>
        <w:t>«</w:t>
      </w:r>
      <w:r>
        <w:rPr>
          <w:rFonts w:hint="cs"/>
          <w:spacing w:val="4"/>
          <w:rtl/>
        </w:rPr>
        <w:t xml:space="preserve">إيـدرؤا </w:t>
      </w:r>
      <w:r>
        <w:rPr>
          <w:rFonts w:hint="eastAsia"/>
          <w:spacing w:val="4"/>
          <w:rtl/>
        </w:rPr>
        <w:t>»</w:t>
      </w:r>
      <w:r>
        <w:rPr>
          <w:rFonts w:hint="cs"/>
          <w:spacing w:val="4"/>
          <w:rtl/>
        </w:rPr>
        <w:t>. والصحيح ما تمَّ إثباته من (د)؛ وفاقًا للفظ الحديث.</w:t>
      </w:r>
    </w:p>
  </w:footnote>
  <w:footnote w:id="2510">
    <w:p w:rsidR="00035BE3" w:rsidRDefault="00035BE3" w:rsidP="00C10469">
      <w:pPr>
        <w:pStyle w:val="a8"/>
        <w:bidi/>
        <w:spacing w:line="44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هذا الحديث صرّح بعض المحدثين بغرابته، وعدم الوقوف عليه مرفوعًا بهذا اللفظ، ومن ذلك : ما قال ابن كثير في (تحفة الطالب في معرفة أحاديث مختصر ابن الحاجب)، 1/226-227 : </w:t>
      </w:r>
      <w:r>
        <w:rPr>
          <w:rFonts w:hint="eastAsia"/>
          <w:spacing w:val="4"/>
          <w:rtl/>
        </w:rPr>
        <w:t>«</w:t>
      </w:r>
      <w:r>
        <w:rPr>
          <w:rFonts w:hint="cs"/>
          <w:spacing w:val="4"/>
          <w:rtl/>
        </w:rPr>
        <w:t xml:space="preserve">ادرؤوا الحدود بالشبهات : لم أرَ هذا الحديث بهذا اللفظ، وأقرب شيء إليه ما رواه الترمذي عن عائشة قالت : قال رسول الله </w:t>
      </w:r>
      <w:r>
        <w:rPr>
          <w:rFonts w:ascii="AGA Arabesque" w:hAnsi="AGA Arabesque"/>
          <w:spacing w:val="4"/>
          <w:sz w:val="36"/>
          <w:szCs w:val="36"/>
        </w:rPr>
        <w:t></w:t>
      </w:r>
      <w:r>
        <w:rPr>
          <w:rFonts w:hint="cs"/>
          <w:spacing w:val="4"/>
          <w:rtl/>
        </w:rPr>
        <w:t xml:space="preserve"> : </w:t>
      </w:r>
      <w:r>
        <w:rPr>
          <w:rFonts w:hint="eastAsia"/>
          <w:spacing w:val="4"/>
          <w:rtl/>
        </w:rPr>
        <w:t>«</w:t>
      </w:r>
      <w:r>
        <w:rPr>
          <w:rFonts w:hint="cs"/>
          <w:spacing w:val="4"/>
          <w:rtl/>
        </w:rPr>
        <w:t>ادرؤوا الحدود عن المسلمين ما استطعتم</w:t>
      </w:r>
      <w:r>
        <w:rPr>
          <w:rFonts w:hint="eastAsia"/>
          <w:spacing w:val="4"/>
          <w:rtl/>
        </w:rPr>
        <w:t>»»</w:t>
      </w:r>
      <w:r>
        <w:rPr>
          <w:rFonts w:hint="cs"/>
          <w:spacing w:val="4"/>
          <w:rtl/>
        </w:rPr>
        <w:t>- وانظر : نصب الراية، 3/323؛ الدراية، 2/101-.</w:t>
      </w:r>
    </w:p>
    <w:p w:rsidR="00035BE3" w:rsidRDefault="00035BE3" w:rsidP="00C10469">
      <w:pPr>
        <w:pStyle w:val="a6"/>
        <w:ind w:left="422" w:firstLine="0"/>
        <w:rPr>
          <w:rtl/>
        </w:rPr>
      </w:pPr>
      <w:r>
        <w:rPr>
          <w:rFonts w:hint="cs"/>
          <w:rtl/>
        </w:rPr>
        <w:t>وفي هذا دلالة على عدم اشتهار هذا الحديث عند المحدثين.</w:t>
      </w:r>
    </w:p>
    <w:p w:rsidR="00035BE3" w:rsidRDefault="00035BE3" w:rsidP="00C10469">
      <w:pPr>
        <w:pStyle w:val="a6"/>
        <w:ind w:left="422" w:firstLine="0"/>
        <w:rPr>
          <w:rtl/>
        </w:rPr>
      </w:pPr>
      <w:r>
        <w:rPr>
          <w:rFonts w:hint="cs"/>
          <w:rtl/>
        </w:rPr>
        <w:t>- لكنه ورد بلفظه عن ابن عباس مرفوعًا.</w:t>
      </w:r>
    </w:p>
    <w:p w:rsidR="00035BE3" w:rsidRDefault="00035BE3" w:rsidP="00C10469">
      <w:pPr>
        <w:pStyle w:val="a6"/>
        <w:ind w:left="422" w:firstLine="0"/>
        <w:rPr>
          <w:rtl/>
        </w:rPr>
      </w:pPr>
      <w:r>
        <w:rPr>
          <w:rFonts w:hint="cs"/>
          <w:rtl/>
        </w:rPr>
        <w:t xml:space="preserve">- كما ورد بلفظ : </w:t>
      </w:r>
      <w:r>
        <w:rPr>
          <w:rFonts w:hint="eastAsia"/>
          <w:rtl/>
        </w:rPr>
        <w:t>«</w:t>
      </w:r>
      <w:r>
        <w:rPr>
          <w:rFonts w:hint="cs"/>
          <w:rtl/>
        </w:rPr>
        <w:t>ادرؤوا الحدود بالشبهة</w:t>
      </w:r>
      <w:r>
        <w:rPr>
          <w:rFonts w:hint="eastAsia"/>
          <w:rtl/>
        </w:rPr>
        <w:t>»</w:t>
      </w:r>
      <w:r>
        <w:rPr>
          <w:rFonts w:hint="cs"/>
          <w:rtl/>
        </w:rPr>
        <w:t xml:space="preserve"> عن عمر بن عبد العزيز مرسلاً.</w:t>
      </w:r>
    </w:p>
    <w:p w:rsidR="00035BE3" w:rsidRDefault="00035BE3" w:rsidP="00C10469">
      <w:pPr>
        <w:pStyle w:val="a6"/>
        <w:ind w:left="422" w:firstLine="0"/>
        <w:rPr>
          <w:rtl/>
        </w:rPr>
      </w:pPr>
      <w:r>
        <w:rPr>
          <w:rFonts w:hint="cs"/>
          <w:rtl/>
        </w:rPr>
        <w:t>- وأيضًا ورد بنحوه عن عائشة مرفوعًا (باللفظ المذكور آنفًا).</w:t>
      </w:r>
    </w:p>
    <w:p w:rsidR="00035BE3" w:rsidRDefault="00035BE3" w:rsidP="00C10469">
      <w:pPr>
        <w:pStyle w:val="a6"/>
        <w:ind w:left="422" w:firstLine="0"/>
        <w:rPr>
          <w:rtl/>
        </w:rPr>
      </w:pPr>
      <w:r>
        <w:rPr>
          <w:rFonts w:hint="cs"/>
          <w:rtl/>
        </w:rPr>
        <w:t>- وكذلك ورد مرفوعًا بنحوه أو معناه عن علي وأبي هريرة وابن عمر رضي الله عنهم، وكلها لا تخلو من مقال.</w:t>
      </w:r>
    </w:p>
    <w:p w:rsidR="00035BE3" w:rsidRDefault="00035BE3" w:rsidP="00C10469">
      <w:pPr>
        <w:pStyle w:val="a6"/>
        <w:ind w:left="422" w:firstLine="0"/>
        <w:rPr>
          <w:rtl/>
        </w:rPr>
      </w:pPr>
      <w:r>
        <w:rPr>
          <w:rFonts w:hint="cs"/>
          <w:rtl/>
        </w:rPr>
        <w:t>- وورد بنحوه أو معناه موقوفًا عن عمر بن الخطاب وعائشة وابن مسعود ومعاذ وعقبة بن عامر، رضي الله عنهم، وبعضها بأسانيد صحيحة.</w:t>
      </w:r>
    </w:p>
    <w:p w:rsidR="00035BE3" w:rsidRDefault="00035BE3" w:rsidP="00C10469">
      <w:pPr>
        <w:pStyle w:val="a6"/>
        <w:ind w:left="422" w:firstLine="0"/>
        <w:rPr>
          <w:rtl/>
        </w:rPr>
      </w:pPr>
      <w:r>
        <w:rPr>
          <w:rFonts w:hint="cs"/>
          <w:rtl/>
        </w:rPr>
        <w:t>وحيث إن هذا ليس مقام بسط لتخريج هذه الأحاديث والآثار يمكن الاكتفاء بتخريج أقربها لفظا إلى لفظ المؤلف (وهي الأحاديث الثلاثة المشار إليها آنفا)، مع بيان خلاصة ما قاله المحدثون في الأحاديث والآثار الأُخر؛ ولبيان ذلك يقال :</w:t>
      </w:r>
    </w:p>
    <w:p w:rsidR="00035BE3" w:rsidRDefault="00035BE3" w:rsidP="00C10469">
      <w:pPr>
        <w:pStyle w:val="a6"/>
        <w:ind w:left="422" w:firstLine="0"/>
        <w:rPr>
          <w:rtl/>
        </w:rPr>
      </w:pPr>
      <w:r>
        <w:rPr>
          <w:b/>
          <w:bCs/>
          <w:rtl/>
        </w:rPr>
        <w:t>•</w:t>
      </w:r>
      <w:r>
        <w:rPr>
          <w:rFonts w:hint="cs"/>
          <w:b/>
          <w:bCs/>
          <w:rtl/>
        </w:rPr>
        <w:t xml:space="preserve"> ما ورد عن ابن عباس :</w:t>
      </w:r>
      <w:r>
        <w:rPr>
          <w:rFonts w:hint="cs"/>
          <w:rtl/>
        </w:rPr>
        <w:t xml:space="preserve"> أخرجه الإمام أبوحنيفة في مسنده، كتاب الحدود، ص149، ح316، عن مقسم عن ابن عباس  -رضي الله عنهما </w:t>
      </w:r>
      <w:r>
        <w:rPr>
          <w:rtl/>
        </w:rPr>
        <w:t>–</w:t>
      </w:r>
      <w:r>
        <w:rPr>
          <w:rFonts w:hint="cs"/>
          <w:rtl/>
        </w:rPr>
        <w:t xml:space="preserve"> به.</w:t>
      </w:r>
    </w:p>
    <w:p w:rsidR="00035BE3" w:rsidRDefault="00035BE3" w:rsidP="00C10469">
      <w:pPr>
        <w:pStyle w:val="a6"/>
        <w:ind w:left="422" w:firstLine="0"/>
        <w:rPr>
          <w:rtl/>
        </w:rPr>
      </w:pPr>
      <w:r>
        <w:rPr>
          <w:rFonts w:hint="cs"/>
          <w:rtl/>
        </w:rPr>
        <w:t xml:space="preserve">وقد ذكره الألباني في (الإرواء) </w:t>
      </w:r>
      <w:r>
        <w:rPr>
          <w:rtl/>
        </w:rPr>
        <w:t>–</w:t>
      </w:r>
      <w:r>
        <w:rPr>
          <w:rFonts w:hint="cs"/>
          <w:rtl/>
        </w:rPr>
        <w:t xml:space="preserve">7/345، ح2316 </w:t>
      </w:r>
      <w:r>
        <w:rPr>
          <w:rtl/>
        </w:rPr>
        <w:t>–</w:t>
      </w:r>
      <w:r>
        <w:rPr>
          <w:rFonts w:hint="cs"/>
          <w:rtl/>
        </w:rPr>
        <w:t xml:space="preserve"> وقال عقبه : </w:t>
      </w:r>
      <w:r>
        <w:rPr>
          <w:rFonts w:hint="eastAsia"/>
          <w:rtl/>
        </w:rPr>
        <w:t>«</w:t>
      </w:r>
      <w:r>
        <w:rPr>
          <w:rFonts w:hint="cs"/>
          <w:rtl/>
        </w:rPr>
        <w:t>وهو ضعيف</w:t>
      </w:r>
      <w:r>
        <w:rPr>
          <w:rFonts w:hint="eastAsia"/>
          <w:rtl/>
        </w:rPr>
        <w:t>»</w:t>
      </w:r>
      <w:r>
        <w:rPr>
          <w:rFonts w:hint="cs"/>
          <w:rtl/>
        </w:rPr>
        <w:t>.</w:t>
      </w:r>
    </w:p>
    <w:p w:rsidR="00035BE3" w:rsidRDefault="00035BE3" w:rsidP="00C10469">
      <w:pPr>
        <w:pStyle w:val="a6"/>
        <w:ind w:left="422" w:firstLine="0"/>
        <w:rPr>
          <w:rtl/>
        </w:rPr>
      </w:pPr>
      <w:r>
        <w:rPr>
          <w:b/>
          <w:bCs/>
          <w:rtl/>
        </w:rPr>
        <w:t>•</w:t>
      </w:r>
      <w:r>
        <w:rPr>
          <w:rFonts w:hint="cs"/>
          <w:b/>
          <w:bCs/>
          <w:rtl/>
        </w:rPr>
        <w:t xml:space="preserve"> وما ورد عن عمر بن عبد العزيز</w:t>
      </w:r>
      <w:r>
        <w:rPr>
          <w:rFonts w:hint="cs"/>
          <w:rtl/>
        </w:rPr>
        <w:t xml:space="preserve"> :  أخرجه ابن عساكر في تاريخ دمشق، 19/339-340، بسنده عن عمر بن عبد العزيز، فذكر قصة طويلة جاء في آخرها أنّ عمر بن عبد العزيز قال : </w:t>
      </w:r>
      <w:r>
        <w:rPr>
          <w:rFonts w:hint="eastAsia"/>
          <w:rtl/>
        </w:rPr>
        <w:t>«</w:t>
      </w:r>
      <w:r>
        <w:rPr>
          <w:rFonts w:hint="cs"/>
          <w:rtl/>
        </w:rPr>
        <w:t xml:space="preserve">... فإن رسول الله </w:t>
      </w:r>
      <w:r>
        <w:rPr>
          <w:rFonts w:ascii="AGA Arabesque" w:hAnsi="AGA Arabesque"/>
          <w:sz w:val="36"/>
          <w:szCs w:val="36"/>
          <w:lang w:val="en-US"/>
        </w:rPr>
        <w:t></w:t>
      </w:r>
      <w:r>
        <w:rPr>
          <w:rFonts w:hint="cs"/>
          <w:rtl/>
          <w:lang w:val="en-US" w:bidi="ar-AE"/>
        </w:rPr>
        <w:t xml:space="preserve"> قال : </w:t>
      </w:r>
      <w:r>
        <w:rPr>
          <w:rFonts w:hint="eastAsia"/>
          <w:rtl/>
        </w:rPr>
        <w:t>«</w:t>
      </w:r>
      <w:r>
        <w:rPr>
          <w:rFonts w:hint="cs"/>
          <w:rtl/>
        </w:rPr>
        <w:t xml:space="preserve"> </w:t>
      </w:r>
      <w:r>
        <w:rPr>
          <w:rFonts w:cs="DecoType Naskh Swashes" w:hint="cs"/>
          <w:rtl/>
        </w:rPr>
        <w:t>ادرؤوا الحدود بالشبهة</w:t>
      </w:r>
      <w:r>
        <w:rPr>
          <w:rFonts w:hint="cs"/>
          <w:rtl/>
        </w:rPr>
        <w:t xml:space="preserve"> </w:t>
      </w:r>
      <w:r>
        <w:rPr>
          <w:rFonts w:hint="eastAsia"/>
          <w:rtl/>
        </w:rPr>
        <w:t>»»</w:t>
      </w:r>
      <w:r>
        <w:rPr>
          <w:rFonts w:hint="cs"/>
          <w:rtl/>
        </w:rPr>
        <w:t>.</w:t>
      </w:r>
    </w:p>
    <w:p w:rsidR="00035BE3" w:rsidRPr="00325C62" w:rsidRDefault="00035BE3" w:rsidP="00C10469">
      <w:pPr>
        <w:pStyle w:val="a6"/>
        <w:ind w:left="422" w:firstLine="0"/>
        <w:rPr>
          <w:spacing w:val="-4"/>
          <w:rtl/>
        </w:rPr>
      </w:pPr>
      <w:r>
        <w:rPr>
          <w:rFonts w:hint="cs"/>
          <w:rtl/>
        </w:rPr>
        <w:t xml:space="preserve">وقد أورد هذا الحديث صاحب (كشف الخفاء)- 1/73، ح166 </w:t>
      </w:r>
      <w:r>
        <w:rPr>
          <w:rtl/>
        </w:rPr>
        <w:t>–</w:t>
      </w:r>
      <w:r>
        <w:rPr>
          <w:rFonts w:hint="cs"/>
          <w:rtl/>
        </w:rPr>
        <w:t xml:space="preserve"> وعزاه إلى الإمام أبي حنيفة، وابن السمعاني، ونقل رأي الحافظ فيه، فمّما قال: </w:t>
      </w:r>
      <w:r>
        <w:rPr>
          <w:rFonts w:hint="eastAsia"/>
          <w:rtl/>
        </w:rPr>
        <w:t>«</w:t>
      </w:r>
      <w:r>
        <w:rPr>
          <w:rFonts w:hint="cs"/>
          <w:rtl/>
        </w:rPr>
        <w:t xml:space="preserve">...وأخـرجه ابن السمـعـاني عن عمر بن عبد العزيز، فذكر قصة طويلة...[إلى أن قال:] فاغتم عمر، ثم قال: إذا رأيتم مثل هذا في سمته </w:t>
      </w:r>
      <w:r w:rsidRPr="00325C62">
        <w:rPr>
          <w:rFonts w:hint="cs"/>
          <w:spacing w:val="-4"/>
          <w:rtl/>
        </w:rPr>
        <w:t xml:space="preserve">وهيئته وعلمه وفهمه وأدبه فاحملوه على الشبهة؛ فإن رسول الله </w:t>
      </w:r>
      <w:r w:rsidRPr="00325C62">
        <w:rPr>
          <w:rFonts w:ascii="AGA Arabesque" w:hAnsi="AGA Arabesque"/>
          <w:spacing w:val="-4"/>
          <w:sz w:val="36"/>
          <w:szCs w:val="36"/>
          <w:lang w:val="en-US"/>
        </w:rPr>
        <w:t></w:t>
      </w:r>
      <w:r w:rsidRPr="00325C62">
        <w:rPr>
          <w:rFonts w:hint="cs"/>
          <w:spacing w:val="-4"/>
          <w:rtl/>
          <w:lang w:val="en-US" w:bidi="ar-AE"/>
        </w:rPr>
        <w:t xml:space="preserve"> قال: </w:t>
      </w:r>
      <w:r w:rsidRPr="00325C62">
        <w:rPr>
          <w:rFonts w:hint="eastAsia"/>
          <w:spacing w:val="-4"/>
          <w:rtl/>
        </w:rPr>
        <w:t>«</w:t>
      </w:r>
      <w:r w:rsidRPr="00325C62">
        <w:rPr>
          <w:rFonts w:hint="cs"/>
          <w:spacing w:val="-4"/>
          <w:rtl/>
        </w:rPr>
        <w:t>ادرؤوا الحدود بالشبهات</w:t>
      </w:r>
      <w:r w:rsidRPr="00325C62">
        <w:rPr>
          <w:rFonts w:hint="eastAsia"/>
          <w:spacing w:val="-4"/>
          <w:rtl/>
        </w:rPr>
        <w:t>»</w:t>
      </w:r>
      <w:r w:rsidRPr="00325C62">
        <w:rPr>
          <w:rFonts w:hint="cs"/>
          <w:spacing w:val="-4"/>
          <w:rtl/>
        </w:rPr>
        <w:t>.</w:t>
      </w:r>
    </w:p>
    <w:p w:rsidR="00035BE3" w:rsidRDefault="00035BE3" w:rsidP="00C10469">
      <w:pPr>
        <w:pStyle w:val="a6"/>
        <w:ind w:left="422" w:firstLine="0"/>
        <w:rPr>
          <w:rtl/>
        </w:rPr>
      </w:pPr>
      <w:r>
        <w:rPr>
          <w:rFonts w:hint="cs"/>
          <w:rtl/>
        </w:rPr>
        <w:t xml:space="preserve">قال شيخنا </w:t>
      </w:r>
      <w:r>
        <w:rPr>
          <w:rtl/>
        </w:rPr>
        <w:t>–</w:t>
      </w:r>
      <w:r>
        <w:rPr>
          <w:rFonts w:hint="cs"/>
          <w:rtl/>
        </w:rPr>
        <w:t xml:space="preserve"> يعني الحافظ ابن حجر </w:t>
      </w:r>
      <w:r>
        <w:rPr>
          <w:rtl/>
        </w:rPr>
        <w:t>–</w:t>
      </w:r>
      <w:r>
        <w:rPr>
          <w:rFonts w:hint="cs"/>
          <w:rtl/>
        </w:rPr>
        <w:t xml:space="preserve"> وفي سنده من لا يُعرف. انتهى. وقال الحافظ ابن حجر في (تخريج أحاديث مسند الفردوس) : اشتهر على ألسنة، والمعروف في كتب الحديث أنه من قول عمر بن الخطاب بغير لفظه. انتهى ...</w:t>
      </w:r>
      <w:r>
        <w:rPr>
          <w:rFonts w:hint="eastAsia"/>
          <w:rtl/>
        </w:rPr>
        <w:t xml:space="preserve"> »</w:t>
      </w:r>
      <w:r>
        <w:rPr>
          <w:rFonts w:hint="cs"/>
          <w:rtl/>
        </w:rPr>
        <w:t>.</w:t>
      </w:r>
    </w:p>
    <w:p w:rsidR="00035BE3" w:rsidRDefault="00035BE3" w:rsidP="00C10469">
      <w:pPr>
        <w:pStyle w:val="a6"/>
        <w:ind w:left="422" w:firstLine="0"/>
        <w:rPr>
          <w:rtl/>
        </w:rPr>
      </w:pPr>
      <w:r>
        <w:rPr>
          <w:rFonts w:hint="cs"/>
          <w:rtl/>
        </w:rPr>
        <w:t xml:space="preserve">- كما أورده الألباني في (الإرواء) </w:t>
      </w:r>
      <w:r>
        <w:rPr>
          <w:rtl/>
        </w:rPr>
        <w:t>–</w:t>
      </w:r>
      <w:r>
        <w:rPr>
          <w:rFonts w:hint="cs"/>
          <w:rtl/>
        </w:rPr>
        <w:t xml:space="preserve"> 7/343، ح2316- وحكم عليه بأنه : </w:t>
      </w:r>
      <w:r>
        <w:rPr>
          <w:rFonts w:hint="eastAsia"/>
          <w:rtl/>
        </w:rPr>
        <w:t>«</w:t>
      </w:r>
      <w:r>
        <w:rPr>
          <w:rFonts w:hint="cs"/>
          <w:rtl/>
        </w:rPr>
        <w:t>ضعيف</w:t>
      </w:r>
      <w:r>
        <w:rPr>
          <w:rFonts w:hint="eastAsia"/>
          <w:rtl/>
        </w:rPr>
        <w:t>»</w:t>
      </w:r>
      <w:r>
        <w:rPr>
          <w:rFonts w:hint="cs"/>
          <w:rtl/>
        </w:rPr>
        <w:t>.</w:t>
      </w:r>
    </w:p>
    <w:p w:rsidR="00035BE3" w:rsidRDefault="00035BE3" w:rsidP="00C10469">
      <w:pPr>
        <w:pStyle w:val="a6"/>
        <w:ind w:left="422" w:firstLine="0"/>
        <w:rPr>
          <w:rtl/>
        </w:rPr>
      </w:pPr>
      <w:r>
        <w:rPr>
          <w:b/>
          <w:bCs/>
          <w:rtl/>
        </w:rPr>
        <w:t>•</w:t>
      </w:r>
      <w:r>
        <w:rPr>
          <w:rFonts w:hint="cs"/>
          <w:b/>
          <w:bCs/>
          <w:rtl/>
        </w:rPr>
        <w:t xml:space="preserve"> أما حديث عائشة</w:t>
      </w:r>
      <w:r>
        <w:rPr>
          <w:rFonts w:hint="cs"/>
          <w:rtl/>
        </w:rPr>
        <w:t xml:space="preserve"> : فقد أخرجه الترمذي، كتاب الحدود، باب ما جاء في درء الحدود، 4/33، ح1424 بسنده عن عائشة مرفوعًا : </w:t>
      </w:r>
      <w:r>
        <w:rPr>
          <w:rFonts w:hint="eastAsia"/>
          <w:rtl/>
        </w:rPr>
        <w:t>«</w:t>
      </w:r>
      <w:r>
        <w:rPr>
          <w:rFonts w:hint="cs"/>
          <w:rtl/>
        </w:rPr>
        <w:t>ادرؤوا الحدود عن المسلمين ما استطعتم</w:t>
      </w:r>
      <w:r>
        <w:rPr>
          <w:rFonts w:hint="eastAsia"/>
          <w:rtl/>
        </w:rPr>
        <w:t>»</w:t>
      </w:r>
      <w:r>
        <w:rPr>
          <w:rFonts w:hint="cs"/>
          <w:rtl/>
        </w:rPr>
        <w:t>؛ والدارقطني بمثل اللفظ السابق، كتاب الحدود والديات وغيره، 3/84؛ والحاكم بمثله، كتاب الحدود، 4/426؛ والبيهقي بمثله، كتاب الحدود، باب ما جاء في درء الحدود بالشبهات، 8/238؛ وبنحوه، كتاب السّير، باب الرجل من المسلمين قد شهد الحرب يقع على الجارية من السبي قبل القسم، 9/123؛ والخطيب بمثله، في تاريخ بغداد، 5/331، ح2856.</w:t>
      </w:r>
    </w:p>
    <w:p w:rsidR="00035BE3" w:rsidRDefault="00035BE3" w:rsidP="00C10469">
      <w:pPr>
        <w:pStyle w:val="a6"/>
        <w:ind w:left="422" w:firstLine="0"/>
        <w:rPr>
          <w:rtl/>
        </w:rPr>
      </w:pPr>
      <w:r>
        <w:rPr>
          <w:rFonts w:hint="cs"/>
          <w:rtl/>
        </w:rPr>
        <w:t>وممّا قاله المحدثون في هذا الحديث :</w:t>
      </w:r>
    </w:p>
    <w:p w:rsidR="00035BE3" w:rsidRDefault="00035BE3" w:rsidP="00C10469">
      <w:pPr>
        <w:pStyle w:val="a6"/>
        <w:ind w:left="422" w:firstLine="0"/>
        <w:rPr>
          <w:rtl/>
        </w:rPr>
      </w:pPr>
      <w:r>
        <w:rPr>
          <w:rFonts w:hint="cs"/>
          <w:rtl/>
        </w:rPr>
        <w:t>-</w:t>
      </w:r>
      <w:r>
        <w:t xml:space="preserve"> </w:t>
      </w:r>
      <w:r>
        <w:rPr>
          <w:rFonts w:hint="cs"/>
          <w:rtl/>
        </w:rPr>
        <w:t xml:space="preserve">ما جاء في سنن الترمذي -4/33- : </w:t>
      </w:r>
      <w:r>
        <w:rPr>
          <w:rFonts w:hint="eastAsia"/>
          <w:rtl/>
        </w:rPr>
        <w:t>«</w:t>
      </w:r>
      <w:r>
        <w:rPr>
          <w:rFonts w:hint="cs"/>
          <w:rtl/>
        </w:rPr>
        <w:t xml:space="preserve">حديث عائشة لا نعرفه مرفوعًا إلا من حديث محمد بن ربيعة عن يزيد بن زياد الدّمشقي عن الزهري عن عروة عن عائشة عن النبي </w:t>
      </w:r>
      <w:r>
        <w:rPr>
          <w:rFonts w:ascii="AGA Arabesque" w:hAnsi="AGA Arabesque"/>
          <w:sz w:val="36"/>
          <w:szCs w:val="36"/>
          <w:lang w:val="en-US"/>
        </w:rPr>
        <w:t></w:t>
      </w:r>
      <w:r>
        <w:rPr>
          <w:rFonts w:hint="cs"/>
          <w:rtl/>
        </w:rPr>
        <w:t xml:space="preserve"> .</w:t>
      </w:r>
    </w:p>
    <w:p w:rsidR="00035BE3" w:rsidRDefault="00035BE3" w:rsidP="00C10469">
      <w:pPr>
        <w:pStyle w:val="a6"/>
        <w:ind w:left="422" w:firstLine="0"/>
        <w:rPr>
          <w:rtl/>
          <w:lang w:bidi="ar-AE"/>
        </w:rPr>
      </w:pPr>
      <w:r>
        <w:rPr>
          <w:rFonts w:hint="cs"/>
          <w:rtl/>
          <w:lang w:bidi="ar-AE"/>
        </w:rPr>
        <w:t>ورواه وكيع عن يزيد بن زياد نحوه، ولم يرفعه.</w:t>
      </w:r>
    </w:p>
    <w:p w:rsidR="00035BE3" w:rsidRDefault="00035BE3" w:rsidP="00C10469">
      <w:pPr>
        <w:pStyle w:val="a6"/>
        <w:ind w:left="422" w:firstLine="0"/>
        <w:rPr>
          <w:rtl/>
          <w:lang w:bidi="ar-AE"/>
        </w:rPr>
      </w:pPr>
      <w:r>
        <w:rPr>
          <w:rFonts w:hint="cs"/>
          <w:rtl/>
          <w:lang w:bidi="ar-AE"/>
        </w:rPr>
        <w:t>ورواية وكيع أصح.</w:t>
      </w:r>
    </w:p>
    <w:p w:rsidR="00035BE3" w:rsidRDefault="00035BE3" w:rsidP="00C10469">
      <w:pPr>
        <w:pStyle w:val="a6"/>
        <w:ind w:left="422" w:firstLine="0"/>
        <w:rPr>
          <w:rtl/>
        </w:rPr>
      </w:pPr>
      <w:r>
        <w:rPr>
          <w:rFonts w:hint="cs"/>
          <w:rtl/>
        </w:rPr>
        <w:t xml:space="preserve">وقد روي نحو هذا عن غير واحد من أصحاب النبي </w:t>
      </w:r>
      <w:r>
        <w:rPr>
          <w:rFonts w:ascii="AGA Arabesque" w:hAnsi="AGA Arabesque"/>
          <w:sz w:val="36"/>
          <w:szCs w:val="36"/>
          <w:lang w:val="en-US"/>
        </w:rPr>
        <w:t></w:t>
      </w:r>
      <w:r>
        <w:rPr>
          <w:rFonts w:hint="cs"/>
          <w:rtl/>
        </w:rPr>
        <w:t xml:space="preserve"> أنهم قالو مثل ذلك. ويزيد بن زياد الدمشقي ضعيف في الحديث. ويزيد بن أبي زياد الكوفي أثبت من هذا وأقدم</w:t>
      </w:r>
      <w:r>
        <w:rPr>
          <w:rFonts w:hint="eastAsia"/>
          <w:rtl/>
        </w:rPr>
        <w:t>»</w:t>
      </w:r>
      <w:r>
        <w:rPr>
          <w:rFonts w:hint="cs"/>
          <w:rtl/>
        </w:rPr>
        <w:t>.</w:t>
      </w:r>
    </w:p>
    <w:p w:rsidR="00035BE3" w:rsidRDefault="00035BE3" w:rsidP="00C10469">
      <w:pPr>
        <w:pStyle w:val="a6"/>
        <w:ind w:left="422" w:firstLine="0"/>
        <w:rPr>
          <w:rtl/>
        </w:rPr>
      </w:pPr>
      <w:r>
        <w:rPr>
          <w:rFonts w:hint="cs"/>
          <w:rtl/>
        </w:rPr>
        <w:t xml:space="preserve">- وجاء في سنن البيهقي </w:t>
      </w:r>
      <w:r>
        <w:rPr>
          <w:rtl/>
        </w:rPr>
        <w:t>–</w:t>
      </w:r>
      <w:r>
        <w:rPr>
          <w:rFonts w:hint="cs"/>
          <w:rtl/>
        </w:rPr>
        <w:t xml:space="preserve">8/238- نحو هذا الكلام، وزاد عليه : </w:t>
      </w:r>
      <w:r>
        <w:rPr>
          <w:rFonts w:hint="eastAsia"/>
          <w:rtl/>
        </w:rPr>
        <w:t>«</w:t>
      </w:r>
      <w:r>
        <w:rPr>
          <w:rFonts w:hint="cs"/>
          <w:rtl/>
        </w:rPr>
        <w:t>... ورواه رشدين بن سعد عن عقيل عن الزهري مرفوعًا. ورشدين : ضعيف</w:t>
      </w:r>
      <w:r>
        <w:rPr>
          <w:rFonts w:hint="eastAsia"/>
          <w:rtl/>
        </w:rPr>
        <w:t>»</w:t>
      </w:r>
      <w:r>
        <w:rPr>
          <w:rFonts w:hint="cs"/>
          <w:rtl/>
        </w:rPr>
        <w:t>.</w:t>
      </w:r>
    </w:p>
    <w:p w:rsidR="00035BE3" w:rsidRDefault="00035BE3" w:rsidP="00C10469">
      <w:pPr>
        <w:pStyle w:val="a6"/>
        <w:ind w:left="422" w:firstLine="0"/>
        <w:rPr>
          <w:rtl/>
        </w:rPr>
      </w:pPr>
      <w:r>
        <w:rPr>
          <w:rFonts w:hint="cs"/>
          <w:rtl/>
        </w:rPr>
        <w:t xml:space="preserve">- وجاء في المستدرك </w:t>
      </w:r>
      <w:r>
        <w:rPr>
          <w:rtl/>
        </w:rPr>
        <w:t>–</w:t>
      </w:r>
      <w:r>
        <w:rPr>
          <w:rFonts w:hint="cs"/>
          <w:rtl/>
        </w:rPr>
        <w:t xml:space="preserve"> 4/426- : </w:t>
      </w:r>
      <w:r>
        <w:rPr>
          <w:rFonts w:hint="eastAsia"/>
          <w:rtl/>
        </w:rPr>
        <w:t>«</w:t>
      </w:r>
      <w:r>
        <w:rPr>
          <w:rFonts w:hint="cs"/>
          <w:rtl/>
        </w:rPr>
        <w:t>هذا حديث صحيح الإسناد، ولم يخرّجاه</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 وقد تعقّبه الذّهبي في الـتّلخيص -4/426- فقال : </w:t>
      </w:r>
      <w:r>
        <w:rPr>
          <w:rFonts w:hint="eastAsia"/>
          <w:spacing w:val="6"/>
          <w:rtl/>
        </w:rPr>
        <w:t>«</w:t>
      </w:r>
      <w:r>
        <w:rPr>
          <w:rFonts w:hint="cs"/>
          <w:spacing w:val="6"/>
          <w:rtl/>
        </w:rPr>
        <w:t>قلت : قال النسائي : يزيد بن زياد شاميّ متروك</w:t>
      </w:r>
      <w:r>
        <w:rPr>
          <w:rFonts w:hint="eastAsia"/>
          <w:spacing w:val="6"/>
          <w:rtl/>
        </w:rPr>
        <w:t>»</w:t>
      </w:r>
      <w:r>
        <w:rPr>
          <w:rFonts w:hint="cs"/>
          <w:spacing w:val="6"/>
          <w:rtl/>
        </w:rPr>
        <w:t>.</w:t>
      </w:r>
    </w:p>
    <w:p w:rsidR="00035BE3" w:rsidRDefault="00035BE3" w:rsidP="00C10469">
      <w:pPr>
        <w:pStyle w:val="a6"/>
        <w:ind w:left="-32" w:firstLine="454"/>
        <w:rPr>
          <w:rtl/>
        </w:rPr>
      </w:pPr>
      <w:r>
        <w:rPr>
          <w:rtl/>
        </w:rPr>
        <w:t>•</w:t>
      </w:r>
      <w:r>
        <w:rPr>
          <w:rFonts w:hint="cs"/>
          <w:rtl/>
        </w:rPr>
        <w:t xml:space="preserve"> وممّا جاء في الحكم على بقية الأحاديث والآثار، والنتيجة المستفاذة منها : </w:t>
      </w:r>
    </w:p>
    <w:p w:rsidR="00035BE3" w:rsidRDefault="00035BE3" w:rsidP="00C10469">
      <w:pPr>
        <w:pStyle w:val="a6"/>
        <w:ind w:left="422" w:firstLine="0"/>
        <w:rPr>
          <w:spacing w:val="-2"/>
          <w:rtl/>
        </w:rPr>
      </w:pPr>
      <w:r>
        <w:rPr>
          <w:rFonts w:hint="cs"/>
          <w:spacing w:val="-2"/>
          <w:rtl/>
        </w:rPr>
        <w:t xml:space="preserve">ما جاء في تحفة الأحوذي -4/573-574- : </w:t>
      </w:r>
      <w:r>
        <w:rPr>
          <w:rFonts w:hint="eastAsia"/>
          <w:spacing w:val="-2"/>
          <w:rtl/>
        </w:rPr>
        <w:t>«</w:t>
      </w:r>
      <w:r>
        <w:rPr>
          <w:rFonts w:hint="cs"/>
          <w:spacing w:val="-2"/>
          <w:rtl/>
        </w:rPr>
        <w:t>قوله : وفي الباب عن أبي هريرة وعبد الله بن عمرو :</w:t>
      </w:r>
    </w:p>
    <w:p w:rsidR="00035BE3" w:rsidRDefault="00035BE3" w:rsidP="00C10469">
      <w:pPr>
        <w:pStyle w:val="a6"/>
        <w:ind w:left="422" w:firstLine="0"/>
        <w:rPr>
          <w:spacing w:val="6"/>
          <w:rtl/>
        </w:rPr>
      </w:pPr>
      <w:r>
        <w:rPr>
          <w:rFonts w:hint="cs"/>
          <w:spacing w:val="6"/>
          <w:rtl/>
        </w:rPr>
        <w:t xml:space="preserve">- أما حديث أبي هريرة فأخرجه ابن ماجه بإسناد ضعيف، ولفظه : </w:t>
      </w:r>
      <w:r>
        <w:rPr>
          <w:rFonts w:hint="eastAsia"/>
          <w:spacing w:val="6"/>
          <w:rtl/>
        </w:rPr>
        <w:t>«</w:t>
      </w:r>
      <w:r>
        <w:rPr>
          <w:rFonts w:hint="cs"/>
          <w:spacing w:val="6"/>
          <w:rtl/>
        </w:rPr>
        <w:t>ادفعوا الحدود ما وجدتم لها مدفعًا</w:t>
      </w:r>
      <w:r>
        <w:rPr>
          <w:rFonts w:hint="eastAsia"/>
          <w:spacing w:val="6"/>
          <w:rtl/>
        </w:rPr>
        <w:t>»</w:t>
      </w:r>
      <w:r>
        <w:rPr>
          <w:rFonts w:hint="cs"/>
          <w:spacing w:val="6"/>
          <w:rtl/>
        </w:rPr>
        <w:t>.</w:t>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t xml:space="preserve"> </w:t>
      </w:r>
    </w:p>
    <w:p w:rsidR="00035BE3" w:rsidRDefault="00035BE3" w:rsidP="00C10469">
      <w:pPr>
        <w:pStyle w:val="a6"/>
        <w:ind w:left="422" w:firstLine="0"/>
        <w:rPr>
          <w:rtl/>
        </w:rPr>
      </w:pPr>
      <w:r>
        <w:rPr>
          <w:rFonts w:hint="cs"/>
          <w:rtl/>
        </w:rPr>
        <w:t xml:space="preserve">- وأما حديث عبد الله بن عمرو </w:t>
      </w:r>
      <w:r>
        <w:rPr>
          <w:rtl/>
        </w:rPr>
        <w:t>–</w:t>
      </w:r>
      <w:r>
        <w:rPr>
          <w:rFonts w:hint="cs"/>
          <w:rtl/>
        </w:rPr>
        <w:t xml:space="preserve"> وهو بالواو </w:t>
      </w:r>
      <w:r>
        <w:rPr>
          <w:rtl/>
        </w:rPr>
        <w:t>–</w:t>
      </w:r>
      <w:r>
        <w:rPr>
          <w:rFonts w:hint="cs"/>
          <w:rtl/>
        </w:rPr>
        <w:t xml:space="preserve"> فأخرجه أبو داود والنسائي مرفوعًا، ولفظه: </w:t>
      </w:r>
      <w:r>
        <w:rPr>
          <w:rFonts w:hint="eastAsia"/>
          <w:rtl/>
        </w:rPr>
        <w:t>«</w:t>
      </w:r>
      <w:r>
        <w:rPr>
          <w:rFonts w:hint="cs"/>
          <w:rtl/>
        </w:rPr>
        <w:t>تعافوا الحدود فيما بينكم، فما بلغني فقد وجب</w:t>
      </w:r>
      <w:r>
        <w:rPr>
          <w:rFonts w:hint="eastAsia"/>
          <w:rtl/>
        </w:rPr>
        <w:t>»</w:t>
      </w:r>
      <w:r>
        <w:rPr>
          <w:rFonts w:hint="cs"/>
          <w:rtl/>
        </w:rPr>
        <w:t>.</w:t>
      </w:r>
    </w:p>
    <w:p w:rsidR="00035BE3" w:rsidRDefault="00035BE3" w:rsidP="00C10469">
      <w:pPr>
        <w:pStyle w:val="a6"/>
        <w:ind w:left="422" w:firstLine="0"/>
        <w:rPr>
          <w:rtl/>
        </w:rPr>
      </w:pPr>
      <w:r>
        <w:rPr>
          <w:rFonts w:hint="cs"/>
          <w:rtl/>
        </w:rPr>
        <w:t xml:space="preserve">- وما جاء في (نيل الأوطار) </w:t>
      </w:r>
      <w:r>
        <w:rPr>
          <w:rtl/>
        </w:rPr>
        <w:t>–</w:t>
      </w:r>
      <w:r>
        <w:rPr>
          <w:rFonts w:hint="cs"/>
          <w:rtl/>
        </w:rPr>
        <w:t xml:space="preserve">7/272- : </w:t>
      </w:r>
      <w:r>
        <w:rPr>
          <w:rFonts w:hint="eastAsia"/>
          <w:rtl/>
        </w:rPr>
        <w:t>«</w:t>
      </w:r>
      <w:r>
        <w:rPr>
          <w:rFonts w:hint="cs"/>
          <w:rtl/>
        </w:rPr>
        <w:t xml:space="preserve">وفي الباب عن علي مرفوعًا : </w:t>
      </w:r>
      <w:r>
        <w:rPr>
          <w:rFonts w:hint="eastAsia"/>
          <w:rtl/>
        </w:rPr>
        <w:t>«</w:t>
      </w:r>
      <w:r>
        <w:rPr>
          <w:rFonts w:hint="cs"/>
          <w:rtl/>
        </w:rPr>
        <w:t>ادرؤوا الحدود بالشبهات</w:t>
      </w:r>
      <w:r>
        <w:rPr>
          <w:rFonts w:hint="eastAsia"/>
          <w:rtl/>
        </w:rPr>
        <w:t>»</w:t>
      </w:r>
      <w:r>
        <w:rPr>
          <w:rFonts w:hint="cs"/>
          <w:rtl/>
        </w:rPr>
        <w:t>. وفيه : المختار بن نافع. قال البخاري : وهو منكر الحديث .</w:t>
      </w:r>
    </w:p>
    <w:p w:rsidR="00035BE3" w:rsidRDefault="00035BE3" w:rsidP="00C10469">
      <w:pPr>
        <w:pStyle w:val="a6"/>
        <w:ind w:left="422" w:firstLine="0"/>
        <w:rPr>
          <w:rtl/>
        </w:rPr>
      </w:pPr>
      <w:r>
        <w:rPr>
          <w:rFonts w:hint="cs"/>
          <w:rtl/>
        </w:rPr>
        <w:t>- وقال : وأصح ما فيه : حديث سفيان الثوري عن عاصم عن أبي وائل عن عبد الله بن مسعود قال: ادرؤوا الحدود بالشبهات، ادفعوا القتل عن المسلمين ما استطعتم.</w:t>
      </w:r>
    </w:p>
    <w:p w:rsidR="00035BE3" w:rsidRDefault="00035BE3" w:rsidP="00C10469">
      <w:pPr>
        <w:pStyle w:val="a6"/>
        <w:ind w:left="422" w:firstLine="0"/>
        <w:rPr>
          <w:rtl/>
        </w:rPr>
      </w:pPr>
      <w:r>
        <w:rPr>
          <w:rFonts w:hint="cs"/>
          <w:rtl/>
        </w:rPr>
        <w:t>- وروي عن عقبة بن عامر، ومعاذ أيضًا موقوفًا.</w:t>
      </w:r>
    </w:p>
    <w:p w:rsidR="00035BE3" w:rsidRDefault="00035BE3" w:rsidP="00C10469">
      <w:pPr>
        <w:pStyle w:val="a6"/>
        <w:ind w:left="422" w:firstLine="0"/>
        <w:rPr>
          <w:rtl/>
        </w:rPr>
      </w:pPr>
      <w:r>
        <w:rPr>
          <w:rFonts w:hint="cs"/>
          <w:rtl/>
        </w:rPr>
        <w:t xml:space="preserve">- وروي منقطعًا وموقوفًا على عمر. ورواه ابن حزم في كتاب (الاتصال) عن عمر موقوفًا عليه. قال الحافظ : وإسناده صحيح. ورواه ابن أبي شيبة من طريق إبراهيم النخعي عن عمر بلفظ : </w:t>
      </w:r>
      <w:r>
        <w:rPr>
          <w:rFonts w:hint="eastAsia"/>
          <w:rtl/>
        </w:rPr>
        <w:t>«</w:t>
      </w:r>
      <w:r>
        <w:rPr>
          <w:rFonts w:hint="cs"/>
          <w:rtl/>
        </w:rPr>
        <w:t>لأَن أخطىء في الحدود بالشبهات أحبّ إليّ من أن أقيمها بالشبهات</w:t>
      </w:r>
      <w:r>
        <w:rPr>
          <w:rFonts w:hint="eastAsia"/>
          <w:rtl/>
        </w:rPr>
        <w:t>»</w:t>
      </w:r>
      <w:r>
        <w:rPr>
          <w:rFonts w:hint="cs"/>
          <w:rtl/>
        </w:rPr>
        <w:t>.</w:t>
      </w:r>
    </w:p>
    <w:p w:rsidR="00035BE3" w:rsidRDefault="00035BE3" w:rsidP="00C10469">
      <w:pPr>
        <w:pStyle w:val="a6"/>
        <w:ind w:left="422" w:firstLine="0"/>
        <w:rPr>
          <w:rtl/>
        </w:rPr>
      </w:pPr>
      <w:r>
        <w:rPr>
          <w:rFonts w:hint="cs"/>
          <w:rtl/>
        </w:rPr>
        <w:t xml:space="preserve">وفي مسـنـد أبـي حنـيفة للحارثي من طريق مقسم عن ابن عباس مرفوعًا بلفظ : </w:t>
      </w:r>
      <w:r>
        <w:rPr>
          <w:rFonts w:hint="eastAsia"/>
          <w:rtl/>
        </w:rPr>
        <w:t>«</w:t>
      </w:r>
      <w:r>
        <w:rPr>
          <w:rFonts w:hint="cs"/>
          <w:rtl/>
        </w:rPr>
        <w:t>ادرؤوا الحدود بالشبهات</w:t>
      </w:r>
      <w:r>
        <w:rPr>
          <w:rFonts w:hint="eastAsia"/>
          <w:rtl/>
        </w:rPr>
        <w:t>»</w:t>
      </w:r>
      <w:r>
        <w:rPr>
          <w:rFonts w:hint="cs"/>
          <w:rtl/>
        </w:rPr>
        <w:t>.</w:t>
      </w:r>
    </w:p>
    <w:p w:rsidR="00035BE3" w:rsidRDefault="00035BE3" w:rsidP="00C10469">
      <w:pPr>
        <w:pStyle w:val="a6"/>
        <w:ind w:left="422" w:firstLine="0"/>
        <w:rPr>
          <w:rtl/>
        </w:rPr>
      </w:pPr>
      <w:r>
        <w:rPr>
          <w:rFonts w:hint="cs"/>
          <w:rtl/>
        </w:rPr>
        <w:t xml:space="preserve">- </w:t>
      </w:r>
      <w:r>
        <w:rPr>
          <w:rFonts w:hint="cs"/>
          <w:b/>
          <w:bCs/>
          <w:rtl/>
        </w:rPr>
        <w:t>وما في الباب وإن كان فيه المقال المعروف فقد شدّ من عضده</w:t>
      </w:r>
      <w:r>
        <w:rPr>
          <w:rFonts w:hint="cs"/>
          <w:rtl/>
        </w:rPr>
        <w:t xml:space="preserve"> ما ذكرناه. فيصلح بعد ذلك للاحتجاج به على مشروعية درء الحدود بالشبهات المحتملة، لا مطلق الشبهات</w:t>
      </w:r>
      <w:r>
        <w:rPr>
          <w:rFonts w:hint="eastAsia"/>
          <w:rtl/>
        </w:rPr>
        <w:t>»</w:t>
      </w:r>
      <w:r>
        <w:rPr>
          <w:rFonts w:hint="cs"/>
          <w:rtl/>
        </w:rPr>
        <w:t>.</w:t>
      </w:r>
    </w:p>
    <w:p w:rsidR="00035BE3" w:rsidRDefault="00035BE3" w:rsidP="00C10469">
      <w:pPr>
        <w:pStyle w:val="a6"/>
        <w:ind w:left="422" w:firstLine="0"/>
        <w:rPr>
          <w:rtl/>
        </w:rPr>
      </w:pPr>
      <w:r>
        <w:rPr>
          <w:rFonts w:hint="cs"/>
          <w:b/>
          <w:bCs/>
          <w:rtl/>
        </w:rPr>
        <w:t>وللتوسع انظر أيضًا</w:t>
      </w:r>
      <w:r>
        <w:rPr>
          <w:rFonts w:hint="cs"/>
          <w:rtl/>
        </w:rPr>
        <w:t xml:space="preserve"> : نصب الراية، 3/309، 333؛ تلخيص الحبير، 4/56- وكثير ممّا أورده صاحب نيل الأوطار مذكور في التلخيص أيضًا-؛ مصباح الزجاجة، 3/104؛ إرواء الغليل، 7/343، ح2316، 8/25، ح2355.</w:t>
      </w:r>
    </w:p>
  </w:footnote>
  <w:footnote w:id="251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وفيما </w:t>
      </w:r>
      <w:r>
        <w:rPr>
          <w:rFonts w:hint="eastAsia"/>
          <w:rtl/>
        </w:rPr>
        <w:t>»</w:t>
      </w:r>
      <w:r>
        <w:rPr>
          <w:rFonts w:hint="cs"/>
          <w:rtl/>
        </w:rPr>
        <w:t xml:space="preserve">، وفي (د) : </w:t>
      </w:r>
      <w:r>
        <w:rPr>
          <w:rFonts w:hint="eastAsia"/>
          <w:rtl/>
        </w:rPr>
        <w:t>«</w:t>
      </w:r>
      <w:r>
        <w:rPr>
          <w:rFonts w:hint="cs"/>
          <w:rtl/>
        </w:rPr>
        <w:t xml:space="preserve"> وفيها </w:t>
      </w:r>
      <w:r>
        <w:rPr>
          <w:rFonts w:hint="eastAsia"/>
          <w:rtl/>
        </w:rPr>
        <w:t>»</w:t>
      </w:r>
      <w:r>
        <w:rPr>
          <w:rFonts w:hint="cs"/>
          <w:rtl/>
        </w:rPr>
        <w:t>.</w:t>
      </w:r>
    </w:p>
  </w:footnote>
  <w:footnote w:id="251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فلولج </w:t>
      </w:r>
      <w:r>
        <w:rPr>
          <w:rFonts w:hint="eastAsia"/>
          <w:rtl/>
        </w:rPr>
        <w:t>»</w:t>
      </w:r>
      <w:r>
        <w:rPr>
          <w:rFonts w:hint="cs"/>
          <w:rtl/>
        </w:rPr>
        <w:t>.</w:t>
      </w:r>
    </w:p>
  </w:footnote>
  <w:footnote w:id="2513">
    <w:p w:rsidR="00035BE3" w:rsidRPr="005A38F6" w:rsidRDefault="00035BE3" w:rsidP="00C10469">
      <w:pPr>
        <w:pStyle w:val="a8"/>
        <w:bidi/>
        <w:spacing w:line="440" w:lineRule="exact"/>
        <w:ind w:left="422" w:right="0"/>
        <w:rPr>
          <w:rtl/>
        </w:rPr>
      </w:pPr>
      <w:r w:rsidRPr="005A38F6">
        <w:rPr>
          <w:rFonts w:hint="cs"/>
          <w:vertAlign w:val="superscript"/>
          <w:rtl/>
        </w:rPr>
        <w:t>(</w:t>
      </w:r>
      <w:r w:rsidRPr="005A38F6">
        <w:rPr>
          <w:rStyle w:val="a7"/>
        </w:rPr>
        <w:footnoteRef/>
      </w:r>
      <w:r w:rsidRPr="005A38F6">
        <w:rPr>
          <w:rFonts w:hint="cs"/>
          <w:vertAlign w:val="superscript"/>
          <w:rtl/>
        </w:rPr>
        <w:t>)</w:t>
      </w:r>
      <w:r w:rsidRPr="005A38F6">
        <w:rPr>
          <w:rFonts w:hint="cs"/>
          <w:sz w:val="16"/>
          <w:szCs w:val="26"/>
          <w:rtl/>
        </w:rPr>
        <w:t xml:space="preserve">  </w:t>
      </w:r>
      <w:r w:rsidRPr="005A38F6">
        <w:rPr>
          <w:rFonts w:hint="cs"/>
          <w:b/>
          <w:bCs/>
          <w:sz w:val="16"/>
          <w:szCs w:val="26"/>
          <w:rtl/>
        </w:rPr>
        <w:t xml:space="preserve"> </w:t>
      </w:r>
      <w:r w:rsidRPr="005A38F6">
        <w:rPr>
          <w:rFonts w:hint="cs"/>
          <w:b/>
          <w:bCs/>
          <w:rtl/>
        </w:rPr>
        <w:t>العقر في اللغة</w:t>
      </w:r>
      <w:r w:rsidRPr="005A38F6">
        <w:rPr>
          <w:rFonts w:hint="cs"/>
          <w:rtl/>
        </w:rPr>
        <w:t xml:space="preserve">: مصدر (عَقَرَ)، والعين والقاف والراء -كما يقول ابن فارس-: </w:t>
      </w:r>
      <w:r w:rsidRPr="005A38F6">
        <w:rPr>
          <w:rFonts w:hint="eastAsia"/>
          <w:rtl/>
        </w:rPr>
        <w:t>«</w:t>
      </w:r>
      <w:r w:rsidRPr="005A38F6">
        <w:rPr>
          <w:rFonts w:hint="cs"/>
          <w:rtl/>
        </w:rPr>
        <w:t>أصلان متباعدٌ ما بينهما، ...</w:t>
      </w:r>
    </w:p>
    <w:p w:rsidR="00035BE3" w:rsidRDefault="00035BE3" w:rsidP="00C10469">
      <w:pPr>
        <w:pStyle w:val="a6"/>
        <w:spacing w:line="440" w:lineRule="exact"/>
        <w:ind w:left="422" w:firstLine="0"/>
        <w:rPr>
          <w:rtl/>
        </w:rPr>
      </w:pPr>
      <w:r>
        <w:rPr>
          <w:rFonts w:hint="cs"/>
          <w:b/>
          <w:bCs/>
          <w:rtl/>
        </w:rPr>
        <w:t>فالأول</w:t>
      </w:r>
      <w:r>
        <w:rPr>
          <w:rFonts w:hint="cs"/>
          <w:rtl/>
        </w:rPr>
        <w:t xml:space="preserve"> : الجَرْح، أو ما يشبه الجَرْح، من الهَزْم في الشيء.</w:t>
      </w:r>
    </w:p>
    <w:p w:rsidR="00035BE3" w:rsidRDefault="00035BE3" w:rsidP="00C10469">
      <w:pPr>
        <w:pStyle w:val="a6"/>
        <w:spacing w:line="440" w:lineRule="exact"/>
        <w:ind w:left="422" w:firstLine="0"/>
        <w:rPr>
          <w:rtl/>
        </w:rPr>
      </w:pPr>
      <w:r>
        <w:rPr>
          <w:rFonts w:hint="cs"/>
          <w:b/>
          <w:bCs/>
          <w:rtl/>
        </w:rPr>
        <w:t xml:space="preserve">والثاني </w:t>
      </w:r>
      <w:r>
        <w:rPr>
          <w:rFonts w:hint="cs"/>
          <w:rtl/>
        </w:rPr>
        <w:t>: دال على ثبات ودوامٍ</w:t>
      </w:r>
      <w:r>
        <w:rPr>
          <w:rFonts w:hint="eastAsia"/>
          <w:rtl/>
        </w:rPr>
        <w:t>»</w:t>
      </w:r>
      <w:r>
        <w:rPr>
          <w:rFonts w:hint="cs"/>
          <w:rtl/>
        </w:rPr>
        <w:t>.</w:t>
      </w:r>
    </w:p>
    <w:p w:rsidR="00035BE3" w:rsidRDefault="00035BE3" w:rsidP="00C10469">
      <w:pPr>
        <w:pStyle w:val="a6"/>
        <w:spacing w:line="440" w:lineRule="exact"/>
        <w:ind w:left="422" w:firstLine="0"/>
        <w:rPr>
          <w:rtl/>
        </w:rPr>
      </w:pPr>
      <w:r>
        <w:rPr>
          <w:rFonts w:hint="cs"/>
          <w:rtl/>
        </w:rPr>
        <w:t xml:space="preserve">وبعد أن ذكر عددًا من المعاني المحمولة على الأصل الأول ذكر من بينها المعنى المراد هنا فقال : </w:t>
      </w:r>
      <w:r>
        <w:rPr>
          <w:rFonts w:hint="eastAsia"/>
          <w:rtl/>
        </w:rPr>
        <w:t>«</w:t>
      </w:r>
      <w:r>
        <w:rPr>
          <w:rFonts w:hint="cs"/>
          <w:rtl/>
        </w:rPr>
        <w:t>وممّا حُمل على هذا قولهم لدية فرج المرأة : عُقْر، وذلك إذا غُصبت. وهذا ممّا تستعمله العرب في تسمية الشيء باسم الشيء إذا كانا متقاربين، فسمى المهر عُقْرًا؛ لأنه يؤخذ بالعُقْر</w:t>
      </w:r>
      <w:r>
        <w:rPr>
          <w:rFonts w:hint="eastAsia"/>
          <w:rtl/>
        </w:rPr>
        <w:t>»</w:t>
      </w:r>
      <w:r>
        <w:rPr>
          <w:rFonts w:hint="cs"/>
          <w:rtl/>
        </w:rPr>
        <w:t>.</w:t>
      </w:r>
      <w:r>
        <w:rPr>
          <w:rFonts w:hint="cs"/>
          <w:rtl/>
        </w:rPr>
        <w:tab/>
      </w:r>
      <w:r>
        <w:rPr>
          <w:rFonts w:hint="cs"/>
          <w:rtl/>
        </w:rPr>
        <w:tab/>
      </w:r>
      <w:r>
        <w:rPr>
          <w:rFonts w:hint="cs"/>
          <w:rtl/>
        </w:rPr>
        <w:tab/>
        <w:t xml:space="preserve">  </w:t>
      </w:r>
    </w:p>
    <w:p w:rsidR="00035BE3" w:rsidRDefault="00035BE3" w:rsidP="00C10469">
      <w:pPr>
        <w:pStyle w:val="a6"/>
        <w:spacing w:line="440" w:lineRule="exact"/>
        <w:ind w:left="422" w:firstLine="0"/>
        <w:rPr>
          <w:rtl/>
        </w:rPr>
      </w:pPr>
      <w:r>
        <w:rPr>
          <w:rFonts w:hint="cs"/>
          <w:rtl/>
        </w:rPr>
        <w:t xml:space="preserve">وهذا المعنى اللغوي قريب من </w:t>
      </w:r>
      <w:r>
        <w:rPr>
          <w:rFonts w:hint="cs"/>
          <w:b/>
          <w:bCs/>
          <w:rtl/>
        </w:rPr>
        <w:t>المعنى الاصطلاحي</w:t>
      </w:r>
      <w:r>
        <w:rPr>
          <w:rFonts w:hint="cs"/>
          <w:rtl/>
        </w:rPr>
        <w:t xml:space="preserve">؛ إذْ جاء في (العناية) : </w:t>
      </w:r>
      <w:r>
        <w:rPr>
          <w:rFonts w:hint="eastAsia"/>
          <w:rtl/>
        </w:rPr>
        <w:t>«</w:t>
      </w:r>
      <w:r>
        <w:rPr>
          <w:rFonts w:hint="cs"/>
          <w:rtl/>
        </w:rPr>
        <w:t>... العقر : مهر المرأة إذا وُطئت بشبهة. والمراد به مهر المثل</w:t>
      </w:r>
      <w:r>
        <w:rPr>
          <w:rFonts w:hint="eastAsia"/>
          <w:rtl/>
        </w:rPr>
        <w:t>»</w:t>
      </w:r>
      <w:r>
        <w:rPr>
          <w:rFonts w:hint="cs"/>
          <w:rtl/>
        </w:rPr>
        <w:t>.</w:t>
      </w:r>
    </w:p>
    <w:p w:rsidR="00035BE3" w:rsidRDefault="00035BE3" w:rsidP="00C10469">
      <w:pPr>
        <w:pStyle w:val="a6"/>
        <w:spacing w:line="440" w:lineRule="exact"/>
        <w:ind w:left="422" w:firstLine="0"/>
        <w:rPr>
          <w:rtl/>
        </w:rPr>
      </w:pPr>
      <w:r>
        <w:rPr>
          <w:rFonts w:hint="cs"/>
          <w:rtl/>
        </w:rPr>
        <w:t xml:space="preserve">المقاييس في اللغة، مادة </w:t>
      </w:r>
      <w:r>
        <w:rPr>
          <w:rFonts w:hint="eastAsia"/>
          <w:rtl/>
        </w:rPr>
        <w:t>«</w:t>
      </w:r>
      <w:r>
        <w:rPr>
          <w:rFonts w:hint="cs"/>
          <w:rtl/>
        </w:rPr>
        <w:t>عقر</w:t>
      </w:r>
      <w:r>
        <w:rPr>
          <w:rFonts w:hint="eastAsia"/>
          <w:rtl/>
        </w:rPr>
        <w:t>»</w:t>
      </w:r>
      <w:r>
        <w:rPr>
          <w:rFonts w:hint="cs"/>
          <w:rtl/>
        </w:rPr>
        <w:t>، ص681؛ العناية، 4/134؛ وانظر : معجم لغة الفقهاء، ص287.</w:t>
      </w:r>
    </w:p>
  </w:footnote>
  <w:footnote w:id="251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في </w:t>
      </w:r>
      <w:r>
        <w:rPr>
          <w:rFonts w:hint="eastAsia"/>
          <w:rtl/>
        </w:rPr>
        <w:t>»</w:t>
      </w:r>
      <w:r>
        <w:rPr>
          <w:rFonts w:hint="cs"/>
          <w:rtl/>
        </w:rPr>
        <w:t>.</w:t>
      </w:r>
    </w:p>
  </w:footnote>
  <w:footnote w:id="251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الشبهة</w:t>
      </w:r>
      <w:r>
        <w:rPr>
          <w:rFonts w:hint="eastAsia"/>
          <w:rtl/>
        </w:rPr>
        <w:t>»</w:t>
      </w:r>
      <w:r>
        <w:rPr>
          <w:rFonts w:hint="cs"/>
          <w:rtl/>
        </w:rPr>
        <w:t>.</w:t>
      </w:r>
    </w:p>
  </w:footnote>
  <w:footnote w:id="251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الفرع المذكور بمعناه في (الهداية)، 4/134.</w:t>
      </w:r>
    </w:p>
  </w:footnote>
  <w:footnote w:id="25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وشرحيها : العناية وفتح القدير، 5/249؛ الدّرر شرح الغرر، 2/64.</w:t>
      </w:r>
    </w:p>
  </w:footnote>
  <w:footnote w:id="25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الأشباه والنظائر لابن السبكي، 1/352؛ المنثور للزركشي، 2/43 -ولفظه : </w:t>
      </w:r>
      <w:r>
        <w:rPr>
          <w:rFonts w:hint="eastAsia"/>
          <w:rtl/>
        </w:rPr>
        <w:t>«</w:t>
      </w:r>
      <w:r>
        <w:rPr>
          <w:rFonts w:hint="cs"/>
          <w:rtl/>
        </w:rPr>
        <w:t>الحرُّ لا يدخل تحت اليد والاستيلاء</w:t>
      </w:r>
      <w:r>
        <w:rPr>
          <w:rFonts w:hint="eastAsia"/>
          <w:rtl/>
        </w:rPr>
        <w:t>»</w:t>
      </w:r>
      <w:r>
        <w:rPr>
          <w:rFonts w:hint="cs"/>
          <w:rtl/>
        </w:rPr>
        <w:t>-؛ الأشباه والنظائر لابن الملقن، 2/446، قاعدة 191؛ وللسيوطي، 1/284؛ ولابن نجيم، ص158؛ الفرائد البهية وشرحاها : الأقمار المضيئة، ص174؛ والمواهب السنية وحاشيتها: الفوائد الجنية، 2/143- ولفظ الفرائد :</w:t>
      </w:r>
    </w:p>
    <w:p w:rsidR="00035BE3" w:rsidRDefault="00035BE3" w:rsidP="00C10469">
      <w:pPr>
        <w:pStyle w:val="a6"/>
        <w:ind w:left="422" w:hanging="454"/>
        <w:jc w:val="center"/>
        <w:rPr>
          <w:b/>
          <w:bCs/>
          <w:rtl/>
        </w:rPr>
      </w:pPr>
      <w:r>
        <w:rPr>
          <w:rFonts w:hint="cs"/>
          <w:b/>
          <w:bCs/>
          <w:rtl/>
        </w:rPr>
        <w:t xml:space="preserve">والـحـرّ غـيـر داخـل تـحت اليـد </w:t>
      </w:r>
      <w:r>
        <w:rPr>
          <w:rFonts w:hint="cs"/>
          <w:b/>
          <w:bCs/>
          <w:rtl/>
        </w:rPr>
        <w:tab/>
        <w:t>في قـول كـلِّ عـالـم مـعـتـمَـدِ -؛</w:t>
      </w:r>
    </w:p>
    <w:p w:rsidR="00035BE3" w:rsidRDefault="00035BE3" w:rsidP="00C10469">
      <w:pPr>
        <w:pStyle w:val="a6"/>
        <w:ind w:left="422" w:firstLine="0"/>
        <w:rPr>
          <w:rtl/>
        </w:rPr>
      </w:pPr>
      <w:r>
        <w:rPr>
          <w:rFonts w:hint="cs"/>
          <w:rtl/>
        </w:rPr>
        <w:t>الفرائد البهية للحمزاوي، ص14، قاعدة 18؛ قواعد الفقه للمجدّدي، ص76، قاعدة 114.</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الهداية وشرحاها : العناية وفتح القدير، 6/457؛ البحر الرائق، 6/98، مغني المحتاج، 2/103، 203، 286، 3/420؛ كشاف القناع، 6/462.</w:t>
      </w:r>
    </w:p>
  </w:footnote>
  <w:footnote w:id="25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بالغصب</w:t>
      </w:r>
      <w:r>
        <w:rPr>
          <w:rFonts w:hint="eastAsia"/>
          <w:rtl/>
        </w:rPr>
        <w:t>»</w:t>
      </w:r>
      <w:r>
        <w:rPr>
          <w:rFonts w:hint="cs"/>
          <w:rtl/>
        </w:rPr>
        <w:t xml:space="preserve">: زيادة من (جـ) و(هـ) و(و). ولا يستقيم المعنى بدونها، ومعناها موجود في مصدر هذه القاعدة (وهو أشباه ابن نجيم)، حيث جاء فيه: </w:t>
      </w:r>
      <w:r>
        <w:rPr>
          <w:rFonts w:hint="eastAsia"/>
          <w:rtl/>
        </w:rPr>
        <w:t>«</w:t>
      </w:r>
      <w:r>
        <w:rPr>
          <w:rFonts w:hint="cs"/>
          <w:rtl/>
        </w:rPr>
        <w:t>فلو غصب صبيًّا، فمات في يده فجأة أو بحمّى: لم يضمن ...</w:t>
      </w:r>
      <w:r>
        <w:rPr>
          <w:rFonts w:hint="eastAsia"/>
          <w:rtl/>
        </w:rPr>
        <w:t>»</w:t>
      </w:r>
      <w:r>
        <w:rPr>
          <w:rFonts w:hint="cs"/>
          <w:rtl/>
        </w:rPr>
        <w:t>.</w:t>
      </w:r>
    </w:p>
  </w:footnote>
  <w:footnote w:id="25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بخما</w:t>
      </w:r>
      <w:r>
        <w:rPr>
          <w:rFonts w:hint="eastAsia"/>
          <w:rtl/>
        </w:rPr>
        <w:t>»</w:t>
      </w:r>
      <w:r>
        <w:rPr>
          <w:rFonts w:hint="cs"/>
          <w:rtl/>
        </w:rPr>
        <w:t xml:space="preserve">، وفي (جـ) : </w:t>
      </w:r>
      <w:r>
        <w:rPr>
          <w:rFonts w:hint="eastAsia"/>
          <w:rtl/>
        </w:rPr>
        <w:t>«</w:t>
      </w:r>
      <w:r>
        <w:rPr>
          <w:rFonts w:hint="cs"/>
          <w:rtl/>
        </w:rPr>
        <w:t>بخمى</w:t>
      </w:r>
      <w:r>
        <w:rPr>
          <w:rFonts w:hint="eastAsia"/>
          <w:rtl/>
        </w:rPr>
        <w:t>»</w:t>
      </w:r>
      <w:r>
        <w:rPr>
          <w:rFonts w:hint="cs"/>
          <w:rtl/>
        </w:rPr>
        <w:t xml:space="preserve"> (جميعهم بالخاء).</w:t>
      </w:r>
    </w:p>
  </w:footnote>
  <w:footnote w:id="25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لا يُضمن الحرُّ إذا غُصب فمات فجأة أو بحمىّ، ولو كان هذا الحرُّ المغصوب صبيًّا.</w:t>
      </w:r>
    </w:p>
  </w:footnote>
  <w:footnote w:id="2522">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و(هـ) : </w:t>
      </w:r>
      <w:r>
        <w:rPr>
          <w:rFonts w:hint="eastAsia"/>
          <w:spacing w:val="6"/>
          <w:rtl/>
        </w:rPr>
        <w:t>«</w:t>
      </w:r>
      <w:r>
        <w:rPr>
          <w:rFonts w:hint="cs"/>
          <w:spacing w:val="6"/>
          <w:rtl/>
        </w:rPr>
        <w:t>نـهنشة</w:t>
      </w:r>
      <w:r>
        <w:rPr>
          <w:rFonts w:hint="eastAsia"/>
          <w:spacing w:val="6"/>
          <w:rtl/>
        </w:rPr>
        <w:t>»</w:t>
      </w:r>
      <w:r>
        <w:rPr>
          <w:rFonts w:hint="cs"/>
          <w:spacing w:val="6"/>
          <w:rtl/>
        </w:rPr>
        <w:t xml:space="preserve">، وفي (ب) : </w:t>
      </w:r>
      <w:r>
        <w:rPr>
          <w:rFonts w:hint="eastAsia"/>
          <w:spacing w:val="6"/>
          <w:rtl/>
        </w:rPr>
        <w:t>«</w:t>
      </w:r>
      <w:r>
        <w:rPr>
          <w:rFonts w:hint="cs"/>
          <w:spacing w:val="6"/>
          <w:rtl/>
        </w:rPr>
        <w:t>نـهشة</w:t>
      </w:r>
      <w:r>
        <w:rPr>
          <w:rFonts w:hint="eastAsia"/>
          <w:spacing w:val="6"/>
          <w:rtl/>
        </w:rPr>
        <w:t>»</w:t>
      </w:r>
      <w:r>
        <w:rPr>
          <w:rFonts w:hint="cs"/>
          <w:spacing w:val="6"/>
          <w:rtl/>
        </w:rPr>
        <w:t xml:space="preserve">، وفي (و): </w:t>
      </w:r>
      <w:r>
        <w:rPr>
          <w:rFonts w:hint="eastAsia"/>
          <w:spacing w:val="6"/>
          <w:rtl/>
        </w:rPr>
        <w:t>«</w:t>
      </w:r>
      <w:r>
        <w:rPr>
          <w:rFonts w:hint="cs"/>
          <w:spacing w:val="6"/>
          <w:rtl/>
        </w:rPr>
        <w:t>نـهشته</w:t>
      </w:r>
      <w:r>
        <w:rPr>
          <w:rFonts w:hint="eastAsia"/>
          <w:spacing w:val="6"/>
          <w:rtl/>
        </w:rPr>
        <w:t>»</w:t>
      </w:r>
      <w:r>
        <w:rPr>
          <w:rFonts w:hint="cs"/>
          <w:spacing w:val="6"/>
          <w:rtl/>
        </w:rPr>
        <w:t xml:space="preserve">. والصحيح ما في (ب) و(و)، وتمّ إثبات ما في (ب)؛ لأنه أقلّ تصرُّفًا في الأصل. علمًا بأنه جاء في أشباه ابن نجيم : </w:t>
      </w:r>
      <w:r>
        <w:rPr>
          <w:rFonts w:hint="eastAsia"/>
          <w:spacing w:val="6"/>
          <w:rtl/>
        </w:rPr>
        <w:t>«</w:t>
      </w:r>
      <w:r>
        <w:rPr>
          <w:rFonts w:hint="cs"/>
          <w:spacing w:val="6"/>
          <w:rtl/>
        </w:rPr>
        <w:t>بنهشة</w:t>
      </w:r>
      <w:r>
        <w:rPr>
          <w:rFonts w:hint="eastAsia"/>
          <w:spacing w:val="6"/>
          <w:rtl/>
        </w:rPr>
        <w:t>»</w:t>
      </w:r>
      <w:r>
        <w:rPr>
          <w:rFonts w:hint="cs"/>
          <w:spacing w:val="6"/>
          <w:rtl/>
        </w:rPr>
        <w:t>.</w:t>
      </w:r>
    </w:p>
    <w:p w:rsidR="00035BE3" w:rsidRDefault="00035BE3" w:rsidP="00C10469">
      <w:pPr>
        <w:pStyle w:val="a6"/>
        <w:ind w:left="422" w:firstLine="0"/>
        <w:rPr>
          <w:rtl/>
        </w:rPr>
      </w:pPr>
      <w:r>
        <w:rPr>
          <w:rFonts w:hint="cs"/>
          <w:b/>
          <w:bCs/>
          <w:rtl/>
        </w:rPr>
        <w:t>ومعنى</w:t>
      </w:r>
      <w:r>
        <w:rPr>
          <w:rFonts w:hint="cs"/>
          <w:rtl/>
        </w:rPr>
        <w:t xml:space="preserve"> </w:t>
      </w:r>
      <w:r>
        <w:rPr>
          <w:rFonts w:hint="eastAsia"/>
          <w:rtl/>
        </w:rPr>
        <w:t>«</w:t>
      </w:r>
      <w:r>
        <w:rPr>
          <w:rFonts w:hint="cs"/>
          <w:rtl/>
        </w:rPr>
        <w:t xml:space="preserve"> </w:t>
      </w:r>
      <w:r>
        <w:rPr>
          <w:rFonts w:hint="cs"/>
          <w:b/>
          <w:bCs/>
          <w:rtl/>
        </w:rPr>
        <w:t>نـهشه</w:t>
      </w:r>
      <w:r>
        <w:rPr>
          <w:rFonts w:hint="cs"/>
          <w:rtl/>
        </w:rPr>
        <w:t xml:space="preserve"> (كَمَنَعَهُ) : نَهَسَهُ، ولسعه، وعضَّه. أو [بالشين] : أخذه بأضراسه، وبالسين: أخذه بأطراف الأسنان</w:t>
      </w:r>
      <w:r>
        <w:rPr>
          <w:rFonts w:hint="eastAsia"/>
          <w:rtl/>
        </w:rPr>
        <w:t>»</w:t>
      </w:r>
      <w:r>
        <w:rPr>
          <w:rFonts w:hint="cs"/>
          <w:rtl/>
        </w:rPr>
        <w:t xml:space="preserve">- قاله صاحب القاموس، مادة </w:t>
      </w:r>
      <w:r>
        <w:rPr>
          <w:rFonts w:hint="eastAsia"/>
          <w:rtl/>
        </w:rPr>
        <w:t>«</w:t>
      </w:r>
      <w:r>
        <w:rPr>
          <w:rFonts w:hint="cs"/>
          <w:rtl/>
        </w:rPr>
        <w:t>نهش</w:t>
      </w:r>
      <w:r>
        <w:rPr>
          <w:rFonts w:hint="eastAsia"/>
          <w:rtl/>
        </w:rPr>
        <w:t>»</w:t>
      </w:r>
      <w:r>
        <w:rPr>
          <w:rFonts w:hint="cs"/>
          <w:rtl/>
        </w:rPr>
        <w:t xml:space="preserve">، ص785؛ وانظر : المقاييس في اللغة، مادة </w:t>
      </w:r>
      <w:r>
        <w:rPr>
          <w:rFonts w:hint="eastAsia"/>
          <w:rtl/>
        </w:rPr>
        <w:t>«</w:t>
      </w:r>
      <w:r>
        <w:rPr>
          <w:rFonts w:hint="cs"/>
          <w:rtl/>
        </w:rPr>
        <w:t>نهش</w:t>
      </w:r>
      <w:r>
        <w:rPr>
          <w:rFonts w:hint="eastAsia"/>
          <w:rtl/>
        </w:rPr>
        <w:t>»</w:t>
      </w:r>
      <w:r>
        <w:rPr>
          <w:rFonts w:hint="cs"/>
          <w:rtl/>
        </w:rPr>
        <w:t>، ص1001.</w:t>
      </w:r>
    </w:p>
  </w:footnote>
  <w:footnote w:id="25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ينقله</w:t>
      </w:r>
      <w:r>
        <w:rPr>
          <w:rFonts w:hint="eastAsia"/>
          <w:rtl/>
        </w:rPr>
        <w:t>»</w:t>
      </w:r>
      <w:r>
        <w:rPr>
          <w:rFonts w:hint="cs"/>
          <w:rtl/>
        </w:rPr>
        <w:t>. والصحيح ما تمَّ إثباته من (ب) و(د) و(و)، وهو الموافق لأشباه ابن نجيم.</w:t>
      </w:r>
    </w:p>
    <w:p w:rsidR="00035BE3" w:rsidRDefault="00035BE3" w:rsidP="00C10469">
      <w:pPr>
        <w:pStyle w:val="a6"/>
        <w:ind w:left="422" w:firstLine="0"/>
        <w:rPr>
          <w:rtl/>
        </w:rPr>
      </w:pPr>
      <w:r>
        <w:rPr>
          <w:rFonts w:hint="cs"/>
          <w:rtl/>
        </w:rPr>
        <w:t xml:space="preserve">وقد جاء في هامش (و) : </w:t>
      </w:r>
      <w:r>
        <w:rPr>
          <w:rFonts w:hint="eastAsia"/>
          <w:rtl/>
        </w:rPr>
        <w:t>«</w:t>
      </w:r>
      <w:r>
        <w:rPr>
          <w:rFonts w:hint="cs"/>
          <w:rtl/>
        </w:rPr>
        <w:t>أي نقل الغاصب</w:t>
      </w:r>
      <w:r>
        <w:rPr>
          <w:rFonts w:hint="eastAsia"/>
          <w:rtl/>
        </w:rPr>
        <w:t>»</w:t>
      </w:r>
      <w:r>
        <w:rPr>
          <w:rFonts w:hint="cs"/>
          <w:rtl/>
        </w:rPr>
        <w:t>.</w:t>
      </w:r>
    </w:p>
  </w:footnote>
  <w:footnote w:id="25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مُسْبَعَة في اللغة</w:t>
      </w:r>
      <w:r>
        <w:rPr>
          <w:rFonts w:hint="cs"/>
          <w:rtl/>
        </w:rPr>
        <w:t xml:space="preserve"> : كثيرة السباع، وجمعها مسَابع.</w:t>
      </w:r>
    </w:p>
    <w:p w:rsidR="00035BE3" w:rsidRDefault="00035BE3" w:rsidP="00C10469">
      <w:pPr>
        <w:pStyle w:val="a6"/>
        <w:ind w:left="422" w:firstLine="0"/>
        <w:rPr>
          <w:rtl/>
        </w:rPr>
      </w:pPr>
      <w:r>
        <w:rPr>
          <w:rFonts w:hint="cs"/>
          <w:rtl/>
        </w:rPr>
        <w:t xml:space="preserve">انظر : القاموس المحيط، مادة </w:t>
      </w:r>
      <w:r>
        <w:rPr>
          <w:rFonts w:hint="eastAsia"/>
          <w:rtl/>
        </w:rPr>
        <w:t>«</w:t>
      </w:r>
      <w:r>
        <w:rPr>
          <w:rFonts w:hint="cs"/>
          <w:rtl/>
        </w:rPr>
        <w:t>سبع</w:t>
      </w:r>
      <w:r>
        <w:rPr>
          <w:rFonts w:hint="eastAsia"/>
          <w:rtl/>
        </w:rPr>
        <w:t>»</w:t>
      </w:r>
      <w:r>
        <w:rPr>
          <w:rFonts w:hint="cs"/>
          <w:rtl/>
        </w:rPr>
        <w:t xml:space="preserve">، ص938؛ المعجم الوسيط، مادة </w:t>
      </w:r>
      <w:r>
        <w:rPr>
          <w:rFonts w:hint="eastAsia"/>
          <w:rtl/>
        </w:rPr>
        <w:t>«</w:t>
      </w:r>
      <w:r>
        <w:rPr>
          <w:rFonts w:hint="cs"/>
          <w:rtl/>
        </w:rPr>
        <w:t>سبع</w:t>
      </w:r>
      <w:r>
        <w:rPr>
          <w:rFonts w:hint="eastAsia"/>
          <w:rtl/>
        </w:rPr>
        <w:t>»</w:t>
      </w:r>
      <w:r>
        <w:rPr>
          <w:rFonts w:hint="cs"/>
          <w:rtl/>
        </w:rPr>
        <w:t>، 2/414.</w:t>
      </w:r>
    </w:p>
  </w:footnote>
  <w:footnote w:id="25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30/أ من (ب).</w:t>
      </w:r>
    </w:p>
  </w:footnote>
  <w:footnote w:id="25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على</w:t>
      </w:r>
      <w:r>
        <w:rPr>
          <w:rFonts w:hint="eastAsia"/>
          <w:rtl/>
        </w:rPr>
        <w:t>»</w:t>
      </w:r>
      <w:r>
        <w:rPr>
          <w:rFonts w:hint="cs"/>
          <w:rtl/>
        </w:rPr>
        <w:t>؛ وفاقًا لأشباه ابن نجيم.</w:t>
      </w:r>
    </w:p>
  </w:footnote>
  <w:footnote w:id="25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زمان</w:t>
      </w:r>
      <w:r>
        <w:rPr>
          <w:rFonts w:hint="eastAsia"/>
          <w:rtl/>
        </w:rPr>
        <w:t>»</w:t>
      </w:r>
      <w:r>
        <w:rPr>
          <w:rFonts w:hint="cs"/>
          <w:rtl/>
        </w:rPr>
        <w:t>. والصحيح ما تمّ إثباته من (ب)، وهو الموافق لأشباه ابن نجيم.</w:t>
      </w:r>
    </w:p>
  </w:footnote>
  <w:footnote w:id="25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لأنه ضمان ... غصب</w:t>
      </w:r>
      <w:r>
        <w:rPr>
          <w:rFonts w:hint="eastAsia"/>
          <w:rtl/>
        </w:rPr>
        <w:t>»</w:t>
      </w:r>
      <w:r>
        <w:rPr>
          <w:rFonts w:hint="cs"/>
          <w:rtl/>
        </w:rPr>
        <w:t xml:space="preserve"> : ساقطة من (د) في هذا الموضع ومُثبته في السطر التَّالي.</w:t>
      </w:r>
    </w:p>
  </w:footnote>
  <w:footnote w:id="25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زيادة : </w:t>
      </w:r>
      <w:r>
        <w:rPr>
          <w:rFonts w:hint="eastAsia"/>
          <w:rtl/>
        </w:rPr>
        <w:t>«</w:t>
      </w:r>
      <w:r>
        <w:rPr>
          <w:rFonts w:hint="cs"/>
          <w:rtl/>
        </w:rPr>
        <w:t xml:space="preserve"> لا </w:t>
      </w:r>
      <w:r>
        <w:rPr>
          <w:rFonts w:hint="eastAsia"/>
          <w:rtl/>
        </w:rPr>
        <w:t>»</w:t>
      </w:r>
      <w:r>
        <w:rPr>
          <w:rFonts w:hint="cs"/>
          <w:rtl/>
        </w:rPr>
        <w:t xml:space="preserve"> (أي : لا يضمن).</w:t>
      </w:r>
    </w:p>
  </w:footnote>
  <w:footnote w:id="25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بالغصب والإتلاف.</w:t>
      </w:r>
    </w:p>
  </w:footnote>
  <w:footnote w:id="2531">
    <w:p w:rsidR="00035BE3" w:rsidRDefault="00035BE3" w:rsidP="00C10469">
      <w:pPr>
        <w:pStyle w:val="a8"/>
        <w:bidi/>
        <w:ind w:left="422" w:right="0"/>
        <w:rPr>
          <w:spacing w:val="-12"/>
          <w:rtl/>
        </w:rPr>
      </w:pPr>
      <w:r>
        <w:rPr>
          <w:rFonts w:hint="cs"/>
          <w:spacing w:val="-12"/>
          <w:vertAlign w:val="superscript"/>
          <w:rtl/>
        </w:rPr>
        <w:t>(</w:t>
      </w:r>
      <w:r>
        <w:rPr>
          <w:rStyle w:val="a7"/>
          <w:spacing w:val="-12"/>
        </w:rPr>
        <w:footnoteRef/>
      </w:r>
      <w:r>
        <w:rPr>
          <w:rFonts w:hint="cs"/>
          <w:spacing w:val="-12"/>
          <w:vertAlign w:val="superscript"/>
          <w:rtl/>
        </w:rPr>
        <w:t>)</w:t>
      </w:r>
      <w:r>
        <w:rPr>
          <w:rFonts w:hint="cs"/>
          <w:spacing w:val="-12"/>
          <w:rtl/>
        </w:rPr>
        <w:t xml:space="preserve">   في (د) زيادة : </w:t>
      </w:r>
      <w:r>
        <w:rPr>
          <w:rFonts w:hint="eastAsia"/>
          <w:spacing w:val="-12"/>
          <w:rtl/>
        </w:rPr>
        <w:t>«</w:t>
      </w:r>
      <w:r>
        <w:rPr>
          <w:rFonts w:hint="cs"/>
          <w:spacing w:val="-12"/>
          <w:rtl/>
        </w:rPr>
        <w:t>لأنه ضمان اتلاف لا ضمان غصب</w:t>
      </w:r>
      <w:r>
        <w:rPr>
          <w:rFonts w:hint="eastAsia"/>
          <w:spacing w:val="-12"/>
          <w:rtl/>
        </w:rPr>
        <w:t>»</w:t>
      </w:r>
      <w:r>
        <w:rPr>
          <w:rFonts w:hint="cs"/>
          <w:spacing w:val="-12"/>
          <w:rtl/>
        </w:rPr>
        <w:t>. وهذه الزيادة مكانها في باقي النسخ في السطر المتقدّم.</w:t>
      </w:r>
    </w:p>
  </w:footnote>
  <w:footnote w:id="25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ص158 - مع الاختلاف الذي سبق بيانه، وزيادة في بعض الألفاظ عند ابن نجيم-؛ وانظر : الهداية وشرحها : العنـاية، 10/370؛ كنـز الدَّقائق وشرحيه : تبيـين الحقائق، 6/167-168؛ وتكملة البحر الرائق، 8/445؛ الفرائد البهية للحمزاوي، ص19.</w:t>
      </w:r>
    </w:p>
  </w:footnote>
  <w:footnote w:id="25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أمته </w:t>
      </w:r>
      <w:r>
        <w:rPr>
          <w:rFonts w:hint="eastAsia"/>
          <w:rtl/>
        </w:rPr>
        <w:t>»</w:t>
      </w:r>
      <w:r>
        <w:rPr>
          <w:rFonts w:hint="cs"/>
          <w:rtl/>
        </w:rPr>
        <w:t>.</w:t>
      </w:r>
    </w:p>
  </w:footnote>
  <w:footnote w:id="25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46/أ من (أ).</w:t>
      </w:r>
    </w:p>
  </w:footnote>
  <w:footnote w:id="25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ص158 - مع زيادة عنده في بعض الألفاظ- وانظر : الأشباه والنظائر للسيوطي، 1/284. ونص السيوطي : </w:t>
      </w:r>
      <w:r>
        <w:rPr>
          <w:rFonts w:hint="eastAsia"/>
          <w:rtl/>
        </w:rPr>
        <w:t>«</w:t>
      </w:r>
      <w:r>
        <w:rPr>
          <w:rFonts w:hint="cs"/>
          <w:rtl/>
        </w:rPr>
        <w:t>ولو طاوعته حُرَّةٌ على الزِّنا : فلا مهر لها بالإجماع.</w:t>
      </w:r>
      <w:r>
        <w:rPr>
          <w:rFonts w:hint="cs"/>
          <w:rtl/>
        </w:rPr>
        <w:tab/>
        <w:t xml:space="preserve">  </w:t>
      </w:r>
    </w:p>
    <w:p w:rsidR="00035BE3" w:rsidRDefault="00035BE3" w:rsidP="00C10469">
      <w:pPr>
        <w:pStyle w:val="a6"/>
        <w:ind w:left="422" w:firstLine="0"/>
        <w:rPr>
          <w:spacing w:val="4"/>
          <w:rtl/>
        </w:rPr>
      </w:pPr>
      <w:r>
        <w:rPr>
          <w:rFonts w:hint="cs"/>
          <w:spacing w:val="4"/>
          <w:rtl/>
        </w:rPr>
        <w:t>ولو طاوعته أمةٌ : فلها الـمهر فـي رأي؛ لأنّ الحقُّ للسيِّد، فلا يؤثر إسقاطها، وإن كان الأصح خلافه</w:t>
      </w:r>
      <w:r>
        <w:rPr>
          <w:rFonts w:hint="eastAsia"/>
          <w:spacing w:val="4"/>
          <w:rtl/>
        </w:rPr>
        <w:t>»</w:t>
      </w:r>
      <w:r>
        <w:rPr>
          <w:rFonts w:hint="cs"/>
          <w:spacing w:val="4"/>
          <w:rtl/>
        </w:rPr>
        <w:t>.</w:t>
      </w:r>
    </w:p>
  </w:footnote>
  <w:footnote w:id="25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إذا </w:t>
      </w:r>
      <w:r>
        <w:rPr>
          <w:rFonts w:hint="eastAsia"/>
          <w:rtl/>
        </w:rPr>
        <w:t>»</w:t>
      </w:r>
      <w:r>
        <w:rPr>
          <w:rFonts w:hint="cs"/>
          <w:rtl/>
        </w:rPr>
        <w:t xml:space="preserve"> : ساقطة من (جـ).</w:t>
      </w:r>
    </w:p>
  </w:footnote>
  <w:footnote w:id="25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تنازعا</w:t>
      </w:r>
      <w:r>
        <w:rPr>
          <w:rFonts w:hint="eastAsia"/>
          <w:rtl/>
        </w:rPr>
        <w:t>»</w:t>
      </w:r>
      <w:r>
        <w:rPr>
          <w:rFonts w:hint="cs"/>
          <w:rtl/>
        </w:rPr>
        <w:t xml:space="preserve">. وفي (ب) : </w:t>
      </w:r>
      <w:r>
        <w:rPr>
          <w:rFonts w:hint="eastAsia"/>
          <w:rtl/>
        </w:rPr>
        <w:t>«</w:t>
      </w:r>
      <w:r>
        <w:rPr>
          <w:rFonts w:hint="cs"/>
          <w:rtl/>
        </w:rPr>
        <w:t xml:space="preserve"> تنازع </w:t>
      </w:r>
      <w:r>
        <w:rPr>
          <w:rFonts w:hint="eastAsia"/>
          <w:rtl/>
        </w:rPr>
        <w:t>»</w:t>
      </w:r>
      <w:r>
        <w:rPr>
          <w:rFonts w:hint="cs"/>
          <w:rtl/>
        </w:rPr>
        <w:t>. وهذا أفصح. وقد سبق التعليق على هذا في ص491، فراجعه إن شئت.</w:t>
      </w:r>
    </w:p>
  </w:footnote>
  <w:footnote w:id="25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35/ب من (جـ).</w:t>
      </w:r>
    </w:p>
  </w:footnote>
  <w:footnote w:id="25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عن </w:t>
      </w:r>
      <w:r>
        <w:rPr>
          <w:rFonts w:hint="eastAsia"/>
          <w:rtl/>
        </w:rPr>
        <w:t>»</w:t>
      </w:r>
      <w:r>
        <w:rPr>
          <w:rFonts w:hint="cs"/>
          <w:rtl/>
        </w:rPr>
        <w:t>.</w:t>
      </w:r>
    </w:p>
  </w:footnote>
  <w:footnote w:id="25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 xml:space="preserve"> عهدها </w:t>
      </w:r>
      <w:r>
        <w:rPr>
          <w:rFonts w:hint="eastAsia"/>
          <w:rtl/>
        </w:rPr>
        <w:t>»</w:t>
      </w:r>
      <w:r>
        <w:rPr>
          <w:rFonts w:hint="cs"/>
          <w:rtl/>
        </w:rPr>
        <w:t xml:space="preserve">، وفي (ب) : </w:t>
      </w:r>
      <w:r>
        <w:rPr>
          <w:rFonts w:hint="eastAsia"/>
          <w:rtl/>
        </w:rPr>
        <w:t>«</w:t>
      </w:r>
      <w:r>
        <w:rPr>
          <w:rFonts w:hint="cs"/>
          <w:rtl/>
        </w:rPr>
        <w:t xml:space="preserve"> عقدها </w:t>
      </w:r>
      <w:r>
        <w:rPr>
          <w:rFonts w:hint="eastAsia"/>
          <w:rtl/>
        </w:rPr>
        <w:t>»</w:t>
      </w:r>
      <w:r>
        <w:rPr>
          <w:rFonts w:hint="cs"/>
          <w:rtl/>
        </w:rPr>
        <w:t xml:space="preserve">، وفي (جـ) : </w:t>
      </w:r>
      <w:r>
        <w:rPr>
          <w:rFonts w:hint="eastAsia"/>
          <w:rtl/>
        </w:rPr>
        <w:t>«</w:t>
      </w:r>
      <w:r>
        <w:rPr>
          <w:rFonts w:hint="cs"/>
          <w:rtl/>
        </w:rPr>
        <w:t xml:space="preserve"> عقده </w:t>
      </w:r>
      <w:r>
        <w:rPr>
          <w:rFonts w:hint="eastAsia"/>
          <w:rtl/>
        </w:rPr>
        <w:t>»</w:t>
      </w:r>
      <w:r>
        <w:rPr>
          <w:rFonts w:hint="cs"/>
          <w:rtl/>
        </w:rPr>
        <w:t>.</w:t>
      </w:r>
    </w:p>
    <w:p w:rsidR="00035BE3" w:rsidRDefault="00035BE3" w:rsidP="00C10469">
      <w:pPr>
        <w:pStyle w:val="a6"/>
        <w:ind w:left="422" w:firstLine="0"/>
        <w:rPr>
          <w:rtl/>
        </w:rPr>
      </w:pPr>
      <w:r>
        <w:rPr>
          <w:rFonts w:hint="cs"/>
          <w:rtl/>
        </w:rPr>
        <w:t>والصحيح ما في (ب) و(جـ)، وتم إثبات ما في (جـ)؛ وفاقًا لمصدر هذه العبارة (وهو أشباه ابن نجيم)، ولأنه أقل تصرفًا في الأصل.</w:t>
      </w:r>
    </w:p>
  </w:footnote>
  <w:footnote w:id="25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ص158- إلا أنّه قال في بداية هذه العبارة : </w:t>
      </w:r>
      <w:r>
        <w:rPr>
          <w:rFonts w:hint="eastAsia"/>
          <w:rtl/>
        </w:rPr>
        <w:t>«</w:t>
      </w:r>
      <w:r>
        <w:rPr>
          <w:rFonts w:hint="cs"/>
          <w:rtl/>
        </w:rPr>
        <w:t>وخرج عن هذه القاعدة قول أصحابنا : إذا تنازع ...</w:t>
      </w:r>
      <w:r>
        <w:rPr>
          <w:rFonts w:hint="eastAsia"/>
          <w:rtl/>
        </w:rPr>
        <w:t>»</w:t>
      </w:r>
      <w:r>
        <w:rPr>
          <w:rFonts w:hint="cs"/>
          <w:rtl/>
        </w:rPr>
        <w:t>. والمؤلف سينقل - في نهاية القاعدة- نصًّا من (جامع الفصولين) يؤكد هذا المعنى، وذلك متابعة لابن نجيم.</w:t>
      </w:r>
    </w:p>
  </w:footnote>
  <w:footnote w:id="25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مقتضاه </w:t>
      </w:r>
      <w:r>
        <w:rPr>
          <w:rFonts w:hint="eastAsia"/>
          <w:rtl/>
        </w:rPr>
        <w:t>»</w:t>
      </w:r>
      <w:r>
        <w:rPr>
          <w:rFonts w:hint="cs"/>
          <w:rtl/>
        </w:rPr>
        <w:t>.</w:t>
      </w:r>
    </w:p>
  </w:footnote>
  <w:footnote w:id="25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ص330 (ل12/أ)، قاعدة 29.</w:t>
      </w:r>
    </w:p>
  </w:footnote>
  <w:footnote w:id="25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29/أ من (د).</w:t>
      </w:r>
    </w:p>
  </w:footnote>
  <w:footnote w:id="25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لابن نجيم، ص 158؛ وانظر أيضًا أشباه السيوطي، 1/284. إلا أنه جاء عند السيوطي : </w:t>
      </w:r>
      <w:r>
        <w:rPr>
          <w:rFonts w:hint="eastAsia"/>
          <w:rtl/>
        </w:rPr>
        <w:t>«</w:t>
      </w:r>
      <w:r>
        <w:rPr>
          <w:rFonts w:hint="cs"/>
          <w:rtl/>
        </w:rPr>
        <w:t>ولو كانت امرأة تحت رجل، وادَّعى آخر أنها زوجته : فالصحيح أن هذه الدعوى عليها، لا على الرجل؛ لأن الحرَّة لا تدخل تحت اليد</w:t>
      </w:r>
      <w:r>
        <w:rPr>
          <w:rFonts w:hint="eastAsia"/>
          <w:rtl/>
        </w:rPr>
        <w:t>»</w:t>
      </w:r>
      <w:r>
        <w:rPr>
          <w:rFonts w:hint="cs"/>
          <w:rtl/>
        </w:rPr>
        <w:t>.</w:t>
      </w:r>
    </w:p>
  </w:footnote>
  <w:footnote w:id="25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يصدّقه </w:t>
      </w:r>
      <w:r>
        <w:rPr>
          <w:rFonts w:hint="eastAsia"/>
          <w:rtl/>
        </w:rPr>
        <w:t>»</w:t>
      </w:r>
      <w:r>
        <w:rPr>
          <w:rFonts w:hint="cs"/>
          <w:rtl/>
        </w:rPr>
        <w:t>.</w:t>
      </w:r>
    </w:p>
  </w:footnote>
  <w:footnote w:id="2547">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و(جـ): </w:t>
      </w:r>
      <w:r>
        <w:rPr>
          <w:rFonts w:hint="eastAsia"/>
          <w:spacing w:val="-4"/>
          <w:rtl/>
        </w:rPr>
        <w:t>«</w:t>
      </w:r>
      <w:r>
        <w:rPr>
          <w:rFonts w:hint="cs"/>
          <w:spacing w:val="-4"/>
          <w:rtl/>
        </w:rPr>
        <w:t xml:space="preserve"> يثبت </w:t>
      </w:r>
      <w:r>
        <w:rPr>
          <w:rFonts w:hint="eastAsia"/>
          <w:spacing w:val="-4"/>
          <w:rtl/>
        </w:rPr>
        <w:t>»</w:t>
      </w:r>
      <w:r>
        <w:rPr>
          <w:rFonts w:hint="cs"/>
          <w:spacing w:val="-4"/>
          <w:rtl/>
        </w:rPr>
        <w:t xml:space="preserve">. والصحيح ما تمَّ إثباته من (ب) و(د)، وهو الموافق لجامع الفصولين وأشباه ابن نجيم الذي نقل عن جامع الفصولين-؛ حيث جاء فيهما: </w:t>
      </w:r>
      <w:r>
        <w:rPr>
          <w:rFonts w:hint="eastAsia"/>
          <w:spacing w:val="-4"/>
          <w:rtl/>
        </w:rPr>
        <w:t>«</w:t>
      </w:r>
      <w:r>
        <w:rPr>
          <w:rFonts w:hint="cs"/>
          <w:spacing w:val="-4"/>
          <w:rtl/>
        </w:rPr>
        <w:t>... فقد صرّح بأن اليد تثبت على الحرّة ...</w:t>
      </w:r>
      <w:r>
        <w:rPr>
          <w:rFonts w:hint="eastAsia"/>
          <w:spacing w:val="-4"/>
          <w:rtl/>
        </w:rPr>
        <w:t>»</w:t>
      </w:r>
      <w:r>
        <w:rPr>
          <w:rFonts w:hint="cs"/>
          <w:spacing w:val="-4"/>
          <w:rtl/>
        </w:rPr>
        <w:t>.</w:t>
      </w:r>
    </w:p>
  </w:footnote>
  <w:footnote w:id="25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جامع الفصولين، 2/185؛ الأشباه والنظائر لابن نجيم، ص158- مع الاختلاف الذي سبق بيانه-.</w:t>
      </w:r>
    </w:p>
  </w:footnote>
  <w:footnote w:id="2549">
    <w:p w:rsidR="00035BE3" w:rsidRPr="0027318B" w:rsidRDefault="00035BE3" w:rsidP="00C10469">
      <w:pPr>
        <w:pStyle w:val="a8"/>
        <w:bidi/>
        <w:ind w:left="422" w:right="0"/>
        <w:rPr>
          <w:spacing w:val="-4"/>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w:t>
      </w:r>
      <w:r w:rsidRPr="0027318B">
        <w:rPr>
          <w:rFonts w:hint="cs"/>
          <w:spacing w:val="-4"/>
          <w:rtl/>
        </w:rPr>
        <w:t xml:space="preserve">في (أ): </w:t>
      </w:r>
      <w:r w:rsidRPr="0027318B">
        <w:rPr>
          <w:rFonts w:hint="eastAsia"/>
          <w:spacing w:val="-4"/>
          <w:rtl/>
        </w:rPr>
        <w:t>«</w:t>
      </w:r>
      <w:r w:rsidRPr="0027318B">
        <w:rPr>
          <w:rFonts w:hint="cs"/>
          <w:spacing w:val="-4"/>
          <w:rtl/>
        </w:rPr>
        <w:t xml:space="preserve"> يتعد </w:t>
      </w:r>
      <w:r w:rsidRPr="0027318B">
        <w:rPr>
          <w:rFonts w:hint="eastAsia"/>
          <w:spacing w:val="-4"/>
          <w:rtl/>
        </w:rPr>
        <w:t>»</w:t>
      </w:r>
      <w:r w:rsidRPr="0027318B">
        <w:rPr>
          <w:rFonts w:hint="cs"/>
          <w:spacing w:val="-4"/>
          <w:rtl/>
        </w:rPr>
        <w:t xml:space="preserve">، وفي (جـ): </w:t>
      </w:r>
      <w:r w:rsidRPr="0027318B">
        <w:rPr>
          <w:rFonts w:hint="eastAsia"/>
          <w:spacing w:val="-4"/>
          <w:rtl/>
        </w:rPr>
        <w:t>«</w:t>
      </w:r>
      <w:r w:rsidRPr="0027318B">
        <w:rPr>
          <w:rFonts w:hint="cs"/>
          <w:spacing w:val="-4"/>
          <w:rtl/>
        </w:rPr>
        <w:t xml:space="preserve"> يتعدَّد </w:t>
      </w:r>
      <w:r w:rsidRPr="0027318B">
        <w:rPr>
          <w:rFonts w:hint="eastAsia"/>
          <w:spacing w:val="-4"/>
          <w:rtl/>
        </w:rPr>
        <w:t>»</w:t>
      </w:r>
      <w:r w:rsidRPr="0027318B">
        <w:rPr>
          <w:rFonts w:hint="cs"/>
          <w:spacing w:val="-4"/>
          <w:rtl/>
        </w:rPr>
        <w:t xml:space="preserve">، وفي (د) (بإهمال النقاط)؛ وفي (ب): </w:t>
      </w:r>
      <w:r w:rsidRPr="0027318B">
        <w:rPr>
          <w:rFonts w:hint="eastAsia"/>
          <w:spacing w:val="-4"/>
          <w:rtl/>
        </w:rPr>
        <w:t>«</w:t>
      </w:r>
      <w:r w:rsidRPr="0027318B">
        <w:rPr>
          <w:rFonts w:hint="cs"/>
          <w:spacing w:val="-4"/>
          <w:rtl/>
        </w:rPr>
        <w:t xml:space="preserve"> تتعدى</w:t>
      </w:r>
      <w:r w:rsidRPr="0027318B">
        <w:rPr>
          <w:rFonts w:hint="eastAsia"/>
          <w:spacing w:val="-4"/>
          <w:rtl/>
        </w:rPr>
        <w:t>»</w:t>
      </w:r>
      <w:r w:rsidRPr="0027318B">
        <w:rPr>
          <w:rFonts w:hint="cs"/>
          <w:spacing w:val="-4"/>
          <w:rtl/>
        </w:rPr>
        <w:t xml:space="preserve">؛ وفاقًا لأشباه ابن نجيم، وفي (هـ) و(و): </w:t>
      </w:r>
      <w:r w:rsidRPr="0027318B">
        <w:rPr>
          <w:rFonts w:hint="eastAsia"/>
          <w:spacing w:val="-4"/>
          <w:rtl/>
        </w:rPr>
        <w:t>«</w:t>
      </w:r>
      <w:r w:rsidRPr="0027318B">
        <w:rPr>
          <w:rFonts w:hint="cs"/>
          <w:spacing w:val="-4"/>
          <w:rtl/>
        </w:rPr>
        <w:t>تتعدّد</w:t>
      </w:r>
      <w:r w:rsidRPr="0027318B">
        <w:rPr>
          <w:rFonts w:hint="eastAsia"/>
          <w:spacing w:val="-4"/>
          <w:rtl/>
        </w:rPr>
        <w:t>»</w:t>
      </w:r>
      <w:r w:rsidRPr="0027318B">
        <w:rPr>
          <w:rFonts w:hint="cs"/>
          <w:spacing w:val="-4"/>
          <w:rtl/>
        </w:rPr>
        <w:t xml:space="preserve">؛ وفاقاً لقواعد الفقه لابن نجيم. والذي يستقيم به المعنى ما في (ب) وما في (هـ) و(و) أيضًا، إلا أن ما في (ب) أولى؛ لأنه أوضح دلالة على المعنى؛ إذ </w:t>
      </w:r>
      <w:r w:rsidRPr="0027318B">
        <w:rPr>
          <w:rFonts w:hint="cs"/>
          <w:b/>
          <w:bCs/>
          <w:spacing w:val="-4"/>
          <w:rtl/>
        </w:rPr>
        <w:t>معنى القاعدة</w:t>
      </w:r>
      <w:r w:rsidRPr="0027318B">
        <w:rPr>
          <w:rFonts w:hint="cs"/>
          <w:spacing w:val="-4"/>
          <w:rtl/>
        </w:rPr>
        <w:t xml:space="preserve">: </w:t>
      </w:r>
    </w:p>
    <w:p w:rsidR="00035BE3" w:rsidRDefault="00035BE3" w:rsidP="00C10469">
      <w:pPr>
        <w:pStyle w:val="a6"/>
        <w:ind w:left="422" w:firstLine="0"/>
        <w:rPr>
          <w:rtl/>
        </w:rPr>
      </w:pPr>
      <w:r>
        <w:rPr>
          <w:rFonts w:hint="cs"/>
          <w:rtl/>
        </w:rPr>
        <w:t>أن المال المحرّم إذا انتقلت ملكيته إلى آخر، فإن الحرمة تتعدى إلى الآخر أيضًا إذا كان الآخر عالمًا بحرمة هذا المال على الأول. ويستثنى من ذلك ما لو انتقل هذا المال عن طريق الإرث، فإن المال يكون مباحًا للوارث وإن كان عالمًا بحرمته على المورِّث.</w:t>
      </w:r>
    </w:p>
  </w:footnote>
  <w:footnote w:id="25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وما جاء فيها مذكورة في الأشباه والنظائر لابن نجيم، ص321؛ وقواعد الفقه له أيضًا، ص154، قاعدة 177 - ولفظ الأشباه كلفظ المؤلف، أما لفظ القواعد فهو : </w:t>
      </w:r>
      <w:r>
        <w:rPr>
          <w:rFonts w:hint="eastAsia"/>
          <w:rtl/>
        </w:rPr>
        <w:t>«</w:t>
      </w:r>
      <w:r>
        <w:rPr>
          <w:rFonts w:hint="cs"/>
          <w:rtl/>
        </w:rPr>
        <w:t>الحرمة في الأموال تتعدّد مع العلم بها إلاّ في حق الوارث</w:t>
      </w:r>
      <w:r>
        <w:rPr>
          <w:rFonts w:hint="eastAsia"/>
          <w:rtl/>
        </w:rPr>
        <w:t>»</w:t>
      </w:r>
      <w:r>
        <w:rPr>
          <w:rFonts w:hint="cs"/>
          <w:rtl/>
        </w:rPr>
        <w:t>.</w:t>
      </w:r>
    </w:p>
  </w:footnote>
  <w:footnote w:id="25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 xml:space="preserve"> اسم كتاب </w:t>
      </w:r>
      <w:r>
        <w:rPr>
          <w:rFonts w:hint="eastAsia"/>
          <w:rtl/>
        </w:rPr>
        <w:t>»</w:t>
      </w:r>
      <w:r>
        <w:rPr>
          <w:rFonts w:hint="cs"/>
          <w:rtl/>
        </w:rPr>
        <w:t>.</w:t>
      </w:r>
    </w:p>
    <w:p w:rsidR="00035BE3" w:rsidRDefault="00035BE3" w:rsidP="00C10469">
      <w:pPr>
        <w:pStyle w:val="a6"/>
        <w:ind w:left="422" w:firstLine="0"/>
        <w:rPr>
          <w:rtl/>
        </w:rPr>
      </w:pPr>
      <w:r>
        <w:rPr>
          <w:rFonts w:hint="cs"/>
          <w:rtl/>
        </w:rPr>
        <w:t>وهو فتاوى قاضي خان فانظره، 3/401، 429 - وقد نصّ في الموضعين على أن الأولى : تورُّعُ الورثة بعدم أخذهم لهذا المال، وردّه إلى صاحبه إن عرفوه، وإلاّ يتصدَّق به.</w:t>
      </w:r>
    </w:p>
  </w:footnote>
  <w:footnote w:id="2552">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الظهيرية</w:t>
      </w:r>
      <w:r>
        <w:rPr>
          <w:rFonts w:hint="cs"/>
          <w:rtl/>
        </w:rPr>
        <w:t xml:space="preserve"> : هي كتاب في الفتاوى عند الحنفية يعرف بِـ (الفتاوى الظهيرية)، جمعها مؤلفها </w:t>
      </w:r>
      <w:r>
        <w:rPr>
          <w:rFonts w:hint="eastAsia"/>
          <w:rtl/>
        </w:rPr>
        <w:t>«</w:t>
      </w:r>
      <w:r>
        <w:rPr>
          <w:rFonts w:hint="cs"/>
          <w:rtl/>
        </w:rPr>
        <w:t>من الواقعات والنوازل، ممّا يـشـتد الافتـقار إلـيـه وفـوائـد غير هذه</w:t>
      </w:r>
      <w:r>
        <w:rPr>
          <w:rFonts w:hint="eastAsia"/>
          <w:rtl/>
        </w:rPr>
        <w:t>»</w:t>
      </w:r>
      <w:r>
        <w:rPr>
          <w:rFonts w:hint="cs"/>
          <w:rtl/>
        </w:rPr>
        <w:t>- كذا جاء في كشف الظنون، 2/1226-.</w:t>
      </w:r>
    </w:p>
    <w:p w:rsidR="00035BE3" w:rsidRDefault="00035BE3" w:rsidP="00C10469">
      <w:pPr>
        <w:pStyle w:val="a6"/>
        <w:ind w:left="422" w:firstLine="0"/>
        <w:rPr>
          <w:rtl/>
        </w:rPr>
      </w:pPr>
      <w:r>
        <w:rPr>
          <w:rFonts w:hint="cs"/>
          <w:rtl/>
        </w:rPr>
        <w:t xml:space="preserve">وجاء في الفوائد البهية -ص157- : </w:t>
      </w:r>
      <w:r>
        <w:rPr>
          <w:rFonts w:hint="eastAsia"/>
          <w:rtl/>
        </w:rPr>
        <w:t>«</w:t>
      </w:r>
      <w:r>
        <w:rPr>
          <w:rFonts w:hint="cs"/>
          <w:rtl/>
        </w:rPr>
        <w:t>وقد طالعت من تصانيفه (الفتاوى الظهيرية) فوجدته كتابًا معتبرًا، متضمنًا للفوائد الكثيرة</w:t>
      </w:r>
      <w:r>
        <w:rPr>
          <w:rFonts w:hint="eastAsia"/>
          <w:rtl/>
        </w:rPr>
        <w:t>»</w:t>
      </w:r>
      <w:r>
        <w:rPr>
          <w:rFonts w:hint="cs"/>
          <w:rtl/>
        </w:rPr>
        <w:t>.</w:t>
      </w:r>
    </w:p>
    <w:p w:rsidR="00035BE3" w:rsidRDefault="00035BE3" w:rsidP="00C10469">
      <w:pPr>
        <w:pStyle w:val="a6"/>
        <w:ind w:left="422" w:firstLine="0"/>
        <w:rPr>
          <w:rtl/>
        </w:rPr>
      </w:pPr>
      <w:r>
        <w:rPr>
          <w:rFonts w:hint="cs"/>
          <w:b/>
          <w:bCs/>
          <w:rtl/>
        </w:rPr>
        <w:t>أما مؤلف هذا الكتاب :</w:t>
      </w:r>
      <w:r>
        <w:rPr>
          <w:rFonts w:hint="cs"/>
          <w:rtl/>
        </w:rPr>
        <w:t xml:space="preserve"> فقد حصل فيه خلاف بين علماء الحنفية على أقوال:</w:t>
      </w:r>
    </w:p>
    <w:p w:rsidR="00035BE3" w:rsidRDefault="00035BE3" w:rsidP="00C10469">
      <w:pPr>
        <w:pStyle w:val="a6"/>
        <w:ind w:left="422" w:firstLine="0"/>
        <w:rPr>
          <w:rtl/>
        </w:rPr>
      </w:pPr>
      <w:r>
        <w:rPr>
          <w:rFonts w:hint="cs"/>
          <w:b/>
          <w:bCs/>
          <w:rtl/>
        </w:rPr>
        <w:t>الأول :</w:t>
      </w:r>
      <w:r>
        <w:rPr>
          <w:rFonts w:hint="cs"/>
          <w:rtl/>
        </w:rPr>
        <w:t xml:space="preserve"> هو محمد بن أحمد بن عمر، القاضي أبو بكر ظهير الدين البخاري (ت 619هـ).</w:t>
      </w:r>
    </w:p>
    <w:p w:rsidR="00035BE3" w:rsidRDefault="00035BE3" w:rsidP="00C10469">
      <w:pPr>
        <w:pStyle w:val="a6"/>
        <w:spacing w:line="460" w:lineRule="exact"/>
        <w:ind w:left="422" w:firstLine="0"/>
        <w:rPr>
          <w:spacing w:val="8"/>
          <w:rtl/>
        </w:rPr>
      </w:pPr>
      <w:r>
        <w:rPr>
          <w:rFonts w:hint="cs"/>
          <w:spacing w:val="8"/>
          <w:rtl/>
        </w:rPr>
        <w:t xml:space="preserve">وهذا قول الكفوي - كما أفاد ذلك صاحب (الفوائد البهية)، ص62، 156 </w:t>
      </w:r>
      <w:r>
        <w:rPr>
          <w:spacing w:val="8"/>
          <w:rtl/>
        </w:rPr>
        <w:t>–</w:t>
      </w:r>
      <w:r>
        <w:rPr>
          <w:rFonts w:hint="cs"/>
          <w:spacing w:val="8"/>
          <w:rtl/>
        </w:rPr>
        <w:t xml:space="preserve"> وهو قول صاحب (كشف الظنون)، 2/1226، وصاحب (هدية العارفين)، 2/111، وهو القول الذي قدّمه صاحب (مفتاح السعادة)، 2/252، وصاحب (مدينة العلوم)- كما نقله عنه صاحب (الفوائد البهية)، ص122- كما أن صاحب (الفوائد) نفسَهُ نصره في مواضع متعدَّدة من كتابه - انظر: ص62، 122-123، 156-157-.</w:t>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t xml:space="preserve"> </w:t>
      </w:r>
    </w:p>
    <w:p w:rsidR="00035BE3" w:rsidRDefault="00035BE3" w:rsidP="00C10469">
      <w:pPr>
        <w:pStyle w:val="a6"/>
        <w:ind w:left="422" w:firstLine="0"/>
        <w:rPr>
          <w:rtl/>
        </w:rPr>
      </w:pPr>
      <w:r>
        <w:rPr>
          <w:rFonts w:hint="cs"/>
          <w:b/>
          <w:bCs/>
          <w:rtl/>
        </w:rPr>
        <w:t>الثاني :</w:t>
      </w:r>
      <w:r>
        <w:rPr>
          <w:rFonts w:hint="cs"/>
          <w:rtl/>
        </w:rPr>
        <w:t xml:space="preserve"> هو الحسن بن علي بن عبد العزيز، أبو المحاسن ظهير الدين المرغيناني (ت542هـ)، وهو شيخ ظهير الدين البخاري الآنف ذكره.</w:t>
      </w:r>
    </w:p>
    <w:p w:rsidR="00035BE3" w:rsidRDefault="00035BE3" w:rsidP="00C10469">
      <w:pPr>
        <w:pStyle w:val="a6"/>
        <w:ind w:left="422" w:firstLine="0"/>
        <w:rPr>
          <w:spacing w:val="-10"/>
          <w:rtl/>
        </w:rPr>
      </w:pPr>
      <w:r>
        <w:rPr>
          <w:rFonts w:hint="cs"/>
          <w:spacing w:val="-10"/>
          <w:rtl/>
        </w:rPr>
        <w:t>وقد نُسب إليه الكتاب بصيغة التمريض (وقيل) في (مدينة العلوم)- على ما نقله صاحب (الفوائد)، ص122-.</w:t>
      </w:r>
    </w:p>
    <w:p w:rsidR="00035BE3" w:rsidRDefault="00035BE3" w:rsidP="00C10469">
      <w:pPr>
        <w:pStyle w:val="a6"/>
        <w:ind w:left="422" w:firstLine="0"/>
        <w:rPr>
          <w:rtl/>
        </w:rPr>
      </w:pPr>
      <w:r>
        <w:rPr>
          <w:rFonts w:hint="cs"/>
          <w:b/>
          <w:bCs/>
          <w:rtl/>
        </w:rPr>
        <w:t>الثالث :</w:t>
      </w:r>
      <w:r>
        <w:rPr>
          <w:rFonts w:hint="cs"/>
          <w:rtl/>
        </w:rPr>
        <w:t xml:space="preserve"> هو والد الحسن، وهو علي بن عبد العزيز بن عبد الرزاق، أبو الحسين ظهير الدين الكبير المرغيناني (ت 506هـ).</w:t>
      </w:r>
    </w:p>
    <w:p w:rsidR="00035BE3" w:rsidRDefault="00035BE3" w:rsidP="00C10469">
      <w:pPr>
        <w:pStyle w:val="a6"/>
        <w:ind w:left="422" w:firstLine="0"/>
        <w:rPr>
          <w:rtl/>
        </w:rPr>
      </w:pPr>
      <w:r>
        <w:rPr>
          <w:rFonts w:hint="cs"/>
          <w:rtl/>
        </w:rPr>
        <w:t>وهذا قول علي القاري (ت1014هـ)- كما ذكر ذلك صاحب (الفوائد)، ص122، 157- وأيضًا نُسب الكتاب إليه بصيغة التمريض (وقيل) في (مفتاح السعادة) -2/252-.</w:t>
      </w:r>
    </w:p>
    <w:p w:rsidR="00035BE3" w:rsidRDefault="00035BE3" w:rsidP="00C10469">
      <w:pPr>
        <w:pStyle w:val="a6"/>
        <w:ind w:left="422" w:firstLine="0"/>
        <w:rPr>
          <w:rtl/>
        </w:rPr>
      </w:pPr>
      <w:r>
        <w:rPr>
          <w:rFonts w:hint="cs"/>
          <w:b/>
          <w:bCs/>
          <w:rtl/>
        </w:rPr>
        <w:t>ولعل الراجح</w:t>
      </w:r>
      <w:r>
        <w:rPr>
          <w:rFonts w:hint="cs"/>
          <w:rtl/>
        </w:rPr>
        <w:t xml:space="preserve"> -والله أعلم- هو القول الأول لما يأتي :</w:t>
      </w:r>
    </w:p>
    <w:p w:rsidR="00035BE3" w:rsidRDefault="00035BE3" w:rsidP="00C10469">
      <w:pPr>
        <w:pStyle w:val="a6"/>
        <w:ind w:left="422" w:firstLine="0"/>
        <w:rPr>
          <w:rtl/>
        </w:rPr>
      </w:pPr>
      <w:r>
        <w:rPr>
          <w:rFonts w:hint="cs"/>
          <w:b/>
          <w:bCs/>
          <w:rtl/>
        </w:rPr>
        <w:t>1</w:t>
      </w:r>
      <w:r>
        <w:rPr>
          <w:rFonts w:hint="cs"/>
          <w:rtl/>
        </w:rPr>
        <w:t>- كونه قول ستة من كبار علماء التراجم من الحنفية، وهو الذي قال به أيضًا صاحب (الأعلام) -5/320- وصاحب (معجم المؤلفين) -3/88-.</w:t>
      </w:r>
    </w:p>
    <w:p w:rsidR="00035BE3" w:rsidRDefault="00035BE3" w:rsidP="00C10469">
      <w:pPr>
        <w:pStyle w:val="a6"/>
        <w:ind w:left="422" w:firstLine="0"/>
        <w:rPr>
          <w:rtl/>
        </w:rPr>
      </w:pPr>
      <w:r>
        <w:rPr>
          <w:rFonts w:hint="cs"/>
          <w:b/>
          <w:bCs/>
          <w:rtl/>
        </w:rPr>
        <w:t>2</w:t>
      </w:r>
      <w:r>
        <w:rPr>
          <w:rFonts w:hint="cs"/>
          <w:rtl/>
        </w:rPr>
        <w:t>- كون الكتاب نسب إلى ظهير الدين البخاري في سبعة فهارس من فهارس المخطوطات، وهذه الفهارس تعبِّر عن ثلاث عشرة نسخة خطية - وسوف يأتي سردها مفصلة عند بيان حالة الكتاب في نهاية هذا الهامش-.</w:t>
      </w:r>
    </w:p>
    <w:p w:rsidR="00035BE3" w:rsidRDefault="00035BE3" w:rsidP="00C10469">
      <w:pPr>
        <w:pStyle w:val="a6"/>
        <w:ind w:left="422" w:firstLine="0"/>
        <w:rPr>
          <w:rtl/>
        </w:rPr>
      </w:pPr>
      <w:r>
        <w:rPr>
          <w:rFonts w:hint="cs"/>
          <w:b/>
          <w:bCs/>
          <w:rtl/>
        </w:rPr>
        <w:t>3</w:t>
      </w:r>
      <w:r>
        <w:rPr>
          <w:rFonts w:hint="cs"/>
          <w:rtl/>
        </w:rPr>
        <w:t>- أما القول الثاني : فهو بعكس هذا القول؛ إذْ لم يذكره - على حدِّ علمي القاصر - سوى صاحب (مدينة العلوم)، ولم ينسبه إلى قائل؛ بل صدَّره بصيغة التمريض.</w:t>
      </w:r>
    </w:p>
    <w:p w:rsidR="00035BE3" w:rsidRDefault="00035BE3" w:rsidP="00C10469">
      <w:pPr>
        <w:pStyle w:val="a6"/>
        <w:ind w:left="422" w:firstLine="0"/>
        <w:rPr>
          <w:rtl/>
        </w:rPr>
      </w:pPr>
      <w:r>
        <w:rPr>
          <w:rFonts w:hint="cs"/>
          <w:rtl/>
        </w:rPr>
        <w:t>وغاية ما يمكن أن يكون مستندًا لهذا القول - وربما للقول الثالث أيضًا- أنَّ الكتاب نُسب إلى (ظهير الدين المرغيناني) في فهرس (بشير أغا) بمكتبة السليمانية، برقم 319.</w:t>
      </w:r>
    </w:p>
    <w:p w:rsidR="00035BE3" w:rsidRDefault="00035BE3" w:rsidP="00C10469">
      <w:pPr>
        <w:pStyle w:val="a6"/>
        <w:ind w:left="422" w:firstLine="0"/>
        <w:rPr>
          <w:rtl/>
        </w:rPr>
      </w:pPr>
      <w:r>
        <w:rPr>
          <w:rFonts w:hint="cs"/>
          <w:rtl/>
        </w:rPr>
        <w:t>كما نسب إلى (المرغيناني) -بإطلاق- في فهرس (اسميخان سلطان) بمكتبة السليمانية، برقم 237.</w:t>
      </w:r>
    </w:p>
    <w:p w:rsidR="00035BE3" w:rsidRDefault="00035BE3" w:rsidP="00C10469">
      <w:pPr>
        <w:pStyle w:val="a6"/>
        <w:ind w:left="422" w:firstLine="0"/>
        <w:rPr>
          <w:rtl/>
        </w:rPr>
      </w:pPr>
      <w:r>
        <w:rPr>
          <w:rFonts w:hint="cs"/>
          <w:rtl/>
        </w:rPr>
        <w:t>ويمكن أن يعترض على هذا بما يأتي :</w:t>
      </w:r>
    </w:p>
    <w:p w:rsidR="00035BE3" w:rsidRDefault="00035BE3" w:rsidP="00C10469">
      <w:pPr>
        <w:pStyle w:val="a6"/>
        <w:ind w:left="422" w:firstLine="0"/>
        <w:rPr>
          <w:rtl/>
        </w:rPr>
      </w:pPr>
      <w:r>
        <w:rPr>
          <w:rFonts w:hint="cs"/>
          <w:b/>
          <w:bCs/>
          <w:rtl/>
        </w:rPr>
        <w:t>أ</w:t>
      </w:r>
      <w:r>
        <w:rPr>
          <w:rFonts w:hint="cs"/>
          <w:rtl/>
        </w:rPr>
        <w:t xml:space="preserve"> </w:t>
      </w:r>
      <w:r>
        <w:rPr>
          <w:rFonts w:hint="cs"/>
          <w:b/>
          <w:bCs/>
          <w:rtl/>
        </w:rPr>
        <w:t>-</w:t>
      </w:r>
      <w:r>
        <w:rPr>
          <w:rFonts w:hint="cs"/>
          <w:rtl/>
        </w:rPr>
        <w:t xml:space="preserve"> اسم المؤلف في هذين الفهرسين فيه نوع إطلاق، فليس فيهما اسم المؤلف واسم أبيه.</w:t>
      </w:r>
    </w:p>
    <w:p w:rsidR="00035BE3" w:rsidRDefault="00035BE3" w:rsidP="00C10469">
      <w:pPr>
        <w:pStyle w:val="a6"/>
        <w:ind w:left="422" w:firstLine="0"/>
      </w:pPr>
      <w:r>
        <w:rPr>
          <w:rFonts w:hint="cs"/>
          <w:b/>
          <w:bCs/>
          <w:rtl/>
        </w:rPr>
        <w:t>ب</w:t>
      </w:r>
      <w:r>
        <w:rPr>
          <w:rFonts w:hint="cs"/>
          <w:rtl/>
        </w:rPr>
        <w:t xml:space="preserve">- جاء في (فهرس الفقه الحنفي بمعهد البحوث العلمية وإحياء التراث بمكة المكرمة) -ص391-393- أن للكتاب نسختين، ونسب فيهما إلى </w:t>
      </w:r>
      <w:r>
        <w:rPr>
          <w:rFonts w:hint="eastAsia"/>
          <w:rtl/>
        </w:rPr>
        <w:t>«</w:t>
      </w:r>
      <w:r>
        <w:rPr>
          <w:rFonts w:hint="cs"/>
          <w:rtl/>
        </w:rPr>
        <w:t>محمد بن أحمد البخاري المرغيناني، ظهير الدين أبو بكر (ت619هـ)</w:t>
      </w:r>
      <w:r>
        <w:rPr>
          <w:rFonts w:hint="eastAsia"/>
          <w:rtl/>
        </w:rPr>
        <w:t>»</w:t>
      </w:r>
      <w:r>
        <w:rPr>
          <w:rFonts w:hint="cs"/>
          <w:rtl/>
        </w:rPr>
        <w:t>.</w:t>
      </w:r>
    </w:p>
    <w:p w:rsidR="00035BE3" w:rsidRDefault="00035BE3" w:rsidP="00C10469">
      <w:pPr>
        <w:pStyle w:val="a6"/>
        <w:ind w:left="422" w:firstLine="0"/>
        <w:rPr>
          <w:rtl/>
        </w:rPr>
      </w:pPr>
      <w:r>
        <w:rPr>
          <w:rFonts w:hint="cs"/>
          <w:rtl/>
        </w:rPr>
        <w:t>وبناء على هذا لا يبعد أن يكون (المرغيناني) المذكور في فهرس (بشير أغا) والذي يليه هو محمد البخاري نفسه.</w:t>
      </w:r>
    </w:p>
    <w:p w:rsidR="00035BE3" w:rsidRDefault="00035BE3" w:rsidP="00C10469">
      <w:pPr>
        <w:pStyle w:val="a6"/>
        <w:spacing w:line="420" w:lineRule="exact"/>
        <w:ind w:left="422" w:firstLine="0"/>
        <w:rPr>
          <w:rtl/>
        </w:rPr>
      </w:pPr>
      <w:r>
        <w:rPr>
          <w:rFonts w:hint="cs"/>
          <w:b/>
          <w:bCs/>
          <w:rtl/>
        </w:rPr>
        <w:t>جـ</w:t>
      </w:r>
      <w:r>
        <w:rPr>
          <w:rFonts w:hint="cs"/>
          <w:rtl/>
        </w:rPr>
        <w:t>- ولو سُـلِّم بأن المراد به الحسن بن علي المرغيناني أو والده، فهو معارض بما جاء في ثلاث عشرة نسخة خطية، حيث نسب الكتاب فيها إلى محمد البخاري!.</w:t>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20" w:lineRule="exact"/>
        <w:ind w:left="422" w:firstLine="0"/>
        <w:rPr>
          <w:rtl/>
        </w:rPr>
      </w:pPr>
      <w:r>
        <w:rPr>
          <w:rFonts w:hint="cs"/>
          <w:b/>
          <w:bCs/>
          <w:rtl/>
        </w:rPr>
        <w:t>4</w:t>
      </w:r>
      <w:r>
        <w:rPr>
          <w:rFonts w:hint="cs"/>
          <w:rtl/>
        </w:rPr>
        <w:t>- أما القول الثالث : فهو - وإن كان قد تبنَّاه علي القاري، إلا أن صاحب (الفوائد البهية) اعترض عليه وعلى القول الثاني باعتراضين.</w:t>
      </w:r>
    </w:p>
    <w:p w:rsidR="00035BE3" w:rsidRDefault="00035BE3" w:rsidP="00C10469">
      <w:pPr>
        <w:pStyle w:val="a6"/>
        <w:spacing w:line="420" w:lineRule="exact"/>
        <w:ind w:left="422" w:firstLine="0"/>
        <w:rPr>
          <w:rtl/>
        </w:rPr>
      </w:pPr>
      <w:r>
        <w:rPr>
          <w:rFonts w:hint="cs"/>
          <w:b/>
          <w:bCs/>
          <w:rtl/>
        </w:rPr>
        <w:t>الأول :</w:t>
      </w:r>
      <w:r>
        <w:rPr>
          <w:rFonts w:hint="cs"/>
          <w:rtl/>
        </w:rPr>
        <w:t xml:space="preserve"> أن الكفوي نَسَبَ (الفتاوي الظهيرية) إلى ظهير الدين محمد البخاري وليس المرغيناني. ونص عبارته -ص157-: </w:t>
      </w:r>
      <w:r>
        <w:rPr>
          <w:rFonts w:hint="eastAsia"/>
          <w:rtl/>
        </w:rPr>
        <w:t>«</w:t>
      </w:r>
      <w:r>
        <w:rPr>
          <w:rFonts w:hint="cs"/>
          <w:rtl/>
        </w:rPr>
        <w:t xml:space="preserve"> نِسْبَةُ (الفتاوى الظهيرية) و (الفوائد الظهيرية) إليه [أي نسبة الكفوي الكتابين إلى البخاري] يردُّ على علي القاري، حيث نسب (الفتاوي الظهيرية) إلى ظهير الدين الكبير، علي بن عبد العزيز المرغيناني ... وعلى من نسبها إلى الحسن بن علي المرغيناني</w:t>
      </w:r>
      <w:r>
        <w:rPr>
          <w:rFonts w:hint="eastAsia"/>
          <w:rtl/>
        </w:rPr>
        <w:t>»</w:t>
      </w:r>
      <w:r>
        <w:rPr>
          <w:rFonts w:hint="cs"/>
          <w:rtl/>
        </w:rPr>
        <w:t>.</w:t>
      </w:r>
    </w:p>
    <w:p w:rsidR="00035BE3" w:rsidRDefault="00035BE3" w:rsidP="00C10469">
      <w:pPr>
        <w:pStyle w:val="a6"/>
        <w:spacing w:line="420" w:lineRule="exact"/>
        <w:ind w:left="422" w:firstLine="0"/>
        <w:rPr>
          <w:rtl/>
        </w:rPr>
      </w:pPr>
      <w:r>
        <w:rPr>
          <w:rFonts w:hint="cs"/>
          <w:rtl/>
        </w:rPr>
        <w:t>ويضاف إلى الكفوي خمسة علماء آخرون - وقد سبق ذكرهم عـند بيان من قال بالقول الأول، ص643-.</w:t>
      </w:r>
    </w:p>
    <w:p w:rsidR="00035BE3" w:rsidRDefault="00035BE3" w:rsidP="00C10469">
      <w:pPr>
        <w:pStyle w:val="a6"/>
        <w:spacing w:line="420" w:lineRule="exact"/>
        <w:ind w:left="422" w:firstLine="0"/>
        <w:rPr>
          <w:rtl/>
        </w:rPr>
      </w:pPr>
      <w:r>
        <w:rPr>
          <w:rFonts w:hint="cs"/>
          <w:b/>
          <w:bCs/>
          <w:rtl/>
        </w:rPr>
        <w:t>الثاني</w:t>
      </w:r>
      <w:r>
        <w:rPr>
          <w:rFonts w:hint="cs"/>
          <w:rtl/>
        </w:rPr>
        <w:t xml:space="preserve"> : ذكره ص122، وحاصله : أن مؤلف الفتاوى الظهيرية كثيرًا ما ينقل المسائل والفوائد عن ظهير الدين المرغيناني، ويصفه بالشيخ الإمام الأستاذ الأجل.</w:t>
      </w:r>
    </w:p>
    <w:p w:rsidR="00035BE3" w:rsidRDefault="00035BE3" w:rsidP="00C10469">
      <w:pPr>
        <w:pStyle w:val="a6"/>
        <w:spacing w:line="420" w:lineRule="exact"/>
        <w:ind w:left="422" w:firstLine="0"/>
        <w:rPr>
          <w:rtl/>
        </w:rPr>
      </w:pPr>
      <w:r>
        <w:rPr>
          <w:rFonts w:hint="cs"/>
          <w:rtl/>
        </w:rPr>
        <w:t>ويستفاد من هذا أمور :</w:t>
      </w:r>
    </w:p>
    <w:p w:rsidR="00035BE3" w:rsidRDefault="00035BE3" w:rsidP="00C10469">
      <w:pPr>
        <w:pStyle w:val="a6"/>
        <w:spacing w:line="420" w:lineRule="exact"/>
        <w:ind w:left="422" w:firstLine="0"/>
        <w:rPr>
          <w:rtl/>
        </w:rPr>
      </w:pPr>
      <w:r>
        <w:rPr>
          <w:rFonts w:hint="cs"/>
          <w:b/>
          <w:bCs/>
          <w:rtl/>
        </w:rPr>
        <w:t>أ -</w:t>
      </w:r>
      <w:r>
        <w:rPr>
          <w:rFonts w:hint="cs"/>
          <w:rtl/>
        </w:rPr>
        <w:t xml:space="preserve"> أن ظهير الدين الكبير، علي بن عبد العزيز المرغيناني ليس مؤلفًا للفتاوى؛ لأن والده عبد العزيز لم يعرف بظهير الدين، فلم يبق ممن يعرف بهذا اللقب من أسرتهم إلا علي وابنه الحسن. ويبعد جدًّا أن ينقل الإنسان عن نفسه بهذه الطريقة، ويمدحها بمثل هذه الألقاب. ومن باب أولى أن ينقل عن ابنه.</w:t>
      </w:r>
    </w:p>
    <w:p w:rsidR="00035BE3" w:rsidRDefault="00035BE3" w:rsidP="00C10469">
      <w:pPr>
        <w:pStyle w:val="a6"/>
        <w:spacing w:line="420" w:lineRule="exact"/>
        <w:ind w:left="422" w:firstLine="0"/>
        <w:rPr>
          <w:rtl/>
        </w:rPr>
      </w:pPr>
      <w:r>
        <w:rPr>
          <w:rFonts w:hint="cs"/>
          <w:b/>
          <w:bCs/>
          <w:rtl/>
        </w:rPr>
        <w:t>ب</w:t>
      </w:r>
      <w:r>
        <w:rPr>
          <w:rFonts w:hint="cs"/>
          <w:rtl/>
        </w:rPr>
        <w:t>- أن ظهير الدين، الحسن بن علي المرغيناني ليس مؤلفًا للفتاوى أيضًا؛ لأنه من المعلوم أنه يُفرَّق بينه وبين أبيه بتلقيبه بظهير الدين، وأبيه بالظهير الكبير، فلو كان هو المؤلف وينقل عن أبيه لوصفه بالكبير وصرَّح بكونه أباه.</w:t>
      </w:r>
    </w:p>
    <w:p w:rsidR="00035BE3" w:rsidRDefault="00035BE3" w:rsidP="00C10469">
      <w:pPr>
        <w:pStyle w:val="a6"/>
        <w:spacing w:line="420" w:lineRule="exact"/>
        <w:ind w:left="422" w:firstLine="0"/>
        <w:rPr>
          <w:rtl/>
        </w:rPr>
      </w:pPr>
      <w:r>
        <w:rPr>
          <w:rFonts w:hint="cs"/>
          <w:b/>
          <w:bCs/>
          <w:rtl/>
        </w:rPr>
        <w:t>جـ</w:t>
      </w:r>
      <w:r>
        <w:rPr>
          <w:rFonts w:hint="cs"/>
          <w:rtl/>
        </w:rPr>
        <w:t>- أن وجود مثل هذه النقول في الفتاوى لا يتعارض مع القول الأول وهو ظهير الدين البخاري؛ بل على العكس، فهي تقوية؛ لأن البخاري من تلاميذ ظهير الدين الحسن المرغيناني، ومن الطبيعي أن ينقل التلميذ عن شيخه كثيرًا، ويصفه بمثل هذه الأوصاف.</w:t>
      </w:r>
    </w:p>
    <w:p w:rsidR="00035BE3" w:rsidRDefault="00035BE3" w:rsidP="00C10469">
      <w:pPr>
        <w:pStyle w:val="a6"/>
        <w:spacing w:line="420" w:lineRule="exact"/>
        <w:ind w:left="422" w:firstLine="0"/>
        <w:rPr>
          <w:spacing w:val="-10"/>
          <w:sz w:val="29"/>
          <w:szCs w:val="29"/>
          <w:rtl/>
        </w:rPr>
      </w:pPr>
      <w:r>
        <w:rPr>
          <w:rFonts w:hint="cs"/>
          <w:spacing w:val="-10"/>
          <w:sz w:val="29"/>
          <w:szCs w:val="29"/>
          <w:rtl/>
        </w:rPr>
        <w:t>ولعل كثرة نقل المؤلف عن المرغيناني يؤدي إلى معرفة منشأ الخلاف بين من نسب الكتاب إلى المرغيناني أو البخاري.</w:t>
      </w:r>
    </w:p>
    <w:p w:rsidR="00035BE3" w:rsidRDefault="00035BE3" w:rsidP="00C10469">
      <w:pPr>
        <w:pStyle w:val="a6"/>
        <w:spacing w:line="420" w:lineRule="exact"/>
        <w:ind w:left="422" w:firstLine="0"/>
        <w:rPr>
          <w:spacing w:val="-6"/>
          <w:rtl/>
        </w:rPr>
      </w:pPr>
      <w:r>
        <w:rPr>
          <w:rFonts w:hint="cs"/>
          <w:b/>
          <w:bCs/>
          <w:spacing w:val="-6"/>
          <w:rtl/>
        </w:rPr>
        <w:t>فمنشأ الخلاف</w:t>
      </w:r>
      <w:r>
        <w:rPr>
          <w:rFonts w:hint="cs"/>
          <w:spacing w:val="-6"/>
          <w:rtl/>
        </w:rPr>
        <w:t xml:space="preserve"> : أن من نسبه إلى المرغيناني نظر أنه ترجع إليه كثيرٌ من المسائل والفوائد، فجعله هو المؤلف.</w:t>
      </w:r>
    </w:p>
    <w:p w:rsidR="00035BE3" w:rsidRDefault="00035BE3" w:rsidP="00C10469">
      <w:pPr>
        <w:pStyle w:val="a6"/>
        <w:spacing w:line="420" w:lineRule="exact"/>
        <w:ind w:left="422" w:firstLine="0"/>
        <w:rPr>
          <w:rtl/>
        </w:rPr>
      </w:pPr>
      <w:r>
        <w:rPr>
          <w:rFonts w:hint="cs"/>
          <w:rtl/>
        </w:rPr>
        <w:t>ومن نسبه إلى البخاري نظر أنه هو الذي جمع الكتاب ورتبه، وذكر كثيرًا من مباحثه دون أن ينسبها إلى شيخه، فجعله هو المؤلف -والله أعلم-.  هذا ما يتعلق بالمؤلف.</w:t>
      </w:r>
    </w:p>
    <w:p w:rsidR="00035BE3" w:rsidRDefault="00035BE3" w:rsidP="00C10469">
      <w:pPr>
        <w:pStyle w:val="a6"/>
        <w:spacing w:line="420" w:lineRule="exact"/>
        <w:ind w:left="422" w:firstLine="0"/>
        <w:rPr>
          <w:rtl/>
        </w:rPr>
      </w:pPr>
      <w:r>
        <w:rPr>
          <w:rFonts w:hint="cs"/>
          <w:b/>
          <w:bCs/>
          <w:rtl/>
        </w:rPr>
        <w:t>أما حالة الكتاب</w:t>
      </w:r>
      <w:r>
        <w:rPr>
          <w:rFonts w:hint="cs"/>
          <w:rtl/>
        </w:rPr>
        <w:t xml:space="preserve"> : فتوجد له عدّة نسخ خطية، منها نسخ المكتبات الآتية :</w:t>
      </w:r>
    </w:p>
    <w:p w:rsidR="00035BE3" w:rsidRDefault="00035BE3" w:rsidP="00C10469">
      <w:pPr>
        <w:pStyle w:val="a6"/>
        <w:spacing w:line="420" w:lineRule="exact"/>
        <w:ind w:left="422" w:firstLine="0"/>
        <w:rPr>
          <w:spacing w:val="-4"/>
          <w:rtl/>
        </w:rPr>
      </w:pPr>
      <w:r>
        <w:rPr>
          <w:rFonts w:hint="cs"/>
          <w:b/>
          <w:bCs/>
          <w:spacing w:val="-4"/>
          <w:rtl/>
        </w:rPr>
        <w:t>1-2-</w:t>
      </w:r>
      <w:r>
        <w:rPr>
          <w:rFonts w:hint="cs"/>
          <w:spacing w:val="-4"/>
          <w:rtl/>
        </w:rPr>
        <w:t xml:space="preserve"> مركز الملك فيصل للبحوث والدراسات الإسلامية بالرياض، ورقمهما  856فب، و857 فب.</w:t>
      </w:r>
    </w:p>
    <w:p w:rsidR="00035BE3" w:rsidRDefault="00035BE3" w:rsidP="00C10469">
      <w:pPr>
        <w:pStyle w:val="a6"/>
        <w:spacing w:line="420" w:lineRule="exact"/>
        <w:ind w:left="422" w:firstLine="0"/>
        <w:rPr>
          <w:rtl/>
        </w:rPr>
      </w:pPr>
      <w:r>
        <w:rPr>
          <w:rFonts w:hint="cs"/>
          <w:rtl/>
        </w:rPr>
        <w:t>وقد نسب في هذه المكتبة إلى محمد بن أحمد، أبي بكر ظاهر الدين البخاري.</w:t>
      </w:r>
    </w:p>
    <w:p w:rsidR="00035BE3" w:rsidRDefault="00035BE3" w:rsidP="00C10469">
      <w:pPr>
        <w:pStyle w:val="a6"/>
        <w:spacing w:line="420" w:lineRule="exact"/>
        <w:ind w:left="422" w:firstLine="0"/>
        <w:rPr>
          <w:rtl/>
        </w:rPr>
      </w:pPr>
      <w:r>
        <w:rPr>
          <w:rFonts w:hint="cs"/>
          <w:b/>
          <w:bCs/>
          <w:rtl/>
        </w:rPr>
        <w:t>3-4-</w:t>
      </w:r>
      <w:r>
        <w:rPr>
          <w:rFonts w:hint="cs"/>
          <w:rtl/>
        </w:rPr>
        <w:t xml:space="preserve"> معهد البحوث بجامعة أم القرى بمكة المكرمة، وفيها نسختان مصورتان، ورقم الجزء الأول من النسخة الأولى 258، والثاني 132، ورقم الثانية 28. وقد نسب إلى محمد بن أحمد البخاري المرغيناني ظهير الدين أبي بكر.</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20" w:lineRule="exact"/>
        <w:ind w:left="422" w:firstLine="0"/>
        <w:rPr>
          <w:spacing w:val="-10"/>
          <w:rtl/>
        </w:rPr>
      </w:pPr>
      <w:r>
        <w:rPr>
          <w:rFonts w:hint="cs"/>
          <w:b/>
          <w:bCs/>
          <w:spacing w:val="-10"/>
          <w:rtl/>
        </w:rPr>
        <w:t>5</w:t>
      </w:r>
      <w:r>
        <w:rPr>
          <w:rFonts w:hint="cs"/>
          <w:spacing w:val="-10"/>
          <w:rtl/>
        </w:rPr>
        <w:t>- جـامـعـة الـملـك سـعود بالرياض، برقم ف 1151/1، وقد نسب إلى محمد بن أحمد البخاري (ت 619هـ).</w:t>
      </w:r>
    </w:p>
    <w:p w:rsidR="00035BE3" w:rsidRDefault="00035BE3" w:rsidP="00C10469">
      <w:pPr>
        <w:pStyle w:val="a6"/>
        <w:spacing w:line="420" w:lineRule="exact"/>
        <w:ind w:left="422" w:firstLine="0"/>
        <w:rPr>
          <w:rtl/>
        </w:rPr>
      </w:pPr>
      <w:r>
        <w:rPr>
          <w:rFonts w:hint="cs"/>
          <w:b/>
          <w:bCs/>
          <w:rtl/>
        </w:rPr>
        <w:t xml:space="preserve">6-19- </w:t>
      </w:r>
      <w:r>
        <w:rPr>
          <w:rFonts w:hint="cs"/>
          <w:rtl/>
        </w:rPr>
        <w:t>السليمانية باستانبول وهذه النسخ الأربعة عشرة متوزعة على الفهارس الآتية:</w:t>
      </w:r>
    </w:p>
    <w:p w:rsidR="00035BE3" w:rsidRDefault="00035BE3" w:rsidP="00C10469">
      <w:pPr>
        <w:pStyle w:val="a6"/>
        <w:spacing w:line="420" w:lineRule="exact"/>
        <w:ind w:left="422" w:firstLine="0"/>
        <w:rPr>
          <w:rtl/>
        </w:rPr>
      </w:pPr>
      <w:r>
        <w:rPr>
          <w:rFonts w:hint="cs"/>
          <w:b/>
          <w:bCs/>
          <w:rtl/>
        </w:rPr>
        <w:t>أ-</w:t>
      </w:r>
      <w:r>
        <w:rPr>
          <w:rFonts w:hint="cs"/>
          <w:rtl/>
        </w:rPr>
        <w:t xml:space="preserve"> يني جامع، برقم 643. وقد نسب إلى ظهير الدين أبي بكر محمد البخاري.</w:t>
      </w:r>
    </w:p>
    <w:p w:rsidR="00035BE3" w:rsidRDefault="00035BE3" w:rsidP="00C10469">
      <w:pPr>
        <w:pStyle w:val="a6"/>
        <w:spacing w:line="420" w:lineRule="exact"/>
        <w:ind w:left="422" w:firstLine="0"/>
        <w:rPr>
          <w:rtl/>
        </w:rPr>
      </w:pPr>
      <w:r>
        <w:rPr>
          <w:rFonts w:hint="cs"/>
          <w:b/>
          <w:bCs/>
          <w:rtl/>
        </w:rPr>
        <w:t>ب</w:t>
      </w:r>
      <w:r>
        <w:rPr>
          <w:rFonts w:hint="cs"/>
          <w:rtl/>
        </w:rPr>
        <w:t>- اسميخان سلطان، برقم 237، وقد نسب فيه إلى المرغيناني.</w:t>
      </w:r>
    </w:p>
    <w:p w:rsidR="00035BE3" w:rsidRDefault="00035BE3" w:rsidP="00C10469">
      <w:pPr>
        <w:pStyle w:val="a6"/>
        <w:spacing w:line="420" w:lineRule="exact"/>
        <w:ind w:left="422" w:firstLine="0"/>
        <w:rPr>
          <w:rtl/>
        </w:rPr>
      </w:pPr>
      <w:r>
        <w:rPr>
          <w:rFonts w:hint="cs"/>
          <w:b/>
          <w:bCs/>
          <w:rtl/>
        </w:rPr>
        <w:t>جـ</w:t>
      </w:r>
      <w:r>
        <w:rPr>
          <w:rFonts w:hint="cs"/>
          <w:rtl/>
        </w:rPr>
        <w:t>- مصطفى عاشر أفندي، برقم 136، وقد نسب فيه إلى ظهير الدين أبي بكر القاضي أحمد بن محمد الحنفي.</w:t>
      </w:r>
    </w:p>
    <w:p w:rsidR="00035BE3" w:rsidRDefault="00035BE3" w:rsidP="00C10469">
      <w:pPr>
        <w:pStyle w:val="a6"/>
        <w:spacing w:line="420" w:lineRule="exact"/>
        <w:ind w:left="422" w:firstLine="0"/>
        <w:rPr>
          <w:rtl/>
        </w:rPr>
      </w:pPr>
      <w:r>
        <w:rPr>
          <w:rFonts w:hint="cs"/>
          <w:b/>
          <w:bCs/>
          <w:rtl/>
        </w:rPr>
        <w:t>د</w:t>
      </w:r>
      <w:r>
        <w:rPr>
          <w:rFonts w:hint="cs"/>
          <w:rtl/>
        </w:rPr>
        <w:t xml:space="preserve"> - بشير أغا، برقم 319، وقد نسب فيه إلى ظهير الدين المرغيناني.</w:t>
      </w:r>
    </w:p>
    <w:p w:rsidR="00035BE3" w:rsidRDefault="00035BE3" w:rsidP="00C10469">
      <w:pPr>
        <w:pStyle w:val="a6"/>
        <w:spacing w:line="420" w:lineRule="exact"/>
        <w:ind w:left="422" w:firstLine="0"/>
        <w:rPr>
          <w:rtl/>
        </w:rPr>
      </w:pPr>
      <w:r>
        <w:rPr>
          <w:rFonts w:hint="cs"/>
          <w:b/>
          <w:bCs/>
          <w:rtl/>
        </w:rPr>
        <w:t>هـ</w:t>
      </w:r>
      <w:r>
        <w:rPr>
          <w:rFonts w:hint="cs"/>
          <w:rtl/>
        </w:rPr>
        <w:t>- جور ليلي علي باشا، برقم 273، وقد نسب فيه إلى ظهير الدين.</w:t>
      </w:r>
    </w:p>
    <w:p w:rsidR="00035BE3" w:rsidRDefault="00035BE3" w:rsidP="00C10469">
      <w:pPr>
        <w:pStyle w:val="a6"/>
        <w:spacing w:line="420" w:lineRule="exact"/>
        <w:ind w:left="422" w:firstLine="0"/>
        <w:rPr>
          <w:rtl/>
        </w:rPr>
      </w:pPr>
      <w:r>
        <w:rPr>
          <w:rFonts w:hint="cs"/>
          <w:b/>
          <w:bCs/>
          <w:rtl/>
        </w:rPr>
        <w:t>و</w:t>
      </w:r>
      <w:r>
        <w:rPr>
          <w:rFonts w:hint="cs"/>
          <w:rtl/>
        </w:rPr>
        <w:t>-  داماد زاده قاضي عسكر محمد مراد، وفيه ثلاث نسخ، وأرقامها من 1134 إلى 1136، ولم يذكر فيه المؤلف.</w:t>
      </w:r>
    </w:p>
    <w:p w:rsidR="00035BE3" w:rsidRDefault="00035BE3" w:rsidP="00C10469">
      <w:pPr>
        <w:pStyle w:val="a6"/>
        <w:spacing w:line="420" w:lineRule="exact"/>
        <w:ind w:left="422" w:firstLine="0"/>
        <w:rPr>
          <w:rtl/>
        </w:rPr>
      </w:pPr>
      <w:r>
        <w:rPr>
          <w:rFonts w:hint="cs"/>
          <w:b/>
          <w:bCs/>
          <w:rtl/>
        </w:rPr>
        <w:t>ز</w:t>
      </w:r>
      <w:r>
        <w:rPr>
          <w:rFonts w:hint="cs"/>
          <w:rtl/>
        </w:rPr>
        <w:t>- فاتح، وفيه ثلاث نسخ، أرقامها من 2379 إلى 2381، ونسب فيه إلى ظهير الدين.</w:t>
      </w:r>
    </w:p>
    <w:p w:rsidR="00035BE3" w:rsidRDefault="00035BE3" w:rsidP="00C10469">
      <w:pPr>
        <w:pStyle w:val="a6"/>
        <w:spacing w:line="420" w:lineRule="exact"/>
        <w:ind w:left="422" w:firstLine="0"/>
        <w:rPr>
          <w:rtl/>
        </w:rPr>
      </w:pPr>
      <w:r>
        <w:rPr>
          <w:rFonts w:hint="cs"/>
          <w:b/>
          <w:bCs/>
          <w:rtl/>
        </w:rPr>
        <w:t>ح</w:t>
      </w:r>
      <w:r>
        <w:rPr>
          <w:rFonts w:hint="cs"/>
          <w:rtl/>
        </w:rPr>
        <w:t>- محمود باشا ودستم باشا، وفيه نسختان، رقماهما 253-254، ولم يذكر فيه المؤلف.</w:t>
      </w:r>
    </w:p>
    <w:p w:rsidR="00035BE3" w:rsidRDefault="00035BE3" w:rsidP="00C10469">
      <w:pPr>
        <w:pStyle w:val="a6"/>
        <w:spacing w:line="420" w:lineRule="exact"/>
        <w:ind w:left="422" w:firstLine="0"/>
        <w:rPr>
          <w:rtl/>
        </w:rPr>
      </w:pPr>
      <w:r>
        <w:rPr>
          <w:rFonts w:hint="cs"/>
          <w:b/>
          <w:bCs/>
          <w:rtl/>
        </w:rPr>
        <w:t>ط</w:t>
      </w:r>
      <w:r>
        <w:rPr>
          <w:rFonts w:hint="cs"/>
          <w:rtl/>
        </w:rPr>
        <w:t>- عاطف أفندي، برقم 1135، ولم يذكر فيه المؤلف أيضًا.</w:t>
      </w:r>
    </w:p>
    <w:p w:rsidR="00035BE3" w:rsidRDefault="00035BE3" w:rsidP="00C10469">
      <w:pPr>
        <w:pStyle w:val="a6"/>
        <w:spacing w:line="420" w:lineRule="exact"/>
        <w:ind w:left="422" w:firstLine="0"/>
        <w:rPr>
          <w:rtl/>
        </w:rPr>
      </w:pPr>
      <w:r>
        <w:rPr>
          <w:rFonts w:hint="cs"/>
          <w:b/>
          <w:bCs/>
          <w:rtl/>
        </w:rPr>
        <w:t>20-22-</w:t>
      </w:r>
      <w:r>
        <w:rPr>
          <w:rFonts w:hint="cs"/>
          <w:rtl/>
        </w:rPr>
        <w:t xml:space="preserve"> نور عثمانية باستانبول، وفيها ثلاث نسخ، أرقامها من 1995 إلى 1997، ونسب فيها إلى ظهير الدين محمد بن أحمد الحنفي.</w:t>
      </w:r>
    </w:p>
    <w:p w:rsidR="00035BE3" w:rsidRDefault="00035BE3" w:rsidP="00C10469">
      <w:pPr>
        <w:pStyle w:val="a6"/>
        <w:spacing w:line="420" w:lineRule="exact"/>
        <w:ind w:left="422" w:firstLine="0"/>
        <w:rPr>
          <w:rtl/>
        </w:rPr>
      </w:pPr>
      <w:r>
        <w:rPr>
          <w:rFonts w:hint="cs"/>
          <w:b/>
          <w:bCs/>
          <w:rtl/>
        </w:rPr>
        <w:t>23</w:t>
      </w:r>
      <w:r>
        <w:rPr>
          <w:rFonts w:hint="cs"/>
          <w:rtl/>
        </w:rPr>
        <w:t>- متحف طوبقابي باستانبول، برقم 3826، ولم يذكر في فهرسها اسم المؤلف.</w:t>
      </w:r>
    </w:p>
    <w:p w:rsidR="00035BE3" w:rsidRDefault="00035BE3" w:rsidP="00C10469">
      <w:pPr>
        <w:pStyle w:val="a6"/>
        <w:spacing w:line="420" w:lineRule="exact"/>
        <w:ind w:left="422" w:firstLine="0"/>
        <w:rPr>
          <w:rtl/>
        </w:rPr>
      </w:pPr>
      <w:r>
        <w:rPr>
          <w:rFonts w:hint="cs"/>
          <w:b/>
          <w:bCs/>
          <w:rtl/>
        </w:rPr>
        <w:t>24-26-</w:t>
      </w:r>
      <w:r>
        <w:rPr>
          <w:rFonts w:hint="cs"/>
          <w:rtl/>
        </w:rPr>
        <w:t xml:space="preserve"> دار الكتب الظاهرية بدمشق، وفيها ثلاث نسخ، وأرقامها 2488، 4288، 2621، ونُسب فيها إلى ظهير الدين أبي بكر محمد بن أحمد البخاري (ت619هـ).</w:t>
      </w:r>
    </w:p>
  </w:footnote>
  <w:footnote w:id="2553">
    <w:p w:rsidR="00035BE3" w:rsidRDefault="00035BE3" w:rsidP="00C10469">
      <w:pPr>
        <w:pStyle w:val="a8"/>
        <w:bidi/>
        <w:spacing w:line="42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الأشباه والنظائر لابن نجيم، ص321، وأيضًا قواعد الفقه لابن نجيم، ص154 - مع اختلاف يسير بينه وبين المؤلف-؛ وانظر: الفتاوى الظهيرية، ل174/أ </w:t>
      </w:r>
      <w:r>
        <w:rPr>
          <w:spacing w:val="-4"/>
          <w:rtl/>
        </w:rPr>
        <w:t>–</w:t>
      </w:r>
      <w:r>
        <w:rPr>
          <w:rFonts w:hint="cs"/>
          <w:spacing w:val="-4"/>
          <w:rtl/>
        </w:rPr>
        <w:t xml:space="preserve"> ولفظ القيد: </w:t>
      </w:r>
      <w:r>
        <w:rPr>
          <w:rFonts w:hint="eastAsia"/>
          <w:spacing w:val="-4"/>
          <w:rtl/>
        </w:rPr>
        <w:t>«</w:t>
      </w:r>
      <w:r>
        <w:rPr>
          <w:rFonts w:hint="cs"/>
          <w:spacing w:val="-4"/>
          <w:rtl/>
        </w:rPr>
        <w:t>لأن لا يعلم ذلك بعينه ليرد المال</w:t>
      </w:r>
      <w:r>
        <w:rPr>
          <w:rFonts w:hint="eastAsia"/>
          <w:spacing w:val="-4"/>
          <w:rtl/>
        </w:rPr>
        <w:t>»</w:t>
      </w:r>
      <w:r>
        <w:rPr>
          <w:rFonts w:hint="cs"/>
          <w:spacing w:val="-4"/>
          <w:rtl/>
        </w:rPr>
        <w:t>-.</w:t>
      </w:r>
    </w:p>
    <w:p w:rsidR="00035BE3" w:rsidRDefault="00035BE3" w:rsidP="00C10469">
      <w:pPr>
        <w:pStyle w:val="a6"/>
        <w:spacing w:line="420" w:lineRule="exact"/>
        <w:ind w:left="422" w:firstLine="0"/>
        <w:rPr>
          <w:rtl/>
        </w:rPr>
      </w:pPr>
      <w:r>
        <w:rPr>
          <w:rFonts w:hint="cs"/>
          <w:rtl/>
        </w:rPr>
        <w:t xml:space="preserve">وقوله : </w:t>
      </w:r>
      <w:r>
        <w:rPr>
          <w:rFonts w:hint="eastAsia"/>
          <w:rtl/>
        </w:rPr>
        <w:t>«</w:t>
      </w:r>
      <w:r>
        <w:rPr>
          <w:rFonts w:hint="cs"/>
          <w:rtl/>
        </w:rPr>
        <w:t>وقَيَّده في (الظهيرية)...</w:t>
      </w:r>
      <w:r>
        <w:rPr>
          <w:rFonts w:hint="eastAsia"/>
          <w:rtl/>
        </w:rPr>
        <w:t>»</w:t>
      </w:r>
      <w:r>
        <w:rPr>
          <w:rFonts w:hint="cs"/>
          <w:rtl/>
        </w:rPr>
        <w:t xml:space="preserve"> الخ فسّره صاحب غمز عيون البصائر- 3/234-235- بقوله : </w:t>
      </w:r>
      <w:r>
        <w:rPr>
          <w:rFonts w:hint="eastAsia"/>
          <w:rtl/>
        </w:rPr>
        <w:t>«</w:t>
      </w:r>
      <w:r>
        <w:rPr>
          <w:rFonts w:hint="cs"/>
          <w:rtl/>
        </w:rPr>
        <w:t>أي الاستثناء المذكور. وحاصله : أنه حلال للوارث بشرط : أن لا يعلم أرباب الأموال، فإن علم أُوجب عليه ردُّ كل شيء إلى صاحبه</w:t>
      </w:r>
      <w:r>
        <w:rPr>
          <w:rFonts w:hint="eastAsia"/>
          <w:rtl/>
        </w:rPr>
        <w:t>»</w:t>
      </w:r>
      <w:r>
        <w:rPr>
          <w:rFonts w:hint="cs"/>
          <w:rtl/>
        </w:rPr>
        <w:t>.</w:t>
      </w:r>
    </w:p>
  </w:footnote>
  <w:footnote w:id="2554">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المراد بالحقيقة في هذه القاعدة : الحقيقة اللغوية، وعلى هذا فموضوع القاعدة : التعارض بين اللغة والعادة.</w:t>
      </w:r>
    </w:p>
    <w:p w:rsidR="00035BE3" w:rsidRDefault="00035BE3" w:rsidP="00C10469">
      <w:pPr>
        <w:pStyle w:val="a6"/>
        <w:ind w:left="422" w:firstLine="0"/>
        <w:rPr>
          <w:rtl/>
        </w:rPr>
      </w:pPr>
      <w:r>
        <w:rPr>
          <w:rFonts w:hint="cs"/>
          <w:rtl/>
        </w:rPr>
        <w:t>وقد اختلف الأصوليون والفقهاء في أيهما يقدم؟</w:t>
      </w:r>
    </w:p>
    <w:p w:rsidR="00035BE3" w:rsidRDefault="00035BE3" w:rsidP="00C10469">
      <w:pPr>
        <w:pStyle w:val="a6"/>
        <w:ind w:left="422" w:firstLine="0"/>
        <w:rPr>
          <w:rtl/>
        </w:rPr>
      </w:pPr>
      <w:r>
        <w:rPr>
          <w:rFonts w:ascii="Wingdings" w:hAnsi="Wingdings" w:cs="Wingdings"/>
          <w:szCs w:val="20"/>
          <w:lang w:val="en-US"/>
        </w:rPr>
        <w:t></w:t>
      </w:r>
      <w:r>
        <w:rPr>
          <w:rFonts w:hint="cs"/>
          <w:rtl/>
        </w:rPr>
        <w:t xml:space="preserve"> فمنهم من قدَّم العرف.</w:t>
      </w:r>
    </w:p>
    <w:p w:rsidR="00035BE3" w:rsidRDefault="00035BE3" w:rsidP="00C10469">
      <w:pPr>
        <w:pStyle w:val="a6"/>
        <w:ind w:left="422" w:firstLine="0"/>
        <w:rPr>
          <w:rtl/>
        </w:rPr>
      </w:pPr>
      <w:r>
        <w:rPr>
          <w:rFonts w:ascii="Wingdings" w:hAnsi="Wingdings" w:cs="Wingdings"/>
          <w:szCs w:val="20"/>
          <w:lang w:val="en-US"/>
        </w:rPr>
        <w:t></w:t>
      </w:r>
      <w:r>
        <w:rPr>
          <w:rFonts w:hint="cs"/>
          <w:rtl/>
        </w:rPr>
        <w:t xml:space="preserve"> ومنهم من قدَّم اللغة.</w:t>
      </w:r>
    </w:p>
    <w:p w:rsidR="00035BE3" w:rsidRDefault="00035BE3" w:rsidP="00C10469">
      <w:pPr>
        <w:pStyle w:val="a6"/>
        <w:ind w:left="422" w:firstLine="0"/>
        <w:rPr>
          <w:rtl/>
        </w:rPr>
      </w:pPr>
      <w:r>
        <w:rPr>
          <w:rFonts w:ascii="Wingdings" w:hAnsi="Wingdings" w:cs="Wingdings"/>
          <w:szCs w:val="20"/>
          <w:lang w:val="en-US"/>
        </w:rPr>
        <w:t></w:t>
      </w:r>
      <w:r>
        <w:rPr>
          <w:rFonts w:hint="cs"/>
          <w:rtl/>
        </w:rPr>
        <w:t xml:space="preserve"> ومنهم من فصَّل في المسألة، على اختلافٍ بينهم في حقيقة هذا التفصيل.</w:t>
      </w:r>
    </w:p>
    <w:p w:rsidR="00035BE3" w:rsidRDefault="00035BE3" w:rsidP="00C10469">
      <w:pPr>
        <w:pStyle w:val="a6"/>
        <w:ind w:left="422" w:firstLine="0"/>
        <w:rPr>
          <w:b/>
          <w:bCs/>
          <w:rtl/>
        </w:rPr>
      </w:pPr>
      <w:r>
        <w:rPr>
          <w:rFonts w:hint="cs"/>
          <w:b/>
          <w:bCs/>
          <w:rtl/>
        </w:rPr>
        <w:t>ولبيان ذلك يُقال :</w:t>
      </w:r>
    </w:p>
    <w:p w:rsidR="00035BE3" w:rsidRDefault="00035BE3" w:rsidP="00C10469">
      <w:pPr>
        <w:pStyle w:val="a6"/>
        <w:ind w:left="422" w:firstLine="0"/>
        <w:rPr>
          <w:rtl/>
        </w:rPr>
      </w:pPr>
      <w:r>
        <w:rPr>
          <w:rtl/>
        </w:rPr>
        <w:t>•</w:t>
      </w:r>
      <w:r>
        <w:rPr>
          <w:rFonts w:hint="cs"/>
          <w:rtl/>
        </w:rPr>
        <w:t xml:space="preserve"> إن القول بتقديم العرف هو قول أكثر الحنفية، وقد عبر كثير منهم عنه بلفظ هذه القاعدة - وسوف يأتي بيان كتبهم في نهاية هذا الهامش - كما عبروا عنه بقاعدة أخرى سوف يذكرها المؤلف استقلالاً، وهـي : </w:t>
      </w:r>
      <w:r>
        <w:rPr>
          <w:rFonts w:hint="eastAsia"/>
          <w:rtl/>
        </w:rPr>
        <w:t>«</w:t>
      </w:r>
      <w:r>
        <w:rPr>
          <w:rFonts w:hint="cs"/>
          <w:rtl/>
        </w:rPr>
        <w:t>العـرف قاضٍ على الوضـع</w:t>
      </w:r>
      <w:r>
        <w:rPr>
          <w:rFonts w:hint="eastAsia"/>
          <w:rtl/>
        </w:rPr>
        <w:t>»</w:t>
      </w:r>
      <w:r>
        <w:rPr>
          <w:rFonts w:hint="cs"/>
          <w:rtl/>
        </w:rPr>
        <w:t>- وذلـك ص858 (ل68/أ)، قاعدة 167-.</w:t>
      </w:r>
    </w:p>
    <w:p w:rsidR="00035BE3" w:rsidRDefault="00035BE3" w:rsidP="00C10469">
      <w:pPr>
        <w:pStyle w:val="a6"/>
        <w:ind w:left="422" w:firstLine="0"/>
        <w:rPr>
          <w:rtl/>
        </w:rPr>
      </w:pPr>
      <w:r>
        <w:rPr>
          <w:rFonts w:hint="cs"/>
          <w:rtl/>
        </w:rPr>
        <w:t>وأيضًا ذكر السيوطي في أشباهه -1/227- أنَّ هذا القول وجهٌ عند الشافعية، اختاره الغزالي والرازي والبغوي.</w:t>
      </w:r>
    </w:p>
    <w:p w:rsidR="00035BE3" w:rsidRDefault="00035BE3" w:rsidP="00C10469">
      <w:pPr>
        <w:pStyle w:val="a6"/>
        <w:ind w:left="422" w:firstLine="0"/>
        <w:rPr>
          <w:rtl/>
        </w:rPr>
      </w:pPr>
      <w:r>
        <w:rPr>
          <w:rtl/>
        </w:rPr>
        <w:t>•</w:t>
      </w:r>
      <w:r>
        <w:rPr>
          <w:rFonts w:hint="cs"/>
          <w:rtl/>
        </w:rPr>
        <w:t xml:space="preserve"> أما القول بتقديم اللغة فهو وجه آخر عند الشافعية، كما أفاد ذلك السيوطي في الموضع السابق من أشباهه، وأيضًا نقل عن الرافعي أن كلام الأصحاب يميل إلى هذا القول.</w:t>
      </w:r>
    </w:p>
    <w:p w:rsidR="00035BE3" w:rsidRDefault="00035BE3" w:rsidP="00C10469">
      <w:pPr>
        <w:pStyle w:val="a6"/>
        <w:ind w:left="422" w:firstLine="0"/>
        <w:rPr>
          <w:rtl/>
        </w:rPr>
      </w:pPr>
      <w:r>
        <w:rPr>
          <w:rFonts w:hint="cs"/>
          <w:rtl/>
        </w:rPr>
        <w:t>ونقل عن غيره أنه قول القاضي حسين.</w:t>
      </w:r>
    </w:p>
    <w:p w:rsidR="00035BE3" w:rsidRDefault="00035BE3" w:rsidP="00C10469">
      <w:pPr>
        <w:pStyle w:val="a6"/>
        <w:spacing w:line="264" w:lineRule="auto"/>
        <w:ind w:left="420" w:firstLine="0"/>
        <w:rPr>
          <w:rtl/>
        </w:rPr>
      </w:pPr>
      <w:r>
        <w:rPr>
          <w:rtl/>
        </w:rPr>
        <w:t>•</w:t>
      </w:r>
      <w:r>
        <w:rPr>
          <w:rFonts w:hint="cs"/>
          <w:rtl/>
        </w:rPr>
        <w:t xml:space="preserve"> أما القول بالتفصيل فهو اختيار القرافي، وحكاه السيوطي في الموضع السابق من أشباهه ولم ينسبه لقائل، وكذلك اختيار أ.د. أحمد أبوسنة في كتابه: (العرف)، ص161 -170، وأيضًا شيخنا أ.د. أحمد سير مباركي في كتابه (العرف)، ص169-176.</w:t>
      </w:r>
    </w:p>
    <w:p w:rsidR="00035BE3" w:rsidRDefault="00035BE3" w:rsidP="00C10469">
      <w:pPr>
        <w:pStyle w:val="a6"/>
        <w:spacing w:line="264" w:lineRule="auto"/>
        <w:ind w:left="420" w:firstLine="0"/>
        <w:rPr>
          <w:b/>
          <w:bCs/>
          <w:rtl/>
        </w:rPr>
      </w:pPr>
      <w:r>
        <w:rPr>
          <w:rFonts w:hint="cs"/>
          <w:b/>
          <w:bCs/>
          <w:rtl/>
        </w:rPr>
        <w:t>ولكلٍّ منهم تفصيل يختلف عن الآخر :</w:t>
      </w:r>
    </w:p>
    <w:p w:rsidR="00035BE3" w:rsidRDefault="00035BE3" w:rsidP="00C10469">
      <w:pPr>
        <w:pStyle w:val="a6"/>
        <w:spacing w:line="264" w:lineRule="auto"/>
        <w:ind w:left="420" w:firstLine="0"/>
        <w:rPr>
          <w:rtl/>
        </w:rPr>
      </w:pPr>
      <w:r>
        <w:rPr>
          <w:rFonts w:hint="cs"/>
          <w:b/>
          <w:bCs/>
          <w:rtl/>
        </w:rPr>
        <w:t>أما القرافي</w:t>
      </w:r>
      <w:r>
        <w:rPr>
          <w:rFonts w:hint="cs"/>
          <w:rtl/>
        </w:rPr>
        <w:t xml:space="preserve"> : فقد فرّق بين العرف القولي والفعلي، فجعل الأول مقدمًا على اللغة دون الثاني، حيث قال في فروقه -1/171-: </w:t>
      </w:r>
      <w:r>
        <w:rPr>
          <w:rFonts w:hint="eastAsia"/>
          <w:rtl/>
        </w:rPr>
        <w:t>«</w:t>
      </w:r>
      <w:r>
        <w:rPr>
          <w:rFonts w:hint="cs"/>
          <w:rtl/>
        </w:rPr>
        <w:t>الفرق الثامن والعشرون بين قاعدة : العرف القولي يُقضى به على الألفاظ ويخصصها، وبين قاعدة : العرف الفعلي لا يقضى به على الألفاظ ولا يخصصها</w:t>
      </w:r>
      <w:r>
        <w:rPr>
          <w:rFonts w:hint="eastAsia"/>
          <w:rtl/>
        </w:rPr>
        <w:t>»</w:t>
      </w:r>
      <w:r>
        <w:rPr>
          <w:rFonts w:hint="cs"/>
          <w:rtl/>
        </w:rPr>
        <w:t>-كما أشار إلى القاعدة الأولى في إحكامه، ص221، وفي تنقيحه، ص112-.</w:t>
      </w:r>
    </w:p>
    <w:p w:rsidR="00035BE3" w:rsidRPr="00C63C50" w:rsidRDefault="00035BE3" w:rsidP="00C10469">
      <w:pPr>
        <w:pStyle w:val="a6"/>
        <w:spacing w:line="264" w:lineRule="auto"/>
        <w:ind w:left="420" w:firstLine="0"/>
        <w:rPr>
          <w:spacing w:val="-6"/>
          <w:rtl/>
        </w:rPr>
      </w:pPr>
      <w:r w:rsidRPr="00C63C50">
        <w:rPr>
          <w:rFonts w:hint="cs"/>
          <w:b/>
          <w:bCs/>
          <w:spacing w:val="-6"/>
          <w:rtl/>
        </w:rPr>
        <w:t>أما القول المحكي في أشباه السيوطي</w:t>
      </w:r>
      <w:r w:rsidRPr="00C63C50">
        <w:rPr>
          <w:rFonts w:hint="cs"/>
          <w:spacing w:val="-6"/>
          <w:rtl/>
        </w:rPr>
        <w:t xml:space="preserve">: فنصُّه: </w:t>
      </w:r>
      <w:r w:rsidRPr="00C63C50">
        <w:rPr>
          <w:rFonts w:hint="eastAsia"/>
          <w:spacing w:val="-6"/>
          <w:rtl/>
        </w:rPr>
        <w:t>«</w:t>
      </w:r>
      <w:r w:rsidRPr="00C63C50">
        <w:rPr>
          <w:rFonts w:hint="cs"/>
          <w:spacing w:val="-6"/>
          <w:rtl/>
        </w:rPr>
        <w:t>وقال غيره: إن كان العرف ليس له في اللغة وجهٌ ألبتَّة: فالمعتبر اللغة. وإن كان له فيه استعمال : ففيه خلاف. وإن هُجرت اللغة حتى صارت نسيًا منسيًّا: قدم العرف</w:t>
      </w:r>
      <w:r w:rsidRPr="00C63C50">
        <w:rPr>
          <w:rFonts w:hint="eastAsia"/>
          <w:spacing w:val="-6"/>
          <w:rtl/>
        </w:rPr>
        <w:t>»</w:t>
      </w:r>
      <w:r w:rsidRPr="00C63C50">
        <w:rPr>
          <w:rFonts w:hint="cs"/>
          <w:spacing w:val="-6"/>
          <w:rtl/>
        </w:rPr>
        <w:t>.</w:t>
      </w:r>
      <w:r>
        <w:rPr>
          <w:rFonts w:hint="cs"/>
          <w:spacing w:val="-6"/>
          <w:rtl/>
        </w:rPr>
        <w:t xml:space="preserve"> </w:t>
      </w:r>
    </w:p>
    <w:p w:rsidR="00035BE3" w:rsidRDefault="00035BE3" w:rsidP="00C10469">
      <w:pPr>
        <w:pStyle w:val="a6"/>
        <w:ind w:left="422" w:hanging="2"/>
        <w:rPr>
          <w:rtl/>
        </w:rPr>
      </w:pPr>
      <w:r>
        <w:rPr>
          <w:rFonts w:hint="cs"/>
          <w:b/>
          <w:bCs/>
          <w:rtl/>
        </w:rPr>
        <w:t>أما الدكتور أبو سنة والدكتور المباركي</w:t>
      </w:r>
      <w:r>
        <w:rPr>
          <w:rFonts w:hint="cs"/>
          <w:rtl/>
        </w:rPr>
        <w:t xml:space="preserve"> : فقد انطلقا ممّا انطلق منه القرافي في التفريق بين العرف القولي والعملي لكن خالفاه في المضمون:</w:t>
      </w:r>
    </w:p>
    <w:p w:rsidR="00035BE3" w:rsidRDefault="00035BE3" w:rsidP="00C10469">
      <w:pPr>
        <w:pStyle w:val="a6"/>
        <w:ind w:left="422" w:hanging="2"/>
        <w:rPr>
          <w:rtl/>
        </w:rPr>
      </w:pPr>
      <w:r>
        <w:rPr>
          <w:rFonts w:hint="cs"/>
          <w:b/>
          <w:bCs/>
          <w:rtl/>
        </w:rPr>
        <w:t>فذكر الأول</w:t>
      </w:r>
      <w:r>
        <w:rPr>
          <w:rFonts w:hint="cs"/>
          <w:rtl/>
        </w:rPr>
        <w:t xml:space="preserve"> : أن العرف القولي يـخصِّص اللفظ العام ويقيِّد المطلق - بل حكى اتفاق الأصوليين على هذا !-.</w:t>
      </w:r>
    </w:p>
    <w:p w:rsidR="00035BE3" w:rsidRDefault="00035BE3" w:rsidP="00C10469">
      <w:pPr>
        <w:pStyle w:val="a6"/>
        <w:ind w:left="422" w:hanging="2"/>
        <w:rPr>
          <w:spacing w:val="-6"/>
          <w:rtl/>
        </w:rPr>
      </w:pPr>
      <w:r>
        <w:rPr>
          <w:rFonts w:hint="cs"/>
          <w:spacing w:val="-6"/>
          <w:rtl/>
        </w:rPr>
        <w:t>أما العرف العملي فإنه يقيد اللفظ المطلق باتفاق، وأما اللفظ العام فإنه يخصصه عند الحنفية، خلافًا للجمهور.</w:t>
      </w:r>
    </w:p>
    <w:p w:rsidR="00035BE3" w:rsidRDefault="00035BE3" w:rsidP="00C10469">
      <w:pPr>
        <w:pStyle w:val="a6"/>
        <w:ind w:left="422" w:hanging="2"/>
        <w:rPr>
          <w:rtl/>
        </w:rPr>
      </w:pPr>
      <w:r>
        <w:rPr>
          <w:rFonts w:hint="cs"/>
          <w:b/>
          <w:bCs/>
          <w:rtl/>
        </w:rPr>
        <w:t>وذكر الثاني</w:t>
      </w:r>
      <w:r>
        <w:rPr>
          <w:rFonts w:hint="cs"/>
          <w:rtl/>
        </w:rPr>
        <w:t xml:space="preserve"> : أنّه إذا اختلف </w:t>
      </w:r>
      <w:r>
        <w:rPr>
          <w:rFonts w:hint="cs"/>
          <w:b/>
          <w:bCs/>
          <w:rtl/>
        </w:rPr>
        <w:t>العرف القولي</w:t>
      </w:r>
      <w:r>
        <w:rPr>
          <w:rFonts w:hint="cs"/>
          <w:rtl/>
        </w:rPr>
        <w:t xml:space="preserve"> مع اللغة وكانت اللغة هي الغالبة، أو اختلفا ولا غلبة لأحدهما على الآخر فإنه يعمل بـمقتضى اللغة.</w:t>
      </w:r>
    </w:p>
    <w:p w:rsidR="00035BE3" w:rsidRDefault="00035BE3" w:rsidP="00C10469">
      <w:pPr>
        <w:pStyle w:val="a6"/>
        <w:ind w:left="422" w:hanging="2"/>
        <w:rPr>
          <w:rtl/>
        </w:rPr>
      </w:pPr>
      <w:r>
        <w:rPr>
          <w:rFonts w:hint="cs"/>
          <w:rtl/>
        </w:rPr>
        <w:t>أما إذا كان العرف هو الغالب، فالكلام في موضعين :</w:t>
      </w:r>
    </w:p>
    <w:p w:rsidR="00035BE3" w:rsidRDefault="00035BE3" w:rsidP="00C10469">
      <w:pPr>
        <w:pStyle w:val="a6"/>
        <w:ind w:left="422" w:hanging="2"/>
        <w:rPr>
          <w:spacing w:val="-6"/>
          <w:rtl/>
        </w:rPr>
      </w:pPr>
      <w:r>
        <w:rPr>
          <w:rFonts w:hint="cs"/>
          <w:b/>
          <w:bCs/>
          <w:spacing w:val="-6"/>
          <w:rtl/>
        </w:rPr>
        <w:t>الموضع الأول</w:t>
      </w:r>
      <w:r>
        <w:rPr>
          <w:rFonts w:hint="cs"/>
          <w:spacing w:val="-6"/>
          <w:rtl/>
        </w:rPr>
        <w:t xml:space="preserve"> : أن تكون الحقيقة اللغوية لا استعمال لها، بخلاف العرف : فإنه يعمل بمقتضى العرف.</w:t>
      </w:r>
    </w:p>
    <w:p w:rsidR="00035BE3" w:rsidRDefault="00035BE3" w:rsidP="00C10469">
      <w:pPr>
        <w:pStyle w:val="a6"/>
        <w:ind w:left="422" w:hanging="2"/>
        <w:rPr>
          <w:rtl/>
        </w:rPr>
      </w:pPr>
      <w:r>
        <w:rPr>
          <w:rFonts w:hint="cs"/>
          <w:b/>
          <w:bCs/>
          <w:rtl/>
        </w:rPr>
        <w:t>الموضع الثاني</w:t>
      </w:r>
      <w:r>
        <w:rPr>
          <w:rFonts w:hint="cs"/>
          <w:rtl/>
        </w:rPr>
        <w:t xml:space="preserve"> : أن تكون الحقيقة اللغوية مستعملة، ولكن المجاز العرفي أكثر استعمالاً :</w:t>
      </w:r>
    </w:p>
    <w:p w:rsidR="00035BE3" w:rsidRDefault="00035BE3" w:rsidP="00C10469">
      <w:pPr>
        <w:pStyle w:val="a6"/>
        <w:ind w:left="422" w:hanging="2"/>
        <w:rPr>
          <w:rtl/>
        </w:rPr>
      </w:pPr>
      <w:r>
        <w:rPr>
          <w:rFonts w:hint="cs"/>
          <w:rtl/>
        </w:rPr>
        <w:t>فهذا محل خلاف بين الإمام أبي حنيفة وصاحبيه :</w:t>
      </w:r>
    </w:p>
    <w:p w:rsidR="00035BE3" w:rsidRDefault="00035BE3" w:rsidP="00C10469">
      <w:pPr>
        <w:pStyle w:val="a6"/>
        <w:ind w:left="422" w:hanging="2"/>
        <w:rPr>
          <w:rtl/>
        </w:rPr>
      </w:pPr>
      <w:r>
        <w:rPr>
          <w:rFonts w:hint="cs"/>
          <w:rtl/>
        </w:rPr>
        <w:t>- فذهب الإمام أبو حنيفة إلى تقديم الحقيقة اللغوية.</w:t>
      </w:r>
    </w:p>
    <w:p w:rsidR="00035BE3" w:rsidRDefault="00035BE3" w:rsidP="00C10469">
      <w:pPr>
        <w:pStyle w:val="a6"/>
        <w:ind w:left="422" w:hanging="2"/>
        <w:rPr>
          <w:rtl/>
        </w:rPr>
      </w:pPr>
      <w:r>
        <w:rPr>
          <w:rFonts w:hint="cs"/>
          <w:rtl/>
        </w:rPr>
        <w:t>- وذهب صاحباه إلى تقديم المجاز المتعارف.</w:t>
      </w:r>
    </w:p>
    <w:p w:rsidR="00035BE3" w:rsidRDefault="00035BE3" w:rsidP="00C10469">
      <w:pPr>
        <w:pStyle w:val="a6"/>
        <w:ind w:left="422" w:hanging="2"/>
        <w:rPr>
          <w:rtl/>
        </w:rPr>
      </w:pPr>
      <w:r>
        <w:rPr>
          <w:rFonts w:hint="cs"/>
          <w:b/>
          <w:bCs/>
          <w:rtl/>
        </w:rPr>
        <w:t>والراجح</w:t>
      </w:r>
      <w:r>
        <w:rPr>
          <w:rFonts w:hint="cs"/>
          <w:rtl/>
        </w:rPr>
        <w:t xml:space="preserve"> : هو المذهب الثاني؛ لأن المتعارف هو المتبادر إلى الفهم.</w:t>
      </w:r>
    </w:p>
    <w:p w:rsidR="00035BE3" w:rsidRDefault="00035BE3" w:rsidP="00C10469">
      <w:pPr>
        <w:pStyle w:val="a6"/>
        <w:ind w:left="422" w:hanging="2"/>
        <w:rPr>
          <w:rtl/>
        </w:rPr>
      </w:pPr>
      <w:r>
        <w:rPr>
          <w:rFonts w:hint="cs"/>
          <w:rtl/>
        </w:rPr>
        <w:t xml:space="preserve">[والمؤلف سيفرد هذين المذهبين في قاعدة مستقلة وهي : </w:t>
      </w:r>
      <w:r>
        <w:rPr>
          <w:rFonts w:hint="eastAsia"/>
          <w:rtl/>
        </w:rPr>
        <w:t>«</w:t>
      </w:r>
      <w:r>
        <w:rPr>
          <w:rFonts w:hint="cs"/>
          <w:rtl/>
        </w:rPr>
        <w:t>اللفظ إذا كان له معنى حقيقي مستعمل، ومعنى مجازي متعارف : يُرِجَّح المعنى الحقيقي عند أبي حنيفة -رحمه الله- وعندهما -رحمهما الله- المجازي</w:t>
      </w:r>
      <w:r>
        <w:rPr>
          <w:rFonts w:hint="eastAsia"/>
          <w:rtl/>
        </w:rPr>
        <w:t>»</w:t>
      </w:r>
      <w:r>
        <w:rPr>
          <w:rFonts w:hint="cs"/>
          <w:rtl/>
        </w:rPr>
        <w:t>، وذلك ص1010 (ل91/أ)، قاعدة 213].</w:t>
      </w:r>
    </w:p>
    <w:p w:rsidR="00035BE3" w:rsidRDefault="00035BE3" w:rsidP="00C10469">
      <w:pPr>
        <w:pStyle w:val="a6"/>
        <w:ind w:left="422" w:hanging="2"/>
        <w:rPr>
          <w:rtl/>
        </w:rPr>
      </w:pPr>
      <w:r>
        <w:rPr>
          <w:rFonts w:hint="cs"/>
          <w:rtl/>
        </w:rPr>
        <w:t>هذا إذا تعارض العرف القولي مع اللغة.</w:t>
      </w:r>
    </w:p>
    <w:p w:rsidR="00035BE3" w:rsidRDefault="00035BE3" w:rsidP="00C10469">
      <w:pPr>
        <w:pStyle w:val="a6"/>
        <w:ind w:left="422" w:hanging="2"/>
        <w:rPr>
          <w:rtl/>
        </w:rPr>
      </w:pPr>
      <w:r>
        <w:rPr>
          <w:rFonts w:hint="cs"/>
          <w:rtl/>
        </w:rPr>
        <w:t xml:space="preserve">أما إذا تعارض </w:t>
      </w:r>
      <w:r>
        <w:rPr>
          <w:rFonts w:hint="cs"/>
          <w:b/>
          <w:bCs/>
          <w:rtl/>
        </w:rPr>
        <w:t>العرف العملي</w:t>
      </w:r>
      <w:r>
        <w:rPr>
          <w:rFonts w:hint="cs"/>
          <w:rtl/>
        </w:rPr>
        <w:t xml:space="preserve"> معها فقد اختلف العلماء في أيهما يقّدم : </w:t>
      </w:r>
    </w:p>
    <w:p w:rsidR="00035BE3" w:rsidRDefault="00035BE3" w:rsidP="00C10469">
      <w:pPr>
        <w:pStyle w:val="a6"/>
        <w:ind w:left="422" w:hanging="2"/>
        <w:rPr>
          <w:rtl/>
        </w:rPr>
      </w:pPr>
      <w:r>
        <w:rPr>
          <w:rFonts w:hint="cs"/>
          <w:rtl/>
        </w:rPr>
        <w:t>والذي عليه جمهور الحنفية والمالكية ورواية عن الإمام أحمد : أن العرف العملي يقضي على اللغة، تخصيصًا وتقييدًا.</w:t>
      </w:r>
    </w:p>
    <w:p w:rsidR="00035BE3" w:rsidRDefault="00035BE3" w:rsidP="00C10469">
      <w:pPr>
        <w:pStyle w:val="a6"/>
        <w:ind w:left="422" w:hanging="2"/>
        <w:rPr>
          <w:rtl/>
        </w:rPr>
      </w:pPr>
      <w:r>
        <w:rPr>
          <w:rFonts w:hint="cs"/>
          <w:rtl/>
        </w:rPr>
        <w:t>هذه خلاصة ما تمَّ الوقوف عليه من أقوال العلماء في تعارض العرف واللغة.</w:t>
      </w:r>
    </w:p>
    <w:p w:rsidR="00035BE3" w:rsidRDefault="00035BE3" w:rsidP="00C10469">
      <w:pPr>
        <w:pStyle w:val="a6"/>
        <w:ind w:left="422" w:hanging="2"/>
        <w:rPr>
          <w:rtl/>
        </w:rPr>
      </w:pPr>
      <w:r>
        <w:rPr>
          <w:rFonts w:hint="cs"/>
          <w:b/>
          <w:bCs/>
          <w:rtl/>
        </w:rPr>
        <w:t>ولو عدت إلى صيغة القاعدة</w:t>
      </w:r>
      <w:r>
        <w:rPr>
          <w:rFonts w:hint="cs"/>
          <w:rtl/>
        </w:rPr>
        <w:t xml:space="preserve"> (وهي الحقيقة تترك بدلالة العادة) : فقد وردت بهذا اللفظ أو نحوه في كثير من كتب الفقه وقواعده وأصوله - وجلُّها من كتب الحنفية-.</w:t>
      </w:r>
    </w:p>
    <w:p w:rsidR="00035BE3" w:rsidRDefault="00035BE3" w:rsidP="00C10469">
      <w:pPr>
        <w:pStyle w:val="a6"/>
        <w:ind w:left="422" w:hanging="2"/>
        <w:rPr>
          <w:b/>
          <w:bCs/>
          <w:rtl/>
        </w:rPr>
      </w:pPr>
      <w:r>
        <w:rPr>
          <w:rFonts w:hint="cs"/>
          <w:b/>
          <w:bCs/>
          <w:rtl/>
        </w:rPr>
        <w:t>فمن كتب أصول الفقه :</w:t>
      </w:r>
    </w:p>
    <w:p w:rsidR="00035BE3" w:rsidRDefault="00035BE3" w:rsidP="00C10469">
      <w:pPr>
        <w:pStyle w:val="a6"/>
        <w:ind w:left="422" w:hanging="2"/>
        <w:rPr>
          <w:rtl/>
        </w:rPr>
      </w:pPr>
      <w:r>
        <w:rPr>
          <w:rFonts w:hint="cs"/>
          <w:rtl/>
        </w:rPr>
        <w:t xml:space="preserve">الغنية للسجستاني، ص110- ولفظه: </w:t>
      </w:r>
      <w:r>
        <w:rPr>
          <w:rFonts w:hint="eastAsia"/>
          <w:rtl/>
        </w:rPr>
        <w:t>«</w:t>
      </w:r>
      <w:r>
        <w:rPr>
          <w:rFonts w:hint="cs"/>
          <w:rtl/>
        </w:rPr>
        <w:t>حقيقة اللفظ تترك ... بعرف الناس</w:t>
      </w:r>
      <w:r>
        <w:rPr>
          <w:rFonts w:hint="eastAsia"/>
          <w:rtl/>
        </w:rPr>
        <w:t>»</w:t>
      </w:r>
      <w:r>
        <w:rPr>
          <w:rFonts w:hint="cs"/>
          <w:rtl/>
        </w:rPr>
        <w:t xml:space="preserve">-؛ أصول البزدوي وشرحه: كشف الأسرار، 2/175- ولفظ البزدوي: </w:t>
      </w:r>
      <w:r>
        <w:rPr>
          <w:rFonts w:hint="eastAsia"/>
          <w:rtl/>
        </w:rPr>
        <w:t>«</w:t>
      </w:r>
      <w:r>
        <w:rPr>
          <w:rFonts w:hint="cs"/>
          <w:rtl/>
        </w:rPr>
        <w:t xml:space="preserve">... الحقيقة ... قد تترك بدلالة الاستعمال </w:t>
      </w:r>
      <w:r w:rsidRPr="00CA17D7">
        <w:rPr>
          <w:rFonts w:hint="cs"/>
          <w:spacing w:val="-4"/>
          <w:rtl/>
        </w:rPr>
        <w:t>والعادة</w:t>
      </w:r>
      <w:r w:rsidRPr="00CA17D7">
        <w:rPr>
          <w:rFonts w:hint="eastAsia"/>
          <w:spacing w:val="-4"/>
          <w:rtl/>
        </w:rPr>
        <w:t>»</w:t>
      </w:r>
      <w:r w:rsidRPr="00CA17D7">
        <w:rPr>
          <w:rFonts w:hint="cs"/>
          <w:spacing w:val="-4"/>
          <w:rtl/>
        </w:rPr>
        <w:t xml:space="preserve">-؛ أصول السرخسي، 1/190- ولفظه: </w:t>
      </w:r>
      <w:r w:rsidRPr="00CA17D7">
        <w:rPr>
          <w:rFonts w:hint="eastAsia"/>
          <w:spacing w:val="-4"/>
          <w:rtl/>
        </w:rPr>
        <w:t>«</w:t>
      </w:r>
      <w:r w:rsidRPr="00CA17D7">
        <w:rPr>
          <w:rFonts w:hint="cs"/>
          <w:spacing w:val="-4"/>
          <w:rtl/>
        </w:rPr>
        <w:t xml:space="preserve">فصل في بيان جملة ما تترك به الحقيقة، وهي </w:t>
      </w:r>
      <w:r>
        <w:rPr>
          <w:rFonts w:hint="cs"/>
          <w:rtl/>
        </w:rPr>
        <w:t>خمسة أنواع، أحدها دلالة الاستعمال عرفًا</w:t>
      </w:r>
      <w:r>
        <w:rPr>
          <w:rFonts w:hint="eastAsia"/>
          <w:rtl/>
        </w:rPr>
        <w:t>»</w:t>
      </w:r>
      <w:r>
        <w:rPr>
          <w:rFonts w:hint="cs"/>
          <w:rtl/>
        </w:rPr>
        <w:t xml:space="preserve">-؛ المغني للخبازي، ص139 - ولفظه قريب من السرخسي؛ </w:t>
      </w:r>
      <w:r w:rsidRPr="005772E6">
        <w:rPr>
          <w:rFonts w:hint="cs"/>
          <w:spacing w:val="-4"/>
          <w:rtl/>
        </w:rPr>
        <w:t>المنار وشرحاه: جامع الأسرار للكاكي، ص395؛ وقمر الأقمار، 2/219؛ التحرير وتيسيره، 1/318.</w:t>
      </w:r>
    </w:p>
    <w:p w:rsidR="00035BE3" w:rsidRDefault="00035BE3" w:rsidP="00C10469">
      <w:pPr>
        <w:pStyle w:val="a6"/>
        <w:ind w:left="422" w:hanging="2"/>
        <w:rPr>
          <w:b/>
          <w:bCs/>
          <w:rtl/>
        </w:rPr>
      </w:pPr>
      <w:r>
        <w:rPr>
          <w:rFonts w:hint="cs"/>
          <w:b/>
          <w:bCs/>
          <w:rtl/>
        </w:rPr>
        <w:t>ومن كتب القواعد :</w:t>
      </w:r>
    </w:p>
    <w:p w:rsidR="00035BE3" w:rsidRDefault="00035BE3" w:rsidP="00C10469">
      <w:pPr>
        <w:pStyle w:val="a6"/>
        <w:ind w:left="422" w:hanging="2"/>
        <w:rPr>
          <w:rtl/>
        </w:rPr>
      </w:pPr>
      <w:r>
        <w:rPr>
          <w:rFonts w:hint="cs"/>
          <w:rtl/>
        </w:rPr>
        <w:t xml:space="preserve">الأشباه والنظائر لابن نجيم، ص115، 121 - ولفظه الثاني كلفظ المؤلف، أما الأول فهو: </w:t>
      </w:r>
      <w:r>
        <w:rPr>
          <w:rFonts w:hint="eastAsia"/>
          <w:rtl/>
        </w:rPr>
        <w:t>«</w:t>
      </w:r>
      <w:r>
        <w:rPr>
          <w:rFonts w:hint="cs"/>
          <w:rtl/>
        </w:rPr>
        <w:t>تترك الحقيقة بدلالة الاستعمال والعادة</w:t>
      </w:r>
      <w:r>
        <w:rPr>
          <w:rFonts w:hint="eastAsia"/>
          <w:rtl/>
        </w:rPr>
        <w:t>»</w:t>
      </w:r>
      <w:r>
        <w:rPr>
          <w:rFonts w:hint="cs"/>
          <w:rtl/>
        </w:rPr>
        <w:t xml:space="preserve">، وجل ما جاء في شرح المؤلف للقاعدة مذكور في الموضع الثاني-؛ رسائل ابن عابدين (رسالة نشر العرف)، 2/113- ولفظه كلفظ ابن نجيم المذكور -؛ مجلة الأحكام العدلية، مادة 40؛ شرحها لسليم رستم، 1/36؛ ولعلي حيدر، 1/43؛ وللأتاسي، 1/93؛ وشرح قواعدها للزرقا، ص231؛ قواعد الفقه للمجدّدي، ص78، قاعدة 120- ولفظه: </w:t>
      </w:r>
      <w:r>
        <w:rPr>
          <w:rFonts w:hint="eastAsia"/>
          <w:rtl/>
        </w:rPr>
        <w:t>«</w:t>
      </w:r>
      <w:r>
        <w:rPr>
          <w:rFonts w:hint="cs"/>
          <w:rtl/>
        </w:rPr>
        <w:t>الحقيقة تـتـرك ... بدلالة الاستعمال والعادة</w:t>
      </w:r>
      <w:r>
        <w:rPr>
          <w:rFonts w:hint="eastAsia"/>
          <w:rtl/>
        </w:rPr>
        <w:t>»</w:t>
      </w:r>
      <w:r>
        <w:rPr>
          <w:rFonts w:hint="cs"/>
          <w:rtl/>
        </w:rPr>
        <w:t>-؛ المدخل الفقهي العام، 2/852، فقرة 493، و1000، فقرة 608؛ الوجيز، ص242؛ العرف والعادة للدكتور أحمد أبوسنة، ص165- ومضمون شرح المؤلف للقاعدة مذكور عنده أيضًا-؛ العرف لشيخنا أ.د. أحمد المباركي، ص174- ولفظهما:</w:t>
      </w:r>
      <w:r>
        <w:rPr>
          <w:rFonts w:hint="eastAsia"/>
          <w:rtl/>
        </w:rPr>
        <w:t xml:space="preserve"> «</w:t>
      </w:r>
      <w:r>
        <w:rPr>
          <w:rFonts w:hint="cs"/>
          <w:rtl/>
        </w:rPr>
        <w:t>تترك الحقيقة بدلالة العادة</w:t>
      </w:r>
      <w:r>
        <w:rPr>
          <w:rFonts w:hint="eastAsia"/>
          <w:rtl/>
        </w:rPr>
        <w:t>»</w:t>
      </w:r>
      <w:r>
        <w:rPr>
          <w:rFonts w:hint="cs"/>
          <w:rtl/>
        </w:rPr>
        <w:t xml:space="preserve">-؛ المدخل إلى القواعد الفقهية للدكتور إبراهيم الحريري، ص111؛ </w:t>
      </w:r>
      <w:r w:rsidRPr="005772E6">
        <w:rPr>
          <w:rFonts w:hint="cs"/>
          <w:spacing w:val="-4"/>
          <w:rtl/>
        </w:rPr>
        <w:t xml:space="preserve">المبادئ الفقهية، ص30؛ القواعد الفقهية للدعّاس، ص51، قاعدة 37؛ وللدكتور محمد الزحيلي، </w:t>
      </w:r>
      <w:r>
        <w:rPr>
          <w:rFonts w:hint="cs"/>
          <w:rtl/>
        </w:rPr>
        <w:t>ص73.</w:t>
      </w:r>
    </w:p>
    <w:p w:rsidR="00035BE3" w:rsidRDefault="00035BE3" w:rsidP="00C10469">
      <w:pPr>
        <w:pStyle w:val="a6"/>
        <w:ind w:left="422" w:hanging="2"/>
        <w:rPr>
          <w:b/>
          <w:bCs/>
          <w:rtl/>
        </w:rPr>
      </w:pPr>
      <w:r>
        <w:rPr>
          <w:rFonts w:hint="cs"/>
          <w:b/>
          <w:bCs/>
          <w:rtl/>
        </w:rPr>
        <w:t>ومن كتب الفقه :</w:t>
      </w:r>
    </w:p>
    <w:p w:rsidR="00035BE3" w:rsidRDefault="00035BE3" w:rsidP="00C10469">
      <w:pPr>
        <w:pStyle w:val="a6"/>
        <w:ind w:left="422" w:hanging="2"/>
        <w:rPr>
          <w:rtl/>
        </w:rPr>
      </w:pPr>
      <w:r>
        <w:rPr>
          <w:rFonts w:hint="cs"/>
          <w:rtl/>
        </w:rPr>
        <w:t>العناية ونتائج الأفكار، 8/326، 327؛ فتح القدير، 3/314، 6/263؛ البحر الرائق، 4/348؛ رد المحتار، 5/568.</w:t>
      </w:r>
    </w:p>
  </w:footnote>
  <w:footnote w:id="25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فتح القدير وحاشية سعدي أفندي على العناية، 5/122.</w:t>
      </w:r>
    </w:p>
    <w:p w:rsidR="00035BE3" w:rsidRDefault="00035BE3" w:rsidP="00C10469">
      <w:pPr>
        <w:pStyle w:val="a6"/>
        <w:ind w:left="422" w:firstLine="0"/>
        <w:rPr>
          <w:rtl/>
        </w:rPr>
      </w:pPr>
      <w:r>
        <w:rPr>
          <w:rFonts w:hint="cs"/>
          <w:rtl/>
        </w:rPr>
        <w:t>وانظر أيضًا : الأشباه والنظائر لابن نجيم، ص121؛ شرح العلائي لقواعد الخادمي، ل21/أ؛ منافع الدقائق، ص319؛ قواعد الفقه للمجدّدي، ص78.</w:t>
      </w:r>
    </w:p>
  </w:footnote>
  <w:footnote w:id="25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الكر </w:t>
      </w:r>
      <w:r>
        <w:rPr>
          <w:rFonts w:hint="eastAsia"/>
          <w:rtl/>
        </w:rPr>
        <w:t>»</w:t>
      </w:r>
      <w:r>
        <w:rPr>
          <w:rFonts w:hint="cs"/>
          <w:rtl/>
        </w:rPr>
        <w:t>.</w:t>
      </w:r>
    </w:p>
  </w:footnote>
  <w:footnote w:id="2557">
    <w:p w:rsidR="00035BE3" w:rsidRDefault="00035BE3" w:rsidP="00C10469">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w:t>
      </w:r>
      <w:r>
        <w:rPr>
          <w:rFonts w:hint="cs"/>
          <w:b/>
          <w:bCs/>
          <w:spacing w:val="-10"/>
          <w:rtl/>
        </w:rPr>
        <w:t>كتاب الكنـز</w:t>
      </w:r>
      <w:r>
        <w:rPr>
          <w:rFonts w:hint="cs"/>
          <w:spacing w:val="-10"/>
          <w:rtl/>
        </w:rPr>
        <w:t xml:space="preserve"> : ألفه عبد الله بن أحمد بن محمود، أبو البركات النّسفي (ت710هـ). وتمام اسمه : (كنز الدقائق). وكان المؤلف قد ألف قبله كتاب (الوافي)، ثم لخصه في (الكنز) </w:t>
      </w:r>
      <w:r>
        <w:rPr>
          <w:spacing w:val="-10"/>
          <w:rtl/>
        </w:rPr>
        <w:t>–</w:t>
      </w:r>
      <w:r>
        <w:rPr>
          <w:rFonts w:hint="cs"/>
          <w:spacing w:val="-10"/>
          <w:rtl/>
        </w:rPr>
        <w:t xml:space="preserve"> كما صرّح بذلك في مقدمة (الكنـز) -.</w:t>
      </w:r>
    </w:p>
    <w:p w:rsidR="00035BE3" w:rsidRDefault="00035BE3" w:rsidP="00C10469">
      <w:pPr>
        <w:pStyle w:val="a6"/>
        <w:ind w:left="422" w:firstLine="0"/>
        <w:rPr>
          <w:rtl/>
        </w:rPr>
      </w:pPr>
      <w:r>
        <w:rPr>
          <w:rFonts w:hint="cs"/>
          <w:rtl/>
        </w:rPr>
        <w:t xml:space="preserve">و(الكنز) من أهم المتون في المذهب الحنفي؛ إذْ هو من المتون الثلاثة المعتمدة عند المتأخرين (وهي : مختصر القدوري والكنز والوقاية، كما ذكر ذلك اللكنوي)؛ بل إنّ صاحبي (البحر الرائق) و(تبيين الحقائق) نعتاه بأنه أحسن مختصر صنّف في فقه الأئمة الحنفية. لهذا لا غرو ولا عجب أن نجد له شروحًا كثيرة، ذكر منها صاحب كشف الظنون عشرين شرحًا ونيّفا، أشهرها : (تبيين الحقائق) لعثمان بن علي الزيلعي (ت743هـ)، و(البحر الرائق) لزين الدين بن نجيم المصري (ت970هـ) </w:t>
      </w:r>
      <w:r>
        <w:rPr>
          <w:rtl/>
        </w:rPr>
        <w:t>–</w:t>
      </w:r>
      <w:r>
        <w:rPr>
          <w:rFonts w:hint="cs"/>
          <w:rtl/>
        </w:rPr>
        <w:t xml:space="preserve"> وصل فيه إلى باب الإجارة، ثم أتمه محمد الطوري القادري-.</w:t>
      </w:r>
    </w:p>
    <w:p w:rsidR="00035BE3" w:rsidRDefault="00035BE3" w:rsidP="00C10469">
      <w:pPr>
        <w:pStyle w:val="a6"/>
        <w:ind w:left="422" w:firstLine="0"/>
        <w:rPr>
          <w:rtl/>
        </w:rPr>
      </w:pPr>
      <w:r>
        <w:rPr>
          <w:rFonts w:hint="cs"/>
          <w:rtl/>
        </w:rPr>
        <w:t>وكتاب الكنز هذا مطبوع مع هذين الشرحين المتداولين، كما طبع مع شروح أخر، وأيضًا طبع استقلالاً في مطبعة الحميدية بالقاهرة سنة 1328هـ، بتصحيح إبراهيم الحنفي الأزهري.</w:t>
      </w:r>
    </w:p>
    <w:p w:rsidR="00035BE3" w:rsidRDefault="00035BE3" w:rsidP="00C10469">
      <w:pPr>
        <w:pStyle w:val="a6"/>
        <w:ind w:left="422" w:firstLine="0"/>
        <w:rPr>
          <w:rtl/>
        </w:rPr>
      </w:pPr>
      <w:r>
        <w:rPr>
          <w:rFonts w:hint="cs"/>
          <w:rtl/>
        </w:rPr>
        <w:t>انظر : مقدمة الكنز (المطبوع بهامش البحر الرائق)، 1/2 ؛ تبيين الحقائق، 1/2 ؛ الجواهر المضـية، 2/294-295، رقم 692؛ تاج التراجم، ص111-112، رقم 126؛ البحر الرائق، 1/2 ؛ مفتاح السعادة، 2/94، 168، 255؛ الطبقات السنيـة، 4/154-155، رقم 1037؛ كشـف الظـنون، 2/1515-1517؛ النافع الكبير، ص23؛ الفوائد البهية، ص101-102؛ هدية العارفين، 1/464؛ مرجع العلوم الإسلامية، ص492.</w:t>
      </w:r>
    </w:p>
  </w:footnote>
  <w:footnote w:id="2558">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الكنز مع شرحه : تبيين الحقائق، 3/127-128. وانظر أيضًا الهداية وشرحها: العناية، 5/122؛ ردّ المحتار، 5/568.</w:t>
      </w:r>
    </w:p>
  </w:footnote>
  <w:footnote w:id="2559">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أي: وأجاب الزيلعي عن القول بأنه لا يحنث للعرف بما نقله المؤلف عنه، ونصُّ الزيلعي في (تبيين الحقائق) -3/128-: </w:t>
      </w:r>
      <w:r>
        <w:rPr>
          <w:rFonts w:hint="eastAsia"/>
          <w:spacing w:val="6"/>
          <w:rtl/>
        </w:rPr>
        <w:t>«</w:t>
      </w:r>
      <w:r>
        <w:rPr>
          <w:rFonts w:hint="cs"/>
          <w:spacing w:val="6"/>
          <w:rtl/>
        </w:rPr>
        <w:t>وذكر العتابي -رحمه الله- أنه لا يحنث بأكل لحم الخنزير والآدمي. وقال في (الكافي) : وعليه الفتوى. فكأنه اعتبر فيه العرف، و</w:t>
      </w:r>
      <w:r>
        <w:rPr>
          <w:rFonts w:hint="cs"/>
          <w:b/>
          <w:bCs/>
          <w:spacing w:val="6"/>
          <w:rtl/>
        </w:rPr>
        <w:t>لكن</w:t>
      </w:r>
      <w:r>
        <w:rPr>
          <w:rFonts w:hint="cs"/>
          <w:spacing w:val="6"/>
          <w:rtl/>
        </w:rPr>
        <w:t xml:space="preserve"> هذا عرفٌ عملي فلا يصلح مقيِّدًا، بخلاف العرف اللفظي</w:t>
      </w:r>
      <w:r>
        <w:rPr>
          <w:rFonts w:hint="eastAsia"/>
          <w:spacing w:val="6"/>
          <w:rtl/>
        </w:rPr>
        <w:t>»</w:t>
      </w:r>
      <w:r>
        <w:rPr>
          <w:rFonts w:hint="cs"/>
          <w:spacing w:val="6"/>
          <w:rtl/>
        </w:rPr>
        <w:t>؛ وانظر هذا النص أيضًا في ردّ المحتار، 5/568.</w:t>
      </w:r>
    </w:p>
  </w:footnote>
  <w:footnote w:id="25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له </w:t>
      </w:r>
      <w:r>
        <w:rPr>
          <w:rFonts w:hint="eastAsia"/>
          <w:rtl/>
        </w:rPr>
        <w:t>»</w:t>
      </w:r>
      <w:r>
        <w:rPr>
          <w:rFonts w:hint="cs"/>
          <w:rtl/>
        </w:rPr>
        <w:t xml:space="preserve"> : زيادة من (ب). وهي زيادة لابدّ منها.</w:t>
      </w:r>
    </w:p>
  </w:footnote>
  <w:footnote w:id="25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3/314، وانظر منه : 5/122، ونص كلامه في الموضع الأول : </w:t>
      </w:r>
      <w:r>
        <w:rPr>
          <w:rFonts w:hint="eastAsia"/>
          <w:rtl/>
        </w:rPr>
        <w:t>«</w:t>
      </w:r>
      <w:r>
        <w:rPr>
          <w:rFonts w:hint="cs"/>
          <w:rtl/>
        </w:rPr>
        <w:t xml:space="preserve">...وقولهم في الأصول : </w:t>
      </w:r>
      <w:r>
        <w:rPr>
          <w:rFonts w:hint="eastAsia"/>
          <w:rtl/>
        </w:rPr>
        <w:t>«</w:t>
      </w:r>
      <w:r>
        <w:rPr>
          <w:rFonts w:hint="cs"/>
          <w:rtl/>
        </w:rPr>
        <w:t>الحقيقة تترك بدلالة العادة</w:t>
      </w:r>
      <w:r>
        <w:rPr>
          <w:rFonts w:hint="eastAsia"/>
          <w:rtl/>
        </w:rPr>
        <w:t>»</w:t>
      </w:r>
      <w:r>
        <w:rPr>
          <w:rFonts w:hint="cs"/>
          <w:rtl/>
        </w:rPr>
        <w:t xml:space="preserve"> ينفيه؛ إذْ ليست العادة إلا عرفًا عمليًا ...</w:t>
      </w:r>
      <w:r>
        <w:rPr>
          <w:rFonts w:hint="eastAsia"/>
          <w:rtl/>
        </w:rPr>
        <w:t>»</w:t>
      </w:r>
      <w:r>
        <w:rPr>
          <w:rFonts w:hint="cs"/>
          <w:rtl/>
        </w:rPr>
        <w:t>؛ وانظر : رد المحتار، 5/568.</w:t>
      </w:r>
    </w:p>
  </w:footnote>
  <w:footnote w:id="2562">
    <w:p w:rsidR="00035BE3" w:rsidRDefault="00035BE3" w:rsidP="00C10469">
      <w:pPr>
        <w:pStyle w:val="a8"/>
        <w:bidi/>
        <w:ind w:left="422" w:right="0"/>
        <w:rPr>
          <w:rtl/>
          <w:lang w:bidi="ar-AE"/>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lang w:bidi="ar-AE"/>
        </w:rPr>
        <w:t>فتح القدير</w:t>
      </w:r>
      <w:r>
        <w:rPr>
          <w:rFonts w:hint="cs"/>
          <w:rtl/>
          <w:lang w:bidi="ar-AE"/>
        </w:rPr>
        <w:t xml:space="preserve"> : لمحمد بن عبد الواحد بن عبد الحميد بن مسعود السيواسي ثم الاسكندري، الكمال المعروف بابن الهمام (790هـ-861هـ).</w:t>
      </w:r>
    </w:p>
    <w:p w:rsidR="00035BE3" w:rsidRDefault="00035BE3" w:rsidP="00C10469">
      <w:pPr>
        <w:pStyle w:val="a6"/>
        <w:ind w:left="422" w:firstLine="0"/>
        <w:rPr>
          <w:rtl/>
          <w:lang w:bidi="ar-AE"/>
        </w:rPr>
      </w:pPr>
      <w:r>
        <w:rPr>
          <w:rFonts w:hint="cs"/>
          <w:rtl/>
          <w:lang w:bidi="ar-AE"/>
        </w:rPr>
        <w:t xml:space="preserve">وهذا الكتاب في فروع الحنفية، شرح به مؤلفه كتاب (الهداية) للمرغيناني (ت593هـ)، إلا أنّ المنية </w:t>
      </w:r>
      <w:r w:rsidRPr="00EC1630">
        <w:rPr>
          <w:rFonts w:hint="cs"/>
          <w:spacing w:val="-4"/>
          <w:rtl/>
          <w:lang w:bidi="ar-AE"/>
        </w:rPr>
        <w:t xml:space="preserve">سبقته قبل إتمام هذا الشرح، فأكمله المولى أحمد بن قودر المعروف بقاضي زاده أفندي </w:t>
      </w:r>
      <w:r>
        <w:rPr>
          <w:rFonts w:hint="cs"/>
          <w:rtl/>
          <w:lang w:bidi="ar-AE"/>
        </w:rPr>
        <w:t>(ت988هـ)، وسمّى التكملة : (نتائج الأفكار في كشف الرموز والأسرار). وقد ابتدأه بكتاب الوكالة، بعد أن شرح ابن الهمام جملة منها.</w:t>
      </w:r>
    </w:p>
    <w:p w:rsidR="00035BE3" w:rsidRDefault="00035BE3" w:rsidP="00C10469">
      <w:pPr>
        <w:pStyle w:val="a6"/>
        <w:ind w:left="422" w:firstLine="0"/>
        <w:rPr>
          <w:rtl/>
          <w:lang w:bidi="ar-AE"/>
        </w:rPr>
      </w:pPr>
      <w:r>
        <w:rPr>
          <w:rFonts w:hint="cs"/>
          <w:rtl/>
          <w:lang w:bidi="ar-AE"/>
        </w:rPr>
        <w:t xml:space="preserve">وقد طبع كتاب (فتح القدير) مع تكملته عدة طبعات. وكثيرًا ما كان يطبع معه كتاب (العناية) </w:t>
      </w:r>
      <w:r>
        <w:rPr>
          <w:rtl/>
          <w:lang w:bidi="ar-AE"/>
        </w:rPr>
        <w:t>–</w:t>
      </w:r>
      <w:r>
        <w:rPr>
          <w:rFonts w:hint="cs"/>
          <w:rtl/>
          <w:lang w:bidi="ar-AE"/>
        </w:rPr>
        <w:t xml:space="preserve"> وقد سبقت الإشارة إلى بعض طبعاته عند التعريف بِـ (العناية)، ص214-.</w:t>
      </w:r>
    </w:p>
    <w:p w:rsidR="00035BE3" w:rsidRDefault="00035BE3" w:rsidP="00C10469">
      <w:pPr>
        <w:pStyle w:val="a6"/>
        <w:ind w:left="422" w:firstLine="0"/>
        <w:rPr>
          <w:spacing w:val="-4"/>
          <w:rtl/>
        </w:rPr>
      </w:pPr>
      <w:r>
        <w:rPr>
          <w:rFonts w:hint="cs"/>
          <w:spacing w:val="-4"/>
          <w:rtl/>
          <w:lang w:bidi="ar-AE"/>
        </w:rPr>
        <w:t xml:space="preserve">وممّا يلفت النظر في أكثر طبعاته تسمية الكتاب بِـ (شرح فتح القدير)، وهذا مخالف لما جاء في مقدمته </w:t>
      </w:r>
      <w:r>
        <w:rPr>
          <w:spacing w:val="-4"/>
          <w:rtl/>
          <w:lang w:bidi="ar-AE"/>
        </w:rPr>
        <w:t>–</w:t>
      </w:r>
      <w:r>
        <w:rPr>
          <w:rFonts w:hint="cs"/>
          <w:spacing w:val="-4"/>
          <w:rtl/>
          <w:lang w:bidi="ar-AE"/>
        </w:rPr>
        <w:t xml:space="preserve">1/12- : </w:t>
      </w:r>
      <w:r>
        <w:rPr>
          <w:rFonts w:hint="eastAsia"/>
          <w:spacing w:val="-4"/>
          <w:rtl/>
        </w:rPr>
        <w:t>«</w:t>
      </w:r>
      <w:r>
        <w:rPr>
          <w:rFonts w:hint="cs"/>
          <w:spacing w:val="-4"/>
          <w:rtl/>
        </w:rPr>
        <w:t xml:space="preserve">... فسميته </w:t>
      </w:r>
      <w:r>
        <w:rPr>
          <w:spacing w:val="-4"/>
          <w:rtl/>
        </w:rPr>
        <w:t>–</w:t>
      </w:r>
      <w:r>
        <w:rPr>
          <w:rFonts w:hint="cs"/>
          <w:spacing w:val="-4"/>
          <w:rtl/>
        </w:rPr>
        <w:t>ولله المنة- فتح القدير للعاجز الفقير</w:t>
      </w:r>
      <w:r>
        <w:rPr>
          <w:rFonts w:hint="eastAsia"/>
          <w:spacing w:val="-4"/>
          <w:rtl/>
        </w:rPr>
        <w:t>»</w:t>
      </w:r>
      <w:r>
        <w:rPr>
          <w:rFonts w:hint="cs"/>
          <w:spacing w:val="-4"/>
          <w:rtl/>
        </w:rPr>
        <w:t xml:space="preserve">، ومخالف أيضًا لما جاء في كثير من كتب الحنفية التي تعزوا إليه باسم (فتح القدير) </w:t>
      </w:r>
      <w:r>
        <w:rPr>
          <w:spacing w:val="-4"/>
          <w:rtl/>
        </w:rPr>
        <w:t>–</w:t>
      </w:r>
      <w:r>
        <w:rPr>
          <w:rFonts w:hint="cs"/>
          <w:spacing w:val="-4"/>
          <w:rtl/>
        </w:rPr>
        <w:t xml:space="preserve"> كما فعل المؤلف هنا، وابن نجيم في فوائده الزينية، ص48، 62-، وكذلك مخالف لكثير من كتب التراجم التي نسبت الكتاب إلى ابن الهمام باسم (فتح القدير).</w:t>
      </w:r>
    </w:p>
    <w:p w:rsidR="00035BE3" w:rsidRDefault="00035BE3" w:rsidP="00C10469">
      <w:pPr>
        <w:pStyle w:val="a6"/>
        <w:ind w:left="422" w:firstLine="0"/>
        <w:rPr>
          <w:rtl/>
          <w:lang w:bidi="ar-AE"/>
        </w:rPr>
      </w:pPr>
      <w:r>
        <w:rPr>
          <w:rFonts w:hint="cs"/>
          <w:rtl/>
          <w:lang w:bidi="ar-AE"/>
        </w:rPr>
        <w:t>وإضافة إلى ذلك فإن إضافة كلمة (شرح) توحي بأن هناك كتابًا اسمه (فتح القدير) وهذا شرح له. والواقع أنه كتاب واحد.</w:t>
      </w:r>
    </w:p>
    <w:p w:rsidR="00035BE3" w:rsidRDefault="00035BE3" w:rsidP="00C10469">
      <w:pPr>
        <w:pStyle w:val="a6"/>
        <w:ind w:left="422" w:firstLine="0"/>
        <w:rPr>
          <w:rtl/>
          <w:lang w:bidi="ar-AE"/>
        </w:rPr>
      </w:pPr>
      <w:r>
        <w:rPr>
          <w:rFonts w:hint="cs"/>
          <w:rtl/>
          <w:lang w:bidi="ar-AE"/>
        </w:rPr>
        <w:t xml:space="preserve">انظر : فتح القدير، 1/5-12، 8/3، 15؛ تاج التراجم، ص327؛ مفتاح السعادة، 2/244؛ كشف الظنون، 2/2032، 2034؛ الفوائد البهية، ص180-181؛ هدية العارفين، 6/201؛ الفتح المبين، 3/36-39؛ الأعلام، 6/255؛ معجم المؤلفين، 3/469؛ مرجع العلوم الإسلامية، ص489 </w:t>
      </w:r>
      <w:r>
        <w:rPr>
          <w:rtl/>
          <w:lang w:bidi="ar-AE"/>
        </w:rPr>
        <w:t>–</w:t>
      </w:r>
      <w:r>
        <w:rPr>
          <w:rFonts w:hint="cs"/>
          <w:rtl/>
          <w:lang w:bidi="ar-AE"/>
        </w:rPr>
        <w:t xml:space="preserve"> إلاّ أنّ الأخير سماه : (شرح فتح القدير) خلافًا لبقية المراجع السابقة-.</w:t>
      </w:r>
    </w:p>
  </w:footnote>
  <w:footnote w:id="25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46/ب من (أ).</w:t>
      </w:r>
    </w:p>
  </w:footnote>
  <w:footnote w:id="25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المشتركة بين علمي أصول الفقه والقواعد الفقهية :</w:t>
      </w:r>
    </w:p>
    <w:p w:rsidR="00035BE3" w:rsidRDefault="00035BE3" w:rsidP="00C10469">
      <w:pPr>
        <w:pStyle w:val="a6"/>
        <w:ind w:left="422" w:firstLine="0"/>
        <w:rPr>
          <w:rtl/>
        </w:rPr>
      </w:pPr>
      <w:r>
        <w:rPr>
          <w:rFonts w:hint="cs"/>
          <w:b/>
          <w:bCs/>
          <w:rtl/>
        </w:rPr>
        <w:t>فهي في الأصل أصولية</w:t>
      </w:r>
      <w:r>
        <w:rPr>
          <w:rFonts w:hint="cs"/>
          <w:rtl/>
        </w:rPr>
        <w:t>؛  لتعلقها بموضوع أصول الفقه، وهو الأدلة من جهة أن الحكم والعلة ركنان من أركان القياس الذي هو أحد الأدلة الشرعية، وكذا لتعلقها بالحكم الشرعي وهو من موضوعات أصول الفقه.</w:t>
      </w:r>
    </w:p>
    <w:p w:rsidR="00035BE3" w:rsidRDefault="00035BE3" w:rsidP="00C10469">
      <w:pPr>
        <w:pStyle w:val="a6"/>
        <w:ind w:left="422" w:firstLine="0"/>
        <w:rPr>
          <w:rtl/>
        </w:rPr>
      </w:pPr>
      <w:r>
        <w:rPr>
          <w:rFonts w:hint="cs"/>
          <w:b/>
          <w:bCs/>
          <w:rtl/>
        </w:rPr>
        <w:t>ويمكن أن تكون فقهية</w:t>
      </w:r>
      <w:r>
        <w:rPr>
          <w:rFonts w:hint="cs"/>
          <w:rtl/>
        </w:rPr>
        <w:t>؛ لتعلّقها بموضوع القواعد الفقهية، وهو أفعال المكلفين؛ وذلك من جهة أن حكم أفعالهم يوجد عند وجود علته وينتفي بانتفائها.</w:t>
      </w:r>
    </w:p>
    <w:p w:rsidR="00035BE3" w:rsidRDefault="00035BE3" w:rsidP="00C10469">
      <w:pPr>
        <w:pStyle w:val="a6"/>
        <w:ind w:left="422" w:firstLine="0"/>
        <w:rPr>
          <w:rtl/>
        </w:rPr>
      </w:pPr>
      <w:r>
        <w:rPr>
          <w:rFonts w:hint="cs"/>
          <w:rtl/>
        </w:rPr>
        <w:t xml:space="preserve">وهذه القاعدة كثيرًا ما يتطرّق لها الأصوليون في معرض حديثهم عن مسلك من مسالك العلة وهو الدوران، أو الاطراد والانعكاس؛ إذْ الاطراد هو أن يوجد الحكم بوجود العلة، والانعكاس هو أنَّ </w:t>
      </w:r>
      <w:r>
        <w:rPr>
          <w:rFonts w:hint="eastAsia"/>
          <w:rtl/>
        </w:rPr>
        <w:t>«</w:t>
      </w:r>
      <w:r>
        <w:rPr>
          <w:rFonts w:hint="cs"/>
          <w:rtl/>
        </w:rPr>
        <w:t>الحكم ينتهي بانتهاء علته</w:t>
      </w:r>
      <w:r>
        <w:rPr>
          <w:rFonts w:hint="eastAsia"/>
          <w:rtl/>
        </w:rPr>
        <w:t>»</w:t>
      </w:r>
      <w:r>
        <w:rPr>
          <w:rFonts w:hint="cs"/>
          <w:rtl/>
        </w:rPr>
        <w:t>- وهذا نصّ القاعدة-.</w:t>
      </w:r>
    </w:p>
    <w:p w:rsidR="00035BE3" w:rsidRDefault="00035BE3" w:rsidP="00C10469">
      <w:pPr>
        <w:pStyle w:val="a6"/>
        <w:ind w:left="422" w:firstLine="0"/>
        <w:rPr>
          <w:rtl/>
        </w:rPr>
      </w:pPr>
      <w:r>
        <w:rPr>
          <w:rFonts w:hint="cs"/>
          <w:rtl/>
        </w:rPr>
        <w:t>ومناسبة حديثهم عنها هنا هي : هل يُعَدُّ الانعكاس - الذي تعبِّر عنه القاعدة - والاطراد مسلكًا صحيحًا في إثبات كونه الوصف علَّة ؟.</w:t>
      </w:r>
    </w:p>
    <w:p w:rsidR="00035BE3" w:rsidRDefault="00035BE3" w:rsidP="00C10469">
      <w:pPr>
        <w:pStyle w:val="a6"/>
        <w:ind w:left="422" w:firstLine="0"/>
        <w:rPr>
          <w:b/>
          <w:bCs/>
          <w:rtl/>
        </w:rPr>
      </w:pPr>
      <w:r>
        <w:rPr>
          <w:rFonts w:hint="cs"/>
          <w:b/>
          <w:bCs/>
          <w:rtl/>
        </w:rPr>
        <w:t>انظر من كتب أصول الفقه :</w:t>
      </w:r>
    </w:p>
    <w:p w:rsidR="00035BE3" w:rsidRDefault="00035BE3" w:rsidP="00C10469">
      <w:pPr>
        <w:pStyle w:val="a6"/>
        <w:ind w:left="422" w:firstLine="0"/>
        <w:rPr>
          <w:rtl/>
        </w:rPr>
      </w:pPr>
      <w:r>
        <w:rPr>
          <w:rFonts w:hint="cs"/>
          <w:rtl/>
        </w:rPr>
        <w:t>المعتمد، 2/784؛ قواطع الأدلة، 4/230؛ البرهان، 2/546، فقرة 796؛ شفاء الغليل، ص266؛ المستصفى، 2/307؛ المحصول وشرحه : الكاشف، 6/400؛ روضة الناظر، 3/859؛ الإحكام للآمدي، 3/330؛ شرح التنقيح، ص396؛ المسوَّدة، ص427؛ أصول الفقه لابن مفلح؛ 3/1297؛ مفتاح الوصول، ص683؛ التـحرير وتيسيره، 3/302، 4/49؛ مسلم الثبوت وشرحه : فواتح الرحموت، 2/302؛ تعليل الأحكام لشلبي، ص38، 43، 310؛ تذكير الناس بما يحتاجون إليه من القياس للدكتور محمد الحفناوي، ص190، 226.</w:t>
      </w:r>
    </w:p>
    <w:p w:rsidR="00035BE3" w:rsidRDefault="00035BE3" w:rsidP="00C10469">
      <w:pPr>
        <w:pStyle w:val="a6"/>
        <w:ind w:left="422" w:firstLine="0"/>
        <w:rPr>
          <w:b/>
          <w:bCs/>
          <w:rtl/>
        </w:rPr>
      </w:pPr>
      <w:r>
        <w:rPr>
          <w:rFonts w:hint="cs"/>
          <w:b/>
          <w:bCs/>
          <w:rtl/>
        </w:rPr>
        <w:t>ومن كتب القواعد التي تناولت القاعدة :</w:t>
      </w:r>
    </w:p>
    <w:p w:rsidR="00035BE3" w:rsidRDefault="00035BE3" w:rsidP="00C10469">
      <w:pPr>
        <w:pStyle w:val="a6"/>
        <w:spacing w:line="420" w:lineRule="exact"/>
        <w:ind w:left="420" w:firstLine="0"/>
        <w:jc w:val="mediumKashida"/>
        <w:rPr>
          <w:rtl/>
        </w:rPr>
      </w:pPr>
      <w:r>
        <w:rPr>
          <w:rFonts w:hint="cs"/>
          <w:rtl/>
        </w:rPr>
        <w:t xml:space="preserve">قواعد الأحكام للعز بن عبد السلام، 2/4 - فقد ذكرها عرضًا بلفظ: </w:t>
      </w:r>
      <w:r>
        <w:rPr>
          <w:rFonts w:hint="eastAsia"/>
          <w:rtl/>
        </w:rPr>
        <w:t>«</w:t>
      </w:r>
      <w:r>
        <w:rPr>
          <w:rFonts w:hint="cs"/>
          <w:rtl/>
        </w:rPr>
        <w:t>والأصل أنْ تزول الأحكام بزوال عللها</w:t>
      </w:r>
      <w:r>
        <w:rPr>
          <w:rFonts w:hint="eastAsia"/>
          <w:rtl/>
        </w:rPr>
        <w:t>»</w:t>
      </w:r>
      <w:r>
        <w:rPr>
          <w:rFonts w:hint="cs"/>
          <w:rtl/>
        </w:rPr>
        <w:t xml:space="preserve"> -؛ قواعد الفقه لابن نجيم، ص104، قاعدة45 - ولفظه: </w:t>
      </w:r>
      <w:r>
        <w:rPr>
          <w:rFonts w:hint="eastAsia"/>
          <w:rtl/>
        </w:rPr>
        <w:t>«</w:t>
      </w:r>
      <w:r>
        <w:rPr>
          <w:rFonts w:hint="cs"/>
          <w:rtl/>
        </w:rPr>
        <w:t>حكم العلة لا يتأخر عنها</w:t>
      </w:r>
      <w:r>
        <w:rPr>
          <w:rFonts w:hint="eastAsia"/>
          <w:rtl/>
        </w:rPr>
        <w:t>»</w:t>
      </w:r>
      <w:r>
        <w:rPr>
          <w:rFonts w:hint="cs"/>
          <w:rtl/>
        </w:rPr>
        <w:t xml:space="preserve">-؛ مغني ذوي الأفهام (الخاتمة)، ص519- ولفظه : </w:t>
      </w:r>
      <w:r>
        <w:rPr>
          <w:rFonts w:hint="eastAsia"/>
          <w:rtl/>
        </w:rPr>
        <w:t>«</w:t>
      </w:r>
      <w:r>
        <w:rPr>
          <w:rFonts w:hint="cs"/>
          <w:rtl/>
        </w:rPr>
        <w:t>الحكم يدور مع علته وجودًا وعدمًا</w:t>
      </w:r>
      <w:r>
        <w:rPr>
          <w:rFonts w:hint="eastAsia"/>
          <w:rtl/>
        </w:rPr>
        <w:t>»</w:t>
      </w:r>
      <w:r>
        <w:rPr>
          <w:rFonts w:hint="cs"/>
          <w:rtl/>
        </w:rPr>
        <w:t xml:space="preserve">-؛ إيضاح المسالك للونشريسي، ص60، قاعدة 6؛ شرح المنهج المنتخب للمنجور، ص120،- ولفظهما : </w:t>
      </w:r>
      <w:r>
        <w:rPr>
          <w:rFonts w:hint="eastAsia"/>
          <w:rtl/>
        </w:rPr>
        <w:t>«</w:t>
      </w:r>
      <w:r>
        <w:rPr>
          <w:rFonts w:hint="cs"/>
          <w:rtl/>
        </w:rPr>
        <w:t>العلة إذا زالت هل يزول الحكم بزوالها أم لا؟</w:t>
      </w:r>
      <w:r>
        <w:rPr>
          <w:rFonts w:hint="eastAsia"/>
          <w:rtl/>
        </w:rPr>
        <w:t>»</w:t>
      </w:r>
      <w:r>
        <w:rPr>
          <w:rFonts w:hint="cs"/>
          <w:rtl/>
        </w:rPr>
        <w:t xml:space="preserve">-؛ مجامع الحقائق (الخاتمة)، ص45؛ شرح العلائي لقواعد الخادمي، ل21/ب؛ منافع الدقائق، ص319- ولفظ المجامع في الموضع السابق وفي النسـخة الخطية، </w:t>
      </w:r>
      <w:r>
        <w:rPr>
          <w:rtl/>
        </w:rPr>
        <w:br/>
      </w:r>
      <w:r>
        <w:rPr>
          <w:rFonts w:hint="cs"/>
          <w:rtl/>
        </w:rPr>
        <w:t xml:space="preserve">ل35/ب، ومع منافع الدقائق : </w:t>
      </w:r>
      <w:r>
        <w:rPr>
          <w:rFonts w:hint="eastAsia"/>
          <w:rtl/>
        </w:rPr>
        <w:t>«</w:t>
      </w:r>
      <w:r>
        <w:rPr>
          <w:rFonts w:hint="cs"/>
          <w:rtl/>
        </w:rPr>
        <w:t>الحكم لا ينتهي بانتهاء علّته</w:t>
      </w:r>
      <w:r>
        <w:rPr>
          <w:rFonts w:hint="eastAsia"/>
          <w:rtl/>
        </w:rPr>
        <w:t>»</w:t>
      </w:r>
      <w:r>
        <w:rPr>
          <w:rFonts w:hint="cs"/>
          <w:rtl/>
        </w:rPr>
        <w:t xml:space="preserve">، ومع شرح العلائي: </w:t>
      </w:r>
      <w:r>
        <w:rPr>
          <w:rFonts w:hint="eastAsia"/>
          <w:rtl/>
        </w:rPr>
        <w:t>«</w:t>
      </w:r>
      <w:r>
        <w:rPr>
          <w:rFonts w:hint="cs"/>
          <w:rtl/>
        </w:rPr>
        <w:t>الحكم ينتهي بانتهاء علته</w:t>
      </w:r>
      <w:r>
        <w:rPr>
          <w:rFonts w:hint="eastAsia"/>
          <w:rtl/>
        </w:rPr>
        <w:t>»</w:t>
      </w:r>
      <w:r>
        <w:rPr>
          <w:rFonts w:hint="cs"/>
          <w:rtl/>
        </w:rPr>
        <w:t xml:space="preserve"> (باسقاط (لا) النافية)-؛ المجاز الواضح وشرحه : الدليل الماهر، ص12- ولفظ المجاز :</w:t>
      </w:r>
    </w:p>
    <w:p w:rsidR="00035BE3" w:rsidRDefault="00035BE3" w:rsidP="00C10469">
      <w:pPr>
        <w:pStyle w:val="a6"/>
        <w:spacing w:line="216" w:lineRule="auto"/>
        <w:ind w:left="422" w:hanging="454"/>
        <w:jc w:val="center"/>
        <w:rPr>
          <w:b/>
          <w:bCs/>
          <w:rtl/>
        </w:rPr>
      </w:pPr>
      <w:r>
        <w:rPr>
          <w:rFonts w:hint="cs"/>
          <w:b/>
          <w:bCs/>
          <w:rtl/>
        </w:rPr>
        <w:t>وهـل بـفقد علّـة حكـم يـزول           أم لا؟ خلافٌ بـيَّن ما هو أهلُ الأصول-؛</w:t>
      </w:r>
    </w:p>
    <w:p w:rsidR="00035BE3" w:rsidRDefault="00035BE3" w:rsidP="00C10469">
      <w:pPr>
        <w:pStyle w:val="a6"/>
        <w:spacing w:line="216" w:lineRule="auto"/>
        <w:ind w:left="422" w:firstLine="0"/>
        <w:rPr>
          <w:rtl/>
        </w:rPr>
      </w:pPr>
      <w:r>
        <w:rPr>
          <w:rFonts w:hint="cs"/>
          <w:rtl/>
        </w:rPr>
        <w:t>رسالة القواعد الفقهية للشيخ عبد الرحمن السعدي، ص50، البيت رقم37 - ولفظه :</w:t>
      </w:r>
    </w:p>
    <w:p w:rsidR="00035BE3" w:rsidRDefault="00035BE3" w:rsidP="00C10469">
      <w:pPr>
        <w:pStyle w:val="a6"/>
        <w:spacing w:line="216" w:lineRule="auto"/>
        <w:ind w:left="422" w:hanging="454"/>
        <w:jc w:val="center"/>
        <w:rPr>
          <w:b/>
          <w:bCs/>
          <w:rtl/>
        </w:rPr>
      </w:pPr>
      <w:r>
        <w:rPr>
          <w:rFonts w:hint="cs"/>
          <w:b/>
          <w:bCs/>
          <w:rtl/>
        </w:rPr>
        <w:t>وكـل حـكـم دائـر مـع علَّـته            وهـي الـتي قد أوجـبت لـشرعيَّته-؛</w:t>
      </w:r>
    </w:p>
    <w:p w:rsidR="00035BE3" w:rsidRDefault="00035BE3" w:rsidP="00C10469">
      <w:pPr>
        <w:pStyle w:val="a6"/>
        <w:spacing w:line="216" w:lineRule="auto"/>
        <w:ind w:left="420" w:firstLine="0"/>
        <w:rPr>
          <w:spacing w:val="-6"/>
          <w:rtl/>
        </w:rPr>
      </w:pPr>
      <w:r>
        <w:rPr>
          <w:rFonts w:hint="cs"/>
          <w:spacing w:val="-6"/>
          <w:rtl/>
        </w:rPr>
        <w:t xml:space="preserve">القواعد والأصول الجامعة له أيضًا، ص114 -ولفظه كلفظ مغني ذوي الأفهام-؛ القواعد الفقهية للدكتور علي الندوي، ص153، 212، 425 -ومن ألفاظه: لفظ ابن عبد السلام-؛ القواعد والضوابط المستخلصة، ص119 -ولفظه كلفظ مغني ذوي الأفهام-؛ موسوعة القواعد الفقهية، 1/89 -ولفظه: </w:t>
      </w:r>
      <w:r>
        <w:rPr>
          <w:rFonts w:hint="eastAsia"/>
          <w:spacing w:val="-6"/>
          <w:rtl/>
        </w:rPr>
        <w:t>«</w:t>
      </w:r>
      <w:r>
        <w:rPr>
          <w:rFonts w:hint="cs"/>
          <w:spacing w:val="-6"/>
          <w:rtl/>
        </w:rPr>
        <w:t>الحكم إذا ثبت بعلّة زال بزوالها</w:t>
      </w:r>
      <w:r>
        <w:rPr>
          <w:rFonts w:hint="eastAsia"/>
          <w:spacing w:val="-6"/>
          <w:rtl/>
        </w:rPr>
        <w:t>»</w:t>
      </w:r>
      <w:r>
        <w:rPr>
          <w:rFonts w:hint="cs"/>
          <w:spacing w:val="-6"/>
          <w:rtl/>
        </w:rPr>
        <w:t xml:space="preserve">-؛ قواعد الفقه للروكي، ص274 - ولفظه : </w:t>
      </w:r>
      <w:r>
        <w:rPr>
          <w:rFonts w:hint="eastAsia"/>
          <w:spacing w:val="-6"/>
          <w:rtl/>
        </w:rPr>
        <w:t>«</w:t>
      </w:r>
      <w:r>
        <w:rPr>
          <w:rFonts w:hint="cs"/>
          <w:spacing w:val="-6"/>
          <w:rtl/>
        </w:rPr>
        <w:t>إذا زالت العلة زال الحكم</w:t>
      </w:r>
      <w:r>
        <w:rPr>
          <w:rFonts w:hint="eastAsia"/>
          <w:spacing w:val="-6"/>
          <w:rtl/>
        </w:rPr>
        <w:t>»</w:t>
      </w:r>
      <w:r>
        <w:rPr>
          <w:rFonts w:hint="cs"/>
          <w:spacing w:val="-6"/>
          <w:rtl/>
        </w:rPr>
        <w:t>-.</w:t>
      </w:r>
    </w:p>
    <w:p w:rsidR="00035BE3" w:rsidRDefault="00035BE3" w:rsidP="00C10469">
      <w:pPr>
        <w:pStyle w:val="a6"/>
        <w:spacing w:line="216" w:lineRule="auto"/>
        <w:ind w:left="420" w:firstLine="0"/>
        <w:rPr>
          <w:b/>
          <w:bCs/>
          <w:rtl/>
        </w:rPr>
      </w:pPr>
      <w:r>
        <w:rPr>
          <w:rFonts w:hint="cs"/>
          <w:b/>
          <w:bCs/>
          <w:rtl/>
        </w:rPr>
        <w:t>كما ورد التعليل بها في بعض كتب الفقه، منها :</w:t>
      </w:r>
    </w:p>
    <w:p w:rsidR="00035BE3" w:rsidRDefault="00035BE3" w:rsidP="00C10469">
      <w:pPr>
        <w:pStyle w:val="a6"/>
        <w:spacing w:line="216" w:lineRule="auto"/>
        <w:ind w:left="420" w:firstLine="0"/>
        <w:rPr>
          <w:rtl/>
        </w:rPr>
      </w:pPr>
      <w:r>
        <w:rPr>
          <w:rFonts w:hint="cs"/>
          <w:rtl/>
        </w:rPr>
        <w:t>مجـمـوع فـتـاوى شـيخ الإسلام ابن تيمية، 2/475؛ المصفَّى للنَّسفي، ل22/أ؛ تبيين الحقائق، 2/296؛ كشاف القناع، 5/12؛ رد المحتار، 6/351.</w:t>
      </w:r>
    </w:p>
  </w:footnote>
  <w:footnote w:id="2565">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بصحته : أي بصحة العبد.</w:t>
      </w:r>
    </w:p>
  </w:footnote>
  <w:footnote w:id="2566">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30/ب من (ب).</w:t>
      </w:r>
    </w:p>
  </w:footnote>
  <w:footnote w:id="2567">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الدّرر شرح الغرر، 2/166؛ العناية وفتح القدير، 6/308 - والمؤلف سبق أن ذكر هذا المثال بصيغة أخرى، وذلك ص280 (ل7/أ)-.</w:t>
      </w:r>
    </w:p>
  </w:footnote>
  <w:footnote w:id="2568">
    <w:p w:rsidR="00035BE3" w:rsidRDefault="00035BE3" w:rsidP="00C10469">
      <w:pPr>
        <w:pStyle w:val="a8"/>
        <w:bidi/>
        <w:spacing w:line="216" w:lineRule="auto"/>
        <w:ind w:left="420" w:right="0"/>
        <w:rPr>
          <w:rtl/>
        </w:rPr>
      </w:pPr>
      <w:r>
        <w:rPr>
          <w:rFonts w:hint="cs"/>
          <w:vertAlign w:val="superscript"/>
          <w:rtl/>
        </w:rPr>
        <w:t>(</w:t>
      </w:r>
      <w:r>
        <w:rPr>
          <w:rStyle w:val="a7"/>
          <w:spacing w:val="-4"/>
        </w:rPr>
        <w:footnoteRef/>
      </w:r>
      <w:r>
        <w:rPr>
          <w:rFonts w:hint="cs"/>
          <w:vertAlign w:val="superscript"/>
          <w:rtl/>
        </w:rPr>
        <w:t>)</w:t>
      </w:r>
      <w:r>
        <w:rPr>
          <w:rFonts w:hint="cs"/>
          <w:rtl/>
        </w:rPr>
        <w:t xml:space="preserve">  </w:t>
      </w:r>
      <w:r>
        <w:rPr>
          <w:rFonts w:hint="eastAsia"/>
          <w:rtl/>
        </w:rPr>
        <w:t>«</w:t>
      </w:r>
      <w:r>
        <w:rPr>
          <w:rFonts w:hint="cs"/>
          <w:rtl/>
        </w:rPr>
        <w:t xml:space="preserve"> نا </w:t>
      </w:r>
      <w:r>
        <w:rPr>
          <w:rFonts w:hint="eastAsia"/>
          <w:rtl/>
        </w:rPr>
        <w:t>»</w:t>
      </w:r>
      <w:r>
        <w:rPr>
          <w:rFonts w:hint="cs"/>
          <w:rtl/>
        </w:rPr>
        <w:t xml:space="preserve"> الفاعلين: زيادة من (جـ) و(هـ) و(و). ولا يستقيم المعنى بدونها؛ لأنه لو جُرِّد الفعل منها وصار مبنيًّا للمجهول (ذُكر) للزم رفع كلمة (أصلاً) باعتبارها نائب فاعل، وحيث إنها منصوبة تعيّن زيادة (نا) الفاعلين وصارت (أصلاً) مفعولاً به.</w:t>
      </w:r>
    </w:p>
  </w:footnote>
  <w:footnote w:id="2569">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36/أ من (جـ).</w:t>
      </w:r>
    </w:p>
  </w:footnote>
  <w:footnote w:id="25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ص426 (ل23/أ)، قاعدة 53.</w:t>
      </w:r>
    </w:p>
  </w:footnote>
  <w:footnote w:id="25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رفع </w:t>
      </w:r>
      <w:r>
        <w:rPr>
          <w:rFonts w:hint="eastAsia"/>
          <w:rtl/>
        </w:rPr>
        <w:t>»</w:t>
      </w:r>
      <w:r>
        <w:rPr>
          <w:rFonts w:hint="cs"/>
          <w:rtl/>
        </w:rPr>
        <w:t>.</w:t>
      </w:r>
    </w:p>
  </w:footnote>
  <w:footnote w:id="2572">
    <w:p w:rsidR="00035BE3" w:rsidRPr="00511F4A"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sidRPr="00511F4A">
        <w:rPr>
          <w:rFonts w:hint="cs"/>
          <w:spacing w:val="-4"/>
          <w:rtl/>
        </w:rPr>
        <w:t>هذا التوهم وجوابه سبق أن ذكرهما المؤلف بصورة مختصرة وأكثر وضوحًا، وذلك ص427 (ل23/أ).</w:t>
      </w:r>
    </w:p>
  </w:footnote>
  <w:footnote w:id="2573">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ما بين المعقوفتين : ساقط من (أ) و(ب) و(د)، وهو مثبت من (و) ومن (جـ) و(هـ) إلاّ أنه جاء في آخر هذه الزيادة من (جـ) : </w:t>
      </w:r>
      <w:r>
        <w:rPr>
          <w:rFonts w:hint="eastAsia"/>
          <w:spacing w:val="-6"/>
          <w:rtl/>
        </w:rPr>
        <w:t>«</w:t>
      </w:r>
      <w:r>
        <w:rPr>
          <w:rFonts w:hint="cs"/>
          <w:spacing w:val="-6"/>
          <w:rtl/>
        </w:rPr>
        <w:t>يجوز</w:t>
      </w:r>
      <w:r>
        <w:rPr>
          <w:rFonts w:hint="eastAsia"/>
          <w:spacing w:val="-6"/>
          <w:rtl/>
        </w:rPr>
        <w:t>»</w:t>
      </w:r>
      <w:r>
        <w:rPr>
          <w:rFonts w:hint="cs"/>
          <w:spacing w:val="-6"/>
          <w:rtl/>
        </w:rPr>
        <w:t xml:space="preserve"> وليس : </w:t>
      </w:r>
      <w:r>
        <w:rPr>
          <w:rFonts w:hint="eastAsia"/>
          <w:spacing w:val="-6"/>
          <w:rtl/>
        </w:rPr>
        <w:t>«</w:t>
      </w:r>
      <w:r>
        <w:rPr>
          <w:rFonts w:hint="cs"/>
          <w:spacing w:val="-6"/>
          <w:rtl/>
        </w:rPr>
        <w:t>لجواز</w:t>
      </w:r>
      <w:r>
        <w:rPr>
          <w:rFonts w:hint="eastAsia"/>
          <w:spacing w:val="-6"/>
          <w:rtl/>
        </w:rPr>
        <w:t>»</w:t>
      </w:r>
      <w:r>
        <w:rPr>
          <w:rFonts w:hint="cs"/>
          <w:spacing w:val="-6"/>
          <w:rtl/>
        </w:rPr>
        <w:t xml:space="preserve">، كما جاء في أولها من (هـ) : </w:t>
      </w:r>
      <w:r>
        <w:rPr>
          <w:rFonts w:hint="eastAsia"/>
          <w:spacing w:val="-6"/>
          <w:rtl/>
        </w:rPr>
        <w:t>«</w:t>
      </w:r>
      <w:r>
        <w:rPr>
          <w:rFonts w:hint="cs"/>
          <w:spacing w:val="-6"/>
          <w:rtl/>
        </w:rPr>
        <w:t>في بتا مع مناف ...</w:t>
      </w:r>
      <w:r>
        <w:rPr>
          <w:rFonts w:hint="eastAsia"/>
          <w:spacing w:val="-6"/>
          <w:rtl/>
        </w:rPr>
        <w:t>»</w:t>
      </w:r>
      <w:r>
        <w:rPr>
          <w:rFonts w:hint="cs"/>
          <w:spacing w:val="-6"/>
          <w:rtl/>
        </w:rPr>
        <w:t xml:space="preserve"> وليس: </w:t>
      </w:r>
      <w:r>
        <w:rPr>
          <w:rFonts w:hint="eastAsia"/>
          <w:spacing w:val="-6"/>
          <w:rtl/>
        </w:rPr>
        <w:t>«</w:t>
      </w:r>
      <w:r>
        <w:rPr>
          <w:rFonts w:hint="cs"/>
          <w:spacing w:val="-6"/>
          <w:rtl/>
        </w:rPr>
        <w:t>ثابتًا مع منافٍ</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ويضاف إلى هذا أنه جاء بعد هذه الزيادة فيما سوى نسخة (ب) : </w:t>
      </w:r>
      <w:r>
        <w:rPr>
          <w:rFonts w:hint="eastAsia"/>
          <w:rtl/>
        </w:rPr>
        <w:t>«</w:t>
      </w:r>
      <w:r>
        <w:rPr>
          <w:rFonts w:hint="cs"/>
          <w:rtl/>
        </w:rPr>
        <w:t>وشرط</w:t>
      </w:r>
      <w:r>
        <w:rPr>
          <w:rFonts w:hint="eastAsia"/>
          <w:rtl/>
        </w:rPr>
        <w:t>»</w:t>
      </w:r>
      <w:r>
        <w:rPr>
          <w:rFonts w:hint="cs"/>
          <w:rtl/>
        </w:rPr>
        <w:t xml:space="preserve"> (بزيادة الواو). والصحيح إسقاطها -كما في (ب)-.</w:t>
      </w:r>
    </w:p>
  </w:footnote>
  <w:footnote w:id="25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عدم </w:t>
      </w:r>
      <w:r>
        <w:rPr>
          <w:rFonts w:hint="eastAsia"/>
          <w:rtl/>
        </w:rPr>
        <w:t>»</w:t>
      </w:r>
      <w:r>
        <w:rPr>
          <w:rFonts w:hint="cs"/>
          <w:rtl/>
        </w:rPr>
        <w:t>.</w:t>
      </w:r>
    </w:p>
  </w:footnote>
  <w:footnote w:id="25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الحديث عنها استقلالاً، ص280(ل7/أ)، قاعدة 13.</w:t>
      </w:r>
    </w:p>
  </w:footnote>
  <w:footnote w:id="25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 زيادة من (جـ) و(هـ) و(و).</w:t>
      </w:r>
    </w:p>
  </w:footnote>
  <w:footnote w:id="25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تمنعه </w:t>
      </w:r>
      <w:r>
        <w:rPr>
          <w:rFonts w:hint="eastAsia"/>
          <w:rtl/>
        </w:rPr>
        <w:t>»</w:t>
      </w:r>
      <w:r>
        <w:rPr>
          <w:rFonts w:hint="cs"/>
          <w:rtl/>
        </w:rPr>
        <w:t>. وكلا اللفظين صحيح؛ إذْ إنه في حالة تذكير الفعل فإنه بناء على أن الفاعل ضمير مستتريعود إلى (المرض)، وفي حالة تأنيته فإنه بناء على أن الفاعل ضمير مستتر يعود إلى (علة).</w:t>
      </w:r>
    </w:p>
  </w:footnote>
  <w:footnote w:id="25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بعمل </w:t>
      </w:r>
      <w:r>
        <w:rPr>
          <w:rFonts w:hint="eastAsia"/>
          <w:rtl/>
        </w:rPr>
        <w:t>»</w:t>
      </w:r>
      <w:r>
        <w:rPr>
          <w:rFonts w:hint="cs"/>
          <w:rtl/>
        </w:rPr>
        <w:t>.</w:t>
      </w:r>
    </w:p>
  </w:footnote>
  <w:footnote w:id="25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فتثبت</w:t>
      </w:r>
      <w:r>
        <w:rPr>
          <w:rFonts w:hint="eastAsia"/>
          <w:rtl/>
        </w:rPr>
        <w:t>»</w:t>
      </w:r>
      <w:r>
        <w:rPr>
          <w:rFonts w:hint="cs"/>
          <w:rtl/>
        </w:rPr>
        <w:t xml:space="preserve">، وفي (ب) : </w:t>
      </w:r>
      <w:r>
        <w:rPr>
          <w:rFonts w:hint="eastAsia"/>
          <w:rtl/>
        </w:rPr>
        <w:t>«</w:t>
      </w:r>
      <w:r>
        <w:rPr>
          <w:rFonts w:hint="cs"/>
          <w:rtl/>
        </w:rPr>
        <w:t>فيثبت</w:t>
      </w:r>
      <w:r>
        <w:rPr>
          <w:rFonts w:hint="eastAsia"/>
          <w:rtl/>
        </w:rPr>
        <w:t>»</w:t>
      </w:r>
      <w:r>
        <w:rPr>
          <w:rFonts w:hint="cs"/>
          <w:rtl/>
        </w:rPr>
        <w:t xml:space="preserve">، وفي (جـ) : </w:t>
      </w:r>
      <w:r>
        <w:rPr>
          <w:rFonts w:hint="eastAsia"/>
          <w:rtl/>
        </w:rPr>
        <w:t>«</w:t>
      </w:r>
      <w:r>
        <w:rPr>
          <w:rFonts w:hint="cs"/>
          <w:rtl/>
        </w:rPr>
        <w:t>فثبت</w:t>
      </w:r>
      <w:r>
        <w:rPr>
          <w:rFonts w:hint="eastAsia"/>
          <w:rtl/>
        </w:rPr>
        <w:t>»</w:t>
      </w:r>
      <w:r>
        <w:rPr>
          <w:rFonts w:hint="cs"/>
          <w:rtl/>
        </w:rPr>
        <w:t>. والأفصح ما في (ب) و(جـ)؛ لهذا تم إثبات أحدهما.</w:t>
      </w:r>
    </w:p>
  </w:footnote>
  <w:footnote w:id="25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تغيّر</w:t>
      </w:r>
      <w:r>
        <w:rPr>
          <w:rFonts w:hint="eastAsia"/>
          <w:rtl/>
        </w:rPr>
        <w:t>»</w:t>
      </w:r>
      <w:r>
        <w:rPr>
          <w:rFonts w:hint="cs"/>
          <w:rtl/>
        </w:rPr>
        <w:t>.</w:t>
      </w:r>
    </w:p>
  </w:footnote>
  <w:footnote w:id="25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فإذا انتفى المقتضي لا يتغيَّر الحكم بانتفاء هذا المقتضي وهو العلة.</w:t>
      </w:r>
    </w:p>
  </w:footnote>
  <w:footnote w:id="25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عدم </w:t>
      </w:r>
      <w:r>
        <w:rPr>
          <w:rFonts w:hint="eastAsia"/>
          <w:rtl/>
        </w:rPr>
        <w:t>»</w:t>
      </w:r>
      <w:r>
        <w:rPr>
          <w:rFonts w:hint="cs"/>
          <w:rtl/>
        </w:rPr>
        <w:t xml:space="preserve"> : ساقطة من (ب) و(د).</w:t>
      </w:r>
    </w:p>
  </w:footnote>
  <w:footnote w:id="25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سيأتي الحديث عنها استقلالاً، وذلك ص741 (ل56/أ)، قاعدة 137.</w:t>
      </w:r>
    </w:p>
  </w:footnote>
  <w:footnote w:id="25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الرد</w:t>
      </w:r>
      <w:r>
        <w:rPr>
          <w:rFonts w:hint="eastAsia"/>
          <w:rtl/>
        </w:rPr>
        <w:t>»</w:t>
      </w:r>
      <w:r>
        <w:rPr>
          <w:rFonts w:hint="cs"/>
          <w:rtl/>
        </w:rPr>
        <w:t xml:space="preserve"> : ساقطة من (جـ).</w:t>
      </w:r>
    </w:p>
  </w:footnote>
  <w:footnote w:id="25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ليس له الرّد بسبب زوال المرض.</w:t>
      </w:r>
    </w:p>
  </w:footnote>
  <w:footnote w:id="25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29/ب من (د).</w:t>
      </w:r>
    </w:p>
  </w:footnote>
  <w:footnote w:id="25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47/أ من (أ).</w:t>
      </w:r>
    </w:p>
  </w:footnote>
  <w:footnote w:id="25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والمعنى : بناء على قضاء القاضي : لم يبق المقتضي (وهو العلة التي هي وجود العيب) ليعمل في الحكم (وهو جواز الرّد).</w:t>
      </w:r>
    </w:p>
  </w:footnote>
  <w:footnote w:id="2589">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سبق أن أورد المؤلِّفُ هذا المثال، ص426 (ل23/أ)، وقد تمَّ توثيقه هناك من الدُّرر شرح الغرر، 2/224 وغيره.</w:t>
      </w:r>
    </w:p>
  </w:footnote>
  <w:footnote w:id="25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ص741 (ل56/أ)، قاعدة 137.</w:t>
      </w:r>
    </w:p>
  </w:footnote>
  <w:footnote w:id="25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عدم جواز </w:t>
      </w:r>
      <w:r>
        <w:rPr>
          <w:rFonts w:hint="cs"/>
          <w:b/>
          <w:bCs/>
          <w:rtl/>
        </w:rPr>
        <w:t>الرجوع واهب</w:t>
      </w:r>
      <w:r>
        <w:rPr>
          <w:rFonts w:hint="eastAsia"/>
          <w:rtl/>
        </w:rPr>
        <w:t>»</w:t>
      </w:r>
      <w:r>
        <w:rPr>
          <w:rFonts w:hint="cs"/>
          <w:rtl/>
        </w:rPr>
        <w:t>.</w:t>
      </w:r>
    </w:p>
  </w:footnote>
  <w:footnote w:id="25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الآخر</w:t>
      </w:r>
      <w:r>
        <w:rPr>
          <w:rFonts w:hint="eastAsia"/>
          <w:rtl/>
        </w:rPr>
        <w:t>»</w:t>
      </w:r>
      <w:r>
        <w:rPr>
          <w:rFonts w:hint="cs"/>
          <w:rtl/>
        </w:rPr>
        <w:t>.</w:t>
      </w:r>
    </w:p>
  </w:footnote>
  <w:footnote w:id="25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 زيادة من (ب). ولا يستقيم المعنى بدونها.</w:t>
      </w:r>
    </w:p>
  </w:footnote>
  <w:footnote w:id="25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لم يقل أحد بعدم جواز رجوع الواهب في الأرض بعد اندراس بناء الموهوب له منها ...</w:t>
      </w:r>
    </w:p>
  </w:footnote>
  <w:footnote w:id="25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و(هـ) : </w:t>
      </w:r>
      <w:r>
        <w:rPr>
          <w:rFonts w:hint="eastAsia"/>
          <w:rtl/>
        </w:rPr>
        <w:t>«</w:t>
      </w:r>
      <w:r>
        <w:rPr>
          <w:rFonts w:hint="cs"/>
          <w:rtl/>
        </w:rPr>
        <w:t xml:space="preserve"> يتناف </w:t>
      </w:r>
      <w:r>
        <w:rPr>
          <w:rFonts w:hint="eastAsia"/>
          <w:rtl/>
        </w:rPr>
        <w:t>»</w:t>
      </w:r>
      <w:r>
        <w:rPr>
          <w:rFonts w:hint="cs"/>
          <w:rtl/>
        </w:rPr>
        <w:t xml:space="preserve">، وفي (جـ) و(د) : </w:t>
      </w:r>
      <w:r>
        <w:rPr>
          <w:rFonts w:hint="eastAsia"/>
          <w:rtl/>
        </w:rPr>
        <w:t>«</w:t>
      </w:r>
      <w:r>
        <w:rPr>
          <w:rFonts w:hint="cs"/>
          <w:rtl/>
        </w:rPr>
        <w:t>تناف</w:t>
      </w:r>
      <w:r>
        <w:rPr>
          <w:rFonts w:hint="eastAsia"/>
          <w:rtl/>
        </w:rPr>
        <w:t>»</w:t>
      </w:r>
      <w:r>
        <w:rPr>
          <w:rFonts w:hint="cs"/>
          <w:rtl/>
        </w:rPr>
        <w:t xml:space="preserve">. وفي (ب) : </w:t>
      </w:r>
      <w:r>
        <w:rPr>
          <w:rFonts w:hint="eastAsia"/>
          <w:rtl/>
        </w:rPr>
        <w:t>«</w:t>
      </w:r>
      <w:r>
        <w:rPr>
          <w:rFonts w:hint="cs"/>
          <w:rtl/>
        </w:rPr>
        <w:t>بمثبت</w:t>
      </w:r>
      <w:r>
        <w:rPr>
          <w:rFonts w:hint="eastAsia"/>
          <w:rtl/>
        </w:rPr>
        <w:t>»</w:t>
      </w:r>
      <w:r>
        <w:rPr>
          <w:rFonts w:hint="cs"/>
          <w:rtl/>
        </w:rPr>
        <w:t xml:space="preserve"> وفي (و) : مصححَّة إلى : </w:t>
      </w:r>
      <w:r>
        <w:rPr>
          <w:rFonts w:hint="eastAsia"/>
          <w:rtl/>
        </w:rPr>
        <w:t>«</w:t>
      </w:r>
      <w:r>
        <w:rPr>
          <w:rFonts w:hint="cs"/>
          <w:rtl/>
        </w:rPr>
        <w:t>بمناف</w:t>
      </w:r>
      <w:r>
        <w:rPr>
          <w:rFonts w:hint="eastAsia"/>
          <w:rtl/>
        </w:rPr>
        <w:t>»</w:t>
      </w:r>
      <w:r>
        <w:rPr>
          <w:rFonts w:hint="cs"/>
          <w:rtl/>
        </w:rPr>
        <w:t>. وهذا الصحيح.</w:t>
      </w:r>
    </w:p>
  </w:footnote>
  <w:footnote w:id="25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قوله : عدم الواهب </w:t>
      </w:r>
      <w:r>
        <w:rPr>
          <w:rFonts w:hint="eastAsia"/>
          <w:rtl/>
        </w:rPr>
        <w:t>»</w:t>
      </w:r>
      <w:r>
        <w:rPr>
          <w:rFonts w:hint="cs"/>
          <w:rtl/>
        </w:rPr>
        <w:t>.</w:t>
      </w:r>
    </w:p>
  </w:footnote>
  <w:footnote w:id="25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يثبت</w:t>
      </w:r>
      <w:r>
        <w:rPr>
          <w:rFonts w:hint="eastAsia"/>
          <w:rtl/>
        </w:rPr>
        <w:t>»</w:t>
      </w:r>
      <w:r>
        <w:rPr>
          <w:rFonts w:hint="cs"/>
          <w:rtl/>
        </w:rPr>
        <w:t xml:space="preserve">. والصحيح ما تمّ إثباته من (ب)؛ وفاقاً لنص الحديث. علمًا بأنه جاء في (ب) و(د) : زيادة </w:t>
      </w:r>
      <w:r>
        <w:rPr>
          <w:rFonts w:hint="eastAsia"/>
          <w:rtl/>
        </w:rPr>
        <w:t>«</w:t>
      </w:r>
      <w:r>
        <w:rPr>
          <w:rFonts w:hint="cs"/>
          <w:rtl/>
        </w:rPr>
        <w:t>شيئًا</w:t>
      </w:r>
      <w:r>
        <w:rPr>
          <w:rFonts w:hint="eastAsia"/>
          <w:rtl/>
        </w:rPr>
        <w:t>»</w:t>
      </w:r>
      <w:r>
        <w:rPr>
          <w:rFonts w:hint="cs"/>
          <w:rtl/>
        </w:rPr>
        <w:t>.</w:t>
      </w:r>
    </w:p>
  </w:footnote>
  <w:footnote w:id="25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هنا </w:t>
      </w:r>
      <w:r>
        <w:rPr>
          <w:rFonts w:hint="eastAsia"/>
          <w:rtl/>
        </w:rPr>
        <w:t>»</w:t>
      </w:r>
      <w:r>
        <w:rPr>
          <w:rFonts w:hint="cs"/>
          <w:rtl/>
        </w:rPr>
        <w:t>.</w:t>
      </w:r>
    </w:p>
  </w:footnote>
  <w:footnote w:id="25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أخرجه البيهقي بلفظه، كتاب الهبات، باب المكافأة في الهبة، 6/181؛ وابن أبي شيبة بنحوه، كتاب البيوع والأقضية، باب الرجل يهب الهبة فيريد أن يرجع فيها، 6/474؛ وابن ماجه بنحوه، كتاب الهبات، باب من وهب هبة رجاء ثوابها، 2/798، ح2387؛ والدارقطني بلفظه، كتاب البيوع، 3/44؛ وابن حزم في المحلى بنحوه، 9/130.</w:t>
      </w:r>
    </w:p>
    <w:p w:rsidR="00035BE3" w:rsidRDefault="00035BE3" w:rsidP="00C10469">
      <w:pPr>
        <w:pStyle w:val="a6"/>
        <w:ind w:left="422" w:firstLine="0"/>
        <w:rPr>
          <w:rtl/>
        </w:rPr>
      </w:pPr>
      <w:r>
        <w:rPr>
          <w:rFonts w:hint="cs"/>
          <w:rtl/>
        </w:rPr>
        <w:t>جميعهم من حديث أبي هريرة مرفوعًا، وفي سنده : إبراهيم بن إسماعيل بن جارية، وقد ضعّفه العلماء، كما أن عمرو بن دينار رواه عن أبي هريرة فيكون منقطعًا. وله شواهد من حديث سمرة وابن عباس وابن عمر، كما ورد بسند صحيح عن عمر موقوفًا عليه، وأيضًا ورد موقوفًا عن علي وابن عمر وأبي الدرداء وغيرهم.</w:t>
      </w:r>
    </w:p>
    <w:p w:rsidR="00035BE3" w:rsidRDefault="00035BE3" w:rsidP="00C10469">
      <w:pPr>
        <w:pStyle w:val="a6"/>
        <w:ind w:left="422" w:firstLine="0"/>
        <w:rPr>
          <w:b/>
          <w:bCs/>
          <w:rtl/>
        </w:rPr>
      </w:pPr>
      <w:r>
        <w:rPr>
          <w:rFonts w:hint="cs"/>
          <w:b/>
          <w:bCs/>
          <w:rtl/>
        </w:rPr>
        <w:t>وممّا قاله العلماء في ذلك :</w:t>
      </w:r>
    </w:p>
    <w:p w:rsidR="00035BE3" w:rsidRPr="00C461F3" w:rsidRDefault="00035BE3" w:rsidP="00C10469">
      <w:pPr>
        <w:pStyle w:val="a6"/>
        <w:ind w:left="422" w:firstLine="0"/>
        <w:rPr>
          <w:rtl/>
        </w:rPr>
      </w:pPr>
      <w:r>
        <w:rPr>
          <w:rtl/>
        </w:rPr>
        <w:t>•</w:t>
      </w:r>
      <w:r>
        <w:rPr>
          <w:rFonts w:hint="cs"/>
          <w:rtl/>
        </w:rPr>
        <w:t xml:space="preserve"> </w:t>
      </w:r>
      <w:r w:rsidRPr="00C461F3">
        <w:rPr>
          <w:rFonts w:hint="cs"/>
          <w:rtl/>
        </w:rPr>
        <w:t xml:space="preserve">ما جاء في السنن الكبرى للبيهقي - بعد ذكر الحديث-، 6/181: </w:t>
      </w:r>
      <w:r w:rsidRPr="00C461F3">
        <w:rPr>
          <w:rFonts w:hint="eastAsia"/>
          <w:rtl/>
        </w:rPr>
        <w:t>«</w:t>
      </w:r>
      <w:r w:rsidRPr="00C461F3">
        <w:rPr>
          <w:rFonts w:hint="cs"/>
          <w:rtl/>
        </w:rPr>
        <w:t xml:space="preserve">وهذا المتن بهذا الإسناد أليق، وإبراهيم بن إسماعيل ضعيف عند أهل العلم بالحديث، وعمرو بن دينار عن أبي هريرة منقطع، والمحفوظ: عن عمرو بن دينار عن سالم عن أبيه عن عمر. قال: </w:t>
      </w:r>
      <w:r w:rsidRPr="00C461F3">
        <w:rPr>
          <w:rFonts w:hint="eastAsia"/>
          <w:rtl/>
        </w:rPr>
        <w:t>«</w:t>
      </w:r>
      <w:r w:rsidRPr="00C461F3">
        <w:rPr>
          <w:rFonts w:hint="cs"/>
          <w:rtl/>
        </w:rPr>
        <w:t>من وهب هبة فلم يثب فهو أحق بهبته إلا لذي رحم</w:t>
      </w:r>
      <w:r w:rsidRPr="00C461F3">
        <w:rPr>
          <w:rFonts w:hint="eastAsia"/>
          <w:rtl/>
        </w:rPr>
        <w:t>»</w:t>
      </w:r>
      <w:r w:rsidRPr="00C461F3">
        <w:rPr>
          <w:rFonts w:hint="cs"/>
          <w:rtl/>
        </w:rPr>
        <w:t xml:space="preserve"> أخبرناه أبو نصر بن قتادة ...</w:t>
      </w:r>
      <w:r w:rsidRPr="00C461F3">
        <w:rPr>
          <w:rFonts w:hint="eastAsia"/>
          <w:rtl/>
        </w:rPr>
        <w:t xml:space="preserve"> »</w:t>
      </w:r>
      <w:r w:rsidRPr="00C461F3">
        <w:rPr>
          <w:rFonts w:hint="cs"/>
          <w:rtl/>
        </w:rPr>
        <w:t xml:space="preserve">، ثم ساق سنده إلى عمر ثم قال: </w:t>
      </w:r>
      <w:r w:rsidRPr="00C461F3">
        <w:rPr>
          <w:rFonts w:hint="eastAsia"/>
          <w:rtl/>
        </w:rPr>
        <w:t>«</w:t>
      </w:r>
      <w:r w:rsidRPr="00C461F3">
        <w:rPr>
          <w:rFonts w:hint="cs"/>
          <w:rtl/>
        </w:rPr>
        <w:t>قال البخاري: هذا أصح</w:t>
      </w:r>
      <w:r w:rsidRPr="00C461F3">
        <w:rPr>
          <w:rFonts w:hint="eastAsia"/>
          <w:rtl/>
        </w:rPr>
        <w:t>»</w:t>
      </w:r>
      <w:r w:rsidRPr="00C461F3">
        <w:rPr>
          <w:rFonts w:hint="cs"/>
          <w:rtl/>
        </w:rPr>
        <w:t>.</w:t>
      </w:r>
    </w:p>
    <w:p w:rsidR="00035BE3" w:rsidRDefault="00035BE3" w:rsidP="00C10469">
      <w:pPr>
        <w:pStyle w:val="a6"/>
        <w:ind w:left="422" w:firstLine="0"/>
        <w:rPr>
          <w:rtl/>
        </w:rPr>
      </w:pPr>
      <w:r>
        <w:rPr>
          <w:rtl/>
        </w:rPr>
        <w:t>•</w:t>
      </w:r>
      <w:r>
        <w:rPr>
          <w:rFonts w:hint="cs"/>
          <w:rtl/>
        </w:rPr>
        <w:t xml:space="preserve"> وما جاء في تحفة الأحوذي، 4/437 : </w:t>
      </w:r>
      <w:r>
        <w:rPr>
          <w:rFonts w:hint="eastAsia"/>
          <w:rtl/>
        </w:rPr>
        <w:t>«</w:t>
      </w:r>
      <w:r>
        <w:rPr>
          <w:rFonts w:hint="cs"/>
          <w:rtl/>
        </w:rPr>
        <w:t>قال ابن الجوزي : أحاديث ابن عمر وأبي هريرة وسمرة ضعيفة، وليس منها ما يصح</w:t>
      </w:r>
      <w:r>
        <w:rPr>
          <w:rFonts w:hint="eastAsia"/>
          <w:rtl/>
        </w:rPr>
        <w:t>»</w:t>
      </w:r>
      <w:r>
        <w:rPr>
          <w:rFonts w:hint="cs"/>
          <w:rtl/>
        </w:rPr>
        <w:t>.</w:t>
      </w:r>
    </w:p>
    <w:p w:rsidR="00035BE3" w:rsidRPr="00C461F3" w:rsidRDefault="00035BE3" w:rsidP="00C10469">
      <w:pPr>
        <w:pStyle w:val="a6"/>
        <w:ind w:left="420" w:firstLine="0"/>
        <w:jc w:val="mediumKashida"/>
        <w:rPr>
          <w:rtl/>
        </w:rPr>
      </w:pPr>
      <w:r>
        <w:rPr>
          <w:rtl/>
        </w:rPr>
        <w:t>•</w:t>
      </w:r>
      <w:r>
        <w:rPr>
          <w:rFonts w:hint="cs"/>
          <w:rtl/>
        </w:rPr>
        <w:t xml:space="preserve"> </w:t>
      </w:r>
      <w:r w:rsidRPr="00C461F3">
        <w:rPr>
          <w:rFonts w:hint="cs"/>
          <w:rtl/>
        </w:rPr>
        <w:t xml:space="preserve">وما جاء في الدراية، 2/184 : </w:t>
      </w:r>
      <w:r w:rsidRPr="00C461F3">
        <w:rPr>
          <w:rFonts w:hint="eastAsia"/>
          <w:rtl/>
        </w:rPr>
        <w:t>«</w:t>
      </w:r>
      <w:r>
        <w:rPr>
          <w:rFonts w:hint="cs"/>
          <w:rtl/>
        </w:rPr>
        <w:t>حديث</w:t>
      </w:r>
      <w:r w:rsidRPr="00C461F3">
        <w:rPr>
          <w:rFonts w:hint="cs"/>
          <w:rtl/>
        </w:rPr>
        <w:t>:</w:t>
      </w:r>
      <w:r w:rsidRPr="00C461F3">
        <w:rPr>
          <w:rFonts w:hint="eastAsia"/>
          <w:rtl/>
        </w:rPr>
        <w:t xml:space="preserve"> «</w:t>
      </w:r>
      <w:r w:rsidRPr="00C461F3">
        <w:rPr>
          <w:rFonts w:hint="cs"/>
          <w:rtl/>
        </w:rPr>
        <w:t>الواهب أحق بهبته ما لم يثب منها</w:t>
      </w:r>
      <w:r w:rsidRPr="00C461F3">
        <w:rPr>
          <w:rFonts w:hint="eastAsia"/>
          <w:rtl/>
        </w:rPr>
        <w:t>»</w:t>
      </w:r>
      <w:r w:rsidRPr="00C461F3">
        <w:rPr>
          <w:rFonts w:hint="cs"/>
          <w:rtl/>
        </w:rPr>
        <w:t>: رواه ابن ماجه والدارقطني وابن أبي شيبة من حديث أبي هريرة وفي إسناده ضعف ...</w:t>
      </w:r>
      <w:r w:rsidRPr="00C461F3">
        <w:rPr>
          <w:rFonts w:hint="eastAsia"/>
          <w:rtl/>
        </w:rPr>
        <w:t>»</w:t>
      </w:r>
      <w:r>
        <w:rPr>
          <w:rFonts w:hint="cs"/>
          <w:rtl/>
        </w:rPr>
        <w:t xml:space="preserve">.       </w:t>
      </w:r>
    </w:p>
    <w:p w:rsidR="00035BE3" w:rsidRDefault="00035BE3" w:rsidP="00C10469">
      <w:pPr>
        <w:pStyle w:val="a6"/>
        <w:ind w:left="422" w:hanging="2"/>
        <w:rPr>
          <w:spacing w:val="6"/>
          <w:rtl/>
        </w:rPr>
      </w:pPr>
      <w:r w:rsidRPr="00181799">
        <w:rPr>
          <w:rFonts w:hint="cs"/>
          <w:spacing w:val="6"/>
          <w:rtl/>
        </w:rPr>
        <w:t xml:space="preserve">وانظر: نصب الراية، 4/125؛ تلخيص الحبير، 3/85؛ فيض القدير، 6/371؛ إرواء الغليل، </w:t>
      </w:r>
      <w:r>
        <w:rPr>
          <w:rFonts w:hint="cs"/>
          <w:spacing w:val="6"/>
          <w:rtl/>
        </w:rPr>
        <w:t>6/59، ح1614.</w:t>
      </w:r>
    </w:p>
  </w:footnote>
  <w:footnote w:id="26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الحلم </w:t>
      </w:r>
      <w:r>
        <w:rPr>
          <w:rFonts w:hint="eastAsia"/>
          <w:rtl/>
        </w:rPr>
        <w:t>»</w:t>
      </w:r>
      <w:r>
        <w:rPr>
          <w:rFonts w:hint="cs"/>
          <w:rtl/>
        </w:rPr>
        <w:t>.</w:t>
      </w:r>
    </w:p>
  </w:footnote>
  <w:footnote w:id="26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36/ب من (جـ).</w:t>
      </w:r>
    </w:p>
  </w:footnote>
  <w:footnote w:id="26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فروعها</w:t>
      </w:r>
      <w:r>
        <w:rPr>
          <w:rFonts w:hint="eastAsia"/>
          <w:rtl/>
        </w:rPr>
        <w:t>»</w:t>
      </w:r>
      <w:r>
        <w:rPr>
          <w:rFonts w:hint="cs"/>
          <w:rtl/>
        </w:rPr>
        <w:t>. والصحيح ما تمَّ إثباته من (ب).</w:t>
      </w:r>
    </w:p>
  </w:footnote>
  <w:footnote w:id="26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يراعى </w:t>
      </w:r>
      <w:r>
        <w:rPr>
          <w:rFonts w:hint="eastAsia"/>
          <w:rtl/>
        </w:rPr>
        <w:t>»</w:t>
      </w:r>
      <w:r>
        <w:rPr>
          <w:rFonts w:hint="cs"/>
          <w:rtl/>
        </w:rPr>
        <w:t>. والصحيح ما تمَّ إثباته من (ب) و(د).</w:t>
      </w:r>
    </w:p>
  </w:footnote>
  <w:footnote w:id="26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معنى القاعدة </w:t>
      </w:r>
      <w:r>
        <w:rPr>
          <w:rFonts w:hint="cs"/>
          <w:rtl/>
        </w:rPr>
        <w:t xml:space="preserve">: </w:t>
      </w:r>
    </w:p>
    <w:p w:rsidR="00035BE3" w:rsidRDefault="00035BE3" w:rsidP="00C10469">
      <w:pPr>
        <w:pStyle w:val="a6"/>
        <w:spacing w:line="228" w:lineRule="auto"/>
        <w:ind w:left="420" w:firstLine="0"/>
        <w:rPr>
          <w:spacing w:val="-4"/>
          <w:rtl/>
        </w:rPr>
      </w:pPr>
      <w:r>
        <w:rPr>
          <w:rFonts w:hint="cs"/>
          <w:spacing w:val="-4"/>
          <w:rtl/>
        </w:rPr>
        <w:t xml:space="preserve">ورد في أول هذه القاعدة لفظ : (الحكمة). </w:t>
      </w:r>
      <w:r>
        <w:rPr>
          <w:rFonts w:hint="cs"/>
          <w:b/>
          <w:bCs/>
          <w:spacing w:val="-4"/>
          <w:rtl/>
        </w:rPr>
        <w:t>والحكمة لغة</w:t>
      </w:r>
      <w:r>
        <w:rPr>
          <w:rFonts w:hint="cs"/>
          <w:spacing w:val="-4"/>
          <w:rtl/>
        </w:rPr>
        <w:t xml:space="preserve"> : مشتقَّة من مادة </w:t>
      </w:r>
      <w:r>
        <w:rPr>
          <w:rFonts w:hint="eastAsia"/>
          <w:spacing w:val="-4"/>
          <w:rtl/>
        </w:rPr>
        <w:t>«</w:t>
      </w:r>
      <w:r>
        <w:rPr>
          <w:rFonts w:hint="cs"/>
          <w:spacing w:val="-4"/>
          <w:rtl/>
        </w:rPr>
        <w:t>حكم</w:t>
      </w:r>
      <w:r>
        <w:rPr>
          <w:rFonts w:hint="eastAsia"/>
          <w:spacing w:val="-4"/>
          <w:rtl/>
        </w:rPr>
        <w:t>»</w:t>
      </w:r>
      <w:r>
        <w:rPr>
          <w:rFonts w:hint="cs"/>
          <w:spacing w:val="-4"/>
          <w:rtl/>
        </w:rPr>
        <w:t>، والحاء والكاف والميم - كما يقول ابن فارس: -</w:t>
      </w:r>
      <w:r>
        <w:rPr>
          <w:rFonts w:hint="eastAsia"/>
          <w:spacing w:val="-4"/>
          <w:rtl/>
        </w:rPr>
        <w:t>«</w:t>
      </w:r>
      <w:r>
        <w:rPr>
          <w:rFonts w:hint="cs"/>
          <w:spacing w:val="-4"/>
          <w:rtl/>
        </w:rPr>
        <w:t>أصل واحد وهو المنع ... والحكمة هذا قياسها؛ لأنها تمنع من الجهل</w:t>
      </w:r>
      <w:r>
        <w:rPr>
          <w:rFonts w:hint="eastAsia"/>
          <w:spacing w:val="-4"/>
          <w:rtl/>
        </w:rPr>
        <w:t>»</w:t>
      </w:r>
      <w:r>
        <w:rPr>
          <w:rFonts w:hint="cs"/>
          <w:spacing w:val="-4"/>
          <w:rtl/>
        </w:rPr>
        <w:t>.</w:t>
      </w:r>
    </w:p>
    <w:p w:rsidR="00035BE3" w:rsidRDefault="00035BE3" w:rsidP="00C10469">
      <w:pPr>
        <w:pStyle w:val="a6"/>
        <w:spacing w:line="228" w:lineRule="auto"/>
        <w:ind w:left="420" w:firstLine="0"/>
        <w:rPr>
          <w:rtl/>
        </w:rPr>
      </w:pPr>
      <w:r>
        <w:rPr>
          <w:rFonts w:hint="cs"/>
          <w:b/>
          <w:bCs/>
          <w:rtl/>
        </w:rPr>
        <w:t>والمـراد بها هنا</w:t>
      </w:r>
      <w:r>
        <w:rPr>
          <w:rFonts w:hint="cs"/>
          <w:rtl/>
        </w:rPr>
        <w:t xml:space="preserve"> : حكمة الحكم، وهي المعنى المناسب الذي ينشأ عنه الحكم. أو ما عبر عنه القرافي بقوله : </w:t>
      </w:r>
      <w:r>
        <w:rPr>
          <w:rFonts w:hint="eastAsia"/>
          <w:rtl/>
        </w:rPr>
        <w:t>«</w:t>
      </w:r>
      <w:r>
        <w:rPr>
          <w:rFonts w:hint="cs"/>
          <w:rtl/>
        </w:rPr>
        <w:t>هي التي لأجلها صار الوصف علة</w:t>
      </w:r>
      <w:r>
        <w:rPr>
          <w:rFonts w:hint="eastAsia"/>
          <w:rtl/>
        </w:rPr>
        <w:t>»</w:t>
      </w:r>
      <w:r>
        <w:rPr>
          <w:rFonts w:hint="cs"/>
          <w:rtl/>
        </w:rPr>
        <w:t>.</w:t>
      </w:r>
    </w:p>
    <w:p w:rsidR="00035BE3" w:rsidRDefault="00035BE3" w:rsidP="00C10469">
      <w:pPr>
        <w:pStyle w:val="a6"/>
        <w:spacing w:line="228" w:lineRule="auto"/>
        <w:ind w:left="420" w:firstLine="0"/>
        <w:rPr>
          <w:rtl/>
        </w:rPr>
      </w:pPr>
      <w:r>
        <w:rPr>
          <w:rFonts w:hint="cs"/>
          <w:b/>
          <w:bCs/>
          <w:rtl/>
        </w:rPr>
        <w:t>إذا عُلم هذا فالمعنى الإجمالي للقاعدة</w:t>
      </w:r>
      <w:r>
        <w:rPr>
          <w:rFonts w:hint="cs"/>
          <w:rtl/>
        </w:rPr>
        <w:t xml:space="preserve"> : أن المعنى المناسب الذي ينشأ عنه الحكم يراعى في جنس المكلفين لا في كل فرد من أفـرادهم.</w:t>
      </w:r>
    </w:p>
    <w:p w:rsidR="00035BE3" w:rsidRDefault="00035BE3" w:rsidP="00C10469">
      <w:pPr>
        <w:pStyle w:val="a6"/>
        <w:spacing w:line="228" w:lineRule="auto"/>
        <w:ind w:left="420" w:firstLine="0"/>
        <w:rPr>
          <w:rtl/>
        </w:rPr>
      </w:pPr>
      <w:r>
        <w:rPr>
          <w:rFonts w:hint="cs"/>
          <w:b/>
          <w:bCs/>
          <w:rtl/>
        </w:rPr>
        <w:t>ولتوثيق ما سبق</w:t>
      </w:r>
      <w:r>
        <w:rPr>
          <w:rFonts w:hint="cs"/>
          <w:rtl/>
        </w:rPr>
        <w:t xml:space="preserve">: فإن المعنى اللغوي للحكمة منقول من المقاييس في اللغة، مادة </w:t>
      </w:r>
      <w:r>
        <w:rPr>
          <w:rFonts w:hint="eastAsia"/>
          <w:rtl/>
        </w:rPr>
        <w:t>«</w:t>
      </w:r>
      <w:r>
        <w:rPr>
          <w:rFonts w:hint="cs"/>
          <w:rtl/>
        </w:rPr>
        <w:t>حكم</w:t>
      </w:r>
      <w:r>
        <w:rPr>
          <w:rFonts w:hint="eastAsia"/>
          <w:rtl/>
        </w:rPr>
        <w:t>»</w:t>
      </w:r>
      <w:r>
        <w:rPr>
          <w:rFonts w:hint="cs"/>
          <w:rtl/>
        </w:rPr>
        <w:t xml:space="preserve">، ص277؛ وانظر : القاموس المحيط، مادة </w:t>
      </w:r>
      <w:r>
        <w:rPr>
          <w:rFonts w:hint="eastAsia"/>
          <w:rtl/>
        </w:rPr>
        <w:t>«</w:t>
      </w:r>
      <w:r>
        <w:rPr>
          <w:rFonts w:hint="cs"/>
          <w:rtl/>
        </w:rPr>
        <w:t>حكم</w:t>
      </w:r>
      <w:r>
        <w:rPr>
          <w:rFonts w:hint="eastAsia"/>
          <w:rtl/>
        </w:rPr>
        <w:t>»</w:t>
      </w:r>
      <w:r>
        <w:rPr>
          <w:rFonts w:hint="cs"/>
          <w:rtl/>
        </w:rPr>
        <w:t>، ص1415.</w:t>
      </w:r>
    </w:p>
    <w:p w:rsidR="00035BE3" w:rsidRDefault="00035BE3" w:rsidP="00C10469">
      <w:pPr>
        <w:pStyle w:val="a6"/>
        <w:spacing w:line="228" w:lineRule="auto"/>
        <w:ind w:left="420" w:firstLine="0"/>
        <w:rPr>
          <w:rtl/>
        </w:rPr>
      </w:pPr>
      <w:r>
        <w:rPr>
          <w:rFonts w:hint="cs"/>
          <w:rtl/>
        </w:rPr>
        <w:t>وانظر في بيان المراد بها : شرح تنقيح الفصول، ص406؛ مراقي السعود إلى مراقي السعود للمرابط، ص327؛ روضة الناضر (هامش المحقق)، 1/246؛ المهذب في علم أصول الفقه لشيخنا أ.د. عبد الكريم النملة، 5/2106؛ تذكير الناس فيما يحتاجون إليه من القياس للدكتور محمد الحفناوي، ص189؛ تعليل الأحكام للأستاذ محمد شلبي، ص136.</w:t>
      </w:r>
    </w:p>
    <w:p w:rsidR="00035BE3" w:rsidRDefault="00035BE3" w:rsidP="00C10469">
      <w:pPr>
        <w:pStyle w:val="a6"/>
        <w:spacing w:line="228" w:lineRule="auto"/>
        <w:ind w:left="420" w:firstLine="0"/>
        <w:rPr>
          <w:rtl/>
        </w:rPr>
      </w:pPr>
      <w:r>
        <w:rPr>
          <w:rFonts w:hint="cs"/>
          <w:rtl/>
        </w:rPr>
        <w:t xml:space="preserve">هذا ما يتعلق بمعناها. </w:t>
      </w:r>
    </w:p>
    <w:p w:rsidR="00035BE3" w:rsidRDefault="00035BE3" w:rsidP="00C10469">
      <w:pPr>
        <w:pStyle w:val="a6"/>
        <w:spacing w:line="228" w:lineRule="auto"/>
        <w:ind w:left="420" w:firstLine="0"/>
        <w:rPr>
          <w:rtl/>
        </w:rPr>
      </w:pPr>
      <w:r>
        <w:rPr>
          <w:rFonts w:hint="cs"/>
          <w:b/>
          <w:bCs/>
          <w:rtl/>
        </w:rPr>
        <w:t>أمّا توثيقها:</w:t>
      </w:r>
      <w:r>
        <w:rPr>
          <w:rFonts w:hint="cs"/>
          <w:rtl/>
        </w:rPr>
        <w:t xml:space="preserve"> </w:t>
      </w:r>
    </w:p>
    <w:p w:rsidR="00035BE3" w:rsidRPr="00E27B7B" w:rsidRDefault="00035BE3" w:rsidP="00C10469">
      <w:pPr>
        <w:pStyle w:val="a6"/>
        <w:spacing w:line="228" w:lineRule="auto"/>
        <w:ind w:left="420" w:firstLine="0"/>
        <w:rPr>
          <w:rtl/>
        </w:rPr>
      </w:pPr>
      <w:r w:rsidRPr="00E27B7B">
        <w:rPr>
          <w:rFonts w:hint="cs"/>
          <w:rtl/>
        </w:rPr>
        <w:t xml:space="preserve">فقد وردت بلفظ المؤلف في النسخة الخطية من مجامع الحقائق، ل35/ب، أمّا في المطبوعة -ص45-؛ ومع شرح العلائي -ل21/ب؛ ومع منافع الدقائق -ص319- فلفظها: </w:t>
      </w:r>
      <w:r w:rsidRPr="00E27B7B">
        <w:rPr>
          <w:rFonts w:hint="eastAsia"/>
          <w:rtl/>
        </w:rPr>
        <w:t>«</w:t>
      </w:r>
      <w:r w:rsidRPr="00E27B7B">
        <w:rPr>
          <w:rFonts w:hint="cs"/>
          <w:b/>
          <w:bCs/>
          <w:rtl/>
        </w:rPr>
        <w:t>الحكم يراعى</w:t>
      </w:r>
      <w:r w:rsidRPr="00E27B7B">
        <w:rPr>
          <w:rFonts w:hint="cs"/>
          <w:rtl/>
        </w:rPr>
        <w:t xml:space="preserve"> في الجنس لا في الأفراد</w:t>
      </w:r>
      <w:r w:rsidRPr="00E27B7B">
        <w:rPr>
          <w:rFonts w:hint="eastAsia"/>
          <w:rtl/>
        </w:rPr>
        <w:t>»</w:t>
      </w:r>
      <w:r w:rsidRPr="00E27B7B">
        <w:rPr>
          <w:rFonts w:hint="cs"/>
          <w:rtl/>
        </w:rPr>
        <w:t>!.</w:t>
      </w:r>
    </w:p>
    <w:p w:rsidR="00035BE3" w:rsidRDefault="00035BE3" w:rsidP="00C10469">
      <w:pPr>
        <w:pStyle w:val="a6"/>
        <w:spacing w:line="228" w:lineRule="auto"/>
        <w:ind w:left="420" w:firstLine="0"/>
        <w:rPr>
          <w:rtl/>
        </w:rPr>
      </w:pPr>
      <w:r>
        <w:rPr>
          <w:rFonts w:hint="cs"/>
          <w:rtl/>
        </w:rPr>
        <w:t>كما وردت قبل ذلك بنحو لفظها في : التقرير والتحبير، 2/210؛ الدرر شرح الغرر، 1/316؛ البحر الرائق، 1/18.</w:t>
      </w:r>
    </w:p>
  </w:footnote>
  <w:footnote w:id="2605">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إفساد </w:t>
      </w:r>
      <w:r>
        <w:rPr>
          <w:rFonts w:hint="eastAsia"/>
          <w:rtl/>
        </w:rPr>
        <w:t>»</w:t>
      </w:r>
      <w:r>
        <w:rPr>
          <w:rFonts w:hint="cs"/>
          <w:rtl/>
        </w:rPr>
        <w:t>.</w:t>
      </w:r>
    </w:p>
  </w:footnote>
  <w:footnote w:id="2606">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(ب) و(د)، وإثباتها فيه إيضاح للمعنى.</w:t>
      </w:r>
    </w:p>
  </w:footnote>
  <w:footnote w:id="26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للاحتمال</w:t>
      </w:r>
      <w:r>
        <w:rPr>
          <w:rFonts w:hint="eastAsia"/>
          <w:rtl/>
        </w:rPr>
        <w:t>»</w:t>
      </w:r>
      <w:r>
        <w:rPr>
          <w:rFonts w:hint="cs"/>
          <w:rtl/>
        </w:rPr>
        <w:t xml:space="preserve"> (بزيادة اللام)، وزيادتها تجعل الأسلوب ركيكاً.</w:t>
      </w:r>
    </w:p>
  </w:footnote>
  <w:footnote w:id="26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31/أ من (ب).</w:t>
      </w:r>
    </w:p>
  </w:footnote>
  <w:footnote w:id="26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من </w:t>
      </w:r>
      <w:r>
        <w:rPr>
          <w:rFonts w:hint="eastAsia"/>
          <w:rtl/>
        </w:rPr>
        <w:t>»</w:t>
      </w:r>
      <w:r>
        <w:rPr>
          <w:rFonts w:hint="cs"/>
          <w:rtl/>
        </w:rPr>
        <w:t>.</w:t>
      </w:r>
    </w:p>
  </w:footnote>
  <w:footnote w:id="26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47/ب من (أ).</w:t>
      </w:r>
    </w:p>
  </w:footnote>
  <w:footnote w:id="26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ثابت</w:t>
      </w:r>
      <w:r>
        <w:rPr>
          <w:rFonts w:hint="eastAsia"/>
          <w:rtl/>
        </w:rPr>
        <w:t>»</w:t>
      </w:r>
      <w:r>
        <w:rPr>
          <w:rFonts w:hint="cs"/>
          <w:rtl/>
        </w:rPr>
        <w:t>. والصحيح ما تمَّ إثباته من (ب) و(د).</w:t>
      </w:r>
    </w:p>
  </w:footnote>
  <w:footnote w:id="26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واحد </w:t>
      </w:r>
      <w:r>
        <w:rPr>
          <w:rFonts w:hint="eastAsia"/>
          <w:rtl/>
        </w:rPr>
        <w:t>»</w:t>
      </w:r>
      <w:r>
        <w:rPr>
          <w:rFonts w:hint="cs"/>
          <w:rtl/>
        </w:rPr>
        <w:t>.</w:t>
      </w:r>
    </w:p>
  </w:footnote>
  <w:footnote w:id="26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ما يتعلّق بالخمر في : الدرر شرح الغرر، 1/316.</w:t>
      </w:r>
    </w:p>
  </w:footnote>
  <w:footnote w:id="26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التشرك </w:t>
      </w:r>
      <w:r>
        <w:rPr>
          <w:rFonts w:hint="eastAsia"/>
          <w:rtl/>
        </w:rPr>
        <w:t>»</w:t>
      </w:r>
      <w:r>
        <w:rPr>
          <w:rFonts w:hint="cs"/>
          <w:rtl/>
        </w:rPr>
        <w:t>.</w:t>
      </w:r>
    </w:p>
  </w:footnote>
  <w:footnote w:id="26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ص581 (ل40/ب). وقد تمَّ توثيق ذلك مفصّلاً.</w:t>
      </w:r>
    </w:p>
  </w:footnote>
  <w:footnote w:id="26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 معنى القاعدة </w:t>
      </w:r>
      <w:r>
        <w:rPr>
          <w:rFonts w:hint="cs"/>
          <w:rtl/>
        </w:rPr>
        <w:t xml:space="preserve">:  </w:t>
      </w:r>
    </w:p>
    <w:p w:rsidR="00035BE3" w:rsidRDefault="00035BE3" w:rsidP="00C10469">
      <w:pPr>
        <w:pStyle w:val="a6"/>
        <w:ind w:left="422" w:firstLine="0"/>
        <w:rPr>
          <w:rtl/>
        </w:rPr>
      </w:pPr>
      <w:r>
        <w:rPr>
          <w:rFonts w:hint="cs"/>
          <w:rtl/>
        </w:rPr>
        <w:t xml:space="preserve">ورد في أول هذه القاعدة لفظ (الخفي)، </w:t>
      </w:r>
      <w:r>
        <w:rPr>
          <w:rFonts w:hint="cs"/>
          <w:b/>
          <w:bCs/>
          <w:rtl/>
        </w:rPr>
        <w:t>والخفي لغة</w:t>
      </w:r>
      <w:r>
        <w:rPr>
          <w:rFonts w:hint="cs"/>
          <w:rtl/>
        </w:rPr>
        <w:t xml:space="preserve"> مشتقٌّ من مادة </w:t>
      </w:r>
      <w:r>
        <w:rPr>
          <w:rFonts w:hint="eastAsia"/>
          <w:rtl/>
        </w:rPr>
        <w:t>«</w:t>
      </w:r>
      <w:r>
        <w:rPr>
          <w:rFonts w:hint="cs"/>
          <w:rtl/>
        </w:rPr>
        <w:t>خفي</w:t>
      </w:r>
      <w:r>
        <w:rPr>
          <w:rFonts w:hint="eastAsia"/>
          <w:rtl/>
        </w:rPr>
        <w:t>»</w:t>
      </w:r>
      <w:r>
        <w:rPr>
          <w:rFonts w:hint="cs"/>
          <w:rtl/>
        </w:rPr>
        <w:t xml:space="preserve">، والخاء والفاء والياء - كما يقول ابن فارس-: </w:t>
      </w:r>
      <w:r>
        <w:rPr>
          <w:rFonts w:hint="eastAsia"/>
          <w:rtl/>
        </w:rPr>
        <w:t>«</w:t>
      </w:r>
      <w:r>
        <w:rPr>
          <w:rFonts w:hint="cs"/>
          <w:rtl/>
        </w:rPr>
        <w:t xml:space="preserve">أصلان متباينان متضادّان : </w:t>
      </w:r>
      <w:r>
        <w:rPr>
          <w:rFonts w:hint="cs"/>
          <w:b/>
          <w:bCs/>
          <w:rtl/>
        </w:rPr>
        <w:t>فالأول</w:t>
      </w:r>
      <w:r>
        <w:rPr>
          <w:rFonts w:hint="cs"/>
          <w:rtl/>
        </w:rPr>
        <w:t xml:space="preserve"> : السَّتْر. و</w:t>
      </w:r>
      <w:r>
        <w:rPr>
          <w:rFonts w:hint="cs"/>
          <w:b/>
          <w:bCs/>
          <w:rtl/>
        </w:rPr>
        <w:t>الثاني</w:t>
      </w:r>
      <w:r>
        <w:rPr>
          <w:rFonts w:hint="cs"/>
          <w:rtl/>
        </w:rPr>
        <w:t xml:space="preserve"> : الإظهار</w:t>
      </w:r>
      <w:r>
        <w:rPr>
          <w:rFonts w:hint="eastAsia"/>
          <w:rtl/>
        </w:rPr>
        <w:t>»</w:t>
      </w:r>
      <w:r>
        <w:rPr>
          <w:rFonts w:hint="cs"/>
          <w:rtl/>
        </w:rPr>
        <w:t>.</w:t>
      </w:r>
    </w:p>
    <w:p w:rsidR="00035BE3" w:rsidRDefault="00035BE3" w:rsidP="00C10469">
      <w:pPr>
        <w:pStyle w:val="a6"/>
        <w:ind w:left="422" w:firstLine="0"/>
        <w:rPr>
          <w:rtl/>
        </w:rPr>
      </w:pPr>
      <w:r>
        <w:rPr>
          <w:rFonts w:hint="cs"/>
          <w:rtl/>
        </w:rPr>
        <w:t xml:space="preserve">ومن الأول ما جاء في (القاموس المحيط) : </w:t>
      </w:r>
      <w:r>
        <w:rPr>
          <w:rFonts w:hint="eastAsia"/>
          <w:rtl/>
        </w:rPr>
        <w:t>«</w:t>
      </w:r>
      <w:r>
        <w:rPr>
          <w:rFonts w:hint="cs"/>
          <w:rtl/>
        </w:rPr>
        <w:t>خَفِيَ، (كرضي)، خَفَاءً، فهو خافٍ وخَفِيٌّ : لم يظهر. وخفاه هو وأخفاه : سَتَرَهُ وكتمه</w:t>
      </w:r>
      <w:r>
        <w:rPr>
          <w:rFonts w:hint="eastAsia"/>
          <w:rtl/>
        </w:rPr>
        <w:t>»</w:t>
      </w:r>
      <w:r>
        <w:rPr>
          <w:rFonts w:hint="cs"/>
          <w:rtl/>
        </w:rPr>
        <w:t>.</w:t>
      </w:r>
    </w:p>
    <w:p w:rsidR="00035BE3" w:rsidRDefault="00035BE3" w:rsidP="00C10469">
      <w:pPr>
        <w:pStyle w:val="a6"/>
        <w:ind w:left="422" w:firstLine="0"/>
        <w:rPr>
          <w:spacing w:val="-8"/>
          <w:rtl/>
        </w:rPr>
      </w:pPr>
      <w:r>
        <w:rPr>
          <w:rFonts w:hint="cs"/>
          <w:b/>
          <w:bCs/>
          <w:spacing w:val="-8"/>
          <w:rtl/>
        </w:rPr>
        <w:t>أما في الاصطلاح</w:t>
      </w:r>
      <w:r>
        <w:rPr>
          <w:rFonts w:hint="cs"/>
          <w:spacing w:val="-8"/>
          <w:rtl/>
        </w:rPr>
        <w:t xml:space="preserve"> : فقد عرّفه الخبَّازي بأنه : </w:t>
      </w:r>
      <w:r>
        <w:rPr>
          <w:rFonts w:hint="eastAsia"/>
          <w:spacing w:val="-8"/>
          <w:rtl/>
        </w:rPr>
        <w:t>«</w:t>
      </w:r>
      <w:r>
        <w:rPr>
          <w:rFonts w:hint="cs"/>
          <w:spacing w:val="-8"/>
          <w:rtl/>
        </w:rPr>
        <w:t>ما خفيَ المراد منه بعارض في غير الصيغة، لا ينال إلا بالطلب</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 xml:space="preserve">كما عرفه د. محمد أديب بتعريف أشبه ما يكون بالشرح له فقال : </w:t>
      </w:r>
      <w:r>
        <w:rPr>
          <w:rFonts w:hint="eastAsia"/>
          <w:rtl/>
        </w:rPr>
        <w:t>«</w:t>
      </w:r>
      <w:r>
        <w:rPr>
          <w:rFonts w:hint="cs"/>
          <w:rtl/>
        </w:rPr>
        <w:t>بأنه اللفظ الظاهر في دلالته على معناه، ولكن عرض له مِنْ خارجِ صيغتِهِ مَا جَعَلَ في انطباقه على بعض أفراده نوع غموض وخفاء، لا يزول إلا بالطلب والاجتهاد، فيعتبر اللفظ خفيًّا بالنسبة إلى هذا البعض من الأفراد</w:t>
      </w:r>
      <w:r>
        <w:rPr>
          <w:rFonts w:hint="eastAsia"/>
          <w:rtl/>
        </w:rPr>
        <w:t>»</w:t>
      </w:r>
      <w:r>
        <w:rPr>
          <w:rFonts w:hint="cs"/>
          <w:rtl/>
        </w:rPr>
        <w:t>.</w:t>
      </w:r>
    </w:p>
    <w:p w:rsidR="00035BE3" w:rsidRDefault="00035BE3" w:rsidP="00C10469">
      <w:pPr>
        <w:pStyle w:val="a6"/>
        <w:ind w:left="422" w:firstLine="0"/>
        <w:rPr>
          <w:rtl/>
        </w:rPr>
      </w:pPr>
      <w:r>
        <w:rPr>
          <w:rFonts w:hint="cs"/>
          <w:b/>
          <w:bCs/>
          <w:rtl/>
        </w:rPr>
        <w:t>إذا علم هذا فالمعنى الإجمالي للقاعدة</w:t>
      </w:r>
      <w:r>
        <w:rPr>
          <w:rFonts w:hint="cs"/>
          <w:rtl/>
        </w:rPr>
        <w:t xml:space="preserve"> : </w:t>
      </w:r>
    </w:p>
    <w:p w:rsidR="00035BE3" w:rsidRDefault="00035BE3" w:rsidP="00C10469">
      <w:pPr>
        <w:pStyle w:val="a6"/>
        <w:ind w:left="422" w:firstLine="0"/>
        <w:rPr>
          <w:rtl/>
        </w:rPr>
      </w:pPr>
      <w:r>
        <w:rPr>
          <w:rFonts w:hint="cs"/>
          <w:rtl/>
        </w:rPr>
        <w:t>أنه إذا كان للفظ معنى ظاهر في دلالته على معناه، ومعنى خفي يحتمل أن يكون مرادًا أولا، فحكم هذا الخفي الاجتهاد والنظر في سبب اختفائه : فإن كان لمزيّة زائدة على المعنى الظاهر صح إلحاقه بالظاهر، وإن كان لنقصان عنه لم يصح الإلحاق.</w:t>
      </w:r>
    </w:p>
    <w:p w:rsidR="00035BE3" w:rsidRDefault="00035BE3" w:rsidP="00C10469">
      <w:pPr>
        <w:pStyle w:val="a6"/>
        <w:ind w:left="422" w:firstLine="0"/>
        <w:rPr>
          <w:rtl/>
        </w:rPr>
      </w:pPr>
      <w:r>
        <w:rPr>
          <w:rFonts w:hint="cs"/>
          <w:rtl/>
        </w:rPr>
        <w:t xml:space="preserve">وسوف </w:t>
      </w:r>
      <w:r>
        <w:rPr>
          <w:rFonts w:hint="cs"/>
          <w:b/>
          <w:bCs/>
          <w:rtl/>
        </w:rPr>
        <w:t>يمثَّل</w:t>
      </w:r>
      <w:r>
        <w:rPr>
          <w:rFonts w:hint="cs"/>
          <w:rtl/>
        </w:rPr>
        <w:t xml:space="preserve"> المؤلف لذلك بآية السرقة، فمعناها ظاهر في السارق، خفيُّ في الطرار والنباش، إلا أن سبب اختفائه في الطرار كون عمله زائدًا على السارق فيلحق به، وسبب اختفائه في النباش كون عمله ناقصًا عن السارق فلا يلحق به.</w:t>
      </w:r>
    </w:p>
    <w:p w:rsidR="00035BE3" w:rsidRDefault="00035BE3" w:rsidP="00C10469">
      <w:pPr>
        <w:pStyle w:val="a6"/>
        <w:ind w:left="422" w:firstLine="0"/>
        <w:rPr>
          <w:rtl/>
        </w:rPr>
      </w:pPr>
      <w:r>
        <w:rPr>
          <w:rFonts w:hint="cs"/>
          <w:b/>
          <w:bCs/>
          <w:rtl/>
        </w:rPr>
        <w:t>ولتوثيق ما سبق</w:t>
      </w:r>
      <w:r>
        <w:rPr>
          <w:rFonts w:hint="cs"/>
          <w:rtl/>
        </w:rPr>
        <w:t xml:space="preserve">: فإن المعنى اللغوي للخفيِّ منقول من المقاييس في اللغة، مادة </w:t>
      </w:r>
      <w:r>
        <w:rPr>
          <w:rFonts w:hint="eastAsia"/>
          <w:rtl/>
        </w:rPr>
        <w:t>«</w:t>
      </w:r>
      <w:r>
        <w:rPr>
          <w:rFonts w:hint="cs"/>
          <w:rtl/>
        </w:rPr>
        <w:t>خفي</w:t>
      </w:r>
      <w:r>
        <w:rPr>
          <w:rFonts w:hint="eastAsia"/>
          <w:rtl/>
        </w:rPr>
        <w:t>»</w:t>
      </w:r>
      <w:r>
        <w:rPr>
          <w:rFonts w:hint="cs"/>
          <w:rtl/>
        </w:rPr>
        <w:t xml:space="preserve">، ص324؛ القاموس المحيط، مادة </w:t>
      </w:r>
      <w:r>
        <w:rPr>
          <w:rFonts w:hint="eastAsia"/>
          <w:rtl/>
        </w:rPr>
        <w:t>«</w:t>
      </w:r>
      <w:r>
        <w:rPr>
          <w:rFonts w:hint="cs"/>
          <w:rtl/>
        </w:rPr>
        <w:t>خفا</w:t>
      </w:r>
      <w:r>
        <w:rPr>
          <w:rFonts w:hint="eastAsia"/>
          <w:rtl/>
        </w:rPr>
        <w:t>»</w:t>
      </w:r>
      <w:r>
        <w:rPr>
          <w:rFonts w:hint="cs"/>
          <w:rtl/>
        </w:rPr>
        <w:t>، ص1652.</w:t>
      </w:r>
    </w:p>
    <w:p w:rsidR="00035BE3" w:rsidRDefault="00035BE3" w:rsidP="00C10469">
      <w:pPr>
        <w:pStyle w:val="a6"/>
        <w:ind w:left="422" w:firstLine="0"/>
        <w:rPr>
          <w:rtl/>
        </w:rPr>
      </w:pPr>
      <w:r>
        <w:rPr>
          <w:rFonts w:hint="cs"/>
          <w:rtl/>
        </w:rPr>
        <w:t>ومعناه الاصطلاحي من المغني للخبازي، ص128؛ وتفـسير النصوص للدكتور محمد أديب صالح، 1/231؛ وانظر : أصول الشاشي، ص80؛ أصول البزدوي وشرحه : كشف الأسرار، 1/138؛ أصول السرخسي، 1/167؛ المنار وشروحه : كشف الأسرار وشرح نور الأنوار، 1/214؛ وجامع الأسرار، 2/329؛ التنقيح وشرحيه : التوضيح والتلويح، 1/126؛ التحرير وتيسيره، 1/156؛ مسلم الثبوت وشرحه : فواتح الرحموت، 2/20.</w:t>
      </w:r>
    </w:p>
    <w:p w:rsidR="00035BE3" w:rsidRDefault="00035BE3" w:rsidP="00C10469">
      <w:pPr>
        <w:pStyle w:val="a6"/>
        <w:ind w:left="422" w:firstLine="0"/>
        <w:rPr>
          <w:spacing w:val="-4"/>
          <w:rtl/>
        </w:rPr>
      </w:pPr>
      <w:r>
        <w:rPr>
          <w:rFonts w:hint="cs"/>
          <w:b/>
          <w:bCs/>
          <w:spacing w:val="-4"/>
          <w:rtl/>
        </w:rPr>
        <w:t>أما توثيق القاعدة</w:t>
      </w:r>
      <w:r>
        <w:rPr>
          <w:rFonts w:hint="cs"/>
          <w:spacing w:val="-4"/>
          <w:rtl/>
        </w:rPr>
        <w:t xml:space="preserve"> :                                                                                         </w:t>
      </w:r>
    </w:p>
    <w:p w:rsidR="00035BE3" w:rsidRPr="008143B3" w:rsidRDefault="00035BE3" w:rsidP="00C10469">
      <w:pPr>
        <w:pStyle w:val="a6"/>
        <w:ind w:left="420" w:firstLine="0"/>
        <w:rPr>
          <w:rtl/>
        </w:rPr>
      </w:pPr>
      <w:r w:rsidRPr="008143B3">
        <w:rPr>
          <w:rFonts w:hint="cs"/>
          <w:rtl/>
        </w:rPr>
        <w:t xml:space="preserve">فقد وردت بنحو لفظ المؤلف في كثير من كتب الحنفية الأصولية، منها : </w:t>
      </w:r>
    </w:p>
    <w:p w:rsidR="00035BE3" w:rsidRPr="008143B3" w:rsidRDefault="00035BE3" w:rsidP="00C10469">
      <w:pPr>
        <w:pStyle w:val="a6"/>
        <w:ind w:left="420" w:firstLine="0"/>
        <w:rPr>
          <w:rtl/>
        </w:rPr>
      </w:pPr>
      <w:r w:rsidRPr="008143B3">
        <w:rPr>
          <w:rFonts w:hint="cs"/>
          <w:rtl/>
        </w:rPr>
        <w:t xml:space="preserve">أصول الشاشي وحاشيته : عمدة الحواشي للكنكوهي، ص81، 83 -ولفظ الشاشي : </w:t>
      </w:r>
      <w:r w:rsidRPr="008143B3">
        <w:rPr>
          <w:rFonts w:hint="eastAsia"/>
          <w:rtl/>
        </w:rPr>
        <w:t>«</w:t>
      </w:r>
      <w:r w:rsidRPr="008143B3">
        <w:rPr>
          <w:rFonts w:hint="cs"/>
          <w:rtl/>
        </w:rPr>
        <w:t>حكم الخفي وجوب الطلب حتى يزول عنه الخفاء</w:t>
      </w:r>
      <w:r w:rsidRPr="008143B3">
        <w:rPr>
          <w:rFonts w:hint="eastAsia"/>
          <w:rtl/>
        </w:rPr>
        <w:t>»</w:t>
      </w:r>
      <w:r w:rsidRPr="008143B3">
        <w:rPr>
          <w:rFonts w:hint="cs"/>
          <w:rtl/>
        </w:rPr>
        <w:t xml:space="preserve">-؛ المغني للخبازي، ص128؛ وشرحه للقاءاني، ق1، جـ2، ص545- ولفظ المغني : </w:t>
      </w:r>
      <w:r w:rsidRPr="008143B3">
        <w:rPr>
          <w:rFonts w:hint="eastAsia"/>
          <w:rtl/>
        </w:rPr>
        <w:t>«</w:t>
      </w:r>
      <w:r w:rsidRPr="008143B3">
        <w:rPr>
          <w:rFonts w:hint="cs"/>
          <w:rtl/>
        </w:rPr>
        <w:t>وحكمه : النظر فيه؛ ليعلم أن اختفاءه لزيادة أو نقصان، فيظهر المراد</w:t>
      </w:r>
      <w:r w:rsidRPr="008143B3">
        <w:rPr>
          <w:rFonts w:hint="eastAsia"/>
          <w:rtl/>
        </w:rPr>
        <w:t>»</w:t>
      </w:r>
      <w:r w:rsidRPr="008143B3">
        <w:rPr>
          <w:rFonts w:hint="cs"/>
          <w:rtl/>
        </w:rPr>
        <w:t xml:space="preserve">-؛ المنار وشروحه: كشف الأسرار وشرح نور الأنوار، 1/215؛ وجامع الأسرار، 2/330 - ولفظ المنار : </w:t>
      </w:r>
      <w:r w:rsidRPr="008143B3">
        <w:rPr>
          <w:rFonts w:hint="eastAsia"/>
          <w:rtl/>
        </w:rPr>
        <w:t>«</w:t>
      </w:r>
      <w:r w:rsidRPr="008143B3">
        <w:rPr>
          <w:rFonts w:hint="cs"/>
          <w:rtl/>
        </w:rPr>
        <w:t>وحكمه: النظر فيه؛ ليعلم أن اختفاءه لمزية أو نقصان، فيظهر في حق الطرار والنباش</w:t>
      </w:r>
      <w:r w:rsidRPr="008143B3">
        <w:rPr>
          <w:rFonts w:hint="eastAsia"/>
          <w:rtl/>
        </w:rPr>
        <w:t>»</w:t>
      </w:r>
      <w:r w:rsidRPr="008143B3">
        <w:rPr>
          <w:rFonts w:hint="cs"/>
          <w:rtl/>
        </w:rPr>
        <w:t xml:space="preserve">-؛ التنقيح وشرحاه: التوضيح والتلويح، 1/126 - ولفظ التنقيح : </w:t>
      </w:r>
      <w:r w:rsidRPr="008143B3">
        <w:rPr>
          <w:rFonts w:hint="eastAsia"/>
          <w:rtl/>
        </w:rPr>
        <w:t>«</w:t>
      </w:r>
      <w:r w:rsidRPr="008143B3">
        <w:rPr>
          <w:rFonts w:hint="cs"/>
          <w:rtl/>
        </w:rPr>
        <w:t>فالخفي ... ينظر : إن كان الخفاء لمزية يثبت فيه الحكم ولنقصان لا</w:t>
      </w:r>
      <w:r w:rsidRPr="008143B3">
        <w:rPr>
          <w:rFonts w:hint="eastAsia"/>
          <w:rtl/>
        </w:rPr>
        <w:t>»</w:t>
      </w:r>
      <w:r w:rsidRPr="008143B3">
        <w:rPr>
          <w:rFonts w:hint="cs"/>
          <w:rtl/>
        </w:rPr>
        <w:t>-.</w:t>
      </w:r>
    </w:p>
  </w:footnote>
  <w:footnote w:id="2617">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في (د) : رسم الحرف الأول بالتاء والياء معًا.</w:t>
      </w:r>
    </w:p>
  </w:footnote>
  <w:footnote w:id="2618">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من الآية رقم (38) من سورة (المائدة). وواو العطف ساقطة من (جـ). وهذا خطأ بيّن.</w:t>
      </w:r>
    </w:p>
  </w:footnote>
  <w:footnote w:id="2619">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هكذا في (د)؛ وفاقًا لمصدر هذه العبارة (وهو شرح المغني للقاءاني)، وفي باقي النسخ : بالهاء (ظاهره). والمثبت هو الصحيح.</w:t>
      </w:r>
    </w:p>
  </w:footnote>
  <w:footnote w:id="2620">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في (ب) و(د) : </w:t>
      </w:r>
      <w:r w:rsidRPr="008143B3">
        <w:rPr>
          <w:rFonts w:hint="eastAsia"/>
          <w:rtl/>
        </w:rPr>
        <w:t>«</w:t>
      </w:r>
      <w:r w:rsidRPr="008143B3">
        <w:rPr>
          <w:rFonts w:hint="cs"/>
          <w:rtl/>
        </w:rPr>
        <w:t>أخذ المال من الحرز</w:t>
      </w:r>
      <w:r w:rsidRPr="008143B3">
        <w:rPr>
          <w:rFonts w:hint="eastAsia"/>
          <w:rtl/>
        </w:rPr>
        <w:t>»</w:t>
      </w:r>
      <w:r w:rsidRPr="008143B3">
        <w:rPr>
          <w:rFonts w:hint="cs"/>
          <w:rtl/>
        </w:rPr>
        <w:t xml:space="preserve"> (بزيادة (أل) في (مال) وإسقاط (الغير)).</w:t>
      </w:r>
    </w:p>
  </w:footnote>
  <w:footnote w:id="2621">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w:t>
      </w:r>
      <w:r w:rsidRPr="008143B3">
        <w:rPr>
          <w:rFonts w:hint="cs"/>
          <w:b/>
          <w:bCs/>
          <w:rtl/>
        </w:rPr>
        <w:t xml:space="preserve">الطرَّار </w:t>
      </w:r>
      <w:r w:rsidRPr="008143B3">
        <w:rPr>
          <w:rFonts w:hint="cs"/>
          <w:rtl/>
        </w:rPr>
        <w:t xml:space="preserve">: </w:t>
      </w:r>
      <w:r w:rsidRPr="008143B3">
        <w:rPr>
          <w:rFonts w:hint="eastAsia"/>
          <w:rtl/>
        </w:rPr>
        <w:t>«</w:t>
      </w:r>
      <w:r w:rsidRPr="008143B3">
        <w:rPr>
          <w:rFonts w:hint="cs"/>
          <w:rtl/>
        </w:rPr>
        <w:t>هو الذي يشقُّ كمَّ الرجل، ويَسُلُّ ما فيه. من الطَّرّ، وهو القطع والشَّق</w:t>
      </w:r>
      <w:r w:rsidRPr="008143B3">
        <w:rPr>
          <w:rFonts w:hint="eastAsia"/>
          <w:rtl/>
        </w:rPr>
        <w:t>»</w:t>
      </w:r>
      <w:r w:rsidRPr="008143B3">
        <w:rPr>
          <w:rFonts w:hint="cs"/>
          <w:rtl/>
        </w:rPr>
        <w:t>.</w:t>
      </w:r>
    </w:p>
    <w:p w:rsidR="00035BE3" w:rsidRPr="008143B3" w:rsidRDefault="00035BE3" w:rsidP="00C10469">
      <w:pPr>
        <w:pStyle w:val="a6"/>
        <w:ind w:left="420" w:firstLine="0"/>
        <w:rPr>
          <w:rtl/>
        </w:rPr>
      </w:pPr>
      <w:r w:rsidRPr="008143B3">
        <w:rPr>
          <w:rFonts w:hint="cs"/>
          <w:rtl/>
        </w:rPr>
        <w:t xml:space="preserve">هكذا في لسان العرب، مادة </w:t>
      </w:r>
      <w:r w:rsidRPr="008143B3">
        <w:rPr>
          <w:rFonts w:hint="eastAsia"/>
          <w:rtl/>
        </w:rPr>
        <w:t>«</w:t>
      </w:r>
      <w:r w:rsidRPr="008143B3">
        <w:rPr>
          <w:rFonts w:hint="cs"/>
          <w:rtl/>
        </w:rPr>
        <w:t>طرر</w:t>
      </w:r>
      <w:r w:rsidRPr="008143B3">
        <w:rPr>
          <w:rFonts w:hint="eastAsia"/>
          <w:rtl/>
        </w:rPr>
        <w:t>»</w:t>
      </w:r>
      <w:r w:rsidRPr="008143B3">
        <w:rPr>
          <w:rFonts w:hint="cs"/>
          <w:rtl/>
        </w:rPr>
        <w:t>، 4/499؛ والنهاية في غريب الحديث والأثر، 3/118؛ وانظر: طلبة الطلبة، ص184؛ معجم لغة الفقهاء، ص260.</w:t>
      </w:r>
    </w:p>
  </w:footnote>
  <w:footnote w:id="2622">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w:t>
      </w:r>
      <w:r w:rsidRPr="008143B3">
        <w:rPr>
          <w:rFonts w:hint="eastAsia"/>
          <w:rtl/>
        </w:rPr>
        <w:t>«</w:t>
      </w:r>
      <w:r w:rsidRPr="008143B3">
        <w:rPr>
          <w:rFonts w:hint="cs"/>
          <w:rtl/>
        </w:rPr>
        <w:t xml:space="preserve"> فعل </w:t>
      </w:r>
      <w:r w:rsidRPr="008143B3">
        <w:rPr>
          <w:rFonts w:hint="eastAsia"/>
          <w:rtl/>
        </w:rPr>
        <w:t>»</w:t>
      </w:r>
      <w:r w:rsidRPr="008143B3">
        <w:rPr>
          <w:rFonts w:hint="cs"/>
          <w:rtl/>
        </w:rPr>
        <w:t xml:space="preserve"> : زيادة من (جـ)؛ وفاقًا لمصدر هذه العبارة (وهو شرح المغني للقاءاني).</w:t>
      </w:r>
    </w:p>
  </w:footnote>
  <w:footnote w:id="2623">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في (د) : </w:t>
      </w:r>
      <w:r w:rsidRPr="008143B3">
        <w:rPr>
          <w:rFonts w:hint="eastAsia"/>
          <w:rtl/>
        </w:rPr>
        <w:t>«</w:t>
      </w:r>
      <w:r w:rsidRPr="008143B3">
        <w:rPr>
          <w:rFonts w:hint="cs"/>
          <w:rtl/>
        </w:rPr>
        <w:t xml:space="preserve"> تشببه </w:t>
      </w:r>
      <w:r w:rsidRPr="008143B3">
        <w:rPr>
          <w:rFonts w:hint="eastAsia"/>
          <w:rtl/>
        </w:rPr>
        <w:t>»</w:t>
      </w:r>
      <w:r w:rsidRPr="008143B3">
        <w:rPr>
          <w:rFonts w:hint="cs"/>
          <w:rtl/>
        </w:rPr>
        <w:t>.</w:t>
      </w:r>
    </w:p>
  </w:footnote>
  <w:footnote w:id="2624">
    <w:p w:rsidR="00035BE3" w:rsidRPr="008143B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في (د) : باسقاط التاء وإهمال الحرف الذي يليه من النقاط.</w:t>
      </w:r>
    </w:p>
  </w:footnote>
  <w:footnote w:id="2625">
    <w:p w:rsidR="00035BE3" w:rsidRDefault="00035BE3" w:rsidP="00C10469">
      <w:pPr>
        <w:pStyle w:val="a8"/>
        <w:bidi/>
        <w:ind w:left="420" w:right="0"/>
        <w:rPr>
          <w:rtl/>
        </w:rPr>
      </w:pPr>
      <w:r w:rsidRPr="008143B3">
        <w:rPr>
          <w:rFonts w:hint="cs"/>
          <w:vertAlign w:val="superscript"/>
          <w:rtl/>
        </w:rPr>
        <w:t>(</w:t>
      </w:r>
      <w:r w:rsidRPr="008143B3">
        <w:rPr>
          <w:rStyle w:val="a7"/>
        </w:rPr>
        <w:footnoteRef/>
      </w:r>
      <w:r w:rsidRPr="008143B3">
        <w:rPr>
          <w:rFonts w:hint="cs"/>
          <w:vertAlign w:val="superscript"/>
          <w:rtl/>
        </w:rPr>
        <w:t>)</w:t>
      </w:r>
      <w:r w:rsidRPr="008143B3">
        <w:rPr>
          <w:rFonts w:hint="cs"/>
          <w:rtl/>
        </w:rPr>
        <w:t xml:space="preserve">   انظر : شرح المغني للقاءاني، ق1، جـ2، ص543.</w:t>
      </w:r>
      <w:r w:rsidRPr="008143B3">
        <w:rPr>
          <w:rFonts w:hint="cs"/>
          <w:rtl/>
        </w:rPr>
        <w:tab/>
      </w:r>
      <w:r>
        <w:rPr>
          <w:rFonts w:hint="cs"/>
          <w:rtl/>
        </w:rPr>
        <w:tab/>
      </w:r>
      <w:r>
        <w:rPr>
          <w:rFonts w:hint="cs"/>
          <w:rtl/>
        </w:rPr>
        <w:tab/>
      </w:r>
      <w:r>
        <w:rPr>
          <w:rFonts w:hint="cs"/>
          <w:rtl/>
        </w:rPr>
        <w:tab/>
      </w:r>
      <w:r>
        <w:rPr>
          <w:rFonts w:hint="cs"/>
          <w:rtl/>
        </w:rPr>
        <w:tab/>
      </w:r>
    </w:p>
    <w:p w:rsidR="00035BE3" w:rsidRDefault="00035BE3" w:rsidP="00C10469">
      <w:pPr>
        <w:pStyle w:val="a6"/>
        <w:ind w:left="422" w:hanging="2"/>
        <w:rPr>
          <w:rtl/>
        </w:rPr>
      </w:pPr>
      <w:r>
        <w:rPr>
          <w:rFonts w:hint="cs"/>
          <w:rtl/>
        </w:rPr>
        <w:t>وانظر: أصول البزدوي وكشف الأسرار، 1/138-139؛ أصول السرخسي، 1/167؛ التحرير وتيسيره، 1/157؛ مسلم الثبوت وفواتح الرحموت، 2/20-21.</w:t>
      </w:r>
    </w:p>
  </w:footnote>
  <w:footnote w:id="26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30/أ من (د).</w:t>
      </w:r>
    </w:p>
  </w:footnote>
  <w:footnote w:id="26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عند</w:t>
      </w:r>
      <w:r>
        <w:rPr>
          <w:rFonts w:hint="eastAsia"/>
          <w:rtl/>
        </w:rPr>
        <w:t>»</w:t>
      </w:r>
      <w:r>
        <w:rPr>
          <w:rFonts w:hint="cs"/>
          <w:rtl/>
        </w:rPr>
        <w:t xml:space="preserve"> : زيادة من (و)، ومكانها من (ب) و(د) : </w:t>
      </w:r>
      <w:r>
        <w:rPr>
          <w:rFonts w:hint="eastAsia"/>
          <w:rtl/>
        </w:rPr>
        <w:t>«</w:t>
      </w:r>
      <w:r>
        <w:rPr>
          <w:rFonts w:hint="cs"/>
          <w:rtl/>
        </w:rPr>
        <w:t>في</w:t>
      </w:r>
      <w:r>
        <w:rPr>
          <w:rFonts w:hint="eastAsia"/>
          <w:rtl/>
        </w:rPr>
        <w:t>»</w:t>
      </w:r>
      <w:r>
        <w:rPr>
          <w:rFonts w:hint="cs"/>
          <w:rtl/>
        </w:rPr>
        <w:t>، و(عند) و(في) ساقطتان من (أ) و(جـ) و(هـ). والمثبت من (و) موافق لمصدر هذه العبارة (وهو شرح المغني للقاءاني).</w:t>
      </w:r>
    </w:p>
  </w:footnote>
  <w:footnote w:id="26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يحدث</w:t>
      </w:r>
      <w:r>
        <w:rPr>
          <w:rFonts w:hint="eastAsia"/>
          <w:rtl/>
        </w:rPr>
        <w:t>»</w:t>
      </w:r>
      <w:r>
        <w:rPr>
          <w:rFonts w:hint="cs"/>
          <w:rtl/>
        </w:rPr>
        <w:t xml:space="preserve">. وفي شرح المغني للقاءاني : </w:t>
      </w:r>
      <w:r>
        <w:rPr>
          <w:rFonts w:hint="eastAsia"/>
          <w:rtl/>
        </w:rPr>
        <w:t>«</w:t>
      </w:r>
      <w:r>
        <w:rPr>
          <w:rFonts w:hint="cs"/>
          <w:rtl/>
        </w:rPr>
        <w:t xml:space="preserve"> لحذق</w:t>
      </w:r>
      <w:r>
        <w:rPr>
          <w:rFonts w:hint="eastAsia"/>
          <w:rtl/>
        </w:rPr>
        <w:t>»</w:t>
      </w:r>
      <w:r>
        <w:rPr>
          <w:rFonts w:hint="cs"/>
          <w:rtl/>
        </w:rPr>
        <w:t>.</w:t>
      </w:r>
    </w:p>
    <w:p w:rsidR="00035BE3" w:rsidRDefault="00035BE3" w:rsidP="00C10469">
      <w:pPr>
        <w:pStyle w:val="a6"/>
        <w:ind w:left="422" w:firstLine="0"/>
        <w:rPr>
          <w:rtl/>
        </w:rPr>
      </w:pPr>
      <w:r>
        <w:rPr>
          <w:rFonts w:hint="cs"/>
          <w:rtl/>
        </w:rPr>
        <w:t xml:space="preserve">واللفظ الأخير -وإن كان أوضح دلالة على المعنى إلا أن اللفظين الآخرين ممكنان أيضًا : </w:t>
      </w:r>
    </w:p>
    <w:p w:rsidR="00035BE3" w:rsidRDefault="00035BE3" w:rsidP="00C10469">
      <w:pPr>
        <w:pStyle w:val="a6"/>
        <w:ind w:left="422" w:firstLine="0"/>
        <w:rPr>
          <w:rtl/>
        </w:rPr>
      </w:pPr>
      <w:r>
        <w:rPr>
          <w:rFonts w:hint="cs"/>
          <w:rtl/>
        </w:rPr>
        <w:t>إذ (الحدس) من معانيه في اللغة : السرعة. فيكون المعنى : (إلا أن الطرّار اخـتص باسم آخر زائد على السارق وهو السُّرعة في فعله).</w:t>
      </w:r>
    </w:p>
    <w:p w:rsidR="00035BE3" w:rsidRDefault="00035BE3" w:rsidP="00C10469">
      <w:pPr>
        <w:pStyle w:val="a6"/>
        <w:ind w:left="422" w:firstLine="0"/>
        <w:rPr>
          <w:spacing w:val="-12"/>
          <w:sz w:val="29"/>
          <w:szCs w:val="29"/>
          <w:rtl/>
        </w:rPr>
      </w:pPr>
      <w:r>
        <w:rPr>
          <w:rFonts w:hint="cs"/>
          <w:spacing w:val="-12"/>
          <w:sz w:val="29"/>
          <w:szCs w:val="29"/>
          <w:rtl/>
        </w:rPr>
        <w:t>وعلى التعبير بـ (يحدث) يكون المعنى : (إلاّ أن الطرار اختص باسم آخر، وهذا الاسم يحدث في فعله)- والله أعلم-.</w:t>
      </w:r>
    </w:p>
    <w:p w:rsidR="00035BE3" w:rsidRDefault="00035BE3" w:rsidP="00C10469">
      <w:pPr>
        <w:pStyle w:val="a6"/>
        <w:ind w:left="422" w:firstLine="0"/>
        <w:rPr>
          <w:spacing w:val="-8"/>
          <w:sz w:val="29"/>
          <w:szCs w:val="29"/>
          <w:rtl/>
        </w:rPr>
      </w:pPr>
      <w:r>
        <w:rPr>
          <w:rFonts w:hint="cs"/>
          <w:spacing w:val="-8"/>
          <w:sz w:val="29"/>
          <w:szCs w:val="29"/>
          <w:rtl/>
        </w:rPr>
        <w:t xml:space="preserve">وانظر معنى الحدس لغة في : المقاييس في اللغة، مادة </w:t>
      </w:r>
      <w:r>
        <w:rPr>
          <w:rFonts w:hint="eastAsia"/>
          <w:spacing w:val="-8"/>
          <w:sz w:val="29"/>
          <w:szCs w:val="29"/>
          <w:rtl/>
        </w:rPr>
        <w:t>«</w:t>
      </w:r>
      <w:r>
        <w:rPr>
          <w:rFonts w:hint="cs"/>
          <w:spacing w:val="-8"/>
          <w:sz w:val="29"/>
          <w:szCs w:val="29"/>
          <w:rtl/>
        </w:rPr>
        <w:t>حدس</w:t>
      </w:r>
      <w:r>
        <w:rPr>
          <w:rFonts w:hint="eastAsia"/>
          <w:spacing w:val="-8"/>
          <w:sz w:val="29"/>
          <w:szCs w:val="29"/>
          <w:rtl/>
        </w:rPr>
        <w:t>»</w:t>
      </w:r>
      <w:r>
        <w:rPr>
          <w:rFonts w:hint="cs"/>
          <w:spacing w:val="-8"/>
          <w:sz w:val="29"/>
          <w:szCs w:val="29"/>
          <w:rtl/>
        </w:rPr>
        <w:t xml:space="preserve">، ص251؛ لسان العرب، مادة </w:t>
      </w:r>
      <w:r>
        <w:rPr>
          <w:rFonts w:hint="eastAsia"/>
          <w:spacing w:val="-8"/>
          <w:sz w:val="29"/>
          <w:szCs w:val="29"/>
          <w:rtl/>
        </w:rPr>
        <w:t>«</w:t>
      </w:r>
      <w:r>
        <w:rPr>
          <w:rFonts w:hint="cs"/>
          <w:spacing w:val="-8"/>
          <w:sz w:val="29"/>
          <w:szCs w:val="29"/>
          <w:rtl/>
        </w:rPr>
        <w:t>حدس</w:t>
      </w:r>
      <w:r>
        <w:rPr>
          <w:rFonts w:hint="eastAsia"/>
          <w:spacing w:val="-8"/>
          <w:sz w:val="29"/>
          <w:szCs w:val="29"/>
          <w:rtl/>
        </w:rPr>
        <w:t>»</w:t>
      </w:r>
      <w:r>
        <w:rPr>
          <w:rFonts w:hint="cs"/>
          <w:spacing w:val="-8"/>
          <w:sz w:val="29"/>
          <w:szCs w:val="29"/>
          <w:rtl/>
        </w:rPr>
        <w:t>، 6/46.</w:t>
      </w:r>
    </w:p>
  </w:footnote>
  <w:footnote w:id="26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من </w:t>
      </w:r>
      <w:r>
        <w:rPr>
          <w:rFonts w:hint="eastAsia"/>
          <w:rtl/>
        </w:rPr>
        <w:t>»</w:t>
      </w:r>
      <w:r>
        <w:rPr>
          <w:rFonts w:hint="cs"/>
          <w:rtl/>
        </w:rPr>
        <w:t xml:space="preserve"> وليس (في)، وقد ورد الحرفان معًا في (د) (من في)، وفي (أ) أيضًا إلا أنَّ (من) كُتبت بحجم صغير وفي أعلى السطر.</w:t>
      </w:r>
    </w:p>
  </w:footnote>
  <w:footnote w:id="26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37/أ من (جـ).</w:t>
      </w:r>
    </w:p>
  </w:footnote>
  <w:footnote w:id="26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للقاءاني : </w:t>
      </w:r>
      <w:r>
        <w:rPr>
          <w:rFonts w:hint="eastAsia"/>
          <w:rtl/>
        </w:rPr>
        <w:t>«</w:t>
      </w:r>
      <w:r>
        <w:rPr>
          <w:rFonts w:hint="cs"/>
          <w:rtl/>
        </w:rPr>
        <w:t>فتكون</w:t>
      </w:r>
      <w:r>
        <w:rPr>
          <w:rFonts w:hint="eastAsia"/>
          <w:rtl/>
        </w:rPr>
        <w:t>»</w:t>
      </w:r>
      <w:r>
        <w:rPr>
          <w:rFonts w:hint="cs"/>
          <w:rtl/>
        </w:rPr>
        <w:t>. وهذا الأفصح.</w:t>
      </w:r>
    </w:p>
  </w:footnote>
  <w:footnote w:id="26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جناية</w:t>
      </w:r>
      <w:r>
        <w:rPr>
          <w:rFonts w:hint="eastAsia"/>
          <w:rtl/>
        </w:rPr>
        <w:t>»</w:t>
      </w:r>
      <w:r>
        <w:rPr>
          <w:rFonts w:hint="cs"/>
          <w:rtl/>
        </w:rPr>
        <w:t>.</w:t>
      </w:r>
    </w:p>
  </w:footnote>
  <w:footnote w:id="26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فثبت</w:t>
      </w:r>
      <w:r>
        <w:rPr>
          <w:rFonts w:hint="eastAsia"/>
          <w:rtl/>
        </w:rPr>
        <w:t>»</w:t>
      </w:r>
      <w:r>
        <w:rPr>
          <w:rFonts w:hint="cs"/>
          <w:rtl/>
        </w:rPr>
        <w:t>.</w:t>
      </w:r>
    </w:p>
  </w:footnote>
  <w:footnote w:id="26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القتل </w:t>
      </w:r>
      <w:r>
        <w:rPr>
          <w:rFonts w:hint="eastAsia"/>
          <w:rtl/>
        </w:rPr>
        <w:t>»</w:t>
      </w:r>
      <w:r>
        <w:rPr>
          <w:rFonts w:hint="cs"/>
          <w:rtl/>
        </w:rPr>
        <w:t>، وكذلك في هامش (أ) !!.</w:t>
      </w:r>
    </w:p>
    <w:p w:rsidR="00035BE3" w:rsidRDefault="00035BE3" w:rsidP="00C10469">
      <w:pPr>
        <w:pStyle w:val="a6"/>
        <w:ind w:left="422" w:firstLine="0"/>
        <w:rPr>
          <w:rtl/>
        </w:rPr>
      </w:pPr>
      <w:r>
        <w:rPr>
          <w:rFonts w:hint="cs"/>
          <w:rtl/>
        </w:rPr>
        <w:t xml:space="preserve">وقد جاء في شرح المغني : </w:t>
      </w:r>
      <w:r>
        <w:rPr>
          <w:rFonts w:hint="eastAsia"/>
          <w:rtl/>
        </w:rPr>
        <w:t>«</w:t>
      </w:r>
      <w:r>
        <w:rPr>
          <w:rFonts w:hint="cs"/>
          <w:rtl/>
        </w:rPr>
        <w:t>القطع في حقه بالطريق ...</w:t>
      </w:r>
      <w:r>
        <w:rPr>
          <w:rFonts w:hint="eastAsia"/>
          <w:rtl/>
        </w:rPr>
        <w:t>»</w:t>
      </w:r>
      <w:r>
        <w:rPr>
          <w:rFonts w:hint="cs"/>
          <w:rtl/>
        </w:rPr>
        <w:t>.</w:t>
      </w:r>
    </w:p>
  </w:footnote>
  <w:footnote w:id="26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48/أ من (أ). علمًا بأنه جاء في هامش (أ) : </w:t>
      </w:r>
      <w:r>
        <w:rPr>
          <w:rFonts w:hint="eastAsia"/>
          <w:rtl/>
        </w:rPr>
        <w:t>«</w:t>
      </w:r>
      <w:r>
        <w:rPr>
          <w:rFonts w:hint="cs"/>
          <w:rtl/>
        </w:rPr>
        <w:t>بمعنى أفْ</w:t>
      </w:r>
      <w:r>
        <w:rPr>
          <w:rFonts w:hint="eastAsia"/>
          <w:rtl/>
        </w:rPr>
        <w:t>»</w:t>
      </w:r>
      <w:r>
        <w:rPr>
          <w:rFonts w:hint="cs"/>
          <w:rtl/>
        </w:rPr>
        <w:t>.</w:t>
      </w:r>
    </w:p>
  </w:footnote>
  <w:footnote w:id="26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ص545 -مع اختلاف سبق ذكر أكثره-.</w:t>
      </w:r>
    </w:p>
  </w:footnote>
  <w:footnote w:id="26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النياش</w:t>
      </w:r>
      <w:r>
        <w:rPr>
          <w:rFonts w:hint="eastAsia"/>
          <w:rtl/>
        </w:rPr>
        <w:t>»</w:t>
      </w:r>
      <w:r>
        <w:rPr>
          <w:rFonts w:hint="cs"/>
          <w:rtl/>
        </w:rPr>
        <w:t>.</w:t>
      </w:r>
    </w:p>
    <w:p w:rsidR="00035BE3" w:rsidRDefault="00035BE3" w:rsidP="00C10469">
      <w:pPr>
        <w:pStyle w:val="a6"/>
        <w:ind w:left="422" w:firstLine="0"/>
        <w:rPr>
          <w:rtl/>
        </w:rPr>
      </w:pPr>
      <w:r>
        <w:rPr>
          <w:rFonts w:hint="cs"/>
          <w:b/>
          <w:bCs/>
          <w:rtl/>
        </w:rPr>
        <w:t>والنّباش في اللغة</w:t>
      </w:r>
      <w:r>
        <w:rPr>
          <w:rFonts w:hint="cs"/>
          <w:rtl/>
        </w:rPr>
        <w:t xml:space="preserve"> : مشتق من مادة </w:t>
      </w:r>
      <w:r>
        <w:rPr>
          <w:rFonts w:hint="eastAsia"/>
          <w:rtl/>
        </w:rPr>
        <w:t>«</w:t>
      </w:r>
      <w:r>
        <w:rPr>
          <w:rFonts w:hint="cs"/>
          <w:rtl/>
        </w:rPr>
        <w:t>نـبـش</w:t>
      </w:r>
      <w:r>
        <w:rPr>
          <w:rFonts w:hint="eastAsia"/>
          <w:rtl/>
        </w:rPr>
        <w:t>»</w:t>
      </w:r>
      <w:r>
        <w:rPr>
          <w:rFonts w:hint="cs"/>
          <w:rtl/>
        </w:rPr>
        <w:t>، والنون والباء والشين -كما يقول ابن فارس- :</w:t>
      </w:r>
      <w:r>
        <w:rPr>
          <w:rFonts w:hint="eastAsia"/>
          <w:rtl/>
        </w:rPr>
        <w:t xml:space="preserve"> «</w:t>
      </w:r>
      <w:r>
        <w:rPr>
          <w:rFonts w:hint="cs"/>
          <w:rtl/>
        </w:rPr>
        <w:t>أصل وكلمة واحدة، تدل على إبراز شيء مستور، ونَبَشَ القبر، وهو نَبَّاشٌ ينبُشُه</w:t>
      </w:r>
      <w:r>
        <w:rPr>
          <w:rFonts w:hint="eastAsia"/>
          <w:rtl/>
        </w:rPr>
        <w:t>»</w:t>
      </w:r>
      <w:r>
        <w:rPr>
          <w:rFonts w:hint="cs"/>
          <w:rtl/>
        </w:rPr>
        <w:t>.</w:t>
      </w:r>
    </w:p>
    <w:p w:rsidR="00035BE3" w:rsidRDefault="00035BE3" w:rsidP="00C10469">
      <w:pPr>
        <w:pStyle w:val="a6"/>
        <w:ind w:left="422" w:firstLine="0"/>
        <w:rPr>
          <w:rtl/>
        </w:rPr>
      </w:pPr>
      <w:r>
        <w:rPr>
          <w:rFonts w:hint="cs"/>
          <w:b/>
          <w:bCs/>
          <w:rtl/>
        </w:rPr>
        <w:t>وفي الاصـطلاح</w:t>
      </w:r>
      <w:r>
        <w:rPr>
          <w:rFonts w:hint="cs"/>
          <w:rtl/>
        </w:rPr>
        <w:t xml:space="preserve">: هـو </w:t>
      </w:r>
      <w:r>
        <w:rPr>
          <w:rFonts w:hint="eastAsia"/>
          <w:rtl/>
        </w:rPr>
        <w:t>«</w:t>
      </w:r>
      <w:r>
        <w:rPr>
          <w:rFonts w:hint="cs"/>
          <w:rtl/>
        </w:rPr>
        <w:t>الـذي يـتـعاطى نبـش الـقبـور، وسرقة الأكفان منها</w:t>
      </w:r>
      <w:r>
        <w:rPr>
          <w:rFonts w:hint="eastAsia"/>
          <w:rtl/>
        </w:rPr>
        <w:t>»</w:t>
      </w:r>
      <w:r>
        <w:rPr>
          <w:rFonts w:hint="cs"/>
          <w:rtl/>
        </w:rPr>
        <w:t>- قاله الدكتور محمد قلعه جي-.</w:t>
      </w:r>
    </w:p>
    <w:p w:rsidR="00035BE3" w:rsidRDefault="00035BE3" w:rsidP="00C10469">
      <w:pPr>
        <w:pStyle w:val="a6"/>
        <w:ind w:left="422" w:firstLine="0"/>
        <w:rPr>
          <w:rtl/>
        </w:rPr>
      </w:pPr>
      <w:r>
        <w:rPr>
          <w:rFonts w:hint="cs"/>
          <w:rtl/>
        </w:rPr>
        <w:t xml:space="preserve">المقاييس في اللغة، مادة </w:t>
      </w:r>
      <w:r>
        <w:rPr>
          <w:rFonts w:hint="eastAsia"/>
          <w:rtl/>
        </w:rPr>
        <w:t>«</w:t>
      </w:r>
      <w:r>
        <w:rPr>
          <w:rFonts w:hint="cs"/>
          <w:rtl/>
        </w:rPr>
        <w:t>نبش</w:t>
      </w:r>
      <w:r>
        <w:rPr>
          <w:rFonts w:hint="eastAsia"/>
          <w:rtl/>
        </w:rPr>
        <w:t>»</w:t>
      </w:r>
      <w:r>
        <w:rPr>
          <w:rFonts w:hint="cs"/>
          <w:rtl/>
        </w:rPr>
        <w:t>، ص1008؛ معجم لغة الفقهاء، ص443؛ وانظر : طلبة الطـلبة، ص184؛ قواعد الفقه للمجدّدي (الرسالة الرابعة : التعريفات الفقهية)، ص521.</w:t>
      </w:r>
    </w:p>
  </w:footnote>
  <w:footnote w:id="26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أولى</w:t>
      </w:r>
      <w:r>
        <w:rPr>
          <w:rFonts w:hint="eastAsia"/>
          <w:rtl/>
        </w:rPr>
        <w:t>»</w:t>
      </w:r>
      <w:r>
        <w:rPr>
          <w:rFonts w:hint="cs"/>
          <w:rtl/>
        </w:rPr>
        <w:t>.</w:t>
      </w:r>
    </w:p>
  </w:footnote>
  <w:footnote w:id="26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ص545؛ وانظر المراجع الآنف ذكرها عند بيان المعنى الاصطلاحي للخفي </w:t>
      </w:r>
      <w:r>
        <w:rPr>
          <w:rtl/>
        </w:rPr>
        <w:t>–</w:t>
      </w:r>
      <w:r>
        <w:rPr>
          <w:rFonts w:hint="cs"/>
          <w:rtl/>
        </w:rPr>
        <w:t xml:space="preserve"> ص660-؛ إذْ جلّها مثَّلت للخفي بآية السَّرقة؛ فالسَّرقة ظاهرة في حق السارق، خفيَّة في النباش والطرار.</w:t>
      </w:r>
    </w:p>
  </w:footnote>
  <w:footnote w:id="26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عن</w:t>
      </w:r>
      <w:r>
        <w:rPr>
          <w:rFonts w:hint="eastAsia"/>
          <w:rtl/>
        </w:rPr>
        <w:t>»</w:t>
      </w:r>
      <w:r>
        <w:rPr>
          <w:rFonts w:hint="cs"/>
          <w:rtl/>
        </w:rPr>
        <w:t>.</w:t>
      </w:r>
    </w:p>
  </w:footnote>
  <w:footnote w:id="26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وشرحيها : العناية وفتح القدير، 5/374؛ وانظر أيضًا: أصول السرخسي، 1/167.</w:t>
      </w:r>
    </w:p>
  </w:footnote>
  <w:footnote w:id="26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تدفع </w:t>
      </w:r>
      <w:r>
        <w:rPr>
          <w:rFonts w:hint="eastAsia"/>
          <w:rtl/>
        </w:rPr>
        <w:t>»</w:t>
      </w:r>
      <w:r>
        <w:rPr>
          <w:rFonts w:hint="cs"/>
          <w:rtl/>
        </w:rPr>
        <w:t xml:space="preserve">، وفي (جـ) : </w:t>
      </w:r>
      <w:r>
        <w:rPr>
          <w:rFonts w:hint="eastAsia"/>
          <w:rtl/>
        </w:rPr>
        <w:t>«</w:t>
      </w:r>
      <w:r>
        <w:rPr>
          <w:rFonts w:hint="cs"/>
          <w:rtl/>
        </w:rPr>
        <w:t xml:space="preserve"> بدفع </w:t>
      </w:r>
      <w:r>
        <w:rPr>
          <w:rFonts w:hint="eastAsia"/>
          <w:rtl/>
        </w:rPr>
        <w:t>»</w:t>
      </w:r>
      <w:r>
        <w:rPr>
          <w:rFonts w:hint="cs"/>
          <w:rtl/>
        </w:rPr>
        <w:t>، وفي (د) : رسم الحرف الأول بالتاء والباء معًا. والصحيح ما تمَّ إثباته من (ب)؛ وفاقًا لمصدر القاعدة (وهو الدّرر).</w:t>
      </w:r>
    </w:p>
  </w:footnote>
  <w:footnote w:id="26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تضرّ </w:t>
      </w:r>
      <w:r>
        <w:rPr>
          <w:rFonts w:hint="eastAsia"/>
          <w:rtl/>
        </w:rPr>
        <w:t>»</w:t>
      </w:r>
      <w:r>
        <w:rPr>
          <w:rFonts w:hint="cs"/>
          <w:rtl/>
        </w:rPr>
        <w:t>.</w:t>
      </w:r>
    </w:p>
  </w:footnote>
  <w:footnote w:id="26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 معنى القاعدة</w:t>
      </w:r>
      <w:r>
        <w:rPr>
          <w:rFonts w:hint="cs"/>
          <w:rtl/>
        </w:rPr>
        <w:t xml:space="preserve">: </w:t>
      </w:r>
    </w:p>
    <w:p w:rsidR="00035BE3" w:rsidRDefault="00035BE3" w:rsidP="00C10469">
      <w:pPr>
        <w:pStyle w:val="a6"/>
        <w:ind w:left="422" w:firstLine="0"/>
        <w:rPr>
          <w:rtl/>
        </w:rPr>
      </w:pPr>
      <w:r>
        <w:rPr>
          <w:rFonts w:hint="cs"/>
          <w:rtl/>
        </w:rPr>
        <w:t xml:space="preserve">ورد في أول هذه القاعدة لفظ (الحيلة)، </w:t>
      </w:r>
      <w:r>
        <w:rPr>
          <w:rFonts w:hint="cs"/>
          <w:b/>
          <w:bCs/>
          <w:rtl/>
        </w:rPr>
        <w:t>والحيلة لغة</w:t>
      </w:r>
      <w:r>
        <w:rPr>
          <w:rFonts w:hint="cs"/>
          <w:rtl/>
        </w:rPr>
        <w:t xml:space="preserve"> : مشتقة من مادة </w:t>
      </w:r>
      <w:r>
        <w:rPr>
          <w:rFonts w:hint="eastAsia"/>
          <w:rtl/>
        </w:rPr>
        <w:t>«</w:t>
      </w:r>
      <w:r>
        <w:rPr>
          <w:rFonts w:hint="cs"/>
          <w:rtl/>
        </w:rPr>
        <w:t>حول</w:t>
      </w:r>
      <w:r>
        <w:rPr>
          <w:rFonts w:hint="eastAsia"/>
          <w:rtl/>
        </w:rPr>
        <w:t>»</w:t>
      </w:r>
      <w:r>
        <w:rPr>
          <w:rFonts w:hint="cs"/>
          <w:rtl/>
        </w:rPr>
        <w:t xml:space="preserve"> والحاء والواو واللام - كما يقول ابن فارس- : </w:t>
      </w:r>
      <w:r>
        <w:rPr>
          <w:rFonts w:hint="eastAsia"/>
          <w:rtl/>
        </w:rPr>
        <w:t>«</w:t>
      </w:r>
      <w:r>
        <w:rPr>
          <w:rFonts w:hint="cs"/>
          <w:rtl/>
        </w:rPr>
        <w:t>أصل واحد وهو تحرك في دور ... والحيلة والحويل والمُحاولة من طريق واحد وهو القياس الذي ذكرناه؛ لأنه يدور حوالي الشيء ليُدْركه</w:t>
      </w:r>
      <w:r>
        <w:rPr>
          <w:rFonts w:hint="eastAsia"/>
          <w:rtl/>
        </w:rPr>
        <w:t>»</w:t>
      </w:r>
      <w:r>
        <w:rPr>
          <w:rFonts w:hint="cs"/>
          <w:rtl/>
        </w:rPr>
        <w:t>.</w:t>
      </w:r>
    </w:p>
    <w:p w:rsidR="00035BE3" w:rsidRDefault="00035BE3" w:rsidP="00C10469">
      <w:pPr>
        <w:pStyle w:val="a6"/>
        <w:ind w:left="422" w:firstLine="0"/>
        <w:rPr>
          <w:rtl/>
        </w:rPr>
      </w:pPr>
      <w:r>
        <w:rPr>
          <w:rFonts w:hint="cs"/>
          <w:b/>
          <w:bCs/>
          <w:rtl/>
        </w:rPr>
        <w:t>أمـا فـي الاصـطـلاح</w:t>
      </w:r>
      <w:r>
        <w:rPr>
          <w:rFonts w:hint="cs"/>
          <w:rtl/>
        </w:rPr>
        <w:t xml:space="preserve"> : فقـد عـرّفها صـاحب التعريفات بأنها : </w:t>
      </w:r>
      <w:r>
        <w:rPr>
          <w:rFonts w:hint="eastAsia"/>
          <w:rtl/>
        </w:rPr>
        <w:t>«</w:t>
      </w:r>
      <w:r>
        <w:rPr>
          <w:rFonts w:hint="cs"/>
          <w:rtl/>
        </w:rPr>
        <w:t>هي التي تحوِّل المرء عما يكرهه إلى ما يحبه</w:t>
      </w:r>
      <w:r>
        <w:rPr>
          <w:rFonts w:hint="eastAsia"/>
          <w:rtl/>
        </w:rPr>
        <w:t>»</w:t>
      </w:r>
      <w:r>
        <w:rPr>
          <w:rFonts w:hint="cs"/>
          <w:rtl/>
        </w:rPr>
        <w:t>.</w:t>
      </w:r>
    </w:p>
    <w:p w:rsidR="00035BE3" w:rsidRDefault="00035BE3" w:rsidP="00C10469">
      <w:pPr>
        <w:pStyle w:val="a6"/>
        <w:ind w:left="422" w:firstLine="0"/>
        <w:rPr>
          <w:rtl/>
        </w:rPr>
      </w:pPr>
      <w:r>
        <w:rPr>
          <w:rFonts w:hint="cs"/>
          <w:b/>
          <w:bCs/>
          <w:rtl/>
        </w:rPr>
        <w:t>إذا علم هذا فالمعنى الإجمالي للقاعدة</w:t>
      </w:r>
      <w:r>
        <w:rPr>
          <w:rFonts w:hint="cs"/>
          <w:rtl/>
        </w:rPr>
        <w:t xml:space="preserve"> : إذا حصل للإنسان أمر يكرهه لتضرُّره به، وأمكن دفعه بتصرف يُحوِّله عنه إلى أمر آخر يحبه : فله ذلك - وإن تضمن هذا التصرف تضرر غيره.</w:t>
      </w:r>
    </w:p>
    <w:p w:rsidR="00035BE3" w:rsidRDefault="00035BE3" w:rsidP="00C10469">
      <w:pPr>
        <w:pStyle w:val="a6"/>
        <w:ind w:left="422" w:firstLine="0"/>
        <w:rPr>
          <w:rtl/>
        </w:rPr>
      </w:pPr>
      <w:r>
        <w:rPr>
          <w:rFonts w:hint="cs"/>
          <w:rtl/>
        </w:rPr>
        <w:t xml:space="preserve">وقد ذكر الزركشي قيدًا مهمًا لجواز الحيلة؛ حيث جاء في (المنثور) : </w:t>
      </w:r>
      <w:r>
        <w:rPr>
          <w:rFonts w:hint="eastAsia"/>
          <w:rtl/>
        </w:rPr>
        <w:t>«</w:t>
      </w:r>
      <w:r>
        <w:rPr>
          <w:rFonts w:hint="cs"/>
          <w:rtl/>
        </w:rPr>
        <w:t>وإنما يجوز من الحيل ما كان مباحًا يتوصل به إلى مباح، فأما فعل المحظور ليصل به إلى المباح : فلا يجوز</w:t>
      </w:r>
      <w:r>
        <w:rPr>
          <w:rFonts w:hint="eastAsia"/>
          <w:rtl/>
        </w:rPr>
        <w:t>»</w:t>
      </w:r>
      <w:r>
        <w:rPr>
          <w:rFonts w:hint="cs"/>
          <w:rtl/>
        </w:rPr>
        <w:t>.</w:t>
      </w:r>
    </w:p>
    <w:p w:rsidR="00035BE3" w:rsidRDefault="00035BE3" w:rsidP="00C10469">
      <w:pPr>
        <w:pStyle w:val="a6"/>
        <w:ind w:left="422" w:firstLine="0"/>
        <w:rPr>
          <w:spacing w:val="8"/>
          <w:rtl/>
        </w:rPr>
      </w:pPr>
      <w:r>
        <w:rPr>
          <w:rFonts w:hint="cs"/>
          <w:b/>
          <w:bCs/>
          <w:spacing w:val="8"/>
          <w:rtl/>
        </w:rPr>
        <w:t>ولتـوثيـق ما سبـق</w:t>
      </w:r>
      <w:r>
        <w:rPr>
          <w:rFonts w:hint="cs"/>
          <w:spacing w:val="8"/>
          <w:rtl/>
        </w:rPr>
        <w:t xml:space="preserve"> : فإن المعنى اللغوي للحيلة فنقول من المقاييس في اللغة، مادة </w:t>
      </w:r>
      <w:r>
        <w:rPr>
          <w:rFonts w:hint="eastAsia"/>
          <w:spacing w:val="8"/>
          <w:rtl/>
        </w:rPr>
        <w:t>«</w:t>
      </w:r>
      <w:r>
        <w:rPr>
          <w:rFonts w:hint="cs"/>
          <w:spacing w:val="8"/>
          <w:rtl/>
        </w:rPr>
        <w:t>حول</w:t>
      </w:r>
      <w:r>
        <w:rPr>
          <w:rFonts w:hint="eastAsia"/>
          <w:spacing w:val="8"/>
          <w:rtl/>
        </w:rPr>
        <w:t>»</w:t>
      </w:r>
      <w:r>
        <w:rPr>
          <w:rFonts w:hint="cs"/>
          <w:spacing w:val="8"/>
          <w:rtl/>
        </w:rPr>
        <w:t>، ص290.</w:t>
      </w:r>
    </w:p>
    <w:p w:rsidR="00035BE3" w:rsidRDefault="00035BE3" w:rsidP="00C10469">
      <w:pPr>
        <w:pStyle w:val="a6"/>
        <w:ind w:left="422" w:firstLine="0"/>
        <w:rPr>
          <w:rtl/>
        </w:rPr>
      </w:pPr>
      <w:r>
        <w:rPr>
          <w:rFonts w:hint="cs"/>
          <w:rtl/>
        </w:rPr>
        <w:t>ومعناها الاصطلاحي من التعريفات للجرجاني، ص127، فقرة 629؛ وانظر : الأشباه والنظائر لابن نجيم، ص443؛ قواعد الفقه للمجدّدي (الرسالة الرابعة : التعريفات الفقهية)، ص270-271؛ معجم لغة الفقهاء، ص168.</w:t>
      </w:r>
    </w:p>
    <w:p w:rsidR="00035BE3" w:rsidRDefault="00035BE3" w:rsidP="00C10469">
      <w:pPr>
        <w:pStyle w:val="a6"/>
        <w:ind w:left="422" w:firstLine="0"/>
        <w:rPr>
          <w:rtl/>
        </w:rPr>
      </w:pPr>
      <w:r>
        <w:rPr>
          <w:rFonts w:hint="cs"/>
          <w:rtl/>
        </w:rPr>
        <w:t>والقيد المذكور واردٌ في المنثور، 2/95.</w:t>
      </w:r>
    </w:p>
    <w:p w:rsidR="00035BE3" w:rsidRDefault="00035BE3" w:rsidP="00C10469">
      <w:pPr>
        <w:pStyle w:val="a6"/>
        <w:ind w:left="422" w:firstLine="0"/>
        <w:rPr>
          <w:rtl/>
        </w:rPr>
      </w:pPr>
      <w:r>
        <w:rPr>
          <w:rFonts w:hint="cs"/>
          <w:b/>
          <w:bCs/>
          <w:rtl/>
        </w:rPr>
        <w:t>أما توثيق القاعدة</w:t>
      </w:r>
      <w:r>
        <w:rPr>
          <w:rFonts w:hint="cs"/>
          <w:rtl/>
        </w:rPr>
        <w:t xml:space="preserve"> : فقد وردت بلفظ المؤلف أو نحوه في بعض كتب الفقه، منها :</w:t>
      </w:r>
    </w:p>
    <w:p w:rsidR="00035BE3" w:rsidRDefault="00035BE3" w:rsidP="00C10469">
      <w:pPr>
        <w:pStyle w:val="a6"/>
        <w:ind w:left="422" w:firstLine="0"/>
        <w:rPr>
          <w:spacing w:val="6"/>
          <w:rtl/>
        </w:rPr>
      </w:pPr>
      <w:r>
        <w:rPr>
          <w:rFonts w:hint="cs"/>
          <w:spacing w:val="6"/>
          <w:rtl/>
        </w:rPr>
        <w:t xml:space="preserve">تبيين الحقائق، 5/261 - ولفظه: </w:t>
      </w:r>
      <w:r>
        <w:rPr>
          <w:rFonts w:hint="eastAsia"/>
          <w:spacing w:val="6"/>
          <w:rtl/>
        </w:rPr>
        <w:t>«</w:t>
      </w:r>
      <w:r>
        <w:rPr>
          <w:rFonts w:hint="cs"/>
          <w:spacing w:val="6"/>
          <w:rtl/>
        </w:rPr>
        <w:t xml:space="preserve">الحيلة لدفع الضرر عن نفسه مشروع وإن كان غيره </w:t>
      </w:r>
      <w:r w:rsidRPr="00684482">
        <w:rPr>
          <w:rFonts w:hint="cs"/>
          <w:rtl/>
        </w:rPr>
        <w:t>يتضرر في ضـمنه</w:t>
      </w:r>
      <w:r w:rsidRPr="00684482">
        <w:rPr>
          <w:rFonts w:hint="eastAsia"/>
          <w:rtl/>
        </w:rPr>
        <w:t>»</w:t>
      </w:r>
      <w:r w:rsidRPr="00684482">
        <w:rPr>
          <w:rFonts w:hint="cs"/>
          <w:rtl/>
        </w:rPr>
        <w:t xml:space="preserve">-؛ الدرر شرح الغرر، 2/215- ولفظه كلفظ المؤلف إلا أنه قال: </w:t>
      </w:r>
      <w:r>
        <w:rPr>
          <w:rFonts w:hint="eastAsia"/>
          <w:spacing w:val="6"/>
          <w:rtl/>
        </w:rPr>
        <w:t>«</w:t>
      </w:r>
      <w:r>
        <w:rPr>
          <w:rFonts w:hint="cs"/>
          <w:spacing w:val="6"/>
          <w:rtl/>
        </w:rPr>
        <w:t>..جائز..</w:t>
      </w:r>
      <w:r>
        <w:rPr>
          <w:rFonts w:hint="eastAsia"/>
          <w:spacing w:val="6"/>
          <w:rtl/>
        </w:rPr>
        <w:t>»</w:t>
      </w:r>
      <w:r>
        <w:rPr>
          <w:rFonts w:hint="cs"/>
          <w:spacing w:val="6"/>
          <w:rtl/>
        </w:rPr>
        <w:t xml:space="preserve">.-؛ تكملة البحر الرائق، 8/165 - ولفظه : </w:t>
      </w:r>
      <w:r>
        <w:rPr>
          <w:rFonts w:hint="eastAsia"/>
          <w:spacing w:val="6"/>
          <w:rtl/>
        </w:rPr>
        <w:t>«</w:t>
      </w:r>
      <w:r>
        <w:rPr>
          <w:rFonts w:hint="cs"/>
          <w:spacing w:val="6"/>
          <w:rtl/>
        </w:rPr>
        <w:t>الحيلة لدفع الضرر عن نفسه مشروع، وإن كان غيره يتضرر بذلك</w:t>
      </w:r>
      <w:r>
        <w:rPr>
          <w:rFonts w:hint="eastAsia"/>
          <w:spacing w:val="6"/>
          <w:rtl/>
        </w:rPr>
        <w:t>»</w:t>
      </w:r>
      <w:r>
        <w:rPr>
          <w:rFonts w:hint="cs"/>
          <w:spacing w:val="6"/>
          <w:rtl/>
        </w:rPr>
        <w:t>-.</w:t>
      </w:r>
    </w:p>
  </w:footnote>
  <w:footnote w:id="2645">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المعنى: فجاز فعل الحيلة. علمًا بأن الفـعل (جاز) ورد تذكيره مـع الحيلة في جميع النسخ وجميع المصادر التي سيأتي ذكرها في الهامـش الآتي. والذي يـظهر أنه لو قيل : (فجـازت) لكان أفـصح -والله أعلم-.</w:t>
      </w:r>
    </w:p>
  </w:footnote>
  <w:footnote w:id="2646">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2/215؛ وانظر أيضًا : الهداية وشرحيها : العناية وفتح القدير، 9/420؛ كنز الدقائق وشرحيه : تبيين الحقائق، 5/261؛ وتكملة البحر الرائق، 8/165.</w:t>
      </w:r>
    </w:p>
    <w:p w:rsidR="00035BE3" w:rsidRDefault="00035BE3" w:rsidP="00C10469">
      <w:pPr>
        <w:pStyle w:val="a6"/>
        <w:spacing w:line="460" w:lineRule="exact"/>
        <w:ind w:left="422" w:firstLine="0"/>
        <w:rPr>
          <w:rtl/>
        </w:rPr>
      </w:pPr>
      <w:r>
        <w:rPr>
          <w:rFonts w:hint="cs"/>
          <w:rtl/>
        </w:rPr>
        <w:t xml:space="preserve">وهذه الكتب ذكرت تفصيلاً في هذه المسألة وخلافًا بين أئمة الحنفية، ومن ذلك ما جاء في الموضع السابق من الدُّرر : </w:t>
      </w:r>
      <w:r>
        <w:rPr>
          <w:rFonts w:hint="eastAsia"/>
          <w:rtl/>
        </w:rPr>
        <w:t>«</w:t>
      </w:r>
      <w:r>
        <w:rPr>
          <w:rFonts w:hint="cs"/>
          <w:rtl/>
        </w:rPr>
        <w:t>كُرِهَ الحيلة لإسقاط الشفعة الثابثة وفاقًا ...</w:t>
      </w:r>
    </w:p>
    <w:p w:rsidR="00035BE3" w:rsidRDefault="00035BE3" w:rsidP="00C10469">
      <w:pPr>
        <w:pStyle w:val="a6"/>
        <w:spacing w:line="460" w:lineRule="exact"/>
        <w:ind w:left="422" w:firstLine="0"/>
        <w:rPr>
          <w:rtl/>
        </w:rPr>
      </w:pPr>
      <w:r>
        <w:rPr>
          <w:rFonts w:hint="cs"/>
          <w:rtl/>
        </w:rPr>
        <w:t>وأما الحيلة لعدم ثبوتها ابتداءً :</w:t>
      </w:r>
    </w:p>
    <w:p w:rsidR="00035BE3" w:rsidRDefault="00035BE3" w:rsidP="00C10469">
      <w:pPr>
        <w:pStyle w:val="a6"/>
        <w:spacing w:line="460" w:lineRule="exact"/>
        <w:ind w:left="422" w:firstLine="0"/>
        <w:rPr>
          <w:rtl/>
        </w:rPr>
      </w:pPr>
      <w:r>
        <w:rPr>
          <w:rtl/>
        </w:rPr>
        <w:t>•</w:t>
      </w:r>
      <w:r>
        <w:rPr>
          <w:rFonts w:hint="cs"/>
          <w:rtl/>
        </w:rPr>
        <w:t xml:space="preserve"> فعند أبي يوسف : لا تكره؛ لأنه يحتال لدفع الضرر عن نفسه؛ لأن في تملك الدار عليه بلا رضاه ضررًا عليه [أي تملك الدار على المشتري للشفيع بلا رضا المشتري ضرر على المشترى - والله أعلم]؛ و</w:t>
      </w:r>
      <w:r>
        <w:rPr>
          <w:rFonts w:hint="eastAsia"/>
          <w:rtl/>
        </w:rPr>
        <w:t>«</w:t>
      </w:r>
      <w:r>
        <w:rPr>
          <w:rFonts w:hint="cs"/>
          <w:rtl/>
        </w:rPr>
        <w:t>الحيلة لدفع الضرر عن نفسه جائز وإن تضرَّر الغير في ضمنه</w:t>
      </w:r>
      <w:r>
        <w:rPr>
          <w:rFonts w:hint="eastAsia"/>
          <w:rtl/>
        </w:rPr>
        <w:t>»</w:t>
      </w:r>
      <w:r>
        <w:rPr>
          <w:rFonts w:hint="cs"/>
          <w:rtl/>
        </w:rPr>
        <w:t>.</w:t>
      </w:r>
    </w:p>
    <w:p w:rsidR="00035BE3" w:rsidRDefault="00035BE3" w:rsidP="00C10469">
      <w:pPr>
        <w:pStyle w:val="a6"/>
        <w:spacing w:line="460" w:lineRule="exact"/>
        <w:ind w:left="-32" w:firstLine="454"/>
        <w:rPr>
          <w:rtl/>
        </w:rPr>
      </w:pPr>
      <w:r>
        <w:rPr>
          <w:rtl/>
        </w:rPr>
        <w:t>•</w:t>
      </w:r>
      <w:r>
        <w:rPr>
          <w:rFonts w:hint="cs"/>
          <w:rtl/>
        </w:rPr>
        <w:t xml:space="preserve"> وعند محمد : تُكره؛ لأن الشفعة إنما تثبت لدفع الضّرر، وفي إباحة الحيلة بقاء الضرر.</w:t>
      </w:r>
    </w:p>
    <w:p w:rsidR="00035BE3" w:rsidRDefault="00035BE3" w:rsidP="00C10469">
      <w:pPr>
        <w:pStyle w:val="a6"/>
        <w:spacing w:line="460" w:lineRule="exact"/>
        <w:ind w:left="422" w:firstLine="0"/>
        <w:rPr>
          <w:rtl/>
        </w:rPr>
      </w:pPr>
      <w:r>
        <w:rPr>
          <w:rFonts w:hint="cs"/>
          <w:rtl/>
        </w:rPr>
        <w:t>وبالأول يفتى ههنا. وبالثاني في الزكاة</w:t>
      </w:r>
      <w:r>
        <w:rPr>
          <w:rFonts w:hint="eastAsia"/>
          <w:rtl/>
        </w:rPr>
        <w:t>»</w:t>
      </w:r>
      <w:r>
        <w:rPr>
          <w:rFonts w:hint="cs"/>
          <w:rtl/>
        </w:rPr>
        <w:t>.</w:t>
      </w:r>
    </w:p>
    <w:p w:rsidR="00035BE3" w:rsidRDefault="00035BE3" w:rsidP="00C10469">
      <w:pPr>
        <w:pStyle w:val="a6"/>
        <w:spacing w:line="460" w:lineRule="exact"/>
        <w:ind w:left="422" w:firstLine="0"/>
        <w:rPr>
          <w:rtl/>
        </w:rPr>
      </w:pPr>
      <w:r>
        <w:rPr>
          <w:rFonts w:hint="cs"/>
          <w:rtl/>
        </w:rPr>
        <w:t>فالقول بجواز الحيلة لإسقاط الشفعة قبل ثبوتها هو قول أبي يوسف.</w:t>
      </w:r>
    </w:p>
    <w:p w:rsidR="00035BE3" w:rsidRDefault="00035BE3" w:rsidP="00C10469">
      <w:pPr>
        <w:pStyle w:val="a6"/>
        <w:spacing w:line="460" w:lineRule="exact"/>
        <w:ind w:left="422" w:firstLine="0"/>
        <w:rPr>
          <w:rtl/>
        </w:rPr>
      </w:pPr>
      <w:r>
        <w:rPr>
          <w:rFonts w:hint="cs"/>
          <w:rtl/>
        </w:rPr>
        <w:t xml:space="preserve">ومن صور ذلك ما جاء في الهداية، 9/420 : </w:t>
      </w:r>
      <w:r>
        <w:rPr>
          <w:rFonts w:hint="eastAsia"/>
          <w:rtl/>
        </w:rPr>
        <w:t>«</w:t>
      </w:r>
      <w:r>
        <w:rPr>
          <w:rFonts w:hint="cs"/>
          <w:rtl/>
        </w:rPr>
        <w:t>وإذا باع دارًا إلا مقدار ذراع منها في طول الحدِّ الذي يلي الشفيع فلا شفعة له؛ لانقطاع الجدار</w:t>
      </w:r>
      <w:r>
        <w:rPr>
          <w:rFonts w:hint="eastAsia"/>
          <w:rtl/>
        </w:rPr>
        <w:t>»</w:t>
      </w:r>
      <w:r>
        <w:rPr>
          <w:rFonts w:hint="cs"/>
          <w:rtl/>
        </w:rPr>
        <w:t>.</w:t>
      </w:r>
    </w:p>
  </w:footnote>
  <w:footnote w:id="2647">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تعلق</w:t>
      </w:r>
      <w:r>
        <w:rPr>
          <w:rFonts w:hint="eastAsia"/>
          <w:rtl/>
        </w:rPr>
        <w:t>»</w:t>
      </w:r>
      <w:r>
        <w:rPr>
          <w:rFonts w:hint="cs"/>
          <w:rtl/>
        </w:rPr>
        <w:t xml:space="preserve">، وفي (جـ) : </w:t>
      </w:r>
      <w:r>
        <w:rPr>
          <w:rFonts w:hint="eastAsia"/>
          <w:rtl/>
        </w:rPr>
        <w:t>«</w:t>
      </w:r>
      <w:r>
        <w:rPr>
          <w:rFonts w:hint="cs"/>
          <w:rtl/>
        </w:rPr>
        <w:t xml:space="preserve"> خلق </w:t>
      </w:r>
      <w:r>
        <w:rPr>
          <w:rFonts w:hint="eastAsia"/>
          <w:rtl/>
        </w:rPr>
        <w:t>»</w:t>
      </w:r>
      <w:r>
        <w:rPr>
          <w:rFonts w:hint="cs"/>
          <w:rtl/>
        </w:rPr>
        <w:t xml:space="preserve">، وفي (أ) : </w:t>
      </w:r>
      <w:r>
        <w:rPr>
          <w:rFonts w:hint="eastAsia"/>
          <w:rtl/>
        </w:rPr>
        <w:t>«</w:t>
      </w:r>
      <w:r>
        <w:rPr>
          <w:rFonts w:hint="cs"/>
          <w:rtl/>
        </w:rPr>
        <w:t>غلق</w:t>
      </w:r>
      <w:r>
        <w:rPr>
          <w:rFonts w:hint="eastAsia"/>
          <w:rtl/>
        </w:rPr>
        <w:t>»</w:t>
      </w:r>
      <w:r>
        <w:rPr>
          <w:rFonts w:hint="cs"/>
          <w:rtl/>
        </w:rPr>
        <w:t>. والمُثبت هو المناسب.</w:t>
      </w:r>
    </w:p>
  </w:footnote>
  <w:footnote w:id="2648">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أثماتا </w:t>
      </w:r>
      <w:r>
        <w:rPr>
          <w:rFonts w:hint="eastAsia"/>
          <w:rtl/>
        </w:rPr>
        <w:t>»</w:t>
      </w:r>
      <w:r>
        <w:rPr>
          <w:rFonts w:hint="cs"/>
          <w:rtl/>
        </w:rPr>
        <w:t xml:space="preserve">، علمًا بأن الجملة الأخيرة مصـححَّة في (و) على النحو الآتي : </w:t>
      </w:r>
      <w:r>
        <w:rPr>
          <w:rFonts w:hint="eastAsia"/>
          <w:rtl/>
        </w:rPr>
        <w:t>«</w:t>
      </w:r>
      <w:r>
        <w:rPr>
          <w:rFonts w:hint="cs"/>
          <w:rtl/>
        </w:rPr>
        <w:t xml:space="preserve">لدفع ضرر عدم النماء </w:t>
      </w:r>
      <w:r>
        <w:rPr>
          <w:rFonts w:hint="cs"/>
          <w:b/>
          <w:bCs/>
          <w:rtl/>
        </w:rPr>
        <w:t>في أثمان</w:t>
      </w:r>
      <w:r>
        <w:rPr>
          <w:rFonts w:hint="cs"/>
          <w:rtl/>
        </w:rPr>
        <w:t xml:space="preserve"> من شأنه نماء ...</w:t>
      </w:r>
      <w:r>
        <w:rPr>
          <w:rFonts w:hint="eastAsia"/>
          <w:rtl/>
        </w:rPr>
        <w:t>»</w:t>
      </w:r>
      <w:r>
        <w:rPr>
          <w:rFonts w:hint="cs"/>
          <w:rtl/>
        </w:rPr>
        <w:t>.</w:t>
      </w:r>
    </w:p>
  </w:footnote>
  <w:footnote w:id="2649">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31/ب من (ب).</w:t>
      </w:r>
    </w:p>
  </w:footnote>
  <w:footnote w:id="2650">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 xml:space="preserve">)    </w:t>
      </w:r>
      <w:r>
        <w:rPr>
          <w:rFonts w:hint="cs"/>
          <w:rtl/>
        </w:rPr>
        <w:t>المراد من هذه العبارة -والله أعلم-:</w:t>
      </w:r>
    </w:p>
    <w:p w:rsidR="00035BE3" w:rsidRDefault="00035BE3" w:rsidP="00C10469">
      <w:pPr>
        <w:pStyle w:val="a6"/>
        <w:ind w:left="422" w:firstLine="0"/>
        <w:rPr>
          <w:rtl/>
        </w:rPr>
      </w:pPr>
      <w:r>
        <w:rPr>
          <w:rFonts w:hint="cs"/>
          <w:rtl/>
        </w:rPr>
        <w:t xml:space="preserve">أن الإنسان إذا كان عنده مالٌ من شأنه النماء والزيادة وأراد أن يقرضه لغيره فإنه سيتضرر بسبب </w:t>
      </w:r>
      <w:r w:rsidRPr="00C139CB">
        <w:rPr>
          <w:rFonts w:hint="cs"/>
          <w:spacing w:val="-4"/>
          <w:rtl/>
        </w:rPr>
        <w:t>تعلّق هذا المال عن النماء (أي انقطاعه عنه)؛ وحيث أن القا</w:t>
      </w:r>
      <w:r>
        <w:rPr>
          <w:rFonts w:hint="cs"/>
          <w:spacing w:val="-4"/>
          <w:rtl/>
        </w:rPr>
        <w:t>عدة تقول</w:t>
      </w:r>
      <w:r w:rsidRPr="00C139CB">
        <w:rPr>
          <w:rFonts w:hint="cs"/>
          <w:spacing w:val="-4"/>
          <w:rtl/>
        </w:rPr>
        <w:t xml:space="preserve">: </w:t>
      </w:r>
      <w:r w:rsidRPr="00C139CB">
        <w:rPr>
          <w:rFonts w:hint="eastAsia"/>
          <w:spacing w:val="-4"/>
          <w:rtl/>
        </w:rPr>
        <w:t>«</w:t>
      </w:r>
      <w:r w:rsidRPr="00C139CB">
        <w:rPr>
          <w:rFonts w:hint="cs"/>
          <w:spacing w:val="-4"/>
          <w:rtl/>
        </w:rPr>
        <w:t xml:space="preserve">الحيلة لدفع الضرر عن </w:t>
      </w:r>
      <w:r>
        <w:rPr>
          <w:rFonts w:hint="cs"/>
          <w:rtl/>
        </w:rPr>
        <w:t>نفسه جائزة، وإن تضرّر الغير في ضمنه</w:t>
      </w:r>
      <w:r>
        <w:rPr>
          <w:rFonts w:hint="eastAsia"/>
          <w:rtl/>
        </w:rPr>
        <w:t>»</w:t>
      </w:r>
      <w:r>
        <w:rPr>
          <w:rFonts w:hint="cs"/>
          <w:rtl/>
        </w:rPr>
        <w:t xml:space="preserve"> : فإنه يجوز له أن يلزم المقرض بتعويض عن فقدان هذا النماء بحيلة ما، مع أن المقترض يتضرر بسبب الالتزام بذلك!.</w:t>
      </w:r>
    </w:p>
    <w:p w:rsidR="00035BE3" w:rsidRDefault="00035BE3" w:rsidP="00C10469">
      <w:pPr>
        <w:pStyle w:val="a6"/>
        <w:ind w:left="422" w:firstLine="0"/>
        <w:rPr>
          <w:rtl/>
        </w:rPr>
      </w:pPr>
      <w:r>
        <w:rPr>
          <w:rFonts w:hint="cs"/>
          <w:rtl/>
        </w:rPr>
        <w:t>والمؤلف عندما ذكر هذا الفرع لم يذكره على سبيل التقرير له، إنما ذكره بالنظر إلى كونه يمكن تخريجه على القاعدة بناء على قول بعض العلماء.</w:t>
      </w:r>
    </w:p>
    <w:p w:rsidR="00035BE3" w:rsidRDefault="00035BE3" w:rsidP="00C10469">
      <w:pPr>
        <w:pStyle w:val="a6"/>
        <w:ind w:left="422" w:firstLine="0"/>
        <w:rPr>
          <w:spacing w:val="-2"/>
          <w:rtl/>
        </w:rPr>
      </w:pPr>
      <w:r>
        <w:rPr>
          <w:rFonts w:hint="cs"/>
          <w:spacing w:val="-2"/>
          <w:rtl/>
        </w:rPr>
        <w:t xml:space="preserve">وهذا يمكن أن يعترض عليه بأن يقال : إن من شروط القاعدة أن تكون الحيلة جائزة شرعًا، والتحايل </w:t>
      </w:r>
      <w:r w:rsidRPr="0001776C">
        <w:rPr>
          <w:rFonts w:hint="cs"/>
          <w:spacing w:val="-4"/>
          <w:rtl/>
        </w:rPr>
        <w:t xml:space="preserve">على الربا ليس بجائز أصلاً، فلا يندرج هذا الفرع تحت القاعدة لتخلّف شرط من شروطها -والله </w:t>
      </w:r>
      <w:r>
        <w:rPr>
          <w:rFonts w:hint="cs"/>
          <w:spacing w:val="-2"/>
          <w:rtl/>
        </w:rPr>
        <w:t>أعلم-.</w:t>
      </w:r>
    </w:p>
    <w:p w:rsidR="00035BE3" w:rsidRDefault="00035BE3" w:rsidP="00C10469">
      <w:pPr>
        <w:pStyle w:val="a6"/>
        <w:ind w:left="422" w:firstLine="0"/>
        <w:rPr>
          <w:rtl/>
        </w:rPr>
      </w:pPr>
      <w:r>
        <w:rPr>
          <w:rFonts w:hint="cs"/>
          <w:rtl/>
        </w:rPr>
        <w:t xml:space="preserve">وشبهة استباحة الربا بالحيل، استعرضها د. فضل إلهي وكشف النقاب عن بعض الحيل، وذلك في كتابه : التدابير الواقية من الربا في الإسلام، ص117-145، فراجعه إن شئت.   </w:t>
      </w:r>
    </w:p>
  </w:footnote>
  <w:footnote w:id="2651">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كثر </w:t>
      </w:r>
      <w:r>
        <w:rPr>
          <w:rFonts w:hint="eastAsia"/>
          <w:rtl/>
        </w:rPr>
        <w:t>»</w:t>
      </w:r>
      <w:r>
        <w:rPr>
          <w:rFonts w:hint="cs"/>
          <w:rtl/>
        </w:rPr>
        <w:t xml:space="preserve"> (بإسقاط الألف).</w:t>
      </w:r>
    </w:p>
  </w:footnote>
  <w:footnote w:id="26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أصولية تبيّن دلالة الخاص، أو حكم الخاص، </w:t>
      </w:r>
      <w:r>
        <w:rPr>
          <w:rFonts w:hint="eastAsia"/>
          <w:rtl/>
        </w:rPr>
        <w:t>«</w:t>
      </w:r>
      <w:r>
        <w:rPr>
          <w:rFonts w:hint="cs"/>
          <w:rtl/>
        </w:rPr>
        <w:t>وهو ثبوت الحكم فيما يتناوله النصُّ الخاص قطعًا</w:t>
      </w:r>
      <w:r>
        <w:rPr>
          <w:rFonts w:hint="eastAsia"/>
          <w:rtl/>
        </w:rPr>
        <w:t>»</w:t>
      </w:r>
      <w:r>
        <w:rPr>
          <w:rFonts w:hint="cs"/>
          <w:rtl/>
        </w:rPr>
        <w:t>- كذا في الميزان-.</w:t>
      </w:r>
    </w:p>
    <w:p w:rsidR="00035BE3" w:rsidRDefault="00035BE3" w:rsidP="00C10469">
      <w:pPr>
        <w:pStyle w:val="a6"/>
        <w:ind w:left="422" w:firstLine="0"/>
        <w:rPr>
          <w:rtl/>
        </w:rPr>
      </w:pPr>
      <w:r>
        <w:rPr>
          <w:rFonts w:hint="cs"/>
          <w:rtl/>
        </w:rPr>
        <w:t xml:space="preserve">وقد حكى ابن الهمام الاتفاق على هذا فقال : </w:t>
      </w:r>
      <w:r>
        <w:rPr>
          <w:rFonts w:hint="eastAsia"/>
          <w:rtl/>
        </w:rPr>
        <w:t>«</w:t>
      </w:r>
      <w:r>
        <w:rPr>
          <w:rFonts w:hint="cs"/>
          <w:rtl/>
        </w:rPr>
        <w:t>البحث الرابع : الاتفاق على إطـلاق قـطعي الدلالة على الخاص</w:t>
      </w:r>
      <w:r>
        <w:rPr>
          <w:rFonts w:hint="eastAsia"/>
          <w:rtl/>
        </w:rPr>
        <w:t>»</w:t>
      </w:r>
      <w:r>
        <w:rPr>
          <w:rFonts w:hint="cs"/>
          <w:rtl/>
        </w:rPr>
        <w:t>.</w:t>
      </w:r>
    </w:p>
    <w:p w:rsidR="00035BE3" w:rsidRDefault="00035BE3" w:rsidP="00C10469">
      <w:pPr>
        <w:pStyle w:val="a6"/>
        <w:ind w:left="422" w:firstLine="0"/>
        <w:rPr>
          <w:rtl/>
        </w:rPr>
      </w:pPr>
      <w:r>
        <w:rPr>
          <w:rFonts w:hint="cs"/>
          <w:rtl/>
        </w:rPr>
        <w:t>إلاّ أنّ صاحب الميزان والنسفي من الحنفية نسبا إلى مشايخ سمرقند كون ثبوت الحكم بالخاص ظاهرًا وليس قطعًا. وقد جعلا هذا لازمًا لقولهم بأن الاحتمال قادح في القطع؛ لأن الخاص يحتمل المجاز، ومع الاحتمال لا يتصور القطع.</w:t>
      </w:r>
    </w:p>
    <w:p w:rsidR="00035BE3" w:rsidRDefault="00035BE3" w:rsidP="00C10469">
      <w:pPr>
        <w:pStyle w:val="a6"/>
        <w:ind w:left="422" w:firstLine="0"/>
        <w:rPr>
          <w:rtl/>
        </w:rPr>
      </w:pPr>
      <w:r>
        <w:rPr>
          <w:rFonts w:hint="cs"/>
          <w:rtl/>
        </w:rPr>
        <w:t>ويلحظ على هذا القول المنسوب إلى مشايخ سمرقند أنهم لم يصرحوا به وإنما خ</w:t>
      </w:r>
      <w:r>
        <w:rPr>
          <w:rtl/>
        </w:rPr>
        <w:t>ُ</w:t>
      </w:r>
      <w:r>
        <w:rPr>
          <w:rFonts w:hint="cs"/>
          <w:rtl/>
        </w:rPr>
        <w:t xml:space="preserve">رِّج على قول آخر لهم، ومع ذلك فقد حاول القاءاني التوفيق بينه وبين قول القائلين بأنه يفيد القطع فقال : </w:t>
      </w:r>
      <w:r>
        <w:rPr>
          <w:rFonts w:hint="eastAsia"/>
          <w:rtl/>
        </w:rPr>
        <w:t>«</w:t>
      </w:r>
      <w:r>
        <w:rPr>
          <w:rFonts w:hint="cs"/>
          <w:rtl/>
        </w:rPr>
        <w:t>اعلم أنّ القطع يستعمل لـمعنيين.</w:t>
      </w:r>
    </w:p>
    <w:p w:rsidR="00035BE3" w:rsidRDefault="00035BE3" w:rsidP="00C10469">
      <w:pPr>
        <w:pStyle w:val="a6"/>
        <w:ind w:left="422" w:firstLine="0"/>
        <w:rPr>
          <w:rtl/>
        </w:rPr>
      </w:pPr>
      <w:r>
        <w:rPr>
          <w:rFonts w:hint="cs"/>
          <w:b/>
          <w:bCs/>
          <w:rtl/>
        </w:rPr>
        <w:t>أحدهما</w:t>
      </w:r>
      <w:r>
        <w:rPr>
          <w:rFonts w:hint="cs"/>
          <w:rtl/>
        </w:rPr>
        <w:t xml:space="preserve"> : أن لا يكون ثمّة احتمال أصلاً.</w:t>
      </w:r>
    </w:p>
    <w:p w:rsidR="00035BE3" w:rsidRDefault="00035BE3" w:rsidP="00C10469">
      <w:pPr>
        <w:pStyle w:val="a6"/>
        <w:ind w:left="422" w:firstLine="0"/>
        <w:rPr>
          <w:rtl/>
        </w:rPr>
      </w:pPr>
      <w:r>
        <w:rPr>
          <w:rFonts w:hint="cs"/>
          <w:b/>
          <w:bCs/>
          <w:rtl/>
        </w:rPr>
        <w:t>والثاني</w:t>
      </w:r>
      <w:r>
        <w:rPr>
          <w:rFonts w:hint="cs"/>
          <w:rtl/>
        </w:rPr>
        <w:t xml:space="preserve"> : أن لا يكون احتمال ناشىء عن دليل</w:t>
      </w:r>
      <w:r>
        <w:rPr>
          <w:rFonts w:hint="eastAsia"/>
          <w:rtl/>
        </w:rPr>
        <w:t xml:space="preserve"> »</w:t>
      </w:r>
      <w:r>
        <w:rPr>
          <w:rFonts w:hint="cs"/>
          <w:rtl/>
        </w:rPr>
        <w:t>.</w:t>
      </w:r>
    </w:p>
    <w:p w:rsidR="00035BE3" w:rsidRDefault="00035BE3" w:rsidP="00C10469">
      <w:pPr>
        <w:pStyle w:val="a6"/>
        <w:ind w:left="422" w:firstLine="0"/>
        <w:rPr>
          <w:rtl/>
        </w:rPr>
      </w:pPr>
      <w:r>
        <w:rPr>
          <w:rFonts w:hint="cs"/>
          <w:rtl/>
        </w:rPr>
        <w:t xml:space="preserve">وقد نقل نحو هذا عن القاءاني د. سعد الشثري، ثم قال عقبه مباشرة :- </w:t>
      </w:r>
      <w:r>
        <w:rPr>
          <w:rFonts w:hint="eastAsia"/>
          <w:rtl/>
        </w:rPr>
        <w:t>«</w:t>
      </w:r>
      <w:r>
        <w:rPr>
          <w:rFonts w:hint="cs"/>
          <w:rtl/>
        </w:rPr>
        <w:t>وعلى كلٍّ فالخاص لا يرد عليه الاحتمال الناشيء عن دليل بالاتفاق، فهو قطعي</w:t>
      </w:r>
      <w:r>
        <w:rPr>
          <w:rFonts w:hint="eastAsia"/>
          <w:rtl/>
        </w:rPr>
        <w:t>»</w:t>
      </w:r>
      <w:r>
        <w:rPr>
          <w:rFonts w:hint="cs"/>
          <w:rtl/>
        </w:rPr>
        <w:t>.</w:t>
      </w:r>
    </w:p>
    <w:p w:rsidR="00035BE3" w:rsidRDefault="00035BE3" w:rsidP="00C10469">
      <w:pPr>
        <w:pStyle w:val="a6"/>
        <w:ind w:left="422" w:firstLine="0"/>
        <w:rPr>
          <w:rtl/>
        </w:rPr>
      </w:pPr>
      <w:r>
        <w:rPr>
          <w:rFonts w:hint="cs"/>
          <w:rtl/>
        </w:rPr>
        <w:t>ميزان الأصول، 1/438؛ التحرير وشرحاه : التقرير، 1/238؛ وتيسير التحرير، 1/267؛ كشف الأسرار للنسفي، 1/29؛ شرح المغني للقاءاني، ق1، جـ2، ص409-410؛ القطع والظن عند الأصوليين للدكتور سعد الشثري، 1/340.</w:t>
      </w:r>
    </w:p>
    <w:p w:rsidR="00035BE3" w:rsidRDefault="00035BE3" w:rsidP="00C10469">
      <w:pPr>
        <w:pStyle w:val="a6"/>
        <w:ind w:left="422" w:firstLine="0"/>
        <w:rPr>
          <w:spacing w:val="14"/>
          <w:rtl/>
        </w:rPr>
      </w:pPr>
      <w:r>
        <w:rPr>
          <w:rFonts w:hint="cs"/>
          <w:spacing w:val="14"/>
          <w:rtl/>
        </w:rPr>
        <w:t xml:space="preserve">وانظر القاعدة أيضًا في : أصول البزدوي وشرحه كشف الأسرار، 1/196؛ العدة للقاضي أبي يعلي، 2/645؛ إحكام الفصول، ص169؛ شرح اللمع، 1/365، 368؛ أصول السرخسي، 1/137؛ التمهيد لأبي الخطاب، 2/149؛ المغني للخبازي، ص93؛ شرح مـختصر الروضة، 2/564؛ فتح الغفار، 1/95؛ التنقيح وشرحيه : التوضيح والتلويح، 1/34-35؛ بيان المختصر، 2/312؛ البحر المحيط، 3/29 - وقد جاء فيه أن قولهم: </w:t>
      </w:r>
      <w:r>
        <w:rPr>
          <w:rFonts w:hint="eastAsia"/>
          <w:spacing w:val="14"/>
          <w:rtl/>
        </w:rPr>
        <w:t>«</w:t>
      </w:r>
      <w:r>
        <w:rPr>
          <w:rFonts w:hint="cs"/>
          <w:spacing w:val="14"/>
          <w:rtl/>
        </w:rPr>
        <w:t>الخاص مقطوع الدلالة</w:t>
      </w:r>
      <w:r>
        <w:rPr>
          <w:rFonts w:hint="eastAsia"/>
          <w:spacing w:val="14"/>
          <w:rtl/>
        </w:rPr>
        <w:t>»</w:t>
      </w:r>
      <w:r>
        <w:rPr>
          <w:rFonts w:hint="cs"/>
          <w:spacing w:val="14"/>
          <w:rtl/>
        </w:rPr>
        <w:t xml:space="preserve"> لا يريدون به أن دلالة اللفظ فيه قطعية؛ بل لا يحتمل التخصيص-؛ مرآة الأصول وحاشيته الإزميري عليها، 1/130-131؛ إتحاف الأنام بتخصيص العام، ص158.</w:t>
      </w:r>
    </w:p>
  </w:footnote>
  <w:footnote w:id="26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زيادة واو (والمطلقات).</w:t>
      </w:r>
    </w:p>
  </w:footnote>
  <w:footnote w:id="26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(228) من سورة (البقرة).</w:t>
      </w:r>
    </w:p>
  </w:footnote>
  <w:footnote w:id="2655">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المغني للخبازي، ص93؛ وشرحه للقاءاني، ق1، جـ2، ص410؛ وانظر: أصول السرخسي، 1/128.</w:t>
      </w:r>
    </w:p>
  </w:footnote>
  <w:footnote w:id="26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الأم، 5/209؛ أحكام القرآن للشافعي، ص259.</w:t>
      </w:r>
    </w:p>
  </w:footnote>
  <w:footnote w:id="26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48/ب من (أ).</w:t>
      </w:r>
    </w:p>
  </w:footnote>
  <w:footnote w:id="26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الترابص </w:t>
      </w:r>
      <w:r>
        <w:rPr>
          <w:rFonts w:hint="eastAsia"/>
          <w:rtl/>
        </w:rPr>
        <w:t>»</w:t>
      </w:r>
      <w:r>
        <w:rPr>
          <w:rFonts w:hint="cs"/>
          <w:rtl/>
        </w:rPr>
        <w:t>.</w:t>
      </w:r>
    </w:p>
  </w:footnote>
  <w:footnote w:id="26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شرح المغني للقاءاني) زيادةٌ توضّح المعنى، حيث جاء فيه : </w:t>
      </w:r>
      <w:r>
        <w:rPr>
          <w:rFonts w:hint="eastAsia"/>
          <w:rtl/>
        </w:rPr>
        <w:t>«</w:t>
      </w:r>
      <w:r>
        <w:rPr>
          <w:rFonts w:hint="cs"/>
          <w:rtl/>
        </w:rPr>
        <w:t>فإذا طلقها فيه لا يجب عليها التربص فيه بثلاثة أطهار إجماعًا.</w:t>
      </w:r>
    </w:p>
    <w:p w:rsidR="00035BE3" w:rsidRDefault="00035BE3" w:rsidP="00C10469">
      <w:pPr>
        <w:pStyle w:val="a6"/>
        <w:ind w:left="422" w:firstLine="0"/>
        <w:rPr>
          <w:rtl/>
        </w:rPr>
      </w:pPr>
      <w:r>
        <w:rPr>
          <w:rFonts w:hint="cs"/>
          <w:rtl/>
        </w:rPr>
        <w:t>أما عندنا فظاهر، وأما عند الشافعي؛ فلأن الطهر الذي وقع فيه الطلاق محسوب عنده فتنقضي ...</w:t>
      </w:r>
      <w:r>
        <w:rPr>
          <w:rFonts w:hint="eastAsia"/>
          <w:rtl/>
        </w:rPr>
        <w:t>»</w:t>
      </w:r>
      <w:r>
        <w:rPr>
          <w:rFonts w:hint="cs"/>
          <w:rtl/>
        </w:rPr>
        <w:t>.</w:t>
      </w:r>
    </w:p>
  </w:footnote>
  <w:footnote w:id="26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فيها</w:t>
      </w:r>
      <w:r>
        <w:rPr>
          <w:rFonts w:hint="eastAsia"/>
          <w:rtl/>
        </w:rPr>
        <w:t>»</w:t>
      </w:r>
      <w:r>
        <w:rPr>
          <w:rFonts w:hint="cs"/>
          <w:rtl/>
        </w:rPr>
        <w:t>. والصحيح ما تمَّ إثباته من (ب)، وهو الموافق لشرح القاءاني.</w:t>
      </w:r>
    </w:p>
  </w:footnote>
  <w:footnote w:id="26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ينافي</w:t>
      </w:r>
      <w:r>
        <w:rPr>
          <w:rFonts w:hint="eastAsia"/>
          <w:rtl/>
        </w:rPr>
        <w:t>»</w:t>
      </w:r>
      <w:r>
        <w:rPr>
          <w:rFonts w:hint="cs"/>
          <w:rtl/>
        </w:rPr>
        <w:t>.</w:t>
      </w:r>
    </w:p>
  </w:footnote>
  <w:footnote w:id="26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37/ب من (جـ). وقد جاء في (جـ) : </w:t>
      </w:r>
      <w:r>
        <w:rPr>
          <w:rFonts w:hint="eastAsia"/>
          <w:rtl/>
        </w:rPr>
        <w:t>«</w:t>
      </w:r>
      <w:r>
        <w:rPr>
          <w:rFonts w:hint="cs"/>
          <w:rtl/>
        </w:rPr>
        <w:t>بباقي والطهر</w:t>
      </w:r>
      <w:r>
        <w:rPr>
          <w:rFonts w:hint="eastAsia"/>
          <w:rtl/>
        </w:rPr>
        <w:t>»</w:t>
      </w:r>
      <w:r>
        <w:rPr>
          <w:rFonts w:hint="cs"/>
          <w:rtl/>
        </w:rPr>
        <w:t xml:space="preserve"> (بإسقاط ذلك وزيادة الواو).</w:t>
      </w:r>
    </w:p>
  </w:footnote>
  <w:footnote w:id="26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والطهرين</w:t>
      </w:r>
      <w:r>
        <w:rPr>
          <w:rFonts w:hint="eastAsia"/>
          <w:rtl/>
        </w:rPr>
        <w:t>»</w:t>
      </w:r>
      <w:r>
        <w:rPr>
          <w:rFonts w:hint="cs"/>
          <w:rtl/>
        </w:rPr>
        <w:t>.</w:t>
      </w:r>
    </w:p>
  </w:footnote>
  <w:footnote w:id="26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إبطال </w:t>
      </w:r>
      <w:r>
        <w:rPr>
          <w:rFonts w:hint="eastAsia"/>
          <w:rtl/>
        </w:rPr>
        <w:t>»</w:t>
      </w:r>
      <w:r>
        <w:rPr>
          <w:rFonts w:hint="cs"/>
          <w:rtl/>
        </w:rPr>
        <w:t xml:space="preserve">. والصحيح ما تمَّ إثباته من (ب) و(د)؛ لأن (إبطالاً) : اسم إنّ، واسمها منصوب. علمًا بأنه جاء في شرح القاءاني : </w:t>
      </w:r>
      <w:r>
        <w:rPr>
          <w:rFonts w:hint="eastAsia"/>
          <w:rtl/>
        </w:rPr>
        <w:t>«</w:t>
      </w:r>
      <w:r>
        <w:rPr>
          <w:rFonts w:hint="cs"/>
          <w:rtl/>
        </w:rPr>
        <w:t>وفيه إبطال موجب الخاص</w:t>
      </w:r>
      <w:r>
        <w:rPr>
          <w:rFonts w:hint="eastAsia"/>
          <w:rtl/>
        </w:rPr>
        <w:t>»</w:t>
      </w:r>
      <w:r>
        <w:rPr>
          <w:rFonts w:hint="cs"/>
          <w:rtl/>
        </w:rPr>
        <w:t>.</w:t>
      </w:r>
    </w:p>
  </w:footnote>
  <w:footnote w:id="26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القاءاني : </w:t>
      </w:r>
      <w:r>
        <w:rPr>
          <w:rFonts w:hint="eastAsia"/>
          <w:rtl/>
        </w:rPr>
        <w:t>«</w:t>
      </w:r>
      <w:r>
        <w:rPr>
          <w:rFonts w:hint="cs"/>
          <w:rtl/>
        </w:rPr>
        <w:t>بثلاثة</w:t>
      </w:r>
      <w:r>
        <w:rPr>
          <w:rFonts w:hint="eastAsia"/>
          <w:rtl/>
        </w:rPr>
        <w:t>»</w:t>
      </w:r>
      <w:r>
        <w:rPr>
          <w:rFonts w:hint="cs"/>
          <w:rtl/>
        </w:rPr>
        <w:t>. وهذا الصحيح؛ لأن المعدود مذكر والثلاثة تخالفه في التذكير والتأنيث.</w:t>
      </w:r>
    </w:p>
  </w:footnote>
  <w:footnote w:id="2666">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شرح المغني للقاءاني، ق1، جـ2، ص411 -مع اختلاف سبق بيان أكثره-؛ وانظر: أصول السرخسي، 1/128.</w:t>
      </w:r>
    </w:p>
  </w:footnote>
  <w:footnote w:id="26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30/ب من (د).</w:t>
      </w:r>
    </w:p>
  </w:footnote>
  <w:footnote w:id="26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يحسب </w:t>
      </w:r>
      <w:r>
        <w:rPr>
          <w:rFonts w:hint="eastAsia"/>
          <w:rtl/>
        </w:rPr>
        <w:t>»</w:t>
      </w:r>
      <w:r>
        <w:rPr>
          <w:rFonts w:hint="cs"/>
          <w:rtl/>
        </w:rPr>
        <w:t>.</w:t>
      </w:r>
    </w:p>
  </w:footnote>
  <w:footnote w:id="2669">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(ب) : </w:t>
      </w:r>
      <w:r>
        <w:rPr>
          <w:rFonts w:hint="eastAsia"/>
          <w:spacing w:val="4"/>
          <w:rtl/>
        </w:rPr>
        <w:t>«</w:t>
      </w:r>
      <w:r>
        <w:rPr>
          <w:rFonts w:hint="cs"/>
          <w:spacing w:val="4"/>
          <w:rtl/>
        </w:rPr>
        <w:t xml:space="preserve"> الازياد </w:t>
      </w:r>
      <w:r>
        <w:rPr>
          <w:rFonts w:hint="eastAsia"/>
          <w:spacing w:val="4"/>
          <w:rtl/>
        </w:rPr>
        <w:t>»</w:t>
      </w:r>
      <w:r>
        <w:rPr>
          <w:rFonts w:hint="cs"/>
          <w:spacing w:val="4"/>
          <w:rtl/>
        </w:rPr>
        <w:t xml:space="preserve">، وفي (جـ) : </w:t>
      </w:r>
      <w:r>
        <w:rPr>
          <w:rFonts w:hint="eastAsia"/>
          <w:spacing w:val="4"/>
          <w:rtl/>
        </w:rPr>
        <w:t>«</w:t>
      </w:r>
      <w:r>
        <w:rPr>
          <w:rFonts w:hint="cs"/>
          <w:spacing w:val="4"/>
          <w:rtl/>
        </w:rPr>
        <w:t xml:space="preserve"> الازيادة </w:t>
      </w:r>
      <w:r>
        <w:rPr>
          <w:rFonts w:hint="eastAsia"/>
          <w:spacing w:val="4"/>
          <w:rtl/>
        </w:rPr>
        <w:t>»</w:t>
      </w:r>
      <w:r>
        <w:rPr>
          <w:rFonts w:hint="cs"/>
          <w:spacing w:val="4"/>
          <w:rtl/>
        </w:rPr>
        <w:t xml:space="preserve">. وقد جـاء في شرح القاءاني : </w:t>
      </w:r>
      <w:r>
        <w:rPr>
          <w:rFonts w:hint="eastAsia"/>
          <w:spacing w:val="4"/>
          <w:rtl/>
        </w:rPr>
        <w:t>«</w:t>
      </w:r>
      <w:r>
        <w:rPr>
          <w:rFonts w:hint="cs"/>
          <w:spacing w:val="4"/>
          <w:rtl/>
        </w:rPr>
        <w:t>الازدياد ثبت ...</w:t>
      </w:r>
      <w:r>
        <w:rPr>
          <w:rFonts w:hint="eastAsia"/>
          <w:spacing w:val="4"/>
          <w:rtl/>
        </w:rPr>
        <w:t>»</w:t>
      </w:r>
      <w:r>
        <w:rPr>
          <w:rFonts w:hint="cs"/>
          <w:spacing w:val="4"/>
          <w:rtl/>
        </w:rPr>
        <w:t xml:space="preserve">، كما جاء في هامش (أ) : </w:t>
      </w:r>
      <w:r>
        <w:rPr>
          <w:rFonts w:hint="eastAsia"/>
          <w:spacing w:val="4"/>
          <w:rtl/>
        </w:rPr>
        <w:t>«</w:t>
      </w:r>
      <w:r>
        <w:rPr>
          <w:rFonts w:hint="cs"/>
          <w:spacing w:val="4"/>
          <w:rtl/>
        </w:rPr>
        <w:t>أي زيادة ونقصانه</w:t>
      </w:r>
      <w:r>
        <w:rPr>
          <w:rFonts w:hint="eastAsia"/>
          <w:spacing w:val="4"/>
          <w:rtl/>
        </w:rPr>
        <w:t>»</w:t>
      </w:r>
      <w:r>
        <w:rPr>
          <w:rFonts w:hint="cs"/>
          <w:spacing w:val="4"/>
          <w:rtl/>
        </w:rPr>
        <w:t>.</w:t>
      </w:r>
    </w:p>
  </w:footnote>
  <w:footnote w:id="26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مفتقرًا</w:t>
      </w:r>
      <w:r>
        <w:rPr>
          <w:rFonts w:hint="eastAsia"/>
          <w:rtl/>
        </w:rPr>
        <w:t>»</w:t>
      </w:r>
      <w:r>
        <w:rPr>
          <w:rFonts w:hint="cs"/>
          <w:rtl/>
        </w:rPr>
        <w:t xml:space="preserve">. والصحيح ما تمَّ إثباته من (د)، وهو الموافق لشرح القاءاني؛ حيث جاء فيه : </w:t>
      </w:r>
      <w:r>
        <w:rPr>
          <w:rFonts w:hint="eastAsia"/>
          <w:rtl/>
        </w:rPr>
        <w:t>«</w:t>
      </w:r>
      <w:r>
        <w:rPr>
          <w:rFonts w:hint="cs"/>
          <w:rtl/>
        </w:rPr>
        <w:t>فيكون مغتفرًا؛ وذلك لأن ...</w:t>
      </w:r>
      <w:r>
        <w:rPr>
          <w:rFonts w:hint="eastAsia"/>
          <w:rtl/>
        </w:rPr>
        <w:t>»</w:t>
      </w:r>
      <w:r>
        <w:rPr>
          <w:rFonts w:hint="cs"/>
          <w:rtl/>
        </w:rPr>
        <w:t>.</w:t>
      </w:r>
    </w:p>
  </w:footnote>
  <w:footnote w:id="26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الحصة</w:t>
      </w:r>
      <w:r>
        <w:rPr>
          <w:rFonts w:hint="eastAsia"/>
          <w:rtl/>
        </w:rPr>
        <w:t>»</w:t>
      </w:r>
      <w:r>
        <w:rPr>
          <w:rFonts w:hint="cs"/>
          <w:rtl/>
        </w:rPr>
        <w:t>.</w:t>
      </w:r>
    </w:p>
  </w:footnote>
  <w:footnote w:id="26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التنجيرية </w:t>
      </w:r>
      <w:r>
        <w:rPr>
          <w:rFonts w:hint="eastAsia"/>
          <w:rtl/>
        </w:rPr>
        <w:t>»</w:t>
      </w:r>
      <w:r>
        <w:rPr>
          <w:rFonts w:hint="cs"/>
          <w:rtl/>
        </w:rPr>
        <w:t xml:space="preserve">. والصحيح ما تمَّ إثباته من (ب) و(د)، وهو الموافق لشرح القاءاني؛ حيث جاء فيه : </w:t>
      </w:r>
      <w:r>
        <w:rPr>
          <w:rFonts w:hint="eastAsia"/>
          <w:rtl/>
        </w:rPr>
        <w:t>«</w:t>
      </w:r>
      <w:r>
        <w:rPr>
          <w:rFonts w:hint="cs"/>
          <w:rtl/>
        </w:rPr>
        <w:t>لا تقبل التجزئة؛ ولهذا قلنا : لو قال لامرأته ...</w:t>
      </w:r>
      <w:r>
        <w:rPr>
          <w:rFonts w:hint="eastAsia"/>
          <w:rtl/>
        </w:rPr>
        <w:t>»</w:t>
      </w:r>
      <w:r>
        <w:rPr>
          <w:rFonts w:hint="cs"/>
          <w:rtl/>
        </w:rPr>
        <w:t>.</w:t>
      </w:r>
    </w:p>
  </w:footnote>
  <w:footnote w:id="26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القاءاني : </w:t>
      </w:r>
      <w:r>
        <w:rPr>
          <w:rFonts w:hint="eastAsia"/>
          <w:rtl/>
        </w:rPr>
        <w:t>«</w:t>
      </w:r>
      <w:r>
        <w:rPr>
          <w:rFonts w:hint="cs"/>
          <w:rtl/>
        </w:rPr>
        <w:t>لا تطلق حتى تطهر؛ كما لو قال : حيضة. كذا في (الأسرار) وقد وجب تكميل...</w:t>
      </w:r>
      <w:r>
        <w:rPr>
          <w:rFonts w:hint="eastAsia"/>
          <w:rtl/>
        </w:rPr>
        <w:t>»</w:t>
      </w:r>
      <w:r>
        <w:rPr>
          <w:rFonts w:hint="cs"/>
          <w:rtl/>
        </w:rPr>
        <w:t>، وقد أحال المحقق إلى الأسرار للدبوسي، ل49/أ.</w:t>
      </w:r>
    </w:p>
  </w:footnote>
  <w:footnote w:id="26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2/412 -مع اختلاف سبق بيانه أكثره -.</w:t>
      </w:r>
    </w:p>
  </w:footnote>
  <w:footnote w:id="26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يشير إلى قاعدة سيأتي الحديث عنها استقلالاً، ص698 (ل53/ب)، قاعدة 129.</w:t>
      </w:r>
    </w:p>
  </w:footnote>
  <w:footnote w:id="26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طلاق كامل</w:t>
      </w:r>
      <w:r>
        <w:rPr>
          <w:rFonts w:hint="eastAsia"/>
          <w:rtl/>
        </w:rPr>
        <w:t>»</w:t>
      </w:r>
      <w:r>
        <w:rPr>
          <w:rFonts w:hint="cs"/>
          <w:rtl/>
        </w:rPr>
        <w:t>.</w:t>
      </w:r>
    </w:p>
  </w:footnote>
  <w:footnote w:id="2677">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(ب) و(د) : </w:t>
      </w:r>
      <w:r>
        <w:rPr>
          <w:rFonts w:hint="eastAsia"/>
          <w:spacing w:val="-6"/>
          <w:rtl/>
        </w:rPr>
        <w:t>«</w:t>
      </w:r>
      <w:r>
        <w:rPr>
          <w:rFonts w:hint="cs"/>
          <w:spacing w:val="-6"/>
          <w:rtl/>
        </w:rPr>
        <w:t>بعدم</w:t>
      </w:r>
      <w:r>
        <w:rPr>
          <w:rFonts w:hint="eastAsia"/>
          <w:spacing w:val="-6"/>
          <w:rtl/>
        </w:rPr>
        <w:t>»</w:t>
      </w:r>
      <w:r>
        <w:rPr>
          <w:rFonts w:hint="cs"/>
          <w:spacing w:val="-6"/>
          <w:rtl/>
        </w:rPr>
        <w:t>. وهذا وإن كان أقرب ممّا في (أ) و(جـ) إلاَّ أنه لو قال : (لعدم) لكان أولى.</w:t>
      </w:r>
    </w:p>
  </w:footnote>
  <w:footnote w:id="26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الوِلاء في اللغة:</w:t>
      </w:r>
      <w:r>
        <w:rPr>
          <w:rFonts w:hint="cs"/>
          <w:rtl/>
        </w:rPr>
        <w:t xml:space="preserve"> مشتقة من مادة </w:t>
      </w:r>
      <w:r>
        <w:rPr>
          <w:rFonts w:hint="eastAsia"/>
          <w:rtl/>
        </w:rPr>
        <w:t>«</w:t>
      </w:r>
      <w:r>
        <w:rPr>
          <w:rFonts w:hint="cs"/>
          <w:rtl/>
        </w:rPr>
        <w:t>ولي</w:t>
      </w:r>
      <w:r>
        <w:rPr>
          <w:rFonts w:hint="eastAsia"/>
          <w:rtl/>
        </w:rPr>
        <w:t>»</w:t>
      </w:r>
      <w:r>
        <w:rPr>
          <w:rFonts w:hint="cs"/>
          <w:rtl/>
        </w:rPr>
        <w:t xml:space="preserve">، والواو واللام والياء - كما يقول ابن فارس -: </w:t>
      </w:r>
      <w:r>
        <w:rPr>
          <w:rFonts w:hint="eastAsia"/>
          <w:rtl/>
        </w:rPr>
        <w:t>«</w:t>
      </w:r>
      <w:r>
        <w:rPr>
          <w:rFonts w:hint="cs"/>
          <w:rtl/>
        </w:rPr>
        <w:t>أصل صحيح يدل على قرب</w:t>
      </w:r>
      <w:r>
        <w:rPr>
          <w:rFonts w:hint="eastAsia"/>
          <w:rtl/>
        </w:rPr>
        <w:t>»</w:t>
      </w:r>
      <w:r>
        <w:rPr>
          <w:rFonts w:hint="cs"/>
          <w:rtl/>
        </w:rPr>
        <w:t xml:space="preserve">. ومن ذلك ما جاء في (القاموس): </w:t>
      </w:r>
      <w:r>
        <w:rPr>
          <w:rFonts w:hint="eastAsia"/>
          <w:rtl/>
        </w:rPr>
        <w:t>«</w:t>
      </w:r>
      <w:r>
        <w:rPr>
          <w:rFonts w:hint="cs"/>
          <w:rtl/>
        </w:rPr>
        <w:t xml:space="preserve"> والى بين الأمرين موالاة ووِلاء: تابع</w:t>
      </w:r>
      <w:r>
        <w:rPr>
          <w:rFonts w:hint="eastAsia"/>
          <w:rtl/>
        </w:rPr>
        <w:t>»</w:t>
      </w:r>
      <w:r>
        <w:rPr>
          <w:rFonts w:hint="cs"/>
          <w:rtl/>
        </w:rPr>
        <w:t>.</w:t>
      </w:r>
    </w:p>
    <w:p w:rsidR="00035BE3" w:rsidRDefault="00035BE3" w:rsidP="00C10469">
      <w:pPr>
        <w:pStyle w:val="a6"/>
        <w:ind w:left="420" w:firstLine="0"/>
        <w:rPr>
          <w:rtl/>
        </w:rPr>
      </w:pPr>
      <w:r>
        <w:rPr>
          <w:rFonts w:hint="cs"/>
          <w:b/>
          <w:bCs/>
          <w:rtl/>
        </w:rPr>
        <w:t>أما في الاصطلاح</w:t>
      </w:r>
      <w:r>
        <w:rPr>
          <w:rFonts w:hint="cs"/>
          <w:rtl/>
        </w:rPr>
        <w:t xml:space="preserve"> : فقد بيّنه المجدّدي بقوله : </w:t>
      </w:r>
      <w:r>
        <w:rPr>
          <w:rFonts w:hint="eastAsia"/>
          <w:rtl/>
        </w:rPr>
        <w:t>«</w:t>
      </w:r>
      <w:r>
        <w:rPr>
          <w:rFonts w:hint="cs"/>
          <w:rtl/>
        </w:rPr>
        <w:t>الوِلاء في الوضوء : هي المتابعة، يعني غسل الأعضاء على سبيل التعاقب، بحيث لا يجفّ العضو الأول</w:t>
      </w:r>
      <w:r>
        <w:rPr>
          <w:rFonts w:hint="eastAsia"/>
          <w:rtl/>
        </w:rPr>
        <w:t>»</w:t>
      </w:r>
      <w:r>
        <w:rPr>
          <w:rFonts w:hint="cs"/>
          <w:rtl/>
        </w:rPr>
        <w:t>.</w:t>
      </w:r>
    </w:p>
    <w:p w:rsidR="00035BE3" w:rsidRDefault="00035BE3" w:rsidP="00C10469">
      <w:pPr>
        <w:pStyle w:val="a6"/>
        <w:ind w:left="420" w:firstLine="0"/>
        <w:rPr>
          <w:rtl/>
        </w:rPr>
      </w:pPr>
      <w:r>
        <w:rPr>
          <w:rFonts w:hint="cs"/>
          <w:rtl/>
        </w:rPr>
        <w:t xml:space="preserve">المقاييس في اللغة، مادة </w:t>
      </w:r>
      <w:r>
        <w:rPr>
          <w:rFonts w:hint="eastAsia"/>
          <w:rtl/>
        </w:rPr>
        <w:t>«</w:t>
      </w:r>
      <w:r>
        <w:rPr>
          <w:rFonts w:hint="cs"/>
          <w:rtl/>
        </w:rPr>
        <w:t>ولي</w:t>
      </w:r>
      <w:r>
        <w:rPr>
          <w:rFonts w:hint="eastAsia"/>
          <w:rtl/>
        </w:rPr>
        <w:t>»</w:t>
      </w:r>
      <w:r>
        <w:rPr>
          <w:rFonts w:hint="cs"/>
          <w:rtl/>
        </w:rPr>
        <w:t xml:space="preserve">، ص1104؛ القاموس المحيط، مادة </w:t>
      </w:r>
      <w:r>
        <w:rPr>
          <w:rFonts w:hint="eastAsia"/>
          <w:rtl/>
        </w:rPr>
        <w:t>«</w:t>
      </w:r>
      <w:r>
        <w:rPr>
          <w:rFonts w:hint="cs"/>
          <w:rtl/>
        </w:rPr>
        <w:t>ولي</w:t>
      </w:r>
      <w:r>
        <w:rPr>
          <w:rFonts w:hint="eastAsia"/>
          <w:rtl/>
        </w:rPr>
        <w:t>»</w:t>
      </w:r>
      <w:r>
        <w:rPr>
          <w:rFonts w:hint="cs"/>
          <w:rtl/>
        </w:rPr>
        <w:t>، ص1732؛ قواعد الفقه (الرسالة الرابعة : التعريفات الفقهية)، ص547؛ وانظر : معجم لغة الفقهاء، ص480.</w:t>
      </w:r>
    </w:p>
  </w:footnote>
  <w:footnote w:id="2679">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الضوء </w:t>
      </w:r>
      <w:r>
        <w:rPr>
          <w:rFonts w:hint="eastAsia"/>
          <w:rtl/>
        </w:rPr>
        <w:t>»</w:t>
      </w:r>
      <w:r>
        <w:rPr>
          <w:rFonts w:hint="cs"/>
          <w:rtl/>
        </w:rPr>
        <w:t>.</w:t>
      </w:r>
    </w:p>
  </w:footnote>
  <w:footnote w:id="2680">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لفظين </w:t>
      </w:r>
      <w:r>
        <w:rPr>
          <w:rFonts w:hint="eastAsia"/>
          <w:rtl/>
        </w:rPr>
        <w:t>»</w:t>
      </w:r>
      <w:r>
        <w:rPr>
          <w:rFonts w:hint="cs"/>
          <w:rtl/>
        </w:rPr>
        <w:t>. والصحيح ما تمَّ إثباته من (ب)؛ لأن (لفظان) خبر (إن)، وخبرها مرفوع وليس منصوبًا.</w:t>
      </w:r>
    </w:p>
  </w:footnote>
  <w:footnote w:id="2681">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(أ) و(جـ) و(هـ) و(و)، وفي (ب) : </w:t>
      </w:r>
      <w:r>
        <w:rPr>
          <w:rFonts w:hint="eastAsia"/>
          <w:rtl/>
        </w:rPr>
        <w:t>«</w:t>
      </w:r>
      <w:r>
        <w:rPr>
          <w:rFonts w:hint="cs"/>
          <w:rtl/>
        </w:rPr>
        <w:t>ماضيان</w:t>
      </w:r>
      <w:r>
        <w:rPr>
          <w:rFonts w:hint="eastAsia"/>
          <w:rtl/>
        </w:rPr>
        <w:t>»</w:t>
      </w:r>
      <w:r>
        <w:rPr>
          <w:rFonts w:hint="cs"/>
          <w:rtl/>
        </w:rPr>
        <w:t xml:space="preserve">، وفي (د) : </w:t>
      </w:r>
      <w:r>
        <w:rPr>
          <w:rFonts w:hint="eastAsia"/>
          <w:rtl/>
        </w:rPr>
        <w:t>«</w:t>
      </w:r>
      <w:r>
        <w:rPr>
          <w:rFonts w:hint="cs"/>
          <w:rtl/>
        </w:rPr>
        <w:t>ماضيين</w:t>
      </w:r>
      <w:r>
        <w:rPr>
          <w:rFonts w:hint="eastAsia"/>
          <w:rtl/>
        </w:rPr>
        <w:t>»</w:t>
      </w:r>
      <w:r>
        <w:rPr>
          <w:rFonts w:hint="cs"/>
          <w:rtl/>
        </w:rPr>
        <w:t xml:space="preserve"> والذي يظهر أنها (خاصان)؛ لأنها صفةٌ لِـ (لفظان)، والصفة تتبع الموصوف.</w:t>
      </w:r>
    </w:p>
  </w:footnote>
  <w:footnote w:id="2682">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قال في بداية التعليل : </w:t>
      </w:r>
      <w:r>
        <w:rPr>
          <w:rFonts w:hint="eastAsia"/>
          <w:rtl/>
        </w:rPr>
        <w:t>«</w:t>
      </w:r>
      <w:r>
        <w:rPr>
          <w:rFonts w:hint="cs"/>
          <w:rtl/>
        </w:rPr>
        <w:t>لأن الغسل والمسح</w:t>
      </w:r>
      <w:r>
        <w:rPr>
          <w:rFonts w:hint="eastAsia"/>
          <w:rtl/>
        </w:rPr>
        <w:t>»</w:t>
      </w:r>
      <w:r>
        <w:rPr>
          <w:rFonts w:hint="cs"/>
          <w:rtl/>
        </w:rPr>
        <w:t>، ثم عبر هنا عن الفعل المعلوم الخاص بالغسل بإسالة الماء، وعن الفعل الخاص بالمسح بإصابة البلل.</w:t>
      </w:r>
    </w:p>
  </w:footnote>
  <w:footnote w:id="2683">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لو قال : (بها) لكان أولى؛ لأن الضمير يعود على جمع،ٍ وهو الترتيب والتسمية والولاء.</w:t>
      </w:r>
    </w:p>
  </w:footnote>
  <w:footnote w:id="2684">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49/أ من (أ).</w:t>
      </w:r>
    </w:p>
  </w:footnote>
  <w:footnote w:id="2685">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الغسل والمسح.</w:t>
      </w:r>
    </w:p>
  </w:footnote>
  <w:footnote w:id="2686">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ولو قال : </w:t>
      </w:r>
      <w:r>
        <w:rPr>
          <w:rFonts w:hint="eastAsia"/>
          <w:rtl/>
        </w:rPr>
        <w:t>«</w:t>
      </w:r>
      <w:r>
        <w:rPr>
          <w:rFonts w:hint="cs"/>
          <w:rtl/>
        </w:rPr>
        <w:t>لحكم</w:t>
      </w:r>
      <w:r>
        <w:rPr>
          <w:rFonts w:hint="eastAsia"/>
          <w:rtl/>
        </w:rPr>
        <w:t>»</w:t>
      </w:r>
      <w:r>
        <w:rPr>
          <w:rFonts w:hint="cs"/>
          <w:rtl/>
        </w:rPr>
        <w:t xml:space="preserve"> لكان أولى؛ وهو الموافق لشرح القاءاني حيث جاء فيه: </w:t>
      </w:r>
      <w:r>
        <w:rPr>
          <w:rFonts w:hint="eastAsia"/>
          <w:rtl/>
        </w:rPr>
        <w:t>«</w:t>
      </w:r>
      <w:r>
        <w:rPr>
          <w:rFonts w:hint="cs"/>
          <w:rtl/>
        </w:rPr>
        <w:t>فكان نسخًا لحكم الكتاب بخبر الواحد</w:t>
      </w:r>
      <w:r>
        <w:rPr>
          <w:rFonts w:hint="eastAsia"/>
          <w:rtl/>
        </w:rPr>
        <w:t>»</w:t>
      </w:r>
      <w:r>
        <w:rPr>
          <w:rFonts w:hint="cs"/>
          <w:rtl/>
        </w:rPr>
        <w:t>.</w:t>
      </w:r>
    </w:p>
  </w:footnote>
  <w:footnote w:id="2687">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32/أ من (ب).</w:t>
      </w:r>
    </w:p>
  </w:footnote>
  <w:footnote w:id="2688">
    <w:p w:rsidR="00035BE3" w:rsidRPr="00000071" w:rsidRDefault="00035BE3" w:rsidP="00C10469">
      <w:pPr>
        <w:pStyle w:val="a8"/>
        <w:bidi/>
        <w:ind w:left="422" w:right="0"/>
        <w:rPr>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71709A">
        <w:rPr>
          <w:rFonts w:hint="cs"/>
          <w:spacing w:val="-10"/>
          <w:rtl/>
        </w:rPr>
        <w:t>انظر: المغني للخبازي، ص94؛ وشرحه للقاءاني ق1، جـ2، ص413؛ وانظر: أصول السرخسي، 1/129.</w:t>
      </w:r>
      <w:r w:rsidRPr="00000071">
        <w:rPr>
          <w:rFonts w:hint="cs"/>
          <w:rtl/>
        </w:rPr>
        <w:t xml:space="preserve"> </w:t>
      </w:r>
    </w:p>
    <w:p w:rsidR="00035BE3" w:rsidRDefault="00035BE3" w:rsidP="00C10469">
      <w:pPr>
        <w:pStyle w:val="a6"/>
        <w:spacing w:line="440" w:lineRule="exact"/>
        <w:ind w:left="422" w:firstLine="0"/>
        <w:rPr>
          <w:rtl/>
        </w:rPr>
      </w:pPr>
      <w:r>
        <w:rPr>
          <w:rFonts w:hint="cs"/>
          <w:rtl/>
        </w:rPr>
        <w:t xml:space="preserve">وفي شرح المغني إيضاح لبعض الكلمات؛ لهذا يناسب ذكر كلامه بتمامه على النحو الآتي : </w:t>
      </w:r>
      <w:r>
        <w:rPr>
          <w:rFonts w:hint="eastAsia"/>
          <w:rtl/>
        </w:rPr>
        <w:t>«</w:t>
      </w:r>
      <w:r>
        <w:rPr>
          <w:rFonts w:hint="cs"/>
          <w:rtl/>
        </w:rPr>
        <w:t>قوله: والغسل والمسح .</w:t>
      </w:r>
    </w:p>
    <w:p w:rsidR="00035BE3" w:rsidRDefault="00035BE3" w:rsidP="00C10469">
      <w:pPr>
        <w:pStyle w:val="a6"/>
        <w:spacing w:line="440" w:lineRule="exact"/>
        <w:ind w:left="422" w:firstLine="0"/>
        <w:rPr>
          <w:rtl/>
        </w:rPr>
      </w:pPr>
      <w:r>
        <w:rPr>
          <w:rFonts w:hint="cs"/>
          <w:rtl/>
        </w:rPr>
        <w:t>أي : لما كان الغسل والمسح في آية الوضوء لفظين خاصين لفعلٍ معلوم، وهو الإسالة والإصابة، فلو علقنا جواز الوضوء بالنية والترتيب - كما هو مذهب الشافعي رحمه الله- والتسمية- كما هو مذهب أصحاب الظواهر-، والوِلاء - كما هو مذهب مالك رحمه الله- : لا يكون عملاً به كما هو مقتضاه؛ إذ النص بإطلاقه يقتضي جوازهما على أي وجه حصل، والتعليق بهذه الأشياء يزيل إطلاق الجواز وهو حكم شرعي، فكان نسخًا لحكم الكتاب بخبر الواحد</w:t>
      </w:r>
      <w:r>
        <w:rPr>
          <w:rFonts w:hint="eastAsia"/>
          <w:rtl/>
        </w:rPr>
        <w:t>»</w:t>
      </w:r>
      <w:r>
        <w:rPr>
          <w:rFonts w:hint="cs"/>
          <w:rtl/>
        </w:rPr>
        <w:t>.</w:t>
      </w:r>
    </w:p>
  </w:footnote>
  <w:footnote w:id="268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الشرط</w:t>
      </w:r>
      <w:r>
        <w:rPr>
          <w:rFonts w:hint="eastAsia"/>
          <w:rtl/>
        </w:rPr>
        <w:t>»</w:t>
      </w:r>
      <w:r>
        <w:rPr>
          <w:rFonts w:hint="cs"/>
          <w:rtl/>
        </w:rPr>
        <w:t>.</w:t>
      </w:r>
    </w:p>
  </w:footnote>
  <w:footnote w:id="269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ساكت عن هذا الشرط.</w:t>
      </w:r>
    </w:p>
  </w:footnote>
  <w:footnote w:id="269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شرح المغني للقاءاني، ق1، جـ2، ص414، ونص كلامه: </w:t>
      </w:r>
      <w:r>
        <w:rPr>
          <w:rFonts w:hint="eastAsia"/>
          <w:rtl/>
        </w:rPr>
        <w:t>«</w:t>
      </w:r>
      <w:r>
        <w:rPr>
          <w:rFonts w:hint="cs"/>
          <w:rtl/>
        </w:rPr>
        <w:t>ونوقض باشتراط النية في التيمم مع أن النص ساكت عنه</w:t>
      </w:r>
      <w:r>
        <w:rPr>
          <w:rFonts w:hint="eastAsia"/>
          <w:rtl/>
        </w:rPr>
        <w:t>»</w:t>
      </w:r>
      <w:r>
        <w:rPr>
          <w:rFonts w:hint="cs"/>
          <w:rtl/>
        </w:rPr>
        <w:t>.</w:t>
      </w:r>
    </w:p>
  </w:footnote>
  <w:footnote w:id="269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في التيمُّم.</w:t>
      </w:r>
    </w:p>
  </w:footnote>
  <w:footnote w:id="269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ثبت </w:t>
      </w:r>
      <w:r>
        <w:rPr>
          <w:rFonts w:hint="eastAsia"/>
          <w:rtl/>
        </w:rPr>
        <w:t>»</w:t>
      </w:r>
      <w:r>
        <w:rPr>
          <w:rFonts w:hint="cs"/>
          <w:rtl/>
        </w:rPr>
        <w:t xml:space="preserve">. والصحيح ما تمَّ إثباته من (ب) و(د)، وهو الموافق في المعنى لمصدر هذه العبارة (وهو شرح المغني للقاءاني)؛ حيث جاء فيه : </w:t>
      </w:r>
      <w:r>
        <w:rPr>
          <w:rFonts w:hint="eastAsia"/>
          <w:rtl/>
        </w:rPr>
        <w:t>«</w:t>
      </w:r>
      <w:r>
        <w:rPr>
          <w:rFonts w:hint="cs"/>
          <w:rtl/>
        </w:rPr>
        <w:t>إنما تثبت</w:t>
      </w:r>
      <w:r>
        <w:rPr>
          <w:rFonts w:hint="eastAsia"/>
          <w:rtl/>
        </w:rPr>
        <w:t>»</w:t>
      </w:r>
      <w:r>
        <w:rPr>
          <w:rFonts w:hint="cs"/>
          <w:rtl/>
        </w:rPr>
        <w:t>.</w:t>
      </w:r>
    </w:p>
  </w:footnote>
  <w:footnote w:id="269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أشكل</w:t>
      </w:r>
      <w:r>
        <w:rPr>
          <w:rFonts w:hint="eastAsia"/>
          <w:rtl/>
        </w:rPr>
        <w:t>»</w:t>
      </w:r>
      <w:r>
        <w:rPr>
          <w:rFonts w:hint="cs"/>
          <w:rtl/>
        </w:rPr>
        <w:t>.</w:t>
      </w:r>
    </w:p>
  </w:footnote>
  <w:footnote w:id="269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مطلق ... عبارة عن</w:t>
      </w:r>
      <w:r>
        <w:rPr>
          <w:rFonts w:hint="eastAsia"/>
          <w:rtl/>
        </w:rPr>
        <w:t>»</w:t>
      </w:r>
      <w:r>
        <w:rPr>
          <w:rFonts w:hint="cs"/>
          <w:rtl/>
        </w:rPr>
        <w:t xml:space="preserve"> : ساقطة من (د).</w:t>
      </w:r>
    </w:p>
  </w:footnote>
  <w:footnote w:id="269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لاستباحته</w:t>
      </w:r>
      <w:r>
        <w:rPr>
          <w:rFonts w:hint="eastAsia"/>
          <w:rtl/>
        </w:rPr>
        <w:t>»</w:t>
      </w:r>
      <w:r>
        <w:rPr>
          <w:rFonts w:hint="cs"/>
          <w:rtl/>
        </w:rPr>
        <w:t>.</w:t>
      </w:r>
    </w:p>
  </w:footnote>
  <w:footnote w:id="269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32/أ من (جـ).</w:t>
      </w:r>
    </w:p>
  </w:footnote>
  <w:footnote w:id="2698">
    <w:p w:rsidR="00035BE3" w:rsidRDefault="00035BE3" w:rsidP="00C10469">
      <w:pPr>
        <w:pStyle w:val="a8"/>
        <w:bidi/>
        <w:spacing w:line="44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eastAsia"/>
          <w:spacing w:val="-6"/>
          <w:rtl/>
        </w:rPr>
        <w:t>«</w:t>
      </w:r>
      <w:r>
        <w:rPr>
          <w:rFonts w:hint="cs"/>
          <w:spacing w:val="-6"/>
          <w:rtl/>
        </w:rPr>
        <w:t xml:space="preserve"> له </w:t>
      </w:r>
      <w:r>
        <w:rPr>
          <w:rFonts w:hint="eastAsia"/>
          <w:spacing w:val="-6"/>
          <w:rtl/>
        </w:rPr>
        <w:t>»</w:t>
      </w:r>
      <w:r>
        <w:rPr>
          <w:rFonts w:hint="cs"/>
          <w:spacing w:val="-6"/>
          <w:rtl/>
        </w:rPr>
        <w:t xml:space="preserve"> : ساقطة من (جـ) و(د). وقد جاء في شرح القاءاني زيادة لابدّ منها وهي : </w:t>
      </w:r>
      <w:r>
        <w:rPr>
          <w:rFonts w:hint="eastAsia"/>
          <w:spacing w:val="-6"/>
          <w:rtl/>
        </w:rPr>
        <w:t>«</w:t>
      </w:r>
      <w:r>
        <w:rPr>
          <w:rFonts w:hint="cs"/>
          <w:spacing w:val="-6"/>
          <w:rtl/>
        </w:rPr>
        <w:t>على الخاص</w:t>
      </w:r>
      <w:r>
        <w:rPr>
          <w:rFonts w:hint="eastAsia"/>
          <w:spacing w:val="-6"/>
          <w:rtl/>
        </w:rPr>
        <w:t>»</w:t>
      </w:r>
      <w:r>
        <w:rPr>
          <w:rFonts w:hint="cs"/>
          <w:spacing w:val="-6"/>
          <w:rtl/>
        </w:rPr>
        <w:t>.</w:t>
      </w:r>
    </w:p>
  </w:footnote>
  <w:footnote w:id="26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ص414 -مع الاختلاف الذي سبق بيانه، ويضاف إليه أنه قال في آخر العبارة : </w:t>
      </w:r>
      <w:r>
        <w:rPr>
          <w:rFonts w:hint="eastAsia"/>
          <w:rtl/>
        </w:rPr>
        <w:t>«</w:t>
      </w:r>
      <w:r>
        <w:rPr>
          <w:rFonts w:hint="cs"/>
          <w:rtl/>
        </w:rPr>
        <w:t>... يستفاد ذلك منه</w:t>
      </w:r>
      <w:r>
        <w:rPr>
          <w:rFonts w:hint="eastAsia"/>
          <w:rtl/>
        </w:rPr>
        <w:t>»</w:t>
      </w:r>
      <w:r>
        <w:rPr>
          <w:rFonts w:hint="cs"/>
          <w:rtl/>
        </w:rPr>
        <w:t>-.</w:t>
      </w:r>
    </w:p>
  </w:footnote>
  <w:footnote w:id="27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الإتْقَانِي</w:t>
      </w:r>
      <w:r>
        <w:rPr>
          <w:rFonts w:hint="cs"/>
          <w:rtl/>
        </w:rPr>
        <w:t xml:space="preserve"> : هو أمير كاتب بن أمير عمر العميد ابن العميد أمير غازي، أبو حنيفة القـوام الفَارَابيّ الإتْقَانِيّ (685هـ-758هـ).</w:t>
      </w:r>
    </w:p>
    <w:p w:rsidR="00035BE3" w:rsidRDefault="00035BE3" w:rsidP="00C10469">
      <w:pPr>
        <w:pStyle w:val="a6"/>
        <w:ind w:left="422" w:firstLine="0"/>
        <w:rPr>
          <w:rtl/>
        </w:rPr>
      </w:pPr>
      <w:r>
        <w:rPr>
          <w:rFonts w:hint="cs"/>
          <w:rtl/>
        </w:rPr>
        <w:t>وكان فقيهًا أصوليًا، من كتبه :</w:t>
      </w:r>
    </w:p>
    <w:p w:rsidR="00035BE3" w:rsidRDefault="00035BE3" w:rsidP="00C10469">
      <w:pPr>
        <w:pStyle w:val="a6"/>
        <w:ind w:left="422" w:firstLine="0"/>
        <w:rPr>
          <w:rtl/>
        </w:rPr>
      </w:pPr>
      <w:r>
        <w:rPr>
          <w:rFonts w:hint="cs"/>
          <w:rtl/>
        </w:rPr>
        <w:t>غاية البيان ونادرة الأقران في آخر الزمان - وهو شرح الهداية وكانت مدة الشرح ستًّا وعشرين سنة وسبعة أشهر - وله شرح على أصول الأخسيكثي سمّاه : التبيين في شرح المنتخب في الأصول، وله شرح آخر لأصول البزدوي سمّاه : الشامل - ولم يتمه-.</w:t>
      </w:r>
    </w:p>
    <w:p w:rsidR="00035BE3" w:rsidRDefault="00035BE3" w:rsidP="00C10469">
      <w:pPr>
        <w:pStyle w:val="a6"/>
        <w:ind w:left="422" w:firstLine="0"/>
        <w:rPr>
          <w:spacing w:val="-4"/>
          <w:rtl/>
        </w:rPr>
      </w:pPr>
      <w:r>
        <w:rPr>
          <w:rFonts w:hint="cs"/>
          <w:spacing w:val="-4"/>
          <w:rtl/>
        </w:rPr>
        <w:t xml:space="preserve">انظر : الجواهر المضية، 4/128، رقم 2013؛ تاج التراجم، ص68، رقم 79؛ الطبـقات السـنـية، 2/221، رقم 553، كشف الظنون، 1/343، 868-869، 2/1849، 2033-2034؛ الفوائد </w:t>
      </w:r>
      <w:r w:rsidRPr="00D1651C">
        <w:rPr>
          <w:rFonts w:hint="cs"/>
          <w:spacing w:val="-6"/>
          <w:rtl/>
        </w:rPr>
        <w:t>البهية، ص50-52؛ دفتر كتبخانه فاتح رقم 1311-1312، 1322-1323؛ هدية العارفين، 1/839.</w:t>
      </w:r>
    </w:p>
    <w:p w:rsidR="00035BE3" w:rsidRDefault="00035BE3" w:rsidP="00C10469">
      <w:pPr>
        <w:pStyle w:val="a6"/>
        <w:ind w:left="422" w:firstLine="0"/>
        <w:rPr>
          <w:rtl/>
        </w:rPr>
      </w:pPr>
      <w:r>
        <w:rPr>
          <w:rFonts w:hint="cs"/>
          <w:rtl/>
        </w:rPr>
        <w:t>وانظر من كتب التراجم أيضًا : شذرات الـذهب، 6/185؛ ديـوان الإسـلام، 1/88-89، رقم (103)؛ البدر الطالع، 1/158-159، رقم 100؛ الفتح المبين، 2/179-180؛ الأعلام، 2/14؛ معجم المؤلفين، 1/398، رقم 2987.</w:t>
      </w:r>
    </w:p>
  </w:footnote>
  <w:footnote w:id="27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شرح المغني :</w:t>
      </w:r>
    </w:p>
    <w:p w:rsidR="00035BE3" w:rsidRDefault="00035BE3" w:rsidP="00C10469">
      <w:pPr>
        <w:pStyle w:val="a6"/>
        <w:ind w:left="422" w:firstLine="0"/>
        <w:rPr>
          <w:rtl/>
        </w:rPr>
      </w:pPr>
      <w:r>
        <w:rPr>
          <w:rFonts w:hint="cs"/>
          <w:rtl/>
        </w:rPr>
        <w:t>بالرجوع إلى كتب التراجم المذكورة في الهامش السابق، وعددٍ من فهارس المخطوطات في مكتبة السليمانية باستانبول وغيرها، وكذلك مقدمات محقق (المغني) للخبازي (ت691هـ)، ومحققيّ (شرح المغني) للقاءاني (ت775هـ) -بالرجوع إلى هذه المصادر لم أجد من ذكر للإتقاني شرحًا للمغني - لا مغني الخبازي ولا غيره- !.</w:t>
      </w:r>
    </w:p>
    <w:p w:rsidR="00035BE3" w:rsidRDefault="00035BE3" w:rsidP="00C10469">
      <w:pPr>
        <w:pStyle w:val="a6"/>
        <w:ind w:left="422" w:firstLine="0"/>
        <w:rPr>
          <w:rtl/>
        </w:rPr>
      </w:pPr>
      <w:r>
        <w:rPr>
          <w:rFonts w:hint="cs"/>
          <w:rtl/>
        </w:rPr>
        <w:t>وهذا قد يثير الشك في صحة نسبة الشرح إلى الإتقاني، ويورد احتمالاً وهو أن الشرح المقصود هو (شرح القاءاني) فحصل تحريف له من قبل الناسخ الأول فكتب (الإتقاني) بدل (القاءاني)، وتابعه من بعده من النسّاخ. وربما أن ذلك وهم من المؤلف، ومن المجمع عليه أن الوهم لا يسلم منه أحد من البشر إلا من عصمه الله.</w:t>
      </w:r>
    </w:p>
    <w:p w:rsidR="00035BE3" w:rsidRDefault="00035BE3" w:rsidP="00C10469">
      <w:pPr>
        <w:pStyle w:val="a6"/>
        <w:ind w:left="422" w:firstLine="0"/>
        <w:rPr>
          <w:rtl/>
        </w:rPr>
      </w:pPr>
      <w:r>
        <w:rPr>
          <w:rFonts w:hint="cs"/>
          <w:rtl/>
        </w:rPr>
        <w:t>وللتحقق من صحة هذا الاحتمال تمَّ البحث عن العبارة المذكورة في (شرح المغني) للقاءاني، فإذا بها مذكورة فيه؛ بل جل ما جاء في شرح هذه القاعدة مذكور فيه أيضًا -كما هو موضَّح في كثير من الهوامش السابقة-.</w:t>
      </w:r>
    </w:p>
    <w:p w:rsidR="00035BE3" w:rsidRDefault="00035BE3" w:rsidP="00C10469">
      <w:pPr>
        <w:pStyle w:val="a6"/>
        <w:ind w:left="422" w:firstLine="0"/>
        <w:rPr>
          <w:rtl/>
        </w:rPr>
      </w:pPr>
      <w:r>
        <w:rPr>
          <w:rFonts w:hint="cs"/>
          <w:rtl/>
        </w:rPr>
        <w:t xml:space="preserve">ولاشك أن هذا يقوي الاحتمال المذكور جدًّا، ولكن يصعب أن يؤدي إلى القطع التام بأن نسبة </w:t>
      </w:r>
      <w:r w:rsidRPr="00D1651C">
        <w:rPr>
          <w:rFonts w:hint="cs"/>
          <w:spacing w:val="-4"/>
          <w:rtl/>
        </w:rPr>
        <w:t xml:space="preserve">شرح المغني للإتقاني خطأ؛ لاحتمال أن يكون للإتقاني شرح على المغني لم يصلنا واستفاد منه القاءاني </w:t>
      </w:r>
      <w:r>
        <w:rPr>
          <w:rFonts w:hint="cs"/>
          <w:rtl/>
        </w:rPr>
        <w:t xml:space="preserve"> -ولا سيّما أن القاءاني متأخر عن الإتقاني؛ ولأن عدم العلم بوجود شرح للإتقاني على (المغني) ليس علمًا بالعدم -والله أعلم-.</w:t>
      </w:r>
    </w:p>
    <w:p w:rsidR="00035BE3" w:rsidRDefault="00035BE3" w:rsidP="00C10469">
      <w:pPr>
        <w:pStyle w:val="a6"/>
        <w:ind w:left="422" w:firstLine="0"/>
        <w:rPr>
          <w:rtl/>
        </w:rPr>
      </w:pPr>
      <w:r>
        <w:rPr>
          <w:rFonts w:hint="cs"/>
          <w:rtl/>
        </w:rPr>
        <w:t>ومهما يكن من شيء فإن العبارة المحالة إلى (شرح المغني) موجودة في : (شرح المغني) للقاءاني.</w:t>
      </w:r>
    </w:p>
    <w:p w:rsidR="00035BE3" w:rsidRDefault="00035BE3" w:rsidP="00C10469">
      <w:pPr>
        <w:pStyle w:val="a6"/>
        <w:ind w:left="422" w:firstLine="0"/>
        <w:rPr>
          <w:rtl/>
        </w:rPr>
      </w:pPr>
      <w:r>
        <w:rPr>
          <w:rFonts w:hint="cs"/>
          <w:b/>
          <w:bCs/>
          <w:rtl/>
        </w:rPr>
        <w:t>ويراد بالمغني</w:t>
      </w:r>
      <w:r>
        <w:rPr>
          <w:rFonts w:hint="cs"/>
          <w:rtl/>
        </w:rPr>
        <w:t xml:space="preserve"> : كتاب (المغني في أصول الفقه) لعمر الخبّازي (ت691هـ) -وقد سبق التعريف به ص439-.</w:t>
      </w:r>
    </w:p>
    <w:p w:rsidR="00035BE3" w:rsidRDefault="00035BE3" w:rsidP="00C10469">
      <w:pPr>
        <w:pStyle w:val="a6"/>
        <w:ind w:left="422" w:firstLine="0"/>
        <w:rPr>
          <w:rtl/>
        </w:rPr>
      </w:pPr>
      <w:r>
        <w:rPr>
          <w:rFonts w:hint="cs"/>
          <w:b/>
          <w:bCs/>
          <w:rtl/>
        </w:rPr>
        <w:t>أما الشرح</w:t>
      </w:r>
      <w:r>
        <w:rPr>
          <w:rFonts w:hint="cs"/>
          <w:rtl/>
        </w:rPr>
        <w:t xml:space="preserve"> : فهو لمنصور بن أحمد، أبو محمد الـخُوارَزمي القاءاني (ت775هـ).</w:t>
      </w:r>
    </w:p>
    <w:p w:rsidR="00035BE3" w:rsidRDefault="00035BE3" w:rsidP="00C10469">
      <w:pPr>
        <w:pStyle w:val="a6"/>
        <w:ind w:left="422" w:firstLine="0"/>
        <w:rPr>
          <w:rtl/>
        </w:rPr>
      </w:pPr>
      <w:r>
        <w:rPr>
          <w:rFonts w:hint="cs"/>
          <w:rtl/>
        </w:rPr>
        <w:t>وقد اثنى على هذا الشرح عددٌ من العلماء :</w:t>
      </w:r>
    </w:p>
    <w:p w:rsidR="00035BE3" w:rsidRDefault="00035BE3" w:rsidP="00C10469">
      <w:pPr>
        <w:pStyle w:val="a6"/>
        <w:ind w:left="422" w:firstLine="0"/>
        <w:rPr>
          <w:rtl/>
        </w:rPr>
      </w:pPr>
      <w:r>
        <w:rPr>
          <w:rFonts w:hint="cs"/>
          <w:rtl/>
        </w:rPr>
        <w:t xml:space="preserve">- جاء في (تاج التراجم) و(مفتاح السعادة) - في معرض الحديث عن القاءاني -: </w:t>
      </w:r>
      <w:r>
        <w:rPr>
          <w:rFonts w:hint="eastAsia"/>
          <w:rtl/>
        </w:rPr>
        <w:t>«</w:t>
      </w:r>
      <w:r>
        <w:rPr>
          <w:rFonts w:hint="cs"/>
          <w:rtl/>
        </w:rPr>
        <w:t>شَرَحَ (المغني) للخبازي شرحًا مفيدًا، غاية في بابه</w:t>
      </w:r>
      <w:r>
        <w:rPr>
          <w:rFonts w:hint="eastAsia"/>
          <w:rtl/>
        </w:rPr>
        <w:t>»</w:t>
      </w:r>
      <w:r>
        <w:rPr>
          <w:rFonts w:hint="cs"/>
          <w:rtl/>
        </w:rPr>
        <w:t>.</w:t>
      </w:r>
    </w:p>
    <w:p w:rsidR="00035BE3" w:rsidRDefault="00035BE3" w:rsidP="00C10469">
      <w:pPr>
        <w:pStyle w:val="a6"/>
        <w:ind w:left="422" w:firstLine="0"/>
        <w:rPr>
          <w:rtl/>
        </w:rPr>
      </w:pPr>
      <w:r>
        <w:rPr>
          <w:rFonts w:hint="cs"/>
          <w:rtl/>
        </w:rPr>
        <w:t xml:space="preserve">- وجاء في (كشف الظنون) وصفُ هذا الشرح بأنه : </w:t>
      </w:r>
      <w:r>
        <w:rPr>
          <w:rFonts w:hint="eastAsia"/>
          <w:rtl/>
        </w:rPr>
        <w:t>«</w:t>
      </w:r>
      <w:r>
        <w:rPr>
          <w:rFonts w:hint="cs"/>
          <w:rtl/>
        </w:rPr>
        <w:t>مشـهور معتـبر</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 xml:space="preserve">وقد تم تحقيق هذا الشرح في كلية الشريعة بالرياض -قسم أصول الفقه-  وذلك في رسالتين علميتين: </w:t>
      </w:r>
    </w:p>
    <w:p w:rsidR="00035BE3" w:rsidRDefault="00035BE3" w:rsidP="00C10469">
      <w:pPr>
        <w:pStyle w:val="a6"/>
        <w:ind w:left="422" w:firstLine="0"/>
        <w:rPr>
          <w:rtl/>
        </w:rPr>
      </w:pPr>
      <w:r>
        <w:rPr>
          <w:rFonts w:hint="cs"/>
          <w:b/>
          <w:bCs/>
          <w:rtl/>
        </w:rPr>
        <w:t xml:space="preserve">الأولى </w:t>
      </w:r>
      <w:r>
        <w:rPr>
          <w:rFonts w:hint="cs"/>
          <w:rtl/>
        </w:rPr>
        <w:t>: رسالة دكتوراه أعدَّها الباحث : مساعد بن معتق المعتق.</w:t>
      </w:r>
    </w:p>
    <w:p w:rsidR="00035BE3" w:rsidRDefault="00035BE3" w:rsidP="00C10469">
      <w:pPr>
        <w:pStyle w:val="a6"/>
        <w:ind w:left="422" w:firstLine="0"/>
        <w:rPr>
          <w:rtl/>
        </w:rPr>
      </w:pPr>
      <w:r>
        <w:rPr>
          <w:rFonts w:hint="cs"/>
          <w:b/>
          <w:bCs/>
          <w:rtl/>
        </w:rPr>
        <w:t>والثانية</w:t>
      </w:r>
      <w:r>
        <w:rPr>
          <w:rFonts w:hint="cs"/>
          <w:rtl/>
        </w:rPr>
        <w:t xml:space="preserve"> : رسالة ماجستير أعدّها الباحث : محمد بن عبد العزيز المبارك.</w:t>
      </w:r>
    </w:p>
    <w:p w:rsidR="00035BE3" w:rsidRDefault="00035BE3" w:rsidP="00C10469">
      <w:pPr>
        <w:pStyle w:val="a6"/>
        <w:ind w:left="422" w:firstLine="0"/>
        <w:rPr>
          <w:rtl/>
        </w:rPr>
      </w:pPr>
      <w:r>
        <w:rPr>
          <w:rFonts w:hint="cs"/>
          <w:rtl/>
        </w:rPr>
        <w:t>تاج التراجم، ص270، رقم 302؛ مفتاح السعادة، 2/168؛ كشف الظنون، 2/1749 - وفيه وفاته 705هـ وقيل 750هـ-.</w:t>
      </w:r>
    </w:p>
    <w:p w:rsidR="00035BE3" w:rsidRDefault="00035BE3" w:rsidP="00C10469">
      <w:pPr>
        <w:pStyle w:val="a6"/>
        <w:ind w:left="422" w:firstLine="0"/>
        <w:rPr>
          <w:rtl/>
        </w:rPr>
      </w:pPr>
      <w:r>
        <w:rPr>
          <w:rFonts w:hint="cs"/>
          <w:rtl/>
        </w:rPr>
        <w:t>وانظر : الفوائد البهية، ص215-216؛ هدية العارفين، 2/474-475.</w:t>
      </w:r>
    </w:p>
  </w:footnote>
  <w:footnote w:id="27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زيادة واو (ومسح).</w:t>
      </w:r>
    </w:p>
  </w:footnote>
  <w:footnote w:id="27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يزيل</w:t>
      </w:r>
      <w:r>
        <w:rPr>
          <w:rFonts w:hint="eastAsia"/>
          <w:rtl/>
        </w:rPr>
        <w:t>»</w:t>
      </w:r>
      <w:r>
        <w:rPr>
          <w:rFonts w:hint="cs"/>
          <w:rtl/>
        </w:rPr>
        <w:t>.</w:t>
      </w:r>
    </w:p>
  </w:footnote>
  <w:footnote w:id="27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النجاسة الحقيقية</w:t>
      </w:r>
      <w:r>
        <w:rPr>
          <w:rFonts w:hint="cs"/>
          <w:rtl/>
        </w:rPr>
        <w:t xml:space="preserve"> هي : كل مستقذرٍ شرعًا.</w:t>
      </w:r>
    </w:p>
    <w:p w:rsidR="00035BE3" w:rsidRDefault="00035BE3" w:rsidP="00C10469">
      <w:pPr>
        <w:pStyle w:val="a6"/>
        <w:ind w:left="422" w:firstLine="0"/>
        <w:rPr>
          <w:rtl/>
        </w:rPr>
      </w:pPr>
      <w:r>
        <w:rPr>
          <w:rFonts w:hint="cs"/>
          <w:rtl/>
        </w:rPr>
        <w:t>وهي على نوعين :</w:t>
      </w:r>
    </w:p>
    <w:p w:rsidR="00035BE3" w:rsidRDefault="00035BE3" w:rsidP="00C10469">
      <w:pPr>
        <w:pStyle w:val="a6"/>
        <w:ind w:left="422" w:firstLine="0"/>
        <w:rPr>
          <w:rtl/>
        </w:rPr>
      </w:pPr>
      <w:r>
        <w:rPr>
          <w:rFonts w:hint="cs"/>
          <w:b/>
          <w:bCs/>
          <w:rtl/>
        </w:rPr>
        <w:t>1-</w:t>
      </w:r>
      <w:r>
        <w:rPr>
          <w:rFonts w:hint="cs"/>
          <w:rtl/>
        </w:rPr>
        <w:t xml:space="preserve"> نجاسة غليظة، وهي ما لا خلاف في نجاسته؛ كالبول والغائط ولحم الميتة.</w:t>
      </w:r>
    </w:p>
    <w:p w:rsidR="00035BE3" w:rsidRDefault="00035BE3" w:rsidP="00C10469">
      <w:pPr>
        <w:pStyle w:val="a6"/>
        <w:ind w:left="422" w:firstLine="0"/>
        <w:rPr>
          <w:rtl/>
        </w:rPr>
      </w:pPr>
      <w:r>
        <w:rPr>
          <w:rFonts w:hint="cs"/>
          <w:b/>
          <w:bCs/>
          <w:rtl/>
        </w:rPr>
        <w:t>2-</w:t>
      </w:r>
      <w:r>
        <w:rPr>
          <w:rFonts w:hint="cs"/>
          <w:rtl/>
        </w:rPr>
        <w:t xml:space="preserve"> نجاسة خفيفة، وهي ما اختُلف في نجاسته، كبول ما يؤكل لحمه.</w:t>
      </w:r>
    </w:p>
    <w:p w:rsidR="00035BE3" w:rsidRDefault="00035BE3" w:rsidP="00C10469">
      <w:pPr>
        <w:pStyle w:val="a6"/>
        <w:ind w:left="422" w:firstLine="0"/>
        <w:rPr>
          <w:rtl/>
        </w:rPr>
      </w:pPr>
      <w:r>
        <w:rPr>
          <w:rFonts w:hint="cs"/>
          <w:rtl/>
        </w:rPr>
        <w:t>انظر : معجم لغة الفقهاء، ص445؛ وانظر أيضًا : كشاف اصطلاحات الفنون، 4/214؛ قواعد الفقه (الرسالة الرابعة : التعريفات الفقهية)، ص522.</w:t>
      </w:r>
    </w:p>
  </w:footnote>
  <w:footnote w:id="27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الحقيقية ... النجاسة</w:t>
      </w:r>
      <w:r>
        <w:rPr>
          <w:rFonts w:hint="eastAsia"/>
          <w:rtl/>
        </w:rPr>
        <w:t>»</w:t>
      </w:r>
      <w:r>
        <w:rPr>
          <w:rFonts w:hint="cs"/>
          <w:rtl/>
        </w:rPr>
        <w:t xml:space="preserve"> : ساقطة من (جـ).</w:t>
      </w:r>
    </w:p>
  </w:footnote>
  <w:footnote w:id="27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النجاسة الحكمية</w:t>
      </w:r>
      <w:r>
        <w:rPr>
          <w:rFonts w:hint="cs"/>
          <w:rtl/>
        </w:rPr>
        <w:t xml:space="preserve">: </w:t>
      </w:r>
      <w:r>
        <w:rPr>
          <w:rFonts w:hint="eastAsia"/>
          <w:rtl/>
        </w:rPr>
        <w:t>«</w:t>
      </w:r>
      <w:r>
        <w:rPr>
          <w:rFonts w:hint="cs"/>
          <w:rtl/>
        </w:rPr>
        <w:t>ما ألحقه الشرع بالنجاسة وأعطاه حكمها</w:t>
      </w:r>
      <w:r>
        <w:rPr>
          <w:rFonts w:hint="eastAsia"/>
          <w:rtl/>
        </w:rPr>
        <w:t>»</w:t>
      </w:r>
      <w:r>
        <w:rPr>
          <w:rFonts w:hint="cs"/>
          <w:rtl/>
        </w:rPr>
        <w:t xml:space="preserve"> و</w:t>
      </w:r>
      <w:r>
        <w:rPr>
          <w:rFonts w:hint="eastAsia"/>
          <w:rtl/>
        </w:rPr>
        <w:t>«</w:t>
      </w:r>
      <w:r>
        <w:rPr>
          <w:rFonts w:hint="cs"/>
          <w:rtl/>
        </w:rPr>
        <w:t>هي الحدث الأكبر والأصغر الموجب للغسل والوضوء</w:t>
      </w:r>
      <w:r>
        <w:rPr>
          <w:rFonts w:hint="eastAsia"/>
          <w:rtl/>
        </w:rPr>
        <w:t>»</w:t>
      </w:r>
      <w:r>
        <w:rPr>
          <w:rFonts w:hint="cs"/>
          <w:rtl/>
        </w:rPr>
        <w:t>.</w:t>
      </w:r>
    </w:p>
    <w:p w:rsidR="00035BE3" w:rsidRDefault="00035BE3" w:rsidP="00C10469">
      <w:pPr>
        <w:pStyle w:val="a6"/>
        <w:ind w:left="422" w:firstLine="0"/>
        <w:rPr>
          <w:rtl/>
        </w:rPr>
      </w:pPr>
      <w:r>
        <w:rPr>
          <w:rFonts w:hint="cs"/>
          <w:rtl/>
        </w:rPr>
        <w:t>معجم لغة الفقهاء، ص445؛ قواعد الفقه (رسالة التعريفات)، ص522.</w:t>
      </w:r>
    </w:p>
  </w:footnote>
  <w:footnote w:id="27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بالطَّبع</w:t>
      </w:r>
      <w:r>
        <w:rPr>
          <w:rFonts w:hint="eastAsia"/>
          <w:rtl/>
        </w:rPr>
        <w:t>»</w:t>
      </w:r>
      <w:r>
        <w:rPr>
          <w:rFonts w:hint="cs"/>
          <w:rtl/>
        </w:rPr>
        <w:t>.</w:t>
      </w:r>
    </w:p>
  </w:footnote>
  <w:footnote w:id="27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استباحة </w:t>
      </w:r>
      <w:r>
        <w:rPr>
          <w:rFonts w:hint="eastAsia"/>
          <w:rtl/>
        </w:rPr>
        <w:t>»</w:t>
      </w:r>
      <w:r>
        <w:rPr>
          <w:rFonts w:hint="cs"/>
          <w:rtl/>
        </w:rPr>
        <w:t>.</w:t>
      </w:r>
    </w:p>
  </w:footnote>
  <w:footnote w:id="27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يوجد</w:t>
      </w:r>
      <w:r>
        <w:rPr>
          <w:rFonts w:hint="eastAsia"/>
          <w:rtl/>
        </w:rPr>
        <w:t>»</w:t>
      </w:r>
      <w:r>
        <w:rPr>
          <w:rFonts w:hint="cs"/>
          <w:rtl/>
        </w:rPr>
        <w:t>. والأفصح هو ما تمَّ إثباته من (ب).</w:t>
      </w:r>
    </w:p>
  </w:footnote>
  <w:footnote w:id="27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انـظـر: المبـسوط، 6/95؛ الهـداية والعـناية وفتح القدير، 4/183؛ وانظر أيضًا: أصول السرخسي، 1/130.</w:t>
      </w:r>
    </w:p>
  </w:footnote>
  <w:footnote w:id="27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الأم، 5/359.</w:t>
      </w:r>
    </w:p>
    <w:p w:rsidR="00035BE3" w:rsidRDefault="00035BE3" w:rsidP="00C10469">
      <w:pPr>
        <w:pStyle w:val="a6"/>
        <w:ind w:left="422" w:firstLine="0"/>
        <w:rPr>
          <w:rtl/>
        </w:rPr>
      </w:pPr>
      <w:r>
        <w:rPr>
          <w:rFonts w:hint="cs"/>
          <w:rtl/>
        </w:rPr>
        <w:t xml:space="preserve">علمًا بأن هذه النسبة وردت في المغني وشرحه -كما سيأتي - وجاء فيهما عقب كلمة (الشافعي) : </w:t>
      </w:r>
      <w:r>
        <w:rPr>
          <w:rFonts w:hint="eastAsia"/>
          <w:rtl/>
        </w:rPr>
        <w:t>«</w:t>
      </w:r>
      <w:r>
        <w:rPr>
          <w:rFonts w:hint="cs"/>
          <w:rtl/>
        </w:rPr>
        <w:t>أن الله تعالى</w:t>
      </w:r>
      <w:r>
        <w:rPr>
          <w:rFonts w:hint="eastAsia"/>
          <w:rtl/>
        </w:rPr>
        <w:t>»</w:t>
      </w:r>
      <w:r>
        <w:rPr>
          <w:rFonts w:hint="cs"/>
          <w:rtl/>
        </w:rPr>
        <w:t>.</w:t>
      </w:r>
    </w:p>
  </w:footnote>
  <w:footnote w:id="27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49/ب من (أ).</w:t>
      </w:r>
    </w:p>
  </w:footnote>
  <w:footnote w:id="27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أنَّ الحرمة الناتجة عن الطلاق الثلاث تنتهي بالزوج الثاني.</w:t>
      </w:r>
    </w:p>
  </w:footnote>
  <w:footnote w:id="27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وهي</w:t>
      </w:r>
      <w:r>
        <w:rPr>
          <w:rFonts w:hint="eastAsia"/>
          <w:rtl/>
        </w:rPr>
        <w:t>»</w:t>
      </w:r>
      <w:r>
        <w:rPr>
          <w:rFonts w:hint="cs"/>
          <w:rtl/>
        </w:rPr>
        <w:t xml:space="preserve"> : ساقطة من (جـ).</w:t>
      </w:r>
    </w:p>
  </w:footnote>
  <w:footnote w:id="27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31/أ من (د).</w:t>
      </w:r>
    </w:p>
  </w:footnote>
  <w:footnote w:id="27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(230) من سورة (البقرة).</w:t>
      </w:r>
    </w:p>
  </w:footnote>
  <w:footnote w:id="27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لا انتهاء للحرمة قبل وجود سبب الحرمة، وهو الحرمة الغليظة الحاصلة بالطلاق الثلاث.</w:t>
      </w:r>
    </w:p>
  </w:footnote>
  <w:footnote w:id="27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مكان </w:t>
      </w:r>
      <w:r>
        <w:rPr>
          <w:rFonts w:hint="eastAsia"/>
          <w:rtl/>
        </w:rPr>
        <w:t>»</w:t>
      </w:r>
      <w:r>
        <w:rPr>
          <w:rFonts w:hint="cs"/>
          <w:rtl/>
        </w:rPr>
        <w:t>.</w:t>
      </w:r>
    </w:p>
  </w:footnote>
  <w:footnote w:id="2719">
    <w:p w:rsidR="00035BE3" w:rsidRDefault="00035BE3" w:rsidP="00C10469">
      <w:pPr>
        <w:pStyle w:val="a8"/>
        <w:bidi/>
        <w:ind w:left="422" w:right="0"/>
        <w:rPr>
          <w:rtl/>
        </w:rPr>
      </w:pPr>
      <w:r>
        <w:rPr>
          <w:rFonts w:hint="cs"/>
          <w:vertAlign w:val="superscript"/>
          <w:rtl/>
        </w:rPr>
        <w:t>(</w:t>
      </w:r>
      <w:r>
        <w:rPr>
          <w:rStyle w:val="a7"/>
          <w:spacing w:val="-4"/>
        </w:rPr>
        <w:footnoteRef/>
      </w:r>
      <w:r>
        <w:rPr>
          <w:rFonts w:hint="cs"/>
          <w:vertAlign w:val="superscript"/>
          <w:rtl/>
        </w:rPr>
        <w:t>)</w:t>
      </w:r>
      <w:r>
        <w:rPr>
          <w:rFonts w:hint="cs"/>
          <w:rtl/>
        </w:rPr>
        <w:t xml:space="preserve">   في (أ) و(جـ) : </w:t>
      </w:r>
      <w:r>
        <w:rPr>
          <w:rFonts w:hint="eastAsia"/>
          <w:rtl/>
        </w:rPr>
        <w:t>«</w:t>
      </w:r>
      <w:r>
        <w:rPr>
          <w:rFonts w:hint="cs"/>
          <w:rtl/>
        </w:rPr>
        <w:t>حـرمـة</w:t>
      </w:r>
      <w:r>
        <w:rPr>
          <w:rFonts w:hint="eastAsia"/>
          <w:rtl/>
        </w:rPr>
        <w:t>»</w:t>
      </w:r>
      <w:r>
        <w:rPr>
          <w:rFonts w:hint="cs"/>
          <w:rtl/>
        </w:rPr>
        <w:t xml:space="preserve"> (بإسـقـاط (أل)) وهـذا يـجعل الأسلوب ركيكًا؛ لهذا تم إثباتها كما في (ب) و(د).</w:t>
      </w:r>
    </w:p>
  </w:footnote>
  <w:footnote w:id="27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فـكـان وجـودُ الزوج الثاني وعدم وجوده سواءً، وذلك قبل وجود الحرمة الغليظة، وهي الطلاق الثلاث.</w:t>
      </w:r>
    </w:p>
  </w:footnote>
  <w:footnote w:id="2721">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و(د): </w:t>
      </w:r>
      <w:r>
        <w:rPr>
          <w:rFonts w:hint="eastAsia"/>
          <w:spacing w:val="-6"/>
          <w:rtl/>
        </w:rPr>
        <w:t>«</w:t>
      </w:r>
      <w:r>
        <w:rPr>
          <w:rFonts w:hint="cs"/>
          <w:spacing w:val="-6"/>
          <w:rtl/>
        </w:rPr>
        <w:t>هـاوامـا</w:t>
      </w:r>
      <w:r>
        <w:rPr>
          <w:rFonts w:hint="eastAsia"/>
          <w:spacing w:val="-6"/>
          <w:rtl/>
        </w:rPr>
        <w:t>»</w:t>
      </w:r>
      <w:r>
        <w:rPr>
          <w:rFonts w:hint="cs"/>
          <w:spacing w:val="-6"/>
          <w:rtl/>
        </w:rPr>
        <w:t xml:space="preserve">، وفي (جـ): </w:t>
      </w:r>
      <w:r>
        <w:rPr>
          <w:rFonts w:hint="eastAsia"/>
          <w:spacing w:val="-6"/>
          <w:rtl/>
        </w:rPr>
        <w:t>«</w:t>
      </w:r>
      <w:r>
        <w:rPr>
          <w:rFonts w:hint="cs"/>
          <w:spacing w:val="-6"/>
          <w:rtl/>
        </w:rPr>
        <w:t>هاوما</w:t>
      </w:r>
      <w:r>
        <w:rPr>
          <w:rFonts w:hint="eastAsia"/>
          <w:spacing w:val="-6"/>
          <w:rtl/>
        </w:rPr>
        <w:t>»</w:t>
      </w:r>
      <w:r>
        <w:rPr>
          <w:rFonts w:hint="cs"/>
          <w:spacing w:val="-6"/>
          <w:rtl/>
        </w:rPr>
        <w:t>. والصحيح ما تمَّ إثباته من (ب)، وهو الموافق للمغني وشرحه للقاءاني.</w:t>
      </w:r>
    </w:p>
  </w:footnote>
  <w:footnote w:id="2722">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المغني، ص96؛ وشرحه للقاءاني، ق1، جـ2، ص430-431؛ وانظر : أصول السرخسي، 1/130؛ التلويح، 1/38.</w:t>
      </w:r>
    </w:p>
    <w:p w:rsidR="00035BE3" w:rsidRDefault="00035BE3" w:rsidP="00C10469">
      <w:pPr>
        <w:pStyle w:val="a6"/>
        <w:spacing w:line="480" w:lineRule="exact"/>
        <w:ind w:left="422" w:firstLine="0"/>
        <w:rPr>
          <w:spacing w:val="8"/>
          <w:rtl/>
        </w:rPr>
      </w:pPr>
      <w:r>
        <w:rPr>
          <w:rFonts w:hint="cs"/>
          <w:spacing w:val="8"/>
          <w:rtl/>
        </w:rPr>
        <w:t xml:space="preserve">وقـول المـؤلـف : </w:t>
      </w:r>
      <w:r>
        <w:rPr>
          <w:rFonts w:hint="eastAsia"/>
          <w:spacing w:val="8"/>
          <w:rtl/>
        </w:rPr>
        <w:t>«</w:t>
      </w:r>
      <w:r>
        <w:rPr>
          <w:rFonts w:hint="cs"/>
          <w:spacing w:val="8"/>
          <w:rtl/>
        </w:rPr>
        <w:t>فـمـن أيـن يـصـيـر ...</w:t>
      </w:r>
      <w:r>
        <w:rPr>
          <w:rFonts w:hint="eastAsia"/>
          <w:spacing w:val="8"/>
          <w:rtl/>
        </w:rPr>
        <w:t>»</w:t>
      </w:r>
      <w:r>
        <w:rPr>
          <w:rFonts w:hint="cs"/>
          <w:spacing w:val="8"/>
          <w:rtl/>
        </w:rPr>
        <w:t xml:space="preserve"> لـعـل مـعـنـاه : فمـن أيـن يـصـيـر الـزوج الثـاني هادمًا للطلقة في الأمة والطلقة أو الطلقتين في الحرَّة فيما إذا لم يطلقها الأول ثلاثًا ؟.</w:t>
      </w:r>
    </w:p>
  </w:footnote>
  <w:footnote w:id="27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الأم، 6/204، 212؛ وانظر : أصول السرخسي، 1/129؛ التلويح، 1/38.</w:t>
      </w:r>
    </w:p>
  </w:footnote>
  <w:footnote w:id="27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(38) من سورة (المائدة).</w:t>
      </w:r>
    </w:p>
  </w:footnote>
  <w:footnote w:id="27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EA2F9E">
        <w:rPr>
          <w:rFonts w:hint="cs"/>
          <w:spacing w:val="-2"/>
          <w:rtl/>
        </w:rPr>
        <w:t>انظر: أصول السرخسي، 1/129؛ المغني للخبازي، ص96؛ وشرحه للقاءاني، ق1، جـ2،</w:t>
      </w:r>
      <w:r>
        <w:rPr>
          <w:rFonts w:hint="cs"/>
          <w:rtl/>
        </w:rPr>
        <w:t xml:space="preserve"> ص432؛ التلويح، 1/38.</w:t>
      </w:r>
    </w:p>
    <w:p w:rsidR="00035BE3" w:rsidRDefault="00035BE3" w:rsidP="00C10469">
      <w:pPr>
        <w:pStyle w:val="a6"/>
        <w:spacing w:line="500" w:lineRule="exact"/>
        <w:ind w:left="422" w:firstLine="0"/>
        <w:rPr>
          <w:spacing w:val="8"/>
          <w:rtl/>
        </w:rPr>
      </w:pPr>
      <w:r>
        <w:rPr>
          <w:rFonts w:hint="cs"/>
          <w:spacing w:val="8"/>
          <w:rtl/>
        </w:rPr>
        <w:t xml:space="preserve">وقد ذكر صاحب التلويح هذا الاعتراض بلفـظ أكـثـر وضـوحًا فـقال: </w:t>
      </w:r>
      <w:r>
        <w:rPr>
          <w:rFonts w:hint="eastAsia"/>
          <w:spacing w:val="8"/>
          <w:rtl/>
        </w:rPr>
        <w:t>«</w:t>
      </w:r>
      <w:r>
        <w:rPr>
          <w:rFonts w:hint="cs"/>
          <w:spacing w:val="8"/>
          <w:rtl/>
        </w:rPr>
        <w:t xml:space="preserve">إن فـي قوله تعالى </w:t>
      </w:r>
      <w:r>
        <w:rPr>
          <w:color w:val="000000"/>
          <w:sz w:val="24"/>
          <w:szCs w:val="24"/>
        </w:rPr>
        <w:sym w:font="HQPB2" w:char="F0E2"/>
      </w:r>
      <w:r>
        <w:rPr>
          <w:color w:val="000000"/>
          <w:sz w:val="24"/>
          <w:szCs w:val="24"/>
          <w:rtl/>
        </w:rPr>
        <w:t xml:space="preserve"> </w:t>
      </w:r>
      <w:r>
        <w:rPr>
          <w:color w:val="000000"/>
          <w:sz w:val="24"/>
          <w:szCs w:val="24"/>
        </w:rPr>
        <w:sym w:font="HQPB4" w:char="F0E4"/>
      </w:r>
      <w:r>
        <w:rPr>
          <w:color w:val="000000"/>
          <w:sz w:val="24"/>
          <w:szCs w:val="24"/>
        </w:rPr>
        <w:sym w:font="HQPB2" w:char="F02D"/>
      </w:r>
      <w:r>
        <w:rPr>
          <w:color w:val="000000"/>
          <w:sz w:val="24"/>
          <w:szCs w:val="24"/>
        </w:rPr>
        <w:sym w:font="HQPB4" w:char="F0CD"/>
      </w:r>
      <w:r>
        <w:rPr>
          <w:color w:val="000000"/>
          <w:sz w:val="24"/>
          <w:szCs w:val="24"/>
        </w:rPr>
        <w:sym w:font="HQPB1" w:char="F091"/>
      </w:r>
      <w:r>
        <w:rPr>
          <w:color w:val="000000"/>
          <w:sz w:val="24"/>
          <w:szCs w:val="24"/>
        </w:rPr>
        <w:sym w:font="HQPB1" w:char="F024"/>
      </w:r>
      <w:r>
        <w:rPr>
          <w:color w:val="000000"/>
          <w:sz w:val="24"/>
          <w:szCs w:val="24"/>
        </w:rPr>
        <w:sym w:font="HQPB4" w:char="F0A1"/>
      </w:r>
      <w:r>
        <w:rPr>
          <w:color w:val="000000"/>
          <w:sz w:val="24"/>
          <w:szCs w:val="24"/>
        </w:rPr>
        <w:sym w:font="HQPB1" w:char="F0A1"/>
      </w:r>
      <w:r>
        <w:rPr>
          <w:color w:val="000000"/>
          <w:sz w:val="24"/>
          <w:szCs w:val="24"/>
        </w:rPr>
        <w:sym w:font="HQPB2" w:char="F039"/>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4" w:char="F0E8"/>
      </w:r>
      <w:r>
        <w:rPr>
          <w:color w:val="000000"/>
          <w:sz w:val="24"/>
          <w:szCs w:val="24"/>
        </w:rPr>
        <w:sym w:font="HQPB2" w:char="F070"/>
      </w:r>
      <w:r>
        <w:rPr>
          <w:color w:val="000000"/>
          <w:sz w:val="24"/>
          <w:szCs w:val="24"/>
        </w:rPr>
        <w:sym w:font="HQPB5" w:char="F073"/>
      </w:r>
      <w:r>
        <w:rPr>
          <w:color w:val="000000"/>
          <w:sz w:val="24"/>
          <w:szCs w:val="24"/>
        </w:rPr>
        <w:sym w:font="HQPB2" w:char="F025"/>
      </w:r>
      <w:r>
        <w:rPr>
          <w:color w:val="000000"/>
          <w:sz w:val="24"/>
          <w:szCs w:val="24"/>
        </w:rPr>
        <w:sym w:font="HQPB4" w:char="F0CD"/>
      </w:r>
      <w:r>
        <w:rPr>
          <w:color w:val="000000"/>
          <w:sz w:val="24"/>
          <w:szCs w:val="24"/>
        </w:rPr>
        <w:sym w:font="HQPB1" w:char="F091"/>
      </w:r>
      <w:r>
        <w:rPr>
          <w:color w:val="000000"/>
          <w:sz w:val="24"/>
          <w:szCs w:val="24"/>
        </w:rPr>
        <w:sym w:font="HQPB1" w:char="F024"/>
      </w:r>
      <w:r>
        <w:rPr>
          <w:color w:val="000000"/>
          <w:sz w:val="24"/>
          <w:szCs w:val="24"/>
        </w:rPr>
        <w:sym w:font="HQPB4" w:char="F0A1"/>
      </w:r>
      <w:r>
        <w:rPr>
          <w:color w:val="000000"/>
          <w:sz w:val="24"/>
          <w:szCs w:val="24"/>
        </w:rPr>
        <w:sym w:font="HQPB1" w:char="F0A1"/>
      </w:r>
      <w:r>
        <w:rPr>
          <w:color w:val="000000"/>
          <w:sz w:val="24"/>
          <w:szCs w:val="24"/>
        </w:rPr>
        <w:sym w:font="HQPB2" w:char="F039"/>
      </w:r>
      <w:r>
        <w:rPr>
          <w:color w:val="000000"/>
          <w:sz w:val="24"/>
          <w:szCs w:val="24"/>
        </w:rPr>
        <w:sym w:font="HQPB5" w:char="F024"/>
      </w:r>
      <w:r>
        <w:rPr>
          <w:color w:val="000000"/>
          <w:sz w:val="24"/>
          <w:szCs w:val="24"/>
        </w:rPr>
        <w:sym w:font="HQPB1" w:char="F023"/>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4" w:char="F0FE"/>
      </w:r>
      <w:r>
        <w:rPr>
          <w:color w:val="000000"/>
          <w:sz w:val="24"/>
          <w:szCs w:val="24"/>
        </w:rPr>
        <w:sym w:font="HQPB2" w:char="F071"/>
      </w:r>
      <w:r>
        <w:rPr>
          <w:color w:val="000000"/>
          <w:sz w:val="24"/>
          <w:szCs w:val="24"/>
        </w:rPr>
        <w:sym w:font="HQPB4" w:char="F0E3"/>
      </w:r>
      <w:r>
        <w:rPr>
          <w:color w:val="000000"/>
          <w:sz w:val="24"/>
          <w:szCs w:val="24"/>
        </w:rPr>
        <w:sym w:font="HQPB1" w:char="F0E8"/>
      </w:r>
      <w:r>
        <w:rPr>
          <w:color w:val="000000"/>
          <w:sz w:val="24"/>
          <w:szCs w:val="24"/>
        </w:rPr>
        <w:sym w:font="HQPB5" w:char="F073"/>
      </w:r>
      <w:r>
        <w:rPr>
          <w:color w:val="000000"/>
          <w:sz w:val="24"/>
          <w:szCs w:val="24"/>
        </w:rPr>
        <w:sym w:font="HQPB1" w:char="F0DC"/>
      </w:r>
      <w:r>
        <w:rPr>
          <w:color w:val="000000"/>
          <w:sz w:val="24"/>
          <w:szCs w:val="24"/>
        </w:rPr>
        <w:sym w:font="HQPB4" w:char="F0F8"/>
      </w:r>
      <w:r>
        <w:rPr>
          <w:color w:val="000000"/>
          <w:sz w:val="24"/>
          <w:szCs w:val="24"/>
        </w:rPr>
        <w:sym w:font="HQPB2" w:char="F025"/>
      </w:r>
      <w:r>
        <w:rPr>
          <w:color w:val="000000"/>
          <w:sz w:val="24"/>
          <w:szCs w:val="24"/>
        </w:rPr>
        <w:sym w:font="HQPB5" w:char="F024"/>
      </w:r>
      <w:r>
        <w:rPr>
          <w:color w:val="000000"/>
          <w:sz w:val="24"/>
          <w:szCs w:val="24"/>
        </w:rPr>
        <w:sym w:font="HQPB1" w:char="F024"/>
      </w:r>
      <w:r>
        <w:rPr>
          <w:color w:val="000000"/>
          <w:sz w:val="24"/>
          <w:szCs w:val="24"/>
        </w:rPr>
        <w:sym w:font="HQPB5" w:char="F073"/>
      </w:r>
      <w:r>
        <w:rPr>
          <w:color w:val="000000"/>
          <w:sz w:val="24"/>
          <w:szCs w:val="24"/>
        </w:rPr>
        <w:sym w:font="HQPB1" w:char="F0F9"/>
      </w:r>
      <w:r>
        <w:rPr>
          <w:color w:val="000000"/>
          <w:sz w:val="24"/>
          <w:szCs w:val="24"/>
          <w:rtl/>
        </w:rPr>
        <w:t xml:space="preserve"> </w:t>
      </w:r>
      <w:r>
        <w:rPr>
          <w:color w:val="000000"/>
          <w:sz w:val="24"/>
          <w:szCs w:val="24"/>
        </w:rPr>
        <w:sym w:font="HQPB1" w:char="F024"/>
      </w:r>
      <w:r>
        <w:rPr>
          <w:color w:val="000000"/>
          <w:sz w:val="24"/>
          <w:szCs w:val="24"/>
        </w:rPr>
        <w:sym w:font="HQPB5" w:char="F079"/>
      </w:r>
      <w:r>
        <w:rPr>
          <w:color w:val="000000"/>
          <w:sz w:val="24"/>
          <w:szCs w:val="24"/>
        </w:rPr>
        <w:sym w:font="HQPB2" w:char="F04A"/>
      </w:r>
      <w:r>
        <w:rPr>
          <w:color w:val="000000"/>
          <w:sz w:val="24"/>
          <w:szCs w:val="24"/>
        </w:rPr>
        <w:sym w:font="HQPB4" w:char="F0DF"/>
      </w:r>
      <w:r>
        <w:rPr>
          <w:color w:val="000000"/>
          <w:sz w:val="24"/>
          <w:szCs w:val="24"/>
        </w:rPr>
        <w:sym w:font="HQPB2" w:char="F067"/>
      </w:r>
      <w:r>
        <w:rPr>
          <w:color w:val="000000"/>
          <w:sz w:val="24"/>
          <w:szCs w:val="24"/>
        </w:rPr>
        <w:sym w:font="HQPB5" w:char="F074"/>
      </w:r>
      <w:r>
        <w:rPr>
          <w:color w:val="000000"/>
          <w:sz w:val="24"/>
          <w:szCs w:val="24"/>
        </w:rPr>
        <w:sym w:font="HQPB2" w:char="F083"/>
      </w:r>
      <w:r>
        <w:rPr>
          <w:color w:val="000000"/>
          <w:sz w:val="24"/>
          <w:szCs w:val="24"/>
        </w:rPr>
        <w:sym w:font="HQPB4" w:char="F0CF"/>
      </w:r>
      <w:r>
        <w:rPr>
          <w:color w:val="000000"/>
          <w:sz w:val="24"/>
          <w:szCs w:val="24"/>
        </w:rPr>
        <w:sym w:font="HQPB1" w:char="F089"/>
      </w:r>
      <w:r>
        <w:rPr>
          <w:color w:val="000000"/>
          <w:sz w:val="24"/>
          <w:szCs w:val="24"/>
        </w:rPr>
        <w:sym w:font="HQPB4" w:char="F0F7"/>
      </w:r>
      <w:r>
        <w:rPr>
          <w:color w:val="000000"/>
          <w:sz w:val="24"/>
          <w:szCs w:val="24"/>
        </w:rPr>
        <w:sym w:font="HQPB2" w:char="F083"/>
      </w:r>
      <w:r>
        <w:rPr>
          <w:color w:val="000000"/>
          <w:sz w:val="24"/>
          <w:szCs w:val="24"/>
        </w:rPr>
        <w:sym w:font="HQPB5" w:char="F072"/>
      </w:r>
      <w:r>
        <w:rPr>
          <w:color w:val="000000"/>
          <w:sz w:val="24"/>
          <w:szCs w:val="24"/>
        </w:rPr>
        <w:sym w:font="HQPB1" w:char="F026"/>
      </w:r>
      <w:r>
        <w:rPr>
          <w:color w:val="000000"/>
          <w:sz w:val="24"/>
          <w:szCs w:val="24"/>
          <w:rtl/>
        </w:rPr>
        <w:t xml:space="preserve"> </w:t>
      </w:r>
      <w:r>
        <w:rPr>
          <w:color w:val="000000"/>
          <w:sz w:val="24"/>
          <w:szCs w:val="24"/>
        </w:rPr>
        <w:sym w:font="HQPB2" w:char="F0E1"/>
      </w:r>
      <w:r>
        <w:rPr>
          <w:rFonts w:hint="cs"/>
          <w:vertAlign w:val="superscript"/>
          <w:rtl/>
        </w:rPr>
        <w:t xml:space="preserve"> </w:t>
      </w:r>
      <w:r>
        <w:rPr>
          <w:rFonts w:hint="cs"/>
          <w:spacing w:val="8"/>
          <w:rtl/>
        </w:rPr>
        <w:t xml:space="preserve">لفظ القـطع خاص بالإبانة عن الشـيء من غير دلالة إبطال العـصمـة، ففي القول بأن القطع يوجب إبـطال العصمة الثابتة للمال قبل القطع، حتى لا يجب الضمان بهلاكه أو استهلاكه - كما هو مذهب أبي حنيفة </w:t>
      </w:r>
      <w:r>
        <w:rPr>
          <w:spacing w:val="8"/>
          <w:rtl/>
        </w:rPr>
        <w:t>–</w:t>
      </w:r>
      <w:r>
        <w:rPr>
          <w:rFonts w:hint="cs"/>
          <w:spacing w:val="8"/>
          <w:rtl/>
        </w:rPr>
        <w:t xml:space="preserve"> تـركُ العمل بالخاص</w:t>
      </w:r>
      <w:r>
        <w:rPr>
          <w:rFonts w:hint="eastAsia"/>
          <w:spacing w:val="8"/>
          <w:rtl/>
        </w:rPr>
        <w:t>»</w:t>
      </w:r>
      <w:r>
        <w:rPr>
          <w:rFonts w:hint="cs"/>
          <w:spacing w:val="8"/>
          <w:rtl/>
        </w:rPr>
        <w:t>.</w:t>
      </w:r>
    </w:p>
  </w:footnote>
  <w:footnote w:id="2726">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أخرجه ابن أبي شيبة، كتاب الرّد على أبي حنيفة، 7/292، ح36190؛ وأحمد، 1/448، 450، 462؛ والدرامي، كتاب النكاح، باب النهي عن التحليل، 2/211، ح2258؛ والترمذي، كتاب النكاح، باب ما جاء في المحلل والمحلل له، 3/428؛ والنسائي (في المجتبى)، كتاب الطلاق، باب إحلال المطلقة ثلاثًا، وما فيه من التغليظ، 6/149، ح3416؛ وأبو يعلى في مسنده، 8/468، ح5054؛ والشـاشي فـي مسنـده، 2/286، ح862؛ والطبراني في المعجم الكبير، 10/38، ح9878؛ وفي الأوسط، 4/211، ح4001؛ والبيهقي، كتاب النكاح، باب ما جاء في نكاح المحلل، 7/208.</w:t>
      </w:r>
    </w:p>
    <w:p w:rsidR="00035BE3" w:rsidRDefault="00035BE3" w:rsidP="00C10469">
      <w:pPr>
        <w:pStyle w:val="a6"/>
        <w:ind w:left="422" w:firstLine="0"/>
        <w:rPr>
          <w:rtl/>
          <w:lang w:val="en-US" w:bidi="ar-AE"/>
        </w:rPr>
      </w:pPr>
      <w:r>
        <w:rPr>
          <w:rFonts w:hint="cs"/>
          <w:rtl/>
        </w:rPr>
        <w:t xml:space="preserve">جميعهم بـمثل اللفظ المذكور، من حديث عبد الله بن مسعود </w:t>
      </w:r>
      <w:r>
        <w:rPr>
          <w:rFonts w:ascii="AGA Arabesque" w:hAnsi="AGA Arabesque"/>
          <w:sz w:val="36"/>
          <w:szCs w:val="36"/>
          <w:lang w:val="en-US"/>
        </w:rPr>
        <w:t></w:t>
      </w:r>
      <w:r>
        <w:rPr>
          <w:rFonts w:hint="cs"/>
          <w:rtl/>
          <w:lang w:val="en-US" w:bidi="ar-AE"/>
        </w:rPr>
        <w:t>.</w:t>
      </w:r>
    </w:p>
    <w:p w:rsidR="00035BE3" w:rsidRDefault="00035BE3" w:rsidP="00C10469">
      <w:pPr>
        <w:pStyle w:val="a6"/>
        <w:ind w:left="422" w:firstLine="0"/>
        <w:rPr>
          <w:b/>
          <w:bCs/>
          <w:rtl/>
          <w:lang w:val="en-US"/>
        </w:rPr>
      </w:pPr>
      <w:r>
        <w:rPr>
          <w:rFonts w:hint="cs"/>
          <w:b/>
          <w:bCs/>
          <w:rtl/>
          <w:lang w:val="en-US" w:bidi="ar-AE"/>
        </w:rPr>
        <w:t>وممّا قاله أهل العلم في هذا الحديث :</w:t>
      </w:r>
    </w:p>
    <w:p w:rsidR="00035BE3" w:rsidRDefault="00035BE3" w:rsidP="00C10469">
      <w:pPr>
        <w:pStyle w:val="a6"/>
        <w:ind w:left="422" w:firstLine="0"/>
        <w:rPr>
          <w:spacing w:val="-2"/>
          <w:rtl/>
        </w:rPr>
      </w:pPr>
      <w:r>
        <w:rPr>
          <w:spacing w:val="-2"/>
          <w:rtl/>
          <w:lang w:val="en-US"/>
        </w:rPr>
        <w:t>•</w:t>
      </w:r>
      <w:r>
        <w:rPr>
          <w:rFonts w:hint="cs"/>
          <w:spacing w:val="-2"/>
          <w:rtl/>
          <w:lang w:val="en-US"/>
        </w:rPr>
        <w:t xml:space="preserve"> </w:t>
      </w:r>
      <w:r>
        <w:rPr>
          <w:rFonts w:hint="cs"/>
          <w:spacing w:val="-2"/>
          <w:rtl/>
          <w:lang w:val="en-US" w:bidi="ar-AE"/>
        </w:rPr>
        <w:t xml:space="preserve">ما جاء في سنن الترمذي </w:t>
      </w:r>
      <w:r>
        <w:rPr>
          <w:spacing w:val="-2"/>
          <w:rtl/>
          <w:lang w:val="en-US" w:bidi="ar-AE"/>
        </w:rPr>
        <w:t>–</w:t>
      </w:r>
      <w:r>
        <w:rPr>
          <w:rFonts w:hint="cs"/>
          <w:spacing w:val="-2"/>
          <w:rtl/>
          <w:lang w:val="en-US" w:bidi="ar-AE"/>
        </w:rPr>
        <w:t xml:space="preserve">3/428- : </w:t>
      </w:r>
      <w:r>
        <w:rPr>
          <w:rFonts w:hint="eastAsia"/>
          <w:spacing w:val="-2"/>
          <w:rtl/>
        </w:rPr>
        <w:t>«</w:t>
      </w:r>
      <w:r>
        <w:rPr>
          <w:rFonts w:hint="cs"/>
          <w:spacing w:val="-2"/>
          <w:rtl/>
        </w:rPr>
        <w:t xml:space="preserve">هذا حديث حسن صحيح ... وقد رُوي هذا الحديث عن النبي </w:t>
      </w:r>
      <w:r>
        <w:rPr>
          <w:rFonts w:ascii="AGA Arabesque" w:hAnsi="AGA Arabesque"/>
          <w:spacing w:val="-2"/>
          <w:sz w:val="36"/>
          <w:szCs w:val="36"/>
          <w:lang w:val="en-US"/>
        </w:rPr>
        <w:t></w:t>
      </w:r>
      <w:r>
        <w:rPr>
          <w:rFonts w:hint="cs"/>
          <w:spacing w:val="-2"/>
          <w:rtl/>
          <w:lang w:val="en-US" w:bidi="ar-AE"/>
        </w:rPr>
        <w:t xml:space="preserve"> من غير وجه، والعمل على هذا عند أهل العلم من أصحاب النبي </w:t>
      </w:r>
      <w:r>
        <w:rPr>
          <w:rFonts w:ascii="AGA Arabesque" w:hAnsi="AGA Arabesque"/>
          <w:spacing w:val="-2"/>
          <w:sz w:val="36"/>
          <w:szCs w:val="36"/>
          <w:lang w:val="en-US"/>
        </w:rPr>
        <w:t></w:t>
      </w:r>
      <w:r>
        <w:rPr>
          <w:rFonts w:hint="eastAsia"/>
          <w:spacing w:val="-2"/>
          <w:rtl/>
        </w:rPr>
        <w:t xml:space="preserve"> </w:t>
      </w:r>
      <w:r>
        <w:rPr>
          <w:rFonts w:hint="cs"/>
          <w:spacing w:val="-2"/>
          <w:rtl/>
        </w:rPr>
        <w:t>، منهم عمر بن الخطاب وعثمان بن عفان وعبد الله بن عمرو وغيرهم، وهو قول الفقهاء من التابعين، وبه يقول سفيان الثوري وابن المبارك والشافعي وأحمد وإسحاق ...</w:t>
      </w:r>
      <w:r>
        <w:rPr>
          <w:rFonts w:hint="eastAsia"/>
          <w:spacing w:val="-2"/>
          <w:rtl/>
        </w:rPr>
        <w:t>»</w:t>
      </w:r>
      <w:r>
        <w:rPr>
          <w:rFonts w:hint="cs"/>
          <w:spacing w:val="-2"/>
          <w:rtl/>
        </w:rPr>
        <w:t>.</w:t>
      </w:r>
    </w:p>
    <w:p w:rsidR="00035BE3" w:rsidRDefault="00035BE3" w:rsidP="00C10469">
      <w:pPr>
        <w:pStyle w:val="a6"/>
        <w:ind w:left="422" w:firstLine="0"/>
        <w:rPr>
          <w:rtl/>
        </w:rPr>
      </w:pPr>
      <w:r>
        <w:rPr>
          <w:rtl/>
        </w:rPr>
        <w:t>•</w:t>
      </w:r>
      <w:r>
        <w:rPr>
          <w:rFonts w:hint="cs"/>
          <w:rtl/>
        </w:rPr>
        <w:t xml:space="preserve"> وجاء في الدراية، 2/73 : </w:t>
      </w:r>
      <w:r>
        <w:rPr>
          <w:rFonts w:hint="eastAsia"/>
          <w:rtl/>
        </w:rPr>
        <w:t>«</w:t>
      </w:r>
      <w:r>
        <w:rPr>
          <w:rFonts w:hint="cs"/>
          <w:rtl/>
        </w:rPr>
        <w:t>حديث لعن الله المحلّل والمحلّل له : الترمذي والنسائي عن ابن مسعود. ورواتُهُ ثقاتٌ ...</w:t>
      </w:r>
      <w:r>
        <w:rPr>
          <w:rFonts w:hint="eastAsia"/>
          <w:rtl/>
        </w:rPr>
        <w:t>»</w:t>
      </w:r>
      <w:r>
        <w:rPr>
          <w:rFonts w:hint="cs"/>
          <w:rtl/>
        </w:rPr>
        <w:t>.</w:t>
      </w:r>
    </w:p>
    <w:p w:rsidR="00035BE3" w:rsidRDefault="00035BE3" w:rsidP="00C10469">
      <w:pPr>
        <w:pStyle w:val="a6"/>
        <w:ind w:left="422" w:firstLine="0"/>
        <w:rPr>
          <w:rtl/>
        </w:rPr>
      </w:pPr>
      <w:r>
        <w:rPr>
          <w:rtl/>
        </w:rPr>
        <w:t>•</w:t>
      </w:r>
      <w:r>
        <w:rPr>
          <w:rFonts w:hint="cs"/>
          <w:rtl/>
        </w:rPr>
        <w:t xml:space="preserve"> وجاء في تلخيص الحبير، 3/170 : </w:t>
      </w:r>
      <w:r>
        <w:rPr>
          <w:rFonts w:hint="eastAsia"/>
          <w:rtl/>
        </w:rPr>
        <w:t>«</w:t>
      </w:r>
      <w:r>
        <w:rPr>
          <w:rFonts w:hint="cs"/>
          <w:rtl/>
        </w:rPr>
        <w:t>... وصححه ابن القطان وابن دقيق العيد على شرط البخاري</w:t>
      </w:r>
      <w:r>
        <w:rPr>
          <w:rFonts w:hint="eastAsia"/>
          <w:rtl/>
        </w:rPr>
        <w:t>»</w:t>
      </w:r>
      <w:r>
        <w:rPr>
          <w:rFonts w:hint="cs"/>
          <w:rtl/>
        </w:rPr>
        <w:t>.</w:t>
      </w:r>
    </w:p>
    <w:p w:rsidR="00035BE3" w:rsidRDefault="00035BE3" w:rsidP="00C10469">
      <w:pPr>
        <w:pStyle w:val="a6"/>
        <w:ind w:left="-32" w:firstLine="454"/>
        <w:rPr>
          <w:spacing w:val="-4"/>
          <w:rtl/>
        </w:rPr>
      </w:pPr>
      <w:r>
        <w:rPr>
          <w:spacing w:val="-4"/>
          <w:rtl/>
        </w:rPr>
        <w:t>•</w:t>
      </w:r>
      <w:r>
        <w:rPr>
          <w:rFonts w:hint="cs"/>
          <w:spacing w:val="-4"/>
          <w:rtl/>
        </w:rPr>
        <w:t xml:space="preserve"> وقد نقل ذلك الألباني في إرواء الغليل </w:t>
      </w:r>
      <w:r>
        <w:rPr>
          <w:spacing w:val="-4"/>
          <w:rtl/>
        </w:rPr>
        <w:t>–</w:t>
      </w:r>
      <w:r>
        <w:rPr>
          <w:rFonts w:hint="cs"/>
          <w:spacing w:val="-4"/>
          <w:rtl/>
        </w:rPr>
        <w:t xml:space="preserve">6/307-308-  ثم قال : </w:t>
      </w:r>
      <w:r>
        <w:rPr>
          <w:rFonts w:hint="eastAsia"/>
          <w:spacing w:val="-4"/>
          <w:rtl/>
        </w:rPr>
        <w:t>«</w:t>
      </w:r>
      <w:r>
        <w:rPr>
          <w:rFonts w:hint="cs"/>
          <w:spacing w:val="-4"/>
          <w:rtl/>
        </w:rPr>
        <w:t xml:space="preserve"> قلت : وهو كما قالا</w:t>
      </w:r>
      <w:r>
        <w:rPr>
          <w:rFonts w:hint="eastAsia"/>
          <w:spacing w:val="-4"/>
          <w:rtl/>
        </w:rPr>
        <w:t>»</w:t>
      </w:r>
      <w:r>
        <w:rPr>
          <w:rFonts w:hint="cs"/>
          <w:spacing w:val="-4"/>
          <w:rtl/>
        </w:rPr>
        <w:t>.</w:t>
      </w:r>
    </w:p>
    <w:p w:rsidR="00035BE3" w:rsidRDefault="00035BE3" w:rsidP="00C10469">
      <w:pPr>
        <w:pStyle w:val="a6"/>
        <w:ind w:left="422" w:firstLine="0"/>
        <w:rPr>
          <w:rtl/>
        </w:rPr>
      </w:pPr>
      <w:r>
        <w:rPr>
          <w:rtl/>
        </w:rPr>
        <w:t>•</w:t>
      </w:r>
      <w:r>
        <w:rPr>
          <w:rFonts w:hint="cs"/>
          <w:rtl/>
        </w:rPr>
        <w:t xml:space="preserve"> كما جاء في فيض القدير، 5/271 : </w:t>
      </w:r>
      <w:r>
        <w:rPr>
          <w:rFonts w:hint="eastAsia"/>
          <w:rtl/>
        </w:rPr>
        <w:t>«</w:t>
      </w:r>
      <w:r>
        <w:rPr>
          <w:rFonts w:hint="cs"/>
          <w:rtl/>
        </w:rPr>
        <w:t>... وقال الذهبي في (الكبائر) : صحّ من حديث ابن مسعود</w:t>
      </w:r>
      <w:r>
        <w:rPr>
          <w:rFonts w:hint="eastAsia"/>
          <w:rtl/>
        </w:rPr>
        <w:t>»</w:t>
      </w:r>
      <w:r>
        <w:rPr>
          <w:rFonts w:hint="cs"/>
          <w:rtl/>
        </w:rPr>
        <w:t>.</w:t>
      </w:r>
    </w:p>
    <w:p w:rsidR="00035BE3" w:rsidRDefault="00035BE3" w:rsidP="00C10469">
      <w:pPr>
        <w:pStyle w:val="a6"/>
        <w:ind w:left="422" w:firstLine="0"/>
        <w:rPr>
          <w:spacing w:val="-4"/>
          <w:rtl/>
        </w:rPr>
      </w:pPr>
      <w:r>
        <w:rPr>
          <w:rFonts w:hint="cs"/>
          <w:b/>
          <w:bCs/>
          <w:spacing w:val="-4"/>
          <w:rtl/>
        </w:rPr>
        <w:t>يضاف إلى ذلك</w:t>
      </w:r>
      <w:r>
        <w:rPr>
          <w:rFonts w:hint="cs"/>
          <w:spacing w:val="-4"/>
          <w:rtl/>
        </w:rPr>
        <w:t xml:space="preserve"> : أنّ له شواهد عن علي وجابر وأبي هريرة وابن عباس وعقبة بن عامر رضي الله عنهم.</w:t>
      </w:r>
    </w:p>
    <w:p w:rsidR="00035BE3" w:rsidRDefault="00035BE3" w:rsidP="00C10469">
      <w:pPr>
        <w:pStyle w:val="a6"/>
        <w:ind w:left="422" w:firstLine="0"/>
        <w:rPr>
          <w:rtl/>
          <w:lang w:val="en-US" w:bidi="ar-AE"/>
        </w:rPr>
      </w:pPr>
      <w:r>
        <w:rPr>
          <w:rFonts w:hint="cs"/>
          <w:b/>
          <w:bCs/>
          <w:rtl/>
        </w:rPr>
        <w:t>وللتوسع انظر أيضًا</w:t>
      </w:r>
      <w:r>
        <w:rPr>
          <w:rFonts w:hint="cs"/>
          <w:rtl/>
        </w:rPr>
        <w:t xml:space="preserve"> : نصب الراية، 3/238؛ مصباح الزجاحة، 2/112؛ كشف الخفاء، 2/187.</w:t>
      </w:r>
    </w:p>
  </w:footnote>
  <w:footnote w:id="272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وفما </w:t>
      </w:r>
      <w:r>
        <w:rPr>
          <w:rFonts w:hint="eastAsia"/>
          <w:rtl/>
        </w:rPr>
        <w:t>»</w:t>
      </w:r>
      <w:r>
        <w:rPr>
          <w:rFonts w:hint="cs"/>
          <w:rtl/>
        </w:rPr>
        <w:t>.</w:t>
      </w:r>
    </w:p>
  </w:footnote>
  <w:footnote w:id="272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الأول </w:t>
      </w:r>
      <w:r>
        <w:rPr>
          <w:rFonts w:hint="eastAsia"/>
          <w:rtl/>
        </w:rPr>
        <w:t>»</w:t>
      </w:r>
      <w:r>
        <w:rPr>
          <w:rFonts w:hint="cs"/>
          <w:rtl/>
        </w:rPr>
        <w:t>.</w:t>
      </w:r>
    </w:p>
  </w:footnote>
  <w:footnote w:id="2729">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شرح المغني للقاءاني، ق1، جـ2، ص435 - مع اختلاف في بعض الألفاظ - وانظر : المغني، ص97.</w:t>
      </w:r>
    </w:p>
  </w:footnote>
  <w:footnote w:id="273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32/ب من (ب).</w:t>
      </w:r>
    </w:p>
  </w:footnote>
  <w:footnote w:id="273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(38) من سورة (المائدة).</w:t>
      </w:r>
    </w:p>
  </w:footnote>
  <w:footnote w:id="273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شرح القاءاني : </w:t>
      </w:r>
      <w:r>
        <w:rPr>
          <w:rFonts w:hint="eastAsia"/>
          <w:rtl/>
        </w:rPr>
        <w:t>«</w:t>
      </w:r>
      <w:r>
        <w:rPr>
          <w:rFonts w:hint="cs"/>
          <w:rtl/>
        </w:rPr>
        <w:t>وكمال الجزاء</w:t>
      </w:r>
      <w:r>
        <w:rPr>
          <w:rFonts w:hint="eastAsia"/>
          <w:rtl/>
        </w:rPr>
        <w:t>»</w:t>
      </w:r>
      <w:r>
        <w:rPr>
          <w:rFonts w:hint="cs"/>
          <w:rtl/>
        </w:rPr>
        <w:t>.</w:t>
      </w:r>
    </w:p>
  </w:footnote>
  <w:footnote w:id="273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ولا </w:t>
      </w:r>
      <w:r>
        <w:rPr>
          <w:rFonts w:hint="eastAsia"/>
          <w:rtl/>
        </w:rPr>
        <w:t>»</w:t>
      </w:r>
      <w:r>
        <w:rPr>
          <w:rFonts w:hint="cs"/>
          <w:rtl/>
        </w:rPr>
        <w:t>.</w:t>
      </w:r>
    </w:p>
  </w:footnote>
  <w:footnote w:id="273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العبيد</w:t>
      </w:r>
      <w:r>
        <w:rPr>
          <w:rFonts w:hint="eastAsia"/>
          <w:rtl/>
        </w:rPr>
        <w:t>»</w:t>
      </w:r>
      <w:r>
        <w:rPr>
          <w:rFonts w:hint="cs"/>
          <w:rtl/>
        </w:rPr>
        <w:t xml:space="preserve">. وهذا الأولى؛ لأنه قال عقب ذلك : </w:t>
      </w:r>
      <w:r>
        <w:rPr>
          <w:rFonts w:hint="eastAsia"/>
          <w:rtl/>
        </w:rPr>
        <w:t>«</w:t>
      </w:r>
      <w:r>
        <w:rPr>
          <w:rFonts w:hint="cs"/>
          <w:rtl/>
        </w:rPr>
        <w:t xml:space="preserve">إذ الإضافة </w:t>
      </w:r>
      <w:r>
        <w:rPr>
          <w:rFonts w:hint="cs"/>
          <w:b/>
          <w:bCs/>
          <w:rtl/>
        </w:rPr>
        <w:t>إليهم</w:t>
      </w:r>
      <w:r>
        <w:rPr>
          <w:rFonts w:hint="cs"/>
          <w:rtl/>
        </w:rPr>
        <w:t xml:space="preserve"> ...</w:t>
      </w:r>
      <w:r>
        <w:rPr>
          <w:rFonts w:hint="eastAsia"/>
          <w:rtl/>
        </w:rPr>
        <w:t>»</w:t>
      </w:r>
      <w:r>
        <w:rPr>
          <w:rFonts w:hint="cs"/>
          <w:rtl/>
        </w:rPr>
        <w:t>.</w:t>
      </w:r>
    </w:p>
  </w:footnote>
  <w:footnote w:id="273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العبارة الأخيرة (وهي </w:t>
      </w:r>
      <w:r>
        <w:rPr>
          <w:rFonts w:hint="eastAsia"/>
          <w:rtl/>
        </w:rPr>
        <w:t>«</w:t>
      </w:r>
      <w:r>
        <w:rPr>
          <w:rFonts w:hint="cs"/>
          <w:rtl/>
        </w:rPr>
        <w:t>ولا كمال ... حاجتهم</w:t>
      </w:r>
      <w:r>
        <w:rPr>
          <w:rFonts w:hint="eastAsia"/>
          <w:rtl/>
        </w:rPr>
        <w:t>»</w:t>
      </w:r>
      <w:r>
        <w:rPr>
          <w:rFonts w:hint="cs"/>
          <w:rtl/>
        </w:rPr>
        <w:t xml:space="preserve">) وردت في شرح القاءاني مفسرة على النحو الآتي : </w:t>
      </w:r>
      <w:r>
        <w:rPr>
          <w:rFonts w:hint="eastAsia"/>
          <w:rtl/>
        </w:rPr>
        <w:t>«</w:t>
      </w:r>
      <w:r>
        <w:rPr>
          <w:rFonts w:hint="cs"/>
          <w:rtl/>
        </w:rPr>
        <w:t>ومع بقاء العصمة حقًّا للعبد لا تكون الجناية كاملة؛ إذ إضافة الأموال إلى العبيد، وتخصيصهم بها ضرورة حاجتهم إليها</w:t>
      </w:r>
      <w:r>
        <w:rPr>
          <w:rFonts w:hint="eastAsia"/>
          <w:rtl/>
        </w:rPr>
        <w:t>»</w:t>
      </w:r>
      <w:r>
        <w:rPr>
          <w:rFonts w:hint="cs"/>
          <w:rtl/>
        </w:rPr>
        <w:t>.</w:t>
      </w:r>
    </w:p>
  </w:footnote>
  <w:footnote w:id="273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وهو</w:t>
      </w:r>
      <w:r>
        <w:rPr>
          <w:rFonts w:hint="eastAsia"/>
          <w:rtl/>
        </w:rPr>
        <w:t>»</w:t>
      </w:r>
      <w:r>
        <w:rPr>
          <w:rFonts w:hint="cs"/>
          <w:rtl/>
        </w:rPr>
        <w:t xml:space="preserve">. وفي شرح القاءاني : </w:t>
      </w:r>
      <w:r>
        <w:rPr>
          <w:rFonts w:hint="eastAsia"/>
          <w:rtl/>
        </w:rPr>
        <w:t>«</w:t>
      </w:r>
      <w:r>
        <w:rPr>
          <w:rFonts w:hint="cs"/>
          <w:rtl/>
        </w:rPr>
        <w:t>إذ هي</w:t>
      </w:r>
      <w:r>
        <w:rPr>
          <w:rFonts w:hint="eastAsia"/>
          <w:rtl/>
        </w:rPr>
        <w:t>»</w:t>
      </w:r>
      <w:r>
        <w:rPr>
          <w:rFonts w:hint="cs"/>
          <w:rtl/>
        </w:rPr>
        <w:t>.</w:t>
      </w:r>
    </w:p>
  </w:footnote>
  <w:footnote w:id="273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خلق</w:t>
      </w:r>
      <w:r>
        <w:rPr>
          <w:rFonts w:hint="eastAsia"/>
          <w:rtl/>
        </w:rPr>
        <w:t>»</w:t>
      </w:r>
      <w:r>
        <w:rPr>
          <w:rFonts w:hint="cs"/>
          <w:rtl/>
        </w:rPr>
        <w:t>. والصحيح ما تمَّ إثباته من (جـ)، وهو الموافق لشرح القاءاني.</w:t>
      </w:r>
    </w:p>
  </w:footnote>
  <w:footnote w:id="273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38/ب من (جـ).</w:t>
      </w:r>
    </w:p>
  </w:footnote>
  <w:footnote w:id="273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يكون</w:t>
      </w:r>
      <w:r>
        <w:rPr>
          <w:rFonts w:hint="eastAsia"/>
          <w:rtl/>
        </w:rPr>
        <w:t>»</w:t>
      </w:r>
      <w:r>
        <w:rPr>
          <w:rFonts w:hint="cs"/>
          <w:rtl/>
        </w:rPr>
        <w:t>. والأفصح هو ما تمَّ إثباته من (د)؛ وهو الموافق لشرح القاءاني.</w:t>
      </w:r>
    </w:p>
  </w:footnote>
  <w:footnote w:id="274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ص437 -مع الاختلاف الذي سبق بيانه -.</w:t>
      </w:r>
    </w:p>
    <w:p w:rsidR="00035BE3" w:rsidRDefault="00035BE3" w:rsidP="00C10469">
      <w:pPr>
        <w:pStyle w:val="a6"/>
        <w:spacing w:line="440" w:lineRule="exact"/>
        <w:ind w:left="422" w:hanging="454"/>
        <w:rPr>
          <w:rtl/>
        </w:rPr>
      </w:pPr>
      <w:r>
        <w:rPr>
          <w:rFonts w:hint="cs"/>
          <w:rtl/>
        </w:rPr>
        <w:tab/>
        <w:t>وانظر : أصول السرخسي، 1/129؛ المغني، ص97؛ التلويح، 1/38.</w:t>
      </w:r>
    </w:p>
  </w:footnote>
  <w:footnote w:id="274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منها الكتب السابقة.</w:t>
      </w:r>
    </w:p>
  </w:footnote>
  <w:footnote w:id="274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يحتمل </w:t>
      </w:r>
      <w:r>
        <w:rPr>
          <w:rFonts w:hint="eastAsia"/>
          <w:rtl/>
        </w:rPr>
        <w:t>»</w:t>
      </w:r>
      <w:r>
        <w:rPr>
          <w:rFonts w:hint="cs"/>
          <w:rtl/>
        </w:rPr>
        <w:t>.</w:t>
      </w:r>
    </w:p>
  </w:footnote>
  <w:footnote w:id="274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50/أ من (أ).</w:t>
      </w:r>
    </w:p>
  </w:footnote>
  <w:footnote w:id="2744">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وردت</w:t>
      </w:r>
      <w:r>
        <w:rPr>
          <w:rtl/>
        </w:rPr>
        <w:t xml:space="preserve"> هذه القاعدة باللفظ المذكور في </w:t>
      </w:r>
      <w:r>
        <w:rPr>
          <w:rFonts w:hint="cs"/>
          <w:rtl/>
        </w:rPr>
        <w:t>كثير</w:t>
      </w:r>
      <w:r>
        <w:rPr>
          <w:rtl/>
        </w:rPr>
        <w:t xml:space="preserve"> من </w:t>
      </w:r>
      <w:r>
        <w:rPr>
          <w:rFonts w:hint="eastAsia"/>
          <w:rtl/>
        </w:rPr>
        <w:t>كتب</w:t>
      </w:r>
      <w:r>
        <w:rPr>
          <w:rtl/>
        </w:rPr>
        <w:t xml:space="preserve"> الفقه وقواعده :</w:t>
      </w:r>
    </w:p>
    <w:p w:rsidR="00035BE3" w:rsidRDefault="00035BE3" w:rsidP="00C10469">
      <w:pPr>
        <w:pStyle w:val="a6"/>
        <w:spacing w:line="440" w:lineRule="exact"/>
        <w:ind w:left="422" w:firstLine="0"/>
        <w:rPr>
          <w:b/>
          <w:bCs/>
          <w:rtl/>
        </w:rPr>
      </w:pPr>
      <w:r>
        <w:rPr>
          <w:rFonts w:hint="eastAsia"/>
          <w:b/>
          <w:bCs/>
          <w:rtl/>
        </w:rPr>
        <w:t>فمن</w:t>
      </w:r>
      <w:r>
        <w:rPr>
          <w:b/>
          <w:bCs/>
          <w:rtl/>
        </w:rPr>
        <w:t xml:space="preserve"> كتب القواعد :</w:t>
      </w:r>
    </w:p>
    <w:p w:rsidR="00035BE3" w:rsidRDefault="00035BE3" w:rsidP="00C10469">
      <w:pPr>
        <w:pStyle w:val="a6"/>
        <w:spacing w:line="440" w:lineRule="exact"/>
        <w:ind w:left="422" w:firstLine="0"/>
        <w:rPr>
          <w:rtl/>
        </w:rPr>
      </w:pPr>
      <w:r>
        <w:rPr>
          <w:rFonts w:hint="eastAsia"/>
          <w:rtl/>
        </w:rPr>
        <w:t>المنثور</w:t>
      </w:r>
      <w:r>
        <w:rPr>
          <w:rtl/>
        </w:rPr>
        <w:t xml:space="preserve"> في القواعد، 2/119-121؛ الأشباه </w:t>
      </w:r>
      <w:r>
        <w:rPr>
          <w:rFonts w:hint="eastAsia"/>
          <w:rtl/>
        </w:rPr>
        <w:t>والنظائر</w:t>
      </w:r>
      <w:r>
        <w:rPr>
          <w:rtl/>
        </w:rPr>
        <w:t xml:space="preserve"> للسيوطي 1/303-304؛ الأشباه والنظائرلابن نجيم، ص24، 176-178؛ المنهج </w:t>
      </w:r>
      <w:r>
        <w:rPr>
          <w:rFonts w:hint="eastAsia"/>
          <w:rtl/>
        </w:rPr>
        <w:t>المنتخب</w:t>
      </w:r>
      <w:r>
        <w:rPr>
          <w:rtl/>
        </w:rPr>
        <w:t xml:space="preserve"> وشرحه للمنجور، ص519-521؛ الفرائد البهية وشرحاها: الأقمار المضيئة، </w:t>
      </w:r>
      <w:r>
        <w:rPr>
          <w:rFonts w:hint="eastAsia"/>
          <w:rtl/>
        </w:rPr>
        <w:t>ص</w:t>
      </w:r>
      <w:r>
        <w:rPr>
          <w:rtl/>
        </w:rPr>
        <w:t xml:space="preserve">184-185؛ والمواهب السنية وحاشيتها : الفوائد الجنية، 2/167-169؛ المجاز الواضح </w:t>
      </w:r>
      <w:r>
        <w:rPr>
          <w:rFonts w:hint="eastAsia"/>
          <w:rtl/>
        </w:rPr>
        <w:t>في</w:t>
      </w:r>
      <w:r>
        <w:rPr>
          <w:rtl/>
        </w:rPr>
        <w:t xml:space="preserve"> قواعد المذهب الراجح وشرحه : الدليل الماهر الناصح، ص212-213؛ مجلة الأحكام </w:t>
      </w:r>
      <w:r>
        <w:rPr>
          <w:rFonts w:hint="eastAsia"/>
          <w:rtl/>
        </w:rPr>
        <w:t>العدلية،</w:t>
      </w:r>
      <w:r>
        <w:rPr>
          <w:rtl/>
        </w:rPr>
        <w:t xml:space="preserve"> مادة 85؛ شرحها لسليم رستم، 1/56-57؛ وشرحها لعلي حيدر، 1/78؛ وللأتاسي، 1/240-242؛ وشرح قواعدها الفقهية للزرقا، ص429-430؛ قواعد الفقه للمجدّدي، ص80، </w:t>
      </w:r>
      <w:r>
        <w:rPr>
          <w:rFonts w:hint="eastAsia"/>
          <w:rtl/>
        </w:rPr>
        <w:t>رقم</w:t>
      </w:r>
      <w:r>
        <w:rPr>
          <w:rtl/>
        </w:rPr>
        <w:t xml:space="preserve"> 129؛ المدخل الفقهي العام، 2/1033-1035، فقرة 649؛ المبادئ الفقهية، ص49؛ </w:t>
      </w:r>
      <w:r>
        <w:rPr>
          <w:rFonts w:hint="eastAsia"/>
          <w:rtl/>
        </w:rPr>
        <w:t>القواعد</w:t>
      </w:r>
      <w:r>
        <w:rPr>
          <w:rtl/>
        </w:rPr>
        <w:t xml:space="preserve"> الفقهية للدكتور الندوي، ص93، 276، 277، 331، 406، 411؛ القواعد والضوابط </w:t>
      </w:r>
      <w:r>
        <w:rPr>
          <w:rFonts w:hint="eastAsia"/>
          <w:rtl/>
        </w:rPr>
        <w:t>المستخلصة</w:t>
      </w:r>
      <w:r>
        <w:rPr>
          <w:rtl/>
        </w:rPr>
        <w:t xml:space="preserve"> من التحرير له أيضًا، ص487، وأحال إلى التحرير، 5/798؛ الوجيز، </w:t>
      </w:r>
      <w:r>
        <w:rPr>
          <w:rFonts w:hint="eastAsia"/>
          <w:rtl/>
        </w:rPr>
        <w:t>ص</w:t>
      </w:r>
      <w:r>
        <w:rPr>
          <w:rtl/>
        </w:rPr>
        <w:t xml:space="preserve">311-314؛ موسوعة القواعد الفقهية، 1/47؛ قواعد الفقه الإسلامي من خلال كتاب </w:t>
      </w:r>
      <w:r>
        <w:rPr>
          <w:rFonts w:hint="eastAsia"/>
          <w:rtl/>
        </w:rPr>
        <w:t>الإشراف</w:t>
      </w:r>
      <w:r>
        <w:rPr>
          <w:rtl/>
        </w:rPr>
        <w:t xml:space="preserve"> على مسائل الخلاف</w:t>
      </w:r>
      <w:r>
        <w:rPr>
          <w:rFonts w:hint="cs"/>
          <w:rtl/>
        </w:rPr>
        <w:t xml:space="preserve"> للروكي</w:t>
      </w:r>
      <w:r>
        <w:rPr>
          <w:rtl/>
        </w:rPr>
        <w:t xml:space="preserve">، ص161، 226-228؛ القواعد الفقهية في بابي العبادات </w:t>
      </w:r>
      <w:r>
        <w:rPr>
          <w:rFonts w:hint="eastAsia"/>
          <w:rtl/>
        </w:rPr>
        <w:t>والمعاملات</w:t>
      </w:r>
      <w:r>
        <w:rPr>
          <w:rtl/>
        </w:rPr>
        <w:t xml:space="preserve"> لشيخنا د. عبد الله العيسى، 2/675؛ القواعد الفقهية للدّعاس، ص95، </w:t>
      </w:r>
      <w:r>
        <w:rPr>
          <w:rFonts w:hint="eastAsia"/>
          <w:rtl/>
        </w:rPr>
        <w:t>قاعدة</w:t>
      </w:r>
      <w:r>
        <w:rPr>
          <w:rtl/>
        </w:rPr>
        <w:t xml:space="preserve"> 78؛ القواعد الفقهية للدكتور محمد الزحيلي، ص85.</w:t>
      </w:r>
    </w:p>
    <w:p w:rsidR="00035BE3" w:rsidRDefault="00035BE3" w:rsidP="00C10469">
      <w:pPr>
        <w:pStyle w:val="a6"/>
        <w:spacing w:line="440" w:lineRule="exact"/>
        <w:ind w:left="422" w:firstLine="0"/>
        <w:rPr>
          <w:b/>
          <w:bCs/>
          <w:rtl/>
        </w:rPr>
      </w:pPr>
      <w:r>
        <w:rPr>
          <w:rFonts w:hint="eastAsia"/>
          <w:b/>
          <w:bCs/>
          <w:rtl/>
        </w:rPr>
        <w:t>ومن</w:t>
      </w:r>
      <w:r>
        <w:rPr>
          <w:b/>
          <w:bCs/>
          <w:rtl/>
        </w:rPr>
        <w:t xml:space="preserve"> كتب الفقه :</w:t>
      </w:r>
    </w:p>
    <w:p w:rsidR="00035BE3" w:rsidRDefault="00035BE3" w:rsidP="00C10469">
      <w:pPr>
        <w:pStyle w:val="a6"/>
        <w:spacing w:line="440" w:lineRule="exact"/>
        <w:ind w:left="422" w:firstLine="0"/>
        <w:rPr>
          <w:rtl/>
        </w:rPr>
      </w:pPr>
      <w:r>
        <w:rPr>
          <w:rFonts w:hint="eastAsia"/>
          <w:rtl/>
        </w:rPr>
        <w:t>الإشراف</w:t>
      </w:r>
      <w:r>
        <w:rPr>
          <w:rtl/>
        </w:rPr>
        <w:t xml:space="preserve"> على مسائل الخلاف، 1/271</w:t>
      </w:r>
      <w:r>
        <w:rPr>
          <w:rFonts w:hint="cs"/>
          <w:rtl/>
        </w:rPr>
        <w:t xml:space="preserve"> </w:t>
      </w:r>
      <w:r>
        <w:rPr>
          <w:rtl/>
        </w:rPr>
        <w:t>–</w:t>
      </w:r>
      <w:r>
        <w:rPr>
          <w:rFonts w:hint="cs"/>
          <w:rtl/>
        </w:rPr>
        <w:t>وقد عزاه إليه الروكي في قواعده-</w:t>
      </w:r>
      <w:r>
        <w:rPr>
          <w:rtl/>
        </w:rPr>
        <w:t xml:space="preserve">؛ المبسوط، 11/78؛ </w:t>
      </w:r>
      <w:r w:rsidRPr="00D57B58">
        <w:rPr>
          <w:spacing w:val="-4"/>
          <w:rtl/>
        </w:rPr>
        <w:t xml:space="preserve">المغني، 6/226؛ شرح مجمع البحرين، ق1، ص950؛ الكافي شرح الوافي، القسم </w:t>
      </w:r>
      <w:r w:rsidRPr="00D57B58">
        <w:rPr>
          <w:rFonts w:hint="eastAsia"/>
          <w:spacing w:val="-4"/>
          <w:rtl/>
        </w:rPr>
        <w:t>الأخير،</w:t>
      </w:r>
      <w:r>
        <w:rPr>
          <w:rtl/>
        </w:rPr>
        <w:t xml:space="preserve"> </w:t>
      </w:r>
      <w:r w:rsidRPr="00D57B58">
        <w:rPr>
          <w:spacing w:val="-4"/>
          <w:rtl/>
        </w:rPr>
        <w:t>ص1088؛ تحرير الكلام في مسائل الالتزام للحطاب، ص238</w:t>
      </w:r>
      <w:r w:rsidRPr="00D57B58">
        <w:rPr>
          <w:rFonts w:hint="cs"/>
          <w:spacing w:val="-4"/>
          <w:rtl/>
        </w:rPr>
        <w:t>؛ البحر الرائق، 5/156، 225، 234، 6/107.</w:t>
      </w:r>
    </w:p>
    <w:p w:rsidR="00035BE3" w:rsidRDefault="00035BE3" w:rsidP="00C10469">
      <w:pPr>
        <w:pStyle w:val="a6"/>
        <w:spacing w:line="440" w:lineRule="exact"/>
        <w:ind w:left="422" w:firstLine="0"/>
        <w:rPr>
          <w:rtl/>
        </w:rPr>
      </w:pPr>
      <w:r>
        <w:rPr>
          <w:rFonts w:hint="eastAsia"/>
          <w:b/>
          <w:bCs/>
          <w:rtl/>
        </w:rPr>
        <w:t>ومن</w:t>
      </w:r>
      <w:r>
        <w:rPr>
          <w:b/>
          <w:bCs/>
          <w:rtl/>
        </w:rPr>
        <w:t xml:space="preserve"> الكتب الأخر</w:t>
      </w:r>
      <w:r>
        <w:rPr>
          <w:rtl/>
        </w:rPr>
        <w:t xml:space="preserve"> </w:t>
      </w:r>
      <w:r>
        <w:rPr>
          <w:rFonts w:hint="eastAsia"/>
          <w:rtl/>
        </w:rPr>
        <w:t>التي</w:t>
      </w:r>
      <w:r>
        <w:rPr>
          <w:rtl/>
        </w:rPr>
        <w:t xml:space="preserve"> تعرضت للقاعدة : </w:t>
      </w:r>
    </w:p>
    <w:p w:rsidR="00035BE3" w:rsidRDefault="00035BE3" w:rsidP="00C10469">
      <w:pPr>
        <w:pStyle w:val="a6"/>
        <w:spacing w:line="440" w:lineRule="exact"/>
        <w:ind w:left="422" w:firstLine="0"/>
        <w:rPr>
          <w:rtl/>
        </w:rPr>
      </w:pPr>
      <w:r>
        <w:rPr>
          <w:rFonts w:hint="eastAsia"/>
          <w:rtl/>
        </w:rPr>
        <w:t>إعلام</w:t>
      </w:r>
      <w:r>
        <w:rPr>
          <w:rtl/>
        </w:rPr>
        <w:t xml:space="preserve"> الموقعين، 2/35؛ المواف</w:t>
      </w:r>
      <w:r>
        <w:rPr>
          <w:rFonts w:hint="cs"/>
          <w:rtl/>
        </w:rPr>
        <w:t>ق</w:t>
      </w:r>
      <w:r>
        <w:rPr>
          <w:rtl/>
        </w:rPr>
        <w:t>ات، 3/119.</w:t>
      </w:r>
    </w:p>
  </w:footnote>
  <w:footnote w:id="2745">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 أحمر ».</w:t>
      </w:r>
    </w:p>
  </w:footnote>
  <w:footnote w:id="2746">
    <w:p w:rsidR="00035BE3" w:rsidRDefault="00035BE3" w:rsidP="00C10469">
      <w:pPr>
        <w:pStyle w:val="a8"/>
        <w:bidi/>
        <w:spacing w:line="44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زيادة</w:t>
      </w:r>
      <w:r>
        <w:rPr>
          <w:rtl/>
        </w:rPr>
        <w:t xml:space="preserve"> من (د).</w:t>
      </w:r>
    </w:p>
  </w:footnote>
  <w:footnote w:id="274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 أبي ».</w:t>
      </w:r>
    </w:p>
  </w:footnote>
  <w:footnote w:id="274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هذه</w:t>
      </w:r>
      <w:r>
        <w:rPr>
          <w:rtl/>
        </w:rPr>
        <w:t xml:space="preserve"> العبارة حصل فيها خلاف بين النسخ إلا </w:t>
      </w:r>
      <w:r>
        <w:rPr>
          <w:rFonts w:hint="eastAsia"/>
          <w:rtl/>
        </w:rPr>
        <w:t>أنها</w:t>
      </w:r>
      <w:r>
        <w:rPr>
          <w:rtl/>
        </w:rPr>
        <w:t xml:space="preserve"> في كل نسخة لا تسلم من إشكال: </w:t>
      </w:r>
    </w:p>
    <w:p w:rsidR="00035BE3" w:rsidRDefault="00035BE3" w:rsidP="00C10469">
      <w:pPr>
        <w:pStyle w:val="a6"/>
        <w:ind w:left="422" w:firstLine="0"/>
        <w:rPr>
          <w:rtl/>
        </w:rPr>
      </w:pPr>
      <w:r>
        <w:rPr>
          <w:rFonts w:hint="eastAsia"/>
          <w:rtl/>
        </w:rPr>
        <w:t>فنصها</w:t>
      </w:r>
      <w:r>
        <w:rPr>
          <w:rtl/>
        </w:rPr>
        <w:t xml:space="preserve"> في (أ) و(ب) </w:t>
      </w:r>
      <w:r>
        <w:rPr>
          <w:rFonts w:hint="eastAsia"/>
          <w:rtl/>
        </w:rPr>
        <w:t>و</w:t>
      </w:r>
      <w:r>
        <w:rPr>
          <w:rtl/>
        </w:rPr>
        <w:t xml:space="preserve">(هـ) و(و) : «هو حديث صحيح رواه الإمام </w:t>
      </w:r>
      <w:r>
        <w:rPr>
          <w:rFonts w:hint="eastAsia"/>
          <w:b/>
          <w:bCs/>
          <w:rtl/>
        </w:rPr>
        <w:t>أحمد</w:t>
      </w:r>
      <w:r>
        <w:rPr>
          <w:b/>
          <w:bCs/>
          <w:rtl/>
        </w:rPr>
        <w:t xml:space="preserve"> بن داود</w:t>
      </w:r>
      <w:r>
        <w:rPr>
          <w:rtl/>
        </w:rPr>
        <w:t xml:space="preserve"> </w:t>
      </w:r>
      <w:r>
        <w:rPr>
          <w:rFonts w:hint="eastAsia"/>
          <w:b/>
          <w:bCs/>
          <w:rtl/>
        </w:rPr>
        <w:t>وغيره</w:t>
      </w:r>
      <w:r>
        <w:rPr>
          <w:rtl/>
        </w:rPr>
        <w:t xml:space="preserve">!». </w:t>
      </w:r>
      <w:r>
        <w:rPr>
          <w:rFonts w:hint="eastAsia"/>
          <w:rtl/>
        </w:rPr>
        <w:t>وكذلك</w:t>
      </w:r>
      <w:r>
        <w:rPr>
          <w:rtl/>
        </w:rPr>
        <w:t xml:space="preserve"> في (جـ) إلا أنه جاء فيها «أحمر» (بالراء وليس بالدال)</w:t>
      </w:r>
      <w:r>
        <w:rPr>
          <w:rFonts w:hint="cs"/>
          <w:rtl/>
        </w:rPr>
        <w:t>،</w:t>
      </w:r>
      <w:r>
        <w:rPr>
          <w:rtl/>
        </w:rPr>
        <w:t xml:space="preserve"> أما (د) فجاء فيها : «... </w:t>
      </w:r>
      <w:r>
        <w:rPr>
          <w:rFonts w:hint="eastAsia"/>
          <w:rtl/>
        </w:rPr>
        <w:t>الإمام</w:t>
      </w:r>
      <w:r>
        <w:rPr>
          <w:rtl/>
        </w:rPr>
        <w:t xml:space="preserve"> </w:t>
      </w:r>
      <w:r>
        <w:rPr>
          <w:rFonts w:hint="eastAsia"/>
          <w:b/>
          <w:bCs/>
          <w:rtl/>
        </w:rPr>
        <w:t>أحمد</w:t>
      </w:r>
      <w:r>
        <w:rPr>
          <w:b/>
          <w:bCs/>
          <w:rtl/>
        </w:rPr>
        <w:t xml:space="preserve"> عن أبي داود!</w:t>
      </w:r>
      <w:r>
        <w:rPr>
          <w:rtl/>
        </w:rPr>
        <w:t>...».</w:t>
      </w:r>
    </w:p>
    <w:p w:rsidR="00035BE3" w:rsidRDefault="00035BE3" w:rsidP="00C10469">
      <w:pPr>
        <w:pStyle w:val="a6"/>
        <w:ind w:left="422" w:firstLine="0"/>
        <w:rPr>
          <w:rtl/>
        </w:rPr>
      </w:pPr>
      <w:r>
        <w:rPr>
          <w:rFonts w:hint="eastAsia"/>
          <w:rtl/>
        </w:rPr>
        <w:t>فمن</w:t>
      </w:r>
      <w:r>
        <w:rPr>
          <w:rtl/>
        </w:rPr>
        <w:t xml:space="preserve"> المعلوم أن أبا </w:t>
      </w:r>
      <w:r>
        <w:rPr>
          <w:rFonts w:hint="eastAsia"/>
          <w:rtl/>
        </w:rPr>
        <w:t>الإمام</w:t>
      </w:r>
      <w:r>
        <w:rPr>
          <w:rtl/>
        </w:rPr>
        <w:t xml:space="preserve"> أحمد هو محمد بن حنبل، فكيف يكون اسمه : داود ؟!.</w:t>
      </w:r>
    </w:p>
    <w:p w:rsidR="00035BE3" w:rsidRDefault="00035BE3" w:rsidP="00C10469">
      <w:pPr>
        <w:pStyle w:val="a6"/>
        <w:ind w:left="422" w:firstLine="0"/>
        <w:rPr>
          <w:rtl/>
        </w:rPr>
      </w:pPr>
      <w:r>
        <w:rPr>
          <w:rFonts w:hint="eastAsia"/>
          <w:rtl/>
        </w:rPr>
        <w:t>كما</w:t>
      </w:r>
      <w:r>
        <w:rPr>
          <w:rtl/>
        </w:rPr>
        <w:t xml:space="preserve"> أن الإمام أحمد </w:t>
      </w:r>
      <w:r>
        <w:rPr>
          <w:rFonts w:hint="eastAsia"/>
          <w:rtl/>
        </w:rPr>
        <w:t>قد</w:t>
      </w:r>
      <w:r>
        <w:rPr>
          <w:rtl/>
        </w:rPr>
        <w:t xml:space="preserve"> توفي عام 240هـ، وأبو داود إذا أطلق يراد به : سليمان السجستاني صاحب السنن (ت275هـ). وفي الغالب أن يروي المتأخر عن المتقدم، لا العكس.</w:t>
      </w:r>
    </w:p>
    <w:p w:rsidR="00035BE3" w:rsidRDefault="00035BE3" w:rsidP="00C10469">
      <w:pPr>
        <w:pStyle w:val="a6"/>
        <w:ind w:left="422" w:firstLine="0"/>
        <w:rPr>
          <w:rtl/>
        </w:rPr>
      </w:pPr>
      <w:r>
        <w:rPr>
          <w:rFonts w:hint="eastAsia"/>
          <w:rtl/>
        </w:rPr>
        <w:t>لهذا</w:t>
      </w:r>
      <w:r>
        <w:rPr>
          <w:rtl/>
        </w:rPr>
        <w:t xml:space="preserve"> يُلحظ أنَّ </w:t>
      </w:r>
      <w:r>
        <w:rPr>
          <w:rFonts w:hint="eastAsia"/>
          <w:rtl/>
        </w:rPr>
        <w:t>صاحب</w:t>
      </w:r>
      <w:r>
        <w:rPr>
          <w:rtl/>
        </w:rPr>
        <w:t xml:space="preserve"> (تهذيب الكمال) - 11/360-361- ذكر مَنْ روى عن أبي داود، ولم يذكر منهم </w:t>
      </w:r>
      <w:r>
        <w:rPr>
          <w:rFonts w:hint="eastAsia"/>
          <w:rtl/>
        </w:rPr>
        <w:t>الإمام</w:t>
      </w:r>
      <w:r>
        <w:rPr>
          <w:rtl/>
        </w:rPr>
        <w:t xml:space="preserve"> أحمد، وإنما ذكر الإمام أحمد فيمن روى عنهم أبو داود - وذلك 11/356-.</w:t>
      </w:r>
    </w:p>
    <w:p w:rsidR="00035BE3" w:rsidRDefault="00035BE3" w:rsidP="00C10469">
      <w:pPr>
        <w:pStyle w:val="a6"/>
        <w:ind w:left="422" w:firstLine="0"/>
        <w:rPr>
          <w:rtl/>
        </w:rPr>
      </w:pPr>
      <w:r>
        <w:rPr>
          <w:rFonts w:hint="eastAsia"/>
          <w:b/>
          <w:bCs/>
          <w:rtl/>
        </w:rPr>
        <w:t>ولدفع</w:t>
      </w:r>
      <w:r>
        <w:rPr>
          <w:b/>
          <w:bCs/>
          <w:rtl/>
        </w:rPr>
        <w:t xml:space="preserve"> هذه الإشكالات</w:t>
      </w:r>
      <w:r>
        <w:rPr>
          <w:rtl/>
        </w:rPr>
        <w:t xml:space="preserve">: </w:t>
      </w:r>
      <w:r>
        <w:rPr>
          <w:rFonts w:hint="eastAsia"/>
          <w:rtl/>
        </w:rPr>
        <w:t>فإن</w:t>
      </w:r>
      <w:r>
        <w:rPr>
          <w:rtl/>
        </w:rPr>
        <w:t xml:space="preserve"> ما جاء في النسخ الخطية لا يخرج عن خمس احتمالات :</w:t>
      </w:r>
    </w:p>
    <w:p w:rsidR="00035BE3" w:rsidRDefault="00035BE3" w:rsidP="00C10469">
      <w:pPr>
        <w:pStyle w:val="a6"/>
        <w:ind w:left="422" w:firstLine="0"/>
        <w:rPr>
          <w:spacing w:val="-6"/>
          <w:rtl/>
        </w:rPr>
      </w:pPr>
      <w:r>
        <w:rPr>
          <w:rFonts w:hint="eastAsia"/>
          <w:b/>
          <w:bCs/>
          <w:spacing w:val="-6"/>
          <w:rtl/>
        </w:rPr>
        <w:t>الأول</w:t>
      </w:r>
      <w:r>
        <w:rPr>
          <w:spacing w:val="-6"/>
          <w:rtl/>
        </w:rPr>
        <w:t xml:space="preserve"> : أن المؤلف أراد : «رواه أحمد وأبو داود»، فأخطأ الناسخ </w:t>
      </w:r>
      <w:r>
        <w:rPr>
          <w:rFonts w:hint="eastAsia"/>
          <w:spacing w:val="-6"/>
          <w:rtl/>
        </w:rPr>
        <w:t>الأول،</w:t>
      </w:r>
      <w:r>
        <w:rPr>
          <w:spacing w:val="-6"/>
          <w:rtl/>
        </w:rPr>
        <w:t xml:space="preserve"> وتابعه م</w:t>
      </w:r>
      <w:r>
        <w:rPr>
          <w:rFonts w:hint="cs"/>
          <w:spacing w:val="-6"/>
          <w:rtl/>
        </w:rPr>
        <w:t>َ</w:t>
      </w:r>
      <w:r>
        <w:rPr>
          <w:spacing w:val="-6"/>
          <w:rtl/>
        </w:rPr>
        <w:t>ن</w:t>
      </w:r>
      <w:r>
        <w:rPr>
          <w:rFonts w:hint="cs"/>
          <w:spacing w:val="-6"/>
          <w:rtl/>
        </w:rPr>
        <w:t>ْ</w:t>
      </w:r>
      <w:r>
        <w:rPr>
          <w:spacing w:val="-6"/>
          <w:rtl/>
        </w:rPr>
        <w:t xml:space="preserve"> بعده، فكتبوا ما كتب.</w:t>
      </w:r>
    </w:p>
    <w:p w:rsidR="00035BE3" w:rsidRDefault="00035BE3" w:rsidP="00C10469">
      <w:pPr>
        <w:pStyle w:val="a6"/>
        <w:ind w:left="422" w:firstLine="0"/>
        <w:rPr>
          <w:rtl/>
        </w:rPr>
      </w:pPr>
      <w:r>
        <w:rPr>
          <w:rFonts w:hint="eastAsia"/>
          <w:b/>
          <w:bCs/>
          <w:rtl/>
        </w:rPr>
        <w:t>الثاني</w:t>
      </w:r>
      <w:r>
        <w:rPr>
          <w:b/>
          <w:bCs/>
          <w:rtl/>
        </w:rPr>
        <w:t xml:space="preserve"> </w:t>
      </w:r>
      <w:r>
        <w:rPr>
          <w:rtl/>
        </w:rPr>
        <w:t xml:space="preserve">: </w:t>
      </w:r>
      <w:r>
        <w:rPr>
          <w:rFonts w:hint="eastAsia"/>
          <w:rtl/>
        </w:rPr>
        <w:t>أن</w:t>
      </w:r>
      <w:r>
        <w:rPr>
          <w:rtl/>
        </w:rPr>
        <w:t xml:space="preserve"> المؤلف لم يكن يعلم أن الثاني غير الأول فظنه أبًا أو شيخًا للأول.</w:t>
      </w:r>
    </w:p>
    <w:p w:rsidR="00035BE3" w:rsidRDefault="00035BE3" w:rsidP="00C10469">
      <w:pPr>
        <w:pStyle w:val="a6"/>
        <w:ind w:left="422" w:firstLine="0"/>
        <w:rPr>
          <w:spacing w:val="6"/>
          <w:rtl/>
        </w:rPr>
      </w:pPr>
      <w:r>
        <w:rPr>
          <w:rFonts w:hint="eastAsia"/>
          <w:b/>
          <w:bCs/>
          <w:spacing w:val="6"/>
          <w:rtl/>
        </w:rPr>
        <w:t>الثالث</w:t>
      </w:r>
      <w:r>
        <w:rPr>
          <w:b/>
          <w:bCs/>
          <w:spacing w:val="6"/>
          <w:rtl/>
        </w:rPr>
        <w:t xml:space="preserve"> </w:t>
      </w:r>
      <w:r>
        <w:rPr>
          <w:spacing w:val="6"/>
          <w:rtl/>
        </w:rPr>
        <w:t xml:space="preserve">: </w:t>
      </w:r>
      <w:r>
        <w:rPr>
          <w:rFonts w:hint="eastAsia"/>
          <w:spacing w:val="6"/>
          <w:rtl/>
        </w:rPr>
        <w:t>أن</w:t>
      </w:r>
      <w:r>
        <w:rPr>
          <w:spacing w:val="6"/>
          <w:rtl/>
        </w:rPr>
        <w:t xml:space="preserve"> العبارة الـمذكورة في (د) صحيحة بناءً على أن الـمراد بـأبي داود هو الطـيالسي (ت204هـ) وليس السج</w:t>
      </w:r>
      <w:r>
        <w:rPr>
          <w:rFonts w:hint="cs"/>
          <w:spacing w:val="6"/>
          <w:rtl/>
        </w:rPr>
        <w:t>س</w:t>
      </w:r>
      <w:r>
        <w:rPr>
          <w:spacing w:val="6"/>
          <w:rtl/>
        </w:rPr>
        <w:t>تاني (ت 275هـ)</w:t>
      </w:r>
      <w:r>
        <w:rPr>
          <w:rFonts w:hint="cs"/>
          <w:spacing w:val="6"/>
          <w:rtl/>
        </w:rPr>
        <w:t>،</w:t>
      </w:r>
      <w:r>
        <w:rPr>
          <w:spacing w:val="6"/>
          <w:rtl/>
        </w:rPr>
        <w:t xml:space="preserve"> ونصّها : «... رواه الإمام أحمد عن أبي داود </w:t>
      </w:r>
      <w:r>
        <w:rPr>
          <w:rFonts w:hint="eastAsia"/>
          <w:spacing w:val="6"/>
          <w:rtl/>
        </w:rPr>
        <w:t>وغيره»</w:t>
      </w:r>
      <w:r>
        <w:rPr>
          <w:spacing w:val="6"/>
          <w:rtl/>
        </w:rPr>
        <w:t>.</w:t>
      </w:r>
    </w:p>
    <w:p w:rsidR="00035BE3" w:rsidRDefault="00035BE3" w:rsidP="00C10469">
      <w:pPr>
        <w:pStyle w:val="a6"/>
        <w:ind w:left="422" w:firstLine="0"/>
        <w:rPr>
          <w:rtl/>
        </w:rPr>
      </w:pPr>
      <w:r>
        <w:rPr>
          <w:rFonts w:hint="eastAsia"/>
          <w:b/>
          <w:bCs/>
          <w:rtl/>
        </w:rPr>
        <w:t>الرابع</w:t>
      </w:r>
      <w:r>
        <w:rPr>
          <w:b/>
          <w:bCs/>
          <w:rtl/>
        </w:rPr>
        <w:t xml:space="preserve"> </w:t>
      </w:r>
      <w:r>
        <w:rPr>
          <w:rtl/>
        </w:rPr>
        <w:t xml:space="preserve">: </w:t>
      </w:r>
      <w:r>
        <w:rPr>
          <w:rFonts w:hint="eastAsia"/>
          <w:rtl/>
        </w:rPr>
        <w:t>أن</w:t>
      </w:r>
      <w:r>
        <w:rPr>
          <w:rtl/>
        </w:rPr>
        <w:t xml:space="preserve"> المؤلف كان عالمًا بكون الثاني غير الأول إلا أنه غفل عن ذلك أثناء الكتابة أو </w:t>
      </w:r>
      <w:r>
        <w:rPr>
          <w:rFonts w:hint="eastAsia"/>
          <w:rtl/>
        </w:rPr>
        <w:t>الإملاء</w:t>
      </w:r>
      <w:r>
        <w:rPr>
          <w:rtl/>
        </w:rPr>
        <w:t xml:space="preserve"> فجعل الثاني أبا أو شيخًا للأول.</w:t>
      </w:r>
    </w:p>
    <w:p w:rsidR="00035BE3" w:rsidRDefault="00035BE3" w:rsidP="00C10469">
      <w:pPr>
        <w:pStyle w:val="a6"/>
        <w:ind w:left="422" w:firstLine="0"/>
        <w:rPr>
          <w:spacing w:val="-8"/>
          <w:rtl/>
        </w:rPr>
      </w:pPr>
      <w:r>
        <w:rPr>
          <w:rFonts w:hint="eastAsia"/>
          <w:b/>
          <w:bCs/>
          <w:spacing w:val="-8"/>
          <w:rtl/>
        </w:rPr>
        <w:t>الخامس</w:t>
      </w:r>
      <w:r>
        <w:rPr>
          <w:spacing w:val="-8"/>
          <w:rtl/>
        </w:rPr>
        <w:t xml:space="preserve">: أنه بالتوفيق بين النسخ يمكن الخروج بعبارة صحيحة وهي: «رواه </w:t>
      </w:r>
      <w:r>
        <w:rPr>
          <w:rFonts w:hint="eastAsia"/>
          <w:spacing w:val="-8"/>
          <w:rtl/>
        </w:rPr>
        <w:t>الإمام</w:t>
      </w:r>
      <w:r>
        <w:rPr>
          <w:spacing w:val="-8"/>
          <w:rtl/>
        </w:rPr>
        <w:t xml:space="preserve"> أحمد عن ابن داود وغيره».</w:t>
      </w:r>
    </w:p>
    <w:p w:rsidR="00035BE3" w:rsidRDefault="00035BE3" w:rsidP="00C10469">
      <w:pPr>
        <w:pStyle w:val="a6"/>
        <w:ind w:left="422" w:firstLine="0"/>
        <w:rPr>
          <w:rtl/>
        </w:rPr>
      </w:pPr>
      <w:r>
        <w:rPr>
          <w:rFonts w:hint="eastAsia"/>
          <w:b/>
          <w:bCs/>
          <w:rtl/>
        </w:rPr>
        <w:t>أما</w:t>
      </w:r>
      <w:r>
        <w:rPr>
          <w:b/>
          <w:bCs/>
          <w:rtl/>
        </w:rPr>
        <w:t xml:space="preserve"> الاحتمال الأول : </w:t>
      </w:r>
      <w:r>
        <w:rPr>
          <w:rFonts w:hint="eastAsia"/>
          <w:rtl/>
        </w:rPr>
        <w:t>فبعيد؛</w:t>
      </w:r>
      <w:r>
        <w:rPr>
          <w:rtl/>
        </w:rPr>
        <w:t xml:space="preserve"> لأن المؤلف قال بعد ذلك : «وغيره»، ولم </w:t>
      </w:r>
      <w:r>
        <w:rPr>
          <w:rFonts w:hint="eastAsia"/>
          <w:rtl/>
        </w:rPr>
        <w:t>يقل</w:t>
      </w:r>
      <w:r>
        <w:rPr>
          <w:rtl/>
        </w:rPr>
        <w:t xml:space="preserve"> : وغيرهما. وقد اتّفقت جميع النسخ على هذا.</w:t>
      </w:r>
    </w:p>
    <w:p w:rsidR="00035BE3" w:rsidRDefault="00035BE3" w:rsidP="00C10469">
      <w:pPr>
        <w:pStyle w:val="a6"/>
        <w:ind w:left="422" w:firstLine="0"/>
        <w:rPr>
          <w:rtl/>
        </w:rPr>
      </w:pPr>
      <w:r>
        <w:rPr>
          <w:rFonts w:hint="eastAsia"/>
          <w:b/>
          <w:bCs/>
          <w:rtl/>
        </w:rPr>
        <w:t>أما</w:t>
      </w:r>
      <w:r>
        <w:rPr>
          <w:b/>
          <w:bCs/>
          <w:rtl/>
        </w:rPr>
        <w:t xml:space="preserve"> الاحتمال الثاني :</w:t>
      </w:r>
      <w:r>
        <w:rPr>
          <w:rtl/>
        </w:rPr>
        <w:t xml:space="preserve"> </w:t>
      </w:r>
      <w:r>
        <w:rPr>
          <w:rFonts w:hint="eastAsia"/>
          <w:rtl/>
        </w:rPr>
        <w:t>فهو</w:t>
      </w:r>
      <w:r>
        <w:rPr>
          <w:rtl/>
        </w:rPr>
        <w:t xml:space="preserve"> أبعد من الأول؛ إذ يبعد جدًا أن يجهل </w:t>
      </w:r>
      <w:r>
        <w:rPr>
          <w:rFonts w:hint="eastAsia"/>
          <w:rtl/>
        </w:rPr>
        <w:t>المؤلف</w:t>
      </w:r>
      <w:r>
        <w:rPr>
          <w:rtl/>
        </w:rPr>
        <w:t xml:space="preserve"> أن الإمام أحمد غير أبي داود، فيظن أن الثاني أبٌ أو شيخٌ للأول، </w:t>
      </w:r>
      <w:r>
        <w:rPr>
          <w:rFonts w:hint="cs"/>
          <w:rtl/>
        </w:rPr>
        <w:t>و</w:t>
      </w:r>
      <w:r>
        <w:rPr>
          <w:rtl/>
        </w:rPr>
        <w:t xml:space="preserve">لاسيّما </w:t>
      </w:r>
      <w:r>
        <w:rPr>
          <w:rFonts w:hint="eastAsia"/>
          <w:rtl/>
        </w:rPr>
        <w:t>أن</w:t>
      </w:r>
      <w:r>
        <w:rPr>
          <w:rtl/>
        </w:rPr>
        <w:t xml:space="preserve"> المؤلف اس</w:t>
      </w:r>
      <w:r>
        <w:rPr>
          <w:rFonts w:hint="eastAsia"/>
          <w:rtl/>
        </w:rPr>
        <w:t>تفاد</w:t>
      </w:r>
      <w:r>
        <w:rPr>
          <w:rtl/>
        </w:rPr>
        <w:t xml:space="preserve"> كثيرًا في شرح هذه القاعدة من أشباه ابن نجيم - كما سيتضح ذلك </w:t>
      </w:r>
      <w:r>
        <w:rPr>
          <w:rFonts w:hint="eastAsia"/>
          <w:rtl/>
        </w:rPr>
        <w:t>عند</w:t>
      </w:r>
      <w:r>
        <w:rPr>
          <w:rtl/>
        </w:rPr>
        <w:t xml:space="preserve"> توثيق الشرح- وقد جاء في الأشباه -ص176- : «هو حديث صحيح رواه أحمد وأبو داود </w:t>
      </w:r>
      <w:r>
        <w:rPr>
          <w:rFonts w:hint="eastAsia"/>
          <w:rtl/>
        </w:rPr>
        <w:t>والترمذي</w:t>
      </w:r>
      <w:r>
        <w:rPr>
          <w:rtl/>
        </w:rPr>
        <w:t xml:space="preserve"> و...».</w:t>
      </w:r>
    </w:p>
    <w:p w:rsidR="00035BE3" w:rsidRDefault="00035BE3" w:rsidP="00C10469">
      <w:pPr>
        <w:pStyle w:val="a6"/>
        <w:ind w:left="422" w:firstLine="0"/>
        <w:rPr>
          <w:rtl/>
        </w:rPr>
      </w:pPr>
      <w:r>
        <w:rPr>
          <w:rFonts w:hint="eastAsia"/>
          <w:rtl/>
        </w:rPr>
        <w:t>ويُلحظ</w:t>
      </w:r>
      <w:r>
        <w:rPr>
          <w:rtl/>
        </w:rPr>
        <w:t xml:space="preserve"> أنّ المؤلف </w:t>
      </w:r>
      <w:r>
        <w:rPr>
          <w:rFonts w:hint="eastAsia"/>
          <w:rtl/>
        </w:rPr>
        <w:t>زاد</w:t>
      </w:r>
      <w:r>
        <w:rPr>
          <w:rtl/>
        </w:rPr>
        <w:t xml:space="preserve"> على ابن نجيم بوصف أحمد -رحمه الله- بالإمام. فكيف يتصور أن يعلم إمامته في </w:t>
      </w:r>
      <w:r>
        <w:rPr>
          <w:rFonts w:hint="eastAsia"/>
          <w:rtl/>
        </w:rPr>
        <w:t>الدين</w:t>
      </w:r>
      <w:r>
        <w:rPr>
          <w:rtl/>
        </w:rPr>
        <w:t xml:space="preserve"> ولا يفرق بينه وبين أبي داود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6"/>
          <w:rtl/>
        </w:rPr>
      </w:pPr>
      <w:r>
        <w:rPr>
          <w:rFonts w:hint="eastAsia"/>
          <w:spacing w:val="6"/>
          <w:rtl/>
        </w:rPr>
        <w:t>ولو</w:t>
      </w:r>
      <w:r>
        <w:rPr>
          <w:spacing w:val="6"/>
          <w:rtl/>
        </w:rPr>
        <w:t xml:space="preserve"> </w:t>
      </w:r>
      <w:r>
        <w:rPr>
          <w:rFonts w:hint="eastAsia"/>
          <w:spacing w:val="6"/>
          <w:rtl/>
        </w:rPr>
        <w:t>سلِّم</w:t>
      </w:r>
      <w:r>
        <w:rPr>
          <w:spacing w:val="6"/>
          <w:rtl/>
        </w:rPr>
        <w:t xml:space="preserve"> -جدلاً- بعدم علم المؤلف بذلك، فلن يُسلَّم بأن يجتمع مع ذلك خطؤه في النقل </w:t>
      </w:r>
      <w:r>
        <w:rPr>
          <w:rFonts w:hint="eastAsia"/>
          <w:spacing w:val="6"/>
          <w:rtl/>
        </w:rPr>
        <w:t>عن</w:t>
      </w:r>
      <w:r>
        <w:rPr>
          <w:spacing w:val="6"/>
          <w:rtl/>
        </w:rPr>
        <w:t xml:space="preserve"> ابن نجيم أيضًا.</w:t>
      </w:r>
    </w:p>
    <w:p w:rsidR="00035BE3" w:rsidRDefault="00035BE3" w:rsidP="00C10469">
      <w:pPr>
        <w:pStyle w:val="a6"/>
        <w:ind w:left="422" w:firstLine="0"/>
        <w:rPr>
          <w:rtl/>
        </w:rPr>
      </w:pPr>
      <w:r>
        <w:rPr>
          <w:rFonts w:hint="eastAsia"/>
          <w:b/>
          <w:bCs/>
          <w:rtl/>
        </w:rPr>
        <w:t>أما</w:t>
      </w:r>
      <w:r>
        <w:rPr>
          <w:b/>
          <w:bCs/>
          <w:rtl/>
        </w:rPr>
        <w:t xml:space="preserve"> الاحتمال الثالث</w:t>
      </w:r>
      <w:r>
        <w:rPr>
          <w:rtl/>
        </w:rPr>
        <w:t xml:space="preserve"> : فهو يمكن أن يرد؛ لأن أبا داود الطيالسي من شيوخ الإمام أحمد، وقد روى عنه </w:t>
      </w:r>
      <w:r>
        <w:rPr>
          <w:rFonts w:hint="eastAsia"/>
          <w:rtl/>
        </w:rPr>
        <w:t>الإمام</w:t>
      </w:r>
      <w:r>
        <w:rPr>
          <w:rtl/>
        </w:rPr>
        <w:t xml:space="preserve"> في مواضع كثيرة</w:t>
      </w:r>
      <w:r>
        <w:rPr>
          <w:rFonts w:hint="cs"/>
          <w:rtl/>
        </w:rPr>
        <w:t>،</w:t>
      </w:r>
      <w:r>
        <w:rPr>
          <w:rtl/>
        </w:rPr>
        <w:t xml:space="preserve"> وقد أثبت ذلك صاحب </w:t>
      </w:r>
      <w:r>
        <w:rPr>
          <w:rFonts w:hint="cs"/>
          <w:rtl/>
        </w:rPr>
        <w:t>(</w:t>
      </w:r>
      <w:r>
        <w:rPr>
          <w:rtl/>
        </w:rPr>
        <w:t>تهذيب الكمال</w:t>
      </w:r>
      <w:r>
        <w:rPr>
          <w:rFonts w:hint="cs"/>
          <w:rtl/>
        </w:rPr>
        <w:t>)</w:t>
      </w:r>
      <w:r>
        <w:rPr>
          <w:rtl/>
        </w:rPr>
        <w:t xml:space="preserve"> </w:t>
      </w:r>
      <w:r>
        <w:rPr>
          <w:rFonts w:hint="cs"/>
          <w:rtl/>
        </w:rPr>
        <w:t>-</w:t>
      </w:r>
      <w:r>
        <w:rPr>
          <w:rtl/>
        </w:rPr>
        <w:t>1/4</w:t>
      </w:r>
      <w:r>
        <w:rPr>
          <w:rFonts w:hint="cs"/>
          <w:rtl/>
        </w:rPr>
        <w:t>3</w:t>
      </w:r>
      <w:r>
        <w:rPr>
          <w:rtl/>
        </w:rPr>
        <w:t>8</w:t>
      </w:r>
      <w:r>
        <w:rPr>
          <w:rFonts w:hint="cs"/>
          <w:rtl/>
        </w:rPr>
        <w:t>-،</w:t>
      </w:r>
      <w:r>
        <w:rPr>
          <w:rtl/>
        </w:rPr>
        <w:t xml:space="preserve"> إلا أنه بتتبعي </w:t>
      </w:r>
      <w:r>
        <w:rPr>
          <w:rFonts w:hint="eastAsia"/>
          <w:rtl/>
        </w:rPr>
        <w:t>القاصر</w:t>
      </w:r>
      <w:r>
        <w:rPr>
          <w:rtl/>
        </w:rPr>
        <w:t xml:space="preserve"> لطرق هذا الحديث في المسند لم أجد فيها اسم أبي داود الطيالسي.</w:t>
      </w:r>
    </w:p>
    <w:p w:rsidR="00035BE3" w:rsidRDefault="00035BE3" w:rsidP="00C10469">
      <w:pPr>
        <w:pStyle w:val="a6"/>
        <w:ind w:left="422" w:firstLine="0"/>
        <w:rPr>
          <w:spacing w:val="6"/>
          <w:rtl/>
        </w:rPr>
      </w:pPr>
      <w:r>
        <w:rPr>
          <w:rFonts w:hint="eastAsia"/>
          <w:b/>
          <w:bCs/>
          <w:spacing w:val="6"/>
          <w:rtl/>
        </w:rPr>
        <w:t>أما</w:t>
      </w:r>
      <w:r>
        <w:rPr>
          <w:b/>
          <w:bCs/>
          <w:spacing w:val="6"/>
          <w:rtl/>
        </w:rPr>
        <w:t xml:space="preserve"> </w:t>
      </w:r>
      <w:r>
        <w:rPr>
          <w:rFonts w:hint="eastAsia"/>
          <w:b/>
          <w:bCs/>
          <w:spacing w:val="6"/>
          <w:rtl/>
        </w:rPr>
        <w:t>الاحتمال</w:t>
      </w:r>
      <w:r>
        <w:rPr>
          <w:b/>
          <w:bCs/>
          <w:spacing w:val="6"/>
          <w:rtl/>
        </w:rPr>
        <w:t xml:space="preserve"> الرابع </w:t>
      </w:r>
      <w:r>
        <w:rPr>
          <w:spacing w:val="6"/>
          <w:rtl/>
        </w:rPr>
        <w:t>: فهو وارد جد</w:t>
      </w:r>
      <w:r>
        <w:rPr>
          <w:rFonts w:hint="cs"/>
          <w:spacing w:val="6"/>
          <w:rtl/>
        </w:rPr>
        <w:t>ّ</w:t>
      </w:r>
      <w:r>
        <w:rPr>
          <w:spacing w:val="6"/>
          <w:rtl/>
        </w:rPr>
        <w:t xml:space="preserve">ًا؛ </w:t>
      </w:r>
      <w:r>
        <w:rPr>
          <w:rFonts w:hint="eastAsia"/>
          <w:spacing w:val="6"/>
          <w:rtl/>
        </w:rPr>
        <w:t>إذْ</w:t>
      </w:r>
      <w:r>
        <w:rPr>
          <w:spacing w:val="6"/>
          <w:rtl/>
        </w:rPr>
        <w:t xml:space="preserve"> كثيرًا ما ينتاب الإنسان شيء من الغفلة فيكتب أو يتكلم بغير ما أراد، ولو </w:t>
      </w:r>
      <w:r>
        <w:rPr>
          <w:rFonts w:hint="eastAsia"/>
          <w:spacing w:val="6"/>
          <w:rtl/>
        </w:rPr>
        <w:t>نُبِّه</w:t>
      </w:r>
      <w:r>
        <w:rPr>
          <w:spacing w:val="6"/>
          <w:rtl/>
        </w:rPr>
        <w:t xml:space="preserve"> على ذلك لما تردَّد في الرجوع إلى الصواب، ولاعتذر بأن ذلك سبق لسانٍ أو </w:t>
      </w:r>
      <w:r>
        <w:rPr>
          <w:rFonts w:hint="eastAsia"/>
          <w:spacing w:val="6"/>
          <w:rtl/>
        </w:rPr>
        <w:t>قلم</w:t>
      </w:r>
      <w:r>
        <w:rPr>
          <w:spacing w:val="6"/>
          <w:rtl/>
        </w:rPr>
        <w:t xml:space="preserve"> ليس إلاّ.</w:t>
      </w:r>
    </w:p>
    <w:p w:rsidR="00035BE3" w:rsidRDefault="00035BE3" w:rsidP="00C10469">
      <w:pPr>
        <w:pStyle w:val="a6"/>
        <w:ind w:left="422" w:firstLine="0"/>
        <w:rPr>
          <w:rtl/>
        </w:rPr>
      </w:pPr>
      <w:r>
        <w:rPr>
          <w:rFonts w:hint="eastAsia"/>
          <w:b/>
          <w:bCs/>
          <w:rtl/>
        </w:rPr>
        <w:t>أما</w:t>
      </w:r>
      <w:r>
        <w:rPr>
          <w:b/>
          <w:bCs/>
          <w:rtl/>
        </w:rPr>
        <w:t xml:space="preserve"> الاحتمال الخامس </w:t>
      </w:r>
      <w:r>
        <w:rPr>
          <w:rtl/>
        </w:rPr>
        <w:t xml:space="preserve">: فهو وإن كان أقل من الرابع إلا أنه ليس </w:t>
      </w:r>
      <w:r>
        <w:rPr>
          <w:rFonts w:hint="eastAsia"/>
          <w:rtl/>
        </w:rPr>
        <w:t>بعيدًا؛</w:t>
      </w:r>
      <w:r>
        <w:rPr>
          <w:rtl/>
        </w:rPr>
        <w:t xml:space="preserve"> لأنه يشهد له ما جاء في (مسند الإمام أحمد)- 6/116- : «حدثنا عبد الله </w:t>
      </w:r>
      <w:r>
        <w:rPr>
          <w:rFonts w:hint="eastAsia"/>
          <w:rtl/>
        </w:rPr>
        <w:t>حدثني</w:t>
      </w:r>
      <w:r>
        <w:rPr>
          <w:rtl/>
        </w:rPr>
        <w:t xml:space="preserve"> أبي ثنا موسى </w:t>
      </w:r>
      <w:r>
        <w:rPr>
          <w:rFonts w:hint="eastAsia"/>
          <w:b/>
          <w:bCs/>
          <w:rtl/>
        </w:rPr>
        <w:t>بن</w:t>
      </w:r>
      <w:r>
        <w:rPr>
          <w:b/>
          <w:bCs/>
          <w:rtl/>
        </w:rPr>
        <w:t xml:space="preserve"> داود</w:t>
      </w:r>
      <w:r>
        <w:rPr>
          <w:rtl/>
        </w:rPr>
        <w:t xml:space="preserve"> </w:t>
      </w:r>
      <w:r>
        <w:rPr>
          <w:rFonts w:hint="eastAsia"/>
          <w:rtl/>
        </w:rPr>
        <w:t>قال</w:t>
      </w:r>
      <w:r>
        <w:rPr>
          <w:rtl/>
        </w:rPr>
        <w:t xml:space="preserve"> ثنا مسلم بن خالد عن هشام بن عروة عن أبيه </w:t>
      </w:r>
      <w:r>
        <w:rPr>
          <w:rFonts w:hint="eastAsia"/>
          <w:rtl/>
        </w:rPr>
        <w:t>عن</w:t>
      </w:r>
      <w:r>
        <w:rPr>
          <w:rtl/>
        </w:rPr>
        <w:t xml:space="preserve"> عائشة أن النبي </w:t>
      </w:r>
      <w:r>
        <w:rPr>
          <w:rFonts w:ascii="AGA Arabesque" w:hAnsi="AGA Arabesque"/>
          <w:sz w:val="36"/>
          <w:szCs w:val="36"/>
        </w:rPr>
        <w:t></w:t>
      </w:r>
      <w:r>
        <w:rPr>
          <w:rtl/>
        </w:rPr>
        <w:t xml:space="preserve"> </w:t>
      </w:r>
      <w:r>
        <w:rPr>
          <w:rFonts w:hint="eastAsia"/>
          <w:rtl/>
        </w:rPr>
        <w:t>قال</w:t>
      </w:r>
      <w:r>
        <w:rPr>
          <w:rtl/>
        </w:rPr>
        <w:t xml:space="preserve"> : «الغلة </w:t>
      </w:r>
      <w:r>
        <w:rPr>
          <w:rFonts w:hint="eastAsia"/>
          <w:rtl/>
        </w:rPr>
        <w:t>بالضمان»»</w:t>
      </w:r>
      <w:r>
        <w:rPr>
          <w:rtl/>
        </w:rPr>
        <w:t>.</w:t>
      </w:r>
    </w:p>
    <w:p w:rsidR="00035BE3" w:rsidRDefault="00035BE3" w:rsidP="00C10469">
      <w:pPr>
        <w:pStyle w:val="a6"/>
        <w:ind w:left="422" w:firstLine="0"/>
        <w:rPr>
          <w:rtl/>
        </w:rPr>
      </w:pPr>
      <w:r>
        <w:rPr>
          <w:rFonts w:hint="eastAsia"/>
          <w:rtl/>
        </w:rPr>
        <w:t>وقد</w:t>
      </w:r>
      <w:r>
        <w:rPr>
          <w:rtl/>
        </w:rPr>
        <w:t xml:space="preserve"> آثرتُ إثبات </w:t>
      </w:r>
      <w:r>
        <w:rPr>
          <w:rFonts w:hint="eastAsia"/>
          <w:rtl/>
        </w:rPr>
        <w:t>الاحتمال</w:t>
      </w:r>
      <w:r>
        <w:rPr>
          <w:rtl/>
        </w:rPr>
        <w:t xml:space="preserve"> الخامس في الأصل على الاحتمال الثالث حرصًا على عدم التصرّف في عبارة </w:t>
      </w:r>
      <w:r>
        <w:rPr>
          <w:rFonts w:hint="eastAsia"/>
          <w:rtl/>
        </w:rPr>
        <w:t>المؤلف</w:t>
      </w:r>
      <w:r>
        <w:rPr>
          <w:rtl/>
        </w:rPr>
        <w:t xml:space="preserve"> بزيادة أو نقصانٍ أو تغييرٍ متى وجدت لكلامه وجهًا وإن كان غيره أقوى منه.</w:t>
      </w:r>
    </w:p>
    <w:p w:rsidR="00035BE3" w:rsidRDefault="00035BE3" w:rsidP="00C10469">
      <w:pPr>
        <w:pStyle w:val="a6"/>
        <w:ind w:left="422" w:firstLine="0"/>
        <w:rPr>
          <w:rtl/>
        </w:rPr>
      </w:pPr>
      <w:r>
        <w:rPr>
          <w:rFonts w:hint="eastAsia"/>
          <w:rtl/>
        </w:rPr>
        <w:t>هذا</w:t>
      </w:r>
      <w:r>
        <w:rPr>
          <w:rtl/>
        </w:rPr>
        <w:t xml:space="preserve"> ما يتعلق </w:t>
      </w:r>
      <w:r>
        <w:rPr>
          <w:rFonts w:hint="eastAsia"/>
          <w:rtl/>
        </w:rPr>
        <w:t>بملابسات</w:t>
      </w:r>
      <w:r>
        <w:rPr>
          <w:rtl/>
        </w:rPr>
        <w:t xml:space="preserve"> العبارة المذكورة.</w:t>
      </w:r>
    </w:p>
    <w:p w:rsidR="00035BE3" w:rsidRDefault="00035BE3" w:rsidP="00C10469">
      <w:pPr>
        <w:pStyle w:val="a6"/>
        <w:ind w:left="422" w:firstLine="0"/>
        <w:rPr>
          <w:rtl/>
        </w:rPr>
      </w:pPr>
      <w:r>
        <w:rPr>
          <w:rFonts w:hint="eastAsia"/>
          <w:b/>
          <w:bCs/>
          <w:rtl/>
        </w:rPr>
        <w:t>أما</w:t>
      </w:r>
      <w:r>
        <w:rPr>
          <w:b/>
          <w:bCs/>
          <w:rtl/>
        </w:rPr>
        <w:t xml:space="preserve"> التعريف بابن </w:t>
      </w:r>
      <w:r>
        <w:rPr>
          <w:rFonts w:hint="eastAsia"/>
          <w:b/>
          <w:bCs/>
          <w:rtl/>
        </w:rPr>
        <w:t>داود</w:t>
      </w:r>
      <w:r>
        <w:rPr>
          <w:rtl/>
        </w:rPr>
        <w:t xml:space="preserve">  </w:t>
      </w:r>
      <w:r>
        <w:rPr>
          <w:rFonts w:hint="eastAsia"/>
          <w:rtl/>
        </w:rPr>
        <w:t>فعلى</w:t>
      </w:r>
      <w:r>
        <w:rPr>
          <w:rtl/>
        </w:rPr>
        <w:t xml:space="preserve"> النحو الآتي : </w:t>
      </w:r>
    </w:p>
    <w:p w:rsidR="00035BE3" w:rsidRDefault="00035BE3" w:rsidP="00C10469">
      <w:pPr>
        <w:pStyle w:val="a6"/>
        <w:ind w:left="422" w:firstLine="0"/>
        <w:rPr>
          <w:rtl/>
        </w:rPr>
      </w:pPr>
      <w:r>
        <w:rPr>
          <w:rFonts w:hint="eastAsia"/>
          <w:rtl/>
        </w:rPr>
        <w:t>هو</w:t>
      </w:r>
      <w:r>
        <w:rPr>
          <w:rtl/>
        </w:rPr>
        <w:t xml:space="preserve"> موسى بن داود، </w:t>
      </w:r>
      <w:r>
        <w:rPr>
          <w:rFonts w:hint="eastAsia"/>
          <w:rtl/>
        </w:rPr>
        <w:t>أبو</w:t>
      </w:r>
      <w:r>
        <w:rPr>
          <w:rtl/>
        </w:rPr>
        <w:t xml:space="preserve"> عبد الله الض</w:t>
      </w:r>
      <w:r>
        <w:rPr>
          <w:rFonts w:hint="cs"/>
          <w:rtl/>
        </w:rPr>
        <w:t>َّـ</w:t>
      </w:r>
      <w:r>
        <w:rPr>
          <w:rtl/>
        </w:rPr>
        <w:t>ب</w:t>
      </w:r>
      <w:r>
        <w:rPr>
          <w:rFonts w:hint="cs"/>
          <w:rtl/>
        </w:rPr>
        <w:t>ِّـ</w:t>
      </w:r>
      <w:r>
        <w:rPr>
          <w:rtl/>
        </w:rPr>
        <w:t>ي</w:t>
      </w:r>
      <w:r>
        <w:rPr>
          <w:rFonts w:hint="cs"/>
          <w:rtl/>
        </w:rPr>
        <w:t>ُّ</w:t>
      </w:r>
      <w:r>
        <w:rPr>
          <w:rtl/>
        </w:rPr>
        <w:t xml:space="preserve"> الط</w:t>
      </w:r>
      <w:r>
        <w:rPr>
          <w:rFonts w:hint="cs"/>
          <w:rtl/>
        </w:rPr>
        <w:t>َّـ</w:t>
      </w:r>
      <w:r>
        <w:rPr>
          <w:rtl/>
        </w:rPr>
        <w:t>ر</w:t>
      </w:r>
      <w:r>
        <w:rPr>
          <w:rFonts w:hint="cs"/>
          <w:rtl/>
        </w:rPr>
        <w:t>َ</w:t>
      </w:r>
      <w:r>
        <w:rPr>
          <w:rtl/>
        </w:rPr>
        <w:t>اس</w:t>
      </w:r>
      <w:r>
        <w:rPr>
          <w:rFonts w:hint="cs"/>
          <w:rtl/>
        </w:rPr>
        <w:t>ُ</w:t>
      </w:r>
      <w:r>
        <w:rPr>
          <w:rtl/>
        </w:rPr>
        <w:t>وس</w:t>
      </w:r>
      <w:r>
        <w:rPr>
          <w:rFonts w:hint="cs"/>
          <w:rtl/>
        </w:rPr>
        <w:t>ِ</w:t>
      </w:r>
      <w:r>
        <w:rPr>
          <w:rtl/>
        </w:rPr>
        <w:t>ي ال</w:t>
      </w:r>
      <w:r>
        <w:rPr>
          <w:rFonts w:hint="cs"/>
          <w:rtl/>
        </w:rPr>
        <w:t>ـ</w:t>
      </w:r>
      <w:r>
        <w:rPr>
          <w:rtl/>
        </w:rPr>
        <w:t>خ</w:t>
      </w:r>
      <w:r>
        <w:rPr>
          <w:rFonts w:hint="cs"/>
          <w:rtl/>
        </w:rPr>
        <w:t>ُ</w:t>
      </w:r>
      <w:r>
        <w:rPr>
          <w:rtl/>
        </w:rPr>
        <w:t>ل</w:t>
      </w:r>
      <w:r>
        <w:rPr>
          <w:rFonts w:hint="cs"/>
          <w:rtl/>
        </w:rPr>
        <w:t>ْ</w:t>
      </w:r>
      <w:r>
        <w:rPr>
          <w:rtl/>
        </w:rPr>
        <w:t>ق</w:t>
      </w:r>
      <w:r>
        <w:rPr>
          <w:rFonts w:hint="cs"/>
          <w:rtl/>
        </w:rPr>
        <w:t>َ</w:t>
      </w:r>
      <w:r>
        <w:rPr>
          <w:rtl/>
        </w:rPr>
        <w:t>اني</w:t>
      </w:r>
      <w:r>
        <w:rPr>
          <w:rFonts w:hint="cs"/>
          <w:rtl/>
        </w:rPr>
        <w:t>ُّ</w:t>
      </w:r>
      <w:r>
        <w:rPr>
          <w:rtl/>
        </w:rPr>
        <w:t xml:space="preserve"> (ت217هـ).</w:t>
      </w:r>
    </w:p>
    <w:p w:rsidR="00035BE3" w:rsidRDefault="00035BE3" w:rsidP="00C10469">
      <w:pPr>
        <w:pStyle w:val="a6"/>
        <w:ind w:left="422" w:firstLine="0"/>
        <w:rPr>
          <w:rtl/>
        </w:rPr>
      </w:pPr>
      <w:r>
        <w:rPr>
          <w:rFonts w:hint="eastAsia"/>
          <w:rtl/>
        </w:rPr>
        <w:t>كوفي</w:t>
      </w:r>
      <w:r>
        <w:rPr>
          <w:rtl/>
        </w:rPr>
        <w:t xml:space="preserve"> الأصل، سكن </w:t>
      </w:r>
      <w:r>
        <w:rPr>
          <w:rFonts w:hint="eastAsia"/>
          <w:rtl/>
        </w:rPr>
        <w:t>بغداد،</w:t>
      </w:r>
      <w:r>
        <w:rPr>
          <w:rtl/>
        </w:rPr>
        <w:t xml:space="preserve"> ثم ولي قضاء طراسوس ومات بها.</w:t>
      </w:r>
    </w:p>
    <w:p w:rsidR="00035BE3" w:rsidRDefault="00035BE3" w:rsidP="00C10469">
      <w:pPr>
        <w:pStyle w:val="a6"/>
        <w:ind w:left="422" w:firstLine="0"/>
        <w:rPr>
          <w:spacing w:val="-8"/>
          <w:rtl/>
        </w:rPr>
      </w:pPr>
      <w:r>
        <w:rPr>
          <w:rFonts w:hint="eastAsia"/>
          <w:spacing w:val="-8"/>
          <w:rtl/>
        </w:rPr>
        <w:t>اشتهر</w:t>
      </w:r>
      <w:r>
        <w:rPr>
          <w:spacing w:val="-8"/>
          <w:rtl/>
        </w:rPr>
        <w:t xml:space="preserve"> </w:t>
      </w:r>
      <w:r>
        <w:rPr>
          <w:rFonts w:hint="eastAsia"/>
          <w:spacing w:val="-8"/>
          <w:rtl/>
        </w:rPr>
        <w:t>بالحديث</w:t>
      </w:r>
      <w:r>
        <w:rPr>
          <w:spacing w:val="-8"/>
          <w:rtl/>
        </w:rPr>
        <w:t xml:space="preserve"> ووثّقه محمد بن عبد الله بن نمير، ومحمد بن سعد، ومحمد بن عمار، والعجلي. </w:t>
      </w:r>
      <w:r>
        <w:rPr>
          <w:rFonts w:hint="eastAsia"/>
          <w:spacing w:val="-8"/>
          <w:rtl/>
        </w:rPr>
        <w:t>وليّنه</w:t>
      </w:r>
      <w:r>
        <w:rPr>
          <w:spacing w:val="-8"/>
          <w:rtl/>
        </w:rPr>
        <w:t xml:space="preserve"> أبو حاتم.</w:t>
      </w:r>
    </w:p>
    <w:p w:rsidR="00035BE3" w:rsidRDefault="00035BE3" w:rsidP="00C10469">
      <w:pPr>
        <w:pStyle w:val="a6"/>
        <w:ind w:left="422" w:firstLine="0"/>
        <w:rPr>
          <w:rtl/>
        </w:rPr>
      </w:pPr>
      <w:r>
        <w:rPr>
          <w:rFonts w:hint="eastAsia"/>
          <w:rtl/>
        </w:rPr>
        <w:t>ورو</w:t>
      </w:r>
      <w:r>
        <w:rPr>
          <w:rFonts w:hint="cs"/>
          <w:rtl/>
        </w:rPr>
        <w:t>ى</w:t>
      </w:r>
      <w:r>
        <w:rPr>
          <w:rtl/>
        </w:rPr>
        <w:t xml:space="preserve"> عن</w:t>
      </w:r>
      <w:r>
        <w:rPr>
          <w:rFonts w:hint="cs"/>
          <w:rtl/>
        </w:rPr>
        <w:t>ه</w:t>
      </w:r>
      <w:r>
        <w:rPr>
          <w:rtl/>
        </w:rPr>
        <w:t xml:space="preserve"> الإمام أحمد </w:t>
      </w:r>
      <w:r>
        <w:rPr>
          <w:rFonts w:hint="eastAsia"/>
          <w:rtl/>
        </w:rPr>
        <w:t>ومسلم</w:t>
      </w:r>
      <w:r>
        <w:rPr>
          <w:rtl/>
        </w:rPr>
        <w:t xml:space="preserve"> وأبو داود والنسائي وابن ماجه وغيرهم.</w:t>
      </w:r>
    </w:p>
    <w:p w:rsidR="00035BE3" w:rsidRDefault="00035BE3" w:rsidP="00C10469">
      <w:pPr>
        <w:pStyle w:val="a6"/>
        <w:ind w:left="422" w:firstLine="0"/>
        <w:rPr>
          <w:spacing w:val="-12"/>
          <w:sz w:val="29"/>
          <w:szCs w:val="29"/>
          <w:rtl/>
        </w:rPr>
      </w:pPr>
      <w:r>
        <w:rPr>
          <w:rFonts w:hint="eastAsia"/>
          <w:spacing w:val="-12"/>
          <w:sz w:val="29"/>
          <w:szCs w:val="29"/>
          <w:rtl/>
        </w:rPr>
        <w:t>انظر</w:t>
      </w:r>
      <w:r>
        <w:rPr>
          <w:spacing w:val="-12"/>
          <w:sz w:val="29"/>
          <w:szCs w:val="29"/>
          <w:rtl/>
        </w:rPr>
        <w:t xml:space="preserve"> : تهذيب </w:t>
      </w:r>
      <w:r>
        <w:rPr>
          <w:rFonts w:hint="eastAsia"/>
          <w:spacing w:val="-12"/>
          <w:sz w:val="29"/>
          <w:szCs w:val="29"/>
          <w:rtl/>
        </w:rPr>
        <w:t>الكمال،</w:t>
      </w:r>
      <w:r>
        <w:rPr>
          <w:spacing w:val="-12"/>
          <w:sz w:val="29"/>
          <w:szCs w:val="29"/>
          <w:rtl/>
        </w:rPr>
        <w:t xml:space="preserve"> 29/57-61؛ تذكره الحفاظ، 1/378، رقم 275؛ طبقات الحفاظ، ص163، رقم 362.</w:t>
      </w:r>
    </w:p>
  </w:footnote>
  <w:footnote w:id="274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«به»</w:t>
      </w:r>
      <w:r>
        <w:rPr>
          <w:rtl/>
        </w:rPr>
        <w:t xml:space="preserve">: زيادة من (جـ). والصحيح إثباتها؛ </w:t>
      </w:r>
      <w:r>
        <w:rPr>
          <w:rFonts w:hint="eastAsia"/>
          <w:rtl/>
        </w:rPr>
        <w:t>وفاقًا</w:t>
      </w:r>
      <w:r>
        <w:rPr>
          <w:rtl/>
        </w:rPr>
        <w:t xml:space="preserve"> لما في سنن أبي داود، 3/779، وأيضًا وفاقًا للمصدر الذي استفاد منه المؤلف (وهو أشباه ابن نجيم، ص177).</w:t>
      </w:r>
    </w:p>
  </w:footnote>
  <w:footnote w:id="275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سبق</w:t>
      </w:r>
      <w:r>
        <w:rPr>
          <w:rtl/>
        </w:rPr>
        <w:t xml:space="preserve"> تخريج الحديث ونقل كثير من أقوال </w:t>
      </w:r>
      <w:r>
        <w:rPr>
          <w:rFonts w:hint="eastAsia"/>
          <w:rtl/>
        </w:rPr>
        <w:t>المحدثين</w:t>
      </w:r>
      <w:r>
        <w:rPr>
          <w:rtl/>
        </w:rPr>
        <w:t xml:space="preserve"> فيه، ص</w:t>
      </w:r>
      <w:r>
        <w:rPr>
          <w:rFonts w:hint="cs"/>
          <w:rtl/>
        </w:rPr>
        <w:t>257</w:t>
      </w:r>
      <w:r>
        <w:rPr>
          <w:rtl/>
        </w:rPr>
        <w:t>.</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eastAsia"/>
          <w:rtl/>
        </w:rPr>
        <w:t>والطريق</w:t>
      </w:r>
      <w:r>
        <w:rPr>
          <w:rtl/>
        </w:rPr>
        <w:t xml:space="preserve"> الذي وردت فيه هذه القصة هو الطريق </w:t>
      </w:r>
      <w:r>
        <w:rPr>
          <w:rFonts w:hint="eastAsia"/>
          <w:rtl/>
        </w:rPr>
        <w:t>الثالث</w:t>
      </w:r>
      <w:r>
        <w:rPr>
          <w:rtl/>
        </w:rPr>
        <w:t xml:space="preserve"> - الذي سبق ذكره ص</w:t>
      </w:r>
      <w:r>
        <w:rPr>
          <w:rFonts w:hint="cs"/>
          <w:rtl/>
        </w:rPr>
        <w:t>257</w:t>
      </w:r>
      <w:r>
        <w:rPr>
          <w:rtl/>
        </w:rPr>
        <w:t xml:space="preserve">- إلا ما جاء في مسند الإمام أحمد، 6/116؛ إذْ </w:t>
      </w:r>
      <w:r>
        <w:rPr>
          <w:rFonts w:hint="eastAsia"/>
          <w:rtl/>
        </w:rPr>
        <w:t>ذكر</w:t>
      </w:r>
      <w:r>
        <w:rPr>
          <w:rtl/>
        </w:rPr>
        <w:t xml:space="preserve"> الطريق نفسه </w:t>
      </w:r>
      <w:r>
        <w:rPr>
          <w:rFonts w:hint="cs"/>
          <w:rtl/>
        </w:rPr>
        <w:t>لكنه</w:t>
      </w:r>
      <w:r>
        <w:rPr>
          <w:rtl/>
        </w:rPr>
        <w:t xml:space="preserve"> لم يذكر القصة.</w:t>
      </w:r>
    </w:p>
    <w:p w:rsidR="00035BE3" w:rsidRDefault="00035BE3" w:rsidP="00C10469">
      <w:pPr>
        <w:pStyle w:val="a6"/>
        <w:ind w:left="420" w:firstLine="0"/>
        <w:rPr>
          <w:spacing w:val="6"/>
          <w:rtl/>
        </w:rPr>
      </w:pPr>
      <w:r>
        <w:rPr>
          <w:rFonts w:hint="eastAsia"/>
          <w:spacing w:val="6"/>
          <w:rtl/>
        </w:rPr>
        <w:t>والقصة</w:t>
      </w:r>
      <w:r>
        <w:rPr>
          <w:spacing w:val="6"/>
          <w:rtl/>
        </w:rPr>
        <w:t xml:space="preserve"> المذكور</w:t>
      </w:r>
      <w:r>
        <w:rPr>
          <w:rFonts w:hint="cs"/>
          <w:spacing w:val="6"/>
          <w:rtl/>
        </w:rPr>
        <w:t>ة</w:t>
      </w:r>
      <w:r>
        <w:rPr>
          <w:spacing w:val="6"/>
          <w:rtl/>
        </w:rPr>
        <w:t xml:space="preserve"> لم أجد من خرَّجها باللفظ نفسه، </w:t>
      </w:r>
      <w:r>
        <w:rPr>
          <w:rFonts w:hint="eastAsia"/>
          <w:spacing w:val="6"/>
          <w:rtl/>
        </w:rPr>
        <w:t>إلا</w:t>
      </w:r>
      <w:r>
        <w:rPr>
          <w:spacing w:val="6"/>
          <w:rtl/>
        </w:rPr>
        <w:t xml:space="preserve"> أنَّ أقرب الألفاظ هو لفظ أبي داود، حيث قال في سننه - 3/</w:t>
      </w:r>
      <w:r>
        <w:rPr>
          <w:rFonts w:hint="cs"/>
          <w:spacing w:val="6"/>
          <w:rtl/>
        </w:rPr>
        <w:t>284</w:t>
      </w:r>
      <w:r>
        <w:rPr>
          <w:spacing w:val="6"/>
          <w:rtl/>
        </w:rPr>
        <w:t>، ح35</w:t>
      </w:r>
      <w:r>
        <w:rPr>
          <w:rFonts w:hint="cs"/>
          <w:spacing w:val="6"/>
          <w:rtl/>
        </w:rPr>
        <w:t>06</w:t>
      </w:r>
      <w:r>
        <w:rPr>
          <w:spacing w:val="6"/>
          <w:rtl/>
        </w:rPr>
        <w:t xml:space="preserve">- : «... </w:t>
      </w:r>
      <w:r>
        <w:rPr>
          <w:rFonts w:hint="eastAsia"/>
          <w:spacing w:val="6"/>
          <w:rtl/>
        </w:rPr>
        <w:t>عن</w:t>
      </w:r>
      <w:r>
        <w:rPr>
          <w:spacing w:val="6"/>
          <w:rtl/>
        </w:rPr>
        <w:t xml:space="preserve"> عائشة </w:t>
      </w:r>
      <w:r>
        <w:rPr>
          <w:rFonts w:hint="cs"/>
          <w:spacing w:val="6"/>
          <w:rtl/>
        </w:rPr>
        <w:t>-</w:t>
      </w:r>
      <w:r>
        <w:rPr>
          <w:spacing w:val="6"/>
          <w:rtl/>
        </w:rPr>
        <w:t>رضي الله عنها</w:t>
      </w:r>
      <w:r>
        <w:rPr>
          <w:rFonts w:hint="cs"/>
          <w:spacing w:val="6"/>
          <w:rtl/>
        </w:rPr>
        <w:t>-</w:t>
      </w:r>
      <w:r>
        <w:rPr>
          <w:spacing w:val="6"/>
          <w:rtl/>
        </w:rPr>
        <w:t xml:space="preserve">، أن رجلاً ابتاع </w:t>
      </w:r>
      <w:r>
        <w:rPr>
          <w:rFonts w:hint="eastAsia"/>
          <w:b/>
          <w:bCs/>
          <w:spacing w:val="6"/>
          <w:rtl/>
        </w:rPr>
        <w:t>غلامًا</w:t>
      </w:r>
      <w:r>
        <w:rPr>
          <w:spacing w:val="6"/>
          <w:rtl/>
        </w:rPr>
        <w:t xml:space="preserve"> </w:t>
      </w:r>
      <w:r>
        <w:rPr>
          <w:rFonts w:hint="eastAsia"/>
          <w:spacing w:val="6"/>
          <w:rtl/>
        </w:rPr>
        <w:t>فأقام</w:t>
      </w:r>
      <w:r>
        <w:rPr>
          <w:spacing w:val="6"/>
          <w:rtl/>
        </w:rPr>
        <w:t xml:space="preserve"> عنده ما شاء الله أن </w:t>
      </w:r>
      <w:r>
        <w:rPr>
          <w:rFonts w:hint="eastAsia"/>
          <w:b/>
          <w:bCs/>
          <w:spacing w:val="6"/>
          <w:rtl/>
        </w:rPr>
        <w:t>يقيم</w:t>
      </w:r>
      <w:r>
        <w:rPr>
          <w:rFonts w:hint="eastAsia"/>
          <w:spacing w:val="6"/>
          <w:rtl/>
        </w:rPr>
        <w:t>،</w:t>
      </w:r>
      <w:r>
        <w:rPr>
          <w:spacing w:val="6"/>
          <w:rtl/>
        </w:rPr>
        <w:t xml:space="preserve"> </w:t>
      </w:r>
      <w:r>
        <w:rPr>
          <w:rFonts w:hint="eastAsia"/>
          <w:spacing w:val="6"/>
          <w:rtl/>
        </w:rPr>
        <w:t>ثم</w:t>
      </w:r>
      <w:r>
        <w:rPr>
          <w:spacing w:val="6"/>
          <w:rtl/>
        </w:rPr>
        <w:t xml:space="preserve"> وجد به عيبًا، فخاصمه إلى النبي </w:t>
      </w:r>
      <w:r>
        <w:rPr>
          <w:rFonts w:ascii="AGA Arabesque" w:hAnsi="AGA Arabesque"/>
          <w:spacing w:val="6"/>
          <w:sz w:val="36"/>
          <w:szCs w:val="36"/>
        </w:rPr>
        <w:t></w:t>
      </w:r>
      <w:r>
        <w:rPr>
          <w:rFonts w:hint="eastAsia"/>
          <w:spacing w:val="6"/>
          <w:rtl/>
        </w:rPr>
        <w:t>،</w:t>
      </w:r>
      <w:r>
        <w:rPr>
          <w:spacing w:val="6"/>
          <w:rtl/>
        </w:rPr>
        <w:t xml:space="preserve"> فردّه عليه. </w:t>
      </w:r>
      <w:r>
        <w:rPr>
          <w:rFonts w:hint="eastAsia"/>
          <w:b/>
          <w:bCs/>
          <w:spacing w:val="6"/>
          <w:rtl/>
        </w:rPr>
        <w:t>فقال</w:t>
      </w:r>
      <w:r>
        <w:rPr>
          <w:spacing w:val="6"/>
          <w:rtl/>
        </w:rPr>
        <w:t xml:space="preserve"> </w:t>
      </w:r>
      <w:r>
        <w:rPr>
          <w:rFonts w:hint="eastAsia"/>
          <w:spacing w:val="6"/>
          <w:rtl/>
        </w:rPr>
        <w:t>الرجل</w:t>
      </w:r>
      <w:r>
        <w:rPr>
          <w:spacing w:val="6"/>
          <w:rtl/>
        </w:rPr>
        <w:t xml:space="preserve"> : يا رسول الله</w:t>
      </w:r>
      <w:r>
        <w:rPr>
          <w:rFonts w:hint="cs"/>
          <w:spacing w:val="6"/>
          <w:rtl/>
        </w:rPr>
        <w:t>،</w:t>
      </w:r>
      <w:r>
        <w:rPr>
          <w:spacing w:val="6"/>
          <w:rtl/>
        </w:rPr>
        <w:t xml:space="preserve"> قد </w:t>
      </w:r>
      <w:r>
        <w:rPr>
          <w:b/>
          <w:bCs/>
          <w:spacing w:val="6"/>
          <w:rtl/>
        </w:rPr>
        <w:t>استغل</w:t>
      </w:r>
      <w:r>
        <w:rPr>
          <w:rFonts w:hint="cs"/>
          <w:spacing w:val="6"/>
          <w:rtl/>
        </w:rPr>
        <w:t>ّ</w:t>
      </w:r>
      <w:r>
        <w:rPr>
          <w:spacing w:val="6"/>
          <w:rtl/>
        </w:rPr>
        <w:t xml:space="preserve"> غلامي ! فقال رسول الله </w:t>
      </w:r>
      <w:r>
        <w:rPr>
          <w:rFonts w:ascii="AGA Arabesque" w:hAnsi="AGA Arabesque"/>
          <w:spacing w:val="6"/>
          <w:sz w:val="36"/>
          <w:szCs w:val="36"/>
        </w:rPr>
        <w:t></w:t>
      </w:r>
      <w:r>
        <w:rPr>
          <w:spacing w:val="6"/>
          <w:rtl/>
        </w:rPr>
        <w:t xml:space="preserve"> : «</w:t>
      </w:r>
      <w:r>
        <w:rPr>
          <w:rFonts w:cs="DecoType Naskh Special"/>
          <w:spacing w:val="6"/>
          <w:rtl/>
        </w:rPr>
        <w:t>ال</w:t>
      </w:r>
      <w:r>
        <w:rPr>
          <w:rFonts w:cs="DecoType Naskh Special" w:hint="cs"/>
          <w:spacing w:val="6"/>
          <w:rtl/>
        </w:rPr>
        <w:t>ـ</w:t>
      </w:r>
      <w:r>
        <w:rPr>
          <w:rFonts w:cs="DecoType Naskh Special"/>
          <w:spacing w:val="6"/>
          <w:rtl/>
        </w:rPr>
        <w:t>خ</w:t>
      </w:r>
      <w:r>
        <w:rPr>
          <w:rFonts w:cs="DecoType Naskh Special" w:hint="cs"/>
          <w:spacing w:val="6"/>
          <w:rtl/>
        </w:rPr>
        <w:t>ـ</w:t>
      </w:r>
      <w:r>
        <w:rPr>
          <w:rFonts w:cs="DecoType Naskh Special"/>
          <w:spacing w:val="6"/>
          <w:rtl/>
        </w:rPr>
        <w:t>راج بالضمان</w:t>
      </w:r>
      <w:r>
        <w:rPr>
          <w:spacing w:val="6"/>
          <w:rtl/>
        </w:rPr>
        <w:t>». قال أبو داود : هذا اسنادٌ ليس بذاك».</w:t>
      </w:r>
    </w:p>
  </w:footnote>
  <w:footnote w:id="2751">
    <w:p w:rsidR="00035BE3" w:rsidRDefault="00035BE3" w:rsidP="00C10469">
      <w:pPr>
        <w:pStyle w:val="a8"/>
        <w:bidi/>
        <w:ind w:left="420" w:right="0"/>
        <w:rPr>
          <w:rtl/>
        </w:rPr>
      </w:pPr>
      <w:r>
        <w:rPr>
          <w:vertAlign w:val="superscript"/>
          <w:rtl/>
        </w:rPr>
        <w:t>(</w:t>
      </w:r>
      <w:r>
        <w:rPr>
          <w:rStyle w:val="a7"/>
        </w:rPr>
        <w:footnoteRef/>
      </w:r>
      <w:r>
        <w:rPr>
          <w:vertAlign w:val="superscript"/>
          <w:rtl/>
        </w:rPr>
        <w:t>)</w:t>
      </w:r>
      <w:r>
        <w:rPr>
          <w:rtl/>
        </w:rPr>
        <w:t xml:space="preserve">   </w:t>
      </w:r>
      <w:r>
        <w:rPr>
          <w:rFonts w:hint="eastAsia"/>
          <w:b/>
          <w:bCs/>
          <w:rtl/>
        </w:rPr>
        <w:t>أبو</w:t>
      </w:r>
      <w:r>
        <w:rPr>
          <w:b/>
          <w:bCs/>
          <w:rtl/>
        </w:rPr>
        <w:t xml:space="preserve"> عبيد</w:t>
      </w:r>
      <w:r>
        <w:rPr>
          <w:rtl/>
        </w:rPr>
        <w:t xml:space="preserve"> : هو القاسم بن سلام الهروي </w:t>
      </w:r>
      <w:r>
        <w:rPr>
          <w:rFonts w:hint="eastAsia"/>
          <w:rtl/>
        </w:rPr>
        <w:t>البغدادي</w:t>
      </w:r>
      <w:r>
        <w:rPr>
          <w:rtl/>
        </w:rPr>
        <w:t xml:space="preserve"> القاضي (ت224هـ). وقد وردت كنيته في عدد من الكتب بِـ (أبي عُبيد) ولم </w:t>
      </w:r>
      <w:r>
        <w:rPr>
          <w:rFonts w:hint="eastAsia"/>
          <w:rtl/>
        </w:rPr>
        <w:t>أجد</w:t>
      </w:r>
      <w:r>
        <w:rPr>
          <w:rtl/>
        </w:rPr>
        <w:t xml:space="preserve"> من أضاف لفظ الجلالة كما صنع المؤلف.</w:t>
      </w:r>
    </w:p>
    <w:p w:rsidR="00035BE3" w:rsidRDefault="00035BE3" w:rsidP="00C10469">
      <w:pPr>
        <w:pStyle w:val="a6"/>
        <w:ind w:left="420" w:firstLine="0"/>
        <w:rPr>
          <w:rtl/>
        </w:rPr>
      </w:pPr>
      <w:r>
        <w:rPr>
          <w:rFonts w:hint="eastAsia"/>
          <w:rtl/>
        </w:rPr>
        <w:t>وقد</w:t>
      </w:r>
      <w:r>
        <w:rPr>
          <w:rtl/>
        </w:rPr>
        <w:t xml:space="preserve"> اشتهر أبو عبيد بالحديث واللغة والفقه </w:t>
      </w:r>
      <w:r>
        <w:rPr>
          <w:rFonts w:hint="eastAsia"/>
          <w:rtl/>
        </w:rPr>
        <w:t>والقراءات</w:t>
      </w:r>
      <w:r>
        <w:rPr>
          <w:rtl/>
        </w:rPr>
        <w:t>.</w:t>
      </w:r>
    </w:p>
    <w:p w:rsidR="00035BE3" w:rsidRDefault="00035BE3" w:rsidP="00C10469">
      <w:pPr>
        <w:pStyle w:val="a6"/>
        <w:ind w:left="420" w:firstLine="0"/>
        <w:rPr>
          <w:spacing w:val="4"/>
          <w:rtl/>
        </w:rPr>
      </w:pPr>
      <w:r>
        <w:rPr>
          <w:rFonts w:hint="eastAsia"/>
          <w:spacing w:val="4"/>
          <w:rtl/>
        </w:rPr>
        <w:t>قال</w:t>
      </w:r>
      <w:r>
        <w:rPr>
          <w:spacing w:val="4"/>
          <w:rtl/>
        </w:rPr>
        <w:t xml:space="preserve"> الذهبي : «قلت : من نظر في كتب أبي عبيد علم </w:t>
      </w:r>
      <w:r>
        <w:rPr>
          <w:rFonts w:hint="eastAsia"/>
          <w:spacing w:val="4"/>
          <w:rtl/>
        </w:rPr>
        <w:t>مكانه</w:t>
      </w:r>
      <w:r>
        <w:rPr>
          <w:spacing w:val="4"/>
          <w:rtl/>
        </w:rPr>
        <w:t xml:space="preserve"> من الحفظ والعلم، وكان حافظًا للحديث وعلله</w:t>
      </w:r>
      <w:r>
        <w:rPr>
          <w:rFonts w:hint="cs"/>
          <w:spacing w:val="4"/>
          <w:rtl/>
        </w:rPr>
        <w:t xml:space="preserve"> ومعرفته متوسطة،</w:t>
      </w:r>
      <w:r>
        <w:rPr>
          <w:spacing w:val="4"/>
          <w:rtl/>
        </w:rPr>
        <w:t xml:space="preserve"> عارفًا بالفقه والاختلاف، رأسًا </w:t>
      </w:r>
      <w:r>
        <w:rPr>
          <w:rFonts w:hint="eastAsia"/>
          <w:spacing w:val="4"/>
          <w:rtl/>
        </w:rPr>
        <w:t>في</w:t>
      </w:r>
      <w:r>
        <w:rPr>
          <w:spacing w:val="4"/>
          <w:rtl/>
        </w:rPr>
        <w:t xml:space="preserve"> اللغة، إمامًا في القراءات</w:t>
      </w:r>
      <w:r>
        <w:rPr>
          <w:rFonts w:hint="cs"/>
          <w:spacing w:val="4"/>
          <w:rtl/>
        </w:rPr>
        <w:t>،</w:t>
      </w:r>
      <w:r>
        <w:rPr>
          <w:spacing w:val="4"/>
          <w:rtl/>
        </w:rPr>
        <w:t xml:space="preserve"> له فيها مصنف ...».</w:t>
      </w:r>
    </w:p>
    <w:p w:rsidR="00035BE3" w:rsidRDefault="00035BE3" w:rsidP="00C10469">
      <w:pPr>
        <w:pStyle w:val="a6"/>
        <w:ind w:left="420" w:firstLine="0"/>
        <w:rPr>
          <w:spacing w:val="-6"/>
          <w:rtl/>
        </w:rPr>
      </w:pPr>
      <w:r>
        <w:rPr>
          <w:rFonts w:hint="eastAsia"/>
          <w:spacing w:val="-6"/>
          <w:rtl/>
        </w:rPr>
        <w:t>ومن</w:t>
      </w:r>
      <w:r>
        <w:rPr>
          <w:spacing w:val="-6"/>
          <w:rtl/>
        </w:rPr>
        <w:t xml:space="preserve"> مؤلفاته : غريب الحديث، والأموال، والناسخ </w:t>
      </w:r>
      <w:r>
        <w:rPr>
          <w:rFonts w:hint="eastAsia"/>
          <w:spacing w:val="-6"/>
          <w:rtl/>
        </w:rPr>
        <w:t>والمنسوخ</w:t>
      </w:r>
      <w:r>
        <w:rPr>
          <w:rFonts w:hint="cs"/>
          <w:spacing w:val="-6"/>
          <w:rtl/>
        </w:rPr>
        <w:t>، وكتاب الشعراء، والقراءات، وأدب القاضي.</w:t>
      </w:r>
    </w:p>
    <w:p w:rsidR="00035BE3" w:rsidRDefault="00035BE3" w:rsidP="00C10469">
      <w:pPr>
        <w:pStyle w:val="a6"/>
        <w:ind w:left="420" w:firstLine="0"/>
        <w:rPr>
          <w:rtl/>
        </w:rPr>
      </w:pPr>
      <w:r>
        <w:rPr>
          <w:rFonts w:hint="eastAsia"/>
          <w:rtl/>
        </w:rPr>
        <w:t>انظر</w:t>
      </w:r>
      <w:r>
        <w:rPr>
          <w:rtl/>
        </w:rPr>
        <w:t xml:space="preserve"> : تهذيب الكمال، 23/354-370، رقم 4792؛ </w:t>
      </w:r>
      <w:r>
        <w:rPr>
          <w:rFonts w:hint="eastAsia"/>
          <w:rtl/>
        </w:rPr>
        <w:t>تذكرة</w:t>
      </w:r>
      <w:r>
        <w:rPr>
          <w:rtl/>
        </w:rPr>
        <w:t xml:space="preserve"> الحفاظ، 2/417-418، رقم 423 - ومنه نقلت النص المذكور-؛ طبقات الحفاظ، </w:t>
      </w:r>
      <w:r>
        <w:rPr>
          <w:rFonts w:hint="eastAsia"/>
          <w:rtl/>
        </w:rPr>
        <w:t>ص</w:t>
      </w:r>
      <w:r>
        <w:rPr>
          <w:rtl/>
        </w:rPr>
        <w:t>179-180، رقم 404</w:t>
      </w:r>
      <w:r>
        <w:rPr>
          <w:rFonts w:hint="cs"/>
          <w:rtl/>
        </w:rPr>
        <w:t>؛ مقدمة محقِّق غريب الحديث، ص(ط).</w:t>
      </w:r>
    </w:p>
  </w:footnote>
  <w:footnote w:id="2752">
    <w:p w:rsidR="00035BE3" w:rsidRDefault="00035BE3" w:rsidP="00C10469">
      <w:pPr>
        <w:pStyle w:val="a8"/>
        <w:bidi/>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«يشريه».</w:t>
      </w:r>
    </w:p>
  </w:footnote>
  <w:footnote w:id="2753">
    <w:p w:rsidR="00035BE3" w:rsidRDefault="00035BE3" w:rsidP="00C10469">
      <w:pPr>
        <w:pStyle w:val="a8"/>
        <w:bidi/>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«دُلِّس»، وفي (جـ) : «دلّه»، وفي (د) : «دل».</w:t>
      </w:r>
    </w:p>
  </w:footnote>
  <w:footnote w:id="2754">
    <w:p w:rsidR="00035BE3" w:rsidRDefault="00035BE3" w:rsidP="00C10469">
      <w:pPr>
        <w:pStyle w:val="a8"/>
        <w:bidi/>
        <w:ind w:left="420" w:right="0"/>
        <w:rPr>
          <w:rtl/>
        </w:rPr>
      </w:pPr>
      <w:r>
        <w:rPr>
          <w:vertAlign w:val="superscript"/>
          <w:rtl/>
        </w:rPr>
        <w:t>(</w:t>
      </w:r>
      <w:r>
        <w:rPr>
          <w:rStyle w:val="a7"/>
        </w:rPr>
        <w:footnoteRef/>
      </w:r>
      <w:r>
        <w:rPr>
          <w:vertAlign w:val="superscript"/>
          <w:rtl/>
        </w:rPr>
        <w:t>)</w:t>
      </w:r>
      <w:r>
        <w:rPr>
          <w:rtl/>
        </w:rPr>
        <w:t xml:space="preserve">   (الواو) : ساقطة من (ب) و(د).</w:t>
      </w:r>
    </w:p>
  </w:footnote>
  <w:footnote w:id="2755">
    <w:p w:rsidR="00035BE3" w:rsidRDefault="00035BE3" w:rsidP="00C10469">
      <w:pPr>
        <w:pStyle w:val="a8"/>
        <w:bidi/>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«وأخفاه»</w:t>
      </w:r>
      <w:r>
        <w:rPr>
          <w:rtl/>
        </w:rPr>
        <w:t xml:space="preserve"> : ساقطة من (جـ). </w:t>
      </w:r>
      <w:r>
        <w:rPr>
          <w:rFonts w:hint="cs"/>
          <w:rtl/>
        </w:rPr>
        <w:t>و</w:t>
      </w:r>
      <w:r>
        <w:rPr>
          <w:rtl/>
        </w:rPr>
        <w:t xml:space="preserve">المؤلف </w:t>
      </w:r>
      <w:r>
        <w:rPr>
          <w:rFonts w:hint="eastAsia"/>
          <w:rtl/>
        </w:rPr>
        <w:t>استفاد</w:t>
      </w:r>
      <w:r>
        <w:rPr>
          <w:rtl/>
        </w:rPr>
        <w:t xml:space="preserve"> هذه العبارة من أشباه ابن نجيم، وهذه الكلمة ليست في الأشباه أيضًا.</w:t>
      </w:r>
    </w:p>
  </w:footnote>
  <w:footnote w:id="275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 «فيفو</w:t>
      </w:r>
      <w:r>
        <w:rPr>
          <w:rFonts w:hint="cs"/>
          <w:rtl/>
        </w:rPr>
        <w:t>ر</w:t>
      </w:r>
      <w:r>
        <w:rPr>
          <w:rtl/>
        </w:rPr>
        <w:t xml:space="preserve">» (بالراء المهملة). </w:t>
      </w:r>
      <w:r>
        <w:rPr>
          <w:rFonts w:hint="eastAsia"/>
          <w:rtl/>
        </w:rPr>
        <w:t>والصحيح</w:t>
      </w:r>
      <w:r>
        <w:rPr>
          <w:rtl/>
        </w:rPr>
        <w:t xml:space="preserve"> ما تمَّ إثباته من (ب) و(د).</w:t>
      </w:r>
    </w:p>
  </w:footnote>
  <w:footnote w:id="2757">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هكذا</w:t>
      </w:r>
      <w:r>
        <w:rPr>
          <w:rtl/>
        </w:rPr>
        <w:t xml:space="preserve"> في جميع النسخ.</w:t>
      </w:r>
      <w:r>
        <w:rPr>
          <w:rFonts w:hint="cs"/>
          <w:rtl/>
        </w:rPr>
        <w:t xml:space="preserve"> </w:t>
      </w:r>
      <w:r>
        <w:rPr>
          <w:rFonts w:hint="eastAsia"/>
          <w:rtl/>
        </w:rPr>
        <w:t>والصحيح</w:t>
      </w:r>
      <w:r>
        <w:rPr>
          <w:rFonts w:hint="cs"/>
          <w:rtl/>
        </w:rPr>
        <w:t xml:space="preserve"> :</w:t>
      </w:r>
      <w:r>
        <w:rPr>
          <w:rtl/>
        </w:rPr>
        <w:t xml:space="preserve"> «كلها»، </w:t>
      </w:r>
      <w:r>
        <w:rPr>
          <w:rFonts w:hint="eastAsia"/>
          <w:rtl/>
        </w:rPr>
        <w:t>وفاقًا</w:t>
      </w:r>
      <w:r>
        <w:rPr>
          <w:rtl/>
        </w:rPr>
        <w:t xml:space="preserve"> لأشباه ابن نجيم</w:t>
      </w:r>
      <w:r>
        <w:rPr>
          <w:rFonts w:hint="cs"/>
          <w:rtl/>
        </w:rPr>
        <w:t>؛</w:t>
      </w:r>
      <w:r>
        <w:rPr>
          <w:rtl/>
        </w:rPr>
        <w:t xml:space="preserve"> لأن الضمير يعود إلى الغلّة، والغلة لفظ مؤنث، فكان المناسب </w:t>
      </w:r>
      <w:r>
        <w:rPr>
          <w:rFonts w:hint="eastAsia"/>
          <w:rtl/>
        </w:rPr>
        <w:t>أن</w:t>
      </w:r>
      <w:r>
        <w:rPr>
          <w:rtl/>
        </w:rPr>
        <w:t xml:space="preserve"> يكون الضمير العائد إليها مؤنثًا أيضًا.</w:t>
      </w:r>
    </w:p>
  </w:footnote>
  <w:footnote w:id="2758">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الضمير</w:t>
      </w:r>
      <w:r>
        <w:rPr>
          <w:rtl/>
        </w:rPr>
        <w:t xml:space="preserve"> هنا يعود إلى العبد.</w:t>
      </w:r>
    </w:p>
  </w:footnote>
  <w:footnote w:id="2759">
    <w:p w:rsidR="00035BE3" w:rsidRPr="00AA5300" w:rsidRDefault="00035BE3" w:rsidP="00C10469">
      <w:pPr>
        <w:pStyle w:val="a8"/>
        <w:bidi/>
        <w:spacing w:line="228" w:lineRule="auto"/>
        <w:ind w:left="420" w:right="0"/>
        <w:rPr>
          <w:rtl/>
        </w:rPr>
      </w:pPr>
      <w:r>
        <w:rPr>
          <w:spacing w:val="-10"/>
          <w:vertAlign w:val="superscript"/>
          <w:rtl/>
        </w:rPr>
        <w:t>(</w:t>
      </w:r>
      <w:r>
        <w:rPr>
          <w:rStyle w:val="a7"/>
          <w:spacing w:val="-10"/>
        </w:rPr>
        <w:footnoteRef/>
      </w:r>
      <w:r>
        <w:rPr>
          <w:spacing w:val="-10"/>
          <w:vertAlign w:val="superscript"/>
          <w:rtl/>
        </w:rPr>
        <w:t>)</w:t>
      </w:r>
      <w:r>
        <w:rPr>
          <w:spacing w:val="-10"/>
          <w:rtl/>
        </w:rPr>
        <w:t xml:space="preserve">  </w:t>
      </w:r>
      <w:r w:rsidRPr="00AA5300">
        <w:rPr>
          <w:rtl/>
        </w:rPr>
        <w:t xml:space="preserve"> </w:t>
      </w:r>
      <w:r w:rsidRPr="00AA5300">
        <w:rPr>
          <w:rFonts w:hint="eastAsia"/>
          <w:rtl/>
        </w:rPr>
        <w:t>من</w:t>
      </w:r>
      <w:r w:rsidRPr="00AA5300">
        <w:rPr>
          <w:rtl/>
        </w:rPr>
        <w:t xml:space="preserve"> آكد مظان هذه العبارة المنسوبة إلى أبي </w:t>
      </w:r>
      <w:r w:rsidRPr="00AA5300">
        <w:rPr>
          <w:rFonts w:hint="eastAsia"/>
          <w:rtl/>
        </w:rPr>
        <w:t>عبيد</w:t>
      </w:r>
      <w:r w:rsidRPr="00AA5300">
        <w:rPr>
          <w:rtl/>
        </w:rPr>
        <w:t xml:space="preserve"> كتابه: (غريب الحديث)</w:t>
      </w:r>
      <w:r w:rsidRPr="00AA5300">
        <w:rPr>
          <w:rFonts w:hint="cs"/>
          <w:rtl/>
        </w:rPr>
        <w:t>،</w:t>
      </w:r>
      <w:r w:rsidRPr="00AA5300">
        <w:rPr>
          <w:rtl/>
        </w:rPr>
        <w:t xml:space="preserve"> وبالرجوع إلى الموضع الذي تحدث فيه عن معنى الخراج لم </w:t>
      </w:r>
      <w:r w:rsidRPr="00AA5300">
        <w:rPr>
          <w:rFonts w:hint="eastAsia"/>
          <w:rtl/>
        </w:rPr>
        <w:t>أجد</w:t>
      </w:r>
      <w:r w:rsidRPr="00AA5300">
        <w:rPr>
          <w:rtl/>
        </w:rPr>
        <w:t xml:space="preserve"> نصّ العبارة المذكورة، وإنما وجدت معناها؛ ولعلّ السبب في ذلك أن المؤلف لم </w:t>
      </w:r>
      <w:r w:rsidRPr="00AA5300">
        <w:rPr>
          <w:rFonts w:hint="eastAsia"/>
          <w:rtl/>
        </w:rPr>
        <w:t>ينقلها</w:t>
      </w:r>
      <w:r w:rsidRPr="00AA5300">
        <w:rPr>
          <w:rtl/>
        </w:rPr>
        <w:t xml:space="preserve"> من كتاب أبي عبيد مباشرة؛ بل استفادها من أشباه ابن نجيم، والثاني ربما </w:t>
      </w:r>
      <w:r w:rsidRPr="00AA5300">
        <w:rPr>
          <w:rFonts w:hint="cs"/>
          <w:rtl/>
        </w:rPr>
        <w:t>ا</w:t>
      </w:r>
      <w:r w:rsidRPr="00AA5300">
        <w:rPr>
          <w:rFonts w:hint="eastAsia"/>
          <w:rtl/>
        </w:rPr>
        <w:t>ستفادها</w:t>
      </w:r>
      <w:r w:rsidRPr="00AA5300">
        <w:rPr>
          <w:rtl/>
        </w:rPr>
        <w:t xml:space="preserve"> من اشباه السيوطي - ويؤكد هذا التقارب اللفظي بينهم - ولعل الثالث </w:t>
      </w:r>
      <w:r w:rsidRPr="00AA5300">
        <w:rPr>
          <w:rFonts w:hint="eastAsia"/>
          <w:rtl/>
        </w:rPr>
        <w:t>استفادها</w:t>
      </w:r>
      <w:r w:rsidRPr="00AA5300">
        <w:rPr>
          <w:rtl/>
        </w:rPr>
        <w:t xml:space="preserve"> من أبي عبيد بواسطة أيضًا، </w:t>
      </w:r>
      <w:r w:rsidRPr="00AA5300">
        <w:rPr>
          <w:rFonts w:hint="cs"/>
          <w:rtl/>
        </w:rPr>
        <w:t>و</w:t>
      </w:r>
      <w:r w:rsidRPr="00AA5300">
        <w:rPr>
          <w:rtl/>
        </w:rPr>
        <w:t>لا سيما أن بينهما ما يقارب ستة قرون.</w:t>
      </w:r>
    </w:p>
    <w:p w:rsidR="00035BE3" w:rsidRDefault="00035BE3" w:rsidP="00C10469">
      <w:pPr>
        <w:pStyle w:val="a6"/>
        <w:spacing w:line="228" w:lineRule="auto"/>
        <w:ind w:left="420" w:firstLine="0"/>
        <w:rPr>
          <w:rtl/>
        </w:rPr>
      </w:pPr>
      <w:r>
        <w:rPr>
          <w:rFonts w:hint="eastAsia"/>
          <w:rtl/>
        </w:rPr>
        <w:t>ونص</w:t>
      </w:r>
      <w:r>
        <w:rPr>
          <w:rtl/>
        </w:rPr>
        <w:t xml:space="preserve"> ما جاء في (غريب </w:t>
      </w:r>
      <w:r>
        <w:rPr>
          <w:rFonts w:hint="eastAsia"/>
          <w:rtl/>
        </w:rPr>
        <w:t>الحديث</w:t>
      </w:r>
      <w:r>
        <w:rPr>
          <w:rtl/>
        </w:rPr>
        <w:t xml:space="preserve">)، 3/37 : «قال أبو عبيد في حديث النبي </w:t>
      </w:r>
      <w:r>
        <w:rPr>
          <w:rFonts w:ascii="AGA Arabesque" w:hAnsi="AGA Arabesque"/>
          <w:sz w:val="36"/>
          <w:szCs w:val="36"/>
        </w:rPr>
        <w:t></w:t>
      </w:r>
      <w:r>
        <w:rPr>
          <w:rtl/>
        </w:rPr>
        <w:t xml:space="preserve"> : أنه قضى أن الخراج بالضمان:</w:t>
      </w:r>
    </w:p>
    <w:p w:rsidR="00035BE3" w:rsidRDefault="00035BE3" w:rsidP="00C10469">
      <w:pPr>
        <w:pStyle w:val="a6"/>
        <w:spacing w:line="228" w:lineRule="auto"/>
        <w:ind w:left="420" w:firstLine="0"/>
        <w:rPr>
          <w:rtl/>
        </w:rPr>
      </w:pPr>
      <w:r>
        <w:rPr>
          <w:rFonts w:hint="eastAsia"/>
          <w:rtl/>
        </w:rPr>
        <w:t>معناه</w:t>
      </w:r>
      <w:r>
        <w:rPr>
          <w:rtl/>
        </w:rPr>
        <w:t xml:space="preserve"> -والله أعلم- : الرجل يشتري المملوك، فيستغله، ثم يجد به عيبًا كان عند البائع، يقتضي أنه يرد </w:t>
      </w:r>
      <w:r>
        <w:rPr>
          <w:rFonts w:hint="eastAsia"/>
          <w:rtl/>
        </w:rPr>
        <w:t>العبد</w:t>
      </w:r>
      <w:r>
        <w:rPr>
          <w:rtl/>
        </w:rPr>
        <w:t xml:space="preserve"> على البائع بالعيب، ويرجع بالثمن فيأخذه، وتكون له الغلة طيبة (وهي الخراج).</w:t>
      </w:r>
    </w:p>
    <w:p w:rsidR="00035BE3" w:rsidRDefault="00035BE3" w:rsidP="00C10469">
      <w:pPr>
        <w:pStyle w:val="a6"/>
        <w:spacing w:line="228" w:lineRule="auto"/>
        <w:ind w:left="420" w:firstLine="0"/>
        <w:rPr>
          <w:rtl/>
        </w:rPr>
      </w:pPr>
      <w:r>
        <w:rPr>
          <w:rFonts w:hint="eastAsia"/>
          <w:rtl/>
        </w:rPr>
        <w:t>وإنما</w:t>
      </w:r>
      <w:r>
        <w:rPr>
          <w:rtl/>
        </w:rPr>
        <w:t xml:space="preserve"> طابت له </w:t>
      </w:r>
      <w:r>
        <w:rPr>
          <w:rFonts w:hint="eastAsia"/>
          <w:rtl/>
        </w:rPr>
        <w:t>الغلة؛</w:t>
      </w:r>
      <w:r>
        <w:rPr>
          <w:rtl/>
        </w:rPr>
        <w:t xml:space="preserve"> لأنه كان ضامنًا للعبد، لو مات مات من مال المشتري؛ لأنه في يده ...».</w:t>
      </w:r>
    </w:p>
    <w:p w:rsidR="00035BE3" w:rsidRDefault="00035BE3" w:rsidP="00C10469">
      <w:pPr>
        <w:pStyle w:val="a6"/>
        <w:spacing w:line="228" w:lineRule="auto"/>
        <w:ind w:left="420" w:firstLine="0"/>
        <w:rPr>
          <w:rtl/>
        </w:rPr>
      </w:pPr>
      <w:r>
        <w:rPr>
          <w:rFonts w:hint="eastAsia"/>
          <w:rtl/>
        </w:rPr>
        <w:t>ونص</w:t>
      </w:r>
      <w:r>
        <w:rPr>
          <w:rtl/>
        </w:rPr>
        <w:t xml:space="preserve"> ما جاء في أشباه </w:t>
      </w:r>
      <w:r>
        <w:rPr>
          <w:rFonts w:hint="eastAsia"/>
          <w:rtl/>
        </w:rPr>
        <w:t>السيوطي،</w:t>
      </w:r>
      <w:r>
        <w:rPr>
          <w:rtl/>
        </w:rPr>
        <w:t xml:space="preserve"> 1/303 : «قال أبو عبيد : الخراج في هذا الحديث غلة العبد؛ يشتريه الرجل </w:t>
      </w:r>
      <w:r>
        <w:rPr>
          <w:rFonts w:hint="eastAsia"/>
          <w:rtl/>
        </w:rPr>
        <w:t>فيستعمله</w:t>
      </w:r>
      <w:r>
        <w:rPr>
          <w:rtl/>
        </w:rPr>
        <w:t xml:space="preserve"> زمانًا، ثم يعثر منه على عيب دلَّسه البائع، فيرده، ويأخذ جميع الثمن، </w:t>
      </w:r>
      <w:r>
        <w:rPr>
          <w:rFonts w:hint="eastAsia"/>
          <w:rtl/>
        </w:rPr>
        <w:t>ويفوز</w:t>
      </w:r>
      <w:r>
        <w:rPr>
          <w:rtl/>
        </w:rPr>
        <w:t xml:space="preserve"> بغلته كلّها؛ لأنه كان في ضمانه، ولو هلك هلك من ماله. انتهى».</w:t>
      </w:r>
    </w:p>
    <w:p w:rsidR="00035BE3" w:rsidRDefault="00035BE3" w:rsidP="00C10469">
      <w:pPr>
        <w:pStyle w:val="a6"/>
        <w:spacing w:line="228" w:lineRule="auto"/>
        <w:ind w:left="420" w:firstLine="0"/>
        <w:rPr>
          <w:spacing w:val="-8"/>
          <w:rtl/>
        </w:rPr>
      </w:pPr>
      <w:r>
        <w:rPr>
          <w:rFonts w:hint="eastAsia"/>
          <w:spacing w:val="-8"/>
          <w:rtl/>
        </w:rPr>
        <w:t>وهذا</w:t>
      </w:r>
      <w:r>
        <w:rPr>
          <w:spacing w:val="-8"/>
          <w:rtl/>
        </w:rPr>
        <w:t xml:space="preserve"> </w:t>
      </w:r>
      <w:r>
        <w:rPr>
          <w:rFonts w:hint="eastAsia"/>
          <w:spacing w:val="-8"/>
          <w:rtl/>
        </w:rPr>
        <w:t>النص</w:t>
      </w:r>
      <w:r>
        <w:rPr>
          <w:spacing w:val="-8"/>
          <w:rtl/>
        </w:rPr>
        <w:t xml:space="preserve"> هو نص ما جاء في أشباه ابن نجيم أيضًا -ص177- إلا أنه قال : «فيستعمله» بدل : </w:t>
      </w:r>
      <w:r>
        <w:rPr>
          <w:rFonts w:hint="eastAsia"/>
          <w:spacing w:val="-8"/>
          <w:rtl/>
        </w:rPr>
        <w:t>«يستغله»</w:t>
      </w:r>
      <w:r>
        <w:rPr>
          <w:spacing w:val="-8"/>
          <w:rtl/>
        </w:rPr>
        <w:t>.</w:t>
      </w:r>
    </w:p>
  </w:footnote>
  <w:footnote w:id="2760">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هذه</w:t>
      </w:r>
      <w:r>
        <w:rPr>
          <w:rtl/>
        </w:rPr>
        <w:t xml:space="preserve"> المقولة سيفردها المؤلف في قاعدة مستقلة، </w:t>
      </w:r>
      <w:r>
        <w:rPr>
          <w:rFonts w:hint="eastAsia"/>
          <w:rtl/>
        </w:rPr>
        <w:t>وذلك</w:t>
      </w:r>
      <w:r>
        <w:rPr>
          <w:rtl/>
        </w:rPr>
        <w:t xml:space="preserve"> </w:t>
      </w:r>
      <w:r>
        <w:rPr>
          <w:rFonts w:hint="eastAsia"/>
          <w:rtl/>
        </w:rPr>
        <w:t>ص</w:t>
      </w:r>
      <w:r>
        <w:rPr>
          <w:rFonts w:hint="cs"/>
          <w:rtl/>
        </w:rPr>
        <w:t>737</w:t>
      </w:r>
      <w:r>
        <w:rPr>
          <w:rtl/>
        </w:rPr>
        <w:t xml:space="preserve"> (ل55/ب)، قاعدة 136. </w:t>
      </w:r>
    </w:p>
  </w:footnote>
  <w:footnote w:id="2761">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«وتسليم».</w:t>
      </w:r>
    </w:p>
  </w:footnote>
  <w:footnote w:id="2762">
    <w:p w:rsidR="00035BE3" w:rsidRDefault="00035BE3" w:rsidP="00C10469">
      <w:pPr>
        <w:pStyle w:val="a8"/>
        <w:bidi/>
        <w:spacing w:line="228" w:lineRule="auto"/>
        <w:ind w:left="420"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Pr>
          <w:rFonts w:hint="eastAsia"/>
          <w:rtl/>
        </w:rPr>
        <w:t>هكذا</w:t>
      </w:r>
      <w:r>
        <w:rPr>
          <w:rtl/>
        </w:rPr>
        <w:t xml:space="preserve"> في جميع النسخ : «لأنه لم يكن ... فلم </w:t>
      </w:r>
      <w:r>
        <w:rPr>
          <w:rFonts w:hint="eastAsia"/>
          <w:rtl/>
        </w:rPr>
        <w:t>يملكه»</w:t>
      </w:r>
      <w:r>
        <w:rPr>
          <w:rtl/>
        </w:rPr>
        <w:t xml:space="preserve">. </w:t>
      </w:r>
      <w:r>
        <w:rPr>
          <w:rFonts w:hint="eastAsia"/>
          <w:rtl/>
        </w:rPr>
        <w:t>والصحيح</w:t>
      </w:r>
      <w:r>
        <w:rPr>
          <w:rtl/>
        </w:rPr>
        <w:t xml:space="preserve"> : «لأنها لم تكن ... فلم يملكها»</w:t>
      </w:r>
      <w:r>
        <w:rPr>
          <w:rFonts w:hint="cs"/>
          <w:rtl/>
        </w:rPr>
        <w:t>،</w:t>
      </w:r>
      <w:r>
        <w:rPr>
          <w:rtl/>
        </w:rPr>
        <w:t xml:space="preserve"> وفاقًا لمصدر هذه العبارة (وهو أشباه ابن نجيم)؛ لأن الضمير الظاهر في «لأنها» و«يملكها» والمستتر في «تكن»: يعود إلى كلمة مؤنّـثة، وهي : «الزيادة المنفصلة».</w:t>
      </w:r>
    </w:p>
  </w:footnote>
  <w:footnote w:id="276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31/ب من (د).</w:t>
      </w:r>
    </w:p>
  </w:footnote>
  <w:footnote w:id="276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 الريح ».</w:t>
      </w:r>
    </w:p>
  </w:footnote>
  <w:footnote w:id="276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الأشباه</w:t>
      </w:r>
      <w:r>
        <w:rPr>
          <w:rtl/>
        </w:rPr>
        <w:t xml:space="preserve"> والنظائر لابن نجيم، ص177 -مع اختلاف </w:t>
      </w:r>
      <w:r>
        <w:rPr>
          <w:rFonts w:hint="eastAsia"/>
          <w:rtl/>
        </w:rPr>
        <w:t>يسير،</w:t>
      </w:r>
      <w:r>
        <w:rPr>
          <w:rtl/>
        </w:rPr>
        <w:t xml:space="preserve"> سبقت الإشارة إلى أهمّه-؛ وانظر تبيـين الحقائق، 4/35؛ فتح القدير، 6/368؛ </w:t>
      </w:r>
      <w:r>
        <w:rPr>
          <w:rFonts w:hint="eastAsia"/>
          <w:rtl/>
        </w:rPr>
        <w:t>البحر</w:t>
      </w:r>
      <w:r>
        <w:rPr>
          <w:rtl/>
        </w:rPr>
        <w:t xml:space="preserve"> الرائق، 6/57.</w:t>
      </w:r>
    </w:p>
    <w:p w:rsidR="00035BE3" w:rsidRDefault="00035BE3" w:rsidP="00C10469">
      <w:pPr>
        <w:pStyle w:val="a6"/>
        <w:ind w:left="422" w:firstLine="0"/>
        <w:rPr>
          <w:rtl/>
        </w:rPr>
      </w:pPr>
      <w:r>
        <w:rPr>
          <w:rFonts w:hint="eastAsia"/>
          <w:rtl/>
        </w:rPr>
        <w:t>وممّن</w:t>
      </w:r>
      <w:r>
        <w:rPr>
          <w:rtl/>
        </w:rPr>
        <w:t xml:space="preserve"> ذكر هذه </w:t>
      </w:r>
      <w:r>
        <w:rPr>
          <w:rFonts w:hint="eastAsia"/>
          <w:rtl/>
        </w:rPr>
        <w:t>المسألة</w:t>
      </w:r>
      <w:r>
        <w:rPr>
          <w:rtl/>
        </w:rPr>
        <w:t xml:space="preserve"> غير الأصحاب : ابن قدامة في المغني، 6/226، وبعد أن استدلَّ عليها بـحديث : «الخراج بالضمان» قال : «ولا نعلم في هذا خلافًا».</w:t>
      </w:r>
    </w:p>
  </w:footnote>
  <w:footnote w:id="276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b/>
          <w:bCs/>
          <w:rtl/>
        </w:rPr>
        <w:t>أصـوله</w:t>
      </w:r>
      <w:r>
        <w:rPr>
          <w:rtl/>
        </w:rPr>
        <w:t>: يـراد بـها كتـابه: (كن</w:t>
      </w:r>
      <w:r>
        <w:rPr>
          <w:rFonts w:hint="cs"/>
          <w:rtl/>
        </w:rPr>
        <w:t>ـ</w:t>
      </w:r>
      <w:r>
        <w:rPr>
          <w:rtl/>
        </w:rPr>
        <w:t xml:space="preserve">ز </w:t>
      </w:r>
      <w:r>
        <w:rPr>
          <w:rFonts w:hint="eastAsia"/>
          <w:rtl/>
        </w:rPr>
        <w:t>الوصول</w:t>
      </w:r>
      <w:r>
        <w:rPr>
          <w:rtl/>
        </w:rPr>
        <w:t xml:space="preserve"> إلى مع</w:t>
      </w:r>
      <w:r>
        <w:rPr>
          <w:rFonts w:hint="cs"/>
          <w:rtl/>
        </w:rPr>
        <w:t>ر</w:t>
      </w:r>
      <w:r>
        <w:rPr>
          <w:rtl/>
        </w:rPr>
        <w:t>فة الأصول)، وهو المشهور بأصول البزدوي نسبة إلى مؤلفه.</w:t>
      </w:r>
    </w:p>
    <w:p w:rsidR="00035BE3" w:rsidRDefault="00035BE3" w:rsidP="00C10469">
      <w:pPr>
        <w:pStyle w:val="a6"/>
        <w:ind w:left="422" w:firstLine="0"/>
        <w:rPr>
          <w:rtl/>
        </w:rPr>
      </w:pPr>
      <w:r>
        <w:rPr>
          <w:rFonts w:hint="eastAsia"/>
          <w:rtl/>
        </w:rPr>
        <w:t>ويُعدُّ</w:t>
      </w:r>
      <w:r>
        <w:rPr>
          <w:rtl/>
        </w:rPr>
        <w:t xml:space="preserve"> هذا الكتاب </w:t>
      </w:r>
      <w:r>
        <w:rPr>
          <w:rFonts w:hint="eastAsia"/>
          <w:rtl/>
        </w:rPr>
        <w:t>من</w:t>
      </w:r>
      <w:r>
        <w:rPr>
          <w:rtl/>
        </w:rPr>
        <w:t xml:space="preserve"> أبرز الكتب المؤلّفة في أصول الفقه على طريقة الفقهاء (الحنفية) وقد عبّر </w:t>
      </w:r>
      <w:r>
        <w:rPr>
          <w:rFonts w:hint="eastAsia"/>
          <w:rtl/>
        </w:rPr>
        <w:t>الحنفية</w:t>
      </w:r>
      <w:r>
        <w:rPr>
          <w:rtl/>
        </w:rPr>
        <w:t xml:space="preserve"> عن ذلك قولاً وعملاً.</w:t>
      </w:r>
    </w:p>
    <w:p w:rsidR="00035BE3" w:rsidRDefault="00035BE3" w:rsidP="00C10469">
      <w:pPr>
        <w:pStyle w:val="a6"/>
        <w:ind w:left="422" w:firstLine="0"/>
        <w:rPr>
          <w:rtl/>
        </w:rPr>
      </w:pPr>
      <w:r>
        <w:rPr>
          <w:rFonts w:hint="eastAsia"/>
          <w:rtl/>
        </w:rPr>
        <w:t>يقول</w:t>
      </w:r>
      <w:r>
        <w:rPr>
          <w:rtl/>
        </w:rPr>
        <w:t xml:space="preserve"> حاجي خليفة : «وهو </w:t>
      </w:r>
      <w:r>
        <w:rPr>
          <w:rFonts w:hint="eastAsia"/>
          <w:rtl/>
        </w:rPr>
        <w:t>كتاب</w:t>
      </w:r>
      <w:r>
        <w:rPr>
          <w:rtl/>
        </w:rPr>
        <w:t xml:space="preserve"> عظيم الشأن، جليل البرهان. محتوٍ على لطائف الاعتبارات بأوجز العبارات ...».</w:t>
      </w:r>
    </w:p>
    <w:p w:rsidR="00035BE3" w:rsidRDefault="00035BE3" w:rsidP="00C10469">
      <w:pPr>
        <w:pStyle w:val="a6"/>
        <w:ind w:left="422" w:firstLine="0"/>
        <w:rPr>
          <w:rtl/>
        </w:rPr>
      </w:pPr>
      <w:r>
        <w:rPr>
          <w:rFonts w:hint="eastAsia"/>
          <w:rtl/>
        </w:rPr>
        <w:t>ويقول</w:t>
      </w:r>
      <w:r>
        <w:rPr>
          <w:rtl/>
        </w:rPr>
        <w:t xml:space="preserve"> اللكنوي في </w:t>
      </w:r>
      <w:r>
        <w:rPr>
          <w:rFonts w:hint="eastAsia"/>
          <w:rtl/>
        </w:rPr>
        <w:t>ترجمة</w:t>
      </w:r>
      <w:r>
        <w:rPr>
          <w:rtl/>
        </w:rPr>
        <w:t xml:space="preserve"> البزدوي : «له تصانيف كثيرة معتبرة، منها ... وكتابٌ كبيرٌ في أصول الفقه، </w:t>
      </w:r>
      <w:r>
        <w:rPr>
          <w:rFonts w:hint="eastAsia"/>
          <w:rtl/>
        </w:rPr>
        <w:t>مشهور</w:t>
      </w:r>
      <w:r>
        <w:rPr>
          <w:rtl/>
        </w:rPr>
        <w:t xml:space="preserve"> بأصول البزدوي، معتبر ومعتمد».</w:t>
      </w:r>
    </w:p>
    <w:p w:rsidR="00035BE3" w:rsidRDefault="00035BE3" w:rsidP="00C10469">
      <w:pPr>
        <w:pStyle w:val="a6"/>
        <w:ind w:left="422" w:firstLine="0"/>
        <w:rPr>
          <w:spacing w:val="4"/>
          <w:rtl/>
        </w:rPr>
      </w:pPr>
      <w:r>
        <w:rPr>
          <w:rFonts w:hint="eastAsia"/>
          <w:spacing w:val="4"/>
          <w:rtl/>
        </w:rPr>
        <w:t>ونظرًا</w:t>
      </w:r>
      <w:r>
        <w:rPr>
          <w:spacing w:val="4"/>
          <w:rtl/>
        </w:rPr>
        <w:t xml:space="preserve"> </w:t>
      </w:r>
      <w:r>
        <w:rPr>
          <w:rFonts w:hint="eastAsia"/>
          <w:spacing w:val="4"/>
          <w:rtl/>
        </w:rPr>
        <w:t>لأهميته</w:t>
      </w:r>
      <w:r>
        <w:rPr>
          <w:spacing w:val="4"/>
          <w:rtl/>
        </w:rPr>
        <w:t xml:space="preserve"> عندهم «أصبح محور الدرس والتأليف عند المتأخرين شرحًا، واختصارًا، </w:t>
      </w:r>
      <w:r>
        <w:rPr>
          <w:rFonts w:hint="eastAsia"/>
          <w:spacing w:val="4"/>
          <w:rtl/>
        </w:rPr>
        <w:t>وتعليقًا</w:t>
      </w:r>
      <w:r>
        <w:rPr>
          <w:spacing w:val="4"/>
          <w:rtl/>
        </w:rPr>
        <w:t xml:space="preserve">. وأعظم شروحه وأوسعها شرح ... عبد العزيز ... البخاري ... سماه (كشف </w:t>
      </w:r>
      <w:r>
        <w:rPr>
          <w:rFonts w:hint="eastAsia"/>
          <w:spacing w:val="4"/>
          <w:rtl/>
        </w:rPr>
        <w:t>الأسرار</w:t>
      </w:r>
      <w:r>
        <w:rPr>
          <w:spacing w:val="4"/>
          <w:rtl/>
        </w:rPr>
        <w:t>)» - قاله أ.د. عبد الوهاب أبو سليمان-.</w:t>
      </w:r>
    </w:p>
    <w:p w:rsidR="00035BE3" w:rsidRDefault="00035BE3" w:rsidP="00C10469">
      <w:pPr>
        <w:pStyle w:val="a6"/>
        <w:ind w:left="422" w:firstLine="0"/>
        <w:rPr>
          <w:rtl/>
        </w:rPr>
      </w:pPr>
      <w:r>
        <w:rPr>
          <w:rFonts w:hint="eastAsia"/>
          <w:rtl/>
        </w:rPr>
        <w:t>وقد</w:t>
      </w:r>
      <w:r>
        <w:rPr>
          <w:rtl/>
        </w:rPr>
        <w:t xml:space="preserve"> وصف د. محمد </w:t>
      </w:r>
      <w:r>
        <w:rPr>
          <w:rFonts w:hint="eastAsia"/>
          <w:rtl/>
        </w:rPr>
        <w:t>الزحيلي</w:t>
      </w:r>
      <w:r>
        <w:rPr>
          <w:rtl/>
        </w:rPr>
        <w:t xml:space="preserve"> هذا الكتاب مع الشرح المذكور بأنه : «من أحسن كتب الأصول عند الحنفية، </w:t>
      </w:r>
      <w:r>
        <w:rPr>
          <w:rFonts w:hint="eastAsia"/>
          <w:rtl/>
        </w:rPr>
        <w:t>وأفضلها،</w:t>
      </w:r>
      <w:r>
        <w:rPr>
          <w:rtl/>
        </w:rPr>
        <w:t xml:space="preserve"> وهو عمدة علماء الحنفية في الأصول».</w:t>
      </w:r>
    </w:p>
    <w:p w:rsidR="00035BE3" w:rsidRDefault="00035BE3" w:rsidP="00C10469">
      <w:pPr>
        <w:pStyle w:val="a6"/>
        <w:ind w:left="422" w:firstLine="0"/>
        <w:rPr>
          <w:rtl/>
        </w:rPr>
      </w:pPr>
      <w:r>
        <w:rPr>
          <w:rFonts w:hint="eastAsia"/>
          <w:rtl/>
        </w:rPr>
        <w:t>وقد</w:t>
      </w:r>
      <w:r>
        <w:rPr>
          <w:rtl/>
        </w:rPr>
        <w:t xml:space="preserve"> طبع الكتاب </w:t>
      </w:r>
      <w:r>
        <w:rPr>
          <w:rFonts w:hint="eastAsia"/>
          <w:rtl/>
        </w:rPr>
        <w:t>مرارًا</w:t>
      </w:r>
      <w:r>
        <w:rPr>
          <w:rtl/>
        </w:rPr>
        <w:t xml:space="preserve"> مع الشرح المذكور.</w:t>
      </w:r>
    </w:p>
    <w:p w:rsidR="00035BE3" w:rsidRDefault="00035BE3" w:rsidP="00C10469">
      <w:pPr>
        <w:pStyle w:val="a6"/>
        <w:ind w:left="422" w:firstLine="0"/>
        <w:rPr>
          <w:rtl/>
        </w:rPr>
      </w:pPr>
      <w:r>
        <w:rPr>
          <w:rFonts w:hint="eastAsia"/>
          <w:rtl/>
        </w:rPr>
        <w:t>ومن</w:t>
      </w:r>
      <w:r>
        <w:rPr>
          <w:rtl/>
        </w:rPr>
        <w:t xml:space="preserve"> أقدم هذه </w:t>
      </w:r>
      <w:r>
        <w:rPr>
          <w:rFonts w:hint="eastAsia"/>
          <w:rtl/>
        </w:rPr>
        <w:t>الطبعات</w:t>
      </w:r>
      <w:r>
        <w:rPr>
          <w:rtl/>
        </w:rPr>
        <w:t xml:space="preserve"> : طبعة مكتب الصنايع بالاستانة، سنة 1307هـ بمعرفة : حسن حلمي الريزوي، </w:t>
      </w:r>
      <w:r>
        <w:rPr>
          <w:rFonts w:hint="eastAsia"/>
          <w:rtl/>
        </w:rPr>
        <w:t>وتصحيح</w:t>
      </w:r>
      <w:r>
        <w:rPr>
          <w:rtl/>
        </w:rPr>
        <w:t xml:space="preserve"> : أحمد رامز.</w:t>
      </w:r>
    </w:p>
    <w:p w:rsidR="00035BE3" w:rsidRDefault="00035BE3" w:rsidP="00C10469">
      <w:pPr>
        <w:pStyle w:val="a6"/>
        <w:ind w:left="422" w:firstLine="0"/>
        <w:rPr>
          <w:rtl/>
        </w:rPr>
      </w:pPr>
      <w:r>
        <w:rPr>
          <w:rFonts w:hint="eastAsia"/>
          <w:rtl/>
        </w:rPr>
        <w:t>ومن</w:t>
      </w:r>
      <w:r>
        <w:rPr>
          <w:rtl/>
        </w:rPr>
        <w:t xml:space="preserve"> أحدث الطبعات : </w:t>
      </w:r>
      <w:r>
        <w:rPr>
          <w:rFonts w:hint="eastAsia"/>
          <w:rtl/>
        </w:rPr>
        <w:t>طبعة</w:t>
      </w:r>
      <w:r>
        <w:rPr>
          <w:rtl/>
        </w:rPr>
        <w:t xml:space="preserve"> دار الكتاب العربي ببيروت (الطبعة الثانية، عام 1414هـ/1994م)، ضبط وتعليق </w:t>
      </w:r>
      <w:r>
        <w:rPr>
          <w:rFonts w:hint="eastAsia"/>
          <w:rtl/>
        </w:rPr>
        <w:t>وتخريج</w:t>
      </w:r>
      <w:r>
        <w:rPr>
          <w:rtl/>
        </w:rPr>
        <w:t xml:space="preserve"> محمد المعتصم بالله البغدادي.</w:t>
      </w:r>
    </w:p>
    <w:p w:rsidR="00035BE3" w:rsidRDefault="00035BE3" w:rsidP="00C10469">
      <w:pPr>
        <w:pStyle w:val="a6"/>
        <w:ind w:left="422" w:firstLine="0"/>
        <w:rPr>
          <w:rtl/>
        </w:rPr>
      </w:pPr>
      <w:r>
        <w:rPr>
          <w:rFonts w:hint="eastAsia"/>
          <w:rtl/>
        </w:rPr>
        <w:t>ولتوثيق</w:t>
      </w:r>
      <w:r>
        <w:rPr>
          <w:rtl/>
        </w:rPr>
        <w:t xml:space="preserve"> النصوص </w:t>
      </w:r>
      <w:r>
        <w:rPr>
          <w:rFonts w:hint="eastAsia"/>
          <w:rtl/>
        </w:rPr>
        <w:t>المذكورة</w:t>
      </w:r>
      <w:r>
        <w:rPr>
          <w:rtl/>
        </w:rPr>
        <w:t xml:space="preserve"> فهي على الترتيب منقولة من : كشف الظنون، 1/112؛ الفوائد البهية، ص124؛ </w:t>
      </w:r>
      <w:r>
        <w:rPr>
          <w:rFonts w:hint="eastAsia"/>
          <w:rtl/>
        </w:rPr>
        <w:t>الفكر</w:t>
      </w:r>
      <w:r>
        <w:rPr>
          <w:rtl/>
        </w:rPr>
        <w:t xml:space="preserve"> الأصولي، ص431؛ مرجع العلوم الإسلامية، ص627.</w:t>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eastAsia"/>
          <w:rtl/>
        </w:rPr>
        <w:t>وانظر</w:t>
      </w:r>
      <w:r>
        <w:rPr>
          <w:rtl/>
        </w:rPr>
        <w:t xml:space="preserve"> في نسبة </w:t>
      </w:r>
      <w:r>
        <w:rPr>
          <w:rFonts w:hint="eastAsia"/>
          <w:rtl/>
        </w:rPr>
        <w:t>الـكتاب</w:t>
      </w:r>
      <w:r>
        <w:rPr>
          <w:rtl/>
        </w:rPr>
        <w:t xml:space="preserve"> للمؤلف : المراجع المذكورة في ترجمة البزدوي، وذلك </w:t>
      </w:r>
      <w:r>
        <w:rPr>
          <w:rFonts w:hint="eastAsia"/>
          <w:rtl/>
        </w:rPr>
        <w:t>ص</w:t>
      </w:r>
      <w:r>
        <w:rPr>
          <w:rFonts w:hint="cs"/>
          <w:rtl/>
        </w:rPr>
        <w:t>441.</w:t>
      </w:r>
    </w:p>
    <w:p w:rsidR="00035BE3" w:rsidRDefault="00035BE3" w:rsidP="00C10469">
      <w:pPr>
        <w:pStyle w:val="a6"/>
        <w:ind w:left="422" w:firstLine="0"/>
        <w:rPr>
          <w:rtl/>
        </w:rPr>
      </w:pPr>
      <w:r>
        <w:rPr>
          <w:rFonts w:hint="eastAsia"/>
          <w:rtl/>
        </w:rPr>
        <w:t>وانظر</w:t>
      </w:r>
      <w:r>
        <w:rPr>
          <w:rtl/>
        </w:rPr>
        <w:t xml:space="preserve"> في عدّ بعض </w:t>
      </w:r>
      <w:r>
        <w:rPr>
          <w:rFonts w:hint="eastAsia"/>
          <w:rtl/>
        </w:rPr>
        <w:t>طب</w:t>
      </w:r>
      <w:r>
        <w:rPr>
          <w:rFonts w:hint="cs"/>
          <w:rtl/>
        </w:rPr>
        <w:t>ع</w:t>
      </w:r>
      <w:r>
        <w:rPr>
          <w:rFonts w:hint="eastAsia"/>
          <w:rtl/>
        </w:rPr>
        <w:t>ات</w:t>
      </w:r>
      <w:r>
        <w:rPr>
          <w:rtl/>
        </w:rPr>
        <w:t xml:space="preserve"> الكت</w:t>
      </w:r>
      <w:r>
        <w:rPr>
          <w:rFonts w:hint="eastAsia"/>
          <w:rtl/>
        </w:rPr>
        <w:t>اب</w:t>
      </w:r>
      <w:r>
        <w:rPr>
          <w:rtl/>
        </w:rPr>
        <w:t xml:space="preserve"> : معجم المطبوعات العربية والمستعربة، 1/538؛ الدليل الجامع إلى كتب </w:t>
      </w:r>
      <w:r>
        <w:rPr>
          <w:rFonts w:hint="eastAsia"/>
          <w:rtl/>
        </w:rPr>
        <w:t>أصول</w:t>
      </w:r>
      <w:r>
        <w:rPr>
          <w:rtl/>
        </w:rPr>
        <w:t xml:space="preserve"> الفقه، ص269-270.</w:t>
      </w:r>
    </w:p>
  </w:footnote>
  <w:footnote w:id="2767">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هذه</w:t>
      </w:r>
      <w:r>
        <w:rPr>
          <w:rtl/>
        </w:rPr>
        <w:t xml:space="preserve"> العبارة مذكورة بـنصِّها في الأشباه </w:t>
      </w:r>
      <w:r>
        <w:rPr>
          <w:rFonts w:hint="eastAsia"/>
          <w:rtl/>
        </w:rPr>
        <w:t>والنظائر</w:t>
      </w:r>
      <w:r>
        <w:rPr>
          <w:rtl/>
        </w:rPr>
        <w:t xml:space="preserve"> لابن نجيم، ص177؛ وانظر معناها في: أصول البزدوي، 3/117-121.</w:t>
      </w:r>
    </w:p>
  </w:footnote>
  <w:footnote w:id="2768">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w:t>
      </w:r>
      <w:r w:rsidRPr="00092383">
        <w:rPr>
          <w:rFonts w:hint="eastAsia"/>
          <w:spacing w:val="-4"/>
          <w:rtl/>
        </w:rPr>
        <w:t>المنثور</w:t>
      </w:r>
      <w:r w:rsidRPr="00092383">
        <w:rPr>
          <w:spacing w:val="-4"/>
          <w:rtl/>
        </w:rPr>
        <w:t xml:space="preserve"> للزركشي، 2/120؛ الأشباه والنظائر </w:t>
      </w:r>
      <w:r w:rsidRPr="00092383">
        <w:rPr>
          <w:rFonts w:hint="eastAsia"/>
          <w:spacing w:val="-4"/>
          <w:rtl/>
        </w:rPr>
        <w:t>للسيوطي،</w:t>
      </w:r>
      <w:r w:rsidRPr="00092383">
        <w:rPr>
          <w:spacing w:val="-4"/>
          <w:rtl/>
        </w:rPr>
        <w:t xml:space="preserve"> 1/304؛ الأشباه والنظائر لابن نجيم، ص177.</w:t>
      </w:r>
    </w:p>
  </w:footnote>
  <w:footnote w:id="2769">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 خرج ».</w:t>
      </w:r>
    </w:p>
  </w:footnote>
  <w:footnote w:id="2770">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لعلّ</w:t>
      </w:r>
      <w:r>
        <w:rPr>
          <w:rtl/>
        </w:rPr>
        <w:t xml:space="preserve"> مراد المؤلف : هو تفسير هاء الضمير في </w:t>
      </w:r>
      <w:r>
        <w:rPr>
          <w:rFonts w:hint="eastAsia"/>
          <w:rtl/>
        </w:rPr>
        <w:t>قبضه</w:t>
      </w:r>
      <w:r>
        <w:rPr>
          <w:rtl/>
        </w:rPr>
        <w:t xml:space="preserve"> بِـ (المشتري) أي : قبل قبض المشتري للمبيع.</w:t>
      </w:r>
    </w:p>
  </w:footnote>
  <w:footnote w:id="2771">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50/ب من (أ).</w:t>
      </w:r>
    </w:p>
  </w:footnote>
  <w:footnote w:id="2772">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39/أ من (جـ).</w:t>
      </w:r>
    </w:p>
  </w:footnote>
  <w:footnote w:id="2773">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33/أ من (ب).</w:t>
      </w:r>
    </w:p>
  </w:footnote>
  <w:footnote w:id="2774">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 ببذل ».</w:t>
      </w:r>
    </w:p>
  </w:footnote>
  <w:footnote w:id="2775">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انظر</w:t>
      </w:r>
      <w:r>
        <w:rPr>
          <w:rtl/>
        </w:rPr>
        <w:t xml:space="preserve"> : الأشباه والنظائر لابن نجيم، </w:t>
      </w:r>
      <w:r>
        <w:rPr>
          <w:rFonts w:hint="eastAsia"/>
          <w:rtl/>
        </w:rPr>
        <w:t>ص</w:t>
      </w:r>
      <w:r>
        <w:rPr>
          <w:rtl/>
        </w:rPr>
        <w:t>177-178.</w:t>
      </w:r>
    </w:p>
  </w:footnote>
  <w:footnote w:id="2776">
    <w:p w:rsidR="00035BE3" w:rsidRDefault="00035BE3" w:rsidP="00C10469">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ص</w:t>
      </w:r>
      <w:r>
        <w:rPr>
          <w:rFonts w:hint="cs"/>
          <w:rtl/>
        </w:rPr>
        <w:t>255</w:t>
      </w:r>
      <w:r>
        <w:rPr>
          <w:rtl/>
        </w:rPr>
        <w:t xml:space="preserve"> (ل4/ب).</w:t>
      </w:r>
    </w:p>
  </w:footnote>
  <w:footnote w:id="27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أو معناه في عدّة كتب من كتب الفقه الحنفي :</w:t>
      </w:r>
    </w:p>
    <w:p w:rsidR="00035BE3" w:rsidRDefault="00035BE3" w:rsidP="00C10469">
      <w:pPr>
        <w:pStyle w:val="a6"/>
        <w:ind w:left="422" w:firstLine="0"/>
        <w:rPr>
          <w:rtl/>
        </w:rPr>
      </w:pPr>
      <w:r>
        <w:rPr>
          <w:rFonts w:hint="cs"/>
          <w:rtl/>
        </w:rPr>
        <w:t xml:space="preserve">فقد وردت بلفظها في : تبيين الحقائق، 5/136؛ الدُّرر شرح الغرر، 2/236؛ كما وردت في تكملة البحر الرائق، 8/33 بلفظ : </w:t>
      </w:r>
      <w:r>
        <w:rPr>
          <w:rFonts w:hint="eastAsia"/>
          <w:rtl/>
        </w:rPr>
        <w:t>«</w:t>
      </w:r>
      <w:r>
        <w:rPr>
          <w:rFonts w:hint="cs"/>
          <w:rtl/>
        </w:rPr>
        <w:t xml:space="preserve">الداخل تحت العقد عمل </w:t>
      </w:r>
      <w:r>
        <w:rPr>
          <w:rFonts w:hint="cs"/>
          <w:b/>
          <w:bCs/>
          <w:rtl/>
        </w:rPr>
        <w:t>غير مفسد</w:t>
      </w:r>
      <w:r>
        <w:rPr>
          <w:rFonts w:hint="cs"/>
          <w:rtl/>
        </w:rPr>
        <w:t>، والمفسَد غير داخل</w:t>
      </w:r>
      <w:r>
        <w:rPr>
          <w:rFonts w:hint="eastAsia"/>
          <w:rtl/>
        </w:rPr>
        <w:t>»</w:t>
      </w:r>
      <w:r>
        <w:rPr>
          <w:rFonts w:hint="cs"/>
          <w:rtl/>
        </w:rPr>
        <w:t xml:space="preserve">؛ وقريب من معناها ما جاء في الهداية وشرحيها : العناية ونتائج الأفكار -9/125-: </w:t>
      </w:r>
      <w:r>
        <w:rPr>
          <w:rFonts w:hint="eastAsia"/>
          <w:rtl/>
        </w:rPr>
        <w:t>«</w:t>
      </w:r>
      <w:r>
        <w:rPr>
          <w:rFonts w:hint="cs"/>
          <w:rtl/>
        </w:rPr>
        <w:t>الداخل تحت الإذن ما هو الداخل تحت العقد وهو العمل المصلح ...</w:t>
      </w:r>
      <w:r>
        <w:rPr>
          <w:rFonts w:hint="eastAsia"/>
          <w:rtl/>
        </w:rPr>
        <w:t>»</w:t>
      </w:r>
      <w:r>
        <w:rPr>
          <w:rFonts w:hint="cs"/>
          <w:rtl/>
        </w:rPr>
        <w:t>؛ وانظر : الهداية وشرحيها المذكورين، 9/127.</w:t>
      </w:r>
    </w:p>
    <w:p w:rsidR="00035BE3" w:rsidRDefault="00035BE3" w:rsidP="00C10469">
      <w:pPr>
        <w:pStyle w:val="a6"/>
        <w:ind w:left="422" w:firstLine="0"/>
        <w:rPr>
          <w:rtl/>
        </w:rPr>
      </w:pPr>
      <w:r>
        <w:rPr>
          <w:rFonts w:hint="cs"/>
          <w:rtl/>
        </w:rPr>
        <w:t>وجميع هذه الألفاظ وردت في مقام التعليل لتضمين الأجير المشْتَرَك ما أتلفه في يده قبل إنجازه للعمل.</w:t>
      </w:r>
    </w:p>
    <w:p w:rsidR="00035BE3" w:rsidRDefault="00035BE3" w:rsidP="00C10469">
      <w:pPr>
        <w:pStyle w:val="a6"/>
        <w:ind w:left="422" w:firstLine="0"/>
        <w:rPr>
          <w:rtl/>
        </w:rPr>
      </w:pPr>
      <w:r>
        <w:rPr>
          <w:rFonts w:hint="cs"/>
          <w:b/>
          <w:bCs/>
          <w:rtl/>
        </w:rPr>
        <w:t>ومعنى هذا التعليل</w:t>
      </w:r>
      <w:r>
        <w:rPr>
          <w:rFonts w:hint="cs"/>
          <w:rtl/>
        </w:rPr>
        <w:t xml:space="preserve"> - المتمثل في ألفاظ القاعدة المذكورة-: </w:t>
      </w:r>
    </w:p>
    <w:p w:rsidR="00035BE3" w:rsidRDefault="00035BE3" w:rsidP="00C10469">
      <w:pPr>
        <w:pStyle w:val="a6"/>
        <w:ind w:left="422" w:firstLine="0"/>
        <w:rPr>
          <w:rtl/>
        </w:rPr>
      </w:pPr>
      <w:r>
        <w:rPr>
          <w:rFonts w:hint="cs"/>
          <w:rtl/>
        </w:rPr>
        <w:t>أن كون الأجير مأذونًا له في العمل ابتداءً من قبل المستأجر لا يمنع من إيجاب الضمان عليه عند الإتلاف؛ لأنه بإتلافه يكون متعدِّيا لمخالفته إذن المستأجر؛ حيث أتى بالعمل على وجه فاسد، مع أن الداخل تحت إذنه إنما هو العمل السليم.</w:t>
      </w:r>
    </w:p>
    <w:p w:rsidR="00035BE3" w:rsidRDefault="00035BE3" w:rsidP="00C10469">
      <w:pPr>
        <w:pStyle w:val="a6"/>
        <w:ind w:left="422" w:firstLine="0"/>
        <w:rPr>
          <w:spacing w:val="4"/>
          <w:rtl/>
        </w:rPr>
      </w:pPr>
      <w:r>
        <w:rPr>
          <w:rFonts w:hint="cs"/>
          <w:spacing w:val="4"/>
          <w:rtl/>
        </w:rPr>
        <w:t xml:space="preserve">وقد فصّل ذلك صاحب تبيين الحقائق -5/135- فقال : </w:t>
      </w:r>
      <w:r>
        <w:rPr>
          <w:rFonts w:hint="eastAsia"/>
          <w:spacing w:val="4"/>
          <w:rtl/>
        </w:rPr>
        <w:t>«</w:t>
      </w:r>
      <w:r>
        <w:rPr>
          <w:rFonts w:hint="cs"/>
          <w:spacing w:val="4"/>
          <w:rtl/>
        </w:rPr>
        <w:t>ولنا : أن التلف حصل بعمل غير مأذون فيه، فيكون مضمونًا، كما لو دقَّ الثوب بغير أمره؛ وهذا لأن الداخل تحت الإذن هو الداخل تحت العقد، وهو العمل المُصْلَح؛ لأن الإذن ثبت في ضمن العقد على التسليم؛ لأن مطلق عقد المعاوضة يقتضي سلامة المعقود عليه من العيوب ... فإذا تلف كان التلفُ حاصلاً بما ليس بمأذون له فيه، فصار كما إذا وصف له نوعًا من الدَّقِّ، فأتى بنوع آخر</w:t>
      </w:r>
      <w:r>
        <w:rPr>
          <w:rFonts w:hint="eastAsia"/>
          <w:spacing w:val="4"/>
          <w:rtl/>
        </w:rPr>
        <w:t>»</w:t>
      </w:r>
      <w:r>
        <w:rPr>
          <w:rFonts w:hint="cs"/>
          <w:spacing w:val="4"/>
          <w:rtl/>
        </w:rPr>
        <w:t>؛ وانظر أيضًا : نـتائج الأفـكار، 9/126، 127؛ وكذلك : الغرّة المنيفة للغزنوي، ص116.</w:t>
      </w:r>
    </w:p>
  </w:footnote>
  <w:footnote w:id="27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الدَّن في اللغة</w:t>
      </w:r>
      <w:r>
        <w:rPr>
          <w:rFonts w:hint="cs"/>
          <w:rtl/>
        </w:rPr>
        <w:t xml:space="preserve"> :</w:t>
      </w:r>
      <w:r>
        <w:rPr>
          <w:rFonts w:hint="eastAsia"/>
          <w:rtl/>
        </w:rPr>
        <w:t>«</w:t>
      </w:r>
      <w:r>
        <w:rPr>
          <w:rFonts w:hint="cs"/>
          <w:rtl/>
        </w:rPr>
        <w:t>وعاء ضخم</w:t>
      </w:r>
      <w:r>
        <w:rPr>
          <w:rFonts w:hint="eastAsia"/>
          <w:rtl/>
        </w:rPr>
        <w:t>»</w:t>
      </w:r>
      <w:r>
        <w:rPr>
          <w:rFonts w:hint="cs"/>
          <w:rtl/>
        </w:rPr>
        <w:t xml:space="preserve">، </w:t>
      </w:r>
      <w:r>
        <w:rPr>
          <w:rFonts w:hint="eastAsia"/>
          <w:rtl/>
        </w:rPr>
        <w:t>«</w:t>
      </w:r>
      <w:r>
        <w:rPr>
          <w:rFonts w:hint="cs"/>
          <w:rtl/>
        </w:rPr>
        <w:t>كهيـئة الحُبِّ [وهـو الـجرّة] إلا أنـه أطـول منه وأوسع رأسًا، والجمع: دِنَانٌ</w:t>
      </w:r>
      <w:r>
        <w:rPr>
          <w:rFonts w:hint="eastAsia"/>
          <w:rtl/>
        </w:rPr>
        <w:t>»</w:t>
      </w:r>
      <w:r>
        <w:rPr>
          <w:rFonts w:hint="cs"/>
          <w:rtl/>
        </w:rPr>
        <w:t>.</w:t>
      </w:r>
    </w:p>
    <w:p w:rsidR="00035BE3" w:rsidRDefault="00035BE3" w:rsidP="00C10469">
      <w:pPr>
        <w:pStyle w:val="a6"/>
        <w:ind w:left="422" w:firstLine="0"/>
        <w:rPr>
          <w:rtl/>
        </w:rPr>
      </w:pPr>
      <w:r>
        <w:rPr>
          <w:rFonts w:hint="cs"/>
          <w:rtl/>
        </w:rPr>
        <w:t xml:space="preserve">ولتوثيق ما سبق : فإن النص الأول منقول من المعجم الوسيط، مادة </w:t>
      </w:r>
      <w:r>
        <w:rPr>
          <w:rFonts w:hint="eastAsia"/>
          <w:rtl/>
        </w:rPr>
        <w:t>«</w:t>
      </w:r>
      <w:r>
        <w:rPr>
          <w:rFonts w:hint="cs"/>
          <w:rtl/>
        </w:rPr>
        <w:t>دنّ</w:t>
      </w:r>
      <w:r>
        <w:rPr>
          <w:rFonts w:hint="eastAsia"/>
          <w:rtl/>
        </w:rPr>
        <w:t>»</w:t>
      </w:r>
      <w:r>
        <w:rPr>
          <w:rFonts w:hint="cs"/>
          <w:rtl/>
        </w:rPr>
        <w:t xml:space="preserve">، 1/299؛ والثاني من المصباح المنير للفيومي، مادة </w:t>
      </w:r>
      <w:r>
        <w:rPr>
          <w:rFonts w:hint="eastAsia"/>
          <w:rtl/>
        </w:rPr>
        <w:t>«</w:t>
      </w:r>
      <w:r>
        <w:rPr>
          <w:rFonts w:hint="cs"/>
          <w:rtl/>
        </w:rPr>
        <w:t>دنّ</w:t>
      </w:r>
      <w:r>
        <w:rPr>
          <w:rFonts w:hint="eastAsia"/>
          <w:rtl/>
        </w:rPr>
        <w:t>»</w:t>
      </w:r>
      <w:r>
        <w:rPr>
          <w:rFonts w:hint="cs"/>
          <w:rtl/>
        </w:rPr>
        <w:t xml:space="preserve">، 1/201؛ وانظر : الصحاح للجوهري مادة </w:t>
      </w:r>
      <w:r>
        <w:rPr>
          <w:rFonts w:hint="eastAsia"/>
          <w:rtl/>
        </w:rPr>
        <w:t>«</w:t>
      </w:r>
      <w:r>
        <w:rPr>
          <w:rFonts w:hint="cs"/>
          <w:rtl/>
        </w:rPr>
        <w:t>دنن</w:t>
      </w:r>
      <w:r>
        <w:rPr>
          <w:rFonts w:hint="eastAsia"/>
          <w:rtl/>
        </w:rPr>
        <w:t>»</w:t>
      </w:r>
      <w:r>
        <w:rPr>
          <w:rFonts w:hint="cs"/>
          <w:rtl/>
        </w:rPr>
        <w:t xml:space="preserve">، 5/2114؛ المقايييس في اللغة، مادة </w:t>
      </w:r>
      <w:r>
        <w:rPr>
          <w:rFonts w:hint="eastAsia"/>
          <w:rtl/>
        </w:rPr>
        <w:t>«</w:t>
      </w:r>
      <w:r>
        <w:rPr>
          <w:rFonts w:hint="cs"/>
          <w:rtl/>
        </w:rPr>
        <w:t>دنَّ</w:t>
      </w:r>
      <w:r>
        <w:rPr>
          <w:rFonts w:hint="eastAsia"/>
          <w:rtl/>
        </w:rPr>
        <w:t>»</w:t>
      </w:r>
      <w:r>
        <w:rPr>
          <w:rFonts w:hint="cs"/>
          <w:rtl/>
        </w:rPr>
        <w:t xml:space="preserve">، ص349؛ القاموس المحيط، مادة </w:t>
      </w:r>
      <w:r>
        <w:rPr>
          <w:rFonts w:hint="eastAsia"/>
          <w:rtl/>
        </w:rPr>
        <w:t>«</w:t>
      </w:r>
      <w:r>
        <w:rPr>
          <w:rFonts w:hint="cs"/>
          <w:rtl/>
        </w:rPr>
        <w:t>دنن</w:t>
      </w:r>
      <w:r>
        <w:rPr>
          <w:rFonts w:hint="eastAsia"/>
          <w:rtl/>
        </w:rPr>
        <w:t>»</w:t>
      </w:r>
      <w:r>
        <w:rPr>
          <w:rFonts w:hint="cs"/>
          <w:rtl/>
        </w:rPr>
        <w:t>،ص1545.</w:t>
      </w:r>
    </w:p>
  </w:footnote>
  <w:footnote w:id="277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مكانه </w:t>
      </w:r>
      <w:r>
        <w:rPr>
          <w:rFonts w:hint="eastAsia"/>
          <w:rtl/>
        </w:rPr>
        <w:t>»</w:t>
      </w:r>
      <w:r>
        <w:rPr>
          <w:rFonts w:hint="cs"/>
          <w:rtl/>
        </w:rPr>
        <w:t>.</w:t>
      </w:r>
    </w:p>
  </w:footnote>
  <w:footnote w:id="278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ضمن </w:t>
      </w:r>
      <w:r>
        <w:rPr>
          <w:rFonts w:hint="cs"/>
          <w:b/>
          <w:bCs/>
          <w:rtl/>
        </w:rPr>
        <w:t>كمال</w:t>
      </w:r>
      <w:r>
        <w:rPr>
          <w:rFonts w:hint="cs"/>
          <w:rtl/>
        </w:rPr>
        <w:t xml:space="preserve"> قيمته </w:t>
      </w:r>
      <w:r>
        <w:rPr>
          <w:rFonts w:hint="eastAsia"/>
          <w:rtl/>
        </w:rPr>
        <w:t>»</w:t>
      </w:r>
      <w:r>
        <w:rPr>
          <w:rFonts w:hint="cs"/>
          <w:rtl/>
        </w:rPr>
        <w:t>.</w:t>
      </w:r>
    </w:p>
  </w:footnote>
  <w:footnote w:id="278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في مكان </w:t>
      </w:r>
      <w:r>
        <w:rPr>
          <w:rFonts w:hint="eastAsia"/>
          <w:rtl/>
        </w:rPr>
        <w:t>»</w:t>
      </w:r>
      <w:r>
        <w:rPr>
          <w:rFonts w:hint="cs"/>
          <w:rtl/>
        </w:rPr>
        <w:t xml:space="preserve"> : ساقطة من (ب).</w:t>
      </w:r>
    </w:p>
  </w:footnote>
  <w:footnote w:id="2782">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قد يُقال : إن في الخيار الثاني جمعًا بين الأجر والضمان، وهذا مخالف للقاعدة المقرَّرة عند الحنفية من أنَّ </w:t>
      </w:r>
      <w:r>
        <w:rPr>
          <w:rFonts w:hint="eastAsia"/>
          <w:spacing w:val="-2"/>
          <w:rtl/>
        </w:rPr>
        <w:t>«</w:t>
      </w:r>
      <w:r>
        <w:rPr>
          <w:rFonts w:hint="cs"/>
          <w:spacing w:val="-2"/>
          <w:rtl/>
        </w:rPr>
        <w:t>الأجر والضمان لا يجتمعان</w:t>
      </w:r>
      <w:r>
        <w:rPr>
          <w:rFonts w:hint="eastAsia"/>
          <w:spacing w:val="-2"/>
          <w:rtl/>
        </w:rPr>
        <w:t>»</w:t>
      </w:r>
      <w:r>
        <w:rPr>
          <w:rFonts w:hint="cs"/>
          <w:spacing w:val="-2"/>
          <w:rtl/>
        </w:rPr>
        <w:t>- وقد سبق بيانها، ص252 (ل4/ب)-؛ إذْ في الخيار الثاني مطالبة للأجير بالضمان، ومطالبة للمؤجِّر بإعطائه أجرًا بقدر ما استوفاه من نقل المتاع من مكانه إلى موضع الكسر !.</w:t>
      </w:r>
    </w:p>
    <w:p w:rsidR="00035BE3" w:rsidRDefault="00035BE3" w:rsidP="00C10469">
      <w:pPr>
        <w:pStyle w:val="a6"/>
        <w:ind w:left="422" w:firstLine="0"/>
        <w:rPr>
          <w:rtl/>
        </w:rPr>
      </w:pPr>
      <w:r>
        <w:rPr>
          <w:rFonts w:hint="cs"/>
          <w:rtl/>
        </w:rPr>
        <w:t xml:space="preserve">وقد أثار هذا الإشكال وأجاب عنه أحمدُ الشلبي في حاشيته على تبيين الحقائق -5/136- فقال: </w:t>
      </w:r>
      <w:r>
        <w:rPr>
          <w:rFonts w:hint="eastAsia"/>
          <w:rtl/>
        </w:rPr>
        <w:t>«</w:t>
      </w:r>
      <w:r>
        <w:rPr>
          <w:rFonts w:hint="cs"/>
          <w:rtl/>
        </w:rPr>
        <w:t>وإن مال إلى الوجه الحقيقي [أي الخيار الثاني] فله الأجر بقدر ما استوفى. والأجر والضمان إنما لا يجتمعان -عندنا - في حالة واحدة، وقد اختلفت الحالة ههنا؛ لأنه إذا ضمّنه في مكان الكسر فقد جعل المتاع أمانة عنده من حيث حمل إلى موضع الكسر، والأجر يجب في حالة الأمانة. وإنما صار مضمونًا في حالة الكسر، وهذه حالة أخرى</w:t>
      </w:r>
      <w:r>
        <w:rPr>
          <w:rFonts w:hint="eastAsia"/>
          <w:rtl/>
        </w:rPr>
        <w:t>»</w:t>
      </w:r>
      <w:r>
        <w:rPr>
          <w:rFonts w:hint="cs"/>
          <w:rtl/>
        </w:rPr>
        <w:t>.</w:t>
      </w:r>
    </w:p>
  </w:footnote>
  <w:footnote w:id="27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ضمن </w:t>
      </w:r>
      <w:r>
        <w:rPr>
          <w:rFonts w:hint="eastAsia"/>
          <w:rtl/>
        </w:rPr>
        <w:t>»</w:t>
      </w:r>
      <w:r>
        <w:rPr>
          <w:rFonts w:hint="cs"/>
          <w:rtl/>
        </w:rPr>
        <w:t>.</w:t>
      </w:r>
    </w:p>
  </w:footnote>
  <w:footnote w:id="27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مثال القاعدة وما جاء في تفصيله في : الدّرر شرح الغرر، 2/236؛ وانظر المثال أيضًا في مصادر القاعدة الآنف ذكرها.</w:t>
      </w:r>
    </w:p>
  </w:footnote>
  <w:footnote w:id="278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الفاسد </w:t>
      </w:r>
      <w:r>
        <w:rPr>
          <w:rFonts w:hint="eastAsia"/>
          <w:rtl/>
        </w:rPr>
        <w:t>»</w:t>
      </w:r>
      <w:r>
        <w:rPr>
          <w:rFonts w:hint="cs"/>
          <w:rtl/>
        </w:rPr>
        <w:t>.</w:t>
      </w:r>
    </w:p>
  </w:footnote>
  <w:footnote w:id="278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الفقهية المشهورة التي لا يكاد يخلو منها كتاب من كتب القواعد، سواء باللفظ الذي ذكره المؤلف أم قريب منه، كما وردت في كثير من كتب الفقه وأصوله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قواعد الأحكام لابن عبد السلام، 1/83 - فقد أفرد فصلاً بعنوان : </w:t>
      </w:r>
      <w:r>
        <w:rPr>
          <w:rFonts w:hint="eastAsia"/>
          <w:rtl/>
        </w:rPr>
        <w:t>«</w:t>
      </w:r>
      <w:r>
        <w:rPr>
          <w:rFonts w:hint="cs"/>
          <w:rtl/>
        </w:rPr>
        <w:t>فصل في اجتماع المصالح مع المفاسد</w:t>
      </w:r>
      <w:r>
        <w:rPr>
          <w:rFonts w:hint="eastAsia"/>
          <w:rtl/>
        </w:rPr>
        <w:t>»</w:t>
      </w:r>
      <w:r>
        <w:rPr>
          <w:rFonts w:hint="cs"/>
          <w:rtl/>
        </w:rPr>
        <w:t xml:space="preserve">-؛ الأشباه والنظائر لابن السبكي، 1/105؛ القواعد للمقَّري، 2/443، قاعدة 201- ولفظه: </w:t>
      </w:r>
      <w:r>
        <w:rPr>
          <w:rFonts w:hint="eastAsia"/>
          <w:rtl/>
        </w:rPr>
        <w:t>«</w:t>
      </w:r>
      <w:r>
        <w:rPr>
          <w:rFonts w:hint="cs"/>
          <w:rtl/>
        </w:rPr>
        <w:t>عناية الشرع بدرء المفاسد أشد من عنايته بجلب المصالح</w:t>
      </w:r>
      <w:r>
        <w:rPr>
          <w:rFonts w:hint="eastAsia"/>
          <w:rtl/>
        </w:rPr>
        <w:t>»</w:t>
      </w:r>
      <w:r>
        <w:rPr>
          <w:rFonts w:hint="cs"/>
          <w:rtl/>
        </w:rPr>
        <w:t xml:space="preserve">-؛ القواعد للحصني، 1/354 - وقد صنع كصنيع ابن عبد السلام-؛ الأشباه والنظائر للسيوطي، 1/217؛ ولابن نجيم، ص113- وجلّ ما سيذكره المؤلف مذكور فيهما-؛ المنهج وشرحاه : شرح المنهج للمنجور، ص726؛ والمنهج إلى المنهج لابن أحمد زيدان، ص137- ولفظ المنهج: </w:t>
      </w:r>
    </w:p>
    <w:p w:rsidR="00035BE3" w:rsidRDefault="00035BE3" w:rsidP="00C10469">
      <w:pPr>
        <w:pStyle w:val="a6"/>
        <w:ind w:left="422" w:hanging="425"/>
        <w:jc w:val="center"/>
        <w:rPr>
          <w:b/>
          <w:bCs/>
          <w:rtl/>
        </w:rPr>
      </w:pPr>
      <w:r>
        <w:rPr>
          <w:rFonts w:hint="cs"/>
          <w:b/>
          <w:bCs/>
          <w:rtl/>
        </w:rPr>
        <w:t>درء الـمـفـاسـد مـقـدم على        جـلـب الـمصالـح فـخـذ مـا نـقلا-؛</w:t>
      </w:r>
    </w:p>
    <w:p w:rsidR="00035BE3" w:rsidRDefault="00035BE3" w:rsidP="00C10469">
      <w:pPr>
        <w:pStyle w:val="a6"/>
        <w:ind w:left="422" w:firstLine="0"/>
        <w:rPr>
          <w:spacing w:val="4"/>
          <w:rtl/>
        </w:rPr>
      </w:pPr>
      <w:r>
        <w:rPr>
          <w:rFonts w:hint="cs"/>
          <w:spacing w:val="4"/>
          <w:rtl/>
        </w:rPr>
        <w:t xml:space="preserve">إيضاح المسالك، ص82، قاعدة 37- ولفظه كلفظ المنهج-؛ الفرائد وشرحاها : الأقمار المضيئة، ص123؛ والمواهب السنية وحاشيتها : الفوائد الجنية، 1/282 - ولفظ الفرائد : </w:t>
      </w:r>
    </w:p>
    <w:p w:rsidR="00035BE3" w:rsidRDefault="00035BE3" w:rsidP="00C10469">
      <w:pPr>
        <w:pStyle w:val="a6"/>
        <w:ind w:left="422" w:hanging="425"/>
        <w:jc w:val="center"/>
        <w:rPr>
          <w:b/>
          <w:bCs/>
          <w:rtl/>
        </w:rPr>
      </w:pPr>
      <w:r>
        <w:rPr>
          <w:rFonts w:hint="cs"/>
          <w:b/>
          <w:bCs/>
          <w:rtl/>
        </w:rPr>
        <w:t xml:space="preserve">     ورجّـحــوا درء مـفاسـد عـلى         جـلـب مـصـالـح كـمـا تـأصـلا-؛</w:t>
      </w:r>
    </w:p>
    <w:p w:rsidR="00035BE3" w:rsidRDefault="00035BE3" w:rsidP="00C10469">
      <w:pPr>
        <w:pStyle w:val="a6"/>
        <w:ind w:left="422" w:firstLine="0"/>
        <w:rPr>
          <w:rtl/>
        </w:rPr>
      </w:pPr>
      <w:r>
        <w:rPr>
          <w:rFonts w:hint="cs"/>
          <w:rtl/>
        </w:rPr>
        <w:t xml:space="preserve">مجامع الحقائق (الخاتمة)، ص45؛ شرح العلائي لقواعد الخادمي، ل21/ب؛ منافع الدقائق، ص319؛ مجلة الأحكام العدلية، مادة 30- ولفظها: </w:t>
      </w:r>
      <w:r>
        <w:rPr>
          <w:rFonts w:hint="eastAsia"/>
          <w:rtl/>
        </w:rPr>
        <w:t>«</w:t>
      </w:r>
      <w:r>
        <w:rPr>
          <w:rFonts w:hint="cs"/>
          <w:rtl/>
        </w:rPr>
        <w:t>درء المفاسد أولى من جلب المنافع</w:t>
      </w:r>
      <w:r>
        <w:rPr>
          <w:rFonts w:hint="eastAsia"/>
          <w:rtl/>
        </w:rPr>
        <w:t>»</w:t>
      </w:r>
      <w:r>
        <w:rPr>
          <w:rFonts w:hint="cs"/>
          <w:rtl/>
        </w:rPr>
        <w:t xml:space="preserve"> -؛ شرحها لسليم رسـتم، 1/32؛ ولعلي حيدر، 1/37؛ وللأتاسي، 1/70؛ وشرح قواعدها للزرقا، ص205؛ قواعد الفقه للمجدّدي، ص81، قاعدة 133- ولفظه كلفظ المجلة-؛ المدخل الفقهي العام، 2/985، فقرة 594؛ القواعد والضوابط المستخصلة من التحرير، ص487- وأحال إلى التحرير، 5/134، </w:t>
      </w:r>
      <w:r w:rsidRPr="00547399">
        <w:rPr>
          <w:rFonts w:hint="cs"/>
          <w:spacing w:val="-4"/>
          <w:rtl/>
        </w:rPr>
        <w:t xml:space="preserve">ولفظه: </w:t>
      </w:r>
      <w:r w:rsidRPr="00547399">
        <w:rPr>
          <w:rFonts w:hint="eastAsia"/>
          <w:spacing w:val="-4"/>
          <w:rtl/>
        </w:rPr>
        <w:t>«</w:t>
      </w:r>
      <w:r w:rsidRPr="00547399">
        <w:rPr>
          <w:rFonts w:hint="cs"/>
          <w:spacing w:val="-4"/>
          <w:rtl/>
        </w:rPr>
        <w:t>الدائر بين النفع والضرر: يترجّح فيه جانب الضرر</w:t>
      </w:r>
      <w:r w:rsidRPr="00547399">
        <w:rPr>
          <w:rFonts w:hint="eastAsia"/>
          <w:spacing w:val="-4"/>
          <w:rtl/>
        </w:rPr>
        <w:t>»</w:t>
      </w:r>
      <w:r w:rsidRPr="00547399">
        <w:rPr>
          <w:rFonts w:hint="cs"/>
          <w:spacing w:val="-4"/>
          <w:rtl/>
        </w:rPr>
        <w:t xml:space="preserve">-؛ القواعد الفقهية للدكتور علي </w:t>
      </w:r>
      <w:r>
        <w:rPr>
          <w:rFonts w:hint="cs"/>
          <w:rtl/>
        </w:rPr>
        <w:t xml:space="preserve">الندوي، </w:t>
      </w:r>
      <w:r w:rsidRPr="00547399">
        <w:rPr>
          <w:rFonts w:hint="cs"/>
          <w:spacing w:val="-4"/>
          <w:rtl/>
        </w:rPr>
        <w:t xml:space="preserve">ص207؛ الوجيز، ص208؛ القواعد الفقهية في بابي العبادات والمعاملات لشيخنا د. عبد الله </w:t>
      </w:r>
      <w:r>
        <w:rPr>
          <w:rFonts w:hint="cs"/>
          <w:rtl/>
        </w:rPr>
        <w:t xml:space="preserve">العيسى- </w:t>
      </w:r>
      <w:r w:rsidRPr="00FB789D">
        <w:rPr>
          <w:rFonts w:hint="cs"/>
          <w:spacing w:val="-4"/>
          <w:rtl/>
        </w:rPr>
        <w:t>وصنيعه كصنيع ابن عبد السلام-؛ تطبيقات القواعد والضوابط للدكتور سعود الغديان، ص1193؛ القواعد الكبرى في الفقه الإسلامي للدكتور عبد الله العجلان، ص88؛ القواعد الفقهية الكبرى لشيخنا أ.د. صالح السدلان، ص514؛ المبادئ الفقهية، ص25؛ القواعد الفقهية للدعّاس، ص34،</w:t>
      </w:r>
      <w:r>
        <w:rPr>
          <w:rFonts w:hint="cs"/>
          <w:rtl/>
        </w:rPr>
        <w:t xml:space="preserve"> قاعدة 23؛ </w:t>
      </w:r>
      <w:r w:rsidRPr="00FB789D">
        <w:rPr>
          <w:rFonts w:hint="cs"/>
          <w:spacing w:val="-4"/>
          <w:rtl/>
        </w:rPr>
        <w:t>القواعد الفقهية للدكتور محمد الزحيلي، ص62؛ الدُّرر البهية في إيضاح القواعد الفقهية، ص98.</w:t>
      </w:r>
      <w:r>
        <w:rPr>
          <w:rFonts w:hint="cs"/>
          <w:rtl/>
        </w:rPr>
        <w:t xml:space="preserve">       </w:t>
      </w:r>
    </w:p>
    <w:p w:rsidR="00035BE3" w:rsidRDefault="00035BE3" w:rsidP="00C10469">
      <w:pPr>
        <w:pStyle w:val="a6"/>
        <w:ind w:left="422" w:firstLine="0"/>
        <w:rPr>
          <w:rtl/>
        </w:rPr>
      </w:pPr>
      <w:r>
        <w:rPr>
          <w:rFonts w:hint="cs"/>
          <w:b/>
          <w:bCs/>
          <w:rtl/>
        </w:rPr>
        <w:t>ومن كتب الأصول</w:t>
      </w:r>
      <w:r>
        <w:rPr>
          <w:rFonts w:hint="cs"/>
          <w:rtl/>
        </w:rPr>
        <w:t xml:space="preserve"> التي تعرضت للقاعدة :</w:t>
      </w:r>
    </w:p>
    <w:p w:rsidR="00035BE3" w:rsidRDefault="00035BE3" w:rsidP="00C10469">
      <w:pPr>
        <w:pStyle w:val="a6"/>
        <w:ind w:left="422" w:firstLine="0"/>
        <w:rPr>
          <w:spacing w:val="6"/>
          <w:rtl/>
        </w:rPr>
      </w:pPr>
      <w:r>
        <w:rPr>
          <w:rFonts w:hint="cs"/>
          <w:spacing w:val="6"/>
          <w:rtl/>
        </w:rPr>
        <w:t>روضة الناظر لابن قدامة، 3/865؛ إعلام الموقعين، 3/122؛ الإبهاج، 3/65؛ الـموافقات، 3/190، 361، 4/272؛ البحر المحيط، 5/220؛ شرح الكوكب المنير، 4/447؛ إرشاد الفحول، 2/193؛ مذكرة في أصول الفقه، ص315.</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2"/>
          <w:rtl/>
        </w:rPr>
      </w:pPr>
      <w:r>
        <w:rPr>
          <w:rFonts w:hint="cs"/>
          <w:spacing w:val="-2"/>
          <w:rtl/>
        </w:rPr>
        <w:t>مغني المحتاج، 1/39؛ كشاف القناع، 2/99؛ حاشية الدسوقي، 4/298؛ ردّ المحتار 2/511، 512، 6/10؛ حاشية الطحطاوي على مراقي الفلاح، 1/32.</w:t>
      </w:r>
    </w:p>
  </w:footnote>
  <w:footnote w:id="278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أشباه ابن نجيم) : </w:t>
      </w:r>
      <w:r>
        <w:rPr>
          <w:rFonts w:hint="eastAsia"/>
          <w:rtl/>
        </w:rPr>
        <w:t>«</w:t>
      </w:r>
      <w:r>
        <w:rPr>
          <w:rFonts w:hint="cs"/>
          <w:rtl/>
        </w:rPr>
        <w:t>تعارضت</w:t>
      </w:r>
      <w:r>
        <w:rPr>
          <w:rFonts w:hint="eastAsia"/>
          <w:rtl/>
        </w:rPr>
        <w:t>»</w:t>
      </w:r>
      <w:r>
        <w:rPr>
          <w:rFonts w:hint="cs"/>
          <w:rtl/>
        </w:rPr>
        <w:t>. وهذا الأفصح.</w:t>
      </w:r>
    </w:p>
  </w:footnote>
  <w:footnote w:id="278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51/أ من (أ).</w:t>
      </w:r>
    </w:p>
  </w:footnote>
  <w:footnote w:id="278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1/154.</w:t>
      </w:r>
    </w:p>
    <w:p w:rsidR="00035BE3" w:rsidRDefault="00035BE3" w:rsidP="00C10469">
      <w:pPr>
        <w:pStyle w:val="a6"/>
        <w:ind w:left="422" w:firstLine="0"/>
        <w:rPr>
          <w:spacing w:val="-4"/>
          <w:rtl/>
        </w:rPr>
      </w:pPr>
      <w:r>
        <w:rPr>
          <w:rFonts w:hint="cs"/>
          <w:b/>
          <w:bCs/>
          <w:spacing w:val="-4"/>
          <w:rtl/>
        </w:rPr>
        <w:t>والمراد بالكشف</w:t>
      </w:r>
      <w:r>
        <w:rPr>
          <w:rFonts w:hint="cs"/>
          <w:spacing w:val="-4"/>
          <w:rtl/>
        </w:rPr>
        <w:t xml:space="preserve"> : هو (كشف الأسرار) لعبد العزيز بن أحمد بن محمد البخاري الحنفي (ت730هـ).</w:t>
      </w:r>
    </w:p>
    <w:p w:rsidR="00035BE3" w:rsidRDefault="00035BE3" w:rsidP="00C10469">
      <w:pPr>
        <w:pStyle w:val="a6"/>
        <w:ind w:left="422" w:firstLine="0"/>
        <w:rPr>
          <w:rtl/>
        </w:rPr>
      </w:pPr>
      <w:r>
        <w:rPr>
          <w:rFonts w:hint="cs"/>
          <w:rtl/>
        </w:rPr>
        <w:t xml:space="preserve">وهو كتاب في أصول الفقه، شرح فيه مؤلفه أصول البزدوي، ورجا مؤلفه </w:t>
      </w:r>
      <w:r>
        <w:rPr>
          <w:rFonts w:hint="eastAsia"/>
          <w:rtl/>
        </w:rPr>
        <w:t>«</w:t>
      </w:r>
      <w:r>
        <w:rPr>
          <w:rFonts w:hint="cs"/>
          <w:rtl/>
        </w:rPr>
        <w:t>أن يكون كتابًا سبق عامّة الشروح ترتيباً وجمالاً، وفاق نظائره تحقيقًا وكمالاً</w:t>
      </w:r>
      <w:r>
        <w:rPr>
          <w:rFonts w:hint="eastAsia"/>
          <w:rtl/>
        </w:rPr>
        <w:t>»</w:t>
      </w:r>
      <w:r>
        <w:rPr>
          <w:rFonts w:hint="cs"/>
          <w:rtl/>
        </w:rPr>
        <w:t>.</w:t>
      </w:r>
    </w:p>
    <w:p w:rsidR="00035BE3" w:rsidRDefault="00035BE3" w:rsidP="00C10469">
      <w:pPr>
        <w:pStyle w:val="a6"/>
        <w:ind w:left="422" w:firstLine="0"/>
        <w:rPr>
          <w:spacing w:val="8"/>
          <w:rtl/>
        </w:rPr>
      </w:pPr>
      <w:r>
        <w:rPr>
          <w:rFonts w:hint="cs"/>
          <w:spacing w:val="8"/>
          <w:rtl/>
        </w:rPr>
        <w:t xml:space="preserve">وقد شهد له بذلك صاحب (كشف الظنون)، حيث قال : </w:t>
      </w:r>
      <w:r>
        <w:rPr>
          <w:rFonts w:hint="eastAsia"/>
          <w:spacing w:val="8"/>
          <w:rtl/>
        </w:rPr>
        <w:t>«</w:t>
      </w:r>
      <w:r>
        <w:rPr>
          <w:rFonts w:hint="cs"/>
          <w:spacing w:val="8"/>
          <w:rtl/>
        </w:rPr>
        <w:t>وشرحه أعظم الشروح، وأكثرها إفادة وبيانًا</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وللكتاب عدة طبعات قديمة وحديثة - وقد سبقت الإشارة إلى أهمها عند التعريف بأصول البزدوي، ص685-.</w:t>
      </w:r>
    </w:p>
    <w:p w:rsidR="00035BE3" w:rsidRDefault="00035BE3" w:rsidP="00C10469">
      <w:pPr>
        <w:pStyle w:val="a6"/>
        <w:ind w:left="422" w:firstLine="0"/>
        <w:rPr>
          <w:rtl/>
        </w:rPr>
      </w:pPr>
      <w:r>
        <w:rPr>
          <w:rFonts w:hint="cs"/>
          <w:rtl/>
        </w:rPr>
        <w:t>كشف الأسرار، 1/18؛ كشف الظنون، 1/112؛ وانظر في نسبة الكتاب إلى مـؤلفه : الجواهر المضية، 2/428؛ تـاج التراجم، ص127؛ الطبقات السنية، 4/345؛ الفـوائد البهية، ص94، الفتح المبين، 2/141؛ مرجع العلوم الإسلامية، ص627.</w:t>
      </w:r>
    </w:p>
  </w:footnote>
  <w:footnote w:id="279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ترك </w:t>
      </w:r>
      <w:r>
        <w:rPr>
          <w:rFonts w:hint="eastAsia"/>
          <w:rtl/>
        </w:rPr>
        <w:t>»</w:t>
      </w:r>
      <w:r>
        <w:rPr>
          <w:rFonts w:hint="cs"/>
          <w:rtl/>
        </w:rPr>
        <w:t>.</w:t>
      </w:r>
    </w:p>
  </w:footnote>
  <w:footnote w:id="279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هذا الحديث </w:t>
      </w:r>
      <w:r>
        <w:rPr>
          <w:rtl/>
        </w:rPr>
        <w:t>–</w:t>
      </w:r>
      <w:r>
        <w:rPr>
          <w:rFonts w:hint="cs"/>
          <w:rtl/>
        </w:rPr>
        <w:t xml:space="preserve"> وإن كان مذكورًا في (كشف الأسرار)- لم أقف عليه في كتب الحديث!.</w:t>
      </w:r>
      <w:r>
        <w:rPr>
          <w:rFonts w:hint="cs"/>
          <w:rtl/>
        </w:rPr>
        <w:tab/>
        <w:t xml:space="preserve">  </w:t>
      </w:r>
    </w:p>
    <w:p w:rsidR="00035BE3" w:rsidRPr="00B242FA" w:rsidRDefault="00035BE3" w:rsidP="00C10469">
      <w:pPr>
        <w:pStyle w:val="a6"/>
        <w:spacing w:line="480" w:lineRule="exact"/>
        <w:ind w:left="422" w:firstLine="0"/>
        <w:rPr>
          <w:spacing w:val="-4"/>
          <w:rtl/>
        </w:rPr>
      </w:pPr>
      <w:r>
        <w:rPr>
          <w:rFonts w:hint="cs"/>
          <w:spacing w:val="-2"/>
          <w:rtl/>
        </w:rPr>
        <w:t xml:space="preserve">لكن المعنى الذي استُدل بهذا الحديث عليه ثابت بأدلة أخر، أكثر صراحة ووضوحًا منه، منها الحديث الذي استدل به السيوطي وابن نجيم في أشباههما </w:t>
      </w:r>
      <w:r>
        <w:rPr>
          <w:spacing w:val="-2"/>
          <w:rtl/>
        </w:rPr>
        <w:t>–</w:t>
      </w:r>
      <w:r>
        <w:rPr>
          <w:rFonts w:hint="cs"/>
          <w:spacing w:val="-2"/>
          <w:rtl/>
        </w:rPr>
        <w:t xml:space="preserve"> في بداية شرحهما للقاعدة، 1/217؛ ص113- ولفظ هذا الحديث عند الإمام مسلم مرفوعًا: </w:t>
      </w:r>
      <w:r>
        <w:rPr>
          <w:rFonts w:hint="eastAsia"/>
          <w:spacing w:val="-2"/>
          <w:rtl/>
        </w:rPr>
        <w:t>«</w:t>
      </w:r>
      <w:r>
        <w:rPr>
          <w:rFonts w:hint="cs"/>
          <w:spacing w:val="-2"/>
          <w:rtl/>
        </w:rPr>
        <w:t xml:space="preserve">... </w:t>
      </w:r>
      <w:r>
        <w:rPr>
          <w:rFonts w:cs="DecoType Naskh" w:hint="cs"/>
          <w:spacing w:val="-2"/>
          <w:rtl/>
        </w:rPr>
        <w:t xml:space="preserve">ذروني ما تركتكم، فإنما هلك من كان قبلكم بكثرة </w:t>
      </w:r>
      <w:r w:rsidRPr="00B242FA">
        <w:rPr>
          <w:rFonts w:cs="DecoType Naskh" w:hint="cs"/>
          <w:spacing w:val="-4"/>
          <w:rtl/>
        </w:rPr>
        <w:t>سؤالهم واختلافهم على أنبيائهم، فإذا أمرتكم بشيء فأتوا منه ما استطعتم، وإذا نهيتكم عن شيء فدعوه</w:t>
      </w:r>
      <w:r w:rsidRPr="00B242FA">
        <w:rPr>
          <w:rFonts w:hint="eastAsia"/>
          <w:spacing w:val="-4"/>
          <w:rtl/>
        </w:rPr>
        <w:t>»</w:t>
      </w:r>
      <w:r w:rsidRPr="00B242FA">
        <w:rPr>
          <w:rFonts w:hint="cs"/>
          <w:spacing w:val="-4"/>
          <w:rtl/>
        </w:rPr>
        <w:t>.</w:t>
      </w:r>
    </w:p>
    <w:p w:rsidR="00035BE3" w:rsidRDefault="00035BE3" w:rsidP="00C10469">
      <w:pPr>
        <w:pStyle w:val="a6"/>
        <w:ind w:left="422" w:firstLine="0"/>
        <w:rPr>
          <w:rtl/>
          <w:lang w:val="en-US" w:bidi="ar-AE"/>
        </w:rPr>
      </w:pPr>
      <w:r>
        <w:rPr>
          <w:rFonts w:hint="cs"/>
          <w:rtl/>
        </w:rPr>
        <w:t xml:space="preserve">أخرجه مسلم، كتاب الحج، باب فرض الحج مرّة في العمر، 2/975، ح1338؛ والبخاري بنحوه، كتاب الاعتصام بالكتاب والسنة، باب الاقتداء بسنة رسول الله </w:t>
      </w:r>
      <w:r>
        <w:rPr>
          <w:rFonts w:ascii="AGA Arabesque" w:hAnsi="AGA Arabesque"/>
          <w:sz w:val="36"/>
          <w:szCs w:val="36"/>
          <w:lang w:val="en-US"/>
        </w:rPr>
        <w:t></w:t>
      </w:r>
      <w:r>
        <w:rPr>
          <w:rFonts w:hint="cs"/>
          <w:rtl/>
          <w:lang w:val="en-US" w:bidi="ar-AE"/>
        </w:rPr>
        <w:t xml:space="preserve"> ، 6/2658، ح6858.</w:t>
      </w:r>
    </w:p>
    <w:p w:rsidR="00035BE3" w:rsidRDefault="00035BE3" w:rsidP="00C10469">
      <w:pPr>
        <w:pStyle w:val="a6"/>
        <w:ind w:left="422" w:firstLine="0"/>
        <w:rPr>
          <w:rtl/>
          <w:lang w:val="en-US"/>
        </w:rPr>
      </w:pPr>
      <w:r>
        <w:rPr>
          <w:rFonts w:hint="cs"/>
          <w:rtl/>
          <w:lang w:val="en-US" w:bidi="ar-AE"/>
        </w:rPr>
        <w:t xml:space="preserve">كلاهما من حديث أبي هريرة </w:t>
      </w:r>
      <w:r>
        <w:rPr>
          <w:rFonts w:ascii="AGA Arabesque" w:hAnsi="AGA Arabesque"/>
          <w:sz w:val="36"/>
          <w:szCs w:val="36"/>
          <w:lang w:val="en-US"/>
        </w:rPr>
        <w:t></w:t>
      </w:r>
      <w:r>
        <w:rPr>
          <w:rFonts w:hint="cs"/>
          <w:rtl/>
          <w:lang w:val="en-US" w:bidi="ar-AE"/>
        </w:rPr>
        <w:t>.</w:t>
      </w:r>
    </w:p>
  </w:footnote>
  <w:footnote w:id="279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للكبائر</w:t>
      </w:r>
      <w:r>
        <w:rPr>
          <w:rFonts w:hint="eastAsia"/>
          <w:rtl/>
        </w:rPr>
        <w:t>»</w:t>
      </w:r>
      <w:r>
        <w:rPr>
          <w:rFonts w:hint="cs"/>
          <w:rtl/>
        </w:rPr>
        <w:t>.</w:t>
      </w:r>
    </w:p>
  </w:footnote>
  <w:footnote w:id="279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ما ذكره الزيلعي والبزازي</w:t>
      </w:r>
      <w:r>
        <w:rPr>
          <w:rFonts w:hint="eastAsia"/>
          <w:rtl/>
        </w:rPr>
        <w:t>»</w:t>
      </w:r>
      <w:r>
        <w:rPr>
          <w:rFonts w:hint="cs"/>
          <w:rtl/>
        </w:rPr>
        <w:t>، وكذلك في (د)، ولكن بحذف واو العطف بينهما. علمًا بأن (البزازي) مصححة في هامش (أ) وليس في صلبها. إلا أنها مثبتة في صلب (جـ) و(هـ) و(و) وفي مصدر القاعدة (وهو أشباه ابن نجيم).</w:t>
      </w:r>
    </w:p>
    <w:p w:rsidR="00035BE3" w:rsidRDefault="00035BE3" w:rsidP="00C10469">
      <w:pPr>
        <w:pStyle w:val="a6"/>
        <w:ind w:left="422" w:firstLine="0"/>
        <w:rPr>
          <w:spacing w:val="-10"/>
          <w:sz w:val="28"/>
          <w:szCs w:val="28"/>
          <w:rtl/>
        </w:rPr>
      </w:pPr>
      <w:r>
        <w:rPr>
          <w:rFonts w:hint="cs"/>
          <w:b/>
          <w:bCs/>
          <w:spacing w:val="-10"/>
          <w:sz w:val="28"/>
          <w:szCs w:val="28"/>
          <w:rtl/>
        </w:rPr>
        <w:t>والبزازي</w:t>
      </w:r>
      <w:r>
        <w:rPr>
          <w:rFonts w:hint="cs"/>
          <w:spacing w:val="-10"/>
          <w:sz w:val="28"/>
          <w:szCs w:val="28"/>
          <w:rtl/>
        </w:rPr>
        <w:t xml:space="preserve"> : هو محمد بن محمد بن شهاب بن يوسف الكردري البريقيني الخوارزمي الشهير بـ (البزَّازي) (ت 827هـ).</w:t>
      </w:r>
    </w:p>
    <w:p w:rsidR="00035BE3" w:rsidRDefault="00035BE3" w:rsidP="00C10469">
      <w:pPr>
        <w:pStyle w:val="a6"/>
        <w:ind w:left="422" w:firstLine="0"/>
        <w:rPr>
          <w:rtl/>
        </w:rPr>
      </w:pPr>
      <w:r>
        <w:rPr>
          <w:rFonts w:hint="cs"/>
          <w:rtl/>
        </w:rPr>
        <w:t>وهو فقيه أصولي حنفي، من مصنفاته : الجامع الوجيز المشهور بـ (الفتاوي البزازية)، شرح مختصر القُدُوري، مناقب الإمام أبي حنيفة، آداب القضاء.</w:t>
      </w:r>
    </w:p>
    <w:p w:rsidR="00035BE3" w:rsidRDefault="00035BE3" w:rsidP="00C10469">
      <w:pPr>
        <w:pStyle w:val="a6"/>
        <w:ind w:left="422" w:firstLine="0"/>
        <w:rPr>
          <w:rtl/>
        </w:rPr>
      </w:pPr>
      <w:r>
        <w:rPr>
          <w:rFonts w:hint="cs"/>
          <w:rtl/>
        </w:rPr>
        <w:t>انظر : كشف الظنون، 1/242، 2/1229، 1633، 1681، 1837؛ الفوائد البهية، ص187-188؛ هدية العارفين، 2/185.</w:t>
      </w:r>
    </w:p>
  </w:footnote>
  <w:footnote w:id="279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فتاويه </w:t>
      </w:r>
      <w:r>
        <w:rPr>
          <w:rFonts w:hint="eastAsia"/>
          <w:rtl/>
        </w:rPr>
        <w:t>»</w:t>
      </w:r>
      <w:r>
        <w:rPr>
          <w:rFonts w:hint="cs"/>
          <w:rtl/>
        </w:rPr>
        <w:t>.</w:t>
      </w:r>
    </w:p>
  </w:footnote>
  <w:footnote w:id="279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سرّة </w:t>
      </w:r>
      <w:r>
        <w:rPr>
          <w:rFonts w:hint="eastAsia"/>
          <w:rtl/>
        </w:rPr>
        <w:t>»</w:t>
      </w:r>
      <w:r>
        <w:rPr>
          <w:rFonts w:hint="cs"/>
          <w:rtl/>
        </w:rPr>
        <w:t>.</w:t>
      </w:r>
    </w:p>
  </w:footnote>
  <w:footnote w:id="279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32/أ من (د).</w:t>
      </w:r>
    </w:p>
  </w:footnote>
  <w:footnote w:id="279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و(جـ): </w:t>
      </w:r>
      <w:r>
        <w:rPr>
          <w:rFonts w:hint="eastAsia"/>
          <w:rtl/>
        </w:rPr>
        <w:t>«</w:t>
      </w:r>
      <w:r>
        <w:rPr>
          <w:rFonts w:hint="cs"/>
          <w:rtl/>
        </w:rPr>
        <w:t>يقتضي</w:t>
      </w:r>
      <w:r>
        <w:rPr>
          <w:rFonts w:hint="eastAsia"/>
          <w:rtl/>
        </w:rPr>
        <w:t>»</w:t>
      </w:r>
      <w:r>
        <w:rPr>
          <w:rFonts w:hint="cs"/>
          <w:rtl/>
        </w:rPr>
        <w:t xml:space="preserve"> (بزيادة الياء)، وفي (أ) يحتمل الأمرين. والـمُثبت من (د) هو الصحيح.</w:t>
      </w:r>
    </w:p>
  </w:footnote>
  <w:footnote w:id="279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بالتكرار</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ومسألة : </w:t>
      </w:r>
      <w:r>
        <w:rPr>
          <w:rFonts w:hint="cs"/>
          <w:b/>
          <w:bCs/>
          <w:rtl/>
        </w:rPr>
        <w:t>هل يقتضي الأمر التكرار؟</w:t>
      </w:r>
      <w:r>
        <w:rPr>
          <w:rFonts w:hint="cs"/>
          <w:rtl/>
        </w:rPr>
        <w:t xml:space="preserve"> من المسائل الأصولية الخلافية، وقد سبق أن أفرد المؤلف لها قاعدة مستقلة، وذلك ص400 (ل20/أ)، قاعدة 47، فراجعها إن شئت.</w:t>
      </w:r>
    </w:p>
    <w:p w:rsidR="00035BE3" w:rsidRDefault="00035BE3" w:rsidP="00C10469">
      <w:pPr>
        <w:pStyle w:val="a6"/>
        <w:ind w:left="422" w:firstLine="0"/>
        <w:rPr>
          <w:spacing w:val="6"/>
          <w:rtl/>
        </w:rPr>
      </w:pPr>
      <w:r>
        <w:rPr>
          <w:rFonts w:hint="cs"/>
          <w:spacing w:val="6"/>
          <w:rtl/>
        </w:rPr>
        <w:t xml:space="preserve">أما مسألة: </w:t>
      </w:r>
      <w:r>
        <w:rPr>
          <w:rFonts w:hint="cs"/>
          <w:b/>
          <w:bCs/>
          <w:spacing w:val="6"/>
          <w:rtl/>
        </w:rPr>
        <w:t>هل يقتضي النهي التكرار؟</w:t>
      </w:r>
      <w:r>
        <w:rPr>
          <w:rFonts w:hint="cs"/>
          <w:spacing w:val="6"/>
          <w:rtl/>
        </w:rPr>
        <w:t xml:space="preserve"> فالمشهور والذي عليه أكثر العلماء أن النهي يقتضي التكرار؛ بل حكى الآمدي اتفاق العقلاء على ذلك، ووصف المخالفين بأنهم شاذون فقال: </w:t>
      </w:r>
      <w:r>
        <w:rPr>
          <w:rFonts w:hint="eastAsia"/>
          <w:spacing w:val="6"/>
          <w:rtl/>
        </w:rPr>
        <w:t>«</w:t>
      </w:r>
      <w:r>
        <w:rPr>
          <w:rFonts w:hint="cs"/>
          <w:spacing w:val="6"/>
          <w:rtl/>
        </w:rPr>
        <w:t>اتفق العقلاء على أن النهي عن الفعل يقتضي الانتهاء عنه دائمًا، خلافًا لبعض الشاذين</w:t>
      </w:r>
      <w:r>
        <w:rPr>
          <w:rFonts w:hint="eastAsia"/>
          <w:spacing w:val="6"/>
          <w:rtl/>
        </w:rPr>
        <w:t>»</w:t>
      </w:r>
      <w:r>
        <w:rPr>
          <w:rFonts w:hint="cs"/>
          <w:spacing w:val="6"/>
          <w:rtl/>
        </w:rPr>
        <w:t xml:space="preserve">- الإحكام للآمدي، 2/215؛ </w:t>
      </w:r>
      <w:r>
        <w:rPr>
          <w:rFonts w:hint="cs"/>
          <w:spacing w:val="4"/>
          <w:rtl/>
        </w:rPr>
        <w:t xml:space="preserve">وانظر: شرح تنقيح الفصول، ص168؛ شرح مختصر الروضة، </w:t>
      </w:r>
      <w:r w:rsidRPr="00465D16">
        <w:rPr>
          <w:rFonts w:hint="cs"/>
          <w:rtl/>
        </w:rPr>
        <w:t xml:space="preserve">2/430، 445؛ التحرير وشرحه: تيسير التحرير، 1/376؛ شرح الكوكب المنير، 3/96؛ </w:t>
      </w:r>
      <w:r>
        <w:rPr>
          <w:rFonts w:hint="cs"/>
          <w:spacing w:val="6"/>
          <w:rtl/>
        </w:rPr>
        <w:t xml:space="preserve">مسلم </w:t>
      </w:r>
      <w:r w:rsidRPr="00465D16">
        <w:rPr>
          <w:rFonts w:hint="cs"/>
          <w:rtl/>
        </w:rPr>
        <w:t>الثبوت وشرحه: فواتح الرحموت، 1/406؛ نزهة الخاطر العاطر، 2/111؛ مذكرة في أصول الفقه للشنقيطي، ص241؛ وانظر أيضًا : المحصول، 1/338- فإن صاحبه لا يرى أنه يفيد</w:t>
      </w:r>
      <w:r>
        <w:rPr>
          <w:rFonts w:hint="cs"/>
          <w:spacing w:val="6"/>
          <w:rtl/>
        </w:rPr>
        <w:t xml:space="preserve"> التكرار-.</w:t>
      </w:r>
    </w:p>
    <w:p w:rsidR="00035BE3" w:rsidRDefault="00035BE3" w:rsidP="00C10469">
      <w:pPr>
        <w:pStyle w:val="a6"/>
        <w:ind w:left="422" w:firstLine="0"/>
        <w:rPr>
          <w:spacing w:val="8"/>
          <w:rtl/>
        </w:rPr>
      </w:pPr>
      <w:r>
        <w:rPr>
          <w:rFonts w:hint="cs"/>
          <w:b/>
          <w:bCs/>
          <w:spacing w:val="8"/>
          <w:rtl/>
        </w:rPr>
        <w:t>والنص المحال إلى البزازية</w:t>
      </w:r>
      <w:r>
        <w:rPr>
          <w:rFonts w:hint="cs"/>
          <w:spacing w:val="8"/>
          <w:rtl/>
        </w:rPr>
        <w:t xml:space="preserve"> : مذكور فيها 1/14، مع اختلاف في عدد من الألفاظ؛ ولعل السبب أن المؤلف لم ينقل من (البزازية) مباشرة؛ بل بواسطة أشباه ابن نجيم؛ للتَّقَارب الشديد بينهما، ولكون الأشباه مصدر المؤلف الرئيس في جميع القاعدة.</w:t>
      </w:r>
    </w:p>
    <w:p w:rsidR="00035BE3" w:rsidRDefault="00035BE3" w:rsidP="00C10469">
      <w:pPr>
        <w:pStyle w:val="a6"/>
        <w:ind w:left="422" w:firstLine="0"/>
        <w:rPr>
          <w:spacing w:val="2"/>
          <w:rtl/>
        </w:rPr>
      </w:pPr>
      <w:r>
        <w:rPr>
          <w:rFonts w:hint="cs"/>
          <w:rtl/>
        </w:rPr>
        <w:t xml:space="preserve">وتمام عبارة (البزازية) - في معرض حديثه عن الاستنجاء-: </w:t>
      </w:r>
      <w:r>
        <w:rPr>
          <w:rFonts w:hint="eastAsia"/>
          <w:rtl/>
        </w:rPr>
        <w:t>«</w:t>
      </w:r>
      <w:r>
        <w:rPr>
          <w:rFonts w:hint="cs"/>
          <w:rtl/>
        </w:rPr>
        <w:t>ومن لم يحدث منه [ولعل هذا تصحيف من قوله : (ومن لم يجد سترة)] تركه، ولوعلى شط نهر؛ لأن النهي راجح على الأمر، حتى استوعب النهي الأزمان ولم يقتض الأمر التكرار</w:t>
      </w:r>
      <w:r>
        <w:rPr>
          <w:rFonts w:hint="eastAsia"/>
          <w:rtl/>
        </w:rPr>
        <w:t>»</w:t>
      </w:r>
      <w:r>
        <w:rPr>
          <w:rFonts w:hint="cs"/>
          <w:rtl/>
        </w:rPr>
        <w:t>.</w:t>
      </w:r>
    </w:p>
  </w:footnote>
  <w:footnote w:id="279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39/ب من (جـ).</w:t>
      </w:r>
    </w:p>
  </w:footnote>
  <w:footnote w:id="280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ونكره </w:t>
      </w:r>
      <w:r>
        <w:rPr>
          <w:rFonts w:hint="eastAsia"/>
          <w:rtl/>
        </w:rPr>
        <w:t>»</w:t>
      </w:r>
      <w:r>
        <w:rPr>
          <w:rFonts w:hint="cs"/>
          <w:rtl/>
        </w:rPr>
        <w:t>.</w:t>
      </w:r>
    </w:p>
  </w:footnote>
  <w:footnote w:id="280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وتحليل </w:t>
      </w:r>
      <w:r>
        <w:rPr>
          <w:rFonts w:hint="eastAsia"/>
          <w:rtl/>
        </w:rPr>
        <w:t>»</w:t>
      </w:r>
      <w:r>
        <w:rPr>
          <w:rFonts w:hint="cs"/>
          <w:rtl/>
        </w:rPr>
        <w:t>. والصحيح ما تمّ إثباته من (ب) و(د).</w:t>
      </w:r>
    </w:p>
  </w:footnote>
  <w:footnote w:id="280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وذلك في صدر شرحه للقاعدة، ص692 (ل51/أ).</w:t>
      </w:r>
    </w:p>
  </w:footnote>
  <w:footnote w:id="280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اختلاف</w:t>
      </w:r>
      <w:r>
        <w:rPr>
          <w:rFonts w:hint="eastAsia"/>
          <w:rtl/>
        </w:rPr>
        <w:t>»</w:t>
      </w:r>
      <w:r>
        <w:rPr>
          <w:rFonts w:hint="cs"/>
          <w:rtl/>
        </w:rPr>
        <w:t>.</w:t>
      </w:r>
    </w:p>
  </w:footnote>
  <w:footnote w:id="280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الشرط</w:t>
      </w:r>
      <w:r>
        <w:rPr>
          <w:rFonts w:hint="eastAsia"/>
          <w:rtl/>
        </w:rPr>
        <w:t>»</w:t>
      </w:r>
      <w:r>
        <w:rPr>
          <w:rFonts w:hint="cs"/>
          <w:rtl/>
        </w:rPr>
        <w:t>. وما تمَّ إثباته من (ب) هو المناسب، وهو الموافق لمصدر هذه العبارة (وهو أشباه ابن نجيم).</w:t>
      </w:r>
    </w:p>
  </w:footnote>
  <w:footnote w:id="280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أشباه ابن نجيم والسيوطي : </w:t>
      </w:r>
      <w:r>
        <w:rPr>
          <w:rFonts w:hint="eastAsia"/>
          <w:rtl/>
        </w:rPr>
        <w:t>«</w:t>
      </w:r>
      <w:r>
        <w:rPr>
          <w:rFonts w:hint="cs"/>
          <w:rtl/>
        </w:rPr>
        <w:t>أو الستر</w:t>
      </w:r>
      <w:r>
        <w:rPr>
          <w:rFonts w:hint="eastAsia"/>
          <w:rtl/>
        </w:rPr>
        <w:t>»</w:t>
      </w:r>
      <w:r>
        <w:rPr>
          <w:rFonts w:hint="cs"/>
          <w:rtl/>
        </w:rPr>
        <w:t>. (أي ستر العورة)، ولعل هذا الأولى؛ لكي لا يتوهم أنّ المراد بالشرط هنا هو السترة التي تكون بين يدي المصلي.</w:t>
      </w:r>
    </w:p>
  </w:footnote>
  <w:footnote w:id="280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زيادة </w:t>
      </w:r>
      <w:r>
        <w:rPr>
          <w:rFonts w:hint="eastAsia"/>
          <w:rtl/>
        </w:rPr>
        <w:t>«</w:t>
      </w:r>
      <w:r>
        <w:rPr>
          <w:rFonts w:hint="cs"/>
          <w:rtl/>
        </w:rPr>
        <w:t xml:space="preserve"> ترك </w:t>
      </w:r>
      <w:r>
        <w:rPr>
          <w:rFonts w:hint="eastAsia"/>
          <w:rtl/>
        </w:rPr>
        <w:t>»</w:t>
      </w:r>
      <w:r>
        <w:rPr>
          <w:rFonts w:hint="cs"/>
          <w:rtl/>
        </w:rPr>
        <w:t>.</w:t>
      </w:r>
    </w:p>
  </w:footnote>
  <w:footnote w:id="280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33/ب من (ب).</w:t>
      </w:r>
    </w:p>
  </w:footnote>
  <w:footnote w:id="280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زيادة من (ب) و(د)، وهي زيادة لا يستقيم الكلام بدونها إلا إذا كانت الكلمة التي تليها هي (الإخلال) - كما في أشباه ابن نجيم والسيوطي-.</w:t>
      </w:r>
    </w:p>
  </w:footnote>
  <w:footnote w:id="280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الأقوال</w:t>
      </w:r>
      <w:r>
        <w:rPr>
          <w:rFonts w:hint="eastAsia"/>
          <w:rtl/>
        </w:rPr>
        <w:t>»</w:t>
      </w:r>
      <w:r>
        <w:rPr>
          <w:rFonts w:hint="cs"/>
          <w:rtl/>
        </w:rPr>
        <w:t>.</w:t>
      </w:r>
    </w:p>
  </w:footnote>
  <w:footnote w:id="281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مجربة </w:t>
      </w:r>
      <w:r>
        <w:rPr>
          <w:rFonts w:hint="eastAsia"/>
          <w:rtl/>
        </w:rPr>
        <w:t>»</w:t>
      </w:r>
      <w:r>
        <w:rPr>
          <w:rFonts w:hint="cs"/>
          <w:rtl/>
        </w:rPr>
        <w:t>.</w:t>
      </w:r>
    </w:p>
  </w:footnote>
  <w:footnote w:id="281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51/ب من (أ).</w:t>
      </w:r>
    </w:p>
  </w:footnote>
  <w:footnote w:id="2812">
    <w:p w:rsidR="00035BE3" w:rsidRDefault="00035BE3" w:rsidP="00C10469">
      <w:pPr>
        <w:pStyle w:val="a8"/>
        <w:bidi/>
        <w:ind w:left="422" w:right="0" w:hanging="425"/>
        <w:rPr>
          <w:spacing w:val="-8"/>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BE6733">
        <w:rPr>
          <w:rFonts w:hint="cs"/>
          <w:rtl/>
        </w:rPr>
        <w:t xml:space="preserve">سبقت الإشارة مرارًا إلى أن جميع المعـاني المذكورة في شرح القاعدة مذكورة أيـضًا في أشـباه </w:t>
      </w:r>
      <w:r>
        <w:rPr>
          <w:rtl/>
        </w:rPr>
        <w:br/>
      </w:r>
      <w:r w:rsidRPr="00BE6733">
        <w:rPr>
          <w:rFonts w:hint="cs"/>
          <w:rtl/>
        </w:rPr>
        <w:t>ابن نجيـم -ص113-114- كما أن كثيرًا من المعاني التي ذكرها ابن نجيم مذكورة في أشباه السيوطي -1/217-218-.</w:t>
      </w:r>
    </w:p>
  </w:footnote>
  <w:footnote w:id="281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 (د) : </w:t>
      </w:r>
      <w:r>
        <w:rPr>
          <w:rFonts w:hint="eastAsia"/>
          <w:rtl/>
        </w:rPr>
        <w:t>«</w:t>
      </w:r>
      <w:r>
        <w:rPr>
          <w:rFonts w:hint="cs"/>
          <w:rtl/>
        </w:rPr>
        <w:t>مسألة</w:t>
      </w:r>
      <w:r>
        <w:rPr>
          <w:rFonts w:hint="eastAsia"/>
          <w:rtl/>
        </w:rPr>
        <w:t>»</w:t>
      </w:r>
      <w:r>
        <w:rPr>
          <w:rFonts w:hint="cs"/>
          <w:rtl/>
        </w:rPr>
        <w:t>.</w:t>
      </w:r>
    </w:p>
  </w:footnote>
  <w:footnote w:id="281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 (ب) و (جـ) و (د) : </w:t>
      </w:r>
      <w:r>
        <w:rPr>
          <w:rFonts w:hint="eastAsia"/>
          <w:rtl/>
        </w:rPr>
        <w:t>«</w:t>
      </w:r>
      <w:r>
        <w:rPr>
          <w:rFonts w:hint="cs"/>
          <w:rtl/>
        </w:rPr>
        <w:t>الخمسة</w:t>
      </w:r>
      <w:r>
        <w:rPr>
          <w:rFonts w:hint="eastAsia"/>
          <w:rtl/>
        </w:rPr>
        <w:t>»</w:t>
      </w:r>
      <w:r>
        <w:rPr>
          <w:rFonts w:hint="cs"/>
          <w:rtl/>
        </w:rPr>
        <w:t>. والصحيح ما تمّ إثباته من (هـ) و (و).</w:t>
      </w:r>
    </w:p>
    <w:p w:rsidR="00035BE3" w:rsidRDefault="00035BE3" w:rsidP="00C10469">
      <w:pPr>
        <w:pStyle w:val="a6"/>
        <w:spacing w:line="440" w:lineRule="exact"/>
        <w:ind w:left="422" w:firstLine="0"/>
        <w:rPr>
          <w:b/>
          <w:bCs/>
          <w:rtl/>
        </w:rPr>
      </w:pPr>
      <w:r>
        <w:rPr>
          <w:rFonts w:hint="cs"/>
          <w:b/>
          <w:bCs/>
          <w:rtl/>
        </w:rPr>
        <w:t xml:space="preserve">ومعنى القاعدة : </w:t>
      </w:r>
    </w:p>
    <w:p w:rsidR="00035BE3" w:rsidRDefault="00035BE3" w:rsidP="00C10469">
      <w:pPr>
        <w:pStyle w:val="a6"/>
        <w:spacing w:line="440" w:lineRule="exact"/>
        <w:ind w:left="422" w:firstLine="0"/>
        <w:rPr>
          <w:rtl/>
        </w:rPr>
      </w:pPr>
      <w:r>
        <w:rPr>
          <w:rFonts w:hint="cs"/>
          <w:rtl/>
        </w:rPr>
        <w:t>أن دفع المدعى عليه للدعوى صحيح،</w:t>
      </w:r>
      <w:r>
        <w:rPr>
          <w:rFonts w:hint="cs"/>
          <w:b/>
          <w:bCs/>
          <w:rtl/>
        </w:rPr>
        <w:t xml:space="preserve"> </w:t>
      </w:r>
      <w:r>
        <w:rPr>
          <w:rFonts w:hint="cs"/>
          <w:rtl/>
        </w:rPr>
        <w:t>حتى ولو كان ذلك بعد صدور الحكم من القاضي، إلا إذا كانت الدعوى تتضمن صورة من صور المسألة المعروفة بالـمُخَمَّسة.</w:t>
      </w:r>
    </w:p>
    <w:p w:rsidR="00035BE3" w:rsidRDefault="00035BE3" w:rsidP="00C10469">
      <w:pPr>
        <w:pStyle w:val="a6"/>
        <w:spacing w:line="440" w:lineRule="exact"/>
        <w:ind w:left="422" w:firstLine="0"/>
        <w:rPr>
          <w:rtl/>
        </w:rPr>
      </w:pPr>
      <w:r>
        <w:rPr>
          <w:rFonts w:hint="cs"/>
          <w:rtl/>
        </w:rPr>
        <w:t xml:space="preserve">وقد أشار إلى ذلك ابن نجيم في أشباهه -ص254- حيث قال : </w:t>
      </w:r>
      <w:r>
        <w:rPr>
          <w:rFonts w:hint="eastAsia"/>
          <w:rtl/>
        </w:rPr>
        <w:t>«</w:t>
      </w:r>
      <w:r>
        <w:rPr>
          <w:rFonts w:hint="cs"/>
          <w:rtl/>
        </w:rPr>
        <w:t>دفع الدعوى صحيح، وكذا دفع الدفع، وما زاد عليه يصح، وهو المختار. وكما يصح الدفع قبل إقامة البينة : يصح بعدها. وكما يصح قبل الحكم : يصح بعده إلا في المسألة الـمخمسة</w:t>
      </w:r>
      <w:r>
        <w:rPr>
          <w:rFonts w:hint="eastAsia"/>
          <w:rtl/>
        </w:rPr>
        <w:t>»</w:t>
      </w:r>
      <w:r>
        <w:rPr>
          <w:rFonts w:hint="cs"/>
          <w:rtl/>
        </w:rPr>
        <w:t>. وبعد ذلك بسطور ذكر نصّ القاعدة التي أوردها المؤلف. وانظر : رد المحتار لابن عابدين، 11/659- فقد نقل الكلام السابق عن ابن نجيم؛ وانظر فيما يتعلق بالدفع بعد الحكم : البحر الرائق وحاشيته : منحة الخالق، 7/230، 231.</w:t>
      </w:r>
    </w:p>
    <w:p w:rsidR="00035BE3" w:rsidRDefault="00035BE3" w:rsidP="00C10469">
      <w:pPr>
        <w:pStyle w:val="a6"/>
        <w:spacing w:line="440" w:lineRule="exact"/>
        <w:ind w:left="422" w:firstLine="0"/>
        <w:rPr>
          <w:rtl/>
        </w:rPr>
      </w:pPr>
      <w:r>
        <w:rPr>
          <w:rFonts w:hint="cs"/>
          <w:b/>
          <w:bCs/>
          <w:rtl/>
        </w:rPr>
        <w:t>والمسألة المخمّسة</w:t>
      </w:r>
      <w:r>
        <w:rPr>
          <w:rFonts w:hint="cs"/>
          <w:rtl/>
        </w:rPr>
        <w:t xml:space="preserve"> : من المسائل التي يكثر ورودها في كتب الفقه الحنفي، وكما تسمى بذلك تسمّى أيضًا بمخمسة كتاب الدعوى.</w:t>
      </w:r>
    </w:p>
    <w:p w:rsidR="00035BE3" w:rsidRDefault="00035BE3" w:rsidP="00C10469">
      <w:pPr>
        <w:pStyle w:val="a6"/>
        <w:spacing w:line="440" w:lineRule="exact"/>
        <w:ind w:left="422" w:firstLine="0"/>
        <w:rPr>
          <w:rtl/>
        </w:rPr>
      </w:pPr>
      <w:r>
        <w:rPr>
          <w:rFonts w:hint="cs"/>
          <w:rtl/>
        </w:rPr>
        <w:t xml:space="preserve"> وقد بيّن صاحب (كشاف اصطلاحات الفنون) -2/32- المراد منها فقال : </w:t>
      </w:r>
      <w:r>
        <w:rPr>
          <w:rFonts w:hint="eastAsia"/>
          <w:rtl/>
        </w:rPr>
        <w:t>«</w:t>
      </w:r>
      <w:r>
        <w:rPr>
          <w:rFonts w:hint="cs"/>
          <w:rtl/>
        </w:rPr>
        <w:t>مخمسة كتاب الدعوى عند الفقهاء : اسم لمسألة مشتملة على خمس مسائل مخصوصة مذكورة في كتاب الدعوى. وهي قولهم : سقط دعوى الملك المطلق إن برهن ذو اليد أن المدعى به وديعة، أو رهن، أو مؤجر، أو مغصوب</w:t>
      </w:r>
      <w:r>
        <w:rPr>
          <w:rFonts w:hint="eastAsia"/>
          <w:rtl/>
        </w:rPr>
        <w:t>»</w:t>
      </w:r>
      <w:r>
        <w:rPr>
          <w:rFonts w:hint="cs"/>
          <w:rtl/>
        </w:rPr>
        <w:t xml:space="preserve"> (ويلحظ أنه لم يذكر الصورة الخامسة وهي الإعارة).</w:t>
      </w:r>
    </w:p>
    <w:p w:rsidR="00035BE3" w:rsidRDefault="00035BE3" w:rsidP="00C10469">
      <w:pPr>
        <w:pStyle w:val="a6"/>
        <w:spacing w:line="440" w:lineRule="exact"/>
        <w:ind w:left="422" w:firstLine="0"/>
        <w:rPr>
          <w:rtl/>
        </w:rPr>
      </w:pPr>
      <w:r>
        <w:rPr>
          <w:rFonts w:hint="cs"/>
          <w:rtl/>
        </w:rPr>
        <w:t>وممّا يزيدها وضوحًا بيان سبب تسميتهم لها بالمخمسة؛ إذا ذكروا أنها تسمى بذلك لأحد أمرين :</w:t>
      </w:r>
    </w:p>
    <w:p w:rsidR="00035BE3" w:rsidRDefault="00035BE3" w:rsidP="00C10469">
      <w:pPr>
        <w:pStyle w:val="a6"/>
        <w:spacing w:line="440" w:lineRule="exact"/>
        <w:ind w:left="422" w:firstLine="0"/>
        <w:rPr>
          <w:rtl/>
        </w:rPr>
      </w:pPr>
      <w:r>
        <w:rPr>
          <w:rFonts w:hint="cs"/>
          <w:b/>
          <w:bCs/>
          <w:rtl/>
        </w:rPr>
        <w:t xml:space="preserve">الأول </w:t>
      </w:r>
      <w:r>
        <w:rPr>
          <w:rFonts w:hint="cs"/>
          <w:rtl/>
        </w:rPr>
        <w:t>: لأن صورها خمس : وديعة وإجارة وإعارة ورهن وغصب -والمثال الذي سيمثل به المؤلف للقاعدة يُعدُّ مثالاً للصورة الأولى وهي الوديعة-.</w:t>
      </w:r>
    </w:p>
    <w:p w:rsidR="00035BE3" w:rsidRDefault="00035BE3" w:rsidP="00C10469">
      <w:pPr>
        <w:pStyle w:val="a6"/>
        <w:spacing w:line="440" w:lineRule="exact"/>
        <w:ind w:left="422" w:firstLine="0"/>
        <w:rPr>
          <w:rtl/>
        </w:rPr>
      </w:pPr>
      <w:r>
        <w:rPr>
          <w:rFonts w:hint="cs"/>
          <w:b/>
          <w:bCs/>
          <w:rtl/>
        </w:rPr>
        <w:t>الثاني</w:t>
      </w:r>
      <w:r>
        <w:rPr>
          <w:rFonts w:hint="cs"/>
          <w:rtl/>
        </w:rPr>
        <w:t xml:space="preserve"> : لأن فيها خمسة أقوال -مبسوطة في كتبهم-.</w:t>
      </w:r>
    </w:p>
    <w:p w:rsidR="00035BE3" w:rsidRDefault="00035BE3" w:rsidP="00C10469">
      <w:pPr>
        <w:pStyle w:val="a6"/>
        <w:spacing w:line="440" w:lineRule="exact"/>
        <w:ind w:left="422" w:firstLine="0"/>
        <w:rPr>
          <w:rtl/>
        </w:rPr>
      </w:pPr>
      <w:r>
        <w:rPr>
          <w:rFonts w:hint="cs"/>
          <w:rtl/>
        </w:rPr>
        <w:t>والذي رجّحه صاحب ( جامع الفصوليين ) وابن نجيم : الأمر الثاني؛ لأن الأمر الأول غير منضبط؛ بسبب عدم انحصار الصور في الخمس المذكورة.</w:t>
      </w:r>
    </w:p>
    <w:p w:rsidR="00035BE3" w:rsidRDefault="00035BE3" w:rsidP="00C10469">
      <w:pPr>
        <w:pStyle w:val="a6"/>
        <w:spacing w:line="440" w:lineRule="exact"/>
        <w:ind w:left="422" w:firstLine="0"/>
        <w:rPr>
          <w:rtl/>
        </w:rPr>
      </w:pPr>
      <w:r>
        <w:rPr>
          <w:rFonts w:hint="cs"/>
          <w:rtl/>
        </w:rPr>
        <w:t>انظر : خلاصة الفتاوى، 4/125؛ العناية، 8/239؛ جامع الفصوليين، 1/95، 30، 113؛ الفتاوى البزازية،2/385؛ البحر الرائق، 7/228، 40، 230، 234؛ رد المحتار، 8/159؛ نزهة النواظر لابن عابدين، ص267؛ قرة عيون الأخيار، 11/34، 659، 682.</w:t>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40" w:lineRule="exact"/>
        <w:ind w:left="422" w:firstLine="0"/>
        <w:rPr>
          <w:spacing w:val="-4"/>
          <w:rtl/>
        </w:rPr>
      </w:pPr>
      <w:r>
        <w:rPr>
          <w:rFonts w:hint="cs"/>
          <w:b/>
          <w:bCs/>
          <w:spacing w:val="-4"/>
          <w:rtl/>
        </w:rPr>
        <w:t>وللتوسع في المسألة المخمسة</w:t>
      </w:r>
      <w:r>
        <w:rPr>
          <w:rFonts w:hint="cs"/>
          <w:spacing w:val="-4"/>
          <w:rtl/>
        </w:rPr>
        <w:t xml:space="preserve"> انظر: فتاوى النوازل، 310؛ المبسوط، 16/169؛ الهداية وشرحها: نتائج الأفكار، 8/238؛ كنـز الدقائق وشرحه : تبيين الحقائق، 4/313؛ الكافي شرح الوافي، القسم الأخير، 2/618-623؛ الدُّرر شرح الغرر و حاشية الشرنبلالي عليها، 2/343.</w:t>
      </w:r>
    </w:p>
  </w:footnote>
  <w:footnote w:id="281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و (جـ) و ( د ) : </w:t>
      </w:r>
      <w:r>
        <w:rPr>
          <w:rFonts w:hint="eastAsia"/>
          <w:rtl/>
        </w:rPr>
        <w:t>«</w:t>
      </w:r>
      <w:r>
        <w:rPr>
          <w:rFonts w:hint="cs"/>
          <w:rtl/>
        </w:rPr>
        <w:t>والعمرو</w:t>
      </w:r>
      <w:r>
        <w:rPr>
          <w:rFonts w:hint="eastAsia"/>
          <w:rtl/>
        </w:rPr>
        <w:t>»</w:t>
      </w:r>
      <w:r>
        <w:rPr>
          <w:rFonts w:hint="cs"/>
          <w:rtl/>
        </w:rPr>
        <w:t>. والمناسب ما تمّ إثباته من (ب).</w:t>
      </w:r>
    </w:p>
  </w:footnote>
  <w:footnote w:id="28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خاصمة</w:t>
      </w:r>
      <w:r>
        <w:rPr>
          <w:rFonts w:hint="eastAsia"/>
          <w:rtl/>
        </w:rPr>
        <w:t>»</w:t>
      </w:r>
      <w:r>
        <w:rPr>
          <w:rFonts w:hint="cs"/>
          <w:rtl/>
        </w:rPr>
        <w:t>.</w:t>
      </w:r>
    </w:p>
  </w:footnote>
  <w:footnote w:id="28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بيد بخصومة</w:t>
      </w:r>
      <w:r>
        <w:rPr>
          <w:rFonts w:hint="eastAsia"/>
          <w:rtl/>
        </w:rPr>
        <w:t>»</w:t>
      </w:r>
      <w:r>
        <w:rPr>
          <w:rFonts w:hint="cs"/>
          <w:rtl/>
        </w:rPr>
        <w:t>.</w:t>
      </w:r>
    </w:p>
  </w:footnote>
  <w:footnote w:id="28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 (جـ) : </w:t>
      </w:r>
      <w:r>
        <w:rPr>
          <w:rFonts w:hint="eastAsia"/>
          <w:rtl/>
        </w:rPr>
        <w:t>«</w:t>
      </w:r>
      <w:r>
        <w:rPr>
          <w:rFonts w:hint="cs"/>
          <w:rtl/>
        </w:rPr>
        <w:t>يسمع</w:t>
      </w:r>
      <w:r>
        <w:rPr>
          <w:rFonts w:hint="eastAsia"/>
          <w:rtl/>
        </w:rPr>
        <w:t>»</w:t>
      </w:r>
      <w:r>
        <w:rPr>
          <w:rFonts w:hint="cs"/>
          <w:rtl/>
        </w:rPr>
        <w:t>.والأفصح ما تم إثباته من (ب) و (د).</w:t>
      </w:r>
    </w:p>
  </w:footnote>
  <w:footnote w:id="28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الحديث عنها استقلالاً، وذلك ص551 (ل37/أ) قاعدة 87.</w:t>
      </w:r>
    </w:p>
  </w:footnote>
  <w:footnote w:id="28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واجب</w:t>
      </w:r>
      <w:r>
        <w:rPr>
          <w:rFonts w:hint="eastAsia"/>
          <w:rtl/>
        </w:rPr>
        <w:t>»</w:t>
      </w:r>
      <w:r>
        <w:rPr>
          <w:rFonts w:hint="cs"/>
          <w:rtl/>
        </w:rPr>
        <w:t>.</w:t>
      </w:r>
    </w:p>
  </w:footnote>
  <w:footnote w:id="28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يسرده</w:t>
      </w:r>
      <w:r>
        <w:rPr>
          <w:rFonts w:hint="eastAsia"/>
          <w:rtl/>
        </w:rPr>
        <w:t>»</w:t>
      </w:r>
      <w:r>
        <w:rPr>
          <w:rFonts w:hint="cs"/>
          <w:rtl/>
        </w:rPr>
        <w:t>.</w:t>
      </w:r>
    </w:p>
  </w:footnote>
  <w:footnote w:id="28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 </w:t>
      </w:r>
    </w:p>
    <w:p w:rsidR="00035BE3" w:rsidRDefault="00035BE3" w:rsidP="00C10469">
      <w:pPr>
        <w:pStyle w:val="a6"/>
        <w:ind w:left="422" w:firstLine="0"/>
        <w:rPr>
          <w:rtl/>
        </w:rPr>
      </w:pPr>
      <w:r>
        <w:rPr>
          <w:rFonts w:hint="cs"/>
          <w:rtl/>
        </w:rPr>
        <w:t xml:space="preserve">وردت هذه القاعدة في (قواعد الفقه) لابن نجيم بلفظٍ أحسبه كافياً في بيان معناها، وهو: </w:t>
      </w:r>
      <w:r>
        <w:rPr>
          <w:rFonts w:hint="eastAsia"/>
          <w:rtl/>
        </w:rPr>
        <w:t>«</w:t>
      </w:r>
      <w:r>
        <w:rPr>
          <w:rFonts w:hint="cs"/>
          <w:rtl/>
        </w:rPr>
        <w:t xml:space="preserve">من دفع شيئاً على ظنّ أنه واجـب عليـه، ثم تبيّن أنه ليس بواجب عليه: فإنه يسترده </w:t>
      </w:r>
      <w:r>
        <w:rPr>
          <w:rFonts w:hint="eastAsia"/>
          <w:rtl/>
        </w:rPr>
        <w:t>»</w:t>
      </w:r>
      <w:r>
        <w:rPr>
          <w:rFonts w:hint="cs"/>
          <w:rtl/>
        </w:rPr>
        <w:t>. أي : أن الدافع يسترد الشيء الذي دفعه.</w:t>
      </w:r>
    </w:p>
    <w:p w:rsidR="00035BE3" w:rsidRDefault="00035BE3" w:rsidP="00C10469">
      <w:pPr>
        <w:pStyle w:val="a6"/>
        <w:ind w:left="422" w:firstLine="0"/>
        <w:rPr>
          <w:rtl/>
        </w:rPr>
      </w:pPr>
      <w:r>
        <w:rPr>
          <w:rFonts w:hint="cs"/>
          <w:rtl/>
        </w:rPr>
        <w:t xml:space="preserve">إلا أن هذا الاسترداد ليس بعام؛ بل هو مخصوص بما إذا كان الدفع لغرض غير صحيح. أما إذا دفع الإنسان شيئاً إلى غيره، وكان هذا الدفع لغرض صحيح: فإنه لا يجوز له استرداد ما دفعه ما دام الغرض باقياً؛ لأنه لو فعل ذلك لكان قد سعى في نقض ما تمّ من جهته، وهذا السعي مردود؛ للقاعدة التي قالوا فيها: </w:t>
      </w:r>
      <w:r>
        <w:rPr>
          <w:rFonts w:hint="eastAsia"/>
          <w:rtl/>
        </w:rPr>
        <w:t>«</w:t>
      </w:r>
      <w:r>
        <w:rPr>
          <w:rFonts w:hint="cs"/>
          <w:rtl/>
        </w:rPr>
        <w:t xml:space="preserve"> من سعى في نقض ما تمّ من جهته فسعيه مردود عليه </w:t>
      </w:r>
      <w:r>
        <w:rPr>
          <w:rFonts w:hint="eastAsia"/>
          <w:rtl/>
        </w:rPr>
        <w:t>»</w:t>
      </w:r>
      <w:r>
        <w:rPr>
          <w:rFonts w:hint="cs"/>
          <w:rtl/>
        </w:rPr>
        <w:t>.</w:t>
      </w:r>
    </w:p>
    <w:p w:rsidR="00035BE3" w:rsidRDefault="00035BE3" w:rsidP="00C10469">
      <w:pPr>
        <w:pStyle w:val="a6"/>
        <w:ind w:left="422" w:firstLine="0"/>
        <w:rPr>
          <w:rtl/>
        </w:rPr>
      </w:pPr>
      <w:r>
        <w:rPr>
          <w:rFonts w:hint="cs"/>
          <w:rtl/>
        </w:rPr>
        <w:t>وقد أشار المؤلف إلى ذلك في أثناء شرحه للقاعدة؛ بل أفرد القاعدة اللاحقة للحديث على ذلك.</w:t>
      </w:r>
    </w:p>
    <w:p w:rsidR="00035BE3" w:rsidRDefault="00035BE3" w:rsidP="00C10469">
      <w:pPr>
        <w:pStyle w:val="a6"/>
        <w:ind w:left="422" w:firstLine="0"/>
        <w:rPr>
          <w:rtl/>
        </w:rPr>
      </w:pPr>
      <w:r>
        <w:rPr>
          <w:rFonts w:hint="cs"/>
          <w:rtl/>
        </w:rPr>
        <w:t>هذا ما يتعلّق بمعنى القاعدة.</w:t>
      </w:r>
    </w:p>
    <w:p w:rsidR="00035BE3" w:rsidRDefault="00035BE3" w:rsidP="00C10469">
      <w:pPr>
        <w:pStyle w:val="a6"/>
        <w:ind w:left="422" w:firstLine="0"/>
        <w:rPr>
          <w:b/>
          <w:bCs/>
          <w:rtl/>
        </w:rPr>
      </w:pPr>
      <w:r>
        <w:rPr>
          <w:rFonts w:hint="cs"/>
          <w:b/>
          <w:bCs/>
          <w:rtl/>
        </w:rPr>
        <w:t xml:space="preserve">أما توثيقها: </w:t>
      </w:r>
    </w:p>
    <w:p w:rsidR="00035BE3" w:rsidRDefault="00035BE3" w:rsidP="00C10469">
      <w:pPr>
        <w:pStyle w:val="a6"/>
        <w:ind w:left="422" w:firstLine="0"/>
        <w:rPr>
          <w:rtl/>
        </w:rPr>
      </w:pPr>
      <w:r>
        <w:rPr>
          <w:rFonts w:hint="cs"/>
          <w:rtl/>
        </w:rPr>
        <w:t>فقد وردت بلفظ المؤلف</w:t>
      </w:r>
      <w:r>
        <w:rPr>
          <w:rFonts w:hint="cs"/>
          <w:b/>
          <w:bCs/>
          <w:rtl/>
        </w:rPr>
        <w:t xml:space="preserve"> </w:t>
      </w:r>
      <w:r>
        <w:rPr>
          <w:rFonts w:hint="cs"/>
          <w:rtl/>
        </w:rPr>
        <w:t xml:space="preserve">أو نحوه أو معناه في عدد من كتب الفقه وقواعده: </w:t>
      </w:r>
    </w:p>
    <w:p w:rsidR="00035BE3" w:rsidRDefault="00035BE3" w:rsidP="00C10469">
      <w:pPr>
        <w:pStyle w:val="a6"/>
        <w:ind w:left="422" w:firstLine="0"/>
        <w:rPr>
          <w:rtl/>
        </w:rPr>
      </w:pPr>
      <w:r>
        <w:rPr>
          <w:rFonts w:hint="cs"/>
          <w:b/>
          <w:bCs/>
          <w:rtl/>
        </w:rPr>
        <w:t>فمن كتب القواعد :</w:t>
      </w:r>
      <w:r>
        <w:rPr>
          <w:rFonts w:hint="cs"/>
          <w:rtl/>
        </w:rPr>
        <w:t xml:space="preserve"> </w:t>
      </w:r>
    </w:p>
    <w:p w:rsidR="00035BE3" w:rsidRDefault="00035BE3" w:rsidP="00C10469">
      <w:pPr>
        <w:pStyle w:val="a6"/>
        <w:ind w:left="422" w:firstLine="0"/>
        <w:rPr>
          <w:spacing w:val="-6"/>
          <w:rtl/>
        </w:rPr>
      </w:pPr>
      <w:r>
        <w:rPr>
          <w:rFonts w:hint="cs"/>
          <w:spacing w:val="-6"/>
          <w:rtl/>
        </w:rPr>
        <w:t xml:space="preserve">الأشباه والنظائر لابن نجيم، ص 317؛ قواعد الفقه له أيضًا، ص 138،قاعدة 146- وقد سبق ذكر لفظه في بداية هذا الهامش-؛ مجامع الحقائق (الخاتمة)، ص45؛ شرحها: منافع الدقائق، ص 320- ولفظ المجامع كلفظ المؤلف إلا أنه جاء في آخرها : </w:t>
      </w:r>
      <w:r>
        <w:rPr>
          <w:rFonts w:hint="eastAsia"/>
          <w:spacing w:val="-6"/>
          <w:rtl/>
        </w:rPr>
        <w:t>«</w:t>
      </w:r>
      <w:r>
        <w:rPr>
          <w:rFonts w:hint="cs"/>
          <w:spacing w:val="-6"/>
          <w:rtl/>
        </w:rPr>
        <w:t>..يُسْتَرَد</w:t>
      </w:r>
      <w:r>
        <w:rPr>
          <w:rFonts w:hint="eastAsia"/>
          <w:spacing w:val="-6"/>
          <w:rtl/>
        </w:rPr>
        <w:t>»</w:t>
      </w:r>
      <w:r>
        <w:rPr>
          <w:rFonts w:hint="cs"/>
          <w:spacing w:val="-6"/>
          <w:rtl/>
        </w:rPr>
        <w:t xml:space="preserve"> (بحذف هاء الضمير)-؛ شرح القواعد الفقهية للزرقا، ص 358؛ القواعد الفقهية للدكتور علي الندوي، ص61-ولفظ الأخيرين قريب من لفظ ابن نجيم في قواعده-.</w:t>
      </w:r>
    </w:p>
    <w:p w:rsidR="00035BE3" w:rsidRDefault="00035BE3" w:rsidP="00C10469">
      <w:pPr>
        <w:pStyle w:val="a6"/>
        <w:ind w:left="422" w:firstLine="0"/>
        <w:rPr>
          <w:rtl/>
        </w:rPr>
      </w:pPr>
      <w:r>
        <w:rPr>
          <w:rFonts w:hint="cs"/>
          <w:b/>
          <w:bCs/>
          <w:rtl/>
        </w:rPr>
        <w:t>ومن كتب الفقه:</w:t>
      </w:r>
      <w:r>
        <w:rPr>
          <w:rFonts w:hint="cs"/>
          <w:rtl/>
        </w:rPr>
        <w:t xml:space="preserve"> </w:t>
      </w:r>
    </w:p>
    <w:p w:rsidR="00035BE3" w:rsidRDefault="00035BE3" w:rsidP="00C10469">
      <w:pPr>
        <w:pStyle w:val="a6"/>
        <w:ind w:left="422" w:firstLine="0"/>
        <w:rPr>
          <w:rtl/>
        </w:rPr>
      </w:pPr>
      <w:r>
        <w:rPr>
          <w:rFonts w:hint="cs"/>
          <w:rtl/>
        </w:rPr>
        <w:t>قنية المنية في تتميم الغنية، ل152/أ - ولفظه قريب من لفظ ابن نجيم في قواعده -؛ رد الـمحتار، 8/375- ولفظه:</w:t>
      </w:r>
      <w:r>
        <w:rPr>
          <w:rFonts w:hint="eastAsia"/>
          <w:rtl/>
        </w:rPr>
        <w:t xml:space="preserve"> «</w:t>
      </w:r>
      <w:r>
        <w:rPr>
          <w:rFonts w:hint="cs"/>
          <w:rtl/>
        </w:rPr>
        <w:t>...ولو دفع بناء على أنه يلزمه فله استرداده...</w:t>
      </w:r>
      <w:r>
        <w:rPr>
          <w:rFonts w:hint="eastAsia"/>
          <w:rtl/>
        </w:rPr>
        <w:t>»</w:t>
      </w:r>
      <w:r>
        <w:rPr>
          <w:rFonts w:hint="cs"/>
          <w:rtl/>
        </w:rPr>
        <w:t>.</w:t>
      </w:r>
    </w:p>
  </w:footnote>
  <w:footnote w:id="28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ادعي </w:t>
      </w:r>
      <w:r>
        <w:rPr>
          <w:rFonts w:hint="eastAsia"/>
          <w:rtl/>
        </w:rPr>
        <w:t>»</w:t>
      </w:r>
      <w:r>
        <w:rPr>
          <w:rFonts w:hint="cs"/>
          <w:rtl/>
        </w:rPr>
        <w:t>.</w:t>
      </w:r>
    </w:p>
  </w:footnote>
  <w:footnote w:id="28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التمثيل للقاعدة بهذا المثال في منافع الدقائق، ص320.</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8"/>
          <w:rtl/>
        </w:rPr>
      </w:pPr>
      <w:r>
        <w:rPr>
          <w:rFonts w:hint="cs"/>
          <w:spacing w:val="8"/>
          <w:rtl/>
        </w:rPr>
        <w:t>ووجه تفريع هذا المثال على القاعدة : أن من يؤدي مالاً لغيره على طريق الرشوة يعدّ قد دفع مالاً ليس بواجب عليه، فلا يكون هذا المال حقًّا للآخذ (المرتشي)؛ بل عليه أن يرده للمعطي (الراشي).</w:t>
      </w:r>
    </w:p>
  </w:footnote>
  <w:footnote w:id="28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 زيادة من (ب) و(جـ) و(د).</w:t>
      </w:r>
    </w:p>
  </w:footnote>
  <w:footnote w:id="28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استأجرها</w:t>
      </w:r>
      <w:r>
        <w:rPr>
          <w:rFonts w:hint="eastAsia"/>
          <w:rtl/>
        </w:rPr>
        <w:t>»</w:t>
      </w:r>
      <w:r>
        <w:rPr>
          <w:rFonts w:hint="cs"/>
          <w:rtl/>
        </w:rPr>
        <w:t xml:space="preserve"> (بزيادة الهاء)، وقد اغنى عنها التصريح بالدار بعدها.</w:t>
      </w:r>
    </w:p>
    <w:p w:rsidR="00035BE3" w:rsidRDefault="00035BE3" w:rsidP="00C10469">
      <w:pPr>
        <w:pStyle w:val="a6"/>
        <w:ind w:left="422" w:firstLine="0"/>
        <w:rPr>
          <w:rtl/>
        </w:rPr>
      </w:pPr>
      <w:r>
        <w:rPr>
          <w:rFonts w:hint="cs"/>
          <w:rtl/>
        </w:rPr>
        <w:t>علمًا بأن (الهاء) مثبتة في أشباه ابن نجيم دون (الدار).</w:t>
      </w:r>
    </w:p>
  </w:footnote>
  <w:footnote w:id="2827">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ذكر ابن نجيم هذه العبارة في غير مظانها؛ إذ جاءت في كتاب الغصب من الأشباه، ص317. إلاّ أنه قال في آخرها : </w:t>
      </w:r>
      <w:r>
        <w:rPr>
          <w:rFonts w:hint="eastAsia"/>
          <w:spacing w:val="8"/>
          <w:rtl/>
        </w:rPr>
        <w:t>«</w:t>
      </w:r>
      <w:r>
        <w:rPr>
          <w:rFonts w:hint="cs"/>
          <w:spacing w:val="8"/>
          <w:rtl/>
        </w:rPr>
        <w:t>... والتخريج على الأصول يقتضي أن له ذلك إن لم تكن معدَّة؛ لكونه دَفَعَ ما ليس بواجبٍ فيسترده، إلا إذا دفع على وجه الهبة، فاستهلكه المؤجِّر</w:t>
      </w:r>
      <w:r>
        <w:rPr>
          <w:rFonts w:hint="eastAsia"/>
          <w:spacing w:val="8"/>
          <w:rtl/>
        </w:rPr>
        <w:t>»</w:t>
      </w:r>
      <w:r>
        <w:rPr>
          <w:rFonts w:hint="cs"/>
          <w:spacing w:val="8"/>
          <w:rtl/>
        </w:rPr>
        <w:t>؛ وانظر: قواعده، ص138؛ القنية، ل152/أ.</w:t>
      </w:r>
    </w:p>
  </w:footnote>
  <w:footnote w:id="28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الاستراد</w:t>
      </w:r>
      <w:r>
        <w:rPr>
          <w:rFonts w:hint="eastAsia"/>
          <w:rtl/>
        </w:rPr>
        <w:t>»</w:t>
      </w:r>
      <w:r>
        <w:rPr>
          <w:rFonts w:hint="cs"/>
          <w:rtl/>
        </w:rPr>
        <w:t>.</w:t>
      </w:r>
    </w:p>
  </w:footnote>
  <w:footnote w:id="28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وقعه</w:t>
      </w:r>
      <w:r>
        <w:rPr>
          <w:rFonts w:hint="eastAsia"/>
          <w:rtl/>
        </w:rPr>
        <w:t>»</w:t>
      </w:r>
      <w:r>
        <w:rPr>
          <w:rFonts w:hint="cs"/>
          <w:rtl/>
        </w:rPr>
        <w:t>. والصحيح ما تمَّ من (ب) و(د). وهذه الكلمة ساقطة من (جـ).</w:t>
      </w:r>
    </w:p>
  </w:footnote>
  <w:footnote w:id="28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فيما إذا ... الاسترداد</w:t>
      </w:r>
      <w:r>
        <w:rPr>
          <w:rFonts w:hint="eastAsia"/>
          <w:rtl/>
        </w:rPr>
        <w:t>»</w:t>
      </w:r>
      <w:r>
        <w:rPr>
          <w:rFonts w:hint="cs"/>
          <w:rtl/>
        </w:rPr>
        <w:t xml:space="preserve"> : ساقطة من (جـ).</w:t>
      </w:r>
    </w:p>
  </w:footnote>
  <w:footnote w:id="28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يشير إلى قاعدة سيأتي الحديث عنها استقلالاً، وهي : </w:t>
      </w:r>
      <w:r>
        <w:rPr>
          <w:rFonts w:hint="eastAsia"/>
          <w:rtl/>
        </w:rPr>
        <w:t>«</w:t>
      </w:r>
      <w:r>
        <w:rPr>
          <w:rFonts w:hint="cs"/>
          <w:rtl/>
        </w:rPr>
        <w:t>من سعى في نقض ما تمَّ من جهته : فسَعيه مردود عليه</w:t>
      </w:r>
      <w:r>
        <w:rPr>
          <w:rFonts w:hint="eastAsia"/>
          <w:rtl/>
        </w:rPr>
        <w:t>»</w:t>
      </w:r>
      <w:r>
        <w:rPr>
          <w:rFonts w:hint="cs"/>
          <w:rtl/>
        </w:rPr>
        <w:t>، وذلك ص1077 (ل100/ب)، قاعدة 235.</w:t>
      </w:r>
    </w:p>
  </w:footnote>
  <w:footnote w:id="28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40/أ من (جـ).</w:t>
      </w:r>
    </w:p>
  </w:footnote>
  <w:footnote w:id="28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7/207، إذْ ورد فيها مضمون الجواب الذي ذكره المؤلف.</w:t>
      </w:r>
    </w:p>
  </w:footnote>
  <w:footnote w:id="28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والعرض</w:t>
      </w:r>
      <w:r>
        <w:rPr>
          <w:rFonts w:hint="eastAsia"/>
          <w:rtl/>
        </w:rPr>
        <w:t>»</w:t>
      </w:r>
      <w:r>
        <w:rPr>
          <w:rFonts w:hint="cs"/>
          <w:rtl/>
        </w:rPr>
        <w:t>. والصحيح ما تمَّ إثباته من باقي النسخ.</w:t>
      </w:r>
    </w:p>
  </w:footnote>
  <w:footnote w:id="28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32/ب من (د).</w:t>
      </w:r>
    </w:p>
  </w:footnote>
  <w:footnote w:id="28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ذكرنا</w:t>
      </w:r>
      <w:r>
        <w:rPr>
          <w:rFonts w:hint="eastAsia"/>
          <w:rtl/>
        </w:rPr>
        <w:t>»</w:t>
      </w:r>
      <w:r>
        <w:rPr>
          <w:rFonts w:hint="cs"/>
          <w:rtl/>
        </w:rPr>
        <w:t xml:space="preserve"> (بإسقاط الهاء).</w:t>
      </w:r>
    </w:p>
    <w:p w:rsidR="00035BE3" w:rsidRDefault="00035BE3" w:rsidP="00C10469">
      <w:pPr>
        <w:pStyle w:val="a8"/>
        <w:bidi/>
        <w:ind w:left="422" w:right="0"/>
        <w:rPr>
          <w:rtl/>
        </w:rPr>
      </w:pPr>
      <w:r>
        <w:rPr>
          <w:rFonts w:hint="cs"/>
          <w:rtl/>
        </w:rPr>
        <w:t xml:space="preserve">      والمراد بهذه المسألة هي مسألة استئجار الدار.</w:t>
      </w:r>
    </w:p>
  </w:footnote>
  <w:footnote w:id="28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الدافع</w:t>
      </w:r>
      <w:r>
        <w:rPr>
          <w:rFonts w:hint="eastAsia"/>
          <w:rtl/>
        </w:rPr>
        <w:t>»</w:t>
      </w:r>
      <w:r>
        <w:rPr>
          <w:rFonts w:hint="cs"/>
          <w:rtl/>
        </w:rPr>
        <w:t>.</w:t>
      </w:r>
    </w:p>
  </w:footnote>
  <w:footnote w:id="2838">
    <w:p w:rsidR="00035BE3" w:rsidRPr="00FC158A"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sidRPr="00FC158A">
        <w:rPr>
          <w:rFonts w:hint="cs"/>
          <w:spacing w:val="-2"/>
          <w:rtl/>
        </w:rPr>
        <w:t>هذه القاعدة كالاستثناء من القاعدة السابقة، وسبقت الإشارة إلى معناها في أثناء بيان معنى تلك القاعدة.</w:t>
      </w:r>
    </w:p>
    <w:p w:rsidR="00035BE3" w:rsidRDefault="00035BE3" w:rsidP="00C10469">
      <w:pPr>
        <w:pStyle w:val="a6"/>
        <w:ind w:left="422" w:firstLine="0"/>
        <w:rPr>
          <w:rtl/>
        </w:rPr>
      </w:pPr>
      <w:r>
        <w:rPr>
          <w:rFonts w:hint="cs"/>
          <w:rtl/>
        </w:rPr>
        <w:t>وقد وردت بهذا اللفظ في النسخة الخطية من مجامع الحقائق، ل35/ب.</w:t>
      </w:r>
    </w:p>
    <w:p w:rsidR="00035BE3" w:rsidRDefault="00035BE3" w:rsidP="00C10469">
      <w:pPr>
        <w:pStyle w:val="a6"/>
        <w:ind w:left="422" w:firstLine="0"/>
        <w:rPr>
          <w:rtl/>
        </w:rPr>
      </w:pPr>
      <w:r>
        <w:rPr>
          <w:rFonts w:hint="cs"/>
          <w:rtl/>
        </w:rPr>
        <w:t>ووردت في المطبوعة -ص45- وفي منافع الدقائق -ص320- باللفظ نفسه ولكن مع إسقاط (لا) النافية!، علمًا بأن صاحب المنافع لم يشرح القاعدة، كما أن العلائي في شرحه لقواعد الخادمي لم يذكر القاعدة إطلاقًا.</w:t>
      </w:r>
    </w:p>
    <w:p w:rsidR="00035BE3" w:rsidRDefault="00035BE3" w:rsidP="00C10469">
      <w:pPr>
        <w:pStyle w:val="a6"/>
        <w:ind w:left="422" w:firstLine="0"/>
        <w:rPr>
          <w:rtl/>
        </w:rPr>
      </w:pPr>
      <w:r>
        <w:rPr>
          <w:rFonts w:hint="cs"/>
          <w:rtl/>
        </w:rPr>
        <w:t xml:space="preserve">ووردت قبل ذلك في العناية، 7/207، بزيادة : </w:t>
      </w:r>
      <w:r>
        <w:rPr>
          <w:rFonts w:hint="eastAsia"/>
          <w:rtl/>
        </w:rPr>
        <w:t>«</w:t>
      </w:r>
      <w:r>
        <w:rPr>
          <w:rFonts w:hint="cs"/>
          <w:rtl/>
        </w:rPr>
        <w:t>فيه</w:t>
      </w:r>
      <w:r>
        <w:rPr>
          <w:rFonts w:hint="eastAsia"/>
          <w:rtl/>
        </w:rPr>
        <w:t>»</w:t>
      </w:r>
      <w:r>
        <w:rPr>
          <w:rFonts w:hint="cs"/>
          <w:rtl/>
        </w:rPr>
        <w:t xml:space="preserve"> بعد كلمة الاسترداد.</w:t>
      </w:r>
    </w:p>
  </w:footnote>
  <w:footnote w:id="28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وذكر</w:t>
      </w:r>
      <w:r>
        <w:rPr>
          <w:rFonts w:hint="eastAsia"/>
          <w:rtl/>
        </w:rPr>
        <w:t>»</w:t>
      </w:r>
      <w:r>
        <w:rPr>
          <w:rFonts w:hint="cs"/>
          <w:rtl/>
        </w:rPr>
        <w:t>.</w:t>
      </w:r>
    </w:p>
  </w:footnote>
  <w:footnote w:id="28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52/أ من (أ).</w:t>
      </w:r>
    </w:p>
  </w:footnote>
  <w:footnote w:id="28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ص699 (ل52/أ).</w:t>
      </w:r>
    </w:p>
  </w:footnote>
  <w:footnote w:id="28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زيادة : </w:t>
      </w:r>
      <w:r>
        <w:rPr>
          <w:rFonts w:hint="eastAsia"/>
          <w:rtl/>
        </w:rPr>
        <w:t>«</w:t>
      </w:r>
      <w:r>
        <w:rPr>
          <w:rFonts w:hint="cs"/>
          <w:rtl/>
        </w:rPr>
        <w:t xml:space="preserve"> ضامن </w:t>
      </w:r>
      <w:r>
        <w:rPr>
          <w:rFonts w:hint="eastAsia"/>
          <w:rtl/>
        </w:rPr>
        <w:t>»</w:t>
      </w:r>
      <w:r>
        <w:rPr>
          <w:rFonts w:hint="cs"/>
          <w:rtl/>
        </w:rPr>
        <w:t>.</w:t>
      </w:r>
    </w:p>
  </w:footnote>
  <w:footnote w:id="28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الألف : زيادة من (جـ) و(هـ) و(و). وهي لابّد منها، وفيها موافقة لمصدر هذه العبارة (وهو العناية)؛ حيث جاء فيه : </w:t>
      </w:r>
      <w:r>
        <w:rPr>
          <w:rFonts w:hint="eastAsia"/>
          <w:rtl/>
        </w:rPr>
        <w:t>«</w:t>
      </w:r>
      <w:r>
        <w:rPr>
          <w:rFonts w:hint="cs"/>
          <w:rtl/>
        </w:rPr>
        <w:t xml:space="preserve">... وقال : إني لا </w:t>
      </w:r>
      <w:r>
        <w:rPr>
          <w:rFonts w:hint="cs"/>
          <w:b/>
          <w:bCs/>
          <w:rtl/>
        </w:rPr>
        <w:t>آمن</w:t>
      </w:r>
      <w:r>
        <w:rPr>
          <w:rFonts w:hint="cs"/>
          <w:rtl/>
        </w:rPr>
        <w:t xml:space="preserve"> من أن يأخذ ...</w:t>
      </w:r>
      <w:r>
        <w:rPr>
          <w:rFonts w:hint="eastAsia"/>
          <w:rtl/>
        </w:rPr>
        <w:t>»</w:t>
      </w:r>
      <w:r>
        <w:rPr>
          <w:rFonts w:hint="cs"/>
          <w:rtl/>
        </w:rPr>
        <w:t>.</w:t>
      </w:r>
    </w:p>
  </w:footnote>
  <w:footnote w:id="28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فأخذها </w:t>
      </w:r>
      <w:r>
        <w:rPr>
          <w:rFonts w:hint="eastAsia"/>
          <w:rtl/>
        </w:rPr>
        <w:t>»</w:t>
      </w:r>
      <w:r>
        <w:rPr>
          <w:rFonts w:hint="cs"/>
          <w:rtl/>
        </w:rPr>
        <w:t>.</w:t>
      </w:r>
    </w:p>
  </w:footnote>
  <w:footnote w:id="28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يؤدي </w:t>
      </w:r>
      <w:r>
        <w:rPr>
          <w:rFonts w:hint="eastAsia"/>
          <w:rtl/>
        </w:rPr>
        <w:t>»</w:t>
      </w:r>
      <w:r>
        <w:rPr>
          <w:rFonts w:hint="cs"/>
          <w:rtl/>
        </w:rPr>
        <w:t>.</w:t>
      </w:r>
    </w:p>
  </w:footnote>
  <w:footnote w:id="28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الأصيل</w:t>
      </w:r>
      <w:r>
        <w:rPr>
          <w:rFonts w:hint="eastAsia"/>
          <w:rtl/>
        </w:rPr>
        <w:t>»</w:t>
      </w:r>
      <w:r>
        <w:rPr>
          <w:rFonts w:hint="cs"/>
          <w:rtl/>
        </w:rPr>
        <w:t>.</w:t>
      </w:r>
    </w:p>
  </w:footnote>
  <w:footnote w:id="28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بيان ما يعود إليه الضمير في (العناية) على النحو الآتي : </w:t>
      </w:r>
      <w:r>
        <w:rPr>
          <w:rFonts w:hint="eastAsia"/>
          <w:rtl/>
        </w:rPr>
        <w:t>«</w:t>
      </w:r>
      <w:r>
        <w:rPr>
          <w:rFonts w:hint="cs"/>
          <w:rtl/>
        </w:rPr>
        <w:t>أي في الألْف المدفوع، وأنـثَّـه باعتبار الدراهم</w:t>
      </w:r>
      <w:r>
        <w:rPr>
          <w:rFonts w:hint="eastAsia"/>
          <w:rtl/>
        </w:rPr>
        <w:t>»</w:t>
      </w:r>
      <w:r>
        <w:rPr>
          <w:rFonts w:hint="cs"/>
          <w:rtl/>
        </w:rPr>
        <w:t>.</w:t>
      </w:r>
    </w:p>
  </w:footnote>
  <w:footnote w:id="28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34/أ من (ب).</w:t>
      </w:r>
    </w:p>
  </w:footnote>
  <w:footnote w:id="28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فما</w:t>
      </w:r>
      <w:r>
        <w:rPr>
          <w:rFonts w:hint="eastAsia"/>
          <w:rtl/>
        </w:rPr>
        <w:t>»</w:t>
      </w:r>
      <w:r>
        <w:rPr>
          <w:rFonts w:hint="cs"/>
          <w:rtl/>
        </w:rPr>
        <w:t>، وكذلك في العناية. ولعلّ هذا الأولى.</w:t>
      </w:r>
    </w:p>
  </w:footnote>
  <w:footnote w:id="28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سوف يفرد المؤلف هذا التعليل في قاعدة مستقلة، ص1077 (ل100/ب)، قاعدة 235.</w:t>
      </w:r>
    </w:p>
  </w:footnote>
  <w:footnote w:id="28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7/207 - مع اختلاف في الترتيب وفي بعض الألفاظ-.</w:t>
      </w:r>
    </w:p>
  </w:footnote>
  <w:footnote w:id="28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الدالة</w:t>
      </w:r>
      <w:r>
        <w:rPr>
          <w:rFonts w:hint="eastAsia"/>
          <w:rtl/>
        </w:rPr>
        <w:t>»</w:t>
      </w:r>
      <w:r>
        <w:rPr>
          <w:rFonts w:hint="cs"/>
          <w:rtl/>
        </w:rPr>
        <w:t>.</w:t>
      </w:r>
    </w:p>
  </w:footnote>
  <w:footnote w:id="28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يعمل</w:t>
      </w:r>
      <w:r>
        <w:rPr>
          <w:rFonts w:hint="eastAsia"/>
          <w:rtl/>
        </w:rPr>
        <w:t>»</w:t>
      </w:r>
      <w:r>
        <w:rPr>
          <w:rFonts w:hint="cs"/>
          <w:rtl/>
        </w:rPr>
        <w:t>. والصحيح ما تمَّ إثباته من (د).</w:t>
      </w:r>
    </w:p>
  </w:footnote>
  <w:footnote w:id="28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القاعة متحدّة من جهة المعنى مع قاعدة سبق أن ذكرها المؤلف، وهي : </w:t>
      </w:r>
      <w:r>
        <w:rPr>
          <w:rFonts w:hint="eastAsia"/>
          <w:rtl/>
        </w:rPr>
        <w:t>«</w:t>
      </w:r>
      <w:r>
        <w:rPr>
          <w:rFonts w:hint="cs"/>
          <w:rtl/>
        </w:rPr>
        <w:t>الثابت بالدلالة إنما يعتبر إذا لم يوجد الصريح بخلافه</w:t>
      </w:r>
      <w:r>
        <w:rPr>
          <w:rFonts w:hint="eastAsia"/>
          <w:rtl/>
        </w:rPr>
        <w:t>»</w:t>
      </w:r>
      <w:r>
        <w:rPr>
          <w:rFonts w:hint="cs"/>
          <w:rtl/>
        </w:rPr>
        <w:t>، وذلك ص583 (ل41/أ)، قاعدة 96.</w:t>
      </w:r>
    </w:p>
    <w:p w:rsidR="00035BE3" w:rsidRDefault="00035BE3" w:rsidP="00C10469">
      <w:pPr>
        <w:pStyle w:val="a6"/>
        <w:spacing w:line="440" w:lineRule="exact"/>
        <w:ind w:left="422" w:firstLine="0"/>
        <w:rPr>
          <w:rtl/>
        </w:rPr>
      </w:pPr>
      <w:r>
        <w:rPr>
          <w:rFonts w:hint="cs"/>
          <w:rtl/>
        </w:rPr>
        <w:t>فما قيل في توثيقها هناك يُقال هنا.</w:t>
      </w:r>
    </w:p>
  </w:footnote>
  <w:footnote w:id="28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وهنا</w:t>
      </w:r>
      <w:r>
        <w:rPr>
          <w:rFonts w:hint="eastAsia"/>
          <w:rtl/>
        </w:rPr>
        <w:t>»</w:t>
      </w:r>
      <w:r>
        <w:rPr>
          <w:rFonts w:hint="cs"/>
          <w:rtl/>
        </w:rPr>
        <w:t>.</w:t>
      </w:r>
    </w:p>
  </w:footnote>
  <w:footnote w:id="28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العناية، 6/256-257؛ الدُّرر شرح الغرر، 2/144. وهذا المثال وجوابه سيأتي ذكرها ص789 (ل61/ب-62/أ).</w:t>
      </w:r>
    </w:p>
  </w:footnote>
  <w:footnote w:id="28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ص699 (ل52/أ)، وص702 (ل 52/ب).</w:t>
      </w:r>
    </w:p>
  </w:footnote>
  <w:footnote w:id="28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52/ب من (أ).</w:t>
      </w:r>
    </w:p>
  </w:footnote>
  <w:footnote w:id="28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40/ب من (جـ).</w:t>
      </w:r>
    </w:p>
  </w:footnote>
  <w:footnote w:id="2860">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هكذا في (ب)، وفي (د) : </w:t>
      </w:r>
      <w:r>
        <w:rPr>
          <w:rFonts w:hint="eastAsia"/>
          <w:spacing w:val="-4"/>
          <w:rtl/>
        </w:rPr>
        <w:t>«</w:t>
      </w:r>
      <w:r>
        <w:rPr>
          <w:rFonts w:hint="cs"/>
          <w:spacing w:val="-4"/>
          <w:rtl/>
        </w:rPr>
        <w:t>يجب بلا قبول</w:t>
      </w:r>
      <w:r>
        <w:rPr>
          <w:rFonts w:hint="eastAsia"/>
          <w:spacing w:val="-4"/>
          <w:rtl/>
        </w:rPr>
        <w:t>»</w:t>
      </w:r>
      <w:r>
        <w:rPr>
          <w:rFonts w:hint="cs"/>
          <w:spacing w:val="-4"/>
          <w:rtl/>
        </w:rPr>
        <w:t xml:space="preserve">، وفي (أ) و(جـ) : </w:t>
      </w:r>
      <w:r>
        <w:rPr>
          <w:rFonts w:hint="eastAsia"/>
          <w:spacing w:val="-4"/>
          <w:rtl/>
        </w:rPr>
        <w:t>«</w:t>
      </w:r>
      <w:r>
        <w:rPr>
          <w:rFonts w:hint="cs"/>
          <w:spacing w:val="-4"/>
          <w:rtl/>
        </w:rPr>
        <w:t>يجب</w:t>
      </w:r>
      <w:r>
        <w:rPr>
          <w:rFonts w:hint="eastAsia"/>
          <w:spacing w:val="-4"/>
          <w:rtl/>
        </w:rPr>
        <w:t>»</w:t>
      </w:r>
      <w:r>
        <w:rPr>
          <w:rFonts w:hint="cs"/>
          <w:spacing w:val="-4"/>
          <w:rtl/>
        </w:rPr>
        <w:t xml:space="preserve"> (بإسقاط الياء و(بلا قبول) معًا). والمثبت هو الصحيح.</w:t>
      </w:r>
    </w:p>
  </w:footnote>
  <w:footnote w:id="28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المتصلة بمبدأ القضاء بالقرائن.</w:t>
      </w:r>
    </w:p>
    <w:p w:rsidR="00035BE3" w:rsidRDefault="00035BE3" w:rsidP="00C10469">
      <w:pPr>
        <w:pStyle w:val="a6"/>
        <w:ind w:left="422" w:firstLine="0"/>
        <w:rPr>
          <w:spacing w:val="6"/>
          <w:rtl/>
        </w:rPr>
      </w:pPr>
      <w:r>
        <w:rPr>
          <w:rFonts w:hint="cs"/>
          <w:b/>
          <w:bCs/>
          <w:spacing w:val="6"/>
          <w:rtl/>
        </w:rPr>
        <w:t>إذ المراد بها</w:t>
      </w:r>
      <w:r>
        <w:rPr>
          <w:rFonts w:hint="cs"/>
          <w:spacing w:val="6"/>
          <w:rtl/>
        </w:rPr>
        <w:t xml:space="preserve"> : أن العلل الحقيقية التي ترتبط بها أحكام شرعية إذا كانت خفية يعسر الاطلاع عليها : فإن الشرع قد أقام الأمارات والقرائن الدالة على تلك العلل مقامها، فترتبط الأحكام بتلك القرائن وجودًا وعدماً.</w:t>
      </w:r>
    </w:p>
    <w:p w:rsidR="00035BE3" w:rsidRDefault="00035BE3" w:rsidP="00C10469">
      <w:pPr>
        <w:pStyle w:val="a6"/>
        <w:ind w:left="422" w:firstLine="0"/>
        <w:rPr>
          <w:rtl/>
        </w:rPr>
      </w:pPr>
      <w:r>
        <w:rPr>
          <w:rFonts w:hint="cs"/>
          <w:b/>
          <w:bCs/>
          <w:rtl/>
        </w:rPr>
        <w:t>فالرضى بالعيب</w:t>
      </w:r>
      <w:r>
        <w:rPr>
          <w:rFonts w:hint="cs"/>
          <w:rtl/>
        </w:rPr>
        <w:t xml:space="preserve"> - كما هو في المثال الذي سيذكره المؤلف -: </w:t>
      </w:r>
      <w:r>
        <w:rPr>
          <w:rFonts w:hint="eastAsia"/>
          <w:rtl/>
        </w:rPr>
        <w:t>«</w:t>
      </w:r>
      <w:r>
        <w:rPr>
          <w:rFonts w:hint="cs"/>
          <w:rtl/>
        </w:rPr>
        <w:t>علَّةٌ شرعية لحكم شرعي وهو سقوط خيار المشتري في رده على بائعه، إلا أنَّ الرضا لمّا كان أمراً باطنًا ليس في وسع البشر الاطلاع عليه جعل الشرع استعمال المشتري للمبيع من مداواة ... [ونحوها] قائمًا مقام الرضا المسقط للخيار</w:t>
      </w:r>
      <w:r>
        <w:rPr>
          <w:rFonts w:hint="eastAsia"/>
          <w:rtl/>
        </w:rPr>
        <w:t>»</w:t>
      </w:r>
      <w:r>
        <w:rPr>
          <w:rFonts w:hint="cs"/>
          <w:rtl/>
        </w:rPr>
        <w:t>- قاله الأتاسي في شرح المجلة، 1/185-. وانظر معناها في المصدر السابق؛ المدخل الفقهي العـام للزرقا، 2/1052-1053، فقرة 664.</w:t>
      </w:r>
    </w:p>
    <w:p w:rsidR="00035BE3" w:rsidRDefault="00035BE3" w:rsidP="00C10469">
      <w:pPr>
        <w:pStyle w:val="a6"/>
        <w:ind w:left="422" w:firstLine="0"/>
        <w:rPr>
          <w:rtl/>
        </w:rPr>
      </w:pPr>
      <w:r>
        <w:rPr>
          <w:rFonts w:hint="cs"/>
          <w:rtl/>
        </w:rPr>
        <w:t xml:space="preserve">هذا ما يتعلق بمعناها. </w:t>
      </w:r>
    </w:p>
    <w:p w:rsidR="00035BE3" w:rsidRDefault="00035BE3" w:rsidP="00C10469">
      <w:pPr>
        <w:pStyle w:val="a6"/>
        <w:ind w:left="422" w:firstLine="0"/>
        <w:rPr>
          <w:rtl/>
        </w:rPr>
      </w:pPr>
      <w:r>
        <w:rPr>
          <w:rFonts w:hint="cs"/>
          <w:b/>
          <w:bCs/>
          <w:rtl/>
        </w:rPr>
        <w:t>أما توثيقها</w:t>
      </w:r>
      <w:r>
        <w:rPr>
          <w:rFonts w:hint="cs"/>
          <w:rtl/>
        </w:rPr>
        <w:t xml:space="preserve"> : فقد وردت بلفظها في بعض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8"/>
          <w:rtl/>
        </w:rPr>
      </w:pPr>
      <w:r>
        <w:rPr>
          <w:rFonts w:hint="cs"/>
          <w:spacing w:val="8"/>
          <w:rtl/>
        </w:rPr>
        <w:t>مجامع الحقائق (الخاتمة)، ص45؛ شرح العلائي لقواعد الخادمي، ل22/أ؛ منافع الدقائق، ص320؛ مجلة الأحكام العدلية، مادة 68؛ شرحها لسليم رسـتم، 1/48؛ ولعلي حيدر، 1/60؛ وللأتـاسي، 1/185؛ وشرح قواعدها للزرقا، ص345؛ قواعد الفقه للمجدّدي، ص81، قاعدة 136؛ المدخل الفقهي العام، 2/1052، فقرة 664؛ تطبيقات القواعد والضوابط الفقهية للدكتور سعود الغـديان، ص1217؛ المدخل إلى القواعد الفقهية الكلية للدكتور إبراهيم الحريري، ص161؛ المبادئ الفقـهية، ص42؛ القواعد الفقهية للدعّاس، ص110، قاعدة 93؛ وللدكتور محمد الزحيلي، ص89. ويلحظ أن جميع تلك الكتب متأخرة عن المؤلف، كما أن أكثرها مرتبط بالمجلة.</w:t>
      </w:r>
    </w:p>
    <w:p w:rsidR="00035BE3" w:rsidRDefault="00035BE3" w:rsidP="00C10469">
      <w:pPr>
        <w:pStyle w:val="a6"/>
        <w:ind w:left="422" w:firstLine="0"/>
        <w:rPr>
          <w:spacing w:val="6"/>
          <w:rtl/>
        </w:rPr>
      </w:pPr>
      <w:r>
        <w:rPr>
          <w:rFonts w:hint="cs"/>
          <w:spacing w:val="6"/>
          <w:rtl/>
        </w:rPr>
        <w:t xml:space="preserve">وكما وردت بلفظها في هذه الكتب فقد ورد معناها في كتـاب الأشـباه والنـظائر لابن الوكيل، 1/221- ولفظه : </w:t>
      </w:r>
      <w:r>
        <w:rPr>
          <w:rFonts w:hint="eastAsia"/>
          <w:spacing w:val="6"/>
          <w:rtl/>
        </w:rPr>
        <w:t>«</w:t>
      </w:r>
      <w:r>
        <w:rPr>
          <w:rFonts w:hint="cs"/>
          <w:spacing w:val="6"/>
          <w:rtl/>
        </w:rPr>
        <w:t>فائدة : الأمور الخفية المتعلقة بالباطن : دأب الشارع أن يضبطها بوصف ظاهر</w:t>
      </w:r>
      <w:r>
        <w:rPr>
          <w:rFonts w:hint="eastAsia"/>
          <w:spacing w:val="6"/>
          <w:rtl/>
        </w:rPr>
        <w:t>»</w:t>
      </w:r>
      <w:r>
        <w:rPr>
          <w:rFonts w:hint="cs"/>
          <w:spacing w:val="6"/>
          <w:rtl/>
        </w:rPr>
        <w:t>.</w:t>
      </w:r>
    </w:p>
    <w:p w:rsidR="00035BE3" w:rsidRDefault="00035BE3" w:rsidP="00C10469">
      <w:pPr>
        <w:pStyle w:val="a6"/>
        <w:ind w:left="422" w:firstLine="0"/>
        <w:rPr>
          <w:rtl/>
        </w:rPr>
      </w:pPr>
      <w:r>
        <w:rPr>
          <w:rFonts w:hint="cs"/>
          <w:b/>
          <w:bCs/>
          <w:rtl/>
        </w:rPr>
        <w:t>ومن كتب الفقه</w:t>
      </w:r>
      <w:r>
        <w:rPr>
          <w:rFonts w:hint="cs"/>
          <w:rtl/>
        </w:rPr>
        <w:t xml:space="preserve"> التي وردت فيها القاعدة :</w:t>
      </w:r>
    </w:p>
    <w:p w:rsidR="00035BE3" w:rsidRDefault="00035BE3" w:rsidP="00C10469">
      <w:pPr>
        <w:pStyle w:val="a6"/>
        <w:ind w:left="422" w:firstLine="0"/>
        <w:rPr>
          <w:rtl/>
        </w:rPr>
      </w:pPr>
      <w:r>
        <w:rPr>
          <w:rFonts w:hint="cs"/>
          <w:rtl/>
        </w:rPr>
        <w:t>العناية، 6/391- حيث إن القاعدة وجل ما ذكره المؤلف في شرحها مذكورة فيها-.</w:t>
      </w:r>
    </w:p>
  </w:footnote>
  <w:footnote w:id="28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وشرحيها : العناية وفتح القدير، 6/390؛ الغرر وشرحه الدرر، 2/166؛ وانظر أيضًا: المغني لابن قدامة، 6/248-249، فقد قال - في شأن المشتري إذا تصرَّف في المبيع المعيب تصرفًا </w:t>
      </w:r>
      <w:r w:rsidRPr="00A27747">
        <w:rPr>
          <w:rFonts w:hint="cs"/>
          <w:spacing w:val="-2"/>
          <w:rtl/>
        </w:rPr>
        <w:t xml:space="preserve">دالاًّ على الرضا به بعد علمه بالعيب -: </w:t>
      </w:r>
      <w:r w:rsidRPr="00A27747">
        <w:rPr>
          <w:rFonts w:hint="eastAsia"/>
          <w:spacing w:val="-2"/>
          <w:rtl/>
        </w:rPr>
        <w:t>«</w:t>
      </w:r>
      <w:r w:rsidRPr="00A27747">
        <w:rPr>
          <w:rFonts w:hint="cs"/>
          <w:spacing w:val="-2"/>
          <w:rtl/>
        </w:rPr>
        <w:t>بطل خياره في قول عامة أهل العلم... ولا أعلم فيه مخالفًا</w:t>
      </w:r>
      <w:r w:rsidRPr="00A27747">
        <w:rPr>
          <w:rFonts w:hint="eastAsia"/>
          <w:spacing w:val="-2"/>
          <w:rtl/>
        </w:rPr>
        <w:t>»</w:t>
      </w:r>
      <w:r w:rsidRPr="00A27747">
        <w:rPr>
          <w:rFonts w:hint="cs"/>
          <w:spacing w:val="-2"/>
          <w:rtl/>
        </w:rPr>
        <w:t>.</w:t>
      </w:r>
    </w:p>
  </w:footnote>
  <w:footnote w:id="28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الاستيفاء</w:t>
      </w:r>
      <w:r>
        <w:rPr>
          <w:rFonts w:hint="eastAsia"/>
          <w:rtl/>
        </w:rPr>
        <w:t>»</w:t>
      </w:r>
      <w:r>
        <w:rPr>
          <w:rFonts w:hint="cs"/>
          <w:rtl/>
        </w:rPr>
        <w:t>. والصحيح ما تمَّ إثباته من (ب)؛ وفاقًا للعناية.</w:t>
      </w:r>
    </w:p>
  </w:footnote>
  <w:footnote w:id="28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فيكون</w:t>
      </w:r>
      <w:r>
        <w:rPr>
          <w:rFonts w:hint="eastAsia"/>
          <w:rtl/>
        </w:rPr>
        <w:t>»</w:t>
      </w:r>
      <w:r>
        <w:rPr>
          <w:rFonts w:hint="cs"/>
          <w:rtl/>
        </w:rPr>
        <w:t xml:space="preserve">، وفي (د) جاءت الكلمة مهملة من النقاط. والأفصح ما تمَّ إثباته من (ب). وقد جاء في العناية : </w:t>
      </w:r>
      <w:r>
        <w:rPr>
          <w:rFonts w:hint="eastAsia"/>
          <w:rtl/>
        </w:rPr>
        <w:t>«</w:t>
      </w:r>
      <w:r>
        <w:rPr>
          <w:rFonts w:hint="cs"/>
          <w:rtl/>
        </w:rPr>
        <w:t xml:space="preserve"> فكانت </w:t>
      </w:r>
      <w:r>
        <w:rPr>
          <w:rFonts w:hint="eastAsia"/>
          <w:rtl/>
        </w:rPr>
        <w:t>»</w:t>
      </w:r>
      <w:r>
        <w:rPr>
          <w:rFonts w:hint="cs"/>
          <w:rtl/>
        </w:rPr>
        <w:t>.</w:t>
      </w:r>
    </w:p>
  </w:footnote>
  <w:footnote w:id="28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6/391- مع الاختلاف اليسير المذكور في الهامش السابق-.</w:t>
      </w:r>
    </w:p>
  </w:footnote>
  <w:footnote w:id="28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يدل </w:t>
      </w:r>
      <w:r>
        <w:rPr>
          <w:rFonts w:hint="eastAsia"/>
          <w:rtl/>
        </w:rPr>
        <w:t>»</w:t>
      </w:r>
      <w:r>
        <w:rPr>
          <w:rFonts w:hint="cs"/>
          <w:rtl/>
        </w:rPr>
        <w:t>، وكما رُسمت في (أ) بالتاء رُسمت بالياء أيضًا.</w:t>
      </w:r>
    </w:p>
  </w:footnote>
  <w:footnote w:id="28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فتقدم</w:t>
      </w:r>
      <w:r>
        <w:rPr>
          <w:rFonts w:hint="eastAsia"/>
          <w:rtl/>
        </w:rPr>
        <w:t>»</w:t>
      </w:r>
      <w:r>
        <w:rPr>
          <w:rFonts w:hint="cs"/>
          <w:rtl/>
        </w:rPr>
        <w:t>.</w:t>
      </w:r>
    </w:p>
    <w:p w:rsidR="00035BE3" w:rsidRDefault="00035BE3" w:rsidP="00C10469">
      <w:pPr>
        <w:pStyle w:val="a6"/>
        <w:ind w:left="422" w:firstLine="0"/>
        <w:rPr>
          <w:rtl/>
        </w:rPr>
      </w:pPr>
      <w:r>
        <w:rPr>
          <w:rFonts w:hint="cs"/>
          <w:rtl/>
        </w:rPr>
        <w:t>ولعلّ تذكير الفعل في باقي النسخ سببه كون الفاعل هو فعل المداواة، أي : فيقوم فعل المشتري للمداواة مقام قصد الإمساك.</w:t>
      </w:r>
    </w:p>
  </w:footnote>
  <w:footnote w:id="28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للمشتري الرد …</w:t>
      </w:r>
    </w:p>
  </w:footnote>
  <w:footnote w:id="28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33/أ من (د).</w:t>
      </w:r>
    </w:p>
  </w:footnote>
  <w:footnote w:id="28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6/391 - مع اختلاف يسير، حيث جاء في آخرها : </w:t>
      </w:r>
      <w:r>
        <w:rPr>
          <w:rFonts w:hint="eastAsia"/>
          <w:rtl/>
        </w:rPr>
        <w:t>«</w:t>
      </w:r>
      <w:r>
        <w:rPr>
          <w:rFonts w:hint="cs"/>
          <w:rtl/>
        </w:rPr>
        <w:t xml:space="preserve">... </w:t>
      </w:r>
      <w:r>
        <w:rPr>
          <w:rFonts w:hint="cs"/>
          <w:b/>
          <w:bCs/>
          <w:rtl/>
        </w:rPr>
        <w:t>وكذلك</w:t>
      </w:r>
      <w:r>
        <w:rPr>
          <w:rFonts w:hint="cs"/>
          <w:rtl/>
        </w:rPr>
        <w:t xml:space="preserve"> الركوب لحاجته</w:t>
      </w:r>
      <w:r>
        <w:rPr>
          <w:rFonts w:hint="eastAsia"/>
          <w:rtl/>
        </w:rPr>
        <w:t>»</w:t>
      </w:r>
      <w:r>
        <w:rPr>
          <w:rFonts w:hint="cs"/>
          <w:rtl/>
        </w:rPr>
        <w:t>-.</w:t>
      </w:r>
    </w:p>
  </w:footnote>
  <w:footnote w:id="28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التي يكثر ورودها في كتب الفقه الحنفي وقواعده، واللفظ الذي ترد فيه هو ذات لفظ المؤلف، إلا أنه يضاف إليه أحيانًا كلمة توضّح الكلمة الأخيرة من القاعدة، كقول صاحب المبسوط: </w:t>
      </w:r>
      <w:r>
        <w:rPr>
          <w:rFonts w:hint="eastAsia"/>
          <w:rtl/>
        </w:rPr>
        <w:t>«</w:t>
      </w:r>
      <w:r>
        <w:rPr>
          <w:rFonts w:hint="cs"/>
          <w:rtl/>
        </w:rPr>
        <w:t xml:space="preserve">... بأمثالها </w:t>
      </w:r>
      <w:r>
        <w:rPr>
          <w:rFonts w:hint="cs"/>
          <w:b/>
          <w:bCs/>
          <w:rtl/>
        </w:rPr>
        <w:t>لا بأعيانها</w:t>
      </w:r>
      <w:r>
        <w:rPr>
          <w:rFonts w:hint="eastAsia"/>
          <w:rtl/>
        </w:rPr>
        <w:t>»</w:t>
      </w:r>
      <w:r>
        <w:rPr>
          <w:rFonts w:hint="cs"/>
          <w:rtl/>
        </w:rPr>
        <w:t xml:space="preserve">، وقول صاحب الدرر : </w:t>
      </w:r>
      <w:r>
        <w:rPr>
          <w:rFonts w:hint="eastAsia"/>
          <w:rtl/>
        </w:rPr>
        <w:t>«</w:t>
      </w:r>
      <w:r>
        <w:rPr>
          <w:rFonts w:hint="cs"/>
          <w:rtl/>
        </w:rPr>
        <w:t xml:space="preserve"> ... بأمثالها </w:t>
      </w:r>
      <w:r>
        <w:rPr>
          <w:rFonts w:hint="cs"/>
          <w:b/>
          <w:bCs/>
          <w:rtl/>
        </w:rPr>
        <w:t>لا بأنفسها</w:t>
      </w:r>
      <w:r>
        <w:rPr>
          <w:rFonts w:hint="eastAsia"/>
          <w:rtl/>
        </w:rPr>
        <w:t>»</w:t>
      </w:r>
      <w:r>
        <w:rPr>
          <w:rFonts w:hint="cs"/>
          <w:rtl/>
        </w:rPr>
        <w:t>.</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الأشباه والنظائر لابن نجيم، ص282، 294؛ الرسائل الزينية في مذهب الحنفية، ص523؛ مجامع الحقائق (الخاتمة)، ص45؛ شرح العلائي لقواعد الخادمي، ل22/ب؛ منافع الدّقائق، ص320؛ القواعد والضوابط المستخلصة من التحرير، ص118، 147، 488 - وأحال في الموضع الأخير منه إلى التحرير في أحد عشر موضعًا !-.</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المبسوط، 2/210، 11/41، 19/17؛ حاوي مسائل المنية، ل358/أ؛ الهداية وشروحها : العناية وفتح القدير أونـتائج الأفكار، 7/342، 343، 8/61، 125، 378، 401، 493؛ تبيـين الحقائق، 5/22؛ الدّرر شرح الغرر، 2/261، 292؛ البحر الرائق، 6/222، 7/179؛ رد المـحتار، 5/328، 592، 664، 675، 8/486، 11/436، 487، 12/550.</w:t>
      </w:r>
    </w:p>
    <w:p w:rsidR="00035BE3" w:rsidRDefault="00035BE3" w:rsidP="00C10469">
      <w:pPr>
        <w:pStyle w:val="a6"/>
        <w:ind w:left="422" w:firstLine="0"/>
        <w:rPr>
          <w:rtl/>
        </w:rPr>
      </w:pPr>
      <w:r>
        <w:rPr>
          <w:rFonts w:hint="cs"/>
          <w:rtl/>
        </w:rPr>
        <w:t>كما وردت عرضًا في كشف الأسرار للنسفي، 1/65.</w:t>
      </w:r>
    </w:p>
    <w:p w:rsidR="00035BE3" w:rsidRDefault="00035BE3" w:rsidP="00C10469">
      <w:pPr>
        <w:pStyle w:val="a6"/>
        <w:ind w:left="422" w:firstLine="0"/>
        <w:rPr>
          <w:rtl/>
        </w:rPr>
      </w:pPr>
      <w:r>
        <w:rPr>
          <w:rFonts w:hint="cs"/>
          <w:rtl/>
        </w:rPr>
        <w:t xml:space="preserve">علمًا بأن المؤلف نفسه سبق أن ذكر هذه القاعدة عرضًا في المواضع الآتية : ص386 (ل18/أ)، 388(ل18/أ)، 389 (ل18/ب)، 399 (ل20/أ)، </w:t>
      </w:r>
      <w:r>
        <w:rPr>
          <w:rFonts w:hint="cs"/>
          <w:b/>
          <w:bCs/>
          <w:rtl/>
        </w:rPr>
        <w:t>كما أنه بيّن معناها إجمالاً في الموضع الثاني منها</w:t>
      </w:r>
      <w:r>
        <w:rPr>
          <w:rFonts w:hint="cs"/>
          <w:rtl/>
        </w:rPr>
        <w:t>، وممّن بيّن معناها : ابن عابدين في حاشيته : رد المحتار، 5/592.</w:t>
      </w:r>
    </w:p>
  </w:footnote>
  <w:footnote w:id="28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الحادي </w:t>
      </w:r>
      <w:r>
        <w:rPr>
          <w:rFonts w:hint="eastAsia"/>
          <w:rtl/>
        </w:rPr>
        <w:t>»</w:t>
      </w:r>
      <w:r>
        <w:rPr>
          <w:rFonts w:hint="cs"/>
          <w:rtl/>
        </w:rPr>
        <w:t xml:space="preserve"> (بالدال).</w:t>
      </w:r>
    </w:p>
  </w:footnote>
  <w:footnote w:id="2873">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cs"/>
          <w:b/>
          <w:bCs/>
          <w:spacing w:val="-4"/>
          <w:rtl/>
        </w:rPr>
        <w:t>الحاوي القدسي</w:t>
      </w:r>
      <w:r>
        <w:rPr>
          <w:rFonts w:hint="cs"/>
          <w:spacing w:val="-4"/>
          <w:rtl/>
        </w:rPr>
        <w:t xml:space="preserve">: هو كتاب من كتب الحنفية التي حوت عدّت علوم، فقد جعله مؤلفه </w:t>
      </w:r>
      <w:r>
        <w:rPr>
          <w:rFonts w:hint="eastAsia"/>
          <w:spacing w:val="-4"/>
          <w:rtl/>
        </w:rPr>
        <w:t>«</w:t>
      </w:r>
      <w:r>
        <w:rPr>
          <w:rFonts w:hint="cs"/>
          <w:spacing w:val="-4"/>
          <w:rtl/>
        </w:rPr>
        <w:t>على ثلاثة أقسام:</w:t>
      </w:r>
    </w:p>
    <w:p w:rsidR="00035BE3" w:rsidRDefault="00035BE3" w:rsidP="00C10469">
      <w:pPr>
        <w:pStyle w:val="a6"/>
        <w:ind w:left="422" w:firstLine="0"/>
        <w:rPr>
          <w:rtl/>
        </w:rPr>
      </w:pPr>
      <w:r>
        <w:rPr>
          <w:rFonts w:hint="cs"/>
          <w:rtl/>
        </w:rPr>
        <w:t>- قسم في أصول الدين.</w:t>
      </w:r>
    </w:p>
    <w:p w:rsidR="00035BE3" w:rsidRDefault="00035BE3" w:rsidP="00C10469">
      <w:pPr>
        <w:pStyle w:val="a6"/>
        <w:ind w:left="422" w:firstLine="0"/>
        <w:rPr>
          <w:rtl/>
        </w:rPr>
      </w:pPr>
      <w:r>
        <w:rPr>
          <w:rFonts w:hint="cs"/>
          <w:rtl/>
        </w:rPr>
        <w:t>- وقسم في أصول الفقه.</w:t>
      </w:r>
    </w:p>
    <w:p w:rsidR="00035BE3" w:rsidRDefault="00035BE3" w:rsidP="00C10469">
      <w:pPr>
        <w:pStyle w:val="a6"/>
        <w:ind w:left="422" w:firstLine="0"/>
        <w:rPr>
          <w:rtl/>
        </w:rPr>
      </w:pPr>
      <w:r>
        <w:rPr>
          <w:rFonts w:hint="cs"/>
          <w:rtl/>
        </w:rPr>
        <w:t>- وقسم في الفروع. وأكثر فيها من ذكر الفروع المهمة في كراريسَ يسيرةٍ</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وهذا الكتاب </w:t>
      </w:r>
      <w:r>
        <w:rPr>
          <w:rFonts w:hint="eastAsia"/>
          <w:spacing w:val="-6"/>
          <w:rtl/>
        </w:rPr>
        <w:t>«</w:t>
      </w:r>
      <w:r>
        <w:rPr>
          <w:rFonts w:hint="cs"/>
          <w:spacing w:val="-6"/>
          <w:rtl/>
        </w:rPr>
        <w:t>إنما قيل فيه (القدسي)؛ لأنه صنفه في القدس</w:t>
      </w:r>
      <w:r>
        <w:rPr>
          <w:rFonts w:hint="eastAsia"/>
          <w:spacing w:val="-6"/>
          <w:rtl/>
        </w:rPr>
        <w:t>»</w:t>
      </w:r>
      <w:r>
        <w:rPr>
          <w:rFonts w:hint="cs"/>
          <w:spacing w:val="-6"/>
          <w:rtl/>
        </w:rPr>
        <w:t>- قاله صاحب (كشف الظنون)، 1/627-.</w:t>
      </w:r>
    </w:p>
    <w:p w:rsidR="00035BE3" w:rsidRDefault="00035BE3" w:rsidP="00C10469">
      <w:pPr>
        <w:pStyle w:val="a6"/>
        <w:ind w:left="422" w:firstLine="0"/>
        <w:rPr>
          <w:b/>
          <w:bCs/>
          <w:rtl/>
        </w:rPr>
      </w:pPr>
      <w:r>
        <w:rPr>
          <w:rFonts w:hint="cs"/>
          <w:b/>
          <w:bCs/>
          <w:rtl/>
        </w:rPr>
        <w:t>أما مؤلف هذا الكتاب فهو محلّ خلاف بين العلماء :</w:t>
      </w:r>
      <w:r>
        <w:rPr>
          <w:rFonts w:hint="cs"/>
          <w:b/>
          <w:bCs/>
          <w:rtl/>
        </w:rPr>
        <w:tab/>
      </w:r>
      <w:r>
        <w:rPr>
          <w:rFonts w:hint="cs"/>
          <w:b/>
          <w:bCs/>
          <w:rtl/>
        </w:rPr>
        <w:tab/>
      </w:r>
      <w:r>
        <w:rPr>
          <w:rFonts w:hint="cs"/>
          <w:b/>
          <w:bCs/>
          <w:rtl/>
        </w:rPr>
        <w:tab/>
      </w:r>
      <w:r>
        <w:rPr>
          <w:rFonts w:hint="cs"/>
          <w:b/>
          <w:bCs/>
          <w:rtl/>
        </w:rPr>
        <w:tab/>
      </w:r>
      <w:r>
        <w:rPr>
          <w:rFonts w:hint="cs"/>
          <w:b/>
          <w:bCs/>
          <w:rtl/>
        </w:rPr>
        <w:tab/>
        <w:t xml:space="preserve"> </w:t>
      </w:r>
    </w:p>
    <w:p w:rsidR="00035BE3" w:rsidRDefault="00035BE3" w:rsidP="00C10469">
      <w:pPr>
        <w:pStyle w:val="a6"/>
        <w:ind w:left="422" w:firstLine="0"/>
        <w:rPr>
          <w:rtl/>
        </w:rPr>
      </w:pPr>
      <w:r>
        <w:rPr>
          <w:rtl/>
        </w:rPr>
        <w:t>•</w:t>
      </w:r>
      <w:r>
        <w:rPr>
          <w:rFonts w:hint="cs"/>
          <w:rtl/>
        </w:rPr>
        <w:t xml:space="preserve"> فقد صدّر صاحب (كشف الظنون) -1/627- حديثه عن هذا الكتاب بقوله: </w:t>
      </w:r>
      <w:r>
        <w:rPr>
          <w:rFonts w:hint="eastAsia"/>
          <w:rtl/>
        </w:rPr>
        <w:t>«</w:t>
      </w:r>
      <w:r>
        <w:rPr>
          <w:rFonts w:hint="cs"/>
          <w:rtl/>
        </w:rPr>
        <w:t>الحاوي القدسي في الفروع للقاضي جمال الدين أحمد بن محمد بن نوح القابسي الغزنوي الحنفي المتوفي في حدود سنة 600</w:t>
      </w:r>
      <w:r>
        <w:rPr>
          <w:rFonts w:hint="eastAsia"/>
          <w:rtl/>
        </w:rPr>
        <w:t>»</w:t>
      </w:r>
      <w:r>
        <w:rPr>
          <w:rFonts w:hint="cs"/>
          <w:rtl/>
        </w:rPr>
        <w:t xml:space="preserve">، ثم عزا هذه النسبة إلى ابن الشحنة (ت921هـ) في هوامش الجواهر، وبعد ذلك أورد إشكالاً عليها فقال : </w:t>
      </w:r>
      <w:r>
        <w:rPr>
          <w:rFonts w:hint="eastAsia"/>
          <w:rtl/>
        </w:rPr>
        <w:t>«</w:t>
      </w:r>
      <w:r>
        <w:rPr>
          <w:rFonts w:hint="cs"/>
          <w:rtl/>
        </w:rPr>
        <w:t xml:space="preserve">ثم رأيت في ظهر نسخة منه أن مصنفه الشيخ </w:t>
      </w:r>
      <w:r>
        <w:rPr>
          <w:rFonts w:hint="cs"/>
          <w:b/>
          <w:bCs/>
          <w:rtl/>
        </w:rPr>
        <w:t>محمد</w:t>
      </w:r>
      <w:r>
        <w:rPr>
          <w:rFonts w:hint="cs"/>
          <w:rtl/>
        </w:rPr>
        <w:t xml:space="preserve"> الغزنوي، والله سبحانه وتعالى أعلم</w:t>
      </w:r>
      <w:r>
        <w:rPr>
          <w:rFonts w:hint="eastAsia"/>
          <w:rtl/>
        </w:rPr>
        <w:t>»</w:t>
      </w:r>
      <w:r>
        <w:rPr>
          <w:rFonts w:hint="cs"/>
          <w:rtl/>
        </w:rPr>
        <w:t>.</w:t>
      </w:r>
    </w:p>
    <w:p w:rsidR="00035BE3" w:rsidRDefault="00035BE3" w:rsidP="00C10469">
      <w:pPr>
        <w:pStyle w:val="a6"/>
        <w:ind w:left="422" w:firstLine="0"/>
      </w:pPr>
      <w:r>
        <w:rPr>
          <w:rtl/>
        </w:rPr>
        <w:t>•</w:t>
      </w:r>
      <w:r>
        <w:rPr>
          <w:rFonts w:hint="cs"/>
          <w:rtl/>
        </w:rPr>
        <w:t xml:space="preserve"> أمّا صاحب (الفوائد البهية) -ص247- فقد نقل كلام صاحب (كشف الظنون) ولم يعلِّق عليه، إلا أنه نقل نقلاً آخر عن </w:t>
      </w:r>
      <w:r>
        <w:rPr>
          <w:rFonts w:hint="eastAsia"/>
          <w:rtl/>
        </w:rPr>
        <w:t>«</w:t>
      </w:r>
      <w:r>
        <w:rPr>
          <w:rFonts w:hint="cs"/>
          <w:rtl/>
        </w:rPr>
        <w:t>ابن أمير حاج في (شرح منية المصلي) أن مؤلف (الحاوي القدسي) : فَرْغاني</w:t>
      </w:r>
      <w:r>
        <w:rPr>
          <w:rFonts w:hint="eastAsia"/>
          <w:rtl/>
        </w:rPr>
        <w:t>»</w:t>
      </w:r>
      <w:r>
        <w:rPr>
          <w:rFonts w:hint="cs"/>
          <w:rtl/>
        </w:rPr>
        <w:t>.</w:t>
      </w:r>
    </w:p>
    <w:p w:rsidR="00035BE3" w:rsidRDefault="00035BE3" w:rsidP="00C10469">
      <w:pPr>
        <w:pStyle w:val="a6"/>
        <w:ind w:left="422" w:firstLine="0"/>
        <w:rPr>
          <w:rtl/>
        </w:rPr>
      </w:pPr>
      <w:r>
        <w:rPr>
          <w:rtl/>
        </w:rPr>
        <w:t>•</w:t>
      </w:r>
      <w:r>
        <w:rPr>
          <w:rFonts w:hint="cs"/>
          <w:rtl/>
        </w:rPr>
        <w:t xml:space="preserve"> </w:t>
      </w:r>
      <w:r>
        <w:rPr>
          <w:rFonts w:hint="eastAsia"/>
          <w:rtl/>
        </w:rPr>
        <w:t>كما</w:t>
      </w:r>
      <w:r>
        <w:rPr>
          <w:rtl/>
        </w:rPr>
        <w:t xml:space="preserve"> عدّ ابن نجيم - في أشباهه، ص18- </w:t>
      </w:r>
      <w:r>
        <w:rPr>
          <w:rFonts w:hint="eastAsia"/>
          <w:rtl/>
        </w:rPr>
        <w:t>كتاب</w:t>
      </w:r>
      <w:r>
        <w:rPr>
          <w:rtl/>
        </w:rPr>
        <w:t xml:space="preserve"> (الحاوي القدسي) من الكتب التي نقل منها مؤلفاته الفقهية.</w:t>
      </w:r>
    </w:p>
    <w:p w:rsidR="00035BE3" w:rsidRDefault="00035BE3" w:rsidP="00C10469">
      <w:pPr>
        <w:pStyle w:val="a6"/>
        <w:ind w:left="422" w:firstLine="0"/>
        <w:rPr>
          <w:rtl/>
        </w:rPr>
      </w:pPr>
      <w:r>
        <w:rPr>
          <w:rtl/>
        </w:rPr>
        <w:t>•</w:t>
      </w:r>
      <w:r>
        <w:rPr>
          <w:rFonts w:hint="cs"/>
          <w:rtl/>
        </w:rPr>
        <w:t xml:space="preserve"> </w:t>
      </w:r>
      <w:r>
        <w:rPr>
          <w:rFonts w:hint="eastAsia"/>
          <w:rtl/>
        </w:rPr>
        <w:t>وقد</w:t>
      </w:r>
      <w:r>
        <w:rPr>
          <w:rtl/>
        </w:rPr>
        <w:t xml:space="preserve"> علّق على ما جاء في الأشباه صاحبُ (غمز عيون البصائر) -1/50- فقال : «والحاوي القدسي: قيل : والحاوي لأصحابنا اثنان :</w:t>
      </w:r>
    </w:p>
    <w:p w:rsidR="00035BE3" w:rsidRDefault="00035BE3" w:rsidP="00C10469">
      <w:pPr>
        <w:pStyle w:val="a6"/>
        <w:ind w:left="422" w:firstLine="0"/>
        <w:rPr>
          <w:rtl/>
        </w:rPr>
      </w:pPr>
      <w:r>
        <w:rPr>
          <w:rFonts w:hint="eastAsia"/>
          <w:rtl/>
        </w:rPr>
        <w:t>الحاوي</w:t>
      </w:r>
      <w:r>
        <w:rPr>
          <w:rtl/>
        </w:rPr>
        <w:t xml:space="preserve"> </w:t>
      </w:r>
      <w:r>
        <w:rPr>
          <w:rFonts w:hint="eastAsia"/>
          <w:rtl/>
        </w:rPr>
        <w:t>القدسي،</w:t>
      </w:r>
      <w:r>
        <w:rPr>
          <w:rtl/>
        </w:rPr>
        <w:t xml:space="preserve"> وأظنه لرجل متأخر كان يسمى قاضي القدس، ولا أعرف تفصيل ترجمته.</w:t>
      </w:r>
    </w:p>
    <w:p w:rsidR="00035BE3" w:rsidRDefault="00035BE3" w:rsidP="00C10469">
      <w:pPr>
        <w:pStyle w:val="a6"/>
        <w:ind w:left="422" w:firstLine="0"/>
        <w:rPr>
          <w:rtl/>
        </w:rPr>
      </w:pPr>
      <w:r>
        <w:rPr>
          <w:rFonts w:hint="eastAsia"/>
          <w:rtl/>
        </w:rPr>
        <w:t>والحاوي</w:t>
      </w:r>
      <w:r>
        <w:rPr>
          <w:rtl/>
        </w:rPr>
        <w:t xml:space="preserve"> </w:t>
      </w:r>
      <w:r>
        <w:rPr>
          <w:rFonts w:hint="eastAsia"/>
          <w:rtl/>
        </w:rPr>
        <w:t>الحصيري،</w:t>
      </w:r>
      <w:r>
        <w:rPr>
          <w:rtl/>
        </w:rPr>
        <w:t xml:space="preserve"> وهو للشيخ محمد بن أنوش الحصيري [ت500هـ]».</w:t>
      </w:r>
    </w:p>
    <w:p w:rsidR="00035BE3" w:rsidRDefault="00035BE3" w:rsidP="00C10469">
      <w:pPr>
        <w:pStyle w:val="a6"/>
        <w:ind w:left="422" w:firstLine="0"/>
        <w:rPr>
          <w:rtl/>
        </w:rPr>
      </w:pPr>
      <w:r>
        <w:rPr>
          <w:rFonts w:hint="eastAsia"/>
          <w:rtl/>
        </w:rPr>
        <w:t>وبعد</w:t>
      </w:r>
      <w:r>
        <w:rPr>
          <w:rtl/>
        </w:rPr>
        <w:t xml:space="preserve"> </w:t>
      </w:r>
      <w:r>
        <w:rPr>
          <w:rFonts w:hint="eastAsia"/>
          <w:rtl/>
        </w:rPr>
        <w:t>أن</w:t>
      </w:r>
      <w:r>
        <w:rPr>
          <w:rtl/>
        </w:rPr>
        <w:t xml:space="preserve"> نقل الحموي هذا الكلام زاد عليه فقال :</w:t>
      </w:r>
    </w:p>
    <w:p w:rsidR="00035BE3" w:rsidRDefault="00035BE3" w:rsidP="00C10469">
      <w:pPr>
        <w:pStyle w:val="a6"/>
        <w:ind w:left="422" w:firstLine="0"/>
        <w:rPr>
          <w:rtl/>
        </w:rPr>
      </w:pPr>
      <w:r>
        <w:rPr>
          <w:rFonts w:hint="eastAsia"/>
          <w:rtl/>
        </w:rPr>
        <w:t>«بقي</w:t>
      </w:r>
      <w:r>
        <w:rPr>
          <w:rtl/>
        </w:rPr>
        <w:t xml:space="preserve"> </w:t>
      </w:r>
      <w:r>
        <w:rPr>
          <w:rFonts w:hint="eastAsia"/>
          <w:rtl/>
        </w:rPr>
        <w:t>حاوٍ</w:t>
      </w:r>
      <w:r>
        <w:rPr>
          <w:rtl/>
        </w:rPr>
        <w:t xml:space="preserve"> ثالث، وهو حاوي الزاهدي [ت658هـ] مؤلفه صاحب (القنية)...».</w:t>
      </w:r>
    </w:p>
    <w:p w:rsidR="00035BE3" w:rsidRDefault="00035BE3" w:rsidP="00C10469">
      <w:pPr>
        <w:pStyle w:val="a6"/>
        <w:ind w:left="422" w:firstLine="0"/>
        <w:rPr>
          <w:b/>
          <w:bCs/>
          <w:rtl/>
        </w:rPr>
      </w:pPr>
      <w:r>
        <w:rPr>
          <w:rFonts w:hint="eastAsia"/>
          <w:b/>
          <w:bCs/>
          <w:rtl/>
        </w:rPr>
        <w:t>ويمكن</w:t>
      </w:r>
      <w:r>
        <w:rPr>
          <w:b/>
          <w:bCs/>
          <w:rtl/>
        </w:rPr>
        <w:t xml:space="preserve"> أن يستنـتج من </w:t>
      </w:r>
      <w:r>
        <w:rPr>
          <w:rFonts w:hint="eastAsia"/>
          <w:b/>
          <w:bCs/>
          <w:rtl/>
        </w:rPr>
        <w:t>هذه</w:t>
      </w:r>
      <w:r>
        <w:rPr>
          <w:b/>
          <w:bCs/>
          <w:rtl/>
        </w:rPr>
        <w:t xml:space="preserve"> النقول وغيرها ما يأتي :</w:t>
      </w:r>
    </w:p>
    <w:p w:rsidR="00035BE3" w:rsidRDefault="00035BE3" w:rsidP="00C10469">
      <w:pPr>
        <w:pStyle w:val="a6"/>
        <w:ind w:left="422" w:firstLine="0"/>
        <w:rPr>
          <w:spacing w:val="4"/>
          <w:rtl/>
        </w:rPr>
      </w:pPr>
      <w:r>
        <w:rPr>
          <w:b/>
          <w:bCs/>
          <w:spacing w:val="4"/>
          <w:rtl/>
        </w:rPr>
        <w:t>1-</w:t>
      </w:r>
      <w:r>
        <w:rPr>
          <w:spacing w:val="4"/>
          <w:rtl/>
        </w:rPr>
        <w:t xml:space="preserve"> </w:t>
      </w:r>
      <w:r>
        <w:rPr>
          <w:rFonts w:hint="eastAsia"/>
          <w:spacing w:val="4"/>
          <w:rtl/>
        </w:rPr>
        <w:t>أن</w:t>
      </w:r>
      <w:r>
        <w:rPr>
          <w:spacing w:val="4"/>
          <w:rtl/>
        </w:rPr>
        <w:t xml:space="preserve"> ابن الش</w:t>
      </w:r>
      <w:r>
        <w:rPr>
          <w:rFonts w:hint="cs"/>
          <w:spacing w:val="4"/>
          <w:rtl/>
        </w:rPr>
        <w:t>ـ</w:t>
      </w:r>
      <w:r>
        <w:rPr>
          <w:spacing w:val="4"/>
          <w:rtl/>
        </w:rPr>
        <w:t>حن</w:t>
      </w:r>
      <w:r>
        <w:rPr>
          <w:rFonts w:hint="cs"/>
          <w:spacing w:val="4"/>
          <w:rtl/>
        </w:rPr>
        <w:t>ـ</w:t>
      </w:r>
      <w:r>
        <w:rPr>
          <w:spacing w:val="4"/>
          <w:rtl/>
        </w:rPr>
        <w:t>ة عندما نسب الك</w:t>
      </w:r>
      <w:r>
        <w:rPr>
          <w:rFonts w:hint="cs"/>
          <w:spacing w:val="4"/>
          <w:rtl/>
        </w:rPr>
        <w:t>ـ</w:t>
      </w:r>
      <w:r>
        <w:rPr>
          <w:spacing w:val="4"/>
          <w:rtl/>
        </w:rPr>
        <w:t>تاب إلى أحمد بن مح</w:t>
      </w:r>
      <w:r>
        <w:rPr>
          <w:rFonts w:hint="cs"/>
          <w:spacing w:val="4"/>
          <w:rtl/>
        </w:rPr>
        <w:t>ـ</w:t>
      </w:r>
      <w:r>
        <w:rPr>
          <w:spacing w:val="4"/>
          <w:rtl/>
        </w:rPr>
        <w:t xml:space="preserve">مد بن نوح </w:t>
      </w:r>
      <w:r>
        <w:rPr>
          <w:rFonts w:hint="eastAsia"/>
          <w:spacing w:val="4"/>
          <w:rtl/>
        </w:rPr>
        <w:t>الغزنوي</w:t>
      </w:r>
      <w:r>
        <w:rPr>
          <w:spacing w:val="4"/>
          <w:rtl/>
        </w:rPr>
        <w:t xml:space="preserve"> ذكر ذلك بصيغة الجزم.</w:t>
      </w:r>
    </w:p>
    <w:p w:rsidR="00035BE3" w:rsidRDefault="00035BE3" w:rsidP="00C10469">
      <w:pPr>
        <w:pStyle w:val="a6"/>
        <w:ind w:left="422" w:firstLine="0"/>
        <w:rPr>
          <w:rtl/>
        </w:rPr>
      </w:pPr>
      <w:r>
        <w:rPr>
          <w:b/>
          <w:bCs/>
          <w:rtl/>
        </w:rPr>
        <w:t>2</w:t>
      </w:r>
      <w:r>
        <w:rPr>
          <w:rtl/>
        </w:rPr>
        <w:t xml:space="preserve">- </w:t>
      </w:r>
      <w:r>
        <w:rPr>
          <w:rFonts w:hint="eastAsia"/>
          <w:rtl/>
        </w:rPr>
        <w:t>أن</w:t>
      </w:r>
      <w:r>
        <w:rPr>
          <w:rtl/>
        </w:rPr>
        <w:t xml:space="preserve"> صاحب (كشف الظنون) عندما تحدث عن الكتاب صدّر حديثه عنه بنسبته -بصيغة الجزم- </w:t>
      </w:r>
      <w:r>
        <w:rPr>
          <w:rFonts w:hint="eastAsia"/>
          <w:rtl/>
        </w:rPr>
        <w:t>إلى</w:t>
      </w:r>
      <w:r>
        <w:rPr>
          <w:rtl/>
        </w:rPr>
        <w:t xml:space="preserve"> أحمد الغزنوي، وأضاف هذه النسبة إلى صاحبها (وهو ابن الشحنة)، إلا أنه ظهر له </w:t>
      </w:r>
      <w:r>
        <w:rPr>
          <w:rFonts w:hint="eastAsia"/>
          <w:rtl/>
        </w:rPr>
        <w:t>فيما</w:t>
      </w:r>
      <w:r>
        <w:rPr>
          <w:rtl/>
        </w:rPr>
        <w:t xml:space="preserve"> بعد ما يشكل عليها (وهو ما رآه في ظهر نسخة منه أن مصنّفه هو محمد الغزنوي)، </w:t>
      </w:r>
      <w:r>
        <w:rPr>
          <w:rFonts w:hint="eastAsia"/>
          <w:rtl/>
        </w:rPr>
        <w:t>ورأى</w:t>
      </w:r>
      <w:r>
        <w:rPr>
          <w:rtl/>
        </w:rPr>
        <w:t xml:space="preserve"> أن هذا الإشكال كافٍ في التشكيك في صحّة نسبته إلى أحمد الغزنوي، ممّا دفعه </w:t>
      </w:r>
      <w:r>
        <w:rPr>
          <w:rFonts w:hint="eastAsia"/>
          <w:rtl/>
        </w:rPr>
        <w:t>إلى</w:t>
      </w:r>
      <w:r>
        <w:rPr>
          <w:rtl/>
        </w:rPr>
        <w:t xml:space="preserve"> التوقف في المسألة.</w:t>
      </w:r>
    </w:p>
    <w:p w:rsidR="00035BE3" w:rsidRDefault="00035BE3" w:rsidP="00C10469">
      <w:pPr>
        <w:pStyle w:val="a6"/>
        <w:ind w:left="422" w:firstLine="0"/>
        <w:rPr>
          <w:rtl/>
        </w:rPr>
      </w:pPr>
      <w:r>
        <w:rPr>
          <w:rFonts w:hint="eastAsia"/>
          <w:rtl/>
        </w:rPr>
        <w:t>وقد</w:t>
      </w:r>
      <w:r>
        <w:rPr>
          <w:rtl/>
        </w:rPr>
        <w:t xml:space="preserve"> شاركه صاحب (الفوائد البهية)؛ وذلك بنقل كلامه دون التعليق عليه ! -خلافًا لعادته في تحرير </w:t>
      </w:r>
      <w:r>
        <w:rPr>
          <w:rFonts w:hint="eastAsia"/>
          <w:rtl/>
        </w:rPr>
        <w:t>مثل</w:t>
      </w:r>
      <w:r>
        <w:rPr>
          <w:rtl/>
        </w:rPr>
        <w:t xml:space="preserve"> هذه الأمور وعدم إطلاقها-.</w:t>
      </w:r>
    </w:p>
    <w:p w:rsidR="00035BE3" w:rsidRDefault="00035BE3" w:rsidP="00C10469">
      <w:pPr>
        <w:pStyle w:val="a6"/>
        <w:ind w:left="422" w:firstLine="0"/>
        <w:rPr>
          <w:rtl/>
        </w:rPr>
      </w:pPr>
      <w:r>
        <w:rPr>
          <w:b/>
          <w:bCs/>
          <w:rtl/>
        </w:rPr>
        <w:t>3</w:t>
      </w:r>
      <w:r>
        <w:rPr>
          <w:rtl/>
        </w:rPr>
        <w:t xml:space="preserve">- </w:t>
      </w:r>
      <w:r>
        <w:rPr>
          <w:rFonts w:hint="eastAsia"/>
          <w:rtl/>
        </w:rPr>
        <w:t>أن</w:t>
      </w:r>
      <w:r>
        <w:rPr>
          <w:rtl/>
        </w:rPr>
        <w:t xml:space="preserve"> ما نقله صاحب (الفوائد البهية) عن ابن أمير حاج من أنَّ مؤلفَ (الحاوي القدسي): فَرْغَاني، </w:t>
      </w:r>
      <w:r w:rsidRPr="009C7CE7">
        <w:rPr>
          <w:spacing w:val="-4"/>
          <w:rtl/>
        </w:rPr>
        <w:t xml:space="preserve">هذا النقل لا يمنع من أن يكون غَزْنَويًّا أيضًا؛ لأن الإنسان قد </w:t>
      </w:r>
      <w:r w:rsidRPr="009C7CE7">
        <w:rPr>
          <w:rFonts w:hint="eastAsia"/>
          <w:spacing w:val="-4"/>
          <w:rtl/>
        </w:rPr>
        <w:t>يقطن</w:t>
      </w:r>
      <w:r w:rsidRPr="009C7CE7">
        <w:rPr>
          <w:spacing w:val="-4"/>
          <w:rtl/>
        </w:rPr>
        <w:t xml:space="preserve"> بلدانًا مختلفة، فينسب إليها </w:t>
      </w:r>
      <w:r>
        <w:rPr>
          <w:rtl/>
        </w:rPr>
        <w:t xml:space="preserve">جميعًا، </w:t>
      </w:r>
      <w:r>
        <w:rPr>
          <w:rFonts w:hint="cs"/>
          <w:rtl/>
        </w:rPr>
        <w:t>و</w:t>
      </w:r>
      <w:r>
        <w:rPr>
          <w:rtl/>
        </w:rPr>
        <w:t xml:space="preserve">لاسيما أن فرغانة وغزنة مدينتان </w:t>
      </w:r>
      <w:r>
        <w:rPr>
          <w:rFonts w:hint="eastAsia"/>
          <w:rtl/>
        </w:rPr>
        <w:t>متقاربتان،</w:t>
      </w:r>
      <w:r>
        <w:rPr>
          <w:rtl/>
        </w:rPr>
        <w:t xml:space="preserve"> إذْ الأولى مدينة بما وراء النهر، والثانية مدينة في طرف خراسان - انظر : معجم البلدان، 4/287، 228-.</w:t>
      </w:r>
    </w:p>
    <w:p w:rsidR="00035BE3" w:rsidRDefault="00035BE3" w:rsidP="00C10469">
      <w:pPr>
        <w:pStyle w:val="a6"/>
        <w:ind w:left="422" w:firstLine="0"/>
        <w:rPr>
          <w:spacing w:val="-6"/>
          <w:rtl/>
        </w:rPr>
      </w:pPr>
      <w:r>
        <w:rPr>
          <w:rFonts w:hint="eastAsia"/>
          <w:spacing w:val="-6"/>
          <w:rtl/>
        </w:rPr>
        <w:t>ويمكن</w:t>
      </w:r>
      <w:r>
        <w:rPr>
          <w:spacing w:val="-6"/>
          <w:rtl/>
        </w:rPr>
        <w:t xml:space="preserve"> </w:t>
      </w:r>
      <w:r>
        <w:rPr>
          <w:rFonts w:hint="eastAsia"/>
          <w:spacing w:val="-6"/>
          <w:rtl/>
        </w:rPr>
        <w:t>أن</w:t>
      </w:r>
      <w:r>
        <w:rPr>
          <w:spacing w:val="-6"/>
          <w:rtl/>
        </w:rPr>
        <w:t xml:space="preserve"> يُقال مثل ذلك فيما نقله الحموي من أنَّ مؤلف (الحاوي القدسي) كان يسمى بقاضي </w:t>
      </w:r>
      <w:r>
        <w:rPr>
          <w:rFonts w:hint="eastAsia"/>
          <w:spacing w:val="-6"/>
          <w:rtl/>
        </w:rPr>
        <w:t>القدس</w:t>
      </w:r>
      <w:r>
        <w:rPr>
          <w:spacing w:val="-6"/>
          <w:rtl/>
        </w:rPr>
        <w:t>.</w:t>
      </w:r>
    </w:p>
    <w:p w:rsidR="00035BE3" w:rsidRDefault="00035BE3" w:rsidP="00C10469">
      <w:pPr>
        <w:pStyle w:val="a6"/>
        <w:ind w:left="422" w:firstLine="0"/>
        <w:rPr>
          <w:rtl/>
        </w:rPr>
      </w:pPr>
      <w:r>
        <w:rPr>
          <w:b/>
          <w:bCs/>
          <w:rtl/>
        </w:rPr>
        <w:t>4</w:t>
      </w:r>
      <w:r>
        <w:rPr>
          <w:rtl/>
        </w:rPr>
        <w:t xml:space="preserve">- </w:t>
      </w:r>
      <w:r>
        <w:rPr>
          <w:rFonts w:hint="eastAsia"/>
          <w:rtl/>
        </w:rPr>
        <w:t>كون</w:t>
      </w:r>
      <w:r>
        <w:rPr>
          <w:rtl/>
        </w:rPr>
        <w:t xml:space="preserve"> الحموي ينقل أيضًا أنه لرجل متأخر لا يتعارض مع نسبته لأحمد الغزنوي (ت593هـ)؛ </w:t>
      </w:r>
      <w:r w:rsidRPr="001E2FAE">
        <w:rPr>
          <w:rFonts w:hint="eastAsia"/>
          <w:spacing w:val="-4"/>
          <w:rtl/>
        </w:rPr>
        <w:t>بل</w:t>
      </w:r>
      <w:r w:rsidRPr="001E2FAE">
        <w:rPr>
          <w:spacing w:val="-4"/>
          <w:rtl/>
        </w:rPr>
        <w:t xml:space="preserve"> يعضده؛ لأن المتأخر</w:t>
      </w:r>
      <w:r>
        <w:rPr>
          <w:spacing w:val="-4"/>
          <w:rtl/>
        </w:rPr>
        <w:t>ين في مصطلح الحنفية هم</w:t>
      </w:r>
      <w:r w:rsidRPr="001E2FAE">
        <w:rPr>
          <w:spacing w:val="-4"/>
          <w:rtl/>
        </w:rPr>
        <w:t xml:space="preserve">: «من شمس الأئمة الحلواني [ت448هـ] </w:t>
      </w:r>
      <w:r w:rsidRPr="001E2FAE">
        <w:rPr>
          <w:rFonts w:hint="eastAsia"/>
          <w:spacing w:val="-4"/>
          <w:rtl/>
        </w:rPr>
        <w:t>إلى</w:t>
      </w:r>
      <w:r w:rsidRPr="001E2FAE">
        <w:rPr>
          <w:spacing w:val="-4"/>
          <w:rtl/>
        </w:rPr>
        <w:t xml:space="preserve"> </w:t>
      </w:r>
      <w:r>
        <w:rPr>
          <w:rtl/>
        </w:rPr>
        <w:t xml:space="preserve">حافظ </w:t>
      </w:r>
      <w:r w:rsidRPr="001E2FAE">
        <w:rPr>
          <w:spacing w:val="-4"/>
          <w:rtl/>
        </w:rPr>
        <w:t xml:space="preserve">الدين البخاري [ت693هـ]» -كما أفاد ذلك صاحب (الفوائد البهية)، ص241، </w:t>
      </w:r>
      <w:r w:rsidRPr="001E2FAE">
        <w:rPr>
          <w:rFonts w:hint="eastAsia"/>
          <w:spacing w:val="-4"/>
          <w:rtl/>
        </w:rPr>
        <w:t>وصاحب</w:t>
      </w:r>
      <w:r>
        <w:rPr>
          <w:rtl/>
        </w:rPr>
        <w:t xml:space="preserve"> (المذهب عند الحنفية)، ص57-58- ولاشك أن أحمد الغزنوي (ت593هـ) كان يعيش في </w:t>
      </w:r>
      <w:r>
        <w:rPr>
          <w:rFonts w:hint="eastAsia"/>
          <w:rtl/>
        </w:rPr>
        <w:t>هذه</w:t>
      </w:r>
      <w:r>
        <w:rPr>
          <w:rtl/>
        </w:rPr>
        <w:t xml:space="preserve"> الفترة.</w:t>
      </w:r>
    </w:p>
    <w:p w:rsidR="00035BE3" w:rsidRDefault="00035BE3" w:rsidP="00C10469">
      <w:pPr>
        <w:pStyle w:val="a6"/>
        <w:ind w:left="422" w:firstLine="0"/>
        <w:rPr>
          <w:spacing w:val="-6"/>
          <w:rtl/>
        </w:rPr>
      </w:pPr>
      <w:r>
        <w:rPr>
          <w:b/>
          <w:bCs/>
          <w:spacing w:val="-6"/>
          <w:rtl/>
        </w:rPr>
        <w:t>5-</w:t>
      </w:r>
      <w:r>
        <w:rPr>
          <w:spacing w:val="-6"/>
          <w:rtl/>
        </w:rPr>
        <w:t xml:space="preserve"> </w:t>
      </w:r>
      <w:r>
        <w:rPr>
          <w:rFonts w:hint="eastAsia"/>
          <w:spacing w:val="-6"/>
          <w:rtl/>
        </w:rPr>
        <w:t>بالتتبع</w:t>
      </w:r>
      <w:r>
        <w:rPr>
          <w:spacing w:val="-6"/>
          <w:rtl/>
        </w:rPr>
        <w:t xml:space="preserve"> القاصر لعددٍ من كتب طبقات الحنفية، بحثًا عن </w:t>
      </w:r>
      <w:r>
        <w:rPr>
          <w:rFonts w:hint="eastAsia"/>
          <w:spacing w:val="-6"/>
          <w:rtl/>
        </w:rPr>
        <w:t>ترجمة</w:t>
      </w:r>
      <w:r>
        <w:rPr>
          <w:spacing w:val="-6"/>
          <w:rtl/>
        </w:rPr>
        <w:t xml:space="preserve"> لمحمد الغزنوي، تمَّتْ ملاحظة ما يأتي:</w:t>
      </w:r>
    </w:p>
    <w:p w:rsidR="00035BE3" w:rsidRDefault="00035BE3" w:rsidP="00C10469">
      <w:pPr>
        <w:pStyle w:val="a6"/>
        <w:ind w:left="422" w:firstLine="0"/>
        <w:rPr>
          <w:rtl/>
        </w:rPr>
      </w:pPr>
      <w:r>
        <w:rPr>
          <w:rFonts w:hint="eastAsia"/>
          <w:b/>
          <w:bCs/>
          <w:rtl/>
        </w:rPr>
        <w:t>أ</w:t>
      </w:r>
      <w:r>
        <w:rPr>
          <w:b/>
          <w:bCs/>
          <w:rtl/>
        </w:rPr>
        <w:t>-</w:t>
      </w:r>
      <w:r>
        <w:rPr>
          <w:rFonts w:hint="eastAsia"/>
          <w:rtl/>
        </w:rPr>
        <w:t>لم</w:t>
      </w:r>
      <w:r>
        <w:rPr>
          <w:rtl/>
        </w:rPr>
        <w:t xml:space="preserve"> </w:t>
      </w:r>
      <w:r>
        <w:rPr>
          <w:rFonts w:hint="eastAsia"/>
          <w:rtl/>
        </w:rPr>
        <w:t>يذكر</w:t>
      </w:r>
      <w:r>
        <w:rPr>
          <w:rtl/>
        </w:rPr>
        <w:t xml:space="preserve"> صاحب (الجواهر المضية) مَن اسمه محمد الغزنوي إلا واحدًا، وهو محمد بن يوسف </w:t>
      </w:r>
      <w:r>
        <w:rPr>
          <w:rFonts w:hint="eastAsia"/>
          <w:rtl/>
        </w:rPr>
        <w:t>بن</w:t>
      </w:r>
      <w:r>
        <w:rPr>
          <w:rtl/>
        </w:rPr>
        <w:t xml:space="preserve"> علي، أبو الفضل البغدادي الغزنوي (ت599هـ)، ولم يذكر له مؤلفات - انظر الجواهر، 3/410-412، رقم 1588-.</w:t>
      </w:r>
    </w:p>
    <w:p w:rsidR="00035BE3" w:rsidRDefault="00035BE3" w:rsidP="00C10469">
      <w:pPr>
        <w:pStyle w:val="a6"/>
        <w:ind w:left="422" w:firstLine="0"/>
        <w:rPr>
          <w:rtl/>
        </w:rPr>
      </w:pPr>
      <w:r>
        <w:rPr>
          <w:rFonts w:hint="eastAsia"/>
          <w:b/>
          <w:bCs/>
          <w:rtl/>
        </w:rPr>
        <w:t>ب</w:t>
      </w:r>
      <w:r>
        <w:rPr>
          <w:rtl/>
        </w:rPr>
        <w:t xml:space="preserve">- </w:t>
      </w:r>
      <w:r>
        <w:rPr>
          <w:rFonts w:hint="eastAsia"/>
          <w:rtl/>
        </w:rPr>
        <w:t>ليس</w:t>
      </w:r>
      <w:r>
        <w:rPr>
          <w:rtl/>
        </w:rPr>
        <w:t xml:space="preserve"> في (تاج التراجم) من يعرف بمحمد الغزنوي.</w:t>
      </w:r>
    </w:p>
    <w:p w:rsidR="00035BE3" w:rsidRDefault="00035BE3" w:rsidP="00C10469">
      <w:pPr>
        <w:pStyle w:val="a6"/>
        <w:ind w:left="422" w:firstLine="0"/>
        <w:rPr>
          <w:rtl/>
        </w:rPr>
      </w:pPr>
      <w:r>
        <w:rPr>
          <w:rFonts w:hint="eastAsia"/>
          <w:b/>
          <w:bCs/>
          <w:rtl/>
        </w:rPr>
        <w:t>جـ</w:t>
      </w:r>
      <w:r>
        <w:rPr>
          <w:rtl/>
        </w:rPr>
        <w:t xml:space="preserve">- </w:t>
      </w:r>
      <w:r>
        <w:rPr>
          <w:rFonts w:hint="eastAsia"/>
          <w:rtl/>
        </w:rPr>
        <w:t>لم</w:t>
      </w:r>
      <w:r>
        <w:rPr>
          <w:rtl/>
        </w:rPr>
        <w:t xml:space="preserve"> يذكر صاحب (مفتاح السعادة) من اسمه (محمد الغزنوي) إلا عرضًا وفي موضع واحد، </w:t>
      </w:r>
      <w:r>
        <w:rPr>
          <w:rFonts w:hint="eastAsia"/>
          <w:rtl/>
        </w:rPr>
        <w:t>وذلك</w:t>
      </w:r>
      <w:r>
        <w:rPr>
          <w:rtl/>
        </w:rPr>
        <w:t xml:space="preserve"> في </w:t>
      </w:r>
      <w:r>
        <w:rPr>
          <w:rFonts w:hint="cs"/>
          <w:rtl/>
        </w:rPr>
        <w:t>أ</w:t>
      </w:r>
      <w:r>
        <w:rPr>
          <w:rtl/>
        </w:rPr>
        <w:t>ثنا</w:t>
      </w:r>
      <w:r>
        <w:rPr>
          <w:rFonts w:hint="cs"/>
          <w:rtl/>
        </w:rPr>
        <w:t>ء</w:t>
      </w:r>
      <w:r>
        <w:rPr>
          <w:rtl/>
        </w:rPr>
        <w:t xml:space="preserve"> ترجمته لعلي السخاوي (ت643هـ)، حيث ذكر أنه قرأ </w:t>
      </w:r>
      <w:r>
        <w:rPr>
          <w:rFonts w:hint="eastAsia"/>
          <w:b/>
          <w:bCs/>
          <w:rtl/>
        </w:rPr>
        <w:t>القراءات</w:t>
      </w:r>
      <w:r>
        <w:rPr>
          <w:rtl/>
        </w:rPr>
        <w:t xml:space="preserve"> </w:t>
      </w:r>
      <w:r>
        <w:rPr>
          <w:rFonts w:hint="eastAsia"/>
          <w:rtl/>
        </w:rPr>
        <w:t>عل</w:t>
      </w:r>
      <w:r>
        <w:rPr>
          <w:rFonts w:hint="cs"/>
          <w:rtl/>
        </w:rPr>
        <w:t>ى</w:t>
      </w:r>
      <w:r>
        <w:rPr>
          <w:rtl/>
        </w:rPr>
        <w:t xml:space="preserve"> </w:t>
      </w:r>
      <w:r>
        <w:rPr>
          <w:rFonts w:hint="eastAsia"/>
          <w:rtl/>
        </w:rPr>
        <w:t>محمد</w:t>
      </w:r>
      <w:r>
        <w:rPr>
          <w:rtl/>
        </w:rPr>
        <w:t xml:space="preserve"> بن يوسف، أب</w:t>
      </w:r>
      <w:r>
        <w:rPr>
          <w:rFonts w:hint="cs"/>
          <w:rtl/>
        </w:rPr>
        <w:t>ي</w:t>
      </w:r>
      <w:r>
        <w:rPr>
          <w:rtl/>
        </w:rPr>
        <w:t xml:space="preserve"> الفضل الغزنوي -انظر : المفتاح، 2/45-.</w:t>
      </w:r>
    </w:p>
    <w:p w:rsidR="00035BE3" w:rsidRDefault="00035BE3" w:rsidP="00C10469">
      <w:pPr>
        <w:pStyle w:val="a6"/>
        <w:ind w:left="422" w:firstLine="0"/>
        <w:rPr>
          <w:rtl/>
        </w:rPr>
      </w:pPr>
      <w:r>
        <w:rPr>
          <w:rFonts w:hint="eastAsia"/>
          <w:b/>
          <w:bCs/>
          <w:rtl/>
        </w:rPr>
        <w:t>د</w:t>
      </w:r>
      <w:r>
        <w:rPr>
          <w:rtl/>
        </w:rPr>
        <w:t xml:space="preserve">-لم </w:t>
      </w:r>
      <w:r>
        <w:rPr>
          <w:rFonts w:hint="eastAsia"/>
          <w:rtl/>
        </w:rPr>
        <w:t>يترجم</w:t>
      </w:r>
      <w:r>
        <w:rPr>
          <w:rtl/>
        </w:rPr>
        <w:t xml:space="preserve"> صاحب (الفوائد البهية) لمن اسمه (محمد الغزنوي) إلا لرجل واحد، وهو محمد بن </w:t>
      </w:r>
      <w:r>
        <w:rPr>
          <w:rFonts w:hint="eastAsia"/>
          <w:rtl/>
        </w:rPr>
        <w:t>يوسف</w:t>
      </w:r>
      <w:r>
        <w:rPr>
          <w:rtl/>
        </w:rPr>
        <w:t xml:space="preserve"> بن علي، أبو الفضل الغزنوي البغدادي، ولم يذكر له مؤلفات - انظر الفوائد، </w:t>
      </w:r>
      <w:r>
        <w:rPr>
          <w:rFonts w:hint="eastAsia"/>
          <w:rtl/>
        </w:rPr>
        <w:t>ص</w:t>
      </w:r>
      <w:r>
        <w:rPr>
          <w:rtl/>
        </w:rPr>
        <w:t>204.</w:t>
      </w:r>
    </w:p>
    <w:p w:rsidR="00035BE3" w:rsidRDefault="00035BE3" w:rsidP="00C10469">
      <w:pPr>
        <w:pStyle w:val="a6"/>
        <w:ind w:left="422" w:firstLine="0"/>
        <w:rPr>
          <w:rtl/>
        </w:rPr>
      </w:pPr>
      <w:r>
        <w:rPr>
          <w:rFonts w:hint="eastAsia"/>
          <w:b/>
          <w:bCs/>
          <w:rtl/>
        </w:rPr>
        <w:t>هـ</w:t>
      </w:r>
      <w:r>
        <w:rPr>
          <w:rtl/>
        </w:rPr>
        <w:t xml:space="preserve">- </w:t>
      </w:r>
      <w:r>
        <w:rPr>
          <w:rFonts w:hint="eastAsia"/>
          <w:rtl/>
        </w:rPr>
        <w:t>لم</w:t>
      </w:r>
      <w:r>
        <w:rPr>
          <w:rtl/>
        </w:rPr>
        <w:t xml:space="preserve"> يذكر صاحب (هدية العارفين) من اسمه محمد الغزنوي إلا واحدًا، حيث قال في ترجمته: «محمد بن عبد الكريم الغزنوي، له تحفة الصدور في </w:t>
      </w:r>
      <w:r>
        <w:rPr>
          <w:rFonts w:hint="eastAsia"/>
          <w:b/>
          <w:bCs/>
          <w:rtl/>
        </w:rPr>
        <w:t>الحساب،</w:t>
      </w:r>
      <w:r>
        <w:rPr>
          <w:b/>
          <w:bCs/>
          <w:rtl/>
        </w:rPr>
        <w:t xml:space="preserve"> فارسي</w:t>
      </w:r>
      <w:r>
        <w:rPr>
          <w:rFonts w:hint="eastAsia"/>
          <w:rtl/>
        </w:rPr>
        <w:t>،</w:t>
      </w:r>
      <w:r>
        <w:rPr>
          <w:rtl/>
        </w:rPr>
        <w:t xml:space="preserve"> فرغ منها </w:t>
      </w:r>
      <w:r>
        <w:rPr>
          <w:rFonts w:hint="eastAsia"/>
          <w:rtl/>
        </w:rPr>
        <w:t>سنة</w:t>
      </w:r>
      <w:r>
        <w:rPr>
          <w:rtl/>
        </w:rPr>
        <w:t xml:space="preserve"> 744» - هدية العارفين، 2/152-.</w:t>
      </w:r>
    </w:p>
    <w:p w:rsidR="00035BE3" w:rsidRDefault="00035BE3" w:rsidP="00C10469">
      <w:pPr>
        <w:pStyle w:val="a6"/>
        <w:ind w:left="422" w:firstLine="0"/>
        <w:rPr>
          <w:rtl/>
        </w:rPr>
      </w:pPr>
      <w:r>
        <w:rPr>
          <w:rFonts w:hint="eastAsia"/>
          <w:b/>
          <w:bCs/>
          <w:rtl/>
        </w:rPr>
        <w:t>والحاصل</w:t>
      </w:r>
      <w:r>
        <w:rPr>
          <w:b/>
          <w:bCs/>
          <w:rtl/>
        </w:rPr>
        <w:t xml:space="preserve"> من هذه </w:t>
      </w:r>
      <w:r>
        <w:rPr>
          <w:rFonts w:hint="eastAsia"/>
          <w:b/>
          <w:bCs/>
          <w:rtl/>
        </w:rPr>
        <w:t>النقول</w:t>
      </w:r>
      <w:r>
        <w:rPr>
          <w:rtl/>
        </w:rPr>
        <w:t xml:space="preserve"> : أن من عُرفوا بمحمد الغزنوي اثنان :</w:t>
      </w:r>
    </w:p>
    <w:p w:rsidR="00035BE3" w:rsidRDefault="00035BE3" w:rsidP="00C10469">
      <w:pPr>
        <w:pStyle w:val="a6"/>
        <w:ind w:left="422" w:firstLine="0"/>
        <w:rPr>
          <w:rtl/>
        </w:rPr>
      </w:pPr>
      <w:r>
        <w:rPr>
          <w:rFonts w:hint="eastAsia"/>
          <w:b/>
          <w:bCs/>
          <w:rtl/>
        </w:rPr>
        <w:t>الأول</w:t>
      </w:r>
      <w:r>
        <w:rPr>
          <w:rtl/>
        </w:rPr>
        <w:t xml:space="preserve"> : محمد بن يوسف الغزنوي (ت599هـ).</w:t>
      </w:r>
    </w:p>
    <w:p w:rsidR="00035BE3" w:rsidRDefault="00035BE3" w:rsidP="00C10469">
      <w:pPr>
        <w:pStyle w:val="a6"/>
        <w:ind w:left="422" w:firstLine="0"/>
        <w:rPr>
          <w:rtl/>
        </w:rPr>
      </w:pPr>
      <w:r>
        <w:rPr>
          <w:rFonts w:hint="eastAsia"/>
          <w:b/>
          <w:bCs/>
          <w:rtl/>
        </w:rPr>
        <w:t>الثاني</w:t>
      </w:r>
      <w:r>
        <w:rPr>
          <w:b/>
          <w:bCs/>
          <w:rtl/>
        </w:rPr>
        <w:t xml:space="preserve"> </w:t>
      </w:r>
      <w:r>
        <w:rPr>
          <w:rtl/>
        </w:rPr>
        <w:t xml:space="preserve">: </w:t>
      </w:r>
      <w:r>
        <w:rPr>
          <w:rFonts w:hint="eastAsia"/>
          <w:rtl/>
        </w:rPr>
        <w:t>محمد</w:t>
      </w:r>
      <w:r>
        <w:rPr>
          <w:rtl/>
        </w:rPr>
        <w:t xml:space="preserve"> بن عبد الكريم الغزنوي (كان حيًّا سنة 744هـ).</w:t>
      </w:r>
    </w:p>
    <w:p w:rsidR="00035BE3" w:rsidRDefault="00035BE3" w:rsidP="00C10469">
      <w:pPr>
        <w:pStyle w:val="a6"/>
        <w:ind w:left="422" w:firstLine="0"/>
        <w:rPr>
          <w:rtl/>
        </w:rPr>
      </w:pPr>
      <w:r>
        <w:rPr>
          <w:rFonts w:hint="eastAsia"/>
          <w:rtl/>
        </w:rPr>
        <w:t>ولم</w:t>
      </w:r>
      <w:r>
        <w:rPr>
          <w:rtl/>
        </w:rPr>
        <w:t xml:space="preserve"> ينسب لواحدٍ </w:t>
      </w:r>
      <w:r>
        <w:rPr>
          <w:rFonts w:hint="eastAsia"/>
          <w:rtl/>
        </w:rPr>
        <w:t>منهما</w:t>
      </w:r>
      <w:r>
        <w:rPr>
          <w:rtl/>
        </w:rPr>
        <w:t xml:space="preserve"> كتاب (الحاوي القدسي) !.</w:t>
      </w:r>
    </w:p>
    <w:p w:rsidR="00035BE3" w:rsidRDefault="00035BE3" w:rsidP="00C10469">
      <w:pPr>
        <w:pStyle w:val="a6"/>
        <w:ind w:left="422" w:firstLine="0"/>
        <w:rPr>
          <w:spacing w:val="-10"/>
          <w:rtl/>
        </w:rPr>
      </w:pPr>
      <w:r>
        <w:rPr>
          <w:b/>
          <w:bCs/>
          <w:spacing w:val="-10"/>
          <w:rtl/>
        </w:rPr>
        <w:t>6</w:t>
      </w:r>
      <w:r>
        <w:rPr>
          <w:spacing w:val="-10"/>
          <w:rtl/>
        </w:rPr>
        <w:t xml:space="preserve">- وبالجانب المقابل : فإني لم أجد من نسب الكتاب لأحمد </w:t>
      </w:r>
      <w:r>
        <w:rPr>
          <w:rFonts w:hint="eastAsia"/>
          <w:spacing w:val="-10"/>
          <w:rtl/>
        </w:rPr>
        <w:t>الغزنوي</w:t>
      </w:r>
      <w:r>
        <w:rPr>
          <w:spacing w:val="-10"/>
          <w:rtl/>
        </w:rPr>
        <w:t xml:space="preserve"> سوى ما سبق نقله عن (كشف الظنون)، أو من نقل عنه كَ</w:t>
      </w:r>
      <w:r>
        <w:rPr>
          <w:rFonts w:hint="cs"/>
          <w:spacing w:val="-10"/>
          <w:rtl/>
        </w:rPr>
        <w:t>صاحب</w:t>
      </w:r>
      <w:r>
        <w:rPr>
          <w:spacing w:val="-10"/>
          <w:rtl/>
        </w:rPr>
        <w:t xml:space="preserve"> (الفوائد البهية) -ص247-، وصاحب معجم المؤلفين -1/301</w:t>
      </w:r>
      <w:r>
        <w:rPr>
          <w:rFonts w:hint="cs"/>
          <w:spacing w:val="-10"/>
          <w:rtl/>
        </w:rPr>
        <w:t>، رقم 2189</w:t>
      </w:r>
      <w:r>
        <w:rPr>
          <w:spacing w:val="-10"/>
          <w:rtl/>
        </w:rPr>
        <w:t>-.</w:t>
      </w:r>
    </w:p>
    <w:p w:rsidR="00035BE3" w:rsidRDefault="00035BE3" w:rsidP="00C10469">
      <w:pPr>
        <w:pStyle w:val="a6"/>
        <w:ind w:left="422" w:firstLine="0"/>
        <w:rPr>
          <w:rtl/>
        </w:rPr>
      </w:pPr>
      <w:r>
        <w:rPr>
          <w:rFonts w:hint="eastAsia"/>
          <w:rtl/>
        </w:rPr>
        <w:t>وقد</w:t>
      </w:r>
      <w:r>
        <w:rPr>
          <w:rtl/>
        </w:rPr>
        <w:t xml:space="preserve"> جاء في (كشف </w:t>
      </w:r>
      <w:r>
        <w:rPr>
          <w:rFonts w:hint="eastAsia"/>
          <w:rtl/>
        </w:rPr>
        <w:t>الظنون</w:t>
      </w:r>
      <w:r>
        <w:rPr>
          <w:rtl/>
        </w:rPr>
        <w:t xml:space="preserve">) أن اسمه : أحمد بن محمد بن نوح، جمال الدين القابسي الغزنوي المتوفى في </w:t>
      </w:r>
      <w:r>
        <w:rPr>
          <w:rFonts w:hint="eastAsia"/>
          <w:rtl/>
        </w:rPr>
        <w:t>حدود</w:t>
      </w:r>
      <w:r>
        <w:rPr>
          <w:rtl/>
        </w:rPr>
        <w:t xml:space="preserve"> سنة 600 «593».</w:t>
      </w:r>
      <w:r>
        <w:rPr>
          <w:rtl/>
        </w:rPr>
        <w:tab/>
      </w:r>
      <w:r>
        <w:rPr>
          <w:rtl/>
        </w:rPr>
        <w:tab/>
      </w:r>
      <w:r>
        <w:rPr>
          <w:rtl/>
        </w:rPr>
        <w:tab/>
      </w:r>
      <w:r>
        <w:rPr>
          <w:rtl/>
        </w:rPr>
        <w:tab/>
      </w:r>
      <w:r>
        <w:rPr>
          <w:rtl/>
        </w:rPr>
        <w:tab/>
      </w:r>
      <w:r>
        <w:rPr>
          <w:rtl/>
        </w:rPr>
        <w:tab/>
      </w:r>
      <w:r>
        <w:rPr>
          <w:rtl/>
        </w:rPr>
        <w:tab/>
      </w:r>
      <w:r>
        <w:rPr>
          <w:rtl/>
        </w:rPr>
        <w:tab/>
        <w:t xml:space="preserve">  </w:t>
      </w:r>
    </w:p>
    <w:p w:rsidR="00035BE3" w:rsidRDefault="00035BE3" w:rsidP="00C10469">
      <w:pPr>
        <w:pStyle w:val="a6"/>
        <w:ind w:left="422" w:firstLine="0"/>
        <w:rPr>
          <w:rtl/>
        </w:rPr>
      </w:pPr>
      <w:r>
        <w:rPr>
          <w:rtl/>
        </w:rPr>
        <w:t xml:space="preserve">وجاء في الفوائد </w:t>
      </w:r>
      <w:r>
        <w:rPr>
          <w:rFonts w:hint="eastAsia"/>
          <w:rtl/>
        </w:rPr>
        <w:t>البهية</w:t>
      </w:r>
      <w:r>
        <w:rPr>
          <w:rtl/>
        </w:rPr>
        <w:t xml:space="preserve"> -ص40- أن جدّه هو محم</w:t>
      </w:r>
      <w:r>
        <w:rPr>
          <w:rFonts w:hint="cs"/>
          <w:rtl/>
        </w:rPr>
        <w:t>و</w:t>
      </w:r>
      <w:r>
        <w:rPr>
          <w:rtl/>
        </w:rPr>
        <w:t>د بن سعد.</w:t>
      </w:r>
    </w:p>
    <w:p w:rsidR="00035BE3" w:rsidRDefault="00035BE3" w:rsidP="00C10469">
      <w:pPr>
        <w:pStyle w:val="a6"/>
        <w:ind w:left="422" w:firstLine="0"/>
        <w:rPr>
          <w:rtl/>
        </w:rPr>
      </w:pPr>
      <w:r>
        <w:rPr>
          <w:rFonts w:hint="eastAsia"/>
          <w:rtl/>
        </w:rPr>
        <w:t>كما</w:t>
      </w:r>
      <w:r>
        <w:rPr>
          <w:rtl/>
        </w:rPr>
        <w:t xml:space="preserve"> جاء في كثير من </w:t>
      </w:r>
      <w:r>
        <w:rPr>
          <w:rFonts w:hint="eastAsia"/>
          <w:rtl/>
        </w:rPr>
        <w:t>المراجع</w:t>
      </w:r>
      <w:r>
        <w:rPr>
          <w:rtl/>
        </w:rPr>
        <w:t xml:space="preserve"> الأخر أنَّ جده هو محم</w:t>
      </w:r>
      <w:r>
        <w:rPr>
          <w:rFonts w:hint="cs"/>
          <w:rtl/>
        </w:rPr>
        <w:t>و</w:t>
      </w:r>
      <w:r>
        <w:rPr>
          <w:rtl/>
        </w:rPr>
        <w:t xml:space="preserve">د بن سعيد. (انظر : الجواهر المضية، 1/315-316، رقم 236؛ تاج التراجم، ص27، رقم 23؛ مفتاح السعادة، 2/258؛ الطبقات السنية، 2/89-90، </w:t>
      </w:r>
      <w:r>
        <w:rPr>
          <w:rFonts w:hint="eastAsia"/>
          <w:rtl/>
        </w:rPr>
        <w:t>رقم</w:t>
      </w:r>
      <w:r>
        <w:rPr>
          <w:rtl/>
        </w:rPr>
        <w:t xml:space="preserve"> 360؛ الأعلام، 1/217؛ معجم المؤلفين، 1/296، رقم 2145).</w:t>
      </w:r>
    </w:p>
    <w:p w:rsidR="00035BE3" w:rsidRDefault="00035BE3" w:rsidP="00C10469">
      <w:pPr>
        <w:pStyle w:val="a6"/>
        <w:ind w:left="422" w:firstLine="0"/>
        <w:rPr>
          <w:rtl/>
        </w:rPr>
      </w:pPr>
      <w:r>
        <w:rPr>
          <w:rFonts w:hint="eastAsia"/>
          <w:rtl/>
        </w:rPr>
        <w:t>ويلحظ</w:t>
      </w:r>
      <w:r>
        <w:rPr>
          <w:rtl/>
        </w:rPr>
        <w:t xml:space="preserve"> أن جميع هذه </w:t>
      </w:r>
      <w:r>
        <w:rPr>
          <w:rFonts w:hint="eastAsia"/>
          <w:rtl/>
        </w:rPr>
        <w:t>المراجع</w:t>
      </w:r>
      <w:r>
        <w:rPr>
          <w:rtl/>
        </w:rPr>
        <w:t xml:space="preserve"> وإن كانت قد اتفقت مع ما جـاء في كشف الظنون من أنه توفي سنة (593هـ) إلا </w:t>
      </w:r>
      <w:r>
        <w:rPr>
          <w:rFonts w:hint="eastAsia"/>
          <w:rtl/>
        </w:rPr>
        <w:t>أنها</w:t>
      </w:r>
      <w:r>
        <w:rPr>
          <w:rtl/>
        </w:rPr>
        <w:t xml:space="preserve"> لم تذكر لقبه (جمال الدين) ولا (القابسي)!.</w:t>
      </w:r>
    </w:p>
    <w:p w:rsidR="00035BE3" w:rsidRDefault="00035BE3" w:rsidP="00C10469">
      <w:pPr>
        <w:pStyle w:val="a6"/>
        <w:ind w:left="422" w:firstLine="0"/>
        <w:rPr>
          <w:rtl/>
        </w:rPr>
      </w:pPr>
      <w:r>
        <w:rPr>
          <w:b/>
          <w:bCs/>
          <w:rtl/>
        </w:rPr>
        <w:t>7</w:t>
      </w:r>
      <w:r>
        <w:rPr>
          <w:rtl/>
        </w:rPr>
        <w:t xml:space="preserve">- </w:t>
      </w:r>
      <w:r>
        <w:rPr>
          <w:rFonts w:hint="eastAsia"/>
          <w:rtl/>
        </w:rPr>
        <w:t>بالرجوع</w:t>
      </w:r>
      <w:r>
        <w:rPr>
          <w:rtl/>
        </w:rPr>
        <w:t xml:space="preserve"> إلى عددٍ من فهارس المخطوطات تم ملاحظة ما يأتي : </w:t>
      </w:r>
    </w:p>
    <w:p w:rsidR="00035BE3" w:rsidRDefault="00035BE3" w:rsidP="00C10469">
      <w:pPr>
        <w:pStyle w:val="a6"/>
        <w:ind w:left="422" w:firstLine="0"/>
        <w:rPr>
          <w:rtl/>
        </w:rPr>
      </w:pPr>
      <w:r>
        <w:rPr>
          <w:rFonts w:hint="eastAsia"/>
          <w:b/>
          <w:bCs/>
          <w:rtl/>
        </w:rPr>
        <w:t>أ</w:t>
      </w:r>
      <w:r>
        <w:rPr>
          <w:b/>
          <w:bCs/>
          <w:rtl/>
        </w:rPr>
        <w:t>-</w:t>
      </w:r>
      <w:r>
        <w:rPr>
          <w:rtl/>
        </w:rPr>
        <w:t xml:space="preserve"> </w:t>
      </w:r>
      <w:r>
        <w:rPr>
          <w:rFonts w:hint="eastAsia"/>
          <w:rtl/>
        </w:rPr>
        <w:t>ذكر</w:t>
      </w:r>
      <w:r>
        <w:rPr>
          <w:rtl/>
        </w:rPr>
        <w:t xml:space="preserve"> بروكلمان - 6/330- أن للكتاب اثنتي عشرة نسخة خطيـة نسبها جـميعًا إلى جمال </w:t>
      </w:r>
      <w:r>
        <w:rPr>
          <w:rFonts w:hint="eastAsia"/>
          <w:rtl/>
        </w:rPr>
        <w:t>الدين</w:t>
      </w:r>
      <w:r>
        <w:rPr>
          <w:rtl/>
        </w:rPr>
        <w:t xml:space="preserve"> أحمد بن محمد بن سعيد الغزنوي (ت593هـ).</w:t>
      </w:r>
    </w:p>
    <w:p w:rsidR="00035BE3" w:rsidRDefault="00035BE3" w:rsidP="00C10469">
      <w:pPr>
        <w:pStyle w:val="a6"/>
        <w:ind w:left="422" w:firstLine="0"/>
        <w:rPr>
          <w:rtl/>
        </w:rPr>
      </w:pPr>
      <w:r>
        <w:rPr>
          <w:rFonts w:hint="eastAsia"/>
          <w:b/>
          <w:bCs/>
          <w:rtl/>
        </w:rPr>
        <w:t>ب</w:t>
      </w:r>
      <w:r>
        <w:rPr>
          <w:b/>
          <w:bCs/>
          <w:rtl/>
        </w:rPr>
        <w:t>-</w:t>
      </w:r>
      <w:r>
        <w:rPr>
          <w:rtl/>
        </w:rPr>
        <w:t xml:space="preserve"> </w:t>
      </w:r>
      <w:r>
        <w:rPr>
          <w:rFonts w:hint="eastAsia"/>
          <w:rtl/>
        </w:rPr>
        <w:t>كما</w:t>
      </w:r>
      <w:r>
        <w:rPr>
          <w:rtl/>
        </w:rPr>
        <w:t xml:space="preserve"> جاء في فهرس المخطوطات بدار الكتب الظاهرية - فقه حنفي- 1/281- أن له نسخة </w:t>
      </w:r>
      <w:r>
        <w:rPr>
          <w:rFonts w:hint="eastAsia"/>
          <w:rtl/>
        </w:rPr>
        <w:t>خطية</w:t>
      </w:r>
      <w:r>
        <w:rPr>
          <w:rtl/>
        </w:rPr>
        <w:t xml:space="preserve"> ونسبت إلى أحمد الغزنوي أيضًا.</w:t>
      </w:r>
    </w:p>
    <w:p w:rsidR="00035BE3" w:rsidRDefault="00035BE3" w:rsidP="00C10469">
      <w:pPr>
        <w:pStyle w:val="a6"/>
        <w:ind w:left="422" w:firstLine="0"/>
        <w:rPr>
          <w:rtl/>
        </w:rPr>
      </w:pPr>
      <w:r>
        <w:rPr>
          <w:rFonts w:hint="eastAsia"/>
          <w:b/>
          <w:bCs/>
          <w:rtl/>
        </w:rPr>
        <w:t>جـ</w:t>
      </w:r>
      <w:r>
        <w:rPr>
          <w:b/>
          <w:bCs/>
          <w:rtl/>
        </w:rPr>
        <w:t>-</w:t>
      </w:r>
      <w:r>
        <w:rPr>
          <w:rtl/>
        </w:rPr>
        <w:t xml:space="preserve"> </w:t>
      </w:r>
      <w:r>
        <w:rPr>
          <w:rFonts w:hint="eastAsia"/>
          <w:rtl/>
        </w:rPr>
        <w:t>ذُكر</w:t>
      </w:r>
      <w:r>
        <w:rPr>
          <w:rtl/>
        </w:rPr>
        <w:t xml:space="preserve"> في فهرس (يني جامع، رقم 408 و409) و(أسعد أفندي، رقم 660) كل</w:t>
      </w:r>
      <w:r>
        <w:rPr>
          <w:rFonts w:hint="cs"/>
          <w:rtl/>
        </w:rPr>
        <w:t>ي</w:t>
      </w:r>
      <w:r>
        <w:rPr>
          <w:rtl/>
        </w:rPr>
        <w:t xml:space="preserve">هما بمكتبة </w:t>
      </w:r>
      <w:r>
        <w:rPr>
          <w:rFonts w:hint="eastAsia"/>
          <w:rtl/>
        </w:rPr>
        <w:t>السليمانية</w:t>
      </w:r>
      <w:r>
        <w:rPr>
          <w:rtl/>
        </w:rPr>
        <w:t xml:space="preserve"> باستانبول ذُكر فيهما ثلاث نسخ خطية، نُسبت كلها لجمال الدين، أحمد بن </w:t>
      </w:r>
      <w:r>
        <w:rPr>
          <w:rFonts w:hint="eastAsia"/>
          <w:rtl/>
        </w:rPr>
        <w:t>محمد</w:t>
      </w:r>
      <w:r>
        <w:rPr>
          <w:rtl/>
        </w:rPr>
        <w:t xml:space="preserve"> القابسي الغزنوي (ت600هـ).</w:t>
      </w:r>
    </w:p>
    <w:p w:rsidR="00035BE3" w:rsidRDefault="00035BE3" w:rsidP="00C10469">
      <w:pPr>
        <w:pStyle w:val="a6"/>
        <w:ind w:left="422" w:firstLine="0"/>
        <w:rPr>
          <w:rtl/>
        </w:rPr>
      </w:pPr>
      <w:r>
        <w:rPr>
          <w:rFonts w:hint="eastAsia"/>
          <w:b/>
          <w:bCs/>
          <w:rtl/>
        </w:rPr>
        <w:t>د</w:t>
      </w:r>
      <w:r>
        <w:rPr>
          <w:b/>
          <w:bCs/>
          <w:rtl/>
        </w:rPr>
        <w:t>-</w:t>
      </w:r>
      <w:r>
        <w:rPr>
          <w:rtl/>
        </w:rPr>
        <w:t xml:space="preserve"> </w:t>
      </w:r>
      <w:r>
        <w:rPr>
          <w:rFonts w:hint="eastAsia"/>
          <w:rtl/>
        </w:rPr>
        <w:t>ذُكر</w:t>
      </w:r>
      <w:r>
        <w:rPr>
          <w:rtl/>
        </w:rPr>
        <w:t xml:space="preserve"> في فهرس (عاشر أفندي، رقم 424) بـمكتبة السليمانية نسخة خطية ونُسبت إلى جمال </w:t>
      </w:r>
      <w:r>
        <w:rPr>
          <w:rFonts w:hint="eastAsia"/>
          <w:rtl/>
        </w:rPr>
        <w:t>الدين</w:t>
      </w:r>
      <w:r>
        <w:rPr>
          <w:rtl/>
        </w:rPr>
        <w:t xml:space="preserve"> بن الغزنوي الحنفي.</w:t>
      </w:r>
    </w:p>
    <w:p w:rsidR="00035BE3" w:rsidRDefault="00035BE3" w:rsidP="00C10469">
      <w:pPr>
        <w:pStyle w:val="a6"/>
        <w:ind w:left="422" w:firstLine="0"/>
        <w:rPr>
          <w:rtl/>
        </w:rPr>
      </w:pPr>
      <w:r>
        <w:rPr>
          <w:rFonts w:hint="eastAsia"/>
          <w:b/>
          <w:bCs/>
          <w:rtl/>
        </w:rPr>
        <w:t>هـ</w:t>
      </w:r>
      <w:r>
        <w:rPr>
          <w:b/>
          <w:bCs/>
          <w:rtl/>
        </w:rPr>
        <w:t>-</w:t>
      </w:r>
      <w:r>
        <w:rPr>
          <w:rtl/>
        </w:rPr>
        <w:t xml:space="preserve"> </w:t>
      </w:r>
      <w:r>
        <w:rPr>
          <w:rFonts w:hint="eastAsia"/>
          <w:rtl/>
        </w:rPr>
        <w:t>الفهرس</w:t>
      </w:r>
      <w:r>
        <w:rPr>
          <w:rtl/>
        </w:rPr>
        <w:t xml:space="preserve"> الوحيد - ممّا تم الاطلاع عليه - الذي نُسب الكتاب فيه إلى (</w:t>
      </w:r>
      <w:r>
        <w:rPr>
          <w:rFonts w:hint="eastAsia"/>
          <w:b/>
          <w:bCs/>
          <w:rtl/>
        </w:rPr>
        <w:t>محمد</w:t>
      </w:r>
      <w:r>
        <w:rPr>
          <w:b/>
          <w:bCs/>
          <w:rtl/>
        </w:rPr>
        <w:t xml:space="preserve"> </w:t>
      </w:r>
      <w:r>
        <w:rPr>
          <w:rFonts w:hint="eastAsia"/>
          <w:b/>
          <w:bCs/>
          <w:rtl/>
        </w:rPr>
        <w:t>القونوي</w:t>
      </w:r>
      <w:r>
        <w:rPr>
          <w:rtl/>
        </w:rPr>
        <w:t xml:space="preserve">) - ولعلها تصحيف من الغزنوي - هو فهرس مكتبة عارف حكمت التابعة لمكتبة </w:t>
      </w:r>
      <w:r>
        <w:rPr>
          <w:rFonts w:hint="eastAsia"/>
          <w:rtl/>
        </w:rPr>
        <w:t>الملك</w:t>
      </w:r>
      <w:r>
        <w:rPr>
          <w:rtl/>
        </w:rPr>
        <w:t xml:space="preserve"> عبد العزيز بالمدينة المنورة (ورقم المخطوط فيه 1212).</w:t>
      </w:r>
    </w:p>
    <w:p w:rsidR="00035BE3" w:rsidRDefault="00035BE3" w:rsidP="00C10469">
      <w:pPr>
        <w:pStyle w:val="a6"/>
        <w:ind w:left="422" w:firstLine="0"/>
        <w:rPr>
          <w:b/>
          <w:bCs/>
          <w:rtl/>
        </w:rPr>
      </w:pPr>
      <w:r>
        <w:rPr>
          <w:b/>
          <w:bCs/>
          <w:rtl/>
        </w:rPr>
        <w:t xml:space="preserve">8- من خلال العرض </w:t>
      </w:r>
      <w:r>
        <w:rPr>
          <w:rFonts w:hint="eastAsia"/>
          <w:b/>
          <w:bCs/>
          <w:rtl/>
        </w:rPr>
        <w:t>السابق</w:t>
      </w:r>
      <w:r>
        <w:rPr>
          <w:b/>
          <w:bCs/>
          <w:rtl/>
        </w:rPr>
        <w:t xml:space="preserve"> جميعه يمكن أن يُخلص إلى النتائج الآتية :</w:t>
      </w:r>
    </w:p>
    <w:p w:rsidR="00035BE3" w:rsidRDefault="00035BE3" w:rsidP="00C10469">
      <w:pPr>
        <w:pStyle w:val="a6"/>
        <w:ind w:left="422" w:firstLine="0"/>
        <w:rPr>
          <w:rtl/>
        </w:rPr>
      </w:pPr>
      <w:r>
        <w:rPr>
          <w:rFonts w:hint="eastAsia"/>
          <w:b/>
          <w:bCs/>
          <w:rtl/>
        </w:rPr>
        <w:t>أ</w:t>
      </w:r>
      <w:r>
        <w:rPr>
          <w:b/>
          <w:bCs/>
          <w:rtl/>
        </w:rPr>
        <w:t>-</w:t>
      </w:r>
      <w:r>
        <w:rPr>
          <w:rtl/>
        </w:rPr>
        <w:t xml:space="preserve"> </w:t>
      </w:r>
      <w:r>
        <w:rPr>
          <w:rFonts w:hint="eastAsia"/>
          <w:rtl/>
        </w:rPr>
        <w:t>جميع</w:t>
      </w:r>
      <w:r>
        <w:rPr>
          <w:rtl/>
        </w:rPr>
        <w:t xml:space="preserve"> المراجع السابقة التي نسبت الكتاب إلى مؤلفه اتفقت على أنه : غزنوي.</w:t>
      </w:r>
    </w:p>
    <w:p w:rsidR="00035BE3" w:rsidRDefault="00035BE3" w:rsidP="00C10469">
      <w:pPr>
        <w:pStyle w:val="a6"/>
        <w:ind w:left="422" w:firstLine="0"/>
        <w:rPr>
          <w:rtl/>
        </w:rPr>
      </w:pPr>
      <w:r>
        <w:rPr>
          <w:rFonts w:hint="eastAsia"/>
          <w:rtl/>
        </w:rPr>
        <w:t>كما</w:t>
      </w:r>
      <w:r>
        <w:rPr>
          <w:rtl/>
        </w:rPr>
        <w:t xml:space="preserve"> أنها اكتفت </w:t>
      </w:r>
      <w:r>
        <w:rPr>
          <w:rFonts w:hint="eastAsia"/>
          <w:rtl/>
        </w:rPr>
        <w:t>بنسبته</w:t>
      </w:r>
      <w:r>
        <w:rPr>
          <w:rtl/>
        </w:rPr>
        <w:t xml:space="preserve"> إلى أحمد أو محمد الغزنوي، دون أن تنسبه إلى شخص ثالث، أو تنسبه إليهما </w:t>
      </w:r>
      <w:r>
        <w:rPr>
          <w:rFonts w:hint="eastAsia"/>
          <w:rtl/>
        </w:rPr>
        <w:t>معًا</w:t>
      </w:r>
      <w:r>
        <w:rPr>
          <w:rtl/>
        </w:rPr>
        <w:t xml:space="preserve"> إلا ما جاء في (كشف الظنون) -ومن نقل عنه-.</w:t>
      </w:r>
    </w:p>
    <w:p w:rsidR="00035BE3" w:rsidRDefault="00035BE3" w:rsidP="00C10469">
      <w:pPr>
        <w:pStyle w:val="a6"/>
        <w:ind w:left="422" w:firstLine="0"/>
        <w:rPr>
          <w:rtl/>
        </w:rPr>
      </w:pPr>
      <w:r>
        <w:rPr>
          <w:rFonts w:hint="eastAsia"/>
          <w:rtl/>
        </w:rPr>
        <w:t>فقد</w:t>
      </w:r>
      <w:r>
        <w:rPr>
          <w:rtl/>
        </w:rPr>
        <w:t xml:space="preserve"> ذَكر فيه قولين :</w:t>
      </w:r>
    </w:p>
    <w:p w:rsidR="00035BE3" w:rsidRDefault="00035BE3" w:rsidP="00C10469">
      <w:pPr>
        <w:pStyle w:val="a6"/>
        <w:ind w:left="422" w:firstLine="0"/>
        <w:rPr>
          <w:rtl/>
        </w:rPr>
      </w:pPr>
      <w:r>
        <w:rPr>
          <w:rFonts w:hint="eastAsia"/>
          <w:b/>
          <w:bCs/>
          <w:rtl/>
        </w:rPr>
        <w:t>الأول</w:t>
      </w:r>
      <w:r>
        <w:rPr>
          <w:rtl/>
        </w:rPr>
        <w:t xml:space="preserve"> : كونه لأحمد بن محمد الغزنوي.</w:t>
      </w:r>
    </w:p>
    <w:p w:rsidR="00035BE3" w:rsidRDefault="00035BE3" w:rsidP="00C10469">
      <w:pPr>
        <w:pStyle w:val="a6"/>
        <w:ind w:left="422" w:firstLine="0"/>
        <w:rPr>
          <w:rtl/>
        </w:rPr>
      </w:pPr>
      <w:r>
        <w:rPr>
          <w:rFonts w:hint="eastAsia"/>
          <w:b/>
          <w:bCs/>
          <w:rtl/>
        </w:rPr>
        <w:t>الثاني</w:t>
      </w:r>
      <w:r>
        <w:rPr>
          <w:rtl/>
        </w:rPr>
        <w:t xml:space="preserve"> : كونه لمحمد الغزنوي.</w:t>
      </w:r>
    </w:p>
    <w:p w:rsidR="00035BE3" w:rsidRDefault="00035BE3" w:rsidP="00C10469">
      <w:pPr>
        <w:pStyle w:val="a6"/>
        <w:ind w:left="422" w:firstLine="0"/>
        <w:rPr>
          <w:rtl/>
        </w:rPr>
      </w:pPr>
      <w:r>
        <w:rPr>
          <w:rFonts w:hint="eastAsia"/>
          <w:rtl/>
        </w:rPr>
        <w:t>ونسب</w:t>
      </w:r>
      <w:r>
        <w:rPr>
          <w:rtl/>
        </w:rPr>
        <w:t xml:space="preserve"> القول الأول </w:t>
      </w:r>
      <w:r>
        <w:rPr>
          <w:rFonts w:hint="eastAsia"/>
          <w:rtl/>
        </w:rPr>
        <w:t>لابن</w:t>
      </w:r>
      <w:r>
        <w:rPr>
          <w:rtl/>
        </w:rPr>
        <w:t xml:space="preserve"> الشحنة.</w:t>
      </w:r>
    </w:p>
    <w:p w:rsidR="00035BE3" w:rsidRDefault="00035BE3" w:rsidP="00C10469">
      <w:pPr>
        <w:pStyle w:val="a6"/>
        <w:ind w:left="422" w:firstLine="0"/>
        <w:rPr>
          <w:rtl/>
        </w:rPr>
      </w:pPr>
      <w:r>
        <w:rPr>
          <w:rFonts w:hint="eastAsia"/>
          <w:rtl/>
        </w:rPr>
        <w:t>كما</w:t>
      </w:r>
      <w:r>
        <w:rPr>
          <w:rtl/>
        </w:rPr>
        <w:t xml:space="preserve"> بنى القول </w:t>
      </w:r>
      <w:r>
        <w:rPr>
          <w:rFonts w:hint="eastAsia"/>
          <w:rtl/>
        </w:rPr>
        <w:t>الثاني</w:t>
      </w:r>
      <w:r>
        <w:rPr>
          <w:rtl/>
        </w:rPr>
        <w:t xml:space="preserve"> على ما رآه في ظهر نسخة منه أن مصنفه : محمد الغزنوي.</w:t>
      </w:r>
      <w:r>
        <w:rPr>
          <w:rtl/>
        </w:rPr>
        <w:tab/>
      </w:r>
      <w:r>
        <w:rPr>
          <w:rtl/>
        </w:rPr>
        <w:tab/>
        <w:t xml:space="preserve"> </w:t>
      </w:r>
    </w:p>
    <w:p w:rsidR="00035BE3" w:rsidRDefault="00035BE3" w:rsidP="00C10469">
      <w:pPr>
        <w:pStyle w:val="a6"/>
        <w:ind w:left="422" w:firstLine="0"/>
        <w:rPr>
          <w:rtl/>
        </w:rPr>
      </w:pPr>
      <w:r>
        <w:rPr>
          <w:rFonts w:hint="eastAsia"/>
          <w:b/>
          <w:bCs/>
          <w:rtl/>
        </w:rPr>
        <w:t>ب</w:t>
      </w:r>
      <w:r>
        <w:rPr>
          <w:rtl/>
        </w:rPr>
        <w:t xml:space="preserve">- </w:t>
      </w:r>
      <w:r>
        <w:rPr>
          <w:rFonts w:hint="eastAsia"/>
          <w:b/>
          <w:bCs/>
          <w:rtl/>
        </w:rPr>
        <w:t>لعل</w:t>
      </w:r>
      <w:r>
        <w:rPr>
          <w:b/>
          <w:bCs/>
          <w:rtl/>
        </w:rPr>
        <w:t xml:space="preserve"> الراجح</w:t>
      </w:r>
      <w:r>
        <w:rPr>
          <w:rtl/>
        </w:rPr>
        <w:t xml:space="preserve"> -  </w:t>
      </w:r>
      <w:r>
        <w:rPr>
          <w:rFonts w:hint="eastAsia"/>
          <w:rtl/>
        </w:rPr>
        <w:t>والله</w:t>
      </w:r>
      <w:r>
        <w:rPr>
          <w:rtl/>
        </w:rPr>
        <w:t xml:space="preserve"> أعلم - أن مؤلف الكتاب (الحاوي </w:t>
      </w:r>
      <w:r>
        <w:rPr>
          <w:rFonts w:hint="eastAsia"/>
          <w:rtl/>
        </w:rPr>
        <w:t>القدسي</w:t>
      </w:r>
      <w:r>
        <w:rPr>
          <w:rtl/>
        </w:rPr>
        <w:t>) هو : أحمد بن محمد الغزنوي لما يأتي:</w:t>
      </w:r>
    </w:p>
    <w:p w:rsidR="00035BE3" w:rsidRDefault="00035BE3" w:rsidP="00C10469">
      <w:pPr>
        <w:pStyle w:val="a6"/>
        <w:ind w:left="422" w:firstLine="0"/>
        <w:rPr>
          <w:rtl/>
        </w:rPr>
      </w:pPr>
      <w:r>
        <w:rPr>
          <w:b/>
          <w:bCs/>
          <w:rtl/>
        </w:rPr>
        <w:t>1</w:t>
      </w:r>
      <w:r>
        <w:rPr>
          <w:rtl/>
        </w:rPr>
        <w:t xml:space="preserve">- </w:t>
      </w:r>
      <w:r>
        <w:rPr>
          <w:rFonts w:hint="eastAsia"/>
          <w:rtl/>
        </w:rPr>
        <w:t>أن</w:t>
      </w:r>
      <w:r>
        <w:rPr>
          <w:rtl/>
        </w:rPr>
        <w:t xml:space="preserve"> ابن الشحنة نسب الكتاب إلى أحمد الغزنوي، وكلام ابن الشحنة له وزنه ومكانته عند </w:t>
      </w:r>
      <w:r>
        <w:rPr>
          <w:rFonts w:hint="eastAsia"/>
          <w:rtl/>
        </w:rPr>
        <w:t>الحنفية،</w:t>
      </w:r>
      <w:r>
        <w:rPr>
          <w:rtl/>
        </w:rPr>
        <w:t xml:space="preserve"> بدليل أن صاحب (كشف الظنون) قدّم كلام ابن الشحنة، ولم يسقطه لتعارضه مع </w:t>
      </w:r>
      <w:r>
        <w:rPr>
          <w:rFonts w:hint="eastAsia"/>
          <w:rtl/>
        </w:rPr>
        <w:t>ما</w:t>
      </w:r>
      <w:r>
        <w:rPr>
          <w:rtl/>
        </w:rPr>
        <w:t xml:space="preserve"> رآه بعينه على ظهر الكتاب نفسه من نسبة الكتاب إلى محمد الغزنوي.</w:t>
      </w:r>
    </w:p>
    <w:p w:rsidR="00035BE3" w:rsidRDefault="00035BE3" w:rsidP="00C10469">
      <w:pPr>
        <w:pStyle w:val="a6"/>
        <w:ind w:left="422" w:firstLine="0"/>
        <w:rPr>
          <w:rtl/>
        </w:rPr>
      </w:pPr>
      <w:r>
        <w:rPr>
          <w:b/>
          <w:bCs/>
          <w:rtl/>
        </w:rPr>
        <w:t>2</w:t>
      </w:r>
      <w:r>
        <w:rPr>
          <w:rtl/>
        </w:rPr>
        <w:t xml:space="preserve">- </w:t>
      </w:r>
      <w:r>
        <w:rPr>
          <w:rFonts w:hint="eastAsia"/>
          <w:rtl/>
        </w:rPr>
        <w:t>أن</w:t>
      </w:r>
      <w:r>
        <w:rPr>
          <w:rtl/>
        </w:rPr>
        <w:t xml:space="preserve"> الكتاب نُسب إلى أحمد الغزنوي في خمس فهارس للمخطوطات، وهذه الفهارس تعبِّر عن </w:t>
      </w:r>
      <w:r>
        <w:rPr>
          <w:rFonts w:hint="eastAsia"/>
          <w:rtl/>
        </w:rPr>
        <w:t>أربع</w:t>
      </w:r>
      <w:r>
        <w:rPr>
          <w:rtl/>
        </w:rPr>
        <w:t xml:space="preserve"> عشرة نسخة خطية.</w:t>
      </w:r>
    </w:p>
    <w:p w:rsidR="00035BE3" w:rsidRDefault="00035BE3" w:rsidP="00C10469">
      <w:pPr>
        <w:pStyle w:val="a6"/>
        <w:ind w:left="422" w:firstLine="0"/>
        <w:rPr>
          <w:rtl/>
        </w:rPr>
      </w:pPr>
      <w:r>
        <w:rPr>
          <w:rFonts w:hint="eastAsia"/>
          <w:rtl/>
        </w:rPr>
        <w:t>بينما</w:t>
      </w:r>
      <w:r>
        <w:rPr>
          <w:rtl/>
        </w:rPr>
        <w:t xml:space="preserve"> نُسب إلى محمد </w:t>
      </w:r>
      <w:r>
        <w:rPr>
          <w:rFonts w:hint="eastAsia"/>
          <w:rtl/>
        </w:rPr>
        <w:t>الغزنوي</w:t>
      </w:r>
      <w:r>
        <w:rPr>
          <w:rtl/>
        </w:rPr>
        <w:t xml:space="preserve"> في نسختين فقط !.</w:t>
      </w:r>
    </w:p>
    <w:p w:rsidR="00035BE3" w:rsidRDefault="00035BE3" w:rsidP="00C10469">
      <w:pPr>
        <w:pStyle w:val="a6"/>
        <w:ind w:left="422" w:firstLine="0"/>
        <w:rPr>
          <w:rtl/>
        </w:rPr>
      </w:pPr>
      <w:r>
        <w:rPr>
          <w:rFonts w:hint="eastAsia"/>
          <w:rtl/>
        </w:rPr>
        <w:t>ولاشك</w:t>
      </w:r>
      <w:r>
        <w:rPr>
          <w:rtl/>
        </w:rPr>
        <w:t xml:space="preserve"> أن الاحتمال </w:t>
      </w:r>
      <w:r>
        <w:rPr>
          <w:rFonts w:hint="eastAsia"/>
          <w:rtl/>
        </w:rPr>
        <w:t>الأول</w:t>
      </w:r>
      <w:r>
        <w:rPr>
          <w:rtl/>
        </w:rPr>
        <w:t xml:space="preserve"> أقوى من الثاني؛ لأن احتمال (أربعة عشر على سبعة عشر 14/17) أغلب على الظن </w:t>
      </w:r>
      <w:r>
        <w:rPr>
          <w:rFonts w:hint="eastAsia"/>
          <w:rtl/>
        </w:rPr>
        <w:t>من</w:t>
      </w:r>
      <w:r>
        <w:rPr>
          <w:rtl/>
        </w:rPr>
        <w:t xml:space="preserve"> (احتمال اثنين على سبعة عشر 2/17).</w:t>
      </w:r>
    </w:p>
    <w:p w:rsidR="00035BE3" w:rsidRDefault="00035BE3" w:rsidP="00C10469">
      <w:pPr>
        <w:pStyle w:val="a6"/>
        <w:ind w:left="422" w:firstLine="0"/>
        <w:rPr>
          <w:rtl/>
        </w:rPr>
      </w:pPr>
      <w:r>
        <w:rPr>
          <w:b/>
          <w:bCs/>
          <w:rtl/>
        </w:rPr>
        <w:t>3</w:t>
      </w:r>
      <w:r>
        <w:rPr>
          <w:rtl/>
        </w:rPr>
        <w:t xml:space="preserve">- </w:t>
      </w:r>
      <w:r>
        <w:rPr>
          <w:rFonts w:hint="eastAsia"/>
          <w:rtl/>
        </w:rPr>
        <w:t>أنَّ</w:t>
      </w:r>
      <w:r>
        <w:rPr>
          <w:rtl/>
        </w:rPr>
        <w:t xml:space="preserve"> منْ عُرف باسم محمد الغزنوي - في أبرز كتب تراجم الحنفية - اثنان فقط، ولم </w:t>
      </w:r>
      <w:r>
        <w:rPr>
          <w:rFonts w:hint="eastAsia"/>
          <w:rtl/>
        </w:rPr>
        <w:t>يُنسب</w:t>
      </w:r>
      <w:r>
        <w:rPr>
          <w:rtl/>
        </w:rPr>
        <w:t xml:space="preserve"> لأيٍّ منهما كتاب (الحاوي القدسي).</w:t>
      </w:r>
    </w:p>
    <w:p w:rsidR="00035BE3" w:rsidRDefault="00035BE3" w:rsidP="00C10469">
      <w:pPr>
        <w:pStyle w:val="a6"/>
        <w:ind w:left="422" w:firstLine="0"/>
        <w:rPr>
          <w:rtl/>
        </w:rPr>
      </w:pPr>
      <w:r>
        <w:rPr>
          <w:rFonts w:hint="eastAsia"/>
          <w:rtl/>
        </w:rPr>
        <w:t>وهذا</w:t>
      </w:r>
      <w:r>
        <w:rPr>
          <w:rtl/>
        </w:rPr>
        <w:t xml:space="preserve"> - وإن كان لا </w:t>
      </w:r>
      <w:r>
        <w:rPr>
          <w:rFonts w:hint="eastAsia"/>
          <w:rtl/>
        </w:rPr>
        <w:t>ينفي</w:t>
      </w:r>
      <w:r>
        <w:rPr>
          <w:rtl/>
        </w:rPr>
        <w:t xml:space="preserve"> نسبة الكتاب إلى محمد الغزنوي إلا أنه يثير احتمالاً ليس بعيدًا وهو أن محمد </w:t>
      </w:r>
      <w:r>
        <w:rPr>
          <w:rFonts w:hint="eastAsia"/>
          <w:rtl/>
        </w:rPr>
        <w:t>الغزنوي</w:t>
      </w:r>
      <w:r>
        <w:rPr>
          <w:rtl/>
        </w:rPr>
        <w:t xml:space="preserve"> الذي نُسب الكتاب إليه في نسختين خطيتين هو ذاته أحمد بن </w:t>
      </w:r>
      <w:r>
        <w:rPr>
          <w:rFonts w:hint="eastAsia"/>
          <w:b/>
          <w:bCs/>
          <w:rtl/>
        </w:rPr>
        <w:t>محمد</w:t>
      </w:r>
      <w:r>
        <w:rPr>
          <w:rtl/>
        </w:rPr>
        <w:t xml:space="preserve"> </w:t>
      </w:r>
      <w:r>
        <w:rPr>
          <w:rFonts w:hint="eastAsia"/>
          <w:rtl/>
        </w:rPr>
        <w:t>الغزنوي،</w:t>
      </w:r>
      <w:r>
        <w:rPr>
          <w:rtl/>
        </w:rPr>
        <w:t xml:space="preserve"> إلاّ أن الناسخ أكتفى بالأب اختصارًا فنسبه إلى محمد (أبي أحمد الغزن</w:t>
      </w:r>
      <w:r>
        <w:rPr>
          <w:rFonts w:hint="eastAsia"/>
          <w:rtl/>
        </w:rPr>
        <w:t>وي</w:t>
      </w:r>
      <w:r>
        <w:rPr>
          <w:rtl/>
        </w:rPr>
        <w:t xml:space="preserve">)، </w:t>
      </w:r>
      <w:r>
        <w:rPr>
          <w:rFonts w:hint="eastAsia"/>
          <w:rtl/>
        </w:rPr>
        <w:t>حاله</w:t>
      </w:r>
      <w:r>
        <w:rPr>
          <w:rtl/>
        </w:rPr>
        <w:t xml:space="preserve"> حال كثير من النسّاخ الذين يجتهدون في إثبات اسم الكتاب، واسم مؤلفه على ظهر </w:t>
      </w:r>
      <w:r>
        <w:rPr>
          <w:rFonts w:hint="eastAsia"/>
          <w:rtl/>
        </w:rPr>
        <w:t>النسخة،</w:t>
      </w:r>
      <w:r>
        <w:rPr>
          <w:rtl/>
        </w:rPr>
        <w:t xml:space="preserve"> </w:t>
      </w:r>
      <w:r>
        <w:rPr>
          <w:rFonts w:hint="cs"/>
          <w:rtl/>
        </w:rPr>
        <w:t>و</w:t>
      </w:r>
      <w:r>
        <w:rPr>
          <w:rtl/>
        </w:rPr>
        <w:t>لاسيما إذا لم يجدوا ذلك مكتوبًا على ظهر النسخة التي نقلوا منها.</w:t>
      </w:r>
    </w:p>
    <w:p w:rsidR="00035BE3" w:rsidRDefault="00035BE3" w:rsidP="00C10469">
      <w:pPr>
        <w:pStyle w:val="a6"/>
        <w:ind w:left="422" w:firstLine="0"/>
        <w:rPr>
          <w:spacing w:val="-4"/>
          <w:rtl/>
        </w:rPr>
      </w:pPr>
      <w:r>
        <w:rPr>
          <w:rFonts w:hint="eastAsia"/>
          <w:spacing w:val="-4"/>
          <w:rtl/>
        </w:rPr>
        <w:t>وربمّا</w:t>
      </w:r>
      <w:r>
        <w:rPr>
          <w:spacing w:val="-4"/>
          <w:rtl/>
        </w:rPr>
        <w:t xml:space="preserve"> </w:t>
      </w:r>
      <w:r>
        <w:rPr>
          <w:rFonts w:hint="eastAsia"/>
          <w:spacing w:val="-4"/>
          <w:rtl/>
        </w:rPr>
        <w:t>أن</w:t>
      </w:r>
      <w:r>
        <w:rPr>
          <w:spacing w:val="-4"/>
          <w:rtl/>
        </w:rPr>
        <w:t xml:space="preserve"> أحمد الغزنوي اسمه مركب من (محمد أحمد) - كما هو الحال في كثير من أهل بلاد </w:t>
      </w:r>
      <w:r>
        <w:rPr>
          <w:rFonts w:hint="eastAsia"/>
          <w:spacing w:val="-4"/>
          <w:rtl/>
        </w:rPr>
        <w:t>العجم</w:t>
      </w:r>
      <w:r>
        <w:rPr>
          <w:spacing w:val="-4"/>
          <w:rtl/>
        </w:rPr>
        <w:t xml:space="preserve"> - فاكتفى الناسخ بالاسم الأول والأخير اختصارًا.</w:t>
      </w:r>
    </w:p>
    <w:p w:rsidR="00035BE3" w:rsidRDefault="00035BE3" w:rsidP="00C10469">
      <w:pPr>
        <w:pStyle w:val="a6"/>
        <w:ind w:left="422" w:firstLine="0"/>
        <w:rPr>
          <w:rtl/>
        </w:rPr>
      </w:pPr>
      <w:r>
        <w:rPr>
          <w:rFonts w:hint="eastAsia"/>
          <w:rtl/>
        </w:rPr>
        <w:t>وممّا</w:t>
      </w:r>
      <w:r>
        <w:rPr>
          <w:rtl/>
        </w:rPr>
        <w:t xml:space="preserve"> يقوي أن محمد </w:t>
      </w:r>
      <w:r>
        <w:rPr>
          <w:rFonts w:hint="eastAsia"/>
          <w:rtl/>
        </w:rPr>
        <w:t>الغزنوي</w:t>
      </w:r>
      <w:r>
        <w:rPr>
          <w:rtl/>
        </w:rPr>
        <w:t xml:space="preserve"> ليس المراد به شخصًا آخر أنه اكتفى باسمه ولقبه دون أن يذكر له نسبًا </w:t>
      </w:r>
      <w:r>
        <w:rPr>
          <w:rFonts w:hint="eastAsia"/>
          <w:rtl/>
        </w:rPr>
        <w:t>كاملاً</w:t>
      </w:r>
      <w:r>
        <w:rPr>
          <w:rtl/>
        </w:rPr>
        <w:t xml:space="preserve"> يختلف اختلافًا جوهريًا مع أحمد الغزنوي - والله اعلم-.</w:t>
      </w:r>
    </w:p>
    <w:p w:rsidR="00035BE3" w:rsidRDefault="00035BE3" w:rsidP="00C10469">
      <w:pPr>
        <w:pStyle w:val="a6"/>
        <w:ind w:left="422" w:firstLine="0"/>
        <w:rPr>
          <w:rtl/>
        </w:rPr>
      </w:pPr>
      <w:r>
        <w:rPr>
          <w:rFonts w:hint="eastAsia"/>
          <w:rtl/>
        </w:rPr>
        <w:t>هذا</w:t>
      </w:r>
      <w:r>
        <w:rPr>
          <w:rtl/>
        </w:rPr>
        <w:t xml:space="preserve"> ما يتعلق بتحقيق </w:t>
      </w:r>
      <w:r>
        <w:rPr>
          <w:rFonts w:hint="eastAsia"/>
          <w:rtl/>
        </w:rPr>
        <w:t>نسبة</w:t>
      </w:r>
      <w:r>
        <w:rPr>
          <w:rtl/>
        </w:rPr>
        <w:t xml:space="preserve"> الكتاب إلى مؤلفه.</w:t>
      </w:r>
    </w:p>
    <w:p w:rsidR="00035BE3" w:rsidRDefault="00035BE3" w:rsidP="00C10469">
      <w:pPr>
        <w:pStyle w:val="a6"/>
        <w:ind w:left="422" w:firstLine="0"/>
        <w:rPr>
          <w:rtl/>
        </w:rPr>
      </w:pPr>
      <w:r>
        <w:rPr>
          <w:rFonts w:hint="eastAsia"/>
          <w:b/>
          <w:bCs/>
          <w:rtl/>
        </w:rPr>
        <w:t>أما</w:t>
      </w:r>
      <w:r>
        <w:rPr>
          <w:b/>
          <w:bCs/>
          <w:rtl/>
        </w:rPr>
        <w:t xml:space="preserve"> حالة الكتاب</w:t>
      </w:r>
      <w:r>
        <w:rPr>
          <w:rtl/>
        </w:rPr>
        <w:t xml:space="preserve"> : فإنه مخطوط، وله نسخ خطية كثيرة منها نسخ المكتبات الآتية : </w:t>
      </w:r>
    </w:p>
    <w:p w:rsidR="00035BE3" w:rsidRDefault="00035BE3" w:rsidP="00C10469">
      <w:pPr>
        <w:pStyle w:val="a6"/>
        <w:ind w:left="422" w:firstLine="0"/>
        <w:rPr>
          <w:rtl/>
        </w:rPr>
      </w:pPr>
      <w:r>
        <w:rPr>
          <w:b/>
          <w:bCs/>
          <w:rtl/>
        </w:rPr>
        <w:t>1</w:t>
      </w:r>
      <w:r>
        <w:rPr>
          <w:rtl/>
        </w:rPr>
        <w:t xml:space="preserve">- </w:t>
      </w:r>
      <w:r>
        <w:rPr>
          <w:rFonts w:hint="eastAsia"/>
          <w:rtl/>
        </w:rPr>
        <w:t>مكتبة</w:t>
      </w:r>
      <w:r>
        <w:rPr>
          <w:rtl/>
        </w:rPr>
        <w:t xml:space="preserve"> الملك عبد العزيز بالمدينة المنورة (مجموعة عارف حكمت) برقم 1212 (وفيها أن </w:t>
      </w:r>
      <w:r>
        <w:rPr>
          <w:rFonts w:hint="eastAsia"/>
          <w:rtl/>
        </w:rPr>
        <w:t>المؤلف</w:t>
      </w:r>
      <w:r>
        <w:rPr>
          <w:rtl/>
        </w:rPr>
        <w:t xml:space="preserve"> هو محمد القونوي).</w:t>
      </w:r>
    </w:p>
    <w:p w:rsidR="00035BE3" w:rsidRDefault="00035BE3" w:rsidP="00C10469">
      <w:pPr>
        <w:pStyle w:val="a6"/>
        <w:ind w:left="422" w:firstLine="0"/>
        <w:rPr>
          <w:rtl/>
          <w:lang w:val="en-US"/>
        </w:rPr>
      </w:pPr>
      <w:r>
        <w:rPr>
          <w:b/>
          <w:bCs/>
          <w:rtl/>
        </w:rPr>
        <w:t>2</w:t>
      </w:r>
      <w:r>
        <w:rPr>
          <w:rtl/>
        </w:rPr>
        <w:t xml:space="preserve">- </w:t>
      </w:r>
      <w:r>
        <w:rPr>
          <w:rFonts w:hint="eastAsia"/>
          <w:rtl/>
        </w:rPr>
        <w:t>مكتبة</w:t>
      </w:r>
      <w:r>
        <w:rPr>
          <w:rtl/>
        </w:rPr>
        <w:t xml:space="preserve"> الملكية ببرلين بألمانيا، برقم 1600</w:t>
      </w:r>
      <w:r>
        <w:rPr>
          <w:lang w:val="en-US"/>
        </w:rPr>
        <w:t xml:space="preserve">QU </w:t>
      </w:r>
      <w:r>
        <w:rPr>
          <w:rtl/>
          <w:lang w:val="en-US"/>
        </w:rPr>
        <w:t xml:space="preserve"> </w:t>
      </w:r>
    </w:p>
    <w:p w:rsidR="00035BE3" w:rsidRDefault="00035BE3" w:rsidP="00C10469">
      <w:pPr>
        <w:pStyle w:val="a6"/>
        <w:ind w:left="422" w:firstLine="0"/>
        <w:rPr>
          <w:rtl/>
          <w:lang w:val="en-US"/>
        </w:rPr>
      </w:pPr>
      <w:r>
        <w:rPr>
          <w:b/>
          <w:bCs/>
          <w:rtl/>
          <w:lang w:val="en-US"/>
        </w:rPr>
        <w:t>3</w:t>
      </w:r>
      <w:r>
        <w:rPr>
          <w:rtl/>
          <w:lang w:val="en-US"/>
        </w:rPr>
        <w:t xml:space="preserve">- مكتبة </w:t>
      </w:r>
      <w:r>
        <w:rPr>
          <w:rFonts w:hint="eastAsia"/>
          <w:rtl/>
          <w:lang w:val="en-US"/>
        </w:rPr>
        <w:t>الزيتونة</w:t>
      </w:r>
      <w:r>
        <w:rPr>
          <w:rtl/>
          <w:lang w:val="en-US"/>
        </w:rPr>
        <w:t xml:space="preserve"> بتونس، برقم 2020.</w:t>
      </w:r>
    </w:p>
    <w:p w:rsidR="00035BE3" w:rsidRDefault="00035BE3" w:rsidP="00C10469">
      <w:pPr>
        <w:pStyle w:val="a6"/>
        <w:ind w:left="422" w:firstLine="0"/>
        <w:rPr>
          <w:rtl/>
          <w:lang w:val="en-US"/>
        </w:rPr>
      </w:pPr>
      <w:r>
        <w:rPr>
          <w:b/>
          <w:bCs/>
          <w:rtl/>
          <w:lang w:val="en-US"/>
        </w:rPr>
        <w:t>4</w:t>
      </w:r>
      <w:r>
        <w:rPr>
          <w:rtl/>
          <w:lang w:val="en-US"/>
        </w:rPr>
        <w:t xml:space="preserve">- مكتبة </w:t>
      </w:r>
      <w:r>
        <w:rPr>
          <w:rFonts w:hint="eastAsia"/>
          <w:rtl/>
          <w:lang w:val="en-US"/>
        </w:rPr>
        <w:t>البلدية</w:t>
      </w:r>
      <w:r>
        <w:rPr>
          <w:rtl/>
          <w:lang w:val="en-US"/>
        </w:rPr>
        <w:t xml:space="preserve"> بالأسكندرية، برقم (الفقه الحنفي 22).</w:t>
      </w:r>
      <w:r>
        <w:rPr>
          <w:rtl/>
          <w:lang w:val="en-US"/>
        </w:rPr>
        <w:tab/>
      </w:r>
      <w:r>
        <w:rPr>
          <w:rtl/>
          <w:lang w:val="en-US"/>
        </w:rPr>
        <w:tab/>
      </w:r>
      <w:r>
        <w:rPr>
          <w:rtl/>
          <w:lang w:val="en-US"/>
        </w:rPr>
        <w:tab/>
      </w:r>
      <w:r>
        <w:rPr>
          <w:rtl/>
          <w:lang w:val="en-US"/>
        </w:rPr>
        <w:tab/>
      </w:r>
      <w:r>
        <w:rPr>
          <w:rtl/>
          <w:lang w:val="en-US"/>
        </w:rPr>
        <w:tab/>
        <w:t xml:space="preserve">  </w:t>
      </w:r>
    </w:p>
    <w:p w:rsidR="00035BE3" w:rsidRDefault="00035BE3" w:rsidP="00C10469">
      <w:pPr>
        <w:pStyle w:val="a6"/>
        <w:spacing w:line="420" w:lineRule="exact"/>
        <w:ind w:left="422" w:firstLine="0"/>
        <w:rPr>
          <w:rtl/>
          <w:lang w:val="en-US"/>
        </w:rPr>
      </w:pPr>
      <w:r>
        <w:rPr>
          <w:b/>
          <w:bCs/>
          <w:rtl/>
          <w:lang w:val="en-US"/>
        </w:rPr>
        <w:t>5</w:t>
      </w:r>
      <w:r>
        <w:rPr>
          <w:rtl/>
          <w:lang w:val="en-US"/>
        </w:rPr>
        <w:t xml:space="preserve">- مكتبة الخِديوِيَّة </w:t>
      </w:r>
      <w:r>
        <w:rPr>
          <w:rFonts w:hint="eastAsia"/>
          <w:rtl/>
          <w:lang w:val="en-US"/>
        </w:rPr>
        <w:t>بالقاهرة،</w:t>
      </w:r>
      <w:r>
        <w:rPr>
          <w:rtl/>
          <w:lang w:val="en-US"/>
        </w:rPr>
        <w:t xml:space="preserve"> برقم 3/40.</w:t>
      </w:r>
    </w:p>
    <w:p w:rsidR="00035BE3" w:rsidRDefault="00035BE3" w:rsidP="00C10469">
      <w:pPr>
        <w:pStyle w:val="a6"/>
        <w:spacing w:line="420" w:lineRule="exact"/>
        <w:ind w:left="422" w:firstLine="0"/>
        <w:rPr>
          <w:rtl/>
          <w:lang w:val="en-US"/>
        </w:rPr>
      </w:pPr>
      <w:r>
        <w:rPr>
          <w:b/>
          <w:bCs/>
          <w:rtl/>
          <w:lang w:val="en-US"/>
        </w:rPr>
        <w:t>6</w:t>
      </w:r>
      <w:r>
        <w:rPr>
          <w:rtl/>
          <w:lang w:val="en-US"/>
        </w:rPr>
        <w:t>- مكتبة الأسد بدمشق، برقم 4230.</w:t>
      </w:r>
    </w:p>
    <w:p w:rsidR="00035BE3" w:rsidRDefault="00035BE3" w:rsidP="00C10469">
      <w:pPr>
        <w:pStyle w:val="a6"/>
        <w:spacing w:line="420" w:lineRule="exact"/>
        <w:ind w:left="422" w:firstLine="0"/>
        <w:rPr>
          <w:rtl/>
          <w:lang w:val="en-US"/>
        </w:rPr>
      </w:pPr>
      <w:r>
        <w:rPr>
          <w:b/>
          <w:bCs/>
          <w:rtl/>
          <w:lang w:val="en-US"/>
        </w:rPr>
        <w:t>7</w:t>
      </w:r>
      <w:r>
        <w:rPr>
          <w:rtl/>
          <w:lang w:val="en-US"/>
        </w:rPr>
        <w:t>- مكتبة باتنة بمدينة باتنة في الهند، برقم (86 رقم 864).</w:t>
      </w:r>
    </w:p>
    <w:p w:rsidR="00035BE3" w:rsidRDefault="00035BE3" w:rsidP="00C10469">
      <w:pPr>
        <w:pStyle w:val="a6"/>
        <w:spacing w:line="420" w:lineRule="exact"/>
        <w:ind w:left="422" w:firstLine="0"/>
        <w:rPr>
          <w:rtl/>
          <w:lang w:val="en-US"/>
        </w:rPr>
      </w:pPr>
      <w:r>
        <w:rPr>
          <w:b/>
          <w:bCs/>
          <w:rtl/>
          <w:lang w:val="en-US"/>
        </w:rPr>
        <w:t>8</w:t>
      </w:r>
      <w:r>
        <w:rPr>
          <w:rtl/>
          <w:lang w:val="en-US"/>
        </w:rPr>
        <w:t xml:space="preserve">- مكتبة بانكبور بمدينة بانكبور في الهند، برقم (19 (1) </w:t>
      </w:r>
      <w:r>
        <w:rPr>
          <w:rFonts w:hint="eastAsia"/>
          <w:rtl/>
          <w:lang w:val="en-US"/>
        </w:rPr>
        <w:t>رقم</w:t>
      </w:r>
      <w:r>
        <w:rPr>
          <w:rtl/>
          <w:lang w:val="en-US"/>
        </w:rPr>
        <w:t xml:space="preserve"> 1627).</w:t>
      </w:r>
    </w:p>
    <w:p w:rsidR="00035BE3" w:rsidRDefault="00035BE3" w:rsidP="00C10469">
      <w:pPr>
        <w:pStyle w:val="a6"/>
        <w:spacing w:line="420" w:lineRule="exact"/>
        <w:ind w:left="422" w:firstLine="0"/>
        <w:rPr>
          <w:rtl/>
          <w:lang w:val="en-US"/>
        </w:rPr>
      </w:pPr>
      <w:r>
        <w:rPr>
          <w:b/>
          <w:bCs/>
          <w:rtl/>
          <w:lang w:val="en-US"/>
        </w:rPr>
        <w:t>9</w:t>
      </w:r>
      <w:r>
        <w:rPr>
          <w:rtl/>
          <w:lang w:val="en-US"/>
        </w:rPr>
        <w:t xml:space="preserve">- </w:t>
      </w:r>
      <w:r>
        <w:rPr>
          <w:b/>
          <w:bCs/>
          <w:rtl/>
          <w:lang w:val="en-US"/>
        </w:rPr>
        <w:t>10</w:t>
      </w:r>
      <w:r>
        <w:rPr>
          <w:rtl/>
          <w:lang w:val="en-US"/>
        </w:rPr>
        <w:t xml:space="preserve">- مكتبة السليمانية باستانبول (فهرس يني جامع)، ورقمهما 408 </w:t>
      </w:r>
      <w:r>
        <w:rPr>
          <w:rFonts w:hint="eastAsia"/>
          <w:rtl/>
          <w:lang w:val="en-US"/>
        </w:rPr>
        <w:t>و</w:t>
      </w:r>
      <w:r>
        <w:rPr>
          <w:rtl/>
          <w:lang w:val="en-US"/>
        </w:rPr>
        <w:t>409 (وفيه أن المؤلف هو جمال الدين أحمد بن محمد القابسي الغزنوي.</w:t>
      </w:r>
    </w:p>
    <w:p w:rsidR="00035BE3" w:rsidRDefault="00035BE3" w:rsidP="00C10469">
      <w:pPr>
        <w:pStyle w:val="a6"/>
        <w:spacing w:line="420" w:lineRule="exact"/>
        <w:ind w:left="422" w:firstLine="0"/>
        <w:rPr>
          <w:rtl/>
          <w:lang w:val="en-US"/>
        </w:rPr>
      </w:pPr>
      <w:r>
        <w:rPr>
          <w:b/>
          <w:bCs/>
          <w:rtl/>
          <w:lang w:val="en-US"/>
        </w:rPr>
        <w:t>11</w:t>
      </w:r>
      <w:r>
        <w:rPr>
          <w:rtl/>
          <w:lang w:val="en-US"/>
        </w:rPr>
        <w:t xml:space="preserve">- مكتبة السليمانية (فهرس عاشر أفندي)، برقم 424 (وفيـه أن المؤلف هو </w:t>
      </w:r>
      <w:r>
        <w:rPr>
          <w:rFonts w:hint="eastAsia"/>
          <w:rtl/>
          <w:lang w:val="en-US"/>
        </w:rPr>
        <w:t>القاضي</w:t>
      </w:r>
      <w:r>
        <w:rPr>
          <w:rtl/>
          <w:lang w:val="en-US"/>
        </w:rPr>
        <w:t xml:space="preserve"> جمال الدين بن الغزنوي الحنفي (ت600هـ).</w:t>
      </w:r>
    </w:p>
    <w:p w:rsidR="00035BE3" w:rsidRDefault="00035BE3" w:rsidP="00C10469">
      <w:pPr>
        <w:pStyle w:val="a6"/>
        <w:spacing w:line="420" w:lineRule="exact"/>
        <w:ind w:left="422" w:firstLine="0"/>
        <w:rPr>
          <w:rtl/>
          <w:lang w:val="en-US"/>
        </w:rPr>
      </w:pPr>
      <w:r>
        <w:rPr>
          <w:b/>
          <w:bCs/>
          <w:rtl/>
          <w:lang w:val="en-US"/>
        </w:rPr>
        <w:t>12</w:t>
      </w:r>
      <w:r>
        <w:rPr>
          <w:rtl/>
          <w:lang w:val="en-US"/>
        </w:rPr>
        <w:t xml:space="preserve">- مكتبة السليمانية (فهرس لاله لي)، برقم 878 (وفيه أن </w:t>
      </w:r>
      <w:r>
        <w:rPr>
          <w:rFonts w:hint="eastAsia"/>
          <w:rtl/>
          <w:lang w:val="en-US"/>
        </w:rPr>
        <w:t>المؤلف</w:t>
      </w:r>
      <w:r>
        <w:rPr>
          <w:rtl/>
          <w:lang w:val="en-US"/>
        </w:rPr>
        <w:t xml:space="preserve"> إمام غزنوي).</w:t>
      </w:r>
    </w:p>
    <w:p w:rsidR="00035BE3" w:rsidRDefault="00035BE3" w:rsidP="00C10469">
      <w:pPr>
        <w:pStyle w:val="a6"/>
        <w:spacing w:line="420" w:lineRule="exact"/>
        <w:ind w:left="422" w:firstLine="0"/>
        <w:rPr>
          <w:rtl/>
          <w:lang w:val="en-US"/>
        </w:rPr>
      </w:pPr>
      <w:r>
        <w:rPr>
          <w:b/>
          <w:bCs/>
          <w:rtl/>
          <w:lang w:val="en-US"/>
        </w:rPr>
        <w:t>13</w:t>
      </w:r>
      <w:r>
        <w:rPr>
          <w:rtl/>
          <w:lang w:val="en-US"/>
        </w:rPr>
        <w:t>- مكتبة السليمانية (فهرس الحاج سليم أغا)، برقم 416 (وفيه أن المؤلف الغزنوي).</w:t>
      </w:r>
    </w:p>
    <w:p w:rsidR="00035BE3" w:rsidRDefault="00035BE3" w:rsidP="00C10469">
      <w:pPr>
        <w:pStyle w:val="a6"/>
        <w:spacing w:line="420" w:lineRule="exact"/>
        <w:ind w:left="422" w:firstLine="0"/>
        <w:rPr>
          <w:rtl/>
          <w:lang w:val="en-US"/>
        </w:rPr>
      </w:pPr>
      <w:r>
        <w:rPr>
          <w:b/>
          <w:bCs/>
          <w:rtl/>
          <w:lang w:val="en-US"/>
        </w:rPr>
        <w:t>14</w:t>
      </w:r>
      <w:r>
        <w:rPr>
          <w:rtl/>
          <w:lang w:val="en-US"/>
        </w:rPr>
        <w:t>- مكتبة السليمانية (فهرس داماد</w:t>
      </w:r>
      <w:r>
        <w:rPr>
          <w:rFonts w:hint="cs"/>
          <w:rtl/>
          <w:lang w:val="en-US"/>
        </w:rPr>
        <w:t xml:space="preserve"> </w:t>
      </w:r>
      <w:r>
        <w:rPr>
          <w:rtl/>
          <w:lang w:val="en-US"/>
        </w:rPr>
        <w:t xml:space="preserve">زاده قاضي عسكر محمد مراد)، برقم 773 -ولم </w:t>
      </w:r>
      <w:r>
        <w:rPr>
          <w:rFonts w:hint="eastAsia"/>
          <w:rtl/>
          <w:lang w:val="en-US"/>
        </w:rPr>
        <w:t>يُذكر</w:t>
      </w:r>
      <w:r>
        <w:rPr>
          <w:rtl/>
          <w:lang w:val="en-US"/>
        </w:rPr>
        <w:t xml:space="preserve"> فيها اسم المؤلف-.</w:t>
      </w:r>
    </w:p>
    <w:p w:rsidR="00035BE3" w:rsidRDefault="00035BE3" w:rsidP="00C10469">
      <w:pPr>
        <w:pStyle w:val="a6"/>
        <w:spacing w:line="420" w:lineRule="exact"/>
        <w:ind w:left="422" w:firstLine="0"/>
        <w:rPr>
          <w:rtl/>
          <w:lang w:val="en-US"/>
        </w:rPr>
      </w:pPr>
      <w:r>
        <w:rPr>
          <w:b/>
          <w:bCs/>
          <w:rtl/>
          <w:lang w:val="en-US"/>
        </w:rPr>
        <w:t>15</w:t>
      </w:r>
      <w:r>
        <w:rPr>
          <w:rtl/>
          <w:lang w:val="en-US"/>
        </w:rPr>
        <w:t xml:space="preserve">- مكتبة السليمانية (فهرس أسعد أفندي)، برقم 660 (وفيه أن المؤلف هو جمال </w:t>
      </w:r>
      <w:r>
        <w:rPr>
          <w:rFonts w:hint="eastAsia"/>
          <w:rtl/>
          <w:lang w:val="en-US"/>
        </w:rPr>
        <w:t>الدين</w:t>
      </w:r>
      <w:r>
        <w:rPr>
          <w:rtl/>
          <w:lang w:val="en-US"/>
        </w:rPr>
        <w:t xml:space="preserve"> أحمد بن محمد القابسي الغزنوي ت600هـ).</w:t>
      </w:r>
    </w:p>
    <w:p w:rsidR="00035BE3" w:rsidRDefault="00035BE3" w:rsidP="00C10469">
      <w:pPr>
        <w:pStyle w:val="a6"/>
        <w:spacing w:line="420" w:lineRule="exact"/>
        <w:ind w:left="422" w:firstLine="0"/>
        <w:rPr>
          <w:rtl/>
          <w:lang w:val="en-US"/>
        </w:rPr>
      </w:pPr>
      <w:r>
        <w:rPr>
          <w:b/>
          <w:bCs/>
          <w:rtl/>
          <w:lang w:val="en-US"/>
        </w:rPr>
        <w:t>16</w:t>
      </w:r>
      <w:r>
        <w:rPr>
          <w:rtl/>
          <w:lang w:val="en-US"/>
        </w:rPr>
        <w:t>- مكتبة فيض الله أفندي باستانبول، برقم 114.</w:t>
      </w:r>
    </w:p>
    <w:p w:rsidR="00035BE3" w:rsidRDefault="00035BE3" w:rsidP="00C10469">
      <w:pPr>
        <w:spacing w:line="420" w:lineRule="exact"/>
        <w:ind w:left="422" w:firstLine="0"/>
        <w:rPr>
          <w:rtl/>
        </w:rPr>
      </w:pPr>
      <w:r>
        <w:rPr>
          <w:b/>
          <w:bCs/>
          <w:szCs w:val="30"/>
          <w:rtl/>
        </w:rPr>
        <w:t>17</w:t>
      </w:r>
      <w:r>
        <w:rPr>
          <w:szCs w:val="30"/>
          <w:rtl/>
        </w:rPr>
        <w:t xml:space="preserve">- </w:t>
      </w:r>
      <w:r>
        <w:rPr>
          <w:rFonts w:hint="eastAsia"/>
          <w:szCs w:val="30"/>
          <w:rtl/>
        </w:rPr>
        <w:t>مكتبة</w:t>
      </w:r>
      <w:r>
        <w:rPr>
          <w:szCs w:val="30"/>
          <w:rtl/>
        </w:rPr>
        <w:t xml:space="preserve"> فليج علي باستانبول برقم 478.</w:t>
      </w:r>
      <w:r>
        <w:rPr>
          <w:rFonts w:hint="cs"/>
          <w:rtl/>
        </w:rPr>
        <w:t xml:space="preserve"> </w:t>
      </w:r>
    </w:p>
  </w:footnote>
  <w:footnote w:id="287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بحثت عن هذا التعريف في إحدى النسخ الخطية للحاوي القدسي بتركيا ولم أقف عليه، إلا أنه معزوّ إلى (الحاوي) أيضًا في (الأشباه والنظائر) لابن نجيم، ص389.</w:t>
      </w:r>
    </w:p>
  </w:footnote>
  <w:footnote w:id="287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صار الثوب ... دارهم</w:t>
      </w:r>
      <w:r>
        <w:rPr>
          <w:rFonts w:hint="eastAsia"/>
          <w:rtl/>
        </w:rPr>
        <w:t>»</w:t>
      </w:r>
      <w:r>
        <w:rPr>
          <w:rFonts w:hint="cs"/>
          <w:rtl/>
        </w:rPr>
        <w:t xml:space="preserve"> : ساقطة من (د).</w:t>
      </w:r>
    </w:p>
  </w:footnote>
  <w:footnote w:id="287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34/ب من (ب).</w:t>
      </w:r>
    </w:p>
  </w:footnote>
  <w:footnote w:id="287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أشباه ابن نجيم زيادة كلمةٍ فيها زيادة في المعنى وهي : </w:t>
      </w:r>
      <w:r>
        <w:rPr>
          <w:rFonts w:hint="eastAsia"/>
          <w:rtl/>
        </w:rPr>
        <w:t>«</w:t>
      </w:r>
      <w:r>
        <w:rPr>
          <w:rFonts w:hint="cs"/>
          <w:rtl/>
        </w:rPr>
        <w:t>دينًا</w:t>
      </w:r>
      <w:r>
        <w:rPr>
          <w:rFonts w:hint="eastAsia"/>
          <w:rtl/>
        </w:rPr>
        <w:t>»</w:t>
      </w:r>
      <w:r>
        <w:rPr>
          <w:rFonts w:hint="cs"/>
          <w:rtl/>
        </w:rPr>
        <w:t>.</w:t>
      </w:r>
    </w:p>
  </w:footnote>
  <w:footnote w:id="28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53/أ من (أ).</w:t>
      </w:r>
    </w:p>
  </w:footnote>
  <w:footnote w:id="28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قضاء</w:t>
      </w:r>
      <w:r>
        <w:rPr>
          <w:rFonts w:hint="eastAsia"/>
          <w:rtl/>
        </w:rPr>
        <w:t>»</w:t>
      </w:r>
      <w:r>
        <w:rPr>
          <w:rFonts w:hint="cs"/>
          <w:rtl/>
        </w:rPr>
        <w:t>.</w:t>
      </w:r>
    </w:p>
  </w:footnote>
  <w:footnote w:id="28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ص389-390 - مع اختلاف يسير سبق بيان أهمه-.</w:t>
      </w:r>
    </w:p>
    <w:p w:rsidR="00035BE3" w:rsidRDefault="00035BE3" w:rsidP="00C10469">
      <w:pPr>
        <w:pStyle w:val="a6"/>
        <w:ind w:left="422" w:firstLine="0"/>
        <w:rPr>
          <w:rtl/>
        </w:rPr>
      </w:pPr>
      <w:r>
        <w:rPr>
          <w:rFonts w:hint="cs"/>
          <w:b/>
          <w:bCs/>
          <w:rtl/>
        </w:rPr>
        <w:t>ومعنى هذا الفرع الأخير</w:t>
      </w:r>
      <w:r>
        <w:rPr>
          <w:rFonts w:hint="cs"/>
          <w:rtl/>
        </w:rPr>
        <w:t xml:space="preserve"> : أن الدائن (الذي هو البائع في المثال الذي ذكره في بداية القاعدة) لو أبرأ المديون (المشتري) عن الدين (قيمة المبيع) بعد قضاء المديون الدين للدائن، وكانت البراءة براءة إسقاط: صحَّ الإبراء، ورجع المديون على الدائن بما دفعه (وهو في المثال المذكور : قيمة المبيع).</w:t>
      </w:r>
    </w:p>
  </w:footnote>
  <w:footnote w:id="28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زيادة من مصدر هذه العبارة (وهو أشباه ابن نجيم)، ولا يستقيم المعنى بدونها.</w:t>
      </w:r>
    </w:p>
  </w:footnote>
  <w:footnote w:id="28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ص294 - مع الاختلاف اليسير الذي سبق بيانه-.</w:t>
      </w:r>
    </w:p>
  </w:footnote>
  <w:footnote w:id="28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41/أ من (جـ).</w:t>
      </w:r>
    </w:p>
  </w:footnote>
  <w:footnote w:id="28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الدين </w:t>
      </w:r>
      <w:r>
        <w:rPr>
          <w:rFonts w:hint="eastAsia"/>
          <w:rtl/>
        </w:rPr>
        <w:t>»</w:t>
      </w:r>
      <w:r>
        <w:rPr>
          <w:rFonts w:hint="cs"/>
          <w:rtl/>
        </w:rPr>
        <w:t>.</w:t>
      </w:r>
    </w:p>
  </w:footnote>
  <w:footnote w:id="28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(جـ).</w:t>
      </w:r>
    </w:p>
  </w:footnote>
  <w:footnote w:id="28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استفيت </w:t>
      </w:r>
      <w:r>
        <w:rPr>
          <w:rFonts w:hint="eastAsia"/>
          <w:rtl/>
        </w:rPr>
        <w:t>»</w:t>
      </w:r>
      <w:r>
        <w:rPr>
          <w:rFonts w:hint="cs"/>
          <w:rtl/>
        </w:rPr>
        <w:t>.</w:t>
      </w:r>
    </w:p>
  </w:footnote>
  <w:footnote w:id="28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ما </w:t>
      </w:r>
      <w:r>
        <w:rPr>
          <w:rFonts w:hint="eastAsia"/>
          <w:rtl/>
        </w:rPr>
        <w:t>»</w:t>
      </w:r>
      <w:r>
        <w:rPr>
          <w:rFonts w:hint="cs"/>
          <w:rtl/>
        </w:rPr>
        <w:t xml:space="preserve"> (باسقاط الباء ).</w:t>
      </w:r>
    </w:p>
  </w:footnote>
  <w:footnote w:id="28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لا </w:t>
      </w:r>
      <w:r>
        <w:rPr>
          <w:rFonts w:hint="eastAsia"/>
          <w:rtl/>
        </w:rPr>
        <w:t>»</w:t>
      </w:r>
      <w:r>
        <w:rPr>
          <w:rFonts w:hint="cs"/>
          <w:rtl/>
        </w:rPr>
        <w:t xml:space="preserve"> النافية ساقطة من (ب) في هذا الموضع ومثبتة بعد الإيفاء، وتمام عبارتها: </w:t>
      </w:r>
      <w:r>
        <w:rPr>
          <w:rFonts w:hint="eastAsia"/>
          <w:rtl/>
        </w:rPr>
        <w:t>«</w:t>
      </w:r>
      <w:r>
        <w:rPr>
          <w:rFonts w:hint="cs"/>
          <w:rtl/>
        </w:rPr>
        <w:t>... الإيفاء لا والاستيفاء مسقط ...</w:t>
      </w:r>
      <w:r>
        <w:rPr>
          <w:rFonts w:hint="eastAsia"/>
          <w:rtl/>
        </w:rPr>
        <w:t>»</w:t>
      </w:r>
      <w:r>
        <w:rPr>
          <w:rFonts w:hint="cs"/>
          <w:rtl/>
        </w:rPr>
        <w:t>.</w:t>
      </w:r>
    </w:p>
  </w:footnote>
  <w:footnote w:id="28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المندرجة تحت قاعدة </w:t>
      </w:r>
      <w:r>
        <w:rPr>
          <w:rFonts w:hint="eastAsia"/>
          <w:rtl/>
        </w:rPr>
        <w:t>«</w:t>
      </w:r>
      <w:r>
        <w:rPr>
          <w:rFonts w:hint="cs"/>
          <w:rtl/>
        </w:rPr>
        <w:t>إعمال الكلام أولى من إهماله</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صرّح بذلك كثير ممّن شرحوا القاعدة، وبينوا وجه اندارجها تحتها، ومن ذلك ما قاله الأتاسي في شرحه للمجلة - 1/165- : </w:t>
      </w:r>
      <w:r>
        <w:rPr>
          <w:rFonts w:hint="eastAsia"/>
          <w:spacing w:val="6"/>
          <w:rtl/>
        </w:rPr>
        <w:t>«</w:t>
      </w:r>
      <w:r>
        <w:rPr>
          <w:rFonts w:hint="cs"/>
          <w:spacing w:val="6"/>
          <w:rtl/>
        </w:rPr>
        <w:t xml:space="preserve">هذه المادة متفرعة على </w:t>
      </w:r>
      <w:r>
        <w:rPr>
          <w:rFonts w:hint="eastAsia"/>
          <w:rtl/>
        </w:rPr>
        <w:t>«</w:t>
      </w:r>
      <w:r>
        <w:rPr>
          <w:rFonts w:hint="cs"/>
          <w:spacing w:val="6"/>
          <w:rtl/>
        </w:rPr>
        <w:t>مادة إعمال الكلام أولى من إهماله</w:t>
      </w:r>
      <w:r>
        <w:rPr>
          <w:rFonts w:hint="eastAsia"/>
          <w:rtl/>
        </w:rPr>
        <w:t>»</w:t>
      </w:r>
      <w:r>
        <w:rPr>
          <w:rFonts w:hint="cs"/>
          <w:spacing w:val="6"/>
          <w:rtl/>
        </w:rPr>
        <w:t>. أي: فإذا كان الإعمال أولى، فكل ما لا يقبل التجزئة : ذكر بعضه في الحكم كذكر كله؛ إذ لا يخلو إما أن يجعل ذكر البعض كذكر الكل فيُعمل الكلام، أولا يجعل فيُهمل، لكن الإعمال أولى من الإهمال، فقلنا بعدم التجزؤ</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ونظرًا لأهمية القاعدة وردت في كثير من كتب الفقه وقواعده بلفظ المؤلف أو معناه.</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ind w:left="422" w:firstLine="0"/>
        <w:rPr>
          <w:rtl/>
        </w:rPr>
      </w:pPr>
      <w:r w:rsidRPr="0014477B">
        <w:rPr>
          <w:rFonts w:hint="cs"/>
          <w:spacing w:val="-4"/>
          <w:rtl/>
        </w:rPr>
        <w:t xml:space="preserve">تأسيس النظر، ص93- ولفظه : </w:t>
      </w:r>
      <w:r w:rsidRPr="0014477B">
        <w:rPr>
          <w:rFonts w:hint="eastAsia"/>
          <w:spacing w:val="-4"/>
          <w:rtl/>
        </w:rPr>
        <w:t>«</w:t>
      </w:r>
      <w:r w:rsidRPr="0014477B">
        <w:rPr>
          <w:rFonts w:hint="cs"/>
          <w:spacing w:val="-4"/>
          <w:rtl/>
        </w:rPr>
        <w:t>الأصل عند أصحابنا أن ما لا يتجزأ فوجود بعضه كوجود كله. وعند زفر لا يكون وجود بعضه كوجود كله</w:t>
      </w:r>
      <w:r w:rsidRPr="0014477B">
        <w:rPr>
          <w:rFonts w:hint="eastAsia"/>
          <w:spacing w:val="-4"/>
          <w:rtl/>
        </w:rPr>
        <w:t>»</w:t>
      </w:r>
      <w:r w:rsidRPr="0014477B">
        <w:rPr>
          <w:rFonts w:hint="cs"/>
          <w:spacing w:val="-4"/>
          <w:rtl/>
        </w:rPr>
        <w:t xml:space="preserve">-؛ الأشباه والنظـائر لابن السبكي، 1/109- ولفظه: </w:t>
      </w:r>
      <w:r w:rsidRPr="0014477B">
        <w:rPr>
          <w:rFonts w:hint="eastAsia"/>
          <w:spacing w:val="-4"/>
          <w:rtl/>
        </w:rPr>
        <w:t>«</w:t>
      </w:r>
      <w:r w:rsidRPr="0014477B">
        <w:rPr>
          <w:rFonts w:hint="cs"/>
          <w:spacing w:val="-4"/>
          <w:rtl/>
        </w:rPr>
        <w:t>... الحكم على بعض ما لا يتجزأ بنفي أو إثبات حكم على كله</w:t>
      </w:r>
      <w:r w:rsidRPr="0014477B">
        <w:rPr>
          <w:rFonts w:hint="eastAsia"/>
          <w:spacing w:val="-4"/>
          <w:rtl/>
        </w:rPr>
        <w:t>»</w:t>
      </w:r>
      <w:r w:rsidRPr="0014477B">
        <w:rPr>
          <w:rFonts w:hint="cs"/>
          <w:spacing w:val="-4"/>
          <w:rtl/>
        </w:rPr>
        <w:t xml:space="preserve">-؛ المنثور، 3/153- ولفظه: </w:t>
      </w:r>
      <w:r w:rsidRPr="0014477B">
        <w:rPr>
          <w:rFonts w:hint="eastAsia"/>
          <w:spacing w:val="-4"/>
          <w:rtl/>
        </w:rPr>
        <w:t>«</w:t>
      </w:r>
      <w:r w:rsidRPr="0014477B">
        <w:rPr>
          <w:rFonts w:hint="cs"/>
          <w:spacing w:val="-4"/>
          <w:rtl/>
        </w:rPr>
        <w:t>ما لا يقبل التبعيض يكون اختيار بعضه كاختيار كله، وإسقاط بعضه كإسقاط كله</w:t>
      </w:r>
      <w:r w:rsidRPr="0014477B">
        <w:rPr>
          <w:rFonts w:hint="eastAsia"/>
          <w:spacing w:val="-4"/>
          <w:rtl/>
        </w:rPr>
        <w:t>»</w:t>
      </w:r>
      <w:r w:rsidRPr="0014477B">
        <w:rPr>
          <w:rFonts w:hint="cs"/>
          <w:spacing w:val="-4"/>
          <w:rtl/>
        </w:rPr>
        <w:t xml:space="preserve">-؛ الأشباه والنظائر للسيوطي، 1/348- ولفظه قريب من لفظ المنثور-؛ ولابن نجيم، ص186؛ الفرائد البهية وشرحاها: الأقمار المضيئة، ص240، والمواهب السنية وحاشيتها : الفوائد الجنية، 2/352- وقد عبّر صاحب الفرائد عنها ببيتين لفظه فيهما قريب من لفظ صاحب المنثور-؛ مجامع الحقائق (الخاتـمة)، ص45؛ شرح العلائي لقواعد الخادمي، ل22/ب؛ منافع الدقائق، ص320؛ مجلة الأحكام العدلية، مادة63؛ شرحها لسليم رستم، 1/44؛ ولعلي حيدر، 1/55؛ وللأتاسي، 1/165؛ وشرح قواعدها للزرقا، ص321؛ قواعد الفقه للمجدّدي، ص82، قاعدة 137- إلا أن لفظه: </w:t>
      </w:r>
      <w:r w:rsidRPr="0014477B">
        <w:rPr>
          <w:rFonts w:hint="eastAsia"/>
          <w:spacing w:val="-4"/>
          <w:rtl/>
        </w:rPr>
        <w:t>«</w:t>
      </w:r>
      <w:r w:rsidRPr="0014477B">
        <w:rPr>
          <w:rFonts w:hint="cs"/>
          <w:spacing w:val="-4"/>
          <w:rtl/>
        </w:rPr>
        <w:t>ذكر ما لا يتجزأ كذكر كله</w:t>
      </w:r>
      <w:r w:rsidRPr="0014477B">
        <w:rPr>
          <w:rFonts w:hint="eastAsia"/>
          <w:spacing w:val="-4"/>
          <w:rtl/>
        </w:rPr>
        <w:t>»</w:t>
      </w:r>
      <w:r w:rsidRPr="0014477B">
        <w:rPr>
          <w:rFonts w:hint="cs"/>
          <w:spacing w:val="-4"/>
          <w:rtl/>
        </w:rPr>
        <w:t xml:space="preserve"> (بإسقاط لفظ (بعض) !)-؛ المدخل الفقهي العام، 2/1006، فقرة 619؛ القواعد الفقهية للدكتور عـلي الندوي، ص145، 169، 171، 177، 229، 409؛ القواعد والضوابط المستخلصة له أيضًا، ص161، 177، 195، 488- علمًا بأنه ورد في بعض ألفاظها الإشارة إلى كونها متفرعة من قاعدة:</w:t>
      </w:r>
      <w:r w:rsidRPr="0014477B">
        <w:rPr>
          <w:rFonts w:hint="eastAsia"/>
          <w:spacing w:val="-4"/>
          <w:rtl/>
        </w:rPr>
        <w:t xml:space="preserve"> «</w:t>
      </w:r>
      <w:r w:rsidRPr="0014477B">
        <w:rPr>
          <w:rFonts w:hint="cs"/>
          <w:spacing w:val="-4"/>
          <w:rtl/>
        </w:rPr>
        <w:t xml:space="preserve">إعمال الكلام أولى </w:t>
      </w:r>
      <w:r w:rsidRPr="00F13ABA">
        <w:rPr>
          <w:rFonts w:hint="cs"/>
          <w:rtl/>
        </w:rPr>
        <w:t>من إهماله</w:t>
      </w:r>
      <w:r w:rsidRPr="00F13ABA">
        <w:rPr>
          <w:rFonts w:hint="eastAsia"/>
          <w:rtl/>
        </w:rPr>
        <w:t>»</w:t>
      </w:r>
      <w:r w:rsidRPr="00F13ABA">
        <w:rPr>
          <w:rFonts w:hint="cs"/>
          <w:rtl/>
        </w:rPr>
        <w:t xml:space="preserve">، حيث جاء في ص161: </w:t>
      </w:r>
      <w:r w:rsidRPr="00F13ABA">
        <w:rPr>
          <w:rFonts w:hint="eastAsia"/>
          <w:rtl/>
        </w:rPr>
        <w:t>«</w:t>
      </w:r>
      <w:r w:rsidRPr="00F13ABA">
        <w:rPr>
          <w:rFonts w:hint="cs"/>
          <w:rtl/>
        </w:rPr>
        <w:t>ذكر بعض ما لا يتجزأ كذكر كله؛ ضرورة تصحيح التصرف</w:t>
      </w:r>
      <w:r w:rsidRPr="00F13ABA">
        <w:rPr>
          <w:rFonts w:hint="eastAsia"/>
          <w:rtl/>
        </w:rPr>
        <w:t>»</w:t>
      </w:r>
      <w:r w:rsidRPr="00F13ABA">
        <w:rPr>
          <w:rFonts w:hint="cs"/>
          <w:rtl/>
        </w:rPr>
        <w:t>-؛</w:t>
      </w:r>
      <w:r w:rsidRPr="0014477B">
        <w:rPr>
          <w:rFonts w:hint="cs"/>
          <w:spacing w:val="-4"/>
          <w:rtl/>
        </w:rPr>
        <w:t xml:space="preserve"> </w:t>
      </w:r>
      <w:r w:rsidRPr="00F13ABA">
        <w:rPr>
          <w:rFonts w:hint="cs"/>
          <w:rtl/>
        </w:rPr>
        <w:t xml:space="preserve">القاعدة الكلية: إعمال الكلام أولى من إهماله، ص263؛ الوجيز، ص267؛ موسوعد القواعد الفقهية، 1/80، 205- وقد ذكر في الموضع الثاني عدّة ألفاظ للقاعدة منها لفظ المؤلف ولفظ المنثور وابن السبكي والدبوسي-؛ تطبيقات القواعد والضوابط للدكتور سعود الغديان، </w:t>
      </w:r>
      <w:r w:rsidRPr="00F13ABA">
        <w:rPr>
          <w:rtl/>
        </w:rPr>
        <w:br/>
      </w:r>
      <w:r w:rsidRPr="0014477B">
        <w:rPr>
          <w:rFonts w:hint="cs"/>
          <w:spacing w:val="4"/>
          <w:rtl/>
        </w:rPr>
        <w:t>ص1523-</w:t>
      </w:r>
      <w:r>
        <w:rPr>
          <w:rFonts w:hint="cs"/>
          <w:rtl/>
        </w:rPr>
        <w:t xml:space="preserve"> ولفظه كلفظ المنثور-؛ المدخل إلى القواعد الفقهية الكلية، ص130؛ المبادئ الفقهية، ص39؛ القواعد الفقهية للدّعاس، ص67، قاعدة 48؛ وللزحيلي، ص75.</w:t>
      </w:r>
    </w:p>
    <w:p w:rsidR="00035BE3" w:rsidRDefault="00035BE3" w:rsidP="00C10469">
      <w:pPr>
        <w:pStyle w:val="a6"/>
        <w:ind w:left="422" w:firstLine="0"/>
        <w:rPr>
          <w:b/>
          <w:bCs/>
          <w:rtl/>
        </w:rPr>
      </w:pPr>
      <w:r>
        <w:rPr>
          <w:rFonts w:hint="cs"/>
          <w:b/>
          <w:bCs/>
          <w:rtl/>
        </w:rPr>
        <w:t>ومن كتب الفقه :</w:t>
      </w:r>
    </w:p>
    <w:p w:rsidR="00035BE3" w:rsidRPr="00EB47A2" w:rsidRDefault="00035BE3" w:rsidP="00C10469">
      <w:pPr>
        <w:pStyle w:val="a6"/>
        <w:ind w:left="422" w:firstLine="0"/>
        <w:rPr>
          <w:rtl/>
        </w:rPr>
      </w:pPr>
      <w:r w:rsidRPr="00EB47A2">
        <w:rPr>
          <w:rFonts w:hint="cs"/>
          <w:rtl/>
        </w:rPr>
        <w:t>المبسوط، 5/82، 6/139، 14/111، 19/171؛ بدائع الصنائع، 3/98؛ الكافي للنسفي، القسم الأخير، ص2636؛ المحيط البرهاني، ق3، ص16؛ الهداية وشرحاها: العناية وفـتح القدير، 4/16، 7/166، 167؛ الدّرر شرح الغرر، 1/362؛ البحـر الرائـق، 2/62، 3/90، 282، 4/45، 242؛ مغني المحتاج، 3/298؛ ردّ المحتار، 4/75، 474، 617، 5/387، 7/559.</w:t>
      </w:r>
    </w:p>
    <w:p w:rsidR="00035BE3" w:rsidRDefault="00035BE3" w:rsidP="00C10469">
      <w:pPr>
        <w:pStyle w:val="a6"/>
        <w:ind w:left="422" w:firstLine="0"/>
        <w:rPr>
          <w:rtl/>
        </w:rPr>
      </w:pPr>
      <w:r>
        <w:rPr>
          <w:rFonts w:hint="cs"/>
          <w:rtl/>
        </w:rPr>
        <w:t>كما ذكرها عرضًا الزنجاني في (تخريج الفروع على الأصول)، ص243.</w:t>
      </w:r>
    </w:p>
  </w:footnote>
  <w:footnote w:id="28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تطلقه</w:t>
      </w:r>
      <w:r>
        <w:rPr>
          <w:rFonts w:hint="eastAsia"/>
          <w:rtl/>
        </w:rPr>
        <w:t>»</w:t>
      </w:r>
      <w:r>
        <w:rPr>
          <w:rFonts w:hint="cs"/>
          <w:rtl/>
        </w:rPr>
        <w:t>.</w:t>
      </w:r>
    </w:p>
  </w:footnote>
  <w:footnote w:id="28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خُرِّج هذا الفرع على القاعدة في أكثر كتب القواعد السابقة، كما ورد في كثير من كتب الفقه، منها: بدائع الصنائع، 3/98؛ الهداية وشرحاها : العناية وفتح القدير، 4/16؛ المغني لابن قدامة، 10/508- وقد نَسَبَ القول بوقوع طلـقة كاملة إلى </w:t>
      </w:r>
      <w:r>
        <w:rPr>
          <w:rFonts w:hint="eastAsia"/>
          <w:rtl/>
        </w:rPr>
        <w:t>«</w:t>
      </w:r>
      <w:r>
        <w:rPr>
          <w:rFonts w:hint="cs"/>
          <w:rtl/>
        </w:rPr>
        <w:t>عامة أهل العلم إلا داود</w:t>
      </w:r>
      <w:r>
        <w:rPr>
          <w:rFonts w:hint="eastAsia"/>
          <w:rtl/>
        </w:rPr>
        <w:t>»</w:t>
      </w:r>
      <w:r>
        <w:rPr>
          <w:rFonts w:hint="cs"/>
          <w:rtl/>
        </w:rPr>
        <w:t>-؛ مواهب الجليل للـحـطاب، 5/338-339- وقد نَقَلَ عن ابن الـمنذر الإجماع على ذلك، ثم ذكر أنه حُكي عن داود القول بأنه لا يقع شيء-؛ الدُّرر شرح الغرر، 1/362؛ البحر الرائق، 3/281.</w:t>
      </w:r>
    </w:p>
  </w:footnote>
  <w:footnote w:id="28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طلقت </w:t>
      </w:r>
      <w:r>
        <w:rPr>
          <w:rFonts w:hint="eastAsia"/>
          <w:rtl/>
        </w:rPr>
        <w:t>»</w:t>
      </w:r>
      <w:r>
        <w:rPr>
          <w:rFonts w:hint="cs"/>
          <w:rtl/>
        </w:rPr>
        <w:t xml:space="preserve">، والمناسب ما تمَّ إثباته من (ب)؛ وفاقًا لمصدر هذه العبارة (وهو أشباه ابن نجيم)؛ لأن هذا الفعل معطوف على قوله - في بداية شرح القاعدة -: </w:t>
      </w:r>
      <w:r>
        <w:rPr>
          <w:rFonts w:hint="eastAsia"/>
          <w:rtl/>
        </w:rPr>
        <w:t>«</w:t>
      </w:r>
      <w:r>
        <w:rPr>
          <w:rFonts w:hint="cs"/>
          <w:rtl/>
        </w:rPr>
        <w:t xml:space="preserve"> فإذا طلق </w:t>
      </w:r>
      <w:r>
        <w:rPr>
          <w:rFonts w:hint="eastAsia"/>
          <w:rtl/>
        </w:rPr>
        <w:t>»</w:t>
      </w:r>
      <w:r>
        <w:rPr>
          <w:rFonts w:hint="cs"/>
          <w:rtl/>
        </w:rPr>
        <w:t>، فناسب أن يتفقا في كون الفاعل فيهما ضمير مستتر تقديره (هو).</w:t>
      </w:r>
    </w:p>
  </w:footnote>
  <w:footnote w:id="2893">
    <w:p w:rsidR="00035BE3" w:rsidRDefault="00035BE3" w:rsidP="00C10469">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الأشباه والنظائر لابن نجيم، ص186؛ وانظر الفرع الفقهي الثاني في الهداية وشرحيها : العناية وفتح القدير، 4/14.</w:t>
      </w:r>
    </w:p>
  </w:footnote>
  <w:footnote w:id="28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اعتق</w:t>
      </w:r>
      <w:r>
        <w:rPr>
          <w:rFonts w:hint="eastAsia"/>
          <w:rtl/>
        </w:rPr>
        <w:t>»</w:t>
      </w:r>
      <w:r>
        <w:rPr>
          <w:rFonts w:hint="cs"/>
          <w:rtl/>
        </w:rPr>
        <w:t>.</w:t>
      </w:r>
    </w:p>
  </w:footnote>
  <w:footnote w:id="28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لابن نجيم، ص186؛ البحر الرائق، 3/282، 4/242.</w:t>
      </w:r>
    </w:p>
  </w:footnote>
  <w:footnote w:id="28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لم أجدها بلفظها فيما وقفت عليه من كتب الفقه وقواعده، أما معناها فقد تعرضت له </w:t>
      </w:r>
      <w:r w:rsidRPr="0083287C">
        <w:rPr>
          <w:rFonts w:hint="cs"/>
          <w:spacing w:val="-4"/>
          <w:rtl/>
        </w:rPr>
        <w:t>بعض كتب الحنفية الفقهية، إلاّ أن كلمتهم لم تتفق عليه، إذْ إن منهم من أثبت معناها، ومنهم من نفاه:</w:t>
      </w:r>
    </w:p>
    <w:p w:rsidR="00035BE3" w:rsidRDefault="00035BE3" w:rsidP="00C10469">
      <w:pPr>
        <w:pStyle w:val="a6"/>
        <w:ind w:left="422" w:firstLine="0"/>
        <w:rPr>
          <w:rtl/>
        </w:rPr>
      </w:pPr>
      <w:r>
        <w:rPr>
          <w:rFonts w:ascii="Wingdings" w:hAnsi="Wingdings"/>
          <w:lang w:val="en-US"/>
        </w:rPr>
        <w:t></w:t>
      </w:r>
      <w:r>
        <w:rPr>
          <w:rFonts w:hint="cs"/>
          <w:rtl/>
        </w:rPr>
        <w:t xml:space="preserve"> فمن العبارات المتضمنة لمعنى القاعدة :</w:t>
      </w:r>
    </w:p>
    <w:p w:rsidR="00035BE3" w:rsidRDefault="00035BE3" w:rsidP="00C10469">
      <w:pPr>
        <w:pStyle w:val="a6"/>
        <w:ind w:left="422" w:firstLine="0"/>
        <w:rPr>
          <w:rtl/>
        </w:rPr>
      </w:pPr>
      <w:r>
        <w:rPr>
          <w:rtl/>
        </w:rPr>
        <w:t>•</w:t>
      </w:r>
      <w:r>
        <w:rPr>
          <w:rFonts w:hint="cs"/>
          <w:rtl/>
        </w:rPr>
        <w:t xml:space="preserve"> ما جاء في (بدائع الصنائع) -5/294 -295- : </w:t>
      </w:r>
      <w:r>
        <w:rPr>
          <w:rFonts w:hint="eastAsia"/>
          <w:rtl/>
        </w:rPr>
        <w:t>«</w:t>
      </w:r>
      <w:r>
        <w:rPr>
          <w:rFonts w:hint="cs"/>
          <w:rtl/>
        </w:rPr>
        <w:t xml:space="preserve">ولو اشترى دهنًا في قارورة فرأى خارج القارورة: فعن محمد روايتان، روى ابن سماعة عنه : أنه لا خيار له؛ </w:t>
      </w:r>
      <w:r>
        <w:rPr>
          <w:rFonts w:hint="cs"/>
          <w:b/>
          <w:bCs/>
          <w:rtl/>
        </w:rPr>
        <w:t>لأن</w:t>
      </w:r>
      <w:r>
        <w:rPr>
          <w:rFonts w:hint="cs"/>
          <w:rtl/>
        </w:rPr>
        <w:t xml:space="preserve"> </w:t>
      </w:r>
      <w:r>
        <w:rPr>
          <w:rFonts w:hint="cs"/>
          <w:b/>
          <w:bCs/>
          <w:rtl/>
        </w:rPr>
        <w:t>الرؤية من الخارج تفيد العلم بالداخل</w:t>
      </w:r>
      <w:r>
        <w:rPr>
          <w:rFonts w:hint="cs"/>
          <w:rtl/>
        </w:rPr>
        <w:t>، فكأنه رآه وهو في الخارج...</w:t>
      </w:r>
      <w:r>
        <w:rPr>
          <w:rFonts w:hint="eastAsia"/>
          <w:rtl/>
        </w:rPr>
        <w:t>»</w:t>
      </w:r>
      <w:r>
        <w:rPr>
          <w:rFonts w:hint="cs"/>
          <w:rtl/>
        </w:rPr>
        <w:t>.</w:t>
      </w:r>
    </w:p>
    <w:p w:rsidR="00035BE3" w:rsidRDefault="00035BE3" w:rsidP="00C10469">
      <w:pPr>
        <w:pStyle w:val="a6"/>
        <w:ind w:left="422" w:firstLine="0"/>
        <w:rPr>
          <w:rtl/>
        </w:rPr>
      </w:pPr>
      <w:r>
        <w:rPr>
          <w:rtl/>
        </w:rPr>
        <w:t>•</w:t>
      </w:r>
      <w:r>
        <w:rPr>
          <w:rFonts w:hint="cs"/>
          <w:rtl/>
        </w:rPr>
        <w:t xml:space="preserve"> وقد جاء في (فتح القدير) -6/345- نحو هذا التعليل للقول المروي عن محمد -وسوف يأتي بعد بضعة سطور نقل كلامه كاملاً-.</w:t>
      </w:r>
    </w:p>
    <w:p w:rsidR="00035BE3" w:rsidRDefault="00035BE3" w:rsidP="00C10469">
      <w:pPr>
        <w:pStyle w:val="a6"/>
        <w:ind w:left="422" w:firstLine="0"/>
        <w:rPr>
          <w:rtl/>
        </w:rPr>
      </w:pPr>
      <w:r>
        <w:rPr>
          <w:rtl/>
        </w:rPr>
        <w:t>•</w:t>
      </w:r>
      <w:r>
        <w:rPr>
          <w:rFonts w:hint="cs"/>
          <w:rtl/>
        </w:rPr>
        <w:t xml:space="preserve"> كما جاء فيه أيضًا -3/224- : </w:t>
      </w:r>
      <w:r>
        <w:rPr>
          <w:rFonts w:hint="eastAsia"/>
          <w:rtl/>
        </w:rPr>
        <w:t>«</w:t>
      </w:r>
      <w:r>
        <w:rPr>
          <w:rFonts w:hint="cs"/>
          <w:rtl/>
        </w:rPr>
        <w:t xml:space="preserve">النظر من وراء الزجاج إلى الفرج محرَّمٌ ... وعلى هذا </w:t>
      </w:r>
      <w:r>
        <w:rPr>
          <w:rFonts w:hint="cs"/>
          <w:b/>
          <w:bCs/>
          <w:rtl/>
        </w:rPr>
        <w:t>فالتحريم به من وراء الزجـاج بناءً على نفوذ البصر منه، فيرى نفس المرئي،</w:t>
      </w:r>
      <w:r>
        <w:rPr>
          <w:rFonts w:hint="cs"/>
          <w:rtl/>
        </w:rPr>
        <w:t xml:space="preserve"> بخلاف المرآة والماء ...</w:t>
      </w:r>
      <w:r>
        <w:rPr>
          <w:rFonts w:hint="eastAsia"/>
          <w:rtl/>
        </w:rPr>
        <w:t>»</w:t>
      </w:r>
      <w:r>
        <w:rPr>
          <w:rFonts w:hint="cs"/>
          <w:rtl/>
        </w:rPr>
        <w:t>.</w:t>
      </w:r>
    </w:p>
    <w:p w:rsidR="00035BE3" w:rsidRDefault="00035BE3" w:rsidP="00C10469">
      <w:pPr>
        <w:pStyle w:val="a6"/>
        <w:ind w:left="-32" w:firstLine="454"/>
        <w:rPr>
          <w:rtl/>
        </w:rPr>
      </w:pPr>
      <w:r>
        <w:rPr>
          <w:rtl/>
        </w:rPr>
        <w:t>•</w:t>
      </w:r>
      <w:r>
        <w:rPr>
          <w:rFonts w:hint="cs"/>
          <w:rtl/>
        </w:rPr>
        <w:t xml:space="preserve"> وكذلك جاء في (ردّ المحتار) لابن عابدين </w:t>
      </w:r>
      <w:r>
        <w:rPr>
          <w:rtl/>
        </w:rPr>
        <w:t>–</w:t>
      </w:r>
      <w:r>
        <w:rPr>
          <w:rFonts w:hint="cs"/>
          <w:rtl/>
        </w:rPr>
        <w:t>4/110- فقد نقل عن الفتح نحو الكلام السابق.</w:t>
      </w:r>
    </w:p>
    <w:p w:rsidR="00035BE3" w:rsidRDefault="00035BE3" w:rsidP="00C10469">
      <w:pPr>
        <w:pStyle w:val="a6"/>
        <w:ind w:left="422" w:firstLine="0"/>
        <w:rPr>
          <w:rtl/>
        </w:rPr>
      </w:pPr>
      <w:r>
        <w:rPr>
          <w:rFonts w:ascii="Wingdings" w:hAnsi="Wingdings"/>
          <w:lang w:val="en-US"/>
        </w:rPr>
        <w:t></w:t>
      </w:r>
      <w:r>
        <w:rPr>
          <w:rFonts w:hint="cs"/>
          <w:rtl/>
        </w:rPr>
        <w:t xml:space="preserve"> ومن العبارات المخالفة لمعنى القاعدة :</w:t>
      </w:r>
    </w:p>
    <w:p w:rsidR="00035BE3" w:rsidRDefault="00035BE3" w:rsidP="00C10469">
      <w:pPr>
        <w:pStyle w:val="a6"/>
        <w:ind w:left="422" w:firstLine="0"/>
        <w:rPr>
          <w:rtl/>
        </w:rPr>
      </w:pPr>
      <w:r>
        <w:rPr>
          <w:rtl/>
        </w:rPr>
        <w:t>•</w:t>
      </w:r>
      <w:r>
        <w:rPr>
          <w:rFonts w:hint="cs"/>
          <w:rtl/>
        </w:rPr>
        <w:t xml:space="preserve"> ما جاء في (بدائع الصنائع)، 5/295- عقب الكلام السابق المنقول عنه -: </w:t>
      </w:r>
      <w:r>
        <w:rPr>
          <w:rFonts w:hint="eastAsia"/>
          <w:rtl/>
        </w:rPr>
        <w:t>«</w:t>
      </w:r>
      <w:r>
        <w:rPr>
          <w:rFonts w:hint="cs"/>
          <w:rtl/>
        </w:rPr>
        <w:t xml:space="preserve">وروي عنه أن له الخيار؛ </w:t>
      </w:r>
      <w:r>
        <w:rPr>
          <w:rFonts w:hint="cs"/>
          <w:b/>
          <w:bCs/>
          <w:rtl/>
        </w:rPr>
        <w:t>لأن العلم بما في داخل القارورة لا يحصل بالرؤية من خارج القارورة</w:t>
      </w:r>
      <w:r>
        <w:rPr>
          <w:rFonts w:hint="cs"/>
          <w:rtl/>
        </w:rPr>
        <w:t>؛ لأن ما في الداخل يتلوّن بلون القارورة فلا يحصل المقصود من هذه الرؤية</w:t>
      </w:r>
      <w:r>
        <w:rPr>
          <w:rFonts w:hint="eastAsia"/>
          <w:rtl/>
        </w:rPr>
        <w:t>»</w:t>
      </w:r>
      <w:r>
        <w:rPr>
          <w:rFonts w:hint="cs"/>
          <w:rtl/>
        </w:rPr>
        <w:t>.</w:t>
      </w:r>
    </w:p>
    <w:p w:rsidR="00035BE3" w:rsidRDefault="00035BE3" w:rsidP="00C10469">
      <w:pPr>
        <w:pStyle w:val="a6"/>
        <w:spacing w:line="264" w:lineRule="auto"/>
        <w:ind w:left="420" w:firstLine="0"/>
        <w:rPr>
          <w:rtl/>
        </w:rPr>
      </w:pPr>
      <w:r>
        <w:rPr>
          <w:rtl/>
        </w:rPr>
        <w:t>•</w:t>
      </w:r>
      <w:r>
        <w:rPr>
          <w:rFonts w:hint="cs"/>
          <w:rtl/>
        </w:rPr>
        <w:t xml:space="preserve">ومنها ما جاء في (فتح القدير) -6/345- : </w:t>
      </w:r>
      <w:r>
        <w:rPr>
          <w:rFonts w:hint="eastAsia"/>
          <w:rtl/>
        </w:rPr>
        <w:t>«</w:t>
      </w:r>
      <w:r>
        <w:rPr>
          <w:rFonts w:hint="cs"/>
          <w:rtl/>
        </w:rPr>
        <w:t xml:space="preserve">ولو اشترى دهنًا في زجاجة : فرؤيته من خارج الزجاجة لا تكفي حتى يصبّه في كفه عند أبي حنيفة؛ </w:t>
      </w:r>
      <w:r>
        <w:rPr>
          <w:rFonts w:hint="cs"/>
          <w:b/>
          <w:bCs/>
          <w:rtl/>
        </w:rPr>
        <w:t>لأنه</w:t>
      </w:r>
      <w:r>
        <w:rPr>
          <w:rFonts w:hint="cs"/>
          <w:rtl/>
        </w:rPr>
        <w:t xml:space="preserve"> </w:t>
      </w:r>
      <w:r>
        <w:rPr>
          <w:rFonts w:hint="cs"/>
          <w:b/>
          <w:bCs/>
          <w:rtl/>
        </w:rPr>
        <w:t>لم يَرَ الدهن حقيقة؛ لوجود الحائل</w:t>
      </w:r>
      <w:r>
        <w:rPr>
          <w:rFonts w:hint="cs"/>
          <w:rtl/>
        </w:rPr>
        <w:t>. وعن محمد: يكفي؛ لأن الزجاج لا يخفي صورة الدهن. وروى هشام أن قول محمد موافق لقول أبي حنيفة</w:t>
      </w:r>
      <w:r>
        <w:rPr>
          <w:rFonts w:hint="eastAsia"/>
          <w:rtl/>
        </w:rPr>
        <w:t>»</w:t>
      </w:r>
      <w:r>
        <w:rPr>
          <w:rFonts w:hint="cs"/>
          <w:rtl/>
        </w:rPr>
        <w:t>.</w:t>
      </w:r>
    </w:p>
    <w:p w:rsidR="00035BE3" w:rsidRDefault="00035BE3" w:rsidP="00C10469">
      <w:pPr>
        <w:pStyle w:val="a6"/>
        <w:spacing w:line="264" w:lineRule="auto"/>
        <w:ind w:left="420" w:firstLine="0"/>
        <w:rPr>
          <w:rtl/>
        </w:rPr>
      </w:pPr>
      <w:r>
        <w:rPr>
          <w:rtl/>
        </w:rPr>
        <w:t>•</w:t>
      </w:r>
      <w:r>
        <w:rPr>
          <w:rFonts w:hint="cs"/>
          <w:rtl/>
        </w:rPr>
        <w:t xml:space="preserve"> ومنها ما جاء في (الدُّرر) -2/157-158- : </w:t>
      </w:r>
      <w:r>
        <w:rPr>
          <w:rFonts w:hint="eastAsia"/>
          <w:rtl/>
        </w:rPr>
        <w:t>«</w:t>
      </w:r>
      <w:r>
        <w:rPr>
          <w:rFonts w:hint="cs"/>
          <w:rtl/>
        </w:rPr>
        <w:t xml:space="preserve">وكفى رؤية ما يعلم به المقصود ... لا (أي لا يكفي) خارج الدار أو صحنها ... أو رؤية الدهن في الزجاج؛ </w:t>
      </w:r>
      <w:r>
        <w:rPr>
          <w:rFonts w:hint="cs"/>
          <w:b/>
          <w:bCs/>
          <w:rtl/>
        </w:rPr>
        <w:t>فإنها لا تكون رؤية للدهن حقيقة لوجود الحائل</w:t>
      </w:r>
      <w:r>
        <w:rPr>
          <w:rFonts w:hint="eastAsia"/>
          <w:rtl/>
        </w:rPr>
        <w:t>»</w:t>
      </w:r>
      <w:r>
        <w:rPr>
          <w:rFonts w:hint="cs"/>
          <w:rtl/>
        </w:rPr>
        <w:t>-.</w:t>
      </w:r>
    </w:p>
    <w:p w:rsidR="00035BE3" w:rsidRDefault="00035BE3" w:rsidP="00C10469">
      <w:pPr>
        <w:pStyle w:val="a6"/>
        <w:spacing w:line="264" w:lineRule="auto"/>
        <w:ind w:left="420" w:firstLine="0"/>
        <w:rPr>
          <w:rtl/>
        </w:rPr>
      </w:pPr>
      <w:r>
        <w:rPr>
          <w:rFonts w:hint="cs"/>
          <w:rtl/>
        </w:rPr>
        <w:t>وهذا التعليل الأخير سيذكره المؤلف في معرض إشارته إلى الخلاف في القاعدة.</w:t>
      </w:r>
    </w:p>
    <w:p w:rsidR="00035BE3" w:rsidRDefault="00035BE3" w:rsidP="00C10469">
      <w:pPr>
        <w:pStyle w:val="a6"/>
        <w:spacing w:line="264" w:lineRule="auto"/>
        <w:ind w:left="420" w:firstLine="0"/>
        <w:rPr>
          <w:rtl/>
        </w:rPr>
      </w:pPr>
      <w:r>
        <w:rPr>
          <w:rFonts w:hint="cs"/>
          <w:b/>
          <w:bCs/>
          <w:rtl/>
        </w:rPr>
        <w:t>والحاصل</w:t>
      </w:r>
      <w:r>
        <w:rPr>
          <w:rFonts w:hint="cs"/>
          <w:rtl/>
        </w:rPr>
        <w:t xml:space="preserve"> من النقولات السابقة، وممّا سيذكره المؤلف : أن القاعدة اقترن ذكرها بفرعين فقهيين : </w:t>
      </w:r>
    </w:p>
    <w:p w:rsidR="00035BE3" w:rsidRDefault="00035BE3" w:rsidP="00C10469">
      <w:pPr>
        <w:pStyle w:val="a6"/>
        <w:ind w:left="422" w:hanging="2"/>
        <w:rPr>
          <w:rtl/>
        </w:rPr>
      </w:pPr>
      <w:r>
        <w:rPr>
          <w:rFonts w:hint="cs"/>
          <w:b/>
          <w:bCs/>
          <w:rtl/>
        </w:rPr>
        <w:t>أحدهما</w:t>
      </w:r>
      <w:r>
        <w:rPr>
          <w:rFonts w:hint="cs"/>
          <w:rtl/>
        </w:rPr>
        <w:t xml:space="preserve"> : أثر النظر بشهوة إلى فرج المرأة في تحريم أصولها وفروعها، سواء كان النظر مباشرة أم من وراء زجاج : فقد اتفقت كلمة الحنفية على أن هذا النظر تثبت به حرمة المصاهرة؛ وعلّل بعضهم ذلك في حق المنظور إلى فرجها من وراء الزجاج بالقاعدة.</w:t>
      </w:r>
    </w:p>
    <w:p w:rsidR="00035BE3" w:rsidRDefault="00035BE3" w:rsidP="00C10469">
      <w:pPr>
        <w:pStyle w:val="a6"/>
        <w:ind w:left="422" w:hanging="2"/>
        <w:rPr>
          <w:rtl/>
        </w:rPr>
      </w:pPr>
      <w:r>
        <w:rPr>
          <w:rFonts w:hint="cs"/>
          <w:b/>
          <w:bCs/>
          <w:rtl/>
        </w:rPr>
        <w:t>الثاني</w:t>
      </w:r>
      <w:r>
        <w:rPr>
          <w:rFonts w:hint="cs"/>
          <w:rtl/>
        </w:rPr>
        <w:t xml:space="preserve"> : إذا رأى المشتري الدهن من وراء الزجاج فهل يسقط خيار الرؤية في حقّه؟.</w:t>
      </w:r>
    </w:p>
    <w:p w:rsidR="00035BE3" w:rsidRDefault="00035BE3" w:rsidP="00C10469">
      <w:pPr>
        <w:pStyle w:val="a6"/>
        <w:ind w:left="422" w:hanging="2"/>
        <w:rPr>
          <w:rtl/>
        </w:rPr>
      </w:pPr>
      <w:r>
        <w:rPr>
          <w:rFonts w:hint="cs"/>
          <w:rtl/>
        </w:rPr>
        <w:t>- ذهب الإمام أبو حنيفة ومحمد في رواية عنه إلى أنه لا يسقط خياره؛ وعُلِّل ذلك بما يخالف القاعدة، وهو أن الرؤيا من الزجاج لا تكون حقيقية ...</w:t>
      </w:r>
    </w:p>
    <w:p w:rsidR="00035BE3" w:rsidRDefault="00035BE3" w:rsidP="00C10469">
      <w:pPr>
        <w:pStyle w:val="a6"/>
        <w:ind w:left="422" w:hanging="2"/>
        <w:rPr>
          <w:rtl/>
        </w:rPr>
      </w:pPr>
      <w:r>
        <w:rPr>
          <w:rFonts w:hint="cs"/>
          <w:rtl/>
        </w:rPr>
        <w:t>- وذهب محمد في رواية أخرى عنه إلى أنه يسقط خياره؛ وعُلِّلَ ذلك بالقاعدة.</w:t>
      </w:r>
    </w:p>
    <w:p w:rsidR="00035BE3" w:rsidRDefault="00035BE3" w:rsidP="00C10469">
      <w:pPr>
        <w:pStyle w:val="a6"/>
        <w:ind w:left="422" w:hanging="2"/>
        <w:rPr>
          <w:rtl/>
        </w:rPr>
      </w:pPr>
      <w:r>
        <w:rPr>
          <w:rFonts w:hint="cs"/>
          <w:rtl/>
        </w:rPr>
        <w:t>وبالنظر في هذين الفرعين يلحظ أن الأول منهما متفق مع القاعدة؛ لهذا خرّجه المؤلف عليها. أما الثاني فهو مخالف لها في قول أبي حنيفة ورواية عن محمد، وموافق لها في رواية أخرى عن محمد.</w:t>
      </w:r>
    </w:p>
    <w:p w:rsidR="00035BE3" w:rsidRDefault="00035BE3" w:rsidP="00C10469">
      <w:pPr>
        <w:pStyle w:val="a6"/>
        <w:ind w:left="422" w:hanging="2"/>
        <w:rPr>
          <w:rtl/>
        </w:rPr>
      </w:pPr>
      <w:r>
        <w:rPr>
          <w:rFonts w:hint="cs"/>
          <w:rtl/>
        </w:rPr>
        <w:t>فهو على قول أبي حنيفة والرواية الأولى عن محمد مستثنى من القاعدة.</w:t>
      </w:r>
    </w:p>
    <w:p w:rsidR="00035BE3" w:rsidRDefault="00035BE3" w:rsidP="00C10469">
      <w:pPr>
        <w:pStyle w:val="a6"/>
        <w:ind w:left="422" w:hanging="2"/>
        <w:rPr>
          <w:rtl/>
        </w:rPr>
      </w:pPr>
      <w:r>
        <w:rPr>
          <w:rFonts w:hint="cs"/>
          <w:rtl/>
        </w:rPr>
        <w:t>وبالتأمّل فيه يمكن القول بأنه على هذا القول لم يدخل في القاعدة أصلاً لأمرين :</w:t>
      </w:r>
    </w:p>
    <w:p w:rsidR="00035BE3" w:rsidRDefault="00035BE3" w:rsidP="00C10469">
      <w:pPr>
        <w:pStyle w:val="a6"/>
        <w:ind w:left="422" w:hanging="2"/>
        <w:rPr>
          <w:spacing w:val="8"/>
          <w:rtl/>
        </w:rPr>
      </w:pPr>
      <w:r>
        <w:rPr>
          <w:rFonts w:hint="cs"/>
          <w:b/>
          <w:bCs/>
          <w:spacing w:val="8"/>
          <w:rtl/>
        </w:rPr>
        <w:t>الأول</w:t>
      </w:r>
      <w:r>
        <w:rPr>
          <w:rFonts w:hint="cs"/>
          <w:spacing w:val="8"/>
          <w:rtl/>
        </w:rPr>
        <w:t xml:space="preserve"> : أن الزجاج المذكور في القاعدة يشترط فيه أن لا تتغير معه الحقيقة، وهو ما كان شفّافًا، لا لون له، أما إذا كانت تتغيّر معه الحقيقة؛ لكونه ملوَّنًا أو مُموَّجًا غير شفاف أو نحو ذلك، فإنه لا تقوم الرؤية من خلاله مقام الرؤية الحقيقية، وعلى هذا فإن زجاج القارورة المحتوية للدهن إذا كان ملونًا فإن الرؤية من خلاله لا تسقط الخيار. وممّا يدل على أن مرادهم بالزجاج الذي لا يُسقط الخيار هو الزجاج الملون أنهم قالوا في تعليل عدم سقوط الخيار : </w:t>
      </w:r>
      <w:r>
        <w:rPr>
          <w:rFonts w:hint="eastAsia"/>
          <w:spacing w:val="8"/>
          <w:rtl/>
        </w:rPr>
        <w:t>«</w:t>
      </w:r>
      <w:r>
        <w:rPr>
          <w:rFonts w:hint="cs"/>
          <w:spacing w:val="8"/>
          <w:rtl/>
        </w:rPr>
        <w:t>لأن العلم بما في داخل القارورة لا يحصل بالرؤية من خارج القارورة؛ لأن ما في الداخل يتلوّن بلون القارورة، فلا يحصل المقصود من هذه الرؤية</w:t>
      </w:r>
      <w:r>
        <w:rPr>
          <w:rFonts w:hint="eastAsia"/>
          <w:spacing w:val="8"/>
          <w:rtl/>
        </w:rPr>
        <w:t>»</w:t>
      </w:r>
      <w:r>
        <w:rPr>
          <w:rFonts w:hint="cs"/>
          <w:spacing w:val="8"/>
          <w:rtl/>
        </w:rPr>
        <w:t>- كذا في البدائع-.</w:t>
      </w:r>
    </w:p>
    <w:p w:rsidR="00035BE3" w:rsidRDefault="00035BE3" w:rsidP="00C10469">
      <w:pPr>
        <w:pStyle w:val="a6"/>
        <w:ind w:left="422" w:hanging="2"/>
        <w:rPr>
          <w:spacing w:val="-8"/>
          <w:rtl/>
        </w:rPr>
      </w:pPr>
      <w:r>
        <w:rPr>
          <w:rFonts w:hint="cs"/>
          <w:spacing w:val="-8"/>
          <w:rtl/>
        </w:rPr>
        <w:t>وبهذا اتضح أن هذا الفرع غير داخل تحت القاعدة أصلاً لتخلُّف شرط من شروط القاعدة، وهو أنه يشترط في الزجاج أن لا تتغير معه الحقيقة، والزجاج الملون تتغير معه الحقيقة، فلا تكون الرؤية من خلاله رؤية حقيقية.</w:t>
      </w:r>
    </w:p>
    <w:p w:rsidR="00035BE3" w:rsidRDefault="00035BE3" w:rsidP="00C10469">
      <w:pPr>
        <w:pStyle w:val="a6"/>
        <w:ind w:left="422" w:hanging="2"/>
        <w:rPr>
          <w:spacing w:val="-6"/>
          <w:rtl/>
        </w:rPr>
      </w:pPr>
      <w:r>
        <w:rPr>
          <w:rFonts w:hint="cs"/>
          <w:b/>
          <w:bCs/>
          <w:spacing w:val="-6"/>
          <w:rtl/>
        </w:rPr>
        <w:t xml:space="preserve">الثاني </w:t>
      </w:r>
      <w:r>
        <w:rPr>
          <w:rFonts w:hint="cs"/>
          <w:spacing w:val="-6"/>
          <w:rtl/>
        </w:rPr>
        <w:t>: لو سُلم بأن رؤية الدهن من الزجاج لا تسقط الخيار مطلقًا عند أبي حنيفة ومحمد في رواية عنه سواء كان ملونًا أم غير ملون ؛ فلعل السبب في ذلك هو ما سيذكره المؤلف، وهو أنه يشترط في سقوط خيار الرؤية وخيار العيب في الدهن الذَّوقُ، ولم يتم الذوق بعد؛ لهذا لم يسقط الخيار بمجرد الرؤية -والله أعلم-.</w:t>
      </w:r>
    </w:p>
  </w:footnote>
  <w:footnote w:id="289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المراد بالأصل هنا : أي أصل المرأة المنظور إلى فرجها، وهي أُمُّها وجدَّتها وإن علت.</w:t>
      </w:r>
    </w:p>
  </w:footnote>
  <w:footnote w:id="289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المنظورة</w:t>
      </w:r>
      <w:r>
        <w:rPr>
          <w:rFonts w:hint="eastAsia"/>
          <w:rtl/>
        </w:rPr>
        <w:t>»</w:t>
      </w:r>
      <w:r>
        <w:rPr>
          <w:rFonts w:hint="cs"/>
          <w:rtl/>
        </w:rPr>
        <w:t>. والمثبت من (ب) هو المناسب.</w:t>
      </w:r>
    </w:p>
  </w:footnote>
  <w:footnote w:id="289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53/ب من (أ).</w:t>
      </w:r>
    </w:p>
  </w:footnote>
  <w:footnote w:id="290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المراد بالفرع هنا : أي فرع المرأة المنظور إلى فرجها وهي بنتها وبنت ولدها وإن نزلت.</w:t>
      </w:r>
      <w:r>
        <w:rPr>
          <w:rFonts w:hint="cs"/>
          <w:rtl/>
        </w:rPr>
        <w:tab/>
      </w:r>
      <w:r>
        <w:rPr>
          <w:rFonts w:hint="cs"/>
          <w:rtl/>
        </w:rPr>
        <w:tab/>
      </w:r>
    </w:p>
    <w:p w:rsidR="00035BE3" w:rsidRDefault="00035BE3" w:rsidP="00C10469">
      <w:pPr>
        <w:pStyle w:val="a6"/>
        <w:ind w:left="422" w:firstLine="0"/>
        <w:rPr>
          <w:rtl/>
        </w:rPr>
      </w:pPr>
      <w:r>
        <w:rPr>
          <w:rFonts w:hint="cs"/>
          <w:rtl/>
        </w:rPr>
        <w:t xml:space="preserve">والقول بتحريم أصول وفروع المرأة المنظور إلى فرجها بشهوة ممّا اتفق عليه الحنفية، وقد نقل ذلك صاحب (البحر الرائق) -3/108 - فقال : </w:t>
      </w:r>
      <w:r>
        <w:rPr>
          <w:rFonts w:hint="eastAsia"/>
          <w:rtl/>
        </w:rPr>
        <w:t>«</w:t>
      </w:r>
      <w:r>
        <w:rPr>
          <w:rFonts w:hint="cs"/>
          <w:rtl/>
        </w:rPr>
        <w:t>وظاهر ما في (الذَّخيرة) وغيرها أنهم اتفقوا على أن النظر بشهوة إلى سائر أعضائها لا عبرة به ما عدا الفرج</w:t>
      </w:r>
      <w:r>
        <w:rPr>
          <w:rFonts w:hint="eastAsia"/>
          <w:rtl/>
        </w:rPr>
        <w:t>»</w:t>
      </w:r>
      <w:r>
        <w:rPr>
          <w:rFonts w:hint="cs"/>
          <w:rtl/>
        </w:rPr>
        <w:t>.</w:t>
      </w:r>
    </w:p>
    <w:p w:rsidR="00035BE3" w:rsidRDefault="00035BE3" w:rsidP="00C10469">
      <w:pPr>
        <w:pStyle w:val="a6"/>
        <w:ind w:left="422" w:firstLine="0"/>
        <w:rPr>
          <w:rtl/>
        </w:rPr>
      </w:pPr>
      <w:r>
        <w:rPr>
          <w:rFonts w:hint="cs"/>
          <w:rtl/>
        </w:rPr>
        <w:t xml:space="preserve">ويدخل في ذلك ما إذا كان النظر من وراء زجاج؛ فإن </w:t>
      </w:r>
      <w:r>
        <w:rPr>
          <w:rFonts w:hint="eastAsia"/>
          <w:rtl/>
        </w:rPr>
        <w:t>«</w:t>
      </w:r>
      <w:r>
        <w:rPr>
          <w:rFonts w:hint="cs"/>
          <w:rtl/>
        </w:rPr>
        <w:t>النظر من وراء الزجاج يوجب حرمة المصاهرة بخلاف المرآة ...</w:t>
      </w:r>
      <w:r>
        <w:rPr>
          <w:rFonts w:hint="eastAsia"/>
          <w:rtl/>
        </w:rPr>
        <w:t>»</w:t>
      </w:r>
      <w:r>
        <w:rPr>
          <w:rFonts w:hint="cs"/>
          <w:rtl/>
        </w:rPr>
        <w:t xml:space="preserve"> - قاله صاحب البحر، 3/108.</w:t>
      </w:r>
    </w:p>
    <w:p w:rsidR="00035BE3" w:rsidRDefault="00035BE3" w:rsidP="00C10469">
      <w:pPr>
        <w:pStyle w:val="a6"/>
        <w:ind w:left="422" w:firstLine="0"/>
        <w:rPr>
          <w:rtl/>
        </w:rPr>
      </w:pPr>
      <w:r>
        <w:rPr>
          <w:rFonts w:hint="cs"/>
          <w:rtl/>
        </w:rPr>
        <w:t>والخلاف الحاصل بين الحنفية إنما هو في الجزء الذي تثبت الحرمة بالنظر إليه وفي حدّ الشهوة - انظر: البحر الرائق، 3/107، 108-.</w:t>
      </w:r>
    </w:p>
    <w:p w:rsidR="00035BE3" w:rsidRDefault="00035BE3" w:rsidP="00C10469">
      <w:pPr>
        <w:pStyle w:val="a6"/>
        <w:ind w:left="422" w:firstLine="0"/>
        <w:rPr>
          <w:rtl/>
        </w:rPr>
      </w:pPr>
      <w:r>
        <w:rPr>
          <w:rFonts w:hint="cs"/>
          <w:rtl/>
        </w:rPr>
        <w:t>وكما أن القول بأن النظر إلى الفرج يوجب حرمة المصاهرة هو قول الحنفية، فهو أيضًا رواية عن الإمام أحمد، وقبل ذلك هو مروي عن عمر وابنه وابن عمرو وغيرهم.</w:t>
      </w:r>
    </w:p>
    <w:p w:rsidR="00035BE3" w:rsidRDefault="00035BE3" w:rsidP="00C10469">
      <w:pPr>
        <w:pStyle w:val="a6"/>
        <w:ind w:left="422" w:firstLine="0"/>
        <w:rPr>
          <w:rtl/>
        </w:rPr>
      </w:pPr>
      <w:r>
        <w:rPr>
          <w:rFonts w:hint="cs"/>
          <w:rtl/>
        </w:rPr>
        <w:t>وقد خالف في ذلك الإمام الشافعي والإمام أحمد في رواية عنه وأكثر أهل العلم، حيث قالوا بأن النظر لا يتعلق به حرمة.</w:t>
      </w:r>
    </w:p>
    <w:p w:rsidR="00035BE3" w:rsidRDefault="00035BE3" w:rsidP="00C10469">
      <w:pPr>
        <w:pStyle w:val="a6"/>
        <w:ind w:left="422" w:firstLine="0"/>
        <w:rPr>
          <w:spacing w:val="8"/>
          <w:rtl/>
        </w:rPr>
      </w:pPr>
      <w:r>
        <w:rPr>
          <w:rFonts w:hint="cs"/>
          <w:spacing w:val="8"/>
          <w:rtl/>
        </w:rPr>
        <w:t>انـظـر : الـمـغـنـي، 9/532؛ روضـة الطـالـبـين، 5/453؛ الـهداية وشرحيها : العناية وفـتح القـدير، 3/224؛ الدّرر شرح الغرر، 1/330، الـدر الـمختار ورد المحتار عليه، 4/108.</w:t>
      </w:r>
    </w:p>
  </w:footnote>
  <w:footnote w:id="29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الدهن</w:t>
      </w:r>
      <w:r>
        <w:rPr>
          <w:rFonts w:hint="eastAsia"/>
          <w:rtl/>
        </w:rPr>
        <w:t>»</w:t>
      </w:r>
      <w:r>
        <w:rPr>
          <w:rFonts w:hint="cs"/>
          <w:rtl/>
        </w:rPr>
        <w:t xml:space="preserve"> : زيادة من (هـ) و(و). ولا يستقيم المعنى بدونها. وقد جاء في موضعها من (جـ) : </w:t>
      </w:r>
      <w:r>
        <w:rPr>
          <w:rFonts w:hint="eastAsia"/>
          <w:rtl/>
        </w:rPr>
        <w:t>«</w:t>
      </w:r>
      <w:r>
        <w:rPr>
          <w:rFonts w:hint="cs"/>
          <w:rtl/>
        </w:rPr>
        <w:t>الرهن</w:t>
      </w:r>
      <w:r>
        <w:rPr>
          <w:rFonts w:hint="eastAsia"/>
          <w:rtl/>
        </w:rPr>
        <w:t>»</w:t>
      </w:r>
      <w:r>
        <w:rPr>
          <w:rFonts w:hint="cs"/>
          <w:rtl/>
        </w:rPr>
        <w:t xml:space="preserve"> (بالراء).</w:t>
      </w:r>
    </w:p>
  </w:footnote>
  <w:footnote w:id="29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و(د) وفي هامش (أ)، أما في صلب (أ) فجاء فيها : </w:t>
      </w:r>
      <w:r>
        <w:rPr>
          <w:rFonts w:hint="eastAsia"/>
          <w:rtl/>
        </w:rPr>
        <w:t>«</w:t>
      </w:r>
      <w:r>
        <w:rPr>
          <w:rFonts w:hint="cs"/>
          <w:rtl/>
        </w:rPr>
        <w:t>من في الزجاج</w:t>
      </w:r>
      <w:r>
        <w:rPr>
          <w:rFonts w:hint="eastAsia"/>
          <w:rtl/>
        </w:rPr>
        <w:t>»</w:t>
      </w:r>
      <w:r>
        <w:rPr>
          <w:rFonts w:hint="cs"/>
          <w:rtl/>
        </w:rPr>
        <w:t xml:space="preserve">، وفي (جـ): </w:t>
      </w:r>
      <w:r>
        <w:rPr>
          <w:rFonts w:hint="eastAsia"/>
          <w:rtl/>
        </w:rPr>
        <w:t>«</w:t>
      </w:r>
      <w:r>
        <w:rPr>
          <w:rFonts w:hint="cs"/>
          <w:rtl/>
        </w:rPr>
        <w:t>من وفي الزجاج</w:t>
      </w:r>
      <w:r>
        <w:rPr>
          <w:rFonts w:hint="eastAsia"/>
          <w:rtl/>
        </w:rPr>
        <w:t>»</w:t>
      </w:r>
      <w:r>
        <w:rPr>
          <w:rFonts w:hint="cs"/>
          <w:rtl/>
        </w:rPr>
        <w:t>.</w:t>
      </w:r>
    </w:p>
  </w:footnote>
  <w:footnote w:id="29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تسقط</w:t>
      </w:r>
      <w:r>
        <w:rPr>
          <w:rFonts w:hint="eastAsia"/>
          <w:rtl/>
        </w:rPr>
        <w:t>»</w:t>
      </w:r>
      <w:r>
        <w:rPr>
          <w:rFonts w:hint="cs"/>
          <w:rtl/>
        </w:rPr>
        <w:t>.</w:t>
      </w:r>
    </w:p>
  </w:footnote>
  <w:footnote w:id="29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الفرع في : بدائع الصنائع، 5/294؛ تبيين الحقائق وحاشية الشلبي عليه، 4/27؛ فتح القدير، 6/345؛ الدّرر شرح الغرر، 2/158.</w:t>
      </w:r>
    </w:p>
  </w:footnote>
  <w:footnote w:id="29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2/158 - وقد سبق ذكر عبارته بتمامها عند توثيق القاعدة، ص719 -.</w:t>
      </w:r>
    </w:p>
  </w:footnote>
  <w:footnote w:id="290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و(و) : </w:t>
      </w:r>
      <w:r>
        <w:rPr>
          <w:rFonts w:hint="eastAsia"/>
          <w:rtl/>
        </w:rPr>
        <w:t>«</w:t>
      </w:r>
      <w:r>
        <w:rPr>
          <w:rFonts w:hint="cs"/>
          <w:rtl/>
        </w:rPr>
        <w:t>الرهن</w:t>
      </w:r>
      <w:r>
        <w:rPr>
          <w:rFonts w:hint="eastAsia"/>
          <w:rtl/>
        </w:rPr>
        <w:t>»</w:t>
      </w:r>
      <w:r>
        <w:rPr>
          <w:rFonts w:hint="cs"/>
          <w:rtl/>
        </w:rPr>
        <w:t xml:space="preserve"> (بالراء). والصحيح ما تمَّ إثباته من (ب) و(هـ) و(و). علمًا بأنه جاء في هامش (أ) : </w:t>
      </w:r>
      <w:r>
        <w:rPr>
          <w:rFonts w:hint="eastAsia"/>
          <w:rtl/>
        </w:rPr>
        <w:t>«</w:t>
      </w:r>
      <w:r>
        <w:rPr>
          <w:rFonts w:hint="cs"/>
          <w:rtl/>
        </w:rPr>
        <w:t>أن الرؤية (ظا)</w:t>
      </w:r>
      <w:r>
        <w:rPr>
          <w:rFonts w:hint="eastAsia"/>
          <w:rtl/>
        </w:rPr>
        <w:t>»</w:t>
      </w:r>
      <w:r>
        <w:rPr>
          <w:rFonts w:hint="cs"/>
          <w:rtl/>
        </w:rPr>
        <w:t>.</w:t>
      </w:r>
    </w:p>
  </w:footnote>
  <w:footnote w:id="290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33/ب من (د).</w:t>
      </w:r>
    </w:p>
  </w:footnote>
  <w:footnote w:id="290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يشترط</w:t>
      </w:r>
      <w:r>
        <w:rPr>
          <w:rFonts w:hint="eastAsia"/>
          <w:rtl/>
        </w:rPr>
        <w:t>»</w:t>
      </w:r>
      <w:r>
        <w:rPr>
          <w:rFonts w:hint="cs"/>
          <w:rtl/>
        </w:rPr>
        <w:t>.</w:t>
      </w:r>
    </w:p>
  </w:footnote>
  <w:footnote w:id="290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وفي الخارج</w:t>
      </w:r>
      <w:r>
        <w:rPr>
          <w:rFonts w:hint="eastAsia"/>
          <w:rtl/>
        </w:rPr>
        <w:t>»</w:t>
      </w:r>
      <w:r>
        <w:rPr>
          <w:rFonts w:hint="cs"/>
          <w:rtl/>
        </w:rPr>
        <w:t xml:space="preserve"> (بإسقاط (لو)).</w:t>
      </w:r>
    </w:p>
  </w:footnote>
  <w:footnote w:id="2910">
    <w:p w:rsidR="00035BE3" w:rsidRDefault="00035BE3" w:rsidP="00C10469">
      <w:pPr>
        <w:pStyle w:val="a8"/>
        <w:bidi/>
        <w:spacing w:line="42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وممّن صرّح بذلك : صاحب الدرر -2/157-، حيث قال : </w:t>
      </w:r>
      <w:r>
        <w:rPr>
          <w:rFonts w:hint="eastAsia"/>
          <w:spacing w:val="-6"/>
          <w:rtl/>
        </w:rPr>
        <w:t>«</w:t>
      </w:r>
      <w:r>
        <w:rPr>
          <w:rFonts w:hint="cs"/>
          <w:spacing w:val="-6"/>
          <w:rtl/>
        </w:rPr>
        <w:t>وكفى رؤية ما يعلم به المقصود، فإن رؤية جميع المبيع غير لازم لتعذره، فيكتفى برؤية ما يدّل على العلم بالمقصود</w:t>
      </w:r>
      <w:r>
        <w:rPr>
          <w:rFonts w:hint="eastAsia"/>
          <w:spacing w:val="-6"/>
          <w:rtl/>
        </w:rPr>
        <w:t>»</w:t>
      </w:r>
      <w:r>
        <w:rPr>
          <w:rFonts w:hint="cs"/>
          <w:spacing w:val="-6"/>
          <w:rtl/>
        </w:rPr>
        <w:t>؛ وانظر : بدائع الصنائع، 5/293.</w:t>
      </w:r>
    </w:p>
  </w:footnote>
  <w:footnote w:id="291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35/أ من (ب).</w:t>
      </w:r>
    </w:p>
  </w:footnote>
  <w:footnote w:id="29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التقدير : ليس فعلها (أي فعل الرؤية). ولو قيل : (ليست) بناء على أن الفاعل ضمير مستتر تقديره (هي) يعود إلى الرؤية لكان أوضح.</w:t>
      </w:r>
    </w:p>
  </w:footnote>
  <w:footnote w:id="291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رؤية</w:t>
      </w:r>
      <w:r>
        <w:rPr>
          <w:rFonts w:hint="eastAsia"/>
          <w:rtl/>
        </w:rPr>
        <w:t>»</w:t>
      </w:r>
      <w:r>
        <w:rPr>
          <w:rFonts w:hint="cs"/>
          <w:rtl/>
        </w:rPr>
        <w:t xml:space="preserve"> (بإسقاط الباء).</w:t>
      </w:r>
    </w:p>
  </w:footnote>
  <w:footnote w:id="291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41/ب من (جـ).</w:t>
      </w:r>
    </w:p>
  </w:footnote>
  <w:footnote w:id="2915">
    <w:p w:rsidR="00035BE3" w:rsidRDefault="00035BE3" w:rsidP="00C10469">
      <w:pPr>
        <w:pStyle w:val="a8"/>
        <w:bidi/>
        <w:spacing w:line="42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قد يقصد به النظارة، أو المكبّر الصغير المستدير الذي يضعه الصّاغة ونحوهم على عيونهم؛ لأن كليهما قد يوضع على الأنوف، وينظر فيه إلى الخطوط والدراهم والجواهر واللآلئ.</w:t>
      </w:r>
    </w:p>
    <w:p w:rsidR="00035BE3" w:rsidRDefault="00035BE3" w:rsidP="00C10469">
      <w:pPr>
        <w:pStyle w:val="a6"/>
        <w:ind w:left="422" w:firstLine="0"/>
        <w:rPr>
          <w:spacing w:val="-8"/>
          <w:rtl/>
        </w:rPr>
      </w:pPr>
      <w:r>
        <w:rPr>
          <w:rFonts w:hint="cs"/>
          <w:spacing w:val="-8"/>
          <w:rtl/>
        </w:rPr>
        <w:t>وأيًّا كان المراد فإنه يحصل به المقصود، وهو أن الرؤية من وراء هذا الزجاج تحصل بها الرؤية حقيقة بلا نزاع.</w:t>
      </w:r>
    </w:p>
  </w:footnote>
  <w:footnote w:id="29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ومن </w:t>
      </w:r>
      <w:r>
        <w:rPr>
          <w:rFonts w:hint="eastAsia"/>
          <w:rtl/>
        </w:rPr>
        <w:t>»</w:t>
      </w:r>
      <w:r>
        <w:rPr>
          <w:rFonts w:hint="cs"/>
          <w:rtl/>
        </w:rPr>
        <w:t xml:space="preserve"> (بزيادة الواو).</w:t>
      </w:r>
    </w:p>
  </w:footnote>
  <w:footnote w:id="29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(د).</w:t>
      </w:r>
    </w:p>
  </w:footnote>
  <w:footnote w:id="29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ديدارتو</w:t>
      </w:r>
      <w:r>
        <w:rPr>
          <w:rFonts w:hint="eastAsia"/>
          <w:rtl/>
        </w:rPr>
        <w:t>»</w:t>
      </w:r>
      <w:r>
        <w:rPr>
          <w:rFonts w:hint="cs"/>
          <w:rtl/>
        </w:rPr>
        <w:t>.</w:t>
      </w:r>
    </w:p>
  </w:footnote>
  <w:footnote w:id="29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حشم </w:t>
      </w:r>
      <w:r>
        <w:rPr>
          <w:rFonts w:hint="eastAsia"/>
          <w:rtl/>
        </w:rPr>
        <w:t>»</w:t>
      </w:r>
      <w:r>
        <w:rPr>
          <w:rFonts w:hint="cs"/>
          <w:rtl/>
        </w:rPr>
        <w:t>.</w:t>
      </w:r>
    </w:p>
  </w:footnote>
  <w:footnote w:id="29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جهاد </w:t>
      </w:r>
      <w:r>
        <w:rPr>
          <w:rFonts w:hint="eastAsia"/>
          <w:rtl/>
        </w:rPr>
        <w:t>»</w:t>
      </w:r>
      <w:r>
        <w:rPr>
          <w:rFonts w:hint="cs"/>
          <w:rtl/>
        </w:rPr>
        <w:t>.</w:t>
      </w:r>
    </w:p>
    <w:p w:rsidR="00035BE3" w:rsidRDefault="00035BE3" w:rsidP="00C10469">
      <w:pPr>
        <w:pStyle w:val="a6"/>
        <w:ind w:left="422" w:firstLine="0"/>
        <w:rPr>
          <w:rtl/>
        </w:rPr>
      </w:pPr>
      <w:r>
        <w:rPr>
          <w:rFonts w:hint="cs"/>
          <w:rtl/>
        </w:rPr>
        <w:t>والبيت بمجموعه ساقط من (د) ومكانه بياض.</w:t>
      </w:r>
    </w:p>
    <w:p w:rsidR="00035BE3" w:rsidRDefault="00035BE3" w:rsidP="00C10469">
      <w:pPr>
        <w:pStyle w:val="a6"/>
        <w:ind w:left="422" w:firstLine="0"/>
        <w:rPr>
          <w:rtl/>
        </w:rPr>
      </w:pPr>
      <w:r>
        <w:rPr>
          <w:rFonts w:hint="cs"/>
          <w:rtl/>
        </w:rPr>
        <w:t>كما أنه مترجم في هامش (أ) إلى اللغة العثمانية.</w:t>
      </w:r>
    </w:p>
  </w:footnote>
  <w:footnote w:id="29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البيت باللغة الفارسية، وقد كُتب قبل أربعة قرون تقريـبًا؛ لهذا وجدت معاناةً في البحث عن ترجمته، إلى أن يسّر الله ترجمته على يد الأخ الفاضل : أحمد بن محمد النقيب (الأفغاني) (الطالب في الدراسات العليا بكلية الشريعة بالرياض)؛ إذْ قام بترجمته - مشكورًا- على النحو الآتي :</w:t>
      </w:r>
    </w:p>
    <w:p w:rsidR="00035BE3" w:rsidRDefault="00035BE3" w:rsidP="00C10469">
      <w:pPr>
        <w:pStyle w:val="a6"/>
        <w:ind w:left="422" w:firstLine="0"/>
        <w:rPr>
          <w:b/>
          <w:bCs/>
          <w:rtl/>
        </w:rPr>
      </w:pPr>
      <w:r>
        <w:rPr>
          <w:rFonts w:hint="cs"/>
          <w:b/>
          <w:bCs/>
          <w:rtl/>
        </w:rPr>
        <w:t>أولاً : معاني المفردات :</w:t>
      </w:r>
    </w:p>
    <w:p w:rsidR="00035BE3" w:rsidRDefault="00035BE3" w:rsidP="00C10469">
      <w:pPr>
        <w:pStyle w:val="a6"/>
        <w:ind w:left="422" w:firstLine="0"/>
        <w:rPr>
          <w:rtl/>
        </w:rPr>
      </w:pPr>
      <w:r>
        <w:rPr>
          <w:rFonts w:hint="cs"/>
          <w:rtl/>
        </w:rPr>
        <w:t>در : في.</w:t>
      </w:r>
    </w:p>
    <w:p w:rsidR="00035BE3" w:rsidRDefault="00035BE3" w:rsidP="00C10469">
      <w:pPr>
        <w:pStyle w:val="a6"/>
        <w:ind w:left="422" w:firstLine="0"/>
        <w:rPr>
          <w:rtl/>
        </w:rPr>
      </w:pPr>
      <w:r>
        <w:rPr>
          <w:rFonts w:hint="cs"/>
          <w:rtl/>
        </w:rPr>
        <w:t>جشم : عين.</w:t>
      </w:r>
    </w:p>
    <w:p w:rsidR="00035BE3" w:rsidRDefault="00035BE3" w:rsidP="00C10469">
      <w:pPr>
        <w:pStyle w:val="a6"/>
        <w:ind w:left="422" w:firstLine="0"/>
        <w:rPr>
          <w:rtl/>
        </w:rPr>
      </w:pPr>
      <w:r>
        <w:rPr>
          <w:rFonts w:hint="cs"/>
          <w:rtl/>
        </w:rPr>
        <w:t>عينك : نظارة.</w:t>
      </w:r>
    </w:p>
    <w:p w:rsidR="00035BE3" w:rsidRDefault="00035BE3" w:rsidP="00C10469">
      <w:pPr>
        <w:pStyle w:val="a6"/>
        <w:ind w:left="422" w:firstLine="0"/>
        <w:rPr>
          <w:rtl/>
        </w:rPr>
      </w:pPr>
      <w:r>
        <w:rPr>
          <w:rFonts w:hint="cs"/>
          <w:rtl/>
        </w:rPr>
        <w:t>مى نهم : أضع.</w:t>
      </w:r>
    </w:p>
    <w:p w:rsidR="00035BE3" w:rsidRDefault="00035BE3" w:rsidP="00C10469">
      <w:pPr>
        <w:pStyle w:val="a6"/>
        <w:ind w:left="422" w:firstLine="0"/>
        <w:rPr>
          <w:rtl/>
        </w:rPr>
      </w:pPr>
      <w:r>
        <w:rPr>
          <w:rFonts w:hint="cs"/>
          <w:rtl/>
        </w:rPr>
        <w:t>در : في.</w:t>
      </w:r>
    </w:p>
    <w:p w:rsidR="00035BE3" w:rsidRDefault="00035BE3" w:rsidP="00C10469">
      <w:pPr>
        <w:pStyle w:val="a6"/>
        <w:ind w:left="422" w:firstLine="0"/>
        <w:rPr>
          <w:rtl/>
        </w:rPr>
      </w:pPr>
      <w:r>
        <w:rPr>
          <w:rFonts w:hint="cs"/>
          <w:rtl/>
        </w:rPr>
        <w:t>موسم : موسم أو عند.</w:t>
      </w:r>
    </w:p>
    <w:p w:rsidR="00035BE3" w:rsidRDefault="00035BE3" w:rsidP="00C10469">
      <w:pPr>
        <w:pStyle w:val="a6"/>
        <w:ind w:left="422" w:firstLine="0"/>
        <w:rPr>
          <w:rtl/>
        </w:rPr>
      </w:pPr>
      <w:r>
        <w:rPr>
          <w:rFonts w:hint="cs"/>
          <w:rtl/>
        </w:rPr>
        <w:t>ديدار : لقاء.</w:t>
      </w:r>
    </w:p>
    <w:p w:rsidR="00035BE3" w:rsidRDefault="00035BE3" w:rsidP="00C10469">
      <w:pPr>
        <w:pStyle w:val="a6"/>
        <w:ind w:left="422" w:firstLine="0"/>
        <w:rPr>
          <w:rtl/>
        </w:rPr>
      </w:pPr>
      <w:r>
        <w:rPr>
          <w:rFonts w:hint="cs"/>
          <w:rtl/>
        </w:rPr>
        <w:t>يار : الحبيب.</w:t>
      </w:r>
    </w:p>
    <w:p w:rsidR="00035BE3" w:rsidRDefault="00035BE3" w:rsidP="00C10469">
      <w:pPr>
        <w:pStyle w:val="a6"/>
        <w:ind w:left="422" w:firstLine="0"/>
        <w:rPr>
          <w:rtl/>
        </w:rPr>
      </w:pPr>
      <w:r>
        <w:rPr>
          <w:rFonts w:hint="cs"/>
          <w:rtl/>
        </w:rPr>
        <w:t>يعنى : يعني.</w:t>
      </w:r>
    </w:p>
    <w:p w:rsidR="00035BE3" w:rsidRDefault="00035BE3" w:rsidP="00C10469">
      <w:pPr>
        <w:pStyle w:val="a6"/>
        <w:ind w:left="422" w:firstLine="0"/>
        <w:rPr>
          <w:rtl/>
        </w:rPr>
      </w:pPr>
      <w:r>
        <w:rPr>
          <w:rFonts w:hint="cs"/>
          <w:rtl/>
        </w:rPr>
        <w:t>بهر : بكلّ.</w:t>
      </w:r>
    </w:p>
    <w:p w:rsidR="00035BE3" w:rsidRDefault="00035BE3" w:rsidP="00C10469">
      <w:pPr>
        <w:pStyle w:val="a6"/>
        <w:ind w:left="422" w:firstLine="0"/>
        <w:rPr>
          <w:rtl/>
        </w:rPr>
      </w:pPr>
      <w:r>
        <w:rPr>
          <w:rFonts w:hint="cs"/>
          <w:rtl/>
        </w:rPr>
        <w:t>ديدنت : نظرة إليك.</w:t>
      </w:r>
    </w:p>
    <w:p w:rsidR="00035BE3" w:rsidRDefault="00035BE3" w:rsidP="00C10469">
      <w:pPr>
        <w:pStyle w:val="a6"/>
        <w:ind w:left="422" w:firstLine="0"/>
        <w:rPr>
          <w:rtl/>
        </w:rPr>
      </w:pPr>
      <w:r>
        <w:rPr>
          <w:rFonts w:hint="cs"/>
          <w:rtl/>
        </w:rPr>
        <w:t>همى با شد : تكون.</w:t>
      </w:r>
    </w:p>
    <w:p w:rsidR="00035BE3" w:rsidRDefault="00035BE3" w:rsidP="00C10469">
      <w:pPr>
        <w:pStyle w:val="a6"/>
        <w:ind w:left="422" w:firstLine="0"/>
        <w:rPr>
          <w:rtl/>
        </w:rPr>
      </w:pPr>
      <w:r>
        <w:rPr>
          <w:rFonts w:hint="cs"/>
          <w:rtl/>
        </w:rPr>
        <w:t>جهار : أربعة.</w:t>
      </w:r>
    </w:p>
    <w:p w:rsidR="00035BE3" w:rsidRDefault="00035BE3" w:rsidP="00C10469">
      <w:pPr>
        <w:pStyle w:val="a6"/>
        <w:ind w:left="422" w:firstLine="0"/>
        <w:rPr>
          <w:rtl/>
        </w:rPr>
      </w:pPr>
      <w:r>
        <w:rPr>
          <w:rFonts w:hint="cs"/>
          <w:b/>
          <w:bCs/>
          <w:rtl/>
        </w:rPr>
        <w:t>ثانيًا</w:t>
      </w:r>
      <w:r>
        <w:rPr>
          <w:rFonts w:hint="cs"/>
          <w:rtl/>
        </w:rPr>
        <w:t xml:space="preserve"> : معناه الإجمالي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أستخدم النظارة عند لقاء الحبيب؛ حتى تكون العيون أربعة عند كل نظرة إليك.</w:t>
      </w:r>
    </w:p>
  </w:footnote>
  <w:footnote w:id="29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54/أ من (أ).</w:t>
      </w:r>
    </w:p>
  </w:footnote>
  <w:footnote w:id="29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لا نسلم أن رؤية المشتري للدهن من وراء الزجاج ليست رؤية حقيقية كما هو الحال في النظر في المرآة التي لا تُعَدُّ الرؤية فيها رؤية حقيقية؛ لأنه لا يرى فيها ذات المرئي؛ بل عكسه.</w:t>
      </w:r>
    </w:p>
    <w:p w:rsidR="00035BE3" w:rsidRDefault="00035BE3" w:rsidP="00C10469">
      <w:pPr>
        <w:pStyle w:val="a6"/>
        <w:ind w:left="422" w:firstLine="0"/>
        <w:rPr>
          <w:spacing w:val="4"/>
          <w:rtl/>
        </w:rPr>
      </w:pPr>
      <w:r>
        <w:rPr>
          <w:rFonts w:hint="cs"/>
          <w:spacing w:val="4"/>
          <w:rtl/>
        </w:rPr>
        <w:t>وانظر في كون الرؤية في المرآة ليست رؤية حقيقية : فتح القدير، 6/345؛ الدُّرر شرح الغرر، 2/330؛ البحر الرائق، 3/108.</w:t>
      </w:r>
    </w:p>
  </w:footnote>
  <w:footnote w:id="29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الغلط</w:t>
      </w:r>
      <w:r>
        <w:rPr>
          <w:rFonts w:hint="eastAsia"/>
          <w:rtl/>
        </w:rPr>
        <w:t>»</w:t>
      </w:r>
      <w:r>
        <w:rPr>
          <w:rFonts w:hint="cs"/>
          <w:rtl/>
        </w:rPr>
        <w:t>.</w:t>
      </w:r>
    </w:p>
  </w:footnote>
  <w:footnote w:id="2925">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قوله : </w:t>
      </w:r>
      <w:r>
        <w:rPr>
          <w:rFonts w:hint="eastAsia"/>
          <w:spacing w:val="4"/>
          <w:rtl/>
        </w:rPr>
        <w:t>«</w:t>
      </w:r>
      <w:r>
        <w:rPr>
          <w:rFonts w:hint="cs"/>
          <w:spacing w:val="4"/>
          <w:rtl/>
        </w:rPr>
        <w:t>ومع هذا عدم صحة ... ذوق سليم</w:t>
      </w:r>
      <w:r>
        <w:rPr>
          <w:rFonts w:hint="eastAsia"/>
          <w:spacing w:val="4"/>
          <w:rtl/>
        </w:rPr>
        <w:t>»</w:t>
      </w:r>
      <w:r>
        <w:rPr>
          <w:rFonts w:hint="cs"/>
          <w:spacing w:val="4"/>
          <w:rtl/>
        </w:rPr>
        <w:t xml:space="preserve"> معناه : وبهذا الاعتبار أيضًا فإن عدم صحة الدليل الذي أورده صاحب (الدُّرر) لا يخفى على من له ذوق سليم. والمراد بالدليل : ما جاء في ص721 (ل54/أ) من تعليل صاحب (الدّرر) لعدم سقوط الخيار لمن رأى الدُّهن من وراء الزجاج بأنها: </w:t>
      </w:r>
      <w:r>
        <w:rPr>
          <w:rFonts w:hint="eastAsia"/>
          <w:spacing w:val="4"/>
          <w:rtl/>
        </w:rPr>
        <w:t>«</w:t>
      </w:r>
      <w:r>
        <w:rPr>
          <w:rFonts w:hint="cs"/>
          <w:spacing w:val="4"/>
          <w:rtl/>
        </w:rPr>
        <w:t>لا تكون رؤية حقيقة؛ لوجود الحائل</w:t>
      </w:r>
      <w:r>
        <w:rPr>
          <w:rFonts w:hint="eastAsia"/>
          <w:spacing w:val="4"/>
          <w:rtl/>
        </w:rPr>
        <w:t>»</w:t>
      </w:r>
      <w:r>
        <w:rPr>
          <w:rFonts w:hint="cs"/>
          <w:spacing w:val="4"/>
          <w:rtl/>
        </w:rPr>
        <w:t>.</w:t>
      </w:r>
    </w:p>
  </w:footnote>
  <w:footnote w:id="29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عدم سقوط الخيار لمن رأي الدهن من وراء الزجاج إنما يكون دليلاً على أن الرؤية من وراء الزجاج ليست حقيقية لو كان الدهن من المرئيات لا من المطعومات والمشمومات، والواقع أنه من المطعومات؛ لذلك لا يسقط الخيار فيه إلا بالذوق، لا بمجرد الرؤية -والله أعلم-.</w:t>
      </w:r>
    </w:p>
  </w:footnote>
  <w:footnote w:id="292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عن </w:t>
      </w:r>
      <w:r>
        <w:rPr>
          <w:rFonts w:hint="eastAsia"/>
          <w:rtl/>
        </w:rPr>
        <w:t>»</w:t>
      </w:r>
      <w:r>
        <w:rPr>
          <w:rFonts w:hint="cs"/>
          <w:rtl/>
        </w:rPr>
        <w:t>.</w:t>
      </w:r>
    </w:p>
  </w:footnote>
  <w:footnote w:id="292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معناه في كثير من كتب الفقه وقواعده وأصوله:</w:t>
      </w:r>
    </w:p>
    <w:p w:rsidR="00035BE3" w:rsidRDefault="00035BE3" w:rsidP="00C10469">
      <w:pPr>
        <w:pStyle w:val="a6"/>
        <w:spacing w:line="440" w:lineRule="exact"/>
        <w:ind w:left="422" w:firstLine="0"/>
        <w:rPr>
          <w:b/>
          <w:bCs/>
          <w:rtl/>
        </w:rPr>
      </w:pPr>
      <w:r>
        <w:rPr>
          <w:rFonts w:hint="cs"/>
          <w:b/>
          <w:bCs/>
          <w:rtl/>
        </w:rPr>
        <w:t>فمن كتب القواعد :</w:t>
      </w:r>
    </w:p>
    <w:p w:rsidR="00035BE3" w:rsidRDefault="00035BE3" w:rsidP="00C10469">
      <w:pPr>
        <w:pStyle w:val="a6"/>
        <w:spacing w:line="440" w:lineRule="exact"/>
        <w:ind w:left="422" w:firstLine="0"/>
        <w:rPr>
          <w:rtl/>
        </w:rPr>
      </w:pPr>
      <w:r>
        <w:rPr>
          <w:rFonts w:hint="cs"/>
          <w:rtl/>
        </w:rPr>
        <w:t xml:space="preserve">مجامع الحقائق (الخاتمة)، ص45؛ شرح العلائي لقواعد الخادمي، ل22/ب؛ منافع الدقائق، ص320؛ مجلة الأحكام العدلية، مادة 1588 -ولفظها : </w:t>
      </w:r>
      <w:r>
        <w:rPr>
          <w:rFonts w:hint="eastAsia"/>
          <w:rtl/>
        </w:rPr>
        <w:t>«</w:t>
      </w:r>
      <w:r>
        <w:rPr>
          <w:rFonts w:hint="cs"/>
          <w:rtl/>
        </w:rPr>
        <w:t>لا يصح الرجوع عن الإقرار في حقوق العباد...</w:t>
      </w:r>
      <w:r>
        <w:rPr>
          <w:rFonts w:hint="eastAsia"/>
          <w:rtl/>
        </w:rPr>
        <w:t>»</w:t>
      </w:r>
      <w:r>
        <w:rPr>
          <w:rFonts w:hint="cs"/>
          <w:rtl/>
        </w:rPr>
        <w:t>-؛ شرحها لسليم رستم، 2/876؛ ولعلي حيدر، 12/102؛ وللأتاسي، 4/637.</w:t>
      </w:r>
    </w:p>
    <w:p w:rsidR="00035BE3" w:rsidRDefault="00035BE3" w:rsidP="00C10469">
      <w:pPr>
        <w:pStyle w:val="a6"/>
        <w:spacing w:line="440" w:lineRule="exact"/>
        <w:ind w:left="422" w:firstLine="0"/>
        <w:rPr>
          <w:b/>
          <w:bCs/>
          <w:rtl/>
        </w:rPr>
      </w:pPr>
      <w:r>
        <w:rPr>
          <w:rFonts w:hint="cs"/>
          <w:b/>
          <w:bCs/>
          <w:rtl/>
        </w:rPr>
        <w:t>ومن كتب الفقه :</w:t>
      </w:r>
    </w:p>
    <w:p w:rsidR="00035BE3" w:rsidRDefault="00035BE3" w:rsidP="00C10469">
      <w:pPr>
        <w:pStyle w:val="a6"/>
        <w:spacing w:line="440" w:lineRule="exact"/>
        <w:ind w:left="422" w:firstLine="0"/>
        <w:rPr>
          <w:rtl/>
        </w:rPr>
      </w:pPr>
      <w:r>
        <w:rPr>
          <w:rFonts w:hint="cs"/>
          <w:rtl/>
        </w:rPr>
        <w:t>المبسوط، 9/94، 17/191؛ بدائع الصنائع، 7/210، 211، 213، 215، 216؛ المغني لابن قدامة، 7/278؛ تبيين الحقائق، 5/23؛ العناية وفتح القدير ونتائج الأفكار، 7/110، 111، 8/325، 352، 353، 363، 366؛ الدّرر شرح الغرر، 2/363، 366.</w:t>
      </w:r>
    </w:p>
    <w:p w:rsidR="00035BE3" w:rsidRDefault="00035BE3" w:rsidP="00C10469">
      <w:pPr>
        <w:pStyle w:val="a6"/>
        <w:spacing w:line="440" w:lineRule="exact"/>
        <w:ind w:left="422" w:firstLine="0"/>
        <w:rPr>
          <w:b/>
          <w:bCs/>
          <w:rtl/>
        </w:rPr>
      </w:pPr>
      <w:r>
        <w:rPr>
          <w:rFonts w:hint="cs"/>
          <w:b/>
          <w:bCs/>
          <w:rtl/>
        </w:rPr>
        <w:t>ومن كتب الأصول :</w:t>
      </w:r>
    </w:p>
    <w:p w:rsidR="00035BE3" w:rsidRDefault="00035BE3" w:rsidP="00C10469">
      <w:pPr>
        <w:pStyle w:val="a6"/>
        <w:spacing w:line="440" w:lineRule="exact"/>
        <w:ind w:left="422" w:firstLine="0"/>
        <w:rPr>
          <w:rtl/>
        </w:rPr>
      </w:pPr>
      <w:r>
        <w:rPr>
          <w:rFonts w:hint="cs"/>
          <w:rtl/>
        </w:rPr>
        <w:t>المسوّدة، ص552؛ إرشاد الفحول، 2/240.</w:t>
      </w:r>
    </w:p>
    <w:p w:rsidR="00035BE3" w:rsidRDefault="00035BE3" w:rsidP="00C10469">
      <w:pPr>
        <w:pStyle w:val="a6"/>
        <w:spacing w:line="440" w:lineRule="exact"/>
        <w:ind w:left="422" w:firstLine="0"/>
        <w:rPr>
          <w:spacing w:val="-4"/>
          <w:rtl/>
        </w:rPr>
      </w:pPr>
      <w:r>
        <w:rPr>
          <w:rFonts w:hint="cs"/>
          <w:spacing w:val="-4"/>
          <w:rtl/>
        </w:rPr>
        <w:t xml:space="preserve">علمًا بأن المؤلف سبق أن ذكر هذه القاعدة عرضًا في عدة مواضع منها : ص302 (ل9/ب)، و380 (ل17/ب)، و552 (ل38/أ)، كما ذكر قاعدة بمعناها وهي : </w:t>
      </w:r>
      <w:r>
        <w:rPr>
          <w:rFonts w:hint="eastAsia"/>
          <w:spacing w:val="-4"/>
          <w:rtl/>
        </w:rPr>
        <w:t>«</w:t>
      </w:r>
      <w:r>
        <w:rPr>
          <w:rFonts w:hint="cs"/>
          <w:spacing w:val="-4"/>
          <w:rtl/>
        </w:rPr>
        <w:t>الإقرار لشيء لا يبطل بالإنكار اللاحق</w:t>
      </w:r>
      <w:r>
        <w:rPr>
          <w:rFonts w:hint="eastAsia"/>
          <w:spacing w:val="-4"/>
          <w:rtl/>
        </w:rPr>
        <w:t>»</w:t>
      </w:r>
      <w:r>
        <w:rPr>
          <w:rFonts w:hint="cs"/>
          <w:spacing w:val="-4"/>
          <w:rtl/>
        </w:rPr>
        <w:t>، وذلك ص391 (ل19/أ)، قاعدة 43، وانظر أيضًا: ص392 (ل19/أ)، قاعدة 44.</w:t>
      </w:r>
    </w:p>
  </w:footnote>
  <w:footnote w:id="292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ثمن </w:t>
      </w:r>
      <w:r>
        <w:rPr>
          <w:rFonts w:hint="eastAsia"/>
          <w:rtl/>
        </w:rPr>
        <w:t>»</w:t>
      </w:r>
      <w:r>
        <w:rPr>
          <w:rFonts w:hint="cs"/>
          <w:rtl/>
        </w:rPr>
        <w:t xml:space="preserve"> : زيادة من (ب) و(د).</w:t>
      </w:r>
    </w:p>
  </w:footnote>
  <w:footnote w:id="293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قن </w:t>
      </w:r>
      <w:r>
        <w:rPr>
          <w:rFonts w:hint="eastAsia"/>
          <w:rtl/>
        </w:rPr>
        <w:t>»</w:t>
      </w:r>
      <w:r>
        <w:rPr>
          <w:rFonts w:hint="cs"/>
          <w:rtl/>
        </w:rPr>
        <w:t xml:space="preserve"> : ساقطة من (د).</w:t>
      </w:r>
    </w:p>
  </w:footnote>
  <w:footnote w:id="293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ينكر </w:t>
      </w:r>
      <w:r>
        <w:rPr>
          <w:rFonts w:hint="eastAsia"/>
          <w:rtl/>
        </w:rPr>
        <w:t>»</w:t>
      </w:r>
      <w:r>
        <w:rPr>
          <w:rFonts w:hint="cs"/>
          <w:rtl/>
        </w:rPr>
        <w:t>.</w:t>
      </w:r>
    </w:p>
  </w:footnote>
  <w:footnote w:id="293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بعينه </w:t>
      </w:r>
      <w:r>
        <w:rPr>
          <w:rFonts w:hint="eastAsia"/>
          <w:rtl/>
        </w:rPr>
        <w:t>»</w:t>
      </w:r>
      <w:r>
        <w:rPr>
          <w:rFonts w:hint="cs"/>
          <w:rtl/>
        </w:rPr>
        <w:t xml:space="preserve"> : ساقطة من (جـ).</w:t>
      </w:r>
    </w:p>
  </w:footnote>
  <w:footnote w:id="29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سواء وصل الرجوع بالإقرار أم فَصل بينهما بكلام آخر ونحوه.</w:t>
      </w:r>
    </w:p>
  </w:footnote>
  <w:footnote w:id="29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أبو يوسف ومحمد.</w:t>
      </w:r>
    </w:p>
  </w:footnote>
  <w:footnote w:id="29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2/366 - مع زيادة في الدرر لبعض الألفاظ-؛ وانظر : الهداية وشرحيها : العناية ونتائج الأفكار، 8/363.</w:t>
      </w:r>
    </w:p>
  </w:footnote>
  <w:footnote w:id="29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(ب).</w:t>
      </w:r>
    </w:p>
  </w:footnote>
  <w:footnote w:id="29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الضابط وجلّ ما جاء في شرحه مذكور في الدرر شرح الغرر، 2/223-224.</w:t>
      </w:r>
    </w:p>
    <w:p w:rsidR="00035BE3" w:rsidRDefault="00035BE3" w:rsidP="00C10469">
      <w:pPr>
        <w:pStyle w:val="a6"/>
        <w:ind w:left="422" w:firstLine="0"/>
        <w:rPr>
          <w:rtl/>
        </w:rPr>
      </w:pPr>
      <w:r>
        <w:rPr>
          <w:rFonts w:hint="cs"/>
          <w:rtl/>
        </w:rPr>
        <w:t xml:space="preserve">وقد ورد فيه مفسرًا على النحو الآتي : </w:t>
      </w:r>
      <w:r>
        <w:rPr>
          <w:rFonts w:hint="eastAsia"/>
          <w:rtl/>
        </w:rPr>
        <w:t>«</w:t>
      </w:r>
      <w:r>
        <w:rPr>
          <w:rFonts w:hint="cs"/>
          <w:rtl/>
        </w:rPr>
        <w:t>الرجوع بتراضٍ أو حكم قاضٍ فسخ لعقد الهبة من الأصل، وإعادة للملك القديم لا هبة للواهب [أي : لا هبة من الموهوب له للواهب] فلم يشترط قبضه (أي قبض الواهب)؛ لأن القبض إنما يعتبر في انتقال الملك ...</w:t>
      </w:r>
      <w:r>
        <w:rPr>
          <w:rFonts w:hint="eastAsia"/>
          <w:rtl/>
        </w:rPr>
        <w:t>»</w:t>
      </w:r>
      <w:r>
        <w:rPr>
          <w:rFonts w:hint="cs"/>
          <w:rtl/>
        </w:rPr>
        <w:t>.</w:t>
      </w:r>
    </w:p>
    <w:p w:rsidR="00035BE3" w:rsidRDefault="00035BE3" w:rsidP="00C10469">
      <w:pPr>
        <w:pStyle w:val="a6"/>
        <w:ind w:left="422" w:firstLine="0"/>
        <w:rPr>
          <w:rtl/>
        </w:rPr>
      </w:pPr>
      <w:r>
        <w:rPr>
          <w:rFonts w:hint="cs"/>
          <w:rtl/>
        </w:rPr>
        <w:t xml:space="preserve">ويضاف إلى الدّرر فقد ورد هذا الضابط في عدّة كتب من كتب الفقه الحنفي، وفي بعضها تصريح بأن زفر </w:t>
      </w:r>
      <w:r>
        <w:rPr>
          <w:rFonts w:hint="eastAsia"/>
          <w:rtl/>
        </w:rPr>
        <w:t>«</w:t>
      </w:r>
      <w:r>
        <w:rPr>
          <w:rFonts w:hint="cs"/>
          <w:rtl/>
        </w:rPr>
        <w:t>خالف ... في الرجوع بالتراضي، وجعله بمنزلة الهبة المبتدأة ...</w:t>
      </w:r>
      <w:r>
        <w:rPr>
          <w:rFonts w:hint="eastAsia"/>
          <w:rtl/>
        </w:rPr>
        <w:t>»</w:t>
      </w:r>
      <w:r>
        <w:rPr>
          <w:rFonts w:hint="cs"/>
          <w:rtl/>
        </w:rPr>
        <w:t xml:space="preserve"> -كذا في العناية-.</w:t>
      </w:r>
    </w:p>
    <w:p w:rsidR="00035BE3" w:rsidRDefault="00035BE3" w:rsidP="00C10469">
      <w:pPr>
        <w:pStyle w:val="a6"/>
        <w:ind w:left="422" w:firstLine="0"/>
        <w:rPr>
          <w:rtl/>
        </w:rPr>
      </w:pPr>
      <w:r>
        <w:rPr>
          <w:rFonts w:hint="cs"/>
          <w:rtl/>
        </w:rPr>
        <w:t>ومن تلك الكتب : المبسوط، 25/140، 145؛ تحفة الفقهاء، 3/168؛ الهداية وشرحاها : العناية ونتائج الأفكار، 9/46؛ فتاوى قاضي خان، 3/276؛ البحر الرائق، 4/315؛ ردّ المحتار، 8/513.</w:t>
      </w:r>
    </w:p>
  </w:footnote>
  <w:footnote w:id="29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34/أ من (د).</w:t>
      </w:r>
    </w:p>
  </w:footnote>
  <w:footnote w:id="29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(جـ).</w:t>
      </w:r>
    </w:p>
  </w:footnote>
  <w:footnote w:id="29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42/أ من (جـ).</w:t>
      </w:r>
    </w:p>
  </w:footnote>
  <w:footnote w:id="29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دابّة</w:t>
      </w:r>
      <w:r>
        <w:rPr>
          <w:rFonts w:hint="eastAsia"/>
          <w:rtl/>
        </w:rPr>
        <w:t>»</w:t>
      </w:r>
      <w:r>
        <w:rPr>
          <w:rFonts w:hint="cs"/>
          <w:rtl/>
        </w:rPr>
        <w:t>. والمناسب ما تمَّ إثباته من (ب) و(جـ)؛ لأن الدار هي التي تقبل القسمة.</w:t>
      </w:r>
    </w:p>
  </w:footnote>
  <w:footnote w:id="29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هبته</w:t>
      </w:r>
      <w:r>
        <w:rPr>
          <w:rFonts w:hint="eastAsia"/>
          <w:rtl/>
        </w:rPr>
        <w:t>»</w:t>
      </w:r>
      <w:r>
        <w:rPr>
          <w:rFonts w:hint="cs"/>
          <w:rtl/>
        </w:rPr>
        <w:t>. والصحيح ما تمَّ إثباته من (ب) و(د)، وهو الموافق للدُّرر.</w:t>
      </w:r>
    </w:p>
  </w:footnote>
  <w:footnote w:id="29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2/223-224؛ وانظر أيضًا : تحفة الفقهاء، 3/168؛ الهداية وشرحها: العناية، 9/46.</w:t>
      </w:r>
    </w:p>
  </w:footnote>
  <w:footnote w:id="29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(د).</w:t>
      </w:r>
    </w:p>
  </w:footnote>
  <w:footnote w:id="29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35/ب من (ب).</w:t>
      </w:r>
    </w:p>
  </w:footnote>
  <w:footnote w:id="29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صلة </w:t>
      </w:r>
      <w:r>
        <w:rPr>
          <w:rFonts w:hint="eastAsia"/>
          <w:rtl/>
        </w:rPr>
        <w:t>»</w:t>
      </w:r>
      <w:r>
        <w:rPr>
          <w:rFonts w:hint="cs"/>
          <w:rtl/>
        </w:rPr>
        <w:t>.</w:t>
      </w:r>
    </w:p>
  </w:footnote>
  <w:footnote w:id="29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بمعنى مشترك</w:t>
      </w:r>
      <w:r>
        <w:rPr>
          <w:rFonts w:hint="eastAsia"/>
          <w:rtl/>
        </w:rPr>
        <w:t>»</w:t>
      </w:r>
      <w:r>
        <w:rPr>
          <w:rFonts w:hint="cs"/>
          <w:rtl/>
        </w:rPr>
        <w:t>.</w:t>
      </w:r>
    </w:p>
  </w:footnote>
  <w:footnote w:id="29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54/ب من (أ).</w:t>
      </w:r>
    </w:p>
  </w:footnote>
  <w:footnote w:id="29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دعوى </w:t>
      </w:r>
      <w:r>
        <w:rPr>
          <w:rFonts w:hint="eastAsia"/>
          <w:rtl/>
        </w:rPr>
        <w:t>»</w:t>
      </w:r>
      <w:r>
        <w:rPr>
          <w:rFonts w:hint="cs"/>
          <w:rtl/>
        </w:rPr>
        <w:t>.</w:t>
      </w:r>
    </w:p>
  </w:footnote>
  <w:footnote w:id="29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2/224. وقد ذكر صاحب الدّرر هذه القاعدة عقب الضابط مباشرة، كما سبقت الإشارة إلى ذلك قريبًا.</w:t>
      </w:r>
    </w:p>
    <w:p w:rsidR="00035BE3" w:rsidRDefault="00035BE3" w:rsidP="00C10469">
      <w:pPr>
        <w:pStyle w:val="a6"/>
        <w:ind w:left="422" w:firstLine="0"/>
        <w:rPr>
          <w:rtl/>
        </w:rPr>
      </w:pPr>
      <w:r>
        <w:rPr>
          <w:rFonts w:hint="cs"/>
          <w:rtl/>
        </w:rPr>
        <w:t>والمؤلف سوف يفردها في قاعدة مستقلة، ص897 (ل73/أ)، قاعدة 179.</w:t>
      </w:r>
    </w:p>
  </w:footnote>
  <w:footnote w:id="29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فيهما</w:t>
      </w:r>
      <w:r>
        <w:rPr>
          <w:rFonts w:hint="eastAsia"/>
          <w:rtl/>
        </w:rPr>
        <w:t>»</w:t>
      </w:r>
      <w:r>
        <w:rPr>
          <w:rFonts w:hint="cs"/>
          <w:rtl/>
        </w:rPr>
        <w:t xml:space="preserve"> : وردت مكررة في (أ) ولعل ذلك سهو من الناسخ.</w:t>
      </w:r>
    </w:p>
    <w:p w:rsidR="00035BE3" w:rsidRDefault="00035BE3" w:rsidP="00C10469">
      <w:pPr>
        <w:pStyle w:val="a6"/>
        <w:ind w:left="422" w:firstLine="0"/>
        <w:rPr>
          <w:rtl/>
        </w:rPr>
      </w:pPr>
      <w:r>
        <w:rPr>
          <w:rFonts w:hint="cs"/>
          <w:b/>
          <w:bCs/>
          <w:rtl/>
        </w:rPr>
        <w:t>وهذه القاعدة</w:t>
      </w:r>
      <w:r>
        <w:rPr>
          <w:rFonts w:hint="cs"/>
          <w:rtl/>
        </w:rPr>
        <w:t xml:space="preserve"> جاءت بنحو هذا اللفظ أو معناه في بعض كتب الفقه الحنفي، وكان ذكرها مقترنًا بفرع فقهي فيه خلاف بين أبي يوسف ومحمد، وهو ما خرّجه المؤلف على القاعدة، وهو إذا جحد الموصي الوصية فهل يكون ذلك رجوعًا عنها؟.</w:t>
      </w:r>
    </w:p>
    <w:p w:rsidR="00035BE3" w:rsidRDefault="00035BE3" w:rsidP="00C10469">
      <w:pPr>
        <w:pStyle w:val="a6"/>
        <w:ind w:left="-32" w:firstLine="454"/>
        <w:rPr>
          <w:rtl/>
        </w:rPr>
      </w:pPr>
      <w:r>
        <w:rPr>
          <w:rtl/>
        </w:rPr>
        <w:t>•</w:t>
      </w:r>
      <w:r>
        <w:rPr>
          <w:rFonts w:hint="cs"/>
          <w:rtl/>
        </w:rPr>
        <w:t xml:space="preserve"> ذهب أبو يوسف ومحمد في رواية عنه إلى أن ذلك يكون رجوعًا.</w:t>
      </w:r>
    </w:p>
    <w:p w:rsidR="00035BE3" w:rsidRDefault="00035BE3" w:rsidP="00C10469">
      <w:pPr>
        <w:pStyle w:val="a6"/>
        <w:ind w:left="-32" w:firstLine="454"/>
        <w:rPr>
          <w:rtl/>
        </w:rPr>
      </w:pPr>
      <w:r>
        <w:rPr>
          <w:rtl/>
        </w:rPr>
        <w:t>•</w:t>
      </w:r>
      <w:r>
        <w:rPr>
          <w:rFonts w:hint="cs"/>
          <w:rtl/>
        </w:rPr>
        <w:t xml:space="preserve"> وذهب محمد في رواية أخرى إلى أن ذلك لا يكون رجوعًا، وعللّوا رأيه هذا بالقاعدة.</w:t>
      </w:r>
    </w:p>
    <w:p w:rsidR="00035BE3" w:rsidRDefault="00035BE3" w:rsidP="00C10469">
      <w:pPr>
        <w:pStyle w:val="a6"/>
        <w:ind w:left="422" w:firstLine="0"/>
        <w:rPr>
          <w:spacing w:val="6"/>
          <w:rtl/>
        </w:rPr>
      </w:pPr>
      <w:r>
        <w:rPr>
          <w:rFonts w:hint="cs"/>
          <w:spacing w:val="6"/>
          <w:rtl/>
        </w:rPr>
        <w:t>انظر : الهداية وشرحيـها : العناية ونتائج الأفـكار،10/436-439؛ الدُّرر شرح الغـرر، 2/431؛ وانظر أيضًا : المبسوط، 27/163؛ بدائع الصنائع، 7/380؛ البحر الـرائق، 8/460؛ رد المحتار، 10/351.</w:t>
      </w:r>
    </w:p>
  </w:footnote>
  <w:footnote w:id="29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به </w:t>
      </w:r>
      <w:r>
        <w:rPr>
          <w:rFonts w:hint="eastAsia"/>
          <w:rtl/>
        </w:rPr>
        <w:t>»</w:t>
      </w:r>
      <w:r>
        <w:rPr>
          <w:rFonts w:hint="cs"/>
          <w:rtl/>
        </w:rPr>
        <w:t xml:space="preserve"> : زيادة من (جـ) و(هـ) و(و).</w:t>
      </w:r>
    </w:p>
  </w:footnote>
  <w:footnote w:id="29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الفرع في مصادر القاعدة الآنف ذكرها.</w:t>
      </w:r>
    </w:p>
  </w:footnote>
  <w:footnote w:id="29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(هـ) و(و). أما في باقي النسخ : </w:t>
      </w:r>
      <w:r>
        <w:rPr>
          <w:rFonts w:hint="eastAsia"/>
          <w:rtl/>
        </w:rPr>
        <w:t>«</w:t>
      </w:r>
      <w:r>
        <w:rPr>
          <w:rFonts w:hint="cs"/>
          <w:rtl/>
        </w:rPr>
        <w:t xml:space="preserve"> وفي </w:t>
      </w:r>
      <w:r>
        <w:rPr>
          <w:rFonts w:hint="eastAsia"/>
          <w:rtl/>
        </w:rPr>
        <w:t>»</w:t>
      </w:r>
      <w:r>
        <w:rPr>
          <w:rFonts w:hint="cs"/>
          <w:rtl/>
        </w:rPr>
        <w:t xml:space="preserve"> (بزيادة الواو). ولا يستقيم المعنى بزيادتها؛ لهذا تم إثبات ما في (هـ) و(و).</w:t>
      </w:r>
    </w:p>
  </w:footnote>
  <w:footnote w:id="29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الفرعين الأخيرين في مصادر القاعدة أيضًا ما عدا (البحر الرائق).</w:t>
      </w:r>
    </w:p>
  </w:footnote>
  <w:footnote w:id="29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الضابط يتناول حكم الغصب في الدنيا حال بقاء المغصوب بحاله في يد الغاصب؛ إذْ للغصب </w:t>
      </w:r>
      <w:r>
        <w:rPr>
          <w:rFonts w:hint="eastAsia"/>
          <w:rtl/>
        </w:rPr>
        <w:t>«</w:t>
      </w:r>
      <w:r>
        <w:rPr>
          <w:rFonts w:hint="cs"/>
          <w:rtl/>
        </w:rPr>
        <w:t>حكمان، أحدهما يرجع إلى الآخرة، والثاني يرجع إلى الدنيا.</w:t>
      </w:r>
    </w:p>
    <w:p w:rsidR="00035BE3" w:rsidRDefault="00035BE3" w:rsidP="00C10469">
      <w:pPr>
        <w:pStyle w:val="a6"/>
        <w:ind w:left="422" w:firstLine="0"/>
        <w:rPr>
          <w:rtl/>
        </w:rPr>
      </w:pPr>
      <w:r>
        <w:rPr>
          <w:rFonts w:hint="cs"/>
          <w:rtl/>
        </w:rPr>
        <w:t>أما الذي يرجع إلى الآخرة : فهو الإثم واستحقاق المؤاخذة إذا فعله من علم؛ لأنه معصية ...</w:t>
      </w:r>
    </w:p>
    <w:p w:rsidR="00035BE3" w:rsidRDefault="00035BE3" w:rsidP="00C10469">
      <w:pPr>
        <w:pStyle w:val="a6"/>
        <w:ind w:left="422" w:firstLine="0"/>
        <w:rPr>
          <w:spacing w:val="6"/>
          <w:rtl/>
        </w:rPr>
      </w:pPr>
      <w:r>
        <w:rPr>
          <w:rFonts w:hint="cs"/>
          <w:spacing w:val="6"/>
          <w:rtl/>
        </w:rPr>
        <w:t>وأما الذي يرجع إلى الدنيا : فأنواع، بعضها يرجع إلى حال قيام المغصوب، وبعضها يرجع إلى حال هلاكه، وبعضها يرجع إلى حال نقصانه، وبعضها يرجع إلى حال زيادته</w:t>
      </w:r>
      <w:r>
        <w:rPr>
          <w:rFonts w:hint="eastAsia"/>
          <w:spacing w:val="6"/>
          <w:rtl/>
        </w:rPr>
        <w:t>»</w:t>
      </w:r>
      <w:r>
        <w:rPr>
          <w:rFonts w:hint="cs"/>
          <w:spacing w:val="6"/>
          <w:rtl/>
        </w:rPr>
        <w:t>- قاله صاحب البدائع، 7/148-.</w:t>
      </w:r>
    </w:p>
    <w:p w:rsidR="00035BE3" w:rsidRDefault="00035BE3" w:rsidP="00C10469">
      <w:pPr>
        <w:pStyle w:val="a6"/>
        <w:ind w:left="422" w:firstLine="0"/>
        <w:rPr>
          <w:rtl/>
        </w:rPr>
      </w:pPr>
      <w:r>
        <w:rPr>
          <w:rFonts w:hint="cs"/>
          <w:rtl/>
        </w:rPr>
        <w:t xml:space="preserve">وقد بيَّن هذا الضابطُ الحكمَ الأصليَّ، وهو النوع الأول الذي يرجع إلى حال قيام الـمغصوب؛ </w:t>
      </w:r>
      <w:r>
        <w:rPr>
          <w:rFonts w:hint="cs"/>
          <w:b/>
          <w:bCs/>
          <w:rtl/>
        </w:rPr>
        <w:t>إذ معناه</w:t>
      </w:r>
      <w:r>
        <w:rPr>
          <w:rFonts w:hint="cs"/>
          <w:rtl/>
        </w:rPr>
        <w:t xml:space="preserve">: </w:t>
      </w:r>
      <w:r>
        <w:rPr>
          <w:rFonts w:hint="eastAsia"/>
          <w:rtl/>
        </w:rPr>
        <w:t>«</w:t>
      </w:r>
      <w:r>
        <w:rPr>
          <w:rFonts w:hint="cs"/>
          <w:rtl/>
        </w:rPr>
        <w:t>أن الحكم الأصلي للغصب هو وجوب رد عين المغصوب؛ لأن بالرّد يعود [إلى المغصوب منه] عينُ حقه ... وبه يندفع الضرر عنه من كل وجه ... [وعلى هذا فإن ضمان القيمة] خلف عن ردّ العين، وإنما يصار إلى الخلف عند العجز عن ردّ الأصل</w:t>
      </w:r>
      <w:r>
        <w:rPr>
          <w:rFonts w:hint="eastAsia"/>
          <w:rtl/>
        </w:rPr>
        <w:t>»</w:t>
      </w:r>
      <w:r>
        <w:rPr>
          <w:rFonts w:hint="cs"/>
          <w:rtl/>
        </w:rPr>
        <w:t xml:space="preserve">- قاله صاحب البدائع، 7/151-؛ لأنه </w:t>
      </w:r>
      <w:r>
        <w:rPr>
          <w:rFonts w:hint="eastAsia"/>
          <w:rtl/>
        </w:rPr>
        <w:t>«</w:t>
      </w:r>
      <w:r>
        <w:rPr>
          <w:rFonts w:hint="cs"/>
          <w:rtl/>
        </w:rPr>
        <w:t>إذا بطل الأصل يصار إلى البدل</w:t>
      </w:r>
      <w:r>
        <w:rPr>
          <w:rFonts w:hint="eastAsia"/>
          <w:rtl/>
        </w:rPr>
        <w:t>»</w:t>
      </w:r>
      <w:r>
        <w:rPr>
          <w:rFonts w:hint="cs"/>
          <w:rtl/>
        </w:rPr>
        <w:t>.</w:t>
      </w:r>
    </w:p>
    <w:p w:rsidR="00035BE3" w:rsidRDefault="00035BE3" w:rsidP="00C10469">
      <w:pPr>
        <w:pStyle w:val="a6"/>
        <w:ind w:left="422" w:firstLine="0"/>
        <w:rPr>
          <w:rtl/>
        </w:rPr>
      </w:pPr>
      <w:r>
        <w:rPr>
          <w:rFonts w:hint="cs"/>
          <w:b/>
          <w:bCs/>
          <w:rtl/>
        </w:rPr>
        <w:t>وهذا الضابط</w:t>
      </w:r>
      <w:r>
        <w:rPr>
          <w:rFonts w:hint="cs"/>
          <w:rtl/>
        </w:rPr>
        <w:t xml:space="preserve"> ورد بهذا اللفظ أو نحوه في كثير من كتب الفقه الحنفي، كما ورد معناه في كثير من كتب القواعد والمذاهب الفقهية الأخر، وقد حكى ابن حزم وابن قدامة الاتفاق عليه؛ يقول ابن حزم في (مراتب الإجماع)، ص59: </w:t>
      </w:r>
      <w:r>
        <w:rPr>
          <w:rFonts w:hint="eastAsia"/>
          <w:rtl/>
        </w:rPr>
        <w:t>«</w:t>
      </w:r>
      <w:r>
        <w:rPr>
          <w:rFonts w:hint="cs"/>
          <w:rtl/>
        </w:rPr>
        <w:t xml:space="preserve">اتفقوا: أن من غصب شيئًا، أيَّ شيءٍ كان، من غير ولده، فوُجد </w:t>
      </w:r>
      <w:r w:rsidRPr="004148FD">
        <w:rPr>
          <w:rFonts w:hint="cs"/>
          <w:spacing w:val="-4"/>
          <w:rtl/>
        </w:rPr>
        <w:t>بعينه لم يتغير من صفاته شيء، ولا تغيّرت سوقُه، ووُجد في يد غاصبه لا في يد غيره: أنه يُرد كما هو</w:t>
      </w:r>
      <w:r w:rsidRPr="004148FD">
        <w:rPr>
          <w:rFonts w:hint="eastAsia"/>
          <w:spacing w:val="-4"/>
          <w:rtl/>
        </w:rPr>
        <w:t>»</w:t>
      </w:r>
      <w:r w:rsidRPr="004148FD">
        <w:rPr>
          <w:rFonts w:hint="cs"/>
          <w:spacing w:val="-4"/>
          <w:rtl/>
        </w:rPr>
        <w:t>.</w:t>
      </w:r>
    </w:p>
    <w:p w:rsidR="00035BE3" w:rsidRDefault="00035BE3" w:rsidP="00C10469">
      <w:pPr>
        <w:pStyle w:val="a6"/>
        <w:ind w:left="422" w:firstLine="0"/>
        <w:rPr>
          <w:rtl/>
        </w:rPr>
      </w:pPr>
      <w:r>
        <w:rPr>
          <w:rFonts w:hint="cs"/>
          <w:rtl/>
        </w:rPr>
        <w:t>وعلى الرغم من هذا الاتفاق إلا أنه حكي في بعض كتب الفقه الحنفي قولٌ آخر، وهو أن الموجَب الأصلي هو القيمة، فإن تعذر ذلك ينتقل إلى ردّ العين !!.</w:t>
      </w:r>
    </w:p>
    <w:p w:rsidR="00035BE3" w:rsidRDefault="00035BE3" w:rsidP="00C10469">
      <w:pPr>
        <w:pStyle w:val="a6"/>
        <w:ind w:left="422" w:firstLine="0"/>
        <w:rPr>
          <w:rtl/>
        </w:rPr>
      </w:pPr>
      <w:r>
        <w:rPr>
          <w:rFonts w:hint="cs"/>
          <w:rtl/>
        </w:rPr>
        <w:t>ويُلحظ على هذه الكتب كونها ذكرت هذا القول بصيغة التمريض دون أن تنسبه إلى قائل، وقد تابعهم المؤلف على هذا.</w:t>
      </w:r>
    </w:p>
    <w:p w:rsidR="00035BE3" w:rsidRDefault="00035BE3" w:rsidP="00C10469">
      <w:pPr>
        <w:pStyle w:val="a6"/>
        <w:ind w:left="422" w:firstLine="0"/>
        <w:rPr>
          <w:rtl/>
        </w:rPr>
      </w:pPr>
      <w:r>
        <w:rPr>
          <w:rFonts w:hint="cs"/>
          <w:rtl/>
        </w:rPr>
        <w:t>ومن كتبهم التي حكت هذا القول بالإضافة إلى القول الأول -الذي تضمّنه الضابط-:</w:t>
      </w:r>
    </w:p>
    <w:p w:rsidR="00035BE3" w:rsidRDefault="00035BE3" w:rsidP="00C10469">
      <w:pPr>
        <w:pStyle w:val="a6"/>
        <w:ind w:left="422" w:firstLine="0"/>
        <w:rPr>
          <w:rtl/>
        </w:rPr>
      </w:pPr>
      <w:r>
        <w:rPr>
          <w:rFonts w:hint="cs"/>
          <w:rtl/>
        </w:rPr>
        <w:t xml:space="preserve">الهداية وشرحاها : العناية ونتائج الأفكار، 9/320-321، 322 - علمًا بأن جل ما سيذكره المؤلف في شرح القاعدة مذكور في العناية-؛ تكملة البحر الرائق، 8/124. </w:t>
      </w:r>
    </w:p>
    <w:p w:rsidR="00035BE3" w:rsidRPr="00D351A6" w:rsidRDefault="00035BE3" w:rsidP="00C10469">
      <w:pPr>
        <w:pStyle w:val="a6"/>
        <w:ind w:left="422" w:firstLine="0"/>
        <w:rPr>
          <w:spacing w:val="-6"/>
          <w:rtl/>
        </w:rPr>
      </w:pPr>
      <w:r w:rsidRPr="00D351A6">
        <w:rPr>
          <w:rFonts w:hint="cs"/>
          <w:spacing w:val="-6"/>
          <w:rtl/>
        </w:rPr>
        <w:t xml:space="preserve">ومن كتبهم التي تضمنت الضابط : الكتاب للقُدُوري وشـرحه: اللبـاب، 2/188؛ بـدائع الصنائع، 7/148، 151، 163، 214؛ الوقاية وشرحها لصدر الشريعة ومعهما: كشف الحقائق شرح كنز الدقائق، 2/192؛ تبيين الحقائق، 5/222؛ الدّرر شرح الغرر، 2/262؛ رد المحتار لابن عابدين، 9/266. </w:t>
      </w:r>
      <w:r>
        <w:rPr>
          <w:rFonts w:hint="cs"/>
          <w:spacing w:val="-6"/>
          <w:rtl/>
        </w:rPr>
        <w:t xml:space="preserve">       </w:t>
      </w:r>
    </w:p>
    <w:p w:rsidR="00035BE3" w:rsidRDefault="00035BE3" w:rsidP="00C10469">
      <w:pPr>
        <w:pStyle w:val="a6"/>
        <w:spacing w:line="520" w:lineRule="exact"/>
        <w:ind w:left="422" w:firstLine="0"/>
        <w:rPr>
          <w:rtl/>
        </w:rPr>
      </w:pPr>
      <w:r w:rsidRPr="00D351A6">
        <w:rPr>
          <w:rFonts w:hint="cs"/>
          <w:b/>
          <w:bCs/>
          <w:rtl/>
        </w:rPr>
        <w:t>ومن كتـب القواعد والمذاهب الأخـر</w:t>
      </w:r>
      <w:r w:rsidRPr="00D351A6">
        <w:rPr>
          <w:rFonts w:hint="cs"/>
          <w:rtl/>
        </w:rPr>
        <w:t xml:space="preserve"> : الأشـبـاه والـنـظـائـر لابـن السـبـكي، </w:t>
      </w:r>
      <w:r>
        <w:rPr>
          <w:rFonts w:hint="cs"/>
          <w:rtl/>
        </w:rPr>
        <w:t>1/320؛ ولابن الـملقن، 2/428؛ وللسـيـوطـي، 2/628، 630، 801؛ قـواعـد الفقه للدكتور على الندوي، ص378؛ المغني لابن قدامة، 7/361؛ مواهب الجليل للحطاب، 7/314؛ مغني المحتاج، 2/276.</w:t>
      </w:r>
    </w:p>
  </w:footnote>
  <w:footnote w:id="2957">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فخلص</w:t>
      </w:r>
      <w:r>
        <w:rPr>
          <w:rFonts w:hint="eastAsia"/>
          <w:rtl/>
        </w:rPr>
        <w:t>»</w:t>
      </w:r>
      <w:r>
        <w:rPr>
          <w:rFonts w:hint="cs"/>
          <w:rtl/>
        </w:rPr>
        <w:t>.</w:t>
      </w:r>
    </w:p>
  </w:footnote>
  <w:footnote w:id="2958">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أن الـمغصوب إذا كان هالكًا، فـإن الغاصب يتخلَّص من تبعيته برِّد قيمة المغصوب خلفًا وبدلاً لردِّ عينه.</w:t>
      </w:r>
    </w:p>
  </w:footnote>
  <w:footnote w:id="2959">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إذا </w:t>
      </w:r>
      <w:r>
        <w:rPr>
          <w:rFonts w:hint="eastAsia"/>
          <w:rtl/>
        </w:rPr>
        <w:t>»</w:t>
      </w:r>
      <w:r>
        <w:rPr>
          <w:rFonts w:hint="cs"/>
          <w:rtl/>
        </w:rPr>
        <w:t>. والصحيح ما تمَّ إثباته من باقي النسخ؛ وهو الموافق للعناية.</w:t>
      </w:r>
    </w:p>
  </w:footnote>
  <w:footnote w:id="2960">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وقبل </w:t>
      </w:r>
      <w:r>
        <w:rPr>
          <w:rFonts w:hint="eastAsia"/>
          <w:rtl/>
        </w:rPr>
        <w:t>»</w:t>
      </w:r>
      <w:r>
        <w:rPr>
          <w:rFonts w:hint="cs"/>
          <w:rtl/>
        </w:rPr>
        <w:t>.</w:t>
      </w:r>
    </w:p>
  </w:footnote>
  <w:footnote w:id="2961">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لخلص </w:t>
      </w:r>
      <w:r>
        <w:rPr>
          <w:rFonts w:hint="eastAsia"/>
          <w:rtl/>
        </w:rPr>
        <w:t>»</w:t>
      </w:r>
      <w:r>
        <w:rPr>
          <w:rFonts w:hint="cs"/>
          <w:rtl/>
        </w:rPr>
        <w:t>.</w:t>
      </w:r>
    </w:p>
  </w:footnote>
  <w:footnote w:id="2962">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يظهر القول الثاني (وهو كون الموجَب الأصلي هو القيمة) في بعض الأحكام.</w:t>
      </w:r>
    </w:p>
    <w:p w:rsidR="00035BE3" w:rsidRDefault="00035BE3" w:rsidP="00C10469">
      <w:pPr>
        <w:pStyle w:val="a6"/>
        <w:spacing w:line="520" w:lineRule="exact"/>
        <w:ind w:left="422" w:firstLine="0"/>
        <w:rPr>
          <w:rtl/>
        </w:rPr>
      </w:pPr>
      <w:r>
        <w:rPr>
          <w:rFonts w:hint="cs"/>
          <w:rtl/>
        </w:rPr>
        <w:t>وسيذكر طائفة منها، ويجيب عنها.</w:t>
      </w:r>
    </w:p>
  </w:footnote>
  <w:footnote w:id="2963">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الغير </w:t>
      </w:r>
      <w:r>
        <w:rPr>
          <w:rFonts w:hint="eastAsia"/>
          <w:rtl/>
        </w:rPr>
        <w:t>»</w:t>
      </w:r>
      <w:r>
        <w:rPr>
          <w:rFonts w:hint="cs"/>
          <w:rtl/>
        </w:rPr>
        <w:t>.</w:t>
      </w:r>
    </w:p>
  </w:footnote>
  <w:footnote w:id="2964">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ضمان</w:t>
      </w:r>
      <w:r>
        <w:rPr>
          <w:rFonts w:hint="eastAsia"/>
          <w:rtl/>
        </w:rPr>
        <w:t>»</w:t>
      </w:r>
      <w:r>
        <w:rPr>
          <w:rFonts w:hint="cs"/>
          <w:rtl/>
        </w:rPr>
        <w:t xml:space="preserve">، وليس </w:t>
      </w:r>
      <w:r>
        <w:rPr>
          <w:rFonts w:hint="eastAsia"/>
          <w:rtl/>
        </w:rPr>
        <w:t>«</w:t>
      </w:r>
      <w:r>
        <w:rPr>
          <w:rFonts w:hint="cs"/>
          <w:rtl/>
        </w:rPr>
        <w:t>وجوب</w:t>
      </w:r>
      <w:r>
        <w:rPr>
          <w:rFonts w:hint="eastAsia"/>
          <w:rtl/>
        </w:rPr>
        <w:t>»</w:t>
      </w:r>
      <w:r>
        <w:rPr>
          <w:rFonts w:hint="cs"/>
          <w:rtl/>
        </w:rPr>
        <w:t xml:space="preserve">. علمًا بأن </w:t>
      </w:r>
      <w:r>
        <w:rPr>
          <w:rFonts w:hint="eastAsia"/>
          <w:rtl/>
        </w:rPr>
        <w:t>«</w:t>
      </w:r>
      <w:r>
        <w:rPr>
          <w:rFonts w:hint="cs"/>
          <w:rtl/>
        </w:rPr>
        <w:t>وجوب</w:t>
      </w:r>
      <w:r>
        <w:rPr>
          <w:rFonts w:hint="eastAsia"/>
          <w:rtl/>
        </w:rPr>
        <w:t>»</w:t>
      </w:r>
      <w:r>
        <w:rPr>
          <w:rFonts w:hint="cs"/>
          <w:rtl/>
        </w:rPr>
        <w:t xml:space="preserve"> تمثل نهاية 55/أ من (أ).</w:t>
      </w:r>
    </w:p>
  </w:footnote>
  <w:footnote w:id="2965">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 212 (ل2/ب)، القاعدة الثانية.</w:t>
      </w:r>
    </w:p>
  </w:footnote>
  <w:footnote w:id="29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42/ب من (جـ).</w:t>
      </w:r>
    </w:p>
  </w:footnote>
  <w:footnote w:id="29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نتقض </w:t>
      </w:r>
      <w:r>
        <w:rPr>
          <w:rFonts w:hint="eastAsia"/>
          <w:rtl/>
        </w:rPr>
        <w:t>»</w:t>
      </w:r>
      <w:r>
        <w:rPr>
          <w:rFonts w:hint="cs"/>
          <w:rtl/>
        </w:rPr>
        <w:t>. والصحيح ما تمَّ إثباته من باقي النسخ، وهو الموافق للعناية.</w:t>
      </w:r>
    </w:p>
  </w:footnote>
  <w:footnote w:id="29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زيادة : </w:t>
      </w:r>
      <w:r>
        <w:rPr>
          <w:rFonts w:hint="eastAsia"/>
          <w:rtl/>
        </w:rPr>
        <w:t>«</w:t>
      </w:r>
      <w:r>
        <w:rPr>
          <w:rFonts w:hint="cs"/>
          <w:rtl/>
        </w:rPr>
        <w:t xml:space="preserve"> أن </w:t>
      </w:r>
      <w:r>
        <w:rPr>
          <w:rFonts w:hint="eastAsia"/>
          <w:rtl/>
        </w:rPr>
        <w:t>»</w:t>
      </w:r>
      <w:r>
        <w:rPr>
          <w:rFonts w:hint="cs"/>
          <w:rtl/>
        </w:rPr>
        <w:t>.</w:t>
      </w:r>
    </w:p>
  </w:footnote>
  <w:footnote w:id="29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والجواب عن الفرعين الأوّليين من قِبَلِ القائلين بأن رد العين هو الموجب الأصلي ...</w:t>
      </w:r>
    </w:p>
  </w:footnote>
  <w:footnote w:id="29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بعرضية</w:t>
      </w:r>
      <w:r>
        <w:rPr>
          <w:rFonts w:hint="eastAsia"/>
          <w:rtl/>
        </w:rPr>
        <w:t>»</w:t>
      </w:r>
      <w:r>
        <w:rPr>
          <w:rFonts w:hint="cs"/>
          <w:rtl/>
        </w:rPr>
        <w:t xml:space="preserve">؛ وفاقًا للعناية، وفي (جـ) : </w:t>
      </w:r>
      <w:r>
        <w:rPr>
          <w:rFonts w:hint="eastAsia"/>
          <w:rtl/>
        </w:rPr>
        <w:t>«</w:t>
      </w:r>
      <w:r>
        <w:rPr>
          <w:rFonts w:hint="cs"/>
          <w:rtl/>
        </w:rPr>
        <w:t>بفرضيته</w:t>
      </w:r>
      <w:r>
        <w:rPr>
          <w:rFonts w:hint="eastAsia"/>
          <w:rtl/>
        </w:rPr>
        <w:t>»</w:t>
      </w:r>
      <w:r>
        <w:rPr>
          <w:rFonts w:hint="cs"/>
          <w:rtl/>
        </w:rPr>
        <w:t xml:space="preserve">. والذي يظهر أن ما في الصلب صحيح وكذلك ما في (ب) و(العنـاية)؛ ولعله يتضح ذلك من خلال السياق الذي جاءت فيه الكلمة في (العناية)، حيث جاء فيها : </w:t>
      </w:r>
      <w:r>
        <w:rPr>
          <w:rFonts w:hint="eastAsia"/>
          <w:rtl/>
        </w:rPr>
        <w:t>«</w:t>
      </w:r>
      <w:r>
        <w:rPr>
          <w:rFonts w:hint="cs"/>
          <w:rtl/>
        </w:rPr>
        <w:t>والجـواب عن مسـألة الإبراء إنما هو بِعَرَضِيَّةِ أن يوجد، فله شبهة الوجود في الحال، والقيمة كـذلـك، فكـان الإبراء صحيحًا من ذلك الوجه ... وعن مسألة الزكاة بما ذكرنا في مسألة الإبراء</w:t>
      </w:r>
      <w:r>
        <w:rPr>
          <w:rFonts w:hint="eastAsia"/>
          <w:rtl/>
        </w:rPr>
        <w:t>»</w:t>
      </w:r>
      <w:r>
        <w:rPr>
          <w:rFonts w:hint="cs"/>
          <w:rtl/>
        </w:rPr>
        <w:t>.</w:t>
      </w:r>
    </w:p>
    <w:p w:rsidR="00035BE3" w:rsidRDefault="00035BE3" w:rsidP="00C10469">
      <w:pPr>
        <w:pStyle w:val="a6"/>
        <w:ind w:left="422" w:firstLine="0"/>
        <w:rPr>
          <w:rtl/>
        </w:rPr>
      </w:pPr>
      <w:r>
        <w:rPr>
          <w:rFonts w:hint="cs"/>
          <w:rtl/>
        </w:rPr>
        <w:t xml:space="preserve">فقوله : </w:t>
      </w:r>
      <w:r>
        <w:rPr>
          <w:rFonts w:hint="eastAsia"/>
          <w:rtl/>
        </w:rPr>
        <w:t>«</w:t>
      </w:r>
      <w:r>
        <w:rPr>
          <w:rFonts w:hint="cs"/>
          <w:rtl/>
        </w:rPr>
        <w:t>إنما هو بعرضية أن يوجد ...</w:t>
      </w:r>
      <w:r>
        <w:rPr>
          <w:rFonts w:hint="eastAsia"/>
          <w:rtl/>
        </w:rPr>
        <w:t>»</w:t>
      </w:r>
      <w:r>
        <w:rPr>
          <w:rFonts w:hint="cs"/>
          <w:rtl/>
        </w:rPr>
        <w:t xml:space="preserve"> (أو : ... بفرضية ...) معناه : أن المغصوب منه إذا أراد إبراء الغاصب، فإنه يعلم أن العين المغصوبة يحتمل أن يعرض لها عارض فتهلك، ومع علمه بهذا الاحتمال حصل منه الإبراء، فيكون الإبراء قد حصل في وقت يحتمل أن يعرض فيه الهلاك، ممّا يعني أن الهلاك له شبهة الوجود في حال الإبراء، وإذا كان الأمر كذلك فإن الغاصب ينتقل من رد العين إلى ضمان القيمة، فإذا أبرأه المغصوب منه ينزّل هذا الإبراء على الإبراء من القيمة لا العين فيصح.</w:t>
      </w:r>
    </w:p>
    <w:p w:rsidR="00035BE3" w:rsidRPr="0023341A" w:rsidRDefault="00035BE3" w:rsidP="00C10469">
      <w:pPr>
        <w:pStyle w:val="a6"/>
        <w:ind w:left="422" w:firstLine="0"/>
        <w:rPr>
          <w:spacing w:val="-4"/>
          <w:rtl/>
        </w:rPr>
      </w:pPr>
      <w:r w:rsidRPr="0023341A">
        <w:rPr>
          <w:rFonts w:hint="cs"/>
          <w:spacing w:val="-4"/>
          <w:rtl/>
        </w:rPr>
        <w:t>وكما يقال هذا في القيمة في المثال الأول يقال أيضًا في المثال الثاني (وهو مثال الزكاة) فتجعل القيمة الواجبة في ذمة الغاصب دينًا عليه؛ وإذا كان هذا الدين يُنقص النصاب : تسقط عنه الزكاة -والله أعلم-.</w:t>
      </w:r>
    </w:p>
  </w:footnote>
  <w:footnote w:id="29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34/ب من (د).</w:t>
      </w:r>
    </w:p>
  </w:footnote>
  <w:footnote w:id="29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ساقطاً</w:t>
      </w:r>
      <w:r>
        <w:rPr>
          <w:rFonts w:hint="eastAsia"/>
          <w:rtl/>
        </w:rPr>
        <w:t>»</w:t>
      </w:r>
      <w:r>
        <w:rPr>
          <w:rFonts w:hint="cs"/>
          <w:rtl/>
        </w:rPr>
        <w:t>. والصحيح ما تمَّ إثباته من (ب) و(جـ).</w:t>
      </w:r>
    </w:p>
  </w:footnote>
  <w:footnote w:id="29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الثانية</w:t>
      </w:r>
      <w:r>
        <w:rPr>
          <w:rFonts w:hint="eastAsia"/>
          <w:rtl/>
        </w:rPr>
        <w:t>»</w:t>
      </w:r>
      <w:r>
        <w:rPr>
          <w:rFonts w:hint="cs"/>
          <w:rtl/>
        </w:rPr>
        <w:t>. والصحيح ما تمَّ إثباته من (ب)؛ لأن المسألة الثانية (وهي مسألة الزكاة) سبق أن أجاب عنها، والمسألة التي تليها هي مسألة الكفالة فتكون الثالثة.</w:t>
      </w:r>
    </w:p>
  </w:footnote>
  <w:footnote w:id="29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في هامش (أ) بيان ما يعود إليه ضمير الهاء في (منها) وهو الأعيان المضمونة، إذ جاء فيه : </w:t>
      </w:r>
      <w:r>
        <w:rPr>
          <w:rFonts w:hint="eastAsia"/>
          <w:rtl/>
        </w:rPr>
        <w:t>«</w:t>
      </w:r>
      <w:r>
        <w:rPr>
          <w:rFonts w:hint="cs"/>
          <w:rtl/>
        </w:rPr>
        <w:t>أي أعيان المضمونة</w:t>
      </w:r>
      <w:r>
        <w:rPr>
          <w:rFonts w:hint="eastAsia"/>
          <w:rtl/>
        </w:rPr>
        <w:t>»</w:t>
      </w:r>
      <w:r>
        <w:rPr>
          <w:rFonts w:hint="cs"/>
          <w:rtl/>
        </w:rPr>
        <w:t>.</w:t>
      </w:r>
    </w:p>
  </w:footnote>
  <w:footnote w:id="29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36/أ من (ب).</w:t>
      </w:r>
    </w:p>
  </w:footnote>
  <w:footnote w:id="29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ص371 (ل16/ب)، قاعدة 36.</w:t>
      </w:r>
    </w:p>
  </w:footnote>
  <w:footnote w:id="29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معناه في عدد من كتب الفقه الحنفي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الأشباه والنظائر لابن نجيم، ص374 - حيث جاء فيه : </w:t>
      </w:r>
      <w:r>
        <w:rPr>
          <w:rFonts w:hint="eastAsia"/>
          <w:rtl/>
        </w:rPr>
        <w:t>«</w:t>
      </w:r>
      <w:r>
        <w:rPr>
          <w:rFonts w:hint="cs"/>
          <w:rtl/>
        </w:rPr>
        <w:t xml:space="preserve">قال في (الهداية): والكتاب كالخطاب، </w:t>
      </w:r>
      <w:r>
        <w:rPr>
          <w:rFonts w:hint="cs"/>
          <w:b/>
          <w:bCs/>
          <w:rtl/>
        </w:rPr>
        <w:t>وكذا الإرسال</w:t>
      </w:r>
      <w:r>
        <w:rPr>
          <w:rFonts w:hint="cs"/>
          <w:rtl/>
        </w:rPr>
        <w:t xml:space="preserve"> ...</w:t>
      </w:r>
      <w:r>
        <w:rPr>
          <w:rFonts w:hint="eastAsia"/>
          <w:rtl/>
        </w:rPr>
        <w:t>»</w:t>
      </w:r>
      <w:r>
        <w:rPr>
          <w:rFonts w:hint="cs"/>
          <w:rtl/>
        </w:rPr>
        <w:t xml:space="preserve">-؛ قواعد الفقه للمجدّدي، ص91، قاعدة 182- ولفظه : </w:t>
      </w:r>
      <w:r>
        <w:rPr>
          <w:rFonts w:hint="eastAsia"/>
          <w:rtl/>
        </w:rPr>
        <w:t>«</w:t>
      </w:r>
      <w:r>
        <w:rPr>
          <w:rFonts w:hint="cs"/>
          <w:rtl/>
        </w:rPr>
        <w:t>عبارة الرسول كعبارة المرسل</w:t>
      </w:r>
      <w:r>
        <w:rPr>
          <w:rFonts w:hint="eastAsia"/>
          <w:rtl/>
        </w:rPr>
        <w:t>»</w:t>
      </w:r>
      <w:r>
        <w:rPr>
          <w:rFonts w:hint="cs"/>
          <w:rtl/>
        </w:rPr>
        <w:t>-؛ القواعد والضوابط المستخلصة من التحرير، ص490، وأحال إلى التحرير، 4/10 - ولفظه كاللفظ السابق-.</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المبسوط، 9/18، 19/82، 25/31، 27/40؛ تحفة الفقهاء، 2/32؛ الهداية وشرحاها : العناية وفتح القدير، 6/254- 255، 7/292، 356-357؛ الدّرر شرح الغرر، 2/144، 292- وجلّ ما سيذكره المؤلف في شرح القاعدة مذكور في الموضع الأول من الدرر-؛ ردّ الـمحتار لابن عابـدين، 4/552، 628؛ قرة عيون الأخيار، 11/359.</w:t>
      </w:r>
    </w:p>
  </w:footnote>
  <w:footnote w:id="29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 xml:space="preserve"> هكذا </w:t>
      </w:r>
      <w:r>
        <w:rPr>
          <w:rFonts w:hint="eastAsia"/>
          <w:rtl/>
        </w:rPr>
        <w:t>»</w:t>
      </w:r>
      <w:r>
        <w:rPr>
          <w:rFonts w:hint="cs"/>
          <w:rtl/>
        </w:rPr>
        <w:t>. والصحيح ما تمَّ إثباته من (ب) و(جـ)؛ وهو الموافق للدّرر.</w:t>
      </w:r>
    </w:p>
  </w:footnote>
  <w:footnote w:id="29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ذهب</w:t>
      </w:r>
      <w:r>
        <w:rPr>
          <w:rFonts w:hint="eastAsia"/>
          <w:rtl/>
        </w:rPr>
        <w:t>»</w:t>
      </w:r>
      <w:r>
        <w:rPr>
          <w:rFonts w:hint="cs"/>
          <w:rtl/>
        </w:rPr>
        <w:t>، وقبلها بياض يسير بقدر كلمة.</w:t>
      </w:r>
    </w:p>
  </w:footnote>
  <w:footnote w:id="29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 xml:space="preserve"> أي المشتري</w:t>
      </w:r>
      <w:r>
        <w:rPr>
          <w:rFonts w:hint="eastAsia"/>
          <w:rtl/>
        </w:rPr>
        <w:t>»</w:t>
      </w:r>
      <w:r>
        <w:rPr>
          <w:rFonts w:hint="cs"/>
          <w:rtl/>
        </w:rPr>
        <w:t>.</w:t>
      </w:r>
    </w:p>
  </w:footnote>
  <w:footnote w:id="29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جاءت هذه الكلمة مفسرة في الدّرر بـ </w:t>
      </w:r>
      <w:r>
        <w:rPr>
          <w:rFonts w:hint="eastAsia"/>
          <w:rtl/>
        </w:rPr>
        <w:t>«</w:t>
      </w:r>
      <w:r>
        <w:rPr>
          <w:rFonts w:hint="cs"/>
          <w:rtl/>
        </w:rPr>
        <w:t>مجلس بلوغ الكتاب أو الرسالة</w:t>
      </w:r>
      <w:r>
        <w:rPr>
          <w:rFonts w:hint="eastAsia"/>
          <w:rtl/>
        </w:rPr>
        <w:t>»</w:t>
      </w:r>
      <w:r>
        <w:rPr>
          <w:rFonts w:hint="cs"/>
          <w:rtl/>
        </w:rPr>
        <w:t>.</w:t>
      </w:r>
    </w:p>
  </w:footnote>
  <w:footnote w:id="29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2/144، حيث إن العبارة فيهما متقاربة جدًّا، إلا أن صاحب الدرر أدرج مثالين معًا أحدهما يتعلق بالرسالة والثاني بالكتابة، كما هو واضح في الهامش السابق؛ وانظر أيضًا : المبسوط، 19/82، تحفة الفقهاء، 2/32؛ الهداية وشرحيها العناية وفتح القدير، 6/254-255.</w:t>
      </w:r>
    </w:p>
  </w:footnote>
  <w:footnote w:id="29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الضابط بهذا اللفظ أو نحوه في بعض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الأشباه والنظائر لابن نجيم، ص177 - فقد ورد عنه ضمن عبارة منقولة عن الأصحاب، وهذه العبارة سبق أن ذكرها المؤلف، ص684 (ل50/ب)-.</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 xml:space="preserve">المبسوط، 13/34، 102، 104؛ المغني، 6/226؛ المنهاج وشرحه: مغني المحتاج، 2/62؛ تبيين </w:t>
      </w:r>
      <w:r w:rsidRPr="008C2186">
        <w:rPr>
          <w:rFonts w:hint="cs"/>
          <w:spacing w:val="2"/>
          <w:rtl/>
        </w:rPr>
        <w:t>الحقائق، 4/35؛ العناية وفتح القدير، 6/367، 368- وجلّ ما سيذكره المؤلف مذكور في العناية-</w:t>
      </w:r>
      <w:r>
        <w:rPr>
          <w:rFonts w:hint="cs"/>
          <w:rtl/>
        </w:rPr>
        <w:t>؛ البحر الرائق، 6/57.</w:t>
      </w:r>
    </w:p>
  </w:footnote>
  <w:footnote w:id="29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55/ب من (أ).</w:t>
      </w:r>
    </w:p>
  </w:footnote>
  <w:footnote w:id="29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كالكمال</w:t>
      </w:r>
      <w:r>
        <w:rPr>
          <w:rFonts w:hint="eastAsia"/>
          <w:rtl/>
        </w:rPr>
        <w:t>»</w:t>
      </w:r>
      <w:r>
        <w:rPr>
          <w:rFonts w:hint="cs"/>
          <w:rtl/>
        </w:rPr>
        <w:t>.</w:t>
      </w:r>
    </w:p>
  </w:footnote>
  <w:footnote w:id="29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تذكير الفعل هنا على تأويل كون الفاعل ضميرًا مستترًا يعود إلى وجود الزيادة، والتقدير : لا يمنع وجودُ الزيادة المتصلة المتولدة من المبيع الرَّدَّ.</w:t>
      </w:r>
    </w:p>
    <w:p w:rsidR="00035BE3" w:rsidRDefault="00035BE3" w:rsidP="00C10469">
      <w:pPr>
        <w:pStyle w:val="a6"/>
        <w:ind w:left="422" w:firstLine="0"/>
        <w:rPr>
          <w:rtl/>
        </w:rPr>
      </w:pPr>
      <w:r>
        <w:rPr>
          <w:rFonts w:hint="cs"/>
          <w:rtl/>
        </w:rPr>
        <w:t xml:space="preserve">علمًا بأن الفعل جاء مؤنثًا في مصدر هذه العبارة (وهو العناية)، وذلك لأن الضمير يعود إلى مؤنث، وهو قوله : </w:t>
      </w:r>
      <w:r>
        <w:rPr>
          <w:rFonts w:hint="eastAsia"/>
          <w:rtl/>
        </w:rPr>
        <w:t>«</w:t>
      </w:r>
      <w:r>
        <w:rPr>
          <w:rFonts w:hint="cs"/>
          <w:rtl/>
        </w:rPr>
        <w:t>فالمتّصلة</w:t>
      </w:r>
      <w:r>
        <w:rPr>
          <w:rFonts w:hint="eastAsia"/>
          <w:rtl/>
        </w:rPr>
        <w:t>»</w:t>
      </w:r>
      <w:r>
        <w:rPr>
          <w:rFonts w:hint="cs"/>
          <w:rtl/>
        </w:rPr>
        <w:t>.</w:t>
      </w:r>
    </w:p>
  </w:footnote>
  <w:footnote w:id="29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ظاهر الرواية</w:t>
      </w:r>
      <w:r>
        <w:rPr>
          <w:rFonts w:hint="cs"/>
          <w:rtl/>
        </w:rPr>
        <w:t xml:space="preserve"> : بيّن المراد بهذا المصطلح صاحبُ (مفتاح السعادة) -2/237- فقال : </w:t>
      </w:r>
      <w:r>
        <w:rPr>
          <w:rFonts w:hint="eastAsia"/>
          <w:rtl/>
        </w:rPr>
        <w:t>«</w:t>
      </w:r>
      <w:r>
        <w:rPr>
          <w:rFonts w:hint="cs"/>
          <w:rtl/>
        </w:rPr>
        <w:t>المراد بظاهر الرواية، وبالأصول في قولهم : هذا في ظاهر الرواية، وهو ظاهر المذهب، وهو موافق لرواية الأصول : هو الكتب الستة المشهورة للإمام محمد : الجامع الصغير، والجامع الكبير، والسّيَر الصغير، والسير الكبير، والمبسوط، والزيادات</w:t>
      </w:r>
      <w:r>
        <w:rPr>
          <w:rFonts w:hint="eastAsia"/>
          <w:rtl/>
        </w:rPr>
        <w:t>»</w:t>
      </w:r>
      <w:r>
        <w:rPr>
          <w:rFonts w:hint="cs"/>
          <w:rtl/>
        </w:rPr>
        <w:t>.</w:t>
      </w:r>
    </w:p>
    <w:p w:rsidR="00035BE3" w:rsidRDefault="00035BE3" w:rsidP="00C10469">
      <w:pPr>
        <w:pStyle w:val="a6"/>
        <w:ind w:left="422" w:firstLine="0"/>
        <w:rPr>
          <w:rtl/>
        </w:rPr>
      </w:pPr>
      <w:r>
        <w:rPr>
          <w:rFonts w:hint="cs"/>
          <w:rtl/>
        </w:rPr>
        <w:t>وانظر : المذهب عند الحنفية للدكتور محمد إبراهيم، ص69 (وهو البحث الثاني في كتاب : دراسات في الفقه الإسلامي)؛ المذهب الحنفي لأحمد النقيب، 1/283.</w:t>
      </w:r>
    </w:p>
  </w:footnote>
  <w:footnote w:id="29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ذُكر في هامش (4) من الصفحة السابقة يمكن أن يذكر هنا أيضًا.</w:t>
      </w:r>
    </w:p>
  </w:footnote>
  <w:footnote w:id="29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ذكر في الهامش (4) من الصفحة السابقة يمكن أن يقال هنا أيضًا.</w:t>
      </w:r>
    </w:p>
  </w:footnote>
  <w:footnote w:id="29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وتسلم</w:t>
      </w:r>
      <w:r>
        <w:rPr>
          <w:rFonts w:hint="eastAsia"/>
          <w:rtl/>
        </w:rPr>
        <w:t>»</w:t>
      </w:r>
      <w:r>
        <w:rPr>
          <w:rFonts w:hint="cs"/>
          <w:rtl/>
        </w:rPr>
        <w:t>؛ وفاقًا للعناية. وكلا اللفظين صحيح؛ لأن (يسلم) يمكن أن يكون فعلاً مبنيًّا للمعلوم فيكون مذكّرًا باعتبار أن الفاعل يعود إلى مذكر وهو البائع. كما يمكن أن يكون مبنيًّا للمجهول فيكون مؤنثًا؛ ليطابق نائب الفاعل وهو (الزيادة).</w:t>
      </w:r>
    </w:p>
  </w:footnote>
  <w:footnote w:id="29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43/أ من (جـ).</w:t>
      </w:r>
    </w:p>
  </w:footnote>
  <w:footnote w:id="29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لما </w:t>
      </w:r>
      <w:r>
        <w:rPr>
          <w:rFonts w:hint="eastAsia"/>
          <w:rtl/>
        </w:rPr>
        <w:t>»</w:t>
      </w:r>
      <w:r>
        <w:rPr>
          <w:rFonts w:hint="cs"/>
          <w:rtl/>
        </w:rPr>
        <w:t xml:space="preserve"> ساقطة من (ب).</w:t>
      </w:r>
    </w:p>
  </w:footnote>
  <w:footnote w:id="29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6/367 - مع زيادة في (العناية) لبعض الألفاظ-؛ وانظر : المبسوط، 13/104؛ المغني، 6/226؛ تبيين الحقائق، 4/35؛ فتح القدير، 6/368؛ البحر الرائق، 6/55-57؛ الفتاوى الهندية، 3/148.</w:t>
      </w:r>
    </w:p>
  </w:footnote>
  <w:footnote w:id="29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ص256 (ل5/أ).</w:t>
      </w:r>
    </w:p>
  </w:footnote>
  <w:footnote w:id="2995">
    <w:p w:rsidR="00035BE3" w:rsidRDefault="00035BE3" w:rsidP="00C10469">
      <w:pPr>
        <w:pStyle w:val="a8"/>
        <w:bidi/>
        <w:spacing w:line="440" w:lineRule="exact"/>
        <w:ind w:left="422" w:right="0"/>
        <w:rPr>
          <w:rtl/>
        </w:rPr>
      </w:pPr>
      <w:r w:rsidRPr="00143570">
        <w:rPr>
          <w:rFonts w:hint="cs"/>
          <w:vertAlign w:val="superscript"/>
          <w:rtl/>
        </w:rPr>
        <w:t xml:space="preserve"> (</w:t>
      </w:r>
      <w:r>
        <w:rPr>
          <w:rStyle w:val="a7"/>
        </w:rPr>
        <w:footnoteRef/>
      </w:r>
      <w:r>
        <w:rPr>
          <w:rFonts w:hint="cs"/>
          <w:vertAlign w:val="superscript"/>
          <w:rtl/>
        </w:rPr>
        <w:t>)</w:t>
      </w:r>
      <w:r>
        <w:rPr>
          <w:rFonts w:hint="cs"/>
          <w:rtl/>
        </w:rPr>
        <w:t xml:space="preserve">  </w:t>
      </w:r>
      <w:r>
        <w:rPr>
          <w:rFonts w:hint="cs"/>
          <w:b/>
          <w:bCs/>
          <w:rtl/>
        </w:rPr>
        <w:t>معنى هذه القاعدة</w:t>
      </w:r>
      <w:r>
        <w:rPr>
          <w:rFonts w:hint="cs"/>
          <w:rtl/>
        </w:rPr>
        <w:t xml:space="preserve"> : </w:t>
      </w:r>
      <w:r>
        <w:rPr>
          <w:rFonts w:hint="eastAsia"/>
          <w:rtl/>
        </w:rPr>
        <w:t>«</w:t>
      </w:r>
      <w:r>
        <w:rPr>
          <w:rFonts w:hint="cs"/>
          <w:rtl/>
        </w:rPr>
        <w:t>أن ما يقبل السقوط من الحقوق، إذ اسقط منه شيء بـمُسقِط : فإنه لا يعود بعد سقوطه</w:t>
      </w:r>
      <w:r>
        <w:rPr>
          <w:rFonts w:hint="eastAsia"/>
          <w:rtl/>
        </w:rPr>
        <w:t>»</w:t>
      </w:r>
      <w:r>
        <w:rPr>
          <w:rFonts w:hint="cs"/>
          <w:rtl/>
        </w:rPr>
        <w:t>- قاله الزرقا، في شرح القواعد-.</w:t>
      </w:r>
    </w:p>
    <w:p w:rsidR="00035BE3" w:rsidRDefault="00035BE3" w:rsidP="00C10469">
      <w:pPr>
        <w:pStyle w:val="a6"/>
        <w:spacing w:line="440" w:lineRule="exact"/>
        <w:ind w:left="422" w:firstLine="0"/>
        <w:rPr>
          <w:rtl/>
        </w:rPr>
      </w:pPr>
      <w:r>
        <w:rPr>
          <w:rFonts w:hint="cs"/>
          <w:rtl/>
        </w:rPr>
        <w:t>وقد وردت هذه القاعدة بلفظها أو نحوه في كثير من كتب الفقه الحنفي وقواعده :</w:t>
      </w:r>
    </w:p>
    <w:p w:rsidR="00035BE3" w:rsidRDefault="00035BE3" w:rsidP="00C10469">
      <w:pPr>
        <w:pStyle w:val="a6"/>
        <w:spacing w:line="440" w:lineRule="exact"/>
        <w:ind w:left="422" w:firstLine="0"/>
        <w:rPr>
          <w:b/>
          <w:bCs/>
          <w:rtl/>
        </w:rPr>
      </w:pPr>
      <w:r>
        <w:rPr>
          <w:rFonts w:hint="cs"/>
          <w:b/>
          <w:bCs/>
          <w:rtl/>
        </w:rPr>
        <w:t>فمن كتب القواعد :</w:t>
      </w:r>
    </w:p>
    <w:p w:rsidR="00035BE3" w:rsidRDefault="00035BE3" w:rsidP="00C10469">
      <w:pPr>
        <w:pStyle w:val="a6"/>
        <w:spacing w:line="440" w:lineRule="exact"/>
        <w:ind w:left="422" w:firstLine="0"/>
        <w:rPr>
          <w:rtl/>
        </w:rPr>
      </w:pPr>
      <w:r>
        <w:rPr>
          <w:rFonts w:hint="cs"/>
          <w:rtl/>
        </w:rPr>
        <w:t xml:space="preserve">الأشباه والنظائر لابن نجيم، ص340، 350، 352؛ قواعد الفقه له أيضًا، ص244، قاعدة 331؛ مجامع الحقائق (الخاتمة)، ص45؛ شرح العلائي لقواعد الخادمي، ل23/أ؛ منافع الدقائق، ص321؛ مجلة الأحكام العدلية، مادة 51- ولفظها : </w:t>
      </w:r>
      <w:r>
        <w:rPr>
          <w:rFonts w:hint="eastAsia"/>
          <w:rtl/>
        </w:rPr>
        <w:t>«</w:t>
      </w:r>
      <w:r>
        <w:rPr>
          <w:rFonts w:hint="cs"/>
          <w:rtl/>
        </w:rPr>
        <w:t>الساقط لا يعود كما أن المعدوم لا يعود</w:t>
      </w:r>
      <w:r>
        <w:rPr>
          <w:rFonts w:hint="eastAsia"/>
          <w:rtl/>
        </w:rPr>
        <w:t>»</w:t>
      </w:r>
      <w:r>
        <w:rPr>
          <w:rFonts w:hint="cs"/>
          <w:rtl/>
        </w:rPr>
        <w:t xml:space="preserve">-؛ وشرحها لسليم رستم، 1/40؛ ولعلي حيدر، 1/48؛ وللأتاسي، 1/118؛ وشرح قواعدها للزرقا، ص265؛ قواعد الفقه للمجدّدي، ص83، قاعدة 144؛ المدخل الفقهي العام، 2/1024، فقرة 642؛ القواعد والضوابط المستخلصة من التحرير، ص117، 488 - ولفظه الثاني كلفظ المؤلف أما الأول فهو: </w:t>
      </w:r>
      <w:r>
        <w:rPr>
          <w:rFonts w:hint="eastAsia"/>
          <w:rtl/>
        </w:rPr>
        <w:t>«</w:t>
      </w:r>
      <w:r>
        <w:rPr>
          <w:rFonts w:hint="cs"/>
          <w:rtl/>
        </w:rPr>
        <w:t>الساقط متلاشٍ</w:t>
      </w:r>
      <w:r>
        <w:rPr>
          <w:rFonts w:hint="eastAsia"/>
          <w:rtl/>
        </w:rPr>
        <w:t>»</w:t>
      </w:r>
      <w:r>
        <w:rPr>
          <w:rFonts w:hint="cs"/>
          <w:rtl/>
        </w:rPr>
        <w:t>-؛ القواعد الفقهية للدكتور علي الندوي، ص410؛ الوجيز، ص315؛ المدخل إلى القواعد الفقهية الكلية، ص133؛ المبادئ الفقهية، ص24؛ القواعد الفقهية للدعّاس، ص89؛ وللدكتور محمد الزحيلي، ص83.</w:t>
      </w:r>
    </w:p>
    <w:p w:rsidR="00035BE3" w:rsidRDefault="00035BE3" w:rsidP="00C10469">
      <w:pPr>
        <w:pStyle w:val="a6"/>
        <w:spacing w:line="440" w:lineRule="exact"/>
        <w:ind w:left="422" w:firstLine="0"/>
        <w:rPr>
          <w:b/>
          <w:bCs/>
          <w:rtl/>
        </w:rPr>
      </w:pPr>
      <w:r>
        <w:rPr>
          <w:rFonts w:hint="cs"/>
          <w:b/>
          <w:bCs/>
          <w:rtl/>
        </w:rPr>
        <w:t>ومن كتب الفقه :</w:t>
      </w:r>
    </w:p>
    <w:p w:rsidR="00035BE3" w:rsidRDefault="00035BE3" w:rsidP="00C10469">
      <w:pPr>
        <w:pStyle w:val="a6"/>
        <w:spacing w:line="440" w:lineRule="exact"/>
        <w:ind w:left="422" w:firstLine="0"/>
        <w:rPr>
          <w:spacing w:val="10"/>
          <w:rtl/>
        </w:rPr>
      </w:pPr>
      <w:r>
        <w:rPr>
          <w:rFonts w:hint="cs"/>
          <w:spacing w:val="10"/>
          <w:rtl/>
        </w:rPr>
        <w:t>المبسوط، 25/149؛ بدائع الصنائع، 5/249؛ الهداية وشروحها : العناية وفتح القدير أو نتائج الأفكار، 4/285، 6/75، 354، 7/193، 8/19، 9/283، 10/417؛ الاختيار لتعليل المختار، 1/64؛ النهاية للسغناقي، ل230/أ؛ تبيـين الحقائـق، 4/341؛ الـدّرر شرح الغرر، 2/260، 341، 427؛ البحر الرائـق، 3/306، 4/126، 183،  6/181،  7/151، 223؛ رد المحتار، 2/529، 3/267، 5/258، 7/165،  8/338، 12/85، 279، 283، 284.</w:t>
      </w:r>
    </w:p>
  </w:footnote>
  <w:footnote w:id="299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زيادة (واو) قبل (المراد).</w:t>
      </w:r>
    </w:p>
  </w:footnote>
  <w:footnote w:id="299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زيادة من (جـ)، وكذلك من (هـ) و(و) إلا أن كلمة </w:t>
      </w:r>
      <w:r>
        <w:rPr>
          <w:rFonts w:hint="eastAsia"/>
          <w:rtl/>
        </w:rPr>
        <w:t>«</w:t>
      </w:r>
      <w:r>
        <w:rPr>
          <w:rFonts w:hint="cs"/>
          <w:rtl/>
        </w:rPr>
        <w:t>مقتضي</w:t>
      </w:r>
      <w:r>
        <w:rPr>
          <w:rFonts w:hint="eastAsia"/>
          <w:rtl/>
        </w:rPr>
        <w:t>»</w:t>
      </w:r>
      <w:r>
        <w:rPr>
          <w:rFonts w:hint="cs"/>
          <w:rtl/>
        </w:rPr>
        <w:t xml:space="preserve"> ساقطة منهما. وهذه الزيادة لا يستقيم المعنى بدونها.</w:t>
      </w:r>
    </w:p>
  </w:footnote>
  <w:footnote w:id="2998">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يشير إلى قاعدة سبق الحديث عنها استقلالاً، وهي : </w:t>
      </w:r>
      <w:r>
        <w:rPr>
          <w:rFonts w:hint="eastAsia"/>
          <w:spacing w:val="4"/>
          <w:rtl/>
        </w:rPr>
        <w:t>«</w:t>
      </w:r>
      <w:r>
        <w:rPr>
          <w:rFonts w:hint="cs"/>
          <w:spacing w:val="4"/>
          <w:rtl/>
        </w:rPr>
        <w:t>إذا زال المانع عاد الممنوع</w:t>
      </w:r>
      <w:r>
        <w:rPr>
          <w:rFonts w:hint="eastAsia"/>
          <w:spacing w:val="4"/>
          <w:rtl/>
        </w:rPr>
        <w:t>»</w:t>
      </w:r>
      <w:r>
        <w:rPr>
          <w:rFonts w:hint="cs"/>
          <w:spacing w:val="4"/>
          <w:rtl/>
        </w:rPr>
        <w:t>، وذلك ص277 (ل7/أ)، قاعدة 13.</w:t>
      </w:r>
    </w:p>
  </w:footnote>
  <w:footnote w:id="29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يعود</w:t>
      </w:r>
      <w:r>
        <w:rPr>
          <w:rFonts w:hint="eastAsia"/>
          <w:rtl/>
        </w:rPr>
        <w:t>»</w:t>
      </w:r>
      <w:r>
        <w:rPr>
          <w:rFonts w:hint="cs"/>
          <w:rtl/>
        </w:rPr>
        <w:t>. والصحيح ما تمَّ إثباته من (ب).</w:t>
      </w:r>
    </w:p>
  </w:footnote>
  <w:footnote w:id="30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التقدير: إنما لا يعمل مقتضي النفقة (وهو الزوجية) ...</w:t>
      </w:r>
    </w:p>
    <w:p w:rsidR="00035BE3" w:rsidRDefault="00035BE3" w:rsidP="00C10469">
      <w:pPr>
        <w:pStyle w:val="a6"/>
        <w:ind w:left="422" w:firstLine="0"/>
        <w:rPr>
          <w:rtl/>
        </w:rPr>
      </w:pPr>
      <w:r>
        <w:rPr>
          <w:rFonts w:hint="cs"/>
          <w:rtl/>
        </w:rPr>
        <w:t xml:space="preserve">وقد جاء في (ب) : </w:t>
      </w:r>
      <w:r>
        <w:rPr>
          <w:rFonts w:hint="eastAsia"/>
          <w:rtl/>
        </w:rPr>
        <w:t>«</w:t>
      </w:r>
      <w:r>
        <w:rPr>
          <w:rFonts w:hint="cs"/>
          <w:rtl/>
        </w:rPr>
        <w:t>تعمل</w:t>
      </w:r>
      <w:r>
        <w:rPr>
          <w:rFonts w:hint="eastAsia"/>
          <w:rtl/>
        </w:rPr>
        <w:t>»</w:t>
      </w:r>
      <w:r>
        <w:rPr>
          <w:rFonts w:hint="cs"/>
          <w:rtl/>
        </w:rPr>
        <w:t>؛ فيكون الفاعل ضميرًا مستـتـرًا تقديره هي يعود إلى الزوجة.</w:t>
      </w:r>
    </w:p>
  </w:footnote>
  <w:footnote w:id="30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56/أ من (أ).</w:t>
      </w:r>
    </w:p>
  </w:footnote>
  <w:footnote w:id="30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ما سبق ذكره من شرح القاعدة في : الأشباه والنظائر لابن نجيم، ص352-353؛ وانظر مثال النشوز في : البحر الرائق ، 4/183، كما ذكره ابن نجيم في أثناء شرحه للقاعدة في كتابه : قواعد الفقه، ص 245.</w:t>
      </w:r>
    </w:p>
  </w:footnote>
  <w:footnote w:id="30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إسقاطه </w:t>
      </w:r>
      <w:r>
        <w:rPr>
          <w:rFonts w:hint="eastAsia"/>
          <w:rtl/>
        </w:rPr>
        <w:t>»</w:t>
      </w:r>
      <w:r>
        <w:rPr>
          <w:rFonts w:hint="cs"/>
          <w:rtl/>
        </w:rPr>
        <w:t xml:space="preserve"> .والصحيح ما تمَّ إثباته من باقي النسخ.</w:t>
      </w:r>
    </w:p>
  </w:footnote>
  <w:footnote w:id="30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35/أ من (د).</w:t>
      </w:r>
    </w:p>
  </w:footnote>
  <w:footnote w:id="30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وشرحها : نتائج الأفكار، 10/417-418؛ الدّرر شرح الغرر، 2/427؛ كما ورد تخريج هذا الفرع على القاعدة في : شرح العلائي لقواعد الخادمي، ل23/أ؛ منافع الدقائق، ص321.</w:t>
      </w:r>
    </w:p>
  </w:footnote>
  <w:footnote w:id="30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التي بيّنها المؤلف من جهة : معناها، ودليلها، وشرطها، وأمثلتها.</w:t>
      </w:r>
    </w:p>
    <w:p w:rsidR="00035BE3" w:rsidRDefault="00035BE3" w:rsidP="00C10469">
      <w:pPr>
        <w:pStyle w:val="a6"/>
        <w:ind w:left="422" w:firstLine="0"/>
        <w:rPr>
          <w:rtl/>
        </w:rPr>
      </w:pPr>
      <w:r>
        <w:rPr>
          <w:rFonts w:hint="cs"/>
          <w:rtl/>
        </w:rPr>
        <w:t>وهي من القواعد الأصولية التي يذكرها الأصوليون في معرض حديثهم عن طرق معرفة المجاز، وللحنفية منهج مخالف للجمهور في حصر طرق ذلك :</w:t>
      </w:r>
    </w:p>
    <w:p w:rsidR="00035BE3" w:rsidRDefault="00035BE3" w:rsidP="00C10469">
      <w:pPr>
        <w:pStyle w:val="a6"/>
        <w:ind w:left="422" w:firstLine="0"/>
        <w:rPr>
          <w:rtl/>
        </w:rPr>
      </w:pPr>
      <w:r>
        <w:rPr>
          <w:rtl/>
        </w:rPr>
        <w:t>•</w:t>
      </w:r>
      <w:r>
        <w:rPr>
          <w:rFonts w:hint="cs"/>
          <w:rtl/>
        </w:rPr>
        <w:t xml:space="preserve"> فالجمهور يذكرون لذلك طرقًا كثيرة، منها : </w:t>
      </w:r>
      <w:r>
        <w:rPr>
          <w:rFonts w:hint="eastAsia"/>
          <w:rtl/>
        </w:rPr>
        <w:t>«</w:t>
      </w:r>
      <w:r>
        <w:rPr>
          <w:rFonts w:hint="cs"/>
          <w:rtl/>
        </w:rPr>
        <w:t>...إطلاق السبب على المسبّب وبالعكس</w:t>
      </w:r>
      <w:r>
        <w:rPr>
          <w:rFonts w:hint="eastAsia"/>
          <w:rtl/>
        </w:rPr>
        <w:t>»</w:t>
      </w:r>
      <w:r>
        <w:rPr>
          <w:rFonts w:hint="cs"/>
          <w:rtl/>
        </w:rPr>
        <w:t>- وهذا تعبير ابن قدامة في الروضة-.</w:t>
      </w:r>
    </w:p>
    <w:p w:rsidR="00035BE3" w:rsidRDefault="00035BE3" w:rsidP="00C10469">
      <w:pPr>
        <w:pStyle w:val="a6"/>
        <w:ind w:left="422" w:firstLine="0"/>
        <w:rPr>
          <w:rtl/>
        </w:rPr>
      </w:pPr>
      <w:r>
        <w:rPr>
          <w:rtl/>
        </w:rPr>
        <w:t>•</w:t>
      </w:r>
      <w:r>
        <w:rPr>
          <w:rFonts w:hint="cs"/>
          <w:rtl/>
        </w:rPr>
        <w:t xml:space="preserve"> بينما عامة الحنفية يحصرون ذلك في طريقتين، ويرون أن ما عداهما يؤول إليهما غالباً، ومما يعود إلى أحد الطريقين : </w:t>
      </w:r>
      <w:r>
        <w:rPr>
          <w:rFonts w:hint="eastAsia"/>
          <w:rtl/>
        </w:rPr>
        <w:t>«</w:t>
      </w:r>
      <w:r>
        <w:rPr>
          <w:rFonts w:hint="cs"/>
          <w:rtl/>
        </w:rPr>
        <w:t>استعارة السبب للمسبَّب دون عكسه</w:t>
      </w:r>
      <w:r>
        <w:rPr>
          <w:rFonts w:hint="eastAsia"/>
          <w:rtl/>
        </w:rPr>
        <w:t>»</w:t>
      </w:r>
      <w:r>
        <w:rPr>
          <w:rFonts w:hint="cs"/>
          <w:rtl/>
        </w:rPr>
        <w:t>، وهذا ما يحكيه لفظ القاعدة، والنص المذكور هو تعبير صاحب (المغني) الذي يعّد كتابه مع شرحه هما المصدران الرئيسان للمؤلف في هذه القاعدة.</w:t>
      </w:r>
    </w:p>
    <w:p w:rsidR="00035BE3" w:rsidRDefault="00035BE3" w:rsidP="00C10469">
      <w:pPr>
        <w:pStyle w:val="a6"/>
        <w:ind w:left="422" w:firstLine="0"/>
        <w:rPr>
          <w:rtl/>
        </w:rPr>
      </w:pPr>
      <w:r>
        <w:rPr>
          <w:rFonts w:hint="cs"/>
          <w:rtl/>
        </w:rPr>
        <w:t>وحيث إن المؤلف عرض القاعدة على طريقة الحنفية : فمن المناسب إيضاح ما ذكره المؤلف ببيان خلاصة ما ذكروه في طريق معرفة المجاز :</w:t>
      </w:r>
    </w:p>
    <w:p w:rsidR="00035BE3" w:rsidRDefault="00035BE3" w:rsidP="00C10469">
      <w:pPr>
        <w:pStyle w:val="a6"/>
        <w:ind w:left="422" w:firstLine="0"/>
        <w:rPr>
          <w:rtl/>
        </w:rPr>
      </w:pPr>
      <w:r>
        <w:rPr>
          <w:rFonts w:hint="cs"/>
          <w:rtl/>
        </w:rPr>
        <w:t>إذْ يرون أن طريق معرفة المجاز الوقوف على مذهب العرب في الاستعارة دون السماع، وطريق الاستعارة عند العرب الاتصال، والاتصال بين الشيئين يكون صورة وذاتًا، أو معنى.</w:t>
      </w:r>
    </w:p>
    <w:p w:rsidR="00035BE3" w:rsidRDefault="00035BE3" w:rsidP="00C10469">
      <w:pPr>
        <w:pStyle w:val="a6"/>
        <w:spacing w:line="264" w:lineRule="auto"/>
        <w:ind w:left="420" w:firstLine="0"/>
        <w:rPr>
          <w:rtl/>
        </w:rPr>
      </w:pPr>
      <w:r>
        <w:rPr>
          <w:rFonts w:hint="cs"/>
          <w:rtl/>
        </w:rPr>
        <w:t>فسلكوا في الأسباب الشرعية والعلل هذين الطريقين في الاستعارة وقالوا : إن الاتصال في الشرع نوعان أيضًا :</w:t>
      </w:r>
    </w:p>
    <w:p w:rsidR="00035BE3" w:rsidRDefault="00035BE3" w:rsidP="00C10469">
      <w:pPr>
        <w:pStyle w:val="a6"/>
        <w:spacing w:line="264" w:lineRule="auto"/>
        <w:ind w:left="420" w:firstLine="0"/>
        <w:rPr>
          <w:rtl/>
        </w:rPr>
      </w:pPr>
      <w:r>
        <w:rPr>
          <w:rFonts w:hint="cs"/>
          <w:b/>
          <w:bCs/>
          <w:rtl/>
        </w:rPr>
        <w:t>أحدهما</w:t>
      </w:r>
      <w:r>
        <w:rPr>
          <w:rFonts w:hint="cs"/>
          <w:rtl/>
        </w:rPr>
        <w:t xml:space="preserve"> : الاتصال من حيث السببية </w:t>
      </w:r>
      <w:r>
        <w:rPr>
          <w:rtl/>
        </w:rPr>
        <w:t>–</w:t>
      </w:r>
      <w:r>
        <w:rPr>
          <w:rFonts w:hint="cs"/>
          <w:rtl/>
        </w:rPr>
        <w:t xml:space="preserve"> وهذا نظير الاستعارة للاتصال صورة وذاتًا في المحسوسات-.</w:t>
      </w:r>
    </w:p>
    <w:p w:rsidR="00035BE3" w:rsidRDefault="00035BE3" w:rsidP="00C10469">
      <w:pPr>
        <w:pStyle w:val="a6"/>
        <w:spacing w:line="264" w:lineRule="auto"/>
        <w:ind w:left="420" w:firstLine="0"/>
        <w:rPr>
          <w:rtl/>
        </w:rPr>
      </w:pPr>
      <w:r>
        <w:rPr>
          <w:rFonts w:hint="cs"/>
          <w:b/>
          <w:bCs/>
          <w:rtl/>
        </w:rPr>
        <w:t>وثانيهما</w:t>
      </w:r>
      <w:r>
        <w:rPr>
          <w:rFonts w:hint="cs"/>
          <w:rtl/>
        </w:rPr>
        <w:t xml:space="preserve"> : الاتصال في المعنى المشروع </w:t>
      </w:r>
      <w:r>
        <w:rPr>
          <w:rtl/>
        </w:rPr>
        <w:t>–</w:t>
      </w:r>
      <w:r>
        <w:rPr>
          <w:rFonts w:hint="cs"/>
          <w:rtl/>
        </w:rPr>
        <w:t>وهذا نظير الاستعارة معنى في المحسوسات-.</w:t>
      </w:r>
    </w:p>
    <w:p w:rsidR="00035BE3" w:rsidRDefault="00035BE3" w:rsidP="00C10469">
      <w:pPr>
        <w:pStyle w:val="a6"/>
        <w:spacing w:line="264" w:lineRule="auto"/>
        <w:ind w:left="420" w:firstLine="0"/>
        <w:rPr>
          <w:rtl/>
        </w:rPr>
      </w:pPr>
      <w:r>
        <w:rPr>
          <w:rFonts w:hint="cs"/>
          <w:rtl/>
        </w:rPr>
        <w:t>والأول (وهو الاتصال من حيث السببيّة) نوعان أيضًا :</w:t>
      </w:r>
    </w:p>
    <w:p w:rsidR="00035BE3" w:rsidRDefault="00035BE3" w:rsidP="00C10469">
      <w:pPr>
        <w:pStyle w:val="a6"/>
        <w:spacing w:line="264" w:lineRule="auto"/>
        <w:ind w:left="420" w:firstLine="0"/>
        <w:rPr>
          <w:rtl/>
        </w:rPr>
      </w:pPr>
      <w:r>
        <w:rPr>
          <w:rFonts w:hint="cs"/>
          <w:b/>
          <w:bCs/>
          <w:rtl/>
        </w:rPr>
        <w:t>1</w:t>
      </w:r>
      <w:r>
        <w:rPr>
          <w:rFonts w:hint="cs"/>
          <w:rtl/>
        </w:rPr>
        <w:t>- اتصال الحكم بعلته، كاتصال الملك بالشراء : وهذا معتدٌّ به في صلاحية الاستعارة من الجانبين؛ لأن العلة لم تشرع إلا لحكمها، والحكم لا يثبت إلا بعلة، فعمّت الاستعارة لعموم الاتصال.</w:t>
      </w:r>
    </w:p>
    <w:p w:rsidR="00035BE3" w:rsidRDefault="00035BE3" w:rsidP="00C10469">
      <w:pPr>
        <w:pStyle w:val="a6"/>
        <w:spacing w:line="264" w:lineRule="auto"/>
        <w:ind w:left="420" w:firstLine="0"/>
        <w:rPr>
          <w:rtl/>
        </w:rPr>
      </w:pPr>
      <w:r>
        <w:rPr>
          <w:rFonts w:hint="cs"/>
          <w:b/>
          <w:bCs/>
          <w:rtl/>
        </w:rPr>
        <w:t>2</w:t>
      </w:r>
      <w:r>
        <w:rPr>
          <w:rFonts w:hint="cs"/>
          <w:rtl/>
        </w:rPr>
        <w:t>- اتصال الفرع بالأصل والحكم بالسبب، فإنه بهذا الاتصال تصلح استعارة الأصل للفرع والسّبب للحكم، ولا تصلح استعارة الفرع للأصل والحكم للسبب.</w:t>
      </w:r>
    </w:p>
    <w:p w:rsidR="00035BE3" w:rsidRDefault="00035BE3" w:rsidP="00C10469">
      <w:pPr>
        <w:pStyle w:val="a6"/>
        <w:spacing w:line="264" w:lineRule="auto"/>
        <w:ind w:left="420" w:firstLine="0"/>
        <w:rPr>
          <w:rtl/>
        </w:rPr>
      </w:pPr>
      <w:r>
        <w:rPr>
          <w:rFonts w:hint="cs"/>
          <w:rtl/>
        </w:rPr>
        <w:t>وهذا النوع هو ما تمثله القاعدة.</w:t>
      </w:r>
    </w:p>
    <w:p w:rsidR="00035BE3" w:rsidRDefault="00035BE3" w:rsidP="00C10469">
      <w:pPr>
        <w:pStyle w:val="a6"/>
        <w:spacing w:line="264" w:lineRule="auto"/>
        <w:ind w:left="420" w:firstLine="0"/>
        <w:rPr>
          <w:rtl/>
        </w:rPr>
      </w:pPr>
      <w:r>
        <w:rPr>
          <w:rFonts w:hint="cs"/>
          <w:b/>
          <w:bCs/>
          <w:rtl/>
        </w:rPr>
        <w:t>ولتوثيق ما سبق والتوسع في القاعدة انظر</w:t>
      </w:r>
      <w:r>
        <w:rPr>
          <w:rFonts w:hint="cs"/>
          <w:rtl/>
        </w:rPr>
        <w:t xml:space="preserve"> </w:t>
      </w:r>
      <w:r>
        <w:rPr>
          <w:rFonts w:hint="cs"/>
          <w:b/>
          <w:bCs/>
          <w:rtl/>
        </w:rPr>
        <w:t>من</w:t>
      </w:r>
      <w:r>
        <w:rPr>
          <w:rFonts w:hint="cs"/>
          <w:rtl/>
        </w:rPr>
        <w:t xml:space="preserve"> </w:t>
      </w:r>
      <w:r>
        <w:rPr>
          <w:rFonts w:hint="cs"/>
          <w:b/>
          <w:bCs/>
          <w:rtl/>
        </w:rPr>
        <w:t>كتب الأصول</w:t>
      </w:r>
      <w:r>
        <w:rPr>
          <w:rFonts w:hint="cs"/>
          <w:rtl/>
        </w:rPr>
        <w:t xml:space="preserve"> :</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hanging="2"/>
        <w:rPr>
          <w:spacing w:val="10"/>
          <w:rtl/>
        </w:rPr>
      </w:pPr>
      <w:r>
        <w:rPr>
          <w:rFonts w:hint="cs"/>
          <w:spacing w:val="10"/>
          <w:rtl/>
        </w:rPr>
        <w:t>أصول الشاشي، ص56؛ أصول البزدوي وكـشف الأسـرار، 2/110-136؛ أصول السرخسي، 1/178-184؛ المحصول، 1/134؛ روضة الناظر، 2/555؛ وشرحها : نزهة الخاطر، 2/17؛ المنهاج وشروحه : السراج الوهاج، 1/359؛ وشرح الأصفهاني، 1/244؛ والإبهاج، 1/300؛ ونهاية السول وشرح البدخشي، 1/358؛ المغني، ص131-133؛ شرحه للقاءاني، ق1، جـ2، ص574؛ المنار وشرحيه : كشف الأسرار وشرح نـور الأنـوار، 1/253؛ المسودة، ص169؛ جمع الجوامع وشرحيه : تشنيف المسامع، 1/463؛ وشرح المحلي مع حاشيته البناني، 1/319؛ التمهيد للإسنوي ، ص188؛ البحر المحيط، 2/198؛ شرح الكوكب المنير، 1/156.</w:t>
      </w:r>
    </w:p>
    <w:p w:rsidR="00035BE3" w:rsidRDefault="00035BE3" w:rsidP="00C10469">
      <w:pPr>
        <w:pStyle w:val="a6"/>
        <w:ind w:left="422" w:hanging="2"/>
        <w:rPr>
          <w:rtl/>
        </w:rPr>
      </w:pPr>
      <w:r>
        <w:rPr>
          <w:rFonts w:hint="cs"/>
          <w:rtl/>
        </w:rPr>
        <w:t xml:space="preserve">كما وردت القاعدة عرضًا في بعض </w:t>
      </w:r>
      <w:r>
        <w:rPr>
          <w:rFonts w:hint="cs"/>
          <w:b/>
          <w:bCs/>
          <w:rtl/>
        </w:rPr>
        <w:t>كتب الفقه،</w:t>
      </w:r>
      <w:r>
        <w:rPr>
          <w:rFonts w:hint="cs"/>
          <w:rtl/>
        </w:rPr>
        <w:t xml:space="preserve"> منها :</w:t>
      </w:r>
    </w:p>
    <w:p w:rsidR="00035BE3" w:rsidRDefault="00035BE3" w:rsidP="00C10469">
      <w:pPr>
        <w:pStyle w:val="a6"/>
        <w:ind w:left="422" w:hanging="2"/>
        <w:rPr>
          <w:rtl/>
        </w:rPr>
      </w:pPr>
      <w:r>
        <w:rPr>
          <w:rFonts w:hint="cs"/>
          <w:rtl/>
        </w:rPr>
        <w:t>المبسوط، 7/65؛ فتح القدير، 3 /194؛ البحر الرائق، 3/91، 322، 4/246.</w:t>
      </w:r>
    </w:p>
  </w:footnote>
  <w:footnote w:id="30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36/ب من (ب).</w:t>
      </w:r>
    </w:p>
  </w:footnote>
  <w:footnote w:id="3008">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المغني، ص133؛ وانظر شرحه للقاءاني، ق1، جـ2، ص574؛ أصول البزدوي وكشف الأسرار، 2/135؛ أصول السرخسي، 1/182؛ المنار وكشف الأسرار، 1/253.</w:t>
      </w:r>
    </w:p>
  </w:footnote>
  <w:footnote w:id="30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السبب</w:t>
      </w:r>
      <w:r>
        <w:rPr>
          <w:rFonts w:hint="eastAsia"/>
          <w:rtl/>
        </w:rPr>
        <w:t>»</w:t>
      </w:r>
      <w:r>
        <w:rPr>
          <w:rFonts w:hint="cs"/>
          <w:rtl/>
        </w:rPr>
        <w:t xml:space="preserve">. وما تم إثباته هو الموافق لشرح المغني، حيث جاء فيه : </w:t>
      </w:r>
      <w:r>
        <w:rPr>
          <w:rFonts w:hint="eastAsia"/>
          <w:rtl/>
        </w:rPr>
        <w:t>«</w:t>
      </w:r>
      <w:r>
        <w:rPr>
          <w:rFonts w:hint="cs"/>
          <w:rtl/>
        </w:rPr>
        <w:t>... والمسبب ليس بمقصود من السبب المحض</w:t>
      </w:r>
      <w:r>
        <w:rPr>
          <w:rFonts w:hint="eastAsia"/>
          <w:rtl/>
        </w:rPr>
        <w:t>»</w:t>
      </w:r>
      <w:r>
        <w:rPr>
          <w:rFonts w:hint="cs"/>
          <w:rtl/>
        </w:rPr>
        <w:t>.</w:t>
      </w:r>
    </w:p>
  </w:footnote>
  <w:footnote w:id="30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وهو الحكم للسبب</w:t>
      </w:r>
      <w:r>
        <w:rPr>
          <w:rFonts w:hint="eastAsia"/>
          <w:rtl/>
        </w:rPr>
        <w:t>»</w:t>
      </w:r>
      <w:r>
        <w:rPr>
          <w:rFonts w:hint="cs"/>
          <w:rtl/>
        </w:rPr>
        <w:t xml:space="preserve"> : ساقط من (جـ).</w:t>
      </w:r>
    </w:p>
  </w:footnote>
  <w:footnote w:id="30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و(د) : </w:t>
      </w:r>
      <w:r>
        <w:rPr>
          <w:rFonts w:hint="eastAsia"/>
          <w:rtl/>
        </w:rPr>
        <w:t>«</w:t>
      </w:r>
      <w:r>
        <w:rPr>
          <w:rFonts w:hint="cs"/>
          <w:rtl/>
        </w:rPr>
        <w:t>المنفعة</w:t>
      </w:r>
      <w:r>
        <w:rPr>
          <w:rFonts w:hint="eastAsia"/>
          <w:rtl/>
        </w:rPr>
        <w:t>»</w:t>
      </w:r>
      <w:r>
        <w:rPr>
          <w:rFonts w:hint="cs"/>
          <w:rtl/>
        </w:rPr>
        <w:t>.</w:t>
      </w:r>
    </w:p>
  </w:footnote>
  <w:footnote w:id="30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المنفعة</w:t>
      </w:r>
      <w:r>
        <w:rPr>
          <w:rFonts w:hint="eastAsia"/>
          <w:rtl/>
        </w:rPr>
        <w:t>»</w:t>
      </w:r>
      <w:r>
        <w:rPr>
          <w:rFonts w:hint="cs"/>
          <w:rtl/>
        </w:rPr>
        <w:t>.</w:t>
      </w:r>
    </w:p>
  </w:footnote>
  <w:footnote w:id="3013">
    <w:p w:rsidR="00035BE3" w:rsidRDefault="00035BE3" w:rsidP="00C10469">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انظر: المغني، ص133؛ شرحه للقاءاني، ق1، جـ2، ص573؛ وانظر أيضًا : أصول السرخسي، 1/182.</w:t>
      </w:r>
    </w:p>
  </w:footnote>
  <w:footnote w:id="30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ولا للطلاق</w:t>
      </w:r>
      <w:r>
        <w:rPr>
          <w:rFonts w:hint="eastAsia"/>
          <w:rtl/>
        </w:rPr>
        <w:t>»</w:t>
      </w:r>
      <w:r>
        <w:rPr>
          <w:rFonts w:hint="cs"/>
          <w:rtl/>
        </w:rPr>
        <w:t>.</w:t>
      </w:r>
    </w:p>
  </w:footnote>
  <w:footnote w:id="30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هذا</w:t>
      </w:r>
      <w:r>
        <w:rPr>
          <w:rFonts w:hint="eastAsia"/>
          <w:rtl/>
        </w:rPr>
        <w:t>»</w:t>
      </w:r>
      <w:r>
        <w:rPr>
          <w:rFonts w:hint="cs"/>
          <w:rtl/>
        </w:rPr>
        <w:t>.</w:t>
      </w:r>
    </w:p>
  </w:footnote>
  <w:footnote w:id="30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به</w:t>
      </w:r>
      <w:r>
        <w:rPr>
          <w:rFonts w:hint="eastAsia"/>
          <w:rtl/>
        </w:rPr>
        <w:t>»</w:t>
      </w:r>
      <w:r>
        <w:rPr>
          <w:rFonts w:hint="cs"/>
          <w:rtl/>
        </w:rPr>
        <w:t xml:space="preserve"> : ساقطة من (ب) و(د).</w:t>
      </w:r>
    </w:p>
  </w:footnote>
  <w:footnote w:id="30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يعتق</w:t>
      </w:r>
      <w:r>
        <w:rPr>
          <w:rFonts w:hint="eastAsia"/>
          <w:rtl/>
        </w:rPr>
        <w:t>»</w:t>
      </w:r>
      <w:r>
        <w:rPr>
          <w:rFonts w:hint="cs"/>
          <w:rtl/>
        </w:rPr>
        <w:t>. والصحيح ما تمَّ إثباته من (ب).</w:t>
      </w:r>
    </w:p>
  </w:footnote>
  <w:footnote w:id="3018">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كنز الدقائق والبحر الرائق، 4/245، 246؛ البحر الرائق (فقط)، 3/91؛ الدرر شرح الغرر، 2/3؛ وانظر أيضًا : أصول البزدوي وكشف الأسرار، 2/134، 136.</w:t>
      </w:r>
    </w:p>
    <w:p w:rsidR="00035BE3" w:rsidRDefault="00035BE3" w:rsidP="00C10469">
      <w:pPr>
        <w:pStyle w:val="a6"/>
        <w:ind w:left="422" w:firstLine="0"/>
        <w:rPr>
          <w:spacing w:val="10"/>
          <w:rtl/>
        </w:rPr>
      </w:pPr>
      <w:r>
        <w:rPr>
          <w:rFonts w:hint="cs"/>
          <w:spacing w:val="10"/>
          <w:rtl/>
        </w:rPr>
        <w:t xml:space="preserve">فهذا هو مذهب الحنفية إلا رواية عن أبي يوسف : أنه يقع، وقد بيّن ذلك صاحب (البحر الرائق) </w:t>
      </w:r>
      <w:r>
        <w:rPr>
          <w:spacing w:val="10"/>
          <w:rtl/>
        </w:rPr>
        <w:t>–</w:t>
      </w:r>
      <w:r>
        <w:rPr>
          <w:rFonts w:hint="cs"/>
          <w:spacing w:val="10"/>
          <w:rtl/>
        </w:rPr>
        <w:t xml:space="preserve">4/246- حيث قال : </w:t>
      </w:r>
      <w:r>
        <w:rPr>
          <w:rFonts w:hint="eastAsia"/>
          <w:spacing w:val="10"/>
          <w:rtl/>
        </w:rPr>
        <w:t>«</w:t>
      </w:r>
      <w:r>
        <w:rPr>
          <w:rFonts w:hint="cs"/>
          <w:spacing w:val="10"/>
          <w:rtl/>
        </w:rPr>
        <w:t>وأما عدم الوقوع بألفاظ الطلاق ولو نوى العتق : فهذا مذهبنا، إلا رواية عن أبي يوسف أنه يقع بقوله لأمته : طلقتك (ناويًا العتق)- كما في (المجتبى)- ...</w:t>
      </w:r>
      <w:r>
        <w:rPr>
          <w:rFonts w:hint="eastAsia"/>
          <w:spacing w:val="10"/>
          <w:rtl/>
        </w:rPr>
        <w:t>»</w:t>
      </w:r>
      <w:r>
        <w:rPr>
          <w:rFonts w:hint="cs"/>
          <w:spacing w:val="10"/>
          <w:rtl/>
        </w:rPr>
        <w:t>.</w:t>
      </w:r>
    </w:p>
  </w:footnote>
  <w:footnote w:id="30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المسبب</w:t>
      </w:r>
      <w:r>
        <w:rPr>
          <w:rFonts w:hint="eastAsia"/>
          <w:rtl/>
        </w:rPr>
        <w:t>»</w:t>
      </w:r>
      <w:r>
        <w:rPr>
          <w:rFonts w:hint="cs"/>
          <w:rtl/>
        </w:rPr>
        <w:t>، والصحيح ما تمَّ إثباته من (ب)، وهو الموافق لمصدر هذه العبارة (وهو شرح المغني).</w:t>
      </w:r>
    </w:p>
  </w:footnote>
  <w:footnote w:id="30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(36) من سورة (يوسف). والكلمة الأولى (وهي : إني) ليست في (ب) و(د).</w:t>
      </w:r>
    </w:p>
  </w:footnote>
  <w:footnote w:id="30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ص574.</w:t>
      </w:r>
    </w:p>
  </w:footnote>
  <w:footnote w:id="30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43/ب من (جـ).</w:t>
      </w:r>
    </w:p>
  </w:footnote>
  <w:footnote w:id="30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56/ب من (أ).</w:t>
      </w:r>
    </w:p>
  </w:footnote>
  <w:footnote w:id="30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والمعمول</w:t>
      </w:r>
      <w:r>
        <w:rPr>
          <w:rFonts w:hint="eastAsia"/>
          <w:rtl/>
        </w:rPr>
        <w:t>»</w:t>
      </w:r>
      <w:r>
        <w:rPr>
          <w:rFonts w:hint="cs"/>
          <w:rtl/>
        </w:rPr>
        <w:t>. والصحيح ما تمَّ إثباته من باقي النسخ.</w:t>
      </w:r>
    </w:p>
  </w:footnote>
  <w:footnote w:id="30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بيان كون استعارة العلة للمعلول والعكس جائز عند بيان أنواع الاتصال من حيث السببية، ص743، هامش 1.</w:t>
      </w:r>
    </w:p>
  </w:footnote>
  <w:footnote w:id="30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دائميًّا</w:t>
      </w:r>
      <w:r>
        <w:rPr>
          <w:rFonts w:hint="eastAsia"/>
          <w:rtl/>
        </w:rPr>
        <w:t>»</w:t>
      </w:r>
      <w:r>
        <w:rPr>
          <w:rFonts w:hint="cs"/>
          <w:rtl/>
        </w:rPr>
        <w:t>.</w:t>
      </w:r>
    </w:p>
  </w:footnote>
  <w:footnote w:id="30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مختصًّا</w:t>
      </w:r>
      <w:r>
        <w:rPr>
          <w:rFonts w:hint="eastAsia"/>
          <w:rtl/>
        </w:rPr>
        <w:t>»</w:t>
      </w:r>
      <w:r>
        <w:rPr>
          <w:rFonts w:hint="cs"/>
          <w:rtl/>
        </w:rPr>
        <w:t>.</w:t>
      </w:r>
    </w:p>
  </w:footnote>
  <w:footnote w:id="30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ج2، ص572 -مع اختلاف سبق بيان أهمه-.</w:t>
      </w:r>
    </w:p>
  </w:footnote>
  <w:footnote w:id="30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ذكر طائفة من كتب الأصول عند توثيق القاعدة.</w:t>
      </w:r>
    </w:p>
  </w:footnote>
  <w:footnote w:id="30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الفقهية المندرجة تحت القاعدة المشهورة: </w:t>
      </w:r>
      <w:r>
        <w:rPr>
          <w:rFonts w:hint="eastAsia"/>
          <w:rtl/>
        </w:rPr>
        <w:t>«</w:t>
      </w:r>
      <w:r>
        <w:rPr>
          <w:rFonts w:hint="cs"/>
          <w:rtl/>
        </w:rPr>
        <w:t>إعمال الكلام أولى من إهماله</w:t>
      </w:r>
      <w:r>
        <w:rPr>
          <w:rFonts w:hint="eastAsia"/>
          <w:rtl/>
        </w:rPr>
        <w:t>»</w:t>
      </w:r>
      <w:r>
        <w:rPr>
          <w:rFonts w:hint="cs"/>
          <w:rtl/>
        </w:rPr>
        <w:t>؛ إذ كون السؤال معادًا في الجواب من إعمال الكلام.</w:t>
      </w:r>
    </w:p>
    <w:p w:rsidR="00035BE3" w:rsidRDefault="00035BE3" w:rsidP="00C10469">
      <w:pPr>
        <w:pStyle w:val="a6"/>
        <w:ind w:left="422" w:firstLine="0"/>
        <w:rPr>
          <w:rtl/>
        </w:rPr>
      </w:pPr>
      <w:r>
        <w:rPr>
          <w:rFonts w:hint="cs"/>
          <w:rtl/>
        </w:rPr>
        <w:t xml:space="preserve">كما أنَّ لها صلة بأصول الفقه؛ إذ تتعلق بقاعدة أصولية مشهورة، وهي : </w:t>
      </w:r>
      <w:r>
        <w:rPr>
          <w:rFonts w:hint="eastAsia"/>
          <w:rtl/>
        </w:rPr>
        <w:t>«</w:t>
      </w:r>
      <w:r>
        <w:rPr>
          <w:rFonts w:hint="cs"/>
          <w:rtl/>
        </w:rPr>
        <w:t>هل العبرة بعموم اللفظ أو بخصوص السبب؟</w:t>
      </w:r>
      <w:r>
        <w:rPr>
          <w:rFonts w:hint="eastAsia"/>
          <w:rtl/>
        </w:rPr>
        <w:t>»</w:t>
      </w:r>
      <w:r>
        <w:rPr>
          <w:rFonts w:hint="cs"/>
          <w:rtl/>
        </w:rPr>
        <w:t>.</w:t>
      </w:r>
    </w:p>
    <w:p w:rsidR="00035BE3" w:rsidRDefault="00035BE3" w:rsidP="00C10469">
      <w:pPr>
        <w:pStyle w:val="a6"/>
        <w:ind w:left="422" w:firstLine="0"/>
        <w:rPr>
          <w:rtl/>
        </w:rPr>
      </w:pPr>
      <w:r>
        <w:rPr>
          <w:rFonts w:hint="cs"/>
          <w:b/>
          <w:bCs/>
          <w:rtl/>
        </w:rPr>
        <w:t>ووجه تعلّقها بالقاعدة الأصولية المذكورة :</w:t>
      </w:r>
      <w:r>
        <w:rPr>
          <w:rFonts w:hint="cs"/>
          <w:rtl/>
        </w:rPr>
        <w:t xml:space="preserve"> يتضح من خلال تحرير الأصوليين لمحل النزاع فيها، ومن أفضل من حرّر محل النزاع منهم الآمدي في إحكامه.</w:t>
      </w:r>
    </w:p>
    <w:p w:rsidR="00035BE3" w:rsidRDefault="00035BE3" w:rsidP="00C10469">
      <w:pPr>
        <w:pStyle w:val="a6"/>
        <w:ind w:left="422" w:firstLine="0"/>
        <w:rPr>
          <w:rtl/>
        </w:rPr>
      </w:pPr>
      <w:r>
        <w:rPr>
          <w:rFonts w:hint="cs"/>
          <w:rtl/>
        </w:rPr>
        <w:t xml:space="preserve">وحاصل ما ذكره : </w:t>
      </w:r>
      <w:r>
        <w:rPr>
          <w:rFonts w:hint="eastAsia"/>
          <w:rtl/>
        </w:rPr>
        <w:t>«</w:t>
      </w:r>
      <w:r>
        <w:rPr>
          <w:rFonts w:hint="cs"/>
          <w:rtl/>
        </w:rPr>
        <w:t>أنه إذا ورد خطابٌ جوابًا لسؤال سائل داعٍ إلى الجواب، فالجواب :</w:t>
      </w:r>
    </w:p>
    <w:p w:rsidR="00035BE3" w:rsidRDefault="00035BE3" w:rsidP="00C10469">
      <w:pPr>
        <w:pStyle w:val="a6"/>
        <w:ind w:left="422" w:firstLine="0"/>
        <w:rPr>
          <w:rtl/>
        </w:rPr>
      </w:pPr>
      <w:r>
        <w:rPr>
          <w:rFonts w:ascii="Wingdings" w:hAnsi="Wingdings"/>
        </w:rPr>
        <w:t></w:t>
      </w:r>
      <w:r>
        <w:rPr>
          <w:rFonts w:hint="cs"/>
          <w:rtl/>
        </w:rPr>
        <w:t xml:space="preserve"> إما أن يكون غير مستقل بنفسه ... [بأن لا يكون مفيدًا بدون السؤال كـ (نَعَمْ) و(لا)].</w:t>
      </w:r>
    </w:p>
    <w:p w:rsidR="00035BE3" w:rsidRDefault="00035BE3" w:rsidP="00C10469">
      <w:pPr>
        <w:pStyle w:val="a6"/>
        <w:ind w:left="422" w:firstLine="0"/>
        <w:rPr>
          <w:rtl/>
        </w:rPr>
      </w:pPr>
      <w:r>
        <w:rPr>
          <w:rFonts w:ascii="Wingdings" w:hAnsi="Wingdings"/>
        </w:rPr>
        <w:t></w:t>
      </w:r>
      <w:r>
        <w:rPr>
          <w:rFonts w:hint="cs"/>
          <w:rtl/>
        </w:rPr>
        <w:t xml:space="preserve"> أو هو مستقل.</w:t>
      </w:r>
    </w:p>
    <w:p w:rsidR="00035BE3" w:rsidRDefault="00035BE3" w:rsidP="00C10469">
      <w:pPr>
        <w:pStyle w:val="a6"/>
        <w:ind w:left="422" w:firstLine="0"/>
        <w:rPr>
          <w:rtl/>
        </w:rPr>
      </w:pPr>
      <w:r>
        <w:rPr>
          <w:rFonts w:hint="cs"/>
          <w:b/>
          <w:bCs/>
          <w:rtl/>
        </w:rPr>
        <w:t>فإن كان الأول</w:t>
      </w:r>
      <w:r>
        <w:rPr>
          <w:rFonts w:hint="cs"/>
          <w:rtl/>
        </w:rPr>
        <w:t xml:space="preserve"> فهو تابع للسؤال في عمومه وخصوصه [أي أن السؤال يكون معادًا في الجواب].</w:t>
      </w:r>
    </w:p>
    <w:p w:rsidR="00035BE3" w:rsidRDefault="00035BE3" w:rsidP="00C10469">
      <w:pPr>
        <w:pStyle w:val="a6"/>
        <w:ind w:left="-32" w:firstLine="454"/>
        <w:rPr>
          <w:rtl/>
        </w:rPr>
      </w:pPr>
      <w:r>
        <w:rPr>
          <w:rtl/>
        </w:rPr>
        <w:t>•</w:t>
      </w:r>
      <w:r>
        <w:rPr>
          <w:rFonts w:hint="cs"/>
          <w:rtl/>
        </w:rPr>
        <w:t xml:space="preserve"> أما في عمومه فمن غير خلاف ...</w:t>
      </w:r>
    </w:p>
    <w:p w:rsidR="00035BE3" w:rsidRDefault="00035BE3" w:rsidP="00C10469">
      <w:pPr>
        <w:pStyle w:val="a6"/>
        <w:ind w:left="-32" w:firstLine="454"/>
        <w:rPr>
          <w:rtl/>
        </w:rPr>
      </w:pPr>
      <w:r>
        <w:rPr>
          <w:rtl/>
        </w:rPr>
        <w:t>•</w:t>
      </w:r>
      <w:r>
        <w:rPr>
          <w:rFonts w:hint="cs"/>
          <w:rtl/>
        </w:rPr>
        <w:t xml:space="preserve"> وأما في خصوصه ... [ففيه خلاف، والذي عليه الجمهور أن الجواب تابع للسؤال أيضًا].</w:t>
      </w:r>
    </w:p>
    <w:p w:rsidR="00035BE3" w:rsidRDefault="00035BE3" w:rsidP="00C10469">
      <w:pPr>
        <w:pStyle w:val="a6"/>
        <w:ind w:left="422" w:firstLine="0"/>
        <w:rPr>
          <w:spacing w:val="6"/>
          <w:rtl/>
        </w:rPr>
      </w:pPr>
      <w:r>
        <w:rPr>
          <w:rFonts w:hint="cs"/>
          <w:b/>
          <w:bCs/>
          <w:spacing w:val="6"/>
          <w:rtl/>
        </w:rPr>
        <w:t>وإما إذا كان الجواب مستقلاً بنفسه دون السؤال</w:t>
      </w:r>
      <w:r>
        <w:rPr>
          <w:rFonts w:hint="cs"/>
          <w:spacing w:val="6"/>
          <w:rtl/>
        </w:rPr>
        <w:t xml:space="preserve"> : فإما أن يكون مساويًا للسؤال أو أعم منه أو أخصّ:</w:t>
      </w:r>
    </w:p>
    <w:p w:rsidR="00035BE3" w:rsidRDefault="00035BE3" w:rsidP="00C10469">
      <w:pPr>
        <w:pStyle w:val="a6"/>
        <w:ind w:left="422" w:firstLine="0"/>
        <w:rPr>
          <w:rtl/>
        </w:rPr>
      </w:pPr>
      <w:r>
        <w:rPr>
          <w:rtl/>
        </w:rPr>
        <w:t>•</w:t>
      </w:r>
      <w:r>
        <w:rPr>
          <w:rFonts w:hint="cs"/>
          <w:rtl/>
        </w:rPr>
        <w:t xml:space="preserve"> فإن كان مساويًا : فالحكم في عمومه وخصوصه عند كون السؤال عامًّا أو خاصًا فكما لو لم يكن مستقلاً...</w:t>
      </w:r>
    </w:p>
    <w:p w:rsidR="00035BE3" w:rsidRDefault="00035BE3" w:rsidP="00C10469">
      <w:pPr>
        <w:pStyle w:val="a6"/>
        <w:ind w:left="-32" w:firstLine="454"/>
        <w:rPr>
          <w:rtl/>
        </w:rPr>
      </w:pPr>
      <w:r>
        <w:rPr>
          <w:rtl/>
        </w:rPr>
        <w:t>•</w:t>
      </w:r>
      <w:r>
        <w:rPr>
          <w:rFonts w:hint="cs"/>
          <w:rtl/>
        </w:rPr>
        <w:t xml:space="preserve"> وأما إن كان الجواب أخصّ من السؤال فالجواب يكون خاصّا ...</w:t>
      </w:r>
    </w:p>
    <w:p w:rsidR="00035BE3" w:rsidRDefault="00035BE3" w:rsidP="00C10469">
      <w:pPr>
        <w:pStyle w:val="a6"/>
        <w:ind w:left="422" w:firstLine="0"/>
        <w:rPr>
          <w:spacing w:val="6"/>
          <w:rtl/>
        </w:rPr>
      </w:pPr>
      <w:r>
        <w:rPr>
          <w:spacing w:val="6"/>
          <w:rtl/>
        </w:rPr>
        <w:t>•</w:t>
      </w:r>
      <w:r>
        <w:rPr>
          <w:rFonts w:hint="cs"/>
          <w:spacing w:val="6"/>
          <w:rtl/>
        </w:rPr>
        <w:t xml:space="preserve"> وأما إن كان الجواب أعم من السؤال : فإما أن يكون أعم من السؤال في ذلك الحكم لا غير...، أو أنه أعم من السؤال في غير ذلك الحكم ...</w:t>
      </w:r>
    </w:p>
    <w:p w:rsidR="00035BE3" w:rsidRDefault="00035BE3" w:rsidP="00C10469">
      <w:pPr>
        <w:pStyle w:val="a6"/>
        <w:ind w:left="422" w:firstLine="0"/>
        <w:rPr>
          <w:rtl/>
        </w:rPr>
      </w:pPr>
      <w:r>
        <w:rPr>
          <w:rFonts w:hint="cs"/>
          <w:rtl/>
        </w:rPr>
        <w:t>- فإن كان من القسم الثاني : فلا خلاف في عمومه ...</w:t>
      </w:r>
    </w:p>
    <w:p w:rsidR="00035BE3" w:rsidRDefault="00035BE3" w:rsidP="00C10469">
      <w:pPr>
        <w:pStyle w:val="a6"/>
        <w:ind w:left="422" w:firstLine="0"/>
        <w:rPr>
          <w:rtl/>
        </w:rPr>
      </w:pPr>
      <w:r>
        <w:rPr>
          <w:rFonts w:hint="cs"/>
          <w:rtl/>
        </w:rPr>
        <w:t>- وأما إن كان من القسم الأول ... [فحصل فيه خلاف بين العلماء] والجمُّ الغفير: أنه عام، وأنه لا يسقط عمومه بالسبب الذي ورد عليه</w:t>
      </w:r>
      <w:r>
        <w:rPr>
          <w:rFonts w:hint="eastAsia"/>
          <w:rtl/>
        </w:rPr>
        <w:t>»</w:t>
      </w:r>
      <w:r>
        <w:rPr>
          <w:rFonts w:hint="cs"/>
          <w:rtl/>
        </w:rPr>
        <w:t>.</w:t>
      </w:r>
    </w:p>
    <w:p w:rsidR="00035BE3" w:rsidRDefault="00035BE3" w:rsidP="00C10469">
      <w:pPr>
        <w:pStyle w:val="a6"/>
        <w:ind w:left="422" w:firstLine="0"/>
        <w:rPr>
          <w:rtl/>
        </w:rPr>
      </w:pPr>
      <w:r>
        <w:rPr>
          <w:rFonts w:hint="cs"/>
          <w:rtl/>
        </w:rPr>
        <w:t xml:space="preserve">الإحكام للآمدي، 2/256-258 </w:t>
      </w:r>
      <w:r>
        <w:rPr>
          <w:rtl/>
        </w:rPr>
        <w:t>–</w:t>
      </w:r>
      <w:r>
        <w:rPr>
          <w:rFonts w:hint="cs"/>
          <w:rtl/>
        </w:rPr>
        <w:t xml:space="preserve"> وفي طبعة مكتبة المعارف بالرياض، 2/345-؛ وانظر - من الكتب الأصولية التي أشارت إلى هذا التقسيم أو بعضه : العدة، 2/596؛ إحكام الفصول، ص177؛ </w:t>
      </w:r>
      <w:r w:rsidRPr="004D1E79">
        <w:rPr>
          <w:rFonts w:hint="cs"/>
          <w:spacing w:val="-4"/>
          <w:rtl/>
        </w:rPr>
        <w:t xml:space="preserve">المعتمد، 1/302؛ المحصول، 1/447؛ مختصر ابن الحاجب وشرح العضد عليه، 1/109؛ شرح </w:t>
      </w:r>
      <w:r>
        <w:rPr>
          <w:rFonts w:hint="cs"/>
          <w:rtl/>
        </w:rPr>
        <w:t>تنقيح الفصول، ص216؛ التحرير وشرحه : تيسير التحرير، 1/263؛ فتح الغفار، 2/64؛ شرح الكواكب المنير، 3/168؛ مسلم الثبوت وشرحه : فواتح الرحموت، 1/289؛ إرشاد الفحول، 1/480؛ مسألة تخصيص العام بالسبب للدكتور محمد العروسي، ص63 -علمًا بأن الأخير أبدى وجهة نظره في هذا التقسيم-.</w:t>
      </w:r>
    </w:p>
    <w:p w:rsidR="00035BE3" w:rsidRDefault="00035BE3" w:rsidP="00C10469">
      <w:pPr>
        <w:pStyle w:val="a6"/>
        <w:ind w:left="422" w:firstLine="0"/>
        <w:rPr>
          <w:rtl/>
        </w:rPr>
      </w:pPr>
      <w:r>
        <w:rPr>
          <w:rFonts w:hint="cs"/>
          <w:rtl/>
        </w:rPr>
        <w:t>ومن الكتب الأصولية الأخر التي أشارت إلى معنى القاعدة أو وردت فيها عرضًا : الإبهاج في شرح المنهاج، 3/50؛ التمهيد للإسنوي، ص475.</w:t>
      </w:r>
    </w:p>
    <w:p w:rsidR="00035BE3" w:rsidRDefault="00035BE3" w:rsidP="00C10469">
      <w:pPr>
        <w:pStyle w:val="a6"/>
        <w:ind w:left="422" w:firstLine="0"/>
        <w:rPr>
          <w:b/>
          <w:bCs/>
          <w:rtl/>
        </w:rPr>
      </w:pPr>
      <w:r>
        <w:rPr>
          <w:rFonts w:hint="cs"/>
          <w:b/>
          <w:bCs/>
          <w:rtl/>
        </w:rPr>
        <w:t>أما كتب القواعد فمنها :</w:t>
      </w:r>
    </w:p>
    <w:p w:rsidR="00035BE3" w:rsidRDefault="00035BE3" w:rsidP="00C10469">
      <w:pPr>
        <w:pStyle w:val="a6"/>
        <w:ind w:left="422" w:firstLine="0"/>
        <w:rPr>
          <w:rtl/>
        </w:rPr>
      </w:pPr>
      <w:r>
        <w:rPr>
          <w:rFonts w:hint="cs"/>
          <w:rtl/>
        </w:rPr>
        <w:t xml:space="preserve">الأشباه لابن الوكيل، 1/138 </w:t>
      </w:r>
      <w:r>
        <w:rPr>
          <w:rtl/>
        </w:rPr>
        <w:t>–</w:t>
      </w:r>
      <w:r>
        <w:rPr>
          <w:rFonts w:hint="cs"/>
          <w:rtl/>
        </w:rPr>
        <w:t xml:space="preserve">ولفظه : </w:t>
      </w:r>
      <w:r>
        <w:rPr>
          <w:rFonts w:hint="eastAsia"/>
          <w:rtl/>
        </w:rPr>
        <w:t>«</w:t>
      </w:r>
      <w:r>
        <w:rPr>
          <w:rFonts w:hint="cs"/>
          <w:rtl/>
        </w:rPr>
        <w:t>إن السؤال والإيجاب هل هو كالمعاد في الجواب والقبول؟</w:t>
      </w:r>
      <w:r>
        <w:rPr>
          <w:rFonts w:hint="eastAsia"/>
          <w:rtl/>
        </w:rPr>
        <w:t>»</w:t>
      </w:r>
      <w:r>
        <w:rPr>
          <w:rFonts w:hint="cs"/>
          <w:rtl/>
        </w:rPr>
        <w:t xml:space="preserve">-؛ المنثور، 2/214؛ القواعد للحصني، 3/107؛ مختصر من قواعد العلائي وكلام الإسنوي، 2/505 -علمًا بأن الأخيرين قد سلكا مسلك الأصوليين في تقرير القاعدة؛ حيث قالا : </w:t>
      </w:r>
      <w:r>
        <w:rPr>
          <w:rFonts w:hint="eastAsia"/>
          <w:rtl/>
        </w:rPr>
        <w:t>«</w:t>
      </w:r>
      <w:r>
        <w:rPr>
          <w:rFonts w:hint="cs"/>
          <w:rtl/>
        </w:rPr>
        <w:t>قاعدة : الخطاب الوارد جوابًا عن سؤال سائل يستدعي الجواب، وذلك الجواب، غير مستـقل بنفسه يتـبع السؤال في عمومه وخصوصه، حتى كأن السؤال معاد فيه ...</w:t>
      </w:r>
      <w:r>
        <w:rPr>
          <w:rFonts w:hint="eastAsia"/>
          <w:rtl/>
        </w:rPr>
        <w:t xml:space="preserve"> »</w:t>
      </w:r>
      <w:r>
        <w:rPr>
          <w:rFonts w:hint="cs"/>
          <w:rtl/>
        </w:rPr>
        <w:t>-؛ الأشباه والنظائر للسيوطي، 1/317؛ ولابن نجيم، ص178؛ الفرائد البهية وشرحاها : الأقمار المضيئة، ص196؛ والمواهب السنية وحاشيتها : الفوائد الجنية، 2/217 -ولفظ الفرائد :</w:t>
      </w:r>
    </w:p>
    <w:p w:rsidR="00035BE3" w:rsidRDefault="00035BE3" w:rsidP="00C10469">
      <w:pPr>
        <w:pStyle w:val="a6"/>
        <w:ind w:left="422" w:hanging="454"/>
        <w:jc w:val="left"/>
        <w:rPr>
          <w:b/>
          <w:bCs/>
          <w:rtl/>
        </w:rPr>
      </w:pPr>
      <w:r>
        <w:rPr>
          <w:rFonts w:hint="cs"/>
          <w:b/>
          <w:bCs/>
          <w:rtl/>
        </w:rPr>
        <w:t xml:space="preserve">       ثـم السـؤال عـنـدهـم مـعـاد        قـل فـي الـجـواب حـسـبما أفـادوا-؛</w:t>
      </w:r>
    </w:p>
    <w:p w:rsidR="00035BE3" w:rsidRDefault="00035BE3" w:rsidP="00C10469">
      <w:pPr>
        <w:pStyle w:val="a6"/>
        <w:ind w:left="422" w:firstLine="0"/>
        <w:rPr>
          <w:spacing w:val="10"/>
          <w:rtl/>
        </w:rPr>
      </w:pPr>
      <w:r>
        <w:rPr>
          <w:rFonts w:hint="cs"/>
          <w:spacing w:val="10"/>
          <w:rtl/>
        </w:rPr>
        <w:t xml:space="preserve">مجلة الأحكام العدلية، مادة 66؛ شرحها لسليم رستم، 1/46؛ ولعلي حيدر، 1/58؛ وللآتاسي، 1/177 - وله شرح جيّد للقاعدة فراجعه إن شئت-؛ شرح قواعدها للزرقا، ص335؛ قواعد الفقه للمجدّدي، ص84، قاعدة 146؛ المدخل الفقهي العام، 2/1007، فقرة 621؛ القواعد الفقهية للدكتور علي الندوي، ص153؛ القواعد والضوابط المستخلصة، ص148، 160، 248، 486- ولفظه الأول والثالث : </w:t>
      </w:r>
      <w:r>
        <w:rPr>
          <w:rFonts w:hint="eastAsia"/>
          <w:spacing w:val="10"/>
          <w:rtl/>
        </w:rPr>
        <w:t>«</w:t>
      </w:r>
      <w:r>
        <w:rPr>
          <w:rFonts w:hint="cs"/>
          <w:spacing w:val="10"/>
          <w:rtl/>
        </w:rPr>
        <w:t>الجواب يتضمن إعادة ما في السؤال</w:t>
      </w:r>
      <w:r>
        <w:rPr>
          <w:rFonts w:hint="eastAsia"/>
          <w:spacing w:val="10"/>
          <w:rtl/>
        </w:rPr>
        <w:t>»</w:t>
      </w:r>
      <w:r>
        <w:rPr>
          <w:rFonts w:hint="cs"/>
          <w:spacing w:val="10"/>
          <w:rtl/>
        </w:rPr>
        <w:t xml:space="preserve">، أما الثاني فهو : </w:t>
      </w:r>
      <w:r>
        <w:rPr>
          <w:rFonts w:hint="eastAsia"/>
          <w:spacing w:val="10"/>
          <w:rtl/>
        </w:rPr>
        <w:t>«</w:t>
      </w:r>
      <w:r>
        <w:rPr>
          <w:rFonts w:hint="cs"/>
          <w:spacing w:val="10"/>
          <w:rtl/>
        </w:rPr>
        <w:t>الأصل أن الكلام متى صدر جوابًا يتضمن إعادة السؤال: يجعل جوابًا بقدر ما يقتضيه</w:t>
      </w:r>
      <w:r>
        <w:rPr>
          <w:rFonts w:hint="eastAsia"/>
          <w:spacing w:val="10"/>
          <w:rtl/>
        </w:rPr>
        <w:t>»</w:t>
      </w:r>
      <w:r>
        <w:rPr>
          <w:rFonts w:hint="cs"/>
          <w:spacing w:val="10"/>
          <w:rtl/>
        </w:rPr>
        <w:t xml:space="preserve">-؛ الوجيز، ص273؛ موسوعة القواعد الفقهية، 2/307 - وقد ذكر ثلاثة ألفاظ، أولها : </w:t>
      </w:r>
      <w:r>
        <w:rPr>
          <w:rFonts w:hint="eastAsia"/>
          <w:spacing w:val="10"/>
          <w:rtl/>
        </w:rPr>
        <w:t>«</w:t>
      </w:r>
      <w:r>
        <w:rPr>
          <w:rFonts w:hint="cs"/>
          <w:spacing w:val="10"/>
          <w:rtl/>
        </w:rPr>
        <w:t>إن السؤال والإيجاب هل هو كالمعاد في الجواب والقبول؟</w:t>
      </w:r>
      <w:r>
        <w:rPr>
          <w:rFonts w:hint="eastAsia"/>
          <w:spacing w:val="10"/>
          <w:rtl/>
        </w:rPr>
        <w:t>»</w:t>
      </w:r>
      <w:r>
        <w:rPr>
          <w:rFonts w:hint="cs"/>
          <w:spacing w:val="10"/>
          <w:rtl/>
        </w:rPr>
        <w:t xml:space="preserve">-؛ القواعد الفقهية في بابي العبادات والمعاملات لشيخنا د. عبد الله العيسى، ص682 - ولفظه : </w:t>
      </w:r>
      <w:r>
        <w:rPr>
          <w:rFonts w:hint="eastAsia"/>
          <w:spacing w:val="10"/>
          <w:rtl/>
        </w:rPr>
        <w:t>«</w:t>
      </w:r>
      <w:r>
        <w:rPr>
          <w:rFonts w:hint="cs"/>
          <w:spacing w:val="10"/>
          <w:rtl/>
        </w:rPr>
        <w:t>السؤال كالمعاد في الجواب</w:t>
      </w:r>
      <w:r>
        <w:rPr>
          <w:rFonts w:hint="eastAsia"/>
          <w:spacing w:val="10"/>
          <w:rtl/>
        </w:rPr>
        <w:t>»</w:t>
      </w:r>
      <w:r>
        <w:rPr>
          <w:rFonts w:hint="cs"/>
          <w:spacing w:val="10"/>
          <w:rtl/>
        </w:rPr>
        <w:t>-؛ تطبيقات القواعد والضوابط للدكتور سعود الغديان، ص1269؛ القواعد الكبرى للدكتور عبد الله العجلان، ص106؛ المدخل إلى القواعد الفقهية للدكتور إبراهيم الحريري، ص120؛ المبادئ الفقهية، ص41؛ القواعد الفقهية للدعّاس، ص39، قاعدة 50؛ وللدكتور محمد الزحيلي، ص76.</w:t>
      </w:r>
      <w:r>
        <w:rPr>
          <w:rFonts w:hint="cs"/>
          <w:spacing w:val="10"/>
          <w:rtl/>
        </w:rPr>
        <w:tab/>
      </w:r>
      <w:r>
        <w:rPr>
          <w:rFonts w:hint="cs"/>
          <w:spacing w:val="10"/>
          <w:rtl/>
        </w:rPr>
        <w:tab/>
        <w:t xml:space="preserve"> </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2"/>
          <w:rtl/>
        </w:rPr>
      </w:pPr>
      <w:r>
        <w:rPr>
          <w:rFonts w:hint="cs"/>
          <w:spacing w:val="-2"/>
          <w:rtl/>
        </w:rPr>
        <w:t xml:space="preserve">فتاوى قاضي خان، 1/325، 501، 524، 539؛ الفتاوى البزازية، 2/490؛ مجموع فتاوى شيخ </w:t>
      </w:r>
      <w:r w:rsidRPr="0049595F">
        <w:rPr>
          <w:rFonts w:hint="cs"/>
          <w:spacing w:val="-4"/>
          <w:rtl/>
        </w:rPr>
        <w:t xml:space="preserve">الإسلام، 21/527؛ المحيط البرهاني، ق3، ص797؛ مغني المحتاج، 3/329؛ ردّ المحتار، 5/579، </w:t>
      </w:r>
      <w:r>
        <w:rPr>
          <w:rFonts w:hint="cs"/>
          <w:spacing w:val="-2"/>
          <w:rtl/>
        </w:rPr>
        <w:t xml:space="preserve">584. </w:t>
      </w:r>
    </w:p>
  </w:footnote>
  <w:footnote w:id="30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(الفتاوي البزازية) : </w:t>
      </w:r>
      <w:r>
        <w:rPr>
          <w:rFonts w:hint="eastAsia"/>
          <w:rtl/>
        </w:rPr>
        <w:t>«</w:t>
      </w:r>
      <w:r>
        <w:rPr>
          <w:rFonts w:hint="cs"/>
          <w:rtl/>
        </w:rPr>
        <w:t>أو</w:t>
      </w:r>
      <w:r>
        <w:rPr>
          <w:rFonts w:hint="eastAsia"/>
          <w:rtl/>
        </w:rPr>
        <w:t>»</w:t>
      </w:r>
      <w:r>
        <w:rPr>
          <w:rFonts w:hint="cs"/>
          <w:rtl/>
        </w:rPr>
        <w:t>. وهذا الأولى.</w:t>
      </w:r>
    </w:p>
  </w:footnote>
  <w:footnote w:id="30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الفتاوي البزازية وأشباه ابن نجيم : </w:t>
      </w:r>
      <w:r>
        <w:rPr>
          <w:rFonts w:hint="eastAsia"/>
          <w:rtl/>
        </w:rPr>
        <w:t>«</w:t>
      </w:r>
      <w:r>
        <w:rPr>
          <w:rFonts w:hint="cs"/>
          <w:rtl/>
        </w:rPr>
        <w:t>حالفًا بكلِّه</w:t>
      </w:r>
      <w:r>
        <w:rPr>
          <w:rFonts w:hint="eastAsia"/>
          <w:rtl/>
        </w:rPr>
        <w:t>»</w:t>
      </w:r>
      <w:r>
        <w:rPr>
          <w:rFonts w:hint="cs"/>
          <w:rtl/>
        </w:rPr>
        <w:t xml:space="preserve"> (بزيادة : كلِّه). وهذه الزيادة في اللفظ فيها زيادة في المعنى؛ إذ فيها تأكيد لكون زيد يعّد حالفًا في الأمثلة الثلاثة جميعها.</w:t>
      </w:r>
    </w:p>
  </w:footnote>
  <w:footnote w:id="30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2/490 - مع الاختلاف الذي سبق ذكره-؛ الأشباه والنظائر لابن نجيم، ص178- وفيه نسبة هذه العبارة إلى البزازية أيضًا-؛ قواعد الفقه للمجدّدي، ص84- فقد عزا هذه العبارة إلى ابن نجيم-.</w:t>
      </w:r>
    </w:p>
  </w:footnote>
  <w:footnote w:id="30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قبل</w:t>
      </w:r>
      <w:r>
        <w:rPr>
          <w:rFonts w:hint="eastAsia"/>
          <w:rtl/>
        </w:rPr>
        <w:t>»</w:t>
      </w:r>
      <w:r>
        <w:rPr>
          <w:rFonts w:hint="cs"/>
          <w:rtl/>
        </w:rPr>
        <w:t>.</w:t>
      </w:r>
    </w:p>
  </w:footnote>
  <w:footnote w:id="30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الفتاوى الـبزازيـة، 1/176؛ الأشـباه والنظائر لابن نجيم، ص178، وفيه نسبة هذه العبارة إلى البزازية أيضًا.</w:t>
      </w:r>
    </w:p>
  </w:footnote>
  <w:footnote w:id="30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يكون من أمور</w:t>
      </w:r>
      <w:r>
        <w:rPr>
          <w:rFonts w:hint="eastAsia"/>
          <w:rtl/>
        </w:rPr>
        <w:t>»</w:t>
      </w:r>
      <w:r>
        <w:rPr>
          <w:rFonts w:hint="cs"/>
          <w:rtl/>
        </w:rPr>
        <w:t xml:space="preserve">، وفي (جـ) : </w:t>
      </w:r>
      <w:r>
        <w:rPr>
          <w:rFonts w:hint="eastAsia"/>
          <w:rtl/>
        </w:rPr>
        <w:t>«</w:t>
      </w:r>
      <w:r>
        <w:rPr>
          <w:rFonts w:hint="cs"/>
          <w:rtl/>
        </w:rPr>
        <w:t>تكون من أمور</w:t>
      </w:r>
      <w:r>
        <w:rPr>
          <w:rFonts w:hint="eastAsia"/>
          <w:rtl/>
        </w:rPr>
        <w:t>»</w:t>
      </w:r>
      <w:r>
        <w:rPr>
          <w:rFonts w:hint="cs"/>
          <w:rtl/>
        </w:rPr>
        <w:t xml:space="preserve">، وفي (د): </w:t>
      </w:r>
      <w:r>
        <w:rPr>
          <w:rFonts w:hint="eastAsia"/>
          <w:rtl/>
        </w:rPr>
        <w:t>«</w:t>
      </w:r>
      <w:r>
        <w:rPr>
          <w:rFonts w:hint="cs"/>
          <w:rtl/>
        </w:rPr>
        <w:t>تكون من الأمور</w:t>
      </w:r>
      <w:r>
        <w:rPr>
          <w:rFonts w:hint="eastAsia"/>
          <w:rtl/>
        </w:rPr>
        <w:t>»</w:t>
      </w:r>
      <w:r>
        <w:rPr>
          <w:rFonts w:hint="cs"/>
          <w:rtl/>
        </w:rPr>
        <w:t>. والصحيح ما تمَّ إثباته من (ب)، وهو الموافق للدُّرر شرح الغرر.</w:t>
      </w:r>
    </w:p>
  </w:footnote>
  <w:footnote w:id="30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 :</w:t>
      </w:r>
    </w:p>
    <w:p w:rsidR="00035BE3" w:rsidRDefault="00035BE3" w:rsidP="00C10469">
      <w:pPr>
        <w:pStyle w:val="a6"/>
        <w:ind w:left="422" w:firstLine="0"/>
        <w:rPr>
          <w:rtl/>
        </w:rPr>
      </w:pPr>
      <w:r>
        <w:rPr>
          <w:rFonts w:hint="cs"/>
          <w:rtl/>
        </w:rPr>
        <w:t xml:space="preserve">ورد في صدر هذه القاعدة لفظ (السِّراية)، </w:t>
      </w:r>
      <w:r>
        <w:rPr>
          <w:rFonts w:hint="cs"/>
          <w:b/>
          <w:bCs/>
          <w:rtl/>
        </w:rPr>
        <w:t>والسراية في اللغة :</w:t>
      </w:r>
      <w:r>
        <w:rPr>
          <w:rFonts w:hint="cs"/>
          <w:rtl/>
        </w:rPr>
        <w:t xml:space="preserve"> مشتقة من مادة </w:t>
      </w:r>
      <w:r>
        <w:rPr>
          <w:rFonts w:hint="eastAsia"/>
          <w:rtl/>
        </w:rPr>
        <w:t>«</w:t>
      </w:r>
      <w:r>
        <w:rPr>
          <w:rFonts w:hint="cs"/>
          <w:rtl/>
        </w:rPr>
        <w:t>سرو</w:t>
      </w:r>
      <w:r>
        <w:rPr>
          <w:rFonts w:hint="eastAsia"/>
          <w:rtl/>
        </w:rPr>
        <w:t>»</w:t>
      </w:r>
      <w:r>
        <w:rPr>
          <w:rFonts w:hint="cs"/>
          <w:rtl/>
        </w:rPr>
        <w:t xml:space="preserve">، والسين والراء والحرف المعتل - كما يقول صاحب (المقاييس)-: </w:t>
      </w:r>
      <w:r>
        <w:rPr>
          <w:rFonts w:hint="eastAsia"/>
          <w:rtl/>
        </w:rPr>
        <w:t>«</w:t>
      </w:r>
      <w:r>
        <w:rPr>
          <w:rFonts w:hint="cs"/>
          <w:rtl/>
        </w:rPr>
        <w:t>باب متفاوت، لا تكاد كلمتان منه تجتمعان في قياس واحد</w:t>
      </w:r>
      <w:r>
        <w:rPr>
          <w:rFonts w:hint="eastAsia"/>
          <w:rtl/>
        </w:rPr>
        <w:t>»</w:t>
      </w:r>
      <w:r>
        <w:rPr>
          <w:rFonts w:hint="cs"/>
          <w:rtl/>
        </w:rPr>
        <w:t xml:space="preserve">، إلا أن أقرب المعاني للمعنى الاصطلاحي هو المضي؛ إذْ السِّراية مصدر </w:t>
      </w:r>
      <w:r>
        <w:rPr>
          <w:rFonts w:hint="eastAsia"/>
          <w:rtl/>
        </w:rPr>
        <w:t>«</w:t>
      </w:r>
      <w:r>
        <w:rPr>
          <w:rFonts w:hint="cs"/>
          <w:rtl/>
        </w:rPr>
        <w:t>سرا، يسري إذا مضى</w:t>
      </w:r>
      <w:r>
        <w:rPr>
          <w:rFonts w:hint="eastAsia"/>
          <w:rtl/>
        </w:rPr>
        <w:t>»</w:t>
      </w:r>
      <w:r>
        <w:rPr>
          <w:rFonts w:hint="cs"/>
          <w:rtl/>
        </w:rPr>
        <w:t xml:space="preserve"> ومنه قوله تعالى : </w:t>
      </w:r>
      <w:r>
        <w:rPr>
          <w:color w:val="000000"/>
          <w:sz w:val="24"/>
          <w:szCs w:val="24"/>
        </w:rPr>
        <w:sym w:font="HQPB2" w:char="F0E2"/>
      </w:r>
      <w:r>
        <w:rPr>
          <w:color w:val="000000"/>
          <w:sz w:val="24"/>
          <w:szCs w:val="24"/>
          <w:rtl/>
        </w:rPr>
        <w:t xml:space="preserve"> </w:t>
      </w:r>
      <w:r>
        <w:rPr>
          <w:color w:val="000000"/>
          <w:sz w:val="24"/>
          <w:szCs w:val="24"/>
        </w:rPr>
        <w:sym w:font="HQPB4" w:char="F0C8"/>
      </w:r>
      <w:r>
        <w:rPr>
          <w:color w:val="000000"/>
          <w:sz w:val="24"/>
          <w:szCs w:val="24"/>
        </w:rPr>
        <w:sym w:font="HQPB2" w:char="F040"/>
      </w:r>
      <w:r>
        <w:rPr>
          <w:color w:val="000000"/>
          <w:sz w:val="24"/>
          <w:szCs w:val="24"/>
        </w:rPr>
        <w:sym w:font="HQPB4" w:char="F0F8"/>
      </w:r>
      <w:r>
        <w:rPr>
          <w:color w:val="000000"/>
          <w:sz w:val="24"/>
          <w:szCs w:val="24"/>
        </w:rPr>
        <w:sym w:font="HQPB2" w:char="F08B"/>
      </w:r>
      <w:r>
        <w:rPr>
          <w:color w:val="000000"/>
          <w:sz w:val="24"/>
          <w:szCs w:val="24"/>
        </w:rPr>
        <w:sym w:font="HQPB4" w:char="F0A9"/>
      </w:r>
      <w:r>
        <w:rPr>
          <w:color w:val="000000"/>
          <w:sz w:val="24"/>
          <w:szCs w:val="24"/>
        </w:rPr>
        <w:sym w:font="HQPB2" w:char="F039"/>
      </w:r>
      <w:r>
        <w:rPr>
          <w:color w:val="000000"/>
          <w:sz w:val="24"/>
          <w:szCs w:val="24"/>
        </w:rPr>
        <w:sym w:font="HQPB5" w:char="F024"/>
      </w:r>
      <w:r>
        <w:rPr>
          <w:color w:val="000000"/>
          <w:sz w:val="24"/>
          <w:szCs w:val="24"/>
        </w:rPr>
        <w:sym w:font="HQPB1" w:char="F023"/>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1" w:char="F023"/>
      </w:r>
      <w:r>
        <w:rPr>
          <w:color w:val="000000"/>
          <w:sz w:val="24"/>
          <w:szCs w:val="24"/>
        </w:rPr>
        <w:sym w:font="HQPB5" w:char="F073"/>
      </w:r>
      <w:r>
        <w:rPr>
          <w:color w:val="000000"/>
          <w:sz w:val="24"/>
          <w:szCs w:val="24"/>
        </w:rPr>
        <w:sym w:font="HQPB1" w:char="F08C"/>
      </w:r>
      <w:r>
        <w:rPr>
          <w:color w:val="000000"/>
          <w:sz w:val="24"/>
          <w:szCs w:val="24"/>
        </w:rPr>
        <w:sym w:font="HQPB4" w:char="F0CE"/>
      </w:r>
      <w:r>
        <w:rPr>
          <w:color w:val="000000"/>
          <w:sz w:val="24"/>
          <w:szCs w:val="24"/>
        </w:rPr>
        <w:sym w:font="HQPB1" w:char="F029"/>
      </w:r>
      <w:r>
        <w:rPr>
          <w:color w:val="000000"/>
          <w:sz w:val="24"/>
          <w:szCs w:val="24"/>
          <w:rtl/>
        </w:rPr>
        <w:t xml:space="preserve"> </w:t>
      </w:r>
      <w:r>
        <w:rPr>
          <w:color w:val="000000"/>
          <w:sz w:val="24"/>
          <w:szCs w:val="24"/>
        </w:rPr>
        <w:sym w:font="HQPB4" w:char="F0CE"/>
      </w:r>
      <w:r>
        <w:rPr>
          <w:color w:val="000000"/>
          <w:sz w:val="24"/>
          <w:szCs w:val="24"/>
        </w:rPr>
        <w:sym w:font="HQPB1" w:char="F08E"/>
      </w:r>
      <w:r>
        <w:rPr>
          <w:color w:val="000000"/>
          <w:sz w:val="24"/>
          <w:szCs w:val="24"/>
        </w:rPr>
        <w:sym w:font="HQPB4" w:char="F0F4"/>
      </w:r>
      <w:r>
        <w:rPr>
          <w:color w:val="000000"/>
          <w:sz w:val="24"/>
          <w:szCs w:val="24"/>
        </w:rPr>
        <w:sym w:font="HQPB1" w:char="F0A3"/>
      </w:r>
      <w:r>
        <w:rPr>
          <w:color w:val="000000"/>
          <w:sz w:val="24"/>
          <w:szCs w:val="24"/>
        </w:rPr>
        <w:sym w:font="HQPB5" w:char="F06F"/>
      </w:r>
      <w:r>
        <w:rPr>
          <w:color w:val="000000"/>
          <w:sz w:val="24"/>
          <w:szCs w:val="24"/>
        </w:rPr>
        <w:sym w:font="HQPB2" w:char="F084"/>
      </w:r>
      <w:r>
        <w:rPr>
          <w:color w:val="000000"/>
          <w:sz w:val="24"/>
          <w:szCs w:val="24"/>
          <w:rtl/>
        </w:rPr>
        <w:t xml:space="preserve">  </w:t>
      </w:r>
      <w:r>
        <w:rPr>
          <w:color w:val="000000"/>
          <w:sz w:val="24"/>
          <w:szCs w:val="24"/>
        </w:rPr>
        <w:sym w:font="HQPB2" w:char="F0E1"/>
      </w:r>
      <w:r>
        <w:rPr>
          <w:rFonts w:hint="cs"/>
          <w:rtl/>
        </w:rPr>
        <w:t xml:space="preserve"> [آية رقم (4) من سورة الفجر] فَـ </w:t>
      </w:r>
      <w:r>
        <w:rPr>
          <w:rFonts w:hint="eastAsia"/>
          <w:rtl/>
        </w:rPr>
        <w:t>«</w:t>
      </w:r>
      <w:r>
        <w:rPr>
          <w:rFonts w:hint="cs"/>
          <w:rtl/>
        </w:rPr>
        <w:t>معنى يَسْرِ : يمضي</w:t>
      </w:r>
      <w:r>
        <w:rPr>
          <w:rFonts w:hint="eastAsia"/>
          <w:rtl/>
        </w:rPr>
        <w:t>»</w:t>
      </w:r>
      <w:r>
        <w:rPr>
          <w:rFonts w:hint="cs"/>
          <w:rtl/>
        </w:rPr>
        <w:t>- هكذا في اللسان-.</w:t>
      </w:r>
    </w:p>
    <w:p w:rsidR="00035BE3" w:rsidRDefault="00035BE3" w:rsidP="00C10469">
      <w:pPr>
        <w:pStyle w:val="a6"/>
        <w:ind w:left="422" w:firstLine="0"/>
        <w:rPr>
          <w:spacing w:val="-8"/>
          <w:rtl/>
        </w:rPr>
      </w:pPr>
      <w:r>
        <w:rPr>
          <w:rFonts w:hint="cs"/>
          <w:b/>
          <w:bCs/>
          <w:spacing w:val="-8"/>
          <w:rtl/>
        </w:rPr>
        <w:t>أما في الاصطلاح</w:t>
      </w:r>
      <w:r>
        <w:rPr>
          <w:rFonts w:hint="cs"/>
          <w:spacing w:val="-8"/>
          <w:rtl/>
        </w:rPr>
        <w:t xml:space="preserve"> فالسـرايـة : </w:t>
      </w:r>
      <w:r>
        <w:rPr>
          <w:rFonts w:hint="eastAsia"/>
          <w:spacing w:val="-8"/>
          <w:rtl/>
        </w:rPr>
        <w:t>«</w:t>
      </w:r>
      <w:r>
        <w:rPr>
          <w:rFonts w:hint="cs"/>
          <w:spacing w:val="-8"/>
          <w:rtl/>
        </w:rPr>
        <w:t>هي النفوذ في المضاف إليه، ثم التعدِّي إلى باقيه</w:t>
      </w:r>
      <w:r>
        <w:rPr>
          <w:rFonts w:hint="eastAsia"/>
          <w:spacing w:val="-8"/>
          <w:rtl/>
        </w:rPr>
        <w:t>»</w:t>
      </w:r>
      <w:r>
        <w:rPr>
          <w:rFonts w:hint="cs"/>
          <w:spacing w:val="-8"/>
          <w:rtl/>
        </w:rPr>
        <w:t>- هكذا في المنثور والموسوعة الفقهية-.</w:t>
      </w:r>
    </w:p>
    <w:p w:rsidR="00035BE3" w:rsidRDefault="00035BE3" w:rsidP="00C10469">
      <w:pPr>
        <w:pStyle w:val="a6"/>
        <w:ind w:left="422" w:firstLine="0"/>
        <w:rPr>
          <w:rtl/>
        </w:rPr>
      </w:pPr>
      <w:r>
        <w:rPr>
          <w:rFonts w:hint="cs"/>
          <w:rtl/>
        </w:rPr>
        <w:t xml:space="preserve">أما باقي ألفاظ القاعدة فقد جاءت مفسرة في (الهداية) بعبارة قريبة منها، وهي : </w:t>
      </w:r>
      <w:r>
        <w:rPr>
          <w:rFonts w:hint="eastAsia"/>
          <w:rtl/>
        </w:rPr>
        <w:t>«</w:t>
      </w:r>
      <w:r>
        <w:rPr>
          <w:rFonts w:hint="cs"/>
          <w:rtl/>
        </w:rPr>
        <w:t>السراية في الأوصاف الشرعية دون الأوصاف الحقيقية</w:t>
      </w:r>
      <w:r>
        <w:rPr>
          <w:rFonts w:hint="eastAsia"/>
          <w:rtl/>
        </w:rPr>
        <w:t>»</w:t>
      </w:r>
      <w:r>
        <w:rPr>
          <w:rFonts w:hint="cs"/>
          <w:rtl/>
        </w:rPr>
        <w:t xml:space="preserve">، وقد علَّلها صاحب (العناية) بقوله : </w:t>
      </w:r>
      <w:r>
        <w:rPr>
          <w:rFonts w:hint="eastAsia"/>
          <w:rtl/>
        </w:rPr>
        <w:t>«</w:t>
      </w:r>
      <w:r>
        <w:rPr>
          <w:rFonts w:hint="cs"/>
          <w:rtl/>
        </w:rPr>
        <w:t>بناء على أن الوصف الحقيقي في محلٍّ لا يمكن أن ينتقل إلى غيره، وأما الوصف الشرعي فهو أمر اعتباري، يتحوَّل بتحوُّله</w:t>
      </w:r>
      <w:r>
        <w:rPr>
          <w:rFonts w:hint="eastAsia"/>
          <w:rtl/>
        </w:rPr>
        <w:t>»</w:t>
      </w:r>
      <w:r>
        <w:rPr>
          <w:rFonts w:hint="cs"/>
          <w:rtl/>
        </w:rPr>
        <w:t>- وجاء نحو هذا التعليل في تبيين الحقائق-.</w:t>
      </w:r>
    </w:p>
    <w:p w:rsidR="00035BE3" w:rsidRDefault="00035BE3" w:rsidP="00C10469">
      <w:pPr>
        <w:pStyle w:val="a6"/>
        <w:ind w:left="422" w:firstLine="0"/>
        <w:rPr>
          <w:rtl/>
        </w:rPr>
      </w:pPr>
      <w:r>
        <w:rPr>
          <w:rFonts w:hint="cs"/>
          <w:rtl/>
        </w:rPr>
        <w:t xml:space="preserve">وبناء على جميع ما تقدم فيمكن أن يقال في </w:t>
      </w:r>
      <w:r>
        <w:rPr>
          <w:rFonts w:hint="cs"/>
          <w:b/>
          <w:bCs/>
          <w:rtl/>
        </w:rPr>
        <w:t>المعنى الإجمالي للقاعدة</w:t>
      </w:r>
      <w:r>
        <w:rPr>
          <w:rFonts w:hint="cs"/>
          <w:rtl/>
        </w:rPr>
        <w:t xml:space="preserve"> :</w:t>
      </w:r>
    </w:p>
    <w:p w:rsidR="00035BE3" w:rsidRDefault="00035BE3" w:rsidP="00C10469">
      <w:pPr>
        <w:pStyle w:val="a6"/>
        <w:ind w:left="422" w:firstLine="0"/>
        <w:rPr>
          <w:spacing w:val="6"/>
          <w:rtl/>
        </w:rPr>
      </w:pPr>
      <w:r>
        <w:rPr>
          <w:rFonts w:hint="cs"/>
          <w:spacing w:val="6"/>
          <w:rtl/>
        </w:rPr>
        <w:t>إن الصفات الثابتة في الأصل تتعدى إلى الفرع إذا كانت شرعية؛ لأن الوصف الشرعي أمر اعتباري يتحوّل بتحوّله. أما إذا كانت حقيقية فإنها لا تتعدى؛ لأن الوصف الحقيقي في محلٍّ لا يمكن أن ينتقل إلى غيره.</w:t>
      </w:r>
    </w:p>
    <w:p w:rsidR="00035BE3" w:rsidRDefault="00035BE3" w:rsidP="00C10469">
      <w:pPr>
        <w:pStyle w:val="a6"/>
        <w:ind w:left="422" w:firstLine="0"/>
        <w:rPr>
          <w:rtl/>
        </w:rPr>
      </w:pPr>
      <w:r>
        <w:rPr>
          <w:rFonts w:hint="cs"/>
          <w:rtl/>
        </w:rPr>
        <w:t>وقد مثَّل المؤلف للأول بما إذا أذن لأمته بالتجارة، فاستدانت ثم ولدت، فإن الولد يتبعها؛ إذ يباع معها لقضاء الدين؛ لأن الدين وصف شرعي...</w:t>
      </w:r>
    </w:p>
    <w:p w:rsidR="00035BE3" w:rsidRDefault="00035BE3" w:rsidP="00C10469">
      <w:pPr>
        <w:pStyle w:val="a6"/>
        <w:ind w:left="422" w:firstLine="0"/>
        <w:rPr>
          <w:rtl/>
        </w:rPr>
      </w:pPr>
      <w:r>
        <w:rPr>
          <w:rFonts w:hint="cs"/>
          <w:rtl/>
        </w:rPr>
        <w:t xml:space="preserve">أمّا الوصف الحقيقي فقد مثَّل له المؤلف بما إذا جنت هذه الأمة، فإن الولد لا يدفع معها؛ لأن الدفع وصف حقيقي ... ووجه كونه حقيقي هو أن </w:t>
      </w:r>
      <w:r>
        <w:rPr>
          <w:rFonts w:hint="eastAsia"/>
          <w:rtl/>
        </w:rPr>
        <w:t>«</w:t>
      </w:r>
      <w:r>
        <w:rPr>
          <w:rFonts w:hint="cs"/>
          <w:rtl/>
        </w:rPr>
        <w:t>الدفع بالجناية واجب في ذمة المولى لا في ذمتها، وإنما يلاقيها أثر الفعل الحقيقي وهو الدفع. فقبل الدفع كانت رقبتها خالية عن حق وليّ الجناية، فلذلك لا يجري القصاص على الأولاد ولا الحدّ؛ لأنهما فعلان محسوسان كالدفع، ولا تبعية فيه</w:t>
      </w:r>
      <w:r>
        <w:rPr>
          <w:rFonts w:hint="eastAsia"/>
          <w:rtl/>
        </w:rPr>
        <w:t>»</w:t>
      </w:r>
      <w:r>
        <w:rPr>
          <w:rFonts w:hint="cs"/>
          <w:rtl/>
        </w:rPr>
        <w:t>- قاله صاحب تبيين الحقائق-.</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8"/>
          <w:rtl/>
        </w:rPr>
      </w:pPr>
      <w:r>
        <w:rPr>
          <w:rFonts w:hint="cs"/>
          <w:b/>
          <w:bCs/>
          <w:spacing w:val="8"/>
          <w:rtl/>
        </w:rPr>
        <w:t>ولتوثيق ما سبق</w:t>
      </w:r>
      <w:r>
        <w:rPr>
          <w:rFonts w:hint="cs"/>
          <w:spacing w:val="8"/>
          <w:rtl/>
        </w:rPr>
        <w:t xml:space="preserve"> : فإن مواضع الإحالة إلى المراجع السابقة مرتبة على النحو الآتي: المقاييس في اللغة، مادة </w:t>
      </w:r>
      <w:r>
        <w:rPr>
          <w:rFonts w:hint="eastAsia"/>
          <w:spacing w:val="8"/>
          <w:rtl/>
        </w:rPr>
        <w:t>«</w:t>
      </w:r>
      <w:r>
        <w:rPr>
          <w:rFonts w:hint="cs"/>
          <w:spacing w:val="8"/>
          <w:rtl/>
        </w:rPr>
        <w:t>سرو</w:t>
      </w:r>
      <w:r>
        <w:rPr>
          <w:rFonts w:hint="eastAsia"/>
          <w:spacing w:val="8"/>
          <w:rtl/>
        </w:rPr>
        <w:t>»</w:t>
      </w:r>
      <w:r>
        <w:rPr>
          <w:rFonts w:hint="cs"/>
          <w:spacing w:val="8"/>
          <w:rtl/>
        </w:rPr>
        <w:t xml:space="preserve">، ص513؛ لسان العرب، مادة </w:t>
      </w:r>
      <w:r>
        <w:rPr>
          <w:rFonts w:hint="eastAsia"/>
          <w:spacing w:val="8"/>
          <w:rtl/>
        </w:rPr>
        <w:t>«</w:t>
      </w:r>
      <w:r>
        <w:rPr>
          <w:rFonts w:hint="cs"/>
          <w:spacing w:val="8"/>
          <w:rtl/>
        </w:rPr>
        <w:t>سرا</w:t>
      </w:r>
      <w:r>
        <w:rPr>
          <w:rFonts w:hint="eastAsia"/>
          <w:spacing w:val="8"/>
          <w:rtl/>
        </w:rPr>
        <w:t>»</w:t>
      </w:r>
      <w:r>
        <w:rPr>
          <w:rFonts w:hint="cs"/>
          <w:spacing w:val="8"/>
          <w:rtl/>
        </w:rPr>
        <w:t>، 14/382؛ المنثور، 2/200؛ الموسوعة الفقهية، 24/284 (وانظر معنى السراية أيضًا في : طلبة الطلبة، ص136؛ معجم المصطلحات والألفاظ الفقهية للدكتور محمود عبد الرحمن، 2/260؛ معجم لغة الفقهاء، ص217)؛ الهداية وشرحها: العناية، 10/348؛ تبيين الحقائق، 6/158 (وانظر: تكملة البحر الرائق، 8/426). هذا ما يتعلق بتوثيق معنى القاعدة.</w:t>
      </w:r>
    </w:p>
    <w:p w:rsidR="00035BE3" w:rsidRDefault="00035BE3" w:rsidP="00C10469">
      <w:pPr>
        <w:pStyle w:val="a6"/>
        <w:spacing w:line="440" w:lineRule="exact"/>
        <w:ind w:left="422" w:firstLine="0"/>
        <w:rPr>
          <w:rtl/>
        </w:rPr>
      </w:pPr>
      <w:r>
        <w:rPr>
          <w:rFonts w:hint="cs"/>
          <w:b/>
          <w:bCs/>
          <w:rtl/>
        </w:rPr>
        <w:t>أما توثيق لفظ القاعدة</w:t>
      </w:r>
      <w:r>
        <w:rPr>
          <w:rFonts w:hint="cs"/>
          <w:rtl/>
        </w:rPr>
        <w:t xml:space="preserve"> : فقد وردت في عدد من كتب الفقه الحنفي وقواعده :</w:t>
      </w:r>
    </w:p>
    <w:p w:rsidR="00035BE3" w:rsidRDefault="00035BE3" w:rsidP="00C10469">
      <w:pPr>
        <w:pStyle w:val="a6"/>
        <w:spacing w:line="440" w:lineRule="exact"/>
        <w:ind w:left="422" w:firstLine="0"/>
        <w:rPr>
          <w:b/>
          <w:bCs/>
          <w:rtl/>
        </w:rPr>
      </w:pPr>
      <w:r>
        <w:rPr>
          <w:rFonts w:hint="cs"/>
          <w:b/>
          <w:bCs/>
          <w:rtl/>
        </w:rPr>
        <w:t>فمن كتب القواعد :</w:t>
      </w:r>
    </w:p>
    <w:p w:rsidR="00035BE3" w:rsidRDefault="00035BE3" w:rsidP="00C10469">
      <w:pPr>
        <w:pStyle w:val="a6"/>
        <w:spacing w:line="440" w:lineRule="exact"/>
        <w:ind w:left="422" w:firstLine="0"/>
        <w:rPr>
          <w:rtl/>
        </w:rPr>
      </w:pPr>
      <w:r>
        <w:rPr>
          <w:rFonts w:hint="cs"/>
          <w:rtl/>
        </w:rPr>
        <w:t>مجامع الحقائق (الخاتمة)، ص45؛ شرح العلائي لقواعد الخادمي، ل23/أ؛ منافع الدقائق، ص321- وممّا يلفت النظر في هذين الشرحين أنهما ذكرا لفظ القاعدة ولم يتطّرقا لشرحها إطلاقًا !-.</w:t>
      </w:r>
    </w:p>
    <w:p w:rsidR="00035BE3" w:rsidRDefault="00035BE3" w:rsidP="00C10469">
      <w:pPr>
        <w:pStyle w:val="a6"/>
        <w:spacing w:line="440" w:lineRule="exact"/>
        <w:ind w:left="422" w:firstLine="0"/>
        <w:rPr>
          <w:b/>
          <w:bCs/>
          <w:rtl/>
        </w:rPr>
      </w:pPr>
      <w:r>
        <w:rPr>
          <w:rFonts w:hint="cs"/>
          <w:b/>
          <w:bCs/>
          <w:rtl/>
        </w:rPr>
        <w:t>ومن كتب الفقه :</w:t>
      </w:r>
    </w:p>
    <w:p w:rsidR="00035BE3" w:rsidRDefault="00035BE3" w:rsidP="00C10469">
      <w:pPr>
        <w:pStyle w:val="a6"/>
        <w:spacing w:line="440" w:lineRule="exact"/>
        <w:ind w:left="422" w:firstLine="0"/>
        <w:rPr>
          <w:rtl/>
        </w:rPr>
      </w:pPr>
      <w:r>
        <w:rPr>
          <w:rFonts w:hint="cs"/>
          <w:rtl/>
        </w:rPr>
        <w:t xml:space="preserve">الهداية وشرحها العناية، 10/348 - وقد سبق ذكر لفظ الهداية عند بيان معنى القاعدة-؛ تبيين الحقائق، 6/158؛ تكملة البحر الرائق، 8/426 -ولفظهما : </w:t>
      </w:r>
      <w:r>
        <w:rPr>
          <w:rFonts w:hint="eastAsia"/>
          <w:rtl/>
        </w:rPr>
        <w:t>«</w:t>
      </w:r>
      <w:r>
        <w:rPr>
          <w:rFonts w:hint="cs"/>
          <w:rtl/>
        </w:rPr>
        <w:t>... الصفات الشرعية الثابتة في الأصل تسري إلى الفرع كذلك ...</w:t>
      </w:r>
      <w:r>
        <w:rPr>
          <w:rFonts w:hint="eastAsia"/>
          <w:rtl/>
        </w:rPr>
        <w:t>»</w:t>
      </w:r>
      <w:r>
        <w:rPr>
          <w:rFonts w:hint="cs"/>
          <w:rtl/>
        </w:rPr>
        <w:t xml:space="preserve">-؛ الدُّرر شرح الغرر، 2/115- ولفظه كلفظ المؤلف إلا أنه قال في آخر القاعدة : </w:t>
      </w:r>
      <w:r>
        <w:rPr>
          <w:rFonts w:hint="eastAsia"/>
          <w:rtl/>
        </w:rPr>
        <w:t>«</w:t>
      </w:r>
      <w:r>
        <w:rPr>
          <w:rFonts w:hint="cs"/>
          <w:rtl/>
        </w:rPr>
        <w:t>... الحقيقية</w:t>
      </w:r>
      <w:r>
        <w:rPr>
          <w:rFonts w:hint="eastAsia"/>
          <w:rtl/>
        </w:rPr>
        <w:t>»</w:t>
      </w:r>
      <w:r>
        <w:rPr>
          <w:rFonts w:hint="cs"/>
          <w:rtl/>
        </w:rPr>
        <w:t xml:space="preserve"> (بزيادة الياء)-؛ النافع الكبير شرح الجامع الصغير، ص507- فقد أشار إلى القاعدة في موضعين منفصلين من الصفحة نفسها-.</w:t>
      </w:r>
    </w:p>
  </w:footnote>
  <w:footnote w:id="303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ولذا</w:t>
      </w:r>
      <w:r>
        <w:rPr>
          <w:rFonts w:hint="eastAsia"/>
          <w:rtl/>
        </w:rPr>
        <w:t>»</w:t>
      </w:r>
      <w:r>
        <w:rPr>
          <w:rFonts w:hint="cs"/>
          <w:rtl/>
        </w:rPr>
        <w:t>.</w:t>
      </w:r>
    </w:p>
    <w:p w:rsidR="00035BE3" w:rsidRDefault="00035BE3" w:rsidP="00C10469">
      <w:pPr>
        <w:pStyle w:val="a6"/>
        <w:spacing w:line="440" w:lineRule="exact"/>
        <w:ind w:left="422" w:firstLine="0"/>
        <w:rPr>
          <w:rtl/>
        </w:rPr>
      </w:pPr>
      <w:r>
        <w:rPr>
          <w:rFonts w:hint="cs"/>
          <w:rtl/>
        </w:rPr>
        <w:t>وقد سبق بيان معنى هذا المثال عند شرح القاعدة، في الصفحة السابقة.</w:t>
      </w:r>
    </w:p>
  </w:footnote>
  <w:footnote w:id="303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35/ب من (د).</w:t>
      </w:r>
    </w:p>
  </w:footnote>
  <w:footnote w:id="304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صلب (أ) وفي (د) : </w:t>
      </w:r>
      <w:r>
        <w:rPr>
          <w:rFonts w:hint="eastAsia"/>
          <w:rtl/>
        </w:rPr>
        <w:t>«</w:t>
      </w:r>
      <w:r>
        <w:rPr>
          <w:rFonts w:hint="cs"/>
          <w:rtl/>
        </w:rPr>
        <w:t>ويساع</w:t>
      </w:r>
      <w:r>
        <w:rPr>
          <w:rFonts w:hint="eastAsia"/>
          <w:rtl/>
        </w:rPr>
        <w:t>»</w:t>
      </w:r>
      <w:r>
        <w:rPr>
          <w:rFonts w:hint="cs"/>
          <w:rtl/>
        </w:rPr>
        <w:t xml:space="preserve">، وفي هامش (أ) : </w:t>
      </w:r>
      <w:r>
        <w:rPr>
          <w:rFonts w:hint="eastAsia"/>
          <w:rtl/>
        </w:rPr>
        <w:t>«</w:t>
      </w:r>
      <w:r>
        <w:rPr>
          <w:rFonts w:hint="cs"/>
          <w:rtl/>
        </w:rPr>
        <w:t>ويبتاع (ظ)</w:t>
      </w:r>
      <w:r>
        <w:rPr>
          <w:rFonts w:hint="eastAsia"/>
          <w:rtl/>
        </w:rPr>
        <w:t>»</w:t>
      </w:r>
      <w:r>
        <w:rPr>
          <w:rFonts w:hint="cs"/>
          <w:rtl/>
        </w:rPr>
        <w:t xml:space="preserve"> (أي فيما يظهر للمصحِّح -والله أعلم-). والصحيح ما تمَّ إثباته من (ب) و(جـ) و(هـ) و(و).</w:t>
      </w:r>
    </w:p>
  </w:footnote>
  <w:footnote w:id="30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37/أ من (ب).</w:t>
      </w:r>
      <w:r>
        <w:rPr>
          <w:rFonts w:hint="cs"/>
          <w:rtl/>
        </w:rPr>
        <w:tab/>
      </w:r>
    </w:p>
  </w:footnote>
  <w:footnote w:id="30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المثالان اللذان مثل بهما المؤلف يذكرهما الحنفية غالبًا في باب : جناية العبد، متابعين في ذلك محمد بن الحسن في (الجامع الصغير)، ص57، وبالبحث في هذا الباب من (العناية)، وفي مظان أخر للمثالين : تمَّ الوقوف على معناهما (في الباب المذكور آنفًا) في (الهداية) وشرحها : (العناية)، 10/348؛ أما لفظهما أو قريب منه فلم أعثر عليه في (العناية) إلا أن أقرب الألفاظ إليه لفظ صاحب (الدّرر)، 2/115؛ لهذا فلعل المؤلف وصاحب (الدّرر) اطَّلعا على موضع آخر في (العناية) لم أعثر عليه، أو أن المؤلف استفاد المثالين من (الدَّرر) فوهم ونسبهما إلى (العناية) -والله أعلم-.</w:t>
      </w:r>
    </w:p>
    <w:p w:rsidR="00035BE3" w:rsidRDefault="00035BE3" w:rsidP="00C10469">
      <w:pPr>
        <w:pStyle w:val="a6"/>
        <w:ind w:left="422" w:firstLine="0"/>
        <w:rPr>
          <w:rtl/>
        </w:rPr>
      </w:pPr>
      <w:r>
        <w:rPr>
          <w:rFonts w:hint="cs"/>
          <w:rtl/>
        </w:rPr>
        <w:t>وانظر المثالين أيضًا في : تبيين الحقائق، 6/158؛ وتكملة البحر الرائق، 8/426.</w:t>
      </w:r>
    </w:p>
  </w:footnote>
  <w:footnote w:id="30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57/أ من (أ).</w:t>
      </w:r>
    </w:p>
  </w:footnote>
  <w:footnote w:id="30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بمعناها مقترنة بمثالها في عددٍ من كتب الفقه الحنفي، منها :</w:t>
      </w:r>
    </w:p>
    <w:p w:rsidR="00035BE3" w:rsidRDefault="00035BE3" w:rsidP="00C10469">
      <w:pPr>
        <w:pStyle w:val="a6"/>
        <w:ind w:left="422" w:firstLine="0"/>
        <w:rPr>
          <w:rtl/>
        </w:rPr>
      </w:pPr>
      <w:r>
        <w:rPr>
          <w:rFonts w:hint="cs"/>
          <w:rtl/>
        </w:rPr>
        <w:t>الهداية وشرحها : العناية، 9/48؛ تبيين الحقائق، 5/102؛ الدُّرر شرح الغرر، 2/224؛ البحر الرائق، 7/295؛ الدُّر المختار، 8/514..</w:t>
      </w:r>
    </w:p>
  </w:footnote>
  <w:footnote w:id="30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ففي </w:t>
      </w:r>
      <w:r>
        <w:rPr>
          <w:rFonts w:hint="eastAsia"/>
          <w:rtl/>
        </w:rPr>
        <w:t>»</w:t>
      </w:r>
      <w:r>
        <w:rPr>
          <w:rFonts w:hint="cs"/>
          <w:rtl/>
        </w:rPr>
        <w:t xml:space="preserve"> : مكرَّرة في (ب).</w:t>
      </w:r>
    </w:p>
  </w:footnote>
  <w:footnote w:id="30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ص877 (ل70/أ)، قاعدة 174، ونص القاعدة : </w:t>
      </w:r>
      <w:r>
        <w:rPr>
          <w:rFonts w:hint="eastAsia"/>
          <w:rtl/>
        </w:rPr>
        <w:t>«</w:t>
      </w:r>
      <w:r>
        <w:rPr>
          <w:rFonts w:hint="cs"/>
          <w:rtl/>
        </w:rPr>
        <w:t>في كل موضع يملك المدفوع إليه المال المدفوع إليه مقابلاً بملك : فإن المأمور يرجع بلا شرط. وإلاّ فلا</w:t>
      </w:r>
      <w:r>
        <w:rPr>
          <w:rFonts w:hint="eastAsia"/>
          <w:rtl/>
        </w:rPr>
        <w:t>»</w:t>
      </w:r>
      <w:r>
        <w:rPr>
          <w:rFonts w:hint="cs"/>
          <w:rtl/>
        </w:rPr>
        <w:t>.</w:t>
      </w:r>
    </w:p>
    <w:p w:rsidR="00035BE3" w:rsidRDefault="00035BE3" w:rsidP="00C10469">
      <w:pPr>
        <w:pStyle w:val="a6"/>
        <w:ind w:left="422" w:firstLine="0"/>
        <w:rPr>
          <w:rtl/>
        </w:rPr>
      </w:pPr>
      <w:r>
        <w:rPr>
          <w:rFonts w:hint="cs"/>
          <w:rtl/>
        </w:rPr>
        <w:t xml:space="preserve">وانظر المثال المذكور في مصادر القاعدة الآنف ذكرها، فقد ورد فيها المثال بعبارات أخر توضحه، ومن ذلك قول صاحب (الهداية) : </w:t>
      </w:r>
      <w:r>
        <w:rPr>
          <w:rFonts w:hint="eastAsia"/>
          <w:rtl/>
        </w:rPr>
        <w:t>«</w:t>
      </w:r>
      <w:r>
        <w:rPr>
          <w:rFonts w:hint="cs"/>
          <w:rtl/>
        </w:rPr>
        <w:t>وإذا تلفت العين الموهوبة، واستحقها مستحق، وضمن الموهوب له: لم يرجع على الواهب بشىء؛ لأنه عقد تبرع، فلا يستحق فيه السلامة، وهو غير عاملٍ له</w:t>
      </w:r>
      <w:r>
        <w:rPr>
          <w:rFonts w:hint="eastAsia"/>
          <w:rtl/>
        </w:rPr>
        <w:t>»</w:t>
      </w:r>
      <w:r>
        <w:rPr>
          <w:rFonts w:hint="cs"/>
          <w:rtl/>
        </w:rPr>
        <w:t>.</w:t>
      </w:r>
    </w:p>
  </w:footnote>
  <w:footnote w:id="30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البيع</w:t>
      </w:r>
      <w:r>
        <w:rPr>
          <w:rFonts w:hint="eastAsia"/>
          <w:rtl/>
        </w:rPr>
        <w:t>»</w:t>
      </w:r>
      <w:r>
        <w:rPr>
          <w:rFonts w:hint="cs"/>
          <w:rtl/>
        </w:rPr>
        <w:t>. والصحيح ما تمَّ إثباته من (ب)، وهو الموافق للدُّرر.</w:t>
      </w:r>
    </w:p>
  </w:footnote>
  <w:footnote w:id="30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44/أ من (جـ).</w:t>
      </w:r>
    </w:p>
  </w:footnote>
  <w:footnote w:id="3049">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الدَّرر شرح الغرر، 2/326.</w:t>
      </w:r>
    </w:p>
  </w:footnote>
  <w:footnote w:id="3050">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إذا</w:t>
      </w:r>
      <w:r>
        <w:rPr>
          <w:rFonts w:hint="eastAsia"/>
          <w:rtl/>
        </w:rPr>
        <w:t>»</w:t>
      </w:r>
      <w:r>
        <w:rPr>
          <w:rFonts w:hint="cs"/>
          <w:rtl/>
        </w:rPr>
        <w:t>.</w:t>
      </w:r>
    </w:p>
  </w:footnote>
  <w:footnote w:id="3051">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شرط</w:t>
      </w:r>
      <w:r>
        <w:rPr>
          <w:rFonts w:hint="eastAsia"/>
          <w:rtl/>
        </w:rPr>
        <w:t>»</w:t>
      </w:r>
      <w:r>
        <w:rPr>
          <w:rFonts w:hint="cs"/>
          <w:rtl/>
        </w:rPr>
        <w:t>.</w:t>
      </w:r>
    </w:p>
  </w:footnote>
  <w:footnote w:id="3052">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المزارعة لغة</w:t>
      </w:r>
      <w:r>
        <w:rPr>
          <w:rFonts w:hint="cs"/>
          <w:rtl/>
        </w:rPr>
        <w:t xml:space="preserve"> : مشتقة من مادة </w:t>
      </w:r>
      <w:r>
        <w:rPr>
          <w:rFonts w:hint="eastAsia"/>
          <w:rtl/>
        </w:rPr>
        <w:t>«</w:t>
      </w:r>
      <w:r>
        <w:rPr>
          <w:rFonts w:hint="cs"/>
          <w:rtl/>
        </w:rPr>
        <w:t>زرع</w:t>
      </w:r>
      <w:r>
        <w:rPr>
          <w:rFonts w:hint="eastAsia"/>
          <w:rtl/>
        </w:rPr>
        <w:t>»</w:t>
      </w:r>
      <w:r>
        <w:rPr>
          <w:rFonts w:hint="cs"/>
          <w:rtl/>
        </w:rPr>
        <w:t xml:space="preserve">، والزاء والراء والعين -كما يقول ابن فارس- : </w:t>
      </w:r>
      <w:r>
        <w:rPr>
          <w:rFonts w:hint="eastAsia"/>
          <w:rtl/>
        </w:rPr>
        <w:t>«</w:t>
      </w:r>
      <w:r>
        <w:rPr>
          <w:rFonts w:hint="cs"/>
          <w:rtl/>
        </w:rPr>
        <w:t>أصل يدل على تنمية الشيء، فالزرع ... اسم لما نبت</w:t>
      </w:r>
      <w:r>
        <w:rPr>
          <w:rFonts w:hint="eastAsia"/>
          <w:rtl/>
        </w:rPr>
        <w:t>»</w:t>
      </w:r>
      <w:r>
        <w:rPr>
          <w:rFonts w:hint="cs"/>
          <w:rtl/>
        </w:rPr>
        <w:t>.</w:t>
      </w:r>
    </w:p>
    <w:p w:rsidR="00035BE3" w:rsidRDefault="00035BE3" w:rsidP="00C10469">
      <w:pPr>
        <w:pStyle w:val="a6"/>
        <w:spacing w:line="228" w:lineRule="auto"/>
        <w:ind w:left="420" w:firstLine="0"/>
        <w:rPr>
          <w:rtl/>
        </w:rPr>
      </w:pPr>
      <w:r>
        <w:rPr>
          <w:rFonts w:hint="cs"/>
          <w:b/>
          <w:bCs/>
          <w:rtl/>
        </w:rPr>
        <w:t>أما في الاصطلاح :</w:t>
      </w:r>
      <w:r>
        <w:rPr>
          <w:rFonts w:hint="cs"/>
          <w:rtl/>
        </w:rPr>
        <w:t xml:space="preserve"> فهي عند الحنفية : </w:t>
      </w:r>
      <w:r>
        <w:rPr>
          <w:rFonts w:hint="eastAsia"/>
          <w:rtl/>
        </w:rPr>
        <w:t>«</w:t>
      </w:r>
      <w:r>
        <w:rPr>
          <w:rFonts w:hint="cs"/>
          <w:rtl/>
        </w:rPr>
        <w:t>عقد على الزرع ببعض الخارج</w:t>
      </w:r>
      <w:r>
        <w:rPr>
          <w:rFonts w:hint="eastAsia"/>
          <w:rtl/>
        </w:rPr>
        <w:t>»</w:t>
      </w:r>
      <w:r>
        <w:rPr>
          <w:rFonts w:hint="cs"/>
          <w:rtl/>
        </w:rPr>
        <w:t xml:space="preserve"> -كذا في الهداية-.</w:t>
      </w:r>
    </w:p>
    <w:p w:rsidR="00035BE3" w:rsidRDefault="00035BE3" w:rsidP="00C10469">
      <w:pPr>
        <w:pStyle w:val="a6"/>
        <w:spacing w:line="228" w:lineRule="auto"/>
        <w:ind w:left="420" w:firstLine="0"/>
        <w:rPr>
          <w:rtl/>
        </w:rPr>
      </w:pPr>
      <w:r>
        <w:rPr>
          <w:rFonts w:hint="cs"/>
          <w:rtl/>
        </w:rPr>
        <w:t xml:space="preserve">- المقاييس في اللغة، مادة </w:t>
      </w:r>
      <w:r>
        <w:rPr>
          <w:rFonts w:hint="eastAsia"/>
          <w:rtl/>
        </w:rPr>
        <w:t>«</w:t>
      </w:r>
      <w:r>
        <w:rPr>
          <w:rFonts w:hint="cs"/>
          <w:rtl/>
        </w:rPr>
        <w:t>زرع</w:t>
      </w:r>
      <w:r>
        <w:rPr>
          <w:rFonts w:hint="eastAsia"/>
          <w:rtl/>
        </w:rPr>
        <w:t>»</w:t>
      </w:r>
      <w:r>
        <w:rPr>
          <w:rFonts w:hint="cs"/>
          <w:rtl/>
        </w:rPr>
        <w:t xml:space="preserve">، ص470؛ وانظر القاموس المحيط، مادة </w:t>
      </w:r>
      <w:r>
        <w:rPr>
          <w:rFonts w:hint="eastAsia"/>
          <w:rtl/>
        </w:rPr>
        <w:t>«</w:t>
      </w:r>
      <w:r>
        <w:rPr>
          <w:rFonts w:hint="cs"/>
          <w:rtl/>
        </w:rPr>
        <w:t>زرع</w:t>
      </w:r>
      <w:r>
        <w:rPr>
          <w:rFonts w:hint="eastAsia"/>
          <w:rtl/>
        </w:rPr>
        <w:t>»</w:t>
      </w:r>
      <w:r>
        <w:rPr>
          <w:rFonts w:hint="cs"/>
          <w:rtl/>
        </w:rPr>
        <w:t>، ص936.</w:t>
      </w:r>
    </w:p>
    <w:p w:rsidR="00035BE3" w:rsidRDefault="00035BE3" w:rsidP="00C10469">
      <w:pPr>
        <w:pStyle w:val="a6"/>
        <w:spacing w:line="228" w:lineRule="auto"/>
        <w:ind w:left="420" w:firstLine="0"/>
        <w:rPr>
          <w:rtl/>
        </w:rPr>
      </w:pPr>
      <w:r>
        <w:rPr>
          <w:rFonts w:hint="cs"/>
          <w:rtl/>
        </w:rPr>
        <w:t>- الهداية، 9/462؛ وانظر : معجم المصطلحات والألفاظ الفقهية، 3/266.</w:t>
      </w:r>
    </w:p>
  </w:footnote>
  <w:footnote w:id="3053">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التبن</w:t>
      </w:r>
      <w:r>
        <w:rPr>
          <w:rFonts w:hint="cs"/>
          <w:rtl/>
        </w:rPr>
        <w:t xml:space="preserve"> : معناه </w:t>
      </w:r>
      <w:r>
        <w:rPr>
          <w:rFonts w:hint="eastAsia"/>
          <w:rtl/>
        </w:rPr>
        <w:t>«</w:t>
      </w:r>
      <w:r>
        <w:rPr>
          <w:rFonts w:hint="cs"/>
          <w:rtl/>
        </w:rPr>
        <w:t>ما تهشَّم من سيقان القمح والشعير بعد درسه، تعلفه الماشية</w:t>
      </w:r>
      <w:r>
        <w:rPr>
          <w:rFonts w:hint="eastAsia"/>
          <w:rtl/>
        </w:rPr>
        <w:t>»</w:t>
      </w:r>
      <w:r>
        <w:rPr>
          <w:rFonts w:hint="cs"/>
          <w:rtl/>
        </w:rPr>
        <w:t xml:space="preserve">. هكذا في المعجم الوسيط، مادة </w:t>
      </w:r>
      <w:r>
        <w:rPr>
          <w:rFonts w:hint="eastAsia"/>
          <w:rtl/>
        </w:rPr>
        <w:t>«</w:t>
      </w:r>
      <w:r>
        <w:rPr>
          <w:rFonts w:hint="cs"/>
          <w:rtl/>
        </w:rPr>
        <w:t>تَبَنَ</w:t>
      </w:r>
      <w:r>
        <w:rPr>
          <w:rFonts w:hint="eastAsia"/>
          <w:rtl/>
        </w:rPr>
        <w:t>»</w:t>
      </w:r>
      <w:r>
        <w:rPr>
          <w:rFonts w:hint="cs"/>
          <w:rtl/>
        </w:rPr>
        <w:t xml:space="preserve">، 1/82؛ وانظر : المقاييس في اللغة، مادة </w:t>
      </w:r>
      <w:r>
        <w:rPr>
          <w:rFonts w:hint="eastAsia"/>
          <w:rtl/>
        </w:rPr>
        <w:t>«</w:t>
      </w:r>
      <w:r>
        <w:rPr>
          <w:rFonts w:hint="cs"/>
          <w:rtl/>
        </w:rPr>
        <w:t>تـبن</w:t>
      </w:r>
      <w:r>
        <w:rPr>
          <w:rFonts w:hint="eastAsia"/>
          <w:rtl/>
        </w:rPr>
        <w:t>»</w:t>
      </w:r>
      <w:r>
        <w:rPr>
          <w:rFonts w:hint="cs"/>
          <w:rtl/>
        </w:rPr>
        <w:t xml:space="preserve">، ص177؛ لسان العرب، مادة </w:t>
      </w:r>
      <w:r>
        <w:rPr>
          <w:rFonts w:hint="eastAsia"/>
          <w:rtl/>
        </w:rPr>
        <w:t>«</w:t>
      </w:r>
      <w:r>
        <w:rPr>
          <w:rFonts w:hint="cs"/>
          <w:rtl/>
        </w:rPr>
        <w:t>تبن</w:t>
      </w:r>
      <w:r>
        <w:rPr>
          <w:rFonts w:hint="eastAsia"/>
          <w:rtl/>
        </w:rPr>
        <w:t>»</w:t>
      </w:r>
      <w:r>
        <w:rPr>
          <w:rFonts w:hint="cs"/>
          <w:rtl/>
        </w:rPr>
        <w:t xml:space="preserve">، 13/71؛ القاموس المحيط، مادة </w:t>
      </w:r>
      <w:r>
        <w:rPr>
          <w:rFonts w:hint="eastAsia"/>
          <w:rtl/>
        </w:rPr>
        <w:t>«</w:t>
      </w:r>
      <w:r>
        <w:rPr>
          <w:rFonts w:hint="cs"/>
          <w:rtl/>
        </w:rPr>
        <w:t>تبن</w:t>
      </w:r>
      <w:r>
        <w:rPr>
          <w:rFonts w:hint="eastAsia"/>
          <w:rtl/>
        </w:rPr>
        <w:t>»</w:t>
      </w:r>
      <w:r>
        <w:rPr>
          <w:rFonts w:hint="cs"/>
          <w:rtl/>
        </w:rPr>
        <w:t>، ص1527.</w:t>
      </w:r>
    </w:p>
  </w:footnote>
  <w:footnote w:id="3054">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9/470. علمًا بأنه ذكر أن مشايخ بلخ خالفوا وقالوا : التبن بينهما.</w:t>
      </w:r>
    </w:p>
    <w:p w:rsidR="00035BE3" w:rsidRDefault="00035BE3" w:rsidP="00C10469">
      <w:pPr>
        <w:pStyle w:val="a6"/>
        <w:spacing w:line="228" w:lineRule="auto"/>
        <w:ind w:left="420" w:firstLine="0"/>
        <w:rPr>
          <w:rtl/>
        </w:rPr>
      </w:pPr>
      <w:r>
        <w:rPr>
          <w:rFonts w:hint="cs"/>
          <w:rtl/>
        </w:rPr>
        <w:t xml:space="preserve">ونص (الهداية) : </w:t>
      </w:r>
      <w:r>
        <w:rPr>
          <w:rFonts w:hint="eastAsia"/>
          <w:rtl/>
        </w:rPr>
        <w:t>«</w:t>
      </w:r>
      <w:r>
        <w:rPr>
          <w:rFonts w:hint="cs"/>
          <w:rtl/>
        </w:rPr>
        <w:t>ولو شرط الحب نصفين، ولم يتعرضا للتبن : صحت؛ لاشتراطهما الشركة فيما هو المقصود. ثم التبن يكون لصاحب البذر؛ لأنه نماء بذره، وفي حقه لا يحتاج إلى الشرط، والمفسد هو الشرط، وهذا سكوت عنه. وقال مشايخ بلخ -رحمهم الله-: التبن بينهما أيضًا؛ اعتبارًا للعرف فيما لم ينص عليه المتعاقدان ...</w:t>
      </w:r>
      <w:r>
        <w:rPr>
          <w:rFonts w:hint="eastAsia"/>
          <w:rtl/>
        </w:rPr>
        <w:t>»</w:t>
      </w:r>
      <w:r>
        <w:rPr>
          <w:rFonts w:hint="cs"/>
          <w:rtl/>
        </w:rPr>
        <w:t>.</w:t>
      </w:r>
    </w:p>
    <w:p w:rsidR="00035BE3" w:rsidRDefault="00035BE3" w:rsidP="00C10469">
      <w:pPr>
        <w:pStyle w:val="a6"/>
        <w:spacing w:line="228" w:lineRule="auto"/>
        <w:ind w:left="420" w:firstLine="0"/>
        <w:rPr>
          <w:rtl/>
        </w:rPr>
      </w:pPr>
      <w:r>
        <w:rPr>
          <w:rFonts w:hint="cs"/>
          <w:rtl/>
        </w:rPr>
        <w:t>وانظر أيضًا : الدّرر شرح الغرر، 2/326؛ وكذلك تبيين الحقائق، 5/281.</w:t>
      </w:r>
    </w:p>
  </w:footnote>
  <w:footnote w:id="30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الفقهية، كما أنّ لها صلة بعلم أصول الفقه :</w:t>
      </w:r>
    </w:p>
    <w:p w:rsidR="00035BE3" w:rsidRDefault="00035BE3" w:rsidP="00C10469">
      <w:pPr>
        <w:pStyle w:val="a6"/>
        <w:ind w:left="422" w:firstLine="0"/>
        <w:rPr>
          <w:rtl/>
        </w:rPr>
      </w:pPr>
      <w:r>
        <w:rPr>
          <w:rFonts w:hint="cs"/>
          <w:b/>
          <w:bCs/>
          <w:rtl/>
        </w:rPr>
        <w:t>ووجه صلتها بأصول الفقه</w:t>
      </w:r>
      <w:r>
        <w:rPr>
          <w:rFonts w:hint="cs"/>
          <w:rtl/>
        </w:rPr>
        <w:t xml:space="preserve"> أنها تمثل </w:t>
      </w:r>
      <w:r>
        <w:rPr>
          <w:rFonts w:hint="eastAsia"/>
          <w:rtl/>
        </w:rPr>
        <w:t>«</w:t>
      </w:r>
      <w:r>
        <w:rPr>
          <w:rFonts w:hint="cs"/>
          <w:rtl/>
        </w:rPr>
        <w:t>أحد أنواع (بيان الضرورة) وفق اصطلاح الأصوليين من الحنفية</w:t>
      </w:r>
      <w:r>
        <w:rPr>
          <w:rFonts w:hint="eastAsia"/>
          <w:rtl/>
        </w:rPr>
        <w:t>»</w:t>
      </w:r>
      <w:r>
        <w:rPr>
          <w:rFonts w:hint="cs"/>
          <w:rtl/>
        </w:rPr>
        <w:t>- كذا في قواعد الندوي-.</w:t>
      </w:r>
    </w:p>
    <w:p w:rsidR="00035BE3" w:rsidRDefault="00035BE3" w:rsidP="00C10469">
      <w:pPr>
        <w:pStyle w:val="a6"/>
        <w:ind w:left="422" w:firstLine="0"/>
        <w:rPr>
          <w:rtl/>
        </w:rPr>
      </w:pPr>
      <w:r>
        <w:rPr>
          <w:rFonts w:hint="cs"/>
          <w:rtl/>
        </w:rPr>
        <w:t>إذْ البيان عندهم خمسة أقسام، منها بيان الضرورة.</w:t>
      </w:r>
    </w:p>
    <w:p w:rsidR="00035BE3" w:rsidRDefault="00035BE3" w:rsidP="00C10469">
      <w:pPr>
        <w:pStyle w:val="a6"/>
        <w:ind w:left="422" w:firstLine="0"/>
        <w:rPr>
          <w:rtl/>
        </w:rPr>
      </w:pPr>
      <w:r>
        <w:rPr>
          <w:rFonts w:hint="cs"/>
          <w:rtl/>
        </w:rPr>
        <w:t xml:space="preserve">والضرورة : </w:t>
      </w:r>
      <w:r>
        <w:rPr>
          <w:rFonts w:hint="eastAsia"/>
          <w:rtl/>
        </w:rPr>
        <w:t>«</w:t>
      </w:r>
      <w:r>
        <w:rPr>
          <w:rFonts w:hint="cs"/>
          <w:rtl/>
        </w:rPr>
        <w:t>أربعة أقسام، كلها دلالة سكوت ملحق باللفظية؛ لأن السكوت بمعاونة المقام يقتضي اعتبارها</w:t>
      </w:r>
      <w:r>
        <w:rPr>
          <w:rFonts w:hint="eastAsia"/>
          <w:rtl/>
        </w:rPr>
        <w:t>»</w:t>
      </w:r>
      <w:r>
        <w:rPr>
          <w:rFonts w:hint="cs"/>
          <w:rtl/>
        </w:rPr>
        <w:t>- كذا في تيسير التحرير-.</w:t>
      </w:r>
    </w:p>
    <w:p w:rsidR="00035BE3" w:rsidRDefault="00035BE3" w:rsidP="00C10469">
      <w:pPr>
        <w:pStyle w:val="a6"/>
        <w:ind w:left="422" w:firstLine="0"/>
        <w:rPr>
          <w:rtl/>
        </w:rPr>
      </w:pPr>
      <w:r>
        <w:rPr>
          <w:rFonts w:hint="cs"/>
          <w:rtl/>
        </w:rPr>
        <w:t xml:space="preserve">والقسم الثاني من الضرورة : </w:t>
      </w:r>
      <w:r>
        <w:rPr>
          <w:rFonts w:hint="eastAsia"/>
          <w:rtl/>
        </w:rPr>
        <w:t>«</w:t>
      </w:r>
      <w:r>
        <w:rPr>
          <w:rFonts w:hint="cs"/>
          <w:rtl/>
        </w:rPr>
        <w:t>السكوت الذي يكون بيانًا بدلالة حال المتكلم</w:t>
      </w:r>
      <w:r>
        <w:rPr>
          <w:rFonts w:hint="eastAsia"/>
          <w:rtl/>
        </w:rPr>
        <w:t>»</w:t>
      </w:r>
      <w:r>
        <w:rPr>
          <w:rFonts w:hint="cs"/>
          <w:rtl/>
        </w:rPr>
        <w:t>- كذا في كشف الأسرار-.</w:t>
      </w:r>
    </w:p>
    <w:p w:rsidR="00035BE3" w:rsidRDefault="00035BE3" w:rsidP="00C10469">
      <w:pPr>
        <w:pStyle w:val="a6"/>
        <w:ind w:left="422" w:firstLine="0"/>
        <w:rPr>
          <w:rtl/>
        </w:rPr>
      </w:pPr>
      <w:r>
        <w:rPr>
          <w:rFonts w:hint="cs"/>
          <w:rtl/>
        </w:rPr>
        <w:t>وهذا القسم هو الذي عبرت عنه القاعدة.</w:t>
      </w:r>
    </w:p>
    <w:p w:rsidR="00035BE3" w:rsidRDefault="00035BE3" w:rsidP="00C10469">
      <w:pPr>
        <w:pStyle w:val="a6"/>
        <w:ind w:left="422" w:firstLine="0"/>
        <w:rPr>
          <w:rtl/>
        </w:rPr>
      </w:pPr>
      <w:r>
        <w:rPr>
          <w:rFonts w:hint="cs"/>
          <w:rtl/>
        </w:rPr>
        <w:t>وكما تحدث عنها الأصوليون في هذا الموضع أصالة، تحدَّثوا عنها أيضًا في مواضع متفرقة من كتبهم.</w:t>
      </w:r>
    </w:p>
    <w:p w:rsidR="00035BE3" w:rsidRDefault="00035BE3" w:rsidP="00C10469">
      <w:pPr>
        <w:pStyle w:val="a6"/>
        <w:ind w:left="422" w:firstLine="0"/>
        <w:rPr>
          <w:b/>
          <w:bCs/>
          <w:rtl/>
        </w:rPr>
      </w:pPr>
      <w:r>
        <w:rPr>
          <w:rFonts w:hint="cs"/>
          <w:b/>
          <w:bCs/>
          <w:rtl/>
        </w:rPr>
        <w:t>أما علماء القواعد :</w:t>
      </w:r>
    </w:p>
    <w:p w:rsidR="00035BE3" w:rsidRDefault="00035BE3" w:rsidP="00C10469">
      <w:pPr>
        <w:pStyle w:val="a6"/>
        <w:ind w:left="422" w:firstLine="0"/>
        <w:rPr>
          <w:rtl/>
        </w:rPr>
      </w:pPr>
      <w:r>
        <w:rPr>
          <w:rFonts w:hint="cs"/>
          <w:rtl/>
        </w:rPr>
        <w:t xml:space="preserve">فمنهم من أفردها في قاعدة مستقلة، ومنهم من تحدث عنها ضمن قاعدة : </w:t>
      </w:r>
      <w:r>
        <w:rPr>
          <w:rFonts w:hint="eastAsia"/>
          <w:rtl/>
        </w:rPr>
        <w:t>«</w:t>
      </w:r>
      <w:r>
        <w:rPr>
          <w:rFonts w:hint="cs"/>
          <w:rtl/>
        </w:rPr>
        <w:t>لا ينسب إلى ساكت قول</w:t>
      </w:r>
      <w:r>
        <w:rPr>
          <w:rFonts w:hint="eastAsia"/>
          <w:rtl/>
        </w:rPr>
        <w:t>»</w:t>
      </w:r>
      <w:r>
        <w:rPr>
          <w:rFonts w:hint="cs"/>
          <w:rtl/>
        </w:rPr>
        <w:t>، ومنهم من أدرجها في القاعدة السابقة فجعلها كالاستثناء منها.</w:t>
      </w:r>
    </w:p>
    <w:p w:rsidR="00035BE3" w:rsidRDefault="00035BE3" w:rsidP="00C10469">
      <w:pPr>
        <w:pStyle w:val="a6"/>
        <w:ind w:left="422" w:firstLine="0"/>
        <w:rPr>
          <w:rtl/>
        </w:rPr>
      </w:pPr>
      <w:r>
        <w:rPr>
          <w:rFonts w:hint="cs"/>
          <w:b/>
          <w:bCs/>
          <w:rtl/>
        </w:rPr>
        <w:t>ولتوثيق ما سبق :</w:t>
      </w:r>
      <w:r>
        <w:rPr>
          <w:rFonts w:hint="cs"/>
          <w:rtl/>
        </w:rPr>
        <w:t xml:space="preserve"> فإن مواضع الإحالة إلى الكتب السابقة مرتبة على النحو الآتي :</w:t>
      </w:r>
    </w:p>
    <w:p w:rsidR="00035BE3" w:rsidRDefault="00035BE3" w:rsidP="00C10469">
      <w:pPr>
        <w:pStyle w:val="a6"/>
        <w:ind w:left="422" w:firstLine="0"/>
        <w:rPr>
          <w:rtl/>
        </w:rPr>
      </w:pPr>
      <w:r>
        <w:rPr>
          <w:rFonts w:hint="cs"/>
          <w:rtl/>
        </w:rPr>
        <w:t>القواعد الفقهية للدكتور علي الندوي، ص455- وانظر شرح المجلة للأتاسي، 1/181؛ الـوجيز، ص143-؛ تيسير التحرير، 1/83؛ كشف الأسرار، 3/287.</w:t>
      </w:r>
    </w:p>
    <w:p w:rsidR="00035BE3" w:rsidRDefault="00035BE3" w:rsidP="00C10469">
      <w:pPr>
        <w:pStyle w:val="a6"/>
        <w:ind w:left="422" w:firstLine="0"/>
        <w:rPr>
          <w:spacing w:val="8"/>
          <w:rtl/>
        </w:rPr>
      </w:pPr>
      <w:r>
        <w:rPr>
          <w:rFonts w:hint="cs"/>
          <w:b/>
          <w:bCs/>
          <w:spacing w:val="8"/>
          <w:rtl/>
        </w:rPr>
        <w:t>وللتوسع</w:t>
      </w:r>
      <w:r>
        <w:rPr>
          <w:rFonts w:hint="cs"/>
          <w:spacing w:val="8"/>
          <w:rtl/>
        </w:rPr>
        <w:t xml:space="preserve"> في بيان الضرورة وما تضمّنه عند الأصوليين من الحنفية انظر : أصول البزدوي وشرحه: كشف الأسرار، 3/285؛ المغني للخبازي، ص248؛ المنار وشروحه : كشف الأسرار وشرح نور الأنوار، 1/134؛ وجامع الأسرار، 3/844؛ التـحرير وشـرحه : تيسير التحرير، 1/83. </w:t>
      </w:r>
    </w:p>
    <w:p w:rsidR="00035BE3" w:rsidRDefault="00035BE3" w:rsidP="00C10469">
      <w:pPr>
        <w:pStyle w:val="a6"/>
        <w:ind w:left="422" w:firstLine="0"/>
        <w:rPr>
          <w:spacing w:val="6"/>
          <w:rtl/>
        </w:rPr>
      </w:pPr>
      <w:r>
        <w:rPr>
          <w:rFonts w:hint="cs"/>
          <w:spacing w:val="6"/>
          <w:rtl/>
        </w:rPr>
        <w:t>وكما تحدث الأصوليون عن القاعدة عند حديثهم عن بيان الضرورة تطرقوا إليها أيضًا في مواضع أخرى؛ فانظر : البرهان، 1/413، فقرة 585؛ قواطع الأدلة، 3/450؛ تخريج الفروع على الأصول للزنجاني، ص124؛ كشف الأسرار للنسفي، 1/421؛ مسلّم الثبوت وشرحه: فواتح الرحموت، 2/183.</w:t>
      </w:r>
    </w:p>
    <w:p w:rsidR="00035BE3" w:rsidRDefault="00035BE3" w:rsidP="00C10469">
      <w:pPr>
        <w:pStyle w:val="a6"/>
        <w:ind w:left="422" w:firstLine="0"/>
        <w:rPr>
          <w:b/>
          <w:bCs/>
          <w:rtl/>
        </w:rPr>
      </w:pPr>
      <w:r>
        <w:rPr>
          <w:rFonts w:hint="cs"/>
          <w:b/>
          <w:bCs/>
          <w:rtl/>
        </w:rPr>
        <w:t xml:space="preserve">أما علماء القواعد فمّمن أفردها منهم في قاعدة مستقلة </w:t>
      </w:r>
      <w:r>
        <w:rPr>
          <w:rFonts w:hint="cs"/>
          <w:rtl/>
        </w:rPr>
        <w:t>أصحاب الكتب الآتية :</w:t>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المنثور، 2/205-207-. ولفظه: </w:t>
      </w:r>
      <w:r>
        <w:rPr>
          <w:rFonts w:hint="eastAsia"/>
          <w:rtl/>
        </w:rPr>
        <w:t>«</w:t>
      </w:r>
      <w:r>
        <w:rPr>
          <w:rFonts w:hint="cs"/>
          <w:rtl/>
        </w:rPr>
        <w:t>السكوت ضربان : الأول: أن يكون بمجرّده يُنَزَّل منزلة التصريح بالنطق في حق من نجب [كذا في المنثور، ولعلها تصحيف من (تجب)] له العصمة ... والثاني: ما ينزل منـزلته في الأصح، وهو السكوت في البكر ...</w:t>
      </w:r>
      <w:r>
        <w:rPr>
          <w:rFonts w:hint="eastAsia"/>
          <w:rtl/>
        </w:rPr>
        <w:t>»</w:t>
      </w:r>
      <w:r>
        <w:rPr>
          <w:rFonts w:hint="cs"/>
          <w:rtl/>
        </w:rPr>
        <w:t>-؛ المنهج للزقّاق وشرحه للمنجور، ص287- والبيت الأول من المنهج:</w:t>
      </w:r>
    </w:p>
    <w:p w:rsidR="00035BE3" w:rsidRDefault="00035BE3" w:rsidP="00C10469">
      <w:pPr>
        <w:pStyle w:val="a6"/>
        <w:ind w:left="422" w:firstLine="0"/>
        <w:jc w:val="center"/>
        <w:rPr>
          <w:b/>
          <w:bCs/>
          <w:rtl/>
        </w:rPr>
      </w:pPr>
      <w:r>
        <w:rPr>
          <w:rFonts w:hint="cs"/>
          <w:b/>
          <w:bCs/>
          <w:rtl/>
        </w:rPr>
        <w:t>وآخـر الـزوجـات طـالـق وهـل      كـمـن أقـرّ سـاكـت وقـد نـقـل -؛</w:t>
      </w:r>
    </w:p>
    <w:p w:rsidR="00035BE3" w:rsidRDefault="00035BE3" w:rsidP="00C10469">
      <w:pPr>
        <w:pStyle w:val="a6"/>
        <w:ind w:left="422" w:firstLine="0"/>
        <w:rPr>
          <w:rtl/>
        </w:rPr>
      </w:pPr>
      <w:r>
        <w:rPr>
          <w:rFonts w:hint="cs"/>
          <w:rtl/>
        </w:rPr>
        <w:t xml:space="preserve">إيضاح المسالك للونشريسي، ص135، قاعدة 108؛ -ولفظه: </w:t>
      </w:r>
      <w:r>
        <w:rPr>
          <w:rFonts w:hint="eastAsia"/>
          <w:rtl/>
        </w:rPr>
        <w:t>«</w:t>
      </w:r>
      <w:r>
        <w:rPr>
          <w:rFonts w:hint="cs"/>
          <w:rtl/>
        </w:rPr>
        <w:t>السكوت على الشيء هل هو إقرار به أم لا؟ وهل هو إذن فيه أم لا؟</w:t>
      </w:r>
      <w:r>
        <w:rPr>
          <w:rFonts w:hint="eastAsia"/>
          <w:rtl/>
        </w:rPr>
        <w:t>»</w:t>
      </w:r>
      <w:r>
        <w:rPr>
          <w:rFonts w:hint="cs"/>
          <w:rtl/>
        </w:rPr>
        <w:t xml:space="preserve">-؛ قواعد الفقه لابن نجيم، ص183، قاعدة 240- ولفظه: </w:t>
      </w:r>
      <w:r>
        <w:rPr>
          <w:rFonts w:hint="eastAsia"/>
          <w:rtl/>
        </w:rPr>
        <w:t>«</w:t>
      </w:r>
      <w:r>
        <w:rPr>
          <w:rFonts w:hint="cs"/>
          <w:rtl/>
        </w:rPr>
        <w:t>السكوت رضا في ثلاثين مسألة</w:t>
      </w:r>
      <w:r>
        <w:rPr>
          <w:rFonts w:hint="eastAsia"/>
          <w:rtl/>
        </w:rPr>
        <w:t>»</w:t>
      </w:r>
      <w:r>
        <w:rPr>
          <w:rFonts w:hint="cs"/>
          <w:rtl/>
        </w:rPr>
        <w:t xml:space="preserve">-؛ الفوائد الزينية لابن نجيم أيضًا، ص48، فائدة31- ولفظه </w:t>
      </w:r>
      <w:r w:rsidRPr="00231C7D">
        <w:rPr>
          <w:rFonts w:hint="cs"/>
          <w:spacing w:val="-2"/>
          <w:rtl/>
        </w:rPr>
        <w:t xml:space="preserve">قريب من اللفظ السابق-؛ مجامع الحقائق (الخاتمة)، ص45 - ولفظه : </w:t>
      </w:r>
      <w:r w:rsidRPr="00231C7D">
        <w:rPr>
          <w:rFonts w:hint="eastAsia"/>
          <w:spacing w:val="-2"/>
          <w:rtl/>
        </w:rPr>
        <w:t>«</w:t>
      </w:r>
      <w:r w:rsidRPr="00231C7D">
        <w:rPr>
          <w:rFonts w:hint="cs"/>
          <w:spacing w:val="-2"/>
          <w:rtl/>
        </w:rPr>
        <w:t xml:space="preserve">السكوت في معرض الحاجة </w:t>
      </w:r>
      <w:r>
        <w:rPr>
          <w:rFonts w:hint="cs"/>
          <w:rtl/>
        </w:rPr>
        <w:t>بيان</w:t>
      </w:r>
      <w:r>
        <w:rPr>
          <w:rFonts w:hint="eastAsia"/>
          <w:rtl/>
        </w:rPr>
        <w:t>»</w:t>
      </w:r>
      <w:r>
        <w:rPr>
          <w:rFonts w:hint="cs"/>
          <w:rtl/>
        </w:rPr>
        <w:t xml:space="preserve">-؛ شرح العلائي لقواعد الخادمي، ل23/أ؛ منافع الدقائق، ص321؛ القواعد والضوابط المستخلصة من التحرير، ص488 -ولفظه : </w:t>
      </w:r>
      <w:r>
        <w:rPr>
          <w:rFonts w:hint="eastAsia"/>
          <w:rtl/>
        </w:rPr>
        <w:t>«</w:t>
      </w:r>
      <w:r>
        <w:rPr>
          <w:rFonts w:hint="cs"/>
          <w:rtl/>
        </w:rPr>
        <w:t>السكوت عن البيان حالة الحاجة إلى البيان دليل على عدم وجوبه</w:t>
      </w:r>
      <w:r>
        <w:rPr>
          <w:rFonts w:hint="eastAsia"/>
          <w:rtl/>
        </w:rPr>
        <w:t>»</w:t>
      </w:r>
      <w:r>
        <w:rPr>
          <w:rFonts w:hint="cs"/>
          <w:rtl/>
        </w:rPr>
        <w:t xml:space="preserve">-؛ موسوعة القواعد الفقهية، 1/485- ولفظه: </w:t>
      </w:r>
      <w:r>
        <w:rPr>
          <w:rFonts w:hint="eastAsia"/>
          <w:rtl/>
        </w:rPr>
        <w:t>«</w:t>
      </w:r>
      <w:r>
        <w:rPr>
          <w:rFonts w:hint="cs"/>
          <w:rtl/>
        </w:rPr>
        <w:t>السكوت في معرض الحاجة إلى البيان بيان</w:t>
      </w:r>
      <w:r>
        <w:rPr>
          <w:rFonts w:hint="eastAsia"/>
          <w:rtl/>
        </w:rPr>
        <w:t>»</w:t>
      </w:r>
      <w:r>
        <w:rPr>
          <w:rFonts w:hint="cs"/>
          <w:rtl/>
        </w:rPr>
        <w:t>-.</w:t>
      </w:r>
    </w:p>
    <w:p w:rsidR="00035BE3" w:rsidRDefault="00035BE3" w:rsidP="00C10469">
      <w:pPr>
        <w:pStyle w:val="a6"/>
        <w:ind w:left="422" w:firstLine="0"/>
        <w:rPr>
          <w:rtl/>
        </w:rPr>
      </w:pPr>
      <w:r>
        <w:rPr>
          <w:rFonts w:hint="cs"/>
          <w:b/>
          <w:bCs/>
          <w:rtl/>
        </w:rPr>
        <w:t xml:space="preserve">وممّن تحدَّث عنها ضمن قاعدة : </w:t>
      </w:r>
      <w:r>
        <w:rPr>
          <w:rFonts w:hint="eastAsia"/>
          <w:b/>
          <w:bCs/>
          <w:rtl/>
        </w:rPr>
        <w:t>«</w:t>
      </w:r>
      <w:r>
        <w:rPr>
          <w:rFonts w:hint="cs"/>
          <w:b/>
          <w:bCs/>
          <w:rtl/>
        </w:rPr>
        <w:t>لا ينسب إلى ساكت قول</w:t>
      </w:r>
      <w:r>
        <w:rPr>
          <w:rFonts w:hint="eastAsia"/>
          <w:b/>
          <w:bCs/>
          <w:rtl/>
        </w:rPr>
        <w:t>»</w:t>
      </w:r>
      <w:r>
        <w:rPr>
          <w:rFonts w:hint="cs"/>
          <w:rtl/>
        </w:rPr>
        <w:t xml:space="preserve"> أصحاب الكتب الآتية :</w:t>
      </w:r>
    </w:p>
    <w:p w:rsidR="00035BE3" w:rsidRDefault="00035BE3" w:rsidP="00C10469">
      <w:pPr>
        <w:pStyle w:val="a6"/>
        <w:ind w:left="422" w:firstLine="0"/>
        <w:rPr>
          <w:rtl/>
        </w:rPr>
      </w:pPr>
      <w:r>
        <w:rPr>
          <w:rFonts w:hint="cs"/>
          <w:rtl/>
        </w:rPr>
        <w:t>الأشباه والنظائر للسيُّوطي، 1/319؛ ولابن نجيم، ص179؛ الفرائد البهية وشرحاها : الأقمار المضيئة، ص197؛ والمواهب السنية وحـاشيتها : الـفوائد الجنية، 2/221؛ الفرائد البهية للحمزاوي، ص20، قاعدة 20.</w:t>
      </w:r>
    </w:p>
    <w:p w:rsidR="00035BE3" w:rsidRDefault="00035BE3" w:rsidP="00C10469">
      <w:pPr>
        <w:pStyle w:val="a6"/>
        <w:ind w:left="422" w:firstLine="0"/>
        <w:rPr>
          <w:spacing w:val="6"/>
          <w:rtl/>
        </w:rPr>
      </w:pPr>
      <w:r>
        <w:rPr>
          <w:rFonts w:hint="cs"/>
          <w:b/>
          <w:bCs/>
          <w:spacing w:val="6"/>
          <w:rtl/>
        </w:rPr>
        <w:t xml:space="preserve">وممن أدرجها في قاعدة : </w:t>
      </w:r>
      <w:r>
        <w:rPr>
          <w:rFonts w:hint="eastAsia"/>
          <w:b/>
          <w:bCs/>
          <w:spacing w:val="6"/>
          <w:rtl/>
        </w:rPr>
        <w:t>«</w:t>
      </w:r>
      <w:r>
        <w:rPr>
          <w:rFonts w:hint="cs"/>
          <w:b/>
          <w:bCs/>
          <w:spacing w:val="6"/>
          <w:rtl/>
        </w:rPr>
        <w:t>لا ينسب إلى ساكت قول</w:t>
      </w:r>
      <w:r>
        <w:rPr>
          <w:rFonts w:hint="eastAsia"/>
          <w:b/>
          <w:bCs/>
          <w:spacing w:val="6"/>
          <w:rtl/>
        </w:rPr>
        <w:t>»</w:t>
      </w:r>
      <w:r>
        <w:rPr>
          <w:rFonts w:hint="cs"/>
          <w:spacing w:val="6"/>
          <w:rtl/>
        </w:rPr>
        <w:t xml:space="preserve"> فقال - عقب اللفظ السابق-: </w:t>
      </w:r>
      <w:r>
        <w:rPr>
          <w:rFonts w:hint="eastAsia"/>
          <w:spacing w:val="6"/>
          <w:rtl/>
        </w:rPr>
        <w:t>«</w:t>
      </w:r>
      <w:r>
        <w:rPr>
          <w:rFonts w:hint="cs"/>
          <w:spacing w:val="6"/>
          <w:rtl/>
        </w:rPr>
        <w:t>... ولكن السكوت في معرض الحاجة بيان</w:t>
      </w:r>
      <w:r>
        <w:rPr>
          <w:rFonts w:hint="eastAsia"/>
          <w:spacing w:val="6"/>
          <w:rtl/>
        </w:rPr>
        <w:t>»</w:t>
      </w:r>
      <w:r>
        <w:rPr>
          <w:rFonts w:hint="cs"/>
          <w:spacing w:val="6"/>
          <w:rtl/>
        </w:rPr>
        <w:t>- ممّن فعل ذلك : واضعوا مجلة الأحكام العدلية ومن تأثروا بها فـانظـر : المجلة، مادة 67؛ شرحها لسليم رستم، 1/47؛ ولعلي حيدر، 1/59؛ وللأتاسي، 1/181؛ وشرح قواعدها للزرقا، ص337؛ قواعد الفقه للمجدّدي، ص113، قاعدة 282؛ المدخل الفقهي العام، 2/973، فقرة 581؛ القواعد الفقهية للدكتور علي الندوي، ص454- وانظر منه ص101-؛ الوجيز، ص35، 143؛ القواعد الفقهية الكبرى لشخينا أ.د. صالح السدلان، ص181؛ تطبيق القواعد والضوابط الفقهية للدكتور سعود الغديان، ص1440؛ المدخل إلى القواعد الفقهية للدكتور إبراهيم الحريري، ص119؛ القواعد الكبرى في الفقه الإسلامي للدكتور عبد الله العجلان، ص60؛ المبادئ الفقهية، ص41؛ القواعد الفقهية للدعّاس، ص23، قاعدة 10؛ وللدكتور محمد الزحيلي، ص54.</w:t>
      </w:r>
    </w:p>
    <w:p w:rsidR="00035BE3" w:rsidRDefault="00035BE3" w:rsidP="00C10469">
      <w:pPr>
        <w:pStyle w:val="a6"/>
        <w:ind w:left="422" w:firstLine="0"/>
        <w:rPr>
          <w:rtl/>
        </w:rPr>
      </w:pPr>
      <w:r>
        <w:rPr>
          <w:rFonts w:hint="cs"/>
          <w:rtl/>
        </w:rPr>
        <w:t xml:space="preserve">ويضاف إلى هذا فإن السبكي في أشباهه -2/159- تكلم عن سكوت النبي </w:t>
      </w:r>
      <w:r>
        <w:rPr>
          <w:rFonts w:ascii="AGA Arabesque" w:hAnsi="AGA Arabesque"/>
          <w:sz w:val="36"/>
          <w:szCs w:val="36"/>
          <w:lang w:val="en-US"/>
        </w:rPr>
        <w:t></w:t>
      </w:r>
      <w:r>
        <w:rPr>
          <w:rFonts w:hint="cs"/>
          <w:rtl/>
        </w:rPr>
        <w:t xml:space="preserve"> ؛ فتطرّق -ضمنًا- إلى القاعدة.</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وكما تحدث الأصوليون وعلماء القواعد عن القاعدة استقلالاً، </w:t>
      </w:r>
      <w:r>
        <w:rPr>
          <w:rFonts w:hint="cs"/>
          <w:b/>
          <w:bCs/>
          <w:rtl/>
        </w:rPr>
        <w:t>ذكرها الفقهاء في مقام التعليل</w:t>
      </w:r>
      <w:r>
        <w:rPr>
          <w:rFonts w:hint="cs"/>
          <w:rtl/>
        </w:rPr>
        <w:t>، فانظر من كتبهم : الأم، 1/275؛ شرح مختصر الطحاوي للجصاص، ص620؛ المبسوط، 17/145؛ تحفة الفقهاء، 3/286؛ بدائع الصنائع، 2/316، 7/192-193؛ المصفى للنسفي، ل22/أ؛ الكافي شرح الوافي للنسفي أيضًا، القسم الأخير، ص835؛ جامع الفصولين، 2/138؛ العناية، 9/284؛ فتح القدير، 7/440؛ البحر الرائق، 3/122؛ الدر المختار ورد المحتار، 6/715.</w:t>
      </w:r>
    </w:p>
  </w:footnote>
  <w:footnote w:id="3056">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 </w:t>
      </w:r>
      <w:r>
        <w:rPr>
          <w:rFonts w:hint="eastAsia"/>
          <w:spacing w:val="8"/>
          <w:rtl/>
        </w:rPr>
        <w:t>«</w:t>
      </w:r>
      <w:r>
        <w:rPr>
          <w:rFonts w:hint="cs"/>
          <w:spacing w:val="8"/>
          <w:rtl/>
        </w:rPr>
        <w:t xml:space="preserve"> يحصى </w:t>
      </w:r>
      <w:r>
        <w:rPr>
          <w:rFonts w:hint="eastAsia"/>
          <w:spacing w:val="8"/>
          <w:rtl/>
        </w:rPr>
        <w:t>»</w:t>
      </w:r>
      <w:r>
        <w:rPr>
          <w:rFonts w:hint="cs"/>
          <w:spacing w:val="8"/>
          <w:rtl/>
        </w:rPr>
        <w:t>، وفي (جـ) : (الحرف الأول مهمل من النقاط). والصحيح ما تمَّ إثباته من (ب) و(د).</w:t>
      </w:r>
    </w:p>
  </w:footnote>
  <w:footnote w:id="30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البحر الرائق، 3/123؛ الدرر المختار، 6/718.</w:t>
      </w:r>
    </w:p>
  </w:footnote>
  <w:footnote w:id="30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بحمع </w:t>
      </w:r>
      <w:r>
        <w:rPr>
          <w:rFonts w:hint="eastAsia"/>
          <w:rtl/>
        </w:rPr>
        <w:t>»</w:t>
      </w:r>
      <w:r>
        <w:rPr>
          <w:rFonts w:hint="cs"/>
          <w:rtl/>
        </w:rPr>
        <w:t>.</w:t>
      </w:r>
    </w:p>
  </w:footnote>
  <w:footnote w:id="30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الأم، 6/179؛ مغني المحتاج، 4/147.</w:t>
      </w:r>
    </w:p>
  </w:footnote>
  <w:footnote w:id="30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البـكـر</w:t>
      </w:r>
      <w:r>
        <w:rPr>
          <w:rFonts w:hint="eastAsia"/>
          <w:rtl/>
        </w:rPr>
        <w:t>»</w:t>
      </w:r>
      <w:r>
        <w:rPr>
          <w:rFonts w:hint="cs"/>
          <w:rtl/>
        </w:rPr>
        <w:t xml:space="preserve"> (بـإسقاط البـاء). والصـحيـح ما تمَّ إثباته من (ب) و(جـ)؛ وفاقًا للفظ الحديث.</w:t>
      </w:r>
    </w:p>
  </w:footnote>
  <w:footnote w:id="30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زيادة من (ب) و(جـ)؛ وفاقًا للفظ الحديث.</w:t>
      </w:r>
    </w:p>
  </w:footnote>
  <w:footnote w:id="3062">
    <w:p w:rsidR="00035BE3" w:rsidRDefault="00035BE3" w:rsidP="00C10469">
      <w:pPr>
        <w:pStyle w:val="a8"/>
        <w:bidi/>
        <w:ind w:left="422" w:right="0"/>
        <w:rPr>
          <w:rtl/>
          <w:lang w:bidi="ar-AE"/>
        </w:rPr>
      </w:pPr>
      <w:r>
        <w:rPr>
          <w:rFonts w:hint="cs"/>
          <w:vertAlign w:val="superscript"/>
          <w:rtl/>
        </w:rPr>
        <w:t>(</w:t>
      </w:r>
      <w:r>
        <w:rPr>
          <w:rStyle w:val="a7"/>
        </w:rPr>
        <w:footnoteRef/>
      </w:r>
      <w:r>
        <w:rPr>
          <w:rFonts w:hint="cs"/>
          <w:vertAlign w:val="superscript"/>
          <w:rtl/>
        </w:rPr>
        <w:t>)</w:t>
      </w:r>
      <w:r>
        <w:rPr>
          <w:rFonts w:hint="cs"/>
          <w:rtl/>
        </w:rPr>
        <w:t xml:space="preserve">  أخرجه مسلم بنحوه، كتاب الحدود، باب حد الزنا، 3/1316، ح1690؛ وابن ماجه بلفظه، كتاب الحدود، باب حدّ الزنا، 2/852، ح2550. كلاهما من حديث عبادة بن الصّامت </w:t>
      </w:r>
      <w:r>
        <w:rPr>
          <w:rFonts w:ascii="AGA Arabesque" w:hAnsi="AGA Arabesque" w:cs="AGA Arabesque"/>
          <w:sz w:val="36"/>
          <w:szCs w:val="36"/>
        </w:rPr>
        <w:t></w:t>
      </w:r>
      <w:r>
        <w:rPr>
          <w:rFonts w:ascii="AGA Arabesque" w:hAnsi="AGA Arabesque" w:hint="cs"/>
          <w:sz w:val="36"/>
          <w:szCs w:val="36"/>
          <w:rtl/>
        </w:rPr>
        <w:t xml:space="preserve"> </w:t>
      </w:r>
      <w:r>
        <w:rPr>
          <w:rFonts w:hint="cs"/>
          <w:rtl/>
          <w:lang w:bidi="ar-AE"/>
        </w:rPr>
        <w:t>.</w:t>
      </w:r>
    </w:p>
  </w:footnote>
  <w:footnote w:id="30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(2) من سورة (النور). والسيّاق الذي جاءت فيه : </w:t>
      </w:r>
      <w:r>
        <w:rPr>
          <w:color w:val="000000"/>
        </w:rPr>
        <w:sym w:font="HQPB2" w:char="00E2"/>
      </w:r>
      <w:r>
        <w:rPr>
          <w:color w:val="000000"/>
          <w:rtl/>
        </w:rPr>
        <w:t xml:space="preserve"> </w:t>
      </w:r>
      <w:r>
        <w:rPr>
          <w:color w:val="000000"/>
        </w:rPr>
        <w:sym w:font="HQPB4" w:char="00E8"/>
      </w:r>
      <w:r>
        <w:rPr>
          <w:color w:val="000000"/>
        </w:rPr>
        <w:sym w:font="HQPB2" w:char="0070"/>
      </w:r>
      <w:r>
        <w:rPr>
          <w:color w:val="000000"/>
        </w:rPr>
        <w:sym w:font="HQPB5" w:char="0075"/>
      </w:r>
      <w:r>
        <w:rPr>
          <w:color w:val="000000"/>
        </w:rPr>
        <w:sym w:font="HQPB2" w:char="008B"/>
      </w:r>
      <w:r>
        <w:rPr>
          <w:color w:val="000000"/>
        </w:rPr>
        <w:sym w:font="HQPB4" w:char="00CF"/>
      </w:r>
      <w:r>
        <w:rPr>
          <w:color w:val="000000"/>
        </w:rPr>
        <w:sym w:font="HQPB2" w:char="0052"/>
      </w:r>
      <w:r>
        <w:rPr>
          <w:color w:val="000000"/>
        </w:rPr>
        <w:sym w:font="HQPB1" w:char="0023"/>
      </w:r>
      <w:r>
        <w:rPr>
          <w:color w:val="000000"/>
        </w:rPr>
        <w:sym w:font="HQPB4" w:char="00A8"/>
      </w:r>
      <w:r>
        <w:rPr>
          <w:color w:val="000000"/>
        </w:rPr>
        <w:sym w:font="HQPB1" w:char="0093"/>
      </w:r>
      <w:r>
        <w:rPr>
          <w:color w:val="000000"/>
        </w:rPr>
        <w:sym w:font="HQPB2" w:char="0039"/>
      </w:r>
      <w:r>
        <w:rPr>
          <w:color w:val="000000"/>
        </w:rPr>
        <w:sym w:font="HQPB5" w:char="0024"/>
      </w:r>
      <w:r>
        <w:rPr>
          <w:color w:val="000000"/>
        </w:rPr>
        <w:sym w:font="HQPB1" w:char="0023"/>
      </w:r>
      <w:r>
        <w:rPr>
          <w:color w:val="000000"/>
          <w:rtl/>
        </w:rPr>
        <w:t xml:space="preserve"> </w:t>
      </w:r>
      <w:r>
        <w:rPr>
          <w:color w:val="000000"/>
        </w:rPr>
        <w:sym w:font="HQPB2" w:char="0092"/>
      </w:r>
      <w:r>
        <w:rPr>
          <w:color w:val="000000"/>
        </w:rPr>
        <w:sym w:font="HQPB4" w:char="00CE"/>
      </w:r>
      <w:r>
        <w:rPr>
          <w:color w:val="000000"/>
        </w:rPr>
        <w:sym w:font="HQPB2" w:char="0054"/>
      </w:r>
      <w:r>
        <w:rPr>
          <w:color w:val="000000"/>
        </w:rPr>
        <w:sym w:font="HQPB1" w:char="0023"/>
      </w:r>
      <w:r>
        <w:rPr>
          <w:color w:val="000000"/>
        </w:rPr>
        <w:sym w:font="HQPB4" w:char="00A8"/>
      </w:r>
      <w:r>
        <w:rPr>
          <w:color w:val="000000"/>
        </w:rPr>
        <w:sym w:font="HQPB1" w:char="0093"/>
      </w:r>
      <w:r>
        <w:rPr>
          <w:color w:val="000000"/>
        </w:rPr>
        <w:sym w:font="HQPB2" w:char="0039"/>
      </w:r>
      <w:r>
        <w:rPr>
          <w:color w:val="000000"/>
        </w:rPr>
        <w:sym w:font="HQPB5" w:char="0024"/>
      </w:r>
      <w:r>
        <w:rPr>
          <w:color w:val="000000"/>
        </w:rPr>
        <w:sym w:font="HQPB1" w:char="0023"/>
      </w:r>
      <w:r>
        <w:rPr>
          <w:color w:val="000000"/>
        </w:rPr>
        <w:sym w:font="HQPB5" w:char="0075"/>
      </w:r>
      <w:r>
        <w:rPr>
          <w:color w:val="000000"/>
        </w:rPr>
        <w:sym w:font="HQPB2" w:char="0072"/>
      </w:r>
      <w:r>
        <w:rPr>
          <w:color w:val="000000"/>
          <w:rtl/>
        </w:rPr>
        <w:t xml:space="preserve"> </w:t>
      </w:r>
      <w:r>
        <w:rPr>
          <w:color w:val="000000"/>
        </w:rPr>
        <w:sym w:font="HQPB5" w:char="0028"/>
      </w:r>
      <w:r>
        <w:rPr>
          <w:color w:val="000000"/>
        </w:rPr>
        <w:sym w:font="HQPB1" w:char="0023"/>
      </w:r>
      <w:r>
        <w:rPr>
          <w:color w:val="000000"/>
        </w:rPr>
        <w:sym w:font="HQPB2" w:char="0072"/>
      </w:r>
      <w:r>
        <w:rPr>
          <w:color w:val="000000"/>
        </w:rPr>
        <w:sym w:font="HQPB4" w:char="00E0"/>
      </w:r>
      <w:r>
        <w:rPr>
          <w:color w:val="000000"/>
        </w:rPr>
        <w:sym w:font="HQPB3" w:char="0024"/>
      </w:r>
      <w:r>
        <w:rPr>
          <w:color w:val="000000"/>
        </w:rPr>
        <w:sym w:font="HQPB4" w:char="00CE"/>
      </w:r>
      <w:r>
        <w:rPr>
          <w:color w:val="000000"/>
        </w:rPr>
        <w:sym w:font="HQPB3" w:char="0023"/>
      </w:r>
      <w:r>
        <w:rPr>
          <w:color w:val="000000"/>
        </w:rPr>
        <w:sym w:font="HQPB4" w:char="00F4"/>
      </w:r>
      <w:r>
        <w:rPr>
          <w:color w:val="000000"/>
        </w:rPr>
        <w:sym w:font="HQPB1" w:char="005F"/>
      </w:r>
      <w:r>
        <w:rPr>
          <w:color w:val="000000"/>
        </w:rPr>
        <w:sym w:font="HQPB5" w:char="0024"/>
      </w:r>
      <w:r>
        <w:rPr>
          <w:color w:val="000000"/>
        </w:rPr>
        <w:sym w:font="HQPB1" w:char="0024"/>
      </w:r>
      <w:r>
        <w:rPr>
          <w:color w:val="000000"/>
        </w:rPr>
        <w:sym w:font="HQPB5" w:char="0073"/>
      </w:r>
      <w:r>
        <w:rPr>
          <w:color w:val="000000"/>
        </w:rPr>
        <w:sym w:font="HQPB1" w:char="00F9"/>
      </w:r>
      <w:r>
        <w:rPr>
          <w:color w:val="000000"/>
          <w:rtl/>
        </w:rPr>
        <w:t xml:space="preserve"> </w:t>
      </w:r>
      <w:r>
        <w:rPr>
          <w:color w:val="000000"/>
        </w:rPr>
        <w:sym w:font="HQPB4" w:char="00A8"/>
      </w:r>
      <w:r>
        <w:rPr>
          <w:color w:val="000000"/>
        </w:rPr>
        <w:sym w:font="HQPB2" w:char="0040"/>
      </w:r>
      <w:r>
        <w:rPr>
          <w:color w:val="000000"/>
        </w:rPr>
        <w:sym w:font="HQPB4" w:char="00E4"/>
      </w:r>
      <w:r>
        <w:rPr>
          <w:color w:val="000000"/>
        </w:rPr>
        <w:sym w:font="HQPB2" w:char="002E"/>
      </w:r>
      <w:r>
        <w:rPr>
          <w:color w:val="000000"/>
          <w:rtl/>
        </w:rPr>
        <w:t xml:space="preserve"> </w:t>
      </w:r>
      <w:r>
        <w:rPr>
          <w:color w:val="000000"/>
        </w:rPr>
        <w:sym w:font="HQPB4" w:char="0037"/>
      </w:r>
      <w:r>
        <w:rPr>
          <w:color w:val="000000"/>
        </w:rPr>
        <w:sym w:font="HQPB1" w:char="0089"/>
      </w:r>
      <w:r>
        <w:rPr>
          <w:color w:val="000000"/>
        </w:rPr>
        <w:sym w:font="HQPB4" w:char="00CF"/>
      </w:r>
      <w:r>
        <w:rPr>
          <w:color w:val="000000"/>
        </w:rPr>
        <w:sym w:font="HQPB1" w:char="006E"/>
      </w:r>
      <w:r>
        <w:rPr>
          <w:color w:val="000000"/>
        </w:rPr>
        <w:sym w:font="HQPB2" w:char="00BA"/>
      </w:r>
      <w:r>
        <w:rPr>
          <w:color w:val="000000"/>
        </w:rPr>
        <w:sym w:font="HQPB5" w:char="0075"/>
      </w:r>
      <w:r>
        <w:rPr>
          <w:color w:val="000000"/>
        </w:rPr>
        <w:sym w:font="HQPB2" w:char="0072"/>
      </w:r>
      <w:r>
        <w:rPr>
          <w:color w:val="000000"/>
          <w:rtl/>
        </w:rPr>
        <w:t xml:space="preserve"> </w:t>
      </w:r>
      <w:r>
        <w:rPr>
          <w:color w:val="000000"/>
        </w:rPr>
        <w:sym w:font="HQPB1" w:char="0024"/>
      </w:r>
      <w:r>
        <w:rPr>
          <w:color w:val="000000"/>
        </w:rPr>
        <w:sym w:font="HQPB5" w:char="0079"/>
      </w:r>
      <w:r>
        <w:rPr>
          <w:color w:val="000000"/>
        </w:rPr>
        <w:sym w:font="HQPB2" w:char="004A"/>
      </w:r>
      <w:r>
        <w:rPr>
          <w:color w:val="000000"/>
        </w:rPr>
        <w:sym w:font="HQPB4" w:char="00E5"/>
      </w:r>
      <w:r>
        <w:rPr>
          <w:color w:val="000000"/>
        </w:rPr>
        <w:sym w:font="HQPB2" w:char="006B"/>
      </w:r>
      <w:r>
        <w:rPr>
          <w:color w:val="000000"/>
        </w:rPr>
        <w:sym w:font="HQPB4" w:char="00F7"/>
      </w:r>
      <w:r>
        <w:rPr>
          <w:color w:val="000000"/>
        </w:rPr>
        <w:sym w:font="HQPB2" w:char="005D"/>
      </w:r>
      <w:r>
        <w:rPr>
          <w:color w:val="000000"/>
        </w:rPr>
        <w:sym w:font="HQPB4" w:char="00CF"/>
      </w:r>
      <w:r>
        <w:rPr>
          <w:color w:val="000000"/>
        </w:rPr>
        <w:sym w:font="HQPB4" w:char="0069"/>
      </w:r>
      <w:r>
        <w:rPr>
          <w:color w:val="000000"/>
        </w:rPr>
        <w:sym w:font="HQPB2" w:char="0042"/>
      </w:r>
      <w:r>
        <w:rPr>
          <w:color w:val="000000"/>
          <w:rtl/>
        </w:rPr>
        <w:t xml:space="preserve"> </w:t>
      </w:r>
      <w:r>
        <w:rPr>
          <w:color w:val="000000"/>
        </w:rPr>
        <w:sym w:font="HQPB5" w:char="0073"/>
      </w:r>
      <w:r>
        <w:rPr>
          <w:color w:val="000000"/>
        </w:rPr>
        <w:sym w:font="HQPB2" w:char="0070"/>
      </w:r>
      <w:r>
        <w:rPr>
          <w:color w:val="000000"/>
        </w:rPr>
        <w:sym w:font="HQPB5" w:char="0073"/>
      </w:r>
      <w:r>
        <w:rPr>
          <w:color w:val="000000"/>
        </w:rPr>
        <w:sym w:font="HQPB2" w:char="009D"/>
      </w:r>
      <w:r>
        <w:rPr>
          <w:color w:val="000000"/>
        </w:rPr>
        <w:sym w:font="HQPB5" w:char="0028"/>
      </w:r>
      <w:r>
        <w:rPr>
          <w:color w:val="000000"/>
        </w:rPr>
        <w:sym w:font="HQPB1" w:char="0024"/>
      </w:r>
      <w:r>
        <w:rPr>
          <w:color w:val="000000"/>
        </w:rPr>
        <w:sym w:font="HQPB4" w:char="00CF"/>
      </w:r>
      <w:r>
        <w:rPr>
          <w:color w:val="000000"/>
        </w:rPr>
        <w:sym w:font="HQPB2" w:char="0042"/>
      </w:r>
      <w:r>
        <w:rPr>
          <w:color w:val="000000"/>
          <w:rtl/>
        </w:rPr>
        <w:t xml:space="preserve"> </w:t>
      </w:r>
      <w:r>
        <w:rPr>
          <w:color w:val="000000"/>
        </w:rPr>
        <w:sym w:font="HQPB4" w:char="003B"/>
      </w:r>
      <w:r>
        <w:rPr>
          <w:color w:val="000000"/>
        </w:rPr>
        <w:sym w:font="HQPB2" w:char="006F"/>
      </w:r>
      <w:r>
        <w:rPr>
          <w:color w:val="000000"/>
        </w:rPr>
        <w:sym w:font="HQPB5" w:char="0074"/>
      </w:r>
      <w:r>
        <w:rPr>
          <w:color w:val="000000"/>
        </w:rPr>
        <w:sym w:font="HQPB3" w:char="0024"/>
      </w:r>
      <w:r>
        <w:rPr>
          <w:color w:val="000000"/>
        </w:rPr>
        <w:sym w:font="HQPB4" w:char="00F9"/>
      </w:r>
      <w:r>
        <w:rPr>
          <w:color w:val="000000"/>
        </w:rPr>
        <w:sym w:font="HQPB3" w:char="0023"/>
      </w:r>
      <w:r>
        <w:rPr>
          <w:color w:val="000000"/>
        </w:rPr>
        <w:sym w:font="HQPB5" w:char="0079"/>
      </w:r>
      <w:r>
        <w:rPr>
          <w:color w:val="000000"/>
        </w:rPr>
        <w:sym w:font="HQPB1" w:char="005F"/>
      </w:r>
      <w:r>
        <w:rPr>
          <w:color w:val="000000"/>
          <w:rtl/>
        </w:rPr>
        <w:t xml:space="preserve"> </w:t>
      </w:r>
      <w:r>
        <w:rPr>
          <w:color w:val="000000"/>
        </w:rPr>
        <w:sym w:font="HQPB4" w:char="0028"/>
      </w:r>
      <w:r>
        <w:rPr>
          <w:color w:val="000000"/>
          <w:rtl/>
        </w:rPr>
        <w:t xml:space="preserve"> ... </w:t>
      </w:r>
      <w:r>
        <w:rPr>
          <w:color w:val="000000"/>
        </w:rPr>
        <w:sym w:font="HQPB2" w:char="00E1"/>
      </w:r>
      <w:r>
        <w:rPr>
          <w:rFonts w:hint="cs"/>
          <w:rtl/>
        </w:rPr>
        <w:t>.</w:t>
      </w:r>
    </w:p>
  </w:footnote>
  <w:footnote w:id="30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اعتراض من المؤلف على من قال بالجمع بين الجلد والنفي في الزنا.</w:t>
      </w:r>
      <w:r>
        <w:rPr>
          <w:rFonts w:hint="cs"/>
          <w:rtl/>
        </w:rPr>
        <w:tab/>
      </w:r>
      <w:r>
        <w:rPr>
          <w:rFonts w:hint="cs"/>
          <w:rtl/>
        </w:rPr>
        <w:tab/>
      </w:r>
      <w:r>
        <w:rPr>
          <w:rFonts w:hint="cs"/>
          <w:rtl/>
        </w:rPr>
        <w:tab/>
        <w:t xml:space="preserve">  </w:t>
      </w:r>
    </w:p>
    <w:p w:rsidR="00035BE3" w:rsidRDefault="00035BE3" w:rsidP="00C10469">
      <w:pPr>
        <w:pStyle w:val="a6"/>
        <w:spacing w:line="223" w:lineRule="auto"/>
        <w:ind w:left="422" w:firstLine="0"/>
        <w:rPr>
          <w:rtl/>
        </w:rPr>
      </w:pPr>
      <w:r>
        <w:rPr>
          <w:rFonts w:hint="cs"/>
          <w:rtl/>
        </w:rPr>
        <w:t>ومعناه : أن الآية بيّنت حد الزاني غير المحصن وهو الجلد، وسكتت عن التغريب، فيكون السكوت عنه بيانًا لعدم وجوبه، وناسخًا لوجوبه الوارد قبل ذلك في الحديث.</w:t>
      </w:r>
    </w:p>
    <w:p w:rsidR="00035BE3" w:rsidRDefault="00035BE3" w:rsidP="00C10469">
      <w:pPr>
        <w:pStyle w:val="a6"/>
        <w:spacing w:line="223" w:lineRule="auto"/>
        <w:ind w:left="422" w:firstLine="0"/>
        <w:rPr>
          <w:rtl/>
        </w:rPr>
      </w:pPr>
      <w:r>
        <w:rPr>
          <w:rFonts w:hint="cs"/>
          <w:rtl/>
        </w:rPr>
        <w:t>إلا أنه يرد على ما ذكره المؤلف : أن الأصوليين من الحنفية إنما يمثلون بهذا المثال لبيان كون الحديث فيه زيادة (التغريب) على النص القرآني، والزيادة على النصّ نسخ - عندهم - فيكون الحديث ناسخًا للآية. إلا أنه لا يعمل به؛ لعدم جواز نسخ القرآن بالآحاد.</w:t>
      </w:r>
    </w:p>
    <w:p w:rsidR="00035BE3" w:rsidRDefault="00035BE3" w:rsidP="00C10469">
      <w:pPr>
        <w:pStyle w:val="a6"/>
        <w:spacing w:line="223" w:lineRule="auto"/>
        <w:ind w:left="422" w:firstLine="0"/>
        <w:rPr>
          <w:rtl/>
        </w:rPr>
      </w:pPr>
      <w:r>
        <w:rPr>
          <w:rFonts w:hint="cs"/>
          <w:rtl/>
        </w:rPr>
        <w:t>والشاهد من هذا : كونهم جعلوا الحديث ناسخًا للآية، فكيف يجعله المؤلف منسوخًا بها ؟!.</w:t>
      </w:r>
    </w:p>
    <w:p w:rsidR="00035BE3" w:rsidRDefault="00035BE3" w:rsidP="00C10469">
      <w:pPr>
        <w:pStyle w:val="a6"/>
        <w:spacing w:line="223" w:lineRule="auto"/>
        <w:ind w:left="422" w:firstLine="0"/>
        <w:rPr>
          <w:rtl/>
        </w:rPr>
      </w:pPr>
      <w:r>
        <w:rPr>
          <w:rFonts w:hint="cs"/>
          <w:rtl/>
        </w:rPr>
        <w:t xml:space="preserve">ولدفع هذا الإشكال يقال : لعل المؤلف لم يرد بالنسخ هنا المعنى الاصطلاحي له عند المتأخرين؛ بل أراد معناه عند السلف، وهو مطلق البيان والإيضاح؛ فيكون المعنى : فيكون السكوت عن التغريب </w:t>
      </w:r>
      <w:r w:rsidRPr="00132C72">
        <w:rPr>
          <w:rFonts w:hint="cs"/>
          <w:spacing w:val="-2"/>
          <w:rtl/>
        </w:rPr>
        <w:t>بيانًا وإيضاحًا للحديث، أي مبيّنا وموضِّحا أن التغريب الثابت في الحديث ليس بواجب -والله أعلم-</w:t>
      </w:r>
      <w:r>
        <w:rPr>
          <w:rFonts w:hint="cs"/>
          <w:rtl/>
        </w:rPr>
        <w:t>.</w:t>
      </w:r>
    </w:p>
    <w:p w:rsidR="00035BE3" w:rsidRDefault="00035BE3" w:rsidP="00C10469">
      <w:pPr>
        <w:pStyle w:val="a6"/>
        <w:spacing w:line="223" w:lineRule="auto"/>
        <w:ind w:left="422" w:firstLine="0"/>
        <w:rPr>
          <w:rtl/>
        </w:rPr>
      </w:pPr>
      <w:r>
        <w:rPr>
          <w:rFonts w:hint="cs"/>
          <w:rtl/>
        </w:rPr>
        <w:t>وانظر في معنى النسخ عند السلف : إعلام الموقعين، 1/42.</w:t>
      </w:r>
    </w:p>
    <w:p w:rsidR="00035BE3" w:rsidRDefault="00035BE3" w:rsidP="00C10469">
      <w:pPr>
        <w:pStyle w:val="a6"/>
        <w:spacing w:line="223" w:lineRule="auto"/>
        <w:ind w:left="420" w:firstLine="0"/>
        <w:rPr>
          <w:spacing w:val="-6"/>
          <w:rtl/>
        </w:rPr>
      </w:pPr>
      <w:r>
        <w:rPr>
          <w:rFonts w:hint="cs"/>
          <w:spacing w:val="-6"/>
          <w:rtl/>
        </w:rPr>
        <w:t xml:space="preserve">أما الزيادة على النص فانظر فيها : المعتمد، 1/437؛ العدة، 3/814؛ إحكام الفصول، ص400؛ أصول البزدوي وشرحه : كشف الأسرار، 3/360؛ أصول السرخسي، 2/82 المستصفى، 1/117؛ قواطع الأدلة، 3/135؛ روضة الناظر، 1/305؛ المغني للخبازي، ص259؛ شرح تنقيح الفصول، ص317؛ إعلام الموقعين، 2/378؛ شرح الكوكب المنير، 3/581؛ مسلم الثبوت وشرحه : فواتح الرحموت، 2/92؛ حاشية مرآة الأصول للإزميري، 2/190؛ ويضاف إلى ذلك فإن أ.د. عمر بن عبد العزيز أفرد في هذه المسألة كتابًا مستقلاًّ سماه : (الزيادة على النص، حقيقتها وحكمها)، وأشار في مقدمته إلى خطورة القول بأن الزيادة على النص نسخ؛ إذ </w:t>
      </w:r>
      <w:r>
        <w:rPr>
          <w:rFonts w:hint="eastAsia"/>
          <w:spacing w:val="-6"/>
          <w:rtl/>
        </w:rPr>
        <w:t>«</w:t>
      </w:r>
      <w:r>
        <w:rPr>
          <w:rFonts w:hint="cs"/>
          <w:spacing w:val="-6"/>
          <w:rtl/>
        </w:rPr>
        <w:t>القول بها مطلقًا يؤدي إلى الإحجام عن العمل بمقتضى كثير من السنة الآحادية الآتية بزيادات على ما في النص القرآني الكريم</w:t>
      </w:r>
      <w:r>
        <w:rPr>
          <w:rFonts w:hint="eastAsia"/>
          <w:spacing w:val="-6"/>
          <w:rtl/>
        </w:rPr>
        <w:t>»</w:t>
      </w:r>
      <w:r>
        <w:rPr>
          <w:rFonts w:hint="cs"/>
          <w:spacing w:val="-6"/>
          <w:rtl/>
        </w:rPr>
        <w:t>؛ فدفعه هذا إلى دراستها من خلال مواقف شيخ الإسلام ابن تيمية وتلميذه ابن القيم.</w:t>
      </w:r>
    </w:p>
  </w:footnote>
  <w:footnote w:id="3065">
    <w:p w:rsidR="00035BE3" w:rsidRDefault="00035BE3" w:rsidP="00C10469">
      <w:pPr>
        <w:pStyle w:val="a8"/>
        <w:bidi/>
        <w:spacing w:line="223"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منها </w:t>
      </w:r>
      <w:r>
        <w:rPr>
          <w:rFonts w:hint="eastAsia"/>
          <w:rtl/>
        </w:rPr>
        <w:t>»</w:t>
      </w:r>
      <w:r>
        <w:rPr>
          <w:rFonts w:hint="cs"/>
          <w:rtl/>
        </w:rPr>
        <w:t xml:space="preserve"> : زيادة من (هـ) و(و)؛ وموضعها بياض في (أ) و(د).</w:t>
      </w:r>
    </w:p>
  </w:footnote>
  <w:footnote w:id="3066">
    <w:p w:rsidR="00035BE3" w:rsidRDefault="00035BE3" w:rsidP="00C10469">
      <w:pPr>
        <w:pStyle w:val="a8"/>
        <w:bidi/>
        <w:spacing w:line="223"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الفرع في : العناية، 9/284.</w:t>
      </w:r>
    </w:p>
  </w:footnote>
  <w:footnote w:id="3067">
    <w:p w:rsidR="00035BE3" w:rsidRDefault="00035BE3" w:rsidP="00C10469">
      <w:pPr>
        <w:pStyle w:val="a8"/>
        <w:bidi/>
        <w:spacing w:line="223"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57/ب من (أ). </w:t>
      </w:r>
    </w:p>
  </w:footnote>
  <w:footnote w:id="306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أشباه ابن نجيم) : </w:t>
      </w:r>
      <w:r>
        <w:rPr>
          <w:rFonts w:hint="eastAsia"/>
          <w:rtl/>
        </w:rPr>
        <w:t>«</w:t>
      </w:r>
      <w:r>
        <w:rPr>
          <w:rFonts w:hint="cs"/>
          <w:rtl/>
        </w:rPr>
        <w:t>عضوه</w:t>
      </w:r>
      <w:r>
        <w:rPr>
          <w:rFonts w:hint="eastAsia"/>
          <w:rtl/>
        </w:rPr>
        <w:t>»</w:t>
      </w:r>
      <w:r>
        <w:rPr>
          <w:rFonts w:hint="cs"/>
          <w:rtl/>
        </w:rPr>
        <w:t xml:space="preserve">. وتمام كلامه : </w:t>
      </w:r>
      <w:r>
        <w:rPr>
          <w:rFonts w:hint="eastAsia"/>
          <w:rtl/>
        </w:rPr>
        <w:t>«</w:t>
      </w:r>
      <w:r>
        <w:rPr>
          <w:rFonts w:hint="cs"/>
          <w:rtl/>
        </w:rPr>
        <w:t>... وكذا عن قطع عضوه، أخذًا من سكوته عند إتلاف ماله</w:t>
      </w:r>
      <w:r>
        <w:rPr>
          <w:rFonts w:hint="eastAsia"/>
          <w:rtl/>
        </w:rPr>
        <w:t>»</w:t>
      </w:r>
      <w:r>
        <w:rPr>
          <w:rFonts w:hint="cs"/>
          <w:rtl/>
        </w:rPr>
        <w:t>.</w:t>
      </w:r>
    </w:p>
  </w:footnote>
  <w:footnote w:id="30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المثال عبّر عنه ابن نجيم في أشباهه بقوله : </w:t>
      </w:r>
      <w:r>
        <w:rPr>
          <w:rFonts w:hint="eastAsia"/>
          <w:rtl/>
        </w:rPr>
        <w:t>«</w:t>
      </w:r>
      <w:r>
        <w:rPr>
          <w:rFonts w:hint="cs"/>
          <w:rtl/>
        </w:rPr>
        <w:t>وفي عارية (الخانية) : الإعارة لا تثبت بالسكوت</w:t>
      </w:r>
      <w:r>
        <w:rPr>
          <w:rFonts w:hint="eastAsia"/>
          <w:rtl/>
        </w:rPr>
        <w:t>»</w:t>
      </w:r>
      <w:r>
        <w:rPr>
          <w:rFonts w:hint="cs"/>
          <w:rtl/>
        </w:rPr>
        <w:t>؛ والنص الذي ذكره ابن نجيم موجود في الخانية، 3/382.</w:t>
      </w:r>
    </w:p>
  </w:footnote>
  <w:footnote w:id="3070">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و(د) : </w:t>
      </w:r>
      <w:r>
        <w:rPr>
          <w:rFonts w:hint="eastAsia"/>
          <w:spacing w:val="-4"/>
          <w:rtl/>
        </w:rPr>
        <w:t>«</w:t>
      </w:r>
      <w:r>
        <w:rPr>
          <w:rFonts w:hint="cs"/>
          <w:spacing w:val="-4"/>
          <w:rtl/>
        </w:rPr>
        <w:t xml:space="preserve"> منه </w:t>
      </w:r>
      <w:r>
        <w:rPr>
          <w:rFonts w:hint="eastAsia"/>
          <w:spacing w:val="-4"/>
          <w:rtl/>
        </w:rPr>
        <w:t>»</w:t>
      </w:r>
      <w:r>
        <w:rPr>
          <w:rFonts w:hint="cs"/>
          <w:spacing w:val="-4"/>
          <w:rtl/>
        </w:rPr>
        <w:t xml:space="preserve">، وفي (جـ) : </w:t>
      </w:r>
      <w:r>
        <w:rPr>
          <w:rFonts w:hint="eastAsia"/>
          <w:spacing w:val="-4"/>
          <w:rtl/>
        </w:rPr>
        <w:t>«</w:t>
      </w:r>
      <w:r>
        <w:rPr>
          <w:rFonts w:hint="cs"/>
          <w:spacing w:val="-4"/>
          <w:rtl/>
        </w:rPr>
        <w:t xml:space="preserve"> رقنه </w:t>
      </w:r>
      <w:r>
        <w:rPr>
          <w:rFonts w:hint="eastAsia"/>
          <w:spacing w:val="-4"/>
          <w:rtl/>
        </w:rPr>
        <w:t>»</w:t>
      </w:r>
      <w:r>
        <w:rPr>
          <w:rFonts w:hint="cs"/>
          <w:spacing w:val="-4"/>
          <w:rtl/>
        </w:rPr>
        <w:t>. والصحيح ما تمَّ إثباته من (ب) و(هـ) و(و) ، وهو الموافق لأشباه ابن نجيم.</w:t>
      </w:r>
    </w:p>
  </w:footnote>
  <w:footnote w:id="30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الفرع والذي قبله في : العناية، 9/284.</w:t>
      </w:r>
    </w:p>
  </w:footnote>
  <w:footnote w:id="30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37/ب من (ب).</w:t>
      </w:r>
    </w:p>
  </w:footnote>
  <w:footnote w:id="3073">
    <w:p w:rsidR="00035BE3" w:rsidRDefault="00035BE3" w:rsidP="00C10469">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جميع الأمثلة الخارجة عن القاعدة في : الأشباه والنظائر لابن نجيم، ص179.</w:t>
      </w:r>
    </w:p>
  </w:footnote>
  <w:footnote w:id="3074">
    <w:p w:rsidR="00035BE3" w:rsidRDefault="00035BE3" w:rsidP="00C10469">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36/أ من (د).</w:t>
      </w:r>
    </w:p>
  </w:footnote>
  <w:footnote w:id="3075">
    <w:p w:rsidR="00035BE3" w:rsidRDefault="00035BE3" w:rsidP="00C10469">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العاقل </w:t>
      </w:r>
      <w:r>
        <w:rPr>
          <w:rFonts w:hint="eastAsia"/>
          <w:rtl/>
        </w:rPr>
        <w:t>»</w:t>
      </w:r>
      <w:r>
        <w:rPr>
          <w:rFonts w:hint="cs"/>
          <w:rtl/>
        </w:rPr>
        <w:t>.</w:t>
      </w:r>
    </w:p>
    <w:p w:rsidR="00035BE3" w:rsidRDefault="00035BE3" w:rsidP="00C10469">
      <w:pPr>
        <w:pStyle w:val="a6"/>
        <w:spacing w:line="264" w:lineRule="auto"/>
        <w:ind w:left="420" w:firstLine="0"/>
        <w:rPr>
          <w:spacing w:val="6"/>
          <w:rtl/>
        </w:rPr>
      </w:pPr>
      <w:r>
        <w:rPr>
          <w:rFonts w:hint="cs"/>
          <w:b/>
          <w:bCs/>
          <w:spacing w:val="6"/>
          <w:rtl/>
        </w:rPr>
        <w:t>ومعنى الجواب</w:t>
      </w:r>
      <w:r>
        <w:rPr>
          <w:rFonts w:hint="cs"/>
          <w:spacing w:val="6"/>
          <w:rtl/>
        </w:rPr>
        <w:t xml:space="preserve"> : أن الظاهر في المسائل التي قيل إنها خارجة عن القاعدة : كونه لابّد فيها من رضا صاحب الشأن للفاعل الذي تصرف تلك التصرفات، ومجرد سكوت صاحب الشأن لا يدلّ على الرضا؛ لأنه ليس في معرض الحاجة إلى البيان، فيكون رضاه منعدمًا في تلك المسائل وأمثالها في حق العامل لتلك التصرفات؛ وإذا كان رضاه منعدمًا : لم تصح تلك التصرفات؛ فلا تكون داخلة تحت القاعدة أصلاً.</w:t>
      </w:r>
    </w:p>
    <w:p w:rsidR="00035BE3" w:rsidRDefault="00035BE3" w:rsidP="00C10469">
      <w:pPr>
        <w:pStyle w:val="a6"/>
        <w:spacing w:line="264" w:lineRule="auto"/>
        <w:ind w:left="420" w:firstLine="0"/>
        <w:rPr>
          <w:spacing w:val="-4"/>
          <w:rtl/>
        </w:rPr>
      </w:pPr>
      <w:r>
        <w:rPr>
          <w:rFonts w:hint="cs"/>
          <w:b/>
          <w:bCs/>
          <w:spacing w:val="-4"/>
          <w:rtl/>
        </w:rPr>
        <w:t>ويمكن أن يجاب عنها بجواب آخر :</w:t>
      </w:r>
      <w:r>
        <w:rPr>
          <w:rFonts w:hint="cs"/>
          <w:spacing w:val="-4"/>
          <w:rtl/>
        </w:rPr>
        <w:t xml:space="preserve"> وهو أن يقال : إن هذه الفروع داخلة تحت قاعدة آخرى هي أليق بها، وهي قاعدة: </w:t>
      </w:r>
      <w:r>
        <w:rPr>
          <w:rFonts w:hint="eastAsia"/>
          <w:spacing w:val="-4"/>
          <w:rtl/>
        </w:rPr>
        <w:t>«</w:t>
      </w:r>
      <w:r>
        <w:rPr>
          <w:rFonts w:hint="cs"/>
          <w:spacing w:val="-4"/>
          <w:rtl/>
        </w:rPr>
        <w:t>لا ينسب إلى ساكت قول</w:t>
      </w:r>
      <w:r>
        <w:rPr>
          <w:rFonts w:hint="eastAsia"/>
          <w:spacing w:val="-4"/>
          <w:rtl/>
        </w:rPr>
        <w:t>»</w:t>
      </w:r>
      <w:r>
        <w:rPr>
          <w:rFonts w:hint="cs"/>
          <w:spacing w:val="-4"/>
          <w:rtl/>
        </w:rPr>
        <w:t>، ولاسيما أن المصدر الرئيس لهذه المسائل (وهو أشباه ابن نجيم) قد أدرجها تحت هذه القاعدة.</w:t>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t xml:space="preserve">  </w:t>
      </w:r>
    </w:p>
    <w:p w:rsidR="00035BE3" w:rsidRDefault="00035BE3" w:rsidP="00C10469">
      <w:pPr>
        <w:pStyle w:val="a6"/>
        <w:ind w:left="422" w:hanging="2"/>
        <w:rPr>
          <w:rtl/>
        </w:rPr>
      </w:pPr>
      <w:r>
        <w:rPr>
          <w:rFonts w:hint="cs"/>
          <w:rtl/>
        </w:rPr>
        <w:t xml:space="preserve">وأفضل من هذا وذاك أنْ يُسلك ما سلكه واضعو المجلة ومن تابعهم، بأن تُدرج قاعدة المؤلف تحت هذه القاعدة وتكون كالاستثناء منها، فيقال : </w:t>
      </w:r>
      <w:r>
        <w:rPr>
          <w:rFonts w:hint="eastAsia"/>
          <w:rtl/>
        </w:rPr>
        <w:t>«</w:t>
      </w:r>
      <w:r>
        <w:rPr>
          <w:rFonts w:hint="cs"/>
          <w:rtl/>
        </w:rPr>
        <w:t>لا ينسب إلى ساكت قول، ولكن السكوت في معرض الحاجة إلى البيان بيان</w:t>
      </w:r>
      <w:r>
        <w:rPr>
          <w:rFonts w:hint="eastAsia"/>
          <w:rtl/>
        </w:rPr>
        <w:t>»</w:t>
      </w:r>
      <w:r>
        <w:rPr>
          <w:rFonts w:hint="cs"/>
          <w:rtl/>
        </w:rPr>
        <w:t>- وهذا لفظ الزرقا في مدخله-.</w:t>
      </w:r>
    </w:p>
    <w:p w:rsidR="00035BE3" w:rsidRDefault="00035BE3" w:rsidP="00C10469">
      <w:pPr>
        <w:pStyle w:val="a6"/>
        <w:ind w:left="422" w:hanging="2"/>
        <w:rPr>
          <w:rtl/>
        </w:rPr>
      </w:pPr>
      <w:r>
        <w:rPr>
          <w:rFonts w:hint="cs"/>
          <w:rtl/>
        </w:rPr>
        <w:t>فيكون ما ذكره المؤلف في بداية شرح القاعدة داخلاً تحت الشق الثاني، وما قيل إنه خارج عنها داخل تحت الشق الأول.</w:t>
      </w:r>
    </w:p>
    <w:p w:rsidR="00035BE3" w:rsidRDefault="00035BE3" w:rsidP="00C10469">
      <w:pPr>
        <w:pStyle w:val="a6"/>
        <w:ind w:left="422" w:hanging="2"/>
        <w:rPr>
          <w:rtl/>
        </w:rPr>
      </w:pPr>
      <w:r>
        <w:rPr>
          <w:rFonts w:hint="cs"/>
          <w:rtl/>
        </w:rPr>
        <w:t>يضاف إلى ذلك أن صاحب (العناية) -9/284- ذكر ثلاث مسائل من تلك المسائل التي قيل إنها خارجة عن القاعدة، وأجاب عنها، فانظره إن شئت.</w:t>
      </w:r>
    </w:p>
  </w:footnote>
  <w:footnote w:id="30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ولذا </w:t>
      </w:r>
      <w:r>
        <w:rPr>
          <w:rFonts w:hint="eastAsia"/>
          <w:rtl/>
        </w:rPr>
        <w:t>»</w:t>
      </w:r>
      <w:r>
        <w:rPr>
          <w:rFonts w:hint="cs"/>
          <w:rtl/>
        </w:rPr>
        <w:t>.</w:t>
      </w:r>
    </w:p>
  </w:footnote>
  <w:footnote w:id="30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 xml:space="preserve"> يسمع </w:t>
      </w:r>
      <w:r>
        <w:rPr>
          <w:rFonts w:hint="eastAsia"/>
          <w:rtl/>
        </w:rPr>
        <w:t>»</w:t>
      </w:r>
      <w:r>
        <w:rPr>
          <w:rFonts w:hint="cs"/>
          <w:rtl/>
        </w:rPr>
        <w:t>. والصحيح ما تمَّ إثباته من (د)</w:t>
      </w:r>
    </w:p>
  </w:footnote>
  <w:footnote w:id="30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بحثت عن مسألة الغصب في مظانها في أبرز مصادر المؤلف ولم أجدها.</w:t>
      </w:r>
    </w:p>
  </w:footnote>
  <w:footnote w:id="3079">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تمثل جزءًا من حديث جاء في آخره : </w:t>
      </w:r>
      <w:r>
        <w:rPr>
          <w:rFonts w:hint="eastAsia"/>
          <w:rtl/>
        </w:rPr>
        <w:t>«</w:t>
      </w:r>
      <w:r>
        <w:rPr>
          <w:rFonts w:hint="cs"/>
          <w:rtl/>
        </w:rPr>
        <w:t xml:space="preserve"> ... </w:t>
      </w:r>
      <w:r>
        <w:rPr>
          <w:rFonts w:cs="DecoType Naskh" w:hint="cs"/>
          <w:sz w:val="28"/>
          <w:rtl/>
        </w:rPr>
        <w:t>فالسلطان وليّ من لا وليّ له</w:t>
      </w:r>
      <w:r>
        <w:rPr>
          <w:rFonts w:hint="cs"/>
          <w:rtl/>
        </w:rPr>
        <w:t xml:space="preserve"> </w:t>
      </w:r>
      <w:r>
        <w:rPr>
          <w:rFonts w:hint="eastAsia"/>
          <w:rtl/>
        </w:rPr>
        <w:t>»</w:t>
      </w:r>
      <w:r>
        <w:rPr>
          <w:rFonts w:hint="cs"/>
          <w:rtl/>
        </w:rPr>
        <w:t xml:space="preserve">، وفي لفظ : </w:t>
      </w:r>
      <w:r>
        <w:rPr>
          <w:rFonts w:hint="eastAsia"/>
          <w:rtl/>
        </w:rPr>
        <w:t>«</w:t>
      </w:r>
      <w:r>
        <w:rPr>
          <w:rFonts w:hint="cs"/>
          <w:rtl/>
        </w:rPr>
        <w:t xml:space="preserve">... </w:t>
      </w:r>
      <w:r>
        <w:rPr>
          <w:rFonts w:cs="DecoType Naskh" w:hint="cs"/>
          <w:sz w:val="28"/>
          <w:rtl/>
        </w:rPr>
        <w:t>والسلطان وليّ من لا وليّ له</w:t>
      </w:r>
      <w:r>
        <w:rPr>
          <w:rFonts w:hint="eastAsia"/>
          <w:rtl/>
        </w:rPr>
        <w:t>»</w:t>
      </w:r>
      <w:r>
        <w:rPr>
          <w:rFonts w:hint="cs"/>
          <w:rtl/>
        </w:rPr>
        <w:t xml:space="preserve">، وفي لفظ : </w:t>
      </w:r>
      <w:r>
        <w:rPr>
          <w:rFonts w:hint="eastAsia"/>
          <w:rtl/>
        </w:rPr>
        <w:t>«</w:t>
      </w:r>
      <w:r>
        <w:rPr>
          <w:rFonts w:hint="cs"/>
          <w:rtl/>
        </w:rPr>
        <w:t xml:space="preserve">... </w:t>
      </w:r>
      <w:r>
        <w:rPr>
          <w:rFonts w:cs="DecoType Naskh" w:hint="cs"/>
          <w:sz w:val="28"/>
          <w:rtl/>
        </w:rPr>
        <w:t>فالسلطان وليّ من لا وليّ لها</w:t>
      </w:r>
      <w:r>
        <w:rPr>
          <w:rFonts w:hint="eastAsia"/>
          <w:rtl/>
        </w:rPr>
        <w:t>»</w:t>
      </w:r>
      <w:r>
        <w:rPr>
          <w:rFonts w:hint="cs"/>
          <w:rtl/>
        </w:rPr>
        <w:t>.</w:t>
      </w:r>
    </w:p>
    <w:p w:rsidR="00035BE3" w:rsidRDefault="00035BE3" w:rsidP="00C10469">
      <w:pPr>
        <w:pStyle w:val="a6"/>
        <w:ind w:left="422" w:firstLine="0"/>
        <w:rPr>
          <w:spacing w:val="-8"/>
          <w:rtl/>
        </w:rPr>
      </w:pPr>
      <w:r>
        <w:rPr>
          <w:rFonts w:hint="cs"/>
          <w:spacing w:val="-8"/>
          <w:rtl/>
        </w:rPr>
        <w:t>فقد أخرجه عبد الرزاق، كتاب النكاح، باب النكاح بغير وليّ، 6/195، ح10472؛ وابن أبي شيبة، كتاب النكاح، من قال : لا نكاح إلا بولي أو سلطان، 3/454، ح15919، 3/455، ح15933؛ وأحمد، 6/47، 66، 165، 260؛ وأبو داود، كتاب النكاح، باب في الولي، 2/229؛ وابن ماجه، كتاب النكاح، باب لا نكاح إلا بولي، 1/605، ح1879؛ والترمذي، كتاب النكاح، باب ما جاء : لا نكاح إلا بولي، 3/407، ح1102؛ وابن الجارود في المنتقى، كتاب النكاح، 1/175، ح700؛ وأبويعلى في مسنده، 8/191، 4749؛ وأبو عوانة في مسنده، كتاب النكاح، باب ذكر الخبر الدّال ... على إبطال نكاح المرأة التي تُزوِّج نفسها، ثيّبا كانت أو بكرًا؛ والطحاوي في شرح معاني الآثار، كتاب النكاح، باب النكاح بغير ولي عصبة، 3/7؛ وابن حبان في صحيحه، كتاب النكاح، باب الولي، 9/384-387، ح4074-4075؛ والطبراني في الـمعجم الأوسط، 6/260، ح6352؛ والدارقطني، كتاب النكاح، 3/221، 226؛ والحاكم، كتاب النكاح، 2/182، 183؛ وابن حزم في المحلى، 9/451-452؛ والبيهقي، كتاب النكاح، باب لا نكاح إلا بولي، 7/105.</w:t>
      </w:r>
    </w:p>
    <w:p w:rsidR="00035BE3" w:rsidRDefault="00035BE3" w:rsidP="00C10469">
      <w:pPr>
        <w:pStyle w:val="a6"/>
        <w:ind w:left="422" w:firstLine="0"/>
        <w:rPr>
          <w:rtl/>
        </w:rPr>
      </w:pPr>
      <w:r>
        <w:rPr>
          <w:rFonts w:hint="cs"/>
          <w:rtl/>
        </w:rPr>
        <w:t>-جميعهم - بأحد الألفاظ المذكورة من حديث عائشة رضي الله عنها.</w:t>
      </w:r>
    </w:p>
    <w:p w:rsidR="00035BE3" w:rsidRDefault="00035BE3" w:rsidP="00C10469">
      <w:pPr>
        <w:pStyle w:val="a6"/>
        <w:ind w:left="422" w:firstLine="0"/>
        <w:rPr>
          <w:b/>
          <w:bCs/>
          <w:rtl/>
        </w:rPr>
      </w:pPr>
      <w:r>
        <w:rPr>
          <w:rFonts w:hint="cs"/>
          <w:b/>
          <w:bCs/>
          <w:rtl/>
        </w:rPr>
        <w:t>وممّا قاله أهل العلم في هذا الحديث :</w:t>
      </w:r>
    </w:p>
    <w:p w:rsidR="00035BE3" w:rsidRPr="00F510C3" w:rsidRDefault="00035BE3" w:rsidP="00C10469">
      <w:pPr>
        <w:pStyle w:val="a6"/>
        <w:spacing w:line="228" w:lineRule="auto"/>
        <w:ind w:left="422" w:firstLine="0"/>
        <w:rPr>
          <w:rtl/>
        </w:rPr>
      </w:pPr>
      <w:r w:rsidRPr="00F510C3">
        <w:rPr>
          <w:rtl/>
        </w:rPr>
        <w:t>•</w:t>
      </w:r>
      <w:r w:rsidRPr="00F510C3">
        <w:rPr>
          <w:rFonts w:hint="cs"/>
          <w:rtl/>
        </w:rPr>
        <w:t xml:space="preserve"> ما جاء في (الإحسان في تقريب صحيح ابن حبان)، 9/385: </w:t>
      </w:r>
      <w:r w:rsidRPr="00F510C3">
        <w:rPr>
          <w:rFonts w:hint="eastAsia"/>
          <w:rtl/>
        </w:rPr>
        <w:t>«</w:t>
      </w:r>
      <w:r w:rsidRPr="00F510C3">
        <w:rPr>
          <w:rFonts w:hint="cs"/>
          <w:rtl/>
        </w:rPr>
        <w:t>قال أبو حاتم: هذا خبر أوهم من لم يُحكمْ صناعة الحديث أنه منقطع، أو لا أصل له؛ بحكاية حكاها ابن عُلية عن ابن جريج في عقب هذا الخبر، قال : ثم لقيت الزهري فذكرت ذلك له فلم يعرفه. وليس هذا مما يهي الخبر وبمثله ...</w:t>
      </w:r>
      <w:r w:rsidRPr="00F510C3">
        <w:rPr>
          <w:rFonts w:hint="eastAsia"/>
          <w:rtl/>
        </w:rPr>
        <w:t>»</w:t>
      </w:r>
      <w:r w:rsidRPr="00F510C3">
        <w:rPr>
          <w:rFonts w:hint="cs"/>
          <w:rtl/>
        </w:rPr>
        <w:t>. ثم فصّل في ذلك.</w:t>
      </w:r>
    </w:p>
    <w:p w:rsidR="00035BE3" w:rsidRDefault="00035BE3" w:rsidP="00C10469">
      <w:pPr>
        <w:pStyle w:val="a6"/>
        <w:spacing w:line="228" w:lineRule="auto"/>
        <w:ind w:left="-32" w:firstLine="454"/>
        <w:rPr>
          <w:spacing w:val="-4"/>
          <w:rtl/>
        </w:rPr>
      </w:pPr>
      <w:r>
        <w:rPr>
          <w:spacing w:val="-4"/>
          <w:rtl/>
        </w:rPr>
        <w:t>•</w:t>
      </w:r>
      <w:r>
        <w:rPr>
          <w:rFonts w:hint="cs"/>
          <w:spacing w:val="-4"/>
          <w:rtl/>
        </w:rPr>
        <w:t xml:space="preserve"> وجاء في سنن الترمذي عقب الحديث -3/407- </w:t>
      </w:r>
      <w:r>
        <w:rPr>
          <w:rFonts w:hint="eastAsia"/>
          <w:spacing w:val="-4"/>
          <w:rtl/>
        </w:rPr>
        <w:t>«</w:t>
      </w:r>
      <w:r>
        <w:rPr>
          <w:rFonts w:hint="cs"/>
          <w:spacing w:val="-4"/>
          <w:rtl/>
        </w:rPr>
        <w:t>قال أبو عيسى : هذا حديث حسن ...</w:t>
      </w:r>
      <w:r>
        <w:rPr>
          <w:rFonts w:hint="eastAsia"/>
          <w:spacing w:val="-4"/>
          <w:rtl/>
        </w:rPr>
        <w:t>»</w:t>
      </w:r>
      <w:r>
        <w:rPr>
          <w:rFonts w:hint="cs"/>
          <w:spacing w:val="-4"/>
          <w:rtl/>
        </w:rPr>
        <w:t>.</w:t>
      </w:r>
    </w:p>
    <w:p w:rsidR="00035BE3" w:rsidRDefault="00035BE3" w:rsidP="00C10469">
      <w:pPr>
        <w:pStyle w:val="a6"/>
        <w:spacing w:line="228" w:lineRule="auto"/>
        <w:ind w:left="422" w:firstLine="0"/>
        <w:rPr>
          <w:rtl/>
        </w:rPr>
      </w:pPr>
      <w:r>
        <w:rPr>
          <w:rtl/>
        </w:rPr>
        <w:t>•</w:t>
      </w:r>
      <w:r>
        <w:rPr>
          <w:rFonts w:hint="cs"/>
          <w:rtl/>
        </w:rPr>
        <w:t xml:space="preserve"> وجاء في المستدرك عقب الحديث </w:t>
      </w:r>
      <w:r>
        <w:rPr>
          <w:rtl/>
        </w:rPr>
        <w:t>–</w:t>
      </w:r>
      <w:r>
        <w:rPr>
          <w:rFonts w:hint="cs"/>
          <w:rtl/>
        </w:rPr>
        <w:t xml:space="preserve">2/182- : </w:t>
      </w:r>
      <w:r>
        <w:rPr>
          <w:rFonts w:hint="eastAsia"/>
          <w:rtl/>
        </w:rPr>
        <w:t>«</w:t>
      </w:r>
      <w:r>
        <w:rPr>
          <w:rFonts w:hint="cs"/>
          <w:rtl/>
        </w:rPr>
        <w:t>هذا حديث صحيح على شرط الشيخين، ولم يخرجاه ...</w:t>
      </w:r>
      <w:r>
        <w:rPr>
          <w:rFonts w:hint="eastAsia"/>
          <w:rtl/>
        </w:rPr>
        <w:t>»</w:t>
      </w:r>
      <w:r>
        <w:rPr>
          <w:rFonts w:hint="cs"/>
          <w:rtl/>
        </w:rPr>
        <w:t>.</w:t>
      </w:r>
    </w:p>
    <w:p w:rsidR="00035BE3" w:rsidRDefault="00035BE3" w:rsidP="00C10469">
      <w:pPr>
        <w:pStyle w:val="a6"/>
        <w:spacing w:line="228" w:lineRule="auto"/>
        <w:ind w:left="422" w:firstLine="0"/>
        <w:rPr>
          <w:rtl/>
        </w:rPr>
      </w:pPr>
      <w:r>
        <w:rPr>
          <w:rFonts w:hint="cs"/>
          <w:rtl/>
        </w:rPr>
        <w:t xml:space="preserve">كما جاء في المستدرك أيضًا </w:t>
      </w:r>
      <w:r>
        <w:rPr>
          <w:rtl/>
        </w:rPr>
        <w:t>–</w:t>
      </w:r>
      <w:r>
        <w:rPr>
          <w:rFonts w:hint="cs"/>
          <w:rtl/>
        </w:rPr>
        <w:t xml:space="preserve">2/183- : </w:t>
      </w:r>
      <w:r>
        <w:rPr>
          <w:rFonts w:hint="eastAsia"/>
          <w:rtl/>
        </w:rPr>
        <w:t>«</w:t>
      </w:r>
      <w:r>
        <w:rPr>
          <w:rFonts w:hint="cs"/>
          <w:rtl/>
        </w:rPr>
        <w:t>فقد صحّ وثبت بروايات الأئمة الأثبات سماعُ الرواة بعضهم من بعض، فلا تعلّل هذه الروايات بحديث ابن عُلية، وسؤال ابن جريج عنه، وقوله: إني سألت الزهري عنه فلم يعرفه؛ فقد ينسى الثقةُ الحافظُ الحديثَ بعد أن حدّث به، وقد فعله غيرُ واحد من حفّاظ الحديث ...</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264" w:lineRule="auto"/>
        <w:ind w:left="-32" w:firstLine="454"/>
        <w:rPr>
          <w:rtl/>
        </w:rPr>
      </w:pPr>
      <w:r>
        <w:rPr>
          <w:rtl/>
        </w:rPr>
        <w:t>•</w:t>
      </w:r>
      <w:r>
        <w:rPr>
          <w:rFonts w:hint="cs"/>
          <w:rtl/>
        </w:rPr>
        <w:t xml:space="preserve"> كما ناقش هذه القصة ابن حزم في المحلى </w:t>
      </w:r>
      <w:r>
        <w:rPr>
          <w:rtl/>
        </w:rPr>
        <w:t>–</w:t>
      </w:r>
      <w:r>
        <w:rPr>
          <w:rFonts w:hint="cs"/>
          <w:rtl/>
        </w:rPr>
        <w:t>9/452-.</w:t>
      </w:r>
    </w:p>
    <w:p w:rsidR="00035BE3" w:rsidRDefault="00035BE3" w:rsidP="00C10469">
      <w:pPr>
        <w:pStyle w:val="a6"/>
        <w:spacing w:line="264" w:lineRule="auto"/>
        <w:ind w:left="422" w:firstLine="0"/>
        <w:rPr>
          <w:rtl/>
        </w:rPr>
      </w:pPr>
      <w:r>
        <w:rPr>
          <w:rFonts w:hint="cs"/>
          <w:rtl/>
        </w:rPr>
        <w:t xml:space="preserve">وأيضًا صرّح بصحّة الحديث بزيادة : </w:t>
      </w:r>
      <w:r>
        <w:rPr>
          <w:rFonts w:hint="eastAsia"/>
          <w:rtl/>
        </w:rPr>
        <w:t>«</w:t>
      </w:r>
      <w:r>
        <w:rPr>
          <w:rFonts w:hint="cs"/>
          <w:rtl/>
          <w:lang w:bidi="ar-AE"/>
        </w:rPr>
        <w:t>و</w:t>
      </w:r>
      <w:r>
        <w:rPr>
          <w:rFonts w:hint="cs"/>
          <w:rtl/>
        </w:rPr>
        <w:t>شاهدي عدل</w:t>
      </w:r>
      <w:r>
        <w:rPr>
          <w:rFonts w:hint="eastAsia"/>
          <w:rtl/>
        </w:rPr>
        <w:t>»</w:t>
      </w:r>
      <w:r>
        <w:rPr>
          <w:rFonts w:hint="cs"/>
          <w:rtl/>
        </w:rPr>
        <w:t xml:space="preserve">، وذلك في أحد طرق هذه الزيادة، حيث قال </w:t>
      </w:r>
      <w:r>
        <w:rPr>
          <w:rtl/>
        </w:rPr>
        <w:t>–</w:t>
      </w:r>
      <w:r>
        <w:rPr>
          <w:rFonts w:hint="cs"/>
          <w:rtl/>
        </w:rPr>
        <w:t xml:space="preserve">9/465- : </w:t>
      </w:r>
      <w:r>
        <w:rPr>
          <w:rFonts w:hint="eastAsia"/>
          <w:rtl/>
        </w:rPr>
        <w:t>«</w:t>
      </w:r>
      <w:r>
        <w:rPr>
          <w:rFonts w:hint="cs"/>
          <w:rtl/>
        </w:rPr>
        <w:t xml:space="preserve">... عن عائشة قالت : قال رسول الله </w:t>
      </w:r>
      <w:r>
        <w:rPr>
          <w:rFonts w:ascii="AGA Arabesque" w:hAnsi="AGA Arabesque"/>
          <w:sz w:val="36"/>
          <w:szCs w:val="36"/>
          <w:lang w:val="en-US"/>
        </w:rPr>
        <w:t></w:t>
      </w:r>
      <w:r>
        <w:rPr>
          <w:rFonts w:hint="cs"/>
          <w:rtl/>
        </w:rPr>
        <w:t xml:space="preserve"> : </w:t>
      </w:r>
      <w:r>
        <w:rPr>
          <w:rFonts w:hint="eastAsia"/>
          <w:rtl/>
        </w:rPr>
        <w:t>«</w:t>
      </w:r>
      <w:r>
        <w:rPr>
          <w:rFonts w:hint="cs"/>
          <w:rtl/>
        </w:rPr>
        <w:t>أيما امرأة نكحت بغير إذن وليّها وشاهدي عدل فنكاحها باطل، وإن دخل بها فلها المهر، وإن اشتجروا فالسلطان وليّ من لا وليّ له</w:t>
      </w:r>
      <w:r>
        <w:rPr>
          <w:rFonts w:hint="eastAsia"/>
          <w:rtl/>
        </w:rPr>
        <w:t>»</w:t>
      </w:r>
      <w:r>
        <w:rPr>
          <w:rFonts w:hint="cs"/>
          <w:rtl/>
        </w:rPr>
        <w:t>.</w:t>
      </w:r>
    </w:p>
    <w:p w:rsidR="00035BE3" w:rsidRDefault="00035BE3" w:rsidP="00C10469">
      <w:pPr>
        <w:pStyle w:val="a6"/>
        <w:spacing w:line="264" w:lineRule="auto"/>
        <w:ind w:left="422" w:firstLine="0"/>
        <w:rPr>
          <w:rtl/>
        </w:rPr>
      </w:pPr>
      <w:r>
        <w:rPr>
          <w:rFonts w:hint="cs"/>
          <w:rtl/>
        </w:rPr>
        <w:t>قال أبو محمد : لا يصّح في هذا الباب شيء غير هذا السّند (يعني : ذكر شاهدي عدل)</w:t>
      </w:r>
      <w:r>
        <w:rPr>
          <w:rFonts w:hint="eastAsia"/>
          <w:rtl/>
        </w:rPr>
        <w:t>»</w:t>
      </w:r>
      <w:r>
        <w:rPr>
          <w:rFonts w:hint="cs"/>
          <w:rtl/>
        </w:rPr>
        <w:t>. وورد نحو كلام ابن حزم هذا في الإحسان في تقريب صحيح ابن حبان، 9/387.</w:t>
      </w:r>
    </w:p>
    <w:p w:rsidR="00035BE3" w:rsidRDefault="00035BE3" w:rsidP="00C10469">
      <w:pPr>
        <w:pStyle w:val="a6"/>
        <w:spacing w:line="264" w:lineRule="auto"/>
        <w:ind w:left="422" w:firstLine="0"/>
        <w:rPr>
          <w:rtl/>
        </w:rPr>
      </w:pPr>
      <w:r>
        <w:rPr>
          <w:rtl/>
        </w:rPr>
        <w:t>•</w:t>
      </w:r>
      <w:r>
        <w:rPr>
          <w:rFonts w:hint="cs"/>
          <w:rtl/>
        </w:rPr>
        <w:t xml:space="preserve"> وجاء في فتح الباري </w:t>
      </w:r>
      <w:r>
        <w:rPr>
          <w:rtl/>
        </w:rPr>
        <w:t>–</w:t>
      </w:r>
      <w:r>
        <w:rPr>
          <w:rFonts w:hint="cs"/>
          <w:rtl/>
        </w:rPr>
        <w:t xml:space="preserve">9/97-98- : </w:t>
      </w:r>
      <w:r>
        <w:rPr>
          <w:rFonts w:hint="eastAsia"/>
          <w:rtl/>
        </w:rPr>
        <w:t>«</w:t>
      </w:r>
      <w:r>
        <w:rPr>
          <w:rFonts w:hint="cs"/>
          <w:rtl/>
        </w:rPr>
        <w:t>أخرجه أبو داود والترمذي وحسنه، وصحّحه أبوعوانة، وابن خزيمة، وابن حبان، والحاكم ...</w:t>
      </w:r>
      <w:r>
        <w:rPr>
          <w:rFonts w:hint="eastAsia"/>
          <w:rtl/>
        </w:rPr>
        <w:t>»</w:t>
      </w:r>
      <w:r>
        <w:rPr>
          <w:rFonts w:hint="cs"/>
          <w:rtl/>
        </w:rPr>
        <w:t>.</w:t>
      </w:r>
    </w:p>
    <w:p w:rsidR="00035BE3" w:rsidRDefault="00035BE3" w:rsidP="00C10469">
      <w:pPr>
        <w:pStyle w:val="a6"/>
        <w:spacing w:line="264" w:lineRule="auto"/>
        <w:ind w:left="422" w:firstLine="0"/>
        <w:rPr>
          <w:rtl/>
        </w:rPr>
      </w:pPr>
      <w:r>
        <w:rPr>
          <w:rtl/>
        </w:rPr>
        <w:t>•</w:t>
      </w:r>
      <w:r>
        <w:rPr>
          <w:rFonts w:hint="cs"/>
          <w:rtl/>
        </w:rPr>
        <w:t xml:space="preserve"> وجاء في نيل الأوطار </w:t>
      </w:r>
      <w:r>
        <w:rPr>
          <w:rtl/>
        </w:rPr>
        <w:t>–</w:t>
      </w:r>
      <w:r>
        <w:rPr>
          <w:rFonts w:hint="cs"/>
          <w:rtl/>
        </w:rPr>
        <w:t xml:space="preserve">6/250- : </w:t>
      </w:r>
      <w:r>
        <w:rPr>
          <w:rFonts w:hint="eastAsia"/>
          <w:rtl/>
        </w:rPr>
        <w:t>«</w:t>
      </w:r>
      <w:r>
        <w:rPr>
          <w:rFonts w:hint="cs"/>
          <w:rtl/>
        </w:rPr>
        <w:t>وحديث عائشة أخرجه أيضًا : أبو عوانة وابن حبان والحاكم وحسّنه الترمذي.</w:t>
      </w:r>
    </w:p>
    <w:p w:rsidR="00035BE3" w:rsidRDefault="00035BE3" w:rsidP="00C10469">
      <w:pPr>
        <w:pStyle w:val="a6"/>
        <w:spacing w:line="264" w:lineRule="auto"/>
        <w:ind w:left="422" w:firstLine="0"/>
        <w:rPr>
          <w:rtl/>
        </w:rPr>
      </w:pPr>
      <w:r>
        <w:rPr>
          <w:rFonts w:hint="cs"/>
          <w:rtl/>
        </w:rPr>
        <w:t>وقد أُعلّ بالإرسال، وتَكَلَّمَ فيه بعضهم من جهة أن ابن جريج قال : ثم لقيتُ الزهري فسألته عنه فأنكره.</w:t>
      </w:r>
    </w:p>
    <w:p w:rsidR="00035BE3" w:rsidRDefault="00035BE3" w:rsidP="00C10469">
      <w:pPr>
        <w:pStyle w:val="a6"/>
        <w:spacing w:line="264" w:lineRule="auto"/>
        <w:ind w:left="422" w:firstLine="0"/>
        <w:rPr>
          <w:rtl/>
        </w:rPr>
      </w:pPr>
      <w:r>
        <w:rPr>
          <w:rFonts w:hint="cs"/>
          <w:rtl/>
        </w:rPr>
        <w:t>وقد عدّ أبو القاسم بن مندة عدَّةَ من رواه عن ابن جريج فبلغوا عشرين رجلاً ...</w:t>
      </w:r>
    </w:p>
    <w:p w:rsidR="00035BE3" w:rsidRDefault="00035BE3" w:rsidP="00C10469">
      <w:pPr>
        <w:pStyle w:val="a6"/>
        <w:spacing w:line="264" w:lineRule="auto"/>
        <w:ind w:left="422" w:firstLine="0"/>
        <w:rPr>
          <w:spacing w:val="4"/>
          <w:rtl/>
        </w:rPr>
      </w:pPr>
      <w:r w:rsidRPr="00FF2B9D">
        <w:rPr>
          <w:rFonts w:hint="cs"/>
          <w:rtl/>
        </w:rPr>
        <w:t>وقد أعلّ ابنُ حبان وابن عدي وابن عبد البر والحاكم وغيره الحكايةَ عن ابن جريج بإنكار الزهري، وعلى تقدير الصحة : لا يلزم من نسيان الزهري له أن يكون سليمان ابن موسى وهم فيه</w:t>
      </w:r>
      <w:r w:rsidRPr="00FF2B9D">
        <w:rPr>
          <w:rFonts w:hint="eastAsia"/>
          <w:rtl/>
        </w:rPr>
        <w:t>»</w:t>
      </w:r>
      <w:r>
        <w:rPr>
          <w:rFonts w:hint="cs"/>
          <w:spacing w:val="4"/>
          <w:rtl/>
        </w:rPr>
        <w:t>.</w:t>
      </w:r>
    </w:p>
    <w:p w:rsidR="00035BE3" w:rsidRDefault="00035BE3" w:rsidP="00C10469">
      <w:pPr>
        <w:pStyle w:val="a6"/>
        <w:spacing w:line="264" w:lineRule="auto"/>
        <w:ind w:left="422" w:firstLine="0"/>
        <w:rPr>
          <w:rtl/>
        </w:rPr>
      </w:pPr>
      <w:r>
        <w:rPr>
          <w:rFonts w:hint="cs"/>
          <w:rtl/>
        </w:rPr>
        <w:t>وللحديث شاهدان من حديث ابن عباس وجابر بن عبد الله رضي الله عنهم.</w:t>
      </w:r>
    </w:p>
    <w:p w:rsidR="00035BE3" w:rsidRDefault="00035BE3" w:rsidP="00C10469">
      <w:pPr>
        <w:pStyle w:val="a6"/>
        <w:spacing w:line="264" w:lineRule="auto"/>
        <w:ind w:left="422" w:firstLine="0"/>
        <w:rPr>
          <w:spacing w:val="4"/>
          <w:rtl/>
        </w:rPr>
      </w:pPr>
      <w:r>
        <w:rPr>
          <w:rFonts w:hint="cs"/>
          <w:spacing w:val="4"/>
          <w:rtl/>
        </w:rPr>
        <w:t>وللتوسع انظر أيضًا : نصب الراية، 3/167، 186؛ تلخيص الحبير، 3/156؛ كشف الخفاء، 1/553.</w:t>
      </w:r>
    </w:p>
    <w:p w:rsidR="00035BE3" w:rsidRDefault="00035BE3" w:rsidP="00C10469">
      <w:pPr>
        <w:pStyle w:val="a6"/>
        <w:spacing w:line="264" w:lineRule="auto"/>
        <w:ind w:left="422" w:firstLine="0"/>
        <w:rPr>
          <w:rtl/>
        </w:rPr>
      </w:pPr>
      <w:r>
        <w:rPr>
          <w:rFonts w:hint="cs"/>
          <w:rtl/>
        </w:rPr>
        <w:t xml:space="preserve">يضاف إلى ذلك فإن صاحب (المنثور في القواعد)-1/201- أفرد لمعنى هذه القاعدة قاعدة مستقلة قال فيها : </w:t>
      </w:r>
      <w:r>
        <w:rPr>
          <w:rFonts w:hint="eastAsia"/>
          <w:rtl/>
        </w:rPr>
        <w:t>«</w:t>
      </w:r>
      <w:r>
        <w:rPr>
          <w:rFonts w:hint="cs"/>
          <w:rtl/>
        </w:rPr>
        <w:t>الإمام هل يُلحق بالولي الخاص ؟</w:t>
      </w:r>
      <w:r>
        <w:rPr>
          <w:rFonts w:hint="eastAsia"/>
          <w:rtl/>
        </w:rPr>
        <w:t>»</w:t>
      </w:r>
      <w:r>
        <w:rPr>
          <w:rFonts w:hint="cs"/>
          <w:rtl/>
        </w:rPr>
        <w:t>.</w:t>
      </w:r>
    </w:p>
    <w:p w:rsidR="00035BE3" w:rsidRDefault="00035BE3" w:rsidP="00C10469">
      <w:pPr>
        <w:pStyle w:val="a6"/>
        <w:spacing w:line="264" w:lineRule="auto"/>
        <w:ind w:left="422" w:firstLine="0"/>
        <w:rPr>
          <w:rtl/>
        </w:rPr>
      </w:pPr>
      <w:r>
        <w:rPr>
          <w:rFonts w:hint="cs"/>
          <w:rtl/>
        </w:rPr>
        <w:t>كما وردت هذه القاعدة في مقام التعليل في بعض كتب الفقه، منها : الدّرر شرح الغرر، 2/94 - وما جاء في شرح القاعدة مذكور فيه-؛ البحر الرائق، 5/112؛ ردّ المحتار، 4/199.</w:t>
      </w:r>
    </w:p>
  </w:footnote>
  <w:footnote w:id="3080">
    <w:p w:rsidR="00035BE3" w:rsidRDefault="00035BE3" w:rsidP="00C10469">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ولاولي ...</w:t>
      </w:r>
      <w:r>
        <w:rPr>
          <w:rFonts w:hint="eastAsia"/>
          <w:rtl/>
        </w:rPr>
        <w:t>»</w:t>
      </w:r>
      <w:r>
        <w:rPr>
          <w:rFonts w:hint="cs"/>
          <w:rtl/>
        </w:rPr>
        <w:t xml:space="preserve"> (بزيادة الواو).</w:t>
      </w:r>
    </w:p>
  </w:footnote>
  <w:footnote w:id="3081">
    <w:p w:rsidR="00035BE3" w:rsidRDefault="00035BE3" w:rsidP="00C10469">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44/ب من (جـ).</w:t>
      </w:r>
    </w:p>
  </w:footnote>
  <w:footnote w:id="3082">
    <w:p w:rsidR="00035BE3" w:rsidRDefault="00035BE3" w:rsidP="00C10469">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الدّرر) : </w:t>
      </w:r>
      <w:r>
        <w:rPr>
          <w:rFonts w:hint="eastAsia"/>
          <w:rtl/>
        </w:rPr>
        <w:t>«</w:t>
      </w:r>
      <w:r>
        <w:rPr>
          <w:rFonts w:hint="cs"/>
          <w:rtl/>
        </w:rPr>
        <w:t xml:space="preserve">... </w:t>
      </w:r>
      <w:r>
        <w:rPr>
          <w:rFonts w:hint="cs"/>
          <w:b/>
          <w:bCs/>
          <w:rtl/>
        </w:rPr>
        <w:t>للإمام</w:t>
      </w:r>
      <w:r>
        <w:rPr>
          <w:rFonts w:hint="cs"/>
          <w:rtl/>
        </w:rPr>
        <w:t xml:space="preserve"> قتله </w:t>
      </w:r>
      <w:r>
        <w:rPr>
          <w:rFonts w:hint="cs"/>
          <w:b/>
          <w:bCs/>
          <w:rtl/>
        </w:rPr>
        <w:t>والصلح</w:t>
      </w:r>
      <w:r>
        <w:rPr>
          <w:rFonts w:hint="cs"/>
          <w:rtl/>
        </w:rPr>
        <w:t xml:space="preserve"> لا العفو ...</w:t>
      </w:r>
      <w:r>
        <w:rPr>
          <w:rFonts w:hint="eastAsia"/>
          <w:rtl/>
        </w:rPr>
        <w:t>»</w:t>
      </w:r>
      <w:r>
        <w:rPr>
          <w:rFonts w:hint="cs"/>
          <w:rtl/>
        </w:rPr>
        <w:t>.</w:t>
      </w:r>
    </w:p>
  </w:footnote>
  <w:footnote w:id="30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2/95- مع الاختلاف السابق - علمًا بأن المؤلف سبق أن ذكر هذا المثال، عند حديثه عن قاعدة : </w:t>
      </w:r>
      <w:r>
        <w:rPr>
          <w:rFonts w:hint="eastAsia"/>
          <w:rtl/>
        </w:rPr>
        <w:t>«</w:t>
      </w:r>
      <w:r>
        <w:rPr>
          <w:rFonts w:hint="cs"/>
          <w:rtl/>
        </w:rPr>
        <w:t>تصرف الإمام على الرعية منـوط بالمـصلحة</w:t>
      </w:r>
      <w:r>
        <w:rPr>
          <w:rFonts w:hint="eastAsia"/>
          <w:rtl/>
        </w:rPr>
        <w:t>»</w:t>
      </w:r>
      <w:r>
        <w:rPr>
          <w:rFonts w:hint="cs"/>
          <w:rtl/>
        </w:rPr>
        <w:t>، وذلك ص518 (ل33/ب)، قاعدة 75. فما قيل في توثيقه هناك يقال هنا.</w:t>
      </w:r>
    </w:p>
  </w:footnote>
  <w:footnote w:id="30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حملة</w:t>
      </w:r>
      <w:r>
        <w:rPr>
          <w:rFonts w:hint="eastAsia"/>
          <w:rtl/>
        </w:rPr>
        <w:t>»</w:t>
      </w:r>
      <w:r>
        <w:rPr>
          <w:rFonts w:hint="cs"/>
          <w:rtl/>
        </w:rPr>
        <w:t xml:space="preserve"> (بالحاء المهملة). والصحيح ما تمَّ إثباته من (ب) و(جـ).</w:t>
      </w:r>
    </w:p>
  </w:footnote>
  <w:footnote w:id="3085">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هذه القاعدة تشكِّل الشِّق الثاني من قاعدة سبق أن تكلم عنها المؤلف، وهي : </w:t>
      </w:r>
      <w:r>
        <w:rPr>
          <w:rFonts w:hint="eastAsia"/>
          <w:spacing w:val="8"/>
          <w:rtl/>
        </w:rPr>
        <w:t>«</w:t>
      </w:r>
      <w:r>
        <w:rPr>
          <w:rFonts w:hint="cs"/>
          <w:spacing w:val="8"/>
          <w:rtl/>
        </w:rPr>
        <w:t>أجزاء العوض تنقسم على أجزاء المعوّض، وأجزاء الشرط لا تنقسم على أجزاء المشروط</w:t>
      </w:r>
      <w:r>
        <w:rPr>
          <w:rFonts w:hint="eastAsia"/>
          <w:spacing w:val="8"/>
          <w:rtl/>
        </w:rPr>
        <w:t>»</w:t>
      </w:r>
      <w:r>
        <w:rPr>
          <w:rFonts w:hint="cs"/>
          <w:spacing w:val="8"/>
          <w:rtl/>
        </w:rPr>
        <w:t>، وذلـك ص237 (ل3/ب)، قاعدة 4. فما قيل في توثيق ذلك الشق هناك يقال هنا.</w:t>
      </w:r>
    </w:p>
    <w:p w:rsidR="00035BE3" w:rsidRDefault="00035BE3" w:rsidP="00C10469">
      <w:pPr>
        <w:pStyle w:val="a6"/>
        <w:ind w:left="422" w:firstLine="0"/>
        <w:rPr>
          <w:rtl/>
        </w:rPr>
      </w:pPr>
      <w:r>
        <w:rPr>
          <w:rFonts w:hint="cs"/>
          <w:rtl/>
        </w:rPr>
        <w:t>ولفظ هذه القاعدة وجل ما جاء في شرحها هنا مذكور في الدّرر شرح الغرر، 2/306-307.</w:t>
      </w:r>
    </w:p>
  </w:footnote>
  <w:footnote w:id="30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يمبديه </w:t>
      </w:r>
      <w:r>
        <w:rPr>
          <w:rFonts w:hint="eastAsia"/>
          <w:rtl/>
        </w:rPr>
        <w:t>»</w:t>
      </w:r>
      <w:r>
        <w:rPr>
          <w:rFonts w:hint="cs"/>
          <w:rtl/>
        </w:rPr>
        <w:t>.</w:t>
      </w:r>
    </w:p>
  </w:footnote>
  <w:footnote w:id="30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أدى </w:t>
      </w:r>
      <w:r>
        <w:rPr>
          <w:rFonts w:hint="eastAsia"/>
          <w:rtl/>
        </w:rPr>
        <w:t>»</w:t>
      </w:r>
      <w:r>
        <w:rPr>
          <w:rFonts w:hint="cs"/>
          <w:rtl/>
        </w:rPr>
        <w:t>. والصحيح ما تمَّ إثباته من (ب).</w:t>
      </w:r>
    </w:p>
  </w:footnote>
  <w:footnote w:id="30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ألفًا </w:t>
      </w:r>
      <w:r>
        <w:rPr>
          <w:rFonts w:hint="eastAsia"/>
          <w:rtl/>
        </w:rPr>
        <w:t>»</w:t>
      </w:r>
      <w:r>
        <w:rPr>
          <w:rFonts w:hint="cs"/>
          <w:rtl/>
        </w:rPr>
        <w:t xml:space="preserve"> : ساقطة من (جـ).</w:t>
      </w:r>
    </w:p>
  </w:footnote>
  <w:footnote w:id="30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بأذاء </w:t>
      </w:r>
      <w:r>
        <w:rPr>
          <w:rFonts w:hint="eastAsia"/>
          <w:rtl/>
        </w:rPr>
        <w:t>»</w:t>
      </w:r>
      <w:r>
        <w:rPr>
          <w:rFonts w:hint="cs"/>
          <w:rtl/>
        </w:rPr>
        <w:t>.</w:t>
      </w:r>
    </w:p>
  </w:footnote>
  <w:footnote w:id="30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58/أ من (أ).</w:t>
      </w:r>
    </w:p>
  </w:footnote>
  <w:footnote w:id="30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2/306- مع اختلاف يسير أهمه أنه قال في نهاية العبارة : </w:t>
      </w:r>
      <w:r>
        <w:rPr>
          <w:rFonts w:hint="eastAsia"/>
          <w:rtl/>
        </w:rPr>
        <w:t>«</w:t>
      </w:r>
      <w:r>
        <w:rPr>
          <w:rFonts w:hint="cs"/>
          <w:rtl/>
        </w:rPr>
        <w:t>... نصفه؛ إذْ الشرط يقابل المشروط جملة، ولا يقابله أجزاء</w:t>
      </w:r>
      <w:r>
        <w:rPr>
          <w:rFonts w:hint="eastAsia"/>
          <w:rtl/>
        </w:rPr>
        <w:t>»</w:t>
      </w:r>
      <w:r>
        <w:rPr>
          <w:rFonts w:hint="cs"/>
          <w:rtl/>
        </w:rPr>
        <w:t>-.</w:t>
      </w:r>
    </w:p>
  </w:footnote>
  <w:footnote w:id="309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sidRPr="00385C7E">
        <w:rPr>
          <w:rFonts w:hint="cs"/>
          <w:spacing w:val="-4"/>
          <w:rtl/>
        </w:rPr>
        <w:t xml:space="preserve">هذا الضابط ممّا نصَّ عليه أتباع المذاهب الفقهية الأربعة؛ لهذا قال ابن نجيم في رسائله -ص280-: </w:t>
      </w:r>
      <w:r>
        <w:rPr>
          <w:rFonts w:hint="eastAsia"/>
          <w:rtl/>
        </w:rPr>
        <w:t>«</w:t>
      </w:r>
      <w:r>
        <w:rPr>
          <w:rFonts w:hint="cs"/>
          <w:rtl/>
        </w:rPr>
        <w:t>فإنه يجب اتباع شرطه؛ لما تواتر من قول العلماء ذوي المذاهب الأربعة: إنَّ شرط الواقف كنص الشارع</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بيّن ابن نجيم وجه الشبه بين شرط الواقف ونص الشارع فقال في أشباهه -ص221- : </w:t>
      </w:r>
      <w:r>
        <w:rPr>
          <w:rFonts w:hint="eastAsia"/>
          <w:rtl/>
        </w:rPr>
        <w:t>«</w:t>
      </w:r>
      <w:r>
        <w:rPr>
          <w:rFonts w:hint="cs"/>
          <w:rtl/>
        </w:rPr>
        <w:t>أي في وجوب العمل به، وفي المفهوم والدلالة ...</w:t>
      </w:r>
      <w:r>
        <w:rPr>
          <w:rFonts w:hint="eastAsia"/>
          <w:rtl/>
        </w:rPr>
        <w:t>»</w:t>
      </w:r>
      <w:r>
        <w:rPr>
          <w:rFonts w:hint="cs"/>
          <w:rtl/>
        </w:rPr>
        <w:t xml:space="preserve">. وخالفه شيخ الإسلام ابن تيمية، ووضّح أن مراد الفقهاء هو المعنى الثاني دون الأول، حيث جاء في الاختيارات الفقهية من فتاوي شيخ الإسلام ابن تيمية -ص176- : </w:t>
      </w:r>
      <w:r>
        <w:rPr>
          <w:rFonts w:hint="eastAsia"/>
          <w:rtl/>
        </w:rPr>
        <w:t>«</w:t>
      </w:r>
      <w:r>
        <w:rPr>
          <w:rFonts w:hint="cs"/>
          <w:rtl/>
        </w:rPr>
        <w:t>وقول الفقـهـاء : نصـوص الواقـف كنصـوص الشـارع، يعني : في الفهم والدلالة، لا في وجوب العمل</w:t>
      </w:r>
      <w:r>
        <w:rPr>
          <w:rFonts w:hint="eastAsia"/>
          <w:rtl/>
        </w:rPr>
        <w:t>»</w:t>
      </w:r>
      <w:r>
        <w:rPr>
          <w:rFonts w:hint="cs"/>
          <w:rtl/>
        </w:rPr>
        <w:t>.</w:t>
      </w:r>
    </w:p>
    <w:p w:rsidR="00035BE3" w:rsidRDefault="00035BE3" w:rsidP="00C10469">
      <w:pPr>
        <w:pStyle w:val="a6"/>
        <w:ind w:left="422" w:firstLine="0"/>
        <w:rPr>
          <w:rtl/>
        </w:rPr>
      </w:pPr>
      <w:r>
        <w:rPr>
          <w:rFonts w:hint="cs"/>
          <w:rtl/>
        </w:rPr>
        <w:t xml:space="preserve">ثم بيَّـن بعد ذلك رأيه في الضابط؛ إذْ خالفه : بأن ألفاظ الواقف تحمل على عادته في خطابه سواء كانت تتمشى مع قواعد الاستنباط من الأدلة الشرعية أمْ لا، ونص كلامه : </w:t>
      </w:r>
      <w:r>
        <w:rPr>
          <w:rFonts w:hint="eastAsia"/>
          <w:rtl/>
        </w:rPr>
        <w:t>«</w:t>
      </w:r>
      <w:r>
        <w:rPr>
          <w:rFonts w:hint="cs"/>
          <w:rtl/>
        </w:rPr>
        <w:t>... مع أنَّ التحقيق أن لفظ الواقف ولفظ الموصي والناذر والحالف وكل عاقد : يحمل على مذهبه وعادته في خطابه ولغته التي يتكلم بها، وافق لغة العرب أو لغة الشارع، أوْ لا</w:t>
      </w:r>
      <w:r>
        <w:rPr>
          <w:rFonts w:hint="eastAsia"/>
          <w:rtl/>
        </w:rPr>
        <w:t>»</w:t>
      </w:r>
      <w:r>
        <w:rPr>
          <w:rFonts w:hint="cs"/>
          <w:rtl/>
        </w:rPr>
        <w:t>.</w:t>
      </w:r>
    </w:p>
    <w:p w:rsidR="00035BE3" w:rsidRDefault="00035BE3" w:rsidP="00C10469">
      <w:pPr>
        <w:pStyle w:val="a6"/>
        <w:ind w:left="422" w:firstLine="0"/>
        <w:rPr>
          <w:rtl/>
        </w:rPr>
      </w:pPr>
      <w:r>
        <w:rPr>
          <w:rFonts w:hint="cs"/>
          <w:rtl/>
        </w:rPr>
        <w:t>وكلام شيخ الإسلام هذا نقله عنه صاحب (البحر الرائق) أيضًا -5/265-.</w:t>
      </w:r>
    </w:p>
    <w:p w:rsidR="00035BE3" w:rsidRDefault="00035BE3" w:rsidP="00C10469">
      <w:pPr>
        <w:pStyle w:val="a6"/>
        <w:ind w:left="422" w:firstLine="0"/>
        <w:rPr>
          <w:rtl/>
        </w:rPr>
      </w:pPr>
      <w:r>
        <w:rPr>
          <w:rFonts w:hint="cs"/>
          <w:rtl/>
        </w:rPr>
        <w:t>كما تطرق إليه تلميذه ابن القيم في إعلام الموقعين، 1/291 وما بعدها وما قبلها، وانظر منه أيضًا : 3/87، 255، وقد شدَّد النكير - في جميع هذه المواضع - على من جعل شرط الواقف في منزلة نص الشارع في وجوب العمل.</w:t>
      </w:r>
    </w:p>
    <w:p w:rsidR="00035BE3" w:rsidRDefault="00035BE3" w:rsidP="00C10469">
      <w:pPr>
        <w:pStyle w:val="a6"/>
        <w:ind w:left="422" w:firstLine="0"/>
        <w:rPr>
          <w:rtl/>
        </w:rPr>
      </w:pPr>
      <w:r>
        <w:rPr>
          <w:rFonts w:hint="cs"/>
          <w:rtl/>
        </w:rPr>
        <w:t>ولو عُدْتَ إلى الضابط فإنه قد جاء بلفظ المؤلف أو نحوه أو معناه في كثير من كتب الفقه وقواعده:</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الأشباه والنظائر للسيوطي، 1/251 - فقد نقل عن السبكي أنه قال في فتاويه : </w:t>
      </w:r>
      <w:r>
        <w:rPr>
          <w:rFonts w:hint="eastAsia"/>
          <w:rtl/>
        </w:rPr>
        <w:t>«</w:t>
      </w:r>
      <w:r>
        <w:rPr>
          <w:rFonts w:hint="cs"/>
          <w:rtl/>
        </w:rPr>
        <w:t>وما خالف شرط الواقف فهو مخالف للنصّ، وهو حكم لا دليل عليه، سواء كان نصه في الوقف نصًّا أو ظاهرًا</w:t>
      </w:r>
      <w:r>
        <w:rPr>
          <w:rFonts w:hint="eastAsia"/>
          <w:rtl/>
        </w:rPr>
        <w:t>»</w:t>
      </w:r>
      <w:r>
        <w:rPr>
          <w:rFonts w:hint="cs"/>
          <w:rtl/>
        </w:rPr>
        <w:t xml:space="preserve">-؛ ولابن نجيم، ص133، 153، 221؛ قواعد الفقه له أيضًا، ص294، قاعدة 387- ولفظه فيهما : </w:t>
      </w:r>
      <w:r>
        <w:rPr>
          <w:rFonts w:hint="eastAsia"/>
          <w:rtl/>
        </w:rPr>
        <w:t>«</w:t>
      </w:r>
      <w:r>
        <w:rPr>
          <w:rFonts w:hint="cs"/>
          <w:rtl/>
        </w:rPr>
        <w:t>شرط الواقف يجب اتباعه إلا في مسائل ...</w:t>
      </w:r>
      <w:r>
        <w:rPr>
          <w:rFonts w:hint="eastAsia"/>
          <w:rtl/>
        </w:rPr>
        <w:t>»</w:t>
      </w:r>
      <w:r>
        <w:rPr>
          <w:rFonts w:hint="cs"/>
          <w:rtl/>
        </w:rPr>
        <w:t>، كما ذكر في الأشباه لفظ المؤلف أيضًا -؛ الفوائد الزينية له أيضًا، ص76، فائدة 70- ولفظه فيها كاللفظ السابق-؛ الفرائد البهية وشرحاها : الأقمار المضـيئة، ص143؛ والمواهب السنية وحاشيتها : الفوائد الجنية، 2/25- ولفظ الفرائد :</w:t>
      </w:r>
    </w:p>
    <w:p w:rsidR="00035BE3" w:rsidRDefault="00035BE3" w:rsidP="00C10469">
      <w:pPr>
        <w:pStyle w:val="a6"/>
        <w:ind w:left="422" w:firstLine="0"/>
        <w:rPr>
          <w:rtl/>
        </w:rPr>
      </w:pPr>
      <w:r>
        <w:rPr>
          <w:rFonts w:hint="cs"/>
          <w:rtl/>
        </w:rPr>
        <w:t xml:space="preserve">قال [أي السبكي] : </w:t>
      </w:r>
    </w:p>
    <w:p w:rsidR="00035BE3" w:rsidRDefault="00035BE3" w:rsidP="00C10469">
      <w:pPr>
        <w:pStyle w:val="a6"/>
        <w:ind w:left="422" w:hanging="454"/>
        <w:jc w:val="center"/>
        <w:rPr>
          <w:b/>
          <w:bCs/>
          <w:rtl/>
        </w:rPr>
      </w:pPr>
      <w:r>
        <w:rPr>
          <w:rFonts w:hint="cs"/>
          <w:b/>
          <w:bCs/>
          <w:rtl/>
        </w:rPr>
        <w:t xml:space="preserve">     ومـا خـالـف شـرط مـن وقـف     مـخـالـفٌ للـنص عـند مـن عَـرَفَ-؛</w:t>
      </w:r>
    </w:p>
    <w:p w:rsidR="00035BE3" w:rsidRPr="00EE44DD" w:rsidRDefault="00035BE3" w:rsidP="00C10469">
      <w:pPr>
        <w:pStyle w:val="a6"/>
        <w:ind w:left="422" w:firstLine="0"/>
        <w:rPr>
          <w:rtl/>
        </w:rPr>
      </w:pPr>
      <w:r w:rsidRPr="00EE44DD">
        <w:rPr>
          <w:rFonts w:hint="cs"/>
          <w:rtl/>
        </w:rPr>
        <w:t>مجامع الحقائق (الخاتمة)، ص45؛ شرح العلائي لقواعد الخادمي، ل23/ب؛ منافع الدقائق، ص321؛ الفرائد البهية للحمزاوي، ص151، قاعدة 189؛ قواعد الفقه للمجدِّدي، ص85، قاعدة 152؛ المدخل الفقهي العام، 2/1085، فقرة 701؛ تطبيقات القواعد والضوابط للدكتور سعود الغديان، ص1719.</w:t>
      </w:r>
    </w:p>
    <w:p w:rsidR="00035BE3" w:rsidRDefault="00035BE3" w:rsidP="00C10469">
      <w:pPr>
        <w:pStyle w:val="a6"/>
        <w:ind w:left="422" w:firstLine="0"/>
        <w:rPr>
          <w:spacing w:val="-2"/>
          <w:rtl/>
        </w:rPr>
      </w:pPr>
      <w:r>
        <w:rPr>
          <w:rFonts w:hint="cs"/>
          <w:b/>
          <w:bCs/>
          <w:spacing w:val="-2"/>
          <w:rtl/>
        </w:rPr>
        <w:t>وانظر من كتب الفقه</w:t>
      </w:r>
      <w:r>
        <w:rPr>
          <w:rFonts w:hint="cs"/>
          <w:spacing w:val="-2"/>
          <w:rtl/>
        </w:rPr>
        <w:t xml:space="preserve"> التي تكلمت عن وجوب اتباع شرط الواقف، ونصَّ كثير منها على الضابط : إعانة الطالبين، 3/169؛ المبدع، 5/333؛ البحر الرائق، 5/265؛ دليل الطالب لنيل المطالب، ص322، فقرة 322؛ الشرح الكبير وحاشية الدّسوقي عليه، 4/88؛ ردّ المحتار، 5/559؛ أحكام الوقف للأستاذ مصطفى الزرقا، ص155، فقرة 165.</w:t>
      </w:r>
    </w:p>
  </w:footnote>
  <w:footnote w:id="30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حلم </w:t>
      </w:r>
      <w:r>
        <w:rPr>
          <w:rFonts w:hint="eastAsia"/>
          <w:rtl/>
        </w:rPr>
        <w:t>»</w:t>
      </w:r>
      <w:r>
        <w:rPr>
          <w:rFonts w:hint="cs"/>
          <w:rtl/>
        </w:rPr>
        <w:t>.</w:t>
      </w:r>
    </w:p>
  </w:footnote>
  <w:footnote w:id="30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7/300؛ وانظر جميع ما سبق في : أشباه ابن نجيم، ص133-134.</w:t>
      </w:r>
    </w:p>
  </w:footnote>
  <w:footnote w:id="30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شرط </w:t>
      </w:r>
      <w:r>
        <w:rPr>
          <w:rFonts w:hint="eastAsia"/>
          <w:rtl/>
        </w:rPr>
        <w:t>»</w:t>
      </w:r>
      <w:r>
        <w:rPr>
          <w:rFonts w:hint="cs"/>
          <w:rtl/>
        </w:rPr>
        <w:t>.</w:t>
      </w:r>
    </w:p>
  </w:footnote>
  <w:footnote w:id="30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الواقف </w:t>
      </w:r>
      <w:r>
        <w:rPr>
          <w:rFonts w:hint="eastAsia"/>
          <w:rtl/>
        </w:rPr>
        <w:t>»</w:t>
      </w:r>
      <w:r>
        <w:rPr>
          <w:rFonts w:hint="cs"/>
          <w:rtl/>
        </w:rPr>
        <w:t>.</w:t>
      </w:r>
    </w:p>
  </w:footnote>
  <w:footnote w:id="30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ووجه في (د) : </w:t>
      </w:r>
      <w:r>
        <w:rPr>
          <w:rFonts w:hint="eastAsia"/>
          <w:rtl/>
        </w:rPr>
        <w:t>«</w:t>
      </w:r>
      <w:r>
        <w:rPr>
          <w:rFonts w:hint="cs"/>
          <w:rtl/>
        </w:rPr>
        <w:t xml:space="preserve"> يكن </w:t>
      </w:r>
      <w:r>
        <w:rPr>
          <w:rFonts w:hint="eastAsia"/>
          <w:rtl/>
        </w:rPr>
        <w:t>»</w:t>
      </w:r>
      <w:r>
        <w:rPr>
          <w:rFonts w:hint="cs"/>
          <w:rtl/>
        </w:rPr>
        <w:t>. والصحيح ما تمَّ إثباته من الوجه الثاني من (د) (إذْ كُتب الحرف الأول من الكلمة في (د) بالياء والتاء معًا).</w:t>
      </w:r>
    </w:p>
  </w:footnote>
  <w:footnote w:id="30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ص573 (ل39/ب). وما قيل في توثيق هذا الفرع هناك يُقال هنا.</w:t>
      </w:r>
    </w:p>
  </w:footnote>
  <w:footnote w:id="309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في : الدُّرر شرح الغرر، 2/411.</w:t>
      </w:r>
    </w:p>
  </w:footnote>
  <w:footnote w:id="310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ص429 (ل23/ب)؛ قاعدة 54.</w:t>
      </w:r>
    </w:p>
  </w:footnote>
  <w:footnote w:id="310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الضمير يعود إلى باب الباء.</w:t>
      </w:r>
    </w:p>
  </w:footnote>
  <w:footnote w:id="310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ص426 (ل23/أ)، قاعدة 53.</w:t>
      </w:r>
    </w:p>
  </w:footnote>
  <w:footnote w:id="310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فروعها </w:t>
      </w:r>
      <w:r>
        <w:rPr>
          <w:rFonts w:hint="eastAsia"/>
          <w:rtl/>
        </w:rPr>
        <w:t>»</w:t>
      </w:r>
      <w:r>
        <w:rPr>
          <w:rFonts w:hint="cs"/>
          <w:rtl/>
        </w:rPr>
        <w:t xml:space="preserve">. </w:t>
      </w:r>
    </w:p>
    <w:p w:rsidR="00035BE3" w:rsidRDefault="00035BE3" w:rsidP="00C10469">
      <w:pPr>
        <w:pStyle w:val="a6"/>
        <w:ind w:left="422" w:firstLine="0"/>
        <w:rPr>
          <w:rtl/>
        </w:rPr>
      </w:pPr>
      <w:r>
        <w:rPr>
          <w:rFonts w:hint="cs"/>
          <w:rtl/>
        </w:rPr>
        <w:t>ولو قال : (فتكون فروعهما) لكان أفصح.</w:t>
      </w:r>
    </w:p>
  </w:footnote>
  <w:footnote w:id="31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2/411.</w:t>
      </w:r>
    </w:p>
  </w:footnote>
  <w:footnote w:id="310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يثبت </w:t>
      </w:r>
      <w:r>
        <w:rPr>
          <w:rFonts w:hint="eastAsia"/>
          <w:rtl/>
        </w:rPr>
        <w:t>»</w:t>
      </w:r>
      <w:r>
        <w:rPr>
          <w:rFonts w:hint="cs"/>
          <w:rtl/>
        </w:rPr>
        <w:t>.</w:t>
      </w:r>
    </w:p>
  </w:footnote>
  <w:footnote w:id="310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45/أ من (جـ).</w:t>
      </w:r>
    </w:p>
  </w:footnote>
  <w:footnote w:id="310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فيبقى </w:t>
      </w:r>
      <w:r>
        <w:rPr>
          <w:rFonts w:hint="eastAsia"/>
          <w:rtl/>
        </w:rPr>
        <w:t>»</w:t>
      </w:r>
      <w:r>
        <w:rPr>
          <w:rFonts w:hint="cs"/>
          <w:rtl/>
        </w:rPr>
        <w:t>.</w:t>
      </w:r>
    </w:p>
  </w:footnote>
  <w:footnote w:id="310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الألف زيادة من (جـ) و(هـ) و(و). ولا يستقيم المعنى بدونها، وهي مثبتة في (الدّرر) أيضًا.</w:t>
      </w:r>
    </w:p>
  </w:footnote>
  <w:footnote w:id="310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58/ب من (أ).</w:t>
      </w:r>
    </w:p>
  </w:footnote>
  <w:footnote w:id="311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38/أ من (ب).</w:t>
      </w:r>
    </w:p>
  </w:footnote>
  <w:footnote w:id="311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sidRPr="00C90F66">
        <w:rPr>
          <w:rFonts w:hint="cs"/>
          <w:spacing w:val="-2"/>
          <w:rtl/>
        </w:rPr>
        <w:t xml:space="preserve">هكذا في جميع النسخ. وإثبات كلمة </w:t>
      </w:r>
      <w:r w:rsidRPr="00C90F66">
        <w:rPr>
          <w:rFonts w:hint="eastAsia"/>
          <w:spacing w:val="-2"/>
          <w:rtl/>
        </w:rPr>
        <w:t>«</w:t>
      </w:r>
      <w:r w:rsidRPr="00C90F66">
        <w:rPr>
          <w:rFonts w:hint="cs"/>
          <w:spacing w:val="-2"/>
          <w:rtl/>
        </w:rPr>
        <w:t xml:space="preserve"> بقوله </w:t>
      </w:r>
      <w:r w:rsidRPr="00C90F66">
        <w:rPr>
          <w:rFonts w:hint="eastAsia"/>
          <w:spacing w:val="-2"/>
          <w:rtl/>
        </w:rPr>
        <w:t>»</w:t>
      </w:r>
      <w:r w:rsidRPr="00C90F66">
        <w:rPr>
          <w:rFonts w:hint="cs"/>
          <w:spacing w:val="-2"/>
          <w:rtl/>
        </w:rPr>
        <w:t xml:space="preserve"> هنا فيه تكرار مع ما ذكره في أول العبارة: </w:t>
      </w:r>
      <w:r w:rsidRPr="00C90F66">
        <w:rPr>
          <w:rFonts w:hint="eastAsia"/>
          <w:spacing w:val="-2"/>
          <w:rtl/>
        </w:rPr>
        <w:t>«</w:t>
      </w:r>
      <w:r w:rsidRPr="00C90F66">
        <w:rPr>
          <w:rFonts w:hint="cs"/>
          <w:spacing w:val="-2"/>
          <w:rtl/>
        </w:rPr>
        <w:t>ثم قال</w:t>
      </w:r>
      <w:r w:rsidRPr="00C90F66">
        <w:rPr>
          <w:rFonts w:hint="eastAsia"/>
          <w:spacing w:val="-2"/>
          <w:rtl/>
        </w:rPr>
        <w:t>»</w:t>
      </w:r>
      <w:r w:rsidRPr="00C90F66">
        <w:rPr>
          <w:rFonts w:hint="cs"/>
          <w:spacing w:val="-2"/>
          <w:rtl/>
        </w:rPr>
        <w:t>.</w:t>
      </w:r>
    </w:p>
  </w:footnote>
  <w:footnote w:id="311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بقاء </w:t>
      </w:r>
      <w:r>
        <w:rPr>
          <w:rFonts w:hint="eastAsia"/>
          <w:rtl/>
        </w:rPr>
        <w:t>»</w:t>
      </w:r>
      <w:r>
        <w:rPr>
          <w:rFonts w:hint="cs"/>
          <w:rtl/>
        </w:rPr>
        <w:t>.</w:t>
      </w:r>
    </w:p>
  </w:footnote>
  <w:footnote w:id="311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2/411.</w:t>
      </w:r>
    </w:p>
  </w:footnote>
  <w:footnote w:id="311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36/ب من (د).</w:t>
      </w:r>
    </w:p>
  </w:footnote>
  <w:footnote w:id="311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اتفاق الخصمين في تنصيب المحكَّم حكمًا بينهما.</w:t>
      </w:r>
    </w:p>
  </w:footnote>
  <w:footnote w:id="311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عن </w:t>
      </w:r>
      <w:r>
        <w:rPr>
          <w:rFonts w:hint="eastAsia"/>
          <w:rtl/>
        </w:rPr>
        <w:t>»</w:t>
      </w:r>
      <w:r>
        <w:rPr>
          <w:rFonts w:hint="cs"/>
          <w:rtl/>
        </w:rPr>
        <w:t>.</w:t>
      </w:r>
    </w:p>
  </w:footnote>
  <w:footnote w:id="311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7/317.</w:t>
      </w:r>
    </w:p>
    <w:p w:rsidR="00035BE3" w:rsidRDefault="00035BE3" w:rsidP="00C10469">
      <w:pPr>
        <w:pStyle w:val="a6"/>
        <w:ind w:left="422" w:firstLine="0"/>
        <w:rPr>
          <w:rtl/>
        </w:rPr>
      </w:pPr>
      <w:r>
        <w:rPr>
          <w:rFonts w:hint="cs"/>
          <w:rtl/>
        </w:rPr>
        <w:t>أي : ذكر هذا المعنى صاحبُ العناية (وهو أكمل الدين البابرتي) حيث قال : ....</w:t>
      </w:r>
    </w:p>
  </w:footnote>
  <w:footnote w:id="311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عدمها </w:t>
      </w:r>
      <w:r>
        <w:rPr>
          <w:rFonts w:hint="eastAsia"/>
          <w:rtl/>
        </w:rPr>
        <w:t>»</w:t>
      </w:r>
      <w:r>
        <w:rPr>
          <w:rFonts w:hint="cs"/>
          <w:rtl/>
        </w:rPr>
        <w:t>.</w:t>
      </w:r>
    </w:p>
  </w:footnote>
  <w:footnote w:id="311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(العناية) زيادة : </w:t>
      </w:r>
      <w:r>
        <w:rPr>
          <w:rFonts w:hint="eastAsia"/>
          <w:rtl/>
        </w:rPr>
        <w:t>«</w:t>
      </w:r>
      <w:r>
        <w:rPr>
          <w:rFonts w:hint="cs"/>
          <w:rtl/>
        </w:rPr>
        <w:t xml:space="preserve"> يعدم </w:t>
      </w:r>
      <w:r>
        <w:rPr>
          <w:rFonts w:hint="eastAsia"/>
          <w:rtl/>
        </w:rPr>
        <w:t>»</w:t>
      </w:r>
      <w:r>
        <w:rPr>
          <w:rFonts w:hint="cs"/>
          <w:rtl/>
        </w:rPr>
        <w:t>؛ والزيادة في المبنى فيها زيادة في المعنى.</w:t>
      </w:r>
    </w:p>
  </w:footnote>
  <w:footnote w:id="312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وبهذا ب خرج</w:t>
      </w:r>
      <w:r>
        <w:rPr>
          <w:rFonts w:hint="eastAsia"/>
          <w:rtl/>
        </w:rPr>
        <w:t>»</w:t>
      </w:r>
      <w:r>
        <w:rPr>
          <w:rFonts w:hint="cs"/>
          <w:rtl/>
        </w:rPr>
        <w:t>.</w:t>
      </w:r>
    </w:p>
  </w:footnote>
  <w:footnote w:id="312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أن </w:t>
      </w:r>
      <w:r>
        <w:rPr>
          <w:rFonts w:hint="eastAsia"/>
          <w:rtl/>
        </w:rPr>
        <w:t>»</w:t>
      </w:r>
      <w:r>
        <w:rPr>
          <w:rFonts w:hint="cs"/>
          <w:rtl/>
        </w:rPr>
        <w:t xml:space="preserve"> : زيادة من (ب) و(هـ) و(و)، وكذلك هي مثبتة في (العناية)، ولا يستقيم المعنى بدونها.</w:t>
      </w:r>
    </w:p>
    <w:p w:rsidR="00035BE3" w:rsidRDefault="00035BE3" w:rsidP="00C10469">
      <w:pPr>
        <w:pStyle w:val="a6"/>
        <w:ind w:left="422" w:firstLine="0"/>
        <w:rPr>
          <w:spacing w:val="6"/>
          <w:rtl/>
        </w:rPr>
      </w:pPr>
      <w:r>
        <w:rPr>
          <w:rFonts w:hint="cs"/>
          <w:spacing w:val="6"/>
          <w:rtl/>
        </w:rPr>
        <w:t xml:space="preserve">وتمام العبارة في (العناية) : </w:t>
      </w:r>
      <w:r>
        <w:rPr>
          <w:rFonts w:hint="eastAsia"/>
          <w:spacing w:val="6"/>
          <w:rtl/>
        </w:rPr>
        <w:t>«</w:t>
      </w:r>
      <w:r>
        <w:rPr>
          <w:rFonts w:hint="cs"/>
          <w:spacing w:val="6"/>
          <w:rtl/>
        </w:rPr>
        <w:t>وعلى هذا يسقط ما قيل : ينبغي أن لا يصح الإخراج إلا باتفاقهما أيضًا</w:t>
      </w:r>
      <w:r>
        <w:rPr>
          <w:rFonts w:hint="eastAsia"/>
          <w:spacing w:val="6"/>
          <w:rtl/>
        </w:rPr>
        <w:t>»</w:t>
      </w:r>
      <w:r>
        <w:rPr>
          <w:rFonts w:hint="cs"/>
          <w:spacing w:val="6"/>
          <w:rtl/>
        </w:rPr>
        <w:t>.</w:t>
      </w:r>
    </w:p>
  </w:footnote>
  <w:footnote w:id="312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أحدهما </w:t>
      </w:r>
      <w:r>
        <w:rPr>
          <w:rFonts w:hint="cs"/>
          <w:b/>
          <w:bCs/>
          <w:rtl/>
        </w:rPr>
        <w:t>ينبغي</w:t>
      </w:r>
      <w:r>
        <w:rPr>
          <w:rFonts w:hint="cs"/>
          <w:rtl/>
        </w:rPr>
        <w:t xml:space="preserve"> في ...</w:t>
      </w:r>
      <w:r>
        <w:rPr>
          <w:rFonts w:hint="eastAsia"/>
          <w:rtl/>
        </w:rPr>
        <w:t xml:space="preserve"> »</w:t>
      </w:r>
      <w:r>
        <w:rPr>
          <w:rFonts w:hint="cs"/>
          <w:rtl/>
        </w:rPr>
        <w:t>.</w:t>
      </w:r>
    </w:p>
  </w:footnote>
  <w:footnote w:id="312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يشير إلى قاعدة سيأتي الحديث عنها استقلالاً، وهي: </w:t>
      </w:r>
      <w:r>
        <w:rPr>
          <w:rFonts w:hint="eastAsia"/>
          <w:rtl/>
        </w:rPr>
        <w:t>«</w:t>
      </w:r>
      <w:r>
        <w:rPr>
          <w:rFonts w:hint="cs"/>
          <w:rtl/>
        </w:rPr>
        <w:t>من سعى في نقض ما تمَّ من جهته فسعيه مردود عليه</w:t>
      </w:r>
      <w:r>
        <w:rPr>
          <w:rFonts w:hint="eastAsia"/>
          <w:rtl/>
        </w:rPr>
        <w:t>»</w:t>
      </w:r>
      <w:r>
        <w:rPr>
          <w:rFonts w:hint="cs"/>
          <w:rtl/>
        </w:rPr>
        <w:t>، وذلك ص1077 (ل100/ب)، قاعدة 235.</w:t>
      </w:r>
    </w:p>
  </w:footnote>
  <w:footnote w:id="312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النقيض </w:t>
      </w:r>
      <w:r>
        <w:rPr>
          <w:rFonts w:hint="eastAsia"/>
          <w:rtl/>
        </w:rPr>
        <w:t>»</w:t>
      </w:r>
      <w:r>
        <w:rPr>
          <w:rFonts w:hint="cs"/>
          <w:rtl/>
        </w:rPr>
        <w:t>.</w:t>
      </w:r>
    </w:p>
  </w:footnote>
  <w:footnote w:id="312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في بعض كتب الفقه الحنفي وقواعده :</w:t>
      </w:r>
    </w:p>
    <w:p w:rsidR="00035BE3" w:rsidRDefault="00035BE3" w:rsidP="00C10469">
      <w:pPr>
        <w:pStyle w:val="a6"/>
        <w:ind w:left="422" w:firstLine="0"/>
        <w:rPr>
          <w:b/>
          <w:bCs/>
          <w:rtl/>
        </w:rPr>
      </w:pPr>
      <w:r>
        <w:rPr>
          <w:rFonts w:hint="cs"/>
          <w:b/>
          <w:bCs/>
          <w:rtl/>
        </w:rPr>
        <w:t xml:space="preserve">فمن كتب القواعد : </w:t>
      </w:r>
    </w:p>
    <w:p w:rsidR="00035BE3" w:rsidRDefault="00035BE3" w:rsidP="00C10469">
      <w:pPr>
        <w:pStyle w:val="a6"/>
        <w:ind w:left="422" w:firstLine="0"/>
        <w:rPr>
          <w:rtl/>
        </w:rPr>
      </w:pPr>
      <w:r>
        <w:rPr>
          <w:rFonts w:hint="cs"/>
          <w:rtl/>
        </w:rPr>
        <w:t>الأشباه والنظائر لابن نجيم، ص250؛ قواعد الفقه له أيضًا، ص157، قاعدة 286؛ الفرائد البهية للحمزاوي، ص92، قاعدة 135.</w:t>
      </w:r>
    </w:p>
    <w:p w:rsidR="00035BE3" w:rsidRDefault="00035BE3" w:rsidP="00C10469">
      <w:pPr>
        <w:pStyle w:val="a6"/>
        <w:ind w:left="422" w:firstLine="0"/>
        <w:rPr>
          <w:b/>
          <w:bCs/>
          <w:rtl/>
        </w:rPr>
      </w:pPr>
      <w:r>
        <w:rPr>
          <w:rFonts w:hint="cs"/>
          <w:b/>
          <w:bCs/>
          <w:rtl/>
        </w:rPr>
        <w:t xml:space="preserve">ومن كتب الفقه : </w:t>
      </w:r>
    </w:p>
    <w:p w:rsidR="00035BE3" w:rsidRDefault="00035BE3" w:rsidP="00C10469">
      <w:pPr>
        <w:pStyle w:val="a6"/>
        <w:ind w:left="422" w:firstLine="0"/>
        <w:rPr>
          <w:rtl/>
        </w:rPr>
      </w:pPr>
      <w:r>
        <w:rPr>
          <w:rFonts w:hint="cs"/>
          <w:rtl/>
        </w:rPr>
        <w:t xml:space="preserve">فتاوى قاضي خان، 2/475؛ الفتاوي الظهيرية، ل124/ب، 344/ب؛ الدر المختار، 8/214؛ ومع ردّ المحتار، 11/249. ولفظ الظهيرية الثاني يدل على أن القاعدة تتمشى مع مذهب محمد، خلافًا لأبي يوسف، حيث جاء فيها : </w:t>
      </w:r>
      <w:r>
        <w:rPr>
          <w:rFonts w:hint="eastAsia"/>
          <w:rtl/>
        </w:rPr>
        <w:t>«</w:t>
      </w:r>
      <w:r>
        <w:rPr>
          <w:rFonts w:hint="cs"/>
          <w:rtl/>
        </w:rPr>
        <w:t xml:space="preserve">لأن عند أبي يوسف يجوز أن تبطل الشهادة في البعض، وتبقى في البعض. وعلى قول محمد </w:t>
      </w:r>
      <w:r>
        <w:rPr>
          <w:rtl/>
        </w:rPr>
        <w:t>–</w:t>
      </w:r>
      <w:r>
        <w:rPr>
          <w:rFonts w:hint="cs"/>
          <w:rtl/>
        </w:rPr>
        <w:t>رحمه الله- لا تقبل أصلاً</w:t>
      </w:r>
      <w:r>
        <w:rPr>
          <w:rFonts w:hint="eastAsia"/>
          <w:rtl/>
        </w:rPr>
        <w:t>»</w:t>
      </w:r>
      <w:r>
        <w:rPr>
          <w:rFonts w:hint="cs"/>
          <w:rtl/>
        </w:rPr>
        <w:t>.</w:t>
      </w:r>
    </w:p>
  </w:footnote>
  <w:footnote w:id="312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59/أ من (أ). </w:t>
      </w:r>
    </w:p>
  </w:footnote>
  <w:footnote w:id="3127">
    <w:p w:rsidR="00035BE3" w:rsidRDefault="00035BE3" w:rsidP="00C10469">
      <w:pPr>
        <w:pStyle w:val="a8"/>
        <w:bidi/>
        <w:ind w:left="422" w:right="0"/>
        <w:rPr>
          <w:spacing w:val="-8"/>
          <w:rtl/>
        </w:rPr>
      </w:pPr>
      <w:r>
        <w:rPr>
          <w:spacing w:val="-8"/>
          <w:vertAlign w:val="superscript"/>
          <w:rtl/>
        </w:rPr>
        <w:t>(</w:t>
      </w:r>
      <w:r>
        <w:rPr>
          <w:rStyle w:val="a7"/>
          <w:spacing w:val="-8"/>
        </w:rPr>
        <w:footnoteRef/>
      </w:r>
      <w:r>
        <w:rPr>
          <w:rFonts w:hint="cs"/>
          <w:spacing w:val="-8"/>
          <w:vertAlign w:val="superscript"/>
          <w:rtl/>
        </w:rPr>
        <w:t>)</w:t>
      </w:r>
      <w:r>
        <w:rPr>
          <w:rFonts w:hint="cs"/>
          <w:spacing w:val="-8"/>
          <w:rtl/>
        </w:rPr>
        <w:t xml:space="preserve">  ل124/ب. ولفظ الظهيرية : </w:t>
      </w:r>
      <w:r>
        <w:rPr>
          <w:rFonts w:hint="eastAsia"/>
          <w:spacing w:val="6"/>
          <w:rtl/>
        </w:rPr>
        <w:t>«</w:t>
      </w:r>
      <w:r>
        <w:rPr>
          <w:rFonts w:hint="cs"/>
          <w:spacing w:val="6"/>
          <w:rtl/>
        </w:rPr>
        <w:t>إذا كان العبد لمسلم ونصراني، فشهد نصرانيان عليهما بالعتق جازت شهادتهما على النصراني، وشهادتهما على المسلم مردودة. وإنما ثبت العتق في نصيب النصراني خاصة. وبهذا يتبيّن أنه لا يلزم من بطلان الشهادة في البعض بطلانها في الكلّ</w:t>
      </w:r>
      <w:r>
        <w:rPr>
          <w:rFonts w:hint="eastAsia"/>
          <w:rtl/>
        </w:rPr>
        <w:t>»</w:t>
      </w:r>
      <w:r>
        <w:rPr>
          <w:rFonts w:hint="cs"/>
          <w:rtl/>
        </w:rPr>
        <w:t>؛</w:t>
      </w:r>
      <w:r>
        <w:rPr>
          <w:rFonts w:hint="cs"/>
          <w:spacing w:val="-8"/>
          <w:rtl/>
        </w:rPr>
        <w:t xml:space="preserve"> وانظر : الدر المختار، 8/214؛ ومع رد المحتار عليه، 11/250؛ وانظر كذلك : قواعد الفقه لابن نجيم، ص157. </w:t>
      </w:r>
    </w:p>
  </w:footnote>
  <w:footnote w:id="3128">
    <w:p w:rsidR="00035BE3" w:rsidRDefault="00035BE3" w:rsidP="00C10469">
      <w:pPr>
        <w:pStyle w:val="a8"/>
        <w:bidi/>
        <w:ind w:left="422" w:right="0"/>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 </w:t>
      </w:r>
      <w:r>
        <w:rPr>
          <w:rFonts w:hint="eastAsia"/>
          <w:spacing w:val="6"/>
          <w:rtl/>
        </w:rPr>
        <w:t>«</w:t>
      </w:r>
      <w:r>
        <w:rPr>
          <w:rFonts w:hint="cs"/>
          <w:spacing w:val="6"/>
          <w:rtl/>
        </w:rPr>
        <w:t xml:space="preserve"> يبطل </w:t>
      </w:r>
      <w:r>
        <w:rPr>
          <w:rFonts w:hint="eastAsia"/>
          <w:spacing w:val="6"/>
          <w:rtl/>
        </w:rPr>
        <w:t>»</w:t>
      </w:r>
      <w:r>
        <w:rPr>
          <w:rFonts w:hint="cs"/>
          <w:spacing w:val="6"/>
          <w:rtl/>
        </w:rPr>
        <w:t xml:space="preserve">، وفي (ب) : </w:t>
      </w:r>
      <w:r>
        <w:rPr>
          <w:rFonts w:hint="eastAsia"/>
          <w:spacing w:val="6"/>
          <w:rtl/>
        </w:rPr>
        <w:t>«</w:t>
      </w:r>
      <w:r>
        <w:rPr>
          <w:rFonts w:hint="cs"/>
          <w:spacing w:val="6"/>
          <w:rtl/>
        </w:rPr>
        <w:t xml:space="preserve"> تبطل </w:t>
      </w:r>
      <w:r>
        <w:rPr>
          <w:rFonts w:hint="eastAsia"/>
          <w:spacing w:val="6"/>
          <w:rtl/>
        </w:rPr>
        <w:t>»</w:t>
      </w:r>
      <w:r>
        <w:rPr>
          <w:rFonts w:hint="cs"/>
          <w:spacing w:val="6"/>
          <w:rtl/>
        </w:rPr>
        <w:t>، وفي (د) : يحتمل الوجهين. والأفصح ما تمَّ إثباته من (ب).</w:t>
      </w:r>
    </w:p>
  </w:footnote>
  <w:footnote w:id="312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يقبل </w:t>
      </w:r>
      <w:r>
        <w:rPr>
          <w:rFonts w:hint="eastAsia"/>
          <w:rtl/>
        </w:rPr>
        <w:t>»</w:t>
      </w:r>
      <w:r>
        <w:rPr>
          <w:rFonts w:hint="cs"/>
          <w:rtl/>
        </w:rPr>
        <w:t>. والصحيح ما تمَّ إثباته من (ب) و(د).</w:t>
      </w:r>
    </w:p>
  </w:footnote>
  <w:footnote w:id="313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أي ابن الشاهد</w:t>
      </w:r>
      <w:r>
        <w:rPr>
          <w:rFonts w:hint="eastAsia"/>
          <w:rtl/>
        </w:rPr>
        <w:t>»</w:t>
      </w:r>
      <w:r>
        <w:rPr>
          <w:rFonts w:hint="cs"/>
          <w:rtl/>
        </w:rPr>
        <w:t>.</w:t>
      </w:r>
    </w:p>
  </w:footnote>
  <w:footnote w:id="313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يبطل </w:t>
      </w:r>
      <w:r>
        <w:rPr>
          <w:rFonts w:hint="eastAsia"/>
          <w:rtl/>
        </w:rPr>
        <w:t>»</w:t>
      </w:r>
      <w:r>
        <w:rPr>
          <w:rFonts w:hint="cs"/>
          <w:rtl/>
        </w:rPr>
        <w:t>. والصحيح ما تمَّ إثباته من (ب) و(د).</w:t>
      </w:r>
    </w:p>
  </w:footnote>
  <w:footnote w:id="313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في عدم صحة شهادة الوالد لابنه : الهداية  وشرحيها : العناية وفتح القدير، 7/403؛ المغني لابن قدامة، 14/181، مسألة 1896؛ المنهاج وشرحه : مغني المحتاج، 4/434؛ المبدع، 10/244؛ الشرح الكبير وحاشية الدسوقي عليه، 4/168.</w:t>
      </w:r>
    </w:p>
    <w:p w:rsidR="00035BE3" w:rsidRDefault="00035BE3" w:rsidP="00C10469">
      <w:pPr>
        <w:pStyle w:val="a6"/>
        <w:ind w:left="422" w:firstLine="0"/>
        <w:rPr>
          <w:rtl/>
        </w:rPr>
      </w:pPr>
      <w:r>
        <w:rPr>
          <w:rFonts w:hint="cs"/>
          <w:rtl/>
        </w:rPr>
        <w:t>وانظر في صحة شهادة أهل الذمة بعضهم لبعض : الهداية وشرحيها : العناية وفتح القدير، 7/416.</w:t>
      </w:r>
    </w:p>
  </w:footnote>
  <w:footnote w:id="313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لأنه </w:t>
      </w:r>
      <w:r>
        <w:rPr>
          <w:rFonts w:hint="eastAsia"/>
          <w:rtl/>
        </w:rPr>
        <w:t>»</w:t>
      </w:r>
      <w:r>
        <w:rPr>
          <w:rFonts w:hint="cs"/>
          <w:rtl/>
        </w:rPr>
        <w:t>.</w:t>
      </w:r>
    </w:p>
  </w:footnote>
  <w:footnote w:id="313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يورث </w:t>
      </w:r>
      <w:r>
        <w:rPr>
          <w:rFonts w:hint="eastAsia"/>
          <w:rtl/>
        </w:rPr>
        <w:t>»</w:t>
      </w:r>
      <w:r>
        <w:rPr>
          <w:rFonts w:hint="cs"/>
          <w:rtl/>
        </w:rPr>
        <w:t>. والصحيح ما تمَّ إثباته من (ب) و(د).</w:t>
      </w:r>
    </w:p>
    <w:p w:rsidR="00035BE3" w:rsidRDefault="00035BE3" w:rsidP="00C10469">
      <w:pPr>
        <w:pStyle w:val="a6"/>
        <w:ind w:left="422" w:firstLine="0"/>
        <w:rPr>
          <w:rtl/>
        </w:rPr>
      </w:pPr>
      <w:r>
        <w:rPr>
          <w:rFonts w:hint="cs"/>
          <w:rtl/>
        </w:rPr>
        <w:t>وهذه الكلمة تمثّل نهاية 45/ب من (جـ).</w:t>
      </w:r>
    </w:p>
  </w:footnote>
  <w:footnote w:id="31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بعض كتب الفقه الحنفي وقواعده :</w:t>
      </w:r>
    </w:p>
    <w:p w:rsidR="00035BE3" w:rsidRDefault="00035BE3" w:rsidP="00C10469">
      <w:pPr>
        <w:pStyle w:val="a6"/>
        <w:ind w:left="422" w:hanging="454"/>
        <w:rPr>
          <w:b/>
          <w:bCs/>
          <w:rtl/>
        </w:rPr>
      </w:pPr>
      <w:r>
        <w:rPr>
          <w:rFonts w:hint="cs"/>
          <w:b/>
          <w:bCs/>
          <w:rtl/>
        </w:rPr>
        <w:tab/>
        <w:t>فمن كتب القواعد :</w:t>
      </w:r>
    </w:p>
    <w:p w:rsidR="00035BE3" w:rsidRDefault="00035BE3" w:rsidP="00C10469">
      <w:pPr>
        <w:pStyle w:val="a6"/>
        <w:ind w:left="422" w:firstLine="0"/>
        <w:rPr>
          <w:rtl/>
        </w:rPr>
      </w:pPr>
      <w:r>
        <w:rPr>
          <w:rFonts w:hint="cs"/>
          <w:rtl/>
        </w:rPr>
        <w:t xml:space="preserve">الأشباه والنظائر لابن نجيم، ص249؛ قواعد الفقه له أيضًا، ص149، قاعدة 167؛ الفرائد البهية للحمزاوي، ص77، قاعدة 108 - ولفظه: </w:t>
      </w:r>
      <w:r>
        <w:rPr>
          <w:rFonts w:hint="eastAsia"/>
          <w:rtl/>
        </w:rPr>
        <w:t>«</w:t>
      </w:r>
      <w:r>
        <w:rPr>
          <w:rFonts w:hint="cs"/>
          <w:b/>
          <w:bCs/>
          <w:rtl/>
        </w:rPr>
        <w:t>الجهالة كما تمنع</w:t>
      </w:r>
      <w:r>
        <w:rPr>
          <w:rFonts w:hint="cs"/>
          <w:rtl/>
        </w:rPr>
        <w:t xml:space="preserve"> الدعوى </w:t>
      </w:r>
      <w:r>
        <w:rPr>
          <w:rFonts w:hint="cs"/>
          <w:b/>
          <w:bCs/>
          <w:rtl/>
        </w:rPr>
        <w:t>والبينة</w:t>
      </w:r>
      <w:r>
        <w:rPr>
          <w:rFonts w:hint="cs"/>
          <w:rtl/>
        </w:rPr>
        <w:t>، تمنع اليمين أيضًا</w:t>
      </w:r>
      <w:r>
        <w:rPr>
          <w:rFonts w:hint="eastAsia"/>
          <w:rtl/>
        </w:rPr>
        <w:t>»</w:t>
      </w:r>
      <w:r>
        <w:rPr>
          <w:rFonts w:hint="cs"/>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المبسوط، 5/154، 9/178؛ الهداية وشروحها : العناية وفتح القدير ونتائج الأفكار، 7/459، 460، 8/324؛ فتاوى قاضي خان، 2/471؛ الكافي شرح الوافي، القسم الأخير، ص279، 296.</w:t>
      </w:r>
    </w:p>
  </w:footnote>
  <w:footnote w:id="313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الأشباه والنظائر لابن نجيم، ص249؛ قواعد الفقه له أيضًا، ص149، قاعدة 167.</w:t>
      </w:r>
    </w:p>
  </w:footnote>
  <w:footnote w:id="313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38/ب من (ب).</w:t>
      </w:r>
    </w:p>
  </w:footnote>
  <w:footnote w:id="313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يشير إلى القاعدة التي تلي هذه القاعدة وهي : </w:t>
      </w:r>
      <w:r>
        <w:rPr>
          <w:rFonts w:hint="eastAsia"/>
          <w:rtl/>
        </w:rPr>
        <w:t>«</w:t>
      </w:r>
      <w:r>
        <w:rPr>
          <w:rFonts w:hint="cs"/>
          <w:rtl/>
        </w:rPr>
        <w:t xml:space="preserve"> شـهادة قـاصرة يـتمها غيرهم : تقبل</w:t>
      </w:r>
      <w:r>
        <w:rPr>
          <w:rFonts w:hint="eastAsia"/>
          <w:rtl/>
        </w:rPr>
        <w:t>»</w:t>
      </w:r>
      <w:r>
        <w:rPr>
          <w:rFonts w:hint="cs"/>
          <w:rtl/>
        </w:rPr>
        <w:t>؛ فانظرها ص777 (ل60/أ).</w:t>
      </w:r>
    </w:p>
  </w:footnote>
  <w:footnote w:id="313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الحكمين</w:t>
      </w:r>
      <w:r>
        <w:rPr>
          <w:rFonts w:hint="eastAsia"/>
          <w:rtl/>
        </w:rPr>
        <w:t>»</w:t>
      </w:r>
      <w:r>
        <w:rPr>
          <w:rFonts w:hint="cs"/>
          <w:rtl/>
        </w:rPr>
        <w:t xml:space="preserve">، وفي (د) : </w:t>
      </w:r>
      <w:r>
        <w:rPr>
          <w:rFonts w:hint="eastAsia"/>
          <w:rtl/>
        </w:rPr>
        <w:t>«</w:t>
      </w:r>
      <w:r>
        <w:rPr>
          <w:rFonts w:hint="cs"/>
          <w:rtl/>
        </w:rPr>
        <w:t xml:space="preserve"> المحكمين </w:t>
      </w:r>
      <w:r>
        <w:rPr>
          <w:rFonts w:hint="eastAsia"/>
          <w:rtl/>
        </w:rPr>
        <w:t>»</w:t>
      </w:r>
      <w:r>
        <w:rPr>
          <w:rFonts w:hint="cs"/>
          <w:rtl/>
        </w:rPr>
        <w:t>. والصحيح ما تمَّ إثباته من (ب).</w:t>
      </w:r>
    </w:p>
  </w:footnote>
  <w:footnote w:id="314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كونه </w:t>
      </w:r>
      <w:r>
        <w:rPr>
          <w:rFonts w:hint="eastAsia"/>
          <w:rtl/>
        </w:rPr>
        <w:t>»</w:t>
      </w:r>
      <w:r>
        <w:rPr>
          <w:rFonts w:hint="cs"/>
          <w:rtl/>
        </w:rPr>
        <w:t>.</w:t>
      </w:r>
    </w:p>
  </w:footnote>
  <w:footnote w:id="314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37/أ من (د).</w:t>
      </w:r>
    </w:p>
  </w:footnote>
  <w:footnote w:id="314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 xml:space="preserve"> أي : مسمّى </w:t>
      </w:r>
      <w:r>
        <w:rPr>
          <w:rFonts w:hint="eastAsia"/>
          <w:rtl/>
        </w:rPr>
        <w:t>»</w:t>
      </w:r>
      <w:r>
        <w:rPr>
          <w:rFonts w:hint="cs"/>
          <w:rtl/>
        </w:rPr>
        <w:t>.</w:t>
      </w:r>
    </w:p>
  </w:footnote>
  <w:footnote w:id="314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شخص </w:t>
      </w:r>
      <w:r>
        <w:rPr>
          <w:rFonts w:hint="eastAsia"/>
          <w:rtl/>
        </w:rPr>
        <w:t>»</w:t>
      </w:r>
      <w:r>
        <w:rPr>
          <w:rFonts w:hint="cs"/>
          <w:rtl/>
        </w:rPr>
        <w:t>. والصحيح ما تمَّ إثباته من (ب).</w:t>
      </w:r>
    </w:p>
  </w:footnote>
  <w:footnote w:id="314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أثيبت </w:t>
      </w:r>
      <w:r>
        <w:rPr>
          <w:rFonts w:hint="eastAsia"/>
          <w:rtl/>
        </w:rPr>
        <w:t>»</w:t>
      </w:r>
      <w:r>
        <w:rPr>
          <w:rFonts w:hint="cs"/>
          <w:rtl/>
        </w:rPr>
        <w:t>.</w:t>
      </w:r>
    </w:p>
  </w:footnote>
  <w:footnote w:id="314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المحكمين </w:t>
      </w:r>
      <w:r>
        <w:rPr>
          <w:rFonts w:hint="eastAsia"/>
          <w:rtl/>
        </w:rPr>
        <w:t>»</w:t>
      </w:r>
      <w:r>
        <w:rPr>
          <w:rFonts w:hint="cs"/>
          <w:rtl/>
        </w:rPr>
        <w:t>.</w:t>
      </w:r>
    </w:p>
  </w:footnote>
  <w:footnote w:id="314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 xml:space="preserve"> يشهدا </w:t>
      </w:r>
      <w:r>
        <w:rPr>
          <w:rFonts w:hint="eastAsia"/>
          <w:rtl/>
        </w:rPr>
        <w:t>»</w:t>
      </w:r>
      <w:r>
        <w:rPr>
          <w:rFonts w:hint="cs"/>
          <w:rtl/>
        </w:rPr>
        <w:t>.</w:t>
      </w:r>
    </w:p>
  </w:footnote>
  <w:footnote w:id="314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يعينه </w:t>
      </w:r>
      <w:r>
        <w:rPr>
          <w:rFonts w:hint="eastAsia"/>
          <w:rtl/>
        </w:rPr>
        <w:t>»</w:t>
      </w:r>
      <w:r>
        <w:rPr>
          <w:rFonts w:hint="cs"/>
          <w:rtl/>
        </w:rPr>
        <w:t>.</w:t>
      </w:r>
    </w:p>
  </w:footnote>
  <w:footnote w:id="314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59/ب من (أ).</w:t>
      </w:r>
    </w:p>
  </w:footnote>
  <w:footnote w:id="314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الدّرر شرح الغرر، 2/83؛ الدّر المختار، 8/214.</w:t>
      </w:r>
    </w:p>
  </w:footnote>
  <w:footnote w:id="315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ص777 (ل60/أ)، قاعدة 150.</w:t>
      </w:r>
    </w:p>
  </w:footnote>
  <w:footnote w:id="315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يصح </w:t>
      </w:r>
      <w:r>
        <w:rPr>
          <w:rFonts w:hint="eastAsia"/>
          <w:rtl/>
        </w:rPr>
        <w:t>»</w:t>
      </w:r>
      <w:r>
        <w:rPr>
          <w:rFonts w:hint="cs"/>
          <w:rtl/>
        </w:rPr>
        <w:t>.</w:t>
      </w:r>
    </w:p>
  </w:footnote>
  <w:footnote w:id="315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شهداوا</w:t>
      </w:r>
      <w:r>
        <w:rPr>
          <w:rFonts w:hint="eastAsia"/>
          <w:rtl/>
        </w:rPr>
        <w:t>»</w:t>
      </w:r>
      <w:r>
        <w:rPr>
          <w:rFonts w:hint="cs"/>
          <w:rtl/>
        </w:rPr>
        <w:t xml:space="preserve">، وفي (د) : </w:t>
      </w:r>
      <w:r>
        <w:rPr>
          <w:rFonts w:hint="eastAsia"/>
          <w:rtl/>
        </w:rPr>
        <w:t>«</w:t>
      </w:r>
      <w:r>
        <w:rPr>
          <w:rFonts w:hint="cs"/>
          <w:rtl/>
        </w:rPr>
        <w:t xml:space="preserve"> سهدوا </w:t>
      </w:r>
      <w:r>
        <w:rPr>
          <w:rFonts w:hint="eastAsia"/>
          <w:rtl/>
        </w:rPr>
        <w:t>»</w:t>
      </w:r>
      <w:r>
        <w:rPr>
          <w:rFonts w:hint="cs"/>
          <w:rtl/>
        </w:rPr>
        <w:t xml:space="preserve"> (بالسين المهملة).</w:t>
      </w:r>
    </w:p>
  </w:footnote>
  <w:footnote w:id="315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بنصب </w:t>
      </w:r>
      <w:r>
        <w:rPr>
          <w:rFonts w:hint="eastAsia"/>
          <w:rtl/>
        </w:rPr>
        <w:t>»</w:t>
      </w:r>
      <w:r>
        <w:rPr>
          <w:rFonts w:hint="cs"/>
          <w:rtl/>
        </w:rPr>
        <w:t>.</w:t>
      </w:r>
    </w:p>
  </w:footnote>
  <w:footnote w:id="315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بحثت عن هذه المسألة في مظانّها من كتاب (الكافي) فلم أجدها؛ وانظر في قبول الشهادة برهن أو غصب مجهولين : فتاوى قاضي خان، 2/386؛ الأشباه والنظائر لابن نجيم، ص249؛ قواعد الفقه له أيضًا، ص149، قاعدة 167.</w:t>
      </w:r>
    </w:p>
  </w:footnote>
  <w:footnote w:id="315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الإخبار </w:t>
      </w:r>
      <w:r>
        <w:rPr>
          <w:rFonts w:hint="eastAsia"/>
          <w:rtl/>
        </w:rPr>
        <w:t>»</w:t>
      </w:r>
      <w:r>
        <w:rPr>
          <w:rFonts w:hint="cs"/>
          <w:rtl/>
        </w:rPr>
        <w:t>.</w:t>
      </w:r>
    </w:p>
  </w:footnote>
  <w:footnote w:id="315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البينات </w:t>
      </w:r>
      <w:r>
        <w:rPr>
          <w:rFonts w:hint="eastAsia"/>
          <w:rtl/>
        </w:rPr>
        <w:t>»</w:t>
      </w:r>
      <w:r>
        <w:rPr>
          <w:rFonts w:hint="cs"/>
          <w:rtl/>
        </w:rPr>
        <w:t>.</w:t>
      </w:r>
    </w:p>
  </w:footnote>
  <w:footnote w:id="31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 الدّرر شرح الغرر، 2/382، 390؛ الدر المختار، 8/214؛ ورد المحتار عليه، 8/229، 11/247، 314؛ كما وردت في القنية، ل174/أ بلفظ : </w:t>
      </w:r>
      <w:r>
        <w:rPr>
          <w:rFonts w:hint="eastAsia"/>
          <w:rtl/>
        </w:rPr>
        <w:t>«</w:t>
      </w:r>
      <w:r>
        <w:rPr>
          <w:rFonts w:hint="cs"/>
          <w:rtl/>
        </w:rPr>
        <w:t>باب الشهادة القاصرة التي يتمها غيرهم هل يقضى بها أم لا؟</w:t>
      </w:r>
      <w:r>
        <w:rPr>
          <w:rFonts w:hint="eastAsia"/>
          <w:rtl/>
        </w:rPr>
        <w:t>»</w:t>
      </w:r>
      <w:r>
        <w:rPr>
          <w:rFonts w:hint="cs"/>
          <w:rtl/>
        </w:rPr>
        <w:t>.</w:t>
      </w:r>
    </w:p>
  </w:footnote>
  <w:footnote w:id="31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وكذا</w:t>
      </w:r>
      <w:r>
        <w:rPr>
          <w:rFonts w:hint="eastAsia"/>
          <w:rtl/>
        </w:rPr>
        <w:t>»</w:t>
      </w:r>
      <w:r>
        <w:rPr>
          <w:rFonts w:hint="cs"/>
          <w:rtl/>
        </w:rPr>
        <w:t>.</w:t>
      </w:r>
    </w:p>
  </w:footnote>
  <w:footnote w:id="31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شهد </w:t>
      </w:r>
      <w:r>
        <w:rPr>
          <w:rFonts w:hint="eastAsia"/>
          <w:rtl/>
        </w:rPr>
        <w:t>»</w:t>
      </w:r>
      <w:r>
        <w:rPr>
          <w:rFonts w:hint="cs"/>
          <w:rtl/>
        </w:rPr>
        <w:t>.</w:t>
      </w:r>
    </w:p>
  </w:footnote>
  <w:footnote w:id="31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بداء </w:t>
      </w:r>
      <w:r>
        <w:rPr>
          <w:rFonts w:hint="eastAsia"/>
          <w:rtl/>
        </w:rPr>
        <w:t>»</w:t>
      </w:r>
      <w:r>
        <w:rPr>
          <w:rFonts w:hint="cs"/>
          <w:rtl/>
        </w:rPr>
        <w:t xml:space="preserve">. وقد جاء في مصدر هذه العبارة (وهو الدرر) : </w:t>
      </w:r>
      <w:r>
        <w:rPr>
          <w:rFonts w:hint="eastAsia"/>
          <w:rtl/>
        </w:rPr>
        <w:t>«</w:t>
      </w:r>
      <w:r>
        <w:rPr>
          <w:rFonts w:hint="cs"/>
          <w:rtl/>
        </w:rPr>
        <w:t>بالدار</w:t>
      </w:r>
      <w:r>
        <w:rPr>
          <w:rFonts w:hint="eastAsia"/>
          <w:rtl/>
        </w:rPr>
        <w:t>»</w:t>
      </w:r>
      <w:r>
        <w:rPr>
          <w:rFonts w:hint="cs"/>
          <w:rtl/>
        </w:rPr>
        <w:t>.</w:t>
      </w:r>
    </w:p>
  </w:footnote>
  <w:footnote w:id="31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فشهدا</w:t>
      </w:r>
      <w:r>
        <w:rPr>
          <w:rFonts w:hint="eastAsia"/>
          <w:rtl/>
        </w:rPr>
        <w:t>»</w:t>
      </w:r>
      <w:r>
        <w:rPr>
          <w:rFonts w:hint="cs"/>
          <w:rtl/>
        </w:rPr>
        <w:t>. والأفصح ما تمَّ إثباته من (ب)، وهو الموافق للدّرر.</w:t>
      </w:r>
    </w:p>
  </w:footnote>
  <w:footnote w:id="31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له إثبات</w:t>
      </w:r>
      <w:r>
        <w:rPr>
          <w:rFonts w:hint="eastAsia"/>
          <w:rtl/>
        </w:rPr>
        <w:t>»</w:t>
      </w:r>
      <w:r>
        <w:rPr>
          <w:rFonts w:hint="cs"/>
          <w:rtl/>
        </w:rPr>
        <w:t>. والصحيح ما تمَّ إثباته من (ب) و(جـ)، وهو الموافق للدّرر.</w:t>
      </w:r>
    </w:p>
  </w:footnote>
  <w:footnote w:id="31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المحكمين</w:t>
      </w:r>
      <w:r>
        <w:rPr>
          <w:rFonts w:hint="eastAsia"/>
          <w:rtl/>
        </w:rPr>
        <w:t>»</w:t>
      </w:r>
      <w:r>
        <w:rPr>
          <w:rFonts w:hint="cs"/>
          <w:rtl/>
        </w:rPr>
        <w:t>.</w:t>
      </w:r>
    </w:p>
  </w:footnote>
  <w:footnote w:id="31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2/382-383؛ وانظر : الدر المختار ورد المحتار، 11/247 - فقد نقل صاحب (الدّر) العبارة السابقة عن (الدرر).</w:t>
      </w:r>
    </w:p>
  </w:footnote>
  <w:footnote w:id="31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شهد الشاهدان بالملك في المملوك المحدود، دون أن يـبيِّنا حدوده.</w:t>
      </w:r>
    </w:p>
  </w:footnote>
  <w:footnote w:id="31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2/383؛ وانظر الدر المختار ورد المحتار،  11/247.</w:t>
      </w:r>
    </w:p>
  </w:footnote>
  <w:footnote w:id="31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ص775 (ل59/ب)، قاعدة 149.</w:t>
      </w:r>
    </w:p>
  </w:footnote>
  <w:footnote w:id="31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ومنها</w:t>
      </w:r>
      <w:r>
        <w:rPr>
          <w:rFonts w:hint="eastAsia"/>
          <w:rtl/>
        </w:rPr>
        <w:t>»</w:t>
      </w:r>
      <w:r>
        <w:rPr>
          <w:rFonts w:hint="cs"/>
          <w:rtl/>
        </w:rPr>
        <w:t>. وهذا الأولى.</w:t>
      </w:r>
    </w:p>
  </w:footnote>
  <w:footnote w:id="316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ثبت </w:t>
      </w:r>
      <w:r>
        <w:rPr>
          <w:rFonts w:hint="eastAsia"/>
          <w:rtl/>
        </w:rPr>
        <w:t>»</w:t>
      </w:r>
      <w:r>
        <w:rPr>
          <w:rFonts w:hint="cs"/>
          <w:rtl/>
        </w:rPr>
        <w:t xml:space="preserve"> : ساقطة من (جـ)، والكلمة التي قبلها تمثل نهاية 46/أ من (جـ).</w:t>
      </w:r>
    </w:p>
  </w:footnote>
  <w:footnote w:id="317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لوازمها </w:t>
      </w:r>
      <w:r>
        <w:rPr>
          <w:rFonts w:hint="eastAsia"/>
          <w:rtl/>
        </w:rPr>
        <w:t>»</w:t>
      </w:r>
      <w:r>
        <w:rPr>
          <w:rFonts w:hint="cs"/>
          <w:rtl/>
        </w:rPr>
        <w:t>. والصحيح ما تمَّ إثباته من باقي النسخ، وهو الموافق للعناية.</w:t>
      </w:r>
    </w:p>
    <w:p w:rsidR="00035BE3" w:rsidRDefault="00035BE3" w:rsidP="00C10469">
      <w:pPr>
        <w:pStyle w:val="a6"/>
        <w:ind w:left="422" w:firstLine="0"/>
        <w:rPr>
          <w:spacing w:val="6"/>
          <w:rtl/>
        </w:rPr>
      </w:pPr>
      <w:r>
        <w:rPr>
          <w:rFonts w:hint="cs"/>
          <w:spacing w:val="6"/>
          <w:rtl/>
        </w:rPr>
        <w:t xml:space="preserve">وهذه القاعدة وردت بهذا اللفظ في العناية، 4/361؛ وانظر منه 9/68؛ كما وردت في الكفاية - 3/280-281- بلفظ : </w:t>
      </w:r>
      <w:r>
        <w:rPr>
          <w:rFonts w:hint="eastAsia"/>
          <w:spacing w:val="6"/>
          <w:rtl/>
        </w:rPr>
        <w:t>«</w:t>
      </w:r>
      <w:r>
        <w:rPr>
          <w:rFonts w:hint="cs"/>
          <w:spacing w:val="6"/>
          <w:rtl/>
        </w:rPr>
        <w:t>الشيء إذا ثبت ثبت بلوازمه وضرورياته</w:t>
      </w:r>
      <w:r>
        <w:rPr>
          <w:rFonts w:hint="eastAsia"/>
          <w:spacing w:val="6"/>
          <w:rtl/>
        </w:rPr>
        <w:t>»</w:t>
      </w:r>
      <w:r>
        <w:rPr>
          <w:rFonts w:hint="cs"/>
          <w:spacing w:val="6"/>
          <w:rtl/>
        </w:rPr>
        <w:t>-.</w:t>
      </w:r>
    </w:p>
  </w:footnote>
  <w:footnote w:id="317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60/أ من (أ).</w:t>
      </w:r>
    </w:p>
  </w:footnote>
  <w:footnote w:id="317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جاء في هامش (أ) إعراب هذه الكلمة بأنها : </w:t>
      </w:r>
      <w:r>
        <w:rPr>
          <w:rFonts w:hint="eastAsia"/>
          <w:rtl/>
        </w:rPr>
        <w:t>«</w:t>
      </w:r>
      <w:r>
        <w:rPr>
          <w:rFonts w:hint="cs"/>
          <w:rtl/>
        </w:rPr>
        <w:t xml:space="preserve"> مبتدأ </w:t>
      </w:r>
      <w:r>
        <w:rPr>
          <w:rFonts w:hint="eastAsia"/>
          <w:rtl/>
        </w:rPr>
        <w:t>»</w:t>
      </w:r>
      <w:r>
        <w:rPr>
          <w:rFonts w:hint="cs"/>
          <w:rtl/>
        </w:rPr>
        <w:t>.</w:t>
      </w:r>
    </w:p>
  </w:footnote>
  <w:footnote w:id="317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يشير إلى قاعدة سيأتي الحديث عنها، ص901 (ل75/أ)، قاعدة 181.</w:t>
      </w:r>
    </w:p>
  </w:footnote>
  <w:footnote w:id="317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هذا الفرع في : الدّرر شرح الغرر، 2/410؛ وانظره أيضًا في : الفتاوى البزازية، 2/212؛ البحر الرائق، 7/20؛ الدّر المختار، 8/102.</w:t>
      </w:r>
    </w:p>
  </w:footnote>
  <w:footnote w:id="317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39/أ من (ب).</w:t>
      </w:r>
    </w:p>
  </w:footnote>
  <w:footnote w:id="317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 </w:t>
      </w:r>
      <w:r>
        <w:rPr>
          <w:rFonts w:hint="eastAsia"/>
          <w:rtl/>
        </w:rPr>
        <w:t>«</w:t>
      </w:r>
      <w:r>
        <w:rPr>
          <w:rFonts w:hint="cs"/>
          <w:rtl/>
        </w:rPr>
        <w:t xml:space="preserve"> بوالدتهما</w:t>
      </w:r>
      <w:r>
        <w:rPr>
          <w:rFonts w:hint="eastAsia"/>
          <w:rtl/>
        </w:rPr>
        <w:t>»</w:t>
      </w:r>
      <w:r>
        <w:rPr>
          <w:rFonts w:hint="cs"/>
          <w:rtl/>
        </w:rPr>
        <w:t>. والصحيح ما تمَّ إثباته من (جـ) و(د) و(هـ) و(و).</w:t>
      </w:r>
    </w:p>
  </w:footnote>
  <w:footnote w:id="317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بولادتها.</w:t>
      </w:r>
    </w:p>
  </w:footnote>
  <w:footnote w:id="317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الجامع الصغير، ص266؛ الهداية وشرحيها : العناية وفتح القدير، 4/360؛ كنز الدقائق وشرحه: البحر الرائق، 4/177؛ الدر المختار ورد المحتار، 5/242.</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علمًا بأن أكثر هذه المراجع بينت أن محمدًا وأبا يوسف خالفا الإمام أبا حنيفة وقالا : تطلق.</w:t>
      </w:r>
    </w:p>
  </w:footnote>
  <w:footnote w:id="317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من </w:t>
      </w:r>
      <w:r>
        <w:rPr>
          <w:rFonts w:hint="eastAsia"/>
          <w:rtl/>
        </w:rPr>
        <w:t>»</w:t>
      </w:r>
      <w:r>
        <w:rPr>
          <w:rFonts w:hint="cs"/>
          <w:rtl/>
        </w:rPr>
        <w:t>.</w:t>
      </w:r>
    </w:p>
  </w:footnote>
  <w:footnote w:id="318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37/ب من (د).</w:t>
      </w:r>
    </w:p>
  </w:footnote>
  <w:footnote w:id="318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 xml:space="preserve"> أي الطلاق والولادة</w:t>
      </w:r>
      <w:r>
        <w:rPr>
          <w:rFonts w:hint="eastAsia"/>
          <w:rtl/>
        </w:rPr>
        <w:t>»</w:t>
      </w:r>
      <w:r>
        <w:rPr>
          <w:rFonts w:hint="cs"/>
          <w:rtl/>
        </w:rPr>
        <w:t>.</w:t>
      </w:r>
    </w:p>
  </w:footnote>
  <w:footnote w:id="318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sidRPr="00146606">
        <w:rPr>
          <w:rFonts w:hint="cs"/>
          <w:spacing w:val="-2"/>
          <w:rtl/>
        </w:rPr>
        <w:t xml:space="preserve">في (أ) و(ب): </w:t>
      </w:r>
      <w:r w:rsidRPr="00146606">
        <w:rPr>
          <w:rFonts w:hint="eastAsia"/>
          <w:spacing w:val="-2"/>
          <w:rtl/>
        </w:rPr>
        <w:t>«</w:t>
      </w:r>
      <w:r w:rsidRPr="00146606">
        <w:rPr>
          <w:rFonts w:hint="cs"/>
          <w:spacing w:val="-2"/>
          <w:rtl/>
        </w:rPr>
        <w:t xml:space="preserve"> أما </w:t>
      </w:r>
      <w:r w:rsidRPr="00146606">
        <w:rPr>
          <w:rFonts w:hint="eastAsia"/>
          <w:spacing w:val="-2"/>
          <w:rtl/>
        </w:rPr>
        <w:t>»</w:t>
      </w:r>
      <w:r w:rsidRPr="00146606">
        <w:rPr>
          <w:rFonts w:hint="cs"/>
          <w:spacing w:val="-2"/>
          <w:rtl/>
        </w:rPr>
        <w:t xml:space="preserve">، وفي (جـ) و(د): </w:t>
      </w:r>
      <w:r w:rsidRPr="00146606">
        <w:rPr>
          <w:rFonts w:hint="eastAsia"/>
          <w:spacing w:val="-2"/>
          <w:rtl/>
        </w:rPr>
        <w:t>«</w:t>
      </w:r>
      <w:r w:rsidRPr="00146606">
        <w:rPr>
          <w:rFonts w:hint="cs"/>
          <w:spacing w:val="-2"/>
          <w:rtl/>
        </w:rPr>
        <w:t>وإنا</w:t>
      </w:r>
      <w:r w:rsidRPr="00146606">
        <w:rPr>
          <w:rFonts w:hint="eastAsia"/>
          <w:spacing w:val="-2"/>
          <w:rtl/>
        </w:rPr>
        <w:t>»</w:t>
      </w:r>
      <w:r w:rsidRPr="00146606">
        <w:rPr>
          <w:rFonts w:hint="cs"/>
          <w:spacing w:val="-2"/>
          <w:rtl/>
        </w:rPr>
        <w:t xml:space="preserve">، وفي (هـ) و(و): </w:t>
      </w:r>
      <w:r w:rsidRPr="00146606">
        <w:rPr>
          <w:rFonts w:hint="eastAsia"/>
          <w:spacing w:val="-2"/>
          <w:rtl/>
        </w:rPr>
        <w:t>«</w:t>
      </w:r>
      <w:r w:rsidRPr="00146606">
        <w:rPr>
          <w:rFonts w:hint="cs"/>
          <w:spacing w:val="-2"/>
          <w:rtl/>
        </w:rPr>
        <w:t xml:space="preserve"> وإنما </w:t>
      </w:r>
      <w:r w:rsidRPr="00146606">
        <w:rPr>
          <w:rFonts w:hint="eastAsia"/>
          <w:spacing w:val="-2"/>
          <w:rtl/>
        </w:rPr>
        <w:t>»</w:t>
      </w:r>
      <w:r w:rsidRPr="00146606">
        <w:rPr>
          <w:rFonts w:hint="cs"/>
          <w:spacing w:val="-2"/>
          <w:rtl/>
        </w:rPr>
        <w:t>. ولاشك أن ما في (أ) و(ب) مجانب للصواب، كما أن ما في (هـ) و(و) أولى ممّا في (جـ) و(د)؛ لهذا تمَّ إثباته في الصلب.</w:t>
      </w:r>
    </w:p>
  </w:footnote>
  <w:footnote w:id="318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تنفك </w:t>
      </w:r>
      <w:r>
        <w:rPr>
          <w:rFonts w:hint="eastAsia"/>
          <w:rtl/>
        </w:rPr>
        <w:t>»</w:t>
      </w:r>
      <w:r>
        <w:rPr>
          <w:rFonts w:hint="cs"/>
          <w:rtl/>
        </w:rPr>
        <w:t>. والصحيح ما تمّ إثباته من (ب) و(د)، وهو الموافق للهداية.</w:t>
      </w:r>
    </w:p>
  </w:footnote>
  <w:footnote w:id="318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4/360-361. وتمام عبارته : </w:t>
      </w:r>
      <w:r>
        <w:rPr>
          <w:rFonts w:hint="eastAsia"/>
          <w:rtl/>
        </w:rPr>
        <w:t>«</w:t>
      </w:r>
      <w:r>
        <w:rPr>
          <w:rFonts w:hint="cs"/>
          <w:rtl/>
        </w:rPr>
        <w:t>... ولأبي حنيفة : أنها ادعت الحنث فلا يثبت إلا بحجة تامة؛ وهذا لأن شهادتهن ضرورية في حق الولادة، فلا تظهر في حق الطلاق؛ لأنه ينفك عنها</w:t>
      </w:r>
      <w:r>
        <w:rPr>
          <w:rFonts w:hint="eastAsia"/>
          <w:rtl/>
        </w:rPr>
        <w:t>»</w:t>
      </w:r>
      <w:r>
        <w:rPr>
          <w:rFonts w:hint="cs"/>
          <w:rtl/>
        </w:rPr>
        <w:t>.</w:t>
      </w:r>
    </w:p>
  </w:footnote>
  <w:footnote w:id="318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لعل مراده -والله أعلم- : ص333 (ل13/ب)، قاعدة 31.</w:t>
      </w:r>
    </w:p>
  </w:footnote>
  <w:footnote w:id="31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أو معناه في بعض كتب الفقه وأصوله وقواعده :</w:t>
      </w:r>
    </w:p>
    <w:p w:rsidR="00035BE3" w:rsidRDefault="00035BE3" w:rsidP="00C10469">
      <w:pPr>
        <w:pStyle w:val="a6"/>
        <w:ind w:left="422" w:firstLine="0"/>
        <w:rPr>
          <w:b/>
          <w:bCs/>
          <w:rtl/>
        </w:rPr>
      </w:pPr>
      <w:r>
        <w:rPr>
          <w:rFonts w:hint="cs"/>
          <w:b/>
          <w:bCs/>
          <w:rtl/>
        </w:rPr>
        <w:t>فمن كتب الأصول :</w:t>
      </w:r>
    </w:p>
    <w:p w:rsidR="00035BE3" w:rsidRDefault="00035BE3" w:rsidP="00C10469">
      <w:pPr>
        <w:pStyle w:val="a6"/>
        <w:ind w:left="422" w:firstLine="0"/>
        <w:rPr>
          <w:spacing w:val="8"/>
          <w:rtl/>
        </w:rPr>
      </w:pPr>
      <w:r>
        <w:rPr>
          <w:rFonts w:hint="cs"/>
          <w:spacing w:val="8"/>
          <w:rtl/>
        </w:rPr>
        <w:t>المغني للخبازي، ص292؛ شرحه للقاءاني، ق2، جـ1، ص106؛ كشف الأسرار للنسفي، 2/226؛ وانظر أيضًا : أصول السرخسي، 2/153.</w:t>
      </w:r>
    </w:p>
    <w:p w:rsidR="00035BE3" w:rsidRDefault="00035BE3" w:rsidP="00C10469">
      <w:pPr>
        <w:pStyle w:val="a6"/>
        <w:ind w:left="422" w:firstLine="0"/>
        <w:rPr>
          <w:spacing w:val="6"/>
          <w:rtl/>
        </w:rPr>
      </w:pPr>
      <w:r>
        <w:rPr>
          <w:rFonts w:hint="cs"/>
          <w:spacing w:val="6"/>
          <w:rtl/>
        </w:rPr>
        <w:t xml:space="preserve">فجميع هذه الكتب أشارت إلى معنى القاعدة عند حديثها عن كون عدم فساد الصوم بالجماع ناسيًا لم يثبت بطريق القياس على الأكل والشرب؛ بل ثبت بدلالة النص، ومن ذلك عبارة جاءت في (شرح المغني) يمكن أن تكون شرحًا للقاعدة، حيث قال الشارح : </w:t>
      </w:r>
      <w:r>
        <w:rPr>
          <w:rFonts w:hint="eastAsia"/>
          <w:spacing w:val="6"/>
          <w:rtl/>
        </w:rPr>
        <w:t>«</w:t>
      </w:r>
      <w:r>
        <w:rPr>
          <w:rFonts w:hint="cs"/>
          <w:spacing w:val="6"/>
          <w:rtl/>
        </w:rPr>
        <w:t>وبيانه : أن الحكم الثابت بالنص في محلٍّ إذا كان ممّا لا يدرك بالرأي لا يمكن تعديته بالقياس، لكن إذا كان غير المحلِّ الذي ورد فيه النص في معنى المنصوص، ويساويه من كل وجه؛ حتى يُعلم يقينًا أنهما لا يفترقان إلا في مجرد الاسم وفيما لا يكون مناطًا للحكم في الأصل : فحينئذٍ يثبت الحكم فيما يساويه بدلالة ذلك النص لا بالقياس؛ لأن أحد المتساويين إذا ثبت له حَكمٌ يثبت للمساوي الآخر ضرورة، وإلا لم يكونا متساويين، كالتوأمين : فإنه يلزم من ثبوت نسب أحدهما ثبوت نسب الآخر؛ لاستوائهما. وذلك كالجماع مع الأكل والشرب...</w:t>
      </w:r>
      <w:r>
        <w:rPr>
          <w:rFonts w:hint="eastAsia"/>
          <w:spacing w:val="6"/>
          <w:rtl/>
        </w:rPr>
        <w:t>»</w:t>
      </w:r>
      <w:r>
        <w:rPr>
          <w:rFonts w:hint="cs"/>
          <w:spacing w:val="6"/>
          <w:rtl/>
        </w:rPr>
        <w:t>.</w:t>
      </w:r>
    </w:p>
    <w:p w:rsidR="00035BE3" w:rsidRDefault="00035BE3" w:rsidP="00C10469">
      <w:pPr>
        <w:pStyle w:val="a6"/>
        <w:ind w:left="422" w:firstLine="0"/>
        <w:rPr>
          <w:b/>
          <w:bCs/>
          <w:rtl/>
        </w:rPr>
      </w:pPr>
      <w:r>
        <w:rPr>
          <w:rFonts w:hint="cs"/>
          <w:b/>
          <w:bCs/>
          <w:rtl/>
        </w:rPr>
        <w:t>ومن كتب القواعد :</w:t>
      </w:r>
    </w:p>
    <w:p w:rsidR="00035BE3" w:rsidRDefault="00035BE3" w:rsidP="00C10469">
      <w:pPr>
        <w:pStyle w:val="a6"/>
        <w:ind w:left="422" w:firstLine="0"/>
        <w:rPr>
          <w:rtl/>
        </w:rPr>
      </w:pPr>
      <w:r>
        <w:rPr>
          <w:rFonts w:hint="cs"/>
          <w:rtl/>
        </w:rPr>
        <w:t>مجامع الحقائق (الخاتمة)، ص45؛ شرح العلائي لقواعد الخادمي، ل24/أ؛ منافع الدقائق، ص322- ولفظ المجامع وما بعده مطابق للفظ المؤلف-.</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 xml:space="preserve">العناية، 7/73، ولفظه : </w:t>
      </w:r>
      <w:r>
        <w:rPr>
          <w:rFonts w:hint="eastAsia"/>
          <w:rtl/>
        </w:rPr>
        <w:t>«</w:t>
      </w:r>
      <w:r>
        <w:rPr>
          <w:rFonts w:hint="cs"/>
          <w:rtl/>
        </w:rPr>
        <w:t xml:space="preserve">الشيء إنما يلحق بغيره </w:t>
      </w:r>
      <w:r>
        <w:rPr>
          <w:rFonts w:hint="cs"/>
          <w:b/>
          <w:bCs/>
          <w:rtl/>
        </w:rPr>
        <w:t>دلالة</w:t>
      </w:r>
      <w:r>
        <w:rPr>
          <w:rFonts w:hint="cs"/>
          <w:rtl/>
        </w:rPr>
        <w:t xml:space="preserve"> إذا تساويا من جميع الوجوه</w:t>
      </w:r>
      <w:r>
        <w:rPr>
          <w:rFonts w:hint="eastAsia"/>
          <w:rtl/>
        </w:rPr>
        <w:t>»</w:t>
      </w:r>
      <w:r>
        <w:rPr>
          <w:rFonts w:hint="cs"/>
          <w:rtl/>
        </w:rPr>
        <w:t xml:space="preserve">، وقد ذكرها على سبيل النقض لها، حيث قدّم عليها قوله : </w:t>
      </w:r>
      <w:r>
        <w:rPr>
          <w:rFonts w:hint="eastAsia"/>
          <w:rtl/>
        </w:rPr>
        <w:t>«</w:t>
      </w:r>
      <w:r>
        <w:rPr>
          <w:rFonts w:hint="cs"/>
          <w:rtl/>
        </w:rPr>
        <w:t>...وعلى هذا التقرير سقط ما قيل : ...</w:t>
      </w:r>
      <w:r>
        <w:rPr>
          <w:rFonts w:hint="eastAsia"/>
          <w:rtl/>
        </w:rPr>
        <w:t>»</w:t>
      </w:r>
      <w:r>
        <w:rPr>
          <w:rFonts w:hint="cs"/>
          <w:rtl/>
        </w:rPr>
        <w:t>، إلا أنَّ المؤلف في بداية شرحه للقاعدة قيّدها بقيد يدفع اعتراض صاحب (العناية) عليها.</w:t>
      </w:r>
    </w:p>
    <w:p w:rsidR="00035BE3" w:rsidRDefault="00035BE3" w:rsidP="00C10469">
      <w:pPr>
        <w:pStyle w:val="a6"/>
        <w:ind w:left="420" w:firstLine="0"/>
        <w:rPr>
          <w:spacing w:val="6"/>
          <w:rtl/>
        </w:rPr>
      </w:pPr>
      <w:r>
        <w:rPr>
          <w:rFonts w:hint="cs"/>
          <w:spacing w:val="6"/>
          <w:rtl/>
        </w:rPr>
        <w:t xml:space="preserve">يضاف إلى ما سبق أن هناك </w:t>
      </w:r>
      <w:r>
        <w:rPr>
          <w:rFonts w:hint="cs"/>
          <w:b/>
          <w:bCs/>
          <w:spacing w:val="6"/>
          <w:rtl/>
        </w:rPr>
        <w:t>طائفة من الكتب</w:t>
      </w:r>
      <w:r>
        <w:rPr>
          <w:rFonts w:hint="cs"/>
          <w:spacing w:val="6"/>
          <w:rtl/>
        </w:rPr>
        <w:t xml:space="preserve"> تعرّضت لشيء من معنى القاعدة، منها : المحصول وشرحه : الكاشف، 4/356؛ إعلام الموقعين، 1/272؛ إرشاد الفحول، 1/443- ولفظ الأول والأخير : </w:t>
      </w:r>
      <w:r>
        <w:rPr>
          <w:rFonts w:hint="eastAsia"/>
          <w:spacing w:val="6"/>
          <w:rtl/>
        </w:rPr>
        <w:t>«</w:t>
      </w:r>
      <w:r>
        <w:rPr>
          <w:rFonts w:hint="cs"/>
          <w:spacing w:val="6"/>
          <w:rtl/>
        </w:rPr>
        <w:t>... ولما كان ذلك باطلاً : علمنا أنه يعتبر في المساواة : المساواة من كلِّ الوجوه</w:t>
      </w:r>
      <w:r>
        <w:rPr>
          <w:rFonts w:hint="eastAsia"/>
          <w:spacing w:val="6"/>
          <w:rtl/>
        </w:rPr>
        <w:t>»</w:t>
      </w:r>
      <w:r>
        <w:rPr>
          <w:rFonts w:hint="cs"/>
          <w:spacing w:val="6"/>
          <w:rtl/>
        </w:rPr>
        <w:t>-.</w:t>
      </w:r>
    </w:p>
  </w:footnote>
  <w:footnote w:id="31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مناطه</w:t>
      </w:r>
      <w:r>
        <w:rPr>
          <w:rFonts w:hint="eastAsia"/>
          <w:rtl/>
        </w:rPr>
        <w:t>»</w:t>
      </w:r>
      <w:r>
        <w:rPr>
          <w:rFonts w:hint="cs"/>
          <w:rtl/>
        </w:rPr>
        <w:t>.</w:t>
      </w:r>
    </w:p>
  </w:footnote>
  <w:footnote w:id="31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عليه</w:t>
      </w:r>
      <w:r>
        <w:rPr>
          <w:rFonts w:hint="eastAsia"/>
          <w:rtl/>
        </w:rPr>
        <w:t>»</w:t>
      </w:r>
      <w:r>
        <w:rPr>
          <w:rFonts w:hint="cs"/>
          <w:rtl/>
        </w:rPr>
        <w:t>. والصحيح ما تمَّ إثباته من (ب) و(جـ).</w:t>
      </w:r>
    </w:p>
    <w:p w:rsidR="00035BE3" w:rsidRDefault="00035BE3" w:rsidP="00C10469">
      <w:pPr>
        <w:pStyle w:val="a6"/>
        <w:spacing w:line="500" w:lineRule="exact"/>
        <w:ind w:left="422" w:firstLine="0"/>
        <w:rPr>
          <w:rtl/>
        </w:rPr>
      </w:pPr>
      <w:r>
        <w:rPr>
          <w:rFonts w:hint="cs"/>
          <w:rtl/>
        </w:rPr>
        <w:t>وانظر : في كون المناط بمعنى العلة : المستصفى، 2/230؛ روضة الناظر، 3/800؛ قواعد الفقه (الرسالة الرابعة : التعريفات الفقهية)، ص509.</w:t>
      </w:r>
    </w:p>
  </w:footnote>
  <w:footnote w:id="318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ساقطة من (ب).</w:t>
      </w:r>
    </w:p>
  </w:footnote>
  <w:footnote w:id="319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رأي المجتهد</w:t>
      </w:r>
      <w:r>
        <w:rPr>
          <w:rFonts w:hint="eastAsia"/>
          <w:rtl/>
        </w:rPr>
        <w:t>»</w:t>
      </w:r>
      <w:r>
        <w:rPr>
          <w:rFonts w:hint="cs"/>
          <w:rtl/>
        </w:rPr>
        <w:t>.</w:t>
      </w:r>
    </w:p>
  </w:footnote>
  <w:footnote w:id="319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ص292؛ وشرحه للقاءاني، ق2، جـ1، ص106.</w:t>
      </w:r>
    </w:p>
  </w:footnote>
  <w:footnote w:id="319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ليلة التعريس</w:t>
      </w:r>
      <w:r>
        <w:rPr>
          <w:rFonts w:hint="cs"/>
          <w:rtl/>
        </w:rPr>
        <w:t xml:space="preserve"> :</w:t>
      </w:r>
    </w:p>
    <w:p w:rsidR="00035BE3" w:rsidRDefault="00035BE3" w:rsidP="00C10469">
      <w:pPr>
        <w:pStyle w:val="a6"/>
        <w:spacing w:line="500" w:lineRule="exact"/>
        <w:ind w:left="422" w:firstLine="0"/>
        <w:rPr>
          <w:rtl/>
        </w:rPr>
      </w:pPr>
      <w:r>
        <w:rPr>
          <w:rFonts w:hint="cs"/>
          <w:rtl/>
        </w:rPr>
        <w:t xml:space="preserve">التعريس في اللغة : </w:t>
      </w:r>
      <w:r>
        <w:rPr>
          <w:rFonts w:hint="eastAsia"/>
          <w:rtl/>
        </w:rPr>
        <w:t>«</w:t>
      </w:r>
      <w:r>
        <w:rPr>
          <w:rFonts w:hint="cs"/>
          <w:rtl/>
        </w:rPr>
        <w:t>النزول في آخر الليل</w:t>
      </w:r>
      <w:r>
        <w:rPr>
          <w:rFonts w:hint="eastAsia"/>
          <w:rtl/>
        </w:rPr>
        <w:t>»</w:t>
      </w:r>
      <w:r>
        <w:rPr>
          <w:rFonts w:hint="cs"/>
          <w:rtl/>
        </w:rPr>
        <w:t>.</w:t>
      </w:r>
    </w:p>
    <w:p w:rsidR="00035BE3" w:rsidRDefault="00035BE3" w:rsidP="00C10469">
      <w:pPr>
        <w:pStyle w:val="a6"/>
        <w:spacing w:line="500" w:lineRule="exact"/>
        <w:ind w:left="422" w:firstLine="0"/>
        <w:rPr>
          <w:rtl/>
          <w:lang w:val="en-US"/>
        </w:rPr>
      </w:pPr>
      <w:r>
        <w:rPr>
          <w:rFonts w:hint="cs"/>
          <w:rtl/>
        </w:rPr>
        <w:t xml:space="preserve">والمراد بليلة التعريس : الليلة التي نزل فيها الرسول </w:t>
      </w:r>
      <w:r>
        <w:rPr>
          <w:rFonts w:ascii="AGA Arabesque" w:hAnsi="AGA Arabesque"/>
          <w:sz w:val="36"/>
          <w:szCs w:val="36"/>
          <w:lang w:val="en-US"/>
        </w:rPr>
        <w:t></w:t>
      </w:r>
      <w:r>
        <w:rPr>
          <w:rFonts w:hint="cs"/>
          <w:rtl/>
          <w:lang w:val="en-US"/>
        </w:rPr>
        <w:t xml:space="preserve"> ، حين عاد من غزوة خيبر ونام فيها عن صلاة الفجر، فقضى سنة الفجر وصلاة الفجر بعد ارتفاع الشمس.</w:t>
      </w:r>
    </w:p>
    <w:p w:rsidR="00035BE3" w:rsidRDefault="00035BE3" w:rsidP="00C10469">
      <w:pPr>
        <w:pStyle w:val="a6"/>
        <w:spacing w:line="500" w:lineRule="exact"/>
        <w:ind w:left="422" w:firstLine="0"/>
        <w:rPr>
          <w:spacing w:val="4"/>
          <w:rtl/>
          <w:lang w:val="en-US"/>
        </w:rPr>
      </w:pPr>
      <w:r>
        <w:rPr>
          <w:rFonts w:hint="cs"/>
          <w:spacing w:val="4"/>
          <w:rtl/>
          <w:lang w:val="en-US"/>
        </w:rPr>
        <w:t>وهذه الحادثة أخرجها بطولها الإمام مسلم، كتاب المساجد، باب قضاء الصلاة الفائتة، واستحباب تعجيل قضائها، 1/471، ح680؛ والبخاري، كتاب التيمم، باب الصعيد الطيب وضوء المسلم، 1/130، ح337 (ومحلّ الشاهد عند الإمام مسلم).</w:t>
      </w:r>
    </w:p>
    <w:p w:rsidR="00035BE3" w:rsidRDefault="00035BE3" w:rsidP="00C10469">
      <w:pPr>
        <w:pStyle w:val="a6"/>
        <w:spacing w:line="500" w:lineRule="exact"/>
        <w:ind w:left="422" w:firstLine="0"/>
        <w:rPr>
          <w:spacing w:val="-6"/>
          <w:rtl/>
          <w:lang w:val="en-US"/>
        </w:rPr>
      </w:pPr>
      <w:r>
        <w:rPr>
          <w:rFonts w:hint="cs"/>
          <w:spacing w:val="-6"/>
          <w:rtl/>
          <w:lang w:val="en-US"/>
        </w:rPr>
        <w:t xml:space="preserve">والمعنى اللغوي للتعريس منقول من : لسان العرب، مادة </w:t>
      </w:r>
      <w:r>
        <w:rPr>
          <w:rFonts w:hint="eastAsia"/>
          <w:spacing w:val="-6"/>
          <w:rtl/>
        </w:rPr>
        <w:t>«</w:t>
      </w:r>
      <w:r>
        <w:rPr>
          <w:rFonts w:hint="cs"/>
          <w:spacing w:val="-6"/>
          <w:rtl/>
        </w:rPr>
        <w:t>عرس</w:t>
      </w:r>
      <w:r>
        <w:rPr>
          <w:rFonts w:hint="eastAsia"/>
          <w:spacing w:val="-6"/>
          <w:rtl/>
        </w:rPr>
        <w:t>»</w:t>
      </w:r>
      <w:r>
        <w:rPr>
          <w:rFonts w:hint="cs"/>
          <w:spacing w:val="-6"/>
          <w:rtl/>
        </w:rPr>
        <w:t xml:space="preserve">، 6/136؛ وانظره في : المقاييس في اللغة، مادة </w:t>
      </w:r>
      <w:r>
        <w:rPr>
          <w:rFonts w:hint="eastAsia"/>
          <w:rtl/>
        </w:rPr>
        <w:t>«</w:t>
      </w:r>
      <w:r>
        <w:rPr>
          <w:rFonts w:hint="cs"/>
          <w:rtl/>
        </w:rPr>
        <w:t>عرس</w:t>
      </w:r>
      <w:r>
        <w:rPr>
          <w:rFonts w:hint="eastAsia"/>
          <w:rtl/>
        </w:rPr>
        <w:t>»</w:t>
      </w:r>
      <w:r>
        <w:rPr>
          <w:rFonts w:hint="cs"/>
          <w:rtl/>
        </w:rPr>
        <w:t>، ص752؛</w:t>
      </w:r>
      <w:r>
        <w:rPr>
          <w:rFonts w:hint="cs"/>
          <w:spacing w:val="-6"/>
          <w:rtl/>
        </w:rPr>
        <w:t xml:space="preserve"> ردّ المحتار، 2/512.</w:t>
      </w:r>
    </w:p>
  </w:footnote>
  <w:footnote w:id="319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سنتين</w:t>
      </w:r>
      <w:r>
        <w:rPr>
          <w:rFonts w:hint="eastAsia"/>
          <w:rtl/>
        </w:rPr>
        <w:t>»</w:t>
      </w:r>
      <w:r>
        <w:rPr>
          <w:rFonts w:hint="cs"/>
          <w:rtl/>
        </w:rPr>
        <w:t>.</w:t>
      </w:r>
    </w:p>
  </w:footnote>
  <w:footnote w:id="3194">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60/ب من (أ).</w:t>
      </w:r>
    </w:p>
    <w:p w:rsidR="00035BE3" w:rsidRDefault="00035BE3" w:rsidP="00C10469">
      <w:pPr>
        <w:pStyle w:val="a6"/>
        <w:spacing w:line="500" w:lineRule="exact"/>
        <w:ind w:left="422" w:firstLine="0"/>
        <w:rPr>
          <w:rtl/>
        </w:rPr>
      </w:pPr>
      <w:r>
        <w:rPr>
          <w:rFonts w:hint="cs"/>
          <w:rtl/>
        </w:rPr>
        <w:t xml:space="preserve">وقوله : </w:t>
      </w:r>
      <w:r>
        <w:rPr>
          <w:rFonts w:hint="eastAsia"/>
          <w:rtl/>
        </w:rPr>
        <w:t>«</w:t>
      </w:r>
      <w:r>
        <w:rPr>
          <w:rFonts w:hint="cs"/>
          <w:rtl/>
        </w:rPr>
        <w:t>وبعد الزوال</w:t>
      </w:r>
      <w:r>
        <w:rPr>
          <w:rFonts w:hint="eastAsia"/>
          <w:rtl/>
        </w:rPr>
        <w:t>»</w:t>
      </w:r>
      <w:r>
        <w:rPr>
          <w:rFonts w:hint="cs"/>
          <w:rtl/>
        </w:rPr>
        <w:t xml:space="preserve"> معناه : لا يتعدى أيضًا قضاء سنة الفجر بعد الزوال.</w:t>
      </w:r>
    </w:p>
  </w:footnote>
  <w:footnote w:id="319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على</w:t>
      </w:r>
      <w:r>
        <w:rPr>
          <w:rFonts w:hint="eastAsia"/>
          <w:rtl/>
        </w:rPr>
        <w:t>»</w:t>
      </w:r>
      <w:r>
        <w:rPr>
          <w:rFonts w:hint="cs"/>
          <w:rtl/>
        </w:rPr>
        <w:t>.</w:t>
      </w:r>
    </w:p>
  </w:footnote>
  <w:footnote w:id="3196">
    <w:p w:rsidR="00035BE3" w:rsidRDefault="00035BE3" w:rsidP="00C10469">
      <w:pPr>
        <w:pStyle w:val="a8"/>
        <w:bidi/>
        <w:spacing w:line="50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بدائع الصنائع، 1/287؛ الهداية والعناية وفتح القدير، 1/476-479؛ الدرر شرح الغرر، 1/122؛ البحر الرائق، 2/80؛ الدّر المختار ورد المحتار، 2/512.</w:t>
      </w:r>
      <w:r>
        <w:rPr>
          <w:rFonts w:hint="cs"/>
          <w:spacing w:val="4"/>
          <w:rtl/>
        </w:rPr>
        <w:tab/>
      </w:r>
      <w:r>
        <w:rPr>
          <w:rFonts w:hint="cs"/>
          <w:spacing w:val="4"/>
          <w:rtl/>
        </w:rPr>
        <w:tab/>
      </w:r>
      <w:r>
        <w:rPr>
          <w:rFonts w:hint="cs"/>
          <w:spacing w:val="4"/>
          <w:rtl/>
        </w:rPr>
        <w:tab/>
        <w:t xml:space="preserve">  </w:t>
      </w:r>
    </w:p>
    <w:p w:rsidR="00035BE3" w:rsidRDefault="00035BE3" w:rsidP="00C10469">
      <w:pPr>
        <w:pStyle w:val="a6"/>
        <w:spacing w:line="500" w:lineRule="exact"/>
        <w:ind w:left="422" w:firstLine="0"/>
        <w:rPr>
          <w:spacing w:val="-4"/>
          <w:rtl/>
        </w:rPr>
      </w:pPr>
      <w:r>
        <w:rPr>
          <w:rFonts w:hint="cs"/>
          <w:spacing w:val="-4"/>
          <w:rtl/>
        </w:rPr>
        <w:t>ومسألة قضاء السنن الراتبة من المسائل التي حصل فيها خلاف بين المذاهب الأربعة، فانظر- بالإضافة إلى ماسبق- : المغني لابن قدامة، 2/531؛ المجموع، 3/44؛ الشرح الكبير وحاشية الدسوقي، 1/319.</w:t>
      </w:r>
    </w:p>
  </w:footnote>
  <w:footnote w:id="31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4"/>
          <w:rtl/>
        </w:rPr>
        <w:t xml:space="preserve"> </w:t>
      </w:r>
      <w:r w:rsidRPr="008254DA">
        <w:rPr>
          <w:rFonts w:hint="cs"/>
          <w:spacing w:val="-4"/>
          <w:rtl/>
        </w:rPr>
        <w:t xml:space="preserve">في (أ): </w:t>
      </w:r>
      <w:r w:rsidRPr="008254DA">
        <w:rPr>
          <w:rFonts w:hint="eastAsia"/>
          <w:spacing w:val="-4"/>
          <w:rtl/>
        </w:rPr>
        <w:t>«</w:t>
      </w:r>
      <w:r w:rsidRPr="008254DA">
        <w:rPr>
          <w:rFonts w:hint="cs"/>
          <w:spacing w:val="-4"/>
          <w:rtl/>
        </w:rPr>
        <w:t>معتاده</w:t>
      </w:r>
      <w:r w:rsidRPr="008254DA">
        <w:rPr>
          <w:rFonts w:hint="eastAsia"/>
          <w:spacing w:val="-4"/>
          <w:rtl/>
        </w:rPr>
        <w:t>»</w:t>
      </w:r>
      <w:r w:rsidRPr="008254DA">
        <w:rPr>
          <w:rFonts w:hint="cs"/>
          <w:spacing w:val="-4"/>
          <w:rtl/>
        </w:rPr>
        <w:t>. والصحيح ما تمَّ إثباته من باقي النسخ، وهو الموافق لمصدر هذه العبارة (وهو المغني).</w:t>
      </w:r>
    </w:p>
  </w:footnote>
  <w:footnote w:id="31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للخبازي، ص292؛ وانظر : شرحه للقاءاني، ق2، جـ1، ص106.</w:t>
      </w:r>
    </w:p>
  </w:footnote>
  <w:footnote w:id="3199">
    <w:p w:rsidR="00035BE3" w:rsidRDefault="00035BE3" w:rsidP="00C10469">
      <w:pPr>
        <w:pStyle w:val="a8"/>
        <w:bidi/>
        <w:ind w:left="422" w:right="0"/>
        <w:rPr>
          <w:spacing w:val="-10"/>
          <w:rtl/>
        </w:rPr>
      </w:pPr>
      <w:r>
        <w:rPr>
          <w:rFonts w:hint="cs"/>
          <w:vertAlign w:val="superscript"/>
          <w:rtl/>
        </w:rPr>
        <w:t>(</w:t>
      </w:r>
      <w:r>
        <w:rPr>
          <w:rStyle w:val="a7"/>
          <w:spacing w:val="-10"/>
        </w:rPr>
        <w:footnoteRef/>
      </w:r>
      <w:r>
        <w:rPr>
          <w:rFonts w:hint="cs"/>
          <w:vertAlign w:val="superscript"/>
          <w:rtl/>
        </w:rPr>
        <w:t>)</w:t>
      </w:r>
      <w:r>
        <w:rPr>
          <w:rFonts w:hint="cs"/>
          <w:spacing w:val="-10"/>
          <w:rtl/>
        </w:rPr>
        <w:t xml:space="preserve">    </w:t>
      </w:r>
      <w:r>
        <w:rPr>
          <w:rFonts w:hint="eastAsia"/>
          <w:spacing w:val="-10"/>
          <w:rtl/>
        </w:rPr>
        <w:t>«</w:t>
      </w:r>
      <w:r>
        <w:rPr>
          <w:rFonts w:hint="cs"/>
          <w:spacing w:val="-10"/>
          <w:rtl/>
        </w:rPr>
        <w:t>حينئذ</w:t>
      </w:r>
      <w:r>
        <w:rPr>
          <w:rFonts w:hint="eastAsia"/>
          <w:spacing w:val="-10"/>
          <w:rtl/>
        </w:rPr>
        <w:t>»</w:t>
      </w:r>
      <w:r>
        <w:rPr>
          <w:rFonts w:hint="cs"/>
          <w:spacing w:val="-10"/>
          <w:rtl/>
        </w:rPr>
        <w:t xml:space="preserve"> : ساقطة من (د). وهذه الكلمة رمز لها في (أ) و(جـ) بـ(ح)؛ وهي نهاية 46/ب من (جـ).</w:t>
      </w:r>
    </w:p>
  </w:footnote>
  <w:footnote w:id="32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يفت</w:t>
      </w:r>
      <w:r>
        <w:rPr>
          <w:rFonts w:hint="eastAsia"/>
          <w:rtl/>
        </w:rPr>
        <w:t>»</w:t>
      </w:r>
      <w:r>
        <w:rPr>
          <w:rFonts w:hint="cs"/>
          <w:rtl/>
        </w:rPr>
        <w:t>.</w:t>
      </w:r>
    </w:p>
  </w:footnote>
  <w:footnote w:id="32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ورد</w:t>
      </w:r>
      <w:r>
        <w:rPr>
          <w:rFonts w:hint="eastAsia"/>
          <w:rtl/>
        </w:rPr>
        <w:t>»</w:t>
      </w:r>
      <w:r>
        <w:rPr>
          <w:rFonts w:hint="cs"/>
          <w:rtl/>
        </w:rPr>
        <w:t>.</w:t>
      </w:r>
    </w:p>
  </w:footnote>
  <w:footnote w:id="32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جعلها</w:t>
      </w:r>
      <w:r>
        <w:rPr>
          <w:rFonts w:hint="eastAsia"/>
          <w:rtl/>
        </w:rPr>
        <w:t>»</w:t>
      </w:r>
      <w:r>
        <w:rPr>
          <w:rFonts w:hint="cs"/>
          <w:rtl/>
        </w:rPr>
        <w:t xml:space="preserve">، وفي (جـ) و(هـ) و(و) : </w:t>
      </w:r>
      <w:r>
        <w:rPr>
          <w:rFonts w:hint="eastAsia"/>
          <w:rtl/>
        </w:rPr>
        <w:t>«</w:t>
      </w:r>
      <w:r>
        <w:rPr>
          <w:rFonts w:hint="cs"/>
          <w:rtl/>
        </w:rPr>
        <w:t>جعلهما</w:t>
      </w:r>
      <w:r>
        <w:rPr>
          <w:rFonts w:hint="eastAsia"/>
          <w:rtl/>
        </w:rPr>
        <w:t>»</w:t>
      </w:r>
      <w:r>
        <w:rPr>
          <w:rFonts w:hint="cs"/>
          <w:rtl/>
        </w:rPr>
        <w:t>، وفي (أ) يحتمل الأمرين. وقد تم إثبات الثاني؛ لأنه هو المناسب.</w:t>
      </w:r>
    </w:p>
  </w:footnote>
  <w:footnote w:id="32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شرح المغني للقاءاني، ق2، جـ1، ص106-107.</w:t>
      </w:r>
    </w:p>
  </w:footnote>
  <w:footnote w:id="32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ولـيـبـنن</w:t>
      </w:r>
      <w:r>
        <w:rPr>
          <w:rFonts w:hint="eastAsia"/>
          <w:rtl/>
        </w:rPr>
        <w:t>»</w:t>
      </w:r>
      <w:r>
        <w:rPr>
          <w:rFonts w:hint="cs"/>
          <w:rtl/>
        </w:rPr>
        <w:t>. والصحيح ما تمَّ إثباته من (ب) و(د)؛ وفاقًا للفظ الحديث.</w:t>
      </w:r>
    </w:p>
  </w:footnote>
  <w:footnote w:id="32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الحديث لم أجده بلفظه فيما وقفت عليه من كتب الحديث المسندة، إنما ورد بنحوه أو معناه في بعضها، كما ورد بلفظه في بعض كتب الفقه كالهداية </w:t>
      </w:r>
      <w:r>
        <w:rPr>
          <w:rtl/>
        </w:rPr>
        <w:t>–</w:t>
      </w:r>
      <w:r>
        <w:rPr>
          <w:rFonts w:hint="cs"/>
          <w:rtl/>
        </w:rPr>
        <w:t xml:space="preserve">1/41- وغيرها: </w:t>
      </w:r>
    </w:p>
    <w:p w:rsidR="00035BE3" w:rsidRDefault="00035BE3" w:rsidP="00C10469">
      <w:pPr>
        <w:pStyle w:val="a6"/>
        <w:ind w:left="422" w:firstLine="0"/>
        <w:rPr>
          <w:spacing w:val="6"/>
          <w:rtl/>
        </w:rPr>
      </w:pPr>
      <w:r>
        <w:rPr>
          <w:rFonts w:hint="cs"/>
          <w:spacing w:val="6"/>
          <w:rtl/>
        </w:rPr>
        <w:t xml:space="preserve">فقد أخرج ابن ماجه، كتاب إقامة الصلاة والسُّنة فيها، باب ما جاء في البناء عـلى الصلاة، 1/385، ح1221، بسنده مرفوعًا : </w:t>
      </w:r>
      <w:r>
        <w:rPr>
          <w:rFonts w:hint="eastAsia"/>
          <w:spacing w:val="6"/>
          <w:rtl/>
        </w:rPr>
        <w:t>«</w:t>
      </w:r>
      <w:r>
        <w:rPr>
          <w:rFonts w:hint="cs"/>
          <w:spacing w:val="6"/>
          <w:rtl/>
        </w:rPr>
        <w:t>من أصابه قيء أو رعاف أو قلس أو مذي : فلينصرف فليتوضأ، ثم ليبنِ على صلاته، وهو في ذلك لا يتكلم</w:t>
      </w:r>
      <w:r>
        <w:rPr>
          <w:rFonts w:hint="eastAsia"/>
          <w:spacing w:val="6"/>
          <w:rtl/>
        </w:rPr>
        <w:t>»</w:t>
      </w:r>
      <w:r>
        <w:rPr>
          <w:rFonts w:hint="cs"/>
          <w:spacing w:val="6"/>
          <w:rtl/>
        </w:rPr>
        <w:t>؛ والدارقطني بنحوه، كتاب الطهارة، باب في الوضوء من الخارج من البدن، كالرّعاف والقيء والحجامة ونحوه، 1/153؛ والبيهقي بنحوه، كتاب الطهارة، باب ترك الوضوء مِنْ خروج الدم مِنْ غير مخرج الحدث، 2/142، وكتاب الصلاة، باب من قال : يبني مَنْ سبقه الحدثُ على ما مضى من صلاته، 2/255.</w:t>
      </w:r>
    </w:p>
    <w:p w:rsidR="00035BE3" w:rsidRDefault="00035BE3" w:rsidP="00C10469">
      <w:pPr>
        <w:pStyle w:val="a6"/>
        <w:ind w:left="422" w:firstLine="0"/>
        <w:rPr>
          <w:rtl/>
        </w:rPr>
      </w:pPr>
      <w:r>
        <w:rPr>
          <w:rFonts w:hint="cs"/>
          <w:rtl/>
        </w:rPr>
        <w:t>جميعهم من طريق إسماعيل بن عيّاش عن ابن جريج عن ابن أبي مليكة عن عائشة مرفوعًا.</w:t>
      </w:r>
      <w:r>
        <w:rPr>
          <w:rFonts w:hint="cs"/>
          <w:rtl/>
        </w:rPr>
        <w:tab/>
        <w:t xml:space="preserve">  </w:t>
      </w:r>
    </w:p>
    <w:p w:rsidR="00035BE3" w:rsidRDefault="00035BE3" w:rsidP="00C10469">
      <w:pPr>
        <w:pStyle w:val="a6"/>
        <w:spacing w:line="264" w:lineRule="auto"/>
        <w:ind w:left="422" w:firstLine="0"/>
        <w:rPr>
          <w:rtl/>
        </w:rPr>
      </w:pPr>
      <w:r>
        <w:rPr>
          <w:rtl/>
        </w:rPr>
        <w:t>•</w:t>
      </w:r>
      <w:r>
        <w:rPr>
          <w:rFonts w:hint="cs"/>
          <w:rtl/>
        </w:rPr>
        <w:t xml:space="preserve"> وهذا الحديث بعد أن ذكره البيهقي </w:t>
      </w:r>
      <w:r>
        <w:rPr>
          <w:rtl/>
        </w:rPr>
        <w:t>–</w:t>
      </w:r>
      <w:r>
        <w:rPr>
          <w:rFonts w:hint="cs"/>
          <w:rtl/>
        </w:rPr>
        <w:t xml:space="preserve">في الموضع الثاني- قال : </w:t>
      </w:r>
      <w:r>
        <w:rPr>
          <w:rFonts w:hint="eastAsia"/>
          <w:rtl/>
        </w:rPr>
        <w:t>«</w:t>
      </w:r>
      <w:r>
        <w:rPr>
          <w:rFonts w:hint="cs"/>
          <w:rtl/>
        </w:rPr>
        <w:t xml:space="preserve">وهذا الحديث أحدُ ما أُنكر على إسماعيل بن عياش. والمحفوظ ما رواه الجماعة عن ابن جريج عن أبيه عن النبي </w:t>
      </w:r>
      <w:r>
        <w:rPr>
          <w:rFonts w:ascii="AGA Arabesque" w:hAnsi="AGA Arabesque"/>
          <w:sz w:val="36"/>
          <w:szCs w:val="36"/>
          <w:lang w:val="en-US"/>
        </w:rPr>
        <w:t></w:t>
      </w:r>
      <w:r>
        <w:rPr>
          <w:rFonts w:hint="cs"/>
          <w:rtl/>
          <w:lang w:val="en-US"/>
        </w:rPr>
        <w:t xml:space="preserve"> مرسلاً. كذلك ما رواه محمد بن عبد الله الأنصاري، وأبو عاصم النبيل، وعبد الرزاق، وعبد الوهاب بن عطاء وغيرهم عن ابن جريج. وأما حديـث ابن أبي مليكـة عن عائشة -رضي الله عنها- فإنما يرويه إسماعيل بن عياش، وسليمان ابن أرقم عن ابن جريج، وسليمان بن أرقم متروك، وما يرويه إسماعيل بن عياش عن غير أهل الشام ضعيف لا يوثق به. وروي عن إسماعيل عن عباد بن كثير، وعطاء بن عجلان عن ابن أبي مليكة عن عائشة رضي الله عنها، وعباد وعطاء هذان ضعيفان </w:t>
      </w:r>
      <w:r>
        <w:rPr>
          <w:rtl/>
          <w:lang w:val="en-US"/>
        </w:rPr>
        <w:t>–</w:t>
      </w:r>
      <w:r>
        <w:rPr>
          <w:rFonts w:hint="cs"/>
          <w:rtl/>
          <w:lang w:val="en-US"/>
        </w:rPr>
        <w:t>والله تعالى أعلم-</w:t>
      </w:r>
      <w:r>
        <w:rPr>
          <w:rFonts w:hint="eastAsia"/>
          <w:rtl/>
        </w:rPr>
        <w:t>»</w:t>
      </w:r>
      <w:r>
        <w:rPr>
          <w:rFonts w:hint="cs"/>
          <w:rtl/>
        </w:rPr>
        <w:t>.</w:t>
      </w:r>
    </w:p>
    <w:p w:rsidR="00035BE3" w:rsidRDefault="00035BE3" w:rsidP="00C10469">
      <w:pPr>
        <w:pStyle w:val="a6"/>
        <w:spacing w:line="264" w:lineRule="auto"/>
        <w:ind w:left="422" w:firstLine="0"/>
        <w:rPr>
          <w:rtl/>
        </w:rPr>
      </w:pPr>
      <w:r>
        <w:rPr>
          <w:rtl/>
        </w:rPr>
        <w:t>•</w:t>
      </w:r>
      <w:r>
        <w:rPr>
          <w:rFonts w:hint="cs"/>
          <w:rtl/>
        </w:rPr>
        <w:t xml:space="preserve"> كما قال عنه الحافظ في (التلخيص) </w:t>
      </w:r>
      <w:r>
        <w:rPr>
          <w:rtl/>
        </w:rPr>
        <w:t>–</w:t>
      </w:r>
      <w:r>
        <w:rPr>
          <w:rFonts w:hint="cs"/>
          <w:rtl/>
        </w:rPr>
        <w:t xml:space="preserve">1/274- : </w:t>
      </w:r>
      <w:r>
        <w:rPr>
          <w:rFonts w:hint="eastAsia"/>
          <w:rtl/>
        </w:rPr>
        <w:t>«</w:t>
      </w:r>
      <w:r>
        <w:rPr>
          <w:rFonts w:hint="cs"/>
          <w:rtl/>
        </w:rPr>
        <w:t xml:space="preserve">وأعلّه غير واحد بأنه من رواية إسماعيل ابن عياش عن ابن جريج، ورواية إسماعيل عن الحجازيين ضعيفة، وقد خالفه الحفاظ من أصحاب ابن جريج، فرووه عنه عن أبيه عن النبي </w:t>
      </w:r>
      <w:r>
        <w:rPr>
          <w:rFonts w:ascii="AGA Arabesque" w:hAnsi="AGA Arabesque"/>
          <w:sz w:val="36"/>
          <w:szCs w:val="36"/>
          <w:lang w:val="en-US"/>
        </w:rPr>
        <w:t></w:t>
      </w:r>
      <w:r>
        <w:rPr>
          <w:rFonts w:hint="cs"/>
          <w:rtl/>
        </w:rPr>
        <w:t xml:space="preserve"> مرسلاً. وصحّح هذه الطريقة المرسلة: محمد بن يحي الذهلي والدارقطني في (العلل) وأبوحاتم وقال : رواية إسماعيل خطأ. وقال ابن معين : ضعيف. وقال ابن عدي : هكذا رواه إسماعيل مرّة، وقال مرة عن جريج عن أبيه عن عائشة، وكلاهما ضعيف. وقال أحمد : الصواب : عن ابن جريج عن أبيه عن النبي </w:t>
      </w:r>
      <w:r>
        <w:rPr>
          <w:rFonts w:ascii="AGA Arabesque" w:hAnsi="AGA Arabesque"/>
          <w:sz w:val="36"/>
          <w:szCs w:val="36"/>
          <w:lang w:val="en-US"/>
        </w:rPr>
        <w:t></w:t>
      </w:r>
      <w:r>
        <w:rPr>
          <w:rFonts w:hint="cs"/>
          <w:rtl/>
        </w:rPr>
        <w:t xml:space="preserve"> مرسلاً ...</w:t>
      </w:r>
      <w:r>
        <w:rPr>
          <w:rFonts w:hint="eastAsia"/>
          <w:rtl/>
        </w:rPr>
        <w:t>»</w:t>
      </w:r>
      <w:r>
        <w:rPr>
          <w:rFonts w:hint="cs"/>
          <w:rtl/>
        </w:rPr>
        <w:t>- وانظر نحو هذه العبارة في : الدراية، 1/30؛ نيل الأوطار، 1/236.</w:t>
      </w:r>
    </w:p>
    <w:p w:rsidR="00035BE3" w:rsidRDefault="00035BE3" w:rsidP="00C10469">
      <w:pPr>
        <w:pStyle w:val="a6"/>
        <w:spacing w:line="264" w:lineRule="auto"/>
        <w:ind w:left="-32" w:firstLine="454"/>
        <w:rPr>
          <w:spacing w:val="-6"/>
          <w:rtl/>
        </w:rPr>
      </w:pPr>
      <w:r>
        <w:rPr>
          <w:spacing w:val="-6"/>
          <w:rtl/>
        </w:rPr>
        <w:t>•</w:t>
      </w:r>
      <w:r>
        <w:rPr>
          <w:rFonts w:hint="cs"/>
          <w:spacing w:val="-6"/>
          <w:rtl/>
        </w:rPr>
        <w:t xml:space="preserve"> كما قال عنه صاحب عون المعبود </w:t>
      </w:r>
      <w:r>
        <w:rPr>
          <w:spacing w:val="-6"/>
          <w:rtl/>
        </w:rPr>
        <w:t>–</w:t>
      </w:r>
      <w:r>
        <w:rPr>
          <w:rFonts w:hint="cs"/>
          <w:spacing w:val="-6"/>
          <w:rtl/>
        </w:rPr>
        <w:t xml:space="preserve">3/216- : </w:t>
      </w:r>
      <w:r>
        <w:rPr>
          <w:rFonts w:hint="eastAsia"/>
          <w:spacing w:val="-6"/>
          <w:rtl/>
        </w:rPr>
        <w:t>«</w:t>
      </w:r>
      <w:r>
        <w:rPr>
          <w:rFonts w:hint="cs"/>
          <w:spacing w:val="-6"/>
          <w:rtl/>
        </w:rPr>
        <w:t>... وحديث عائشة لم يقل أحد بصحته</w:t>
      </w:r>
      <w:r>
        <w:rPr>
          <w:rFonts w:hint="eastAsia"/>
          <w:spacing w:val="-6"/>
          <w:rtl/>
        </w:rPr>
        <w:t>»</w:t>
      </w:r>
      <w:r>
        <w:rPr>
          <w:rFonts w:hint="cs"/>
          <w:spacing w:val="-6"/>
          <w:rtl/>
        </w:rPr>
        <w:t>.</w:t>
      </w:r>
    </w:p>
    <w:p w:rsidR="00035BE3" w:rsidRDefault="00035BE3" w:rsidP="00C10469">
      <w:pPr>
        <w:pStyle w:val="a6"/>
        <w:spacing w:line="264" w:lineRule="auto"/>
        <w:ind w:left="422" w:firstLine="0"/>
        <w:rPr>
          <w:rtl/>
        </w:rPr>
      </w:pPr>
      <w:r>
        <w:rPr>
          <w:rFonts w:hint="cs"/>
          <w:b/>
          <w:bCs/>
          <w:rtl/>
        </w:rPr>
        <w:t>فالحاصل</w:t>
      </w:r>
      <w:r>
        <w:rPr>
          <w:rFonts w:hint="cs"/>
          <w:rtl/>
        </w:rPr>
        <w:t xml:space="preserve"> : أن الحديث لم يرد بسند متصل صحيح عن عائشة به، إنما صح عن ابن جريج عن أبيه عن النبي </w:t>
      </w:r>
      <w:r>
        <w:rPr>
          <w:rFonts w:ascii="AGA Arabesque" w:hAnsi="AGA Arabesque"/>
          <w:sz w:val="36"/>
          <w:szCs w:val="36"/>
          <w:lang w:val="en-US"/>
        </w:rPr>
        <w:t></w:t>
      </w:r>
      <w:r>
        <w:rPr>
          <w:rFonts w:hint="cs"/>
          <w:rtl/>
        </w:rPr>
        <w:t xml:space="preserve"> به مرسلاً؛ لهذا فإن صاحب (نصب الراية) </w:t>
      </w:r>
      <w:r>
        <w:rPr>
          <w:rtl/>
        </w:rPr>
        <w:t>–</w:t>
      </w:r>
      <w:r>
        <w:rPr>
          <w:rFonts w:hint="cs"/>
          <w:rtl/>
        </w:rPr>
        <w:t xml:space="preserve">1/38- قال في نهاية كلامه عنه : </w:t>
      </w:r>
      <w:r>
        <w:rPr>
          <w:rFonts w:hint="eastAsia"/>
          <w:rtl/>
        </w:rPr>
        <w:t>«</w:t>
      </w:r>
      <w:r>
        <w:rPr>
          <w:rFonts w:hint="cs"/>
          <w:rtl/>
        </w:rPr>
        <w:t>... والمرسل عند أصحابنا حجّة</w:t>
      </w:r>
      <w:r>
        <w:rPr>
          <w:rFonts w:hint="eastAsia"/>
          <w:rtl/>
        </w:rPr>
        <w:t>»</w:t>
      </w:r>
      <w:r>
        <w:rPr>
          <w:rFonts w:hint="cs"/>
          <w:rtl/>
        </w:rPr>
        <w:t>.</w:t>
      </w:r>
    </w:p>
    <w:p w:rsidR="00035BE3" w:rsidRDefault="00035BE3" w:rsidP="00C10469">
      <w:pPr>
        <w:pStyle w:val="a6"/>
        <w:spacing w:line="264" w:lineRule="auto"/>
        <w:ind w:left="422" w:firstLine="0"/>
        <w:rPr>
          <w:rtl/>
        </w:rPr>
      </w:pPr>
      <w:r>
        <w:rPr>
          <w:rFonts w:hint="cs"/>
          <w:rtl/>
        </w:rPr>
        <w:t>وللحديث شواهد، بعضها مرفوعة وبعضها موقوفة عن : ابن عباس وعلي وأبي سعيد الخدري وابن عمر -رضي الله عنهم-، وهي مبسوطة في كتب الحديث.</w:t>
      </w:r>
    </w:p>
  </w:footnote>
  <w:footnote w:id="3206">
    <w:p w:rsidR="00035BE3" w:rsidRDefault="00035BE3" w:rsidP="00C10469">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الفصد</w:t>
      </w:r>
      <w:r>
        <w:rPr>
          <w:rFonts w:hint="cs"/>
          <w:rtl/>
        </w:rPr>
        <w:t xml:space="preserve"> : معناه لغة : </w:t>
      </w:r>
      <w:r>
        <w:rPr>
          <w:rFonts w:hint="eastAsia"/>
          <w:rtl/>
        </w:rPr>
        <w:t>«</w:t>
      </w:r>
      <w:r>
        <w:rPr>
          <w:rFonts w:hint="cs"/>
          <w:rtl/>
        </w:rPr>
        <w:t>هو قطعُ العِرْقِ حتّى يسيل</w:t>
      </w:r>
      <w:r>
        <w:rPr>
          <w:rFonts w:hint="eastAsia"/>
          <w:rtl/>
        </w:rPr>
        <w:t>»</w:t>
      </w:r>
      <w:r>
        <w:rPr>
          <w:rFonts w:hint="cs"/>
          <w:rtl/>
        </w:rPr>
        <w:t>.</w:t>
      </w:r>
    </w:p>
    <w:p w:rsidR="00035BE3" w:rsidRDefault="00035BE3" w:rsidP="00C10469">
      <w:pPr>
        <w:pStyle w:val="a6"/>
        <w:spacing w:line="264" w:lineRule="auto"/>
        <w:ind w:left="422" w:firstLine="0"/>
        <w:rPr>
          <w:spacing w:val="2"/>
          <w:rtl/>
        </w:rPr>
      </w:pPr>
      <w:r>
        <w:rPr>
          <w:rFonts w:hint="cs"/>
          <w:spacing w:val="2"/>
          <w:rtl/>
        </w:rPr>
        <w:t xml:space="preserve">قاله ابن فارس في المقاييس في اللغة، مادة </w:t>
      </w:r>
      <w:r>
        <w:rPr>
          <w:rFonts w:hint="eastAsia"/>
          <w:spacing w:val="2"/>
          <w:rtl/>
        </w:rPr>
        <w:t>«</w:t>
      </w:r>
      <w:r>
        <w:rPr>
          <w:rFonts w:hint="cs"/>
          <w:spacing w:val="2"/>
          <w:rtl/>
        </w:rPr>
        <w:t>فصد</w:t>
      </w:r>
      <w:r>
        <w:rPr>
          <w:rFonts w:hint="eastAsia"/>
          <w:spacing w:val="2"/>
          <w:rtl/>
        </w:rPr>
        <w:t>»</w:t>
      </w:r>
      <w:r>
        <w:rPr>
          <w:rFonts w:hint="cs"/>
          <w:spacing w:val="2"/>
          <w:rtl/>
        </w:rPr>
        <w:t xml:space="preserve">، ص838؛ وانظر لسان العرب، مادة </w:t>
      </w:r>
      <w:r>
        <w:rPr>
          <w:rFonts w:hint="eastAsia"/>
          <w:spacing w:val="2"/>
          <w:rtl/>
        </w:rPr>
        <w:t>«</w:t>
      </w:r>
      <w:r>
        <w:rPr>
          <w:rFonts w:hint="cs"/>
          <w:spacing w:val="2"/>
          <w:rtl/>
        </w:rPr>
        <w:t>فصد</w:t>
      </w:r>
      <w:r>
        <w:rPr>
          <w:rFonts w:hint="eastAsia"/>
          <w:spacing w:val="2"/>
          <w:rtl/>
        </w:rPr>
        <w:t>»</w:t>
      </w:r>
      <w:r>
        <w:rPr>
          <w:rFonts w:hint="cs"/>
          <w:spacing w:val="2"/>
          <w:rtl/>
        </w:rPr>
        <w:t xml:space="preserve">، 3/336؛ القاموس المحيط، مادة </w:t>
      </w:r>
      <w:r>
        <w:rPr>
          <w:rFonts w:hint="eastAsia"/>
          <w:spacing w:val="2"/>
          <w:rtl/>
        </w:rPr>
        <w:t>«</w:t>
      </w:r>
      <w:r>
        <w:rPr>
          <w:rFonts w:hint="cs"/>
          <w:spacing w:val="2"/>
          <w:rtl/>
        </w:rPr>
        <w:t>فصد</w:t>
      </w:r>
      <w:r>
        <w:rPr>
          <w:rFonts w:hint="eastAsia"/>
          <w:spacing w:val="2"/>
          <w:rtl/>
        </w:rPr>
        <w:t>»</w:t>
      </w:r>
      <w:r>
        <w:rPr>
          <w:rFonts w:hint="cs"/>
          <w:spacing w:val="2"/>
          <w:rtl/>
        </w:rPr>
        <w:t>، ص391.</w:t>
      </w:r>
    </w:p>
  </w:footnote>
  <w:footnote w:id="3207">
    <w:p w:rsidR="00035BE3" w:rsidRDefault="00035BE3" w:rsidP="00C10469">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ص293؛ وشرحه للقاءاني، ق2، جـ1، ص108.</w:t>
      </w:r>
    </w:p>
  </w:footnote>
  <w:footnote w:id="3208">
    <w:p w:rsidR="00035BE3" w:rsidRDefault="00035BE3" w:rsidP="00C10469">
      <w:pPr>
        <w:pStyle w:val="a8"/>
        <w:bidi/>
        <w:ind w:left="422" w:right="0"/>
        <w:rPr>
          <w:spacing w:val="-6"/>
          <w:rtl/>
        </w:rPr>
      </w:pPr>
      <w:r>
        <w:rPr>
          <w:rFonts w:hint="cs"/>
          <w:vertAlign w:val="superscript"/>
          <w:rtl/>
        </w:rPr>
        <w:t>(</w:t>
      </w:r>
      <w:r>
        <w:rPr>
          <w:rStyle w:val="a7"/>
          <w:spacing w:val="-6"/>
        </w:rPr>
        <w:footnoteRef/>
      </w:r>
      <w:r>
        <w:rPr>
          <w:rFonts w:hint="cs"/>
          <w:vertAlign w:val="superscript"/>
          <w:rtl/>
        </w:rPr>
        <w:t>)</w:t>
      </w:r>
      <w:r>
        <w:rPr>
          <w:rFonts w:hint="cs"/>
          <w:spacing w:val="-6"/>
          <w:rtl/>
        </w:rPr>
        <w:t xml:space="preserve">   في (أ) و(جـ) : </w:t>
      </w:r>
      <w:r>
        <w:rPr>
          <w:rFonts w:hint="eastAsia"/>
          <w:spacing w:val="-6"/>
          <w:rtl/>
        </w:rPr>
        <w:t>«</w:t>
      </w:r>
      <w:r>
        <w:rPr>
          <w:rFonts w:hint="cs"/>
          <w:spacing w:val="-6"/>
          <w:rtl/>
        </w:rPr>
        <w:t>المزروعات</w:t>
      </w:r>
      <w:r>
        <w:rPr>
          <w:rFonts w:hint="eastAsia"/>
          <w:spacing w:val="-6"/>
          <w:rtl/>
        </w:rPr>
        <w:t>»</w:t>
      </w:r>
      <w:r>
        <w:rPr>
          <w:rFonts w:hint="cs"/>
          <w:spacing w:val="-6"/>
          <w:rtl/>
        </w:rPr>
        <w:t>. والصـحيح ما تمَّ إثبـاته من (ب) و(د)، وهو الموافق لمصدر هذه العبارة (وهو العناية).</w:t>
      </w:r>
    </w:p>
  </w:footnote>
  <w:footnote w:id="32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المزروع</w:t>
      </w:r>
      <w:r>
        <w:rPr>
          <w:rFonts w:hint="eastAsia"/>
          <w:rtl/>
        </w:rPr>
        <w:t>»</w:t>
      </w:r>
      <w:r>
        <w:rPr>
          <w:rFonts w:hint="cs"/>
          <w:rtl/>
        </w:rPr>
        <w:t>.</w:t>
      </w:r>
    </w:p>
  </w:footnote>
  <w:footnote w:id="32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وهو</w:t>
      </w:r>
      <w:r>
        <w:rPr>
          <w:rFonts w:hint="eastAsia"/>
          <w:rtl/>
        </w:rPr>
        <w:t>»</w:t>
      </w:r>
      <w:r>
        <w:rPr>
          <w:rFonts w:hint="cs"/>
          <w:rtl/>
        </w:rPr>
        <w:t xml:space="preserve"> : زيادة من (ب) و(د). والأسلوب بدونها يكون ركيكًا.</w:t>
      </w:r>
    </w:p>
  </w:footnote>
  <w:footnote w:id="32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لرفع</w:t>
      </w:r>
      <w:r>
        <w:rPr>
          <w:rFonts w:hint="eastAsia"/>
          <w:rtl/>
        </w:rPr>
        <w:t>»</w:t>
      </w:r>
      <w:r>
        <w:rPr>
          <w:rFonts w:hint="cs"/>
          <w:rtl/>
        </w:rPr>
        <w:t>.</w:t>
      </w:r>
    </w:p>
  </w:footnote>
  <w:footnote w:id="32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المزروعات</w:t>
      </w:r>
      <w:r>
        <w:rPr>
          <w:rFonts w:hint="eastAsia"/>
          <w:rtl/>
        </w:rPr>
        <w:t>»</w:t>
      </w:r>
      <w:r>
        <w:rPr>
          <w:rFonts w:hint="cs"/>
          <w:rtl/>
        </w:rPr>
        <w:t>.</w:t>
      </w:r>
    </w:p>
  </w:footnote>
  <w:footnote w:id="32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الموزونات</w:t>
      </w:r>
      <w:r>
        <w:rPr>
          <w:rFonts w:hint="eastAsia"/>
          <w:rtl/>
        </w:rPr>
        <w:t>»</w:t>
      </w:r>
      <w:r>
        <w:rPr>
          <w:rFonts w:hint="cs"/>
          <w:rtl/>
        </w:rPr>
        <w:t xml:space="preserve">. وفي (ب) : </w:t>
      </w:r>
      <w:r>
        <w:rPr>
          <w:rFonts w:hint="eastAsia"/>
          <w:rtl/>
        </w:rPr>
        <w:t>«</w:t>
      </w:r>
      <w:r>
        <w:rPr>
          <w:rFonts w:hint="cs"/>
          <w:rtl/>
        </w:rPr>
        <w:t>بالموزونات</w:t>
      </w:r>
      <w:r>
        <w:rPr>
          <w:rFonts w:hint="eastAsia"/>
          <w:rtl/>
        </w:rPr>
        <w:t>»</w:t>
      </w:r>
      <w:r>
        <w:rPr>
          <w:rFonts w:hint="cs"/>
          <w:rtl/>
        </w:rPr>
        <w:t xml:space="preserve">، وفي (د) : </w:t>
      </w:r>
      <w:r>
        <w:rPr>
          <w:rFonts w:hint="eastAsia"/>
          <w:rtl/>
        </w:rPr>
        <w:t>«</w:t>
      </w:r>
      <w:r>
        <w:rPr>
          <w:rFonts w:hint="cs"/>
          <w:rtl/>
        </w:rPr>
        <w:t>للموزونات</w:t>
      </w:r>
      <w:r>
        <w:rPr>
          <w:rFonts w:hint="eastAsia"/>
          <w:rtl/>
        </w:rPr>
        <w:t>»</w:t>
      </w:r>
      <w:r>
        <w:rPr>
          <w:rFonts w:hint="cs"/>
          <w:rtl/>
        </w:rPr>
        <w:t>. وما في (أ) و(جـ) مجانب للصواب.</w:t>
      </w:r>
    </w:p>
  </w:footnote>
  <w:footnote w:id="32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7/73.</w:t>
      </w:r>
    </w:p>
  </w:footnote>
  <w:footnote w:id="32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الزيل</w:t>
      </w:r>
      <w:r>
        <w:rPr>
          <w:rFonts w:hint="eastAsia"/>
          <w:rtl/>
        </w:rPr>
        <w:t>»</w:t>
      </w:r>
      <w:r>
        <w:rPr>
          <w:rFonts w:hint="cs"/>
          <w:rtl/>
        </w:rPr>
        <w:t>. والصحيح ما تمَّ إثباته من (د).</w:t>
      </w:r>
    </w:p>
  </w:footnote>
  <w:footnote w:id="3216">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B84938">
        <w:rPr>
          <w:rFonts w:hint="cs"/>
          <w:spacing w:val="-6"/>
          <w:rtl/>
        </w:rPr>
        <w:t xml:space="preserve">في (أ) و(جـ) و(د): </w:t>
      </w:r>
      <w:r w:rsidRPr="00B84938">
        <w:rPr>
          <w:rFonts w:hint="eastAsia"/>
          <w:spacing w:val="-6"/>
          <w:rtl/>
        </w:rPr>
        <w:t>«</w:t>
      </w:r>
      <w:r w:rsidRPr="00B84938">
        <w:rPr>
          <w:rFonts w:hint="cs"/>
          <w:spacing w:val="-6"/>
          <w:rtl/>
        </w:rPr>
        <w:t>في هذا</w:t>
      </w:r>
      <w:r w:rsidRPr="00B84938">
        <w:rPr>
          <w:rFonts w:hint="eastAsia"/>
          <w:spacing w:val="-6"/>
          <w:rtl/>
        </w:rPr>
        <w:t>»</w:t>
      </w:r>
      <w:r w:rsidRPr="00B84938">
        <w:rPr>
          <w:rFonts w:hint="cs"/>
          <w:spacing w:val="-6"/>
          <w:rtl/>
        </w:rPr>
        <w:t xml:space="preserve">. والمناسب ما تمَّ إثباته من (ب). وهذه الكلمة تمثل نهاية 39/ب من </w:t>
      </w:r>
      <w:r>
        <w:rPr>
          <w:rFonts w:hint="cs"/>
          <w:spacing w:val="-4"/>
          <w:rtl/>
        </w:rPr>
        <w:t>(ب).</w:t>
      </w:r>
    </w:p>
  </w:footnote>
  <w:footnote w:id="32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ذكر طائفة منها عند توثيق القاعدة.</w:t>
      </w:r>
    </w:p>
  </w:footnote>
  <w:footnote w:id="321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والصريح</w:t>
      </w:r>
      <w:r>
        <w:rPr>
          <w:rFonts w:hint="eastAsia"/>
          <w:rtl/>
        </w:rPr>
        <w:t>»</w:t>
      </w:r>
      <w:r>
        <w:rPr>
          <w:rFonts w:hint="cs"/>
          <w:rtl/>
        </w:rPr>
        <w:t xml:space="preserve"> (بزيادة الواو)، ولا مسوِّغ لهذه الزيادة.</w:t>
      </w:r>
    </w:p>
  </w:footnote>
  <w:footnote w:id="321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يفوق </w:t>
      </w:r>
      <w:r>
        <w:rPr>
          <w:rFonts w:hint="eastAsia"/>
          <w:rtl/>
        </w:rPr>
        <w:t>»</w:t>
      </w:r>
      <w:r>
        <w:rPr>
          <w:rFonts w:hint="cs"/>
          <w:rtl/>
        </w:rPr>
        <w:t>. وكلا اللفـظـيـن صحيح، فقد وردت القاعدة بهما في بعض المصادر، كما سيأتي عند توثيقها.</w:t>
      </w:r>
    </w:p>
  </w:footnote>
  <w:footnote w:id="322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أو نحوه أو معناه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10"/>
          <w:rtl/>
        </w:rPr>
      </w:pPr>
      <w:r>
        <w:rPr>
          <w:rFonts w:hint="cs"/>
          <w:spacing w:val="10"/>
          <w:rtl/>
        </w:rPr>
        <w:t xml:space="preserve">مجامع الحقائق (الخاتمة)، ص46 - ولفظه : </w:t>
      </w:r>
      <w:r>
        <w:rPr>
          <w:rFonts w:hint="eastAsia"/>
          <w:spacing w:val="10"/>
          <w:rtl/>
        </w:rPr>
        <w:t>«</w:t>
      </w:r>
      <w:r>
        <w:rPr>
          <w:rFonts w:hint="cs"/>
          <w:spacing w:val="10"/>
          <w:rtl/>
        </w:rPr>
        <w:t>لا عبرة للدلالة في مقابلة التصريح</w:t>
      </w:r>
      <w:r>
        <w:rPr>
          <w:rFonts w:hint="eastAsia"/>
          <w:spacing w:val="10"/>
          <w:rtl/>
        </w:rPr>
        <w:t>»</w:t>
      </w:r>
      <w:r>
        <w:rPr>
          <w:rFonts w:hint="cs"/>
          <w:spacing w:val="10"/>
          <w:rtl/>
        </w:rPr>
        <w:t xml:space="preserve">، ووردت بهذا اللفظ في كثير من الكتب منها-؛ شرح العلائي لقواعد الخادمي، ل32/ب؛ منافع الدقائق، ص328؛ مجلة الأحكام العدلية، مادة 13؛ شرحها لسليم رستم، 1/25؛ ولعلي حيدر، 1/28؛ وللأتاسي، 1/38؛ وشرح قواعدها للزرقا، ص141؛ المدخل الفقهي العـام، 2/879، فقرة 506، و973، فقرة 580؛ المدخل إلى القواعد الفقهية الكلية، ص86؛ المبادئ الفقهية، ص15؛ القواعد الفقهية للدعاس، ص22، قاعدة 9؛ وللدكتور محمد الزحيلي، ص53؛ وللدكتور علي الندوي، 180، 417، 459؛ الوجيز، ص139؛ موسوعة القواعد الفقهية، 2/213؛ القواعد الفقهية الكبرى لشيخنا أ.د. صالح السدلان، ص174؛ ومن كتب القواعد الأخرى : قواعد الفقه للمجدِّدي، ص108، قاعدة 259، وص141، قاعدة 408 - ولفظه الأول : </w:t>
      </w:r>
      <w:r>
        <w:rPr>
          <w:rFonts w:hint="eastAsia"/>
          <w:spacing w:val="10"/>
          <w:rtl/>
        </w:rPr>
        <w:t>«</w:t>
      </w:r>
      <w:r>
        <w:rPr>
          <w:rFonts w:hint="cs"/>
          <w:spacing w:val="10"/>
          <w:rtl/>
        </w:rPr>
        <w:t>لا قوام للدلالة مع النص</w:t>
      </w:r>
      <w:r>
        <w:rPr>
          <w:rFonts w:hint="eastAsia"/>
          <w:spacing w:val="10"/>
          <w:rtl/>
        </w:rPr>
        <w:t>»</w:t>
      </w:r>
      <w:r>
        <w:rPr>
          <w:rFonts w:hint="cs"/>
          <w:spacing w:val="10"/>
          <w:rtl/>
        </w:rPr>
        <w:t xml:space="preserve">-؛ القواعد والضوابط المستخلصة من التحـرير، ص481، وأحال إلى التحرير، 1/326، 327، وص492، وأحال إلى التحرير، 2/306، 4/531 - ولفظه الثاني : </w:t>
      </w:r>
      <w:r>
        <w:rPr>
          <w:rFonts w:hint="eastAsia"/>
          <w:spacing w:val="10"/>
          <w:rtl/>
        </w:rPr>
        <w:t>«</w:t>
      </w:r>
      <w:r>
        <w:rPr>
          <w:rFonts w:hint="cs"/>
          <w:spacing w:val="10"/>
          <w:rtl/>
        </w:rPr>
        <w:t>لا عبرة للدلالة في موضع العلم</w:t>
      </w:r>
      <w:r>
        <w:rPr>
          <w:rFonts w:hint="eastAsia"/>
          <w:spacing w:val="10"/>
          <w:rtl/>
        </w:rPr>
        <w:t>»</w:t>
      </w:r>
      <w:r>
        <w:rPr>
          <w:rFonts w:hint="cs"/>
          <w:spacing w:val="10"/>
          <w:rtl/>
        </w:rPr>
        <w:t>- ويلحظ أن جميع كتب القواعد المذكورة متأخرة عن المؤلف-.</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6"/>
          <w:rtl/>
        </w:rPr>
      </w:pPr>
      <w:r>
        <w:rPr>
          <w:rFonts w:hint="cs"/>
          <w:spacing w:val="6"/>
          <w:rtl/>
        </w:rPr>
        <w:t>شرح السير الكبير، 1/173، فقرة 182، و2/806، فـقـرة 1444، و5/2125، فـقـرة 4212، و2184، فقرة 4321؛ الهداية والعناية ونتائج الأفكار، 8/254 -ولفظهم كاللفظ المذكور في نسخة (ب) -، والهداية والعناية، 9/23، والعناية ونتائج الأفكار، 8/348، 9/297، والعناية فقط، 4/171، 7/73؛ وفتح القدير، 3/370؛ تبيين الحقائق، 2/156؛ جامع الفصولين، 1/100؛ الدّرر شرح الغرر، 1/347، 2/218، 288، 346 - ولفظه الأخير كلفظ النسخة (ب)، والذي قبله قريب من لفظ باقي النسخ-.</w:t>
      </w:r>
      <w:r>
        <w:rPr>
          <w:rFonts w:hint="cs"/>
          <w:spacing w:val="6"/>
          <w:rtl/>
        </w:rPr>
        <w:tab/>
      </w:r>
      <w:r>
        <w:rPr>
          <w:rFonts w:hint="cs"/>
          <w:spacing w:val="6"/>
          <w:rtl/>
        </w:rPr>
        <w:tab/>
        <w:t xml:space="preserve"> </w:t>
      </w:r>
    </w:p>
    <w:p w:rsidR="00035BE3" w:rsidRDefault="00035BE3" w:rsidP="00C10469">
      <w:pPr>
        <w:pStyle w:val="a6"/>
        <w:spacing w:line="420" w:lineRule="exact"/>
        <w:ind w:left="422" w:firstLine="0"/>
        <w:rPr>
          <w:rtl/>
        </w:rPr>
      </w:pPr>
      <w:r>
        <w:rPr>
          <w:rFonts w:hint="cs"/>
          <w:rtl/>
        </w:rPr>
        <w:t xml:space="preserve">وقبل الانتهاء من توثيق هذه القاعدة يجدر التنبيه على أنها تمثِّل المفهوم المخالف لقاعدتين ذكرهما المؤلف، وذلك ص583 (ل40/أ)، قاعدة 96، وص703 (ل52/ب)، قاعدة 126، وأولهما هي: </w:t>
      </w:r>
      <w:r>
        <w:rPr>
          <w:rFonts w:hint="eastAsia"/>
          <w:rtl/>
        </w:rPr>
        <w:t>«</w:t>
      </w:r>
      <w:r>
        <w:rPr>
          <w:rFonts w:hint="cs"/>
          <w:rtl/>
        </w:rPr>
        <w:t>الثابت بدلالة إنما يعتبر إذا لم يوجد الصريح بخلافه</w:t>
      </w:r>
      <w:r>
        <w:rPr>
          <w:rFonts w:hint="eastAsia"/>
          <w:rtl/>
        </w:rPr>
        <w:t>»</w:t>
      </w:r>
      <w:r>
        <w:rPr>
          <w:rFonts w:hint="cs"/>
          <w:rtl/>
        </w:rPr>
        <w:t>.</w:t>
      </w:r>
    </w:p>
  </w:footnote>
  <w:footnote w:id="3221">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61/أ من (أ).</w:t>
      </w:r>
    </w:p>
  </w:footnote>
  <w:footnote w:id="3222">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38/أ من (د).</w:t>
      </w:r>
    </w:p>
  </w:footnote>
  <w:footnote w:id="3223">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ص330 (ل13/أ)، قاعدة 29.</w:t>
      </w:r>
    </w:p>
  </w:footnote>
  <w:footnote w:id="3224">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w:t>
      </w:r>
      <w:r w:rsidRPr="00786BBC">
        <w:rPr>
          <w:rFonts w:hint="cs"/>
          <w:spacing w:val="-2"/>
          <w:rtl/>
        </w:rPr>
        <w:t>انظر: الهداية وشرحيها : العناية ونتائج الأفكار، 8/253-254؛ الدُّرر شرح الغرر، 2/345-346</w:t>
      </w:r>
      <w:r>
        <w:rPr>
          <w:rFonts w:hint="cs"/>
          <w:rtl/>
        </w:rPr>
        <w:t>.</w:t>
      </w:r>
    </w:p>
  </w:footnote>
  <w:footnote w:id="3225">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فمنها </w:t>
      </w:r>
      <w:r>
        <w:rPr>
          <w:rFonts w:hint="eastAsia"/>
          <w:rtl/>
        </w:rPr>
        <w:t>»</w:t>
      </w:r>
      <w:r>
        <w:rPr>
          <w:rFonts w:hint="cs"/>
          <w:rtl/>
        </w:rPr>
        <w:t>.</w:t>
      </w:r>
    </w:p>
  </w:footnote>
  <w:footnote w:id="3226">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47/أ من (جـ).</w:t>
      </w:r>
    </w:p>
  </w:footnote>
  <w:footnote w:id="322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جميع النسخ. والأولى (تدل) بتأنيث الفعل؛ لأن الفاعل ضمير مستتر يعود على كلمة مؤنثه وهي (الولادة). ويمكن تأويل ما جاء في جميع النسخ من تذكير الفعل بأن يقال : التقدير: يدل وجود الولادة ... فيكون الفعل مذكرًا تبعًا للفاعل -والله أعلم-.</w:t>
      </w:r>
    </w:p>
  </w:footnote>
  <w:footnote w:id="3228">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 : الدّرر شرح الغرر، 1/385؛ وانـظـر : الـهدايـة وشـرحيـها : العناية وفتح القدير، 4/170-171.</w:t>
      </w:r>
    </w:p>
  </w:footnote>
  <w:footnote w:id="3229">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 العناية، 4/171.</w:t>
      </w:r>
    </w:p>
  </w:footnote>
  <w:footnote w:id="3230">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وهو قوله: </w:t>
      </w:r>
      <w:r>
        <w:rPr>
          <w:rFonts w:hint="eastAsia"/>
          <w:rtl/>
        </w:rPr>
        <w:t>«</w:t>
      </w:r>
      <w:r>
        <w:rPr>
          <w:rFonts w:hint="cs"/>
          <w:rtl/>
        </w:rPr>
        <w:t>لأن الشرع كذبه بجعل الولد للفراش</w:t>
      </w:r>
      <w:r>
        <w:rPr>
          <w:rFonts w:hint="eastAsia"/>
          <w:rtl/>
        </w:rPr>
        <w:t>»</w:t>
      </w:r>
      <w:r>
        <w:rPr>
          <w:rFonts w:hint="cs"/>
          <w:rtl/>
        </w:rPr>
        <w:t xml:space="preserve">، وقد صرَّح بذلك صاحب الدّرر -1/385- حيث قال : </w:t>
      </w:r>
      <w:r>
        <w:rPr>
          <w:rFonts w:hint="eastAsia"/>
          <w:rtl/>
        </w:rPr>
        <w:t>«</w:t>
      </w:r>
      <w:r>
        <w:rPr>
          <w:rFonts w:hint="cs"/>
          <w:rtl/>
        </w:rPr>
        <w:t>جاز له أن يراجعها ولا عبرة لإنكاره؛ لما مرّ أن الشرع كذبه</w:t>
      </w:r>
      <w:r>
        <w:rPr>
          <w:rFonts w:hint="eastAsia"/>
          <w:rtl/>
        </w:rPr>
        <w:t>»</w:t>
      </w:r>
      <w:r>
        <w:rPr>
          <w:rFonts w:hint="cs"/>
          <w:rtl/>
        </w:rPr>
        <w:t>.</w:t>
      </w:r>
    </w:p>
  </w:footnote>
  <w:footnote w:id="3231">
    <w:p w:rsidR="00035BE3" w:rsidRDefault="00035BE3" w:rsidP="00C10469">
      <w:pPr>
        <w:pStyle w:val="a8"/>
        <w:bidi/>
        <w:spacing w:line="420" w:lineRule="exact"/>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الدّرر شرح الغرر، 1/385؛ وانظر أيضًا : الهداية وشرحيها : العناية وفتح القدير، 4/170-171.</w:t>
      </w:r>
    </w:p>
  </w:footnote>
  <w:footnote w:id="3232">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منه </w:t>
      </w:r>
      <w:r>
        <w:rPr>
          <w:rFonts w:hint="eastAsia"/>
          <w:rtl/>
        </w:rPr>
        <w:t>»</w:t>
      </w:r>
      <w:r>
        <w:rPr>
          <w:rFonts w:hint="cs"/>
          <w:rtl/>
        </w:rPr>
        <w:t>.</w:t>
      </w:r>
    </w:p>
  </w:footnote>
  <w:footnote w:id="3233">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 العناية، 4/171.</w:t>
      </w:r>
    </w:p>
  </w:footnote>
  <w:footnote w:id="3234">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أي صَدَرَ من أحد العاقدين الإيجاب.</w:t>
      </w:r>
    </w:p>
  </w:footnote>
  <w:footnote w:id="3235">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61/ب من (أ)، مع تكرار (قبل) في بداية اللوحة التي تليها.</w:t>
      </w:r>
    </w:p>
  </w:footnote>
  <w:footnote w:id="3236">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هكذا في جميع النسخ. والأفصح :  (ورجحت).</w:t>
      </w:r>
    </w:p>
  </w:footnote>
  <w:footnote w:id="3237">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بالإيجاب</w:t>
      </w:r>
      <w:r>
        <w:rPr>
          <w:rFonts w:hint="eastAsia"/>
          <w:rtl/>
        </w:rPr>
        <w:t>»</w:t>
      </w:r>
      <w:r>
        <w:rPr>
          <w:rFonts w:hint="cs"/>
          <w:rtl/>
        </w:rPr>
        <w:t>.</w:t>
      </w:r>
    </w:p>
  </w:footnote>
  <w:footnote w:id="3238">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أي : وعمل الدلالة هو إبطالها للإيجاب.</w:t>
      </w:r>
    </w:p>
  </w:footnote>
  <w:footnote w:id="3239">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الـعـناية، 6/256-257؛ الـدّرر شرح الغرر، 1/144. وهذا المثال وجوابه سبق ذكرهما ص 703 (ل52/ب).</w:t>
      </w:r>
    </w:p>
  </w:footnote>
  <w:footnote w:id="324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مفارقته </w:t>
      </w:r>
      <w:r>
        <w:rPr>
          <w:rFonts w:hint="eastAsia"/>
          <w:rtl/>
        </w:rPr>
        <w:t>»</w:t>
      </w:r>
      <w:r>
        <w:rPr>
          <w:rFonts w:hint="cs"/>
          <w:rtl/>
        </w:rPr>
        <w:t>.</w:t>
      </w:r>
    </w:p>
  </w:footnote>
  <w:footnote w:id="3241">
    <w:p w:rsidR="00035BE3" w:rsidRDefault="00035BE3" w:rsidP="00C10469">
      <w:pPr>
        <w:pStyle w:val="a8"/>
        <w:bidi/>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بيّن المؤلف معنى هذه القاعدة عقبها مباشرة، وقد تضمّن شرحه لها عبارة يمكن أن تكون لفظًا آخر للقاعدة، وهي : </w:t>
      </w:r>
      <w:r>
        <w:rPr>
          <w:rFonts w:hint="eastAsia"/>
          <w:spacing w:val="-4"/>
          <w:rtl/>
        </w:rPr>
        <w:t>«</w:t>
      </w:r>
      <w:r>
        <w:rPr>
          <w:rFonts w:hint="cs"/>
          <w:spacing w:val="-4"/>
          <w:rtl/>
        </w:rPr>
        <w:t xml:space="preserve"> من يصحّ إقراره ... يصح استحلافه ... ومن لا يصّح إقراره ... لا يصح استحلافه</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 xml:space="preserve">وهذا اللفظ الثاني مذكور في كتاب متأخر عن المؤلف، وهو قرة عيون الأخيار، 11/600؛ حيث جاء فيه : </w:t>
      </w:r>
      <w:r>
        <w:rPr>
          <w:rFonts w:hint="eastAsia"/>
          <w:rtl/>
        </w:rPr>
        <w:t>«</w:t>
      </w:r>
      <w:r>
        <w:rPr>
          <w:rFonts w:hint="cs"/>
          <w:rtl/>
        </w:rPr>
        <w:t>والحاصل : أنّ كلَّ من يصح إقراره، كالوكيل : يصح استحلافه، بخلاف من لا يصح إقراره، كالوصي</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اتفق نجل ابن عابدين مع المؤلف في التمثيل للأول بالوكيل وللثاني بالوصي، والمعنى: أن الوكيل </w:t>
      </w:r>
      <w:r w:rsidRPr="00253CF2">
        <w:rPr>
          <w:rFonts w:hint="cs"/>
          <w:spacing w:val="-2"/>
          <w:rtl/>
        </w:rPr>
        <w:t xml:space="preserve">يصح إقراره عن موكله، فيصح حلفه عنه، بينما الوصي لا يصح إقراره عن الصغير فلا يصح حلفه </w:t>
      </w:r>
      <w:r>
        <w:rPr>
          <w:rFonts w:hint="cs"/>
          <w:rtl/>
        </w:rPr>
        <w:t>عنه.</w:t>
      </w:r>
    </w:p>
    <w:p w:rsidR="00035BE3" w:rsidRDefault="00035BE3" w:rsidP="00C10469">
      <w:pPr>
        <w:pStyle w:val="a6"/>
        <w:ind w:left="422" w:firstLine="0"/>
        <w:rPr>
          <w:rtl/>
        </w:rPr>
      </w:pPr>
      <w:r>
        <w:rPr>
          <w:rFonts w:hint="cs"/>
          <w:rtl/>
        </w:rPr>
        <w:t xml:space="preserve">ولو عدت إلى اللفظ الأول الذي اختاره المؤلف للقاعدة : فإني لم أجده بذلك اللفظ، فلعلّ المؤلف استنبطه من قول صاحب (الدرر) - 2/337- : </w:t>
      </w:r>
      <w:r>
        <w:rPr>
          <w:rFonts w:hint="eastAsia"/>
          <w:rtl/>
        </w:rPr>
        <w:t>«</w:t>
      </w:r>
      <w:r>
        <w:rPr>
          <w:rFonts w:hint="cs"/>
          <w:rtl/>
        </w:rPr>
        <w:t>ولا يحلف (أي واحد من الوكيل وغيره) إلا إذا صح إقراره</w:t>
      </w:r>
      <w:r>
        <w:rPr>
          <w:rFonts w:hint="eastAsia"/>
          <w:rtl/>
        </w:rPr>
        <w:t>»</w:t>
      </w:r>
      <w:r>
        <w:rPr>
          <w:rFonts w:hint="cs"/>
          <w:rtl/>
        </w:rPr>
        <w:t>، ولا سيّما أن (الدُّرر) يُعدُّ مصدرًا رئيسًا للمؤلف فيما ذكره في شرح القاعدة.</w:t>
      </w:r>
    </w:p>
    <w:p w:rsidR="00035BE3" w:rsidRDefault="00035BE3" w:rsidP="00C10469">
      <w:pPr>
        <w:pStyle w:val="a6"/>
        <w:ind w:left="422" w:firstLine="0"/>
        <w:rPr>
          <w:rtl/>
        </w:rPr>
      </w:pPr>
      <w:r>
        <w:rPr>
          <w:rFonts w:hint="cs"/>
          <w:rtl/>
        </w:rPr>
        <w:t xml:space="preserve">وممّا يؤكد أن كلام صاحب الدّرر هذا متّحد من جهة المعنى مع لفظ القاعدة أن الشرنبلالي في حاشيته على الدّرر -2/337- قال عقب ذلك الكلام : </w:t>
      </w:r>
      <w:r>
        <w:rPr>
          <w:rFonts w:hint="eastAsia"/>
          <w:rtl/>
        </w:rPr>
        <w:t>«</w:t>
      </w:r>
      <w:r>
        <w:rPr>
          <w:rFonts w:hint="cs"/>
          <w:rtl/>
        </w:rPr>
        <w:t>هذا ضابط للتحليف، كما قال في (الفتاوي الصغرى) : كلّ من لو أقر بشيء لا يجوز إقراره : لا يحلف إذا أنكر ...</w:t>
      </w:r>
      <w:r>
        <w:rPr>
          <w:rFonts w:hint="eastAsia"/>
          <w:rtl/>
        </w:rPr>
        <w:t>»</w:t>
      </w:r>
      <w:r>
        <w:rPr>
          <w:rFonts w:hint="cs"/>
          <w:rtl/>
        </w:rPr>
        <w:t>.</w:t>
      </w:r>
    </w:p>
  </w:footnote>
  <w:footnote w:id="324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40/أ من (ب).</w:t>
      </w:r>
    </w:p>
  </w:footnote>
  <w:footnote w:id="324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جحة </w:t>
      </w:r>
      <w:r>
        <w:rPr>
          <w:rFonts w:hint="eastAsia"/>
          <w:rtl/>
        </w:rPr>
        <w:t>»</w:t>
      </w:r>
      <w:r>
        <w:rPr>
          <w:rFonts w:hint="cs"/>
          <w:rtl/>
        </w:rPr>
        <w:t>.</w:t>
      </w:r>
    </w:p>
  </w:footnote>
  <w:footnote w:id="324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38/ب من (د).</w:t>
      </w:r>
    </w:p>
  </w:footnote>
  <w:footnote w:id="324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الدُّرر، وتمام العبارة : </w:t>
      </w:r>
      <w:r>
        <w:rPr>
          <w:rFonts w:hint="eastAsia"/>
          <w:rtl/>
        </w:rPr>
        <w:t>«</w:t>
      </w:r>
      <w:r>
        <w:rPr>
          <w:rFonts w:hint="cs"/>
          <w:rtl/>
        </w:rPr>
        <w:t xml:space="preserve">... فإن الوصي إذا خوصم في عيبٍ بعينٍ </w:t>
      </w:r>
      <w:r>
        <w:rPr>
          <w:rFonts w:hint="cs"/>
          <w:b/>
          <w:bCs/>
          <w:rtl/>
        </w:rPr>
        <w:t>باعه</w:t>
      </w:r>
      <w:r>
        <w:rPr>
          <w:rFonts w:hint="cs"/>
          <w:rtl/>
        </w:rPr>
        <w:t xml:space="preserve"> لا يستحلف ...</w:t>
      </w:r>
      <w:r>
        <w:rPr>
          <w:rFonts w:hint="eastAsia"/>
          <w:rtl/>
        </w:rPr>
        <w:t>»</w:t>
      </w:r>
      <w:r>
        <w:rPr>
          <w:rFonts w:hint="cs"/>
          <w:rtl/>
        </w:rPr>
        <w:t>. فيلحظ أنهما اتفقا على تذكير الضمير في (باعه). والذي يظهر أن الضمير يعود إلى (عين)، فكان من المناسب تأنيثه تبعًا لها.</w:t>
      </w:r>
    </w:p>
  </w:footnote>
  <w:footnote w:id="32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كما مر قبل بضعة سطور في الصفحة السابقة.</w:t>
      </w:r>
    </w:p>
  </w:footnote>
  <w:footnote w:id="32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الوصي </w:t>
      </w:r>
      <w:r>
        <w:rPr>
          <w:rFonts w:hint="eastAsia"/>
          <w:rtl/>
        </w:rPr>
        <w:t>»</w:t>
      </w:r>
      <w:r>
        <w:rPr>
          <w:rFonts w:hint="cs"/>
          <w:rtl/>
        </w:rPr>
        <w:t xml:space="preserve"> : ساقطة من (جـ).</w:t>
      </w:r>
    </w:p>
  </w:footnote>
  <w:footnote w:id="32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الصريح </w:t>
      </w:r>
      <w:r>
        <w:rPr>
          <w:rFonts w:hint="eastAsia"/>
          <w:rtl/>
        </w:rPr>
        <w:t>»</w:t>
      </w:r>
      <w:r>
        <w:rPr>
          <w:rFonts w:hint="cs"/>
          <w:rtl/>
        </w:rPr>
        <w:t>.</w:t>
      </w:r>
    </w:p>
  </w:footnote>
  <w:footnote w:id="32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لكونه </w:t>
      </w:r>
      <w:r>
        <w:rPr>
          <w:rFonts w:hint="eastAsia"/>
          <w:rtl/>
        </w:rPr>
        <w:t>»</w:t>
      </w:r>
      <w:r>
        <w:rPr>
          <w:rFonts w:hint="cs"/>
          <w:rtl/>
        </w:rPr>
        <w:t>.</w:t>
      </w:r>
    </w:p>
  </w:footnote>
  <w:footnote w:id="32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1323DD">
        <w:rPr>
          <w:rFonts w:hint="cs"/>
          <w:spacing w:val="-4"/>
          <w:rtl/>
        </w:rPr>
        <w:t xml:space="preserve">انظر التمثيل بالوكيل والوصي في: الدُّرر شرح الغرر، 2/237-238؛ قرّة عيون الأخيار، </w:t>
      </w:r>
      <w:r>
        <w:rPr>
          <w:rFonts w:hint="cs"/>
          <w:rtl/>
        </w:rPr>
        <w:t>11/600- وقد سبق ذكر نصّ كلامه عند توثيق القاعدة-؛ وانظر في كون اليمين لرجاء النكول: الهداية وشرحيها: العناية ونتائج الأفكار، 8/185.</w:t>
      </w:r>
    </w:p>
  </w:footnote>
  <w:footnote w:id="32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2/337. والواقع أن العبارة التي سينقلها عنه من المتن المشروح وهو (الغُرر) وليست من الشَّرح وهو (الدّرر)؛ لهذا لعلّ المؤلف أراد بِـ (صاحب الدّرر) التعريف بالقائل فحسب.</w:t>
      </w:r>
    </w:p>
  </w:footnote>
  <w:footnote w:id="32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يجري</w:t>
      </w:r>
      <w:r>
        <w:rPr>
          <w:rFonts w:hint="eastAsia"/>
          <w:rtl/>
        </w:rPr>
        <w:t>»</w:t>
      </w:r>
      <w:r>
        <w:rPr>
          <w:rFonts w:hint="cs"/>
          <w:rtl/>
        </w:rPr>
        <w:t xml:space="preserve">، وفي (د) : </w:t>
      </w:r>
      <w:r>
        <w:rPr>
          <w:rFonts w:hint="eastAsia"/>
          <w:rtl/>
        </w:rPr>
        <w:t>«</w:t>
      </w:r>
      <w:r>
        <w:rPr>
          <w:rFonts w:hint="cs"/>
          <w:rtl/>
        </w:rPr>
        <w:t>تجرر</w:t>
      </w:r>
      <w:r>
        <w:rPr>
          <w:rFonts w:hint="eastAsia"/>
          <w:rtl/>
        </w:rPr>
        <w:t>»</w:t>
      </w:r>
      <w:r>
        <w:rPr>
          <w:rFonts w:hint="cs"/>
          <w:rtl/>
        </w:rPr>
        <w:t>. والصحيح ما تمَّ إثباته من (ب)، وهو الموافق للغرر.</w:t>
      </w:r>
    </w:p>
  </w:footnote>
  <w:footnote w:id="32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سيأتي الحديث عنها استقلالاً، ص1133 (ل109/أ)، قاعدة 251.</w:t>
      </w:r>
    </w:p>
  </w:footnote>
  <w:footnote w:id="32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داب</w:t>
      </w:r>
      <w:r>
        <w:rPr>
          <w:rFonts w:hint="eastAsia"/>
          <w:rtl/>
        </w:rPr>
        <w:t>»</w:t>
      </w:r>
      <w:r>
        <w:rPr>
          <w:rFonts w:hint="cs"/>
          <w:rtl/>
        </w:rPr>
        <w:t xml:space="preserve">. وقد جاء في (الغرر) : </w:t>
      </w:r>
      <w:r>
        <w:rPr>
          <w:rFonts w:hint="eastAsia"/>
          <w:rtl/>
        </w:rPr>
        <w:t>«</w:t>
      </w:r>
      <w:r>
        <w:rPr>
          <w:rFonts w:hint="cs"/>
          <w:rtl/>
        </w:rPr>
        <w:t>وأبو الصغير</w:t>
      </w:r>
      <w:r>
        <w:rPr>
          <w:rFonts w:hint="eastAsia"/>
          <w:rtl/>
        </w:rPr>
        <w:t>»</w:t>
      </w:r>
      <w:r>
        <w:rPr>
          <w:rFonts w:hint="cs"/>
          <w:rtl/>
        </w:rPr>
        <w:t>. وهذه اللغة المشهورة في (أب)، أما اللغة التي استعملها المؤلف فهي جائزة إلا أنها نادرة، وقد سبق أن استعملها المؤلف أيضًا ص196 (ل1/ب)، فانظره وما جاء في التعليق عليه إن شئت.</w:t>
      </w:r>
    </w:p>
    <w:p w:rsidR="00035BE3" w:rsidRDefault="00035BE3" w:rsidP="00C10469">
      <w:pPr>
        <w:pStyle w:val="a6"/>
        <w:ind w:left="422" w:firstLine="0"/>
        <w:rPr>
          <w:rtl/>
        </w:rPr>
      </w:pPr>
      <w:r>
        <w:rPr>
          <w:rFonts w:hint="cs"/>
          <w:rtl/>
        </w:rPr>
        <w:t>وبناء على هذا فلو نظرت إلى (أبو) في العبارة المعزوة إلى صاحب (الدّرر)، لوجدتها معطوفة على (فالوكيل) وهو مبتدأ مرفوع، وقد تحققت في (أبو) شروط الإعراب بالحروف (وهي كونها مفردة، مكبَّرة، مضافة، وإضافتها إلى غير ياء المتكلم) فكان حقها الرفع بالواو على اللغة المشهورة. وانظر في شروط إعراب الأسماء الستة بالحروف : شرح ابن عقيل، 1/55.</w:t>
      </w:r>
    </w:p>
  </w:footnote>
  <w:footnote w:id="32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47/ب من (جـ).</w:t>
      </w:r>
    </w:p>
  </w:footnote>
  <w:footnote w:id="32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المراد بالأصيل</w:t>
      </w:r>
      <w:r>
        <w:rPr>
          <w:rFonts w:hint="cs"/>
          <w:rtl/>
        </w:rPr>
        <w:t xml:space="preserve"> : هو من ناب عنه كلٌّ من الوكيل والوصي والمتولي وأبو الصغير.</w:t>
      </w:r>
    </w:p>
  </w:footnote>
  <w:footnote w:id="32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ولو قال : </w:t>
      </w:r>
      <w:r>
        <w:rPr>
          <w:rFonts w:hint="eastAsia"/>
          <w:rtl/>
        </w:rPr>
        <w:t>«</w:t>
      </w:r>
      <w:r>
        <w:rPr>
          <w:rFonts w:hint="cs"/>
          <w:rtl/>
        </w:rPr>
        <w:t xml:space="preserve"> وهذا ممّا لا يكاد يصح ...</w:t>
      </w:r>
      <w:r>
        <w:rPr>
          <w:rFonts w:hint="eastAsia"/>
          <w:rtl/>
        </w:rPr>
        <w:t>»</w:t>
      </w:r>
      <w:r>
        <w:rPr>
          <w:rFonts w:hint="cs"/>
          <w:rtl/>
        </w:rPr>
        <w:t xml:space="preserve"> لكان أحسن.</w:t>
      </w:r>
      <w:r>
        <w:rPr>
          <w:rFonts w:hint="cs"/>
          <w:rtl/>
        </w:rPr>
        <w:tab/>
      </w:r>
      <w:r>
        <w:rPr>
          <w:rFonts w:hint="cs"/>
          <w:rtl/>
        </w:rPr>
        <w:tab/>
        <w:t xml:space="preserve"> </w:t>
      </w:r>
    </w:p>
    <w:p w:rsidR="00035BE3" w:rsidRDefault="00035BE3" w:rsidP="00C10469">
      <w:pPr>
        <w:pStyle w:val="a6"/>
        <w:ind w:left="422" w:firstLine="0"/>
        <w:rPr>
          <w:spacing w:val="-4"/>
          <w:rtl/>
        </w:rPr>
      </w:pPr>
      <w:r>
        <w:rPr>
          <w:rFonts w:hint="cs"/>
          <w:spacing w:val="-4"/>
          <w:rtl/>
        </w:rPr>
        <w:t xml:space="preserve">علمًا بأن هذه الفقرة متصلة ببداية الفقرة السابقة التي صدَّرها بقوله : </w:t>
      </w:r>
      <w:r>
        <w:rPr>
          <w:rFonts w:hint="eastAsia"/>
          <w:spacing w:val="-4"/>
          <w:rtl/>
        </w:rPr>
        <w:t>«</w:t>
      </w:r>
      <w:r>
        <w:rPr>
          <w:rFonts w:hint="cs"/>
          <w:spacing w:val="-4"/>
          <w:rtl/>
        </w:rPr>
        <w:t>وجعل صاحب الدرر ...</w:t>
      </w:r>
      <w:r>
        <w:rPr>
          <w:rFonts w:hint="eastAsia"/>
          <w:spacing w:val="-4"/>
          <w:rtl/>
        </w:rPr>
        <w:t>»</w:t>
      </w:r>
      <w:r>
        <w:rPr>
          <w:rFonts w:hint="cs"/>
          <w:spacing w:val="-4"/>
          <w:rtl/>
        </w:rPr>
        <w:t>.</w:t>
      </w:r>
    </w:p>
  </w:footnote>
  <w:footnote w:id="325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لأنه يفهم</w:t>
      </w:r>
      <w:r>
        <w:rPr>
          <w:rFonts w:hint="eastAsia"/>
          <w:rtl/>
        </w:rPr>
        <w:t>»</w:t>
      </w:r>
      <w:r>
        <w:rPr>
          <w:rFonts w:hint="cs"/>
          <w:rtl/>
        </w:rPr>
        <w:t xml:space="preserve"> : ساقطة من (د).</w:t>
      </w:r>
    </w:p>
  </w:footnote>
  <w:footnote w:id="325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عن </w:t>
      </w:r>
      <w:r>
        <w:rPr>
          <w:rFonts w:hint="eastAsia"/>
          <w:rtl/>
        </w:rPr>
        <w:t>»</w:t>
      </w:r>
      <w:r>
        <w:rPr>
          <w:rFonts w:hint="cs"/>
          <w:rtl/>
        </w:rPr>
        <w:t>.</w:t>
      </w:r>
    </w:p>
  </w:footnote>
  <w:footnote w:id="326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62/أ من (أ).</w:t>
      </w:r>
    </w:p>
  </w:footnote>
  <w:footnote w:id="326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هذا اعتراض من المؤلف على ما نقله صاحب (الدّرر)، و</w:t>
      </w:r>
      <w:r>
        <w:rPr>
          <w:rFonts w:hint="cs"/>
          <w:b/>
          <w:bCs/>
          <w:rtl/>
        </w:rPr>
        <w:t>حاصله</w:t>
      </w:r>
      <w:r>
        <w:rPr>
          <w:rFonts w:hint="cs"/>
          <w:rtl/>
        </w:rPr>
        <w:t xml:space="preserve"> : أن المؤلف فهم من كلام صاحب (الدّرر) أن الوصي والوكيل قد يصح إقرارهما وقد لا يصح.</w:t>
      </w:r>
    </w:p>
    <w:p w:rsidR="00035BE3" w:rsidRDefault="00035BE3" w:rsidP="00C10469">
      <w:pPr>
        <w:pStyle w:val="a6"/>
        <w:ind w:left="422" w:firstLine="0"/>
        <w:rPr>
          <w:rtl/>
        </w:rPr>
      </w:pPr>
      <w:r>
        <w:rPr>
          <w:rFonts w:hint="cs"/>
          <w:rtl/>
        </w:rPr>
        <w:t>ثم بيّن أن هذا المفهوم ليس بصحيح في الوصي؛ إذا الوصي لا يصح إقراره عن الصغير مطلقًا؛ لهذا لا يحلف عنه أيضًا.</w:t>
      </w:r>
    </w:p>
    <w:p w:rsidR="00035BE3" w:rsidRDefault="00035BE3" w:rsidP="00C10469">
      <w:pPr>
        <w:pStyle w:val="a6"/>
        <w:ind w:left="422" w:firstLine="0"/>
        <w:rPr>
          <w:rtl/>
        </w:rPr>
      </w:pPr>
      <w:r>
        <w:rPr>
          <w:rFonts w:hint="cs"/>
          <w:rtl/>
        </w:rPr>
        <w:t xml:space="preserve">ويمكن أن يجاب عن هذا الاعتراض بأن يُقال : إنْ سُلِّم بأن هذا هو مفهوم كلام صاحب الدّرر، فإنه قد صرّح عقبه مباشرة بأن </w:t>
      </w:r>
      <w:r>
        <w:rPr>
          <w:rFonts w:hint="eastAsia"/>
          <w:rtl/>
        </w:rPr>
        <w:t>«</w:t>
      </w:r>
      <w:r>
        <w:rPr>
          <w:rFonts w:hint="cs"/>
          <w:rtl/>
        </w:rPr>
        <w:t xml:space="preserve">الوصي إذا خوصم في عيب بعين باعه للصغير لا يستحلف ... [إلى أن قال:] </w:t>
      </w:r>
      <w:r>
        <w:rPr>
          <w:rFonts w:hint="cs"/>
          <w:b/>
          <w:bCs/>
          <w:rtl/>
        </w:rPr>
        <w:t>ولو أقر الوصي صريحًا لا يصح؛ فلذا لا يُستحلف</w:t>
      </w:r>
      <w:r>
        <w:rPr>
          <w:rFonts w:hint="cs"/>
          <w:rtl/>
        </w:rPr>
        <w:t xml:space="preserve"> ...</w:t>
      </w:r>
      <w:r>
        <w:rPr>
          <w:rFonts w:hint="eastAsia"/>
          <w:rtl/>
        </w:rPr>
        <w:t>»</w:t>
      </w:r>
      <w:r>
        <w:rPr>
          <w:rFonts w:hint="cs"/>
          <w:rtl/>
        </w:rPr>
        <w:t>.</w:t>
      </w:r>
    </w:p>
    <w:p w:rsidR="00035BE3" w:rsidRDefault="00035BE3" w:rsidP="00C10469">
      <w:pPr>
        <w:pStyle w:val="a6"/>
        <w:ind w:left="422" w:firstLine="0"/>
        <w:rPr>
          <w:rtl/>
        </w:rPr>
      </w:pPr>
      <w:r>
        <w:rPr>
          <w:rFonts w:hint="cs"/>
          <w:rtl/>
        </w:rPr>
        <w:t>والمؤلف نفسه سبق أن قرّر هذا المعنى واستفاده منه! -انظر ص791 (ل62/أ)- ومن المعلوم أنه إذا تعارض المنطوق والمفهوم فإنه يقدم المنطوق.</w:t>
      </w:r>
    </w:p>
    <w:p w:rsidR="00035BE3" w:rsidRDefault="00035BE3" w:rsidP="00C10469">
      <w:pPr>
        <w:pStyle w:val="a6"/>
        <w:ind w:left="420" w:firstLine="0"/>
        <w:rPr>
          <w:rtl/>
        </w:rPr>
      </w:pPr>
      <w:r>
        <w:rPr>
          <w:rFonts w:hint="cs"/>
          <w:rtl/>
        </w:rPr>
        <w:t>انظر في تقديم المنطوق على المفهوم : الإحكام للآمدي، 4/264.</w:t>
      </w:r>
    </w:p>
  </w:footnote>
  <w:footnote w:id="3262">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يجري</w:t>
      </w:r>
      <w:r>
        <w:rPr>
          <w:rFonts w:hint="eastAsia"/>
          <w:rtl/>
        </w:rPr>
        <w:t>»</w:t>
      </w:r>
      <w:r>
        <w:rPr>
          <w:rFonts w:hint="cs"/>
          <w:rtl/>
        </w:rPr>
        <w:t>. والصحيح ما تمَّ إثباته من (ب) و(د)، وهو الموافق للغرر.</w:t>
      </w:r>
    </w:p>
  </w:footnote>
  <w:footnote w:id="3263">
    <w:p w:rsidR="00035BE3" w:rsidRDefault="00035BE3" w:rsidP="00C10469">
      <w:pPr>
        <w:pStyle w:val="a8"/>
        <w:bidi/>
        <w:ind w:left="420" w:right="0"/>
        <w:rPr>
          <w:rtl/>
        </w:rPr>
      </w:pPr>
      <w:r>
        <w:rPr>
          <w:vertAlign w:val="superscript"/>
          <w:rtl/>
        </w:rPr>
        <w:t>(</w:t>
      </w:r>
      <w:r>
        <w:rPr>
          <w:rStyle w:val="a7"/>
        </w:rPr>
        <w:footnoteRef/>
      </w:r>
      <w:r>
        <w:rPr>
          <w:rFonts w:hint="cs"/>
          <w:vertAlign w:val="superscript"/>
          <w:rtl/>
        </w:rPr>
        <w:t>)</w:t>
      </w:r>
      <w:r>
        <w:rPr>
          <w:rFonts w:hint="cs"/>
          <w:rtl/>
        </w:rPr>
        <w:t xml:space="preserve">  ل90/ب؛ حيث جاء فيها: </w:t>
      </w:r>
      <w:r>
        <w:rPr>
          <w:rFonts w:hint="eastAsia"/>
          <w:rtl/>
        </w:rPr>
        <w:t>«</w:t>
      </w:r>
      <w:r>
        <w:rPr>
          <w:rFonts w:hint="cs"/>
          <w:rtl/>
        </w:rPr>
        <w:t>لأن الوكيل لو حلف فإنما يحلف بطريق النيابة عن الموكِّل، والنيابة لا تجري في التحليف ...</w:t>
      </w:r>
      <w:r>
        <w:rPr>
          <w:rFonts w:hint="eastAsia"/>
          <w:rtl/>
        </w:rPr>
        <w:t>»</w:t>
      </w:r>
      <w:r>
        <w:rPr>
          <w:rFonts w:hint="cs"/>
          <w:rtl/>
        </w:rPr>
        <w:t>.</w:t>
      </w:r>
    </w:p>
    <w:p w:rsidR="00035BE3" w:rsidRDefault="00035BE3" w:rsidP="00C10469">
      <w:pPr>
        <w:pStyle w:val="a6"/>
        <w:ind w:left="420" w:firstLine="0"/>
        <w:rPr>
          <w:rtl/>
        </w:rPr>
      </w:pPr>
      <w:r>
        <w:rPr>
          <w:rFonts w:hint="cs"/>
          <w:b/>
          <w:bCs/>
          <w:rtl/>
        </w:rPr>
        <w:t>والعمادية</w:t>
      </w:r>
      <w:r>
        <w:rPr>
          <w:rFonts w:hint="cs"/>
          <w:rtl/>
        </w:rPr>
        <w:t xml:space="preserve"> : كتاب في فروع الحنفية، مشهور بـ (الفُصول العمادية)، وقد سماه مؤلفه : (فصول الأحكام لأصول الأحكام)، ورتبه على أربعين فصلاً في القضاء والمعاملات.</w:t>
      </w:r>
    </w:p>
    <w:p w:rsidR="00035BE3" w:rsidRDefault="00035BE3" w:rsidP="00C10469">
      <w:pPr>
        <w:pStyle w:val="a6"/>
        <w:ind w:left="420" w:firstLine="0"/>
        <w:rPr>
          <w:rtl/>
        </w:rPr>
      </w:pPr>
      <w:r>
        <w:rPr>
          <w:rFonts w:hint="cs"/>
          <w:rtl/>
        </w:rPr>
        <w:t xml:space="preserve">وهو من الكتب النفيسة في بابها عند الحنفية، يقول صاحب (الفوائد البهية)، ص94 : </w:t>
      </w:r>
      <w:r>
        <w:rPr>
          <w:rFonts w:hint="eastAsia"/>
          <w:rtl/>
        </w:rPr>
        <w:t>«</w:t>
      </w:r>
      <w:r>
        <w:rPr>
          <w:rFonts w:hint="cs"/>
          <w:rtl/>
        </w:rPr>
        <w:t>قد طالعت الفصول العمادية فوجدته مجموعًا نفيسًا، شاملاً لأحكام متفرقة ومتضمِّنًا لفوائد ملتقطة</w:t>
      </w:r>
      <w:r>
        <w:rPr>
          <w:rFonts w:hint="eastAsia"/>
          <w:rtl/>
        </w:rPr>
        <w:t>»</w:t>
      </w:r>
      <w:r>
        <w:rPr>
          <w:rFonts w:hint="cs"/>
          <w:rtl/>
        </w:rPr>
        <w:t>.</w:t>
      </w:r>
    </w:p>
    <w:p w:rsidR="00035BE3" w:rsidRDefault="00035BE3" w:rsidP="00C10469">
      <w:pPr>
        <w:pStyle w:val="a6"/>
        <w:ind w:left="422" w:firstLine="0"/>
        <w:rPr>
          <w:rtl/>
        </w:rPr>
      </w:pPr>
      <w:r>
        <w:rPr>
          <w:rFonts w:hint="cs"/>
          <w:b/>
          <w:bCs/>
          <w:rtl/>
        </w:rPr>
        <w:t>أما مؤلف هذا الكتاب</w:t>
      </w:r>
      <w:r>
        <w:rPr>
          <w:rFonts w:hint="cs"/>
          <w:rtl/>
        </w:rPr>
        <w:t xml:space="preserve"> : فلم تتَّفق عليه كلمة الحنفية :</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فقد ذكر صاحب (كشف الظنون) - 2/1270-1271- أنّه جمال الدين بن عماد الدين الحنفي، ثم قال : </w:t>
      </w:r>
      <w:r>
        <w:rPr>
          <w:rFonts w:hint="eastAsia"/>
          <w:rtl/>
        </w:rPr>
        <w:t>«</w:t>
      </w:r>
      <w:r>
        <w:rPr>
          <w:rFonts w:hint="cs"/>
          <w:rtl/>
        </w:rPr>
        <w:t>وقيل : هو أبو الفتح، عبد الرحيم بن أبي بكر بن عبد الجليل المرغيناني السمرقندي. قال المولى محمد بن إلياس المفتي جوى زاده : مؤلف الفصول هو أبو الفتح بن أبي بكر بن عبد الجليل المرغيناني السمرقندي، كما ذكره في آخر كتابه وقال : نجز في أواخر شعبان سنة 651</w:t>
      </w:r>
      <w:r>
        <w:rPr>
          <w:rFonts w:hint="eastAsia"/>
          <w:rtl/>
        </w:rPr>
        <w:t>»</w:t>
      </w:r>
      <w:r>
        <w:rPr>
          <w:rFonts w:hint="cs"/>
          <w:rtl/>
        </w:rPr>
        <w:t>.</w:t>
      </w:r>
    </w:p>
    <w:p w:rsidR="00035BE3" w:rsidRDefault="00035BE3" w:rsidP="00C10469">
      <w:pPr>
        <w:pStyle w:val="a6"/>
        <w:ind w:left="422" w:firstLine="0"/>
        <w:rPr>
          <w:rtl/>
        </w:rPr>
      </w:pPr>
      <w:r>
        <w:rPr>
          <w:rFonts w:hint="cs"/>
          <w:rtl/>
        </w:rPr>
        <w:t>ويُلحظ أن صاحب (كشف الظنون) نسب الكتاب بصيغة الجزم إلى جمال الدين بن عماد الدين، ثم قال بصيغة التمريض : وقيل : هو أبو الفتح عبد الرحيم بن أبي بكر ... ثم عزا القول الثاني إلى قائله وهو المفتي جوى زاده.</w:t>
      </w:r>
    </w:p>
    <w:p w:rsidR="00035BE3" w:rsidRDefault="00035BE3" w:rsidP="00C10469">
      <w:pPr>
        <w:pStyle w:val="a6"/>
        <w:ind w:left="422" w:firstLine="0"/>
        <w:rPr>
          <w:rtl/>
        </w:rPr>
      </w:pPr>
      <w:r>
        <w:rPr>
          <w:rFonts w:hint="cs"/>
          <w:rtl/>
        </w:rPr>
        <w:t>وللتحقق من اسم المؤلف تمَّ الرجوع إلى مجموعة من كتب التراجم وفهارس المخطوطات :</w:t>
      </w:r>
    </w:p>
    <w:p w:rsidR="00035BE3" w:rsidRDefault="00035BE3" w:rsidP="00C10469">
      <w:pPr>
        <w:pStyle w:val="a6"/>
        <w:ind w:left="422" w:firstLine="0"/>
        <w:rPr>
          <w:rtl/>
        </w:rPr>
      </w:pPr>
      <w:r>
        <w:rPr>
          <w:rFonts w:hint="cs"/>
          <w:b/>
          <w:bCs/>
          <w:rtl/>
        </w:rPr>
        <w:t>أما كتب التراجم</w:t>
      </w:r>
      <w:r>
        <w:rPr>
          <w:rFonts w:hint="cs"/>
          <w:rtl/>
        </w:rPr>
        <w:t xml:space="preserve"> : فلم أظفر - فيما وقفت عليه منها- بترجمة لجمال الدين بن عماد الدين! ولعلّ من أسباب ذلك كون جمال الدين لقبًا له وليس اسمًا، وكذلك عماد الدين لقب لأبيه.</w:t>
      </w:r>
    </w:p>
    <w:p w:rsidR="00035BE3" w:rsidRDefault="00035BE3" w:rsidP="00C10469">
      <w:pPr>
        <w:pStyle w:val="a6"/>
        <w:ind w:left="422" w:firstLine="0"/>
        <w:rPr>
          <w:rtl/>
        </w:rPr>
      </w:pPr>
      <w:r>
        <w:rPr>
          <w:rFonts w:hint="cs"/>
          <w:rtl/>
        </w:rPr>
        <w:t>وعلى العكس من ذلك</w:t>
      </w:r>
      <w:r>
        <w:rPr>
          <w:rFonts w:hint="cs"/>
          <w:b/>
          <w:bCs/>
          <w:rtl/>
        </w:rPr>
        <w:t xml:space="preserve"> </w:t>
      </w:r>
      <w:r>
        <w:rPr>
          <w:rFonts w:hint="cs"/>
          <w:rtl/>
        </w:rPr>
        <w:t>: عبد الرحيم بن أبي بكر، فقد تم الوقوف على ترجمة له في الكتب الآتية :</w:t>
      </w:r>
    </w:p>
    <w:p w:rsidR="00035BE3" w:rsidRDefault="00035BE3" w:rsidP="00C10469">
      <w:pPr>
        <w:pStyle w:val="a6"/>
        <w:ind w:left="422" w:firstLine="0"/>
        <w:rPr>
          <w:rtl/>
        </w:rPr>
      </w:pPr>
      <w:r>
        <w:rPr>
          <w:rFonts w:hint="cs"/>
          <w:rtl/>
        </w:rPr>
        <w:t>الجواهر المضية، 4/74 -وذلك في حاشية كانت على الأصل وليست من صلب الكتاب، وقد ذكرها المحقق في الهامش-؛ الفوائد البهية، ص93-94؛ هدية العارفين، 1/560؛ الأعلام، 3/344؛ معجم المؤلفين، 2/129، رقم 7097.</w:t>
      </w:r>
    </w:p>
    <w:p w:rsidR="00035BE3" w:rsidRDefault="00035BE3" w:rsidP="00C10469">
      <w:pPr>
        <w:pStyle w:val="a6"/>
        <w:ind w:left="422" w:firstLine="0"/>
        <w:rPr>
          <w:rtl/>
        </w:rPr>
      </w:pPr>
      <w:r>
        <w:rPr>
          <w:rFonts w:hint="cs"/>
          <w:rtl/>
        </w:rPr>
        <w:t>وجميع هذه الكتب اتفقت على نسبة (الفصول) إليه، كما أنها لم تختلف في أن اسـمه عبد الرحيم ابن أبي بكر المرغيناني، إلا أنها اختلفت فيما عدا ذلك من نسبه.</w:t>
      </w:r>
    </w:p>
    <w:p w:rsidR="00035BE3" w:rsidRPr="003E5839" w:rsidRDefault="00035BE3" w:rsidP="00C10469">
      <w:pPr>
        <w:pStyle w:val="a6"/>
        <w:ind w:left="422" w:firstLine="0"/>
        <w:rPr>
          <w:spacing w:val="-2"/>
          <w:rtl/>
        </w:rPr>
      </w:pPr>
      <w:r>
        <w:rPr>
          <w:rFonts w:hint="cs"/>
          <w:rtl/>
        </w:rPr>
        <w:t xml:space="preserve">يضاف إلى ذلك أن صاحب (الفوائد) استشكل أمرًا، وبيانه: أن صاحب (الفصول العمادية) كثيرًا ما يذكر صاحب (الهداية) بلفظ: جدي برهان الدين المرغيناني، وابنه (عمر) بلفظ: عمي نظام الدين. ويلحظ أن صاحب الهداية اسمه : علي بن أبي بكر بن عبد الجليل المرغيناني [انظر: الـجواهر </w:t>
      </w:r>
      <w:r w:rsidRPr="003E5839">
        <w:rPr>
          <w:rFonts w:hint="cs"/>
          <w:spacing w:val="-2"/>
          <w:rtl/>
        </w:rPr>
        <w:t>الـمضية، 2/627، رقم 1030؛ تاج التراجم، ص148، رقم 166؛ الفوائد البهية، ص94، 141].</w:t>
      </w:r>
    </w:p>
    <w:p w:rsidR="00035BE3" w:rsidRDefault="00035BE3" w:rsidP="00C10469">
      <w:pPr>
        <w:pStyle w:val="a6"/>
        <w:ind w:left="422" w:firstLine="0"/>
        <w:rPr>
          <w:rtl/>
        </w:rPr>
      </w:pPr>
      <w:r>
        <w:rPr>
          <w:rFonts w:hint="cs"/>
          <w:rtl/>
        </w:rPr>
        <w:t>وقد صرح صاحب (الفصول العمادية) في آخر كتابه بأن اسمه أبو الفتح بن أبي بكر بن عبد الجليل ابن خليل المرغيناني مَنْسَبًا، والسمرقندي منصبًا.</w:t>
      </w:r>
    </w:p>
    <w:p w:rsidR="00035BE3" w:rsidRDefault="00035BE3" w:rsidP="00C10469">
      <w:pPr>
        <w:pStyle w:val="a6"/>
        <w:ind w:left="422" w:firstLine="0"/>
        <w:rPr>
          <w:spacing w:val="-8"/>
          <w:rtl/>
        </w:rPr>
      </w:pPr>
      <w:r>
        <w:rPr>
          <w:rFonts w:hint="cs"/>
          <w:spacing w:val="-8"/>
          <w:rtl/>
        </w:rPr>
        <w:t>وموضع الإشكال : أنه بناء على هذا يكون صاحب (الفصول العمادية) أخًا لصاحب (الهداية)؛ إذْ إن عبد الرحيم وعلي كليهما ابنا أبي بكر بن عبد الجليل، فكيف يكون صاحب (الهداية) جدًّا لصاحب (الفصول) ؟!.</w:t>
      </w:r>
    </w:p>
    <w:p w:rsidR="00035BE3" w:rsidRDefault="00035BE3" w:rsidP="00C10469">
      <w:pPr>
        <w:pStyle w:val="a6"/>
        <w:ind w:left="422" w:firstLine="0"/>
        <w:rPr>
          <w:rtl/>
        </w:rPr>
      </w:pPr>
      <w:r>
        <w:rPr>
          <w:rFonts w:hint="cs"/>
          <w:rtl/>
        </w:rPr>
        <w:t>وقد دفع صاحب (الفوائد) هذا الإشكال بأحد احتمالين :</w:t>
      </w:r>
    </w:p>
    <w:p w:rsidR="00035BE3" w:rsidRDefault="00035BE3" w:rsidP="00C10469">
      <w:pPr>
        <w:pStyle w:val="a6"/>
        <w:ind w:left="422" w:firstLine="0"/>
        <w:rPr>
          <w:rtl/>
        </w:rPr>
      </w:pPr>
      <w:r>
        <w:rPr>
          <w:rFonts w:hint="cs"/>
          <w:b/>
          <w:bCs/>
          <w:rtl/>
        </w:rPr>
        <w:t>الأول</w:t>
      </w:r>
      <w:r>
        <w:rPr>
          <w:rFonts w:hint="cs"/>
          <w:rtl/>
        </w:rPr>
        <w:t xml:space="preserve"> : </w:t>
      </w:r>
      <w:r>
        <w:rPr>
          <w:rFonts w:hint="eastAsia"/>
          <w:rtl/>
        </w:rPr>
        <w:t>«</w:t>
      </w:r>
      <w:r>
        <w:rPr>
          <w:rFonts w:hint="cs"/>
          <w:rtl/>
        </w:rPr>
        <w:t>أنه سقط شيء من العبارة</w:t>
      </w:r>
      <w:r>
        <w:rPr>
          <w:rFonts w:hint="eastAsia"/>
          <w:rtl/>
        </w:rPr>
        <w:t>»</w:t>
      </w:r>
      <w:r>
        <w:rPr>
          <w:rFonts w:hint="cs"/>
          <w:rtl/>
        </w:rPr>
        <w:t>- أي أن هذا السقط حصل سهوًا من الناسخ، واللفظ الساقط هو (ابن علي)-.</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الثاني</w:t>
      </w:r>
      <w:r>
        <w:rPr>
          <w:rFonts w:hint="cs"/>
          <w:rtl/>
        </w:rPr>
        <w:t xml:space="preserve">: أنْ </w:t>
      </w:r>
      <w:r>
        <w:rPr>
          <w:rFonts w:hint="eastAsia"/>
          <w:rtl/>
        </w:rPr>
        <w:t>«</w:t>
      </w:r>
      <w:r>
        <w:rPr>
          <w:rFonts w:hint="cs"/>
          <w:rtl/>
        </w:rPr>
        <w:t>يكون المراد بأبي بكر هو عماد الدين بن صاحب (الهداية) لا أبوه، وتكون نسبته إلى أبي جدّه</w:t>
      </w:r>
      <w:r>
        <w:rPr>
          <w:rFonts w:hint="eastAsia"/>
          <w:rtl/>
        </w:rPr>
        <w:t>»</w:t>
      </w:r>
      <w:r>
        <w:rPr>
          <w:rFonts w:hint="cs"/>
          <w:rtl/>
        </w:rPr>
        <w:t>- كذا في (الفوائد) ، ولعل الأدقّ : (جدّ جدِّه)؛ لأن اسمه حينئذ هو : عبد الرحيم بن عماد الدين أبي بكر بن علي (صاحب الهداية) ابن أبي بكر بن عبد الجليل. فيكون عبد الجليل جدَّ جدِّه-.</w:t>
      </w:r>
    </w:p>
    <w:p w:rsidR="00035BE3" w:rsidRDefault="00035BE3" w:rsidP="00C10469">
      <w:pPr>
        <w:pStyle w:val="a6"/>
        <w:ind w:left="422" w:firstLine="0"/>
        <w:rPr>
          <w:rtl/>
        </w:rPr>
      </w:pPr>
      <w:r>
        <w:rPr>
          <w:rFonts w:hint="cs"/>
          <w:rtl/>
        </w:rPr>
        <w:t>أقول: لاشك أن الاحتمال الثاني ليس بعيدًا؛ لأن حذف بعض الأجداد عند سوق النسب أمر دارج قديمًا وحديثًا؛ بل كثيرًا ما يشتهر الإنسان باسمه واسم جدٍّ من أجداده فقط، فهاهو إمام أهل السنة والجماعة، أحمد بن محمد بن حنبل (ت241هـ) مشهور بأحمد بن حنبل، وهاهو سماحة الوالد الشيخ عبد العزيز بن عبد الله آل باز (ت1420هـ) مشهور بابن باز، وغيرهم كثير.</w:t>
      </w:r>
    </w:p>
    <w:p w:rsidR="00035BE3" w:rsidRDefault="00035BE3" w:rsidP="00C10469">
      <w:pPr>
        <w:pStyle w:val="a6"/>
        <w:ind w:left="422" w:firstLine="0"/>
        <w:rPr>
          <w:rtl/>
        </w:rPr>
      </w:pPr>
      <w:r>
        <w:rPr>
          <w:rFonts w:hint="cs"/>
          <w:rtl/>
        </w:rPr>
        <w:t>وإذا صح هذا الاحتمال ففيه ما يبرر تسمية الكتاب بِـ (الفصول العمادية)؛ وذلك نسبة لأبي المؤلف، وهو عماد الدين أبو بكر ابن صاحب (الهداية).</w:t>
      </w:r>
    </w:p>
    <w:p w:rsidR="00035BE3" w:rsidRDefault="00035BE3" w:rsidP="00C10469">
      <w:pPr>
        <w:pStyle w:val="a6"/>
        <w:ind w:left="422" w:firstLine="0"/>
        <w:rPr>
          <w:rtl/>
        </w:rPr>
      </w:pPr>
      <w:r>
        <w:rPr>
          <w:rFonts w:hint="cs"/>
          <w:rtl/>
        </w:rPr>
        <w:t>هذا ما يتعلق بنتيجة الرجوع إلى عددٍ من كتب التراجم.</w:t>
      </w:r>
    </w:p>
    <w:p w:rsidR="00035BE3" w:rsidRDefault="00035BE3" w:rsidP="00C10469">
      <w:pPr>
        <w:pStyle w:val="a6"/>
        <w:ind w:left="422" w:firstLine="0"/>
        <w:rPr>
          <w:rtl/>
        </w:rPr>
      </w:pPr>
      <w:r>
        <w:rPr>
          <w:rFonts w:hint="cs"/>
          <w:b/>
          <w:bCs/>
          <w:rtl/>
        </w:rPr>
        <w:t>أما ما يتعلق بكتب فهارس المخطوطات :</w:t>
      </w:r>
      <w:r>
        <w:rPr>
          <w:rFonts w:hint="cs"/>
          <w:rtl/>
        </w:rPr>
        <w:t xml:space="preserve"> فقد نتج من الرجوع إلى ما أمكن منها ما يأتي :</w:t>
      </w:r>
    </w:p>
    <w:p w:rsidR="00035BE3" w:rsidRDefault="00035BE3" w:rsidP="00C10469">
      <w:pPr>
        <w:pStyle w:val="a6"/>
        <w:ind w:left="422" w:firstLine="0"/>
        <w:rPr>
          <w:rtl/>
        </w:rPr>
      </w:pPr>
      <w:r>
        <w:rPr>
          <w:rFonts w:hint="cs"/>
          <w:b/>
          <w:bCs/>
          <w:rtl/>
        </w:rPr>
        <w:t>1</w:t>
      </w:r>
      <w:r>
        <w:rPr>
          <w:rFonts w:hint="cs"/>
          <w:rtl/>
        </w:rPr>
        <w:t>- أن للكتاب قرابة تسع وثلاثين نسخة خطية، نُسب الكتاب في ثلاث عشرة منها إلى عبد الرحيم ابن أبي بكر المرغيناني - مع اختلاف بينهما في تمام نسبه-.</w:t>
      </w:r>
    </w:p>
    <w:p w:rsidR="00035BE3" w:rsidRDefault="00035BE3" w:rsidP="00C10469">
      <w:pPr>
        <w:pStyle w:val="a6"/>
        <w:ind w:left="422" w:firstLine="0"/>
        <w:rPr>
          <w:rtl/>
        </w:rPr>
      </w:pPr>
      <w:r>
        <w:rPr>
          <w:rFonts w:hint="cs"/>
          <w:rtl/>
        </w:rPr>
        <w:t>كما نُسب في ستٍّ منها إلى جمال الدين بن عماد الدين -دون أن يزاد على هذين اللقبين أو يُختلف فيهما سوى إضافة الحنفي في بعضها-.</w:t>
      </w:r>
    </w:p>
    <w:p w:rsidR="00035BE3" w:rsidRDefault="00035BE3" w:rsidP="00C10469">
      <w:pPr>
        <w:pStyle w:val="a6"/>
        <w:ind w:left="422" w:firstLine="0"/>
        <w:rPr>
          <w:rtl/>
        </w:rPr>
      </w:pPr>
      <w:r>
        <w:rPr>
          <w:rFonts w:hint="cs"/>
          <w:rtl/>
        </w:rPr>
        <w:t>أما باقي النسخ فمنها ما يُجمل فيها الاسم؛ كنسبته في خمسة عشر موضعُا إلى (العمادي)، ومنها ما يُسكت عنه ...- وسوف يأتي بيان هذه النسخ مفصلة عند بيان حالة الكتاب-.</w:t>
      </w:r>
    </w:p>
    <w:p w:rsidR="00035BE3" w:rsidRDefault="00035BE3" w:rsidP="00C10469">
      <w:pPr>
        <w:pStyle w:val="a6"/>
        <w:ind w:left="422" w:firstLine="0"/>
        <w:rPr>
          <w:rtl/>
        </w:rPr>
      </w:pPr>
      <w:r>
        <w:rPr>
          <w:rFonts w:hint="cs"/>
          <w:b/>
          <w:bCs/>
          <w:rtl/>
        </w:rPr>
        <w:t>2</w:t>
      </w:r>
      <w:r>
        <w:rPr>
          <w:rFonts w:hint="cs"/>
          <w:rtl/>
        </w:rPr>
        <w:t>- جاء في نسخة مركز الملك فيصل (رقم 8031) أنّ اسم المؤلف : عبد الرحيم بن أبي بكر بن علي المرغيناني، كما جاء في نسخة معهد البحوث العلمية وإحياء التراث بجامعة أم القرى (رقم 140) أن اسمه عبد الرحيم بن عماد الدين المرغيناني السمرقندي.</w:t>
      </w:r>
    </w:p>
    <w:p w:rsidR="00035BE3" w:rsidRDefault="00035BE3" w:rsidP="00C10469">
      <w:pPr>
        <w:pStyle w:val="a6"/>
        <w:ind w:left="422" w:firstLine="0"/>
        <w:rPr>
          <w:rtl/>
        </w:rPr>
      </w:pPr>
      <w:r>
        <w:rPr>
          <w:rFonts w:hint="cs"/>
          <w:rtl/>
        </w:rPr>
        <w:t>وفي هاتين النسختين شاهد قوي على صحة الاحتمال الثاني الذي ذكره صاحب (الفوائد)، وهو أن يكون المراد بأبي بكر هو عماد الدين بن علي (صاحب الهداية).</w:t>
      </w:r>
    </w:p>
    <w:p w:rsidR="00035BE3" w:rsidRDefault="00035BE3" w:rsidP="00C10469">
      <w:pPr>
        <w:pStyle w:val="a6"/>
        <w:ind w:left="422" w:firstLine="0"/>
        <w:rPr>
          <w:spacing w:val="-6"/>
          <w:rtl/>
        </w:rPr>
      </w:pPr>
      <w:r>
        <w:rPr>
          <w:rFonts w:hint="cs"/>
          <w:spacing w:val="-6"/>
          <w:rtl/>
        </w:rPr>
        <w:t>بل إن الاحتمال الثاني وجد بعينه في نسخة مكتبة الملك فهد الوطنية المصورة عن أورشليم، برقم 471، حيث نسب الكتاب فيها إلى: زين الدين أبي الفتح عبد الرحيم بن أبي بكر عماد الدين بن علي السمرقندي.</w:t>
      </w:r>
    </w:p>
    <w:p w:rsidR="00035BE3" w:rsidRDefault="00035BE3" w:rsidP="00C10469">
      <w:pPr>
        <w:pStyle w:val="a6"/>
        <w:ind w:left="422" w:firstLine="0"/>
        <w:rPr>
          <w:spacing w:val="-4"/>
          <w:rtl/>
        </w:rPr>
      </w:pPr>
      <w:r>
        <w:rPr>
          <w:rFonts w:hint="cs"/>
          <w:b/>
          <w:bCs/>
          <w:spacing w:val="-4"/>
          <w:rtl/>
        </w:rPr>
        <w:t>3</w:t>
      </w:r>
      <w:r>
        <w:rPr>
          <w:rFonts w:hint="cs"/>
          <w:spacing w:val="-4"/>
          <w:rtl/>
        </w:rPr>
        <w:t xml:space="preserve">- جاء أيضًا في نسخة المعهد (رقم 464) المصورة عن المكتبة المحمدية بالمدينة المنورة (رقم 1288)، جاء فيها أن المؤلف : زين الدين عبد الرحيم المرغيناني السمرقندي، وتاريخ النسخ : 651هـ، وقد صرّح المفهرِس بالمعهد بقوله: </w:t>
      </w:r>
      <w:r>
        <w:rPr>
          <w:rFonts w:hint="eastAsia"/>
          <w:spacing w:val="-4"/>
          <w:rtl/>
        </w:rPr>
        <w:t>«</w:t>
      </w:r>
      <w:r>
        <w:rPr>
          <w:rFonts w:hint="cs"/>
          <w:spacing w:val="-4"/>
          <w:rtl/>
        </w:rPr>
        <w:t>لعله خط المؤلف</w:t>
      </w:r>
      <w:r>
        <w:rPr>
          <w:rFonts w:hint="eastAsia"/>
          <w:spacing w:val="-4"/>
          <w:rtl/>
        </w:rPr>
        <w:t>»</w:t>
      </w:r>
      <w:r>
        <w:rPr>
          <w:rFonts w:hint="cs"/>
          <w:spacing w:val="-4"/>
          <w:rtl/>
        </w:rPr>
        <w:t>- انظر فهرس الفقه الحنفي (التابع للمعهد)، ص418-.</w:t>
      </w:r>
    </w:p>
    <w:p w:rsidR="00035BE3" w:rsidRDefault="00035BE3" w:rsidP="00C10469">
      <w:pPr>
        <w:pStyle w:val="a6"/>
        <w:ind w:left="422" w:firstLine="0"/>
        <w:rPr>
          <w:rtl/>
        </w:rPr>
      </w:pPr>
      <w:r>
        <w:rPr>
          <w:rFonts w:hint="cs"/>
          <w:rtl/>
        </w:rPr>
        <w:t>ولا شك أنَّ قِدَمَ تاريخ هذه النسخة، وغلبة الظن بأنها بخط المؤلف يقويّان نسبتها إليه.</w:t>
      </w:r>
      <w:r>
        <w:rPr>
          <w:rFonts w:hint="cs"/>
          <w:rtl/>
        </w:rPr>
        <w:tab/>
      </w:r>
      <w:r>
        <w:rPr>
          <w:rFonts w:hint="cs"/>
          <w:rtl/>
        </w:rPr>
        <w:tab/>
        <w:t xml:space="preserve"> </w:t>
      </w:r>
    </w:p>
    <w:p w:rsidR="00035BE3" w:rsidRDefault="00035BE3" w:rsidP="00C10469">
      <w:pPr>
        <w:pStyle w:val="a6"/>
        <w:ind w:left="422" w:firstLine="0"/>
        <w:rPr>
          <w:rtl/>
        </w:rPr>
      </w:pPr>
      <w:r>
        <w:rPr>
          <w:rFonts w:hint="cs"/>
          <w:b/>
          <w:bCs/>
          <w:rtl/>
        </w:rPr>
        <w:t>والحاصل من جميع ما سبق أن الراجح</w:t>
      </w:r>
      <w:r>
        <w:rPr>
          <w:rFonts w:hint="cs"/>
          <w:rtl/>
        </w:rPr>
        <w:t xml:space="preserve"> - والله أعلم -: كون مؤلف (الفصول العمادية) هو عبد الرحيم بن أبي بكر عماد الدين بن علي (صاحب الهداية) المرغيناني؛ وذلك لما يأتي:</w:t>
      </w:r>
    </w:p>
    <w:p w:rsidR="00035BE3" w:rsidRDefault="00035BE3" w:rsidP="00C10469">
      <w:pPr>
        <w:pStyle w:val="a6"/>
        <w:ind w:left="422" w:firstLine="0"/>
        <w:rPr>
          <w:rtl/>
        </w:rPr>
      </w:pPr>
      <w:r>
        <w:rPr>
          <w:rFonts w:hint="cs"/>
          <w:b/>
          <w:bCs/>
          <w:rtl/>
        </w:rPr>
        <w:t>1</w:t>
      </w:r>
      <w:r>
        <w:rPr>
          <w:rFonts w:hint="cs"/>
          <w:rtl/>
        </w:rPr>
        <w:t>- أن جميع كتب التراجم السابقة -التي نسبت الكتاب - نسبته إليه، ولم تتطرَّق إلى احتمال نسبته إلى جمال الدين بن عماد الدين إلا ما جاء في (كشف الظنون). وهو وإن صدَّر نسبته بصيغة الجزم إلى جمال الدين بن عماد الدين إلا أن كلامه هذا معارض بما جاء في (كشف الظنون) نفسه من جزم المفتي جوى زاده بنسبته إلى عبد الرحيم بن أبي بكر.</w:t>
      </w:r>
    </w:p>
    <w:p w:rsidR="00035BE3" w:rsidRDefault="00035BE3" w:rsidP="00C10469">
      <w:pPr>
        <w:pStyle w:val="a6"/>
        <w:ind w:left="422" w:firstLine="0"/>
        <w:rPr>
          <w:rtl/>
        </w:rPr>
      </w:pPr>
      <w:r>
        <w:rPr>
          <w:rFonts w:hint="cs"/>
          <w:b/>
          <w:bCs/>
          <w:rtl/>
        </w:rPr>
        <w:t>2</w:t>
      </w:r>
      <w:r>
        <w:rPr>
          <w:rFonts w:hint="cs"/>
          <w:rtl/>
        </w:rPr>
        <w:t>- أنه نُسب في ثلاث عشرة نسخة خطية إلى عبد الرحيم بن أبي بكر المرغيناني، بينما نسب إلى جمال الدين بن عماد الدين في ست نسخ خطية، ولاشك أن صدق ثلاث عشرة نسخة أغلب على الظن من صدق ست نسخ.</w:t>
      </w:r>
    </w:p>
    <w:p w:rsidR="00035BE3" w:rsidRDefault="00035BE3" w:rsidP="00C10469">
      <w:pPr>
        <w:pStyle w:val="a6"/>
        <w:ind w:left="422" w:firstLine="0"/>
        <w:rPr>
          <w:rtl/>
        </w:rPr>
      </w:pPr>
      <w:r>
        <w:rPr>
          <w:rFonts w:hint="cs"/>
          <w:b/>
          <w:bCs/>
          <w:rtl/>
        </w:rPr>
        <w:t>3</w:t>
      </w:r>
      <w:r>
        <w:rPr>
          <w:rFonts w:hint="cs"/>
          <w:rtl/>
        </w:rPr>
        <w:t xml:space="preserve">- وممّا يؤكد أن عبد الرحيم المرغيناني هو المؤلف كونه كثيرًا ما يذكر صاحب (الهداية) بلفظ: جدي برهان الدين المرغيناني - كما أنه جاء في آخر إحدى النسخ التي اطلع عليها صاحب (الفوائد) هذه العبارة : </w:t>
      </w:r>
      <w:r>
        <w:rPr>
          <w:rFonts w:hint="eastAsia"/>
          <w:rtl/>
        </w:rPr>
        <w:t>«</w:t>
      </w:r>
      <w:r>
        <w:rPr>
          <w:rFonts w:hint="cs"/>
          <w:rtl/>
        </w:rPr>
        <w:t>يقول جالب هذه الخصائص النفيسة، وكاتب هذه المسائل الأنيسة : أبو الفتح ابن أبي بكر بن عبد الجليل بن خليل المرغيناني منسبًا والسمرقندي منصبًا</w:t>
      </w:r>
      <w:r>
        <w:rPr>
          <w:rFonts w:hint="eastAsia"/>
          <w:rtl/>
        </w:rPr>
        <w:t>»</w:t>
      </w:r>
      <w:r>
        <w:rPr>
          <w:rFonts w:hint="cs"/>
          <w:rtl/>
        </w:rPr>
        <w:t>.</w:t>
      </w:r>
    </w:p>
    <w:p w:rsidR="00035BE3" w:rsidRDefault="00035BE3" w:rsidP="00C10469">
      <w:pPr>
        <w:pStyle w:val="a6"/>
        <w:ind w:left="422" w:firstLine="0"/>
        <w:rPr>
          <w:rtl/>
        </w:rPr>
      </w:pPr>
      <w:r>
        <w:rPr>
          <w:rFonts w:hint="cs"/>
          <w:rtl/>
        </w:rPr>
        <w:t>يضاف إلى ذلك أنه جاء في النسخة المصورة عن المكتبة المحمدية أن المؤلف هو زين الدين عبد الرحيم المرغيناني، وتاريخ نسخها : 651هـ، ويغلب على الظن أنها نسخة المؤلف.</w:t>
      </w:r>
    </w:p>
    <w:p w:rsidR="00035BE3" w:rsidRDefault="00035BE3" w:rsidP="00C10469">
      <w:pPr>
        <w:pStyle w:val="a6"/>
        <w:ind w:left="422" w:firstLine="0"/>
        <w:rPr>
          <w:rtl/>
        </w:rPr>
      </w:pPr>
      <w:r>
        <w:rPr>
          <w:rFonts w:hint="cs"/>
          <w:rtl/>
        </w:rPr>
        <w:t xml:space="preserve">وأيضًا جاء في (جامع الفصولين) -1/2- : </w:t>
      </w:r>
      <w:r>
        <w:rPr>
          <w:rFonts w:hint="eastAsia"/>
          <w:rtl/>
        </w:rPr>
        <w:t>«</w:t>
      </w:r>
      <w:r>
        <w:rPr>
          <w:rFonts w:hint="cs"/>
          <w:rtl/>
        </w:rPr>
        <w:t>... فصول العمادي حفيد صاحب الهداية</w:t>
      </w:r>
      <w:r>
        <w:rPr>
          <w:rFonts w:hint="eastAsia"/>
          <w:rtl/>
        </w:rPr>
        <w:t>»</w:t>
      </w:r>
      <w:r>
        <w:rPr>
          <w:rFonts w:hint="cs"/>
          <w:rtl/>
        </w:rPr>
        <w:t>. وصاحب هذا الكتاب من أعرف الناس بالفصول العمادية؛ لكونه جمع كتابه منها ومن فصول أخرى (وهي فصول الأستروشني لمحمد بن محمود الأستروشني ت632هـ).</w:t>
      </w:r>
    </w:p>
    <w:p w:rsidR="00035BE3" w:rsidRDefault="00035BE3" w:rsidP="00C10469">
      <w:pPr>
        <w:pStyle w:val="a6"/>
        <w:ind w:left="422" w:firstLine="0"/>
        <w:rPr>
          <w:rtl/>
        </w:rPr>
      </w:pPr>
      <w:r>
        <w:rPr>
          <w:rFonts w:hint="cs"/>
          <w:rtl/>
        </w:rPr>
        <w:t>فهذه أربع قرائن قوية تدل على أنه هو المؤلف وليس جمال الدين.</w:t>
      </w:r>
    </w:p>
    <w:p w:rsidR="00035BE3" w:rsidRDefault="00035BE3" w:rsidP="00C10469">
      <w:pPr>
        <w:pStyle w:val="a6"/>
        <w:ind w:left="422" w:firstLine="0"/>
        <w:rPr>
          <w:rtl/>
        </w:rPr>
      </w:pPr>
      <w:r>
        <w:rPr>
          <w:rFonts w:hint="cs"/>
          <w:b/>
          <w:bCs/>
          <w:rtl/>
        </w:rPr>
        <w:t>4</w:t>
      </w:r>
      <w:r>
        <w:rPr>
          <w:rFonts w:hint="cs"/>
          <w:rtl/>
        </w:rPr>
        <w:t>- أن الكتب والنسخ الخطية التي نُسب الكتاب فيها إلى عبد الرحيم بن أبي بكر المرغيناني - وإن حصل اختلاف بينها في تمام نسبه إلا أنه يمكن أن يجمع بينها على وفق ما جاء في (الفوائد) من أن اسمه : عبد الرحيم بن أبي بكر عماد الدين بن علي (صاحب الهداية) المرغيناني. وبهذا تكون تسمية الكتاب بالفصول العمادية : نسبة إلى لقب أبي المؤلف (عماد الدين).</w:t>
      </w:r>
    </w:p>
    <w:p w:rsidR="00035BE3" w:rsidRDefault="00035BE3" w:rsidP="00C10469">
      <w:pPr>
        <w:pStyle w:val="a6"/>
        <w:ind w:left="422" w:firstLine="0"/>
        <w:rPr>
          <w:rtl/>
        </w:rPr>
      </w:pPr>
      <w:r>
        <w:rPr>
          <w:rFonts w:hint="cs"/>
          <w:b/>
          <w:bCs/>
          <w:rtl/>
        </w:rPr>
        <w:t>5</w:t>
      </w:r>
      <w:r>
        <w:rPr>
          <w:rFonts w:hint="cs"/>
          <w:rtl/>
        </w:rPr>
        <w:t xml:space="preserve">- ثم إن كون المراجع التي نسبت الكتاب إلى جمال الدين بن عماد الدين لم تختلف في هذه النسبة، كما أنها لم تزد عليها، ولم تذكر أيَّ معلومات عن جمال الدين هذا، وأيضًا عدم العثور عن ترجمة له في كتب التراجم، </w:t>
      </w:r>
      <w:r>
        <w:rPr>
          <w:rFonts w:hint="cs"/>
          <w:b/>
          <w:bCs/>
          <w:rtl/>
        </w:rPr>
        <w:t>كل هذا يثير احتمالاً ليس بعيدًا، وهو أن جمال الدين هذا هو ذاته عبد الرحيم المرغيناني</w:t>
      </w:r>
      <w:r>
        <w:rPr>
          <w:rFonts w:hint="cs"/>
          <w:rtl/>
        </w:rPr>
        <w:t>؛ وذلك لأنهما يتَّفقان في لقب الأب، وهو عماد الدين، كما أن جمال الدين لقب وليس اسمًا - كما هو ظاهر-، فليس هناك ما يمنع من كون هذا لقبًا من ألقاب عبد الرحيم.</w:t>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وبناء على هذا يكون المؤلف هو </w:t>
      </w:r>
      <w:r>
        <w:rPr>
          <w:rFonts w:hint="cs"/>
          <w:b/>
          <w:bCs/>
          <w:rtl/>
        </w:rPr>
        <w:t>عبد الرحيم الملقب بزين الدين، وبجمال الدين</w:t>
      </w:r>
      <w:r>
        <w:rPr>
          <w:rFonts w:hint="cs"/>
          <w:rtl/>
        </w:rPr>
        <w:t xml:space="preserve">، </w:t>
      </w:r>
      <w:r>
        <w:rPr>
          <w:rFonts w:hint="cs"/>
          <w:b/>
          <w:bCs/>
          <w:rtl/>
        </w:rPr>
        <w:t xml:space="preserve">والمكنى بأبي الفتح، ابن أبي بكر عماد الدين بن علي (صاحب الهداية) المرغيناني </w:t>
      </w:r>
      <w:r>
        <w:rPr>
          <w:rFonts w:hint="cs"/>
          <w:rtl/>
        </w:rPr>
        <w:t>-والله أعلم-.</w:t>
      </w:r>
    </w:p>
    <w:p w:rsidR="00035BE3" w:rsidRDefault="00035BE3" w:rsidP="00C10469">
      <w:pPr>
        <w:pStyle w:val="a6"/>
        <w:ind w:left="422" w:firstLine="0"/>
        <w:rPr>
          <w:rtl/>
        </w:rPr>
      </w:pPr>
      <w:r>
        <w:rPr>
          <w:rFonts w:hint="cs"/>
          <w:rtl/>
        </w:rPr>
        <w:t>هذا ما يتعلق بمؤلف الكتاب.</w:t>
      </w:r>
    </w:p>
    <w:p w:rsidR="00035BE3" w:rsidRDefault="00035BE3" w:rsidP="00C10469">
      <w:pPr>
        <w:pStyle w:val="a6"/>
        <w:ind w:left="422" w:firstLine="0"/>
        <w:rPr>
          <w:rtl/>
        </w:rPr>
      </w:pPr>
      <w:r>
        <w:rPr>
          <w:rFonts w:hint="cs"/>
          <w:b/>
          <w:bCs/>
          <w:rtl/>
        </w:rPr>
        <w:t>أما ما يتعلق بحالته</w:t>
      </w:r>
      <w:r>
        <w:rPr>
          <w:rFonts w:hint="cs"/>
          <w:rtl/>
        </w:rPr>
        <w:t xml:space="preserve"> : فـقد أفـاد صاحب (معجم المطبوعات) -2/1740- بأنه طبع في كلكتا، عام 1828م.</w:t>
      </w:r>
    </w:p>
    <w:p w:rsidR="00035BE3" w:rsidRDefault="00035BE3" w:rsidP="00C10469">
      <w:pPr>
        <w:pStyle w:val="a6"/>
        <w:ind w:left="422" w:firstLine="0"/>
        <w:rPr>
          <w:rtl/>
        </w:rPr>
      </w:pPr>
      <w:r>
        <w:rPr>
          <w:rFonts w:hint="cs"/>
          <w:rtl/>
        </w:rPr>
        <w:t>ونظرًا لأهمية الكتاب فإن له نسخًا خطية كثيرة منها النسخ الآتية :</w:t>
      </w:r>
    </w:p>
    <w:p w:rsidR="00035BE3" w:rsidRDefault="00035BE3" w:rsidP="00C10469">
      <w:pPr>
        <w:pStyle w:val="a6"/>
        <w:ind w:left="422" w:firstLine="0"/>
        <w:rPr>
          <w:rtl/>
        </w:rPr>
      </w:pPr>
      <w:r>
        <w:rPr>
          <w:rFonts w:hint="cs"/>
          <w:b/>
          <w:bCs/>
          <w:rtl/>
        </w:rPr>
        <w:t>1-2-</w:t>
      </w:r>
      <w:r>
        <w:rPr>
          <w:rFonts w:hint="cs"/>
          <w:rtl/>
        </w:rPr>
        <w:t xml:space="preserve"> مركز الملك فيصل بالرياض، ورقمهما 2329 و8031. واسم المؤلف في الأولى : عبد الرحمن بن أبي بكر المرغيناني، وفي الثانية : عبد الرحيم بن أبي بكر بن علي المرغيناني.</w:t>
      </w:r>
    </w:p>
    <w:p w:rsidR="00035BE3" w:rsidRDefault="00035BE3" w:rsidP="00C10469">
      <w:pPr>
        <w:pStyle w:val="a6"/>
        <w:ind w:left="422" w:firstLine="0"/>
        <w:rPr>
          <w:rtl/>
        </w:rPr>
      </w:pPr>
      <w:r>
        <w:rPr>
          <w:rFonts w:hint="cs"/>
          <w:b/>
          <w:bCs/>
          <w:rtl/>
        </w:rPr>
        <w:t>3-5-</w:t>
      </w:r>
      <w:r>
        <w:rPr>
          <w:rFonts w:hint="cs"/>
          <w:rtl/>
        </w:rPr>
        <w:t xml:space="preserve"> جامعة الإمام محمد بن سعود، وأرقامها 6425 و4332 و3476. والمؤلف فيها هو أبو الفتح بن أبي بكر بن عبد الجليل المرغيناني.</w:t>
      </w:r>
    </w:p>
    <w:p w:rsidR="00035BE3" w:rsidRDefault="00035BE3" w:rsidP="00C10469">
      <w:pPr>
        <w:pStyle w:val="a6"/>
        <w:ind w:left="422" w:firstLine="0"/>
        <w:rPr>
          <w:rtl/>
        </w:rPr>
      </w:pPr>
      <w:r>
        <w:rPr>
          <w:rFonts w:hint="cs"/>
          <w:b/>
          <w:bCs/>
          <w:rtl/>
        </w:rPr>
        <w:t>6-8-</w:t>
      </w:r>
      <w:r>
        <w:rPr>
          <w:rFonts w:hint="cs"/>
          <w:rtl/>
        </w:rPr>
        <w:t xml:space="preserve"> مكتبة الملك فهد الوطنية بالرياض، والأولى منها مصورة عن أورشليم برقم 471، واسم المؤلف فيها : زين الدين أبو الفتح عبد الرحيم بن أبي بكر عماد الدين بن علي السمرقندي. والثانية والثالثة مصورتان عن برنستون، ورقمهما 3599 و3600.</w:t>
      </w:r>
    </w:p>
    <w:p w:rsidR="00035BE3" w:rsidRDefault="00035BE3" w:rsidP="00C10469">
      <w:pPr>
        <w:pStyle w:val="a6"/>
        <w:ind w:left="422" w:firstLine="0"/>
        <w:rPr>
          <w:rtl/>
        </w:rPr>
      </w:pPr>
      <w:r>
        <w:rPr>
          <w:rFonts w:hint="cs"/>
          <w:b/>
          <w:bCs/>
          <w:rtl/>
        </w:rPr>
        <w:t>9-</w:t>
      </w:r>
      <w:r>
        <w:rPr>
          <w:rFonts w:hint="cs"/>
          <w:rtl/>
        </w:rPr>
        <w:t xml:space="preserve"> جامعة الملك سعود، برقم 995/ص. واسم المؤلف فيها هو جمال الدين بن عماد الدين الحنفي.</w:t>
      </w:r>
    </w:p>
    <w:p w:rsidR="00035BE3" w:rsidRDefault="00035BE3" w:rsidP="00C10469">
      <w:pPr>
        <w:pStyle w:val="a6"/>
        <w:ind w:left="422" w:firstLine="0"/>
        <w:rPr>
          <w:rtl/>
        </w:rPr>
      </w:pPr>
      <w:r>
        <w:rPr>
          <w:rFonts w:hint="cs"/>
          <w:b/>
          <w:bCs/>
          <w:rtl/>
        </w:rPr>
        <w:t>10-15-</w:t>
      </w:r>
      <w:r>
        <w:rPr>
          <w:rFonts w:hint="cs"/>
          <w:rtl/>
        </w:rPr>
        <w:t xml:space="preserve"> معهد البحوث العلمية وإحياء التراث بجامعة أم القرى، وهي على النحو الآتي :</w:t>
      </w:r>
    </w:p>
    <w:p w:rsidR="00035BE3" w:rsidRDefault="00035BE3" w:rsidP="00C10469">
      <w:pPr>
        <w:pStyle w:val="a6"/>
        <w:ind w:left="422" w:firstLine="0"/>
        <w:rPr>
          <w:rtl/>
        </w:rPr>
      </w:pPr>
      <w:r>
        <w:rPr>
          <w:rFonts w:hint="cs"/>
          <w:b/>
          <w:bCs/>
          <w:rtl/>
        </w:rPr>
        <w:t>الأولى</w:t>
      </w:r>
      <w:r>
        <w:rPr>
          <w:rFonts w:hint="cs"/>
          <w:rtl/>
        </w:rPr>
        <w:t xml:space="preserve"> برقم 464، واسم المؤلف فيها : زين الدين عبد الرحيم المرغيناني السمرقندي، وقد كتبت عام 651هـ، قال المفهرس : لعله خط المؤلف. وهي مصورة عن المكتبة المحمدية التابعة لمكتبة الملك عبد العزيز بالمدينة المنورة، برقم 1288.</w:t>
      </w:r>
    </w:p>
    <w:p w:rsidR="00035BE3" w:rsidRDefault="00035BE3" w:rsidP="00C10469">
      <w:pPr>
        <w:pStyle w:val="a6"/>
        <w:ind w:left="422" w:firstLine="0"/>
        <w:rPr>
          <w:rtl/>
        </w:rPr>
      </w:pPr>
      <w:r>
        <w:rPr>
          <w:rFonts w:hint="cs"/>
          <w:b/>
          <w:bCs/>
          <w:rtl/>
        </w:rPr>
        <w:t>الثانية</w:t>
      </w:r>
      <w:r>
        <w:rPr>
          <w:rFonts w:hint="cs"/>
          <w:rtl/>
        </w:rPr>
        <w:t xml:space="preserve"> برقم 470، وفي هذه النسخة سَقْطٌ من أولها يزيد على الثلثين، سَقَطَ ضمنه اسمُ المؤلف.</w:t>
      </w:r>
    </w:p>
    <w:p w:rsidR="00035BE3" w:rsidRDefault="00035BE3" w:rsidP="00C10469">
      <w:pPr>
        <w:pStyle w:val="a6"/>
        <w:ind w:left="422" w:firstLine="0"/>
        <w:rPr>
          <w:rtl/>
        </w:rPr>
      </w:pPr>
      <w:r>
        <w:rPr>
          <w:rFonts w:hint="cs"/>
          <w:b/>
          <w:bCs/>
          <w:rtl/>
        </w:rPr>
        <w:t>الثالثة</w:t>
      </w:r>
      <w:r>
        <w:rPr>
          <w:rFonts w:hint="cs"/>
          <w:rtl/>
        </w:rPr>
        <w:t xml:space="preserve"> برقم 140، وفيها أن اسم المؤلف عبد الرحيم بن عماد الدين المرغيناني السمرقندي.</w:t>
      </w:r>
    </w:p>
    <w:p w:rsidR="00035BE3" w:rsidRDefault="00035BE3" w:rsidP="00C10469">
      <w:pPr>
        <w:pStyle w:val="a6"/>
        <w:ind w:left="422" w:firstLine="0"/>
        <w:rPr>
          <w:rtl/>
        </w:rPr>
      </w:pPr>
      <w:r>
        <w:rPr>
          <w:rFonts w:hint="cs"/>
          <w:b/>
          <w:bCs/>
          <w:rtl/>
        </w:rPr>
        <w:t>الرابعة والخامسة والسادسة</w:t>
      </w:r>
      <w:r>
        <w:rPr>
          <w:rFonts w:hint="cs"/>
          <w:rtl/>
        </w:rPr>
        <w:t xml:space="preserve"> : وأرقامها : 143 و144 و 145 (141جـ1، 142جـ2) وفيها أن اسمه : عبد الرحيم بن أبي بكر المرغيناني.</w:t>
      </w:r>
    </w:p>
    <w:p w:rsidR="00035BE3" w:rsidRDefault="00035BE3" w:rsidP="00C10469">
      <w:pPr>
        <w:pStyle w:val="a6"/>
        <w:ind w:left="422" w:firstLine="0"/>
        <w:rPr>
          <w:rtl/>
        </w:rPr>
      </w:pPr>
      <w:r>
        <w:rPr>
          <w:rFonts w:hint="cs"/>
          <w:b/>
          <w:bCs/>
          <w:rtl/>
        </w:rPr>
        <w:t>16</w:t>
      </w:r>
      <w:r>
        <w:rPr>
          <w:rFonts w:hint="cs"/>
          <w:rtl/>
        </w:rPr>
        <w:t>-</w:t>
      </w:r>
      <w:r>
        <w:rPr>
          <w:rFonts w:hint="cs"/>
          <w:b/>
          <w:bCs/>
          <w:rtl/>
        </w:rPr>
        <w:t>38</w:t>
      </w:r>
      <w:r>
        <w:rPr>
          <w:rFonts w:hint="cs"/>
          <w:rtl/>
        </w:rPr>
        <w:t>- مكتبة السليمانية باستانبول، ونسخها في الفهارس الآتية :</w:t>
      </w:r>
    </w:p>
    <w:p w:rsidR="00035BE3" w:rsidRDefault="00035BE3" w:rsidP="00C10469">
      <w:pPr>
        <w:pStyle w:val="a6"/>
        <w:ind w:left="422" w:firstLine="0"/>
        <w:rPr>
          <w:rtl/>
        </w:rPr>
      </w:pPr>
      <w:r>
        <w:rPr>
          <w:rFonts w:hint="cs"/>
          <w:rtl/>
        </w:rPr>
        <w:t>- يني جامع، برقم 147، واسم المؤلف فيها : جمال الدين بن عماد الدين الحنفي.</w:t>
      </w:r>
    </w:p>
    <w:p w:rsidR="00035BE3" w:rsidRDefault="00035BE3" w:rsidP="00C10469">
      <w:pPr>
        <w:pStyle w:val="a6"/>
        <w:ind w:left="422" w:firstLine="0"/>
        <w:rPr>
          <w:rtl/>
        </w:rPr>
      </w:pPr>
      <w:r>
        <w:rPr>
          <w:rFonts w:hint="cs"/>
          <w:rtl/>
        </w:rPr>
        <w:t>- عاشر أفندي، برقم 435، وفيه أن اسم المؤلف هو جمال الدين بن عماد الدين الحنفي.</w:t>
      </w:r>
    </w:p>
    <w:p w:rsidR="00035BE3" w:rsidRDefault="00035BE3" w:rsidP="00C10469">
      <w:pPr>
        <w:pStyle w:val="a6"/>
        <w:ind w:left="422" w:firstLine="0"/>
        <w:rPr>
          <w:rtl/>
        </w:rPr>
      </w:pPr>
      <w:r>
        <w:rPr>
          <w:rFonts w:hint="cs"/>
          <w:rtl/>
        </w:rPr>
        <w:t>- لا له لي، برقم 1110 و 1111، وفيه : عماد الدين.</w:t>
      </w:r>
    </w:p>
    <w:p w:rsidR="00035BE3" w:rsidRDefault="00035BE3" w:rsidP="00C10469">
      <w:pPr>
        <w:pStyle w:val="a6"/>
        <w:ind w:left="422" w:firstLine="0"/>
        <w:rPr>
          <w:rtl/>
        </w:rPr>
      </w:pPr>
      <w:r>
        <w:rPr>
          <w:rFonts w:hint="cs"/>
          <w:rtl/>
        </w:rPr>
        <w:t>- حلبي عبد الله أفندي، برقم 125، وفيه : أبو الفتح بن أبي بكر.</w:t>
      </w:r>
    </w:p>
    <w:p w:rsidR="00035BE3" w:rsidRDefault="00035BE3" w:rsidP="00C10469">
      <w:pPr>
        <w:pStyle w:val="a6"/>
        <w:ind w:left="422" w:firstLine="0"/>
        <w:rPr>
          <w:rtl/>
        </w:rPr>
      </w:pPr>
      <w:r>
        <w:rPr>
          <w:rFonts w:hint="cs"/>
          <w:rtl/>
        </w:rPr>
        <w:t>- جامع شريف أيوب، برقم 105، وفيه : للعمادي.</w:t>
      </w:r>
      <w:r>
        <w:rPr>
          <w:rFonts w:hint="cs"/>
          <w:rtl/>
        </w:rPr>
        <w:tab/>
      </w:r>
      <w:r>
        <w:rPr>
          <w:rFonts w:hint="cs"/>
          <w:rtl/>
        </w:rPr>
        <w:tab/>
      </w:r>
      <w:r>
        <w:rPr>
          <w:rFonts w:hint="cs"/>
          <w:rtl/>
        </w:rPr>
        <w:tab/>
      </w:r>
      <w:r>
        <w:rPr>
          <w:rFonts w:hint="cs"/>
          <w:rtl/>
        </w:rPr>
        <w:tab/>
      </w:r>
      <w:r>
        <w:rPr>
          <w:rFonts w:hint="cs"/>
          <w:rtl/>
        </w:rPr>
        <w:tab/>
      </w:r>
    </w:p>
    <w:p w:rsidR="00035BE3" w:rsidRDefault="00035BE3" w:rsidP="00C10469">
      <w:pPr>
        <w:pStyle w:val="a6"/>
        <w:ind w:left="422" w:firstLine="0"/>
        <w:rPr>
          <w:rtl/>
        </w:rPr>
      </w:pPr>
      <w:r>
        <w:rPr>
          <w:rFonts w:hint="cs"/>
          <w:rtl/>
        </w:rPr>
        <w:t>- جور ليلي على باشا، برقم 277، وفيه : جمال الدين بن عماد الدين الحنفي.</w:t>
      </w:r>
    </w:p>
    <w:p w:rsidR="00035BE3" w:rsidRDefault="00035BE3" w:rsidP="00C10469">
      <w:pPr>
        <w:pStyle w:val="a6"/>
        <w:ind w:left="422" w:firstLine="0"/>
        <w:rPr>
          <w:rtl/>
        </w:rPr>
      </w:pPr>
      <w:r>
        <w:rPr>
          <w:rFonts w:hint="cs"/>
          <w:rtl/>
        </w:rPr>
        <w:t>- فاتح، من رقم 2428 إلى 2438 - ما عدا 2433- وكلها نسبت إلى العمادي.</w:t>
      </w:r>
    </w:p>
    <w:p w:rsidR="00035BE3" w:rsidRDefault="00035BE3" w:rsidP="00C10469">
      <w:pPr>
        <w:pStyle w:val="a6"/>
        <w:ind w:left="422" w:firstLine="0"/>
        <w:rPr>
          <w:rtl/>
        </w:rPr>
      </w:pPr>
      <w:r>
        <w:rPr>
          <w:rFonts w:hint="cs"/>
          <w:rtl/>
        </w:rPr>
        <w:t>- عمومي حسين باشا، برقم 2182، وفيه : للعمادي.</w:t>
      </w:r>
    </w:p>
    <w:p w:rsidR="00035BE3" w:rsidRDefault="00035BE3" w:rsidP="00C10469">
      <w:pPr>
        <w:pStyle w:val="a6"/>
        <w:ind w:left="422" w:firstLine="0"/>
        <w:rPr>
          <w:rtl/>
        </w:rPr>
      </w:pPr>
      <w:r>
        <w:rPr>
          <w:rFonts w:hint="cs"/>
          <w:rtl/>
        </w:rPr>
        <w:t>- عاطف أفندي، برقم 1161 و1162، وفيه للعمادي.</w:t>
      </w:r>
    </w:p>
    <w:p w:rsidR="00035BE3" w:rsidRDefault="00035BE3" w:rsidP="00C10469">
      <w:pPr>
        <w:pStyle w:val="a6"/>
        <w:ind w:left="422" w:firstLine="0"/>
        <w:rPr>
          <w:rtl/>
        </w:rPr>
      </w:pPr>
      <w:r>
        <w:rPr>
          <w:rFonts w:hint="cs"/>
          <w:rtl/>
        </w:rPr>
        <w:t>- حميد، برقم 201، وفيه : لأبي بكر المرغيناني.</w:t>
      </w:r>
    </w:p>
    <w:p w:rsidR="00035BE3" w:rsidRDefault="00035BE3" w:rsidP="00C10469">
      <w:pPr>
        <w:pStyle w:val="a6"/>
        <w:ind w:left="422" w:firstLine="0"/>
        <w:rPr>
          <w:rtl/>
        </w:rPr>
      </w:pPr>
      <w:r>
        <w:rPr>
          <w:rFonts w:hint="cs"/>
          <w:rtl/>
        </w:rPr>
        <w:t>- أسعد أفندي، برقم 836، وفيه : جمال الدين بن عماد الدين.</w:t>
      </w:r>
    </w:p>
    <w:p w:rsidR="00035BE3" w:rsidRDefault="00035BE3" w:rsidP="00C10469">
      <w:pPr>
        <w:pStyle w:val="a6"/>
        <w:ind w:left="422" w:firstLine="0"/>
        <w:rPr>
          <w:spacing w:val="-6"/>
          <w:rtl/>
        </w:rPr>
      </w:pPr>
      <w:r>
        <w:rPr>
          <w:rFonts w:hint="cs"/>
          <w:b/>
          <w:bCs/>
          <w:spacing w:val="-6"/>
          <w:rtl/>
        </w:rPr>
        <w:t>39</w:t>
      </w:r>
      <w:r>
        <w:rPr>
          <w:rFonts w:hint="cs"/>
          <w:spacing w:val="-6"/>
          <w:rtl/>
        </w:rPr>
        <w:t>- مكتبة نور عثمانية باستانبول، برقم 1774، واسم المؤلف فيها : جمال الدين بن عماد الدين الحنفي.</w:t>
      </w:r>
    </w:p>
  </w:footnote>
  <w:footnote w:id="326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بتحلف</w:t>
      </w:r>
      <w:r>
        <w:rPr>
          <w:rFonts w:hint="eastAsia"/>
          <w:rtl/>
        </w:rPr>
        <w:t>»</w:t>
      </w:r>
      <w:r>
        <w:rPr>
          <w:rFonts w:hint="cs"/>
          <w:rtl/>
        </w:rPr>
        <w:t>. والصحيح ما تمَّ إثباته من (ب) و(د).</w:t>
      </w:r>
    </w:p>
  </w:footnote>
  <w:footnote w:id="32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سوى (د)، حيث جاء فيها : </w:t>
      </w:r>
      <w:r>
        <w:rPr>
          <w:rFonts w:hint="eastAsia"/>
          <w:rtl/>
        </w:rPr>
        <w:t>«</w:t>
      </w:r>
      <w:r>
        <w:rPr>
          <w:rFonts w:hint="cs"/>
          <w:rtl/>
        </w:rPr>
        <w:t>بحقوق</w:t>
      </w:r>
      <w:r>
        <w:rPr>
          <w:rFonts w:hint="eastAsia"/>
          <w:rtl/>
        </w:rPr>
        <w:t>»</w:t>
      </w:r>
      <w:r>
        <w:rPr>
          <w:rFonts w:hint="cs"/>
          <w:rtl/>
        </w:rPr>
        <w:t xml:space="preserve"> والذي يظهر أن العبارة فيها شيء من الاضطراب، ولعل هذا الاضطراب يزول لو قال : (... فيما </w:t>
      </w:r>
      <w:r>
        <w:rPr>
          <w:rFonts w:hint="cs"/>
          <w:b/>
          <w:bCs/>
          <w:rtl/>
        </w:rPr>
        <w:t>إذا تعلقت</w:t>
      </w:r>
      <w:r>
        <w:rPr>
          <w:rFonts w:hint="cs"/>
          <w:rtl/>
        </w:rPr>
        <w:t xml:space="preserve"> حقوق العقد بالموكِّل ...) أو لو قال : (... فيما يتعلق بحقوق العقد </w:t>
      </w:r>
      <w:r>
        <w:rPr>
          <w:rFonts w:hint="cs"/>
          <w:b/>
          <w:bCs/>
          <w:rtl/>
        </w:rPr>
        <w:t>المتعلقة</w:t>
      </w:r>
      <w:r>
        <w:rPr>
          <w:rFonts w:hint="cs"/>
          <w:rtl/>
        </w:rPr>
        <w:t xml:space="preserve"> بالموكل...)، والذي يشهد للتعبير الأول أنـه -بعد سطرين- عَطَفَ على هذه الجملة جملة أخرى وأثبت فيها (إذا) فقال : </w:t>
      </w:r>
      <w:r>
        <w:rPr>
          <w:rFonts w:hint="eastAsia"/>
          <w:rtl/>
        </w:rPr>
        <w:t>«</w:t>
      </w:r>
      <w:r>
        <w:rPr>
          <w:rFonts w:hint="cs"/>
          <w:rtl/>
        </w:rPr>
        <w:t xml:space="preserve">وأما </w:t>
      </w:r>
      <w:r>
        <w:rPr>
          <w:rFonts w:hint="cs"/>
          <w:b/>
          <w:bCs/>
          <w:rtl/>
        </w:rPr>
        <w:t>إذا</w:t>
      </w:r>
      <w:r>
        <w:rPr>
          <w:rFonts w:hint="cs"/>
          <w:rtl/>
        </w:rPr>
        <w:t xml:space="preserve"> تعلق حقوق العقد بالوكيل ...</w:t>
      </w:r>
      <w:r>
        <w:rPr>
          <w:rFonts w:hint="eastAsia"/>
          <w:rtl/>
        </w:rPr>
        <w:t>»</w:t>
      </w:r>
      <w:r>
        <w:rPr>
          <w:rFonts w:hint="cs"/>
          <w:rtl/>
        </w:rPr>
        <w:t xml:space="preserve">  -والله أعلم-.</w:t>
      </w:r>
    </w:p>
  </w:footnote>
  <w:footnote w:id="32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زيادة من (ب) و(جـ). ولا يستقيم المعنى بدونها.</w:t>
      </w:r>
    </w:p>
  </w:footnote>
  <w:footnote w:id="32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ولو قال : (تعلقت) لكان أفصح.</w:t>
      </w:r>
    </w:p>
  </w:footnote>
  <w:footnote w:id="32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يتعلق</w:t>
      </w:r>
      <w:r>
        <w:rPr>
          <w:rFonts w:hint="eastAsia"/>
          <w:rtl/>
        </w:rPr>
        <w:t>»</w:t>
      </w:r>
      <w:r>
        <w:rPr>
          <w:rFonts w:hint="cs"/>
          <w:rtl/>
        </w:rPr>
        <w:t>. والأفصح ما تمَّ إثباته من (ب).</w:t>
      </w:r>
    </w:p>
  </w:footnote>
  <w:footnote w:id="32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قرة عيون الأخيار، 11/600، فقد بيّن أن إقرار الوكيل عن الموكل يكون </w:t>
      </w:r>
      <w:r>
        <w:rPr>
          <w:rFonts w:hint="eastAsia"/>
          <w:rtl/>
        </w:rPr>
        <w:t>«</w:t>
      </w:r>
      <w:r>
        <w:rPr>
          <w:rFonts w:hint="cs"/>
          <w:rtl/>
        </w:rPr>
        <w:t>فيما هو من حقوق العقد؛ كالإقرار بعيب أو أجل أو خيار للمشتري</w:t>
      </w:r>
      <w:r>
        <w:rPr>
          <w:rFonts w:hint="eastAsia"/>
          <w:rtl/>
        </w:rPr>
        <w:t>»</w:t>
      </w:r>
      <w:r>
        <w:rPr>
          <w:rFonts w:hint="cs"/>
          <w:rtl/>
        </w:rPr>
        <w:t>.</w:t>
      </w:r>
    </w:p>
  </w:footnote>
  <w:footnote w:id="32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الكلية الكبرى الخمس التي عليها مدار الفقه الإسلامي، وممّا يدل على أهميتها وسعة شمولها كثرة القواعد المتعلقة بها، وقد ذكر المؤلف من بين هذه القواعد أكثر من خمس عشرة قاعدة - و قد سبقت الإشارة إلى ذلك، في هامش ص346-.</w:t>
      </w:r>
    </w:p>
    <w:p w:rsidR="00035BE3" w:rsidRDefault="00035BE3" w:rsidP="00C10469">
      <w:pPr>
        <w:pStyle w:val="a6"/>
        <w:ind w:left="422" w:firstLine="0"/>
        <w:rPr>
          <w:rtl/>
        </w:rPr>
      </w:pPr>
      <w:r>
        <w:rPr>
          <w:rFonts w:hint="cs"/>
          <w:rtl/>
        </w:rPr>
        <w:t xml:space="preserve">ولفظ القاعدة الذي ذكره المؤلف هو اللفظ الذي عَبَّر به عن القاعدة أكثرُ علماء القواعد، ولاسيما المتقدمين على المؤلف، وجعلوا حديث : </w:t>
      </w:r>
      <w:r>
        <w:rPr>
          <w:rFonts w:hint="eastAsia"/>
          <w:rtl/>
        </w:rPr>
        <w:t>«</w:t>
      </w:r>
      <w:r>
        <w:rPr>
          <w:rFonts w:hint="cs"/>
          <w:rtl/>
        </w:rPr>
        <w:t>لا ضرر ولا ضرار</w:t>
      </w:r>
      <w:r>
        <w:rPr>
          <w:rFonts w:hint="eastAsia"/>
          <w:rtl/>
        </w:rPr>
        <w:t>»</w:t>
      </w:r>
      <w:r>
        <w:rPr>
          <w:rFonts w:hint="cs"/>
          <w:rtl/>
        </w:rPr>
        <w:t xml:space="preserve"> دليلاً على القاعدة.</w:t>
      </w:r>
    </w:p>
    <w:p w:rsidR="00035BE3" w:rsidRDefault="00035BE3" w:rsidP="00C10469">
      <w:pPr>
        <w:pStyle w:val="a6"/>
        <w:ind w:left="422" w:firstLine="0"/>
        <w:rPr>
          <w:rtl/>
        </w:rPr>
      </w:pPr>
      <w:r>
        <w:rPr>
          <w:rFonts w:hint="cs"/>
          <w:rtl/>
        </w:rPr>
        <w:t>بينما سلك واضعو مجلة الأحكام العدلية مسلكًا آخر؛ إذْ جعلوا لفظ الحديث في مادة مستقلة، ثم جعلوا لفظ القاعدة في المادة التي تليها على أنها متفرعة عنه، وقد سلك مسَلكهم كثيرٌ ممَّن كتبوا في القواعد بعدهم.</w:t>
      </w:r>
    </w:p>
    <w:p w:rsidR="00035BE3" w:rsidRDefault="00035BE3" w:rsidP="00C10469">
      <w:pPr>
        <w:pStyle w:val="a6"/>
        <w:ind w:left="422" w:firstLine="0"/>
        <w:rPr>
          <w:rtl/>
        </w:rPr>
      </w:pPr>
      <w:r>
        <w:rPr>
          <w:rFonts w:hint="cs"/>
          <w:rtl/>
        </w:rPr>
        <w:t>ولاشك أن المسلك الثاني (وهو التعبير بلفظ الحديث) أوْلى لسببين :</w:t>
      </w:r>
    </w:p>
    <w:p w:rsidR="00035BE3" w:rsidRDefault="00035BE3" w:rsidP="00C10469">
      <w:pPr>
        <w:pStyle w:val="a6"/>
        <w:ind w:left="422" w:firstLine="0"/>
        <w:rPr>
          <w:rtl/>
        </w:rPr>
      </w:pPr>
      <w:r>
        <w:rPr>
          <w:rFonts w:hint="cs"/>
          <w:b/>
          <w:bCs/>
          <w:rtl/>
        </w:rPr>
        <w:t>أحدهما</w:t>
      </w:r>
      <w:r>
        <w:rPr>
          <w:rFonts w:hint="cs"/>
          <w:rtl/>
        </w:rPr>
        <w:t xml:space="preserve"> : أن ذلك يعطي القاعدة قوة وتأثيرًا؛ إذْ يجعلها دليلاً شرعيًّا صالحًا لبناء الأحكام عليه مباشرة؛ لأنها بعينها حديثٌ نبويٌّ شريف.</w:t>
      </w:r>
    </w:p>
    <w:p w:rsidR="00035BE3" w:rsidRDefault="00035BE3" w:rsidP="00C10469">
      <w:pPr>
        <w:pStyle w:val="a6"/>
        <w:ind w:left="422" w:firstLine="0"/>
        <w:rPr>
          <w:spacing w:val="6"/>
          <w:rtl/>
        </w:rPr>
      </w:pPr>
      <w:r>
        <w:rPr>
          <w:rFonts w:hint="cs"/>
          <w:b/>
          <w:bCs/>
          <w:spacing w:val="6"/>
          <w:rtl/>
        </w:rPr>
        <w:t>الثاني</w:t>
      </w:r>
      <w:r>
        <w:rPr>
          <w:rFonts w:hint="cs"/>
          <w:spacing w:val="6"/>
          <w:rtl/>
        </w:rPr>
        <w:t xml:space="preserve"> : أن ذلك يجعل معناها أشمل وأعمّ؛ إذْ الحديث يشمل نفي الضرر ابتداءً ومقابلة، قبل وقوعه وبعده ...، بينما اللفظ الآخر خاص بإزالة الضرر بعد وقوعه. -انظر هذين السببين في الوجيز، ص192-.</w:t>
      </w:r>
    </w:p>
    <w:p w:rsidR="00035BE3" w:rsidRDefault="00035BE3" w:rsidP="00C10469">
      <w:pPr>
        <w:pStyle w:val="a6"/>
        <w:ind w:left="422" w:firstLine="0"/>
        <w:rPr>
          <w:b/>
          <w:bCs/>
          <w:rtl/>
        </w:rPr>
      </w:pPr>
      <w:r>
        <w:rPr>
          <w:rFonts w:hint="cs"/>
          <w:b/>
          <w:bCs/>
          <w:rtl/>
        </w:rPr>
        <w:t>فمن الكتب التي سلكت المسلك الأول :</w:t>
      </w:r>
    </w:p>
    <w:p w:rsidR="00035BE3" w:rsidRDefault="00035BE3" w:rsidP="00C10469">
      <w:pPr>
        <w:pStyle w:val="a6"/>
        <w:ind w:left="422" w:firstLine="0"/>
        <w:rPr>
          <w:rtl/>
        </w:rPr>
      </w:pPr>
      <w:r>
        <w:rPr>
          <w:rFonts w:hint="cs"/>
          <w:rtl/>
        </w:rPr>
        <w:t xml:space="preserve">الأشباه والنظائر لابن السبكي، 1/41؛ القواعد للحصني، 1/333 -ولفظه : </w:t>
      </w:r>
      <w:r>
        <w:rPr>
          <w:rFonts w:hint="eastAsia"/>
          <w:rtl/>
        </w:rPr>
        <w:t>«</w:t>
      </w:r>
      <w:r>
        <w:rPr>
          <w:rFonts w:hint="cs"/>
          <w:rtl/>
        </w:rPr>
        <w:t>الضرر مزال</w:t>
      </w:r>
      <w:r>
        <w:rPr>
          <w:rFonts w:hint="eastAsia"/>
          <w:rtl/>
        </w:rPr>
        <w:t>»</w:t>
      </w:r>
      <w:r>
        <w:rPr>
          <w:rFonts w:hint="cs"/>
          <w:rtl/>
        </w:rPr>
        <w:t>-؛ الأشباه والنظائر للسيوطي، 1/210؛ ولابن نجيم، ص105- وجل ما جاء في شرح القاعدة مذكور في الكتابين الأخيرين-؛ الفرائد البهية وشرحاها : الأقمار المضيئة، ص118؛ والمواهب السنية وحاشيتها: الفوائد الجنية، 1/266؛ مجامع الحقائق (الخاتمة)، ص45؛ شرح العلائي لقواعد الخادمي، 25/أ؛ منافع الدقائق، ص322؛ القواعد الفقهية للدكتور علي الندوي، ص171، 205، 236، 241، (287)، 292، 330، 351؛ القواعد والضوابط المستخلصة من التحرير، ص117، 133؛ القواعد الكبرى للدكتور عبد الله العجلان، ص83؛ قواعد الفقه الإسلامي للروكي، ص160، 197؛ موسوعة القواعد الفقهية، 1/48، 70؛ القواعد الفقهية للدكتور محمد الزحيلي، ص56،</w:t>
      </w:r>
    </w:p>
    <w:p w:rsidR="00035BE3" w:rsidRDefault="00035BE3" w:rsidP="00C10469">
      <w:pPr>
        <w:pStyle w:val="a6"/>
        <w:ind w:left="422" w:firstLine="0"/>
        <w:rPr>
          <w:b/>
          <w:bCs/>
          <w:rtl/>
        </w:rPr>
      </w:pPr>
      <w:r>
        <w:rPr>
          <w:rFonts w:hint="cs"/>
          <w:b/>
          <w:bCs/>
          <w:rtl/>
        </w:rPr>
        <w:t>ومن كتب القواعد التي سلكت المسلك الثاني :</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w:t>
      </w:r>
    </w:p>
    <w:p w:rsidR="00035BE3" w:rsidRDefault="00035BE3" w:rsidP="00C10469">
      <w:pPr>
        <w:pStyle w:val="a6"/>
        <w:ind w:left="422" w:firstLine="0"/>
        <w:rPr>
          <w:spacing w:val="4"/>
          <w:rtl/>
        </w:rPr>
      </w:pPr>
      <w:r>
        <w:rPr>
          <w:rFonts w:hint="cs"/>
          <w:spacing w:val="6"/>
          <w:rtl/>
        </w:rPr>
        <w:t>مجلة الأحكام العدلية، مادة 19و 20؛ شرحها لسليم رستم، 1/29؛ ولعلي حيدر، 1/32، 33؛ وللأتاسي، 1/52، 53؛ وشرح قواعدها للزرقا، ص165، 179؛ القواعد والأصول الجامعة، ص60؛ قواعد الفقه للمجدّدي، ص88، قاعدة 169، وص106، قاعدة 252؛ المدخل الفقهي العام، 2/977، فقرة 586، و982، فقرة 588؛ الوجيز، ص192، 201؛ القواعد الفقهية في بابي العبادات والمعاملات لشيخنا د. عبد الله العيسى، ص475، 511؛ القواعد الفقهية الكبرى لشيخنا أ.د. صالح السدلان، ص493؛ المدخل إلى القواعد الفقهية الكلية، ص89، 92؛ المبادئ الفقهية، ص18، 19؛ القواعد الفقهية للدّعاس</w:t>
      </w:r>
      <w:r>
        <w:rPr>
          <w:rFonts w:hint="cs"/>
          <w:spacing w:val="4"/>
          <w:rtl/>
        </w:rPr>
        <w:t>، ص28، قاعدة 15، وص31، قاعدة 17؛ القواعد الفقهية للأستاذ الدكتور محمد إسماعيل، ص96، 99.</w:t>
      </w:r>
    </w:p>
    <w:p w:rsidR="00035BE3" w:rsidRDefault="00035BE3" w:rsidP="00C10469">
      <w:pPr>
        <w:pStyle w:val="a6"/>
        <w:ind w:left="422" w:firstLine="0"/>
        <w:rPr>
          <w:b/>
          <w:bCs/>
          <w:rtl/>
        </w:rPr>
      </w:pPr>
      <w:r>
        <w:rPr>
          <w:rFonts w:hint="cs"/>
          <w:b/>
          <w:bCs/>
          <w:rtl/>
        </w:rPr>
        <w:t>ومن الكتب الأخر التي وردت فيها القاعدة :</w:t>
      </w:r>
    </w:p>
    <w:p w:rsidR="00035BE3" w:rsidRDefault="00035BE3" w:rsidP="00C10469">
      <w:pPr>
        <w:pStyle w:val="a6"/>
        <w:ind w:left="422" w:firstLine="0"/>
        <w:rPr>
          <w:rtl/>
        </w:rPr>
      </w:pPr>
      <w:r>
        <w:rPr>
          <w:rFonts w:hint="cs"/>
          <w:rtl/>
        </w:rPr>
        <w:t xml:space="preserve">جمع الجوامع وشرحه للمحلي مع حاشية البناني، 2/356؛ الموافقات، 2/267 - ولفظه : </w:t>
      </w:r>
      <w:r>
        <w:rPr>
          <w:rFonts w:hint="eastAsia"/>
          <w:rtl/>
        </w:rPr>
        <w:t>«</w:t>
      </w:r>
      <w:r>
        <w:rPr>
          <w:rFonts w:hint="cs"/>
          <w:rtl/>
        </w:rPr>
        <w:t>فإن القاعدة المقرّرة أن لا ضرر ولا ضرار</w:t>
      </w:r>
      <w:r>
        <w:rPr>
          <w:rFonts w:hint="eastAsia"/>
          <w:rtl/>
        </w:rPr>
        <w:t>»</w:t>
      </w:r>
      <w:r>
        <w:rPr>
          <w:rFonts w:hint="cs"/>
          <w:rtl/>
        </w:rPr>
        <w:t xml:space="preserve">-؛ شرح الكوكب المنير، 4/442 - ولفظه : </w:t>
      </w:r>
      <w:r>
        <w:rPr>
          <w:rFonts w:hint="eastAsia"/>
          <w:rtl/>
        </w:rPr>
        <w:t>«</w:t>
      </w:r>
      <w:r>
        <w:rPr>
          <w:rFonts w:hint="cs"/>
          <w:rtl/>
        </w:rPr>
        <w:t>ومن أدلة الفقه أيضًا : زوال الضرر بلا ضرر</w:t>
      </w:r>
      <w:r>
        <w:rPr>
          <w:rFonts w:hint="eastAsia"/>
          <w:rtl/>
        </w:rPr>
        <w:t>»</w:t>
      </w:r>
      <w:r>
        <w:rPr>
          <w:rFonts w:hint="cs"/>
          <w:rtl/>
        </w:rPr>
        <w:t xml:space="preserve">-؛ مغني المحتاج، 1/39- ولفظه : </w:t>
      </w:r>
      <w:r>
        <w:rPr>
          <w:rFonts w:hint="eastAsia"/>
          <w:rtl/>
        </w:rPr>
        <w:t>«</w:t>
      </w:r>
      <w:r>
        <w:rPr>
          <w:rFonts w:hint="cs"/>
          <w:rtl/>
        </w:rPr>
        <w:t>الضرر يزال</w:t>
      </w:r>
      <w:r>
        <w:rPr>
          <w:rFonts w:hint="eastAsia"/>
          <w:rtl/>
        </w:rPr>
        <w:t>»</w:t>
      </w:r>
      <w:r>
        <w:rPr>
          <w:rFonts w:hint="cs"/>
          <w:rtl/>
        </w:rPr>
        <w:t>-؛ مراقي السعود إلى مراقي السعود، ص406- ولفظ النظم:</w:t>
      </w:r>
    </w:p>
    <w:p w:rsidR="00035BE3" w:rsidRDefault="00035BE3" w:rsidP="00C10469">
      <w:pPr>
        <w:pStyle w:val="a6"/>
        <w:ind w:left="422" w:hanging="454"/>
        <w:jc w:val="center"/>
        <w:rPr>
          <w:b/>
          <w:bCs/>
          <w:rtl/>
        </w:rPr>
      </w:pPr>
      <w:r>
        <w:rPr>
          <w:rFonts w:hint="cs"/>
          <w:b/>
          <w:bCs/>
          <w:rtl/>
        </w:rPr>
        <w:t xml:space="preserve">    وقـد أسـس الفـقه عـلى رفـع الضـرر      وإنـمـا يـشـق يـجـلب الوطـر-؛</w:t>
      </w:r>
    </w:p>
    <w:p w:rsidR="00035BE3" w:rsidRDefault="00035BE3" w:rsidP="00C10469">
      <w:pPr>
        <w:pStyle w:val="a6"/>
        <w:ind w:left="422" w:firstLine="0"/>
        <w:rPr>
          <w:rtl/>
        </w:rPr>
      </w:pPr>
      <w:r>
        <w:rPr>
          <w:rFonts w:hint="cs"/>
          <w:rtl/>
        </w:rPr>
        <w:t>فقه الضرورة للأستاذ الدكتور عبد الوهاب أبو سليمان، ص149.</w:t>
      </w:r>
    </w:p>
  </w:footnote>
  <w:footnote w:id="32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حديث: </w:t>
      </w:r>
      <w:r>
        <w:rPr>
          <w:rFonts w:hint="eastAsia"/>
          <w:rtl/>
        </w:rPr>
        <w:t>«</w:t>
      </w:r>
      <w:r>
        <w:rPr>
          <w:rFonts w:hint="cs"/>
          <w:rtl/>
        </w:rPr>
        <w:t>لا ضرر ولا ضرار</w:t>
      </w:r>
      <w:r>
        <w:rPr>
          <w:rFonts w:hint="eastAsia"/>
          <w:rtl/>
        </w:rPr>
        <w:t>»</w:t>
      </w:r>
      <w:r>
        <w:rPr>
          <w:rFonts w:hint="cs"/>
          <w:rtl/>
        </w:rPr>
        <w:t xml:space="preserve"> من الأحاديث الشهيرة، إلا أني لم أجده بزيادة: </w:t>
      </w:r>
      <w:r>
        <w:rPr>
          <w:rFonts w:hint="eastAsia"/>
          <w:rtl/>
        </w:rPr>
        <w:t>«</w:t>
      </w:r>
      <w:r>
        <w:rPr>
          <w:rFonts w:hint="cs"/>
          <w:rtl/>
        </w:rPr>
        <w:t>في الدين</w:t>
      </w:r>
      <w:r>
        <w:rPr>
          <w:rFonts w:hint="eastAsia"/>
          <w:rtl/>
        </w:rPr>
        <w:t>»</w:t>
      </w:r>
      <w:r>
        <w:rPr>
          <w:rFonts w:hint="cs"/>
          <w:rtl/>
        </w:rPr>
        <w:t xml:space="preserve">، وإنما ورد بلفظ : </w:t>
      </w:r>
      <w:r>
        <w:rPr>
          <w:rFonts w:hint="eastAsia"/>
          <w:rtl/>
        </w:rPr>
        <w:t>«</w:t>
      </w:r>
      <w:r>
        <w:rPr>
          <w:rFonts w:hint="cs"/>
          <w:rtl/>
        </w:rPr>
        <w:t>لا ضرر ولا ضرار في الإسلام</w:t>
      </w:r>
      <w:r>
        <w:rPr>
          <w:rFonts w:hint="eastAsia"/>
          <w:rtl/>
        </w:rPr>
        <w:t>»</w:t>
      </w:r>
      <w:r>
        <w:rPr>
          <w:rFonts w:hint="cs"/>
          <w:rtl/>
        </w:rPr>
        <w:t xml:space="preserve">، وقد أخرجه بهذا اللفظ الطبراني في الأوسط، بسنده من حديث جابر، 5/238، ح1975؛ كما أخرجه غيره بدون زيادة : </w:t>
      </w:r>
      <w:r>
        <w:rPr>
          <w:rFonts w:hint="eastAsia"/>
          <w:rtl/>
        </w:rPr>
        <w:t>«</w:t>
      </w:r>
      <w:r>
        <w:rPr>
          <w:rFonts w:hint="cs"/>
          <w:rtl/>
        </w:rPr>
        <w:t>في الإسلام</w:t>
      </w:r>
      <w:r>
        <w:rPr>
          <w:rFonts w:hint="eastAsia"/>
          <w:rtl/>
        </w:rPr>
        <w:t>»</w:t>
      </w:r>
      <w:r>
        <w:rPr>
          <w:rFonts w:hint="cs"/>
          <w:rtl/>
        </w:rPr>
        <w:t>؛ وأيضًا ورد بهذه الزيادة عند أبي داود مرسلاً؛ فقد أخرجه أبو داود في مراسيله، باب الإضرار، ص294، ح407.</w:t>
      </w:r>
    </w:p>
    <w:p w:rsidR="00035BE3" w:rsidRDefault="00035BE3" w:rsidP="00C10469">
      <w:pPr>
        <w:pStyle w:val="a6"/>
        <w:ind w:left="422" w:firstLine="0"/>
        <w:rPr>
          <w:rtl/>
        </w:rPr>
      </w:pPr>
      <w:r>
        <w:rPr>
          <w:rFonts w:hint="cs"/>
          <w:rtl/>
        </w:rPr>
        <w:t xml:space="preserve">وحديث جابر هذا ذكره الزيلعي في (نصب الراية)، والحافظ في (الدراية)، وسكتا عنه، كما ذكره الغُماري في (الهداية) وممّا قال عنه : </w:t>
      </w:r>
      <w:r>
        <w:rPr>
          <w:rFonts w:hint="eastAsia"/>
          <w:rtl/>
        </w:rPr>
        <w:t>«</w:t>
      </w:r>
      <w:r>
        <w:rPr>
          <w:rFonts w:hint="cs"/>
          <w:rtl/>
        </w:rPr>
        <w:t>وهذا سند حسن أو صحيح ...</w:t>
      </w:r>
      <w:r>
        <w:rPr>
          <w:rFonts w:hint="eastAsia"/>
          <w:rtl/>
        </w:rPr>
        <w:t>»</w:t>
      </w:r>
      <w:r>
        <w:rPr>
          <w:rFonts w:hint="cs"/>
          <w:rtl/>
        </w:rPr>
        <w:t xml:space="preserve">، وذكره الألباني في (الإرواء) وقال : </w:t>
      </w:r>
      <w:r>
        <w:rPr>
          <w:rFonts w:hint="eastAsia"/>
          <w:rtl/>
        </w:rPr>
        <w:t>«</w:t>
      </w:r>
      <w:r>
        <w:rPr>
          <w:rFonts w:hint="cs"/>
          <w:rtl/>
        </w:rPr>
        <w:t xml:space="preserve">أخرجه الطبراني ... وقال : </w:t>
      </w:r>
      <w:r>
        <w:rPr>
          <w:rFonts w:hint="eastAsia"/>
          <w:rtl/>
        </w:rPr>
        <w:t>«</w:t>
      </w:r>
      <w:r>
        <w:rPr>
          <w:rFonts w:hint="cs"/>
          <w:rtl/>
        </w:rPr>
        <w:t>لم يروه عن محمد بن يحيى إلا ابن اسحاق</w:t>
      </w:r>
      <w:r>
        <w:rPr>
          <w:rFonts w:hint="eastAsia"/>
          <w:rtl/>
        </w:rPr>
        <w:t>»</w:t>
      </w:r>
      <w:r>
        <w:rPr>
          <w:rFonts w:hint="cs"/>
          <w:rtl/>
        </w:rPr>
        <w:t>. قلت : وهو ثقة ولكنه مدلّس، وقد عنعنه</w:t>
      </w:r>
      <w:r>
        <w:rPr>
          <w:rFonts w:hint="eastAsia"/>
          <w:rtl/>
        </w:rPr>
        <w:t>»</w:t>
      </w:r>
      <w:r>
        <w:rPr>
          <w:rFonts w:hint="cs"/>
          <w:rtl/>
        </w:rPr>
        <w:t>.</w:t>
      </w:r>
    </w:p>
    <w:p w:rsidR="00035BE3" w:rsidRDefault="00035BE3" w:rsidP="00C10469">
      <w:pPr>
        <w:pStyle w:val="a6"/>
        <w:ind w:left="422" w:firstLine="0"/>
        <w:rPr>
          <w:rtl/>
        </w:rPr>
      </w:pPr>
      <w:r>
        <w:rPr>
          <w:rFonts w:hint="cs"/>
          <w:rtl/>
        </w:rPr>
        <w:t>وللحديث شواهد من أحاديث : عبد الله بن عباس، وعائشة، وأبي هريرة، وأبي سعيد الخدري، وعبادة بن الصامت، وثعلبة بن أبي مالك القرظي، وأبي لبابة وعمرو بن عوف.</w:t>
      </w:r>
    </w:p>
    <w:p w:rsidR="00035BE3" w:rsidRDefault="00035BE3" w:rsidP="00C10469">
      <w:pPr>
        <w:pStyle w:val="a6"/>
        <w:ind w:left="422" w:firstLine="0"/>
        <w:rPr>
          <w:rtl/>
        </w:rPr>
      </w:pPr>
      <w:r>
        <w:rPr>
          <w:rFonts w:hint="cs"/>
          <w:rtl/>
        </w:rPr>
        <w:t xml:space="preserve">وهو بمجموع شواهده وطرقه من الأحاديث التي تلقاها جماهير أهل العلم بالقبول :                 </w:t>
      </w:r>
    </w:p>
    <w:p w:rsidR="00035BE3" w:rsidRDefault="00035BE3" w:rsidP="00C10469">
      <w:pPr>
        <w:pStyle w:val="a6"/>
        <w:ind w:left="422" w:firstLine="0"/>
        <w:rPr>
          <w:rtl/>
        </w:rPr>
      </w:pPr>
      <w:r>
        <w:rPr>
          <w:rFonts w:hint="cs"/>
          <w:rtl/>
        </w:rPr>
        <w:t xml:space="preserve">- يقول ابن الصلاح : </w:t>
      </w:r>
      <w:r>
        <w:rPr>
          <w:rFonts w:hint="eastAsia"/>
          <w:rtl/>
        </w:rPr>
        <w:t>«</w:t>
      </w:r>
      <w:r>
        <w:rPr>
          <w:rFonts w:hint="cs"/>
          <w:rtl/>
        </w:rPr>
        <w:t>هذا الحديث أسنده الدارقطني من وجوه، ومجموعها يقوي الحديث ويحسّنه، وقد تقبله جماهير أهل العلم واحتجوا به</w:t>
      </w:r>
      <w:r>
        <w:rPr>
          <w:rFonts w:hint="eastAsia"/>
          <w:rtl/>
        </w:rPr>
        <w:t>»</w:t>
      </w:r>
      <w:r>
        <w:rPr>
          <w:rFonts w:hint="cs"/>
          <w:rtl/>
        </w:rPr>
        <w:t>.</w:t>
      </w:r>
    </w:p>
    <w:p w:rsidR="00035BE3" w:rsidRDefault="00035BE3" w:rsidP="00C10469">
      <w:pPr>
        <w:pStyle w:val="a6"/>
        <w:ind w:left="422" w:firstLine="0"/>
        <w:rPr>
          <w:rtl/>
        </w:rPr>
      </w:pPr>
      <w:r>
        <w:rPr>
          <w:rFonts w:hint="cs"/>
          <w:rtl/>
        </w:rPr>
        <w:t xml:space="preserve">- ويقول النووي عن هذا الحديث : </w:t>
      </w:r>
      <w:r>
        <w:rPr>
          <w:rFonts w:hint="eastAsia"/>
          <w:rtl/>
        </w:rPr>
        <w:t>«</w:t>
      </w:r>
      <w:r>
        <w:rPr>
          <w:rFonts w:hint="cs"/>
          <w:rtl/>
        </w:rPr>
        <w:t>حديث حسن ... وله طرق يقوي بعضها ببعض</w:t>
      </w:r>
      <w:r>
        <w:rPr>
          <w:rFonts w:hint="eastAsia"/>
          <w:rtl/>
        </w:rPr>
        <w:t>»</w:t>
      </w:r>
      <w:r>
        <w:rPr>
          <w:rFonts w:hint="cs"/>
          <w:rtl/>
        </w:rPr>
        <w:t xml:space="preserve">. ويقول ابن رجب معلّقًا : </w:t>
      </w:r>
      <w:r>
        <w:rPr>
          <w:rFonts w:hint="eastAsia"/>
          <w:rtl/>
        </w:rPr>
        <w:t>«</w:t>
      </w:r>
      <w:r>
        <w:rPr>
          <w:rFonts w:hint="cs"/>
          <w:rtl/>
        </w:rPr>
        <w:t>وهو كما قال</w:t>
      </w:r>
      <w:r>
        <w:rPr>
          <w:rFonts w:hint="eastAsia"/>
          <w:rtl/>
        </w:rPr>
        <w:t>»</w:t>
      </w:r>
      <w:r>
        <w:rPr>
          <w:rFonts w:hint="cs"/>
          <w:rtl/>
        </w:rPr>
        <w:t>.</w:t>
      </w:r>
    </w:p>
    <w:p w:rsidR="00035BE3" w:rsidRDefault="00035BE3" w:rsidP="00C10469">
      <w:pPr>
        <w:pStyle w:val="a6"/>
        <w:ind w:left="422" w:firstLine="0"/>
        <w:rPr>
          <w:rtl/>
        </w:rPr>
      </w:pPr>
      <w:r>
        <w:rPr>
          <w:rFonts w:hint="cs"/>
          <w:rtl/>
        </w:rPr>
        <w:t xml:space="preserve">- ويقول الألباني : </w:t>
      </w:r>
      <w:r>
        <w:rPr>
          <w:rFonts w:hint="eastAsia"/>
          <w:rtl/>
        </w:rPr>
        <w:t>«</w:t>
      </w:r>
      <w:r>
        <w:rPr>
          <w:rFonts w:hint="cs"/>
          <w:rtl/>
        </w:rPr>
        <w:t>فهذه طرق كثيرة لهذا الحديث، قد جاوزت العشر، وهي وإن كانت ضعيفة مفرداتها، فإن كثيرًا منها لم يشتد ضعفه، فإذا ضُمّ بعضها إلى بعض تقوّى الحديث بها، وارتقى إلى درجة الصحيح -إن شاء الله-...</w:t>
      </w:r>
      <w:r>
        <w:rPr>
          <w:rFonts w:hint="eastAsia"/>
          <w:rtl/>
        </w:rPr>
        <w:t>»</w:t>
      </w:r>
      <w:r>
        <w:rPr>
          <w:rFonts w:hint="cs"/>
          <w:rtl/>
        </w:rPr>
        <w:t>.</w:t>
      </w:r>
    </w:p>
    <w:p w:rsidR="00035BE3" w:rsidRDefault="00035BE3" w:rsidP="00C10469">
      <w:pPr>
        <w:pStyle w:val="a6"/>
        <w:ind w:left="422" w:firstLine="0"/>
        <w:rPr>
          <w:rtl/>
        </w:rPr>
      </w:pPr>
      <w:r>
        <w:rPr>
          <w:rFonts w:hint="cs"/>
          <w:rtl/>
        </w:rPr>
        <w:t>ولتوثيق ما سبق على الترتيب المذكور انظر : نصب الراية، 4/386؛ الدراية، 2/282؛ الهـدايـة، 8/13؛ إرواء الغليل، 3/411؛ مسند الإمام أحمد (هامش المحققين)، 5/56؛ الأربعين النووية وجامع العلوم والحكم، ص302، 304؛ الإرواء، 3/413.</w:t>
      </w:r>
      <w:r>
        <w:rPr>
          <w:rFonts w:hint="eastAsia"/>
          <w:rtl/>
        </w:rPr>
        <w:t xml:space="preserve"> </w:t>
      </w:r>
    </w:p>
  </w:footnote>
  <w:footnote w:id="32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ولا حرا</w:t>
      </w:r>
      <w:r>
        <w:rPr>
          <w:rFonts w:hint="eastAsia"/>
          <w:rtl/>
        </w:rPr>
        <w:t>»</w:t>
      </w:r>
      <w:r>
        <w:rPr>
          <w:rFonts w:hint="cs"/>
          <w:rtl/>
        </w:rPr>
        <w:t>.</w:t>
      </w:r>
    </w:p>
  </w:footnote>
  <w:footnote w:id="3273">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لهاء زيادة من مصدر هذه العبارة (وهو أشباه ابن نجيم)، ولا يستقيم المعنى بدونها؛ لهذا تم إثباتها في الصلب.</w:t>
      </w:r>
    </w:p>
  </w:footnote>
  <w:footnote w:id="3274">
    <w:p w:rsidR="00035BE3" w:rsidRPr="002B3DA6" w:rsidRDefault="00035BE3" w:rsidP="00C10469">
      <w:pPr>
        <w:pStyle w:val="a8"/>
        <w:bidi/>
        <w:spacing w:line="420" w:lineRule="exact"/>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sidRPr="002B3DA6">
        <w:rPr>
          <w:rFonts w:hint="cs"/>
          <w:spacing w:val="-2"/>
          <w:rtl/>
        </w:rPr>
        <w:t xml:space="preserve"> الأشباه والنظائر لابن نجيم، ص106 - علمًا بأنه نَسب معنى الضرر والضرار إلى (المُغرِب) - وانظر </w:t>
      </w:r>
      <w:r w:rsidRPr="002B3DA6">
        <w:rPr>
          <w:rFonts w:hint="cs"/>
          <w:spacing w:val="-4"/>
          <w:rtl/>
        </w:rPr>
        <w:t>معناهما في: شرح العلائي لقواعد الخادمي، ل25/أ؛ منافع الدقائق، ص322؛ شرح المجلة لسليم</w:t>
      </w:r>
      <w:r>
        <w:rPr>
          <w:rFonts w:hint="cs"/>
          <w:rtl/>
        </w:rPr>
        <w:t xml:space="preserve"> رستم، </w:t>
      </w:r>
      <w:r w:rsidRPr="002B3DA6">
        <w:rPr>
          <w:rFonts w:hint="cs"/>
          <w:spacing w:val="-4"/>
          <w:rtl/>
        </w:rPr>
        <w:t>1/29؛ وللأتاسي، 1/34؛ الفوائد الجنية، 1/267؛ وانظر معاني أُخَرَ في القواعد للحصني، 1/334.</w:t>
      </w:r>
    </w:p>
  </w:footnote>
  <w:footnote w:id="32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ويبنى</w:t>
      </w:r>
      <w:r>
        <w:rPr>
          <w:rFonts w:hint="eastAsia"/>
          <w:rtl/>
        </w:rPr>
        <w:t>»</w:t>
      </w:r>
      <w:r>
        <w:rPr>
          <w:rFonts w:hint="cs"/>
          <w:rtl/>
        </w:rPr>
        <w:t>؛ وفاقًا لأشباه ابن نجيم. وكلاهما صحيح. انظر : أساس البلاغة، ص31.</w:t>
      </w:r>
    </w:p>
  </w:footnote>
  <w:footnote w:id="32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62/ب من (أ).</w:t>
      </w:r>
    </w:p>
  </w:footnote>
  <w:footnote w:id="32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40/ب من (ب).</w:t>
      </w:r>
    </w:p>
  </w:footnote>
  <w:footnote w:id="327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ص106 - مع زيادة عند ابن نجيم في بعض الألفاظ </w:t>
      </w:r>
      <w:r>
        <w:rPr>
          <w:rtl/>
        </w:rPr>
        <w:t>–</w:t>
      </w:r>
      <w:r>
        <w:rPr>
          <w:rFonts w:hint="cs"/>
          <w:rtl/>
        </w:rPr>
        <w:t xml:space="preserve"> وانظر : أشباه السيوطي، 1/210-211.</w:t>
      </w:r>
    </w:p>
  </w:footnote>
  <w:footnote w:id="327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يبيح</w:t>
      </w:r>
      <w:r>
        <w:rPr>
          <w:rFonts w:hint="eastAsia"/>
          <w:rtl/>
        </w:rPr>
        <w:t>»</w:t>
      </w:r>
      <w:r>
        <w:rPr>
          <w:rFonts w:hint="cs"/>
          <w:rtl/>
        </w:rPr>
        <w:t>. والصحيح ما تمَّ إثباته من باقي النسخ.</w:t>
      </w:r>
    </w:p>
  </w:footnote>
  <w:footnote w:id="328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القـاعـدة من القـواعـد المشهورة لدى المذاهب الأربعة؛ لهذا كثر ورودها في كتب الفقه وقواعده وأصوله:</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spacing w:line="226" w:lineRule="auto"/>
        <w:ind w:left="422" w:firstLine="0"/>
        <w:rPr>
          <w:rtl/>
        </w:rPr>
      </w:pPr>
      <w:r>
        <w:rPr>
          <w:rFonts w:hint="cs"/>
          <w:rtl/>
        </w:rPr>
        <w:t xml:space="preserve">الأشباه والنظائر لابن الوكيل، 2/353 - ولفظه : </w:t>
      </w:r>
      <w:r>
        <w:rPr>
          <w:rFonts w:hint="eastAsia"/>
          <w:rtl/>
        </w:rPr>
        <w:t>«</w:t>
      </w:r>
      <w:r>
        <w:rPr>
          <w:rFonts w:hint="cs"/>
          <w:rtl/>
        </w:rPr>
        <w:t>قاعدة : ما يبيح المحذورات تارة يكون بإكراه وتارة بمرض</w:t>
      </w:r>
      <w:r>
        <w:rPr>
          <w:rFonts w:hint="eastAsia"/>
          <w:rtl/>
        </w:rPr>
        <w:t>»</w:t>
      </w:r>
      <w:r>
        <w:rPr>
          <w:rFonts w:hint="cs"/>
          <w:rtl/>
        </w:rPr>
        <w:t xml:space="preserve">-؛ ولابن السبكي، 1/45- ولفظه : </w:t>
      </w:r>
      <w:r>
        <w:rPr>
          <w:rFonts w:hint="eastAsia"/>
          <w:rtl/>
        </w:rPr>
        <w:t>«</w:t>
      </w:r>
      <w:r>
        <w:rPr>
          <w:rFonts w:hint="cs"/>
          <w:rtl/>
        </w:rPr>
        <w:t>الضرورات تبيح المحظورات بشرط عدم نقصانها عنها</w:t>
      </w:r>
      <w:r>
        <w:rPr>
          <w:rFonts w:hint="eastAsia"/>
          <w:rtl/>
        </w:rPr>
        <w:t>»</w:t>
      </w:r>
      <w:r>
        <w:rPr>
          <w:rFonts w:hint="cs"/>
          <w:rtl/>
        </w:rPr>
        <w:t>-؛ المنثور، 2/217؛ مغني ذوي الأفهام (الخاتمة)، ص520، قاعدة 32؛ الأشباه والنظائر للسيوطي، 1/211- ولفظه كلفظ ابن السبكي-؛ إيضاح المسالك، ص132، قاعدة 103؛ الأشباه والنظائر لابن نجيم، ص107؛ المنهج المنتخب وشرحه للمنجور، ص493 - ولفظ المنهج:</w:t>
      </w:r>
    </w:p>
    <w:p w:rsidR="00035BE3" w:rsidRDefault="00035BE3" w:rsidP="00C10469">
      <w:pPr>
        <w:pStyle w:val="a6"/>
        <w:spacing w:line="226" w:lineRule="auto"/>
        <w:ind w:left="422" w:hanging="454"/>
        <w:jc w:val="center"/>
        <w:rPr>
          <w:b/>
          <w:bCs/>
          <w:rtl/>
        </w:rPr>
      </w:pPr>
      <w:r>
        <w:rPr>
          <w:rFonts w:hint="cs"/>
          <w:b/>
          <w:bCs/>
          <w:rtl/>
        </w:rPr>
        <w:t xml:space="preserve">    تـبـيـح مـحـظـورًا ضـرورة كمـا       لـذي اضـطـرار وخـلاف عـلـما-؛</w:t>
      </w:r>
    </w:p>
    <w:p w:rsidR="00035BE3" w:rsidRDefault="00035BE3" w:rsidP="00C10469">
      <w:pPr>
        <w:pStyle w:val="a6"/>
        <w:spacing w:line="226" w:lineRule="auto"/>
        <w:ind w:left="422" w:firstLine="0"/>
        <w:rPr>
          <w:spacing w:val="4"/>
          <w:rtl/>
        </w:rPr>
      </w:pPr>
      <w:r>
        <w:rPr>
          <w:rFonts w:hint="cs"/>
          <w:spacing w:val="4"/>
          <w:rtl/>
        </w:rPr>
        <w:t>الفرائد البهية وشرحاها : الأقمار المضـيئة، ص119؛ والمواهب السنية وحاشيتها : الفوائد الجنية، 1/269 - ولفظ الفرائد :</w:t>
      </w:r>
    </w:p>
    <w:p w:rsidR="00035BE3" w:rsidRDefault="00035BE3" w:rsidP="00C10469">
      <w:pPr>
        <w:pStyle w:val="a6"/>
        <w:spacing w:line="226" w:lineRule="auto"/>
        <w:ind w:left="422" w:hanging="454"/>
        <w:jc w:val="center"/>
        <w:rPr>
          <w:b/>
          <w:bCs/>
          <w:rtl/>
        </w:rPr>
      </w:pPr>
      <w:r>
        <w:rPr>
          <w:rFonts w:hint="cs"/>
          <w:b/>
          <w:bCs/>
          <w:rtl/>
        </w:rPr>
        <w:t>مـنـها الضرورات تـبـيح الـمحتظر     بـشـرطـه الـذي لـه الأصل اعـتبـر</w:t>
      </w:r>
      <w:r>
        <w:rPr>
          <w:rFonts w:hint="cs"/>
          <w:rtl/>
        </w:rPr>
        <w:t>-</w:t>
      </w:r>
      <w:r>
        <w:rPr>
          <w:rFonts w:hint="cs"/>
          <w:b/>
          <w:bCs/>
          <w:rtl/>
        </w:rPr>
        <w:t>؛</w:t>
      </w:r>
    </w:p>
    <w:p w:rsidR="00035BE3" w:rsidRDefault="00035BE3" w:rsidP="00C10469">
      <w:pPr>
        <w:pStyle w:val="a6"/>
        <w:spacing w:line="226" w:lineRule="auto"/>
        <w:ind w:left="422" w:firstLine="0"/>
        <w:rPr>
          <w:spacing w:val="-6"/>
          <w:rtl/>
        </w:rPr>
      </w:pPr>
      <w:r>
        <w:rPr>
          <w:rFonts w:hint="cs"/>
          <w:spacing w:val="-6"/>
          <w:rtl/>
        </w:rPr>
        <w:t>مجامع الحقائق (الخاتمة)، ص45؛ شرح العلائي لقواعد الخادمي، ل25/أ؛ منافع الدقائق، ص223؛ الفرائد البهية للحمزاوي، ص195، قاعدة 228؛ المجاز الواضح وشرحه : الدليل الماهر، ص197- ولفظ المجاز :</w:t>
      </w:r>
    </w:p>
    <w:p w:rsidR="00035BE3" w:rsidRDefault="00035BE3" w:rsidP="00C10469">
      <w:pPr>
        <w:pStyle w:val="a6"/>
        <w:spacing w:line="226" w:lineRule="auto"/>
        <w:ind w:left="422" w:hanging="454"/>
        <w:jc w:val="center"/>
        <w:rPr>
          <w:b/>
          <w:bCs/>
          <w:rtl/>
        </w:rPr>
      </w:pPr>
      <w:r>
        <w:rPr>
          <w:rFonts w:hint="cs"/>
          <w:b/>
          <w:bCs/>
          <w:rtl/>
        </w:rPr>
        <w:t>وللـضـرورة يـبـاح مـا حـظـر        إمّـا اتـفـاقًا أو على الـذي شـهـر-؛</w:t>
      </w:r>
    </w:p>
    <w:p w:rsidR="00035BE3" w:rsidRDefault="00035BE3" w:rsidP="00C10469">
      <w:pPr>
        <w:pStyle w:val="a6"/>
        <w:spacing w:line="226" w:lineRule="auto"/>
        <w:ind w:left="422" w:firstLine="0"/>
        <w:rPr>
          <w:rtl/>
        </w:rPr>
      </w:pPr>
      <w:r>
        <w:rPr>
          <w:rFonts w:hint="cs"/>
          <w:rtl/>
        </w:rPr>
        <w:t xml:space="preserve">مجلة الأحكام العدلية، مادة 21؛ وشرحها لسليم رسـتم، 1/29؛ ولعلي حيدر، 1/33؛ وللأتـاسي، 1/55 - وللأخير كلام نفيس في شرح القاعدة فطالعه إن شئت-؛ شرح قواعدها </w:t>
      </w:r>
      <w:r w:rsidRPr="00F8792F">
        <w:rPr>
          <w:rFonts w:hint="cs"/>
          <w:spacing w:val="-4"/>
          <w:rtl/>
        </w:rPr>
        <w:t xml:space="preserve">للزرقا، ص185؛ رسالة في القواعد الفقهية للشيخ عبد الرحمن السعدي، ص25، البيت: 16 - </w:t>
      </w:r>
      <w:r>
        <w:rPr>
          <w:rFonts w:hint="cs"/>
          <w:rtl/>
        </w:rPr>
        <w:t>ولفظه:</w:t>
      </w:r>
    </w:p>
    <w:p w:rsidR="00035BE3" w:rsidRDefault="00035BE3" w:rsidP="00C10469">
      <w:pPr>
        <w:pStyle w:val="a6"/>
        <w:spacing w:line="226" w:lineRule="auto"/>
        <w:ind w:left="422" w:hanging="454"/>
        <w:jc w:val="center"/>
        <w:rPr>
          <w:b/>
          <w:bCs/>
          <w:rtl/>
        </w:rPr>
      </w:pPr>
      <w:r>
        <w:rPr>
          <w:rFonts w:hint="cs"/>
          <w:b/>
          <w:bCs/>
          <w:rtl/>
        </w:rPr>
        <w:t>وكـل مـحـظـور مـع الضـرورة        بـقـدر مـا تـحـتاجه الـضـرورة-؛</w:t>
      </w:r>
    </w:p>
    <w:p w:rsidR="00035BE3" w:rsidRPr="004367F2" w:rsidRDefault="00035BE3" w:rsidP="00C10469">
      <w:pPr>
        <w:pStyle w:val="a6"/>
        <w:spacing w:line="226" w:lineRule="auto"/>
        <w:ind w:left="420" w:firstLine="0"/>
        <w:jc w:val="mediumKashida"/>
        <w:rPr>
          <w:rtl/>
        </w:rPr>
      </w:pPr>
      <w:r w:rsidRPr="00F8792F">
        <w:rPr>
          <w:rFonts w:hint="cs"/>
          <w:rtl/>
        </w:rPr>
        <w:t xml:space="preserve">القواعد والأصول الجامعة له أيضًا، ص34؛ قواعد الفقه للمجدِّدي، ص89، قاعدة 170؛ المدخل الفقهي العام، 2/987، فقرة 595، و995، فقرة 600؛ القواعد الفقهية للدكتور علي النـدوي، ص102، (308)، وانظر منه 101، 127، 147؛ الوجيز، ص175، 179؛ موسوعة القواعد الفقهية، 1/33، 61؛ قواعد الفقه للروكي، 160، 197، 207؛ </w:t>
      </w:r>
      <w:r w:rsidRPr="00F8792F">
        <w:rPr>
          <w:rFonts w:hint="cs"/>
          <w:spacing w:val="-4"/>
          <w:rtl/>
        </w:rPr>
        <w:t>القواعد الفقهية الكبرى لشيخنا أ.د. صالح السـدلان، ص247؛ المشقة تجلب التيسير</w:t>
      </w:r>
      <w:r w:rsidRPr="00F8792F">
        <w:rPr>
          <w:rFonts w:hint="cs"/>
          <w:rtl/>
        </w:rPr>
        <w:t xml:space="preserve"> </w:t>
      </w:r>
      <w:r w:rsidRPr="00F8792F">
        <w:rPr>
          <w:rFonts w:hint="cs"/>
          <w:spacing w:val="-4"/>
          <w:rtl/>
        </w:rPr>
        <w:t>للدكتور صالح اليوسف، ص376؛ التحرير في قاعدة المشقة تجلب التيسير، ص116؛ رفع الحرج</w:t>
      </w:r>
      <w:r>
        <w:rPr>
          <w:rFonts w:hint="cs"/>
          <w:spacing w:val="-6"/>
          <w:rtl/>
        </w:rPr>
        <w:t xml:space="preserve"> </w:t>
      </w:r>
      <w:r w:rsidRPr="004367F2">
        <w:rPr>
          <w:rFonts w:hint="cs"/>
          <w:rtl/>
        </w:rPr>
        <w:t>لشيخنا د. يعقوب الباحسين، ص437؛ القواعد الكبرى للدكتور عبد الله العجلان، ص79؛ تطبيقات القواعد والضوابط الفقهية للدكتور سعود الغديان، ص1294؛ المدخل إلى القواعد الكلية، ص103، 105؛ القواعد الفقهية للأستاذ الدكتور محمد إسماعيل، ص73؛ المبادئ الفقهية، ص20؛ القواعد الفقهية للدعّاس، ص43، قاعدة 29؛ وللدكتور محمد الزحيلي، ص66.</w:t>
      </w:r>
    </w:p>
    <w:p w:rsidR="00035BE3" w:rsidRDefault="00035BE3" w:rsidP="00C10469">
      <w:pPr>
        <w:pStyle w:val="a6"/>
        <w:spacing w:line="216" w:lineRule="auto"/>
        <w:ind w:left="420" w:hanging="2"/>
        <w:rPr>
          <w:rtl/>
        </w:rPr>
      </w:pPr>
      <w:r>
        <w:rPr>
          <w:rFonts w:hint="cs"/>
          <w:b/>
          <w:bCs/>
          <w:rtl/>
        </w:rPr>
        <w:t>أما كتب الأصول</w:t>
      </w:r>
      <w:r>
        <w:rPr>
          <w:rFonts w:hint="cs"/>
          <w:rtl/>
        </w:rPr>
        <w:t xml:space="preserve"> : فقد تكلمت عن معناها عند حديثها عن الرخصة، فمن تلك الكتب :</w:t>
      </w:r>
    </w:p>
    <w:p w:rsidR="00035BE3" w:rsidRDefault="00035BE3" w:rsidP="00C10469">
      <w:pPr>
        <w:pStyle w:val="a6"/>
        <w:spacing w:line="216" w:lineRule="auto"/>
        <w:ind w:left="420" w:hanging="2"/>
        <w:rPr>
          <w:spacing w:val="6"/>
          <w:rtl/>
        </w:rPr>
      </w:pPr>
      <w:r>
        <w:rPr>
          <w:rFonts w:hint="cs"/>
          <w:spacing w:val="6"/>
          <w:rtl/>
        </w:rPr>
        <w:t xml:space="preserve"> أصول البزدوي وشرحه : كشف الأسرار، 2/576؛ أصول السرخسي، 1/117؛ المستصفى، 1/98؛ روضة الناظر، 1/258؛ مختصر ابن الحاجب وشرح العضد له، 2/8؛ شرح تنقيح الفصول، ص85؛ المنار وشرحاه : كشف الأسرار، 1/460؛ وفتح الغفار، 2/74؛ شرح مختصر الروضة، 1/457؛ جمع الجوامع وشرحه : تشنيف المسامع، 1/195؛ الموافقات، 1/224، 4/105؛ التحرير وشرحاه : التقرير والتحبير، 2/146؛ وتيسير التحرير، 2/228؛ مرآة الأصول وحاشية الإزميري عليها، 2/393؛ شرح الكوكب المنير،1/478؛ مسلم الثبوت وشرحه : فواتح الرحموت، 1/116.</w:t>
      </w:r>
    </w:p>
    <w:p w:rsidR="00035BE3" w:rsidRDefault="00035BE3" w:rsidP="00C10469">
      <w:pPr>
        <w:pStyle w:val="a6"/>
        <w:spacing w:line="216" w:lineRule="auto"/>
        <w:ind w:left="420" w:hanging="2"/>
        <w:rPr>
          <w:rtl/>
        </w:rPr>
      </w:pPr>
      <w:r>
        <w:rPr>
          <w:rFonts w:hint="cs"/>
          <w:b/>
          <w:bCs/>
          <w:rtl/>
        </w:rPr>
        <w:t xml:space="preserve">أما كتب الفقه </w:t>
      </w:r>
      <w:r>
        <w:rPr>
          <w:rFonts w:hint="cs"/>
          <w:rtl/>
        </w:rPr>
        <w:t>فمنها</w:t>
      </w:r>
      <w:r>
        <w:rPr>
          <w:rFonts w:hint="cs"/>
          <w:b/>
          <w:bCs/>
          <w:rtl/>
        </w:rPr>
        <w:t xml:space="preserve"> </w:t>
      </w:r>
      <w:r>
        <w:rPr>
          <w:rFonts w:hint="cs"/>
          <w:rtl/>
        </w:rPr>
        <w:t>:</w:t>
      </w:r>
    </w:p>
    <w:p w:rsidR="00035BE3" w:rsidRDefault="00035BE3" w:rsidP="00C10469">
      <w:pPr>
        <w:pStyle w:val="a6"/>
        <w:spacing w:line="209" w:lineRule="auto"/>
        <w:ind w:left="420" w:hanging="2"/>
        <w:rPr>
          <w:rtl/>
        </w:rPr>
      </w:pPr>
      <w:r>
        <w:rPr>
          <w:rFonts w:hint="cs"/>
          <w:rtl/>
        </w:rPr>
        <w:t xml:space="preserve"> الأم، 4/183؛ فتاوى قاضي خان، 3/409؛ المغني، 13/332؛ فتح القدير، 4/348؛ كشاف القناع، 1/398؛ حاشية الدسوقي، 1/150؛ الدر المختار، 5/218؛ فقه الضرورة للأستاذ الدكتور عبد الوهاب أبو سليمان، ص65.</w:t>
      </w:r>
    </w:p>
  </w:footnote>
  <w:footnote w:id="3281">
    <w:p w:rsidR="00035BE3" w:rsidRDefault="00035BE3" w:rsidP="00C10469">
      <w:pPr>
        <w:pStyle w:val="a8"/>
        <w:bidi/>
        <w:spacing w:line="209"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جاء</w:t>
      </w:r>
      <w:r>
        <w:rPr>
          <w:rFonts w:hint="eastAsia"/>
          <w:rtl/>
        </w:rPr>
        <w:t>»</w:t>
      </w:r>
      <w:r>
        <w:rPr>
          <w:rFonts w:hint="cs"/>
          <w:rtl/>
        </w:rPr>
        <w:t>. والصحيح ما تمَّ إثباته من (ب) و(جـ).</w:t>
      </w:r>
    </w:p>
    <w:p w:rsidR="00035BE3" w:rsidRDefault="00035BE3" w:rsidP="00C10469">
      <w:pPr>
        <w:pStyle w:val="a6"/>
        <w:spacing w:line="209" w:lineRule="auto"/>
        <w:ind w:left="420" w:firstLine="0"/>
        <w:rPr>
          <w:rtl/>
        </w:rPr>
      </w:pPr>
      <w:r>
        <w:rPr>
          <w:rFonts w:hint="cs"/>
          <w:rtl/>
        </w:rPr>
        <w:t xml:space="preserve">وقد جاء في هامش (أ) : </w:t>
      </w:r>
      <w:r>
        <w:rPr>
          <w:rFonts w:hint="eastAsia"/>
          <w:rtl/>
        </w:rPr>
        <w:t>«</w:t>
      </w:r>
      <w:r>
        <w:rPr>
          <w:rFonts w:hint="cs"/>
          <w:rtl/>
        </w:rPr>
        <w:t>شرعًا جائز أول</w:t>
      </w:r>
      <w:r>
        <w:rPr>
          <w:rFonts w:hint="eastAsia"/>
          <w:rtl/>
        </w:rPr>
        <w:t>»</w:t>
      </w:r>
      <w:r>
        <w:rPr>
          <w:rFonts w:hint="cs"/>
          <w:rtl/>
        </w:rPr>
        <w:t>.</w:t>
      </w:r>
    </w:p>
  </w:footnote>
  <w:footnote w:id="3282">
    <w:p w:rsidR="00035BE3" w:rsidRDefault="00035BE3" w:rsidP="00C10469">
      <w:pPr>
        <w:pStyle w:val="a8"/>
        <w:bidi/>
        <w:spacing w:line="209"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داء </w:t>
      </w:r>
      <w:r>
        <w:rPr>
          <w:rFonts w:hint="eastAsia"/>
          <w:rtl/>
        </w:rPr>
        <w:t>»</w:t>
      </w:r>
      <w:r>
        <w:rPr>
          <w:rFonts w:hint="cs"/>
          <w:rtl/>
        </w:rPr>
        <w:t>.</w:t>
      </w:r>
    </w:p>
  </w:footnote>
  <w:footnote w:id="3283">
    <w:p w:rsidR="00035BE3" w:rsidRDefault="00035BE3" w:rsidP="00C10469">
      <w:pPr>
        <w:pStyle w:val="a8"/>
        <w:bidi/>
        <w:spacing w:line="209"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رفع </w:t>
      </w:r>
      <w:r>
        <w:rPr>
          <w:rFonts w:hint="eastAsia"/>
          <w:rtl/>
        </w:rPr>
        <w:t>»</w:t>
      </w:r>
      <w:r>
        <w:rPr>
          <w:rFonts w:hint="cs"/>
          <w:rtl/>
        </w:rPr>
        <w:t>.</w:t>
      </w:r>
    </w:p>
  </w:footnote>
  <w:footnote w:id="3284">
    <w:p w:rsidR="00035BE3" w:rsidRDefault="00035BE3" w:rsidP="00C10469">
      <w:pPr>
        <w:pStyle w:val="a8"/>
        <w:bidi/>
        <w:spacing w:line="209"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للسيوطي، 1/211؛ ولابن نجيم، ص107.</w:t>
      </w:r>
    </w:p>
  </w:footnote>
  <w:footnote w:id="3285">
    <w:p w:rsidR="00035BE3" w:rsidRDefault="00035BE3" w:rsidP="00C10469">
      <w:pPr>
        <w:pStyle w:val="a8"/>
        <w:bidi/>
        <w:spacing w:line="209"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اسم تكون : ضمير مستتر تقديره (هو) يعود إلى (أكثر).</w:t>
      </w:r>
    </w:p>
  </w:footnote>
  <w:footnote w:id="3286">
    <w:p w:rsidR="00035BE3" w:rsidRDefault="00035BE3" w:rsidP="00C10469">
      <w:pPr>
        <w:pStyle w:val="a8"/>
        <w:bidi/>
        <w:spacing w:line="209"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39/أ من (د).</w:t>
      </w:r>
    </w:p>
  </w:footnote>
  <w:footnote w:id="3287">
    <w:p w:rsidR="00035BE3" w:rsidRDefault="00035BE3" w:rsidP="00C10469">
      <w:pPr>
        <w:pStyle w:val="a8"/>
        <w:bidi/>
        <w:spacing w:line="209" w:lineRule="auto"/>
        <w:ind w:left="420"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w:t>
      </w:r>
      <w:r w:rsidRPr="004367F2">
        <w:rPr>
          <w:rFonts w:hint="cs"/>
          <w:spacing w:val="-6"/>
          <w:rtl/>
        </w:rPr>
        <w:t>أي من فروع القاعدة (155) المذكورة ص801 (ل62/ب)؛ ولعلّ سبب هذا التداخل هو كون</w:t>
      </w:r>
      <w:r>
        <w:rPr>
          <w:rFonts w:hint="cs"/>
          <w:spacing w:val="-2"/>
          <w:rtl/>
        </w:rPr>
        <w:t xml:space="preserve"> </w:t>
      </w:r>
      <w:r w:rsidRPr="004367F2">
        <w:rPr>
          <w:rFonts w:hint="cs"/>
          <w:spacing w:val="-6"/>
          <w:rtl/>
        </w:rPr>
        <w:t>الأخيرة مندرجة تحت الأولى، وهذا رأي السيوطي في أشباهه، 1/211؛ وابن نجيم في أشبـاهه، ص107.</w:t>
      </w:r>
      <w:r>
        <w:rPr>
          <w:rFonts w:hint="cs"/>
          <w:spacing w:val="-2"/>
          <w:rtl/>
        </w:rPr>
        <w:t xml:space="preserve"> </w:t>
      </w:r>
      <w:r>
        <w:rPr>
          <w:spacing w:val="-2"/>
          <w:rtl/>
        </w:rPr>
        <w:br/>
      </w:r>
      <w:r>
        <w:rPr>
          <w:rFonts w:hint="cs"/>
          <w:spacing w:val="-2"/>
          <w:rtl/>
        </w:rPr>
        <w:t xml:space="preserve">وقد خالفهما كثير ممّن كتبوا في القواعد من المعاصرين وجعلوا الأخيرة مندرجة تحت قاعدة كلية أخرى، وهي: </w:t>
      </w:r>
      <w:r>
        <w:rPr>
          <w:rFonts w:hint="eastAsia"/>
          <w:spacing w:val="-2"/>
          <w:rtl/>
        </w:rPr>
        <w:t>«</w:t>
      </w:r>
      <w:r>
        <w:rPr>
          <w:rFonts w:hint="cs"/>
          <w:spacing w:val="-2"/>
          <w:rtl/>
        </w:rPr>
        <w:t>المشقة تجلب التيسير</w:t>
      </w:r>
      <w:r>
        <w:rPr>
          <w:rFonts w:hint="eastAsia"/>
          <w:spacing w:val="-2"/>
          <w:rtl/>
        </w:rPr>
        <w:t>»</w:t>
      </w:r>
      <w:r>
        <w:rPr>
          <w:rFonts w:hint="cs"/>
          <w:spacing w:val="-2"/>
          <w:rtl/>
        </w:rPr>
        <w:t>. انظر : الوجيز، ص175؛ المشقة تجلب التيسير للدكتور صالح اليوسف، ص376؛ القواعد الفقهية الكبرى لشيخنا أ.د. صالح السدلان، ص254؛ القواعد الكبرى في الفقه الإسلامي للدكتور عبد الله العجلان، ص79.</w:t>
      </w:r>
    </w:p>
  </w:footnote>
  <w:footnote w:id="32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مشروعة</w:t>
      </w:r>
      <w:r>
        <w:rPr>
          <w:rFonts w:hint="eastAsia"/>
          <w:rtl/>
        </w:rPr>
        <w:t>»</w:t>
      </w:r>
      <w:r>
        <w:rPr>
          <w:rFonts w:hint="cs"/>
          <w:rtl/>
        </w:rPr>
        <w:t>. والصحيح ما تمَّ إثباته من باقي النسخ.</w:t>
      </w:r>
    </w:p>
  </w:footnote>
  <w:footnote w:id="32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يكون</w:t>
      </w:r>
      <w:r>
        <w:rPr>
          <w:rFonts w:hint="eastAsia"/>
          <w:rtl/>
        </w:rPr>
        <w:t>»</w:t>
      </w:r>
      <w:r>
        <w:rPr>
          <w:rFonts w:hint="cs"/>
          <w:rtl/>
        </w:rPr>
        <w:t xml:space="preserve">. والأفصـح ما تمَّ إثباته من (ب). وكلمة </w:t>
      </w:r>
      <w:r>
        <w:rPr>
          <w:rFonts w:hint="eastAsia"/>
          <w:rtl/>
        </w:rPr>
        <w:t>«</w:t>
      </w:r>
      <w:r>
        <w:rPr>
          <w:rFonts w:hint="cs"/>
          <w:rtl/>
        </w:rPr>
        <w:t>يكون</w:t>
      </w:r>
      <w:r>
        <w:rPr>
          <w:rFonts w:hint="eastAsia"/>
          <w:rtl/>
        </w:rPr>
        <w:t>»</w:t>
      </w:r>
      <w:r>
        <w:rPr>
          <w:rFonts w:hint="cs"/>
          <w:rtl/>
        </w:rPr>
        <w:t xml:space="preserve"> تمثل نهاية 48/أ من (جـ).</w:t>
      </w:r>
    </w:p>
  </w:footnote>
  <w:footnote w:id="32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بين المعقوفتين زيادة من (جـ). وكلمة (الشيء) مثبتة في (أ) إلا أنها مطموسة، كما أنه جاء في (هـ) و(و) : </w:t>
      </w:r>
      <w:r>
        <w:rPr>
          <w:rFonts w:hint="eastAsia"/>
          <w:rtl/>
        </w:rPr>
        <w:t>«</w:t>
      </w:r>
      <w:r>
        <w:rPr>
          <w:rFonts w:hint="cs"/>
          <w:rtl/>
        </w:rPr>
        <w:t>حرمة الشيء في نظر الشيء أعظم ...</w:t>
      </w:r>
      <w:r>
        <w:rPr>
          <w:rFonts w:hint="eastAsia"/>
          <w:rtl/>
        </w:rPr>
        <w:t>»</w:t>
      </w:r>
      <w:r>
        <w:rPr>
          <w:rFonts w:hint="cs"/>
          <w:rtl/>
        </w:rPr>
        <w:t>.</w:t>
      </w:r>
    </w:p>
  </w:footnote>
  <w:footnote w:id="32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الشرط في : الأشباه والنظائر للسيوطي، 1/212؛ ولابن نجيم، ص107؛ وكذلك أشباه ابن السبكي، 1/45.</w:t>
      </w:r>
    </w:p>
  </w:footnote>
  <w:footnote w:id="32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(ب).</w:t>
      </w:r>
    </w:p>
  </w:footnote>
  <w:footnote w:id="32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وقد سبق ذكر طائفة من كتب الأصوليين عند توثيق القاعدة، ص805.</w:t>
      </w:r>
    </w:p>
  </w:footnote>
  <w:footnote w:id="329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أدرجها كثير من العلماء تحت قاعدة : الضرر يزال، ومن أوّل من فعل ذلك : ابن السبكي في أشباهه، 1/41؛ حيث ذكر أن شأن هذه مع تلك </w:t>
      </w:r>
      <w:r>
        <w:rPr>
          <w:rFonts w:hint="eastAsia"/>
          <w:rtl/>
        </w:rPr>
        <w:t>«</w:t>
      </w:r>
      <w:r>
        <w:rPr>
          <w:rFonts w:hint="cs"/>
          <w:rtl/>
        </w:rPr>
        <w:t>شأن الأخص مع الأعم في الحقيقة؛ بل هم سواء؛ لأنه لو أزيل بالضرر لما صدق : الضرر يزال</w:t>
      </w:r>
      <w:r>
        <w:rPr>
          <w:rFonts w:hint="eastAsia"/>
          <w:rtl/>
        </w:rPr>
        <w:t>»</w:t>
      </w:r>
      <w:r>
        <w:rPr>
          <w:rFonts w:hint="cs"/>
          <w:rtl/>
        </w:rPr>
        <w:t>-.</w:t>
      </w:r>
    </w:p>
    <w:p w:rsidR="00035BE3" w:rsidRDefault="00035BE3" w:rsidP="00C10469">
      <w:pPr>
        <w:pStyle w:val="a6"/>
        <w:ind w:left="422" w:firstLine="0"/>
        <w:rPr>
          <w:rtl/>
        </w:rPr>
      </w:pPr>
      <w:r>
        <w:rPr>
          <w:rFonts w:hint="cs"/>
          <w:rtl/>
        </w:rPr>
        <w:t xml:space="preserve">وكما وردت هذه القاعدة في أشباه ابن السبكي بلفظ المؤلف وردت به أو نحوه في كثير من كتب الفقه وقواعده :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المنثور، 2/321-ولفظه : </w:t>
      </w:r>
      <w:r>
        <w:rPr>
          <w:rFonts w:hint="eastAsia"/>
          <w:rtl/>
        </w:rPr>
        <w:t>«</w:t>
      </w:r>
      <w:r>
        <w:rPr>
          <w:rFonts w:hint="cs"/>
          <w:rtl/>
        </w:rPr>
        <w:t>الضرر لا يزال بالضرر. كذا أطلقوه.واستدرك الشيخ زين الدين الكتاني فقال : لابد من النظر لأخفهما وأغلظهما</w:t>
      </w:r>
      <w:r>
        <w:rPr>
          <w:rFonts w:hint="eastAsia"/>
          <w:rtl/>
        </w:rPr>
        <w:t>»</w:t>
      </w:r>
      <w:r>
        <w:rPr>
          <w:rFonts w:hint="cs"/>
          <w:rtl/>
        </w:rPr>
        <w:t xml:space="preserve">-؛ الأشبـاه والنظـائر للسيوطي، 1/214؛ ولابن نجيم، ص108؛ الفرائد البهية وشرحاها : الأقمار المضيئة،ص121، والمواهب السنية وحاشيتها : الفوائد الجنية، 1/278- ولفظ الفرائد : </w:t>
      </w:r>
    </w:p>
    <w:p w:rsidR="00035BE3" w:rsidRDefault="00035BE3" w:rsidP="00C10469">
      <w:pPr>
        <w:pStyle w:val="a6"/>
        <w:ind w:left="422" w:hanging="454"/>
        <w:jc w:val="center"/>
        <w:rPr>
          <w:b/>
          <w:bCs/>
          <w:rtl/>
        </w:rPr>
      </w:pPr>
      <w:r>
        <w:rPr>
          <w:rFonts w:hint="cs"/>
          <w:b/>
          <w:bCs/>
          <w:rtl/>
        </w:rPr>
        <w:t>وعـدّ مـن تـلـك القـواعـد الضرر        عـلى الـدوام لا يـزال بالـضـرر-؛</w:t>
      </w:r>
    </w:p>
    <w:p w:rsidR="00035BE3" w:rsidRDefault="00035BE3" w:rsidP="00C10469">
      <w:pPr>
        <w:pStyle w:val="a6"/>
        <w:ind w:left="422" w:firstLine="0"/>
        <w:rPr>
          <w:spacing w:val="-2"/>
          <w:rtl/>
        </w:rPr>
      </w:pPr>
      <w:r>
        <w:rPr>
          <w:rFonts w:hint="cs"/>
          <w:spacing w:val="-2"/>
          <w:rtl/>
        </w:rPr>
        <w:t xml:space="preserve">مجامع الحقائق (الخاتمة)، ص 45؛ شرح العلائي لقواعد الخادمي، ل25/ب؛ منافع الدقائق، ص 323؛ مجلة الأحكام العدلية، مادة 25- ولفظها : </w:t>
      </w:r>
      <w:r>
        <w:rPr>
          <w:rFonts w:hint="eastAsia"/>
          <w:spacing w:val="-2"/>
          <w:rtl/>
        </w:rPr>
        <w:t>«</w:t>
      </w:r>
      <w:r>
        <w:rPr>
          <w:rFonts w:hint="cs"/>
          <w:spacing w:val="-2"/>
          <w:rtl/>
        </w:rPr>
        <w:t xml:space="preserve">الضرر لا يزال بمثله </w:t>
      </w:r>
      <w:r>
        <w:rPr>
          <w:rFonts w:hint="eastAsia"/>
          <w:spacing w:val="-2"/>
          <w:rtl/>
        </w:rPr>
        <w:t>»</w:t>
      </w:r>
      <w:r>
        <w:rPr>
          <w:rFonts w:hint="cs"/>
          <w:spacing w:val="-2"/>
          <w:rtl/>
        </w:rPr>
        <w:t>-؛ وشرحها لسليم رستم، 1/31؛ ولعلي حيدر، 1/35؛ وللأتاسي، 1/63؛ وشرح قواعدها للزرقا، ص 195؛ قواعد الفقه للمجـدّدي، ص88 قاعدة 166؛ المدخل الفقهي العام، 2/983، فقرة 589؛ الوجيز، ص202؛ القواعد الفقهية الكبرى لشيخنا أ.د.صالح السدلان، ص512؛ القواعد الكبرى للدكتور عبد الله العجلان، ص89؛ المدخل إلى القواعد الفقهية، ص93؛ المبادئ الفقهية، ص23؛ القواعد الفقهية للدّعاس، ص32، قاعدة 18؛ وللدكتور محمد الزحيلي، ص60.</w:t>
      </w:r>
    </w:p>
    <w:p w:rsidR="00035BE3" w:rsidRDefault="00035BE3" w:rsidP="00C10469">
      <w:pPr>
        <w:pStyle w:val="a6"/>
        <w:ind w:left="422" w:firstLine="0"/>
        <w:rPr>
          <w:rtl/>
        </w:rPr>
      </w:pPr>
      <w:r>
        <w:rPr>
          <w:rFonts w:hint="cs"/>
          <w:rtl/>
        </w:rPr>
        <w:t>وجميع الكتب المذكورة بعد (المجلة) أوردت لفظ (المجلة). وهو ما استدركه المؤلف في نهاية حديثه عن القاعدة و أشار إلى شيء منه صاحب (المنثور).</w:t>
      </w:r>
    </w:p>
    <w:p w:rsidR="00035BE3" w:rsidRDefault="00035BE3" w:rsidP="00C10469">
      <w:pPr>
        <w:pStyle w:val="a6"/>
        <w:ind w:left="422" w:firstLine="0"/>
        <w:rPr>
          <w:b/>
          <w:bCs/>
          <w:rtl/>
        </w:rPr>
      </w:pPr>
      <w:r>
        <w:rPr>
          <w:rFonts w:hint="cs"/>
          <w:b/>
          <w:bCs/>
          <w:rtl/>
        </w:rPr>
        <w:t xml:space="preserve">أما كتب الفقه فمنها : </w:t>
      </w:r>
    </w:p>
    <w:p w:rsidR="00035BE3" w:rsidRDefault="00035BE3" w:rsidP="00C10469">
      <w:pPr>
        <w:pStyle w:val="a6"/>
        <w:ind w:left="422" w:firstLine="0"/>
        <w:rPr>
          <w:spacing w:val="-6"/>
          <w:rtl/>
        </w:rPr>
      </w:pPr>
      <w:r>
        <w:rPr>
          <w:rFonts w:hint="cs"/>
          <w:spacing w:val="-6"/>
          <w:rtl/>
        </w:rPr>
        <w:t>المغني، 6/231، 562، 7/46، 408، 466، 467، 479، 484، 500؛ مجموع فتاوى شيخ الإسلام ابن تـميمة، 29/189، 30/382؛ الـمـبـدع</w:t>
      </w:r>
      <w:r>
        <w:rPr>
          <w:rFonts w:hint="cs"/>
          <w:b/>
          <w:bCs/>
          <w:spacing w:val="-6"/>
          <w:rtl/>
        </w:rPr>
        <w:t xml:space="preserve">، </w:t>
      </w:r>
      <w:r>
        <w:rPr>
          <w:rFonts w:hint="cs"/>
          <w:spacing w:val="-6"/>
          <w:rtl/>
        </w:rPr>
        <w:t>4/301، 320؛ 5/160، 213، 222؛ مغني المحتاج، 2/190، 298، 364، 2/364، 4/309؛ كشاف القناع، 3/12، 171، 188، 301، 320، 408، 411، 6/196، 200؛ فقه الضرورة للأستاذ الدكتور عبد الوهاب أبو سليمان، ص 66.</w:t>
      </w:r>
      <w:r>
        <w:rPr>
          <w:rFonts w:hint="cs"/>
          <w:b/>
          <w:bCs/>
          <w:spacing w:val="-6"/>
          <w:rtl/>
        </w:rPr>
        <w:t xml:space="preserve"> </w:t>
      </w:r>
    </w:p>
  </w:footnote>
  <w:footnote w:id="329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63/أ من (أ)، مع تكرار</w:t>
      </w:r>
      <w:r>
        <w:rPr>
          <w:rFonts w:hint="eastAsia"/>
          <w:rtl/>
        </w:rPr>
        <w:t>«</w:t>
      </w:r>
      <w:r>
        <w:rPr>
          <w:rFonts w:hint="cs"/>
          <w:rtl/>
        </w:rPr>
        <w:t>فإن</w:t>
      </w:r>
      <w:r>
        <w:rPr>
          <w:rFonts w:hint="eastAsia"/>
          <w:rtl/>
        </w:rPr>
        <w:t>»</w:t>
      </w:r>
      <w:r>
        <w:rPr>
          <w:rFonts w:hint="cs"/>
          <w:rtl/>
        </w:rPr>
        <w:t xml:space="preserve"> في بداية اللوحة التي تليها.</w:t>
      </w:r>
    </w:p>
  </w:footnote>
  <w:footnote w:id="329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في </w:t>
      </w:r>
      <w:r>
        <w:rPr>
          <w:rFonts w:hint="eastAsia"/>
          <w:rtl/>
        </w:rPr>
        <w:t>»</w:t>
      </w:r>
      <w:r>
        <w:rPr>
          <w:rFonts w:hint="cs"/>
          <w:rtl/>
        </w:rPr>
        <w:t>.</w:t>
      </w:r>
    </w:p>
  </w:footnote>
  <w:footnote w:id="329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فتاوى قاضي خان، 3/112؛ البحر الرائق، 7/34؛ رد المحتار؛ 6/511؛ مجلة الأحكام العدلية، مادة 1310 وما بعدها؛ شرح المجلة لسليم رستم، 2/698؛ وانظر من كتب المذاهب الأخرى : الكافي لابن قدامة، 2/215.</w:t>
      </w:r>
    </w:p>
    <w:p w:rsidR="00035BE3" w:rsidRDefault="00035BE3" w:rsidP="00C10469">
      <w:pPr>
        <w:pStyle w:val="a6"/>
        <w:ind w:left="422" w:firstLine="0"/>
        <w:rPr>
          <w:rtl/>
        </w:rPr>
      </w:pPr>
      <w:r>
        <w:rPr>
          <w:rFonts w:hint="cs"/>
          <w:rtl/>
        </w:rPr>
        <w:t>يضاف إلى ذلك أن هذا المثال مُخرَّج على القاعدة في عدد من كتب القواعد، منها : الأشباه والنظائر للسيوطي،1/214؛ ولابن نجيم، ص 108؛ شرح العلائى لقواعد الخادمي، ل25/ب؛ منافع الدقائق، ص 323.</w:t>
      </w:r>
    </w:p>
  </w:footnote>
  <w:footnote w:id="329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في (الدار المشتركة) مسائل يجبر فيها الشريك بالعمارة، ممّا يعني أن الضرر يزال بالضرر! وانظر هذه المسائل في المراجع الخمسة الأولى المذكورة في بداية الهامش السابق.</w:t>
      </w:r>
    </w:p>
  </w:footnote>
  <w:footnote w:id="329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 (جـ) و (د) : </w:t>
      </w:r>
      <w:r>
        <w:rPr>
          <w:rFonts w:hint="eastAsia"/>
          <w:rtl/>
        </w:rPr>
        <w:t>«</w:t>
      </w:r>
      <w:r>
        <w:rPr>
          <w:rFonts w:hint="cs"/>
          <w:rtl/>
        </w:rPr>
        <w:t>ضرر</w:t>
      </w:r>
      <w:r>
        <w:rPr>
          <w:rFonts w:hint="eastAsia"/>
          <w:rtl/>
        </w:rPr>
        <w:t>»</w:t>
      </w:r>
      <w:r>
        <w:rPr>
          <w:rFonts w:hint="cs"/>
          <w:rtl/>
        </w:rPr>
        <w:t xml:space="preserve">. والصحيح ما تمّ إثباته من (ب). </w:t>
      </w:r>
    </w:p>
  </w:footnote>
  <w:footnote w:id="330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 (ب) و(جـ) و (د) : </w:t>
      </w:r>
      <w:r>
        <w:rPr>
          <w:rFonts w:hint="eastAsia"/>
          <w:rtl/>
        </w:rPr>
        <w:t>«</w:t>
      </w:r>
      <w:r>
        <w:rPr>
          <w:rFonts w:hint="cs"/>
          <w:rtl/>
        </w:rPr>
        <w:t>ضرر</w:t>
      </w:r>
      <w:r>
        <w:rPr>
          <w:rFonts w:hint="eastAsia"/>
          <w:rtl/>
        </w:rPr>
        <w:t>»</w:t>
      </w:r>
      <w:r>
        <w:rPr>
          <w:rFonts w:hint="cs"/>
          <w:rtl/>
        </w:rPr>
        <w:t>. والصحيح ما تم إثباته من (هـ) و (و)؛ وفاقاً للمصدر وهو أشباه ابن نجيم؛ ولأنها تمييز منصوب.</w:t>
      </w:r>
    </w:p>
  </w:footnote>
  <w:footnote w:id="330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يشير المؤلف إلى قاعدتين أفردهما بالحديث، الأولى منها سيتكلم عنها ص1167 (ل112/ب)، قاعدة 259، والثانية سبق أن تكلّم عنها، ص312 (ل10/أ)، قاعدة 24 . </w:t>
      </w:r>
    </w:p>
    <w:p w:rsidR="00035BE3" w:rsidRDefault="00035BE3" w:rsidP="00C10469">
      <w:pPr>
        <w:pStyle w:val="a6"/>
        <w:ind w:left="422" w:firstLine="0"/>
        <w:rPr>
          <w:rtl/>
        </w:rPr>
      </w:pPr>
      <w:r>
        <w:rPr>
          <w:rFonts w:hint="cs"/>
          <w:rtl/>
        </w:rPr>
        <w:t xml:space="preserve">وهاتان القاعدتان ذكرهما ابن نجيم بعد قاعدة : </w:t>
      </w:r>
      <w:r>
        <w:rPr>
          <w:rFonts w:hint="eastAsia"/>
          <w:rtl/>
        </w:rPr>
        <w:t>«</w:t>
      </w:r>
      <w:r>
        <w:rPr>
          <w:rFonts w:hint="cs"/>
          <w:rtl/>
        </w:rPr>
        <w:t>الضرر لا يزال بالضرر</w:t>
      </w:r>
      <w:r>
        <w:rPr>
          <w:rFonts w:hint="eastAsia"/>
          <w:rtl/>
        </w:rPr>
        <w:t>»</w:t>
      </w:r>
      <w:r>
        <w:rPr>
          <w:rFonts w:hint="cs"/>
          <w:rtl/>
        </w:rPr>
        <w:t xml:space="preserve"> في تنبيهين على أنهما مقيَّدتان لتلك القاعدة، فانظر أشباهه، ص 109.</w:t>
      </w:r>
    </w:p>
  </w:footnote>
  <w:footnote w:id="330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ذلك: يعود إلى القاعدة الأخيرة، وهي : </w:t>
      </w:r>
      <w:r>
        <w:rPr>
          <w:rFonts w:hint="eastAsia"/>
          <w:rtl/>
        </w:rPr>
        <w:t>«</w:t>
      </w:r>
      <w:r>
        <w:rPr>
          <w:rFonts w:hint="cs"/>
          <w:rtl/>
        </w:rPr>
        <w:t>إذا كان أحد الضررين..</w:t>
      </w:r>
      <w:r>
        <w:rPr>
          <w:rFonts w:hint="eastAsia"/>
          <w:rtl/>
        </w:rPr>
        <w:t>»</w:t>
      </w:r>
      <w:r>
        <w:rPr>
          <w:rFonts w:hint="cs"/>
          <w:rtl/>
        </w:rPr>
        <w:t>؛ بدليل أن الأمثلة التي سيأتي بها مستفادة من أشباه ابن نجيم، وقد فرّعها ابن نجيم على هذه القاعدة.</w:t>
      </w:r>
    </w:p>
  </w:footnote>
  <w:footnote w:id="330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جميع النسخ. والأفصح: تأنيث الفعل، وهو الموافق لأشباه ابن نجيم.</w:t>
      </w:r>
    </w:p>
  </w:footnote>
  <w:footnote w:id="330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قيمتا</w:t>
      </w:r>
      <w:r>
        <w:rPr>
          <w:rFonts w:hint="eastAsia"/>
          <w:rtl/>
        </w:rPr>
        <w:t>»</w:t>
      </w:r>
      <w:r>
        <w:rPr>
          <w:rFonts w:hint="cs"/>
          <w:rtl/>
        </w:rPr>
        <w:t>.</w:t>
      </w:r>
    </w:p>
  </w:footnote>
  <w:footnote w:id="330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الأرض</w:t>
      </w:r>
      <w:r>
        <w:rPr>
          <w:rFonts w:hint="eastAsia"/>
          <w:rtl/>
        </w:rPr>
        <w:t>»</w:t>
      </w:r>
      <w:r>
        <w:rPr>
          <w:rFonts w:hint="cs"/>
          <w:rtl/>
        </w:rPr>
        <w:t>: زيادة من (جـ) و (هـ) و (و) .ولا يستقيم المعنى بدونها.</w:t>
      </w:r>
    </w:p>
  </w:footnote>
  <w:footnote w:id="330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هي الأكثر من قيمة البناء أو الغرس قُلع الغرس وهدم البناء وردت الأرض إلى صاحبها...</w:t>
      </w:r>
    </w:p>
  </w:footnote>
  <w:footnote w:id="330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الأشباه والنظائر لابن نجيم، ص 109-110- مع زيادة في الأشباه لبعض الألفاظ-. والمثال الأخير سبق أن ذكره المؤلف، ص306 (ل10/ب).</w:t>
      </w:r>
    </w:p>
  </w:footnote>
  <w:footnote w:id="330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كثير من كتب القواعد المتأخرة عن المؤلف كما وردت قبل ذلك في جملة من كتب الفقه: </w:t>
      </w:r>
    </w:p>
    <w:p w:rsidR="00035BE3" w:rsidRDefault="00035BE3" w:rsidP="00C10469">
      <w:pPr>
        <w:pStyle w:val="a6"/>
        <w:ind w:left="422" w:firstLine="0"/>
        <w:rPr>
          <w:b/>
          <w:bCs/>
          <w:rtl/>
        </w:rPr>
      </w:pPr>
      <w:r>
        <w:rPr>
          <w:rFonts w:hint="cs"/>
          <w:b/>
          <w:bCs/>
          <w:rtl/>
        </w:rPr>
        <w:t xml:space="preserve">فمن كتب القواعد: </w:t>
      </w:r>
    </w:p>
    <w:p w:rsidR="00035BE3" w:rsidRDefault="00035BE3" w:rsidP="00C10469">
      <w:pPr>
        <w:pStyle w:val="a6"/>
        <w:spacing w:line="228" w:lineRule="auto"/>
        <w:ind w:left="420" w:firstLine="0"/>
        <w:rPr>
          <w:rtl/>
        </w:rPr>
      </w:pPr>
      <w:r>
        <w:rPr>
          <w:rFonts w:hint="cs"/>
          <w:rtl/>
        </w:rPr>
        <w:t xml:space="preserve">مجامع الحقائق (الخاتمة)، ص 45؛ شرح العلائي لقواعد الخادمي، ل 26/أ؛ منافع الدقائق، ص 323؛ مجلة الأحكام العدلية، مادة 31؛ شرحها لسليم رستم، 1/32؛ ولعلي حيدر،1/37؛ وللأتاسي، 1/71؛ وشرح قواعدها للزرقا، ص 207؛ قواعد الفقه للمجددّي، ص 88، قاعدة 168؛ المدخل الفقهي العام، 2/981، فقرة587؛ الوجيز، ص 198؛القواعد الفقهية الكبرى لشيخنا أ.د.صالح السدلان، ص 508؛ القواعد الفقهية في بابي العبادات والمعاملات لشيخنا د.عبد الله العيسى، ص505؛ المدخل إلى القواعد الفقهية، ص90، 92؛ المبادئ الفقهية، ص26؛ القواعد الفقهية للدعّاس، ص31، قاعدة 16؛ وللدكتور محمد الزحيلي، ص60 - ولفظ المجلة والكتب المذكورة بعدها : </w:t>
      </w:r>
      <w:r>
        <w:rPr>
          <w:rFonts w:hint="eastAsia"/>
          <w:rtl/>
        </w:rPr>
        <w:t>«</w:t>
      </w:r>
      <w:r>
        <w:rPr>
          <w:rFonts w:hint="cs"/>
          <w:rtl/>
        </w:rPr>
        <w:t>الضرر يدفع بقدر الإمكان</w:t>
      </w:r>
      <w:r>
        <w:rPr>
          <w:rFonts w:hint="eastAsia"/>
          <w:rtl/>
        </w:rPr>
        <w:t>»</w:t>
      </w:r>
      <w:r>
        <w:rPr>
          <w:rFonts w:hint="cs"/>
          <w:rtl/>
        </w:rPr>
        <w:t xml:space="preserve">-؛ القواعد والضوابط المستخلصة من التحرير، ص489 - ولفظه : </w:t>
      </w:r>
      <w:r>
        <w:rPr>
          <w:rFonts w:hint="eastAsia"/>
          <w:rtl/>
        </w:rPr>
        <w:t>«</w:t>
      </w:r>
      <w:r>
        <w:rPr>
          <w:rFonts w:hint="cs"/>
          <w:rtl/>
        </w:rPr>
        <w:t>الضرر مدفوع</w:t>
      </w:r>
      <w:r>
        <w:rPr>
          <w:rFonts w:hint="eastAsia"/>
          <w:rtl/>
        </w:rPr>
        <w:t>»</w:t>
      </w:r>
      <w:r>
        <w:rPr>
          <w:rFonts w:hint="cs"/>
          <w:rtl/>
        </w:rPr>
        <w:t xml:space="preserve">-؛ القواعد الكبرى للدكتور عبد الله العجلان، ص90- ولفظه : </w:t>
      </w:r>
      <w:r>
        <w:rPr>
          <w:rFonts w:hint="eastAsia"/>
          <w:rtl/>
        </w:rPr>
        <w:t>«</w:t>
      </w:r>
      <w:r>
        <w:rPr>
          <w:rFonts w:hint="cs"/>
          <w:rtl/>
        </w:rPr>
        <w:t xml:space="preserve">الضرر </w:t>
      </w:r>
      <w:r>
        <w:rPr>
          <w:rFonts w:hint="cs"/>
          <w:b/>
          <w:bCs/>
          <w:rtl/>
        </w:rPr>
        <w:t>يزال</w:t>
      </w:r>
      <w:r>
        <w:rPr>
          <w:rFonts w:hint="cs"/>
          <w:rtl/>
        </w:rPr>
        <w:t xml:space="preserve"> بقدر الإمكان</w:t>
      </w:r>
      <w:r>
        <w:rPr>
          <w:rFonts w:hint="eastAsia"/>
          <w:rtl/>
        </w:rPr>
        <w:t>»</w:t>
      </w:r>
      <w:r>
        <w:rPr>
          <w:rFonts w:hint="cs"/>
          <w:rtl/>
        </w:rPr>
        <w:t>-.</w:t>
      </w:r>
    </w:p>
    <w:p w:rsidR="00035BE3" w:rsidRDefault="00035BE3" w:rsidP="00C10469">
      <w:pPr>
        <w:pStyle w:val="a6"/>
        <w:spacing w:line="228" w:lineRule="auto"/>
        <w:ind w:left="420" w:firstLine="0"/>
        <w:rPr>
          <w:b/>
          <w:bCs/>
          <w:rtl/>
        </w:rPr>
      </w:pPr>
      <w:r>
        <w:rPr>
          <w:rFonts w:hint="cs"/>
          <w:b/>
          <w:bCs/>
          <w:rtl/>
        </w:rPr>
        <w:t>ومن كتب الفقه :</w:t>
      </w:r>
    </w:p>
    <w:p w:rsidR="00035BE3" w:rsidRDefault="00035BE3" w:rsidP="00C10469">
      <w:pPr>
        <w:pStyle w:val="a6"/>
        <w:spacing w:line="228" w:lineRule="auto"/>
        <w:ind w:left="420" w:firstLine="0"/>
        <w:rPr>
          <w:szCs w:val="32"/>
          <w:rtl/>
        </w:rPr>
      </w:pPr>
      <w:r w:rsidRPr="00405C82">
        <w:rPr>
          <w:rFonts w:hint="cs"/>
          <w:spacing w:val="-4"/>
          <w:szCs w:val="32"/>
          <w:rtl/>
        </w:rPr>
        <w:t>بدائع الصنائع، 2/137؛ الهداية وشرحاها : العناية وفتح القدير، 6/103، 104، 373،</w:t>
      </w:r>
      <w:r>
        <w:rPr>
          <w:rFonts w:hint="cs"/>
          <w:szCs w:val="32"/>
          <w:rtl/>
        </w:rPr>
        <w:t xml:space="preserve"> </w:t>
      </w:r>
      <w:r w:rsidRPr="00405C82">
        <w:rPr>
          <w:rFonts w:hint="cs"/>
          <w:spacing w:val="-4"/>
          <w:szCs w:val="32"/>
          <w:rtl/>
        </w:rPr>
        <w:t xml:space="preserve">7/47، 170، 171 </w:t>
      </w:r>
      <w:r w:rsidRPr="00405C82">
        <w:rPr>
          <w:spacing w:val="-4"/>
          <w:szCs w:val="32"/>
          <w:rtl/>
        </w:rPr>
        <w:t>–</w:t>
      </w:r>
      <w:r w:rsidRPr="00405C82">
        <w:rPr>
          <w:rFonts w:hint="cs"/>
          <w:spacing w:val="-4"/>
          <w:szCs w:val="32"/>
          <w:rtl/>
        </w:rPr>
        <w:t xml:space="preserve"> ولفظ المؤلف كلفظ العناية في الموضع الأخير، كما أنها هي المصدر</w:t>
      </w:r>
      <w:r>
        <w:rPr>
          <w:rFonts w:hint="cs"/>
          <w:szCs w:val="32"/>
          <w:rtl/>
        </w:rPr>
        <w:t xml:space="preserve"> </w:t>
      </w:r>
      <w:r w:rsidRPr="00405C82">
        <w:rPr>
          <w:rFonts w:hint="cs"/>
          <w:spacing w:val="-4"/>
          <w:szCs w:val="32"/>
          <w:rtl/>
        </w:rPr>
        <w:t xml:space="preserve">الرئيس لما جاء في شرح القاعدة-؛ الدّرر شرح الغرر، 2/192، 447؛ البحر الرائق، </w:t>
      </w:r>
      <w:r>
        <w:rPr>
          <w:rFonts w:hint="cs"/>
          <w:szCs w:val="32"/>
          <w:rtl/>
        </w:rPr>
        <w:t xml:space="preserve">5/152، 6/59. </w:t>
      </w:r>
    </w:p>
  </w:footnote>
  <w:footnote w:id="3309">
    <w:p w:rsidR="00035BE3" w:rsidRDefault="00035BE3" w:rsidP="00C10469">
      <w:pPr>
        <w:pStyle w:val="a8"/>
        <w:bidi/>
        <w:spacing w:line="228" w:lineRule="auto"/>
        <w:ind w:left="420" w:right="0"/>
        <w:rPr>
          <w:spacing w:val="-8"/>
          <w:rtl/>
        </w:rPr>
      </w:pPr>
      <w:r>
        <w:rPr>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w:t>
      </w:r>
      <w:r>
        <w:rPr>
          <w:rFonts w:hint="eastAsia"/>
          <w:spacing w:val="-8"/>
          <w:rtl/>
        </w:rPr>
        <w:t>«</w:t>
      </w:r>
      <w:r>
        <w:rPr>
          <w:rFonts w:hint="cs"/>
          <w:spacing w:val="-8"/>
          <w:rtl/>
        </w:rPr>
        <w:t>تسليمه</w:t>
      </w:r>
      <w:r>
        <w:rPr>
          <w:rFonts w:hint="eastAsia"/>
          <w:spacing w:val="-8"/>
          <w:rtl/>
        </w:rPr>
        <w:t>»</w:t>
      </w:r>
      <w:r>
        <w:rPr>
          <w:rFonts w:hint="cs"/>
          <w:spacing w:val="-8"/>
          <w:rtl/>
        </w:rPr>
        <w:t>. والصحيح ما تمَّ إثباته من (ب) و(د)، وهو الموافق لمصدر هذه العبارة (وهو العناية).</w:t>
      </w:r>
    </w:p>
  </w:footnote>
  <w:footnote w:id="3310">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يتصل </w:t>
      </w:r>
      <w:r>
        <w:rPr>
          <w:rFonts w:hint="eastAsia"/>
          <w:rtl/>
        </w:rPr>
        <w:t>»</w:t>
      </w:r>
      <w:r>
        <w:rPr>
          <w:rFonts w:hint="cs"/>
          <w:rtl/>
        </w:rPr>
        <w:t>.</w:t>
      </w:r>
    </w:p>
  </w:footnote>
  <w:footnote w:id="3311">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لو </w:t>
      </w:r>
      <w:r>
        <w:rPr>
          <w:rFonts w:hint="eastAsia"/>
          <w:rtl/>
        </w:rPr>
        <w:t>»</w:t>
      </w:r>
      <w:r>
        <w:rPr>
          <w:rFonts w:hint="cs"/>
          <w:rtl/>
        </w:rPr>
        <w:t xml:space="preserve"> : ساقطة من (جـ).</w:t>
      </w:r>
    </w:p>
  </w:footnote>
  <w:footnote w:id="331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معنى هذا التعليل وما بعده: أي : لأنه لو توقف تسليم الكفيل الرجلَ المكفول إلى المكفول له، لو توقف ذلك على قبول المكفول له لربّما امتنع المكفول له عن القبول من أجل الاحتياط؛ لابقاء حقِّ نفسه، فيتضرر بذلك الكفيل؛ ولدفع هذا الضرر عن الكفيل : لم يشترط قبول المكفول له التسليم.</w:t>
      </w:r>
    </w:p>
  </w:footnote>
  <w:footnote w:id="331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63/ب من (أ)، وكذلك نهاية 41/أ من (ب).</w:t>
      </w:r>
    </w:p>
  </w:footnote>
  <w:footnote w:id="331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العناية، 7/171 ، مع اختلاف في الترتيب وبعض الألفاظ، ومن ذلك أنه قال في آخر العبارة السابقة: </w:t>
      </w:r>
      <w:r>
        <w:rPr>
          <w:rFonts w:hint="eastAsia"/>
          <w:rtl/>
        </w:rPr>
        <w:t>«</w:t>
      </w:r>
      <w:r>
        <w:rPr>
          <w:rFonts w:hint="cs"/>
          <w:rtl/>
        </w:rPr>
        <w:t>... فيتضرر به الكفيل، والضرر مدفوع بقدر الإمكان</w:t>
      </w:r>
      <w:r>
        <w:rPr>
          <w:rFonts w:hint="eastAsia"/>
          <w:rtl/>
        </w:rPr>
        <w:t>»</w:t>
      </w:r>
      <w:r>
        <w:rPr>
          <w:rFonts w:hint="cs"/>
          <w:rtl/>
        </w:rPr>
        <w:t>.</w:t>
      </w:r>
    </w:p>
    <w:p w:rsidR="00035BE3" w:rsidRDefault="00035BE3" w:rsidP="00C10469">
      <w:pPr>
        <w:pStyle w:val="a6"/>
        <w:ind w:left="422" w:firstLine="0"/>
        <w:rPr>
          <w:rtl/>
        </w:rPr>
      </w:pPr>
      <w:r>
        <w:rPr>
          <w:rFonts w:hint="cs"/>
          <w:rtl/>
        </w:rPr>
        <w:t xml:space="preserve">يضاف إلى ما سبق أن الضمير في نهاية قول المصنف : </w:t>
      </w:r>
      <w:r>
        <w:rPr>
          <w:rFonts w:hint="eastAsia"/>
          <w:rtl/>
        </w:rPr>
        <w:t>«</w:t>
      </w:r>
      <w:r>
        <w:rPr>
          <w:rFonts w:hint="cs"/>
          <w:rtl/>
        </w:rPr>
        <w:t>عنه</w:t>
      </w:r>
      <w:r>
        <w:rPr>
          <w:rFonts w:hint="eastAsia"/>
          <w:rtl/>
        </w:rPr>
        <w:t>»</w:t>
      </w:r>
      <w:r>
        <w:rPr>
          <w:rFonts w:hint="cs"/>
          <w:rtl/>
        </w:rPr>
        <w:t xml:space="preserve"> ورد تفسيره في هامش (أ) بـ </w:t>
      </w:r>
      <w:r>
        <w:rPr>
          <w:rFonts w:hint="eastAsia"/>
          <w:rtl/>
        </w:rPr>
        <w:t>«</w:t>
      </w:r>
      <w:r>
        <w:rPr>
          <w:rFonts w:hint="cs"/>
          <w:rtl/>
        </w:rPr>
        <w:t>أي المكفول</w:t>
      </w:r>
      <w:r>
        <w:rPr>
          <w:rFonts w:hint="eastAsia"/>
          <w:rtl/>
        </w:rPr>
        <w:t>»</w:t>
      </w:r>
      <w:r>
        <w:rPr>
          <w:rFonts w:hint="cs"/>
          <w:rtl/>
        </w:rPr>
        <w:t>. والذي يظهر أن الضمير يعود إلى الكفيل؛ لأنه أقرب مذكور، ولدلالة السياق.</w:t>
      </w:r>
    </w:p>
  </w:footnote>
  <w:footnote w:id="33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مخصوض</w:t>
      </w:r>
      <w:r>
        <w:rPr>
          <w:rFonts w:hint="eastAsia"/>
          <w:rtl/>
        </w:rPr>
        <w:t>»</w:t>
      </w:r>
      <w:r>
        <w:rPr>
          <w:rFonts w:hint="cs"/>
          <w:rtl/>
        </w:rPr>
        <w:t xml:space="preserve"> (بالضاد).</w:t>
      </w:r>
    </w:p>
  </w:footnote>
  <w:footnote w:id="33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معنى هذه القاعدة أو معنى قريب منها في عدد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4"/>
          <w:rtl/>
        </w:rPr>
      </w:pPr>
      <w:r>
        <w:rPr>
          <w:rFonts w:hint="cs"/>
          <w:spacing w:val="-4"/>
          <w:rtl/>
        </w:rPr>
        <w:t xml:space="preserve">الكليات الفقهية للمقّري، ص273، كلية رقم 205 - ولفظه: </w:t>
      </w:r>
      <w:r>
        <w:rPr>
          <w:rFonts w:hint="eastAsia"/>
          <w:spacing w:val="-4"/>
          <w:rtl/>
        </w:rPr>
        <w:t>«</w:t>
      </w:r>
      <w:r>
        <w:rPr>
          <w:rFonts w:hint="cs"/>
          <w:spacing w:val="-4"/>
          <w:rtl/>
        </w:rPr>
        <w:t>كل ما لم يتمحّض للمعاوضة فالغرر فيه جائز على قدر ما فيه من معنى العطية، وإلا لمْ يجز ...</w:t>
      </w:r>
      <w:r>
        <w:rPr>
          <w:rFonts w:hint="eastAsia"/>
          <w:spacing w:val="-4"/>
          <w:rtl/>
        </w:rPr>
        <w:t>»</w:t>
      </w:r>
      <w:r>
        <w:rPr>
          <w:rFonts w:hint="cs"/>
          <w:spacing w:val="-4"/>
          <w:rtl/>
        </w:rPr>
        <w:t xml:space="preserve">. وهذا اللفظ وإن لم يرد فيه الضمان إلا أنّه يؤدي إليه؛ لأنه ورد فيه النصّ على أن الغرر فيما يتمحّض للمعاوضة غير جائز، وإذا كان غير جائز فإن حصوله يؤدي للضمان-؛ الفوائد الزينية لابن نجيم، ص71، فائدة 65 - ولفظه : </w:t>
      </w:r>
      <w:r>
        <w:rPr>
          <w:rFonts w:hint="eastAsia"/>
          <w:spacing w:val="-4"/>
          <w:rtl/>
        </w:rPr>
        <w:t>«</w:t>
      </w:r>
      <w:r>
        <w:rPr>
          <w:rFonts w:hint="cs"/>
          <w:spacing w:val="-4"/>
          <w:rtl/>
        </w:rPr>
        <w:t>الغرر لا يوجب الرجوع ... إلا في ثلاثٍ فإنه يوجب الرجوع : ... الثانية : أن يكون الغرور في ضمن عقد مفاوضة</w:t>
      </w:r>
      <w:r>
        <w:rPr>
          <w:rFonts w:hint="eastAsia"/>
          <w:spacing w:val="-4"/>
          <w:rtl/>
        </w:rPr>
        <w:t>»</w:t>
      </w:r>
      <w:r>
        <w:rPr>
          <w:rFonts w:hint="cs"/>
          <w:spacing w:val="-4"/>
          <w:rtl/>
        </w:rPr>
        <w:t xml:space="preserve"> [هكذا بالفاء وليس بالعين!]-؛ مجامع الحقائق (الخاتمة)، ص46- ولفظه : </w:t>
      </w:r>
      <w:r>
        <w:rPr>
          <w:rFonts w:hint="eastAsia"/>
          <w:spacing w:val="-4"/>
          <w:rtl/>
        </w:rPr>
        <w:t>«</w:t>
      </w:r>
      <w:r>
        <w:rPr>
          <w:rFonts w:hint="cs"/>
          <w:spacing w:val="-4"/>
          <w:rtl/>
        </w:rPr>
        <w:t>الضمان بالتعدي مختصٌّ بالمعاوضات</w:t>
      </w:r>
      <w:r>
        <w:rPr>
          <w:rFonts w:hint="eastAsia"/>
          <w:spacing w:val="-4"/>
          <w:rtl/>
        </w:rPr>
        <w:t>»</w:t>
      </w:r>
      <w:r>
        <w:rPr>
          <w:rFonts w:hint="cs"/>
          <w:spacing w:val="-4"/>
          <w:rtl/>
        </w:rPr>
        <w:t xml:space="preserve">، كما وردت في النسخة الخطية، ل35/ب بلفظ : </w:t>
      </w:r>
      <w:r>
        <w:rPr>
          <w:rFonts w:hint="eastAsia"/>
          <w:spacing w:val="-4"/>
          <w:rtl/>
        </w:rPr>
        <w:t>«</w:t>
      </w:r>
      <w:r>
        <w:rPr>
          <w:rFonts w:hint="cs"/>
          <w:spacing w:val="-4"/>
          <w:rtl/>
        </w:rPr>
        <w:t xml:space="preserve">الضمان </w:t>
      </w:r>
      <w:r>
        <w:rPr>
          <w:rFonts w:hint="cs"/>
          <w:b/>
          <w:bCs/>
          <w:spacing w:val="-4"/>
          <w:rtl/>
        </w:rPr>
        <w:t>بالتقدير...</w:t>
      </w:r>
      <w:r>
        <w:rPr>
          <w:rFonts w:hint="eastAsia"/>
          <w:spacing w:val="-4"/>
          <w:rtl/>
        </w:rPr>
        <w:t>»</w:t>
      </w:r>
      <w:r>
        <w:rPr>
          <w:rFonts w:hint="cs"/>
          <w:spacing w:val="-4"/>
          <w:rtl/>
        </w:rPr>
        <w:t xml:space="preserve">-؛ شرح العلائي لقواعد الخادمي، ل26/أ؛ منافع الدقائق، ص323 </w:t>
      </w:r>
      <w:r>
        <w:rPr>
          <w:spacing w:val="-4"/>
          <w:rtl/>
        </w:rPr>
        <w:t>–</w:t>
      </w:r>
      <w:r>
        <w:rPr>
          <w:rFonts w:hint="cs"/>
          <w:spacing w:val="-4"/>
          <w:rtl/>
        </w:rPr>
        <w:t xml:space="preserve">ولفظها في (المنافع) كلفظ (المجامع) الأول، بينما لفظها عند العلائي : </w:t>
      </w:r>
      <w:r>
        <w:rPr>
          <w:rFonts w:hint="eastAsia"/>
          <w:spacing w:val="-4"/>
          <w:rtl/>
        </w:rPr>
        <w:t>«</w:t>
      </w:r>
      <w:r>
        <w:rPr>
          <w:rFonts w:hint="cs"/>
          <w:spacing w:val="-4"/>
          <w:rtl/>
        </w:rPr>
        <w:t xml:space="preserve">الضمان </w:t>
      </w:r>
      <w:r>
        <w:rPr>
          <w:rFonts w:hint="cs"/>
          <w:b/>
          <w:bCs/>
          <w:spacing w:val="-4"/>
          <w:rtl/>
        </w:rPr>
        <w:t>بالبعدية</w:t>
      </w:r>
      <w:r>
        <w:rPr>
          <w:rFonts w:hint="cs"/>
          <w:spacing w:val="-4"/>
          <w:rtl/>
        </w:rPr>
        <w:t xml:space="preserve"> [بالباء!] ...</w:t>
      </w:r>
      <w:r>
        <w:rPr>
          <w:rFonts w:hint="eastAsia"/>
          <w:spacing w:val="-4"/>
          <w:rtl/>
        </w:rPr>
        <w:t>»</w:t>
      </w:r>
      <w:r>
        <w:rPr>
          <w:rFonts w:hint="cs"/>
          <w:spacing w:val="-4"/>
          <w:rtl/>
        </w:rPr>
        <w:t xml:space="preserve">-؛ الفرائد البهية للحمزاوي، ص35، قاعدة 54 - ولفظه : </w:t>
      </w:r>
      <w:r>
        <w:rPr>
          <w:rFonts w:hint="eastAsia"/>
          <w:spacing w:val="-4"/>
          <w:rtl/>
        </w:rPr>
        <w:t>«</w:t>
      </w:r>
      <w:r>
        <w:rPr>
          <w:rFonts w:hint="cs"/>
          <w:spacing w:val="-4"/>
          <w:rtl/>
        </w:rPr>
        <w:t>الغرور لا يوجب الرجوع على من غرَّ إلا في ثلاث : .... الثانية : أن يكون في ضمن عقد معاوضة...</w:t>
      </w:r>
      <w:r>
        <w:rPr>
          <w:rFonts w:hint="eastAsia"/>
          <w:spacing w:val="-4"/>
          <w:rtl/>
        </w:rPr>
        <w:t>»</w:t>
      </w:r>
      <w:r>
        <w:rPr>
          <w:rFonts w:hint="cs"/>
          <w:spacing w:val="-4"/>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 xml:space="preserve">العناية، 7/47 - ولفظه : </w:t>
      </w:r>
      <w:r>
        <w:rPr>
          <w:rFonts w:hint="eastAsia"/>
          <w:rtl/>
        </w:rPr>
        <w:t>«</w:t>
      </w:r>
      <w:r>
        <w:rPr>
          <w:rFonts w:hint="cs"/>
          <w:rtl/>
        </w:rPr>
        <w:t>قوله : (والبيع عقد معاوضة) : إنما صرح به ... اهتمامًا ببيان اختصاص  موجبية الغرور للضمان بالـمعاوضات</w:t>
      </w:r>
      <w:r>
        <w:rPr>
          <w:rFonts w:hint="eastAsia"/>
          <w:rtl/>
        </w:rPr>
        <w:t>»</w:t>
      </w:r>
      <w:r>
        <w:rPr>
          <w:rFonts w:hint="cs"/>
          <w:rtl/>
        </w:rPr>
        <w:t>-، 9/49؛ جـامع الفصوليين، 1/161؛ الدرر شرح الغرر، 2/305، الدر المختار ورد المحتار، 7/365.</w:t>
      </w:r>
    </w:p>
    <w:p w:rsidR="00035BE3" w:rsidRDefault="00035BE3" w:rsidP="00C10469">
      <w:pPr>
        <w:pStyle w:val="a6"/>
        <w:ind w:left="422" w:firstLine="0"/>
        <w:rPr>
          <w:rtl/>
        </w:rPr>
      </w:pPr>
      <w:r>
        <w:rPr>
          <w:rFonts w:hint="cs"/>
          <w:rtl/>
        </w:rPr>
        <w:t xml:space="preserve">يضاف إلى هذا أن المؤلف ذكر قاعدتين معناهما ليس بعيدًا عن معنى هذه القاعدة، وهما : </w:t>
      </w:r>
      <w:r>
        <w:rPr>
          <w:rFonts w:hint="eastAsia"/>
          <w:rtl/>
        </w:rPr>
        <w:t>«</w:t>
      </w:r>
      <w:r>
        <w:rPr>
          <w:rFonts w:hint="cs"/>
          <w:rtl/>
        </w:rPr>
        <w:t>التغرير في المعاوضة سبـب الضمان ...</w:t>
      </w:r>
      <w:r>
        <w:rPr>
          <w:rFonts w:hint="eastAsia"/>
          <w:rtl/>
        </w:rPr>
        <w:t>»</w:t>
      </w:r>
      <w:r>
        <w:rPr>
          <w:rFonts w:hint="cs"/>
          <w:rtl/>
        </w:rPr>
        <w:t xml:space="preserve"> و</w:t>
      </w:r>
      <w:r>
        <w:rPr>
          <w:rFonts w:hint="eastAsia"/>
          <w:rtl/>
        </w:rPr>
        <w:t>«</w:t>
      </w:r>
      <w:r>
        <w:rPr>
          <w:rFonts w:hint="cs"/>
          <w:rtl/>
        </w:rPr>
        <w:t>المغرور في المعـاوضات التي تقتضي سـلامة العوض جعل سببًا للضمان ...</w:t>
      </w:r>
      <w:r>
        <w:rPr>
          <w:rFonts w:hint="eastAsia"/>
          <w:rtl/>
        </w:rPr>
        <w:t>»</w:t>
      </w:r>
      <w:r>
        <w:rPr>
          <w:rFonts w:hint="cs"/>
          <w:rtl/>
        </w:rPr>
        <w:t>، وذلك ص356 (ل35/ب)، قاعدة 80، وص1062 (ل98/ب)،  قاعدة 230.</w:t>
      </w:r>
    </w:p>
  </w:footnote>
  <w:footnote w:id="33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لأنه </w:t>
      </w:r>
      <w:r>
        <w:rPr>
          <w:rFonts w:hint="eastAsia"/>
          <w:rtl/>
        </w:rPr>
        <w:t>»</w:t>
      </w:r>
      <w:r>
        <w:rPr>
          <w:rFonts w:hint="cs"/>
          <w:rtl/>
        </w:rPr>
        <w:t xml:space="preserve"> مع إسقاط </w:t>
      </w:r>
      <w:r>
        <w:rPr>
          <w:rFonts w:hint="eastAsia"/>
          <w:rtl/>
        </w:rPr>
        <w:t>«</w:t>
      </w:r>
      <w:r>
        <w:rPr>
          <w:rFonts w:hint="cs"/>
          <w:rtl/>
        </w:rPr>
        <w:t xml:space="preserve"> لما </w:t>
      </w:r>
      <w:r>
        <w:rPr>
          <w:rFonts w:hint="eastAsia"/>
          <w:rtl/>
        </w:rPr>
        <w:t>»</w:t>
      </w:r>
      <w:r>
        <w:rPr>
          <w:rFonts w:hint="cs"/>
          <w:rtl/>
        </w:rPr>
        <w:t>.</w:t>
      </w:r>
    </w:p>
  </w:footnote>
  <w:footnote w:id="33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وكذلك لا يضمن.</w:t>
      </w:r>
    </w:p>
  </w:footnote>
  <w:footnote w:id="33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48/ب من (جـ).</w:t>
      </w:r>
    </w:p>
  </w:footnote>
  <w:footnote w:id="3320">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في (أ): </w:t>
      </w:r>
      <w:r>
        <w:rPr>
          <w:rFonts w:hint="eastAsia"/>
          <w:spacing w:val="-2"/>
          <w:rtl/>
        </w:rPr>
        <w:t>«</w:t>
      </w:r>
      <w:r>
        <w:rPr>
          <w:rFonts w:hint="cs"/>
          <w:spacing w:val="-2"/>
          <w:rtl/>
        </w:rPr>
        <w:t xml:space="preserve"> تقريرًا </w:t>
      </w:r>
      <w:r>
        <w:rPr>
          <w:rFonts w:hint="eastAsia"/>
          <w:spacing w:val="-2"/>
          <w:rtl/>
        </w:rPr>
        <w:t>»</w:t>
      </w:r>
      <w:r>
        <w:rPr>
          <w:rFonts w:hint="cs"/>
          <w:spacing w:val="-2"/>
          <w:rtl/>
        </w:rPr>
        <w:t xml:space="preserve">. والصحيح ما تمَّ إثباته من باقي النسخ؛ وفاقًا لمصدر هذه العبارة (وهو العناية)، </w:t>
      </w:r>
      <w:r w:rsidRPr="00321420">
        <w:rPr>
          <w:rFonts w:hint="cs"/>
          <w:spacing w:val="-4"/>
          <w:rtl/>
        </w:rPr>
        <w:t>ولأن المؤلف سيذكر هذا المثال بعينه، ص1064 (ل99/أ) وقد اتفقت جميع النسخ على لفظ: (تغريرًا).</w:t>
      </w:r>
    </w:p>
  </w:footnote>
  <w:footnote w:id="3321">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العناية، 7/47 -إلاّ أنه زاد كلمة : (فمات) بعد قوله : </w:t>
      </w:r>
      <w:r>
        <w:rPr>
          <w:rFonts w:hint="eastAsia"/>
          <w:spacing w:val="8"/>
          <w:rtl/>
        </w:rPr>
        <w:t>«</w:t>
      </w:r>
      <w:r>
        <w:rPr>
          <w:rFonts w:hint="cs"/>
          <w:spacing w:val="8"/>
          <w:rtl/>
        </w:rPr>
        <w:t>... غير مسموم فأكل</w:t>
      </w:r>
      <w:r>
        <w:rPr>
          <w:rFonts w:hint="eastAsia"/>
          <w:spacing w:val="8"/>
          <w:rtl/>
        </w:rPr>
        <w:t>»</w:t>
      </w:r>
      <w:r>
        <w:rPr>
          <w:rFonts w:hint="cs"/>
          <w:spacing w:val="8"/>
          <w:rtl/>
        </w:rPr>
        <w:t>-؛ وانظر: فتح القدير، 7/47-48؛ البحر الرائق، 6/157؛ وانظر المسألة الأولى في : جامع الفصولين، 1/161؛ الدّرر شرح الغرر، 2/305؛ تنوير البصائر وشرحه : الدر المختار وحاشيته : رد المحتار، 7/622 - علمًا بأن صاحب التنوير خالف وضمَّن المخبـر-.</w:t>
      </w:r>
    </w:p>
    <w:p w:rsidR="00035BE3" w:rsidRDefault="00035BE3" w:rsidP="00C10469">
      <w:pPr>
        <w:pStyle w:val="a6"/>
        <w:ind w:left="422" w:firstLine="0"/>
        <w:rPr>
          <w:rtl/>
        </w:rPr>
      </w:pPr>
      <w:r>
        <w:rPr>
          <w:rFonts w:hint="cs"/>
          <w:rtl/>
        </w:rPr>
        <w:t>وهاتان المسألتان سوف يذكرهما المؤلف ثانية، ص1064 (ل99/أ).</w:t>
      </w:r>
    </w:p>
  </w:footnote>
  <w:footnote w:id="33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ص1062 (ل98/ب)، قاعدة 230.</w:t>
      </w:r>
    </w:p>
  </w:footnote>
  <w:footnote w:id="33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(بالنّصب)!.</w:t>
      </w:r>
    </w:p>
    <w:p w:rsidR="00035BE3" w:rsidRDefault="00035BE3" w:rsidP="00C10469">
      <w:pPr>
        <w:pStyle w:val="a6"/>
        <w:ind w:left="422" w:firstLine="0"/>
        <w:rPr>
          <w:spacing w:val="-4"/>
          <w:rtl/>
        </w:rPr>
      </w:pPr>
      <w:r>
        <w:rPr>
          <w:rFonts w:hint="cs"/>
          <w:spacing w:val="-4"/>
          <w:rtl/>
        </w:rPr>
        <w:t>والظاهر أنَّ حقّ هذه الكلمة هو الرّفع (طرفا) باعتبارها مبتدأ مرفوع، وعلامة رفعه الألف؛ لأنه مثنى.</w:t>
      </w:r>
    </w:p>
    <w:p w:rsidR="00035BE3" w:rsidRDefault="00035BE3" w:rsidP="00C10469">
      <w:pPr>
        <w:pStyle w:val="a6"/>
        <w:ind w:left="422" w:firstLine="0"/>
        <w:rPr>
          <w:rtl/>
        </w:rPr>
      </w:pPr>
      <w:r>
        <w:rPr>
          <w:rFonts w:hint="cs"/>
          <w:rtl/>
        </w:rPr>
        <w:t xml:space="preserve">لكن يمكن تأويل النّصب بأنها : اسم لحرف ناسخ محذوف، والتقدير : إن طرفي ... </w:t>
      </w:r>
      <w:r>
        <w:rPr>
          <w:rtl/>
        </w:rPr>
        <w:t>–</w:t>
      </w:r>
      <w:r>
        <w:rPr>
          <w:rFonts w:hint="cs"/>
          <w:rtl/>
        </w:rPr>
        <w:t>والله أعلم-.</w:t>
      </w:r>
    </w:p>
  </w:footnote>
  <w:footnote w:id="3324">
    <w:p w:rsidR="00035BE3" w:rsidRDefault="00035BE3" w:rsidP="00C10469">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هذه قاعدة أصولية ترد كثيرًا في كتب الحنفية الأصولية، في بداية حديثهم عن المخلِّص من تعارض وجوه الترجيح.</w:t>
      </w:r>
    </w:p>
    <w:p w:rsidR="00035BE3" w:rsidRDefault="00035BE3" w:rsidP="00C10469">
      <w:pPr>
        <w:pStyle w:val="a6"/>
        <w:ind w:left="422" w:firstLine="0"/>
        <w:rPr>
          <w:b/>
          <w:bCs/>
          <w:rtl/>
        </w:rPr>
      </w:pPr>
      <w:r>
        <w:rPr>
          <w:rFonts w:hint="cs"/>
          <w:b/>
          <w:bCs/>
          <w:rtl/>
        </w:rPr>
        <w:t xml:space="preserve">ومن عباراتهم الوافية بتوضيح القاعدة : </w:t>
      </w:r>
    </w:p>
    <w:p w:rsidR="00035BE3" w:rsidRDefault="00035BE3" w:rsidP="00C10469">
      <w:pPr>
        <w:pStyle w:val="a6"/>
        <w:ind w:left="422" w:firstLine="0"/>
        <w:rPr>
          <w:rtl/>
        </w:rPr>
      </w:pPr>
      <w:r>
        <w:rPr>
          <w:rFonts w:hint="cs"/>
          <w:rtl/>
        </w:rPr>
        <w:t xml:space="preserve">ما جاء في (مرآة الأصول شرح مرقاة الوصول)، 2/384 : </w:t>
      </w:r>
      <w:r>
        <w:rPr>
          <w:rFonts w:hint="eastAsia"/>
          <w:rtl/>
        </w:rPr>
        <w:t>«</w:t>
      </w:r>
      <w:r>
        <w:rPr>
          <w:rFonts w:hint="cs"/>
          <w:rtl/>
        </w:rPr>
        <w:t>اعلم أن التعارض كما يقع بين الأقيسة فيحتاج إلى الترجيح، كذلك يقع بين وجوه الترجيح، بأن يكون لكلٍّ من القياسين ترجيح من وجه، فشرع في بيانه فقال: (وإذا تعارض سبباه) أي: سببا الترجيح (فالذاتي) أي: الوصف القائم به بحسب ذاته، أو بعض أجزائه (أولى من الحالي) أي : الوصف القائم بذلك الشيء بحسب أمر خارج عنه</w:t>
      </w:r>
      <w:r>
        <w:rPr>
          <w:rFonts w:hint="eastAsia"/>
          <w:rtl/>
        </w:rPr>
        <w:t>»</w:t>
      </w:r>
      <w:r>
        <w:rPr>
          <w:rFonts w:hint="cs"/>
          <w:rtl/>
        </w:rPr>
        <w:t>.</w:t>
      </w:r>
    </w:p>
    <w:p w:rsidR="00035BE3" w:rsidRDefault="00035BE3" w:rsidP="00C10469">
      <w:pPr>
        <w:pStyle w:val="a6"/>
        <w:ind w:left="422" w:firstLine="0"/>
        <w:rPr>
          <w:rtl/>
        </w:rPr>
      </w:pPr>
      <w:r>
        <w:rPr>
          <w:rFonts w:hint="cs"/>
          <w:rtl/>
        </w:rPr>
        <w:t xml:space="preserve">وقد خالفهم في ذلك بعض الشافعية وقالوا بترجيح الوصف الحالي (وهو ما سموه بالعلة الحكمية). ومن عباراتهم التي تحكي هذا القول ما جاء في (التبصرة)، ص491 : </w:t>
      </w:r>
      <w:r>
        <w:rPr>
          <w:rFonts w:hint="eastAsia"/>
          <w:rtl/>
        </w:rPr>
        <w:t>«</w:t>
      </w:r>
      <w:r>
        <w:rPr>
          <w:rFonts w:hint="cs"/>
          <w:rtl/>
        </w:rPr>
        <w:t>إذا كانت إحدى العلتين صفة ذاتية، والأخرى حكمية، فالحكمية أولى</w:t>
      </w:r>
      <w:r>
        <w:rPr>
          <w:rFonts w:hint="eastAsia"/>
          <w:rtl/>
        </w:rPr>
        <w:t>»</w:t>
      </w:r>
      <w:r>
        <w:rPr>
          <w:rFonts w:hint="cs"/>
          <w:rtl/>
        </w:rPr>
        <w:t xml:space="preserve">. ثم حكى قولاً أخر لهم يوافق الحنفية فقال : </w:t>
      </w:r>
      <w:r>
        <w:rPr>
          <w:rFonts w:hint="eastAsia"/>
          <w:rtl/>
        </w:rPr>
        <w:t>«</w:t>
      </w:r>
      <w:r>
        <w:rPr>
          <w:rFonts w:hint="cs"/>
          <w:rtl/>
        </w:rPr>
        <w:t>ومن أصحابنا من قال : الذاتية أولى</w:t>
      </w:r>
      <w:r>
        <w:rPr>
          <w:rFonts w:hint="eastAsia"/>
          <w:rtl/>
        </w:rPr>
        <w:t>»</w:t>
      </w:r>
      <w:r>
        <w:rPr>
          <w:rFonts w:hint="cs"/>
          <w:rtl/>
        </w:rPr>
        <w:t>.</w:t>
      </w:r>
    </w:p>
    <w:p w:rsidR="00035BE3" w:rsidRDefault="00035BE3" w:rsidP="00C10469">
      <w:pPr>
        <w:pStyle w:val="a6"/>
        <w:ind w:left="422" w:firstLine="0"/>
        <w:rPr>
          <w:spacing w:val="12"/>
          <w:rtl/>
        </w:rPr>
      </w:pPr>
      <w:r>
        <w:rPr>
          <w:rFonts w:hint="cs"/>
          <w:spacing w:val="12"/>
          <w:rtl/>
        </w:rPr>
        <w:t>وللتوسع في هذه القاعدة انظر: أصول البزدوي وشرحه : كشف الأسرار، 4/164؛ أصول السرخسي، 2/262؛ ميزان الأصول، 2/1031؛ المغني للخبازي، ص331؛ التنقيح وشرحه: التوضيح وشرحهما : التلويح، 2/114 -115؛ مسلم الثبوت وشرحه: فواتح الرحموت، 2/209.</w:t>
      </w:r>
    </w:p>
    <w:p w:rsidR="00035BE3" w:rsidRDefault="00035BE3" w:rsidP="00C10469">
      <w:pPr>
        <w:pStyle w:val="a6"/>
        <w:ind w:left="422" w:firstLine="0"/>
        <w:rPr>
          <w:spacing w:val="10"/>
          <w:rtl/>
        </w:rPr>
      </w:pPr>
      <w:r>
        <w:rPr>
          <w:rFonts w:hint="cs"/>
          <w:spacing w:val="10"/>
          <w:rtl/>
        </w:rPr>
        <w:t xml:space="preserve">وكما وردت القاعدة في هذه الكتب الأصولية أصالة، فقد وردت عرضًا في بعض كتب الفقه، منها: المصفى، ل20/أ </w:t>
      </w:r>
      <w:r>
        <w:rPr>
          <w:spacing w:val="10"/>
          <w:rtl/>
        </w:rPr>
        <w:t>–</w:t>
      </w:r>
      <w:r>
        <w:rPr>
          <w:rFonts w:hint="cs"/>
          <w:spacing w:val="10"/>
          <w:rtl/>
        </w:rPr>
        <w:t xml:space="preserve"> ولفظه : </w:t>
      </w:r>
      <w:r>
        <w:rPr>
          <w:rFonts w:hint="eastAsia"/>
          <w:rtl/>
        </w:rPr>
        <w:t>«</w:t>
      </w:r>
      <w:r>
        <w:rPr>
          <w:rFonts w:hint="cs"/>
          <w:rtl/>
        </w:rPr>
        <w:t>لأن الترجيح بالذات أولى من الترجيح بالحال...</w:t>
      </w:r>
      <w:r>
        <w:rPr>
          <w:rFonts w:hint="eastAsia"/>
          <w:rtl/>
        </w:rPr>
        <w:t>»</w:t>
      </w:r>
      <w:r>
        <w:rPr>
          <w:rFonts w:hint="cs"/>
          <w:rtl/>
        </w:rPr>
        <w:t>-؛</w:t>
      </w:r>
      <w:r>
        <w:rPr>
          <w:rFonts w:hint="cs"/>
          <w:spacing w:val="10"/>
          <w:rtl/>
        </w:rPr>
        <w:t xml:space="preserve"> الدرر شرح الغرر، 2/265 -ولفظه : </w:t>
      </w:r>
      <w:r>
        <w:rPr>
          <w:rFonts w:hint="eastAsia"/>
          <w:spacing w:val="10"/>
          <w:rtl/>
        </w:rPr>
        <w:t>«</w:t>
      </w:r>
      <w:r>
        <w:rPr>
          <w:rFonts w:hint="cs"/>
          <w:spacing w:val="10"/>
          <w:rtl/>
        </w:rPr>
        <w:t>إن ضربي الترجيح إذا تعارضا : كان الرجحان في الذات أحق منه في الحال</w:t>
      </w:r>
      <w:r>
        <w:rPr>
          <w:rFonts w:hint="eastAsia"/>
          <w:spacing w:val="10"/>
          <w:rtl/>
        </w:rPr>
        <w:t>»</w:t>
      </w:r>
      <w:r>
        <w:rPr>
          <w:rFonts w:hint="cs"/>
          <w:spacing w:val="10"/>
          <w:rtl/>
        </w:rPr>
        <w:t>، وهذا اللفظ هو أقرب الألفاظ إلى لفظ المؤلف، كما أن جل ما جاء في شرح القاعدة مذكور في (الدرر)-.</w:t>
      </w:r>
    </w:p>
  </w:footnote>
  <w:footnote w:id="33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حق </w:t>
      </w:r>
      <w:r>
        <w:rPr>
          <w:rFonts w:hint="eastAsia"/>
          <w:rtl/>
        </w:rPr>
        <w:t>»</w:t>
      </w:r>
      <w:r>
        <w:rPr>
          <w:rFonts w:hint="cs"/>
          <w:rtl/>
        </w:rPr>
        <w:t xml:space="preserve"> : ساقطة من (جـ).</w:t>
      </w:r>
    </w:p>
  </w:footnote>
  <w:footnote w:id="33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جميع ما جاء في شرح القاعدة في : الدّرر شرح الغرر، 2/265.</w:t>
      </w:r>
    </w:p>
    <w:p w:rsidR="00035BE3" w:rsidRDefault="00035BE3" w:rsidP="00C10469">
      <w:pPr>
        <w:pStyle w:val="a6"/>
        <w:ind w:left="422" w:firstLine="0"/>
        <w:rPr>
          <w:spacing w:val="4"/>
          <w:rtl/>
        </w:rPr>
      </w:pPr>
      <w:r>
        <w:rPr>
          <w:rFonts w:hint="cs"/>
          <w:spacing w:val="4"/>
          <w:rtl/>
        </w:rPr>
        <w:t>وتخريج مسائل صنعة الغاصب على القاعدة ممّا وقع في كثير من كتب الأصول، منها : أصول البزدوي وشرحه : كشف الأسرار، 4/166؛ أصول السرخسي، 2/263؛ المغني، ص333؛ التلويح، 2/115.</w:t>
      </w:r>
    </w:p>
  </w:footnote>
  <w:footnote w:id="33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الخمس الكبرى التي عليها مدار الفقه الإسلامي؛ لهذا لا يكاد يخلو منها كتاب من كتب القواعد، كما بحثها كثير من الأصوليين ضمن الأدلة المختلف فيها، أو ضمن أدلة التخصيص، أو ضمن الأمور التي تترك بها الحقيقة، هذا فضلاً عن التعليل بها في كثير من كتب الفقه:</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 xml:space="preserve">قواعد الأحكام، 2/107، 115، 120 -وهو في هذه المواضع الثلاثة وإن لم يتكلم عن القاعدة بلفظها إلا أنه تناول بعض أحكامها المهمة-؛ الأشباه والنظائر لابن الوكيل، 1/156- ولفظه: </w:t>
      </w:r>
      <w:r>
        <w:rPr>
          <w:rFonts w:hint="eastAsia"/>
          <w:rtl/>
        </w:rPr>
        <w:t>«</w:t>
      </w:r>
      <w:r>
        <w:rPr>
          <w:rFonts w:hint="cs"/>
          <w:rtl/>
        </w:rPr>
        <w:t>الرجوع إلى العرف في مسائل كثيرة...</w:t>
      </w:r>
      <w:r>
        <w:rPr>
          <w:rFonts w:hint="eastAsia"/>
          <w:rtl/>
        </w:rPr>
        <w:t xml:space="preserve"> »</w:t>
      </w:r>
      <w:r>
        <w:rPr>
          <w:rFonts w:hint="cs"/>
          <w:rtl/>
        </w:rPr>
        <w:t xml:space="preserve">-؛ ولابن السبكي، 1/50- ولفظه : </w:t>
      </w:r>
      <w:r>
        <w:rPr>
          <w:rFonts w:hint="eastAsia"/>
          <w:rtl/>
        </w:rPr>
        <w:t>«</w:t>
      </w:r>
      <w:r>
        <w:rPr>
          <w:rFonts w:hint="cs"/>
          <w:rtl/>
        </w:rPr>
        <w:t>الرجوع إلى العادة</w:t>
      </w:r>
      <w:r>
        <w:rPr>
          <w:rFonts w:hint="eastAsia"/>
          <w:rtl/>
        </w:rPr>
        <w:t>»</w:t>
      </w:r>
      <w:r>
        <w:rPr>
          <w:rFonts w:hint="cs"/>
          <w:rtl/>
        </w:rPr>
        <w:t xml:space="preserve">-؛ القواعد للمقَّري، 1/345، قاعدة 117 -ولفظه : </w:t>
      </w:r>
      <w:r>
        <w:rPr>
          <w:rFonts w:hint="eastAsia"/>
          <w:rtl/>
        </w:rPr>
        <w:t>«</w:t>
      </w:r>
      <w:r>
        <w:rPr>
          <w:rFonts w:hint="cs"/>
          <w:rtl/>
        </w:rPr>
        <w:t>يجب الرجوع إلى العوائد فيما كان خلقة</w:t>
      </w:r>
      <w:r>
        <w:rPr>
          <w:rFonts w:hint="eastAsia"/>
          <w:rtl/>
        </w:rPr>
        <w:t>»</w:t>
      </w:r>
      <w:r>
        <w:rPr>
          <w:rFonts w:hint="cs"/>
          <w:rtl/>
        </w:rPr>
        <w:t xml:space="preserve">-؛ الـمنـثور، 2/356، 377 - وتكلم في هذين الموضعين عن موضوع القاعدة، وهو العادة أو العرف-؛ القواعد للحصني، 1/357 -ولفظه: </w:t>
      </w:r>
      <w:r>
        <w:rPr>
          <w:rFonts w:hint="eastAsia"/>
          <w:rtl/>
        </w:rPr>
        <w:t>«</w:t>
      </w:r>
      <w:r>
        <w:rPr>
          <w:rFonts w:hint="cs"/>
          <w:rtl/>
        </w:rPr>
        <w:t>اعتبار العادة والرجوع إليها</w:t>
      </w:r>
      <w:r>
        <w:rPr>
          <w:rFonts w:hint="eastAsia"/>
          <w:rtl/>
        </w:rPr>
        <w:t>»</w:t>
      </w:r>
      <w:r>
        <w:rPr>
          <w:rFonts w:hint="cs"/>
          <w:rtl/>
        </w:rPr>
        <w:t xml:space="preserve">-؛ مختصر من قواعد العلائي وكلام الإسنوي، 1/252، 371، 2/600- ولفظه كاللفظ السابق-؛ الأشباه والنظائر للسيوطي، 1/221؛ إيضاح المسالك، ص142، قاعدة117 -ولفظه : </w:t>
      </w:r>
      <w:r>
        <w:rPr>
          <w:rFonts w:hint="eastAsia"/>
          <w:rtl/>
        </w:rPr>
        <w:t>«</w:t>
      </w:r>
      <w:r>
        <w:rPr>
          <w:rFonts w:hint="cs"/>
          <w:rtl/>
        </w:rPr>
        <w:t>العادة هل هي كالشاهد أو كالشاهدين؟</w:t>
      </w:r>
      <w:r>
        <w:rPr>
          <w:rFonts w:hint="eastAsia"/>
          <w:rtl/>
        </w:rPr>
        <w:t>»</w:t>
      </w:r>
      <w:r>
        <w:rPr>
          <w:rFonts w:hint="cs"/>
          <w:rtl/>
        </w:rPr>
        <w:t xml:space="preserve">-؛ الأشباه والنظائر لابن نجيم، ص115 - وجل ما ذكره المؤلف في شرح القاعدة مذكور فيه-؛ الفرائد البهية وشرحاها : الأقمار المضيئة، ص126؛ والمواهب السنية وحاشيتها : الفوائد الجنية، 1/289؛ مجامع الحقائق (الخاتمة)، ص46؛ شرح العلائي لقواعد الخادمي، ل26/ب؛ منافع الدقائق، ص324؛ الفرائد البهية للحمزاوي، ص29، قاعدة 44 -ولفظه : </w:t>
      </w:r>
      <w:r>
        <w:rPr>
          <w:rFonts w:hint="eastAsia"/>
          <w:rtl/>
        </w:rPr>
        <w:t>«</w:t>
      </w:r>
      <w:r>
        <w:rPr>
          <w:rFonts w:hint="cs"/>
          <w:rtl/>
        </w:rPr>
        <w:t>العادة محكمة ما لم يوجد التصريح بخلافها</w:t>
      </w:r>
      <w:r>
        <w:rPr>
          <w:rFonts w:hint="eastAsia"/>
          <w:rtl/>
        </w:rPr>
        <w:t>»</w:t>
      </w:r>
      <w:r>
        <w:rPr>
          <w:rFonts w:hint="cs"/>
          <w:rtl/>
        </w:rPr>
        <w:t xml:space="preserve">-؛ مجلة الأحكام العدلية، مادة 36؛ شرحها لسليم رستم، 1/34؛ </w:t>
      </w:r>
      <w:r>
        <w:rPr>
          <w:rFonts w:hint="cs"/>
          <w:spacing w:val="-2"/>
          <w:rtl/>
        </w:rPr>
        <w:t>ولعلي حيدر، 1/40؛ وللأتاسي، 1/78؛</w:t>
      </w:r>
      <w:r>
        <w:rPr>
          <w:rFonts w:hint="cs"/>
          <w:rtl/>
        </w:rPr>
        <w:t xml:space="preserve"> وشرح قواعدها للزرقا، ص219؛ رسالة في القواعد الفقهية للشيخ عبد الرحمن السعدي، ص36، البيت رقم 28- ولفظه :</w:t>
      </w:r>
    </w:p>
    <w:p w:rsidR="00035BE3" w:rsidRDefault="00035BE3" w:rsidP="00C10469">
      <w:pPr>
        <w:pStyle w:val="a6"/>
        <w:ind w:left="422" w:hanging="454"/>
        <w:jc w:val="center"/>
        <w:rPr>
          <w:b/>
          <w:bCs/>
          <w:rtl/>
        </w:rPr>
      </w:pPr>
      <w:r>
        <w:rPr>
          <w:rFonts w:hint="cs"/>
          <w:b/>
          <w:bCs/>
          <w:rtl/>
        </w:rPr>
        <w:t xml:space="preserve">    والـعـرف مـعـمـول بـه إذا ورد     حـكم مـن الـشرع الشـريف لـم يـحدّ-؛</w:t>
      </w:r>
    </w:p>
    <w:p w:rsidR="00035BE3" w:rsidRDefault="00035BE3" w:rsidP="00C10469">
      <w:pPr>
        <w:pStyle w:val="a6"/>
        <w:ind w:left="422" w:firstLine="0"/>
        <w:rPr>
          <w:spacing w:val="4"/>
          <w:rtl/>
        </w:rPr>
      </w:pPr>
      <w:r>
        <w:rPr>
          <w:rFonts w:hint="cs"/>
          <w:spacing w:val="4"/>
          <w:rtl/>
        </w:rPr>
        <w:t xml:space="preserve">القواعد والأصول الجامعة له أيضًا، ص47 - ولفظه قريب من اللفظ السابق-؛ قواعد الفقه للمجدِّدي، ص90، قاعدة 176؛ المدخل الفقهي العام، 2/999، فقرة 604؛ القواعد الفقهية للدكتور علي الندوي، ص27، 65، 136، 171، 205، (293)، 351؛ القواعد والضوابط </w:t>
      </w:r>
      <w:r w:rsidRPr="00642C69">
        <w:rPr>
          <w:rFonts w:hint="cs"/>
          <w:rtl/>
        </w:rPr>
        <w:t xml:space="preserve">الفقهية المستخلصة من التحرير، ص117؛ الوجيز، 20، 22، 23، 25، 34، 36، 38، </w:t>
      </w:r>
      <w:r>
        <w:rPr>
          <w:rFonts w:hint="cs"/>
          <w:spacing w:val="4"/>
          <w:rtl/>
        </w:rPr>
        <w:t xml:space="preserve">(213)؛ موسوعة القواعد الفقهية، 1/29، 32، 40، 70، 95؛ القواعد الفقهية في بابـي العبادات والمعاملات لشيخنا د. عبد الله العيسى، ص550 -ولفظه : </w:t>
      </w:r>
      <w:r>
        <w:rPr>
          <w:rFonts w:hint="eastAsia"/>
          <w:spacing w:val="4"/>
          <w:rtl/>
        </w:rPr>
        <w:t>«</w:t>
      </w:r>
      <w:r>
        <w:rPr>
          <w:rFonts w:hint="cs"/>
          <w:spacing w:val="4"/>
          <w:rtl/>
        </w:rPr>
        <w:t>الرجوع إلى العادة والعرف</w:t>
      </w:r>
      <w:r>
        <w:rPr>
          <w:rFonts w:hint="eastAsia"/>
          <w:spacing w:val="4"/>
          <w:rtl/>
        </w:rPr>
        <w:t>»</w:t>
      </w:r>
      <w:r>
        <w:rPr>
          <w:rFonts w:hint="cs"/>
          <w:spacing w:val="4"/>
          <w:rtl/>
        </w:rPr>
        <w:t xml:space="preserve">-؛ القواعد الفقهية الكبرى لشيخنا أ.د. صالح السدلان، ص325؛ القواعد والضوابط الفقهية عند ابن تيمية، ص226 -ولفظه : </w:t>
      </w:r>
      <w:r>
        <w:rPr>
          <w:rFonts w:hint="eastAsia"/>
          <w:spacing w:val="4"/>
          <w:rtl/>
        </w:rPr>
        <w:t>«</w:t>
      </w:r>
      <w:r>
        <w:rPr>
          <w:rFonts w:hint="cs"/>
          <w:spacing w:val="4"/>
          <w:rtl/>
        </w:rPr>
        <w:t>كل اسم ليس له حد في اللغة ولا في الشرع فالمرجع فيه إلى العرف</w:t>
      </w:r>
      <w:r>
        <w:rPr>
          <w:rFonts w:hint="eastAsia"/>
          <w:spacing w:val="4"/>
          <w:rtl/>
        </w:rPr>
        <w:t>»</w:t>
      </w:r>
      <w:r>
        <w:rPr>
          <w:rFonts w:hint="cs"/>
          <w:spacing w:val="4"/>
          <w:rtl/>
        </w:rPr>
        <w:t xml:space="preserve">-؛ القواعد الكبرى في الفقه الإسلامي للدكتور عبد الله العجلان، ص93؛ قواعد الفقه الإسلامي للدكتور محمد الروكي، ص216 - ولفظه : </w:t>
      </w:r>
      <w:r>
        <w:rPr>
          <w:rFonts w:hint="eastAsia"/>
          <w:spacing w:val="4"/>
          <w:rtl/>
        </w:rPr>
        <w:t>«</w:t>
      </w:r>
      <w:r>
        <w:rPr>
          <w:rFonts w:hint="cs"/>
          <w:spacing w:val="4"/>
          <w:rtl/>
        </w:rPr>
        <w:t>العرف أصل يرجع إليه عند التخاصم</w:t>
      </w:r>
      <w:r>
        <w:rPr>
          <w:rFonts w:hint="eastAsia"/>
          <w:spacing w:val="4"/>
          <w:rtl/>
        </w:rPr>
        <w:t>»</w:t>
      </w:r>
      <w:r>
        <w:rPr>
          <w:rFonts w:hint="cs"/>
          <w:spacing w:val="4"/>
          <w:rtl/>
        </w:rPr>
        <w:t>-؛ المدخل إلى القواعد الفقهية للدكتور إبراهيم الحريري، ص108؛ المبادئ الفقهية، ص38؛ القواعد الفقهية للدعّاس، ص46، قاعدة 33؛ وللدكتور محمد الزحيلي، ص70.</w:t>
      </w:r>
    </w:p>
    <w:p w:rsidR="00035BE3" w:rsidRDefault="00035BE3" w:rsidP="00C10469">
      <w:pPr>
        <w:pStyle w:val="a6"/>
        <w:ind w:left="422" w:firstLine="0"/>
        <w:rPr>
          <w:rtl/>
        </w:rPr>
      </w:pPr>
      <w:r>
        <w:rPr>
          <w:rFonts w:hint="cs"/>
          <w:b/>
          <w:bCs/>
          <w:rtl/>
        </w:rPr>
        <w:t>ومن كتب الأصول</w:t>
      </w:r>
      <w:r>
        <w:rPr>
          <w:rFonts w:hint="cs"/>
          <w:rtl/>
        </w:rPr>
        <w:t xml:space="preserve"> :</w:t>
      </w:r>
    </w:p>
    <w:p w:rsidR="00035BE3" w:rsidRDefault="00035BE3" w:rsidP="00C10469">
      <w:pPr>
        <w:pStyle w:val="a6"/>
        <w:ind w:left="422" w:firstLine="0"/>
        <w:rPr>
          <w:spacing w:val="-2"/>
          <w:rtl/>
        </w:rPr>
      </w:pPr>
      <w:r>
        <w:rPr>
          <w:rFonts w:hint="cs"/>
          <w:spacing w:val="-2"/>
          <w:rtl/>
        </w:rPr>
        <w:t>قواطع الأدلة، 3/457؛ شرح تنقيح الفصول، ص448؛ تقريب الوصول إلى علم الأصول، ص404؛ إعلام الموقعين، 3/6؛ جمع الجوامع وشرح المحلي وحاشية البناني، 2/356؛ البحر المحيط، 6/50؛ مراقي السعود وشرحاه : نشر البنود، 2/265؛ ومراقي السعود، ص406؛ مصادر التشريع الإسلامي لعبد الوهاب خلاف، ص145؛ أصول مذهب الإمام أحمد، ص581؛ أثر الأدلة المختلف فيها للدكتور مصطفى البغا، ص239؛ الأصول التي اشتهر انفراد إمام دار الهجرة بها للدكتور محمد زقلام، 417.</w:t>
      </w:r>
    </w:p>
    <w:p w:rsidR="00035BE3" w:rsidRDefault="00035BE3" w:rsidP="00C10469">
      <w:pPr>
        <w:pStyle w:val="a6"/>
        <w:ind w:left="422" w:firstLine="0"/>
        <w:rPr>
          <w:rtl/>
        </w:rPr>
      </w:pPr>
      <w:r>
        <w:rPr>
          <w:rFonts w:hint="cs"/>
          <w:rtl/>
        </w:rPr>
        <w:t xml:space="preserve">وجميع هذه الكتب الأصولية بحثت (العادة) ضمن الأدلة المختلف فيها، وهناك طائفة كبيرة من الأصوليين تحدثوا عنها أيضًا عند حديثهم عن أدلة التخصيص أو الأمور التي تُترك بها الحقيقة، وقد سبق ذكر كثير من كتبهم عند توثيق قاعدة : </w:t>
      </w:r>
      <w:r>
        <w:rPr>
          <w:rFonts w:hint="eastAsia"/>
          <w:rtl/>
        </w:rPr>
        <w:t>«</w:t>
      </w:r>
      <w:r>
        <w:rPr>
          <w:rFonts w:hint="cs"/>
          <w:rtl/>
        </w:rPr>
        <w:t>إجماع المسلمين حجة، يخص بها الأثر، ويترك القياس والنظر</w:t>
      </w:r>
      <w:r>
        <w:rPr>
          <w:rFonts w:hint="eastAsia"/>
          <w:rtl/>
        </w:rPr>
        <w:t>»</w:t>
      </w:r>
      <w:r>
        <w:rPr>
          <w:rFonts w:hint="cs"/>
          <w:rtl/>
        </w:rPr>
        <w:t xml:space="preserve"> وقاعدة : </w:t>
      </w:r>
      <w:r>
        <w:rPr>
          <w:rFonts w:hint="eastAsia"/>
          <w:rtl/>
        </w:rPr>
        <w:t>«</w:t>
      </w:r>
      <w:r>
        <w:rPr>
          <w:rFonts w:hint="cs"/>
          <w:rtl/>
        </w:rPr>
        <w:t>الحقيـقة تـترك بـدلالة العـادة</w:t>
      </w:r>
      <w:r>
        <w:rPr>
          <w:rFonts w:hint="eastAsia"/>
          <w:rtl/>
        </w:rPr>
        <w:t>»</w:t>
      </w:r>
      <w:r>
        <w:rPr>
          <w:rFonts w:hint="cs"/>
          <w:rtl/>
        </w:rPr>
        <w:t>، وذلك ص241 (ل4/أ)، قـاعـدة 5، وص647 (ل46/ب)، قاعدة 114.</w:t>
      </w:r>
    </w:p>
    <w:p w:rsidR="00035BE3" w:rsidRDefault="00035BE3" w:rsidP="00C10469">
      <w:pPr>
        <w:pStyle w:val="a6"/>
        <w:ind w:left="422" w:firstLine="0"/>
        <w:rPr>
          <w:rtl/>
        </w:rPr>
      </w:pPr>
      <w:r>
        <w:rPr>
          <w:rFonts w:hint="cs"/>
          <w:rtl/>
        </w:rPr>
        <w:t xml:space="preserve">وكما وردت القاعدة أصالة في كتب القواعد والأصول، وردت عرضًا في </w:t>
      </w:r>
      <w:r>
        <w:rPr>
          <w:rFonts w:hint="cs"/>
          <w:b/>
          <w:bCs/>
          <w:rtl/>
        </w:rPr>
        <w:t>كتب الفقه</w:t>
      </w:r>
      <w:r>
        <w:rPr>
          <w:rFonts w:hint="cs"/>
          <w:rtl/>
        </w:rPr>
        <w:t xml:space="preserve">، </w:t>
      </w:r>
      <w:r>
        <w:rPr>
          <w:rFonts w:hint="cs"/>
          <w:b/>
          <w:bCs/>
          <w:rtl/>
        </w:rPr>
        <w:t xml:space="preserve">منها </w:t>
      </w:r>
      <w:r>
        <w:rPr>
          <w:rFonts w:hint="cs"/>
          <w:rtl/>
        </w:rPr>
        <w:t>:</w:t>
      </w:r>
    </w:p>
    <w:p w:rsidR="00035BE3" w:rsidRDefault="00035BE3" w:rsidP="00C10469">
      <w:pPr>
        <w:pStyle w:val="a6"/>
        <w:ind w:left="422" w:firstLine="0"/>
        <w:rPr>
          <w:rtl/>
        </w:rPr>
      </w:pPr>
      <w:r>
        <w:rPr>
          <w:rFonts w:hint="cs"/>
          <w:rtl/>
        </w:rPr>
        <w:t>مجموع الفتاوى لشيخ الإسلام ابن تيمية، 19/235، 22/216، 26/114؛ مغني المحتاج، 1/39؛ حاشية الدسـوقي، 1/377؛ رد المحتار،  6/630، 665، 7/425، 9/606، 10/395.</w:t>
      </w:r>
    </w:p>
  </w:footnote>
  <w:footnote w:id="332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هذا الـحديث من الأحاديث المشهورة، وقد تكلَّم عنه كثير من العلماء، وبيّنوا أنه لم يصح رفعه إلى النبي </w:t>
      </w:r>
      <w:r>
        <w:rPr>
          <w:rFonts w:ascii="AGA Arabesque" w:hAnsi="AGA Arabesque"/>
          <w:sz w:val="36"/>
          <w:szCs w:val="36"/>
        </w:rPr>
        <w:t></w:t>
      </w:r>
      <w:r>
        <w:rPr>
          <w:rFonts w:hint="cs"/>
          <w:rtl/>
        </w:rPr>
        <w:t xml:space="preserve"> ، وإنما صحّ وقفه على ابن مسعود </w:t>
      </w:r>
      <w:r>
        <w:rPr>
          <w:rFonts w:ascii="AGA Arabesque" w:hAnsi="AGA Arabesque"/>
          <w:sz w:val="36"/>
          <w:szCs w:val="36"/>
        </w:rPr>
        <w:t></w:t>
      </w:r>
      <w:r>
        <w:rPr>
          <w:rFonts w:hint="cs"/>
          <w:rtl/>
        </w:rPr>
        <w:t xml:space="preserve"> .</w:t>
      </w:r>
    </w:p>
    <w:p w:rsidR="00035BE3" w:rsidRDefault="00035BE3" w:rsidP="00C10469">
      <w:pPr>
        <w:pStyle w:val="a6"/>
        <w:ind w:left="422" w:firstLine="0"/>
        <w:rPr>
          <w:rtl/>
        </w:rPr>
      </w:pPr>
      <w:r>
        <w:rPr>
          <w:rFonts w:hint="cs"/>
          <w:rtl/>
        </w:rPr>
        <w:t>فقد أخرجه الخطيب  بنحوه، في تاريخه، 4/165، من حديث أنس مرفوعًا.</w:t>
      </w:r>
    </w:p>
    <w:p w:rsidR="00035BE3" w:rsidRDefault="00035BE3" w:rsidP="00C10469">
      <w:pPr>
        <w:pStyle w:val="a6"/>
        <w:ind w:left="422" w:firstLine="0"/>
        <w:rPr>
          <w:rtl/>
        </w:rPr>
      </w:pPr>
      <w:r>
        <w:rPr>
          <w:rFonts w:hint="eastAsia"/>
          <w:rtl/>
        </w:rPr>
        <w:t>«</w:t>
      </w:r>
      <w:r>
        <w:rPr>
          <w:rFonts w:hint="cs"/>
          <w:rtl/>
        </w:rPr>
        <w:t>لكن في إسناده سليمان بن عمرو النخعي، قال البخاري : متروك. وقال يحيى بن معين : معروف بوضع الحديث. وقال يزيد بن هارون : لا يحلّ لأحد أن يروي عنه</w:t>
      </w:r>
      <w:r>
        <w:rPr>
          <w:rFonts w:hint="eastAsia"/>
          <w:rtl/>
        </w:rPr>
        <w:t>»</w:t>
      </w:r>
      <w:r>
        <w:rPr>
          <w:rFonts w:hint="cs"/>
          <w:rtl/>
        </w:rPr>
        <w:t xml:space="preserve"> -قاله محقّقو المسند-.</w:t>
      </w:r>
      <w:r>
        <w:rPr>
          <w:rFonts w:hint="cs"/>
          <w:rtl/>
        </w:rPr>
        <w:tab/>
        <w:t xml:space="preserve">  </w:t>
      </w:r>
    </w:p>
    <w:p w:rsidR="00035BE3" w:rsidRDefault="00035BE3" w:rsidP="00C10469">
      <w:pPr>
        <w:pStyle w:val="a6"/>
        <w:ind w:left="422" w:firstLine="0"/>
        <w:rPr>
          <w:rtl/>
        </w:rPr>
      </w:pPr>
      <w:r>
        <w:rPr>
          <w:rFonts w:hint="cs"/>
          <w:rtl/>
        </w:rPr>
        <w:t xml:space="preserve">كما أخرجه موقوفًا على ابن مسعود : أبو داود الطيالسي، ص33؛ والإمـام أحـمـد، 6/84، ح3600؛ والبزار في مسنده، 5/213، ح1816؛ والطبراني في الكبير، 9/112، ح8583؛ والحاكم في المستدرك، كتاب معرفة الصحابة، باب أبي بكر </w:t>
      </w:r>
      <w:r>
        <w:rPr>
          <w:rFonts w:ascii="AGA Arabesque" w:hAnsi="AGA Arabesque"/>
          <w:sz w:val="36"/>
          <w:szCs w:val="36"/>
        </w:rPr>
        <w:t></w:t>
      </w:r>
      <w:r>
        <w:rPr>
          <w:rFonts w:hint="cs"/>
          <w:rtl/>
        </w:rPr>
        <w:t>، 3/83.</w:t>
      </w:r>
    </w:p>
    <w:p w:rsidR="00035BE3" w:rsidRDefault="00035BE3" w:rsidP="00C10469">
      <w:pPr>
        <w:pStyle w:val="a6"/>
        <w:ind w:left="422" w:firstLine="0"/>
        <w:rPr>
          <w:b/>
          <w:bCs/>
          <w:rtl/>
        </w:rPr>
      </w:pPr>
      <w:r>
        <w:rPr>
          <w:rFonts w:hint="cs"/>
          <w:b/>
          <w:bCs/>
          <w:rtl/>
        </w:rPr>
        <w:t>وممّا قاله العلماء في هذا الأثر :</w:t>
      </w:r>
    </w:p>
    <w:p w:rsidR="00035BE3" w:rsidRDefault="00035BE3" w:rsidP="00C10469">
      <w:pPr>
        <w:pStyle w:val="a6"/>
        <w:ind w:left="-32" w:firstLine="454"/>
        <w:rPr>
          <w:rtl/>
        </w:rPr>
      </w:pPr>
      <w:r>
        <w:rPr>
          <w:rFonts w:hint="cs"/>
          <w:rtl/>
        </w:rPr>
        <w:t xml:space="preserve">- ما جاء في المستدرك : </w:t>
      </w:r>
      <w:r>
        <w:rPr>
          <w:rFonts w:hint="eastAsia"/>
          <w:rtl/>
        </w:rPr>
        <w:t>«</w:t>
      </w:r>
      <w:r>
        <w:rPr>
          <w:rFonts w:hint="cs"/>
          <w:rtl/>
        </w:rPr>
        <w:t>هذا حديث صحيح الإسناد، ولم يخرجاه</w:t>
      </w:r>
      <w:r>
        <w:rPr>
          <w:rFonts w:hint="eastAsia"/>
          <w:rtl/>
        </w:rPr>
        <w:t>»</w:t>
      </w:r>
      <w:r>
        <w:rPr>
          <w:rFonts w:hint="cs"/>
          <w:rtl/>
        </w:rPr>
        <w:t>.</w:t>
      </w:r>
    </w:p>
    <w:p w:rsidR="00035BE3" w:rsidRDefault="00035BE3" w:rsidP="00C10469">
      <w:pPr>
        <w:pStyle w:val="a6"/>
        <w:ind w:left="-32" w:firstLine="454"/>
      </w:pPr>
      <w:r>
        <w:rPr>
          <w:rFonts w:hint="cs"/>
          <w:rtl/>
        </w:rPr>
        <w:t xml:space="preserve">- وما جاء في تلخيص الذهبي على المستدرك -3/83- : </w:t>
      </w:r>
      <w:r>
        <w:rPr>
          <w:rFonts w:hint="eastAsia"/>
          <w:rtl/>
        </w:rPr>
        <w:t>«</w:t>
      </w:r>
      <w:r>
        <w:rPr>
          <w:rFonts w:hint="cs"/>
          <w:rtl/>
        </w:rPr>
        <w:t>صحيح</w:t>
      </w:r>
      <w:r>
        <w:rPr>
          <w:rFonts w:hint="eastAsia"/>
          <w:rtl/>
        </w:rPr>
        <w:t>»</w:t>
      </w:r>
      <w:r>
        <w:rPr>
          <w:rFonts w:hint="cs"/>
          <w:rtl/>
        </w:rPr>
        <w:t>.</w:t>
      </w:r>
    </w:p>
    <w:p w:rsidR="00035BE3" w:rsidRDefault="00035BE3" w:rsidP="00C10469">
      <w:pPr>
        <w:pStyle w:val="a6"/>
        <w:ind w:left="422" w:firstLine="0"/>
      </w:pPr>
      <w:r>
        <w:rPr>
          <w:rFonts w:hint="cs"/>
          <w:rtl/>
        </w:rPr>
        <w:t xml:space="preserve">- وما جاء في الدّراية، 2/187، ح863 : </w:t>
      </w:r>
      <w:r>
        <w:rPr>
          <w:rFonts w:hint="eastAsia"/>
          <w:rtl/>
        </w:rPr>
        <w:t>«</w:t>
      </w:r>
      <w:r>
        <w:rPr>
          <w:rFonts w:hint="cs"/>
          <w:rtl/>
        </w:rPr>
        <w:t>لم أجده مرفوعًا، وأخرجه أحمد موقوفًا على ابن مسعود بإسناد حسن</w:t>
      </w:r>
      <w:r>
        <w:rPr>
          <w:rFonts w:hint="eastAsia"/>
          <w:rtl/>
        </w:rPr>
        <w:t>»</w:t>
      </w:r>
      <w:r>
        <w:rPr>
          <w:rFonts w:hint="cs"/>
          <w:rtl/>
        </w:rPr>
        <w:t>.</w:t>
      </w:r>
    </w:p>
    <w:p w:rsidR="00035BE3" w:rsidRDefault="00035BE3" w:rsidP="00C10469">
      <w:pPr>
        <w:pStyle w:val="a6"/>
        <w:ind w:left="422" w:firstLine="0"/>
      </w:pPr>
      <w:r>
        <w:rPr>
          <w:rFonts w:hint="cs"/>
          <w:rtl/>
        </w:rPr>
        <w:t xml:space="preserve">- وما جاء في المقاصد الحسنة، ص585، ح959؛ وفي كشف الخفاء، 2/245، ح1214 : </w:t>
      </w:r>
      <w:r>
        <w:rPr>
          <w:rFonts w:hint="eastAsia"/>
          <w:rtl/>
        </w:rPr>
        <w:t>«</w:t>
      </w:r>
      <w:r>
        <w:rPr>
          <w:rFonts w:hint="cs"/>
          <w:rtl/>
        </w:rPr>
        <w:t>وهو موقوف حسن</w:t>
      </w:r>
      <w:r>
        <w:rPr>
          <w:rFonts w:hint="eastAsia"/>
          <w:rtl/>
        </w:rPr>
        <w:t>»</w:t>
      </w:r>
      <w:r>
        <w:rPr>
          <w:rFonts w:hint="cs"/>
          <w:rtl/>
        </w:rPr>
        <w:t>.</w:t>
      </w:r>
    </w:p>
    <w:p w:rsidR="00035BE3" w:rsidRDefault="00035BE3" w:rsidP="00C10469">
      <w:pPr>
        <w:pStyle w:val="a6"/>
        <w:ind w:left="422" w:firstLine="0"/>
        <w:rPr>
          <w:rtl/>
        </w:rPr>
      </w:pPr>
      <w:r>
        <w:rPr>
          <w:rFonts w:hint="cs"/>
          <w:rtl/>
        </w:rPr>
        <w:t>وانظر : نصب الراية، 4/133؛ مجمع الزوائد، 1/177.</w:t>
      </w:r>
    </w:p>
    <w:p w:rsidR="00035BE3" w:rsidRDefault="00035BE3" w:rsidP="00C10469">
      <w:pPr>
        <w:pStyle w:val="a6"/>
        <w:ind w:left="422" w:firstLine="0"/>
        <w:rPr>
          <w:rtl/>
        </w:rPr>
      </w:pPr>
      <w:r>
        <w:rPr>
          <w:rFonts w:hint="cs"/>
          <w:b/>
          <w:bCs/>
          <w:rtl/>
        </w:rPr>
        <w:t>ولو عدت إلى كلام المؤلف</w:t>
      </w:r>
      <w:r>
        <w:rPr>
          <w:rFonts w:hint="cs"/>
          <w:rtl/>
        </w:rPr>
        <w:t xml:space="preserve"> : فإنه صدّر حديثه عن القاعدة بالاستدلال لها بهذا الحديث. وممّن سلك هذا المسلك السيوطي وابن نجيم في أشباههما وغيرهما من العلماء.</w:t>
      </w:r>
    </w:p>
    <w:p w:rsidR="00035BE3" w:rsidRDefault="00035BE3" w:rsidP="00C10469">
      <w:pPr>
        <w:pStyle w:val="a6"/>
        <w:ind w:left="422" w:firstLine="0"/>
        <w:rPr>
          <w:rtl/>
        </w:rPr>
      </w:pPr>
      <w:r>
        <w:rPr>
          <w:rFonts w:hint="cs"/>
          <w:rtl/>
        </w:rPr>
        <w:t>إلا أنَّ الاستدلال بهذا الحديث على القاعدة مناقشٌ من جهتين:</w:t>
      </w:r>
    </w:p>
    <w:p w:rsidR="00035BE3" w:rsidRDefault="00035BE3" w:rsidP="00C10469">
      <w:pPr>
        <w:pStyle w:val="a6"/>
        <w:ind w:left="422" w:firstLine="0"/>
        <w:rPr>
          <w:rtl/>
        </w:rPr>
      </w:pPr>
      <w:r>
        <w:rPr>
          <w:rFonts w:hint="cs"/>
          <w:b/>
          <w:bCs/>
          <w:rtl/>
        </w:rPr>
        <w:t>الأولى</w:t>
      </w:r>
      <w:r>
        <w:rPr>
          <w:rFonts w:hint="cs"/>
          <w:rtl/>
        </w:rPr>
        <w:t xml:space="preserve"> : من جهة سنده : فقد اتضح من خلال ما تقدّم كونه لم يرد مرفوعًا إلى النبي </w:t>
      </w:r>
      <w:r>
        <w:rPr>
          <w:rFonts w:ascii="AGA Arabesque" w:hAnsi="AGA Arabesque"/>
          <w:sz w:val="36"/>
          <w:szCs w:val="36"/>
          <w:lang w:val="en-US"/>
        </w:rPr>
        <w:t></w:t>
      </w:r>
      <w:r>
        <w:rPr>
          <w:rFonts w:hint="cs"/>
          <w:rtl/>
        </w:rPr>
        <w:t xml:space="preserve"> بإسناد معتدّ به، فلا يكون حجة على المطلوب.</w:t>
      </w:r>
    </w:p>
    <w:p w:rsidR="00035BE3" w:rsidRPr="00E0208D" w:rsidRDefault="00035BE3" w:rsidP="00C10469">
      <w:pPr>
        <w:pStyle w:val="a6"/>
        <w:ind w:left="422" w:firstLine="0"/>
        <w:rPr>
          <w:spacing w:val="-2"/>
          <w:rtl/>
        </w:rPr>
      </w:pPr>
      <w:r>
        <w:rPr>
          <w:rFonts w:hint="cs"/>
          <w:b/>
          <w:bCs/>
          <w:rtl/>
        </w:rPr>
        <w:t>الثانية</w:t>
      </w:r>
      <w:r>
        <w:rPr>
          <w:rFonts w:hint="cs"/>
          <w:rtl/>
        </w:rPr>
        <w:t xml:space="preserve">: من جهة متنه : فعلى فرض صحة الاستدلال به من جهة سنده، فإنه لا يصح الاستدلال به </w:t>
      </w:r>
      <w:r w:rsidRPr="00E0208D">
        <w:rPr>
          <w:rFonts w:hint="cs"/>
          <w:spacing w:val="-4"/>
          <w:rtl/>
        </w:rPr>
        <w:t>من جهة متنه؛ لأنه قد دلّت مقدمة الحديث وخاتمته على أن المراد بـ (المسلمون) هم الصحابة</w:t>
      </w:r>
      <w:r>
        <w:rPr>
          <w:rFonts w:hint="cs"/>
          <w:rtl/>
        </w:rPr>
        <w:t xml:space="preserve"> فتكون (أل) للعهد. فممّا جاء في مقدمته عند الإمام أحمد-: </w:t>
      </w:r>
      <w:r>
        <w:rPr>
          <w:rFonts w:hint="eastAsia"/>
          <w:rtl/>
        </w:rPr>
        <w:t>«</w:t>
      </w:r>
      <w:r>
        <w:rPr>
          <w:rFonts w:hint="cs"/>
          <w:rtl/>
        </w:rPr>
        <w:t xml:space="preserve">ثم نظر في قلوب العباد بعد قلب محمد، </w:t>
      </w:r>
      <w:r w:rsidRPr="00E0208D">
        <w:rPr>
          <w:rFonts w:hint="cs"/>
          <w:spacing w:val="-4"/>
          <w:rtl/>
        </w:rPr>
        <w:t xml:space="preserve">فوجد </w:t>
      </w:r>
      <w:r w:rsidRPr="00E0208D">
        <w:rPr>
          <w:rFonts w:hint="cs"/>
          <w:spacing w:val="-2"/>
          <w:rtl/>
        </w:rPr>
        <w:t xml:space="preserve">قلوب </w:t>
      </w:r>
      <w:r w:rsidRPr="00E0208D">
        <w:rPr>
          <w:rFonts w:hint="cs"/>
          <w:b/>
          <w:bCs/>
          <w:spacing w:val="-2"/>
          <w:rtl/>
        </w:rPr>
        <w:t>أصحابه</w:t>
      </w:r>
      <w:r w:rsidRPr="00E0208D">
        <w:rPr>
          <w:rFonts w:hint="cs"/>
          <w:spacing w:val="-2"/>
          <w:rtl/>
        </w:rPr>
        <w:t xml:space="preserve"> خير قلوب العباد فجعلهم وزراء نبيه يقاتلون عن دينه، </w:t>
      </w:r>
      <w:r w:rsidRPr="00E0208D">
        <w:rPr>
          <w:rFonts w:hint="cs"/>
          <w:b/>
          <w:bCs/>
          <w:spacing w:val="-2"/>
          <w:rtl/>
        </w:rPr>
        <w:t>فما</w:t>
      </w:r>
      <w:r w:rsidRPr="00E0208D">
        <w:rPr>
          <w:rFonts w:hint="cs"/>
          <w:spacing w:val="-2"/>
          <w:rtl/>
        </w:rPr>
        <w:t xml:space="preserve"> رآه المسلمون حسنًا...</w:t>
      </w:r>
      <w:r w:rsidRPr="00E0208D">
        <w:rPr>
          <w:rFonts w:hint="eastAsia"/>
          <w:spacing w:val="-2"/>
          <w:rtl/>
        </w:rPr>
        <w:t>»</w:t>
      </w:r>
      <w:r w:rsidRPr="00E0208D">
        <w:rPr>
          <w:rFonts w:hint="cs"/>
          <w:spacing w:val="-2"/>
          <w:rtl/>
        </w:rPr>
        <w:t>.</w:t>
      </w:r>
    </w:p>
    <w:p w:rsidR="00035BE3" w:rsidRDefault="00035BE3" w:rsidP="00C10469">
      <w:pPr>
        <w:pStyle w:val="a6"/>
        <w:ind w:left="422" w:firstLine="0"/>
        <w:rPr>
          <w:rtl/>
        </w:rPr>
      </w:pPr>
      <w:r>
        <w:rPr>
          <w:rFonts w:hint="cs"/>
          <w:rtl/>
        </w:rPr>
        <w:t xml:space="preserve">وممّا جاء في خاتمته - عند الحاكم-: </w:t>
      </w:r>
      <w:r>
        <w:rPr>
          <w:rFonts w:hint="eastAsia"/>
          <w:rtl/>
        </w:rPr>
        <w:t>«</w:t>
      </w:r>
      <w:r>
        <w:rPr>
          <w:rFonts w:hint="cs"/>
          <w:rtl/>
        </w:rPr>
        <w:t xml:space="preserve">... وقد رأى </w:t>
      </w:r>
      <w:r>
        <w:rPr>
          <w:rFonts w:hint="cs"/>
          <w:b/>
          <w:bCs/>
          <w:rtl/>
        </w:rPr>
        <w:t>الصحابة</w:t>
      </w:r>
      <w:r>
        <w:rPr>
          <w:rFonts w:hint="cs"/>
          <w:rtl/>
        </w:rPr>
        <w:t xml:space="preserve"> أن يُستخلف أبو بكر</w:t>
      </w:r>
      <w:r>
        <w:rPr>
          <w:rFonts w:hint="eastAsia"/>
          <w:rtl/>
        </w:rPr>
        <w:t>»</w:t>
      </w:r>
      <w:r>
        <w:rPr>
          <w:rFonts w:hint="cs"/>
          <w:rtl/>
        </w:rPr>
        <w:t>.</w:t>
      </w:r>
    </w:p>
    <w:p w:rsidR="00035BE3" w:rsidRDefault="00035BE3" w:rsidP="00C10469">
      <w:pPr>
        <w:pStyle w:val="a6"/>
        <w:ind w:left="422" w:firstLine="0"/>
        <w:rPr>
          <w:rtl/>
        </w:rPr>
      </w:pPr>
      <w:r>
        <w:rPr>
          <w:rFonts w:hint="cs"/>
          <w:rtl/>
        </w:rPr>
        <w:t>وعلى القول بأن العبرة بعموم اللفظ لا بخصوص السبب فإن المراد بـ (أل) في (المسلمون) الاستغراق، أي ما أجمع عليه المسلمون لا ما تعارف عليه أهل العرف.</w:t>
      </w:r>
    </w:p>
    <w:p w:rsidR="00035BE3" w:rsidRDefault="00035BE3" w:rsidP="00C10469">
      <w:pPr>
        <w:pStyle w:val="a6"/>
        <w:ind w:left="422" w:firstLine="0"/>
        <w:rPr>
          <w:rtl/>
        </w:rPr>
      </w:pPr>
      <w:r>
        <w:rPr>
          <w:rFonts w:hint="cs"/>
          <w:rtl/>
        </w:rPr>
        <w:t>وبناء على ما تقدم : لا يصح الاستدلال للقاعدة بهذا الحديث.</w:t>
      </w:r>
    </w:p>
    <w:p w:rsidR="00035BE3" w:rsidRDefault="00035BE3" w:rsidP="00C10469">
      <w:pPr>
        <w:pStyle w:val="a6"/>
        <w:ind w:left="422" w:firstLine="0"/>
        <w:rPr>
          <w:rtl/>
        </w:rPr>
      </w:pPr>
      <w:r>
        <w:rPr>
          <w:rFonts w:hint="cs"/>
          <w:rtl/>
        </w:rPr>
        <w:t>وقد استدل العلماء للقاعدة بأدلة أخر، منها :</w:t>
      </w:r>
    </w:p>
    <w:p w:rsidR="00035BE3" w:rsidRDefault="00035BE3" w:rsidP="00C10469">
      <w:pPr>
        <w:pStyle w:val="a6"/>
        <w:ind w:left="422" w:firstLine="0"/>
        <w:rPr>
          <w:rtl/>
        </w:rPr>
      </w:pPr>
      <w:r>
        <w:rPr>
          <w:rFonts w:hint="cs"/>
          <w:b/>
          <w:bCs/>
          <w:rtl/>
        </w:rPr>
        <w:t>1</w:t>
      </w:r>
      <w:r>
        <w:rPr>
          <w:rFonts w:hint="cs"/>
          <w:rtl/>
        </w:rPr>
        <w:t xml:space="preserve">- قوله تعالى : </w:t>
      </w:r>
      <w:r>
        <w:rPr>
          <w:color w:val="000000"/>
          <w:sz w:val="24"/>
          <w:szCs w:val="24"/>
        </w:rPr>
        <w:sym w:font="HQPB2" w:char="F0E2"/>
      </w:r>
      <w:r>
        <w:rPr>
          <w:color w:val="000000"/>
          <w:sz w:val="24"/>
          <w:szCs w:val="24"/>
          <w:rtl/>
        </w:rPr>
        <w:t xml:space="preserve"> </w:t>
      </w:r>
      <w:r>
        <w:rPr>
          <w:color w:val="000000"/>
          <w:sz w:val="24"/>
          <w:szCs w:val="24"/>
        </w:rPr>
        <w:sym w:font="HQPB2" w:char="F092"/>
      </w:r>
      <w:r>
        <w:rPr>
          <w:color w:val="000000"/>
          <w:sz w:val="24"/>
          <w:szCs w:val="24"/>
        </w:rPr>
        <w:sym w:font="HQPB5" w:char="F06E"/>
      </w:r>
      <w:r>
        <w:rPr>
          <w:color w:val="000000"/>
          <w:sz w:val="24"/>
          <w:szCs w:val="24"/>
        </w:rPr>
        <w:sym w:font="HQPB2" w:char="F03F"/>
      </w:r>
      <w:r>
        <w:rPr>
          <w:color w:val="000000"/>
          <w:sz w:val="24"/>
          <w:szCs w:val="24"/>
        </w:rPr>
        <w:sym w:font="HQPB5" w:char="F074"/>
      </w:r>
      <w:r>
        <w:rPr>
          <w:color w:val="000000"/>
          <w:sz w:val="24"/>
          <w:szCs w:val="24"/>
        </w:rPr>
        <w:sym w:font="HQPB1" w:char="F0E3"/>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4" w:char="F0CF"/>
      </w:r>
      <w:r>
        <w:rPr>
          <w:color w:val="000000"/>
          <w:sz w:val="24"/>
          <w:szCs w:val="24"/>
        </w:rPr>
        <w:sym w:font="HQPB1" w:char="F08A"/>
      </w:r>
      <w:r>
        <w:rPr>
          <w:color w:val="000000"/>
          <w:sz w:val="24"/>
          <w:szCs w:val="24"/>
        </w:rPr>
        <w:sym w:font="HQPB2" w:char="F071"/>
      </w:r>
      <w:r>
        <w:rPr>
          <w:color w:val="000000"/>
          <w:sz w:val="24"/>
          <w:szCs w:val="24"/>
        </w:rPr>
        <w:sym w:font="HQPB4" w:char="F0E4"/>
      </w:r>
      <w:r>
        <w:rPr>
          <w:color w:val="000000"/>
          <w:sz w:val="24"/>
          <w:szCs w:val="24"/>
        </w:rPr>
        <w:sym w:font="HQPB2" w:char="F039"/>
      </w:r>
      <w:r>
        <w:rPr>
          <w:color w:val="000000"/>
          <w:sz w:val="24"/>
          <w:szCs w:val="24"/>
        </w:rPr>
        <w:sym w:font="HQPB4" w:char="F0F6"/>
      </w:r>
      <w:r>
        <w:rPr>
          <w:color w:val="000000"/>
          <w:sz w:val="24"/>
          <w:szCs w:val="24"/>
        </w:rPr>
        <w:sym w:font="HQPB2" w:char="F071"/>
      </w:r>
      <w:r>
        <w:rPr>
          <w:color w:val="000000"/>
          <w:sz w:val="24"/>
          <w:szCs w:val="24"/>
        </w:rPr>
        <w:sym w:font="HQPB5" w:char="F070"/>
      </w:r>
      <w:r>
        <w:rPr>
          <w:color w:val="000000"/>
          <w:sz w:val="24"/>
          <w:szCs w:val="24"/>
        </w:rPr>
        <w:sym w:font="HQPB3" w:char="F052"/>
      </w:r>
      <w:r>
        <w:rPr>
          <w:color w:val="000000"/>
          <w:sz w:val="24"/>
          <w:szCs w:val="24"/>
        </w:rPr>
        <w:sym w:font="HQPB4" w:char="F0F9"/>
      </w:r>
      <w:r>
        <w:rPr>
          <w:color w:val="000000"/>
          <w:sz w:val="24"/>
          <w:szCs w:val="24"/>
        </w:rPr>
        <w:sym w:font="HQPB3" w:char="F051"/>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2" w:char="F0BC"/>
      </w:r>
      <w:r>
        <w:rPr>
          <w:color w:val="000000"/>
          <w:sz w:val="24"/>
          <w:szCs w:val="24"/>
        </w:rPr>
        <w:sym w:font="HQPB4" w:char="F0E3"/>
      </w:r>
      <w:r>
        <w:rPr>
          <w:color w:val="000000"/>
          <w:sz w:val="24"/>
          <w:szCs w:val="24"/>
        </w:rPr>
        <w:sym w:font="HQPB3" w:char="F026"/>
      </w:r>
      <w:r>
        <w:rPr>
          <w:color w:val="000000"/>
          <w:sz w:val="24"/>
          <w:szCs w:val="24"/>
        </w:rPr>
        <w:sym w:font="HQPB5" w:char="F073"/>
      </w:r>
      <w:r>
        <w:rPr>
          <w:color w:val="000000"/>
          <w:sz w:val="24"/>
          <w:szCs w:val="24"/>
        </w:rPr>
        <w:sym w:font="HQPB3" w:char="F021"/>
      </w:r>
      <w:r>
        <w:rPr>
          <w:color w:val="000000"/>
          <w:sz w:val="24"/>
          <w:szCs w:val="24"/>
          <w:rtl/>
        </w:rPr>
        <w:t xml:space="preserve"> </w:t>
      </w:r>
      <w:r>
        <w:rPr>
          <w:color w:val="000000"/>
          <w:sz w:val="24"/>
          <w:szCs w:val="24"/>
        </w:rPr>
        <w:sym w:font="HQPB4" w:char="F0A3"/>
      </w:r>
      <w:r>
        <w:rPr>
          <w:color w:val="000000"/>
          <w:sz w:val="24"/>
          <w:szCs w:val="24"/>
        </w:rPr>
        <w:sym w:font="HQPB2" w:char="F060"/>
      </w:r>
      <w:r>
        <w:rPr>
          <w:color w:val="000000"/>
          <w:sz w:val="24"/>
          <w:szCs w:val="24"/>
        </w:rPr>
        <w:sym w:font="HQPB4" w:char="F0DF"/>
      </w:r>
      <w:r>
        <w:rPr>
          <w:color w:val="000000"/>
          <w:sz w:val="24"/>
          <w:szCs w:val="24"/>
        </w:rPr>
        <w:sym w:font="HQPB2" w:char="F067"/>
      </w:r>
      <w:r>
        <w:rPr>
          <w:color w:val="000000"/>
          <w:sz w:val="24"/>
          <w:szCs w:val="24"/>
        </w:rPr>
        <w:sym w:font="HQPB4" w:char="F0E8"/>
      </w:r>
      <w:r>
        <w:rPr>
          <w:color w:val="000000"/>
          <w:sz w:val="24"/>
          <w:szCs w:val="24"/>
        </w:rPr>
        <w:sym w:font="HQPB2" w:char="F025"/>
      </w:r>
      <w:r>
        <w:rPr>
          <w:color w:val="000000"/>
          <w:sz w:val="24"/>
          <w:szCs w:val="24"/>
        </w:rPr>
        <w:sym w:font="HQPB4" w:char="F0F8"/>
      </w:r>
      <w:r>
        <w:rPr>
          <w:color w:val="000000"/>
          <w:sz w:val="24"/>
          <w:szCs w:val="24"/>
        </w:rPr>
        <w:sym w:font="HQPB1" w:char="F097"/>
      </w:r>
      <w:r>
        <w:rPr>
          <w:color w:val="000000"/>
          <w:sz w:val="24"/>
          <w:szCs w:val="24"/>
        </w:rPr>
        <w:sym w:font="HQPB4" w:char="F0CD"/>
      </w:r>
      <w:r>
        <w:rPr>
          <w:color w:val="000000"/>
          <w:sz w:val="24"/>
          <w:szCs w:val="24"/>
        </w:rPr>
        <w:sym w:font="HQPB1" w:char="F091"/>
      </w:r>
      <w:r>
        <w:rPr>
          <w:color w:val="000000"/>
          <w:sz w:val="24"/>
          <w:szCs w:val="24"/>
          <w:rtl/>
        </w:rPr>
        <w:t xml:space="preserve"> </w:t>
      </w:r>
      <w:r>
        <w:rPr>
          <w:color w:val="000000"/>
          <w:sz w:val="24"/>
          <w:szCs w:val="24"/>
        </w:rPr>
        <w:sym w:font="HQPB4" w:char="F0A3"/>
      </w:r>
      <w:r>
        <w:rPr>
          <w:color w:val="000000"/>
          <w:sz w:val="24"/>
          <w:szCs w:val="24"/>
        </w:rPr>
        <w:sym w:font="HQPB2" w:char="F060"/>
      </w:r>
      <w:r>
        <w:rPr>
          <w:color w:val="000000"/>
          <w:sz w:val="24"/>
          <w:szCs w:val="24"/>
        </w:rPr>
        <w:sym w:font="HQPB4" w:char="F0E5"/>
      </w:r>
      <w:r>
        <w:rPr>
          <w:color w:val="000000"/>
          <w:sz w:val="24"/>
          <w:szCs w:val="24"/>
        </w:rPr>
        <w:sym w:font="HQPB2" w:char="F06B"/>
      </w:r>
      <w:r>
        <w:rPr>
          <w:color w:val="000000"/>
          <w:sz w:val="24"/>
          <w:szCs w:val="24"/>
        </w:rPr>
        <w:sym w:font="HQPB4" w:char="F0E8"/>
      </w:r>
      <w:r>
        <w:rPr>
          <w:color w:val="000000"/>
          <w:sz w:val="24"/>
          <w:szCs w:val="24"/>
        </w:rPr>
        <w:sym w:font="HQPB1" w:char="F045"/>
      </w:r>
      <w:r>
        <w:rPr>
          <w:color w:val="000000"/>
          <w:sz w:val="24"/>
          <w:szCs w:val="24"/>
        </w:rPr>
        <w:sym w:font="HQPB5" w:char="F075"/>
      </w:r>
      <w:r>
        <w:rPr>
          <w:color w:val="000000"/>
          <w:sz w:val="24"/>
          <w:szCs w:val="24"/>
        </w:rPr>
        <w:sym w:font="HQPB2" w:char="F071"/>
      </w:r>
      <w:r>
        <w:rPr>
          <w:color w:val="000000"/>
          <w:sz w:val="24"/>
          <w:szCs w:val="24"/>
        </w:rPr>
        <w:sym w:font="HQPB4" w:char="F0F3"/>
      </w:r>
      <w:r>
        <w:rPr>
          <w:color w:val="000000"/>
          <w:sz w:val="24"/>
          <w:szCs w:val="24"/>
        </w:rPr>
        <w:sym w:font="HQPB1" w:char="F0A1"/>
      </w:r>
      <w:r>
        <w:rPr>
          <w:color w:val="000000"/>
          <w:sz w:val="24"/>
          <w:szCs w:val="24"/>
        </w:rPr>
        <w:sym w:font="HQPB4" w:char="F0CF"/>
      </w:r>
      <w:r>
        <w:rPr>
          <w:color w:val="000000"/>
          <w:sz w:val="24"/>
          <w:szCs w:val="24"/>
        </w:rPr>
        <w:sym w:font="HQPB2" w:char="F02E"/>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4" w:char="F0C5"/>
      </w:r>
      <w:r>
        <w:rPr>
          <w:color w:val="000000"/>
          <w:sz w:val="24"/>
          <w:szCs w:val="24"/>
        </w:rPr>
        <w:sym w:font="HQPB2" w:char="F024"/>
      </w:r>
      <w:r>
        <w:rPr>
          <w:color w:val="000000"/>
          <w:sz w:val="24"/>
          <w:szCs w:val="24"/>
        </w:rPr>
        <w:sym w:font="HQPB2" w:char="F072"/>
      </w:r>
      <w:r>
        <w:rPr>
          <w:color w:val="000000"/>
          <w:sz w:val="24"/>
          <w:szCs w:val="24"/>
        </w:rPr>
        <w:sym w:font="HQPB4" w:char="F0E3"/>
      </w:r>
      <w:r>
        <w:rPr>
          <w:color w:val="000000"/>
          <w:sz w:val="24"/>
          <w:szCs w:val="24"/>
        </w:rPr>
        <w:sym w:font="HQPB1" w:char="F08D"/>
      </w:r>
      <w:r>
        <w:rPr>
          <w:color w:val="000000"/>
          <w:sz w:val="24"/>
          <w:szCs w:val="24"/>
        </w:rPr>
        <w:sym w:font="HQPB4" w:char="F0F7"/>
      </w:r>
      <w:r>
        <w:rPr>
          <w:color w:val="000000"/>
          <w:sz w:val="24"/>
          <w:szCs w:val="24"/>
        </w:rPr>
        <w:sym w:font="HQPB1" w:char="F0E8"/>
      </w:r>
      <w:r>
        <w:rPr>
          <w:color w:val="000000"/>
          <w:sz w:val="24"/>
          <w:szCs w:val="24"/>
        </w:rPr>
        <w:sym w:font="HQPB5" w:char="F070"/>
      </w:r>
      <w:r>
        <w:rPr>
          <w:color w:val="000000"/>
          <w:sz w:val="24"/>
          <w:szCs w:val="24"/>
        </w:rPr>
        <w:sym w:font="HQPB3" w:char="F052"/>
      </w:r>
      <w:r>
        <w:rPr>
          <w:color w:val="000000"/>
          <w:sz w:val="24"/>
          <w:szCs w:val="24"/>
        </w:rPr>
        <w:sym w:font="HQPB4" w:char="F0F9"/>
      </w:r>
      <w:r>
        <w:rPr>
          <w:color w:val="000000"/>
          <w:sz w:val="24"/>
          <w:szCs w:val="24"/>
        </w:rPr>
        <w:sym w:font="HQPB3" w:char="F051"/>
      </w:r>
      <w:r>
        <w:rPr>
          <w:color w:val="000000"/>
          <w:sz w:val="24"/>
          <w:szCs w:val="24"/>
        </w:rPr>
        <w:sym w:font="HQPB5" w:char="F024"/>
      </w:r>
      <w:r>
        <w:rPr>
          <w:color w:val="000000"/>
          <w:sz w:val="24"/>
          <w:szCs w:val="24"/>
        </w:rPr>
        <w:sym w:font="HQPB1" w:char="F024"/>
      </w:r>
      <w:r>
        <w:rPr>
          <w:color w:val="000000"/>
          <w:sz w:val="24"/>
          <w:szCs w:val="24"/>
        </w:rPr>
        <w:sym w:font="HQPB4" w:char="F0CE"/>
      </w:r>
      <w:r>
        <w:rPr>
          <w:color w:val="000000"/>
          <w:sz w:val="24"/>
          <w:szCs w:val="24"/>
        </w:rPr>
        <w:sym w:font="HQPB1" w:char="F02F"/>
      </w:r>
      <w:r>
        <w:rPr>
          <w:color w:val="000000"/>
          <w:sz w:val="24"/>
          <w:szCs w:val="24"/>
          <w:rtl/>
        </w:rPr>
        <w:t xml:space="preserve"> </w:t>
      </w:r>
      <w:r>
        <w:rPr>
          <w:color w:val="000000"/>
          <w:sz w:val="24"/>
          <w:szCs w:val="24"/>
        </w:rPr>
        <w:sym w:font="HQPB4" w:char="F034"/>
      </w:r>
      <w:r>
        <w:rPr>
          <w:color w:val="000000"/>
          <w:sz w:val="24"/>
          <w:szCs w:val="24"/>
          <w:rtl/>
        </w:rPr>
        <w:t xml:space="preserve"> </w:t>
      </w:r>
      <w:r>
        <w:rPr>
          <w:color w:val="000000"/>
          <w:sz w:val="24"/>
          <w:szCs w:val="24"/>
        </w:rPr>
        <w:sym w:font="HQPB2" w:char="F0E1"/>
      </w:r>
      <w:r>
        <w:rPr>
          <w:color w:val="000000"/>
          <w:sz w:val="30"/>
          <w:rtl/>
        </w:rPr>
        <w:t xml:space="preserve"> </w:t>
      </w:r>
      <w:r>
        <w:rPr>
          <w:rFonts w:hint="cs"/>
          <w:rtl/>
        </w:rPr>
        <w:t>من الآية رقم (233) من سورة (البقرة).</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وقد بيّن وجهَ الدلالة شيخُ الإسلام ابن تيمية فقال في فتاويه، 34/85 : </w:t>
      </w:r>
      <w:r>
        <w:rPr>
          <w:rFonts w:hint="eastAsia"/>
          <w:rtl/>
        </w:rPr>
        <w:t>«</w:t>
      </w:r>
      <w:r>
        <w:rPr>
          <w:rFonts w:hint="cs"/>
          <w:rtl/>
        </w:rPr>
        <w:t>... ما يجب للمرأة عليه من الرزق والكسوة هو بالمعروف، وهو العرف الذي يعرفه الناس في حالهما نوعًا وقدرًا وصفةً</w:t>
      </w:r>
      <w:r>
        <w:rPr>
          <w:rFonts w:hint="eastAsia"/>
          <w:rtl/>
        </w:rPr>
        <w:t>»</w:t>
      </w:r>
      <w:r>
        <w:rPr>
          <w:rFonts w:hint="cs"/>
          <w:rtl/>
        </w:rPr>
        <w:t>.</w:t>
      </w:r>
    </w:p>
    <w:p w:rsidR="00035BE3" w:rsidRDefault="00035BE3" w:rsidP="00C10469">
      <w:pPr>
        <w:pStyle w:val="a6"/>
        <w:spacing w:line="420" w:lineRule="exact"/>
        <w:ind w:left="422" w:firstLine="0"/>
        <w:rPr>
          <w:rtl/>
        </w:rPr>
      </w:pPr>
      <w:r>
        <w:rPr>
          <w:rFonts w:hint="cs"/>
          <w:b/>
          <w:bCs/>
          <w:rtl/>
        </w:rPr>
        <w:t>2</w:t>
      </w:r>
      <w:r>
        <w:rPr>
          <w:rFonts w:hint="cs"/>
          <w:rtl/>
        </w:rPr>
        <w:t xml:space="preserve">-حديث ابن عـمـر رضي الله عنهما أن النبي </w:t>
      </w:r>
      <w:r>
        <w:rPr>
          <w:rFonts w:ascii="AGA Arabesque" w:hAnsi="AGA Arabesque"/>
          <w:sz w:val="36"/>
          <w:szCs w:val="36"/>
        </w:rPr>
        <w:t></w:t>
      </w:r>
      <w:r>
        <w:rPr>
          <w:rFonts w:hint="cs"/>
          <w:rtl/>
        </w:rPr>
        <w:t xml:space="preserve">  قال : </w:t>
      </w:r>
      <w:r>
        <w:rPr>
          <w:rFonts w:hint="eastAsia"/>
          <w:rtl/>
        </w:rPr>
        <w:t>«</w:t>
      </w:r>
      <w:r>
        <w:rPr>
          <w:rFonts w:hint="cs"/>
          <w:rtl/>
        </w:rPr>
        <w:t xml:space="preserve"> </w:t>
      </w:r>
      <w:r>
        <w:rPr>
          <w:rFonts w:cs="DecoType Naskh Extensions" w:hint="cs"/>
          <w:sz w:val="26"/>
          <w:szCs w:val="26"/>
          <w:rtl/>
        </w:rPr>
        <w:t>الوزنُ وزنُ أهلِ مكةَ، والمكيالُ مكيالُ أهلِ المدينةِ</w:t>
      </w:r>
      <w:r>
        <w:rPr>
          <w:rFonts w:hint="cs"/>
          <w:rtl/>
        </w:rPr>
        <w:t xml:space="preserve"> </w:t>
      </w:r>
      <w:r>
        <w:rPr>
          <w:rFonts w:hint="eastAsia"/>
          <w:rtl/>
        </w:rPr>
        <w:t>»</w:t>
      </w:r>
      <w:r>
        <w:rPr>
          <w:rFonts w:hint="cs"/>
          <w:rtl/>
        </w:rPr>
        <w:t>.</w:t>
      </w:r>
    </w:p>
    <w:p w:rsidR="00035BE3" w:rsidRDefault="00035BE3" w:rsidP="00C10469">
      <w:pPr>
        <w:pStyle w:val="a6"/>
        <w:ind w:left="422" w:firstLine="0"/>
        <w:rPr>
          <w:rtl/>
        </w:rPr>
      </w:pPr>
      <w:r>
        <w:rPr>
          <w:rFonts w:hint="cs"/>
          <w:b/>
          <w:bCs/>
          <w:rtl/>
        </w:rPr>
        <w:t>أخرجه</w:t>
      </w:r>
      <w:r>
        <w:rPr>
          <w:rFonts w:hint="cs"/>
          <w:rtl/>
        </w:rPr>
        <w:t xml:space="preserve"> أبو داود بلفظه، كتاب البيوع، باب في قول النبي </w:t>
      </w:r>
      <w:r>
        <w:rPr>
          <w:rFonts w:ascii="AGA Arabesque" w:hAnsi="AGA Arabesque"/>
          <w:sz w:val="36"/>
          <w:szCs w:val="36"/>
        </w:rPr>
        <w:t></w:t>
      </w:r>
      <w:r>
        <w:rPr>
          <w:rFonts w:hint="cs"/>
          <w:rtl/>
        </w:rPr>
        <w:t xml:space="preserve"> : </w:t>
      </w:r>
      <w:r>
        <w:rPr>
          <w:rFonts w:hint="eastAsia"/>
          <w:rtl/>
        </w:rPr>
        <w:t>«</w:t>
      </w:r>
      <w:r>
        <w:rPr>
          <w:rFonts w:cs="DecoType Naskh Extensions" w:hint="cs"/>
          <w:sz w:val="26"/>
          <w:szCs w:val="26"/>
          <w:rtl/>
        </w:rPr>
        <w:t>المكيالُ مكيالُ المدينة</w:t>
      </w:r>
      <w:r>
        <w:rPr>
          <w:rFonts w:hint="eastAsia"/>
          <w:rtl/>
        </w:rPr>
        <w:t>»</w:t>
      </w:r>
      <w:r>
        <w:rPr>
          <w:rFonts w:hint="cs"/>
          <w:rtl/>
        </w:rPr>
        <w:t xml:space="preserve">، 3/246، ح3340؛ والنسائي بمثله، كتاب الزكاة، باب كم الصاع، 5/54، ح2520. وقد قال صاحب (فيض القدير) </w:t>
      </w:r>
      <w:r>
        <w:rPr>
          <w:rtl/>
        </w:rPr>
        <w:t>–</w:t>
      </w:r>
      <w:r>
        <w:rPr>
          <w:rFonts w:hint="cs"/>
          <w:rtl/>
        </w:rPr>
        <w:t xml:space="preserve">6/374- عن هذا الحديث : </w:t>
      </w:r>
      <w:r>
        <w:rPr>
          <w:rFonts w:hint="eastAsia"/>
          <w:rtl/>
        </w:rPr>
        <w:t>«</w:t>
      </w:r>
      <w:r>
        <w:rPr>
          <w:rFonts w:hint="cs"/>
          <w:rtl/>
        </w:rPr>
        <w:t xml:space="preserve">صححه ابن حبان والدارقطني والنووي وابن دقيق </w:t>
      </w:r>
      <w:r w:rsidRPr="00336C65">
        <w:rPr>
          <w:rFonts w:hint="cs"/>
          <w:spacing w:val="-4"/>
          <w:rtl/>
        </w:rPr>
        <w:t>العيد والعلائي، ورواه بعضهم عن ابن عباس... ورمز المصنف لحسنه</w:t>
      </w:r>
      <w:r w:rsidRPr="00336C65">
        <w:rPr>
          <w:rFonts w:hint="eastAsia"/>
          <w:spacing w:val="-4"/>
          <w:rtl/>
        </w:rPr>
        <w:t>»</w:t>
      </w:r>
      <w:r w:rsidRPr="00336C65">
        <w:rPr>
          <w:rFonts w:hint="cs"/>
          <w:spacing w:val="-4"/>
          <w:rtl/>
        </w:rPr>
        <w:t xml:space="preserve">. وانظر: عون المعبود، </w:t>
      </w:r>
      <w:r>
        <w:rPr>
          <w:rFonts w:hint="cs"/>
          <w:rtl/>
        </w:rPr>
        <w:t>9/136.</w:t>
      </w:r>
    </w:p>
    <w:p w:rsidR="00035BE3" w:rsidRDefault="00035BE3" w:rsidP="00C10469">
      <w:pPr>
        <w:pStyle w:val="a6"/>
        <w:ind w:left="422" w:firstLine="0"/>
        <w:rPr>
          <w:rtl/>
        </w:rPr>
      </w:pPr>
      <w:r>
        <w:rPr>
          <w:rFonts w:hint="eastAsia"/>
          <w:rtl/>
        </w:rPr>
        <w:t>«</w:t>
      </w:r>
      <w:r>
        <w:rPr>
          <w:rFonts w:hint="cs"/>
          <w:b/>
          <w:bCs/>
          <w:rtl/>
        </w:rPr>
        <w:t>ووجه الدلالة</w:t>
      </w:r>
      <w:r>
        <w:rPr>
          <w:rFonts w:hint="cs"/>
          <w:rtl/>
        </w:rPr>
        <w:t xml:space="preserve"> : أن أهل المدينة لمّا كانوا أصحاب نخيل وزرع اعتبر عادتهم في مقدار الكيل، وأهل مكة كانوا أهل متاجر فاعتبرت عادتهم في الوزن</w:t>
      </w:r>
      <w:r>
        <w:rPr>
          <w:rFonts w:hint="eastAsia"/>
          <w:rtl/>
        </w:rPr>
        <w:t>»</w:t>
      </w:r>
      <w:r>
        <w:rPr>
          <w:rFonts w:hint="cs"/>
          <w:rtl/>
        </w:rPr>
        <w:t>- قاله الحصني في قواعده، 1/358-.</w:t>
      </w:r>
    </w:p>
    <w:p w:rsidR="00035BE3" w:rsidRDefault="00035BE3" w:rsidP="00C10469">
      <w:pPr>
        <w:pStyle w:val="a6"/>
        <w:ind w:left="422" w:firstLine="0"/>
        <w:rPr>
          <w:rtl/>
        </w:rPr>
      </w:pPr>
      <w:r>
        <w:rPr>
          <w:rFonts w:hint="cs"/>
          <w:b/>
          <w:bCs/>
          <w:rtl/>
        </w:rPr>
        <w:t>وللتوسع</w:t>
      </w:r>
      <w:r>
        <w:rPr>
          <w:rFonts w:hint="cs"/>
          <w:rtl/>
        </w:rPr>
        <w:t xml:space="preserve"> في الاستدلال للقاعدة وما قيل في الاستـدلال بحديث : </w:t>
      </w:r>
      <w:r>
        <w:rPr>
          <w:rFonts w:hint="eastAsia"/>
          <w:rtl/>
        </w:rPr>
        <w:t>«</w:t>
      </w:r>
      <w:r>
        <w:rPr>
          <w:rFonts w:hint="cs"/>
          <w:rtl/>
        </w:rPr>
        <w:t>ما رآه المسلمون حسنًا ...</w:t>
      </w:r>
      <w:r>
        <w:rPr>
          <w:rFonts w:hint="eastAsia"/>
          <w:rtl/>
        </w:rPr>
        <w:t xml:space="preserve"> »</w:t>
      </w:r>
      <w:r>
        <w:rPr>
          <w:rFonts w:hint="cs"/>
          <w:rtl/>
        </w:rPr>
        <w:t xml:space="preserve"> انظر : العرف لشيخنا أ.د. أحمد المباركي، ص109؛ العرف لعادل قوته، 1/180؛ القواعد والضوابط عند ابن تيمية، ص230.</w:t>
      </w:r>
    </w:p>
  </w:footnote>
  <w:footnote w:id="332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64/أ من (أ).</w:t>
      </w:r>
    </w:p>
  </w:footnote>
  <w:footnote w:id="333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w:t>
      </w:r>
      <w:r>
        <w:rPr>
          <w:rFonts w:hint="eastAsia"/>
          <w:rtl/>
        </w:rPr>
        <w:t>»</w:t>
      </w:r>
      <w:r>
        <w:rPr>
          <w:rFonts w:hint="cs"/>
          <w:rtl/>
        </w:rPr>
        <w:t xml:space="preserve"> : زيادة من (جـ)، ولايستقيم المعنى بدونها.</w:t>
      </w:r>
    </w:p>
  </w:footnote>
  <w:footnote w:id="333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(ب) و(د)، وفي (أ) و(جـ): </w:t>
      </w:r>
      <w:r>
        <w:rPr>
          <w:rFonts w:hint="eastAsia"/>
          <w:rtl/>
        </w:rPr>
        <w:t>«</w:t>
      </w:r>
      <w:r>
        <w:rPr>
          <w:rFonts w:hint="cs"/>
          <w:rtl/>
        </w:rPr>
        <w:t>ما تترك به الحقيقة به</w:t>
      </w:r>
      <w:r>
        <w:rPr>
          <w:rFonts w:hint="eastAsia"/>
          <w:rtl/>
        </w:rPr>
        <w:t>»</w:t>
      </w:r>
      <w:r>
        <w:rPr>
          <w:rFonts w:hint="cs"/>
          <w:rtl/>
        </w:rPr>
        <w:t>. (بتكرار به). وهذا مجانب للصواب.</w:t>
      </w:r>
    </w:p>
  </w:footnote>
  <w:footnote w:id="333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أن دلالة الاستعمال يعدّدها الأصوليون من ضمن ما تترك به الحقيقة.</w:t>
      </w:r>
    </w:p>
    <w:p w:rsidR="00035BE3" w:rsidRDefault="00035BE3" w:rsidP="00C10469">
      <w:pPr>
        <w:pStyle w:val="a6"/>
        <w:ind w:left="422" w:firstLine="0"/>
        <w:rPr>
          <w:rtl/>
        </w:rPr>
      </w:pPr>
      <w:r>
        <w:rPr>
          <w:rFonts w:hint="cs"/>
          <w:rtl/>
        </w:rPr>
        <w:t xml:space="preserve">وقد ورد التصريح بذلك في مصدر هذه العبارة (وهو أشباه ابن نجيم) فجاء فيه: </w:t>
      </w:r>
      <w:r>
        <w:rPr>
          <w:rFonts w:hint="eastAsia"/>
          <w:rtl/>
        </w:rPr>
        <w:t>«</w:t>
      </w:r>
      <w:r>
        <w:rPr>
          <w:rFonts w:hint="cs"/>
          <w:rtl/>
        </w:rPr>
        <w:t xml:space="preserve">.. فقالوا في </w:t>
      </w:r>
      <w:r w:rsidRPr="00336C65">
        <w:rPr>
          <w:rFonts w:hint="cs"/>
          <w:spacing w:val="-4"/>
          <w:rtl/>
        </w:rPr>
        <w:t xml:space="preserve">الأصول -في باب ما تترك به الحقيقة-: تترك الحقيقة بدلالة الاستعمال والعادة. كذا ذكر فخر </w:t>
      </w:r>
      <w:r>
        <w:rPr>
          <w:rFonts w:hint="cs"/>
          <w:rtl/>
        </w:rPr>
        <w:t>الإسلام</w:t>
      </w:r>
      <w:r>
        <w:rPr>
          <w:rFonts w:hint="eastAsia"/>
          <w:rtl/>
        </w:rPr>
        <w:t>»</w:t>
      </w:r>
      <w:r>
        <w:rPr>
          <w:rFonts w:hint="cs"/>
          <w:rtl/>
        </w:rPr>
        <w:t>.</w:t>
      </w:r>
    </w:p>
    <w:p w:rsidR="00035BE3" w:rsidRDefault="00035BE3" w:rsidP="00C10469">
      <w:pPr>
        <w:pStyle w:val="a6"/>
        <w:ind w:left="422" w:firstLine="0"/>
        <w:rPr>
          <w:rtl/>
        </w:rPr>
      </w:pPr>
      <w:r>
        <w:rPr>
          <w:rFonts w:hint="cs"/>
          <w:rtl/>
        </w:rPr>
        <w:t>وانظر أصول الفخر البزدوي وشرحه : كشف الأسرار، 2/175.</w:t>
      </w:r>
    </w:p>
    <w:p w:rsidR="00035BE3" w:rsidRDefault="00035BE3" w:rsidP="00C10469">
      <w:pPr>
        <w:pStyle w:val="a6"/>
        <w:ind w:left="422" w:firstLine="0"/>
        <w:rPr>
          <w:rtl/>
        </w:rPr>
      </w:pPr>
      <w:r>
        <w:rPr>
          <w:rFonts w:hint="cs"/>
          <w:rtl/>
        </w:rPr>
        <w:t xml:space="preserve">وانظر أيضًا : المغني للخبازي، ص139-140؛ حيث جاء فيه : </w:t>
      </w:r>
      <w:r>
        <w:rPr>
          <w:rFonts w:hint="eastAsia"/>
          <w:rtl/>
        </w:rPr>
        <w:t>«</w:t>
      </w:r>
      <w:r>
        <w:rPr>
          <w:rFonts w:hint="cs"/>
          <w:rtl/>
        </w:rPr>
        <w:t xml:space="preserve">ثم جملة ما تترك به الحقيقة خمسة أنواع: </w:t>
      </w:r>
      <w:r>
        <w:rPr>
          <w:rFonts w:hint="cs"/>
          <w:b/>
          <w:bCs/>
          <w:rtl/>
        </w:rPr>
        <w:t>بدلالة العادة</w:t>
      </w:r>
      <w:r>
        <w:rPr>
          <w:rFonts w:hint="cs"/>
          <w:rtl/>
        </w:rPr>
        <w:t xml:space="preserve"> ...</w:t>
      </w:r>
      <w:r>
        <w:rPr>
          <w:rFonts w:hint="eastAsia"/>
          <w:rtl/>
        </w:rPr>
        <w:t>»</w:t>
      </w:r>
      <w:r>
        <w:rPr>
          <w:rFonts w:hint="cs"/>
          <w:rtl/>
        </w:rPr>
        <w:t>.</w:t>
      </w:r>
    </w:p>
    <w:p w:rsidR="00035BE3" w:rsidRDefault="00035BE3" w:rsidP="00C10469">
      <w:pPr>
        <w:pStyle w:val="a6"/>
        <w:spacing w:line="420" w:lineRule="exact"/>
        <w:ind w:left="422" w:firstLine="0"/>
        <w:rPr>
          <w:rtl/>
        </w:rPr>
      </w:pPr>
      <w:r>
        <w:rPr>
          <w:rFonts w:hint="cs"/>
          <w:rtl/>
        </w:rPr>
        <w:t xml:space="preserve">وقاعدة : </w:t>
      </w:r>
      <w:r>
        <w:rPr>
          <w:rFonts w:hint="eastAsia"/>
          <w:rtl/>
        </w:rPr>
        <w:t>«</w:t>
      </w:r>
      <w:r>
        <w:rPr>
          <w:rFonts w:hint="cs"/>
          <w:rtl/>
        </w:rPr>
        <w:t>الحقيقة تترك بدلالة العادة</w:t>
      </w:r>
      <w:r>
        <w:rPr>
          <w:rFonts w:hint="eastAsia"/>
          <w:rtl/>
        </w:rPr>
        <w:t>»</w:t>
      </w:r>
      <w:r>
        <w:rPr>
          <w:rFonts w:hint="cs"/>
          <w:rtl/>
        </w:rPr>
        <w:t xml:space="preserve"> سبق أن تكلم المؤلف عنها استقلالاً، وفي أثناء توثيقها ذُكرتْ مجموعة من الكتب الأصولية. وذلك ص648 (ل46/ب)، قاعدة 114.</w:t>
      </w:r>
    </w:p>
  </w:footnote>
  <w:footnote w:id="33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التعريف ذكره ابن عابدين بهذا اللفظ في رسائله، وصرّح بنقله عن أشباه ابن نجيم.</w:t>
      </w:r>
    </w:p>
    <w:p w:rsidR="00035BE3" w:rsidRDefault="00035BE3" w:rsidP="00C10469">
      <w:pPr>
        <w:pStyle w:val="a6"/>
        <w:ind w:left="422" w:firstLine="0"/>
        <w:rPr>
          <w:rtl/>
        </w:rPr>
      </w:pPr>
      <w:r>
        <w:rPr>
          <w:rFonts w:hint="cs"/>
          <w:rtl/>
        </w:rPr>
        <w:t xml:space="preserve">وبالرجوع إلى ثلاث طبعات لأشباه ابن نجيم لوحظ أن فيها اختلافًا يسيرًا؛ حيث جاء في إحداها : </w:t>
      </w:r>
      <w:r>
        <w:rPr>
          <w:rFonts w:hint="eastAsia"/>
          <w:rtl/>
        </w:rPr>
        <w:t>«</w:t>
      </w:r>
      <w:r>
        <w:rPr>
          <w:rFonts w:hint="cs"/>
          <w:rtl/>
        </w:rPr>
        <w:t xml:space="preserve">... المتكررة </w:t>
      </w:r>
      <w:r>
        <w:rPr>
          <w:rFonts w:hint="cs"/>
          <w:b/>
          <w:bCs/>
          <w:rtl/>
        </w:rPr>
        <w:t>المقبولة من</w:t>
      </w:r>
      <w:r>
        <w:rPr>
          <w:rFonts w:hint="cs"/>
          <w:rtl/>
        </w:rPr>
        <w:t xml:space="preserve"> ...</w:t>
      </w:r>
      <w:r>
        <w:rPr>
          <w:rFonts w:hint="eastAsia"/>
          <w:rtl/>
        </w:rPr>
        <w:t>»</w:t>
      </w:r>
      <w:r>
        <w:rPr>
          <w:rFonts w:hint="cs"/>
          <w:rtl/>
        </w:rPr>
        <w:t xml:space="preserve">. وجاء في الثانية والثالثة : </w:t>
      </w:r>
      <w:r>
        <w:rPr>
          <w:rFonts w:hint="eastAsia"/>
          <w:rtl/>
        </w:rPr>
        <w:t>«</w:t>
      </w:r>
      <w:r>
        <w:rPr>
          <w:rFonts w:hint="cs"/>
          <w:rtl/>
        </w:rPr>
        <w:t xml:space="preserve">... </w:t>
      </w:r>
      <w:r>
        <w:rPr>
          <w:rFonts w:hint="cs"/>
          <w:b/>
          <w:bCs/>
          <w:rtl/>
        </w:rPr>
        <w:t>المقبولة عن</w:t>
      </w:r>
      <w:r>
        <w:rPr>
          <w:rFonts w:hint="cs"/>
          <w:rtl/>
        </w:rPr>
        <w:t xml:space="preserve"> ...</w:t>
      </w:r>
      <w:r>
        <w:rPr>
          <w:rFonts w:hint="eastAsia"/>
          <w:rtl/>
        </w:rPr>
        <w:t>»</w:t>
      </w:r>
      <w:r>
        <w:rPr>
          <w:rFonts w:hint="cs"/>
          <w:rtl/>
        </w:rPr>
        <w:t>.</w:t>
      </w:r>
    </w:p>
    <w:p w:rsidR="00035BE3" w:rsidRDefault="00035BE3" w:rsidP="00C10469">
      <w:pPr>
        <w:pStyle w:val="a6"/>
        <w:ind w:left="422" w:firstLine="0"/>
        <w:rPr>
          <w:rtl/>
        </w:rPr>
      </w:pPr>
      <w:r>
        <w:rPr>
          <w:rFonts w:hint="cs"/>
          <w:rtl/>
        </w:rPr>
        <w:t>فلعلَّ المؤلف وابن عابدين اطّلعا على نسخة خطية مخالفة للنُّسخ التي بُنيت هذه الطبعات عليها. ومهما يكن من شيء فإن المعنى متقارب جدًّا. كما أن ابن نجيم لم ينسبه إلى نفسه إنما عزاه إلى السِّراج الهندي (ت 773هـ) في (شرح المغني).</w:t>
      </w:r>
    </w:p>
    <w:p w:rsidR="00035BE3" w:rsidRDefault="00035BE3" w:rsidP="00C10469">
      <w:pPr>
        <w:pStyle w:val="a6"/>
        <w:ind w:left="422" w:firstLine="0"/>
        <w:rPr>
          <w:spacing w:val="8"/>
          <w:rtl/>
        </w:rPr>
      </w:pPr>
      <w:r>
        <w:rPr>
          <w:rFonts w:hint="cs"/>
          <w:spacing w:val="8"/>
          <w:rtl/>
        </w:rPr>
        <w:t xml:space="preserve">والواقع أن هذا التعريف ليس من إنشاء السّراج؛ لأنه قريب جـدًّا من تعريف النـسفي (ت 710هـ) في كتابه (المستصفى)، والنسفي متقدم عليه؛ لهذا فلعل الأليق أن ينسب التعريف إليه؛ لأن تعريفه من أقدم التعريفات التي وصلتنا للعرف، ثم تبعـه مِن بـعده الكثيرُ من العلمـاء. وقد صرَّح بذلك أ.د. أحمد أبو سنة في كتابه : (العرف والعادة)؛ حيث قال: </w:t>
      </w:r>
      <w:r>
        <w:rPr>
          <w:rFonts w:hint="eastAsia"/>
          <w:spacing w:val="8"/>
          <w:rtl/>
        </w:rPr>
        <w:t>«</w:t>
      </w:r>
      <w:r>
        <w:rPr>
          <w:rFonts w:hint="cs"/>
          <w:spacing w:val="8"/>
          <w:rtl/>
        </w:rPr>
        <w:t>وأول تحديدٍ وقفتُ عليه هو لعبد الله بن أحمد النسفي (ت710هـ)، وتبعه من بعده الكثير من كتَّاب الفقه والأصول</w:t>
      </w:r>
      <w:r>
        <w:rPr>
          <w:rFonts w:hint="eastAsia"/>
          <w:spacing w:val="8"/>
          <w:rtl/>
        </w:rPr>
        <w:t>»</w:t>
      </w:r>
      <w:r>
        <w:rPr>
          <w:rFonts w:hint="cs"/>
          <w:spacing w:val="8"/>
          <w:rtl/>
        </w:rPr>
        <w:t>.</w:t>
      </w:r>
    </w:p>
    <w:p w:rsidR="00035BE3" w:rsidRDefault="00035BE3" w:rsidP="00C10469">
      <w:pPr>
        <w:pStyle w:val="a6"/>
        <w:spacing w:line="440" w:lineRule="exact"/>
        <w:ind w:left="422" w:firstLine="0"/>
        <w:rPr>
          <w:rtl/>
        </w:rPr>
      </w:pPr>
      <w:r>
        <w:rPr>
          <w:rFonts w:hint="cs"/>
          <w:rtl/>
        </w:rPr>
        <w:t>ولتوثيق ما سبق فإن المراجع المحال إليها مرتبة على النحو الآتي :</w:t>
      </w:r>
    </w:p>
    <w:p w:rsidR="00035BE3" w:rsidRDefault="00035BE3" w:rsidP="00C10469">
      <w:pPr>
        <w:pStyle w:val="a6"/>
        <w:ind w:left="422" w:firstLine="0"/>
        <w:rPr>
          <w:rtl/>
        </w:rPr>
      </w:pPr>
      <w:r>
        <w:rPr>
          <w:rFonts w:hint="cs"/>
          <w:rtl/>
        </w:rPr>
        <w:t xml:space="preserve">رسائل ابن عابدين (رسالة نشر العرف)، 2/112؛ الأشـباه والنـظائـر (طبعة المكتبة العصرية، ص115)، و(طبعة دار الفكر، ص101) و(طبعة دار الكتـب العلـمية المضافة إلى غمز عيون </w:t>
      </w:r>
      <w:r w:rsidRPr="00CD3D71">
        <w:rPr>
          <w:rFonts w:hint="cs"/>
          <w:spacing w:val="-4"/>
          <w:rtl/>
        </w:rPr>
        <w:t xml:space="preserve">البصائر، 1/296)؛ العرف والعادة في رأي الفقهاء، ص9-10، وانظر: العرف لعادل وليّ قوته، </w:t>
      </w:r>
      <w:r>
        <w:rPr>
          <w:rFonts w:hint="cs"/>
          <w:rtl/>
        </w:rPr>
        <w:t>1/93.</w:t>
      </w:r>
    </w:p>
  </w:footnote>
  <w:footnote w:id="33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ولو قال : (فممّا فرّع على هذا) لكان أوضح.</w:t>
      </w:r>
    </w:p>
  </w:footnote>
  <w:footnote w:id="33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ص116.</w:t>
      </w:r>
    </w:p>
  </w:footnote>
  <w:footnote w:id="33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41/ب من (ب).</w:t>
      </w:r>
    </w:p>
  </w:footnote>
  <w:footnote w:id="333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 xml:space="preserve"> مبتدأ </w:t>
      </w:r>
      <w:r>
        <w:rPr>
          <w:rFonts w:hint="eastAsia"/>
          <w:rtl/>
        </w:rPr>
        <w:t>»</w:t>
      </w:r>
      <w:r>
        <w:rPr>
          <w:rFonts w:hint="cs"/>
          <w:rtl/>
        </w:rPr>
        <w:t>.</w:t>
      </w:r>
    </w:p>
    <w:p w:rsidR="00035BE3" w:rsidRDefault="00035BE3" w:rsidP="00C10469">
      <w:pPr>
        <w:pStyle w:val="a6"/>
        <w:ind w:left="422" w:firstLine="0"/>
        <w:rPr>
          <w:rtl/>
        </w:rPr>
      </w:pPr>
      <w:r>
        <w:rPr>
          <w:rFonts w:hint="cs"/>
          <w:rtl/>
        </w:rPr>
        <w:t>أي أن إعراب (ما) : اسم موصول مبني على السكون في محل رفع مبتدأ. والفاء التي قبلها: فاء سببية، مبنية على الفتح، لا محل لها من الإعراب.</w:t>
      </w:r>
    </w:p>
    <w:p w:rsidR="00035BE3" w:rsidRDefault="00035BE3" w:rsidP="00C10469">
      <w:pPr>
        <w:pStyle w:val="a6"/>
        <w:ind w:left="422" w:firstLine="0"/>
        <w:rPr>
          <w:rtl/>
        </w:rPr>
      </w:pPr>
      <w:r>
        <w:rPr>
          <w:rFonts w:hint="cs"/>
          <w:rtl/>
        </w:rPr>
        <w:t>والمعنى : بسبب كون العرف غير معتبر في المنصوص فإن الكلام الذي سينقله المؤلف عن محمد بن الفضل بعيدٌ عن الصحة ...</w:t>
      </w:r>
    </w:p>
  </w:footnote>
  <w:footnote w:id="333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محمد بن الفضل</w:t>
      </w:r>
      <w:r>
        <w:rPr>
          <w:rFonts w:hint="cs"/>
          <w:rtl/>
        </w:rPr>
        <w:t xml:space="preserve"> : هو أبو بكر الفضلي الكُماري البخاري (ت381هـ).</w:t>
      </w:r>
    </w:p>
    <w:p w:rsidR="00035BE3" w:rsidRDefault="00035BE3" w:rsidP="00C10469">
      <w:pPr>
        <w:pStyle w:val="a6"/>
        <w:ind w:left="422" w:firstLine="0"/>
        <w:rPr>
          <w:rtl/>
        </w:rPr>
      </w:pPr>
      <w:r>
        <w:rPr>
          <w:rFonts w:hint="cs"/>
          <w:rtl/>
        </w:rPr>
        <w:t xml:space="preserve">وهو من فقهاء الحنفية المعتبرين؛ لهذا فإن </w:t>
      </w:r>
      <w:r>
        <w:rPr>
          <w:rFonts w:hint="eastAsia"/>
          <w:rtl/>
        </w:rPr>
        <w:t>«</w:t>
      </w:r>
      <w:r>
        <w:rPr>
          <w:rFonts w:hint="cs"/>
          <w:rtl/>
        </w:rPr>
        <w:t>مشاهير كتب الفتاوي مشحونة بفتاواه ورواياته</w:t>
      </w:r>
      <w:r>
        <w:rPr>
          <w:rFonts w:hint="eastAsia"/>
          <w:rtl/>
        </w:rPr>
        <w:t>»</w:t>
      </w:r>
      <w:r>
        <w:rPr>
          <w:rFonts w:hint="cs"/>
          <w:rtl/>
        </w:rPr>
        <w:t xml:space="preserve"> -كذا في الفوائد -، وله مسائل تعرف بمسائل أبي بكر محمد بن الفضل.</w:t>
      </w:r>
    </w:p>
    <w:p w:rsidR="00035BE3" w:rsidRDefault="00035BE3" w:rsidP="00C10469">
      <w:pPr>
        <w:pStyle w:val="a6"/>
        <w:ind w:left="422" w:firstLine="0"/>
        <w:rPr>
          <w:rtl/>
        </w:rPr>
      </w:pPr>
      <w:r>
        <w:rPr>
          <w:rFonts w:hint="cs"/>
          <w:rtl/>
        </w:rPr>
        <w:t xml:space="preserve">الفوائد البهية، ص184؛ وانظر : الجواهر المضية، 3/300، رقم 1461؛ هدية العارفين، 2/52. </w:t>
      </w:r>
    </w:p>
  </w:footnote>
  <w:footnote w:id="333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فإن </w:t>
      </w:r>
      <w:r>
        <w:rPr>
          <w:rFonts w:hint="eastAsia"/>
          <w:rtl/>
        </w:rPr>
        <w:t>»</w:t>
      </w:r>
      <w:r>
        <w:rPr>
          <w:rFonts w:hint="cs"/>
          <w:rtl/>
        </w:rPr>
        <w:t>.</w:t>
      </w:r>
    </w:p>
  </w:footnote>
  <w:footnote w:id="334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49/أ من (جـ).</w:t>
      </w:r>
    </w:p>
  </w:footnote>
  <w:footnote w:id="334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بعيدة </w:t>
      </w:r>
      <w:r>
        <w:rPr>
          <w:rFonts w:hint="eastAsia"/>
          <w:rtl/>
        </w:rPr>
        <w:t>»</w:t>
      </w:r>
      <w:r>
        <w:rPr>
          <w:rFonts w:hint="cs"/>
          <w:rtl/>
        </w:rPr>
        <w:t xml:space="preserve">، وفي (د) : </w:t>
      </w:r>
      <w:r>
        <w:rPr>
          <w:rFonts w:hint="eastAsia"/>
          <w:rtl/>
        </w:rPr>
        <w:t>«</w:t>
      </w:r>
      <w:r>
        <w:rPr>
          <w:rFonts w:hint="cs"/>
          <w:rtl/>
        </w:rPr>
        <w:t xml:space="preserve"> بغيره </w:t>
      </w:r>
      <w:r>
        <w:rPr>
          <w:rFonts w:hint="eastAsia"/>
          <w:rtl/>
        </w:rPr>
        <w:t>»</w:t>
      </w:r>
      <w:r>
        <w:rPr>
          <w:rFonts w:hint="cs"/>
          <w:rtl/>
        </w:rPr>
        <w:t>، مع ملاحظة أن الكلمة الأخيرة جاءت في (د) مهملة.</w:t>
      </w:r>
    </w:p>
  </w:footnote>
  <w:footnote w:id="334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 xml:space="preserve"> بعيد : خبر </w:t>
      </w:r>
      <w:r>
        <w:rPr>
          <w:rFonts w:hint="eastAsia"/>
          <w:rtl/>
        </w:rPr>
        <w:t>»</w:t>
      </w:r>
      <w:r>
        <w:rPr>
          <w:rFonts w:hint="cs"/>
          <w:rtl/>
        </w:rPr>
        <w:t>.</w:t>
      </w:r>
    </w:p>
  </w:footnote>
  <w:footnote w:id="334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الظهيرة </w:t>
      </w:r>
      <w:r>
        <w:rPr>
          <w:rFonts w:hint="eastAsia"/>
          <w:rtl/>
        </w:rPr>
        <w:t>»</w:t>
      </w:r>
      <w:r>
        <w:rPr>
          <w:rFonts w:hint="cs"/>
          <w:rtl/>
        </w:rPr>
        <w:t>. والصحيح ما تمَّ إثباته من (ب) و(د).</w:t>
      </w:r>
    </w:p>
  </w:footnote>
  <w:footnote w:id="3344">
    <w:p w:rsidR="00035BE3" w:rsidRPr="00B07EDA" w:rsidRDefault="00035BE3" w:rsidP="00C10469">
      <w:pPr>
        <w:pStyle w:val="a8"/>
        <w:bidi/>
        <w:ind w:left="422" w:right="0"/>
        <w:rPr>
          <w:spacing w:val="-6"/>
          <w:rtl/>
        </w:rPr>
      </w:pPr>
      <w:r>
        <w:rPr>
          <w:spacing w:val="-2"/>
          <w:vertAlign w:val="superscript"/>
          <w:rtl/>
        </w:rPr>
        <w:t>(</w:t>
      </w:r>
      <w:r>
        <w:rPr>
          <w:rStyle w:val="a7"/>
          <w:spacing w:val="-2"/>
        </w:rPr>
        <w:footnoteRef/>
      </w:r>
      <w:r>
        <w:rPr>
          <w:rFonts w:hint="cs"/>
          <w:spacing w:val="-2"/>
          <w:vertAlign w:val="superscript"/>
          <w:rtl/>
        </w:rPr>
        <w:t>)</w:t>
      </w:r>
      <w:r>
        <w:rPr>
          <w:rFonts w:hint="cs"/>
          <w:spacing w:val="-2"/>
          <w:rtl/>
        </w:rPr>
        <w:t xml:space="preserve">  المراد بالكلام المعزو إلى الظهيرية هو قول محمد بن الفضل وما جاء بعده؛ حيث جاء في الفتاوى الظهيرية، ل16/أ: </w:t>
      </w:r>
      <w:r>
        <w:rPr>
          <w:rFonts w:hint="eastAsia"/>
          <w:spacing w:val="-2"/>
          <w:rtl/>
        </w:rPr>
        <w:t>«</w:t>
      </w:r>
      <w:r>
        <w:rPr>
          <w:rFonts w:hint="cs"/>
          <w:spacing w:val="-2"/>
          <w:rtl/>
        </w:rPr>
        <w:t xml:space="preserve">وكان محمد بن الفضل </w:t>
      </w:r>
      <w:r>
        <w:rPr>
          <w:spacing w:val="-2"/>
          <w:rtl/>
        </w:rPr>
        <w:t>–</w:t>
      </w:r>
      <w:r>
        <w:rPr>
          <w:rFonts w:hint="cs"/>
          <w:spacing w:val="-2"/>
          <w:rtl/>
        </w:rPr>
        <w:t xml:space="preserve">رحمه الله- يقول: السُرّة إلى نبات الشّعر من العانة ليست </w:t>
      </w:r>
      <w:r w:rsidRPr="00B07EDA">
        <w:rPr>
          <w:rFonts w:hint="cs"/>
          <w:spacing w:val="-6"/>
          <w:rtl/>
        </w:rPr>
        <w:t>بعورة؛ لتعامل العمال في الأبدان عن ذلك الموضع عند الاتّزار. وفي النـزع عن العادة والظاهر نوعُ حرجٍ.</w:t>
      </w:r>
    </w:p>
    <w:p w:rsidR="00035BE3" w:rsidRDefault="00035BE3" w:rsidP="00C10469">
      <w:pPr>
        <w:pStyle w:val="a6"/>
        <w:ind w:left="422" w:firstLine="0"/>
        <w:rPr>
          <w:rtl/>
        </w:rPr>
      </w:pPr>
      <w:r>
        <w:rPr>
          <w:rFonts w:hint="cs"/>
          <w:rtl/>
        </w:rPr>
        <w:t>وهذا ضعيف وبعيد؛ لأن التعامل بخلاف النص لا يعتبر</w:t>
      </w:r>
      <w:r>
        <w:rPr>
          <w:rFonts w:hint="eastAsia"/>
          <w:rtl/>
        </w:rPr>
        <w:t>»</w:t>
      </w:r>
      <w:r>
        <w:rPr>
          <w:rFonts w:hint="cs"/>
          <w:rtl/>
        </w:rPr>
        <w:t>.</w:t>
      </w:r>
    </w:p>
    <w:p w:rsidR="00035BE3" w:rsidRDefault="00035BE3" w:rsidP="00C10469">
      <w:pPr>
        <w:pStyle w:val="a6"/>
        <w:ind w:left="422" w:firstLine="0"/>
        <w:rPr>
          <w:rtl/>
        </w:rPr>
      </w:pPr>
      <w:r>
        <w:rPr>
          <w:rFonts w:hint="cs"/>
          <w:rtl/>
        </w:rPr>
        <w:t xml:space="preserve">وهذا النص مذكور </w:t>
      </w:r>
      <w:r>
        <w:rPr>
          <w:rtl/>
        </w:rPr>
        <w:t>–</w:t>
      </w:r>
      <w:r>
        <w:rPr>
          <w:rFonts w:hint="cs"/>
          <w:rtl/>
        </w:rPr>
        <w:t>باللفظ الذي ذكره المؤلف- في أشباه ابن نجيم، ص116-117.</w:t>
      </w:r>
    </w:p>
  </w:footnote>
  <w:footnote w:id="33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تحكي أحد أقوال العلماء في مسألة من المسائل الأصولية الخلافية، وهي ما يترجم لها بعض الأصوليين بـ </w:t>
      </w:r>
      <w:r>
        <w:rPr>
          <w:rFonts w:hint="eastAsia"/>
          <w:rtl/>
        </w:rPr>
        <w:t>«</w:t>
      </w:r>
      <w:r>
        <w:rPr>
          <w:rFonts w:hint="cs"/>
          <w:rtl/>
        </w:rPr>
        <w:t>حكم العام</w:t>
      </w:r>
      <w:r>
        <w:rPr>
          <w:rFonts w:hint="eastAsia"/>
          <w:rtl/>
        </w:rPr>
        <w:t>»</w:t>
      </w:r>
      <w:r>
        <w:rPr>
          <w:rFonts w:hint="cs"/>
          <w:rtl/>
        </w:rPr>
        <w:t xml:space="preserve"> أو </w:t>
      </w:r>
      <w:r>
        <w:rPr>
          <w:rFonts w:hint="eastAsia"/>
          <w:rtl/>
        </w:rPr>
        <w:t>«</w:t>
      </w:r>
      <w:r>
        <w:rPr>
          <w:rFonts w:hint="cs"/>
          <w:rtl/>
        </w:rPr>
        <w:t>دلالة العام</w:t>
      </w:r>
      <w:r>
        <w:rPr>
          <w:rFonts w:hint="eastAsia"/>
          <w:rtl/>
        </w:rPr>
        <w:t>»</w:t>
      </w:r>
      <w:r>
        <w:rPr>
          <w:rFonts w:hint="cs"/>
          <w:rtl/>
        </w:rPr>
        <w:t xml:space="preserve"> أو </w:t>
      </w:r>
      <w:r>
        <w:rPr>
          <w:rFonts w:hint="eastAsia"/>
          <w:rtl/>
        </w:rPr>
        <w:t>«</w:t>
      </w:r>
      <w:r>
        <w:rPr>
          <w:rFonts w:hint="cs"/>
          <w:rtl/>
        </w:rPr>
        <w:t>حكم العام قبل الخصوص</w:t>
      </w:r>
      <w:r>
        <w:rPr>
          <w:rFonts w:hint="eastAsia"/>
          <w:rtl/>
        </w:rPr>
        <w:t>»</w:t>
      </w:r>
      <w:r>
        <w:rPr>
          <w:rFonts w:hint="cs"/>
          <w:rtl/>
        </w:rPr>
        <w:t>.</w:t>
      </w:r>
    </w:p>
    <w:p w:rsidR="00035BE3" w:rsidRDefault="00035BE3" w:rsidP="00C10469">
      <w:pPr>
        <w:pStyle w:val="a6"/>
        <w:ind w:left="422" w:firstLine="0"/>
        <w:rPr>
          <w:b/>
          <w:bCs/>
          <w:rtl/>
        </w:rPr>
      </w:pPr>
      <w:r>
        <w:rPr>
          <w:rFonts w:hint="cs"/>
          <w:b/>
          <w:bCs/>
          <w:rtl/>
        </w:rPr>
        <w:t>ولتحرير محلّ النزاع في هذه المسألة وبيان أقوال العلماء فيها يُقال :</w:t>
      </w:r>
    </w:p>
    <w:p w:rsidR="00035BE3" w:rsidRDefault="00035BE3" w:rsidP="00C10469">
      <w:pPr>
        <w:pStyle w:val="a6"/>
        <w:ind w:left="422" w:firstLine="0"/>
        <w:rPr>
          <w:rtl/>
        </w:rPr>
      </w:pPr>
      <w:r>
        <w:rPr>
          <w:rFonts w:ascii="Wingdings" w:hAnsi="Wingdings"/>
        </w:rPr>
        <w:t></w:t>
      </w:r>
      <w:r>
        <w:rPr>
          <w:rFonts w:hint="cs"/>
          <w:b/>
          <w:bCs/>
          <w:rtl/>
        </w:rPr>
        <w:t xml:space="preserve"> 1</w:t>
      </w:r>
      <w:r>
        <w:rPr>
          <w:b/>
          <w:bCs/>
        </w:rPr>
        <w:t xml:space="preserve"> </w:t>
      </w:r>
      <w:r>
        <w:rPr>
          <w:rFonts w:hint="cs"/>
          <w:rtl/>
        </w:rPr>
        <w:t xml:space="preserve">- </w:t>
      </w:r>
      <w:r>
        <w:rPr>
          <w:rFonts w:hint="eastAsia"/>
          <w:rtl/>
        </w:rPr>
        <w:t>«</w:t>
      </w:r>
      <w:r>
        <w:rPr>
          <w:rFonts w:hint="cs"/>
          <w:rtl/>
        </w:rPr>
        <w:t>دلالة العموم على أصل المعنى دلالة قطعية. وهذا بلا نزاع</w:t>
      </w:r>
      <w:r>
        <w:rPr>
          <w:rFonts w:hint="eastAsia"/>
          <w:rtl/>
        </w:rPr>
        <w:t>»</w:t>
      </w:r>
      <w:r>
        <w:rPr>
          <w:rFonts w:hint="cs"/>
          <w:rtl/>
        </w:rPr>
        <w:t>، صرّح بذلك صاحب (شرح الكوكب المنير)، و(التحبير)، وأفاد ذلك صاحب (التشنيف) و(فتح الغفار) وغيرهم.</w:t>
      </w:r>
    </w:p>
    <w:p w:rsidR="00035BE3" w:rsidRDefault="00035BE3" w:rsidP="00C10469">
      <w:pPr>
        <w:pStyle w:val="a6"/>
        <w:ind w:left="422" w:firstLine="0"/>
        <w:rPr>
          <w:rtl/>
        </w:rPr>
      </w:pPr>
      <w:r>
        <w:rPr>
          <w:rFonts w:hint="cs"/>
          <w:rtl/>
        </w:rPr>
        <w:t xml:space="preserve">والمراد بـ (أصل المعنى) أي : دلالته على </w:t>
      </w:r>
      <w:r>
        <w:rPr>
          <w:rFonts w:hint="eastAsia"/>
          <w:rtl/>
        </w:rPr>
        <w:t>«</w:t>
      </w:r>
      <w:r>
        <w:rPr>
          <w:rFonts w:hint="cs"/>
          <w:rtl/>
        </w:rPr>
        <w:t>الواحد فيما هو غير جمع، والثلاثة أو الاثنين فيما هو جمع</w:t>
      </w:r>
      <w:r>
        <w:rPr>
          <w:rFonts w:hint="eastAsia"/>
          <w:rtl/>
        </w:rPr>
        <w:t>»</w:t>
      </w:r>
      <w:r>
        <w:rPr>
          <w:rFonts w:hint="cs"/>
          <w:rtl/>
        </w:rPr>
        <w:t>- قاله المحلي، وقال نحوه صاحب (فتح الغفار)، و(نشر البنود).</w:t>
      </w:r>
    </w:p>
    <w:p w:rsidR="00035BE3" w:rsidRDefault="00035BE3" w:rsidP="00C10469">
      <w:pPr>
        <w:pStyle w:val="a6"/>
        <w:ind w:left="422" w:firstLine="0"/>
        <w:rPr>
          <w:spacing w:val="6"/>
          <w:rtl/>
        </w:rPr>
      </w:pPr>
      <w:r>
        <w:rPr>
          <w:rFonts w:hint="cs"/>
          <w:b/>
          <w:bCs/>
          <w:spacing w:val="6"/>
          <w:rtl/>
        </w:rPr>
        <w:t>2</w:t>
      </w:r>
      <w:r>
        <w:rPr>
          <w:rFonts w:hint="cs"/>
          <w:spacing w:val="6"/>
          <w:rtl/>
        </w:rPr>
        <w:t xml:space="preserve">- أما دلالته </w:t>
      </w:r>
      <w:r>
        <w:rPr>
          <w:rFonts w:hint="eastAsia"/>
          <w:spacing w:val="6"/>
          <w:rtl/>
        </w:rPr>
        <w:t>«</w:t>
      </w:r>
      <w:r>
        <w:rPr>
          <w:rFonts w:hint="cs"/>
          <w:spacing w:val="6"/>
          <w:rtl/>
        </w:rPr>
        <w:t>على استغراق الأفراد، أي على كل فرد بخصوصه هل هي ظنّية أو قطعية؟</w:t>
      </w:r>
      <w:r>
        <w:rPr>
          <w:rFonts w:hint="eastAsia"/>
          <w:spacing w:val="6"/>
          <w:rtl/>
        </w:rPr>
        <w:t>»</w:t>
      </w:r>
      <w:r>
        <w:rPr>
          <w:rFonts w:hint="cs"/>
          <w:spacing w:val="6"/>
          <w:rtl/>
        </w:rPr>
        <w:t xml:space="preserve"> : فهذا له حالتان :</w:t>
      </w:r>
    </w:p>
    <w:p w:rsidR="00035BE3" w:rsidRDefault="00035BE3" w:rsidP="00C10469">
      <w:pPr>
        <w:pStyle w:val="a6"/>
        <w:ind w:left="422" w:firstLine="0"/>
        <w:rPr>
          <w:rtl/>
        </w:rPr>
      </w:pPr>
      <w:r>
        <w:rPr>
          <w:rFonts w:hint="cs"/>
          <w:b/>
          <w:bCs/>
          <w:rtl/>
        </w:rPr>
        <w:t>أ</w:t>
      </w:r>
      <w:r>
        <w:rPr>
          <w:rFonts w:hint="cs"/>
          <w:rtl/>
        </w:rPr>
        <w:t xml:space="preserve">- أن ترد القرينة المقتضية دلالته على </w:t>
      </w:r>
      <w:r>
        <w:rPr>
          <w:rFonts w:hint="eastAsia"/>
          <w:rtl/>
        </w:rPr>
        <w:t>«</w:t>
      </w:r>
      <w:r>
        <w:rPr>
          <w:rFonts w:hint="cs"/>
          <w:rtl/>
        </w:rPr>
        <w:t xml:space="preserve">كل فردٍ فرد، كالعمومات التي لا يدخلها تخصيص، نحو قوله تعالى: </w:t>
      </w:r>
      <w:r>
        <w:rPr>
          <w:color w:val="000000"/>
          <w:sz w:val="24"/>
          <w:szCs w:val="24"/>
        </w:rPr>
        <w:sym w:font="HQPB2" w:char="F0E2"/>
      </w:r>
      <w:r>
        <w:rPr>
          <w:color w:val="000000"/>
          <w:sz w:val="24"/>
          <w:szCs w:val="24"/>
          <w:rtl/>
        </w:rPr>
        <w:t xml:space="preserve"> </w:t>
      </w:r>
      <w:r>
        <w:rPr>
          <w:color w:val="000000"/>
          <w:sz w:val="24"/>
          <w:szCs w:val="24"/>
        </w:rPr>
        <w:sym w:font="HQPB5" w:char="F075"/>
      </w:r>
      <w:r>
        <w:rPr>
          <w:color w:val="000000"/>
          <w:sz w:val="24"/>
          <w:szCs w:val="24"/>
        </w:rPr>
        <w:sym w:font="HQPB2" w:char="F071"/>
      </w:r>
      <w:r>
        <w:rPr>
          <w:color w:val="000000"/>
          <w:sz w:val="24"/>
          <w:szCs w:val="24"/>
        </w:rPr>
        <w:sym w:font="HQPB4" w:char="F0E8"/>
      </w:r>
      <w:r>
        <w:rPr>
          <w:color w:val="000000"/>
          <w:sz w:val="24"/>
          <w:szCs w:val="24"/>
        </w:rPr>
        <w:sym w:font="HQPB2" w:char="F064"/>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4" w:char="F0C8"/>
      </w:r>
      <w:r>
        <w:rPr>
          <w:color w:val="000000"/>
          <w:sz w:val="24"/>
          <w:szCs w:val="24"/>
        </w:rPr>
        <w:sym w:font="HQPB4" w:char="F065"/>
      </w:r>
      <w:r>
        <w:rPr>
          <w:color w:val="000000"/>
          <w:sz w:val="24"/>
          <w:szCs w:val="24"/>
        </w:rPr>
        <w:sym w:font="HQPB2" w:char="F040"/>
      </w:r>
      <w:r>
        <w:rPr>
          <w:color w:val="000000"/>
          <w:sz w:val="24"/>
          <w:szCs w:val="24"/>
        </w:rPr>
        <w:sym w:font="HQPB4" w:char="F0E4"/>
      </w:r>
      <w:r>
        <w:rPr>
          <w:color w:val="000000"/>
          <w:sz w:val="24"/>
          <w:szCs w:val="24"/>
        </w:rPr>
        <w:sym w:font="HQPB2" w:char="F033"/>
      </w:r>
      <w:r>
        <w:rPr>
          <w:color w:val="000000"/>
          <w:sz w:val="24"/>
          <w:szCs w:val="24"/>
        </w:rPr>
        <w:sym w:font="HQPB4" w:char="F0CE"/>
      </w:r>
      <w:r>
        <w:rPr>
          <w:color w:val="000000"/>
          <w:sz w:val="24"/>
          <w:szCs w:val="24"/>
        </w:rPr>
        <w:sym w:font="HQPB1" w:char="F02F"/>
      </w:r>
      <w:r>
        <w:rPr>
          <w:color w:val="000000"/>
          <w:sz w:val="24"/>
          <w:szCs w:val="24"/>
          <w:rtl/>
        </w:rPr>
        <w:t xml:space="preserve"> </w:t>
      </w:r>
      <w:r>
        <w:rPr>
          <w:color w:val="000000"/>
          <w:sz w:val="24"/>
          <w:szCs w:val="24"/>
        </w:rPr>
        <w:sym w:font="HQPB4" w:char="F03E"/>
      </w:r>
      <w:r>
        <w:rPr>
          <w:color w:val="000000"/>
          <w:sz w:val="24"/>
          <w:szCs w:val="24"/>
        </w:rPr>
        <w:sym w:font="HQPB2" w:char="F0E4"/>
      </w:r>
      <w:r>
        <w:rPr>
          <w:color w:val="000000"/>
          <w:sz w:val="24"/>
          <w:szCs w:val="24"/>
        </w:rPr>
        <w:sym w:font="HQPB4" w:char="F0F3"/>
      </w:r>
      <w:r>
        <w:rPr>
          <w:color w:val="000000"/>
          <w:sz w:val="24"/>
          <w:szCs w:val="24"/>
        </w:rPr>
        <w:sym w:font="HQPB2" w:char="F0D3"/>
      </w:r>
      <w:r>
        <w:rPr>
          <w:color w:val="000000"/>
          <w:sz w:val="24"/>
          <w:szCs w:val="24"/>
        </w:rPr>
        <w:sym w:font="HQPB5" w:char="F078"/>
      </w:r>
      <w:r>
        <w:rPr>
          <w:color w:val="000000"/>
          <w:sz w:val="24"/>
          <w:szCs w:val="24"/>
        </w:rPr>
        <w:sym w:font="HQPB1" w:char="F0AB"/>
      </w:r>
      <w:r>
        <w:rPr>
          <w:color w:val="000000"/>
          <w:sz w:val="24"/>
          <w:szCs w:val="24"/>
          <w:rtl/>
        </w:rPr>
        <w:t xml:space="preserve"> </w:t>
      </w:r>
      <w:r>
        <w:rPr>
          <w:color w:val="000000"/>
          <w:sz w:val="24"/>
          <w:szCs w:val="24"/>
        </w:rPr>
        <w:sym w:font="HQPB4" w:char="F0EE"/>
      </w:r>
      <w:r>
        <w:rPr>
          <w:color w:val="000000"/>
          <w:sz w:val="24"/>
          <w:szCs w:val="24"/>
        </w:rPr>
        <w:sym w:font="HQPB2" w:char="F04C"/>
      </w:r>
      <w:r>
        <w:rPr>
          <w:color w:val="000000"/>
          <w:sz w:val="24"/>
          <w:szCs w:val="24"/>
        </w:rPr>
        <w:sym w:font="HQPB2" w:char="F0EC"/>
      </w:r>
      <w:r>
        <w:rPr>
          <w:color w:val="000000"/>
          <w:sz w:val="24"/>
          <w:szCs w:val="24"/>
        </w:rPr>
        <w:sym w:font="HQPB4" w:char="F0CE"/>
      </w:r>
      <w:r>
        <w:rPr>
          <w:color w:val="000000"/>
          <w:sz w:val="24"/>
          <w:szCs w:val="24"/>
        </w:rPr>
        <w:sym w:font="HQPB2" w:char="F03D"/>
      </w:r>
      <w:r>
        <w:rPr>
          <w:color w:val="000000"/>
          <w:sz w:val="24"/>
          <w:szCs w:val="24"/>
        </w:rPr>
        <w:sym w:font="HQPB5" w:char="F074"/>
      </w:r>
      <w:r>
        <w:rPr>
          <w:color w:val="000000"/>
          <w:sz w:val="24"/>
          <w:szCs w:val="24"/>
        </w:rPr>
        <w:sym w:font="HQPB1" w:char="F0E6"/>
      </w:r>
      <w:r>
        <w:rPr>
          <w:color w:val="000000"/>
          <w:sz w:val="24"/>
          <w:szCs w:val="24"/>
          <w:rtl/>
        </w:rPr>
        <w:t xml:space="preserve">  </w:t>
      </w:r>
      <w:r>
        <w:rPr>
          <w:color w:val="000000"/>
          <w:sz w:val="24"/>
          <w:szCs w:val="24"/>
        </w:rPr>
        <w:sym w:font="HQPB2" w:char="F0E1"/>
      </w:r>
      <w:r>
        <w:rPr>
          <w:rFonts w:hint="eastAsia"/>
          <w:rtl/>
        </w:rPr>
        <w:t>»</w:t>
      </w:r>
      <w:r>
        <w:rPr>
          <w:rFonts w:hint="cs"/>
          <w:rtl/>
        </w:rPr>
        <w:t xml:space="preserve"> [من الآية رقم (3) من سورة الحديد]، فهذا يدل على القطع بلا نزاع بين المذاهب الأربعة. وعكسه يقال فيما إذا دلّت القرينة على أن العام يراد به قطعًا الخصوص.</w:t>
      </w:r>
    </w:p>
    <w:p w:rsidR="00035BE3" w:rsidRDefault="00035BE3" w:rsidP="00C10469">
      <w:pPr>
        <w:pStyle w:val="a6"/>
        <w:ind w:left="422" w:firstLine="0"/>
        <w:rPr>
          <w:rtl/>
        </w:rPr>
      </w:pPr>
      <w:r>
        <w:rPr>
          <w:rFonts w:hint="cs"/>
          <w:b/>
          <w:bCs/>
          <w:rtl/>
        </w:rPr>
        <w:t>ب</w:t>
      </w:r>
      <w:r>
        <w:rPr>
          <w:rFonts w:hint="cs"/>
          <w:rtl/>
        </w:rPr>
        <w:t>- أن لا ترد قرينة مقتضية القطع بعمومه أو خصوصه، فهذا محل النزاع.</w:t>
      </w:r>
    </w:p>
    <w:p w:rsidR="00035BE3" w:rsidRDefault="00035BE3" w:rsidP="00C10469">
      <w:pPr>
        <w:pStyle w:val="a6"/>
        <w:ind w:left="422" w:firstLine="0"/>
        <w:rPr>
          <w:rtl/>
        </w:rPr>
      </w:pPr>
      <w:r>
        <w:rPr>
          <w:rFonts w:ascii="Wingdings" w:hAnsi="Wingdings"/>
        </w:rPr>
        <w:t></w:t>
      </w:r>
      <w:r>
        <w:rPr>
          <w:rFonts w:hint="cs"/>
          <w:rtl/>
        </w:rPr>
        <w:t xml:space="preserve"> فإن جمهور العلماء (القائلين بأن للعموم صيغة) اختلفوا في ذلك على قولين :</w:t>
      </w:r>
    </w:p>
    <w:p w:rsidR="00035BE3" w:rsidRDefault="00035BE3" w:rsidP="00C10469">
      <w:pPr>
        <w:pStyle w:val="a6"/>
        <w:ind w:left="422" w:firstLine="0"/>
        <w:rPr>
          <w:rtl/>
        </w:rPr>
      </w:pPr>
      <w:r>
        <w:rPr>
          <w:b/>
          <w:bCs/>
          <w:rtl/>
        </w:rPr>
        <w:t>•</w:t>
      </w:r>
      <w:r>
        <w:rPr>
          <w:rFonts w:hint="cs"/>
          <w:b/>
          <w:bCs/>
          <w:rtl/>
        </w:rPr>
        <w:t xml:space="preserve"> القول الأول</w:t>
      </w:r>
      <w:r>
        <w:rPr>
          <w:rFonts w:hint="cs"/>
          <w:rtl/>
        </w:rPr>
        <w:t xml:space="preserve"> : دلالته على كل فرد بخصوصه بلا قرينة ظنية.</w:t>
      </w:r>
    </w:p>
    <w:p w:rsidR="00035BE3" w:rsidRDefault="00035BE3" w:rsidP="00C10469">
      <w:pPr>
        <w:pStyle w:val="a6"/>
        <w:ind w:left="422" w:firstLine="0"/>
        <w:rPr>
          <w:rtl/>
        </w:rPr>
      </w:pPr>
      <w:r>
        <w:rPr>
          <w:rFonts w:hint="cs"/>
          <w:rtl/>
        </w:rPr>
        <w:t xml:space="preserve">وهذا هو المختار عند المالكية </w:t>
      </w:r>
      <w:r>
        <w:rPr>
          <w:rtl/>
        </w:rPr>
        <w:t>–</w:t>
      </w:r>
      <w:r>
        <w:rPr>
          <w:rFonts w:hint="cs"/>
          <w:rtl/>
        </w:rPr>
        <w:t xml:space="preserve"> كما في نشر البنود-، والمشهور عند الشافعية </w:t>
      </w:r>
      <w:r>
        <w:rPr>
          <w:rtl/>
        </w:rPr>
        <w:t>–</w:t>
      </w:r>
      <w:r>
        <w:rPr>
          <w:rFonts w:hint="cs"/>
          <w:rtl/>
        </w:rPr>
        <w:t xml:space="preserve"> كما في البحر وشرح المحلي وغيرهما-، وهو قول أكثر الحنابلة </w:t>
      </w:r>
      <w:r>
        <w:rPr>
          <w:rtl/>
        </w:rPr>
        <w:t>–</w:t>
      </w:r>
      <w:r>
        <w:rPr>
          <w:rFonts w:hint="cs"/>
          <w:rtl/>
        </w:rPr>
        <w:t xml:space="preserve"> كما في قواعد ابن اللحام والتحبير وشرح الكوكب-؛ وقال به مشايخ سمرقند من الحنفية </w:t>
      </w:r>
      <w:r>
        <w:rPr>
          <w:rtl/>
        </w:rPr>
        <w:t>–</w:t>
      </w:r>
      <w:r>
        <w:rPr>
          <w:rFonts w:hint="cs"/>
          <w:rtl/>
        </w:rPr>
        <w:t xml:space="preserve"> كما في شرح المغني للقاءاني وغيره-.</w:t>
      </w:r>
    </w:p>
    <w:p w:rsidR="00035BE3" w:rsidRDefault="00035BE3" w:rsidP="00C10469">
      <w:pPr>
        <w:pStyle w:val="a6"/>
        <w:ind w:left="422" w:hanging="454"/>
        <w:rPr>
          <w:rtl/>
        </w:rPr>
      </w:pPr>
      <w:r>
        <w:rPr>
          <w:rFonts w:hint="cs"/>
          <w:b/>
          <w:bCs/>
          <w:rtl/>
        </w:rPr>
        <w:t xml:space="preserve"> </w:t>
      </w:r>
      <w:r>
        <w:rPr>
          <w:rFonts w:hint="cs"/>
          <w:b/>
          <w:bCs/>
          <w:rtl/>
        </w:rPr>
        <w:tab/>
      </w:r>
      <w:r>
        <w:rPr>
          <w:b/>
          <w:bCs/>
          <w:rtl/>
        </w:rPr>
        <w:t>•</w:t>
      </w:r>
      <w:r>
        <w:rPr>
          <w:rFonts w:hint="cs"/>
          <w:b/>
          <w:bCs/>
          <w:rtl/>
        </w:rPr>
        <w:t xml:space="preserve"> القول الثاني</w:t>
      </w:r>
      <w:r>
        <w:rPr>
          <w:rFonts w:hint="cs"/>
          <w:rtl/>
        </w:rPr>
        <w:t xml:space="preserve"> : دلالته قطعية. وهذا القول هو ما يمثّله لفظ القاعدة.</w:t>
      </w:r>
    </w:p>
    <w:p w:rsidR="00035BE3" w:rsidRDefault="00035BE3" w:rsidP="00C10469">
      <w:pPr>
        <w:pStyle w:val="a6"/>
        <w:ind w:left="422" w:firstLine="0"/>
        <w:rPr>
          <w:rtl/>
        </w:rPr>
      </w:pPr>
      <w:r>
        <w:rPr>
          <w:rFonts w:hint="cs"/>
          <w:rtl/>
        </w:rPr>
        <w:t xml:space="preserve">كما أنه المذهب عند الحنفية </w:t>
      </w:r>
      <w:r>
        <w:rPr>
          <w:rtl/>
        </w:rPr>
        <w:t>–</w:t>
      </w:r>
      <w:r>
        <w:rPr>
          <w:rFonts w:hint="cs"/>
          <w:rtl/>
        </w:rPr>
        <w:t xml:space="preserve"> أفاد ذلك البزدوي والسرخسي وغيرهما-.</w:t>
      </w:r>
    </w:p>
    <w:p w:rsidR="00035BE3" w:rsidRDefault="00035BE3" w:rsidP="00C10469">
      <w:pPr>
        <w:pStyle w:val="a6"/>
        <w:ind w:left="422" w:firstLine="0"/>
        <w:rPr>
          <w:rtl/>
        </w:rPr>
      </w:pPr>
      <w:r>
        <w:rPr>
          <w:rFonts w:hint="cs"/>
          <w:b/>
          <w:bCs/>
          <w:rtl/>
        </w:rPr>
        <w:t>ولتوثيق ما سبق</w:t>
      </w:r>
      <w:r>
        <w:rPr>
          <w:rFonts w:hint="cs"/>
          <w:rtl/>
        </w:rPr>
        <w:t xml:space="preserve"> : فإن النصَّين الأخيرين مستفادان من التشنيف وشرح الكوكب، كما أن رأي المذاهب الأربعة على أن العام يفيد القطع عند القرينة مستفاد منهما ومن نشر البنود وغيرها، وبيان ذلك وبقية مصادر المسألة على النحو الآتي :</w:t>
      </w:r>
    </w:p>
    <w:p w:rsidR="00035BE3" w:rsidRPr="005D2F30" w:rsidRDefault="00035BE3" w:rsidP="00C10469">
      <w:pPr>
        <w:pStyle w:val="a6"/>
        <w:ind w:left="422" w:firstLine="0"/>
        <w:rPr>
          <w:rtl/>
        </w:rPr>
      </w:pPr>
      <w:r w:rsidRPr="001A060A">
        <w:rPr>
          <w:rFonts w:hint="cs"/>
          <w:spacing w:val="-4"/>
          <w:rtl/>
        </w:rPr>
        <w:t>الغنية، ص66؛ أصول البزدوي وكشف الأسرار، 1/587؛ أصول السرخسي، 1/132؛ ميزان</w:t>
      </w:r>
      <w:r>
        <w:rPr>
          <w:rFonts w:hint="cs"/>
          <w:spacing w:val="2"/>
          <w:rtl/>
        </w:rPr>
        <w:t xml:space="preserve"> </w:t>
      </w:r>
      <w:r w:rsidRPr="001A060A">
        <w:rPr>
          <w:rFonts w:hint="cs"/>
          <w:rtl/>
        </w:rPr>
        <w:t>الأصول، 1/</w:t>
      </w:r>
      <w:r w:rsidRPr="001A060A">
        <w:rPr>
          <w:rFonts w:hint="cs"/>
          <w:spacing w:val="2"/>
          <w:rtl/>
        </w:rPr>
        <w:t>408؛ تخريج الفروع على الأصول للزنجاني، ص326؛ المغني، ص99؛ وشرحه للقاءاني</w:t>
      </w:r>
      <w:r>
        <w:rPr>
          <w:rFonts w:hint="cs"/>
          <w:spacing w:val="2"/>
          <w:rtl/>
        </w:rPr>
        <w:t xml:space="preserve">، ق1، جـ2، ص448؛ المنار وشروحه : كشف الأسرار وشرح نور الأنوار، 1/161؛ وفتح الغفار، 1/94؛ التنقيح والتلويح، 1/38؛ جمع الجوامع وشرحاه : تشنيف المسامع، 2/653؛ وشرح المحلي مع حاشية البناني، 1/407؛ البحر الرائق، 3/26؛ القواعد لابن اللحام، ص299؛ </w:t>
      </w:r>
      <w:r w:rsidRPr="005D2F30">
        <w:rPr>
          <w:rFonts w:hint="cs"/>
          <w:rtl/>
        </w:rPr>
        <w:t xml:space="preserve">التحبـيـر، 5/2338؛ شرح الكوكب المنير، 3/114؛ مسلم الثبوت وفواتح الرحموت، </w:t>
      </w:r>
      <w:r>
        <w:rPr>
          <w:rFonts w:hint="cs"/>
          <w:spacing w:val="2"/>
          <w:rtl/>
        </w:rPr>
        <w:t xml:space="preserve">1/265؛ </w:t>
      </w:r>
      <w:r>
        <w:rPr>
          <w:rFonts w:hint="cs"/>
          <w:rtl/>
        </w:rPr>
        <w:t>مراقي السعود وشرحاه</w:t>
      </w:r>
      <w:r w:rsidRPr="005D2F30">
        <w:rPr>
          <w:rFonts w:hint="cs"/>
          <w:rtl/>
        </w:rPr>
        <w:t xml:space="preserve">: نشر البنود، 1/205؛ ومراقي السعود، ص192؛ المهذّب في علم أصول الفقه الـمقارن، 4/1515؛ القطع والظن عند الأصوليين، 1/325؛ أثر الاختلاف في القواعد </w:t>
      </w:r>
      <w:r w:rsidRPr="005D2F30">
        <w:rPr>
          <w:rFonts w:hint="cs"/>
          <w:spacing w:val="-2"/>
          <w:rtl/>
        </w:rPr>
        <w:t xml:space="preserve">الأصولية في اخـتلاف الـفقهاء، ص203؛ العام ودلالته بين القطعية والظنية، ص129؛ معالم </w:t>
      </w:r>
      <w:r w:rsidRPr="005D2F30">
        <w:rPr>
          <w:rFonts w:hint="cs"/>
          <w:rtl/>
        </w:rPr>
        <w:t xml:space="preserve">أصول الفقه عند أهل السنة والجماعة، ص426؛ تفسير النصوص، 2/102-129؛ القطعية والظنية في </w:t>
      </w:r>
      <w:r w:rsidRPr="005D2F30">
        <w:rPr>
          <w:rFonts w:hint="cs"/>
          <w:spacing w:val="-2"/>
          <w:rtl/>
        </w:rPr>
        <w:t>أصول الفـقه الإسلامي، ص82- وفي الكتب الخمسة الأخيرة بيان من أصحابها لتحرير محل النزاع-</w:t>
      </w:r>
      <w:r w:rsidRPr="005D2F30">
        <w:rPr>
          <w:rFonts w:hint="cs"/>
          <w:rtl/>
        </w:rPr>
        <w:t>.</w:t>
      </w:r>
    </w:p>
    <w:p w:rsidR="00035BE3" w:rsidRDefault="00035BE3" w:rsidP="00C10469">
      <w:pPr>
        <w:pStyle w:val="a6"/>
        <w:ind w:left="422" w:firstLine="0"/>
        <w:rPr>
          <w:rtl/>
        </w:rPr>
      </w:pPr>
      <w:r>
        <w:rPr>
          <w:rFonts w:hint="cs"/>
          <w:rtl/>
        </w:rPr>
        <w:t xml:space="preserve">ويضاف إلى هذه الكتب بعض </w:t>
      </w:r>
      <w:r>
        <w:rPr>
          <w:rFonts w:hint="cs"/>
          <w:b/>
          <w:bCs/>
          <w:rtl/>
        </w:rPr>
        <w:t>كتب القواعد</w:t>
      </w:r>
      <w:r>
        <w:rPr>
          <w:rFonts w:hint="cs"/>
          <w:rtl/>
        </w:rPr>
        <w:t xml:space="preserve"> منها :</w:t>
      </w:r>
    </w:p>
    <w:p w:rsidR="00035BE3" w:rsidRDefault="00035BE3" w:rsidP="00C10469">
      <w:pPr>
        <w:pStyle w:val="a6"/>
        <w:ind w:left="422" w:firstLine="0"/>
        <w:rPr>
          <w:b/>
          <w:bCs/>
          <w:rtl/>
        </w:rPr>
      </w:pPr>
      <w:r>
        <w:rPr>
          <w:rFonts w:hint="cs"/>
          <w:rtl/>
        </w:rPr>
        <w:t>قواعد الفقه للمجدّدي، ص91، قاعدة 180؛ القواعد والضوابط المستخلصة، ص493.</w:t>
      </w:r>
    </w:p>
  </w:footnote>
  <w:footnote w:id="33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لمعنى</w:t>
      </w:r>
      <w:r>
        <w:rPr>
          <w:rFonts w:hint="eastAsia"/>
          <w:rtl/>
        </w:rPr>
        <w:t>»</w:t>
      </w:r>
      <w:r>
        <w:rPr>
          <w:rFonts w:hint="cs"/>
          <w:rtl/>
        </w:rPr>
        <w:t>.</w:t>
      </w:r>
    </w:p>
  </w:footnote>
  <w:footnote w:id="33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للخبازي، ص99-100.</w:t>
      </w:r>
    </w:p>
  </w:footnote>
  <w:footnote w:id="33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40/أ من (د).</w:t>
      </w:r>
    </w:p>
  </w:footnote>
  <w:footnote w:id="3349">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شرح المغني للقاءاني، ق1، جـ2، ص455- مع اختلاف يسير، حيث جاء فيه: </w:t>
      </w:r>
      <w:r>
        <w:rPr>
          <w:rFonts w:hint="eastAsia"/>
          <w:spacing w:val="6"/>
          <w:rtl/>
        </w:rPr>
        <w:t>«</w:t>
      </w:r>
      <w:r>
        <w:rPr>
          <w:rFonts w:hint="cs"/>
          <w:spacing w:val="6"/>
          <w:rtl/>
        </w:rPr>
        <w:t>... والظني</w:t>
      </w:r>
      <w:r>
        <w:rPr>
          <w:rFonts w:hint="eastAsia"/>
          <w:spacing w:val="6"/>
          <w:rtl/>
        </w:rPr>
        <w:t>»</w:t>
      </w:r>
      <w:r>
        <w:rPr>
          <w:rFonts w:hint="cs"/>
          <w:spacing w:val="6"/>
          <w:rtl/>
        </w:rPr>
        <w:t xml:space="preserve"> وليس (والظنّ).</w:t>
      </w:r>
    </w:p>
  </w:footnote>
  <w:footnote w:id="33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64/ب من (أ).</w:t>
      </w:r>
    </w:p>
  </w:footnote>
  <w:footnote w:id="33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بتخصيص</w:t>
      </w:r>
      <w:r>
        <w:rPr>
          <w:rFonts w:hint="eastAsia"/>
          <w:rtl/>
        </w:rPr>
        <w:t>»</w:t>
      </w:r>
      <w:r>
        <w:rPr>
          <w:rFonts w:hint="cs"/>
          <w:rtl/>
        </w:rPr>
        <w:t>.</w:t>
      </w:r>
    </w:p>
  </w:footnote>
  <w:footnote w:id="33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(97) من سورة (آل عمران).</w:t>
      </w:r>
    </w:p>
    <w:p w:rsidR="00035BE3" w:rsidRDefault="00035BE3" w:rsidP="00C10469">
      <w:pPr>
        <w:pStyle w:val="a6"/>
        <w:ind w:left="422" w:firstLine="0"/>
        <w:rPr>
          <w:rtl/>
        </w:rPr>
      </w:pPr>
      <w:r>
        <w:rPr>
          <w:rFonts w:hint="cs"/>
          <w:rtl/>
        </w:rPr>
        <w:t xml:space="preserve">وقد جاء في (جـ) : </w:t>
      </w:r>
      <w:r>
        <w:rPr>
          <w:rFonts w:hint="eastAsia"/>
          <w:rtl/>
        </w:rPr>
        <w:t>«</w:t>
      </w:r>
      <w:r>
        <w:rPr>
          <w:rFonts w:hint="cs"/>
          <w:rtl/>
        </w:rPr>
        <w:t>لكان</w:t>
      </w:r>
      <w:r>
        <w:rPr>
          <w:rFonts w:hint="eastAsia"/>
          <w:rtl/>
        </w:rPr>
        <w:t>»</w:t>
      </w:r>
      <w:r>
        <w:rPr>
          <w:rFonts w:hint="cs"/>
          <w:rtl/>
        </w:rPr>
        <w:t xml:space="preserve"> وليس (كان). وهذا خطأ بيّن.</w:t>
      </w:r>
    </w:p>
  </w:footnote>
  <w:footnote w:id="33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بـحرم</w:t>
      </w:r>
      <w:r>
        <w:rPr>
          <w:rFonts w:hint="eastAsia"/>
          <w:rtl/>
        </w:rPr>
        <w:t>»</w:t>
      </w:r>
      <w:r>
        <w:rPr>
          <w:rFonts w:hint="cs"/>
          <w:rtl/>
        </w:rPr>
        <w:t xml:space="preserve">، وفي (جـ) و(د) : </w:t>
      </w:r>
      <w:r>
        <w:rPr>
          <w:rFonts w:hint="eastAsia"/>
          <w:rtl/>
        </w:rPr>
        <w:t>«</w:t>
      </w:r>
      <w:r>
        <w:rPr>
          <w:rFonts w:hint="cs"/>
          <w:rtl/>
        </w:rPr>
        <w:t>بحبر</w:t>
      </w:r>
      <w:r>
        <w:rPr>
          <w:rFonts w:hint="eastAsia"/>
          <w:rtl/>
        </w:rPr>
        <w:t>»</w:t>
      </w:r>
      <w:r>
        <w:rPr>
          <w:rFonts w:hint="cs"/>
          <w:rtl/>
        </w:rPr>
        <w:t>. والصحيح ما تمَّ إثباته من (ب) و(هـ) و(و).</w:t>
      </w:r>
    </w:p>
  </w:footnote>
  <w:footnote w:id="33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وهو الحرم</w:t>
      </w:r>
      <w:r>
        <w:rPr>
          <w:rFonts w:hint="eastAsia"/>
          <w:rtl/>
        </w:rPr>
        <w:t>»</w:t>
      </w:r>
      <w:r>
        <w:rPr>
          <w:rFonts w:hint="cs"/>
          <w:rtl/>
        </w:rPr>
        <w:t xml:space="preserve"> : وردت مكررّة في (ب).</w:t>
      </w:r>
    </w:p>
  </w:footnote>
  <w:footnote w:id="3355">
    <w:p w:rsidR="00035BE3" w:rsidRPr="004F6784" w:rsidRDefault="00035BE3" w:rsidP="00C10469">
      <w:pPr>
        <w:pStyle w:val="a8"/>
        <w:bidi/>
        <w:ind w:left="422" w:right="0"/>
        <w:rPr>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4F6784">
        <w:rPr>
          <w:rFonts w:hint="cs"/>
          <w:rtl/>
        </w:rPr>
        <w:t xml:space="preserve">في (أ) و(ب) و(جـ) و(د): </w:t>
      </w:r>
      <w:r w:rsidRPr="004F6784">
        <w:rPr>
          <w:rFonts w:hint="eastAsia"/>
          <w:rtl/>
        </w:rPr>
        <w:t>«</w:t>
      </w:r>
      <w:r w:rsidRPr="004F6784">
        <w:rPr>
          <w:rFonts w:hint="cs"/>
          <w:rtl/>
        </w:rPr>
        <w:t>فلا</w:t>
      </w:r>
      <w:r w:rsidRPr="004F6784">
        <w:rPr>
          <w:rFonts w:hint="eastAsia"/>
          <w:rtl/>
        </w:rPr>
        <w:t>»</w:t>
      </w:r>
      <w:r w:rsidRPr="004F6784">
        <w:rPr>
          <w:rFonts w:hint="cs"/>
          <w:rtl/>
        </w:rPr>
        <w:t>. والصحيح ما تمَّ إثباته من (هـ) و(و)، وهو الموافق للفظ البخاري ومسلم.</w:t>
      </w:r>
    </w:p>
  </w:footnote>
  <w:footnote w:id="33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يعد</w:t>
      </w:r>
      <w:r>
        <w:rPr>
          <w:rFonts w:hint="eastAsia"/>
          <w:rtl/>
        </w:rPr>
        <w:t>»</w:t>
      </w:r>
      <w:r>
        <w:rPr>
          <w:rFonts w:hint="cs"/>
          <w:rtl/>
        </w:rPr>
        <w:t xml:space="preserve">، وفي (جـ) : </w:t>
      </w:r>
      <w:r>
        <w:rPr>
          <w:rFonts w:hint="eastAsia"/>
          <w:rtl/>
        </w:rPr>
        <w:t>«</w:t>
      </w:r>
      <w:r>
        <w:rPr>
          <w:rFonts w:hint="cs"/>
          <w:rtl/>
        </w:rPr>
        <w:t>يعبد</w:t>
      </w:r>
      <w:r>
        <w:rPr>
          <w:rFonts w:hint="eastAsia"/>
          <w:rtl/>
        </w:rPr>
        <w:t>»</w:t>
      </w:r>
      <w:r>
        <w:rPr>
          <w:rFonts w:hint="cs"/>
          <w:rtl/>
        </w:rPr>
        <w:t xml:space="preserve">. واللفظ عند البخاري ومسلم : </w:t>
      </w:r>
      <w:r>
        <w:rPr>
          <w:rFonts w:hint="eastAsia"/>
          <w:rtl/>
        </w:rPr>
        <w:t>«</w:t>
      </w:r>
      <w:r>
        <w:rPr>
          <w:rFonts w:hint="cs"/>
          <w:rtl/>
        </w:rPr>
        <w:t>لا يعيذ</w:t>
      </w:r>
      <w:r>
        <w:rPr>
          <w:rFonts w:hint="eastAsia"/>
          <w:rtl/>
        </w:rPr>
        <w:t>»</w:t>
      </w:r>
      <w:r>
        <w:rPr>
          <w:rFonts w:hint="cs"/>
          <w:rtl/>
        </w:rPr>
        <w:t>.</w:t>
      </w:r>
    </w:p>
  </w:footnote>
  <w:footnote w:id="3357">
    <w:p w:rsidR="00035BE3" w:rsidRDefault="00035BE3" w:rsidP="00C10469">
      <w:pPr>
        <w:pStyle w:val="a8"/>
        <w:bidi/>
        <w:spacing w:line="228" w:lineRule="auto"/>
        <w:ind w:left="420" w:right="0"/>
        <w:rPr>
          <w:spacing w:val="12"/>
          <w:rtl/>
        </w:rPr>
      </w:pPr>
      <w:r>
        <w:rPr>
          <w:rFonts w:hint="cs"/>
          <w:spacing w:val="12"/>
          <w:vertAlign w:val="superscript"/>
          <w:rtl/>
        </w:rPr>
        <w:t>(</w:t>
      </w:r>
      <w:r>
        <w:rPr>
          <w:rStyle w:val="a7"/>
          <w:spacing w:val="12"/>
        </w:rPr>
        <w:footnoteRef/>
      </w:r>
      <w:r>
        <w:rPr>
          <w:rFonts w:hint="cs"/>
          <w:spacing w:val="12"/>
          <w:vertAlign w:val="superscript"/>
          <w:rtl/>
        </w:rPr>
        <w:t>)</w:t>
      </w:r>
      <w:r>
        <w:rPr>
          <w:rFonts w:hint="cs"/>
          <w:spacing w:val="12"/>
          <w:rtl/>
        </w:rPr>
        <w:t xml:space="preserve">  وردت هذه الجملة في نهاية حديث طويل مخرّج في الصحيحين وغيرهما، إلا أنها ليست من كلام النبي </w:t>
      </w:r>
      <w:r>
        <w:rPr>
          <w:rFonts w:ascii="AGA Arabesque" w:hAnsi="AGA Arabesque"/>
          <w:spacing w:val="12"/>
          <w:sz w:val="36"/>
          <w:szCs w:val="36"/>
        </w:rPr>
        <w:t></w:t>
      </w:r>
      <w:r>
        <w:rPr>
          <w:rFonts w:hint="cs"/>
          <w:spacing w:val="12"/>
          <w:rtl/>
        </w:rPr>
        <w:t xml:space="preserve">، بل من قول التابعي : عمرو بن سعيد والي المدينة؛ فقد أخرج البخاري، كتاب جزاء الصيد، باب لا يعضد شجر الحرم، 2/651، ح1735، بسنده عن أبي شريح العدوي أنه قال لعمرو بن سعيد وهو يبعث البعوث إلى مكة : ائذن لي أيها الأمير أحدّثك قولاً قام به رسول الله </w:t>
      </w:r>
      <w:r>
        <w:rPr>
          <w:rFonts w:ascii="AGA Arabesque" w:hAnsi="AGA Arabesque"/>
          <w:spacing w:val="12"/>
          <w:sz w:val="36"/>
          <w:szCs w:val="36"/>
        </w:rPr>
        <w:t></w:t>
      </w:r>
      <w:r>
        <w:rPr>
          <w:rFonts w:hint="cs"/>
          <w:spacing w:val="12"/>
          <w:rtl/>
        </w:rPr>
        <w:t xml:space="preserve"> للغد من يوم الفتح، ... أنه حمد الله وأثنى عليه ثم قال: </w:t>
      </w:r>
      <w:r>
        <w:rPr>
          <w:rFonts w:hint="eastAsia"/>
          <w:spacing w:val="12"/>
          <w:rtl/>
        </w:rPr>
        <w:t>«</w:t>
      </w:r>
      <w:r>
        <w:rPr>
          <w:rFonts w:hint="cs"/>
          <w:spacing w:val="12"/>
          <w:rtl/>
        </w:rPr>
        <w:t xml:space="preserve">إنّ مكّة حرّمها الله ولم يحرمها الناس ... وإنما أذن لي ساعة من نهار، وقد عادت حُرْمَتُها اليوم كحرمتها بالأمس، وليبلغ الشاهدُ الغائبَ. فقيل لأبي شريح : ما قال لك عمرو؟ قال : أنا أعلم بذلك منك يا أبا شريح، </w:t>
      </w:r>
      <w:r>
        <w:rPr>
          <w:rFonts w:hint="cs"/>
          <w:b/>
          <w:bCs/>
          <w:spacing w:val="12"/>
          <w:rtl/>
        </w:rPr>
        <w:t>إن الحرم لا يُعيذُ عاصيًا، ولا فارًّا بدم</w:t>
      </w:r>
      <w:r>
        <w:rPr>
          <w:rFonts w:hint="cs"/>
          <w:spacing w:val="12"/>
          <w:rtl/>
        </w:rPr>
        <w:t>، ولا فارًا بخربة</w:t>
      </w:r>
      <w:r>
        <w:rPr>
          <w:rFonts w:hint="eastAsia"/>
          <w:spacing w:val="12"/>
          <w:rtl/>
        </w:rPr>
        <w:t>»</w:t>
      </w:r>
      <w:r>
        <w:rPr>
          <w:rFonts w:hint="cs"/>
          <w:spacing w:val="12"/>
          <w:rtl/>
        </w:rPr>
        <w:t>؛ وأخرجه مسلم بنحوه، كتاب الحج، باب تحريم مكة وصيدها وخلاها وشجرها ولقطتها إلا لمنشد على الدوام، 2/987، ح1354.</w:t>
      </w:r>
    </w:p>
    <w:p w:rsidR="00035BE3" w:rsidRDefault="00035BE3" w:rsidP="00C10469">
      <w:pPr>
        <w:pStyle w:val="a6"/>
        <w:ind w:left="422" w:firstLine="0"/>
        <w:rPr>
          <w:rtl/>
        </w:rPr>
      </w:pPr>
      <w:r>
        <w:rPr>
          <w:rFonts w:hint="cs"/>
          <w:rtl/>
        </w:rPr>
        <w:t xml:space="preserve">ومقولة عمرو بن سعيد علق عليها الحافظ في الفتح </w:t>
      </w:r>
      <w:r>
        <w:rPr>
          <w:rtl/>
        </w:rPr>
        <w:t>–</w:t>
      </w:r>
      <w:r>
        <w:rPr>
          <w:rFonts w:hint="cs"/>
          <w:rtl/>
        </w:rPr>
        <w:t xml:space="preserve">1/240- فقال : </w:t>
      </w:r>
      <w:r>
        <w:rPr>
          <w:rFonts w:hint="eastAsia"/>
          <w:rtl/>
        </w:rPr>
        <w:t>«</w:t>
      </w:r>
      <w:r>
        <w:rPr>
          <w:rFonts w:hint="cs"/>
          <w:rtl/>
        </w:rPr>
        <w:t>وقد تشدّق عمرو في الجواب، وأتى بكلام ظاهره حق، لكن أراد به الباطل</w:t>
      </w:r>
      <w:r>
        <w:rPr>
          <w:rFonts w:hint="eastAsia"/>
          <w:rtl/>
        </w:rPr>
        <w:t>»</w:t>
      </w:r>
      <w:r>
        <w:rPr>
          <w:rFonts w:hint="cs"/>
          <w:rtl/>
        </w:rPr>
        <w:t>.</w:t>
      </w:r>
    </w:p>
    <w:p w:rsidR="00035BE3" w:rsidRDefault="00035BE3" w:rsidP="00C10469">
      <w:pPr>
        <w:pStyle w:val="a6"/>
        <w:ind w:left="422" w:firstLine="0"/>
        <w:rPr>
          <w:spacing w:val="12"/>
          <w:rtl/>
        </w:rPr>
      </w:pPr>
      <w:r>
        <w:rPr>
          <w:rFonts w:hint="cs"/>
          <w:spacing w:val="12"/>
          <w:rtl/>
        </w:rPr>
        <w:t>وانظر في كون عمرو بن سعـيد من التابعين ولـيس في الصحابة في : تقريب التهذيب، 1/422، رقم 5034.</w:t>
      </w:r>
    </w:p>
  </w:footnote>
  <w:footnote w:id="3358">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زيادة من (جـ) و(هـ) و(و). وإيرادها هو الموافق للمصدر (وهو المغني). </w:t>
      </w:r>
    </w:p>
    <w:p w:rsidR="00035BE3" w:rsidRDefault="00035BE3" w:rsidP="00C10469">
      <w:pPr>
        <w:pStyle w:val="a6"/>
        <w:spacing w:line="228" w:lineRule="auto"/>
        <w:ind w:left="420" w:firstLine="0"/>
        <w:rPr>
          <w:rtl/>
        </w:rPr>
      </w:pPr>
      <w:r>
        <w:rPr>
          <w:rFonts w:hint="cs"/>
          <w:rtl/>
        </w:rPr>
        <w:t>و</w:t>
      </w:r>
      <w:r>
        <w:rPr>
          <w:rFonts w:hint="cs"/>
          <w:b/>
          <w:bCs/>
          <w:rtl/>
        </w:rPr>
        <w:t>المعنى</w:t>
      </w:r>
      <w:r>
        <w:rPr>
          <w:rFonts w:hint="cs"/>
          <w:rtl/>
        </w:rPr>
        <w:t xml:space="preserve"> : لا يجوز تخصيص الآية المذكورة بخبر الواحد ... ولا يجوز تخصيصها أيضًا بالقياس على ...</w:t>
      </w:r>
    </w:p>
  </w:footnote>
  <w:footnote w:id="3359">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أنشأ</w:t>
      </w:r>
      <w:r>
        <w:rPr>
          <w:rFonts w:hint="eastAsia"/>
          <w:rtl/>
        </w:rPr>
        <w:t>»</w:t>
      </w:r>
      <w:r>
        <w:rPr>
          <w:rFonts w:hint="cs"/>
          <w:rtl/>
        </w:rPr>
        <w:t xml:space="preserve"> : ساقطة من (د).</w:t>
      </w:r>
    </w:p>
  </w:footnote>
  <w:footnote w:id="3360">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دلا</w:t>
      </w:r>
      <w:r>
        <w:rPr>
          <w:rFonts w:hint="eastAsia"/>
          <w:rtl/>
        </w:rPr>
        <w:t>»</w:t>
      </w:r>
      <w:r>
        <w:rPr>
          <w:rFonts w:hint="cs"/>
          <w:rtl/>
        </w:rPr>
        <w:t>.</w:t>
      </w:r>
    </w:p>
  </w:footnote>
  <w:footnote w:id="3361">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يجري</w:t>
      </w:r>
      <w:r>
        <w:rPr>
          <w:rFonts w:hint="eastAsia"/>
          <w:rtl/>
        </w:rPr>
        <w:t>»</w:t>
      </w:r>
      <w:r>
        <w:rPr>
          <w:rFonts w:hint="cs"/>
          <w:rtl/>
        </w:rPr>
        <w:t>. والصحيح ما تمَّ إثباته من (د) و(هـ) و(و)، وهو الموافق للمغني.</w:t>
      </w:r>
    </w:p>
  </w:footnote>
  <w:footnote w:id="3362">
    <w:p w:rsidR="00035BE3" w:rsidRDefault="00035BE3" w:rsidP="00C10469">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ص102-103- مع زيادة في المغني لبعض الألفاظ-؛ وانظر : أصول السرخسي، 1/134.</w:t>
      </w:r>
    </w:p>
  </w:footnote>
  <w:footnote w:id="33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شقيقة</w:t>
      </w:r>
      <w:r>
        <w:rPr>
          <w:rFonts w:hint="eastAsia"/>
          <w:rtl/>
        </w:rPr>
        <w:t>»</w:t>
      </w:r>
      <w:r>
        <w:rPr>
          <w:rFonts w:hint="cs"/>
          <w:rtl/>
        </w:rPr>
        <w:t>.</w:t>
      </w:r>
    </w:p>
  </w:footnote>
  <w:footnote w:id="33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من الرضاع</w:t>
      </w:r>
      <w:r>
        <w:rPr>
          <w:rFonts w:hint="eastAsia"/>
          <w:rtl/>
        </w:rPr>
        <w:t>»</w:t>
      </w:r>
      <w:r>
        <w:rPr>
          <w:rFonts w:hint="cs"/>
          <w:rtl/>
        </w:rPr>
        <w:t xml:space="preserve"> : ساقطة من (ب) و(د)، وفي (جـ) : </w:t>
      </w:r>
      <w:r>
        <w:rPr>
          <w:rFonts w:hint="eastAsia"/>
          <w:rtl/>
        </w:rPr>
        <w:t>«</w:t>
      </w:r>
      <w:r>
        <w:rPr>
          <w:rFonts w:hint="cs"/>
          <w:rtl/>
        </w:rPr>
        <w:t>من الرضاء</w:t>
      </w:r>
      <w:r>
        <w:rPr>
          <w:rFonts w:hint="eastAsia"/>
          <w:rtl/>
        </w:rPr>
        <w:t>»</w:t>
      </w:r>
      <w:r>
        <w:rPr>
          <w:rFonts w:hint="cs"/>
          <w:rtl/>
        </w:rPr>
        <w:t>.</w:t>
      </w:r>
    </w:p>
  </w:footnote>
  <w:footnote w:id="33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rtl/>
        </w:rPr>
        <w:t>«</w:t>
      </w:r>
      <w:r>
        <w:rPr>
          <w:rFonts w:hint="cs"/>
          <w:rtl/>
        </w:rPr>
        <w:t>يحرم</w:t>
      </w:r>
      <w:r>
        <w:rPr>
          <w:rFonts w:hint="eastAsia"/>
          <w:rtl/>
        </w:rPr>
        <w:t>»</w:t>
      </w:r>
      <w:r>
        <w:rPr>
          <w:rFonts w:hint="cs"/>
          <w:rtl/>
        </w:rPr>
        <w:t>. والصحيح ما تمَّ إثباته من (هـ) و(و).</w:t>
      </w:r>
    </w:p>
  </w:footnote>
  <w:footnote w:id="33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ممّا يستثنيه الحنفية من عموم قوله </w:t>
      </w:r>
      <w:r>
        <w:rPr>
          <w:rFonts w:ascii="AGA Arabesque" w:hAnsi="AGA Arabesque"/>
          <w:sz w:val="36"/>
          <w:szCs w:val="36"/>
        </w:rPr>
        <w:t></w:t>
      </w:r>
      <w:r>
        <w:rPr>
          <w:rFonts w:hint="cs"/>
          <w:rtl/>
        </w:rPr>
        <w:t xml:space="preserve"> : </w:t>
      </w:r>
      <w:r>
        <w:rPr>
          <w:rFonts w:hint="eastAsia"/>
          <w:rtl/>
        </w:rPr>
        <w:t>«</w:t>
      </w:r>
      <w:r>
        <w:rPr>
          <w:rFonts w:cs="DecoType Naskh" w:hint="cs"/>
          <w:sz w:val="28"/>
          <w:rtl/>
        </w:rPr>
        <w:t>يحـرمُ من الـرِّضاعةِ ما يحـرمُ من النَّسَبِ</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وقد عبر عن ذلك صاحب الهداية </w:t>
      </w:r>
      <w:r>
        <w:rPr>
          <w:spacing w:val="-6"/>
          <w:rtl/>
        </w:rPr>
        <w:t>–</w:t>
      </w:r>
      <w:r>
        <w:rPr>
          <w:rFonts w:hint="cs"/>
          <w:spacing w:val="-6"/>
          <w:rtl/>
        </w:rPr>
        <w:t xml:space="preserve">3/446- فقال : </w:t>
      </w:r>
      <w:r>
        <w:rPr>
          <w:rFonts w:hint="eastAsia"/>
          <w:spacing w:val="-6"/>
          <w:rtl/>
        </w:rPr>
        <w:t>«</w:t>
      </w:r>
      <w:r>
        <w:rPr>
          <w:rFonts w:hint="cs"/>
          <w:spacing w:val="-6"/>
          <w:rtl/>
        </w:rPr>
        <w:t xml:space="preserve">ويحرم من الرضاع ما يحرم من النسب؛ للحديث الذي روينا، إلا </w:t>
      </w:r>
      <w:r>
        <w:rPr>
          <w:rFonts w:hint="cs"/>
          <w:b/>
          <w:bCs/>
          <w:spacing w:val="-6"/>
          <w:rtl/>
        </w:rPr>
        <w:t>أم أخته من الرضاع</w:t>
      </w:r>
      <w:r>
        <w:rPr>
          <w:rFonts w:hint="cs"/>
          <w:spacing w:val="-6"/>
          <w:rtl/>
        </w:rPr>
        <w:t>، فإنه يجوز أن يتزوّجها ولا يجوز أن يتزوّج أم أخته من النسب ...</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كما بيّن صاحب البحر الرائق </w:t>
      </w:r>
      <w:r>
        <w:rPr>
          <w:rtl/>
        </w:rPr>
        <w:t>–</w:t>
      </w:r>
      <w:r>
        <w:rPr>
          <w:rFonts w:hint="cs"/>
          <w:rtl/>
        </w:rPr>
        <w:t xml:space="preserve">3/239- الصورَ التي تحلّ له فيها أمُّ أخته من الرضاع فقال : </w:t>
      </w:r>
      <w:r>
        <w:rPr>
          <w:rFonts w:hint="eastAsia"/>
          <w:rtl/>
        </w:rPr>
        <w:t>«</w:t>
      </w:r>
      <w:r>
        <w:rPr>
          <w:rFonts w:hint="cs"/>
          <w:rtl/>
        </w:rPr>
        <w:t>ففي أم أخته ثلاث صور :</w:t>
      </w:r>
    </w:p>
    <w:p w:rsidR="00035BE3" w:rsidRDefault="00035BE3" w:rsidP="00C10469">
      <w:pPr>
        <w:pStyle w:val="a6"/>
        <w:ind w:left="422" w:firstLine="0"/>
        <w:rPr>
          <w:rtl/>
        </w:rPr>
      </w:pPr>
      <w:r>
        <w:rPr>
          <w:rFonts w:hint="cs"/>
          <w:b/>
          <w:bCs/>
          <w:rtl/>
        </w:rPr>
        <w:t>الأولى</w:t>
      </w:r>
      <w:r>
        <w:rPr>
          <w:rFonts w:hint="cs"/>
          <w:rtl/>
        </w:rPr>
        <w:t xml:space="preserve"> : الأم رضاعًا، والأخت نسبًا؛ بأن أرضعت أجنبية أخته نسبًا ولم ترضعه</w:t>
      </w:r>
      <w:r>
        <w:rPr>
          <w:rFonts w:hint="eastAsia"/>
          <w:rtl/>
        </w:rPr>
        <w:t>»</w:t>
      </w:r>
      <w:r>
        <w:rPr>
          <w:rFonts w:hint="cs"/>
          <w:rtl/>
        </w:rPr>
        <w:t>.</w:t>
      </w:r>
    </w:p>
    <w:p w:rsidR="00035BE3" w:rsidRDefault="00035BE3" w:rsidP="00C10469">
      <w:pPr>
        <w:pStyle w:val="a6"/>
        <w:ind w:left="422" w:firstLine="0"/>
        <w:rPr>
          <w:rtl/>
        </w:rPr>
      </w:pPr>
      <w:r>
        <w:rPr>
          <w:rFonts w:hint="cs"/>
          <w:b/>
          <w:bCs/>
          <w:rtl/>
        </w:rPr>
        <w:t>الثانية</w:t>
      </w:r>
      <w:r>
        <w:rPr>
          <w:rFonts w:hint="cs"/>
          <w:rtl/>
        </w:rPr>
        <w:t xml:space="preserve"> : عكسه، أن يكون لأخته رضاعًا أم من النسب.</w:t>
      </w:r>
    </w:p>
    <w:p w:rsidR="00035BE3" w:rsidRDefault="00035BE3" w:rsidP="00C10469">
      <w:pPr>
        <w:pStyle w:val="a6"/>
        <w:ind w:left="422" w:firstLine="0"/>
        <w:rPr>
          <w:rtl/>
        </w:rPr>
      </w:pPr>
      <w:r>
        <w:rPr>
          <w:rFonts w:hint="cs"/>
          <w:b/>
          <w:bCs/>
          <w:rtl/>
        </w:rPr>
        <w:t>الثالثة</w:t>
      </w:r>
      <w:r>
        <w:rPr>
          <w:rFonts w:hint="cs"/>
          <w:rtl/>
        </w:rPr>
        <w:t xml:space="preserve"> : أن يكونا رضعا؛ بأن أرضعت امرأة صبيًّا وصبيّة، ولهذه الصبية أمٌّ أخرى من الرضاع لم ترضع الصبي</w:t>
      </w:r>
      <w:r>
        <w:rPr>
          <w:rFonts w:hint="eastAsia"/>
          <w:rtl/>
        </w:rPr>
        <w:t>»</w:t>
      </w:r>
      <w:r>
        <w:rPr>
          <w:rFonts w:hint="cs"/>
          <w:rtl/>
        </w:rPr>
        <w:t>.</w:t>
      </w:r>
    </w:p>
    <w:p w:rsidR="00035BE3" w:rsidRDefault="00035BE3" w:rsidP="00C10469">
      <w:pPr>
        <w:pStyle w:val="a6"/>
        <w:ind w:left="422" w:firstLine="0"/>
        <w:rPr>
          <w:rtl/>
        </w:rPr>
      </w:pPr>
      <w:r>
        <w:rPr>
          <w:rFonts w:hint="cs"/>
          <w:b/>
          <w:bCs/>
          <w:rtl/>
        </w:rPr>
        <w:t>والحديث المذكور:</w:t>
      </w:r>
      <w:r>
        <w:rPr>
          <w:rFonts w:hint="cs"/>
          <w:rtl/>
        </w:rPr>
        <w:t xml:space="preserve"> أخرجه البخاري بلفظه، كتاب الشهادات، باب الشهادة على الإنسان، والرضاع المستفيض ...، 2/935، ح2502؛ ومسلم بلفظه، كتاب الرضاع، باب تحريم الرضاعة من الفحل، 2/1070، ح1445.</w:t>
      </w:r>
    </w:p>
  </w:footnote>
  <w:footnote w:id="33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من</w:t>
      </w:r>
      <w:r>
        <w:rPr>
          <w:rFonts w:hint="eastAsia"/>
          <w:rtl/>
        </w:rPr>
        <w:t>»</w:t>
      </w:r>
      <w:r>
        <w:rPr>
          <w:rFonts w:hint="cs"/>
          <w:rtl/>
        </w:rPr>
        <w:t>.</w:t>
      </w:r>
    </w:p>
  </w:footnote>
  <w:footnote w:id="33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(23) من سورة (النساء).</w:t>
      </w:r>
    </w:p>
  </w:footnote>
  <w:footnote w:id="33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المغني : </w:t>
      </w:r>
      <w:r>
        <w:rPr>
          <w:rFonts w:hint="eastAsia"/>
          <w:rtl/>
        </w:rPr>
        <w:t>«</w:t>
      </w:r>
      <w:r>
        <w:rPr>
          <w:rFonts w:hint="cs"/>
          <w:rtl/>
        </w:rPr>
        <w:t>فالتخصيص</w:t>
      </w:r>
      <w:r>
        <w:rPr>
          <w:rFonts w:hint="eastAsia"/>
          <w:rtl/>
        </w:rPr>
        <w:t>»</w:t>
      </w:r>
      <w:r>
        <w:rPr>
          <w:rFonts w:hint="cs"/>
          <w:rtl/>
        </w:rPr>
        <w:t>. وهذا الأولى.</w:t>
      </w:r>
    </w:p>
  </w:footnote>
  <w:footnote w:id="33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خلاف</w:t>
      </w:r>
      <w:r>
        <w:rPr>
          <w:rFonts w:hint="eastAsia"/>
          <w:rtl/>
        </w:rPr>
        <w:t>»</w:t>
      </w:r>
      <w:r>
        <w:rPr>
          <w:rFonts w:hint="cs"/>
          <w:rtl/>
        </w:rPr>
        <w:t xml:space="preserve"> : زيادة من (جـ) و(هـ) و(و)، وعدم إثباتها يقلب المعنى.</w:t>
      </w:r>
    </w:p>
  </w:footnote>
  <w:footnote w:id="33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لم يظهر لي وجه كون أم شقيقه من الرضاع مخصوصة من عموم الآية المذكورة؛ لأن أم شقيقه من الرضاع لا تدخل في عموم الآية أصلاً؛ لأن جواز زواج الرضيع من أم شقيقه من الرضاع إنما هو باعتبارها ليست أمًّا للرضيع، كما مرّ ذلك </w:t>
      </w:r>
      <w:r>
        <w:rPr>
          <w:rtl/>
        </w:rPr>
        <w:t>–</w:t>
      </w:r>
      <w:r>
        <w:rPr>
          <w:rFonts w:hint="cs"/>
          <w:rtl/>
        </w:rPr>
        <w:t>آنفًا- في الصور الثلاثة التي ذكرها صاحب (البحر)!.</w:t>
      </w:r>
    </w:p>
    <w:p w:rsidR="00035BE3" w:rsidRDefault="00035BE3" w:rsidP="00C10469">
      <w:pPr>
        <w:pStyle w:val="a6"/>
        <w:ind w:left="422" w:firstLine="0"/>
        <w:rPr>
          <w:rtl/>
        </w:rPr>
      </w:pPr>
      <w:r>
        <w:rPr>
          <w:rFonts w:hint="cs"/>
          <w:rtl/>
        </w:rPr>
        <w:t xml:space="preserve">ويستقيم المعنى لو كان مكان الآية الحديث </w:t>
      </w:r>
      <w:r>
        <w:rPr>
          <w:rtl/>
        </w:rPr>
        <w:t>–</w:t>
      </w:r>
      <w:r>
        <w:rPr>
          <w:rFonts w:hint="cs"/>
          <w:rtl/>
        </w:rPr>
        <w:t>الآنف ذكره-.</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وهذا ما فعله صاحب (المغني) </w:t>
      </w:r>
      <w:r>
        <w:rPr>
          <w:rtl/>
        </w:rPr>
        <w:t>–</w:t>
      </w:r>
      <w:r>
        <w:rPr>
          <w:rFonts w:hint="cs"/>
          <w:rtl/>
        </w:rPr>
        <w:t xml:space="preserve"> ص106- (وهو مصدر المؤلف الرئيس في هذه العبارة). </w:t>
      </w:r>
    </w:p>
    <w:p w:rsidR="00035BE3" w:rsidRDefault="00035BE3" w:rsidP="00C10469">
      <w:pPr>
        <w:pStyle w:val="a6"/>
        <w:ind w:left="422" w:firstLine="0"/>
        <w:rPr>
          <w:rtl/>
        </w:rPr>
      </w:pPr>
      <w:r>
        <w:rPr>
          <w:rFonts w:hint="cs"/>
          <w:rtl/>
        </w:rPr>
        <w:t xml:space="preserve">وتمام ما جاء في (المغني) : </w:t>
      </w:r>
      <w:r>
        <w:rPr>
          <w:rFonts w:hint="eastAsia"/>
          <w:rtl/>
        </w:rPr>
        <w:t>«</w:t>
      </w:r>
      <w:r>
        <w:rPr>
          <w:rFonts w:hint="cs"/>
          <w:rtl/>
        </w:rPr>
        <w:t xml:space="preserve">فإن قيل : قوله </w:t>
      </w:r>
      <w:r>
        <w:rPr>
          <w:rFonts w:ascii="AGA Arabesque" w:hAnsi="AGA Arabesque"/>
          <w:sz w:val="36"/>
          <w:szCs w:val="36"/>
          <w:lang w:val="en-US"/>
        </w:rPr>
        <w:t></w:t>
      </w:r>
      <w:r>
        <w:rPr>
          <w:rFonts w:hint="cs"/>
          <w:rtl/>
          <w:lang w:val="en-US"/>
        </w:rPr>
        <w:t xml:space="preserve"> : </w:t>
      </w:r>
      <w:r>
        <w:rPr>
          <w:rFonts w:hint="eastAsia"/>
          <w:rtl/>
        </w:rPr>
        <w:t>«</w:t>
      </w:r>
      <w:r>
        <w:rPr>
          <w:rFonts w:cs="DecoType Naskh" w:hint="cs"/>
          <w:sz w:val="28"/>
          <w:szCs w:val="28"/>
          <w:rtl/>
        </w:rPr>
        <w:t>يحـرم من الـرضاع ما يحـرم من النسب</w:t>
      </w:r>
      <w:r>
        <w:rPr>
          <w:rFonts w:hint="eastAsia"/>
          <w:rtl/>
        </w:rPr>
        <w:t>»</w:t>
      </w:r>
      <w:r>
        <w:rPr>
          <w:rFonts w:hint="cs"/>
          <w:rtl/>
        </w:rPr>
        <w:t xml:space="preserve"> عامٌّ لم يخصّ منه شيء، وقد خصّصتم منه أمّ أخته من الرضاع بالرأي ...</w:t>
      </w:r>
      <w:r>
        <w:rPr>
          <w:rFonts w:hint="eastAsia"/>
          <w:rtl/>
        </w:rPr>
        <w:t>»</w:t>
      </w:r>
      <w:r>
        <w:rPr>
          <w:rFonts w:hint="cs"/>
          <w:rtl/>
        </w:rPr>
        <w:t>.</w:t>
      </w:r>
    </w:p>
    <w:p w:rsidR="00035BE3" w:rsidRDefault="00035BE3" w:rsidP="00C10469">
      <w:pPr>
        <w:pStyle w:val="a6"/>
        <w:ind w:left="422" w:firstLine="0"/>
        <w:rPr>
          <w:rtl/>
        </w:rPr>
      </w:pPr>
      <w:r>
        <w:rPr>
          <w:rFonts w:hint="cs"/>
          <w:rtl/>
        </w:rPr>
        <w:t xml:space="preserve">بل إن من يتأمل جواب المؤلف </w:t>
      </w:r>
      <w:r>
        <w:rPr>
          <w:rtl/>
        </w:rPr>
        <w:t>–</w:t>
      </w:r>
      <w:r>
        <w:rPr>
          <w:rFonts w:hint="cs"/>
          <w:rtl/>
        </w:rPr>
        <w:t xml:space="preserve"> الذي سيذكره لاحقا </w:t>
      </w:r>
      <w:r>
        <w:rPr>
          <w:rtl/>
        </w:rPr>
        <w:t>–</w:t>
      </w:r>
      <w:r>
        <w:rPr>
          <w:rFonts w:hint="cs"/>
          <w:rtl/>
        </w:rPr>
        <w:t xml:space="preserve"> يتّضح له أنَّ الجواب إنما هو عن عموم الحديث الذي ذكره صاحب (المغني) لا عموم الآية التي ذكرها المؤلف؛ إذ الحديث هو الذي ذكره </w:t>
      </w:r>
      <w:r>
        <w:rPr>
          <w:rFonts w:hint="eastAsia"/>
          <w:rtl/>
        </w:rPr>
        <w:t>«</w:t>
      </w:r>
      <w:r>
        <w:rPr>
          <w:rFonts w:hint="cs"/>
          <w:rtl/>
        </w:rPr>
        <w:t>يوجب عموم الحرمة من أجل الرضاع أينما ثبت الحرمة لأجل النسب</w:t>
      </w:r>
      <w:r>
        <w:rPr>
          <w:rFonts w:hint="eastAsia"/>
          <w:rtl/>
        </w:rPr>
        <w:t>»</w:t>
      </w:r>
      <w:r>
        <w:rPr>
          <w:rFonts w:hint="cs"/>
          <w:rtl/>
        </w:rPr>
        <w:t>، أما الآية فلم تتعرّض لهذا المعنى.</w:t>
      </w:r>
    </w:p>
  </w:footnote>
  <w:footnote w:id="3372">
    <w:p w:rsidR="00035BE3" w:rsidRDefault="00035BE3" w:rsidP="00C10469">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(ب) و(د)، وفي (أ) و(جـ) : </w:t>
      </w:r>
      <w:r>
        <w:rPr>
          <w:rFonts w:hint="eastAsia"/>
          <w:rtl/>
        </w:rPr>
        <w:t>«</w:t>
      </w:r>
      <w:r>
        <w:rPr>
          <w:rFonts w:hint="cs"/>
          <w:rtl/>
        </w:rPr>
        <w:t>واقع</w:t>
      </w:r>
      <w:r>
        <w:rPr>
          <w:rFonts w:hint="eastAsia"/>
          <w:rtl/>
        </w:rPr>
        <w:t>»</w:t>
      </w:r>
      <w:r>
        <w:rPr>
          <w:rFonts w:hint="cs"/>
          <w:rtl/>
        </w:rPr>
        <w:t>. والصحيح ما تمَّ إثباته.</w:t>
      </w:r>
    </w:p>
  </w:footnote>
  <w:footnote w:id="3373">
    <w:p w:rsidR="00035BE3" w:rsidRDefault="00035BE3" w:rsidP="00C10469">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من</w:t>
      </w:r>
      <w:r>
        <w:rPr>
          <w:rFonts w:hint="eastAsia"/>
          <w:rtl/>
        </w:rPr>
        <w:t>»</w:t>
      </w:r>
      <w:r>
        <w:rPr>
          <w:rFonts w:hint="cs"/>
          <w:rtl/>
        </w:rPr>
        <w:t>.</w:t>
      </w:r>
    </w:p>
  </w:footnote>
  <w:footnote w:id="3374">
    <w:p w:rsidR="00035BE3" w:rsidRDefault="00035BE3" w:rsidP="00C10469">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طلاق</w:t>
      </w:r>
      <w:r>
        <w:rPr>
          <w:rFonts w:hint="eastAsia"/>
          <w:rtl/>
        </w:rPr>
        <w:t>»</w:t>
      </w:r>
      <w:r>
        <w:rPr>
          <w:rFonts w:hint="cs"/>
          <w:rtl/>
        </w:rPr>
        <w:t>.</w:t>
      </w:r>
    </w:p>
  </w:footnote>
  <w:footnote w:id="3375">
    <w:p w:rsidR="00035BE3" w:rsidRPr="00A82F9C"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هذا الحديث لم أجده بهذا اللفظ بتمامه أو نحوه، لا مرفوعًا ولا موقوفًا، إنما ورد جزء منه </w:t>
      </w:r>
      <w:r>
        <w:rPr>
          <w:rFonts w:hint="cs"/>
          <w:b/>
          <w:bCs/>
          <w:rtl/>
        </w:rPr>
        <w:t>مرفوعًا</w:t>
      </w:r>
      <w:r>
        <w:rPr>
          <w:rFonts w:hint="cs"/>
          <w:rtl/>
        </w:rPr>
        <w:t xml:space="preserve">، </w:t>
      </w:r>
      <w:r w:rsidRPr="00A82F9C">
        <w:rPr>
          <w:rFonts w:hint="cs"/>
          <w:rtl/>
        </w:rPr>
        <w:t xml:space="preserve">فقد أخرج الترمذي، كتاب الطلاق، باب ما جاء في طلاق المعتوه، 3/496، ح1191، بسنده </w:t>
      </w:r>
      <w:r w:rsidRPr="00A82F9C">
        <w:rPr>
          <w:rFonts w:hint="eastAsia"/>
          <w:rtl/>
        </w:rPr>
        <w:t>«</w:t>
      </w:r>
      <w:r w:rsidRPr="00A82F9C">
        <w:rPr>
          <w:rFonts w:hint="cs"/>
          <w:rtl/>
        </w:rPr>
        <w:t xml:space="preserve">عن أبي هريرة قال : قال رسول الله </w:t>
      </w:r>
      <w:r w:rsidRPr="00A82F9C">
        <w:rPr>
          <w:rFonts w:ascii="AGA Arabesque" w:hAnsi="AGA Arabesque"/>
          <w:sz w:val="36"/>
          <w:szCs w:val="36"/>
        </w:rPr>
        <w:t></w:t>
      </w:r>
      <w:r w:rsidRPr="00A82F9C">
        <w:rPr>
          <w:rFonts w:hint="cs"/>
          <w:rtl/>
        </w:rPr>
        <w:t xml:space="preserve"> : </w:t>
      </w:r>
      <w:r w:rsidRPr="00A82F9C">
        <w:rPr>
          <w:rFonts w:hint="eastAsia"/>
          <w:rtl/>
        </w:rPr>
        <w:t>«</w:t>
      </w:r>
      <w:r w:rsidRPr="00A82F9C">
        <w:rPr>
          <w:rFonts w:hint="cs"/>
          <w:rtl/>
        </w:rPr>
        <w:t>كل طلاق جائز إلا طلاق المعتوه المغلوب على عقله</w:t>
      </w:r>
      <w:r w:rsidRPr="00A82F9C">
        <w:rPr>
          <w:rFonts w:hint="eastAsia"/>
          <w:rtl/>
        </w:rPr>
        <w:t>»</w:t>
      </w:r>
      <w:r w:rsidRPr="00A82F9C">
        <w:rPr>
          <w:rFonts w:hint="cs"/>
          <w:rtl/>
        </w:rPr>
        <w:t xml:space="preserve">. قال أبو عيسى [الترمذي] : هذا حديث لا نعرفه مرفوعًا إلا من حديث عطاء بن عجلان، وعطاء بن عجلان ضعيف ذاهب الحديث. والعمل على هذا عند أهل العلم من أصحاب النبي </w:t>
      </w:r>
      <w:r w:rsidRPr="00A82F9C">
        <w:rPr>
          <w:rFonts w:ascii="AGA Arabesque" w:hAnsi="AGA Arabesque"/>
          <w:sz w:val="36"/>
          <w:szCs w:val="36"/>
        </w:rPr>
        <w:t></w:t>
      </w:r>
      <w:r w:rsidRPr="00A82F9C">
        <w:rPr>
          <w:rFonts w:hint="cs"/>
          <w:rtl/>
        </w:rPr>
        <w:t xml:space="preserve"> وغيرهم : أن طلاق المعتوه المغلوب على عقله لا يجوز إلا أن يكون معتوها يفيق الأحيان، فيُطلِّق في حال إفاقته</w:t>
      </w:r>
      <w:r w:rsidRPr="00A82F9C">
        <w:rPr>
          <w:rFonts w:hint="eastAsia"/>
          <w:rtl/>
        </w:rPr>
        <w:t>»</w:t>
      </w:r>
      <w:r w:rsidRPr="00A82F9C">
        <w:rPr>
          <w:rFonts w:hint="cs"/>
          <w:rtl/>
        </w:rPr>
        <w:t>.</w:t>
      </w:r>
    </w:p>
    <w:p w:rsidR="00035BE3" w:rsidRPr="00A82F9C" w:rsidRDefault="00035BE3" w:rsidP="00C10469">
      <w:pPr>
        <w:pStyle w:val="a6"/>
        <w:ind w:left="420" w:firstLine="0"/>
        <w:rPr>
          <w:rtl/>
        </w:rPr>
      </w:pPr>
      <w:r w:rsidRPr="00A82F9C">
        <w:rPr>
          <w:rFonts w:hint="cs"/>
          <w:rtl/>
        </w:rPr>
        <w:t xml:space="preserve">كما ورد بأحد جزأيه </w:t>
      </w:r>
      <w:r w:rsidRPr="00A82F9C">
        <w:rPr>
          <w:rFonts w:hint="cs"/>
          <w:b/>
          <w:bCs/>
          <w:rtl/>
        </w:rPr>
        <w:t>موقوفًا</w:t>
      </w:r>
      <w:r w:rsidRPr="00A82F9C">
        <w:rPr>
          <w:rFonts w:hint="cs"/>
          <w:rtl/>
        </w:rPr>
        <w:t xml:space="preserve"> على عثمان وعلي وابن عباس وغيرهم :</w:t>
      </w:r>
    </w:p>
    <w:p w:rsidR="00035BE3" w:rsidRPr="00A82F9C" w:rsidRDefault="00035BE3" w:rsidP="00C10469">
      <w:pPr>
        <w:pStyle w:val="a6"/>
        <w:spacing w:line="264" w:lineRule="auto"/>
        <w:ind w:left="420" w:firstLine="0"/>
        <w:rPr>
          <w:rtl/>
        </w:rPr>
      </w:pPr>
      <w:r w:rsidRPr="00A82F9C">
        <w:rPr>
          <w:rtl/>
        </w:rPr>
        <w:t>•</w:t>
      </w:r>
      <w:r w:rsidRPr="00A82F9C">
        <w:rPr>
          <w:rFonts w:hint="cs"/>
          <w:rtl/>
        </w:rPr>
        <w:t xml:space="preserve"> أما أثر عثمان فقد أخرجه البخاري معلّقًا، كتاب الطلاق، باب الطلاق في الإغلاق والكره والسكران والمجنون، 5/2019، ولفظه : </w:t>
      </w:r>
      <w:r w:rsidRPr="00A82F9C">
        <w:rPr>
          <w:rFonts w:hint="eastAsia"/>
          <w:rtl/>
        </w:rPr>
        <w:t>«</w:t>
      </w:r>
      <w:r w:rsidRPr="00A82F9C">
        <w:rPr>
          <w:rFonts w:hint="cs"/>
          <w:rtl/>
        </w:rPr>
        <w:t>وقال عثمان : ليس لمجنون ولا سكران طلاق</w:t>
      </w:r>
      <w:r w:rsidRPr="00A82F9C">
        <w:rPr>
          <w:rFonts w:hint="eastAsia"/>
          <w:rtl/>
        </w:rPr>
        <w:t>»</w:t>
      </w:r>
      <w:r w:rsidRPr="00A82F9C">
        <w:rPr>
          <w:rFonts w:hint="cs"/>
          <w:rtl/>
        </w:rPr>
        <w:t>؛ وابن أبي شيبة -بلفظه السابق-، كتاب الطلاق، باب ما قالوا في طلاق الـمجنون، 4/71، ح17908.</w:t>
      </w:r>
    </w:p>
    <w:p w:rsidR="00035BE3" w:rsidRDefault="00035BE3" w:rsidP="00C10469">
      <w:pPr>
        <w:pStyle w:val="a6"/>
        <w:spacing w:line="264" w:lineRule="auto"/>
        <w:ind w:left="420" w:firstLine="0"/>
        <w:rPr>
          <w:spacing w:val="-6"/>
          <w:rtl/>
        </w:rPr>
      </w:pPr>
      <w:r w:rsidRPr="00A82F9C">
        <w:rPr>
          <w:rtl/>
        </w:rPr>
        <w:t>•</w:t>
      </w:r>
      <w:r w:rsidRPr="00A82F9C">
        <w:rPr>
          <w:rFonts w:hint="cs"/>
          <w:rtl/>
        </w:rPr>
        <w:t xml:space="preserve"> أما أثر علي : فقد أخرجه البخاري، كتاب الطلاق، باب ما قالوا في الإغلاق والكره والسكران والمجنون، 5/2019؛ معلّقًا بلفظ : </w:t>
      </w:r>
      <w:r w:rsidRPr="00A82F9C">
        <w:rPr>
          <w:rFonts w:hint="eastAsia"/>
          <w:rtl/>
        </w:rPr>
        <w:t>«</w:t>
      </w:r>
      <w:r w:rsidRPr="00A82F9C">
        <w:rPr>
          <w:rFonts w:hint="cs"/>
          <w:rtl/>
        </w:rPr>
        <w:t>وقال علي : وكل الطلاق جائز إلا طلاق المعتوه</w:t>
      </w:r>
      <w:r w:rsidRPr="00A82F9C">
        <w:rPr>
          <w:rFonts w:hint="eastAsia"/>
          <w:rtl/>
        </w:rPr>
        <w:t>»</w:t>
      </w:r>
      <w:r w:rsidRPr="00A82F9C">
        <w:rPr>
          <w:rFonts w:hint="cs"/>
          <w:rtl/>
        </w:rPr>
        <w:t>؛ وابن أبي شيبه، كتاب الطلاق، باب ما قالوا في طلاق المعتوه، 4/72، ح17912 بسنده عن علي قا</w:t>
      </w:r>
      <w:r>
        <w:rPr>
          <w:rFonts w:hint="cs"/>
          <w:spacing w:val="-6"/>
          <w:rtl/>
        </w:rPr>
        <w:t xml:space="preserve">ل: </w:t>
      </w:r>
      <w:r>
        <w:rPr>
          <w:rFonts w:hint="eastAsia"/>
          <w:spacing w:val="-6"/>
          <w:rtl/>
        </w:rPr>
        <w:t>«</w:t>
      </w:r>
      <w:r>
        <w:rPr>
          <w:rFonts w:hint="cs"/>
          <w:spacing w:val="-6"/>
          <w:rtl/>
        </w:rPr>
        <w:t>كل طلاق جائز إلا طلاق المعتوه</w:t>
      </w:r>
      <w:r>
        <w:rPr>
          <w:rFonts w:hint="eastAsia"/>
          <w:spacing w:val="-6"/>
          <w:rtl/>
        </w:rPr>
        <w:t>»</w:t>
      </w:r>
      <w:r>
        <w:rPr>
          <w:rFonts w:hint="cs"/>
          <w:spacing w:val="-6"/>
          <w:rtl/>
        </w:rPr>
        <w:t xml:space="preserve">؛ وأخرجه البيهقي بمثل لفظ البخاري، كتاب الخلع والطلاق، باب لا يجوز طلاق الصبي حتى يبلغ، ولا طلاق المعتوه حتى يفيق، 7/359، وفي باب من قال يجوز طلاق السكران وعتقه، 7/359 بلفظ : </w:t>
      </w:r>
      <w:r>
        <w:rPr>
          <w:rFonts w:hint="eastAsia"/>
          <w:spacing w:val="-6"/>
          <w:rtl/>
        </w:rPr>
        <w:t>«</w:t>
      </w:r>
      <w:r>
        <w:rPr>
          <w:rFonts w:hint="cs"/>
          <w:b/>
          <w:bCs/>
          <w:spacing w:val="-6"/>
          <w:rtl/>
        </w:rPr>
        <w:t>كل الطلاق</w:t>
      </w:r>
      <w:r>
        <w:rPr>
          <w:rFonts w:hint="cs"/>
          <w:spacing w:val="-6"/>
          <w:rtl/>
        </w:rPr>
        <w:t xml:space="preserve"> ...</w:t>
      </w:r>
      <w:r>
        <w:rPr>
          <w:rFonts w:hint="eastAsia"/>
          <w:spacing w:val="-6"/>
          <w:rtl/>
        </w:rPr>
        <w:t>»</w:t>
      </w:r>
      <w:r>
        <w:rPr>
          <w:rFonts w:hint="cs"/>
          <w:spacing w:val="-6"/>
          <w:rtl/>
        </w:rPr>
        <w:t>.</w:t>
      </w:r>
    </w:p>
    <w:p w:rsidR="00035BE3" w:rsidRDefault="00035BE3" w:rsidP="00C10469">
      <w:pPr>
        <w:pStyle w:val="a6"/>
        <w:ind w:left="422" w:hanging="2"/>
        <w:rPr>
          <w:spacing w:val="2"/>
          <w:rtl/>
        </w:rPr>
      </w:pPr>
      <w:r>
        <w:rPr>
          <w:spacing w:val="2"/>
          <w:rtl/>
        </w:rPr>
        <w:t>•</w:t>
      </w:r>
      <w:r>
        <w:rPr>
          <w:rFonts w:hint="cs"/>
          <w:spacing w:val="2"/>
          <w:rtl/>
        </w:rPr>
        <w:t xml:space="preserve"> أما أثر ابن عباس : فقد أخرجه الدارمي، كتـاب الوصايا، باب مـن قال لا يـجوز، 2/517، ح3294، بسنده عن ابن عباس قال : </w:t>
      </w:r>
      <w:r>
        <w:rPr>
          <w:rFonts w:hint="eastAsia"/>
          <w:spacing w:val="2"/>
          <w:rtl/>
        </w:rPr>
        <w:t>«</w:t>
      </w:r>
      <w:r>
        <w:rPr>
          <w:rFonts w:hint="cs"/>
          <w:spacing w:val="2"/>
          <w:rtl/>
        </w:rPr>
        <w:t xml:space="preserve">لا يجوز طلاق الصبي ولا عتقه ولا وصيته ولا شراؤه ولا بيعه </w:t>
      </w:r>
      <w:r>
        <w:rPr>
          <w:rFonts w:hint="cs"/>
          <w:spacing w:val="8"/>
          <w:rtl/>
        </w:rPr>
        <w:t>ولا شيء</w:t>
      </w:r>
      <w:r>
        <w:rPr>
          <w:rFonts w:hint="eastAsia"/>
          <w:spacing w:val="8"/>
          <w:rtl/>
        </w:rPr>
        <w:t>»</w:t>
      </w:r>
      <w:r>
        <w:rPr>
          <w:rFonts w:hint="cs"/>
          <w:spacing w:val="8"/>
          <w:rtl/>
        </w:rPr>
        <w:t xml:space="preserve">؛ وابن أبي شيبة، كتاب الطلاق، باب ما قالوا في الصبي، 4/74،ح 17935، بلفظ : </w:t>
      </w:r>
      <w:r>
        <w:rPr>
          <w:rFonts w:hint="eastAsia"/>
          <w:spacing w:val="8"/>
          <w:rtl/>
        </w:rPr>
        <w:t>«</w:t>
      </w:r>
      <w:r>
        <w:rPr>
          <w:rFonts w:hint="cs"/>
          <w:spacing w:val="8"/>
          <w:rtl/>
        </w:rPr>
        <w:t>لا يجوز طلاق الصبي</w:t>
      </w:r>
      <w:r>
        <w:rPr>
          <w:rFonts w:hint="eastAsia"/>
          <w:spacing w:val="8"/>
          <w:rtl/>
        </w:rPr>
        <w:t>»</w:t>
      </w:r>
      <w:r>
        <w:rPr>
          <w:rFonts w:hint="cs"/>
          <w:spacing w:val="8"/>
          <w:rtl/>
        </w:rPr>
        <w:t>.</w:t>
      </w:r>
    </w:p>
    <w:p w:rsidR="00035BE3" w:rsidRPr="000E149A" w:rsidRDefault="00035BE3" w:rsidP="00C10469">
      <w:pPr>
        <w:pStyle w:val="a6"/>
        <w:ind w:left="422" w:hanging="2"/>
        <w:rPr>
          <w:spacing w:val="-4"/>
          <w:rtl/>
        </w:rPr>
      </w:pPr>
      <w:r>
        <w:rPr>
          <w:rFonts w:hint="cs"/>
          <w:rtl/>
        </w:rPr>
        <w:t xml:space="preserve">والحديث الذي أورده المؤلف وحديث أبي هريرة والآثار السابقة علّق عليها الـحافظ في الـدراية </w:t>
      </w:r>
      <w:r>
        <w:rPr>
          <w:rtl/>
        </w:rPr>
        <w:t>–</w:t>
      </w:r>
      <w:r>
        <w:rPr>
          <w:rFonts w:hint="cs"/>
          <w:rtl/>
        </w:rPr>
        <w:t xml:space="preserve">2/69- بقوله: </w:t>
      </w:r>
      <w:r>
        <w:rPr>
          <w:rFonts w:hint="eastAsia"/>
          <w:rtl/>
        </w:rPr>
        <w:t>«</w:t>
      </w:r>
      <w:r>
        <w:rPr>
          <w:rFonts w:hint="cs"/>
          <w:rtl/>
        </w:rPr>
        <w:t xml:space="preserve">حديث </w:t>
      </w:r>
      <w:r>
        <w:rPr>
          <w:rFonts w:hint="eastAsia"/>
          <w:rtl/>
        </w:rPr>
        <w:t>«</w:t>
      </w:r>
      <w:r>
        <w:rPr>
          <w:rFonts w:hint="cs"/>
          <w:rtl/>
        </w:rPr>
        <w:t>كل طلاق واقع إلا طلاق الصبي والمجنون</w:t>
      </w:r>
      <w:r>
        <w:rPr>
          <w:rFonts w:hint="eastAsia"/>
          <w:rtl/>
        </w:rPr>
        <w:t>»</w:t>
      </w:r>
      <w:r>
        <w:rPr>
          <w:rFonts w:hint="cs"/>
          <w:rtl/>
        </w:rPr>
        <w:t xml:space="preserve"> لم أجده، وإنما روى ابن أبي شيبة عن ابن عباس موقوفًا: </w:t>
      </w:r>
      <w:r>
        <w:rPr>
          <w:rFonts w:hint="eastAsia"/>
          <w:rtl/>
        </w:rPr>
        <w:t>«</w:t>
      </w:r>
      <w:r>
        <w:rPr>
          <w:rFonts w:hint="cs"/>
          <w:rtl/>
        </w:rPr>
        <w:t>لا يجوز طلاق الصبي</w:t>
      </w:r>
      <w:r>
        <w:rPr>
          <w:rFonts w:hint="eastAsia"/>
          <w:rtl/>
        </w:rPr>
        <w:t>»</w:t>
      </w:r>
      <w:r>
        <w:rPr>
          <w:rFonts w:hint="cs"/>
          <w:rtl/>
        </w:rPr>
        <w:t xml:space="preserve">. وأَخْرَجَ عن علّي بإسناد صحيح: </w:t>
      </w:r>
      <w:r>
        <w:rPr>
          <w:rFonts w:hint="eastAsia"/>
          <w:rtl/>
        </w:rPr>
        <w:t>«</w:t>
      </w:r>
      <w:r>
        <w:rPr>
          <w:rFonts w:hint="cs"/>
          <w:rtl/>
        </w:rPr>
        <w:t>كل طلاق جائز إلا طلاق المعتوه</w:t>
      </w:r>
      <w:r>
        <w:rPr>
          <w:rFonts w:hint="eastAsia"/>
          <w:rtl/>
        </w:rPr>
        <w:t>»</w:t>
      </w:r>
      <w:r>
        <w:rPr>
          <w:rFonts w:hint="cs"/>
          <w:rtl/>
        </w:rPr>
        <w:t xml:space="preserve">. وروي هذا مرفوعًا عن أبي هريرة، وأخرجه الترمذي، وفي إسناده عطاء بن </w:t>
      </w:r>
      <w:r w:rsidRPr="000E149A">
        <w:rPr>
          <w:rFonts w:hint="cs"/>
          <w:spacing w:val="-4"/>
          <w:rtl/>
        </w:rPr>
        <w:t>عجلان، وهو متروك. وروي عبد الرزاق من وجه آخر عن عليّ: لا يجوز على الغلام طلاق حتى يحتلم.</w:t>
      </w:r>
    </w:p>
    <w:p w:rsidR="00035BE3" w:rsidRDefault="00035BE3" w:rsidP="00C10469">
      <w:pPr>
        <w:pStyle w:val="a6"/>
        <w:ind w:left="422" w:hanging="2"/>
        <w:rPr>
          <w:rtl/>
        </w:rPr>
      </w:pPr>
      <w:r>
        <w:rPr>
          <w:rFonts w:hint="cs"/>
          <w:rtl/>
        </w:rPr>
        <w:t xml:space="preserve">وفي الباب عن عائشة مرفوعًا : </w:t>
      </w:r>
      <w:r>
        <w:rPr>
          <w:rFonts w:hint="eastAsia"/>
          <w:rtl/>
        </w:rPr>
        <w:t>«</w:t>
      </w:r>
      <w:r>
        <w:rPr>
          <w:rFonts w:hint="cs"/>
          <w:rtl/>
        </w:rPr>
        <w:t>لا طلاق ولا عتاق في إغلاق</w:t>
      </w:r>
      <w:r>
        <w:rPr>
          <w:rFonts w:hint="eastAsia"/>
          <w:rtl/>
        </w:rPr>
        <w:t>»</w:t>
      </w:r>
      <w:r>
        <w:rPr>
          <w:rFonts w:hint="cs"/>
          <w:rtl/>
        </w:rPr>
        <w:t>، أخرجه أبو داود، وصححه الحاكم. وفي الموطأ عن ابن عمر وابن الزبير أنهما قالا في الإكراه : ليس بطلاق ...</w:t>
      </w:r>
      <w:r>
        <w:rPr>
          <w:rFonts w:hint="eastAsia"/>
          <w:rtl/>
        </w:rPr>
        <w:t xml:space="preserve"> »</w:t>
      </w:r>
      <w:r>
        <w:rPr>
          <w:rFonts w:hint="cs"/>
          <w:rtl/>
        </w:rPr>
        <w:t>.</w:t>
      </w:r>
    </w:p>
    <w:p w:rsidR="00035BE3" w:rsidRDefault="00035BE3" w:rsidP="00C10469">
      <w:pPr>
        <w:pStyle w:val="a6"/>
        <w:ind w:left="422" w:hanging="2"/>
        <w:rPr>
          <w:rtl/>
        </w:rPr>
      </w:pPr>
      <w:r>
        <w:rPr>
          <w:rFonts w:hint="cs"/>
          <w:rtl/>
        </w:rPr>
        <w:t>وانظر : فتح الباري، 9/300، 303، 305.</w:t>
      </w:r>
    </w:p>
  </w:footnote>
  <w:footnote w:id="3376">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لمن</w:t>
      </w:r>
      <w:r>
        <w:rPr>
          <w:rFonts w:hint="eastAsia"/>
          <w:rtl/>
        </w:rPr>
        <w:t>»</w:t>
      </w:r>
      <w:r>
        <w:rPr>
          <w:rFonts w:hint="cs"/>
          <w:rtl/>
        </w:rPr>
        <w:t>.</w:t>
      </w:r>
    </w:p>
  </w:footnote>
  <w:footnote w:id="3377">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ص107.</w:t>
      </w:r>
    </w:p>
  </w:footnote>
  <w:footnote w:id="3378">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والجواب</w:t>
      </w:r>
      <w:r>
        <w:rPr>
          <w:rFonts w:hint="eastAsia"/>
          <w:rtl/>
        </w:rPr>
        <w:t>»</w:t>
      </w:r>
      <w:r>
        <w:rPr>
          <w:rFonts w:hint="cs"/>
          <w:rtl/>
        </w:rPr>
        <w:t>؛ وفاقًا لمصدر هذه العبارة (وهو المغني).</w:t>
      </w:r>
    </w:p>
  </w:footnote>
  <w:footnote w:id="3379">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من</w:t>
      </w:r>
      <w:r>
        <w:rPr>
          <w:rFonts w:hint="eastAsia"/>
          <w:rtl/>
        </w:rPr>
        <w:t>»</w:t>
      </w:r>
      <w:r>
        <w:rPr>
          <w:rFonts w:hint="cs"/>
          <w:rtl/>
        </w:rPr>
        <w:t>. والصحيح ما تمَّ إثباته من (ب)، وهو الموافق للمغني.</w:t>
      </w:r>
    </w:p>
  </w:footnote>
  <w:footnote w:id="3380">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و(د) : </w:t>
      </w:r>
      <w:r>
        <w:rPr>
          <w:rFonts w:hint="eastAsia"/>
          <w:rtl/>
        </w:rPr>
        <w:t>«</w:t>
      </w:r>
      <w:r>
        <w:rPr>
          <w:rFonts w:hint="cs"/>
          <w:rtl/>
        </w:rPr>
        <w:t>الرضا</w:t>
      </w:r>
      <w:r>
        <w:rPr>
          <w:rFonts w:hint="eastAsia"/>
          <w:rtl/>
        </w:rPr>
        <w:t>»</w:t>
      </w:r>
      <w:r>
        <w:rPr>
          <w:rFonts w:hint="cs"/>
          <w:rtl/>
        </w:rPr>
        <w:t>.</w:t>
      </w:r>
    </w:p>
  </w:footnote>
  <w:footnote w:id="3381">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أي إنما</w:t>
      </w:r>
      <w:r>
        <w:rPr>
          <w:rFonts w:hint="eastAsia"/>
          <w:rtl/>
        </w:rPr>
        <w:t>»</w:t>
      </w:r>
      <w:r>
        <w:rPr>
          <w:rFonts w:hint="cs"/>
          <w:rtl/>
        </w:rPr>
        <w:t>.</w:t>
      </w:r>
    </w:p>
  </w:footnote>
  <w:footnote w:id="3382">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المغني : </w:t>
      </w:r>
      <w:r>
        <w:rPr>
          <w:rFonts w:hint="eastAsia"/>
          <w:rtl/>
        </w:rPr>
        <w:t>«</w:t>
      </w:r>
      <w:r>
        <w:rPr>
          <w:rFonts w:hint="cs"/>
          <w:rtl/>
        </w:rPr>
        <w:t>يثبت</w:t>
      </w:r>
      <w:r>
        <w:rPr>
          <w:rFonts w:hint="eastAsia"/>
          <w:rtl/>
        </w:rPr>
        <w:t>»</w:t>
      </w:r>
      <w:r>
        <w:rPr>
          <w:rFonts w:hint="cs"/>
          <w:rtl/>
        </w:rPr>
        <w:t xml:space="preserve">، وفي نسخة أخرى منه : </w:t>
      </w:r>
      <w:r>
        <w:rPr>
          <w:rFonts w:hint="eastAsia"/>
          <w:rtl/>
        </w:rPr>
        <w:t>«</w:t>
      </w:r>
      <w:r>
        <w:rPr>
          <w:rFonts w:hint="cs"/>
          <w:rtl/>
        </w:rPr>
        <w:t>تثبت</w:t>
      </w:r>
      <w:r>
        <w:rPr>
          <w:rFonts w:hint="eastAsia"/>
          <w:rtl/>
        </w:rPr>
        <w:t>»</w:t>
      </w:r>
      <w:r>
        <w:rPr>
          <w:rFonts w:hint="cs"/>
          <w:rtl/>
        </w:rPr>
        <w:t>.</w:t>
      </w:r>
    </w:p>
  </w:footnote>
  <w:footnote w:id="3383">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من أجل</w:t>
      </w:r>
      <w:r>
        <w:rPr>
          <w:rFonts w:hint="eastAsia"/>
          <w:rtl/>
        </w:rPr>
        <w:t>»</w:t>
      </w:r>
      <w:r>
        <w:rPr>
          <w:rFonts w:hint="cs"/>
          <w:rtl/>
        </w:rPr>
        <w:t>.</w:t>
      </w:r>
    </w:p>
  </w:footnote>
  <w:footnote w:id="33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شقيقة</w:t>
      </w:r>
      <w:r>
        <w:rPr>
          <w:rFonts w:hint="eastAsia"/>
          <w:rtl/>
        </w:rPr>
        <w:t>»</w:t>
      </w:r>
      <w:r>
        <w:rPr>
          <w:rFonts w:hint="cs"/>
          <w:rtl/>
        </w:rPr>
        <w:t xml:space="preserve">، وفي (المغني) : </w:t>
      </w:r>
      <w:r>
        <w:rPr>
          <w:rFonts w:hint="eastAsia"/>
          <w:rtl/>
        </w:rPr>
        <w:t>«</w:t>
      </w:r>
      <w:r>
        <w:rPr>
          <w:rFonts w:hint="cs"/>
          <w:rtl/>
        </w:rPr>
        <w:t xml:space="preserve">أم </w:t>
      </w:r>
      <w:r>
        <w:rPr>
          <w:rFonts w:hint="cs"/>
          <w:b/>
          <w:bCs/>
          <w:rtl/>
        </w:rPr>
        <w:t>أخته من النسب</w:t>
      </w:r>
      <w:r>
        <w:rPr>
          <w:rFonts w:hint="cs"/>
          <w:rtl/>
        </w:rPr>
        <w:t xml:space="preserve"> لا لأجل ...</w:t>
      </w:r>
      <w:r>
        <w:rPr>
          <w:rFonts w:hint="eastAsia"/>
          <w:rtl/>
        </w:rPr>
        <w:t>»</w:t>
      </w:r>
      <w:r>
        <w:rPr>
          <w:rFonts w:hint="cs"/>
          <w:rtl/>
        </w:rPr>
        <w:t>.</w:t>
      </w:r>
    </w:p>
  </w:footnote>
  <w:footnote w:id="33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شقيقة</w:t>
      </w:r>
      <w:r>
        <w:rPr>
          <w:rFonts w:hint="eastAsia"/>
          <w:rtl/>
        </w:rPr>
        <w:t>»</w:t>
      </w:r>
      <w:r>
        <w:rPr>
          <w:rFonts w:hint="cs"/>
          <w:rtl/>
        </w:rPr>
        <w:t xml:space="preserve">، وفي (المغني) : </w:t>
      </w:r>
      <w:r>
        <w:rPr>
          <w:rFonts w:hint="eastAsia"/>
          <w:rtl/>
        </w:rPr>
        <w:t>«</w:t>
      </w:r>
      <w:r>
        <w:rPr>
          <w:rFonts w:hint="cs"/>
          <w:rtl/>
        </w:rPr>
        <w:t>أخته</w:t>
      </w:r>
      <w:r>
        <w:rPr>
          <w:rFonts w:hint="eastAsia"/>
          <w:rtl/>
        </w:rPr>
        <w:t>»</w:t>
      </w:r>
      <w:r>
        <w:rPr>
          <w:rFonts w:hint="cs"/>
          <w:rtl/>
        </w:rPr>
        <w:t>.</w:t>
      </w:r>
    </w:p>
  </w:footnote>
  <w:footnote w:id="3386">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وهو قول النبي </w:t>
      </w:r>
      <w:r>
        <w:rPr>
          <w:rFonts w:ascii="AGA Arabesque" w:hAnsi="AGA Arabesque"/>
          <w:spacing w:val="-6"/>
          <w:sz w:val="36"/>
          <w:szCs w:val="36"/>
        </w:rPr>
        <w:t></w:t>
      </w:r>
      <w:r>
        <w:rPr>
          <w:rFonts w:hint="cs"/>
          <w:spacing w:val="-6"/>
          <w:rtl/>
        </w:rPr>
        <w:t xml:space="preserve">: </w:t>
      </w:r>
      <w:r>
        <w:rPr>
          <w:rFonts w:hint="eastAsia"/>
          <w:spacing w:val="-6"/>
          <w:rtl/>
        </w:rPr>
        <w:t>«</w:t>
      </w:r>
      <w:r>
        <w:rPr>
          <w:rFonts w:cs="DecoType Naskh" w:hint="cs"/>
          <w:spacing w:val="-6"/>
          <w:sz w:val="28"/>
          <w:rtl/>
        </w:rPr>
        <w:t>رفع القلم عن ثلاث: عن النائم حتى يستيقظ، وعن الصبي حتى يحتلم، وعن المجنون حتى يعقل</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أخرجه بهذا اللفظ الإمام أحمد، 6/100؛ كما أخرجه ابن أبي شيبة، كتاب الطلاق، باب ما قالوا في الرجل يطلق في المنام، 4/194، ح19246؛ والدارمي، كتاب الحدود، باب رفع القلم عن ثـلاثة، 2/225، ح2296؛ وابن ماجه، كتاب الطلاق، باب طلاق المعتـوه والصغـير والنـائم، 1/658، ح2041؛ وأبو داود، كتاب الحدود، باب في المجنون يسرق أو يصيب حدًّا، 4/139، ح4398؛ والترمذي، كتاب الحدود، باب ما جاء فيمن لا يجب عليه الحدّ، 4/32، ح1423؛ والنسائي (في المجتبى)، كتاب الطلاق، باب من لا يقع طلاقه من الأزواج، 6/156، ح3432؛ وابن الجارود في المنتقى، باب فرض الصلوات الخمس وأبحاثها، 1/46، ح148؛ وابن حبّان في صحيحه، كتاب الإيمان، باب ذكر الأخبار عن العلة التي من أجلها إذا عدمت رفعت الأقلام عن الناس في كـتبة الشيء عليهم، 1/355، ح142؛ وابن خزيمة في صحيحه، كتاب الصلاة، باب ذكر الخبر الدّال على أنَّ أمر الصبيان بالصلاة قبل البلوغ على غير الوجوب، 2/102، ح1003؛ والحاكم في المستدرك، كـتاب البـيوع، 2/67؛ والبيهقي، كتاب الإقرار، باب من لا يجوز إقراره، 6/84.</w:t>
      </w:r>
    </w:p>
    <w:p w:rsidR="00035BE3" w:rsidRDefault="00035BE3" w:rsidP="00C10469">
      <w:pPr>
        <w:pStyle w:val="a6"/>
        <w:ind w:left="422" w:firstLine="0"/>
        <w:rPr>
          <w:rtl/>
        </w:rPr>
      </w:pPr>
      <w:r>
        <w:rPr>
          <w:rFonts w:hint="cs"/>
          <w:b/>
          <w:bCs/>
          <w:rtl/>
        </w:rPr>
        <w:t>جميعهم</w:t>
      </w:r>
      <w:r>
        <w:rPr>
          <w:rFonts w:hint="cs"/>
          <w:rtl/>
        </w:rPr>
        <w:t xml:space="preserve"> : من حديث عائشة رضي الله عنها عن النبي </w:t>
      </w:r>
      <w:r>
        <w:rPr>
          <w:rFonts w:ascii="AGA Arabesque" w:hAnsi="AGA Arabesque"/>
          <w:sz w:val="36"/>
          <w:szCs w:val="36"/>
          <w:lang w:val="en-US"/>
        </w:rPr>
        <w:t></w:t>
      </w:r>
      <w:r>
        <w:rPr>
          <w:rFonts w:ascii="AGA Arabesque" w:hAnsi="AGA Arabesque" w:hint="cs"/>
          <w:sz w:val="36"/>
          <w:szCs w:val="36"/>
          <w:rtl/>
          <w:lang w:val="en-US"/>
        </w:rPr>
        <w:t xml:space="preserve"> بألفاظ متقاربة.</w:t>
      </w:r>
    </w:p>
    <w:p w:rsidR="00035BE3" w:rsidRDefault="00035BE3" w:rsidP="00C10469">
      <w:pPr>
        <w:pStyle w:val="a6"/>
        <w:ind w:left="422" w:firstLine="0"/>
        <w:rPr>
          <w:spacing w:val="6"/>
          <w:rtl/>
        </w:rPr>
      </w:pPr>
      <w:r>
        <w:rPr>
          <w:rFonts w:hint="cs"/>
          <w:spacing w:val="6"/>
          <w:rtl/>
        </w:rPr>
        <w:t xml:space="preserve">كما أخرجه البخاري معلقًا عن علي </w:t>
      </w:r>
      <w:r>
        <w:rPr>
          <w:rFonts w:ascii="AGA Arabesque" w:hAnsi="AGA Arabesque"/>
          <w:spacing w:val="6"/>
          <w:sz w:val="36"/>
          <w:szCs w:val="36"/>
        </w:rPr>
        <w:t></w:t>
      </w:r>
      <w:r>
        <w:rPr>
          <w:rFonts w:hint="cs"/>
          <w:spacing w:val="6"/>
          <w:rtl/>
        </w:rPr>
        <w:t xml:space="preserve"> موقوفًا عليه، وذلك في كتاب الطلاق، باب الطلاق في الإغلاق والكره والسكران والمجنون، 5/2019، وقد وصله الحافظ في فتح الباري، 9/305؛ وفي تغليق التعليق، 4/457؛ كما ذكره الترمذي موصولاً عن علي، ثم قال : </w:t>
      </w:r>
      <w:r>
        <w:rPr>
          <w:rFonts w:hint="eastAsia"/>
          <w:spacing w:val="6"/>
          <w:rtl/>
        </w:rPr>
        <w:t>«</w:t>
      </w:r>
      <w:r>
        <w:rPr>
          <w:rFonts w:hint="cs"/>
          <w:spacing w:val="6"/>
          <w:rtl/>
        </w:rPr>
        <w:t>وفي الباب عن عائشة. قال أبو عيسى : حديث علي حديثٌ حسن غريب من هذا الوجه، ... والعمل على هذا الحديث عند أهل العلم</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وأيضًا عندما ذكر الحاكمُ حديثَ عائشة قال : </w:t>
      </w:r>
      <w:r>
        <w:rPr>
          <w:rFonts w:hint="eastAsia"/>
          <w:rtl/>
        </w:rPr>
        <w:t>«</w:t>
      </w:r>
      <w:r>
        <w:rPr>
          <w:rFonts w:hint="cs"/>
          <w:rtl/>
        </w:rPr>
        <w:t>هذا حديث صحيح على شرط مسلم ولم يخرّجاه</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كما صحّحه ابن حزم في المحلى، 8/35؛ والنووي في شـرح مسلم، 8/14؛ والألباني في إرواء الغليل، 2/4.</w:t>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r>
      <w:r>
        <w:rPr>
          <w:rFonts w:hint="cs"/>
          <w:spacing w:val="6"/>
          <w:rtl/>
        </w:rPr>
        <w:tab/>
        <w:t xml:space="preserve"> </w:t>
      </w:r>
    </w:p>
    <w:p w:rsidR="00035BE3" w:rsidRDefault="00035BE3" w:rsidP="00C10469">
      <w:pPr>
        <w:pStyle w:val="a6"/>
        <w:ind w:left="422" w:firstLine="0"/>
        <w:rPr>
          <w:rtl/>
        </w:rPr>
      </w:pPr>
      <w:r>
        <w:rPr>
          <w:rFonts w:hint="cs"/>
          <w:rtl/>
        </w:rPr>
        <w:t xml:space="preserve">وكما أن لحديث عائشة شاهد من حديث علي فله شواهد أخر عن أبي قتادة وأبي هريرة وثوبان وشداد بن أوس وغيرهم </w:t>
      </w:r>
      <w:r>
        <w:rPr>
          <w:rFonts w:ascii="AGA Arabesque" w:hAnsi="AGA Arabesque"/>
          <w:spacing w:val="6"/>
          <w:sz w:val="36"/>
          <w:szCs w:val="36"/>
        </w:rPr>
        <w:t></w:t>
      </w:r>
      <w:r>
        <w:rPr>
          <w:rFonts w:hint="cs"/>
          <w:rtl/>
        </w:rPr>
        <w:t>.</w:t>
      </w:r>
    </w:p>
    <w:p w:rsidR="00035BE3" w:rsidRDefault="00035BE3" w:rsidP="00C10469">
      <w:pPr>
        <w:pStyle w:val="a6"/>
        <w:ind w:left="422" w:firstLine="0"/>
        <w:rPr>
          <w:rtl/>
        </w:rPr>
      </w:pPr>
      <w:r>
        <w:rPr>
          <w:rFonts w:hint="cs"/>
          <w:rtl/>
        </w:rPr>
        <w:t>انظر : نصب الراية، 4/161؛ مجمع الزوائد، 6/251؛ تلخيص الحبير، 1/183؛ الدراية، 2/198.</w:t>
      </w:r>
    </w:p>
  </w:footnote>
  <w:footnote w:id="33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65/أ من (أ).</w:t>
      </w:r>
    </w:p>
  </w:footnote>
  <w:footnote w:id="33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بقدر</w:t>
      </w:r>
      <w:r>
        <w:rPr>
          <w:rFonts w:hint="eastAsia"/>
          <w:rtl/>
        </w:rPr>
        <w:t>»</w:t>
      </w:r>
      <w:r>
        <w:rPr>
          <w:rFonts w:hint="cs"/>
          <w:rtl/>
        </w:rPr>
        <w:t>.</w:t>
      </w:r>
    </w:p>
  </w:footnote>
  <w:footnote w:id="33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49/ب من (جـ).</w:t>
      </w:r>
    </w:p>
  </w:footnote>
  <w:footnote w:id="33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بمثل</w:t>
      </w:r>
      <w:r>
        <w:rPr>
          <w:rFonts w:hint="eastAsia"/>
          <w:rtl/>
        </w:rPr>
        <w:t>»</w:t>
      </w:r>
      <w:r>
        <w:rPr>
          <w:rFonts w:hint="cs"/>
          <w:rtl/>
        </w:rPr>
        <w:t>. وكذلك في المغني.</w:t>
      </w:r>
    </w:p>
  </w:footnote>
  <w:footnote w:id="33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بشرء</w:t>
      </w:r>
      <w:r>
        <w:rPr>
          <w:rFonts w:hint="eastAsia"/>
          <w:rtl/>
        </w:rPr>
        <w:t>»</w:t>
      </w:r>
      <w:r>
        <w:rPr>
          <w:rFonts w:hint="cs"/>
          <w:rtl/>
        </w:rPr>
        <w:t>.</w:t>
      </w:r>
    </w:p>
  </w:footnote>
  <w:footnote w:id="33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الصداع</w:t>
      </w:r>
      <w:r>
        <w:rPr>
          <w:rFonts w:hint="eastAsia"/>
          <w:rtl/>
        </w:rPr>
        <w:t>»</w:t>
      </w:r>
      <w:r>
        <w:rPr>
          <w:rFonts w:hint="cs"/>
          <w:rtl/>
        </w:rPr>
        <w:t xml:space="preserve"> (بإسقاط الباء).</w:t>
      </w:r>
    </w:p>
  </w:footnote>
  <w:footnote w:id="33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ص107-108 </w:t>
      </w:r>
      <w:r>
        <w:rPr>
          <w:rtl/>
        </w:rPr>
        <w:t>–</w:t>
      </w:r>
      <w:r>
        <w:rPr>
          <w:rFonts w:hint="cs"/>
          <w:rtl/>
        </w:rPr>
        <w:t>مع اختلاف سبق بيانه أكثره-.</w:t>
      </w:r>
    </w:p>
  </w:footnote>
  <w:footnote w:id="33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42/أ من (ب).</w:t>
      </w:r>
    </w:p>
  </w:footnote>
  <w:footnote w:id="33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التعيين</w:t>
      </w:r>
      <w:r>
        <w:rPr>
          <w:rFonts w:hint="eastAsia"/>
          <w:rtl/>
        </w:rPr>
        <w:t>»</w:t>
      </w:r>
      <w:r>
        <w:rPr>
          <w:rFonts w:hint="cs"/>
          <w:rtl/>
        </w:rPr>
        <w:t>. والصحيح ما تمَّ إثباته من (ب)، وهو الموافق لمصدري المؤلف (وهما المغني، وشرحه للقاءاني).</w:t>
      </w:r>
    </w:p>
  </w:footnote>
  <w:footnote w:id="33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مرتبطة بالقاعدة السابقة؛ إذْ تلك القاعدة تبيّن دلالة العام قبل التخصيص، وهذه تبيّن دلالته بعد التخصيص.</w:t>
      </w:r>
    </w:p>
    <w:p w:rsidR="00035BE3" w:rsidRDefault="00035BE3" w:rsidP="00C10469">
      <w:pPr>
        <w:pStyle w:val="a6"/>
        <w:ind w:left="422" w:firstLine="0"/>
        <w:rPr>
          <w:rtl/>
        </w:rPr>
      </w:pPr>
      <w:r>
        <w:rPr>
          <w:rFonts w:hint="cs"/>
          <w:rtl/>
        </w:rPr>
        <w:t>وإذا كانت تلك القاعدة تحكي رأي عامة الحنفية، فإن هذه القاعدة تحكي رأي عامة الأصوليين، ولبيان ذلك يقال :</w:t>
      </w:r>
    </w:p>
    <w:p w:rsidR="00035BE3" w:rsidRDefault="00035BE3" w:rsidP="00C10469">
      <w:pPr>
        <w:pStyle w:val="a6"/>
        <w:ind w:left="422" w:firstLine="0"/>
        <w:rPr>
          <w:rtl/>
        </w:rPr>
      </w:pPr>
      <w:r>
        <w:rPr>
          <w:rFonts w:hint="cs"/>
          <w:rtl/>
        </w:rPr>
        <w:t xml:space="preserve">إن صيغة هذه القاعدة تتضمّن أمرين : حكم الاحتجاج بالعام بعد التخصيص، ودلالته : </w:t>
      </w:r>
    </w:p>
    <w:p w:rsidR="00035BE3" w:rsidRDefault="00035BE3" w:rsidP="00C10469">
      <w:pPr>
        <w:pStyle w:val="a6"/>
        <w:ind w:left="422" w:firstLine="0"/>
        <w:rPr>
          <w:rtl/>
        </w:rPr>
      </w:pPr>
      <w:r>
        <w:rPr>
          <w:rFonts w:ascii="Wingdings" w:hAnsi="Wingdings" w:cs="Wingdings"/>
          <w:szCs w:val="20"/>
          <w:lang w:val="en-US"/>
        </w:rPr>
        <w:t></w:t>
      </w:r>
      <w:r>
        <w:rPr>
          <w:rFonts w:hint="cs"/>
          <w:rtl/>
        </w:rPr>
        <w:t xml:space="preserve"> أما دلالته فقد وافق عامةُ الحنفية الجمهورَ في كون دلالته ظنية.</w:t>
      </w:r>
    </w:p>
    <w:p w:rsidR="00035BE3" w:rsidRDefault="00035BE3" w:rsidP="00C10469">
      <w:pPr>
        <w:pStyle w:val="a6"/>
        <w:ind w:left="422" w:firstLine="0"/>
        <w:rPr>
          <w:rtl/>
        </w:rPr>
      </w:pPr>
      <w:r>
        <w:rPr>
          <w:rFonts w:ascii="Wingdings" w:hAnsi="Wingdings" w:cs="Wingdings"/>
          <w:szCs w:val="20"/>
          <w:lang w:val="en-US"/>
        </w:rPr>
        <w:t></w:t>
      </w:r>
      <w:r>
        <w:rPr>
          <w:rFonts w:hint="cs"/>
          <w:rtl/>
        </w:rPr>
        <w:t xml:space="preserve"> أما حكم الاحتجاج به فيختلف باختلاف المخصِّص :</w:t>
      </w:r>
    </w:p>
    <w:p w:rsidR="00035BE3" w:rsidRDefault="00035BE3" w:rsidP="00C10469">
      <w:pPr>
        <w:pStyle w:val="a6"/>
        <w:ind w:left="-32" w:firstLine="454"/>
        <w:rPr>
          <w:rtl/>
        </w:rPr>
      </w:pPr>
      <w:r>
        <w:rPr>
          <w:rtl/>
        </w:rPr>
        <w:t>•</w:t>
      </w:r>
      <w:r>
        <w:rPr>
          <w:rFonts w:hint="cs"/>
          <w:rtl/>
        </w:rPr>
        <w:t xml:space="preserve"> فإنَّ كان المخصِّص مجملاً فإنّ العام لا يبقى حجة باتفاق.</w:t>
      </w:r>
    </w:p>
    <w:p w:rsidR="00035BE3" w:rsidRDefault="00035BE3" w:rsidP="00C10469">
      <w:pPr>
        <w:pStyle w:val="a6"/>
        <w:ind w:left="422" w:firstLine="0"/>
        <w:rPr>
          <w:rtl/>
        </w:rPr>
      </w:pPr>
      <w:r>
        <w:rPr>
          <w:rFonts w:hint="cs"/>
          <w:rtl/>
        </w:rPr>
        <w:t xml:space="preserve">وقد صرح بذلك الأصفهاني وابن خطيب الدهشة والشوكاني، وألمح إليه القرافي، كما صرح به الآمدي أيضًا حيث قال : </w:t>
      </w:r>
      <w:r>
        <w:rPr>
          <w:rFonts w:hint="eastAsia"/>
          <w:rtl/>
        </w:rPr>
        <w:t>«</w:t>
      </w:r>
      <w:r>
        <w:rPr>
          <w:rFonts w:hint="cs"/>
          <w:rtl/>
        </w:rPr>
        <w:t>اتفق الكلّ على أن العام لو خُصّص تخصيصًا مجملاً فإنه لا يبقى حجة، كما لو قال : اقتلوا المشركين إلا بعضهم</w:t>
      </w:r>
      <w:r>
        <w:rPr>
          <w:rFonts w:hint="eastAsia"/>
          <w:rtl/>
        </w:rPr>
        <w:t>»</w:t>
      </w:r>
      <w:r>
        <w:rPr>
          <w:rFonts w:hint="cs"/>
          <w:rtl/>
        </w:rPr>
        <w:t>.</w:t>
      </w:r>
    </w:p>
    <w:p w:rsidR="00035BE3" w:rsidRDefault="00035BE3" w:rsidP="00C10469">
      <w:pPr>
        <w:pStyle w:val="a6"/>
        <w:ind w:left="-32" w:firstLine="454"/>
        <w:rPr>
          <w:rtl/>
        </w:rPr>
      </w:pPr>
      <w:r>
        <w:rPr>
          <w:rtl/>
        </w:rPr>
        <w:t>•</w:t>
      </w:r>
      <w:r>
        <w:rPr>
          <w:rFonts w:hint="cs"/>
          <w:rtl/>
        </w:rPr>
        <w:t xml:space="preserve"> أما إذا كان المخصِّص مبيّنًا فهذا محل النزاع.</w:t>
      </w:r>
    </w:p>
    <w:p w:rsidR="00035BE3" w:rsidRDefault="00035BE3" w:rsidP="00C10469">
      <w:pPr>
        <w:pStyle w:val="a6"/>
        <w:ind w:left="422" w:firstLine="0"/>
        <w:rPr>
          <w:rtl/>
        </w:rPr>
      </w:pPr>
      <w:r>
        <w:rPr>
          <w:rFonts w:hint="cs"/>
          <w:rtl/>
        </w:rPr>
        <w:t xml:space="preserve">والذي عليه الجمهور أن العام بعد التخصيص حجة </w:t>
      </w:r>
      <w:r>
        <w:rPr>
          <w:rtl/>
        </w:rPr>
        <w:t>–</w:t>
      </w:r>
      <w:r>
        <w:rPr>
          <w:rFonts w:hint="cs"/>
          <w:rtl/>
        </w:rPr>
        <w:t>في الجملة-، وإن حصل خلاف بينهم فإنما هو في مدى الاحتجاج به، هل هو مطلقًا أو بقيود؟.</w:t>
      </w:r>
    </w:p>
    <w:p w:rsidR="00035BE3" w:rsidRDefault="00035BE3" w:rsidP="00C10469">
      <w:pPr>
        <w:pStyle w:val="a6"/>
        <w:ind w:left="422" w:firstLine="0"/>
        <w:rPr>
          <w:rtl/>
        </w:rPr>
      </w:pPr>
      <w:r>
        <w:rPr>
          <w:rFonts w:hint="cs"/>
          <w:rtl/>
        </w:rPr>
        <w:t>ولم يخالٍف الجمهورَ في ذلك إلا بعضُ العلماء.</w:t>
      </w:r>
    </w:p>
    <w:p w:rsidR="00035BE3" w:rsidRDefault="00035BE3" w:rsidP="00C10469">
      <w:pPr>
        <w:pStyle w:val="a6"/>
        <w:ind w:left="422" w:firstLine="0"/>
        <w:rPr>
          <w:rtl/>
        </w:rPr>
      </w:pPr>
      <w:r>
        <w:rPr>
          <w:rFonts w:hint="cs"/>
          <w:rtl/>
        </w:rPr>
        <w:t>والأقوال في ذلك مبسوطة في كتب الأصول، وقد أوجزها القرافي بقوله :</w:t>
      </w:r>
    </w:p>
    <w:p w:rsidR="00035BE3" w:rsidRDefault="00035BE3" w:rsidP="00C10469">
      <w:pPr>
        <w:pStyle w:val="a6"/>
        <w:ind w:left="422" w:firstLine="0"/>
        <w:rPr>
          <w:rtl/>
        </w:rPr>
      </w:pPr>
      <w:r>
        <w:rPr>
          <w:rFonts w:hint="eastAsia"/>
          <w:rtl/>
        </w:rPr>
        <w:t>«</w:t>
      </w:r>
      <w:r>
        <w:rPr>
          <w:rFonts w:hint="cs"/>
          <w:rtl/>
        </w:rPr>
        <w:t>وهو حجّة عند الجميع إلا عيسى بن أبان، وأباثور، وخصّص الكرخي التمسّك به إذا خصّص بالمتصل، وقال الإمام فخر الدين : إن خُصِّص تخصيصًا إجماليًّا، نحو قوله : هذا العام مخصوص : فليس بحجة. وما أَظُنُّهُ يُخَالَفُ في هذا التفصيل</w:t>
      </w:r>
      <w:r>
        <w:rPr>
          <w:rFonts w:hint="eastAsia"/>
          <w:rtl/>
        </w:rPr>
        <w:t>»</w:t>
      </w:r>
      <w:r>
        <w:rPr>
          <w:rFonts w:hint="cs"/>
          <w:rtl/>
        </w:rPr>
        <w:t>.</w:t>
      </w:r>
    </w:p>
    <w:p w:rsidR="00035BE3" w:rsidRDefault="00035BE3" w:rsidP="00C10469">
      <w:pPr>
        <w:pStyle w:val="a6"/>
        <w:ind w:left="422" w:firstLine="0"/>
        <w:rPr>
          <w:rtl/>
        </w:rPr>
      </w:pPr>
      <w:r>
        <w:rPr>
          <w:rFonts w:hint="cs"/>
          <w:b/>
          <w:bCs/>
          <w:rtl/>
        </w:rPr>
        <w:t>ولتوثيق ما سبق</w:t>
      </w:r>
      <w:r>
        <w:rPr>
          <w:rFonts w:hint="cs"/>
          <w:rtl/>
        </w:rPr>
        <w:t xml:space="preserve"> : فإن الكتب التي رمز لها بذكر مؤلفيها مرتبة على النحو الآتي : الكاشف عن المحصول للأصفهاني، 4/412؛ مختصر من قواعد العلائي لابن خطيب الدهشة، 1/75، 346؛ </w:t>
      </w:r>
      <w:r w:rsidRPr="00C30FE6">
        <w:rPr>
          <w:rFonts w:hint="cs"/>
          <w:spacing w:val="-4"/>
          <w:rtl/>
        </w:rPr>
        <w:t>إرشاد الفحول للشوكاني، 1/494؛ شرح تنقيح الفصول للقرافي، ص227؛ الإحكام للآمدي، 2/253.</w:t>
      </w:r>
      <w:r>
        <w:rPr>
          <w:rFonts w:hint="cs"/>
          <w:spacing w:val="-4"/>
          <w:rtl/>
        </w:rPr>
        <w:t xml:space="preserve">    </w:t>
      </w:r>
    </w:p>
    <w:p w:rsidR="00035BE3" w:rsidRDefault="00035BE3" w:rsidP="00C10469">
      <w:pPr>
        <w:pStyle w:val="a6"/>
        <w:ind w:left="422" w:firstLine="0"/>
        <w:rPr>
          <w:rtl/>
        </w:rPr>
      </w:pPr>
      <w:r>
        <w:rPr>
          <w:rFonts w:hint="cs"/>
          <w:rtl/>
        </w:rPr>
        <w:t xml:space="preserve">كما أن نص القاعدة مذكور في : المغني، ص109؛ شرحه للقاءاني، ق1، جـ2، ص470 </w:t>
      </w:r>
      <w:r>
        <w:rPr>
          <w:rtl/>
        </w:rPr>
        <w:t>–</w:t>
      </w:r>
      <w:r>
        <w:rPr>
          <w:rFonts w:hint="cs"/>
          <w:rtl/>
        </w:rPr>
        <w:t xml:space="preserve"> والشرح هو المصدر الرئيس للمؤلف في هذه القاعدة-.</w:t>
      </w:r>
    </w:p>
    <w:p w:rsidR="00035BE3" w:rsidRDefault="00035BE3" w:rsidP="00C10469">
      <w:pPr>
        <w:pStyle w:val="a6"/>
        <w:ind w:left="422" w:firstLine="0"/>
        <w:rPr>
          <w:b/>
          <w:bCs/>
          <w:rtl/>
        </w:rPr>
      </w:pPr>
      <w:r>
        <w:rPr>
          <w:rFonts w:hint="cs"/>
          <w:b/>
          <w:bCs/>
          <w:rtl/>
        </w:rPr>
        <w:t>وللتوسع في هذه القاعدة انظر أيضًا :</w:t>
      </w:r>
    </w:p>
    <w:p w:rsidR="00035BE3" w:rsidRDefault="00035BE3" w:rsidP="00C10469">
      <w:pPr>
        <w:pStyle w:val="a6"/>
        <w:spacing w:line="480" w:lineRule="exact"/>
        <w:ind w:left="422" w:firstLine="0"/>
        <w:rPr>
          <w:spacing w:val="10"/>
          <w:rtl/>
        </w:rPr>
      </w:pPr>
      <w:r>
        <w:rPr>
          <w:rFonts w:hint="cs"/>
          <w:spacing w:val="10"/>
          <w:rtl/>
        </w:rPr>
        <w:t>الغنية في الأصول، ص69؛ المعتمد، 1/286؛ العدّة، 2/533؛ إحكام الفصول، ص150؛ التبصرة، ص187؛ أصول البزدوي وكشف الأسرار، 1/621؛ أصول السرخسي، 1/144؛ قواطع الأدلة، 1/340؛ المستصفى، 2/56؛ التمهيد لأبي الخطاب، 2/142؛ الواضح لابن عقيل، 4/70؛ الوصول إلى الأصول، 2/233؛ ميزان الأصول، 1/423؛ المحصول، 1/402؛ روضة الناظر، 2/706؛ مختصر ابن الحاجب وشرح العضد، 2/108؛ الحاصل، 1/532؛ المنهاج والإبهاج، 2/137؛ المنار وشروحه : كشف الأسرار وشرح نور الأنوار، 1/168؛ وفتح الغفار، 1/97؛ التنقيح والتلويح والتوضيح، 1/44؛ المـسـوّدة، ص116؛ التمهيد للإسنوي، ص414؛ جمع الجوامع وشرحيه : شرح المحلي (مع حاشية البناني)، 2/6؛ وتشنيف المسامع، 2/725؛ البحر المحيط، 3/268؛ التحرير</w:t>
      </w:r>
      <w:r>
        <w:rPr>
          <w:rFonts w:hint="cs"/>
          <w:rtl/>
        </w:rPr>
        <w:t xml:space="preserve"> وتيسيره، 1/313؛</w:t>
      </w:r>
      <w:r>
        <w:rPr>
          <w:rFonts w:hint="cs"/>
          <w:spacing w:val="10"/>
          <w:rtl/>
        </w:rPr>
        <w:t xml:space="preserve"> شرح الكوكب المنير، 3/161؛ مراقي السعود وشرحه : مراقي السعود، ص209؛ القطع والظن للدكتور سعد الشثري، 2/330.</w:t>
      </w:r>
    </w:p>
  </w:footnote>
  <w:footnote w:id="33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و(هـ) و(و). ولا يستقيم المعنى بدونها.</w:t>
      </w:r>
    </w:p>
  </w:footnote>
  <w:footnote w:id="33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إذْ لا</w:t>
      </w:r>
      <w:r>
        <w:rPr>
          <w:rFonts w:hint="eastAsia"/>
          <w:rtl/>
        </w:rPr>
        <w:t>»</w:t>
      </w:r>
      <w:r>
        <w:rPr>
          <w:rFonts w:hint="cs"/>
          <w:rtl/>
        </w:rPr>
        <w:t>.</w:t>
      </w:r>
    </w:p>
  </w:footnote>
  <w:footnote w:id="33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المجتهد</w:t>
      </w:r>
      <w:r>
        <w:rPr>
          <w:rFonts w:hint="eastAsia"/>
          <w:rtl/>
        </w:rPr>
        <w:t>»</w:t>
      </w:r>
      <w:r>
        <w:rPr>
          <w:rFonts w:hint="cs"/>
          <w:rtl/>
        </w:rPr>
        <w:t xml:space="preserve"> : ساقطة من (جـ).</w:t>
      </w:r>
    </w:p>
  </w:footnote>
  <w:footnote w:id="34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المخصوص</w:t>
      </w:r>
      <w:r>
        <w:rPr>
          <w:rFonts w:hint="eastAsia"/>
          <w:rtl/>
        </w:rPr>
        <w:t>»</w:t>
      </w:r>
      <w:r>
        <w:rPr>
          <w:rFonts w:hint="cs"/>
          <w:rtl/>
        </w:rPr>
        <w:t>.</w:t>
      </w:r>
    </w:p>
  </w:footnote>
  <w:footnote w:id="3401">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 </w:t>
      </w:r>
      <w:r>
        <w:rPr>
          <w:rFonts w:hint="eastAsia"/>
          <w:spacing w:val="8"/>
          <w:rtl/>
        </w:rPr>
        <w:t>«</w:t>
      </w:r>
      <w:r>
        <w:rPr>
          <w:rFonts w:hint="cs"/>
          <w:spacing w:val="8"/>
          <w:rtl/>
        </w:rPr>
        <w:t>نكر</w:t>
      </w:r>
      <w:r>
        <w:rPr>
          <w:rFonts w:hint="eastAsia"/>
          <w:spacing w:val="8"/>
          <w:rtl/>
        </w:rPr>
        <w:t>»</w:t>
      </w:r>
      <w:r>
        <w:rPr>
          <w:rFonts w:hint="cs"/>
          <w:spacing w:val="8"/>
          <w:rtl/>
        </w:rPr>
        <w:t>. والصحيح ما تمَّ إثباته من (ب) و(د)، وهو الموافق لمصدر هذه العبارة (وهو شرح المغني للقاءاني).</w:t>
      </w:r>
    </w:p>
  </w:footnote>
  <w:footnote w:id="34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وبيان ذلك</w:t>
      </w:r>
      <w:r>
        <w:rPr>
          <w:rFonts w:hint="eastAsia"/>
          <w:rtl/>
        </w:rPr>
        <w:t>»</w:t>
      </w:r>
      <w:r>
        <w:rPr>
          <w:rFonts w:hint="cs"/>
          <w:rtl/>
        </w:rPr>
        <w:t>.</w:t>
      </w:r>
    </w:p>
  </w:footnote>
  <w:footnote w:id="34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بالملك</w:t>
      </w:r>
      <w:r>
        <w:rPr>
          <w:rFonts w:hint="eastAsia"/>
          <w:rtl/>
        </w:rPr>
        <w:t>»</w:t>
      </w:r>
      <w:r>
        <w:rPr>
          <w:rFonts w:hint="cs"/>
          <w:rtl/>
        </w:rPr>
        <w:t>. والصحيح ما تمَّ إثباته من (د)، وهو الموافق لشرح المغني.</w:t>
      </w:r>
    </w:p>
  </w:footnote>
  <w:footnote w:id="34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 ساقطة من (د).</w:t>
      </w:r>
    </w:p>
  </w:footnote>
  <w:footnote w:id="34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علتهما</w:t>
      </w:r>
      <w:r>
        <w:rPr>
          <w:rFonts w:hint="eastAsia"/>
          <w:rtl/>
        </w:rPr>
        <w:t>»</w:t>
      </w:r>
      <w:r>
        <w:rPr>
          <w:rFonts w:hint="cs"/>
          <w:rtl/>
        </w:rPr>
        <w:t>. والصحيح ما تمَّ إثباته من (ب) و(جـ)، وهو الموافق لشرح المغني.</w:t>
      </w:r>
    </w:p>
  </w:footnote>
  <w:footnote w:id="34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(6) من سورة (المؤمنين)، ومن الآية رقم (30) من سورة (المعارج).</w:t>
      </w:r>
    </w:p>
  </w:footnote>
  <w:footnote w:id="34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(23) من سورة (النساء). علمًا بأن واو العطف (وأن ...) مثبتة في (جـ) فقط.</w:t>
      </w:r>
    </w:p>
  </w:footnote>
  <w:footnote w:id="34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ذكره المؤلف هنا عن علي رضي الله عنه يدل على أنه متوقف في الحكم، إلاّ أن المؤلف </w:t>
      </w:r>
      <w:r>
        <w:rPr>
          <w:rtl/>
        </w:rPr>
        <w:t>–</w:t>
      </w:r>
      <w:r>
        <w:rPr>
          <w:rFonts w:hint="cs"/>
          <w:rtl/>
          <w:lang w:bidi="ar-AE"/>
        </w:rPr>
        <w:t xml:space="preserve"> هنا وأيضًا</w:t>
      </w:r>
      <w:r>
        <w:rPr>
          <w:rFonts w:hint="cs"/>
          <w:rtl/>
        </w:rPr>
        <w:t xml:space="preserve"> بعد بضعة أسطر- نَسَبَ إليه كونه يرجّح التحريم.</w:t>
      </w:r>
    </w:p>
    <w:p w:rsidR="00035BE3" w:rsidRDefault="00035BE3" w:rsidP="00C10469">
      <w:pPr>
        <w:pStyle w:val="a6"/>
        <w:ind w:left="422" w:firstLine="0"/>
        <w:rPr>
          <w:rtl/>
        </w:rPr>
      </w:pPr>
      <w:r>
        <w:rPr>
          <w:rFonts w:hint="cs"/>
          <w:rtl/>
        </w:rPr>
        <w:t xml:space="preserve">وقد ورد في بعض ألفاظ هذا الأثر زيادة تدل على أنه يحتاط في ذلك لنفسه ولأهل بيته، كما ورد عنه في ألفاظ أخر التصريحُ بترجيح التحريم مطلقًا، وقد اقترنت هذه الألفاظ برأي لعثمان </w:t>
      </w:r>
      <w:r>
        <w:rPr>
          <w:rFonts w:ascii="AGA Arabesque" w:hAnsi="AGA Arabesque"/>
          <w:sz w:val="36"/>
          <w:szCs w:val="36"/>
        </w:rPr>
        <w:t></w:t>
      </w:r>
      <w:r>
        <w:rPr>
          <w:rFonts w:hint="cs"/>
          <w:rtl/>
        </w:rPr>
        <w:t xml:space="preserve">، وحيث إن المؤلف سيذكر رأي عثمان </w:t>
      </w:r>
      <w:r>
        <w:rPr>
          <w:rFonts w:ascii="AGA Arabesque" w:hAnsi="AGA Arabesque"/>
          <w:sz w:val="36"/>
          <w:szCs w:val="36"/>
        </w:rPr>
        <w:t></w:t>
      </w:r>
      <w:r>
        <w:rPr>
          <w:rFonts w:hint="cs"/>
          <w:rtl/>
        </w:rPr>
        <w:t xml:space="preserve"> لاحقًا؛ لهذا من المناسب أن يكون تخريجهما هناك.</w:t>
      </w:r>
    </w:p>
    <w:p w:rsidR="00035BE3" w:rsidRDefault="00035BE3" w:rsidP="00C10469">
      <w:pPr>
        <w:pStyle w:val="a6"/>
        <w:ind w:left="422" w:firstLine="0"/>
        <w:rPr>
          <w:rtl/>
        </w:rPr>
      </w:pPr>
      <w:r>
        <w:rPr>
          <w:rFonts w:hint="cs"/>
          <w:rtl/>
        </w:rPr>
        <w:t xml:space="preserve">أما ما ذكره المؤلف </w:t>
      </w:r>
      <w:r>
        <w:rPr>
          <w:rtl/>
        </w:rPr>
        <w:t>–</w:t>
      </w:r>
      <w:r>
        <w:rPr>
          <w:rFonts w:hint="cs"/>
          <w:rtl/>
        </w:rPr>
        <w:t xml:space="preserve"> هنا </w:t>
      </w:r>
      <w:r>
        <w:rPr>
          <w:rtl/>
        </w:rPr>
        <w:t>–</w:t>
      </w:r>
      <w:r>
        <w:rPr>
          <w:rFonts w:hint="cs"/>
          <w:rtl/>
        </w:rPr>
        <w:t xml:space="preserve"> عن علي : فقد أخرجه عبد الرزاق في مصنّفه، باب جمع بين ذوات الأرحام في ملك اليمين، 7/192، ح12737؛ وأخرجه سعيد بن منصور في السنن، كتاب الطلاق، باب الرجل له أمتان يطأهما، 1/445، ح1735؛ والبيهقي، كتاب النكاح، باب ما جاء في تحريم الجمع بين الأختين وبين المرأة وابنتها في الوطء بملك اليمين، 7/164، ح13713، ولفظ البيهقي : </w:t>
      </w:r>
      <w:r>
        <w:rPr>
          <w:rFonts w:hint="eastAsia"/>
          <w:rtl/>
        </w:rPr>
        <w:t>«</w:t>
      </w:r>
      <w:r>
        <w:rPr>
          <w:rFonts w:hint="cs"/>
          <w:rtl/>
        </w:rPr>
        <w:t xml:space="preserve">... عن علي </w:t>
      </w:r>
      <w:r>
        <w:rPr>
          <w:rFonts w:ascii="AGA Arabesque" w:hAnsi="AGA Arabesque"/>
          <w:sz w:val="36"/>
          <w:szCs w:val="36"/>
        </w:rPr>
        <w:t></w:t>
      </w:r>
      <w:r>
        <w:rPr>
          <w:rFonts w:hint="cs"/>
          <w:rtl/>
        </w:rPr>
        <w:t xml:space="preserve"> قال في الأختين المملوكتين : </w:t>
      </w:r>
      <w:r>
        <w:rPr>
          <w:rFonts w:hint="eastAsia"/>
          <w:rtl/>
        </w:rPr>
        <w:t>«</w:t>
      </w:r>
      <w:r>
        <w:rPr>
          <w:rFonts w:hint="cs"/>
          <w:rtl/>
        </w:rPr>
        <w:t>أحلّتهما آية وحرمتهما آية، فلا آمر ولا أنهى ولا أُحل ولا أُحرِّم ولا أفعله أنا ولا أهل بيتي</w:t>
      </w:r>
      <w:r>
        <w:rPr>
          <w:rFonts w:hint="eastAsia"/>
          <w:rtl/>
        </w:rPr>
        <w:t>»»</w:t>
      </w:r>
      <w:r>
        <w:rPr>
          <w:rFonts w:hint="cs"/>
          <w:rtl/>
        </w:rPr>
        <w:t>.</w:t>
      </w:r>
    </w:p>
    <w:p w:rsidR="00035BE3" w:rsidRDefault="00035BE3" w:rsidP="00C10469">
      <w:pPr>
        <w:pStyle w:val="a6"/>
        <w:ind w:left="422" w:firstLine="0"/>
        <w:rPr>
          <w:rtl/>
        </w:rPr>
      </w:pPr>
      <w:r>
        <w:rPr>
          <w:rFonts w:hint="cs"/>
          <w:rtl/>
        </w:rPr>
        <w:t xml:space="preserve">وانظر في كون علي </w:t>
      </w:r>
      <w:r>
        <w:rPr>
          <w:rFonts w:ascii="AGA Arabesque" w:hAnsi="AGA Arabesque"/>
          <w:sz w:val="36"/>
          <w:szCs w:val="36"/>
        </w:rPr>
        <w:t></w:t>
      </w:r>
      <w:r>
        <w:rPr>
          <w:rFonts w:hint="cs"/>
          <w:rtl/>
        </w:rPr>
        <w:t xml:space="preserve"> يرى التوقف في : المحلى لابن حزم، 9/522.</w:t>
      </w:r>
    </w:p>
  </w:footnote>
  <w:footnote w:id="34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التقدير : وهي نصٌّ عامٌّ.</w:t>
      </w:r>
    </w:p>
  </w:footnote>
  <w:footnote w:id="34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الـمعـنى: والـجمع هنا يدخل في اسم الجنس الـمحلى باللام فيتناول الجمع بين الأختين بالنكاح وبملك اليمين.</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وهناك طريق أخرى في بيان وجه العموم، وهي: </w:t>
      </w:r>
      <w:r>
        <w:rPr>
          <w:rFonts w:hint="eastAsia"/>
          <w:rtl/>
        </w:rPr>
        <w:t>«</w:t>
      </w:r>
      <w:r>
        <w:rPr>
          <w:rFonts w:hint="cs"/>
          <w:rtl/>
        </w:rPr>
        <w:t>أن الأختين مثنى محلىّ بـ (أل)؛ والمعنى: أنه يحرم عليكم أن تجمعوا بين الأختين، سواء كانتا حرّتين أو أمتين</w:t>
      </w:r>
      <w:r>
        <w:rPr>
          <w:rFonts w:hint="eastAsia"/>
          <w:rtl/>
        </w:rPr>
        <w:t>»</w:t>
      </w:r>
      <w:r>
        <w:rPr>
          <w:rFonts w:hint="cs"/>
          <w:rtl/>
        </w:rPr>
        <w:t>. كذا في إتحاف ذوي البصائر، 6/62.</w:t>
      </w:r>
    </w:p>
  </w:footnote>
  <w:footnote w:id="34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كشف الأسرار للبخاري، 1/611؛ وانظر منه أيضًا : 1/628، 2/26.</w:t>
      </w:r>
    </w:p>
    <w:p w:rsidR="00035BE3" w:rsidRDefault="00035BE3" w:rsidP="00C10469">
      <w:pPr>
        <w:pStyle w:val="a6"/>
        <w:ind w:left="422" w:firstLine="0"/>
        <w:rPr>
          <w:rtl/>
        </w:rPr>
      </w:pPr>
      <w:r>
        <w:rPr>
          <w:rFonts w:hint="cs"/>
          <w:rtl/>
        </w:rPr>
        <w:t xml:space="preserve">وممّا تجدر الإشارة إليه أن قول المؤلف : </w:t>
      </w:r>
      <w:r>
        <w:rPr>
          <w:rFonts w:hint="eastAsia"/>
          <w:rtl/>
        </w:rPr>
        <w:t>«</w:t>
      </w:r>
      <w:r>
        <w:rPr>
          <w:rFonts w:hint="cs"/>
          <w:rtl/>
        </w:rPr>
        <w:t>وهي عام ... نكاحًا وملكًا</w:t>
      </w:r>
      <w:r>
        <w:rPr>
          <w:rFonts w:hint="eastAsia"/>
          <w:rtl/>
        </w:rPr>
        <w:t>»</w:t>
      </w:r>
      <w:r>
        <w:rPr>
          <w:rFonts w:hint="cs"/>
          <w:rtl/>
        </w:rPr>
        <w:t xml:space="preserve"> ليس في شرح المغني للقاءاني.</w:t>
      </w:r>
    </w:p>
  </w:footnote>
  <w:footnote w:id="34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40/ب من (د).</w:t>
      </w:r>
    </w:p>
  </w:footnote>
  <w:footnote w:id="34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فيرجح</w:t>
      </w:r>
      <w:r>
        <w:rPr>
          <w:rFonts w:hint="eastAsia"/>
          <w:rtl/>
        </w:rPr>
        <w:t>»</w:t>
      </w:r>
      <w:r>
        <w:rPr>
          <w:rFonts w:hint="cs"/>
          <w:rtl/>
        </w:rPr>
        <w:t>.</w:t>
      </w:r>
    </w:p>
    <w:p w:rsidR="00035BE3" w:rsidRDefault="00035BE3" w:rsidP="00C10469">
      <w:pPr>
        <w:pStyle w:val="a6"/>
        <w:tabs>
          <w:tab w:val="right" w:pos="3400"/>
        </w:tabs>
        <w:ind w:left="422" w:hanging="454"/>
        <w:rPr>
          <w:rtl/>
        </w:rPr>
      </w:pPr>
      <w:r>
        <w:rPr>
          <w:rFonts w:hint="cs"/>
          <w:rtl/>
        </w:rPr>
        <w:tab/>
        <w:t xml:space="preserve">والفاعل في (فرجَّحَ) ضمير مستتر تقديره (هو) يعود على علي </w:t>
      </w:r>
      <w:r>
        <w:rPr>
          <w:rFonts w:ascii="AGA Arabesque" w:hAnsi="AGA Arabesque"/>
          <w:sz w:val="36"/>
          <w:szCs w:val="36"/>
        </w:rPr>
        <w:t></w:t>
      </w:r>
      <w:r>
        <w:rPr>
          <w:rFonts w:hint="cs"/>
          <w:rtl/>
        </w:rPr>
        <w:t>.</w:t>
      </w:r>
    </w:p>
  </w:footnote>
  <w:footnote w:id="34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الضمير يعود </w:t>
      </w:r>
      <w:r>
        <w:rPr>
          <w:rtl/>
        </w:rPr>
        <w:t>–</w:t>
      </w:r>
      <w:r>
        <w:rPr>
          <w:rFonts w:hint="cs"/>
          <w:rtl/>
        </w:rPr>
        <w:t xml:space="preserve">أيضًا- على علي </w:t>
      </w:r>
      <w:r>
        <w:rPr>
          <w:rFonts w:ascii="AGA Arabesque" w:hAnsi="AGA Arabesque"/>
          <w:sz w:val="36"/>
          <w:szCs w:val="36"/>
        </w:rPr>
        <w:t></w:t>
      </w:r>
      <w:r>
        <w:rPr>
          <w:rFonts w:hint="cs"/>
          <w:rtl/>
        </w:rPr>
        <w:t>.</w:t>
      </w:r>
    </w:p>
  </w:footnote>
  <w:footnote w:id="34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للحمل</w:t>
      </w:r>
      <w:r>
        <w:rPr>
          <w:rFonts w:hint="eastAsia"/>
          <w:rtl/>
        </w:rPr>
        <w:t>»</w:t>
      </w:r>
      <w:r>
        <w:rPr>
          <w:rFonts w:hint="cs"/>
          <w:rtl/>
        </w:rPr>
        <w:t>.</w:t>
      </w:r>
    </w:p>
  </w:footnote>
  <w:footnote w:id="34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الحمل</w:t>
      </w:r>
      <w:r>
        <w:rPr>
          <w:rFonts w:hint="eastAsia"/>
          <w:rtl/>
        </w:rPr>
        <w:t>»</w:t>
      </w:r>
      <w:r>
        <w:rPr>
          <w:rFonts w:hint="cs"/>
          <w:rtl/>
        </w:rPr>
        <w:t>.</w:t>
      </w:r>
    </w:p>
  </w:footnote>
  <w:footnote w:id="34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يلحظ أن المؤلف </w:t>
      </w:r>
      <w:r>
        <w:rPr>
          <w:rtl/>
        </w:rPr>
        <w:t>–</w:t>
      </w:r>
      <w:r>
        <w:rPr>
          <w:rFonts w:hint="cs"/>
          <w:rtl/>
        </w:rPr>
        <w:t>هنا- نسب إلى عثمان القول بترجيح الحلّ. وقد تابع في ذلك القاءانيَّ وغيرَهُ من الأصوليين.</w:t>
      </w:r>
    </w:p>
    <w:p w:rsidR="00035BE3" w:rsidRDefault="00035BE3" w:rsidP="00C10469">
      <w:pPr>
        <w:pStyle w:val="a6"/>
        <w:ind w:left="422" w:firstLine="0"/>
        <w:rPr>
          <w:rtl/>
        </w:rPr>
      </w:pPr>
      <w:r>
        <w:rPr>
          <w:rFonts w:hint="cs"/>
          <w:rtl/>
        </w:rPr>
        <w:t xml:space="preserve">والمشهور في كتب الحديث توقّف عثمان وليس ترجيحه للحلّ، وقد صرّح بذلك الحافظ في التلخيص </w:t>
      </w:r>
      <w:r>
        <w:rPr>
          <w:rtl/>
        </w:rPr>
        <w:t>–</w:t>
      </w:r>
      <w:r>
        <w:rPr>
          <w:rFonts w:hint="cs"/>
          <w:rtl/>
        </w:rPr>
        <w:t xml:space="preserve">3/174- حيث قال : </w:t>
      </w:r>
      <w:r>
        <w:rPr>
          <w:rFonts w:hint="eastAsia"/>
          <w:rtl/>
        </w:rPr>
        <w:t>«</w:t>
      </w:r>
      <w:r>
        <w:rPr>
          <w:rFonts w:hint="cs"/>
          <w:rtl/>
        </w:rPr>
        <w:t>والمشهور أن المتوقِّف فيه عثمان</w:t>
      </w:r>
      <w:r>
        <w:rPr>
          <w:rFonts w:hint="eastAsia"/>
          <w:rtl/>
        </w:rPr>
        <w:t>»</w:t>
      </w:r>
      <w:r>
        <w:rPr>
          <w:rFonts w:hint="cs"/>
          <w:rtl/>
        </w:rPr>
        <w:t>.</w:t>
      </w:r>
    </w:p>
    <w:p w:rsidR="00035BE3" w:rsidRDefault="00035BE3" w:rsidP="00C10469">
      <w:pPr>
        <w:pStyle w:val="a6"/>
        <w:ind w:left="422" w:firstLine="0"/>
        <w:rPr>
          <w:rtl/>
        </w:rPr>
      </w:pPr>
      <w:r>
        <w:rPr>
          <w:rFonts w:hint="cs"/>
          <w:rtl/>
        </w:rPr>
        <w:t xml:space="preserve">كما عدّه صاحب المحلّى </w:t>
      </w:r>
      <w:r>
        <w:rPr>
          <w:rtl/>
        </w:rPr>
        <w:t>–</w:t>
      </w:r>
      <w:r>
        <w:rPr>
          <w:rFonts w:hint="cs"/>
          <w:rtl/>
        </w:rPr>
        <w:t>9/522- من الطائفة المتوقفة في ذلك.</w:t>
      </w:r>
    </w:p>
    <w:p w:rsidR="00035BE3" w:rsidRDefault="00035BE3" w:rsidP="00C10469">
      <w:pPr>
        <w:pStyle w:val="a6"/>
        <w:ind w:left="422" w:firstLine="0"/>
        <w:rPr>
          <w:rtl/>
        </w:rPr>
      </w:pPr>
      <w:r>
        <w:rPr>
          <w:rFonts w:hint="cs"/>
          <w:rtl/>
        </w:rPr>
        <w:t>والذي أثر عنه ترجيح الحلّ هو ابن عباس رضي الله عنهما.</w:t>
      </w:r>
    </w:p>
    <w:p w:rsidR="00035BE3" w:rsidRDefault="00035BE3" w:rsidP="00C10469">
      <w:pPr>
        <w:pStyle w:val="a6"/>
        <w:ind w:left="422" w:firstLine="0"/>
        <w:rPr>
          <w:rtl/>
        </w:rPr>
      </w:pPr>
      <w:r>
        <w:rPr>
          <w:rFonts w:hint="cs"/>
          <w:rtl/>
        </w:rPr>
        <w:t xml:space="preserve">وقد نبّه على ذلك صاحب (فواتح الرحموت) </w:t>
      </w:r>
      <w:r>
        <w:rPr>
          <w:rtl/>
        </w:rPr>
        <w:t>–</w:t>
      </w:r>
      <w:r>
        <w:rPr>
          <w:rFonts w:hint="cs"/>
          <w:rtl/>
        </w:rPr>
        <w:t xml:space="preserve">1/263- فقال ما حاصله : </w:t>
      </w:r>
      <w:r>
        <w:rPr>
          <w:rFonts w:hint="eastAsia"/>
          <w:rtl/>
        </w:rPr>
        <w:t>«</w:t>
      </w:r>
      <w:r>
        <w:rPr>
          <w:rFonts w:hint="cs"/>
          <w:rtl/>
        </w:rPr>
        <w:t xml:space="preserve">ونقل في بعض كتب الأصول عن أمير المؤمنين عثمان </w:t>
      </w:r>
      <w:r>
        <w:rPr>
          <w:rFonts w:ascii="AGA Arabesque" w:hAnsi="AGA Arabesque"/>
          <w:sz w:val="36"/>
          <w:szCs w:val="36"/>
        </w:rPr>
        <w:t></w:t>
      </w:r>
      <w:r>
        <w:rPr>
          <w:rFonts w:hint="cs"/>
          <w:rtl/>
        </w:rPr>
        <w:t xml:space="preserve"> أنه رجّح المبيح ... وهذا مخالف لكتب الحديث ... والقول بالإباحة جاء عن ابن عباس، وهو كان يؤوَّل </w:t>
      </w:r>
      <w:r>
        <w:rPr>
          <w:rFonts w:hint="eastAsia"/>
          <w:rtl/>
        </w:rPr>
        <w:t>«</w:t>
      </w:r>
      <w:r>
        <w:rPr>
          <w:rFonts w:cs="DecoType Naskh" w:hint="cs"/>
          <w:rtl/>
        </w:rPr>
        <w:t>وأن تجمعوا بين الأختين</w:t>
      </w:r>
      <w:r>
        <w:rPr>
          <w:rFonts w:hint="eastAsia"/>
          <w:rtl/>
        </w:rPr>
        <w:t>»</w:t>
      </w:r>
      <w:r>
        <w:rPr>
          <w:rFonts w:hint="cs"/>
          <w:rtl/>
        </w:rPr>
        <w:t xml:space="preserve"> في النكاح ...</w:t>
      </w:r>
      <w:r>
        <w:rPr>
          <w:rFonts w:hint="eastAsia"/>
          <w:rtl/>
        </w:rPr>
        <w:t>»</w:t>
      </w:r>
      <w:r>
        <w:rPr>
          <w:rFonts w:hint="cs"/>
          <w:rtl/>
        </w:rPr>
        <w:t>.</w:t>
      </w:r>
    </w:p>
    <w:p w:rsidR="00035BE3" w:rsidRDefault="00035BE3" w:rsidP="00C10469">
      <w:pPr>
        <w:pStyle w:val="a6"/>
        <w:ind w:left="422" w:firstLine="0"/>
        <w:rPr>
          <w:rtl/>
        </w:rPr>
      </w:pPr>
      <w:r>
        <w:rPr>
          <w:rFonts w:hint="cs"/>
          <w:b/>
          <w:bCs/>
          <w:rtl/>
        </w:rPr>
        <w:t>ولبيان ذلك يُقال</w:t>
      </w:r>
      <w:r>
        <w:rPr>
          <w:rFonts w:hint="cs"/>
          <w:rtl/>
        </w:rPr>
        <w:t xml:space="preserve"> :</w:t>
      </w:r>
    </w:p>
    <w:p w:rsidR="00035BE3" w:rsidRDefault="00035BE3" w:rsidP="00C10469">
      <w:pPr>
        <w:pStyle w:val="a6"/>
        <w:ind w:left="422" w:firstLine="0"/>
        <w:rPr>
          <w:spacing w:val="6"/>
          <w:rtl/>
        </w:rPr>
      </w:pPr>
      <w:r>
        <w:rPr>
          <w:rFonts w:hint="cs"/>
          <w:spacing w:val="6"/>
          <w:rtl/>
        </w:rPr>
        <w:t>أ</w:t>
      </w:r>
      <w:r w:rsidRPr="00331433">
        <w:rPr>
          <w:rFonts w:hint="cs"/>
          <w:rtl/>
        </w:rPr>
        <w:t>خرج الإمام مالك، كتاب النكاح، باب ما جاء في كراهية إصابة الأختين بملك اليمين والمرأة وابنتها، 2/538، ح1122، عن ابن شهاب عن قبيصة ابن ذؤيب أن رجلاً سأل عثمان بن عفان عن الأختين من ملك اليمين هل يجمع بينهما؟ فقال عثمان: أحلتهما آية وحرّمتهما آية</w:t>
      </w:r>
      <w:r>
        <w:rPr>
          <w:rFonts w:hint="cs"/>
          <w:spacing w:val="6"/>
          <w:rtl/>
        </w:rPr>
        <w:t xml:space="preserve">، فأما أنا فلا أحب أن أصنع ذلك. قال : فخرج مِن عنده، فلقي رجلاً من أصحاب رسول الله </w:t>
      </w:r>
      <w:r>
        <w:rPr>
          <w:rFonts w:ascii="AGA Arabesque" w:hAnsi="AGA Arabesque"/>
          <w:spacing w:val="6"/>
          <w:sz w:val="36"/>
          <w:szCs w:val="36"/>
          <w:lang w:val="en-US"/>
        </w:rPr>
        <w:t></w:t>
      </w:r>
      <w:r>
        <w:rPr>
          <w:rFonts w:hint="cs"/>
          <w:spacing w:val="6"/>
          <w:rtl/>
        </w:rPr>
        <w:t xml:space="preserve"> فسأله عن ذلك، فقال : لو كان لي من الأمر شيء ثم وجدت أحدًا فعل ذلك لجعلته نكالاً. قال ابن شهاب : أراه علي ابن أبي طالب</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 xml:space="preserve">كما أخرجه بنحو هذا اللفظ الإمام الشافعي في مسنده، من كتاب عشرة النساء، 1/288؛ وفي الأم، كتاب النكاح، 5/3؛ وعبد الرزاق </w:t>
      </w:r>
      <w:r>
        <w:rPr>
          <w:rtl/>
        </w:rPr>
        <w:t>–</w:t>
      </w:r>
      <w:r>
        <w:rPr>
          <w:rFonts w:hint="cs"/>
          <w:rtl/>
        </w:rPr>
        <w:t xml:space="preserve"> بلفظ عثمان فقط- في مصنفه، باب جمع بين ذوات الأرحام في ملك اليمين، 7/191، 12732؛ وابن أبي شيبة، في الرجل يكون عنده الأختان مملوكتان فيطأهما </w:t>
      </w:r>
      <w:r w:rsidRPr="004C5180">
        <w:rPr>
          <w:rFonts w:hint="cs"/>
          <w:spacing w:val="-2"/>
          <w:rtl/>
        </w:rPr>
        <w:t xml:space="preserve">جميعًا، 3/483، ح16257، وح16264 </w:t>
      </w:r>
      <w:r w:rsidRPr="004C5180">
        <w:rPr>
          <w:spacing w:val="-2"/>
          <w:rtl/>
        </w:rPr>
        <w:t>–</w:t>
      </w:r>
      <w:r w:rsidRPr="004C5180">
        <w:rPr>
          <w:rFonts w:hint="cs"/>
          <w:spacing w:val="-2"/>
          <w:rtl/>
        </w:rPr>
        <w:t xml:space="preserve"> وفي الحديث الثاني ذكر لفظ علي أيضًا بخلاف الأول-</w:t>
      </w:r>
      <w:r>
        <w:rPr>
          <w:rFonts w:hint="cs"/>
          <w:rtl/>
        </w:rPr>
        <w:t>؛ والدارقطني، كتاب النكاح، 3/281؛ والبيهقي، كتاب النكاح، باب ما جاء في تحريم الجمع بين الأختين وبين المرأة وابنتها في الوطء بملك اليمين، 7/163.</w:t>
      </w:r>
    </w:p>
    <w:p w:rsidR="00035BE3" w:rsidRDefault="00035BE3" w:rsidP="00C10469">
      <w:pPr>
        <w:pStyle w:val="a6"/>
        <w:ind w:left="422" w:firstLine="0"/>
        <w:rPr>
          <w:spacing w:val="10"/>
          <w:rtl/>
        </w:rPr>
      </w:pPr>
      <w:r>
        <w:rPr>
          <w:rFonts w:hint="cs"/>
          <w:spacing w:val="10"/>
          <w:rtl/>
        </w:rPr>
        <w:t xml:space="preserve">وممّا جاء عن ابن عباس في ترجيحه للحل : ما أخرجه سعيد بن منصور في السنن، كتاب الطلاق، باب الرجل له أمتان يطأهما، 1/445، ح1735، قال : نا سفيان عن عمرو بن دينار عن عكرمة عن ابن عباس قال : ذكروا عند ابن عباس قول علي </w:t>
      </w:r>
      <w:r>
        <w:rPr>
          <w:rFonts w:ascii="AGA Arabesque" w:hAnsi="AGA Arabesque"/>
          <w:spacing w:val="10"/>
          <w:sz w:val="36"/>
          <w:szCs w:val="36"/>
        </w:rPr>
        <w:t></w:t>
      </w:r>
      <w:r>
        <w:rPr>
          <w:rFonts w:hint="cs"/>
          <w:spacing w:val="10"/>
          <w:rtl/>
        </w:rPr>
        <w:t xml:space="preserve"> : </w:t>
      </w:r>
      <w:r>
        <w:rPr>
          <w:rFonts w:hint="eastAsia"/>
          <w:spacing w:val="10"/>
          <w:rtl/>
        </w:rPr>
        <w:t>«</w:t>
      </w:r>
      <w:r>
        <w:rPr>
          <w:rFonts w:hint="cs"/>
          <w:spacing w:val="10"/>
          <w:rtl/>
        </w:rPr>
        <w:t>أحلتهما آية وحرّمتهما آية</w:t>
      </w:r>
      <w:r>
        <w:rPr>
          <w:rFonts w:hint="eastAsia"/>
          <w:spacing w:val="10"/>
          <w:rtl/>
        </w:rPr>
        <w:t>»</w:t>
      </w:r>
      <w:r>
        <w:rPr>
          <w:rFonts w:hint="cs"/>
          <w:spacing w:val="10"/>
          <w:rtl/>
        </w:rPr>
        <w:t>، فقال ابن عباس : أحلتهما آية وحرمتهما أخرى، إنما يحرم على قرابتي منهن، ولا تحرم على قرابة بعضهن من بعض</w:t>
      </w:r>
      <w:r>
        <w:rPr>
          <w:rFonts w:hint="eastAsia"/>
          <w:spacing w:val="10"/>
          <w:rtl/>
        </w:rPr>
        <w:t>»</w:t>
      </w:r>
      <w:r>
        <w:rPr>
          <w:rFonts w:hint="cs"/>
          <w:spacing w:val="10"/>
          <w:rtl/>
        </w:rPr>
        <w:t>.</w:t>
      </w:r>
    </w:p>
    <w:p w:rsidR="00035BE3" w:rsidRDefault="00035BE3" w:rsidP="00C10469">
      <w:pPr>
        <w:pStyle w:val="a6"/>
        <w:ind w:left="422" w:firstLine="0"/>
        <w:rPr>
          <w:rtl/>
        </w:rPr>
      </w:pPr>
      <w:r>
        <w:rPr>
          <w:rFonts w:hint="cs"/>
          <w:rtl/>
        </w:rPr>
        <w:t>وانظر من كتب الأصوليين التي نُسب فيها إلى عُثمان ترجيح الحل : روضة الناظر، 2/675؛ كشف الأسرار للبخاري، 1/611؛ شرح المغني للقاءاني، ق1، جـ2، ص479.</w:t>
      </w:r>
    </w:p>
    <w:p w:rsidR="00035BE3" w:rsidRDefault="00035BE3" w:rsidP="00C10469">
      <w:pPr>
        <w:pStyle w:val="a6"/>
        <w:ind w:left="422" w:firstLine="0"/>
        <w:rPr>
          <w:rtl/>
        </w:rPr>
      </w:pPr>
      <w:r>
        <w:rPr>
          <w:rFonts w:hint="cs"/>
          <w:rtl/>
        </w:rPr>
        <w:t>وانظر من كتب التفسير التي تحدثت عن أقوال العلماء في المسألة : تفسير ابن كثير، 2/254.</w:t>
      </w:r>
    </w:p>
  </w:footnote>
  <w:footnote w:id="34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65/ب من (أ).</w:t>
      </w:r>
    </w:p>
  </w:footnote>
  <w:footnote w:id="34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أن استدلال علي وعثمان بعموم الآيتين مع كونهما مخصوصتين </w:t>
      </w:r>
      <w:r>
        <w:rPr>
          <w:rFonts w:hint="cs"/>
          <w:b/>
          <w:bCs/>
          <w:rtl/>
        </w:rPr>
        <w:t>دليل</w:t>
      </w:r>
      <w:r>
        <w:rPr>
          <w:rFonts w:hint="cs"/>
          <w:rtl/>
        </w:rPr>
        <w:t xml:space="preserve"> على كونهما حجة بعد التخصيص.</w:t>
      </w:r>
    </w:p>
  </w:footnote>
  <w:footnote w:id="34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كونها</w:t>
      </w:r>
      <w:r>
        <w:rPr>
          <w:rFonts w:hint="eastAsia"/>
          <w:rtl/>
        </w:rPr>
        <w:t>»</w:t>
      </w:r>
      <w:r>
        <w:rPr>
          <w:rFonts w:hint="cs"/>
          <w:rtl/>
        </w:rPr>
        <w:t>.</w:t>
      </w:r>
    </w:p>
  </w:footnote>
  <w:footnote w:id="34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الآية</w:t>
      </w:r>
      <w:r>
        <w:rPr>
          <w:rFonts w:hint="eastAsia"/>
          <w:rtl/>
        </w:rPr>
        <w:t>»</w:t>
      </w:r>
      <w:r>
        <w:rPr>
          <w:rFonts w:hint="cs"/>
          <w:rtl/>
        </w:rPr>
        <w:t xml:space="preserve">. والصحيح ما تمَّ إثباته من (ب) و(جـ)، وهو الموافق لشرح المغني، حيث جاء فيه : </w:t>
      </w:r>
      <w:r>
        <w:rPr>
          <w:rFonts w:hint="eastAsia"/>
          <w:rtl/>
        </w:rPr>
        <w:t>«</w:t>
      </w:r>
      <w:r>
        <w:rPr>
          <w:rFonts w:hint="cs"/>
          <w:rtl/>
        </w:rPr>
        <w:t>... مع خصوصهما، فإنه قد خصّ من الأولى الأمة المجوسية ...</w:t>
      </w:r>
      <w:r>
        <w:rPr>
          <w:rFonts w:hint="eastAsia"/>
          <w:rtl/>
        </w:rPr>
        <w:t>»</w:t>
      </w:r>
      <w:r>
        <w:rPr>
          <w:rFonts w:hint="cs"/>
          <w:rtl/>
        </w:rPr>
        <w:t>.</w:t>
      </w:r>
    </w:p>
  </w:footnote>
  <w:footnote w:id="34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والأخـت</w:t>
      </w:r>
      <w:r>
        <w:rPr>
          <w:rFonts w:hint="eastAsia"/>
          <w:rtl/>
        </w:rPr>
        <w:t>»</w:t>
      </w:r>
      <w:r>
        <w:rPr>
          <w:rFonts w:hint="cs"/>
          <w:rtl/>
        </w:rPr>
        <w:t>. والـصحيـح ما تـمَّ إثـباتـه من (ب)، وهـو الموافق لشرح المغني.</w:t>
      </w:r>
    </w:p>
  </w:footnote>
  <w:footnote w:id="34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ومن الثانية</w:t>
      </w:r>
      <w:r>
        <w:rPr>
          <w:rFonts w:hint="eastAsia"/>
          <w:rtl/>
        </w:rPr>
        <w:t>»</w:t>
      </w:r>
      <w:r>
        <w:rPr>
          <w:rFonts w:hint="cs"/>
          <w:rtl/>
        </w:rPr>
        <w:t>.</w:t>
      </w:r>
    </w:p>
    <w:p w:rsidR="00035BE3" w:rsidRDefault="00035BE3" w:rsidP="00C10469">
      <w:pPr>
        <w:pStyle w:val="a6"/>
        <w:ind w:left="422" w:firstLine="0"/>
        <w:rPr>
          <w:rtl/>
        </w:rPr>
      </w:pPr>
      <w:r>
        <w:rPr>
          <w:rFonts w:hint="cs"/>
          <w:rtl/>
        </w:rPr>
        <w:t xml:space="preserve">ومراد المؤلف من </w:t>
      </w:r>
      <w:r>
        <w:rPr>
          <w:rFonts w:hint="eastAsia"/>
          <w:rtl/>
        </w:rPr>
        <w:t>«</w:t>
      </w:r>
      <w:r>
        <w:rPr>
          <w:rFonts w:hint="cs"/>
          <w:rtl/>
        </w:rPr>
        <w:t>الثاني</w:t>
      </w:r>
      <w:r>
        <w:rPr>
          <w:rFonts w:hint="eastAsia"/>
          <w:rtl/>
        </w:rPr>
        <w:t>»</w:t>
      </w:r>
      <w:r>
        <w:rPr>
          <w:rFonts w:hint="cs"/>
          <w:rtl/>
        </w:rPr>
        <w:t xml:space="preserve"> النص الثاني، وهو : </w:t>
      </w:r>
      <w:r>
        <w:rPr>
          <w:rFonts w:hint="eastAsia"/>
          <w:rtl/>
        </w:rPr>
        <w:t>«</w:t>
      </w:r>
      <w:r>
        <w:rPr>
          <w:rFonts w:ascii="AGA Arabesque" w:hAnsi="AGA Arabesque" w:cs="DecoType Naskh" w:hint="cs"/>
          <w:rtl/>
        </w:rPr>
        <w:t>وأن تجمعوا بين الأختين</w:t>
      </w:r>
      <w:r>
        <w:rPr>
          <w:rFonts w:hint="eastAsia"/>
          <w:rtl/>
        </w:rPr>
        <w:t>»</w:t>
      </w:r>
      <w:r>
        <w:rPr>
          <w:rFonts w:hint="cs"/>
          <w:rtl/>
        </w:rPr>
        <w:t>.</w:t>
      </w:r>
    </w:p>
  </w:footnote>
  <w:footnote w:id="34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بحل</w:t>
      </w:r>
      <w:r>
        <w:rPr>
          <w:rFonts w:hint="eastAsia"/>
          <w:rtl/>
        </w:rPr>
        <w:t>»</w:t>
      </w:r>
      <w:r>
        <w:rPr>
          <w:rFonts w:hint="cs"/>
          <w:rtl/>
        </w:rPr>
        <w:t>.</w:t>
      </w:r>
    </w:p>
  </w:footnote>
  <w:footnote w:id="34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ص479-480، مع الاختلاف الذي سبق بيانه، ويضاف إليه أن شارح المغني قال في نهاية العبارة : </w:t>
      </w:r>
      <w:r>
        <w:rPr>
          <w:rFonts w:hint="eastAsia"/>
          <w:rtl/>
        </w:rPr>
        <w:t>«</w:t>
      </w:r>
      <w:r>
        <w:rPr>
          <w:rFonts w:hint="cs"/>
          <w:rtl/>
        </w:rPr>
        <w:t xml:space="preserve">... الجمع بينهما بمحضر من الصحابة </w:t>
      </w:r>
      <w:r>
        <w:rPr>
          <w:rFonts w:ascii="AGA Arabesque" w:hAnsi="AGA Arabesque"/>
          <w:sz w:val="36"/>
          <w:szCs w:val="36"/>
        </w:rPr>
        <w:t></w:t>
      </w:r>
      <w:r>
        <w:rPr>
          <w:rFonts w:hint="cs"/>
          <w:rtl/>
        </w:rPr>
        <w:t>، ولم ينكر عليهما أحد، فحلّ محلّ الإجماع</w:t>
      </w:r>
      <w:r>
        <w:rPr>
          <w:rFonts w:hint="eastAsia"/>
          <w:rtl/>
        </w:rPr>
        <w:t>»</w:t>
      </w:r>
      <w:r>
        <w:rPr>
          <w:rFonts w:hint="cs"/>
          <w:rtl/>
        </w:rPr>
        <w:t>.</w:t>
      </w:r>
    </w:p>
    <w:p w:rsidR="00035BE3" w:rsidRDefault="00035BE3" w:rsidP="00C10469">
      <w:pPr>
        <w:pStyle w:val="a6"/>
        <w:ind w:left="422" w:firstLine="0"/>
        <w:rPr>
          <w:rtl/>
        </w:rPr>
      </w:pPr>
      <w:r>
        <w:rPr>
          <w:rFonts w:hint="cs"/>
          <w:rtl/>
        </w:rPr>
        <w:t>وانظر : المغني، ص111-112.</w:t>
      </w:r>
    </w:p>
  </w:footnote>
  <w:footnote w:id="342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Default="00035BE3" w:rsidP="00C10469">
      <w:pPr>
        <w:pStyle w:val="a6"/>
        <w:ind w:left="422" w:firstLine="0"/>
        <w:rPr>
          <w:rtl/>
        </w:rPr>
      </w:pPr>
      <w:r>
        <w:rPr>
          <w:rFonts w:hint="cs"/>
          <w:rtl/>
        </w:rPr>
        <w:t xml:space="preserve">ورد التصريح في هذه القاعدة بأنَّ الذي تنـزل العادة المطردة منزلته هو الشرط، ولكن في الواقع التطبيقي للقاعدة يلحظ أن الفقهاء الذين يعلّلون بالقاعدة يعللون بها في غير الشروط أيضًا؛ كإجازتهم بيع المعاطاة؛ لأن تعامل الناس به ينـزل منـزلة التصريح بالإيجاب والقبول، وغير ذلك؛ لهذا فلعلَّ التعبير بالشرط إنما خرج مخرج الغالب، وإلا فالمراد به النص الصريح سواء أكان شرطاً، أم إيجاباً وقبولاً، أم التزامًا، أم غير ذلك. </w:t>
      </w:r>
    </w:p>
    <w:p w:rsidR="00035BE3" w:rsidRDefault="00035BE3" w:rsidP="00C10469">
      <w:pPr>
        <w:pStyle w:val="a6"/>
        <w:ind w:left="422" w:firstLine="0"/>
        <w:rPr>
          <w:rtl/>
        </w:rPr>
      </w:pPr>
      <w:r>
        <w:rPr>
          <w:rFonts w:hint="cs"/>
          <w:rtl/>
        </w:rPr>
        <w:t xml:space="preserve">وهذا المعنى أشار إليه أ.د. أحمد أبوسنة  - في كتابه (العادة والعرف)، ص221 - ثم انطلق منه في بيان معنى القاعدة فقال : </w:t>
      </w:r>
      <w:r>
        <w:rPr>
          <w:rFonts w:hint="eastAsia"/>
          <w:rtl/>
        </w:rPr>
        <w:t>«</w:t>
      </w:r>
      <w:r>
        <w:rPr>
          <w:rFonts w:hint="cs"/>
          <w:rtl/>
        </w:rPr>
        <w:t xml:space="preserve">... </w:t>
      </w:r>
      <w:r>
        <w:rPr>
          <w:rFonts w:hint="cs"/>
          <w:b/>
          <w:bCs/>
          <w:rtl/>
        </w:rPr>
        <w:t>فمعناها إذا</w:t>
      </w:r>
      <w:r>
        <w:rPr>
          <w:rFonts w:hint="cs"/>
          <w:rtl/>
        </w:rPr>
        <w:t xml:space="preserve"> : أن الشيء المعتاد في المعاملات يلزم في العقد، كما لو نصّ عليه فيه نصًّا صريحًا</w:t>
      </w:r>
      <w:r>
        <w:rPr>
          <w:rFonts w:hint="eastAsia"/>
          <w:rtl/>
        </w:rPr>
        <w:t>»</w:t>
      </w:r>
      <w:r>
        <w:rPr>
          <w:rFonts w:hint="cs"/>
          <w:rtl/>
        </w:rPr>
        <w:t>.</w:t>
      </w:r>
    </w:p>
    <w:p w:rsidR="00035BE3" w:rsidRDefault="00035BE3" w:rsidP="00C10469">
      <w:pPr>
        <w:pStyle w:val="a6"/>
        <w:ind w:left="422" w:firstLine="0"/>
        <w:rPr>
          <w:rtl/>
        </w:rPr>
      </w:pPr>
      <w:r>
        <w:rPr>
          <w:rFonts w:hint="cs"/>
          <w:rtl/>
        </w:rPr>
        <w:t xml:space="preserve">هذا ما يتعلق بمعنى القاعدة. </w:t>
      </w:r>
    </w:p>
    <w:p w:rsidR="00035BE3" w:rsidRDefault="00035BE3" w:rsidP="00C10469">
      <w:pPr>
        <w:pStyle w:val="a6"/>
        <w:ind w:left="422" w:firstLine="0"/>
        <w:rPr>
          <w:rtl/>
        </w:rPr>
      </w:pPr>
      <w:r>
        <w:rPr>
          <w:rFonts w:hint="cs"/>
          <w:b/>
          <w:bCs/>
          <w:rtl/>
        </w:rPr>
        <w:t>أما توثيق لفظها</w:t>
      </w:r>
      <w:r>
        <w:rPr>
          <w:rFonts w:hint="cs"/>
          <w:rtl/>
        </w:rPr>
        <w:t>:</w:t>
      </w:r>
    </w:p>
    <w:p w:rsidR="00035BE3" w:rsidRDefault="00035BE3" w:rsidP="00C10469">
      <w:pPr>
        <w:pStyle w:val="a6"/>
        <w:ind w:left="422" w:firstLine="0"/>
        <w:rPr>
          <w:rtl/>
        </w:rPr>
      </w:pPr>
      <w:r>
        <w:rPr>
          <w:rFonts w:hint="cs"/>
          <w:rtl/>
        </w:rPr>
        <w:t xml:space="preserve"> فيلحظ أنها جاءت في بعض الكتب بلفظ الاستفهام، ولاسيما كتب الشافعية، ورجحوا فيها عدم تنزيل العادة منزلة الشرط، إلا أن العموم الأغلب ذكروها بصيغة الجزم، ممّا يعني أنهم يوافقون المؤلف في تنزيل المتعارف عليه منزلة المنصوص عليه. وسيتـضح هـذا -إن شاء الله- عند بيان أهم ألفاظها في كتب القواعد: </w:t>
      </w:r>
    </w:p>
    <w:p w:rsidR="00035BE3" w:rsidRDefault="00035BE3" w:rsidP="00C10469">
      <w:pPr>
        <w:pStyle w:val="a6"/>
        <w:ind w:left="422" w:firstLine="0"/>
        <w:rPr>
          <w:rtl/>
        </w:rPr>
      </w:pPr>
      <w:r>
        <w:rPr>
          <w:rFonts w:hint="cs"/>
          <w:b/>
          <w:bCs/>
          <w:rtl/>
        </w:rPr>
        <w:t>فمن كتب القواعد</w:t>
      </w:r>
      <w:r>
        <w:rPr>
          <w:rFonts w:hint="cs"/>
          <w:rtl/>
        </w:rPr>
        <w:t xml:space="preserve"> التي وردت فيها القاعدة :</w:t>
      </w:r>
    </w:p>
    <w:p w:rsidR="00035BE3" w:rsidRDefault="00035BE3" w:rsidP="00C10469">
      <w:pPr>
        <w:pStyle w:val="a6"/>
        <w:ind w:left="422" w:firstLine="0"/>
        <w:rPr>
          <w:spacing w:val="6"/>
          <w:rtl/>
        </w:rPr>
      </w:pPr>
      <w:r>
        <w:rPr>
          <w:rFonts w:hint="cs"/>
          <w:spacing w:val="6"/>
          <w:rtl/>
        </w:rPr>
        <w:t xml:space="preserve">المنثور، 2/362 - ولفظه : </w:t>
      </w:r>
      <w:r>
        <w:rPr>
          <w:rFonts w:hint="eastAsia"/>
          <w:spacing w:val="6"/>
          <w:rtl/>
        </w:rPr>
        <w:t>«</w:t>
      </w:r>
      <w:r>
        <w:rPr>
          <w:rFonts w:hint="cs"/>
          <w:spacing w:val="6"/>
          <w:rtl/>
        </w:rPr>
        <w:t xml:space="preserve"> العادة المطردة في (ناحيةٍ) : نزّلها القفّال منزلة الشرط …</w:t>
      </w:r>
      <w:r>
        <w:rPr>
          <w:rFonts w:hint="eastAsia"/>
          <w:spacing w:val="6"/>
          <w:rtl/>
        </w:rPr>
        <w:t>»</w:t>
      </w:r>
      <w:r>
        <w:rPr>
          <w:rFonts w:hint="cs"/>
          <w:spacing w:val="6"/>
          <w:rtl/>
        </w:rPr>
        <w:t xml:space="preserve">-؛ الأشباه والنظائر للسيوطي، 1/230 - ولفظه : </w:t>
      </w:r>
      <w:r>
        <w:rPr>
          <w:rFonts w:hint="eastAsia"/>
          <w:spacing w:val="6"/>
          <w:rtl/>
        </w:rPr>
        <w:t>«</w:t>
      </w:r>
      <w:r>
        <w:rPr>
          <w:rFonts w:hint="cs"/>
          <w:spacing w:val="6"/>
          <w:rtl/>
        </w:rPr>
        <w:t>العادة المطَّردة في (ناحية)، هل تنزَّل عادتهم منزلة الشرط؟</w:t>
      </w:r>
      <w:r>
        <w:rPr>
          <w:rFonts w:hint="eastAsia"/>
          <w:spacing w:val="6"/>
          <w:rtl/>
        </w:rPr>
        <w:t>»</w:t>
      </w:r>
      <w:r>
        <w:rPr>
          <w:rFonts w:hint="cs"/>
          <w:spacing w:val="6"/>
          <w:rtl/>
        </w:rPr>
        <w:t xml:space="preserve">-؛ ولابن نجيم، ص122 - ولفظه : </w:t>
      </w:r>
      <w:r>
        <w:rPr>
          <w:rFonts w:hint="eastAsia"/>
          <w:spacing w:val="6"/>
          <w:rtl/>
        </w:rPr>
        <w:t>«</w:t>
      </w:r>
      <w:r>
        <w:rPr>
          <w:rFonts w:hint="cs"/>
          <w:spacing w:val="6"/>
          <w:rtl/>
        </w:rPr>
        <w:t>العادة المطَّردة، هل تنزل منزلة الشرط؟ قال في إجارة (الظهيرية) : والمعروف عرفًا كالمشروط شرعًا</w:t>
      </w:r>
      <w:r>
        <w:rPr>
          <w:rFonts w:hint="eastAsia"/>
          <w:spacing w:val="6"/>
          <w:rtl/>
        </w:rPr>
        <w:t>»</w:t>
      </w:r>
      <w:r>
        <w:rPr>
          <w:rFonts w:hint="cs"/>
          <w:spacing w:val="6"/>
          <w:rtl/>
        </w:rPr>
        <w:t>، وجل ما جاء في شرح المؤلف للقاعدة مذكور في أشباه ابن نجيم-؛ الفرائد البهية وشـرحاها : الأقمار المضيئة، ص134؛ والمواهب السنية وحاشيتـها الفوائـد الجـنية، 1/307؛ ولفظ الفرائد :</w:t>
      </w:r>
    </w:p>
    <w:p w:rsidR="00035BE3" w:rsidRDefault="00035BE3" w:rsidP="00C10469">
      <w:pPr>
        <w:pStyle w:val="a6"/>
        <w:spacing w:line="620" w:lineRule="exact"/>
        <w:ind w:left="422" w:hanging="454"/>
        <w:jc w:val="center"/>
        <w:rPr>
          <w:b/>
          <w:bCs/>
          <w:rtl/>
        </w:rPr>
      </w:pPr>
      <w:r>
        <w:rPr>
          <w:rFonts w:hint="cs"/>
          <w:b/>
          <w:bCs/>
          <w:rtl/>
        </w:rPr>
        <w:t xml:space="preserve"> مبـحـث الـعـادة هـل تـنــزل      مـنـزلـة الـشـرط خـلافٌ يُـنـقـل</w:t>
      </w:r>
    </w:p>
    <w:p w:rsidR="00035BE3" w:rsidRDefault="00035BE3" w:rsidP="00C10469">
      <w:pPr>
        <w:pStyle w:val="a6"/>
        <w:spacing w:line="620" w:lineRule="exact"/>
        <w:ind w:left="422" w:hanging="454"/>
        <w:jc w:val="center"/>
        <w:rPr>
          <w:b/>
          <w:bCs/>
          <w:rtl/>
        </w:rPr>
      </w:pPr>
      <w:r>
        <w:rPr>
          <w:rFonts w:hint="cs"/>
          <w:b/>
          <w:bCs/>
          <w:rtl/>
        </w:rPr>
        <w:t>وغـالـب التـرجيـح في الفـروع لا     يـكون كالـشـرط كـمـا تـأصـلا-؛</w:t>
      </w:r>
    </w:p>
    <w:p w:rsidR="00035BE3" w:rsidRDefault="00035BE3" w:rsidP="00C10469">
      <w:pPr>
        <w:pStyle w:val="a6"/>
        <w:spacing w:line="216" w:lineRule="auto"/>
        <w:ind w:left="420" w:firstLine="0"/>
        <w:rPr>
          <w:rtl/>
        </w:rPr>
      </w:pPr>
      <w:r>
        <w:rPr>
          <w:rFonts w:hint="cs"/>
          <w:rtl/>
        </w:rPr>
        <w:t xml:space="preserve">مجامع الحقائق (الخاتمة)؛ ص46؛ شرح العلائي لقواعد الخادمي، ل27/أ؛ منافع الدقائق، ص324؛ مجلة الأحكام العدلية، مادة 43 و44 و45- وألفاظها : </w:t>
      </w:r>
      <w:r>
        <w:rPr>
          <w:rFonts w:hint="eastAsia"/>
          <w:rtl/>
        </w:rPr>
        <w:t>«</w:t>
      </w:r>
      <w:r>
        <w:rPr>
          <w:rFonts w:hint="cs"/>
          <w:rtl/>
        </w:rPr>
        <w:t>المعروف عرفًا كالمشروط شرطًا</w:t>
      </w:r>
      <w:r>
        <w:rPr>
          <w:rFonts w:hint="eastAsia"/>
          <w:rtl/>
        </w:rPr>
        <w:t>»</w:t>
      </w:r>
      <w:r>
        <w:rPr>
          <w:rFonts w:hint="cs"/>
          <w:rtl/>
        </w:rPr>
        <w:t xml:space="preserve"> و </w:t>
      </w:r>
      <w:r>
        <w:rPr>
          <w:rFonts w:hint="eastAsia"/>
          <w:rtl/>
        </w:rPr>
        <w:t>«</w:t>
      </w:r>
      <w:r>
        <w:rPr>
          <w:rFonts w:hint="cs"/>
          <w:rtl/>
        </w:rPr>
        <w:t>المعروف بين التجار كالمشروط بينهم</w:t>
      </w:r>
      <w:r>
        <w:rPr>
          <w:rFonts w:hint="eastAsia"/>
          <w:rtl/>
        </w:rPr>
        <w:t>»</w:t>
      </w:r>
      <w:r>
        <w:rPr>
          <w:rFonts w:hint="cs"/>
          <w:rtl/>
        </w:rPr>
        <w:t xml:space="preserve"> و</w:t>
      </w:r>
      <w:r>
        <w:rPr>
          <w:rFonts w:hint="eastAsia"/>
          <w:rtl/>
        </w:rPr>
        <w:t>«</w:t>
      </w:r>
      <w:r>
        <w:rPr>
          <w:rFonts w:hint="cs"/>
          <w:rtl/>
        </w:rPr>
        <w:t>التعيين بالعرف كالتعيين بالنص</w:t>
      </w:r>
      <w:r>
        <w:rPr>
          <w:rFonts w:hint="eastAsia"/>
          <w:rtl/>
        </w:rPr>
        <w:t>»</w:t>
      </w:r>
      <w:r>
        <w:rPr>
          <w:rFonts w:hint="cs"/>
          <w:rtl/>
        </w:rPr>
        <w:t xml:space="preserve">-؛ شرحها لسليم رستم، 1/37-38؛ ولعلي حيدر، 1/46؛ وللأتاسي، 1/95، 100-103؛ وشرح قواعدها للزرقا، ص237-241؛ قواعد الفقه للمجدِّدي، ص71، قاعدة 88، وص125، قاعدة 334 و335؛ المـدخـل الـفـقهي العام، 2/1001، فقرة 611 و612 و613؛ القواعد الفقهية للدكتور علي الندوي، ص60، 65 - ولفظه في الموضع الأول : </w:t>
      </w:r>
      <w:r>
        <w:rPr>
          <w:rFonts w:hint="eastAsia"/>
          <w:rtl/>
        </w:rPr>
        <w:t>«</w:t>
      </w:r>
      <w:r>
        <w:rPr>
          <w:rFonts w:hint="cs"/>
          <w:rtl/>
        </w:rPr>
        <w:t>كل ما جرى عرف البلدة على أنه من مشتملات المبيع : يدخل في البيع من غير ذكر</w:t>
      </w:r>
      <w:r>
        <w:rPr>
          <w:rFonts w:hint="eastAsia"/>
          <w:rtl/>
        </w:rPr>
        <w:t>»</w:t>
      </w:r>
      <w:r>
        <w:rPr>
          <w:rFonts w:hint="cs"/>
          <w:rtl/>
        </w:rPr>
        <w:t xml:space="preserve">، وفي الموضع الثاني ذكر ألفاظ المجلة الثلاثة-؛ القواعد والضوابط المستخلصة له أيضًا، ص148، 177، 495 - ولفظه الأول : </w:t>
      </w:r>
      <w:r>
        <w:rPr>
          <w:rFonts w:hint="eastAsia"/>
          <w:rtl/>
        </w:rPr>
        <w:t>«</w:t>
      </w:r>
      <w:r>
        <w:rPr>
          <w:rFonts w:hint="cs"/>
          <w:rtl/>
        </w:rPr>
        <w:t>الثابت عرفًا كالثابت شرطًا</w:t>
      </w:r>
      <w:r>
        <w:rPr>
          <w:rFonts w:hint="eastAsia"/>
          <w:rtl/>
        </w:rPr>
        <w:t>»</w:t>
      </w:r>
      <w:r>
        <w:rPr>
          <w:rFonts w:hint="cs"/>
          <w:rtl/>
        </w:rPr>
        <w:t xml:space="preserve">-؛ الوجيز، ص26، 249 - وقد ذكر ألفاظ المجلة الثلاثة-؛ موسوعة القواعد الفقهية، 4/417 - وقد ذكر اللفظ الثاني عند ابن نجيم والثاني في المجلة-؛ قواعد الفقه للدكتور محمد الروكي، ص216، 221 - ولفظه الأول : </w:t>
      </w:r>
      <w:r>
        <w:rPr>
          <w:rFonts w:hint="eastAsia"/>
          <w:rtl/>
        </w:rPr>
        <w:t>«</w:t>
      </w:r>
      <w:r>
        <w:rPr>
          <w:rFonts w:hint="cs"/>
          <w:rtl/>
        </w:rPr>
        <w:t>العرف كالشرط</w:t>
      </w:r>
      <w:r>
        <w:rPr>
          <w:rFonts w:hint="eastAsia"/>
          <w:rtl/>
        </w:rPr>
        <w:t>»</w:t>
      </w:r>
      <w:r>
        <w:rPr>
          <w:rFonts w:hint="cs"/>
          <w:rtl/>
        </w:rPr>
        <w:t xml:space="preserve"> والثاني : </w:t>
      </w:r>
      <w:r>
        <w:rPr>
          <w:rFonts w:hint="eastAsia"/>
          <w:rtl/>
        </w:rPr>
        <w:t>«</w:t>
      </w:r>
      <w:r>
        <w:rPr>
          <w:rFonts w:hint="cs"/>
          <w:rtl/>
        </w:rPr>
        <w:t>العادة عند مالك كالشرط، تقيّد المطلق وتخصِّص العام</w:t>
      </w:r>
      <w:r>
        <w:rPr>
          <w:rFonts w:hint="eastAsia"/>
          <w:rtl/>
        </w:rPr>
        <w:t>»</w:t>
      </w:r>
      <w:r>
        <w:rPr>
          <w:rFonts w:hint="cs"/>
          <w:rtl/>
        </w:rPr>
        <w:t xml:space="preserve">-؛ القواعد الفقهية  الكبرى لشيخنا أ.د. صالح السدلان، ص450-461 - وقد ذكر ألفاظ المجلة الثلاثة-؛ القواعد الكبرى للدكتور عبد الله العجلان، ص100-101 - وقد ذكر لفظين من ألفاظ المجلة ولفظين نحوهما-؛ المدخل إلى القواعد الكلية للدكتور إبراهيم الحريري، ص113-114؛ المبادئ الفقهية، ص31-33؛ القواعد الفقهية للدعّاس، ص54-56؛ وللدكتور محمد الزحيلي، ص73- وقد ورد في الكتب الأربعة الأخيرة ألفاظ المجلة الثلاثة-؛ القواعد الفقهية في بابي العبادات والمعاملات لشيخنا د. عبد الله العيسى، ص610-614 - وألفاظه : </w:t>
      </w:r>
      <w:r>
        <w:rPr>
          <w:rFonts w:hint="eastAsia"/>
          <w:rtl/>
        </w:rPr>
        <w:t>«</w:t>
      </w:r>
      <w:r>
        <w:rPr>
          <w:rFonts w:hint="cs"/>
          <w:rtl/>
        </w:rPr>
        <w:t>المتعارف كالمشروط</w:t>
      </w:r>
      <w:r>
        <w:rPr>
          <w:rFonts w:hint="eastAsia"/>
          <w:rtl/>
        </w:rPr>
        <w:t>»</w:t>
      </w:r>
      <w:r>
        <w:rPr>
          <w:rFonts w:hint="cs"/>
          <w:rtl/>
        </w:rPr>
        <w:t xml:space="preserve"> و</w:t>
      </w:r>
      <w:r>
        <w:rPr>
          <w:rFonts w:hint="eastAsia"/>
          <w:rtl/>
        </w:rPr>
        <w:t>«</w:t>
      </w:r>
      <w:r>
        <w:rPr>
          <w:rFonts w:hint="cs"/>
          <w:rtl/>
        </w:rPr>
        <w:t>المعلوم الوجود بحكم العادة كالمشروط</w:t>
      </w:r>
      <w:r>
        <w:rPr>
          <w:rFonts w:hint="eastAsia"/>
          <w:rtl/>
        </w:rPr>
        <w:t>»</w:t>
      </w:r>
      <w:r>
        <w:rPr>
          <w:rFonts w:hint="cs"/>
          <w:rtl/>
        </w:rPr>
        <w:t xml:space="preserve"> و</w:t>
      </w:r>
      <w:r>
        <w:rPr>
          <w:rFonts w:hint="eastAsia"/>
          <w:rtl/>
        </w:rPr>
        <w:t>«</w:t>
      </w:r>
      <w:r>
        <w:rPr>
          <w:rFonts w:hint="cs"/>
          <w:rtl/>
        </w:rPr>
        <w:t>اعتبار عادة التجار</w:t>
      </w:r>
      <w:r>
        <w:rPr>
          <w:rFonts w:hint="eastAsia"/>
          <w:rtl/>
        </w:rPr>
        <w:t>»</w:t>
      </w:r>
      <w:r>
        <w:rPr>
          <w:rFonts w:hint="cs"/>
          <w:rtl/>
        </w:rPr>
        <w:t xml:space="preserve">-؛ العرف والعادة لـِ أ.د. أحمد أبو سنة، ص221 - ولفظه : </w:t>
      </w:r>
      <w:r>
        <w:rPr>
          <w:rFonts w:hint="eastAsia"/>
          <w:rtl/>
        </w:rPr>
        <w:t>«</w:t>
      </w:r>
      <w:r>
        <w:rPr>
          <w:rFonts w:hint="cs"/>
          <w:rtl/>
        </w:rPr>
        <w:t>المعروف كالمشروط</w:t>
      </w:r>
      <w:r>
        <w:rPr>
          <w:rFonts w:hint="eastAsia"/>
          <w:rtl/>
        </w:rPr>
        <w:t>»</w:t>
      </w:r>
      <w:r>
        <w:rPr>
          <w:rFonts w:hint="cs"/>
          <w:rtl/>
        </w:rPr>
        <w:t>-.</w:t>
      </w:r>
    </w:p>
    <w:p w:rsidR="00035BE3" w:rsidRDefault="00035BE3" w:rsidP="00C10469">
      <w:pPr>
        <w:pStyle w:val="a6"/>
        <w:spacing w:line="216" w:lineRule="auto"/>
        <w:ind w:left="420" w:firstLine="0"/>
        <w:rPr>
          <w:b/>
          <w:bCs/>
          <w:rtl/>
        </w:rPr>
      </w:pPr>
      <w:r>
        <w:rPr>
          <w:rFonts w:hint="cs"/>
          <w:b/>
          <w:bCs/>
          <w:rtl/>
        </w:rPr>
        <w:t>ومن كتب الفقه :</w:t>
      </w:r>
    </w:p>
    <w:p w:rsidR="00035BE3" w:rsidRPr="00CC3DAC" w:rsidRDefault="00035BE3" w:rsidP="00C10469">
      <w:pPr>
        <w:pStyle w:val="a6"/>
        <w:spacing w:line="216" w:lineRule="auto"/>
        <w:ind w:left="420" w:firstLine="0"/>
        <w:rPr>
          <w:rtl/>
        </w:rPr>
      </w:pPr>
      <w:r w:rsidRPr="00CC3DAC">
        <w:rPr>
          <w:rFonts w:hint="cs"/>
          <w:rtl/>
        </w:rPr>
        <w:t>المبسوط، 15/171، 16/28، 48، 49، 23/36؛ فتاوى قاضي خان، 1/385، 387؛ القنية، ل131؛ المحيط البرهاني، ق3، ص264؛ المغني، 8/94؛ الكافي لابن قدامة، 2/322؛ المجموع، 9/133؛ الكافي للنسفي، القسم الأخير، ص1132؛ الفتاوى الولوالجية، ل71/ب؛ تبيين الحقائق، 2/155؛ العناية، 8/428،10/483؛ جامع الفصولين، 1/191؛ فتح القدير، 3/370؛ الدُّرر شرح الغرر، 2/149، 233؛ الإنصاف، 6/57؛ رد المحتار، 6/59، 87، 7/361، 8/501، 9/64؛ رسائل ابن عابدين (رسالة نشر العرف)، 2/122.</w:t>
      </w:r>
    </w:p>
    <w:p w:rsidR="00035BE3" w:rsidRDefault="00035BE3" w:rsidP="00C10469">
      <w:pPr>
        <w:pStyle w:val="a6"/>
        <w:spacing w:line="216" w:lineRule="auto"/>
        <w:ind w:left="420" w:firstLine="0"/>
        <w:rPr>
          <w:rtl/>
        </w:rPr>
      </w:pPr>
      <w:r>
        <w:rPr>
          <w:rFonts w:hint="cs"/>
          <w:b/>
          <w:bCs/>
          <w:rtl/>
        </w:rPr>
        <w:t>وقبل الانتهاء من توثيق القاعدة</w:t>
      </w:r>
      <w:r>
        <w:rPr>
          <w:rFonts w:hint="cs"/>
          <w:rtl/>
        </w:rPr>
        <w:t xml:space="preserve"> : </w:t>
      </w:r>
    </w:p>
    <w:p w:rsidR="00035BE3" w:rsidRDefault="00035BE3" w:rsidP="00C10469">
      <w:pPr>
        <w:pStyle w:val="a6"/>
        <w:spacing w:line="420" w:lineRule="exact"/>
        <w:ind w:left="422" w:firstLine="0"/>
        <w:rPr>
          <w:rtl/>
        </w:rPr>
      </w:pPr>
      <w:r>
        <w:rPr>
          <w:rFonts w:hint="cs"/>
          <w:rtl/>
        </w:rPr>
        <w:t xml:space="preserve">يُلحظ أن المؤلف وصف العادة بأنها </w:t>
      </w:r>
      <w:r>
        <w:rPr>
          <w:rFonts w:hint="cs"/>
          <w:b/>
          <w:bCs/>
          <w:rtl/>
        </w:rPr>
        <w:t>مطّردة</w:t>
      </w:r>
      <w:r>
        <w:rPr>
          <w:rFonts w:hint="cs"/>
          <w:rtl/>
        </w:rPr>
        <w:t xml:space="preserve">، وفي هذا إشارة إلى شرط من شروط اعتبار العادة وهو أن تكون مطردة أو غالبة. وقد عبر العلماء عن هذا الشرط بقاعدة مستقلة وهي : </w:t>
      </w:r>
      <w:r>
        <w:rPr>
          <w:rFonts w:hint="eastAsia"/>
          <w:rtl/>
        </w:rPr>
        <w:t>«</w:t>
      </w:r>
      <w:r>
        <w:rPr>
          <w:rFonts w:hint="cs"/>
          <w:rtl/>
        </w:rPr>
        <w:t>إنما تعتبر العادة إذا اطردت أو غلبت</w:t>
      </w:r>
      <w:r>
        <w:rPr>
          <w:rFonts w:hint="eastAsia"/>
          <w:rtl/>
        </w:rPr>
        <w:t>»</w:t>
      </w:r>
      <w:r>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فانظر هذه القاعدة في : الأشباه والنظائر للسيوطي، 1/224؛ ولابن نجيم، ص117؛ مجلة الأحكام العدلية، مادة 95؛ شرحها للأتاسي، 1/95.</w:t>
      </w:r>
    </w:p>
  </w:footnote>
  <w:footnote w:id="342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ليخيط</w:t>
      </w:r>
      <w:r>
        <w:rPr>
          <w:rFonts w:hint="eastAsia"/>
          <w:rtl/>
        </w:rPr>
        <w:t>»</w:t>
      </w:r>
      <w:r>
        <w:rPr>
          <w:rFonts w:hint="cs"/>
          <w:rtl/>
        </w:rPr>
        <w:t>. والمناسب ما تمَّ إثباته من (ب) و (د)؛ وفاقاً لأشباه ابن نجيم، وليحسن التوافق بين هذه الجملة والجملة التي عطفت عليها، والتي جاء في آخرها : (ليصبغه).</w:t>
      </w:r>
    </w:p>
  </w:footnote>
  <w:footnote w:id="342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ليصيغه</w:t>
      </w:r>
      <w:r>
        <w:rPr>
          <w:rFonts w:hint="eastAsia"/>
          <w:rtl/>
        </w:rPr>
        <w:t>»</w:t>
      </w:r>
      <w:r>
        <w:rPr>
          <w:rFonts w:hint="cs"/>
          <w:rtl/>
        </w:rPr>
        <w:t>.</w:t>
      </w:r>
    </w:p>
  </w:footnote>
  <w:footnote w:id="342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ما بين المعقوفتين زيادة من (هـ) و (و). ولا يستقيم المعنى بدونها، علماً بأنه جاء في (جـ) : </w:t>
      </w:r>
      <w:r>
        <w:rPr>
          <w:rFonts w:hint="eastAsia"/>
          <w:rtl/>
        </w:rPr>
        <w:t>«</w:t>
      </w:r>
      <w:r>
        <w:rPr>
          <w:rFonts w:hint="cs"/>
          <w:rtl/>
        </w:rPr>
        <w:t xml:space="preserve">..في  وعدمه </w:t>
      </w:r>
      <w:r>
        <w:rPr>
          <w:rFonts w:hint="eastAsia"/>
          <w:rtl/>
        </w:rPr>
        <w:t>»</w:t>
      </w:r>
      <w:r>
        <w:rPr>
          <w:rFonts w:hint="cs"/>
          <w:rtl/>
        </w:rPr>
        <w:t xml:space="preserve"> (بزيادة الواو فقط). كما أنه جاء في أشباه ابن نجيم : </w:t>
      </w:r>
      <w:r>
        <w:rPr>
          <w:rFonts w:hint="eastAsia"/>
          <w:rtl/>
        </w:rPr>
        <w:t>«</w:t>
      </w:r>
      <w:r>
        <w:rPr>
          <w:rFonts w:hint="cs"/>
          <w:rtl/>
        </w:rPr>
        <w:t xml:space="preserve">..في </w:t>
      </w:r>
      <w:r>
        <w:rPr>
          <w:rFonts w:hint="cs"/>
          <w:b/>
          <w:bCs/>
          <w:rtl/>
        </w:rPr>
        <w:t>الأجر</w:t>
      </w:r>
      <w:r>
        <w:rPr>
          <w:rFonts w:hint="cs"/>
          <w:rtl/>
        </w:rPr>
        <w:t xml:space="preserve"> و عدمه</w:t>
      </w:r>
      <w:r>
        <w:rPr>
          <w:rFonts w:hint="eastAsia"/>
          <w:rtl/>
        </w:rPr>
        <w:t>»</w:t>
      </w:r>
      <w:r>
        <w:rPr>
          <w:rFonts w:hint="cs"/>
          <w:rtl/>
        </w:rPr>
        <w:t>.</w:t>
      </w:r>
    </w:p>
  </w:footnote>
  <w:footnote w:id="343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أشباه ابن نجيم زيادة يَحتاج إليها تمامُ المعنى، وهي: </w:t>
      </w:r>
      <w:r>
        <w:rPr>
          <w:rFonts w:hint="eastAsia"/>
          <w:rtl/>
        </w:rPr>
        <w:t>«</w:t>
      </w:r>
      <w:r>
        <w:rPr>
          <w:rFonts w:hint="cs"/>
          <w:rtl/>
        </w:rPr>
        <w:t xml:space="preserve">..وعدمه، وقد جرت العادة بالعمل بالأجرة: فهل ينزل منزلة شرط الأجرة ؟ فيه اختلاف. قال الإمام... </w:t>
      </w:r>
      <w:r>
        <w:rPr>
          <w:rFonts w:hint="eastAsia"/>
          <w:rtl/>
        </w:rPr>
        <w:t>»</w:t>
      </w:r>
      <w:r>
        <w:rPr>
          <w:rFonts w:hint="cs"/>
          <w:rtl/>
        </w:rPr>
        <w:t>.</w:t>
      </w:r>
    </w:p>
  </w:footnote>
  <w:footnote w:id="343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 (د) : </w:t>
      </w:r>
      <w:r>
        <w:rPr>
          <w:rFonts w:hint="eastAsia"/>
          <w:rtl/>
        </w:rPr>
        <w:t>«</w:t>
      </w:r>
      <w:r>
        <w:rPr>
          <w:rFonts w:hint="cs"/>
          <w:rtl/>
        </w:rPr>
        <w:t>إذا</w:t>
      </w:r>
      <w:r>
        <w:rPr>
          <w:rFonts w:hint="eastAsia"/>
          <w:rtl/>
        </w:rPr>
        <w:t>»</w:t>
      </w:r>
      <w:r>
        <w:rPr>
          <w:rFonts w:hint="cs"/>
          <w:rtl/>
        </w:rPr>
        <w:t xml:space="preserve">.  </w:t>
      </w:r>
    </w:p>
  </w:footnote>
  <w:footnote w:id="343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50/أ من (جـ). وقد جاء في الأشباه : </w:t>
      </w:r>
      <w:r>
        <w:rPr>
          <w:rFonts w:hint="eastAsia"/>
          <w:rtl/>
        </w:rPr>
        <w:t>«</w:t>
      </w:r>
      <w:r>
        <w:rPr>
          <w:rFonts w:hint="cs"/>
          <w:rtl/>
        </w:rPr>
        <w:t>الصابغ</w:t>
      </w:r>
      <w:r>
        <w:rPr>
          <w:rFonts w:hint="eastAsia"/>
          <w:rtl/>
        </w:rPr>
        <w:t>»</w:t>
      </w:r>
      <w:r>
        <w:rPr>
          <w:rFonts w:hint="cs"/>
          <w:rtl/>
        </w:rPr>
        <w:t>.</w:t>
      </w:r>
    </w:p>
  </w:footnote>
  <w:footnote w:id="343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لسان العرب، مادة </w:t>
      </w:r>
      <w:r>
        <w:rPr>
          <w:rFonts w:hint="eastAsia"/>
          <w:rtl/>
        </w:rPr>
        <w:t>«</w:t>
      </w:r>
      <w:r>
        <w:rPr>
          <w:rFonts w:hint="cs"/>
          <w:rtl/>
        </w:rPr>
        <w:t>حرف</w:t>
      </w:r>
      <w:r>
        <w:rPr>
          <w:rFonts w:hint="eastAsia"/>
          <w:rtl/>
        </w:rPr>
        <w:t>»</w:t>
      </w:r>
      <w:r>
        <w:rPr>
          <w:rFonts w:hint="cs"/>
          <w:rtl/>
        </w:rPr>
        <w:t xml:space="preserve">، 9/44، حيث جاء فيه : </w:t>
      </w:r>
      <w:r>
        <w:rPr>
          <w:rFonts w:hint="eastAsia"/>
          <w:rtl/>
        </w:rPr>
        <w:t>«</w:t>
      </w:r>
      <w:r>
        <w:rPr>
          <w:rFonts w:hint="cs"/>
          <w:rtl/>
        </w:rPr>
        <w:t>وفلان حريفي : أي معاملي...، وحَرِيفُ الرجل : مُعامِلُه في حِرْفَتِه</w:t>
      </w:r>
      <w:r>
        <w:rPr>
          <w:rFonts w:hint="eastAsia"/>
          <w:rtl/>
        </w:rPr>
        <w:t>»</w:t>
      </w:r>
      <w:r>
        <w:rPr>
          <w:rFonts w:hint="cs"/>
          <w:rtl/>
        </w:rPr>
        <w:t>.</w:t>
      </w:r>
    </w:p>
  </w:footnote>
  <w:footnote w:id="343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فلا</w:t>
      </w:r>
      <w:r>
        <w:rPr>
          <w:rFonts w:hint="eastAsia"/>
          <w:rtl/>
        </w:rPr>
        <w:t>»</w:t>
      </w:r>
      <w:r>
        <w:rPr>
          <w:rFonts w:hint="cs"/>
          <w:rtl/>
        </w:rPr>
        <w:t>.</w:t>
      </w:r>
    </w:p>
  </w:footnote>
  <w:footnote w:id="343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الأشباه والنظائر لابن نجيم، ص122 -مع اختلاف يسير سبق بيان أهمه- وانظر: تبيين الحقائق للزيلعي، 5/143؛ تكملة البحر الرائق، 8/39؛ وانظر المسألة وما ذكر فيها من أقوال في : الكتاب وشرحه: اللباب، 2/103؛ الهداية وشرحيها : العناية ونـتائج الأفكار، 9/143.</w:t>
      </w:r>
    </w:p>
  </w:footnote>
  <w:footnote w:id="343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 (جـ) و (د) : </w:t>
      </w:r>
      <w:r>
        <w:rPr>
          <w:rFonts w:hint="eastAsia"/>
          <w:rtl/>
        </w:rPr>
        <w:t>«</w:t>
      </w:r>
      <w:r>
        <w:rPr>
          <w:rFonts w:hint="cs"/>
          <w:rtl/>
        </w:rPr>
        <w:t>لصانع</w:t>
      </w:r>
      <w:r>
        <w:rPr>
          <w:rFonts w:hint="eastAsia"/>
          <w:rtl/>
        </w:rPr>
        <w:t>»</w:t>
      </w:r>
      <w:r>
        <w:rPr>
          <w:rFonts w:hint="cs"/>
          <w:rtl/>
        </w:rPr>
        <w:t>. والمثبت من (أ) هو الموافق لأشباه ابن نجيم.</w:t>
      </w:r>
    </w:p>
  </w:footnote>
  <w:footnote w:id="343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42/ب من (ب).</w:t>
      </w:r>
    </w:p>
  </w:footnote>
  <w:footnote w:id="343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الواو ساقطة من (جـ).</w:t>
      </w:r>
    </w:p>
  </w:footnote>
  <w:footnote w:id="343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الخان</w:t>
      </w:r>
      <w:r>
        <w:rPr>
          <w:rFonts w:hint="cs"/>
          <w:rtl/>
        </w:rPr>
        <w:t xml:space="preserve"> : هذه كلمة فارسية معرَّبة، ويقصد بها : المكان المعدّ للمسافرين، وهو الفندق.</w:t>
      </w:r>
    </w:p>
    <w:p w:rsidR="00035BE3" w:rsidRDefault="00035BE3" w:rsidP="00C10469">
      <w:pPr>
        <w:pStyle w:val="a6"/>
        <w:ind w:left="422" w:firstLine="0"/>
        <w:rPr>
          <w:rtl/>
        </w:rPr>
      </w:pPr>
      <w:r>
        <w:rPr>
          <w:rFonts w:hint="cs"/>
          <w:rtl/>
        </w:rPr>
        <w:t xml:space="preserve">انظر : لسان العرب، مادة </w:t>
      </w:r>
      <w:r>
        <w:rPr>
          <w:rFonts w:hint="eastAsia"/>
          <w:rtl/>
        </w:rPr>
        <w:t>«</w:t>
      </w:r>
      <w:r>
        <w:rPr>
          <w:rFonts w:hint="cs"/>
          <w:rtl/>
        </w:rPr>
        <w:t>خون</w:t>
      </w:r>
      <w:r>
        <w:rPr>
          <w:rFonts w:hint="eastAsia"/>
          <w:rtl/>
        </w:rPr>
        <w:t>»</w:t>
      </w:r>
      <w:r>
        <w:rPr>
          <w:rFonts w:hint="cs"/>
          <w:rtl/>
        </w:rPr>
        <w:t xml:space="preserve">، 13/146؛ القاموس المحيط، مادة </w:t>
      </w:r>
      <w:r>
        <w:rPr>
          <w:rFonts w:hint="eastAsia"/>
          <w:rtl/>
        </w:rPr>
        <w:t>«</w:t>
      </w:r>
      <w:r>
        <w:rPr>
          <w:rFonts w:hint="cs"/>
          <w:rtl/>
        </w:rPr>
        <w:t>خون</w:t>
      </w:r>
      <w:r>
        <w:rPr>
          <w:rFonts w:hint="eastAsia"/>
          <w:rtl/>
        </w:rPr>
        <w:t>»</w:t>
      </w:r>
      <w:r>
        <w:rPr>
          <w:rFonts w:hint="cs"/>
          <w:rtl/>
        </w:rPr>
        <w:t xml:space="preserve">، ص 1542؛ المعجم الوسيط، مادة </w:t>
      </w:r>
      <w:r>
        <w:rPr>
          <w:rFonts w:hint="eastAsia"/>
          <w:rtl/>
        </w:rPr>
        <w:t>«</w:t>
      </w:r>
      <w:r>
        <w:rPr>
          <w:rFonts w:hint="cs"/>
          <w:rtl/>
        </w:rPr>
        <w:t>خان</w:t>
      </w:r>
      <w:r>
        <w:rPr>
          <w:rFonts w:hint="eastAsia"/>
          <w:rtl/>
        </w:rPr>
        <w:t>»</w:t>
      </w:r>
      <w:r>
        <w:rPr>
          <w:rFonts w:hint="cs"/>
          <w:rtl/>
        </w:rPr>
        <w:t>، 1/263؛ معجم المصطلحات و الألفاظ الفقهية، 2/8.</w:t>
      </w:r>
    </w:p>
  </w:footnote>
  <w:footnote w:id="3440">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2/127، حيث جاء فيها : </w:t>
      </w:r>
      <w:r>
        <w:rPr>
          <w:rFonts w:hint="eastAsia"/>
          <w:rtl/>
        </w:rPr>
        <w:t>«</w:t>
      </w:r>
      <w:r>
        <w:rPr>
          <w:rFonts w:hint="cs"/>
          <w:rtl/>
        </w:rPr>
        <w:t>وكذا إذا نزل الخان ثم اختلفا : ان الخان معروفاً بالأجر : يجب، وإن لم يكن : قال الفقيه...[إلى أن قال :] و الحمام والدلال كالخان</w:t>
      </w:r>
      <w:r>
        <w:rPr>
          <w:rFonts w:hint="eastAsia"/>
          <w:rtl/>
        </w:rPr>
        <w:t>»</w:t>
      </w:r>
      <w:r>
        <w:rPr>
          <w:rFonts w:hint="cs"/>
          <w:rtl/>
        </w:rPr>
        <w:t xml:space="preserve">. وقوله : </w:t>
      </w:r>
      <w:r>
        <w:rPr>
          <w:rFonts w:hint="eastAsia"/>
          <w:rtl/>
        </w:rPr>
        <w:t>«</w:t>
      </w:r>
      <w:r>
        <w:rPr>
          <w:rFonts w:hint="cs"/>
          <w:rtl/>
        </w:rPr>
        <w:t>إن الخان معروفًا</w:t>
      </w:r>
      <w:r>
        <w:rPr>
          <w:rFonts w:hint="eastAsia"/>
          <w:rtl/>
        </w:rPr>
        <w:t>»</w:t>
      </w:r>
      <w:r>
        <w:rPr>
          <w:rFonts w:hint="cs"/>
          <w:rtl/>
        </w:rPr>
        <w:t xml:space="preserve"> لعلّ فيه سقطًا وتمام الجملة : (إنْ </w:t>
      </w:r>
      <w:r>
        <w:rPr>
          <w:rFonts w:hint="cs"/>
          <w:b/>
          <w:bCs/>
          <w:rtl/>
        </w:rPr>
        <w:t>كانَ</w:t>
      </w:r>
      <w:r>
        <w:rPr>
          <w:rFonts w:hint="cs"/>
          <w:rtl/>
        </w:rPr>
        <w:t xml:space="preserve"> الخانُ معروفًا) بدليل أن الجملة المعطوفة على تلك الجملة تضمنت كلمة (يكن)، وهي : </w:t>
      </w:r>
      <w:r>
        <w:rPr>
          <w:rFonts w:hint="eastAsia"/>
          <w:rtl/>
        </w:rPr>
        <w:t>«</w:t>
      </w:r>
      <w:r>
        <w:rPr>
          <w:rFonts w:hint="cs"/>
          <w:rtl/>
        </w:rPr>
        <w:t>وإن لم يكن ...</w:t>
      </w:r>
      <w:r>
        <w:rPr>
          <w:rFonts w:hint="eastAsia"/>
          <w:rtl/>
        </w:rPr>
        <w:t>»</w:t>
      </w:r>
      <w:r>
        <w:rPr>
          <w:rFonts w:hint="cs"/>
          <w:rtl/>
        </w:rPr>
        <w:t>.</w:t>
      </w:r>
    </w:p>
  </w:footnote>
  <w:footnote w:id="3441">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الأشباه والنظائر لابن نجيم، ص 122 - مع زيادة في الأشباه لبعض الألفاظ-.</w:t>
      </w:r>
    </w:p>
  </w:footnote>
  <w:footnote w:id="3442">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نهاية 66/أ من (أ).</w:t>
      </w:r>
    </w:p>
  </w:footnote>
  <w:footnote w:id="3443">
    <w:p w:rsidR="00035BE3" w:rsidRDefault="00035BE3" w:rsidP="00C10469">
      <w:pPr>
        <w:pStyle w:val="a8"/>
        <w:bidi/>
        <w:spacing w:line="228" w:lineRule="auto"/>
        <w:ind w:left="420" w:right="0"/>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rtl/>
        </w:rPr>
        <w:t xml:space="preserve"> </w:t>
      </w:r>
      <w:r w:rsidRPr="00462F27">
        <w:rPr>
          <w:rFonts w:hint="cs"/>
          <w:rtl/>
        </w:rPr>
        <w:t xml:space="preserve"> </w:t>
      </w:r>
      <w:r w:rsidRPr="00462F27">
        <w:rPr>
          <w:rFonts w:hint="cs"/>
          <w:sz w:val="29"/>
          <w:szCs w:val="29"/>
          <w:rtl/>
        </w:rPr>
        <w:t xml:space="preserve">الأشباه و النظائر لابن نجيم، ص 123؛ وانظر الفتاوي البزازية، 2/125، حيث جاء فيها: </w:t>
      </w:r>
      <w:r w:rsidRPr="00462F27">
        <w:rPr>
          <w:rFonts w:hint="eastAsia"/>
          <w:sz w:val="29"/>
          <w:szCs w:val="29"/>
          <w:rtl/>
        </w:rPr>
        <w:t>«</w:t>
      </w:r>
      <w:r w:rsidRPr="00462F27">
        <w:rPr>
          <w:rFonts w:hint="cs"/>
          <w:sz w:val="29"/>
          <w:szCs w:val="29"/>
          <w:rtl/>
        </w:rPr>
        <w:t>والمعروف كالمشروط</w:t>
      </w:r>
      <w:r w:rsidRPr="00462F27">
        <w:rPr>
          <w:rFonts w:hint="eastAsia"/>
          <w:sz w:val="29"/>
          <w:szCs w:val="29"/>
          <w:rtl/>
        </w:rPr>
        <w:t>»</w:t>
      </w:r>
      <w:r w:rsidRPr="00462F27">
        <w:rPr>
          <w:rFonts w:hint="cs"/>
          <w:sz w:val="29"/>
          <w:szCs w:val="29"/>
          <w:rtl/>
        </w:rPr>
        <w:t>.</w:t>
      </w:r>
    </w:p>
  </w:footnote>
  <w:footnote w:id="3444">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أو</w:t>
      </w:r>
      <w:r>
        <w:rPr>
          <w:rFonts w:hint="eastAsia"/>
          <w:rtl/>
        </w:rPr>
        <w:t>»</w:t>
      </w:r>
      <w:r>
        <w:rPr>
          <w:rFonts w:hint="cs"/>
          <w:rtl/>
        </w:rPr>
        <w:t>. والصحيح ما تمَّ إثباته من باقي النسخ، وهو الموافق لأشباه ابن نجيم.</w:t>
      </w:r>
    </w:p>
  </w:footnote>
  <w:footnote w:id="3445">
    <w:p w:rsidR="00035BE3" w:rsidRDefault="00035BE3" w:rsidP="00C10469">
      <w:pPr>
        <w:pStyle w:val="a8"/>
        <w:bidi/>
        <w:spacing w:line="228" w:lineRule="auto"/>
        <w:ind w:left="420"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بينته</w:t>
      </w:r>
      <w:r>
        <w:rPr>
          <w:rFonts w:hint="eastAsia"/>
          <w:rtl/>
        </w:rPr>
        <w:t>»</w:t>
      </w:r>
      <w:r>
        <w:rPr>
          <w:rFonts w:hint="cs"/>
          <w:rtl/>
        </w:rPr>
        <w:t>. و الصحيح ما تّم إثباته من باقي النسخ، وهو الموافق لأشباه ابن نجيم.</w:t>
      </w:r>
    </w:p>
  </w:footnote>
  <w:footnote w:id="344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(و)، وفي باقي النسخ : </w:t>
      </w:r>
      <w:r>
        <w:rPr>
          <w:rFonts w:hint="eastAsia"/>
          <w:rtl/>
        </w:rPr>
        <w:t>«</w:t>
      </w:r>
      <w:r>
        <w:rPr>
          <w:rFonts w:hint="cs"/>
          <w:rtl/>
        </w:rPr>
        <w:t>للفتوى</w:t>
      </w:r>
      <w:r>
        <w:rPr>
          <w:rFonts w:hint="eastAsia"/>
          <w:rtl/>
        </w:rPr>
        <w:t>»</w:t>
      </w:r>
      <w:r>
        <w:rPr>
          <w:rFonts w:hint="cs"/>
          <w:rtl/>
        </w:rPr>
        <w:t>.والمُثبت هو الصحيح، وهو الموافق لأشباه ابن نجيم.</w:t>
      </w:r>
    </w:p>
  </w:footnote>
  <w:footnote w:id="344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تقبل </w:t>
      </w:r>
      <w:r>
        <w:rPr>
          <w:rFonts w:hint="eastAsia"/>
          <w:rtl/>
        </w:rPr>
        <w:t>»</w:t>
      </w:r>
      <w:r>
        <w:rPr>
          <w:rFonts w:hint="cs"/>
          <w:rtl/>
        </w:rPr>
        <w:t>.</w:t>
      </w:r>
    </w:p>
  </w:footnote>
  <w:footnote w:id="344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لو كان العرف مشتركاً بين التمليك و العارية، فتارة يُملَّك الأبُ الجهازَ لابنته، وتارة يدفعه لها عاريّة، مماّ يعني أن التمليك ليس عرفاً مطَّرداً مستمراً، فبناء على هذا يكون القول للأب.</w:t>
      </w:r>
    </w:p>
  </w:footnote>
  <w:footnote w:id="344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b/>
          <w:bCs/>
          <w:rtl/>
        </w:rPr>
        <w:t>شرح منظومة ابن وهبان</w:t>
      </w:r>
      <w:r>
        <w:rPr>
          <w:rFonts w:hint="eastAsia"/>
          <w:rtl/>
        </w:rPr>
        <w:t>»</w:t>
      </w:r>
      <w:r>
        <w:rPr>
          <w:rFonts w:hint="cs"/>
          <w:rtl/>
        </w:rPr>
        <w:t xml:space="preserve"> يتضمّن : عَلََماً، و منظومته، وشرحها : </w:t>
      </w:r>
    </w:p>
    <w:p w:rsidR="00035BE3" w:rsidRDefault="00035BE3" w:rsidP="00C10469">
      <w:pPr>
        <w:pStyle w:val="a6"/>
        <w:ind w:left="422" w:firstLine="0"/>
        <w:rPr>
          <w:spacing w:val="-6"/>
          <w:rtl/>
        </w:rPr>
      </w:pPr>
      <w:r>
        <w:rPr>
          <w:rFonts w:hint="cs"/>
          <w:b/>
          <w:bCs/>
          <w:spacing w:val="-6"/>
          <w:rtl/>
        </w:rPr>
        <w:t>أمّا العَلَم فهو</w:t>
      </w:r>
      <w:r>
        <w:rPr>
          <w:rFonts w:hint="cs"/>
          <w:spacing w:val="-6"/>
          <w:rtl/>
        </w:rPr>
        <w:t xml:space="preserve"> : عبد الوهاب بن أحمد بن وهبان، أبو محمد الدمشقي الحنفي (726هـ -768هـ).</w:t>
      </w:r>
    </w:p>
    <w:p w:rsidR="00035BE3" w:rsidRDefault="00035BE3" w:rsidP="00C10469">
      <w:pPr>
        <w:pStyle w:val="a6"/>
        <w:ind w:left="422" w:firstLine="0"/>
        <w:rPr>
          <w:spacing w:val="4"/>
          <w:rtl/>
        </w:rPr>
      </w:pPr>
      <w:r>
        <w:rPr>
          <w:rFonts w:hint="cs"/>
          <w:spacing w:val="4"/>
          <w:rtl/>
        </w:rPr>
        <w:t>تميّز بالفقه و العربية، و القراءات و الأدب، من مُصنّفاته: منظومة في الفقه، وله شرح عليها سماه: (عقد القلائد)، ومن مؤلفاته في القراءات (الأخبار في محاسن السبعة الأخيار) يعني القراء السبعة، و (امتثال الأمر في قراءة أبي عمرو) وهي منظومة في 127 بيتاً.</w:t>
      </w:r>
    </w:p>
    <w:p w:rsidR="00035BE3" w:rsidRDefault="00035BE3" w:rsidP="00C10469">
      <w:pPr>
        <w:pStyle w:val="a6"/>
        <w:ind w:left="422" w:firstLine="0"/>
        <w:rPr>
          <w:rtl/>
        </w:rPr>
      </w:pPr>
      <w:r>
        <w:rPr>
          <w:rFonts w:hint="cs"/>
          <w:b/>
          <w:bCs/>
          <w:rtl/>
        </w:rPr>
        <w:t>أما المنظومة</w:t>
      </w:r>
      <w:r>
        <w:rPr>
          <w:rFonts w:hint="cs"/>
          <w:rtl/>
        </w:rPr>
        <w:t xml:space="preserve"> : فهي في فروع الحنفية، سماها : (قيد الشرائد و نظم الفرائد)، أخذها من ستة وثلاثين كتابًا، ورتبها على ترتيب الهداية، وجعلها أربعمائة بيت.</w:t>
      </w:r>
    </w:p>
    <w:p w:rsidR="00035BE3" w:rsidRDefault="00035BE3" w:rsidP="00C10469">
      <w:pPr>
        <w:pStyle w:val="a6"/>
        <w:ind w:left="422" w:firstLine="0"/>
        <w:rPr>
          <w:spacing w:val="6"/>
          <w:rtl/>
        </w:rPr>
      </w:pPr>
      <w:r>
        <w:rPr>
          <w:rFonts w:hint="cs"/>
          <w:spacing w:val="6"/>
          <w:rtl/>
        </w:rPr>
        <w:t>وهي مطبوعة مع عمدة الحكام و مرجع القضاة في الأحكام، في مطبعة حسن أحمد الطوخي، عام 1296هـ.</w:t>
      </w:r>
    </w:p>
    <w:p w:rsidR="00035BE3" w:rsidRDefault="00035BE3" w:rsidP="00C10469">
      <w:pPr>
        <w:pStyle w:val="a6"/>
        <w:ind w:left="422" w:firstLine="0"/>
        <w:rPr>
          <w:rtl/>
        </w:rPr>
      </w:pPr>
      <w:r>
        <w:rPr>
          <w:rFonts w:hint="cs"/>
          <w:b/>
          <w:bCs/>
          <w:rtl/>
        </w:rPr>
        <w:t>أما الشرح</w:t>
      </w:r>
      <w:r>
        <w:rPr>
          <w:rFonts w:hint="cs"/>
          <w:rtl/>
        </w:rPr>
        <w:t xml:space="preserve"> :  فلم يتّضح لي المراد منه؛ إذ للمنظومة شروح كثيرة، ولم أجد دليلاً يبيّن المراد منها، إلا أن الغالب على الظن كونه لا يخرج عن شرحين، والأول منهما أقرب :</w:t>
      </w:r>
    </w:p>
    <w:p w:rsidR="00035BE3" w:rsidRDefault="00035BE3" w:rsidP="00C10469">
      <w:pPr>
        <w:pStyle w:val="a6"/>
        <w:ind w:left="422" w:firstLine="0"/>
        <w:rPr>
          <w:rtl/>
        </w:rPr>
      </w:pPr>
      <w:r>
        <w:rPr>
          <w:rFonts w:hint="cs"/>
          <w:b/>
          <w:bCs/>
          <w:rtl/>
        </w:rPr>
        <w:t>أحدهما</w:t>
      </w:r>
      <w:r>
        <w:rPr>
          <w:rFonts w:hint="cs"/>
          <w:rtl/>
        </w:rPr>
        <w:t xml:space="preserve"> : عقد القلائد في حل قيد الشرائد، لناظم المنظومة وهو ابن وهبان.</w:t>
      </w:r>
    </w:p>
    <w:p w:rsidR="00035BE3" w:rsidRDefault="00035BE3" w:rsidP="00C10469">
      <w:pPr>
        <w:pStyle w:val="a6"/>
        <w:ind w:left="422" w:firstLine="0"/>
        <w:rPr>
          <w:rtl/>
        </w:rPr>
      </w:pPr>
      <w:r>
        <w:rPr>
          <w:rFonts w:hint="cs"/>
          <w:rtl/>
        </w:rPr>
        <w:t xml:space="preserve">وقد وصفه ابن الشحنة بأنه </w:t>
      </w:r>
      <w:r>
        <w:rPr>
          <w:rFonts w:hint="eastAsia"/>
          <w:rtl/>
        </w:rPr>
        <w:t>«</w:t>
      </w:r>
      <w:r>
        <w:rPr>
          <w:rFonts w:hint="cs"/>
          <w:rtl/>
        </w:rPr>
        <w:t>كتاب جليل جمّ الفوائد</w:t>
      </w:r>
      <w:r>
        <w:rPr>
          <w:rFonts w:hint="eastAsia"/>
          <w:rtl/>
        </w:rPr>
        <w:t>»</w:t>
      </w:r>
      <w:r>
        <w:rPr>
          <w:rFonts w:hint="cs"/>
          <w:rtl/>
        </w:rPr>
        <w:t>-.</w:t>
      </w:r>
    </w:p>
    <w:p w:rsidR="00035BE3" w:rsidRDefault="00035BE3" w:rsidP="00C10469">
      <w:pPr>
        <w:pStyle w:val="a6"/>
        <w:ind w:left="422" w:firstLine="0"/>
        <w:rPr>
          <w:rtl/>
        </w:rPr>
      </w:pPr>
      <w:r>
        <w:rPr>
          <w:rFonts w:hint="cs"/>
          <w:rtl/>
        </w:rPr>
        <w:t>ولهذا الشرح عدة نسخ خطية، منها نسخ المكتبات الآتية :</w:t>
      </w:r>
    </w:p>
    <w:p w:rsidR="00035BE3" w:rsidRDefault="00035BE3" w:rsidP="00C10469">
      <w:pPr>
        <w:pStyle w:val="a6"/>
        <w:ind w:left="422" w:firstLine="0"/>
        <w:rPr>
          <w:rtl/>
        </w:rPr>
      </w:pPr>
      <w:r>
        <w:rPr>
          <w:rFonts w:hint="cs"/>
          <w:b/>
          <w:bCs/>
          <w:rtl/>
        </w:rPr>
        <w:t>1</w:t>
      </w:r>
      <w:r>
        <w:rPr>
          <w:rFonts w:hint="cs"/>
          <w:rtl/>
        </w:rPr>
        <w:t>- الحرم المكي، برقم 119 حنفي.</w:t>
      </w:r>
    </w:p>
    <w:p w:rsidR="00035BE3" w:rsidRDefault="00035BE3" w:rsidP="00C10469">
      <w:pPr>
        <w:pStyle w:val="a6"/>
        <w:ind w:left="422" w:firstLine="0"/>
      </w:pPr>
      <w:r>
        <w:rPr>
          <w:rFonts w:hint="cs"/>
          <w:b/>
          <w:bCs/>
          <w:rtl/>
        </w:rPr>
        <w:t>2</w:t>
      </w:r>
      <w:r>
        <w:rPr>
          <w:rFonts w:hint="cs"/>
          <w:rtl/>
        </w:rPr>
        <w:t>- معهد المخطوطات العربية بالكويت، برقم 837.</w:t>
      </w:r>
    </w:p>
    <w:p w:rsidR="00035BE3" w:rsidRDefault="00035BE3" w:rsidP="00C10469">
      <w:pPr>
        <w:pStyle w:val="a6"/>
        <w:ind w:left="422" w:firstLine="0"/>
        <w:rPr>
          <w:rtl/>
        </w:rPr>
      </w:pPr>
      <w:r>
        <w:rPr>
          <w:rFonts w:hint="cs"/>
          <w:b/>
          <w:bCs/>
          <w:rtl/>
        </w:rPr>
        <w:t>3</w:t>
      </w:r>
      <w:r>
        <w:rPr>
          <w:rFonts w:hint="cs"/>
          <w:rtl/>
        </w:rPr>
        <w:t>-</w:t>
      </w:r>
      <w:r>
        <w:rPr>
          <w:rFonts w:hint="cs"/>
          <w:b/>
          <w:bCs/>
          <w:rtl/>
        </w:rPr>
        <w:t>5</w:t>
      </w:r>
      <w:r>
        <w:rPr>
          <w:rFonts w:hint="cs"/>
          <w:rtl/>
        </w:rPr>
        <w:t xml:space="preserve">- السليمانية، فهرس لا له لي، وأرقامها : 1038 </w:t>
      </w:r>
      <w:r>
        <w:rPr>
          <w:rtl/>
        </w:rPr>
        <w:t>–</w:t>
      </w:r>
      <w:r>
        <w:rPr>
          <w:rFonts w:hint="cs"/>
          <w:rtl/>
        </w:rPr>
        <w:t xml:space="preserve"> 1040.</w:t>
      </w:r>
    </w:p>
    <w:p w:rsidR="00035BE3" w:rsidRDefault="00035BE3" w:rsidP="00C10469">
      <w:pPr>
        <w:pStyle w:val="a6"/>
        <w:ind w:left="422" w:firstLine="0"/>
        <w:rPr>
          <w:rtl/>
        </w:rPr>
      </w:pPr>
      <w:r>
        <w:rPr>
          <w:rFonts w:hint="cs"/>
          <w:b/>
          <w:bCs/>
          <w:rtl/>
        </w:rPr>
        <w:t>6</w:t>
      </w:r>
      <w:r>
        <w:rPr>
          <w:rFonts w:hint="cs"/>
          <w:rtl/>
        </w:rPr>
        <w:t xml:space="preserve"> </w:t>
      </w:r>
      <w:r>
        <w:rPr>
          <w:rtl/>
        </w:rPr>
        <w:t>–</w:t>
      </w:r>
      <w:r>
        <w:rPr>
          <w:rFonts w:hint="cs"/>
          <w:rtl/>
        </w:rPr>
        <w:t xml:space="preserve"> السليمانية، فهرس السليمانية، برقم 501.</w:t>
      </w:r>
    </w:p>
    <w:p w:rsidR="00035BE3" w:rsidRDefault="00035BE3" w:rsidP="00C10469">
      <w:pPr>
        <w:pStyle w:val="a6"/>
        <w:ind w:left="422" w:firstLine="0"/>
        <w:rPr>
          <w:rtl/>
        </w:rPr>
      </w:pPr>
      <w:r>
        <w:rPr>
          <w:rFonts w:hint="cs"/>
          <w:b/>
          <w:bCs/>
          <w:rtl/>
        </w:rPr>
        <w:t>7</w:t>
      </w:r>
      <w:r>
        <w:rPr>
          <w:rFonts w:hint="cs"/>
          <w:rtl/>
        </w:rPr>
        <w:t xml:space="preserve"> </w:t>
      </w:r>
      <w:r>
        <w:rPr>
          <w:rtl/>
        </w:rPr>
        <w:t>–</w:t>
      </w:r>
      <w:r>
        <w:rPr>
          <w:rFonts w:hint="cs"/>
          <w:rtl/>
        </w:rPr>
        <w:t xml:space="preserve"> متحف طوب قابي، برقم 3994.</w:t>
      </w:r>
    </w:p>
    <w:p w:rsidR="00035BE3" w:rsidRDefault="00035BE3" w:rsidP="00C10469">
      <w:pPr>
        <w:pStyle w:val="a6"/>
        <w:ind w:left="422" w:firstLine="0"/>
        <w:rPr>
          <w:rtl/>
        </w:rPr>
      </w:pPr>
      <w:r>
        <w:rPr>
          <w:rFonts w:hint="cs"/>
          <w:b/>
          <w:bCs/>
          <w:rtl/>
        </w:rPr>
        <w:t>8</w:t>
      </w:r>
      <w:r>
        <w:rPr>
          <w:rFonts w:hint="cs"/>
          <w:rtl/>
        </w:rPr>
        <w:t xml:space="preserve"> </w:t>
      </w:r>
      <w:r>
        <w:rPr>
          <w:rtl/>
        </w:rPr>
        <w:t>–</w:t>
      </w:r>
      <w:r>
        <w:rPr>
          <w:rFonts w:hint="cs"/>
          <w:rtl/>
        </w:rPr>
        <w:t xml:space="preserve"> شيستربتي بمدينة دبلن بإيرلندا، برقم 6/4536.</w:t>
      </w:r>
    </w:p>
    <w:p w:rsidR="00035BE3" w:rsidRDefault="00035BE3" w:rsidP="00C10469">
      <w:pPr>
        <w:pStyle w:val="a6"/>
        <w:ind w:left="422" w:firstLine="0"/>
        <w:rPr>
          <w:rtl/>
        </w:rPr>
      </w:pPr>
      <w:r>
        <w:rPr>
          <w:rFonts w:hint="cs"/>
          <w:b/>
          <w:bCs/>
          <w:rtl/>
        </w:rPr>
        <w:t>الثاني</w:t>
      </w:r>
      <w:r>
        <w:rPr>
          <w:rFonts w:hint="cs"/>
          <w:rtl/>
        </w:rPr>
        <w:t xml:space="preserve"> : تفصيل عقد الفوائد بتكميل قيد الشرائد، لعبد البر بن محمد بن محمد، المعروف بابن الشحنة (ت 921هـ).</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وقد ذكر في مقدمته أنه لخّص شرحه للمنظومة من شرح الناظم نفسه (وهو ابن وهبان السابق)، وقد اقتصر فيه على عرض المسألة، وتصويرها من غير تعرّض إلى توجيه ولا بيان دليل في تقريرها، وربّما زاد قيدًا أو فرعًا غفل عنه المؤلف، وربما غيّر ألفاظ الشرح المذكور للغموض فيه.</w:t>
      </w:r>
    </w:p>
    <w:p w:rsidR="00035BE3" w:rsidRDefault="00035BE3" w:rsidP="00C10469">
      <w:pPr>
        <w:pStyle w:val="a6"/>
        <w:ind w:left="422" w:firstLine="0"/>
        <w:rPr>
          <w:rtl/>
        </w:rPr>
      </w:pPr>
      <w:r>
        <w:rPr>
          <w:rFonts w:hint="cs"/>
          <w:rtl/>
        </w:rPr>
        <w:t xml:space="preserve">وقد وصف صاحب (كشف الظنون) هذا الشرح بقوله : </w:t>
      </w:r>
      <w:r>
        <w:rPr>
          <w:rFonts w:hint="eastAsia"/>
          <w:rtl/>
        </w:rPr>
        <w:t>«</w:t>
      </w:r>
      <w:r>
        <w:rPr>
          <w:rFonts w:hint="cs"/>
          <w:rtl/>
        </w:rPr>
        <w:t>وهو شرح مقبول</w:t>
      </w:r>
      <w:r>
        <w:rPr>
          <w:rFonts w:hint="eastAsia"/>
          <w:rtl/>
        </w:rPr>
        <w:t>»</w:t>
      </w:r>
      <w:r>
        <w:rPr>
          <w:rFonts w:hint="cs"/>
          <w:rtl/>
        </w:rPr>
        <w:t>.</w:t>
      </w:r>
    </w:p>
    <w:p w:rsidR="00035BE3" w:rsidRDefault="00035BE3" w:rsidP="00C10469">
      <w:pPr>
        <w:pStyle w:val="a6"/>
        <w:ind w:left="422" w:firstLine="0"/>
        <w:rPr>
          <w:rtl/>
        </w:rPr>
      </w:pPr>
      <w:r>
        <w:rPr>
          <w:rFonts w:hint="cs"/>
          <w:rtl/>
        </w:rPr>
        <w:t>وله نسخ خطية كثيرة، منها نسخ المكتبات الآتية :</w:t>
      </w:r>
    </w:p>
    <w:p w:rsidR="00035BE3" w:rsidRDefault="00035BE3" w:rsidP="00C10469">
      <w:pPr>
        <w:pStyle w:val="a6"/>
        <w:ind w:left="422" w:firstLine="0"/>
        <w:rPr>
          <w:rtl/>
        </w:rPr>
      </w:pPr>
      <w:r>
        <w:rPr>
          <w:rFonts w:hint="cs"/>
          <w:b/>
          <w:bCs/>
          <w:rtl/>
        </w:rPr>
        <w:t>1</w:t>
      </w:r>
      <w:r>
        <w:rPr>
          <w:rFonts w:hint="cs"/>
          <w:rtl/>
        </w:rPr>
        <w:t>- جامعة الإمام محمد بن سعود الإسلامية، برقم 3486/خ.</w:t>
      </w:r>
    </w:p>
    <w:p w:rsidR="00035BE3" w:rsidRDefault="00035BE3" w:rsidP="00C10469">
      <w:pPr>
        <w:pStyle w:val="a6"/>
        <w:ind w:left="422" w:firstLine="0"/>
        <w:rPr>
          <w:rtl/>
        </w:rPr>
      </w:pPr>
      <w:r>
        <w:rPr>
          <w:rFonts w:hint="cs"/>
          <w:b/>
          <w:bCs/>
          <w:rtl/>
        </w:rPr>
        <w:t>2</w:t>
      </w:r>
      <w:r>
        <w:rPr>
          <w:rFonts w:hint="cs"/>
          <w:rtl/>
        </w:rPr>
        <w:t>-</w:t>
      </w:r>
      <w:r>
        <w:rPr>
          <w:rFonts w:hint="cs"/>
          <w:b/>
          <w:bCs/>
          <w:rtl/>
        </w:rPr>
        <w:t>3</w:t>
      </w:r>
      <w:r>
        <w:rPr>
          <w:rFonts w:hint="cs"/>
          <w:rtl/>
        </w:rPr>
        <w:t>- مركز الملك فيصل، برقم ج/35/03/6، ورقم 1306-6-ف.</w:t>
      </w:r>
    </w:p>
    <w:p w:rsidR="00035BE3" w:rsidRDefault="00035BE3" w:rsidP="00C10469">
      <w:pPr>
        <w:pStyle w:val="a6"/>
        <w:ind w:left="422" w:firstLine="0"/>
        <w:rPr>
          <w:rtl/>
        </w:rPr>
      </w:pPr>
      <w:r>
        <w:rPr>
          <w:rFonts w:hint="cs"/>
          <w:b/>
          <w:bCs/>
          <w:rtl/>
        </w:rPr>
        <w:t>4</w:t>
      </w:r>
      <w:r>
        <w:rPr>
          <w:rFonts w:hint="cs"/>
          <w:rtl/>
        </w:rPr>
        <w:t>-</w:t>
      </w:r>
      <w:r>
        <w:rPr>
          <w:rFonts w:hint="cs"/>
          <w:b/>
          <w:bCs/>
          <w:rtl/>
        </w:rPr>
        <w:t>6</w:t>
      </w:r>
      <w:r>
        <w:rPr>
          <w:rFonts w:hint="cs"/>
          <w:rtl/>
        </w:rPr>
        <w:t>- مكتبة الملك فهد الوطنية، عن برنستون، وأرقامها : (410، 502028) و(2418، 50316) و(4002، 504390).</w:t>
      </w:r>
    </w:p>
    <w:p w:rsidR="00035BE3" w:rsidRDefault="00035BE3" w:rsidP="00C10469">
      <w:pPr>
        <w:pStyle w:val="a6"/>
        <w:ind w:left="422" w:firstLine="0"/>
        <w:rPr>
          <w:rtl/>
        </w:rPr>
      </w:pPr>
      <w:r>
        <w:rPr>
          <w:rFonts w:hint="cs"/>
          <w:b/>
          <w:bCs/>
          <w:rtl/>
        </w:rPr>
        <w:t>7</w:t>
      </w:r>
      <w:r>
        <w:rPr>
          <w:rFonts w:hint="cs"/>
          <w:rtl/>
        </w:rPr>
        <w:t>-</w:t>
      </w:r>
      <w:r>
        <w:rPr>
          <w:rFonts w:hint="cs"/>
          <w:b/>
          <w:bCs/>
          <w:rtl/>
        </w:rPr>
        <w:t>8</w:t>
      </w:r>
      <w:r>
        <w:rPr>
          <w:rFonts w:hint="cs"/>
          <w:rtl/>
        </w:rPr>
        <w:t>- الحرم المكي، برقم 134 حنفي و 209 حنفي.</w:t>
      </w:r>
    </w:p>
    <w:p w:rsidR="00035BE3" w:rsidRDefault="00035BE3" w:rsidP="00C10469">
      <w:pPr>
        <w:pStyle w:val="a6"/>
        <w:ind w:left="422" w:firstLine="0"/>
        <w:rPr>
          <w:rtl/>
        </w:rPr>
      </w:pPr>
      <w:r>
        <w:rPr>
          <w:rFonts w:hint="cs"/>
          <w:b/>
          <w:bCs/>
          <w:rtl/>
        </w:rPr>
        <w:t>9</w:t>
      </w:r>
      <w:r>
        <w:rPr>
          <w:rFonts w:hint="cs"/>
          <w:rtl/>
        </w:rPr>
        <w:t>-</w:t>
      </w:r>
      <w:r>
        <w:rPr>
          <w:rFonts w:hint="cs"/>
          <w:b/>
          <w:bCs/>
          <w:rtl/>
        </w:rPr>
        <w:t>10</w:t>
      </w:r>
      <w:r>
        <w:rPr>
          <w:rFonts w:hint="cs"/>
          <w:rtl/>
        </w:rPr>
        <w:t>- مكتبة الملك عبد العزيز بالمدينة المنورة، قسم عارف حكمت، برقم 1172 و1173.</w:t>
      </w:r>
    </w:p>
    <w:p w:rsidR="00035BE3" w:rsidRDefault="00035BE3" w:rsidP="00C10469">
      <w:pPr>
        <w:pStyle w:val="a6"/>
        <w:ind w:left="422" w:firstLine="0"/>
        <w:rPr>
          <w:rtl/>
        </w:rPr>
      </w:pPr>
      <w:r>
        <w:rPr>
          <w:rFonts w:hint="cs"/>
          <w:b/>
          <w:bCs/>
          <w:rtl/>
        </w:rPr>
        <w:t>11</w:t>
      </w:r>
      <w:r>
        <w:rPr>
          <w:rFonts w:hint="cs"/>
          <w:rtl/>
        </w:rPr>
        <w:t>-</w:t>
      </w:r>
      <w:r>
        <w:rPr>
          <w:rFonts w:hint="cs"/>
          <w:b/>
          <w:bCs/>
          <w:rtl/>
        </w:rPr>
        <w:t>15</w:t>
      </w:r>
      <w:r>
        <w:rPr>
          <w:rFonts w:hint="cs"/>
          <w:rtl/>
        </w:rPr>
        <w:t>- معهد البحوث العلمية وإحياء التراث الإسلامي بجامعة أم القرى، وأرقامها : 152، -155، 386.</w:t>
      </w:r>
    </w:p>
    <w:p w:rsidR="00035BE3" w:rsidRDefault="00035BE3" w:rsidP="00C10469">
      <w:pPr>
        <w:pStyle w:val="a6"/>
        <w:ind w:left="422" w:firstLine="0"/>
        <w:rPr>
          <w:rtl/>
        </w:rPr>
      </w:pPr>
      <w:r>
        <w:rPr>
          <w:rFonts w:hint="cs"/>
          <w:b/>
          <w:bCs/>
          <w:rtl/>
        </w:rPr>
        <w:t>16</w:t>
      </w:r>
      <w:r>
        <w:rPr>
          <w:rFonts w:hint="cs"/>
          <w:rtl/>
        </w:rPr>
        <w:t>- معهد المخطوطات العربية بالكويت، برقم 837.</w:t>
      </w:r>
    </w:p>
    <w:p w:rsidR="00035BE3" w:rsidRDefault="00035BE3" w:rsidP="00C10469">
      <w:pPr>
        <w:pStyle w:val="a6"/>
        <w:ind w:left="422" w:firstLine="0"/>
        <w:rPr>
          <w:rtl/>
        </w:rPr>
      </w:pPr>
      <w:r>
        <w:rPr>
          <w:rFonts w:hint="cs"/>
          <w:b/>
          <w:bCs/>
          <w:rtl/>
        </w:rPr>
        <w:t>17</w:t>
      </w:r>
      <w:r>
        <w:rPr>
          <w:rFonts w:hint="cs"/>
          <w:rtl/>
        </w:rPr>
        <w:t xml:space="preserve"> - كوبريلي، برقم 1/595.</w:t>
      </w:r>
    </w:p>
    <w:p w:rsidR="00035BE3" w:rsidRDefault="00035BE3" w:rsidP="00C10469">
      <w:pPr>
        <w:pStyle w:val="a6"/>
        <w:ind w:left="422" w:firstLine="0"/>
        <w:rPr>
          <w:rtl/>
        </w:rPr>
      </w:pPr>
      <w:r>
        <w:rPr>
          <w:rFonts w:hint="cs"/>
          <w:b/>
          <w:bCs/>
          <w:rtl/>
        </w:rPr>
        <w:t>18</w:t>
      </w:r>
      <w:r>
        <w:rPr>
          <w:rFonts w:hint="cs"/>
          <w:rtl/>
        </w:rPr>
        <w:t xml:space="preserve"> </w:t>
      </w:r>
      <w:r>
        <w:rPr>
          <w:rtl/>
        </w:rPr>
        <w:t>–</w:t>
      </w:r>
      <w:r>
        <w:rPr>
          <w:rFonts w:hint="cs"/>
          <w:rtl/>
        </w:rPr>
        <w:t xml:space="preserve"> متحف طوب قابي، برقم 3996.</w:t>
      </w:r>
    </w:p>
    <w:p w:rsidR="00035BE3" w:rsidRDefault="00035BE3" w:rsidP="00C10469">
      <w:pPr>
        <w:pStyle w:val="a6"/>
        <w:ind w:left="422" w:firstLine="0"/>
        <w:rPr>
          <w:rtl/>
        </w:rPr>
      </w:pPr>
      <w:r>
        <w:rPr>
          <w:rFonts w:hint="cs"/>
          <w:b/>
          <w:bCs/>
          <w:rtl/>
        </w:rPr>
        <w:t>19</w:t>
      </w:r>
      <w:r>
        <w:rPr>
          <w:rFonts w:hint="cs"/>
          <w:rtl/>
        </w:rPr>
        <w:t>-</w:t>
      </w:r>
      <w:r>
        <w:rPr>
          <w:rFonts w:hint="cs"/>
          <w:b/>
          <w:bCs/>
          <w:rtl/>
        </w:rPr>
        <w:t>31</w:t>
      </w:r>
      <w:r>
        <w:rPr>
          <w:rFonts w:hint="cs"/>
          <w:rtl/>
        </w:rPr>
        <w:t>- السليمانية، في الفهارس الآتية :</w:t>
      </w:r>
    </w:p>
    <w:p w:rsidR="00035BE3" w:rsidRDefault="00035BE3" w:rsidP="00C10469">
      <w:pPr>
        <w:pStyle w:val="a6"/>
        <w:ind w:left="-32" w:firstLine="454"/>
        <w:rPr>
          <w:rtl/>
        </w:rPr>
      </w:pPr>
      <w:r>
        <w:rPr>
          <w:rFonts w:hint="cs"/>
          <w:rtl/>
        </w:rPr>
        <w:t>- عاشر أفندي، برقم 359.</w:t>
      </w:r>
    </w:p>
    <w:p w:rsidR="00035BE3" w:rsidRDefault="00035BE3" w:rsidP="00C10469">
      <w:pPr>
        <w:pStyle w:val="a6"/>
        <w:ind w:left="-32" w:firstLine="454"/>
      </w:pPr>
      <w:r>
        <w:rPr>
          <w:rFonts w:hint="cs"/>
          <w:rtl/>
        </w:rPr>
        <w:t>- لا له لي، برقم 1048.</w:t>
      </w:r>
    </w:p>
    <w:p w:rsidR="00035BE3" w:rsidRDefault="00035BE3" w:rsidP="00C10469">
      <w:pPr>
        <w:pStyle w:val="a6"/>
        <w:ind w:left="-32" w:firstLine="454"/>
      </w:pPr>
      <w:r>
        <w:rPr>
          <w:rFonts w:hint="cs"/>
          <w:rtl/>
        </w:rPr>
        <w:t>- الحاج سليم أغا، برقم 366 و 400.</w:t>
      </w:r>
    </w:p>
    <w:p w:rsidR="00035BE3" w:rsidRDefault="00035BE3" w:rsidP="00C10469">
      <w:pPr>
        <w:pStyle w:val="a6"/>
        <w:ind w:left="-32" w:firstLine="454"/>
      </w:pPr>
      <w:r>
        <w:rPr>
          <w:rFonts w:hint="cs"/>
          <w:rtl/>
        </w:rPr>
        <w:t>- داماد زاده قاضي عسكر محمد مراد، برقم 918.</w:t>
      </w:r>
    </w:p>
    <w:p w:rsidR="00035BE3" w:rsidRDefault="00035BE3" w:rsidP="00C10469">
      <w:pPr>
        <w:pStyle w:val="a6"/>
        <w:ind w:left="-32" w:firstLine="454"/>
      </w:pPr>
      <w:r>
        <w:rPr>
          <w:rFonts w:hint="cs"/>
          <w:rtl/>
        </w:rPr>
        <w:t>- فاتح، برقم 1813.</w:t>
      </w:r>
    </w:p>
    <w:p w:rsidR="00035BE3" w:rsidRDefault="00035BE3" w:rsidP="00C10469">
      <w:pPr>
        <w:pStyle w:val="a6"/>
        <w:ind w:left="-32" w:firstLine="454"/>
      </w:pPr>
      <w:r>
        <w:rPr>
          <w:rFonts w:hint="cs"/>
          <w:rtl/>
        </w:rPr>
        <w:t>- السليمانية، برقم 506.</w:t>
      </w:r>
    </w:p>
    <w:p w:rsidR="00035BE3" w:rsidRDefault="00035BE3" w:rsidP="00C10469">
      <w:pPr>
        <w:pStyle w:val="a6"/>
        <w:ind w:left="-32" w:firstLine="454"/>
      </w:pPr>
      <w:r>
        <w:rPr>
          <w:rFonts w:hint="cs"/>
          <w:rtl/>
        </w:rPr>
        <w:t>- أمكا حسين باشا، برقم 207.</w:t>
      </w:r>
    </w:p>
    <w:p w:rsidR="00035BE3" w:rsidRDefault="00035BE3" w:rsidP="00C10469">
      <w:pPr>
        <w:pStyle w:val="a6"/>
        <w:ind w:left="-32" w:firstLine="454"/>
      </w:pPr>
      <w:r>
        <w:rPr>
          <w:rFonts w:hint="cs"/>
          <w:rtl/>
        </w:rPr>
        <w:t>- عاطف أفندي، برقم 942.</w:t>
      </w:r>
    </w:p>
    <w:p w:rsidR="00035BE3" w:rsidRDefault="00035BE3" w:rsidP="00C10469">
      <w:pPr>
        <w:pStyle w:val="a6"/>
        <w:ind w:left="-32" w:firstLine="454"/>
      </w:pPr>
      <w:r>
        <w:rPr>
          <w:rFonts w:hint="cs"/>
          <w:rtl/>
        </w:rPr>
        <w:t>- جوبرلي زاده محمد باشا، برقم 595.</w:t>
      </w:r>
    </w:p>
    <w:p w:rsidR="00035BE3" w:rsidRDefault="00035BE3" w:rsidP="00C10469">
      <w:pPr>
        <w:pStyle w:val="a6"/>
        <w:ind w:left="-32" w:firstLine="454"/>
      </w:pPr>
      <w:r>
        <w:rPr>
          <w:rFonts w:hint="cs"/>
          <w:rtl/>
        </w:rPr>
        <w:t>- أسعد أفندي وأرقامها : 757-758، 786.</w:t>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ولمنظومة ابن وهبان شروح أخرى، منها شرح عبد الرحيم بن الفرات (ت851هـ)، وشرح علي ابن غانم المقدسي، ومختصر شرح ابن الشحنة للشرنبلالي وغيرها.</w:t>
      </w:r>
    </w:p>
    <w:p w:rsidR="00035BE3" w:rsidRDefault="00035BE3" w:rsidP="00C10469">
      <w:pPr>
        <w:pStyle w:val="a6"/>
        <w:ind w:left="422" w:firstLine="0"/>
        <w:rPr>
          <w:rtl/>
        </w:rPr>
      </w:pPr>
      <w:r>
        <w:rPr>
          <w:rFonts w:hint="cs"/>
          <w:rtl/>
        </w:rPr>
        <w:t>وقد تمّ الاكتفاء بالتعريف بشرح ابن وهبان وابن الشحنة؛ لكونهما الأشهر، ولأن المؤلف نقل النص المعزو إلى الشرح من (أشباه ابن نجيم)، وقد ذكر ابن نجيم في مقدمته أنه رجع إلى الشرحين معًا؛ فيكونان هما الأقرب إلى مراد المؤلف.</w:t>
      </w:r>
    </w:p>
    <w:p w:rsidR="00035BE3" w:rsidRDefault="00035BE3" w:rsidP="00C10469">
      <w:pPr>
        <w:pStyle w:val="a6"/>
        <w:ind w:left="422" w:firstLine="0"/>
        <w:rPr>
          <w:rtl/>
        </w:rPr>
      </w:pPr>
      <w:r>
        <w:rPr>
          <w:rFonts w:hint="cs"/>
          <w:b/>
          <w:bCs/>
          <w:rtl/>
        </w:rPr>
        <w:t>ولعل الأقرب منهما</w:t>
      </w:r>
      <w:r>
        <w:rPr>
          <w:rFonts w:hint="cs"/>
          <w:rtl/>
        </w:rPr>
        <w:t xml:space="preserve"> : هو شرح ابن وهبان؛ لسببين :</w:t>
      </w:r>
    </w:p>
    <w:p w:rsidR="00035BE3" w:rsidRDefault="00035BE3" w:rsidP="00C10469">
      <w:pPr>
        <w:pStyle w:val="a6"/>
        <w:numPr>
          <w:ilvl w:val="0"/>
          <w:numId w:val="21"/>
        </w:numPr>
        <w:tabs>
          <w:tab w:val="clear" w:pos="814"/>
        </w:tabs>
        <w:ind w:left="422" w:firstLine="0"/>
        <w:rPr>
          <w:rtl/>
        </w:rPr>
      </w:pPr>
      <w:r>
        <w:rPr>
          <w:rFonts w:hint="cs"/>
          <w:rtl/>
        </w:rPr>
        <w:t>أن الناظم له شرح على نظمه، فيكون شرحه هو الأولى أن يكون مرادًا عند الإطلاق.</w:t>
      </w:r>
    </w:p>
    <w:p w:rsidR="00035BE3" w:rsidRDefault="00035BE3" w:rsidP="00C10469">
      <w:pPr>
        <w:pStyle w:val="a6"/>
        <w:numPr>
          <w:ilvl w:val="0"/>
          <w:numId w:val="21"/>
        </w:numPr>
        <w:tabs>
          <w:tab w:val="clear" w:pos="814"/>
        </w:tabs>
        <w:ind w:left="422" w:firstLine="0"/>
      </w:pPr>
      <w:r>
        <w:rPr>
          <w:rFonts w:hint="cs"/>
          <w:rtl/>
        </w:rPr>
        <w:t xml:space="preserve">ولأن شرح ابن الشحنة مختصر من شرح ابن وهبان، فما كان في المختصر فالغالب وجوده في الأصل من باب أولى، ولا عكس، والنص المذكور لم أجده في المختصر، فلم يبق إلاّ شرح ابن وهبان. وهذا إن كان يضعف كون شرح ابن الشحنة هو المراد، لكنه لا ينفيه جزمًا؛ لأنّ عدم العلم بوجود النصّ في شرح ابن الشحنة ليس علمًا جازمًا بالعدم </w:t>
      </w:r>
      <w:r>
        <w:rPr>
          <w:rtl/>
        </w:rPr>
        <w:t>–</w:t>
      </w:r>
      <w:r>
        <w:rPr>
          <w:rFonts w:hint="cs"/>
          <w:rtl/>
        </w:rPr>
        <w:t>والله أعلم-.</w:t>
      </w:r>
    </w:p>
    <w:p w:rsidR="00035BE3" w:rsidRDefault="00035BE3" w:rsidP="00C10469">
      <w:pPr>
        <w:pStyle w:val="a6"/>
        <w:ind w:left="422" w:firstLine="0"/>
        <w:rPr>
          <w:rtl/>
        </w:rPr>
      </w:pPr>
      <w:r>
        <w:rPr>
          <w:rFonts w:hint="cs"/>
          <w:b/>
          <w:bCs/>
          <w:rtl/>
        </w:rPr>
        <w:t>ولتوثيق ما سبق</w:t>
      </w:r>
      <w:r>
        <w:rPr>
          <w:rFonts w:hint="cs"/>
          <w:rtl/>
        </w:rPr>
        <w:t>: انظر في التعريف بابن وهبان ومنظومته وشرحه إلى: تاج التراجم، ص138-139، رقم 156؛ تفصيل عقد القلائد، ل2/أ؛ الطبقات السنية، 4/408-409، رقم 1348؛ كشف الظنون، 2/1865-1866؛ الفوائد البهية، ص114؛ هدية العارفين، 5/639؛ الأعلام، 4/180.</w:t>
      </w:r>
    </w:p>
    <w:p w:rsidR="00035BE3" w:rsidRDefault="00035BE3" w:rsidP="00C10469">
      <w:pPr>
        <w:pStyle w:val="a6"/>
        <w:ind w:left="422" w:firstLine="0"/>
        <w:rPr>
          <w:rtl/>
        </w:rPr>
      </w:pPr>
      <w:r>
        <w:rPr>
          <w:rFonts w:hint="cs"/>
          <w:rtl/>
        </w:rPr>
        <w:t>وانظر في التعريف بشرح ابن الشحنة : مقدمة شرحه، ل2/أ؛ الطبقات السنية؛ 4/259-260، رقم 1124؛ كشف الظنون، 2/1865؛ الفوائد البهية، ص113-115؛ إيضاح المكنون، 1/311.</w:t>
      </w:r>
    </w:p>
  </w:footnote>
  <w:footnote w:id="345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وأشرفهم</w:t>
      </w:r>
      <w:r>
        <w:rPr>
          <w:rFonts w:hint="eastAsia"/>
          <w:rtl/>
        </w:rPr>
        <w:t>»</w:t>
      </w:r>
      <w:r>
        <w:rPr>
          <w:rFonts w:hint="cs"/>
          <w:rtl/>
        </w:rPr>
        <w:t>.</w:t>
      </w:r>
    </w:p>
  </w:footnote>
  <w:footnote w:id="345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من</w:t>
      </w:r>
      <w:r>
        <w:rPr>
          <w:rFonts w:hint="eastAsia"/>
          <w:rtl/>
        </w:rPr>
        <w:t>»</w:t>
      </w:r>
      <w:r>
        <w:rPr>
          <w:rFonts w:hint="cs"/>
          <w:rtl/>
        </w:rPr>
        <w:t xml:space="preserve"> : زيادة من (ب)، وهذا الكلمة يُحتاج إليها لتمام المعنى؛ لهذا تمَّ إثباتها، وفاقًا لأشباه ابن نجيم.</w:t>
      </w:r>
    </w:p>
  </w:footnote>
  <w:footnote w:id="345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فتاوى قاضي خان، 1/391؛ حيث جاء فيها: </w:t>
      </w:r>
      <w:r>
        <w:rPr>
          <w:rFonts w:hint="eastAsia"/>
          <w:rtl/>
        </w:rPr>
        <w:t>«</w:t>
      </w:r>
      <w:r>
        <w:rPr>
          <w:rFonts w:hint="cs"/>
          <w:rtl/>
        </w:rPr>
        <w:t xml:space="preserve">...قال مولانا </w:t>
      </w:r>
      <w:r>
        <w:rPr>
          <w:rFonts w:ascii="AGA Arabesque" w:hAnsi="AGA Arabesque"/>
          <w:sz w:val="36"/>
        </w:rPr>
        <w:t></w:t>
      </w:r>
      <w:r>
        <w:rPr>
          <w:rFonts w:hint="cs"/>
          <w:rtl/>
        </w:rPr>
        <w:t>: وينبغي أن يكون الجواب على التفصيل : إن كان الأب من الأشراف و الكرام : لا يقبل قوله أنه عارية، وإن كان الأب من جملة من لا يجهّز البنات بمثل ذلك : قبل قوله...</w:t>
      </w:r>
      <w:r>
        <w:rPr>
          <w:rFonts w:hint="eastAsia"/>
          <w:rtl/>
        </w:rPr>
        <w:t>»</w:t>
      </w:r>
      <w:r>
        <w:rPr>
          <w:rFonts w:hint="cs"/>
          <w:rtl/>
        </w:rPr>
        <w:t>.</w:t>
      </w:r>
    </w:p>
  </w:footnote>
  <w:footnote w:id="345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ل31/ب.</w:t>
      </w:r>
    </w:p>
    <w:p w:rsidR="00035BE3" w:rsidRDefault="00035BE3" w:rsidP="00C10469">
      <w:pPr>
        <w:pStyle w:val="a6"/>
        <w:ind w:left="422" w:firstLine="0"/>
        <w:rPr>
          <w:rtl/>
        </w:rPr>
      </w:pPr>
      <w:r>
        <w:rPr>
          <w:rFonts w:hint="cs"/>
          <w:rtl/>
        </w:rPr>
        <w:t>ونصّ ما جاء في الفتاوى الكبرى للصدر الشهيد :</w:t>
      </w:r>
      <w:r>
        <w:rPr>
          <w:rFonts w:hint="cs"/>
          <w:b/>
          <w:bCs/>
          <w:rtl/>
        </w:rPr>
        <w:t xml:space="preserve"> </w:t>
      </w:r>
      <w:r>
        <w:rPr>
          <w:rFonts w:hint="eastAsia"/>
          <w:rtl/>
        </w:rPr>
        <w:t>«</w:t>
      </w:r>
      <w:r>
        <w:rPr>
          <w:rFonts w:hint="cs"/>
          <w:rtl/>
        </w:rPr>
        <w:t>رجل زوّج ابنته وجهّزها، فماتت البنت، فزعم أبوها أن الذي دفع إليها من الجهاز كان ماله، ولم يهبه منها، وإنما عارية منها : فالقول قول الزوج، وعلى الأب البينة؛ لأن الظاهر شاهد للزوج؛ لأن الظاهر أن الأب إذا جهّز ابنته يدفع المال إليها بطريق المليك [هكذا في المخطوط ! ولعل هذا تصحيف من التمليك]، فلا يصدّق إلا ببينة</w:t>
      </w:r>
      <w:r>
        <w:rPr>
          <w:rFonts w:hint="eastAsia"/>
          <w:rtl/>
        </w:rPr>
        <w:t>»</w:t>
      </w:r>
      <w:r>
        <w:rPr>
          <w:rFonts w:hint="cs"/>
          <w:rtl/>
        </w:rPr>
        <w:t>.</w:t>
      </w:r>
    </w:p>
    <w:p w:rsidR="00035BE3" w:rsidRDefault="00035BE3" w:rsidP="00C10469">
      <w:pPr>
        <w:pStyle w:val="a6"/>
        <w:ind w:left="422" w:firstLine="0"/>
        <w:rPr>
          <w:rtl/>
        </w:rPr>
      </w:pPr>
      <w:r>
        <w:rPr>
          <w:rFonts w:hint="cs"/>
          <w:rtl/>
        </w:rPr>
        <w:t xml:space="preserve">ومع ورود العبارة في الفتاوى الكبرى للصدر الشهيد، إلاّ أن المؤلف استفادها عن طريق أشباه ابن نجيم؛ للتطابق الحرفي بينهما، وابن نجيم عزاها إلى الفتاوى الكبرى للخاصي، وليس إلى الصدر </w:t>
      </w:r>
      <w:r w:rsidRPr="00A00906">
        <w:rPr>
          <w:rFonts w:hint="cs"/>
          <w:spacing w:val="-4"/>
          <w:rtl/>
        </w:rPr>
        <w:t xml:space="preserve">الشهيد!. وورودها في الكتاب الأول لا يمنع من كونها في الثاني أيضًا؛ لأن الثاني لايعدوكونه ترتيبًا </w:t>
      </w:r>
      <w:r>
        <w:rPr>
          <w:rFonts w:hint="cs"/>
          <w:rtl/>
        </w:rPr>
        <w:t>للأول.</w:t>
      </w:r>
    </w:p>
    <w:p w:rsidR="00035BE3" w:rsidRDefault="00035BE3" w:rsidP="00C10469">
      <w:pPr>
        <w:pStyle w:val="a6"/>
        <w:ind w:left="422" w:firstLine="0"/>
        <w:rPr>
          <w:rtl/>
        </w:rPr>
      </w:pPr>
      <w:r>
        <w:rPr>
          <w:rFonts w:hint="cs"/>
          <w:rtl/>
        </w:rPr>
        <w:t xml:space="preserve">وللتعريف بالكتابين يقال : هناك كتابان في الفقه الحنفي يعرفان بالفتاوى الكبرى، إلا أنهما يؤولان إلى كتاب واحد؛ لأن الثاني منهما ترتيب للأول : </w:t>
      </w:r>
    </w:p>
    <w:p w:rsidR="00035BE3" w:rsidRDefault="00035BE3" w:rsidP="00C10469">
      <w:pPr>
        <w:pStyle w:val="a6"/>
        <w:spacing w:line="410" w:lineRule="exact"/>
        <w:ind w:left="422" w:firstLine="0"/>
        <w:rPr>
          <w:spacing w:val="6"/>
          <w:rtl/>
        </w:rPr>
      </w:pPr>
      <w:r>
        <w:rPr>
          <w:rFonts w:hint="cs"/>
          <w:b/>
          <w:bCs/>
          <w:spacing w:val="6"/>
          <w:rtl/>
        </w:rPr>
        <w:t xml:space="preserve">فالأول </w:t>
      </w:r>
      <w:r>
        <w:rPr>
          <w:rFonts w:hint="cs"/>
          <w:spacing w:val="6"/>
          <w:rtl/>
        </w:rPr>
        <w:t>هو : الفتاوى الكبرى لعمر بن عبد العزيز بن عمر، الحسام الـمعروف بالصدر الشهيد (483-536هـ).</w:t>
      </w:r>
    </w:p>
    <w:p w:rsidR="00035BE3" w:rsidRDefault="00035BE3" w:rsidP="00C10469">
      <w:pPr>
        <w:pStyle w:val="a6"/>
        <w:spacing w:line="410" w:lineRule="exact"/>
        <w:ind w:left="422" w:firstLine="0"/>
        <w:rPr>
          <w:rtl/>
        </w:rPr>
      </w:pPr>
      <w:r>
        <w:rPr>
          <w:rFonts w:hint="cs"/>
          <w:rtl/>
        </w:rPr>
        <w:t xml:space="preserve">وقد جمعها من خمسة كتب، ورمز لكل كتاب برمز معين، منها : النوازل لأبي الليث ورمز له بالنون، و مسائل أبي بكر محمد بن الفضل، ورمز لها بالباء، و الواقعات لأبي العباس الناطقي، و رمز لها بالواو ويضاف إليها : العيون، وفتاوى أهل سمرقند، ورمز لهما بالعين والسين </w:t>
      </w:r>
      <w:r>
        <w:rPr>
          <w:rtl/>
        </w:rPr>
        <w:t>–</w:t>
      </w:r>
      <w:r>
        <w:rPr>
          <w:rFonts w:hint="cs"/>
          <w:rtl/>
        </w:rPr>
        <w:t>وقد ورد ذلك على غلاف الكتاب، وفي كشف الظنون-.</w:t>
      </w:r>
    </w:p>
    <w:p w:rsidR="00035BE3" w:rsidRDefault="00035BE3" w:rsidP="00C10469">
      <w:pPr>
        <w:pStyle w:val="a6"/>
        <w:spacing w:line="410" w:lineRule="exact"/>
        <w:ind w:left="422" w:firstLine="0"/>
        <w:rPr>
          <w:rtl/>
        </w:rPr>
      </w:pPr>
      <w:r>
        <w:rPr>
          <w:rFonts w:hint="cs"/>
          <w:rtl/>
        </w:rPr>
        <w:t>وللكتاب نسخ خطية كثيرة، منها نسخ المكتبات الآتية :</w:t>
      </w:r>
    </w:p>
    <w:p w:rsidR="00035BE3" w:rsidRDefault="00035BE3" w:rsidP="00C10469">
      <w:pPr>
        <w:pStyle w:val="a6"/>
        <w:spacing w:line="410" w:lineRule="exact"/>
        <w:ind w:left="422" w:firstLine="0"/>
        <w:rPr>
          <w:rtl/>
        </w:rPr>
      </w:pPr>
      <w:r>
        <w:rPr>
          <w:rFonts w:hint="cs"/>
          <w:b/>
          <w:bCs/>
          <w:rtl/>
        </w:rPr>
        <w:t>1</w:t>
      </w:r>
      <w:r>
        <w:rPr>
          <w:rFonts w:hint="cs"/>
          <w:rtl/>
        </w:rPr>
        <w:t>- جامعة الإمام محمد بن سعود الإسلامية، برقم 3545/ف.</w:t>
      </w:r>
    </w:p>
    <w:p w:rsidR="00035BE3" w:rsidRDefault="00035BE3" w:rsidP="00C10469">
      <w:pPr>
        <w:pStyle w:val="a6"/>
        <w:spacing w:line="410" w:lineRule="exact"/>
        <w:ind w:left="422" w:firstLine="0"/>
        <w:rPr>
          <w:rtl/>
        </w:rPr>
      </w:pPr>
      <w:r>
        <w:rPr>
          <w:rFonts w:hint="cs"/>
          <w:b/>
          <w:bCs/>
          <w:rtl/>
        </w:rPr>
        <w:t>2</w:t>
      </w:r>
      <w:r>
        <w:rPr>
          <w:rFonts w:hint="cs"/>
          <w:rtl/>
        </w:rPr>
        <w:t>- المخطوطات العربية بمدينة الكويت، برقم 2044.</w:t>
      </w:r>
    </w:p>
    <w:p w:rsidR="00035BE3" w:rsidRDefault="00035BE3" w:rsidP="00C10469">
      <w:pPr>
        <w:pStyle w:val="a6"/>
        <w:spacing w:line="410" w:lineRule="exact"/>
        <w:ind w:left="422" w:firstLine="0"/>
        <w:rPr>
          <w:rtl/>
        </w:rPr>
      </w:pPr>
      <w:r>
        <w:rPr>
          <w:rFonts w:hint="cs"/>
          <w:b/>
          <w:bCs/>
          <w:rtl/>
        </w:rPr>
        <w:t>3</w:t>
      </w:r>
      <w:r>
        <w:rPr>
          <w:rFonts w:hint="cs"/>
          <w:rtl/>
        </w:rPr>
        <w:t>- الأوقاف بالموصل، (رقم الحفظ 219، رقم136).</w:t>
      </w:r>
    </w:p>
    <w:p w:rsidR="00035BE3" w:rsidRDefault="00035BE3" w:rsidP="00C10469">
      <w:pPr>
        <w:pStyle w:val="a6"/>
        <w:spacing w:line="410" w:lineRule="exact"/>
        <w:ind w:left="422" w:firstLine="0"/>
        <w:rPr>
          <w:rtl/>
        </w:rPr>
      </w:pPr>
      <w:r>
        <w:rPr>
          <w:rFonts w:hint="cs"/>
          <w:b/>
          <w:bCs/>
          <w:rtl/>
        </w:rPr>
        <w:t>4</w:t>
      </w:r>
      <w:r>
        <w:rPr>
          <w:rFonts w:hint="cs"/>
          <w:rtl/>
        </w:rPr>
        <w:t>- الزيتونة بتونس، (رقم الحفظ 4/181، رقم 2216).</w:t>
      </w:r>
    </w:p>
    <w:p w:rsidR="00035BE3" w:rsidRDefault="00035BE3" w:rsidP="00C10469">
      <w:pPr>
        <w:pStyle w:val="a6"/>
        <w:spacing w:line="410" w:lineRule="exact"/>
        <w:ind w:left="422" w:firstLine="0"/>
        <w:rPr>
          <w:rtl/>
        </w:rPr>
      </w:pPr>
      <w:r>
        <w:rPr>
          <w:rFonts w:hint="cs"/>
          <w:b/>
          <w:bCs/>
          <w:rtl/>
        </w:rPr>
        <w:t>5</w:t>
      </w:r>
      <w:r>
        <w:rPr>
          <w:rFonts w:hint="cs"/>
          <w:rtl/>
        </w:rPr>
        <w:t>-</w:t>
      </w:r>
      <w:r>
        <w:rPr>
          <w:rFonts w:hint="cs"/>
          <w:b/>
          <w:bCs/>
          <w:rtl/>
        </w:rPr>
        <w:t>11</w:t>
      </w:r>
      <w:r>
        <w:rPr>
          <w:rFonts w:hint="cs"/>
          <w:rtl/>
        </w:rPr>
        <w:t>- السليمانية، في الفهارس الآتية :</w:t>
      </w:r>
    </w:p>
    <w:p w:rsidR="00035BE3" w:rsidRDefault="00035BE3" w:rsidP="00C10469">
      <w:pPr>
        <w:pStyle w:val="a6"/>
        <w:spacing w:line="410" w:lineRule="exact"/>
        <w:ind w:left="-32" w:firstLine="454"/>
        <w:rPr>
          <w:rtl/>
        </w:rPr>
      </w:pPr>
      <w:r>
        <w:rPr>
          <w:rFonts w:hint="cs"/>
          <w:rtl/>
        </w:rPr>
        <w:t>- فاتح، برقم 2410-2412.</w:t>
      </w:r>
    </w:p>
    <w:p w:rsidR="00035BE3" w:rsidRDefault="00035BE3" w:rsidP="00C10469">
      <w:pPr>
        <w:pStyle w:val="a6"/>
        <w:spacing w:line="410" w:lineRule="exact"/>
        <w:ind w:left="-32" w:firstLine="454"/>
      </w:pPr>
      <w:r>
        <w:rPr>
          <w:rFonts w:hint="cs"/>
          <w:rtl/>
        </w:rPr>
        <w:t>- لاله لي، برقم 1274.</w:t>
      </w:r>
    </w:p>
    <w:p w:rsidR="00035BE3" w:rsidRDefault="00035BE3" w:rsidP="00C10469">
      <w:pPr>
        <w:pStyle w:val="a6"/>
        <w:spacing w:line="410" w:lineRule="exact"/>
        <w:ind w:left="-32" w:firstLine="454"/>
      </w:pPr>
      <w:r>
        <w:rPr>
          <w:rFonts w:hint="cs"/>
          <w:rtl/>
        </w:rPr>
        <w:t>- يني جامع، برقم 657-659.</w:t>
      </w:r>
    </w:p>
    <w:p w:rsidR="00035BE3" w:rsidRDefault="00035BE3" w:rsidP="00C10469">
      <w:pPr>
        <w:pStyle w:val="a6"/>
        <w:spacing w:line="410" w:lineRule="exact"/>
        <w:ind w:left="422" w:firstLine="0"/>
      </w:pPr>
      <w:r>
        <w:rPr>
          <w:rFonts w:hint="cs"/>
          <w:b/>
          <w:bCs/>
          <w:rtl/>
        </w:rPr>
        <w:t>12</w:t>
      </w:r>
      <w:r>
        <w:rPr>
          <w:rFonts w:hint="cs"/>
          <w:rtl/>
        </w:rPr>
        <w:t>- باتنة بالهند، (رقم الحفظ 1/99، رقم 1008).</w:t>
      </w:r>
    </w:p>
    <w:p w:rsidR="00035BE3" w:rsidRDefault="00035BE3" w:rsidP="00C10469">
      <w:pPr>
        <w:pStyle w:val="a6"/>
        <w:spacing w:line="410" w:lineRule="exact"/>
        <w:ind w:left="422" w:firstLine="0"/>
      </w:pPr>
      <w:r>
        <w:rPr>
          <w:rFonts w:hint="cs"/>
          <w:b/>
          <w:bCs/>
          <w:rtl/>
        </w:rPr>
        <w:t>13</w:t>
      </w:r>
      <w:r>
        <w:rPr>
          <w:rFonts w:hint="cs"/>
          <w:rtl/>
        </w:rPr>
        <w:t>- بانكبور بالهند، (برقم 19(1) رقم 1607).</w:t>
      </w:r>
    </w:p>
    <w:p w:rsidR="00035BE3" w:rsidRDefault="00035BE3" w:rsidP="00C10469">
      <w:pPr>
        <w:pStyle w:val="a6"/>
        <w:spacing w:line="410" w:lineRule="exact"/>
        <w:ind w:left="422" w:firstLine="0"/>
        <w:rPr>
          <w:rtl/>
        </w:rPr>
      </w:pPr>
      <w:r>
        <w:rPr>
          <w:rFonts w:hint="cs"/>
          <w:b/>
          <w:bCs/>
          <w:rtl/>
        </w:rPr>
        <w:t>14</w:t>
      </w:r>
      <w:r>
        <w:rPr>
          <w:rFonts w:hint="cs"/>
          <w:rtl/>
        </w:rPr>
        <w:t>- شيستربتي بمدينة دبلن بإيرلندا، برقم 3/3545.</w:t>
      </w:r>
    </w:p>
    <w:p w:rsidR="00035BE3" w:rsidRDefault="00035BE3" w:rsidP="00C10469">
      <w:pPr>
        <w:pStyle w:val="a6"/>
        <w:spacing w:line="410" w:lineRule="exact"/>
        <w:ind w:left="422" w:firstLine="0"/>
        <w:rPr>
          <w:rtl/>
        </w:rPr>
      </w:pPr>
      <w:r>
        <w:rPr>
          <w:rFonts w:hint="cs"/>
          <w:b/>
          <w:bCs/>
          <w:rtl/>
        </w:rPr>
        <w:t xml:space="preserve">و الثاني </w:t>
      </w:r>
      <w:r>
        <w:rPr>
          <w:rFonts w:hint="cs"/>
          <w:rtl/>
        </w:rPr>
        <w:t xml:space="preserve">: هو الفتاوى الكـبرى ليوسف بن أحمد، النجم الـخوارزمي الخاصي المعروف بغطيس (ت634هـ)، وأصلها كانت للصدر الشهيد، فرتَّبها الخاصي وبوبّها على ضوء كتاب (الفتاوى الصغرى) للصدر الشهيد، فأصبحت بعد ترتيبها تُنسب إلى الخاصي و تُلقّب بـ (تجنيس واقعات حسام الدين)؛ لأنها من تجنيس وترتيب الخاصي، حيث </w:t>
      </w:r>
      <w:r>
        <w:rPr>
          <w:rFonts w:hint="eastAsia"/>
          <w:rtl/>
        </w:rPr>
        <w:t>«</w:t>
      </w:r>
      <w:r>
        <w:rPr>
          <w:rFonts w:hint="cs"/>
          <w:rtl/>
        </w:rPr>
        <w:t>رتب فيها المتفرقات من فتاوي الإمام الصدر الشهيد [حسام الدين]، واقتصر على تقرير الأجناس</w:t>
      </w:r>
      <w:r>
        <w:rPr>
          <w:rFonts w:hint="eastAsia"/>
          <w:rtl/>
        </w:rPr>
        <w:t>»</w:t>
      </w:r>
      <w:r>
        <w:rPr>
          <w:rFonts w:hint="cs"/>
          <w:rtl/>
        </w:rPr>
        <w:t>- كذا في (كشف الظنون)-.</w:t>
      </w:r>
      <w:r>
        <w:rPr>
          <w:rFonts w:hint="cs"/>
          <w:rtl/>
        </w:rPr>
        <w:tab/>
      </w:r>
      <w:r>
        <w:rPr>
          <w:rFonts w:hint="cs"/>
          <w:rtl/>
        </w:rPr>
        <w:tab/>
        <w:t xml:space="preserve">  </w:t>
      </w:r>
    </w:p>
    <w:p w:rsidR="00035BE3" w:rsidRDefault="00035BE3" w:rsidP="00C10469">
      <w:pPr>
        <w:pStyle w:val="a6"/>
        <w:spacing w:line="410" w:lineRule="exact"/>
        <w:ind w:left="422" w:firstLine="0"/>
        <w:rPr>
          <w:b/>
          <w:bCs/>
          <w:spacing w:val="-6"/>
          <w:rtl/>
        </w:rPr>
      </w:pPr>
      <w:r>
        <w:rPr>
          <w:rFonts w:hint="cs"/>
          <w:b/>
          <w:bCs/>
          <w:spacing w:val="-6"/>
          <w:rtl/>
        </w:rPr>
        <w:t>ولتوثيق ما سبق :</w:t>
      </w:r>
    </w:p>
    <w:p w:rsidR="00035BE3" w:rsidRDefault="00035BE3" w:rsidP="00C10469">
      <w:pPr>
        <w:pStyle w:val="a6"/>
        <w:spacing w:line="410" w:lineRule="exact"/>
        <w:ind w:left="422" w:firstLine="0"/>
        <w:rPr>
          <w:spacing w:val="-6"/>
          <w:rtl/>
        </w:rPr>
      </w:pPr>
      <w:r>
        <w:rPr>
          <w:rFonts w:hint="cs"/>
          <w:spacing w:val="-6"/>
          <w:rtl/>
        </w:rPr>
        <w:t>انظر في التعريف بالكتاب الأول : الجواهر المضية، 2/649-650، رقم 1053؛ تاج التراجم، ص161-162، رقم 183؛ كشف الظنون، 2/1228-1229؛ الفوائد البهية، ص149؛ هدية العارفين، 1/783؛ الفتح المبين، 2/25.</w:t>
      </w:r>
    </w:p>
    <w:p w:rsidR="00035BE3" w:rsidRDefault="00035BE3" w:rsidP="00C10469">
      <w:pPr>
        <w:pStyle w:val="a6"/>
        <w:spacing w:line="410" w:lineRule="exact"/>
        <w:ind w:left="422" w:firstLine="0"/>
        <w:rPr>
          <w:rtl/>
        </w:rPr>
      </w:pPr>
      <w:r>
        <w:rPr>
          <w:rFonts w:hint="cs"/>
          <w:spacing w:val="-6"/>
          <w:rtl/>
        </w:rPr>
        <w:t>وانظر في التعريف بالكتاب الثاني : الجواهر المضية، 3/617، رقم 1831؛ كشف الظنون، 2/1222، 1229؛ هدية العارفين، 2/554.</w:t>
      </w:r>
    </w:p>
  </w:footnote>
  <w:footnote w:id="345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الأشباه والنظائر لابن نجيم، ص123-124- مع اختلاف يسير سبق بيانه-.</w:t>
      </w:r>
    </w:p>
    <w:p w:rsidR="00035BE3" w:rsidRDefault="00035BE3" w:rsidP="00C10469">
      <w:pPr>
        <w:pStyle w:val="a6"/>
        <w:ind w:left="422" w:firstLine="0"/>
        <w:rPr>
          <w:rtl/>
        </w:rPr>
      </w:pPr>
      <w:r>
        <w:rPr>
          <w:rFonts w:hint="cs"/>
          <w:rtl/>
        </w:rPr>
        <w:t xml:space="preserve">ويضاف إليه زيادة في الأشباه يُحتاج إليها في إيضاح المعنى؛ حيث جاء عند الأخير في نهاية العبارة: </w:t>
      </w:r>
      <w:r>
        <w:rPr>
          <w:rFonts w:hint="eastAsia"/>
          <w:rtl/>
        </w:rPr>
        <w:t>«</w:t>
      </w:r>
      <w:r>
        <w:rPr>
          <w:rFonts w:hint="cs"/>
          <w:rtl/>
        </w:rPr>
        <w:t>... وفي (الكبرى) للخاصي : أن القول للزوج بعد موتها، وعلى الأب البينة؛ لأن الظاهر شاهد للزوج...</w:t>
      </w:r>
      <w:r>
        <w:rPr>
          <w:rFonts w:hint="eastAsia"/>
          <w:rtl/>
        </w:rPr>
        <w:t>»</w:t>
      </w:r>
      <w:r>
        <w:rPr>
          <w:rFonts w:hint="cs"/>
          <w:rtl/>
        </w:rPr>
        <w:t>.</w:t>
      </w:r>
    </w:p>
    <w:p w:rsidR="00035BE3" w:rsidRDefault="00035BE3" w:rsidP="00C10469">
      <w:pPr>
        <w:pStyle w:val="a6"/>
        <w:ind w:left="422" w:firstLine="0"/>
        <w:rPr>
          <w:rtl/>
        </w:rPr>
      </w:pPr>
      <w:r>
        <w:rPr>
          <w:rFonts w:hint="cs"/>
          <w:rtl/>
        </w:rPr>
        <w:t xml:space="preserve">وبعد أن انتهى من النقل عن (الكبرى) ربط الأقوال الثلاثة بالقاعدة وجعل الاختلاف فيها مبنيًّا على اختلافهم في العرف الذي تحمل عليه المسألة فقال : </w:t>
      </w:r>
      <w:r>
        <w:rPr>
          <w:rFonts w:hint="eastAsia"/>
          <w:rtl/>
        </w:rPr>
        <w:t>«</w:t>
      </w:r>
      <w:r>
        <w:rPr>
          <w:rFonts w:hint="cs"/>
          <w:rtl/>
        </w:rPr>
        <w:t>وعلى كلِّ قول : فالمنظور إليه العرف : فالقول المفتى به نَظَرَ إلى عرف بلدهما، وقاضي خان نظر إلى حال الأب في العرف، وما في (الكبرى) نظر إلى مطلق العرف من أنَّ الأب إنما يجهِّز مِلكًا</w:t>
      </w:r>
      <w:r>
        <w:rPr>
          <w:rFonts w:hint="eastAsia"/>
          <w:rtl/>
        </w:rPr>
        <w:t>»</w:t>
      </w:r>
      <w:r>
        <w:rPr>
          <w:rFonts w:hint="cs"/>
          <w:rtl/>
        </w:rPr>
        <w:t>.</w:t>
      </w:r>
    </w:p>
    <w:p w:rsidR="00035BE3" w:rsidRDefault="00035BE3" w:rsidP="00C10469">
      <w:pPr>
        <w:pStyle w:val="a6"/>
        <w:ind w:left="422" w:firstLine="0"/>
        <w:rPr>
          <w:rtl/>
        </w:rPr>
      </w:pPr>
      <w:r>
        <w:rPr>
          <w:rFonts w:hint="cs"/>
          <w:rtl/>
        </w:rPr>
        <w:t>وانظر أصل المسألة في : جامع الفصولين، 1/192.</w:t>
      </w:r>
    </w:p>
  </w:footnote>
  <w:footnote w:id="345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هامش (أ): </w:t>
      </w:r>
      <w:r>
        <w:rPr>
          <w:rFonts w:hint="eastAsia"/>
          <w:rtl/>
        </w:rPr>
        <w:t>«</w:t>
      </w:r>
      <w:r>
        <w:rPr>
          <w:rFonts w:hint="cs"/>
          <w:rtl/>
        </w:rPr>
        <w:t>أي: الصنعة</w:t>
      </w:r>
      <w:r>
        <w:rPr>
          <w:rFonts w:hint="eastAsia"/>
          <w:rtl/>
        </w:rPr>
        <w:t>»</w:t>
      </w:r>
      <w:r>
        <w:rPr>
          <w:rFonts w:hint="cs"/>
          <w:rtl/>
        </w:rPr>
        <w:t>. ولعلَّ المحشِّي يقصد بذلك: صنعة النَّسيج. ولو قال المؤلف: (لتعلّم النسج) لكان أولى.</w:t>
      </w:r>
    </w:p>
  </w:footnote>
  <w:footnote w:id="345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41/أ من (د).</w:t>
      </w:r>
    </w:p>
  </w:footnote>
  <w:footnote w:id="345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الأشباه والنظائر لابن نجيم، ص124 - مع زيادة تفصيل للحكم المبني على العرف - علمًا بأن ابن نجيم عزا هذه المسألة إلى (منية المفتي)، وهي ليوسف السّجستاني.</w:t>
      </w:r>
    </w:p>
  </w:footnote>
  <w:footnote w:id="345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الأشباه</w:t>
      </w:r>
      <w:r>
        <w:rPr>
          <w:rFonts w:hint="eastAsia"/>
          <w:rtl/>
        </w:rPr>
        <w:t>»</w:t>
      </w:r>
      <w:r>
        <w:rPr>
          <w:rFonts w:hint="cs"/>
          <w:rtl/>
        </w:rPr>
        <w:t xml:space="preserve"> : ساقطة من (جـ).</w:t>
      </w:r>
    </w:p>
  </w:footnote>
  <w:footnote w:id="3459">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هكذا في جميع النسخ. وفي أشباه ابن نجيم : </w:t>
      </w:r>
      <w:r>
        <w:rPr>
          <w:rFonts w:hint="eastAsia"/>
          <w:rtl/>
        </w:rPr>
        <w:t>«</w:t>
      </w:r>
      <w:r>
        <w:rPr>
          <w:rFonts w:hint="cs"/>
          <w:rtl/>
        </w:rPr>
        <w:t xml:space="preserve"> العرف </w:t>
      </w:r>
      <w:r>
        <w:rPr>
          <w:rFonts w:hint="eastAsia"/>
          <w:rtl/>
        </w:rPr>
        <w:t>»</w:t>
      </w:r>
      <w:r>
        <w:rPr>
          <w:rFonts w:hint="cs"/>
          <w:rtl/>
        </w:rPr>
        <w:t>. ولعل هذا الصحيح.</w:t>
      </w:r>
    </w:p>
  </w:footnote>
  <w:footnote w:id="3460">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فقد </w:t>
      </w:r>
      <w:r>
        <w:rPr>
          <w:rFonts w:hint="eastAsia"/>
          <w:rtl/>
        </w:rPr>
        <w:t>»</w:t>
      </w:r>
      <w:r>
        <w:rPr>
          <w:rFonts w:hint="cs"/>
          <w:rtl/>
        </w:rPr>
        <w:t>.</w:t>
      </w:r>
    </w:p>
  </w:footnote>
  <w:footnote w:id="3461">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و(جـ) : زيادة </w:t>
      </w:r>
      <w:r>
        <w:rPr>
          <w:rFonts w:hint="eastAsia"/>
          <w:rtl/>
        </w:rPr>
        <w:t>«</w:t>
      </w:r>
      <w:r>
        <w:rPr>
          <w:rFonts w:hint="cs"/>
          <w:rtl/>
        </w:rPr>
        <w:t xml:space="preserve"> له </w:t>
      </w:r>
      <w:r>
        <w:rPr>
          <w:rFonts w:hint="eastAsia"/>
          <w:rtl/>
        </w:rPr>
        <w:t>»</w:t>
      </w:r>
      <w:r>
        <w:rPr>
          <w:rFonts w:hint="cs"/>
          <w:rtl/>
        </w:rPr>
        <w:t>. والصحيح إسقاطها، وهو الموافق للأشباه.</w:t>
      </w:r>
    </w:p>
  </w:footnote>
  <w:footnote w:id="3462">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لصاحب أو</w:t>
      </w:r>
      <w:r>
        <w:rPr>
          <w:rFonts w:hint="eastAsia"/>
          <w:rtl/>
        </w:rPr>
        <w:t>»</w:t>
      </w:r>
      <w:r>
        <w:rPr>
          <w:rFonts w:hint="cs"/>
          <w:rtl/>
        </w:rPr>
        <w:t>. والصحيح ما تمَّ إثباته من (جـ)، وهو الموافق للأشباه.</w:t>
      </w:r>
    </w:p>
  </w:footnote>
  <w:footnote w:id="3463">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فينفي </w:t>
      </w:r>
      <w:r>
        <w:rPr>
          <w:rFonts w:hint="eastAsia"/>
          <w:rtl/>
        </w:rPr>
        <w:t>»</w:t>
      </w:r>
      <w:r>
        <w:rPr>
          <w:rFonts w:hint="cs"/>
          <w:rtl/>
        </w:rPr>
        <w:t>.</w:t>
      </w:r>
    </w:p>
  </w:footnote>
  <w:footnote w:id="3464">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50/ب من (جـ).</w:t>
      </w:r>
    </w:p>
  </w:footnote>
  <w:footnote w:id="3465">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الأشباه : </w:t>
      </w:r>
      <w:r>
        <w:rPr>
          <w:rFonts w:hint="eastAsia"/>
          <w:rtl/>
        </w:rPr>
        <w:t>«</w:t>
      </w:r>
      <w:r>
        <w:rPr>
          <w:rFonts w:hint="cs"/>
          <w:rtl/>
        </w:rPr>
        <w:t xml:space="preserve"> لو نزل ...</w:t>
      </w:r>
      <w:r>
        <w:rPr>
          <w:rFonts w:hint="eastAsia"/>
          <w:rtl/>
        </w:rPr>
        <w:t>»</w:t>
      </w:r>
      <w:r>
        <w:rPr>
          <w:rFonts w:hint="cs"/>
          <w:rtl/>
        </w:rPr>
        <w:t>. وهذا الأولى.</w:t>
      </w:r>
    </w:p>
  </w:footnote>
  <w:footnote w:id="3466">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66/ب من (أ).</w:t>
      </w:r>
    </w:p>
  </w:footnote>
  <w:footnote w:id="3467">
    <w:p w:rsidR="00035BE3" w:rsidRDefault="00035BE3" w:rsidP="00C10469">
      <w:pPr>
        <w:pStyle w:val="a8"/>
        <w:bidi/>
        <w:spacing w:line="500" w:lineRule="exact"/>
        <w:ind w:left="422" w:right="0"/>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الأشباه، ص128. وقد قال ابن نجيم عقب ذلك مباشرة: </w:t>
      </w:r>
      <w:r>
        <w:rPr>
          <w:rFonts w:hint="eastAsia"/>
          <w:spacing w:val="6"/>
          <w:rtl/>
        </w:rPr>
        <w:t>«</w:t>
      </w:r>
      <w:r>
        <w:rPr>
          <w:rFonts w:hint="cs"/>
          <w:spacing w:val="6"/>
          <w:rtl/>
        </w:rPr>
        <w:t>... لا يملك ذلك، ولا حول ولا قوة إلا بالله</w:t>
      </w:r>
      <w:r>
        <w:rPr>
          <w:rFonts w:hint="eastAsia"/>
          <w:spacing w:val="6"/>
          <w:rtl/>
        </w:rPr>
        <w:t>»</w:t>
      </w:r>
      <w:r>
        <w:rPr>
          <w:rFonts w:hint="cs"/>
          <w:spacing w:val="6"/>
          <w:rtl/>
        </w:rPr>
        <w:t>.</w:t>
      </w:r>
    </w:p>
    <w:p w:rsidR="00035BE3" w:rsidRDefault="00035BE3" w:rsidP="00C10469">
      <w:pPr>
        <w:pStyle w:val="a6"/>
        <w:spacing w:line="500" w:lineRule="exact"/>
        <w:ind w:left="422" w:firstLine="0"/>
        <w:rPr>
          <w:spacing w:val="8"/>
          <w:rtl/>
        </w:rPr>
      </w:pPr>
      <w:r>
        <w:rPr>
          <w:rFonts w:hint="cs"/>
          <w:spacing w:val="8"/>
          <w:rtl/>
        </w:rPr>
        <w:t xml:space="preserve">كما أن قول المؤلف : </w:t>
      </w:r>
      <w:r>
        <w:rPr>
          <w:rFonts w:hint="eastAsia"/>
          <w:spacing w:val="8"/>
          <w:rtl/>
        </w:rPr>
        <w:t>«</w:t>
      </w:r>
      <w:r>
        <w:rPr>
          <w:rFonts w:hint="cs"/>
          <w:spacing w:val="8"/>
          <w:rtl/>
        </w:rPr>
        <w:t>وقد رأيت بعضًا من علمائنا أفتوا بجوازها، واحتجوا بهذه المسألة وقالوا</w:t>
      </w:r>
      <w:r>
        <w:rPr>
          <w:rFonts w:hint="eastAsia"/>
          <w:spacing w:val="8"/>
          <w:rtl/>
        </w:rPr>
        <w:t>»</w:t>
      </w:r>
      <w:r>
        <w:rPr>
          <w:rFonts w:hint="cs"/>
          <w:spacing w:val="8"/>
          <w:rtl/>
        </w:rPr>
        <w:t xml:space="preserve"> هذه المقولة أدرجها المؤلف، لكنه استفاد معناها من كلام متقدم لابن نجيم، حيث قال : </w:t>
      </w:r>
      <w:r>
        <w:rPr>
          <w:rFonts w:hint="eastAsia"/>
          <w:spacing w:val="8"/>
          <w:rtl/>
        </w:rPr>
        <w:t>«</w:t>
      </w:r>
      <w:r>
        <w:rPr>
          <w:rFonts w:hint="cs"/>
          <w:spacing w:val="8"/>
          <w:rtl/>
        </w:rPr>
        <w:t>والحاصل : أن المذهب : عدم اعتبار العرف الخاص، ولكن أفتى كثير من المشايخ باعتباره، فأقول على اعتباره ... وكذا أقول على اعتبار العرف الخاص...</w:t>
      </w:r>
      <w:r>
        <w:rPr>
          <w:rFonts w:hint="eastAsia"/>
          <w:spacing w:val="8"/>
          <w:rtl/>
        </w:rPr>
        <w:t>»</w:t>
      </w:r>
      <w:r>
        <w:rPr>
          <w:rFonts w:hint="cs"/>
          <w:spacing w:val="8"/>
          <w:rtl/>
        </w:rPr>
        <w:t>.</w:t>
      </w:r>
    </w:p>
  </w:footnote>
  <w:footnote w:id="3468">
    <w:p w:rsidR="00035BE3" w:rsidRDefault="00035BE3" w:rsidP="00C10469">
      <w:pPr>
        <w:pStyle w:val="a8"/>
        <w:bidi/>
        <w:spacing w:line="50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الباء زيادة من (ب) و(جـ). وهذه زيادة في المبنى، وفيها زيادة في المعنى.</w:t>
      </w:r>
    </w:p>
  </w:footnote>
  <w:footnote w:id="3469">
    <w:p w:rsidR="00035BE3" w:rsidRDefault="00035BE3" w:rsidP="00C10469">
      <w:pPr>
        <w:pStyle w:val="a8"/>
        <w:bidi/>
        <w:spacing w:line="500" w:lineRule="exact"/>
        <w:ind w:left="422" w:right="0"/>
        <w:rPr>
          <w:spacing w:val="8"/>
          <w:rtl/>
        </w:rPr>
      </w:pPr>
      <w:r>
        <w:rPr>
          <w:spacing w:val="8"/>
          <w:vertAlign w:val="superscript"/>
          <w:rtl/>
        </w:rPr>
        <w:t>(</w:t>
      </w:r>
      <w:r>
        <w:rPr>
          <w:rStyle w:val="a7"/>
          <w:spacing w:val="8"/>
        </w:rPr>
        <w:footnoteRef/>
      </w:r>
      <w:r>
        <w:rPr>
          <w:rFonts w:hint="cs"/>
          <w:spacing w:val="8"/>
          <w:vertAlign w:val="superscript"/>
          <w:rtl/>
        </w:rPr>
        <w:t>)</w:t>
      </w:r>
      <w:r>
        <w:rPr>
          <w:rFonts w:hint="cs"/>
          <w:spacing w:val="8"/>
          <w:rtl/>
        </w:rPr>
        <w:t xml:space="preserve">  وذلك في أشباهه، ص240؛ وكذلك في قواعده، ص317، قاعدة 418. والمؤلف سبق أن ذكر قاعدة بمعناها، وهي : </w:t>
      </w:r>
      <w:r>
        <w:rPr>
          <w:rFonts w:hint="eastAsia"/>
          <w:spacing w:val="8"/>
          <w:rtl/>
        </w:rPr>
        <w:t>«</w:t>
      </w:r>
      <w:r>
        <w:rPr>
          <w:rFonts w:hint="cs"/>
          <w:spacing w:val="8"/>
          <w:rtl/>
        </w:rPr>
        <w:t>بيع الحقوق لا يجوز بالانـفراد</w:t>
      </w:r>
      <w:r>
        <w:rPr>
          <w:rFonts w:hint="eastAsia"/>
          <w:spacing w:val="8"/>
          <w:rtl/>
        </w:rPr>
        <w:t>»</w:t>
      </w:r>
      <w:r>
        <w:rPr>
          <w:rFonts w:hint="cs"/>
          <w:spacing w:val="8"/>
          <w:rtl/>
        </w:rPr>
        <w:t>، وذلك ص449 (ل26/أ)، قاعدة 59.</w:t>
      </w:r>
    </w:p>
  </w:footnote>
  <w:footnote w:id="347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وفروع </w:t>
      </w:r>
      <w:r>
        <w:rPr>
          <w:rFonts w:hint="eastAsia"/>
          <w:rtl/>
        </w:rPr>
        <w:t>»</w:t>
      </w:r>
      <w:r>
        <w:rPr>
          <w:rFonts w:hint="cs"/>
          <w:rtl/>
        </w:rPr>
        <w:t>.</w:t>
      </w:r>
    </w:p>
  </w:footnote>
  <w:footnote w:id="347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على الأصل المذكور.</w:t>
      </w:r>
    </w:p>
  </w:footnote>
  <w:footnote w:id="347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في </w:t>
      </w:r>
      <w:r>
        <w:rPr>
          <w:rFonts w:hint="eastAsia"/>
          <w:rtl/>
        </w:rPr>
        <w:t>»</w:t>
      </w:r>
      <w:r>
        <w:rPr>
          <w:rFonts w:hint="cs"/>
          <w:rtl/>
        </w:rPr>
        <w:t>.</w:t>
      </w:r>
    </w:p>
  </w:footnote>
  <w:footnote w:id="347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الأوقات</w:t>
      </w:r>
      <w:r>
        <w:rPr>
          <w:rFonts w:hint="eastAsia"/>
          <w:rtl/>
        </w:rPr>
        <w:t>»</w:t>
      </w:r>
      <w:r>
        <w:rPr>
          <w:rFonts w:hint="cs"/>
          <w:rtl/>
        </w:rPr>
        <w:t xml:space="preserve">، وفي (ب) : </w:t>
      </w:r>
      <w:r>
        <w:rPr>
          <w:rFonts w:hint="eastAsia"/>
          <w:rtl/>
        </w:rPr>
        <w:t>«</w:t>
      </w:r>
      <w:r>
        <w:rPr>
          <w:rFonts w:hint="cs"/>
          <w:rtl/>
        </w:rPr>
        <w:t>الأوقاف</w:t>
      </w:r>
      <w:r>
        <w:rPr>
          <w:rFonts w:hint="eastAsia"/>
          <w:rtl/>
        </w:rPr>
        <w:t>»</w:t>
      </w:r>
      <w:r>
        <w:rPr>
          <w:rFonts w:hint="cs"/>
          <w:rtl/>
        </w:rPr>
        <w:t xml:space="preserve"> (مع إسقاء الباء المتقدمة) والمثبت هو الصحيح، وهو الموافق لأشباه ابن نجيم </w:t>
      </w:r>
      <w:r>
        <w:rPr>
          <w:rtl/>
        </w:rPr>
        <w:t>–</w:t>
      </w:r>
      <w:r>
        <w:rPr>
          <w:rFonts w:hint="cs"/>
          <w:rtl/>
        </w:rPr>
        <w:t>كما في الهامش الآتي-.</w:t>
      </w:r>
    </w:p>
  </w:footnote>
  <w:footnote w:id="347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أشباهه، ص240؛ وقواعده، ص317، حيث قال فيهما : </w:t>
      </w:r>
      <w:r>
        <w:rPr>
          <w:rFonts w:hint="eastAsia"/>
          <w:rtl/>
        </w:rPr>
        <w:t>«</w:t>
      </w:r>
      <w:r>
        <w:rPr>
          <w:rFonts w:hint="cs"/>
          <w:rtl/>
        </w:rPr>
        <w:t>وعلى هذا لا يجوز الاعتياض عن الوظائف في الأوقاف</w:t>
      </w:r>
      <w:r>
        <w:rPr>
          <w:rFonts w:hint="eastAsia"/>
          <w:rtl/>
        </w:rPr>
        <w:t>»</w:t>
      </w:r>
      <w:r>
        <w:rPr>
          <w:rFonts w:hint="cs"/>
          <w:rtl/>
        </w:rPr>
        <w:t>.</w:t>
      </w:r>
    </w:p>
  </w:footnote>
  <w:footnote w:id="347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ما  </w:t>
      </w:r>
      <w:r>
        <w:rPr>
          <w:rFonts w:hint="eastAsia"/>
          <w:rtl/>
        </w:rPr>
        <w:t>»</w:t>
      </w:r>
      <w:r>
        <w:rPr>
          <w:rFonts w:hint="cs"/>
          <w:rtl/>
        </w:rPr>
        <w:t>.</w:t>
      </w:r>
    </w:p>
  </w:footnote>
  <w:footnote w:id="347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زيادة </w:t>
      </w:r>
      <w:r>
        <w:rPr>
          <w:rFonts w:hint="eastAsia"/>
          <w:rtl/>
        </w:rPr>
        <w:t>«</w:t>
      </w:r>
      <w:r>
        <w:rPr>
          <w:rFonts w:hint="cs"/>
          <w:rtl/>
        </w:rPr>
        <w:t xml:space="preserve"> قال </w:t>
      </w:r>
      <w:r>
        <w:rPr>
          <w:rFonts w:hint="eastAsia"/>
          <w:rtl/>
        </w:rPr>
        <w:t>»</w:t>
      </w:r>
      <w:r>
        <w:rPr>
          <w:rFonts w:hint="cs"/>
          <w:rtl/>
        </w:rPr>
        <w:t>.</w:t>
      </w:r>
    </w:p>
  </w:footnote>
  <w:footnote w:id="347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لجاء </w:t>
      </w:r>
      <w:r>
        <w:rPr>
          <w:rFonts w:hint="eastAsia"/>
          <w:rtl/>
        </w:rPr>
        <w:t>»</w:t>
      </w:r>
      <w:r>
        <w:rPr>
          <w:rFonts w:hint="cs"/>
          <w:rtl/>
        </w:rPr>
        <w:t>.</w:t>
      </w:r>
    </w:p>
  </w:footnote>
  <w:footnote w:id="347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الإنشاء </w:t>
      </w:r>
      <w:r>
        <w:rPr>
          <w:rFonts w:hint="eastAsia"/>
          <w:rtl/>
        </w:rPr>
        <w:t>»</w:t>
      </w:r>
      <w:r>
        <w:rPr>
          <w:rFonts w:hint="cs"/>
          <w:rtl/>
        </w:rPr>
        <w:t>.</w:t>
      </w:r>
    </w:p>
  </w:footnote>
  <w:footnote w:id="347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التعارف </w:t>
      </w:r>
      <w:r>
        <w:rPr>
          <w:rFonts w:hint="eastAsia"/>
          <w:rtl/>
        </w:rPr>
        <w:t>»</w:t>
      </w:r>
      <w:r>
        <w:rPr>
          <w:rFonts w:hint="cs"/>
          <w:rtl/>
        </w:rPr>
        <w:t>.</w:t>
      </w:r>
    </w:p>
  </w:footnote>
  <w:footnote w:id="348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الأعوام</w:t>
      </w:r>
      <w:r>
        <w:rPr>
          <w:rFonts w:hint="eastAsia"/>
          <w:rtl/>
        </w:rPr>
        <w:t>»</w:t>
      </w:r>
      <w:r>
        <w:rPr>
          <w:rFonts w:hint="cs"/>
          <w:rtl/>
        </w:rPr>
        <w:t>. والصحيح ما تمّ إثباته من (ب).</w:t>
      </w:r>
    </w:p>
  </w:footnote>
  <w:footnote w:id="348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ص826 (ل64/ب)، قاعدة 161.</w:t>
      </w:r>
    </w:p>
  </w:footnote>
  <w:footnote w:id="348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ناقلاً</w:t>
      </w:r>
      <w:r>
        <w:rPr>
          <w:rFonts w:hint="eastAsia"/>
          <w:rtl/>
        </w:rPr>
        <w:t>»</w:t>
      </w:r>
      <w:r>
        <w:rPr>
          <w:rFonts w:hint="cs"/>
          <w:rtl/>
        </w:rPr>
        <w:t>. والمناسب ما تمَّ إثباته من (ب).</w:t>
      </w:r>
    </w:p>
  </w:footnote>
  <w:footnote w:id="348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الظهيرة </w:t>
      </w:r>
      <w:r>
        <w:rPr>
          <w:rFonts w:hint="eastAsia"/>
          <w:rtl/>
        </w:rPr>
        <w:t>»</w:t>
      </w:r>
      <w:r>
        <w:rPr>
          <w:rFonts w:hint="cs"/>
          <w:rtl/>
        </w:rPr>
        <w:t>.</w:t>
      </w:r>
    </w:p>
  </w:footnote>
  <w:footnote w:id="348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التعارف </w:t>
      </w:r>
      <w:r>
        <w:rPr>
          <w:rFonts w:hint="eastAsia"/>
          <w:rtl/>
        </w:rPr>
        <w:t>»</w:t>
      </w:r>
      <w:r>
        <w:rPr>
          <w:rFonts w:hint="cs"/>
          <w:rtl/>
        </w:rPr>
        <w:t>.</w:t>
      </w:r>
    </w:p>
  </w:footnote>
  <w:footnote w:id="348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43/أ من (ب).</w:t>
      </w:r>
    </w:p>
  </w:footnote>
  <w:footnote w:id="348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يذكرها كثير من أصوليي الحنفية في معرض حديثهم عن أحد أنواع العلة؛ فمن أنواعها: العلة معنى وحكمًا لا اسمًا، ويمثّلون لذلك بآخر أجزاء العلة المركبة من وصفين مؤثرين. فإن </w:t>
      </w:r>
      <w:r>
        <w:rPr>
          <w:rFonts w:hint="eastAsia"/>
          <w:rtl/>
        </w:rPr>
        <w:t>«</w:t>
      </w:r>
      <w:r>
        <w:rPr>
          <w:rFonts w:hint="cs"/>
          <w:rtl/>
        </w:rPr>
        <w:t>آخرها وجودًا يكون علة معنى وحكمًا.</w:t>
      </w:r>
    </w:p>
    <w:p w:rsidR="00035BE3" w:rsidRDefault="00035BE3" w:rsidP="00C10469">
      <w:pPr>
        <w:pStyle w:val="a6"/>
        <w:ind w:left="422" w:firstLine="0"/>
        <w:rPr>
          <w:rtl/>
        </w:rPr>
      </w:pPr>
      <w:r>
        <w:rPr>
          <w:rFonts w:hint="cs"/>
          <w:rtl/>
        </w:rPr>
        <w:t>والمراد بِـ (المعنى) : كونه مؤثّرًا فيه.</w:t>
      </w:r>
    </w:p>
    <w:p w:rsidR="00035BE3" w:rsidRDefault="00035BE3" w:rsidP="00C10469">
      <w:pPr>
        <w:pStyle w:val="a6"/>
        <w:ind w:left="422" w:firstLine="0"/>
        <w:rPr>
          <w:rtl/>
        </w:rPr>
      </w:pPr>
      <w:r>
        <w:rPr>
          <w:rFonts w:hint="cs"/>
          <w:rtl/>
        </w:rPr>
        <w:t>وبِـ (الحكم) : أنه يثبت الحكم عنده.</w:t>
      </w:r>
    </w:p>
    <w:p w:rsidR="00035BE3" w:rsidRDefault="00035BE3" w:rsidP="00C10469">
      <w:pPr>
        <w:pStyle w:val="a6"/>
        <w:ind w:left="422" w:firstLine="0"/>
        <w:rPr>
          <w:spacing w:val="6"/>
          <w:rtl/>
        </w:rPr>
      </w:pPr>
      <w:r>
        <w:rPr>
          <w:rFonts w:hint="cs"/>
          <w:spacing w:val="6"/>
          <w:rtl/>
        </w:rPr>
        <w:t>وهذا لأن الوصف الثاني مع الأول استويا في الوجوب بهما، وترجّح الثاني بالوجود عنده، فكان علّةً معنى وحكمًا لا اسمًا؛ فإن الحكم مضاف إلى الوصفين جميعًا، فمن حيث الاسم : الوصف الثاني شطر العلة</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قال ذلك السرخسي، 2/318.</w:t>
      </w:r>
    </w:p>
    <w:p w:rsidR="00035BE3" w:rsidRDefault="00035BE3" w:rsidP="00C10469">
      <w:pPr>
        <w:pStyle w:val="a6"/>
        <w:ind w:left="422" w:firstLine="0"/>
        <w:rPr>
          <w:rtl/>
        </w:rPr>
      </w:pPr>
      <w:r>
        <w:rPr>
          <w:rFonts w:hint="eastAsia"/>
          <w:rtl/>
        </w:rPr>
        <w:t>«</w:t>
      </w:r>
      <w:r>
        <w:rPr>
          <w:rFonts w:hint="cs"/>
          <w:rtl/>
        </w:rPr>
        <w:t>وهذا قول البعض، ومشى عليه فخر الإسلام وموافقوه.</w:t>
      </w:r>
    </w:p>
    <w:p w:rsidR="00035BE3" w:rsidRDefault="00035BE3" w:rsidP="00C10469">
      <w:pPr>
        <w:pStyle w:val="a6"/>
        <w:ind w:left="422" w:firstLine="0"/>
        <w:rPr>
          <w:rtl/>
        </w:rPr>
      </w:pPr>
      <w:r>
        <w:rPr>
          <w:rFonts w:hint="cs"/>
          <w:rtl/>
        </w:rPr>
        <w:t>وذهب غير واحد إلى أن ماعدا الأخير يصير بمنزلة العدم في حقِّ ثبوت الحكم، ويصير الحكم مضافًا إلى الجزء الأخير، كما في أثقال السفينة والقدح الأخير في السُّكْرِ. وعزاه في (التلويح) إلى المحقّقين.</w:t>
      </w:r>
    </w:p>
    <w:p w:rsidR="00035BE3" w:rsidRDefault="00035BE3" w:rsidP="00C10469">
      <w:pPr>
        <w:pStyle w:val="a6"/>
        <w:ind w:left="422" w:firstLine="0"/>
        <w:rPr>
          <w:rtl/>
        </w:rPr>
      </w:pPr>
      <w:r>
        <w:rPr>
          <w:rFonts w:hint="cs"/>
          <w:rtl/>
        </w:rPr>
        <w:t>قلت : وعلى هذا فيكون علّة اسمًا أيضًا</w:t>
      </w:r>
      <w:r>
        <w:rPr>
          <w:rFonts w:hint="eastAsia"/>
          <w:rtl/>
        </w:rPr>
        <w:t>»</w:t>
      </w:r>
      <w:r>
        <w:rPr>
          <w:rFonts w:hint="cs"/>
          <w:rtl/>
        </w:rPr>
        <w:t>.</w:t>
      </w:r>
    </w:p>
    <w:p w:rsidR="00035BE3" w:rsidRDefault="00035BE3" w:rsidP="00C10469">
      <w:pPr>
        <w:pStyle w:val="a6"/>
        <w:ind w:left="422" w:firstLine="0"/>
        <w:rPr>
          <w:rtl/>
        </w:rPr>
      </w:pPr>
      <w:r>
        <w:rPr>
          <w:rFonts w:hint="cs"/>
          <w:rtl/>
        </w:rPr>
        <w:t>قاله صاحب التقرير والتحبير، 3/164.</w:t>
      </w:r>
    </w:p>
    <w:p w:rsidR="00035BE3" w:rsidRDefault="00035BE3" w:rsidP="00C10469">
      <w:pPr>
        <w:pStyle w:val="a6"/>
        <w:ind w:left="422" w:firstLine="0"/>
        <w:rPr>
          <w:rtl/>
        </w:rPr>
      </w:pPr>
      <w:r>
        <w:rPr>
          <w:rFonts w:hint="cs"/>
          <w:b/>
          <w:bCs/>
          <w:rtl/>
        </w:rPr>
        <w:t>فالحاصل ممّا سبق</w:t>
      </w:r>
      <w:r>
        <w:rPr>
          <w:rFonts w:hint="cs"/>
          <w:rtl/>
        </w:rPr>
        <w:t xml:space="preserve"> : أن الجميع متفق على أن الجزء الأخير من أجزاء العلة هو المعتد به، إلا أن طائفة منهم يرون أنه علة وصفًا وحكمًا </w:t>
      </w:r>
      <w:r>
        <w:rPr>
          <w:rFonts w:hint="cs"/>
          <w:b/>
          <w:bCs/>
          <w:rtl/>
        </w:rPr>
        <w:t>لا اسمًا</w:t>
      </w:r>
      <w:r>
        <w:rPr>
          <w:rFonts w:hint="cs"/>
          <w:rtl/>
        </w:rPr>
        <w:t>. وطائفة أخرى يرونه علة وصفًا وحكمًا و</w:t>
      </w:r>
      <w:r>
        <w:rPr>
          <w:rFonts w:hint="cs"/>
          <w:b/>
          <w:bCs/>
          <w:rtl/>
        </w:rPr>
        <w:t>اسمًا</w:t>
      </w:r>
      <w:r>
        <w:rPr>
          <w:rFonts w:hint="cs"/>
          <w:rtl/>
        </w:rPr>
        <w:t>.</w:t>
      </w:r>
    </w:p>
    <w:p w:rsidR="00035BE3" w:rsidRDefault="00035BE3" w:rsidP="00C10469">
      <w:pPr>
        <w:pStyle w:val="a6"/>
        <w:ind w:left="422" w:firstLine="0"/>
        <w:rPr>
          <w:spacing w:val="10"/>
          <w:rtl/>
        </w:rPr>
      </w:pPr>
      <w:r>
        <w:rPr>
          <w:rFonts w:hint="cs"/>
          <w:spacing w:val="10"/>
          <w:rtl/>
        </w:rPr>
        <w:t>وممّن نصر الرأي الأخير : صاحب التلويح، 2/135؛ وانظر في ذلك : أصول الفخر البزدوي وكشف الأسرار، 4/328؛ المحرّر في أصـول الفقه للسـرخسي، 2/229؛ المغني، ص344؛ شرحه للقاءاني، ق2، ص453؛ نهاية الوصول إلى علم الأصول لابن السـاعـاتي، 2/662؛ المنار وشروحه : كشف الأسرار وشرح نور الأنوار، 2/431؛ وجامع الأسـرار، 4/1191؛ وفتح الغفّار، 3/79؛ التحرير وتيسيره، 3/331؛ مرآة الأصول وحاشية الإزميري، 2/403؛ مسلّم الثبوت وفواتح الرحموت، 2/272.</w:t>
      </w:r>
    </w:p>
    <w:p w:rsidR="00035BE3" w:rsidRDefault="00035BE3" w:rsidP="00C10469">
      <w:pPr>
        <w:pStyle w:val="a6"/>
        <w:ind w:left="422" w:firstLine="0"/>
        <w:rPr>
          <w:rtl/>
        </w:rPr>
      </w:pPr>
      <w:r>
        <w:rPr>
          <w:rFonts w:hint="cs"/>
          <w:rtl/>
        </w:rPr>
        <w:t>ومن الكتب الأخرى التي وردت فيها القاعدة بلفظها أو معناها : نتائج الأفكار، 10/20-21؛ تكملة البحر الرائق، 8/216؛ مجامع الحقائق، ص46؛ شرح العلائي لقواعد الخادمي، ل27/ب؛ منافع الدقائق، ص324.</w:t>
      </w:r>
    </w:p>
  </w:footnote>
  <w:footnote w:id="348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الكتب الأصولية المذكورة في الهامش السابق.</w:t>
      </w:r>
    </w:p>
  </w:footnote>
  <w:footnote w:id="348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بوصفين</w:t>
      </w:r>
      <w:r>
        <w:rPr>
          <w:rFonts w:hint="eastAsia"/>
          <w:rtl/>
        </w:rPr>
        <w:t>»</w:t>
      </w:r>
      <w:r>
        <w:rPr>
          <w:rFonts w:hint="cs"/>
          <w:rtl/>
        </w:rPr>
        <w:t>. والمناسب ما تمَّ إثباته من (ب)، وهو الموافق لمصدر هذه العبارة (وهو شرح المغني).</w:t>
      </w:r>
    </w:p>
  </w:footnote>
  <w:footnote w:id="348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ق2، ص453.</w:t>
      </w:r>
    </w:p>
  </w:footnote>
  <w:footnote w:id="349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لو رآها</w:t>
      </w:r>
      <w:r>
        <w:rPr>
          <w:rFonts w:hint="eastAsia"/>
          <w:rtl/>
        </w:rPr>
        <w:t>»</w:t>
      </w:r>
      <w:r>
        <w:rPr>
          <w:rFonts w:hint="cs"/>
          <w:rtl/>
        </w:rPr>
        <w:t>.</w:t>
      </w:r>
    </w:p>
  </w:footnote>
  <w:footnote w:id="349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الآخر</w:t>
      </w:r>
      <w:r>
        <w:rPr>
          <w:rFonts w:hint="eastAsia"/>
          <w:rtl/>
        </w:rPr>
        <w:t>»</w:t>
      </w:r>
      <w:r>
        <w:rPr>
          <w:rFonts w:hint="cs"/>
          <w:rtl/>
        </w:rPr>
        <w:t>. والصحيح ما تمَّ إثباته من (ب)، وهو الموافق لشرح المغني.</w:t>
      </w:r>
    </w:p>
  </w:footnote>
  <w:footnote w:id="349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شرح المغني للقاءاني، ق2، ص454-455، كما أن أصل المثال مذكور في أكثر المراجع الأصولية الواردة عند توثيق القاعدة.</w:t>
      </w:r>
    </w:p>
  </w:footnote>
  <w:footnote w:id="349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زيادة </w:t>
      </w:r>
      <w:r>
        <w:rPr>
          <w:rFonts w:hint="eastAsia"/>
          <w:rtl/>
        </w:rPr>
        <w:t>«</w:t>
      </w:r>
      <w:r>
        <w:rPr>
          <w:rFonts w:hint="cs"/>
          <w:rtl/>
        </w:rPr>
        <w:t>فيه</w:t>
      </w:r>
      <w:r>
        <w:rPr>
          <w:rFonts w:hint="eastAsia"/>
          <w:rtl/>
        </w:rPr>
        <w:t>»</w:t>
      </w:r>
      <w:r>
        <w:rPr>
          <w:rFonts w:hint="cs"/>
          <w:rtl/>
        </w:rPr>
        <w:t>.</w:t>
      </w:r>
    </w:p>
  </w:footnote>
  <w:footnote w:id="349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67/أ من (أ). وقد وردت كلمة </w:t>
      </w:r>
      <w:r>
        <w:rPr>
          <w:rFonts w:hint="eastAsia"/>
          <w:rtl/>
        </w:rPr>
        <w:t>«</w:t>
      </w:r>
      <w:r>
        <w:rPr>
          <w:rFonts w:hint="cs"/>
          <w:rtl/>
        </w:rPr>
        <w:t>فإذا</w:t>
      </w:r>
      <w:r>
        <w:rPr>
          <w:rFonts w:hint="eastAsia"/>
          <w:rtl/>
        </w:rPr>
        <w:t>»</w:t>
      </w:r>
      <w:r>
        <w:rPr>
          <w:rFonts w:hint="cs"/>
          <w:rtl/>
        </w:rPr>
        <w:t xml:space="preserve"> مكررّة في بداية اللوحة التي تليها.</w:t>
      </w:r>
    </w:p>
  </w:footnote>
  <w:footnote w:id="349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والصحيح : اثنان.</w:t>
      </w:r>
    </w:p>
  </w:footnote>
  <w:footnote w:id="349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يضمنه</w:t>
      </w:r>
      <w:r>
        <w:rPr>
          <w:rFonts w:hint="eastAsia"/>
          <w:rtl/>
        </w:rPr>
        <w:t>»</w:t>
      </w:r>
      <w:r>
        <w:rPr>
          <w:rFonts w:hint="cs"/>
          <w:rtl/>
        </w:rPr>
        <w:t>.</w:t>
      </w:r>
    </w:p>
  </w:footnote>
  <w:footnote w:id="349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الصنع</w:t>
      </w:r>
      <w:r>
        <w:rPr>
          <w:rFonts w:hint="eastAsia"/>
          <w:rtl/>
        </w:rPr>
        <w:t>»</w:t>
      </w:r>
      <w:r>
        <w:rPr>
          <w:rFonts w:hint="cs"/>
          <w:rtl/>
        </w:rPr>
        <w:t>.</w:t>
      </w:r>
    </w:p>
    <w:p w:rsidR="00035BE3" w:rsidRDefault="00035BE3" w:rsidP="00C10469">
      <w:pPr>
        <w:pStyle w:val="a6"/>
        <w:ind w:left="422" w:firstLine="0"/>
        <w:rPr>
          <w:rtl/>
        </w:rPr>
      </w:pPr>
      <w:r>
        <w:rPr>
          <w:rFonts w:hint="cs"/>
          <w:rtl/>
        </w:rPr>
        <w:t>والمعنى : لكون القرابة ليست من صنع الذي تسبّب في العتق.</w:t>
      </w:r>
    </w:p>
    <w:p w:rsidR="00035BE3" w:rsidRDefault="00035BE3" w:rsidP="00C10469">
      <w:pPr>
        <w:pStyle w:val="a6"/>
        <w:ind w:left="422" w:firstLine="0"/>
        <w:rPr>
          <w:rtl/>
        </w:rPr>
      </w:pPr>
      <w:r>
        <w:rPr>
          <w:rFonts w:hint="cs"/>
          <w:rtl/>
        </w:rPr>
        <w:t>وانظر هذا المثال في : شرح المغني للقاءاني، ق2، ص455.</w:t>
      </w:r>
    </w:p>
  </w:footnote>
  <w:footnote w:id="349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أورثا</w:t>
      </w:r>
      <w:r>
        <w:rPr>
          <w:rFonts w:hint="eastAsia"/>
          <w:rtl/>
        </w:rPr>
        <w:t>»</w:t>
      </w:r>
      <w:r>
        <w:rPr>
          <w:rFonts w:hint="cs"/>
          <w:rtl/>
        </w:rPr>
        <w:t>.</w:t>
      </w:r>
    </w:p>
  </w:footnote>
  <w:footnote w:id="349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لأنها</w:t>
      </w:r>
      <w:r>
        <w:rPr>
          <w:rFonts w:hint="eastAsia"/>
          <w:rtl/>
        </w:rPr>
        <w:t>»</w:t>
      </w:r>
      <w:r>
        <w:rPr>
          <w:rFonts w:hint="cs"/>
          <w:rtl/>
        </w:rPr>
        <w:t>.</w:t>
      </w:r>
    </w:p>
  </w:footnote>
  <w:footnote w:id="350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41/ب من (د).</w:t>
      </w:r>
    </w:p>
  </w:footnote>
  <w:footnote w:id="350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ص344؛ شرحه للقاءاني، ق2، ص455.</w:t>
      </w:r>
    </w:p>
  </w:footnote>
  <w:footnote w:id="350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للرجل</w:t>
      </w:r>
      <w:r>
        <w:rPr>
          <w:rFonts w:hint="eastAsia"/>
          <w:rtl/>
        </w:rPr>
        <w:t>»</w:t>
      </w:r>
      <w:r>
        <w:rPr>
          <w:rFonts w:hint="cs"/>
          <w:rtl/>
        </w:rPr>
        <w:t>. والصحيح ما تمَّ إثباته من باقي النسخ.</w:t>
      </w:r>
    </w:p>
  </w:footnote>
  <w:footnote w:id="350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51/أ من (جـ).</w:t>
      </w:r>
    </w:p>
    <w:p w:rsidR="00035BE3" w:rsidRDefault="00035BE3" w:rsidP="00C10469">
      <w:pPr>
        <w:pStyle w:val="a6"/>
        <w:ind w:left="422" w:firstLine="0"/>
        <w:rPr>
          <w:rtl/>
        </w:rPr>
      </w:pPr>
      <w:r>
        <w:rPr>
          <w:rFonts w:hint="cs"/>
          <w:b/>
          <w:bCs/>
          <w:rtl/>
        </w:rPr>
        <w:t xml:space="preserve">وقوله : </w:t>
      </w:r>
      <w:r>
        <w:rPr>
          <w:rFonts w:hint="eastAsia"/>
          <w:b/>
          <w:bCs/>
          <w:rtl/>
        </w:rPr>
        <w:t>«</w:t>
      </w:r>
      <w:r>
        <w:rPr>
          <w:rFonts w:hint="cs"/>
          <w:b/>
          <w:bCs/>
          <w:rtl/>
        </w:rPr>
        <w:t>ما سداه من حرير</w:t>
      </w:r>
      <w:r>
        <w:rPr>
          <w:rFonts w:hint="eastAsia"/>
          <w:b/>
          <w:bCs/>
          <w:rtl/>
        </w:rPr>
        <w:t>»</w:t>
      </w:r>
      <w:r>
        <w:rPr>
          <w:rFonts w:hint="cs"/>
          <w:b/>
          <w:bCs/>
          <w:rtl/>
        </w:rPr>
        <w:t xml:space="preserve"> معناه</w:t>
      </w:r>
      <w:r>
        <w:rPr>
          <w:rFonts w:hint="cs"/>
          <w:rtl/>
        </w:rPr>
        <w:t xml:space="preserve"> : ماكان الأسفل من الثوب مصنوعًا من حرير، وهو ما يمدّ طولاً من النسيج.</w:t>
      </w:r>
    </w:p>
    <w:p w:rsidR="00035BE3" w:rsidRDefault="00035BE3" w:rsidP="00C10469">
      <w:pPr>
        <w:pStyle w:val="a6"/>
        <w:ind w:left="422" w:firstLine="0"/>
        <w:rPr>
          <w:rtl/>
        </w:rPr>
      </w:pPr>
      <w:r>
        <w:rPr>
          <w:rFonts w:hint="cs"/>
          <w:rtl/>
        </w:rPr>
        <w:t xml:space="preserve">انظر : لسان العرب، مادة </w:t>
      </w:r>
      <w:r>
        <w:rPr>
          <w:rFonts w:hint="eastAsia"/>
          <w:rtl/>
        </w:rPr>
        <w:t>«</w:t>
      </w:r>
      <w:r>
        <w:rPr>
          <w:rFonts w:hint="cs"/>
          <w:rtl/>
        </w:rPr>
        <w:t>لحم</w:t>
      </w:r>
      <w:r>
        <w:rPr>
          <w:rFonts w:hint="eastAsia"/>
          <w:rtl/>
        </w:rPr>
        <w:t>»</w:t>
      </w:r>
      <w:r>
        <w:rPr>
          <w:rFonts w:hint="cs"/>
          <w:rtl/>
        </w:rPr>
        <w:t xml:space="preserve">، 12/538؛ المعجم الوسيط، مادة </w:t>
      </w:r>
      <w:r>
        <w:rPr>
          <w:rFonts w:hint="eastAsia"/>
          <w:rtl/>
        </w:rPr>
        <w:t>«</w:t>
      </w:r>
      <w:r>
        <w:rPr>
          <w:rFonts w:hint="cs"/>
          <w:rtl/>
        </w:rPr>
        <w:t>سدا</w:t>
      </w:r>
      <w:r>
        <w:rPr>
          <w:rFonts w:hint="eastAsia"/>
          <w:rtl/>
        </w:rPr>
        <w:t>»</w:t>
      </w:r>
      <w:r>
        <w:rPr>
          <w:rFonts w:hint="cs"/>
          <w:rtl/>
        </w:rPr>
        <w:t xml:space="preserve">، 1/424؛ معجم لغة الفقهاء، ص216؛ وانظر أيضًا : المقاييس في اللغة، مادة </w:t>
      </w:r>
      <w:r>
        <w:rPr>
          <w:rFonts w:hint="eastAsia"/>
          <w:rtl/>
        </w:rPr>
        <w:t>«</w:t>
      </w:r>
      <w:r>
        <w:rPr>
          <w:rFonts w:hint="cs"/>
          <w:rtl/>
        </w:rPr>
        <w:t>سدو</w:t>
      </w:r>
      <w:r>
        <w:rPr>
          <w:rFonts w:hint="eastAsia"/>
          <w:rtl/>
        </w:rPr>
        <w:t>»</w:t>
      </w:r>
      <w:r>
        <w:rPr>
          <w:rFonts w:hint="cs"/>
          <w:rtl/>
        </w:rPr>
        <w:t xml:space="preserve">، ص512؛ لسان العرب، مادة </w:t>
      </w:r>
      <w:r>
        <w:rPr>
          <w:rFonts w:hint="eastAsia"/>
          <w:rtl/>
        </w:rPr>
        <w:t>«</w:t>
      </w:r>
      <w:r>
        <w:rPr>
          <w:rFonts w:hint="cs"/>
          <w:rtl/>
        </w:rPr>
        <w:t>سدا</w:t>
      </w:r>
      <w:r>
        <w:rPr>
          <w:rFonts w:hint="eastAsia"/>
          <w:rtl/>
        </w:rPr>
        <w:t>»</w:t>
      </w:r>
      <w:r>
        <w:rPr>
          <w:rFonts w:hint="cs"/>
          <w:rtl/>
        </w:rPr>
        <w:t xml:space="preserve">، 14/375؛ القاموس المحيط، مادة </w:t>
      </w:r>
      <w:r>
        <w:rPr>
          <w:rFonts w:hint="eastAsia"/>
          <w:rtl/>
        </w:rPr>
        <w:t>«</w:t>
      </w:r>
      <w:r>
        <w:rPr>
          <w:rFonts w:hint="cs"/>
          <w:rtl/>
        </w:rPr>
        <w:t>سدا</w:t>
      </w:r>
      <w:r>
        <w:rPr>
          <w:rFonts w:hint="eastAsia"/>
          <w:rtl/>
        </w:rPr>
        <w:t>»</w:t>
      </w:r>
      <w:r>
        <w:rPr>
          <w:rFonts w:hint="cs"/>
          <w:rtl/>
        </w:rPr>
        <w:t>، ص1669.</w:t>
      </w:r>
    </w:p>
  </w:footnote>
  <w:footnote w:id="350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من</w:t>
      </w:r>
      <w:r>
        <w:rPr>
          <w:rFonts w:hint="eastAsia"/>
          <w:rtl/>
        </w:rPr>
        <w:t>»</w:t>
      </w:r>
      <w:r>
        <w:rPr>
          <w:rFonts w:hint="cs"/>
          <w:rtl/>
        </w:rPr>
        <w:t xml:space="preserve"> ساقطة من (ب) و(جـ) و(د). وقد وردت في (أ) أسفل السطر.</w:t>
      </w:r>
    </w:p>
  </w:footnote>
  <w:footnote w:id="3505">
    <w:p w:rsidR="00035BE3" w:rsidRDefault="00035BE3" w:rsidP="00C10469">
      <w:pPr>
        <w:pStyle w:val="a8"/>
        <w:bidi/>
        <w:ind w:left="422" w:right="0" w:hanging="425"/>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051E10">
        <w:rPr>
          <w:rFonts w:hint="cs"/>
          <w:b/>
          <w:bCs/>
          <w:spacing w:val="-6"/>
          <w:rtl/>
        </w:rPr>
        <w:t>اللحمة</w:t>
      </w:r>
      <w:r w:rsidRPr="00051E10">
        <w:rPr>
          <w:rFonts w:hint="cs"/>
          <w:spacing w:val="-6"/>
          <w:rtl/>
        </w:rPr>
        <w:t xml:space="preserve"> : الأعلى من الثوب، وهي </w:t>
      </w:r>
      <w:r w:rsidRPr="00051E10">
        <w:rPr>
          <w:rFonts w:hint="eastAsia"/>
          <w:spacing w:val="-6"/>
          <w:rtl/>
        </w:rPr>
        <w:t>«</w:t>
      </w:r>
      <w:r w:rsidRPr="00051E10">
        <w:rPr>
          <w:rFonts w:hint="cs"/>
          <w:spacing w:val="-6"/>
          <w:rtl/>
        </w:rPr>
        <w:t>الخيوط العرضية التي تتخلّل الخطوط الطويلة (السَّدى) في النسيج</w:t>
      </w:r>
      <w:r w:rsidRPr="00051E10">
        <w:rPr>
          <w:rFonts w:hint="eastAsia"/>
          <w:spacing w:val="-6"/>
          <w:rtl/>
        </w:rPr>
        <w:t>»</w:t>
      </w:r>
      <w:r w:rsidRPr="00051E10">
        <w:rPr>
          <w:rFonts w:hint="cs"/>
          <w:spacing w:val="-6"/>
          <w:rtl/>
        </w:rPr>
        <w:t>.</w:t>
      </w:r>
      <w:r>
        <w:rPr>
          <w:rFonts w:hint="cs"/>
          <w:spacing w:val="-4"/>
          <w:rtl/>
        </w:rPr>
        <w:t xml:space="preserve"> </w:t>
      </w:r>
      <w:r w:rsidRPr="00051E10">
        <w:rPr>
          <w:rFonts w:hint="cs"/>
          <w:spacing w:val="-6"/>
          <w:rtl/>
        </w:rPr>
        <w:t xml:space="preserve">قاله صاحب معجم لغة الفقهاء، ص359؛ وانظر منه ص216؛ وانظر: لسان العرب، مادة </w:t>
      </w:r>
      <w:r w:rsidRPr="00051E10">
        <w:rPr>
          <w:rFonts w:hint="eastAsia"/>
          <w:spacing w:val="-6"/>
          <w:rtl/>
        </w:rPr>
        <w:t>«</w:t>
      </w:r>
      <w:r w:rsidRPr="00051E10">
        <w:rPr>
          <w:rFonts w:hint="cs"/>
          <w:spacing w:val="-6"/>
          <w:rtl/>
        </w:rPr>
        <w:t>لحم</w:t>
      </w:r>
      <w:r w:rsidRPr="00051E10">
        <w:rPr>
          <w:rFonts w:hint="eastAsia"/>
          <w:spacing w:val="-6"/>
          <w:rtl/>
        </w:rPr>
        <w:t>»</w:t>
      </w:r>
      <w:r w:rsidRPr="00051E10">
        <w:rPr>
          <w:rFonts w:hint="cs"/>
          <w:spacing w:val="-6"/>
          <w:rtl/>
        </w:rPr>
        <w:t>،</w:t>
      </w:r>
      <w:r>
        <w:rPr>
          <w:rFonts w:hint="cs"/>
          <w:spacing w:val="-4"/>
          <w:rtl/>
        </w:rPr>
        <w:t xml:space="preserve"> </w:t>
      </w:r>
      <w:r w:rsidRPr="00051E10">
        <w:rPr>
          <w:rFonts w:hint="cs"/>
          <w:spacing w:val="-6"/>
          <w:rtl/>
        </w:rPr>
        <w:t xml:space="preserve">12/538؛ المعجم الوسيط، مادة </w:t>
      </w:r>
      <w:r w:rsidRPr="00051E10">
        <w:rPr>
          <w:rFonts w:hint="eastAsia"/>
          <w:spacing w:val="-6"/>
          <w:rtl/>
        </w:rPr>
        <w:t>«</w:t>
      </w:r>
      <w:r w:rsidRPr="00051E10">
        <w:rPr>
          <w:rFonts w:hint="cs"/>
          <w:spacing w:val="-6"/>
          <w:rtl/>
        </w:rPr>
        <w:t>لحم</w:t>
      </w:r>
      <w:r w:rsidRPr="00051E10">
        <w:rPr>
          <w:rFonts w:hint="eastAsia"/>
          <w:spacing w:val="-6"/>
          <w:rtl/>
        </w:rPr>
        <w:t>»</w:t>
      </w:r>
      <w:r w:rsidRPr="00051E10">
        <w:rPr>
          <w:rFonts w:hint="cs"/>
          <w:spacing w:val="-6"/>
          <w:rtl/>
        </w:rPr>
        <w:t xml:space="preserve">، 2/819؛ وانظر أيضًا : المقاييس في اللغة، مادة </w:t>
      </w:r>
      <w:r w:rsidRPr="00051E10">
        <w:rPr>
          <w:rFonts w:hint="eastAsia"/>
          <w:spacing w:val="-6"/>
          <w:rtl/>
        </w:rPr>
        <w:t>«</w:t>
      </w:r>
      <w:r w:rsidRPr="00051E10">
        <w:rPr>
          <w:rFonts w:hint="cs"/>
          <w:spacing w:val="-6"/>
          <w:rtl/>
        </w:rPr>
        <w:t>لحم</w:t>
      </w:r>
      <w:r w:rsidRPr="00051E10">
        <w:rPr>
          <w:rFonts w:hint="eastAsia"/>
          <w:spacing w:val="-6"/>
          <w:rtl/>
        </w:rPr>
        <w:t>»</w:t>
      </w:r>
      <w:r w:rsidRPr="00051E10">
        <w:rPr>
          <w:rFonts w:hint="cs"/>
          <w:spacing w:val="-6"/>
          <w:rtl/>
        </w:rPr>
        <w:t>،</w:t>
      </w:r>
      <w:r>
        <w:rPr>
          <w:rFonts w:hint="cs"/>
          <w:spacing w:val="-4"/>
          <w:rtl/>
        </w:rPr>
        <w:t xml:space="preserve"> ص950.</w:t>
      </w:r>
    </w:p>
  </w:footnote>
  <w:footnote w:id="350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بالنسيج</w:t>
      </w:r>
      <w:r>
        <w:rPr>
          <w:rFonts w:hint="eastAsia"/>
          <w:rtl/>
        </w:rPr>
        <w:t>»</w:t>
      </w:r>
      <w:r>
        <w:rPr>
          <w:rFonts w:hint="cs"/>
          <w:rtl/>
        </w:rPr>
        <w:t>.</w:t>
      </w:r>
    </w:p>
  </w:footnote>
  <w:footnote w:id="350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ونتائج الأفكار، 10/20؛ كنز الدقائق وتكملة البحر الرائق، 8/216.</w:t>
      </w:r>
    </w:p>
  </w:footnote>
  <w:footnote w:id="35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والعبرة </w:t>
      </w:r>
      <w:r>
        <w:rPr>
          <w:rFonts w:hint="eastAsia"/>
          <w:rtl/>
        </w:rPr>
        <w:t>»</w:t>
      </w:r>
      <w:r>
        <w:rPr>
          <w:rFonts w:hint="cs"/>
          <w:rtl/>
        </w:rPr>
        <w:t xml:space="preserve"> (بإضافة الواو).</w:t>
      </w:r>
    </w:p>
  </w:footnote>
  <w:footnote w:id="35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بهذا اللفظ في: مجامع الحقائق (الخاتمة)، ص46؛ شرح العلائي لقواعد الخادمي، ل27/ب؛ منافع الدقائق، ص324.</w:t>
      </w:r>
    </w:p>
    <w:p w:rsidR="00035BE3" w:rsidRDefault="00035BE3" w:rsidP="00C10469">
      <w:pPr>
        <w:pStyle w:val="a6"/>
        <w:ind w:left="422" w:firstLine="0"/>
        <w:rPr>
          <w:spacing w:val="6"/>
          <w:rtl/>
        </w:rPr>
      </w:pPr>
      <w:r>
        <w:rPr>
          <w:rFonts w:hint="cs"/>
          <w:spacing w:val="6"/>
          <w:rtl/>
        </w:rPr>
        <w:t>ووردت قبل ذلك بـلفظها في الدرر شرح الغرر، 2/207؛ وورد مـعناها في الفتاوى البزازية، 1/406.</w:t>
      </w:r>
    </w:p>
    <w:p w:rsidR="00035BE3" w:rsidRDefault="00035BE3" w:rsidP="00C10469">
      <w:pPr>
        <w:pStyle w:val="a6"/>
        <w:ind w:left="422" w:firstLine="0"/>
        <w:rPr>
          <w:rtl/>
        </w:rPr>
      </w:pPr>
      <w:r>
        <w:rPr>
          <w:rFonts w:hint="cs"/>
          <w:rtl/>
        </w:rPr>
        <w:t xml:space="preserve">وهذه القاعدة قد يُتوهم كونها معارضة لقاعدة : </w:t>
      </w:r>
      <w:r>
        <w:rPr>
          <w:rFonts w:hint="eastAsia"/>
          <w:spacing w:val="-4"/>
          <w:rtl/>
        </w:rPr>
        <w:t>«</w:t>
      </w:r>
      <w:r>
        <w:rPr>
          <w:rFonts w:hint="cs"/>
          <w:spacing w:val="-4"/>
          <w:rtl/>
        </w:rPr>
        <w:t>العبرة في التصرفات للمقاصد لا للألفاظ</w:t>
      </w:r>
      <w:r>
        <w:rPr>
          <w:rFonts w:hint="eastAsia"/>
          <w:spacing w:val="-4"/>
          <w:rtl/>
        </w:rPr>
        <w:t>»</w:t>
      </w:r>
      <w:r>
        <w:rPr>
          <w:rFonts w:hint="cs"/>
          <w:spacing w:val="-4"/>
          <w:rtl/>
        </w:rPr>
        <w:t>. وسوف يأتي جواب المؤلف عن ذلك في نهاية شرحه لهذه القاعدة.</w:t>
      </w:r>
      <w:r>
        <w:rPr>
          <w:rFonts w:hint="cs"/>
          <w:rtl/>
        </w:rPr>
        <w:t xml:space="preserve"> </w:t>
      </w:r>
    </w:p>
  </w:footnote>
  <w:footnote w:id="35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كتاب (مجموع النوازل)</w:t>
      </w:r>
      <w:r>
        <w:rPr>
          <w:rFonts w:hint="cs"/>
          <w:rtl/>
        </w:rPr>
        <w:t xml:space="preserve"> : عَرَّف به صاحبُ (كشف الظنون)- 2/1606 - تعريفًا وافياً فقال: </w:t>
      </w:r>
      <w:r>
        <w:rPr>
          <w:rFonts w:hint="eastAsia"/>
          <w:rtl/>
        </w:rPr>
        <w:t>«</w:t>
      </w:r>
      <w:r>
        <w:rPr>
          <w:rFonts w:hint="cs"/>
          <w:rtl/>
        </w:rPr>
        <w:t>مجموع النوازل والحوادث والواقعات : وهو كتاب لطيف في فروع الحنفية للشيخ الإمام أحمد بن موسى بن عيسى بن مأمون الكشي (في حدود 550).</w:t>
      </w:r>
    </w:p>
    <w:p w:rsidR="00035BE3" w:rsidRDefault="00035BE3" w:rsidP="00C10469">
      <w:pPr>
        <w:pStyle w:val="a6"/>
        <w:ind w:left="422" w:firstLine="0"/>
        <w:rPr>
          <w:spacing w:val="-4"/>
          <w:rtl/>
        </w:rPr>
      </w:pPr>
      <w:r>
        <w:rPr>
          <w:rFonts w:hint="cs"/>
          <w:spacing w:val="-4"/>
          <w:rtl/>
        </w:rPr>
        <w:t>وظنّ ابن نجيم أنه لعلي الكشي، وليس كذلك - كما نبّه عليه تقي الدين-...</w:t>
      </w:r>
    </w:p>
    <w:p w:rsidR="00035BE3" w:rsidRDefault="00035BE3" w:rsidP="00C10469">
      <w:pPr>
        <w:pStyle w:val="a6"/>
        <w:ind w:left="422" w:firstLine="0"/>
        <w:rPr>
          <w:spacing w:val="-4"/>
          <w:rtl/>
        </w:rPr>
      </w:pPr>
      <w:r>
        <w:rPr>
          <w:rFonts w:hint="cs"/>
          <w:spacing w:val="-4"/>
          <w:rtl/>
        </w:rPr>
        <w:t>ذُكر أنّه جُمع من فتاوى، منها : فتاوى أبي الليث السمر قندي، وفتاوى أبي بكر بن فضل، وفتاوى أبي حفص الكبير، وغير ذلك</w:t>
      </w:r>
      <w:r>
        <w:rPr>
          <w:rFonts w:hint="eastAsia"/>
          <w:spacing w:val="-4"/>
          <w:rtl/>
        </w:rPr>
        <w:t>»</w:t>
      </w:r>
      <w:r>
        <w:rPr>
          <w:rFonts w:hint="cs"/>
          <w:spacing w:val="-4"/>
          <w:rtl/>
        </w:rPr>
        <w:t>.</w:t>
      </w:r>
    </w:p>
    <w:p w:rsidR="00035BE3" w:rsidRDefault="00035BE3" w:rsidP="00C10469">
      <w:pPr>
        <w:pStyle w:val="a6"/>
        <w:ind w:left="422" w:firstLine="0"/>
        <w:rPr>
          <w:spacing w:val="-4"/>
          <w:rtl/>
        </w:rPr>
      </w:pPr>
      <w:r>
        <w:rPr>
          <w:rFonts w:hint="cs"/>
          <w:spacing w:val="-4"/>
          <w:rtl/>
        </w:rPr>
        <w:t>وقد نقل عنه صاحب (الفوائد البهية) - ص42-43- هذه العبارة، ولم يعلّق عليها، إلا أنه جعل نسبه: الكشَّني (بزيادة النون وتشديد الشين المعجمة - وانظر منه ص65).</w:t>
      </w:r>
    </w:p>
    <w:p w:rsidR="00035BE3" w:rsidRDefault="00035BE3" w:rsidP="00C10469">
      <w:pPr>
        <w:pStyle w:val="a6"/>
        <w:ind w:left="422" w:firstLine="0"/>
        <w:rPr>
          <w:spacing w:val="-4"/>
          <w:rtl/>
        </w:rPr>
      </w:pPr>
      <w:r>
        <w:rPr>
          <w:rFonts w:hint="cs"/>
          <w:spacing w:val="-4"/>
          <w:rtl/>
        </w:rPr>
        <w:t>وممّا يعضد رأي صاحب (كشف الظنون) أن للكتاب ثلاث نسخ خطيّة، وقد اتفقت على كون المؤلف هو : أحمد بن موسى الكشي. وهذه النسخ محفوظة في مكتبة السليمانية باستانبول في الفهارس الآتية :</w:t>
      </w:r>
    </w:p>
    <w:p w:rsidR="00035BE3" w:rsidRDefault="00035BE3" w:rsidP="00C10469">
      <w:pPr>
        <w:pStyle w:val="a6"/>
        <w:ind w:left="422" w:firstLine="0"/>
        <w:rPr>
          <w:spacing w:val="-4"/>
          <w:rtl/>
        </w:rPr>
      </w:pPr>
      <w:r>
        <w:rPr>
          <w:rFonts w:hint="cs"/>
          <w:b/>
          <w:bCs/>
          <w:spacing w:val="-4"/>
          <w:rtl/>
        </w:rPr>
        <w:t>1</w:t>
      </w:r>
      <w:r>
        <w:rPr>
          <w:rFonts w:hint="cs"/>
          <w:spacing w:val="-4"/>
          <w:rtl/>
        </w:rPr>
        <w:t>- جور ليلى علي باشا، برقم 278.</w:t>
      </w:r>
    </w:p>
    <w:p w:rsidR="00035BE3" w:rsidRDefault="00035BE3" w:rsidP="00C10469">
      <w:pPr>
        <w:pStyle w:val="a6"/>
        <w:ind w:left="422" w:firstLine="0"/>
        <w:rPr>
          <w:spacing w:val="-4"/>
          <w:rtl/>
        </w:rPr>
      </w:pPr>
      <w:r>
        <w:rPr>
          <w:rFonts w:hint="cs"/>
          <w:b/>
          <w:bCs/>
          <w:spacing w:val="-4"/>
          <w:rtl/>
        </w:rPr>
        <w:t>2</w:t>
      </w:r>
      <w:r>
        <w:rPr>
          <w:rFonts w:hint="cs"/>
          <w:spacing w:val="-4"/>
          <w:rtl/>
        </w:rPr>
        <w:t>- أسعد أفندي، برقم 913.</w:t>
      </w:r>
    </w:p>
    <w:p w:rsidR="00035BE3" w:rsidRDefault="00035BE3" w:rsidP="00C10469">
      <w:pPr>
        <w:pStyle w:val="a6"/>
        <w:ind w:left="422" w:firstLine="0"/>
        <w:rPr>
          <w:rtl/>
        </w:rPr>
      </w:pPr>
      <w:r>
        <w:rPr>
          <w:rFonts w:hint="cs"/>
          <w:b/>
          <w:bCs/>
          <w:spacing w:val="-4"/>
          <w:rtl/>
        </w:rPr>
        <w:t>3</w:t>
      </w:r>
      <w:r>
        <w:rPr>
          <w:rFonts w:hint="cs"/>
          <w:spacing w:val="-4"/>
          <w:rtl/>
        </w:rPr>
        <w:t>- يني جامع، برقم 447.</w:t>
      </w:r>
    </w:p>
  </w:footnote>
  <w:footnote w:id="35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سبق التعريف ببيع الوفاء، ص627.</w:t>
      </w:r>
    </w:p>
  </w:footnote>
  <w:footnote w:id="35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وكذلك في مصدر هذه العبارة (وهو الدّرر).</w:t>
      </w:r>
    </w:p>
    <w:p w:rsidR="00035BE3" w:rsidRDefault="00035BE3" w:rsidP="00C10469">
      <w:pPr>
        <w:pStyle w:val="a6"/>
        <w:ind w:left="420" w:firstLine="0"/>
        <w:rPr>
          <w:rtl/>
        </w:rPr>
      </w:pPr>
      <w:r>
        <w:rPr>
          <w:rFonts w:hint="cs"/>
          <w:rtl/>
        </w:rPr>
        <w:t>ولعله لو قيل : (بعد جماعها) أو (بعد ما يجامعها) لكان أولى من الفعل الماضي (جامعها)؛ لأن العبارة إنما سيقت لبيات نيّته عند العقد لما سيفعله في المستقبل.</w:t>
      </w:r>
    </w:p>
  </w:footnote>
  <w:footnote w:id="3513">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2/207- مع اختلاف يسير-.</w:t>
      </w:r>
    </w:p>
    <w:p w:rsidR="00035BE3" w:rsidRDefault="00035BE3" w:rsidP="00C10469">
      <w:pPr>
        <w:pStyle w:val="a6"/>
        <w:ind w:left="420" w:firstLine="0"/>
        <w:rPr>
          <w:rtl/>
        </w:rPr>
      </w:pPr>
      <w:r>
        <w:rPr>
          <w:rFonts w:hint="cs"/>
          <w:rtl/>
        </w:rPr>
        <w:t>وممن نقل كلام صاحب (مجموع النوازل) : البزازي في فتاويه، 1/406؛ وابن عابدين في (رد المحتار)، 9/35.</w:t>
      </w:r>
    </w:p>
  </w:footnote>
  <w:footnote w:id="3514">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صريحة</w:t>
      </w:r>
      <w:r>
        <w:rPr>
          <w:rFonts w:hint="eastAsia"/>
          <w:rtl/>
        </w:rPr>
        <w:t>»</w:t>
      </w:r>
      <w:r>
        <w:rPr>
          <w:rFonts w:hint="cs"/>
          <w:rtl/>
        </w:rPr>
        <w:t>. والصحيح ما تمّ إثباته من (ب).</w:t>
      </w:r>
    </w:p>
  </w:footnote>
  <w:footnote w:id="3515">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rtl/>
        </w:rPr>
        <w:t>«</w:t>
      </w:r>
      <w:r>
        <w:rPr>
          <w:rFonts w:hint="cs"/>
          <w:rtl/>
        </w:rPr>
        <w:t>رضًا</w:t>
      </w:r>
      <w:r>
        <w:rPr>
          <w:rFonts w:hint="eastAsia"/>
          <w:rtl/>
        </w:rPr>
        <w:t>»</w:t>
      </w:r>
      <w:r>
        <w:rPr>
          <w:rFonts w:hint="cs"/>
          <w:rtl/>
        </w:rPr>
        <w:t>. والصحيح ما تمَّ إثباته من (هـ) و(و)، ومن فتاوى قاضي خان ومن مصدر المؤلف وهو الدّرر.</w:t>
      </w:r>
    </w:p>
  </w:footnote>
  <w:footnote w:id="3516">
    <w:p w:rsidR="00035BE3" w:rsidRDefault="00035BE3" w:rsidP="00C10469">
      <w:pPr>
        <w:pStyle w:val="a8"/>
        <w:bidi/>
        <w:ind w:left="420"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b/>
          <w:bCs/>
          <w:spacing w:val="-6"/>
          <w:rtl/>
        </w:rPr>
        <w:t xml:space="preserve"> وعندهما </w:t>
      </w:r>
      <w:r>
        <w:rPr>
          <w:rFonts w:hint="cs"/>
          <w:spacing w:val="-6"/>
          <w:rtl/>
        </w:rPr>
        <w:t xml:space="preserve">: أي عند البائع والمشتري. ولفظ قاضي خان : </w:t>
      </w:r>
      <w:r>
        <w:rPr>
          <w:rFonts w:hint="eastAsia"/>
          <w:spacing w:val="-6"/>
          <w:rtl/>
        </w:rPr>
        <w:t>«</w:t>
      </w:r>
      <w:r>
        <w:rPr>
          <w:rFonts w:hint="cs"/>
          <w:spacing w:val="-6"/>
          <w:rtl/>
        </w:rPr>
        <w:t>وعندهما هذا البيع عبارة عن عقد غير لازم...</w:t>
      </w:r>
      <w:r>
        <w:rPr>
          <w:rFonts w:hint="eastAsia"/>
          <w:spacing w:val="-6"/>
          <w:rtl/>
        </w:rPr>
        <w:t>»</w:t>
      </w:r>
      <w:r>
        <w:rPr>
          <w:rFonts w:hint="cs"/>
          <w:spacing w:val="-6"/>
          <w:rtl/>
        </w:rPr>
        <w:t>.</w:t>
      </w:r>
    </w:p>
  </w:footnote>
  <w:footnote w:id="3517">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67/ب من (أ)، و43/ب من (ب).</w:t>
      </w:r>
    </w:p>
  </w:footnote>
  <w:footnote w:id="35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المبيع</w:t>
      </w:r>
      <w:r>
        <w:rPr>
          <w:rFonts w:hint="eastAsia"/>
          <w:rtl/>
        </w:rPr>
        <w:t>»</w:t>
      </w:r>
      <w:r>
        <w:rPr>
          <w:rFonts w:hint="cs"/>
          <w:rtl/>
        </w:rPr>
        <w:t>. والصحيح ما تمَّ إثباته من باقي النسخ، ومن (فتاوى قاضي خان) و(الدّرر).</w:t>
      </w:r>
    </w:p>
  </w:footnote>
  <w:footnote w:id="3519">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ذكر</w:t>
      </w:r>
      <w:r>
        <w:rPr>
          <w:rFonts w:hint="eastAsia"/>
          <w:rtl/>
        </w:rPr>
        <w:t>»</w:t>
      </w:r>
      <w:r>
        <w:rPr>
          <w:rFonts w:hint="cs"/>
          <w:rtl/>
        </w:rPr>
        <w:t>. وهذا الأولى، وهو الموافق لفتاوى قاضي خان، ولكي يكون هذا الفعل على نسق واحد مع الفعل الذي عُطف عليه. وقد جاء الفعلان في (الدرر) بلفظ واحد وهو (ذكرا).</w:t>
      </w:r>
    </w:p>
  </w:footnote>
  <w:footnote w:id="3520">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و(جـ): </w:t>
      </w:r>
      <w:r>
        <w:rPr>
          <w:rFonts w:hint="eastAsia"/>
          <w:spacing w:val="-4"/>
          <w:rtl/>
        </w:rPr>
        <w:t>«</w:t>
      </w:r>
      <w:r>
        <w:rPr>
          <w:rFonts w:hint="cs"/>
          <w:spacing w:val="-4"/>
          <w:rtl/>
        </w:rPr>
        <w:t>يكون</w:t>
      </w:r>
      <w:r>
        <w:rPr>
          <w:rFonts w:hint="eastAsia"/>
          <w:spacing w:val="-4"/>
          <w:rtl/>
        </w:rPr>
        <w:t>»</w:t>
      </w:r>
      <w:r>
        <w:rPr>
          <w:rFonts w:hint="cs"/>
          <w:spacing w:val="-4"/>
          <w:rtl/>
        </w:rPr>
        <w:t>. والصحيح ما تمَّ إثباته من (ب) و(د)، وهو الموافق لفتاوى قاضي خان وللدرر.</w:t>
      </w:r>
    </w:p>
  </w:footnote>
  <w:footnote w:id="35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لأنه</w:t>
      </w:r>
      <w:r>
        <w:rPr>
          <w:rFonts w:hint="eastAsia"/>
          <w:rtl/>
        </w:rPr>
        <w:t>»</w:t>
      </w:r>
      <w:r>
        <w:rPr>
          <w:rFonts w:hint="cs"/>
          <w:rtl/>
        </w:rPr>
        <w:t>.</w:t>
      </w:r>
    </w:p>
  </w:footnote>
  <w:footnote w:id="3522">
    <w:p w:rsidR="00035BE3" w:rsidRDefault="00035BE3" w:rsidP="00C10469">
      <w:pPr>
        <w:pStyle w:val="a8"/>
        <w:bidi/>
        <w:spacing w:line="4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الذي يظهر -والله أعلم- : كون المؤلف لم ينقل هذا النص من (فتاوى قاضي خان) مباشرة؛ بل بواسطة (الدرر)؛ للتّقارب اللفظي بينه وبين ما جاء في (الدّرر) دون (الفتاوى).</w:t>
      </w:r>
    </w:p>
    <w:p w:rsidR="00035BE3" w:rsidRDefault="00035BE3" w:rsidP="00C10469">
      <w:pPr>
        <w:pStyle w:val="a6"/>
        <w:ind w:left="422" w:firstLine="0"/>
        <w:rPr>
          <w:rtl/>
        </w:rPr>
      </w:pPr>
      <w:r>
        <w:rPr>
          <w:rFonts w:hint="cs"/>
          <w:rtl/>
        </w:rPr>
        <w:t>ولتوثيق ذلك انظر : فتاوى قاضي خان، 2/165؛ الدّرر شرح الغرر، 2/207.</w:t>
      </w:r>
    </w:p>
  </w:footnote>
  <w:footnote w:id="35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مما </w:t>
      </w:r>
      <w:r>
        <w:rPr>
          <w:rFonts w:hint="eastAsia"/>
          <w:rtl/>
        </w:rPr>
        <w:t>»</w:t>
      </w:r>
      <w:r>
        <w:rPr>
          <w:rFonts w:hint="cs"/>
          <w:rtl/>
        </w:rPr>
        <w:t>.</w:t>
      </w:r>
    </w:p>
  </w:footnote>
  <w:footnote w:id="35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ساقطة من (د).</w:t>
      </w:r>
    </w:p>
  </w:footnote>
  <w:footnote w:id="35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BB6BDB">
        <w:rPr>
          <w:rFonts w:hint="cs"/>
          <w:spacing w:val="-2"/>
          <w:rtl/>
        </w:rPr>
        <w:t>هذه القاعدة من القواعد التي سبق أن أفردها المؤلف بالحديث، وذلك ص355 (ل15/أ)، قاعدة 34.</w:t>
      </w:r>
    </w:p>
  </w:footnote>
  <w:footnote w:id="35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صادفة</w:t>
      </w:r>
      <w:r>
        <w:rPr>
          <w:rFonts w:hint="eastAsia"/>
          <w:rtl/>
        </w:rPr>
        <w:t>»</w:t>
      </w:r>
      <w:r>
        <w:rPr>
          <w:rFonts w:hint="cs"/>
          <w:rtl/>
        </w:rPr>
        <w:t>. والصحيح ما تم إثباته من باقي النسخ.</w:t>
      </w:r>
    </w:p>
  </w:footnote>
  <w:footnote w:id="35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زيادة </w:t>
      </w:r>
      <w:r>
        <w:rPr>
          <w:rFonts w:hint="eastAsia"/>
          <w:rtl/>
        </w:rPr>
        <w:t>«</w:t>
      </w:r>
      <w:r>
        <w:rPr>
          <w:rFonts w:hint="cs"/>
          <w:rtl/>
        </w:rPr>
        <w:t>والمعاني</w:t>
      </w:r>
      <w:r>
        <w:rPr>
          <w:rFonts w:hint="eastAsia"/>
          <w:rtl/>
        </w:rPr>
        <w:t>»</w:t>
      </w:r>
      <w:r>
        <w:rPr>
          <w:rFonts w:hint="cs"/>
          <w:rtl/>
        </w:rPr>
        <w:t>. ولا يظهر وجه لهذه الزيادة.</w:t>
      </w:r>
    </w:p>
  </w:footnote>
  <w:footnote w:id="35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يكون</w:t>
      </w:r>
      <w:r>
        <w:rPr>
          <w:rFonts w:hint="eastAsia"/>
          <w:rtl/>
        </w:rPr>
        <w:t>»</w:t>
      </w:r>
      <w:r>
        <w:rPr>
          <w:rFonts w:hint="cs"/>
          <w:rtl/>
        </w:rPr>
        <w:t>. والصحيح ما تمَّ إثباته من (ب).</w:t>
      </w:r>
    </w:p>
  </w:footnote>
  <w:footnote w:id="35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و(د) : </w:t>
      </w:r>
      <w:r>
        <w:rPr>
          <w:rFonts w:hint="eastAsia"/>
          <w:rtl/>
        </w:rPr>
        <w:t>«</w:t>
      </w:r>
      <w:r>
        <w:rPr>
          <w:rFonts w:hint="cs"/>
          <w:rtl/>
        </w:rPr>
        <w:t>الأصل</w:t>
      </w:r>
      <w:r>
        <w:rPr>
          <w:rFonts w:hint="eastAsia"/>
          <w:rtl/>
        </w:rPr>
        <w:t>»</w:t>
      </w:r>
      <w:r>
        <w:rPr>
          <w:rFonts w:hint="cs"/>
          <w:rtl/>
        </w:rPr>
        <w:t>.</w:t>
      </w:r>
    </w:p>
    <w:p w:rsidR="00035BE3" w:rsidRDefault="00035BE3" w:rsidP="00C10469">
      <w:pPr>
        <w:pStyle w:val="a6"/>
        <w:ind w:left="422" w:firstLine="0"/>
        <w:rPr>
          <w:rtl/>
        </w:rPr>
      </w:pPr>
      <w:r>
        <w:rPr>
          <w:rFonts w:hint="cs"/>
          <w:rtl/>
        </w:rPr>
        <w:t>وقد سبق ذكر المؤلف لهذا المثال، ص353، وتم توثيقه هناك.</w:t>
      </w:r>
    </w:p>
  </w:footnote>
  <w:footnote w:id="3530">
    <w:p w:rsidR="00035BE3"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موضوع هذه القاعدة هو التعارض بين العرف واللغة - وقد سبق الحديث عنه مفصَّلا عند توثيق قاعدة: </w:t>
      </w:r>
      <w:r>
        <w:rPr>
          <w:rFonts w:hint="eastAsia"/>
          <w:spacing w:val="-4"/>
          <w:rtl/>
        </w:rPr>
        <w:t>«</w:t>
      </w:r>
      <w:r>
        <w:rPr>
          <w:rFonts w:hint="cs"/>
          <w:spacing w:val="-4"/>
          <w:rtl/>
        </w:rPr>
        <w:t>الحقيقة تترك بدلالة العادة</w:t>
      </w:r>
      <w:r>
        <w:rPr>
          <w:rFonts w:hint="eastAsia"/>
          <w:spacing w:val="-4"/>
          <w:rtl/>
        </w:rPr>
        <w:t>»</w:t>
      </w:r>
      <w:r>
        <w:rPr>
          <w:rFonts w:hint="cs"/>
          <w:spacing w:val="-4"/>
          <w:rtl/>
        </w:rPr>
        <w:t>، وذلك ص647 (ل46/ب)، قاعدة 114-.</w:t>
      </w:r>
    </w:p>
    <w:p w:rsidR="00035BE3" w:rsidRDefault="00035BE3" w:rsidP="00C10469">
      <w:pPr>
        <w:pStyle w:val="a6"/>
        <w:ind w:left="422" w:firstLine="0"/>
        <w:rPr>
          <w:rtl/>
        </w:rPr>
      </w:pPr>
      <w:r>
        <w:rPr>
          <w:rFonts w:hint="cs"/>
          <w:spacing w:val="-4"/>
          <w:rtl/>
        </w:rPr>
        <w:t>أما صيغة هذه القاعدة فقد وردت في بعض كتب الفقه، منها : الهداية والعناية ونتائج الأفكار، 8/108؛ البحر الرائق، 7/187؛ الدّرر شرح الغرر، 2/291.</w:t>
      </w:r>
    </w:p>
  </w:footnote>
  <w:footnote w:id="35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4"/>
          <w:rtl/>
        </w:rPr>
        <w:t>«</w:t>
      </w:r>
      <w:r>
        <w:rPr>
          <w:rFonts w:hint="cs"/>
          <w:spacing w:val="-4"/>
          <w:rtl/>
        </w:rPr>
        <w:t xml:space="preserve"> تقال </w:t>
      </w:r>
      <w:r>
        <w:rPr>
          <w:rFonts w:hint="eastAsia"/>
          <w:spacing w:val="-4"/>
          <w:rtl/>
        </w:rPr>
        <w:t>»</w:t>
      </w:r>
      <w:r>
        <w:rPr>
          <w:rFonts w:hint="cs"/>
          <w:spacing w:val="-4"/>
          <w:rtl/>
        </w:rPr>
        <w:t>.</w:t>
      </w:r>
    </w:p>
  </w:footnote>
  <w:footnote w:id="35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spacing w:val="-4"/>
          <w:rtl/>
        </w:rPr>
        <w:t>«</w:t>
      </w:r>
      <w:r>
        <w:rPr>
          <w:rFonts w:hint="cs"/>
          <w:spacing w:val="-4"/>
          <w:rtl/>
        </w:rPr>
        <w:t>اقتصيت</w:t>
      </w:r>
      <w:r>
        <w:rPr>
          <w:rFonts w:hint="eastAsia"/>
          <w:spacing w:val="-4"/>
          <w:rtl/>
        </w:rPr>
        <w:t>»</w:t>
      </w:r>
      <w:r>
        <w:rPr>
          <w:rFonts w:hint="cs"/>
          <w:spacing w:val="-4"/>
          <w:rtl/>
        </w:rPr>
        <w:t xml:space="preserve"> (بالصاد المهملة). والصحيح ما تمَّ إثباته من باقي النسخ. والمؤلف سبق أن ذكر هذه العبارة، ص582 (ل41/أ)، وقد اتفقت جميع النسخ على إثبات الضاد.</w:t>
      </w:r>
    </w:p>
  </w:footnote>
  <w:footnote w:id="35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51/ب من (جـ).</w:t>
      </w:r>
    </w:p>
  </w:footnote>
  <w:footnote w:id="35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فيرجح العرف على الوضع.</w:t>
      </w:r>
    </w:p>
  </w:footnote>
  <w:footnote w:id="35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مضمون هذه القاعدة سبق أن ذكره المؤلف في نهاية حديثه عن قاعدة : </w:t>
      </w:r>
      <w:r>
        <w:rPr>
          <w:rFonts w:hint="eastAsia"/>
          <w:spacing w:val="-4"/>
          <w:rtl/>
        </w:rPr>
        <w:t>«</w:t>
      </w:r>
      <w:r>
        <w:rPr>
          <w:rFonts w:hint="cs"/>
          <w:spacing w:val="-4"/>
          <w:rtl/>
        </w:rPr>
        <w:t>الثابت بالعرف قاضٍ على القياس</w:t>
      </w:r>
      <w:r>
        <w:rPr>
          <w:rFonts w:hint="eastAsia"/>
          <w:spacing w:val="-4"/>
          <w:rtl/>
        </w:rPr>
        <w:t>»</w:t>
      </w:r>
      <w:r>
        <w:rPr>
          <w:rFonts w:hint="cs"/>
          <w:spacing w:val="-4"/>
          <w:rtl/>
        </w:rPr>
        <w:t>، وذلك ص582 (ل41/أ)، فما قيل في التعليق هناك يقال هنا، والمصدر الرئيس فيهما هو الدرر شرح الغرر، 2/291.</w:t>
      </w:r>
    </w:p>
  </w:footnote>
  <w:footnote w:id="3536">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42/أ من (د).</w:t>
      </w:r>
    </w:p>
  </w:footnote>
  <w:footnote w:id="3537">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بعض كتب الفقه الحنفي، منها :</w:t>
      </w:r>
    </w:p>
    <w:p w:rsidR="00035BE3" w:rsidRDefault="00035BE3" w:rsidP="00C10469">
      <w:pPr>
        <w:pStyle w:val="a6"/>
        <w:spacing w:line="460" w:lineRule="exact"/>
        <w:ind w:left="422" w:firstLine="0"/>
        <w:rPr>
          <w:rtl/>
        </w:rPr>
      </w:pPr>
      <w:r>
        <w:rPr>
          <w:rFonts w:hint="cs"/>
          <w:rtl/>
        </w:rPr>
        <w:t>العناية ونتائج الأفكار، 8/251؛ الدرر شرح الغرر وحاشيتها للشرنبلالي، 2/345؛ قرّة عيون الأخيار (تكملة رد المحتار)، 12/12.</w:t>
      </w:r>
    </w:p>
  </w:footnote>
  <w:footnote w:id="3538">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عينا</w:t>
      </w:r>
      <w:r>
        <w:rPr>
          <w:rFonts w:hint="eastAsia"/>
          <w:rtl/>
        </w:rPr>
        <w:t>»</w:t>
      </w:r>
      <w:r>
        <w:rPr>
          <w:rFonts w:hint="cs"/>
          <w:rtl/>
        </w:rPr>
        <w:t xml:space="preserve"> : زيادة من (ب). وهي زيادة لا يستقيم السياق بدونها. وقد جاء في مصدر هذه العبارة (وهو الدّرر) : </w:t>
      </w:r>
      <w:r>
        <w:rPr>
          <w:rFonts w:hint="eastAsia"/>
          <w:rtl/>
        </w:rPr>
        <w:t>«</w:t>
      </w:r>
      <w:r>
        <w:rPr>
          <w:rFonts w:hint="cs"/>
          <w:rtl/>
        </w:rPr>
        <w:t xml:space="preserve">إذا كان </w:t>
      </w:r>
      <w:r>
        <w:rPr>
          <w:rFonts w:hint="cs"/>
          <w:b/>
          <w:bCs/>
          <w:rtl/>
        </w:rPr>
        <w:t>عبد</w:t>
      </w:r>
      <w:r>
        <w:rPr>
          <w:rFonts w:hint="cs"/>
          <w:rtl/>
        </w:rPr>
        <w:t xml:space="preserve"> في يد رجل ادعى اثنان كل منهما أنه اشتراه منه ...</w:t>
      </w:r>
      <w:r>
        <w:rPr>
          <w:rFonts w:hint="eastAsia"/>
          <w:rtl/>
        </w:rPr>
        <w:t>»</w:t>
      </w:r>
      <w:r>
        <w:rPr>
          <w:rFonts w:hint="cs"/>
          <w:rtl/>
        </w:rPr>
        <w:t>.</w:t>
      </w:r>
    </w:p>
  </w:footnote>
  <w:footnote w:id="3539">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اشتراه</w:t>
      </w:r>
      <w:r>
        <w:rPr>
          <w:rFonts w:hint="eastAsia"/>
          <w:rtl/>
        </w:rPr>
        <w:t>»</w:t>
      </w:r>
      <w:r>
        <w:rPr>
          <w:rFonts w:hint="cs"/>
          <w:rtl/>
        </w:rPr>
        <w:t>. وبناء على زيادة كلمة (عينًا) لا بّد أن يكون الضمير العائد إليها تبعًا لها في التأنيث؛ لهذا تم إثبات ما في (ب).</w:t>
      </w:r>
    </w:p>
  </w:footnote>
  <w:footnote w:id="3540">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منه : أي من الثالث وهو البائع.</w:t>
      </w:r>
    </w:p>
  </w:footnote>
  <w:footnote w:id="3541">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الكلمة وسطها مطموس في (أ)، وفي (ب) : </w:t>
      </w:r>
      <w:r>
        <w:rPr>
          <w:rFonts w:hint="eastAsia"/>
          <w:spacing w:val="-4"/>
          <w:rtl/>
        </w:rPr>
        <w:t>«</w:t>
      </w:r>
      <w:r>
        <w:rPr>
          <w:rFonts w:hint="cs"/>
          <w:spacing w:val="-4"/>
          <w:rtl/>
        </w:rPr>
        <w:t>وأتيا بالبينة</w:t>
      </w:r>
      <w:r>
        <w:rPr>
          <w:rFonts w:hint="eastAsia"/>
          <w:spacing w:val="-4"/>
          <w:rtl/>
        </w:rPr>
        <w:t>»</w:t>
      </w:r>
      <w:r>
        <w:rPr>
          <w:rFonts w:hint="cs"/>
          <w:spacing w:val="-4"/>
          <w:rtl/>
        </w:rPr>
        <w:t xml:space="preserve">، وفي (جـ) </w:t>
      </w:r>
      <w:r>
        <w:rPr>
          <w:rFonts w:hint="eastAsia"/>
          <w:spacing w:val="-4"/>
          <w:rtl/>
        </w:rPr>
        <w:t>«</w:t>
      </w:r>
      <w:r>
        <w:rPr>
          <w:rFonts w:hint="cs"/>
          <w:spacing w:val="-4"/>
          <w:rtl/>
        </w:rPr>
        <w:t>وأتى ببينته</w:t>
      </w:r>
      <w:r>
        <w:rPr>
          <w:rFonts w:hint="eastAsia"/>
          <w:spacing w:val="-4"/>
          <w:rtl/>
        </w:rPr>
        <w:t>»</w:t>
      </w:r>
      <w:r>
        <w:rPr>
          <w:rFonts w:hint="cs"/>
          <w:spacing w:val="-4"/>
          <w:rtl/>
        </w:rPr>
        <w:t xml:space="preserve">، وفي (د) : </w:t>
      </w:r>
      <w:r>
        <w:rPr>
          <w:rFonts w:hint="eastAsia"/>
          <w:spacing w:val="-4"/>
          <w:rtl/>
        </w:rPr>
        <w:t>«</w:t>
      </w:r>
      <w:r>
        <w:rPr>
          <w:rFonts w:hint="cs"/>
          <w:spacing w:val="-4"/>
          <w:rtl/>
        </w:rPr>
        <w:t>وأما بالبينة</w:t>
      </w:r>
      <w:r>
        <w:rPr>
          <w:rFonts w:hint="eastAsia"/>
          <w:spacing w:val="-4"/>
          <w:rtl/>
        </w:rPr>
        <w:t>»</w:t>
      </w:r>
      <w:r>
        <w:rPr>
          <w:rFonts w:hint="cs"/>
          <w:spacing w:val="-4"/>
          <w:rtl/>
        </w:rPr>
        <w:t xml:space="preserve">، وفي (هـ) : </w:t>
      </w:r>
      <w:r>
        <w:rPr>
          <w:rFonts w:hint="eastAsia"/>
          <w:spacing w:val="-4"/>
          <w:rtl/>
        </w:rPr>
        <w:t>«</w:t>
      </w:r>
      <w:r>
        <w:rPr>
          <w:rFonts w:hint="cs"/>
          <w:spacing w:val="-4"/>
          <w:rtl/>
        </w:rPr>
        <w:t>وأقاما بينة</w:t>
      </w:r>
      <w:r>
        <w:rPr>
          <w:rFonts w:hint="eastAsia"/>
          <w:spacing w:val="-4"/>
          <w:rtl/>
        </w:rPr>
        <w:t>»</w:t>
      </w:r>
      <w:r>
        <w:rPr>
          <w:rFonts w:hint="cs"/>
          <w:spacing w:val="-4"/>
          <w:rtl/>
        </w:rPr>
        <w:t xml:space="preserve">، وفي </w:t>
      </w:r>
      <w:r>
        <w:rPr>
          <w:rFonts w:hint="eastAsia"/>
          <w:spacing w:val="-4"/>
          <w:rtl/>
        </w:rPr>
        <w:t>«</w:t>
      </w:r>
      <w:r>
        <w:rPr>
          <w:rFonts w:hint="cs"/>
          <w:spacing w:val="-4"/>
          <w:rtl/>
        </w:rPr>
        <w:t>و</w:t>
      </w:r>
      <w:r>
        <w:rPr>
          <w:rFonts w:hint="eastAsia"/>
          <w:spacing w:val="-4"/>
          <w:rtl/>
        </w:rPr>
        <w:t>»</w:t>
      </w:r>
      <w:r>
        <w:rPr>
          <w:rFonts w:hint="cs"/>
          <w:spacing w:val="-4"/>
          <w:rtl/>
        </w:rPr>
        <w:t xml:space="preserve"> : </w:t>
      </w:r>
      <w:r>
        <w:rPr>
          <w:rFonts w:hint="eastAsia"/>
          <w:spacing w:val="-4"/>
          <w:rtl/>
        </w:rPr>
        <w:t>«</w:t>
      </w:r>
      <w:r>
        <w:rPr>
          <w:rFonts w:hint="cs"/>
          <w:spacing w:val="-4"/>
          <w:rtl/>
        </w:rPr>
        <w:t>وأقاما ببينة</w:t>
      </w:r>
      <w:r>
        <w:rPr>
          <w:rFonts w:hint="eastAsia"/>
          <w:spacing w:val="-4"/>
          <w:rtl/>
        </w:rPr>
        <w:t>»</w:t>
      </w:r>
      <w:r>
        <w:rPr>
          <w:rFonts w:hint="cs"/>
          <w:spacing w:val="-4"/>
          <w:rtl/>
        </w:rPr>
        <w:t>. وما في (ب) وفي (هـ) هو الصحيح، وقد تمَّ إثبات ما في (هـ) لأنه الأقرب لنسخة (أ)، وهو الموافق للدّرر.</w:t>
      </w:r>
    </w:p>
  </w:footnote>
  <w:footnote w:id="3542">
    <w:p w:rsidR="00035BE3" w:rsidRDefault="00035BE3" w:rsidP="00C10469">
      <w:pPr>
        <w:pStyle w:val="a8"/>
        <w:bidi/>
        <w:spacing w:line="460" w:lineRule="exact"/>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هكذا في (أ) و(هـ)، وفي الدرر، أما ألفاظ هذه الكلمة في النسخ الأخرى فقد سبق بيانها في الهامش السابق.</w:t>
      </w:r>
    </w:p>
  </w:footnote>
  <w:footnote w:id="3543">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68/أ من (أ).</w:t>
      </w:r>
    </w:p>
  </w:footnote>
  <w:footnote w:id="3544">
    <w:p w:rsidR="00035BE3" w:rsidRDefault="00035BE3" w:rsidP="00C10469">
      <w:pPr>
        <w:pStyle w:val="a8"/>
        <w:bidi/>
        <w:spacing w:line="460" w:lineRule="exact"/>
        <w:ind w:left="422" w:right="0" w:hanging="425"/>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sz w:val="8"/>
          <w:szCs w:val="18"/>
          <w:rtl/>
        </w:rPr>
        <w:t xml:space="preserve">   </w:t>
      </w:r>
      <w:r>
        <w:rPr>
          <w:rFonts w:hint="cs"/>
          <w:spacing w:val="-8"/>
          <w:rtl/>
        </w:rPr>
        <w:t xml:space="preserve">وردت الجملة الأخيرة في الدّرر على النحو الآتي: </w:t>
      </w:r>
      <w:r>
        <w:rPr>
          <w:rFonts w:hint="eastAsia"/>
          <w:spacing w:val="-8"/>
          <w:rtl/>
        </w:rPr>
        <w:t>«</w:t>
      </w:r>
      <w:r>
        <w:rPr>
          <w:rFonts w:hint="cs"/>
          <w:spacing w:val="-8"/>
          <w:rtl/>
        </w:rPr>
        <w:t>إن شاء أخذ نصف العبد بنصف الثمن الذي شهد به البينة</w:t>
      </w:r>
      <w:r>
        <w:rPr>
          <w:rFonts w:hint="eastAsia"/>
          <w:spacing w:val="-8"/>
          <w:rtl/>
        </w:rPr>
        <w:t>»</w:t>
      </w:r>
      <w:r>
        <w:rPr>
          <w:rFonts w:hint="cs"/>
          <w:spacing w:val="-8"/>
          <w:rtl/>
        </w:rPr>
        <w:t>.</w:t>
      </w:r>
    </w:p>
  </w:footnote>
  <w:footnote w:id="3545">
    <w:p w:rsidR="00035BE3" w:rsidRDefault="00035BE3" w:rsidP="00C10469">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4"/>
          <w:rtl/>
        </w:rPr>
        <w:t>«</w:t>
      </w:r>
      <w:r>
        <w:rPr>
          <w:rFonts w:hint="cs"/>
          <w:spacing w:val="-4"/>
          <w:rtl/>
        </w:rPr>
        <w:t xml:space="preserve"> عقد </w:t>
      </w:r>
      <w:r>
        <w:rPr>
          <w:rFonts w:hint="eastAsia"/>
          <w:spacing w:val="-4"/>
          <w:rtl/>
        </w:rPr>
        <w:t>»</w:t>
      </w:r>
      <w:r>
        <w:rPr>
          <w:rFonts w:hint="cs"/>
          <w:spacing w:val="-4"/>
          <w:rtl/>
        </w:rPr>
        <w:t>.</w:t>
      </w:r>
    </w:p>
  </w:footnote>
  <w:footnote w:id="354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4"/>
          <w:rtl/>
        </w:rPr>
        <w:t>«</w:t>
      </w:r>
      <w:r>
        <w:rPr>
          <w:rFonts w:hint="cs"/>
          <w:spacing w:val="-4"/>
          <w:rtl/>
        </w:rPr>
        <w:t>ويقل</w:t>
      </w:r>
      <w:r>
        <w:rPr>
          <w:rFonts w:hint="eastAsia"/>
          <w:spacing w:val="-4"/>
          <w:rtl/>
        </w:rPr>
        <w:t>»</w:t>
      </w:r>
      <w:r>
        <w:rPr>
          <w:rFonts w:hint="cs"/>
          <w:spacing w:val="-4"/>
          <w:rtl/>
        </w:rPr>
        <w:t xml:space="preserve">. وفي الدرر : </w:t>
      </w:r>
      <w:r>
        <w:rPr>
          <w:rFonts w:hint="eastAsia"/>
          <w:spacing w:val="-4"/>
          <w:rtl/>
        </w:rPr>
        <w:t>«</w:t>
      </w:r>
      <w:r>
        <w:rPr>
          <w:rFonts w:hint="cs"/>
          <w:spacing w:val="-4"/>
          <w:rtl/>
        </w:rPr>
        <w:t>فلعل</w:t>
      </w:r>
      <w:r>
        <w:rPr>
          <w:rFonts w:hint="eastAsia"/>
          <w:spacing w:val="-4"/>
          <w:rtl/>
        </w:rPr>
        <w:t>»</w:t>
      </w:r>
      <w:r>
        <w:rPr>
          <w:rFonts w:hint="cs"/>
          <w:spacing w:val="-4"/>
          <w:rtl/>
        </w:rPr>
        <w:t>.</w:t>
      </w:r>
    </w:p>
  </w:footnote>
  <w:footnote w:id="354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4"/>
          <w:rtl/>
        </w:rPr>
        <w:t>«</w:t>
      </w:r>
      <w:r>
        <w:rPr>
          <w:rFonts w:hint="cs"/>
          <w:spacing w:val="-4"/>
          <w:rtl/>
        </w:rPr>
        <w:t>كله</w:t>
      </w:r>
      <w:r>
        <w:rPr>
          <w:rFonts w:hint="eastAsia"/>
          <w:spacing w:val="-4"/>
          <w:rtl/>
        </w:rPr>
        <w:t>»</w:t>
      </w:r>
      <w:r>
        <w:rPr>
          <w:rFonts w:hint="cs"/>
          <w:spacing w:val="-4"/>
          <w:rtl/>
        </w:rPr>
        <w:t>. وهذا الأقرب؛ وفاقًا للدرر، لأن الضمير يعود إلى أقرب مذكور، وهو المدَّعى. على أنه يمكن حمل ما جاء في باقي النسخ على أن الضمير المؤنث يعود إلى كلمة (عينًا) المذكورة في صدر المثال.</w:t>
      </w:r>
    </w:p>
  </w:footnote>
  <w:footnote w:id="354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spacing w:val="-4"/>
          <w:rtl/>
        </w:rPr>
        <w:t>«</w:t>
      </w:r>
      <w:r>
        <w:rPr>
          <w:rFonts w:hint="cs"/>
          <w:spacing w:val="-4"/>
          <w:rtl/>
        </w:rPr>
        <w:t>العقد</w:t>
      </w:r>
      <w:r>
        <w:rPr>
          <w:rFonts w:hint="eastAsia"/>
          <w:spacing w:val="-4"/>
          <w:rtl/>
        </w:rPr>
        <w:t>»</w:t>
      </w:r>
      <w:r>
        <w:rPr>
          <w:rFonts w:hint="cs"/>
          <w:spacing w:val="-4"/>
          <w:rtl/>
        </w:rPr>
        <w:t>. والصحيح ما تمَّ إثباته من (هـ) و(و).</w:t>
      </w:r>
    </w:p>
  </w:footnote>
  <w:footnote w:id="3549">
    <w:p w:rsidR="00035BE3" w:rsidRDefault="00035BE3" w:rsidP="00C10469">
      <w:pPr>
        <w:pStyle w:val="a8"/>
        <w:bidi/>
        <w:ind w:left="422" w:right="0" w:hanging="425"/>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sidRPr="00AB7534">
        <w:rPr>
          <w:rFonts w:hint="cs"/>
          <w:spacing w:val="-2"/>
          <w:rtl/>
        </w:rPr>
        <w:t xml:space="preserve">انظر: الدّرر شرح الغرر، 2/345، إذْ جلّ الألفاظ التي ذكرها المؤلف جاءت في (الدّرر)، مع </w:t>
      </w:r>
      <w:r>
        <w:rPr>
          <w:rFonts w:hint="cs"/>
          <w:rtl/>
        </w:rPr>
        <w:t xml:space="preserve">اختلاف في بعضها- وقد سبق بيان أهمه - بالإضافة إلى زيادة في الدّرر لبعض الألفاظ، وأهمها أن صاحبَ </w:t>
      </w:r>
      <w:r w:rsidRPr="00AB7534">
        <w:rPr>
          <w:rFonts w:hint="cs"/>
          <w:spacing w:val="-4"/>
          <w:rtl/>
        </w:rPr>
        <w:t xml:space="preserve">(الدرر) فصّل في آخر العبارة فقال: </w:t>
      </w:r>
      <w:r w:rsidRPr="00AB7534">
        <w:rPr>
          <w:rFonts w:hint="eastAsia"/>
          <w:spacing w:val="-4"/>
          <w:rtl/>
        </w:rPr>
        <w:t>«</w:t>
      </w:r>
      <w:r w:rsidRPr="00AB7534">
        <w:rPr>
          <w:rFonts w:hint="cs"/>
          <w:spacing w:val="-4"/>
          <w:rtl/>
        </w:rPr>
        <w:t xml:space="preserve">... ولعل رغبته في تملك الكل، فلم يحصل، فيرده ويأخذ كل </w:t>
      </w:r>
      <w:r>
        <w:rPr>
          <w:rFonts w:hint="cs"/>
          <w:spacing w:val="-4"/>
          <w:rtl/>
        </w:rPr>
        <w:t>الثمن.</w:t>
      </w:r>
    </w:p>
    <w:p w:rsidR="00035BE3" w:rsidRDefault="00035BE3" w:rsidP="00C10469">
      <w:pPr>
        <w:pStyle w:val="a6"/>
        <w:ind w:left="422" w:firstLine="0"/>
        <w:rPr>
          <w:spacing w:val="-4"/>
          <w:rtl/>
        </w:rPr>
      </w:pPr>
      <w:r>
        <w:rPr>
          <w:rFonts w:hint="cs"/>
          <w:spacing w:val="-4"/>
          <w:rtl/>
        </w:rPr>
        <w:t>وبترك أحدهما بعد القضاء : لم يأخذ الآخرُ كلَّه. يعني : إذا قضى القاضي بينهما بنصفين، فقال أحدهما : لا أختار : لم يكن للآخر أن يأخذ جميعه؛ لأنه صار مقضيًّا عليه بالنصف، فانفسخ العقد منه، والعقد متى انفسخ بقضاء القاضي لا يعود إلا بتجديده، ولم يوجد</w:t>
      </w:r>
      <w:r>
        <w:rPr>
          <w:rFonts w:hint="eastAsia"/>
          <w:spacing w:val="-4"/>
          <w:rtl/>
        </w:rPr>
        <w:t>»</w:t>
      </w:r>
      <w:r>
        <w:rPr>
          <w:rFonts w:hint="cs"/>
          <w:spacing w:val="-4"/>
          <w:rtl/>
        </w:rPr>
        <w:t>.</w:t>
      </w:r>
    </w:p>
    <w:p w:rsidR="00035BE3" w:rsidRDefault="00035BE3" w:rsidP="00C10469">
      <w:pPr>
        <w:pStyle w:val="a6"/>
        <w:ind w:left="422" w:firstLine="0"/>
        <w:rPr>
          <w:rtl/>
        </w:rPr>
      </w:pPr>
      <w:r>
        <w:rPr>
          <w:rFonts w:hint="cs"/>
          <w:spacing w:val="-4"/>
          <w:rtl/>
        </w:rPr>
        <w:t>وانظر بالإضافة إلى الدّرر : الهداية وشرحيها : العناية ونتائج الأفكار، 8/249؛ تنوير الأبصار وشرحه : الدر المختار، وحاشية الشرح : قرة عيون الأخيار، 12/12.</w:t>
      </w:r>
    </w:p>
  </w:footnote>
  <w:footnote w:id="3550">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ورد هذا الضابط بهذا اللفظ أو نحوه في : الهداية، 10/167؛ وفي الدّرر شرح الغرر، 2/253، وانظر منه: 2/261، وجلّ ما جاء في شرح الضابط مستفاد من الدّرر، كما جاء التصريح بذلك في نهاية الشرح.</w:t>
      </w:r>
    </w:p>
    <w:p w:rsidR="00035BE3" w:rsidRDefault="00035BE3" w:rsidP="00C10469">
      <w:pPr>
        <w:pStyle w:val="a6"/>
        <w:ind w:left="422" w:firstLine="0"/>
        <w:rPr>
          <w:spacing w:val="8"/>
          <w:rtl/>
        </w:rPr>
      </w:pPr>
      <w:r>
        <w:rPr>
          <w:rFonts w:hint="cs"/>
          <w:spacing w:val="8"/>
          <w:rtl/>
        </w:rPr>
        <w:t>وانـظر فـي كون عقد الرهن عقد تـبرع : تبيين الحقائق، 6/77؛ تكملة البحر الرائق، 8/265، 287.</w:t>
      </w:r>
    </w:p>
  </w:footnote>
  <w:footnote w:id="35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يبرهن </w:t>
      </w:r>
      <w:r>
        <w:rPr>
          <w:rFonts w:hint="eastAsia"/>
          <w:rtl/>
        </w:rPr>
        <w:t>»</w:t>
      </w:r>
      <w:r>
        <w:rPr>
          <w:rFonts w:hint="cs"/>
          <w:rtl/>
        </w:rPr>
        <w:t>.</w:t>
      </w:r>
    </w:p>
  </w:footnote>
  <w:footnote w:id="35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إلى </w:t>
      </w:r>
      <w:r>
        <w:rPr>
          <w:rFonts w:hint="eastAsia"/>
          <w:rtl/>
        </w:rPr>
        <w:t>»</w:t>
      </w:r>
      <w:r>
        <w:rPr>
          <w:rFonts w:hint="cs"/>
          <w:rtl/>
        </w:rPr>
        <w:t>.</w:t>
      </w:r>
    </w:p>
  </w:footnote>
  <w:footnote w:id="35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خالف في ذلك (زفر) وقال : يُجبر المشتري على تسليم الرهن. انظر : الهداية، 10/167؛ تبيين الحقائق، 6/77.</w:t>
      </w:r>
    </w:p>
  </w:footnote>
  <w:footnote w:id="35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نسخه </w:t>
      </w:r>
      <w:r>
        <w:rPr>
          <w:rFonts w:hint="eastAsia"/>
          <w:rtl/>
        </w:rPr>
        <w:t>»</w:t>
      </w:r>
      <w:r>
        <w:rPr>
          <w:rFonts w:hint="cs"/>
          <w:rtl/>
        </w:rPr>
        <w:t>.</w:t>
      </w:r>
    </w:p>
  </w:footnote>
  <w:footnote w:id="35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عنه </w:t>
      </w:r>
      <w:r>
        <w:rPr>
          <w:rFonts w:hint="eastAsia"/>
          <w:rtl/>
        </w:rPr>
        <w:t>»</w:t>
      </w:r>
      <w:r>
        <w:rPr>
          <w:rFonts w:hint="cs"/>
          <w:rtl/>
        </w:rPr>
        <w:t>.</w:t>
      </w:r>
    </w:p>
  </w:footnote>
  <w:footnote w:id="35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رهنيًّا </w:t>
      </w:r>
      <w:r>
        <w:rPr>
          <w:rFonts w:hint="eastAsia"/>
          <w:rtl/>
        </w:rPr>
        <w:t>»</w:t>
      </w:r>
      <w:r>
        <w:rPr>
          <w:rFonts w:hint="cs"/>
          <w:rtl/>
        </w:rPr>
        <w:t>. والصحيح ما تمَّ إثباته من باقي النسخ؛ وفاقًا للدّرر.</w:t>
      </w:r>
    </w:p>
  </w:footnote>
  <w:footnote w:id="35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44/أ من (ب).</w:t>
      </w:r>
    </w:p>
  </w:footnote>
  <w:footnote w:id="35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2/253 - مع اختلاف يسير في بعض الألفاظ وزيادة لألفاظ أخر في الدّرر-؛ وانظر: الهداية وشرحيها : العناية ونتائج الأفكار، 10/167؛ الكنز وشرحيه : تبيين الحقائق، 6/77؛ وتكملة البحر الرائق، 8/286.</w:t>
      </w:r>
    </w:p>
  </w:footnote>
  <w:footnote w:id="35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الاستحسان </w:t>
      </w:r>
      <w:r>
        <w:rPr>
          <w:rFonts w:hint="eastAsia"/>
          <w:rtl/>
        </w:rPr>
        <w:t>»</w:t>
      </w:r>
      <w:r>
        <w:rPr>
          <w:rFonts w:hint="cs"/>
          <w:rtl/>
        </w:rPr>
        <w:t>.</w:t>
      </w:r>
    </w:p>
  </w:footnote>
  <w:footnote w:id="35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مع </w:t>
      </w:r>
      <w:r>
        <w:rPr>
          <w:rFonts w:hint="eastAsia"/>
          <w:rtl/>
        </w:rPr>
        <w:t>»</w:t>
      </w:r>
      <w:r>
        <w:rPr>
          <w:rFonts w:hint="cs"/>
          <w:rtl/>
        </w:rPr>
        <w:t>.</w:t>
      </w:r>
    </w:p>
  </w:footnote>
  <w:footnote w:id="35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68/ب من (أ).</w:t>
      </w:r>
    </w:p>
  </w:footnote>
  <w:footnote w:id="35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المعقود </w:t>
      </w:r>
      <w:r>
        <w:rPr>
          <w:rFonts w:hint="eastAsia"/>
          <w:rtl/>
        </w:rPr>
        <w:t>»</w:t>
      </w:r>
      <w:r>
        <w:rPr>
          <w:rFonts w:hint="cs"/>
          <w:rtl/>
        </w:rPr>
        <w:t>.</w:t>
      </w:r>
    </w:p>
  </w:footnote>
  <w:footnote w:id="35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التوثق </w:t>
      </w:r>
      <w:r>
        <w:rPr>
          <w:rFonts w:hint="eastAsia"/>
          <w:rtl/>
        </w:rPr>
        <w:t>»</w:t>
      </w:r>
      <w:r>
        <w:rPr>
          <w:rFonts w:hint="cs"/>
          <w:rtl/>
        </w:rPr>
        <w:t>.</w:t>
      </w:r>
    </w:p>
  </w:footnote>
  <w:footnote w:id="35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 xml:space="preserve"> أي المشتري </w:t>
      </w:r>
      <w:r>
        <w:rPr>
          <w:rFonts w:hint="eastAsia"/>
          <w:rtl/>
        </w:rPr>
        <w:t>»</w:t>
      </w:r>
      <w:r>
        <w:rPr>
          <w:rFonts w:hint="cs"/>
          <w:rtl/>
        </w:rPr>
        <w:t>.</w:t>
      </w:r>
    </w:p>
  </w:footnote>
  <w:footnote w:id="35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يكن</w:t>
      </w:r>
      <w:r>
        <w:rPr>
          <w:rFonts w:hint="eastAsia"/>
          <w:rtl/>
        </w:rPr>
        <w:t>»</w:t>
      </w:r>
      <w:r>
        <w:rPr>
          <w:rFonts w:hint="cs"/>
          <w:rtl/>
        </w:rPr>
        <w:t xml:space="preserve">  : ساقطة من (جـ).</w:t>
      </w:r>
    </w:p>
  </w:footnote>
  <w:footnote w:id="35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52/أ من (جـ).</w:t>
      </w:r>
    </w:p>
  </w:footnote>
  <w:footnote w:id="35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يقتضي</w:t>
      </w:r>
      <w:r>
        <w:rPr>
          <w:rFonts w:hint="eastAsia"/>
          <w:rtl/>
        </w:rPr>
        <w:t>»</w:t>
      </w:r>
      <w:r>
        <w:rPr>
          <w:rFonts w:hint="cs"/>
          <w:rtl/>
        </w:rPr>
        <w:t>. والصحيح ما تمَّ إثباته من (ب) و(د).</w:t>
      </w:r>
    </w:p>
  </w:footnote>
  <w:footnote w:id="35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من </w:t>
      </w:r>
      <w:r>
        <w:rPr>
          <w:rFonts w:hint="eastAsia"/>
          <w:rtl/>
        </w:rPr>
        <w:t>»</w:t>
      </w:r>
      <w:r>
        <w:rPr>
          <w:rFonts w:hint="cs"/>
          <w:rtl/>
        </w:rPr>
        <w:t xml:space="preserve"> : ساقطة من (جـ).</w:t>
      </w:r>
    </w:p>
  </w:footnote>
  <w:footnote w:id="35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جميع ما جاء في شرح الضابط معناه في الدّرر، 2/253، وقد خالفه المؤلف في الترتيب وكثير من الألفاظ، ولا سيما عند بيان الاعتراض على الضابط والجواب عنه.</w:t>
      </w:r>
    </w:p>
  </w:footnote>
  <w:footnote w:id="357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قُيّدت هذه القاعدة في كثير من مصادرها بقيدٍ يبيّن مجال تطبيقها، وهذا القيد هو (في المعاملات). ممّا يؤكد أنه ليس المراد بالظاهر : أحد أقسام اللفظ باعتبار الوضوح في الدلالة، إنما المراد به - والله أعلم- ما يظهر من حال الناس في معاملاتهم.</w:t>
      </w:r>
    </w:p>
    <w:p w:rsidR="00035BE3" w:rsidRDefault="00035BE3" w:rsidP="00C10469">
      <w:pPr>
        <w:pStyle w:val="a6"/>
        <w:spacing w:line="440" w:lineRule="exact"/>
        <w:ind w:left="422" w:firstLine="0"/>
        <w:rPr>
          <w:rtl/>
        </w:rPr>
      </w:pPr>
      <w:r>
        <w:rPr>
          <w:rFonts w:hint="cs"/>
          <w:rtl/>
        </w:rPr>
        <w:t xml:space="preserve">ومن المصادر التي ورد فيها هذا القيد : الهداية وشرحاها : العناية ونتائج الأفكار، 9/309، 310 - ولفظ الهداية : </w:t>
      </w:r>
      <w:r>
        <w:rPr>
          <w:rFonts w:hint="eastAsia"/>
          <w:rtl/>
        </w:rPr>
        <w:t>«</w:t>
      </w:r>
      <w:r>
        <w:rPr>
          <w:rFonts w:hint="cs"/>
          <w:rtl/>
        </w:rPr>
        <w:t>العمل بالظاهر هو الأصل في المعاملات؛ كي لا يضيق الأمر على الناس</w:t>
      </w:r>
      <w:r>
        <w:rPr>
          <w:rFonts w:hint="eastAsia"/>
          <w:rtl/>
        </w:rPr>
        <w:t>»</w:t>
      </w:r>
      <w:r>
        <w:rPr>
          <w:rFonts w:hint="cs"/>
          <w:rtl/>
        </w:rPr>
        <w:t>-؛ الكافي للنسفي، القسم الأخير، ص1608؛ تبيين الحقائق، 5/218؛ الدّرر شرح الغرر، 2/281- ولفظه كلفظ المؤلف بزيادة القيد المذكور-؛ ردّ المحتار، 9/253؛ النافع الكبير، ص463-464.</w:t>
      </w:r>
    </w:p>
    <w:p w:rsidR="00035BE3" w:rsidRDefault="00035BE3" w:rsidP="00C10469">
      <w:pPr>
        <w:pStyle w:val="a6"/>
        <w:spacing w:line="440" w:lineRule="exact"/>
        <w:ind w:left="422" w:firstLine="0"/>
        <w:rPr>
          <w:rtl/>
        </w:rPr>
      </w:pPr>
      <w:r>
        <w:rPr>
          <w:rFonts w:hint="cs"/>
          <w:rtl/>
        </w:rPr>
        <w:t xml:space="preserve">يضاف إلى ذلك كونها وردت بلفظها في : مجامع الحقائق، ص46؛ شرح العلائي لقواعد الخادمي، ل30/أ؛ منافع الدقائق، ص326؛ ووردت بمعناها في قواعد الفقه للمجدّدي، ص65، قاعدة 62- ولفظه: </w:t>
      </w:r>
      <w:r>
        <w:rPr>
          <w:rFonts w:hint="eastAsia"/>
          <w:rtl/>
        </w:rPr>
        <w:t>«</w:t>
      </w:r>
      <w:r>
        <w:rPr>
          <w:rFonts w:hint="cs"/>
          <w:rtl/>
        </w:rPr>
        <w:t>البناء على الظاهر واجب، ما لم يتبيّن خلافه</w:t>
      </w:r>
      <w:r>
        <w:rPr>
          <w:rFonts w:hint="eastAsia"/>
          <w:rtl/>
        </w:rPr>
        <w:t>»</w:t>
      </w:r>
      <w:r>
        <w:rPr>
          <w:rFonts w:hint="cs"/>
          <w:rtl/>
        </w:rPr>
        <w:t>-.</w:t>
      </w:r>
    </w:p>
    <w:p w:rsidR="00035BE3" w:rsidRDefault="00035BE3" w:rsidP="00C10469">
      <w:pPr>
        <w:pStyle w:val="a6"/>
        <w:spacing w:line="440" w:lineRule="exact"/>
        <w:ind w:left="422" w:firstLine="0"/>
        <w:rPr>
          <w:rtl/>
        </w:rPr>
      </w:pPr>
      <w:r>
        <w:rPr>
          <w:rFonts w:hint="cs"/>
          <w:rtl/>
        </w:rPr>
        <w:t>ومن المصادر الأُخر التي ورد فيها معنى القاعدة : بدائع الصانع، 4/196؛ المبدع، 7/118.</w:t>
      </w:r>
    </w:p>
    <w:p w:rsidR="00035BE3" w:rsidRDefault="00035BE3" w:rsidP="00C10469">
      <w:pPr>
        <w:pStyle w:val="a6"/>
        <w:spacing w:line="440" w:lineRule="exact"/>
        <w:ind w:left="422" w:firstLine="0"/>
        <w:rPr>
          <w:rtl/>
        </w:rPr>
      </w:pPr>
      <w:r>
        <w:rPr>
          <w:rFonts w:hint="cs"/>
          <w:rtl/>
        </w:rPr>
        <w:t xml:space="preserve">وهذه القاعدة بمعنى قاعدة سبق الحديث عنها استقلالاً، وهي : </w:t>
      </w:r>
      <w:r>
        <w:rPr>
          <w:rFonts w:hint="eastAsia"/>
          <w:rtl/>
        </w:rPr>
        <w:t>«</w:t>
      </w:r>
      <w:r>
        <w:rPr>
          <w:rFonts w:hint="cs"/>
          <w:rtl/>
        </w:rPr>
        <w:t>الاستصحاب حجّة دافعة لامثبته</w:t>
      </w:r>
      <w:r>
        <w:rPr>
          <w:rFonts w:hint="eastAsia"/>
          <w:rtl/>
        </w:rPr>
        <w:t>»</w:t>
      </w:r>
      <w:r>
        <w:rPr>
          <w:rFonts w:hint="cs"/>
          <w:rtl/>
        </w:rPr>
        <w:t>- وذلك ص307 (ل10/أ)، قاعدة 22-؛ إذْ يُلحظ من لفظهما : كونهما متفقين في أن العمل بالظاهر إنما يكون في الدفع.</w:t>
      </w:r>
    </w:p>
    <w:p w:rsidR="00035BE3" w:rsidRDefault="00035BE3" w:rsidP="00C10469">
      <w:pPr>
        <w:pStyle w:val="a6"/>
        <w:spacing w:line="440" w:lineRule="exact"/>
        <w:ind w:left="422" w:firstLine="0"/>
        <w:rPr>
          <w:spacing w:val="8"/>
          <w:rtl/>
        </w:rPr>
      </w:pPr>
      <w:r>
        <w:rPr>
          <w:rFonts w:hint="cs"/>
          <w:spacing w:val="8"/>
          <w:rtl/>
        </w:rPr>
        <w:t xml:space="preserve">وممّا يؤكّد أنهما بمعنى واحد : أن الحموي - في غمز عيون البصائر، 3/208- ذكر الفرع الثاني الذي سيمثل به المؤلف لهذه القاعدة، وربطه بقاعدة الاستصحاب، فقال : </w:t>
      </w:r>
      <w:r>
        <w:rPr>
          <w:rFonts w:hint="eastAsia"/>
          <w:spacing w:val="8"/>
          <w:rtl/>
        </w:rPr>
        <w:t>«</w:t>
      </w:r>
      <w:r>
        <w:rPr>
          <w:rFonts w:hint="cs"/>
          <w:spacing w:val="8"/>
          <w:rtl/>
        </w:rPr>
        <w:t xml:space="preserve">إنما كان القول للزوج، وإن كان السبب الموجب للضمان موجودًا، حيث لم يثبت إذنها؛ لأن الظاهر شاهد له؛ لأن الظاهر أن الرجل لا يتصرف مثل هذا التصرف في مال امرأته إلا بإذنها، </w:t>
      </w:r>
      <w:r>
        <w:rPr>
          <w:rFonts w:hint="cs"/>
          <w:b/>
          <w:bCs/>
          <w:spacing w:val="8"/>
          <w:rtl/>
        </w:rPr>
        <w:t>والظاهر يكفي للدفع</w:t>
      </w:r>
      <w:r>
        <w:rPr>
          <w:rFonts w:hint="eastAsia"/>
          <w:spacing w:val="8"/>
          <w:rtl/>
        </w:rPr>
        <w:t>»</w:t>
      </w:r>
      <w:r>
        <w:rPr>
          <w:rFonts w:hint="cs"/>
          <w:spacing w:val="8"/>
          <w:rtl/>
        </w:rPr>
        <w:t>.</w:t>
      </w:r>
    </w:p>
  </w:footnote>
  <w:footnote w:id="357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بخط مغاير : </w:t>
      </w:r>
      <w:r>
        <w:rPr>
          <w:rFonts w:hint="eastAsia"/>
          <w:rtl/>
        </w:rPr>
        <w:t>«</w:t>
      </w:r>
      <w:r>
        <w:rPr>
          <w:rFonts w:hint="cs"/>
          <w:rtl/>
        </w:rPr>
        <w:t>هو بمعنى عبد</w:t>
      </w:r>
      <w:r>
        <w:rPr>
          <w:rFonts w:hint="eastAsia"/>
          <w:rtl/>
        </w:rPr>
        <w:t>»</w:t>
      </w:r>
      <w:r>
        <w:rPr>
          <w:rFonts w:hint="cs"/>
          <w:rtl/>
        </w:rPr>
        <w:t>.</w:t>
      </w:r>
    </w:p>
    <w:p w:rsidR="00035BE3" w:rsidRDefault="00035BE3" w:rsidP="00C10469">
      <w:pPr>
        <w:pStyle w:val="a6"/>
        <w:spacing w:line="440" w:lineRule="exact"/>
        <w:ind w:left="422" w:firstLine="0"/>
        <w:rPr>
          <w:rtl/>
        </w:rPr>
      </w:pPr>
      <w:r>
        <w:rPr>
          <w:rFonts w:hint="cs"/>
          <w:rtl/>
        </w:rPr>
        <w:t>ولعلّ مراده : أن الفاعل ضمير مستتر يقصد به العبد. وهذا مجانب للصواب؛ لأن الكلمة التي تلي (الفعل)، وهي (عبد) الصواب فيها : كونها مرفوعة لا منصوبة - كما سيأتي - فتكون هي الفاعل.</w:t>
      </w:r>
    </w:p>
  </w:footnote>
  <w:footnote w:id="35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عبدًا</w:t>
      </w:r>
      <w:r>
        <w:rPr>
          <w:rFonts w:hint="eastAsia"/>
          <w:rtl/>
        </w:rPr>
        <w:t>»</w:t>
      </w:r>
      <w:r>
        <w:rPr>
          <w:rFonts w:hint="cs"/>
          <w:rtl/>
        </w:rPr>
        <w:t>. والصحيح ما تمَّ إثباته من (ب)؛ وفاقًا للدّرر؛ ولأن الحديث عن تصرّف العبد المأذون، فيكون هو الفاعل للفعل (اشترى).</w:t>
      </w:r>
    </w:p>
  </w:footnote>
  <w:footnote w:id="3573">
    <w:p w:rsidR="00035BE3" w:rsidRDefault="00035BE3" w:rsidP="00C10469">
      <w:pPr>
        <w:pStyle w:val="a8"/>
        <w:bidi/>
        <w:ind w:left="420"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7E512C">
        <w:rPr>
          <w:rFonts w:hint="cs"/>
          <w:spacing w:val="-6"/>
          <w:rtl/>
        </w:rPr>
        <w:t>ساكتًا: حال من العبد، أي أن العبد اشترى وباع وحاله أنه ساكت، لم يخبر بشيء عن إذن سيده له</w:t>
      </w:r>
      <w:r>
        <w:rPr>
          <w:rFonts w:hint="cs"/>
          <w:spacing w:val="-4"/>
          <w:rtl/>
        </w:rPr>
        <w:t xml:space="preserve"> </w:t>
      </w:r>
      <w:r w:rsidRPr="007E512C">
        <w:rPr>
          <w:rFonts w:hint="cs"/>
          <w:spacing w:val="-6"/>
          <w:rtl/>
        </w:rPr>
        <w:t xml:space="preserve">بالتجارة، أو حجره عليه. والحكم حينئذ أنه يكون في حكم المأذون له في التجارة. انظر: رد المحتار، </w:t>
      </w:r>
      <w:r>
        <w:rPr>
          <w:rFonts w:hint="cs"/>
          <w:spacing w:val="-4"/>
          <w:rtl/>
        </w:rPr>
        <w:t>9/252.</w:t>
      </w:r>
    </w:p>
  </w:footnote>
  <w:footnote w:id="3574">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2/281. وانظر أكثر المصادر الواردة عند توثيق القاعدة، كالهداية وشرحيها وتبيين الحقائق ورد المحتار والنافع الكبير.</w:t>
      </w:r>
    </w:p>
  </w:footnote>
  <w:footnote w:id="3575">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عن </w:t>
      </w:r>
      <w:r>
        <w:rPr>
          <w:rFonts w:hint="eastAsia"/>
          <w:rtl/>
        </w:rPr>
        <w:t>»</w:t>
      </w:r>
      <w:r>
        <w:rPr>
          <w:rFonts w:hint="cs"/>
          <w:rtl/>
        </w:rPr>
        <w:t>.</w:t>
      </w:r>
    </w:p>
  </w:footnote>
  <w:footnote w:id="3576">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تقابلوا </w:t>
      </w:r>
      <w:r>
        <w:rPr>
          <w:rFonts w:hint="eastAsia"/>
          <w:rtl/>
        </w:rPr>
        <w:t>»</w:t>
      </w:r>
      <w:r>
        <w:rPr>
          <w:rFonts w:hint="cs"/>
          <w:rtl/>
        </w:rPr>
        <w:t>.</w:t>
      </w:r>
    </w:p>
  </w:footnote>
  <w:footnote w:id="3577">
    <w:p w:rsidR="00035BE3" w:rsidRDefault="00035BE3" w:rsidP="00C10469">
      <w:pPr>
        <w:pStyle w:val="a8"/>
        <w:bidi/>
        <w:ind w:left="420"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7E512C">
        <w:rPr>
          <w:rFonts w:hint="cs"/>
          <w:spacing w:val="-6"/>
          <w:rtl/>
        </w:rPr>
        <w:t xml:space="preserve"> هكذا جاء في جميع النسخ، وكذلك في الدّرر!. ولو قيل: (تعاملوا بذلك) أو (تعاملوه) لكان الأسلوب أولى.</w:t>
      </w:r>
    </w:p>
  </w:footnote>
  <w:footnote w:id="3578">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42/ب من (د).</w:t>
      </w:r>
    </w:p>
  </w:footnote>
  <w:footnote w:id="3579">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ص241 (ل4/أ)، قاعدة 5.</w:t>
      </w:r>
    </w:p>
    <w:p w:rsidR="00035BE3" w:rsidRDefault="00035BE3" w:rsidP="00C10469">
      <w:pPr>
        <w:pStyle w:val="a6"/>
        <w:ind w:left="420" w:firstLine="0"/>
        <w:rPr>
          <w:rtl/>
        </w:rPr>
      </w:pPr>
      <w:r>
        <w:rPr>
          <w:rFonts w:hint="cs"/>
          <w:rtl/>
        </w:rPr>
        <w:t>وهذا المثال وما جاء في تعليق المؤلف عليه مذكور معناه هناك، فما قيل في توثيقه هناك يقال هنا.</w:t>
      </w:r>
    </w:p>
  </w:footnote>
  <w:footnote w:id="3580">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ومن فروع ذلك </w:t>
      </w:r>
      <w:r>
        <w:rPr>
          <w:rFonts w:hint="eastAsia"/>
          <w:rtl/>
        </w:rPr>
        <w:t>»</w:t>
      </w:r>
      <w:r>
        <w:rPr>
          <w:rFonts w:hint="cs"/>
          <w:rtl/>
        </w:rPr>
        <w:t>.</w:t>
      </w:r>
    </w:p>
  </w:footnote>
  <w:footnote w:id="3581">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الحاوي</w:t>
      </w:r>
      <w:r>
        <w:rPr>
          <w:rFonts w:hint="cs"/>
          <w:rtl/>
        </w:rPr>
        <w:t xml:space="preserve"> : المراد به حاوي الزاهدي صاحب (القنية). </w:t>
      </w:r>
    </w:p>
    <w:p w:rsidR="00035BE3" w:rsidRDefault="00035BE3" w:rsidP="00C10469">
      <w:pPr>
        <w:pStyle w:val="a6"/>
        <w:ind w:left="420" w:firstLine="0"/>
        <w:rPr>
          <w:rtl/>
        </w:rPr>
      </w:pPr>
      <w:r>
        <w:rPr>
          <w:rFonts w:hint="cs"/>
          <w:rtl/>
        </w:rPr>
        <w:t xml:space="preserve">وتمام اسمه - كما في المقدمة وفي (كشف الظنون) و(هدية العارفين)- : </w:t>
      </w:r>
      <w:r>
        <w:rPr>
          <w:rFonts w:hint="eastAsia"/>
          <w:rtl/>
        </w:rPr>
        <w:t>«</w:t>
      </w:r>
      <w:r>
        <w:rPr>
          <w:rFonts w:hint="cs"/>
          <w:rtl/>
        </w:rPr>
        <w:t>حاوي مسائل المنية، وما تَركَه في تدوينه من مسائل القنية، وزاد فيه من الفتاوى لتتميم الغنية</w:t>
      </w:r>
      <w:r>
        <w:rPr>
          <w:rFonts w:hint="eastAsia"/>
          <w:rtl/>
        </w:rPr>
        <w:t>»</w:t>
      </w:r>
      <w:r>
        <w:rPr>
          <w:rFonts w:hint="cs"/>
          <w:rtl/>
        </w:rPr>
        <w:t>.</w:t>
      </w:r>
    </w:p>
    <w:p w:rsidR="00035BE3" w:rsidRDefault="00035BE3" w:rsidP="00C10469">
      <w:pPr>
        <w:pStyle w:val="a6"/>
        <w:ind w:left="420" w:firstLine="0"/>
        <w:rPr>
          <w:rtl/>
        </w:rPr>
      </w:pPr>
      <w:r>
        <w:rPr>
          <w:rFonts w:hint="cs"/>
          <w:rtl/>
        </w:rPr>
        <w:t xml:space="preserve">وكما ورد اسم الكتاب مطوَّلاً، ورد مختصرًا في تكملة ردّ المحتار بلفظ : </w:t>
      </w:r>
      <w:r>
        <w:rPr>
          <w:rFonts w:hint="eastAsia"/>
          <w:rtl/>
        </w:rPr>
        <w:t>«</w:t>
      </w:r>
      <w:r>
        <w:rPr>
          <w:rFonts w:hint="cs"/>
          <w:rtl/>
        </w:rPr>
        <w:t>حاوي مسائل المنية</w:t>
      </w:r>
      <w:r>
        <w:rPr>
          <w:rFonts w:hint="eastAsia"/>
          <w:rtl/>
        </w:rPr>
        <w:t>»</w:t>
      </w:r>
      <w:r>
        <w:rPr>
          <w:rFonts w:hint="cs"/>
          <w:rtl/>
        </w:rPr>
        <w:t xml:space="preserve">، وفي ردّ المحتار بلفظ : </w:t>
      </w:r>
      <w:r>
        <w:rPr>
          <w:rFonts w:hint="eastAsia"/>
          <w:rtl/>
        </w:rPr>
        <w:t>«</w:t>
      </w:r>
      <w:r>
        <w:rPr>
          <w:rFonts w:hint="cs"/>
          <w:rtl/>
        </w:rPr>
        <w:t xml:space="preserve">... أن صاحب القنية ذكر في </w:t>
      </w:r>
      <w:r>
        <w:rPr>
          <w:rFonts w:hint="cs"/>
          <w:b/>
          <w:bCs/>
          <w:rtl/>
        </w:rPr>
        <w:t>الحاوي</w:t>
      </w:r>
      <w:r>
        <w:rPr>
          <w:rFonts w:hint="eastAsia"/>
          <w:rtl/>
        </w:rPr>
        <w:t>»</w:t>
      </w:r>
      <w:r>
        <w:rPr>
          <w:rFonts w:hint="cs"/>
          <w:rtl/>
        </w:rPr>
        <w:t xml:space="preserve">، وفي (الفوائد البهية) بلفظ : </w:t>
      </w:r>
      <w:r>
        <w:rPr>
          <w:rFonts w:hint="eastAsia"/>
          <w:rtl/>
        </w:rPr>
        <w:t>«</w:t>
      </w:r>
      <w:r>
        <w:rPr>
          <w:rFonts w:hint="cs"/>
          <w:rtl/>
        </w:rPr>
        <w:t>الحاوي</w:t>
      </w:r>
      <w:r>
        <w:rPr>
          <w:rFonts w:hint="eastAsia"/>
          <w:rtl/>
        </w:rPr>
        <w:t>»</w:t>
      </w:r>
      <w:r>
        <w:rPr>
          <w:rFonts w:hint="cs"/>
          <w:rtl/>
        </w:rPr>
        <w:t>.</w:t>
      </w:r>
    </w:p>
    <w:p w:rsidR="00035BE3" w:rsidRDefault="00035BE3" w:rsidP="00C10469">
      <w:pPr>
        <w:pStyle w:val="a6"/>
        <w:ind w:left="420" w:firstLine="0"/>
        <w:rPr>
          <w:rtl/>
        </w:rPr>
      </w:pPr>
      <w:r>
        <w:rPr>
          <w:rFonts w:hint="cs"/>
          <w:rtl/>
        </w:rPr>
        <w:t>وتمام اسم مؤلفه : مختار بن محمود، أبو الرجا الغَزْميني الخُوارزمي الزاهدي (ت658هـ).</w:t>
      </w:r>
    </w:p>
    <w:p w:rsidR="00035BE3" w:rsidRDefault="00035BE3" w:rsidP="00C10469">
      <w:pPr>
        <w:pStyle w:val="a6"/>
        <w:ind w:left="422" w:firstLine="0"/>
        <w:rPr>
          <w:rtl/>
        </w:rPr>
      </w:pPr>
      <w:r>
        <w:rPr>
          <w:rFonts w:hint="cs"/>
          <w:rtl/>
        </w:rPr>
        <w:t>وقد استصفى كتابه هذا من (منية الفقهاء) لأستاذه : بديع بن أبي منصور العراقي الحنفي، وبدّل ما وقع في المنية من لسان خوارزم إلى العربية - كما ذكر ذلك في المقدمة-.</w:t>
      </w:r>
    </w:p>
    <w:p w:rsidR="00035BE3" w:rsidRDefault="00035BE3" w:rsidP="00C10469">
      <w:pPr>
        <w:pStyle w:val="a6"/>
        <w:spacing w:line="420" w:lineRule="exact"/>
        <w:ind w:left="422" w:firstLine="0"/>
        <w:rPr>
          <w:rtl/>
        </w:rPr>
      </w:pPr>
      <w:r>
        <w:rPr>
          <w:rFonts w:hint="cs"/>
          <w:rtl/>
        </w:rPr>
        <w:t>وللكتاب عدَّة نسخ خطية، منها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20" w:lineRule="exact"/>
        <w:ind w:left="422" w:firstLine="0"/>
        <w:rPr>
          <w:rtl/>
        </w:rPr>
      </w:pPr>
      <w:r>
        <w:rPr>
          <w:rFonts w:hint="cs"/>
          <w:b/>
          <w:bCs/>
          <w:rtl/>
        </w:rPr>
        <w:t>1</w:t>
      </w:r>
      <w:r>
        <w:rPr>
          <w:rFonts w:hint="cs"/>
          <w:rtl/>
        </w:rPr>
        <w:t>- نسخة مكتبة الملك فهد الوطنية بالرياض، برقم 175/*.</w:t>
      </w:r>
    </w:p>
    <w:p w:rsidR="00035BE3" w:rsidRDefault="00035BE3" w:rsidP="00C10469">
      <w:pPr>
        <w:pStyle w:val="a6"/>
        <w:spacing w:line="420" w:lineRule="exact"/>
        <w:ind w:left="422" w:firstLine="0"/>
        <w:rPr>
          <w:rtl/>
        </w:rPr>
      </w:pPr>
      <w:r>
        <w:rPr>
          <w:rFonts w:hint="cs"/>
          <w:b/>
          <w:bCs/>
          <w:rtl/>
        </w:rPr>
        <w:t>2</w:t>
      </w:r>
      <w:r>
        <w:rPr>
          <w:rFonts w:hint="cs"/>
          <w:rtl/>
        </w:rPr>
        <w:t>- نسخة معهد المخطوطات العربية، وهي مصورة عن مكتبة البلدية بالأسكندرية، برقم 1044ب.</w:t>
      </w:r>
    </w:p>
    <w:p w:rsidR="00035BE3" w:rsidRDefault="00035BE3" w:rsidP="00C10469">
      <w:pPr>
        <w:pStyle w:val="a6"/>
        <w:spacing w:line="420" w:lineRule="exact"/>
        <w:ind w:left="422" w:firstLine="0"/>
        <w:rPr>
          <w:rtl/>
        </w:rPr>
      </w:pPr>
      <w:r>
        <w:rPr>
          <w:rFonts w:hint="cs"/>
          <w:b/>
          <w:bCs/>
          <w:rtl/>
        </w:rPr>
        <w:t>3</w:t>
      </w:r>
      <w:r>
        <w:rPr>
          <w:rFonts w:hint="cs"/>
          <w:rtl/>
        </w:rPr>
        <w:t>-</w:t>
      </w:r>
      <w:r>
        <w:rPr>
          <w:rFonts w:hint="cs"/>
          <w:b/>
          <w:bCs/>
          <w:rtl/>
        </w:rPr>
        <w:t>5</w:t>
      </w:r>
      <w:r>
        <w:rPr>
          <w:rFonts w:hint="cs"/>
          <w:rtl/>
        </w:rPr>
        <w:t>- ثلاث نسخ في مكتبة السليمانية باستانبول، موزّعة في الفهارس الآتية :</w:t>
      </w:r>
    </w:p>
    <w:p w:rsidR="00035BE3" w:rsidRDefault="00035BE3" w:rsidP="00C10469">
      <w:pPr>
        <w:pStyle w:val="a6"/>
        <w:spacing w:line="420" w:lineRule="exact"/>
        <w:ind w:left="422" w:firstLine="0"/>
        <w:rPr>
          <w:rtl/>
        </w:rPr>
      </w:pPr>
      <w:r>
        <w:rPr>
          <w:rFonts w:hint="cs"/>
          <w:rtl/>
        </w:rPr>
        <w:t>- يني جامع، برقم 407.</w:t>
      </w:r>
    </w:p>
    <w:p w:rsidR="00035BE3" w:rsidRDefault="00035BE3" w:rsidP="00C10469">
      <w:pPr>
        <w:pStyle w:val="a6"/>
        <w:spacing w:line="420" w:lineRule="exact"/>
        <w:ind w:left="422" w:firstLine="0"/>
        <w:rPr>
          <w:rtl/>
        </w:rPr>
      </w:pPr>
      <w:r>
        <w:rPr>
          <w:rFonts w:hint="cs"/>
          <w:rtl/>
        </w:rPr>
        <w:t>- عاشر أفندي، برقم 320.</w:t>
      </w:r>
    </w:p>
    <w:p w:rsidR="00035BE3" w:rsidRDefault="00035BE3" w:rsidP="00C10469">
      <w:pPr>
        <w:pStyle w:val="a6"/>
        <w:spacing w:line="420" w:lineRule="exact"/>
        <w:ind w:left="422" w:firstLine="0"/>
        <w:rPr>
          <w:rtl/>
        </w:rPr>
      </w:pPr>
      <w:r>
        <w:rPr>
          <w:rFonts w:hint="cs"/>
          <w:rtl/>
        </w:rPr>
        <w:t>- حميد، برقم 472.</w:t>
      </w:r>
    </w:p>
    <w:p w:rsidR="00035BE3" w:rsidRDefault="00035BE3" w:rsidP="00C10469">
      <w:pPr>
        <w:pStyle w:val="a6"/>
        <w:spacing w:line="420" w:lineRule="exact"/>
        <w:ind w:left="422" w:firstLine="0"/>
        <w:rPr>
          <w:spacing w:val="-6"/>
          <w:rtl/>
        </w:rPr>
      </w:pPr>
      <w:r>
        <w:rPr>
          <w:rFonts w:hint="cs"/>
          <w:spacing w:val="-6"/>
          <w:rtl/>
        </w:rPr>
        <w:t>انظر: حاوي مسائل المنية، ل4/ب؛ كشف الظنون، 1/628، 2/1886؛ رد المحتار، 5/120؛ وتكملته:  قرّة عيون الأخيار، 12/665؛ الفوائد البهية، ص212؛ هدية العارفين، 2/423؛ الأعلام، 7/193.</w:t>
      </w:r>
    </w:p>
  </w:footnote>
  <w:footnote w:id="3582">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69/أ من (أ).</w:t>
      </w:r>
    </w:p>
  </w:footnote>
  <w:footnote w:id="35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الحاوي زيادة </w:t>
      </w:r>
      <w:r>
        <w:rPr>
          <w:rFonts w:hint="eastAsia"/>
          <w:spacing w:val="-4"/>
          <w:rtl/>
        </w:rPr>
        <w:t>«</w:t>
      </w:r>
      <w:r>
        <w:rPr>
          <w:rFonts w:hint="cs"/>
          <w:spacing w:val="-4"/>
          <w:rtl/>
        </w:rPr>
        <w:t>أنك</w:t>
      </w:r>
      <w:r>
        <w:rPr>
          <w:rFonts w:hint="eastAsia"/>
          <w:spacing w:val="-4"/>
          <w:rtl/>
        </w:rPr>
        <w:t>»</w:t>
      </w:r>
      <w:r>
        <w:rPr>
          <w:rFonts w:hint="cs"/>
          <w:spacing w:val="-4"/>
          <w:rtl/>
        </w:rPr>
        <w:t>.</w:t>
      </w:r>
    </w:p>
  </w:footnote>
  <w:footnote w:id="3584">
    <w:p w:rsidR="00035BE3" w:rsidRDefault="00035BE3" w:rsidP="00C10469">
      <w:pPr>
        <w:pStyle w:val="a8"/>
        <w:bidi/>
        <w:spacing w:line="42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ورد هذا الفرع معزوًّا إلى (القنية) في الكتب الآتية : الأشباه والنظائر لابن نجيم، ص315؛ وشرحه: غمز عيون البصائر، 3/207؛ الدّر المختار وحاشيته : رد المحتار وتكملتها، 9/265، 10/475، 12/666.</w:t>
      </w:r>
    </w:p>
  </w:footnote>
  <w:footnote w:id="358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المقصود به : أستاذ صاحب الحاوي الذي استصفى كتابه من منيته، وهو بديع بن أبي منصور العراقي القُزَبْني الحنفي (ت620هـ).</w:t>
      </w:r>
    </w:p>
    <w:p w:rsidR="00035BE3" w:rsidRDefault="00035BE3" w:rsidP="00C10469">
      <w:pPr>
        <w:pStyle w:val="a6"/>
        <w:spacing w:line="420" w:lineRule="exact"/>
        <w:ind w:left="422" w:firstLine="0"/>
        <w:rPr>
          <w:rtl/>
        </w:rPr>
      </w:pPr>
      <w:r>
        <w:rPr>
          <w:rFonts w:hint="eastAsia"/>
          <w:rtl/>
        </w:rPr>
        <w:t>«</w:t>
      </w:r>
      <w:r>
        <w:rPr>
          <w:rFonts w:hint="cs"/>
          <w:rtl/>
        </w:rPr>
        <w:t>... فقيه كامل انتهت إليه رئاسة الـفتوى، ... وتفقّه عليه مختار بن محمود الزاهدي صاحب (القنية). وله تصانيف معتبرة، منها : البحر المحيط الموسوم بِـ (منية الفقهاء)</w:t>
      </w:r>
      <w:r>
        <w:rPr>
          <w:rFonts w:hint="eastAsia"/>
          <w:rtl/>
        </w:rPr>
        <w:t>»</w:t>
      </w:r>
      <w:r>
        <w:rPr>
          <w:rFonts w:hint="cs"/>
          <w:rtl/>
        </w:rPr>
        <w:t>. قاله صاحب الفوائد البهـيـة، ص54؛ وانظر : الجواهر المضية، 1/133؛ كشف الظنون، 2/1886.</w:t>
      </w:r>
    </w:p>
  </w:footnote>
  <w:footnote w:id="358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أوانها </w:t>
      </w:r>
      <w:r>
        <w:rPr>
          <w:rFonts w:hint="eastAsia"/>
          <w:rtl/>
        </w:rPr>
        <w:t>»</w:t>
      </w:r>
      <w:r>
        <w:rPr>
          <w:rFonts w:hint="cs"/>
          <w:rtl/>
        </w:rPr>
        <w:t>. والصحيح ما تمّ إثباته من باقي النسخ.</w:t>
      </w:r>
    </w:p>
  </w:footnote>
  <w:footnote w:id="35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(الحاوي) : </w:t>
      </w:r>
      <w:r>
        <w:rPr>
          <w:rFonts w:hint="eastAsia"/>
          <w:rtl/>
        </w:rPr>
        <w:t>«</w:t>
      </w:r>
      <w:r>
        <w:rPr>
          <w:rFonts w:hint="cs"/>
          <w:rtl/>
        </w:rPr>
        <w:t>... لأن الظاهر شاهد له؛ لأن الظاهر أن الرجل ...</w:t>
      </w:r>
      <w:r>
        <w:rPr>
          <w:rFonts w:hint="eastAsia"/>
          <w:rtl/>
        </w:rPr>
        <w:t>»</w:t>
      </w:r>
      <w:r>
        <w:rPr>
          <w:rFonts w:hint="cs"/>
          <w:rtl/>
        </w:rPr>
        <w:t>.</w:t>
      </w:r>
    </w:p>
  </w:footnote>
  <w:footnote w:id="358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الحاوي ل308/ب </w:t>
      </w:r>
      <w:r>
        <w:rPr>
          <w:rtl/>
        </w:rPr>
        <w:t>–</w:t>
      </w:r>
      <w:r>
        <w:rPr>
          <w:rFonts w:hint="cs"/>
          <w:rtl/>
        </w:rPr>
        <w:t xml:space="preserve"> مع الاختلاف اليسير الذي سبق بيانه-.</w:t>
      </w:r>
    </w:p>
    <w:p w:rsidR="00035BE3" w:rsidRDefault="00035BE3" w:rsidP="00C10469">
      <w:pPr>
        <w:pStyle w:val="a6"/>
        <w:ind w:left="422" w:firstLine="0"/>
        <w:rPr>
          <w:rtl/>
        </w:rPr>
      </w:pPr>
      <w:r>
        <w:rPr>
          <w:rFonts w:hint="cs"/>
          <w:rtl/>
        </w:rPr>
        <w:t>والعبارة المعزوّة إلى الأستاذ مذكور معناها في : غمز عيون البصائر للحموي، 3/208- وقد سبق ذكر عبارة الحموي بنصها في نهاية توثيق القاعدة، ص863-.</w:t>
      </w:r>
    </w:p>
  </w:footnote>
  <w:footnote w:id="3589">
    <w:p w:rsidR="00035BE3" w:rsidRDefault="00035BE3" w:rsidP="00C10469">
      <w:pPr>
        <w:pStyle w:val="a8"/>
        <w:bidi/>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هذه القاعدة تمثل الشق الأول من قاعدةٍ سبق أن أفردها المؤلف بالحديث، وهي : </w:t>
      </w:r>
      <w:r>
        <w:rPr>
          <w:rFonts w:hint="eastAsia"/>
          <w:spacing w:val="-6"/>
          <w:rtl/>
        </w:rPr>
        <w:t>«</w:t>
      </w:r>
      <w:r>
        <w:rPr>
          <w:rFonts w:hint="cs"/>
          <w:spacing w:val="-6"/>
          <w:rtl/>
        </w:rPr>
        <w:t>أجزاء العوض تنقسم على أجزاء المعوض، وأجزاء الشرط لا تنقسم على أجزاء المشروط</w:t>
      </w:r>
      <w:r>
        <w:rPr>
          <w:rFonts w:hint="eastAsia"/>
          <w:spacing w:val="-6"/>
          <w:rtl/>
        </w:rPr>
        <w:t>»</w:t>
      </w:r>
      <w:r>
        <w:rPr>
          <w:rFonts w:hint="cs"/>
          <w:spacing w:val="-6"/>
          <w:rtl/>
        </w:rPr>
        <w:t>، وذلك ص210 (ل3/ب)، قاعدة 4.</w:t>
      </w:r>
    </w:p>
    <w:p w:rsidR="00035BE3" w:rsidRDefault="00035BE3" w:rsidP="00C10469">
      <w:pPr>
        <w:pStyle w:val="a6"/>
        <w:ind w:left="422" w:firstLine="0"/>
        <w:rPr>
          <w:rtl/>
        </w:rPr>
      </w:pPr>
      <w:r>
        <w:rPr>
          <w:rFonts w:hint="cs"/>
          <w:rtl/>
        </w:rPr>
        <w:t>فما قيل في توثيق ذلك الشق هناك يقال هنا.</w:t>
      </w:r>
    </w:p>
    <w:p w:rsidR="00035BE3" w:rsidRDefault="00035BE3" w:rsidP="00C10469">
      <w:pPr>
        <w:pStyle w:val="a6"/>
        <w:ind w:left="422" w:firstLine="0"/>
        <w:rPr>
          <w:rtl/>
        </w:rPr>
      </w:pPr>
      <w:r>
        <w:rPr>
          <w:rFonts w:hint="cs"/>
          <w:rtl/>
        </w:rPr>
        <w:t>يضاف إلى ذلك أن المؤلف صرّح في أثناء شرحه للقاعدة بأن المصدرين الرئيسين له فيها هما : (الدّرر) و(الهداية) - كما سيأتي-.</w:t>
      </w:r>
    </w:p>
  </w:footnote>
  <w:footnote w:id="359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44/ب من (ب).  وهذه الكلمة ساقطة من (د).</w:t>
      </w:r>
    </w:p>
  </w:footnote>
  <w:footnote w:id="359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قدم (الشرط) على (الخلاف)، وتمام العبارة : </w:t>
      </w:r>
      <w:r>
        <w:rPr>
          <w:rFonts w:hint="eastAsia"/>
          <w:rtl/>
        </w:rPr>
        <w:t>«</w:t>
      </w:r>
      <w:r>
        <w:rPr>
          <w:rFonts w:hint="cs"/>
          <w:rtl/>
        </w:rPr>
        <w:t>ضرورة على الخلاف والشرط فإنه ...</w:t>
      </w:r>
      <w:r>
        <w:rPr>
          <w:rFonts w:hint="eastAsia"/>
          <w:rtl/>
        </w:rPr>
        <w:t>»</w:t>
      </w:r>
      <w:r>
        <w:rPr>
          <w:rFonts w:hint="cs"/>
          <w:rtl/>
        </w:rPr>
        <w:t>.</w:t>
      </w:r>
    </w:p>
  </w:footnote>
  <w:footnote w:id="359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ص767 (ل58/أ)، قاعدة 145.</w:t>
      </w:r>
    </w:p>
  </w:footnote>
  <w:footnote w:id="359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هذه </w:t>
      </w:r>
      <w:r>
        <w:rPr>
          <w:rFonts w:hint="eastAsia"/>
          <w:rtl/>
        </w:rPr>
        <w:t>»</w:t>
      </w:r>
      <w:r>
        <w:rPr>
          <w:rFonts w:hint="cs"/>
          <w:rtl/>
        </w:rPr>
        <w:t>.</w:t>
      </w:r>
    </w:p>
  </w:footnote>
  <w:footnote w:id="359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السفر</w:t>
      </w:r>
      <w:r>
        <w:rPr>
          <w:rFonts w:hint="eastAsia"/>
          <w:rtl/>
        </w:rPr>
        <w:t>»</w:t>
      </w:r>
      <w:r>
        <w:rPr>
          <w:rFonts w:hint="cs"/>
          <w:rtl/>
        </w:rPr>
        <w:t>.</w:t>
      </w:r>
    </w:p>
  </w:footnote>
  <w:footnote w:id="359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(بالرفع) في جميع النسخ. والصواب نصبها؛ لأنها اسم إن مؤخر، وقد جاءت مرفوعة في مصدر هذه العبارة (وهو الدرر)، لكن دون أن تتقدم الجملة أداة نصب، فتكون مبتدأ مؤخّرًا - وسوف يأتي نقل ما جاء في الدرر بتمامه، في الهامش الآتي.</w:t>
      </w:r>
    </w:p>
  </w:footnote>
  <w:footnote w:id="359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2/126.</w:t>
      </w:r>
    </w:p>
    <w:p w:rsidR="00035BE3" w:rsidRDefault="00035BE3" w:rsidP="00C10469">
      <w:pPr>
        <w:pStyle w:val="a6"/>
        <w:ind w:left="422" w:firstLine="0"/>
        <w:rPr>
          <w:rtl/>
        </w:rPr>
      </w:pPr>
      <w:r>
        <w:rPr>
          <w:rFonts w:hint="cs"/>
          <w:rtl/>
        </w:rPr>
        <w:t xml:space="preserve">ونص ما جاء في (الغرر) وشرحه (الدّرر) : </w:t>
      </w:r>
      <w:r>
        <w:rPr>
          <w:rFonts w:hint="eastAsia"/>
          <w:rtl/>
        </w:rPr>
        <w:t>«</w:t>
      </w:r>
      <w:r>
        <w:rPr>
          <w:rFonts w:hint="cs"/>
          <w:rtl/>
        </w:rPr>
        <w:t>(ولموصّله) خبر لقوله : الآبق أربعون درهماً (إليه) أي لرادّ الآبق إلى مولاه سواء كان الآبق عبدًا (محجورًا أو مأذوناً أو مدبّراً أو أم ولد)؛ لأنهم مملوكون، فيحصل به إحياء المالية من هذا الوجه ... (من مدّة سفر أو أكثر) متعلق بالموصِّل (أربعون درهمًا وإن لم يعدلها) أي : وإن كانت قيمته أقل منه</w:t>
      </w:r>
      <w:r>
        <w:rPr>
          <w:rFonts w:hint="eastAsia"/>
          <w:rtl/>
        </w:rPr>
        <w:t>»</w:t>
      </w:r>
      <w:r>
        <w:rPr>
          <w:rFonts w:hint="cs"/>
          <w:rtl/>
        </w:rPr>
        <w:t>.</w:t>
      </w:r>
    </w:p>
  </w:footnote>
  <w:footnote w:id="359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 xml:space="preserve"> قيمته </w:t>
      </w:r>
      <w:r>
        <w:rPr>
          <w:rFonts w:hint="eastAsia"/>
          <w:rtl/>
        </w:rPr>
        <w:t>»</w:t>
      </w:r>
      <w:r>
        <w:rPr>
          <w:rFonts w:hint="cs"/>
          <w:rtl/>
        </w:rPr>
        <w:t>. والمناسب هو ما تمَّ إثباته من (ب)؛ وفاقًا للهداية.</w:t>
      </w:r>
    </w:p>
  </w:footnote>
  <w:footnote w:id="359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مثال ذلك</w:t>
      </w:r>
      <w:r>
        <w:rPr>
          <w:rFonts w:hint="cs"/>
          <w:rtl/>
        </w:rPr>
        <w:t>: لو أبق عبدٌ قيمته ثلاثون درهمًا، فوصّله رجل : فإن السيد يعطي هذا الرجل تسعًا وعشرين درهمًا وليس أربعين درهما.</w:t>
      </w:r>
    </w:p>
    <w:p w:rsidR="00035BE3" w:rsidRDefault="00035BE3" w:rsidP="00C10469">
      <w:pPr>
        <w:pStyle w:val="a6"/>
        <w:ind w:left="422" w:firstLine="0"/>
        <w:rPr>
          <w:rtl/>
        </w:rPr>
      </w:pPr>
      <w:r>
        <w:rPr>
          <w:rFonts w:hint="cs"/>
          <w:rtl/>
        </w:rPr>
        <w:t>وسوف يأتي توجيه المؤلف لهذا الرأي بعد سطور.</w:t>
      </w:r>
    </w:p>
  </w:footnote>
  <w:footnote w:id="359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أربعين </w:t>
      </w:r>
      <w:r>
        <w:rPr>
          <w:rFonts w:hint="eastAsia"/>
          <w:rtl/>
        </w:rPr>
        <w:t>»</w:t>
      </w:r>
      <w:r>
        <w:rPr>
          <w:rFonts w:hint="cs"/>
          <w:rtl/>
        </w:rPr>
        <w:t>.</w:t>
      </w:r>
    </w:p>
  </w:footnote>
  <w:footnote w:id="3600">
    <w:p w:rsidR="00035BE3" w:rsidRDefault="00035BE3" w:rsidP="00C10469">
      <w:pPr>
        <w:pStyle w:val="a8"/>
        <w:bidi/>
        <w:spacing w:line="228" w:lineRule="auto"/>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52/ب من (جـ).</w:t>
      </w:r>
    </w:p>
  </w:footnote>
  <w:footnote w:id="3601">
    <w:p w:rsidR="00035BE3" w:rsidRDefault="00035BE3" w:rsidP="00C10469">
      <w:pPr>
        <w:pStyle w:val="a8"/>
        <w:bidi/>
        <w:spacing w:line="228" w:lineRule="auto"/>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النقد </w:t>
      </w:r>
      <w:r>
        <w:rPr>
          <w:rFonts w:hint="eastAsia"/>
          <w:rtl/>
        </w:rPr>
        <w:t>»</w:t>
      </w:r>
      <w:r>
        <w:rPr>
          <w:rFonts w:hint="cs"/>
          <w:rtl/>
        </w:rPr>
        <w:t>.</w:t>
      </w:r>
    </w:p>
  </w:footnote>
  <w:footnote w:id="3602">
    <w:p w:rsidR="00035BE3" w:rsidRDefault="00035BE3" w:rsidP="00C10469">
      <w:pPr>
        <w:pStyle w:val="a8"/>
        <w:bidi/>
        <w:spacing w:line="228" w:lineRule="auto"/>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بها </w:t>
      </w:r>
      <w:r>
        <w:rPr>
          <w:rFonts w:hint="eastAsia"/>
          <w:rtl/>
        </w:rPr>
        <w:t>»</w:t>
      </w:r>
      <w:r>
        <w:rPr>
          <w:rFonts w:hint="cs"/>
          <w:rtl/>
        </w:rPr>
        <w:t xml:space="preserve"> : ساقطة من (د).</w:t>
      </w:r>
    </w:p>
  </w:footnote>
  <w:footnote w:id="3603">
    <w:p w:rsidR="00035BE3" w:rsidRDefault="00035BE3" w:rsidP="00C10469">
      <w:pPr>
        <w:pStyle w:val="a8"/>
        <w:bidi/>
        <w:spacing w:line="228" w:lineRule="auto"/>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علّق صاحب (فتح القدير) - 6/136- على ذلك فقال : </w:t>
      </w:r>
      <w:r>
        <w:rPr>
          <w:rFonts w:hint="eastAsia"/>
          <w:rtl/>
        </w:rPr>
        <w:t>«</w:t>
      </w:r>
      <w:r>
        <w:rPr>
          <w:rFonts w:hint="cs"/>
          <w:rtl/>
        </w:rPr>
        <w:t>وجه أبي يوسف (أن التقدير بها ثبت بالنص): أي قول ابن مسعود وعمر، ووجب اتباعهما. والمراد بالنص : إجماع الصحابة بناء على عدم مخالفة من سواهما؛ لوجوب حمل قول من نقص منها على ما نقص من السفر فلا ينتقص عنها</w:t>
      </w:r>
      <w:r>
        <w:rPr>
          <w:rFonts w:hint="eastAsia"/>
          <w:rtl/>
        </w:rPr>
        <w:t>»</w:t>
      </w:r>
      <w:r>
        <w:rPr>
          <w:rFonts w:hint="cs"/>
          <w:rtl/>
        </w:rPr>
        <w:t>.</w:t>
      </w:r>
    </w:p>
    <w:p w:rsidR="00035BE3" w:rsidRDefault="00035BE3" w:rsidP="00C10469">
      <w:pPr>
        <w:pStyle w:val="a6"/>
        <w:spacing w:line="228" w:lineRule="auto"/>
        <w:ind w:left="420" w:firstLine="0"/>
        <w:rPr>
          <w:rtl/>
        </w:rPr>
      </w:pPr>
      <w:r>
        <w:rPr>
          <w:rFonts w:hint="cs"/>
          <w:rtl/>
        </w:rPr>
        <w:t xml:space="preserve">وكان صاحب (الهداية) - 6/135- قد بيّن ذلك فقال : </w:t>
      </w:r>
      <w:r>
        <w:rPr>
          <w:rFonts w:hint="eastAsia"/>
          <w:rtl/>
        </w:rPr>
        <w:t>«</w:t>
      </w:r>
      <w:r>
        <w:rPr>
          <w:rFonts w:hint="cs"/>
          <w:rtl/>
        </w:rPr>
        <w:t>ولنا أن الصحابة - رضوان الله عليهم - اتفقوا على وجوب أصل الجُعل، إلا أن منهم من أوجب أربعين، ومنهم من أوجب ما دونها، فأوجبنا الأربعين في مسيرة السفر وما دونها فيما دونه؛ توفيقًا وتلفيقًا بينهما</w:t>
      </w:r>
      <w:r>
        <w:rPr>
          <w:rFonts w:hint="eastAsia"/>
          <w:rtl/>
        </w:rPr>
        <w:t>»</w:t>
      </w:r>
      <w:r>
        <w:rPr>
          <w:rFonts w:hint="cs"/>
          <w:rtl/>
        </w:rPr>
        <w:t>.</w:t>
      </w:r>
    </w:p>
    <w:p w:rsidR="00035BE3" w:rsidRPr="00016E74" w:rsidRDefault="00035BE3" w:rsidP="00C10469">
      <w:pPr>
        <w:pStyle w:val="a6"/>
        <w:spacing w:line="228" w:lineRule="auto"/>
        <w:ind w:left="420" w:firstLine="0"/>
        <w:rPr>
          <w:spacing w:val="-6"/>
          <w:rtl/>
        </w:rPr>
      </w:pPr>
      <w:r w:rsidRPr="00016E74">
        <w:rPr>
          <w:rFonts w:hint="cs"/>
          <w:spacing w:val="-6"/>
          <w:rtl/>
        </w:rPr>
        <w:t>ومن الآثار الواردة في ذلك : ما أخرجه عبد الرزاق، كتاب البيوع، باب الجعل في الآبق، 8/208، ح 4911، بسنده عن أبي عمرو الشيباني قال: أتيت ابن مسعود بإباق أصبتُهم بالعين، فقال: الأجر والغنيمة. قلت : هذا الأجر فما الغنيمة؟ قال: أربعون درهمًا</w:t>
      </w:r>
      <w:r w:rsidRPr="00016E74">
        <w:rPr>
          <w:rFonts w:hint="eastAsia"/>
          <w:spacing w:val="-6"/>
          <w:rtl/>
        </w:rPr>
        <w:t>»</w:t>
      </w:r>
      <w:r w:rsidRPr="00016E74">
        <w:rPr>
          <w:rFonts w:hint="cs"/>
          <w:spacing w:val="-6"/>
          <w:rtl/>
        </w:rPr>
        <w:t xml:space="preserve">؛ وأخرجه الطبراني في الكبير بنحوه، 9/219، ح9066، وفي آخره زيادة: </w:t>
      </w:r>
      <w:r w:rsidRPr="00016E74">
        <w:rPr>
          <w:rFonts w:hint="eastAsia"/>
          <w:spacing w:val="-6"/>
          <w:rtl/>
        </w:rPr>
        <w:t>«</w:t>
      </w:r>
      <w:r w:rsidRPr="00016E74">
        <w:rPr>
          <w:rFonts w:hint="cs"/>
          <w:spacing w:val="-6"/>
          <w:rtl/>
        </w:rPr>
        <w:t>...من كل إنسان</w:t>
      </w:r>
      <w:r w:rsidRPr="00016E74">
        <w:rPr>
          <w:rFonts w:hint="eastAsia"/>
          <w:spacing w:val="-6"/>
          <w:rtl/>
        </w:rPr>
        <w:t>»</w:t>
      </w:r>
      <w:r w:rsidRPr="00016E74">
        <w:rPr>
          <w:rFonts w:hint="cs"/>
          <w:spacing w:val="-6"/>
          <w:rtl/>
        </w:rPr>
        <w:t>. والبيهقي بنحوه، كتاب اللقطة، باب (الجعالة)، 6/200، وفي آخره زيادة:</w:t>
      </w:r>
      <w:r w:rsidRPr="00016E74">
        <w:rPr>
          <w:rFonts w:hint="eastAsia"/>
          <w:spacing w:val="-6"/>
          <w:rtl/>
        </w:rPr>
        <w:t xml:space="preserve"> «</w:t>
      </w:r>
      <w:r w:rsidRPr="00016E74">
        <w:rPr>
          <w:rFonts w:hint="cs"/>
          <w:spacing w:val="-6"/>
          <w:rtl/>
        </w:rPr>
        <w:t>...من كل رأس</w:t>
      </w:r>
      <w:r w:rsidRPr="00016E74">
        <w:rPr>
          <w:rFonts w:hint="eastAsia"/>
          <w:spacing w:val="-6"/>
          <w:rtl/>
        </w:rPr>
        <w:t>»</w:t>
      </w:r>
      <w:r w:rsidRPr="00016E74">
        <w:rPr>
          <w:rFonts w:hint="cs"/>
          <w:spacing w:val="-6"/>
          <w:rtl/>
        </w:rPr>
        <w:t xml:space="preserve">. - قال البيهقي عقب ذلك: </w:t>
      </w:r>
      <w:r w:rsidRPr="00016E74">
        <w:rPr>
          <w:rFonts w:hint="eastAsia"/>
          <w:spacing w:val="-6"/>
          <w:rtl/>
        </w:rPr>
        <w:t>«</w:t>
      </w:r>
      <w:r w:rsidRPr="00016E74">
        <w:rPr>
          <w:rFonts w:hint="cs"/>
          <w:spacing w:val="-6"/>
          <w:rtl/>
        </w:rPr>
        <w:t>... وهذا أمثل ما في الباب</w:t>
      </w:r>
      <w:r w:rsidRPr="00016E74">
        <w:rPr>
          <w:rFonts w:hint="eastAsia"/>
          <w:spacing w:val="-6"/>
          <w:rtl/>
        </w:rPr>
        <w:t>»</w:t>
      </w:r>
      <w:r w:rsidRPr="00016E74">
        <w:rPr>
          <w:rFonts w:hint="cs"/>
          <w:spacing w:val="-6"/>
          <w:rtl/>
        </w:rPr>
        <w:t>.</w:t>
      </w:r>
    </w:p>
    <w:p w:rsidR="00035BE3" w:rsidRDefault="00035BE3" w:rsidP="00C10469">
      <w:pPr>
        <w:pStyle w:val="a6"/>
        <w:spacing w:line="228" w:lineRule="auto"/>
        <w:ind w:left="420" w:firstLine="0"/>
        <w:rPr>
          <w:spacing w:val="-12"/>
          <w:sz w:val="28"/>
          <w:szCs w:val="28"/>
          <w:rtl/>
        </w:rPr>
      </w:pPr>
      <w:r>
        <w:rPr>
          <w:rFonts w:hint="cs"/>
          <w:spacing w:val="-12"/>
          <w:sz w:val="28"/>
          <w:szCs w:val="28"/>
          <w:rtl/>
        </w:rPr>
        <w:t xml:space="preserve">- وقال صاحب مجمع الزوائد، 4/171 : </w:t>
      </w:r>
      <w:r>
        <w:rPr>
          <w:rFonts w:hint="eastAsia"/>
          <w:spacing w:val="-12"/>
          <w:sz w:val="28"/>
          <w:szCs w:val="28"/>
          <w:rtl/>
        </w:rPr>
        <w:t>«</w:t>
      </w:r>
      <w:r>
        <w:rPr>
          <w:rFonts w:hint="cs"/>
          <w:spacing w:val="-12"/>
          <w:sz w:val="28"/>
          <w:szCs w:val="28"/>
          <w:rtl/>
        </w:rPr>
        <w:t>رواه الطبراني في الكبير، وفيه أبورياح، ولم أعرفه، وبقيّة رجاله رجال الصحيح</w:t>
      </w:r>
      <w:r>
        <w:rPr>
          <w:rFonts w:hint="eastAsia"/>
          <w:spacing w:val="-12"/>
          <w:sz w:val="28"/>
          <w:szCs w:val="28"/>
          <w:rtl/>
        </w:rPr>
        <w:t>»</w:t>
      </w:r>
      <w:r>
        <w:rPr>
          <w:rFonts w:hint="cs"/>
          <w:spacing w:val="-12"/>
          <w:sz w:val="28"/>
          <w:szCs w:val="28"/>
          <w:rtl/>
        </w:rPr>
        <w:t>.</w:t>
      </w:r>
    </w:p>
    <w:p w:rsidR="00035BE3" w:rsidRDefault="00035BE3" w:rsidP="00C10469">
      <w:pPr>
        <w:pStyle w:val="a6"/>
        <w:spacing w:line="228" w:lineRule="auto"/>
        <w:ind w:left="420" w:firstLine="0"/>
        <w:rPr>
          <w:rtl/>
        </w:rPr>
      </w:pPr>
      <w:r>
        <w:rPr>
          <w:rFonts w:hint="cs"/>
          <w:rtl/>
        </w:rPr>
        <w:t>وللتوسع انظر : المحلي لابن حزم، 8/208؛ نصب الراية، 3/470؛ الدراية، 2/142.</w:t>
      </w:r>
    </w:p>
  </w:footnote>
  <w:footnote w:id="360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69/ب من (أ).</w:t>
      </w:r>
    </w:p>
  </w:footnote>
  <w:footnote w:id="3605">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الرّد </w:t>
      </w:r>
      <w:r>
        <w:rPr>
          <w:rFonts w:hint="eastAsia"/>
          <w:rtl/>
        </w:rPr>
        <w:t>»</w:t>
      </w:r>
      <w:r>
        <w:rPr>
          <w:rFonts w:hint="cs"/>
          <w:rtl/>
        </w:rPr>
        <w:t xml:space="preserve"> : ساقطة من (جـ).</w:t>
      </w:r>
    </w:p>
  </w:footnote>
  <w:footnote w:id="3606">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إحياء</w:t>
      </w:r>
      <w:r>
        <w:rPr>
          <w:rFonts w:hint="eastAsia"/>
          <w:rtl/>
        </w:rPr>
        <w:t>»</w:t>
      </w:r>
      <w:r>
        <w:rPr>
          <w:rFonts w:hint="cs"/>
          <w:rtl/>
        </w:rPr>
        <w:t xml:space="preserve">. وفي (د) : </w:t>
      </w:r>
      <w:r>
        <w:rPr>
          <w:rFonts w:hint="eastAsia"/>
          <w:rtl/>
        </w:rPr>
        <w:t>«</w:t>
      </w:r>
      <w:r>
        <w:rPr>
          <w:rFonts w:hint="cs"/>
          <w:rtl/>
        </w:rPr>
        <w:t>سيجي</w:t>
      </w:r>
      <w:r>
        <w:rPr>
          <w:rFonts w:hint="eastAsia"/>
          <w:rtl/>
        </w:rPr>
        <w:t>»</w:t>
      </w:r>
      <w:r>
        <w:rPr>
          <w:rFonts w:hint="cs"/>
          <w:rtl/>
        </w:rPr>
        <w:t xml:space="preserve">. وقد جاء في الهداية : </w:t>
      </w:r>
      <w:r>
        <w:rPr>
          <w:rFonts w:hint="eastAsia"/>
          <w:rtl/>
        </w:rPr>
        <w:t>«</w:t>
      </w:r>
      <w:r>
        <w:rPr>
          <w:rFonts w:hint="cs"/>
          <w:rtl/>
        </w:rPr>
        <w:t>ليحيا</w:t>
      </w:r>
      <w:r>
        <w:rPr>
          <w:rFonts w:hint="eastAsia"/>
          <w:rtl/>
        </w:rPr>
        <w:t>»</w:t>
      </w:r>
      <w:r>
        <w:rPr>
          <w:rFonts w:hint="cs"/>
          <w:rtl/>
        </w:rPr>
        <w:t>.</w:t>
      </w:r>
    </w:p>
  </w:footnote>
  <w:footnote w:id="3607">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بمال</w:t>
      </w:r>
      <w:r>
        <w:rPr>
          <w:rFonts w:hint="eastAsia"/>
          <w:rtl/>
        </w:rPr>
        <w:t>»</w:t>
      </w:r>
      <w:r>
        <w:rPr>
          <w:rFonts w:hint="cs"/>
          <w:rtl/>
        </w:rPr>
        <w:t>.</w:t>
      </w:r>
    </w:p>
  </w:footnote>
  <w:footnote w:id="3608">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وهو : عبده الآبق. </w:t>
      </w:r>
    </w:p>
  </w:footnote>
  <w:footnote w:id="3609">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فينقص</w:t>
      </w:r>
      <w:r>
        <w:rPr>
          <w:rFonts w:hint="eastAsia"/>
          <w:rtl/>
        </w:rPr>
        <w:t>»</w:t>
      </w:r>
      <w:r>
        <w:rPr>
          <w:rFonts w:hint="cs"/>
          <w:rtl/>
        </w:rPr>
        <w:t xml:space="preserve">، وكذلك في (الهداية)، وفي (جـ) : </w:t>
      </w:r>
      <w:r>
        <w:rPr>
          <w:rFonts w:hint="eastAsia"/>
          <w:rtl/>
        </w:rPr>
        <w:t>«</w:t>
      </w:r>
      <w:r>
        <w:rPr>
          <w:rFonts w:hint="cs"/>
          <w:rtl/>
        </w:rPr>
        <w:t>فينص</w:t>
      </w:r>
      <w:r>
        <w:rPr>
          <w:rFonts w:hint="eastAsia"/>
          <w:rtl/>
        </w:rPr>
        <w:t>»</w:t>
      </w:r>
      <w:r>
        <w:rPr>
          <w:rFonts w:hint="cs"/>
          <w:rtl/>
        </w:rPr>
        <w:t>.</w:t>
      </w:r>
    </w:p>
  </w:footnote>
  <w:footnote w:id="3610">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الهداية، 6/136-137- مع اختلاف يسير سبق بيانه-.</w:t>
      </w:r>
    </w:p>
  </w:footnote>
  <w:footnote w:id="3611">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أنه</w:t>
      </w:r>
      <w:r>
        <w:rPr>
          <w:rFonts w:hint="eastAsia"/>
          <w:rtl/>
        </w:rPr>
        <w:t>»</w:t>
      </w:r>
      <w:r>
        <w:rPr>
          <w:rFonts w:hint="cs"/>
          <w:rtl/>
        </w:rPr>
        <w:t xml:space="preserve"> : زيادة من مصدر هذه الجملة (وهو الدّرر)، ولا يتضّح المعنى إلا بها؛ لهذا تمَّ إثباتها. وتمامها عنده: </w:t>
      </w:r>
      <w:r>
        <w:rPr>
          <w:rFonts w:hint="eastAsia"/>
          <w:rtl/>
        </w:rPr>
        <w:t>«</w:t>
      </w:r>
      <w:r>
        <w:rPr>
          <w:rFonts w:hint="cs"/>
          <w:rtl/>
        </w:rPr>
        <w:t>إن أشهد أنه أخذه للرّد، وإن لم يشهد فلا شيء له ...</w:t>
      </w:r>
      <w:r>
        <w:rPr>
          <w:rFonts w:hint="eastAsia"/>
          <w:rtl/>
        </w:rPr>
        <w:t>»</w:t>
      </w:r>
      <w:r>
        <w:rPr>
          <w:rFonts w:hint="cs"/>
          <w:rtl/>
        </w:rPr>
        <w:t>.</w:t>
      </w:r>
    </w:p>
    <w:p w:rsidR="00035BE3" w:rsidRDefault="00035BE3" w:rsidP="00C10469">
      <w:pPr>
        <w:pStyle w:val="a6"/>
        <w:spacing w:line="420" w:lineRule="exact"/>
        <w:ind w:left="422" w:firstLine="0"/>
        <w:rPr>
          <w:rtl/>
        </w:rPr>
      </w:pPr>
      <w:r>
        <w:rPr>
          <w:rFonts w:hint="cs"/>
          <w:b/>
          <w:bCs/>
          <w:rtl/>
        </w:rPr>
        <w:t xml:space="preserve">والمعنى </w:t>
      </w:r>
      <w:r>
        <w:rPr>
          <w:rFonts w:hint="cs"/>
          <w:rtl/>
        </w:rPr>
        <w:t>: أن الواجد للعبد الآبق يستحق العوض إذا أقام البينة على أنه أخذ العبد ليرده على سيده، وإلا فلا عوض.</w:t>
      </w:r>
    </w:p>
  </w:footnote>
  <w:footnote w:id="3612">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الدّرر، 2/126؛ وانظر : تنوير الأبصار وشرحه الدّر المختار وحاشيته ردّ المحتار، 6/453. وقد زاد الأخير قيدًا فقال : </w:t>
      </w:r>
      <w:r>
        <w:rPr>
          <w:rFonts w:hint="eastAsia"/>
          <w:rtl/>
        </w:rPr>
        <w:t>«</w:t>
      </w:r>
      <w:r>
        <w:rPr>
          <w:rFonts w:hint="cs"/>
          <w:rtl/>
        </w:rPr>
        <w:t>... وهذا عند التمكن من الإشهاد، وإلا فلا يشترط ...</w:t>
      </w:r>
      <w:r>
        <w:rPr>
          <w:rFonts w:hint="eastAsia"/>
          <w:rtl/>
        </w:rPr>
        <w:t>»</w:t>
      </w:r>
      <w:r>
        <w:rPr>
          <w:rFonts w:hint="cs"/>
          <w:rtl/>
        </w:rPr>
        <w:t>.</w:t>
      </w:r>
    </w:p>
  </w:footnote>
  <w:footnote w:id="3613">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إذا كانت </w:t>
      </w:r>
      <w:r>
        <w:rPr>
          <w:rFonts w:hint="eastAsia"/>
          <w:rtl/>
        </w:rPr>
        <w:t>«</w:t>
      </w:r>
      <w:r>
        <w:rPr>
          <w:rFonts w:hint="cs"/>
          <w:rtl/>
        </w:rPr>
        <w:t>مسافة ما بين الأخذ ومكان سيّد العبد</w:t>
      </w:r>
      <w:r>
        <w:rPr>
          <w:rFonts w:hint="eastAsia"/>
          <w:rtl/>
        </w:rPr>
        <w:t>»</w:t>
      </w:r>
      <w:r>
        <w:rPr>
          <w:rFonts w:hint="cs"/>
          <w:rtl/>
        </w:rPr>
        <w:t xml:space="preserve"> أقل من مدة السفر (وهي ثلاثة أيام) فإن لموصل العبد من الدراهم الأربعين ما يناسب تلك المسافة. وسوف يوضح المؤلف ذلك بالمثال.</w:t>
      </w:r>
    </w:p>
    <w:p w:rsidR="00035BE3" w:rsidRDefault="00035BE3" w:rsidP="00C10469">
      <w:pPr>
        <w:pStyle w:val="a6"/>
        <w:spacing w:line="420" w:lineRule="exact"/>
        <w:ind w:left="422" w:firstLine="0"/>
        <w:rPr>
          <w:rtl/>
        </w:rPr>
      </w:pPr>
      <w:r>
        <w:rPr>
          <w:rFonts w:hint="cs"/>
          <w:rtl/>
        </w:rPr>
        <w:t>وانظر : رد المحتار، 6/451، 454.</w:t>
      </w:r>
    </w:p>
  </w:footnote>
  <w:footnote w:id="3614">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مدة </w:t>
      </w:r>
      <w:r>
        <w:rPr>
          <w:rFonts w:hint="eastAsia"/>
          <w:rtl/>
        </w:rPr>
        <w:t>»</w:t>
      </w:r>
      <w:r>
        <w:rPr>
          <w:rFonts w:hint="cs"/>
          <w:rtl/>
        </w:rPr>
        <w:t>.</w:t>
      </w:r>
    </w:p>
  </w:footnote>
  <w:footnote w:id="3615">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وفتح القدير، 6/134؛ الدّرر شرح الغرر، 2/126-127؛ الدّر المختار وحاشيته : ردّ المحتار، 6/454.</w:t>
      </w:r>
    </w:p>
    <w:p w:rsidR="00035BE3" w:rsidRDefault="00035BE3" w:rsidP="00C10469">
      <w:pPr>
        <w:pStyle w:val="a6"/>
        <w:ind w:left="422" w:firstLine="0"/>
        <w:rPr>
          <w:rtl/>
        </w:rPr>
      </w:pPr>
      <w:r>
        <w:rPr>
          <w:rFonts w:hint="cs"/>
          <w:rtl/>
        </w:rPr>
        <w:t>وللتوسع في حكم أخذ العوض عـلى ردّ العبد الآبق انظر بالإضافة إلى ما سبق : الكافي لابن قدامة، 2/235؛ المغني له أيضًا، 8/328؛ كنز الدقائق وشرحه : البحر الرائق، 5/172؛ الدّر المختار وشرحه : ردّ المحتار، 6/451.</w:t>
      </w:r>
    </w:p>
  </w:footnote>
  <w:footnote w:id="36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 :</w:t>
      </w:r>
      <w:r>
        <w:rPr>
          <w:rFonts w:hint="cs"/>
          <w:rtl/>
        </w:rPr>
        <w:t xml:space="preserve"> </w:t>
      </w:r>
    </w:p>
    <w:p w:rsidR="00035BE3" w:rsidRDefault="00035BE3" w:rsidP="00C10469">
      <w:pPr>
        <w:pStyle w:val="a6"/>
        <w:ind w:left="422" w:firstLine="0"/>
        <w:rPr>
          <w:rtl/>
        </w:rPr>
      </w:pPr>
      <w:r>
        <w:rPr>
          <w:rFonts w:hint="cs"/>
          <w:rtl/>
        </w:rPr>
        <w:t xml:space="preserve">هذه القاعدة </w:t>
      </w:r>
      <w:r>
        <w:rPr>
          <w:rFonts w:hint="eastAsia"/>
          <w:rtl/>
        </w:rPr>
        <w:t>«</w:t>
      </w:r>
      <w:r>
        <w:rPr>
          <w:rFonts w:hint="cs"/>
          <w:rtl/>
        </w:rPr>
        <w:t>تعبِّر عن عكس [قاعدة الخراج بالضمان] ... فتفيد أن الضمان أيضًا بالخراج : أي أن التكاليف والخسارة التي تحصل من الشيء تكون على من يستفيد منه شرعاً</w:t>
      </w:r>
      <w:r>
        <w:rPr>
          <w:rFonts w:hint="eastAsia"/>
          <w:rtl/>
        </w:rPr>
        <w:t>»</w:t>
      </w:r>
      <w:r>
        <w:rPr>
          <w:rFonts w:hint="cs"/>
          <w:rtl/>
        </w:rPr>
        <w:t>- قاله الأستاذ مصطفى الزرقا في مدخله، 2/1035، فقرة 650.</w:t>
      </w:r>
    </w:p>
    <w:p w:rsidR="00035BE3" w:rsidRDefault="00035BE3" w:rsidP="00C10469">
      <w:pPr>
        <w:pStyle w:val="a6"/>
        <w:ind w:left="422" w:firstLine="0"/>
        <w:rPr>
          <w:rtl/>
        </w:rPr>
      </w:pPr>
      <w:r>
        <w:rPr>
          <w:rFonts w:hint="cs"/>
          <w:rtl/>
        </w:rPr>
        <w:t xml:space="preserve">وقد عُبِّر عنهما بقاعدة واحدة، وهي : </w:t>
      </w:r>
      <w:r>
        <w:rPr>
          <w:rFonts w:hint="eastAsia"/>
          <w:rtl/>
        </w:rPr>
        <w:t>«</w:t>
      </w:r>
      <w:r>
        <w:rPr>
          <w:rFonts w:hint="cs"/>
          <w:rtl/>
        </w:rPr>
        <w:t>النعمة بقدر النقمة، والنقمة بقدر النعمة</w:t>
      </w:r>
      <w:r>
        <w:rPr>
          <w:rFonts w:hint="eastAsia"/>
          <w:rtl/>
        </w:rPr>
        <w:t>»</w:t>
      </w:r>
      <w:r>
        <w:rPr>
          <w:rFonts w:hint="cs"/>
          <w:rtl/>
        </w:rPr>
        <w:t>، وهذه القاعدة تمثّل المادة 88 من (مجلة الأحكام العدلية).</w:t>
      </w:r>
    </w:p>
    <w:p w:rsidR="00035BE3" w:rsidRDefault="00035BE3" w:rsidP="00C10469">
      <w:pPr>
        <w:pStyle w:val="a6"/>
        <w:ind w:left="422" w:firstLine="0"/>
        <w:rPr>
          <w:b/>
          <w:bCs/>
          <w:rtl/>
        </w:rPr>
      </w:pPr>
      <w:r>
        <w:rPr>
          <w:rFonts w:hint="cs"/>
          <w:b/>
          <w:bCs/>
          <w:rtl/>
        </w:rPr>
        <w:t>أما توثيقها :</w:t>
      </w:r>
    </w:p>
    <w:p w:rsidR="00035BE3" w:rsidRDefault="00035BE3" w:rsidP="00C10469">
      <w:pPr>
        <w:pStyle w:val="a6"/>
        <w:ind w:left="422" w:firstLine="0"/>
        <w:rPr>
          <w:spacing w:val="8"/>
          <w:rtl/>
        </w:rPr>
      </w:pPr>
      <w:r>
        <w:rPr>
          <w:rFonts w:hint="cs"/>
          <w:spacing w:val="8"/>
          <w:rtl/>
        </w:rPr>
        <w:t xml:space="preserve">فقد وردت هذه القاعدة في كثير من </w:t>
      </w:r>
      <w:r>
        <w:rPr>
          <w:rFonts w:hint="cs"/>
          <w:b/>
          <w:bCs/>
          <w:spacing w:val="8"/>
          <w:rtl/>
        </w:rPr>
        <w:t>كـتب القـواعـد الفقـهية</w:t>
      </w:r>
      <w:r>
        <w:rPr>
          <w:rFonts w:hint="cs"/>
          <w:spacing w:val="8"/>
          <w:rtl/>
        </w:rPr>
        <w:t xml:space="preserve"> بألفاظ متقاربة، ومن تلك الكتب :</w:t>
      </w:r>
    </w:p>
    <w:p w:rsidR="00035BE3" w:rsidRDefault="00035BE3" w:rsidP="00C10469">
      <w:pPr>
        <w:pStyle w:val="a6"/>
        <w:ind w:left="422" w:firstLine="0"/>
        <w:rPr>
          <w:rtl/>
        </w:rPr>
      </w:pPr>
      <w:r>
        <w:rPr>
          <w:rFonts w:hint="cs"/>
          <w:rtl/>
        </w:rPr>
        <w:t xml:space="preserve">المنثور 2/119- وقد وردت فيه بلفظ : </w:t>
      </w:r>
      <w:r>
        <w:rPr>
          <w:rFonts w:hint="eastAsia"/>
          <w:rtl/>
        </w:rPr>
        <w:t>«</w:t>
      </w:r>
      <w:r>
        <w:rPr>
          <w:rFonts w:hint="cs"/>
          <w:rtl/>
        </w:rPr>
        <w:t>... الغُنم في مقابلة الغرم</w:t>
      </w:r>
      <w:r>
        <w:rPr>
          <w:rFonts w:hint="eastAsia"/>
          <w:rtl/>
        </w:rPr>
        <w:t>»</w:t>
      </w:r>
      <w:r>
        <w:rPr>
          <w:rFonts w:hint="cs"/>
          <w:rtl/>
        </w:rPr>
        <w:t xml:space="preserve">-؛ مغني ذوي الأفهام (الخاتمة)، ص520، رقم 34- ولفظه : </w:t>
      </w:r>
      <w:r>
        <w:rPr>
          <w:rFonts w:hint="eastAsia"/>
          <w:rtl/>
        </w:rPr>
        <w:t>«</w:t>
      </w:r>
      <w:r>
        <w:rPr>
          <w:rFonts w:hint="cs"/>
          <w:rtl/>
        </w:rPr>
        <w:t>ومن ملك الغنم كان عليه الغرم</w:t>
      </w:r>
      <w:r>
        <w:rPr>
          <w:rFonts w:hint="eastAsia"/>
          <w:rtl/>
        </w:rPr>
        <w:t>»</w:t>
      </w:r>
      <w:r>
        <w:rPr>
          <w:rFonts w:hint="cs"/>
          <w:rtl/>
        </w:rPr>
        <w:t>-؛ مجامع الحقائق (الخاتمة)، ص46، وقد وردت فيه باللفظ الذي ذكره المؤلف، كما وردت باللفظ نفسه في الكتب الآتية : شرح العلائي لقواعد الخادمي، ل30/أ؛ منافع الدقائق، ص326؛ مجلة الأحكام العدلية، مادة 87؛ وشرحها لسليم رستم، 1/58؛ ولعلي حيدر، 1/79؛ وللأتاسي، 1/245-246؛ وشرح قواعدها الفقهية للزرقا، ص437-439؛ قواعد الفقه للمجدّدي، ص94، قاعدة 195؛ المبادئ الفقهية، ص51؛ المدخل الفقهي العام، 2/1035، فقرة 650؛ القواعد الفقهية لِـ د. علي الندوي، ص343، 411؛ القواعد والضوابط المستخلصة من التحرير له أيضًا، ص487، وأحال إلى التحرير، 5/798؛ الوجيز، ص311؛ القواعد الفقهية للدعّاس، ص96، قاعدة 79؛ القواعد الفقهية للدكتور الزحيلي، ص85؛ المدخل إلى القواعد الفقهية لِـ د. إبراهيم الحريري، ص148، 150.</w:t>
      </w:r>
    </w:p>
    <w:p w:rsidR="00035BE3" w:rsidRDefault="00035BE3" w:rsidP="00C10469">
      <w:pPr>
        <w:pStyle w:val="a6"/>
        <w:ind w:left="422" w:firstLine="0"/>
        <w:rPr>
          <w:rtl/>
        </w:rPr>
      </w:pPr>
      <w:r>
        <w:rPr>
          <w:rFonts w:hint="cs"/>
          <w:rtl/>
        </w:rPr>
        <w:t xml:space="preserve">يضاف إلى هذا أن المقّري في كلّياته -ص300، كلية رقم 289-: تحدّث عن معنى القاعدة فقال، </w:t>
      </w:r>
      <w:r>
        <w:rPr>
          <w:rFonts w:hint="eastAsia"/>
          <w:rtl/>
        </w:rPr>
        <w:t>«</w:t>
      </w:r>
      <w:r>
        <w:rPr>
          <w:rFonts w:hint="cs"/>
          <w:rtl/>
        </w:rPr>
        <w:t>كل من يضمن النقصان: فله الزيادة، إلا غلة العهدة. وقال سحنون : إن كان مالاً وُهب للعبد ونحوه؛ وأما النماء للبدن فللمشتري على كل حال</w:t>
      </w:r>
      <w:r>
        <w:rPr>
          <w:rFonts w:hint="eastAsia"/>
          <w:rtl/>
        </w:rPr>
        <w:t>»</w:t>
      </w:r>
      <w:r>
        <w:rPr>
          <w:rFonts w:hint="cs"/>
          <w:rtl/>
        </w:rPr>
        <w:t>.</w:t>
      </w:r>
    </w:p>
    <w:p w:rsidR="00035BE3" w:rsidRDefault="00035BE3" w:rsidP="00C10469">
      <w:pPr>
        <w:pStyle w:val="a6"/>
        <w:ind w:left="422" w:firstLine="0"/>
        <w:rPr>
          <w:rtl/>
        </w:rPr>
      </w:pPr>
      <w:r>
        <w:rPr>
          <w:rFonts w:hint="cs"/>
          <w:rtl/>
        </w:rPr>
        <w:t xml:space="preserve">كما وردت باللفظ الذي ذكره المؤلف في عدد من </w:t>
      </w:r>
      <w:r>
        <w:rPr>
          <w:rFonts w:hint="cs"/>
          <w:b/>
          <w:bCs/>
          <w:rtl/>
        </w:rPr>
        <w:t>كتب الفقه</w:t>
      </w:r>
      <w:r>
        <w:rPr>
          <w:rFonts w:hint="cs"/>
          <w:rtl/>
        </w:rPr>
        <w:t>، منها :</w:t>
      </w:r>
    </w:p>
    <w:p w:rsidR="00035BE3" w:rsidRDefault="00035BE3" w:rsidP="00C10469">
      <w:pPr>
        <w:pStyle w:val="a6"/>
        <w:ind w:left="422" w:firstLine="0"/>
        <w:rPr>
          <w:rtl/>
        </w:rPr>
      </w:pPr>
      <w:r>
        <w:rPr>
          <w:rFonts w:hint="cs"/>
          <w:rtl/>
        </w:rPr>
        <w:t xml:space="preserve">الكافي شرح الوافي للنسفي (القسم الأخير)، ص1852؛ الدّرر شرح الغرر، 2/123، 137، 168، 326؛ الدر المختار وحاشيته : رد المحتار، 6/424، 10/316. </w:t>
      </w:r>
    </w:p>
  </w:footnote>
  <w:footnote w:id="36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يكون</w:t>
      </w:r>
      <w:r>
        <w:rPr>
          <w:rFonts w:hint="eastAsia"/>
          <w:rtl/>
        </w:rPr>
        <w:t>»</w:t>
      </w:r>
      <w:r>
        <w:rPr>
          <w:rFonts w:hint="cs"/>
          <w:rtl/>
        </w:rPr>
        <w:t>. والأفصح ما تمَّ إثباته من (د).</w:t>
      </w:r>
    </w:p>
  </w:footnote>
  <w:footnote w:id="36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أن </w:t>
      </w:r>
      <w:r>
        <w:rPr>
          <w:rFonts w:hint="eastAsia"/>
          <w:rtl/>
        </w:rPr>
        <w:t>»</w:t>
      </w:r>
      <w:r>
        <w:rPr>
          <w:rFonts w:hint="cs"/>
          <w:rtl/>
        </w:rPr>
        <w:t>.</w:t>
      </w:r>
    </w:p>
  </w:footnote>
  <w:footnote w:id="36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الكتاب وشرحه : اللباب، 3/175؛ الهداية، 10/386-387؛ الدرر شرح الغرر، 2/123؛ الدّر المختار وحاشيته : ردّ المحتار، 10/316، وقد بيّن ابن عابدين وجهًا آخر لإنطباق القاعدة على المثال المذكور فقال - 10/316-317-: </w:t>
      </w:r>
      <w:r>
        <w:rPr>
          <w:rFonts w:hint="eastAsia"/>
          <w:rtl/>
        </w:rPr>
        <w:t>«</w:t>
      </w:r>
      <w:r>
        <w:rPr>
          <w:rFonts w:hint="cs"/>
          <w:rtl/>
        </w:rPr>
        <w:t>لما كان عامّة المسلمين هم المنتفعون بالمسجد الجامع والسجن والشارع الأعظم :كان الغرم عليهم؛ فيدفع من مالهم الموضوع لهم في بيته</w:t>
      </w:r>
      <w:r>
        <w:rPr>
          <w:rFonts w:hint="eastAsia"/>
          <w:rtl/>
        </w:rPr>
        <w:t>»</w:t>
      </w:r>
      <w:r>
        <w:rPr>
          <w:rFonts w:hint="cs"/>
          <w:rtl/>
        </w:rPr>
        <w:t>.</w:t>
      </w:r>
    </w:p>
  </w:footnote>
  <w:footnote w:id="3620">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43/أ من (د).</w:t>
      </w:r>
    </w:p>
  </w:footnote>
  <w:footnote w:id="3621">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Pr="00CF6EE5" w:rsidRDefault="00035BE3" w:rsidP="00C10469">
      <w:pPr>
        <w:pStyle w:val="a6"/>
        <w:ind w:left="422" w:firstLine="0"/>
        <w:rPr>
          <w:rtl/>
        </w:rPr>
      </w:pPr>
      <w:r w:rsidRPr="00CF6EE5">
        <w:rPr>
          <w:rFonts w:hint="cs"/>
          <w:rtl/>
        </w:rPr>
        <w:t>هذه القاعدة تشبِّه فتوى المجتهد للعامي الجاهل باجتهاد المجتهد لنفسه من جهة وجوب العمل ولزوم الامتثال.</w:t>
      </w:r>
    </w:p>
    <w:p w:rsidR="00035BE3" w:rsidRDefault="00035BE3" w:rsidP="00C10469">
      <w:pPr>
        <w:pStyle w:val="a6"/>
        <w:ind w:left="422" w:firstLine="0"/>
        <w:rPr>
          <w:spacing w:val="-6"/>
          <w:rtl/>
        </w:rPr>
      </w:pPr>
      <w:r>
        <w:rPr>
          <w:rFonts w:hint="cs"/>
          <w:b/>
          <w:bCs/>
          <w:spacing w:val="-6"/>
          <w:rtl/>
        </w:rPr>
        <w:t>إذْ معناها</w:t>
      </w:r>
      <w:r>
        <w:rPr>
          <w:rFonts w:hint="cs"/>
          <w:spacing w:val="-6"/>
          <w:rtl/>
        </w:rPr>
        <w:t xml:space="preserve"> : أنَّ الفتوى التي يتلقَّاها العامي الجاهل من المجتهد بمنزلة ما لو كان هذا العامي هو المجتهد نفسه، فكما أن الواجب على المجتهد أن يعمل بما أداه إليه اجتهاده، فكذلك العامي ملزم بالعمل بالفتوى.</w:t>
      </w:r>
    </w:p>
    <w:p w:rsidR="00035BE3" w:rsidRDefault="00035BE3" w:rsidP="00C10469">
      <w:pPr>
        <w:pStyle w:val="a6"/>
        <w:spacing w:line="480" w:lineRule="exact"/>
        <w:ind w:left="422" w:firstLine="0"/>
        <w:rPr>
          <w:rtl/>
        </w:rPr>
      </w:pPr>
      <w:r>
        <w:rPr>
          <w:rFonts w:hint="cs"/>
          <w:rtl/>
        </w:rPr>
        <w:t>أو بعبارة أخرى : أن الفتوى التي يتلقاها العامي الجاهل من المجتهد ملزِمة له كما لو كان هذا العامي هو ذاك المجتهد نفسه.</w:t>
      </w:r>
    </w:p>
    <w:p w:rsidR="00035BE3" w:rsidRDefault="00035BE3" w:rsidP="00C10469">
      <w:pPr>
        <w:pStyle w:val="a6"/>
        <w:spacing w:line="480" w:lineRule="exact"/>
        <w:ind w:left="422" w:firstLine="0"/>
        <w:rPr>
          <w:rtl/>
        </w:rPr>
      </w:pPr>
      <w:r>
        <w:rPr>
          <w:rFonts w:hint="cs"/>
          <w:rtl/>
        </w:rPr>
        <w:t>وهذه القاعدة قيّدها العلائي الحنفي (ت1243هـ) بما إذا كانت الفتوى موافقه لمذهب المستفتي، وكانت هذه الفتوى هي الرواية المفتى بها في ذلك المذهب، حيث قال عقب القاعدة - في شرحه لقواعد الخادمي، ل30/أ-ب:-</w:t>
      </w:r>
      <w:r>
        <w:rPr>
          <w:rFonts w:hint="eastAsia"/>
          <w:spacing w:val="-6"/>
          <w:rtl/>
        </w:rPr>
        <w:t xml:space="preserve"> «</w:t>
      </w:r>
      <w:r>
        <w:rPr>
          <w:rFonts w:hint="cs"/>
          <w:spacing w:val="-6"/>
          <w:rtl/>
        </w:rPr>
        <w:t>في وجوب العمل، ولزوم الامتـثال. لعله إذا كان [هكذا بتذكير الفعل] الفتوى موافقة لمذهبه، وكانت بالرواية المفتى بها مثلاً، وإلا فلا يجب ولا يلزم؛ بل يخيّر، فافهم</w:t>
      </w:r>
      <w:r>
        <w:rPr>
          <w:rFonts w:hint="eastAsia"/>
          <w:spacing w:val="-6"/>
          <w:rtl/>
        </w:rPr>
        <w:t>»</w:t>
      </w:r>
      <w:r>
        <w:rPr>
          <w:rFonts w:hint="cs"/>
          <w:spacing w:val="-6"/>
          <w:rtl/>
        </w:rPr>
        <w:t>.</w:t>
      </w:r>
    </w:p>
    <w:p w:rsidR="00035BE3" w:rsidRDefault="00035BE3" w:rsidP="00C10469">
      <w:pPr>
        <w:pStyle w:val="a6"/>
        <w:spacing w:line="480" w:lineRule="exact"/>
        <w:ind w:left="422" w:firstLine="0"/>
        <w:rPr>
          <w:rtl/>
        </w:rPr>
      </w:pPr>
      <w:r>
        <w:rPr>
          <w:rFonts w:hint="cs"/>
          <w:rtl/>
        </w:rPr>
        <w:t>كما أن المؤلف عند شرحه للقاعدة قيّدها أيضًا بكون المفتي مشتهرًا بالعلم وصحة الاعتقاد.</w:t>
      </w:r>
    </w:p>
    <w:p w:rsidR="00035BE3" w:rsidRDefault="00035BE3" w:rsidP="00C10469">
      <w:pPr>
        <w:pStyle w:val="a6"/>
        <w:spacing w:line="480" w:lineRule="exact"/>
        <w:ind w:left="422" w:firstLine="0"/>
        <w:rPr>
          <w:rtl/>
        </w:rPr>
      </w:pPr>
      <w:r>
        <w:rPr>
          <w:rFonts w:hint="cs"/>
          <w:b/>
          <w:bCs/>
          <w:rtl/>
        </w:rPr>
        <w:t>أما توثيقها</w:t>
      </w:r>
      <w:r>
        <w:rPr>
          <w:rFonts w:hint="cs"/>
          <w:rtl/>
        </w:rPr>
        <w:t xml:space="preserve"> :</w:t>
      </w:r>
    </w:p>
    <w:p w:rsidR="00035BE3" w:rsidRDefault="00035BE3" w:rsidP="00C10469">
      <w:pPr>
        <w:pStyle w:val="a6"/>
        <w:spacing w:line="480" w:lineRule="exact"/>
        <w:ind w:left="422" w:firstLine="0"/>
        <w:rPr>
          <w:rtl/>
        </w:rPr>
      </w:pPr>
      <w:r>
        <w:rPr>
          <w:rFonts w:hint="cs"/>
          <w:rtl/>
        </w:rPr>
        <w:t>فقد وردت هذه القاعدة بهذا اللفظ أو نحوه أو معناه في عدد من كتب الفقه الحنفي وقواعده :</w:t>
      </w:r>
    </w:p>
    <w:p w:rsidR="00035BE3" w:rsidRDefault="00035BE3" w:rsidP="00C10469">
      <w:pPr>
        <w:pStyle w:val="a6"/>
        <w:spacing w:line="480" w:lineRule="exact"/>
        <w:ind w:left="422" w:firstLine="0"/>
        <w:rPr>
          <w:b/>
          <w:bCs/>
          <w:rtl/>
        </w:rPr>
      </w:pPr>
      <w:r>
        <w:rPr>
          <w:rFonts w:hint="cs"/>
          <w:b/>
          <w:bCs/>
          <w:rtl/>
        </w:rPr>
        <w:t>فمن كتب القواعد :</w:t>
      </w:r>
    </w:p>
    <w:p w:rsidR="00035BE3" w:rsidRDefault="00035BE3" w:rsidP="00C10469">
      <w:pPr>
        <w:pStyle w:val="a6"/>
        <w:spacing w:line="480" w:lineRule="exact"/>
        <w:ind w:left="422" w:firstLine="0"/>
        <w:rPr>
          <w:rtl/>
        </w:rPr>
      </w:pPr>
      <w:r w:rsidRPr="002E4BDE">
        <w:rPr>
          <w:rFonts w:hint="cs"/>
          <w:spacing w:val="-2"/>
          <w:rtl/>
        </w:rPr>
        <w:t xml:space="preserve">الأشباه والنظائر لابن نجيم، ص321؛ قواعد الفقه له أيضًا، ص153، قاعدة 276- ولفظه فيهما: </w:t>
      </w:r>
      <w:r>
        <w:rPr>
          <w:rFonts w:hint="eastAsia"/>
          <w:rtl/>
        </w:rPr>
        <w:t>«</w:t>
      </w:r>
      <w:r>
        <w:rPr>
          <w:rFonts w:hint="cs"/>
          <w:rtl/>
        </w:rPr>
        <w:t>الفتوى في حق الجاهل بمنزلة الاجتهاد في حق المجتهد</w:t>
      </w:r>
      <w:r>
        <w:rPr>
          <w:rFonts w:hint="eastAsia"/>
          <w:rtl/>
        </w:rPr>
        <w:t>»</w:t>
      </w:r>
      <w:r>
        <w:rPr>
          <w:rFonts w:hint="cs"/>
          <w:rtl/>
        </w:rPr>
        <w:t xml:space="preserve">-؛ مجامع الحقائق (الخاتمة)، ص46؛ شرح </w:t>
      </w:r>
      <w:r w:rsidRPr="002E4BDE">
        <w:rPr>
          <w:rFonts w:hint="cs"/>
          <w:spacing w:val="-4"/>
          <w:rtl/>
        </w:rPr>
        <w:t>العلائي لقواعد الخادمي، ل30/أ؛ منافع الدقائق، ص326- ولفظ المجامع وما بعده مطابق للفظ</w:t>
      </w:r>
      <w:r>
        <w:rPr>
          <w:rFonts w:hint="cs"/>
          <w:rtl/>
        </w:rPr>
        <w:t xml:space="preserve"> </w:t>
      </w:r>
      <w:r w:rsidRPr="002E4BDE">
        <w:rPr>
          <w:rFonts w:hint="cs"/>
          <w:spacing w:val="-4"/>
          <w:rtl/>
        </w:rPr>
        <w:t xml:space="preserve">المؤلف-؛ الفرائد البهية للحمزاوي، ص84، قاعدة 121- ولفظه: </w:t>
      </w:r>
      <w:r w:rsidRPr="002E4BDE">
        <w:rPr>
          <w:rFonts w:hint="eastAsia"/>
          <w:spacing w:val="-4"/>
          <w:rtl/>
        </w:rPr>
        <w:t>«</w:t>
      </w:r>
      <w:r w:rsidRPr="002E4BDE">
        <w:rPr>
          <w:rFonts w:hint="cs"/>
          <w:spacing w:val="-4"/>
          <w:rtl/>
        </w:rPr>
        <w:t>فتوى الفقيه للجاهل كحكم</w:t>
      </w:r>
      <w:r>
        <w:rPr>
          <w:rFonts w:hint="cs"/>
          <w:rtl/>
        </w:rPr>
        <w:t xml:space="preserve"> القاضي</w:t>
      </w:r>
      <w:r>
        <w:rPr>
          <w:rFonts w:hint="eastAsia"/>
          <w:rtl/>
        </w:rPr>
        <w:t>»</w:t>
      </w:r>
      <w:r>
        <w:rPr>
          <w:rFonts w:hint="cs"/>
          <w:rtl/>
        </w:rPr>
        <w:t>-.</w:t>
      </w:r>
    </w:p>
    <w:p w:rsidR="00035BE3" w:rsidRDefault="00035BE3" w:rsidP="00C10469">
      <w:pPr>
        <w:pStyle w:val="a6"/>
        <w:spacing w:line="480" w:lineRule="exact"/>
        <w:ind w:left="422" w:firstLine="0"/>
        <w:rPr>
          <w:b/>
          <w:bCs/>
          <w:rtl/>
        </w:rPr>
      </w:pPr>
      <w:r>
        <w:rPr>
          <w:rFonts w:hint="cs"/>
          <w:b/>
          <w:bCs/>
          <w:rtl/>
        </w:rPr>
        <w:t>ومن كتب الفقه :</w:t>
      </w:r>
    </w:p>
    <w:p w:rsidR="00035BE3" w:rsidRDefault="00035BE3" w:rsidP="00C10469">
      <w:pPr>
        <w:pStyle w:val="a6"/>
        <w:spacing w:line="480" w:lineRule="exact"/>
        <w:ind w:left="422" w:firstLine="0"/>
        <w:rPr>
          <w:rtl/>
        </w:rPr>
      </w:pPr>
      <w:r>
        <w:rPr>
          <w:rFonts w:hint="cs"/>
          <w:rtl/>
        </w:rPr>
        <w:t>فتاوى قاضي خان، 2/452.</w:t>
      </w:r>
    </w:p>
  </w:footnote>
  <w:footnote w:id="3622">
    <w:p w:rsidR="00035BE3" w:rsidRDefault="00035BE3" w:rsidP="00C10469">
      <w:pPr>
        <w:pStyle w:val="a8"/>
        <w:bidi/>
        <w:ind w:left="422" w:right="0"/>
        <w:rPr>
          <w:b/>
          <w:bCs/>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نشاهد</w:t>
      </w:r>
      <w:r>
        <w:rPr>
          <w:rFonts w:hint="eastAsia"/>
          <w:rtl/>
        </w:rPr>
        <w:t>»</w:t>
      </w:r>
      <w:r>
        <w:rPr>
          <w:rFonts w:hint="cs"/>
          <w:rtl/>
        </w:rPr>
        <w:t xml:space="preserve">، وفي (د) : </w:t>
      </w:r>
      <w:r>
        <w:rPr>
          <w:rFonts w:hint="eastAsia"/>
          <w:rtl/>
        </w:rPr>
        <w:t>«</w:t>
      </w:r>
      <w:r>
        <w:rPr>
          <w:rFonts w:hint="cs"/>
          <w:rtl/>
        </w:rPr>
        <w:t>شاهد</w:t>
      </w:r>
      <w:r>
        <w:rPr>
          <w:rFonts w:hint="eastAsia"/>
          <w:rtl/>
        </w:rPr>
        <w:t>»</w:t>
      </w:r>
      <w:r>
        <w:rPr>
          <w:rFonts w:hint="cs"/>
          <w:rtl/>
        </w:rPr>
        <w:t>. وما في (ب) هو الأولى.</w:t>
      </w:r>
    </w:p>
  </w:footnote>
  <w:footnote w:id="36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الأعوام</w:t>
      </w:r>
      <w:r>
        <w:rPr>
          <w:rFonts w:hint="eastAsia"/>
          <w:rtl/>
        </w:rPr>
        <w:t>»</w:t>
      </w:r>
      <w:r>
        <w:rPr>
          <w:rFonts w:hint="cs"/>
          <w:rtl/>
        </w:rPr>
        <w:t>. والصواب ما تمَّ إثباته من (ب).</w:t>
      </w:r>
    </w:p>
  </w:footnote>
  <w:footnote w:id="36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إلى </w:t>
      </w:r>
      <w:r>
        <w:rPr>
          <w:rFonts w:hint="eastAsia"/>
          <w:rtl/>
        </w:rPr>
        <w:t>»</w:t>
      </w:r>
      <w:r>
        <w:rPr>
          <w:rFonts w:hint="cs"/>
          <w:rtl/>
        </w:rPr>
        <w:t xml:space="preserve"> : زيادة من (ب). والأسلوب بدونها يكون ركيكاً؛ لهذا تمَّ إثباتها.</w:t>
      </w:r>
    </w:p>
  </w:footnote>
  <w:footnote w:id="36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ولعلها تصحيف من : (واغترّوا).</w:t>
      </w:r>
    </w:p>
  </w:footnote>
  <w:footnote w:id="3626">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rtl/>
        </w:rPr>
        <w:t xml:space="preserve"> </w:t>
      </w:r>
      <w:r w:rsidRPr="00EE7FBB">
        <w:rPr>
          <w:rFonts w:hint="eastAsia"/>
          <w:rtl/>
        </w:rPr>
        <w:t>«</w:t>
      </w:r>
      <w:r w:rsidRPr="00EE7FBB">
        <w:rPr>
          <w:rFonts w:hint="cs"/>
          <w:rtl/>
        </w:rPr>
        <w:t xml:space="preserve"> الغواية </w:t>
      </w:r>
      <w:r w:rsidRPr="00EE7FBB">
        <w:rPr>
          <w:rFonts w:hint="eastAsia"/>
          <w:rtl/>
        </w:rPr>
        <w:t>»</w:t>
      </w:r>
      <w:r w:rsidRPr="00EE7FBB">
        <w:rPr>
          <w:rFonts w:hint="cs"/>
          <w:rtl/>
        </w:rPr>
        <w:t>: زيادة من (جـ) و(هـ) و(و). وقد تم إثباتها ليحصل توافق بينها وبين لفظ (الضلالة) في الإيقاع.</w:t>
      </w:r>
    </w:p>
  </w:footnote>
  <w:footnote w:id="36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الكلالة </w:t>
      </w:r>
      <w:r>
        <w:rPr>
          <w:rFonts w:hint="eastAsia"/>
          <w:rtl/>
        </w:rPr>
        <w:t>»</w:t>
      </w:r>
      <w:r>
        <w:rPr>
          <w:rFonts w:hint="cs"/>
          <w:rtl/>
        </w:rPr>
        <w:t>.</w:t>
      </w:r>
    </w:p>
  </w:footnote>
  <w:footnote w:id="36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70/أ من (أ).</w:t>
      </w:r>
    </w:p>
  </w:footnote>
  <w:footnote w:id="36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يملك </w:t>
      </w:r>
      <w:r>
        <w:rPr>
          <w:rFonts w:hint="eastAsia"/>
          <w:rtl/>
        </w:rPr>
        <w:t>»</w:t>
      </w:r>
      <w:r>
        <w:rPr>
          <w:rFonts w:hint="cs"/>
          <w:rtl/>
        </w:rPr>
        <w:t>.</w:t>
      </w:r>
    </w:p>
  </w:footnote>
  <w:footnote w:id="36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المأخوذ </w:t>
      </w:r>
      <w:r>
        <w:rPr>
          <w:rFonts w:hint="eastAsia"/>
          <w:rtl/>
        </w:rPr>
        <w:t>»</w:t>
      </w:r>
      <w:r>
        <w:rPr>
          <w:rFonts w:hint="cs"/>
          <w:rtl/>
        </w:rPr>
        <w:t>.</w:t>
      </w:r>
    </w:p>
  </w:footnote>
  <w:footnote w:id="36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45/أ من (ب).</w:t>
      </w:r>
    </w:p>
  </w:footnote>
  <w:footnote w:id="36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المراد من القاعدة :</w:t>
      </w:r>
    </w:p>
    <w:p w:rsidR="00035BE3" w:rsidRDefault="00035BE3" w:rsidP="00C10469">
      <w:pPr>
        <w:pStyle w:val="a6"/>
        <w:ind w:left="422" w:firstLine="0"/>
        <w:rPr>
          <w:rtl/>
        </w:rPr>
      </w:pPr>
      <w:r>
        <w:rPr>
          <w:rFonts w:hint="cs"/>
          <w:rtl/>
        </w:rPr>
        <w:t>هذه القاعدة تُعدُّ ضابطًا لحكم رجوع المأمور على الآمر فيما دفعه من مال :</w:t>
      </w:r>
    </w:p>
    <w:p w:rsidR="00035BE3" w:rsidRDefault="00035BE3" w:rsidP="00C10469">
      <w:pPr>
        <w:pStyle w:val="a6"/>
        <w:ind w:left="422" w:firstLine="0"/>
        <w:rPr>
          <w:rtl/>
        </w:rPr>
      </w:pPr>
      <w:r>
        <w:rPr>
          <w:rFonts w:hint="cs"/>
          <w:rtl/>
        </w:rPr>
        <w:t>إذْ يُنظر في ذلك إلى حال الثالث المدفوع إليه المال : هل يملك هذا المال بمقابل، أو مجّانًا؟.</w:t>
      </w:r>
    </w:p>
    <w:p w:rsidR="00035BE3" w:rsidRDefault="00035BE3" w:rsidP="00C10469">
      <w:pPr>
        <w:pStyle w:val="a6"/>
        <w:ind w:left="422" w:firstLine="0"/>
        <w:rPr>
          <w:rtl/>
        </w:rPr>
      </w:pPr>
      <w:r>
        <w:rPr>
          <w:rtl/>
        </w:rPr>
        <w:t>•</w:t>
      </w:r>
      <w:r>
        <w:rPr>
          <w:rFonts w:hint="cs"/>
          <w:rtl/>
        </w:rPr>
        <w:t xml:space="preserve"> فإن كان يملكه بمقابل : فإن المأمور يرجع على الآمر في المال الذي دفعه إلى الثالث، وإن لم يشترط ذلك قبل الدفع.</w:t>
      </w:r>
    </w:p>
    <w:p w:rsidR="00035BE3" w:rsidRDefault="00035BE3" w:rsidP="00C10469">
      <w:pPr>
        <w:pStyle w:val="a6"/>
        <w:ind w:left="422" w:firstLine="0"/>
        <w:rPr>
          <w:spacing w:val="-6"/>
          <w:rtl/>
        </w:rPr>
      </w:pPr>
      <w:r>
        <w:rPr>
          <w:spacing w:val="-6"/>
          <w:rtl/>
        </w:rPr>
        <w:t>•</w:t>
      </w:r>
      <w:r>
        <w:rPr>
          <w:rFonts w:hint="cs"/>
          <w:spacing w:val="-6"/>
          <w:rtl/>
        </w:rPr>
        <w:t xml:space="preserve"> وإن كان يملكه مجّانًا : فإن المأمور لا يرجع فيما دفعه إلا إذا اشترط الرجوع قبل الدفع </w:t>
      </w:r>
      <w:r>
        <w:rPr>
          <w:spacing w:val="-6"/>
          <w:rtl/>
        </w:rPr>
        <w:t>–</w:t>
      </w:r>
      <w:r>
        <w:rPr>
          <w:rFonts w:hint="cs"/>
          <w:spacing w:val="-6"/>
          <w:rtl/>
        </w:rPr>
        <w:t>والله أعلم-.</w:t>
      </w:r>
    </w:p>
    <w:p w:rsidR="00035BE3" w:rsidRDefault="00035BE3" w:rsidP="00C10469">
      <w:pPr>
        <w:pStyle w:val="a6"/>
        <w:ind w:left="422" w:firstLine="0"/>
        <w:rPr>
          <w:b/>
          <w:bCs/>
          <w:rtl/>
        </w:rPr>
      </w:pPr>
      <w:r>
        <w:rPr>
          <w:rFonts w:hint="cs"/>
          <w:b/>
          <w:bCs/>
          <w:rtl/>
        </w:rPr>
        <w:t>أما توثيقها :</w:t>
      </w:r>
    </w:p>
    <w:p w:rsidR="00035BE3" w:rsidRDefault="00035BE3" w:rsidP="00C10469">
      <w:pPr>
        <w:pStyle w:val="a6"/>
        <w:ind w:left="422" w:firstLine="0"/>
        <w:rPr>
          <w:rtl/>
        </w:rPr>
      </w:pPr>
      <w:r>
        <w:rPr>
          <w:rFonts w:hint="cs"/>
          <w:rtl/>
        </w:rPr>
        <w:t xml:space="preserve">وردت بلفظها  أو نحوه أو معناه في بعض كتب الفقه الحنفي وقواعده : </w:t>
      </w:r>
    </w:p>
    <w:p w:rsidR="00035BE3" w:rsidRDefault="00035BE3" w:rsidP="00C10469">
      <w:pPr>
        <w:pStyle w:val="a6"/>
        <w:spacing w:line="400" w:lineRule="exact"/>
        <w:ind w:left="422" w:firstLine="0"/>
        <w:rPr>
          <w:b/>
          <w:bCs/>
          <w:rtl/>
        </w:rPr>
      </w:pPr>
      <w:r>
        <w:rPr>
          <w:rFonts w:hint="cs"/>
          <w:b/>
          <w:bCs/>
          <w:rtl/>
        </w:rPr>
        <w:t>فمن كتب القواعد :</w:t>
      </w:r>
    </w:p>
    <w:p w:rsidR="00035BE3" w:rsidRDefault="00035BE3" w:rsidP="00C10469">
      <w:pPr>
        <w:pStyle w:val="a6"/>
        <w:ind w:left="422" w:firstLine="0"/>
        <w:rPr>
          <w:spacing w:val="8"/>
          <w:rtl/>
        </w:rPr>
      </w:pPr>
      <w:r>
        <w:rPr>
          <w:rFonts w:hint="cs"/>
          <w:spacing w:val="8"/>
          <w:rtl/>
        </w:rPr>
        <w:t xml:space="preserve">الأشباه والنظائر لابن نجيم، ص244؛ قواعد الفقه له أيضًا، ص303، قاعدة 398؛ الفوائد الزينية، ص87، فائدة 77، وقد ذكرها ابن نجيم في هذه الكتب بلفظين، ثانيهما بنحو لفظ المؤلف والأول بمعناه، ولفظه في الفوائد : </w:t>
      </w:r>
      <w:r>
        <w:rPr>
          <w:rFonts w:hint="eastAsia"/>
          <w:spacing w:val="8"/>
          <w:rtl/>
        </w:rPr>
        <w:t>«</w:t>
      </w:r>
      <w:r>
        <w:rPr>
          <w:rFonts w:hint="cs"/>
          <w:spacing w:val="8"/>
          <w:rtl/>
        </w:rPr>
        <w:t>من قام عن غيره بواجب بأمره : فإنه يرجع عليه بما دفع، وإن لم يشترط الرجوع ... إلا في مسائل ... وضابطه - كما في (البزازية)- : كل موضع ملك المدفوع إليه المال المدفوع مقابلاً بملك مال : فالمأمور يرجع بلا شرط، وفي كل موضع ملك المدفوع إليه غير مقابل بملك المال : لا يرجع بلا شرط</w:t>
      </w:r>
      <w:r>
        <w:rPr>
          <w:rFonts w:hint="eastAsia"/>
          <w:spacing w:val="8"/>
          <w:rtl/>
        </w:rPr>
        <w:t>»</w:t>
      </w:r>
      <w:r>
        <w:rPr>
          <w:rFonts w:hint="cs"/>
          <w:spacing w:val="8"/>
          <w:rtl/>
        </w:rPr>
        <w:t xml:space="preserve">؛ ومن كتب القواعد الأخرى : قواعد الفقه للمجدّدي، ص96، قاعدة 204- ولفظه كلفظ المؤلف إلا أنه في منتصف القاعدة بعد كلمة (بملك) زاد : </w:t>
      </w:r>
      <w:r>
        <w:rPr>
          <w:rFonts w:hint="eastAsia"/>
          <w:spacing w:val="8"/>
          <w:rtl/>
        </w:rPr>
        <w:t>«</w:t>
      </w:r>
      <w:r>
        <w:rPr>
          <w:rFonts w:hint="cs"/>
          <w:spacing w:val="8"/>
          <w:rtl/>
        </w:rPr>
        <w:t>المال</w:t>
      </w:r>
      <w:r>
        <w:rPr>
          <w:rFonts w:hint="eastAsia"/>
          <w:spacing w:val="8"/>
          <w:rtl/>
        </w:rPr>
        <w:t>»</w:t>
      </w:r>
      <w:r>
        <w:rPr>
          <w:rFonts w:hint="cs"/>
          <w:spacing w:val="8"/>
          <w:rtl/>
        </w:rPr>
        <w:t>-.</w:t>
      </w:r>
    </w:p>
    <w:p w:rsidR="00035BE3" w:rsidRDefault="00035BE3" w:rsidP="00C10469">
      <w:pPr>
        <w:pStyle w:val="a6"/>
        <w:spacing w:line="400" w:lineRule="exact"/>
        <w:ind w:left="422" w:firstLine="0"/>
        <w:rPr>
          <w:b/>
          <w:bCs/>
          <w:rtl/>
        </w:rPr>
      </w:pPr>
      <w:r>
        <w:rPr>
          <w:rFonts w:hint="cs"/>
          <w:b/>
          <w:bCs/>
          <w:rtl/>
        </w:rPr>
        <w:t>ومن كتب الفقه :</w:t>
      </w:r>
    </w:p>
    <w:p w:rsidR="00035BE3" w:rsidRDefault="00035BE3" w:rsidP="00C10469">
      <w:pPr>
        <w:pStyle w:val="a6"/>
        <w:spacing w:line="400" w:lineRule="exact"/>
        <w:ind w:left="422" w:firstLine="0"/>
        <w:rPr>
          <w:rtl/>
        </w:rPr>
      </w:pPr>
      <w:r>
        <w:rPr>
          <w:rFonts w:hint="cs"/>
          <w:rtl/>
        </w:rPr>
        <w:t>الفتاوى البزازية، 2/472؛ الدّر المختار وحاشيته : ردّ المحتار، 7/624؛ قرة عيون الأخيار (تكملة ردّ المحتار)، 12/635.</w:t>
      </w:r>
    </w:p>
  </w:footnote>
  <w:footnote w:id="36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بالاتفاق </w:t>
      </w:r>
      <w:r>
        <w:rPr>
          <w:rFonts w:hint="eastAsia"/>
          <w:rtl/>
        </w:rPr>
        <w:t>»</w:t>
      </w:r>
      <w:r>
        <w:rPr>
          <w:rFonts w:hint="cs"/>
          <w:rtl/>
        </w:rPr>
        <w:t>.</w:t>
      </w:r>
    </w:p>
  </w:footnote>
  <w:footnote w:id="36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وبقضاء</w:t>
      </w:r>
      <w:r>
        <w:rPr>
          <w:rFonts w:hint="eastAsia"/>
          <w:rtl/>
        </w:rPr>
        <w:t>»</w:t>
      </w:r>
      <w:r>
        <w:rPr>
          <w:rFonts w:hint="cs"/>
          <w:rtl/>
        </w:rPr>
        <w:t xml:space="preserve"> (بإسقاط الألف).</w:t>
      </w:r>
    </w:p>
  </w:footnote>
  <w:footnote w:id="36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على </w:t>
      </w:r>
      <w:r>
        <w:rPr>
          <w:rFonts w:hint="eastAsia"/>
          <w:rtl/>
        </w:rPr>
        <w:t>»</w:t>
      </w:r>
      <w:r>
        <w:rPr>
          <w:rFonts w:hint="cs"/>
          <w:rtl/>
        </w:rPr>
        <w:t>.</w:t>
      </w:r>
    </w:p>
  </w:footnote>
  <w:footnote w:id="36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لأن </w:t>
      </w:r>
      <w:r>
        <w:rPr>
          <w:rFonts w:hint="eastAsia"/>
          <w:rtl/>
        </w:rPr>
        <w:t>»</w:t>
      </w:r>
      <w:r>
        <w:rPr>
          <w:rFonts w:hint="cs"/>
          <w:rtl/>
        </w:rPr>
        <w:t xml:space="preserve"> : ساقطة من (جـ).</w:t>
      </w:r>
    </w:p>
  </w:footnote>
  <w:footnote w:id="36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حكم الأمر بالإنفاق وقضاء الدين في: أشباه ابن نجيم، ص44؛ وقواعده، ص303؛ وفوائده، ص87؛ الدّر المختار ورد المحتار أو قرة عيون الأخيار، 7/624، 12/634، 635. وقد أورد </w:t>
      </w:r>
      <w:r w:rsidRPr="00A7034A">
        <w:rPr>
          <w:rFonts w:hint="cs"/>
          <w:spacing w:val="-4"/>
          <w:rtl/>
        </w:rPr>
        <w:t xml:space="preserve">الأخيران اعتراضًا على الضابط </w:t>
      </w:r>
      <w:r w:rsidRPr="00A7034A">
        <w:rPr>
          <w:spacing w:val="-4"/>
          <w:rtl/>
        </w:rPr>
        <w:t>–</w:t>
      </w:r>
      <w:r w:rsidRPr="00A7034A">
        <w:rPr>
          <w:rFonts w:hint="cs"/>
          <w:spacing w:val="-4"/>
          <w:rtl/>
        </w:rPr>
        <w:t xml:space="preserve"> الذي أورده صاحب (الدّر) بلفظ ابن نجيم </w:t>
      </w:r>
      <w:r w:rsidRPr="00A7034A">
        <w:rPr>
          <w:spacing w:val="-4"/>
          <w:rtl/>
        </w:rPr>
        <w:t>–</w:t>
      </w:r>
      <w:r w:rsidRPr="00A7034A">
        <w:rPr>
          <w:rFonts w:hint="cs"/>
          <w:spacing w:val="-4"/>
          <w:rtl/>
        </w:rPr>
        <w:t xml:space="preserve"> فقالا: </w:t>
      </w:r>
      <w:r w:rsidRPr="00A7034A">
        <w:rPr>
          <w:rFonts w:hint="eastAsia"/>
          <w:spacing w:val="-4"/>
          <w:rtl/>
        </w:rPr>
        <w:t>«</w:t>
      </w:r>
      <w:r w:rsidRPr="00A7034A">
        <w:rPr>
          <w:rFonts w:hint="cs"/>
          <w:spacing w:val="-4"/>
          <w:rtl/>
        </w:rPr>
        <w:t>ويرد عليه:</w:t>
      </w:r>
      <w:r>
        <w:rPr>
          <w:rFonts w:hint="cs"/>
          <w:rtl/>
        </w:rPr>
        <w:t xml:space="preserve"> </w:t>
      </w:r>
      <w:r w:rsidRPr="00A7034A">
        <w:rPr>
          <w:rFonts w:hint="cs"/>
          <w:spacing w:val="-4"/>
          <w:rtl/>
        </w:rPr>
        <w:t>الأمر بالإنفاق عليه، فإنه [أي صاحب الدر] قدّمَ أنه يرجع بلا شرط، مع أنه ليس بمقابلة ملك مال! ...</w:t>
      </w:r>
      <w:r w:rsidRPr="00A7034A">
        <w:rPr>
          <w:rFonts w:hint="eastAsia"/>
          <w:spacing w:val="-4"/>
          <w:rtl/>
        </w:rPr>
        <w:t>»</w:t>
      </w:r>
      <w:r w:rsidRPr="00A7034A">
        <w:rPr>
          <w:rFonts w:hint="cs"/>
          <w:spacing w:val="-4"/>
          <w:rtl/>
        </w:rPr>
        <w:t>.</w:t>
      </w:r>
    </w:p>
  </w:footnote>
  <w:footnote w:id="36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هبت </w:t>
      </w:r>
      <w:r>
        <w:rPr>
          <w:rFonts w:hint="eastAsia"/>
          <w:rtl/>
        </w:rPr>
        <w:t>»</w:t>
      </w:r>
      <w:r>
        <w:rPr>
          <w:rFonts w:hint="cs"/>
          <w:rtl/>
        </w:rPr>
        <w:t xml:space="preserve">، وفي (جـ) : </w:t>
      </w:r>
      <w:r>
        <w:rPr>
          <w:rFonts w:hint="eastAsia"/>
          <w:rtl/>
        </w:rPr>
        <w:t>«</w:t>
      </w:r>
      <w:r>
        <w:rPr>
          <w:rFonts w:hint="cs"/>
          <w:rtl/>
        </w:rPr>
        <w:t xml:space="preserve"> هبته </w:t>
      </w:r>
      <w:r>
        <w:rPr>
          <w:rFonts w:hint="eastAsia"/>
          <w:rtl/>
        </w:rPr>
        <w:t>»</w:t>
      </w:r>
      <w:r>
        <w:rPr>
          <w:rFonts w:hint="cs"/>
          <w:rtl/>
        </w:rPr>
        <w:t>.</w:t>
      </w:r>
    </w:p>
  </w:footnote>
  <w:footnote w:id="36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أو </w:t>
      </w:r>
      <w:r>
        <w:rPr>
          <w:rFonts w:hint="eastAsia"/>
          <w:rtl/>
        </w:rPr>
        <w:t>»</w:t>
      </w:r>
      <w:r>
        <w:rPr>
          <w:rFonts w:hint="cs"/>
          <w:rtl/>
        </w:rPr>
        <w:t xml:space="preserve"> : ساقطة من (جـ).</w:t>
      </w:r>
    </w:p>
  </w:footnote>
  <w:footnote w:id="36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فلا </w:t>
      </w:r>
      <w:r>
        <w:rPr>
          <w:rFonts w:hint="eastAsia"/>
          <w:rtl/>
        </w:rPr>
        <w:t>»</w:t>
      </w:r>
      <w:r>
        <w:rPr>
          <w:rFonts w:hint="cs"/>
          <w:rtl/>
        </w:rPr>
        <w:t>.</w:t>
      </w:r>
    </w:p>
  </w:footnote>
  <w:footnote w:id="36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هذه المسائل الأربعة في المصادر السابقة.</w:t>
      </w:r>
    </w:p>
  </w:footnote>
  <w:footnote w:id="36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53/أ من (جـ).</w:t>
      </w:r>
    </w:p>
  </w:footnote>
  <w:footnote w:id="36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 xml:space="preserve"> المقتضى</w:t>
      </w:r>
      <w:r>
        <w:rPr>
          <w:rFonts w:hint="eastAsia"/>
          <w:rtl/>
        </w:rPr>
        <w:t>»</w:t>
      </w:r>
      <w:r>
        <w:rPr>
          <w:rFonts w:hint="cs"/>
          <w:rtl/>
        </w:rPr>
        <w:t>.</w:t>
      </w:r>
    </w:p>
  </w:footnote>
  <w:footnote w:id="364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الفرع </w:t>
      </w:r>
      <w:r>
        <w:rPr>
          <w:rFonts w:hint="eastAsia"/>
          <w:rtl/>
        </w:rPr>
        <w:t>»</w:t>
      </w:r>
      <w:r>
        <w:rPr>
          <w:rFonts w:hint="cs"/>
          <w:rtl/>
        </w:rPr>
        <w:t xml:space="preserve"> : ساقطة من (د).</w:t>
      </w:r>
    </w:p>
  </w:footnote>
  <w:footnote w:id="364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الـمحيص </w:t>
      </w:r>
      <w:r>
        <w:rPr>
          <w:rFonts w:hint="eastAsia"/>
          <w:rtl/>
        </w:rPr>
        <w:t>»</w:t>
      </w:r>
      <w:r>
        <w:rPr>
          <w:rFonts w:hint="cs"/>
          <w:rtl/>
        </w:rPr>
        <w:t>. والصحيح ما تمَّ إثـباته من باقي النسخ، وهو الموافق لمصدر هذه القاعدة (وهو العناية).</w:t>
      </w:r>
    </w:p>
  </w:footnote>
  <w:footnote w:id="364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على </w:t>
      </w:r>
      <w:r>
        <w:rPr>
          <w:rFonts w:hint="eastAsia"/>
          <w:rtl/>
        </w:rPr>
        <w:t>»</w:t>
      </w:r>
      <w:r>
        <w:rPr>
          <w:rFonts w:hint="cs"/>
          <w:rtl/>
        </w:rPr>
        <w:t xml:space="preserve"> : زيادة من (ب) و(جـ) و(د). والصحيح إثباتها، وهو الموافق للعناية.</w:t>
      </w:r>
    </w:p>
  </w:footnote>
  <w:footnote w:id="364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في العناية، 8/38.</w:t>
      </w:r>
    </w:p>
  </w:footnote>
  <w:footnote w:id="364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الهداية وشرحها : العناية، 8/38- ولفظه قريب من (العناية) وبعيد من (الهداية)-.</w:t>
      </w:r>
    </w:p>
  </w:footnote>
  <w:footnote w:id="364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مصدر هذه العبارة (وهو العناية) : </w:t>
      </w:r>
      <w:r>
        <w:rPr>
          <w:rFonts w:hint="eastAsia"/>
          <w:rtl/>
        </w:rPr>
        <w:t>«</w:t>
      </w:r>
      <w:r>
        <w:rPr>
          <w:rFonts w:hint="cs"/>
          <w:rtl/>
        </w:rPr>
        <w:t>المشتري</w:t>
      </w:r>
      <w:r>
        <w:rPr>
          <w:rFonts w:hint="eastAsia"/>
          <w:rtl/>
        </w:rPr>
        <w:t>»</w:t>
      </w:r>
      <w:r>
        <w:rPr>
          <w:rFonts w:hint="cs"/>
          <w:rtl/>
        </w:rPr>
        <w:t xml:space="preserve">. والذي يظهر أنَّ المعنى متفق؛ إذْ المعنى : (فصار الوكيل بالنسبة للموكّل كالبائع للمشتري الذي هو الموكِّل). ويعضد هذا أن كلمة (الموكَِّل) وردت كذلك في قرّة عيون الأخيار، 11/409، حيث جاء فيها : </w:t>
      </w:r>
      <w:r>
        <w:rPr>
          <w:rFonts w:hint="eastAsia"/>
          <w:rtl/>
        </w:rPr>
        <w:t>«</w:t>
      </w:r>
      <w:r>
        <w:rPr>
          <w:rFonts w:hint="cs"/>
          <w:rtl/>
        </w:rPr>
        <w:t>لأن الوكيل بالشراء ينزل منزلة البائع من الموكَِّل؛ ولذلك يتحالفان إذا اختلفا في الثمن ...</w:t>
      </w:r>
      <w:r>
        <w:rPr>
          <w:rFonts w:hint="eastAsia"/>
          <w:rtl/>
        </w:rPr>
        <w:t>»</w:t>
      </w:r>
      <w:r>
        <w:rPr>
          <w:rFonts w:hint="cs"/>
          <w:rtl/>
        </w:rPr>
        <w:t>.</w:t>
      </w:r>
    </w:p>
  </w:footnote>
  <w:footnote w:id="365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الموكل </w:t>
      </w:r>
      <w:r>
        <w:rPr>
          <w:rFonts w:hint="eastAsia"/>
          <w:rtl/>
        </w:rPr>
        <w:t>»</w:t>
      </w:r>
      <w:r>
        <w:rPr>
          <w:rFonts w:hint="cs"/>
          <w:rtl/>
        </w:rPr>
        <w:t>: ساقطة من (جـ).</w:t>
      </w:r>
    </w:p>
  </w:footnote>
  <w:footnote w:id="365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70/ب من (أ).</w:t>
      </w:r>
    </w:p>
  </w:footnote>
  <w:footnote w:id="365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العناية، 8/38- مع اختلاف يسير بينهما-؛ وانظر هذه المسألة في : الدّرر شرح الغرر، 2/287؛ تكملة البحر الرائق، 8/155؛ قرّة عيون الأخيار، 11/408.</w:t>
      </w:r>
    </w:p>
  </w:footnote>
  <w:footnote w:id="365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الاعتراض وجوابه في : العناية، 8/38.</w:t>
      </w:r>
    </w:p>
  </w:footnote>
  <w:footnote w:id="365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نستدل</w:t>
      </w:r>
      <w:r>
        <w:rPr>
          <w:rFonts w:hint="eastAsia"/>
          <w:rtl/>
        </w:rPr>
        <w:t>»</w:t>
      </w:r>
      <w:r>
        <w:rPr>
          <w:rFonts w:hint="cs"/>
          <w:rtl/>
        </w:rPr>
        <w:t xml:space="preserve">. وهذا الأولى. وقد جاء في (د) : </w:t>
      </w:r>
      <w:r>
        <w:rPr>
          <w:rFonts w:hint="eastAsia"/>
          <w:rtl/>
        </w:rPr>
        <w:t>«</w:t>
      </w:r>
      <w:r>
        <w:rPr>
          <w:rFonts w:hint="cs"/>
          <w:rtl/>
        </w:rPr>
        <w:t xml:space="preserve"> ستبدل</w:t>
      </w:r>
      <w:r>
        <w:rPr>
          <w:rFonts w:hint="eastAsia"/>
          <w:rtl/>
        </w:rPr>
        <w:t>»</w:t>
      </w:r>
      <w:r>
        <w:rPr>
          <w:rFonts w:hint="cs"/>
          <w:rtl/>
        </w:rPr>
        <w:t>.</w:t>
      </w:r>
    </w:p>
  </w:footnote>
  <w:footnote w:id="365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المبادلة </w:t>
      </w:r>
      <w:r>
        <w:rPr>
          <w:rFonts w:hint="eastAsia"/>
          <w:rtl/>
        </w:rPr>
        <w:t>»</w:t>
      </w:r>
      <w:r>
        <w:rPr>
          <w:rFonts w:hint="cs"/>
          <w:rtl/>
        </w:rPr>
        <w:t xml:space="preserve"> : ساقطة من (جـ).</w:t>
      </w:r>
    </w:p>
  </w:footnote>
  <w:footnote w:id="3656">
    <w:p w:rsidR="00035BE3" w:rsidRDefault="00035BE3" w:rsidP="00C10469">
      <w:pPr>
        <w:pStyle w:val="a8"/>
        <w:bidi/>
        <w:ind w:left="422" w:right="0"/>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 </w:t>
      </w:r>
      <w:r>
        <w:rPr>
          <w:rFonts w:hint="eastAsia"/>
          <w:spacing w:val="-6"/>
          <w:rtl/>
        </w:rPr>
        <w:t>«</w:t>
      </w:r>
      <w:r>
        <w:rPr>
          <w:rFonts w:hint="cs"/>
          <w:spacing w:val="-6"/>
          <w:rtl/>
        </w:rPr>
        <w:t>الدليل</w:t>
      </w:r>
      <w:r>
        <w:rPr>
          <w:rFonts w:hint="eastAsia"/>
          <w:spacing w:val="-6"/>
          <w:rtl/>
        </w:rPr>
        <w:t>»</w:t>
      </w:r>
      <w:r>
        <w:rPr>
          <w:rFonts w:hint="cs"/>
          <w:spacing w:val="-6"/>
          <w:rtl/>
        </w:rPr>
        <w:t>. والصحيح ما تمَّ إثباته من (ب) و(د). وهذه الكلمة تمثّل نهاية 43/ب من (د).</w:t>
      </w:r>
    </w:p>
  </w:footnote>
  <w:footnote w:id="365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فيكون</w:t>
      </w:r>
      <w:r>
        <w:rPr>
          <w:rFonts w:hint="eastAsia"/>
          <w:rtl/>
        </w:rPr>
        <w:t>»</w:t>
      </w:r>
      <w:r>
        <w:rPr>
          <w:rFonts w:hint="cs"/>
          <w:rtl/>
        </w:rPr>
        <w:t>. والأفصح ما تمَّ إثباته من (د).</w:t>
      </w:r>
    </w:p>
  </w:footnote>
  <w:footnote w:id="365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 xml:space="preserve"> في </w:t>
      </w:r>
      <w:r>
        <w:rPr>
          <w:rFonts w:hint="eastAsia"/>
          <w:rtl/>
        </w:rPr>
        <w:t>»</w:t>
      </w:r>
      <w:r>
        <w:rPr>
          <w:rFonts w:hint="cs"/>
          <w:rtl/>
        </w:rPr>
        <w:t>. والصحيح ما تمَّ إثباته من (ب) و(د).</w:t>
      </w:r>
    </w:p>
  </w:footnote>
  <w:footnote w:id="36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 :</w:t>
      </w:r>
    </w:p>
    <w:p w:rsidR="00035BE3" w:rsidRDefault="00035BE3" w:rsidP="00C10469">
      <w:pPr>
        <w:pStyle w:val="a6"/>
        <w:ind w:left="422" w:firstLine="0"/>
        <w:rPr>
          <w:rtl/>
        </w:rPr>
      </w:pPr>
      <w:r>
        <w:rPr>
          <w:rFonts w:hint="cs"/>
          <w:rtl/>
        </w:rPr>
        <w:t xml:space="preserve">ورد في صدر هذه القاعدة لفظ : (القديم)، وقد عُرّف في (المجلة) بأنه : </w:t>
      </w:r>
      <w:r>
        <w:rPr>
          <w:rFonts w:hint="eastAsia"/>
          <w:rtl/>
        </w:rPr>
        <w:t>«</w:t>
      </w:r>
      <w:r>
        <w:rPr>
          <w:rFonts w:hint="cs"/>
          <w:rtl/>
        </w:rPr>
        <w:t>هو الذي لا يوجد مَنْ يعرف أوّله</w:t>
      </w:r>
      <w:r>
        <w:rPr>
          <w:rFonts w:hint="eastAsia"/>
          <w:rtl/>
        </w:rPr>
        <w:t>»</w:t>
      </w:r>
      <w:r>
        <w:rPr>
          <w:rFonts w:hint="cs"/>
          <w:rtl/>
        </w:rPr>
        <w:t>.</w:t>
      </w:r>
    </w:p>
    <w:p w:rsidR="00035BE3" w:rsidRDefault="00035BE3" w:rsidP="00C10469">
      <w:pPr>
        <w:pStyle w:val="a6"/>
        <w:ind w:left="422" w:firstLine="0"/>
        <w:rPr>
          <w:rtl/>
        </w:rPr>
      </w:pPr>
      <w:r>
        <w:rPr>
          <w:rFonts w:hint="cs"/>
          <w:rtl/>
        </w:rPr>
        <w:t xml:space="preserve">إذا علم هذا فَـ </w:t>
      </w:r>
      <w:r>
        <w:rPr>
          <w:rFonts w:hint="eastAsia"/>
          <w:rtl/>
        </w:rPr>
        <w:t>«</w:t>
      </w:r>
      <w:r>
        <w:rPr>
          <w:rFonts w:hint="cs"/>
          <w:b/>
          <w:bCs/>
          <w:rtl/>
        </w:rPr>
        <w:t>المراد بهذه القاعدة</w:t>
      </w:r>
      <w:r>
        <w:rPr>
          <w:rFonts w:hint="cs"/>
          <w:rtl/>
        </w:rPr>
        <w:t xml:space="preserve"> : أن ما كان في أيدي الناس، أو تحت تصرفاتهم قديمًا من أشياء ومرافق مشروعة في أصلها : يبقى لهم كما هو، ويعتبر قدمه دليلاً على أنه حقٌّ قائم بطريق مشروع</w:t>
      </w:r>
      <w:r>
        <w:rPr>
          <w:rFonts w:hint="eastAsia"/>
          <w:rtl/>
        </w:rPr>
        <w:t>»</w:t>
      </w:r>
      <w:r>
        <w:rPr>
          <w:rFonts w:hint="cs"/>
          <w:rtl/>
        </w:rPr>
        <w:t>- قاله الزرقا في مدخله-.</w:t>
      </w:r>
    </w:p>
    <w:p w:rsidR="00035BE3" w:rsidRDefault="00035BE3" w:rsidP="00C10469">
      <w:pPr>
        <w:pStyle w:val="a6"/>
        <w:ind w:left="422" w:firstLine="0"/>
        <w:rPr>
          <w:spacing w:val="-4"/>
          <w:rtl/>
        </w:rPr>
      </w:pPr>
      <w:r>
        <w:rPr>
          <w:rFonts w:hint="cs"/>
          <w:spacing w:val="-4"/>
          <w:rtl/>
        </w:rPr>
        <w:t xml:space="preserve">ولكنه من الجدير أن يُعلم أن هذه القاعدة ليست على إطلاقها؛ بل مقيّدة بأن لا يكون في هذا الأمر القديم ضررٌ بيّنٌ. وهذا القيد عُبِّر عنه بقاعدة أخرى، وهي : </w:t>
      </w:r>
      <w:r>
        <w:rPr>
          <w:rFonts w:hint="eastAsia"/>
          <w:spacing w:val="-4"/>
          <w:rtl/>
        </w:rPr>
        <w:t>«</w:t>
      </w:r>
      <w:r>
        <w:rPr>
          <w:rFonts w:hint="cs"/>
          <w:spacing w:val="-4"/>
          <w:rtl/>
        </w:rPr>
        <w:t>الضرر لا يكون قديمًا</w:t>
      </w:r>
      <w:r>
        <w:rPr>
          <w:rFonts w:hint="eastAsia"/>
          <w:spacing w:val="-4"/>
          <w:rtl/>
        </w:rPr>
        <w:t>»</w:t>
      </w:r>
      <w:r>
        <w:rPr>
          <w:rFonts w:hint="cs"/>
          <w:spacing w:val="-4"/>
          <w:rtl/>
        </w:rPr>
        <w:t>- المادة 7 من المجلة-.</w:t>
      </w:r>
    </w:p>
    <w:p w:rsidR="00035BE3" w:rsidRDefault="00035BE3" w:rsidP="00C10469">
      <w:pPr>
        <w:pStyle w:val="a6"/>
        <w:ind w:left="422" w:firstLine="0"/>
        <w:rPr>
          <w:rtl/>
        </w:rPr>
      </w:pPr>
      <w:r>
        <w:rPr>
          <w:rFonts w:hint="cs"/>
          <w:rtl/>
        </w:rPr>
        <w:t xml:space="preserve">أفاد ذلك د. علي الندوي، ثم حاول أن يجمع بين القاعدتين فقال : </w:t>
      </w:r>
      <w:r>
        <w:rPr>
          <w:rFonts w:hint="eastAsia"/>
          <w:rtl/>
        </w:rPr>
        <w:t>«</w:t>
      </w:r>
      <w:r>
        <w:rPr>
          <w:rFonts w:hint="cs"/>
          <w:rtl/>
        </w:rPr>
        <w:t xml:space="preserve">وبناء على ذلك لاضير في الجمع بين القاعدتين ... بأن يقال : </w:t>
      </w:r>
      <w:r>
        <w:rPr>
          <w:rFonts w:hint="eastAsia"/>
          <w:rtl/>
        </w:rPr>
        <w:t>«</w:t>
      </w:r>
      <w:r>
        <w:rPr>
          <w:rFonts w:hint="cs"/>
          <w:rtl/>
        </w:rPr>
        <w:t>القديم يترك على قدمه، ما لم يكن ضررًا فاحشًا</w:t>
      </w:r>
      <w:r>
        <w:rPr>
          <w:rFonts w:hint="eastAsia"/>
          <w:rtl/>
        </w:rPr>
        <w:t>»»</w:t>
      </w:r>
      <w:r>
        <w:rPr>
          <w:rFonts w:hint="cs"/>
          <w:rtl/>
        </w:rPr>
        <w:t>.</w:t>
      </w:r>
    </w:p>
    <w:p w:rsidR="00035BE3" w:rsidRDefault="00035BE3" w:rsidP="00C10469">
      <w:pPr>
        <w:pStyle w:val="a6"/>
        <w:ind w:left="422" w:firstLine="0"/>
        <w:rPr>
          <w:rtl/>
        </w:rPr>
      </w:pPr>
      <w:r>
        <w:rPr>
          <w:rFonts w:hint="cs"/>
          <w:rtl/>
        </w:rPr>
        <w:t xml:space="preserve">وهذا الضرر الفاحش ضابطهُ : </w:t>
      </w:r>
      <w:r>
        <w:rPr>
          <w:rFonts w:hint="eastAsia"/>
          <w:rtl/>
        </w:rPr>
        <w:t>«</w:t>
      </w:r>
      <w:r>
        <w:rPr>
          <w:rFonts w:hint="cs"/>
          <w:rtl/>
        </w:rPr>
        <w:t>أنَّ كل ما يمكن أن يستحق على الغير بوجه من الوجوه الشرعية فهو ليس بضرر فاحش، فتجب حينئذ مراعاة قدمه إذا كان قديمًا، ومالا يمكن أن يستحق على الغير بوجه شرعي فهو ضرر فاحش، ويرفع مهما كان قديمًا</w:t>
      </w:r>
      <w:r>
        <w:rPr>
          <w:rFonts w:hint="eastAsia"/>
          <w:rtl/>
        </w:rPr>
        <w:t>»</w:t>
      </w:r>
      <w:r>
        <w:rPr>
          <w:rFonts w:hint="cs"/>
          <w:rtl/>
        </w:rPr>
        <w:t>- قاله أحمد الزرقا في شرحه لقواعد المجلة-.</w:t>
      </w:r>
    </w:p>
    <w:p w:rsidR="00035BE3" w:rsidRDefault="00035BE3" w:rsidP="00C10469">
      <w:pPr>
        <w:pStyle w:val="a6"/>
        <w:ind w:left="422" w:firstLine="0"/>
        <w:rPr>
          <w:rtl/>
        </w:rPr>
      </w:pPr>
      <w:r>
        <w:rPr>
          <w:rFonts w:hint="cs"/>
          <w:rtl/>
        </w:rPr>
        <w:t>ولتوثيق ما سبق فإن المصادر المذكورة مرتبة على النحو الآتي :</w:t>
      </w:r>
    </w:p>
    <w:p w:rsidR="00035BE3" w:rsidRDefault="00035BE3" w:rsidP="00C10469">
      <w:pPr>
        <w:pStyle w:val="a6"/>
        <w:ind w:left="422" w:firstLine="0"/>
        <w:rPr>
          <w:spacing w:val="2"/>
          <w:rtl/>
        </w:rPr>
      </w:pPr>
      <w:r>
        <w:rPr>
          <w:rFonts w:hint="cs"/>
          <w:spacing w:val="2"/>
          <w:rtl/>
        </w:rPr>
        <w:t>مجلة الأحكام العدلية، مادة 166- وانظر شرحها : درر الحكام، 1/113-؛ المدخل الفقهي العام، 2/988، فقرة 596؛ القواعد الفقهية لِـ د. علي الندوي، ص413-414؛ شرح القواعد الفقهية للزرقا، ص103.</w:t>
      </w:r>
    </w:p>
    <w:p w:rsidR="00035BE3" w:rsidRDefault="00035BE3" w:rsidP="00C10469">
      <w:pPr>
        <w:pStyle w:val="a6"/>
        <w:ind w:left="422" w:firstLine="0"/>
        <w:rPr>
          <w:rtl/>
        </w:rPr>
      </w:pPr>
      <w:r>
        <w:rPr>
          <w:rFonts w:hint="cs"/>
          <w:rtl/>
        </w:rPr>
        <w:t>هذا ما يتعلق بمعنى القاعدة.</w:t>
      </w:r>
    </w:p>
    <w:p w:rsidR="00035BE3" w:rsidRDefault="00035BE3" w:rsidP="00C10469">
      <w:pPr>
        <w:pStyle w:val="a6"/>
        <w:ind w:left="422" w:firstLine="0"/>
        <w:rPr>
          <w:rtl/>
        </w:rPr>
      </w:pPr>
      <w:r>
        <w:rPr>
          <w:rFonts w:hint="cs"/>
          <w:b/>
          <w:bCs/>
          <w:rtl/>
        </w:rPr>
        <w:t>أما توثيقها</w:t>
      </w:r>
      <w:r>
        <w:rPr>
          <w:rFonts w:hint="cs"/>
          <w:rtl/>
        </w:rPr>
        <w:t xml:space="preserve"> :</w:t>
      </w:r>
    </w:p>
    <w:p w:rsidR="00035BE3" w:rsidRDefault="00035BE3" w:rsidP="00C10469">
      <w:pPr>
        <w:pStyle w:val="a6"/>
        <w:ind w:left="422" w:firstLine="0"/>
        <w:rPr>
          <w:rtl/>
        </w:rPr>
      </w:pPr>
      <w:r>
        <w:rPr>
          <w:rFonts w:hint="cs"/>
          <w:rtl/>
        </w:rPr>
        <w:t xml:space="preserve"> فقد وردت بلفظ المؤلف أو نحوه في كثير من كتب الفقه وقواعده :</w:t>
      </w:r>
    </w:p>
    <w:p w:rsidR="00035BE3" w:rsidRDefault="00035BE3" w:rsidP="00C10469">
      <w:pPr>
        <w:pStyle w:val="a6"/>
        <w:ind w:left="422" w:firstLine="0"/>
        <w:rPr>
          <w:rtl/>
        </w:rPr>
      </w:pPr>
      <w:r>
        <w:rPr>
          <w:rFonts w:hint="cs"/>
          <w:b/>
          <w:bCs/>
          <w:rtl/>
        </w:rPr>
        <w:t>فمن كتب القواعد</w:t>
      </w:r>
      <w:r>
        <w:rPr>
          <w:rFonts w:hint="cs"/>
          <w:rtl/>
        </w:rPr>
        <w:t xml:space="preserve"> :</w:t>
      </w:r>
    </w:p>
    <w:p w:rsidR="00035BE3" w:rsidRDefault="00035BE3" w:rsidP="00C10469">
      <w:pPr>
        <w:pStyle w:val="a6"/>
        <w:ind w:left="422" w:firstLine="0"/>
        <w:rPr>
          <w:rtl/>
        </w:rPr>
      </w:pPr>
      <w:r>
        <w:rPr>
          <w:rFonts w:hint="cs"/>
          <w:spacing w:val="6"/>
          <w:rtl/>
        </w:rPr>
        <w:t>م</w:t>
      </w:r>
      <w:r w:rsidRPr="005E6DB6">
        <w:rPr>
          <w:rFonts w:hint="cs"/>
          <w:rtl/>
        </w:rPr>
        <w:t xml:space="preserve">جامع الحقائق (الـخاتـمة)، ص46؛ شرح العلائي لقواعد الخادمي، ل30/ب؛ منافع </w:t>
      </w:r>
      <w:r>
        <w:rPr>
          <w:rFonts w:hint="cs"/>
          <w:spacing w:val="6"/>
          <w:rtl/>
        </w:rPr>
        <w:t xml:space="preserve">الدقائق، </w:t>
      </w:r>
      <w:r w:rsidRPr="005E6DB6">
        <w:rPr>
          <w:rFonts w:hint="cs"/>
          <w:rtl/>
        </w:rPr>
        <w:t xml:space="preserve">ص326؛ مجلة الأحكام العدلية، مادة 6؛ شرحها لسليم رسـتم، 1/21؛ ولعلي حيدر، 1/21؛ وللأتاسي، 1/23؛ وشرح قواعدها للزرقا، ص95؛ الفرائد البهية للحمزاوي، ص127، قاعدة </w:t>
      </w:r>
      <w:r w:rsidRPr="005E6DB6">
        <w:rPr>
          <w:rFonts w:hint="cs"/>
          <w:spacing w:val="2"/>
          <w:rtl/>
        </w:rPr>
        <w:t xml:space="preserve">168- وزاد عليها : </w:t>
      </w:r>
      <w:r w:rsidRPr="005E6DB6">
        <w:rPr>
          <w:rFonts w:hint="eastAsia"/>
          <w:spacing w:val="2"/>
          <w:rtl/>
        </w:rPr>
        <w:t>«</w:t>
      </w:r>
      <w:r w:rsidRPr="005E6DB6">
        <w:rPr>
          <w:rFonts w:hint="cs"/>
          <w:spacing w:val="2"/>
          <w:rtl/>
        </w:rPr>
        <w:t>... ولا يغيّر إلا بحجة</w:t>
      </w:r>
      <w:r w:rsidRPr="005E6DB6">
        <w:rPr>
          <w:rFonts w:hint="eastAsia"/>
          <w:spacing w:val="2"/>
          <w:rtl/>
        </w:rPr>
        <w:t>»</w:t>
      </w:r>
      <w:r w:rsidRPr="005E6DB6">
        <w:rPr>
          <w:rFonts w:hint="cs"/>
          <w:spacing w:val="2"/>
          <w:rtl/>
        </w:rPr>
        <w:t>-؛ قواعد الفقه للمجدّدي، ص98، قاعدة 211؛</w:t>
      </w:r>
      <w:r>
        <w:rPr>
          <w:rFonts w:hint="cs"/>
          <w:spacing w:val="6"/>
          <w:rtl/>
        </w:rPr>
        <w:t xml:space="preserve"> المدخل للزرقا، 2/988، فقرة 596؛ القواعد الفقهية لِـ د. علي الندوي، ص356، 412؛ القواعد والضوابط له أيضًا، ص150 -</w:t>
      </w:r>
      <w:r>
        <w:rPr>
          <w:rFonts w:hint="cs"/>
          <w:rtl/>
        </w:rPr>
        <w:t xml:space="preserve">وزاد عليها : </w:t>
      </w:r>
      <w:r>
        <w:rPr>
          <w:rFonts w:hint="eastAsia"/>
          <w:rtl/>
        </w:rPr>
        <w:t>«</w:t>
      </w:r>
      <w:r>
        <w:rPr>
          <w:rFonts w:hint="cs"/>
          <w:rtl/>
        </w:rPr>
        <w:t>... لظهور الـحق فيه</w:t>
      </w:r>
      <w:r>
        <w:rPr>
          <w:rFonts w:hint="eastAsia"/>
          <w:rtl/>
        </w:rPr>
        <w:t>»</w:t>
      </w:r>
      <w:r>
        <w:rPr>
          <w:rFonts w:hint="cs"/>
          <w:rtl/>
        </w:rPr>
        <w:t>-؛ الوجـيز، ص115- ولفظه كلفظ الفرائد-؛ المدخل إلى القواعد، ص80، 99؛ المبادئ الفقهية، ص11؛ القواعد الفقهية للدعّاس، ص36، قاعدة 25؛ وللدكتور محمد الزحيلي، ص62.</w:t>
      </w:r>
    </w:p>
    <w:p w:rsidR="00035BE3" w:rsidRDefault="00035BE3" w:rsidP="00C10469">
      <w:pPr>
        <w:pStyle w:val="a6"/>
        <w:spacing w:line="420" w:lineRule="exact"/>
        <w:ind w:left="422" w:firstLine="0"/>
        <w:rPr>
          <w:b/>
          <w:bCs/>
          <w:rtl/>
        </w:rPr>
      </w:pPr>
      <w:r>
        <w:rPr>
          <w:rFonts w:hint="cs"/>
          <w:b/>
          <w:bCs/>
          <w:rtl/>
        </w:rPr>
        <w:t xml:space="preserve">ومن كتب الفقه : </w:t>
      </w:r>
    </w:p>
    <w:p w:rsidR="00035BE3" w:rsidRDefault="00035BE3" w:rsidP="00C10469">
      <w:pPr>
        <w:pStyle w:val="a6"/>
        <w:spacing w:line="420" w:lineRule="exact"/>
        <w:ind w:left="422" w:firstLine="0"/>
        <w:rPr>
          <w:spacing w:val="-6"/>
          <w:rtl/>
        </w:rPr>
      </w:pPr>
      <w:r>
        <w:rPr>
          <w:rFonts w:hint="cs"/>
          <w:spacing w:val="-6"/>
          <w:rtl/>
        </w:rPr>
        <w:t>المبسوط، 23/180؛ الهداية وفتح القدير، 10/86؛ الكافي للنسفي، القسم الأخير، ص2289؛ فتاوى قاضي خان، 3/221؛ تكملة البحر الرائق، 8/245؛ الدّر المختار وحاشيته : رد المحتار، 10/20، 21.</w:t>
      </w:r>
    </w:p>
  </w:footnote>
  <w:footnote w:id="366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الكُوَى</w:t>
      </w:r>
      <w:r>
        <w:rPr>
          <w:rFonts w:hint="cs"/>
          <w:rtl/>
        </w:rPr>
        <w:t xml:space="preserve"> : جمع كَوَّة </w:t>
      </w:r>
      <w:r>
        <w:rPr>
          <w:rFonts w:hint="eastAsia"/>
          <w:rtl/>
        </w:rPr>
        <w:t>«</w:t>
      </w:r>
      <w:r>
        <w:rPr>
          <w:rFonts w:hint="cs"/>
          <w:rtl/>
        </w:rPr>
        <w:t>والكَوَّة -ويضم- والكَوُّ : الخرق في الجدار</w:t>
      </w:r>
      <w:r>
        <w:rPr>
          <w:rFonts w:hint="eastAsia"/>
          <w:rtl/>
        </w:rPr>
        <w:t>»</w:t>
      </w:r>
      <w:r>
        <w:rPr>
          <w:rFonts w:hint="cs"/>
          <w:rtl/>
        </w:rPr>
        <w:t>- قاله صاحب القاموس-.</w:t>
      </w:r>
    </w:p>
    <w:p w:rsidR="00035BE3" w:rsidRDefault="00035BE3" w:rsidP="00C10469">
      <w:pPr>
        <w:pStyle w:val="a6"/>
        <w:spacing w:line="420" w:lineRule="exact"/>
        <w:ind w:left="422" w:firstLine="0"/>
        <w:rPr>
          <w:rtl/>
        </w:rPr>
      </w:pPr>
      <w:r>
        <w:rPr>
          <w:rFonts w:hint="cs"/>
          <w:rtl/>
        </w:rPr>
        <w:t xml:space="preserve">والمراد بها هنا : الفتحات التي يلج منها الماء إلى المزارع ونحوها، </w:t>
      </w:r>
      <w:r>
        <w:rPr>
          <w:rFonts w:hint="eastAsia"/>
          <w:rtl/>
        </w:rPr>
        <w:t>«</w:t>
      </w:r>
      <w:r>
        <w:rPr>
          <w:rFonts w:hint="cs"/>
          <w:rtl/>
        </w:rPr>
        <w:t>فتكون قسمة الماء في الأصل باعتبار سعة الكوّة وضيقها</w:t>
      </w:r>
      <w:r>
        <w:rPr>
          <w:rFonts w:hint="eastAsia"/>
          <w:rtl/>
        </w:rPr>
        <w:t>»</w:t>
      </w:r>
      <w:r>
        <w:rPr>
          <w:rFonts w:hint="cs"/>
          <w:rtl/>
        </w:rPr>
        <w:t>- قاله صاحب الهداية-.</w:t>
      </w:r>
    </w:p>
    <w:p w:rsidR="00035BE3" w:rsidRDefault="00035BE3" w:rsidP="00C10469">
      <w:pPr>
        <w:pStyle w:val="a6"/>
        <w:spacing w:line="420" w:lineRule="exact"/>
        <w:ind w:left="422" w:firstLine="0"/>
        <w:rPr>
          <w:rtl/>
        </w:rPr>
      </w:pPr>
      <w:r>
        <w:rPr>
          <w:rFonts w:hint="cs"/>
          <w:rtl/>
        </w:rPr>
        <w:t xml:space="preserve">وزاد صاحب العناية الأمر إيضاحًا فقال : </w:t>
      </w:r>
      <w:r>
        <w:rPr>
          <w:rFonts w:hint="eastAsia"/>
          <w:rtl/>
        </w:rPr>
        <w:t>«</w:t>
      </w:r>
      <w:r>
        <w:rPr>
          <w:rFonts w:hint="cs"/>
          <w:rtl/>
        </w:rPr>
        <w:t>(وكذا إذا كانت القسمة بالكوى) : الكوّة : ثقب البيت، والجمع : كواء (بالمد)، وكوى (مقصور)، ويستعار لمفاتح الماء إلى المزارع والجداول، فيقال : كوى النهر. ومعناه : ليس له أن يوسع الكوّة</w:t>
      </w:r>
      <w:r>
        <w:rPr>
          <w:rFonts w:hint="eastAsia"/>
          <w:rtl/>
        </w:rPr>
        <w:t>»</w:t>
      </w:r>
      <w:r>
        <w:rPr>
          <w:rFonts w:hint="cs"/>
          <w:rtl/>
        </w:rPr>
        <w:t>.</w:t>
      </w:r>
    </w:p>
    <w:p w:rsidR="00035BE3" w:rsidRDefault="00035BE3" w:rsidP="00C10469">
      <w:pPr>
        <w:pStyle w:val="a6"/>
        <w:spacing w:line="420" w:lineRule="exact"/>
        <w:ind w:left="422" w:firstLine="0"/>
        <w:rPr>
          <w:rtl/>
        </w:rPr>
      </w:pPr>
      <w:r>
        <w:rPr>
          <w:rFonts w:hint="cs"/>
          <w:rtl/>
        </w:rPr>
        <w:t xml:space="preserve">ولتوثيق ما سبق فإن المصادر المذكورة مرتبة على النحو الآتي : القاموس المحيط، مـادة </w:t>
      </w:r>
      <w:r>
        <w:rPr>
          <w:rFonts w:hint="eastAsia"/>
          <w:rtl/>
        </w:rPr>
        <w:t>«</w:t>
      </w:r>
      <w:r>
        <w:rPr>
          <w:rFonts w:hint="cs"/>
          <w:rtl/>
        </w:rPr>
        <w:t>كوَّى</w:t>
      </w:r>
      <w:r>
        <w:rPr>
          <w:rFonts w:hint="eastAsia"/>
          <w:rtl/>
        </w:rPr>
        <w:t>»</w:t>
      </w:r>
      <w:r>
        <w:rPr>
          <w:rFonts w:hint="cs"/>
          <w:rtl/>
        </w:rPr>
        <w:t xml:space="preserve">، ص1713- وانظر المعجم الوسيط، مادة </w:t>
      </w:r>
      <w:r>
        <w:rPr>
          <w:rFonts w:hint="eastAsia"/>
          <w:rtl/>
        </w:rPr>
        <w:t>«</w:t>
      </w:r>
      <w:r>
        <w:rPr>
          <w:rFonts w:hint="cs"/>
          <w:rtl/>
        </w:rPr>
        <w:t>كوّى</w:t>
      </w:r>
      <w:r>
        <w:rPr>
          <w:rFonts w:hint="eastAsia"/>
          <w:rtl/>
        </w:rPr>
        <w:t>»</w:t>
      </w:r>
      <w:r>
        <w:rPr>
          <w:rFonts w:hint="cs"/>
          <w:rtl/>
        </w:rPr>
        <w:t>، 2/806-؛ الهداية والعناية، 10/86- وانظر تكملة البحر الرائق، 8/245-.</w:t>
      </w:r>
    </w:p>
  </w:footnote>
  <w:footnote w:id="3661">
    <w:p w:rsidR="00035BE3" w:rsidRDefault="00035BE3" w:rsidP="00C10469">
      <w:pPr>
        <w:pStyle w:val="a8"/>
        <w:bidi/>
        <w:spacing w:line="42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الهداية والعناية، 10/86؛ تكملة البحر الرائق، 8/245؛ الدّر المختار وحاشيته: رد المحتار، 10/20-21.</w:t>
      </w:r>
    </w:p>
  </w:footnote>
  <w:footnote w:id="3662">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45/ب من (ب).</w:t>
      </w:r>
    </w:p>
  </w:footnote>
  <w:footnote w:id="366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ص821 (ل64/أ)، قاعدة 161.</w:t>
      </w:r>
    </w:p>
    <w:p w:rsidR="00035BE3" w:rsidRDefault="00035BE3" w:rsidP="00C10469">
      <w:pPr>
        <w:pStyle w:val="a6"/>
        <w:spacing w:line="420" w:lineRule="exact"/>
        <w:ind w:left="422" w:firstLine="0"/>
        <w:rPr>
          <w:rtl/>
        </w:rPr>
      </w:pPr>
      <w:r>
        <w:rPr>
          <w:rFonts w:hint="cs"/>
          <w:rtl/>
        </w:rPr>
        <w:t>ووجه دخولها : هو كون الأمر القديم قد جرت العادة ببقائه على حاله القديم، فيترك على حاله، ما لم يثبت خلافه.</w:t>
      </w:r>
    </w:p>
    <w:p w:rsidR="00035BE3" w:rsidRDefault="00035BE3" w:rsidP="00C10469">
      <w:pPr>
        <w:pStyle w:val="a6"/>
        <w:spacing w:line="420" w:lineRule="exact"/>
        <w:ind w:left="422" w:firstLine="0"/>
        <w:rPr>
          <w:rtl/>
        </w:rPr>
      </w:pPr>
      <w:r>
        <w:rPr>
          <w:rFonts w:hint="cs"/>
          <w:rtl/>
        </w:rPr>
        <w:t xml:space="preserve">ويُلحظ أن لها تعلقًا بقاعدة كلية أخرى، وهي: </w:t>
      </w:r>
      <w:r>
        <w:rPr>
          <w:rFonts w:hint="eastAsia"/>
          <w:rtl/>
        </w:rPr>
        <w:t>«</w:t>
      </w:r>
      <w:r>
        <w:rPr>
          <w:rFonts w:hint="cs"/>
          <w:rtl/>
        </w:rPr>
        <w:t>اليقين لا يزول بالشك</w:t>
      </w:r>
      <w:r>
        <w:rPr>
          <w:rFonts w:hint="eastAsia"/>
          <w:rtl/>
        </w:rPr>
        <w:t>»</w:t>
      </w:r>
      <w:r>
        <w:rPr>
          <w:rFonts w:hint="cs"/>
          <w:rtl/>
        </w:rPr>
        <w:t>؛ إذْ إنَّ القديم متيقن وما سواه إذا لم تقم عليه بيّنة فهو مشكوك فيه، واليقين لا يزول بالشك.</w:t>
      </w:r>
    </w:p>
  </w:footnote>
  <w:footnote w:id="3664">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 </w:t>
      </w:r>
      <w:r>
        <w:rPr>
          <w:rFonts w:hint="eastAsia"/>
          <w:spacing w:val="8"/>
          <w:rtl/>
        </w:rPr>
        <w:t>«</w:t>
      </w:r>
      <w:r>
        <w:rPr>
          <w:rFonts w:hint="cs"/>
          <w:spacing w:val="8"/>
          <w:rtl/>
        </w:rPr>
        <w:t>تـثبت</w:t>
      </w:r>
      <w:r>
        <w:rPr>
          <w:rFonts w:hint="eastAsia"/>
          <w:spacing w:val="8"/>
          <w:rtl/>
        </w:rPr>
        <w:t>»</w:t>
      </w:r>
      <w:r>
        <w:rPr>
          <w:rFonts w:hint="cs"/>
          <w:spacing w:val="8"/>
          <w:rtl/>
        </w:rPr>
        <w:t xml:space="preserve">، وفي (د) : </w:t>
      </w:r>
      <w:r>
        <w:rPr>
          <w:rFonts w:hint="eastAsia"/>
          <w:spacing w:val="8"/>
          <w:rtl/>
        </w:rPr>
        <w:t>«</w:t>
      </w:r>
      <w:r>
        <w:rPr>
          <w:rFonts w:hint="cs"/>
          <w:spacing w:val="8"/>
          <w:rtl/>
        </w:rPr>
        <w:t>ثبت</w:t>
      </w:r>
      <w:r>
        <w:rPr>
          <w:rFonts w:hint="eastAsia"/>
          <w:spacing w:val="8"/>
          <w:rtl/>
        </w:rPr>
        <w:t>»</w:t>
      </w:r>
      <w:r>
        <w:rPr>
          <w:rFonts w:hint="cs"/>
          <w:spacing w:val="8"/>
          <w:rtl/>
        </w:rPr>
        <w:t>. والأفصح ما تمَّ إثباته من (ب)، وهو الموافق لأكثر مصادر القاعدة الآتي ذكرها.</w:t>
      </w:r>
    </w:p>
  </w:footnote>
  <w:footnote w:id="3665">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وردت هذه القاعدة بهذا اللفظ أو نحوه في كثير من كتب القواعد، وأكثرهم يذكرها عقب قاعدة أخرى </w:t>
      </w:r>
      <w:r w:rsidRPr="00275913">
        <w:rPr>
          <w:rFonts w:hint="cs"/>
          <w:spacing w:val="-4"/>
          <w:rtl/>
        </w:rPr>
        <w:t xml:space="preserve">ويجعلونها كالاستدراك عليها، وهي: </w:t>
      </w:r>
      <w:r w:rsidRPr="00275913">
        <w:rPr>
          <w:rFonts w:hint="eastAsia"/>
          <w:spacing w:val="-4"/>
          <w:rtl/>
        </w:rPr>
        <w:t>«</w:t>
      </w:r>
      <w:r w:rsidRPr="00275913">
        <w:rPr>
          <w:rFonts w:hint="cs"/>
          <w:spacing w:val="-4"/>
          <w:rtl/>
        </w:rPr>
        <w:t>يسقط الفرع إذا سقط الأصل</w:t>
      </w:r>
      <w:r w:rsidRPr="00275913">
        <w:rPr>
          <w:rFonts w:hint="eastAsia"/>
          <w:spacing w:val="-4"/>
          <w:rtl/>
        </w:rPr>
        <w:t>»</w:t>
      </w:r>
      <w:r w:rsidRPr="00275913">
        <w:rPr>
          <w:rFonts w:hint="cs"/>
          <w:spacing w:val="-4"/>
          <w:rtl/>
        </w:rPr>
        <w:t xml:space="preserve">، والمؤلف نفسُه سلك هذا </w:t>
      </w:r>
      <w:r>
        <w:rPr>
          <w:rFonts w:hint="cs"/>
          <w:spacing w:val="-2"/>
          <w:rtl/>
        </w:rPr>
        <w:t>المسلك، وذلك في باب الياء، عند حديثه عن القاعدة المذكورة، ص1176 (ل113/ب)، قاعدة 262.</w:t>
      </w:r>
    </w:p>
    <w:p w:rsidR="00035BE3" w:rsidRDefault="00035BE3" w:rsidP="00C10469">
      <w:pPr>
        <w:pStyle w:val="a6"/>
        <w:ind w:left="422" w:firstLine="0"/>
        <w:rPr>
          <w:spacing w:val="2"/>
          <w:rtl/>
        </w:rPr>
      </w:pPr>
      <w:r>
        <w:rPr>
          <w:spacing w:val="2"/>
          <w:rtl/>
        </w:rPr>
        <w:t>•</w:t>
      </w:r>
      <w:r>
        <w:rPr>
          <w:rFonts w:hint="cs"/>
          <w:spacing w:val="2"/>
          <w:rtl/>
        </w:rPr>
        <w:t xml:space="preserve"> ومن تلك الكتب التي سلكت هذا المسلك : المنثور للزركشي، 3/22- ولفظه : </w:t>
      </w:r>
      <w:r>
        <w:rPr>
          <w:rFonts w:hint="eastAsia"/>
          <w:spacing w:val="2"/>
          <w:rtl/>
        </w:rPr>
        <w:t>«</w:t>
      </w:r>
      <w:r>
        <w:rPr>
          <w:rFonts w:hint="cs"/>
          <w:spacing w:val="2"/>
          <w:rtl/>
        </w:rPr>
        <w:t>الفرع الأصل فيه أنه يسقط إذا سقط الأصل ... وقد يثبت الفرع وإن لم يثبت الأصل في صور...</w:t>
      </w:r>
      <w:r>
        <w:rPr>
          <w:rFonts w:hint="eastAsia"/>
          <w:spacing w:val="2"/>
          <w:rtl/>
        </w:rPr>
        <w:t>»</w:t>
      </w:r>
      <w:r>
        <w:rPr>
          <w:rFonts w:hint="cs"/>
          <w:spacing w:val="2"/>
          <w:rtl/>
        </w:rPr>
        <w:t xml:space="preserve">-؛ الأشباه والنظائر للسيوطي، 1/274- ولفظه : </w:t>
      </w:r>
      <w:r>
        <w:rPr>
          <w:rFonts w:hint="eastAsia"/>
          <w:spacing w:val="2"/>
          <w:rtl/>
        </w:rPr>
        <w:t>«</w:t>
      </w:r>
      <w:r>
        <w:rPr>
          <w:rFonts w:hint="cs"/>
          <w:spacing w:val="2"/>
          <w:rtl/>
        </w:rPr>
        <w:t>الفرع يسقط إذا سقط الأصل ... وقد يثبت الفرع، وإن لم يثبت الأصل</w:t>
      </w:r>
      <w:r>
        <w:rPr>
          <w:rFonts w:hint="eastAsia"/>
          <w:spacing w:val="2"/>
          <w:rtl/>
        </w:rPr>
        <w:t>»</w:t>
      </w:r>
      <w:r>
        <w:rPr>
          <w:rFonts w:hint="cs"/>
          <w:spacing w:val="2"/>
          <w:rtl/>
        </w:rPr>
        <w:t xml:space="preserve">-؛ ولابن نجيم، ص147 </w:t>
      </w:r>
      <w:r>
        <w:rPr>
          <w:spacing w:val="2"/>
          <w:rtl/>
        </w:rPr>
        <w:t>–</w:t>
      </w:r>
      <w:r>
        <w:rPr>
          <w:rFonts w:hint="cs"/>
          <w:spacing w:val="2"/>
          <w:rtl/>
        </w:rPr>
        <w:t>ولفظه قريب من لفظ السيوطي-؛ غمز عيون البصائر، 1/364؛ الفرائد البهية وشرحاها : الأقمار المضيئة، ص164؛ والمواهب السنية وحاشيتها : الفوائد الجنية، 2/112- ولفظ الفرائد :</w:t>
      </w:r>
    </w:p>
    <w:p w:rsidR="00035BE3" w:rsidRDefault="00035BE3" w:rsidP="00C10469">
      <w:pPr>
        <w:pStyle w:val="a6"/>
        <w:ind w:left="422" w:hanging="454"/>
        <w:jc w:val="center"/>
        <w:rPr>
          <w:b/>
          <w:bCs/>
          <w:spacing w:val="-4"/>
          <w:rtl/>
        </w:rPr>
      </w:pPr>
      <w:r>
        <w:rPr>
          <w:rFonts w:hint="cs"/>
          <w:b/>
          <w:bCs/>
          <w:spacing w:val="-4"/>
          <w:rtl/>
        </w:rPr>
        <w:t>والفرع فيمـا قَـعّدوه يسـقـط       إن يسـقط الأصـل كـما قـد ضـبطوا</w:t>
      </w:r>
    </w:p>
    <w:p w:rsidR="00035BE3" w:rsidRDefault="00035BE3" w:rsidP="00C10469">
      <w:pPr>
        <w:pStyle w:val="a6"/>
        <w:ind w:left="422" w:hanging="454"/>
        <w:jc w:val="center"/>
        <w:rPr>
          <w:b/>
          <w:bCs/>
          <w:spacing w:val="-4"/>
          <w:rtl/>
        </w:rPr>
      </w:pPr>
      <w:r>
        <w:rPr>
          <w:rFonts w:hint="cs"/>
          <w:b/>
          <w:bCs/>
          <w:spacing w:val="-4"/>
          <w:rtl/>
        </w:rPr>
        <w:t>وربما يـثـبت حـكم الـفـرع        والأصل غـير ثابـت فـي الـشـرع-؛</w:t>
      </w:r>
    </w:p>
    <w:p w:rsidR="00035BE3" w:rsidRDefault="00035BE3" w:rsidP="00C10469">
      <w:pPr>
        <w:pStyle w:val="a6"/>
        <w:ind w:left="422" w:firstLine="0"/>
        <w:rPr>
          <w:spacing w:val="-4"/>
          <w:rtl/>
        </w:rPr>
      </w:pPr>
      <w:r>
        <w:rPr>
          <w:rFonts w:hint="cs"/>
          <w:spacing w:val="-4"/>
          <w:rtl/>
        </w:rPr>
        <w:t>القواعد الفقهية لِـ د. علي الندوي، ص391.</w:t>
      </w:r>
    </w:p>
    <w:p w:rsidR="00035BE3" w:rsidRDefault="00035BE3" w:rsidP="00C10469">
      <w:pPr>
        <w:pStyle w:val="a6"/>
        <w:ind w:left="422" w:firstLine="0"/>
        <w:rPr>
          <w:spacing w:val="-4"/>
          <w:rtl/>
        </w:rPr>
      </w:pPr>
      <w:r>
        <w:rPr>
          <w:spacing w:val="-4"/>
          <w:rtl/>
        </w:rPr>
        <w:t>•</w:t>
      </w:r>
      <w:r>
        <w:rPr>
          <w:rFonts w:hint="cs"/>
          <w:spacing w:val="-4"/>
          <w:rtl/>
        </w:rPr>
        <w:t xml:space="preserve"> وهناك كتب دمجت بين القاعدتين، وجعلتهما قاعدة واحدة مختلف فيها، منها : المنهج المنتخب وشرحه للمنجور، ص451- ولفظ المنهج :</w:t>
      </w:r>
    </w:p>
    <w:p w:rsidR="00035BE3" w:rsidRDefault="00035BE3" w:rsidP="00C10469">
      <w:pPr>
        <w:pStyle w:val="a6"/>
        <w:ind w:left="422" w:hanging="454"/>
        <w:jc w:val="center"/>
        <w:rPr>
          <w:b/>
          <w:bCs/>
          <w:spacing w:val="-4"/>
          <w:rtl/>
        </w:rPr>
      </w:pPr>
      <w:r>
        <w:rPr>
          <w:rFonts w:hint="cs"/>
          <w:b/>
          <w:bCs/>
          <w:spacing w:val="-4"/>
          <w:rtl/>
        </w:rPr>
        <w:t>....................................                هل ينتـفي الـفرع إن الأصل ذهب؟-؛</w:t>
      </w:r>
    </w:p>
    <w:p w:rsidR="00035BE3" w:rsidRDefault="00035BE3" w:rsidP="00C10469">
      <w:pPr>
        <w:pStyle w:val="a6"/>
        <w:ind w:left="422" w:firstLine="0"/>
        <w:rPr>
          <w:spacing w:val="-4"/>
          <w:rtl/>
        </w:rPr>
      </w:pPr>
      <w:r>
        <w:rPr>
          <w:rFonts w:hint="cs"/>
          <w:spacing w:val="-4"/>
          <w:rtl/>
        </w:rPr>
        <w:t>المجاز الواضح وشرحه  : الدليل الماهر، ص173 - ولفظه المجاز :</w:t>
      </w:r>
    </w:p>
    <w:p w:rsidR="00035BE3" w:rsidRDefault="00035BE3" w:rsidP="00C10469">
      <w:pPr>
        <w:pStyle w:val="a6"/>
        <w:ind w:left="422" w:hanging="454"/>
        <w:jc w:val="center"/>
        <w:rPr>
          <w:b/>
          <w:bCs/>
          <w:spacing w:val="-4"/>
          <w:rtl/>
        </w:rPr>
      </w:pPr>
      <w:r>
        <w:rPr>
          <w:rFonts w:hint="cs"/>
          <w:b/>
          <w:bCs/>
          <w:spacing w:val="-4"/>
          <w:rtl/>
        </w:rPr>
        <w:t>ويـنـتـفي الـفرع إن الأصل انتفى             وقيل لا وذاك أولـى بـاقــتـفـا-؛</w:t>
      </w:r>
    </w:p>
    <w:p w:rsidR="00035BE3" w:rsidRDefault="00035BE3" w:rsidP="00C10469">
      <w:pPr>
        <w:pStyle w:val="a6"/>
        <w:ind w:left="-32" w:firstLine="454"/>
        <w:rPr>
          <w:spacing w:val="-16"/>
          <w:rtl/>
        </w:rPr>
      </w:pPr>
      <w:r>
        <w:rPr>
          <w:spacing w:val="-16"/>
          <w:rtl/>
        </w:rPr>
        <w:t>•</w:t>
      </w:r>
      <w:r>
        <w:rPr>
          <w:rFonts w:hint="cs"/>
          <w:spacing w:val="-16"/>
          <w:rtl/>
        </w:rPr>
        <w:t xml:space="preserve"> وهناك كتب تكلَّمت عن كل قاعدة استقلالاً أو عن إحداهما، فممّا وردت فيه قاعدة : </w:t>
      </w:r>
      <w:r>
        <w:rPr>
          <w:rFonts w:hint="eastAsia"/>
          <w:spacing w:val="-16"/>
          <w:rtl/>
        </w:rPr>
        <w:t>«</w:t>
      </w:r>
      <w:r>
        <w:rPr>
          <w:rFonts w:hint="cs"/>
          <w:spacing w:val="-16"/>
          <w:rtl/>
        </w:rPr>
        <w:t>قد يثبت الفرع ...</w:t>
      </w:r>
      <w:r>
        <w:rPr>
          <w:rFonts w:hint="eastAsia"/>
          <w:spacing w:val="-16"/>
          <w:rtl/>
        </w:rPr>
        <w:t>»</w:t>
      </w:r>
      <w:r>
        <w:rPr>
          <w:rFonts w:hint="cs"/>
          <w:spacing w:val="-16"/>
          <w:rtl/>
        </w:rPr>
        <w:t>:</w:t>
      </w:r>
    </w:p>
    <w:p w:rsidR="00035BE3" w:rsidRDefault="00035BE3" w:rsidP="00C10469">
      <w:pPr>
        <w:pStyle w:val="a6"/>
        <w:ind w:left="422" w:firstLine="0"/>
        <w:rPr>
          <w:rtl/>
        </w:rPr>
      </w:pPr>
      <w:r w:rsidRPr="00906193">
        <w:rPr>
          <w:rFonts w:hint="cs"/>
          <w:rtl/>
        </w:rPr>
        <w:t xml:space="preserve">مجامع الحقائق (الخاتمة)، ص46؛ شرح العلائي لقواعد الخادمي، ل31/أ؛ منافع الدقائق، ص326؛ مجلة الأحكام العدلية، مادة 81؛ وشرحها لسليم رستم، 1/53؛ ولعلي حيدر، 1/71؛ وللأتاسي، 1/231؛ وشرح قواعدها للزرقا، ص411- ولفظ المجلة : </w:t>
      </w:r>
      <w:r w:rsidRPr="00906193">
        <w:rPr>
          <w:rFonts w:hint="eastAsia"/>
          <w:rtl/>
        </w:rPr>
        <w:t>«</w:t>
      </w:r>
      <w:r w:rsidRPr="00906193">
        <w:rPr>
          <w:rFonts w:hint="cs"/>
          <w:rtl/>
        </w:rPr>
        <w:t xml:space="preserve">قد يثبت الفرع مع عدم ثبوت </w:t>
      </w:r>
      <w:r w:rsidRPr="00B40FD9">
        <w:rPr>
          <w:rFonts w:hint="cs"/>
          <w:spacing w:val="2"/>
          <w:rtl/>
        </w:rPr>
        <w:t>الأصل</w:t>
      </w:r>
      <w:r w:rsidRPr="00B40FD9">
        <w:rPr>
          <w:rFonts w:hint="eastAsia"/>
          <w:spacing w:val="2"/>
          <w:rtl/>
        </w:rPr>
        <w:t>»</w:t>
      </w:r>
      <w:r w:rsidRPr="00B40FD9">
        <w:rPr>
          <w:rFonts w:hint="cs"/>
          <w:spacing w:val="2"/>
          <w:rtl/>
        </w:rPr>
        <w:t>-؛ قواعد الفقه للمجدّدي، ص210، قاعدة 210، وص143، قاعدة 419- ولفظه الأول</w:t>
      </w:r>
      <w:r w:rsidRPr="00906193">
        <w:rPr>
          <w:rFonts w:hint="cs"/>
          <w:rtl/>
        </w:rPr>
        <w:t xml:space="preserve"> كلفظ المجلة-؛ المدخل الفقهي العام، 2/1021، فقرة 639؛ الوجيز، ص283؛</w:t>
      </w:r>
      <w:r>
        <w:rPr>
          <w:rFonts w:hint="cs"/>
          <w:spacing w:val="-4"/>
          <w:rtl/>
        </w:rPr>
        <w:t xml:space="preserve"> </w:t>
      </w:r>
      <w:r>
        <w:rPr>
          <w:spacing w:val="-4"/>
          <w:rtl/>
        </w:rPr>
        <w:br/>
      </w:r>
      <w:r>
        <w:rPr>
          <w:rFonts w:hint="cs"/>
          <w:spacing w:val="-4"/>
          <w:rtl/>
        </w:rPr>
        <w:t>المدخل إلى القواعد الفقهية، ص134؛ الـمبادئ الفقهيـة، ص47؛ القواعد الفقهية للدعّاس، ص86، قاعدة 68؛ ولِـ د. محمد الزحيلي، ص82.</w:t>
      </w:r>
    </w:p>
  </w:footnote>
  <w:footnote w:id="3666">
    <w:p w:rsidR="00035BE3" w:rsidRDefault="00035BE3" w:rsidP="00C10469">
      <w:pPr>
        <w:pStyle w:val="a8"/>
        <w:bidi/>
        <w:spacing w:line="43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يظهر -والله أعلم- أنه ليس المراد من كلمتي (أصول الفقه) علم أصول الفقه المعروف، وإنما المراد : مطلق ما يصحّ أن يكون أصلاً للفقه، فيشمل ذلك القواعد الأصولية والفقهية وغيرهما.</w:t>
      </w:r>
    </w:p>
    <w:p w:rsidR="00035BE3" w:rsidRDefault="00035BE3" w:rsidP="00C10469">
      <w:pPr>
        <w:pStyle w:val="a6"/>
        <w:spacing w:line="430" w:lineRule="exact"/>
        <w:ind w:left="422" w:firstLine="0"/>
        <w:rPr>
          <w:rtl/>
        </w:rPr>
      </w:pPr>
      <w:r>
        <w:rPr>
          <w:rFonts w:hint="cs"/>
          <w:rtl/>
        </w:rPr>
        <w:t>ويدل على ذلك أمور :</w:t>
      </w:r>
    </w:p>
    <w:p w:rsidR="00035BE3" w:rsidRDefault="00035BE3" w:rsidP="00C10469">
      <w:pPr>
        <w:pStyle w:val="a6"/>
        <w:spacing w:line="430" w:lineRule="exact"/>
        <w:ind w:left="422" w:firstLine="0"/>
        <w:rPr>
          <w:rtl/>
        </w:rPr>
      </w:pPr>
      <w:r>
        <w:rPr>
          <w:rFonts w:hint="cs"/>
          <w:b/>
          <w:bCs/>
          <w:rtl/>
        </w:rPr>
        <w:t>1</w:t>
      </w:r>
      <w:r>
        <w:rPr>
          <w:rFonts w:hint="cs"/>
          <w:rtl/>
        </w:rPr>
        <w:t>- أنَّ تسمية القواعد أصولاً هو السمة الغالبة على هذا الكتاب، ومن أقرب الأمثلة لذلك :</w:t>
      </w:r>
    </w:p>
    <w:p w:rsidR="00035BE3" w:rsidRDefault="00035BE3" w:rsidP="00C10469">
      <w:pPr>
        <w:pStyle w:val="a6"/>
        <w:spacing w:line="430" w:lineRule="exact"/>
        <w:ind w:left="422" w:firstLine="0"/>
        <w:rPr>
          <w:rtl/>
        </w:rPr>
      </w:pPr>
      <w:r>
        <w:rPr>
          <w:rFonts w:hint="cs"/>
          <w:rtl/>
        </w:rPr>
        <w:t xml:space="preserve">- أنه في أثناء شرحه لهذه القاعدة </w:t>
      </w:r>
      <w:r>
        <w:rPr>
          <w:rtl/>
        </w:rPr>
        <w:t>–</w:t>
      </w:r>
      <w:r>
        <w:rPr>
          <w:rFonts w:hint="cs"/>
          <w:rtl/>
        </w:rPr>
        <w:t xml:space="preserve"> ص887 (ل71/ب)- قال : </w:t>
      </w:r>
      <w:r>
        <w:rPr>
          <w:rFonts w:hint="eastAsia"/>
          <w:rtl/>
        </w:rPr>
        <w:t>«</w:t>
      </w:r>
      <w:r>
        <w:rPr>
          <w:rFonts w:hint="cs"/>
          <w:rtl/>
        </w:rPr>
        <w:t xml:space="preserve">بل هذه المسائل ممّا تخلفت من </w:t>
      </w:r>
      <w:r>
        <w:rPr>
          <w:rFonts w:hint="cs"/>
          <w:b/>
          <w:bCs/>
          <w:rtl/>
        </w:rPr>
        <w:t>الأصل</w:t>
      </w:r>
      <w:r>
        <w:rPr>
          <w:rFonts w:hint="cs"/>
          <w:rtl/>
        </w:rPr>
        <w:t xml:space="preserve"> الذي ذكرناه في باب الشين وهو ...</w:t>
      </w:r>
      <w:r>
        <w:rPr>
          <w:rFonts w:hint="eastAsia"/>
          <w:rtl/>
        </w:rPr>
        <w:t>»</w:t>
      </w:r>
      <w:r>
        <w:rPr>
          <w:rFonts w:hint="cs"/>
          <w:rtl/>
        </w:rPr>
        <w:t>.</w:t>
      </w:r>
    </w:p>
    <w:p w:rsidR="00035BE3" w:rsidRDefault="00035BE3" w:rsidP="00C10469">
      <w:pPr>
        <w:pStyle w:val="a6"/>
        <w:spacing w:line="430" w:lineRule="exact"/>
        <w:ind w:left="422" w:firstLine="0"/>
        <w:rPr>
          <w:spacing w:val="-4"/>
          <w:rtl/>
        </w:rPr>
      </w:pPr>
      <w:r>
        <w:rPr>
          <w:rFonts w:hint="cs"/>
          <w:spacing w:val="-4"/>
          <w:rtl/>
        </w:rPr>
        <w:t xml:space="preserve">- كما أنه عقب القاعدة السابقة </w:t>
      </w:r>
      <w:r>
        <w:rPr>
          <w:spacing w:val="-4"/>
          <w:rtl/>
        </w:rPr>
        <w:t>–</w:t>
      </w:r>
      <w:r>
        <w:rPr>
          <w:rFonts w:hint="cs"/>
          <w:spacing w:val="-4"/>
          <w:rtl/>
        </w:rPr>
        <w:t xml:space="preserve"> ص884 (ل71/أ)- قال : </w:t>
      </w:r>
      <w:r>
        <w:rPr>
          <w:rFonts w:hint="eastAsia"/>
          <w:spacing w:val="-4"/>
          <w:rtl/>
        </w:rPr>
        <w:t>«</w:t>
      </w:r>
      <w:r>
        <w:rPr>
          <w:rFonts w:hint="cs"/>
          <w:spacing w:val="-4"/>
          <w:rtl/>
        </w:rPr>
        <w:t xml:space="preserve">... فروع هذا </w:t>
      </w:r>
      <w:r>
        <w:rPr>
          <w:rFonts w:hint="cs"/>
          <w:b/>
          <w:bCs/>
          <w:spacing w:val="-4"/>
          <w:rtl/>
        </w:rPr>
        <w:t>الأصل</w:t>
      </w:r>
      <w:r>
        <w:rPr>
          <w:rFonts w:hint="cs"/>
          <w:spacing w:val="-4"/>
          <w:rtl/>
        </w:rPr>
        <w:t xml:space="preserve"> كثيرة ...</w:t>
      </w:r>
      <w:r>
        <w:rPr>
          <w:rFonts w:hint="eastAsia"/>
          <w:spacing w:val="-4"/>
          <w:rtl/>
        </w:rPr>
        <w:t>»</w:t>
      </w:r>
      <w:r>
        <w:rPr>
          <w:rFonts w:hint="cs"/>
          <w:spacing w:val="-4"/>
          <w:rtl/>
        </w:rPr>
        <w:t>.</w:t>
      </w:r>
    </w:p>
    <w:p w:rsidR="00035BE3" w:rsidRDefault="00035BE3" w:rsidP="00C10469">
      <w:pPr>
        <w:pStyle w:val="a6"/>
        <w:spacing w:line="430" w:lineRule="exact"/>
        <w:ind w:left="422" w:firstLine="0"/>
        <w:rPr>
          <w:rtl/>
        </w:rPr>
      </w:pPr>
      <w:r>
        <w:rPr>
          <w:rFonts w:hint="cs"/>
          <w:b/>
          <w:bCs/>
          <w:rtl/>
        </w:rPr>
        <w:t>2</w:t>
      </w:r>
      <w:r>
        <w:rPr>
          <w:rFonts w:hint="cs"/>
          <w:rtl/>
        </w:rPr>
        <w:t xml:space="preserve">- أنَّ من المرجّح كون المراد من (البعض) - في قوله : </w:t>
      </w:r>
      <w:r>
        <w:rPr>
          <w:rFonts w:hint="eastAsia"/>
          <w:rtl/>
        </w:rPr>
        <w:t>«</w:t>
      </w:r>
      <w:r>
        <w:rPr>
          <w:rFonts w:hint="cs"/>
          <w:rtl/>
        </w:rPr>
        <w:t>اعتبر البعض هذا الكلام من أصول الفقه</w:t>
      </w:r>
      <w:r>
        <w:rPr>
          <w:rFonts w:hint="eastAsia"/>
          <w:rtl/>
        </w:rPr>
        <w:t>»</w:t>
      </w:r>
      <w:r>
        <w:rPr>
          <w:rFonts w:hint="cs"/>
          <w:rtl/>
        </w:rPr>
        <w:t>- هو ابن نجيم في أشباهه؛ لكون أشباهه من مصادر المؤلف الرئيسة؛ ولأن المسائل التي سيذكرها المؤلف مذكورة في الأشباه بحروفها.</w:t>
      </w:r>
    </w:p>
    <w:p w:rsidR="00035BE3" w:rsidRDefault="00035BE3" w:rsidP="00C10469">
      <w:pPr>
        <w:pStyle w:val="a6"/>
        <w:spacing w:line="430" w:lineRule="exact"/>
        <w:ind w:left="422" w:firstLine="0"/>
        <w:rPr>
          <w:rtl/>
        </w:rPr>
      </w:pPr>
      <w:r>
        <w:rPr>
          <w:rFonts w:hint="cs"/>
          <w:rtl/>
        </w:rPr>
        <w:t xml:space="preserve">وابن نجيم إنما ذكرها على أنها قاعدة فقهية؛ إذْ ذكرها ضمن النوع الثاني من قواعد فنّه الأول- وهو ما عبّر عنه بقوله : </w:t>
      </w:r>
      <w:r>
        <w:rPr>
          <w:rFonts w:hint="eastAsia"/>
          <w:rtl/>
        </w:rPr>
        <w:t>«</w:t>
      </w:r>
      <w:r>
        <w:rPr>
          <w:rFonts w:hint="cs"/>
          <w:rtl/>
        </w:rPr>
        <w:t>الفن الأول : القواعد الكلية</w:t>
      </w:r>
      <w:r>
        <w:rPr>
          <w:rFonts w:hint="eastAsia"/>
          <w:rtl/>
        </w:rPr>
        <w:t>»</w:t>
      </w:r>
      <w:r>
        <w:rPr>
          <w:rFonts w:hint="cs"/>
          <w:rtl/>
        </w:rPr>
        <w:t xml:space="preserve"> -ص29-.</w:t>
      </w:r>
    </w:p>
    <w:p w:rsidR="00035BE3" w:rsidRDefault="00035BE3" w:rsidP="00C10469">
      <w:pPr>
        <w:pStyle w:val="a6"/>
        <w:spacing w:line="430" w:lineRule="exact"/>
        <w:ind w:left="422" w:firstLine="0"/>
        <w:rPr>
          <w:rtl/>
        </w:rPr>
      </w:pPr>
      <w:r>
        <w:rPr>
          <w:rFonts w:hint="cs"/>
          <w:b/>
          <w:bCs/>
          <w:rtl/>
        </w:rPr>
        <w:t>3</w:t>
      </w:r>
      <w:r>
        <w:rPr>
          <w:rFonts w:hint="cs"/>
          <w:rtl/>
        </w:rPr>
        <w:t xml:space="preserve">- ومن أقوى الأدلة على ذلك : أن ابن نجيم نفسه وصف ما اصطُلح على تسميته بالقواعد بأنها: </w:t>
      </w:r>
      <w:r>
        <w:rPr>
          <w:rFonts w:hint="eastAsia"/>
          <w:rtl/>
        </w:rPr>
        <w:t>«</w:t>
      </w:r>
      <w:r>
        <w:rPr>
          <w:rFonts w:hint="cs"/>
          <w:rtl/>
        </w:rPr>
        <w:t>هي أصول الفقه في الحقيقة</w:t>
      </w:r>
      <w:r>
        <w:rPr>
          <w:rFonts w:hint="eastAsia"/>
          <w:rtl/>
        </w:rPr>
        <w:t>»</w:t>
      </w:r>
      <w:r>
        <w:rPr>
          <w:rFonts w:hint="cs"/>
          <w:rtl/>
        </w:rPr>
        <w:t>- وذلك ص14 من أشباهه.</w:t>
      </w:r>
    </w:p>
    <w:p w:rsidR="00035BE3" w:rsidRDefault="00035BE3" w:rsidP="00C10469">
      <w:pPr>
        <w:pStyle w:val="a6"/>
        <w:spacing w:line="430" w:lineRule="exact"/>
        <w:ind w:left="422" w:firstLine="0"/>
        <w:rPr>
          <w:spacing w:val="-4"/>
          <w:rtl/>
        </w:rPr>
      </w:pPr>
      <w:r>
        <w:rPr>
          <w:rFonts w:hint="cs"/>
          <w:spacing w:val="-4"/>
          <w:rtl/>
        </w:rPr>
        <w:t>أي : أن الشأن في القواعد الفقهية أن تكون هي الأصول التي يُبْنى عليها الفقه، وتتفرع منها أحكامه.</w:t>
      </w:r>
    </w:p>
    <w:p w:rsidR="00035BE3" w:rsidRDefault="00035BE3" w:rsidP="00C10469">
      <w:pPr>
        <w:pStyle w:val="a6"/>
        <w:spacing w:line="430" w:lineRule="exact"/>
        <w:ind w:left="422" w:firstLine="0"/>
        <w:rPr>
          <w:spacing w:val="-4"/>
          <w:rtl/>
        </w:rPr>
      </w:pPr>
      <w:r>
        <w:rPr>
          <w:rFonts w:hint="cs"/>
          <w:spacing w:val="-4"/>
          <w:rtl/>
        </w:rPr>
        <w:t>بخلاف القواعد الأصولية فإنها لا تتفرع منها الأحكام مباشرة ؛ بل لابّد من واسطة، وهي الدليل.</w:t>
      </w:r>
    </w:p>
    <w:p w:rsidR="00035BE3" w:rsidRDefault="00035BE3" w:rsidP="00C10469">
      <w:pPr>
        <w:pStyle w:val="a6"/>
        <w:spacing w:line="430" w:lineRule="exact"/>
        <w:ind w:left="422" w:firstLine="0"/>
        <w:rPr>
          <w:spacing w:val="-4"/>
          <w:rtl/>
        </w:rPr>
      </w:pPr>
      <w:r>
        <w:rPr>
          <w:rFonts w:hint="cs"/>
          <w:spacing w:val="-4"/>
          <w:rtl/>
        </w:rPr>
        <w:t>فيكون ابن نجيم قد عدّ هذه القاعدة من أصول الفقه بهذا المعنى، لا أنها من علم أصول الفقه.</w:t>
      </w:r>
    </w:p>
    <w:p w:rsidR="00035BE3" w:rsidRDefault="00035BE3" w:rsidP="00C10469">
      <w:pPr>
        <w:pStyle w:val="a6"/>
        <w:spacing w:line="430" w:lineRule="exact"/>
        <w:ind w:left="422" w:firstLine="0"/>
        <w:rPr>
          <w:rtl/>
        </w:rPr>
      </w:pPr>
      <w:r>
        <w:rPr>
          <w:rFonts w:hint="cs"/>
          <w:b/>
          <w:bCs/>
          <w:rtl/>
        </w:rPr>
        <w:t>4</w:t>
      </w:r>
      <w:r>
        <w:rPr>
          <w:rFonts w:hint="cs"/>
          <w:rtl/>
        </w:rPr>
        <w:t>- يضاف إلى ما سبق : أن الفروع التي مُثِّل بها للقاعدة استُنتجت منها مباشرة، دون الحاجة إلى الواسطة وهي الدليل. وهذا شأن القواعد الفقهية لا الأصولية.</w:t>
      </w:r>
    </w:p>
  </w:footnote>
  <w:footnote w:id="36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وتفرعوا</w:t>
      </w:r>
      <w:r>
        <w:rPr>
          <w:rFonts w:hint="eastAsia"/>
          <w:rtl/>
        </w:rPr>
        <w:t>»</w:t>
      </w:r>
      <w:r>
        <w:rPr>
          <w:rFonts w:hint="cs"/>
          <w:rtl/>
        </w:rPr>
        <w:t>. والصحيح ما تمَّ إثباته من (ب).</w:t>
      </w:r>
    </w:p>
  </w:footnote>
  <w:footnote w:id="36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عمر</w:t>
      </w:r>
      <w:r>
        <w:rPr>
          <w:rFonts w:hint="eastAsia"/>
          <w:rtl/>
        </w:rPr>
        <w:t>»</w:t>
      </w:r>
      <w:r>
        <w:rPr>
          <w:rFonts w:hint="cs"/>
          <w:rtl/>
        </w:rPr>
        <w:t xml:space="preserve"> (بإسقاط الواو).</w:t>
      </w:r>
    </w:p>
  </w:footnote>
  <w:footnote w:id="36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الأصل</w:t>
      </w:r>
      <w:r>
        <w:rPr>
          <w:rFonts w:hint="eastAsia"/>
          <w:rtl/>
        </w:rPr>
        <w:t>»</w:t>
      </w:r>
      <w:r>
        <w:rPr>
          <w:rFonts w:hint="cs"/>
          <w:rtl/>
        </w:rPr>
        <w:t xml:space="preserve">. وقد زاد ابن نجيم عقب ذلك : </w:t>
      </w:r>
      <w:r>
        <w:rPr>
          <w:rFonts w:hint="eastAsia"/>
          <w:rtl/>
        </w:rPr>
        <w:t>«</w:t>
      </w:r>
      <w:r>
        <w:rPr>
          <w:rFonts w:hint="cs"/>
          <w:rtl/>
        </w:rPr>
        <w:t>كما في (الخانية)</w:t>
      </w:r>
      <w:r>
        <w:rPr>
          <w:rFonts w:hint="eastAsia"/>
          <w:rtl/>
        </w:rPr>
        <w:t>»</w:t>
      </w:r>
      <w:r>
        <w:rPr>
          <w:rFonts w:hint="cs"/>
          <w:rtl/>
        </w:rPr>
        <w:t>.</w:t>
      </w:r>
    </w:p>
  </w:footnote>
  <w:footnote w:id="367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53/ب من (جـ).</w:t>
      </w:r>
    </w:p>
  </w:footnote>
  <w:footnote w:id="367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71/أ من (أ).</w:t>
      </w:r>
    </w:p>
  </w:footnote>
  <w:footnote w:id="367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 xml:space="preserve"> ذكرهـ</w:t>
      </w:r>
      <w:r>
        <w:rPr>
          <w:rFonts w:hint="eastAsia"/>
          <w:spacing w:val="-8"/>
          <w:rtl/>
        </w:rPr>
        <w:t>»</w:t>
      </w:r>
      <w:r>
        <w:rPr>
          <w:rFonts w:hint="cs"/>
          <w:spacing w:val="-8"/>
          <w:rtl/>
        </w:rPr>
        <w:t>.</w:t>
      </w:r>
    </w:p>
  </w:footnote>
  <w:footnote w:id="367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ص148- مع الزيادة اليسيرة المذكورة-؛ وانظر: المنثور، 3/22؛ الأشباه والنظائر للسيوطي، 1/275.</w:t>
      </w:r>
    </w:p>
    <w:p w:rsidR="00035BE3" w:rsidRDefault="00035BE3" w:rsidP="00C10469">
      <w:pPr>
        <w:pStyle w:val="a6"/>
        <w:spacing w:line="500" w:lineRule="exact"/>
        <w:ind w:left="422" w:firstLine="0"/>
        <w:rPr>
          <w:rtl/>
        </w:rPr>
      </w:pPr>
      <w:r>
        <w:rPr>
          <w:rFonts w:hint="cs"/>
          <w:rtl/>
        </w:rPr>
        <w:t>وسوف يكرّر المؤلف هذه المسائل وما تفرعت منه، ص1177 (ل13/أ-ب).</w:t>
      </w:r>
    </w:p>
  </w:footnote>
  <w:footnote w:id="3674">
    <w:p w:rsidR="00035BE3" w:rsidRDefault="00035BE3" w:rsidP="00C10469">
      <w:pPr>
        <w:pStyle w:val="a8"/>
        <w:bidi/>
        <w:spacing w:line="500" w:lineRule="exact"/>
        <w:ind w:left="422" w:right="0"/>
        <w:rPr>
          <w:spacing w:val="-8"/>
          <w:rtl/>
        </w:rPr>
      </w:pPr>
      <w:r>
        <w:rPr>
          <w:rFonts w:hint="cs"/>
          <w:vertAlign w:val="superscript"/>
          <w:rtl/>
        </w:rPr>
        <w:t>(</w:t>
      </w:r>
      <w:r>
        <w:rPr>
          <w:rStyle w:val="a7"/>
        </w:rPr>
        <w:footnoteRef/>
      </w:r>
      <w:r>
        <w:rPr>
          <w:rFonts w:hint="cs"/>
          <w:vertAlign w:val="superscript"/>
          <w:rtl/>
        </w:rPr>
        <w:t>)</w:t>
      </w:r>
      <w:r>
        <w:rPr>
          <w:rFonts w:hint="cs"/>
          <w:rtl/>
        </w:rPr>
        <w:t xml:space="preserve">   </w:t>
      </w:r>
      <w:r w:rsidRPr="004E5C9A">
        <w:rPr>
          <w:rFonts w:hint="cs"/>
          <w:spacing w:val="-2"/>
          <w:rtl/>
        </w:rPr>
        <w:t>لعلّ المؤلف انطلق في هذا الحكم ممّا قرّره في بداية كتابه وأكّد عليه مرارًا من أن القواعد الفقهية</w:t>
      </w:r>
      <w:r>
        <w:rPr>
          <w:rFonts w:hint="cs"/>
          <w:rtl/>
        </w:rPr>
        <w:t xml:space="preserve"> تصلح أن تكون أدلة للأحكام، ولا تكون أدلة إلاَّ إذا كانت مطردة. وقاعدة : </w:t>
      </w:r>
      <w:r>
        <w:rPr>
          <w:rFonts w:hint="eastAsia"/>
          <w:spacing w:val="-8"/>
          <w:rtl/>
        </w:rPr>
        <w:t>«</w:t>
      </w:r>
      <w:r>
        <w:rPr>
          <w:rFonts w:hint="cs"/>
          <w:spacing w:val="-8"/>
          <w:rtl/>
        </w:rPr>
        <w:t>قد يثبت الفرع وإن لم يثبت الأصل</w:t>
      </w:r>
      <w:r>
        <w:rPr>
          <w:rFonts w:hint="eastAsia"/>
          <w:spacing w:val="-8"/>
          <w:rtl/>
        </w:rPr>
        <w:t>»</w:t>
      </w:r>
      <w:r>
        <w:rPr>
          <w:rFonts w:hint="cs"/>
          <w:spacing w:val="-8"/>
          <w:rtl/>
        </w:rPr>
        <w:t xml:space="preserve"> غير مطردة؛ لهذا لا تعدّ من القواعد والأصول.</w:t>
      </w:r>
    </w:p>
    <w:p w:rsidR="00035BE3" w:rsidRDefault="00035BE3" w:rsidP="00C10469">
      <w:pPr>
        <w:pStyle w:val="a6"/>
        <w:spacing w:line="500" w:lineRule="exact"/>
        <w:ind w:left="422" w:firstLine="0"/>
        <w:rPr>
          <w:rtl/>
        </w:rPr>
      </w:pPr>
      <w:r>
        <w:rPr>
          <w:rFonts w:hint="cs"/>
          <w:spacing w:val="-8"/>
          <w:rtl/>
        </w:rPr>
        <w:t>انظر منه مثلاً : ص190 (ل1/أ)، وص776 (ل60/أ).</w:t>
      </w:r>
    </w:p>
  </w:footnote>
  <w:footnote w:id="367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تصدير</w:t>
      </w:r>
      <w:r>
        <w:rPr>
          <w:rFonts w:hint="eastAsia"/>
          <w:rtl/>
        </w:rPr>
        <w:t>»</w:t>
      </w:r>
      <w:r>
        <w:rPr>
          <w:rFonts w:hint="cs"/>
          <w:rtl/>
        </w:rPr>
        <w:t>. وهذا الأولى.</w:t>
      </w:r>
    </w:p>
  </w:footnote>
  <w:footnote w:id="3676">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للتعليل </w:t>
      </w:r>
      <w:r>
        <w:rPr>
          <w:rFonts w:hint="eastAsia"/>
          <w:spacing w:val="-8"/>
          <w:rtl/>
        </w:rPr>
        <w:t>»</w:t>
      </w:r>
      <w:r>
        <w:rPr>
          <w:rFonts w:hint="cs"/>
          <w:spacing w:val="-8"/>
          <w:rtl/>
        </w:rPr>
        <w:t>.</w:t>
      </w:r>
    </w:p>
  </w:footnote>
  <w:footnote w:id="3677">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الجني الداني في حروف المعاني، ص255.</w:t>
      </w:r>
    </w:p>
  </w:footnote>
  <w:footnote w:id="3678">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spacing w:val="-8"/>
          <w:rtl/>
        </w:rPr>
        <w:t>«</w:t>
      </w:r>
      <w:r>
        <w:rPr>
          <w:rFonts w:hint="cs"/>
          <w:spacing w:val="-8"/>
          <w:rtl/>
        </w:rPr>
        <w:t>يختلف</w:t>
      </w:r>
      <w:r>
        <w:rPr>
          <w:rFonts w:hint="eastAsia"/>
          <w:spacing w:val="-8"/>
          <w:rtl/>
        </w:rPr>
        <w:t>»</w:t>
      </w:r>
      <w:r>
        <w:rPr>
          <w:rFonts w:hint="cs"/>
          <w:spacing w:val="-8"/>
          <w:rtl/>
        </w:rPr>
        <w:t xml:space="preserve">، وفي (ب) : </w:t>
      </w:r>
      <w:r>
        <w:rPr>
          <w:rFonts w:hint="eastAsia"/>
          <w:spacing w:val="-8"/>
          <w:rtl/>
        </w:rPr>
        <w:t>«</w:t>
      </w:r>
      <w:r>
        <w:rPr>
          <w:rFonts w:hint="cs"/>
          <w:spacing w:val="-8"/>
          <w:rtl/>
        </w:rPr>
        <w:t>يتخلف</w:t>
      </w:r>
      <w:r>
        <w:rPr>
          <w:rFonts w:hint="eastAsia"/>
          <w:spacing w:val="-8"/>
          <w:rtl/>
        </w:rPr>
        <w:t>»</w:t>
      </w:r>
      <w:r>
        <w:rPr>
          <w:rFonts w:hint="cs"/>
          <w:spacing w:val="-8"/>
          <w:rtl/>
        </w:rPr>
        <w:t>. والمناسب ما تمَّ إثباته من (د).</w:t>
      </w:r>
    </w:p>
  </w:footnote>
  <w:footnote w:id="367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ص778 (ل60/أ)، قاعدة 151.</w:t>
      </w:r>
    </w:p>
  </w:footnote>
  <w:footnote w:id="368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ثبت</w:t>
      </w:r>
      <w:r>
        <w:rPr>
          <w:rFonts w:hint="eastAsia"/>
          <w:spacing w:val="-8"/>
          <w:rtl/>
        </w:rPr>
        <w:t>»</w:t>
      </w:r>
      <w:r>
        <w:rPr>
          <w:rFonts w:hint="cs"/>
          <w:spacing w:val="-8"/>
          <w:rtl/>
        </w:rPr>
        <w:t xml:space="preserve"> : زيادة من (ب) و(د). وهي زيادة لا يستقيم المعنى بدونها.</w:t>
      </w:r>
    </w:p>
  </w:footnote>
  <w:footnote w:id="36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spacing w:val="-8"/>
          <w:rtl/>
        </w:rPr>
        <w:t>«</w:t>
      </w:r>
      <w:r>
        <w:rPr>
          <w:rFonts w:hint="cs"/>
          <w:spacing w:val="-8"/>
          <w:rtl/>
        </w:rPr>
        <w:t>كالدّين</w:t>
      </w:r>
      <w:r>
        <w:rPr>
          <w:rFonts w:hint="eastAsia"/>
          <w:spacing w:val="-8"/>
          <w:rtl/>
        </w:rPr>
        <w:t>»</w:t>
      </w:r>
      <w:r>
        <w:rPr>
          <w:rFonts w:hint="cs"/>
          <w:spacing w:val="-8"/>
          <w:rtl/>
        </w:rPr>
        <w:t>.</w:t>
      </w:r>
    </w:p>
  </w:footnote>
  <w:footnote w:id="36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spacing w:val="-8"/>
          <w:rtl/>
        </w:rPr>
        <w:t>«</w:t>
      </w:r>
      <w:r>
        <w:rPr>
          <w:rFonts w:hint="cs"/>
          <w:spacing w:val="-8"/>
          <w:rtl/>
        </w:rPr>
        <w:t>الذي</w:t>
      </w:r>
      <w:r>
        <w:rPr>
          <w:rFonts w:hint="eastAsia"/>
          <w:spacing w:val="-8"/>
          <w:rtl/>
        </w:rPr>
        <w:t>»</w:t>
      </w:r>
      <w:r>
        <w:rPr>
          <w:rFonts w:hint="cs"/>
          <w:spacing w:val="-8"/>
          <w:rtl/>
        </w:rPr>
        <w:t>. والصحيح ما تمَّ إثباته من (جـ) و(هـ) و(و).</w:t>
      </w:r>
    </w:p>
  </w:footnote>
  <w:footnote w:id="36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لكفالة</w:t>
      </w:r>
      <w:r>
        <w:rPr>
          <w:rFonts w:hint="eastAsia"/>
          <w:spacing w:val="-8"/>
          <w:rtl/>
        </w:rPr>
        <w:t>»</w:t>
      </w:r>
      <w:r>
        <w:rPr>
          <w:rFonts w:hint="cs"/>
          <w:spacing w:val="-8"/>
          <w:rtl/>
        </w:rPr>
        <w:t>.</w:t>
      </w:r>
    </w:p>
  </w:footnote>
  <w:footnote w:id="36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الإقرار</w:t>
      </w:r>
      <w:r>
        <w:rPr>
          <w:rFonts w:hint="eastAsia"/>
          <w:spacing w:val="-8"/>
          <w:rtl/>
        </w:rPr>
        <w:t>»</w:t>
      </w:r>
      <w:r>
        <w:rPr>
          <w:rFonts w:hint="cs"/>
          <w:spacing w:val="-8"/>
          <w:rtl/>
        </w:rPr>
        <w:t>.</w:t>
      </w:r>
    </w:p>
  </w:footnote>
  <w:footnote w:id="36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أفردها المؤلف بالحديث، ص381 (ل17/أ)، قاعدة 41.</w:t>
      </w:r>
    </w:p>
  </w:footnote>
  <w:footnote w:id="36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يؤخذون</w:t>
      </w:r>
      <w:r>
        <w:rPr>
          <w:rFonts w:hint="eastAsia"/>
          <w:spacing w:val="-8"/>
          <w:rtl/>
        </w:rPr>
        <w:t>»</w:t>
      </w:r>
      <w:r>
        <w:rPr>
          <w:rFonts w:hint="cs"/>
          <w:spacing w:val="-8"/>
          <w:rtl/>
        </w:rPr>
        <w:t>.</w:t>
      </w:r>
    </w:p>
  </w:footnote>
  <w:footnote w:id="3687">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هذا الجواب في: درر الحكام شرح مجلة الأحكام لعلي حيدر، 1/72؛ شرح المجلة للأتاسي، </w:t>
      </w:r>
      <w:r w:rsidRPr="000275B5">
        <w:rPr>
          <w:rFonts w:hint="cs"/>
          <w:spacing w:val="-6"/>
          <w:rtl/>
        </w:rPr>
        <w:t>1/231؛ المدخل الفقهي العام، 2/1022، فقرة 639؛ المدخل إلى القواعد لِـ د. إبراهيم الحريري، ص</w:t>
      </w:r>
      <w:r>
        <w:rPr>
          <w:rFonts w:hint="cs"/>
          <w:spacing w:val="-4"/>
          <w:rtl/>
        </w:rPr>
        <w:t>134.</w:t>
      </w:r>
    </w:p>
  </w:footnote>
  <w:footnote w:id="368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w:t>
      </w:r>
      <w:r>
        <w:rPr>
          <w:rFonts w:hint="eastAsia"/>
          <w:rtl/>
        </w:rPr>
        <w:t>«</w:t>
      </w:r>
      <w:r>
        <w:rPr>
          <w:rFonts w:hint="cs"/>
          <w:rtl/>
        </w:rPr>
        <w:t>ثبت</w:t>
      </w:r>
      <w:r>
        <w:rPr>
          <w:rFonts w:hint="eastAsia"/>
          <w:rtl/>
        </w:rPr>
        <w:t>»</w:t>
      </w:r>
      <w:r>
        <w:rPr>
          <w:rFonts w:hint="cs"/>
          <w:rtl/>
        </w:rPr>
        <w:t>. والمناسب ما تمَّ إثباته من (ب)، وهو الموافق لكثير من مصادر القاعدة.</w:t>
      </w:r>
    </w:p>
  </w:footnote>
  <w:footnote w:id="368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ما</w:t>
      </w:r>
      <w:r>
        <w:rPr>
          <w:rFonts w:hint="eastAsia"/>
          <w:rtl/>
        </w:rPr>
        <w:t>»</w:t>
      </w:r>
      <w:r>
        <w:rPr>
          <w:rFonts w:hint="cs"/>
          <w:rtl/>
        </w:rPr>
        <w:t xml:space="preserve"> : زيادة من (ب) و(جـ). ولايستقيم المعنى بدونها.</w:t>
      </w:r>
    </w:p>
  </w:footnote>
  <w:footnote w:id="369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التي لا يكاد يخلو منها كتاب من كتب القواعد، كما ورد التعليل بها في كثير من كتب الفقه وبعض كتب الأصول، وذلك بعدّة ألفاظ معناها متقارب:</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4"/>
          <w:rtl/>
        </w:rPr>
      </w:pPr>
      <w:r>
        <w:rPr>
          <w:rFonts w:hint="cs"/>
          <w:spacing w:val="-4"/>
          <w:rtl/>
        </w:rPr>
        <w:t xml:space="preserve">رسالة الكرخي في الأصول، ص166 - ولفظها : </w:t>
      </w:r>
      <w:r>
        <w:rPr>
          <w:rFonts w:hint="eastAsia"/>
          <w:spacing w:val="-4"/>
          <w:rtl/>
        </w:rPr>
        <w:t>«</w:t>
      </w:r>
      <w:r>
        <w:rPr>
          <w:rFonts w:hint="cs"/>
          <w:spacing w:val="-4"/>
          <w:rtl/>
        </w:rPr>
        <w:t>الأصل أنه قد يثبت الشيء تبعًا وحكمًا، وإن كان قد يبطل قصدًا</w:t>
      </w:r>
      <w:r>
        <w:rPr>
          <w:rFonts w:hint="eastAsia"/>
          <w:spacing w:val="-4"/>
          <w:rtl/>
        </w:rPr>
        <w:t>»</w:t>
      </w:r>
      <w:r>
        <w:rPr>
          <w:rFonts w:hint="cs"/>
          <w:spacing w:val="-4"/>
          <w:rtl/>
        </w:rPr>
        <w:t xml:space="preserve">-؛ الأشباه والنظائر لابن الوكيل، 2/426- ولفظه : </w:t>
      </w:r>
      <w:r>
        <w:rPr>
          <w:rFonts w:hint="eastAsia"/>
          <w:spacing w:val="-4"/>
          <w:rtl/>
        </w:rPr>
        <w:t>«</w:t>
      </w:r>
      <w:r>
        <w:rPr>
          <w:rFonts w:hint="cs"/>
          <w:spacing w:val="-4"/>
          <w:rtl/>
        </w:rPr>
        <w:t>ما لا يثبت ابتداء ويثبت تبعًا</w:t>
      </w:r>
      <w:r>
        <w:rPr>
          <w:rFonts w:hint="eastAsia"/>
          <w:spacing w:val="-4"/>
          <w:rtl/>
        </w:rPr>
        <w:t>»</w:t>
      </w:r>
      <w:r>
        <w:rPr>
          <w:rFonts w:hint="cs"/>
          <w:spacing w:val="-4"/>
          <w:rtl/>
        </w:rPr>
        <w:t xml:space="preserve">-؛ القواعد للمقّرى، 2/432- ولفظه : </w:t>
      </w:r>
      <w:r>
        <w:rPr>
          <w:rFonts w:hint="eastAsia"/>
          <w:spacing w:val="-4"/>
          <w:rtl/>
        </w:rPr>
        <w:t>«</w:t>
      </w:r>
      <w:r>
        <w:rPr>
          <w:rFonts w:hint="cs"/>
          <w:spacing w:val="-4"/>
          <w:rtl/>
        </w:rPr>
        <w:t>قد يسوغ في الشيء تابعًا ما يمنع فيه مستقلاًّ</w:t>
      </w:r>
      <w:r>
        <w:rPr>
          <w:rFonts w:hint="eastAsia"/>
          <w:spacing w:val="-4"/>
          <w:rtl/>
        </w:rPr>
        <w:t>»</w:t>
      </w:r>
      <w:r>
        <w:rPr>
          <w:rFonts w:hint="cs"/>
          <w:spacing w:val="-4"/>
          <w:rtl/>
        </w:rPr>
        <w:t xml:space="preserve">-؛ الكليات الفقهية له أيضًا، ص296، كلية رقم 275- ولفظه : </w:t>
      </w:r>
      <w:r>
        <w:rPr>
          <w:rFonts w:hint="eastAsia"/>
          <w:spacing w:val="-4"/>
          <w:rtl/>
        </w:rPr>
        <w:t>«</w:t>
      </w:r>
      <w:r>
        <w:rPr>
          <w:rFonts w:hint="cs"/>
          <w:spacing w:val="-4"/>
          <w:rtl/>
        </w:rPr>
        <w:t>كل عين مقصودة فالجهل بها مبطل للبيع، بخلاف غير المقصود</w:t>
      </w:r>
      <w:r>
        <w:rPr>
          <w:rFonts w:hint="eastAsia"/>
          <w:spacing w:val="-4"/>
          <w:rtl/>
        </w:rPr>
        <w:t>»</w:t>
      </w:r>
      <w:r>
        <w:rPr>
          <w:rFonts w:hint="cs"/>
          <w:spacing w:val="-4"/>
          <w:rtl/>
        </w:rPr>
        <w:t xml:space="preserve">-؛ المنثور، 6/376، 378- ولفظه الأول : </w:t>
      </w:r>
      <w:r>
        <w:rPr>
          <w:rFonts w:hint="eastAsia"/>
          <w:spacing w:val="-4"/>
          <w:rtl/>
        </w:rPr>
        <w:t>«</w:t>
      </w:r>
      <w:r>
        <w:rPr>
          <w:rFonts w:hint="cs"/>
          <w:spacing w:val="-4"/>
          <w:rtl/>
        </w:rPr>
        <w:t>يغتفر في الشيء إذا كان تابعًا ما لا يغتفر إذا كان مقصودًا</w:t>
      </w:r>
      <w:r>
        <w:rPr>
          <w:rFonts w:hint="eastAsia"/>
          <w:spacing w:val="-4"/>
          <w:rtl/>
        </w:rPr>
        <w:t>»</w:t>
      </w:r>
      <w:r>
        <w:rPr>
          <w:rFonts w:hint="cs"/>
          <w:spacing w:val="-4"/>
          <w:rtl/>
        </w:rPr>
        <w:t xml:space="preserve">-؛ تقرير القواعد لابن رجب، 3/15، قاعدة 133، و164، ضمن قاعدة 159- ولفظه الأول : </w:t>
      </w:r>
      <w:r>
        <w:rPr>
          <w:rFonts w:hint="eastAsia"/>
          <w:spacing w:val="-4"/>
          <w:rtl/>
        </w:rPr>
        <w:t>«</w:t>
      </w:r>
      <w:r>
        <w:rPr>
          <w:rFonts w:hint="cs"/>
          <w:spacing w:val="-4"/>
          <w:rtl/>
        </w:rPr>
        <w:t>يثبت تبعًا ما لا يثبت استقلالاً</w:t>
      </w:r>
      <w:r>
        <w:rPr>
          <w:rFonts w:hint="eastAsia"/>
          <w:spacing w:val="-4"/>
          <w:rtl/>
        </w:rPr>
        <w:t>»</w:t>
      </w:r>
      <w:r>
        <w:rPr>
          <w:rFonts w:hint="cs"/>
          <w:spacing w:val="-4"/>
          <w:rtl/>
        </w:rPr>
        <w:t xml:space="preserve">-؛ الأشباه والنظائر لابن الملقن، 1/429، قاعدة 82- ولفظه : </w:t>
      </w:r>
      <w:r>
        <w:rPr>
          <w:rFonts w:hint="eastAsia"/>
          <w:spacing w:val="-4"/>
          <w:rtl/>
        </w:rPr>
        <w:t>«</w:t>
      </w:r>
      <w:r>
        <w:rPr>
          <w:rFonts w:hint="cs"/>
          <w:spacing w:val="-4"/>
          <w:rtl/>
        </w:rPr>
        <w:t>ما لا يثبت ابتداء ويثبت تبعًا</w:t>
      </w:r>
      <w:r>
        <w:rPr>
          <w:rFonts w:hint="eastAsia"/>
          <w:spacing w:val="-4"/>
          <w:rtl/>
        </w:rPr>
        <w:t>»</w:t>
      </w:r>
      <w:r>
        <w:rPr>
          <w:rFonts w:hint="cs"/>
          <w:spacing w:val="-4"/>
          <w:rtl/>
        </w:rPr>
        <w:t xml:space="preserve">-؛ وللسيوطي، 1/276- وقد ذكر عدة ألفاظ أحسنها عنده : </w:t>
      </w:r>
      <w:r>
        <w:rPr>
          <w:rFonts w:hint="eastAsia"/>
          <w:spacing w:val="-4"/>
          <w:rtl/>
        </w:rPr>
        <w:t>«</w:t>
      </w:r>
      <w:r>
        <w:rPr>
          <w:rFonts w:hint="cs"/>
          <w:spacing w:val="-4"/>
          <w:rtl/>
        </w:rPr>
        <w:t>يغتفر في التوابع ما لا يغتفر في غيرها</w:t>
      </w:r>
      <w:r>
        <w:rPr>
          <w:rFonts w:hint="eastAsia"/>
          <w:spacing w:val="-4"/>
          <w:rtl/>
        </w:rPr>
        <w:t>»</w:t>
      </w:r>
      <w:r>
        <w:rPr>
          <w:rFonts w:hint="cs"/>
          <w:spacing w:val="-4"/>
          <w:rtl/>
        </w:rPr>
        <w:t xml:space="preserve">-؛ مغني ذوي الأفهام (الخاتمة)، ص522، قاعدة 57- ولفظه كلفظ ابن رجب-؛ إيضاح المسالك، ص89، قاعدة 55- ولفظه : </w:t>
      </w:r>
      <w:r>
        <w:rPr>
          <w:rFonts w:hint="eastAsia"/>
          <w:spacing w:val="-4"/>
          <w:rtl/>
        </w:rPr>
        <w:t>«</w:t>
      </w:r>
      <w:r>
        <w:rPr>
          <w:rFonts w:hint="cs"/>
          <w:spacing w:val="-4"/>
          <w:rtl/>
        </w:rPr>
        <w:t>الأتباع هل يعطى لها حكم متبوعاتها أو حكم أنفسها؟</w:t>
      </w:r>
      <w:r>
        <w:rPr>
          <w:rFonts w:hint="eastAsia"/>
          <w:spacing w:val="-4"/>
          <w:rtl/>
        </w:rPr>
        <w:t>»</w:t>
      </w:r>
      <w:r>
        <w:rPr>
          <w:rFonts w:hint="cs"/>
          <w:spacing w:val="-4"/>
          <w:rtl/>
        </w:rPr>
        <w:t>-؛ الأشباه والنظائر لابن نجيم، ص148- وقد ذكر عدّة ألفاظ أوّلها لفظ السيوطي-؛ غمز عيون البصائر، 1/365؛ الفرائد البهية وشرحاها : الأقمار المضيئة، ص166؛ والمواهب السنية وحاشيتها: الفوائد الجنية، 2/117- ولفظ الفرائد:</w:t>
      </w:r>
    </w:p>
    <w:p w:rsidR="00035BE3" w:rsidRDefault="00035BE3" w:rsidP="00C10469">
      <w:pPr>
        <w:pStyle w:val="a6"/>
        <w:ind w:left="422" w:hanging="425"/>
        <w:jc w:val="center"/>
        <w:rPr>
          <w:b/>
          <w:bCs/>
          <w:spacing w:val="-8"/>
          <w:rtl/>
        </w:rPr>
      </w:pPr>
      <w:r>
        <w:rPr>
          <w:rFonts w:hint="cs"/>
          <w:b/>
          <w:bCs/>
          <w:spacing w:val="-8"/>
          <w:rtl/>
        </w:rPr>
        <w:t>وفـي تـوابـع الأمـور اغـتـــفـروا          مـا لـم يـكـن في غـيرها يُـغْـتـفر-؛</w:t>
      </w:r>
    </w:p>
    <w:p w:rsidR="00035BE3" w:rsidRDefault="00035BE3" w:rsidP="00C10469">
      <w:pPr>
        <w:pStyle w:val="a6"/>
        <w:ind w:left="422" w:firstLine="0"/>
        <w:rPr>
          <w:spacing w:val="-8"/>
          <w:rtl/>
        </w:rPr>
      </w:pPr>
      <w:r>
        <w:rPr>
          <w:rFonts w:hint="cs"/>
          <w:spacing w:val="-8"/>
          <w:rtl/>
        </w:rPr>
        <w:t xml:space="preserve">مجامع الحقائق (الخاتمة)، ص47؛ شرح العلائي لقواعد الخادمي، ل40/ب؛ منافع الدقائق، ص334- ولفظ المجامع وما بعده : </w:t>
      </w:r>
      <w:r>
        <w:rPr>
          <w:rFonts w:hint="eastAsia"/>
          <w:spacing w:val="-8"/>
          <w:rtl/>
        </w:rPr>
        <w:t>«</w:t>
      </w:r>
      <w:r>
        <w:rPr>
          <w:rFonts w:hint="cs"/>
          <w:spacing w:val="-8"/>
          <w:rtl/>
        </w:rPr>
        <w:t>يدخل في التصرف تبعًا ما لا يجوز أن يكون مقصودًا</w:t>
      </w:r>
      <w:r>
        <w:rPr>
          <w:rFonts w:hint="eastAsia"/>
          <w:spacing w:val="-8"/>
          <w:rtl/>
        </w:rPr>
        <w:t>»</w:t>
      </w:r>
      <w:r>
        <w:rPr>
          <w:rFonts w:hint="cs"/>
          <w:spacing w:val="-8"/>
          <w:rtl/>
        </w:rPr>
        <w:t>-؛ مجلة الأحكام العدلية، مادة 54- ولفظها كلفظ أشباه السيوطي-؛ شرحها لسليم رستم، 1/41؛ ولعلي حيدر، 1/50؛ وللأتاسي، 1/131؛ وشرح قواعدها للزرقا، ص291؛ مجلة الأحكام الشرعية، ص100، مادة 133- ولفظه كلفظ قواعد ابن رجب-؛ رسالة في القواعد الفقهية للسّعدي، ص35، البيت 27 - ولفظه :</w:t>
      </w:r>
    </w:p>
    <w:p w:rsidR="00035BE3" w:rsidRDefault="00035BE3" w:rsidP="00C10469">
      <w:pPr>
        <w:pStyle w:val="a6"/>
        <w:ind w:left="422" w:hanging="425"/>
        <w:jc w:val="center"/>
        <w:rPr>
          <w:b/>
          <w:bCs/>
          <w:spacing w:val="-8"/>
          <w:rtl/>
        </w:rPr>
      </w:pPr>
      <w:r>
        <w:rPr>
          <w:rFonts w:hint="cs"/>
          <w:b/>
          <w:bCs/>
          <w:spacing w:val="-8"/>
          <w:rtl/>
        </w:rPr>
        <w:t xml:space="preserve">   ومـن مـسائـل الأحـكـام فـي التـبـع        يـثـبـت لا إذا اسـتـقـل فـوقـع-؛</w:t>
      </w:r>
      <w:r>
        <w:rPr>
          <w:rFonts w:hint="cs"/>
          <w:spacing w:val="-8"/>
          <w:rtl/>
        </w:rPr>
        <w:t xml:space="preserve"> </w:t>
      </w:r>
    </w:p>
    <w:p w:rsidR="00035BE3" w:rsidRPr="00576DCC" w:rsidRDefault="00035BE3" w:rsidP="00C10469">
      <w:pPr>
        <w:pStyle w:val="a6"/>
        <w:spacing w:line="480" w:lineRule="exact"/>
        <w:ind w:left="422" w:firstLine="0"/>
        <w:rPr>
          <w:rtl/>
        </w:rPr>
      </w:pPr>
      <w:r w:rsidRPr="00576DCC">
        <w:rPr>
          <w:rFonts w:hint="cs"/>
          <w:rtl/>
        </w:rPr>
        <w:t xml:space="preserve">قواعد الفقه للمجدّدي، ص97، قاعدة 209، وص142، قاعدة 415- ولفظه الأول كلفظ الكرخي، والثاني كالسيوطي-؛ المدخل الفقهي العام، 2/1020، فقرة 637؛ القواعد الفقهية لِـ د. علي النـدوي، ص258، 423- ولفظه الأول كلفظ ابن رجب والثاني كالسيوطي-؛ القواعد والضوابط المستخلصة من التحرير له أيضًا، ص491 - ولفظه : </w:t>
      </w:r>
      <w:r w:rsidRPr="00576DCC">
        <w:rPr>
          <w:rFonts w:hint="eastAsia"/>
          <w:rtl/>
        </w:rPr>
        <w:t>«</w:t>
      </w:r>
      <w:r w:rsidRPr="00576DCC">
        <w:rPr>
          <w:rFonts w:hint="cs"/>
          <w:rtl/>
        </w:rPr>
        <w:t>قد يثبت الشيء حكمًا على وجه لا يجوز إثباته قصدًا</w:t>
      </w:r>
      <w:r w:rsidRPr="00576DCC">
        <w:rPr>
          <w:rFonts w:hint="eastAsia"/>
          <w:rtl/>
        </w:rPr>
        <w:t>»</w:t>
      </w:r>
      <w:r w:rsidRPr="00576DCC">
        <w:rPr>
          <w:rFonts w:hint="cs"/>
          <w:rtl/>
        </w:rPr>
        <w:t xml:space="preserve">-؛ الوجيز، ص284؛ موسوعة القواعد الفقهية، 2/40- وقد جاء عند الأخيرين عدة ألفاظ، منها لفظ الكرخي والسيوطي والمؤلف-؛ المدخل إلى القواعد الفقهية لِـ د. إبراهيم الحريري، ص129، 131- ولفظه الأول كلفظ السيوطي والثاني كابن رجب-؛ المبادئ الفقهية، ص35؛ القواعد الفقهية للدّعاس، ص85، قاعدة 66؛ ولِـ د. محمد الزحيلي، ص82؛ القواعد الفقهية في بابي العبادات والمعاملات لشيخنا د. عبد الله العيسى، ص649- ولفظه: </w:t>
      </w:r>
      <w:r w:rsidRPr="00576DCC">
        <w:rPr>
          <w:rFonts w:hint="eastAsia"/>
          <w:rtl/>
        </w:rPr>
        <w:t>«</w:t>
      </w:r>
      <w:r w:rsidRPr="00576DCC">
        <w:rPr>
          <w:rFonts w:hint="cs"/>
          <w:rtl/>
        </w:rPr>
        <w:t>قد يثبت تبعًا ما لا يثبت أصلاً</w:t>
      </w:r>
      <w:r w:rsidRPr="00576DCC">
        <w:rPr>
          <w:rFonts w:hint="eastAsia"/>
          <w:rtl/>
        </w:rPr>
        <w:t>»</w:t>
      </w:r>
      <w:r w:rsidRPr="00576DCC">
        <w:rPr>
          <w:rFonts w:hint="cs"/>
          <w:rtl/>
        </w:rPr>
        <w:t>-؛ تطبيقات القواعد والضوابط لِـ د. سعود الغديان، ص1692- ولفظه كلفظ أشباه السيوطي-.</w:t>
      </w:r>
    </w:p>
    <w:p w:rsidR="00035BE3" w:rsidRDefault="00035BE3" w:rsidP="00C10469">
      <w:pPr>
        <w:pStyle w:val="a6"/>
        <w:spacing w:line="480" w:lineRule="exact"/>
        <w:ind w:left="422" w:firstLine="0"/>
        <w:rPr>
          <w:b/>
          <w:bCs/>
          <w:spacing w:val="-8"/>
          <w:rtl/>
        </w:rPr>
      </w:pPr>
      <w:r>
        <w:rPr>
          <w:rFonts w:hint="cs"/>
          <w:b/>
          <w:bCs/>
          <w:spacing w:val="-8"/>
          <w:rtl/>
        </w:rPr>
        <w:t>ومن كتب الفقه :</w:t>
      </w:r>
    </w:p>
    <w:p w:rsidR="00035BE3" w:rsidRDefault="00035BE3" w:rsidP="00C10469">
      <w:pPr>
        <w:pStyle w:val="a6"/>
        <w:spacing w:line="480" w:lineRule="exact"/>
        <w:ind w:left="422" w:firstLine="0"/>
        <w:rPr>
          <w:rtl/>
        </w:rPr>
      </w:pPr>
      <w:r>
        <w:rPr>
          <w:rFonts w:hint="cs"/>
          <w:rtl/>
        </w:rPr>
        <w:t>بدائع الصنائع، 5/296؛ الكافي للنسفي، ق1، ص1147؛ الكفاية، 3/282؛ العناية، 2/323-324، 7/106؛ جامع الفصولين، الفصل39، 2/233، 235، 236؛ فتح القـدير، 6/158، 347، 7/127؛ الدّرر شرح الغـرر، 2/320، 414، 423؛ الـبحر الـرائق، 3/314، 5/156-157، 6/132؛ مغني المحتاج، 1/422، 3/243؛ رد المحتار، 8/504.</w:t>
      </w:r>
    </w:p>
    <w:p w:rsidR="00035BE3" w:rsidRDefault="00035BE3" w:rsidP="00C10469">
      <w:pPr>
        <w:pStyle w:val="a6"/>
        <w:spacing w:line="480" w:lineRule="exact"/>
        <w:ind w:left="422" w:firstLine="0"/>
        <w:rPr>
          <w:b/>
          <w:bCs/>
          <w:spacing w:val="-8"/>
          <w:rtl/>
        </w:rPr>
      </w:pPr>
      <w:r>
        <w:rPr>
          <w:rFonts w:hint="cs"/>
          <w:b/>
          <w:bCs/>
          <w:spacing w:val="-8"/>
          <w:rtl/>
        </w:rPr>
        <w:t xml:space="preserve">ومن كتب الأصول : </w:t>
      </w:r>
    </w:p>
    <w:p w:rsidR="00035BE3" w:rsidRDefault="00035BE3" w:rsidP="00C10469">
      <w:pPr>
        <w:pStyle w:val="a6"/>
        <w:spacing w:line="480" w:lineRule="exact"/>
        <w:ind w:left="422" w:firstLine="0"/>
        <w:rPr>
          <w:spacing w:val="-8"/>
          <w:rtl/>
        </w:rPr>
      </w:pPr>
      <w:r>
        <w:rPr>
          <w:rFonts w:hint="cs"/>
          <w:spacing w:val="-8"/>
          <w:rtl/>
        </w:rPr>
        <w:t>إعلام الموقعين، 2/308؛ الإبهاج، 2/242؛ التقرير والتحبير، 1/219.</w:t>
      </w:r>
    </w:p>
    <w:p w:rsidR="00035BE3" w:rsidRDefault="00035BE3" w:rsidP="00C10469">
      <w:pPr>
        <w:pStyle w:val="a6"/>
        <w:spacing w:line="480" w:lineRule="exact"/>
        <w:ind w:left="422" w:firstLine="0"/>
        <w:rPr>
          <w:rtl/>
        </w:rPr>
      </w:pPr>
      <w:r>
        <w:rPr>
          <w:rFonts w:hint="cs"/>
          <w:b/>
          <w:bCs/>
          <w:spacing w:val="-8"/>
          <w:rtl/>
        </w:rPr>
        <w:t>يضاف إلى ما سبق</w:t>
      </w:r>
      <w:r>
        <w:rPr>
          <w:rFonts w:hint="cs"/>
          <w:spacing w:val="-8"/>
          <w:rtl/>
        </w:rPr>
        <w:t xml:space="preserve"> : أن المؤلف سيذكر قاعدة أخرى بمعنى هذه القاعدة، وهي : </w:t>
      </w:r>
      <w:r>
        <w:rPr>
          <w:rFonts w:hint="eastAsia"/>
          <w:spacing w:val="4"/>
          <w:rtl/>
        </w:rPr>
        <w:t>«</w:t>
      </w:r>
      <w:r>
        <w:rPr>
          <w:rFonts w:hint="cs"/>
          <w:spacing w:val="-8"/>
          <w:rtl/>
        </w:rPr>
        <w:t>يدخل في التصرف تبعًا ما لا يجوز أن يكون مقصودًا</w:t>
      </w:r>
      <w:r>
        <w:rPr>
          <w:rFonts w:hint="eastAsia"/>
          <w:spacing w:val="-8"/>
          <w:rtl/>
        </w:rPr>
        <w:t>»</w:t>
      </w:r>
      <w:r>
        <w:rPr>
          <w:rFonts w:hint="cs"/>
          <w:spacing w:val="-8"/>
          <w:rtl/>
        </w:rPr>
        <w:t>، وذلك ص1175 (113/ب)، قاعدة 261.</w:t>
      </w:r>
    </w:p>
  </w:footnote>
  <w:footnote w:id="3691">
    <w:p w:rsidR="00035BE3" w:rsidRDefault="00035BE3" w:rsidP="00C10469">
      <w:pPr>
        <w:pStyle w:val="a8"/>
        <w:bidi/>
        <w:spacing w:line="480" w:lineRule="exact"/>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هكـذا فـي (و)، وفي (هـ): </w:t>
      </w:r>
      <w:r>
        <w:rPr>
          <w:rFonts w:hint="eastAsia"/>
          <w:spacing w:val="6"/>
          <w:rtl/>
        </w:rPr>
        <w:t>«</w:t>
      </w:r>
      <w:r>
        <w:rPr>
          <w:rFonts w:hint="cs"/>
          <w:spacing w:val="6"/>
          <w:rtl/>
        </w:rPr>
        <w:t>بصـيانة</w:t>
      </w:r>
      <w:r>
        <w:rPr>
          <w:rFonts w:hint="eastAsia"/>
          <w:spacing w:val="6"/>
          <w:rtl/>
        </w:rPr>
        <w:t>»</w:t>
      </w:r>
      <w:r>
        <w:rPr>
          <w:rFonts w:hint="cs"/>
          <w:spacing w:val="6"/>
          <w:rtl/>
        </w:rPr>
        <w:t xml:space="preserve">، وفـي باقي النسخ: </w:t>
      </w:r>
      <w:r>
        <w:rPr>
          <w:rFonts w:hint="eastAsia"/>
          <w:spacing w:val="6"/>
          <w:rtl/>
        </w:rPr>
        <w:t>«</w:t>
      </w:r>
      <w:r>
        <w:rPr>
          <w:rFonts w:hint="cs"/>
          <w:spacing w:val="6"/>
          <w:rtl/>
        </w:rPr>
        <w:t>صيانة</w:t>
      </w:r>
      <w:r>
        <w:rPr>
          <w:rFonts w:hint="eastAsia"/>
          <w:spacing w:val="6"/>
          <w:rtl/>
        </w:rPr>
        <w:t>»</w:t>
      </w:r>
      <w:r>
        <w:rPr>
          <w:rFonts w:hint="cs"/>
          <w:spacing w:val="6"/>
          <w:rtl/>
        </w:rPr>
        <w:t>. والمناسب ما تمَّ إثباته من (و).</w:t>
      </w:r>
    </w:p>
  </w:footnote>
  <w:footnote w:id="3692">
    <w:p w:rsidR="00035BE3" w:rsidRDefault="00035BE3" w:rsidP="00C10469">
      <w:pPr>
        <w:pStyle w:val="a8"/>
        <w:bidi/>
        <w:spacing w:line="48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الملك</w:t>
      </w:r>
      <w:r>
        <w:rPr>
          <w:rFonts w:hint="eastAsia"/>
          <w:rtl/>
        </w:rPr>
        <w:t>»</w:t>
      </w:r>
      <w:r>
        <w:rPr>
          <w:rFonts w:hint="cs"/>
          <w:rtl/>
        </w:rPr>
        <w:t>.</w:t>
      </w:r>
    </w:p>
  </w:footnote>
  <w:footnote w:id="3693">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صورة</w:t>
      </w:r>
      <w:r>
        <w:rPr>
          <w:rFonts w:hint="eastAsia"/>
          <w:rtl/>
        </w:rPr>
        <w:t>»</w:t>
      </w:r>
      <w:r>
        <w:rPr>
          <w:rFonts w:hint="cs"/>
          <w:rtl/>
        </w:rPr>
        <w:t>.</w:t>
      </w:r>
    </w:p>
  </w:footnote>
  <w:footnote w:id="369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صوره البعض على</w:t>
      </w:r>
      <w:r>
        <w:rPr>
          <w:rFonts w:hint="eastAsia"/>
          <w:rtl/>
        </w:rPr>
        <w:t>»</w:t>
      </w:r>
      <w:r>
        <w:rPr>
          <w:rFonts w:hint="cs"/>
          <w:rtl/>
        </w:rPr>
        <w:t xml:space="preserve"> : ساقطة من (جـ).</w:t>
      </w:r>
    </w:p>
  </w:footnote>
  <w:footnote w:id="369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لعل المراد من البعض -هنا- : ابن نجيم في أشباهه، وصاحب (جامع الفصولين)؛ لأن هذه القاعدة وفروعها الأربعة - التي سيذكرها المؤلف- مذكورة فيهما.</w:t>
      </w:r>
    </w:p>
    <w:p w:rsidR="00035BE3" w:rsidRDefault="00035BE3" w:rsidP="00C10469">
      <w:pPr>
        <w:pStyle w:val="a6"/>
        <w:ind w:left="422" w:firstLine="0"/>
        <w:rPr>
          <w:rtl/>
        </w:rPr>
      </w:pPr>
      <w:r>
        <w:rPr>
          <w:rFonts w:hint="cs"/>
          <w:rtl/>
        </w:rPr>
        <w:t>واعتراض المؤلف على القاعدة وما بناه عليه من كونها ليست من الأصول يمكن أن يناقش بما يأتي :</w:t>
      </w:r>
    </w:p>
    <w:p w:rsidR="00035BE3" w:rsidRDefault="00035BE3" w:rsidP="00C10469">
      <w:pPr>
        <w:pStyle w:val="a6"/>
        <w:ind w:left="422" w:firstLine="0"/>
        <w:rPr>
          <w:spacing w:val="6"/>
          <w:rtl/>
        </w:rPr>
      </w:pPr>
      <w:r>
        <w:rPr>
          <w:rFonts w:hint="cs"/>
          <w:b/>
          <w:bCs/>
          <w:spacing w:val="6"/>
          <w:rtl/>
        </w:rPr>
        <w:t>1-</w:t>
      </w:r>
      <w:r>
        <w:rPr>
          <w:rFonts w:hint="cs"/>
          <w:spacing w:val="6"/>
          <w:rtl/>
        </w:rPr>
        <w:t xml:space="preserve"> أن القاعدة والاعتراض عليها لم يردا على محزٍّ واحد؛ إذ كلمة (قصدًا) الواردة في القاعدة ليس المراد بها (القصد الذي هو فعلٍ القلب)- كما ورد في الاعتراض-؛ بل المراد بها أن يكون الشيء مقصودًا لذاته، ومستقلاً في الحكم، وأصلاً بنفسه؛ لأن القاعدة أثبتت الحكم للشيء إذا كان ضمنًا لغيره وتابعًا له، ونفته عنه إذا كان قصدًا. والذي يقابل (ضمنًا ) ليس (قصد القلب)؛ بل : ما كان مقصودًا لذاته وليس تابعًا لغيره.</w:t>
      </w:r>
    </w:p>
    <w:p w:rsidR="00035BE3" w:rsidRDefault="00035BE3" w:rsidP="00C10469">
      <w:pPr>
        <w:pStyle w:val="a6"/>
        <w:ind w:left="422" w:firstLine="0"/>
        <w:rPr>
          <w:rtl/>
        </w:rPr>
      </w:pPr>
      <w:r>
        <w:rPr>
          <w:rFonts w:hint="cs"/>
          <w:rtl/>
        </w:rPr>
        <w:t>ويشهد لهذا المعنى كونه ورد التصريح به في ألفاظ أخر للقاعدة، كما مرّ عند توثيقها في لفظي المقّري، وأيضًا لفظ ابن رجب وصاحب المجامع والسعدي والعيسى.</w:t>
      </w:r>
    </w:p>
    <w:p w:rsidR="00035BE3" w:rsidRDefault="00035BE3" w:rsidP="00C10469">
      <w:pPr>
        <w:pStyle w:val="a6"/>
        <w:ind w:left="422" w:firstLine="0"/>
        <w:rPr>
          <w:rtl/>
        </w:rPr>
      </w:pPr>
      <w:r>
        <w:rPr>
          <w:rFonts w:hint="cs"/>
          <w:b/>
          <w:bCs/>
          <w:rtl/>
        </w:rPr>
        <w:t>2-</w:t>
      </w:r>
      <w:r>
        <w:rPr>
          <w:rFonts w:hint="cs"/>
          <w:rtl/>
        </w:rPr>
        <w:t xml:space="preserve"> أن الأخذ بالقاعدة وجعلها من الأصول التي يعتد بها ليس صنيع لبعض العلماء فحسب؛ بل هو مسلك أكثر العلماء؛ إذ لا يكاد يخلو منها كتاب في القواعد، كما علّل بها كثير من الفقهاء والأصوليين - وقد مرّ تفصيل ذلك عند توثيقها آنفا</w:t>
      </w:r>
      <w:r>
        <w:rPr>
          <w:rFonts w:hint="cs"/>
          <w:rtl/>
          <w:lang w:bidi="ar-AE"/>
        </w:rPr>
        <w:t>-</w:t>
      </w:r>
      <w:r>
        <w:rPr>
          <w:rFonts w:hint="cs"/>
          <w:rtl/>
        </w:rPr>
        <w:t>.</w:t>
      </w:r>
    </w:p>
    <w:p w:rsidR="00035BE3" w:rsidRDefault="00035BE3" w:rsidP="00C10469">
      <w:pPr>
        <w:pStyle w:val="a6"/>
        <w:ind w:left="422" w:firstLine="0"/>
        <w:rPr>
          <w:rtl/>
        </w:rPr>
      </w:pPr>
      <w:r>
        <w:rPr>
          <w:rFonts w:hint="cs"/>
          <w:b/>
          <w:bCs/>
          <w:rtl/>
        </w:rPr>
        <w:t>3-</w:t>
      </w:r>
      <w:r>
        <w:rPr>
          <w:rFonts w:hint="cs"/>
          <w:rtl/>
        </w:rPr>
        <w:t xml:space="preserve"> أن المؤلف نفسه جعل هذه القاعدة من الأصول؛ إذ ذكرها في نهاية كتابه بلفظ آخر وهو : </w:t>
      </w:r>
      <w:r>
        <w:rPr>
          <w:rFonts w:hint="eastAsia"/>
          <w:rtl/>
        </w:rPr>
        <w:t>«</w:t>
      </w:r>
      <w:r>
        <w:rPr>
          <w:rFonts w:hint="cs"/>
          <w:rtl/>
        </w:rPr>
        <w:t>يدخل في التصرف تبعًا ما لا يجوز أن يكون مقصودًا</w:t>
      </w:r>
      <w:r>
        <w:rPr>
          <w:rFonts w:hint="eastAsia"/>
          <w:rtl/>
        </w:rPr>
        <w:t>»</w:t>
      </w:r>
      <w:r>
        <w:rPr>
          <w:rFonts w:hint="cs"/>
          <w:rtl/>
        </w:rPr>
        <w:t xml:space="preserve">، كما عمل بها هناك، حيث استدل بها على فرع فقهي، ولم يعترض عليها إطلاقًا بل إنه ممّا يلفت النظر أن المؤلف استفاد تلك القاعدة من (العناية)، إلا أنّه خالفه في صياغتها، فلفظها في (العناية) : </w:t>
      </w:r>
      <w:r>
        <w:rPr>
          <w:rFonts w:hint="eastAsia"/>
          <w:rtl/>
        </w:rPr>
        <w:t>«</w:t>
      </w:r>
      <w:r>
        <w:rPr>
          <w:rFonts w:hint="cs"/>
          <w:b/>
          <w:bCs/>
          <w:rtl/>
        </w:rPr>
        <w:t>قد</w:t>
      </w:r>
      <w:r>
        <w:rPr>
          <w:rFonts w:hint="cs"/>
          <w:rtl/>
        </w:rPr>
        <w:t xml:space="preserve"> يدخل في التصرف ...</w:t>
      </w:r>
      <w:r>
        <w:rPr>
          <w:rFonts w:hint="eastAsia"/>
          <w:rtl/>
        </w:rPr>
        <w:t>»</w:t>
      </w:r>
      <w:r>
        <w:rPr>
          <w:rFonts w:hint="cs"/>
          <w:rtl/>
        </w:rPr>
        <w:t xml:space="preserve"> (بزيادة قد)، وهذه الزيادة لم يذكرها المؤلف!.</w:t>
      </w:r>
    </w:p>
    <w:p w:rsidR="00035BE3" w:rsidRDefault="00035BE3" w:rsidP="00C10469">
      <w:pPr>
        <w:pStyle w:val="a6"/>
        <w:ind w:left="422" w:firstLine="0"/>
        <w:rPr>
          <w:rtl/>
        </w:rPr>
      </w:pPr>
      <w:r>
        <w:rPr>
          <w:rFonts w:hint="cs"/>
          <w:rtl/>
        </w:rPr>
        <w:t>يضاف إلى ذلك</w:t>
      </w:r>
      <w:r>
        <w:rPr>
          <w:rFonts w:hint="cs"/>
          <w:b/>
          <w:bCs/>
          <w:rtl/>
        </w:rPr>
        <w:t xml:space="preserve"> :</w:t>
      </w:r>
      <w:r>
        <w:rPr>
          <w:rFonts w:hint="cs"/>
          <w:rtl/>
        </w:rPr>
        <w:t xml:space="preserve"> كون المؤلف أيضًا ذكرها عرضًا في موضع آخر في معرض التعليل بها على فرع فقهي، وذلك ص929 (ل78/ب)!.</w:t>
      </w:r>
    </w:p>
  </w:footnote>
  <w:footnote w:id="3696">
    <w:p w:rsidR="00035BE3" w:rsidRDefault="00035BE3" w:rsidP="00C10469">
      <w:pPr>
        <w:pStyle w:val="a8"/>
        <w:bidi/>
        <w:ind w:left="422" w:right="0" w:hanging="425"/>
        <w:rPr>
          <w:spacing w:val="-8"/>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وسنذكر</w:t>
      </w:r>
      <w:r>
        <w:rPr>
          <w:rFonts w:hint="eastAsia"/>
          <w:spacing w:val="-8"/>
          <w:rtl/>
        </w:rPr>
        <w:t>»</w:t>
      </w:r>
      <w:r>
        <w:rPr>
          <w:rFonts w:hint="cs"/>
          <w:spacing w:val="-8"/>
          <w:rtl/>
        </w:rPr>
        <w:t>.</w:t>
      </w:r>
    </w:p>
    <w:p w:rsidR="00035BE3" w:rsidRDefault="00035BE3" w:rsidP="00C10469">
      <w:pPr>
        <w:pStyle w:val="a6"/>
        <w:ind w:left="422" w:firstLine="0"/>
        <w:rPr>
          <w:rtl/>
        </w:rPr>
      </w:pPr>
      <w:r>
        <w:rPr>
          <w:rFonts w:hint="cs"/>
          <w:spacing w:val="-8"/>
          <w:rtl/>
        </w:rPr>
        <w:t>والضمير المُثبت تقديره : وسنذكر هذا التفريع. (وذلك بعد سطرين).</w:t>
      </w:r>
    </w:p>
  </w:footnote>
  <w:footnote w:id="369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71/ب من (أ).</w:t>
      </w:r>
    </w:p>
  </w:footnote>
  <w:footnote w:id="369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تختلف</w:t>
      </w:r>
      <w:r>
        <w:rPr>
          <w:rFonts w:hint="eastAsia"/>
          <w:spacing w:val="-8"/>
          <w:rtl/>
        </w:rPr>
        <w:t>»</w:t>
      </w:r>
      <w:r>
        <w:rPr>
          <w:rFonts w:hint="cs"/>
          <w:spacing w:val="-8"/>
          <w:rtl/>
        </w:rPr>
        <w:t>.</w:t>
      </w:r>
    </w:p>
  </w:footnote>
  <w:footnote w:id="369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44/أ من (د).</w:t>
      </w:r>
    </w:p>
  </w:footnote>
  <w:footnote w:id="370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وعد بذكرها عندما قال قبل سطرين : </w:t>
      </w:r>
      <w:r>
        <w:rPr>
          <w:rFonts w:hint="eastAsia"/>
          <w:spacing w:val="-8"/>
          <w:rtl/>
        </w:rPr>
        <w:t>«</w:t>
      </w:r>
      <w:r>
        <w:rPr>
          <w:rFonts w:hint="cs"/>
          <w:spacing w:val="-8"/>
          <w:rtl/>
        </w:rPr>
        <w:t>وسنذكره إن شاء الله</w:t>
      </w:r>
      <w:r>
        <w:rPr>
          <w:rFonts w:hint="eastAsia"/>
          <w:spacing w:val="-8"/>
          <w:rtl/>
        </w:rPr>
        <w:t>»</w:t>
      </w:r>
      <w:r>
        <w:rPr>
          <w:rFonts w:hint="cs"/>
          <w:spacing w:val="-8"/>
          <w:rtl/>
        </w:rPr>
        <w:t>.</w:t>
      </w:r>
    </w:p>
  </w:footnote>
  <w:footnote w:id="370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وقيل </w:t>
      </w:r>
      <w:r>
        <w:rPr>
          <w:rFonts w:hint="eastAsia"/>
          <w:spacing w:val="-8"/>
          <w:rtl/>
        </w:rPr>
        <w:t>»</w:t>
      </w:r>
      <w:r>
        <w:rPr>
          <w:rFonts w:hint="cs"/>
          <w:spacing w:val="-8"/>
          <w:rtl/>
        </w:rPr>
        <w:t>.</w:t>
      </w:r>
    </w:p>
  </w:footnote>
  <w:footnote w:id="370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46/أ من (ب).</w:t>
      </w:r>
    </w:p>
  </w:footnote>
  <w:footnote w:id="3703">
    <w:p w:rsidR="00035BE3" w:rsidRDefault="00035BE3" w:rsidP="00C10469">
      <w:pPr>
        <w:pStyle w:val="a8"/>
        <w:bidi/>
        <w:ind w:left="422" w:right="0" w:hanging="425"/>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BC5421">
        <w:rPr>
          <w:rFonts w:hint="cs"/>
          <w:rtl/>
        </w:rPr>
        <w:t xml:space="preserve">الأشباه والنظائر لابن نجيم، ص149- مع اختلاف يسير- وقد زاد ابن نجيم بعد هذه العبارة: </w:t>
      </w:r>
      <w:r w:rsidRPr="00BC5421">
        <w:rPr>
          <w:rFonts w:hint="eastAsia"/>
          <w:rtl/>
        </w:rPr>
        <w:t>«</w:t>
      </w:r>
      <w:r w:rsidRPr="00BC5421">
        <w:rPr>
          <w:rFonts w:hint="cs"/>
          <w:rtl/>
        </w:rPr>
        <w:t xml:space="preserve">... خلافًـا لـهما </w:t>
      </w:r>
      <w:r w:rsidRPr="00BC5421">
        <w:rPr>
          <w:rFonts w:hint="eastAsia"/>
          <w:rtl/>
        </w:rPr>
        <w:t>»</w:t>
      </w:r>
      <w:r w:rsidRPr="00BC5421">
        <w:rPr>
          <w:rFonts w:hint="cs"/>
          <w:rtl/>
        </w:rPr>
        <w:t>. وما ذكره ابن نجيم مسـتـفاد من جامـع الفصولين، الفصل 39، 2/236.</w:t>
      </w:r>
    </w:p>
    <w:p w:rsidR="00035BE3" w:rsidRDefault="00035BE3" w:rsidP="00C10469">
      <w:pPr>
        <w:pStyle w:val="a6"/>
        <w:ind w:left="422" w:firstLine="0"/>
        <w:rPr>
          <w:rtl/>
        </w:rPr>
      </w:pPr>
      <w:r>
        <w:rPr>
          <w:rFonts w:hint="cs"/>
          <w:rtl/>
        </w:rPr>
        <w:t>وانظر المثال في : الهداية وشرحيها : العناية وفتح القدير، 6/345 وما بـعدها؛ بـدائع الصـنائع، 5/295؛ الدّرر شرح الغرر، 2/158؛ غمز عيون البصائر، 1/366؛ شرح الـمجلـة للأتـاسـي، 1/132؛ شرح القواعد الفقهية للزرقا، ص292.</w:t>
      </w:r>
    </w:p>
  </w:footnote>
  <w:footnote w:id="370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 xml:space="preserve"> يسقط </w:t>
      </w:r>
      <w:r>
        <w:rPr>
          <w:rFonts w:hint="eastAsia"/>
          <w:spacing w:val="-8"/>
          <w:rtl/>
        </w:rPr>
        <w:t>»</w:t>
      </w:r>
      <w:r>
        <w:rPr>
          <w:rFonts w:hint="cs"/>
          <w:spacing w:val="-8"/>
          <w:rtl/>
        </w:rPr>
        <w:t>.</w:t>
      </w:r>
    </w:p>
  </w:footnote>
  <w:footnote w:id="370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ولا يستقيم المعنى بدونها.</w:t>
      </w:r>
    </w:p>
  </w:footnote>
  <w:footnote w:id="370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 xml:space="preserve">الموكل لا يصح </w:t>
      </w:r>
      <w:r>
        <w:rPr>
          <w:rFonts w:hint="eastAsia"/>
          <w:spacing w:val="-8"/>
          <w:rtl/>
        </w:rPr>
        <w:t>»</w:t>
      </w:r>
      <w:r>
        <w:rPr>
          <w:rFonts w:hint="cs"/>
          <w:spacing w:val="-8"/>
          <w:rtl/>
        </w:rPr>
        <w:t xml:space="preserve"> : ساقطة من (ب) و(د).</w:t>
      </w:r>
    </w:p>
  </w:footnote>
  <w:footnote w:id="3707">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أبو يوسف ومحمد بن الحسن.</w:t>
      </w:r>
    </w:p>
  </w:footnote>
  <w:footnote w:id="3708">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لا </w:t>
      </w:r>
      <w:r>
        <w:rPr>
          <w:rFonts w:hint="eastAsia"/>
          <w:rtl/>
        </w:rPr>
        <w:t>»</w:t>
      </w:r>
      <w:r>
        <w:rPr>
          <w:rFonts w:hint="cs"/>
          <w:rtl/>
        </w:rPr>
        <w:t xml:space="preserve"> : ساقطة من (د).</w:t>
      </w:r>
    </w:p>
  </w:footnote>
  <w:footnote w:id="3709">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54/أ من (جـ).</w:t>
      </w:r>
    </w:p>
  </w:footnote>
  <w:footnote w:id="3710">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بين الإمام أبي حنيفة وصاحبيه. وانظر رأيهم في المصادر السابقة.</w:t>
      </w:r>
    </w:p>
  </w:footnote>
  <w:footnote w:id="3711">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 xml:space="preserve"> طرفي </w:t>
      </w:r>
      <w:r>
        <w:rPr>
          <w:rFonts w:hint="eastAsia"/>
          <w:spacing w:val="-8"/>
          <w:rtl/>
        </w:rPr>
        <w:t>»</w:t>
      </w:r>
      <w:r>
        <w:rPr>
          <w:rFonts w:hint="cs"/>
          <w:spacing w:val="-8"/>
          <w:rtl/>
        </w:rPr>
        <w:t>.</w:t>
      </w:r>
    </w:p>
  </w:footnote>
  <w:footnote w:id="3712">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و(جـ) و(د) : </w:t>
      </w:r>
      <w:r>
        <w:rPr>
          <w:rFonts w:hint="eastAsia"/>
          <w:spacing w:val="-8"/>
          <w:rtl/>
        </w:rPr>
        <w:t>«</w:t>
      </w:r>
      <w:r>
        <w:rPr>
          <w:rFonts w:hint="cs"/>
          <w:spacing w:val="-8"/>
          <w:rtl/>
        </w:rPr>
        <w:t xml:space="preserve"> لصيرورته </w:t>
      </w:r>
      <w:r>
        <w:rPr>
          <w:rFonts w:hint="eastAsia"/>
          <w:spacing w:val="-8"/>
          <w:rtl/>
        </w:rPr>
        <w:t>»</w:t>
      </w:r>
      <w:r>
        <w:rPr>
          <w:rFonts w:hint="cs"/>
          <w:spacing w:val="-8"/>
          <w:rtl/>
        </w:rPr>
        <w:t>.</w:t>
      </w:r>
    </w:p>
  </w:footnote>
  <w:footnote w:id="3713">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spacing w:val="-8"/>
          <w:rtl/>
        </w:rPr>
        <w:t>«</w:t>
      </w:r>
      <w:r>
        <w:rPr>
          <w:rFonts w:hint="cs"/>
          <w:spacing w:val="-8"/>
          <w:rtl/>
        </w:rPr>
        <w:t xml:space="preserve"> يخلو </w:t>
      </w:r>
      <w:r>
        <w:rPr>
          <w:rFonts w:hint="eastAsia"/>
          <w:spacing w:val="-8"/>
          <w:rtl/>
        </w:rPr>
        <w:t>»</w:t>
      </w:r>
      <w:r>
        <w:rPr>
          <w:rFonts w:hint="cs"/>
          <w:spacing w:val="-8"/>
          <w:rtl/>
        </w:rPr>
        <w:t>. والأفصح ما تمَّ إثباته من (ب) و(د).</w:t>
      </w:r>
    </w:p>
  </w:footnote>
  <w:footnote w:id="3714">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ص149.</w:t>
      </w:r>
    </w:p>
  </w:footnote>
  <w:footnote w:id="3715">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72/أ من (أ).</w:t>
      </w:r>
    </w:p>
  </w:footnote>
  <w:footnote w:id="3716">
    <w:p w:rsidR="00035BE3" w:rsidRDefault="00035BE3" w:rsidP="00C10469">
      <w:pPr>
        <w:pStyle w:val="a8"/>
        <w:bidi/>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الأشباه والنظائر، ص148؛ وما ذكره ابن نجيم مستفاد من جامع الفصولين، 2/235؛ وانظر : غمز عيون البصائر، 1/365-366؛ شرح القواعد الفقهية، ص292.</w:t>
      </w:r>
    </w:p>
    <w:p w:rsidR="00035BE3" w:rsidRDefault="00035BE3" w:rsidP="00C10469">
      <w:pPr>
        <w:pStyle w:val="a6"/>
        <w:ind w:left="422" w:firstLine="0"/>
        <w:rPr>
          <w:spacing w:val="8"/>
          <w:rtl/>
        </w:rPr>
      </w:pPr>
      <w:r>
        <w:rPr>
          <w:rFonts w:hint="cs"/>
          <w:spacing w:val="8"/>
          <w:rtl/>
        </w:rPr>
        <w:t xml:space="preserve">وقد بيّن الأخير وجهَ دخول هذا الفرع في القاعدة فقال في نهاية المثال : </w:t>
      </w:r>
      <w:r>
        <w:rPr>
          <w:rFonts w:hint="eastAsia"/>
          <w:spacing w:val="8"/>
          <w:rtl/>
        </w:rPr>
        <w:t>«</w:t>
      </w:r>
      <w:r>
        <w:rPr>
          <w:rFonts w:hint="cs"/>
          <w:spacing w:val="8"/>
          <w:rtl/>
        </w:rPr>
        <w:t>... ولكن إذا أدّى المعتقُ الضمان لشريكه الساكت : ملكه، واغتفر التمليك والتملك؛ لأنه وجد ضمنًا وتبعًا</w:t>
      </w:r>
      <w:r>
        <w:rPr>
          <w:rFonts w:hint="eastAsia"/>
          <w:spacing w:val="8"/>
          <w:rtl/>
        </w:rPr>
        <w:t>»</w:t>
      </w:r>
      <w:r>
        <w:rPr>
          <w:rFonts w:hint="cs"/>
          <w:spacing w:val="8"/>
          <w:rtl/>
        </w:rPr>
        <w:t>.</w:t>
      </w:r>
    </w:p>
  </w:footnote>
  <w:footnote w:id="3717">
    <w:p w:rsidR="00035BE3" w:rsidRDefault="00035BE3" w:rsidP="00C10469">
      <w:pPr>
        <w:pStyle w:val="a8"/>
        <w:bidi/>
        <w:spacing w:line="48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الضميران في قوله : </w:t>
      </w:r>
      <w:r>
        <w:rPr>
          <w:rFonts w:hint="eastAsia"/>
          <w:rtl/>
        </w:rPr>
        <w:t>«</w:t>
      </w:r>
      <w:r>
        <w:rPr>
          <w:rFonts w:hint="cs"/>
          <w:rtl/>
        </w:rPr>
        <w:t>لأنه يملكه</w:t>
      </w:r>
      <w:r>
        <w:rPr>
          <w:rFonts w:hint="eastAsia"/>
          <w:rtl/>
        </w:rPr>
        <w:t>»</w:t>
      </w:r>
      <w:r>
        <w:rPr>
          <w:rFonts w:hint="cs"/>
          <w:rtl/>
        </w:rPr>
        <w:t xml:space="preserve"> يعودان إلى العبد الذي أعتق نصفه، والفاعل في (يملكه) ضمير مستتر تقديره (هو) يعود إلى الساكت، والتقدير : (لأن العبد يملكه الشريك الساكت).</w:t>
      </w:r>
    </w:p>
  </w:footnote>
  <w:footnote w:id="371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قوله: </w:t>
      </w:r>
      <w:r>
        <w:rPr>
          <w:rFonts w:hint="eastAsia"/>
          <w:b/>
          <w:bCs/>
          <w:rtl/>
        </w:rPr>
        <w:t>«</w:t>
      </w:r>
      <w:r>
        <w:rPr>
          <w:rFonts w:hint="cs"/>
          <w:b/>
          <w:bCs/>
          <w:rtl/>
        </w:rPr>
        <w:t xml:space="preserve"> رقبة لايدًا </w:t>
      </w:r>
      <w:r>
        <w:rPr>
          <w:rFonts w:hint="eastAsia"/>
          <w:b/>
          <w:bCs/>
          <w:rtl/>
        </w:rPr>
        <w:t>»</w:t>
      </w:r>
      <w:r>
        <w:rPr>
          <w:rFonts w:hint="cs"/>
          <w:rtl/>
        </w:rPr>
        <w:t xml:space="preserve">: معناه أن الشريك الساكت يملك العبد رقبة مآلاً، لا يدًا حالاً؛ إذْ </w:t>
      </w:r>
      <w:r>
        <w:rPr>
          <w:rFonts w:hint="eastAsia"/>
          <w:rtl/>
        </w:rPr>
        <w:t>«</w:t>
      </w:r>
      <w:r>
        <w:rPr>
          <w:rFonts w:hint="cs"/>
          <w:rtl/>
        </w:rPr>
        <w:t xml:space="preserve">الكتابة </w:t>
      </w:r>
      <w:r w:rsidRPr="00A86883">
        <w:rPr>
          <w:rFonts w:hint="cs"/>
          <w:spacing w:val="-4"/>
          <w:rtl/>
        </w:rPr>
        <w:t xml:space="preserve">شرعًا هي اعتاق المملوك يدًا حالاً، ورقبةً مآلاً. حتى لا يكون للمولى عليه سبيلٌ، فإذا أدّى بدل </w:t>
      </w:r>
      <w:r>
        <w:rPr>
          <w:rFonts w:hint="cs"/>
          <w:rtl/>
        </w:rPr>
        <w:t>الكتابة يُعتق مآلاً، وعند العجز يؤول إلى الرِقِّـيّة</w:t>
      </w:r>
      <w:r>
        <w:rPr>
          <w:rFonts w:hint="eastAsia"/>
          <w:rtl/>
        </w:rPr>
        <w:t>»</w:t>
      </w:r>
      <w:r>
        <w:rPr>
          <w:rFonts w:hint="cs"/>
          <w:rtl/>
        </w:rPr>
        <w:t>. قاله المجدّدي في الرسالة الرابعة من قواعده، ص440؛ وانظر: أنيس الفقهاء، ص169-170.</w:t>
      </w:r>
    </w:p>
  </w:footnote>
  <w:footnote w:id="3719">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موقوف أمرها.</w:t>
      </w:r>
    </w:p>
  </w:footnote>
  <w:footnote w:id="3720">
    <w:p w:rsidR="00035BE3" w:rsidRDefault="00035BE3" w:rsidP="00C10469">
      <w:pPr>
        <w:pStyle w:val="a8"/>
        <w:bidi/>
        <w:ind w:left="420" w:right="0" w:hanging="425"/>
        <w:rPr>
          <w:spacing w:val="-8"/>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الاستسعاء</w:t>
      </w:r>
      <w:r>
        <w:rPr>
          <w:rFonts w:hint="cs"/>
          <w:rtl/>
        </w:rPr>
        <w:t xml:space="preserve"> : عرَّفَ المجدّديُّ - في الرسالة الرابعة من قواعده، ص172- استسعاءَ العبدِ فقال : </w:t>
      </w:r>
      <w:r>
        <w:rPr>
          <w:rFonts w:hint="eastAsia"/>
          <w:spacing w:val="-8"/>
          <w:rtl/>
        </w:rPr>
        <w:t>«</w:t>
      </w:r>
      <w:r>
        <w:rPr>
          <w:rFonts w:hint="cs"/>
          <w:spacing w:val="-8"/>
          <w:rtl/>
        </w:rPr>
        <w:t>هو تكليفه من العمل ما يؤدي به عن نفسه إذا أُعتق بعضُه؛ ليعتق ما بقي منه</w:t>
      </w:r>
      <w:r>
        <w:rPr>
          <w:rFonts w:hint="eastAsia"/>
          <w:spacing w:val="-8"/>
          <w:rtl/>
        </w:rPr>
        <w:t>»</w:t>
      </w:r>
      <w:r>
        <w:rPr>
          <w:rFonts w:hint="cs"/>
          <w:spacing w:val="-8"/>
          <w:rtl/>
        </w:rPr>
        <w:t>.</w:t>
      </w:r>
    </w:p>
    <w:p w:rsidR="00035BE3" w:rsidRDefault="00035BE3" w:rsidP="00C10469">
      <w:pPr>
        <w:pStyle w:val="a6"/>
        <w:ind w:left="420" w:firstLine="0"/>
        <w:rPr>
          <w:rtl/>
        </w:rPr>
      </w:pPr>
      <w:r>
        <w:rPr>
          <w:rFonts w:hint="cs"/>
          <w:spacing w:val="-8"/>
          <w:rtl/>
        </w:rPr>
        <w:t>وانظر : معجم لغة الفقهاء، ص41.</w:t>
      </w:r>
    </w:p>
  </w:footnote>
  <w:footnote w:id="3721">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الكتاب</w:t>
      </w:r>
      <w:r>
        <w:rPr>
          <w:rFonts w:hint="eastAsia"/>
          <w:rtl/>
        </w:rPr>
        <w:t>»</w:t>
      </w:r>
      <w:r>
        <w:rPr>
          <w:rFonts w:hint="cs"/>
          <w:rtl/>
        </w:rPr>
        <w:t>.</w:t>
      </w:r>
    </w:p>
  </w:footnote>
  <w:footnote w:id="3722">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هذا تعليلٌ بقاعدة سبق أن أفردها المؤلف بالحديث، ص810 (ل63/ب)، قاعدة 158.</w:t>
      </w:r>
    </w:p>
  </w:footnote>
  <w:footnote w:id="3723">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يتزوجه</w:t>
      </w:r>
      <w:r>
        <w:rPr>
          <w:rFonts w:hint="eastAsia"/>
          <w:spacing w:val="-8"/>
          <w:rtl/>
        </w:rPr>
        <w:t>»</w:t>
      </w:r>
      <w:r>
        <w:rPr>
          <w:rFonts w:hint="cs"/>
          <w:spacing w:val="-8"/>
          <w:rtl/>
        </w:rPr>
        <w:t>.</w:t>
      </w:r>
    </w:p>
  </w:footnote>
  <w:footnote w:id="3724">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فقال الفضولي : ...</w:t>
      </w:r>
    </w:p>
    <w:p w:rsidR="00035BE3" w:rsidRDefault="00035BE3" w:rsidP="00C10469">
      <w:pPr>
        <w:pStyle w:val="a6"/>
        <w:ind w:left="420" w:firstLine="0"/>
        <w:rPr>
          <w:rtl/>
        </w:rPr>
      </w:pPr>
      <w:r>
        <w:rPr>
          <w:rFonts w:hint="cs"/>
          <w:rtl/>
        </w:rPr>
        <w:t xml:space="preserve">والجملة الأخيرة جاءت في أشباه بن نجيم بلفظ آخر، وهو : </w:t>
      </w:r>
      <w:r>
        <w:rPr>
          <w:rFonts w:hint="eastAsia"/>
          <w:spacing w:val="-8"/>
          <w:rtl/>
        </w:rPr>
        <w:t>«</w:t>
      </w:r>
      <w:r>
        <w:rPr>
          <w:rFonts w:hint="cs"/>
          <w:spacing w:val="-8"/>
          <w:rtl/>
        </w:rPr>
        <w:t>ثم الزوجُ وكّله بأن يزوجه امرأة، فقال : نقضت ...</w:t>
      </w:r>
      <w:r>
        <w:rPr>
          <w:rFonts w:hint="eastAsia"/>
          <w:spacing w:val="-8"/>
          <w:rtl/>
        </w:rPr>
        <w:t>»</w:t>
      </w:r>
      <w:r>
        <w:rPr>
          <w:rFonts w:hint="cs"/>
          <w:spacing w:val="-8"/>
          <w:rtl/>
        </w:rPr>
        <w:t>. وكلا اللفظين يستقيم بهما المعنى.</w:t>
      </w:r>
    </w:p>
  </w:footnote>
  <w:footnote w:id="3725">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ينـتقض</w:t>
      </w:r>
      <w:r>
        <w:rPr>
          <w:rFonts w:hint="eastAsia"/>
          <w:rtl/>
        </w:rPr>
        <w:t>»</w:t>
      </w:r>
      <w:r>
        <w:rPr>
          <w:rFonts w:hint="cs"/>
          <w:rtl/>
        </w:rPr>
        <w:t>، وفاقًا لأشباه ابن نجيم.</w:t>
      </w:r>
    </w:p>
  </w:footnote>
  <w:footnote w:id="3726">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فلو لم </w:t>
      </w:r>
      <w:r>
        <w:rPr>
          <w:rFonts w:hint="eastAsia"/>
          <w:rtl/>
        </w:rPr>
        <w:t>»</w:t>
      </w:r>
      <w:r>
        <w:rPr>
          <w:rFonts w:hint="cs"/>
          <w:rtl/>
        </w:rPr>
        <w:t xml:space="preserve">، وفي (د) : </w:t>
      </w:r>
      <w:r>
        <w:rPr>
          <w:rFonts w:hint="eastAsia"/>
          <w:rtl/>
        </w:rPr>
        <w:t>«</w:t>
      </w:r>
      <w:r>
        <w:rPr>
          <w:rFonts w:hint="cs"/>
          <w:rtl/>
        </w:rPr>
        <w:t>فلم</w:t>
      </w:r>
      <w:r>
        <w:rPr>
          <w:rFonts w:hint="eastAsia"/>
          <w:rtl/>
        </w:rPr>
        <w:t>»</w:t>
      </w:r>
      <w:r>
        <w:rPr>
          <w:rFonts w:hint="cs"/>
          <w:rtl/>
        </w:rPr>
        <w:t>.</w:t>
      </w:r>
    </w:p>
  </w:footnote>
  <w:footnote w:id="3727">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زيادة </w:t>
      </w:r>
      <w:r>
        <w:rPr>
          <w:rFonts w:hint="eastAsia"/>
          <w:rtl/>
        </w:rPr>
        <w:t>«</w:t>
      </w:r>
      <w:r>
        <w:rPr>
          <w:rFonts w:hint="cs"/>
          <w:rtl/>
        </w:rPr>
        <w:t xml:space="preserve"> لو </w:t>
      </w:r>
      <w:r>
        <w:rPr>
          <w:rFonts w:hint="eastAsia"/>
          <w:rtl/>
        </w:rPr>
        <w:t>»</w:t>
      </w:r>
      <w:r>
        <w:rPr>
          <w:rFonts w:hint="cs"/>
          <w:rtl/>
        </w:rPr>
        <w:t>.</w:t>
      </w:r>
    </w:p>
  </w:footnote>
  <w:footnote w:id="3728">
    <w:p w:rsidR="00035BE3" w:rsidRDefault="00035BE3" w:rsidP="00C10469">
      <w:pPr>
        <w:pStyle w:val="a8"/>
        <w:bidi/>
        <w:ind w:left="420"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44/ب من (د).</w:t>
      </w:r>
    </w:p>
  </w:footnote>
  <w:footnote w:id="3729">
    <w:p w:rsidR="00035BE3" w:rsidRDefault="00035BE3" w:rsidP="00C10469">
      <w:pPr>
        <w:pStyle w:val="a8"/>
        <w:bidi/>
        <w:ind w:left="420" w:right="0" w:hanging="425"/>
        <w:rPr>
          <w:spacing w:val="-14"/>
          <w:rtl/>
        </w:rPr>
      </w:pPr>
      <w:r>
        <w:rPr>
          <w:rFonts w:hint="cs"/>
          <w:spacing w:val="-14"/>
          <w:vertAlign w:val="superscript"/>
          <w:rtl/>
        </w:rPr>
        <w:t>(</w:t>
      </w:r>
      <w:r>
        <w:rPr>
          <w:rStyle w:val="a7"/>
          <w:spacing w:val="-14"/>
        </w:rPr>
        <w:footnoteRef/>
      </w:r>
      <w:r>
        <w:rPr>
          <w:rFonts w:hint="cs"/>
          <w:spacing w:val="-14"/>
          <w:vertAlign w:val="superscript"/>
          <w:rtl/>
        </w:rPr>
        <w:t>)</w:t>
      </w:r>
      <w:r>
        <w:rPr>
          <w:rFonts w:hint="cs"/>
          <w:spacing w:val="-14"/>
          <w:rtl/>
        </w:rPr>
        <w:t xml:space="preserve">  الأشباه والنظائر لابن نجيم، ص148 - مع الاختلاف الذي سبق بيانه-؛ وما ذكره ابن نجيم مستفاد من جامع الفصولين، 2/236؛ وانظر : شرح القواعد الفقهية للزرقا، ص292.</w:t>
      </w:r>
    </w:p>
  </w:footnote>
  <w:footnote w:id="3730">
    <w:p w:rsidR="00035BE3" w:rsidRDefault="00035BE3" w:rsidP="00C10469">
      <w:pPr>
        <w:pStyle w:val="a8"/>
        <w:bidi/>
        <w:spacing w:line="4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فيرجح</w:t>
      </w:r>
      <w:r>
        <w:rPr>
          <w:rFonts w:hint="eastAsia"/>
          <w:rtl/>
        </w:rPr>
        <w:t>»</w:t>
      </w:r>
      <w:r>
        <w:rPr>
          <w:rFonts w:hint="cs"/>
          <w:rtl/>
        </w:rPr>
        <w:t>.</w:t>
      </w:r>
    </w:p>
  </w:footnote>
  <w:footnote w:id="3731">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فيرجح</w:t>
      </w:r>
      <w:r>
        <w:rPr>
          <w:rFonts w:hint="eastAsia"/>
          <w:rtl/>
        </w:rPr>
        <w:t>»</w:t>
      </w:r>
      <w:r>
        <w:rPr>
          <w:rFonts w:hint="cs"/>
          <w:rtl/>
        </w:rPr>
        <w:t>.</w:t>
      </w:r>
    </w:p>
  </w:footnote>
  <w:footnote w:id="3732">
    <w:p w:rsidR="00035BE3" w:rsidRDefault="00035BE3" w:rsidP="00C10469">
      <w:pPr>
        <w:pStyle w:val="a8"/>
        <w:bidi/>
        <w:spacing w:line="420" w:lineRule="exact"/>
        <w:ind w:left="422" w:right="0" w:hanging="425"/>
        <w:rPr>
          <w:spacing w:val="-8"/>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spacing w:val="-8"/>
          <w:rtl/>
        </w:rPr>
        <w:t>«</w:t>
      </w:r>
      <w:r>
        <w:rPr>
          <w:rFonts w:hint="cs"/>
          <w:spacing w:val="-8"/>
          <w:rtl/>
        </w:rPr>
        <w:t>غراره</w:t>
      </w:r>
      <w:r>
        <w:rPr>
          <w:rFonts w:hint="eastAsia"/>
          <w:spacing w:val="-8"/>
          <w:rtl/>
        </w:rPr>
        <w:t>»</w:t>
      </w:r>
      <w:r>
        <w:rPr>
          <w:rFonts w:hint="cs"/>
          <w:spacing w:val="-8"/>
          <w:rtl/>
        </w:rPr>
        <w:t xml:space="preserve"> (بالهاء). والصواب ما تمَّ إثباته من (ب) و(د)، وهو الموافق لأشباه ابن نجيم.</w:t>
      </w:r>
    </w:p>
    <w:p w:rsidR="00035BE3" w:rsidRDefault="00035BE3" w:rsidP="00C10469">
      <w:pPr>
        <w:pStyle w:val="a6"/>
        <w:spacing w:line="420" w:lineRule="exact"/>
        <w:ind w:left="422" w:firstLine="0"/>
        <w:rPr>
          <w:spacing w:val="-8"/>
          <w:rtl/>
        </w:rPr>
      </w:pPr>
      <w:r>
        <w:rPr>
          <w:rFonts w:hint="cs"/>
          <w:spacing w:val="-8"/>
          <w:rtl/>
        </w:rPr>
        <w:t xml:space="preserve">وقد فُسِّرت في هامش (أ) -بخط مغاير- بـ </w:t>
      </w:r>
      <w:r>
        <w:rPr>
          <w:rFonts w:hint="eastAsia"/>
          <w:spacing w:val="-8"/>
          <w:rtl/>
        </w:rPr>
        <w:t>«</w:t>
      </w:r>
      <w:r>
        <w:rPr>
          <w:rFonts w:hint="cs"/>
          <w:spacing w:val="-8"/>
          <w:rtl/>
        </w:rPr>
        <w:t>أي جِوال</w:t>
      </w:r>
      <w:r>
        <w:rPr>
          <w:rFonts w:hint="eastAsia"/>
          <w:spacing w:val="-8"/>
          <w:rtl/>
        </w:rPr>
        <w:t>»</w:t>
      </w:r>
      <w:r>
        <w:rPr>
          <w:rFonts w:hint="cs"/>
          <w:spacing w:val="-8"/>
          <w:rtl/>
        </w:rPr>
        <w:t>.</w:t>
      </w:r>
    </w:p>
    <w:p w:rsidR="00035BE3" w:rsidRDefault="00035BE3" w:rsidP="00C10469">
      <w:pPr>
        <w:pStyle w:val="a6"/>
        <w:ind w:left="422" w:firstLine="0"/>
        <w:rPr>
          <w:rtl/>
        </w:rPr>
      </w:pPr>
      <w:r>
        <w:rPr>
          <w:rFonts w:hint="cs"/>
          <w:b/>
          <w:bCs/>
          <w:rtl/>
        </w:rPr>
        <w:t>وقد عُرِّفت بأنها</w:t>
      </w:r>
      <w:r>
        <w:rPr>
          <w:rFonts w:hint="cs"/>
          <w:rtl/>
        </w:rPr>
        <w:t xml:space="preserve"> : </w:t>
      </w:r>
      <w:r>
        <w:rPr>
          <w:rFonts w:hint="eastAsia"/>
          <w:rtl/>
        </w:rPr>
        <w:t>«</w:t>
      </w:r>
      <w:r>
        <w:rPr>
          <w:rFonts w:hint="cs"/>
          <w:rtl/>
        </w:rPr>
        <w:t>وعاء من الخيش ونحوه، يوضع فيه القمح ونحوه ... [والجمع] : غرائر</w:t>
      </w:r>
      <w:r>
        <w:rPr>
          <w:rFonts w:hint="eastAsia"/>
          <w:rtl/>
        </w:rPr>
        <w:t>»</w:t>
      </w:r>
      <w:r>
        <w:rPr>
          <w:rFonts w:hint="cs"/>
          <w:rtl/>
        </w:rPr>
        <w:t xml:space="preserve">. كذا في المعجم الوسيط، مادة </w:t>
      </w:r>
      <w:r>
        <w:rPr>
          <w:rFonts w:hint="eastAsia"/>
          <w:rtl/>
        </w:rPr>
        <w:t>«</w:t>
      </w:r>
      <w:r>
        <w:rPr>
          <w:rFonts w:hint="cs"/>
          <w:rtl/>
        </w:rPr>
        <w:t>غر</w:t>
      </w:r>
      <w:r>
        <w:rPr>
          <w:rFonts w:hint="eastAsia"/>
          <w:rtl/>
        </w:rPr>
        <w:t>»</w:t>
      </w:r>
      <w:r>
        <w:rPr>
          <w:rFonts w:hint="cs"/>
          <w:rtl/>
        </w:rPr>
        <w:t xml:space="preserve">، 2/648؛ وانظر : طلبة الطلبة، ص238؛ لسان العرب، مادة </w:t>
      </w:r>
      <w:r>
        <w:rPr>
          <w:rFonts w:hint="eastAsia"/>
          <w:rtl/>
        </w:rPr>
        <w:t>«</w:t>
      </w:r>
      <w:r>
        <w:rPr>
          <w:rFonts w:hint="cs"/>
          <w:rtl/>
        </w:rPr>
        <w:t>غرر</w:t>
      </w:r>
      <w:r>
        <w:rPr>
          <w:rFonts w:hint="eastAsia"/>
          <w:rtl/>
        </w:rPr>
        <w:t>»</w:t>
      </w:r>
      <w:r>
        <w:rPr>
          <w:rFonts w:hint="cs"/>
          <w:rtl/>
        </w:rPr>
        <w:t>، 5/18؛ قواعد الفقه للمجدّدي (الرسالة الرابعة منه)، ص399.</w:t>
      </w:r>
    </w:p>
  </w:footnote>
  <w:footnote w:id="3733">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46/ب من (ب).</w:t>
      </w:r>
    </w:p>
  </w:footnote>
  <w:footnote w:id="3734">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72/ب من (أ).</w:t>
      </w:r>
    </w:p>
  </w:footnote>
  <w:footnote w:id="3735">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spacing w:val="-8"/>
          <w:rtl/>
        </w:rPr>
        <w:t>«</w:t>
      </w:r>
      <w:r>
        <w:rPr>
          <w:rFonts w:hint="cs"/>
          <w:spacing w:val="-8"/>
          <w:rtl/>
        </w:rPr>
        <w:t>ما</w:t>
      </w:r>
      <w:r>
        <w:rPr>
          <w:rFonts w:hint="eastAsia"/>
          <w:spacing w:val="-8"/>
          <w:rtl/>
        </w:rPr>
        <w:t>»</w:t>
      </w:r>
      <w:r>
        <w:rPr>
          <w:rFonts w:hint="cs"/>
          <w:spacing w:val="-8"/>
          <w:rtl/>
        </w:rPr>
        <w:t>.</w:t>
      </w:r>
    </w:p>
  </w:footnote>
  <w:footnote w:id="3736">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 xml:space="preserve"> يصلح </w:t>
      </w:r>
      <w:r>
        <w:rPr>
          <w:rFonts w:hint="eastAsia"/>
          <w:spacing w:val="-8"/>
          <w:rtl/>
        </w:rPr>
        <w:t>»</w:t>
      </w:r>
      <w:r>
        <w:rPr>
          <w:rFonts w:hint="cs"/>
          <w:spacing w:val="-8"/>
          <w:rtl/>
        </w:rPr>
        <w:t>. وهذا الأولى؛ وفاقًا للأشباه؛ وليحصل التوافق بينها وبين (يصلح) في الجملة الآتية.</w:t>
      </w:r>
    </w:p>
  </w:footnote>
  <w:footnote w:id="3737">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ويصح </w:t>
      </w:r>
      <w:r>
        <w:rPr>
          <w:rFonts w:hint="eastAsia"/>
          <w:spacing w:val="-8"/>
          <w:rtl/>
        </w:rPr>
        <w:t>»</w:t>
      </w:r>
      <w:r>
        <w:rPr>
          <w:rFonts w:hint="cs"/>
          <w:spacing w:val="-8"/>
          <w:rtl/>
        </w:rPr>
        <w:t>.</w:t>
      </w:r>
    </w:p>
  </w:footnote>
  <w:footnote w:id="3738">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ص148- مع الاختلاف اليسير الذي سبق بيانه-؛ وما ذكره ابن نجيم مستفاد من جامع الفصولين، 2/236. وانظر : شرح القواعد الفقهية للزرقا، ص292.</w:t>
      </w:r>
    </w:p>
  </w:footnote>
  <w:footnote w:id="3739">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54/ب من (جـ).</w:t>
      </w:r>
    </w:p>
  </w:footnote>
  <w:footnote w:id="3740">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spacing w:val="-8"/>
          <w:rtl/>
        </w:rPr>
        <w:t>«</w:t>
      </w:r>
      <w:r>
        <w:rPr>
          <w:rFonts w:hint="cs"/>
          <w:spacing w:val="-8"/>
          <w:rtl/>
        </w:rPr>
        <w:t>ظرف</w:t>
      </w:r>
      <w:r>
        <w:rPr>
          <w:rFonts w:hint="eastAsia"/>
          <w:spacing w:val="-8"/>
          <w:rtl/>
        </w:rPr>
        <w:t>»</w:t>
      </w:r>
      <w:r>
        <w:rPr>
          <w:rFonts w:hint="cs"/>
          <w:spacing w:val="-8"/>
          <w:rtl/>
        </w:rPr>
        <w:t>. ولعلَّ هذا الأولى.</w:t>
      </w:r>
    </w:p>
  </w:footnote>
  <w:footnote w:id="3741">
    <w:p w:rsidR="00035BE3" w:rsidRDefault="00035BE3" w:rsidP="00C10469">
      <w:pPr>
        <w:pStyle w:val="a8"/>
        <w:bidi/>
        <w:spacing w:line="44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فبقي</w:t>
      </w:r>
      <w:r>
        <w:rPr>
          <w:rFonts w:hint="eastAsia"/>
          <w:spacing w:val="-8"/>
          <w:rtl/>
        </w:rPr>
        <w:t>»</w:t>
      </w:r>
      <w:r>
        <w:rPr>
          <w:rFonts w:hint="cs"/>
          <w:spacing w:val="-8"/>
          <w:rtl/>
        </w:rPr>
        <w:t>.</w:t>
      </w:r>
    </w:p>
  </w:footnote>
  <w:footnote w:id="374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 xml:space="preserve"> الـتخالف </w:t>
      </w:r>
      <w:r>
        <w:rPr>
          <w:rFonts w:hint="eastAsia"/>
          <w:spacing w:val="-8"/>
          <w:rtl/>
        </w:rPr>
        <w:t>»</w:t>
      </w:r>
      <w:r>
        <w:rPr>
          <w:rFonts w:hint="cs"/>
          <w:spacing w:val="-8"/>
          <w:rtl/>
        </w:rPr>
        <w:t>.</w:t>
      </w:r>
    </w:p>
  </w:footnote>
  <w:footnote w:id="37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وما جاء في شرحها مذكور في الدرر شرح الغرر، 2/223 - إلا أنه جاء في الدرر : </w:t>
      </w:r>
      <w:r>
        <w:rPr>
          <w:rFonts w:hint="eastAsia"/>
          <w:rtl/>
        </w:rPr>
        <w:t>«</w:t>
      </w:r>
      <w:r>
        <w:rPr>
          <w:rFonts w:hint="cs"/>
          <w:rtl/>
        </w:rPr>
        <w:t xml:space="preserve">... لا في </w:t>
      </w:r>
      <w:r>
        <w:rPr>
          <w:rFonts w:hint="cs"/>
          <w:b/>
          <w:bCs/>
          <w:rtl/>
        </w:rPr>
        <w:t>عود</w:t>
      </w:r>
      <w:r>
        <w:rPr>
          <w:rFonts w:hint="cs"/>
          <w:rtl/>
        </w:rPr>
        <w:t xml:space="preserve"> الملك القديم</w:t>
      </w:r>
      <w:r>
        <w:rPr>
          <w:rFonts w:hint="eastAsia"/>
          <w:rtl/>
        </w:rPr>
        <w:t>»</w:t>
      </w:r>
      <w:r>
        <w:rPr>
          <w:rFonts w:hint="cs"/>
          <w:rtl/>
        </w:rPr>
        <w:t>. وهذا أولى-.</w:t>
      </w:r>
    </w:p>
    <w:p w:rsidR="00035BE3" w:rsidRDefault="00035BE3" w:rsidP="00C10469">
      <w:pPr>
        <w:pStyle w:val="a6"/>
        <w:ind w:left="422" w:firstLine="0"/>
        <w:rPr>
          <w:rtl/>
        </w:rPr>
      </w:pPr>
      <w:r>
        <w:rPr>
          <w:rFonts w:hint="cs"/>
          <w:b/>
          <w:bCs/>
          <w:rtl/>
        </w:rPr>
        <w:t xml:space="preserve">ومعناها </w:t>
      </w:r>
      <w:r>
        <w:rPr>
          <w:rFonts w:hint="cs"/>
          <w:rtl/>
        </w:rPr>
        <w:t xml:space="preserve">: </w:t>
      </w:r>
    </w:p>
    <w:p w:rsidR="00035BE3" w:rsidRDefault="00035BE3" w:rsidP="00C10469">
      <w:pPr>
        <w:pStyle w:val="a6"/>
        <w:ind w:left="422" w:firstLine="0"/>
        <w:rPr>
          <w:rtl/>
        </w:rPr>
      </w:pPr>
      <w:r>
        <w:rPr>
          <w:rFonts w:hint="cs"/>
          <w:rtl/>
        </w:rPr>
        <w:t>أن قبض المبيع إنما يكون مطلوبًا وله تأثير عندما ينتقل ملك المبيع إلى القابض، أما إذا ادعى أنه كان مملوكًا له من قبل فلا أهمية ولا اعتبار للقبض حينئذ.</w:t>
      </w:r>
    </w:p>
  </w:footnote>
  <w:footnote w:id="37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2/223-224. ونص ما جاء في الغرر وشرحه : </w:t>
      </w:r>
      <w:r>
        <w:rPr>
          <w:rFonts w:hint="eastAsia"/>
          <w:rtl/>
        </w:rPr>
        <w:t>«</w:t>
      </w:r>
      <w:r>
        <w:rPr>
          <w:rFonts w:hint="cs"/>
          <w:rtl/>
        </w:rPr>
        <w:t>الرجوع بتراض أو حكم قاض (فسخ لعقد الهبة) من الأصل، وإعادة للملك القديم، (لاهبة للواهب. فلم يشترط قبضه) أي قبض الواهب؛ لأن القبض إنما يعتبر في انتقال الملك، لا في عود الملك القديم. (وصح) الرجوع (في المشاع) القابل للقسمة، (كنصف دار وهبت)، ولو كان هبة لما صح فيه</w:t>
      </w:r>
      <w:r>
        <w:rPr>
          <w:rFonts w:hint="eastAsia"/>
          <w:rtl/>
        </w:rPr>
        <w:t>»</w:t>
      </w:r>
      <w:r>
        <w:rPr>
          <w:rFonts w:hint="cs"/>
          <w:rtl/>
        </w:rPr>
        <w:t>.</w:t>
      </w:r>
    </w:p>
  </w:footnote>
  <w:footnote w:id="3745">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وردت هذه القاعدة بنحو هذا  اللفظ في : الأشباه والنظائر لابن نجيم، ص247؛ الفوائد الزينية له أيضًا، ص43، فائدة 17 - ولفظه فيهما : </w:t>
      </w:r>
      <w:r>
        <w:rPr>
          <w:rFonts w:hint="eastAsia"/>
          <w:spacing w:val="6"/>
          <w:rtl/>
        </w:rPr>
        <w:t>«</w:t>
      </w:r>
      <w:r>
        <w:rPr>
          <w:rFonts w:hint="cs"/>
          <w:spacing w:val="6"/>
          <w:rtl/>
        </w:rPr>
        <w:t xml:space="preserve">القضاء </w:t>
      </w:r>
      <w:r>
        <w:rPr>
          <w:rFonts w:hint="cs"/>
          <w:b/>
          <w:bCs/>
          <w:spacing w:val="6"/>
          <w:rtl/>
        </w:rPr>
        <w:t>يقتصر</w:t>
      </w:r>
      <w:r>
        <w:rPr>
          <w:rFonts w:hint="cs"/>
          <w:spacing w:val="6"/>
          <w:rtl/>
        </w:rPr>
        <w:t xml:space="preserve"> على المقضي عليه ولا يتعدى إلى غيره إلا في خمس ...</w:t>
      </w:r>
      <w:r>
        <w:rPr>
          <w:rFonts w:hint="eastAsia"/>
          <w:spacing w:val="6"/>
          <w:rtl/>
        </w:rPr>
        <w:t>»</w:t>
      </w:r>
      <w:r>
        <w:rPr>
          <w:rFonts w:hint="cs"/>
          <w:spacing w:val="6"/>
          <w:rtl/>
        </w:rPr>
        <w:t>-.</w:t>
      </w:r>
    </w:p>
  </w:footnote>
  <w:footnote w:id="37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تفسيرها في الدرر بلفظ : </w:t>
      </w:r>
      <w:r>
        <w:rPr>
          <w:rFonts w:hint="eastAsia"/>
          <w:spacing w:val="-8"/>
          <w:rtl/>
        </w:rPr>
        <w:t>«</w:t>
      </w:r>
      <w:r>
        <w:rPr>
          <w:rFonts w:hint="cs"/>
          <w:spacing w:val="-8"/>
          <w:rtl/>
        </w:rPr>
        <w:t>أي كافة الناس</w:t>
      </w:r>
      <w:r>
        <w:rPr>
          <w:rFonts w:hint="eastAsia"/>
          <w:spacing w:val="-8"/>
          <w:rtl/>
        </w:rPr>
        <w:t>»</w:t>
      </w:r>
      <w:r>
        <w:rPr>
          <w:rFonts w:hint="cs"/>
          <w:spacing w:val="-8"/>
          <w:rtl/>
        </w:rPr>
        <w:t>.</w:t>
      </w:r>
    </w:p>
  </w:footnote>
  <w:footnote w:id="37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spacing w:val="-8"/>
          <w:rtl/>
        </w:rPr>
        <w:t>«</w:t>
      </w:r>
      <w:r>
        <w:rPr>
          <w:rFonts w:hint="cs"/>
          <w:spacing w:val="-8"/>
          <w:rtl/>
        </w:rPr>
        <w:t>يسـمع</w:t>
      </w:r>
      <w:r>
        <w:rPr>
          <w:rFonts w:hint="eastAsia"/>
          <w:spacing w:val="-8"/>
          <w:rtl/>
        </w:rPr>
        <w:t>»</w:t>
      </w:r>
      <w:r>
        <w:rPr>
          <w:rFonts w:hint="cs"/>
          <w:spacing w:val="-8"/>
          <w:rtl/>
        </w:rPr>
        <w:t>. والأفـصح ما تمَّ إثباته من (د)، وهو الموافق لمصدري هذه العبارة (وهما الدّرر وأشباه ابن نجيم).</w:t>
      </w:r>
    </w:p>
  </w:footnote>
  <w:footnote w:id="37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2/190؛ الأشباه لابن نجيم، ص247؛ وانظر : الفوائد الزينية، ص43.</w:t>
      </w:r>
    </w:p>
  </w:footnote>
  <w:footnote w:id="37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73/أ من (أ).</w:t>
      </w:r>
    </w:p>
    <w:p w:rsidR="00035BE3" w:rsidRDefault="00035BE3" w:rsidP="00C10469">
      <w:pPr>
        <w:pStyle w:val="a6"/>
        <w:ind w:left="422" w:firstLine="0"/>
        <w:rPr>
          <w:rtl/>
        </w:rPr>
      </w:pPr>
      <w:r>
        <w:rPr>
          <w:rFonts w:hint="cs"/>
          <w:rtl/>
        </w:rPr>
        <w:t xml:space="preserve">يضاف إلى ذلك أن قوله : </w:t>
      </w:r>
      <w:r>
        <w:rPr>
          <w:rFonts w:hint="eastAsia"/>
          <w:spacing w:val="-8"/>
          <w:rtl/>
        </w:rPr>
        <w:t>«</w:t>
      </w:r>
      <w:r>
        <w:rPr>
          <w:rFonts w:hint="cs"/>
          <w:spacing w:val="-8"/>
          <w:rtl/>
        </w:rPr>
        <w:t>استرقاق الحرّ</w:t>
      </w:r>
      <w:r>
        <w:rPr>
          <w:rFonts w:hint="eastAsia"/>
          <w:spacing w:val="-8"/>
          <w:rtl/>
        </w:rPr>
        <w:t>»</w:t>
      </w:r>
      <w:r>
        <w:rPr>
          <w:rFonts w:hint="cs"/>
          <w:spacing w:val="-8"/>
          <w:rtl/>
        </w:rPr>
        <w:t xml:space="preserve"> : ساقط من (د).</w:t>
      </w:r>
    </w:p>
  </w:footnote>
  <w:footnote w:id="37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لكونه </w:t>
      </w:r>
      <w:r>
        <w:rPr>
          <w:rFonts w:hint="eastAsia"/>
          <w:rtl/>
        </w:rPr>
        <w:t>»</w:t>
      </w:r>
      <w:r>
        <w:rPr>
          <w:rFonts w:hint="cs"/>
          <w:rtl/>
        </w:rPr>
        <w:t>. والصحيح ما تمَّ إثباته من باقي النسخ.</w:t>
      </w:r>
    </w:p>
  </w:footnote>
  <w:footnote w:id="37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الحل </w:t>
      </w:r>
      <w:r>
        <w:rPr>
          <w:rFonts w:hint="eastAsia"/>
          <w:rtl/>
        </w:rPr>
        <w:t>»</w:t>
      </w:r>
      <w:r>
        <w:rPr>
          <w:rFonts w:hint="cs"/>
          <w:rtl/>
        </w:rPr>
        <w:t>.</w:t>
      </w:r>
    </w:p>
  </w:footnote>
  <w:footnote w:id="37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على الغائب </w:t>
      </w:r>
      <w:r>
        <w:rPr>
          <w:rFonts w:hint="eastAsia"/>
          <w:rtl/>
        </w:rPr>
        <w:t>»</w:t>
      </w:r>
      <w:r>
        <w:rPr>
          <w:rFonts w:hint="cs"/>
          <w:rtl/>
        </w:rPr>
        <w:t>. وما بعدها (وهو : لعدم ... خصمًا) : ساقط من (ب) و(د).</w:t>
      </w:r>
    </w:p>
  </w:footnote>
  <w:footnote w:id="3753">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rtl/>
        </w:rPr>
        <w:t xml:space="preserve"> </w:t>
      </w:r>
      <w:r w:rsidRPr="004A62C0">
        <w:rPr>
          <w:rFonts w:hint="cs"/>
          <w:rtl/>
        </w:rPr>
        <w:t>زيادة من (جـ) و(هـ) و(و). ولا يستقيم المعنى بدونها؛ لهذا تمَّ إثباتها، وفاقًا لمصدر هذه العبارة (وهو الدّرر).</w:t>
      </w:r>
    </w:p>
  </w:footnote>
  <w:footnote w:id="37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2/190.</w:t>
      </w:r>
    </w:p>
  </w:footnote>
  <w:footnote w:id="37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 xml:space="preserve"> من جهة </w:t>
      </w:r>
      <w:r>
        <w:rPr>
          <w:rFonts w:hint="eastAsia"/>
          <w:spacing w:val="-8"/>
          <w:rtl/>
        </w:rPr>
        <w:t>»</w:t>
      </w:r>
      <w:r>
        <w:rPr>
          <w:rFonts w:hint="cs"/>
          <w:spacing w:val="-8"/>
          <w:rtl/>
        </w:rPr>
        <w:t>.</w:t>
      </w:r>
    </w:p>
  </w:footnote>
  <w:footnote w:id="37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 xml:space="preserve"> مقتضيًا </w:t>
      </w:r>
      <w:r>
        <w:rPr>
          <w:rFonts w:hint="eastAsia"/>
          <w:spacing w:val="-8"/>
          <w:rtl/>
        </w:rPr>
        <w:t>»</w:t>
      </w:r>
      <w:r>
        <w:rPr>
          <w:rFonts w:hint="cs"/>
          <w:spacing w:val="-8"/>
          <w:rtl/>
        </w:rPr>
        <w:t>.</w:t>
      </w:r>
    </w:p>
  </w:footnote>
  <w:footnote w:id="37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التعدي </w:t>
      </w:r>
      <w:r>
        <w:rPr>
          <w:rFonts w:hint="eastAsia"/>
          <w:spacing w:val="-8"/>
          <w:rtl/>
        </w:rPr>
        <w:t>»</w:t>
      </w:r>
      <w:r>
        <w:rPr>
          <w:rFonts w:hint="cs"/>
          <w:spacing w:val="-8"/>
          <w:rtl/>
        </w:rPr>
        <w:t>.</w:t>
      </w:r>
    </w:p>
  </w:footnote>
  <w:footnote w:id="37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قضي</w:t>
      </w:r>
      <w:r>
        <w:rPr>
          <w:rFonts w:hint="eastAsia"/>
          <w:spacing w:val="-8"/>
          <w:rtl/>
        </w:rPr>
        <w:t>»</w:t>
      </w:r>
      <w:r>
        <w:rPr>
          <w:rFonts w:hint="cs"/>
          <w:spacing w:val="-8"/>
          <w:rtl/>
        </w:rPr>
        <w:t xml:space="preserve"> : وردت مكرّرة في (أ). وقد جاء في الدّرر : </w:t>
      </w:r>
      <w:r>
        <w:rPr>
          <w:rFonts w:hint="eastAsia"/>
          <w:spacing w:val="-8"/>
          <w:rtl/>
        </w:rPr>
        <w:t>«</w:t>
      </w:r>
      <w:r>
        <w:rPr>
          <w:rFonts w:hint="cs"/>
          <w:spacing w:val="-8"/>
          <w:rtl/>
        </w:rPr>
        <w:t>ومن قضى إليه ...</w:t>
      </w:r>
      <w:r>
        <w:rPr>
          <w:rFonts w:hint="eastAsia"/>
          <w:spacing w:val="-8"/>
          <w:rtl/>
        </w:rPr>
        <w:t>»</w:t>
      </w:r>
      <w:r>
        <w:rPr>
          <w:rFonts w:hint="cs"/>
          <w:spacing w:val="-8"/>
          <w:rtl/>
        </w:rPr>
        <w:t>.</w:t>
      </w:r>
    </w:p>
  </w:footnote>
  <w:footnote w:id="37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يصير </w:t>
      </w:r>
      <w:r>
        <w:rPr>
          <w:rFonts w:hint="eastAsia"/>
          <w:spacing w:val="-8"/>
          <w:rtl/>
        </w:rPr>
        <w:t>»</w:t>
      </w:r>
      <w:r>
        <w:rPr>
          <w:rFonts w:hint="cs"/>
          <w:spacing w:val="-8"/>
          <w:rtl/>
        </w:rPr>
        <w:t>.</w:t>
      </w:r>
    </w:p>
  </w:footnote>
  <w:footnote w:id="37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rtl/>
        </w:rPr>
        <w:t xml:space="preserve"> مقتضيًا </w:t>
      </w:r>
      <w:r>
        <w:rPr>
          <w:rFonts w:hint="eastAsia"/>
          <w:spacing w:val="-8"/>
          <w:rtl/>
        </w:rPr>
        <w:t>»</w:t>
      </w:r>
      <w:r>
        <w:rPr>
          <w:rFonts w:hint="cs"/>
          <w:spacing w:val="-8"/>
          <w:rtl/>
        </w:rPr>
        <w:t>.</w:t>
      </w:r>
    </w:p>
  </w:footnote>
  <w:footnote w:id="3761">
    <w:p w:rsidR="00035BE3" w:rsidRDefault="00035BE3" w:rsidP="00C10469">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sidRPr="00A15C66">
        <w:rPr>
          <w:rFonts w:hint="cs"/>
          <w:spacing w:val="10"/>
          <w:sz w:val="14"/>
          <w:szCs w:val="24"/>
          <w:rtl/>
        </w:rPr>
        <w:t xml:space="preserve">  </w:t>
      </w:r>
      <w:r>
        <w:rPr>
          <w:rFonts w:hint="cs"/>
          <w:spacing w:val="10"/>
          <w:rtl/>
        </w:rPr>
        <w:t xml:space="preserve">الدرر شرح الغرر، 2/190 -مع الاختلاف اليسير الذي سبق بيانه-؛ وانظر: الأشباه والنظائر لابن نجيم، ص247. فقد ورد المثال فيه بعبارة أكثر وضوحًا؛ ولفظها : </w:t>
      </w:r>
      <w:r>
        <w:rPr>
          <w:rFonts w:hint="eastAsia"/>
          <w:spacing w:val="10"/>
          <w:rtl/>
        </w:rPr>
        <w:t>«</w:t>
      </w:r>
      <w:r>
        <w:rPr>
          <w:rFonts w:hint="cs"/>
          <w:spacing w:val="10"/>
          <w:rtl/>
        </w:rPr>
        <w:t>... وفي واحدة يتعدى إلى من تلقى المقضيُّ عليه الملك منه، فلو استحقَّ المبيعُ من المشتري بالبينة والقضاء : كان قضاء عليه [أي على المشتري] وعلى من تلقى الملك منه [وهو البائع]، فلو برهن البائع بعده على الملك لم تقبل ...</w:t>
      </w:r>
      <w:r>
        <w:rPr>
          <w:rFonts w:hint="eastAsia"/>
          <w:spacing w:val="10"/>
          <w:rtl/>
        </w:rPr>
        <w:t>»</w:t>
      </w:r>
      <w:r>
        <w:rPr>
          <w:rFonts w:hint="cs"/>
          <w:spacing w:val="10"/>
          <w:rtl/>
        </w:rPr>
        <w:t>.</w:t>
      </w:r>
    </w:p>
  </w:footnote>
  <w:footnote w:id="37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لابن نجيم، ص247؛ وفوائده الزينية، ص43.</w:t>
      </w:r>
    </w:p>
  </w:footnote>
  <w:footnote w:id="37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45/أ من (د).</w:t>
      </w:r>
    </w:p>
  </w:footnote>
  <w:footnote w:id="37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فيه كالقول</w:t>
      </w:r>
      <w:r>
        <w:rPr>
          <w:rFonts w:hint="eastAsia"/>
          <w:spacing w:val="-8"/>
          <w:rtl/>
        </w:rPr>
        <w:t>»</w:t>
      </w:r>
      <w:r>
        <w:rPr>
          <w:rFonts w:hint="cs"/>
          <w:spacing w:val="-8"/>
          <w:rtl/>
        </w:rPr>
        <w:t xml:space="preserve"> : ساقطة من (ب).</w:t>
      </w:r>
    </w:p>
  </w:footnote>
  <w:footnote w:id="37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47/أ من (ب).</w:t>
      </w:r>
    </w:p>
  </w:footnote>
  <w:footnote w:id="37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هذين القسمين في الدّرر شرح الغرر، 2/190؛ أشباه ابن نجيم، ص248. وقد أحالاهما إلى شرح الزيادات لقاضي خان.</w:t>
      </w:r>
    </w:p>
  </w:footnote>
  <w:footnote w:id="37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 xml:space="preserve"> بحرية </w:t>
      </w:r>
      <w:r>
        <w:rPr>
          <w:rFonts w:hint="eastAsia"/>
          <w:rtl/>
        </w:rPr>
        <w:t>»</w:t>
      </w:r>
      <w:r>
        <w:rPr>
          <w:rFonts w:hint="cs"/>
          <w:rtl/>
        </w:rPr>
        <w:t>. والصحيح ما تمَّ إثباته من باقي النسخ.</w:t>
      </w:r>
    </w:p>
  </w:footnote>
  <w:footnote w:id="37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2/190؛ أشباه ابن نجيم، ص247.</w:t>
      </w:r>
    </w:p>
  </w:footnote>
  <w:footnote w:id="37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55/أ من (جـ).</w:t>
      </w:r>
    </w:p>
  </w:footnote>
  <w:footnote w:id="37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73/ب من (أ).</w:t>
      </w:r>
    </w:p>
  </w:footnote>
  <w:footnote w:id="37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أشباه ابن نجيم، ص247؛ وفوائذه الزينية، ص43.</w:t>
      </w:r>
    </w:p>
  </w:footnote>
  <w:footnote w:id="37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فيحرم</w:t>
      </w:r>
      <w:r>
        <w:rPr>
          <w:rFonts w:hint="eastAsia"/>
          <w:rtl/>
        </w:rPr>
        <w:t>»</w:t>
      </w:r>
      <w:r>
        <w:rPr>
          <w:rFonts w:hint="cs"/>
          <w:rtl/>
        </w:rPr>
        <w:t>. والصحيح ما تمَّ إثباته من (ب).</w:t>
      </w:r>
    </w:p>
  </w:footnote>
  <w:footnote w:id="377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 هذا الضابط في بعض كتب القواعد وفي كثير من كتب الفقه الحنفي.</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8"/>
          <w:rtl/>
        </w:rPr>
      </w:pPr>
      <w:r>
        <w:rPr>
          <w:rFonts w:hint="cs"/>
          <w:rtl/>
        </w:rPr>
        <w:t xml:space="preserve">قواعد الفقه لابن نجيم، ص299، قاعدة 391؛ الفوائد الزينية له أيضًا، ص84، فائدة 73- ولفظه فيهما : </w:t>
      </w:r>
      <w:r>
        <w:rPr>
          <w:rFonts w:hint="eastAsia"/>
          <w:spacing w:val="-8"/>
          <w:rtl/>
        </w:rPr>
        <w:t>«</w:t>
      </w:r>
      <w:r>
        <w:rPr>
          <w:rFonts w:hint="cs"/>
          <w:spacing w:val="-8"/>
          <w:rtl/>
        </w:rPr>
        <w:t>لا يقضى على غائب إلا في مسائل : ... الرابعة : أن يكون ما يُدّعى على الحاضر سببًا لما يدعى على الغائب</w:t>
      </w:r>
      <w:r>
        <w:rPr>
          <w:rFonts w:hint="eastAsia"/>
          <w:spacing w:val="-8"/>
          <w:rtl/>
        </w:rPr>
        <w:t>»</w:t>
      </w:r>
      <w:r>
        <w:rPr>
          <w:rFonts w:hint="cs"/>
          <w:spacing w:val="-8"/>
          <w:rtl/>
        </w:rPr>
        <w:t xml:space="preserve">- هكذا جاء فيهما ولعل الصواب العكس كما في لفظ المؤلف وفي المصادر الأخر، وقد نبّه محقق قواعد ابن نجيم إلى ذلك-؛ الفرائد البهية للحمزاوي، ص84، قاعدة 123- ولفظه : </w:t>
      </w:r>
      <w:r>
        <w:rPr>
          <w:rFonts w:hint="eastAsia"/>
          <w:spacing w:val="-8"/>
          <w:rtl/>
        </w:rPr>
        <w:t>«</w:t>
      </w:r>
      <w:r>
        <w:rPr>
          <w:rFonts w:hint="cs"/>
          <w:spacing w:val="-8"/>
          <w:rtl/>
        </w:rPr>
        <w:t>الدعوى على الغائب بما هو سبب على الحاضر تُسمع، ويقضى بها</w:t>
      </w:r>
      <w:r>
        <w:rPr>
          <w:rFonts w:hint="eastAsia"/>
          <w:spacing w:val="-8"/>
          <w:rtl/>
        </w:rPr>
        <w:t>»</w:t>
      </w:r>
      <w:r>
        <w:rPr>
          <w:rFonts w:hint="cs"/>
          <w:spacing w:val="-8"/>
          <w:rtl/>
        </w:rPr>
        <w:t>-.</w:t>
      </w:r>
    </w:p>
    <w:p w:rsidR="00035BE3" w:rsidRDefault="00035BE3" w:rsidP="00C10469">
      <w:pPr>
        <w:pStyle w:val="a6"/>
        <w:ind w:left="422" w:firstLine="0"/>
        <w:rPr>
          <w:b/>
          <w:bCs/>
          <w:spacing w:val="-8"/>
          <w:rtl/>
        </w:rPr>
      </w:pPr>
      <w:r>
        <w:rPr>
          <w:rFonts w:hint="cs"/>
          <w:b/>
          <w:bCs/>
          <w:spacing w:val="-8"/>
          <w:rtl/>
        </w:rPr>
        <w:t xml:space="preserve">ومن كتب الفقه : </w:t>
      </w:r>
    </w:p>
    <w:p w:rsidR="00035BE3" w:rsidRDefault="00035BE3" w:rsidP="00C10469">
      <w:pPr>
        <w:pStyle w:val="a6"/>
        <w:ind w:left="422" w:firstLine="0"/>
        <w:rPr>
          <w:rtl/>
        </w:rPr>
      </w:pPr>
      <w:r>
        <w:rPr>
          <w:rFonts w:hint="cs"/>
          <w:rtl/>
        </w:rPr>
        <w:t>الهداية وشرحاها: العناية وفتح القدير، 7/310 -علمًا بأن (العناية) هي المصدر الرئيس للمؤلف، كما أن لفظ القاعدة فيها أقرب الألفاظ إلى لفظ المؤلف-؛ كنز الدقائق وشرحاه: تبيـين الحقائق، 4/191؛ والبحر الرائق، 7/20؛ الفتاوى البزازية، 2/212؛ الدّرر شرح الغرر، 2/410، 412، 422؛ تنوير الأبصار وشرحه: الدّر المختار وحاشيته: رد المحتار، 8/101؛ الفتاوى الهندية، 3/433.</w:t>
      </w:r>
    </w:p>
    <w:p w:rsidR="00035BE3" w:rsidRDefault="00035BE3" w:rsidP="00C10469">
      <w:pPr>
        <w:pStyle w:val="a6"/>
        <w:ind w:left="422" w:firstLine="0"/>
        <w:rPr>
          <w:rtl/>
        </w:rPr>
      </w:pPr>
      <w:r>
        <w:rPr>
          <w:rFonts w:hint="cs"/>
          <w:rtl/>
        </w:rPr>
        <w:t>ولمعرفة حكم القضاء على الغائب في المذاهب الأخر انظر : التفريع لابن الجلاب، 2/249؛  المغني لابن قدامة ، 14/95؛ مغني المحتاج، 4/406.</w:t>
      </w:r>
    </w:p>
  </w:footnote>
  <w:footnote w:id="377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w:t>
      </w:r>
      <w:r>
        <w:rPr>
          <w:rFonts w:hint="eastAsia"/>
          <w:rtl/>
        </w:rPr>
        <w:t>«</w:t>
      </w:r>
      <w:r>
        <w:rPr>
          <w:rFonts w:hint="cs"/>
          <w:rtl/>
        </w:rPr>
        <w:t>البـائـع</w:t>
      </w:r>
      <w:r>
        <w:rPr>
          <w:rFonts w:hint="eastAsia"/>
          <w:rtl/>
        </w:rPr>
        <w:t>»</w:t>
      </w:r>
      <w:r>
        <w:rPr>
          <w:rFonts w:hint="cs"/>
          <w:rtl/>
        </w:rPr>
        <w:t>. والصحـيح ما تمَّ إثباته مـن (ب)، وهو الموافق لمصدر هذه العبارة (وهو العناية).</w:t>
      </w:r>
    </w:p>
  </w:footnote>
  <w:footnote w:id="377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العناية، 7/310؛ وانظر : الفتـاوى الـبزازية، 2/212؛ فتـح القدير، 7/312؛ الدّرر شرح الغرر، 2/410؛ البحر الرائق، 7/20؛ تنوير البصائر وشرحه : الدر المختار، 8/102.</w:t>
      </w:r>
    </w:p>
  </w:footnote>
  <w:footnote w:id="377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عبد </w:t>
      </w:r>
      <w:r>
        <w:rPr>
          <w:rFonts w:hint="eastAsia"/>
          <w:spacing w:val="-8"/>
          <w:rtl/>
        </w:rPr>
        <w:t>»</w:t>
      </w:r>
      <w:r>
        <w:rPr>
          <w:rFonts w:hint="cs"/>
          <w:spacing w:val="-8"/>
          <w:rtl/>
        </w:rPr>
        <w:t>.</w:t>
      </w:r>
    </w:p>
  </w:footnote>
  <w:footnote w:id="3777">
    <w:p w:rsidR="00035BE3" w:rsidRDefault="00035BE3" w:rsidP="00C10469">
      <w:pPr>
        <w:pStyle w:val="a8"/>
        <w:bidi/>
        <w:ind w:left="422" w:right="0" w:hanging="425"/>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w:t>
      </w:r>
      <w:r>
        <w:rPr>
          <w:rFonts w:hint="eastAsia"/>
          <w:spacing w:val="8"/>
          <w:rtl/>
        </w:rPr>
        <w:t>«</w:t>
      </w:r>
      <w:r>
        <w:rPr>
          <w:rFonts w:hint="cs"/>
          <w:spacing w:val="8"/>
          <w:rtl/>
        </w:rPr>
        <w:t>فلان</w:t>
      </w:r>
      <w:r>
        <w:rPr>
          <w:rFonts w:hint="eastAsia"/>
          <w:spacing w:val="8"/>
          <w:rtl/>
        </w:rPr>
        <w:t>»</w:t>
      </w:r>
      <w:r>
        <w:rPr>
          <w:rFonts w:hint="cs"/>
          <w:spacing w:val="8"/>
          <w:rtl/>
        </w:rPr>
        <w:t>. والصحيح ما تمّ إثباته من (ب) و(د)، وهو الوارد في العناية؛ لكونه اسم أنّ.</w:t>
      </w:r>
    </w:p>
  </w:footnote>
  <w:footnote w:id="377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و(هـ) و(و). ولا يستقيم المعنى بدونها؛ لهذا تمَّ إثباتها وفاقًا للعناية.</w:t>
      </w:r>
    </w:p>
  </w:footnote>
  <w:footnote w:id="377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 xml:space="preserve"> بسبب</w:t>
      </w:r>
      <w:r>
        <w:rPr>
          <w:rFonts w:hint="eastAsia"/>
          <w:spacing w:val="-8"/>
          <w:rtl/>
        </w:rPr>
        <w:t>»</w:t>
      </w:r>
      <w:r>
        <w:rPr>
          <w:rFonts w:hint="cs"/>
          <w:spacing w:val="-8"/>
          <w:rtl/>
        </w:rPr>
        <w:t>.</w:t>
      </w:r>
    </w:p>
  </w:footnote>
  <w:footnote w:id="378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ينفك</w:t>
      </w:r>
      <w:r>
        <w:rPr>
          <w:rFonts w:hint="eastAsia"/>
          <w:rtl/>
        </w:rPr>
        <w:t>»</w:t>
      </w:r>
      <w:r>
        <w:rPr>
          <w:rFonts w:hint="cs"/>
          <w:rtl/>
        </w:rPr>
        <w:t>. والصحيح ما تمَّ إثباته من (د)، وهو الموافق للعناية.</w:t>
      </w:r>
    </w:p>
  </w:footnote>
  <w:footnote w:id="378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74/أ من (أ).</w:t>
      </w:r>
    </w:p>
  </w:footnote>
  <w:footnote w:id="378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 xml:space="preserve"> فيها </w:t>
      </w:r>
      <w:r>
        <w:rPr>
          <w:rFonts w:hint="eastAsia"/>
          <w:rtl/>
        </w:rPr>
        <w:t>»</w:t>
      </w:r>
      <w:r>
        <w:rPr>
          <w:rFonts w:hint="cs"/>
          <w:rtl/>
        </w:rPr>
        <w:t>. والمراد ممّا في الصّلب : القضاء في المسألتين السّابقتين ...</w:t>
      </w:r>
    </w:p>
  </w:footnote>
  <w:footnote w:id="3783">
    <w:p w:rsidR="00035BE3" w:rsidRDefault="00035BE3" w:rsidP="00C10469">
      <w:pPr>
        <w:pStyle w:val="a8"/>
        <w:bidi/>
        <w:ind w:left="422" w:right="0" w:hanging="425"/>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العناية، 7/310-311- مع اختلاف يسير-؛ ومن الكتب التي ذكرت كثيرًا من نظائرهما : الفتاوى البزازية، 2/211؛ البحر الرائق، 7/20؛ رد المحتار، 8/103، فقد عقد الأخير لها مطلبًا بعنوان: </w:t>
      </w:r>
      <w:r>
        <w:rPr>
          <w:rFonts w:hint="eastAsia"/>
          <w:spacing w:val="8"/>
          <w:rtl/>
        </w:rPr>
        <w:t>«</w:t>
      </w:r>
      <w:r>
        <w:rPr>
          <w:rFonts w:hint="cs"/>
          <w:spacing w:val="8"/>
          <w:rtl/>
        </w:rPr>
        <w:t>المسائل التي يكون القضاء فيها على الحاضر قضاء على الغائب</w:t>
      </w:r>
      <w:r>
        <w:rPr>
          <w:rFonts w:hint="eastAsia"/>
          <w:spacing w:val="8"/>
          <w:rtl/>
        </w:rPr>
        <w:t>»</w:t>
      </w:r>
      <w:r>
        <w:rPr>
          <w:rFonts w:hint="cs"/>
          <w:spacing w:val="8"/>
          <w:rtl/>
        </w:rPr>
        <w:t xml:space="preserve">، وكذلك فعل البزازي حيث قال: </w:t>
      </w:r>
      <w:r>
        <w:rPr>
          <w:rFonts w:hint="eastAsia"/>
          <w:spacing w:val="8"/>
          <w:rtl/>
        </w:rPr>
        <w:t>«</w:t>
      </w:r>
      <w:r>
        <w:rPr>
          <w:rFonts w:hint="cs"/>
          <w:spacing w:val="8"/>
          <w:rtl/>
        </w:rPr>
        <w:t>الثامن : في فروع القضاء على الغائب</w:t>
      </w:r>
      <w:r>
        <w:rPr>
          <w:rFonts w:hint="eastAsia"/>
          <w:spacing w:val="8"/>
          <w:rtl/>
        </w:rPr>
        <w:t>»</w:t>
      </w:r>
      <w:r>
        <w:rPr>
          <w:rFonts w:hint="cs"/>
          <w:spacing w:val="8"/>
          <w:rtl/>
        </w:rPr>
        <w:t>.</w:t>
      </w:r>
    </w:p>
  </w:footnote>
  <w:footnote w:id="378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تفصيلهما</w:t>
      </w:r>
      <w:r>
        <w:rPr>
          <w:rFonts w:hint="eastAsia"/>
          <w:rtl/>
        </w:rPr>
        <w:t>»</w:t>
      </w:r>
      <w:r>
        <w:rPr>
          <w:rFonts w:hint="cs"/>
          <w:rtl/>
        </w:rPr>
        <w:t>. والصحيح ما تمَّ إثباته من (ب) و(د).</w:t>
      </w:r>
    </w:p>
  </w:footnote>
  <w:footnote w:id="378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الحديث عنها اسقلالاً، ص778 (ل60/أ)، قاعدة 151.</w:t>
      </w:r>
    </w:p>
  </w:footnote>
  <w:footnote w:id="3786">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45/ب من (د).</w:t>
      </w:r>
    </w:p>
  </w:footnote>
  <w:footnote w:id="3787">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47/ب من (ب).</w:t>
      </w:r>
    </w:p>
  </w:footnote>
  <w:footnote w:id="3788">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sidRPr="00330F48">
        <w:rPr>
          <w:rFonts w:hint="cs"/>
          <w:rtl/>
        </w:rPr>
        <w:t xml:space="preserve"> </w:t>
      </w:r>
      <w:r>
        <w:rPr>
          <w:rFonts w:hint="cs"/>
          <w:rtl/>
        </w:rPr>
        <w:t xml:space="preserve"> </w:t>
      </w:r>
      <w:r w:rsidRPr="00330F48">
        <w:rPr>
          <w:rFonts w:hint="cs"/>
          <w:rtl/>
        </w:rPr>
        <w:t xml:space="preserve">في (أ) و(جـ): </w:t>
      </w:r>
      <w:r w:rsidRPr="00330F48">
        <w:rPr>
          <w:rFonts w:hint="eastAsia"/>
          <w:rtl/>
        </w:rPr>
        <w:t>«</w:t>
      </w:r>
      <w:r w:rsidRPr="00330F48">
        <w:rPr>
          <w:rFonts w:hint="cs"/>
          <w:rtl/>
        </w:rPr>
        <w:t xml:space="preserve"> فلان </w:t>
      </w:r>
      <w:r w:rsidRPr="00330F48">
        <w:rPr>
          <w:rFonts w:hint="eastAsia"/>
          <w:rtl/>
        </w:rPr>
        <w:t>»</w:t>
      </w:r>
      <w:r w:rsidRPr="00330F48">
        <w:rPr>
          <w:rFonts w:hint="cs"/>
          <w:rtl/>
        </w:rPr>
        <w:t>. والصحيح ما تم إثباته من (ب) و(د)، وهو الوارد في العناية؛ لأنها بدل من اسم إنّ.</w:t>
      </w:r>
    </w:p>
  </w:footnote>
  <w:footnote w:id="3789">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 xml:space="preserve"> إلا </w:t>
      </w:r>
      <w:r>
        <w:rPr>
          <w:rFonts w:hint="eastAsia"/>
          <w:spacing w:val="-8"/>
          <w:rtl/>
        </w:rPr>
        <w:t>»</w:t>
      </w:r>
      <w:r>
        <w:rPr>
          <w:rFonts w:hint="cs"/>
          <w:spacing w:val="-8"/>
          <w:rtl/>
        </w:rPr>
        <w:t xml:space="preserve">، وفي (جـ) : </w:t>
      </w:r>
      <w:r>
        <w:rPr>
          <w:rFonts w:hint="eastAsia"/>
          <w:spacing w:val="-8"/>
          <w:rtl/>
        </w:rPr>
        <w:t>«</w:t>
      </w:r>
      <w:r>
        <w:rPr>
          <w:rFonts w:hint="cs"/>
          <w:spacing w:val="-8"/>
          <w:rtl/>
        </w:rPr>
        <w:t xml:space="preserve"> لأن </w:t>
      </w:r>
      <w:r>
        <w:rPr>
          <w:rFonts w:hint="eastAsia"/>
          <w:spacing w:val="-8"/>
          <w:rtl/>
        </w:rPr>
        <w:t>»</w:t>
      </w:r>
      <w:r>
        <w:rPr>
          <w:rFonts w:hint="cs"/>
          <w:spacing w:val="-8"/>
          <w:rtl/>
        </w:rPr>
        <w:t>. وهذه الكلمة نهاية 55/ب من (جـ).</w:t>
      </w:r>
    </w:p>
  </w:footnote>
  <w:footnote w:id="3790">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العناية، 7/311.</w:t>
      </w:r>
    </w:p>
  </w:footnote>
  <w:footnote w:id="3791">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بسبب</w:t>
      </w:r>
      <w:r>
        <w:rPr>
          <w:rFonts w:hint="eastAsia"/>
          <w:spacing w:val="-8"/>
          <w:rtl/>
        </w:rPr>
        <w:t>»</w:t>
      </w:r>
      <w:r>
        <w:rPr>
          <w:rFonts w:hint="cs"/>
          <w:spacing w:val="-8"/>
          <w:rtl/>
        </w:rPr>
        <w:t>.</w:t>
      </w:r>
    </w:p>
  </w:footnote>
  <w:footnote w:id="3792">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و(جـ) و(د) : </w:t>
      </w:r>
      <w:r>
        <w:rPr>
          <w:rFonts w:hint="eastAsia"/>
          <w:spacing w:val="-8"/>
          <w:rtl/>
        </w:rPr>
        <w:t>«</w:t>
      </w:r>
      <w:r>
        <w:rPr>
          <w:rFonts w:hint="cs"/>
          <w:spacing w:val="-8"/>
          <w:rtl/>
        </w:rPr>
        <w:t>ثبوت</w:t>
      </w:r>
      <w:r>
        <w:rPr>
          <w:rFonts w:hint="eastAsia"/>
          <w:spacing w:val="-8"/>
          <w:rtl/>
        </w:rPr>
        <w:t>»</w:t>
      </w:r>
      <w:r>
        <w:rPr>
          <w:rFonts w:hint="cs"/>
          <w:spacing w:val="-8"/>
          <w:rtl/>
        </w:rPr>
        <w:t>.</w:t>
      </w:r>
    </w:p>
  </w:footnote>
  <w:footnote w:id="3793">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والجواب ... على الغائب</w:t>
      </w:r>
      <w:r>
        <w:rPr>
          <w:rFonts w:hint="eastAsia"/>
          <w:spacing w:val="-8"/>
          <w:rtl/>
        </w:rPr>
        <w:t>»</w:t>
      </w:r>
      <w:r>
        <w:rPr>
          <w:rFonts w:hint="cs"/>
          <w:spacing w:val="-8"/>
          <w:rtl/>
        </w:rPr>
        <w:t xml:space="preserve"> : ساقطة من (جـ).</w:t>
      </w:r>
    </w:p>
  </w:footnote>
  <w:footnote w:id="3794">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 xml:space="preserve"> فإن </w:t>
      </w:r>
      <w:r>
        <w:rPr>
          <w:rFonts w:hint="eastAsia"/>
          <w:spacing w:val="-8"/>
          <w:rtl/>
        </w:rPr>
        <w:t>»</w:t>
      </w:r>
      <w:r>
        <w:rPr>
          <w:rFonts w:hint="cs"/>
          <w:spacing w:val="-8"/>
          <w:rtl/>
        </w:rPr>
        <w:t>.</w:t>
      </w:r>
    </w:p>
  </w:footnote>
  <w:footnote w:id="3795">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حمل الزوجة إلى مكان زوجها.</w:t>
      </w:r>
    </w:p>
  </w:footnote>
  <w:footnote w:id="3796">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74/ب من (أ).</w:t>
      </w:r>
    </w:p>
  </w:footnote>
  <w:footnote w:id="3797">
    <w:p w:rsidR="00035BE3" w:rsidRDefault="00035BE3" w:rsidP="00C10469">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7/311؛ وانظر : الفتاوى البزازية، 2/214.</w:t>
      </w:r>
    </w:p>
  </w:footnote>
  <w:footnote w:id="379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وذلك في نص القاعدة عند ما قال : </w:t>
      </w:r>
      <w:r>
        <w:rPr>
          <w:rFonts w:hint="eastAsia"/>
          <w:spacing w:val="-8"/>
          <w:rtl/>
        </w:rPr>
        <w:t>«</w:t>
      </w:r>
      <w:r>
        <w:rPr>
          <w:rFonts w:hint="cs"/>
          <w:spacing w:val="-8"/>
          <w:rtl/>
        </w:rPr>
        <w:t xml:space="preserve">... إلا أن يكون ما يُدَّعى به على الغائب سببًا </w:t>
      </w:r>
      <w:r>
        <w:rPr>
          <w:rFonts w:hint="cs"/>
          <w:b/>
          <w:bCs/>
          <w:spacing w:val="-8"/>
          <w:rtl/>
        </w:rPr>
        <w:t>لازمًا</w:t>
      </w:r>
      <w:r>
        <w:rPr>
          <w:rFonts w:hint="cs"/>
          <w:spacing w:val="-8"/>
          <w:rtl/>
        </w:rPr>
        <w:t xml:space="preserve"> ...</w:t>
      </w:r>
      <w:r>
        <w:rPr>
          <w:rFonts w:hint="eastAsia"/>
          <w:spacing w:val="-8"/>
          <w:rtl/>
        </w:rPr>
        <w:t xml:space="preserve"> »</w:t>
      </w:r>
      <w:r>
        <w:rPr>
          <w:rFonts w:hint="cs"/>
          <w:spacing w:val="-8"/>
          <w:rtl/>
        </w:rPr>
        <w:t>.</w:t>
      </w:r>
    </w:p>
  </w:footnote>
  <w:footnote w:id="379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7/310. فقد جاء فيها : </w:t>
      </w:r>
      <w:r>
        <w:rPr>
          <w:rFonts w:hint="eastAsia"/>
          <w:spacing w:val="-8"/>
          <w:rtl/>
        </w:rPr>
        <w:t>«</w:t>
      </w:r>
      <w:r>
        <w:rPr>
          <w:rFonts w:hint="cs"/>
          <w:spacing w:val="-8"/>
          <w:rtl/>
        </w:rPr>
        <w:t>... بأن كان ما يدَّعي على الغائب سبـبًا لما يدَّعيه على الحاضر</w:t>
      </w:r>
      <w:r>
        <w:rPr>
          <w:rFonts w:hint="eastAsia"/>
          <w:spacing w:val="-8"/>
          <w:rtl/>
        </w:rPr>
        <w:t>»</w:t>
      </w:r>
      <w:r>
        <w:rPr>
          <w:rFonts w:hint="cs"/>
          <w:spacing w:val="-8"/>
          <w:rtl/>
        </w:rPr>
        <w:t>.</w:t>
      </w:r>
    </w:p>
  </w:footnote>
  <w:footnote w:id="380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7/311.</w:t>
      </w:r>
    </w:p>
  </w:footnote>
  <w:footnote w:id="38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القضاء الضمني</w:t>
      </w:r>
      <w:r>
        <w:rPr>
          <w:rFonts w:hint="cs"/>
          <w:rtl/>
        </w:rPr>
        <w:t xml:space="preserve"> : هو ما كان القضاء القولي متضمنًا له، دون أن يكون مقصودًا في الحكم.</w:t>
      </w:r>
    </w:p>
    <w:p w:rsidR="00035BE3" w:rsidRDefault="00035BE3" w:rsidP="00C10469">
      <w:pPr>
        <w:pStyle w:val="a6"/>
        <w:ind w:left="422" w:firstLine="0"/>
        <w:rPr>
          <w:rtl/>
        </w:rPr>
      </w:pPr>
      <w:r>
        <w:rPr>
          <w:rFonts w:hint="cs"/>
          <w:rtl/>
        </w:rPr>
        <w:t>وتوضَّح ذلك القاعدة السابقة، فإن القضاء على الحاضر يتضمن القضاء على الغائب، والقضاء على الحاضر قضاء قولي، صدر فيه حكم صريح من القاضي، فيشترط له الدعوى. وهذا الحكم فيه قضاء ضمني على الغائب، وهذا القضاء الضمني لا يشترط له الدعوى؛ لأن الدعوى حصلت في القضاء القوليّ، فيدخل فيه الضمني تبعًا.</w:t>
      </w:r>
    </w:p>
    <w:p w:rsidR="00035BE3" w:rsidRDefault="00035BE3" w:rsidP="00C10469">
      <w:pPr>
        <w:pStyle w:val="a6"/>
        <w:ind w:left="422" w:firstLine="0"/>
        <w:rPr>
          <w:spacing w:val="-8"/>
          <w:rtl/>
        </w:rPr>
      </w:pPr>
      <w:r>
        <w:rPr>
          <w:rFonts w:hint="cs"/>
          <w:rtl/>
        </w:rPr>
        <w:t xml:space="preserve">ولتوثيق ذلك فإن الحنفية نصوا على أن ركن القضاء </w:t>
      </w:r>
      <w:r>
        <w:rPr>
          <w:rFonts w:hint="eastAsia"/>
          <w:spacing w:val="-8"/>
          <w:rtl/>
        </w:rPr>
        <w:t>«</w:t>
      </w:r>
      <w:r>
        <w:rPr>
          <w:rFonts w:hint="cs"/>
          <w:spacing w:val="-8"/>
          <w:rtl/>
        </w:rPr>
        <w:t>هو ما يدل عليه : من قول أو فعل</w:t>
      </w:r>
      <w:r>
        <w:rPr>
          <w:rFonts w:hint="eastAsia"/>
          <w:spacing w:val="-8"/>
          <w:rtl/>
        </w:rPr>
        <w:t>»</w:t>
      </w:r>
      <w:r>
        <w:rPr>
          <w:rFonts w:hint="cs"/>
          <w:spacing w:val="-8"/>
          <w:rtl/>
        </w:rPr>
        <w:t>.</w:t>
      </w:r>
    </w:p>
    <w:p w:rsidR="00035BE3" w:rsidRDefault="00035BE3" w:rsidP="00C10469">
      <w:pPr>
        <w:pStyle w:val="a6"/>
        <w:ind w:left="422" w:firstLine="0"/>
        <w:rPr>
          <w:spacing w:val="-8"/>
          <w:rtl/>
        </w:rPr>
      </w:pPr>
      <w:r>
        <w:rPr>
          <w:rFonts w:hint="cs"/>
          <w:spacing w:val="-8"/>
          <w:rtl/>
        </w:rPr>
        <w:t>و</w:t>
      </w:r>
      <w:r>
        <w:rPr>
          <w:rFonts w:hint="eastAsia"/>
          <w:spacing w:val="-8"/>
          <w:rtl/>
        </w:rPr>
        <w:t>«</w:t>
      </w:r>
      <w:r>
        <w:rPr>
          <w:rFonts w:hint="cs"/>
          <w:spacing w:val="-8"/>
          <w:rtl/>
        </w:rPr>
        <w:t>الحكم القولي يحتاج إلى الدعوى، والفعلي لا، كالقضاء الضمني لا يحتاج إلى الدعوى له، وإنما يحتاج القصدي، فيدخل الضمني تبعًا ...</w:t>
      </w:r>
      <w:r>
        <w:rPr>
          <w:rFonts w:hint="eastAsia"/>
          <w:spacing w:val="-8"/>
          <w:rtl/>
        </w:rPr>
        <w:t>»</w:t>
      </w:r>
      <w:r>
        <w:rPr>
          <w:rFonts w:hint="cs"/>
          <w:spacing w:val="-8"/>
          <w:rtl/>
        </w:rPr>
        <w:t>.</w:t>
      </w:r>
    </w:p>
    <w:p w:rsidR="00035BE3" w:rsidRDefault="00035BE3" w:rsidP="00C10469">
      <w:pPr>
        <w:pStyle w:val="a6"/>
        <w:ind w:left="422" w:firstLine="0"/>
        <w:rPr>
          <w:spacing w:val="-8"/>
          <w:rtl/>
        </w:rPr>
      </w:pPr>
      <w:r>
        <w:rPr>
          <w:rFonts w:hint="cs"/>
          <w:spacing w:val="-8"/>
          <w:rtl/>
        </w:rPr>
        <w:t>قال ذلك ابن نجيم في البحر الرائق، 6/277، 279- وانظر رد المحتار، 8/120-.</w:t>
      </w:r>
    </w:p>
    <w:p w:rsidR="00035BE3" w:rsidRDefault="00035BE3" w:rsidP="00C10469">
      <w:pPr>
        <w:pStyle w:val="a6"/>
        <w:ind w:left="422" w:firstLine="0"/>
        <w:rPr>
          <w:spacing w:val="-8"/>
          <w:rtl/>
        </w:rPr>
      </w:pPr>
      <w:r>
        <w:rPr>
          <w:rFonts w:hint="cs"/>
          <w:spacing w:val="-8"/>
          <w:rtl/>
        </w:rPr>
        <w:t xml:space="preserve">كما نص على الضابط في أشباهه - ص262- فقال : </w:t>
      </w:r>
      <w:r>
        <w:rPr>
          <w:rFonts w:hint="eastAsia"/>
          <w:spacing w:val="-8"/>
          <w:rtl/>
        </w:rPr>
        <w:t>«</w:t>
      </w:r>
      <w:r>
        <w:rPr>
          <w:rFonts w:hint="cs"/>
          <w:spacing w:val="-8"/>
          <w:rtl/>
        </w:rPr>
        <w:t>القضاء الضمني لا تُشترط له الدعوى والخصومة</w:t>
      </w:r>
      <w:r>
        <w:rPr>
          <w:rFonts w:hint="eastAsia"/>
          <w:spacing w:val="-8"/>
          <w:rtl/>
        </w:rPr>
        <w:t>»</w:t>
      </w:r>
      <w:r>
        <w:rPr>
          <w:rFonts w:hint="cs"/>
          <w:spacing w:val="-8"/>
          <w:rtl/>
        </w:rPr>
        <w:t>. وانظر : غمز عيون البصائر، 2/384.</w:t>
      </w:r>
    </w:p>
    <w:p w:rsidR="00035BE3" w:rsidRDefault="00035BE3" w:rsidP="00C10469">
      <w:pPr>
        <w:pStyle w:val="a6"/>
        <w:ind w:left="422" w:firstLine="0"/>
        <w:rPr>
          <w:rtl/>
        </w:rPr>
      </w:pPr>
      <w:r>
        <w:rPr>
          <w:rFonts w:hint="cs"/>
          <w:spacing w:val="-8"/>
          <w:rtl/>
        </w:rPr>
        <w:t>وأيضًا ورد هذا الضابط بلفظ المؤلف في : رد المحتار، 4/198، 8/120.</w:t>
      </w:r>
    </w:p>
  </w:footnote>
  <w:footnote w:id="38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 xml:space="preserve"> أخيه </w:t>
      </w:r>
      <w:r>
        <w:rPr>
          <w:rFonts w:hint="eastAsia"/>
          <w:rtl/>
        </w:rPr>
        <w:t>»</w:t>
      </w:r>
      <w:r>
        <w:rPr>
          <w:rFonts w:hint="cs"/>
          <w:rtl/>
        </w:rPr>
        <w:t xml:space="preserve"> : مكرّرة في (د).</w:t>
      </w:r>
    </w:p>
  </w:footnote>
  <w:footnote w:id="38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أصل </w:t>
      </w:r>
      <w:r>
        <w:rPr>
          <w:rFonts w:hint="eastAsia"/>
          <w:rtl/>
        </w:rPr>
        <w:t>»</w:t>
      </w:r>
      <w:r>
        <w:rPr>
          <w:rFonts w:hint="cs"/>
          <w:rtl/>
        </w:rPr>
        <w:t>.</w:t>
      </w:r>
    </w:p>
  </w:footnote>
  <w:footnote w:id="38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C03D13">
        <w:rPr>
          <w:rFonts w:hint="cs"/>
          <w:spacing w:val="-2"/>
          <w:rtl/>
        </w:rPr>
        <w:t xml:space="preserve"> بحثت عن هذه المسألة في مظانها من (البزازيـة) فلم أظفر بها. وأقرب ما وجدتـه إليها ما جـاء </w:t>
      </w:r>
      <w:r>
        <w:rPr>
          <w:rFonts w:hint="cs"/>
          <w:rtl/>
        </w:rPr>
        <w:t xml:space="preserve">فيها -2/410-، حيث قال البزازي: </w:t>
      </w:r>
      <w:r>
        <w:rPr>
          <w:rFonts w:hint="eastAsia"/>
          <w:rtl/>
        </w:rPr>
        <w:t>«</w:t>
      </w:r>
      <w:r>
        <w:rPr>
          <w:rFonts w:hint="cs"/>
          <w:rtl/>
        </w:rPr>
        <w:t xml:space="preserve">... فالحاصل : أن الدين المشترك - </w:t>
      </w:r>
      <w:r>
        <w:rPr>
          <w:rFonts w:hint="cs"/>
          <w:b/>
          <w:bCs/>
          <w:rtl/>
        </w:rPr>
        <w:t>لا بجهة الإرث</w:t>
      </w:r>
      <w:r>
        <w:rPr>
          <w:rFonts w:hint="cs"/>
          <w:rtl/>
        </w:rPr>
        <w:t xml:space="preserve">- لو برهن عليه لا يكون الحاضر خصمًا عن الغائب عند الإمام -رحمه الله-. والثاني : يجعله خصمًا بكل حال. وقال محمد -رحمه الله-: ما قاله الإمام قياس، وما قاله الثاني استحسان. فأخذ به ... </w:t>
      </w:r>
      <w:r>
        <w:rPr>
          <w:rFonts w:hint="cs"/>
          <w:b/>
          <w:bCs/>
          <w:rtl/>
        </w:rPr>
        <w:t>وأجمعوا أن أحد الورثة خصم في الدين أيضًا عن الباقين</w:t>
      </w:r>
      <w:r>
        <w:rPr>
          <w:rFonts w:hint="cs"/>
          <w:rtl/>
        </w:rPr>
        <w:t>، وعلى أنه يدفع إلى الحاضر نصيبه مشاعًا، وعلى أنه لا يدفع إلى الحاضر نصيب الغائب، وعلى أنه لو مقرًّا لا ينزع المنقول من يده إلى حضور الغائب ...</w:t>
      </w:r>
      <w:r>
        <w:rPr>
          <w:rFonts w:hint="eastAsia"/>
          <w:rtl/>
        </w:rPr>
        <w:t>»</w:t>
      </w:r>
      <w:r>
        <w:rPr>
          <w:rFonts w:hint="cs"/>
          <w:rtl/>
        </w:rPr>
        <w:t>.</w:t>
      </w:r>
    </w:p>
    <w:p w:rsidR="00035BE3" w:rsidRDefault="00035BE3" w:rsidP="00C10469">
      <w:pPr>
        <w:pStyle w:val="a6"/>
        <w:ind w:left="422" w:firstLine="0"/>
        <w:rPr>
          <w:rtl/>
        </w:rPr>
      </w:pPr>
      <w:r>
        <w:rPr>
          <w:rFonts w:hint="cs"/>
          <w:spacing w:val="-8"/>
          <w:rtl/>
        </w:rPr>
        <w:t>وانظر : العناية، 7/350؛ الدّرر شرح الغرر، 2/357.</w:t>
      </w:r>
    </w:p>
  </w:footnote>
  <w:footnote w:id="38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قولهم : (ماله دار ولا عقار) العقار : أرض وبناء</w:t>
      </w:r>
      <w:r>
        <w:rPr>
          <w:rFonts w:hint="eastAsia"/>
          <w:rtl/>
        </w:rPr>
        <w:t>»</w:t>
      </w:r>
      <w:r>
        <w:rPr>
          <w:rFonts w:hint="cs"/>
          <w:rtl/>
        </w:rPr>
        <w:t>.</w:t>
      </w:r>
    </w:p>
  </w:footnote>
  <w:footnote w:id="38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زيادة </w:t>
      </w:r>
      <w:r>
        <w:rPr>
          <w:rFonts w:hint="eastAsia"/>
          <w:rtl/>
        </w:rPr>
        <w:t>«</w:t>
      </w:r>
      <w:r>
        <w:rPr>
          <w:rFonts w:hint="cs"/>
          <w:rtl/>
        </w:rPr>
        <w:t>لا</w:t>
      </w:r>
      <w:r>
        <w:rPr>
          <w:rFonts w:hint="eastAsia"/>
          <w:rtl/>
        </w:rPr>
        <w:t>»</w:t>
      </w:r>
      <w:r>
        <w:rPr>
          <w:rFonts w:hint="cs"/>
          <w:rtl/>
        </w:rPr>
        <w:t xml:space="preserve"> (منقولاً لا). ولعل هذا سبق قلم من الناسخ بتكرار (لا) التي تنتهي بها كلمة (منقولاً). ومما يدل على كونها زائدة أن المؤلف قال عقب ذلك: </w:t>
      </w:r>
      <w:r>
        <w:rPr>
          <w:rFonts w:hint="eastAsia"/>
          <w:spacing w:val="-8"/>
          <w:rtl/>
        </w:rPr>
        <w:t>«</w:t>
      </w:r>
      <w:r>
        <w:rPr>
          <w:rFonts w:hint="cs"/>
          <w:spacing w:val="-8"/>
          <w:rtl/>
        </w:rPr>
        <w:t>وإذا قضى</w:t>
      </w:r>
      <w:r>
        <w:rPr>
          <w:rFonts w:hint="eastAsia"/>
          <w:spacing w:val="-8"/>
          <w:rtl/>
        </w:rPr>
        <w:t>»</w:t>
      </w:r>
      <w:r>
        <w:rPr>
          <w:rFonts w:hint="cs"/>
          <w:spacing w:val="-8"/>
          <w:rtl/>
        </w:rPr>
        <w:t xml:space="preserve"> ولم يقل: (وإذا لم يقضِ).</w:t>
      </w:r>
    </w:p>
  </w:footnote>
  <w:footnote w:id="38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ادعاء العقار وادعاء المنقول مسألتان معطوفتان على المسألة الأولى، وصُوَرُها واحدة، إلا أن الفرق بينها: هو كون المدَّعى في الأولى مالاً، وفي الثانية عقارًا، وفي الثالثة منقولاً.</w:t>
      </w:r>
    </w:p>
    <w:p w:rsidR="00035BE3" w:rsidRDefault="00035BE3" w:rsidP="00C10469">
      <w:pPr>
        <w:pStyle w:val="a6"/>
        <w:ind w:left="422" w:firstLine="0"/>
        <w:rPr>
          <w:spacing w:val="-8"/>
          <w:rtl/>
        </w:rPr>
      </w:pPr>
      <w:r>
        <w:rPr>
          <w:rFonts w:hint="cs"/>
          <w:rtl/>
        </w:rPr>
        <w:t xml:space="preserve">وعلى هذا فإن صورة المسألة الثانية هي : </w:t>
      </w:r>
      <w:r>
        <w:rPr>
          <w:rFonts w:hint="eastAsia"/>
          <w:spacing w:val="-8"/>
          <w:rtl/>
        </w:rPr>
        <w:t>«</w:t>
      </w:r>
      <w:r>
        <w:rPr>
          <w:rFonts w:hint="cs"/>
          <w:spacing w:val="-8"/>
          <w:rtl/>
        </w:rPr>
        <w:t>إذا كانت الدار في يد رجل، وأقام الآخر البينة أن أباه مات وتركها ميراثًا بينه وبين أخيه فلان الغائب : قضي له بالنصف، و</w:t>
      </w:r>
      <w:r>
        <w:rPr>
          <w:rFonts w:hint="cs"/>
          <w:b/>
          <w:bCs/>
          <w:spacing w:val="-8"/>
          <w:rtl/>
        </w:rPr>
        <w:t>ترك</w:t>
      </w:r>
      <w:r>
        <w:rPr>
          <w:rFonts w:hint="cs"/>
          <w:spacing w:val="-8"/>
          <w:rtl/>
        </w:rPr>
        <w:t xml:space="preserve"> النصف الآخر في يد الذي هي في يده. ولا يستوثق فيه بكفيل. وهذا عند أبي حنيفة. وقالا : إن كان الذي هي في يده جاحدًا : أُخذ منه وجُعل في يد أمين. وإن لم يجحد : تُرك في يده </w:t>
      </w:r>
      <w:r>
        <w:rPr>
          <w:rFonts w:hint="eastAsia"/>
          <w:spacing w:val="-8"/>
          <w:rtl/>
        </w:rPr>
        <w:t>»</w:t>
      </w:r>
      <w:r>
        <w:rPr>
          <w:rFonts w:hint="cs"/>
          <w:spacing w:val="-8"/>
          <w:rtl/>
        </w:rPr>
        <w:t>. قاله صاحب الهداية في البداية، 7/347.</w:t>
      </w:r>
    </w:p>
    <w:p w:rsidR="00035BE3" w:rsidRDefault="00035BE3" w:rsidP="00C10469">
      <w:pPr>
        <w:pStyle w:val="a6"/>
        <w:ind w:left="422" w:firstLine="0"/>
        <w:rPr>
          <w:spacing w:val="-8"/>
          <w:rtl/>
        </w:rPr>
      </w:pPr>
      <w:r>
        <w:rPr>
          <w:rFonts w:hint="cs"/>
          <w:spacing w:val="-8"/>
          <w:rtl/>
        </w:rPr>
        <w:t xml:space="preserve">ثم عطف عليها في (الهداية) - 7/348- مسألة المنقول فقال : </w:t>
      </w:r>
      <w:r>
        <w:rPr>
          <w:rFonts w:hint="eastAsia"/>
          <w:spacing w:val="-8"/>
          <w:rtl/>
        </w:rPr>
        <w:t>«</w:t>
      </w:r>
      <w:r>
        <w:rPr>
          <w:rFonts w:hint="cs"/>
          <w:spacing w:val="-8"/>
          <w:rtl/>
        </w:rPr>
        <w:t xml:space="preserve"> ولو كانت الدعوى في منقول : فقد قيل : يؤخذ منه بالاتفاق ... وقيل : المنقول على الخلاف أيضًا. وقول أبي حنيفة -رحمه الله- فيه أظهر ...</w:t>
      </w:r>
      <w:r>
        <w:rPr>
          <w:rFonts w:hint="eastAsia"/>
          <w:spacing w:val="-8"/>
          <w:rtl/>
        </w:rPr>
        <w:t>»</w:t>
      </w:r>
      <w:r>
        <w:rPr>
          <w:rFonts w:hint="cs"/>
          <w:spacing w:val="-8"/>
          <w:rtl/>
        </w:rPr>
        <w:t>.</w:t>
      </w:r>
    </w:p>
    <w:p w:rsidR="00035BE3" w:rsidRDefault="00035BE3" w:rsidP="00C10469">
      <w:pPr>
        <w:pStyle w:val="a6"/>
        <w:ind w:left="422" w:firstLine="0"/>
        <w:rPr>
          <w:rtl/>
        </w:rPr>
      </w:pPr>
      <w:r>
        <w:rPr>
          <w:rFonts w:hint="cs"/>
          <w:spacing w:val="-8"/>
          <w:rtl/>
        </w:rPr>
        <w:t>وانظر هاتين المسألتين في شرحي الهداية : العناية وفتح القدير، 7/347-350؛ الدّرر، 2/418؛ تنوير الأبصار، وشرحه : الدر المختار وحاشيته : رد المحتار، 8/164.</w:t>
      </w:r>
    </w:p>
  </w:footnote>
  <w:footnote w:id="38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rtl/>
        </w:rPr>
        <w:t xml:space="preserve">لم </w:t>
      </w:r>
      <w:r>
        <w:rPr>
          <w:rFonts w:hint="eastAsia"/>
          <w:spacing w:val="-8"/>
          <w:rtl/>
        </w:rPr>
        <w:t>»</w:t>
      </w:r>
      <w:r>
        <w:rPr>
          <w:rFonts w:hint="cs"/>
          <w:spacing w:val="-8"/>
          <w:rtl/>
        </w:rPr>
        <w:t>.</w:t>
      </w:r>
    </w:p>
  </w:footnote>
  <w:footnote w:id="38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بلا تكفيله</w:t>
      </w:r>
      <w:r>
        <w:rPr>
          <w:rFonts w:hint="cs"/>
          <w:rtl/>
        </w:rPr>
        <w:t xml:space="preserve"> : أي بلا طلب إحضار كفيل من ذي اليد.</w:t>
      </w:r>
    </w:p>
  </w:footnote>
  <w:footnote w:id="3810">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و(د) : </w:t>
      </w:r>
      <w:r>
        <w:rPr>
          <w:rFonts w:hint="eastAsia"/>
          <w:spacing w:val="-8"/>
          <w:rtl/>
        </w:rPr>
        <w:t>«</w:t>
      </w:r>
      <w:r>
        <w:rPr>
          <w:rFonts w:hint="cs"/>
          <w:spacing w:val="-8"/>
          <w:rtl/>
        </w:rPr>
        <w:t>نصف</w:t>
      </w:r>
      <w:r>
        <w:rPr>
          <w:rFonts w:hint="eastAsia"/>
          <w:spacing w:val="-8"/>
          <w:rtl/>
        </w:rPr>
        <w:t>»</w:t>
      </w:r>
      <w:r>
        <w:rPr>
          <w:rFonts w:hint="cs"/>
          <w:spacing w:val="-8"/>
          <w:rtl/>
        </w:rPr>
        <w:t>. والصحيح : ما تمّ إثباته من (ب)، وهو الموافق لمصدر هذه العبارة (وهو الدرر).</w:t>
      </w:r>
    </w:p>
  </w:footnote>
  <w:footnote w:id="381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75/أ من (أ).</w:t>
      </w:r>
    </w:p>
  </w:footnote>
  <w:footnote w:id="38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 xml:space="preserve"> الحاجة </w:t>
      </w:r>
      <w:r>
        <w:rPr>
          <w:rFonts w:hint="eastAsia"/>
          <w:spacing w:val="-8"/>
          <w:rtl/>
        </w:rPr>
        <w:t>»</w:t>
      </w:r>
      <w:r>
        <w:rPr>
          <w:rFonts w:hint="cs"/>
          <w:spacing w:val="-8"/>
          <w:rtl/>
        </w:rPr>
        <w:t>.</w:t>
      </w:r>
    </w:p>
  </w:footnote>
  <w:footnote w:id="381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48/أ من (ب).</w:t>
      </w:r>
    </w:p>
  </w:footnote>
  <w:footnote w:id="3814">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spacing w:val="-8"/>
          <w:rtl/>
        </w:rPr>
        <w:t>«</w:t>
      </w:r>
      <w:r>
        <w:rPr>
          <w:rFonts w:hint="cs"/>
          <w:spacing w:val="-8"/>
          <w:rtl/>
        </w:rPr>
        <w:t>ينـزع</w:t>
      </w:r>
      <w:r>
        <w:rPr>
          <w:rFonts w:hint="eastAsia"/>
          <w:spacing w:val="-8"/>
          <w:rtl/>
        </w:rPr>
        <w:t>»</w:t>
      </w:r>
      <w:r>
        <w:rPr>
          <w:rFonts w:hint="cs"/>
          <w:spacing w:val="-8"/>
          <w:rtl/>
        </w:rPr>
        <w:t>. والصحيح ما تمَّ إثباته من (ب) و(د)، وهو الموافق للدّرر.</w:t>
      </w:r>
    </w:p>
  </w:footnote>
  <w:footnote w:id="381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زيادة : </w:t>
      </w:r>
      <w:r>
        <w:rPr>
          <w:rFonts w:hint="eastAsia"/>
          <w:spacing w:val="-8"/>
          <w:rtl/>
        </w:rPr>
        <w:t>«</w:t>
      </w:r>
      <w:r>
        <w:rPr>
          <w:rFonts w:hint="cs"/>
          <w:spacing w:val="-8"/>
          <w:rtl/>
        </w:rPr>
        <w:t>ولا ضرورة</w:t>
      </w:r>
      <w:r>
        <w:rPr>
          <w:rFonts w:hint="eastAsia"/>
          <w:spacing w:val="-8"/>
          <w:rtl/>
        </w:rPr>
        <w:t>»</w:t>
      </w:r>
      <w:r>
        <w:rPr>
          <w:rFonts w:hint="cs"/>
          <w:spacing w:val="-8"/>
          <w:rtl/>
        </w:rPr>
        <w:t>.</w:t>
      </w:r>
    </w:p>
  </w:footnote>
  <w:footnote w:id="3816">
    <w:p w:rsidR="00035BE3" w:rsidRDefault="00035BE3" w:rsidP="00C10469">
      <w:pPr>
        <w:pStyle w:val="a8"/>
        <w:bidi/>
        <w:spacing w:line="500" w:lineRule="exact"/>
        <w:ind w:left="422" w:right="0"/>
        <w:rPr>
          <w:spacing w:val="-8"/>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spacing w:val="-8"/>
          <w:rtl/>
        </w:rPr>
        <w:t>«</w:t>
      </w:r>
      <w:r>
        <w:rPr>
          <w:rFonts w:hint="cs"/>
          <w:spacing w:val="-8"/>
          <w:rtl/>
        </w:rPr>
        <w:t>للموروث</w:t>
      </w:r>
      <w:r>
        <w:rPr>
          <w:rFonts w:hint="eastAsia"/>
          <w:spacing w:val="-8"/>
          <w:rtl/>
        </w:rPr>
        <w:t>»</w:t>
      </w:r>
      <w:r>
        <w:rPr>
          <w:rFonts w:hint="cs"/>
          <w:spacing w:val="-8"/>
          <w:rtl/>
        </w:rPr>
        <w:t>. والمناسب ما تمَّ إثباته من (ب) و(د)، وهو الموافق للدّرر.</w:t>
      </w:r>
    </w:p>
    <w:p w:rsidR="00035BE3" w:rsidRDefault="00035BE3" w:rsidP="00C10469">
      <w:pPr>
        <w:pStyle w:val="a6"/>
        <w:spacing w:line="500" w:lineRule="exact"/>
        <w:ind w:left="422" w:firstLine="0"/>
        <w:rPr>
          <w:rtl/>
        </w:rPr>
      </w:pPr>
      <w:r>
        <w:rPr>
          <w:rFonts w:hint="cs"/>
          <w:spacing w:val="-8"/>
          <w:rtl/>
        </w:rPr>
        <w:t>وهذه الكلمة تـمثل نهاية 56/أ من (جـ).</w:t>
      </w:r>
    </w:p>
  </w:footnote>
  <w:footnote w:id="3817">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spacing w:val="-8"/>
          <w:rtl/>
        </w:rPr>
        <w:t>«</w:t>
      </w:r>
      <w:r>
        <w:rPr>
          <w:rFonts w:hint="cs"/>
          <w:spacing w:val="-8"/>
          <w:rtl/>
        </w:rPr>
        <w:t>تنقص</w:t>
      </w:r>
      <w:r>
        <w:rPr>
          <w:rFonts w:hint="eastAsia"/>
          <w:spacing w:val="-8"/>
          <w:rtl/>
        </w:rPr>
        <w:t>»</w:t>
      </w:r>
      <w:r>
        <w:rPr>
          <w:rFonts w:hint="cs"/>
          <w:spacing w:val="-8"/>
          <w:rtl/>
        </w:rPr>
        <w:t>.</w:t>
      </w:r>
    </w:p>
  </w:footnote>
  <w:footnote w:id="3818">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46/أ من (د).</w:t>
      </w:r>
    </w:p>
  </w:footnote>
  <w:footnote w:id="38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كما لو كان ذو اليد مقرًّا، وجحود ذي اليد المحتمل مسقبلاً لحصة الغائب إذا حضر، هذا الجحود لا يُلتفت إليه؛ لأن الحكم قد ثبت عليه بقضاء القاضي.</w:t>
      </w:r>
    </w:p>
    <w:p w:rsidR="00035BE3" w:rsidRDefault="00035BE3" w:rsidP="00C10469">
      <w:pPr>
        <w:pStyle w:val="a6"/>
        <w:spacing w:line="500" w:lineRule="exact"/>
        <w:ind w:left="422" w:firstLine="0"/>
        <w:rPr>
          <w:rtl/>
        </w:rPr>
      </w:pPr>
      <w:r>
        <w:rPr>
          <w:rFonts w:hint="cs"/>
          <w:rtl/>
        </w:rPr>
        <w:t xml:space="preserve">وانظر ما جاء في قول الإمام وصاحبيه في : الدّرر شرح الغرر، 2/418. وتمام العبارة الأخيرة عنده : </w:t>
      </w:r>
      <w:r>
        <w:rPr>
          <w:rFonts w:hint="eastAsia"/>
          <w:spacing w:val="-8"/>
          <w:rtl/>
        </w:rPr>
        <w:t>«</w:t>
      </w:r>
      <w:r>
        <w:rPr>
          <w:rFonts w:hint="cs"/>
          <w:spacing w:val="-8"/>
          <w:rtl/>
        </w:rPr>
        <w:t>لأن الوارث قال : هذا ميراث. ولا وارث إلا بثبوت الملك للمورث، واحتمال كونه مختار الميّت ثابت؛ فلا ينقض يده، كما لو كان مقرًّا، وبطل جحوده بقضاء القاضي، والظاهر أنه لا يجحد فيما يستقبل؛ لأن الحادثة صارت معلومة للقاضي ولذي  اليد، وجحوده باعتبار اشتباه الأمر عليه وقد زال</w:t>
      </w:r>
      <w:r>
        <w:rPr>
          <w:rFonts w:hint="eastAsia"/>
          <w:spacing w:val="-8"/>
          <w:rtl/>
        </w:rPr>
        <w:t>»</w:t>
      </w:r>
      <w:r>
        <w:rPr>
          <w:rFonts w:hint="cs"/>
          <w:spacing w:val="-8"/>
          <w:rtl/>
        </w:rPr>
        <w:t>.</w:t>
      </w:r>
    </w:p>
  </w:footnote>
  <w:footnote w:id="38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كذا المنقول في الأصح</w:t>
      </w:r>
      <w:r>
        <w:rPr>
          <w:rFonts w:hint="eastAsia"/>
          <w:rtl/>
        </w:rPr>
        <w:t>»</w:t>
      </w:r>
      <w:r>
        <w:rPr>
          <w:rFonts w:hint="cs"/>
          <w:rtl/>
        </w:rPr>
        <w:t xml:space="preserve"> : معطوف على قول الإمام أبي حنيفة -كما هو ظاهر في (الغرر)- فيكون المعنى : كذا إذا كان المدعى منقولاً : يأخذ الوارث الحاضر نصفه ويترك باقيه مع ذي اليد بلا طلب كفيل منه، جحد دعواه أوْلا.</w:t>
      </w:r>
    </w:p>
  </w:footnote>
  <w:footnote w:id="38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قيل : يؤخذ المنقول من ذي اليد اتفاقًا بين الإمام أبي حنيفة وصاحبيه.</w:t>
      </w:r>
    </w:p>
  </w:footnote>
  <w:footnote w:id="38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محفوظ</w:t>
      </w:r>
      <w:r>
        <w:rPr>
          <w:rFonts w:hint="eastAsia"/>
          <w:rtl/>
        </w:rPr>
        <w:t>»</w:t>
      </w:r>
      <w:r>
        <w:rPr>
          <w:rFonts w:hint="cs"/>
          <w:rtl/>
        </w:rPr>
        <w:t>.</w:t>
      </w:r>
    </w:p>
  </w:footnote>
  <w:footnote w:id="3823">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(هـ) و(و) : زيادة </w:t>
      </w:r>
      <w:r>
        <w:rPr>
          <w:rFonts w:hint="eastAsia"/>
          <w:rtl/>
        </w:rPr>
        <w:t>«</w:t>
      </w:r>
      <w:r>
        <w:rPr>
          <w:rFonts w:hint="cs"/>
          <w:rtl/>
        </w:rPr>
        <w:t>في</w:t>
      </w:r>
      <w:r>
        <w:rPr>
          <w:rFonts w:hint="eastAsia"/>
          <w:rtl/>
        </w:rPr>
        <w:t>»</w:t>
      </w:r>
      <w:r>
        <w:rPr>
          <w:rFonts w:hint="cs"/>
          <w:rtl/>
        </w:rPr>
        <w:t xml:space="preserve">. وهذه زيادة في المبنى وفيها إيضاح للمعنى. </w:t>
      </w:r>
    </w:p>
  </w:footnote>
  <w:footnote w:id="3824">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قيل : المنقول يُترك النصف (أي منه) في يد ذي اليد ...</w:t>
      </w:r>
    </w:p>
  </w:footnote>
  <w:footnote w:id="3825">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يظهر -والله أعلم- أن هذه العبارة فيها شيء من الاضطراب، يتلخّص في كونها تحكي اتفاقًا آخر يناقض الاتفاق السابق. ولبيان ذلك يُقال :</w:t>
      </w:r>
    </w:p>
    <w:p w:rsidR="00035BE3" w:rsidRDefault="00035BE3" w:rsidP="00C10469">
      <w:pPr>
        <w:pStyle w:val="a6"/>
        <w:spacing w:line="480" w:lineRule="exact"/>
        <w:ind w:left="422" w:firstLine="0"/>
        <w:rPr>
          <w:spacing w:val="-4"/>
          <w:rtl/>
        </w:rPr>
      </w:pPr>
      <w:r>
        <w:rPr>
          <w:rFonts w:hint="cs"/>
          <w:b/>
          <w:bCs/>
          <w:spacing w:val="-4"/>
          <w:rtl/>
        </w:rPr>
        <w:t>1-</w:t>
      </w:r>
      <w:r>
        <w:rPr>
          <w:rFonts w:hint="cs"/>
          <w:spacing w:val="-4"/>
          <w:rtl/>
        </w:rPr>
        <w:t xml:space="preserve"> لقد ذكر المؤلف ابتداءً أن المنقول كالعقار في الأصح (أي من جهة بقاء حق الغائب عند ذي اليد).</w:t>
      </w:r>
    </w:p>
    <w:p w:rsidR="00035BE3" w:rsidRDefault="00035BE3" w:rsidP="00C10469">
      <w:pPr>
        <w:pStyle w:val="a6"/>
        <w:spacing w:line="480" w:lineRule="exact"/>
        <w:ind w:left="422" w:firstLine="0"/>
        <w:rPr>
          <w:rtl/>
        </w:rPr>
      </w:pPr>
      <w:r>
        <w:rPr>
          <w:rFonts w:hint="cs"/>
          <w:b/>
          <w:bCs/>
          <w:rtl/>
        </w:rPr>
        <w:t>2-</w:t>
      </w:r>
      <w:r>
        <w:rPr>
          <w:rFonts w:hint="cs"/>
          <w:rtl/>
        </w:rPr>
        <w:t xml:space="preserve"> ثم ذكر أن هناك قولاً يحكي الاتفاق على أن المنقول يؤخذ من ذي اليد.</w:t>
      </w:r>
    </w:p>
    <w:p w:rsidR="00035BE3" w:rsidRDefault="00035BE3" w:rsidP="00C10469">
      <w:pPr>
        <w:pStyle w:val="a6"/>
        <w:spacing w:line="480" w:lineRule="exact"/>
        <w:ind w:left="422" w:firstLine="0"/>
        <w:rPr>
          <w:rtl/>
        </w:rPr>
      </w:pPr>
      <w:r>
        <w:rPr>
          <w:rFonts w:hint="cs"/>
          <w:b/>
          <w:bCs/>
          <w:rtl/>
        </w:rPr>
        <w:t>3-</w:t>
      </w:r>
      <w:r>
        <w:rPr>
          <w:rFonts w:hint="cs"/>
          <w:rtl/>
        </w:rPr>
        <w:t xml:space="preserve"> ثم ناقض ذلك وذكر قولاً يحكي الاتفاق على أن حق الغائب من المنقول يترك عند ذي اليد!.</w:t>
      </w:r>
    </w:p>
    <w:p w:rsidR="00035BE3" w:rsidRDefault="00035BE3" w:rsidP="00C10469">
      <w:pPr>
        <w:pStyle w:val="a6"/>
        <w:spacing w:line="480" w:lineRule="exact"/>
        <w:ind w:left="422" w:firstLine="0"/>
        <w:rPr>
          <w:rtl/>
        </w:rPr>
      </w:pPr>
      <w:r>
        <w:rPr>
          <w:rFonts w:hint="cs"/>
          <w:b/>
          <w:bCs/>
          <w:rtl/>
        </w:rPr>
        <w:t>4-</w:t>
      </w:r>
      <w:r>
        <w:rPr>
          <w:rFonts w:hint="cs"/>
          <w:rtl/>
        </w:rPr>
        <w:t xml:space="preserve"> ثم حكم على أن هذا القول هو الأصح.</w:t>
      </w:r>
    </w:p>
    <w:p w:rsidR="00035BE3" w:rsidRDefault="00035BE3" w:rsidP="00C10469">
      <w:pPr>
        <w:pStyle w:val="a6"/>
        <w:spacing w:line="480" w:lineRule="exact"/>
        <w:ind w:left="422" w:firstLine="0"/>
        <w:rPr>
          <w:rtl/>
        </w:rPr>
      </w:pPr>
      <w:r>
        <w:rPr>
          <w:rFonts w:hint="cs"/>
          <w:rtl/>
        </w:rPr>
        <w:t xml:space="preserve">وبالقارنة بين عبارة المؤلف وما جاء في مصدرها (وهو الغرر وشرحها الدرر)، يلحظ أنه لا اضطراب في المصدر : </w:t>
      </w:r>
    </w:p>
    <w:p w:rsidR="00035BE3" w:rsidRDefault="00035BE3" w:rsidP="00C10469">
      <w:pPr>
        <w:pStyle w:val="a6"/>
        <w:spacing w:line="480" w:lineRule="exact"/>
        <w:ind w:left="422" w:firstLine="0"/>
        <w:rPr>
          <w:spacing w:val="-8"/>
          <w:rtl/>
        </w:rPr>
      </w:pPr>
      <w:r>
        <w:rPr>
          <w:rFonts w:hint="cs"/>
          <w:rtl/>
        </w:rPr>
        <w:t xml:space="preserve">فقد جاء في الغرر : </w:t>
      </w:r>
      <w:r>
        <w:rPr>
          <w:rFonts w:hint="eastAsia"/>
          <w:spacing w:val="-8"/>
          <w:rtl/>
        </w:rPr>
        <w:t>«</w:t>
      </w:r>
      <w:r>
        <w:rPr>
          <w:rFonts w:hint="cs"/>
          <w:spacing w:val="-8"/>
          <w:rtl/>
        </w:rPr>
        <w:t>ادعى دارًا لنفسه ولأخيه الغائب وبرهن عليه : أخذ نصف المدَّعى، وترك باقيه مع ذي اليد بلا تكفيله، جحد دعواه أولا</w:t>
      </w:r>
      <w:r>
        <w:rPr>
          <w:rFonts w:hint="eastAsia"/>
          <w:spacing w:val="-8"/>
          <w:rtl/>
        </w:rPr>
        <w:t>»</w:t>
      </w:r>
      <w:r>
        <w:rPr>
          <w:rFonts w:hint="cs"/>
          <w:spacing w:val="-8"/>
          <w:rtl/>
        </w:rPr>
        <w:t>.</w:t>
      </w:r>
    </w:p>
    <w:p w:rsidR="00035BE3" w:rsidRDefault="00035BE3" w:rsidP="00C10469">
      <w:pPr>
        <w:pStyle w:val="a6"/>
        <w:spacing w:line="480" w:lineRule="exact"/>
        <w:ind w:left="422" w:firstLine="0"/>
        <w:rPr>
          <w:spacing w:val="-8"/>
          <w:rtl/>
        </w:rPr>
      </w:pPr>
      <w:r>
        <w:rPr>
          <w:rFonts w:hint="cs"/>
          <w:spacing w:val="-8"/>
          <w:rtl/>
        </w:rPr>
        <w:t>ثم شرح صاحبُ (الدرر) هذه العبارة وبيّن ما جاء فيها من خلاف بين الإمام أبي حنيفة وصاحبيه.</w:t>
      </w:r>
    </w:p>
    <w:p w:rsidR="00035BE3" w:rsidRDefault="00035BE3" w:rsidP="00C10469">
      <w:pPr>
        <w:pStyle w:val="a6"/>
        <w:spacing w:line="480" w:lineRule="exact"/>
        <w:ind w:left="422" w:firstLine="0"/>
        <w:rPr>
          <w:spacing w:val="-8"/>
          <w:rtl/>
        </w:rPr>
      </w:pPr>
      <w:r>
        <w:rPr>
          <w:rFonts w:hint="cs"/>
          <w:spacing w:val="-8"/>
          <w:rtl/>
        </w:rPr>
        <w:t xml:space="preserve">وبعد ذلك : عطف صاحب (الغرر) على العبارة السابقة جملة أخرى قال فيها : </w:t>
      </w:r>
      <w:r>
        <w:rPr>
          <w:rFonts w:hint="eastAsia"/>
          <w:spacing w:val="-8"/>
          <w:rtl/>
        </w:rPr>
        <w:t>«</w:t>
      </w:r>
      <w:r>
        <w:rPr>
          <w:rFonts w:hint="cs"/>
          <w:spacing w:val="-8"/>
          <w:rtl/>
        </w:rPr>
        <w:t>كذا المنقول في الأصح</w:t>
      </w:r>
      <w:r>
        <w:rPr>
          <w:rFonts w:hint="eastAsia"/>
          <w:spacing w:val="-8"/>
          <w:rtl/>
        </w:rPr>
        <w:t>»</w:t>
      </w:r>
      <w:r>
        <w:rPr>
          <w:rFonts w:hint="cs"/>
          <w:spacing w:val="-8"/>
          <w:rtl/>
        </w:rPr>
        <w:t>.</w:t>
      </w:r>
    </w:p>
    <w:p w:rsidR="00035BE3" w:rsidRDefault="00035BE3" w:rsidP="00C10469">
      <w:pPr>
        <w:pStyle w:val="a6"/>
        <w:spacing w:line="480" w:lineRule="exact"/>
        <w:ind w:left="422" w:firstLine="0"/>
        <w:rPr>
          <w:spacing w:val="-8"/>
          <w:rtl/>
        </w:rPr>
      </w:pPr>
      <w:r>
        <w:rPr>
          <w:rFonts w:hint="cs"/>
          <w:spacing w:val="-8"/>
          <w:rtl/>
        </w:rPr>
        <w:t xml:space="preserve">ثم فصّل صاحب (الدّرر) هذه الجملة فقال : </w:t>
      </w:r>
      <w:r>
        <w:rPr>
          <w:rFonts w:hint="eastAsia"/>
          <w:spacing w:val="-8"/>
          <w:rtl/>
        </w:rPr>
        <w:t>«</w:t>
      </w:r>
      <w:r>
        <w:rPr>
          <w:rFonts w:hint="cs"/>
          <w:spacing w:val="-8"/>
          <w:rtl/>
        </w:rPr>
        <w:t>أي إذا كانت الدعوى في المنقول :</w:t>
      </w:r>
    </w:p>
    <w:p w:rsidR="00035BE3" w:rsidRDefault="00035BE3" w:rsidP="00C10469">
      <w:pPr>
        <w:pStyle w:val="a6"/>
        <w:spacing w:line="480" w:lineRule="exact"/>
        <w:ind w:left="-32" w:firstLine="454"/>
        <w:rPr>
          <w:spacing w:val="-8"/>
          <w:rtl/>
        </w:rPr>
      </w:pPr>
      <w:r>
        <w:rPr>
          <w:spacing w:val="-8"/>
          <w:rtl/>
        </w:rPr>
        <w:t>•</w:t>
      </w:r>
      <w:r>
        <w:rPr>
          <w:rFonts w:hint="cs"/>
          <w:spacing w:val="-8"/>
          <w:rtl/>
        </w:rPr>
        <w:t xml:space="preserve"> فقيل : يؤخد منه اتفاقًا ....</w:t>
      </w:r>
    </w:p>
    <w:p w:rsidR="00035BE3" w:rsidRDefault="00035BE3" w:rsidP="00C10469">
      <w:pPr>
        <w:pStyle w:val="a6"/>
        <w:spacing w:line="480" w:lineRule="exact"/>
        <w:ind w:left="-32" w:firstLine="454"/>
        <w:rPr>
          <w:spacing w:val="-8"/>
          <w:rtl/>
        </w:rPr>
      </w:pPr>
      <w:r>
        <w:rPr>
          <w:spacing w:val="-8"/>
          <w:rtl/>
        </w:rPr>
        <w:t>•</w:t>
      </w:r>
      <w:r>
        <w:rPr>
          <w:rFonts w:hint="cs"/>
          <w:spacing w:val="-8"/>
          <w:rtl/>
        </w:rPr>
        <w:t xml:space="preserve"> وقيل : المنقول على الخلاف أيضًا. يعني يترك النصف في يد ذي اليد.</w:t>
      </w:r>
    </w:p>
    <w:p w:rsidR="00035BE3" w:rsidRDefault="00035BE3" w:rsidP="00C10469">
      <w:pPr>
        <w:pStyle w:val="a6"/>
        <w:spacing w:line="480" w:lineRule="exact"/>
        <w:ind w:left="422" w:firstLine="0"/>
        <w:rPr>
          <w:spacing w:val="-8"/>
          <w:rtl/>
        </w:rPr>
      </w:pPr>
      <w:r>
        <w:rPr>
          <w:rFonts w:hint="cs"/>
          <w:spacing w:val="-8"/>
          <w:rtl/>
        </w:rPr>
        <w:t>وهذا أصح؛ لأنه يحتاج ...</w:t>
      </w:r>
      <w:r>
        <w:rPr>
          <w:rFonts w:hint="eastAsia"/>
          <w:spacing w:val="-8"/>
          <w:rtl/>
        </w:rPr>
        <w:t>»</w:t>
      </w:r>
      <w:r>
        <w:rPr>
          <w:rFonts w:hint="cs"/>
          <w:spacing w:val="-8"/>
          <w:rtl/>
        </w:rPr>
        <w:t>.</w:t>
      </w:r>
    </w:p>
    <w:p w:rsidR="00035BE3" w:rsidRDefault="00035BE3" w:rsidP="00C10469">
      <w:pPr>
        <w:pStyle w:val="a6"/>
        <w:spacing w:line="480" w:lineRule="exact"/>
        <w:ind w:left="422" w:firstLine="0"/>
        <w:rPr>
          <w:b/>
          <w:bCs/>
          <w:spacing w:val="-8"/>
          <w:rtl/>
        </w:rPr>
      </w:pPr>
      <w:r>
        <w:rPr>
          <w:rFonts w:hint="cs"/>
          <w:b/>
          <w:bCs/>
          <w:spacing w:val="-8"/>
          <w:rtl/>
        </w:rPr>
        <w:t>فخلاصة ما في (الدرر) أن (المنقول) فيه قولان :</w:t>
      </w:r>
    </w:p>
    <w:p w:rsidR="00035BE3" w:rsidRDefault="00035BE3" w:rsidP="00C10469">
      <w:pPr>
        <w:pStyle w:val="a6"/>
        <w:spacing w:line="480" w:lineRule="exact"/>
        <w:ind w:left="422" w:firstLine="0"/>
        <w:rPr>
          <w:spacing w:val="-8"/>
          <w:rtl/>
        </w:rPr>
      </w:pPr>
      <w:r>
        <w:rPr>
          <w:rFonts w:hint="cs"/>
          <w:b/>
          <w:bCs/>
          <w:spacing w:val="-8"/>
          <w:rtl/>
        </w:rPr>
        <w:t>الأول</w:t>
      </w:r>
      <w:r>
        <w:rPr>
          <w:rFonts w:hint="cs"/>
          <w:spacing w:val="-8"/>
          <w:rtl/>
        </w:rPr>
        <w:t xml:space="preserve"> : يؤخذ المنقول من ذي اليد اتفاقًا.</w:t>
      </w:r>
    </w:p>
    <w:p w:rsidR="00035BE3" w:rsidRDefault="00035BE3" w:rsidP="00C10469">
      <w:pPr>
        <w:pStyle w:val="a6"/>
        <w:spacing w:line="480" w:lineRule="exact"/>
        <w:ind w:left="422" w:firstLine="0"/>
        <w:rPr>
          <w:spacing w:val="-8"/>
          <w:rtl/>
        </w:rPr>
      </w:pPr>
      <w:r>
        <w:rPr>
          <w:rFonts w:hint="cs"/>
          <w:b/>
          <w:bCs/>
          <w:spacing w:val="-8"/>
          <w:rtl/>
        </w:rPr>
        <w:t xml:space="preserve">الثاني </w:t>
      </w:r>
      <w:r>
        <w:rPr>
          <w:rFonts w:hint="cs"/>
          <w:spacing w:val="-8"/>
          <w:rtl/>
        </w:rPr>
        <w:t>: أن المنقول يجري فيه الخلاف الوارد في العقار.</w:t>
      </w:r>
    </w:p>
    <w:p w:rsidR="00035BE3" w:rsidRDefault="00035BE3" w:rsidP="00C10469">
      <w:pPr>
        <w:pStyle w:val="a6"/>
        <w:spacing w:line="480" w:lineRule="exact"/>
        <w:ind w:left="422" w:firstLine="0"/>
        <w:rPr>
          <w:rtl/>
        </w:rPr>
      </w:pPr>
      <w:r>
        <w:rPr>
          <w:rFonts w:hint="cs"/>
          <w:spacing w:val="-8"/>
          <w:rtl/>
        </w:rPr>
        <w:t>والأصح فيه هو قول الإمام أبي حنيفة وهو أنه يترك النصف في يد ذي اليد. وما قرّره صاحب (الدرر) هو الموافق لما في (الهداية) وشرحيها و(تنوير الأبصار) وشرحه وحاشية الشرح. وقد سبق بيان هذه المراجع، ونصّ ما جاء في الهداية، ص906، هامش (3).</w:t>
      </w:r>
    </w:p>
  </w:footnote>
  <w:footnote w:id="3826">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2/418- مع اختلاف سبق بيان أهمه-.</w:t>
      </w:r>
    </w:p>
  </w:footnote>
  <w:footnote w:id="3827">
    <w:p w:rsidR="00035BE3" w:rsidRDefault="00035BE3" w:rsidP="00C10469">
      <w:pPr>
        <w:pStyle w:val="a8"/>
        <w:bidi/>
        <w:spacing w:line="460" w:lineRule="exact"/>
        <w:ind w:left="422" w:right="0"/>
        <w:rPr>
          <w:spacing w:val="-8"/>
          <w:rtl/>
        </w:rPr>
      </w:pPr>
      <w:r>
        <w:rPr>
          <w:rFonts w:hint="cs"/>
          <w:vertAlign w:val="superscript"/>
          <w:rtl/>
        </w:rPr>
        <w:t>(</w:t>
      </w:r>
      <w:r>
        <w:rPr>
          <w:rStyle w:val="a7"/>
        </w:rPr>
        <w:footnoteRef/>
      </w:r>
      <w:r>
        <w:rPr>
          <w:rFonts w:hint="cs"/>
          <w:vertAlign w:val="superscript"/>
          <w:rtl/>
        </w:rPr>
        <w:t>)</w:t>
      </w:r>
      <w:r>
        <w:rPr>
          <w:rFonts w:hint="cs"/>
          <w:rtl/>
        </w:rPr>
        <w:t xml:space="preserve">   في (أ) و(هـ) : </w:t>
      </w:r>
      <w:r>
        <w:rPr>
          <w:rFonts w:hint="eastAsia"/>
          <w:spacing w:val="-8"/>
          <w:rtl/>
        </w:rPr>
        <w:t>«</w:t>
      </w:r>
      <w:r>
        <w:rPr>
          <w:rFonts w:hint="cs"/>
          <w:spacing w:val="-8"/>
          <w:rtl/>
        </w:rPr>
        <w:t>أز ذلك</w:t>
      </w:r>
      <w:r>
        <w:rPr>
          <w:rFonts w:hint="eastAsia"/>
          <w:spacing w:val="-8"/>
          <w:rtl/>
        </w:rPr>
        <w:t>»</w:t>
      </w:r>
      <w:r>
        <w:rPr>
          <w:rFonts w:hint="cs"/>
          <w:spacing w:val="-8"/>
          <w:rtl/>
        </w:rPr>
        <w:t xml:space="preserve">، وفي (جـ) : </w:t>
      </w:r>
      <w:r>
        <w:rPr>
          <w:rFonts w:hint="eastAsia"/>
          <w:spacing w:val="-8"/>
          <w:rtl/>
        </w:rPr>
        <w:t>«</w:t>
      </w:r>
      <w:r>
        <w:rPr>
          <w:rFonts w:hint="cs"/>
          <w:spacing w:val="-8"/>
          <w:rtl/>
        </w:rPr>
        <w:t xml:space="preserve"> أزد لك </w:t>
      </w:r>
      <w:r>
        <w:rPr>
          <w:rFonts w:hint="eastAsia"/>
          <w:spacing w:val="-8"/>
          <w:rtl/>
        </w:rPr>
        <w:t>»</w:t>
      </w:r>
      <w:r>
        <w:rPr>
          <w:rFonts w:hint="cs"/>
          <w:spacing w:val="-8"/>
          <w:rtl/>
        </w:rPr>
        <w:t>. والصواب ما تمَّ إثباته من (ب) و(د) و(و).</w:t>
      </w:r>
    </w:p>
    <w:p w:rsidR="00035BE3" w:rsidRDefault="00035BE3" w:rsidP="00C10469">
      <w:pPr>
        <w:pStyle w:val="a6"/>
        <w:spacing w:line="460" w:lineRule="exact"/>
        <w:ind w:left="422" w:firstLine="0"/>
        <w:rPr>
          <w:rtl/>
        </w:rPr>
      </w:pPr>
      <w:r>
        <w:rPr>
          <w:rFonts w:hint="cs"/>
          <w:rtl/>
        </w:rPr>
        <w:t xml:space="preserve">ويحتمل أن مراد المؤلف : أن العبارة الأخيرة، وهي قوله : </w:t>
      </w:r>
      <w:r>
        <w:rPr>
          <w:rFonts w:hint="eastAsia"/>
          <w:rtl/>
        </w:rPr>
        <w:t>«</w:t>
      </w:r>
      <w:r>
        <w:rPr>
          <w:rFonts w:hint="cs"/>
          <w:rtl/>
        </w:rPr>
        <w:t>وإن أبى ذو اليد ...</w:t>
      </w:r>
      <w:r>
        <w:rPr>
          <w:rFonts w:hint="eastAsia"/>
          <w:rtl/>
        </w:rPr>
        <w:t>»</w:t>
      </w:r>
      <w:r>
        <w:rPr>
          <w:rFonts w:hint="cs"/>
          <w:rtl/>
        </w:rPr>
        <w:t>، هذه العبارة قالها المؤلف باجتهاده ولم يرها في الكتب عند تحريرها -والله أعلم-.</w:t>
      </w:r>
    </w:p>
  </w:footnote>
  <w:footnote w:id="3828">
    <w:p w:rsidR="00035BE3" w:rsidRDefault="00035BE3" w:rsidP="00C10469">
      <w:pPr>
        <w:pStyle w:val="a8"/>
        <w:bidi/>
        <w:spacing w:line="460" w:lineRule="exact"/>
        <w:ind w:left="422" w:right="0"/>
        <w:rPr>
          <w:spacing w:val="-8"/>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spacing w:val="-8"/>
          <w:rtl/>
        </w:rPr>
        <w:t>«</w:t>
      </w:r>
      <w:r>
        <w:rPr>
          <w:rFonts w:hint="cs"/>
          <w:spacing w:val="-8"/>
          <w:rtl/>
        </w:rPr>
        <w:t>الدائن</w:t>
      </w:r>
      <w:r>
        <w:rPr>
          <w:rFonts w:hint="eastAsia"/>
          <w:spacing w:val="-8"/>
          <w:rtl/>
        </w:rPr>
        <w:t>»</w:t>
      </w:r>
      <w:r>
        <w:rPr>
          <w:rFonts w:hint="cs"/>
          <w:spacing w:val="-8"/>
          <w:rtl/>
        </w:rPr>
        <w:t>. والصحيح ما تم إثباته من (ب)؛ وفاقًا للأشباه.</w:t>
      </w:r>
    </w:p>
    <w:p w:rsidR="00035BE3" w:rsidRDefault="00035BE3" w:rsidP="00C10469">
      <w:pPr>
        <w:pStyle w:val="a6"/>
        <w:spacing w:line="460" w:lineRule="exact"/>
        <w:ind w:left="422" w:firstLine="0"/>
        <w:rPr>
          <w:rtl/>
        </w:rPr>
      </w:pPr>
      <w:r>
        <w:rPr>
          <w:rFonts w:hint="cs"/>
          <w:rtl/>
        </w:rPr>
        <w:t xml:space="preserve">يضاف إلى ذلك أنه جاء في (الأشباه) زيادة مهمة وهي : </w:t>
      </w:r>
      <w:r>
        <w:rPr>
          <w:rFonts w:hint="eastAsia"/>
          <w:rtl/>
        </w:rPr>
        <w:t>«</w:t>
      </w:r>
      <w:r>
        <w:rPr>
          <w:rFonts w:hint="cs"/>
          <w:rtl/>
        </w:rPr>
        <w:t>فأقرّبها</w:t>
      </w:r>
      <w:r>
        <w:rPr>
          <w:rFonts w:hint="eastAsia"/>
          <w:rtl/>
        </w:rPr>
        <w:t>»</w:t>
      </w:r>
      <w:r>
        <w:rPr>
          <w:rFonts w:hint="cs"/>
          <w:rtl/>
        </w:rPr>
        <w:t xml:space="preserve">. وتمام الجملة : </w:t>
      </w:r>
      <w:r>
        <w:rPr>
          <w:rFonts w:hint="eastAsia"/>
          <w:rtl/>
        </w:rPr>
        <w:t>«</w:t>
      </w:r>
      <w:r>
        <w:rPr>
          <w:rFonts w:hint="cs"/>
          <w:rtl/>
        </w:rPr>
        <w:t>لو ادعى كفالة على رجل بمال بإذنه فأقربها، وأنكر ...</w:t>
      </w:r>
      <w:r>
        <w:rPr>
          <w:rFonts w:hint="eastAsia"/>
          <w:rtl/>
        </w:rPr>
        <w:t>»</w:t>
      </w:r>
      <w:r>
        <w:rPr>
          <w:rFonts w:hint="cs"/>
          <w:rtl/>
        </w:rPr>
        <w:t>. وهذه الزيادة وما بعدها معناها : فأقرّ المدعى عليه (وهو المدين) بالكفالة وأنكر الدينَ ...</w:t>
      </w:r>
    </w:p>
  </w:footnote>
  <w:footnote w:id="3829">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فيرهن</w:t>
      </w:r>
      <w:r>
        <w:rPr>
          <w:rFonts w:hint="eastAsia"/>
          <w:spacing w:val="-8"/>
          <w:rtl/>
        </w:rPr>
        <w:t>»</w:t>
      </w:r>
      <w:r>
        <w:rPr>
          <w:rFonts w:hint="cs"/>
          <w:spacing w:val="-8"/>
          <w:rtl/>
        </w:rPr>
        <w:t>.</w:t>
      </w:r>
    </w:p>
  </w:footnote>
  <w:footnote w:id="3830">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75/ب من (أ).</w:t>
      </w:r>
    </w:p>
  </w:footnote>
  <w:footnote w:id="3831">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spacing w:val="-8"/>
          <w:rtl/>
        </w:rPr>
        <w:t>«</w:t>
      </w:r>
      <w:r>
        <w:rPr>
          <w:rFonts w:hint="cs"/>
          <w:spacing w:val="-8"/>
          <w:rtl/>
        </w:rPr>
        <w:t xml:space="preserve"> الأصل </w:t>
      </w:r>
      <w:r>
        <w:rPr>
          <w:rFonts w:hint="eastAsia"/>
          <w:spacing w:val="-8"/>
          <w:rtl/>
        </w:rPr>
        <w:t>»</w:t>
      </w:r>
      <w:r>
        <w:rPr>
          <w:rFonts w:hint="cs"/>
          <w:spacing w:val="-8"/>
          <w:rtl/>
        </w:rPr>
        <w:t>.</w:t>
      </w:r>
    </w:p>
  </w:footnote>
  <w:footnote w:id="3832">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الأشباه، ص262 -مع الاختلاف الذي سبق بيانه-؛ وانظر : البحر الرائق، 4/58؛ رد المحتار، 8/121. وقد عزا الأخير ما ذكره إلى (الأشباه).</w:t>
      </w:r>
    </w:p>
  </w:footnote>
  <w:footnote w:id="3833">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الكلمة مكرّره في (أ).</w:t>
      </w:r>
    </w:p>
  </w:footnote>
  <w:footnote w:id="3834">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spacing w:val="-8"/>
          <w:rtl/>
        </w:rPr>
        <w:t>«</w:t>
      </w:r>
      <w:r>
        <w:rPr>
          <w:rFonts w:hint="cs"/>
          <w:spacing w:val="-8"/>
          <w:rtl/>
        </w:rPr>
        <w:t>ليس</w:t>
      </w:r>
      <w:r>
        <w:rPr>
          <w:rFonts w:hint="eastAsia"/>
          <w:spacing w:val="-8"/>
          <w:rtl/>
        </w:rPr>
        <w:t>»</w:t>
      </w:r>
      <w:r>
        <w:rPr>
          <w:rFonts w:hint="cs"/>
          <w:spacing w:val="-8"/>
          <w:rtl/>
        </w:rPr>
        <w:t>. والصحيح ما تمَّ إثباته من (ب).</w:t>
      </w:r>
    </w:p>
  </w:footnote>
  <w:footnote w:id="3835">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spacing w:val="-8"/>
          <w:rtl/>
        </w:rPr>
        <w:t>«</w:t>
      </w:r>
      <w:r>
        <w:rPr>
          <w:rFonts w:hint="cs"/>
          <w:spacing w:val="-8"/>
          <w:rtl/>
        </w:rPr>
        <w:t>أصل</w:t>
      </w:r>
      <w:r>
        <w:rPr>
          <w:rFonts w:hint="eastAsia"/>
          <w:spacing w:val="-8"/>
          <w:rtl/>
        </w:rPr>
        <w:t>»</w:t>
      </w:r>
      <w:r>
        <w:rPr>
          <w:rFonts w:hint="cs"/>
          <w:spacing w:val="-8"/>
          <w:rtl/>
        </w:rPr>
        <w:t>. والصحيح ما تمَّ إثباته من (ب).</w:t>
      </w:r>
    </w:p>
  </w:footnote>
  <w:footnote w:id="38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ص901 (ل74/أ)، قاعدة 181.</w:t>
      </w:r>
    </w:p>
  </w:footnote>
  <w:footnote w:id="38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spacing w:val="-8"/>
          <w:rtl/>
        </w:rPr>
        <w:t>«</w:t>
      </w:r>
      <w:r>
        <w:rPr>
          <w:rFonts w:hint="cs"/>
          <w:spacing w:val="-8"/>
          <w:rtl/>
        </w:rPr>
        <w:t>فلان</w:t>
      </w:r>
      <w:r>
        <w:rPr>
          <w:rFonts w:hint="eastAsia"/>
          <w:spacing w:val="-8"/>
          <w:rtl/>
        </w:rPr>
        <w:t>»</w:t>
      </w:r>
      <w:r>
        <w:rPr>
          <w:rFonts w:hint="cs"/>
          <w:spacing w:val="-8"/>
          <w:rtl/>
        </w:rPr>
        <w:t>. والصحيح ما تمَّ إثباته من (ب)؛ لأن (فلانًا) اسم أنّ.</w:t>
      </w:r>
    </w:p>
  </w:footnote>
  <w:footnote w:id="3838">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أصل</w:t>
      </w:r>
      <w:r>
        <w:rPr>
          <w:rFonts w:hint="eastAsia"/>
          <w:rtl/>
        </w:rPr>
        <w:t>»</w:t>
      </w:r>
      <w:r>
        <w:rPr>
          <w:rFonts w:hint="cs"/>
          <w:rtl/>
        </w:rPr>
        <w:t>. والصحيح ما تمَّ إثباته من (ب).</w:t>
      </w:r>
    </w:p>
  </w:footnote>
  <w:footnote w:id="3839">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ص902 (ل74/أ).</w:t>
      </w:r>
    </w:p>
  </w:footnote>
  <w:footnote w:id="3840">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ينفك</w:t>
      </w:r>
      <w:r>
        <w:rPr>
          <w:rFonts w:hint="eastAsia"/>
          <w:rtl/>
        </w:rPr>
        <w:t>»</w:t>
      </w:r>
      <w:r>
        <w:rPr>
          <w:rFonts w:hint="cs"/>
          <w:rtl/>
        </w:rPr>
        <w:t>. والصحيح ما تمَّ إثباته من (ب).</w:t>
      </w:r>
    </w:p>
  </w:footnote>
  <w:footnote w:id="3841">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الرهن</w:t>
      </w:r>
      <w:r>
        <w:rPr>
          <w:rFonts w:hint="eastAsia"/>
          <w:rtl/>
        </w:rPr>
        <w:t>»</w:t>
      </w:r>
      <w:r>
        <w:rPr>
          <w:rFonts w:hint="cs"/>
          <w:rtl/>
        </w:rPr>
        <w:t>.</w:t>
      </w:r>
    </w:p>
  </w:footnote>
  <w:footnote w:id="3842">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والإبراء</w:t>
      </w:r>
      <w:r>
        <w:rPr>
          <w:rFonts w:hint="eastAsia"/>
          <w:rtl/>
        </w:rPr>
        <w:t>»</w:t>
      </w:r>
      <w:r>
        <w:rPr>
          <w:rFonts w:hint="cs"/>
          <w:rtl/>
        </w:rPr>
        <w:t>.</w:t>
      </w:r>
    </w:p>
  </w:footnote>
  <w:footnote w:id="3843">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لا يظهر -والله أعلم- أن في هذا الاعتراض ما يمنع من أن يكون الفرع أيضًا- مثالاً لقاعدة: </w:t>
      </w:r>
      <w:r>
        <w:rPr>
          <w:rFonts w:hint="eastAsia"/>
          <w:rtl/>
        </w:rPr>
        <w:t>«</w:t>
      </w:r>
      <w:r>
        <w:rPr>
          <w:rFonts w:hint="cs"/>
          <w:rtl/>
        </w:rPr>
        <w:t>القضاء الضمني لا يشترط له الدعوى والخصومة</w:t>
      </w:r>
      <w:r>
        <w:rPr>
          <w:rFonts w:hint="eastAsia"/>
          <w:rtl/>
        </w:rPr>
        <w:t>»</w:t>
      </w:r>
      <w:r>
        <w:rPr>
          <w:rFonts w:hint="cs"/>
          <w:rtl/>
        </w:rPr>
        <w:t xml:space="preserve">؛ إذْ غايته : بيان كون هذا الفرع مثالاً لقاعدة : </w:t>
      </w:r>
      <w:r>
        <w:rPr>
          <w:rFonts w:hint="eastAsia"/>
          <w:rtl/>
        </w:rPr>
        <w:t>«</w:t>
      </w:r>
      <w:r>
        <w:rPr>
          <w:rFonts w:hint="cs"/>
          <w:rtl/>
        </w:rPr>
        <w:t>القضاء على الغائب ...</w:t>
      </w:r>
      <w:r>
        <w:rPr>
          <w:rFonts w:hint="eastAsia"/>
          <w:rtl/>
        </w:rPr>
        <w:t>»</w:t>
      </w:r>
      <w:r>
        <w:rPr>
          <w:rFonts w:hint="cs"/>
          <w:rtl/>
        </w:rPr>
        <w:t>. ولا شك أن اندراج المثال تحت قاعدةٍ ما لا يمنع من اندراجه تحت قاعدة أخرى من جهة أخرى. وهذه الجهة هي : أن الحكم الصادر من القاضي على الكفيل يعدّ قضاء قوليًّا، وهذا القضاء القولي يتبعه قضاء ضمني على الأصيل، وهذا القضاء الضمني لا يشترط له الدعوى والخصومة؛ لأنهما حصلتا في القضاء القولي قصدًا، فيدخل فيه الضمني تبعًا.</w:t>
      </w:r>
    </w:p>
    <w:p w:rsidR="00035BE3" w:rsidRDefault="00035BE3" w:rsidP="00C10469">
      <w:pPr>
        <w:pStyle w:val="a6"/>
        <w:spacing w:line="460" w:lineRule="exact"/>
        <w:ind w:left="422" w:firstLine="0"/>
        <w:rPr>
          <w:rtl/>
        </w:rPr>
      </w:pPr>
      <w:r>
        <w:rPr>
          <w:rFonts w:hint="cs"/>
          <w:spacing w:val="-8"/>
          <w:rtl/>
        </w:rPr>
        <w:t xml:space="preserve">وممّا يعضد ذلك : أن ابن نجيم -في الموضع السابق من أشباهه- جعل هذا الفرع أصلَ القضاء الضمني، فقال قبله : </w:t>
      </w:r>
      <w:r>
        <w:rPr>
          <w:rFonts w:hint="eastAsia"/>
          <w:spacing w:val="-8"/>
          <w:rtl/>
        </w:rPr>
        <w:t>«</w:t>
      </w:r>
      <w:r>
        <w:rPr>
          <w:rFonts w:hint="cs"/>
          <w:spacing w:val="-8"/>
          <w:rtl/>
        </w:rPr>
        <w:t>وأصل القضاء الضمني ما ذكره أصحاب الـمتون من أنه : لو ادّعى كفالة ...</w:t>
      </w:r>
      <w:r>
        <w:rPr>
          <w:rFonts w:hint="eastAsia"/>
          <w:spacing w:val="-8"/>
          <w:rtl/>
        </w:rPr>
        <w:t>»</w:t>
      </w:r>
      <w:r>
        <w:rPr>
          <w:rFonts w:hint="cs"/>
          <w:spacing w:val="-8"/>
          <w:rtl/>
        </w:rPr>
        <w:t>. وقد تابعه على ذلك ابن عابدين في الموضع السابق من حاشيته.</w:t>
      </w:r>
    </w:p>
  </w:footnote>
  <w:footnote w:id="3844">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الفصل بين (أن) و(ما) في (أ) و(ب)، كما وردّ الوصل بينهما في باقي النسخ، ولعلّ الفصل بينهما تصرّف من الناسخ.</w:t>
      </w:r>
    </w:p>
    <w:p w:rsidR="00035BE3" w:rsidRDefault="00035BE3" w:rsidP="00C10469">
      <w:pPr>
        <w:pStyle w:val="a6"/>
        <w:spacing w:line="460" w:lineRule="exact"/>
        <w:ind w:left="422" w:firstLine="0"/>
        <w:rPr>
          <w:rtl/>
        </w:rPr>
      </w:pPr>
      <w:r>
        <w:rPr>
          <w:rFonts w:hint="cs"/>
          <w:rtl/>
        </w:rPr>
        <w:t>ولو قال : (واعلم أنه إنما ...) لكان أحسن.</w:t>
      </w:r>
    </w:p>
  </w:footnote>
  <w:footnote w:id="3845">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تقتصر</w:t>
      </w:r>
      <w:r>
        <w:rPr>
          <w:rFonts w:hint="eastAsia"/>
          <w:rtl/>
        </w:rPr>
        <w:t>»</w:t>
      </w:r>
      <w:r>
        <w:rPr>
          <w:rFonts w:hint="cs"/>
          <w:rtl/>
        </w:rPr>
        <w:t>. والأفصح ما تمَّ إثباته من (ب) و(د).</w:t>
      </w:r>
    </w:p>
  </w:footnote>
  <w:footnote w:id="3846">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48/ب من (ب).</w:t>
      </w:r>
    </w:p>
  </w:footnote>
  <w:footnote w:id="38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2/302.</w:t>
      </w:r>
    </w:p>
  </w:footnote>
  <w:footnote w:id="38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56/ب من (جـ).</w:t>
      </w:r>
    </w:p>
    <w:p w:rsidR="00035BE3" w:rsidRDefault="00035BE3" w:rsidP="00C10469">
      <w:pPr>
        <w:pStyle w:val="a6"/>
        <w:spacing w:line="460" w:lineRule="exact"/>
        <w:ind w:left="422" w:firstLine="0"/>
        <w:rPr>
          <w:spacing w:val="6"/>
          <w:rtl/>
        </w:rPr>
      </w:pPr>
      <w:r>
        <w:rPr>
          <w:rFonts w:hint="cs"/>
          <w:spacing w:val="6"/>
          <w:rtl/>
        </w:rPr>
        <w:t>ومن المتون والشروح التي ذكرت هذه المسألة : الجامع الصغير لمحمد بن الحسن، ص373؛ البداية والهداية والعناية وفتح القدير، 7/213؛ كنز الدقائق والبحر الرائق، 6/257؛ الغرر والدرر، 2/304-305؛ تنوير الأبصار والدر المحتار ورد المحتار، 7/614. وأقرب هذه الكتب إلى لفظ المؤلف هو الغرر والدّرر.</w:t>
      </w:r>
    </w:p>
  </w:footnote>
  <w:footnote w:id="3849">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eastAsia"/>
          <w:spacing w:val="4"/>
          <w:rtl/>
        </w:rPr>
        <w:t>«</w:t>
      </w:r>
      <w:r>
        <w:rPr>
          <w:rFonts w:hint="cs"/>
          <w:spacing w:val="4"/>
          <w:rtl/>
        </w:rPr>
        <w:t>له</w:t>
      </w:r>
      <w:r>
        <w:rPr>
          <w:rFonts w:hint="eastAsia"/>
          <w:spacing w:val="4"/>
          <w:rtl/>
        </w:rPr>
        <w:t>»</w:t>
      </w:r>
      <w:r>
        <w:rPr>
          <w:rFonts w:hint="cs"/>
          <w:spacing w:val="4"/>
          <w:rtl/>
        </w:rPr>
        <w:t xml:space="preserve">  : ساقطة من (جـ).</w:t>
      </w:r>
    </w:p>
    <w:p w:rsidR="00035BE3" w:rsidRDefault="00035BE3" w:rsidP="00C10469">
      <w:pPr>
        <w:pStyle w:val="a6"/>
        <w:spacing w:line="460" w:lineRule="exact"/>
        <w:ind w:left="422" w:firstLine="0"/>
        <w:rPr>
          <w:spacing w:val="4"/>
          <w:rtl/>
        </w:rPr>
      </w:pPr>
      <w:r>
        <w:rPr>
          <w:rFonts w:hint="cs"/>
          <w:spacing w:val="4"/>
          <w:rtl/>
        </w:rPr>
        <w:t xml:space="preserve">وقد بيّن صاحب الدّرر-2/304-305- ما تعود إليه الضمائر فقال : </w:t>
      </w:r>
      <w:r>
        <w:rPr>
          <w:rFonts w:hint="eastAsia"/>
          <w:spacing w:val="4"/>
          <w:rtl/>
        </w:rPr>
        <w:t>«</w:t>
      </w:r>
      <w:r>
        <w:rPr>
          <w:rFonts w:hint="cs"/>
          <w:spacing w:val="4"/>
          <w:rtl/>
        </w:rPr>
        <w:t>أي كفل رجل عن رجل لرجل بما ذاب له عليه</w:t>
      </w:r>
      <w:r>
        <w:rPr>
          <w:rFonts w:hint="eastAsia"/>
          <w:spacing w:val="4"/>
          <w:rtl/>
        </w:rPr>
        <w:t>»</w:t>
      </w:r>
      <w:r>
        <w:rPr>
          <w:rFonts w:hint="cs"/>
          <w:spacing w:val="4"/>
          <w:rtl/>
        </w:rPr>
        <w:t>.</w:t>
      </w:r>
    </w:p>
  </w:footnote>
  <w:footnote w:id="3850">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(ب) : </w:t>
      </w:r>
      <w:r>
        <w:rPr>
          <w:rFonts w:hint="eastAsia"/>
          <w:spacing w:val="4"/>
          <w:rtl/>
        </w:rPr>
        <w:t>«</w:t>
      </w:r>
      <w:r>
        <w:rPr>
          <w:rFonts w:hint="cs"/>
          <w:spacing w:val="4"/>
          <w:rtl/>
        </w:rPr>
        <w:t>الأصيل</w:t>
      </w:r>
      <w:r>
        <w:rPr>
          <w:rFonts w:hint="eastAsia"/>
          <w:spacing w:val="4"/>
          <w:rtl/>
        </w:rPr>
        <w:t>»</w:t>
      </w:r>
      <w:r>
        <w:rPr>
          <w:rFonts w:hint="cs"/>
          <w:spacing w:val="4"/>
          <w:rtl/>
        </w:rPr>
        <w:t>؛ وفاقًا للغرر.</w:t>
      </w:r>
    </w:p>
  </w:footnote>
  <w:footnote w:id="3851">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الدرر شرح الغرر، 2/298.</w:t>
      </w:r>
    </w:p>
  </w:footnote>
  <w:footnote w:id="3852">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أي : معنى الشرط.</w:t>
      </w:r>
    </w:p>
    <w:p w:rsidR="00035BE3" w:rsidRDefault="00035BE3" w:rsidP="00C10469">
      <w:pPr>
        <w:pStyle w:val="a6"/>
        <w:spacing w:line="460" w:lineRule="exact"/>
        <w:ind w:left="422" w:firstLine="0"/>
        <w:rPr>
          <w:spacing w:val="4"/>
          <w:rtl/>
        </w:rPr>
      </w:pPr>
      <w:r>
        <w:rPr>
          <w:rFonts w:hint="cs"/>
          <w:spacing w:val="4"/>
          <w:rtl/>
        </w:rPr>
        <w:t>وهذه الكلمة نهاية 76/أ من (أ).</w:t>
      </w:r>
    </w:p>
  </w:footnote>
  <w:footnote w:id="3853">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نهاية 46/ب من (د).</w:t>
      </w:r>
    </w:p>
  </w:footnote>
  <w:footnote w:id="3854">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و(جـ) : </w:t>
      </w:r>
      <w:r>
        <w:rPr>
          <w:rFonts w:hint="eastAsia"/>
          <w:spacing w:val="4"/>
          <w:rtl/>
        </w:rPr>
        <w:t>«</w:t>
      </w:r>
      <w:r>
        <w:rPr>
          <w:rFonts w:hint="cs"/>
          <w:spacing w:val="4"/>
          <w:rtl/>
        </w:rPr>
        <w:t>فيتوقف</w:t>
      </w:r>
      <w:r>
        <w:rPr>
          <w:rFonts w:hint="eastAsia"/>
          <w:spacing w:val="4"/>
          <w:rtl/>
        </w:rPr>
        <w:t>»</w:t>
      </w:r>
      <w:r>
        <w:rPr>
          <w:rFonts w:hint="cs"/>
          <w:spacing w:val="4"/>
          <w:rtl/>
        </w:rPr>
        <w:t>. والأفصح ما تمَّ إثباته من (ب) و(د).</w:t>
      </w:r>
    </w:p>
  </w:footnote>
  <w:footnote w:id="3855">
    <w:p w:rsidR="00035BE3" w:rsidRDefault="00035BE3" w:rsidP="00C10469">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(جـ) : </w:t>
      </w:r>
      <w:r>
        <w:rPr>
          <w:rFonts w:hint="eastAsia"/>
          <w:spacing w:val="4"/>
          <w:rtl/>
        </w:rPr>
        <w:t>«</w:t>
      </w:r>
      <w:r>
        <w:rPr>
          <w:rFonts w:hint="cs"/>
          <w:spacing w:val="4"/>
          <w:rtl/>
        </w:rPr>
        <w:t>يؤخذ</w:t>
      </w:r>
      <w:r>
        <w:rPr>
          <w:rFonts w:hint="eastAsia"/>
          <w:spacing w:val="4"/>
          <w:rtl/>
        </w:rPr>
        <w:t>»</w:t>
      </w:r>
      <w:r>
        <w:rPr>
          <w:rFonts w:hint="cs"/>
          <w:spacing w:val="4"/>
          <w:rtl/>
        </w:rPr>
        <w:t>.</w:t>
      </w:r>
    </w:p>
  </w:footnote>
  <w:footnote w:id="38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أخبر الدائن أن المكفول قد حكم عليه قاضٍ من القضاة وهو حاضر.</w:t>
      </w:r>
    </w:p>
  </w:footnote>
  <w:footnote w:id="38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spacing w:val="-8"/>
          <w:rtl/>
        </w:rPr>
        <w:t>«</w:t>
      </w:r>
      <w:r>
        <w:rPr>
          <w:rFonts w:hint="cs"/>
          <w:spacing w:val="-8"/>
          <w:rtl/>
        </w:rPr>
        <w:t>فصح</w:t>
      </w:r>
      <w:r>
        <w:rPr>
          <w:rFonts w:hint="eastAsia"/>
          <w:spacing w:val="-8"/>
          <w:rtl/>
        </w:rPr>
        <w:t>»</w:t>
      </w:r>
      <w:r>
        <w:rPr>
          <w:rFonts w:hint="cs"/>
          <w:spacing w:val="-8"/>
          <w:rtl/>
        </w:rPr>
        <w:t>. والأفصح ما تمَّ إثباته من (د).</w:t>
      </w:r>
    </w:p>
  </w:footnote>
  <w:footnote w:id="385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كثير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4"/>
          <w:rtl/>
        </w:rPr>
      </w:pPr>
      <w:r>
        <w:rPr>
          <w:rFonts w:hint="cs"/>
          <w:spacing w:val="4"/>
          <w:rtl/>
        </w:rPr>
        <w:t xml:space="preserve">قواعد الفقه لابن نجيم، ص244، قاعدة 330؛ الفوائد الزينية له أيضًا، ص55، فائدة 41- ولفظه في القواعد : </w:t>
      </w:r>
      <w:r>
        <w:rPr>
          <w:rFonts w:hint="eastAsia"/>
          <w:spacing w:val="4"/>
          <w:rtl/>
        </w:rPr>
        <w:t>«</w:t>
      </w:r>
      <w:r>
        <w:rPr>
          <w:rFonts w:hint="cs"/>
          <w:spacing w:val="4"/>
          <w:rtl/>
        </w:rPr>
        <w:t>القول للقابض في مقدار ما قبضه، ووصفه وتعيينه، ضمينًا كان أو أمينًا</w:t>
      </w:r>
      <w:r>
        <w:rPr>
          <w:rFonts w:hint="eastAsia"/>
          <w:spacing w:val="4"/>
          <w:rtl/>
        </w:rPr>
        <w:t>»</w:t>
      </w:r>
      <w:r>
        <w:rPr>
          <w:rFonts w:hint="cs"/>
          <w:spacing w:val="4"/>
          <w:rtl/>
        </w:rPr>
        <w:t xml:space="preserve">-؛ الفرائد البهية للحمزاوي، ص55، قاعدة 82- ولفظه : </w:t>
      </w:r>
      <w:r>
        <w:rPr>
          <w:rFonts w:hint="eastAsia"/>
          <w:spacing w:val="4"/>
          <w:rtl/>
        </w:rPr>
        <w:t>«</w:t>
      </w:r>
      <w:r>
        <w:rPr>
          <w:rFonts w:hint="cs"/>
          <w:spacing w:val="4"/>
          <w:rtl/>
        </w:rPr>
        <w:t>القول قول القابض أن الدراهم ...</w:t>
      </w:r>
      <w:r>
        <w:rPr>
          <w:rFonts w:hint="eastAsia"/>
          <w:spacing w:val="4"/>
          <w:rtl/>
        </w:rPr>
        <w:t>»</w:t>
      </w:r>
      <w:r>
        <w:rPr>
          <w:rFonts w:hint="cs"/>
          <w:spacing w:val="4"/>
          <w:rtl/>
        </w:rPr>
        <w:t xml:space="preserve">؛ المدخل الفقهي العام، 2/1087، فقرة 705 - ولفظه : </w:t>
      </w:r>
      <w:r>
        <w:rPr>
          <w:rFonts w:hint="eastAsia"/>
          <w:spacing w:val="4"/>
          <w:rtl/>
        </w:rPr>
        <w:t>«</w:t>
      </w:r>
      <w:r>
        <w:rPr>
          <w:rFonts w:hint="cs"/>
          <w:spacing w:val="4"/>
          <w:rtl/>
        </w:rPr>
        <w:t>القول للقابض في مقدار المقبوض</w:t>
      </w:r>
      <w:r>
        <w:rPr>
          <w:rFonts w:hint="eastAsia"/>
          <w:spacing w:val="4"/>
          <w:rtl/>
        </w:rPr>
        <w:t>»</w:t>
      </w:r>
      <w:r>
        <w:rPr>
          <w:rFonts w:hint="cs"/>
          <w:spacing w:val="4"/>
          <w:rtl/>
        </w:rPr>
        <w:t xml:space="preserve">؛ موسوعة القواعد الفقهية، 2/48 - ولفظه: </w:t>
      </w:r>
      <w:r>
        <w:rPr>
          <w:rFonts w:hint="eastAsia"/>
          <w:spacing w:val="4"/>
          <w:rtl/>
        </w:rPr>
        <w:t>«</w:t>
      </w:r>
      <w:r>
        <w:rPr>
          <w:rFonts w:hint="cs"/>
          <w:spacing w:val="4"/>
          <w:rtl/>
        </w:rPr>
        <w:t xml:space="preserve"> الأصل أن القول قول القابض في المقبوض</w:t>
      </w:r>
      <w:r>
        <w:rPr>
          <w:rFonts w:hint="eastAsia"/>
          <w:spacing w:val="4"/>
          <w:rtl/>
        </w:rPr>
        <w:t>»</w:t>
      </w:r>
      <w:r>
        <w:rPr>
          <w:rFonts w:hint="cs"/>
          <w:spacing w:val="4"/>
          <w:rtl/>
        </w:rPr>
        <w:t>.</w:t>
      </w:r>
    </w:p>
    <w:p w:rsidR="00035BE3" w:rsidRDefault="00035BE3" w:rsidP="00C10469">
      <w:pPr>
        <w:pStyle w:val="a6"/>
        <w:ind w:left="422" w:firstLine="0"/>
        <w:rPr>
          <w:b/>
          <w:bCs/>
          <w:spacing w:val="-8"/>
          <w:rtl/>
        </w:rPr>
      </w:pPr>
      <w:r>
        <w:rPr>
          <w:rFonts w:hint="cs"/>
          <w:b/>
          <w:bCs/>
          <w:spacing w:val="-8"/>
          <w:rtl/>
        </w:rPr>
        <w:t xml:space="preserve">ومن كتب الفقه : </w:t>
      </w:r>
    </w:p>
    <w:p w:rsidR="00035BE3" w:rsidRDefault="00035BE3" w:rsidP="00C10469">
      <w:pPr>
        <w:pStyle w:val="a6"/>
        <w:ind w:left="422" w:firstLine="0"/>
        <w:rPr>
          <w:rtl/>
        </w:rPr>
      </w:pPr>
      <w:r>
        <w:rPr>
          <w:rFonts w:hint="cs"/>
          <w:spacing w:val="-8"/>
          <w:rtl/>
        </w:rPr>
        <w:t>الجامع الصغير وشرحه : النافع الكبير، ص339؛ المبسوط، 13/48، 18/120، 190؛ بـدائع الصـنائع، 6/109؛ الهداية وشرحاها : العناية وفتح القدير، 6/385، 439؛ تبيين الحقـائق، 5/20؛ الدّرر شـرح الغرر، 2/165، 172؛ مواهب الجليل، 7/47؛ البحر الرائق، 5/262؛ رد المحتار، 8/311.</w:t>
      </w:r>
    </w:p>
  </w:footnote>
  <w:footnote w:id="385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المبسوط، 13/48؛ الهداية وشرحيها : العناية وفتح القدير، 6/439؛ النافع الكبير، ص339.</w:t>
      </w:r>
    </w:p>
  </w:footnote>
  <w:footnote w:id="3860">
    <w:p w:rsidR="00035BE3" w:rsidRPr="00C159A2"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sidRPr="00C159A2">
        <w:rPr>
          <w:rFonts w:hint="cs"/>
          <w:b/>
          <w:bCs/>
          <w:rtl/>
        </w:rPr>
        <w:t xml:space="preserve">الزِّقُّ في اللغة </w:t>
      </w:r>
      <w:r w:rsidRPr="00C159A2">
        <w:rPr>
          <w:rFonts w:hint="cs"/>
          <w:rtl/>
        </w:rPr>
        <w:t xml:space="preserve">: هو وعاء من الجلد يُتّخذ لحفظ السوائل. قال في القاموس : </w:t>
      </w:r>
      <w:r w:rsidRPr="00C159A2">
        <w:rPr>
          <w:rFonts w:hint="eastAsia"/>
          <w:rtl/>
        </w:rPr>
        <w:t>«</w:t>
      </w:r>
      <w:r w:rsidRPr="00C159A2">
        <w:rPr>
          <w:rFonts w:hint="cs"/>
          <w:rtl/>
        </w:rPr>
        <w:t>وبالكسر: السِّقاء، أو جلدٌ يُجَرُّ ولا يُنتف للشراب وغيره</w:t>
      </w:r>
      <w:r w:rsidRPr="00C159A2">
        <w:rPr>
          <w:rFonts w:hint="eastAsia"/>
          <w:rtl/>
        </w:rPr>
        <w:t>»</w:t>
      </w:r>
      <w:r w:rsidRPr="00C159A2">
        <w:rPr>
          <w:rFonts w:hint="cs"/>
          <w:rtl/>
        </w:rPr>
        <w:t>.</w:t>
      </w:r>
    </w:p>
    <w:p w:rsidR="00035BE3" w:rsidRDefault="00035BE3" w:rsidP="00C10469">
      <w:pPr>
        <w:pStyle w:val="a6"/>
        <w:ind w:left="422" w:firstLine="0"/>
        <w:rPr>
          <w:rtl/>
        </w:rPr>
      </w:pPr>
      <w:r>
        <w:rPr>
          <w:rFonts w:hint="cs"/>
          <w:spacing w:val="-8"/>
          <w:rtl/>
        </w:rPr>
        <w:t xml:space="preserve">القاموس المحيط، مادة </w:t>
      </w:r>
      <w:r>
        <w:rPr>
          <w:rFonts w:hint="eastAsia"/>
          <w:spacing w:val="-8"/>
          <w:rtl/>
        </w:rPr>
        <w:t>«</w:t>
      </w:r>
      <w:r>
        <w:rPr>
          <w:rFonts w:hint="cs"/>
          <w:spacing w:val="-8"/>
          <w:rtl/>
        </w:rPr>
        <w:t>زقّ</w:t>
      </w:r>
      <w:r>
        <w:rPr>
          <w:rFonts w:hint="eastAsia"/>
          <w:spacing w:val="-8"/>
          <w:rtl/>
        </w:rPr>
        <w:t>»</w:t>
      </w:r>
      <w:r>
        <w:rPr>
          <w:rFonts w:hint="cs"/>
          <w:spacing w:val="-8"/>
          <w:rtl/>
        </w:rPr>
        <w:t xml:space="preserve">، ص1150؛ وانظر : لسان العرب، مادة </w:t>
      </w:r>
      <w:r>
        <w:rPr>
          <w:rFonts w:hint="eastAsia"/>
          <w:spacing w:val="-8"/>
          <w:rtl/>
        </w:rPr>
        <w:t>«</w:t>
      </w:r>
      <w:r>
        <w:rPr>
          <w:rFonts w:hint="cs"/>
          <w:spacing w:val="-8"/>
          <w:rtl/>
        </w:rPr>
        <w:t>زقق</w:t>
      </w:r>
      <w:r>
        <w:rPr>
          <w:rFonts w:hint="eastAsia"/>
          <w:spacing w:val="-8"/>
          <w:rtl/>
        </w:rPr>
        <w:t>»</w:t>
      </w:r>
      <w:r>
        <w:rPr>
          <w:rFonts w:hint="cs"/>
          <w:spacing w:val="-8"/>
          <w:rtl/>
        </w:rPr>
        <w:t>، 10/143.</w:t>
      </w:r>
    </w:p>
  </w:footnote>
  <w:footnote w:id="3861">
    <w:p w:rsidR="00035BE3" w:rsidRDefault="00035BE3" w:rsidP="00C10469">
      <w:pPr>
        <w:pStyle w:val="a8"/>
        <w:bidi/>
        <w:spacing w:line="440" w:lineRule="exact"/>
        <w:ind w:left="422" w:right="0"/>
        <w:rPr>
          <w:spacing w:val="-10"/>
          <w:rtl/>
        </w:rPr>
      </w:pPr>
      <w:r>
        <w:rPr>
          <w:spacing w:val="-10"/>
          <w:vertAlign w:val="superscript"/>
          <w:rtl/>
        </w:rPr>
        <w:t>(</w:t>
      </w:r>
      <w:r>
        <w:rPr>
          <w:rStyle w:val="a7"/>
          <w:spacing w:val="-10"/>
        </w:rPr>
        <w:footnoteRef/>
      </w:r>
      <w:r>
        <w:rPr>
          <w:rFonts w:hint="cs"/>
          <w:spacing w:val="-10"/>
          <w:vertAlign w:val="superscript"/>
          <w:rtl/>
        </w:rPr>
        <w:t>)</w:t>
      </w:r>
      <w:r>
        <w:rPr>
          <w:rFonts w:hint="cs"/>
          <w:spacing w:val="-10"/>
          <w:rtl/>
        </w:rPr>
        <w:t xml:space="preserve">   انظر : العناية، 6/438-439؛ الدّرر شرح الغرر، 2/172؛ وانظر المثال أيضًا في : الجامع الصغير وشرحه النافع الكبير، ص339؛ الهداية وشرحها : فتح القدير، 6/438-439؛ الدر المختار وحاشيته : رد المحتار، 8/311.</w:t>
      </w:r>
    </w:p>
  </w:footnote>
  <w:footnote w:id="3862">
    <w:p w:rsidR="00035BE3" w:rsidRDefault="00035BE3" w:rsidP="00C10469">
      <w:pPr>
        <w:pStyle w:val="a8"/>
        <w:bidi/>
        <w:spacing w:line="440" w:lineRule="exact"/>
        <w:ind w:left="422" w:right="0"/>
        <w:rPr>
          <w:spacing w:val="-8"/>
          <w:rtl/>
        </w:rPr>
      </w:pPr>
      <w:r>
        <w:rPr>
          <w:vertAlign w:val="superscript"/>
          <w:rtl/>
        </w:rPr>
        <w:t>(</w:t>
      </w:r>
      <w:r>
        <w:rPr>
          <w:rStyle w:val="a7"/>
        </w:rPr>
        <w:footnoteRef/>
      </w:r>
      <w:r>
        <w:rPr>
          <w:rFonts w:hint="cs"/>
          <w:vertAlign w:val="superscript"/>
          <w:rtl/>
        </w:rPr>
        <w:t>)</w:t>
      </w:r>
      <w:r>
        <w:rPr>
          <w:rFonts w:hint="cs"/>
          <w:rtl/>
        </w:rPr>
        <w:t xml:space="preserve">   </w:t>
      </w:r>
      <w:r>
        <w:rPr>
          <w:rFonts w:hint="cs"/>
          <w:b/>
          <w:bCs/>
          <w:rtl/>
        </w:rPr>
        <w:t>الفرق بين التحالف والتحليف</w:t>
      </w:r>
      <w:r>
        <w:rPr>
          <w:rFonts w:hint="cs"/>
          <w:rtl/>
        </w:rPr>
        <w:t xml:space="preserve"> : أن </w:t>
      </w:r>
      <w:r>
        <w:rPr>
          <w:rFonts w:hint="eastAsia"/>
          <w:spacing w:val="-8"/>
          <w:rtl/>
        </w:rPr>
        <w:t>«</w:t>
      </w:r>
      <w:r>
        <w:rPr>
          <w:rFonts w:hint="cs"/>
          <w:spacing w:val="-8"/>
          <w:rtl/>
        </w:rPr>
        <w:t>التحليف : هو توجيه اليمين على أحد الخصمين</w:t>
      </w:r>
      <w:r>
        <w:rPr>
          <w:rFonts w:hint="eastAsia"/>
          <w:spacing w:val="-8"/>
          <w:rtl/>
        </w:rPr>
        <w:t>»</w:t>
      </w:r>
      <w:r>
        <w:rPr>
          <w:rFonts w:hint="cs"/>
          <w:spacing w:val="-8"/>
          <w:rtl/>
        </w:rPr>
        <w:t xml:space="preserve"> و</w:t>
      </w:r>
      <w:r>
        <w:rPr>
          <w:rFonts w:hint="eastAsia"/>
          <w:spacing w:val="-8"/>
          <w:rtl/>
        </w:rPr>
        <w:t>«</w:t>
      </w:r>
      <w:r>
        <w:rPr>
          <w:rFonts w:hint="cs"/>
          <w:spacing w:val="-8"/>
          <w:rtl/>
        </w:rPr>
        <w:t>التحالف : هو توجيه اليمين على كلا الخصمين</w:t>
      </w:r>
      <w:r>
        <w:rPr>
          <w:rFonts w:hint="eastAsia"/>
          <w:spacing w:val="-8"/>
          <w:rtl/>
        </w:rPr>
        <w:t>»</w:t>
      </w:r>
      <w:r>
        <w:rPr>
          <w:rFonts w:hint="cs"/>
          <w:spacing w:val="-8"/>
          <w:rtl/>
        </w:rPr>
        <w:t>.</w:t>
      </w:r>
    </w:p>
    <w:p w:rsidR="00035BE3" w:rsidRDefault="00035BE3" w:rsidP="00C10469">
      <w:pPr>
        <w:pStyle w:val="a6"/>
        <w:spacing w:line="440" w:lineRule="exact"/>
        <w:ind w:left="422" w:firstLine="0"/>
        <w:rPr>
          <w:rtl/>
        </w:rPr>
      </w:pPr>
      <w:r>
        <w:rPr>
          <w:rFonts w:hint="cs"/>
          <w:spacing w:val="-8"/>
          <w:rtl/>
        </w:rPr>
        <w:t>كذا ورد تعريفهما في المجلة، مادة 1681 و 1682؛ وانظرهما في شرح المجلة للأتاسي، 5/198؛ وانظر معنى التحالف أيضًا في : البحر الرائق، 7/218؛ رد المحتار، 11/628؛ معجم لغة الفقهاء، ص101. وقد سبق بيان معنى التحليف، ص 483.</w:t>
      </w:r>
    </w:p>
  </w:footnote>
  <w:footnote w:id="3863">
    <w:p w:rsidR="00035BE3" w:rsidRDefault="00035BE3" w:rsidP="00C10469">
      <w:pPr>
        <w:pStyle w:val="a8"/>
        <w:bidi/>
        <w:spacing w:line="5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76/ب من (أ).</w:t>
      </w:r>
    </w:p>
  </w:footnote>
  <w:footnote w:id="3864">
    <w:p w:rsidR="00035BE3" w:rsidRDefault="00035BE3" w:rsidP="00C10469">
      <w:pPr>
        <w:pStyle w:val="a8"/>
        <w:bidi/>
        <w:spacing w:line="5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جاء في هامش (أ) : </w:t>
      </w:r>
      <w:r>
        <w:rPr>
          <w:rFonts w:hint="eastAsia"/>
          <w:spacing w:val="-8"/>
          <w:rtl/>
        </w:rPr>
        <w:t>«</w:t>
      </w:r>
      <w:r>
        <w:rPr>
          <w:rFonts w:hint="cs"/>
          <w:spacing w:val="-8"/>
          <w:rtl/>
        </w:rPr>
        <w:t>أي الوجه</w:t>
      </w:r>
      <w:r>
        <w:rPr>
          <w:rFonts w:hint="eastAsia"/>
          <w:spacing w:val="-8"/>
          <w:rtl/>
        </w:rPr>
        <w:t>»</w:t>
      </w:r>
      <w:r>
        <w:rPr>
          <w:rFonts w:hint="cs"/>
          <w:spacing w:val="-8"/>
          <w:rtl/>
        </w:rPr>
        <w:t>.</w:t>
      </w:r>
    </w:p>
  </w:footnote>
  <w:footnote w:id="3865">
    <w:p w:rsidR="00035BE3" w:rsidRDefault="00035BE3" w:rsidP="00C10469">
      <w:pPr>
        <w:pStyle w:val="a8"/>
        <w:bidi/>
        <w:spacing w:line="520" w:lineRule="exact"/>
        <w:ind w:left="422" w:right="0"/>
        <w:rPr>
          <w:spacing w:val="-12"/>
          <w:rtl/>
        </w:rPr>
      </w:pPr>
      <w:r>
        <w:rPr>
          <w:spacing w:val="-12"/>
          <w:vertAlign w:val="superscript"/>
          <w:rtl/>
        </w:rPr>
        <w:t>(</w:t>
      </w:r>
      <w:r>
        <w:rPr>
          <w:rStyle w:val="a7"/>
          <w:spacing w:val="-12"/>
        </w:rPr>
        <w:footnoteRef/>
      </w:r>
      <w:r>
        <w:rPr>
          <w:rFonts w:hint="cs"/>
          <w:spacing w:val="-12"/>
          <w:vertAlign w:val="superscript"/>
          <w:rtl/>
        </w:rPr>
        <w:t>)</w:t>
      </w:r>
      <w:r>
        <w:rPr>
          <w:rFonts w:hint="cs"/>
          <w:spacing w:val="-12"/>
          <w:rtl/>
        </w:rPr>
        <w:t xml:space="preserve">   في (أ): </w:t>
      </w:r>
      <w:r>
        <w:rPr>
          <w:rFonts w:hint="eastAsia"/>
          <w:spacing w:val="-12"/>
          <w:rtl/>
        </w:rPr>
        <w:t>«</w:t>
      </w:r>
      <w:r>
        <w:rPr>
          <w:rFonts w:hint="cs"/>
          <w:spacing w:val="-12"/>
          <w:rtl/>
        </w:rPr>
        <w:t xml:space="preserve"> سرع </w:t>
      </w:r>
      <w:r>
        <w:rPr>
          <w:rFonts w:hint="eastAsia"/>
          <w:spacing w:val="-12"/>
          <w:rtl/>
        </w:rPr>
        <w:t>»</w:t>
      </w:r>
      <w:r>
        <w:rPr>
          <w:rFonts w:hint="cs"/>
          <w:spacing w:val="-12"/>
          <w:rtl/>
        </w:rPr>
        <w:t xml:space="preserve">. وفي (ب) و(د): </w:t>
      </w:r>
      <w:r>
        <w:rPr>
          <w:rFonts w:hint="eastAsia"/>
          <w:spacing w:val="-12"/>
          <w:rtl/>
        </w:rPr>
        <w:t>«</w:t>
      </w:r>
      <w:r>
        <w:rPr>
          <w:rFonts w:hint="cs"/>
          <w:spacing w:val="-12"/>
          <w:rtl/>
        </w:rPr>
        <w:t xml:space="preserve"> شرع </w:t>
      </w:r>
      <w:r>
        <w:rPr>
          <w:rFonts w:hint="eastAsia"/>
          <w:spacing w:val="-12"/>
          <w:rtl/>
        </w:rPr>
        <w:t>»</w:t>
      </w:r>
      <w:r>
        <w:rPr>
          <w:rFonts w:hint="cs"/>
          <w:spacing w:val="-12"/>
          <w:rtl/>
        </w:rPr>
        <w:t>. والصواب ما تمَّ إثباته من (جـ) و(هـ) و(و)، وهو الموافق للعناية.</w:t>
      </w:r>
    </w:p>
  </w:footnote>
  <w:footnote w:id="3866">
    <w:p w:rsidR="00035BE3" w:rsidRDefault="00035BE3" w:rsidP="00C10469">
      <w:pPr>
        <w:pStyle w:val="a8"/>
        <w:bidi/>
        <w:spacing w:line="5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العناية، 6/439 -مع اختلاف في بعض الألفاظ-؛ وانظر : فتح القدير، 6/439.</w:t>
      </w:r>
    </w:p>
  </w:footnote>
  <w:footnote w:id="3867">
    <w:p w:rsidR="00035BE3" w:rsidRDefault="00035BE3" w:rsidP="00C10469">
      <w:pPr>
        <w:pStyle w:val="a8"/>
        <w:bidi/>
        <w:spacing w:line="5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الاختلاف في</w:t>
      </w:r>
      <w:r>
        <w:rPr>
          <w:rFonts w:hint="eastAsia"/>
          <w:spacing w:val="-8"/>
          <w:rtl/>
        </w:rPr>
        <w:t>»</w:t>
      </w:r>
      <w:r>
        <w:rPr>
          <w:rFonts w:hint="cs"/>
          <w:spacing w:val="-8"/>
          <w:rtl/>
        </w:rPr>
        <w:t xml:space="preserve"> : ساقطة من (ب).</w:t>
      </w:r>
    </w:p>
  </w:footnote>
  <w:footnote w:id="386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spacing w:val="-8"/>
          <w:rtl/>
        </w:rPr>
        <w:t>«</w:t>
      </w:r>
      <w:r>
        <w:rPr>
          <w:rFonts w:hint="cs"/>
          <w:spacing w:val="-8"/>
          <w:rtl/>
        </w:rPr>
        <w:t>فكذا</w:t>
      </w:r>
      <w:r>
        <w:rPr>
          <w:rFonts w:hint="eastAsia"/>
          <w:spacing w:val="-8"/>
          <w:rtl/>
        </w:rPr>
        <w:t>»</w:t>
      </w:r>
      <w:r>
        <w:rPr>
          <w:rFonts w:hint="cs"/>
          <w:spacing w:val="-8"/>
          <w:rtl/>
        </w:rPr>
        <w:t>. والمناسب ما تمَّ إثباته من (ب).</w:t>
      </w:r>
    </w:p>
  </w:footnote>
  <w:footnote w:id="386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57/أ من (جـ).</w:t>
      </w:r>
    </w:p>
  </w:footnote>
  <w:footnote w:id="387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49/أ من (ب).</w:t>
      </w:r>
    </w:p>
  </w:footnote>
  <w:footnote w:id="387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أكثر كتب القواعد مختصرة بلفظ : </w:t>
      </w:r>
      <w:r>
        <w:rPr>
          <w:rFonts w:hint="eastAsia"/>
          <w:rtl/>
        </w:rPr>
        <w:t>«</w:t>
      </w:r>
      <w:r>
        <w:rPr>
          <w:rFonts w:hint="cs"/>
          <w:rtl/>
        </w:rPr>
        <w:t>الكتاب كالخطاب</w:t>
      </w:r>
      <w:r>
        <w:rPr>
          <w:rFonts w:hint="eastAsia"/>
          <w:rtl/>
        </w:rPr>
        <w:t>»</w:t>
      </w:r>
      <w:r>
        <w:rPr>
          <w:rFonts w:hint="cs"/>
          <w:rtl/>
        </w:rPr>
        <w:t>؛ كما وردت بلفظ المؤلف وألفاظ أخرى في كتب أخرى من كتب الفقه وقواعده وغيرهما :</w:t>
      </w:r>
    </w:p>
    <w:p w:rsidR="00035BE3" w:rsidRDefault="00035BE3" w:rsidP="00C10469">
      <w:pPr>
        <w:pStyle w:val="a6"/>
        <w:spacing w:line="440" w:lineRule="exact"/>
        <w:ind w:left="422" w:firstLine="0"/>
        <w:rPr>
          <w:b/>
          <w:bCs/>
          <w:spacing w:val="-8"/>
          <w:rtl/>
        </w:rPr>
      </w:pPr>
      <w:r>
        <w:rPr>
          <w:rFonts w:hint="cs"/>
          <w:b/>
          <w:bCs/>
          <w:spacing w:val="-8"/>
          <w:rtl/>
        </w:rPr>
        <w:t>فمن كتب القواعد :</w:t>
      </w:r>
    </w:p>
    <w:p w:rsidR="00035BE3" w:rsidRDefault="00035BE3" w:rsidP="00C10469">
      <w:pPr>
        <w:pStyle w:val="a6"/>
        <w:spacing w:line="221" w:lineRule="auto"/>
        <w:ind w:left="420" w:firstLine="0"/>
        <w:rPr>
          <w:spacing w:val="-6"/>
          <w:rtl/>
        </w:rPr>
      </w:pPr>
      <w:r>
        <w:rPr>
          <w:rFonts w:hint="cs"/>
          <w:spacing w:val="-6"/>
          <w:rtl/>
        </w:rPr>
        <w:t xml:space="preserve">الأشباه والنظائر للسيوطي، 2/582 - فقد أشار إليها عرضًا، فممّا قال : </w:t>
      </w:r>
      <w:r>
        <w:rPr>
          <w:rFonts w:hint="eastAsia"/>
          <w:spacing w:val="-6"/>
          <w:rtl/>
        </w:rPr>
        <w:t>«</w:t>
      </w:r>
      <w:r>
        <w:rPr>
          <w:rFonts w:hint="cs"/>
          <w:spacing w:val="-6"/>
          <w:rtl/>
        </w:rPr>
        <w:t>وحيث جوّزنا انعقاد البيع ونحوه بالكتابة، فذلك في حال الغيبة، فأما في حالة الحضور : فخلاف مرتب. والأصـح : الانعقاد</w:t>
      </w:r>
      <w:r>
        <w:rPr>
          <w:rFonts w:hint="eastAsia"/>
          <w:spacing w:val="-6"/>
          <w:rtl/>
        </w:rPr>
        <w:t>»</w:t>
      </w:r>
      <w:r>
        <w:rPr>
          <w:rFonts w:hint="cs"/>
          <w:spacing w:val="-6"/>
          <w:rtl/>
        </w:rPr>
        <w:t xml:space="preserve">-؛ ولابن نجيم، ص374- ولفظه : </w:t>
      </w:r>
      <w:r>
        <w:rPr>
          <w:rFonts w:hint="eastAsia"/>
          <w:spacing w:val="-6"/>
          <w:rtl/>
        </w:rPr>
        <w:t>«</w:t>
      </w:r>
      <w:r>
        <w:rPr>
          <w:rFonts w:hint="cs"/>
          <w:spacing w:val="-6"/>
          <w:rtl/>
        </w:rPr>
        <w:t>والكتاب كالخطاب</w:t>
      </w:r>
      <w:r>
        <w:rPr>
          <w:rFonts w:hint="eastAsia"/>
          <w:spacing w:val="-6"/>
          <w:rtl/>
        </w:rPr>
        <w:t>»</w:t>
      </w:r>
      <w:r>
        <w:rPr>
          <w:rFonts w:hint="cs"/>
          <w:spacing w:val="-6"/>
          <w:rtl/>
        </w:rPr>
        <w:t xml:space="preserve">-؛ مجلة الأحكام العدلية، مادة 69؛ شرحها لسليم رستم، 1/49؛ ولعلي حيدر، 1/61؛ وللأتاسي، 1/190؛ وشرح قواعدها للزرقا، ص349؛ قواعد الفقه للمجدّدي، ص99، قاعدة 219، وص100، قاعدة 222- ولفظه الأول كلفظ ابن نجيم، والثاني: </w:t>
      </w:r>
      <w:r>
        <w:rPr>
          <w:rFonts w:hint="eastAsia"/>
          <w:spacing w:val="-6"/>
          <w:rtl/>
        </w:rPr>
        <w:t>«</w:t>
      </w:r>
      <w:r>
        <w:rPr>
          <w:rFonts w:hint="cs"/>
          <w:spacing w:val="-6"/>
          <w:rtl/>
        </w:rPr>
        <w:t>الكتاب ممّن نأى كالخطاب ممّن دنى</w:t>
      </w:r>
      <w:r>
        <w:rPr>
          <w:rFonts w:hint="eastAsia"/>
          <w:spacing w:val="-6"/>
          <w:rtl/>
        </w:rPr>
        <w:t>»</w:t>
      </w:r>
      <w:r>
        <w:rPr>
          <w:rFonts w:hint="cs"/>
          <w:spacing w:val="-6"/>
          <w:rtl/>
        </w:rPr>
        <w:t xml:space="preserve">-؛ المدخل الفقهي العام، 2/1000، فقرة 609؛ القواعد والضوابط المستخلصة من التحرير، ص145- ولفظه: </w:t>
      </w:r>
      <w:r>
        <w:rPr>
          <w:rFonts w:hint="eastAsia"/>
          <w:spacing w:val="-6"/>
          <w:rtl/>
        </w:rPr>
        <w:t>«</w:t>
      </w:r>
      <w:r>
        <w:rPr>
          <w:rFonts w:hint="cs"/>
          <w:spacing w:val="-6"/>
          <w:rtl/>
        </w:rPr>
        <w:t>الكتاب بمنزلة الخطاب</w:t>
      </w:r>
      <w:r>
        <w:rPr>
          <w:rFonts w:hint="eastAsia"/>
          <w:spacing w:val="-6"/>
          <w:rtl/>
        </w:rPr>
        <w:t>»</w:t>
      </w:r>
      <w:r>
        <w:rPr>
          <w:rFonts w:hint="cs"/>
          <w:spacing w:val="-6"/>
          <w:rtl/>
        </w:rPr>
        <w:t xml:space="preserve">-؛ القواعد الفقهية في بابي العبادات والمعاملات، ص607- ولفظه: </w:t>
      </w:r>
      <w:r>
        <w:rPr>
          <w:rFonts w:hint="eastAsia"/>
          <w:spacing w:val="-6"/>
          <w:rtl/>
        </w:rPr>
        <w:t>«</w:t>
      </w:r>
      <w:r>
        <w:rPr>
          <w:rFonts w:hint="cs"/>
          <w:spacing w:val="-6"/>
          <w:rtl/>
        </w:rPr>
        <w:t>الكتابة تقوم مقام قول الكاتب</w:t>
      </w:r>
      <w:r>
        <w:rPr>
          <w:rFonts w:hint="eastAsia"/>
          <w:spacing w:val="-6"/>
          <w:rtl/>
        </w:rPr>
        <w:t>»</w:t>
      </w:r>
      <w:r>
        <w:rPr>
          <w:rFonts w:hint="cs"/>
          <w:spacing w:val="-6"/>
          <w:rtl/>
        </w:rPr>
        <w:t>-؛ تطبيقات القواعد والضوابط لِـ د. سعود الغديان، ص378؛ المدخل إلى القواعد لِـ د. إبراهيم الحريري، ص135، 137؛ الوجيز، ص244؛ مـوسوعة القـواعد الفقهية، 1/462، 3/87؛ القواعد الفقهية لشيخنا أ. د. صالح السدلان، ص465- ولفظ الغديان ومن بعده كلفظ ابن نجيم-.</w:t>
      </w:r>
    </w:p>
    <w:p w:rsidR="00035BE3" w:rsidRDefault="00035BE3" w:rsidP="00C10469">
      <w:pPr>
        <w:pStyle w:val="a6"/>
        <w:spacing w:line="221" w:lineRule="auto"/>
        <w:ind w:left="420" w:firstLine="0"/>
        <w:rPr>
          <w:b/>
          <w:bCs/>
          <w:spacing w:val="-8"/>
          <w:rtl/>
        </w:rPr>
      </w:pPr>
      <w:r>
        <w:rPr>
          <w:rFonts w:hint="cs"/>
          <w:b/>
          <w:bCs/>
          <w:spacing w:val="-8"/>
          <w:rtl/>
        </w:rPr>
        <w:t>ومن كتب الفقه :</w:t>
      </w:r>
    </w:p>
    <w:p w:rsidR="00035BE3" w:rsidRDefault="00035BE3" w:rsidP="00C10469">
      <w:pPr>
        <w:pStyle w:val="a6"/>
        <w:spacing w:line="221" w:lineRule="auto"/>
        <w:ind w:left="420" w:firstLine="0"/>
        <w:rPr>
          <w:rtl/>
        </w:rPr>
      </w:pPr>
      <w:r>
        <w:rPr>
          <w:rFonts w:hint="cs"/>
          <w:rtl/>
        </w:rPr>
        <w:t>النّـتف في الفتاوى، 1/357؛ المبسوط، 5/16؛ بدائع الصنائع، 6/37- ولفظه كلفظ المؤلف-؛ الهداية وشرحاها : العناية وفتح القدير، 6/254؛ 7/291 - ولفظ العناية الأول كلفظ المؤلف-؛ المحيط البرهاني، ق3، ص841؛ الدرر شرح الغرر، 2/144- ولفظه كلفظ المؤلف-؛ البحر الرائق، 5/290، 7/69- ولفظه الثاني كالمؤلف-.</w:t>
      </w:r>
    </w:p>
    <w:p w:rsidR="00035BE3" w:rsidRDefault="00035BE3" w:rsidP="00C10469">
      <w:pPr>
        <w:pStyle w:val="a6"/>
        <w:spacing w:line="221" w:lineRule="auto"/>
        <w:ind w:left="422" w:firstLine="0"/>
        <w:rPr>
          <w:b/>
          <w:bCs/>
          <w:spacing w:val="-8"/>
          <w:rtl/>
        </w:rPr>
      </w:pPr>
      <w:r>
        <w:rPr>
          <w:rFonts w:hint="cs"/>
          <w:b/>
          <w:bCs/>
          <w:spacing w:val="-8"/>
          <w:rtl/>
        </w:rPr>
        <w:t>ومن الكتب الأخرى :</w:t>
      </w:r>
    </w:p>
    <w:p w:rsidR="00035BE3" w:rsidRDefault="00035BE3" w:rsidP="00C10469">
      <w:pPr>
        <w:pStyle w:val="a6"/>
        <w:spacing w:line="221" w:lineRule="auto"/>
        <w:ind w:left="422" w:firstLine="0"/>
        <w:rPr>
          <w:rtl/>
        </w:rPr>
      </w:pPr>
      <w:r>
        <w:rPr>
          <w:rFonts w:hint="cs"/>
          <w:spacing w:val="-8"/>
          <w:rtl/>
        </w:rPr>
        <w:t xml:space="preserve"> أصول السرخسي، 1/376؛ الفروق للكرابيسي، 1/116.</w:t>
      </w:r>
      <w:r>
        <w:rPr>
          <w:rFonts w:hint="cs"/>
          <w:rtl/>
        </w:rPr>
        <w:t xml:space="preserve"> </w:t>
      </w:r>
    </w:p>
  </w:footnote>
  <w:footnote w:id="3872">
    <w:p w:rsidR="00035BE3" w:rsidRPr="004114D5" w:rsidRDefault="00035BE3" w:rsidP="00C10469">
      <w:pPr>
        <w:pStyle w:val="a8"/>
        <w:bidi/>
        <w:spacing w:line="221" w:lineRule="auto"/>
        <w:ind w:left="422" w:right="0"/>
        <w:rPr>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4114D5">
        <w:rPr>
          <w:rFonts w:hint="cs"/>
          <w:b/>
          <w:bCs/>
          <w:rtl/>
        </w:rPr>
        <w:t>العُنوان في اللغة</w:t>
      </w:r>
      <w:r w:rsidRPr="004114D5">
        <w:rPr>
          <w:rFonts w:hint="cs"/>
          <w:rtl/>
        </w:rPr>
        <w:t xml:space="preserve"> : </w:t>
      </w:r>
      <w:r w:rsidRPr="004114D5">
        <w:rPr>
          <w:rFonts w:hint="eastAsia"/>
          <w:rtl/>
        </w:rPr>
        <w:t>«</w:t>
      </w:r>
      <w:r w:rsidRPr="004114D5">
        <w:rPr>
          <w:rFonts w:hint="cs"/>
          <w:rtl/>
        </w:rPr>
        <w:t>ما يستدل به على غيره، ومنه : عُنوان الكتاب</w:t>
      </w:r>
      <w:r w:rsidRPr="004114D5">
        <w:rPr>
          <w:rFonts w:hint="eastAsia"/>
          <w:rtl/>
        </w:rPr>
        <w:t>»</w:t>
      </w:r>
      <w:r w:rsidRPr="004114D5">
        <w:rPr>
          <w:rFonts w:hint="cs"/>
          <w:rtl/>
        </w:rPr>
        <w:t xml:space="preserve"> إذْ </w:t>
      </w:r>
      <w:r w:rsidRPr="004114D5">
        <w:rPr>
          <w:rFonts w:hint="eastAsia"/>
          <w:rtl/>
        </w:rPr>
        <w:t>«</w:t>
      </w:r>
      <w:r w:rsidRPr="004114D5">
        <w:rPr>
          <w:rFonts w:hint="cs"/>
          <w:rtl/>
        </w:rPr>
        <w:t>عُنوان الكتاب وعُنْيانُه (ويكسران) : سُمّي لأنه يعنّ له من ناحيته، وأصله : عُنَّانٌ، كَرُمّان، وكلمّا استدللت بشيء يظهرك على غيره فعنوان له</w:t>
      </w:r>
      <w:r w:rsidRPr="004114D5">
        <w:rPr>
          <w:rFonts w:hint="eastAsia"/>
          <w:rtl/>
        </w:rPr>
        <w:t>»</w:t>
      </w:r>
      <w:r w:rsidRPr="004114D5">
        <w:rPr>
          <w:rFonts w:hint="cs"/>
          <w:rtl/>
        </w:rPr>
        <w:t>.</w:t>
      </w:r>
    </w:p>
    <w:p w:rsidR="00035BE3" w:rsidRDefault="00035BE3" w:rsidP="00C10469">
      <w:pPr>
        <w:pStyle w:val="a6"/>
        <w:ind w:left="422" w:firstLine="0"/>
        <w:rPr>
          <w:spacing w:val="-8"/>
          <w:rtl/>
        </w:rPr>
      </w:pPr>
      <w:r>
        <w:rPr>
          <w:rFonts w:hint="cs"/>
          <w:b/>
          <w:bCs/>
          <w:spacing w:val="-8"/>
          <w:rtl/>
        </w:rPr>
        <w:t>والمراد به هنا</w:t>
      </w:r>
      <w:r>
        <w:rPr>
          <w:rFonts w:hint="cs"/>
          <w:spacing w:val="-8"/>
          <w:rtl/>
        </w:rPr>
        <w:t xml:space="preserve"> : الديباجة التي يظهر بها مَنْ صَدَرَ منه الكتاب، كأن </w:t>
      </w:r>
      <w:r>
        <w:rPr>
          <w:rFonts w:hint="eastAsia"/>
          <w:spacing w:val="-8"/>
          <w:rtl/>
        </w:rPr>
        <w:t>«</w:t>
      </w:r>
      <w:r>
        <w:rPr>
          <w:rFonts w:hint="cs"/>
          <w:spacing w:val="-8"/>
          <w:rtl/>
        </w:rPr>
        <w:t>يُكتب في صدره : من فلان بن فلان، على ما جرت به العادة في سير الكتب</w:t>
      </w:r>
      <w:r>
        <w:rPr>
          <w:rFonts w:hint="eastAsia"/>
          <w:spacing w:val="-8"/>
          <w:rtl/>
        </w:rPr>
        <w:t>»</w:t>
      </w:r>
      <w:r>
        <w:rPr>
          <w:rFonts w:hint="cs"/>
          <w:spacing w:val="-8"/>
          <w:rtl/>
        </w:rPr>
        <w:t xml:space="preserve">.                                                                         </w:t>
      </w:r>
    </w:p>
    <w:p w:rsidR="00035BE3" w:rsidRDefault="00035BE3" w:rsidP="00C10469">
      <w:pPr>
        <w:pStyle w:val="a6"/>
        <w:ind w:left="422" w:firstLine="0"/>
        <w:rPr>
          <w:rtl/>
        </w:rPr>
      </w:pPr>
      <w:r>
        <w:rPr>
          <w:rFonts w:hint="cs"/>
          <w:rtl/>
        </w:rPr>
        <w:t xml:space="preserve">ولتوثيق ما سبق فإن النص الأول مستفاد من : المعجم الوسيط، مادة </w:t>
      </w:r>
      <w:r>
        <w:rPr>
          <w:rFonts w:hint="eastAsia"/>
          <w:spacing w:val="-8"/>
          <w:rtl/>
        </w:rPr>
        <w:t>«</w:t>
      </w:r>
      <w:r>
        <w:rPr>
          <w:rFonts w:hint="cs"/>
          <w:spacing w:val="-8"/>
          <w:rtl/>
        </w:rPr>
        <w:t>عنون</w:t>
      </w:r>
      <w:r>
        <w:rPr>
          <w:rFonts w:hint="eastAsia"/>
          <w:spacing w:val="-8"/>
          <w:rtl/>
        </w:rPr>
        <w:t>»</w:t>
      </w:r>
      <w:r>
        <w:rPr>
          <w:rFonts w:hint="cs"/>
          <w:spacing w:val="-8"/>
          <w:rtl/>
        </w:rPr>
        <w:t xml:space="preserve">، 2/633؛ والنص الثاني من : القاموس المحيط، مادة </w:t>
      </w:r>
      <w:r>
        <w:rPr>
          <w:rFonts w:hint="eastAsia"/>
          <w:spacing w:val="-8"/>
          <w:rtl/>
        </w:rPr>
        <w:t>«</w:t>
      </w:r>
      <w:r>
        <w:rPr>
          <w:rFonts w:hint="cs"/>
          <w:spacing w:val="-8"/>
          <w:rtl/>
        </w:rPr>
        <w:t>عنّ</w:t>
      </w:r>
      <w:r>
        <w:rPr>
          <w:rFonts w:hint="eastAsia"/>
          <w:spacing w:val="-8"/>
          <w:rtl/>
        </w:rPr>
        <w:t>»</w:t>
      </w:r>
      <w:r>
        <w:rPr>
          <w:rFonts w:hint="cs"/>
          <w:spacing w:val="-8"/>
          <w:rtl/>
        </w:rPr>
        <w:t>، ص1570؛ والثالث من تكملة البحر الرائق، 8/544.</w:t>
      </w:r>
    </w:p>
  </w:footnote>
  <w:footnote w:id="387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عندي</w:t>
      </w:r>
      <w:r>
        <w:rPr>
          <w:rFonts w:hint="eastAsia"/>
          <w:spacing w:val="-8"/>
          <w:rtl/>
        </w:rPr>
        <w:t>»</w:t>
      </w:r>
      <w:r>
        <w:rPr>
          <w:rFonts w:hint="cs"/>
          <w:spacing w:val="-8"/>
          <w:rtl/>
        </w:rPr>
        <w:t>.</w:t>
      </w:r>
    </w:p>
  </w:footnote>
  <w:footnote w:id="387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spacing w:val="-8"/>
          <w:rtl/>
        </w:rPr>
        <w:t>«</w:t>
      </w:r>
      <w:r>
        <w:rPr>
          <w:rFonts w:hint="cs"/>
          <w:spacing w:val="-8"/>
          <w:rtl/>
        </w:rPr>
        <w:t>مكتوب</w:t>
      </w:r>
      <w:r>
        <w:rPr>
          <w:rFonts w:hint="eastAsia"/>
          <w:spacing w:val="-8"/>
          <w:rtl/>
        </w:rPr>
        <w:t>»</w:t>
      </w:r>
      <w:r>
        <w:rPr>
          <w:rFonts w:hint="cs"/>
          <w:spacing w:val="-8"/>
          <w:rtl/>
        </w:rPr>
        <w:t>. والمناسب ما تمَّ إثباته من (ب) و(جـ).</w:t>
      </w:r>
    </w:p>
  </w:footnote>
  <w:footnote w:id="38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المقتضى</w:t>
      </w:r>
      <w:r>
        <w:rPr>
          <w:rFonts w:hint="eastAsia"/>
          <w:spacing w:val="-8"/>
          <w:rtl/>
        </w:rPr>
        <w:t>»</w:t>
      </w:r>
      <w:r>
        <w:rPr>
          <w:rFonts w:hint="cs"/>
          <w:spacing w:val="-8"/>
          <w:rtl/>
        </w:rPr>
        <w:t>.</w:t>
      </w:r>
    </w:p>
  </w:footnote>
  <w:footnote w:id="3876">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الدّرر شرح الغرر، 2/144؛ وأنظر أيضًا: الهداية وشرحيها العناية وفتح القدير، 6/254-255؛ البحر الرائق، 5/291.</w:t>
      </w:r>
    </w:p>
  </w:footnote>
  <w:footnote w:id="38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ينقلب</w:t>
      </w:r>
      <w:r>
        <w:rPr>
          <w:rFonts w:hint="eastAsia"/>
          <w:rtl/>
        </w:rPr>
        <w:t>»</w:t>
      </w:r>
      <w:r>
        <w:rPr>
          <w:rFonts w:hint="cs"/>
          <w:rtl/>
        </w:rPr>
        <w:t>. والصحيح ما تمَّ إثباته من (ب) و(د).</w:t>
      </w:r>
    </w:p>
    <w:p w:rsidR="00035BE3" w:rsidRDefault="00035BE3" w:rsidP="00C10469">
      <w:pPr>
        <w:pStyle w:val="a6"/>
        <w:ind w:left="422" w:firstLine="0"/>
        <w:rPr>
          <w:rtl/>
        </w:rPr>
      </w:pPr>
      <w:r>
        <w:rPr>
          <w:rFonts w:hint="cs"/>
          <w:spacing w:val="-8"/>
          <w:rtl/>
        </w:rPr>
        <w:t>علمًا بأن ما في (أ) و(جـ) موافق لمصدر هذه العبارة وهو (الدّرر) !!.</w:t>
      </w:r>
    </w:p>
  </w:footnote>
  <w:footnote w:id="38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موجبه</w:t>
      </w:r>
      <w:r>
        <w:rPr>
          <w:rFonts w:hint="eastAsia"/>
          <w:rtl/>
        </w:rPr>
        <w:t>»</w:t>
      </w:r>
      <w:r>
        <w:rPr>
          <w:rFonts w:hint="cs"/>
          <w:rtl/>
        </w:rPr>
        <w:t xml:space="preserve">. والصواب ما تمَّ إثباته من باقي النسخ؛ وفاقًا للدرر. </w:t>
      </w:r>
    </w:p>
  </w:footnote>
  <w:footnote w:id="38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الضابط بنحو هذا اللفظ في الدرر شرح الغرر، 2/302؛ وورد في البحر الرائق-6/244- بلفظ : </w:t>
      </w:r>
      <w:r>
        <w:rPr>
          <w:rFonts w:hint="eastAsia"/>
          <w:rtl/>
        </w:rPr>
        <w:t>«</w:t>
      </w:r>
      <w:r>
        <w:rPr>
          <w:rFonts w:hint="cs"/>
          <w:rtl/>
        </w:rPr>
        <w:t>لأن الكفالة لزمته ونفذت عليه بغير أمرٍ غير موجبة للرجوع، فلا تنقلب موجبة له ...</w:t>
      </w:r>
      <w:r>
        <w:rPr>
          <w:rFonts w:hint="eastAsia"/>
          <w:rtl/>
        </w:rPr>
        <w:t>»</w:t>
      </w:r>
      <w:r>
        <w:rPr>
          <w:rFonts w:hint="cs"/>
          <w:rtl/>
        </w:rPr>
        <w:t>.</w:t>
      </w:r>
    </w:p>
  </w:footnote>
  <w:footnote w:id="38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47/أ من (د).</w:t>
      </w:r>
    </w:p>
  </w:footnote>
  <w:footnote w:id="38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2/302؛ وانظر في حكم رجوع الكفيل بلا أمر المكفول عنه إلى : مختصر الخرقي وشرحه : المغني، 7/89؛ الهداية وشرحيها : العناية وفتح القدير، 7/189؛ الكنز وشرحه : البحر الرائق، 6/244.</w:t>
      </w:r>
    </w:p>
  </w:footnote>
  <w:footnote w:id="38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ص426 (ل23/أ)، قاعدة 53.</w:t>
      </w:r>
    </w:p>
  </w:footnote>
  <w:footnote w:id="38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والتي تليها من القواعد الأصولية التي تتعلّق بمدلول لفظ من ألفاظ العموم وهو (كل) إذا أضيف. إذْ يختلف مدلوله باختلاف ما يدخل عليه : </w:t>
      </w:r>
    </w:p>
    <w:p w:rsidR="00035BE3" w:rsidRDefault="00035BE3" w:rsidP="00C10469">
      <w:pPr>
        <w:pStyle w:val="a6"/>
        <w:ind w:left="422" w:firstLine="0"/>
        <w:rPr>
          <w:spacing w:val="-4"/>
          <w:rtl/>
        </w:rPr>
      </w:pPr>
      <w:r>
        <w:rPr>
          <w:spacing w:val="-4"/>
          <w:rtl/>
        </w:rPr>
        <w:t>•</w:t>
      </w:r>
      <w:r>
        <w:rPr>
          <w:rFonts w:hint="cs"/>
          <w:spacing w:val="-4"/>
          <w:rtl/>
        </w:rPr>
        <w:t xml:space="preserve"> فإن دخل على نكرة : كان مدلوله العموم لجميع أفراده، أي الإحاطة بكلّ فرد من الجزئيات؛ كقول الرجل : قرأت كل كتاب في هذه المكتبة : يتناول جميع الكتب الموجودة فيها.</w:t>
      </w:r>
    </w:p>
    <w:p w:rsidR="00035BE3" w:rsidRDefault="00035BE3" w:rsidP="00C10469">
      <w:pPr>
        <w:pStyle w:val="a6"/>
        <w:ind w:left="422" w:firstLine="0"/>
        <w:rPr>
          <w:spacing w:val="-4"/>
          <w:rtl/>
        </w:rPr>
      </w:pPr>
      <w:r>
        <w:rPr>
          <w:spacing w:val="-4"/>
          <w:rtl/>
        </w:rPr>
        <w:t>•</w:t>
      </w:r>
      <w:r>
        <w:rPr>
          <w:rFonts w:hint="cs"/>
          <w:spacing w:val="-4"/>
          <w:rtl/>
        </w:rPr>
        <w:t xml:space="preserve"> وإن دخل على معرفة : كان مدلوله العموم لجميع أجزاء هذا المفرد، أي الإحاطة بأجزائه؛ كقول الرجل: قرأت كل الكتاب : يتناول كل جزء من أجزاء هذا الكتاب المعرّف دون غيره.</w:t>
      </w:r>
    </w:p>
    <w:p w:rsidR="00035BE3" w:rsidRDefault="00035BE3" w:rsidP="00C10469">
      <w:pPr>
        <w:pStyle w:val="a6"/>
        <w:ind w:left="422" w:firstLine="0"/>
        <w:rPr>
          <w:rtl/>
        </w:rPr>
      </w:pPr>
      <w:r>
        <w:rPr>
          <w:rFonts w:hint="cs"/>
          <w:rtl/>
        </w:rPr>
        <w:t>والمدلول الأول هو ما تحكيه هذه القاعدة، والمدلول الثاني هو ما تمثّله القاعدة التي تليها.</w:t>
      </w:r>
    </w:p>
    <w:p w:rsidR="00035BE3" w:rsidRDefault="00035BE3" w:rsidP="00C10469">
      <w:pPr>
        <w:pStyle w:val="a6"/>
        <w:ind w:left="422" w:firstLine="0"/>
        <w:rPr>
          <w:b/>
          <w:bCs/>
          <w:rtl/>
        </w:rPr>
      </w:pPr>
      <w:r>
        <w:rPr>
          <w:rFonts w:hint="cs"/>
          <w:b/>
          <w:bCs/>
          <w:rtl/>
        </w:rPr>
        <w:t xml:space="preserve">ولتوثيق هذه القاعدة يُقال : </w:t>
      </w:r>
    </w:p>
    <w:p w:rsidR="00035BE3" w:rsidRDefault="00035BE3" w:rsidP="00C10469">
      <w:pPr>
        <w:pStyle w:val="a6"/>
        <w:ind w:left="422" w:firstLine="0"/>
        <w:rPr>
          <w:rtl/>
        </w:rPr>
      </w:pPr>
      <w:r>
        <w:rPr>
          <w:rFonts w:hint="cs"/>
          <w:rtl/>
        </w:rPr>
        <w:t xml:space="preserve">وردت بنحو لفظها أو معناه في كثير من كتب الأصول، منها : </w:t>
      </w:r>
    </w:p>
    <w:p w:rsidR="00035BE3" w:rsidRDefault="00035BE3" w:rsidP="00C10469">
      <w:pPr>
        <w:pStyle w:val="a6"/>
        <w:ind w:left="422" w:firstLine="0"/>
        <w:rPr>
          <w:rtl/>
        </w:rPr>
      </w:pPr>
      <w:r>
        <w:rPr>
          <w:rFonts w:hint="cs"/>
          <w:rtl/>
        </w:rPr>
        <w:t xml:space="preserve">أصول البزدوي وكشف الأسرار، 2/16، 17 </w:t>
      </w:r>
      <w:r>
        <w:rPr>
          <w:rtl/>
        </w:rPr>
        <w:t>–</w:t>
      </w:r>
      <w:r>
        <w:rPr>
          <w:rFonts w:hint="cs"/>
          <w:rtl/>
        </w:rPr>
        <w:t xml:space="preserve"> ولفظ الكشف : </w:t>
      </w:r>
      <w:r>
        <w:rPr>
          <w:rFonts w:hint="eastAsia"/>
          <w:rtl/>
        </w:rPr>
        <w:t>«</w:t>
      </w:r>
      <w:r>
        <w:rPr>
          <w:rFonts w:hint="cs"/>
          <w:rtl/>
        </w:rPr>
        <w:t>كلمة كل ... إن أضيفت إلى معرفة توجب إحاطة الأجزاء، وإن أضيفت إلى نكرة توجب إحاطة الأفراد</w:t>
      </w:r>
      <w:r>
        <w:rPr>
          <w:rFonts w:hint="eastAsia"/>
          <w:rtl/>
        </w:rPr>
        <w:t>»</w:t>
      </w:r>
      <w:r>
        <w:rPr>
          <w:rFonts w:hint="cs"/>
          <w:rtl/>
        </w:rPr>
        <w:t xml:space="preserve"> -؛ أصول السرخسي، 1/157، 158- ولفظه الأول : </w:t>
      </w:r>
      <w:r>
        <w:rPr>
          <w:rFonts w:hint="eastAsia"/>
          <w:rtl/>
        </w:rPr>
        <w:t>«</w:t>
      </w:r>
      <w:r>
        <w:rPr>
          <w:rFonts w:hint="cs"/>
          <w:rtl/>
        </w:rPr>
        <w:t>وأما كلمة (كلّ) فإنها توجب الإحاطة على وجه الإفراد ... حتى لو وصلت باسم النكرة تقتضي العموم في ذلك الاسم...</w:t>
      </w:r>
      <w:r>
        <w:rPr>
          <w:rFonts w:hint="eastAsia"/>
          <w:rtl/>
        </w:rPr>
        <w:t>»</w:t>
      </w:r>
      <w:r>
        <w:rPr>
          <w:rFonts w:hint="cs"/>
          <w:rtl/>
        </w:rPr>
        <w:t xml:space="preserve">-؛ ميزان الأصول، 1/403- ولفظه : </w:t>
      </w:r>
      <w:r>
        <w:rPr>
          <w:rFonts w:hint="eastAsia"/>
          <w:rtl/>
        </w:rPr>
        <w:t>«</w:t>
      </w:r>
      <w:r>
        <w:rPr>
          <w:rFonts w:hint="cs"/>
          <w:rtl/>
        </w:rPr>
        <w:t xml:space="preserve">... كلمة (كل) ... إما أن تدخل على فردٍ منكّرٍ، أو على فردٍ معرّفٍ : إن دخل على فرد منكر يوجب العموم ... أما إذا دخل على الفرد المعرف </w:t>
      </w:r>
      <w:r>
        <w:rPr>
          <w:rtl/>
        </w:rPr>
        <w:t>–</w:t>
      </w:r>
      <w:r>
        <w:rPr>
          <w:rFonts w:hint="cs"/>
          <w:rtl/>
        </w:rPr>
        <w:t xml:space="preserve"> بأن قال : أكلت كل هذا الرغيف </w:t>
      </w:r>
      <w:r>
        <w:rPr>
          <w:rtl/>
        </w:rPr>
        <w:t>–</w:t>
      </w:r>
      <w:r>
        <w:rPr>
          <w:rFonts w:hint="cs"/>
          <w:rtl/>
        </w:rPr>
        <w:t xml:space="preserve"> فيتناول كل هذا الرغيف المعرف دون غيره</w:t>
      </w:r>
      <w:r>
        <w:rPr>
          <w:rFonts w:hint="eastAsia"/>
          <w:rtl/>
        </w:rPr>
        <w:t>»</w:t>
      </w:r>
      <w:r>
        <w:rPr>
          <w:rFonts w:hint="cs"/>
          <w:rtl/>
        </w:rPr>
        <w:t xml:space="preserve">-؛ المغني، ص114؛ شرحه للقاءاني، ق1،جـ2،ص 487-488- وهذا الشرح يعدّ المصدر الرئيس للمؤلف في هذه القاعدة والتي تليها، كما أن لفظ المؤلف فيهما قريب منه-؛ المنار وشروحه : كشف الأسرار وشرح نور الأنوار، 1/183؛ وفتح الغفار، 1/107- ولفظ المنار : </w:t>
      </w:r>
      <w:r>
        <w:rPr>
          <w:rFonts w:hint="eastAsia"/>
          <w:rtl/>
        </w:rPr>
        <w:t>«</w:t>
      </w:r>
      <w:r>
        <w:rPr>
          <w:rFonts w:hint="cs"/>
          <w:rtl/>
        </w:rPr>
        <w:t>فإن دخلت على المنكر أوجبت عموم أفراده، وإن دخلت على المعرّف أوجبت عموم أجزائه</w:t>
      </w:r>
      <w:r>
        <w:rPr>
          <w:rFonts w:hint="eastAsia"/>
          <w:rtl/>
        </w:rPr>
        <w:t>»</w:t>
      </w:r>
      <w:r>
        <w:rPr>
          <w:rFonts w:hint="cs"/>
          <w:rtl/>
        </w:rPr>
        <w:t xml:space="preserve">-؛ التنقيح والتوضيح والتلويح، 1/60- ولفظ التنقيح : </w:t>
      </w:r>
      <w:r>
        <w:rPr>
          <w:rFonts w:hint="eastAsia"/>
          <w:rtl/>
        </w:rPr>
        <w:t>«</w:t>
      </w:r>
      <w:r>
        <w:rPr>
          <w:rFonts w:hint="cs"/>
          <w:rtl/>
        </w:rPr>
        <w:t>فإن دخل الكل على النكرة فلعموم الأفراد، وإن دخل على المعرفة فللمجموع ...</w:t>
      </w:r>
      <w:r>
        <w:rPr>
          <w:rFonts w:hint="eastAsia"/>
          <w:rtl/>
        </w:rPr>
        <w:t>»</w:t>
      </w:r>
      <w:r>
        <w:rPr>
          <w:rFonts w:hint="cs"/>
          <w:rtl/>
        </w:rPr>
        <w:t xml:space="preserve">-؛ البحر المحيط، 3/64- ولفظه : </w:t>
      </w:r>
      <w:r>
        <w:rPr>
          <w:rFonts w:hint="eastAsia"/>
          <w:rtl/>
        </w:rPr>
        <w:t>«</w:t>
      </w:r>
      <w:r>
        <w:rPr>
          <w:rFonts w:hint="cs"/>
          <w:rtl/>
        </w:rPr>
        <w:t>الصيغة الأولى : (كل) ومدلولها الإحاطة بكل فرد من الجزيئات إن أضيفت إلى النكرة، أو الأجزاء إن أضيفت إلى معرفة</w:t>
      </w:r>
      <w:r>
        <w:rPr>
          <w:rFonts w:hint="eastAsia"/>
          <w:rtl/>
        </w:rPr>
        <w:t>»</w:t>
      </w:r>
      <w:r>
        <w:rPr>
          <w:rFonts w:hint="cs"/>
          <w:rtl/>
        </w:rPr>
        <w:t>-؛ وانظر أيضًا: تلقيح الفهوم، ص201-215- فقد قسَّم الأخيرُ (كلَّ) المضافة إلى قسمين : المضافة إلى النكرة والمضافة إلى المعرفة وتوسع في الحديث عنهما-.</w:t>
      </w:r>
    </w:p>
  </w:footnote>
  <w:footnote w:id="38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77/أ من (أ).</w:t>
      </w:r>
    </w:p>
  </w:footnote>
  <w:footnote w:id="38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العبارة الأخيرة وردت في شرح المغني على النحو الآتي : </w:t>
      </w:r>
      <w:r>
        <w:rPr>
          <w:rFonts w:hint="eastAsia"/>
          <w:rtl/>
        </w:rPr>
        <w:t>«</w:t>
      </w:r>
      <w:r>
        <w:rPr>
          <w:rFonts w:hint="cs"/>
          <w:rtl/>
        </w:rPr>
        <w:t>... و</w:t>
      </w:r>
      <w:r>
        <w:rPr>
          <w:rFonts w:hint="cs"/>
          <w:b/>
          <w:bCs/>
          <w:rtl/>
        </w:rPr>
        <w:t>تجعل</w:t>
      </w:r>
      <w:r>
        <w:rPr>
          <w:rFonts w:hint="cs"/>
          <w:rtl/>
        </w:rPr>
        <w:t xml:space="preserve"> كل فرد كأن ليس معه غيره، </w:t>
      </w:r>
      <w:r>
        <w:rPr>
          <w:rFonts w:hint="cs"/>
          <w:b/>
          <w:bCs/>
          <w:rtl/>
        </w:rPr>
        <w:t>وهذا</w:t>
      </w:r>
      <w:r>
        <w:rPr>
          <w:rFonts w:hint="cs"/>
          <w:rtl/>
        </w:rPr>
        <w:t xml:space="preserve"> </w:t>
      </w:r>
      <w:r>
        <w:rPr>
          <w:rFonts w:hint="cs"/>
          <w:b/>
          <w:bCs/>
          <w:rtl/>
        </w:rPr>
        <w:t>معنى الكل الإفرادي، حتى لو</w:t>
      </w:r>
      <w:r>
        <w:rPr>
          <w:rFonts w:hint="cs"/>
          <w:rtl/>
        </w:rPr>
        <w:t xml:space="preserve"> قال : كل امرأة ...</w:t>
      </w:r>
      <w:r>
        <w:rPr>
          <w:rFonts w:hint="eastAsia"/>
          <w:rtl/>
        </w:rPr>
        <w:t>»</w:t>
      </w:r>
      <w:r>
        <w:rPr>
          <w:rFonts w:hint="cs"/>
          <w:rtl/>
        </w:rPr>
        <w:t>.</w:t>
      </w:r>
    </w:p>
    <w:p w:rsidR="00035BE3" w:rsidRDefault="00035BE3" w:rsidP="00C10469">
      <w:pPr>
        <w:pStyle w:val="a6"/>
        <w:ind w:left="422" w:firstLine="0"/>
        <w:rPr>
          <w:spacing w:val="-2"/>
          <w:rtl/>
        </w:rPr>
      </w:pPr>
      <w:r>
        <w:rPr>
          <w:rFonts w:hint="cs"/>
          <w:spacing w:val="-2"/>
          <w:rtl/>
        </w:rPr>
        <w:t>وكما يسمّى بـ (الكلّ الإفرادي)  يسمّى أيضًا بـ (الكل العددي). انظر : تلقيح الفهوم، ص436.</w:t>
      </w:r>
    </w:p>
  </w:footnote>
  <w:footnote w:id="38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أوجب</w:t>
      </w:r>
      <w:r>
        <w:rPr>
          <w:rFonts w:hint="eastAsia"/>
          <w:rtl/>
        </w:rPr>
        <w:t>»</w:t>
      </w:r>
      <w:r>
        <w:rPr>
          <w:rFonts w:hint="cs"/>
          <w:rtl/>
        </w:rPr>
        <w:t xml:space="preserve">. والصحيح ما تمَّ إثباته من (ب)، وهو الموافق لشرح المغني، حيث جاء فيه : </w:t>
      </w:r>
      <w:r>
        <w:rPr>
          <w:rFonts w:hint="eastAsia"/>
          <w:rtl/>
        </w:rPr>
        <w:t>«</w:t>
      </w:r>
      <w:r>
        <w:rPr>
          <w:rFonts w:hint="cs"/>
          <w:rtl/>
        </w:rPr>
        <w:t xml:space="preserve">لأنَّ كلمة (كلّ) لما </w:t>
      </w:r>
      <w:r>
        <w:rPr>
          <w:rFonts w:hint="cs"/>
          <w:b/>
          <w:bCs/>
          <w:rtl/>
        </w:rPr>
        <w:t>أوجبت</w:t>
      </w:r>
      <w:r>
        <w:rPr>
          <w:rFonts w:hint="cs"/>
          <w:rtl/>
        </w:rPr>
        <w:t xml:space="preserve"> عموم الأفراد : صار ...</w:t>
      </w:r>
      <w:r>
        <w:rPr>
          <w:rFonts w:hint="eastAsia"/>
          <w:rtl/>
        </w:rPr>
        <w:t>»</w:t>
      </w:r>
      <w:r>
        <w:rPr>
          <w:rFonts w:hint="cs"/>
          <w:rtl/>
        </w:rPr>
        <w:t>.</w:t>
      </w:r>
    </w:p>
  </w:footnote>
  <w:footnote w:id="38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ص486-487- مع الاختلاف الذي سبق بيانه؛ وانظر : أصول السرخسي، 1/157-158.</w:t>
      </w:r>
    </w:p>
  </w:footnote>
  <w:footnote w:id="38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(بتذكير الضمير)، وفي مصدر المؤلف (وهو شرح المغني) : </w:t>
      </w:r>
      <w:r>
        <w:rPr>
          <w:rFonts w:hint="eastAsia"/>
          <w:rtl/>
        </w:rPr>
        <w:t>«</w:t>
      </w:r>
      <w:r>
        <w:rPr>
          <w:rFonts w:hint="cs"/>
          <w:rtl/>
        </w:rPr>
        <w:t>أجزائها</w:t>
      </w:r>
      <w:r>
        <w:rPr>
          <w:rFonts w:hint="eastAsia"/>
          <w:rtl/>
        </w:rPr>
        <w:t>»</w:t>
      </w:r>
      <w:r>
        <w:rPr>
          <w:rFonts w:hint="cs"/>
          <w:rtl/>
        </w:rPr>
        <w:t xml:space="preserve">. وتقدير ما جاء في جميع النسخ : أن الضمير المذكر يعود على </w:t>
      </w:r>
      <w:r>
        <w:rPr>
          <w:rFonts w:hint="cs"/>
          <w:b/>
          <w:bCs/>
          <w:rtl/>
        </w:rPr>
        <w:t>لفظ</w:t>
      </w:r>
      <w:r>
        <w:rPr>
          <w:rFonts w:hint="cs"/>
          <w:rtl/>
        </w:rPr>
        <w:t xml:space="preserve"> المعرفة.</w:t>
      </w:r>
    </w:p>
    <w:p w:rsidR="00035BE3" w:rsidRDefault="00035BE3" w:rsidP="00C10469">
      <w:pPr>
        <w:pStyle w:val="a6"/>
        <w:ind w:left="422" w:firstLine="0"/>
        <w:rPr>
          <w:rtl/>
        </w:rPr>
      </w:pPr>
      <w:r>
        <w:rPr>
          <w:rFonts w:hint="cs"/>
          <w:rtl/>
        </w:rPr>
        <w:t>إذا علم هذا فإن هذه القاعدة مرتبطة بالقاعدة السابقة، وكثير من العلماء يقرنها بها، فما قيل في التعليق على تلك القاعدة يمكن أن يقال هنا أيضًا.</w:t>
      </w:r>
    </w:p>
  </w:footnote>
  <w:footnote w:id="38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مجموعًا</w:t>
      </w:r>
      <w:r>
        <w:rPr>
          <w:rFonts w:hint="eastAsia"/>
          <w:rtl/>
        </w:rPr>
        <w:t>»</w:t>
      </w:r>
      <w:r>
        <w:rPr>
          <w:rFonts w:hint="cs"/>
          <w:rtl/>
        </w:rPr>
        <w:t>.</w:t>
      </w:r>
    </w:p>
    <w:p w:rsidR="00035BE3" w:rsidRDefault="00035BE3" w:rsidP="00C10469">
      <w:pPr>
        <w:pStyle w:val="a6"/>
        <w:ind w:left="422" w:firstLine="0"/>
        <w:rPr>
          <w:spacing w:val="-8"/>
          <w:rtl/>
        </w:rPr>
      </w:pPr>
      <w:r>
        <w:rPr>
          <w:rFonts w:hint="cs"/>
          <w:spacing w:val="-8"/>
          <w:rtl/>
        </w:rPr>
        <w:t xml:space="preserve">وقد جاء في شرح المغني : </w:t>
      </w:r>
      <w:r>
        <w:rPr>
          <w:rFonts w:hint="eastAsia"/>
          <w:spacing w:val="-8"/>
          <w:rtl/>
        </w:rPr>
        <w:t>«</w:t>
      </w:r>
      <w:r>
        <w:rPr>
          <w:rFonts w:hint="cs"/>
          <w:spacing w:val="-8"/>
          <w:rtl/>
        </w:rPr>
        <w:t>وهذا معنى الكل المجموعي</w:t>
      </w:r>
      <w:r>
        <w:rPr>
          <w:rFonts w:hint="eastAsia"/>
          <w:spacing w:val="-8"/>
          <w:rtl/>
        </w:rPr>
        <w:t>»</w:t>
      </w:r>
      <w:r>
        <w:rPr>
          <w:rFonts w:hint="cs"/>
          <w:spacing w:val="-8"/>
          <w:rtl/>
        </w:rPr>
        <w:t>. وانظر الكل المجموعي في: تلقيح الفهوم، ص436.</w:t>
      </w:r>
    </w:p>
  </w:footnote>
  <w:footnote w:id="3890">
    <w:p w:rsidR="00035BE3" w:rsidRDefault="00035BE3" w:rsidP="00C10469">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w:t>
      </w:r>
      <w:r>
        <w:rPr>
          <w:rFonts w:hint="cs"/>
          <w:b/>
          <w:bCs/>
          <w:spacing w:val="-10"/>
          <w:rtl/>
        </w:rPr>
        <w:t>الجامع</w:t>
      </w:r>
      <w:r>
        <w:rPr>
          <w:rFonts w:hint="cs"/>
          <w:spacing w:val="-10"/>
          <w:rtl/>
        </w:rPr>
        <w:t>: المراد به الجامع الكبير لمحمد بن الحسن بن فَرْقد الشيباني، صاحب أبي حنيفة وناشر مذهبه (ت 189هـ).</w:t>
      </w:r>
    </w:p>
    <w:p w:rsidR="00035BE3" w:rsidRDefault="00035BE3" w:rsidP="00C10469">
      <w:pPr>
        <w:pStyle w:val="a6"/>
        <w:ind w:left="422" w:firstLine="0"/>
        <w:rPr>
          <w:rtl/>
        </w:rPr>
      </w:pPr>
      <w:r>
        <w:rPr>
          <w:rFonts w:hint="cs"/>
          <w:rtl/>
        </w:rPr>
        <w:t xml:space="preserve">ويُعدّ هذا الكتاب من اللبنات الأولى التي قام عليها الفقه الحنفي؛ إذ هو أحد كتب ظاهر الرواية الستّة المعتمدة في المذهب الحنفي. وقد اكتسب مكانةً رفيعة منذ العصور المتقدّمة، وعبّر عن هذه المكانة محمد بن شجاع الثلجي الحنفي (ت266هـ) حيث قال : </w:t>
      </w:r>
      <w:r>
        <w:rPr>
          <w:rFonts w:hint="eastAsia"/>
          <w:rtl/>
        </w:rPr>
        <w:t>«</w:t>
      </w:r>
      <w:r>
        <w:rPr>
          <w:rFonts w:hint="cs"/>
          <w:rtl/>
        </w:rPr>
        <w:t>ما وُضع في الإسلام كتابٌ في الفقه مثل جامع محمد بن الحسن الكبير</w:t>
      </w:r>
      <w:r>
        <w:rPr>
          <w:rFonts w:hint="eastAsia"/>
          <w:rtl/>
        </w:rPr>
        <w:t>»</w:t>
      </w:r>
      <w:r>
        <w:rPr>
          <w:rFonts w:hint="cs"/>
          <w:rtl/>
        </w:rPr>
        <w:t>.</w:t>
      </w:r>
    </w:p>
    <w:p w:rsidR="00035BE3" w:rsidRDefault="00035BE3" w:rsidP="00C10469">
      <w:pPr>
        <w:pStyle w:val="a6"/>
        <w:ind w:left="422" w:firstLine="0"/>
        <w:rPr>
          <w:rtl/>
        </w:rPr>
      </w:pPr>
      <w:r>
        <w:rPr>
          <w:rFonts w:hint="cs"/>
          <w:rtl/>
        </w:rPr>
        <w:t>لهذا اعتنى الحنفية بشأنه وأفردوا حوله مصنفات كثيرة، ذكر منها صاحب (كشف الظنون) أربعًا وأربعين شرحًا، منها : شرحٌ للملك عيسى بن أبي بكر الأيّوبي (ت624هـ)، وكانت عادته أن يعطي مائة دينار لمن يحفظ الجامع الكبير.</w:t>
      </w:r>
    </w:p>
    <w:p w:rsidR="00035BE3" w:rsidRDefault="00035BE3" w:rsidP="00C10469">
      <w:pPr>
        <w:pStyle w:val="a6"/>
        <w:ind w:left="422" w:firstLine="0"/>
        <w:rPr>
          <w:rtl/>
        </w:rPr>
      </w:pPr>
      <w:r>
        <w:rPr>
          <w:rFonts w:hint="cs"/>
          <w:rtl/>
        </w:rPr>
        <w:t>وللكتاب عدة طبعات :</w:t>
      </w:r>
    </w:p>
    <w:p w:rsidR="00035BE3" w:rsidRDefault="00035BE3" w:rsidP="00C10469">
      <w:pPr>
        <w:pStyle w:val="a6"/>
        <w:ind w:left="422" w:firstLine="0"/>
        <w:rPr>
          <w:rtl/>
        </w:rPr>
      </w:pPr>
      <w:r>
        <w:rPr>
          <w:rFonts w:hint="cs"/>
          <w:rtl/>
        </w:rPr>
        <w:t>من أقدمها : طبعة الاستقامة بمصر، سنة 1356هـ.</w:t>
      </w:r>
    </w:p>
    <w:p w:rsidR="00035BE3" w:rsidRDefault="00035BE3" w:rsidP="00C10469">
      <w:pPr>
        <w:pStyle w:val="a6"/>
        <w:spacing w:line="228" w:lineRule="auto"/>
        <w:ind w:left="420" w:firstLine="0"/>
        <w:rPr>
          <w:rtl/>
        </w:rPr>
      </w:pPr>
      <w:r>
        <w:rPr>
          <w:rFonts w:hint="cs"/>
          <w:rtl/>
        </w:rPr>
        <w:t>ومن الطبعات الحديثة : طبعة دار المعارف النعمانية بلاهور، عام 1401هـ/1981م.</w:t>
      </w:r>
    </w:p>
    <w:p w:rsidR="00035BE3" w:rsidRDefault="00035BE3" w:rsidP="00C10469">
      <w:pPr>
        <w:pStyle w:val="a6"/>
        <w:spacing w:line="228" w:lineRule="auto"/>
        <w:ind w:left="420" w:firstLine="0"/>
        <w:rPr>
          <w:rtl/>
        </w:rPr>
      </w:pPr>
      <w:r>
        <w:rPr>
          <w:rFonts w:hint="cs"/>
          <w:rtl/>
        </w:rPr>
        <w:t>انظر : الفهرست للنديم، ص245؛ تاج التراجم، ص187، رقم 206؛ كشف الظنون، 1/567-570؛ مقدمة حاشية ابن عابدين (رد المحتار)، 1/168؛ الفوائد البهية، ص163؛ هدية العارفين، 2/8؛ الفكر السامي، 2/513-514؛ مقدمة تحقيق أبو الوفا الأفغاني للجامع الكبير، ص3-5؛ مرجع العلوم الإسلامية، ص482، 483.</w:t>
      </w:r>
    </w:p>
  </w:footnote>
  <w:footnote w:id="38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تقع</w:t>
      </w:r>
      <w:r>
        <w:rPr>
          <w:rFonts w:hint="eastAsia"/>
          <w:rtl/>
        </w:rPr>
        <w:t>»</w:t>
      </w:r>
      <w:r>
        <w:rPr>
          <w:rFonts w:hint="cs"/>
          <w:rtl/>
        </w:rPr>
        <w:t>.</w:t>
      </w:r>
    </w:p>
    <w:p w:rsidR="00035BE3" w:rsidRDefault="00035BE3" w:rsidP="00C10469">
      <w:pPr>
        <w:pStyle w:val="a6"/>
        <w:ind w:left="422" w:firstLine="0"/>
        <w:rPr>
          <w:rtl/>
        </w:rPr>
      </w:pPr>
      <w:r>
        <w:rPr>
          <w:rFonts w:hint="cs"/>
          <w:rtl/>
        </w:rPr>
        <w:t>وعلى تذكير الفعل التقدير : يقع الطلاق واحدة.</w:t>
      </w:r>
    </w:p>
  </w:footnote>
  <w:footnote w:id="38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لأن كلمة (كل) مضافة إلى معرفة فتكون لعموم أجزاء  المعرفة.</w:t>
      </w:r>
    </w:p>
  </w:footnote>
  <w:footnote w:id="38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تقع</w:t>
      </w:r>
      <w:r>
        <w:rPr>
          <w:rFonts w:hint="eastAsia"/>
          <w:rtl/>
        </w:rPr>
        <w:t>»</w:t>
      </w:r>
      <w:r>
        <w:rPr>
          <w:rFonts w:hint="cs"/>
          <w:rtl/>
        </w:rPr>
        <w:t>.</w:t>
      </w:r>
    </w:p>
  </w:footnote>
  <w:footnote w:id="3894">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 : الجامع الكبير، ص181؛ شرح المغني للقاءاني، ق1، جـ2، ص488، ولفظ الجامع: </w:t>
      </w:r>
      <w:r>
        <w:rPr>
          <w:rFonts w:hint="eastAsia"/>
          <w:spacing w:val="6"/>
          <w:rtl/>
        </w:rPr>
        <w:t>«</w:t>
      </w:r>
      <w:r>
        <w:rPr>
          <w:rFonts w:hint="cs"/>
          <w:spacing w:val="6"/>
          <w:rtl/>
        </w:rPr>
        <w:t>رجل قال لامرأته : ... أنت طالق كل تطليقة ... طلقت ثلاثًا ... ولو قال : أنت طالق كل التطليقة : لم تطلق إلا واحدة</w:t>
      </w:r>
      <w:r>
        <w:rPr>
          <w:rFonts w:hint="eastAsia"/>
          <w:spacing w:val="6"/>
          <w:rtl/>
        </w:rPr>
        <w:t>»</w:t>
      </w:r>
      <w:r>
        <w:rPr>
          <w:rFonts w:hint="cs"/>
          <w:spacing w:val="6"/>
          <w:rtl/>
        </w:rPr>
        <w:t>.</w:t>
      </w:r>
    </w:p>
  </w:footnote>
  <w:footnote w:id="38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بنحو هذا اللفظ أو معناه في كثير من </w:t>
      </w:r>
      <w:r>
        <w:rPr>
          <w:rFonts w:hint="cs"/>
          <w:b/>
          <w:bCs/>
          <w:rtl/>
        </w:rPr>
        <w:t>كتب القواعد</w:t>
      </w:r>
      <w:r>
        <w:rPr>
          <w:rFonts w:hint="cs"/>
          <w:rtl/>
        </w:rPr>
        <w:t>، منها :</w:t>
      </w:r>
    </w:p>
    <w:p w:rsidR="00035BE3" w:rsidRDefault="00035BE3" w:rsidP="00C10469">
      <w:pPr>
        <w:pStyle w:val="a6"/>
        <w:spacing w:line="420" w:lineRule="exact"/>
        <w:ind w:left="422" w:firstLine="0"/>
        <w:rPr>
          <w:spacing w:val="-8"/>
          <w:rtl/>
        </w:rPr>
      </w:pPr>
      <w:r>
        <w:rPr>
          <w:rFonts w:hint="cs"/>
          <w:rtl/>
        </w:rPr>
        <w:t xml:space="preserve">القواعد النورانية الفقهية لشيخ الإسلام ابن تيمية، ص206- ولفظه : </w:t>
      </w:r>
      <w:r>
        <w:rPr>
          <w:rFonts w:hint="eastAsia"/>
          <w:spacing w:val="-8"/>
          <w:rtl/>
        </w:rPr>
        <w:t>«</w:t>
      </w:r>
      <w:r>
        <w:rPr>
          <w:rFonts w:hint="cs"/>
          <w:spacing w:val="-8"/>
          <w:rtl/>
        </w:rPr>
        <w:t>... الأصل في العقود والشروط ونحو ذلك: الحظر، إلا ما ورد الشرع بـإجازته...</w:t>
      </w:r>
      <w:r>
        <w:rPr>
          <w:rFonts w:hint="eastAsia"/>
          <w:spacing w:val="-8"/>
          <w:rtl/>
        </w:rPr>
        <w:t>»</w:t>
      </w:r>
      <w:r>
        <w:rPr>
          <w:rFonts w:hint="cs"/>
          <w:spacing w:val="-8"/>
          <w:rtl/>
        </w:rPr>
        <w:t xml:space="preserve">-؛ الأشباه والنظائر لابن السبكي، 1/149- ولفظه: </w:t>
      </w:r>
      <w:r>
        <w:rPr>
          <w:rFonts w:hint="eastAsia"/>
          <w:spacing w:val="-8"/>
          <w:rtl/>
        </w:rPr>
        <w:t>«</w:t>
      </w:r>
      <w:r>
        <w:rPr>
          <w:rFonts w:hint="cs"/>
          <w:spacing w:val="-8"/>
          <w:rtl/>
        </w:rPr>
        <w:t>ما ثبت بالشرع أولى مماّ ثبت بالشرط</w:t>
      </w:r>
      <w:r>
        <w:rPr>
          <w:rFonts w:hint="eastAsia"/>
          <w:spacing w:val="-8"/>
          <w:rtl/>
        </w:rPr>
        <w:t>»</w:t>
      </w:r>
      <w:r>
        <w:rPr>
          <w:rFonts w:hint="cs"/>
          <w:spacing w:val="-8"/>
          <w:rtl/>
        </w:rPr>
        <w:t xml:space="preserve">-؛ المنثور، 2/239، 3/134- وقد تكلم في الموضع الأول عن الشروط في البيع، ولفظه في الثاني: </w:t>
      </w:r>
      <w:r>
        <w:rPr>
          <w:rFonts w:hint="eastAsia"/>
          <w:spacing w:val="-8"/>
          <w:rtl/>
        </w:rPr>
        <w:t>«</w:t>
      </w:r>
      <w:r>
        <w:rPr>
          <w:rFonts w:hint="cs"/>
          <w:spacing w:val="-8"/>
          <w:rtl/>
        </w:rPr>
        <w:t>ما ثبت بالشرع مقدم على ما ثبت بالشرط</w:t>
      </w:r>
      <w:r>
        <w:rPr>
          <w:rFonts w:hint="eastAsia"/>
          <w:spacing w:val="-8"/>
          <w:rtl/>
        </w:rPr>
        <w:t>»</w:t>
      </w:r>
      <w:r>
        <w:rPr>
          <w:rFonts w:hint="cs"/>
          <w:spacing w:val="-8"/>
          <w:rtl/>
        </w:rPr>
        <w:t xml:space="preserve">؛ الأشباه للسيوطي، 1/332- ولفظه كلفظ المنثور-؛ إيضاح المسالك، ص107- ولفظه : </w:t>
      </w:r>
      <w:r>
        <w:rPr>
          <w:rFonts w:hint="eastAsia"/>
          <w:spacing w:val="-8"/>
          <w:rtl/>
        </w:rPr>
        <w:t>«</w:t>
      </w:r>
      <w:r>
        <w:rPr>
          <w:rFonts w:hint="cs"/>
          <w:spacing w:val="-8"/>
          <w:rtl/>
        </w:rPr>
        <w:t>نصّ الفقهاء -رضي الله عنهم-: على أنّ التزام ما يخالف سنة العقود شرعًا من ضمانٍ، أو عدمه: ساقط على المشهور...</w:t>
      </w:r>
      <w:r>
        <w:rPr>
          <w:rFonts w:hint="eastAsia"/>
          <w:spacing w:val="-8"/>
          <w:rtl/>
        </w:rPr>
        <w:t>»</w:t>
      </w:r>
      <w:r>
        <w:rPr>
          <w:rFonts w:hint="cs"/>
          <w:spacing w:val="-8"/>
          <w:rtl/>
        </w:rPr>
        <w:t>-؛ قواعد الفقه لابن نجيم، ص137، قاعدة 142- ولفظه :</w:t>
      </w:r>
      <w:r>
        <w:rPr>
          <w:rFonts w:hint="eastAsia"/>
          <w:spacing w:val="-8"/>
          <w:rtl/>
        </w:rPr>
        <w:t xml:space="preserve"> «</w:t>
      </w:r>
      <w:r>
        <w:rPr>
          <w:rFonts w:hint="cs"/>
          <w:spacing w:val="-8"/>
          <w:rtl/>
        </w:rPr>
        <w:t>الشرط المخالف لمقتضى الشرع باطل</w:t>
      </w:r>
      <w:r>
        <w:rPr>
          <w:rFonts w:hint="eastAsia"/>
          <w:spacing w:val="-8"/>
          <w:rtl/>
        </w:rPr>
        <w:t>»</w:t>
      </w:r>
      <w:r>
        <w:rPr>
          <w:rFonts w:hint="cs"/>
          <w:spacing w:val="-8"/>
          <w:rtl/>
        </w:rPr>
        <w:t xml:space="preserve">-؛ الفرائد البهية وشرحاها: الأقمار المضيئة، ص 214، والمواهب السنية وحاشيتها: الفوائد الجنية، 2/292- ولفظ الفرائد: </w:t>
      </w:r>
    </w:p>
    <w:p w:rsidR="00035BE3" w:rsidRDefault="00035BE3" w:rsidP="00C10469">
      <w:pPr>
        <w:pStyle w:val="a6"/>
        <w:spacing w:line="420" w:lineRule="exact"/>
        <w:ind w:left="422" w:hanging="454"/>
        <w:jc w:val="center"/>
        <w:rPr>
          <w:b/>
          <w:bCs/>
          <w:spacing w:val="-8"/>
          <w:rtl/>
        </w:rPr>
      </w:pPr>
      <w:r>
        <w:rPr>
          <w:rFonts w:hint="eastAsia"/>
          <w:b/>
          <w:bCs/>
          <w:spacing w:val="-8"/>
          <w:rtl/>
        </w:rPr>
        <w:t>«</w:t>
      </w:r>
      <w:r>
        <w:rPr>
          <w:rFonts w:hint="cs"/>
          <w:b/>
          <w:bCs/>
          <w:spacing w:val="-8"/>
          <w:rtl/>
        </w:rPr>
        <w:t>وثـابـتًـا بـالـشـرع قــدمـوا        عـلى مـا ثـبـت بالشـرط كـان مسجلا</w:t>
      </w:r>
      <w:r>
        <w:rPr>
          <w:rFonts w:hint="eastAsia"/>
          <w:b/>
          <w:bCs/>
          <w:spacing w:val="-8"/>
          <w:rtl/>
        </w:rPr>
        <w:t>»</w:t>
      </w:r>
      <w:r>
        <w:rPr>
          <w:rFonts w:hint="cs"/>
          <w:b/>
          <w:bCs/>
          <w:spacing w:val="-8"/>
          <w:rtl/>
        </w:rPr>
        <w:t>-؛</w:t>
      </w:r>
    </w:p>
    <w:p w:rsidR="00035BE3" w:rsidRDefault="00035BE3" w:rsidP="00C10469">
      <w:pPr>
        <w:pStyle w:val="a6"/>
        <w:spacing w:line="420" w:lineRule="exact"/>
        <w:ind w:left="422" w:firstLine="0"/>
        <w:rPr>
          <w:spacing w:val="-8"/>
          <w:rtl/>
        </w:rPr>
      </w:pPr>
      <w:r>
        <w:rPr>
          <w:rFonts w:hint="cs"/>
          <w:spacing w:val="-8"/>
          <w:rtl/>
        </w:rPr>
        <w:t xml:space="preserve">مجامع الحقائق (الخاتمة)، ص 46؛ شرح العلائي لقواعد الخادمي، ل31/أ؛ منافع الدقائق، ص326- ولفظ المجامع: </w:t>
      </w:r>
      <w:r>
        <w:rPr>
          <w:rFonts w:hint="eastAsia"/>
          <w:spacing w:val="-8"/>
          <w:rtl/>
        </w:rPr>
        <w:t>«</w:t>
      </w:r>
      <w:r>
        <w:rPr>
          <w:rFonts w:hint="cs"/>
          <w:spacing w:val="-8"/>
          <w:rtl/>
        </w:rPr>
        <w:t>كل شرط يغير حكم شرعي [كذا في المجامع وشرحيه!] يكون باطلاً</w:t>
      </w:r>
      <w:r>
        <w:rPr>
          <w:rFonts w:hint="eastAsia"/>
          <w:spacing w:val="-8"/>
          <w:rtl/>
        </w:rPr>
        <w:t>»</w:t>
      </w:r>
      <w:r>
        <w:rPr>
          <w:rFonts w:hint="cs"/>
          <w:spacing w:val="-8"/>
          <w:rtl/>
        </w:rPr>
        <w:t xml:space="preserve">-؛ المجاز الواضح وشرحه: الدليل الماهر، ص155-157-ولفظه : </w:t>
      </w:r>
    </w:p>
    <w:p w:rsidR="00035BE3" w:rsidRDefault="00035BE3" w:rsidP="00C10469">
      <w:pPr>
        <w:pStyle w:val="a6"/>
        <w:spacing w:line="420" w:lineRule="exact"/>
        <w:ind w:left="422" w:hanging="454"/>
        <w:jc w:val="center"/>
        <w:rPr>
          <w:b/>
          <w:bCs/>
          <w:spacing w:val="-8"/>
          <w:rtl/>
        </w:rPr>
      </w:pPr>
      <w:r>
        <w:rPr>
          <w:rFonts w:hint="cs"/>
          <w:b/>
          <w:bCs/>
          <w:spacing w:val="-8"/>
          <w:rtl/>
        </w:rPr>
        <w:t xml:space="preserve">  هـل شـرط مـالا يـفسـد العـقد إذا       خـالـف مـايـوجـب حـكـم نـبـذا ؟-؛</w:t>
      </w:r>
    </w:p>
    <w:p w:rsidR="00035BE3" w:rsidRDefault="00035BE3" w:rsidP="00C10469">
      <w:pPr>
        <w:pStyle w:val="a6"/>
        <w:spacing w:line="420" w:lineRule="exact"/>
        <w:ind w:left="422" w:firstLine="0"/>
        <w:rPr>
          <w:spacing w:val="-8"/>
          <w:rtl/>
        </w:rPr>
      </w:pPr>
      <w:r>
        <w:rPr>
          <w:rFonts w:hint="cs"/>
          <w:spacing w:val="-8"/>
          <w:rtl/>
        </w:rPr>
        <w:t xml:space="preserve">ومما جاء في شرحه : </w:t>
      </w:r>
      <w:r>
        <w:rPr>
          <w:rFonts w:hint="eastAsia"/>
          <w:spacing w:val="-8"/>
          <w:rtl/>
        </w:rPr>
        <w:t>«</w:t>
      </w:r>
      <w:r>
        <w:rPr>
          <w:rFonts w:hint="cs"/>
          <w:spacing w:val="-8"/>
          <w:rtl/>
        </w:rPr>
        <w:t>ومن فروعها الخلاف في ضمان الوديعة...</w:t>
      </w:r>
      <w:r>
        <w:rPr>
          <w:rFonts w:hint="eastAsia"/>
          <w:spacing w:val="-8"/>
          <w:rtl/>
        </w:rPr>
        <w:t>»</w:t>
      </w:r>
      <w:r>
        <w:rPr>
          <w:rFonts w:hint="cs"/>
          <w:spacing w:val="-8"/>
          <w:rtl/>
        </w:rPr>
        <w:t>، وهذا نفس مثال المؤلف للقاعدة-؛ رسالة في القواعد الفقهية للشيخ عبد الرحمن السعدي، ص51، بيت رقم 39 و 40- ولفظه :</w:t>
      </w:r>
    </w:p>
    <w:p w:rsidR="00035BE3" w:rsidRDefault="00035BE3" w:rsidP="00C10469">
      <w:pPr>
        <w:pStyle w:val="a6"/>
        <w:spacing w:line="420" w:lineRule="exact"/>
        <w:ind w:left="422" w:hanging="454"/>
        <w:jc w:val="center"/>
        <w:rPr>
          <w:b/>
          <w:bCs/>
          <w:spacing w:val="-8"/>
          <w:rtl/>
        </w:rPr>
      </w:pPr>
      <w:r>
        <w:rPr>
          <w:rFonts w:hint="eastAsia"/>
          <w:b/>
          <w:bCs/>
          <w:spacing w:val="-8"/>
          <w:rtl/>
        </w:rPr>
        <w:t>«</w:t>
      </w:r>
      <w:r>
        <w:rPr>
          <w:rFonts w:hint="cs"/>
          <w:b/>
          <w:bCs/>
          <w:spacing w:val="-8"/>
          <w:rtl/>
        </w:rPr>
        <w:t>وكــل شــرط لازم لـلـعـاقــد     فـي الـبيـع والنـكـاح والـمـقـاصـد</w:t>
      </w:r>
    </w:p>
    <w:p w:rsidR="00035BE3" w:rsidRDefault="00035BE3" w:rsidP="00C10469">
      <w:pPr>
        <w:pStyle w:val="a6"/>
        <w:spacing w:line="420" w:lineRule="exact"/>
        <w:ind w:left="422" w:hanging="454"/>
        <w:jc w:val="center"/>
        <w:rPr>
          <w:b/>
          <w:bCs/>
          <w:spacing w:val="-8"/>
          <w:rtl/>
        </w:rPr>
      </w:pPr>
      <w:r>
        <w:rPr>
          <w:rFonts w:hint="cs"/>
          <w:b/>
          <w:bCs/>
          <w:spacing w:val="-8"/>
          <w:rtl/>
        </w:rPr>
        <w:t xml:space="preserve">    إلا شـروطـا حـلـلـت مـحـرمــا       أوعـكسـه فـبـاطـلات فـاعـلـمـا</w:t>
      </w:r>
      <w:r>
        <w:rPr>
          <w:rFonts w:hint="eastAsia"/>
          <w:b/>
          <w:bCs/>
          <w:spacing w:val="-8"/>
          <w:rtl/>
        </w:rPr>
        <w:t>»</w:t>
      </w:r>
      <w:r>
        <w:rPr>
          <w:rFonts w:hint="cs"/>
          <w:b/>
          <w:bCs/>
          <w:spacing w:val="-8"/>
          <w:rtl/>
        </w:rPr>
        <w:t>-؛</w:t>
      </w:r>
    </w:p>
    <w:p w:rsidR="00035BE3" w:rsidRDefault="00035BE3" w:rsidP="00C10469">
      <w:pPr>
        <w:pStyle w:val="a6"/>
        <w:spacing w:line="420" w:lineRule="exact"/>
        <w:ind w:left="422" w:firstLine="0"/>
        <w:rPr>
          <w:spacing w:val="-8"/>
          <w:rtl/>
        </w:rPr>
      </w:pPr>
      <w:r>
        <w:rPr>
          <w:rFonts w:hint="cs"/>
          <w:spacing w:val="-8"/>
          <w:rtl/>
        </w:rPr>
        <w:t xml:space="preserve">المدخل الفقهي العام، 2/1087، فقرة 706- ولفظه : </w:t>
      </w:r>
      <w:r>
        <w:rPr>
          <w:rFonts w:hint="eastAsia"/>
          <w:spacing w:val="-8"/>
          <w:rtl/>
        </w:rPr>
        <w:t>«</w:t>
      </w:r>
      <w:r>
        <w:rPr>
          <w:rFonts w:hint="cs"/>
          <w:spacing w:val="-8"/>
          <w:rtl/>
        </w:rPr>
        <w:t>كل شرط يخالف أصول الشريعة باطل</w:t>
      </w:r>
      <w:r>
        <w:rPr>
          <w:rFonts w:hint="eastAsia"/>
          <w:spacing w:val="-8"/>
          <w:rtl/>
        </w:rPr>
        <w:t>»</w:t>
      </w:r>
      <w:r>
        <w:rPr>
          <w:rFonts w:hint="cs"/>
          <w:spacing w:val="-8"/>
          <w:rtl/>
        </w:rPr>
        <w:t>-؛ الوجيز، ص 349- وقد ذكر لفظ المنثور والمجامع-.</w:t>
      </w:r>
    </w:p>
    <w:p w:rsidR="00035BE3" w:rsidRDefault="00035BE3" w:rsidP="00C10469">
      <w:pPr>
        <w:pStyle w:val="a6"/>
        <w:spacing w:line="420" w:lineRule="exact"/>
        <w:ind w:left="422" w:firstLine="0"/>
        <w:rPr>
          <w:rtl/>
        </w:rPr>
      </w:pPr>
      <w:r>
        <w:rPr>
          <w:rFonts w:hint="cs"/>
          <w:b/>
          <w:bCs/>
          <w:spacing w:val="-8"/>
          <w:rtl/>
        </w:rPr>
        <w:t>ومماّ يحسن التنبيه عليه</w:t>
      </w:r>
      <w:r>
        <w:rPr>
          <w:rFonts w:hint="cs"/>
          <w:spacing w:val="-8"/>
          <w:rtl/>
        </w:rPr>
        <w:t xml:space="preserve">: أن أصل هذه القاعدة: ما أخرجه البخاري- كتاب البيوع، باب البيع والشراء مع النساء، 2/103 ، ح2155-بسنده عن عائشة مرفوعًا : </w:t>
      </w:r>
      <w:r>
        <w:rPr>
          <w:rFonts w:hint="eastAsia"/>
          <w:spacing w:val="-8"/>
          <w:rtl/>
        </w:rPr>
        <w:t>«</w:t>
      </w:r>
      <w:r>
        <w:rPr>
          <w:rFonts w:hint="cs"/>
          <w:spacing w:val="-8"/>
          <w:rtl/>
        </w:rPr>
        <w:t>من اشترط شرطًا ليس في كتاب الله فهو باطل، وإن كان اشترط مائة شرط. شرط الله أحق وأوثق</w:t>
      </w:r>
      <w:r>
        <w:rPr>
          <w:rFonts w:hint="eastAsia"/>
          <w:spacing w:val="-8"/>
          <w:rtl/>
        </w:rPr>
        <w:t>»</w:t>
      </w:r>
      <w:r>
        <w:rPr>
          <w:rFonts w:hint="cs"/>
          <w:spacing w:val="-8"/>
          <w:rtl/>
        </w:rPr>
        <w:t>.</w:t>
      </w:r>
    </w:p>
  </w:footnote>
  <w:footnote w:id="38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الأم، 3/279؛ البحر الرائق، 7/274؛ كما ورد تخريج هذا المثال على القاعدة في: إيضاح المسالك، ص 107؛ الدليل الماهر، ص 156.</w:t>
      </w:r>
    </w:p>
  </w:footnote>
  <w:footnote w:id="38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57/ب من (جـ).</w:t>
      </w:r>
    </w:p>
  </w:footnote>
  <w:footnote w:id="38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سبق تخريجه ص580.</w:t>
      </w:r>
    </w:p>
  </w:footnote>
  <w:footnote w:id="38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w:t>
      </w:r>
      <w:r>
        <w:rPr>
          <w:rFonts w:hint="eastAsia"/>
          <w:spacing w:val="-8"/>
          <w:rtl/>
        </w:rPr>
        <w:t>«</w:t>
      </w:r>
      <w:r>
        <w:rPr>
          <w:rFonts w:hint="cs"/>
          <w:spacing w:val="-8"/>
          <w:rtl/>
        </w:rPr>
        <w:t>تضع</w:t>
      </w:r>
      <w:r>
        <w:rPr>
          <w:rFonts w:hint="eastAsia"/>
          <w:spacing w:val="-8"/>
          <w:rtl/>
        </w:rPr>
        <w:t>»</w:t>
      </w:r>
      <w:r>
        <w:rPr>
          <w:rFonts w:hint="cs"/>
          <w:spacing w:val="-8"/>
          <w:rtl/>
        </w:rPr>
        <w:t>.</w:t>
      </w:r>
    </w:p>
  </w:footnote>
  <w:footnote w:id="39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49/ب من (ب).</w:t>
      </w:r>
    </w:p>
  </w:footnote>
  <w:footnote w:id="39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spacing w:val="-8"/>
          <w:rtl/>
        </w:rPr>
        <w:t>«</w:t>
      </w:r>
      <w:r>
        <w:rPr>
          <w:rFonts w:hint="cs"/>
          <w:spacing w:val="-8"/>
          <w:rtl/>
        </w:rPr>
        <w:t>بوقوع</w:t>
      </w:r>
      <w:r>
        <w:rPr>
          <w:rFonts w:hint="eastAsia"/>
          <w:spacing w:val="-8"/>
          <w:rtl/>
        </w:rPr>
        <w:t>»</w:t>
      </w:r>
      <w:r>
        <w:rPr>
          <w:rFonts w:hint="cs"/>
          <w:spacing w:val="-8"/>
          <w:rtl/>
        </w:rPr>
        <w:t>.وهذا الأولى.</w:t>
      </w:r>
    </w:p>
  </w:footnote>
  <w:footnote w:id="39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77/ب من (أ).</w:t>
      </w:r>
    </w:p>
  </w:footnote>
  <w:footnote w:id="39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ص579 (ل40/ب)، قاعدة 95؛ حيث جُعل بيع النعل مع شرط التشريك مثالاً لتلك القاعدة،فما قيل في توثيقه هناك يقال هنا.</w:t>
      </w:r>
    </w:p>
  </w:footnote>
  <w:footnote w:id="39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وجميع ما جاء في شرحها ساقط من (د).   </w:t>
      </w:r>
    </w:p>
  </w:footnote>
  <w:footnote w:id="39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عليه</w:t>
      </w:r>
      <w:r>
        <w:rPr>
          <w:rFonts w:hint="eastAsia"/>
          <w:rtl/>
        </w:rPr>
        <w:t>»</w:t>
      </w:r>
      <w:r>
        <w:rPr>
          <w:rFonts w:hint="cs"/>
          <w:rtl/>
        </w:rPr>
        <w:t>؛ وفاقاً لمصدر هذه القاعدة (وهو العناية). وهذا الأولى.</w:t>
      </w:r>
    </w:p>
  </w:footnote>
  <w:footnote w:id="39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و(د): </w:t>
      </w:r>
      <w:r>
        <w:rPr>
          <w:rFonts w:hint="eastAsia"/>
          <w:rtl/>
        </w:rPr>
        <w:t>«</w:t>
      </w:r>
      <w:r>
        <w:rPr>
          <w:rFonts w:hint="cs"/>
          <w:rtl/>
        </w:rPr>
        <w:t>النية</w:t>
      </w:r>
      <w:r>
        <w:rPr>
          <w:rFonts w:hint="eastAsia"/>
          <w:rtl/>
        </w:rPr>
        <w:t>»</w:t>
      </w:r>
      <w:r>
        <w:rPr>
          <w:rFonts w:hint="cs"/>
          <w:rtl/>
        </w:rPr>
        <w:t>.</w:t>
      </w:r>
    </w:p>
  </w:footnote>
  <w:footnote w:id="39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وجل ما جاء فيها مستفاد من : العناية، 6/382-383؛ فممّا جاء فيها: </w:t>
      </w:r>
      <w:r>
        <w:rPr>
          <w:rFonts w:hint="eastAsia"/>
          <w:rtl/>
        </w:rPr>
        <w:t>«</w:t>
      </w:r>
      <w:r>
        <w:rPr>
          <w:rFonts w:hint="cs"/>
          <w:rtl/>
        </w:rPr>
        <w:t>لهما: أن الدعوى معتبرة؛ لأنه يترتب عليها البينة، وكل ما يترتب عليه البينة يترتب عليه التحليف بالاستقراء... ولا نسلَّم أن كل ما يترتب عليه البينة يترتب عليه التحليف؛ فإن دعوى الوكالة يترتب عليها البينة دون التحليف</w:t>
      </w:r>
      <w:r>
        <w:rPr>
          <w:rFonts w:hint="eastAsia"/>
          <w:rtl/>
        </w:rPr>
        <w:t>»</w:t>
      </w:r>
      <w:r>
        <w:rPr>
          <w:rFonts w:hint="cs"/>
          <w:rtl/>
        </w:rPr>
        <w:t>. وانظر: الهداية وفتح القدير،6/382؛ البحر الرائق، 6/63.</w:t>
      </w:r>
    </w:p>
  </w:footnote>
  <w:footnote w:id="39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زيادة </w:t>
      </w:r>
      <w:r>
        <w:rPr>
          <w:rFonts w:hint="eastAsia"/>
          <w:rtl/>
        </w:rPr>
        <w:t>«</w:t>
      </w:r>
      <w:r>
        <w:rPr>
          <w:rFonts w:hint="cs"/>
          <w:rtl/>
        </w:rPr>
        <w:t>لا</w:t>
      </w:r>
      <w:r>
        <w:rPr>
          <w:rFonts w:hint="eastAsia"/>
          <w:rtl/>
        </w:rPr>
        <w:t>»</w:t>
      </w:r>
      <w:r>
        <w:rPr>
          <w:rFonts w:hint="cs"/>
          <w:rtl/>
        </w:rPr>
        <w:t>.</w:t>
      </w:r>
    </w:p>
  </w:footnote>
  <w:footnote w:id="39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6/383-وقد سبق نقل نصّ كلامه عند توثيق القاعدة-.</w:t>
      </w:r>
    </w:p>
  </w:footnote>
  <w:footnote w:id="39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w:t>
      </w:r>
      <w:r>
        <w:rPr>
          <w:rFonts w:hint="eastAsia"/>
          <w:rtl/>
        </w:rPr>
        <w:t>«</w:t>
      </w:r>
      <w:r>
        <w:rPr>
          <w:rFonts w:hint="cs"/>
          <w:rtl/>
        </w:rPr>
        <w:t>أي: بائع</w:t>
      </w:r>
      <w:r>
        <w:rPr>
          <w:rFonts w:hint="eastAsia"/>
          <w:rtl/>
        </w:rPr>
        <w:t>»</w:t>
      </w:r>
      <w:r>
        <w:rPr>
          <w:rFonts w:hint="cs"/>
          <w:rtl/>
        </w:rPr>
        <w:t>.</w:t>
      </w:r>
    </w:p>
  </w:footnote>
  <w:footnote w:id="3911">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9D28C5">
        <w:rPr>
          <w:rFonts w:hint="cs"/>
          <w:spacing w:val="4"/>
          <w:rtl/>
        </w:rPr>
        <w:t>انظر هذه المسألة في: الهداية وشرحيها: العناية، وفتح القدير، 6/382؛ كنـز الدقائق</w:t>
      </w:r>
      <w:r>
        <w:rPr>
          <w:rFonts w:hint="cs"/>
          <w:spacing w:val="6"/>
          <w:rtl/>
        </w:rPr>
        <w:t xml:space="preserve"> وشرحه: البحر الرائق، 6/63.وقد حرّرها الأخير تحريرًا جيدًا، حيث قال: </w:t>
      </w:r>
      <w:r>
        <w:rPr>
          <w:rFonts w:hint="eastAsia"/>
          <w:spacing w:val="6"/>
          <w:rtl/>
        </w:rPr>
        <w:t>«</w:t>
      </w:r>
      <w:r>
        <w:rPr>
          <w:rFonts w:hint="cs"/>
          <w:spacing w:val="6"/>
          <w:rtl/>
        </w:rPr>
        <w:t>أي: إذا ادعى عيبًا يطلع عليه الرجال، ويمكن حدوثه: فلابدّ من إقامة البينة أوّلاً على قيامه بالمبيع، مع قطع النظر عن قدمه وحدوثه؛ لينتصب البائع خصمًا.</w:t>
      </w:r>
    </w:p>
    <w:p w:rsidR="00035BE3" w:rsidRDefault="00035BE3" w:rsidP="00C10469">
      <w:pPr>
        <w:pStyle w:val="a6"/>
        <w:ind w:left="422" w:firstLine="0"/>
        <w:rPr>
          <w:spacing w:val="-8"/>
          <w:rtl/>
        </w:rPr>
      </w:pPr>
      <w:r>
        <w:rPr>
          <w:rFonts w:hint="cs"/>
          <w:spacing w:val="-8"/>
          <w:rtl/>
        </w:rPr>
        <w:t>فإن لم يبرهن :</w:t>
      </w:r>
    </w:p>
    <w:p w:rsidR="00035BE3" w:rsidRDefault="00035BE3" w:rsidP="00C10469">
      <w:pPr>
        <w:pStyle w:val="a6"/>
        <w:ind w:left="-32" w:firstLine="454"/>
        <w:rPr>
          <w:spacing w:val="-8"/>
          <w:rtl/>
        </w:rPr>
      </w:pPr>
      <w:r>
        <w:rPr>
          <w:spacing w:val="-8"/>
          <w:rtl/>
        </w:rPr>
        <w:t>•</w:t>
      </w:r>
      <w:r>
        <w:rPr>
          <w:rFonts w:hint="cs"/>
          <w:spacing w:val="-8"/>
          <w:rtl/>
        </w:rPr>
        <w:t xml:space="preserve"> لا يمين له على البائع عند الإمام على الصحيح.</w:t>
      </w:r>
    </w:p>
    <w:p w:rsidR="00035BE3" w:rsidRDefault="00035BE3" w:rsidP="00C10469">
      <w:pPr>
        <w:pStyle w:val="a6"/>
        <w:ind w:left="-32" w:firstLine="454"/>
        <w:rPr>
          <w:spacing w:val="-8"/>
          <w:rtl/>
        </w:rPr>
      </w:pPr>
      <w:r>
        <w:rPr>
          <w:spacing w:val="-8"/>
          <w:rtl/>
        </w:rPr>
        <w:t>•</w:t>
      </w:r>
      <w:r>
        <w:rPr>
          <w:rFonts w:hint="cs"/>
          <w:spacing w:val="-8"/>
          <w:rtl/>
        </w:rPr>
        <w:t xml:space="preserve"> وعندهما : يحلف على نفي العلم؛ لأن الدعوى معتبرة، حتى يترتب عليها البينة، فكذا يترتب التحليف.</w:t>
      </w:r>
    </w:p>
    <w:p w:rsidR="00035BE3" w:rsidRDefault="00035BE3" w:rsidP="00C10469">
      <w:pPr>
        <w:pStyle w:val="a6"/>
        <w:ind w:left="422" w:firstLine="0"/>
        <w:rPr>
          <w:rtl/>
        </w:rPr>
      </w:pPr>
      <w:r>
        <w:rPr>
          <w:rFonts w:hint="cs"/>
          <w:spacing w:val="-8"/>
          <w:rtl/>
        </w:rPr>
        <w:t>وله : أن الحلف يترتب على دعوى صحيحة، ولا تصح إلا من خصم، ولا يصير خصمًا فيه إلا بعد قيام العيب ...</w:t>
      </w:r>
      <w:r>
        <w:rPr>
          <w:rFonts w:hint="eastAsia"/>
          <w:spacing w:val="-8"/>
          <w:rtl/>
        </w:rPr>
        <w:t>»</w:t>
      </w:r>
      <w:r>
        <w:rPr>
          <w:rFonts w:hint="cs"/>
          <w:spacing w:val="-8"/>
          <w:rtl/>
        </w:rPr>
        <w:t>.</w:t>
      </w:r>
    </w:p>
  </w:footnote>
  <w:footnote w:id="39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يقطع</w:t>
      </w:r>
      <w:r>
        <w:rPr>
          <w:rFonts w:hint="eastAsia"/>
          <w:spacing w:val="-8"/>
          <w:rtl/>
        </w:rPr>
        <w:t>»</w:t>
      </w:r>
      <w:r>
        <w:rPr>
          <w:rFonts w:hint="cs"/>
          <w:spacing w:val="-8"/>
          <w:rtl/>
        </w:rPr>
        <w:t>.</w:t>
      </w:r>
    </w:p>
  </w:footnote>
  <w:footnote w:id="3913">
    <w:p w:rsidR="00035BE3" w:rsidRDefault="00035BE3" w:rsidP="00C10469">
      <w:pPr>
        <w:pStyle w:val="a8"/>
        <w:bidi/>
        <w:ind w:left="422" w:right="0"/>
        <w:rPr>
          <w:spacing w:val="-8"/>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spacing w:val="-8"/>
          <w:rtl/>
        </w:rPr>
        <w:t>«</w:t>
      </w:r>
      <w:r>
        <w:rPr>
          <w:rFonts w:hint="cs"/>
          <w:spacing w:val="-8"/>
          <w:rtl/>
        </w:rPr>
        <w:t xml:space="preserve"> يكن </w:t>
      </w:r>
      <w:r>
        <w:rPr>
          <w:rFonts w:hint="eastAsia"/>
          <w:spacing w:val="-8"/>
          <w:rtl/>
        </w:rPr>
        <w:t>»</w:t>
      </w:r>
      <w:r>
        <w:rPr>
          <w:rFonts w:hint="cs"/>
          <w:spacing w:val="-8"/>
          <w:rtl/>
        </w:rPr>
        <w:t>.</w:t>
      </w:r>
    </w:p>
    <w:p w:rsidR="00035BE3" w:rsidRDefault="00035BE3" w:rsidP="00C10469">
      <w:pPr>
        <w:pStyle w:val="a6"/>
        <w:ind w:left="422" w:hanging="454"/>
        <w:rPr>
          <w:rtl/>
        </w:rPr>
      </w:pPr>
      <w:r>
        <w:rPr>
          <w:rFonts w:hint="cs"/>
          <w:spacing w:val="-8"/>
          <w:rtl/>
        </w:rPr>
        <w:t xml:space="preserve">وقد جاء في (العناية) : </w:t>
      </w:r>
      <w:r>
        <w:rPr>
          <w:rFonts w:hint="eastAsia"/>
          <w:spacing w:val="-8"/>
          <w:rtl/>
        </w:rPr>
        <w:t>«</w:t>
      </w:r>
      <w:r>
        <w:rPr>
          <w:rFonts w:hint="cs"/>
          <w:spacing w:val="-8"/>
          <w:rtl/>
        </w:rPr>
        <w:t>وأن يكون المشتري هنا خصمًا ...</w:t>
      </w:r>
      <w:r>
        <w:rPr>
          <w:rFonts w:hint="eastAsia"/>
          <w:spacing w:val="-8"/>
          <w:rtl/>
        </w:rPr>
        <w:t>»</w:t>
      </w:r>
      <w:r>
        <w:rPr>
          <w:rFonts w:hint="cs"/>
          <w:spacing w:val="-8"/>
          <w:rtl/>
        </w:rPr>
        <w:t xml:space="preserve"> (بتجريد الجملة من النفي!)، ولعل هذا خطأ مطبعيٌّ؛ لأن الاستثناء منها لا يكون سائغا حينئذ - والله أعلم-.</w:t>
      </w:r>
    </w:p>
  </w:footnote>
  <w:footnote w:id="39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6/383- مع الاختلاف الذي سبق بيانه-.</w:t>
      </w:r>
    </w:p>
  </w:footnote>
  <w:footnote w:id="39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في</w:t>
      </w:r>
      <w:r>
        <w:rPr>
          <w:rFonts w:hint="eastAsia"/>
          <w:spacing w:val="-8"/>
          <w:rtl/>
        </w:rPr>
        <w:t>»</w:t>
      </w:r>
      <w:r>
        <w:rPr>
          <w:rFonts w:hint="cs"/>
          <w:spacing w:val="-8"/>
          <w:rtl/>
        </w:rPr>
        <w:t>.</w:t>
      </w:r>
    </w:p>
  </w:footnote>
  <w:footnote w:id="39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47/ب من (د).</w:t>
      </w:r>
    </w:p>
  </w:footnote>
  <w:footnote w:id="39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78/أ من (أ).</w:t>
      </w:r>
    </w:p>
  </w:footnote>
  <w:footnote w:id="39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6/383.</w:t>
      </w:r>
    </w:p>
  </w:footnote>
  <w:footnote w:id="39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الكلمة أصابها طمس في وسطها من نسخة (أ)، ولعله جرى عليها تصحيح لتصبح : </w:t>
      </w:r>
      <w:r>
        <w:rPr>
          <w:rFonts w:hint="eastAsia"/>
          <w:spacing w:val="-8"/>
          <w:rtl/>
        </w:rPr>
        <w:t>«</w:t>
      </w:r>
      <w:r>
        <w:rPr>
          <w:rFonts w:hint="cs"/>
          <w:spacing w:val="-8"/>
          <w:rtl/>
        </w:rPr>
        <w:t>اليمين</w:t>
      </w:r>
      <w:r>
        <w:rPr>
          <w:rFonts w:hint="eastAsia"/>
          <w:spacing w:val="-8"/>
          <w:rtl/>
        </w:rPr>
        <w:t>»</w:t>
      </w:r>
      <w:r>
        <w:rPr>
          <w:rFonts w:hint="cs"/>
          <w:spacing w:val="-8"/>
          <w:rtl/>
        </w:rPr>
        <w:t xml:space="preserve">، وفي (هـ) و(و) : </w:t>
      </w:r>
      <w:r>
        <w:rPr>
          <w:rFonts w:hint="eastAsia"/>
          <w:spacing w:val="-8"/>
          <w:rtl/>
        </w:rPr>
        <w:t>«</w:t>
      </w:r>
      <w:r>
        <w:rPr>
          <w:rFonts w:hint="cs"/>
          <w:spacing w:val="-8"/>
          <w:rtl/>
        </w:rPr>
        <w:t>التحليف</w:t>
      </w:r>
      <w:r>
        <w:rPr>
          <w:rFonts w:hint="eastAsia"/>
          <w:spacing w:val="-8"/>
          <w:rtl/>
        </w:rPr>
        <w:t>»</w:t>
      </w:r>
      <w:r>
        <w:rPr>
          <w:rFonts w:hint="cs"/>
          <w:spacing w:val="-8"/>
          <w:rtl/>
        </w:rPr>
        <w:t xml:space="preserve">، وفي (ب) و(جـ) : </w:t>
      </w:r>
      <w:r>
        <w:rPr>
          <w:rFonts w:hint="eastAsia"/>
          <w:spacing w:val="-8"/>
          <w:rtl/>
        </w:rPr>
        <w:t>«</w:t>
      </w:r>
      <w:r>
        <w:rPr>
          <w:rFonts w:hint="cs"/>
          <w:spacing w:val="-8"/>
          <w:rtl/>
        </w:rPr>
        <w:t>البينة</w:t>
      </w:r>
      <w:r>
        <w:rPr>
          <w:rFonts w:hint="eastAsia"/>
          <w:spacing w:val="-8"/>
          <w:rtl/>
        </w:rPr>
        <w:t>»</w:t>
      </w:r>
      <w:r>
        <w:rPr>
          <w:rFonts w:hint="cs"/>
          <w:spacing w:val="-8"/>
          <w:rtl/>
        </w:rPr>
        <w:t xml:space="preserve">، وفي (د) : </w:t>
      </w:r>
      <w:r>
        <w:rPr>
          <w:rFonts w:hint="eastAsia"/>
          <w:spacing w:val="-8"/>
          <w:rtl/>
        </w:rPr>
        <w:t>«</w:t>
      </w:r>
      <w:r>
        <w:rPr>
          <w:rFonts w:hint="cs"/>
          <w:spacing w:val="-8"/>
          <w:rtl/>
        </w:rPr>
        <w:t>التحليف</w:t>
      </w:r>
      <w:r>
        <w:rPr>
          <w:rFonts w:hint="eastAsia"/>
          <w:spacing w:val="-8"/>
          <w:rtl/>
        </w:rPr>
        <w:t>»</w:t>
      </w:r>
      <w:r>
        <w:rPr>
          <w:rFonts w:hint="cs"/>
          <w:spacing w:val="-8"/>
          <w:rtl/>
        </w:rPr>
        <w:t xml:space="preserve"> ثم بياض، ثم </w:t>
      </w:r>
      <w:r>
        <w:rPr>
          <w:rFonts w:hint="eastAsia"/>
          <w:spacing w:val="-8"/>
          <w:rtl/>
        </w:rPr>
        <w:t>«</w:t>
      </w:r>
      <w:r>
        <w:rPr>
          <w:rFonts w:hint="cs"/>
          <w:spacing w:val="-8"/>
          <w:rtl/>
        </w:rPr>
        <w:t>البينة</w:t>
      </w:r>
      <w:r>
        <w:rPr>
          <w:rFonts w:hint="eastAsia"/>
          <w:spacing w:val="-8"/>
          <w:rtl/>
        </w:rPr>
        <w:t>»</w:t>
      </w:r>
      <w:r>
        <w:rPr>
          <w:rFonts w:hint="cs"/>
          <w:spacing w:val="-8"/>
          <w:rtl/>
        </w:rPr>
        <w:t>. والكلمة الأولى والثانية يستقيم بهما المعنى، إلاّ أنه تمَّ إثبات الثانية للجزم بأنها من النسخ الخطية، ولوردها سابقًا في نص القاعدة وفي ثنايا شرحها.</w:t>
      </w:r>
    </w:p>
  </w:footnote>
  <w:footnote w:id="39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يقم</w:t>
      </w:r>
      <w:r>
        <w:rPr>
          <w:rFonts w:hint="eastAsia"/>
          <w:rtl/>
        </w:rPr>
        <w:t>»</w:t>
      </w:r>
      <w:r>
        <w:rPr>
          <w:rFonts w:hint="cs"/>
          <w:rtl/>
        </w:rPr>
        <w:t>. والصحيح ما تمَّ إثباته من (د).</w:t>
      </w:r>
    </w:p>
  </w:footnote>
  <w:footnote w:id="39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تدرأ</w:t>
      </w:r>
      <w:r>
        <w:rPr>
          <w:rFonts w:hint="eastAsia"/>
          <w:rtl/>
        </w:rPr>
        <w:t>»</w:t>
      </w:r>
      <w:r>
        <w:rPr>
          <w:rFonts w:hint="cs"/>
          <w:rtl/>
        </w:rPr>
        <w:t>.</w:t>
      </w:r>
    </w:p>
  </w:footnote>
  <w:footnote w:id="39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تكلم عنها المؤلف، ص634 (ل46/أ)، قاعدة 111.</w:t>
      </w:r>
    </w:p>
  </w:footnote>
  <w:footnote w:id="39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يثبت</w:t>
      </w:r>
      <w:r>
        <w:rPr>
          <w:rFonts w:hint="eastAsia"/>
          <w:rtl/>
        </w:rPr>
        <w:t>»</w:t>
      </w:r>
      <w:r>
        <w:rPr>
          <w:rFonts w:hint="cs"/>
          <w:rtl/>
        </w:rPr>
        <w:t>. والصحيح ما تمَّ إثباته من (ب) و(د).</w:t>
      </w:r>
    </w:p>
  </w:footnote>
  <w:footnote w:id="3924">
    <w:p w:rsidR="00035BE3" w:rsidRDefault="00035BE3" w:rsidP="00C10469">
      <w:pPr>
        <w:pStyle w:val="a8"/>
        <w:bidi/>
        <w:spacing w:line="440" w:lineRule="exact"/>
        <w:ind w:left="423"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102CDC">
        <w:rPr>
          <w:rFonts w:hint="cs"/>
          <w:spacing w:val="-6"/>
          <w:rtl/>
        </w:rPr>
        <w:t xml:space="preserve">في (أ) و(ب) : </w:t>
      </w:r>
      <w:r w:rsidRPr="00102CDC">
        <w:rPr>
          <w:rFonts w:hint="eastAsia"/>
          <w:spacing w:val="-6"/>
          <w:rtl/>
        </w:rPr>
        <w:t>«</w:t>
      </w:r>
      <w:r w:rsidRPr="00102CDC">
        <w:rPr>
          <w:rFonts w:hint="cs"/>
          <w:spacing w:val="-6"/>
          <w:rtl/>
        </w:rPr>
        <w:t>الدفع</w:t>
      </w:r>
      <w:r w:rsidRPr="00102CDC">
        <w:rPr>
          <w:rFonts w:hint="eastAsia"/>
          <w:spacing w:val="-6"/>
          <w:rtl/>
        </w:rPr>
        <w:t>»</w:t>
      </w:r>
      <w:r w:rsidRPr="00102CDC">
        <w:rPr>
          <w:rFonts w:hint="cs"/>
          <w:spacing w:val="-6"/>
          <w:rtl/>
        </w:rPr>
        <w:t xml:space="preserve">، وفي (جـ): </w:t>
      </w:r>
      <w:r w:rsidRPr="00102CDC">
        <w:rPr>
          <w:rFonts w:hint="eastAsia"/>
          <w:spacing w:val="-6"/>
          <w:rtl/>
        </w:rPr>
        <w:t>«</w:t>
      </w:r>
      <w:r w:rsidRPr="00102CDC">
        <w:rPr>
          <w:rFonts w:hint="cs"/>
          <w:spacing w:val="-6"/>
          <w:rtl/>
        </w:rPr>
        <w:t>الترفع</w:t>
      </w:r>
      <w:r w:rsidRPr="00102CDC">
        <w:rPr>
          <w:rFonts w:hint="eastAsia"/>
          <w:spacing w:val="-6"/>
          <w:rtl/>
        </w:rPr>
        <w:t>»</w:t>
      </w:r>
      <w:r w:rsidRPr="00102CDC">
        <w:rPr>
          <w:rFonts w:hint="cs"/>
          <w:spacing w:val="-6"/>
          <w:rtl/>
        </w:rPr>
        <w:t>. والمناسب ما تمَّ إثباته من (د)، وهو الموافق لمصادر القاعدة.</w:t>
      </w:r>
    </w:p>
  </w:footnote>
  <w:footnote w:id="3925">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تقديره</w:t>
      </w:r>
      <w:r>
        <w:rPr>
          <w:rFonts w:hint="eastAsia"/>
          <w:rtl/>
        </w:rPr>
        <w:t>»</w:t>
      </w:r>
      <w:r>
        <w:rPr>
          <w:rFonts w:hint="cs"/>
          <w:rtl/>
        </w:rPr>
        <w:t>.</w:t>
      </w:r>
    </w:p>
  </w:footnote>
  <w:footnote w:id="3926">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يذكرها كثير من الحنفية عند حديثهم عن حكم البيع الفاسد؛ إذ يرون أنه يفيد الملك بعد القبض، ولا يفيده قبل القبض، ويعللّون لعدم إفادته له قبل القبض بهذه القاعدة.</w:t>
      </w:r>
    </w:p>
    <w:p w:rsidR="00035BE3" w:rsidRDefault="00035BE3" w:rsidP="00C10469">
      <w:pPr>
        <w:pStyle w:val="a6"/>
        <w:spacing w:line="440" w:lineRule="exact"/>
        <w:ind w:left="423" w:firstLine="0"/>
        <w:rPr>
          <w:rtl/>
        </w:rPr>
      </w:pPr>
      <w:r>
        <w:rPr>
          <w:rFonts w:hint="cs"/>
          <w:b/>
          <w:bCs/>
          <w:rtl/>
        </w:rPr>
        <w:t>إذ المراد بها</w:t>
      </w:r>
      <w:r>
        <w:rPr>
          <w:rFonts w:hint="cs"/>
          <w:rtl/>
        </w:rPr>
        <w:t xml:space="preserve"> : </w:t>
      </w:r>
    </w:p>
    <w:p w:rsidR="00035BE3" w:rsidRDefault="00035BE3" w:rsidP="00C10469">
      <w:pPr>
        <w:pStyle w:val="a6"/>
        <w:spacing w:line="440" w:lineRule="exact"/>
        <w:ind w:left="423" w:firstLine="0"/>
        <w:rPr>
          <w:spacing w:val="-8"/>
          <w:rtl/>
        </w:rPr>
      </w:pPr>
      <w:r>
        <w:rPr>
          <w:rFonts w:hint="cs"/>
          <w:rtl/>
        </w:rPr>
        <w:t xml:space="preserve">أن كل عقد كان بسبب محظور فإن الشرع -وإن كان قد يرتب عليه حكمه إلا أنه - طلب رفعه بالقدر الممكن؛ لهذا أجاز </w:t>
      </w:r>
      <w:r>
        <w:rPr>
          <w:rFonts w:hint="eastAsia"/>
          <w:spacing w:val="-8"/>
          <w:rtl/>
        </w:rPr>
        <w:t>«</w:t>
      </w:r>
      <w:r>
        <w:rPr>
          <w:rFonts w:hint="cs"/>
          <w:spacing w:val="-8"/>
          <w:rtl/>
        </w:rPr>
        <w:t>لكل واحد من المتعاقدين فسخه؛ رفعًا للفساد</w:t>
      </w:r>
      <w:r>
        <w:rPr>
          <w:rFonts w:hint="eastAsia"/>
          <w:spacing w:val="-8"/>
          <w:rtl/>
        </w:rPr>
        <w:t>»</w:t>
      </w:r>
      <w:r>
        <w:rPr>
          <w:rFonts w:hint="cs"/>
          <w:spacing w:val="-8"/>
          <w:rtl/>
        </w:rPr>
        <w:t xml:space="preserve">، ولم يُجز لهما زيادة تقريره بالمبادرة إليه </w:t>
      </w:r>
      <w:r>
        <w:rPr>
          <w:rFonts w:hint="eastAsia"/>
          <w:spacing w:val="-8"/>
          <w:rtl/>
        </w:rPr>
        <w:t>«</w:t>
      </w:r>
      <w:r>
        <w:rPr>
          <w:rFonts w:hint="cs"/>
          <w:spacing w:val="-8"/>
          <w:rtl/>
        </w:rPr>
        <w:t>فإن المبادرة إليه تزيده وجودًا مع أنه واجب الرفع</w:t>
      </w:r>
      <w:r>
        <w:rPr>
          <w:rFonts w:hint="eastAsia"/>
          <w:spacing w:val="-8"/>
          <w:rtl/>
        </w:rPr>
        <w:t>»</w:t>
      </w:r>
      <w:r>
        <w:rPr>
          <w:rFonts w:hint="cs"/>
          <w:spacing w:val="-8"/>
          <w:rtl/>
        </w:rPr>
        <w:t xml:space="preserve"> -والله أعلم-.</w:t>
      </w:r>
    </w:p>
    <w:p w:rsidR="00035BE3" w:rsidRDefault="00035BE3" w:rsidP="00C10469">
      <w:pPr>
        <w:pStyle w:val="a6"/>
        <w:spacing w:line="440" w:lineRule="exact"/>
        <w:ind w:left="423" w:firstLine="0"/>
        <w:rPr>
          <w:sz w:val="28"/>
          <w:szCs w:val="28"/>
          <w:rtl/>
        </w:rPr>
      </w:pPr>
      <w:r>
        <w:rPr>
          <w:rFonts w:hint="cs"/>
          <w:sz w:val="28"/>
          <w:szCs w:val="28"/>
          <w:rtl/>
        </w:rPr>
        <w:t xml:space="preserve">لهذا قالوا : بأنه لا يثبت الملك قبل القبض؛ لأنه </w:t>
      </w:r>
      <w:r>
        <w:rPr>
          <w:rFonts w:hint="eastAsia"/>
          <w:sz w:val="28"/>
          <w:szCs w:val="28"/>
          <w:rtl/>
        </w:rPr>
        <w:t>«</w:t>
      </w:r>
      <w:r>
        <w:rPr>
          <w:rFonts w:hint="cs"/>
          <w:sz w:val="28"/>
          <w:szCs w:val="28"/>
          <w:rtl/>
        </w:rPr>
        <w:t>لو ثبت قبل القبض لوجب تسليم الثمن، ووجب على البائع تسليم المبيع؛ لأنهما من مواجب العقد، فيتقرّر الفساد، وهو لا يجوز؛ لأنه واجب الرفع بالاسترداد، وكل ما هو واجب الرفع بالاسترداد لا يجوز تقريره</w:t>
      </w:r>
      <w:r>
        <w:rPr>
          <w:rFonts w:hint="eastAsia"/>
          <w:sz w:val="28"/>
          <w:szCs w:val="28"/>
          <w:rtl/>
        </w:rPr>
        <w:t>»</w:t>
      </w:r>
      <w:r>
        <w:rPr>
          <w:rFonts w:hint="cs"/>
          <w:sz w:val="28"/>
          <w:szCs w:val="28"/>
          <w:rtl/>
        </w:rPr>
        <w:t>.</w:t>
      </w:r>
    </w:p>
    <w:p w:rsidR="00035BE3" w:rsidRDefault="00035BE3" w:rsidP="00C10469">
      <w:pPr>
        <w:pStyle w:val="a6"/>
        <w:spacing w:line="440" w:lineRule="exact"/>
        <w:ind w:left="423" w:firstLine="0"/>
        <w:rPr>
          <w:spacing w:val="-8"/>
          <w:rtl/>
        </w:rPr>
      </w:pPr>
      <w:r>
        <w:rPr>
          <w:rFonts w:hint="cs"/>
          <w:spacing w:val="-8"/>
          <w:rtl/>
        </w:rPr>
        <w:t>ولتوثيق ما سبق: فإن المراد من معنى القاعدة قد تضمن ثلاثة نصوص : أولها : من الهداية، 6/465، والثاني : من فتح القدير، 6/462، والثالث : من العناية، 6/462.</w:t>
      </w:r>
    </w:p>
    <w:p w:rsidR="00035BE3" w:rsidRDefault="00035BE3" w:rsidP="00C10469">
      <w:pPr>
        <w:pStyle w:val="a6"/>
        <w:spacing w:line="440" w:lineRule="exact"/>
        <w:ind w:left="423" w:firstLine="0"/>
        <w:rPr>
          <w:spacing w:val="-8"/>
          <w:rtl/>
        </w:rPr>
      </w:pPr>
      <w:r>
        <w:rPr>
          <w:rFonts w:hint="cs"/>
          <w:b/>
          <w:bCs/>
          <w:spacing w:val="-8"/>
          <w:rtl/>
        </w:rPr>
        <w:t>أما توثيق القاعدة</w:t>
      </w:r>
      <w:r>
        <w:rPr>
          <w:rFonts w:hint="cs"/>
          <w:spacing w:val="-8"/>
          <w:rtl/>
        </w:rPr>
        <w:t xml:space="preserve"> : </w:t>
      </w:r>
    </w:p>
    <w:p w:rsidR="00035BE3" w:rsidRDefault="00035BE3" w:rsidP="00C10469">
      <w:pPr>
        <w:pStyle w:val="a6"/>
        <w:spacing w:line="440" w:lineRule="exact"/>
        <w:ind w:left="423" w:firstLine="0"/>
        <w:rPr>
          <w:spacing w:val="-8"/>
          <w:sz w:val="28"/>
          <w:szCs w:val="28"/>
          <w:rtl/>
        </w:rPr>
      </w:pPr>
      <w:r>
        <w:rPr>
          <w:rFonts w:hint="cs"/>
          <w:spacing w:val="-8"/>
          <w:sz w:val="28"/>
          <w:szCs w:val="28"/>
          <w:rtl/>
        </w:rPr>
        <w:t>فقد وردت بلفظ المؤلف في العناية، 6/462 -وقد سبق نقل السياق التي جاءت فيه-؛ وورد معناها في بدائع الصنائع، 5/304؛ الهداية وفتح القدير، 6/462؛ تبيين الحقائق، 4/63؛ الدرر شـرح الغرر، 2/147؛ البحر الرائق، 6/99.</w:t>
      </w:r>
    </w:p>
  </w:footnote>
  <w:footnote w:id="3927">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وردت في (ب) بإهمال التاء، وفي (جـ) </w:t>
      </w:r>
      <w:r>
        <w:rPr>
          <w:rFonts w:hint="eastAsia"/>
          <w:spacing w:val="-8"/>
          <w:rtl/>
        </w:rPr>
        <w:t>«</w:t>
      </w:r>
      <w:r>
        <w:rPr>
          <w:rFonts w:hint="cs"/>
          <w:spacing w:val="-8"/>
          <w:rtl/>
        </w:rPr>
        <w:t>للمشتري</w:t>
      </w:r>
      <w:r>
        <w:rPr>
          <w:rFonts w:hint="eastAsia"/>
          <w:spacing w:val="-8"/>
          <w:rtl/>
        </w:rPr>
        <w:t>»</w:t>
      </w:r>
      <w:r>
        <w:rPr>
          <w:rFonts w:hint="cs"/>
          <w:spacing w:val="-8"/>
          <w:rtl/>
        </w:rPr>
        <w:t>. وهي تمثّل نهاية 58/أ من (جـ).</w:t>
      </w:r>
    </w:p>
  </w:footnote>
  <w:footnote w:id="3928">
    <w:p w:rsidR="00035BE3" w:rsidRDefault="00035BE3" w:rsidP="00C10469">
      <w:pPr>
        <w:pStyle w:val="a8"/>
        <w:bidi/>
        <w:spacing w:line="44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 مصادر القاعدة السابقة.</w:t>
      </w:r>
    </w:p>
  </w:footnote>
  <w:footnote w:id="3929">
    <w:p w:rsidR="00035BE3" w:rsidRDefault="00035BE3" w:rsidP="00C10469">
      <w:pPr>
        <w:pStyle w:val="a8"/>
        <w:bidi/>
        <w:spacing w:line="50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spacing w:val="-8"/>
          <w:rtl/>
        </w:rPr>
        <w:t>«</w:t>
      </w:r>
      <w:r>
        <w:rPr>
          <w:rFonts w:hint="cs"/>
          <w:spacing w:val="-8"/>
          <w:rtl/>
        </w:rPr>
        <w:t>يجذر</w:t>
      </w:r>
      <w:r>
        <w:rPr>
          <w:rFonts w:hint="eastAsia"/>
          <w:spacing w:val="-8"/>
          <w:rtl/>
        </w:rPr>
        <w:t>»</w:t>
      </w:r>
      <w:r>
        <w:rPr>
          <w:rFonts w:hint="cs"/>
          <w:spacing w:val="-8"/>
          <w:rtl/>
        </w:rPr>
        <w:t>. والصحيح ما تم إثباته من باقي النسخ، وهو الموافق لمصدر هذه العبارة (وهو العناية).</w:t>
      </w:r>
    </w:p>
  </w:footnote>
  <w:footnote w:id="3930">
    <w:p w:rsidR="00035BE3" w:rsidRDefault="00035BE3" w:rsidP="00C10469">
      <w:pPr>
        <w:pStyle w:val="a8"/>
        <w:bidi/>
        <w:spacing w:line="50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الدفع</w:t>
      </w:r>
      <w:r>
        <w:rPr>
          <w:rFonts w:hint="eastAsia"/>
          <w:spacing w:val="-8"/>
          <w:rtl/>
        </w:rPr>
        <w:t>»</w:t>
      </w:r>
      <w:r>
        <w:rPr>
          <w:rFonts w:hint="cs"/>
          <w:spacing w:val="-8"/>
          <w:rtl/>
        </w:rPr>
        <w:t>.</w:t>
      </w:r>
    </w:p>
  </w:footnote>
  <w:footnote w:id="3931">
    <w:p w:rsidR="00035BE3" w:rsidRDefault="00035BE3" w:rsidP="00C10469">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هذا الموضع من العناية ورد نص القاعدة، وقد قال عقبها : </w:t>
      </w:r>
      <w:r>
        <w:rPr>
          <w:rFonts w:hint="eastAsia"/>
          <w:spacing w:val="-8"/>
          <w:rtl/>
        </w:rPr>
        <w:t>«</w:t>
      </w:r>
      <w:r>
        <w:rPr>
          <w:rFonts w:hint="cs"/>
          <w:spacing w:val="-8"/>
          <w:rtl/>
        </w:rPr>
        <w:t xml:space="preserve">وإذا كان واجب </w:t>
      </w:r>
      <w:r>
        <w:rPr>
          <w:rFonts w:hint="cs"/>
          <w:b/>
          <w:bCs/>
          <w:spacing w:val="-8"/>
          <w:rtl/>
        </w:rPr>
        <w:t>الرفع</w:t>
      </w:r>
      <w:r>
        <w:rPr>
          <w:rFonts w:hint="cs"/>
          <w:spacing w:val="-8"/>
          <w:rtl/>
        </w:rPr>
        <w:t xml:space="preserve"> بالاسترداد - يعني إذا كان المبيع مقبوضًا - فلأن يكون واجب الرفع بالامتناع ...</w:t>
      </w:r>
      <w:r>
        <w:rPr>
          <w:rFonts w:hint="eastAsia"/>
          <w:spacing w:val="-8"/>
          <w:rtl/>
        </w:rPr>
        <w:t>»</w:t>
      </w:r>
      <w:r>
        <w:rPr>
          <w:rFonts w:hint="cs"/>
          <w:spacing w:val="-8"/>
          <w:rtl/>
        </w:rPr>
        <w:t>.</w:t>
      </w:r>
    </w:p>
  </w:footnote>
  <w:footnote w:id="3932">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فلا يكون</w:t>
      </w:r>
      <w:r>
        <w:rPr>
          <w:rFonts w:hint="eastAsia"/>
          <w:spacing w:val="-8"/>
          <w:rtl/>
        </w:rPr>
        <w:t>»</w:t>
      </w:r>
      <w:r>
        <w:rPr>
          <w:rFonts w:hint="cs"/>
          <w:spacing w:val="-8"/>
          <w:rtl/>
        </w:rPr>
        <w:t>.</w:t>
      </w:r>
    </w:p>
  </w:footnote>
  <w:footnote w:id="3933">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الدّفع</w:t>
      </w:r>
      <w:r>
        <w:rPr>
          <w:rFonts w:hint="eastAsia"/>
          <w:spacing w:val="-8"/>
          <w:rtl/>
        </w:rPr>
        <w:t>»</w:t>
      </w:r>
      <w:r>
        <w:rPr>
          <w:rFonts w:hint="cs"/>
          <w:spacing w:val="-8"/>
          <w:rtl/>
        </w:rPr>
        <w:t>.</w:t>
      </w:r>
    </w:p>
  </w:footnote>
  <w:footnote w:id="3934">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50/أ من (ب).</w:t>
      </w:r>
    </w:p>
  </w:footnote>
  <w:footnote w:id="3935">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spacing w:val="-8"/>
          <w:rtl/>
        </w:rPr>
        <w:t>«</w:t>
      </w:r>
      <w:r>
        <w:rPr>
          <w:rFonts w:hint="cs"/>
          <w:spacing w:val="-8"/>
          <w:rtl/>
        </w:rPr>
        <w:t>المعاقدين</w:t>
      </w:r>
      <w:r>
        <w:rPr>
          <w:rFonts w:hint="eastAsia"/>
          <w:spacing w:val="-8"/>
          <w:rtl/>
        </w:rPr>
        <w:t>»</w:t>
      </w:r>
      <w:r>
        <w:rPr>
          <w:rFonts w:hint="cs"/>
          <w:spacing w:val="-8"/>
          <w:rtl/>
        </w:rPr>
        <w:t xml:space="preserve">، وفي (ب): </w:t>
      </w:r>
      <w:r>
        <w:rPr>
          <w:rFonts w:hint="eastAsia"/>
          <w:spacing w:val="-8"/>
          <w:rtl/>
        </w:rPr>
        <w:t>«</w:t>
      </w:r>
      <w:r>
        <w:rPr>
          <w:rFonts w:hint="cs"/>
          <w:spacing w:val="-8"/>
          <w:rtl/>
        </w:rPr>
        <w:t>العاقدين</w:t>
      </w:r>
      <w:r>
        <w:rPr>
          <w:rFonts w:hint="eastAsia"/>
          <w:spacing w:val="-8"/>
          <w:rtl/>
        </w:rPr>
        <w:t>»</w:t>
      </w:r>
      <w:r>
        <w:rPr>
          <w:rFonts w:hint="cs"/>
          <w:spacing w:val="-8"/>
          <w:rtl/>
        </w:rPr>
        <w:t xml:space="preserve"> وفي (جـ) : </w:t>
      </w:r>
      <w:r>
        <w:rPr>
          <w:rFonts w:hint="eastAsia"/>
          <w:spacing w:val="-8"/>
          <w:rtl/>
        </w:rPr>
        <w:t>«</w:t>
      </w:r>
      <w:r>
        <w:rPr>
          <w:rFonts w:hint="cs"/>
          <w:spacing w:val="-8"/>
          <w:rtl/>
        </w:rPr>
        <w:t>المتعاقدين</w:t>
      </w:r>
      <w:r>
        <w:rPr>
          <w:rFonts w:hint="eastAsia"/>
          <w:spacing w:val="-8"/>
          <w:rtl/>
        </w:rPr>
        <w:t>»</w:t>
      </w:r>
      <w:r>
        <w:rPr>
          <w:rFonts w:hint="cs"/>
          <w:spacing w:val="-8"/>
          <w:rtl/>
        </w:rPr>
        <w:t xml:space="preserve"> وما في (ب) و(جـ) مناسب؛ إلا أنه تمَّ إثبات ما في (جـ)؛ وفاقًا للعناية.</w:t>
      </w:r>
    </w:p>
  </w:footnote>
  <w:footnote w:id="3936">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spacing w:val="-8"/>
          <w:rtl/>
        </w:rPr>
        <w:t>«</w:t>
      </w:r>
      <w:r>
        <w:rPr>
          <w:rFonts w:hint="cs"/>
          <w:spacing w:val="-8"/>
          <w:rtl/>
        </w:rPr>
        <w:t>الدفع</w:t>
      </w:r>
      <w:r>
        <w:rPr>
          <w:rFonts w:hint="eastAsia"/>
          <w:spacing w:val="-8"/>
          <w:rtl/>
        </w:rPr>
        <w:t>»</w:t>
      </w:r>
      <w:r>
        <w:rPr>
          <w:rFonts w:hint="cs"/>
          <w:spacing w:val="-8"/>
          <w:rtl/>
        </w:rPr>
        <w:t>.</w:t>
      </w:r>
    </w:p>
  </w:footnote>
  <w:footnote w:id="3937">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6/462 - مع الاختلاف الذي سبق بيانه-.</w:t>
      </w:r>
    </w:p>
  </w:footnote>
  <w:footnote w:id="3938">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w:t>
      </w:r>
      <w:r>
        <w:rPr>
          <w:rFonts w:hint="eastAsia"/>
          <w:spacing w:val="-8"/>
          <w:rtl/>
        </w:rPr>
        <w:t>«</w:t>
      </w:r>
      <w:r>
        <w:rPr>
          <w:rFonts w:hint="cs"/>
          <w:spacing w:val="-8"/>
          <w:rtl/>
        </w:rPr>
        <w:t>قبضه</w:t>
      </w:r>
      <w:r>
        <w:rPr>
          <w:rFonts w:hint="eastAsia"/>
          <w:spacing w:val="-8"/>
          <w:rtl/>
        </w:rPr>
        <w:t>»</w:t>
      </w:r>
      <w:r>
        <w:rPr>
          <w:rFonts w:hint="cs"/>
          <w:spacing w:val="-8"/>
          <w:rtl/>
        </w:rPr>
        <w:t>. والصحيح ما تمّ إثباته من (ب).</w:t>
      </w:r>
    </w:p>
  </w:footnote>
  <w:footnote w:id="3939">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بيع</w:t>
      </w:r>
      <w:r>
        <w:rPr>
          <w:rFonts w:hint="eastAsia"/>
          <w:rtl/>
        </w:rPr>
        <w:t>»</w:t>
      </w:r>
      <w:r>
        <w:rPr>
          <w:rFonts w:hint="cs"/>
          <w:rtl/>
        </w:rPr>
        <w:t>. والصحيح ما تمَّ إثباته من (ب) و(د).</w:t>
      </w:r>
    </w:p>
  </w:footnote>
  <w:footnote w:id="3940">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6/462.</w:t>
      </w:r>
    </w:p>
  </w:footnote>
  <w:footnote w:id="3941">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والجواب أن تقرير الفساد</w:t>
      </w:r>
      <w:r>
        <w:rPr>
          <w:rFonts w:hint="eastAsia"/>
          <w:rtl/>
        </w:rPr>
        <w:t>»</w:t>
      </w:r>
      <w:r>
        <w:rPr>
          <w:rFonts w:hint="cs"/>
          <w:rtl/>
        </w:rPr>
        <w:t xml:space="preserve"> : ساقطة من (جـ).</w:t>
      </w:r>
    </w:p>
  </w:footnote>
  <w:footnote w:id="3942">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6/462، إلا أنه قال في نهاية العبارة: </w:t>
      </w:r>
      <w:r>
        <w:rPr>
          <w:rFonts w:hint="eastAsia"/>
          <w:rtl/>
        </w:rPr>
        <w:t>«</w:t>
      </w:r>
      <w:r>
        <w:rPr>
          <w:rFonts w:hint="cs"/>
          <w:rtl/>
        </w:rPr>
        <w:t>... لاجتمع البدلان في ملك شخص واحد، وهو لا يجوز، والضمنيات لا معتبر بها</w:t>
      </w:r>
      <w:r>
        <w:rPr>
          <w:rFonts w:hint="eastAsia"/>
          <w:rtl/>
        </w:rPr>
        <w:t>»</w:t>
      </w:r>
      <w:r>
        <w:rPr>
          <w:rFonts w:hint="cs"/>
          <w:rtl/>
        </w:rPr>
        <w:t>.</w:t>
      </w:r>
    </w:p>
  </w:footnote>
  <w:footnote w:id="3943">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ثبت</w:t>
      </w:r>
      <w:r>
        <w:rPr>
          <w:rFonts w:hint="eastAsia"/>
          <w:rtl/>
        </w:rPr>
        <w:t>»</w:t>
      </w:r>
      <w:r>
        <w:rPr>
          <w:rFonts w:hint="cs"/>
          <w:rtl/>
        </w:rPr>
        <w:t xml:space="preserve">. وقوله </w:t>
      </w:r>
      <w:r>
        <w:rPr>
          <w:rFonts w:hint="eastAsia"/>
          <w:rtl/>
        </w:rPr>
        <w:t>«</w:t>
      </w:r>
      <w:r>
        <w:rPr>
          <w:rFonts w:hint="cs"/>
          <w:rtl/>
        </w:rPr>
        <w:t>ضمنًا ما لا يثبت</w:t>
      </w:r>
      <w:r>
        <w:rPr>
          <w:rFonts w:hint="eastAsia"/>
          <w:rtl/>
        </w:rPr>
        <w:t>»</w:t>
      </w:r>
      <w:r>
        <w:rPr>
          <w:rFonts w:hint="cs"/>
          <w:rtl/>
        </w:rPr>
        <w:t xml:space="preserve"> : ساقط من (ب).</w:t>
      </w:r>
    </w:p>
  </w:footnote>
  <w:footnote w:id="3944">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تكلم عنها المؤلف، ص889 (ل71/ب)، قاعدة 178.</w:t>
      </w:r>
    </w:p>
  </w:footnote>
  <w:footnote w:id="3945">
    <w:p w:rsidR="00035BE3" w:rsidRDefault="00035BE3" w:rsidP="00C10469">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احترز</w:t>
      </w:r>
      <w:r>
        <w:rPr>
          <w:rFonts w:hint="eastAsia"/>
          <w:rtl/>
        </w:rPr>
        <w:t>»</w:t>
      </w:r>
      <w:r>
        <w:rPr>
          <w:rFonts w:hint="cs"/>
          <w:rtl/>
        </w:rPr>
        <w:t>. والصواب ما تمَّ إثباته من (ب) و(هـ) و(و)؛ لأنه مفعول لأجله.</w:t>
      </w:r>
    </w:p>
  </w:footnote>
  <w:footnote w:id="394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ورد التعليل بها في كثير من كتب الفقه الحنفي، كما وردت بصيغة الاستفهام في بعض كتب القواعد عند المالكية :</w:t>
      </w:r>
    </w:p>
    <w:p w:rsidR="00035BE3" w:rsidRDefault="00035BE3" w:rsidP="00C10469">
      <w:pPr>
        <w:pStyle w:val="a6"/>
        <w:spacing w:line="420" w:lineRule="exact"/>
        <w:ind w:left="422" w:firstLine="0"/>
        <w:rPr>
          <w:b/>
          <w:bCs/>
          <w:rtl/>
        </w:rPr>
      </w:pPr>
      <w:r>
        <w:rPr>
          <w:rFonts w:hint="cs"/>
          <w:b/>
          <w:bCs/>
          <w:rtl/>
        </w:rPr>
        <w:t>فمن كتب القواعد :</w:t>
      </w:r>
    </w:p>
    <w:p w:rsidR="00035BE3" w:rsidRDefault="00035BE3" w:rsidP="00C10469">
      <w:pPr>
        <w:pStyle w:val="a6"/>
        <w:spacing w:line="420" w:lineRule="exact"/>
        <w:ind w:left="422" w:firstLine="0"/>
        <w:rPr>
          <w:spacing w:val="-8"/>
          <w:rtl/>
        </w:rPr>
      </w:pPr>
      <w:r>
        <w:rPr>
          <w:rFonts w:hint="cs"/>
          <w:rtl/>
        </w:rPr>
        <w:t xml:space="preserve">إيضاح المسالك، ص128، قاعدة 101- ولفظه : </w:t>
      </w:r>
      <w:r>
        <w:rPr>
          <w:rFonts w:hint="eastAsia"/>
          <w:spacing w:val="-8"/>
          <w:rtl/>
        </w:rPr>
        <w:t>«</w:t>
      </w:r>
      <w:r>
        <w:rPr>
          <w:rFonts w:hint="cs"/>
          <w:spacing w:val="-8"/>
          <w:rtl/>
        </w:rPr>
        <w:t>من خُيّر بين شيئين فاختار أحدهما : هل يُعدّ كالمنتقل أوْ لا، وكأنه ما اختار قط ذلك الشيء؟</w:t>
      </w:r>
      <w:r>
        <w:rPr>
          <w:rFonts w:hint="eastAsia"/>
          <w:spacing w:val="-8"/>
          <w:rtl/>
        </w:rPr>
        <w:t>»</w:t>
      </w:r>
      <w:r>
        <w:rPr>
          <w:rFonts w:hint="cs"/>
          <w:spacing w:val="-8"/>
          <w:rtl/>
        </w:rPr>
        <w:t>-؛ المنهج وشرحه للمنجور، ص331- ولفظ المنهج :</w:t>
      </w:r>
    </w:p>
    <w:p w:rsidR="00035BE3" w:rsidRDefault="00035BE3" w:rsidP="00C10469">
      <w:pPr>
        <w:pStyle w:val="a6"/>
        <w:spacing w:line="420" w:lineRule="exact"/>
        <w:ind w:left="422" w:hanging="454"/>
        <w:jc w:val="center"/>
        <w:rPr>
          <w:b/>
          <w:bCs/>
          <w:spacing w:val="-8"/>
          <w:rtl/>
        </w:rPr>
      </w:pPr>
      <w:r>
        <w:rPr>
          <w:rFonts w:hint="cs"/>
          <w:b/>
          <w:bCs/>
          <w:spacing w:val="-8"/>
          <w:rtl/>
        </w:rPr>
        <w:t>.......................................          وهــل يـعــد راجــعًـا مـن خـيّـرا؟-؛</w:t>
      </w:r>
    </w:p>
    <w:p w:rsidR="00035BE3" w:rsidRDefault="00035BE3" w:rsidP="00C10469">
      <w:pPr>
        <w:pStyle w:val="a6"/>
        <w:spacing w:line="420" w:lineRule="exact"/>
        <w:ind w:left="422" w:firstLine="0"/>
        <w:rPr>
          <w:spacing w:val="-8"/>
          <w:rtl/>
        </w:rPr>
      </w:pPr>
      <w:r>
        <w:rPr>
          <w:rFonts w:hint="cs"/>
          <w:spacing w:val="-8"/>
          <w:rtl/>
        </w:rPr>
        <w:t>وقد أحال مـحقّق شرح المنجور إلى قواعد المقري، ل93.</w:t>
      </w:r>
    </w:p>
    <w:p w:rsidR="00035BE3" w:rsidRDefault="00035BE3" w:rsidP="00C10469">
      <w:pPr>
        <w:pStyle w:val="a6"/>
        <w:spacing w:line="420" w:lineRule="exact"/>
        <w:ind w:left="422" w:firstLine="0"/>
        <w:rPr>
          <w:b/>
          <w:bCs/>
          <w:spacing w:val="-8"/>
          <w:rtl/>
        </w:rPr>
      </w:pPr>
      <w:r>
        <w:rPr>
          <w:rFonts w:hint="cs"/>
          <w:b/>
          <w:bCs/>
          <w:spacing w:val="-8"/>
          <w:rtl/>
        </w:rPr>
        <w:t>ومن كتب الفقه :</w:t>
      </w:r>
    </w:p>
    <w:p w:rsidR="00035BE3" w:rsidRDefault="00035BE3" w:rsidP="00C10469">
      <w:pPr>
        <w:pStyle w:val="a6"/>
        <w:spacing w:line="420" w:lineRule="exact"/>
        <w:ind w:left="422" w:firstLine="0"/>
        <w:rPr>
          <w:rtl/>
        </w:rPr>
      </w:pPr>
      <w:r>
        <w:rPr>
          <w:rFonts w:hint="cs"/>
          <w:spacing w:val="-8"/>
          <w:rtl/>
        </w:rPr>
        <w:t>المبسوط، 7/112، 20/47، 48، 25/124، 133، 27/36؛ بدائع الصنائع، 4/94؛ العناية، 7/244- ولفظ القاعدة وجل ما جاء في شرحها مذكور في العناية-؛ البحر الرائق، 8/118.</w:t>
      </w:r>
    </w:p>
  </w:footnote>
  <w:footnote w:id="394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فُسّرت هذه الكلمة في (أ) بـ </w:t>
      </w:r>
      <w:r>
        <w:rPr>
          <w:rFonts w:hint="eastAsia"/>
          <w:spacing w:val="-8"/>
          <w:rtl/>
        </w:rPr>
        <w:t>«</w:t>
      </w:r>
      <w:r>
        <w:rPr>
          <w:rFonts w:hint="cs"/>
          <w:spacing w:val="-8"/>
          <w:rtl/>
        </w:rPr>
        <w:t>هلك</w:t>
      </w:r>
      <w:r>
        <w:rPr>
          <w:rFonts w:hint="eastAsia"/>
          <w:spacing w:val="-8"/>
          <w:rtl/>
        </w:rPr>
        <w:t>»</w:t>
      </w:r>
      <w:r>
        <w:rPr>
          <w:rFonts w:hint="cs"/>
          <w:spacing w:val="-8"/>
          <w:rtl/>
        </w:rPr>
        <w:t>. وقد سبق بيان معناها، ص609.</w:t>
      </w:r>
    </w:p>
  </w:footnote>
  <w:footnote w:id="394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لم</w:t>
      </w:r>
      <w:r>
        <w:rPr>
          <w:rFonts w:hint="eastAsia"/>
          <w:spacing w:val="-8"/>
          <w:rtl/>
        </w:rPr>
        <w:t>»</w:t>
      </w:r>
      <w:r>
        <w:rPr>
          <w:rFonts w:hint="cs"/>
          <w:spacing w:val="-8"/>
          <w:rtl/>
        </w:rPr>
        <w:t xml:space="preserve"> : ساقطة من (جـ).</w:t>
      </w:r>
    </w:p>
  </w:footnote>
  <w:footnote w:id="394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نوى</w:t>
      </w:r>
      <w:r>
        <w:rPr>
          <w:rFonts w:hint="eastAsia"/>
          <w:spacing w:val="-8"/>
          <w:rtl/>
        </w:rPr>
        <w:t>»</w:t>
      </w:r>
      <w:r>
        <w:rPr>
          <w:rFonts w:hint="cs"/>
          <w:spacing w:val="-8"/>
          <w:rtl/>
        </w:rPr>
        <w:t>.</w:t>
      </w:r>
    </w:p>
  </w:footnote>
  <w:footnote w:id="395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7/244-245 -مع اختلاف يسير-؛ وانظر: المبسوط، 7/112؛ 25/47؛ بـدائع الصنائع، 4/94 - وقد حكا الأخيران الخلاف في المسألتين.</w:t>
      </w:r>
    </w:p>
  </w:footnote>
  <w:footnote w:id="395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spacing w:val="-8"/>
          <w:rtl/>
        </w:rPr>
        <w:t>«</w:t>
      </w:r>
      <w:r>
        <w:rPr>
          <w:rFonts w:hint="cs"/>
          <w:spacing w:val="-8"/>
          <w:rtl/>
        </w:rPr>
        <w:t>نوى</w:t>
      </w:r>
      <w:r>
        <w:rPr>
          <w:rFonts w:hint="eastAsia"/>
          <w:spacing w:val="-8"/>
          <w:rtl/>
        </w:rPr>
        <w:t>»</w:t>
      </w:r>
      <w:r>
        <w:rPr>
          <w:rFonts w:hint="cs"/>
          <w:spacing w:val="-8"/>
          <w:rtl/>
        </w:rPr>
        <w:t>.</w:t>
      </w:r>
    </w:p>
  </w:footnote>
  <w:footnote w:id="39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الكلمة وما يقاسمها ورد تفسيرها في هامش (أ) على النحو الآتي :</w:t>
      </w:r>
    </w:p>
    <w:p w:rsidR="00035BE3" w:rsidRDefault="00035BE3" w:rsidP="00C10469">
      <w:pPr>
        <w:pStyle w:val="a6"/>
        <w:ind w:left="422" w:firstLine="0"/>
        <w:rPr>
          <w:spacing w:val="-8"/>
          <w:rtl/>
        </w:rPr>
      </w:pPr>
      <w:r>
        <w:rPr>
          <w:rFonts w:hint="eastAsia"/>
          <w:spacing w:val="-8"/>
          <w:rtl/>
        </w:rPr>
        <w:t>«</w:t>
      </w:r>
      <w:r>
        <w:rPr>
          <w:rFonts w:hint="cs"/>
          <w:spacing w:val="-8"/>
          <w:rtl/>
        </w:rPr>
        <w:t>المحتال به : أي هو الدين الذي أجعله [كذا!] به. درر.</w:t>
      </w:r>
    </w:p>
    <w:p w:rsidR="00035BE3" w:rsidRDefault="00035BE3" w:rsidP="00C10469">
      <w:pPr>
        <w:pStyle w:val="a6"/>
        <w:spacing w:line="420" w:lineRule="exact"/>
        <w:ind w:left="422" w:firstLine="0"/>
        <w:rPr>
          <w:spacing w:val="-8"/>
          <w:rtl/>
        </w:rPr>
      </w:pPr>
      <w:r>
        <w:rPr>
          <w:rFonts w:hint="cs"/>
          <w:spacing w:val="-8"/>
          <w:rtl/>
        </w:rPr>
        <w:t>المحتال : أي صاحب الدين بمعنى رب المال. درر.</w:t>
      </w:r>
    </w:p>
    <w:p w:rsidR="00035BE3" w:rsidRDefault="00035BE3" w:rsidP="00C10469">
      <w:pPr>
        <w:pStyle w:val="a6"/>
        <w:spacing w:line="221" w:lineRule="auto"/>
        <w:ind w:left="422" w:firstLine="0"/>
        <w:rPr>
          <w:rtl/>
        </w:rPr>
      </w:pPr>
      <w:r>
        <w:rPr>
          <w:rFonts w:hint="cs"/>
          <w:rtl/>
        </w:rPr>
        <w:t>المحيل : أي مديون. درر.</w:t>
      </w:r>
    </w:p>
    <w:p w:rsidR="00035BE3" w:rsidRDefault="00035BE3" w:rsidP="00C10469">
      <w:pPr>
        <w:pStyle w:val="a6"/>
        <w:spacing w:line="221" w:lineRule="auto"/>
        <w:ind w:left="422" w:firstLine="0"/>
        <w:rPr>
          <w:rtl/>
        </w:rPr>
      </w:pPr>
      <w:r>
        <w:rPr>
          <w:rFonts w:hint="cs"/>
          <w:rtl/>
        </w:rPr>
        <w:t>محتال عليه : أي الذي قبول [كذا!] الحوالة درر</w:t>
      </w:r>
      <w:r>
        <w:rPr>
          <w:rFonts w:hint="eastAsia"/>
          <w:rtl/>
        </w:rPr>
        <w:t>»</w:t>
      </w:r>
      <w:r>
        <w:rPr>
          <w:rFonts w:hint="cs"/>
          <w:rtl/>
        </w:rPr>
        <w:t>.</w:t>
      </w:r>
    </w:p>
    <w:p w:rsidR="00035BE3" w:rsidRDefault="00035BE3" w:rsidP="00C10469">
      <w:pPr>
        <w:pStyle w:val="a6"/>
        <w:spacing w:line="221" w:lineRule="auto"/>
        <w:ind w:left="422" w:firstLine="0"/>
        <w:rPr>
          <w:rtl/>
        </w:rPr>
      </w:pPr>
      <w:r>
        <w:rPr>
          <w:rFonts w:hint="cs"/>
          <w:rtl/>
        </w:rPr>
        <w:t>وانظر : الدرر شرح الغرر، 2/308.</w:t>
      </w:r>
    </w:p>
  </w:footnote>
  <w:footnote w:id="3953">
    <w:p w:rsidR="00035BE3" w:rsidRDefault="00035BE3" w:rsidP="00C10469">
      <w:pPr>
        <w:pStyle w:val="a8"/>
        <w:bidi/>
        <w:spacing w:line="221"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المبسوط، 20/47، 25/125؛ بدائع الصنائع، 6/18؛ الهداية والعناية وفتح القدير، 7/243؛ الدرر شرح الغرر، 2/308؛ البحر الرائق، 6/267.</w:t>
      </w:r>
    </w:p>
  </w:footnote>
  <w:footnote w:id="3954">
    <w:p w:rsidR="00035BE3" w:rsidRDefault="00035BE3" w:rsidP="00C10469">
      <w:pPr>
        <w:pStyle w:val="a8"/>
        <w:bidi/>
        <w:spacing w:line="221"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المحتال</w:t>
      </w:r>
      <w:r>
        <w:rPr>
          <w:rFonts w:hint="eastAsia"/>
          <w:spacing w:val="-8"/>
          <w:rtl/>
        </w:rPr>
        <w:t>»</w:t>
      </w:r>
      <w:r>
        <w:rPr>
          <w:rFonts w:hint="cs"/>
          <w:spacing w:val="-8"/>
          <w:rtl/>
        </w:rPr>
        <w:t>.</w:t>
      </w:r>
    </w:p>
  </w:footnote>
  <w:footnote w:id="3955">
    <w:p w:rsidR="00035BE3" w:rsidRDefault="00035BE3" w:rsidP="00C10469">
      <w:pPr>
        <w:pStyle w:val="a8"/>
        <w:bidi/>
        <w:spacing w:line="221"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spacing w:val="-8"/>
          <w:rtl/>
        </w:rPr>
        <w:t>«</w:t>
      </w:r>
      <w:r>
        <w:rPr>
          <w:rFonts w:hint="cs"/>
          <w:spacing w:val="-8"/>
          <w:rtl/>
        </w:rPr>
        <w:t>ينتقل</w:t>
      </w:r>
      <w:r>
        <w:rPr>
          <w:rFonts w:hint="eastAsia"/>
          <w:spacing w:val="-8"/>
          <w:rtl/>
        </w:rPr>
        <w:t>»</w:t>
      </w:r>
      <w:r>
        <w:rPr>
          <w:rFonts w:hint="cs"/>
          <w:spacing w:val="-8"/>
          <w:rtl/>
        </w:rPr>
        <w:t>.</w:t>
      </w:r>
    </w:p>
  </w:footnote>
  <w:footnote w:id="3956">
    <w:p w:rsidR="00035BE3" w:rsidRDefault="00035BE3" w:rsidP="00C10469">
      <w:pPr>
        <w:pStyle w:val="a8"/>
        <w:bidi/>
        <w:spacing w:line="221"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7/244.</w:t>
      </w:r>
    </w:p>
  </w:footnote>
  <w:footnote w:id="3957">
    <w:p w:rsidR="00035BE3" w:rsidRDefault="00035BE3" w:rsidP="00C10469">
      <w:pPr>
        <w:pStyle w:val="a8"/>
        <w:bidi/>
        <w:spacing w:line="221"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تقتضي</w:t>
      </w:r>
      <w:r>
        <w:rPr>
          <w:rFonts w:hint="eastAsia"/>
          <w:spacing w:val="-8"/>
          <w:rtl/>
        </w:rPr>
        <w:t>»</w:t>
      </w:r>
      <w:r>
        <w:rPr>
          <w:rFonts w:hint="cs"/>
          <w:spacing w:val="-8"/>
          <w:rtl/>
        </w:rPr>
        <w:t>.</w:t>
      </w:r>
    </w:p>
  </w:footnote>
  <w:footnote w:id="395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48/أ من(د).</w:t>
      </w:r>
    </w:p>
  </w:footnote>
  <w:footnote w:id="3959">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58/ب من (جـ).</w:t>
      </w:r>
    </w:p>
  </w:footnote>
  <w:footnote w:id="3960">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و(هـ)، </w:t>
      </w:r>
      <w:r>
        <w:rPr>
          <w:rFonts w:hint="eastAsia"/>
          <w:rtl/>
        </w:rPr>
        <w:t>«</w:t>
      </w:r>
      <w:r>
        <w:rPr>
          <w:rFonts w:hint="cs"/>
          <w:rtl/>
        </w:rPr>
        <w:t>حلف</w:t>
      </w:r>
      <w:r>
        <w:rPr>
          <w:rFonts w:hint="eastAsia"/>
          <w:rtl/>
        </w:rPr>
        <w:t>»</w:t>
      </w:r>
      <w:r>
        <w:rPr>
          <w:rFonts w:hint="cs"/>
          <w:rtl/>
        </w:rPr>
        <w:t>. والصحيح ما تمَّ إثباته من (ب) و(و)، وهو الموافق للعناية.</w:t>
      </w:r>
    </w:p>
  </w:footnote>
  <w:footnote w:id="3961">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w:t>
      </w:r>
      <w:r>
        <w:rPr>
          <w:rFonts w:hint="eastAsia"/>
          <w:rtl/>
        </w:rPr>
        <w:t>»</w:t>
      </w:r>
      <w:r>
        <w:rPr>
          <w:rFonts w:hint="cs"/>
          <w:rtl/>
        </w:rPr>
        <w:t xml:space="preserve"> (بإسقاط الهمزة). والصحيح إثباتها كما في باقي النسخ، وهو الموافق للعناية.</w:t>
      </w:r>
    </w:p>
  </w:footnote>
  <w:footnote w:id="3962">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أحد</w:t>
      </w:r>
      <w:r>
        <w:rPr>
          <w:rFonts w:hint="eastAsia"/>
          <w:rtl/>
        </w:rPr>
        <w:t>»</w:t>
      </w:r>
      <w:r>
        <w:rPr>
          <w:rFonts w:hint="cs"/>
          <w:rtl/>
        </w:rPr>
        <w:t>.</w:t>
      </w:r>
    </w:p>
  </w:footnote>
  <w:footnote w:id="396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الحلف</w:t>
      </w:r>
      <w:r>
        <w:rPr>
          <w:rFonts w:hint="eastAsia"/>
          <w:rtl/>
        </w:rPr>
        <w:t>»</w:t>
      </w:r>
      <w:r>
        <w:rPr>
          <w:rFonts w:hint="cs"/>
          <w:rtl/>
        </w:rPr>
        <w:t>. والصحيح ما تم إثباته من (ب)، وهو الموافق للعناية.</w:t>
      </w:r>
    </w:p>
  </w:footnote>
  <w:footnote w:id="3964">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79/أ من (أ).</w:t>
      </w:r>
    </w:p>
  </w:footnote>
  <w:footnote w:id="3965">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ما قيل في هامش  (11) يُقال هنا.</w:t>
      </w:r>
    </w:p>
  </w:footnote>
  <w:footnote w:id="39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7/245.</w:t>
      </w:r>
    </w:p>
  </w:footnote>
  <w:footnote w:id="39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spacing w:val="-8"/>
          <w:rtl/>
        </w:rPr>
        <w:t>«</w:t>
      </w:r>
      <w:r>
        <w:rPr>
          <w:rFonts w:hint="cs"/>
          <w:spacing w:val="-8"/>
          <w:rtl/>
        </w:rPr>
        <w:t>ثمة</w:t>
      </w:r>
      <w:r>
        <w:rPr>
          <w:rFonts w:hint="eastAsia"/>
          <w:spacing w:val="-8"/>
          <w:rtl/>
        </w:rPr>
        <w:t>»</w:t>
      </w:r>
      <w:r>
        <w:rPr>
          <w:rFonts w:hint="cs"/>
          <w:spacing w:val="-8"/>
          <w:rtl/>
        </w:rPr>
        <w:t>.</w:t>
      </w:r>
    </w:p>
  </w:footnote>
  <w:footnote w:id="39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الضابط</w:t>
      </w:r>
      <w:r>
        <w:rPr>
          <w:rFonts w:hint="cs"/>
          <w:rtl/>
        </w:rPr>
        <w:t xml:space="preserve">: </w:t>
      </w:r>
    </w:p>
    <w:p w:rsidR="00035BE3" w:rsidRDefault="00035BE3" w:rsidP="00C10469">
      <w:pPr>
        <w:pStyle w:val="a6"/>
        <w:ind w:left="422" w:firstLine="0"/>
        <w:rPr>
          <w:rtl/>
        </w:rPr>
      </w:pPr>
      <w:r>
        <w:rPr>
          <w:rFonts w:hint="cs"/>
          <w:rtl/>
        </w:rPr>
        <w:t xml:space="preserve">ورد في هذا الضابط لَفْظَا (الكيلّي) و(الوزنّي): </w:t>
      </w:r>
    </w:p>
    <w:p w:rsidR="00035BE3" w:rsidRDefault="00035BE3" w:rsidP="00C10469">
      <w:pPr>
        <w:pStyle w:val="a6"/>
        <w:ind w:left="422" w:firstLine="0"/>
        <w:rPr>
          <w:spacing w:val="-8"/>
          <w:rtl/>
        </w:rPr>
      </w:pPr>
      <w:r>
        <w:rPr>
          <w:rFonts w:hint="cs"/>
          <w:b/>
          <w:bCs/>
          <w:rtl/>
        </w:rPr>
        <w:t>ومعنى الكيلي</w:t>
      </w:r>
      <w:r>
        <w:rPr>
          <w:rFonts w:hint="cs"/>
          <w:rtl/>
        </w:rPr>
        <w:t xml:space="preserve">: </w:t>
      </w:r>
      <w:r>
        <w:rPr>
          <w:rFonts w:hint="eastAsia"/>
          <w:spacing w:val="-8"/>
          <w:rtl/>
        </w:rPr>
        <w:t>«</w:t>
      </w:r>
      <w:r>
        <w:rPr>
          <w:rFonts w:hint="cs"/>
          <w:spacing w:val="-8"/>
          <w:rtl/>
        </w:rPr>
        <w:t>ما يكون مقابلته بالثمن مبنياّ على الكيل</w:t>
      </w:r>
      <w:r>
        <w:rPr>
          <w:rFonts w:hint="eastAsia"/>
          <w:spacing w:val="-8"/>
          <w:rtl/>
        </w:rPr>
        <w:t>»</w:t>
      </w:r>
      <w:r>
        <w:rPr>
          <w:rFonts w:hint="cs"/>
          <w:spacing w:val="-8"/>
          <w:rtl/>
        </w:rPr>
        <w:t xml:space="preserve"> -قاله المجدّدي-.</w:t>
      </w:r>
    </w:p>
    <w:p w:rsidR="00035BE3" w:rsidRDefault="00035BE3" w:rsidP="00C10469">
      <w:pPr>
        <w:pStyle w:val="a6"/>
        <w:ind w:left="422" w:firstLine="0"/>
        <w:rPr>
          <w:spacing w:val="-8"/>
          <w:rtl/>
        </w:rPr>
      </w:pPr>
      <w:r>
        <w:rPr>
          <w:rFonts w:hint="cs"/>
          <w:spacing w:val="-8"/>
          <w:rtl/>
        </w:rPr>
        <w:t xml:space="preserve">أو: </w:t>
      </w:r>
      <w:r>
        <w:rPr>
          <w:rFonts w:hint="eastAsia"/>
          <w:spacing w:val="-8"/>
          <w:rtl/>
        </w:rPr>
        <w:t>«</w:t>
      </w:r>
      <w:r>
        <w:rPr>
          <w:rFonts w:hint="cs"/>
          <w:spacing w:val="-8"/>
          <w:rtl/>
        </w:rPr>
        <w:t>ما يكون بيان مقداره بالكيل</w:t>
      </w:r>
      <w:r>
        <w:rPr>
          <w:rFonts w:hint="eastAsia"/>
          <w:spacing w:val="-8"/>
          <w:rtl/>
        </w:rPr>
        <w:t>»</w:t>
      </w:r>
      <w:r>
        <w:rPr>
          <w:rFonts w:hint="cs"/>
          <w:spacing w:val="-8"/>
          <w:rtl/>
        </w:rPr>
        <w:t xml:space="preserve"> -قاله أ.د. قلعه جي-.</w:t>
      </w:r>
    </w:p>
    <w:p w:rsidR="00035BE3" w:rsidRDefault="00035BE3" w:rsidP="00C10469">
      <w:pPr>
        <w:pStyle w:val="a6"/>
        <w:ind w:left="422" w:firstLine="0"/>
        <w:rPr>
          <w:spacing w:val="-8"/>
          <w:rtl/>
        </w:rPr>
      </w:pPr>
      <w:r>
        <w:rPr>
          <w:rFonts w:hint="cs"/>
          <w:spacing w:val="-8"/>
          <w:rtl/>
        </w:rPr>
        <w:t xml:space="preserve">والكيل : </w:t>
      </w:r>
      <w:r>
        <w:rPr>
          <w:rFonts w:hint="eastAsia"/>
          <w:spacing w:val="-8"/>
          <w:rtl/>
        </w:rPr>
        <w:t>«</w:t>
      </w:r>
      <w:r>
        <w:rPr>
          <w:rFonts w:hint="cs"/>
          <w:spacing w:val="-8"/>
          <w:rtl/>
        </w:rPr>
        <w:t>تقدير الأشياء بحجومها</w:t>
      </w:r>
      <w:r>
        <w:rPr>
          <w:rFonts w:hint="eastAsia"/>
          <w:spacing w:val="-8"/>
          <w:rtl/>
        </w:rPr>
        <w:t>»</w:t>
      </w:r>
      <w:r>
        <w:rPr>
          <w:rFonts w:hint="cs"/>
          <w:spacing w:val="-8"/>
          <w:rtl/>
        </w:rPr>
        <w:t xml:space="preserve"> - قاله أ.د. قلعه جي.-</w:t>
      </w:r>
    </w:p>
    <w:p w:rsidR="00035BE3" w:rsidRDefault="00035BE3" w:rsidP="00C10469">
      <w:pPr>
        <w:pStyle w:val="a6"/>
        <w:ind w:left="422" w:firstLine="0"/>
        <w:rPr>
          <w:spacing w:val="-8"/>
          <w:rtl/>
        </w:rPr>
      </w:pPr>
      <w:r>
        <w:rPr>
          <w:rFonts w:hint="cs"/>
          <w:b/>
          <w:bCs/>
          <w:spacing w:val="-8"/>
          <w:rtl/>
        </w:rPr>
        <w:t>أما الوزني</w:t>
      </w:r>
      <w:r>
        <w:rPr>
          <w:rFonts w:hint="cs"/>
          <w:spacing w:val="-8"/>
          <w:rtl/>
        </w:rPr>
        <w:t xml:space="preserve"> : فهو</w:t>
      </w:r>
      <w:r>
        <w:rPr>
          <w:rFonts w:hint="eastAsia"/>
          <w:spacing w:val="-8"/>
          <w:rtl/>
        </w:rPr>
        <w:t>«</w:t>
      </w:r>
      <w:r>
        <w:rPr>
          <w:rFonts w:hint="cs"/>
          <w:spacing w:val="-8"/>
          <w:rtl/>
        </w:rPr>
        <w:t>ما يوزن</w:t>
      </w:r>
      <w:r>
        <w:rPr>
          <w:rFonts w:hint="eastAsia"/>
          <w:spacing w:val="-8"/>
          <w:rtl/>
        </w:rPr>
        <w:t>»</w:t>
      </w:r>
      <w:r>
        <w:rPr>
          <w:rFonts w:hint="cs"/>
          <w:spacing w:val="-8"/>
          <w:rtl/>
        </w:rPr>
        <w:t xml:space="preserve"> -قاله المجدّدي-.</w:t>
      </w:r>
    </w:p>
    <w:p w:rsidR="00035BE3" w:rsidRDefault="00035BE3" w:rsidP="00C10469">
      <w:pPr>
        <w:pStyle w:val="a6"/>
        <w:ind w:left="422" w:firstLine="0"/>
        <w:rPr>
          <w:spacing w:val="-8"/>
          <w:rtl/>
        </w:rPr>
      </w:pPr>
      <w:r>
        <w:rPr>
          <w:rFonts w:hint="cs"/>
          <w:spacing w:val="-8"/>
          <w:rtl/>
        </w:rPr>
        <w:t xml:space="preserve">إذا علم هذا فإن </w:t>
      </w:r>
      <w:r>
        <w:rPr>
          <w:rFonts w:hint="cs"/>
          <w:b/>
          <w:bCs/>
          <w:spacing w:val="-8"/>
          <w:rtl/>
        </w:rPr>
        <w:t>معنى هذا الضابط</w:t>
      </w:r>
      <w:r>
        <w:rPr>
          <w:rFonts w:hint="cs"/>
          <w:spacing w:val="-8"/>
          <w:rtl/>
        </w:rPr>
        <w:t xml:space="preserve">: أن كل ما يكال أو يوزن فإنه إذا عُيَّن يكون سلعة مبيعة بعينها، وإذا وصف فإنه يعّد ثمنًا حكمه حكم الدنانير. </w:t>
      </w:r>
    </w:p>
    <w:p w:rsidR="00035BE3" w:rsidRDefault="00035BE3" w:rsidP="00C10469">
      <w:pPr>
        <w:pStyle w:val="a6"/>
        <w:ind w:left="422" w:firstLine="0"/>
        <w:rPr>
          <w:spacing w:val="-8"/>
          <w:rtl/>
        </w:rPr>
      </w:pPr>
      <w:r>
        <w:rPr>
          <w:rFonts w:hint="cs"/>
          <w:spacing w:val="-8"/>
          <w:rtl/>
        </w:rPr>
        <w:t>وسوف يجلي المؤلف هذا الضابط في بداية شرحه للقاعدة.</w:t>
      </w:r>
    </w:p>
    <w:p w:rsidR="00035BE3" w:rsidRDefault="00035BE3" w:rsidP="00C10469">
      <w:pPr>
        <w:pStyle w:val="a6"/>
        <w:ind w:left="422" w:firstLine="0"/>
        <w:rPr>
          <w:spacing w:val="-8"/>
          <w:rtl/>
        </w:rPr>
      </w:pPr>
      <w:r>
        <w:rPr>
          <w:rFonts w:hint="cs"/>
          <w:spacing w:val="-8"/>
          <w:rtl/>
        </w:rPr>
        <w:t>ولتوثيق ما سبق : فإن معنى الوزني والمعنى الأول للكيلي منقول من قواعد الفقه (الرسالة الرابعة : التعريفات الفقهية)، ص 542،451؛ والمعنى الثاني للكيلي منقول من معجم لغة الفقهاء، ص 354.</w:t>
      </w:r>
    </w:p>
    <w:p w:rsidR="00035BE3" w:rsidRDefault="00035BE3" w:rsidP="00C10469">
      <w:pPr>
        <w:pStyle w:val="a6"/>
        <w:ind w:left="422" w:firstLine="0"/>
        <w:rPr>
          <w:rtl/>
        </w:rPr>
      </w:pPr>
      <w:r>
        <w:rPr>
          <w:rFonts w:hint="cs"/>
          <w:rtl/>
        </w:rPr>
        <w:t xml:space="preserve">أما توثيق الضابط : </w:t>
      </w:r>
    </w:p>
    <w:p w:rsidR="00035BE3" w:rsidRDefault="00035BE3" w:rsidP="00C10469">
      <w:pPr>
        <w:pStyle w:val="a6"/>
        <w:ind w:left="422" w:firstLine="0"/>
        <w:rPr>
          <w:rtl/>
        </w:rPr>
      </w:pPr>
      <w:r>
        <w:rPr>
          <w:rFonts w:hint="cs"/>
          <w:rtl/>
        </w:rPr>
        <w:t xml:space="preserve">فقد ورد بلفظ المؤلف أو نحوه في عدة كتب من كتب الفقه، منها: </w:t>
      </w:r>
    </w:p>
    <w:p w:rsidR="00035BE3" w:rsidRDefault="00035BE3" w:rsidP="00C10469">
      <w:pPr>
        <w:pStyle w:val="a6"/>
        <w:ind w:left="422" w:firstLine="0"/>
        <w:rPr>
          <w:spacing w:val="-4"/>
          <w:rtl/>
        </w:rPr>
      </w:pPr>
      <w:r>
        <w:rPr>
          <w:rFonts w:hint="cs"/>
          <w:spacing w:val="-4"/>
          <w:rtl/>
        </w:rPr>
        <w:t>الهداية والعناية ونتائج الأفكار، 8/355-356؛ الدّرر شرح الغرر، 2/364- ولفظ الضابط وجل ما جاء في شرحه مذكور فيه-؛ قرة عيون الأخيار، 12/195- والأخير نقل كثيرًا مما ذكره صاحب الدرر.</w:t>
      </w:r>
    </w:p>
  </w:footnote>
  <w:footnote w:id="396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spacing w:val="-8"/>
          <w:rtl/>
        </w:rPr>
        <w:t>«</w:t>
      </w:r>
      <w:r>
        <w:rPr>
          <w:rFonts w:hint="cs"/>
          <w:spacing w:val="-8"/>
          <w:rtl/>
        </w:rPr>
        <w:t>تعلق مال</w:t>
      </w:r>
      <w:r>
        <w:rPr>
          <w:rFonts w:hint="eastAsia"/>
          <w:spacing w:val="-8"/>
          <w:rtl/>
        </w:rPr>
        <w:t>»</w:t>
      </w:r>
      <w:r>
        <w:rPr>
          <w:rFonts w:hint="cs"/>
          <w:spacing w:val="-8"/>
          <w:rtl/>
        </w:rPr>
        <w:t>.</w:t>
      </w:r>
    </w:p>
  </w:footnote>
  <w:footnote w:id="397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زيادة من (و). ولا يستقيم المعنى بدونها. وقوله : </w:t>
      </w:r>
      <w:r>
        <w:rPr>
          <w:rFonts w:hint="eastAsia"/>
          <w:spacing w:val="-8"/>
          <w:rtl/>
        </w:rPr>
        <w:t>«</w:t>
      </w:r>
      <w:r>
        <w:rPr>
          <w:rFonts w:hint="cs"/>
          <w:spacing w:val="-8"/>
          <w:rtl/>
        </w:rPr>
        <w:t>ويكون مبيعًا</w:t>
      </w:r>
      <w:r>
        <w:rPr>
          <w:rFonts w:hint="eastAsia"/>
          <w:spacing w:val="-8"/>
          <w:rtl/>
        </w:rPr>
        <w:t>»</w:t>
      </w:r>
      <w:r>
        <w:rPr>
          <w:rFonts w:hint="cs"/>
          <w:spacing w:val="-8"/>
          <w:rtl/>
        </w:rPr>
        <w:t xml:space="preserve"> ليس في الدرر.</w:t>
      </w:r>
    </w:p>
  </w:footnote>
  <w:footnote w:id="397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50/ب من (ب).</w:t>
      </w:r>
    </w:p>
  </w:footnote>
  <w:footnote w:id="397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spacing w:val="-8"/>
          <w:rtl/>
        </w:rPr>
        <w:t>«</w:t>
      </w:r>
      <w:r>
        <w:rPr>
          <w:rFonts w:hint="cs"/>
          <w:spacing w:val="-8"/>
          <w:rtl/>
        </w:rPr>
        <w:t>وضعا</w:t>
      </w:r>
      <w:r>
        <w:rPr>
          <w:rFonts w:hint="eastAsia"/>
          <w:spacing w:val="-8"/>
          <w:rtl/>
        </w:rPr>
        <w:t>»</w:t>
      </w:r>
      <w:r>
        <w:rPr>
          <w:rFonts w:hint="cs"/>
          <w:spacing w:val="-8"/>
          <w:rtl/>
        </w:rPr>
        <w:t>.</w:t>
      </w:r>
    </w:p>
  </w:footnote>
  <w:footnote w:id="397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spacing w:val="-8"/>
          <w:rtl/>
        </w:rPr>
        <w:t>«</w:t>
      </w:r>
      <w:r>
        <w:rPr>
          <w:rFonts w:hint="cs"/>
          <w:spacing w:val="-8"/>
          <w:rtl/>
        </w:rPr>
        <w:t>يبيّنا</w:t>
      </w:r>
      <w:r>
        <w:rPr>
          <w:rFonts w:hint="eastAsia"/>
          <w:spacing w:val="-8"/>
          <w:rtl/>
        </w:rPr>
        <w:t>»</w:t>
      </w:r>
      <w:r>
        <w:rPr>
          <w:rFonts w:hint="cs"/>
          <w:spacing w:val="-8"/>
          <w:rtl/>
        </w:rPr>
        <w:t>.</w:t>
      </w:r>
    </w:p>
  </w:footnote>
  <w:footnote w:id="397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2/364- مع الاختلاف الذي سبق بيانه-.</w:t>
      </w:r>
    </w:p>
  </w:footnote>
  <w:footnote w:id="39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spacing w:val="-8"/>
          <w:rtl/>
        </w:rPr>
        <w:t>«</w:t>
      </w:r>
      <w:r>
        <w:rPr>
          <w:rFonts w:hint="cs"/>
          <w:spacing w:val="-8"/>
          <w:rtl/>
        </w:rPr>
        <w:t>ويكون</w:t>
      </w:r>
      <w:r>
        <w:rPr>
          <w:rFonts w:hint="eastAsia"/>
          <w:spacing w:val="-8"/>
          <w:rtl/>
        </w:rPr>
        <w:t>»</w:t>
      </w:r>
      <w:r>
        <w:rPr>
          <w:rFonts w:hint="cs"/>
          <w:spacing w:val="-8"/>
          <w:rtl/>
        </w:rPr>
        <w:t>.</w:t>
      </w:r>
    </w:p>
  </w:footnote>
  <w:footnote w:id="397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w:t>
      </w:r>
    </w:p>
    <w:p w:rsidR="00035BE3" w:rsidRDefault="00035BE3" w:rsidP="00C10469">
      <w:pPr>
        <w:pStyle w:val="a6"/>
        <w:ind w:left="422" w:firstLine="0"/>
        <w:rPr>
          <w:rtl/>
        </w:rPr>
      </w:pPr>
      <w:r>
        <w:rPr>
          <w:rFonts w:hint="cs"/>
          <w:rtl/>
        </w:rPr>
        <w:t xml:space="preserve">وفي مصدر هذه العبارة: </w:t>
      </w:r>
      <w:r>
        <w:rPr>
          <w:rFonts w:hint="eastAsia"/>
          <w:rtl/>
        </w:rPr>
        <w:t>«</w:t>
      </w:r>
      <w:r>
        <w:rPr>
          <w:rFonts w:hint="cs"/>
          <w:rtl/>
        </w:rPr>
        <w:t>قيمة</w:t>
      </w:r>
      <w:r>
        <w:rPr>
          <w:rFonts w:hint="eastAsia"/>
          <w:rtl/>
        </w:rPr>
        <w:t>»</w:t>
      </w:r>
      <w:r>
        <w:rPr>
          <w:rFonts w:hint="cs"/>
          <w:rtl/>
        </w:rPr>
        <w:t>.ولعلّ هذا المناسب؛ لأن القيمة هنا تمييز، والمعنى: صح الاستثناء، وهو قيمة المكيل أو الموزون؛ لأنه بوصفهما تعلّق العقد بثمنهما وليس بعينهما، فيكونان من جنس المستثنى منه وهو الثمن.</w:t>
      </w:r>
    </w:p>
  </w:footnote>
  <w:footnote w:id="39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w:t>
      </w:r>
      <w:r>
        <w:rPr>
          <w:rFonts w:hint="eastAsia"/>
          <w:rtl/>
        </w:rPr>
        <w:t>«</w:t>
      </w:r>
      <w:r>
        <w:rPr>
          <w:rFonts w:hint="cs"/>
          <w:rtl/>
        </w:rPr>
        <w:t>أو</w:t>
      </w:r>
      <w:r>
        <w:rPr>
          <w:rFonts w:hint="eastAsia"/>
          <w:rtl/>
        </w:rPr>
        <w:t>»</w:t>
      </w:r>
      <w:r>
        <w:rPr>
          <w:rFonts w:hint="cs"/>
          <w:rtl/>
        </w:rPr>
        <w:t xml:space="preserve">. وهذا الأولى؛ كي لا يُتوهم أن قوله: </w:t>
      </w:r>
      <w:r>
        <w:rPr>
          <w:rFonts w:hint="eastAsia"/>
          <w:rtl/>
        </w:rPr>
        <w:t>«</w:t>
      </w:r>
      <w:r>
        <w:rPr>
          <w:rFonts w:hint="cs"/>
          <w:rtl/>
        </w:rPr>
        <w:t>إلا قفيز حنطة</w:t>
      </w:r>
      <w:r>
        <w:rPr>
          <w:rFonts w:hint="eastAsia"/>
          <w:rtl/>
        </w:rPr>
        <w:t>»</w:t>
      </w:r>
      <w:r>
        <w:rPr>
          <w:rFonts w:hint="cs"/>
          <w:rtl/>
        </w:rPr>
        <w:t xml:space="preserve"> مستثنى من عين الجملة السابقة، ولأنه أعاد القفيز فيما بعد وعطفه على ما قبله بـ (أو) وليس بالواو. وقد اتفقت جميع النسخ على ذلك.</w:t>
      </w:r>
    </w:p>
  </w:footnote>
  <w:footnote w:id="3978">
    <w:p w:rsidR="00035BE3" w:rsidRPr="00B91D31" w:rsidRDefault="00035BE3" w:rsidP="00C10469">
      <w:pPr>
        <w:pStyle w:val="a8"/>
        <w:bidi/>
        <w:ind w:left="422" w:right="0"/>
        <w:rPr>
          <w:spacing w:val="-6"/>
          <w:vertAlign w:val="superscript"/>
          <w:rtl/>
        </w:rPr>
      </w:pPr>
      <w:r>
        <w:rPr>
          <w:rFonts w:hint="cs"/>
          <w:vertAlign w:val="superscript"/>
          <w:rtl/>
        </w:rPr>
        <w:t>(</w:t>
      </w:r>
      <w:r>
        <w:rPr>
          <w:rStyle w:val="a7"/>
        </w:rPr>
        <w:footnoteRef/>
      </w:r>
      <w:r>
        <w:rPr>
          <w:rFonts w:hint="cs"/>
          <w:vertAlign w:val="superscript"/>
          <w:rtl/>
        </w:rPr>
        <w:t>)</w:t>
      </w:r>
      <w:r>
        <w:rPr>
          <w:rFonts w:hint="cs"/>
          <w:rtl/>
        </w:rPr>
        <w:t xml:space="preserve">  </w:t>
      </w:r>
      <w:r w:rsidRPr="00B91D31">
        <w:rPr>
          <w:rFonts w:hint="cs"/>
          <w:spacing w:val="-6"/>
          <w:rtl/>
        </w:rPr>
        <w:t xml:space="preserve">في (الدرر) بيان من قال بهذا القياس؛ إذْ جاء فيها: </w:t>
      </w:r>
      <w:r w:rsidRPr="00B91D31">
        <w:rPr>
          <w:rFonts w:hint="eastAsia"/>
          <w:spacing w:val="-6"/>
          <w:rtl/>
        </w:rPr>
        <w:t>«</w:t>
      </w:r>
      <w:r w:rsidRPr="00B91D31">
        <w:rPr>
          <w:rFonts w:hint="cs"/>
          <w:spacing w:val="-6"/>
          <w:rtl/>
        </w:rPr>
        <w:t>والقياس: أن لا يصح الاستثناء. وهو قول محمد وزفر</w:t>
      </w:r>
      <w:r w:rsidRPr="00B91D31">
        <w:rPr>
          <w:rFonts w:hint="eastAsia"/>
          <w:spacing w:val="-6"/>
          <w:rtl/>
        </w:rPr>
        <w:t>»</w:t>
      </w:r>
      <w:r w:rsidRPr="00B91D31">
        <w:rPr>
          <w:rFonts w:hint="cs"/>
          <w:spacing w:val="-6"/>
          <w:rtl/>
        </w:rPr>
        <w:t>.</w:t>
      </w:r>
    </w:p>
  </w:footnote>
  <w:footnote w:id="39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2/364- مع الاختلاف الذي سبق بيان أكثره-.   </w:t>
      </w:r>
    </w:p>
  </w:footnote>
  <w:footnote w:id="39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spacing w:val="-8"/>
          <w:rtl/>
        </w:rPr>
        <w:t>«</w:t>
      </w:r>
      <w:r>
        <w:rPr>
          <w:rFonts w:hint="cs"/>
          <w:spacing w:val="-8"/>
          <w:rtl/>
        </w:rPr>
        <w:t>المفردات</w:t>
      </w:r>
      <w:r>
        <w:rPr>
          <w:rFonts w:hint="eastAsia"/>
          <w:spacing w:val="-8"/>
          <w:rtl/>
        </w:rPr>
        <w:t>»</w:t>
      </w:r>
      <w:r>
        <w:rPr>
          <w:rFonts w:hint="cs"/>
          <w:spacing w:val="-8"/>
          <w:rtl/>
        </w:rPr>
        <w:t>.</w:t>
      </w:r>
    </w:p>
  </w:footnote>
  <w:footnote w:id="39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أفرادها المؤلف بالحديث، ص300 (ل9/أ)، قاعدة 20.</w:t>
      </w:r>
    </w:p>
  </w:footnote>
  <w:footnote w:id="39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الدرر شرح الغرر، 2/364. وما جاء في الدّرر فيه زيادة بيان، ونصه: </w:t>
      </w:r>
      <w:r>
        <w:rPr>
          <w:rFonts w:hint="eastAsia"/>
          <w:spacing w:val="-8"/>
          <w:rtl/>
        </w:rPr>
        <w:t>«</w:t>
      </w:r>
      <w:r>
        <w:rPr>
          <w:rFonts w:hint="cs"/>
          <w:spacing w:val="-8"/>
          <w:rtl/>
        </w:rPr>
        <w:t>لكنهما صححاه استحسانًا: بأن المقدّرات جنس واحد معنى، وإن كانت أجناسًا صورة؛ لأنها تثبت في الذمة ثمنًا. أما الدينار فظاهر، وكذا غيره؛ لأن الكيلي والوزني مبيع بأعيانهما ثمن بأوصافهما، حتى لو عُيَّنا تعلق العقد بأعيانهما، ولو وُصفا ولم يعيّنا صار حكمهما كحكم الدنانير؛ ولهذا يستوي الجيد والرّديء فيهما، وكانت في حكم الثبوت في الذمة كجنس واحد معنى، فالاستثناء تكلم بالباقي معنى لا صورة</w:t>
      </w:r>
      <w:r>
        <w:rPr>
          <w:rFonts w:hint="eastAsia"/>
          <w:spacing w:val="-8"/>
          <w:rtl/>
        </w:rPr>
        <w:t>»</w:t>
      </w:r>
      <w:r>
        <w:rPr>
          <w:rFonts w:hint="cs"/>
          <w:spacing w:val="-8"/>
          <w:rtl/>
        </w:rPr>
        <w:t>.</w:t>
      </w:r>
    </w:p>
  </w:footnote>
  <w:footnote w:id="3983">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spacing w:val="-8"/>
          <w:rtl/>
        </w:rPr>
        <w:t>«</w:t>
      </w:r>
      <w:r>
        <w:rPr>
          <w:rFonts w:hint="cs"/>
          <w:spacing w:val="-8"/>
          <w:rtl/>
        </w:rPr>
        <w:t>يبالي</w:t>
      </w:r>
      <w:r>
        <w:rPr>
          <w:rFonts w:hint="eastAsia"/>
          <w:spacing w:val="-8"/>
          <w:rtl/>
        </w:rPr>
        <w:t>»</w:t>
      </w:r>
      <w:r>
        <w:rPr>
          <w:rFonts w:hint="cs"/>
          <w:spacing w:val="-8"/>
          <w:rtl/>
        </w:rPr>
        <w:t>.</w:t>
      </w:r>
    </w:p>
  </w:footnote>
  <w:footnote w:id="3984">
    <w:p w:rsidR="00035BE3" w:rsidRPr="00122AEB" w:rsidRDefault="00035BE3" w:rsidP="00C10469">
      <w:pPr>
        <w:pStyle w:val="a8"/>
        <w:bidi/>
        <w:spacing w:line="460" w:lineRule="exact"/>
        <w:ind w:left="422" w:right="0"/>
        <w:rPr>
          <w:rtl/>
        </w:rPr>
      </w:pPr>
      <w:r>
        <w:rPr>
          <w:rFonts w:hint="cs"/>
          <w:vertAlign w:val="superscript"/>
          <w:rtl/>
        </w:rPr>
        <w:t>(</w:t>
      </w:r>
      <w:r>
        <w:rPr>
          <w:rStyle w:val="a7"/>
          <w:spacing w:val="4"/>
        </w:rPr>
        <w:footnoteRef/>
      </w:r>
      <w:r>
        <w:rPr>
          <w:rFonts w:hint="cs"/>
          <w:vertAlign w:val="superscript"/>
          <w:rtl/>
        </w:rPr>
        <w:t>)</w:t>
      </w:r>
      <w:r>
        <w:rPr>
          <w:rFonts w:hint="cs"/>
          <w:spacing w:val="4"/>
          <w:rtl/>
        </w:rPr>
        <w:t xml:space="preserve">  </w:t>
      </w:r>
      <w:r w:rsidRPr="00122AEB">
        <w:rPr>
          <w:rFonts w:hint="cs"/>
          <w:rtl/>
        </w:rPr>
        <w:t xml:space="preserve">ذُكرتْ هذه القاعدة في مقام التعليل في بعض </w:t>
      </w:r>
      <w:r w:rsidRPr="00122AEB">
        <w:rPr>
          <w:rFonts w:hint="cs"/>
          <w:b/>
          <w:bCs/>
          <w:rtl/>
        </w:rPr>
        <w:t>كتب الفقه الحنفي</w:t>
      </w:r>
      <w:r w:rsidRPr="00122AEB">
        <w:rPr>
          <w:rFonts w:hint="cs"/>
          <w:rtl/>
        </w:rPr>
        <w:t xml:space="preserve"> بألفاظ متقاربة، ومن تلك الكتب:</w:t>
      </w:r>
    </w:p>
    <w:p w:rsidR="00035BE3" w:rsidRDefault="00035BE3" w:rsidP="00C10469">
      <w:pPr>
        <w:pStyle w:val="a6"/>
        <w:ind w:left="422" w:firstLine="0"/>
        <w:rPr>
          <w:rtl/>
        </w:rPr>
      </w:pPr>
      <w:r>
        <w:rPr>
          <w:rFonts w:hint="cs"/>
          <w:rtl/>
        </w:rPr>
        <w:t xml:space="preserve"> المبسوط، 6/65؛ الهداية، 3/343، 8/216، 362؛ وشروحها: الكفاية، 3/226، 8/338؛ والعناية، 3/343، 8/216، 362؛ وفتح القدير، 3/344؛ ونتائج الأفكار، 8/216، 362؛ تبيين الحقائق، 2/147، 4/308؛ الدّرر شرح الغرر، 1/344؛ البحر الرائق، 3/169، 170؛ كشف الحقائق، 1/176.</w:t>
      </w:r>
    </w:p>
  </w:footnote>
  <w:footnote w:id="3985">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spacing w:val="-8"/>
          <w:rtl/>
        </w:rPr>
        <w:t>«</w:t>
      </w:r>
      <w:r>
        <w:rPr>
          <w:rFonts w:hint="cs"/>
          <w:spacing w:val="-8"/>
          <w:rtl/>
        </w:rPr>
        <w:t>تقبضها</w:t>
      </w:r>
      <w:r>
        <w:rPr>
          <w:rFonts w:hint="eastAsia"/>
          <w:spacing w:val="-8"/>
          <w:rtl/>
        </w:rPr>
        <w:t>»</w:t>
      </w:r>
      <w:r>
        <w:rPr>
          <w:rFonts w:hint="cs"/>
          <w:spacing w:val="-8"/>
          <w:rtl/>
        </w:rPr>
        <w:t>.</w:t>
      </w:r>
    </w:p>
  </w:footnote>
  <w:footnote w:id="3986">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79/ب من (أ).</w:t>
      </w:r>
    </w:p>
  </w:footnote>
  <w:footnote w:id="3987">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spacing w:val="-8"/>
          <w:rtl/>
        </w:rPr>
        <w:t>«</w:t>
      </w:r>
      <w:r>
        <w:rPr>
          <w:rFonts w:hint="cs"/>
          <w:spacing w:val="-8"/>
          <w:rtl/>
        </w:rPr>
        <w:t>عليه</w:t>
      </w:r>
      <w:r>
        <w:rPr>
          <w:rFonts w:hint="eastAsia"/>
          <w:spacing w:val="-8"/>
          <w:rtl/>
        </w:rPr>
        <w:t>»</w:t>
      </w:r>
      <w:r>
        <w:rPr>
          <w:rFonts w:hint="cs"/>
          <w:spacing w:val="-8"/>
          <w:rtl/>
        </w:rPr>
        <w:t>.</w:t>
      </w:r>
    </w:p>
  </w:footnote>
  <w:footnote w:id="3988">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عند الإمام أبي حنيفة. أما عند محمد وأبي يوسف: يرجع عليها بنصف المقبوض. انظر: الهداية والعناية وفتح القدير، 3/343؛ تبيين الحقائق، 2/147؛ البحر الرائق، 3/170.</w:t>
      </w:r>
    </w:p>
  </w:footnote>
  <w:footnote w:id="3989">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w:t>
      </w:r>
      <w:r>
        <w:rPr>
          <w:rFonts w:hint="eastAsia"/>
          <w:spacing w:val="-8"/>
          <w:rtl/>
        </w:rPr>
        <w:t xml:space="preserve"> «</w:t>
      </w:r>
      <w:r>
        <w:rPr>
          <w:rFonts w:hint="cs"/>
          <w:spacing w:val="-8"/>
          <w:rtl/>
        </w:rPr>
        <w:t>سبـب</w:t>
      </w:r>
      <w:r>
        <w:rPr>
          <w:rFonts w:hint="eastAsia"/>
          <w:spacing w:val="-8"/>
          <w:rtl/>
        </w:rPr>
        <w:t>»</w:t>
      </w:r>
      <w:r>
        <w:rPr>
          <w:rFonts w:hint="cs"/>
          <w:spacing w:val="-8"/>
          <w:rtl/>
        </w:rPr>
        <w:t>.</w:t>
      </w:r>
    </w:p>
  </w:footnote>
  <w:footnote w:id="3990">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w:t>
      </w:r>
      <w:r>
        <w:rPr>
          <w:rFonts w:hint="eastAsia"/>
          <w:spacing w:val="-8"/>
          <w:rtl/>
        </w:rPr>
        <w:t>«</w:t>
      </w:r>
      <w:r>
        <w:rPr>
          <w:rFonts w:hint="cs"/>
          <w:spacing w:val="-8"/>
          <w:rtl/>
        </w:rPr>
        <w:t>باختلاف</w:t>
      </w:r>
      <w:r>
        <w:rPr>
          <w:rFonts w:hint="eastAsia"/>
          <w:spacing w:val="-8"/>
          <w:rtl/>
        </w:rPr>
        <w:t>»</w:t>
      </w:r>
      <w:r>
        <w:rPr>
          <w:rFonts w:hint="cs"/>
          <w:spacing w:val="-8"/>
          <w:rtl/>
        </w:rPr>
        <w:t>.وهذا هو الأولى.</w:t>
      </w:r>
    </w:p>
  </w:footnote>
  <w:footnote w:id="3991">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والعناية وفتح القدير، 3/343- وفي الأخير أصل المسألة فقط-؛ الوقاية وشرحها لصدر الشريعة، 1/176؛ الكنز وشروحه: تبيين الحقائق، 2/147؛ والبحر الرائق، 3/170؛ وكشف الحقائق، 1/176؛ الدرر شرح الغرر، 1/344؛ الدر المختار ورد المحتار عليه، 4/262-263.</w:t>
      </w:r>
    </w:p>
  </w:footnote>
  <w:footnote w:id="3992">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59/أ من(جـ).</w:t>
      </w:r>
    </w:p>
  </w:footnote>
  <w:footnote w:id="3993">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الجارية</w:t>
      </w:r>
      <w:r>
        <w:rPr>
          <w:rFonts w:hint="eastAsia"/>
          <w:spacing w:val="-8"/>
          <w:rtl/>
        </w:rPr>
        <w:t>»</w:t>
      </w:r>
      <w:r>
        <w:rPr>
          <w:rFonts w:hint="cs"/>
          <w:spacing w:val="-8"/>
          <w:rtl/>
        </w:rPr>
        <w:t xml:space="preserve"> : مكرّرة في (د).</w:t>
      </w:r>
    </w:p>
  </w:footnote>
  <w:footnote w:id="3994">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48/ب من (د).</w:t>
      </w:r>
    </w:p>
  </w:footnote>
  <w:footnote w:id="3995">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3/343- مع اختلاف يسير-؛ وانظر: الكفاية، 3/226.</w:t>
      </w:r>
    </w:p>
  </w:footnote>
  <w:footnote w:id="3996">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وهبت كل مهرها لزوجها بعد قبضه منه.</w:t>
      </w:r>
    </w:p>
  </w:footnote>
  <w:footnote w:id="3997">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زيادة: </w:t>
      </w:r>
      <w:r>
        <w:rPr>
          <w:rFonts w:hint="eastAsia"/>
          <w:spacing w:val="-8"/>
          <w:rtl/>
        </w:rPr>
        <w:t>«</w:t>
      </w:r>
      <w:r>
        <w:rPr>
          <w:rFonts w:hint="cs"/>
          <w:spacing w:val="-8"/>
          <w:rtl/>
        </w:rPr>
        <w:t>لا</w:t>
      </w:r>
      <w:r>
        <w:rPr>
          <w:rFonts w:hint="eastAsia"/>
          <w:spacing w:val="-8"/>
          <w:rtl/>
        </w:rPr>
        <w:t>»</w:t>
      </w:r>
      <w:r>
        <w:rPr>
          <w:rFonts w:hint="cs"/>
          <w:spacing w:val="-8"/>
          <w:rtl/>
        </w:rPr>
        <w:t xml:space="preserve">، وفي(هـ) زيادة </w:t>
      </w:r>
      <w:r>
        <w:rPr>
          <w:rFonts w:hint="eastAsia"/>
          <w:spacing w:val="-8"/>
          <w:rtl/>
        </w:rPr>
        <w:t>«</w:t>
      </w:r>
      <w:r>
        <w:rPr>
          <w:rFonts w:hint="cs"/>
          <w:spacing w:val="-8"/>
          <w:rtl/>
        </w:rPr>
        <w:t>لم</w:t>
      </w:r>
      <w:r>
        <w:rPr>
          <w:rFonts w:hint="eastAsia"/>
          <w:spacing w:val="-8"/>
          <w:rtl/>
        </w:rPr>
        <w:t>»</w:t>
      </w:r>
      <w:r>
        <w:rPr>
          <w:rFonts w:hint="cs"/>
          <w:spacing w:val="-8"/>
          <w:rtl/>
        </w:rPr>
        <w:t>. ولا مسوغ للنفي هنا.</w:t>
      </w:r>
    </w:p>
  </w:footnote>
  <w:footnote w:id="3998">
    <w:p w:rsidR="00035BE3" w:rsidRDefault="00035BE3" w:rsidP="00C10469">
      <w:pPr>
        <w:pStyle w:val="a8"/>
        <w:bidi/>
        <w:spacing w:line="460" w:lineRule="exact"/>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هكذا في جميع النسخ. وظاهرها أن (نصف) مضافة إلى الآخر، إلاّ أن السياق يتعارض مع هذا؛ إذ إنه </w:t>
      </w:r>
      <w:r w:rsidRPr="008217BD">
        <w:rPr>
          <w:rFonts w:hint="cs"/>
          <w:spacing w:val="-4"/>
          <w:rtl/>
        </w:rPr>
        <w:t>يوجب قطع الإضافة، فيكون المعنى: فالواجب عليه دفع نصفٍٍ، وهذا النصف هو النصف الآخر من المهر.</w:t>
      </w:r>
    </w:p>
    <w:p w:rsidR="00035BE3" w:rsidRDefault="00035BE3" w:rsidP="00C10469">
      <w:pPr>
        <w:pStyle w:val="a6"/>
        <w:spacing w:line="460" w:lineRule="exact"/>
        <w:ind w:left="422" w:firstLine="0"/>
        <w:rPr>
          <w:rtl/>
        </w:rPr>
      </w:pPr>
      <w:r>
        <w:rPr>
          <w:rFonts w:hint="cs"/>
          <w:rtl/>
        </w:rPr>
        <w:t xml:space="preserve">ولبيان ذلك: فإن العبارة التي وردت فيها هذه الكلمة مكونة من شقين: </w:t>
      </w:r>
    </w:p>
    <w:p w:rsidR="00035BE3" w:rsidRDefault="00035BE3" w:rsidP="00C10469">
      <w:pPr>
        <w:pStyle w:val="a6"/>
        <w:spacing w:line="460" w:lineRule="exact"/>
        <w:ind w:left="422" w:firstLine="0"/>
        <w:rPr>
          <w:spacing w:val="-8"/>
          <w:rtl/>
        </w:rPr>
      </w:pPr>
      <w:r>
        <w:rPr>
          <w:rFonts w:hint="cs"/>
          <w:b/>
          <w:bCs/>
          <w:rtl/>
        </w:rPr>
        <w:t>الأول</w:t>
      </w:r>
      <w:r>
        <w:rPr>
          <w:rFonts w:hint="cs"/>
          <w:rtl/>
        </w:rPr>
        <w:t xml:space="preserve">: </w:t>
      </w:r>
      <w:r>
        <w:rPr>
          <w:rFonts w:hint="eastAsia"/>
          <w:spacing w:val="-8"/>
          <w:rtl/>
        </w:rPr>
        <w:t>«</w:t>
      </w:r>
      <w:r>
        <w:rPr>
          <w:rFonts w:hint="cs"/>
          <w:spacing w:val="-8"/>
          <w:rtl/>
        </w:rPr>
        <w:t>لأنه يستحق به نصف المهر</w:t>
      </w:r>
      <w:r>
        <w:rPr>
          <w:rFonts w:hint="eastAsia"/>
          <w:spacing w:val="-8"/>
          <w:rtl/>
        </w:rPr>
        <w:t>»</w:t>
      </w:r>
      <w:r>
        <w:rPr>
          <w:rFonts w:hint="cs"/>
          <w:spacing w:val="-8"/>
          <w:rtl/>
        </w:rPr>
        <w:t>.</w:t>
      </w:r>
    </w:p>
    <w:p w:rsidR="00035BE3" w:rsidRDefault="00035BE3" w:rsidP="00C10469">
      <w:pPr>
        <w:pStyle w:val="a6"/>
        <w:spacing w:line="460" w:lineRule="exact"/>
        <w:ind w:left="422" w:firstLine="0"/>
        <w:rPr>
          <w:spacing w:val="-4"/>
          <w:rtl/>
        </w:rPr>
      </w:pPr>
      <w:r>
        <w:rPr>
          <w:rFonts w:hint="cs"/>
          <w:spacing w:val="-4"/>
          <w:rtl/>
        </w:rPr>
        <w:t>أي : يستحق بالطلاق قبل الدخول نصف المهر. وهو قد دفع المهر كاملاً؛ فيستحق من هذا المهر نصفه.</w:t>
      </w:r>
    </w:p>
    <w:p w:rsidR="00035BE3" w:rsidRDefault="00035BE3" w:rsidP="00C10469">
      <w:pPr>
        <w:pStyle w:val="a6"/>
        <w:spacing w:line="460" w:lineRule="exact"/>
        <w:ind w:left="422" w:firstLine="0"/>
        <w:rPr>
          <w:spacing w:val="-8"/>
          <w:rtl/>
        </w:rPr>
      </w:pPr>
      <w:r>
        <w:rPr>
          <w:rFonts w:hint="cs"/>
          <w:b/>
          <w:bCs/>
          <w:rtl/>
        </w:rPr>
        <w:t>الثاني</w:t>
      </w:r>
      <w:r>
        <w:rPr>
          <w:rFonts w:hint="cs"/>
          <w:rtl/>
        </w:rPr>
        <w:t xml:space="preserve">: </w:t>
      </w:r>
      <w:r>
        <w:rPr>
          <w:rFonts w:hint="eastAsia"/>
          <w:spacing w:val="-8"/>
          <w:rtl/>
        </w:rPr>
        <w:t>«</w:t>
      </w:r>
      <w:r>
        <w:rPr>
          <w:rFonts w:hint="cs"/>
          <w:spacing w:val="-8"/>
          <w:rtl/>
        </w:rPr>
        <w:t>فالواجب عليه دفع نصف الآخر</w:t>
      </w:r>
      <w:r>
        <w:rPr>
          <w:rFonts w:hint="eastAsia"/>
          <w:spacing w:val="-8"/>
          <w:rtl/>
        </w:rPr>
        <w:t>»</w:t>
      </w:r>
      <w:r>
        <w:rPr>
          <w:rFonts w:hint="cs"/>
          <w:spacing w:val="-8"/>
          <w:rtl/>
        </w:rPr>
        <w:t>.</w:t>
      </w:r>
    </w:p>
    <w:p w:rsidR="00035BE3" w:rsidRDefault="00035BE3" w:rsidP="00C10469">
      <w:pPr>
        <w:pStyle w:val="a6"/>
        <w:spacing w:line="460" w:lineRule="exact"/>
        <w:ind w:left="422" w:firstLine="0"/>
        <w:rPr>
          <w:rtl/>
        </w:rPr>
      </w:pPr>
      <w:r>
        <w:rPr>
          <w:rFonts w:hint="cs"/>
          <w:rtl/>
        </w:rPr>
        <w:t xml:space="preserve"> والمقصود بالآخر هنا: هو نصف المهر الآخر الذي هو حقّ للزوجة.</w:t>
      </w:r>
    </w:p>
    <w:p w:rsidR="00035BE3" w:rsidRDefault="00035BE3" w:rsidP="00C10469">
      <w:pPr>
        <w:pStyle w:val="a6"/>
        <w:spacing w:line="460" w:lineRule="exact"/>
        <w:ind w:left="422" w:firstLine="0"/>
        <w:rPr>
          <w:rtl/>
        </w:rPr>
      </w:pPr>
      <w:r>
        <w:rPr>
          <w:rFonts w:hint="cs"/>
          <w:rtl/>
        </w:rPr>
        <w:t xml:space="preserve">ولو صحت إضافة (نصف) إلى (نصف المهر الآخر) لصار المعنى: أن الواجب عليه دفع ربع المهر؛ لأن نصفَ نصفِ الشيء يساوي ربعه! فتعيّن قطع إضافة (نصف) إلى (الآخر) بزيادة هاء الضمير على نصف، أو (أل) التعريف، أو كلمة (المهر) بين (نصف) و (الآخر)،  أو على أقل تقدير تنوين (نصف)، حتى لا يفهم أنها مضافة إلى ما بعدها -والله أعلم-. </w:t>
      </w:r>
    </w:p>
  </w:footnote>
  <w:footnote w:id="399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ص698(ل52/أ)، قاعدة 124. ونص القاعدة: </w:t>
      </w:r>
      <w:r>
        <w:rPr>
          <w:rFonts w:hint="eastAsia"/>
          <w:spacing w:val="-8"/>
          <w:rtl/>
        </w:rPr>
        <w:t>«</w:t>
      </w:r>
      <w:r>
        <w:rPr>
          <w:rFonts w:hint="cs"/>
          <w:spacing w:val="-8"/>
          <w:rtl/>
        </w:rPr>
        <w:t>دفع ما ليس بواجب عليه يسترده</w:t>
      </w:r>
      <w:r>
        <w:rPr>
          <w:rFonts w:hint="eastAsia"/>
          <w:spacing w:val="-8"/>
          <w:rtl/>
        </w:rPr>
        <w:t>»</w:t>
      </w:r>
      <w:r>
        <w:rPr>
          <w:rFonts w:hint="cs"/>
          <w:spacing w:val="-8"/>
          <w:rtl/>
        </w:rPr>
        <w:t>.</w:t>
      </w:r>
    </w:p>
  </w:footnote>
  <w:footnote w:id="40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w:t>
      </w:r>
      <w:r>
        <w:rPr>
          <w:rFonts w:hint="eastAsia"/>
          <w:rtl/>
        </w:rPr>
        <w:t>«</w:t>
      </w:r>
      <w:r>
        <w:rPr>
          <w:rFonts w:hint="cs"/>
          <w:rtl/>
        </w:rPr>
        <w:t>وهبها</w:t>
      </w:r>
      <w:r>
        <w:rPr>
          <w:rFonts w:hint="eastAsia"/>
          <w:rtl/>
        </w:rPr>
        <w:t>»</w:t>
      </w:r>
      <w:r>
        <w:rPr>
          <w:rFonts w:hint="cs"/>
          <w:rtl/>
        </w:rPr>
        <w:t>. والصحيح ما تمّ إثباته من (ب) و(د)؛ لأن الاسم الموصول (ما) يعود إلى المهر الذي قبضته الزوجة من الزوج، ثم وهبته هي إليه، لا هو إليها.</w:t>
      </w:r>
    </w:p>
  </w:footnote>
  <w:footnote w:id="40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يتعين</w:t>
      </w:r>
      <w:r>
        <w:rPr>
          <w:rFonts w:hint="eastAsia"/>
          <w:rtl/>
        </w:rPr>
        <w:t>»</w:t>
      </w:r>
      <w:r>
        <w:rPr>
          <w:rFonts w:hint="cs"/>
          <w:rtl/>
        </w:rPr>
        <w:t>. والصحيح ما تمّ إثباته من (د) و(هـ) و(و)، وهو الموافق لأكثر المراجع الآتي ذكرها عند توثيق هذه المسألة.</w:t>
      </w:r>
    </w:p>
  </w:footnote>
  <w:footnote w:id="4002">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w:t>
      </w:r>
      <w:r>
        <w:rPr>
          <w:rFonts w:hint="eastAsia"/>
          <w:rtl/>
        </w:rPr>
        <w:t>«</w:t>
      </w:r>
      <w:r>
        <w:rPr>
          <w:rFonts w:hint="cs"/>
          <w:rtl/>
        </w:rPr>
        <w:t>و النسوح</w:t>
      </w:r>
      <w:r>
        <w:rPr>
          <w:rFonts w:hint="eastAsia"/>
          <w:rtl/>
        </w:rPr>
        <w:t>»</w:t>
      </w:r>
      <w:r>
        <w:rPr>
          <w:rFonts w:hint="cs"/>
          <w:rtl/>
        </w:rPr>
        <w:t xml:space="preserve">، وفي (ب) و(د): </w:t>
      </w:r>
      <w:r>
        <w:rPr>
          <w:rFonts w:hint="eastAsia"/>
          <w:rtl/>
        </w:rPr>
        <w:t>«</w:t>
      </w:r>
      <w:r>
        <w:rPr>
          <w:rFonts w:hint="cs"/>
          <w:rtl/>
        </w:rPr>
        <w:t>والنسوخ</w:t>
      </w:r>
      <w:r>
        <w:rPr>
          <w:rFonts w:hint="eastAsia"/>
          <w:rtl/>
        </w:rPr>
        <w:t>»</w:t>
      </w:r>
      <w:r>
        <w:rPr>
          <w:rFonts w:hint="cs"/>
          <w:rtl/>
        </w:rPr>
        <w:t xml:space="preserve">، وفي (جـ): </w:t>
      </w:r>
      <w:r>
        <w:rPr>
          <w:rFonts w:hint="eastAsia"/>
          <w:rtl/>
        </w:rPr>
        <w:t>«</w:t>
      </w:r>
      <w:r>
        <w:rPr>
          <w:rFonts w:hint="cs"/>
          <w:rtl/>
        </w:rPr>
        <w:t>والفسوح</w:t>
      </w:r>
      <w:r>
        <w:rPr>
          <w:rFonts w:hint="eastAsia"/>
          <w:rtl/>
        </w:rPr>
        <w:t>»</w:t>
      </w:r>
      <w:r>
        <w:rPr>
          <w:rFonts w:hint="cs"/>
          <w:rtl/>
        </w:rPr>
        <w:t xml:space="preserve">، وفي (هـ) و(و): </w:t>
      </w:r>
      <w:r>
        <w:rPr>
          <w:rFonts w:hint="eastAsia"/>
          <w:rtl/>
        </w:rPr>
        <w:t>«</w:t>
      </w:r>
      <w:r>
        <w:rPr>
          <w:rFonts w:hint="cs"/>
          <w:rtl/>
        </w:rPr>
        <w:t>والفسوخ</w:t>
      </w:r>
      <w:r>
        <w:rPr>
          <w:rFonts w:hint="eastAsia"/>
          <w:rtl/>
        </w:rPr>
        <w:t>»</w:t>
      </w:r>
      <w:r>
        <w:rPr>
          <w:rFonts w:hint="cs"/>
          <w:rtl/>
        </w:rPr>
        <w:t xml:space="preserve">.والصحيح من هذه الألفاظ اللفظ الأخير. ومع اختلاف النسخ في هذا اللفظ إلا أنها متفقة على إسقاط كلمتي: </w:t>
      </w:r>
      <w:r>
        <w:rPr>
          <w:rFonts w:hint="eastAsia"/>
          <w:rtl/>
        </w:rPr>
        <w:t>«</w:t>
      </w:r>
      <w:r>
        <w:rPr>
          <w:rFonts w:hint="cs"/>
          <w:rtl/>
        </w:rPr>
        <w:t>في العقود</w:t>
      </w:r>
      <w:r>
        <w:rPr>
          <w:rFonts w:hint="eastAsia"/>
          <w:rtl/>
        </w:rPr>
        <w:t>»</w:t>
      </w:r>
      <w:r>
        <w:rPr>
          <w:rFonts w:hint="cs"/>
          <w:rtl/>
        </w:rPr>
        <w:t xml:space="preserve">.والصحيح إثباتهما، وفاقًا لجميع المراجع الأتي ذكرها -والتي ذكرت فيها هذه العبارة-؛ لأنه لا يستقيم المعنى بحذفهما وعطف (الفسوخ) على (بالتعيين). </w:t>
      </w:r>
    </w:p>
  </w:footnote>
  <w:footnote w:id="4003">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والأفصح: (فكانت). </w:t>
      </w:r>
    </w:p>
  </w:footnote>
  <w:footnote w:id="4004">
    <w:p w:rsidR="00035BE3" w:rsidRDefault="00035BE3" w:rsidP="00C10469">
      <w:pPr>
        <w:pStyle w:val="a8"/>
        <w:bidi/>
        <w:spacing w:line="42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هذه المسألة في : الهداية والعناية، 3/342-343؛ الكفاية، 3/225- 226؛ الوقاية وشرحها لصدر الشريعة الأصغر، 1/176؛ كنز الدقائق وشروحه: تبيين الحقائق، 2/146- 147؛ والبحر الرائق، 3/169؛ وكشف الحقائق، 1/176؛ الدّرر شرح الغرر،1/344؛ الدر المختار ورد المحتار عليه، 4/262.</w:t>
      </w:r>
    </w:p>
  </w:footnote>
  <w:footnote w:id="40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51/أ من (ب).</w:t>
      </w:r>
    </w:p>
  </w:footnote>
  <w:footnote w:id="40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(بتأنيث الفعل). </w:t>
      </w:r>
      <w:r>
        <w:rPr>
          <w:rFonts w:hint="cs"/>
          <w:b/>
          <w:bCs/>
          <w:rtl/>
        </w:rPr>
        <w:t>والمعنى</w:t>
      </w:r>
      <w:r>
        <w:rPr>
          <w:rFonts w:hint="cs"/>
          <w:rtl/>
        </w:rPr>
        <w:t xml:space="preserve">: ...تنزّل الأسباب المختلفة منزلة... </w:t>
      </w:r>
    </w:p>
    <w:p w:rsidR="00035BE3" w:rsidRDefault="00035BE3" w:rsidP="00C10469">
      <w:pPr>
        <w:pStyle w:val="a6"/>
        <w:spacing w:line="420" w:lineRule="exact"/>
        <w:ind w:left="422" w:firstLine="0"/>
        <w:rPr>
          <w:rtl/>
        </w:rPr>
      </w:pPr>
      <w:r>
        <w:rPr>
          <w:rFonts w:hint="cs"/>
          <w:rtl/>
        </w:rPr>
        <w:t xml:space="preserve">وقد جاء في مصدر هذه العبارة (وهو الكفاية): </w:t>
      </w:r>
      <w:r>
        <w:rPr>
          <w:rFonts w:hint="eastAsia"/>
          <w:rtl/>
        </w:rPr>
        <w:t>«</w:t>
      </w:r>
      <w:r>
        <w:rPr>
          <w:rFonts w:hint="cs"/>
          <w:rtl/>
        </w:rPr>
        <w:t>ينزّل</w:t>
      </w:r>
      <w:r>
        <w:rPr>
          <w:rFonts w:hint="eastAsia"/>
          <w:rtl/>
        </w:rPr>
        <w:t>»</w:t>
      </w:r>
      <w:r>
        <w:rPr>
          <w:rFonts w:hint="cs"/>
          <w:rtl/>
        </w:rPr>
        <w:t xml:space="preserve"> (بالتذكير).والمعنى فيها واضح؛ إذ نائب الفاعل ضمير مستتر يعود إلى (اختلاف الأسباب) و(اختلاف) لفظ مذكر فناسب أن يكون الفعل مذكرًا أيضًا تبعًا له.</w:t>
      </w:r>
    </w:p>
  </w:footnote>
  <w:footnote w:id="40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لا يُقال في الفروع الثلاثة السابقة: إن اختلاف الأسباب ينزل منزلة اختلاف الأعيان، كما قيل ذلك في قصة بريرة -رضي الله عنها-.</w:t>
      </w:r>
    </w:p>
  </w:footnote>
  <w:footnote w:id="40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80/أ من (أ).</w:t>
      </w:r>
    </w:p>
  </w:footnote>
  <w:footnote w:id="40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سبق تخريجه، ص477.</w:t>
      </w:r>
    </w:p>
  </w:footnote>
  <w:footnote w:id="4010">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المقصود بالأصليين هما: الأصل الذي هو مدار الحديث هنا، وهو : </w:t>
      </w:r>
      <w:r>
        <w:rPr>
          <w:rFonts w:hint="eastAsia"/>
          <w:spacing w:val="-8"/>
          <w:rtl/>
        </w:rPr>
        <w:t>«</w:t>
      </w:r>
      <w:r>
        <w:rPr>
          <w:rFonts w:hint="cs"/>
          <w:spacing w:val="-8"/>
          <w:rtl/>
        </w:rPr>
        <w:t>لا يبالى باختلاف الأسباب عند سلامة المقصود</w:t>
      </w:r>
      <w:r>
        <w:rPr>
          <w:rFonts w:hint="eastAsia"/>
          <w:spacing w:val="-8"/>
          <w:rtl/>
        </w:rPr>
        <w:t>»</w:t>
      </w:r>
      <w:r>
        <w:rPr>
          <w:rFonts w:hint="cs"/>
          <w:spacing w:val="-8"/>
          <w:rtl/>
        </w:rPr>
        <w:t xml:space="preserve">، والأصل الذي ورد ضمنًا في بداية هذه العبارة، وهو : </w:t>
      </w:r>
      <w:r>
        <w:rPr>
          <w:rFonts w:hint="eastAsia"/>
          <w:spacing w:val="-8"/>
          <w:rtl/>
        </w:rPr>
        <w:t>«</w:t>
      </w:r>
      <w:r>
        <w:rPr>
          <w:rFonts w:hint="cs"/>
          <w:spacing w:val="-8"/>
          <w:rtl/>
        </w:rPr>
        <w:t>اختلاف الأسباب بمنزلة اختلاف الأعيان</w:t>
      </w:r>
      <w:r>
        <w:rPr>
          <w:rFonts w:hint="eastAsia"/>
          <w:spacing w:val="-8"/>
          <w:rtl/>
        </w:rPr>
        <w:t>»</w:t>
      </w:r>
      <w:r>
        <w:rPr>
          <w:rFonts w:hint="cs"/>
          <w:spacing w:val="-8"/>
          <w:rtl/>
        </w:rPr>
        <w:t>.وقد سبق أن أفرده المؤلف بالحديث، ص264 (ل5/ب)، قاعدة 8.</w:t>
      </w:r>
    </w:p>
  </w:footnote>
  <w:footnote w:id="4011">
    <w:p w:rsidR="00035BE3" w:rsidRDefault="00035BE3" w:rsidP="00C10469">
      <w:pPr>
        <w:pStyle w:val="a8"/>
        <w:bidi/>
        <w:spacing w:line="221" w:lineRule="auto"/>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034F4C">
        <w:rPr>
          <w:rFonts w:hint="cs"/>
          <w:spacing w:val="-2"/>
          <w:rtl/>
        </w:rPr>
        <w:t>نائب الفاعل هنا: ضمير مستتر يعود على اختلاف الأسباب. أي لا ينزل اختلاف الأسباب منزلة</w:t>
      </w:r>
      <w:r w:rsidRPr="007C27A1">
        <w:rPr>
          <w:rFonts w:hint="cs"/>
          <w:rtl/>
        </w:rPr>
        <w:t xml:space="preserve"> اختلاف الأعيان.</w:t>
      </w:r>
    </w:p>
  </w:footnote>
  <w:footnote w:id="4012">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سبق توضيح هذا القيد، ص479، هامش3.</w:t>
      </w:r>
    </w:p>
  </w:footnote>
  <w:footnote w:id="401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spacing w:val="-8"/>
          <w:rtl/>
        </w:rPr>
        <w:t>«</w:t>
      </w:r>
      <w:r>
        <w:rPr>
          <w:rFonts w:hint="cs"/>
          <w:spacing w:val="-8"/>
          <w:rtl/>
        </w:rPr>
        <w:t>أي المشتري</w:t>
      </w:r>
      <w:r>
        <w:rPr>
          <w:rFonts w:hint="eastAsia"/>
          <w:spacing w:val="-8"/>
          <w:rtl/>
        </w:rPr>
        <w:t>»</w:t>
      </w:r>
      <w:r>
        <w:rPr>
          <w:rFonts w:hint="cs"/>
          <w:spacing w:val="-8"/>
          <w:rtl/>
        </w:rPr>
        <w:t>.</w:t>
      </w:r>
    </w:p>
  </w:footnote>
  <w:footnote w:id="4014">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رواه</w:t>
      </w:r>
      <w:r>
        <w:rPr>
          <w:rFonts w:hint="eastAsia"/>
          <w:spacing w:val="-8"/>
          <w:rtl/>
        </w:rPr>
        <w:t>»</w:t>
      </w:r>
      <w:r>
        <w:rPr>
          <w:rFonts w:hint="cs"/>
          <w:spacing w:val="-8"/>
          <w:rtl/>
        </w:rPr>
        <w:t>.</w:t>
      </w:r>
    </w:p>
  </w:footnote>
  <w:footnote w:id="4015">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على القاعدة التي هي مدار الحديث هنا، وهي : </w:t>
      </w:r>
      <w:r>
        <w:rPr>
          <w:rFonts w:hint="eastAsia"/>
          <w:spacing w:val="-8"/>
          <w:rtl/>
        </w:rPr>
        <w:t>«</w:t>
      </w:r>
      <w:r>
        <w:rPr>
          <w:rFonts w:hint="cs"/>
          <w:spacing w:val="-8"/>
          <w:rtl/>
        </w:rPr>
        <w:t>لا يبالى باختلاف ...</w:t>
      </w:r>
      <w:r>
        <w:rPr>
          <w:rFonts w:hint="eastAsia"/>
          <w:spacing w:val="-8"/>
          <w:rtl/>
        </w:rPr>
        <w:t>»</w:t>
      </w:r>
      <w:r>
        <w:rPr>
          <w:rFonts w:hint="cs"/>
          <w:spacing w:val="-8"/>
          <w:rtl/>
        </w:rPr>
        <w:t>.</w:t>
      </w:r>
    </w:p>
  </w:footnote>
  <w:footnote w:id="4016">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ماذا </w:t>
      </w:r>
      <w:r>
        <w:rPr>
          <w:rFonts w:hint="eastAsia"/>
          <w:spacing w:val="-8"/>
          <w:rtl/>
        </w:rPr>
        <w:t>»</w:t>
      </w:r>
      <w:r>
        <w:rPr>
          <w:rFonts w:hint="cs"/>
          <w:spacing w:val="-8"/>
          <w:rtl/>
        </w:rPr>
        <w:t>.</w:t>
      </w:r>
    </w:p>
  </w:footnote>
  <w:footnote w:id="4017">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spacing w:val="-8"/>
          <w:rtl/>
        </w:rPr>
        <w:t>«</w:t>
      </w:r>
      <w:r>
        <w:rPr>
          <w:rFonts w:hint="cs"/>
          <w:spacing w:val="-8"/>
          <w:rtl/>
        </w:rPr>
        <w:t xml:space="preserve"> زوجها </w:t>
      </w:r>
      <w:r>
        <w:rPr>
          <w:rFonts w:hint="eastAsia"/>
          <w:spacing w:val="-8"/>
          <w:rtl/>
        </w:rPr>
        <w:t>»</w:t>
      </w:r>
      <w:r>
        <w:rPr>
          <w:rFonts w:hint="cs"/>
          <w:spacing w:val="-8"/>
          <w:rtl/>
        </w:rPr>
        <w:t>.</w:t>
      </w:r>
    </w:p>
  </w:footnote>
  <w:footnote w:id="401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أن المولى يرى أن سبب انتقالها للآخر هو كونه زوَّجها للآخر، لا كونه باعها عليه.</w:t>
      </w:r>
    </w:p>
  </w:footnote>
  <w:footnote w:id="4019">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w:t>
      </w:r>
      <w:r>
        <w:rPr>
          <w:rFonts w:hint="eastAsia"/>
          <w:spacing w:val="-8"/>
          <w:rtl/>
        </w:rPr>
        <w:t>«</w:t>
      </w:r>
      <w:r>
        <w:rPr>
          <w:rFonts w:hint="cs"/>
          <w:spacing w:val="-8"/>
          <w:rtl/>
        </w:rPr>
        <w:t>تحل</w:t>
      </w:r>
      <w:r>
        <w:rPr>
          <w:rFonts w:hint="eastAsia"/>
          <w:spacing w:val="-8"/>
          <w:rtl/>
        </w:rPr>
        <w:t>»</w:t>
      </w:r>
      <w:r>
        <w:rPr>
          <w:rFonts w:hint="cs"/>
          <w:spacing w:val="-8"/>
          <w:rtl/>
        </w:rPr>
        <w:t>. والمناسب ما تمّ إثباته من (ب). علمًا بأن الحرف الأول من الفعل رسم في (د): بالتاء والياء معًا.</w:t>
      </w:r>
      <w:r>
        <w:rPr>
          <w:rFonts w:hint="cs"/>
          <w:rtl/>
        </w:rPr>
        <w:t xml:space="preserve"> </w:t>
      </w:r>
    </w:p>
  </w:footnote>
  <w:footnote w:id="4020">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59/ب من (جـ).</w:t>
      </w:r>
    </w:p>
  </w:footnote>
  <w:footnote w:id="402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التزوج</w:t>
      </w:r>
      <w:r>
        <w:rPr>
          <w:rFonts w:hint="eastAsia"/>
          <w:spacing w:val="-8"/>
          <w:rtl/>
        </w:rPr>
        <w:t>»</w:t>
      </w:r>
      <w:r>
        <w:rPr>
          <w:rFonts w:hint="cs"/>
          <w:spacing w:val="-8"/>
          <w:rtl/>
        </w:rPr>
        <w:t>.</w:t>
      </w:r>
    </w:p>
  </w:footnote>
  <w:footnote w:id="40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كما</w:t>
      </w:r>
      <w:r>
        <w:rPr>
          <w:rFonts w:hint="eastAsia"/>
          <w:spacing w:val="-8"/>
          <w:rtl/>
        </w:rPr>
        <w:t>»</w:t>
      </w:r>
      <w:r>
        <w:rPr>
          <w:rFonts w:hint="cs"/>
          <w:spacing w:val="-8"/>
          <w:rtl/>
        </w:rPr>
        <w:t>.</w:t>
      </w:r>
    </w:p>
  </w:footnote>
  <w:footnote w:id="40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الحلم</w:t>
      </w:r>
      <w:r>
        <w:rPr>
          <w:rFonts w:hint="eastAsia"/>
          <w:spacing w:val="-8"/>
          <w:rtl/>
        </w:rPr>
        <w:t>»</w:t>
      </w:r>
      <w:r>
        <w:rPr>
          <w:rFonts w:hint="cs"/>
          <w:spacing w:val="-8"/>
          <w:rtl/>
        </w:rPr>
        <w:t>.</w:t>
      </w:r>
    </w:p>
  </w:footnote>
  <w:footnote w:id="40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(الكفاية) : </w:t>
      </w:r>
      <w:r>
        <w:rPr>
          <w:rFonts w:hint="eastAsia"/>
          <w:spacing w:val="-8"/>
          <w:rtl/>
        </w:rPr>
        <w:t>«</w:t>
      </w:r>
      <w:r>
        <w:rPr>
          <w:rFonts w:hint="cs"/>
          <w:spacing w:val="-8"/>
          <w:rtl/>
        </w:rPr>
        <w:t>ولو</w:t>
      </w:r>
      <w:r>
        <w:rPr>
          <w:rFonts w:hint="eastAsia"/>
          <w:spacing w:val="-8"/>
          <w:rtl/>
        </w:rPr>
        <w:t>»</w:t>
      </w:r>
      <w:r>
        <w:rPr>
          <w:rFonts w:hint="cs"/>
          <w:spacing w:val="-8"/>
          <w:rtl/>
        </w:rPr>
        <w:t>. وهذا الأولى.</w:t>
      </w:r>
    </w:p>
  </w:footnote>
  <w:footnote w:id="40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spacing w:val="-8"/>
          <w:rtl/>
        </w:rPr>
        <w:t>«</w:t>
      </w:r>
      <w:r>
        <w:rPr>
          <w:rFonts w:hint="cs"/>
          <w:spacing w:val="-8"/>
          <w:rtl/>
        </w:rPr>
        <w:t>والبيع لا يثبته ... مقصودًا</w:t>
      </w:r>
      <w:r>
        <w:rPr>
          <w:rFonts w:hint="eastAsia"/>
          <w:spacing w:val="-8"/>
          <w:rtl/>
        </w:rPr>
        <w:t>»</w:t>
      </w:r>
      <w:r>
        <w:rPr>
          <w:rFonts w:hint="cs"/>
          <w:spacing w:val="-8"/>
          <w:rtl/>
        </w:rPr>
        <w:t xml:space="preserve"> : ساقطة من (د).</w:t>
      </w:r>
    </w:p>
  </w:footnote>
  <w:footnote w:id="40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80/ب من (أ).</w:t>
      </w:r>
    </w:p>
  </w:footnote>
  <w:footnote w:id="40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spacing w:val="-8"/>
          <w:rtl/>
        </w:rPr>
        <w:t>«</w:t>
      </w:r>
      <w:r>
        <w:rPr>
          <w:rFonts w:hint="cs"/>
          <w:spacing w:val="-8"/>
          <w:rtl/>
        </w:rPr>
        <w:t>كما</w:t>
      </w:r>
      <w:r>
        <w:rPr>
          <w:rFonts w:hint="eastAsia"/>
          <w:spacing w:val="-8"/>
          <w:rtl/>
        </w:rPr>
        <w:t>»</w:t>
      </w:r>
      <w:r>
        <w:rPr>
          <w:rFonts w:hint="cs"/>
          <w:spacing w:val="-8"/>
          <w:rtl/>
        </w:rPr>
        <w:t>.</w:t>
      </w:r>
    </w:p>
  </w:footnote>
  <w:footnote w:id="40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المقصود من قوله : </w:t>
      </w:r>
      <w:r>
        <w:rPr>
          <w:rFonts w:hint="eastAsia"/>
          <w:spacing w:val="-8"/>
          <w:rtl/>
        </w:rPr>
        <w:t>«</w:t>
      </w:r>
      <w:r>
        <w:rPr>
          <w:rFonts w:hint="cs"/>
          <w:spacing w:val="-8"/>
          <w:rtl/>
        </w:rPr>
        <w:t>ما نحن بصدده</w:t>
      </w:r>
      <w:r>
        <w:rPr>
          <w:rFonts w:hint="eastAsia"/>
          <w:spacing w:val="-8"/>
          <w:rtl/>
        </w:rPr>
        <w:t>»</w:t>
      </w:r>
      <w:r>
        <w:rPr>
          <w:rFonts w:hint="cs"/>
          <w:spacing w:val="-8"/>
          <w:rtl/>
        </w:rPr>
        <w:t xml:space="preserve"> : هو القاعدة مثمثِّلةً بمثالٍ من أمثلتها، وهو المثال الأول.</w:t>
      </w:r>
    </w:p>
  </w:footnote>
  <w:footnote w:id="40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49/أ من (د).</w:t>
      </w:r>
    </w:p>
  </w:footnote>
  <w:footnote w:id="4030">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أي : من أول القاعدة إلى آخرها مستفاد من  (الكفاية)، 3/225-226، مع اختلاف في الصياغة والترتيب، إلا ما جاء بعد قوله </w:t>
      </w:r>
      <w:r>
        <w:rPr>
          <w:spacing w:val="8"/>
          <w:rtl/>
        </w:rPr>
        <w:t>–</w:t>
      </w:r>
      <w:r>
        <w:rPr>
          <w:rFonts w:hint="cs"/>
          <w:spacing w:val="8"/>
          <w:rtl/>
        </w:rPr>
        <w:t xml:space="preserve"> ص939-: </w:t>
      </w:r>
      <w:r>
        <w:rPr>
          <w:rFonts w:hint="eastAsia"/>
          <w:spacing w:val="8"/>
          <w:rtl/>
        </w:rPr>
        <w:t>«</w:t>
      </w:r>
      <w:r>
        <w:rPr>
          <w:rFonts w:hint="cs"/>
          <w:spacing w:val="8"/>
          <w:rtl/>
        </w:rPr>
        <w:t>لا يقال ...</w:t>
      </w:r>
      <w:r>
        <w:rPr>
          <w:rFonts w:hint="eastAsia"/>
          <w:spacing w:val="8"/>
          <w:rtl/>
        </w:rPr>
        <w:t>»</w:t>
      </w:r>
      <w:r>
        <w:rPr>
          <w:rFonts w:hint="cs"/>
          <w:spacing w:val="8"/>
          <w:rtl/>
        </w:rPr>
        <w:t xml:space="preserve"> إلى نهاية القاعدة، فهو يكاد يكون مطابقًالما في (الكفاية).</w:t>
      </w:r>
    </w:p>
    <w:p w:rsidR="00035BE3" w:rsidRDefault="00035BE3" w:rsidP="00C10469">
      <w:pPr>
        <w:pStyle w:val="a6"/>
        <w:ind w:left="422" w:firstLine="0"/>
        <w:rPr>
          <w:spacing w:val="-8"/>
          <w:rtl/>
        </w:rPr>
      </w:pPr>
      <w:r>
        <w:rPr>
          <w:rFonts w:hint="cs"/>
          <w:b/>
          <w:bCs/>
          <w:spacing w:val="-8"/>
          <w:rtl/>
        </w:rPr>
        <w:t>و(الكفاية)</w:t>
      </w:r>
      <w:r>
        <w:rPr>
          <w:rFonts w:hint="cs"/>
          <w:spacing w:val="-8"/>
          <w:rtl/>
        </w:rPr>
        <w:t xml:space="preserve"> : كتاب في الفقه الحنفي، شرح فيه مؤلفه كتاب (الهداية) للمرغيناني (ت593هـ).</w:t>
      </w:r>
    </w:p>
    <w:p w:rsidR="00035BE3" w:rsidRDefault="00035BE3" w:rsidP="00C10469">
      <w:pPr>
        <w:pStyle w:val="a6"/>
        <w:ind w:left="422" w:firstLine="0"/>
        <w:rPr>
          <w:rtl/>
        </w:rPr>
      </w:pPr>
      <w:r>
        <w:rPr>
          <w:rFonts w:hint="cs"/>
          <w:rtl/>
        </w:rPr>
        <w:t>أما مؤلف (الكفاية) فقد اختلف فيه العلماء على أقوال :</w:t>
      </w:r>
    </w:p>
    <w:p w:rsidR="00035BE3" w:rsidRDefault="00035BE3" w:rsidP="00C10469">
      <w:pPr>
        <w:pStyle w:val="a6"/>
        <w:ind w:left="422" w:firstLine="0"/>
        <w:rPr>
          <w:rtl/>
        </w:rPr>
      </w:pPr>
      <w:r>
        <w:rPr>
          <w:rFonts w:hint="cs"/>
          <w:b/>
          <w:bCs/>
          <w:rtl/>
        </w:rPr>
        <w:t>أولها</w:t>
      </w:r>
      <w:r>
        <w:rPr>
          <w:rFonts w:hint="cs"/>
          <w:rtl/>
        </w:rPr>
        <w:t>: هو جلال الدين بن شمس الدين الخوارزمي الكرلاني -ولم أجد من ذكر تاريخ وفاته إلا أنه تلميذ حسام الدين السغناقي (ت 711هـ)-.</w:t>
      </w:r>
    </w:p>
    <w:p w:rsidR="00035BE3" w:rsidRDefault="00035BE3" w:rsidP="00C10469">
      <w:pPr>
        <w:pStyle w:val="a6"/>
        <w:ind w:left="422" w:firstLine="0"/>
        <w:rPr>
          <w:rtl/>
        </w:rPr>
      </w:pPr>
      <w:r>
        <w:rPr>
          <w:rFonts w:hint="cs"/>
          <w:rtl/>
        </w:rPr>
        <w:t>(انظر: مفتاح السعادة، 2/240؛ كشف ظنون، 2/1499؛ الفوائد البهية، ص 58- 59-).</w:t>
      </w:r>
    </w:p>
    <w:p w:rsidR="00035BE3" w:rsidRDefault="00035BE3" w:rsidP="00C10469">
      <w:pPr>
        <w:pStyle w:val="a6"/>
        <w:ind w:left="422" w:firstLine="0"/>
        <w:rPr>
          <w:rtl/>
        </w:rPr>
      </w:pPr>
      <w:r>
        <w:rPr>
          <w:rFonts w:hint="cs"/>
          <w:b/>
          <w:bCs/>
          <w:rtl/>
        </w:rPr>
        <w:t>ثانيها</w:t>
      </w:r>
      <w:r>
        <w:rPr>
          <w:rFonts w:hint="cs"/>
          <w:rtl/>
        </w:rPr>
        <w:t>: هو علي بن عثمان أبو الحسن علاء الدين المارديني، المعروف بابن التركماني (ت 750هـ).</w:t>
      </w:r>
    </w:p>
    <w:p w:rsidR="00035BE3" w:rsidRDefault="00035BE3" w:rsidP="00C10469">
      <w:pPr>
        <w:pStyle w:val="a6"/>
        <w:spacing w:line="460" w:lineRule="exact"/>
        <w:ind w:left="422" w:firstLine="0"/>
        <w:rPr>
          <w:spacing w:val="10"/>
          <w:rtl/>
        </w:rPr>
      </w:pPr>
      <w:r w:rsidRPr="009121CD">
        <w:rPr>
          <w:rFonts w:hint="cs"/>
          <w:rtl/>
        </w:rPr>
        <w:t xml:space="preserve">(انظر: الجواهر المضية، 2/581- 582؛ تاج التراجم، ص 153- 154؛ كشف </w:t>
      </w:r>
      <w:r>
        <w:rPr>
          <w:rFonts w:hint="cs"/>
          <w:spacing w:val="10"/>
          <w:rtl/>
        </w:rPr>
        <w:t xml:space="preserve">الظنون، 2/1499، 2035؛ الفوائد البهية، ص 58- 59، 123؛ هدية العارفين، 1/720). </w:t>
      </w:r>
    </w:p>
    <w:p w:rsidR="00035BE3" w:rsidRDefault="00035BE3" w:rsidP="00C10469">
      <w:pPr>
        <w:pStyle w:val="a6"/>
        <w:spacing w:line="460" w:lineRule="exact"/>
        <w:ind w:left="422" w:firstLine="0"/>
        <w:rPr>
          <w:rtl/>
        </w:rPr>
      </w:pPr>
      <w:r>
        <w:rPr>
          <w:rFonts w:hint="cs"/>
          <w:b/>
          <w:bCs/>
          <w:rtl/>
        </w:rPr>
        <w:t>ثالثها</w:t>
      </w:r>
      <w:r>
        <w:rPr>
          <w:rFonts w:hint="cs"/>
          <w:rtl/>
        </w:rPr>
        <w:t>: هو تاج الشريعة عمر بن صدر الشريعة الأول عبيد الله المحبوبي الحنفي (ت 672هـ).</w:t>
      </w:r>
    </w:p>
    <w:p w:rsidR="00035BE3" w:rsidRDefault="00035BE3" w:rsidP="00C10469">
      <w:pPr>
        <w:pStyle w:val="a6"/>
        <w:spacing w:line="460" w:lineRule="exact"/>
        <w:ind w:left="422" w:firstLine="0"/>
        <w:rPr>
          <w:rtl/>
        </w:rPr>
      </w:pPr>
      <w:r>
        <w:rPr>
          <w:rFonts w:hint="cs"/>
          <w:rtl/>
        </w:rPr>
        <w:t>(انظر كشف الظنون، 2/2033؛ الفوائد البهية، ص 111).</w:t>
      </w:r>
    </w:p>
    <w:p w:rsidR="00035BE3" w:rsidRDefault="00035BE3" w:rsidP="00C10469">
      <w:pPr>
        <w:pStyle w:val="a6"/>
        <w:spacing w:line="460" w:lineRule="exact"/>
        <w:ind w:left="422" w:firstLine="0"/>
        <w:rPr>
          <w:rtl/>
        </w:rPr>
      </w:pPr>
      <w:r>
        <w:rPr>
          <w:rFonts w:hint="cs"/>
          <w:b/>
          <w:bCs/>
          <w:rtl/>
        </w:rPr>
        <w:t xml:space="preserve"> رابعها</w:t>
      </w:r>
      <w:r>
        <w:rPr>
          <w:rFonts w:hint="cs"/>
          <w:rtl/>
        </w:rPr>
        <w:t>: هو تاج الشريعة، محمود بن عبيد الله بن محمود المحبوبي.</w:t>
      </w:r>
    </w:p>
    <w:p w:rsidR="00035BE3" w:rsidRDefault="00035BE3" w:rsidP="00C10469">
      <w:pPr>
        <w:pStyle w:val="a6"/>
        <w:spacing w:line="460" w:lineRule="exact"/>
        <w:ind w:left="422" w:firstLine="0"/>
        <w:rPr>
          <w:rtl/>
        </w:rPr>
      </w:pPr>
      <w:r>
        <w:rPr>
          <w:rFonts w:hint="cs"/>
          <w:rtl/>
        </w:rPr>
        <w:t>(انظر: مفتاح السعادة، 2/240- 241؛ كشف الظنون، 2/2034؛ الفوائد البهية، ص 112).</w:t>
      </w:r>
    </w:p>
    <w:p w:rsidR="00035BE3" w:rsidRDefault="00035BE3" w:rsidP="00C10469">
      <w:pPr>
        <w:pStyle w:val="a6"/>
        <w:spacing w:line="460" w:lineRule="exact"/>
        <w:ind w:left="422" w:firstLine="0"/>
        <w:rPr>
          <w:rtl/>
        </w:rPr>
      </w:pPr>
      <w:r>
        <w:rPr>
          <w:rFonts w:hint="cs"/>
          <w:b/>
          <w:bCs/>
          <w:rtl/>
        </w:rPr>
        <w:t>والراجح</w:t>
      </w:r>
      <w:r>
        <w:rPr>
          <w:rFonts w:hint="cs"/>
          <w:rtl/>
        </w:rPr>
        <w:t>: أن (الكفاية) المشهورة -التي وردت في كلام المؤلف هنا وترد عند غيره كثيرًا-. هي للأول وهو جلال الدين الكرلاني.</w:t>
      </w:r>
    </w:p>
    <w:p w:rsidR="00035BE3" w:rsidRDefault="00035BE3" w:rsidP="00C10469">
      <w:pPr>
        <w:pStyle w:val="a6"/>
        <w:spacing w:line="460" w:lineRule="exact"/>
        <w:ind w:left="422" w:firstLine="0"/>
        <w:rPr>
          <w:rtl/>
        </w:rPr>
      </w:pPr>
      <w:r>
        <w:rPr>
          <w:rFonts w:hint="cs"/>
          <w:rtl/>
        </w:rPr>
        <w:t>أما (الكفاية) المنسوبة لابن التركماني : فهي مختصر للهداية وليست شرحًا لها - وقد صرحت بذلك الكتب الآنف ذكرها بعد القول الثاني-.</w:t>
      </w:r>
    </w:p>
    <w:p w:rsidR="00035BE3" w:rsidRDefault="00035BE3" w:rsidP="00C10469">
      <w:pPr>
        <w:pStyle w:val="a6"/>
        <w:spacing w:line="460" w:lineRule="exact"/>
        <w:ind w:left="422" w:firstLine="0"/>
        <w:rPr>
          <w:rtl/>
        </w:rPr>
      </w:pPr>
      <w:r>
        <w:rPr>
          <w:rFonts w:hint="cs"/>
          <w:rtl/>
        </w:rPr>
        <w:t>كما أن (الكفاية) المنسوبة إلى تاج الشريعة (على خلاف في اسمه، كما هو مذكور في القول الثالث والرابع) هذا الكتاب حقيقة اسمه : (نهاية الكفاية) لا (الكفاية).</w:t>
      </w:r>
    </w:p>
    <w:p w:rsidR="00035BE3" w:rsidRDefault="00035BE3" w:rsidP="00C10469">
      <w:pPr>
        <w:pStyle w:val="a6"/>
        <w:spacing w:line="460" w:lineRule="exact"/>
        <w:ind w:left="422" w:firstLine="0"/>
        <w:rPr>
          <w:rtl/>
        </w:rPr>
      </w:pPr>
      <w:r>
        <w:rPr>
          <w:rFonts w:hint="cs"/>
          <w:rtl/>
        </w:rPr>
        <w:t>وقد صُرِّح بذلك في : مفتاح السعادة، 2/240-241؛ وكشف الظنون، 2/2033؛ والفوائد البهية، ص 58؛ وقواعد الفقه للمجدّدي، ص 573.</w:t>
      </w:r>
    </w:p>
    <w:p w:rsidR="00035BE3" w:rsidRDefault="00035BE3" w:rsidP="00C10469">
      <w:pPr>
        <w:pStyle w:val="a6"/>
        <w:spacing w:line="460" w:lineRule="exact"/>
        <w:ind w:left="422" w:firstLine="0"/>
        <w:rPr>
          <w:rtl/>
        </w:rPr>
      </w:pPr>
      <w:r>
        <w:rPr>
          <w:rFonts w:hint="cs"/>
          <w:rtl/>
        </w:rPr>
        <w:t>ومما يرجع القول بنسبة (الكفاية) إلى الكرلاني : جَزْمُ المحقق اللكنوي بهذه النسبة، ونصرته لها، ومناقشته لما سواها.</w:t>
      </w:r>
    </w:p>
    <w:p w:rsidR="00035BE3" w:rsidRDefault="00035BE3" w:rsidP="00C10469">
      <w:pPr>
        <w:pStyle w:val="a6"/>
        <w:spacing w:line="460" w:lineRule="exact"/>
        <w:ind w:left="422" w:firstLine="0"/>
        <w:rPr>
          <w:rtl/>
        </w:rPr>
      </w:pPr>
      <w:r>
        <w:rPr>
          <w:rFonts w:hint="cs"/>
          <w:rtl/>
        </w:rPr>
        <w:t xml:space="preserve">ففي أثناء ترجمته للكرلاني - وذلك في كتابة : الفوائد البهية، ص58-59- لخّص -كعادته - كلام الكفوي إلى أن قال : </w:t>
      </w:r>
      <w:r>
        <w:rPr>
          <w:rFonts w:hint="eastAsia"/>
          <w:rtl/>
        </w:rPr>
        <w:t>«</w:t>
      </w:r>
      <w:r>
        <w:rPr>
          <w:rFonts w:hint="cs"/>
          <w:rtl/>
        </w:rPr>
        <w:t>... ووضع السيّد جلال الدين شرحًا على الهداية، سمّاه : الكفاية. وهي المشهورة بأيدي الناس</w:t>
      </w:r>
      <w:r>
        <w:rPr>
          <w:rFonts w:hint="eastAsia"/>
          <w:rtl/>
        </w:rPr>
        <w:t>»</w:t>
      </w:r>
      <w:r>
        <w:rPr>
          <w:rFonts w:hint="cs"/>
          <w:rtl/>
        </w:rPr>
        <w:t>.</w:t>
      </w:r>
    </w:p>
    <w:p w:rsidR="00035BE3" w:rsidRDefault="00035BE3" w:rsidP="00C10469">
      <w:pPr>
        <w:pStyle w:val="a6"/>
        <w:spacing w:line="460" w:lineRule="exact"/>
        <w:ind w:left="422" w:firstLine="0"/>
        <w:rPr>
          <w:rtl/>
        </w:rPr>
      </w:pPr>
      <w:r>
        <w:rPr>
          <w:rFonts w:hint="cs"/>
          <w:rtl/>
        </w:rPr>
        <w:t xml:space="preserve">ثم عقّب على هذه العبارة فقال : </w:t>
      </w:r>
      <w:r>
        <w:rPr>
          <w:rFonts w:hint="eastAsia"/>
          <w:rtl/>
        </w:rPr>
        <w:t>«</w:t>
      </w:r>
      <w:r>
        <w:rPr>
          <w:rFonts w:hint="cs"/>
          <w:rtl/>
        </w:rPr>
        <w:t xml:space="preserve">قال الجامع [أي اللكنوي نفسه]: </w:t>
      </w:r>
    </w:p>
    <w:p w:rsidR="00035BE3" w:rsidRDefault="00035BE3" w:rsidP="00C10469">
      <w:pPr>
        <w:pStyle w:val="a6"/>
        <w:spacing w:line="460" w:lineRule="exact"/>
        <w:ind w:left="422" w:firstLine="0"/>
        <w:rPr>
          <w:rtl/>
        </w:rPr>
      </w:pPr>
      <w:r>
        <w:rPr>
          <w:rFonts w:hint="cs"/>
          <w:rtl/>
        </w:rPr>
        <w:t xml:space="preserve">قد اختلفت عباراتهم في مؤلف (الكفاية شرح الهداية) المتداولة بأيدي الناس : </w:t>
      </w:r>
    </w:p>
    <w:p w:rsidR="00035BE3" w:rsidRDefault="00035BE3" w:rsidP="00C10469">
      <w:pPr>
        <w:pStyle w:val="a6"/>
        <w:spacing w:line="460" w:lineRule="exact"/>
        <w:ind w:left="422" w:firstLine="0"/>
        <w:rPr>
          <w:rtl/>
        </w:rPr>
      </w:pPr>
      <w:r>
        <w:rPr>
          <w:rFonts w:hint="cs"/>
          <w:rtl/>
        </w:rPr>
        <w:t>- فنسبه حسن بن عمار الشرنبلالي- في بعض رسائله- إلى تاج الشريعة.</w:t>
      </w:r>
    </w:p>
    <w:p w:rsidR="00035BE3" w:rsidRDefault="00035BE3" w:rsidP="00C10469">
      <w:pPr>
        <w:pStyle w:val="a6"/>
        <w:spacing w:line="460" w:lineRule="exact"/>
        <w:ind w:left="422" w:firstLine="0"/>
        <w:rPr>
          <w:rtl/>
        </w:rPr>
      </w:pPr>
      <w:r>
        <w:rPr>
          <w:rFonts w:hint="cs"/>
          <w:rtl/>
        </w:rPr>
        <w:t>وهو غلط؛ فإن له : (نهاية الكفاية) لا (الكفاية) المتداولة، كما أفصح عنه صاحب (كشف الظنون) [وذلك في 2/1033]...</w:t>
      </w:r>
    </w:p>
    <w:p w:rsidR="00035BE3" w:rsidRDefault="00035BE3" w:rsidP="00C10469">
      <w:pPr>
        <w:pStyle w:val="a6"/>
        <w:spacing w:line="460" w:lineRule="exact"/>
        <w:ind w:left="422" w:firstLine="0"/>
        <w:rPr>
          <w:rtl/>
        </w:rPr>
      </w:pPr>
      <w:r>
        <w:rPr>
          <w:rFonts w:hint="cs"/>
          <w:rtl/>
        </w:rPr>
        <w:t xml:space="preserve">- وقيل : هو لعلاء الدين علي بن عثمان المارديني التركماني؛ أخذًا مما قاله عبد القادر القرشي في (الجواهر المضية في طبقات الحنفية) [وذلك في 2/582]: </w:t>
      </w:r>
      <w:r>
        <w:rPr>
          <w:rFonts w:hint="eastAsia"/>
          <w:rtl/>
        </w:rPr>
        <w:t>«</w:t>
      </w:r>
      <w:r>
        <w:rPr>
          <w:rFonts w:hint="cs"/>
          <w:rtl/>
        </w:rPr>
        <w:t>... واختصر (الهداية) في كتاب سماه (الكفاية)، وشرحها ولم يكمله ...</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ثم قال اللكنوي : </w:t>
      </w:r>
      <w:r>
        <w:rPr>
          <w:rFonts w:hint="eastAsia"/>
          <w:rtl/>
        </w:rPr>
        <w:t>«</w:t>
      </w:r>
      <w:r>
        <w:rPr>
          <w:rFonts w:hint="cs"/>
          <w:rtl/>
        </w:rPr>
        <w:t>وهو أيضًا غلط؛ فإن كفاية المارديني غير (الكفاية) المتداولة، كما لا يخفى على من طالعهما.</w:t>
      </w:r>
    </w:p>
    <w:p w:rsidR="00035BE3" w:rsidRDefault="00035BE3" w:rsidP="00C10469">
      <w:pPr>
        <w:pStyle w:val="a6"/>
        <w:ind w:left="422" w:firstLine="0"/>
        <w:rPr>
          <w:rtl/>
        </w:rPr>
      </w:pPr>
      <w:r>
        <w:rPr>
          <w:rFonts w:hint="cs"/>
          <w:rtl/>
        </w:rPr>
        <w:t xml:space="preserve">فالصحيح : </w:t>
      </w:r>
    </w:p>
    <w:p w:rsidR="00035BE3" w:rsidRDefault="00035BE3" w:rsidP="00C10469">
      <w:pPr>
        <w:pStyle w:val="a6"/>
        <w:ind w:left="422" w:firstLine="0"/>
        <w:rPr>
          <w:rtl/>
        </w:rPr>
      </w:pPr>
      <w:r>
        <w:rPr>
          <w:rFonts w:hint="cs"/>
          <w:rtl/>
        </w:rPr>
        <w:t>هو ما ذكره الكفوي : أنه من تصانيف السيد جلال الدين ...</w:t>
      </w:r>
      <w:r>
        <w:rPr>
          <w:rFonts w:hint="eastAsia"/>
          <w:rtl/>
        </w:rPr>
        <w:t>»</w:t>
      </w:r>
      <w:r>
        <w:rPr>
          <w:rFonts w:hint="cs"/>
          <w:rtl/>
        </w:rPr>
        <w:t>.</w:t>
      </w:r>
    </w:p>
    <w:p w:rsidR="00035BE3" w:rsidRDefault="00035BE3" w:rsidP="00C10469">
      <w:pPr>
        <w:pStyle w:val="a6"/>
        <w:ind w:left="422" w:firstLine="0"/>
        <w:rPr>
          <w:rtl/>
        </w:rPr>
      </w:pPr>
      <w:r>
        <w:rPr>
          <w:rFonts w:hint="cs"/>
          <w:rtl/>
        </w:rPr>
        <w:t>ثم أيّد هذه النتيجة بنقل آخر عن الكفوي، ونقل ثالث عن صاحب (الشقائق النعمانية)، ونقل رابع عن صاحب كتاب (الجواهر) الشهير بسعد غد بوش.</w:t>
      </w:r>
    </w:p>
    <w:p w:rsidR="00035BE3" w:rsidRDefault="00035BE3" w:rsidP="00C10469">
      <w:pPr>
        <w:pStyle w:val="a6"/>
        <w:ind w:left="422" w:firstLine="0"/>
        <w:rPr>
          <w:rtl/>
        </w:rPr>
      </w:pPr>
      <w:r>
        <w:rPr>
          <w:rFonts w:hint="cs"/>
          <w:rtl/>
        </w:rPr>
        <w:t xml:space="preserve">وممّا يرجّح هذا القول أيضًا: أن المجدّدي عند ذكره للكتب المعتمدة في مذهب الحنفية قال- وذلك في قواعده، ص572-573-: </w:t>
      </w:r>
      <w:r>
        <w:rPr>
          <w:rFonts w:hint="eastAsia"/>
          <w:rtl/>
        </w:rPr>
        <w:t>«</w:t>
      </w:r>
      <w:r>
        <w:rPr>
          <w:rFonts w:hint="cs"/>
          <w:rtl/>
        </w:rPr>
        <w:t>فمن الكتب المعتبرة المعتمد عليها: كتب ظاهر الرواية...، و(الكفاية) للكرلاني، و(نهاية الكفاية) لـتاج الشريعة</w:t>
      </w:r>
      <w:r>
        <w:rPr>
          <w:rFonts w:hint="eastAsia"/>
          <w:rtl/>
        </w:rPr>
        <w:t>»</w:t>
      </w:r>
      <w:r>
        <w:rPr>
          <w:rFonts w:hint="cs"/>
          <w:rtl/>
        </w:rPr>
        <w:t xml:space="preserve">، فهذا دليل على أنهما كتابان لاكتاب واحد، وعلى أن </w:t>
      </w:r>
      <w:r w:rsidRPr="002A3088">
        <w:rPr>
          <w:rFonts w:hint="cs"/>
          <w:spacing w:val="-4"/>
          <w:rtl/>
        </w:rPr>
        <w:t>(الكفاية) يراد بها: كفاية جلال الدين الكرلاني؛ أما تاج الشريعة فكتابه هو (نهاية الكفاية) لا (الكفاية).</w:t>
      </w:r>
    </w:p>
    <w:p w:rsidR="00035BE3" w:rsidRDefault="00035BE3" w:rsidP="00C10469">
      <w:pPr>
        <w:pStyle w:val="a6"/>
        <w:ind w:left="422" w:firstLine="0"/>
        <w:rPr>
          <w:rtl/>
        </w:rPr>
      </w:pPr>
      <w:r>
        <w:rPr>
          <w:rFonts w:hint="cs"/>
          <w:rtl/>
        </w:rPr>
        <w:t xml:space="preserve">ومما يعتضد به في هذا الترجيح : </w:t>
      </w:r>
    </w:p>
    <w:p w:rsidR="00035BE3" w:rsidRDefault="00035BE3" w:rsidP="00C10469">
      <w:pPr>
        <w:pStyle w:val="a6"/>
        <w:ind w:left="422" w:firstLine="0"/>
        <w:rPr>
          <w:rtl/>
        </w:rPr>
      </w:pPr>
      <w:r>
        <w:rPr>
          <w:rFonts w:hint="cs"/>
          <w:rtl/>
        </w:rPr>
        <w:t>ما جاء في معجم المطبوعات العربية والمعربة -1/839-:</w:t>
      </w:r>
    </w:p>
    <w:p w:rsidR="00035BE3" w:rsidRDefault="00035BE3" w:rsidP="00C10469">
      <w:pPr>
        <w:pStyle w:val="a6"/>
        <w:ind w:left="422" w:firstLine="0"/>
        <w:rPr>
          <w:rtl/>
        </w:rPr>
      </w:pPr>
      <w:r>
        <w:rPr>
          <w:rFonts w:hint="eastAsia"/>
          <w:rtl/>
        </w:rPr>
        <w:t>«</w:t>
      </w:r>
      <w:r>
        <w:rPr>
          <w:rFonts w:hint="cs"/>
          <w:rtl/>
        </w:rPr>
        <w:t>(الكفاية في شرح الهداية) المنسوب إلى محمود بن عبيد الله المحبوبي المكنى تاج الشريعة. والصحيح أنه لجلال الدين الخوارزمي</w:t>
      </w:r>
      <w:r>
        <w:rPr>
          <w:rFonts w:hint="eastAsia"/>
          <w:rtl/>
        </w:rPr>
        <w:t>»</w:t>
      </w:r>
      <w:r>
        <w:rPr>
          <w:rFonts w:hint="cs"/>
          <w:rtl/>
        </w:rPr>
        <w:t>.</w:t>
      </w:r>
    </w:p>
    <w:p w:rsidR="00035BE3" w:rsidRDefault="00035BE3" w:rsidP="00C10469">
      <w:pPr>
        <w:pStyle w:val="a6"/>
        <w:ind w:left="422" w:firstLine="0"/>
        <w:rPr>
          <w:rtl/>
        </w:rPr>
      </w:pPr>
      <w:r>
        <w:rPr>
          <w:rFonts w:hint="cs"/>
          <w:rtl/>
        </w:rPr>
        <w:t xml:space="preserve">بل إن الكتاب له عدّة طبعات، وقد نسب فيها إلى </w:t>
      </w:r>
      <w:r>
        <w:rPr>
          <w:rFonts w:hint="eastAsia"/>
          <w:rtl/>
        </w:rPr>
        <w:t>«</w:t>
      </w:r>
      <w:r>
        <w:rPr>
          <w:rFonts w:hint="cs"/>
          <w:rtl/>
        </w:rPr>
        <w:t>جلال الدين الخوارزمي الكرلاني</w:t>
      </w:r>
      <w:r>
        <w:rPr>
          <w:rFonts w:hint="eastAsia"/>
          <w:rtl/>
        </w:rPr>
        <w:t>»</w:t>
      </w:r>
      <w:r>
        <w:rPr>
          <w:rFonts w:hint="cs"/>
          <w:rtl/>
        </w:rPr>
        <w:t>.</w:t>
      </w:r>
    </w:p>
    <w:p w:rsidR="00035BE3" w:rsidRDefault="00035BE3" w:rsidP="00C10469">
      <w:pPr>
        <w:pStyle w:val="a6"/>
        <w:ind w:left="422" w:firstLine="0"/>
        <w:rPr>
          <w:rtl/>
        </w:rPr>
      </w:pPr>
      <w:r>
        <w:rPr>
          <w:rFonts w:hint="cs"/>
          <w:rtl/>
        </w:rPr>
        <w:t>ومن أقدم طبعاته : طبعة كلكته بالهند، عام 1831م (طبع حجر)، ومـنها طبـعة بمبيء، عام 1279هـ (طبع حجر أيضًا).</w:t>
      </w:r>
    </w:p>
    <w:p w:rsidR="00035BE3" w:rsidRDefault="00035BE3" w:rsidP="00C10469">
      <w:pPr>
        <w:pStyle w:val="a6"/>
        <w:ind w:left="422" w:firstLine="0"/>
        <w:rPr>
          <w:rtl/>
        </w:rPr>
      </w:pPr>
      <w:r>
        <w:rPr>
          <w:rFonts w:hint="cs"/>
          <w:rtl/>
        </w:rPr>
        <w:t>ومن الطبعات المتداولة طبعة : المطبعة الكبرى الأميرية ببولاق، عام 1316، وطبعة : المطبعة الميمنية بمصر، عام 1319هـ، بتصحيح محمد الزهري الغمراوي.</w:t>
      </w:r>
    </w:p>
    <w:p w:rsidR="00035BE3" w:rsidRDefault="00035BE3" w:rsidP="00C10469">
      <w:pPr>
        <w:pStyle w:val="a6"/>
        <w:ind w:left="422" w:firstLine="0"/>
        <w:rPr>
          <w:rtl/>
        </w:rPr>
      </w:pPr>
      <w:r>
        <w:rPr>
          <w:rFonts w:hint="cs"/>
          <w:rtl/>
        </w:rPr>
        <w:t xml:space="preserve">وقد طبع في صلب هاتين الطبعتين : الهداية، وبعدها : فتح القدير. ثم الكفاية، وطبع في الهامش : العناية، وحاشيتها لسعدي حلبي. </w:t>
      </w:r>
    </w:p>
  </w:footnote>
  <w:footnote w:id="403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الأشباه لابن نجيم (طبعة دار الفكر)، ص292، وقد وردت بزيادة (الواو) بعد (إذا) في طبعة المكتبة العصرية، ص276، ومع غمز عيون البصائر، 2/439.</w:t>
      </w:r>
    </w:p>
    <w:p w:rsidR="00035BE3" w:rsidRDefault="00035BE3" w:rsidP="00C10469">
      <w:pPr>
        <w:pStyle w:val="a6"/>
        <w:ind w:left="422" w:firstLine="0"/>
        <w:rPr>
          <w:spacing w:val="4"/>
          <w:rtl/>
        </w:rPr>
      </w:pPr>
      <w:r>
        <w:rPr>
          <w:rFonts w:hint="cs"/>
          <w:spacing w:val="4"/>
          <w:rtl/>
        </w:rPr>
        <w:t xml:space="preserve">كما وردت في الدّر المختار، 8/348- بلفظ: </w:t>
      </w:r>
      <w:r>
        <w:rPr>
          <w:rFonts w:hint="eastAsia"/>
          <w:spacing w:val="4"/>
          <w:rtl/>
        </w:rPr>
        <w:t>«</w:t>
      </w:r>
      <w:r>
        <w:rPr>
          <w:rFonts w:hint="cs"/>
          <w:spacing w:val="4"/>
          <w:rtl/>
        </w:rPr>
        <w:t>لا يـجوز للمدّعي عليه الإنكار مع علمه بالحق إلا ...</w:t>
      </w:r>
      <w:r>
        <w:rPr>
          <w:rFonts w:hint="eastAsia"/>
          <w:spacing w:val="4"/>
          <w:rtl/>
        </w:rPr>
        <w:t>»</w:t>
      </w:r>
      <w:r>
        <w:rPr>
          <w:rFonts w:hint="cs"/>
          <w:spacing w:val="4"/>
          <w:rtl/>
        </w:rPr>
        <w:t>؛ ووردت بلفظ المؤلف في قرة عيون الأخيار، 11/578- وقد عزاها إلى الأشباه-.</w:t>
      </w:r>
    </w:p>
  </w:footnote>
  <w:footnote w:id="4032">
    <w:p w:rsidR="00035BE3" w:rsidRDefault="00035BE3" w:rsidP="00C10469">
      <w:pPr>
        <w:pStyle w:val="a8"/>
        <w:bidi/>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انظرهما في: الأشباه، ص276؛ الدّر المختار وحاشيته : رد المحتار، 8/348؛ قرة عيون الأخيار، 11/578.</w:t>
      </w:r>
    </w:p>
  </w:footnote>
  <w:footnote w:id="403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(بالياء) في جميع النسخ ! والصواب : (إحداهما)؛ لأن (إحدى) مفرد مقصور وليس مثنى، فتكون علامة نصبه هي الفتحة المقدرة على آخره، وليست الياء.</w:t>
      </w:r>
    </w:p>
    <w:p w:rsidR="00035BE3" w:rsidRDefault="00035BE3" w:rsidP="00C10469">
      <w:pPr>
        <w:pStyle w:val="a6"/>
        <w:ind w:left="422" w:firstLine="0"/>
        <w:rPr>
          <w:rtl/>
        </w:rPr>
      </w:pPr>
      <w:r>
        <w:rPr>
          <w:rFonts w:hint="cs"/>
          <w:rtl/>
        </w:rPr>
        <w:t>ويحتمل أن يكون هذا من الاختلاف في الإملاء؛ إلا أنه ليس هناك قرينة تدل على أن المقصود بالياء هنا (ألف المدّ) في جميع النسخ الخطية. وقد سبق نحو هذا التعليق، ص243.</w:t>
      </w:r>
    </w:p>
  </w:footnote>
  <w:footnote w:id="403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والمناسب (من) كما جاء في الأشباه، حيث جاء فيه : </w:t>
      </w:r>
      <w:r>
        <w:rPr>
          <w:rFonts w:hint="eastAsia"/>
          <w:rtl/>
        </w:rPr>
        <w:t>«</w:t>
      </w:r>
      <w:r>
        <w:rPr>
          <w:rFonts w:hint="cs"/>
          <w:rtl/>
        </w:rPr>
        <w:t>... إلا في دعوى العيب؛ فإن للبائع إنكاره؛ ليقيم المشتري البينة عليه؛ ليتمكن من الرّد على بائعه</w:t>
      </w:r>
      <w:r>
        <w:rPr>
          <w:rFonts w:hint="eastAsia"/>
          <w:rtl/>
        </w:rPr>
        <w:t>»</w:t>
      </w:r>
      <w:r>
        <w:rPr>
          <w:rFonts w:hint="cs"/>
          <w:rtl/>
        </w:rPr>
        <w:t>. فالسياق هنا يدل على أن معنى حرف الجر هو : بيان الجنس والحرف الذي يؤدي هذا المعنى هو (من) وليس (عن).</w:t>
      </w:r>
    </w:p>
    <w:p w:rsidR="00035BE3" w:rsidRDefault="00035BE3" w:rsidP="00C10469">
      <w:pPr>
        <w:pStyle w:val="a6"/>
        <w:ind w:left="422" w:firstLine="0"/>
        <w:rPr>
          <w:rtl/>
        </w:rPr>
      </w:pPr>
      <w:r>
        <w:rPr>
          <w:rFonts w:hint="cs"/>
          <w:rtl/>
        </w:rPr>
        <w:t>انظر : أوضح المسالك وشرحه : ضياء السالك، 2/277، 291.</w:t>
      </w:r>
    </w:p>
  </w:footnote>
  <w:footnote w:id="4035">
    <w:p w:rsidR="00035BE3" w:rsidRDefault="00035BE3" w:rsidP="00C10469">
      <w:pPr>
        <w:pStyle w:val="a8"/>
        <w:bidi/>
        <w:spacing w:line="264" w:lineRule="auto"/>
        <w:ind w:left="419"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51/ب من (ب).</w:t>
      </w:r>
    </w:p>
  </w:footnote>
  <w:footnote w:id="4036">
    <w:p w:rsidR="00035BE3" w:rsidRDefault="00035BE3" w:rsidP="00C10469">
      <w:pPr>
        <w:pStyle w:val="a8"/>
        <w:bidi/>
        <w:spacing w:line="264" w:lineRule="auto"/>
        <w:ind w:left="419" w:right="0" w:hanging="425"/>
        <w:rPr>
          <w:rtl/>
        </w:rPr>
      </w:pPr>
      <w:r>
        <w:rPr>
          <w:rFonts w:hint="cs"/>
          <w:vertAlign w:val="superscript"/>
          <w:rtl/>
        </w:rPr>
        <w:t>(</w:t>
      </w:r>
      <w:r>
        <w:rPr>
          <w:rStyle w:val="a7"/>
        </w:rPr>
        <w:footnoteRef/>
      </w:r>
      <w:r>
        <w:rPr>
          <w:rFonts w:hint="cs"/>
          <w:vertAlign w:val="superscript"/>
          <w:rtl/>
        </w:rPr>
        <w:t>)</w:t>
      </w:r>
      <w:r>
        <w:rPr>
          <w:rFonts w:hint="cs"/>
          <w:rtl/>
        </w:rPr>
        <w:t xml:space="preserve">  ص664 (ل48/ب)، قاعدة 118.</w:t>
      </w:r>
    </w:p>
  </w:footnote>
  <w:footnote w:id="4037">
    <w:p w:rsidR="00035BE3" w:rsidRDefault="00035BE3" w:rsidP="00C10469">
      <w:pPr>
        <w:pStyle w:val="a8"/>
        <w:bidi/>
        <w:spacing w:line="264" w:lineRule="auto"/>
        <w:ind w:left="419"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(بالتذكير) في جميع النسخ، والتقدير : جائز فعلها.</w:t>
      </w:r>
    </w:p>
    <w:p w:rsidR="00035BE3" w:rsidRDefault="00035BE3" w:rsidP="00C10469">
      <w:pPr>
        <w:pStyle w:val="a6"/>
        <w:ind w:left="422" w:firstLine="0"/>
        <w:rPr>
          <w:spacing w:val="-6"/>
          <w:rtl/>
        </w:rPr>
      </w:pPr>
      <w:r>
        <w:rPr>
          <w:rFonts w:hint="cs"/>
          <w:spacing w:val="-6"/>
          <w:rtl/>
        </w:rPr>
        <w:t>علمًا بأن المؤلف عندما ذكر هذه القاعدة في باب الحاء اتفقت جميع النسخ هناك على تأنيث هذه الكلمة.</w:t>
      </w:r>
    </w:p>
    <w:p w:rsidR="00035BE3" w:rsidRDefault="00035BE3" w:rsidP="00C10469">
      <w:pPr>
        <w:pStyle w:val="a6"/>
        <w:ind w:left="422" w:firstLine="0"/>
        <w:rPr>
          <w:rtl/>
        </w:rPr>
      </w:pPr>
      <w:r>
        <w:rPr>
          <w:rFonts w:hint="cs"/>
          <w:rtl/>
        </w:rPr>
        <w:t>والتأنيث وإن كان هو الأحسن إلا أنه ليس هناك ما يمنع من التذكير، على التقدير المذكور، وممّا يعضد التذكير أن القاعدة وردت به في (تبيين الحقائق) و(البحر الرائق). وقد سبق تفصيل ذلك عند توثيق تلك القاعدة.</w:t>
      </w:r>
    </w:p>
  </w:footnote>
  <w:footnote w:id="403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التحلف</w:t>
      </w:r>
      <w:r>
        <w:rPr>
          <w:rFonts w:hint="eastAsia"/>
          <w:rtl/>
        </w:rPr>
        <w:t>»</w:t>
      </w:r>
      <w:r>
        <w:rPr>
          <w:rFonts w:hint="cs"/>
          <w:rtl/>
        </w:rPr>
        <w:t>، وفي (د) : بإهمال التاء. والصحيح ما تمَّ إثباته من (ب).</w:t>
      </w:r>
    </w:p>
  </w:footnote>
  <w:footnote w:id="403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وكان من المناسب أن يقال : </w:t>
      </w:r>
      <w:r>
        <w:rPr>
          <w:rFonts w:hint="eastAsia"/>
          <w:rtl/>
        </w:rPr>
        <w:t>«</w:t>
      </w:r>
      <w:r>
        <w:rPr>
          <w:rFonts w:hint="cs"/>
          <w:rtl/>
        </w:rPr>
        <w:t>هاتين</w:t>
      </w:r>
      <w:r>
        <w:rPr>
          <w:rFonts w:hint="eastAsia"/>
          <w:rtl/>
        </w:rPr>
        <w:t>»</w:t>
      </w:r>
      <w:r>
        <w:rPr>
          <w:rFonts w:hint="cs"/>
          <w:rtl/>
        </w:rPr>
        <w:t>.</w:t>
      </w:r>
    </w:p>
  </w:footnote>
  <w:footnote w:id="404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تحدث عنها المؤلف، ص597 (ل41/ب)، قاعدة 99، وجميع ما سيذكره من الفروع هنا مذكور هناك، فما قيل في توثيقها هناك يقال هنا.</w:t>
      </w:r>
    </w:p>
  </w:footnote>
  <w:footnote w:id="404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81/أ من (أ) .</w:t>
      </w:r>
    </w:p>
  </w:footnote>
  <w:footnote w:id="404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البينة</w:t>
      </w:r>
      <w:r>
        <w:rPr>
          <w:rFonts w:hint="eastAsia"/>
          <w:rtl/>
        </w:rPr>
        <w:t>»</w:t>
      </w:r>
      <w:r>
        <w:rPr>
          <w:rFonts w:hint="cs"/>
          <w:rtl/>
        </w:rPr>
        <w:t xml:space="preserve"> : مكرّرة في (ب).</w:t>
      </w:r>
    </w:p>
  </w:footnote>
  <w:footnote w:id="40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60/أ من (جـ).</w:t>
      </w:r>
    </w:p>
  </w:footnote>
  <w:footnote w:id="40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التي اعتنى بها ابن نجيم في أشباهه؛ إذا استفتح بها كتابه، ولم يدرجها تحت قاعدة: </w:t>
      </w:r>
      <w:r>
        <w:rPr>
          <w:rFonts w:hint="eastAsia"/>
          <w:rtl/>
        </w:rPr>
        <w:t>«</w:t>
      </w:r>
      <w:r>
        <w:rPr>
          <w:rFonts w:hint="cs"/>
          <w:rtl/>
        </w:rPr>
        <w:t>الأمور بمقاصدها</w:t>
      </w:r>
      <w:r>
        <w:rPr>
          <w:rFonts w:hint="eastAsia"/>
          <w:rtl/>
        </w:rPr>
        <w:t>»</w:t>
      </w:r>
      <w:r>
        <w:rPr>
          <w:rFonts w:hint="cs"/>
          <w:rtl/>
        </w:rPr>
        <w:t>؛ بل أفردها عنها وقدّمها عليها وعلى بقية القواعد الخمس.</w:t>
      </w:r>
    </w:p>
    <w:p w:rsidR="00035BE3" w:rsidRDefault="00035BE3" w:rsidP="00C10469">
      <w:pPr>
        <w:pStyle w:val="a6"/>
        <w:ind w:left="422" w:firstLine="0"/>
        <w:rPr>
          <w:spacing w:val="-6"/>
          <w:rtl/>
        </w:rPr>
      </w:pPr>
      <w:r>
        <w:rPr>
          <w:rFonts w:hint="cs"/>
          <w:spacing w:val="-6"/>
          <w:rtl/>
        </w:rPr>
        <w:t xml:space="preserve">ولكنها في الواقع تندرج تحت قاعدة: </w:t>
      </w:r>
      <w:r>
        <w:rPr>
          <w:rFonts w:hint="eastAsia"/>
          <w:spacing w:val="-6"/>
          <w:rtl/>
        </w:rPr>
        <w:t>«</w:t>
      </w:r>
      <w:r>
        <w:rPr>
          <w:rFonts w:hint="cs"/>
          <w:spacing w:val="-6"/>
          <w:rtl/>
        </w:rPr>
        <w:t>الأمور بمقاصدها</w:t>
      </w:r>
      <w:r>
        <w:rPr>
          <w:spacing w:val="-6"/>
          <w:rtl/>
        </w:rPr>
        <w:t>»</w:t>
      </w:r>
      <w:r>
        <w:rPr>
          <w:rFonts w:hint="cs"/>
          <w:spacing w:val="-6"/>
          <w:rtl/>
        </w:rPr>
        <w:t xml:space="preserve">؛ لأنها تختص بالأمور الأُخروية التي يترتب عليها الثواب وعدمه، بينما قاعدة: </w:t>
      </w:r>
      <w:r>
        <w:rPr>
          <w:rFonts w:hint="eastAsia"/>
          <w:spacing w:val="-6"/>
          <w:rtl/>
        </w:rPr>
        <w:t>«</w:t>
      </w:r>
      <w:r>
        <w:rPr>
          <w:rFonts w:hint="cs"/>
          <w:spacing w:val="-6"/>
          <w:rtl/>
        </w:rPr>
        <w:t>الأمور بمقاصدها</w:t>
      </w:r>
      <w:r>
        <w:rPr>
          <w:spacing w:val="-6"/>
          <w:rtl/>
        </w:rPr>
        <w:t>»</w:t>
      </w:r>
      <w:r>
        <w:rPr>
          <w:rFonts w:hint="cs"/>
          <w:spacing w:val="-6"/>
          <w:rtl/>
        </w:rPr>
        <w:t xml:space="preserve"> أشمل؛ لأن الأمور فيها </w:t>
      </w:r>
      <w:r>
        <w:rPr>
          <w:rFonts w:hint="eastAsia"/>
          <w:spacing w:val="-6"/>
          <w:rtl/>
        </w:rPr>
        <w:t>«</w:t>
      </w:r>
      <w:r>
        <w:rPr>
          <w:rFonts w:hint="cs"/>
          <w:spacing w:val="-6"/>
          <w:rtl/>
        </w:rPr>
        <w:t>أعم من كونها دنيوية أو أخروية، ومقاصد الأعمال أعم كذلك من كونها يرجى ثوابها أو لا يرجى</w:t>
      </w:r>
      <w:r>
        <w:rPr>
          <w:spacing w:val="-6"/>
          <w:rtl/>
        </w:rPr>
        <w:t>»</w:t>
      </w:r>
      <w:r>
        <w:rPr>
          <w:rFonts w:hint="cs"/>
          <w:spacing w:val="-6"/>
          <w:rtl/>
        </w:rPr>
        <w:t>- قاله صاحب الوجيز، ص63-.</w:t>
      </w:r>
    </w:p>
    <w:p w:rsidR="00035BE3" w:rsidRDefault="00035BE3" w:rsidP="00C10469">
      <w:pPr>
        <w:pStyle w:val="a6"/>
        <w:ind w:left="422" w:firstLine="0"/>
        <w:rPr>
          <w:rtl/>
        </w:rPr>
      </w:pPr>
      <w:r>
        <w:rPr>
          <w:rFonts w:hint="cs"/>
          <w:rtl/>
        </w:rPr>
        <w:t>وانظر ما قاله ابن نجيم في القاعدة في الأشباه، ص29-38.</w:t>
      </w:r>
    </w:p>
    <w:p w:rsidR="00035BE3" w:rsidRDefault="00035BE3" w:rsidP="00C10469">
      <w:pPr>
        <w:pStyle w:val="a6"/>
        <w:ind w:left="422" w:firstLine="0"/>
        <w:rPr>
          <w:spacing w:val="-4"/>
          <w:rtl/>
        </w:rPr>
      </w:pPr>
      <w:r>
        <w:rPr>
          <w:rFonts w:hint="cs"/>
          <w:spacing w:val="-4"/>
          <w:rtl/>
        </w:rPr>
        <w:t>وكما وردت في أشباه ابن نجيم وفي الوجيز، وردت بلفظها أو نحوه في عدد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Pr="005A35B0" w:rsidRDefault="00035BE3" w:rsidP="00C10469">
      <w:pPr>
        <w:pStyle w:val="a6"/>
        <w:ind w:left="422" w:firstLine="0"/>
        <w:rPr>
          <w:spacing w:val="-6"/>
          <w:rtl/>
        </w:rPr>
      </w:pPr>
      <w:r>
        <w:rPr>
          <w:rFonts w:hint="cs"/>
          <w:spacing w:val="-2"/>
          <w:rtl/>
        </w:rPr>
        <w:t xml:space="preserve">الفرائد البهية للحمزاوي، ص13، قاعدة 1؛ القواعد الفقهية لـ د. علي الندوي، ص171؛ القواعد </w:t>
      </w:r>
      <w:r w:rsidRPr="005A35B0">
        <w:rPr>
          <w:rFonts w:hint="cs"/>
          <w:spacing w:val="-6"/>
          <w:rtl/>
        </w:rPr>
        <w:t>الفقهية الكبرى لشيخنا أ.د. صالح السَّدلان، ص59؛ النية وأثرها في الأحكام الشرعية له أيضًا؛</w:t>
      </w:r>
      <w:r>
        <w:rPr>
          <w:rFonts w:hint="cs"/>
          <w:spacing w:val="-2"/>
          <w:rtl/>
        </w:rPr>
        <w:t xml:space="preserve"> </w:t>
      </w:r>
      <w:r w:rsidRPr="005A35B0">
        <w:rPr>
          <w:rFonts w:hint="cs"/>
          <w:spacing w:val="-6"/>
          <w:rtl/>
        </w:rPr>
        <w:t xml:space="preserve">1/237- ولفظه: </w:t>
      </w:r>
      <w:r w:rsidRPr="005A35B0">
        <w:rPr>
          <w:rFonts w:hint="eastAsia"/>
          <w:spacing w:val="-6"/>
          <w:rtl/>
        </w:rPr>
        <w:t>«</w:t>
      </w:r>
      <w:r w:rsidRPr="005A35B0">
        <w:rPr>
          <w:rFonts w:hint="cs"/>
          <w:spacing w:val="-6"/>
          <w:rtl/>
        </w:rPr>
        <w:t>لا ثواب ولا عقاب إلا بنية</w:t>
      </w:r>
      <w:r w:rsidRPr="005A35B0">
        <w:rPr>
          <w:spacing w:val="-6"/>
          <w:rtl/>
        </w:rPr>
        <w:t>»</w:t>
      </w:r>
      <w:r w:rsidRPr="005A35B0">
        <w:rPr>
          <w:rFonts w:hint="cs"/>
          <w:spacing w:val="-6"/>
          <w:rtl/>
        </w:rPr>
        <w:t>-؛ قواعد الفقه الإسلامي لِـ د. محمد الروكي، ص160، 174.</w:t>
      </w:r>
    </w:p>
    <w:p w:rsidR="00035BE3" w:rsidRDefault="00035BE3" w:rsidP="00C10469">
      <w:pPr>
        <w:pStyle w:val="a6"/>
        <w:ind w:left="422" w:firstLine="0"/>
        <w:rPr>
          <w:b/>
          <w:bCs/>
          <w:rtl/>
        </w:rPr>
      </w:pPr>
      <w:r>
        <w:rPr>
          <w:rFonts w:hint="cs"/>
          <w:b/>
          <w:bCs/>
          <w:rtl/>
        </w:rPr>
        <w:t xml:space="preserve">ومن كتب الفقه : </w:t>
      </w:r>
    </w:p>
    <w:p w:rsidR="00035BE3" w:rsidRDefault="00035BE3" w:rsidP="00C10469">
      <w:pPr>
        <w:pStyle w:val="a6"/>
        <w:ind w:left="422" w:firstLine="0"/>
        <w:rPr>
          <w:spacing w:val="-2"/>
          <w:rtl/>
        </w:rPr>
      </w:pPr>
      <w:r>
        <w:rPr>
          <w:rFonts w:hint="cs"/>
          <w:spacing w:val="-2"/>
          <w:rtl/>
        </w:rPr>
        <w:t xml:space="preserve">المبسوط، 1/72- ولفظه : </w:t>
      </w:r>
      <w:r>
        <w:rPr>
          <w:rFonts w:hint="eastAsia"/>
          <w:spacing w:val="-2"/>
          <w:rtl/>
        </w:rPr>
        <w:t>«</w:t>
      </w:r>
      <w:r>
        <w:rPr>
          <w:rFonts w:hint="cs"/>
          <w:spacing w:val="-2"/>
          <w:rtl/>
        </w:rPr>
        <w:t>أن ثواب العمل بحسب النية</w:t>
      </w:r>
      <w:r>
        <w:rPr>
          <w:spacing w:val="-2"/>
          <w:rtl/>
        </w:rPr>
        <w:t>»</w:t>
      </w:r>
      <w:r>
        <w:rPr>
          <w:rFonts w:hint="cs"/>
          <w:spacing w:val="-2"/>
          <w:rtl/>
        </w:rPr>
        <w:t>-؛ رد المحتار، 1/232، 4/66، 6/521؛ حاشية على مراقي الفلاح للطحطاوي، ص16.</w:t>
      </w:r>
    </w:p>
  </w:footnote>
  <w:footnote w:id="4045">
    <w:p w:rsidR="00035BE3" w:rsidRDefault="00035BE3" w:rsidP="00C10469">
      <w:pPr>
        <w:pStyle w:val="a8"/>
        <w:bidi/>
        <w:ind w:left="422" w:right="0"/>
        <w:rPr>
          <w:spacing w:val="-6"/>
          <w:rtl/>
          <w:lang w:bidi="ar-AE"/>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أخرجه البخاري بلفظه، كتاب بدء الوحي، باب كيف كان بدء الوحي إلى رسول الله </w:t>
      </w:r>
      <w:r>
        <w:rPr>
          <w:rFonts w:ascii="AGA Arabesque" w:hAnsi="AGA Arabesque"/>
          <w:spacing w:val="-6"/>
          <w:sz w:val="36"/>
          <w:szCs w:val="36"/>
        </w:rPr>
        <w:t></w:t>
      </w:r>
      <w:r>
        <w:rPr>
          <w:rFonts w:hint="cs"/>
          <w:spacing w:val="-6"/>
          <w:rtl/>
        </w:rPr>
        <w:t xml:space="preserve"> ...، 1/3، ح1؛ ومسلم بنحوه، كتاب الإمارة، باب قوله </w:t>
      </w:r>
      <w:r>
        <w:rPr>
          <w:rFonts w:ascii="AGA Arabesque" w:hAnsi="AGA Arabesque"/>
          <w:spacing w:val="-6"/>
          <w:sz w:val="36"/>
          <w:szCs w:val="36"/>
        </w:rPr>
        <w:t></w:t>
      </w:r>
      <w:r>
        <w:rPr>
          <w:rFonts w:hint="cs"/>
          <w:spacing w:val="-6"/>
          <w:rtl/>
        </w:rPr>
        <w:t xml:space="preserve"> : </w:t>
      </w:r>
      <w:r>
        <w:rPr>
          <w:rFonts w:hint="eastAsia"/>
          <w:spacing w:val="-6"/>
          <w:rtl/>
        </w:rPr>
        <w:t>«</w:t>
      </w:r>
      <w:r>
        <w:rPr>
          <w:rFonts w:hint="cs"/>
          <w:spacing w:val="-6"/>
          <w:rtl/>
        </w:rPr>
        <w:t xml:space="preserve"> </w:t>
      </w:r>
      <w:r>
        <w:rPr>
          <w:rFonts w:cs="DecoType Naskh" w:hint="cs"/>
          <w:spacing w:val="-6"/>
          <w:rtl/>
        </w:rPr>
        <w:t>إنما الأعمال بالنية</w:t>
      </w:r>
      <w:r>
        <w:rPr>
          <w:rFonts w:hint="cs"/>
          <w:spacing w:val="-6"/>
          <w:rtl/>
        </w:rPr>
        <w:t xml:space="preserve"> </w:t>
      </w:r>
      <w:r>
        <w:rPr>
          <w:rFonts w:hint="eastAsia"/>
          <w:spacing w:val="-6"/>
          <w:rtl/>
        </w:rPr>
        <w:t>»</w:t>
      </w:r>
      <w:r>
        <w:rPr>
          <w:rFonts w:hint="cs"/>
          <w:spacing w:val="-6"/>
          <w:rtl/>
        </w:rPr>
        <w:t xml:space="preserve">، وأنه يدخل في الغزو وغيره من الأعمال، 3/1515، ح1907. من حديث عمر بن الخطاب </w:t>
      </w:r>
      <w:r>
        <w:rPr>
          <w:rFonts w:ascii="AGA Arabesque" w:hAnsi="AGA Arabesque"/>
          <w:spacing w:val="-6"/>
          <w:sz w:val="36"/>
          <w:szCs w:val="36"/>
        </w:rPr>
        <w:t></w:t>
      </w:r>
      <w:r>
        <w:rPr>
          <w:rFonts w:hint="cs"/>
          <w:spacing w:val="-6"/>
          <w:rtl/>
          <w:lang w:bidi="ar-AE"/>
        </w:rPr>
        <w:t>.</w:t>
      </w:r>
    </w:p>
  </w:footnote>
  <w:footnote w:id="40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حكم الأعمال الواردة في الحديث.</w:t>
      </w:r>
    </w:p>
  </w:footnote>
  <w:footnote w:id="4047">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أن الحكم الأخروي مراد من الحديث بالإجماع، فلا حاجة لتقدير الحكم الدنيوي أيضًا؛ لاندفاع الضرورة بالأخروي من صحة الكلام به.</w:t>
      </w:r>
    </w:p>
    <w:p w:rsidR="00035BE3" w:rsidRDefault="00035BE3" w:rsidP="00C10469">
      <w:pPr>
        <w:pStyle w:val="a6"/>
        <w:spacing w:line="500" w:lineRule="exact"/>
        <w:ind w:left="422" w:firstLine="0"/>
        <w:rPr>
          <w:spacing w:val="8"/>
          <w:rtl/>
        </w:rPr>
      </w:pPr>
      <w:r>
        <w:rPr>
          <w:rFonts w:hint="cs"/>
          <w:spacing w:val="8"/>
          <w:rtl/>
        </w:rPr>
        <w:t xml:space="preserve">وقد أفصح عن ذلك ابن نجيم، حيث قال : </w:t>
      </w:r>
      <w:r>
        <w:rPr>
          <w:rFonts w:hint="eastAsia"/>
          <w:spacing w:val="8"/>
          <w:rtl/>
        </w:rPr>
        <w:t>«</w:t>
      </w:r>
      <w:r>
        <w:rPr>
          <w:rFonts w:hint="cs"/>
          <w:spacing w:val="8"/>
          <w:rtl/>
        </w:rPr>
        <w:t>وقد أريد الأخروي بالإجماع على أنه لا ثواب ولاعقاب إلا بالنية، فانتفى الآخر أن يكون مرادًا؛ إما لأنه مشترك، ولا عموم له، وإما لاندفاع الضرورة به من صحة الكلام به، فلا حاجة إلى الآخر. والثاني أوجه؛ لأن الأول لا يسلِّمه الخصم؛ لأنه قائل بعموم المشترك ...</w:t>
      </w:r>
      <w:r>
        <w:rPr>
          <w:rFonts w:hint="eastAsia"/>
          <w:spacing w:val="8"/>
          <w:rtl/>
        </w:rPr>
        <w:t>»</w:t>
      </w:r>
      <w:r>
        <w:rPr>
          <w:rFonts w:hint="cs"/>
          <w:spacing w:val="8"/>
          <w:rtl/>
        </w:rPr>
        <w:t>.</w:t>
      </w:r>
    </w:p>
  </w:footnote>
  <w:footnote w:id="4048">
    <w:p w:rsidR="00035BE3" w:rsidRDefault="00035BE3" w:rsidP="00C10469">
      <w:pPr>
        <w:pStyle w:val="a8"/>
        <w:bidi/>
        <w:spacing w:line="50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الأشباه والنظائر لابن نجيم، ص29- مع زيادة لبعض الألفاظ، أهمها ما سبق ذكره في الهامش السابق-.</w:t>
      </w:r>
    </w:p>
  </w:footnote>
  <w:footnote w:id="404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خلف</w:t>
      </w:r>
      <w:r>
        <w:rPr>
          <w:rFonts w:hint="eastAsia"/>
          <w:rtl/>
        </w:rPr>
        <w:t>»</w:t>
      </w:r>
      <w:r>
        <w:rPr>
          <w:rFonts w:hint="cs"/>
          <w:rtl/>
        </w:rPr>
        <w:t>.</w:t>
      </w:r>
    </w:p>
  </w:footnote>
  <w:footnote w:id="405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يشرع</w:t>
      </w:r>
      <w:r>
        <w:rPr>
          <w:rFonts w:hint="eastAsia"/>
          <w:rtl/>
        </w:rPr>
        <w:t>»</w:t>
      </w:r>
      <w:r>
        <w:rPr>
          <w:rFonts w:hint="cs"/>
          <w:rtl/>
        </w:rPr>
        <w:t>. والصحيح ما تم إثباته من (ب) و(د).</w:t>
      </w:r>
    </w:p>
  </w:footnote>
  <w:footnote w:id="405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(5) من سورة (البينة).</w:t>
      </w:r>
    </w:p>
  </w:footnote>
  <w:footnote w:id="405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و(هـ): </w:t>
      </w:r>
      <w:r>
        <w:rPr>
          <w:rFonts w:hint="eastAsia"/>
          <w:rtl/>
        </w:rPr>
        <w:t>«</w:t>
      </w:r>
      <w:r>
        <w:rPr>
          <w:rFonts w:hint="cs"/>
          <w:rtl/>
        </w:rPr>
        <w:t>شروطه</w:t>
      </w:r>
      <w:r>
        <w:rPr>
          <w:rtl/>
        </w:rPr>
        <w:t>»</w:t>
      </w:r>
      <w:r>
        <w:rPr>
          <w:rFonts w:hint="cs"/>
          <w:rtl/>
        </w:rPr>
        <w:t xml:space="preserve">،وفي (ب) و(جـ): </w:t>
      </w:r>
      <w:r>
        <w:rPr>
          <w:rFonts w:hint="eastAsia"/>
          <w:rtl/>
        </w:rPr>
        <w:t>«</w:t>
      </w:r>
      <w:r>
        <w:rPr>
          <w:rFonts w:hint="cs"/>
          <w:rtl/>
        </w:rPr>
        <w:t>شروطة</w:t>
      </w:r>
      <w:r>
        <w:rPr>
          <w:rtl/>
        </w:rPr>
        <w:t>»</w:t>
      </w:r>
      <w:r>
        <w:rPr>
          <w:rFonts w:hint="cs"/>
          <w:rtl/>
        </w:rPr>
        <w:t xml:space="preserve">. والصواب ما تم إثباته من (د) و(و)؛ لأنه المناسب مع ما جاء في مصدر هذه العبارة (وهو العناية)؛ حيث جاء فيها: </w:t>
      </w:r>
      <w:r>
        <w:rPr>
          <w:rFonts w:hint="eastAsia"/>
          <w:rtl/>
        </w:rPr>
        <w:t>«</w:t>
      </w:r>
      <w:r>
        <w:rPr>
          <w:rFonts w:hint="cs"/>
          <w:rtl/>
        </w:rPr>
        <w:t>شروط</w:t>
      </w:r>
      <w:r>
        <w:rPr>
          <w:rtl/>
        </w:rPr>
        <w:t>»</w:t>
      </w:r>
      <w:r>
        <w:rPr>
          <w:rFonts w:hint="cs"/>
          <w:rtl/>
        </w:rPr>
        <w:t>.</w:t>
      </w:r>
    </w:p>
  </w:footnote>
  <w:footnote w:id="405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العناية، 1/32، حيث جاء فيها: </w:t>
      </w:r>
      <w:r>
        <w:rPr>
          <w:rFonts w:hint="eastAsia"/>
          <w:rtl/>
        </w:rPr>
        <w:t>«</w:t>
      </w:r>
      <w:r>
        <w:rPr>
          <w:rFonts w:hint="cs"/>
          <w:rtl/>
        </w:rPr>
        <w:t>... وكل ما هو عبادة لا يصح بدون النية؛ ل</w:t>
      </w:r>
      <w:r>
        <w:rPr>
          <w:rFonts w:hint="cs"/>
          <w:rtl/>
          <w:lang w:bidi="ar-AE"/>
        </w:rPr>
        <w:t>ـ</w:t>
      </w:r>
      <w:r>
        <w:rPr>
          <w:rFonts w:hint="cs"/>
          <w:rtl/>
        </w:rPr>
        <w:t xml:space="preserve">قوله تـعالى: </w:t>
      </w:r>
      <w:r>
        <w:rPr>
          <w:color w:val="000000"/>
          <w:sz w:val="24"/>
          <w:szCs w:val="24"/>
        </w:rPr>
        <w:sym w:font="HQPB2" w:char="F0E2"/>
      </w:r>
      <w:r>
        <w:rPr>
          <w:color w:val="000000"/>
          <w:sz w:val="24"/>
          <w:szCs w:val="24"/>
          <w:rtl/>
        </w:rPr>
        <w:t xml:space="preserve"> </w:t>
      </w:r>
      <w:r>
        <w:rPr>
          <w:color w:val="000000"/>
          <w:sz w:val="24"/>
          <w:szCs w:val="24"/>
        </w:rPr>
        <w:sym w:font="HQPB5" w:char="F021"/>
      </w:r>
      <w:r>
        <w:rPr>
          <w:color w:val="000000"/>
          <w:sz w:val="24"/>
          <w:szCs w:val="24"/>
        </w:rPr>
        <w:sym w:font="HQPB1" w:char="F024"/>
      </w:r>
      <w:r>
        <w:rPr>
          <w:color w:val="000000"/>
          <w:sz w:val="24"/>
          <w:szCs w:val="24"/>
        </w:rPr>
        <w:sym w:font="HQPB5" w:char="F074"/>
      </w:r>
      <w:r>
        <w:rPr>
          <w:color w:val="000000"/>
          <w:sz w:val="24"/>
          <w:szCs w:val="24"/>
        </w:rPr>
        <w:sym w:font="HQPB2" w:char="F042"/>
      </w:r>
      <w:r>
        <w:rPr>
          <w:color w:val="000000"/>
          <w:sz w:val="24"/>
          <w:szCs w:val="24"/>
        </w:rPr>
        <w:sym w:font="HQPB5" w:char="F075"/>
      </w:r>
      <w:r>
        <w:rPr>
          <w:color w:val="000000"/>
          <w:sz w:val="24"/>
          <w:szCs w:val="24"/>
        </w:rPr>
        <w:sym w:font="HQPB2" w:char="F072"/>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4" w:char="F0FF"/>
      </w:r>
      <w:r>
        <w:rPr>
          <w:color w:val="000000"/>
          <w:sz w:val="24"/>
          <w:szCs w:val="24"/>
        </w:rPr>
        <w:sym w:font="HQPB2" w:char="F072"/>
      </w:r>
      <w:r>
        <w:rPr>
          <w:color w:val="000000"/>
          <w:sz w:val="24"/>
          <w:szCs w:val="24"/>
        </w:rPr>
        <w:sym w:font="HQPB4" w:char="F0E2"/>
      </w:r>
      <w:r>
        <w:rPr>
          <w:color w:val="000000"/>
          <w:sz w:val="24"/>
          <w:szCs w:val="24"/>
        </w:rPr>
        <w:sym w:font="HQPB1" w:char="F090"/>
      </w:r>
      <w:r>
        <w:rPr>
          <w:color w:val="000000"/>
          <w:sz w:val="24"/>
          <w:szCs w:val="24"/>
        </w:rPr>
        <w:sym w:font="HQPB4" w:char="F0C9"/>
      </w:r>
      <w:r>
        <w:rPr>
          <w:color w:val="000000"/>
          <w:sz w:val="24"/>
          <w:szCs w:val="24"/>
        </w:rPr>
        <w:sym w:font="HQPB2" w:char="F044"/>
      </w:r>
      <w:r>
        <w:rPr>
          <w:color w:val="000000"/>
          <w:sz w:val="24"/>
          <w:szCs w:val="24"/>
        </w:rPr>
        <w:sym w:font="HQPB4" w:char="F0E9"/>
      </w:r>
      <w:r>
        <w:rPr>
          <w:color w:val="000000"/>
          <w:sz w:val="24"/>
          <w:szCs w:val="24"/>
        </w:rPr>
        <w:sym w:font="HQPB1" w:char="F026"/>
      </w:r>
      <w:r>
        <w:rPr>
          <w:color w:val="000000"/>
          <w:sz w:val="24"/>
          <w:szCs w:val="24"/>
          <w:rtl/>
        </w:rPr>
        <w:t xml:space="preserve"> </w:t>
      </w:r>
      <w:r>
        <w:rPr>
          <w:color w:val="000000"/>
          <w:sz w:val="24"/>
          <w:szCs w:val="24"/>
        </w:rPr>
        <w:sym w:font="HQPB5" w:char="F09E"/>
      </w:r>
      <w:r>
        <w:rPr>
          <w:color w:val="000000"/>
          <w:sz w:val="24"/>
          <w:szCs w:val="24"/>
        </w:rPr>
        <w:sym w:font="HQPB2" w:char="F077"/>
      </w:r>
      <w:r>
        <w:rPr>
          <w:color w:val="000000"/>
          <w:sz w:val="24"/>
          <w:szCs w:val="24"/>
        </w:rPr>
        <w:sym w:font="HQPB4" w:char="F0CE"/>
      </w:r>
      <w:r>
        <w:rPr>
          <w:color w:val="000000"/>
          <w:sz w:val="24"/>
          <w:szCs w:val="24"/>
        </w:rPr>
        <w:sym w:font="HQPB1" w:char="F029"/>
      </w:r>
      <w:r>
        <w:rPr>
          <w:color w:val="000000"/>
          <w:sz w:val="24"/>
          <w:szCs w:val="24"/>
          <w:rtl/>
        </w:rPr>
        <w:t xml:space="preserve"> </w:t>
      </w:r>
      <w:r>
        <w:rPr>
          <w:color w:val="000000"/>
          <w:sz w:val="24"/>
          <w:szCs w:val="24"/>
        </w:rPr>
        <w:sym w:font="HQPB5" w:char="F028"/>
      </w:r>
      <w:r>
        <w:rPr>
          <w:color w:val="000000"/>
          <w:sz w:val="24"/>
          <w:szCs w:val="24"/>
        </w:rPr>
        <w:sym w:font="HQPB1" w:char="F023"/>
      </w:r>
      <w:r>
        <w:rPr>
          <w:color w:val="000000"/>
          <w:sz w:val="24"/>
          <w:szCs w:val="24"/>
        </w:rPr>
        <w:sym w:font="HQPB2" w:char="F072"/>
      </w:r>
      <w:r>
        <w:rPr>
          <w:color w:val="000000"/>
          <w:sz w:val="24"/>
          <w:szCs w:val="24"/>
        </w:rPr>
        <w:sym w:font="HQPB4" w:char="F0DF"/>
      </w:r>
      <w:r>
        <w:rPr>
          <w:color w:val="000000"/>
          <w:sz w:val="24"/>
          <w:szCs w:val="24"/>
        </w:rPr>
        <w:sym w:font="HQPB1" w:char="F089"/>
      </w:r>
      <w:r>
        <w:rPr>
          <w:color w:val="000000"/>
          <w:sz w:val="24"/>
          <w:szCs w:val="24"/>
        </w:rPr>
        <w:sym w:font="HQPB4" w:char="F0E7"/>
      </w:r>
      <w:r>
        <w:rPr>
          <w:color w:val="000000"/>
          <w:sz w:val="24"/>
          <w:szCs w:val="24"/>
        </w:rPr>
        <w:sym w:font="HQPB1" w:char="F036"/>
      </w:r>
      <w:r>
        <w:rPr>
          <w:color w:val="000000"/>
          <w:sz w:val="24"/>
          <w:szCs w:val="24"/>
        </w:rPr>
        <w:sym w:font="HQPB4" w:char="F0F7"/>
      </w:r>
      <w:r>
        <w:rPr>
          <w:color w:val="000000"/>
          <w:sz w:val="24"/>
          <w:szCs w:val="24"/>
        </w:rPr>
        <w:sym w:font="HQPB1" w:char="F0E8"/>
      </w:r>
      <w:r>
        <w:rPr>
          <w:color w:val="000000"/>
          <w:sz w:val="24"/>
          <w:szCs w:val="24"/>
        </w:rPr>
        <w:sym w:font="HQPB5" w:char="F075"/>
      </w:r>
      <w:r>
        <w:rPr>
          <w:color w:val="000000"/>
          <w:sz w:val="24"/>
          <w:szCs w:val="24"/>
        </w:rPr>
        <w:sym w:font="HQPB2" w:char="F08B"/>
      </w:r>
      <w:r>
        <w:rPr>
          <w:color w:val="000000"/>
          <w:sz w:val="24"/>
          <w:szCs w:val="24"/>
        </w:rPr>
        <w:sym w:font="HQPB4" w:char="F0CF"/>
      </w:r>
      <w:r>
        <w:rPr>
          <w:color w:val="000000"/>
          <w:sz w:val="24"/>
          <w:szCs w:val="24"/>
        </w:rPr>
        <w:sym w:font="HQPB2" w:char="F039"/>
      </w:r>
      <w:r>
        <w:rPr>
          <w:color w:val="000000"/>
          <w:sz w:val="24"/>
          <w:szCs w:val="24"/>
          <w:rtl/>
        </w:rPr>
        <w:t xml:space="preserve"> </w:t>
      </w:r>
      <w:r>
        <w:rPr>
          <w:color w:val="000000"/>
          <w:sz w:val="24"/>
          <w:szCs w:val="24"/>
        </w:rPr>
        <w:sym w:font="HQPB5" w:char="F0A9"/>
      </w:r>
      <w:r>
        <w:rPr>
          <w:color w:val="000000"/>
          <w:sz w:val="24"/>
          <w:szCs w:val="24"/>
        </w:rPr>
        <w:sym w:font="HQPB1" w:char="F021"/>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5" w:char="F074"/>
      </w:r>
      <w:r>
        <w:rPr>
          <w:color w:val="000000"/>
          <w:sz w:val="24"/>
          <w:szCs w:val="24"/>
        </w:rPr>
        <w:sym w:font="HQPB2" w:char="F0FB"/>
      </w:r>
      <w:r>
        <w:rPr>
          <w:color w:val="000000"/>
          <w:sz w:val="24"/>
          <w:szCs w:val="24"/>
        </w:rPr>
        <w:sym w:font="HQPB2" w:char="F0FC"/>
      </w:r>
      <w:r>
        <w:rPr>
          <w:color w:val="000000"/>
          <w:sz w:val="24"/>
          <w:szCs w:val="24"/>
        </w:rPr>
        <w:sym w:font="HQPB4" w:char="F0C5"/>
      </w:r>
      <w:r>
        <w:rPr>
          <w:color w:val="000000"/>
          <w:sz w:val="24"/>
          <w:szCs w:val="24"/>
        </w:rPr>
        <w:sym w:font="HQPB1" w:char="F0C1"/>
      </w:r>
      <w:r>
        <w:rPr>
          <w:color w:val="000000"/>
          <w:sz w:val="24"/>
          <w:szCs w:val="24"/>
        </w:rPr>
        <w:sym w:font="HQPB4" w:char="F0CE"/>
      </w:r>
      <w:r>
        <w:rPr>
          <w:color w:val="000000"/>
          <w:sz w:val="24"/>
          <w:szCs w:val="24"/>
        </w:rPr>
        <w:sym w:font="HQPB2" w:char="F03D"/>
      </w:r>
      <w:r>
        <w:rPr>
          <w:color w:val="000000"/>
          <w:sz w:val="24"/>
          <w:szCs w:val="24"/>
        </w:rPr>
        <w:sym w:font="HQPB4" w:char="F0F8"/>
      </w:r>
      <w:r>
        <w:rPr>
          <w:color w:val="000000"/>
          <w:sz w:val="24"/>
          <w:szCs w:val="24"/>
        </w:rPr>
        <w:sym w:font="HQPB1" w:char="F083"/>
      </w:r>
      <w:r>
        <w:rPr>
          <w:color w:val="000000"/>
          <w:sz w:val="24"/>
          <w:szCs w:val="24"/>
        </w:rPr>
        <w:sym w:font="HQPB4" w:char="F0E8"/>
      </w:r>
      <w:r>
        <w:rPr>
          <w:color w:val="000000"/>
          <w:sz w:val="24"/>
          <w:szCs w:val="24"/>
        </w:rPr>
        <w:sym w:font="HQPB2" w:char="F043"/>
      </w:r>
      <w:r>
        <w:rPr>
          <w:color w:val="000000"/>
          <w:sz w:val="24"/>
          <w:szCs w:val="24"/>
          <w:rtl/>
        </w:rPr>
        <w:t xml:space="preserve"> </w:t>
      </w:r>
      <w:r>
        <w:rPr>
          <w:color w:val="000000"/>
          <w:sz w:val="24"/>
          <w:szCs w:val="24"/>
        </w:rPr>
        <w:sym w:font="HQPB4" w:char="F0E3"/>
      </w:r>
      <w:r>
        <w:rPr>
          <w:color w:val="000000"/>
          <w:sz w:val="24"/>
          <w:szCs w:val="24"/>
        </w:rPr>
        <w:sym w:font="HQPB3" w:char="F026"/>
      </w:r>
      <w:r>
        <w:rPr>
          <w:color w:val="000000"/>
          <w:sz w:val="24"/>
          <w:szCs w:val="24"/>
        </w:rPr>
        <w:sym w:font="HQPB5" w:char="F073"/>
      </w:r>
      <w:r>
        <w:rPr>
          <w:color w:val="000000"/>
          <w:sz w:val="24"/>
          <w:szCs w:val="24"/>
        </w:rPr>
        <w:sym w:font="HQPB3" w:char="F021"/>
      </w:r>
      <w:r>
        <w:rPr>
          <w:color w:val="000000"/>
          <w:sz w:val="24"/>
          <w:szCs w:val="24"/>
          <w:rtl/>
        </w:rPr>
        <w:t xml:space="preserve"> </w:t>
      </w:r>
      <w:r>
        <w:rPr>
          <w:color w:val="000000"/>
          <w:sz w:val="24"/>
          <w:szCs w:val="24"/>
        </w:rPr>
        <w:sym w:font="HQPB5" w:char="F074"/>
      </w:r>
      <w:r>
        <w:rPr>
          <w:color w:val="000000"/>
          <w:sz w:val="24"/>
          <w:szCs w:val="24"/>
        </w:rPr>
        <w:sym w:font="HQPB2" w:char="F0FB"/>
      </w:r>
      <w:r>
        <w:rPr>
          <w:color w:val="000000"/>
          <w:sz w:val="24"/>
          <w:szCs w:val="24"/>
        </w:rPr>
        <w:sym w:font="HQPB2" w:char="F0EF"/>
      </w:r>
      <w:r>
        <w:rPr>
          <w:color w:val="000000"/>
          <w:sz w:val="24"/>
          <w:szCs w:val="24"/>
        </w:rPr>
        <w:sym w:font="HQPB4" w:char="F0CF"/>
      </w:r>
      <w:r>
        <w:rPr>
          <w:color w:val="000000"/>
          <w:sz w:val="24"/>
          <w:szCs w:val="24"/>
        </w:rPr>
        <w:sym w:font="HQPB4" w:char="F065"/>
      </w:r>
      <w:r>
        <w:rPr>
          <w:color w:val="000000"/>
          <w:sz w:val="24"/>
          <w:szCs w:val="24"/>
        </w:rPr>
        <w:sym w:font="HQPB3" w:char="F024"/>
      </w:r>
      <w:r>
        <w:rPr>
          <w:color w:val="000000"/>
          <w:sz w:val="24"/>
          <w:szCs w:val="24"/>
        </w:rPr>
        <w:sym w:font="HQPB3" w:char="F021"/>
      </w:r>
      <w:r>
        <w:rPr>
          <w:color w:val="000000"/>
          <w:sz w:val="24"/>
          <w:szCs w:val="24"/>
        </w:rPr>
        <w:sym w:font="HQPB5" w:char="F024"/>
      </w:r>
      <w:r>
        <w:rPr>
          <w:color w:val="000000"/>
          <w:sz w:val="24"/>
          <w:szCs w:val="24"/>
        </w:rPr>
        <w:sym w:font="HQPB1" w:char="F023"/>
      </w:r>
      <w:r>
        <w:rPr>
          <w:color w:val="000000"/>
          <w:sz w:val="24"/>
          <w:szCs w:val="24"/>
          <w:rtl/>
        </w:rPr>
        <w:t xml:space="preserve"> </w:t>
      </w:r>
      <w:r>
        <w:rPr>
          <w:color w:val="000000"/>
          <w:sz w:val="24"/>
          <w:szCs w:val="24"/>
        </w:rPr>
        <w:sym w:font="HQPB2" w:char="F0E1"/>
      </w:r>
      <w:r>
        <w:rPr>
          <w:rFonts w:hint="cs"/>
          <w:rtl/>
        </w:rPr>
        <w:t>، والإخلاص لا يحصل إلا بالنية، وقد جعله حالاً للعابدين، والأحوال شروط، فتكون كل عبادة مشروطة بالنية</w:t>
      </w:r>
      <w:r>
        <w:rPr>
          <w:rFonts w:hint="eastAsia"/>
          <w:rtl/>
        </w:rPr>
        <w:t>»</w:t>
      </w:r>
      <w:r>
        <w:rPr>
          <w:rFonts w:hint="cs"/>
          <w:rtl/>
        </w:rPr>
        <w:t>.</w:t>
      </w:r>
    </w:p>
  </w:footnote>
  <w:footnote w:id="40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49/ب من (د).</w:t>
      </w:r>
    </w:p>
  </w:footnote>
  <w:footnote w:id="40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فإن فعل النية...</w:t>
      </w:r>
    </w:p>
  </w:footnote>
  <w:footnote w:id="40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شرط</w:t>
      </w:r>
      <w:r>
        <w:rPr>
          <w:rFonts w:hint="eastAsia"/>
          <w:rtl/>
        </w:rPr>
        <w:t>»</w:t>
      </w:r>
      <w:r>
        <w:rPr>
          <w:rFonts w:hint="cs"/>
          <w:rtl/>
        </w:rPr>
        <w:t>.</w:t>
      </w:r>
    </w:p>
  </w:footnote>
  <w:footnote w:id="40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عند الحنفية.</w:t>
      </w:r>
    </w:p>
    <w:p w:rsidR="00035BE3" w:rsidRDefault="00035BE3" w:rsidP="00C10469">
      <w:pPr>
        <w:pStyle w:val="a6"/>
        <w:ind w:left="422" w:firstLine="0"/>
        <w:rPr>
          <w:rtl/>
        </w:rPr>
      </w:pPr>
      <w:r>
        <w:rPr>
          <w:rFonts w:hint="cs"/>
          <w:rtl/>
        </w:rPr>
        <w:t>والجمهور على اشتراطها.</w:t>
      </w:r>
    </w:p>
    <w:p w:rsidR="00035BE3" w:rsidRDefault="00035BE3" w:rsidP="00C10469">
      <w:pPr>
        <w:pStyle w:val="a6"/>
        <w:ind w:left="420" w:firstLine="0"/>
        <w:jc w:val="mediumKashida"/>
        <w:rPr>
          <w:rtl/>
        </w:rPr>
      </w:pPr>
      <w:r>
        <w:rPr>
          <w:rFonts w:hint="cs"/>
          <w:rtl/>
        </w:rPr>
        <w:t>انظر : مختصر الخرقي وشرحه : المغني، 1/156؛ الهداية والعناية وفتح القدير، 1/32؛ المنهاج للنووي وشرحه : مغني المحتاج، 1/47؛ مختصر خليل وشرحيه : مواهب الجليل للحطاب؛ والتاج والإكليل، 1/331؛ الدرر شرح الغرر، 1/10؛ تنوير الأبصار وشرحه الدّر المختار وحاشيته : رد المحتار، 1/222.</w:t>
      </w:r>
    </w:p>
  </w:footnote>
  <w:footnote w:id="40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 ساقطة من (جـ).</w:t>
      </w:r>
    </w:p>
  </w:footnote>
  <w:footnote w:id="40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زيادة </w:t>
      </w:r>
      <w:r>
        <w:rPr>
          <w:rFonts w:hint="eastAsia"/>
          <w:rtl/>
        </w:rPr>
        <w:t>«</w:t>
      </w:r>
      <w:r>
        <w:rPr>
          <w:rFonts w:hint="cs"/>
          <w:rtl/>
        </w:rPr>
        <w:t>تعظيمًا لأمر ربّه</w:t>
      </w:r>
      <w:r>
        <w:rPr>
          <w:rFonts w:hint="eastAsia"/>
          <w:rtl/>
        </w:rPr>
        <w:t>»</w:t>
      </w:r>
      <w:r>
        <w:rPr>
          <w:rFonts w:hint="cs"/>
          <w:rtl/>
        </w:rPr>
        <w:t>.</w:t>
      </w:r>
    </w:p>
  </w:footnote>
  <w:footnote w:id="40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1/32- مع الاختلاف السابق-.</w:t>
      </w:r>
    </w:p>
  </w:footnote>
  <w:footnote w:id="40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81/ب من (أ).</w:t>
      </w:r>
    </w:p>
  </w:footnote>
  <w:footnote w:id="406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كونه</w:t>
      </w:r>
      <w:r>
        <w:rPr>
          <w:rFonts w:hint="eastAsia"/>
          <w:rtl/>
        </w:rPr>
        <w:t>»</w:t>
      </w:r>
      <w:r>
        <w:rPr>
          <w:rFonts w:hint="cs"/>
          <w:rtl/>
        </w:rPr>
        <w:t>.</w:t>
      </w:r>
    </w:p>
  </w:footnote>
  <w:footnote w:id="406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لو أنِّث الفعل فقيل : (فبقيت) أو (فتبقى) لكان أفصح.</w:t>
      </w:r>
    </w:p>
  </w:footnote>
  <w:footnote w:id="406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لتطهير</w:t>
      </w:r>
      <w:r>
        <w:rPr>
          <w:rFonts w:hint="eastAsia"/>
          <w:rtl/>
        </w:rPr>
        <w:t>»</w:t>
      </w:r>
      <w:r>
        <w:rPr>
          <w:rFonts w:hint="cs"/>
          <w:rtl/>
        </w:rPr>
        <w:t>.</w:t>
      </w:r>
    </w:p>
  </w:footnote>
  <w:footnote w:id="406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وفتح القدير، 1/32-33.</w:t>
      </w:r>
    </w:p>
  </w:footnote>
  <w:footnote w:id="40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بغيره</w:t>
      </w:r>
      <w:r>
        <w:rPr>
          <w:rFonts w:hint="eastAsia"/>
          <w:rtl/>
        </w:rPr>
        <w:t>»</w:t>
      </w:r>
      <w:r>
        <w:rPr>
          <w:rFonts w:hint="cs"/>
          <w:rtl/>
        </w:rPr>
        <w:t>.</w:t>
      </w:r>
    </w:p>
  </w:footnote>
  <w:footnote w:id="40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بألفاظ متقاربة في عدد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12"/>
          <w:rtl/>
        </w:rPr>
      </w:pPr>
      <w:r>
        <w:rPr>
          <w:rFonts w:hint="cs"/>
          <w:spacing w:val="12"/>
          <w:rtl/>
        </w:rPr>
        <w:t xml:space="preserve">الأشباه والنظائر لابن نجيم، ص382 - ولفظه : </w:t>
      </w:r>
      <w:r>
        <w:rPr>
          <w:rFonts w:hint="eastAsia"/>
          <w:spacing w:val="12"/>
          <w:rtl/>
        </w:rPr>
        <w:t>«</w:t>
      </w:r>
      <w:r>
        <w:rPr>
          <w:rFonts w:hint="cs"/>
          <w:spacing w:val="12"/>
          <w:rtl/>
        </w:rPr>
        <w:t>لا يدخل في ملك الإنسان شيء بغير اختياره إلا ...</w:t>
      </w:r>
      <w:r>
        <w:rPr>
          <w:rFonts w:hint="eastAsia"/>
          <w:spacing w:val="12"/>
          <w:rtl/>
        </w:rPr>
        <w:t>»</w:t>
      </w:r>
      <w:r>
        <w:rPr>
          <w:rFonts w:hint="cs"/>
          <w:spacing w:val="12"/>
          <w:rtl/>
        </w:rPr>
        <w:t xml:space="preserve">-؛ مجامع الحقائق (الخاتمة)، ص46؛ شرح العلائي لقواعد الخادمي، ل32/أ؛ منافع الدقائق، ص327- ولفظ الخادمي ومن بعده مطابق للفظ المؤلف-؛ الـمدخل الـفقـهي العام، 2/1088؛ فقرة 712- ولفظه : </w:t>
      </w:r>
      <w:r>
        <w:rPr>
          <w:rFonts w:hint="eastAsia"/>
          <w:spacing w:val="12"/>
          <w:rtl/>
        </w:rPr>
        <w:t>«</w:t>
      </w:r>
      <w:r>
        <w:rPr>
          <w:rFonts w:hint="cs"/>
          <w:spacing w:val="12"/>
          <w:rtl/>
        </w:rPr>
        <w:t>ليس لأحد تمليك غيره بلا رضاه</w:t>
      </w:r>
      <w:r>
        <w:rPr>
          <w:rFonts w:hint="eastAsia"/>
          <w:spacing w:val="12"/>
          <w:rtl/>
        </w:rPr>
        <w:t>»</w:t>
      </w:r>
      <w:r>
        <w:rPr>
          <w:rFonts w:hint="cs"/>
          <w:spacing w:val="12"/>
          <w:rtl/>
        </w:rPr>
        <w:t>-؛ الوجيز، ص324- وقد ذكر لفظ المؤلف ولفظ المدخل-.</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الهداية والعناية، 10/429؛ تبيين الحقائق، 6/184؛ الدّرر شرح الغرر، 2/430.</w:t>
      </w:r>
    </w:p>
    <w:p w:rsidR="00035BE3" w:rsidRDefault="00035BE3" w:rsidP="00C10469">
      <w:pPr>
        <w:pStyle w:val="a6"/>
        <w:ind w:left="422" w:firstLine="0"/>
        <w:rPr>
          <w:rtl/>
        </w:rPr>
      </w:pPr>
      <w:r>
        <w:rPr>
          <w:rFonts w:hint="cs"/>
          <w:rtl/>
        </w:rPr>
        <w:t xml:space="preserve">يضاف إلى ما سبق : أن المؤلف سبق أن ذكر قاعدة بمعنى هذه القاعدة، وهي : </w:t>
      </w:r>
      <w:r>
        <w:rPr>
          <w:rFonts w:hint="eastAsia"/>
          <w:rtl/>
        </w:rPr>
        <w:t>«</w:t>
      </w:r>
      <w:r>
        <w:rPr>
          <w:rFonts w:hint="cs"/>
          <w:rtl/>
        </w:rPr>
        <w:t>التبرع لا يتم إلا بالقبض</w:t>
      </w:r>
      <w:r>
        <w:rPr>
          <w:rFonts w:hint="eastAsia"/>
          <w:rtl/>
        </w:rPr>
        <w:t>»</w:t>
      </w:r>
      <w:r>
        <w:rPr>
          <w:rFonts w:hint="cs"/>
          <w:rtl/>
        </w:rPr>
        <w:t>، وذلك ص481 (ل29/أ)، قاعدة 69. وقد أفصح عن كونهما بمعنى واحد صاحب الوجيز، ص322، 324.</w:t>
      </w:r>
    </w:p>
  </w:footnote>
  <w:footnote w:id="40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60/ب من (جـ).</w:t>
      </w:r>
    </w:p>
  </w:footnote>
  <w:footnote w:id="4069">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الدّرر شرح الغـرر، 2/430؛ وانـظر أيضًا : الهداية والعناية، 10/429؛ تبيين الحقائق، 6/184.</w:t>
      </w:r>
    </w:p>
  </w:footnote>
  <w:footnote w:id="40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والعناية ونتائج الأفكار، 9/19-20، 10/433؛ تبيين الحقائق، 6/186؛ شرح العلائي لقواعد الخادمي، ل32/أ.</w:t>
      </w:r>
    </w:p>
  </w:footnote>
  <w:footnote w:id="40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تحدث عنها المؤلف، ص741 (ل56/أ)، قاعدة 137.</w:t>
      </w:r>
    </w:p>
  </w:footnote>
  <w:footnote w:id="407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(أ) و(جـ) و(هـ) و(و) إلاّ أن (الياء) في (أ) مهملة. وفي (ب) و(د) : </w:t>
      </w:r>
      <w:r>
        <w:rPr>
          <w:rFonts w:hint="eastAsia"/>
          <w:rtl/>
        </w:rPr>
        <w:t>«</w:t>
      </w:r>
      <w:r>
        <w:rPr>
          <w:rFonts w:hint="cs"/>
          <w:rtl/>
        </w:rPr>
        <w:t>تملك</w:t>
      </w:r>
      <w:r>
        <w:rPr>
          <w:rFonts w:hint="eastAsia"/>
          <w:rtl/>
        </w:rPr>
        <w:t>»</w:t>
      </w:r>
      <w:r>
        <w:rPr>
          <w:rFonts w:hint="cs"/>
          <w:rtl/>
        </w:rPr>
        <w:t xml:space="preserve"> (بإسقاط الياء). والمُثبت هو الموافق لمصدر هذه العبارة (وهو العناية).</w:t>
      </w:r>
    </w:p>
  </w:footnote>
  <w:footnote w:id="407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إلى</w:t>
      </w:r>
      <w:r>
        <w:rPr>
          <w:rFonts w:hint="eastAsia"/>
          <w:rtl/>
        </w:rPr>
        <w:t>»</w:t>
      </w:r>
      <w:r>
        <w:rPr>
          <w:rFonts w:hint="cs"/>
          <w:rtl/>
        </w:rPr>
        <w:t xml:space="preserve"> : ساقطة من (ب).</w:t>
      </w:r>
    </w:p>
  </w:footnote>
  <w:footnote w:id="407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العناية، 10/413-414، مع اختلاف أهمه أنه قال في آخر العبارة : </w:t>
      </w:r>
      <w:r>
        <w:rPr>
          <w:rFonts w:hint="eastAsia"/>
          <w:rtl/>
        </w:rPr>
        <w:t>«</w:t>
      </w:r>
      <w:r>
        <w:rPr>
          <w:rFonts w:hint="cs"/>
          <w:rtl/>
        </w:rPr>
        <w:t>... إلا أنّا استحسناه؛ لحاجة الناس إليه</w:t>
      </w:r>
      <w:r>
        <w:rPr>
          <w:rFonts w:hint="eastAsia"/>
          <w:rtl/>
        </w:rPr>
        <w:t>»</w:t>
      </w:r>
      <w:r>
        <w:rPr>
          <w:rFonts w:hint="cs"/>
          <w:rtl/>
        </w:rPr>
        <w:t>؛ وانظر : الهداية، 10/413.</w:t>
      </w:r>
    </w:p>
  </w:footnote>
  <w:footnote w:id="4075">
    <w:p w:rsidR="00035BE3" w:rsidRDefault="00035BE3" w:rsidP="00C10469">
      <w:pPr>
        <w:pStyle w:val="a8"/>
        <w:bidi/>
        <w:ind w:left="422" w:right="0"/>
        <w:rPr>
          <w:spacing w:val="8"/>
          <w:rtl/>
        </w:rPr>
      </w:pPr>
      <w:r>
        <w:rPr>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F25A13">
        <w:rPr>
          <w:rFonts w:hint="cs"/>
          <w:rtl/>
        </w:rPr>
        <w:t xml:space="preserve"> </w:t>
      </w:r>
      <w:r>
        <w:rPr>
          <w:rFonts w:hint="cs"/>
          <w:rtl/>
        </w:rPr>
        <w:t xml:space="preserve"> </w:t>
      </w:r>
      <w:r w:rsidRPr="00F25A13">
        <w:rPr>
          <w:rFonts w:hint="cs"/>
          <w:rtl/>
        </w:rPr>
        <w:t>انظر: تبـيين الحـقائـق، 6/184؛ الـدّرر شرح الغرر، 2/430؛ الأشباه والنظائر لابن نجيم، ص 382.</w:t>
      </w:r>
    </w:p>
  </w:footnote>
  <w:footnote w:id="407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كان</w:t>
      </w:r>
      <w:r>
        <w:rPr>
          <w:rtl/>
        </w:rPr>
        <w:t>»</w:t>
      </w:r>
      <w:r>
        <w:rPr>
          <w:rFonts w:hint="cs"/>
          <w:rtl/>
        </w:rPr>
        <w:t>: ساقطة من (جـ).</w:t>
      </w:r>
    </w:p>
  </w:footnote>
  <w:footnote w:id="407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تبيين الحقائق، 6/184؛ الدرر شرح الغرر، 2/430.</w:t>
      </w:r>
    </w:p>
  </w:footnote>
  <w:footnote w:id="40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82/أ من (أ).</w:t>
      </w:r>
    </w:p>
  </w:footnote>
  <w:footnote w:id="40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كنـز الدقائق وتبيين الحقائق، 6/184؛ الدّرر شرح الغرر، 2/430؛ الأشباه والنظائر لابن نجيم، ص382.</w:t>
      </w:r>
    </w:p>
  </w:footnote>
  <w:footnote w:id="40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الدّرر) : </w:t>
      </w:r>
      <w:r>
        <w:rPr>
          <w:rFonts w:hint="eastAsia"/>
          <w:rtl/>
        </w:rPr>
        <w:t>«</w:t>
      </w:r>
      <w:r>
        <w:rPr>
          <w:rFonts w:hint="cs"/>
          <w:rtl/>
        </w:rPr>
        <w:t>تبطل</w:t>
      </w:r>
      <w:r>
        <w:rPr>
          <w:rFonts w:hint="eastAsia"/>
          <w:rtl/>
        </w:rPr>
        <w:t>»</w:t>
      </w:r>
      <w:r>
        <w:rPr>
          <w:rFonts w:hint="cs"/>
          <w:rtl/>
        </w:rPr>
        <w:t>. وهذا الأفصح.</w:t>
      </w:r>
    </w:p>
  </w:footnote>
  <w:footnote w:id="40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 xml:space="preserve">قبوله </w:t>
      </w:r>
      <w:r>
        <w:rPr>
          <w:rFonts w:hint="cs"/>
          <w:b/>
          <w:bCs/>
          <w:rtl/>
        </w:rPr>
        <w:t>بخلاف</w:t>
      </w:r>
      <w:r>
        <w:rPr>
          <w:rFonts w:hint="cs"/>
          <w:rtl/>
        </w:rPr>
        <w:t xml:space="preserve"> إيجاب...</w:t>
      </w:r>
      <w:r>
        <w:rPr>
          <w:rtl/>
        </w:rPr>
        <w:t>»</w:t>
      </w:r>
      <w:r>
        <w:rPr>
          <w:rFonts w:hint="cs"/>
          <w:rtl/>
        </w:rPr>
        <w:t>.</w:t>
      </w:r>
    </w:p>
  </w:footnote>
  <w:footnote w:id="4082">
    <w:p w:rsidR="00035BE3" w:rsidRDefault="00035BE3" w:rsidP="00C10469">
      <w:pPr>
        <w:pStyle w:val="a8"/>
        <w:bidi/>
        <w:spacing w:line="460" w:lineRule="exact"/>
        <w:ind w:left="422" w:right="0"/>
        <w:rPr>
          <w:spacing w:val="-10"/>
          <w:rtl/>
        </w:rPr>
      </w:pPr>
      <w:r>
        <w:rPr>
          <w:rFonts w:hint="cs"/>
          <w:vertAlign w:val="superscript"/>
          <w:rtl/>
        </w:rPr>
        <w:t>(</w:t>
      </w:r>
      <w:r>
        <w:rPr>
          <w:rStyle w:val="a7"/>
          <w:spacing w:val="-10"/>
        </w:rPr>
        <w:footnoteRef/>
      </w:r>
      <w:r>
        <w:rPr>
          <w:rFonts w:hint="cs"/>
          <w:vertAlign w:val="superscript"/>
          <w:rtl/>
        </w:rPr>
        <w:t>)</w:t>
      </w:r>
      <w:r>
        <w:rPr>
          <w:rFonts w:hint="cs"/>
          <w:rtl/>
        </w:rPr>
        <w:t xml:space="preserve">   </w:t>
      </w:r>
      <w:r>
        <w:rPr>
          <w:rFonts w:hint="cs"/>
          <w:spacing w:val="-10"/>
          <w:rtl/>
        </w:rPr>
        <w:t>اللام في (يلحقه) من النسخة (أ) يبدوا أنها أصابها شيء من الأرضة فأصبحت كأنها</w:t>
      </w:r>
      <w:r>
        <w:rPr>
          <w:spacing w:val="-10"/>
        </w:rPr>
        <w:t xml:space="preserve"> </w:t>
      </w:r>
      <w:r>
        <w:rPr>
          <w:rFonts w:hint="cs"/>
          <w:spacing w:val="-10"/>
          <w:rtl/>
        </w:rPr>
        <w:t xml:space="preserve">: </w:t>
      </w:r>
      <w:r>
        <w:rPr>
          <w:rFonts w:hint="eastAsia"/>
          <w:spacing w:val="-10"/>
          <w:rtl/>
        </w:rPr>
        <w:t>«</w:t>
      </w:r>
      <w:r>
        <w:rPr>
          <w:rFonts w:hint="cs"/>
          <w:spacing w:val="-10"/>
          <w:rtl/>
        </w:rPr>
        <w:t>ينحقه</w:t>
      </w:r>
      <w:r>
        <w:rPr>
          <w:rFonts w:hint="eastAsia"/>
          <w:spacing w:val="-10"/>
          <w:rtl/>
        </w:rPr>
        <w:t>»</w:t>
      </w:r>
      <w:r>
        <w:rPr>
          <w:rFonts w:hint="cs"/>
          <w:spacing w:val="-10"/>
          <w:rtl/>
        </w:rPr>
        <w:t>. وهي مثبتة في باقي النسخ.</w:t>
      </w:r>
    </w:p>
  </w:footnote>
  <w:footnote w:id="4083">
    <w:p w:rsidR="00035BE3" w:rsidRDefault="00035BE3" w:rsidP="00C10469">
      <w:pPr>
        <w:pStyle w:val="a8"/>
        <w:bidi/>
        <w:spacing w:line="221" w:lineRule="auto"/>
        <w:ind w:left="420"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الدّرر شرح الغرر، 2/430 - مع اختلاف يسير في الترتيب وبعض الألفاظ-؛ وانظر : الهداية، 10/429.</w:t>
      </w:r>
    </w:p>
  </w:footnote>
  <w:footnote w:id="4084">
    <w:p w:rsidR="00035BE3" w:rsidRDefault="00035BE3" w:rsidP="00C10469">
      <w:pPr>
        <w:pStyle w:val="a8"/>
        <w:bidi/>
        <w:spacing w:line="221" w:lineRule="auto"/>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rtl/>
        </w:rPr>
        <w:t xml:space="preserve"> </w:t>
      </w:r>
      <w:r w:rsidRPr="00F854B0">
        <w:rPr>
          <w:rFonts w:hint="cs"/>
          <w:rtl/>
        </w:rPr>
        <w:t>الأشباه والنظائر لابن نجيم، ص382؛ وانظر: تبيين الحقائق، 6/186؛ الهداية والعناية ونتائج الأفكار، 10/432.</w:t>
      </w:r>
    </w:p>
  </w:footnote>
  <w:footnote w:id="4085">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50/أ من (د).</w:t>
      </w:r>
    </w:p>
  </w:footnote>
  <w:footnote w:id="4086">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يملله</w:t>
      </w:r>
      <w:r>
        <w:rPr>
          <w:rtl/>
        </w:rPr>
        <w:t>»</w:t>
      </w:r>
      <w:r>
        <w:rPr>
          <w:rFonts w:hint="cs"/>
          <w:rtl/>
        </w:rPr>
        <w:t xml:space="preserve">. </w:t>
      </w:r>
    </w:p>
  </w:footnote>
  <w:footnote w:id="4087">
    <w:p w:rsidR="00035BE3" w:rsidRDefault="00035BE3" w:rsidP="00C10469">
      <w:pPr>
        <w:pStyle w:val="a8"/>
        <w:bidi/>
        <w:spacing w:line="221" w:lineRule="auto"/>
        <w:ind w:left="420"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الأشباه والنظائر لابن نجيم، ص382، إلا أنه قال في بداية العبارة : </w:t>
      </w:r>
      <w:r>
        <w:rPr>
          <w:rFonts w:hint="eastAsia"/>
          <w:spacing w:val="-10"/>
          <w:rtl/>
        </w:rPr>
        <w:t>«</w:t>
      </w:r>
      <w:r>
        <w:rPr>
          <w:rFonts w:hint="cs"/>
          <w:spacing w:val="-10"/>
          <w:rtl/>
        </w:rPr>
        <w:t>ما وُهِب...</w:t>
      </w:r>
      <w:r>
        <w:rPr>
          <w:rFonts w:hint="eastAsia"/>
          <w:spacing w:val="-10"/>
          <w:rtl/>
        </w:rPr>
        <w:t>»</w:t>
      </w:r>
      <w:r>
        <w:rPr>
          <w:rFonts w:hint="cs"/>
          <w:spacing w:val="-10"/>
          <w:rtl/>
        </w:rPr>
        <w:t xml:space="preserve">، وفي نهايتها: </w:t>
      </w:r>
      <w:r>
        <w:rPr>
          <w:rFonts w:hint="eastAsia"/>
          <w:spacing w:val="-10"/>
          <w:rtl/>
        </w:rPr>
        <w:t>«</w:t>
      </w:r>
      <w:r>
        <w:rPr>
          <w:rFonts w:hint="cs"/>
          <w:spacing w:val="-10"/>
          <w:rtl/>
        </w:rPr>
        <w:t>... بلا اختياره</w:t>
      </w:r>
      <w:r>
        <w:rPr>
          <w:rFonts w:hint="eastAsia"/>
          <w:spacing w:val="-10"/>
          <w:rtl/>
        </w:rPr>
        <w:t>»</w:t>
      </w:r>
      <w:r>
        <w:rPr>
          <w:rFonts w:hint="cs"/>
          <w:spacing w:val="-10"/>
          <w:rtl/>
        </w:rPr>
        <w:t>.</w:t>
      </w:r>
    </w:p>
  </w:footnote>
  <w:footnote w:id="408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52/ب من (ب).</w:t>
      </w:r>
    </w:p>
  </w:footnote>
  <w:footnote w:id="4089">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لم أجده بهذا اللفظ إلا أن معناه وارد في الصحيحين وغيرهما، ومن ذلك ما أخرجه البخاري، كتاب الشرب والمساقاة، باب الرجل يكون له ممرٌ أو شربٌ في حائط أو في نخل، 2/838 ح2250، بسنده عن ابن عمر مرفوعًا : </w:t>
      </w:r>
      <w:r>
        <w:rPr>
          <w:rFonts w:hint="eastAsia"/>
          <w:rtl/>
        </w:rPr>
        <w:t>«</w:t>
      </w:r>
      <w:r>
        <w:rPr>
          <w:rFonts w:hint="cs"/>
          <w:rtl/>
        </w:rPr>
        <w:t>... ومن ابتاع عبدًا وله مال فماله للذي باعه إلا أن يشترط المبتاع</w:t>
      </w:r>
      <w:r>
        <w:rPr>
          <w:rtl/>
        </w:rPr>
        <w:t>»</w:t>
      </w:r>
      <w:r>
        <w:rPr>
          <w:rFonts w:hint="cs"/>
          <w:rtl/>
        </w:rPr>
        <w:t>؛ وأخرجه مسلم بنحوه، كتاب البيوع، باب من باع نخلاً عليها ثمر، 3/1173 ح1543.</w:t>
      </w:r>
    </w:p>
  </w:footnote>
  <w:footnote w:id="4090">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ص950 (ل82/أ).</w:t>
      </w:r>
    </w:p>
  </w:footnote>
  <w:footnote w:id="4091">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ص 382-383.</w:t>
      </w:r>
    </w:p>
  </w:footnote>
  <w:footnote w:id="4092">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و(هـ) و(و). وهي لابّد منها.</w:t>
      </w:r>
    </w:p>
  </w:footnote>
  <w:footnote w:id="409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يتعرض</w:t>
      </w:r>
      <w:r>
        <w:rPr>
          <w:rFonts w:hint="eastAsia"/>
          <w:rtl/>
        </w:rPr>
        <w:t>»</w:t>
      </w:r>
      <w:r>
        <w:rPr>
          <w:rFonts w:hint="cs"/>
          <w:rtl/>
        </w:rPr>
        <w:t>.</w:t>
      </w:r>
    </w:p>
  </w:footnote>
  <w:footnote w:id="40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61/أ من (جـ).</w:t>
      </w:r>
    </w:p>
  </w:footnote>
  <w:footnote w:id="40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 :</w:t>
      </w:r>
    </w:p>
    <w:p w:rsidR="00035BE3" w:rsidRDefault="00035BE3" w:rsidP="00C10469">
      <w:pPr>
        <w:pStyle w:val="a6"/>
        <w:ind w:left="422" w:firstLine="0"/>
        <w:rPr>
          <w:rtl/>
        </w:rPr>
      </w:pPr>
      <w:r>
        <w:rPr>
          <w:rFonts w:hint="cs"/>
          <w:rtl/>
        </w:rPr>
        <w:t>ورد في هذه القاعدة لفظ (</w:t>
      </w:r>
      <w:r>
        <w:rPr>
          <w:rFonts w:hint="cs"/>
          <w:b/>
          <w:bCs/>
          <w:rtl/>
        </w:rPr>
        <w:t>العزيمة</w:t>
      </w:r>
      <w:r>
        <w:rPr>
          <w:rFonts w:hint="cs"/>
          <w:rtl/>
        </w:rPr>
        <w:t xml:space="preserve">)، وهي في اللغة مشتّقة من مادة </w:t>
      </w:r>
      <w:r>
        <w:rPr>
          <w:rFonts w:hint="eastAsia"/>
          <w:rtl/>
        </w:rPr>
        <w:t>«</w:t>
      </w:r>
      <w:r>
        <w:rPr>
          <w:rFonts w:hint="cs"/>
          <w:rtl/>
        </w:rPr>
        <w:t>عزم</w:t>
      </w:r>
      <w:r>
        <w:rPr>
          <w:rFonts w:hint="eastAsia"/>
          <w:rtl/>
        </w:rPr>
        <w:t>»</w:t>
      </w:r>
      <w:r>
        <w:rPr>
          <w:rFonts w:hint="cs"/>
          <w:rtl/>
        </w:rPr>
        <w:t xml:space="preserve">، والعين والزاء والميم - كما يقول ابن فارس - : </w:t>
      </w:r>
      <w:r>
        <w:rPr>
          <w:rFonts w:hint="eastAsia"/>
          <w:rtl/>
        </w:rPr>
        <w:t>«</w:t>
      </w:r>
      <w:r>
        <w:rPr>
          <w:rFonts w:hint="cs"/>
          <w:rtl/>
        </w:rPr>
        <w:t>أصل واحد صحيح، يدلّ على الصَّريمة والقطع</w:t>
      </w:r>
      <w:r>
        <w:rPr>
          <w:rFonts w:hint="eastAsia"/>
          <w:rtl/>
        </w:rPr>
        <w:t>»</w:t>
      </w:r>
      <w:r>
        <w:rPr>
          <w:rFonts w:hint="cs"/>
          <w:rtl/>
        </w:rPr>
        <w:t xml:space="preserve">. ومن ذلك ما جاء في (اللسان) : </w:t>
      </w:r>
      <w:r>
        <w:rPr>
          <w:rFonts w:hint="eastAsia"/>
          <w:rtl/>
        </w:rPr>
        <w:t>«</w:t>
      </w:r>
      <w:r>
        <w:rPr>
          <w:rFonts w:hint="cs"/>
          <w:rtl/>
        </w:rPr>
        <w:t>العزم : الجدّ، عزم على الأمر يَعْزِمُ عَزْمًا ومَعْزَمًا ... وعَزِيْمَةً وعزْمَةً واعتَزَمَه، واعتزم عليه : أراد فِعلَه. وقال الكيت : العزم : ما عقد عليه قلبك من أمر أنّك فاعِلُهُ</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 xml:space="preserve">أما في اصطلاح الأصوليين فهي: </w:t>
      </w:r>
      <w:r>
        <w:rPr>
          <w:rFonts w:hint="eastAsia"/>
          <w:spacing w:val="-6"/>
          <w:rtl/>
        </w:rPr>
        <w:t>«</w:t>
      </w:r>
      <w:r>
        <w:rPr>
          <w:rFonts w:hint="cs"/>
          <w:spacing w:val="-6"/>
          <w:rtl/>
        </w:rPr>
        <w:t>حكم ثابت بدليل شرعيٍّ خالٍ عن معارض راجح</w:t>
      </w:r>
      <w:r>
        <w:rPr>
          <w:rFonts w:hint="eastAsia"/>
          <w:spacing w:val="-6"/>
          <w:rtl/>
        </w:rPr>
        <w:t>»</w:t>
      </w:r>
      <w:r>
        <w:rPr>
          <w:rFonts w:hint="cs"/>
          <w:spacing w:val="-6"/>
          <w:rtl/>
        </w:rPr>
        <w:t xml:space="preserve"> -قاله ابن النجار-.</w:t>
      </w:r>
    </w:p>
    <w:p w:rsidR="00035BE3" w:rsidRDefault="00035BE3" w:rsidP="00C10469">
      <w:pPr>
        <w:pStyle w:val="a6"/>
        <w:ind w:left="422" w:firstLine="0"/>
        <w:rPr>
          <w:rtl/>
        </w:rPr>
      </w:pPr>
      <w:r>
        <w:rPr>
          <w:rFonts w:hint="cs"/>
          <w:rtl/>
        </w:rPr>
        <w:t>والمراد بها هنا : المعنى اللغوي، وهو إرادة التصّرف وقصده.</w:t>
      </w:r>
    </w:p>
    <w:p w:rsidR="00035BE3" w:rsidRDefault="00035BE3" w:rsidP="00C10469">
      <w:pPr>
        <w:pStyle w:val="a6"/>
        <w:ind w:left="422" w:firstLine="0"/>
        <w:rPr>
          <w:rtl/>
        </w:rPr>
      </w:pPr>
      <w:r>
        <w:rPr>
          <w:rFonts w:hint="cs"/>
          <w:rtl/>
        </w:rPr>
        <w:t xml:space="preserve">إذا عُلم هذا </w:t>
      </w:r>
      <w:r>
        <w:rPr>
          <w:rFonts w:hint="cs"/>
          <w:b/>
          <w:bCs/>
          <w:rtl/>
        </w:rPr>
        <w:t>فمعنى القاعدة</w:t>
      </w:r>
      <w:r>
        <w:rPr>
          <w:rFonts w:hint="cs"/>
          <w:rtl/>
        </w:rPr>
        <w:t xml:space="preserve"> : </w:t>
      </w:r>
    </w:p>
    <w:p w:rsidR="00035BE3" w:rsidRDefault="00035BE3" w:rsidP="00C10469">
      <w:pPr>
        <w:pStyle w:val="a6"/>
        <w:ind w:left="422" w:firstLine="0"/>
        <w:rPr>
          <w:rtl/>
        </w:rPr>
      </w:pPr>
      <w:r>
        <w:rPr>
          <w:rFonts w:hint="cs"/>
          <w:rtl/>
        </w:rPr>
        <w:t>لا تأثير معتبر للنية في تغيير حقيقة التصرف الذي يصدر من المكلف؛ إذْ يحاسب في الدنيا بمقتضى تصرفه، لانيته.</w:t>
      </w:r>
    </w:p>
    <w:p w:rsidR="00035BE3" w:rsidRDefault="00035BE3" w:rsidP="00C10469">
      <w:pPr>
        <w:pStyle w:val="a6"/>
        <w:ind w:left="422" w:firstLine="0"/>
        <w:rPr>
          <w:rtl/>
        </w:rPr>
      </w:pPr>
      <w:r>
        <w:rPr>
          <w:rFonts w:hint="cs"/>
          <w:b/>
          <w:bCs/>
          <w:rtl/>
        </w:rPr>
        <w:t>ولتوثيق ما سبق</w:t>
      </w:r>
      <w:r>
        <w:rPr>
          <w:rFonts w:hint="cs"/>
          <w:rtl/>
        </w:rPr>
        <w:t xml:space="preserve"> : فإن المعنى اللغوي مستفاد من : المقاييس في اللغة، مادة </w:t>
      </w:r>
      <w:r>
        <w:rPr>
          <w:rFonts w:hint="eastAsia"/>
          <w:rtl/>
        </w:rPr>
        <w:t>«</w:t>
      </w:r>
      <w:r>
        <w:rPr>
          <w:rFonts w:hint="cs"/>
          <w:rtl/>
        </w:rPr>
        <w:t>عزم</w:t>
      </w:r>
      <w:r>
        <w:rPr>
          <w:rFonts w:hint="eastAsia"/>
          <w:rtl/>
        </w:rPr>
        <w:t>»</w:t>
      </w:r>
      <w:r>
        <w:rPr>
          <w:rFonts w:hint="cs"/>
          <w:rtl/>
        </w:rPr>
        <w:t xml:space="preserve">، ص769؛ لسان العرب، مادة </w:t>
      </w:r>
      <w:r>
        <w:rPr>
          <w:rFonts w:hint="eastAsia"/>
          <w:rtl/>
        </w:rPr>
        <w:t>«</w:t>
      </w:r>
      <w:r>
        <w:rPr>
          <w:rFonts w:hint="cs"/>
          <w:rtl/>
        </w:rPr>
        <w:t>عزم</w:t>
      </w:r>
      <w:r>
        <w:rPr>
          <w:rFonts w:hint="eastAsia"/>
          <w:rtl/>
        </w:rPr>
        <w:t>»</w:t>
      </w:r>
      <w:r>
        <w:rPr>
          <w:rFonts w:hint="cs"/>
          <w:rtl/>
        </w:rPr>
        <w:t>، 12/399. والمعنى الاصطلاحي مستفاد من : شرح الكوكب المنير، 1/476؛ وانظر : أصول السرخسي، 1/117؛ المستصفى، 1/98؛ روضة الناظر، 1/259؛ شرح تنقيح الفصول، ص85؛ شرح مختصر الروضة، 1/457؛ وللتوسع في معنى العزم انظر : قاعدة الأمور بمقاصدها لشيخنا د. يعقوب الباحسين، ص37.</w:t>
      </w:r>
    </w:p>
    <w:p w:rsidR="00035BE3" w:rsidRDefault="00035BE3" w:rsidP="00C10469">
      <w:pPr>
        <w:pStyle w:val="a6"/>
        <w:ind w:left="422" w:firstLine="0"/>
        <w:rPr>
          <w:rtl/>
        </w:rPr>
      </w:pPr>
      <w:r>
        <w:rPr>
          <w:rFonts w:hint="cs"/>
          <w:b/>
          <w:bCs/>
          <w:rtl/>
        </w:rPr>
        <w:t xml:space="preserve">أما توثيق القاعدة </w:t>
      </w:r>
      <w:r>
        <w:rPr>
          <w:rFonts w:hint="cs"/>
          <w:rtl/>
        </w:rPr>
        <w:t>:</w:t>
      </w:r>
    </w:p>
    <w:p w:rsidR="00035BE3" w:rsidRDefault="00035BE3" w:rsidP="00C10469">
      <w:pPr>
        <w:pStyle w:val="a6"/>
        <w:ind w:left="422" w:firstLine="0"/>
        <w:rPr>
          <w:rtl/>
        </w:rPr>
      </w:pPr>
      <w:r>
        <w:rPr>
          <w:rFonts w:hint="cs"/>
          <w:rtl/>
        </w:rPr>
        <w:t xml:space="preserve">فقد وردت بلفظ المؤلف في مجامع الحقائق (الخاتمة)، ص46؛ شرح العلائي لقواعد الخادمي، ل32/أ؛ منافع الدقائق، ص327. كما وردت قبل ذلك في العناية، 4/424. </w:t>
      </w:r>
    </w:p>
  </w:footnote>
  <w:footnote w:id="40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 عرض</w:t>
      </w:r>
      <w:r>
        <w:rPr>
          <w:rFonts w:hint="cs"/>
          <w:rtl/>
        </w:rPr>
        <w:t xml:space="preserve">: يفرّق أهل اللغة بين العَرْض والعَرَض فيقولون: </w:t>
      </w:r>
      <w:r>
        <w:rPr>
          <w:rFonts w:hint="eastAsia"/>
          <w:rtl/>
        </w:rPr>
        <w:t>«</w:t>
      </w:r>
      <w:r>
        <w:rPr>
          <w:rFonts w:hint="cs"/>
          <w:rtl/>
        </w:rPr>
        <w:t>العَرَضُ (بالتحريك): متاع الدنيا وحطامها. وأما العَرْضُ (بسكون الراء) : فما خالف الثمنين (الدراهم والدنانير) من متاع الدنيا وأثاثها، وجمعه : عُروض. فكل عرْضٍ داخل في العَرَض، وليس كل عَرَض عرْضا</w:t>
      </w:r>
      <w:r>
        <w:rPr>
          <w:rFonts w:hint="eastAsia"/>
          <w:rtl/>
        </w:rPr>
        <w:t>»</w:t>
      </w:r>
      <w:r>
        <w:rPr>
          <w:rFonts w:hint="cs"/>
          <w:rtl/>
        </w:rPr>
        <w:t>- قاله صاحب اللسان-.</w:t>
      </w:r>
    </w:p>
    <w:p w:rsidR="00035BE3" w:rsidRDefault="00035BE3" w:rsidP="00C10469">
      <w:pPr>
        <w:pStyle w:val="a6"/>
        <w:ind w:left="422" w:firstLine="0"/>
        <w:rPr>
          <w:rtl/>
        </w:rPr>
      </w:pPr>
      <w:r>
        <w:rPr>
          <w:rFonts w:hint="cs"/>
          <w:rtl/>
        </w:rPr>
        <w:t>وعلى هذا : فالنسبة بينهما هي العموم والخصوص المطلق؛ إذ العَرَضُ يشمل جميع متاع الدنيا الزائل، بينما العَرْض يُخرج النقود.</w:t>
      </w:r>
    </w:p>
    <w:p w:rsidR="00035BE3" w:rsidRDefault="00035BE3" w:rsidP="00C10469">
      <w:pPr>
        <w:pStyle w:val="a6"/>
        <w:ind w:left="422" w:firstLine="0"/>
        <w:rPr>
          <w:rtl/>
        </w:rPr>
      </w:pPr>
      <w:r>
        <w:rPr>
          <w:rFonts w:hint="cs"/>
          <w:b/>
          <w:bCs/>
          <w:rtl/>
        </w:rPr>
        <w:t>أما المراد به هنا</w:t>
      </w:r>
      <w:r>
        <w:rPr>
          <w:rFonts w:hint="cs"/>
          <w:rtl/>
        </w:rPr>
        <w:t xml:space="preserve"> : فهو كل عرْض يحتاج إلى حفظ.</w:t>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فيخرج بذلك النقود؛ لأنها عَرَض وليست عرْضًا </w:t>
      </w:r>
    </w:p>
    <w:p w:rsidR="00035BE3" w:rsidRDefault="00035BE3" w:rsidP="00C10469">
      <w:pPr>
        <w:pStyle w:val="a6"/>
        <w:ind w:left="422" w:firstLine="0"/>
        <w:rPr>
          <w:rtl/>
        </w:rPr>
      </w:pPr>
      <w:r>
        <w:rPr>
          <w:rFonts w:hint="cs"/>
          <w:rtl/>
        </w:rPr>
        <w:t xml:space="preserve">كما يخرج العقار؛ </w:t>
      </w:r>
      <w:r>
        <w:rPr>
          <w:rFonts w:hint="eastAsia"/>
          <w:rtl/>
        </w:rPr>
        <w:t>«</w:t>
      </w:r>
      <w:r>
        <w:rPr>
          <w:rFonts w:hint="cs"/>
          <w:rtl/>
        </w:rPr>
        <w:t>لأنها محفوظة بنفسها</w:t>
      </w:r>
      <w:r>
        <w:rPr>
          <w:rFonts w:hint="eastAsia"/>
          <w:rtl/>
        </w:rPr>
        <w:t>»</w:t>
      </w:r>
      <w:r>
        <w:rPr>
          <w:rFonts w:hint="cs"/>
          <w:rtl/>
        </w:rPr>
        <w:t>- قاله صاحب الدّرر، 1/420-.</w:t>
      </w:r>
    </w:p>
    <w:p w:rsidR="00035BE3" w:rsidRDefault="00035BE3" w:rsidP="00C10469">
      <w:pPr>
        <w:pStyle w:val="a6"/>
        <w:ind w:left="422" w:firstLine="0"/>
        <w:rPr>
          <w:rtl/>
        </w:rPr>
      </w:pPr>
      <w:r>
        <w:rPr>
          <w:rFonts w:hint="cs"/>
          <w:rtl/>
        </w:rPr>
        <w:t>وممّا يدل على خروج العقار كونه ورد في مصادر هذه العبارة التصريح بجواز بيع عرْض ولده دون عقاره. وهذا يعني أن العقار لا يدخل في العرْض. - وسوف يأتي نقل ما قالوه قريبًا-.</w:t>
      </w:r>
    </w:p>
    <w:p w:rsidR="00035BE3" w:rsidRDefault="00035BE3" w:rsidP="00C10469">
      <w:pPr>
        <w:pStyle w:val="a6"/>
        <w:ind w:left="422" w:firstLine="0"/>
        <w:rPr>
          <w:rtl/>
        </w:rPr>
      </w:pPr>
      <w:r>
        <w:rPr>
          <w:rFonts w:hint="cs"/>
          <w:rtl/>
        </w:rPr>
        <w:t xml:space="preserve">ولتوثيق ما سبق : فالمعنى اللغوي مستفاد من لسان العرب، مادة </w:t>
      </w:r>
      <w:r>
        <w:rPr>
          <w:rFonts w:hint="eastAsia"/>
          <w:rtl/>
        </w:rPr>
        <w:t>«</w:t>
      </w:r>
      <w:r>
        <w:rPr>
          <w:rFonts w:hint="cs"/>
          <w:rtl/>
        </w:rPr>
        <w:t>عرض</w:t>
      </w:r>
      <w:r>
        <w:rPr>
          <w:rFonts w:hint="eastAsia"/>
          <w:rtl/>
        </w:rPr>
        <w:t>»</w:t>
      </w:r>
      <w:r>
        <w:rPr>
          <w:rFonts w:hint="cs"/>
          <w:rtl/>
        </w:rPr>
        <w:t xml:space="preserve">، 7/170؛ وانظر: المقاييس في اللغة، مادة </w:t>
      </w:r>
      <w:r>
        <w:rPr>
          <w:rFonts w:hint="eastAsia"/>
          <w:rtl/>
        </w:rPr>
        <w:t>«</w:t>
      </w:r>
      <w:r>
        <w:rPr>
          <w:rFonts w:hint="cs"/>
          <w:rtl/>
        </w:rPr>
        <w:t>عرض</w:t>
      </w:r>
      <w:r>
        <w:rPr>
          <w:rFonts w:hint="eastAsia"/>
          <w:rtl/>
        </w:rPr>
        <w:t>»</w:t>
      </w:r>
      <w:r>
        <w:rPr>
          <w:rFonts w:hint="cs"/>
          <w:rtl/>
        </w:rPr>
        <w:t>، ص757؛ القاموس المحيط، مادة عرض، ص832؛ وللتوسع في معناه انظر : معجم المصطلحات الاقتصادية، ص241.</w:t>
      </w:r>
    </w:p>
  </w:footnote>
  <w:footnote w:id="40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82/ب من (أ).</w:t>
      </w:r>
    </w:p>
  </w:footnote>
  <w:footnote w:id="40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للاتفاق</w:t>
      </w:r>
      <w:r>
        <w:rPr>
          <w:rFonts w:hint="eastAsia"/>
          <w:rtl/>
        </w:rPr>
        <w:t>»</w:t>
      </w:r>
      <w:r>
        <w:rPr>
          <w:rFonts w:hint="cs"/>
          <w:rtl/>
        </w:rPr>
        <w:t>.</w:t>
      </w:r>
    </w:p>
  </w:footnote>
  <w:footnote w:id="40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الكافي وشرحه : المبسوط، 5/225-226؛ الهداية والعناية وفتح القدير، 4/423؛ الكنز وشرحيه : تبيين الحقائق، 3/64؛ والبحر الرائق، 4/231؛ الغرر وشرحه : الدرر، 1/420.</w:t>
      </w:r>
    </w:p>
    <w:p w:rsidR="00035BE3" w:rsidRDefault="00035BE3" w:rsidP="00C10469">
      <w:pPr>
        <w:pStyle w:val="a6"/>
        <w:ind w:left="422" w:firstLine="0"/>
        <w:rPr>
          <w:rtl/>
        </w:rPr>
      </w:pPr>
      <w:r>
        <w:rPr>
          <w:rFonts w:hint="cs"/>
          <w:rtl/>
        </w:rPr>
        <w:t xml:space="preserve">وقد نصّوا على أن هذا قول الإمام أبي حنيفة خلافا لصاحبيه، ومن ذلك ما جاء في الهداية : </w:t>
      </w:r>
      <w:r>
        <w:rPr>
          <w:rFonts w:hint="eastAsia"/>
          <w:rtl/>
        </w:rPr>
        <w:t>«</w:t>
      </w:r>
      <w:r>
        <w:rPr>
          <w:rFonts w:hint="cs"/>
          <w:rtl/>
        </w:rPr>
        <w:t>وإذا باع أبوه متاعه في نفقته : جاز عند أبي حنيفة - رحمة الله تعالى عليه-. وهذا استحسان.</w:t>
      </w:r>
    </w:p>
    <w:p w:rsidR="00035BE3" w:rsidRDefault="00035BE3" w:rsidP="00C10469">
      <w:pPr>
        <w:pStyle w:val="a6"/>
        <w:ind w:left="422" w:firstLine="0"/>
        <w:rPr>
          <w:rtl/>
        </w:rPr>
      </w:pPr>
      <w:r>
        <w:rPr>
          <w:rFonts w:hint="cs"/>
          <w:rtl/>
        </w:rPr>
        <w:t>وإن باع العقار : لم يجز. وفي قولهما : لا يجوز ذلك كله. وهو القياس ...</w:t>
      </w:r>
      <w:r>
        <w:rPr>
          <w:rFonts w:hint="eastAsia"/>
          <w:rtl/>
        </w:rPr>
        <w:t>»</w:t>
      </w:r>
      <w:r>
        <w:rPr>
          <w:rFonts w:hint="cs"/>
          <w:rtl/>
        </w:rPr>
        <w:t>.</w:t>
      </w:r>
    </w:p>
  </w:footnote>
  <w:footnote w:id="41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والعناية وفتح القدير، 4/424؛ تبيين الحقائق، 3/65؛ البحر الرائق، 4/231؛ الدّرر شرح الغرر، 1/420.</w:t>
      </w:r>
    </w:p>
  </w:footnote>
  <w:footnote w:id="41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بالثمن</w:t>
      </w:r>
      <w:r>
        <w:rPr>
          <w:rFonts w:hint="eastAsia"/>
          <w:rtl/>
        </w:rPr>
        <w:t>»</w:t>
      </w:r>
      <w:r>
        <w:rPr>
          <w:rFonts w:hint="cs"/>
          <w:rtl/>
        </w:rPr>
        <w:t>.</w:t>
      </w:r>
    </w:p>
  </w:footnote>
  <w:footnote w:id="41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1/420 - إلا أنه قال في بداية العبارة : </w:t>
      </w:r>
      <w:r>
        <w:rPr>
          <w:rFonts w:hint="eastAsia"/>
          <w:rtl/>
        </w:rPr>
        <w:t>«</w:t>
      </w:r>
      <w:r>
        <w:rPr>
          <w:rFonts w:hint="cs"/>
          <w:rtl/>
        </w:rPr>
        <w:t>وإذا ...</w:t>
      </w:r>
      <w:r>
        <w:rPr>
          <w:rFonts w:hint="eastAsia"/>
          <w:rtl/>
        </w:rPr>
        <w:t>»</w:t>
      </w:r>
      <w:r>
        <w:rPr>
          <w:rFonts w:hint="cs"/>
          <w:rtl/>
        </w:rPr>
        <w:t>-.</w:t>
      </w:r>
    </w:p>
  </w:footnote>
  <w:footnote w:id="41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و(د): </w:t>
      </w:r>
      <w:r>
        <w:rPr>
          <w:rFonts w:hint="eastAsia"/>
          <w:rtl/>
        </w:rPr>
        <w:t>«</w:t>
      </w:r>
      <w:r>
        <w:rPr>
          <w:rFonts w:hint="cs"/>
          <w:rtl/>
        </w:rPr>
        <w:t>العرض</w:t>
      </w:r>
      <w:r>
        <w:rPr>
          <w:rtl/>
        </w:rPr>
        <w:t>»</w:t>
      </w:r>
      <w:r>
        <w:rPr>
          <w:rFonts w:hint="cs"/>
          <w:rtl/>
        </w:rPr>
        <w:t xml:space="preserve">. وفي مصدر هذه العبارة (وهو العناية): </w:t>
      </w:r>
      <w:r>
        <w:rPr>
          <w:rFonts w:hint="eastAsia"/>
          <w:rtl/>
        </w:rPr>
        <w:t>«</w:t>
      </w:r>
      <w:r>
        <w:rPr>
          <w:rFonts w:hint="cs"/>
          <w:rtl/>
        </w:rPr>
        <w:t>الفرض</w:t>
      </w:r>
      <w:r>
        <w:rPr>
          <w:rtl/>
        </w:rPr>
        <w:t>»</w:t>
      </w:r>
      <w:r>
        <w:rPr>
          <w:rFonts w:hint="cs"/>
          <w:rtl/>
        </w:rPr>
        <w:t>.</w:t>
      </w:r>
    </w:p>
  </w:footnote>
  <w:footnote w:id="41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لنفقة</w:t>
      </w:r>
      <w:r>
        <w:rPr>
          <w:rFonts w:hint="eastAsia"/>
          <w:rtl/>
        </w:rPr>
        <w:t>»</w:t>
      </w:r>
      <w:r>
        <w:rPr>
          <w:rFonts w:hint="cs"/>
          <w:rtl/>
        </w:rPr>
        <w:t>.</w:t>
      </w:r>
    </w:p>
  </w:footnote>
  <w:footnote w:id="41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4/424 -مع الاختلاف السابق-.</w:t>
      </w:r>
    </w:p>
  </w:footnote>
  <w:footnote w:id="41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وكان من المناسب أن يُقال: (تتغير)؛ لأن الفاعل ضمير مستتر تقديره (هي) يعود إلى (حقيقة)، فناسب أن يوافقها الفعل في التأنيث.</w:t>
      </w:r>
    </w:p>
  </w:footnote>
  <w:footnote w:id="41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عارضه</w:t>
      </w:r>
      <w:r>
        <w:rPr>
          <w:rFonts w:hint="eastAsia"/>
          <w:rtl/>
        </w:rPr>
        <w:t>»</w:t>
      </w:r>
      <w:r>
        <w:rPr>
          <w:rFonts w:hint="cs"/>
          <w:rtl/>
        </w:rPr>
        <w:t>. والصحيح ما تمَّ إثباته من (ب) و(د)، وهو الموافق للعناية.</w:t>
      </w:r>
    </w:p>
  </w:footnote>
  <w:footnote w:id="41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حق</w:t>
      </w:r>
      <w:r>
        <w:rPr>
          <w:rtl/>
        </w:rPr>
        <w:t>»</w:t>
      </w:r>
      <w:r>
        <w:rPr>
          <w:rFonts w:hint="cs"/>
          <w:rtl/>
        </w:rPr>
        <w:t>.</w:t>
      </w:r>
    </w:p>
  </w:footnote>
  <w:footnote w:id="41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وفي حال ...</w:t>
      </w:r>
      <w:r>
        <w:rPr>
          <w:rFonts w:hint="eastAsia"/>
          <w:rtl/>
        </w:rPr>
        <w:t>»</w:t>
      </w:r>
      <w:r>
        <w:rPr>
          <w:rFonts w:hint="cs"/>
          <w:rtl/>
        </w:rPr>
        <w:t xml:space="preserve"> معناه : وفي حال بيع الأب لمتاع ابنه لم يجب دفع النفقة من الابن على أبيه، فلا يعارض جهة الحفظ جهة الإتلاف بالإنفاق.</w:t>
      </w:r>
    </w:p>
    <w:p w:rsidR="00035BE3" w:rsidRDefault="00035BE3" w:rsidP="00C10469">
      <w:pPr>
        <w:pStyle w:val="a6"/>
        <w:ind w:left="422" w:firstLine="0"/>
        <w:rPr>
          <w:rtl/>
        </w:rPr>
      </w:pPr>
      <w:r>
        <w:rPr>
          <w:rFonts w:hint="cs"/>
          <w:rtl/>
        </w:rPr>
        <w:t xml:space="preserve">وقد جاء في العناية : </w:t>
      </w:r>
      <w:r>
        <w:rPr>
          <w:rFonts w:hint="eastAsia"/>
          <w:rtl/>
        </w:rPr>
        <w:t>«</w:t>
      </w:r>
      <w:r>
        <w:rPr>
          <w:rFonts w:hint="cs"/>
          <w:rtl/>
        </w:rPr>
        <w:t>وفي الحال : لم تجب، فلا تعارض</w:t>
      </w:r>
      <w:r>
        <w:rPr>
          <w:rFonts w:hint="eastAsia"/>
          <w:rtl/>
        </w:rPr>
        <w:t>»</w:t>
      </w:r>
      <w:r>
        <w:rPr>
          <w:rFonts w:hint="cs"/>
          <w:rtl/>
        </w:rPr>
        <w:t>.</w:t>
      </w:r>
    </w:p>
  </w:footnote>
  <w:footnote w:id="41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4/424 -مع الاختلاف السابق-.</w:t>
      </w:r>
    </w:p>
  </w:footnote>
  <w:footnote w:id="4111">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rtl/>
        </w:rPr>
        <w:t xml:space="preserve"> </w:t>
      </w:r>
      <w:r w:rsidRPr="001F2FE6">
        <w:rPr>
          <w:rFonts w:hint="cs"/>
          <w:rtl/>
        </w:rPr>
        <w:t xml:space="preserve">انظر: الهداية وفتح القدير، 2/169-170، حيث قال الأول : </w:t>
      </w:r>
      <w:r w:rsidRPr="001F2FE6">
        <w:rPr>
          <w:rFonts w:hint="eastAsia"/>
          <w:rtl/>
        </w:rPr>
        <w:t>«</w:t>
      </w:r>
      <w:r w:rsidRPr="001F2FE6">
        <w:rPr>
          <w:rFonts w:hint="cs"/>
          <w:rtl/>
        </w:rPr>
        <w:t>ولا يجوز أداء الزكاة إلا بنية مقارنة للأداء ...</w:t>
      </w:r>
      <w:r w:rsidRPr="001F2FE6">
        <w:rPr>
          <w:rFonts w:hint="eastAsia"/>
          <w:rtl/>
        </w:rPr>
        <w:t>»</w:t>
      </w:r>
      <w:r w:rsidRPr="001F2FE6">
        <w:rPr>
          <w:rFonts w:hint="cs"/>
          <w:rtl/>
        </w:rPr>
        <w:t>.</w:t>
      </w:r>
    </w:p>
  </w:footnote>
  <w:footnote w:id="411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وثواب</w:t>
      </w:r>
      <w:r>
        <w:rPr>
          <w:rFonts w:hint="eastAsia"/>
          <w:rtl/>
        </w:rPr>
        <w:t>»</w:t>
      </w:r>
      <w:r>
        <w:rPr>
          <w:rFonts w:hint="cs"/>
          <w:rtl/>
        </w:rPr>
        <w:t>.</w:t>
      </w:r>
    </w:p>
  </w:footnote>
  <w:footnote w:id="411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تحدث عنها المؤلف، ص946 (ل81/أ)، قاعدة 195.</w:t>
      </w:r>
    </w:p>
  </w:footnote>
  <w:footnote w:id="4114">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الضابط بهذا اللفظ أو نحوه في بعض كتب الفقه وقواعده :</w:t>
      </w:r>
    </w:p>
    <w:p w:rsidR="00035BE3" w:rsidRDefault="00035BE3" w:rsidP="00C10469">
      <w:pPr>
        <w:pStyle w:val="a6"/>
        <w:spacing w:line="500" w:lineRule="exact"/>
        <w:ind w:left="422" w:firstLine="0"/>
        <w:rPr>
          <w:b/>
          <w:bCs/>
          <w:rtl/>
        </w:rPr>
      </w:pPr>
      <w:r>
        <w:rPr>
          <w:rFonts w:hint="cs"/>
          <w:b/>
          <w:bCs/>
          <w:rtl/>
        </w:rPr>
        <w:t>فمن كتب القواعد :</w:t>
      </w:r>
    </w:p>
    <w:p w:rsidR="00035BE3" w:rsidRDefault="00035BE3" w:rsidP="00C10469">
      <w:pPr>
        <w:pStyle w:val="a6"/>
        <w:ind w:left="422" w:firstLine="0"/>
        <w:rPr>
          <w:rtl/>
        </w:rPr>
      </w:pPr>
      <w:r>
        <w:rPr>
          <w:rFonts w:hint="cs"/>
          <w:rtl/>
        </w:rPr>
        <w:t>الأشباه والنظائر للسيوطي، 2/609؛ ولابن نجيم، ص392؛ غمز عيون البصائر، 4/10؛ مجامع الحقائق (الخاتمة)، ص46؛ شرح العلائي لقواعد الخادمي، ل32/ب؛ منافع الدقائق، ص328.</w:t>
      </w:r>
    </w:p>
    <w:p w:rsidR="00035BE3" w:rsidRDefault="00035BE3" w:rsidP="00C10469">
      <w:pPr>
        <w:pStyle w:val="a6"/>
        <w:spacing w:line="500" w:lineRule="exact"/>
        <w:ind w:left="422" w:firstLine="0"/>
        <w:rPr>
          <w:b/>
          <w:bCs/>
          <w:rtl/>
        </w:rPr>
      </w:pPr>
      <w:r>
        <w:rPr>
          <w:rFonts w:hint="cs"/>
          <w:b/>
          <w:bCs/>
          <w:rtl/>
        </w:rPr>
        <w:t>ومن كتب الفقه :</w:t>
      </w:r>
    </w:p>
    <w:p w:rsidR="00035BE3" w:rsidRDefault="00035BE3" w:rsidP="00C10469">
      <w:pPr>
        <w:pStyle w:val="a6"/>
        <w:ind w:left="422" w:firstLine="0"/>
        <w:rPr>
          <w:spacing w:val="-2"/>
          <w:rtl/>
        </w:rPr>
      </w:pPr>
      <w:r>
        <w:rPr>
          <w:rFonts w:hint="cs"/>
          <w:spacing w:val="-2"/>
          <w:rtl/>
        </w:rPr>
        <w:t>تحفة الفقهاء، 2/49؛ شرحها : بدائع الصنائع، 5/174؛ فتح القدير، 6/524؛ رد المحتار، 7/384.</w:t>
      </w:r>
    </w:p>
  </w:footnote>
  <w:footnote w:id="411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الرجل</w:t>
      </w:r>
      <w:r>
        <w:rPr>
          <w:rFonts w:hint="eastAsia"/>
          <w:rtl/>
        </w:rPr>
        <w:t>»</w:t>
      </w:r>
      <w:r>
        <w:rPr>
          <w:rFonts w:hint="cs"/>
          <w:rtl/>
        </w:rPr>
        <w:t>.</w:t>
      </w:r>
    </w:p>
  </w:footnote>
  <w:footnote w:id="41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للسيوطي، 2/609؛ ولابن نجيم، ص392- إلا أن الأول قال في نهاية العبارة : </w:t>
      </w:r>
      <w:r>
        <w:rPr>
          <w:rFonts w:hint="eastAsia"/>
          <w:rtl/>
        </w:rPr>
        <w:t>«</w:t>
      </w:r>
      <w:r>
        <w:rPr>
          <w:rFonts w:hint="cs"/>
          <w:rtl/>
        </w:rPr>
        <w:t>... والمعين حاصل</w:t>
      </w:r>
      <w:r>
        <w:rPr>
          <w:rFonts w:hint="eastAsia"/>
          <w:rtl/>
        </w:rPr>
        <w:t>»</w:t>
      </w:r>
      <w:r>
        <w:rPr>
          <w:rFonts w:hint="cs"/>
          <w:rtl/>
        </w:rPr>
        <w:t>.</w:t>
      </w:r>
    </w:p>
  </w:footnote>
  <w:footnote w:id="41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تحفة الفقهاء، 2/49؛ شرحها : بدائع الصنائع، 5/174.</w:t>
      </w:r>
    </w:p>
  </w:footnote>
  <w:footnote w:id="41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83/أ من (أ).</w:t>
      </w:r>
    </w:p>
  </w:footnote>
  <w:footnote w:id="41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يأتي</w:t>
      </w:r>
      <w:r>
        <w:rPr>
          <w:rFonts w:hint="eastAsia"/>
          <w:rtl/>
        </w:rPr>
        <w:t>»</w:t>
      </w:r>
      <w:r>
        <w:rPr>
          <w:rFonts w:hint="cs"/>
          <w:rtl/>
        </w:rPr>
        <w:t>.</w:t>
      </w:r>
    </w:p>
  </w:footnote>
  <w:footnote w:id="41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القول بأن السلم عقد جائز على خلاف القياس هو قول الجمهور. وقد خالفهم ابن حزم وشيخ الإسلام ابن تيمية وتلميذه ابن القيم، وقالوا بأنه جائز على وفق القياس وقواعد الشريعة.</w:t>
      </w:r>
    </w:p>
    <w:p w:rsidR="00035BE3" w:rsidRDefault="00035BE3" w:rsidP="00C10469">
      <w:pPr>
        <w:pStyle w:val="a6"/>
        <w:ind w:left="422" w:firstLine="0"/>
        <w:rPr>
          <w:spacing w:val="6"/>
          <w:rtl/>
        </w:rPr>
      </w:pPr>
      <w:r>
        <w:rPr>
          <w:rFonts w:hint="cs"/>
          <w:spacing w:val="6"/>
          <w:rtl/>
        </w:rPr>
        <w:t>انظر: المحلى، 9/107؛  المبسوط، 12/124؛ الهداية والعناية وفتح القدير، 7/71؛ الـمغني، 6/402؛ مجموع فتاوي شيخ الإسلام ابن تيمية، 20/529؛ إعلام الموقعين، 2/19؛ مختصر من قواعد العلائي وكلام الإسنوي، 1/293؛ الدّرر شرح الغرر، 2/194؛ عقد السلم للدكتور نزيه حماد، ص12.</w:t>
      </w:r>
    </w:p>
  </w:footnote>
  <w:footnote w:id="4121">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CB2046">
        <w:rPr>
          <w:rFonts w:hint="cs"/>
          <w:spacing w:val="-4"/>
          <w:rtl/>
        </w:rPr>
        <w:t>الذي يظهر من صنيع المؤلف أنه لا ينقل لفظ حديثٍ واحدٍ بعينه، إنما يبيّن معنى ثابتًا في السنة؛</w:t>
      </w:r>
      <w:r>
        <w:rPr>
          <w:rFonts w:hint="cs"/>
          <w:rtl/>
        </w:rPr>
        <w:t xml:space="preserve"> </w:t>
      </w:r>
      <w:r w:rsidRPr="00CB2046">
        <w:rPr>
          <w:rFonts w:hint="cs"/>
          <w:spacing w:val="-4"/>
          <w:rtl/>
        </w:rPr>
        <w:t xml:space="preserve">بدليـل أنه لم يذكر الصحابي الذي روى ذلك، فليس هناك ما يمنع من أن يكون النهي عن بيع ما لا </w:t>
      </w:r>
      <w:r>
        <w:rPr>
          <w:rFonts w:hint="cs"/>
          <w:rtl/>
        </w:rPr>
        <w:t>يملك ثابتًا في حديث، والترخيص في السلم ثابت في حديث آخر، فيكون اللفظ المذكور مركبًا من حديثين.</w:t>
      </w:r>
    </w:p>
    <w:p w:rsidR="00035BE3" w:rsidRDefault="00035BE3" w:rsidP="00C10469">
      <w:pPr>
        <w:pStyle w:val="a6"/>
        <w:spacing w:line="440" w:lineRule="exact"/>
        <w:ind w:left="422" w:firstLine="0"/>
        <w:rPr>
          <w:rtl/>
        </w:rPr>
      </w:pPr>
      <w:r>
        <w:rPr>
          <w:rFonts w:hint="cs"/>
          <w:rtl/>
        </w:rPr>
        <w:t xml:space="preserve">والذي يؤكد هذا أن صاحب (الهداية) ذكر اللفظ نفسه لكنّه صدّره بقوله : </w:t>
      </w:r>
      <w:r>
        <w:rPr>
          <w:rFonts w:hint="eastAsia"/>
          <w:rtl/>
        </w:rPr>
        <w:t>«</w:t>
      </w:r>
      <w:r>
        <w:rPr>
          <w:rFonts w:hint="cs"/>
          <w:b/>
          <w:bCs/>
          <w:rtl/>
        </w:rPr>
        <w:t>روي</w:t>
      </w:r>
      <w:r>
        <w:rPr>
          <w:rFonts w:hint="cs"/>
          <w:rtl/>
        </w:rPr>
        <w:t xml:space="preserve"> أن النبي </w:t>
      </w:r>
      <w:r>
        <w:rPr>
          <w:rFonts w:ascii="AGA Arabesque" w:hAnsi="AGA Arabesque"/>
          <w:sz w:val="36"/>
          <w:szCs w:val="36"/>
          <w:lang w:val="en-US"/>
        </w:rPr>
        <w:t></w:t>
      </w:r>
      <w:r>
        <w:rPr>
          <w:rFonts w:hint="cs"/>
          <w:rtl/>
        </w:rPr>
        <w:t xml:space="preserve"> نهى عن بيع ...</w:t>
      </w:r>
      <w:r>
        <w:rPr>
          <w:rFonts w:hint="eastAsia"/>
          <w:rtl/>
        </w:rPr>
        <w:t>»</w:t>
      </w:r>
      <w:r>
        <w:rPr>
          <w:rFonts w:hint="cs"/>
          <w:rtl/>
        </w:rPr>
        <w:t>، وفي هذا تصريح بأنه حديث واحد!.</w:t>
      </w:r>
    </w:p>
    <w:p w:rsidR="00035BE3" w:rsidRDefault="00035BE3" w:rsidP="00C10469">
      <w:pPr>
        <w:pStyle w:val="a6"/>
        <w:spacing w:line="440" w:lineRule="exact"/>
        <w:ind w:left="422" w:firstLine="0"/>
        <w:rPr>
          <w:rtl/>
        </w:rPr>
      </w:pPr>
      <w:r>
        <w:rPr>
          <w:rFonts w:hint="cs"/>
          <w:rtl/>
        </w:rPr>
        <w:t xml:space="preserve">ومع ذلك علّق عليه صاحب (نصب الراية) - 4/45- فممّا قال : </w:t>
      </w:r>
      <w:r>
        <w:rPr>
          <w:rFonts w:hint="eastAsia"/>
          <w:rtl/>
        </w:rPr>
        <w:t>«</w:t>
      </w:r>
      <w:r>
        <w:rPr>
          <w:rFonts w:hint="cs"/>
          <w:rtl/>
        </w:rPr>
        <w:t>قلت : غريب بهذا اللفظ ... والذي يظهر أن هذا حديث مركب ...</w:t>
      </w:r>
      <w:r>
        <w:rPr>
          <w:rFonts w:hint="eastAsia"/>
          <w:rtl/>
        </w:rPr>
        <w:t>»</w:t>
      </w:r>
      <w:r>
        <w:rPr>
          <w:rFonts w:hint="cs"/>
          <w:rtl/>
        </w:rPr>
        <w:t>.</w:t>
      </w:r>
    </w:p>
    <w:p w:rsidR="00035BE3" w:rsidRDefault="00035BE3" w:rsidP="00C10469">
      <w:pPr>
        <w:pStyle w:val="a6"/>
        <w:spacing w:line="420" w:lineRule="exact"/>
        <w:ind w:left="422" w:firstLine="0"/>
        <w:rPr>
          <w:spacing w:val="4"/>
          <w:rtl/>
        </w:rPr>
      </w:pPr>
      <w:r>
        <w:rPr>
          <w:spacing w:val="4"/>
          <w:rtl/>
        </w:rPr>
        <w:t>•</w:t>
      </w:r>
      <w:r>
        <w:rPr>
          <w:rFonts w:hint="cs"/>
          <w:spacing w:val="4"/>
          <w:rtl/>
        </w:rPr>
        <w:t xml:space="preserve"> إذا علم هذا فإن النهي عن بيع ما ليس عند الإنسان: أخرجه الإمام أحمد، 11/203، ح 6628؛ وابن ماجه،  كتاب التجارات، باب النهي عن بيع ما ليس عندك، وعن ربح ما لم يضمن، 2/737، ح2188؛ وأبو داود، كتاب البيوع والإجارات، باب في الرجل يبيع ما ليس عنده، 3/283، ح3504؛ والترمذي، كتاب البيوع، باب ما جاء في كراهية بيع ما ليس عندك، 3/535، ح1234؛ والنسائي في سننه الكبرى، كتاب البيوع، باب بيع ما ليس عند البائع، 4/39، ح6206؛ وكذلك في المجتبى، (نفس الكتاب والباب السابقين)، 7/288، ح4611؛ والدارقطني، كتاب البيوع، 3/74؛ والبيهقي، كتاب البيوع، باب النهي عن بيع ما ليس عندك وبيع مالا يملك، 5/339- 340.</w:t>
      </w:r>
    </w:p>
    <w:p w:rsidR="00035BE3" w:rsidRDefault="00035BE3" w:rsidP="00C10469">
      <w:pPr>
        <w:pStyle w:val="a6"/>
        <w:spacing w:line="440" w:lineRule="exact"/>
        <w:ind w:left="422" w:firstLine="0"/>
        <w:rPr>
          <w:spacing w:val="-6"/>
          <w:rtl/>
        </w:rPr>
      </w:pPr>
      <w:r>
        <w:rPr>
          <w:rFonts w:hint="cs"/>
          <w:b/>
          <w:bCs/>
          <w:spacing w:val="-6"/>
          <w:rtl/>
        </w:rPr>
        <w:t>جميعهم</w:t>
      </w:r>
      <w:r>
        <w:rPr>
          <w:rFonts w:hint="cs"/>
          <w:spacing w:val="-6"/>
          <w:rtl/>
        </w:rPr>
        <w:t xml:space="preserve"> : من حديث عمرو بن شعيب عن أبيه عن جده مرفوعًا بلفظ: </w:t>
      </w:r>
      <w:r>
        <w:rPr>
          <w:rFonts w:hint="eastAsia"/>
          <w:spacing w:val="-6"/>
          <w:rtl/>
        </w:rPr>
        <w:t>«</w:t>
      </w:r>
      <w:r>
        <w:rPr>
          <w:rFonts w:hint="cs"/>
          <w:spacing w:val="-6"/>
          <w:rtl/>
        </w:rPr>
        <w:t>لا تبع ما ليس عندك</w:t>
      </w:r>
      <w:r>
        <w:rPr>
          <w:rFonts w:hint="eastAsia"/>
          <w:spacing w:val="-6"/>
          <w:rtl/>
        </w:rPr>
        <w:t>»</w:t>
      </w:r>
      <w:r>
        <w:rPr>
          <w:rFonts w:hint="cs"/>
          <w:spacing w:val="-6"/>
          <w:rtl/>
        </w:rPr>
        <w:t>، أو نحوه.</w:t>
      </w:r>
    </w:p>
    <w:p w:rsidR="00035BE3" w:rsidRDefault="00035BE3" w:rsidP="00C10469">
      <w:pPr>
        <w:pStyle w:val="a6"/>
        <w:spacing w:line="440" w:lineRule="exact"/>
        <w:ind w:left="422" w:firstLine="0"/>
        <w:rPr>
          <w:rtl/>
        </w:rPr>
      </w:pPr>
      <w:r>
        <w:rPr>
          <w:rFonts w:hint="cs"/>
          <w:rtl/>
        </w:rPr>
        <w:t xml:space="preserve">وقد قال عنه الترمذي : </w:t>
      </w:r>
      <w:r>
        <w:rPr>
          <w:rFonts w:hint="eastAsia"/>
          <w:rtl/>
        </w:rPr>
        <w:t>«</w:t>
      </w:r>
      <w:r>
        <w:rPr>
          <w:rFonts w:hint="cs"/>
          <w:rtl/>
        </w:rPr>
        <w:t>وهذا حديث حسن صحيح</w:t>
      </w:r>
      <w:r>
        <w:rPr>
          <w:rFonts w:hint="eastAsia"/>
          <w:rtl/>
        </w:rPr>
        <w:t>»</w:t>
      </w:r>
      <w:r>
        <w:rPr>
          <w:rFonts w:hint="cs"/>
          <w:rtl/>
        </w:rPr>
        <w:t>.</w:t>
      </w:r>
    </w:p>
    <w:p w:rsidR="00035BE3" w:rsidRDefault="00035BE3" w:rsidP="00C10469">
      <w:pPr>
        <w:pStyle w:val="a6"/>
        <w:spacing w:line="440" w:lineRule="exact"/>
        <w:ind w:left="422" w:firstLine="0"/>
        <w:rPr>
          <w:rtl/>
        </w:rPr>
      </w:pPr>
      <w:r>
        <w:rPr>
          <w:rFonts w:hint="cs"/>
          <w:rtl/>
        </w:rPr>
        <w:t>كما حسنه محققو مسند الإمام أحمد.</w:t>
      </w:r>
    </w:p>
    <w:p w:rsidR="00035BE3" w:rsidRDefault="00035BE3" w:rsidP="00C10469">
      <w:pPr>
        <w:pStyle w:val="a6"/>
        <w:spacing w:line="440" w:lineRule="exact"/>
        <w:ind w:left="422" w:firstLine="0"/>
        <w:rPr>
          <w:spacing w:val="8"/>
          <w:rtl/>
        </w:rPr>
      </w:pPr>
      <w:r>
        <w:rPr>
          <w:rFonts w:hint="cs"/>
          <w:spacing w:val="8"/>
          <w:rtl/>
        </w:rPr>
        <w:t xml:space="preserve">وللحديث شاهد من حديث حكيم بن حزام، كما ورد معناه عند البخاري، كتاب البيوع، باب بيع الطعام قبل أن يقبض، وبيع ما ليس عندك، 2/751، ح2028، بسنده عن ابن عباس قال : </w:t>
      </w:r>
      <w:r>
        <w:rPr>
          <w:rFonts w:hint="eastAsia"/>
          <w:spacing w:val="8"/>
          <w:rtl/>
        </w:rPr>
        <w:t>«</w:t>
      </w:r>
      <w:r>
        <w:rPr>
          <w:rFonts w:hint="cs"/>
          <w:spacing w:val="8"/>
          <w:rtl/>
        </w:rPr>
        <w:t xml:space="preserve">أما الذي نهى عنه النبي </w:t>
      </w:r>
      <w:r>
        <w:rPr>
          <w:rFonts w:ascii="AGA Arabesque" w:hAnsi="AGA Arabesque"/>
          <w:spacing w:val="8"/>
          <w:sz w:val="36"/>
          <w:szCs w:val="36"/>
          <w:lang w:val="en-US"/>
        </w:rPr>
        <w:t></w:t>
      </w:r>
      <w:r>
        <w:rPr>
          <w:rFonts w:hint="cs"/>
          <w:spacing w:val="8"/>
          <w:rtl/>
        </w:rPr>
        <w:t xml:space="preserve"> فهو الطعام أن يباع حتى يقبض. قال ابن عباس : ولا أحسب كل شيء إلا مثله</w:t>
      </w:r>
      <w:r>
        <w:rPr>
          <w:rFonts w:hint="eastAsia"/>
          <w:spacing w:val="8"/>
          <w:rtl/>
        </w:rPr>
        <w:t>»</w:t>
      </w:r>
      <w:r>
        <w:rPr>
          <w:rFonts w:hint="cs"/>
          <w:spacing w:val="8"/>
          <w:rtl/>
        </w:rPr>
        <w:t>؛ وأخرجه أيضًا مسلم بنحوه، كتاب البيوع، باب بطلان بيع المبيع قبل القبض، 3/1159، ح1525.</w:t>
      </w:r>
    </w:p>
    <w:p w:rsidR="00035BE3" w:rsidRDefault="00035BE3" w:rsidP="00C10469">
      <w:pPr>
        <w:pStyle w:val="a6"/>
        <w:spacing w:line="440" w:lineRule="exact"/>
        <w:ind w:left="422" w:firstLine="0"/>
        <w:rPr>
          <w:spacing w:val="-4"/>
          <w:rtl/>
        </w:rPr>
      </w:pPr>
      <w:r>
        <w:rPr>
          <w:spacing w:val="-4"/>
          <w:rtl/>
        </w:rPr>
        <w:t>•</w:t>
      </w:r>
      <w:r>
        <w:rPr>
          <w:rFonts w:hint="cs"/>
          <w:spacing w:val="-4"/>
          <w:rtl/>
        </w:rPr>
        <w:t xml:space="preserve"> أما الترخيص في السلم: فقد جاء في البخاري، كتاب السلم، باب السلم في وزن معلوم، 2/781، ح2125، بسنده عن ابن عباس قال : قدم النبي </w:t>
      </w:r>
      <w:r>
        <w:rPr>
          <w:rFonts w:ascii="AGA Arabesque" w:hAnsi="AGA Arabesque"/>
          <w:spacing w:val="-4"/>
          <w:sz w:val="36"/>
          <w:szCs w:val="36"/>
          <w:lang w:val="en-US"/>
        </w:rPr>
        <w:t></w:t>
      </w:r>
      <w:r>
        <w:rPr>
          <w:rFonts w:hint="cs"/>
          <w:spacing w:val="-4"/>
          <w:rtl/>
        </w:rPr>
        <w:t xml:space="preserve"> المدينة وهم يسلفون بالتمر السنتين والثلاث، فقال: </w:t>
      </w:r>
      <w:r>
        <w:rPr>
          <w:rFonts w:hint="eastAsia"/>
          <w:spacing w:val="-4"/>
          <w:rtl/>
        </w:rPr>
        <w:t>«</w:t>
      </w:r>
      <w:r>
        <w:rPr>
          <w:rFonts w:hint="cs"/>
          <w:spacing w:val="-4"/>
          <w:rtl/>
        </w:rPr>
        <w:t>من أسلف في شيء ففي كيل معلوم ووزن معلوم إلى أجل معلوم</w:t>
      </w:r>
      <w:r>
        <w:rPr>
          <w:rFonts w:hint="eastAsia"/>
          <w:spacing w:val="-4"/>
          <w:rtl/>
        </w:rPr>
        <w:t>»</w:t>
      </w:r>
      <w:r>
        <w:rPr>
          <w:rFonts w:hint="cs"/>
          <w:spacing w:val="-4"/>
          <w:rtl/>
        </w:rPr>
        <w:t>؛ ومسلم بنحو اللفظ السابق، كتاب المساقاة، باب السلم، 3/1226-1227، ح1604.</w:t>
      </w:r>
    </w:p>
  </w:footnote>
  <w:footnote w:id="412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هولغة بمعنى السلف. فإنه أخذ عاجل بآجل</w:t>
      </w:r>
      <w:r>
        <w:rPr>
          <w:rFonts w:hint="eastAsia"/>
          <w:rtl/>
        </w:rPr>
        <w:t>»</w:t>
      </w:r>
      <w:r>
        <w:rPr>
          <w:rFonts w:hint="cs"/>
          <w:rtl/>
        </w:rPr>
        <w:t>.</w:t>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40" w:lineRule="exact"/>
        <w:ind w:left="422" w:firstLine="0"/>
        <w:rPr>
          <w:spacing w:val="-6"/>
          <w:rtl/>
        </w:rPr>
      </w:pPr>
      <w:r>
        <w:rPr>
          <w:rFonts w:hint="cs"/>
          <w:spacing w:val="-6"/>
          <w:rtl/>
        </w:rPr>
        <w:t xml:space="preserve">كما جاء فيه أيضًا : </w:t>
      </w:r>
      <w:r>
        <w:rPr>
          <w:rFonts w:hint="eastAsia"/>
          <w:spacing w:val="-6"/>
          <w:rtl/>
        </w:rPr>
        <w:t>«</w:t>
      </w:r>
      <w:r>
        <w:rPr>
          <w:rFonts w:hint="cs"/>
          <w:spacing w:val="-6"/>
          <w:rtl/>
        </w:rPr>
        <w:t>البائع : مُسـلم إليه. والـمشترى : رب السلم. والمبيع : مُسْلَم فيه. والثمن : رأس المال</w:t>
      </w:r>
      <w:r>
        <w:rPr>
          <w:rFonts w:hint="eastAsia"/>
          <w:spacing w:val="-6"/>
          <w:rtl/>
        </w:rPr>
        <w:t>»</w:t>
      </w:r>
      <w:r>
        <w:rPr>
          <w:rFonts w:hint="cs"/>
          <w:spacing w:val="-6"/>
          <w:rtl/>
        </w:rPr>
        <w:t>.</w:t>
      </w:r>
    </w:p>
  </w:footnote>
  <w:footnote w:id="41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هذا إشارة إلى معنى قاعدة سيأتي الحديث عنها استقلالاً، وهي : </w:t>
      </w:r>
      <w:r>
        <w:rPr>
          <w:rFonts w:hint="eastAsia"/>
          <w:rtl/>
        </w:rPr>
        <w:t>«</w:t>
      </w:r>
      <w:r>
        <w:rPr>
          <w:rFonts w:hint="cs"/>
          <w:rtl/>
        </w:rPr>
        <w:t>ما ثبت على خلاف القياس فغيره لا يقاس عليه</w:t>
      </w:r>
      <w:r>
        <w:rPr>
          <w:rFonts w:hint="eastAsia"/>
          <w:rtl/>
        </w:rPr>
        <w:t>»</w:t>
      </w:r>
      <w:r>
        <w:rPr>
          <w:rFonts w:hint="cs"/>
          <w:rtl/>
        </w:rPr>
        <w:t>. وذلك ص994 (ل93/أ)، قاعدة 221.</w:t>
      </w:r>
    </w:p>
  </w:footnote>
  <w:footnote w:id="412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المفضلات</w:t>
      </w:r>
      <w:r>
        <w:rPr>
          <w:rFonts w:hint="eastAsia"/>
          <w:rtl/>
        </w:rPr>
        <w:t>»</w:t>
      </w:r>
      <w:r>
        <w:rPr>
          <w:rFonts w:hint="cs"/>
          <w:rtl/>
        </w:rPr>
        <w:t>. وهي نهاية 50/ب من (د).</w:t>
      </w:r>
    </w:p>
  </w:footnote>
  <w:footnote w:id="4125">
    <w:p w:rsidR="00035BE3" w:rsidRPr="006076CB" w:rsidRDefault="00035BE3" w:rsidP="00C10469">
      <w:pPr>
        <w:pStyle w:val="a8"/>
        <w:bidi/>
        <w:spacing w:line="440" w:lineRule="exact"/>
        <w:ind w:left="422" w:right="0"/>
        <w:rPr>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6076CB">
        <w:rPr>
          <w:rFonts w:hint="cs"/>
          <w:rtl/>
        </w:rPr>
        <w:t xml:space="preserve"> انظر: المبسوط، 12/124؛ المغني، 6/384؛ تبيين الحقائق، </w:t>
      </w:r>
      <w:r>
        <w:rPr>
          <w:rFonts w:hint="cs"/>
          <w:rtl/>
        </w:rPr>
        <w:t>4/110؛ مواهب الجليل للحطاب ومعه</w:t>
      </w:r>
      <w:r w:rsidRPr="006076CB">
        <w:rPr>
          <w:rFonts w:hint="cs"/>
          <w:rtl/>
        </w:rPr>
        <w:t>: التاج والإكليل، 6/476؛ نهاية المحتاج، 4/182؛ مواهب الجليل من أدلة خليل لأحمد الجكني الشنقيطي، 3/343.</w:t>
      </w:r>
    </w:p>
  </w:footnote>
  <w:footnote w:id="412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متحدة من جهة المعنى مع قاعدة أخرى سبق أن أفردها المؤلف بالحديث، وهي: </w:t>
      </w:r>
      <w:r>
        <w:rPr>
          <w:rFonts w:hint="eastAsia"/>
          <w:rtl/>
        </w:rPr>
        <w:t>«</w:t>
      </w:r>
      <w:r>
        <w:rPr>
          <w:rFonts w:hint="cs"/>
          <w:rtl/>
        </w:rPr>
        <w:t>تمليك الدين من غير من عليه الدين لا يجوز</w:t>
      </w:r>
      <w:r>
        <w:rPr>
          <w:rFonts w:hint="eastAsia"/>
          <w:rtl/>
        </w:rPr>
        <w:t>»</w:t>
      </w:r>
      <w:r>
        <w:rPr>
          <w:rFonts w:hint="cs"/>
          <w:rtl/>
        </w:rPr>
        <w:t>، وذلك ص549 (ل37/ب)، قاعدة 86. فما قيل في توضيحها وتوثيقها هناك يقال هنا.</w:t>
      </w:r>
    </w:p>
    <w:p w:rsidR="00035BE3" w:rsidRDefault="00035BE3" w:rsidP="00C10469">
      <w:pPr>
        <w:pStyle w:val="a6"/>
        <w:spacing w:line="440" w:lineRule="exact"/>
        <w:ind w:left="422" w:firstLine="0"/>
        <w:rPr>
          <w:rtl/>
        </w:rPr>
      </w:pPr>
      <w:r>
        <w:rPr>
          <w:rFonts w:hint="cs"/>
          <w:rtl/>
        </w:rPr>
        <w:t xml:space="preserve">ويضاف إلى ذلك أنها وردت بلفظ المؤلف هنا أو نحوه في: الأشباه والنظائر لابن نجيم، ص 393؛ قرة عيون الأخيار، 11/428- ولفظ الثاني مطابق للفظ المؤلف أما الأول فلفظه: </w:t>
      </w:r>
      <w:r>
        <w:rPr>
          <w:rFonts w:hint="eastAsia"/>
          <w:rtl/>
        </w:rPr>
        <w:t>«</w:t>
      </w:r>
      <w:r>
        <w:rPr>
          <w:rFonts w:hint="cs"/>
          <w:rtl/>
        </w:rPr>
        <w:t xml:space="preserve">الخامسة [أي المسألة الخامسة من مسائل الدين]: لا يصح </w:t>
      </w:r>
      <w:r>
        <w:rPr>
          <w:rFonts w:hint="cs"/>
          <w:b/>
          <w:bCs/>
          <w:rtl/>
        </w:rPr>
        <w:t>تمليكه</w:t>
      </w:r>
      <w:r>
        <w:rPr>
          <w:rFonts w:hint="cs"/>
          <w:rtl/>
        </w:rPr>
        <w:t xml:space="preserve"> من غير مَنْ هو عليه...</w:t>
      </w:r>
      <w:r>
        <w:rPr>
          <w:rFonts w:hint="eastAsia"/>
          <w:rtl/>
        </w:rPr>
        <w:t>»</w:t>
      </w:r>
      <w:r>
        <w:rPr>
          <w:rFonts w:hint="cs"/>
          <w:rtl/>
        </w:rPr>
        <w:t>.</w:t>
      </w:r>
    </w:p>
  </w:footnote>
  <w:footnote w:id="4127">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ساقطة من (د). </w:t>
      </w:r>
    </w:p>
  </w:footnote>
  <w:footnote w:id="4128">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يحصى</w:t>
      </w:r>
      <w:r>
        <w:rPr>
          <w:rFonts w:hint="eastAsia"/>
          <w:rtl/>
        </w:rPr>
        <w:t>»</w:t>
      </w:r>
      <w:r>
        <w:rPr>
          <w:rFonts w:hint="cs"/>
          <w:rtl/>
        </w:rPr>
        <w:t>. والصحيح ما تمّ إثباته من (د) و(هـ) و(و).</w:t>
      </w:r>
    </w:p>
  </w:footnote>
  <w:footnote w:id="4129">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53/أ من (ب)، وكذلك نهاية 61/ب من(جـ).</w:t>
      </w:r>
    </w:p>
  </w:footnote>
  <w:footnote w:id="4130">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لكونه</w:t>
      </w:r>
      <w:r>
        <w:rPr>
          <w:rFonts w:hint="eastAsia"/>
          <w:rtl/>
        </w:rPr>
        <w:t>»</w:t>
      </w:r>
      <w:r>
        <w:rPr>
          <w:rFonts w:hint="cs"/>
          <w:rtl/>
        </w:rPr>
        <w:t>.</w:t>
      </w:r>
    </w:p>
  </w:footnote>
  <w:footnote w:id="4131">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الأشباه والنظائر لابن نجيم، ص 393؛ وانظر أيضًا: المصفى للنسفي، ل55/أ؛ قواعد الفقه لابن نجيم، ص 281؛ قرّة عيون الأخيار، 11/428.</w:t>
      </w:r>
    </w:p>
  </w:footnote>
  <w:footnote w:id="4132">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الفتاوى البزازية، 3/234؛ الأشباه والنظائر لابن نجيم، ص 393. وقد أحال الثاني إلى الأول، وزادا على العبارة: </w:t>
      </w:r>
      <w:r>
        <w:rPr>
          <w:rFonts w:hint="eastAsia"/>
          <w:rtl/>
        </w:rPr>
        <w:t>«</w:t>
      </w:r>
      <w:r>
        <w:rPr>
          <w:rFonts w:hint="cs"/>
          <w:rtl/>
        </w:rPr>
        <w:t>...جاز استحسانًا. وإن لم يأمره: لا</w:t>
      </w:r>
      <w:r>
        <w:rPr>
          <w:rFonts w:hint="eastAsia"/>
          <w:rtl/>
        </w:rPr>
        <w:t>»</w:t>
      </w:r>
      <w:r>
        <w:rPr>
          <w:rFonts w:hint="cs"/>
          <w:rtl/>
        </w:rPr>
        <w:t>.</w:t>
      </w:r>
    </w:p>
  </w:footnote>
  <w:footnote w:id="4133">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w:t>
      </w:r>
      <w:r>
        <w:rPr>
          <w:rFonts w:hint="eastAsia"/>
          <w:rtl/>
        </w:rPr>
        <w:t>«</w:t>
      </w:r>
      <w:r>
        <w:rPr>
          <w:rFonts w:hint="cs"/>
          <w:rtl/>
        </w:rPr>
        <w:t>إمام</w:t>
      </w:r>
      <w:r>
        <w:rPr>
          <w:rFonts w:hint="eastAsia"/>
          <w:rtl/>
        </w:rPr>
        <w:t>»</w:t>
      </w:r>
      <w:r>
        <w:rPr>
          <w:rFonts w:hint="cs"/>
          <w:rtl/>
        </w:rPr>
        <w:t>. والصحيح ما تمّّ إثباته من (ب) و(د)، وهو الموافق لأشباه ابن نجيم.</w:t>
      </w:r>
    </w:p>
  </w:footnote>
  <w:footnote w:id="4134">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المصطلح يكثر ورودُه في كتب الحنفية، ويريدون به الإمام أبا حنيفة. ومن ينظر إليه لأول وهلة يظهر له أن فيه مبالغة؛ لأنه لاشك أن في أمّة محمد </w:t>
      </w:r>
      <w:r>
        <w:rPr>
          <w:rFonts w:ascii="AGA Arabesque" w:hAnsi="AGA Arabesque"/>
          <w:sz w:val="36"/>
          <w:szCs w:val="36"/>
        </w:rPr>
        <w:t></w:t>
      </w:r>
      <w:r>
        <w:rPr>
          <w:rFonts w:ascii="AGA Arabesque" w:hAnsi="AGA Arabesque" w:hint="cs"/>
          <w:sz w:val="36"/>
          <w:szCs w:val="36"/>
          <w:rtl/>
        </w:rPr>
        <w:t xml:space="preserve"> </w:t>
      </w:r>
      <w:r>
        <w:rPr>
          <w:rFonts w:hint="cs"/>
          <w:rtl/>
        </w:rPr>
        <w:t>من الصحابة وغيرهم من هم أحقّ وأولى منه بهذا الوصف، وهذا ممّا لا يُنكر.</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 xml:space="preserve"> لذا يقال : لعل مرادهم: أعظم أئمتهم الذين يتبعونهم في الفقه، أو بعبارة أخرى: إمامهم الأول.</w:t>
      </w:r>
    </w:p>
    <w:p w:rsidR="00035BE3" w:rsidRDefault="00035BE3" w:rsidP="00C10469">
      <w:pPr>
        <w:pStyle w:val="a6"/>
        <w:ind w:left="422" w:firstLine="0"/>
        <w:rPr>
          <w:spacing w:val="12"/>
          <w:rtl/>
        </w:rPr>
      </w:pPr>
      <w:r>
        <w:rPr>
          <w:rFonts w:hint="cs"/>
          <w:spacing w:val="12"/>
          <w:rtl/>
        </w:rPr>
        <w:t>ولاشك أنه أحد أكابر علماء المسلمين، وقد عدّه كثير من الحفاظ من طبقة التابعين، وهو إمام مدرسة الرأي، ومذهبه أوّل المذاهب الفقهية، وأوسـعها انـتشارًا، وشـهرته تغني عن التعريف به.</w:t>
      </w:r>
    </w:p>
    <w:p w:rsidR="00035BE3" w:rsidRDefault="00035BE3" w:rsidP="00C10469">
      <w:pPr>
        <w:pStyle w:val="a6"/>
        <w:ind w:left="422" w:firstLine="0"/>
        <w:rPr>
          <w:rtl/>
        </w:rPr>
      </w:pPr>
      <w:r>
        <w:rPr>
          <w:rFonts w:hint="cs"/>
          <w:rtl/>
        </w:rPr>
        <w:t>وهنا فائدة لطيفه في بيان بعض المصطلحات التي يشار بها إلى علماء الحنفية، وقد ختم بها صاحب (الفوائد البهية) تصنيفه، ويناسب أن يُختم بها هذه التعليقة، وهي:</w:t>
      </w:r>
    </w:p>
    <w:p w:rsidR="00035BE3" w:rsidRDefault="00035BE3" w:rsidP="00C10469">
      <w:pPr>
        <w:pStyle w:val="a6"/>
        <w:ind w:left="422" w:firstLine="0"/>
        <w:rPr>
          <w:rtl/>
        </w:rPr>
      </w:pPr>
      <w:r>
        <w:rPr>
          <w:rFonts w:hint="eastAsia"/>
          <w:rtl/>
        </w:rPr>
        <w:t>«</w:t>
      </w:r>
      <w:r>
        <w:rPr>
          <w:rFonts w:hint="cs"/>
          <w:rtl/>
        </w:rPr>
        <w:t xml:space="preserve">فائدة: المراد </w:t>
      </w:r>
      <w:r>
        <w:rPr>
          <w:rFonts w:hint="cs"/>
          <w:b/>
          <w:bCs/>
          <w:rtl/>
        </w:rPr>
        <w:t>بالأئمة الأربعة</w:t>
      </w:r>
      <w:r>
        <w:rPr>
          <w:rFonts w:hint="cs"/>
          <w:rtl/>
        </w:rPr>
        <w:t>- في قولهم: بإجماع الأئمة الأربعة ونحو ذلك-: أبو حنيفة ومالك والشافعي وأحمد.</w:t>
      </w:r>
    </w:p>
    <w:p w:rsidR="00035BE3" w:rsidRDefault="00035BE3" w:rsidP="00C10469">
      <w:pPr>
        <w:pStyle w:val="a6"/>
        <w:ind w:left="422" w:firstLine="0"/>
        <w:rPr>
          <w:rtl/>
        </w:rPr>
      </w:pPr>
      <w:r>
        <w:rPr>
          <w:rFonts w:hint="cs"/>
          <w:rtl/>
        </w:rPr>
        <w:t xml:space="preserve">وإذا قالوا: </w:t>
      </w:r>
      <w:r>
        <w:rPr>
          <w:rFonts w:hint="cs"/>
          <w:b/>
          <w:bCs/>
          <w:rtl/>
        </w:rPr>
        <w:t>أئمتنا الثلاثة</w:t>
      </w:r>
      <w:r>
        <w:rPr>
          <w:rFonts w:hint="cs"/>
          <w:rtl/>
        </w:rPr>
        <w:t>: فالمراد بهم أبو حنيفة وأبو يوسف ومحمد.</w:t>
      </w:r>
    </w:p>
    <w:p w:rsidR="00035BE3" w:rsidRDefault="00035BE3" w:rsidP="00C10469">
      <w:pPr>
        <w:pStyle w:val="a6"/>
        <w:ind w:left="422" w:firstLine="0"/>
        <w:rPr>
          <w:rtl/>
        </w:rPr>
      </w:pPr>
      <w:r>
        <w:rPr>
          <w:rFonts w:hint="cs"/>
          <w:rtl/>
        </w:rPr>
        <w:t xml:space="preserve">والمراد </w:t>
      </w:r>
      <w:r>
        <w:rPr>
          <w:rFonts w:hint="cs"/>
          <w:b/>
          <w:bCs/>
          <w:rtl/>
        </w:rPr>
        <w:t>بالإمام الأعظم</w:t>
      </w:r>
      <w:r>
        <w:rPr>
          <w:rFonts w:hint="cs"/>
          <w:rtl/>
        </w:rPr>
        <w:t xml:space="preserve"> في كتب أصحابنا: هو إمامنا أبو حنيفة...</w:t>
      </w:r>
    </w:p>
    <w:p w:rsidR="00035BE3" w:rsidRDefault="00035BE3" w:rsidP="00C10469">
      <w:pPr>
        <w:pStyle w:val="a6"/>
        <w:ind w:left="422" w:firstLine="0"/>
        <w:rPr>
          <w:rtl/>
        </w:rPr>
      </w:pPr>
      <w:r>
        <w:rPr>
          <w:rFonts w:hint="cs"/>
          <w:rtl/>
        </w:rPr>
        <w:t xml:space="preserve">والمراد </w:t>
      </w:r>
      <w:r>
        <w:rPr>
          <w:rFonts w:hint="cs"/>
          <w:b/>
          <w:bCs/>
          <w:rtl/>
        </w:rPr>
        <w:t>بالشيخين</w:t>
      </w:r>
      <w:r>
        <w:rPr>
          <w:rFonts w:hint="cs"/>
          <w:rtl/>
        </w:rPr>
        <w:t xml:space="preserve"> في كتب أصحابنا: هو أبو حنيفة وأبو يوسف.</w:t>
      </w:r>
    </w:p>
    <w:p w:rsidR="00035BE3" w:rsidRDefault="00035BE3" w:rsidP="00C10469">
      <w:pPr>
        <w:pStyle w:val="a6"/>
        <w:ind w:left="422" w:firstLine="0"/>
        <w:rPr>
          <w:rtl/>
        </w:rPr>
      </w:pPr>
      <w:r>
        <w:rPr>
          <w:rFonts w:hint="cs"/>
          <w:b/>
          <w:bCs/>
          <w:rtl/>
        </w:rPr>
        <w:t xml:space="preserve">وبالطرفين </w:t>
      </w:r>
      <w:r>
        <w:rPr>
          <w:rFonts w:hint="cs"/>
          <w:rtl/>
        </w:rPr>
        <w:t>: أبو حنيفة ومحمد.</w:t>
      </w:r>
    </w:p>
    <w:p w:rsidR="00035BE3" w:rsidRDefault="00035BE3" w:rsidP="00C10469">
      <w:pPr>
        <w:pStyle w:val="a6"/>
        <w:ind w:left="422" w:firstLine="0"/>
        <w:rPr>
          <w:rtl/>
        </w:rPr>
      </w:pPr>
      <w:r>
        <w:rPr>
          <w:rFonts w:hint="cs"/>
          <w:b/>
          <w:bCs/>
          <w:rtl/>
        </w:rPr>
        <w:t xml:space="preserve">وبالصاحبين </w:t>
      </w:r>
      <w:r>
        <w:rPr>
          <w:rFonts w:hint="cs"/>
          <w:rtl/>
        </w:rPr>
        <w:t>: أبو يوسف ومحمد</w:t>
      </w:r>
      <w:r>
        <w:rPr>
          <w:rFonts w:hint="eastAsia"/>
          <w:rtl/>
        </w:rPr>
        <w:t>»</w:t>
      </w:r>
      <w:r>
        <w:rPr>
          <w:rFonts w:hint="cs"/>
          <w:rtl/>
        </w:rPr>
        <w:t>.</w:t>
      </w:r>
    </w:p>
    <w:p w:rsidR="00035BE3" w:rsidRDefault="00035BE3" w:rsidP="00C10469">
      <w:pPr>
        <w:pStyle w:val="a6"/>
        <w:ind w:left="422" w:firstLine="0"/>
        <w:rPr>
          <w:spacing w:val="-4"/>
          <w:rtl/>
        </w:rPr>
      </w:pPr>
      <w:r>
        <w:rPr>
          <w:rFonts w:hint="cs"/>
          <w:spacing w:val="-4"/>
          <w:rtl/>
        </w:rPr>
        <w:t>الفوائد البهية، ص 248؛ وانظر في عدِّه من التابعين إلى : تذكرة الحفاظ، 1/168؛ (أبو حنيفة وأصحاب المحدّثون)، ص6-11، إذ فيه أن هذا رأي ابن سعد والدار قطني والخطيب البغدادي والسمعاني وابن الجوزي والنووي والمزي والذهبي والعراقي وابن حجر والعيني والسيوطي واللكنوي وغيرهم. حيث أثبتوا جميعًا رؤيته لأنس بن مالك.</w:t>
      </w:r>
    </w:p>
  </w:footnote>
  <w:footnote w:id="4135">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DB463D">
        <w:rPr>
          <w:rFonts w:hint="cs"/>
          <w:rtl/>
        </w:rPr>
        <w:t xml:space="preserve">الأشباه والنظائر لابن نجيم، ص 394-مع اختلاف يسير-؛ وانظر: الهداية والعناية ونتائج </w:t>
      </w:r>
      <w:r>
        <w:rPr>
          <w:rFonts w:hint="cs"/>
          <w:spacing w:val="4"/>
          <w:rtl/>
        </w:rPr>
        <w:t>الأفكار، 8/58؛ النافع الكبير، ص 409-410.</w:t>
      </w:r>
    </w:p>
  </w:footnote>
  <w:footnote w:id="41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w:t>
      </w:r>
      <w:r>
        <w:rPr>
          <w:rFonts w:hint="eastAsia"/>
          <w:rtl/>
        </w:rPr>
        <w:t>«</w:t>
      </w:r>
      <w:r>
        <w:rPr>
          <w:rFonts w:hint="cs"/>
          <w:rtl/>
        </w:rPr>
        <w:t>يتعين</w:t>
      </w:r>
      <w:r>
        <w:rPr>
          <w:rtl/>
        </w:rPr>
        <w:t>»</w:t>
      </w:r>
      <w:r>
        <w:rPr>
          <w:rFonts w:hint="cs"/>
          <w:rtl/>
        </w:rPr>
        <w:t>. والصحيح ما تّم إثباته من (ب) و(د).</w:t>
      </w:r>
    </w:p>
  </w:footnote>
  <w:footnote w:id="41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عند الإمام أبي حنيفة.</w:t>
      </w:r>
    </w:p>
  </w:footnote>
  <w:footnote w:id="41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الحديث عنها، ص706 (ل53/أ)، قاعدة 128.</w:t>
      </w:r>
    </w:p>
  </w:footnote>
  <w:footnote w:id="41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83/ب من (أ).</w:t>
      </w:r>
    </w:p>
  </w:footnote>
  <w:footnote w:id="41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مصدر هذه العبارة (وهو العناية): </w:t>
      </w:r>
      <w:r>
        <w:rPr>
          <w:rFonts w:hint="eastAsia"/>
          <w:rtl/>
        </w:rPr>
        <w:t>«</w:t>
      </w:r>
      <w:r>
        <w:rPr>
          <w:rFonts w:hint="cs"/>
          <w:rtl/>
        </w:rPr>
        <w:t>بصرف</w:t>
      </w:r>
      <w:r>
        <w:rPr>
          <w:rFonts w:hint="eastAsia"/>
          <w:rtl/>
        </w:rPr>
        <w:t>»</w:t>
      </w:r>
      <w:r>
        <w:rPr>
          <w:rFonts w:hint="cs"/>
          <w:rtl/>
        </w:rPr>
        <w:t>. وهذا الأولى.</w:t>
      </w:r>
    </w:p>
  </w:footnote>
  <w:footnote w:id="41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بتملك</w:t>
      </w:r>
      <w:r>
        <w:rPr>
          <w:rtl/>
        </w:rPr>
        <w:t>»</w:t>
      </w:r>
      <w:r>
        <w:rPr>
          <w:rFonts w:hint="cs"/>
          <w:rtl/>
        </w:rPr>
        <w:t>.</w:t>
      </w:r>
    </w:p>
  </w:footnote>
  <w:footnote w:id="41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هامش (و)، وهي الموافقة للعناية ولا يستقيم المعنى بدونها؛ إذ جاء في العناية: </w:t>
      </w:r>
      <w:r>
        <w:rPr>
          <w:rFonts w:hint="eastAsia"/>
          <w:rtl/>
        </w:rPr>
        <w:t>«</w:t>
      </w:r>
      <w:r>
        <w:rPr>
          <w:rFonts w:hint="cs"/>
          <w:rtl/>
        </w:rPr>
        <w:t>...وذلك ليس بتمليك الدين من غير من عليه الدين، ولا أمرًا بصرف ما لم يقبض</w:t>
      </w:r>
      <w:r>
        <w:rPr>
          <w:rFonts w:hint="eastAsia"/>
          <w:rtl/>
        </w:rPr>
        <w:t>»</w:t>
      </w:r>
      <w:r>
        <w:rPr>
          <w:rFonts w:hint="cs"/>
          <w:rtl/>
        </w:rPr>
        <w:t xml:space="preserve">. </w:t>
      </w:r>
    </w:p>
  </w:footnote>
  <w:footnote w:id="41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8/61-62- مع اختلاف في بعض الألفاظ، وزيادة في ألفاظ أُخَر عند كلٍّ منهما-.</w:t>
      </w:r>
    </w:p>
  </w:footnote>
  <w:footnote w:id="41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8/58.</w:t>
      </w:r>
    </w:p>
  </w:footnote>
  <w:footnote w:id="41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8/62.</w:t>
      </w:r>
    </w:p>
  </w:footnote>
  <w:footnote w:id="41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الأشباه والنظائر لابن نجيم، ص 394؛ ردّ المحتار، 8/518.</w:t>
      </w:r>
    </w:p>
  </w:footnote>
  <w:footnote w:id="4147">
    <w:p w:rsidR="00035BE3" w:rsidRDefault="00035BE3" w:rsidP="00C10469">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6B3363">
        <w:rPr>
          <w:rFonts w:hint="cs"/>
          <w:spacing w:val="-8"/>
          <w:rtl/>
        </w:rPr>
        <w:t xml:space="preserve">لعل المراد ما قاله صاحب الهداية، 8/62: </w:t>
      </w:r>
      <w:r w:rsidRPr="006B3363">
        <w:rPr>
          <w:rFonts w:hint="eastAsia"/>
          <w:spacing w:val="-8"/>
          <w:rtl/>
        </w:rPr>
        <w:t>«</w:t>
      </w:r>
      <w:r w:rsidRPr="006B3363">
        <w:rPr>
          <w:rFonts w:hint="cs"/>
          <w:spacing w:val="-8"/>
          <w:rtl/>
        </w:rPr>
        <w:t>بخلاف ما إذا عيّن البائع؛ لأنه يصير وكيلاً عنه في القبض ثم يمتلكه</w:t>
      </w:r>
      <w:r w:rsidRPr="006B3363">
        <w:rPr>
          <w:rFonts w:hint="eastAsia"/>
          <w:spacing w:val="-8"/>
          <w:rtl/>
        </w:rPr>
        <w:t>»</w:t>
      </w:r>
      <w:r w:rsidRPr="006B3363">
        <w:rPr>
          <w:rFonts w:hint="cs"/>
          <w:spacing w:val="-8"/>
          <w:rtl/>
        </w:rPr>
        <w:t>.</w:t>
      </w:r>
    </w:p>
  </w:footnote>
  <w:footnote w:id="41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كثير من كتب الفقه و قواعده:</w:t>
      </w:r>
    </w:p>
    <w:p w:rsidR="00035BE3" w:rsidRDefault="00035BE3" w:rsidP="00C10469">
      <w:pPr>
        <w:pStyle w:val="a6"/>
        <w:ind w:left="422" w:firstLine="0"/>
        <w:rPr>
          <w:rtl/>
        </w:rPr>
      </w:pPr>
      <w:r>
        <w:rPr>
          <w:rFonts w:hint="cs"/>
          <w:b/>
          <w:bCs/>
          <w:rtl/>
        </w:rPr>
        <w:t>فمن كتب القواعد</w:t>
      </w:r>
      <w:r>
        <w:rPr>
          <w:rFonts w:hint="cs"/>
          <w:rtl/>
        </w:rPr>
        <w:t>:</w:t>
      </w:r>
    </w:p>
    <w:p w:rsidR="00035BE3" w:rsidRPr="000570F3" w:rsidRDefault="00035BE3" w:rsidP="00C10469">
      <w:pPr>
        <w:pStyle w:val="a6"/>
        <w:spacing w:line="460" w:lineRule="exact"/>
        <w:ind w:left="420" w:firstLine="0"/>
        <w:jc w:val="mediumKashida"/>
        <w:rPr>
          <w:rtl/>
        </w:rPr>
      </w:pPr>
      <w:r w:rsidRPr="000570F3">
        <w:rPr>
          <w:rFonts w:hint="cs"/>
          <w:rtl/>
        </w:rPr>
        <w:t>المنثور</w:t>
      </w:r>
      <w:r w:rsidRPr="000570F3">
        <w:rPr>
          <w:rFonts w:hint="cs"/>
          <w:b/>
          <w:bCs/>
          <w:rtl/>
        </w:rPr>
        <w:t xml:space="preserve">، </w:t>
      </w:r>
      <w:r w:rsidRPr="000570F3">
        <w:rPr>
          <w:rFonts w:hint="cs"/>
          <w:rtl/>
        </w:rPr>
        <w:t xml:space="preserve">2/353، 3/310؛ الأشباه والنظائر للسيوطي، 1/343؛ ولابن نجيم، ص185؛ الفرائد البهية وشرحاها: الأقمار المضيئة، ص 230؛ والمواهب السنية وحاشـيتها: الفوائد الجنية، 2/327؛ مجلة الأحكام العدلية، مادة 72؛ شرحها لسليم رستم، 1/49؛ ولعلي حيدر، 1/64؛ وللأتاسي، 1/200؛ شرح قواعدها للزرقا، ص 357؛ قواعد الفقه للمجدّدي، ص 107، قاعدة256؛ المدخل الفقهي العام، 2/976، فقرة 584؛ القواعد الفقهية للدكتور علي الندوي، ص 347؛ الوجيز، ص 148؛ موسوعة الـقواعد الفقهية، 1/274؛ القواعد الفقهية الكبرى لشيخنا أ.د.صالح السدلان، ص 197؛ تطبيقات القواعد والضوابط للدكتور سعود الغديان، ص 1418؛ قواعد الفقه للدكتور محمد الروكي، ص 195؛ المدخل إلى القواعد للدكتور إبراهيم الحريري، ص 88؛ قاعدة اليقين لا يزول بالشك لشيخنا د.يعقوب الباحسين، ص 201؛ المبادئ الفقهية، ص 24؛ القواعد الفقهية للدعاس، ص 26، قاعدة 13؛ وللدكتور محمد الزحيلي، ص 56. وجميعهم بلفظ المؤلف سوى الفرائد حيث جاء فيها: </w:t>
      </w:r>
    </w:p>
    <w:p w:rsidR="00035BE3" w:rsidRDefault="00035BE3" w:rsidP="00C10469">
      <w:pPr>
        <w:pStyle w:val="a6"/>
        <w:spacing w:line="460" w:lineRule="exact"/>
        <w:ind w:left="422" w:hanging="454"/>
        <w:jc w:val="center"/>
        <w:rPr>
          <w:b/>
          <w:bCs/>
          <w:rtl/>
        </w:rPr>
      </w:pPr>
      <w:r>
        <w:rPr>
          <w:rFonts w:hint="cs"/>
          <w:b/>
          <w:bCs/>
          <w:rtl/>
        </w:rPr>
        <w:t xml:space="preserve">      </w:t>
      </w:r>
      <w:r>
        <w:rPr>
          <w:rFonts w:hint="eastAsia"/>
          <w:b/>
          <w:bCs/>
          <w:rtl/>
        </w:rPr>
        <w:t>«</w:t>
      </w:r>
      <w:r>
        <w:rPr>
          <w:rFonts w:hint="cs"/>
          <w:b/>
          <w:bCs/>
          <w:rtl/>
        </w:rPr>
        <w:t>قـالـوا ولا عـبـرة بـالـظـن مـتى     خـطـؤه بـيّـن كـمـا قـد ثـبـتا</w:t>
      </w:r>
      <w:r>
        <w:rPr>
          <w:rFonts w:hint="eastAsia"/>
          <w:b/>
          <w:bCs/>
          <w:rtl/>
        </w:rPr>
        <w:t>»</w:t>
      </w:r>
      <w:r>
        <w:rPr>
          <w:rFonts w:hint="cs"/>
          <w:b/>
          <w:bCs/>
          <w:rtl/>
        </w:rPr>
        <w:t>.</w:t>
      </w:r>
    </w:p>
    <w:p w:rsidR="00035BE3" w:rsidRDefault="00035BE3" w:rsidP="00C10469">
      <w:pPr>
        <w:pStyle w:val="a6"/>
        <w:spacing w:line="460" w:lineRule="exact"/>
        <w:ind w:left="422" w:firstLine="0"/>
        <w:rPr>
          <w:spacing w:val="12"/>
          <w:rtl/>
        </w:rPr>
      </w:pPr>
      <w:r>
        <w:rPr>
          <w:rFonts w:hint="cs"/>
          <w:spacing w:val="12"/>
          <w:rtl/>
        </w:rPr>
        <w:t xml:space="preserve">يضاف إلى ما سبق أنه ورد جزء من معناها في : قواعد المقّري، 1/242، قاعدة 18، ولفظه: </w:t>
      </w:r>
      <w:r>
        <w:rPr>
          <w:rFonts w:hint="eastAsia"/>
          <w:spacing w:val="12"/>
          <w:rtl/>
        </w:rPr>
        <w:t>«</w:t>
      </w:r>
      <w:r>
        <w:rPr>
          <w:rFonts w:hint="cs"/>
          <w:spacing w:val="12"/>
          <w:rtl/>
        </w:rPr>
        <w:t>إذا تبيّن عدم إفضاء الوسيلة إلى المقصود... بطل اعتبارها</w:t>
      </w:r>
      <w:r>
        <w:rPr>
          <w:rFonts w:hint="eastAsia"/>
          <w:spacing w:val="12"/>
          <w:rtl/>
        </w:rPr>
        <w:t>»</w:t>
      </w:r>
      <w:r>
        <w:rPr>
          <w:rFonts w:hint="cs"/>
          <w:spacing w:val="12"/>
          <w:rtl/>
        </w:rPr>
        <w:t xml:space="preserve">، وهذه القاعدة </w:t>
      </w:r>
      <w:r>
        <w:rPr>
          <w:rFonts w:hint="eastAsia"/>
          <w:spacing w:val="12"/>
          <w:rtl/>
        </w:rPr>
        <w:t>«</w:t>
      </w:r>
      <w:r>
        <w:rPr>
          <w:rFonts w:hint="cs"/>
          <w:spacing w:val="12"/>
          <w:rtl/>
        </w:rPr>
        <w:t>بحسب ظاهرها أخصّ موضوعًا؛ لأنها تتعلّق بالخطأ في الوسيلة فقط</w:t>
      </w:r>
      <w:r>
        <w:rPr>
          <w:rFonts w:hint="eastAsia"/>
          <w:spacing w:val="12"/>
          <w:rtl/>
        </w:rPr>
        <w:t>»</w:t>
      </w:r>
      <w:r>
        <w:rPr>
          <w:rFonts w:hint="cs"/>
          <w:spacing w:val="12"/>
          <w:rtl/>
        </w:rPr>
        <w:t>. قاله د.محمد البورنو في موسوعته، 1/274.</w:t>
      </w:r>
    </w:p>
    <w:p w:rsidR="00035BE3" w:rsidRDefault="00035BE3" w:rsidP="00C10469">
      <w:pPr>
        <w:pStyle w:val="a6"/>
        <w:spacing w:line="460" w:lineRule="exact"/>
        <w:ind w:left="422" w:firstLine="0"/>
        <w:rPr>
          <w:rtl/>
        </w:rPr>
      </w:pPr>
      <w:r>
        <w:rPr>
          <w:rFonts w:hint="cs"/>
          <w:rtl/>
        </w:rPr>
        <w:t xml:space="preserve">كما وردت في القواعد والضوابط المستخلصة -ص 490-بلفظ: </w:t>
      </w:r>
      <w:r>
        <w:rPr>
          <w:rFonts w:hint="eastAsia"/>
          <w:rtl/>
        </w:rPr>
        <w:t>«</w:t>
      </w:r>
      <w:r>
        <w:rPr>
          <w:rFonts w:hint="cs"/>
          <w:rtl/>
        </w:rPr>
        <w:t>الظن لا عبرة به متى أدى إلى إبطال حق مستحق</w:t>
      </w:r>
      <w:r>
        <w:rPr>
          <w:rFonts w:hint="eastAsia"/>
          <w:rtl/>
        </w:rPr>
        <w:t>»</w:t>
      </w:r>
      <w:r>
        <w:rPr>
          <w:rFonts w:hint="cs"/>
          <w:rtl/>
        </w:rPr>
        <w:t>.</w:t>
      </w:r>
    </w:p>
    <w:p w:rsidR="00035BE3" w:rsidRDefault="00035BE3" w:rsidP="00C10469">
      <w:pPr>
        <w:pStyle w:val="a6"/>
        <w:spacing w:line="460" w:lineRule="exact"/>
        <w:ind w:left="422" w:firstLine="0"/>
        <w:rPr>
          <w:rtl/>
        </w:rPr>
      </w:pPr>
      <w:r>
        <w:rPr>
          <w:rFonts w:hint="cs"/>
          <w:b/>
          <w:bCs/>
          <w:rtl/>
        </w:rPr>
        <w:t>ومن كتب الفقه</w:t>
      </w:r>
      <w:r>
        <w:rPr>
          <w:rFonts w:hint="cs"/>
          <w:rtl/>
        </w:rPr>
        <w:t xml:space="preserve">: </w:t>
      </w:r>
    </w:p>
    <w:p w:rsidR="00035BE3" w:rsidRDefault="00035BE3" w:rsidP="00C10469">
      <w:pPr>
        <w:pStyle w:val="a6"/>
        <w:spacing w:line="460" w:lineRule="exact"/>
        <w:ind w:left="422" w:firstLine="0"/>
        <w:rPr>
          <w:rtl/>
        </w:rPr>
      </w:pPr>
      <w:r>
        <w:rPr>
          <w:rFonts w:hint="cs"/>
          <w:rtl/>
        </w:rPr>
        <w:t>الهداية والعناية، 2/275؛ مغني المحتاج، 1/253، 257؛ 432؛ 4/432؛ رد المحتار، 8/369.</w:t>
      </w:r>
    </w:p>
    <w:p w:rsidR="00035BE3" w:rsidRDefault="00035BE3" w:rsidP="00C10469">
      <w:pPr>
        <w:pStyle w:val="a6"/>
        <w:spacing w:line="460" w:lineRule="exact"/>
        <w:ind w:left="422" w:firstLine="0"/>
        <w:rPr>
          <w:rtl/>
        </w:rPr>
      </w:pPr>
      <w:r>
        <w:rPr>
          <w:rFonts w:hint="cs"/>
          <w:b/>
          <w:bCs/>
          <w:rtl/>
        </w:rPr>
        <w:t>كما وردت في الإبهاج</w:t>
      </w:r>
      <w:r>
        <w:rPr>
          <w:rFonts w:hint="cs"/>
          <w:rtl/>
        </w:rPr>
        <w:t>، 1/80.</w:t>
      </w:r>
    </w:p>
  </w:footnote>
  <w:footnote w:id="41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62/أ من (جـ)، مع تكرار </w:t>
      </w:r>
      <w:r>
        <w:rPr>
          <w:rFonts w:hint="eastAsia"/>
          <w:rtl/>
        </w:rPr>
        <w:t>«</w:t>
      </w:r>
      <w:r>
        <w:rPr>
          <w:rFonts w:hint="cs"/>
          <w:rtl/>
        </w:rPr>
        <w:t>ولم</w:t>
      </w:r>
      <w:r>
        <w:rPr>
          <w:rFonts w:hint="eastAsia"/>
          <w:rtl/>
        </w:rPr>
        <w:t>»</w:t>
      </w:r>
      <w:r>
        <w:rPr>
          <w:rFonts w:hint="cs"/>
          <w:rtl/>
        </w:rPr>
        <w:t xml:space="preserve"> في بداية اللوحة التي تليها.    </w:t>
      </w:r>
    </w:p>
  </w:footnote>
  <w:footnote w:id="41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 xml:space="preserve">)  </w:t>
      </w:r>
      <w:r>
        <w:rPr>
          <w:rFonts w:hint="cs"/>
          <w:rtl/>
        </w:rPr>
        <w:t xml:space="preserve"> لإخلاله بالترتيب؛ إذ الترتيب عند الحنفية </w:t>
      </w:r>
      <w:r>
        <w:rPr>
          <w:rFonts w:hint="eastAsia"/>
          <w:rtl/>
        </w:rPr>
        <w:t>«</w:t>
      </w:r>
      <w:r>
        <w:rPr>
          <w:rFonts w:hint="cs"/>
          <w:rtl/>
        </w:rPr>
        <w:t>بين الفروض الخمسة...أداء وقضاء فرض عملي...يعني أن الكلّ إن كان فائتًا لابدّ من رعاية الترتيب بين الفروض الخمسة...وكذا إذا كان البعض فائتًا والبعض وقتيًّا لابدّ من رعاية الترتيب، فيقضي الفائتة قبل الوقتية</w:t>
      </w:r>
      <w:r>
        <w:rPr>
          <w:rFonts w:hint="eastAsia"/>
          <w:rtl/>
        </w:rPr>
        <w:t>»</w:t>
      </w:r>
      <w:r>
        <w:rPr>
          <w:rFonts w:hint="cs"/>
          <w:rtl/>
        </w:rPr>
        <w:t xml:space="preserve">. قاله صاحب الدرر، 1/124؛ وانظر الكنز وشرحه: تبيين الحقائق، 1/186.  </w:t>
      </w:r>
      <w:r>
        <w:t xml:space="preserve"> </w:t>
      </w:r>
      <w:r>
        <w:rPr>
          <w:rFonts w:hint="cs"/>
          <w:rtl/>
        </w:rPr>
        <w:t xml:space="preserve">   </w:t>
      </w:r>
    </w:p>
  </w:footnote>
  <w:footnote w:id="41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w:t>
      </w:r>
      <w:r>
        <w:rPr>
          <w:rFonts w:hint="eastAsia"/>
          <w:rtl/>
        </w:rPr>
        <w:t>»</w:t>
      </w:r>
      <w:r>
        <w:rPr>
          <w:rFonts w:hint="cs"/>
          <w:rtl/>
        </w:rPr>
        <w:t>: ساقطة من (جـ). وهي نهاية 51/أ من(د).</w:t>
      </w:r>
    </w:p>
  </w:footnote>
  <w:footnote w:id="41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الحرف الأول من (يصلي) رُسم في (د) بالياء والتاء معًا.</w:t>
      </w:r>
    </w:p>
  </w:footnote>
  <w:footnote w:id="41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و(هـ) و(و)؛ وهي لابدّ منها، وهي الموافقة لمصادر هذه العبارة الآتي ذكرها.</w:t>
      </w:r>
    </w:p>
  </w:footnote>
  <w:footnote w:id="41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تبيين الحقائق، 1/186؛ الأشباه والنظائر لابن نجيم، ص 185 -مع اختلاف يسير، وقد أحال الثاني إلى الأول-؛ وأنظر: شرح العلائي لقواعد الخادمي، ل33/أ.</w:t>
      </w:r>
    </w:p>
  </w:footnote>
  <w:footnote w:id="41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53/ب من (ب).</w:t>
      </w:r>
    </w:p>
  </w:footnote>
  <w:footnote w:id="41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84/أ من (أ).</w:t>
      </w:r>
    </w:p>
  </w:footnote>
  <w:footnote w:id="41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العناية، 1/494. وسوف يأتي نص ما في (العناية) في هامش لاحق.</w:t>
      </w:r>
    </w:p>
  </w:footnote>
  <w:footnote w:id="41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يقبض</w:t>
      </w:r>
      <w:r>
        <w:rPr>
          <w:rtl/>
        </w:rPr>
        <w:t>»</w:t>
      </w:r>
      <w:r>
        <w:rPr>
          <w:rFonts w:hint="cs"/>
          <w:rtl/>
        </w:rPr>
        <w:t>.</w:t>
      </w:r>
    </w:p>
  </w:footnote>
  <w:footnote w:id="41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وهذا يعني أن ظنه لاقى موضعًا مجتهدًا فيه، وقد سبق بيان المؤلف لكون</w:t>
      </w:r>
      <w:r>
        <w:rPr>
          <w:rFonts w:hint="eastAsia"/>
          <w:rtl/>
        </w:rPr>
        <w:t>«</w:t>
      </w:r>
      <w:r>
        <w:rPr>
          <w:rFonts w:hint="cs"/>
          <w:rtl/>
        </w:rPr>
        <w:t>الظن متى لاقى فصلاً مجتهدًا فيه، وقع معتبرًا، وإن كان خطأ، والترتيب لا يوجبه الشافعي، فكان ظنه موافقًا لرأيه</w:t>
      </w:r>
      <w:r>
        <w:rPr>
          <w:rtl/>
        </w:rPr>
        <w:t>»</w:t>
      </w:r>
      <w:r>
        <w:rPr>
          <w:rFonts w:hint="cs"/>
          <w:rtl/>
        </w:rPr>
        <w:t>، أي كان ظن المصلي موافقًا لرأي الإمام الشافعي. والنص المذكور منقول من العناية، 1/494.</w:t>
      </w:r>
      <w:r>
        <w:rPr>
          <w:rFonts w:hint="cs"/>
          <w:rtl/>
        </w:rPr>
        <w:tab/>
      </w:r>
      <w:r>
        <w:rPr>
          <w:rFonts w:hint="cs"/>
          <w:rtl/>
        </w:rPr>
        <w:tab/>
        <w:t xml:space="preserve">  </w:t>
      </w:r>
    </w:p>
    <w:p w:rsidR="00035BE3" w:rsidRDefault="00035BE3" w:rsidP="00C10469">
      <w:pPr>
        <w:pStyle w:val="a6"/>
        <w:spacing w:line="440" w:lineRule="exact"/>
        <w:ind w:left="422" w:firstLine="0"/>
        <w:rPr>
          <w:rtl/>
        </w:rPr>
      </w:pPr>
      <w:r>
        <w:rPr>
          <w:rFonts w:hint="cs"/>
          <w:rtl/>
        </w:rPr>
        <w:t>وانظر رأي الشافعية في : المنهاج وشرحيه: مغني المحتاج، 1/127- 128؛ ونهاية المحتاج، 1/381.</w:t>
      </w:r>
    </w:p>
  </w:footnote>
  <w:footnote w:id="41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موفقًا</w:t>
      </w:r>
      <w:r>
        <w:rPr>
          <w:rFonts w:hint="eastAsia"/>
          <w:rtl/>
        </w:rPr>
        <w:t>»</w:t>
      </w:r>
      <w:r>
        <w:rPr>
          <w:rFonts w:hint="cs"/>
          <w:rtl/>
        </w:rPr>
        <w:t>.</w:t>
      </w:r>
    </w:p>
  </w:footnote>
  <w:footnote w:id="416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الهداية والعناية وفتح القدير، 1/493-494؛ تبيين الحقائق، 1/189-190.</w:t>
      </w:r>
    </w:p>
    <w:p w:rsidR="00035BE3" w:rsidRDefault="00035BE3" w:rsidP="00C10469">
      <w:pPr>
        <w:pStyle w:val="a6"/>
        <w:ind w:left="422" w:firstLine="0"/>
        <w:rPr>
          <w:rtl/>
        </w:rPr>
      </w:pPr>
      <w:r>
        <w:rPr>
          <w:rFonts w:hint="cs"/>
          <w:rtl/>
        </w:rPr>
        <w:t xml:space="preserve">ولعل المقصود بقول محمد: ما جاء في الجامع الصغير، ص 106: </w:t>
      </w:r>
      <w:r>
        <w:rPr>
          <w:rFonts w:hint="eastAsia"/>
          <w:rtl/>
        </w:rPr>
        <w:t>«</w:t>
      </w:r>
      <w:r>
        <w:rPr>
          <w:rFonts w:hint="cs"/>
          <w:rtl/>
        </w:rPr>
        <w:t>محمد عن يعقوب عن أبي حنيفة -رحمه الله- في رجل فاتته صلاة يوم وليلة أو أقل، فصلى صلاة دخل وقتها قبل أن يبدأ بما فاته: لم يجز. وإن فاته أكثر من يوم وليلة أجزأته التي بدأ بها</w:t>
      </w:r>
      <w:r>
        <w:rPr>
          <w:rFonts w:hint="eastAsia"/>
          <w:rtl/>
        </w:rPr>
        <w:t>»</w:t>
      </w:r>
      <w:r>
        <w:rPr>
          <w:rFonts w:hint="cs"/>
          <w:rtl/>
        </w:rPr>
        <w:t>.</w:t>
      </w:r>
    </w:p>
  </w:footnote>
  <w:footnote w:id="416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ذكرا</w:t>
      </w:r>
      <w:r>
        <w:rPr>
          <w:rFonts w:hint="eastAsia"/>
          <w:rtl/>
        </w:rPr>
        <w:t>»</w:t>
      </w:r>
      <w:r>
        <w:rPr>
          <w:rFonts w:hint="cs"/>
          <w:rtl/>
        </w:rPr>
        <w:t>.</w:t>
      </w:r>
    </w:p>
  </w:footnote>
  <w:footnote w:id="4163">
    <w:p w:rsidR="00035BE3" w:rsidRDefault="00035BE3" w:rsidP="00C10469">
      <w:pPr>
        <w:pStyle w:val="a8"/>
        <w:bidi/>
        <w:spacing w:line="50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eastAsia"/>
          <w:spacing w:val="-8"/>
          <w:rtl/>
        </w:rPr>
        <w:t>«</w:t>
      </w:r>
      <w:r>
        <w:rPr>
          <w:rFonts w:hint="cs"/>
          <w:spacing w:val="-8"/>
          <w:rtl/>
        </w:rPr>
        <w:t>ما</w:t>
      </w:r>
      <w:r>
        <w:rPr>
          <w:rFonts w:hint="eastAsia"/>
          <w:spacing w:val="-8"/>
          <w:rtl/>
        </w:rPr>
        <w:t>»</w:t>
      </w:r>
      <w:r>
        <w:rPr>
          <w:rFonts w:hint="cs"/>
          <w:spacing w:val="-8"/>
          <w:rtl/>
        </w:rPr>
        <w:t xml:space="preserve">: ساقطة من (جـ). وقد جاء في مصدر هذه العبارة (وهو العناية): </w:t>
      </w:r>
      <w:r>
        <w:rPr>
          <w:rFonts w:hint="eastAsia"/>
          <w:spacing w:val="-8"/>
          <w:rtl/>
        </w:rPr>
        <w:t>«</w:t>
      </w:r>
      <w:r>
        <w:rPr>
          <w:rFonts w:hint="cs"/>
          <w:spacing w:val="-8"/>
          <w:rtl/>
        </w:rPr>
        <w:t>وعلى قياس ما ذكر ههنا...</w:t>
      </w:r>
      <w:r>
        <w:rPr>
          <w:rFonts w:hint="eastAsia"/>
          <w:spacing w:val="-8"/>
          <w:rtl/>
        </w:rPr>
        <w:t>»</w:t>
      </w:r>
      <w:r>
        <w:rPr>
          <w:rFonts w:hint="cs"/>
          <w:spacing w:val="-8"/>
          <w:rtl/>
        </w:rPr>
        <w:t>.</w:t>
      </w:r>
    </w:p>
  </w:footnote>
  <w:footnote w:id="4164">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w:t>
      </w:r>
      <w:r>
        <w:rPr>
          <w:rFonts w:hint="eastAsia"/>
          <w:rtl/>
        </w:rPr>
        <w:t>«</w:t>
      </w:r>
      <w:r>
        <w:rPr>
          <w:rFonts w:hint="cs"/>
          <w:rtl/>
        </w:rPr>
        <w:t>كما</w:t>
      </w:r>
      <w:r>
        <w:rPr>
          <w:rtl/>
        </w:rPr>
        <w:t>»</w:t>
      </w:r>
      <w:r>
        <w:rPr>
          <w:rFonts w:hint="cs"/>
          <w:rtl/>
        </w:rPr>
        <w:t>.</w:t>
      </w:r>
    </w:p>
  </w:footnote>
  <w:footnote w:id="416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لأنه</w:t>
      </w:r>
      <w:r>
        <w:rPr>
          <w:rFonts w:hint="eastAsia"/>
          <w:rtl/>
        </w:rPr>
        <w:t>»</w:t>
      </w:r>
      <w:r>
        <w:rPr>
          <w:rFonts w:hint="cs"/>
          <w:rtl/>
        </w:rPr>
        <w:t>.</w:t>
      </w:r>
    </w:p>
  </w:footnote>
  <w:footnote w:id="4166">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(هـ) و(و). وهي مثبتة في العناية، ولا يستقيم المعنى بدونها.</w:t>
      </w:r>
    </w:p>
  </w:footnote>
  <w:footnote w:id="4167">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ووقع</w:t>
      </w:r>
      <w:r>
        <w:rPr>
          <w:rFonts w:hint="eastAsia"/>
          <w:rtl/>
        </w:rPr>
        <w:t>»</w:t>
      </w:r>
      <w:r>
        <w:rPr>
          <w:rFonts w:hint="cs"/>
          <w:rtl/>
        </w:rPr>
        <w:t xml:space="preserve"> (بزيادة الواو). وقد جاء في العناية: </w:t>
      </w:r>
      <w:r>
        <w:rPr>
          <w:rFonts w:hint="eastAsia"/>
          <w:rtl/>
        </w:rPr>
        <w:t>«</w:t>
      </w:r>
      <w:r>
        <w:rPr>
          <w:rFonts w:hint="cs"/>
          <w:rtl/>
        </w:rPr>
        <w:t>وقد وقع...</w:t>
      </w:r>
      <w:r>
        <w:rPr>
          <w:rFonts w:hint="eastAsia"/>
          <w:rtl/>
        </w:rPr>
        <w:t>»</w:t>
      </w:r>
      <w:r>
        <w:rPr>
          <w:rFonts w:hint="cs"/>
          <w:rtl/>
        </w:rPr>
        <w:t>.</w:t>
      </w:r>
    </w:p>
  </w:footnote>
  <w:footnote w:id="4168">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كما ذكر</w:t>
      </w:r>
      <w:r>
        <w:rPr>
          <w:rFonts w:hint="eastAsia"/>
          <w:rtl/>
        </w:rPr>
        <w:t>»</w:t>
      </w:r>
      <w:r>
        <w:rPr>
          <w:rFonts w:hint="cs"/>
          <w:rtl/>
        </w:rPr>
        <w:t>.</w:t>
      </w:r>
    </w:p>
  </w:footnote>
  <w:footnote w:id="416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واجب</w:t>
      </w:r>
      <w:r>
        <w:rPr>
          <w:rtl/>
        </w:rPr>
        <w:t>»</w:t>
      </w:r>
      <w:r>
        <w:rPr>
          <w:rFonts w:hint="cs"/>
          <w:rtl/>
        </w:rPr>
        <w:t>.</w:t>
      </w:r>
    </w:p>
  </w:footnote>
  <w:footnote w:id="417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فضعف</w:t>
      </w:r>
      <w:r>
        <w:rPr>
          <w:rFonts w:hint="eastAsia"/>
          <w:rtl/>
        </w:rPr>
        <w:t>»</w:t>
      </w:r>
      <w:r>
        <w:rPr>
          <w:rFonts w:hint="cs"/>
          <w:rtl/>
        </w:rPr>
        <w:t>.</w:t>
      </w:r>
    </w:p>
  </w:footnote>
  <w:footnote w:id="417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1/494-495-مع اختلاف سبق بيان أكثره-.</w:t>
      </w:r>
    </w:p>
  </w:footnote>
  <w:footnote w:id="4172">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84/ب من (أ).</w:t>
      </w:r>
    </w:p>
  </w:footnote>
  <w:footnote w:id="4173">
    <w:p w:rsidR="00035BE3" w:rsidRDefault="00035BE3" w:rsidP="00C10469">
      <w:pPr>
        <w:pStyle w:val="a8"/>
        <w:bidi/>
        <w:spacing w:line="48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6F2BB3">
        <w:rPr>
          <w:rFonts w:hint="cs"/>
          <w:spacing w:val="-6"/>
          <w:rtl/>
        </w:rPr>
        <w:t xml:space="preserve"> </w:t>
      </w:r>
      <w:r>
        <w:rPr>
          <w:rFonts w:hint="cs"/>
          <w:spacing w:val="-6"/>
          <w:sz w:val="28"/>
          <w:rtl/>
        </w:rPr>
        <w:t xml:space="preserve"> </w:t>
      </w:r>
      <w:r w:rsidRPr="006F2BB3">
        <w:rPr>
          <w:rFonts w:hint="cs"/>
          <w:spacing w:val="-6"/>
          <w:sz w:val="28"/>
          <w:rtl/>
        </w:rPr>
        <w:t xml:space="preserve">في (د): </w:t>
      </w:r>
      <w:r w:rsidRPr="006F2BB3">
        <w:rPr>
          <w:rFonts w:hint="eastAsia"/>
          <w:spacing w:val="-6"/>
          <w:sz w:val="28"/>
          <w:rtl/>
        </w:rPr>
        <w:t>«</w:t>
      </w:r>
      <w:r w:rsidRPr="006F2BB3">
        <w:rPr>
          <w:rFonts w:hint="cs"/>
          <w:spacing w:val="-6"/>
          <w:sz w:val="28"/>
          <w:rtl/>
        </w:rPr>
        <w:t>فرفع</w:t>
      </w:r>
      <w:r w:rsidRPr="006F2BB3">
        <w:rPr>
          <w:rFonts w:hint="eastAsia"/>
          <w:spacing w:val="-6"/>
          <w:sz w:val="28"/>
          <w:rtl/>
        </w:rPr>
        <w:t>»</w:t>
      </w:r>
      <w:r w:rsidRPr="006F2BB3">
        <w:rPr>
          <w:rFonts w:hint="cs"/>
          <w:spacing w:val="-6"/>
          <w:sz w:val="28"/>
          <w:rtl/>
        </w:rPr>
        <w:t xml:space="preserve">. وقد جاء في بعض المصادر (كالهداية وأشباه ابن نجيم) زيادة: </w:t>
      </w:r>
      <w:r w:rsidRPr="006F2BB3">
        <w:rPr>
          <w:rFonts w:hint="eastAsia"/>
          <w:spacing w:val="-6"/>
          <w:sz w:val="28"/>
          <w:rtl/>
        </w:rPr>
        <w:t>«</w:t>
      </w:r>
      <w:r w:rsidRPr="006F2BB3">
        <w:rPr>
          <w:rFonts w:hint="cs"/>
          <w:spacing w:val="-6"/>
          <w:sz w:val="28"/>
          <w:rtl/>
        </w:rPr>
        <w:t>له</w:t>
      </w:r>
      <w:r w:rsidRPr="006F2BB3">
        <w:rPr>
          <w:rFonts w:hint="eastAsia"/>
          <w:spacing w:val="-6"/>
          <w:sz w:val="28"/>
          <w:rtl/>
        </w:rPr>
        <w:t>»</w:t>
      </w:r>
      <w:r w:rsidRPr="006F2BB3">
        <w:rPr>
          <w:rFonts w:hint="cs"/>
          <w:spacing w:val="-6"/>
          <w:sz w:val="28"/>
          <w:rtl/>
        </w:rPr>
        <w:t>، أي دفع لمن ظنه مصرفًا للزكاة.</w:t>
      </w:r>
    </w:p>
  </w:footnote>
  <w:footnote w:id="4174">
    <w:p w:rsidR="00035BE3" w:rsidRDefault="00035BE3" w:rsidP="00C10469">
      <w:pPr>
        <w:pStyle w:val="a8"/>
        <w:bidi/>
        <w:spacing w:line="420" w:lineRule="exact"/>
        <w:ind w:left="422" w:right="0"/>
        <w:rPr>
          <w:rtl/>
        </w:rPr>
      </w:pPr>
      <w:r>
        <w:rPr>
          <w:rFonts w:hint="cs"/>
          <w:vertAlign w:val="superscript"/>
          <w:rtl/>
        </w:rPr>
        <w:t>(</w:t>
      </w:r>
      <w:r>
        <w:rPr>
          <w:rStyle w:val="a7"/>
          <w:spacing w:val="-8"/>
        </w:rPr>
        <w:footnoteRef/>
      </w:r>
      <w:r>
        <w:rPr>
          <w:rFonts w:hint="cs"/>
          <w:vertAlign w:val="superscript"/>
          <w:rtl/>
        </w:rPr>
        <w:t>)</w:t>
      </w:r>
      <w:r>
        <w:rPr>
          <w:rFonts w:hint="cs"/>
          <w:rtl/>
        </w:rPr>
        <w:t xml:space="preserve">  </w:t>
      </w:r>
      <w:r>
        <w:rPr>
          <w:rFonts w:hint="cs"/>
          <w:spacing w:val="-6"/>
          <w:rtl/>
        </w:rPr>
        <w:t xml:space="preserve"> وقد خالفهما أبو يوسف وقال: عليه الإعادة. أنظر: المبسوط، 3/12-13؛ الهداية والعناية وفتح القدير، 2/275؛ الكنز وتبيين الحقائق، 1/304؛ الدّرر شرح الغرر، 1/191؛ الأشباه لابن نجيم، ص185؛ شرح العلائي لقواعد الخادمي، ل33/أ. علمًا بأن الأخيرين ذكرا أنه تبين كون المدفوع إليه </w:t>
      </w:r>
      <w:r>
        <w:rPr>
          <w:rFonts w:hint="eastAsia"/>
          <w:spacing w:val="-6"/>
          <w:rtl/>
        </w:rPr>
        <w:t>«</w:t>
      </w:r>
      <w:r>
        <w:rPr>
          <w:rFonts w:hint="cs"/>
          <w:spacing w:val="-6"/>
          <w:rtl/>
        </w:rPr>
        <w:t>غني أو ابنه</w:t>
      </w:r>
      <w:r>
        <w:rPr>
          <w:rFonts w:hint="eastAsia"/>
          <w:spacing w:val="-6"/>
          <w:rtl/>
        </w:rPr>
        <w:t>»</w:t>
      </w:r>
      <w:r>
        <w:rPr>
          <w:rFonts w:hint="cs"/>
          <w:spacing w:val="-6"/>
          <w:rtl/>
        </w:rPr>
        <w:t>، ولم يذكرا كونه ذميًّا.</w:t>
      </w:r>
    </w:p>
    <w:p w:rsidR="00035BE3" w:rsidRDefault="00035BE3" w:rsidP="00C10469">
      <w:pPr>
        <w:pStyle w:val="a6"/>
        <w:spacing w:line="420" w:lineRule="exact"/>
        <w:ind w:left="422" w:firstLine="0"/>
        <w:rPr>
          <w:rtl/>
        </w:rPr>
      </w:pPr>
      <w:r>
        <w:rPr>
          <w:rFonts w:hint="cs"/>
          <w:rtl/>
        </w:rPr>
        <w:t xml:space="preserve">يضاف إلى ذلك: أن أكثر هذه المصادر ذكرت أن للإمام أبي حنيفة قولاً آخر، وهو ما عبر عنه صاحب (الهداية) بقوله: </w:t>
      </w:r>
      <w:r>
        <w:rPr>
          <w:rFonts w:hint="eastAsia"/>
          <w:rtl/>
        </w:rPr>
        <w:t>«</w:t>
      </w:r>
      <w:r>
        <w:rPr>
          <w:rFonts w:hint="cs"/>
          <w:rtl/>
        </w:rPr>
        <w:t>وعن أبي حنيفة -رحمه الله- في غير الغني أنه لا يجزئه. والظاهر هو الأول</w:t>
      </w:r>
      <w:r>
        <w:rPr>
          <w:rFonts w:hint="eastAsia"/>
          <w:rtl/>
        </w:rPr>
        <w:t>»</w:t>
      </w:r>
      <w:r>
        <w:rPr>
          <w:rFonts w:hint="cs"/>
          <w:rtl/>
        </w:rPr>
        <w:t>.</w:t>
      </w:r>
    </w:p>
  </w:footnote>
  <w:footnote w:id="417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لقيام</w:t>
      </w:r>
      <w:r>
        <w:rPr>
          <w:rFonts w:hint="eastAsia"/>
          <w:rtl/>
        </w:rPr>
        <w:t>»</w:t>
      </w:r>
      <w:r>
        <w:rPr>
          <w:rFonts w:hint="cs"/>
          <w:rtl/>
        </w:rPr>
        <w:t>. ولعلّ هذا أحسن.</w:t>
      </w:r>
    </w:p>
  </w:footnote>
  <w:footnote w:id="417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62/ب من (جـ).</w:t>
      </w:r>
    </w:p>
  </w:footnote>
  <w:footnote w:id="417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 هو</w:t>
      </w:r>
      <w:r>
        <w:rPr>
          <w:rFonts w:hint="cs"/>
          <w:rtl/>
        </w:rPr>
        <w:t>: معن بن يزيد بن الأخنس بن جُرّة بن زِعب بن مالك بن عُريف بن عصبة بن خفاف بن امرئ القيس بن بهشة بن سليم، السلمي.</w:t>
      </w:r>
    </w:p>
    <w:p w:rsidR="00035BE3" w:rsidRDefault="00035BE3" w:rsidP="00C10469">
      <w:pPr>
        <w:pStyle w:val="a6"/>
        <w:spacing w:line="480" w:lineRule="exact"/>
        <w:ind w:left="422" w:firstLine="0"/>
        <w:rPr>
          <w:rtl/>
        </w:rPr>
      </w:pPr>
      <w:r>
        <w:rPr>
          <w:rFonts w:hint="cs"/>
          <w:rtl/>
        </w:rPr>
        <w:t>ويكنى بأبي يزيد، كما يكنى أبوه بأبي معن.</w:t>
      </w:r>
    </w:p>
    <w:p w:rsidR="00035BE3" w:rsidRDefault="00035BE3" w:rsidP="00C10469">
      <w:pPr>
        <w:pStyle w:val="a6"/>
        <w:spacing w:line="480" w:lineRule="exact"/>
        <w:ind w:left="422" w:firstLine="0"/>
        <w:rPr>
          <w:rtl/>
        </w:rPr>
      </w:pPr>
      <w:r>
        <w:rPr>
          <w:rFonts w:hint="cs"/>
          <w:rtl/>
        </w:rPr>
        <w:t>وقيل: إن معن وأباه وجدّه شهدوا بدرًا.</w:t>
      </w:r>
    </w:p>
    <w:p w:rsidR="00035BE3" w:rsidRDefault="00035BE3" w:rsidP="00C10469">
      <w:pPr>
        <w:pStyle w:val="a6"/>
        <w:ind w:left="422" w:firstLine="0"/>
        <w:rPr>
          <w:rtl/>
        </w:rPr>
      </w:pPr>
      <w:r>
        <w:rPr>
          <w:rFonts w:hint="cs"/>
          <w:rtl/>
        </w:rPr>
        <w:t xml:space="preserve">نقل ذلك ابن عبد البر، إلا أنه لم يرتضه، وإنما ارتضى مبايعتهم جميعًا للرسول </w:t>
      </w:r>
      <w:r>
        <w:rPr>
          <w:rFonts w:ascii="AGA Arabesque" w:hAnsi="AGA Arabesque"/>
          <w:sz w:val="36"/>
          <w:szCs w:val="36"/>
          <w:lang w:val="en-US"/>
        </w:rPr>
        <w:t></w:t>
      </w:r>
      <w:r>
        <w:rPr>
          <w:rFonts w:hint="cs"/>
          <w:rtl/>
        </w:rPr>
        <w:t>. وهذه المبايعة ثابتة في صحيح البخاري. وكان معن أميرًا على غزاة بالروم في خلافة معاوية.</w:t>
      </w:r>
    </w:p>
    <w:p w:rsidR="00035BE3" w:rsidRDefault="00035BE3" w:rsidP="00C10469">
      <w:pPr>
        <w:pStyle w:val="a6"/>
        <w:ind w:left="422" w:firstLine="0"/>
        <w:rPr>
          <w:rtl/>
        </w:rPr>
      </w:pPr>
      <w:r>
        <w:rPr>
          <w:rFonts w:hint="cs"/>
          <w:rtl/>
        </w:rPr>
        <w:t xml:space="preserve">انظر: الاستيعاب، 4/1442، رقم 2472، و1570، رقم 2752؛ أسد الغابة، (طبعة إحياء التراث </w:t>
      </w:r>
      <w:r w:rsidRPr="006F2BB3">
        <w:rPr>
          <w:rFonts w:hint="cs"/>
          <w:spacing w:val="-4"/>
          <w:rtl/>
        </w:rPr>
        <w:t>العربي ببيروت) 5/102-103؛ الإصابة، 6/192-193، رقم 8167، و646، رقم 9233</w:t>
      </w:r>
      <w:r>
        <w:rPr>
          <w:rFonts w:hint="cs"/>
          <w:rtl/>
        </w:rPr>
        <w:t xml:space="preserve">؛ وسوف يأتي تخريج الحديث </w:t>
      </w:r>
      <w:r>
        <w:rPr>
          <w:rtl/>
        </w:rPr>
        <w:t>–</w:t>
      </w:r>
      <w:r>
        <w:rPr>
          <w:rFonts w:hint="cs"/>
          <w:rtl/>
        </w:rPr>
        <w:t xml:space="preserve">في الهامش الآتي-، وفي أوّله : </w:t>
      </w:r>
      <w:r>
        <w:rPr>
          <w:rFonts w:hint="eastAsia"/>
          <w:rtl/>
        </w:rPr>
        <w:t>«</w:t>
      </w:r>
      <w:r>
        <w:rPr>
          <w:rFonts w:hint="cs"/>
          <w:rtl/>
        </w:rPr>
        <w:t xml:space="preserve">بايعت رسول الله </w:t>
      </w:r>
      <w:r>
        <w:rPr>
          <w:rFonts w:ascii="AGA Arabesque" w:hAnsi="AGA Arabesque"/>
          <w:sz w:val="36"/>
          <w:szCs w:val="36"/>
          <w:lang w:val="en-US"/>
        </w:rPr>
        <w:t></w:t>
      </w:r>
      <w:r>
        <w:rPr>
          <w:rFonts w:hint="cs"/>
          <w:rtl/>
        </w:rPr>
        <w:t xml:space="preserve">  أنا وأبي وجدي...</w:t>
      </w:r>
      <w:r>
        <w:rPr>
          <w:rFonts w:hint="eastAsia"/>
          <w:rtl/>
        </w:rPr>
        <w:t>»</w:t>
      </w:r>
      <w:r>
        <w:rPr>
          <w:rFonts w:hint="cs"/>
          <w:rtl/>
        </w:rPr>
        <w:t>.</w:t>
      </w:r>
    </w:p>
  </w:footnote>
  <w:footnote w:id="417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4"/>
          <w:rtl/>
        </w:rPr>
        <w:t xml:space="preserve"> </w:t>
      </w:r>
      <w:r w:rsidRPr="00B033FC">
        <w:rPr>
          <w:rFonts w:hint="cs"/>
          <w:spacing w:val="-4"/>
          <w:rtl/>
        </w:rPr>
        <w:t xml:space="preserve">أخرج البخاري في كتاب الزكاة، باب إذا تصدَّق على ابنه وهو لا يشعر، 2/517، ح1356، بسنده عن أبي الجُوَيرية أن معن بن يزيد </w:t>
      </w:r>
      <w:r w:rsidRPr="00B033FC">
        <w:rPr>
          <w:rFonts w:ascii="AGA Arabesque" w:hAnsi="AGA Arabesque"/>
          <w:spacing w:val="-4"/>
          <w:sz w:val="36"/>
          <w:szCs w:val="36"/>
        </w:rPr>
        <w:t></w:t>
      </w:r>
      <w:r w:rsidRPr="00B033FC">
        <w:rPr>
          <w:rFonts w:hint="cs"/>
          <w:spacing w:val="-4"/>
          <w:rtl/>
        </w:rPr>
        <w:t xml:space="preserve"> حدّثه قال :</w:t>
      </w:r>
      <w:r w:rsidRPr="00B033FC">
        <w:rPr>
          <w:rFonts w:hint="eastAsia"/>
          <w:spacing w:val="-4"/>
          <w:rtl/>
        </w:rPr>
        <w:t>«</w:t>
      </w:r>
      <w:r w:rsidRPr="00B033FC">
        <w:rPr>
          <w:rFonts w:hint="cs"/>
          <w:spacing w:val="-4"/>
          <w:rtl/>
        </w:rPr>
        <w:t xml:space="preserve">بايعت رسول الله </w:t>
      </w:r>
      <w:r w:rsidRPr="00B033FC">
        <w:rPr>
          <w:rFonts w:ascii="AGA Arabesque" w:hAnsi="AGA Arabesque"/>
          <w:spacing w:val="-4"/>
          <w:sz w:val="36"/>
          <w:szCs w:val="36"/>
        </w:rPr>
        <w:t></w:t>
      </w:r>
      <w:r w:rsidRPr="00B033FC">
        <w:rPr>
          <w:rFonts w:ascii="AGA Arabesque" w:hAnsi="AGA Arabesque" w:hint="cs"/>
          <w:spacing w:val="-4"/>
          <w:sz w:val="36"/>
          <w:szCs w:val="36"/>
          <w:rtl/>
        </w:rPr>
        <w:t xml:space="preserve"> </w:t>
      </w:r>
      <w:r w:rsidRPr="00B033FC">
        <w:rPr>
          <w:rFonts w:hint="cs"/>
          <w:spacing w:val="-4"/>
          <w:rtl/>
        </w:rPr>
        <w:t>أنا وأبي وجدّي، وخطب</w:t>
      </w:r>
      <w:r>
        <w:rPr>
          <w:rFonts w:hint="cs"/>
          <w:rtl/>
        </w:rPr>
        <w:t xml:space="preserve"> عليَّ فأنكحني، وخاصمت إليه. وكان أبي يزيدُ أخرج دنانيرَ يتصدق بها، فوضعها عند رجل في المسجد، فجئت فأخذتُها فأتيته بها، فقال: والله ما إياك أردت. فخاصمته إلى رسول الله </w:t>
      </w:r>
      <w:r>
        <w:rPr>
          <w:rFonts w:ascii="AGA Arabesque" w:hAnsi="AGA Arabesque"/>
          <w:sz w:val="36"/>
          <w:szCs w:val="36"/>
        </w:rPr>
        <w:t></w:t>
      </w:r>
      <w:r>
        <w:rPr>
          <w:rFonts w:hint="cs"/>
          <w:rtl/>
        </w:rPr>
        <w:t xml:space="preserve"> فقال : لك ما نويت يا يزيد، ولك ما أخذت يا معن</w:t>
      </w:r>
      <w:r>
        <w:rPr>
          <w:rtl/>
        </w:rPr>
        <w:t>»</w:t>
      </w:r>
      <w:r>
        <w:rPr>
          <w:rFonts w:hint="cs"/>
          <w:rtl/>
        </w:rPr>
        <w:t>.</w:t>
      </w:r>
    </w:p>
    <w:p w:rsidR="00035BE3" w:rsidRPr="00F53D6F" w:rsidRDefault="00035BE3" w:rsidP="00C10469">
      <w:pPr>
        <w:pStyle w:val="a6"/>
        <w:spacing w:line="216" w:lineRule="auto"/>
        <w:ind w:left="420" w:firstLine="0"/>
        <w:rPr>
          <w:sz w:val="29"/>
          <w:szCs w:val="29"/>
          <w:rtl/>
        </w:rPr>
      </w:pPr>
      <w:r w:rsidRPr="00F53D6F">
        <w:rPr>
          <w:rFonts w:hint="cs"/>
          <w:sz w:val="29"/>
          <w:szCs w:val="29"/>
          <w:rtl/>
        </w:rPr>
        <w:t>ويلحظ في الجملتين الأخيرتين: تأخير المنادي، وهكذا وردتا في أكثر الكتب المسندة التي خرَّجت الحديث، أما تقديمهما - كما هو صنيع المؤلف- فلم أجده إلا في بعض كتب الفقه، منها: المبسوط، 3/13؛ الهداية، 2/276.</w:t>
      </w:r>
    </w:p>
  </w:footnote>
  <w:footnote w:id="4179">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أخرجه ابن أبي شيبة بمثله عن سعيد بن جبير مرسلا، كتاب الزكاة، ما قالوا في الصدقة في غير أهل الإسلام، 2/401، ح10398.</w:t>
      </w:r>
    </w:p>
    <w:p w:rsidR="00035BE3" w:rsidRDefault="00035BE3" w:rsidP="00C10469">
      <w:pPr>
        <w:pStyle w:val="a6"/>
        <w:spacing w:line="216" w:lineRule="auto"/>
        <w:ind w:left="420" w:firstLine="0"/>
        <w:rPr>
          <w:spacing w:val="-10"/>
          <w:sz w:val="29"/>
          <w:szCs w:val="29"/>
          <w:rtl/>
        </w:rPr>
      </w:pPr>
      <w:r>
        <w:rPr>
          <w:rFonts w:hint="cs"/>
          <w:spacing w:val="-10"/>
          <w:sz w:val="29"/>
          <w:szCs w:val="29"/>
          <w:rtl/>
        </w:rPr>
        <w:t xml:space="preserve">وقد ذكر الحافظ - في (الدراية)، 1/266- ثلاث طرق لهذا الحديث، ثم قال : </w:t>
      </w:r>
      <w:r>
        <w:rPr>
          <w:rFonts w:hint="eastAsia"/>
          <w:spacing w:val="-10"/>
          <w:sz w:val="29"/>
          <w:szCs w:val="29"/>
          <w:rtl/>
        </w:rPr>
        <w:t>«</w:t>
      </w:r>
      <w:r>
        <w:rPr>
          <w:rFonts w:hint="cs"/>
          <w:spacing w:val="-10"/>
          <w:sz w:val="29"/>
          <w:szCs w:val="29"/>
          <w:rtl/>
        </w:rPr>
        <w:t>وهذه مراسيل يشدّ بعضها بعضًا</w:t>
      </w:r>
      <w:r>
        <w:rPr>
          <w:rFonts w:hint="eastAsia"/>
          <w:spacing w:val="-10"/>
          <w:sz w:val="29"/>
          <w:szCs w:val="29"/>
          <w:rtl/>
        </w:rPr>
        <w:t>»</w:t>
      </w:r>
      <w:r>
        <w:rPr>
          <w:rFonts w:hint="cs"/>
          <w:spacing w:val="-10"/>
          <w:sz w:val="29"/>
          <w:szCs w:val="29"/>
          <w:rtl/>
        </w:rPr>
        <w:t>.</w:t>
      </w:r>
    </w:p>
    <w:p w:rsidR="00035BE3" w:rsidRDefault="00035BE3" w:rsidP="00C10469">
      <w:pPr>
        <w:pStyle w:val="a6"/>
        <w:spacing w:line="216" w:lineRule="auto"/>
        <w:ind w:left="420" w:firstLine="0"/>
        <w:rPr>
          <w:rtl/>
        </w:rPr>
      </w:pPr>
      <w:r>
        <w:rPr>
          <w:rFonts w:hint="cs"/>
          <w:rtl/>
        </w:rPr>
        <w:t>وانظر : نصب الراية، 2/398.</w:t>
      </w:r>
    </w:p>
  </w:footnote>
  <w:footnote w:id="4180">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51/ب من (د).</w:t>
      </w:r>
    </w:p>
  </w:footnote>
  <w:footnote w:id="4181">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54/أ من (ب).</w:t>
      </w:r>
    </w:p>
  </w:footnote>
  <w:footnote w:id="4182">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عند الإمام أبي حنيفة ومحمد.</w:t>
      </w:r>
    </w:p>
  </w:footnote>
  <w:footnote w:id="4183">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المبسوط، 3/12-13؛ الهداية والعناية وفتح القدير، 2/275-276؛ تبيين الحقائق، 1/304؛ الدرر شرح الغرر، 1/191؛ الأشباه لابن نجيم، ص185؛ شرح العلائي لقواعد الخادمي، ل33/أ. وقد ذكر الأخيران (الغني) ولم يذكرا (الهاشمي).</w:t>
      </w:r>
    </w:p>
  </w:footnote>
  <w:footnote w:id="4184">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فينبني</w:t>
      </w:r>
      <w:r>
        <w:rPr>
          <w:rFonts w:hint="eastAsia"/>
          <w:rtl/>
        </w:rPr>
        <w:t>»</w:t>
      </w:r>
      <w:r>
        <w:rPr>
          <w:rFonts w:hint="cs"/>
          <w:rtl/>
        </w:rPr>
        <w:t xml:space="preserve">. وفي الهداية : </w:t>
      </w:r>
      <w:r>
        <w:rPr>
          <w:rFonts w:hint="eastAsia"/>
          <w:rtl/>
        </w:rPr>
        <w:t>«</w:t>
      </w:r>
      <w:r>
        <w:rPr>
          <w:rFonts w:hint="cs"/>
          <w:rtl/>
        </w:rPr>
        <w:t>فيبتني</w:t>
      </w:r>
      <w:r>
        <w:rPr>
          <w:rFonts w:hint="eastAsia"/>
          <w:rtl/>
        </w:rPr>
        <w:t>»</w:t>
      </w:r>
      <w:r>
        <w:rPr>
          <w:rFonts w:hint="cs"/>
          <w:rtl/>
        </w:rPr>
        <w:t>.</w:t>
      </w:r>
    </w:p>
  </w:footnote>
  <w:footnote w:id="4185">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وقع</w:t>
      </w:r>
      <w:r>
        <w:rPr>
          <w:rFonts w:hint="eastAsia"/>
          <w:rtl/>
        </w:rPr>
        <w:t>»</w:t>
      </w:r>
      <w:r>
        <w:rPr>
          <w:rFonts w:hint="cs"/>
          <w:rtl/>
        </w:rPr>
        <w:t>.</w:t>
      </w:r>
    </w:p>
  </w:footnote>
  <w:footnote w:id="4186">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2/276- مع الاختلاف الذي سبق بيانه-؛ الدّرر شرح الغرر، 1/191- علمًا بأنه قال : </w:t>
      </w:r>
      <w:r>
        <w:rPr>
          <w:rFonts w:hint="eastAsia"/>
          <w:rtl/>
        </w:rPr>
        <w:t>«</w:t>
      </w:r>
      <w:r>
        <w:rPr>
          <w:rFonts w:hint="cs"/>
          <w:rtl/>
        </w:rPr>
        <w:t>... لا القطع فيبنى ...</w:t>
      </w:r>
      <w:r>
        <w:rPr>
          <w:rFonts w:hint="eastAsia"/>
          <w:rtl/>
        </w:rPr>
        <w:t>»</w:t>
      </w:r>
      <w:r>
        <w:rPr>
          <w:rFonts w:hint="cs"/>
          <w:rtl/>
        </w:rPr>
        <w:t xml:space="preserve"> وليس : </w:t>
      </w:r>
      <w:r>
        <w:rPr>
          <w:rFonts w:hint="eastAsia"/>
          <w:rtl/>
        </w:rPr>
        <w:t>«</w:t>
      </w:r>
      <w:r>
        <w:rPr>
          <w:rFonts w:hint="cs"/>
          <w:rtl/>
        </w:rPr>
        <w:t xml:space="preserve">... </w:t>
      </w:r>
      <w:r>
        <w:rPr>
          <w:rFonts w:hint="cs"/>
          <w:b/>
          <w:bCs/>
          <w:rtl/>
        </w:rPr>
        <w:t>دون</w:t>
      </w:r>
      <w:r>
        <w:rPr>
          <w:rFonts w:hint="cs"/>
          <w:rtl/>
        </w:rPr>
        <w:t xml:space="preserve"> القطع فيبنى ...</w:t>
      </w:r>
      <w:r>
        <w:rPr>
          <w:rFonts w:hint="eastAsia"/>
          <w:rtl/>
        </w:rPr>
        <w:t>»</w:t>
      </w:r>
      <w:r>
        <w:rPr>
          <w:rFonts w:hint="cs"/>
          <w:rtl/>
        </w:rPr>
        <w:t>.</w:t>
      </w:r>
    </w:p>
  </w:footnote>
  <w:footnote w:id="4187">
    <w:p w:rsidR="00035BE3" w:rsidRDefault="00035BE3" w:rsidP="00C10469">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زيادة </w:t>
      </w:r>
      <w:r>
        <w:rPr>
          <w:rFonts w:hint="eastAsia"/>
          <w:rtl/>
        </w:rPr>
        <w:t>«</w:t>
      </w:r>
      <w:r>
        <w:rPr>
          <w:rFonts w:hint="cs"/>
          <w:rtl/>
        </w:rPr>
        <w:t>أنه</w:t>
      </w:r>
      <w:r>
        <w:rPr>
          <w:rFonts w:hint="eastAsia"/>
          <w:rtl/>
        </w:rPr>
        <w:t>»</w:t>
      </w:r>
      <w:r>
        <w:rPr>
          <w:rFonts w:hint="cs"/>
          <w:rtl/>
        </w:rPr>
        <w:t>. وإثباتها يجعل الأسلوب فيه ركاكة؛ لهذا لم تثبت، وفاقًا لمصدر هذه العبارة (وهو أشباه ابن نجيم).</w:t>
      </w:r>
    </w:p>
  </w:footnote>
  <w:footnote w:id="4188">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(ب) و(هـ) و(و). وهذا الموضع هو المناسب لإثباتها؛ وفاقًا للأشباه.</w:t>
      </w:r>
    </w:p>
  </w:footnote>
  <w:footnote w:id="4189">
    <w:p w:rsidR="00035BE3" w:rsidRDefault="00035BE3" w:rsidP="00C10469">
      <w:pPr>
        <w:pStyle w:val="a8"/>
        <w:bidi/>
        <w:spacing w:line="46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الأشباه والنظائر لابن نجيم، ص185 - مع اختلاف يسير-؛ وانظر: شرح العلائي لقواعد الخادمي، ل33/أ.</w:t>
      </w:r>
    </w:p>
  </w:footnote>
  <w:footnote w:id="4190">
    <w:p w:rsidR="00035BE3" w:rsidRDefault="00035BE3" w:rsidP="00C10469">
      <w:pPr>
        <w:pStyle w:val="a8"/>
        <w:bidi/>
        <w:spacing w:line="46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و(د): زيادة </w:t>
      </w:r>
      <w:r>
        <w:rPr>
          <w:rFonts w:hint="eastAsia"/>
          <w:spacing w:val="-8"/>
          <w:rtl/>
        </w:rPr>
        <w:t>«</w:t>
      </w:r>
      <w:r>
        <w:rPr>
          <w:rFonts w:hint="cs"/>
          <w:spacing w:val="-8"/>
          <w:rtl/>
        </w:rPr>
        <w:t>أنه</w:t>
      </w:r>
      <w:r>
        <w:rPr>
          <w:rFonts w:hint="eastAsia"/>
          <w:spacing w:val="-8"/>
          <w:rtl/>
        </w:rPr>
        <w:t>»</w:t>
      </w:r>
      <w:r>
        <w:rPr>
          <w:rFonts w:hint="cs"/>
          <w:spacing w:val="-8"/>
          <w:rtl/>
        </w:rPr>
        <w:t>. وزيادتها تجعل الأسلوب ركيكًا؛ لهذا لم تُثبت، وفاقًا للمصادر الآتي ذكرها.</w:t>
      </w:r>
    </w:p>
  </w:footnote>
  <w:footnote w:id="41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فتح القدير، 1/271؛ الأشباه لابن نجيم، ص186؛ شرح العلائي لقواعد الخادمي، ل33/أ - مع اختلاف يسير، ومن ذلك أنه جاء في الأول : </w:t>
      </w:r>
      <w:r>
        <w:rPr>
          <w:rFonts w:hint="eastAsia"/>
          <w:rtl/>
        </w:rPr>
        <w:t>«</w:t>
      </w:r>
      <w:r>
        <w:rPr>
          <w:rFonts w:hint="cs"/>
          <w:rtl/>
        </w:rPr>
        <w:t>... لم يجزئه</w:t>
      </w:r>
      <w:r>
        <w:rPr>
          <w:rFonts w:hint="eastAsia"/>
          <w:rtl/>
        </w:rPr>
        <w:t>»</w:t>
      </w:r>
      <w:r>
        <w:rPr>
          <w:rFonts w:hint="cs"/>
          <w:rtl/>
        </w:rPr>
        <w:t xml:space="preserve"> - وقد أحال الأخيران إلى الأول.</w:t>
      </w:r>
    </w:p>
  </w:footnote>
  <w:footnote w:id="41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الصلوات</w:t>
      </w:r>
      <w:r>
        <w:rPr>
          <w:rFonts w:hint="eastAsia"/>
          <w:rtl/>
        </w:rPr>
        <w:t>«»</w:t>
      </w:r>
      <w:r>
        <w:rPr>
          <w:rFonts w:hint="cs"/>
          <w:rtl/>
        </w:rPr>
        <w:t>.</w:t>
      </w:r>
    </w:p>
  </w:footnote>
  <w:footnote w:id="419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الضابط بلفظه في : الأشباه والنظائر لابن نجيم، ص245؛ البحر الرائق، 4/206.</w:t>
      </w:r>
    </w:p>
    <w:p w:rsidR="00035BE3" w:rsidRDefault="00035BE3" w:rsidP="00C10469">
      <w:pPr>
        <w:pStyle w:val="a6"/>
        <w:spacing w:line="221" w:lineRule="auto"/>
        <w:ind w:left="420" w:firstLine="0"/>
        <w:rPr>
          <w:spacing w:val="2"/>
          <w:rtl/>
        </w:rPr>
      </w:pPr>
      <w:r>
        <w:rPr>
          <w:rFonts w:hint="cs"/>
          <w:spacing w:val="2"/>
          <w:rtl/>
        </w:rPr>
        <w:t xml:space="preserve">كما ورد بمعناه في كثير من كتب الفقه، ولاسيما في معرض حديثهم عن شروط الكفالة، إذْ يذكرون أن من شروط الكفالة بالدين : كونه صحيحًا لازمًا. (وفي هذا إشارة لكون </w:t>
      </w:r>
      <w:r>
        <w:rPr>
          <w:rFonts w:hint="cs"/>
          <w:b/>
          <w:bCs/>
          <w:spacing w:val="2"/>
          <w:rtl/>
        </w:rPr>
        <w:t>المراد بالكفالة</w:t>
      </w:r>
      <w:r>
        <w:rPr>
          <w:rFonts w:hint="cs"/>
          <w:spacing w:val="2"/>
          <w:rtl/>
        </w:rPr>
        <w:t xml:space="preserve"> في هذا الضابط : الكفالة بالدين دون النفس).</w:t>
      </w:r>
    </w:p>
    <w:p w:rsidR="00035BE3" w:rsidRDefault="00035BE3" w:rsidP="00C10469">
      <w:pPr>
        <w:pStyle w:val="a6"/>
        <w:spacing w:line="221" w:lineRule="auto"/>
        <w:ind w:left="420" w:firstLine="0"/>
        <w:rPr>
          <w:b/>
          <w:bCs/>
          <w:rtl/>
        </w:rPr>
      </w:pPr>
      <w:r>
        <w:rPr>
          <w:rFonts w:hint="cs"/>
          <w:b/>
          <w:bCs/>
          <w:rtl/>
        </w:rPr>
        <w:t>ومن هذه الكتب الفقهية :</w:t>
      </w:r>
    </w:p>
    <w:p w:rsidR="00035BE3" w:rsidRDefault="00035BE3" w:rsidP="00C10469">
      <w:pPr>
        <w:pStyle w:val="a6"/>
        <w:spacing w:line="221" w:lineRule="auto"/>
        <w:ind w:left="420" w:firstLine="0"/>
        <w:rPr>
          <w:rtl/>
        </w:rPr>
      </w:pPr>
      <w:r>
        <w:rPr>
          <w:rFonts w:hint="cs"/>
          <w:rtl/>
        </w:rPr>
        <w:t>تحفة الفقهاء، 3/238؛ بدائع الصنائع، 6/9؛ الكافي لابن قدامة، 2/229، 230؛ المنهاج وشرحه : مغني المحتاج، 2/200؛ تبيين الحقائق، 4/146؛ الدّرر شرح الغرر، 2/295-296؛ البحـر الـرائق، 4/206، 6/224؛ الدر المختار ورد المحتار، 7/555.</w:t>
      </w:r>
    </w:p>
  </w:footnote>
  <w:footnote w:id="4194">
    <w:p w:rsidR="00035BE3" w:rsidRDefault="00035BE3" w:rsidP="00C10469">
      <w:pPr>
        <w:pStyle w:val="a8"/>
        <w:bidi/>
        <w:spacing w:line="221" w:lineRule="auto"/>
        <w:ind w:left="420"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sz w:val="28"/>
          <w:rtl/>
        </w:rPr>
        <w:t xml:space="preserve"> </w:t>
      </w:r>
      <w:r w:rsidRPr="009E2126">
        <w:rPr>
          <w:rFonts w:hint="cs"/>
          <w:sz w:val="28"/>
          <w:rtl/>
        </w:rPr>
        <w:t xml:space="preserve">في (أ) و(ب) و(د): </w:t>
      </w:r>
      <w:r w:rsidRPr="009E2126">
        <w:rPr>
          <w:rFonts w:hint="eastAsia"/>
          <w:sz w:val="28"/>
          <w:rtl/>
        </w:rPr>
        <w:t>«</w:t>
      </w:r>
      <w:r w:rsidRPr="009E2126">
        <w:rPr>
          <w:rFonts w:hint="cs"/>
          <w:sz w:val="28"/>
          <w:rtl/>
        </w:rPr>
        <w:t>وهذه</w:t>
      </w:r>
      <w:r w:rsidRPr="009E2126">
        <w:rPr>
          <w:rFonts w:hint="eastAsia"/>
          <w:sz w:val="28"/>
          <w:rtl/>
        </w:rPr>
        <w:t>»</w:t>
      </w:r>
      <w:r w:rsidRPr="009E2126">
        <w:rPr>
          <w:rFonts w:hint="cs"/>
          <w:sz w:val="28"/>
          <w:rtl/>
        </w:rPr>
        <w:t>. والصحيح ما تم إثباته من (جـ)، وهو الموافق لمصدر هذه العبارة (وهو أشباه ابن نجيم).</w:t>
      </w:r>
    </w:p>
  </w:footnote>
  <w:footnote w:id="4195">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تسقط</w:t>
      </w:r>
      <w:r>
        <w:rPr>
          <w:rFonts w:hint="eastAsia"/>
          <w:rtl/>
        </w:rPr>
        <w:t>»</w:t>
      </w:r>
      <w:r>
        <w:rPr>
          <w:rFonts w:hint="cs"/>
          <w:rtl/>
        </w:rPr>
        <w:t>.</w:t>
      </w:r>
    </w:p>
  </w:footnote>
  <w:footnote w:id="4196">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لا يصح عقد الكفالة بغير الدين الصحيح. علمًا بأنه جاء في الأشباه : </w:t>
      </w:r>
      <w:r>
        <w:rPr>
          <w:rFonts w:hint="eastAsia"/>
          <w:rtl/>
        </w:rPr>
        <w:t>«</w:t>
      </w:r>
      <w:r>
        <w:rPr>
          <w:rFonts w:hint="cs"/>
          <w:rtl/>
        </w:rPr>
        <w:t>تصح</w:t>
      </w:r>
      <w:r>
        <w:rPr>
          <w:rFonts w:hint="eastAsia"/>
          <w:rtl/>
        </w:rPr>
        <w:t>»</w:t>
      </w:r>
      <w:r>
        <w:rPr>
          <w:rFonts w:hint="cs"/>
          <w:rtl/>
        </w:rPr>
        <w:t xml:space="preserve"> (بالتأنيث).</w:t>
      </w:r>
    </w:p>
  </w:footnote>
  <w:footnote w:id="4197">
    <w:p w:rsidR="00035BE3" w:rsidRDefault="00035BE3" w:rsidP="00C10469">
      <w:pPr>
        <w:pStyle w:val="a8"/>
        <w:bidi/>
        <w:spacing w:line="221" w:lineRule="auto"/>
        <w:ind w:left="420"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spacing w:val="8"/>
          <w:sz w:val="28"/>
          <w:rtl/>
        </w:rPr>
        <w:t>الأشباه لابن نجيم، ص245 - مع الاختلاف اليسير الذي سبق بيانه-. وانظر تعريف (الدين الصحيح) في : البحر الرائق، 4/206. وانظر عدم صحة الكفالة في دين الكتابة في : المصادر الآنف ذكرها عند توثيق القاعدة سوى المنهاج ومغني المحتاج، ويضاف إليها : فتح القدير، 2/167؛ التوضيح في الجمع بين المقنع والتنقيح، 2/668؛ البحر الرائق، 2/224.</w:t>
      </w:r>
    </w:p>
  </w:footnote>
  <w:footnote w:id="4198">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أي لا تصح الكفالة إلا في مسألة</w:t>
      </w:r>
      <w:r>
        <w:rPr>
          <w:rFonts w:hint="eastAsia"/>
          <w:rtl/>
        </w:rPr>
        <w:t>»</w:t>
      </w:r>
      <w:r>
        <w:rPr>
          <w:rFonts w:hint="cs"/>
          <w:rtl/>
        </w:rPr>
        <w:t>. أي : لا تصح الكفالة بغير الدين الصحيح إلاّ في المسألة التي سيذكرها.</w:t>
      </w:r>
    </w:p>
  </w:footnote>
  <w:footnote w:id="4199">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المقدرة</w:t>
      </w:r>
      <w:r>
        <w:rPr>
          <w:rFonts w:hint="eastAsia"/>
          <w:rtl/>
        </w:rPr>
        <w:t>»</w:t>
      </w:r>
      <w:r>
        <w:rPr>
          <w:rFonts w:hint="cs"/>
          <w:rtl/>
        </w:rPr>
        <w:t>.</w:t>
      </w:r>
    </w:p>
  </w:footnote>
  <w:footnote w:id="42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ص245 - وفيه : </w:t>
      </w:r>
      <w:r>
        <w:rPr>
          <w:rFonts w:hint="eastAsia"/>
          <w:rtl/>
        </w:rPr>
        <w:t>«</w:t>
      </w:r>
      <w:r>
        <w:rPr>
          <w:rFonts w:hint="cs"/>
          <w:rtl/>
        </w:rPr>
        <w:t>بدونهما</w:t>
      </w:r>
      <w:r>
        <w:rPr>
          <w:rFonts w:hint="eastAsia"/>
          <w:rtl/>
        </w:rPr>
        <w:t>»</w:t>
      </w:r>
      <w:r>
        <w:rPr>
          <w:rFonts w:hint="cs"/>
          <w:rtl/>
        </w:rPr>
        <w:t xml:space="preserve">، وليس </w:t>
      </w:r>
      <w:r>
        <w:rPr>
          <w:rFonts w:hint="eastAsia"/>
          <w:rtl/>
        </w:rPr>
        <w:t>«</w:t>
      </w:r>
      <w:r>
        <w:rPr>
          <w:rFonts w:hint="cs"/>
          <w:rtl/>
        </w:rPr>
        <w:t>بدون الأداء والإبراء</w:t>
      </w:r>
      <w:r>
        <w:rPr>
          <w:rFonts w:hint="eastAsia"/>
          <w:rtl/>
        </w:rPr>
        <w:t>»</w:t>
      </w:r>
      <w:r>
        <w:rPr>
          <w:rFonts w:hint="cs"/>
          <w:rtl/>
        </w:rPr>
        <w:t>.</w:t>
      </w:r>
    </w:p>
  </w:footnote>
  <w:footnote w:id="42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تسقط</w:t>
      </w:r>
      <w:r>
        <w:rPr>
          <w:rFonts w:hint="eastAsia"/>
          <w:rtl/>
        </w:rPr>
        <w:t>»</w:t>
      </w:r>
      <w:r>
        <w:rPr>
          <w:rFonts w:hint="cs"/>
          <w:rtl/>
        </w:rPr>
        <w:t>.</w:t>
      </w:r>
    </w:p>
  </w:footnote>
  <w:footnote w:id="42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إلى آخره</w:t>
      </w:r>
      <w:r>
        <w:rPr>
          <w:rFonts w:hint="eastAsia"/>
          <w:rtl/>
        </w:rPr>
        <w:t>»</w:t>
      </w:r>
      <w:r>
        <w:rPr>
          <w:rFonts w:hint="cs"/>
          <w:rtl/>
        </w:rPr>
        <w:t>. وقد وردت في (أ) و(جـ) بالحاء المهملة.</w:t>
      </w:r>
    </w:p>
  </w:footnote>
  <w:footnote w:id="42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مراد القوم عند بيانهم لِـ (الدين الصحيح) بأنه : </w:t>
      </w:r>
      <w:r>
        <w:rPr>
          <w:rFonts w:hint="eastAsia"/>
          <w:rtl/>
        </w:rPr>
        <w:t>«</w:t>
      </w:r>
      <w:r>
        <w:rPr>
          <w:rFonts w:hint="cs"/>
          <w:rtl/>
        </w:rPr>
        <w:t>ما لا يسقط إلا بالأداء أو الإبراء</w:t>
      </w:r>
      <w:r>
        <w:rPr>
          <w:rFonts w:hint="eastAsia"/>
          <w:rtl/>
        </w:rPr>
        <w:t>»</w:t>
      </w:r>
      <w:r>
        <w:rPr>
          <w:rFonts w:hint="cs"/>
          <w:rtl/>
        </w:rPr>
        <w:t>.</w:t>
      </w:r>
    </w:p>
  </w:footnote>
  <w:footnote w:id="42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لا يصح عقد الكفالة ...</w:t>
      </w:r>
    </w:p>
  </w:footnote>
  <w:footnote w:id="42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63/أ من (جـ)، مع تكرار </w:t>
      </w:r>
      <w:r>
        <w:rPr>
          <w:rFonts w:hint="eastAsia"/>
          <w:rtl/>
        </w:rPr>
        <w:t>«</w:t>
      </w:r>
      <w:r>
        <w:rPr>
          <w:rFonts w:hint="cs"/>
          <w:rtl/>
        </w:rPr>
        <w:t>فإن</w:t>
      </w:r>
      <w:r>
        <w:rPr>
          <w:rFonts w:hint="eastAsia"/>
          <w:rtl/>
        </w:rPr>
        <w:t>»</w:t>
      </w:r>
      <w:r>
        <w:rPr>
          <w:rFonts w:hint="cs"/>
          <w:rtl/>
        </w:rPr>
        <w:t xml:space="preserve"> في بداية اللوحة التي تليها.</w:t>
      </w:r>
    </w:p>
  </w:footnote>
  <w:footnote w:id="42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الجامع الصغير، ص 369؛ الهداية والعناية وفتح القدير، 7/180.</w:t>
      </w:r>
    </w:p>
  </w:footnote>
  <w:footnote w:id="420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المراد : كتاب (الأشباه) لابن نجيم.</w:t>
      </w:r>
    </w:p>
  </w:footnote>
  <w:footnote w:id="420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الحط</w:t>
      </w:r>
      <w:r>
        <w:rPr>
          <w:rFonts w:hint="eastAsia"/>
          <w:rtl/>
        </w:rPr>
        <w:t>»</w:t>
      </w:r>
      <w:r>
        <w:rPr>
          <w:rFonts w:hint="cs"/>
          <w:rtl/>
        </w:rPr>
        <w:t xml:space="preserve"> (بالحاء المهملة). والصحيح ما تمَّ إثباته من (ب) و(جـ).</w:t>
      </w:r>
    </w:p>
  </w:footnote>
  <w:footnote w:id="420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يكثر ورودها في كثير من كتب الفقه وقواعده، ولاسيما الفقه الحنفي، وقد يتبادر للذهن كون المراد منها : نفي العمل بالمكتوب مطلقًا، أيًّا كان هذا المكتوب.</w:t>
      </w:r>
    </w:p>
    <w:p w:rsidR="00035BE3" w:rsidRDefault="00035BE3" w:rsidP="00C10469">
      <w:pPr>
        <w:pStyle w:val="a6"/>
        <w:ind w:left="422" w:firstLine="0"/>
        <w:rPr>
          <w:rtl/>
        </w:rPr>
      </w:pPr>
      <w:r>
        <w:rPr>
          <w:rFonts w:hint="cs"/>
          <w:rtl/>
        </w:rPr>
        <w:t>إلا أن هذا المعنى غير مراد؛ بل المراد منها -والله اعلم-:</w:t>
      </w:r>
    </w:p>
    <w:p w:rsidR="00035BE3" w:rsidRDefault="00035BE3" w:rsidP="00C10469">
      <w:pPr>
        <w:pStyle w:val="a6"/>
        <w:ind w:left="422" w:firstLine="0"/>
        <w:rPr>
          <w:rtl/>
        </w:rPr>
      </w:pPr>
      <w:r>
        <w:rPr>
          <w:rFonts w:hint="cs"/>
          <w:rtl/>
        </w:rPr>
        <w:t>إن المكتوب لا يستقلّ في إثبات حكم شرعي.</w:t>
      </w:r>
    </w:p>
    <w:p w:rsidR="00035BE3" w:rsidRDefault="00035BE3" w:rsidP="00C10469">
      <w:pPr>
        <w:pStyle w:val="a6"/>
        <w:ind w:left="422" w:firstLine="0"/>
        <w:rPr>
          <w:rtl/>
        </w:rPr>
      </w:pPr>
      <w:r>
        <w:rPr>
          <w:rFonts w:hint="cs"/>
          <w:rtl/>
        </w:rPr>
        <w:t>لكن إذا اقترنت به قرائن توثقه وتجعله بعيدًا عن التزوير : فإنه يُعمل به حينئذ. كأن يقترن بإقرار صاحب الكتاب، أو شهادة الشهود، أو جريان العرف به، ونحو ذلك.</w:t>
      </w:r>
    </w:p>
    <w:p w:rsidR="00035BE3" w:rsidRDefault="00035BE3" w:rsidP="00C10469">
      <w:pPr>
        <w:pStyle w:val="a6"/>
        <w:ind w:left="422" w:firstLine="0"/>
        <w:rPr>
          <w:b/>
          <w:bCs/>
          <w:rtl/>
        </w:rPr>
      </w:pPr>
      <w:r>
        <w:rPr>
          <w:rFonts w:hint="cs"/>
          <w:b/>
          <w:bCs/>
          <w:rtl/>
        </w:rPr>
        <w:t xml:space="preserve">ومما يشهد لهذا ما يأتي : </w:t>
      </w:r>
    </w:p>
    <w:p w:rsidR="00035BE3" w:rsidRDefault="00035BE3" w:rsidP="00C10469">
      <w:pPr>
        <w:pStyle w:val="a6"/>
        <w:ind w:left="422" w:firstLine="0"/>
        <w:rPr>
          <w:rtl/>
        </w:rPr>
      </w:pPr>
      <w:r>
        <w:rPr>
          <w:rFonts w:hint="cs"/>
          <w:b/>
          <w:bCs/>
          <w:rtl/>
        </w:rPr>
        <w:t>1</w:t>
      </w:r>
      <w:r>
        <w:rPr>
          <w:rFonts w:hint="cs"/>
          <w:rtl/>
        </w:rPr>
        <w:t xml:space="preserve">- ما جاء في المجلة - مادة 1736- : </w:t>
      </w:r>
      <w:r>
        <w:rPr>
          <w:rFonts w:hint="eastAsia"/>
          <w:rtl/>
        </w:rPr>
        <w:t>«</w:t>
      </w:r>
      <w:r>
        <w:rPr>
          <w:rFonts w:hint="cs"/>
          <w:rtl/>
        </w:rPr>
        <w:t>لا يعمل بالخط والختم فقط، ولكن إذا كان سالمًا عن شبهة التزوير والتصنيع : فيعمل به. يعني : أنه يكون مدارًا للحكم، ولا يحتاج إلى الثبوت بوجه آخر</w:t>
      </w:r>
      <w:r>
        <w:rPr>
          <w:rFonts w:hint="eastAsia"/>
          <w:rtl/>
        </w:rPr>
        <w:t>»</w:t>
      </w:r>
      <w:r>
        <w:rPr>
          <w:rFonts w:hint="cs"/>
          <w:rtl/>
        </w:rPr>
        <w:t>.</w:t>
      </w:r>
    </w:p>
    <w:p w:rsidR="00035BE3" w:rsidRDefault="00035BE3" w:rsidP="00C10469">
      <w:pPr>
        <w:pStyle w:val="a6"/>
        <w:ind w:left="422" w:firstLine="0"/>
        <w:rPr>
          <w:rtl/>
        </w:rPr>
      </w:pPr>
      <w:r>
        <w:rPr>
          <w:rFonts w:hint="cs"/>
          <w:b/>
          <w:bCs/>
          <w:rtl/>
        </w:rPr>
        <w:t>2</w:t>
      </w:r>
      <w:r>
        <w:rPr>
          <w:rFonts w:hint="cs"/>
          <w:rtl/>
        </w:rPr>
        <w:t xml:space="preserve">- وما جاء في رد المحتار -8/135- : </w:t>
      </w:r>
      <w:r>
        <w:rPr>
          <w:rFonts w:hint="eastAsia"/>
          <w:rtl/>
        </w:rPr>
        <w:t>«</w:t>
      </w:r>
      <w:r>
        <w:rPr>
          <w:rFonts w:hint="cs"/>
          <w:rtl/>
        </w:rPr>
        <w:t xml:space="preserve">قال البيري : المراد من قوله : </w:t>
      </w:r>
      <w:r>
        <w:rPr>
          <w:rFonts w:hint="eastAsia"/>
          <w:rtl/>
        </w:rPr>
        <w:t>«</w:t>
      </w:r>
      <w:r>
        <w:rPr>
          <w:rFonts w:hint="cs"/>
          <w:rtl/>
        </w:rPr>
        <w:t>لا يعتمد</w:t>
      </w:r>
      <w:r>
        <w:rPr>
          <w:rFonts w:hint="eastAsia"/>
          <w:rtl/>
        </w:rPr>
        <w:t>»</w:t>
      </w:r>
      <w:r>
        <w:rPr>
          <w:rFonts w:hint="cs"/>
          <w:rtl/>
        </w:rPr>
        <w:t>: أي : لا يقضي القاضي بذلك عند المنازعة ...</w:t>
      </w:r>
      <w:r>
        <w:rPr>
          <w:rFonts w:hint="eastAsia"/>
          <w:rtl/>
        </w:rPr>
        <w:t>»</w:t>
      </w:r>
      <w:r>
        <w:rPr>
          <w:rFonts w:hint="cs"/>
          <w:rtl/>
        </w:rPr>
        <w:t>.</w:t>
      </w:r>
    </w:p>
    <w:p w:rsidR="00035BE3" w:rsidRDefault="00035BE3" w:rsidP="00C10469">
      <w:pPr>
        <w:pStyle w:val="a6"/>
        <w:ind w:left="422" w:firstLine="0"/>
        <w:rPr>
          <w:rtl/>
        </w:rPr>
      </w:pPr>
      <w:r>
        <w:rPr>
          <w:rFonts w:hint="cs"/>
          <w:b/>
          <w:bCs/>
          <w:rtl/>
        </w:rPr>
        <w:t>3</w:t>
      </w:r>
      <w:r>
        <w:rPr>
          <w:rFonts w:hint="cs"/>
          <w:rtl/>
        </w:rPr>
        <w:t xml:space="preserve">- ما جاء في رسائل ابن عابدين - (رسالة: نشر العرف)،  2/141- : </w:t>
      </w:r>
      <w:r>
        <w:rPr>
          <w:rFonts w:hint="eastAsia"/>
          <w:rtl/>
        </w:rPr>
        <w:t>«</w:t>
      </w:r>
      <w:r>
        <w:rPr>
          <w:rFonts w:hint="cs"/>
          <w:rtl/>
        </w:rPr>
        <w:t xml:space="preserve">وحاصله: أن ما مّر من قولهم: </w:t>
      </w:r>
      <w:r>
        <w:rPr>
          <w:rFonts w:hint="eastAsia"/>
          <w:rtl/>
        </w:rPr>
        <w:t>«</w:t>
      </w:r>
      <w:r>
        <w:rPr>
          <w:rFonts w:hint="cs"/>
          <w:rtl/>
        </w:rPr>
        <w:t>لا يعتمد على الخط ولا يعمل به</w:t>
      </w:r>
      <w:r>
        <w:rPr>
          <w:rFonts w:hint="eastAsia"/>
          <w:rtl/>
        </w:rPr>
        <w:t>»</w:t>
      </w:r>
      <w:r>
        <w:rPr>
          <w:rFonts w:hint="cs"/>
          <w:rtl/>
        </w:rPr>
        <w:t xml:space="preserve"> مبنيّ على أصل المنقول في المذهب قبل حدوث العرف، ولمّا حدث العرف في الاعتماد على الخط والعمل به في مثل هذه المواضع أفتوا به</w:t>
      </w:r>
      <w:r>
        <w:rPr>
          <w:rFonts w:hint="eastAsia"/>
          <w:rtl/>
        </w:rPr>
        <w:t>»</w:t>
      </w:r>
      <w:r>
        <w:rPr>
          <w:rFonts w:hint="cs"/>
          <w:rtl/>
        </w:rPr>
        <w:t xml:space="preserve">. ومراده بهذه المواضع: </w:t>
      </w:r>
      <w:r>
        <w:rPr>
          <w:rFonts w:hint="eastAsia"/>
          <w:rtl/>
        </w:rPr>
        <w:t>«</w:t>
      </w:r>
      <w:r>
        <w:rPr>
          <w:rFonts w:hint="cs"/>
          <w:rtl/>
        </w:rPr>
        <w:t>ككتاب السلطان بتوليةٍ أو عزلٍ ونحوهما، وما يكتبه التاجر على نفسه في دفتره</w:t>
      </w:r>
      <w:r>
        <w:rPr>
          <w:rFonts w:hint="eastAsia"/>
          <w:rtl/>
        </w:rPr>
        <w:t>»</w:t>
      </w:r>
      <w:r>
        <w:rPr>
          <w:rFonts w:hint="cs"/>
          <w:rtl/>
        </w:rPr>
        <w:t>.</w:t>
      </w:r>
    </w:p>
    <w:p w:rsidR="00035BE3" w:rsidRDefault="00035BE3" w:rsidP="00C10469">
      <w:pPr>
        <w:pStyle w:val="a6"/>
        <w:ind w:left="422" w:firstLine="0"/>
        <w:rPr>
          <w:rtl/>
        </w:rPr>
      </w:pPr>
      <w:r>
        <w:rPr>
          <w:rFonts w:hint="cs"/>
          <w:rtl/>
        </w:rPr>
        <w:t xml:space="preserve">وممّا يجلّي القاعدة ويبيّن مرادهم منها: ما جاء في تكملة البحر الرائق-8/544-: </w:t>
      </w:r>
    </w:p>
    <w:p w:rsidR="00035BE3" w:rsidRDefault="00035BE3" w:rsidP="00C10469">
      <w:pPr>
        <w:pStyle w:val="a6"/>
        <w:ind w:left="422" w:firstLine="0"/>
        <w:rPr>
          <w:rtl/>
        </w:rPr>
      </w:pPr>
      <w:r>
        <w:rPr>
          <w:rFonts w:hint="eastAsia"/>
          <w:rtl/>
        </w:rPr>
        <w:t>«</w:t>
      </w:r>
      <w:r>
        <w:rPr>
          <w:rFonts w:hint="cs"/>
          <w:b/>
          <w:bCs/>
          <w:rtl/>
        </w:rPr>
        <w:t>ثم الكتابة على</w:t>
      </w:r>
      <w:r>
        <w:rPr>
          <w:rFonts w:hint="cs"/>
          <w:rtl/>
        </w:rPr>
        <w:t xml:space="preserve"> </w:t>
      </w:r>
      <w:r>
        <w:rPr>
          <w:rFonts w:hint="cs"/>
          <w:b/>
          <w:bCs/>
          <w:rtl/>
        </w:rPr>
        <w:t>ثلاثة</w:t>
      </w:r>
      <w:r>
        <w:rPr>
          <w:rFonts w:hint="cs"/>
          <w:rtl/>
        </w:rPr>
        <w:t xml:space="preserve"> [هكذا بالتاء!] مراتب:</w:t>
      </w:r>
    </w:p>
    <w:p w:rsidR="00035BE3" w:rsidRDefault="00035BE3" w:rsidP="00C10469">
      <w:pPr>
        <w:pStyle w:val="a6"/>
        <w:spacing w:line="264" w:lineRule="auto"/>
        <w:ind w:left="422" w:firstLine="0"/>
        <w:rPr>
          <w:rtl/>
        </w:rPr>
      </w:pPr>
      <w:r>
        <w:rPr>
          <w:b/>
          <w:bCs/>
          <w:rtl/>
        </w:rPr>
        <w:t>•</w:t>
      </w:r>
      <w:r>
        <w:rPr>
          <w:rFonts w:hint="cs"/>
          <w:b/>
          <w:bCs/>
          <w:rtl/>
        </w:rPr>
        <w:t xml:space="preserve"> مستبين ومرسوم</w:t>
      </w:r>
      <w:r>
        <w:rPr>
          <w:rFonts w:hint="cs"/>
          <w:rtl/>
        </w:rPr>
        <w:t xml:space="preserve">: وهو أن يكون معنونًا، أي: مصدَّرًا بالعنوان، وهو أن يكتب في  صدره: من فلان بن فلان. على ما جرت به العادة في سير الكتب. فيكون هذا كالنطق، فيلزم حجة. </w:t>
      </w:r>
    </w:p>
    <w:p w:rsidR="00035BE3" w:rsidRDefault="00035BE3" w:rsidP="00C10469">
      <w:pPr>
        <w:pStyle w:val="a6"/>
        <w:spacing w:line="264" w:lineRule="auto"/>
        <w:ind w:left="420" w:firstLine="0"/>
        <w:jc w:val="mediumKashida"/>
        <w:rPr>
          <w:rtl/>
        </w:rPr>
      </w:pPr>
      <w:r>
        <w:rPr>
          <w:b/>
          <w:bCs/>
          <w:rtl/>
        </w:rPr>
        <w:t>•</w:t>
      </w:r>
      <w:r>
        <w:rPr>
          <w:rFonts w:hint="cs"/>
          <w:b/>
          <w:bCs/>
          <w:rtl/>
        </w:rPr>
        <w:t xml:space="preserve"> ومستبين غير مرسوم: </w:t>
      </w:r>
      <w:r>
        <w:rPr>
          <w:rFonts w:hint="cs"/>
          <w:rtl/>
        </w:rPr>
        <w:t xml:space="preserve">كالكتابة على الجدران، وأوراق الأشجار، أو على الكاغض [لعلها: الكاغد، وهو القرطاس كما في المعجم الوسيط، 2/791] لا على وجه الرسم: فإن هذا يكون لغوًا؛ لأنه لا عرف في إظهار الأمر بهذا الطريق، فلا يكون حجة، إلا بانضمام شيء آخر إليه، كالبينة، والإشهاد عليه، والإملاء على الغير حتى يكتبه؛ لأن </w:t>
      </w:r>
      <w:r>
        <w:rPr>
          <w:rtl/>
        </w:rPr>
        <w:br/>
      </w:r>
      <w:r>
        <w:rPr>
          <w:rFonts w:hint="cs"/>
          <w:rtl/>
        </w:rPr>
        <w:t>الكتابة قد تكون تجربة، وقد تكون للتحقيق، وبهذه الإشارة تتبين الجهة. وقيل: الإملاء من غير إشهاد لا يكون حجة. والأوّل أظهر.</w:t>
      </w:r>
    </w:p>
    <w:p w:rsidR="00035BE3" w:rsidRDefault="00035BE3" w:rsidP="00C10469">
      <w:pPr>
        <w:pStyle w:val="a6"/>
        <w:spacing w:line="500" w:lineRule="exact"/>
        <w:ind w:left="420" w:firstLine="0"/>
        <w:rPr>
          <w:rtl/>
        </w:rPr>
      </w:pPr>
      <w:r>
        <w:rPr>
          <w:b/>
          <w:bCs/>
          <w:rtl/>
        </w:rPr>
        <w:t>•</w:t>
      </w:r>
      <w:r>
        <w:rPr>
          <w:rFonts w:hint="cs"/>
          <w:b/>
          <w:bCs/>
          <w:rtl/>
        </w:rPr>
        <w:t xml:space="preserve"> وغير مستبين:</w:t>
      </w:r>
      <w:r>
        <w:rPr>
          <w:rFonts w:hint="cs"/>
          <w:rtl/>
        </w:rPr>
        <w:t>كالكتابة على الهواء، أو الماء، وهو بمنزلة كلام غير مسموع، ولا يثبت به شيء من الأحكام وإن نوى</w:t>
      </w:r>
      <w:r>
        <w:rPr>
          <w:rFonts w:hint="eastAsia"/>
          <w:rtl/>
        </w:rPr>
        <w:t>»</w:t>
      </w:r>
      <w:r>
        <w:rPr>
          <w:rFonts w:hint="cs"/>
          <w:rtl/>
        </w:rPr>
        <w:t>.</w:t>
      </w:r>
    </w:p>
    <w:p w:rsidR="00035BE3" w:rsidRDefault="00035BE3" w:rsidP="00C10469">
      <w:pPr>
        <w:pStyle w:val="a6"/>
        <w:spacing w:line="500" w:lineRule="exact"/>
        <w:ind w:left="422" w:hanging="2"/>
        <w:rPr>
          <w:rtl/>
        </w:rPr>
      </w:pPr>
      <w:r>
        <w:rPr>
          <w:rFonts w:hint="cs"/>
          <w:rtl/>
        </w:rPr>
        <w:t>وعلى هذا فإن القاعدة تنزل على القسم الثاني من هذه الأقسام الثلاثة. وانظر هذه الأقسام الثلاثة في المبسوط، 6/143.</w:t>
      </w:r>
    </w:p>
    <w:p w:rsidR="00035BE3" w:rsidRDefault="00035BE3" w:rsidP="00C10469">
      <w:pPr>
        <w:pStyle w:val="a6"/>
        <w:spacing w:line="500" w:lineRule="exact"/>
        <w:ind w:left="422" w:hanging="2"/>
        <w:rPr>
          <w:rtl/>
        </w:rPr>
      </w:pPr>
      <w:r>
        <w:rPr>
          <w:rFonts w:hint="cs"/>
          <w:rtl/>
        </w:rPr>
        <w:t>هذا ما يتعلق ببيان المراد من القاعدة.</w:t>
      </w:r>
    </w:p>
    <w:p w:rsidR="00035BE3" w:rsidRDefault="00035BE3" w:rsidP="00C10469">
      <w:pPr>
        <w:pStyle w:val="a6"/>
        <w:spacing w:line="500" w:lineRule="exact"/>
        <w:ind w:left="422" w:hanging="2"/>
        <w:rPr>
          <w:spacing w:val="4"/>
          <w:rtl/>
        </w:rPr>
      </w:pPr>
      <w:r>
        <w:rPr>
          <w:rFonts w:hint="cs"/>
          <w:b/>
          <w:bCs/>
          <w:spacing w:val="4"/>
          <w:rtl/>
        </w:rPr>
        <w:t>أما توثيقها</w:t>
      </w:r>
      <w:r>
        <w:rPr>
          <w:rFonts w:hint="cs"/>
          <w:spacing w:val="4"/>
          <w:rtl/>
        </w:rPr>
        <w:t xml:space="preserve">: </w:t>
      </w:r>
    </w:p>
    <w:p w:rsidR="00035BE3" w:rsidRDefault="00035BE3" w:rsidP="00C10469">
      <w:pPr>
        <w:pStyle w:val="a6"/>
        <w:spacing w:line="500" w:lineRule="exact"/>
        <w:ind w:left="422" w:hanging="2"/>
        <w:rPr>
          <w:spacing w:val="4"/>
          <w:rtl/>
        </w:rPr>
      </w:pPr>
      <w:r>
        <w:rPr>
          <w:rFonts w:hint="cs"/>
          <w:spacing w:val="4"/>
          <w:rtl/>
        </w:rPr>
        <w:t>فقد وردت بلفظ المؤلف أو نحوه في كثير من كتب الفقه وقواعد، كما وردت في كتب أخر:</w:t>
      </w:r>
    </w:p>
    <w:p w:rsidR="00035BE3" w:rsidRDefault="00035BE3" w:rsidP="00C10469">
      <w:pPr>
        <w:pStyle w:val="a6"/>
        <w:spacing w:line="500" w:lineRule="exact"/>
        <w:ind w:left="422" w:hanging="2"/>
        <w:rPr>
          <w:rtl/>
        </w:rPr>
      </w:pPr>
      <w:r>
        <w:rPr>
          <w:rFonts w:hint="cs"/>
          <w:b/>
          <w:bCs/>
          <w:rtl/>
        </w:rPr>
        <w:t>فمن كتب الفقه</w:t>
      </w:r>
      <w:r>
        <w:rPr>
          <w:rFonts w:hint="cs"/>
          <w:rtl/>
        </w:rPr>
        <w:t xml:space="preserve">: </w:t>
      </w:r>
    </w:p>
    <w:p w:rsidR="00035BE3" w:rsidRDefault="00035BE3" w:rsidP="00C10469">
      <w:pPr>
        <w:pStyle w:val="a6"/>
        <w:spacing w:line="500" w:lineRule="exact"/>
        <w:ind w:left="422" w:hanging="2"/>
        <w:rPr>
          <w:spacing w:val="6"/>
          <w:rtl/>
        </w:rPr>
      </w:pPr>
      <w:r>
        <w:rPr>
          <w:rFonts w:hint="cs"/>
          <w:spacing w:val="6"/>
          <w:rtl/>
        </w:rPr>
        <w:t xml:space="preserve">قواعد الفقه لابن نجيم، ص 147، قاعدة 164؛ الفوائد الزينية، ص 42، فائدة 14؛ الأشباه والنظائر له أيضا، ص 245؛ غمز عيون البصائر، 2/306؛ مجامع الحقائق (الخاتمة)، ص 46؛ شرح العلائي لقواعد الخادمي، ل34/أ؛ منافع الدقائق، ص329؛ مجلة الأحكام العدلية، مادة 1736؛ شرحها السليم رستم، 2/1090؛ ولعلي حيدر، 15/426؛ وللأتاسي، 5/384؛ الفرائد البهية للحمزاوي، ص 23، قاعدة 31؛ قواعد الفقه للمجدّدي، ص 99، قاعدة 220، وص 111، قاعدة 276؛ كما وردت بصيغة الاستفهام في الأشباه والنظائر للسيوطي، 2/583-ولفظه: </w:t>
      </w:r>
      <w:r>
        <w:rPr>
          <w:rFonts w:hint="eastAsia"/>
          <w:spacing w:val="6"/>
          <w:rtl/>
        </w:rPr>
        <w:t>«</w:t>
      </w:r>
      <w:r>
        <w:rPr>
          <w:rFonts w:hint="cs"/>
          <w:spacing w:val="6"/>
          <w:rtl/>
        </w:rPr>
        <w:t>هل يجوز الاعتماد على الكتابة والخط؟</w:t>
      </w:r>
      <w:r>
        <w:rPr>
          <w:rFonts w:hint="eastAsia"/>
          <w:spacing w:val="6"/>
          <w:rtl/>
        </w:rPr>
        <w:t>»</w:t>
      </w:r>
      <w:r>
        <w:rPr>
          <w:rFonts w:hint="cs"/>
          <w:spacing w:val="6"/>
          <w:rtl/>
        </w:rPr>
        <w:t>-.</w:t>
      </w:r>
    </w:p>
    <w:p w:rsidR="00035BE3" w:rsidRDefault="00035BE3" w:rsidP="00C10469">
      <w:pPr>
        <w:pStyle w:val="a6"/>
        <w:spacing w:line="500" w:lineRule="exact"/>
        <w:ind w:left="422" w:hanging="2"/>
        <w:rPr>
          <w:b/>
          <w:bCs/>
          <w:rtl/>
        </w:rPr>
      </w:pPr>
      <w:r>
        <w:rPr>
          <w:rFonts w:hint="cs"/>
          <w:b/>
          <w:bCs/>
          <w:rtl/>
        </w:rPr>
        <w:t xml:space="preserve">ومن كتب الفقه: </w:t>
      </w:r>
    </w:p>
    <w:p w:rsidR="00035BE3" w:rsidRDefault="00035BE3" w:rsidP="00C10469">
      <w:pPr>
        <w:pStyle w:val="a6"/>
        <w:spacing w:line="500" w:lineRule="exact"/>
        <w:ind w:left="422" w:hanging="2"/>
        <w:rPr>
          <w:spacing w:val="8"/>
          <w:rtl/>
        </w:rPr>
      </w:pPr>
      <w:r>
        <w:rPr>
          <w:rFonts w:hint="cs"/>
          <w:spacing w:val="8"/>
          <w:rtl/>
        </w:rPr>
        <w:t>شرح السير الكبير، 2/477، فقرة 715؛ بدائع الصنائع، 6/273؛ الهداية والعناية وفتح القدير، 7/290، 386؛ الدّرر شرح الغرر، 2/192، 414؛ البحـر الـرائق، 7/4؛ تكملته، 8/544؛ رسائل ابن عابدين (رسالة: نشر العرف)، 2/127، 140-141؛ ردّ الـمحـتار، 6/622، 8/135، 182، 368.</w:t>
      </w:r>
    </w:p>
    <w:p w:rsidR="00035BE3" w:rsidRDefault="00035BE3" w:rsidP="00C10469">
      <w:pPr>
        <w:pStyle w:val="a6"/>
        <w:spacing w:line="500" w:lineRule="exact"/>
        <w:ind w:left="422" w:hanging="2"/>
        <w:rPr>
          <w:rtl/>
        </w:rPr>
      </w:pPr>
      <w:r>
        <w:rPr>
          <w:rFonts w:hint="cs"/>
          <w:b/>
          <w:bCs/>
          <w:rtl/>
        </w:rPr>
        <w:t xml:space="preserve">ومن الكتب الأخر: </w:t>
      </w:r>
    </w:p>
    <w:p w:rsidR="00035BE3" w:rsidRDefault="00035BE3" w:rsidP="00C10469">
      <w:pPr>
        <w:pStyle w:val="a6"/>
        <w:spacing w:line="500" w:lineRule="exact"/>
        <w:ind w:left="422" w:hanging="2"/>
        <w:rPr>
          <w:rtl/>
        </w:rPr>
      </w:pPr>
      <w:r>
        <w:rPr>
          <w:rFonts w:hint="cs"/>
          <w:rtl/>
        </w:rPr>
        <w:t xml:space="preserve">شرح اللمع، 2/652- فقد جاء فيه: </w:t>
      </w:r>
      <w:r>
        <w:rPr>
          <w:rFonts w:hint="eastAsia"/>
          <w:rtl/>
        </w:rPr>
        <w:t>«</w:t>
      </w:r>
      <w:r>
        <w:rPr>
          <w:rFonts w:hint="cs"/>
          <w:rtl/>
        </w:rPr>
        <w:t>...ومن أصحابنا من قال: لا يجوز العمل بالخط حتى يثبت عنه أنه هو الذي كتب إليه ذلك</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spacing w:line="440" w:lineRule="exact"/>
        <w:ind w:left="422" w:hanging="2"/>
        <w:rPr>
          <w:spacing w:val="-12"/>
          <w:rtl/>
        </w:rPr>
      </w:pPr>
      <w:r>
        <w:rPr>
          <w:rFonts w:hint="cs"/>
          <w:spacing w:val="-12"/>
          <w:rtl/>
        </w:rPr>
        <w:t xml:space="preserve">كما أفرد للحديث عنها كتاب مستقل، وهو: العمل بالخط والكتابة في الفقه الإسلامي للدكتور عبد الله الطريقي. </w:t>
      </w:r>
    </w:p>
  </w:footnote>
  <w:footnote w:id="421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w:t>
      </w:r>
      <w:r>
        <w:rPr>
          <w:rFonts w:hint="eastAsia"/>
          <w:rtl/>
        </w:rPr>
        <w:t>«</w:t>
      </w:r>
      <w:r>
        <w:rPr>
          <w:rFonts w:hint="cs"/>
          <w:rtl/>
        </w:rPr>
        <w:t>وإقرار</w:t>
      </w:r>
      <w:r>
        <w:rPr>
          <w:rFonts w:hint="eastAsia"/>
          <w:rtl/>
        </w:rPr>
        <w:t>»</w:t>
      </w:r>
      <w:r>
        <w:rPr>
          <w:rFonts w:hint="cs"/>
          <w:rtl/>
        </w:rPr>
        <w:t>.</w:t>
      </w:r>
    </w:p>
  </w:footnote>
  <w:footnote w:id="421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85/ب من (أ).</w:t>
      </w:r>
    </w:p>
  </w:footnote>
  <w:footnote w:id="421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ردّ المحتار، 8/137، 183.</w:t>
      </w:r>
    </w:p>
  </w:footnote>
  <w:footnote w:id="421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54/ب من (ب).</w:t>
      </w:r>
    </w:p>
  </w:footnote>
  <w:footnote w:id="421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مصدرًا بالعنوان، وقد سبق بيان ذلك ص969، وقبل ذلك ص917.</w:t>
      </w:r>
    </w:p>
  </w:footnote>
  <w:footnote w:id="421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مبنيًّا</w:t>
      </w:r>
      <w:r>
        <w:rPr>
          <w:rFonts w:hint="eastAsia"/>
          <w:rtl/>
        </w:rPr>
        <w:t>»</w:t>
      </w:r>
      <w:r>
        <w:rPr>
          <w:rFonts w:hint="cs"/>
          <w:rtl/>
        </w:rPr>
        <w:t>.</w:t>
      </w:r>
    </w:p>
  </w:footnote>
  <w:footnote w:id="421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52/أ من(د).</w:t>
      </w:r>
    </w:p>
  </w:footnote>
  <w:footnote w:id="421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إلى</w:t>
      </w:r>
      <w:r>
        <w:rPr>
          <w:rFonts w:hint="eastAsia"/>
          <w:rtl/>
        </w:rPr>
        <w:t>»</w:t>
      </w:r>
      <w:r>
        <w:rPr>
          <w:rFonts w:hint="cs"/>
          <w:rtl/>
        </w:rPr>
        <w:t>. وهذا الأولى.</w:t>
      </w:r>
    </w:p>
  </w:footnote>
  <w:footnote w:id="421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رد المحتار، 8/137، 183.</w:t>
      </w:r>
    </w:p>
    <w:p w:rsidR="00035BE3" w:rsidRDefault="00035BE3" w:rsidP="00C10469">
      <w:pPr>
        <w:pStyle w:val="a6"/>
        <w:ind w:left="422" w:firstLine="0"/>
        <w:rPr>
          <w:rtl/>
        </w:rPr>
      </w:pPr>
      <w:r>
        <w:rPr>
          <w:rFonts w:hint="cs"/>
          <w:rtl/>
        </w:rPr>
        <w:t>والفرق بين هذه المسألة والمسألة التي فرّعها على القاعدة أن المكتوب هنا مصدرًا بعنوان جرى العرف باعتباره، بينما هناك فإن المكتوب خالٍ من العنوان.</w:t>
      </w:r>
    </w:p>
    <w:p w:rsidR="00035BE3" w:rsidRDefault="00035BE3" w:rsidP="00C10469">
      <w:pPr>
        <w:pStyle w:val="a6"/>
        <w:spacing w:line="420" w:lineRule="exact"/>
        <w:ind w:left="422" w:firstLine="0"/>
        <w:rPr>
          <w:rtl/>
        </w:rPr>
      </w:pPr>
      <w:r>
        <w:rPr>
          <w:rFonts w:hint="cs"/>
          <w:rtl/>
        </w:rPr>
        <w:t>ولو عدتَ إلى أقسام الكتابة -المذكورة ص969- لوجدت أن هذا المثال يصلح مثالاً للقسم الأول من تلك الأقسام، ومثال القاعدة يصلح مثالاً للقسم الثاني منها.</w:t>
      </w:r>
    </w:p>
  </w:footnote>
  <w:footnote w:id="4219">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سبق أن أُفردت بالحديث، ص917 (ل77/أ)، قاعدة 184.</w:t>
      </w:r>
    </w:p>
  </w:footnote>
  <w:footnote w:id="4220">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الأشباه والنظائر لابن نجيم، ص 246؛ الدر المختار ورد المحتار، 8/135.</w:t>
      </w:r>
    </w:p>
  </w:footnote>
  <w:footnote w:id="4221">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الهداية والعناية وفتح القدير، 7/290-291؛ البحر الرائق، 7/4؛ الأشباه لابن نجيم، ص 246؛ قواعده، ص 147؛ فوائده الزينية، ص 42؛ الدر المختار ورد المحتار؛ 8/135.</w:t>
      </w:r>
    </w:p>
  </w:footnote>
  <w:footnote w:id="4222">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التذوير</w:t>
      </w:r>
      <w:r>
        <w:rPr>
          <w:rFonts w:hint="eastAsia"/>
          <w:rtl/>
        </w:rPr>
        <w:t>»</w:t>
      </w:r>
      <w:r>
        <w:rPr>
          <w:rFonts w:hint="cs"/>
          <w:rtl/>
        </w:rPr>
        <w:t>.</w:t>
      </w:r>
    </w:p>
  </w:footnote>
  <w:footnote w:id="4223">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رد المحتار، 8/136.</w:t>
      </w:r>
    </w:p>
  </w:footnote>
  <w:footnote w:id="4224">
    <w:p w:rsidR="00035BE3" w:rsidRDefault="00035BE3" w:rsidP="00C10469">
      <w:pPr>
        <w:pStyle w:val="a8"/>
        <w:bidi/>
        <w:ind w:left="422" w:right="0"/>
        <w:rPr>
          <w:rtl/>
        </w:rPr>
      </w:pPr>
      <w:r>
        <w:rPr>
          <w:vertAlign w:val="superscript"/>
          <w:rtl/>
        </w:rPr>
        <w:t>(</w:t>
      </w:r>
      <w:r>
        <w:rPr>
          <w:rStyle w:val="a7"/>
          <w:spacing w:val="-10"/>
        </w:rPr>
        <w:footnoteRef/>
      </w:r>
      <w:r>
        <w:rPr>
          <w:rFonts w:hint="cs"/>
          <w:vertAlign w:val="superscript"/>
          <w:rtl/>
        </w:rPr>
        <w:t>)</w:t>
      </w:r>
      <w:r>
        <w:rPr>
          <w:rFonts w:hint="cs"/>
          <w:rtl/>
        </w:rPr>
        <w:t xml:space="preserve">  </w:t>
      </w:r>
      <w:r>
        <w:rPr>
          <w:rFonts w:hint="cs"/>
          <w:b/>
          <w:bCs/>
          <w:rtl/>
        </w:rPr>
        <w:t>وهو</w:t>
      </w:r>
      <w:r>
        <w:rPr>
          <w:rFonts w:hint="cs"/>
          <w:rtl/>
        </w:rPr>
        <w:t xml:space="preserve">: الذي يضع الناسُ أموالَهم عنده؛ إذ العادة في ذلك الوقت : </w:t>
      </w:r>
      <w:r>
        <w:rPr>
          <w:rFonts w:hint="eastAsia"/>
          <w:rtl/>
        </w:rPr>
        <w:t>«</w:t>
      </w:r>
      <w:r>
        <w:rPr>
          <w:rFonts w:hint="cs"/>
          <w:rtl/>
        </w:rPr>
        <w:t>وضع التجار أموالهم عند الصرافين بلا إشهاد؛ بل يكتفى بخطّه. والخط والدراهم عند الصراف محتفظ عليهما، فيؤمن من التزوير؛ ولأنه يبعد أن يصنع الإنسان خطه في دراهم عنده أنها لغيره والأمر بخلافه ...</w:t>
      </w:r>
      <w:r>
        <w:rPr>
          <w:rFonts w:hint="eastAsia"/>
          <w:rtl/>
        </w:rPr>
        <w:t>»</w:t>
      </w:r>
      <w:r>
        <w:rPr>
          <w:rFonts w:hint="cs"/>
          <w:rtl/>
        </w:rPr>
        <w:t>- هكذا في غمز عـيون البصائـر، 2/310، وللكلام بقية فراجعه إن شئت.</w:t>
      </w:r>
    </w:p>
  </w:footnote>
  <w:footnote w:id="422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التبياع</w:t>
      </w:r>
      <w:r>
        <w:rPr>
          <w:rFonts w:hint="eastAsia"/>
          <w:rtl/>
        </w:rPr>
        <w:t>»</w:t>
      </w:r>
      <w:r>
        <w:rPr>
          <w:rFonts w:hint="cs"/>
          <w:rtl/>
        </w:rPr>
        <w:t>. والصواب ما تم إثباته من (د)، وهو الموافق للمصادر الآتي ذكرها.</w:t>
      </w:r>
    </w:p>
  </w:footnote>
  <w:footnote w:id="422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الأشباه لابن نجيم، ص246؛ قواعده، ص147؛ فوائده الزينية، ص42.</w:t>
      </w:r>
    </w:p>
  </w:footnote>
  <w:footnote w:id="422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سبق أن أُفردت بالحديث، بلفظ : </w:t>
      </w:r>
      <w:r>
        <w:rPr>
          <w:rFonts w:hint="eastAsia"/>
          <w:rtl/>
        </w:rPr>
        <w:t>«</w:t>
      </w:r>
      <w:r>
        <w:rPr>
          <w:rFonts w:hint="cs"/>
          <w:rtl/>
        </w:rPr>
        <w:t>الثابت بالعرف قاضٍ على القيـاس</w:t>
      </w:r>
      <w:r>
        <w:rPr>
          <w:rFonts w:hint="eastAsia"/>
          <w:rtl/>
        </w:rPr>
        <w:t>»</w:t>
      </w:r>
      <w:r>
        <w:rPr>
          <w:rFonts w:hint="cs"/>
          <w:rtl/>
        </w:rPr>
        <w:t>، وذلك ص599 (ل40/ب)، قاعدة 95.</w:t>
      </w:r>
    </w:p>
  </w:footnote>
  <w:footnote w:id="422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نسخة (جـ) : </w:t>
      </w:r>
      <w:r>
        <w:rPr>
          <w:rFonts w:hint="eastAsia"/>
          <w:rtl/>
        </w:rPr>
        <w:t>«</w:t>
      </w:r>
      <w:r>
        <w:rPr>
          <w:rFonts w:hint="cs"/>
          <w:rtl/>
        </w:rPr>
        <w:t>واعتراض</w:t>
      </w:r>
      <w:r>
        <w:rPr>
          <w:rFonts w:hint="eastAsia"/>
          <w:rtl/>
        </w:rPr>
        <w:t>»</w:t>
      </w:r>
      <w:r>
        <w:rPr>
          <w:rFonts w:hint="cs"/>
          <w:rtl/>
        </w:rPr>
        <w:t>.</w:t>
      </w:r>
    </w:p>
  </w:footnote>
  <w:footnote w:id="4229">
    <w:p w:rsidR="00035BE3" w:rsidRDefault="00035BE3" w:rsidP="00C10469">
      <w:pPr>
        <w:pStyle w:val="a8"/>
        <w:bidi/>
        <w:ind w:left="422" w:right="0"/>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 </w:t>
      </w:r>
      <w:r>
        <w:rPr>
          <w:rFonts w:hint="eastAsia"/>
          <w:spacing w:val="-6"/>
          <w:rtl/>
        </w:rPr>
        <w:t>«</w:t>
      </w:r>
      <w:r>
        <w:rPr>
          <w:rFonts w:hint="cs"/>
          <w:spacing w:val="-6"/>
          <w:rtl/>
        </w:rPr>
        <w:t>يعملوا هنا</w:t>
      </w:r>
      <w:r>
        <w:rPr>
          <w:rFonts w:hint="eastAsia"/>
          <w:spacing w:val="-6"/>
          <w:rtl/>
        </w:rPr>
        <w:t>»</w:t>
      </w:r>
      <w:r>
        <w:rPr>
          <w:rFonts w:hint="cs"/>
          <w:spacing w:val="-6"/>
          <w:rtl/>
        </w:rPr>
        <w:t xml:space="preserve">، وفي (جـ): </w:t>
      </w:r>
      <w:r>
        <w:rPr>
          <w:rFonts w:hint="eastAsia"/>
          <w:spacing w:val="-6"/>
          <w:rtl/>
        </w:rPr>
        <w:t>«</w:t>
      </w:r>
      <w:r>
        <w:rPr>
          <w:rFonts w:hint="cs"/>
          <w:spacing w:val="-6"/>
          <w:rtl/>
        </w:rPr>
        <w:t xml:space="preserve"> يعملوا نها </w:t>
      </w:r>
      <w:r>
        <w:rPr>
          <w:rFonts w:hint="eastAsia"/>
          <w:spacing w:val="-6"/>
          <w:rtl/>
        </w:rPr>
        <w:t>»</w:t>
      </w:r>
      <w:r>
        <w:rPr>
          <w:rFonts w:hint="cs"/>
          <w:spacing w:val="-6"/>
          <w:rtl/>
        </w:rPr>
        <w:t xml:space="preserve">، وفي (د): </w:t>
      </w:r>
      <w:r>
        <w:rPr>
          <w:rFonts w:hint="eastAsia"/>
          <w:spacing w:val="-6"/>
          <w:rtl/>
        </w:rPr>
        <w:t>«</w:t>
      </w:r>
      <w:r>
        <w:rPr>
          <w:rFonts w:hint="cs"/>
          <w:spacing w:val="-6"/>
          <w:rtl/>
        </w:rPr>
        <w:t>بعملوابها</w:t>
      </w:r>
      <w:r>
        <w:rPr>
          <w:rFonts w:hint="eastAsia"/>
          <w:spacing w:val="-6"/>
          <w:rtl/>
        </w:rPr>
        <w:t>»</w:t>
      </w:r>
      <w:r>
        <w:rPr>
          <w:rFonts w:hint="cs"/>
          <w:spacing w:val="-6"/>
          <w:rtl/>
        </w:rPr>
        <w:t>. والصواب ما تمَّ إثباته من (ب).</w:t>
      </w:r>
    </w:p>
  </w:footnote>
  <w:footnote w:id="423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الأشباه والنظائر لابن نجيم، ص246؛ غمز عيون البصائر، 2/309-310.</w:t>
      </w:r>
    </w:p>
    <w:p w:rsidR="00035BE3" w:rsidRDefault="00035BE3" w:rsidP="00C10469">
      <w:pPr>
        <w:pStyle w:val="a6"/>
        <w:ind w:left="422" w:firstLine="0"/>
        <w:rPr>
          <w:rtl/>
        </w:rPr>
      </w:pPr>
      <w:r>
        <w:rPr>
          <w:rFonts w:hint="cs"/>
          <w:rtl/>
        </w:rPr>
        <w:t>وفيهما مناقشة لهذا الاعتراض، وقد أفاض الثاني في ذلك، ومرّ - آنفا - ذُكر طرفٍ ممّا قاله، وذلك عند بيان معنى الصراف.</w:t>
      </w:r>
    </w:p>
  </w:footnote>
  <w:footnote w:id="423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الحق</w:t>
      </w:r>
      <w:r>
        <w:rPr>
          <w:rFonts w:hint="eastAsia"/>
          <w:rtl/>
        </w:rPr>
        <w:t>»</w:t>
      </w:r>
      <w:r>
        <w:rPr>
          <w:rFonts w:hint="cs"/>
          <w:rtl/>
        </w:rPr>
        <w:t>.</w:t>
      </w:r>
    </w:p>
  </w:footnote>
  <w:footnote w:id="423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و(د): </w:t>
      </w:r>
      <w:r>
        <w:rPr>
          <w:rFonts w:hint="eastAsia"/>
          <w:rtl/>
        </w:rPr>
        <w:t>«</w:t>
      </w:r>
      <w:r>
        <w:rPr>
          <w:rFonts w:hint="cs"/>
          <w:rtl/>
        </w:rPr>
        <w:t>المجهول</w:t>
      </w:r>
      <w:r>
        <w:rPr>
          <w:rFonts w:hint="eastAsia"/>
          <w:rtl/>
        </w:rPr>
        <w:t>»</w:t>
      </w:r>
      <w:r>
        <w:rPr>
          <w:rFonts w:hint="cs"/>
          <w:rtl/>
        </w:rPr>
        <w:t>. والمناسب ما تّم إثباته من (ب) و(جـ)، وهو الموافق لأشباه ابن نجيم.</w:t>
      </w:r>
    </w:p>
  </w:footnote>
  <w:footnote w:id="423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بهذا اللفظ أو نحوه في عدد من كتب الفقه وقواعده:</w:t>
      </w:r>
    </w:p>
    <w:p w:rsidR="00035BE3" w:rsidRDefault="00035BE3" w:rsidP="00C10469">
      <w:pPr>
        <w:pStyle w:val="a6"/>
        <w:ind w:left="422" w:firstLine="0"/>
        <w:rPr>
          <w:b/>
          <w:bCs/>
          <w:rtl/>
        </w:rPr>
      </w:pPr>
      <w:r>
        <w:rPr>
          <w:rFonts w:hint="cs"/>
          <w:b/>
          <w:bCs/>
          <w:rtl/>
        </w:rPr>
        <w:t xml:space="preserve">فمن كتب القواعد: </w:t>
      </w:r>
    </w:p>
    <w:p w:rsidR="00035BE3" w:rsidRPr="00303EAA" w:rsidRDefault="00035BE3" w:rsidP="00C10469">
      <w:pPr>
        <w:pStyle w:val="a6"/>
        <w:ind w:left="422" w:firstLine="0"/>
        <w:rPr>
          <w:rtl/>
        </w:rPr>
      </w:pPr>
      <w:r>
        <w:rPr>
          <w:rFonts w:hint="cs"/>
          <w:spacing w:val="6"/>
          <w:rtl/>
        </w:rPr>
        <w:t xml:space="preserve">قواعد الفقه لابن نجيم، ص 149، قاعدة 168-ولفظه: </w:t>
      </w:r>
      <w:r>
        <w:rPr>
          <w:rFonts w:hint="eastAsia"/>
          <w:spacing w:val="6"/>
          <w:rtl/>
        </w:rPr>
        <w:t>«</w:t>
      </w:r>
      <w:r>
        <w:rPr>
          <w:rFonts w:hint="cs"/>
          <w:spacing w:val="6"/>
          <w:rtl/>
        </w:rPr>
        <w:t>لا يحلّف القاضي على المجهول</w:t>
      </w:r>
      <w:r>
        <w:rPr>
          <w:rFonts w:hint="eastAsia"/>
          <w:spacing w:val="6"/>
          <w:rtl/>
        </w:rPr>
        <w:t>»</w:t>
      </w:r>
      <w:r>
        <w:rPr>
          <w:rFonts w:hint="cs"/>
          <w:spacing w:val="6"/>
          <w:rtl/>
        </w:rPr>
        <w:t>-؛ الفوائد الزينية له أيضا، ص42، فائدة 16-ولفظه:</w:t>
      </w:r>
      <w:r>
        <w:rPr>
          <w:rFonts w:hint="eastAsia"/>
          <w:spacing w:val="6"/>
          <w:rtl/>
        </w:rPr>
        <w:t xml:space="preserve"> «</w:t>
      </w:r>
      <w:r>
        <w:rPr>
          <w:rFonts w:hint="cs"/>
          <w:spacing w:val="6"/>
          <w:rtl/>
        </w:rPr>
        <w:t>لا يحلف القاضي على مجهول</w:t>
      </w:r>
      <w:r>
        <w:rPr>
          <w:rFonts w:hint="eastAsia"/>
          <w:spacing w:val="6"/>
          <w:rtl/>
        </w:rPr>
        <w:t>»</w:t>
      </w:r>
      <w:r>
        <w:rPr>
          <w:rFonts w:hint="cs"/>
          <w:spacing w:val="6"/>
          <w:rtl/>
        </w:rPr>
        <w:t>-؛ الأشباه له أيضًا، ص 247؛ غمز عيون البصائر، 2/316-وقَد استدرك على لفظ القاعدة عند ابن نجيم فقال:</w:t>
      </w:r>
      <w:r>
        <w:rPr>
          <w:rFonts w:hint="eastAsia"/>
          <w:spacing w:val="6"/>
          <w:rtl/>
        </w:rPr>
        <w:t xml:space="preserve"> «</w:t>
      </w:r>
      <w:r>
        <w:rPr>
          <w:rFonts w:hint="cs"/>
          <w:spacing w:val="6"/>
          <w:rtl/>
        </w:rPr>
        <w:t xml:space="preserve">قوله لا يحلف القاضي على حق مجهول.أقول: </w:t>
      </w:r>
      <w:r>
        <w:rPr>
          <w:rFonts w:hint="cs"/>
          <w:b/>
          <w:bCs/>
          <w:spacing w:val="6"/>
          <w:rtl/>
        </w:rPr>
        <w:t xml:space="preserve">الصواب: لا يحلف على دعوى </w:t>
      </w:r>
      <w:r w:rsidRPr="00303EAA">
        <w:rPr>
          <w:rFonts w:hint="cs"/>
          <w:b/>
          <w:bCs/>
          <w:rtl/>
        </w:rPr>
        <w:t>مجهول،</w:t>
      </w:r>
      <w:r w:rsidRPr="00303EAA">
        <w:rPr>
          <w:rFonts w:hint="cs"/>
          <w:rtl/>
        </w:rPr>
        <w:t xml:space="preserve"> كما هو ظاهر</w:t>
      </w:r>
      <w:r w:rsidRPr="00303EAA">
        <w:rPr>
          <w:rFonts w:hint="eastAsia"/>
          <w:rtl/>
        </w:rPr>
        <w:t>»</w:t>
      </w:r>
      <w:r w:rsidRPr="00303EAA">
        <w:rPr>
          <w:rFonts w:hint="cs"/>
          <w:rtl/>
        </w:rPr>
        <w:t xml:space="preserve">-؛ الفرائد البهية للحمزاوي، ص19، قاعدة 16-ولفظه: </w:t>
      </w:r>
      <w:r w:rsidRPr="00303EAA">
        <w:rPr>
          <w:rFonts w:hint="eastAsia"/>
          <w:rtl/>
        </w:rPr>
        <w:t>«</w:t>
      </w:r>
      <w:r w:rsidRPr="00303EAA">
        <w:rPr>
          <w:rFonts w:hint="cs"/>
          <w:rtl/>
        </w:rPr>
        <w:t>التحليف يتوقف على صحة الدعوى</w:t>
      </w:r>
      <w:r w:rsidRPr="00303EAA">
        <w:rPr>
          <w:rFonts w:hint="eastAsia"/>
          <w:rtl/>
        </w:rPr>
        <w:t>»</w:t>
      </w:r>
      <w:r w:rsidRPr="00303EAA">
        <w:rPr>
          <w:rFonts w:hint="cs"/>
          <w:rtl/>
        </w:rPr>
        <w:t xml:space="preserve">-؛ قواعد الفقه للمجدّدي، ص 149، قاعدة 168-ولفظه كلفظ قواعد ابن نجيم-؛ موسوعة القواعد الفقهية، 3/239- وقد ذكر لفظ أشباه ابن نجيم والفرائد-؛ القواعد والضوابط الفقهية لنظام القضاء في الإسلام للدكتور إبراهيم الحريري، ص 70-ولفظه: </w:t>
      </w:r>
      <w:r w:rsidRPr="00303EAA">
        <w:rPr>
          <w:rFonts w:hint="eastAsia"/>
          <w:rtl/>
        </w:rPr>
        <w:t>«</w:t>
      </w:r>
      <w:r w:rsidRPr="00303EAA">
        <w:rPr>
          <w:rFonts w:hint="cs"/>
          <w:rtl/>
        </w:rPr>
        <w:t>القضاء بالمجاهيل لا يصح ولا الشهادة عليها</w:t>
      </w:r>
      <w:r w:rsidRPr="00303EAA">
        <w:rPr>
          <w:rFonts w:hint="eastAsia"/>
          <w:rtl/>
        </w:rPr>
        <w:t>»</w:t>
      </w:r>
      <w:r w:rsidRPr="00303EAA">
        <w:rPr>
          <w:rFonts w:hint="cs"/>
          <w:rtl/>
        </w:rPr>
        <w:t>-.</w:t>
      </w:r>
    </w:p>
    <w:p w:rsidR="00035BE3" w:rsidRDefault="00035BE3" w:rsidP="00C10469">
      <w:pPr>
        <w:pStyle w:val="a6"/>
        <w:ind w:left="422" w:firstLine="0"/>
        <w:rPr>
          <w:b/>
          <w:bCs/>
          <w:rtl/>
        </w:rPr>
      </w:pPr>
      <w:r>
        <w:rPr>
          <w:rFonts w:hint="cs"/>
          <w:b/>
          <w:bCs/>
          <w:rtl/>
        </w:rPr>
        <w:t>ومن كتب الفقه:</w:t>
      </w:r>
    </w:p>
    <w:p w:rsidR="00035BE3" w:rsidRDefault="00035BE3" w:rsidP="00C10469">
      <w:pPr>
        <w:pStyle w:val="a6"/>
        <w:ind w:left="422" w:firstLine="0"/>
        <w:rPr>
          <w:rtl/>
        </w:rPr>
      </w:pPr>
      <w:r>
        <w:rPr>
          <w:rFonts w:hint="cs"/>
          <w:rtl/>
        </w:rPr>
        <w:t xml:space="preserve">فتاوى قاضي خان، 2/278، 421؛ الدّرر شرح الغرر، 2/330؛ الدر المختار، 8/349؛ ومع حاشيته: قرة عيون الأخيار، 11/550؛ رد المحتار، 6/669. </w:t>
      </w:r>
    </w:p>
  </w:footnote>
  <w:footnote w:id="423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احضاره</w:t>
      </w:r>
      <w:r>
        <w:rPr>
          <w:rFonts w:hint="eastAsia"/>
          <w:rtl/>
        </w:rPr>
        <w:t>»</w:t>
      </w:r>
      <w:r>
        <w:rPr>
          <w:rFonts w:hint="cs"/>
          <w:rtl/>
        </w:rPr>
        <w:t>.</w:t>
      </w:r>
    </w:p>
  </w:footnote>
  <w:footnote w:id="423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الغرر وشرحه: الدّرر، 2/330، ولفظهما : </w:t>
      </w:r>
      <w:r>
        <w:rPr>
          <w:rFonts w:hint="eastAsia"/>
          <w:rtl/>
        </w:rPr>
        <w:t>«</w:t>
      </w:r>
      <w:r>
        <w:rPr>
          <w:rFonts w:hint="cs"/>
          <w:rtl/>
        </w:rPr>
        <w:t>(وطلب)...(احضاره) أي احضار ما يدّعيه إن أمكن، ليشار إليه في الدعوى والشهادة...(و) ذكر (قيمته إن تعّذر)...</w:t>
      </w:r>
      <w:r>
        <w:rPr>
          <w:rFonts w:hint="eastAsia"/>
          <w:rtl/>
        </w:rPr>
        <w:t>»</w:t>
      </w:r>
      <w:r>
        <w:rPr>
          <w:rFonts w:hint="cs"/>
          <w:rtl/>
        </w:rPr>
        <w:t>.</w:t>
      </w:r>
    </w:p>
  </w:footnote>
  <w:footnote w:id="423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86/أ من (أ).</w:t>
      </w:r>
    </w:p>
  </w:footnote>
  <w:footnote w:id="423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يـسـمع</w:t>
      </w:r>
      <w:r>
        <w:rPr>
          <w:rFonts w:hint="eastAsia"/>
          <w:rtl/>
        </w:rPr>
        <w:t>»</w:t>
      </w:r>
      <w:r>
        <w:rPr>
          <w:rFonts w:hint="cs"/>
          <w:rtl/>
        </w:rPr>
        <w:t>. والأفـصح ما تمّ إثـباته من (د)، وهو الموافق لمصدر هذه العبارة (وهو الدرر).</w:t>
      </w:r>
    </w:p>
  </w:footnote>
  <w:footnote w:id="423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لو</w:t>
      </w:r>
      <w:r>
        <w:rPr>
          <w:rFonts w:hint="eastAsia"/>
          <w:rtl/>
        </w:rPr>
        <w:t>»</w:t>
      </w:r>
      <w:r>
        <w:rPr>
          <w:rFonts w:hint="cs"/>
          <w:rtl/>
        </w:rPr>
        <w:t>.</w:t>
      </w:r>
    </w:p>
  </w:footnote>
  <w:footnote w:id="423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63/ب من (جـ).</w:t>
      </w:r>
    </w:p>
  </w:footnote>
  <w:footnote w:id="424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2/331- إلا أنه قال في نهاية العبارة : </w:t>
      </w:r>
      <w:r>
        <w:rPr>
          <w:rFonts w:hint="eastAsia"/>
          <w:rtl/>
        </w:rPr>
        <w:t>«</w:t>
      </w:r>
      <w:r>
        <w:rPr>
          <w:rFonts w:hint="cs"/>
          <w:rtl/>
        </w:rPr>
        <w:t>به</w:t>
      </w:r>
      <w:r>
        <w:rPr>
          <w:rFonts w:hint="eastAsia"/>
          <w:rtl/>
        </w:rPr>
        <w:t>»</w:t>
      </w:r>
      <w:r>
        <w:rPr>
          <w:rFonts w:hint="cs"/>
          <w:rtl/>
        </w:rPr>
        <w:t xml:space="preserve"> وليس </w:t>
      </w:r>
      <w:r>
        <w:rPr>
          <w:rFonts w:hint="eastAsia"/>
          <w:rtl/>
        </w:rPr>
        <w:t>«</w:t>
      </w:r>
      <w:r>
        <w:rPr>
          <w:rFonts w:hint="cs"/>
          <w:rtl/>
        </w:rPr>
        <w:t>بالعجز</w:t>
      </w:r>
      <w:r>
        <w:rPr>
          <w:rFonts w:hint="eastAsia"/>
          <w:rtl/>
        </w:rPr>
        <w:t>»</w:t>
      </w:r>
      <w:r>
        <w:rPr>
          <w:rFonts w:hint="cs"/>
          <w:rtl/>
        </w:rPr>
        <w:t>، مع زيادة في (الدرر) لبعض الألفاظ-؛ وأنظر: فتاوى قاضي خان، 2/378.</w:t>
      </w:r>
    </w:p>
  </w:footnote>
  <w:footnote w:id="424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الدّرر: </w:t>
      </w:r>
      <w:r>
        <w:rPr>
          <w:rFonts w:hint="eastAsia"/>
          <w:rtl/>
        </w:rPr>
        <w:t>«</w:t>
      </w:r>
      <w:r>
        <w:rPr>
          <w:rFonts w:hint="cs"/>
          <w:rtl/>
        </w:rPr>
        <w:t>توجب</w:t>
      </w:r>
      <w:r>
        <w:rPr>
          <w:rFonts w:hint="eastAsia"/>
          <w:rtl/>
        </w:rPr>
        <w:t>»</w:t>
      </w:r>
      <w:r>
        <w:rPr>
          <w:rFonts w:hint="cs"/>
          <w:rtl/>
        </w:rPr>
        <w:t>.</w:t>
      </w:r>
    </w:p>
  </w:footnote>
  <w:footnote w:id="424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w:t>
      </w:r>
      <w:r>
        <w:rPr>
          <w:rFonts w:hint="eastAsia"/>
          <w:rtl/>
        </w:rPr>
        <w:t>«</w:t>
      </w:r>
      <w:r>
        <w:rPr>
          <w:rFonts w:hint="cs"/>
          <w:rtl/>
        </w:rPr>
        <w:t>ويجبر</w:t>
      </w:r>
      <w:r>
        <w:rPr>
          <w:rFonts w:hint="eastAsia"/>
          <w:rtl/>
        </w:rPr>
        <w:t>»</w:t>
      </w:r>
      <w:r>
        <w:rPr>
          <w:rFonts w:hint="cs"/>
          <w:rtl/>
        </w:rPr>
        <w:t xml:space="preserve">. </w:t>
      </w:r>
    </w:p>
  </w:footnote>
  <w:footnote w:id="424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2/331.</w:t>
      </w:r>
    </w:p>
  </w:footnote>
  <w:footnote w:id="424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لما ذكر صاحب (الدرر). وقـد سبـق بيان كـلامه عـند توثيـق ما جاء في بداية شرح المؤلف للقاعدة.</w:t>
      </w:r>
    </w:p>
  </w:footnote>
  <w:footnote w:id="424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w:t>
      </w:r>
      <w:r>
        <w:rPr>
          <w:rFonts w:hint="eastAsia"/>
          <w:rtl/>
        </w:rPr>
        <w:t>«</w:t>
      </w:r>
      <w:r>
        <w:rPr>
          <w:rFonts w:hint="cs"/>
          <w:rtl/>
        </w:rPr>
        <w:t>الدعوى</w:t>
      </w:r>
      <w:r>
        <w:rPr>
          <w:rFonts w:hint="eastAsia"/>
          <w:rtl/>
        </w:rPr>
        <w:t>»</w:t>
      </w:r>
      <w:r>
        <w:rPr>
          <w:rFonts w:hint="cs"/>
          <w:rtl/>
        </w:rPr>
        <w:t>.</w:t>
      </w:r>
    </w:p>
  </w:footnote>
  <w:footnote w:id="424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فتاوى قاضي خان، 2/421؛ قواعد الفقه لابن نجيم، ص 149. </w:t>
      </w:r>
    </w:p>
  </w:footnote>
  <w:footnote w:id="424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ل169/أ؛ وانظر: قواعد الفقه لابن نجيم، ص 149.</w:t>
      </w:r>
    </w:p>
  </w:footnote>
  <w:footnote w:id="4248">
    <w:p w:rsidR="00035BE3" w:rsidRDefault="00035BE3" w:rsidP="00C10469">
      <w:pPr>
        <w:pStyle w:val="a8"/>
        <w:bidi/>
        <w:ind w:left="422" w:right="0"/>
        <w:rPr>
          <w:spacing w:val="-6"/>
          <w:rtl/>
        </w:rPr>
      </w:pPr>
      <w:r>
        <w:rPr>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و(ب) و(جـ) و(د) و(هـ): </w:t>
      </w:r>
      <w:r>
        <w:rPr>
          <w:rFonts w:hint="eastAsia"/>
          <w:spacing w:val="-6"/>
          <w:rtl/>
        </w:rPr>
        <w:t>«</w:t>
      </w:r>
      <w:r>
        <w:rPr>
          <w:rFonts w:hint="cs"/>
          <w:spacing w:val="-6"/>
          <w:rtl/>
        </w:rPr>
        <w:t>الدعوى</w:t>
      </w:r>
      <w:r>
        <w:rPr>
          <w:rFonts w:hint="eastAsia"/>
          <w:spacing w:val="-6"/>
          <w:rtl/>
        </w:rPr>
        <w:t>»</w:t>
      </w:r>
      <w:r>
        <w:rPr>
          <w:rFonts w:hint="cs"/>
          <w:spacing w:val="-6"/>
          <w:rtl/>
        </w:rPr>
        <w:t>. والصحيح ما تم إثباته من (و)، وهو الموافق للمصادر الآتي ذكرها.</w:t>
      </w:r>
    </w:p>
  </w:footnote>
  <w:footnote w:id="424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ست مسائل مستثناة من القاعدة، وقد ذكرها ابن نجيم في اشباهه، وعّبر عن المسألة الأولى بلفظ مختصر قال فيه: </w:t>
      </w:r>
      <w:r>
        <w:rPr>
          <w:rFonts w:hint="eastAsia"/>
          <w:rtl/>
        </w:rPr>
        <w:t>«</w:t>
      </w:r>
      <w:r>
        <w:rPr>
          <w:rFonts w:hint="cs"/>
          <w:rtl/>
        </w:rPr>
        <w:t>في دعوى الغصب</w:t>
      </w:r>
      <w:r>
        <w:rPr>
          <w:rFonts w:hint="eastAsia"/>
          <w:rtl/>
        </w:rPr>
        <w:t>»</w:t>
      </w:r>
      <w:r>
        <w:rPr>
          <w:rFonts w:hint="cs"/>
          <w:rtl/>
        </w:rPr>
        <w:t>؛ كما نقلها عنه ابن عابدين ونجله في: رد المحتار، 6/669، وتكملته: قرة عيون الأخيار، 11/550؛ وذكرها قبلهما صاحب الدر المختار، 8/349.</w:t>
      </w:r>
    </w:p>
  </w:footnote>
  <w:footnote w:id="42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(ب) و(د) : </w:t>
      </w:r>
      <w:r>
        <w:rPr>
          <w:rFonts w:hint="eastAsia"/>
          <w:rtl/>
        </w:rPr>
        <w:t>«</w:t>
      </w:r>
      <w:r>
        <w:rPr>
          <w:rFonts w:hint="cs"/>
          <w:rtl/>
        </w:rPr>
        <w:t>المواضعات</w:t>
      </w:r>
      <w:r>
        <w:rPr>
          <w:rFonts w:hint="eastAsia"/>
          <w:rtl/>
        </w:rPr>
        <w:t>»</w:t>
      </w:r>
      <w:r>
        <w:rPr>
          <w:rFonts w:hint="cs"/>
          <w:rtl/>
        </w:rPr>
        <w:t>. والصحيح ما تمَّ إثباته من (جـ) و(هـ) و(و).</w:t>
      </w:r>
    </w:p>
  </w:footnote>
  <w:footnote w:id="425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55/أ من (ب).</w:t>
      </w:r>
    </w:p>
  </w:footnote>
  <w:footnote w:id="425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86/ب من (أ).</w:t>
      </w:r>
    </w:p>
  </w:footnote>
  <w:footnote w:id="425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يسمع</w:t>
      </w:r>
      <w:r>
        <w:rPr>
          <w:rFonts w:hint="eastAsia"/>
          <w:rtl/>
        </w:rPr>
        <w:t>»</w:t>
      </w:r>
      <w:r>
        <w:rPr>
          <w:rFonts w:hint="cs"/>
          <w:rtl/>
        </w:rPr>
        <w:t>. والأفصح ما تّم إثباته من (د)، وهو الموافق لأكثر مصادر القاعدة.</w:t>
      </w:r>
    </w:p>
  </w:footnote>
  <w:footnote w:id="425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بعده</w:t>
      </w:r>
      <w:r>
        <w:rPr>
          <w:rFonts w:hint="eastAsia"/>
          <w:rtl/>
        </w:rPr>
        <w:t>»</w:t>
      </w:r>
      <w:r>
        <w:rPr>
          <w:rFonts w:hint="cs"/>
          <w:rtl/>
        </w:rPr>
        <w:t>: ساقطة من (ب).</w:t>
      </w:r>
    </w:p>
  </w:footnote>
  <w:footnote w:id="425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من القواعد المتداولة عند الحنفية، وقد نَقَلَ غيرُ واحد منهم اتفاقَهم عليها، من ذلك:</w:t>
      </w:r>
    </w:p>
    <w:p w:rsidR="00035BE3" w:rsidRDefault="00035BE3" w:rsidP="00C10469">
      <w:pPr>
        <w:pStyle w:val="a6"/>
        <w:ind w:left="422" w:firstLine="0"/>
        <w:rPr>
          <w:rtl/>
        </w:rPr>
      </w:pPr>
      <w:r>
        <w:rPr>
          <w:rtl/>
        </w:rPr>
        <w:t>•</w:t>
      </w:r>
      <w:r>
        <w:rPr>
          <w:rFonts w:hint="cs"/>
          <w:rtl/>
        </w:rPr>
        <w:t xml:space="preserve"> ما جاء في رسائل ابن عابدين -2/96-: </w:t>
      </w:r>
      <w:r>
        <w:rPr>
          <w:rFonts w:hint="eastAsia"/>
          <w:rtl/>
        </w:rPr>
        <w:t>«</w:t>
      </w:r>
      <w:r>
        <w:rPr>
          <w:rFonts w:hint="cs"/>
          <w:rtl/>
        </w:rPr>
        <w:t>وفي (العمادية) عن (الخانية) : اتفقت الروايات على أن المدعي لو قال: لا دعوى لي قبل فلان، أوْلا خصومة لي قبله: يصح، حتى لا تسمع دعواه عليه إلا في حق حادث بعد البراءة</w:t>
      </w:r>
      <w:r>
        <w:rPr>
          <w:rFonts w:hint="eastAsia"/>
          <w:rtl/>
        </w:rPr>
        <w:t>»</w:t>
      </w:r>
      <w:r>
        <w:rPr>
          <w:rFonts w:hint="cs"/>
          <w:rtl/>
        </w:rPr>
        <w:t>-.</w:t>
      </w:r>
    </w:p>
    <w:p w:rsidR="00035BE3" w:rsidRDefault="00035BE3" w:rsidP="00C10469">
      <w:pPr>
        <w:pStyle w:val="a6"/>
        <w:ind w:left="422" w:firstLine="0"/>
        <w:rPr>
          <w:rtl/>
        </w:rPr>
      </w:pPr>
      <w:r>
        <w:rPr>
          <w:rtl/>
        </w:rPr>
        <w:t>•</w:t>
      </w:r>
      <w:r>
        <w:rPr>
          <w:rFonts w:hint="cs"/>
          <w:rtl/>
        </w:rPr>
        <w:t xml:space="preserve"> وما جاء في قرة عيون الأخيار -12/273-: </w:t>
      </w:r>
      <w:r>
        <w:rPr>
          <w:rFonts w:hint="eastAsia"/>
          <w:rtl/>
        </w:rPr>
        <w:t>«</w:t>
      </w:r>
      <w:r>
        <w:rPr>
          <w:rFonts w:hint="cs"/>
          <w:rtl/>
        </w:rPr>
        <w:t>...لِمَا أطبقوا عليه من عدم سماع الدعوى بعد الإبراء العام...</w:t>
      </w:r>
      <w:r>
        <w:rPr>
          <w:rFonts w:hint="eastAsia"/>
          <w:rtl/>
        </w:rPr>
        <w:t>»</w:t>
      </w:r>
      <w:r>
        <w:rPr>
          <w:rFonts w:hint="cs"/>
          <w:rtl/>
        </w:rPr>
        <w:t xml:space="preserve">- وانظر فيه النص السابق، 12/272-.  </w:t>
      </w:r>
    </w:p>
    <w:p w:rsidR="00035BE3" w:rsidRDefault="00035BE3" w:rsidP="00C10469">
      <w:pPr>
        <w:pStyle w:val="a6"/>
        <w:ind w:left="422" w:firstLine="0"/>
        <w:rPr>
          <w:rtl/>
        </w:rPr>
      </w:pPr>
      <w:r>
        <w:rPr>
          <w:rFonts w:hint="cs"/>
          <w:rtl/>
        </w:rPr>
        <w:t>و</w:t>
      </w:r>
      <w:r>
        <w:rPr>
          <w:rFonts w:hint="eastAsia"/>
          <w:rtl/>
        </w:rPr>
        <w:t>«</w:t>
      </w:r>
      <w:r>
        <w:rPr>
          <w:rFonts w:hint="cs"/>
          <w:b/>
          <w:bCs/>
          <w:rtl/>
        </w:rPr>
        <w:t>معنى الإبراء العام</w:t>
      </w:r>
      <w:r>
        <w:rPr>
          <w:rFonts w:hint="cs"/>
          <w:rtl/>
        </w:rPr>
        <w:t xml:space="preserve"> : أن يكون للعموم مطلقًا</w:t>
      </w:r>
      <w:r>
        <w:rPr>
          <w:rFonts w:hint="eastAsia"/>
          <w:rtl/>
        </w:rPr>
        <w:t>»</w:t>
      </w:r>
      <w:r>
        <w:rPr>
          <w:rFonts w:hint="cs"/>
          <w:rtl/>
        </w:rPr>
        <w:t xml:space="preserve"> -كذا في المرجع السابق، 12/272-. </w:t>
      </w:r>
    </w:p>
    <w:p w:rsidR="00035BE3" w:rsidRDefault="00035BE3" w:rsidP="00C10469">
      <w:pPr>
        <w:pStyle w:val="a6"/>
        <w:ind w:left="422" w:firstLine="0"/>
        <w:rPr>
          <w:spacing w:val="-4"/>
          <w:rtl/>
        </w:rPr>
      </w:pPr>
      <w:r>
        <w:rPr>
          <w:rFonts w:hint="cs"/>
          <w:spacing w:val="-2"/>
          <w:rtl/>
        </w:rPr>
        <w:t xml:space="preserve">وبهذا يظهر الفرق بين هذه القاعدة والقاعدة الثانية التي ذكرها المؤلف -ص212 (ل2/ب)- وهي: </w:t>
      </w:r>
      <w:r>
        <w:rPr>
          <w:rFonts w:hint="eastAsia"/>
          <w:spacing w:val="-2"/>
          <w:rtl/>
        </w:rPr>
        <w:t>«</w:t>
      </w:r>
      <w:r>
        <w:rPr>
          <w:rFonts w:hint="cs"/>
          <w:spacing w:val="-2"/>
          <w:rtl/>
        </w:rPr>
        <w:t>الإبراء عن الأعيان لا يجوز...</w:t>
      </w:r>
      <w:r>
        <w:rPr>
          <w:rFonts w:hint="eastAsia"/>
          <w:spacing w:val="-2"/>
          <w:rtl/>
        </w:rPr>
        <w:t>»</w:t>
      </w:r>
      <w:r>
        <w:rPr>
          <w:rFonts w:hint="cs"/>
          <w:spacing w:val="-2"/>
          <w:rtl/>
        </w:rPr>
        <w:t xml:space="preserve">؛ إذ إنهم عندما قالوا: </w:t>
      </w:r>
      <w:r>
        <w:rPr>
          <w:rFonts w:hint="eastAsia"/>
          <w:spacing w:val="-2"/>
          <w:rtl/>
        </w:rPr>
        <w:t>«</w:t>
      </w:r>
      <w:r>
        <w:rPr>
          <w:rFonts w:hint="cs"/>
          <w:spacing w:val="-2"/>
          <w:rtl/>
        </w:rPr>
        <w:t>إن الإبراء عن الأعيان باطل: فذاك في الإبراء المقيد بها؛ كما لو قال : أبرأتك عن هذه الدار أو هذا العبد</w:t>
      </w:r>
      <w:r>
        <w:rPr>
          <w:rFonts w:hint="eastAsia"/>
          <w:spacing w:val="-4"/>
          <w:rtl/>
        </w:rPr>
        <w:t>»</w:t>
      </w:r>
      <w:r>
        <w:rPr>
          <w:rFonts w:hint="cs"/>
          <w:spacing w:val="-4"/>
          <w:rtl/>
        </w:rPr>
        <w:t xml:space="preserve"> -قاله ابن عابدين في رسائله، 2/87-.</w:t>
      </w:r>
    </w:p>
    <w:p w:rsidR="00035BE3" w:rsidRDefault="00035BE3" w:rsidP="00C10469">
      <w:pPr>
        <w:pStyle w:val="a6"/>
        <w:ind w:left="422" w:firstLine="0"/>
        <w:rPr>
          <w:rtl/>
        </w:rPr>
      </w:pPr>
      <w:r>
        <w:rPr>
          <w:rFonts w:hint="cs"/>
          <w:rtl/>
        </w:rPr>
        <w:t xml:space="preserve">أما هنا: فإن الإبراء بلفظ عام؛ كما لو قال: لا حقّ لي قبل فلان، فيدخل في ذلك: </w:t>
      </w:r>
      <w:r>
        <w:rPr>
          <w:rFonts w:hint="eastAsia"/>
          <w:rtl/>
        </w:rPr>
        <w:t>«</w:t>
      </w:r>
      <w:r>
        <w:rPr>
          <w:rFonts w:hint="cs"/>
          <w:rtl/>
        </w:rPr>
        <w:t>كل عين أودين، وكل كفالة أو جناية أو إجارة أو حدّ</w:t>
      </w:r>
      <w:r>
        <w:rPr>
          <w:rFonts w:hint="eastAsia"/>
          <w:rtl/>
        </w:rPr>
        <w:t>»</w:t>
      </w:r>
      <w:r>
        <w:rPr>
          <w:rFonts w:hint="cs"/>
          <w:rtl/>
        </w:rPr>
        <w:t>، قاله ابن عابدين في رسائله (رسالة: إعلام الأعلام بأحكام الإقرار العام)، 2/96. وهذا الرسالة تناول فيها جوانب كثيرة من هذه القاعدة، وكذلك في الرسالة التي قبلها فراجعهما إن شئت.</w:t>
      </w:r>
    </w:p>
    <w:p w:rsidR="00035BE3" w:rsidRDefault="00035BE3" w:rsidP="00C10469">
      <w:pPr>
        <w:pStyle w:val="a6"/>
        <w:ind w:left="422" w:firstLine="0"/>
        <w:rPr>
          <w:rtl/>
        </w:rPr>
      </w:pPr>
      <w:r>
        <w:rPr>
          <w:rFonts w:hint="cs"/>
          <w:rtl/>
        </w:rPr>
        <w:t>ولو عدتَ إلى القاعدة: فإنها وردت بلفظها أو نحوه في كثير من كتب الفقه الحنفي وقواعده:</w:t>
      </w:r>
    </w:p>
    <w:p w:rsidR="00035BE3" w:rsidRDefault="00035BE3" w:rsidP="00C10469">
      <w:pPr>
        <w:pStyle w:val="a6"/>
        <w:ind w:left="422" w:firstLine="0"/>
        <w:rPr>
          <w:b/>
          <w:bCs/>
          <w:rtl/>
        </w:rPr>
      </w:pPr>
      <w:r>
        <w:rPr>
          <w:rFonts w:hint="cs"/>
          <w:b/>
          <w:bCs/>
          <w:rtl/>
        </w:rPr>
        <w:t>فمن كتب القواعد:</w:t>
      </w:r>
    </w:p>
    <w:p w:rsidR="00035BE3" w:rsidRDefault="00035BE3" w:rsidP="00C10469">
      <w:pPr>
        <w:pStyle w:val="a6"/>
        <w:ind w:left="422" w:firstLine="0"/>
        <w:rPr>
          <w:spacing w:val="4"/>
          <w:rtl/>
        </w:rPr>
      </w:pPr>
      <w:r>
        <w:rPr>
          <w:rFonts w:hint="cs"/>
          <w:spacing w:val="4"/>
          <w:rtl/>
        </w:rPr>
        <w:t xml:space="preserve">الأشباه والنظائر لابن نجيم، ص 252، 253 -ولفظه الثاني مطابق للفظ المؤلف، وكذلك الأول إلا أنه لم يذكر فيه أداة الاستثناء وما بعدها-؛ قواعد الفقه له أيضاً، ص 175، قاعدة 228 -ولفظه: </w:t>
      </w:r>
      <w:r>
        <w:rPr>
          <w:rFonts w:hint="eastAsia"/>
          <w:spacing w:val="4"/>
          <w:rtl/>
        </w:rPr>
        <w:t>«</w:t>
      </w:r>
      <w:r>
        <w:rPr>
          <w:rFonts w:hint="cs"/>
          <w:spacing w:val="4"/>
          <w:rtl/>
        </w:rPr>
        <w:t>إذا أبرأ إبراءً عامًّا ثم ادعى: لا تسمع دعواه، لابدين، ولا بعين، ولا بجناية، ولا بحدًّ، ولا بأرش، ولا بعيب</w:t>
      </w:r>
      <w:r>
        <w:rPr>
          <w:rFonts w:hint="eastAsia"/>
          <w:spacing w:val="4"/>
          <w:rtl/>
        </w:rPr>
        <w:t>»</w:t>
      </w:r>
      <w:r>
        <w:rPr>
          <w:rFonts w:hint="cs"/>
          <w:spacing w:val="4"/>
          <w:rtl/>
        </w:rPr>
        <w:t xml:space="preserve">-؛ الفوائد الزينية، ص 68، فائدة 59، وص 90، فائدة 86، وص 159، فائدة 201 -ولفظه الثالث قريب من لفظ المؤلف، والثاني قريب من قواعده، أمّا الأول فهو: </w:t>
      </w:r>
      <w:r w:rsidRPr="003323BE">
        <w:rPr>
          <w:rFonts w:hint="eastAsia"/>
          <w:rtl/>
        </w:rPr>
        <w:t>«</w:t>
      </w:r>
      <w:r w:rsidRPr="003323BE">
        <w:rPr>
          <w:rFonts w:hint="cs"/>
          <w:rtl/>
        </w:rPr>
        <w:t>إذا وقع الإبراء العام المطلق لا تسمع الدعوى بعده بشيء...</w:t>
      </w:r>
      <w:r w:rsidRPr="003323BE">
        <w:rPr>
          <w:rFonts w:hint="eastAsia"/>
          <w:rtl/>
        </w:rPr>
        <w:t>»</w:t>
      </w:r>
      <w:r w:rsidRPr="003323BE">
        <w:rPr>
          <w:rFonts w:hint="cs"/>
          <w:rtl/>
        </w:rPr>
        <w:t xml:space="preserve">-؛ مجامع الحقائق (الخاتمة)، ص </w:t>
      </w:r>
      <w:r>
        <w:rPr>
          <w:rFonts w:hint="cs"/>
          <w:spacing w:val="4"/>
          <w:rtl/>
        </w:rPr>
        <w:t>46؛ شرح العلائي لقواعد الخادمي، ل34/أ؛ منافع الدقائق، ص 329.</w:t>
      </w:r>
      <w:r>
        <w:rPr>
          <w:rFonts w:hint="cs"/>
          <w:spacing w:val="4"/>
          <w:rtl/>
        </w:rPr>
        <w:tab/>
      </w:r>
      <w:r>
        <w:rPr>
          <w:rFonts w:hint="cs"/>
          <w:spacing w:val="4"/>
          <w:rtl/>
        </w:rPr>
        <w:tab/>
      </w:r>
      <w:r>
        <w:rPr>
          <w:rFonts w:hint="cs"/>
          <w:spacing w:val="4"/>
          <w:rtl/>
        </w:rPr>
        <w:tab/>
        <w:t xml:space="preserve">           </w:t>
      </w:r>
    </w:p>
    <w:p w:rsidR="00035BE3" w:rsidRDefault="00035BE3" w:rsidP="00C10469">
      <w:pPr>
        <w:pStyle w:val="a6"/>
        <w:ind w:left="422" w:firstLine="0"/>
        <w:rPr>
          <w:b/>
          <w:bCs/>
          <w:rtl/>
        </w:rPr>
      </w:pPr>
      <w:r>
        <w:rPr>
          <w:rFonts w:hint="cs"/>
          <w:b/>
          <w:bCs/>
          <w:rtl/>
        </w:rPr>
        <w:t>ومن كتب الفقه:</w:t>
      </w:r>
    </w:p>
    <w:p w:rsidR="00035BE3" w:rsidRDefault="00035BE3" w:rsidP="00C10469">
      <w:pPr>
        <w:pStyle w:val="a6"/>
        <w:spacing w:line="480" w:lineRule="exact"/>
        <w:ind w:left="422" w:firstLine="0"/>
        <w:rPr>
          <w:rtl/>
        </w:rPr>
      </w:pPr>
      <w:r>
        <w:rPr>
          <w:rFonts w:hint="cs"/>
          <w:rtl/>
        </w:rPr>
        <w:t>المبسوط، 18/164؛ الفتاوى البزازية، 2/381؛ منحة الخالق على البحر الرائق، 7/262؛ رسائل ابن عابدين، 2/85، 96 -وهذان الموضعان تتضمّنهما رسالتان لهما صلة وثيقة بالقاعدة، وقد سبقت الإشارة إليهما آنفا-؛ قرة عيون الأخيار، 12/272، 273.</w:t>
      </w:r>
    </w:p>
  </w:footnote>
  <w:footnote w:id="425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تسقط</w:t>
      </w:r>
      <w:r>
        <w:rPr>
          <w:rFonts w:hint="eastAsia"/>
          <w:rtl/>
        </w:rPr>
        <w:t>»</w:t>
      </w:r>
      <w:r>
        <w:rPr>
          <w:rFonts w:hint="cs"/>
          <w:rtl/>
        </w:rPr>
        <w:t>. والأفصح ما تمّ إثباته من (د).</w:t>
      </w:r>
    </w:p>
  </w:footnote>
  <w:footnote w:id="425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الأشباه والنظائر لابن نجيم، ص 252.</w:t>
      </w:r>
    </w:p>
  </w:footnote>
  <w:footnote w:id="425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أقرّ المدعى عليه بالمال بعد إبراء المدعي له.</w:t>
      </w:r>
    </w:p>
  </w:footnote>
  <w:footnote w:id="425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الصوت</w:t>
      </w:r>
      <w:r>
        <w:rPr>
          <w:rFonts w:hint="eastAsia"/>
          <w:rtl/>
        </w:rPr>
        <w:t>»</w:t>
      </w:r>
      <w:r>
        <w:rPr>
          <w:rFonts w:hint="cs"/>
          <w:rtl/>
        </w:rPr>
        <w:t>.</w:t>
      </w:r>
    </w:p>
  </w:footnote>
  <w:footnote w:id="426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دفع</w:t>
      </w:r>
      <w:r>
        <w:rPr>
          <w:rFonts w:hint="eastAsia"/>
          <w:rtl/>
        </w:rPr>
        <w:t>»</w:t>
      </w:r>
      <w:r>
        <w:rPr>
          <w:rFonts w:hint="cs"/>
          <w:rtl/>
        </w:rPr>
        <w:t xml:space="preserve"> : ساقطة من (ب) و(د). ولعل هذا الصحيح.</w:t>
      </w:r>
    </w:p>
  </w:footnote>
  <w:footnote w:id="426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الظهرية</w:t>
      </w:r>
      <w:r>
        <w:rPr>
          <w:rFonts w:hint="eastAsia"/>
          <w:rtl/>
        </w:rPr>
        <w:t>»</w:t>
      </w:r>
      <w:r>
        <w:rPr>
          <w:rFonts w:hint="cs"/>
          <w:rtl/>
        </w:rPr>
        <w:t>. والصحيح ما تمّ إثباته من باقي النسخ.</w:t>
      </w:r>
    </w:p>
  </w:footnote>
  <w:footnote w:id="426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ل334/أ.</w:t>
      </w:r>
    </w:p>
    <w:p w:rsidR="00035BE3" w:rsidRDefault="00035BE3" w:rsidP="00C10469">
      <w:pPr>
        <w:pStyle w:val="a6"/>
        <w:ind w:left="422" w:firstLine="0"/>
        <w:rPr>
          <w:spacing w:val="8"/>
          <w:rtl/>
        </w:rPr>
      </w:pPr>
      <w:r>
        <w:rPr>
          <w:rFonts w:hint="cs"/>
          <w:spacing w:val="8"/>
          <w:rtl/>
        </w:rPr>
        <w:t>وانظر : قرة عيون الأخيار، 12/283، فقد نقل هذا المعنى عن (جامع الفصولين).</w:t>
      </w:r>
    </w:p>
  </w:footnote>
  <w:footnote w:id="426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الأشباه والنظائر لابن نجيم، ص252؛ الفوائد الزينية له أيضًا، ص91.</w:t>
      </w:r>
    </w:p>
  </w:footnote>
  <w:footnote w:id="4264">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الواو ساقطة من (جـ).</w:t>
      </w:r>
    </w:p>
  </w:footnote>
  <w:footnote w:id="4265">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64/أ من (جـ)، مع تكرار </w:t>
      </w:r>
      <w:r>
        <w:rPr>
          <w:rFonts w:hint="eastAsia"/>
          <w:rtl/>
        </w:rPr>
        <w:t>«</w:t>
      </w:r>
      <w:r>
        <w:rPr>
          <w:rFonts w:hint="cs"/>
          <w:rtl/>
        </w:rPr>
        <w:t>لي</w:t>
      </w:r>
      <w:r>
        <w:rPr>
          <w:rFonts w:hint="eastAsia"/>
          <w:rtl/>
        </w:rPr>
        <w:t>»</w:t>
      </w:r>
      <w:r>
        <w:rPr>
          <w:rFonts w:hint="cs"/>
          <w:rtl/>
        </w:rPr>
        <w:t xml:space="preserve"> في بداية اللوحة التي تليها.</w:t>
      </w:r>
    </w:p>
  </w:footnote>
  <w:footnote w:id="4266">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فتاوى قاضي خان، 3/145؛ الأشباه لابن نجيم، ص252؛ الفوائد الزينية، ص90-91؛ رسائل ابن عابدين، 2/107.</w:t>
      </w:r>
    </w:p>
  </w:footnote>
  <w:footnote w:id="4267">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الأشباه والنظائر لابن نـجيم، ص252؛ الفوائـد الزينية له أيضًا، ص68؛ رسائل ابن عابدين، 2/89، 108-110؛ قرة عيون الأخيار، 12/273.</w:t>
      </w:r>
    </w:p>
  </w:footnote>
  <w:footnote w:id="4268">
    <w:p w:rsidR="00035BE3" w:rsidRDefault="00035BE3" w:rsidP="00C10469">
      <w:pPr>
        <w:pStyle w:val="a8"/>
        <w:bidi/>
        <w:ind w:left="420"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تصح</w:t>
      </w:r>
      <w:r>
        <w:rPr>
          <w:rFonts w:hint="eastAsia"/>
          <w:rtl/>
        </w:rPr>
        <w:t>»</w:t>
      </w:r>
      <w:r>
        <w:rPr>
          <w:rFonts w:hint="cs"/>
          <w:rtl/>
        </w:rPr>
        <w:t>.</w:t>
      </w:r>
    </w:p>
  </w:footnote>
  <w:footnote w:id="4269">
    <w:p w:rsidR="00035BE3" w:rsidRDefault="00035BE3" w:rsidP="00C10469">
      <w:pPr>
        <w:pStyle w:val="a8"/>
        <w:bidi/>
        <w:ind w:left="420" w:right="0"/>
        <w:rPr>
          <w:rtl/>
        </w:rPr>
      </w:pPr>
      <w:r>
        <w:rPr>
          <w:vertAlign w:val="superscript"/>
          <w:rtl/>
        </w:rPr>
        <w:t>(</w:t>
      </w:r>
      <w:r>
        <w:rPr>
          <w:rStyle w:val="a7"/>
        </w:rPr>
        <w:footnoteRef/>
      </w:r>
      <w:r>
        <w:rPr>
          <w:rFonts w:hint="cs"/>
          <w:vertAlign w:val="superscript"/>
          <w:rtl/>
        </w:rPr>
        <w:t>)</w:t>
      </w:r>
      <w:r>
        <w:rPr>
          <w:rFonts w:hint="cs"/>
          <w:rtl/>
        </w:rPr>
        <w:t xml:space="preserve">   هذه قاعدة سبق أن تحدث المؤلف عنها استقلالاً، ص212 (ل2/ب)، قاعدة 2.</w:t>
      </w:r>
    </w:p>
    <w:p w:rsidR="00035BE3" w:rsidRDefault="00035BE3" w:rsidP="00C10469">
      <w:pPr>
        <w:pStyle w:val="a6"/>
        <w:ind w:left="420" w:firstLine="0"/>
        <w:rPr>
          <w:rtl/>
        </w:rPr>
      </w:pPr>
      <w:r>
        <w:rPr>
          <w:rFonts w:hint="cs"/>
          <w:rtl/>
        </w:rPr>
        <w:t>وجواب المؤلف يرد عليه : أنه أبرأه إبراءً عامًّا، لاخاصًّا بعين معينة، والإبراء العام يدخل فيه كل عين أو دين ...- كما سبق بيان ذلك، ص 976-.</w:t>
      </w:r>
    </w:p>
    <w:p w:rsidR="00035BE3" w:rsidRDefault="00035BE3" w:rsidP="00C10469">
      <w:pPr>
        <w:pStyle w:val="a6"/>
        <w:ind w:left="420" w:firstLine="0"/>
        <w:rPr>
          <w:spacing w:val="-6"/>
          <w:rtl/>
        </w:rPr>
      </w:pPr>
      <w:r>
        <w:rPr>
          <w:rFonts w:hint="cs"/>
          <w:spacing w:val="-6"/>
          <w:rtl/>
        </w:rPr>
        <w:t xml:space="preserve">وهذه المسألة من المسائل التي </w:t>
      </w:r>
      <w:r>
        <w:rPr>
          <w:rFonts w:hint="eastAsia"/>
          <w:spacing w:val="-6"/>
          <w:rtl/>
        </w:rPr>
        <w:t>«</w:t>
      </w:r>
      <w:r>
        <w:rPr>
          <w:rFonts w:hint="cs"/>
          <w:spacing w:val="-6"/>
          <w:rtl/>
        </w:rPr>
        <w:t>تحيّر العلماء الأعلام في وجه استثنائها، وذكروا له طرقًا، أحسنها ما قاله شيخ الإسلام القاضي عبد البر ابن الشحنة ... أنه إنما تسمع دعوى الوارث على الوصي استحسانًا لا قياسًا؛ لقوة شبهة عدم معرفته بما يستحقه من قبل والده؛ لقيام الجهل بمعرفة ما لوالده على جهة التفصيل والتحرير.</w:t>
      </w:r>
    </w:p>
    <w:p w:rsidR="00035BE3" w:rsidRDefault="00035BE3" w:rsidP="00C10469">
      <w:pPr>
        <w:pStyle w:val="a6"/>
        <w:ind w:left="420" w:firstLine="0"/>
        <w:rPr>
          <w:rtl/>
        </w:rPr>
      </w:pPr>
      <w:r>
        <w:rPr>
          <w:rFonts w:hint="cs"/>
          <w:rtl/>
        </w:rPr>
        <w:t>بخلاف ما إذا كان مثلُ هذا الإشهاد مجرّدًا عن سابقيّة الجهل المذكور، فاستحسنوا سماع دعواه هنا</w:t>
      </w:r>
      <w:r>
        <w:rPr>
          <w:rFonts w:hint="eastAsia"/>
          <w:rtl/>
        </w:rPr>
        <w:t>»</w:t>
      </w:r>
      <w:r>
        <w:rPr>
          <w:rFonts w:hint="cs"/>
          <w:rtl/>
        </w:rPr>
        <w:t>- قاله ابن عابدين في رسائله، 2/89-.</w:t>
      </w:r>
    </w:p>
  </w:footnote>
  <w:footnote w:id="4270">
    <w:p w:rsidR="00035BE3" w:rsidRDefault="00035BE3" w:rsidP="00C10469">
      <w:pPr>
        <w:pStyle w:val="a8"/>
        <w:bidi/>
        <w:ind w:left="420" w:right="0"/>
        <w:rPr>
          <w:rtl/>
        </w:rPr>
      </w:pPr>
      <w:r>
        <w:rPr>
          <w:vertAlign w:val="superscript"/>
          <w:rtl/>
        </w:rPr>
        <w:t>(</w:t>
      </w:r>
      <w:r>
        <w:rPr>
          <w:rStyle w:val="a7"/>
        </w:rPr>
        <w:footnoteRef/>
      </w:r>
      <w:r>
        <w:rPr>
          <w:rFonts w:hint="cs"/>
          <w:vertAlign w:val="superscript"/>
          <w:rtl/>
        </w:rPr>
        <w:t>)</w:t>
      </w:r>
      <w:r>
        <w:rPr>
          <w:rFonts w:hint="cs"/>
          <w:rtl/>
        </w:rPr>
        <w:t xml:space="preserve">   نهاية 87/أ من (أ).</w:t>
      </w:r>
    </w:p>
  </w:footnote>
  <w:footnote w:id="4271">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انظر: الفتاوى البزازية، 2/355؛ الأشباه والنظائر لابن نجيم، ص252؛ قواعد الفقه له أيضًا، ص175؛ الفوائد الزينية، ص68، 91.</w:t>
      </w:r>
    </w:p>
  </w:footnote>
  <w:footnote w:id="42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هذا إشارة إلى قاعدة سبق الحديث عنها استقلالاً، وهي : </w:t>
      </w:r>
      <w:r>
        <w:rPr>
          <w:rFonts w:hint="eastAsia"/>
          <w:rtl/>
        </w:rPr>
        <w:t>«</w:t>
      </w:r>
      <w:r>
        <w:rPr>
          <w:rFonts w:hint="cs"/>
          <w:rtl/>
        </w:rPr>
        <w:t>تغيير المشروع باطل</w:t>
      </w:r>
      <w:r>
        <w:rPr>
          <w:rFonts w:hint="eastAsia"/>
          <w:rtl/>
        </w:rPr>
        <w:t>»</w:t>
      </w:r>
      <w:r>
        <w:rPr>
          <w:rFonts w:hint="cs"/>
          <w:rtl/>
        </w:rPr>
        <w:t xml:space="preserve"> وذلك صفحة 519 (ل34/ب)، قاعدة 78.</w:t>
      </w:r>
    </w:p>
  </w:footnote>
  <w:footnote w:id="427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كما</w:t>
      </w:r>
      <w:r>
        <w:rPr>
          <w:rFonts w:hint="eastAsia"/>
          <w:rtl/>
        </w:rPr>
        <w:t>»</w:t>
      </w:r>
      <w:r>
        <w:rPr>
          <w:rFonts w:hint="cs"/>
          <w:rtl/>
        </w:rPr>
        <w:t>.</w:t>
      </w:r>
    </w:p>
  </w:footnote>
  <w:footnote w:id="427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ما قاله آنفًا قبل بضعة سطور.</w:t>
      </w:r>
    </w:p>
  </w:footnote>
  <w:footnote w:id="427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المستثناة</w:t>
      </w:r>
      <w:r>
        <w:rPr>
          <w:rFonts w:hint="eastAsia"/>
          <w:rtl/>
        </w:rPr>
        <w:t>»</w:t>
      </w:r>
      <w:r>
        <w:rPr>
          <w:rFonts w:hint="cs"/>
          <w:rtl/>
        </w:rPr>
        <w:t>. والصواب ما تمّ إثباته من (د). ولو قيل : (وفي هذه المستثنيات) لكان مناسبًا.</w:t>
      </w:r>
    </w:p>
  </w:footnote>
  <w:footnote w:id="427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فضائر</w:t>
      </w:r>
      <w:r>
        <w:rPr>
          <w:rFonts w:hint="eastAsia"/>
          <w:rtl/>
        </w:rPr>
        <w:t>»</w:t>
      </w:r>
      <w:r>
        <w:rPr>
          <w:rFonts w:hint="cs"/>
          <w:rtl/>
        </w:rPr>
        <w:t>. والصحيح ما تمَّ إثباته من (جـ) و(هـ) و(و).</w:t>
      </w:r>
    </w:p>
  </w:footnote>
  <w:footnote w:id="427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احتراز</w:t>
      </w:r>
      <w:r>
        <w:rPr>
          <w:rFonts w:hint="eastAsia"/>
          <w:rtl/>
        </w:rPr>
        <w:t>»</w:t>
      </w:r>
      <w:r>
        <w:rPr>
          <w:rFonts w:hint="cs"/>
          <w:rtl/>
        </w:rPr>
        <w:t>. والصواب ما تمَّ إثباته من (ب) و(د)؛ لأنها مفعول لأجله.</w:t>
      </w:r>
    </w:p>
  </w:footnote>
  <w:footnote w:id="427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ورد هذا الضابط بلفظه أو نحوه في عدد من كتب الفقه وقواعده :</w:t>
      </w:r>
    </w:p>
    <w:p w:rsidR="00035BE3" w:rsidRDefault="00035BE3" w:rsidP="00C10469">
      <w:pPr>
        <w:pStyle w:val="a6"/>
        <w:ind w:left="422" w:firstLine="0"/>
        <w:rPr>
          <w:b/>
          <w:bCs/>
          <w:rtl/>
        </w:rPr>
      </w:pPr>
      <w:r>
        <w:rPr>
          <w:rFonts w:hint="cs"/>
          <w:b/>
          <w:bCs/>
          <w:rtl/>
        </w:rPr>
        <w:t>فمن كتب القواعد :</w:t>
      </w:r>
    </w:p>
    <w:p w:rsidR="00035BE3" w:rsidRDefault="00035BE3" w:rsidP="00C10469">
      <w:pPr>
        <w:pStyle w:val="a6"/>
        <w:ind w:left="422" w:firstLine="0"/>
        <w:rPr>
          <w:spacing w:val="6"/>
          <w:rtl/>
        </w:rPr>
      </w:pPr>
      <w:r>
        <w:rPr>
          <w:rFonts w:hint="cs"/>
          <w:spacing w:val="6"/>
          <w:rtl/>
        </w:rPr>
        <w:t xml:space="preserve">الأشباه والنظائر لابن نجيم، ص257- وفي آخر لفظه : </w:t>
      </w:r>
      <w:r>
        <w:rPr>
          <w:rFonts w:hint="eastAsia"/>
          <w:spacing w:val="6"/>
          <w:rtl/>
        </w:rPr>
        <w:t>«</w:t>
      </w:r>
      <w:r>
        <w:rPr>
          <w:rFonts w:hint="cs"/>
          <w:spacing w:val="6"/>
          <w:rtl/>
        </w:rPr>
        <w:t>... على مقر</w:t>
      </w:r>
      <w:r>
        <w:rPr>
          <w:rFonts w:hint="eastAsia"/>
          <w:spacing w:val="6"/>
          <w:rtl/>
        </w:rPr>
        <w:t>»</w:t>
      </w:r>
      <w:r>
        <w:rPr>
          <w:rFonts w:hint="cs"/>
          <w:spacing w:val="6"/>
          <w:rtl/>
        </w:rPr>
        <w:t xml:space="preserve">-؛ قواعد الفقه له أيضًا، ص148، قاعدة 166، وص262، قاعدة 356- ولفظه الثاني مطابق للفظ المؤلف، أما الأول فهو : </w:t>
      </w:r>
      <w:r>
        <w:rPr>
          <w:rFonts w:hint="eastAsia"/>
          <w:spacing w:val="6"/>
          <w:rtl/>
        </w:rPr>
        <w:t>«</w:t>
      </w:r>
      <w:r>
        <w:rPr>
          <w:rFonts w:hint="cs"/>
          <w:spacing w:val="6"/>
          <w:rtl/>
        </w:rPr>
        <w:t>الإقرار لا يجامع البينة، ولا قبول لها معه</w:t>
      </w:r>
      <w:r>
        <w:rPr>
          <w:rFonts w:hint="eastAsia"/>
          <w:spacing w:val="6"/>
          <w:rtl/>
        </w:rPr>
        <w:t>»</w:t>
      </w:r>
      <w:r>
        <w:rPr>
          <w:rFonts w:hint="cs"/>
          <w:spacing w:val="6"/>
          <w:rtl/>
        </w:rPr>
        <w:t xml:space="preserve">-؛ القواعد والضوابط المستخلصة من التحرير، ص483- ولفظه : </w:t>
      </w:r>
      <w:r>
        <w:rPr>
          <w:rFonts w:hint="eastAsia"/>
          <w:spacing w:val="6"/>
          <w:rtl/>
        </w:rPr>
        <w:t>«</w:t>
      </w:r>
      <w:r>
        <w:rPr>
          <w:rFonts w:hint="cs"/>
          <w:spacing w:val="6"/>
          <w:rtl/>
        </w:rPr>
        <w:t>البينة على المقر باطلة؛ هو الأصل</w:t>
      </w:r>
      <w:r>
        <w:rPr>
          <w:rFonts w:hint="eastAsia"/>
          <w:spacing w:val="6"/>
          <w:rtl/>
        </w:rPr>
        <w:t>»</w:t>
      </w:r>
      <w:r>
        <w:rPr>
          <w:rFonts w:hint="cs"/>
          <w:spacing w:val="6"/>
          <w:rtl/>
        </w:rPr>
        <w:t>-؛ موسوعة القواعد الفـقهية، 3/134- ولفظه قريب من اللفظ السابق-.</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spacing w:val="-8"/>
          <w:sz w:val="29"/>
          <w:szCs w:val="29"/>
          <w:rtl/>
        </w:rPr>
      </w:pPr>
      <w:r>
        <w:rPr>
          <w:rFonts w:hint="cs"/>
          <w:spacing w:val="-8"/>
          <w:sz w:val="29"/>
          <w:szCs w:val="29"/>
          <w:rtl/>
        </w:rPr>
        <w:t>فتح القدير، 7/308؛ مغني المحتاج، 7/407؛ الدر المختار ورد المحتار، 8/349؛ قرة عيون الأخيار، 11/578.</w:t>
      </w:r>
    </w:p>
  </w:footnote>
  <w:footnote w:id="427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نسمع</w:t>
      </w:r>
      <w:r>
        <w:rPr>
          <w:rFonts w:hint="eastAsia"/>
          <w:rtl/>
        </w:rPr>
        <w:t>»</w:t>
      </w:r>
      <w:r>
        <w:rPr>
          <w:rFonts w:hint="cs"/>
          <w:rtl/>
        </w:rPr>
        <w:t>.</w:t>
      </w:r>
    </w:p>
  </w:footnote>
  <w:footnote w:id="428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قاعدة سبق أن تحدث المؤلف عنها، ص597 (ل41/أ)، قاعدة 99.</w:t>
      </w:r>
    </w:p>
  </w:footnote>
  <w:footnote w:id="42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لتعدي الوارثِ المقرِّ على بقية الورثة.</w:t>
      </w:r>
    </w:p>
  </w:footnote>
  <w:footnote w:id="428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ولذا</w:t>
      </w:r>
      <w:r>
        <w:rPr>
          <w:rFonts w:hint="eastAsia"/>
          <w:rtl/>
        </w:rPr>
        <w:t>»</w:t>
      </w:r>
      <w:r>
        <w:rPr>
          <w:rFonts w:hint="cs"/>
          <w:rtl/>
        </w:rPr>
        <w:t>.</w:t>
      </w:r>
    </w:p>
  </w:footnote>
  <w:footnote w:id="428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أمثلة القاعدة هذه سبق أن ذكرها المؤلف عند حديثه عن قاعدة : </w:t>
      </w:r>
      <w:r>
        <w:rPr>
          <w:rFonts w:hint="eastAsia"/>
          <w:rtl/>
        </w:rPr>
        <w:t>«</w:t>
      </w:r>
      <w:r>
        <w:rPr>
          <w:rFonts w:hint="cs"/>
          <w:rtl/>
        </w:rPr>
        <w:t>جاز إقامة البينة مع الإقرار في كل موضع يتوقع الضرر من غير المقر لولاها</w:t>
      </w:r>
      <w:r>
        <w:rPr>
          <w:rFonts w:hint="eastAsia"/>
          <w:rtl/>
        </w:rPr>
        <w:t>»</w:t>
      </w:r>
      <w:r>
        <w:rPr>
          <w:rFonts w:hint="cs"/>
          <w:rtl/>
        </w:rPr>
        <w:t>، وذلك ص597-. فما قيل في توثيقها هناك يقال هنا.</w:t>
      </w:r>
    </w:p>
  </w:footnote>
  <w:footnote w:id="428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55/ب من (ب).</w:t>
      </w:r>
    </w:p>
  </w:footnote>
  <w:footnote w:id="4285">
    <w:p w:rsidR="00035BE3" w:rsidRDefault="00035BE3" w:rsidP="00C10469">
      <w:pPr>
        <w:pStyle w:val="a8"/>
        <w:bidi/>
        <w:spacing w:line="460" w:lineRule="exact"/>
        <w:ind w:left="422" w:right="0"/>
        <w:rPr>
          <w:color w:val="000000"/>
          <w:rtl/>
        </w:rPr>
      </w:pPr>
      <w:r>
        <w:rPr>
          <w:color w:val="FFFFFF"/>
          <w:vertAlign w:val="superscript"/>
          <w:rtl/>
        </w:rPr>
        <w:t>(</w:t>
      </w:r>
      <w:r>
        <w:rPr>
          <w:rStyle w:val="a7"/>
          <w:color w:val="FFFFFF"/>
        </w:rPr>
        <w:footnoteRef/>
      </w:r>
      <w:r>
        <w:rPr>
          <w:rFonts w:hint="cs"/>
          <w:color w:val="FFFFFF"/>
          <w:vertAlign w:val="superscript"/>
          <w:rtl/>
        </w:rPr>
        <w:t>)</w:t>
      </w:r>
      <w:r>
        <w:rPr>
          <w:rFonts w:hint="cs"/>
          <w:color w:val="FFFFFF"/>
          <w:rtl/>
        </w:rPr>
        <w:t xml:space="preserve">  </w:t>
      </w:r>
      <w:r>
        <w:rPr>
          <w:rFonts w:hint="cs"/>
          <w:color w:val="000000"/>
          <w:u w:val="single"/>
          <w:rtl/>
        </w:rPr>
        <w:t xml:space="preserve">* </w:t>
      </w:r>
      <w:r>
        <w:rPr>
          <w:rFonts w:hint="cs"/>
          <w:b/>
          <w:bCs/>
          <w:color w:val="000000"/>
          <w:u w:val="single"/>
          <w:rtl/>
        </w:rPr>
        <w:t>تنبيه</w:t>
      </w:r>
      <w:r>
        <w:rPr>
          <w:rFonts w:hint="cs"/>
          <w:color w:val="000000"/>
          <w:rtl/>
        </w:rPr>
        <w:t xml:space="preserve"> : هذه القاعدة والتي تليها ليستا موجودتين في (أ) و(ب) و(د)؛ لهذا ستُعامل نسخة (جـ) على أنها الأصل، وتقابل عليها نسختا (هـ) و(و).</w:t>
      </w:r>
    </w:p>
    <w:p w:rsidR="00035BE3" w:rsidRDefault="00035BE3" w:rsidP="00C10469">
      <w:pPr>
        <w:pStyle w:val="a8"/>
        <w:bidi/>
        <w:spacing w:line="460" w:lineRule="exact"/>
        <w:ind w:left="422" w:right="0"/>
        <w:rPr>
          <w:rtl/>
        </w:rPr>
      </w:pPr>
      <w:r>
        <w:rPr>
          <w:rFonts w:hint="cs"/>
          <w:vertAlign w:val="superscript"/>
          <w:rtl/>
        </w:rPr>
        <w:t>(</w:t>
      </w:r>
      <w:r>
        <w:rPr>
          <w:rFonts w:hint="cs"/>
          <w:b/>
          <w:bCs/>
          <w:vertAlign w:val="superscript"/>
          <w:rtl/>
        </w:rPr>
        <w:t>1</w:t>
      </w:r>
      <w:r>
        <w:rPr>
          <w:rFonts w:hint="cs"/>
          <w:vertAlign w:val="superscript"/>
          <w:rtl/>
        </w:rPr>
        <w:t>)</w:t>
      </w:r>
      <w:r>
        <w:rPr>
          <w:rFonts w:hint="cs"/>
          <w:rtl/>
        </w:rPr>
        <w:t xml:space="preserve">   في (جـ) : </w:t>
      </w:r>
      <w:r>
        <w:rPr>
          <w:rFonts w:hint="eastAsia"/>
          <w:rtl/>
        </w:rPr>
        <w:t>«</w:t>
      </w:r>
      <w:r>
        <w:rPr>
          <w:rFonts w:hint="cs"/>
          <w:rtl/>
        </w:rPr>
        <w:t>بغيره</w:t>
      </w:r>
      <w:r>
        <w:rPr>
          <w:rFonts w:hint="eastAsia"/>
          <w:rtl/>
        </w:rPr>
        <w:t>»</w:t>
      </w:r>
      <w:r>
        <w:rPr>
          <w:rFonts w:hint="cs"/>
          <w:rtl/>
        </w:rPr>
        <w:t xml:space="preserve">، وفي (هـ) و(و) : </w:t>
      </w:r>
      <w:r>
        <w:rPr>
          <w:rFonts w:hint="eastAsia"/>
          <w:rtl/>
        </w:rPr>
        <w:t>«</w:t>
      </w:r>
      <w:r>
        <w:rPr>
          <w:rFonts w:hint="cs"/>
          <w:rtl/>
        </w:rPr>
        <w:t>بغير إذنه</w:t>
      </w:r>
      <w:r>
        <w:rPr>
          <w:rFonts w:hint="eastAsia"/>
          <w:rtl/>
        </w:rPr>
        <w:t>»</w:t>
      </w:r>
      <w:r>
        <w:rPr>
          <w:rFonts w:hint="cs"/>
          <w:rtl/>
        </w:rPr>
        <w:t>. وهذا الصواب.</w:t>
      </w:r>
    </w:p>
  </w:footnote>
  <w:footnote w:id="4286">
    <w:p w:rsidR="00035BE3" w:rsidRDefault="00035BE3" w:rsidP="00C10469">
      <w:pPr>
        <w:pStyle w:val="a8"/>
        <w:bidi/>
        <w:spacing w:line="46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بنحو هذا اللفظ أو معناه في بعض كتب الفقه الحنفي وقواعده :</w:t>
      </w:r>
    </w:p>
    <w:p w:rsidR="00035BE3" w:rsidRDefault="00035BE3" w:rsidP="00C10469">
      <w:pPr>
        <w:pStyle w:val="a6"/>
        <w:spacing w:line="460" w:lineRule="exact"/>
        <w:ind w:left="422" w:firstLine="0"/>
        <w:rPr>
          <w:b/>
          <w:bCs/>
          <w:rtl/>
        </w:rPr>
      </w:pPr>
      <w:r>
        <w:rPr>
          <w:rFonts w:hint="cs"/>
          <w:b/>
          <w:bCs/>
          <w:rtl/>
        </w:rPr>
        <w:t>فمن كتب القواعد :</w:t>
      </w:r>
    </w:p>
    <w:p w:rsidR="00035BE3" w:rsidRDefault="00035BE3" w:rsidP="00C10469">
      <w:pPr>
        <w:pStyle w:val="a6"/>
        <w:spacing w:line="460" w:lineRule="exact"/>
        <w:ind w:left="422" w:firstLine="0"/>
        <w:rPr>
          <w:spacing w:val="-2"/>
          <w:rtl/>
        </w:rPr>
      </w:pPr>
      <w:r>
        <w:rPr>
          <w:rFonts w:hint="cs"/>
          <w:spacing w:val="-2"/>
          <w:rtl/>
        </w:rPr>
        <w:t xml:space="preserve">الأشباه لابن نجيم، ص254- ولفظه : </w:t>
      </w:r>
      <w:r>
        <w:rPr>
          <w:rFonts w:hint="eastAsia"/>
          <w:spacing w:val="-2"/>
          <w:rtl/>
        </w:rPr>
        <w:t>«</w:t>
      </w:r>
      <w:r>
        <w:rPr>
          <w:rFonts w:hint="cs"/>
          <w:spacing w:val="-2"/>
          <w:rtl/>
        </w:rPr>
        <w:t>لا ينتصب أحد خصمًا عن أحد بغير وكالة ونيابة وولاية</w:t>
      </w:r>
      <w:r>
        <w:rPr>
          <w:rFonts w:hint="eastAsia"/>
          <w:spacing w:val="-2"/>
          <w:rtl/>
        </w:rPr>
        <w:t>»</w:t>
      </w:r>
      <w:r>
        <w:rPr>
          <w:rFonts w:hint="cs"/>
          <w:spacing w:val="-2"/>
          <w:rtl/>
        </w:rPr>
        <w:t xml:space="preserve">-؛ الفوائد الزينية له أيضًا، ص177، فائدة 222- ولفظه قريب من اللفظ السابق-؛ المدخل الفقهي العام، 2/1087، فقرة 710 - ولفظه : </w:t>
      </w:r>
      <w:r>
        <w:rPr>
          <w:rFonts w:hint="eastAsia"/>
          <w:spacing w:val="-2"/>
          <w:rtl/>
        </w:rPr>
        <w:t>«</w:t>
      </w:r>
      <w:r>
        <w:rPr>
          <w:rFonts w:hint="cs"/>
          <w:spacing w:val="-2"/>
          <w:rtl/>
        </w:rPr>
        <w:t>كل من أدّى حقًّا عن الغير بلا إذن أو ولاية فهو متبرع، ما لم يكن مضطرًّا</w:t>
      </w:r>
      <w:r>
        <w:rPr>
          <w:rFonts w:hint="eastAsia"/>
          <w:spacing w:val="-2"/>
          <w:rtl/>
        </w:rPr>
        <w:t>»</w:t>
      </w:r>
      <w:r>
        <w:rPr>
          <w:rFonts w:hint="cs"/>
          <w:spacing w:val="-2"/>
          <w:rtl/>
        </w:rPr>
        <w:t>، وقد أحال معناها إلى الفرائد البهية للحمزاوي، فانظر منها  ص239.</w:t>
      </w:r>
    </w:p>
    <w:p w:rsidR="00035BE3" w:rsidRDefault="00035BE3" w:rsidP="00C10469">
      <w:pPr>
        <w:pStyle w:val="a6"/>
        <w:spacing w:line="460" w:lineRule="exact"/>
        <w:ind w:left="422" w:firstLine="0"/>
        <w:rPr>
          <w:rtl/>
        </w:rPr>
      </w:pPr>
      <w:r>
        <w:rPr>
          <w:rFonts w:hint="cs"/>
          <w:b/>
          <w:bCs/>
          <w:rtl/>
        </w:rPr>
        <w:t>ومن كتب الفقه</w:t>
      </w:r>
      <w:r>
        <w:rPr>
          <w:rFonts w:hint="cs"/>
          <w:rtl/>
        </w:rPr>
        <w:t xml:space="preserve"> :</w:t>
      </w:r>
    </w:p>
    <w:p w:rsidR="00035BE3" w:rsidRDefault="00035BE3" w:rsidP="00C10469">
      <w:pPr>
        <w:pStyle w:val="a6"/>
        <w:spacing w:line="460" w:lineRule="exact"/>
        <w:ind w:left="422" w:firstLine="0"/>
        <w:rPr>
          <w:rtl/>
        </w:rPr>
      </w:pPr>
      <w:r>
        <w:rPr>
          <w:rFonts w:hint="cs"/>
          <w:rtl/>
        </w:rPr>
        <w:t>الدرر شرح الغرر، 2/323؛ تنوير الأبصار والدر المختار ورد المحتار، 8/99-101.</w:t>
      </w:r>
    </w:p>
  </w:footnote>
  <w:footnote w:id="4287">
    <w:p w:rsidR="00035BE3" w:rsidRDefault="00035BE3" w:rsidP="00C10469">
      <w:pPr>
        <w:pStyle w:val="a8"/>
        <w:bidi/>
        <w:spacing w:line="46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مسألة : انتصاب أحد الشريكين في الدين خصمًا عن الآخر إما أن تكون من جهة الإرث أو غيره:</w:t>
      </w:r>
    </w:p>
    <w:p w:rsidR="00035BE3" w:rsidRDefault="00035BE3" w:rsidP="00C10469">
      <w:pPr>
        <w:pStyle w:val="a6"/>
        <w:spacing w:line="460" w:lineRule="exact"/>
        <w:ind w:left="422" w:firstLine="0"/>
        <w:rPr>
          <w:spacing w:val="-8"/>
          <w:rtl/>
        </w:rPr>
      </w:pPr>
      <w:r>
        <w:rPr>
          <w:rFonts w:ascii="Wingdings" w:hAnsi="Wingdings" w:cs="Wingdings"/>
          <w:szCs w:val="20"/>
          <w:lang w:val="en-US"/>
        </w:rPr>
        <w:t></w:t>
      </w:r>
      <w:r>
        <w:rPr>
          <w:rFonts w:hint="cs"/>
          <w:spacing w:val="-8"/>
          <w:rtl/>
        </w:rPr>
        <w:t xml:space="preserve"> فإن كانت من جهة الإرث فإن أحدهما ينتصب خصمًا عن الآخر بالاتفاق بين الإمام أبي حنيفة وصاحبيه.</w:t>
      </w:r>
    </w:p>
    <w:p w:rsidR="00035BE3" w:rsidRDefault="00035BE3" w:rsidP="00C10469">
      <w:pPr>
        <w:pStyle w:val="a6"/>
        <w:spacing w:line="460" w:lineRule="exact"/>
        <w:ind w:left="422" w:firstLine="0"/>
        <w:rPr>
          <w:rtl/>
        </w:rPr>
      </w:pPr>
      <w:r>
        <w:t xml:space="preserve"> </w:t>
      </w:r>
      <w:r>
        <w:rPr>
          <w:rFonts w:ascii="Wingdings" w:hAnsi="Wingdings" w:cs="Wingdings"/>
          <w:szCs w:val="20"/>
          <w:lang w:val="en-US"/>
        </w:rPr>
        <w:t></w:t>
      </w:r>
      <w:r>
        <w:rPr>
          <w:rFonts w:hint="cs"/>
          <w:rtl/>
        </w:rPr>
        <w:t xml:space="preserve"> وإن كانت في غير الإرث فقد حصل  فيها خلاف بينهم:</w:t>
      </w:r>
    </w:p>
    <w:p w:rsidR="00035BE3" w:rsidRDefault="00035BE3" w:rsidP="00C10469">
      <w:pPr>
        <w:pStyle w:val="a6"/>
        <w:spacing w:line="460" w:lineRule="exact"/>
        <w:ind w:left="422" w:firstLine="0"/>
        <w:rPr>
          <w:rtl/>
        </w:rPr>
      </w:pPr>
      <w:r>
        <w:rPr>
          <w:rtl/>
        </w:rPr>
        <w:t>•</w:t>
      </w:r>
      <w:r>
        <w:rPr>
          <w:rFonts w:hint="cs"/>
          <w:rtl/>
        </w:rPr>
        <w:t xml:space="preserve"> فذهب أبو حنيفة إلى عدم جواز ذلك.</w:t>
      </w:r>
    </w:p>
    <w:p w:rsidR="00035BE3" w:rsidRDefault="00035BE3" w:rsidP="00C10469">
      <w:pPr>
        <w:pStyle w:val="a6"/>
        <w:spacing w:line="460" w:lineRule="exact"/>
        <w:ind w:left="422" w:firstLine="0"/>
        <w:rPr>
          <w:rtl/>
        </w:rPr>
      </w:pPr>
      <w:r>
        <w:rPr>
          <w:rtl/>
        </w:rPr>
        <w:t>•</w:t>
      </w:r>
      <w:r>
        <w:rPr>
          <w:rFonts w:hint="cs"/>
          <w:rtl/>
        </w:rPr>
        <w:t xml:space="preserve"> وذهبا إلى جواز ذلك.</w:t>
      </w:r>
    </w:p>
    <w:p w:rsidR="00035BE3" w:rsidRDefault="00035BE3" w:rsidP="00C10469">
      <w:pPr>
        <w:pStyle w:val="a6"/>
        <w:spacing w:line="460" w:lineRule="exact"/>
        <w:ind w:left="422" w:firstLine="0"/>
        <w:rPr>
          <w:rtl/>
        </w:rPr>
      </w:pPr>
      <w:r>
        <w:rPr>
          <w:rFonts w:hint="cs"/>
          <w:rtl/>
        </w:rPr>
        <w:t xml:space="preserve">جاء ذلك في البحر الرائق، حيث قال: </w:t>
      </w:r>
      <w:r>
        <w:rPr>
          <w:rFonts w:hint="eastAsia"/>
          <w:rtl/>
        </w:rPr>
        <w:t>«</w:t>
      </w:r>
      <w:r>
        <w:rPr>
          <w:rFonts w:hint="cs"/>
          <w:rtl/>
        </w:rPr>
        <w:t xml:space="preserve">وفي (جامع الفصولين) من الرابع: الحاصل: أن أحد شريكي </w:t>
      </w:r>
    </w:p>
    <w:p w:rsidR="00035BE3" w:rsidRDefault="00035BE3" w:rsidP="00C10469">
      <w:pPr>
        <w:pStyle w:val="a6"/>
        <w:spacing w:line="460" w:lineRule="exact"/>
        <w:ind w:left="422" w:firstLine="0"/>
        <w:rPr>
          <w:rtl/>
        </w:rPr>
      </w:pPr>
      <w:r>
        <w:rPr>
          <w:rFonts w:hint="cs"/>
          <w:rtl/>
        </w:rPr>
        <w:t>الدين خصم عن الآخر في الإرث وفاقًا.</w:t>
      </w:r>
    </w:p>
    <w:p w:rsidR="00035BE3" w:rsidRDefault="00035BE3" w:rsidP="00C10469">
      <w:pPr>
        <w:pStyle w:val="a6"/>
        <w:spacing w:line="460" w:lineRule="exact"/>
        <w:ind w:left="422" w:firstLine="0"/>
        <w:rPr>
          <w:rtl/>
        </w:rPr>
      </w:pPr>
      <w:r>
        <w:rPr>
          <w:rFonts w:hint="cs"/>
          <w:rtl/>
        </w:rPr>
        <w:t>وفي غيره عند أبي يوسف لا عند أبي حنيفة.</w:t>
      </w:r>
    </w:p>
    <w:p w:rsidR="00035BE3" w:rsidRDefault="00035BE3" w:rsidP="00C10469">
      <w:pPr>
        <w:pStyle w:val="a6"/>
        <w:spacing w:line="460" w:lineRule="exact"/>
        <w:ind w:left="422" w:firstLine="0"/>
        <w:rPr>
          <w:rtl/>
        </w:rPr>
      </w:pPr>
      <w:r>
        <w:rPr>
          <w:rFonts w:hint="cs"/>
          <w:rtl/>
        </w:rPr>
        <w:t>وقال محمد: قول أبي حنيفة قياس، وقول أبي يوسف استحسان. ومحمد مع أبي يوسف</w:t>
      </w:r>
      <w:r>
        <w:rPr>
          <w:rFonts w:hint="eastAsia"/>
          <w:rtl/>
        </w:rPr>
        <w:t>»</w:t>
      </w:r>
      <w:r>
        <w:rPr>
          <w:rFonts w:hint="cs"/>
          <w:rtl/>
        </w:rPr>
        <w:t>.</w:t>
      </w:r>
    </w:p>
    <w:p w:rsidR="00035BE3" w:rsidRDefault="00035BE3" w:rsidP="00C10469">
      <w:pPr>
        <w:pStyle w:val="a6"/>
        <w:spacing w:line="460" w:lineRule="exact"/>
        <w:ind w:left="422" w:firstLine="0"/>
        <w:rPr>
          <w:rtl/>
        </w:rPr>
      </w:pPr>
      <w:r>
        <w:rPr>
          <w:rFonts w:hint="cs"/>
          <w:rtl/>
        </w:rPr>
        <w:t xml:space="preserve">البحر الرائق، 7/20؛ وانظر: الدر المختار ورد المحتار، 8/101. </w:t>
      </w:r>
    </w:p>
  </w:footnote>
  <w:footnote w:id="4288">
    <w:p w:rsidR="00035BE3" w:rsidRDefault="00035BE3" w:rsidP="00C10469">
      <w:pPr>
        <w:pStyle w:val="a8"/>
        <w:bidi/>
        <w:spacing w:line="460" w:lineRule="exact"/>
        <w:ind w:left="422" w:right="0"/>
        <w:rPr>
          <w:rtl/>
        </w:rPr>
      </w:pPr>
      <w:r>
        <w:rPr>
          <w:vertAlign w:val="superscript"/>
          <w:rtl/>
        </w:rPr>
        <w:t>(</w:t>
      </w:r>
      <w:r>
        <w:rPr>
          <w:rStyle w:val="a7"/>
        </w:rPr>
        <w:footnoteRef/>
      </w:r>
      <w:r>
        <w:rPr>
          <w:rFonts w:hint="cs"/>
          <w:vertAlign w:val="superscript"/>
          <w:rtl/>
        </w:rPr>
        <w:t>)</w:t>
      </w:r>
      <w:r>
        <w:rPr>
          <w:rFonts w:hint="cs"/>
          <w:rtl/>
        </w:rPr>
        <w:t xml:space="preserve">   أي: بجهة الإرث.</w:t>
      </w:r>
    </w:p>
  </w:footnote>
  <w:footnote w:id="4289">
    <w:p w:rsidR="00035BE3" w:rsidRDefault="00035BE3" w:rsidP="00C10469">
      <w:pPr>
        <w:pStyle w:val="a8"/>
        <w:bidi/>
        <w:spacing w:line="460" w:lineRule="exact"/>
        <w:ind w:left="422" w:right="0"/>
        <w:rPr>
          <w:rtl/>
        </w:rPr>
      </w:pPr>
      <w:r>
        <w:rPr>
          <w:vertAlign w:val="superscript"/>
          <w:rtl/>
        </w:rPr>
        <w:t>(</w:t>
      </w:r>
      <w:r>
        <w:rPr>
          <w:rStyle w:val="a7"/>
        </w:rPr>
        <w:footnoteRef/>
      </w:r>
      <w:r>
        <w:rPr>
          <w:rFonts w:hint="cs"/>
          <w:vertAlign w:val="superscript"/>
          <w:rtl/>
        </w:rPr>
        <w:t>)</w:t>
      </w:r>
      <w:r>
        <w:rPr>
          <w:rFonts w:hint="cs"/>
          <w:rtl/>
        </w:rPr>
        <w:t xml:space="preserve">  </w:t>
      </w:r>
      <w:r w:rsidRPr="009755E1">
        <w:rPr>
          <w:rFonts w:hint="cs"/>
          <w:spacing w:val="2"/>
          <w:rtl/>
        </w:rPr>
        <w:t xml:space="preserve">انظر بالإضافة إلى ما سبق: الهداية والعناية وفتح القدير، 7/350؛ الأشباه والنظائر لابن نجيم، ص </w:t>
      </w:r>
      <w:r>
        <w:rPr>
          <w:rFonts w:hint="cs"/>
          <w:rtl/>
        </w:rPr>
        <w:t>254؛ الفوائد الزينية، ص 177؛ الدر المختار ورد المحتار، 6/624-626، 8/100.</w:t>
      </w:r>
    </w:p>
  </w:footnote>
  <w:footnote w:id="429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المصادر السابقة سوى الهداية وشرحيها.</w:t>
      </w:r>
    </w:p>
  </w:footnote>
  <w:footnote w:id="429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(هـ): </w:t>
      </w:r>
      <w:r>
        <w:rPr>
          <w:rFonts w:hint="eastAsia"/>
          <w:rtl/>
        </w:rPr>
        <w:t>«</w:t>
      </w:r>
      <w:r>
        <w:rPr>
          <w:rFonts w:hint="cs"/>
          <w:rtl/>
        </w:rPr>
        <w:t>كل واحد واحد</w:t>
      </w:r>
      <w:r>
        <w:rPr>
          <w:rFonts w:hint="eastAsia"/>
          <w:rtl/>
        </w:rPr>
        <w:t>»</w:t>
      </w:r>
      <w:r>
        <w:rPr>
          <w:rFonts w:hint="cs"/>
          <w:rtl/>
        </w:rPr>
        <w:t>.</w:t>
      </w:r>
    </w:p>
  </w:footnote>
  <w:footnote w:id="429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(جـ): </w:t>
      </w:r>
      <w:r>
        <w:rPr>
          <w:rFonts w:hint="eastAsia"/>
          <w:rtl/>
        </w:rPr>
        <w:t>«</w:t>
      </w:r>
      <w:r>
        <w:rPr>
          <w:rFonts w:hint="cs"/>
          <w:rtl/>
        </w:rPr>
        <w:t>بات</w:t>
      </w:r>
      <w:r>
        <w:rPr>
          <w:rFonts w:hint="eastAsia"/>
          <w:rtl/>
        </w:rPr>
        <w:t>»</w:t>
      </w:r>
      <w:r>
        <w:rPr>
          <w:rFonts w:hint="cs"/>
          <w:rtl/>
        </w:rPr>
        <w:t>. والصحيح ما تمّ إثباته من (هـ) و(و).</w:t>
      </w:r>
    </w:p>
  </w:footnote>
  <w:footnote w:id="429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64/ب من (جـ).</w:t>
      </w:r>
    </w:p>
  </w:footnote>
  <w:footnote w:id="429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(هـ): </w:t>
      </w:r>
      <w:r>
        <w:rPr>
          <w:rFonts w:hint="eastAsia"/>
          <w:rtl/>
        </w:rPr>
        <w:t>«</w:t>
      </w:r>
      <w:r>
        <w:rPr>
          <w:rFonts w:hint="cs"/>
          <w:rtl/>
        </w:rPr>
        <w:t>بها</w:t>
      </w:r>
      <w:r>
        <w:rPr>
          <w:rFonts w:hint="eastAsia"/>
          <w:rtl/>
        </w:rPr>
        <w:t>»</w:t>
      </w:r>
      <w:r>
        <w:rPr>
          <w:rFonts w:hint="cs"/>
          <w:rtl/>
        </w:rPr>
        <w:t xml:space="preserve"> (بإسقاط باقي الكلمة).</w:t>
      </w:r>
    </w:p>
  </w:footnote>
  <w:footnote w:id="429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وذلك في نص القاعدة.</w:t>
      </w:r>
    </w:p>
  </w:footnote>
  <w:footnote w:id="4296">
    <w:p w:rsidR="00035BE3" w:rsidRDefault="00035BE3" w:rsidP="00C10469">
      <w:pPr>
        <w:pStyle w:val="a8"/>
        <w:bidi/>
        <w:spacing w:line="288" w:lineRule="auto"/>
        <w:ind w:left="420" w:right="0"/>
        <w:rPr>
          <w:rtl/>
        </w:rPr>
      </w:pPr>
      <w:r>
        <w:rPr>
          <w:vertAlign w:val="superscript"/>
          <w:rtl/>
        </w:rPr>
        <w:t>(</w:t>
      </w:r>
      <w:r>
        <w:rPr>
          <w:rStyle w:val="a7"/>
        </w:rPr>
        <w:footnoteRef/>
      </w:r>
      <w:r>
        <w:rPr>
          <w:rFonts w:hint="cs"/>
          <w:vertAlign w:val="superscript"/>
          <w:rtl/>
        </w:rPr>
        <w:t>)</w:t>
      </w:r>
      <w:r>
        <w:rPr>
          <w:rFonts w:hint="cs"/>
          <w:rtl/>
        </w:rPr>
        <w:t xml:space="preserve">   وردت هذه القاعدة بلفظها أو نحوه أو معناه في بعض كتب الفقه الحنفي وقواعده:</w:t>
      </w:r>
    </w:p>
    <w:p w:rsidR="00035BE3" w:rsidRDefault="00035BE3" w:rsidP="00C10469">
      <w:pPr>
        <w:pStyle w:val="a6"/>
        <w:spacing w:line="288" w:lineRule="auto"/>
        <w:ind w:left="420" w:firstLine="0"/>
        <w:rPr>
          <w:b/>
          <w:bCs/>
          <w:rtl/>
        </w:rPr>
      </w:pPr>
      <w:r>
        <w:rPr>
          <w:rFonts w:hint="cs"/>
          <w:b/>
          <w:bCs/>
          <w:rtl/>
        </w:rPr>
        <w:t>فمن كتب القواعد:</w:t>
      </w:r>
    </w:p>
    <w:p w:rsidR="00035BE3" w:rsidRDefault="00035BE3" w:rsidP="00C10469">
      <w:pPr>
        <w:pStyle w:val="a6"/>
        <w:spacing w:line="288" w:lineRule="auto"/>
        <w:ind w:left="420" w:firstLine="0"/>
        <w:rPr>
          <w:rtl/>
        </w:rPr>
      </w:pPr>
      <w:r>
        <w:rPr>
          <w:rFonts w:hint="cs"/>
          <w:rtl/>
        </w:rPr>
        <w:t xml:space="preserve">مجامع الحقائق (الخاتمة)، ص46؛ شرح العلائي لقواعد الخادمي، ل32/أ؛ منافع الدقائق، ص 327؛ الفرائد البهية للحمزاوي، ص 94، قاعدة 140 -واللفظ الذي ذكره يمكن أن يكون مندرجًا تحت هذه القاعدة، حيث قال: </w:t>
      </w:r>
      <w:r>
        <w:rPr>
          <w:rFonts w:hint="eastAsia"/>
          <w:rtl/>
        </w:rPr>
        <w:t>«</w:t>
      </w:r>
      <w:r>
        <w:rPr>
          <w:rFonts w:hint="cs"/>
          <w:rtl/>
        </w:rPr>
        <w:t>الشهادة إذا خالفت الدعوى بالسبب مع اتحاد الحكم: صحَّتْ</w:t>
      </w:r>
      <w:r>
        <w:rPr>
          <w:rFonts w:hint="eastAsia"/>
          <w:rtl/>
        </w:rPr>
        <w:t>»</w:t>
      </w:r>
      <w:r>
        <w:rPr>
          <w:rFonts w:hint="cs"/>
          <w:rtl/>
        </w:rPr>
        <w:t>.</w:t>
      </w:r>
    </w:p>
    <w:p w:rsidR="00035BE3" w:rsidRDefault="00035BE3" w:rsidP="00C10469">
      <w:pPr>
        <w:pStyle w:val="a6"/>
        <w:spacing w:line="288" w:lineRule="auto"/>
        <w:ind w:left="420" w:firstLine="0"/>
        <w:rPr>
          <w:b/>
          <w:bCs/>
          <w:rtl/>
        </w:rPr>
      </w:pPr>
      <w:r>
        <w:rPr>
          <w:rFonts w:hint="cs"/>
          <w:b/>
          <w:bCs/>
          <w:rtl/>
        </w:rPr>
        <w:t xml:space="preserve">ومن كتب الفقه: </w:t>
      </w:r>
    </w:p>
    <w:p w:rsidR="00035BE3" w:rsidRDefault="00035BE3" w:rsidP="00C10469">
      <w:pPr>
        <w:pStyle w:val="a6"/>
        <w:spacing w:line="288" w:lineRule="auto"/>
        <w:ind w:left="420" w:firstLine="0"/>
        <w:rPr>
          <w:rtl/>
        </w:rPr>
      </w:pPr>
      <w:r>
        <w:rPr>
          <w:rFonts w:hint="cs"/>
          <w:rtl/>
        </w:rPr>
        <w:t>شرح السير الكبير، 2/571، فقرة 934؛ المبسوط، 17/150؛ الدرر شرح الغرر، 2/231 -والقاعدة وجل ما جاء في شرحها مذكور في الدرر-؛ تكملة البحر الرائق، 8/24.</w:t>
      </w:r>
    </w:p>
    <w:p w:rsidR="00035BE3" w:rsidRDefault="00035BE3" w:rsidP="00C10469">
      <w:pPr>
        <w:pStyle w:val="a6"/>
        <w:spacing w:line="288" w:lineRule="auto"/>
        <w:ind w:left="420" w:firstLine="0"/>
        <w:rPr>
          <w:b/>
          <w:bCs/>
          <w:rtl/>
        </w:rPr>
      </w:pPr>
      <w:r>
        <w:rPr>
          <w:rFonts w:hint="cs"/>
          <w:b/>
          <w:bCs/>
          <w:rtl/>
        </w:rPr>
        <w:t xml:space="preserve">يضاف إلى ما سبق: </w:t>
      </w:r>
      <w:r>
        <w:rPr>
          <w:rFonts w:hint="cs"/>
          <w:rtl/>
        </w:rPr>
        <w:t>أن المؤلف سبق أن ذكر قاعدة بمعنى هذه القاعدة، وسوف يشير إلى ذلك في نهاية شرحه للقاعدة.</w:t>
      </w:r>
    </w:p>
  </w:footnote>
  <w:footnote w:id="4297">
    <w:p w:rsidR="00035BE3" w:rsidRDefault="00035BE3" w:rsidP="00C10469">
      <w:pPr>
        <w:pStyle w:val="a8"/>
        <w:bidi/>
        <w:spacing w:line="288" w:lineRule="auto"/>
        <w:ind w:left="422" w:right="0"/>
        <w:rPr>
          <w:rtl/>
        </w:rPr>
      </w:pPr>
      <w:r>
        <w:rPr>
          <w:vertAlign w:val="superscript"/>
          <w:rtl/>
        </w:rPr>
        <w:t>(</w:t>
      </w:r>
      <w:r>
        <w:rPr>
          <w:rStyle w:val="a7"/>
        </w:rPr>
        <w:footnoteRef/>
      </w:r>
      <w:r>
        <w:rPr>
          <w:rFonts w:hint="cs"/>
          <w:vertAlign w:val="superscript"/>
          <w:rtl/>
        </w:rPr>
        <w:t>)</w:t>
      </w:r>
      <w:r>
        <w:rPr>
          <w:rFonts w:hint="cs"/>
          <w:rtl/>
        </w:rPr>
        <w:t xml:space="preserve">   في (هـ) : </w:t>
      </w:r>
      <w:r>
        <w:rPr>
          <w:rFonts w:hint="eastAsia"/>
          <w:rtl/>
        </w:rPr>
        <w:t>«</w:t>
      </w:r>
      <w:r>
        <w:rPr>
          <w:rFonts w:hint="cs"/>
          <w:rtl/>
        </w:rPr>
        <w:t>ولهذا</w:t>
      </w:r>
      <w:r>
        <w:rPr>
          <w:rFonts w:hint="eastAsia"/>
          <w:rtl/>
        </w:rPr>
        <w:t>»</w:t>
      </w:r>
      <w:r>
        <w:rPr>
          <w:rFonts w:hint="cs"/>
          <w:rtl/>
        </w:rPr>
        <w:t>.</w:t>
      </w:r>
    </w:p>
  </w:footnote>
  <w:footnote w:id="4298">
    <w:p w:rsidR="00035BE3" w:rsidRDefault="00035BE3" w:rsidP="00C10469">
      <w:pPr>
        <w:pStyle w:val="a8"/>
        <w:bidi/>
        <w:spacing w:line="264" w:lineRule="auto"/>
        <w:ind w:left="420"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حتى</w:t>
      </w:r>
      <w:r>
        <w:rPr>
          <w:rFonts w:hint="eastAsia"/>
          <w:rtl/>
        </w:rPr>
        <w:t>»</w:t>
      </w:r>
      <w:r>
        <w:rPr>
          <w:rFonts w:hint="cs"/>
          <w:rtl/>
        </w:rPr>
        <w:t>. والصحيح ما تمَّ إثباته من (هـ) و(و)، وهو الموافق للدّرر.</w:t>
      </w:r>
    </w:p>
  </w:footnote>
  <w:footnote w:id="4299">
    <w:p w:rsidR="00035BE3" w:rsidRDefault="00035BE3" w:rsidP="00C10469">
      <w:pPr>
        <w:pStyle w:val="a8"/>
        <w:bidi/>
        <w:spacing w:line="264" w:lineRule="auto"/>
        <w:ind w:left="420" w:right="0"/>
        <w:rPr>
          <w:rtl/>
        </w:rPr>
      </w:pPr>
      <w:r>
        <w:rPr>
          <w:vertAlign w:val="superscript"/>
          <w:rtl/>
        </w:rPr>
        <w:t>(</w:t>
      </w:r>
      <w:r>
        <w:rPr>
          <w:rStyle w:val="a7"/>
        </w:rPr>
        <w:footnoteRef/>
      </w:r>
      <w:r>
        <w:rPr>
          <w:rFonts w:hint="cs"/>
          <w:vertAlign w:val="superscript"/>
          <w:rtl/>
        </w:rPr>
        <w:t>)</w:t>
      </w:r>
      <w:r>
        <w:rPr>
          <w:rFonts w:hint="cs"/>
          <w:rtl/>
        </w:rPr>
        <w:t xml:space="preserve">   نهاية 71/ب من (هـ).</w:t>
      </w:r>
    </w:p>
  </w:footnote>
  <w:footnote w:id="4300">
    <w:p w:rsidR="00035BE3" w:rsidRDefault="00035BE3" w:rsidP="00C10469">
      <w:pPr>
        <w:pStyle w:val="a8"/>
        <w:bidi/>
        <w:spacing w:line="264" w:lineRule="auto"/>
        <w:ind w:left="420" w:right="0"/>
        <w:rPr>
          <w:rtl/>
        </w:rPr>
      </w:pPr>
      <w:r>
        <w:rPr>
          <w:vertAlign w:val="superscript"/>
          <w:rtl/>
        </w:rPr>
        <w:t>(</w:t>
      </w:r>
      <w:r>
        <w:rPr>
          <w:rStyle w:val="a7"/>
        </w:rPr>
        <w:footnoteRef/>
      </w:r>
      <w:r>
        <w:rPr>
          <w:rFonts w:hint="cs"/>
          <w:vertAlign w:val="superscript"/>
          <w:rtl/>
        </w:rPr>
        <w:t>)</w:t>
      </w:r>
      <w:r>
        <w:rPr>
          <w:rFonts w:hint="cs"/>
          <w:rtl/>
        </w:rPr>
        <w:t xml:space="preserve">   الدّرر شرح الغرر، 2/231، مع اختلاف يسير في آخر العبارة، حيث جاء في الدّرر : </w:t>
      </w:r>
      <w:r>
        <w:rPr>
          <w:rFonts w:hint="eastAsia"/>
          <w:rtl/>
        </w:rPr>
        <w:t>«</w:t>
      </w:r>
      <w:r>
        <w:rPr>
          <w:rFonts w:hint="cs"/>
          <w:rtl/>
        </w:rPr>
        <w:t>... لا يمكن بالمشاع، ولا يتصور تسليمه، فلا يجوز</w:t>
      </w:r>
      <w:r>
        <w:rPr>
          <w:rFonts w:hint="eastAsia"/>
          <w:rtl/>
        </w:rPr>
        <w:t>»</w:t>
      </w:r>
      <w:r>
        <w:rPr>
          <w:rFonts w:hint="cs"/>
          <w:rtl/>
        </w:rPr>
        <w:t>.</w:t>
      </w:r>
    </w:p>
  </w:footnote>
  <w:footnote w:id="4301">
    <w:p w:rsidR="00035BE3" w:rsidRDefault="00035BE3" w:rsidP="00C10469">
      <w:pPr>
        <w:pStyle w:val="a8"/>
        <w:bidi/>
        <w:spacing w:line="264" w:lineRule="auto"/>
        <w:ind w:left="420" w:right="0"/>
        <w:rPr>
          <w:rtl/>
        </w:rPr>
      </w:pPr>
      <w:r>
        <w:rPr>
          <w:vertAlign w:val="superscript"/>
          <w:rtl/>
        </w:rPr>
        <w:t>(</w:t>
      </w:r>
      <w:r>
        <w:rPr>
          <w:rStyle w:val="a7"/>
        </w:rPr>
        <w:footnoteRef/>
      </w:r>
      <w:r>
        <w:rPr>
          <w:rFonts w:hint="cs"/>
          <w:vertAlign w:val="superscript"/>
          <w:rtl/>
        </w:rPr>
        <w:t>)</w:t>
      </w:r>
      <w:r>
        <w:rPr>
          <w:rFonts w:hint="cs"/>
          <w:rtl/>
        </w:rPr>
        <w:t xml:space="preserve">   في (جـ) و(هـ) و(و) : </w:t>
      </w:r>
      <w:r>
        <w:rPr>
          <w:rFonts w:hint="eastAsia"/>
          <w:rtl/>
        </w:rPr>
        <w:t>«</w:t>
      </w:r>
      <w:r>
        <w:rPr>
          <w:rFonts w:hint="cs"/>
          <w:rtl/>
        </w:rPr>
        <w:t>يحدث</w:t>
      </w:r>
      <w:r>
        <w:rPr>
          <w:rFonts w:hint="eastAsia"/>
          <w:rtl/>
        </w:rPr>
        <w:t>»</w:t>
      </w:r>
      <w:r>
        <w:rPr>
          <w:rFonts w:hint="cs"/>
          <w:rtl/>
        </w:rPr>
        <w:t>. والصحيح ما تمَّ إثباته من مصدر هذه العبارة (وهو الدرر).</w:t>
      </w:r>
    </w:p>
  </w:footnote>
  <w:footnote w:id="4302">
    <w:p w:rsidR="00035BE3" w:rsidRDefault="00035BE3" w:rsidP="00C10469">
      <w:pPr>
        <w:pStyle w:val="a8"/>
        <w:bidi/>
        <w:spacing w:line="288" w:lineRule="auto"/>
        <w:ind w:left="422" w:right="0"/>
        <w:rPr>
          <w:rtl/>
        </w:rPr>
      </w:pPr>
      <w:r>
        <w:rPr>
          <w:vertAlign w:val="superscript"/>
          <w:rtl/>
        </w:rPr>
        <w:t>(</w:t>
      </w:r>
      <w:r>
        <w:rPr>
          <w:rStyle w:val="a7"/>
        </w:rPr>
        <w:footnoteRef/>
      </w:r>
      <w:r>
        <w:rPr>
          <w:rFonts w:hint="cs"/>
          <w:vertAlign w:val="superscript"/>
          <w:rtl/>
        </w:rPr>
        <w:t>)</w:t>
      </w:r>
      <w:r>
        <w:rPr>
          <w:rFonts w:hint="cs"/>
          <w:rtl/>
        </w:rPr>
        <w:t xml:space="preserve">   في (هـ) : </w:t>
      </w:r>
      <w:r>
        <w:rPr>
          <w:rFonts w:hint="eastAsia"/>
          <w:rtl/>
        </w:rPr>
        <w:t>«</w:t>
      </w:r>
      <w:r>
        <w:rPr>
          <w:rFonts w:hint="cs"/>
          <w:rtl/>
        </w:rPr>
        <w:t>لحكم</w:t>
      </w:r>
      <w:r>
        <w:rPr>
          <w:rFonts w:hint="eastAsia"/>
          <w:rtl/>
        </w:rPr>
        <w:t>»</w:t>
      </w:r>
      <w:r>
        <w:rPr>
          <w:rFonts w:hint="cs"/>
          <w:rtl/>
        </w:rPr>
        <w:t>.</w:t>
      </w:r>
    </w:p>
  </w:footnote>
  <w:footnote w:id="430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2/231 ، مع اختلاف في بداية العبارة ونهايتها، حيث جاء في الدّرر : </w:t>
      </w:r>
      <w:r>
        <w:rPr>
          <w:rFonts w:hint="eastAsia"/>
          <w:rtl/>
        </w:rPr>
        <w:t>«</w:t>
      </w:r>
      <w:r>
        <w:rPr>
          <w:rFonts w:hint="cs"/>
          <w:rtl/>
        </w:rPr>
        <w:t>فإن كلَّ المنفعة حينئذ تحدث على ... ولا عبرة لاختلاف السبب مع اتحاد الحكم</w:t>
      </w:r>
      <w:r>
        <w:rPr>
          <w:rFonts w:hint="eastAsia"/>
          <w:rtl/>
        </w:rPr>
        <w:t>»</w:t>
      </w:r>
      <w:r>
        <w:rPr>
          <w:rFonts w:hint="cs"/>
          <w:rtl/>
        </w:rPr>
        <w:t>.</w:t>
      </w:r>
    </w:p>
    <w:p w:rsidR="00035BE3" w:rsidRDefault="00035BE3" w:rsidP="00C10469">
      <w:pPr>
        <w:pStyle w:val="a6"/>
        <w:ind w:left="422" w:firstLine="0"/>
        <w:rPr>
          <w:rtl/>
        </w:rPr>
      </w:pPr>
      <w:r>
        <w:rPr>
          <w:rFonts w:hint="cs"/>
          <w:rtl/>
        </w:rPr>
        <w:t>وانظر هذه المسألة (وهي تأجير المشاع) في : تكملة البحر الرائق، 8/24.</w:t>
      </w:r>
    </w:p>
  </w:footnote>
  <w:footnote w:id="430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ص937 (ل79/ب)، قاعدة 193.</w:t>
      </w:r>
    </w:p>
  </w:footnote>
  <w:footnote w:id="430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القاعدة السابقة وهذه القاعدة وما جاء في شرحهما ساقط من (أ) و(ب) و(د)، وهو يقدر بصفحة واحدة من المخطوط.</w:t>
      </w:r>
    </w:p>
  </w:footnote>
  <w:footnote w:id="4306">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و(ب) و(د) : زيادة (واو) قبل هذه القاعدة. وهذه الزيادة لا وجه لها. علمًا بأن هذه النسخ سقطت منها القاعدتان المتقدمتان على هذه القاعدة.</w:t>
      </w:r>
    </w:p>
  </w:footnote>
  <w:footnote w:id="4307">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يقّوم</w:t>
      </w:r>
      <w:r>
        <w:rPr>
          <w:rFonts w:hint="eastAsia"/>
          <w:rtl/>
        </w:rPr>
        <w:t>»</w:t>
      </w:r>
      <w:r>
        <w:rPr>
          <w:rFonts w:hint="cs"/>
          <w:rtl/>
        </w:rPr>
        <w:t>. والأفصح ما تمَّ إثباته من (ب)، وهو الموافق لأكثر مصادر القاعدة.</w:t>
      </w:r>
    </w:p>
  </w:footnote>
  <w:footnote w:id="4308">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53/أ من (د).</w:t>
      </w:r>
    </w:p>
  </w:footnote>
  <w:footnote w:id="4309">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يتقوم</w:t>
      </w:r>
      <w:r>
        <w:rPr>
          <w:rFonts w:hint="eastAsia"/>
          <w:rtl/>
        </w:rPr>
        <w:t>»</w:t>
      </w:r>
      <w:r>
        <w:rPr>
          <w:rFonts w:hint="cs"/>
          <w:rtl/>
        </w:rPr>
        <w:t>. والصحيح ما تمَّ إثباته من (ب)، وهو الموافق لأكثر مصادر القاعدة.</w:t>
      </w:r>
    </w:p>
  </w:footnote>
  <w:footnote w:id="4310">
    <w:p w:rsidR="00035BE3" w:rsidRDefault="00035BE3" w:rsidP="00C10469">
      <w:pPr>
        <w:pStyle w:val="a8"/>
        <w:bidi/>
        <w:spacing w:line="48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يذكرها كثير من الحنفية في معرض حديثهم عن الإجارة الفاسدة وحكم منافعها.</w:t>
      </w:r>
    </w:p>
    <w:p w:rsidR="00035BE3" w:rsidRDefault="00035BE3" w:rsidP="00C10469">
      <w:pPr>
        <w:pStyle w:val="a6"/>
        <w:spacing w:line="480" w:lineRule="exact"/>
        <w:ind w:left="422" w:firstLine="0"/>
        <w:rPr>
          <w:rtl/>
        </w:rPr>
      </w:pPr>
      <w:r>
        <w:rPr>
          <w:rFonts w:hint="cs"/>
          <w:rtl/>
        </w:rPr>
        <w:t>فالمنافع في الإجارة ونحوها تختلف عن المبيع في البيع :</w:t>
      </w:r>
    </w:p>
    <w:p w:rsidR="00035BE3" w:rsidRDefault="00035BE3" w:rsidP="00C10469">
      <w:pPr>
        <w:pStyle w:val="a6"/>
        <w:spacing w:line="480" w:lineRule="exact"/>
        <w:ind w:left="-32" w:firstLine="454"/>
        <w:rPr>
          <w:rtl/>
        </w:rPr>
      </w:pPr>
      <w:r>
        <w:rPr>
          <w:rtl/>
        </w:rPr>
        <w:t>•</w:t>
      </w:r>
      <w:r>
        <w:rPr>
          <w:rFonts w:hint="cs"/>
          <w:rtl/>
        </w:rPr>
        <w:t xml:space="preserve"> فالمعقود عليه في البيع عين من الأعيان المحسوسة، فتكون قيمته في ذاته.</w:t>
      </w:r>
    </w:p>
    <w:p w:rsidR="00035BE3" w:rsidRDefault="00035BE3" w:rsidP="00C10469">
      <w:pPr>
        <w:pStyle w:val="a6"/>
        <w:spacing w:line="480" w:lineRule="exact"/>
        <w:ind w:left="422" w:firstLine="0"/>
        <w:rPr>
          <w:rtl/>
        </w:rPr>
      </w:pPr>
      <w:r>
        <w:rPr>
          <w:rtl/>
        </w:rPr>
        <w:t>•</w:t>
      </w:r>
      <w:r>
        <w:rPr>
          <w:rFonts w:hint="cs"/>
          <w:rtl/>
        </w:rPr>
        <w:t xml:space="preserve"> أما في الإجارة فالمعقود عليه هو المنفعة، وهي معدومة وقت العقد، فلا يمكن إضافة التمليك إليها، ويكون العقد عليها عقدًا على معدوم؛ إلا أنه نظرًا لحاجة الناس إليها أجازها الشارع الحكيم؛ لدفع الضرورة المتمثلة في حاجة الناس إليها.</w:t>
      </w:r>
    </w:p>
    <w:p w:rsidR="00035BE3" w:rsidRDefault="00035BE3" w:rsidP="00C10469">
      <w:pPr>
        <w:pStyle w:val="a6"/>
        <w:spacing w:line="480" w:lineRule="exact"/>
        <w:ind w:left="422" w:firstLine="0"/>
        <w:rPr>
          <w:spacing w:val="6"/>
          <w:rtl/>
        </w:rPr>
      </w:pPr>
      <w:r>
        <w:rPr>
          <w:rFonts w:hint="cs"/>
          <w:spacing w:val="6"/>
          <w:rtl/>
        </w:rPr>
        <w:t xml:space="preserve">وإذا كانت المنافع معدومة وقت العقد فإنها -عند الحنفية- : </w:t>
      </w:r>
      <w:r>
        <w:rPr>
          <w:rFonts w:hint="eastAsia"/>
          <w:spacing w:val="6"/>
          <w:rtl/>
        </w:rPr>
        <w:t>«</w:t>
      </w:r>
      <w:r>
        <w:rPr>
          <w:rFonts w:hint="cs"/>
          <w:spacing w:val="6"/>
          <w:rtl/>
        </w:rPr>
        <w:t>لا قيمة لها في أنفسها ...، وإنما تتقوّم بالعقد، أو شبهة العقد. فإذا لم تتقوم في أنفسها : وجب الرجوع إلى ما قوِّمت به في العقد، وسقط ما زاد عليه؛ لرضاهما [أي العاقدان] بإسقاطه. وإذا جُهل المسمّى، أو عُدمت التسمية : انتفى المرجِّح، ووجب الموجب الأصلي، وهو وجوب القيمة [أي : قيمة المثل] بالغةً ما بلغت</w:t>
      </w:r>
      <w:r>
        <w:rPr>
          <w:rFonts w:hint="eastAsia"/>
          <w:spacing w:val="6"/>
          <w:rtl/>
        </w:rPr>
        <w:t>»</w:t>
      </w:r>
      <w:r>
        <w:rPr>
          <w:rFonts w:hint="cs"/>
          <w:spacing w:val="6"/>
          <w:rtl/>
        </w:rPr>
        <w:t xml:space="preserve">. قاله صاحب الدّرر، 2/230، ثم قال عقبه مباشرة : </w:t>
      </w:r>
      <w:r>
        <w:rPr>
          <w:rFonts w:hint="eastAsia"/>
          <w:spacing w:val="6"/>
          <w:rtl/>
        </w:rPr>
        <w:t>«</w:t>
      </w:r>
      <w:r>
        <w:rPr>
          <w:rFonts w:hint="cs"/>
          <w:spacing w:val="6"/>
          <w:rtl/>
        </w:rPr>
        <w:t>هكذا ينبغي أن يقرّر هذا الكلام. فإن عبارة القوم مضطربة في هذا المقام</w:t>
      </w:r>
      <w:r>
        <w:rPr>
          <w:rFonts w:hint="eastAsia"/>
          <w:spacing w:val="6"/>
          <w:rtl/>
        </w:rPr>
        <w:t>»</w:t>
      </w:r>
      <w:r>
        <w:rPr>
          <w:rFonts w:hint="cs"/>
          <w:spacing w:val="6"/>
          <w:rtl/>
        </w:rPr>
        <w:t>.</w:t>
      </w:r>
    </w:p>
    <w:p w:rsidR="00035BE3" w:rsidRDefault="00035BE3" w:rsidP="00C10469">
      <w:pPr>
        <w:pStyle w:val="a6"/>
        <w:spacing w:line="480" w:lineRule="exact"/>
        <w:ind w:left="422" w:firstLine="0"/>
        <w:rPr>
          <w:rtl/>
        </w:rPr>
      </w:pPr>
      <w:r>
        <w:rPr>
          <w:rFonts w:hint="cs"/>
          <w:rtl/>
        </w:rPr>
        <w:t>وقد قال ذلك في معرض حديثه عن منافع الإجارة الفاسدة بالشرط المفسد للمبيع أو الشيوع. والفاسدة تبع للصحيحة مع فرق يسير أشار إليه صاحب العناية -9/93-، وسوف يأتي بيان ما قاله صاحب العناية في هامش لاحق.</w:t>
      </w:r>
    </w:p>
    <w:p w:rsidR="00035BE3" w:rsidRDefault="00035BE3" w:rsidP="00C10469">
      <w:pPr>
        <w:pStyle w:val="a6"/>
        <w:spacing w:line="480" w:lineRule="exact"/>
        <w:ind w:left="422" w:firstLine="0"/>
        <w:rPr>
          <w:rtl/>
        </w:rPr>
      </w:pPr>
      <w:r>
        <w:rPr>
          <w:rFonts w:hint="cs"/>
          <w:b/>
          <w:bCs/>
          <w:rtl/>
        </w:rPr>
        <w:t>ولو عدتَ إلى القاعدة</w:t>
      </w:r>
      <w:r>
        <w:rPr>
          <w:rFonts w:hint="cs"/>
          <w:rtl/>
        </w:rPr>
        <w:t xml:space="preserve"> : فقد وردت بنحو لفظها في عدد من كتب الفقه الحنفي وقواعده :</w:t>
      </w:r>
    </w:p>
    <w:p w:rsidR="00035BE3" w:rsidRDefault="00035BE3" w:rsidP="00C10469">
      <w:pPr>
        <w:pStyle w:val="a6"/>
        <w:spacing w:line="480" w:lineRule="exact"/>
        <w:ind w:left="422" w:firstLine="0"/>
        <w:rPr>
          <w:rtl/>
        </w:rPr>
      </w:pPr>
      <w:r>
        <w:rPr>
          <w:rFonts w:hint="cs"/>
          <w:b/>
          <w:bCs/>
          <w:rtl/>
        </w:rPr>
        <w:t>فمن كتب القواعد</w:t>
      </w:r>
      <w:r>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p>
    <w:p w:rsidR="00035BE3" w:rsidRDefault="00035BE3" w:rsidP="00C10469">
      <w:pPr>
        <w:pStyle w:val="a6"/>
        <w:ind w:left="422" w:firstLine="0"/>
        <w:rPr>
          <w:rtl/>
        </w:rPr>
      </w:pPr>
      <w:r>
        <w:rPr>
          <w:rFonts w:hint="cs"/>
          <w:rtl/>
        </w:rPr>
        <w:t xml:space="preserve">مجامع الحقائق (الخاتمة)، ص46؛ شرح العلائي لقواعد الـخادمي، ل34/ب؛ منـافع الدقائـق، ص329- ولفظ المجامع والمنافع : </w:t>
      </w:r>
      <w:r>
        <w:rPr>
          <w:rFonts w:hint="eastAsia"/>
          <w:rtl/>
        </w:rPr>
        <w:t>«</w:t>
      </w:r>
      <w:r>
        <w:rPr>
          <w:rFonts w:hint="cs"/>
          <w:rtl/>
        </w:rPr>
        <w:t>لا يقوم [هكذا (بالياء)!] المنافع في أنفسها</w:t>
      </w:r>
      <w:r>
        <w:rPr>
          <w:rFonts w:hint="eastAsia"/>
          <w:rtl/>
        </w:rPr>
        <w:t>»</w:t>
      </w:r>
      <w:r>
        <w:rPr>
          <w:rFonts w:hint="cs"/>
          <w:rtl/>
        </w:rPr>
        <w:t xml:space="preserve">، وكذلك لفظ العلائي، إلا أنه قال في البداية : </w:t>
      </w:r>
      <w:r>
        <w:rPr>
          <w:rFonts w:hint="eastAsia"/>
          <w:rtl/>
        </w:rPr>
        <w:t>«</w:t>
      </w:r>
      <w:r>
        <w:rPr>
          <w:rFonts w:hint="cs"/>
          <w:rtl/>
        </w:rPr>
        <w:t>لا نقوم ...</w:t>
      </w:r>
      <w:r>
        <w:rPr>
          <w:rFonts w:hint="eastAsia"/>
          <w:rtl/>
        </w:rPr>
        <w:t>»</w:t>
      </w:r>
      <w:r>
        <w:rPr>
          <w:rFonts w:hint="cs"/>
          <w:rtl/>
        </w:rPr>
        <w:t>.</w:t>
      </w:r>
    </w:p>
    <w:p w:rsidR="00035BE3" w:rsidRDefault="00035BE3" w:rsidP="00C10469">
      <w:pPr>
        <w:pStyle w:val="a6"/>
        <w:ind w:left="422" w:firstLine="0"/>
        <w:rPr>
          <w:b/>
          <w:bCs/>
          <w:rtl/>
        </w:rPr>
      </w:pPr>
      <w:r>
        <w:rPr>
          <w:rFonts w:hint="cs"/>
          <w:b/>
          <w:bCs/>
          <w:rtl/>
        </w:rPr>
        <w:t>ومن كتب الفقه :</w:t>
      </w:r>
    </w:p>
    <w:p w:rsidR="00035BE3" w:rsidRDefault="00035BE3" w:rsidP="00C10469">
      <w:pPr>
        <w:pStyle w:val="a6"/>
        <w:ind w:left="422" w:firstLine="0"/>
        <w:rPr>
          <w:rtl/>
        </w:rPr>
      </w:pPr>
      <w:r>
        <w:rPr>
          <w:rFonts w:hint="cs"/>
          <w:rtl/>
        </w:rPr>
        <w:t>المبسوط، 11/217، 15/127؛ الهداية والعناية وفتح القدير، 7/487، 8/234، 9/92؛ الدّرر شرح الغرر، 2/231، 264؛ البحر الرائق، 7/224.</w:t>
      </w:r>
    </w:p>
  </w:footnote>
  <w:footnote w:id="431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زفر</w:t>
      </w:r>
      <w:r>
        <w:rPr>
          <w:rFonts w:hint="eastAsia"/>
          <w:rtl/>
        </w:rPr>
        <w:t>»</w:t>
      </w:r>
      <w:r>
        <w:rPr>
          <w:rFonts w:hint="cs"/>
          <w:rtl/>
        </w:rPr>
        <w:t>.</w:t>
      </w:r>
    </w:p>
  </w:footnote>
  <w:footnote w:id="431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اعتبارًا ببيع الأعيان</w:t>
      </w:r>
      <w:r>
        <w:rPr>
          <w:rFonts w:hint="eastAsia"/>
          <w:rtl/>
        </w:rPr>
        <w:t>»</w:t>
      </w:r>
      <w:r>
        <w:rPr>
          <w:rFonts w:hint="cs"/>
          <w:rtl/>
        </w:rPr>
        <w:t xml:space="preserve"> : هذا دليل زفر والإمام الشافعي.</w:t>
      </w:r>
    </w:p>
  </w:footnote>
  <w:footnote w:id="4313">
    <w:p w:rsidR="00035BE3" w:rsidRDefault="00035BE3" w:rsidP="00C10469">
      <w:pPr>
        <w:pStyle w:val="a8"/>
        <w:bidi/>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الهـداية والعناية، 9/92؛ وانظر هذه المسألة في : الكنـز والبـحر الرائق، 7/312؛ الدرر شرح الغرر، 2/231؛ وانظر رأي الشافعية في : المنهاج وشرحيه : مغني المحتاج، 2/358-359؛ ونهاية المحتاج، 5/327، حيث جاء في المنهاج ومغني المحتاج : </w:t>
      </w:r>
      <w:r>
        <w:rPr>
          <w:rFonts w:hint="eastAsia"/>
          <w:spacing w:val="4"/>
          <w:rtl/>
        </w:rPr>
        <w:t>«</w:t>
      </w:r>
      <w:r>
        <w:rPr>
          <w:rFonts w:hint="cs"/>
          <w:spacing w:val="4"/>
          <w:rtl/>
        </w:rPr>
        <w:t>(وتستقر في الإجارة الفاسدة) سواء أَقُدِّرت بعمل أم بمّدة (أجرة المثل) سواء أكان أكثر من المسمى أم لا (بما يستقر به المسمى في الصحيحة) سواء انتفع بها أم لا</w:t>
      </w:r>
      <w:r>
        <w:rPr>
          <w:rFonts w:hint="eastAsia"/>
          <w:spacing w:val="4"/>
          <w:rtl/>
        </w:rPr>
        <w:t>»</w:t>
      </w:r>
      <w:r>
        <w:rPr>
          <w:rFonts w:hint="cs"/>
          <w:spacing w:val="4"/>
          <w:rtl/>
        </w:rPr>
        <w:t>.</w:t>
      </w:r>
    </w:p>
  </w:footnote>
  <w:footnote w:id="431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87/ب من (أ).</w:t>
      </w:r>
    </w:p>
  </w:footnote>
  <w:footnote w:id="431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يتقدّر</w:t>
      </w:r>
      <w:r>
        <w:rPr>
          <w:rFonts w:hint="eastAsia"/>
          <w:rtl/>
        </w:rPr>
        <w:t>»</w:t>
      </w:r>
      <w:r>
        <w:rPr>
          <w:rFonts w:hint="cs"/>
          <w:rtl/>
        </w:rPr>
        <w:t>؛ وفاقًا لمصدر هذه العبارة (وهو العناية).</w:t>
      </w:r>
    </w:p>
  </w:footnote>
  <w:footnote w:id="431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يشير إلى قاعدة سبق حديثه عنها، وهي : </w:t>
      </w:r>
      <w:r>
        <w:rPr>
          <w:rFonts w:hint="eastAsia"/>
          <w:rtl/>
        </w:rPr>
        <w:t>«</w:t>
      </w:r>
      <w:r>
        <w:rPr>
          <w:rFonts w:hint="cs"/>
          <w:rtl/>
        </w:rPr>
        <w:t>الثابت بالضرورة يقدر بقدرها</w:t>
      </w:r>
      <w:r>
        <w:rPr>
          <w:rFonts w:hint="eastAsia"/>
          <w:rtl/>
        </w:rPr>
        <w:t>»</w:t>
      </w:r>
      <w:r>
        <w:rPr>
          <w:rFonts w:hint="cs"/>
          <w:rtl/>
        </w:rPr>
        <w:t>، وذلك ص586 (ل41/أ)، قاعدة 97.</w:t>
      </w:r>
    </w:p>
  </w:footnote>
  <w:footnote w:id="431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هذه زيادة من (العناية)، ولا يستقيم المعنى بدونها. ولعلّ الناسخ الأول أسقطها؛ لوقوع نظره على الكلمة التي تليها ظنَّا منه أن هذه الكلمة عين الكلمة السابقة المماثلة لها.</w:t>
      </w:r>
    </w:p>
  </w:footnote>
  <w:footnote w:id="4318">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العناية، 9/92 - مع اختلاف يسير سبق بيانه-.</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rtl/>
        </w:rPr>
        <w:t>وكون الضرورة تندفع بالإجارة الصحيحة فيكتفى بها - هذا الأمر يشكل عليه كونه يقتضي عدم اعتبار الإجارة الفاسدة، مع أنها معتبرة عندهم!.</w:t>
      </w:r>
    </w:p>
    <w:p w:rsidR="00035BE3" w:rsidRDefault="00035BE3" w:rsidP="00C10469">
      <w:pPr>
        <w:pStyle w:val="a6"/>
        <w:ind w:left="422" w:firstLine="0"/>
        <w:rPr>
          <w:spacing w:val="-4"/>
          <w:rtl/>
        </w:rPr>
      </w:pPr>
      <w:r>
        <w:rPr>
          <w:rFonts w:hint="cs"/>
          <w:spacing w:val="-4"/>
          <w:rtl/>
        </w:rPr>
        <w:t xml:space="preserve">وهذا الإشكال ذكره صاحب (العناية) وأجاب عنه فقال - عقب العبارة السابقة-: </w:t>
      </w:r>
      <w:r>
        <w:rPr>
          <w:rFonts w:hint="eastAsia"/>
          <w:spacing w:val="-4"/>
          <w:rtl/>
        </w:rPr>
        <w:t>«</w:t>
      </w:r>
      <w:r>
        <w:rPr>
          <w:rFonts w:hint="cs"/>
          <w:spacing w:val="-4"/>
          <w:rtl/>
        </w:rPr>
        <w:t>وهذا كما ترى يقتضي عدم اعتبار الإجارة الفاسدة ! إلا أن الفاسدة تبع للصحيحة، فيثبت فيها ما يثبت في الصحيحة عادة، وهو قدر أجر المثل، وهذا يقتضي لزوم الأجر المسمّى، بالغًا ما بلغ، لكن لمّا كانت التسمية فاسدة: لم يجب من المسمّى ما زاد على أجر المثل، فاستقرّ الواجب على ما هو الأقل من أجر المثل والمسمىّ...</w:t>
      </w:r>
      <w:r>
        <w:rPr>
          <w:rFonts w:hint="eastAsia"/>
          <w:spacing w:val="-4"/>
          <w:rtl/>
        </w:rPr>
        <w:t>»</w:t>
      </w:r>
      <w:r>
        <w:rPr>
          <w:rFonts w:hint="cs"/>
          <w:spacing w:val="-4"/>
          <w:rtl/>
        </w:rPr>
        <w:t>.</w:t>
      </w:r>
    </w:p>
  </w:footnote>
  <w:footnote w:id="4319">
    <w:p w:rsidR="00035BE3" w:rsidRDefault="00035BE3" w:rsidP="00C10469">
      <w:pPr>
        <w:pStyle w:val="a8"/>
        <w:bidi/>
        <w:ind w:left="422" w:right="0"/>
        <w:rPr>
          <w:spacing w:val="-4"/>
          <w:rtl/>
        </w:rPr>
      </w:pPr>
      <w:r>
        <w:rPr>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E56211">
        <w:rPr>
          <w:rFonts w:hint="cs"/>
          <w:spacing w:val="-6"/>
          <w:rtl/>
        </w:rPr>
        <w:t xml:space="preserve"> </w:t>
      </w:r>
      <w:r>
        <w:rPr>
          <w:rFonts w:hint="cs"/>
          <w:spacing w:val="-6"/>
          <w:rtl/>
        </w:rPr>
        <w:t xml:space="preserve"> </w:t>
      </w:r>
      <w:r w:rsidRPr="00E56211">
        <w:rPr>
          <w:rFonts w:hint="cs"/>
          <w:spacing w:val="-6"/>
          <w:rtl/>
        </w:rPr>
        <w:t xml:space="preserve">في (أ) و(جـ) و(د): </w:t>
      </w:r>
      <w:r w:rsidRPr="00E56211">
        <w:rPr>
          <w:rFonts w:hint="eastAsia"/>
          <w:spacing w:val="-6"/>
          <w:rtl/>
        </w:rPr>
        <w:t>«</w:t>
      </w:r>
      <w:r w:rsidRPr="00E56211">
        <w:rPr>
          <w:rFonts w:hint="cs"/>
          <w:spacing w:val="-6"/>
          <w:rtl/>
        </w:rPr>
        <w:t>يتقوم</w:t>
      </w:r>
      <w:r w:rsidRPr="00E56211">
        <w:rPr>
          <w:rFonts w:hint="eastAsia"/>
          <w:spacing w:val="-6"/>
          <w:rtl/>
        </w:rPr>
        <w:t>»</w:t>
      </w:r>
      <w:r w:rsidRPr="00E56211">
        <w:rPr>
          <w:rFonts w:hint="cs"/>
          <w:spacing w:val="-6"/>
          <w:rtl/>
        </w:rPr>
        <w:t>.والأفصح ما تمّ إثباته من (ب)، وهو الموافق لمصدر هذه العبارة (وهو الدرر).</w:t>
      </w:r>
    </w:p>
  </w:footnote>
  <w:footnote w:id="432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انتهى</w:t>
      </w:r>
      <w:r>
        <w:rPr>
          <w:rFonts w:hint="eastAsia"/>
          <w:rtl/>
        </w:rPr>
        <w:t>»</w:t>
      </w:r>
      <w:r>
        <w:rPr>
          <w:rFonts w:hint="cs"/>
          <w:rtl/>
        </w:rPr>
        <w:t>.</w:t>
      </w:r>
    </w:p>
  </w:footnote>
  <w:footnote w:id="432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هكذا في (جـ). وفي باقي النسخ : </w:t>
      </w:r>
      <w:r>
        <w:rPr>
          <w:rFonts w:hint="eastAsia"/>
          <w:rtl/>
        </w:rPr>
        <w:t>«</w:t>
      </w:r>
      <w:r>
        <w:rPr>
          <w:rFonts w:hint="cs"/>
          <w:rtl/>
        </w:rPr>
        <w:t>المرجع</w:t>
      </w:r>
      <w:r>
        <w:rPr>
          <w:rFonts w:hint="eastAsia"/>
          <w:rtl/>
        </w:rPr>
        <w:t>»</w:t>
      </w:r>
      <w:r>
        <w:rPr>
          <w:rFonts w:hint="cs"/>
          <w:rtl/>
        </w:rPr>
        <w:t>. والمُثبت هو المناسب، وهو الموافق للدّرر.</w:t>
      </w:r>
    </w:p>
  </w:footnote>
  <w:footnote w:id="432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شرح الغرر، 2/231، وقد سبق بيان نصّ كلامه في أثناء توثيق القاعدة.</w:t>
      </w:r>
    </w:p>
  </w:footnote>
  <w:footnote w:id="432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زيادة من (ب) و(جـ) و(د). وهي لابدّ منها.</w:t>
      </w:r>
    </w:p>
  </w:footnote>
  <w:footnote w:id="432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يتقوم</w:t>
      </w:r>
      <w:r>
        <w:rPr>
          <w:rFonts w:hint="eastAsia"/>
          <w:rtl/>
        </w:rPr>
        <w:t>»</w:t>
      </w:r>
      <w:r>
        <w:rPr>
          <w:rFonts w:hint="cs"/>
          <w:rtl/>
        </w:rPr>
        <w:t>، وفي (د) تحتمل الأمرين وهما المُثبت وما جاء في النسخ الأخر. وقد رُجح المثبت؛ لكونه الأفصح.</w:t>
      </w:r>
    </w:p>
  </w:footnote>
  <w:footnote w:id="432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أو أجر</w:t>
      </w:r>
      <w:r>
        <w:rPr>
          <w:rFonts w:hint="eastAsia"/>
          <w:rtl/>
        </w:rPr>
        <w:t>»</w:t>
      </w:r>
      <w:r>
        <w:rPr>
          <w:rFonts w:hint="cs"/>
          <w:rtl/>
        </w:rPr>
        <w:t xml:space="preserve">، وفي (د) : </w:t>
      </w:r>
      <w:r>
        <w:rPr>
          <w:rFonts w:hint="eastAsia"/>
          <w:rtl/>
        </w:rPr>
        <w:t>«</w:t>
      </w:r>
      <w:r>
        <w:rPr>
          <w:rFonts w:hint="cs"/>
          <w:rtl/>
        </w:rPr>
        <w:t>أوجر</w:t>
      </w:r>
      <w:r>
        <w:rPr>
          <w:rFonts w:hint="eastAsia"/>
          <w:rtl/>
        </w:rPr>
        <w:t>»</w:t>
      </w:r>
      <w:r>
        <w:rPr>
          <w:rFonts w:hint="cs"/>
          <w:rtl/>
        </w:rPr>
        <w:t>.</w:t>
      </w:r>
    </w:p>
  </w:footnote>
  <w:footnote w:id="432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65/أ من (جـ).</w:t>
      </w:r>
    </w:p>
  </w:footnote>
  <w:footnote w:id="4327">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فيجب الأقل من ... العقد</w:t>
      </w:r>
      <w:r>
        <w:rPr>
          <w:rFonts w:hint="eastAsia"/>
          <w:rtl/>
        </w:rPr>
        <w:t>»</w:t>
      </w:r>
      <w:r>
        <w:rPr>
          <w:rFonts w:hint="cs"/>
          <w:rtl/>
        </w:rPr>
        <w:t xml:space="preserve"> : مكررة في (جـ).</w:t>
      </w:r>
    </w:p>
  </w:footnote>
  <w:footnote w:id="43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في هذه القاعدة لفظ النص.</w:t>
      </w:r>
    </w:p>
    <w:p w:rsidR="00035BE3" w:rsidRDefault="00035BE3" w:rsidP="00C10469">
      <w:pPr>
        <w:pStyle w:val="a6"/>
        <w:ind w:left="422" w:firstLine="0"/>
        <w:rPr>
          <w:rtl/>
        </w:rPr>
      </w:pPr>
      <w:r>
        <w:rPr>
          <w:rFonts w:hint="cs"/>
          <w:b/>
          <w:bCs/>
          <w:rtl/>
        </w:rPr>
        <w:t>والنص في اللغة</w:t>
      </w:r>
      <w:r>
        <w:rPr>
          <w:rFonts w:hint="cs"/>
          <w:rtl/>
        </w:rPr>
        <w:t xml:space="preserve"> : مصدر نصَّ، والنون والصاد </w:t>
      </w:r>
      <w:r>
        <w:rPr>
          <w:rtl/>
        </w:rPr>
        <w:t>–</w:t>
      </w:r>
      <w:r>
        <w:rPr>
          <w:rFonts w:hint="cs"/>
          <w:rtl/>
        </w:rPr>
        <w:t xml:space="preserve"> كما يقول ابن فارس- : </w:t>
      </w:r>
      <w:r>
        <w:rPr>
          <w:rFonts w:hint="eastAsia"/>
          <w:rtl/>
        </w:rPr>
        <w:t>«</w:t>
      </w:r>
      <w:r>
        <w:rPr>
          <w:rFonts w:hint="cs"/>
          <w:rtl/>
        </w:rPr>
        <w:t>أصل صحيح، يدلّ على رفعٍ وارتفاعٍ وانتهاءٍ في الشيء</w:t>
      </w:r>
      <w:r>
        <w:rPr>
          <w:rFonts w:hint="eastAsia"/>
          <w:rtl/>
        </w:rPr>
        <w:t>»</w:t>
      </w:r>
      <w:r>
        <w:rPr>
          <w:rFonts w:hint="cs"/>
          <w:rtl/>
        </w:rPr>
        <w:t>.</w:t>
      </w:r>
    </w:p>
    <w:p w:rsidR="00035BE3" w:rsidRDefault="00035BE3" w:rsidP="00C10469">
      <w:pPr>
        <w:pStyle w:val="a6"/>
        <w:ind w:left="422" w:firstLine="0"/>
        <w:rPr>
          <w:rtl/>
        </w:rPr>
      </w:pPr>
      <w:r>
        <w:rPr>
          <w:rFonts w:hint="cs"/>
          <w:b/>
          <w:bCs/>
          <w:rtl/>
        </w:rPr>
        <w:t>أما في الاصطلاح</w:t>
      </w:r>
      <w:r>
        <w:rPr>
          <w:rFonts w:hint="cs"/>
          <w:rtl/>
        </w:rPr>
        <w:t xml:space="preserve"> : فيطلق على عدة معانٍ، منها :</w:t>
      </w:r>
    </w:p>
    <w:p w:rsidR="00035BE3" w:rsidRDefault="00035BE3" w:rsidP="00C10469">
      <w:pPr>
        <w:pStyle w:val="a6"/>
        <w:ind w:left="422" w:firstLine="0"/>
        <w:rPr>
          <w:rtl/>
        </w:rPr>
      </w:pPr>
      <w:r>
        <w:rPr>
          <w:rFonts w:hint="cs"/>
          <w:b/>
          <w:bCs/>
          <w:rtl/>
        </w:rPr>
        <w:t>1</w:t>
      </w:r>
      <w:r>
        <w:rPr>
          <w:rFonts w:hint="cs"/>
          <w:rtl/>
        </w:rPr>
        <w:t>- النص : الدليل من الكتاب والسنة.</w:t>
      </w:r>
    </w:p>
    <w:p w:rsidR="00035BE3" w:rsidRDefault="00035BE3" w:rsidP="00C10469">
      <w:pPr>
        <w:pStyle w:val="a6"/>
        <w:ind w:left="422" w:firstLine="0"/>
        <w:rPr>
          <w:rtl/>
        </w:rPr>
      </w:pPr>
      <w:r>
        <w:rPr>
          <w:rFonts w:hint="cs"/>
          <w:b/>
          <w:bCs/>
          <w:rtl/>
        </w:rPr>
        <w:t>2</w:t>
      </w:r>
      <w:r>
        <w:rPr>
          <w:rFonts w:hint="cs"/>
          <w:rtl/>
        </w:rPr>
        <w:t xml:space="preserve">- النص : </w:t>
      </w:r>
      <w:r>
        <w:rPr>
          <w:rFonts w:hint="eastAsia"/>
          <w:rtl/>
        </w:rPr>
        <w:t>«</w:t>
      </w:r>
      <w:r>
        <w:rPr>
          <w:rFonts w:hint="cs"/>
          <w:rtl/>
        </w:rPr>
        <w:t>الصريح في معناه</w:t>
      </w:r>
      <w:r>
        <w:rPr>
          <w:rFonts w:hint="eastAsia"/>
          <w:rtl/>
        </w:rPr>
        <w:t>»</w:t>
      </w:r>
      <w:r>
        <w:rPr>
          <w:rFonts w:hint="cs"/>
          <w:rtl/>
        </w:rPr>
        <w:t xml:space="preserve">. قال ذلك الطوفي، ثم وضَّحه بقوله : </w:t>
      </w:r>
      <w:r>
        <w:rPr>
          <w:rFonts w:hint="eastAsia"/>
          <w:rtl/>
        </w:rPr>
        <w:t>«</w:t>
      </w:r>
      <w:r>
        <w:rPr>
          <w:rFonts w:hint="cs"/>
          <w:rtl/>
        </w:rPr>
        <w:t>ومعنى كون النص هو(الصريح في معناه) : كونه خالص الدلالة عليه، لا يشوبه احتمال دلالة على غيره</w:t>
      </w:r>
      <w:r>
        <w:rPr>
          <w:rFonts w:hint="eastAsia"/>
          <w:rtl/>
        </w:rPr>
        <w:t>»</w:t>
      </w:r>
      <w:r>
        <w:rPr>
          <w:rFonts w:hint="cs"/>
          <w:rtl/>
        </w:rPr>
        <w:t>.</w:t>
      </w:r>
    </w:p>
    <w:p w:rsidR="00035BE3" w:rsidRDefault="00035BE3" w:rsidP="00C10469">
      <w:pPr>
        <w:pStyle w:val="a6"/>
        <w:ind w:left="422" w:firstLine="0"/>
        <w:rPr>
          <w:spacing w:val="-2"/>
        </w:rPr>
      </w:pPr>
      <w:r>
        <w:rPr>
          <w:rFonts w:hint="cs"/>
          <w:b/>
          <w:bCs/>
          <w:spacing w:val="-2"/>
          <w:rtl/>
        </w:rPr>
        <w:t>والمراد بالنص في هذه القاعدة</w:t>
      </w:r>
      <w:r>
        <w:rPr>
          <w:rFonts w:hint="cs"/>
          <w:spacing w:val="-2"/>
          <w:rtl/>
        </w:rPr>
        <w:t xml:space="preserve"> : المعنى الاصطلاحي الثاني دون الأول؛ لأن النص من الكتاب أو السنة قد تكون دلالته ظنيةً محتملة، فيكون الاجتهاد سائغًا حينئذ، ومن أوضح الأمثلة لذلك : ما حدث للصحابة </w:t>
      </w:r>
      <w:r>
        <w:rPr>
          <w:rFonts w:ascii="AGA Arabesque" w:hAnsi="AGA Arabesque"/>
          <w:spacing w:val="-2"/>
          <w:sz w:val="36"/>
          <w:szCs w:val="36"/>
        </w:rPr>
        <w:t></w:t>
      </w:r>
      <w:r>
        <w:rPr>
          <w:rFonts w:hint="cs"/>
          <w:spacing w:val="-2"/>
          <w:rtl/>
        </w:rPr>
        <w:t xml:space="preserve"> من اختلاف في فهم قوله </w:t>
      </w:r>
      <w:r>
        <w:rPr>
          <w:rFonts w:ascii="AGA Arabesque" w:hAnsi="AGA Arabesque"/>
          <w:spacing w:val="-2"/>
          <w:sz w:val="36"/>
          <w:szCs w:val="36"/>
          <w:lang w:val="en-US"/>
        </w:rPr>
        <w:t></w:t>
      </w:r>
      <w:r>
        <w:rPr>
          <w:rFonts w:hint="cs"/>
          <w:spacing w:val="-2"/>
          <w:rtl/>
        </w:rPr>
        <w:t xml:space="preserve"> : </w:t>
      </w:r>
      <w:r>
        <w:rPr>
          <w:rFonts w:hint="eastAsia"/>
          <w:spacing w:val="-2"/>
          <w:rtl/>
        </w:rPr>
        <w:t>«</w:t>
      </w:r>
      <w:r>
        <w:rPr>
          <w:rFonts w:cs="DecoType Naskh" w:hint="cs"/>
          <w:spacing w:val="-2"/>
          <w:rtl/>
        </w:rPr>
        <w:t>لا يصليّن</w:t>
      </w:r>
      <w:r>
        <w:rPr>
          <w:rFonts w:cs="DecoType Naskh" w:hint="cs"/>
          <w:spacing w:val="-2"/>
          <w:rtl/>
          <w:lang w:bidi="ar-AE"/>
        </w:rPr>
        <w:t>َ</w:t>
      </w:r>
      <w:r>
        <w:rPr>
          <w:rFonts w:cs="DecoType Naskh" w:hint="cs"/>
          <w:spacing w:val="-2"/>
          <w:rtl/>
        </w:rPr>
        <w:t xml:space="preserve"> أحَدٌ العصـرَ إلا في بني قُـرَيْظَةَ</w:t>
      </w:r>
      <w:r>
        <w:rPr>
          <w:rFonts w:hint="eastAsia"/>
          <w:spacing w:val="-2"/>
          <w:rtl/>
        </w:rPr>
        <w:t>»</w:t>
      </w:r>
      <w:r>
        <w:rPr>
          <w:rFonts w:hint="cs"/>
          <w:spacing w:val="-2"/>
          <w:rtl/>
        </w:rPr>
        <w:t>.</w:t>
      </w:r>
    </w:p>
    <w:p w:rsidR="00035BE3" w:rsidRDefault="00035BE3" w:rsidP="00C10469">
      <w:pPr>
        <w:pStyle w:val="a6"/>
        <w:ind w:left="422" w:firstLine="0"/>
        <w:rPr>
          <w:rtl/>
        </w:rPr>
      </w:pPr>
      <w:r>
        <w:rPr>
          <w:rFonts w:hint="cs"/>
          <w:rtl/>
        </w:rPr>
        <w:t>وممّا يرجح المعنى الثاني أيضًا : كونه يجعل مدلول القاعدة أوسع؛ إذ تشمل كل لفظ كانت دلالته نصيّة، سواء كان مصدره الكتاب الكريم أم السنة المطهّرة ويدخل في ذلك تبعًا النص الصادر من الموصي والواقف والحاكم ... الخ.</w:t>
      </w:r>
    </w:p>
    <w:p w:rsidR="00035BE3" w:rsidRDefault="00035BE3" w:rsidP="00C10469">
      <w:pPr>
        <w:pStyle w:val="a6"/>
        <w:ind w:left="422" w:firstLine="0"/>
        <w:rPr>
          <w:rtl/>
        </w:rPr>
      </w:pPr>
      <w:r>
        <w:rPr>
          <w:rFonts w:hint="cs"/>
          <w:rtl/>
        </w:rPr>
        <w:t xml:space="preserve">إذا علم هذا فيمكن أن يقال في </w:t>
      </w:r>
      <w:r>
        <w:rPr>
          <w:rFonts w:hint="cs"/>
          <w:b/>
          <w:bCs/>
          <w:rtl/>
        </w:rPr>
        <w:t>معنى القاعدة</w:t>
      </w:r>
      <w:r>
        <w:rPr>
          <w:rFonts w:hint="cs"/>
          <w:rtl/>
        </w:rPr>
        <w:t xml:space="preserve"> :</w:t>
      </w:r>
    </w:p>
    <w:p w:rsidR="00035BE3" w:rsidRDefault="00035BE3" w:rsidP="00C10469">
      <w:pPr>
        <w:pStyle w:val="a6"/>
        <w:ind w:left="422" w:firstLine="0"/>
        <w:rPr>
          <w:rtl/>
        </w:rPr>
      </w:pPr>
      <w:r>
        <w:rPr>
          <w:rFonts w:hint="cs"/>
          <w:rtl/>
        </w:rPr>
        <w:t>إذا ورد من الشارع أو المكلّف لفظ صريح الدلالة على معناه، لا يشوبه احتمال دلالته على غيره : فلا يجوز لأحد أن يحمل ذلك اللفظ على معنى آخر باجتهاده.</w:t>
      </w:r>
    </w:p>
    <w:p w:rsidR="00035BE3" w:rsidRDefault="00035BE3" w:rsidP="00C10469">
      <w:pPr>
        <w:pStyle w:val="a6"/>
        <w:ind w:left="422" w:firstLine="0"/>
        <w:rPr>
          <w:rtl/>
        </w:rPr>
      </w:pPr>
      <w:r>
        <w:rPr>
          <w:rFonts w:hint="cs"/>
          <w:b/>
          <w:bCs/>
          <w:rtl/>
        </w:rPr>
        <w:t>ولتوثيق ما سبق</w:t>
      </w:r>
      <w:r>
        <w:rPr>
          <w:rFonts w:hint="cs"/>
          <w:rtl/>
        </w:rPr>
        <w:t xml:space="preserve"> : فإن المعنى اللغوي منقول من المقاييس في اللغة، مادة </w:t>
      </w:r>
      <w:r>
        <w:rPr>
          <w:rFonts w:hint="eastAsia"/>
          <w:rtl/>
        </w:rPr>
        <w:t>«</w:t>
      </w:r>
      <w:r>
        <w:rPr>
          <w:rFonts w:hint="cs"/>
          <w:rtl/>
        </w:rPr>
        <w:t>نص</w:t>
      </w:r>
      <w:r>
        <w:rPr>
          <w:rFonts w:hint="eastAsia"/>
          <w:rtl/>
        </w:rPr>
        <w:t>»</w:t>
      </w:r>
      <w:r>
        <w:rPr>
          <w:rFonts w:hint="cs"/>
          <w:rtl/>
        </w:rPr>
        <w:t xml:space="preserve">، ص998؛ وانظر: القاموس المحيط، مادة </w:t>
      </w:r>
      <w:r>
        <w:rPr>
          <w:rFonts w:hint="eastAsia"/>
          <w:rtl/>
        </w:rPr>
        <w:t>«</w:t>
      </w:r>
      <w:r>
        <w:rPr>
          <w:rFonts w:hint="cs"/>
          <w:rtl/>
        </w:rPr>
        <w:t>نص</w:t>
      </w:r>
      <w:r>
        <w:rPr>
          <w:rFonts w:hint="eastAsia"/>
          <w:rtl/>
        </w:rPr>
        <w:t>»</w:t>
      </w:r>
      <w:r>
        <w:rPr>
          <w:rFonts w:hint="cs"/>
          <w:rtl/>
        </w:rPr>
        <w:t>، ص816.</w:t>
      </w:r>
    </w:p>
    <w:p w:rsidR="00035BE3" w:rsidRDefault="00035BE3" w:rsidP="00C10469">
      <w:pPr>
        <w:pStyle w:val="a6"/>
        <w:ind w:left="422" w:firstLine="0"/>
        <w:rPr>
          <w:spacing w:val="4"/>
          <w:rtl/>
        </w:rPr>
      </w:pPr>
      <w:r>
        <w:rPr>
          <w:rFonts w:hint="cs"/>
          <w:spacing w:val="4"/>
          <w:rtl/>
        </w:rPr>
        <w:t xml:space="preserve">والمعنى الاصطلاحي </w:t>
      </w:r>
      <w:r>
        <w:rPr>
          <w:rFonts w:hint="cs"/>
          <w:b/>
          <w:bCs/>
          <w:spacing w:val="4"/>
          <w:rtl/>
        </w:rPr>
        <w:t>الأول</w:t>
      </w:r>
      <w:r>
        <w:rPr>
          <w:rFonts w:hint="cs"/>
          <w:spacing w:val="4"/>
          <w:rtl/>
        </w:rPr>
        <w:t xml:space="preserve"> : مستفاد من : قواعد الفقه (الرسالة الرابعة : التعريفات الفقهية)، ص527؛ معجم المصطلحات والألفاظ الفقهية، 3/420؛ وانظر : التحرير وتيسيره، 1/137؛ وانظر كذلك : شرح تنقيح الفصول، ص36-37؛ نزهة الخاطر 2/26-27.</w:t>
      </w:r>
    </w:p>
    <w:p w:rsidR="00035BE3" w:rsidRDefault="00035BE3" w:rsidP="00C10469">
      <w:pPr>
        <w:pStyle w:val="a6"/>
        <w:ind w:left="422" w:firstLine="0"/>
        <w:rPr>
          <w:spacing w:val="8"/>
          <w:rtl/>
        </w:rPr>
      </w:pPr>
      <w:r>
        <w:rPr>
          <w:rFonts w:hint="cs"/>
          <w:b/>
          <w:bCs/>
          <w:spacing w:val="8"/>
          <w:rtl/>
        </w:rPr>
        <w:t>والثاني</w:t>
      </w:r>
      <w:r>
        <w:rPr>
          <w:rFonts w:hint="cs"/>
          <w:spacing w:val="8"/>
          <w:rtl/>
        </w:rPr>
        <w:t xml:space="preserve"> : مستفاد من شرح مختصر الروضة، 1/554؛ وانظر : كتاب الحدود في الأصول لابن فورك، ص140؛ المعتمد، 1/319؛ العدة، 1/137؛ البرهان، 1/277، فقرة 314؛ أصول الـسرخسي، 1/164؛ قواطع الأدلة، 2/59؛ شرح تنقيح الفصول، ص36؛ المغني للخبازي، ص125.</w:t>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r>
        <w:rPr>
          <w:rFonts w:hint="cs"/>
          <w:spacing w:val="8"/>
          <w:rtl/>
        </w:rPr>
        <w:tab/>
      </w:r>
    </w:p>
    <w:p w:rsidR="00035BE3" w:rsidRDefault="00035BE3" w:rsidP="00C10469">
      <w:pPr>
        <w:pStyle w:val="a6"/>
        <w:ind w:left="422" w:firstLine="0"/>
        <w:rPr>
          <w:rtl/>
        </w:rPr>
      </w:pPr>
      <w:r>
        <w:rPr>
          <w:rFonts w:hint="cs"/>
          <w:b/>
          <w:bCs/>
          <w:rtl/>
        </w:rPr>
        <w:t>وحديث</w:t>
      </w:r>
      <w:r>
        <w:rPr>
          <w:rFonts w:hint="cs"/>
          <w:rtl/>
        </w:rPr>
        <w:t xml:space="preserve"> : </w:t>
      </w:r>
      <w:r>
        <w:rPr>
          <w:rFonts w:hint="eastAsia"/>
          <w:rtl/>
        </w:rPr>
        <w:t>«</w:t>
      </w:r>
      <w:r>
        <w:rPr>
          <w:rFonts w:hint="cs"/>
          <w:rtl/>
        </w:rPr>
        <w:t>لا يصلين ...</w:t>
      </w:r>
      <w:r>
        <w:rPr>
          <w:rFonts w:hint="eastAsia"/>
          <w:rtl/>
        </w:rPr>
        <w:t>»</w:t>
      </w:r>
      <w:r>
        <w:rPr>
          <w:rFonts w:hint="cs"/>
          <w:rtl/>
        </w:rPr>
        <w:t>: أخرجه البخاري، كتاب صلاة الخوف، باب صلاة الطالب والمطلوب راكبًا وإيماء، 1/321، ح904.</w:t>
      </w:r>
    </w:p>
    <w:p w:rsidR="00035BE3" w:rsidRDefault="00035BE3" w:rsidP="00C10469">
      <w:pPr>
        <w:pStyle w:val="a6"/>
        <w:ind w:left="422" w:firstLine="0"/>
        <w:rPr>
          <w:rtl/>
        </w:rPr>
      </w:pPr>
      <w:r>
        <w:rPr>
          <w:rFonts w:hint="cs"/>
          <w:b/>
          <w:bCs/>
          <w:rtl/>
        </w:rPr>
        <w:t>ولو عدت إلى القاعدة</w:t>
      </w:r>
      <w:r>
        <w:rPr>
          <w:rFonts w:hint="cs"/>
          <w:rtl/>
        </w:rPr>
        <w:t xml:space="preserve"> : فإنها من القواعد المشتركة بين علمي أصول الفقه وقواعده :</w:t>
      </w:r>
    </w:p>
    <w:p w:rsidR="00035BE3" w:rsidRPr="00555499" w:rsidRDefault="00035BE3" w:rsidP="00C10469">
      <w:pPr>
        <w:pStyle w:val="a6"/>
        <w:ind w:left="422" w:firstLine="0"/>
        <w:rPr>
          <w:spacing w:val="4"/>
          <w:rtl/>
        </w:rPr>
      </w:pPr>
      <w:r w:rsidRPr="00555499">
        <w:rPr>
          <w:spacing w:val="4"/>
          <w:rtl/>
        </w:rPr>
        <w:t>•</w:t>
      </w:r>
      <w:r w:rsidRPr="00555499">
        <w:rPr>
          <w:rFonts w:hint="cs"/>
          <w:spacing w:val="4"/>
          <w:rtl/>
        </w:rPr>
        <w:t xml:space="preserve"> إذ إن النص إذا كان من الكتاب والسنة: فهي أصولية؛ لتعلقها حينئذ بموضوع أصول الفقه (وهو الأدلة).</w:t>
      </w:r>
    </w:p>
    <w:p w:rsidR="00035BE3" w:rsidRDefault="00035BE3" w:rsidP="00C10469">
      <w:pPr>
        <w:pStyle w:val="a6"/>
        <w:ind w:left="-32" w:firstLine="454"/>
        <w:rPr>
          <w:rtl/>
        </w:rPr>
      </w:pPr>
      <w:r>
        <w:rPr>
          <w:rtl/>
        </w:rPr>
        <w:t>•</w:t>
      </w:r>
      <w:r>
        <w:rPr>
          <w:rFonts w:hint="cs"/>
          <w:rtl/>
        </w:rPr>
        <w:t xml:space="preserve"> وإذا كان صادرًا من المكلفين : فهي فقهية لتعلقها بتصرفات المكلفين.</w:t>
      </w:r>
    </w:p>
    <w:p w:rsidR="00035BE3" w:rsidRDefault="00035BE3" w:rsidP="00C10469">
      <w:pPr>
        <w:pStyle w:val="a6"/>
        <w:ind w:left="422" w:firstLine="0"/>
        <w:rPr>
          <w:rtl/>
        </w:rPr>
      </w:pPr>
      <w:r>
        <w:rPr>
          <w:rFonts w:hint="cs"/>
          <w:rtl/>
        </w:rPr>
        <w:t>كما أنها فقهية من جهة أخرى وهي تعلقها بباب القضاء وما يتصل به من نقض حكم القاضي إذا خالف نصوص الكتاب والسنة.</w:t>
      </w:r>
    </w:p>
    <w:p w:rsidR="00035BE3" w:rsidRDefault="00035BE3" w:rsidP="00C10469">
      <w:pPr>
        <w:pStyle w:val="a6"/>
        <w:ind w:left="422" w:firstLine="0"/>
        <w:rPr>
          <w:rtl/>
        </w:rPr>
      </w:pPr>
      <w:r>
        <w:rPr>
          <w:rFonts w:hint="cs"/>
          <w:rtl/>
        </w:rPr>
        <w:t>وممّا يؤكد كونها أصولية وفقهية ورودها في كثير من كتب هذين العلمين :</w:t>
      </w:r>
    </w:p>
    <w:p w:rsidR="00035BE3" w:rsidRDefault="00035BE3" w:rsidP="00C10469">
      <w:pPr>
        <w:pStyle w:val="a6"/>
        <w:ind w:left="422" w:firstLine="0"/>
        <w:rPr>
          <w:b/>
          <w:bCs/>
          <w:rtl/>
        </w:rPr>
      </w:pPr>
      <w:r>
        <w:rPr>
          <w:rFonts w:hint="cs"/>
          <w:b/>
          <w:bCs/>
          <w:rtl/>
        </w:rPr>
        <w:t>فمن كتب الأصول :</w:t>
      </w:r>
    </w:p>
    <w:p w:rsidR="00035BE3" w:rsidRDefault="00035BE3" w:rsidP="00C10469">
      <w:pPr>
        <w:pStyle w:val="a6"/>
        <w:ind w:left="422" w:firstLine="0"/>
        <w:rPr>
          <w:rtl/>
        </w:rPr>
      </w:pPr>
      <w:r>
        <w:rPr>
          <w:rFonts w:hint="cs"/>
          <w:rtl/>
        </w:rPr>
        <w:t>المعتمد، 2/670؛ كتاب الفقيه والمتفقه للبغدادي، 1/504؛ إعلام الموقعين، 2/247؛ معالم أصول الفقه عند أهل السنة والجماعة، ص481؛ الاجتهاد في الإسلام للدكتورة نادية العمري، ص52.</w:t>
      </w:r>
    </w:p>
    <w:p w:rsidR="00035BE3" w:rsidRDefault="00035BE3" w:rsidP="00C10469">
      <w:pPr>
        <w:pStyle w:val="a6"/>
        <w:ind w:left="422" w:firstLine="0"/>
        <w:rPr>
          <w:rtl/>
        </w:rPr>
      </w:pPr>
      <w:r>
        <w:rPr>
          <w:rFonts w:hint="cs"/>
          <w:rtl/>
        </w:rPr>
        <w:t>كما أن ما ذكره الأصوليون من نقض الاجتهاد المخالف للكتاب والسنة يعد مبنيًّا على هذه القاعدة، وقد أشار إلى ذلك المؤلف في بداية شرحه للقاعدة.</w:t>
      </w:r>
    </w:p>
    <w:p w:rsidR="00035BE3" w:rsidRDefault="00035BE3" w:rsidP="00C10469">
      <w:pPr>
        <w:pStyle w:val="a6"/>
        <w:ind w:left="422" w:firstLine="0"/>
        <w:rPr>
          <w:rtl/>
        </w:rPr>
      </w:pPr>
      <w:r>
        <w:rPr>
          <w:rFonts w:hint="cs"/>
          <w:rtl/>
        </w:rPr>
        <w:t>ومسألة (نقض الاجتهاد) أُلِّف فيها كتابان، أحدهما أصولي والثاني فقهي :</w:t>
      </w:r>
    </w:p>
    <w:p w:rsidR="00035BE3" w:rsidRDefault="00035BE3" w:rsidP="00C10469">
      <w:pPr>
        <w:pStyle w:val="a6"/>
        <w:ind w:left="422" w:firstLine="0"/>
        <w:rPr>
          <w:rtl/>
        </w:rPr>
      </w:pPr>
      <w:r>
        <w:rPr>
          <w:rFonts w:hint="cs"/>
          <w:b/>
          <w:bCs/>
          <w:rtl/>
        </w:rPr>
        <w:t>فالأول</w:t>
      </w:r>
      <w:r>
        <w:rPr>
          <w:rFonts w:hint="cs"/>
          <w:rtl/>
        </w:rPr>
        <w:t xml:space="preserve"> : نقض الاجتهاد لشيخنا د. أحمد العنقري.</w:t>
      </w:r>
    </w:p>
    <w:p w:rsidR="00035BE3" w:rsidRDefault="00035BE3" w:rsidP="00C10469">
      <w:pPr>
        <w:pStyle w:val="a6"/>
        <w:ind w:left="422" w:firstLine="0"/>
        <w:rPr>
          <w:rtl/>
        </w:rPr>
      </w:pPr>
      <w:r>
        <w:rPr>
          <w:rFonts w:hint="cs"/>
          <w:b/>
          <w:bCs/>
          <w:rtl/>
        </w:rPr>
        <w:t>والثاني</w:t>
      </w:r>
      <w:r>
        <w:rPr>
          <w:rFonts w:hint="cs"/>
          <w:rtl/>
        </w:rPr>
        <w:t xml:space="preserve"> : نقض الأحكام القضائية في الفقه لِـ أ.د. عبد الكريم اللاحم.</w:t>
      </w:r>
    </w:p>
    <w:p w:rsidR="00035BE3" w:rsidRDefault="00035BE3" w:rsidP="00C10469">
      <w:pPr>
        <w:pStyle w:val="a6"/>
        <w:ind w:left="422" w:firstLine="0"/>
        <w:rPr>
          <w:rtl/>
        </w:rPr>
      </w:pPr>
      <w:r>
        <w:rPr>
          <w:rFonts w:hint="cs"/>
          <w:rtl/>
        </w:rPr>
        <w:t>وهذه المسألة سبق أن تحدّث عنها المؤلف في قاعدة مستقلة، ص247 (ل4/أ)، قاعدة 6.</w:t>
      </w:r>
    </w:p>
    <w:p w:rsidR="00035BE3" w:rsidRDefault="00035BE3" w:rsidP="00C10469">
      <w:pPr>
        <w:pStyle w:val="a6"/>
        <w:ind w:left="422" w:firstLine="0"/>
        <w:rPr>
          <w:b/>
          <w:bCs/>
          <w:rtl/>
        </w:rPr>
      </w:pPr>
      <w:r>
        <w:rPr>
          <w:rFonts w:hint="cs"/>
          <w:b/>
          <w:bCs/>
          <w:rtl/>
        </w:rPr>
        <w:t>ومن كتب القواعد :</w:t>
      </w:r>
    </w:p>
    <w:p w:rsidR="00035BE3" w:rsidRDefault="00035BE3" w:rsidP="00C10469">
      <w:pPr>
        <w:pStyle w:val="a6"/>
        <w:ind w:left="422" w:firstLine="0"/>
        <w:rPr>
          <w:spacing w:val="4"/>
          <w:rtl/>
        </w:rPr>
      </w:pPr>
      <w:r>
        <w:rPr>
          <w:rFonts w:hint="cs"/>
          <w:spacing w:val="4"/>
          <w:rtl/>
        </w:rPr>
        <w:t xml:space="preserve">مجامع الحقائق (الخاتمة)، ص46؛ شرح العلائي لقواعد الخادمي، ل34/ب؛ مـنافع الدقائـق، ص329؛ مجلّة الأحكام العدلية، مادة 14؛ شرحها لسليم رستم، 1/25؛ ولعلي حيدر، 1/29؛ وللأتاسي، 1/40؛ وشرح قواعدها للزرقا، ص147؛ قواعد الفقه للمجدّدي، ص108، قاعدة 260؛ المدخل الفقهي العام، 2/1008، فقرة 623؛ القواعد الفقهية للدكتور عـلي النـدوي، ص180، 459؛ الوجيز، ص328؛ موسوعة القواعد الفقهية، 1/39- وجميعهم بلفظ المؤلف سوى الأخير، حيث جاء فيه : </w:t>
      </w:r>
      <w:r>
        <w:rPr>
          <w:rFonts w:hint="eastAsia"/>
          <w:spacing w:val="4"/>
          <w:rtl/>
        </w:rPr>
        <w:t>«</w:t>
      </w:r>
      <w:r>
        <w:rPr>
          <w:rFonts w:hint="cs"/>
          <w:spacing w:val="4"/>
          <w:rtl/>
        </w:rPr>
        <w:t>لا اجتهاد مع النص</w:t>
      </w:r>
      <w:r>
        <w:rPr>
          <w:rFonts w:hint="eastAsia"/>
          <w:spacing w:val="4"/>
          <w:rtl/>
        </w:rPr>
        <w:t>»</w:t>
      </w:r>
      <w:r>
        <w:rPr>
          <w:rFonts w:hint="cs"/>
          <w:spacing w:val="4"/>
          <w:rtl/>
        </w:rPr>
        <w:t>.</w:t>
      </w:r>
    </w:p>
    <w:p w:rsidR="00035BE3" w:rsidRDefault="00035BE3" w:rsidP="00C10469">
      <w:pPr>
        <w:pStyle w:val="a6"/>
        <w:ind w:left="422" w:firstLine="0"/>
        <w:rPr>
          <w:rtl/>
        </w:rPr>
      </w:pPr>
      <w:r>
        <w:rPr>
          <w:rFonts w:hint="cs"/>
          <w:rtl/>
        </w:rPr>
        <w:t xml:space="preserve">كما وردت </w:t>
      </w:r>
      <w:r>
        <w:rPr>
          <w:rFonts w:hint="cs"/>
          <w:b/>
          <w:bCs/>
          <w:rtl/>
        </w:rPr>
        <w:t>في بعض كتب الفقه</w:t>
      </w:r>
      <w:r>
        <w:rPr>
          <w:rFonts w:hint="cs"/>
          <w:rtl/>
        </w:rPr>
        <w:t>، منها :</w:t>
      </w:r>
    </w:p>
    <w:p w:rsidR="00035BE3" w:rsidRDefault="00035BE3" w:rsidP="00C10469">
      <w:pPr>
        <w:pStyle w:val="a6"/>
        <w:ind w:left="422" w:firstLine="0"/>
        <w:rPr>
          <w:rtl/>
        </w:rPr>
      </w:pPr>
      <w:r>
        <w:rPr>
          <w:rFonts w:hint="cs"/>
          <w:rtl/>
        </w:rPr>
        <w:t>الهداية، 9/490؛ فتح القدير، 7/301؛ الدرر شرح الغرر، 2/168- ولفظه مطابق للفظ المؤلف-؛ البحر الرائق، 7/11؛ تكملته، 8/191.</w:t>
      </w:r>
    </w:p>
  </w:footnote>
  <w:footnote w:id="432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أحكم</w:t>
      </w:r>
      <w:r>
        <w:rPr>
          <w:rFonts w:hint="eastAsia"/>
          <w:rtl/>
        </w:rPr>
        <w:t>»</w:t>
      </w:r>
      <w:r>
        <w:rPr>
          <w:rFonts w:hint="cs"/>
          <w:rtl/>
        </w:rPr>
        <w:t>.</w:t>
      </w:r>
    </w:p>
  </w:footnote>
  <w:footnote w:id="433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ويحل</w:t>
      </w:r>
      <w:r>
        <w:rPr>
          <w:rFonts w:hint="eastAsia"/>
          <w:rtl/>
        </w:rPr>
        <w:t>»</w:t>
      </w:r>
      <w:r>
        <w:rPr>
          <w:rFonts w:hint="cs"/>
          <w:rtl/>
        </w:rPr>
        <w:t>.</w:t>
      </w:r>
    </w:p>
  </w:footnote>
  <w:footnote w:id="433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الأم، 2/356؛ مغني المحتاج، 4/272.</w:t>
      </w:r>
    </w:p>
    <w:p w:rsidR="00035BE3" w:rsidRDefault="00035BE3" w:rsidP="00C10469">
      <w:pPr>
        <w:pStyle w:val="a6"/>
        <w:ind w:left="422" w:firstLine="0"/>
        <w:rPr>
          <w:rtl/>
        </w:rPr>
      </w:pPr>
      <w:r>
        <w:rPr>
          <w:rFonts w:hint="cs"/>
          <w:rtl/>
        </w:rPr>
        <w:t>وانظر الخلاف في حكم متروك التسمية في : الهداية والعناية وفتح القدير أو نتائج الأفكار، 6/456، 7/300، 301، 9/489؛ المستوعب للسامرّي، 4/370؛ المغني لابن قدامة، 14/34؛ الدرر شرح الغرر، 1/278، 2/168؛ البحر الرائق، 7/11، 8/191؛ دليل الطالب، ص553، فقرة 1545؛ الدر المختار وردّ المحتار، 8/87؛ الشرح الكبير وحاشية الدسوقي، 2/106.</w:t>
      </w:r>
    </w:p>
    <w:p w:rsidR="00035BE3" w:rsidRDefault="00035BE3" w:rsidP="00C10469">
      <w:pPr>
        <w:pStyle w:val="a6"/>
        <w:ind w:left="422" w:firstLine="0"/>
        <w:rPr>
          <w:rtl/>
        </w:rPr>
      </w:pPr>
      <w:r>
        <w:rPr>
          <w:rFonts w:hint="cs"/>
          <w:rtl/>
        </w:rPr>
        <w:t>يضاف إلى ذلك أن ابن نجيم أفرد رسالة (في متروك التسمية عمدًا) وذلك في كتابه : الرسائل الزينية في مذهب الحنفية، ص315، الرسالة 26 .</w:t>
      </w:r>
    </w:p>
  </w:footnote>
  <w:footnote w:id="433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عليه</w:t>
      </w:r>
      <w:r>
        <w:rPr>
          <w:rFonts w:hint="eastAsia"/>
          <w:rtl/>
        </w:rPr>
        <w:t>»</w:t>
      </w:r>
      <w:r>
        <w:rPr>
          <w:rFonts w:hint="cs"/>
          <w:rtl/>
        </w:rPr>
        <w:t>. والصحيح ما تمَّ إثباته من (ب).</w:t>
      </w:r>
    </w:p>
  </w:footnote>
  <w:footnote w:id="433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الآية رقم (121) من سورة (الأنعام).</w:t>
      </w:r>
    </w:p>
  </w:footnote>
  <w:footnote w:id="433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الحديث بهذا اللفظ لم أقف عليه في كتب الحديث المسندة، وإنما ورد به في بعض كتب الفقه وأصوله مع اختلاف في آخره، حيث جاء في الهداية والعناية ونتائج الأفكار </w:t>
      </w:r>
      <w:r>
        <w:rPr>
          <w:rtl/>
        </w:rPr>
        <w:t>–</w:t>
      </w:r>
      <w:r>
        <w:rPr>
          <w:rFonts w:hint="cs"/>
          <w:rtl/>
        </w:rPr>
        <w:t xml:space="preserve">9/490- وشرح المغني للقاءاني </w:t>
      </w:r>
      <w:r>
        <w:rPr>
          <w:rtl/>
        </w:rPr>
        <w:t>–</w:t>
      </w:r>
      <w:r>
        <w:rPr>
          <w:rFonts w:hint="cs"/>
          <w:rtl/>
        </w:rPr>
        <w:t xml:space="preserve">ق1، جـ2، ص463- : </w:t>
      </w:r>
      <w:r>
        <w:rPr>
          <w:rFonts w:hint="eastAsia"/>
          <w:rtl/>
        </w:rPr>
        <w:t>«</w:t>
      </w:r>
      <w:r>
        <w:rPr>
          <w:rFonts w:hint="cs"/>
          <w:rtl/>
        </w:rPr>
        <w:t xml:space="preserve">... أو </w:t>
      </w:r>
      <w:r>
        <w:rPr>
          <w:rFonts w:hint="cs"/>
          <w:b/>
          <w:bCs/>
          <w:rtl/>
        </w:rPr>
        <w:t>لم</w:t>
      </w:r>
      <w:r>
        <w:rPr>
          <w:rFonts w:hint="cs"/>
          <w:rtl/>
        </w:rPr>
        <w:t xml:space="preserve"> يسمّ</w:t>
      </w:r>
      <w:r>
        <w:rPr>
          <w:rFonts w:hint="eastAsia"/>
          <w:rtl/>
        </w:rPr>
        <w:t>»</w:t>
      </w:r>
      <w:r>
        <w:rPr>
          <w:rFonts w:hint="cs"/>
          <w:rtl/>
        </w:rPr>
        <w:t xml:space="preserve"> وليس : </w:t>
      </w:r>
      <w:r>
        <w:rPr>
          <w:rFonts w:hint="eastAsia"/>
          <w:rtl/>
        </w:rPr>
        <w:t>«</w:t>
      </w:r>
      <w:r>
        <w:rPr>
          <w:rFonts w:hint="cs"/>
          <w:rtl/>
        </w:rPr>
        <w:t xml:space="preserve">أو </w:t>
      </w:r>
      <w:r>
        <w:rPr>
          <w:rFonts w:hint="cs"/>
          <w:b/>
          <w:bCs/>
          <w:rtl/>
        </w:rPr>
        <w:t>لا</w:t>
      </w:r>
      <w:r>
        <w:rPr>
          <w:rFonts w:hint="cs"/>
          <w:rtl/>
        </w:rPr>
        <w:t xml:space="preserve"> يسمِّ</w:t>
      </w:r>
      <w:r>
        <w:rPr>
          <w:rFonts w:hint="eastAsia"/>
          <w:rtl/>
        </w:rPr>
        <w:t>»</w:t>
      </w:r>
      <w:r>
        <w:rPr>
          <w:rFonts w:hint="cs"/>
          <w:rtl/>
        </w:rPr>
        <w:t>. والصحيح : (لم)؛ وأمارة ذلك ورودالفعل بعدها مجزوماً، و(لا) النافية لا تجزم.</w:t>
      </w:r>
    </w:p>
    <w:p w:rsidR="00035BE3" w:rsidRDefault="00035BE3" w:rsidP="00C10469">
      <w:pPr>
        <w:pStyle w:val="a6"/>
        <w:ind w:left="422" w:firstLine="0"/>
        <w:rPr>
          <w:rtl/>
        </w:rPr>
      </w:pPr>
      <w:r>
        <w:rPr>
          <w:rFonts w:hint="cs"/>
          <w:rtl/>
        </w:rPr>
        <w:t>أما معناه فقد وردت به عدة أخبار.</w:t>
      </w:r>
    </w:p>
    <w:p w:rsidR="00035BE3" w:rsidRDefault="00035BE3" w:rsidP="00C10469">
      <w:pPr>
        <w:pStyle w:val="a6"/>
        <w:ind w:left="422" w:firstLine="0"/>
        <w:rPr>
          <w:rtl/>
        </w:rPr>
      </w:pPr>
      <w:r>
        <w:rPr>
          <w:rFonts w:hint="cs"/>
          <w:rtl/>
        </w:rPr>
        <w:t>وقد صرّح بغرابة هذا اللفظ، أو عدم الوقوف عليه، مع ورود بعض الأخبار بمعناه -صرّح بذلك عددٌ من المحدّثين، منهم : الزيلعي وابن حجر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tl/>
        </w:rPr>
        <w:t>•</w:t>
      </w:r>
      <w:r>
        <w:rPr>
          <w:rFonts w:hint="cs"/>
          <w:rtl/>
        </w:rPr>
        <w:t xml:space="preserve"> يقول الزيلعي في (نصب الراية) </w:t>
      </w:r>
      <w:r>
        <w:rPr>
          <w:rtl/>
        </w:rPr>
        <w:t>–</w:t>
      </w:r>
      <w:r>
        <w:rPr>
          <w:rFonts w:hint="cs"/>
          <w:rtl/>
        </w:rPr>
        <w:t xml:space="preserve">4/182- : </w:t>
      </w:r>
      <w:r>
        <w:rPr>
          <w:rFonts w:hint="eastAsia"/>
          <w:rtl/>
        </w:rPr>
        <w:t>«</w:t>
      </w:r>
      <w:r>
        <w:rPr>
          <w:rFonts w:hint="cs"/>
          <w:rtl/>
        </w:rPr>
        <w:t xml:space="preserve">قال </w:t>
      </w:r>
      <w:r>
        <w:rPr>
          <w:rFonts w:ascii="AGA Arabesque" w:hAnsi="AGA Arabesque"/>
          <w:sz w:val="36"/>
          <w:szCs w:val="36"/>
        </w:rPr>
        <w:t></w:t>
      </w:r>
      <w:r>
        <w:rPr>
          <w:rFonts w:hint="cs"/>
          <w:rtl/>
        </w:rPr>
        <w:t xml:space="preserve"> : </w:t>
      </w:r>
      <w:r>
        <w:rPr>
          <w:rFonts w:hint="eastAsia"/>
          <w:rtl/>
        </w:rPr>
        <w:t>«</w:t>
      </w:r>
      <w:r>
        <w:rPr>
          <w:rFonts w:hint="cs"/>
          <w:rtl/>
        </w:rPr>
        <w:t>المسلم يذبح على اسم الله تعالى، سمى أو لمْ يسمِّ</w:t>
      </w:r>
      <w:r>
        <w:rPr>
          <w:rFonts w:hint="eastAsia"/>
          <w:rtl/>
        </w:rPr>
        <w:t>»</w:t>
      </w:r>
      <w:r>
        <w:rPr>
          <w:rFonts w:hint="cs"/>
          <w:rtl/>
        </w:rPr>
        <w:t>. قلت : غريب بهذا اللفظ، وفي معناه أحاديث ...</w:t>
      </w:r>
      <w:r>
        <w:rPr>
          <w:rFonts w:hint="eastAsia"/>
          <w:rtl/>
        </w:rPr>
        <w:t>»</w:t>
      </w:r>
      <w:r>
        <w:rPr>
          <w:rFonts w:hint="cs"/>
          <w:rtl/>
        </w:rPr>
        <w:t xml:space="preserve"> .</w:t>
      </w:r>
    </w:p>
    <w:p w:rsidR="00035BE3" w:rsidRDefault="00035BE3" w:rsidP="00C10469">
      <w:pPr>
        <w:pStyle w:val="a6"/>
        <w:ind w:left="422" w:firstLine="0"/>
        <w:rPr>
          <w:rtl/>
        </w:rPr>
      </w:pPr>
      <w:r>
        <w:rPr>
          <w:rtl/>
        </w:rPr>
        <w:t>•</w:t>
      </w:r>
      <w:r>
        <w:rPr>
          <w:rFonts w:hint="cs"/>
          <w:rtl/>
        </w:rPr>
        <w:t xml:space="preserve"> ويقول الحافظ في (الدراية) </w:t>
      </w:r>
      <w:r>
        <w:rPr>
          <w:rtl/>
        </w:rPr>
        <w:t>–</w:t>
      </w:r>
      <w:r>
        <w:rPr>
          <w:rFonts w:hint="cs"/>
          <w:rtl/>
        </w:rPr>
        <w:t xml:space="preserve">2/206- : </w:t>
      </w:r>
      <w:r>
        <w:rPr>
          <w:rFonts w:hint="eastAsia"/>
          <w:rtl/>
        </w:rPr>
        <w:t>«</w:t>
      </w:r>
      <w:r>
        <w:rPr>
          <w:rFonts w:hint="cs"/>
          <w:rtl/>
        </w:rPr>
        <w:t xml:space="preserve">حديث : </w:t>
      </w:r>
      <w:r>
        <w:rPr>
          <w:rFonts w:hint="eastAsia"/>
          <w:rtl/>
        </w:rPr>
        <w:t>«</w:t>
      </w:r>
      <w:r>
        <w:rPr>
          <w:rFonts w:hint="cs"/>
          <w:rtl/>
        </w:rPr>
        <w:t>المسلم يذبح على اسم الله تعالى، سمى أو لم يسم</w:t>
      </w:r>
      <w:r>
        <w:rPr>
          <w:rFonts w:hint="eastAsia"/>
          <w:rtl/>
        </w:rPr>
        <w:t>»</w:t>
      </w:r>
      <w:r>
        <w:rPr>
          <w:rFonts w:hint="cs"/>
          <w:rtl/>
        </w:rPr>
        <w:t xml:space="preserve"> :لم أجد هذا اللفظ ...</w:t>
      </w:r>
      <w:r>
        <w:rPr>
          <w:rFonts w:hint="eastAsia"/>
          <w:rtl/>
        </w:rPr>
        <w:t>»</w:t>
      </w:r>
      <w:r>
        <w:rPr>
          <w:rFonts w:hint="cs"/>
          <w:rtl/>
        </w:rPr>
        <w:t>. وانظر : التلخيص، 4/137.</w:t>
      </w:r>
    </w:p>
    <w:p w:rsidR="00035BE3" w:rsidRDefault="00035BE3" w:rsidP="00C10469">
      <w:pPr>
        <w:pStyle w:val="a6"/>
        <w:spacing w:line="480" w:lineRule="exact"/>
        <w:ind w:left="422" w:firstLine="0"/>
        <w:rPr>
          <w:b/>
          <w:bCs/>
          <w:rtl/>
        </w:rPr>
      </w:pPr>
      <w:r>
        <w:rPr>
          <w:rFonts w:hint="cs"/>
          <w:b/>
          <w:bCs/>
          <w:rtl/>
        </w:rPr>
        <w:t>ومن الأحاديث التي جاءت بمعناه :</w:t>
      </w:r>
    </w:p>
    <w:p w:rsidR="00035BE3" w:rsidRDefault="00035BE3" w:rsidP="00C10469">
      <w:pPr>
        <w:pStyle w:val="a6"/>
        <w:spacing w:line="480" w:lineRule="exact"/>
        <w:ind w:left="422" w:firstLine="0"/>
      </w:pPr>
      <w:r>
        <w:rPr>
          <w:rFonts w:ascii="Wingdings" w:hAnsi="Wingdings"/>
          <w:lang w:val="en-US"/>
        </w:rPr>
        <w:t></w:t>
      </w:r>
      <w:r>
        <w:rPr>
          <w:rFonts w:hint="cs"/>
          <w:rtl/>
        </w:rPr>
        <w:t xml:space="preserve"> ما أخرجه أبو داود في مراسيله، كتاب الأضاحي، باب ما جاء في الضحايا والذبائح، ص278، بسنده عن الصلت قال : قال رسول الله </w:t>
      </w:r>
      <w:r>
        <w:rPr>
          <w:rFonts w:ascii="AGA Arabesque" w:hAnsi="AGA Arabesque"/>
          <w:sz w:val="36"/>
          <w:szCs w:val="36"/>
          <w:lang w:val="en-US"/>
        </w:rPr>
        <w:t></w:t>
      </w:r>
      <w:r>
        <w:rPr>
          <w:rFonts w:hint="cs"/>
          <w:rtl/>
          <w:lang w:val="en-US"/>
        </w:rPr>
        <w:t xml:space="preserve"> : </w:t>
      </w:r>
      <w:r>
        <w:rPr>
          <w:rFonts w:hint="eastAsia"/>
          <w:rtl/>
        </w:rPr>
        <w:t>«</w:t>
      </w:r>
      <w:r>
        <w:rPr>
          <w:rFonts w:hint="cs"/>
          <w:rtl/>
        </w:rPr>
        <w:t>ذبيحة المسلم حلال، ذكر اسم الله أو لم يذكر، إنه إن ذكر لم يذكر إلا اسم الله</w:t>
      </w:r>
      <w:r>
        <w:rPr>
          <w:rFonts w:hint="eastAsia"/>
          <w:rtl/>
        </w:rPr>
        <w:t>»</w:t>
      </w:r>
      <w:r>
        <w:rPr>
          <w:rFonts w:hint="cs"/>
          <w:rtl/>
        </w:rPr>
        <w:t>.</w:t>
      </w:r>
    </w:p>
    <w:p w:rsidR="00035BE3" w:rsidRDefault="00035BE3" w:rsidP="00C10469">
      <w:pPr>
        <w:pStyle w:val="a6"/>
        <w:spacing w:line="480" w:lineRule="exact"/>
        <w:ind w:left="422" w:firstLine="0"/>
        <w:rPr>
          <w:spacing w:val="6"/>
          <w:rtl/>
        </w:rPr>
      </w:pPr>
      <w:r>
        <w:rPr>
          <w:rFonts w:ascii="Wingdings" w:hAnsi="Wingdings"/>
          <w:spacing w:val="6"/>
          <w:lang w:val="en-US"/>
        </w:rPr>
        <w:t></w:t>
      </w:r>
      <w:r>
        <w:rPr>
          <w:rFonts w:hint="cs"/>
          <w:spacing w:val="6"/>
          <w:rtl/>
        </w:rPr>
        <w:t xml:space="preserve"> وما أخرجه الدارقطني، باب الصيد والذبائح والأطعمة وغير ذلك، 4/295 ،بسنده عن ابن عباس أن النبي </w:t>
      </w:r>
      <w:r>
        <w:rPr>
          <w:rFonts w:ascii="AGA Arabesque" w:hAnsi="AGA Arabesque"/>
          <w:spacing w:val="6"/>
          <w:sz w:val="36"/>
          <w:szCs w:val="36"/>
          <w:lang w:val="en-US"/>
        </w:rPr>
        <w:t></w:t>
      </w:r>
      <w:r>
        <w:rPr>
          <w:rFonts w:hint="cs"/>
          <w:spacing w:val="6"/>
          <w:rtl/>
        </w:rPr>
        <w:t xml:space="preserve"> قال : </w:t>
      </w:r>
      <w:r>
        <w:rPr>
          <w:rFonts w:hint="eastAsia"/>
          <w:spacing w:val="6"/>
          <w:rtl/>
        </w:rPr>
        <w:t>«</w:t>
      </w:r>
      <w:r>
        <w:rPr>
          <w:rFonts w:hint="cs"/>
          <w:spacing w:val="6"/>
          <w:rtl/>
        </w:rPr>
        <w:t>المسلم يكفيه اسمه، فإن نسي أن يسم حين الذبح فليسمِّ وليذكر اسم الله، ثم ليأكل</w:t>
      </w:r>
      <w:r>
        <w:rPr>
          <w:rFonts w:hint="eastAsia"/>
          <w:spacing w:val="6"/>
          <w:rtl/>
        </w:rPr>
        <w:t>»</w:t>
      </w:r>
      <w:r>
        <w:rPr>
          <w:rFonts w:hint="cs"/>
          <w:spacing w:val="6"/>
          <w:rtl/>
        </w:rPr>
        <w:t>.</w:t>
      </w:r>
    </w:p>
    <w:p w:rsidR="00035BE3" w:rsidRDefault="00035BE3" w:rsidP="00C10469">
      <w:pPr>
        <w:pStyle w:val="a6"/>
        <w:spacing w:line="480" w:lineRule="exact"/>
        <w:ind w:left="422" w:firstLine="0"/>
        <w:rPr>
          <w:rtl/>
        </w:rPr>
      </w:pPr>
      <w:r>
        <w:rPr>
          <w:rFonts w:ascii="Wingdings" w:hAnsi="Wingdings"/>
          <w:lang w:val="en-US"/>
        </w:rPr>
        <w:t></w:t>
      </w:r>
      <w:r>
        <w:rPr>
          <w:rFonts w:hint="cs"/>
          <w:rtl/>
        </w:rPr>
        <w:t xml:space="preserve"> وأيضًا رواه في الموضع نفسه عن أبي هريرة مرفوعًا : </w:t>
      </w:r>
      <w:r>
        <w:rPr>
          <w:rFonts w:hint="eastAsia"/>
          <w:rtl/>
        </w:rPr>
        <w:t>«</w:t>
      </w:r>
      <w:r>
        <w:rPr>
          <w:rFonts w:hint="cs"/>
          <w:rtl/>
        </w:rPr>
        <w:t>اسم الله على كل مسلم</w:t>
      </w:r>
      <w:r>
        <w:rPr>
          <w:rFonts w:hint="eastAsia"/>
          <w:rtl/>
        </w:rPr>
        <w:t>»</w:t>
      </w:r>
      <w:r>
        <w:rPr>
          <w:rFonts w:hint="cs"/>
          <w:rtl/>
        </w:rPr>
        <w:t>.</w:t>
      </w:r>
    </w:p>
    <w:p w:rsidR="00035BE3" w:rsidRDefault="00035BE3" w:rsidP="00C10469">
      <w:pPr>
        <w:pStyle w:val="a6"/>
        <w:spacing w:line="480" w:lineRule="exact"/>
        <w:ind w:left="422" w:firstLine="0"/>
        <w:rPr>
          <w:spacing w:val="-6"/>
          <w:rtl/>
        </w:rPr>
      </w:pPr>
      <w:r>
        <w:rPr>
          <w:rFonts w:ascii="Wingdings" w:hAnsi="Wingdings"/>
          <w:spacing w:val="-6"/>
          <w:lang w:val="en-US"/>
        </w:rPr>
        <w:t></w:t>
      </w:r>
      <w:r>
        <w:rPr>
          <w:rFonts w:hint="cs"/>
          <w:spacing w:val="-6"/>
          <w:rtl/>
        </w:rPr>
        <w:t xml:space="preserve"> وما أخرجه البيهقي، كتاب الصيد والذبائح، باب من ترك التسمية وهو ممّن تحلّ ذبيحته، 9/239، بسنده عن ابن عباس مرفوعًا قال : </w:t>
      </w:r>
      <w:r>
        <w:rPr>
          <w:rFonts w:hint="eastAsia"/>
          <w:spacing w:val="-6"/>
          <w:rtl/>
        </w:rPr>
        <w:t>«</w:t>
      </w:r>
      <w:r>
        <w:rPr>
          <w:rFonts w:hint="cs"/>
          <w:spacing w:val="-6"/>
          <w:rtl/>
        </w:rPr>
        <w:t>المسلم يكفيه اسمه، فإن نسي حين يذبح فليذكر اسم الله وليأكل</w:t>
      </w:r>
      <w:r>
        <w:rPr>
          <w:rFonts w:hint="eastAsia"/>
          <w:spacing w:val="-6"/>
          <w:rtl/>
        </w:rPr>
        <w:t>»</w:t>
      </w:r>
      <w:r>
        <w:rPr>
          <w:rFonts w:hint="cs"/>
          <w:spacing w:val="-6"/>
          <w:rtl/>
        </w:rPr>
        <w:t>.</w:t>
      </w:r>
    </w:p>
    <w:p w:rsidR="00035BE3" w:rsidRDefault="00035BE3" w:rsidP="00C10469">
      <w:pPr>
        <w:pStyle w:val="a6"/>
        <w:spacing w:line="480" w:lineRule="exact"/>
        <w:ind w:left="422" w:firstLine="0"/>
        <w:rPr>
          <w:rtl/>
        </w:rPr>
      </w:pPr>
      <w:r>
        <w:rPr>
          <w:rFonts w:ascii="Wingdings" w:hAnsi="Wingdings"/>
          <w:lang w:val="en-US"/>
        </w:rPr>
        <w:t></w:t>
      </w:r>
      <w:r>
        <w:rPr>
          <w:rFonts w:hint="cs"/>
          <w:rtl/>
        </w:rPr>
        <w:t xml:space="preserve"> كما رواه البيهقي في الموضع نفسه عن ابن عباس موقوفًا.</w:t>
      </w:r>
    </w:p>
    <w:p w:rsidR="00035BE3" w:rsidRDefault="00035BE3" w:rsidP="00C10469">
      <w:pPr>
        <w:pStyle w:val="a6"/>
        <w:spacing w:line="480" w:lineRule="exact"/>
        <w:ind w:left="422" w:firstLine="0"/>
        <w:rPr>
          <w:spacing w:val="6"/>
          <w:rtl/>
        </w:rPr>
      </w:pPr>
      <w:r>
        <w:rPr>
          <w:rFonts w:ascii="Wingdings" w:hAnsi="Wingdings"/>
          <w:spacing w:val="6"/>
          <w:lang w:val="en-US"/>
        </w:rPr>
        <w:t></w:t>
      </w:r>
      <w:r>
        <w:rPr>
          <w:rFonts w:hint="cs"/>
          <w:spacing w:val="6"/>
          <w:rtl/>
        </w:rPr>
        <w:t xml:space="preserve"> وكذلك رواه البخاري موقوفًا ومعلقًا عن ابن عباس، وذلك في كتاب الذبائح والصيد، باب التسمية على الذبيحة ومن تـرك متـعـمدًّا،  5/2094، أن ابن عباس قال : </w:t>
      </w:r>
      <w:r>
        <w:rPr>
          <w:rFonts w:hint="eastAsia"/>
          <w:spacing w:val="6"/>
          <w:rtl/>
        </w:rPr>
        <w:t>«</w:t>
      </w:r>
      <w:r>
        <w:rPr>
          <w:rFonts w:hint="cs"/>
          <w:spacing w:val="6"/>
          <w:rtl/>
        </w:rPr>
        <w:t>من نسي فلا بأس</w:t>
      </w:r>
      <w:r>
        <w:rPr>
          <w:rFonts w:hint="eastAsia"/>
          <w:spacing w:val="6"/>
          <w:rtl/>
        </w:rPr>
        <w:t>»</w:t>
      </w:r>
      <w:r>
        <w:rPr>
          <w:rFonts w:hint="cs"/>
          <w:spacing w:val="6"/>
          <w:rtl/>
        </w:rPr>
        <w:t>.</w:t>
      </w:r>
    </w:p>
    <w:p w:rsidR="00035BE3" w:rsidRDefault="00035BE3" w:rsidP="00C10469">
      <w:pPr>
        <w:pStyle w:val="a6"/>
        <w:spacing w:line="480" w:lineRule="exact"/>
        <w:ind w:left="422" w:firstLine="0"/>
        <w:rPr>
          <w:b/>
          <w:bCs/>
          <w:rtl/>
        </w:rPr>
      </w:pPr>
      <w:r>
        <w:rPr>
          <w:rFonts w:hint="cs"/>
          <w:b/>
          <w:bCs/>
          <w:rtl/>
        </w:rPr>
        <w:t>وممّا قاله أهل العلم في هذه الأحاديث :</w:t>
      </w:r>
    </w:p>
    <w:p w:rsidR="00035BE3" w:rsidRDefault="00035BE3" w:rsidP="00C10469">
      <w:pPr>
        <w:pStyle w:val="a6"/>
        <w:spacing w:line="480" w:lineRule="exact"/>
        <w:ind w:left="422" w:firstLine="0"/>
        <w:rPr>
          <w:rtl/>
        </w:rPr>
      </w:pPr>
      <w:r>
        <w:rPr>
          <w:rtl/>
          <w:lang w:val="en-US"/>
        </w:rPr>
        <w:t>•</w:t>
      </w:r>
      <w:r>
        <w:rPr>
          <w:rFonts w:hint="cs"/>
          <w:rtl/>
          <w:lang w:val="en-US"/>
        </w:rPr>
        <w:t xml:space="preserve"> ما جاء في التلخيص، 4/137 : </w:t>
      </w:r>
      <w:r>
        <w:rPr>
          <w:rFonts w:hint="eastAsia"/>
          <w:rtl/>
        </w:rPr>
        <w:t>«</w:t>
      </w:r>
      <w:r>
        <w:rPr>
          <w:rFonts w:hint="cs"/>
          <w:rtl/>
        </w:rPr>
        <w:t xml:space="preserve">... وروى أبو داود في المراسيل من جهة ثور بن يزيد عن الصلت رَفَعَهُ : </w:t>
      </w:r>
      <w:r>
        <w:rPr>
          <w:rFonts w:hint="eastAsia"/>
          <w:rtl/>
        </w:rPr>
        <w:t>«</w:t>
      </w:r>
      <w:r>
        <w:rPr>
          <w:rFonts w:hint="cs"/>
          <w:rtl/>
        </w:rPr>
        <w:t>ذبيحة المسلم حلال، ذكر اسم الله أو لم يذكر؛ لأنه إن ذكر لم يذكر إلا اسم الله</w:t>
      </w:r>
      <w:r>
        <w:rPr>
          <w:rFonts w:hint="eastAsia"/>
          <w:rtl/>
        </w:rPr>
        <w:t>»</w:t>
      </w:r>
      <w:r>
        <w:rPr>
          <w:rFonts w:hint="cs"/>
          <w:rtl/>
        </w:rPr>
        <w:t>. وهو مرسل.</w:t>
      </w:r>
    </w:p>
    <w:p w:rsidR="00035BE3" w:rsidRPr="008B4622" w:rsidRDefault="00035BE3" w:rsidP="00C10469">
      <w:pPr>
        <w:pStyle w:val="a6"/>
        <w:spacing w:line="480" w:lineRule="exact"/>
        <w:ind w:left="420" w:firstLine="0"/>
        <w:rPr>
          <w:szCs w:val="20"/>
          <w:rtl/>
        </w:rPr>
      </w:pPr>
      <w:r w:rsidRPr="008B4622">
        <w:rPr>
          <w:rFonts w:hint="cs"/>
          <w:rtl/>
          <w:lang w:val="en-US"/>
        </w:rPr>
        <w:t>ورواه البيهقي من حديث ابن عباس موصولاً، وفي إسناده ضعف، وأعله ابن الجوزي بمعقل ابن عبيد الله، فزعم أنه مجهول فأخطأ؛ بل هو ثقة من رجال مسلم. لكن قال البيهقي: الأصح وقفه على ابن عباس. وقد صححه ابن السكن، وقال : وروي عن أبي هريرة، وهو منكر، أخرجه الدارقطني، وفيه مروان بن سالم، وهو ضعيف</w:t>
      </w:r>
      <w:r w:rsidRPr="008B4622">
        <w:rPr>
          <w:rFonts w:hint="eastAsia"/>
          <w:rtl/>
        </w:rPr>
        <w:t>»</w:t>
      </w:r>
      <w:r w:rsidRPr="008B4622">
        <w:rPr>
          <w:rFonts w:hint="cs"/>
          <w:rtl/>
        </w:rPr>
        <w:t xml:space="preserve">. </w:t>
      </w:r>
      <w:r>
        <w:rPr>
          <w:rFonts w:hint="cs"/>
          <w:szCs w:val="20"/>
          <w:rtl/>
        </w:rPr>
        <w:t xml:space="preserve">                                                                                                         </w:t>
      </w:r>
    </w:p>
    <w:p w:rsidR="00035BE3" w:rsidRDefault="00035BE3" w:rsidP="00C10469">
      <w:pPr>
        <w:pStyle w:val="a6"/>
        <w:spacing w:line="480" w:lineRule="exact"/>
        <w:ind w:left="420" w:firstLine="0"/>
        <w:rPr>
          <w:rtl/>
          <w:lang w:val="en-US"/>
        </w:rPr>
      </w:pPr>
      <w:r>
        <w:rPr>
          <w:rtl/>
        </w:rPr>
        <w:t>•</w:t>
      </w:r>
      <w:r>
        <w:rPr>
          <w:rFonts w:hint="cs"/>
          <w:rtl/>
        </w:rPr>
        <w:t xml:space="preserve"> والأثر الذي رواه البخاري عن ابن عباس وصله الحافظ في فتح الباري، 9/539؛ وفي تغليق التعليق، 4/511، 512.</w:t>
      </w:r>
    </w:p>
  </w:footnote>
  <w:footnote w:id="433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88/أ من (أ).</w:t>
      </w:r>
    </w:p>
  </w:footnote>
  <w:footnote w:id="433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ذاكرًا</w:t>
      </w:r>
      <w:r>
        <w:rPr>
          <w:rFonts w:hint="eastAsia"/>
          <w:rtl/>
        </w:rPr>
        <w:t>»</w:t>
      </w:r>
      <w:r>
        <w:rPr>
          <w:rFonts w:hint="cs"/>
          <w:rtl/>
        </w:rPr>
        <w:t>. والصحيح ما تمَّ إثباته من (ب) و(د).</w:t>
      </w:r>
    </w:p>
  </w:footnote>
  <w:footnote w:id="4337">
    <w:p w:rsidR="00035BE3" w:rsidRPr="001D03FB"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sidRPr="001D03FB">
        <w:rPr>
          <w:rFonts w:hint="cs"/>
          <w:spacing w:val="-2"/>
          <w:rtl/>
        </w:rPr>
        <w:t>هذا الحديث مع اشتهاره بهذا اللفظ في كتب الفقه وأصوله إلا أنه لم يقف على لفظه كثيرٌ من المحدثين:</w:t>
      </w:r>
    </w:p>
    <w:p w:rsidR="00035BE3" w:rsidRDefault="00035BE3" w:rsidP="00C10469">
      <w:pPr>
        <w:pStyle w:val="a6"/>
        <w:ind w:left="422" w:firstLine="0"/>
        <w:rPr>
          <w:rtl/>
        </w:rPr>
      </w:pPr>
      <w:r>
        <w:rPr>
          <w:rFonts w:hint="cs"/>
          <w:rtl/>
        </w:rPr>
        <w:t xml:space="preserve">منهم : الزيلعي في (نصب الراية)، 2/64؛ والحافظ في (الدراية)، 1/175؛ وفي التلخيص، 1/283؛ والسَّخاوي في (المقاصد الحسنة)، ص369، 371، ح528، كما نقل ذلك عنه العجلوني في (كشف الخفاء) </w:t>
      </w:r>
      <w:r>
        <w:rPr>
          <w:rtl/>
        </w:rPr>
        <w:t>–</w:t>
      </w:r>
      <w:r>
        <w:rPr>
          <w:rFonts w:hint="cs"/>
          <w:rtl/>
        </w:rPr>
        <w:t>1/522، ح1193-.</w:t>
      </w:r>
    </w:p>
    <w:p w:rsidR="00035BE3" w:rsidRDefault="00035BE3" w:rsidP="00C10469">
      <w:pPr>
        <w:pStyle w:val="a6"/>
        <w:ind w:left="422" w:firstLine="0"/>
        <w:rPr>
          <w:rtl/>
        </w:rPr>
      </w:pPr>
      <w:r>
        <w:rPr>
          <w:rFonts w:hint="cs"/>
          <w:rtl/>
        </w:rPr>
        <w:t>ومن عباراتهم التي أحسبها وافية في بيان خلاصة ما قاله المحدثون في الحديث : ما جاء في الموضع المذكور من (كشف الخفاء) :</w:t>
      </w:r>
    </w:p>
    <w:p w:rsidR="00035BE3" w:rsidRDefault="00035BE3" w:rsidP="00C10469">
      <w:pPr>
        <w:pStyle w:val="a6"/>
        <w:ind w:left="422" w:firstLine="0"/>
        <w:rPr>
          <w:rtl/>
        </w:rPr>
      </w:pPr>
      <w:r>
        <w:rPr>
          <w:rFonts w:hint="eastAsia"/>
          <w:rtl/>
        </w:rPr>
        <w:t>«</w:t>
      </w:r>
      <w:r>
        <w:rPr>
          <w:rFonts w:hint="cs"/>
          <w:rtl/>
        </w:rPr>
        <w:t>رفع عن أمتي الخطأ والنسيان وما استكرهوا عليه :</w:t>
      </w:r>
    </w:p>
    <w:p w:rsidR="00035BE3" w:rsidRDefault="00035BE3" w:rsidP="00C10469">
      <w:pPr>
        <w:pStyle w:val="a6"/>
        <w:ind w:left="422" w:firstLine="0"/>
        <w:rPr>
          <w:rtl/>
        </w:rPr>
      </w:pPr>
      <w:r>
        <w:rPr>
          <w:rFonts w:hint="cs"/>
          <w:b/>
          <w:bCs/>
          <w:rtl/>
        </w:rPr>
        <w:t>قال في (اللآلىء)</w:t>
      </w:r>
      <w:r>
        <w:rPr>
          <w:rFonts w:hint="cs"/>
          <w:rtl/>
        </w:rPr>
        <w:t xml:space="preserve"> : لا يوجد بهذا اللفظ. وأقرب ما وجد : ما رواه ابن عدي في (الكامل) عن أبي بكرة بلفظ : </w:t>
      </w:r>
      <w:r>
        <w:rPr>
          <w:rFonts w:hint="eastAsia"/>
          <w:rtl/>
        </w:rPr>
        <w:t>«</w:t>
      </w:r>
      <w:r>
        <w:rPr>
          <w:rFonts w:hint="cs"/>
          <w:rtl/>
        </w:rPr>
        <w:t>رفع الله عن هذه الأمة ثلاثًا : الخطأ والنسيان والأمر يُكرهون عليه</w:t>
      </w:r>
      <w:r>
        <w:rPr>
          <w:rFonts w:hint="eastAsia"/>
          <w:rtl/>
        </w:rPr>
        <w:t>»</w:t>
      </w:r>
      <w:r>
        <w:rPr>
          <w:rFonts w:hint="cs"/>
          <w:rtl/>
        </w:rPr>
        <w:t xml:space="preserve"> قال : وعدّه ابن عدي من منكرات جعفر بن جسر. </w:t>
      </w:r>
    </w:p>
    <w:p w:rsidR="00035BE3" w:rsidRDefault="00035BE3" w:rsidP="00C10469">
      <w:pPr>
        <w:pStyle w:val="a6"/>
        <w:ind w:left="422" w:firstLine="0"/>
        <w:rPr>
          <w:spacing w:val="6"/>
          <w:rtl/>
        </w:rPr>
      </w:pPr>
      <w:r>
        <w:rPr>
          <w:rFonts w:hint="cs"/>
          <w:spacing w:val="6"/>
          <w:rtl/>
        </w:rPr>
        <w:t xml:space="preserve">وأخرج ابن ماجه عن ابن عباس يرفعه قال : </w:t>
      </w:r>
      <w:r>
        <w:rPr>
          <w:rFonts w:hint="eastAsia"/>
          <w:spacing w:val="6"/>
          <w:rtl/>
        </w:rPr>
        <w:t>«</w:t>
      </w:r>
      <w:r>
        <w:rPr>
          <w:rFonts w:hint="cs"/>
          <w:spacing w:val="6"/>
          <w:rtl/>
        </w:rPr>
        <w:t>إن الله وضع عن أمتي الخطأ والنسيان وما استكرهوا عليه</w:t>
      </w:r>
      <w:r>
        <w:rPr>
          <w:rFonts w:hint="eastAsia"/>
          <w:spacing w:val="6"/>
          <w:rtl/>
        </w:rPr>
        <w:t>»</w:t>
      </w:r>
      <w:r>
        <w:rPr>
          <w:rFonts w:hint="cs"/>
          <w:spacing w:val="6"/>
          <w:rtl/>
        </w:rPr>
        <w:t>.</w:t>
      </w:r>
    </w:p>
    <w:p w:rsidR="00035BE3" w:rsidRDefault="00035BE3" w:rsidP="00C10469">
      <w:pPr>
        <w:pStyle w:val="a6"/>
        <w:ind w:left="422" w:firstLine="0"/>
        <w:rPr>
          <w:rtl/>
        </w:rPr>
      </w:pPr>
      <w:r>
        <w:rPr>
          <w:rFonts w:hint="cs"/>
          <w:rtl/>
        </w:rPr>
        <w:t>ورواه ابن حبان عنه يرفعه، وكذا الحاكم وقال : صحيح على شرط الشيخين انتهى.</w:t>
      </w:r>
    </w:p>
    <w:p w:rsidR="00035BE3" w:rsidRDefault="00035BE3" w:rsidP="00C10469">
      <w:pPr>
        <w:pStyle w:val="a6"/>
        <w:ind w:left="422" w:firstLine="0"/>
        <w:rPr>
          <w:spacing w:val="4"/>
          <w:rtl/>
        </w:rPr>
      </w:pPr>
      <w:r>
        <w:rPr>
          <w:rFonts w:hint="cs"/>
          <w:b/>
          <w:bCs/>
          <w:spacing w:val="4"/>
          <w:rtl/>
        </w:rPr>
        <w:t>وقال في (المقاصد)</w:t>
      </w:r>
      <w:r>
        <w:rPr>
          <w:rFonts w:hint="cs"/>
          <w:spacing w:val="4"/>
          <w:rtl/>
        </w:rPr>
        <w:t xml:space="preserve"> : وقع بهذا اللفظ في كتب كثير من الفقهاء والأصوليين، حتى إنه وقع كذلك في ثلاثة أماكن في الشرح الكبير المسمى بالعزيز للإمام الرافعي، وقال غير واحد من مخرّجيه وغيرهم: لم أظفر به.</w:t>
      </w:r>
    </w:p>
    <w:p w:rsidR="00035BE3" w:rsidRDefault="00035BE3" w:rsidP="00C10469">
      <w:pPr>
        <w:pStyle w:val="a6"/>
        <w:ind w:left="422" w:firstLine="0"/>
        <w:rPr>
          <w:rtl/>
        </w:rPr>
      </w:pPr>
      <w:r>
        <w:rPr>
          <w:rFonts w:hint="cs"/>
          <w:rtl/>
        </w:rPr>
        <w:t xml:space="preserve">ولكن قال محمد بن نصر المروزي في باب طلاق المكره : يروى عن النبي </w:t>
      </w:r>
      <w:r>
        <w:rPr>
          <w:rFonts w:ascii="AGA Arabesque" w:hAnsi="AGA Arabesque"/>
          <w:sz w:val="36"/>
          <w:szCs w:val="36"/>
          <w:lang w:val="en-US"/>
        </w:rPr>
        <w:t></w:t>
      </w:r>
      <w:r>
        <w:rPr>
          <w:rFonts w:hint="cs"/>
          <w:rtl/>
        </w:rPr>
        <w:t xml:space="preserve"> أنه قال : </w:t>
      </w:r>
      <w:r>
        <w:rPr>
          <w:rFonts w:hint="eastAsia"/>
          <w:rtl/>
        </w:rPr>
        <w:t>«</w:t>
      </w:r>
      <w:r>
        <w:rPr>
          <w:rFonts w:hint="cs"/>
          <w:rtl/>
        </w:rPr>
        <w:t>رفع الله عن هذه الأمة الخطأ والنسيان وما أكرهوا عليه</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spacing w:val="8"/>
          <w:rtl/>
        </w:rPr>
      </w:pPr>
      <w:r>
        <w:rPr>
          <w:rFonts w:hint="cs"/>
          <w:spacing w:val="8"/>
          <w:rtl/>
        </w:rPr>
        <w:t xml:space="preserve">وروى أبو نعيم في (تاريخ أصبهان)، وابن عدي في (الكامل) بسند فيه جعفر بن جسر </w:t>
      </w:r>
      <w:r>
        <w:rPr>
          <w:spacing w:val="8"/>
          <w:rtl/>
        </w:rPr>
        <w:t>–</w:t>
      </w:r>
      <w:r>
        <w:rPr>
          <w:rFonts w:hint="cs"/>
          <w:spacing w:val="8"/>
          <w:rtl/>
        </w:rPr>
        <w:t xml:space="preserve"> وهما ضعيفان </w:t>
      </w:r>
      <w:r>
        <w:rPr>
          <w:spacing w:val="8"/>
          <w:rtl/>
        </w:rPr>
        <w:t>–</w:t>
      </w:r>
      <w:r>
        <w:rPr>
          <w:rFonts w:hint="cs"/>
          <w:spacing w:val="8"/>
          <w:rtl/>
        </w:rPr>
        <w:t xml:space="preserve"> عن أبي بكرة مرفوعًا بلفظ : </w:t>
      </w:r>
      <w:r>
        <w:rPr>
          <w:rFonts w:hint="eastAsia"/>
          <w:spacing w:val="8"/>
          <w:rtl/>
        </w:rPr>
        <w:t>«</w:t>
      </w:r>
      <w:r>
        <w:rPr>
          <w:rFonts w:hint="cs"/>
          <w:spacing w:val="8"/>
          <w:rtl/>
        </w:rPr>
        <w:t>رفع الله عن هذه الأمة ثلاثًا : الخطأ والنسيان والأمر يكرهون عليه</w:t>
      </w:r>
      <w:r>
        <w:rPr>
          <w:rFonts w:hint="eastAsia"/>
          <w:spacing w:val="8"/>
          <w:rtl/>
        </w:rPr>
        <w:t>»</w:t>
      </w:r>
      <w:r>
        <w:rPr>
          <w:rFonts w:hint="cs"/>
          <w:spacing w:val="8"/>
          <w:rtl/>
        </w:rPr>
        <w:t>.</w:t>
      </w:r>
    </w:p>
    <w:p w:rsidR="00035BE3" w:rsidRDefault="00035BE3" w:rsidP="00C10469">
      <w:pPr>
        <w:pStyle w:val="a6"/>
        <w:ind w:left="422" w:firstLine="0"/>
        <w:rPr>
          <w:rtl/>
        </w:rPr>
      </w:pPr>
      <w:r>
        <w:rPr>
          <w:rFonts w:hint="cs"/>
          <w:rtl/>
        </w:rPr>
        <w:t xml:space="preserve">لكن له شاهد جيّد أخرجه أبو القاسم الفضل بن جعفر التميمي المعروف بأخي عاصم في فوائده عن ابن عباس رضي الله عنهما بلفظ : </w:t>
      </w:r>
      <w:r>
        <w:rPr>
          <w:rFonts w:hint="eastAsia"/>
          <w:rtl/>
        </w:rPr>
        <w:t>«</w:t>
      </w:r>
      <w:r>
        <w:rPr>
          <w:rFonts w:hint="cs"/>
          <w:rtl/>
        </w:rPr>
        <w:t>رفع الله</w:t>
      </w:r>
      <w:r>
        <w:rPr>
          <w:rFonts w:hint="eastAsia"/>
          <w:rtl/>
        </w:rPr>
        <w:t>»</w:t>
      </w:r>
      <w:r>
        <w:rPr>
          <w:rFonts w:hint="cs"/>
          <w:rtl/>
        </w:rPr>
        <w:t xml:space="preserve"> والباقي بلفظ الترجمة. </w:t>
      </w:r>
    </w:p>
    <w:p w:rsidR="00035BE3" w:rsidRDefault="00035BE3" w:rsidP="00C10469">
      <w:pPr>
        <w:pStyle w:val="a6"/>
        <w:ind w:left="422" w:firstLine="0"/>
        <w:rPr>
          <w:rtl/>
        </w:rPr>
      </w:pPr>
      <w:r>
        <w:rPr>
          <w:rFonts w:hint="cs"/>
          <w:rtl/>
        </w:rPr>
        <w:t xml:space="preserve">ورواه ابن ماجه وابن أبي عاصم والضياء في (المختارة) عن محمد بن المصفّى، لكن بلفظ : </w:t>
      </w:r>
      <w:r>
        <w:rPr>
          <w:rFonts w:hint="eastAsia"/>
          <w:rtl/>
        </w:rPr>
        <w:t>«</w:t>
      </w:r>
      <w:r>
        <w:rPr>
          <w:rFonts w:hint="cs"/>
          <w:rtl/>
        </w:rPr>
        <w:t>وضع</w:t>
      </w:r>
      <w:r>
        <w:rPr>
          <w:rFonts w:hint="eastAsia"/>
          <w:rtl/>
        </w:rPr>
        <w:t>»</w:t>
      </w:r>
      <w:r>
        <w:rPr>
          <w:rFonts w:hint="cs"/>
          <w:rtl/>
        </w:rPr>
        <w:t xml:space="preserve"> بدل </w:t>
      </w:r>
      <w:r>
        <w:rPr>
          <w:rFonts w:hint="eastAsia"/>
          <w:rtl/>
        </w:rPr>
        <w:t>«</w:t>
      </w:r>
      <w:r>
        <w:rPr>
          <w:rFonts w:hint="cs"/>
          <w:rtl/>
        </w:rPr>
        <w:t>رفع</w:t>
      </w:r>
      <w:r>
        <w:rPr>
          <w:rFonts w:hint="eastAsia"/>
          <w:rtl/>
        </w:rPr>
        <w:t>»</w:t>
      </w:r>
      <w:r>
        <w:rPr>
          <w:rFonts w:hint="cs"/>
          <w:rtl/>
        </w:rPr>
        <w:t>، ورجاله ثقات، وصححه ابن حبان.</w:t>
      </w:r>
    </w:p>
    <w:p w:rsidR="00035BE3" w:rsidRDefault="00035BE3" w:rsidP="00C10469">
      <w:pPr>
        <w:pStyle w:val="a6"/>
        <w:ind w:left="422" w:firstLine="0"/>
        <w:rPr>
          <w:rtl/>
        </w:rPr>
      </w:pPr>
      <w:r>
        <w:rPr>
          <w:rFonts w:hint="cs"/>
          <w:rtl/>
        </w:rPr>
        <w:t xml:space="preserve">وأخرجه الطبراني والدارقطني والحاكم بلفظ : </w:t>
      </w:r>
      <w:r>
        <w:rPr>
          <w:rFonts w:hint="eastAsia"/>
          <w:rtl/>
        </w:rPr>
        <w:t>«</w:t>
      </w:r>
      <w:r>
        <w:rPr>
          <w:rFonts w:hint="cs"/>
          <w:rtl/>
        </w:rPr>
        <w:t>تجاوز</w:t>
      </w:r>
      <w:r>
        <w:rPr>
          <w:rFonts w:hint="eastAsia"/>
          <w:rtl/>
        </w:rPr>
        <w:t>»</w:t>
      </w:r>
      <w:r>
        <w:rPr>
          <w:rFonts w:hint="cs"/>
          <w:rtl/>
        </w:rPr>
        <w:t xml:space="preserve"> بدل </w:t>
      </w:r>
      <w:r>
        <w:rPr>
          <w:rFonts w:hint="eastAsia"/>
          <w:rtl/>
        </w:rPr>
        <w:t>«</w:t>
      </w:r>
      <w:r>
        <w:rPr>
          <w:rFonts w:hint="cs"/>
          <w:rtl/>
        </w:rPr>
        <w:t>وضع</w:t>
      </w:r>
      <w:r>
        <w:rPr>
          <w:rFonts w:hint="eastAsia"/>
          <w:rtl/>
        </w:rPr>
        <w:t>»</w:t>
      </w:r>
      <w:r>
        <w:rPr>
          <w:rFonts w:hint="cs"/>
          <w:rtl/>
        </w:rPr>
        <w:t>.</w:t>
      </w:r>
    </w:p>
    <w:p w:rsidR="00035BE3" w:rsidRDefault="00035BE3" w:rsidP="00C10469">
      <w:pPr>
        <w:pStyle w:val="a6"/>
        <w:ind w:left="422" w:firstLine="0"/>
        <w:rPr>
          <w:rtl/>
        </w:rPr>
      </w:pPr>
      <w:r>
        <w:rPr>
          <w:rFonts w:hint="cs"/>
          <w:b/>
          <w:bCs/>
          <w:rtl/>
        </w:rPr>
        <w:t>ثم قال في (المقاصد)</w:t>
      </w:r>
      <w:r>
        <w:rPr>
          <w:rFonts w:hint="cs"/>
          <w:rtl/>
        </w:rPr>
        <w:t xml:space="preserve"> : وله طرق عن ابن عباس؛ بل للوليد فيه إسنادان آخران عن ابن عمر وعن عقبة بن عامر، قال ابن أبي حاتم في (العلل): سألت أبي عنها، فقال : هذه أحاديث منكرة، كأنها </w:t>
      </w:r>
      <w:r w:rsidRPr="00703C7E">
        <w:rPr>
          <w:rFonts w:hint="cs"/>
          <w:spacing w:val="-2"/>
          <w:rtl/>
        </w:rPr>
        <w:t xml:space="preserve">موضوعة. وقال في موضع آخر لم يسمعه الأوزاعي من عطاء، ولا يصح هذا الحديث ولا يثبت إسناده. </w:t>
      </w:r>
    </w:p>
    <w:p w:rsidR="00035BE3" w:rsidRDefault="00035BE3" w:rsidP="00C10469">
      <w:pPr>
        <w:pStyle w:val="a6"/>
        <w:ind w:left="422" w:firstLine="0"/>
        <w:rPr>
          <w:spacing w:val="4"/>
          <w:rtl/>
        </w:rPr>
      </w:pPr>
      <w:r>
        <w:rPr>
          <w:rFonts w:hint="cs"/>
          <w:spacing w:val="4"/>
          <w:rtl/>
        </w:rPr>
        <w:t xml:space="preserve">وقال عبد الله بن أحمد في (العلل) : سألت أبي عنه، فأنكره جدًّا وقال : ليس يروي هذا إلا الحسن عن النبي </w:t>
      </w:r>
      <w:r>
        <w:rPr>
          <w:rFonts w:ascii="AGA Arabesque" w:hAnsi="AGA Arabesque"/>
          <w:spacing w:val="4"/>
          <w:sz w:val="36"/>
          <w:szCs w:val="36"/>
          <w:lang w:val="en-US"/>
        </w:rPr>
        <w:t></w:t>
      </w:r>
      <w:r>
        <w:rPr>
          <w:rFonts w:hint="cs"/>
          <w:spacing w:val="4"/>
          <w:rtl/>
        </w:rPr>
        <w:t>.</w:t>
      </w:r>
    </w:p>
    <w:p w:rsidR="00035BE3" w:rsidRDefault="00035BE3" w:rsidP="00C10469">
      <w:pPr>
        <w:pStyle w:val="a6"/>
        <w:ind w:left="422" w:firstLine="0"/>
        <w:rPr>
          <w:rtl/>
        </w:rPr>
      </w:pPr>
      <w:r>
        <w:rPr>
          <w:rFonts w:hint="cs"/>
          <w:rtl/>
        </w:rPr>
        <w:t xml:space="preserve">ونقل الخلال عن أحمد قال : من زعم أن الخطأ والنسيان مرفوع فقد خالف كتاب الله وسنة رسول الله </w:t>
      </w:r>
      <w:r>
        <w:rPr>
          <w:rFonts w:ascii="AGA Arabesque" w:hAnsi="AGA Arabesque"/>
          <w:sz w:val="36"/>
          <w:szCs w:val="36"/>
          <w:lang w:val="en-US"/>
        </w:rPr>
        <w:t></w:t>
      </w:r>
      <w:r>
        <w:rPr>
          <w:rFonts w:hint="cs"/>
          <w:rtl/>
        </w:rPr>
        <w:t>؛ فإن الله أوجب في قتل النفسِ الخطأ الديةَ والكفارةَ. يعني من زعم ارتفاعهما على العموم في خطاب الوضع والتكليف.</w:t>
      </w:r>
    </w:p>
    <w:p w:rsidR="00035BE3" w:rsidRDefault="00035BE3" w:rsidP="00C10469">
      <w:pPr>
        <w:pStyle w:val="a6"/>
        <w:ind w:left="422" w:firstLine="0"/>
        <w:rPr>
          <w:rtl/>
        </w:rPr>
      </w:pPr>
      <w:r>
        <w:rPr>
          <w:rFonts w:hint="cs"/>
          <w:rtl/>
        </w:rPr>
        <w:t xml:space="preserve">قال محمد بن نصر </w:t>
      </w:r>
      <w:r>
        <w:rPr>
          <w:rtl/>
        </w:rPr>
        <w:t>–</w:t>
      </w:r>
      <w:r>
        <w:rPr>
          <w:rFonts w:hint="cs"/>
          <w:rtl/>
        </w:rPr>
        <w:t>عقب إيراده- : ليس له إسناد يحتج بمثله.</w:t>
      </w:r>
    </w:p>
    <w:p w:rsidR="00035BE3" w:rsidRDefault="00035BE3" w:rsidP="00C10469">
      <w:pPr>
        <w:pStyle w:val="a6"/>
        <w:ind w:left="422" w:firstLine="0"/>
        <w:rPr>
          <w:rtl/>
        </w:rPr>
      </w:pPr>
      <w:r>
        <w:rPr>
          <w:rFonts w:hint="cs"/>
          <w:rtl/>
        </w:rPr>
        <w:t>ورواه العقيلي في (الضعفاء).</w:t>
      </w:r>
    </w:p>
    <w:p w:rsidR="00035BE3" w:rsidRDefault="00035BE3" w:rsidP="00C10469">
      <w:pPr>
        <w:pStyle w:val="a6"/>
        <w:ind w:left="422" w:firstLine="0"/>
        <w:rPr>
          <w:rtl/>
        </w:rPr>
      </w:pPr>
      <w:r>
        <w:rPr>
          <w:rFonts w:hint="cs"/>
          <w:rtl/>
        </w:rPr>
        <w:t>وكذا البيهقي وقال : ليس بمحفوظ عن مالك.</w:t>
      </w:r>
    </w:p>
    <w:p w:rsidR="00035BE3" w:rsidRDefault="00035BE3" w:rsidP="00C10469">
      <w:pPr>
        <w:pStyle w:val="a6"/>
        <w:ind w:left="422" w:firstLine="0"/>
        <w:rPr>
          <w:rtl/>
        </w:rPr>
      </w:pPr>
      <w:r>
        <w:rPr>
          <w:rFonts w:hint="cs"/>
          <w:rtl/>
        </w:rPr>
        <w:t>ورواه الخطيب عن مالك وقال : إنه منكر عنه.</w:t>
      </w:r>
    </w:p>
    <w:p w:rsidR="00035BE3" w:rsidRDefault="00035BE3" w:rsidP="00C10469">
      <w:pPr>
        <w:pStyle w:val="a6"/>
        <w:ind w:left="422" w:firstLine="0"/>
        <w:rPr>
          <w:spacing w:val="6"/>
          <w:rtl/>
        </w:rPr>
      </w:pPr>
      <w:r>
        <w:rPr>
          <w:rFonts w:hint="cs"/>
          <w:b/>
          <w:bCs/>
          <w:spacing w:val="6"/>
          <w:rtl/>
        </w:rPr>
        <w:t>والحديث يروى عن ثوبان، وأبي الدرداء، وأبي ذر، ومجموع هذه الطرق تُظهِر أن للحديث أصلاً</w:t>
      </w:r>
      <w:r>
        <w:rPr>
          <w:rFonts w:hint="cs"/>
          <w:spacing w:val="6"/>
          <w:rtl/>
        </w:rPr>
        <w:t xml:space="preserve">، لاسيما وأصل الباب حديث أبي هريرة في الصحيح عن زرارة بن أوفى يرفعه : </w:t>
      </w:r>
      <w:r>
        <w:rPr>
          <w:rFonts w:hint="eastAsia"/>
          <w:spacing w:val="6"/>
          <w:rtl/>
        </w:rPr>
        <w:t>«</w:t>
      </w:r>
      <w:r>
        <w:rPr>
          <w:rFonts w:hint="cs"/>
          <w:spacing w:val="6"/>
          <w:rtl/>
        </w:rPr>
        <w:t>إن الله تجاوز لأمتي ما حدثت به أنفسها ما لم تعمل أو تكلم به</w:t>
      </w:r>
      <w:r>
        <w:rPr>
          <w:rFonts w:hint="eastAsia"/>
          <w:spacing w:val="6"/>
          <w:rtl/>
        </w:rPr>
        <w:t>»</w:t>
      </w:r>
      <w:r>
        <w:rPr>
          <w:rFonts w:hint="cs"/>
          <w:spacing w:val="6"/>
          <w:rtl/>
        </w:rPr>
        <w:t xml:space="preserve">. ورواه ابن ماجه  بلفظ : </w:t>
      </w:r>
      <w:r>
        <w:rPr>
          <w:rFonts w:hint="eastAsia"/>
          <w:spacing w:val="6"/>
          <w:rtl/>
        </w:rPr>
        <w:t>«</w:t>
      </w:r>
      <w:r>
        <w:rPr>
          <w:rFonts w:hint="cs"/>
          <w:spacing w:val="6"/>
          <w:rtl/>
        </w:rPr>
        <w:t>عما توسوس به صدورها</w:t>
      </w:r>
      <w:r>
        <w:rPr>
          <w:rFonts w:hint="eastAsia"/>
          <w:spacing w:val="6"/>
          <w:rtl/>
        </w:rPr>
        <w:t>»</w:t>
      </w:r>
      <w:r>
        <w:rPr>
          <w:rFonts w:hint="cs"/>
          <w:spacing w:val="6"/>
          <w:rtl/>
        </w:rPr>
        <w:t xml:space="preserve"> بدل </w:t>
      </w:r>
      <w:r>
        <w:rPr>
          <w:rFonts w:hint="eastAsia"/>
          <w:spacing w:val="6"/>
          <w:rtl/>
        </w:rPr>
        <w:t>«</w:t>
      </w:r>
      <w:r>
        <w:rPr>
          <w:rFonts w:hint="cs"/>
          <w:spacing w:val="6"/>
          <w:rtl/>
        </w:rPr>
        <w:t>ما حدثت به أنفسها</w:t>
      </w:r>
      <w:r>
        <w:rPr>
          <w:rFonts w:hint="eastAsia"/>
          <w:spacing w:val="6"/>
          <w:rtl/>
        </w:rPr>
        <w:t>»</w:t>
      </w:r>
      <w:r>
        <w:rPr>
          <w:rFonts w:hint="cs"/>
          <w:spacing w:val="6"/>
          <w:rtl/>
        </w:rPr>
        <w:t xml:space="preserve"> وزاد في آخره : </w:t>
      </w:r>
      <w:r>
        <w:rPr>
          <w:rFonts w:hint="eastAsia"/>
          <w:spacing w:val="6"/>
          <w:rtl/>
        </w:rPr>
        <w:t>«</w:t>
      </w:r>
      <w:r>
        <w:rPr>
          <w:rFonts w:hint="cs"/>
          <w:spacing w:val="6"/>
          <w:rtl/>
        </w:rPr>
        <w:t>وما استكرهوا عليه</w:t>
      </w:r>
      <w:r>
        <w:rPr>
          <w:rFonts w:hint="eastAsia"/>
          <w:spacing w:val="6"/>
          <w:rtl/>
        </w:rPr>
        <w:t>»</w:t>
      </w:r>
      <w:r>
        <w:rPr>
          <w:rFonts w:hint="cs"/>
          <w:spacing w:val="6"/>
          <w:rtl/>
        </w:rPr>
        <w:t>. ويقال : إن هذه الجملة مدرجة في آخره.</w:t>
      </w:r>
    </w:p>
    <w:p w:rsidR="00035BE3" w:rsidRDefault="00035BE3" w:rsidP="00C10469">
      <w:pPr>
        <w:pStyle w:val="a6"/>
        <w:ind w:left="422" w:firstLine="0"/>
        <w:rPr>
          <w:rtl/>
        </w:rPr>
      </w:pPr>
      <w:r>
        <w:rPr>
          <w:rFonts w:hint="cs"/>
          <w:rtl/>
        </w:rPr>
        <w:t>وصححه ابن حبان، والحاكم، وغيرهما.</w:t>
      </w:r>
    </w:p>
    <w:p w:rsidR="00035BE3" w:rsidRDefault="00035BE3" w:rsidP="00C10469">
      <w:pPr>
        <w:pStyle w:val="a6"/>
        <w:ind w:left="422" w:firstLine="0"/>
        <w:rPr>
          <w:rtl/>
        </w:rPr>
      </w:pPr>
      <w:r>
        <w:rPr>
          <w:rFonts w:hint="cs"/>
          <w:rtl/>
        </w:rPr>
        <w:t>وقال النووي في (الروضة) و(الأربعين) : إنه حسن.</w:t>
      </w:r>
    </w:p>
    <w:p w:rsidR="00035BE3" w:rsidRDefault="00035BE3" w:rsidP="00C10469">
      <w:pPr>
        <w:pStyle w:val="a6"/>
        <w:ind w:left="422" w:firstLine="0"/>
        <w:rPr>
          <w:spacing w:val="-6"/>
          <w:rtl/>
        </w:rPr>
      </w:pPr>
      <w:r>
        <w:rPr>
          <w:rFonts w:hint="cs"/>
          <w:spacing w:val="-6"/>
          <w:rtl/>
        </w:rPr>
        <w:t>وتكلم عليه الحافظ ابن حجر في (تخريج المختصر)، وبسط الكلام عليه السخاوي في (تخريج الأربعين)</w:t>
      </w:r>
      <w:r>
        <w:rPr>
          <w:rFonts w:hint="eastAsia"/>
          <w:spacing w:val="-6"/>
          <w:rtl/>
        </w:rPr>
        <w:t>»</w:t>
      </w:r>
      <w:r>
        <w:rPr>
          <w:rFonts w:hint="cs"/>
          <w:spacing w:val="-6"/>
          <w:rtl/>
        </w:rPr>
        <w:t>.</w:t>
      </w:r>
    </w:p>
    <w:p w:rsidR="00035BE3" w:rsidRDefault="00035BE3" w:rsidP="00C10469">
      <w:pPr>
        <w:pStyle w:val="a6"/>
        <w:ind w:left="422" w:firstLine="0"/>
        <w:rPr>
          <w:spacing w:val="-8"/>
          <w:rtl/>
        </w:rPr>
      </w:pPr>
      <w:r>
        <w:rPr>
          <w:rFonts w:hint="cs"/>
          <w:spacing w:val="-8"/>
          <w:rtl/>
        </w:rPr>
        <w:t>انتهى كلام صاحب كشف الخفاء، وجل ما قاله مختصر من المقاصد الحسنة، ص369-371، ح 528.</w:t>
      </w:r>
    </w:p>
    <w:p w:rsidR="00035BE3" w:rsidRDefault="00035BE3" w:rsidP="00C10469">
      <w:pPr>
        <w:pStyle w:val="a6"/>
        <w:ind w:left="422" w:firstLine="0"/>
        <w:rPr>
          <w:rtl/>
        </w:rPr>
      </w:pPr>
      <w:r>
        <w:rPr>
          <w:rFonts w:hint="cs"/>
          <w:rtl/>
        </w:rPr>
        <w:t>وممن بسط الكلام عنه أيضًا : الحافظ ابن رجب في جامع العلوم والحكم، ص371-374.</w:t>
      </w:r>
    </w:p>
    <w:p w:rsidR="00035BE3" w:rsidRDefault="00035BE3" w:rsidP="00C10469">
      <w:pPr>
        <w:pStyle w:val="a6"/>
        <w:spacing w:line="264" w:lineRule="auto"/>
        <w:ind w:left="422" w:firstLine="0"/>
        <w:rPr>
          <w:rtl/>
        </w:rPr>
      </w:pPr>
      <w:r>
        <w:rPr>
          <w:rFonts w:hint="cs"/>
          <w:rtl/>
        </w:rPr>
        <w:t xml:space="preserve">ولتوثيق طائفة من الروايات المسندة التي ذكرها صاحب (كشف الخفاء) يقال : </w:t>
      </w:r>
    </w:p>
    <w:p w:rsidR="00035BE3" w:rsidRDefault="00035BE3" w:rsidP="00C10469">
      <w:pPr>
        <w:pStyle w:val="a6"/>
        <w:spacing w:line="264" w:lineRule="auto"/>
        <w:ind w:left="420" w:firstLine="0"/>
        <w:jc w:val="mediumKashida"/>
        <w:rPr>
          <w:rtl/>
        </w:rPr>
      </w:pPr>
      <w:r>
        <w:rPr>
          <w:rtl/>
        </w:rPr>
        <w:t>•</w:t>
      </w:r>
      <w:r>
        <w:rPr>
          <w:rFonts w:hint="cs"/>
          <w:rtl/>
        </w:rPr>
        <w:t xml:space="preserve"> إن حديث أبي بكرة </w:t>
      </w:r>
      <w:r>
        <w:rPr>
          <w:rtl/>
        </w:rPr>
        <w:t>–</w:t>
      </w:r>
      <w:r>
        <w:rPr>
          <w:rFonts w:hint="cs"/>
          <w:rtl/>
        </w:rPr>
        <w:t xml:space="preserve"> الذي لفظه أقرب الألفاظ للفظ المؤلف </w:t>
      </w:r>
      <w:r>
        <w:rPr>
          <w:rtl/>
        </w:rPr>
        <w:t>–</w:t>
      </w:r>
      <w:r>
        <w:rPr>
          <w:rFonts w:hint="cs"/>
          <w:rtl/>
        </w:rPr>
        <w:t xml:space="preserve"> أخرجه أبو نعيم بنحوه في (تاريخ أصبهان)، 1/90-91، 251-252؛ وابن عدي بمثله في الكامـل في الضعفاء، 2/150، رقم 344.</w:t>
      </w:r>
    </w:p>
    <w:p w:rsidR="00035BE3" w:rsidRDefault="00035BE3" w:rsidP="00C10469">
      <w:pPr>
        <w:pStyle w:val="a6"/>
        <w:spacing w:line="264" w:lineRule="auto"/>
        <w:ind w:left="420" w:firstLine="0"/>
        <w:rPr>
          <w:spacing w:val="4"/>
          <w:rtl/>
        </w:rPr>
      </w:pPr>
      <w:r>
        <w:rPr>
          <w:spacing w:val="4"/>
          <w:rtl/>
        </w:rPr>
        <w:t>•</w:t>
      </w:r>
      <w:r>
        <w:rPr>
          <w:rFonts w:hint="cs"/>
          <w:spacing w:val="4"/>
          <w:rtl/>
        </w:rPr>
        <w:t xml:space="preserve"> وحديث ابن عباس أخرجه : ابن حبان، باب فضل الأمة، 16/202، ح7219؛ والطحاوي في شرح معاني الآثار، باب طلاق المكره، 3/95؛ والطبـراني في الصغـير، 2/52، ح765؛ وفي الأوسط، 8/161، ح8273؛ وفي الكبير، 11/133، ح11274؛ والدارقطني، كتاب النذور، 4/170؛ والحاكم، كتاب الطلاق، 2/216، والبيهقي، كتاب الخلع والطلاق، باب ما جاء في طلاق المكره، 7/356؛ والهيثمي في موارد الظمآن، كتاب الحدود، باب الخطأ والنسيان والاستكراه، 1/360، ح1498.</w:t>
      </w:r>
    </w:p>
    <w:p w:rsidR="00035BE3" w:rsidRDefault="00035BE3" w:rsidP="00C10469">
      <w:pPr>
        <w:pStyle w:val="a6"/>
        <w:spacing w:line="264" w:lineRule="auto"/>
        <w:ind w:left="420" w:firstLine="0"/>
        <w:rPr>
          <w:rtl/>
        </w:rPr>
      </w:pPr>
      <w:r>
        <w:rPr>
          <w:rtl/>
        </w:rPr>
        <w:t>•</w:t>
      </w:r>
      <w:r>
        <w:rPr>
          <w:rFonts w:hint="cs"/>
          <w:rtl/>
        </w:rPr>
        <w:t xml:space="preserve"> وحديث أبي ذر أخرجه : ابن ماجه، كتاب الطلاق، باب طلاق المكره والناسي، 1/659، ح2043.</w:t>
      </w:r>
    </w:p>
    <w:p w:rsidR="00035BE3" w:rsidRDefault="00035BE3" w:rsidP="00C10469">
      <w:pPr>
        <w:pStyle w:val="a6"/>
        <w:spacing w:line="264" w:lineRule="auto"/>
        <w:ind w:left="420" w:firstLine="0"/>
        <w:rPr>
          <w:spacing w:val="-8"/>
          <w:rtl/>
        </w:rPr>
      </w:pPr>
      <w:r>
        <w:rPr>
          <w:spacing w:val="-8"/>
          <w:rtl/>
        </w:rPr>
        <w:t>•</w:t>
      </w:r>
      <w:r>
        <w:rPr>
          <w:rFonts w:hint="cs"/>
          <w:spacing w:val="-8"/>
          <w:rtl/>
        </w:rPr>
        <w:t xml:space="preserve"> وحديث الحسن أخرجه : سعيد بن منصور في السنن، كتاب الطلاق، باب ما جاء في طلاق المكره، 1/317، ح1145؛ وابن أبي شيبة، باب من لم ير طلاق المكره شيئًا، 4/172، ح18036.</w:t>
      </w:r>
    </w:p>
    <w:p w:rsidR="00035BE3" w:rsidRDefault="00035BE3" w:rsidP="00C10469">
      <w:pPr>
        <w:pStyle w:val="a6"/>
        <w:spacing w:line="264" w:lineRule="auto"/>
        <w:ind w:left="-32" w:firstLine="452"/>
        <w:rPr>
          <w:spacing w:val="8"/>
          <w:rtl/>
        </w:rPr>
      </w:pPr>
      <w:r>
        <w:rPr>
          <w:spacing w:val="8"/>
          <w:rtl/>
        </w:rPr>
        <w:t>•</w:t>
      </w:r>
      <w:r>
        <w:rPr>
          <w:rFonts w:hint="cs"/>
          <w:spacing w:val="8"/>
          <w:rtl/>
        </w:rPr>
        <w:t xml:space="preserve"> وحديث ابن عمر أخرجه: البيهقي، كتاب الإقرار، باب من لا يجوز إقراره، 6/84.</w:t>
      </w:r>
    </w:p>
    <w:p w:rsidR="00035BE3" w:rsidRDefault="00035BE3" w:rsidP="00C10469">
      <w:pPr>
        <w:pStyle w:val="a6"/>
        <w:spacing w:line="264" w:lineRule="auto"/>
        <w:ind w:left="420" w:firstLine="0"/>
        <w:rPr>
          <w:spacing w:val="8"/>
          <w:rtl/>
        </w:rPr>
      </w:pPr>
      <w:r>
        <w:rPr>
          <w:spacing w:val="8"/>
          <w:rtl/>
        </w:rPr>
        <w:t>•</w:t>
      </w:r>
      <w:r>
        <w:rPr>
          <w:rFonts w:hint="cs"/>
          <w:spacing w:val="8"/>
          <w:rtl/>
        </w:rPr>
        <w:t>وحديث ابن عامر أخرجه : البيهقي أيضًا، كتاب الطلاق، باب ما جاء في طلاق المكره، 7/357.</w:t>
      </w:r>
    </w:p>
    <w:p w:rsidR="00035BE3" w:rsidRDefault="00035BE3" w:rsidP="00C10469">
      <w:pPr>
        <w:pStyle w:val="a6"/>
        <w:ind w:left="422" w:hanging="2"/>
        <w:rPr>
          <w:rtl/>
        </w:rPr>
      </w:pPr>
      <w:r>
        <w:rPr>
          <w:rFonts w:hint="cs"/>
          <w:b/>
          <w:bCs/>
          <w:rtl/>
        </w:rPr>
        <w:t>وللتوسع</w:t>
      </w:r>
      <w:r>
        <w:rPr>
          <w:rFonts w:hint="cs"/>
          <w:rtl/>
        </w:rPr>
        <w:t xml:space="preserve"> في الكلام عن الحديث انظر </w:t>
      </w:r>
      <w:r>
        <w:rPr>
          <w:rtl/>
        </w:rPr>
        <w:t>–</w:t>
      </w:r>
      <w:r>
        <w:rPr>
          <w:rFonts w:hint="cs"/>
          <w:rtl/>
        </w:rPr>
        <w:t>بالإضافة إلى ما سبق-:</w:t>
      </w:r>
    </w:p>
    <w:p w:rsidR="00035BE3" w:rsidRDefault="00035BE3" w:rsidP="00C10469">
      <w:pPr>
        <w:pStyle w:val="a6"/>
        <w:ind w:left="422" w:hanging="2"/>
        <w:rPr>
          <w:rtl/>
        </w:rPr>
      </w:pPr>
      <w:r>
        <w:rPr>
          <w:rFonts w:hint="cs"/>
          <w:rtl/>
        </w:rPr>
        <w:t>علل ابن أبي حاتم، 1/431؛ مجمع الزوائد، 6/250؛ فتح الباري، 5/191.</w:t>
      </w:r>
    </w:p>
  </w:footnote>
  <w:footnote w:id="43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تحفيفًا</w:t>
      </w:r>
      <w:r>
        <w:rPr>
          <w:rFonts w:hint="eastAsia"/>
          <w:rtl/>
        </w:rPr>
        <w:t>»</w:t>
      </w:r>
      <w:r>
        <w:rPr>
          <w:rFonts w:hint="cs"/>
          <w:rtl/>
        </w:rPr>
        <w:t xml:space="preserve"> (بالحاء المهملة). والصحيح ما تمَّ إثباته من باقي النسخ.</w:t>
      </w:r>
    </w:p>
  </w:footnote>
  <w:footnote w:id="43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56/أ من (ب).</w:t>
      </w:r>
    </w:p>
  </w:footnote>
  <w:footnote w:id="434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ما جاء في شرح القاعدة في : المغني للخبازي، ص104؛ شرحه للقاءاني، ق1، جـ2، ص463؛ العناية، 9/491.</w:t>
      </w:r>
    </w:p>
  </w:footnote>
  <w:footnote w:id="4341">
    <w:p w:rsidR="00035BE3" w:rsidRPr="00970883" w:rsidRDefault="00035BE3" w:rsidP="00C10469">
      <w:pPr>
        <w:pStyle w:val="a8"/>
        <w:bidi/>
        <w:ind w:left="422" w:right="0"/>
        <w:rPr>
          <w:spacing w:val="-4"/>
          <w:rtl/>
        </w:rPr>
      </w:pPr>
      <w:r>
        <w:rPr>
          <w:rFonts w:hint="cs"/>
          <w:vertAlign w:val="superscript"/>
          <w:rtl/>
        </w:rPr>
        <w:t>(</w:t>
      </w:r>
      <w:r>
        <w:rPr>
          <w:rStyle w:val="a7"/>
        </w:rPr>
        <w:footnoteRef/>
      </w:r>
      <w:r>
        <w:rPr>
          <w:rFonts w:hint="cs"/>
          <w:vertAlign w:val="superscript"/>
          <w:rtl/>
        </w:rPr>
        <w:t>)</w:t>
      </w:r>
      <w:r>
        <w:rPr>
          <w:rFonts w:hint="cs"/>
          <w:rtl/>
        </w:rPr>
        <w:t xml:space="preserve">  </w:t>
      </w:r>
      <w:r w:rsidRPr="00970883">
        <w:rPr>
          <w:rFonts w:hint="cs"/>
          <w:spacing w:val="-4"/>
          <w:rtl/>
        </w:rPr>
        <w:t xml:space="preserve">هذه القاعدة تمثّل أحد الأقوال في مسألة من المسائل الأصولية الخلافية، وهي ما ترجم لها صاحب </w:t>
      </w:r>
      <w:r>
        <w:rPr>
          <w:rFonts w:hint="cs"/>
          <w:rtl/>
        </w:rPr>
        <w:t xml:space="preserve">(ميزان </w:t>
      </w:r>
      <w:r w:rsidRPr="00970883">
        <w:rPr>
          <w:rFonts w:hint="cs"/>
          <w:spacing w:val="-4"/>
          <w:rtl/>
        </w:rPr>
        <w:t xml:space="preserve">الأصول) </w:t>
      </w:r>
      <w:r w:rsidRPr="00970883">
        <w:rPr>
          <w:spacing w:val="-4"/>
          <w:rtl/>
        </w:rPr>
        <w:t>–</w:t>
      </w:r>
      <w:r w:rsidRPr="00970883">
        <w:rPr>
          <w:rFonts w:hint="cs"/>
          <w:spacing w:val="-4"/>
          <w:rtl/>
        </w:rPr>
        <w:t xml:space="preserve">1/545- بقوله: </w:t>
      </w:r>
      <w:r w:rsidRPr="00970883">
        <w:rPr>
          <w:rFonts w:hint="eastAsia"/>
          <w:spacing w:val="-4"/>
          <w:rtl/>
        </w:rPr>
        <w:t>«</w:t>
      </w:r>
      <w:r w:rsidRPr="00970883">
        <w:rPr>
          <w:rFonts w:hint="cs"/>
          <w:spacing w:val="-4"/>
          <w:rtl/>
        </w:rPr>
        <w:t>مسألة : المجاز والحقيقة هل يجوز أن يرادا بلفظ واحد في حالة واحدة؟</w:t>
      </w:r>
      <w:r w:rsidRPr="00970883">
        <w:rPr>
          <w:rFonts w:hint="eastAsia"/>
          <w:spacing w:val="-4"/>
          <w:rtl/>
        </w:rPr>
        <w:t>»</w:t>
      </w:r>
      <w:r w:rsidRPr="00970883">
        <w:rPr>
          <w:rFonts w:hint="cs"/>
          <w:spacing w:val="-4"/>
          <w:rtl/>
        </w:rPr>
        <w:t>.</w:t>
      </w:r>
    </w:p>
    <w:p w:rsidR="00035BE3" w:rsidRDefault="00035BE3" w:rsidP="00C10469">
      <w:pPr>
        <w:pStyle w:val="a6"/>
        <w:ind w:left="422" w:firstLine="0"/>
        <w:rPr>
          <w:rtl/>
        </w:rPr>
      </w:pPr>
      <w:r>
        <w:rPr>
          <w:rFonts w:hint="cs"/>
          <w:b/>
          <w:bCs/>
          <w:rtl/>
        </w:rPr>
        <w:t>ولتحرير محل النزاع في هذه المسألة وبيان أهم الأقوال فيها يقال</w:t>
      </w:r>
      <w:r>
        <w:rPr>
          <w:rFonts w:hint="cs"/>
          <w:rtl/>
        </w:rPr>
        <w:t xml:space="preserve"> :</w:t>
      </w:r>
    </w:p>
    <w:p w:rsidR="00035BE3" w:rsidRDefault="00035BE3" w:rsidP="00C10469">
      <w:pPr>
        <w:pStyle w:val="a6"/>
        <w:ind w:left="422" w:firstLine="0"/>
        <w:rPr>
          <w:rtl/>
        </w:rPr>
      </w:pPr>
      <w:r>
        <w:rPr>
          <w:rFonts w:ascii="Wingdings" w:hAnsi="Wingdings"/>
        </w:rPr>
        <w:t></w:t>
      </w:r>
      <w:r>
        <w:rPr>
          <w:rFonts w:hint="cs"/>
          <w:b/>
          <w:bCs/>
          <w:rtl/>
        </w:rPr>
        <w:t>1</w:t>
      </w:r>
      <w:r>
        <w:rPr>
          <w:rFonts w:hint="cs"/>
          <w:rtl/>
        </w:rPr>
        <w:t xml:space="preserve">- اتفق العلماء على منع كون اللفظ ذاته حقيقة ومجازًا في استعمال واحد </w:t>
      </w:r>
      <w:r>
        <w:rPr>
          <w:rtl/>
        </w:rPr>
        <w:t>–</w:t>
      </w:r>
      <w:r>
        <w:rPr>
          <w:rFonts w:hint="cs"/>
          <w:rtl/>
        </w:rPr>
        <w:t xml:space="preserve"> كما صرح بذلك صاحب التحرير وتيسيره، 1/312 ،حيث يقول في (التيسير) : </w:t>
      </w:r>
      <w:r>
        <w:rPr>
          <w:rFonts w:hint="eastAsia"/>
          <w:rtl/>
        </w:rPr>
        <w:t>«</w:t>
      </w:r>
      <w:r>
        <w:rPr>
          <w:rFonts w:hint="cs"/>
          <w:rtl/>
        </w:rPr>
        <w:t>... أي الاتفاق على نفي كون اللفظ حقيقة ومجازًا في استعمال واحد ...</w:t>
      </w:r>
      <w:r>
        <w:rPr>
          <w:rFonts w:hint="eastAsia"/>
          <w:rtl/>
        </w:rPr>
        <w:t>»</w:t>
      </w:r>
      <w:r>
        <w:rPr>
          <w:rFonts w:hint="cs"/>
          <w:rtl/>
        </w:rPr>
        <w:t>.</w:t>
      </w:r>
    </w:p>
    <w:p w:rsidR="00035BE3" w:rsidRDefault="00035BE3" w:rsidP="00C10469">
      <w:pPr>
        <w:pStyle w:val="a6"/>
        <w:ind w:left="422" w:firstLine="0"/>
        <w:rPr>
          <w:rtl/>
        </w:rPr>
      </w:pPr>
      <w:r>
        <w:rPr>
          <w:rFonts w:hint="cs"/>
          <w:b/>
          <w:bCs/>
          <w:rtl/>
        </w:rPr>
        <w:t>2</w:t>
      </w:r>
      <w:r>
        <w:rPr>
          <w:rFonts w:hint="cs"/>
          <w:rtl/>
        </w:rPr>
        <w:t>- كما أنه لا خلاف بينهم في أن اللفظ إذا كان له معنى حقيقيّ وآخر مجازيّ وبينهما منافاة :فإنه يمتنع أن يكونا مرادين معًا في استعمال واحد.</w:t>
      </w:r>
    </w:p>
    <w:p w:rsidR="00035BE3" w:rsidRDefault="00035BE3" w:rsidP="00C10469">
      <w:pPr>
        <w:pStyle w:val="a6"/>
        <w:ind w:left="422" w:firstLine="0"/>
        <w:rPr>
          <w:rtl/>
        </w:rPr>
      </w:pPr>
      <w:r>
        <w:rPr>
          <w:rFonts w:hint="cs"/>
          <w:rtl/>
        </w:rPr>
        <w:t xml:space="preserve">وقد صرح بذلك صاحب الإبهاج شرح المنهاج </w:t>
      </w:r>
      <w:r>
        <w:rPr>
          <w:rtl/>
        </w:rPr>
        <w:t>–</w:t>
      </w:r>
      <w:r>
        <w:rPr>
          <w:rFonts w:hint="cs"/>
          <w:rtl/>
        </w:rPr>
        <w:t xml:space="preserve">1/255- حيث قال : </w:t>
      </w:r>
      <w:r>
        <w:rPr>
          <w:rFonts w:hint="eastAsia"/>
          <w:rtl/>
        </w:rPr>
        <w:t>«</w:t>
      </w:r>
      <w:r>
        <w:rPr>
          <w:rFonts w:hint="cs"/>
          <w:rtl/>
        </w:rPr>
        <w:t xml:space="preserve">... بشرط ألا يمتنع الجمع لأمر خارج </w:t>
      </w:r>
      <w:r>
        <w:rPr>
          <w:rtl/>
        </w:rPr>
        <w:t>–</w:t>
      </w:r>
      <w:r>
        <w:rPr>
          <w:rFonts w:hint="cs"/>
          <w:rtl/>
        </w:rPr>
        <w:t xml:space="preserve"> كما في الضّدين والنقيضين- وإلى هذا أشار المصنف بقوله : </w:t>
      </w:r>
      <w:r>
        <w:rPr>
          <w:rFonts w:hint="eastAsia"/>
          <w:rtl/>
        </w:rPr>
        <w:t>«</w:t>
      </w:r>
      <w:r>
        <w:rPr>
          <w:rFonts w:hint="cs"/>
          <w:rtl/>
        </w:rPr>
        <w:t>الغير المتضادة</w:t>
      </w:r>
      <w:r>
        <w:rPr>
          <w:rFonts w:hint="eastAsia"/>
          <w:rtl/>
        </w:rPr>
        <w:t>»</w:t>
      </w:r>
      <w:r>
        <w:rPr>
          <w:rFonts w:hint="cs"/>
          <w:rtl/>
        </w:rPr>
        <w:t xml:space="preserve">، أي : </w:t>
      </w:r>
      <w:r>
        <w:rPr>
          <w:rFonts w:hint="cs"/>
          <w:b/>
          <w:bCs/>
          <w:rtl/>
        </w:rPr>
        <w:t>أنه ليس محل الخلاف في المتضادّة</w:t>
      </w:r>
      <w:r>
        <w:rPr>
          <w:rFonts w:hint="cs"/>
          <w:rtl/>
        </w:rPr>
        <w:t xml:space="preserve"> ...</w:t>
      </w:r>
      <w:r>
        <w:rPr>
          <w:rFonts w:hint="eastAsia"/>
          <w:rtl/>
        </w:rPr>
        <w:t>»</w:t>
      </w:r>
      <w:r>
        <w:rPr>
          <w:rFonts w:hint="cs"/>
          <w:rtl/>
        </w:rPr>
        <w:t>.</w:t>
      </w:r>
    </w:p>
    <w:p w:rsidR="00035BE3" w:rsidRDefault="00035BE3" w:rsidP="00C10469">
      <w:pPr>
        <w:pStyle w:val="a6"/>
        <w:ind w:left="422" w:firstLine="0"/>
        <w:rPr>
          <w:rtl/>
        </w:rPr>
      </w:pPr>
      <w:r>
        <w:rPr>
          <w:rFonts w:hint="cs"/>
          <w:b/>
          <w:bCs/>
          <w:rtl/>
        </w:rPr>
        <w:t>3</w:t>
      </w:r>
      <w:r>
        <w:rPr>
          <w:rFonts w:hint="cs"/>
          <w:rtl/>
        </w:rPr>
        <w:t>- أما إذا لم يأتِ أمر خارج يمنع الجمع بينهما فهذا محل النـزاع.</w:t>
      </w:r>
    </w:p>
    <w:p w:rsidR="00035BE3" w:rsidRDefault="00035BE3" w:rsidP="00C10469">
      <w:pPr>
        <w:pStyle w:val="a6"/>
        <w:ind w:left="422" w:firstLine="0"/>
        <w:rPr>
          <w:rtl/>
        </w:rPr>
      </w:pPr>
      <w:r>
        <w:rPr>
          <w:rFonts w:ascii="Wingdings" w:hAnsi="Wingdings"/>
        </w:rPr>
        <w:t></w:t>
      </w:r>
      <w:r>
        <w:rPr>
          <w:rFonts w:hint="cs"/>
          <w:rtl/>
        </w:rPr>
        <w:t xml:space="preserve"> وأهم الأقوال في ذلك ما يأتي :</w:t>
      </w:r>
    </w:p>
    <w:p w:rsidR="00035BE3" w:rsidRDefault="00035BE3" w:rsidP="00C10469">
      <w:pPr>
        <w:pStyle w:val="a6"/>
        <w:ind w:left="422" w:firstLine="0"/>
        <w:rPr>
          <w:rtl/>
        </w:rPr>
      </w:pPr>
      <w:r>
        <w:rPr>
          <w:rFonts w:hint="cs"/>
          <w:b/>
          <w:bCs/>
          <w:rtl/>
        </w:rPr>
        <w:t>القول الأول</w:t>
      </w:r>
      <w:r>
        <w:rPr>
          <w:rFonts w:hint="cs"/>
          <w:rtl/>
        </w:rPr>
        <w:t xml:space="preserve"> : </w:t>
      </w:r>
      <w:r>
        <w:rPr>
          <w:rFonts w:hint="eastAsia"/>
          <w:rtl/>
        </w:rPr>
        <w:t>«</w:t>
      </w:r>
      <w:r>
        <w:rPr>
          <w:rFonts w:hint="cs"/>
          <w:rtl/>
        </w:rPr>
        <w:t>لا يجوز إرادة المعنى الحقيقي والمجازي من لفظ واحد</w:t>
      </w:r>
      <w:r>
        <w:rPr>
          <w:rFonts w:hint="eastAsia"/>
          <w:rtl/>
        </w:rPr>
        <w:t>»</w:t>
      </w:r>
      <w:r>
        <w:rPr>
          <w:rFonts w:hint="cs"/>
          <w:rtl/>
        </w:rPr>
        <w:t xml:space="preserve">- وهذا لفظ القاعدة وهو قول الحنفية </w:t>
      </w:r>
      <w:r>
        <w:rPr>
          <w:rtl/>
        </w:rPr>
        <w:t>–</w:t>
      </w:r>
      <w:r>
        <w:rPr>
          <w:rFonts w:hint="cs"/>
          <w:rtl/>
        </w:rPr>
        <w:t xml:space="preserve"> كما صرّح بذلك البخاري في (كشف الأسرار) </w:t>
      </w:r>
      <w:r>
        <w:rPr>
          <w:rtl/>
        </w:rPr>
        <w:t>–</w:t>
      </w:r>
      <w:r>
        <w:rPr>
          <w:rFonts w:hint="cs"/>
          <w:rtl/>
        </w:rPr>
        <w:t xml:space="preserve"> وبعض المالكية والشافعية، منهم القاضي الباقلاني والجويني </w:t>
      </w:r>
      <w:r>
        <w:rPr>
          <w:rtl/>
        </w:rPr>
        <w:t>–</w:t>
      </w:r>
      <w:r>
        <w:rPr>
          <w:rFonts w:hint="cs"/>
          <w:rtl/>
        </w:rPr>
        <w:t xml:space="preserve"> كما في (البرهان)-.</w:t>
      </w:r>
    </w:p>
    <w:p w:rsidR="00035BE3" w:rsidRDefault="00035BE3" w:rsidP="00C10469">
      <w:pPr>
        <w:pStyle w:val="a6"/>
        <w:ind w:left="422" w:firstLine="0"/>
        <w:rPr>
          <w:rtl/>
        </w:rPr>
      </w:pPr>
      <w:r>
        <w:rPr>
          <w:rFonts w:hint="cs"/>
          <w:b/>
          <w:bCs/>
          <w:rtl/>
        </w:rPr>
        <w:t>القول الثاني</w:t>
      </w:r>
      <w:r>
        <w:rPr>
          <w:rFonts w:hint="cs"/>
          <w:rtl/>
        </w:rPr>
        <w:t xml:space="preserve"> : يجوز ذلك.</w:t>
      </w:r>
    </w:p>
    <w:p w:rsidR="00035BE3" w:rsidRDefault="00035BE3" w:rsidP="00C10469">
      <w:pPr>
        <w:pStyle w:val="a6"/>
        <w:ind w:left="422" w:firstLine="0"/>
        <w:rPr>
          <w:rtl/>
        </w:rPr>
      </w:pPr>
      <w:r>
        <w:rPr>
          <w:rFonts w:hint="cs"/>
          <w:rtl/>
        </w:rPr>
        <w:t>وهذا قول الإمام الشافعي وعامة أصحابه، وكثير من المالكية والحنابلة، منهم : ابن الحاجب، والقاضي أبو يعلى وابن عقيل والمجد بن تيمية وغيرهم.</w:t>
      </w:r>
    </w:p>
    <w:p w:rsidR="00035BE3" w:rsidRDefault="00035BE3" w:rsidP="00C10469">
      <w:pPr>
        <w:pStyle w:val="a6"/>
        <w:ind w:left="422" w:firstLine="0"/>
        <w:rPr>
          <w:rtl/>
        </w:rPr>
      </w:pPr>
      <w:r>
        <w:rPr>
          <w:rFonts w:hint="cs"/>
          <w:rtl/>
        </w:rPr>
        <w:t xml:space="preserve">ومما تجدر الإشارة إليه أن كثيرًا من الأصوليين يقرنون هذه المسألة بمسألة أخرى، وهي حكم اطلاق المشترك على معانيه في آن واحد؛ أو عموم المشترك. وقد سبق أن أشار المؤلف عرضًا </w:t>
      </w:r>
      <w:r>
        <w:rPr>
          <w:rtl/>
        </w:rPr>
        <w:t>–</w:t>
      </w:r>
      <w:r>
        <w:rPr>
          <w:rFonts w:hint="cs"/>
          <w:rtl/>
        </w:rPr>
        <w:t xml:space="preserve"> إلى عموم المشترك ص354 (ل15/أ)، كما أفرد له قاعدة مستقلة، وذلك ص369 (ل16/أ)، قاعدة 35.</w:t>
      </w:r>
    </w:p>
    <w:p w:rsidR="00035BE3" w:rsidRDefault="00035BE3" w:rsidP="00C10469">
      <w:pPr>
        <w:pStyle w:val="a6"/>
        <w:ind w:left="422" w:firstLine="0"/>
        <w:rPr>
          <w:spacing w:val="-4"/>
          <w:rtl/>
        </w:rPr>
      </w:pPr>
      <w:r>
        <w:rPr>
          <w:rFonts w:hint="cs"/>
          <w:b/>
          <w:bCs/>
          <w:rtl/>
        </w:rPr>
        <w:t>ولتوثيق هذه القاعدة</w:t>
      </w:r>
      <w:r>
        <w:rPr>
          <w:rFonts w:hint="cs"/>
          <w:rtl/>
        </w:rPr>
        <w:t xml:space="preserve"> وما جاء من الخلاف فيها انظر: أصول الشاشي، ص43؛ المعتمد، 1/325؛ </w:t>
      </w:r>
      <w:r w:rsidRPr="00074B86">
        <w:rPr>
          <w:rFonts w:hint="cs"/>
          <w:spacing w:val="-2"/>
          <w:rtl/>
        </w:rPr>
        <w:t xml:space="preserve">العدة، 2/703؛ البرهان، 1/235، فقرة 246؛ التبصرة، ص184؛ أصول البزروي وكشف </w:t>
      </w:r>
      <w:r>
        <w:rPr>
          <w:rFonts w:hint="cs"/>
          <w:rtl/>
        </w:rPr>
        <w:t xml:space="preserve">الأسرار، 2/85؛ أصول السرخسي، 1/173؛ قواطع الأدلة، 2/101؛ الواضح لابن عقيل، 4/50؛ ميزان الأصول، 1/497، 545؛ المحصول، 1/147؛ شرحه : الكاشف، 2/346؛ مختصر ابن الحاجب وشرح العضد وحاشية التفتازاني، 2/111؛ تخريج الفروع على الأصول للزنجاني، ص68؛ المـنهاج والإبهاج، 1/255؛ المغني، ص134؛ وشرحه للقاءاني، ق1، جـ2، ص577- ويعد المغني وشرحه هما المصدران </w:t>
      </w:r>
      <w:r>
        <w:rPr>
          <w:rFonts w:hint="cs"/>
          <w:spacing w:val="-4"/>
          <w:rtl/>
        </w:rPr>
        <w:t xml:space="preserve">الرئيسان للمؤلف -؛ المنار وشروحه: كشف الأسرار وشرح نور الأنـوار، 1/235؛ </w:t>
      </w:r>
      <w:r w:rsidRPr="008A1177">
        <w:rPr>
          <w:rFonts w:hint="cs"/>
          <w:spacing w:val="-6"/>
          <w:rtl/>
        </w:rPr>
        <w:t>وجامع الأسرار، 2/351 ،352؛ وفتح الغفار، 1/135؛ المسوّدة، ص166؛ التمهيد للإسنوي، ص173.</w:t>
      </w:r>
    </w:p>
    <w:p w:rsidR="00035BE3" w:rsidRDefault="00035BE3" w:rsidP="00C10469">
      <w:pPr>
        <w:pStyle w:val="a6"/>
        <w:ind w:left="422" w:firstLine="0"/>
        <w:rPr>
          <w:rtl/>
        </w:rPr>
      </w:pPr>
      <w:r>
        <w:rPr>
          <w:rFonts w:hint="cs"/>
          <w:rtl/>
        </w:rPr>
        <w:t xml:space="preserve">كما وردت هذه القاعدة في طائفة من كتب الفقه وقواعده منها : </w:t>
      </w:r>
    </w:p>
    <w:p w:rsidR="00035BE3" w:rsidRDefault="00035BE3" w:rsidP="00C10469">
      <w:pPr>
        <w:pStyle w:val="a6"/>
        <w:ind w:left="422" w:firstLine="0"/>
        <w:rPr>
          <w:rtl/>
        </w:rPr>
      </w:pPr>
      <w:r>
        <w:rPr>
          <w:rFonts w:hint="cs"/>
          <w:rtl/>
        </w:rPr>
        <w:t>المبسوط، 8/168، 181، 29/141؛ الأشباه لابن نجيم، ص161؛ نتائج الأفكار، 10/484؛ القواعد والضوابط المستخلصة من التحرير، ص486.</w:t>
      </w:r>
    </w:p>
  </w:footnote>
  <w:footnote w:id="434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لا</w:t>
      </w:r>
      <w:r>
        <w:rPr>
          <w:rFonts w:hint="eastAsia"/>
          <w:rtl/>
        </w:rPr>
        <w:t>»</w:t>
      </w:r>
      <w:r>
        <w:rPr>
          <w:rFonts w:hint="cs"/>
          <w:rtl/>
        </w:rPr>
        <w:t>.</w:t>
      </w:r>
    </w:p>
  </w:footnote>
  <w:footnote w:id="434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المغني) : </w:t>
      </w:r>
      <w:r>
        <w:rPr>
          <w:rFonts w:hint="eastAsia"/>
          <w:rtl/>
        </w:rPr>
        <w:t>«</w:t>
      </w:r>
      <w:r>
        <w:rPr>
          <w:rFonts w:hint="cs"/>
          <w:rtl/>
        </w:rPr>
        <w:t>ثبت</w:t>
      </w:r>
      <w:r>
        <w:rPr>
          <w:rFonts w:hint="eastAsia"/>
          <w:rtl/>
        </w:rPr>
        <w:t>»</w:t>
      </w:r>
      <w:r>
        <w:rPr>
          <w:rFonts w:hint="cs"/>
          <w:rtl/>
        </w:rPr>
        <w:t>.</w:t>
      </w:r>
    </w:p>
  </w:footnote>
  <w:footnote w:id="43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ص134- مع الاختلاف اليسير الذي سبق بيانه -؛ وأنظر شرحه للقاءاني، ق1، جـ2، ص577، فقد ذكر هذا الدليل وضعّفه.</w:t>
      </w:r>
    </w:p>
  </w:footnote>
  <w:footnote w:id="43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بلثلث</w:t>
      </w:r>
      <w:r>
        <w:rPr>
          <w:rFonts w:hint="eastAsia"/>
          <w:rtl/>
        </w:rPr>
        <w:t>»</w:t>
      </w:r>
      <w:r>
        <w:rPr>
          <w:rFonts w:hint="cs"/>
          <w:rtl/>
        </w:rPr>
        <w:t xml:space="preserve">. والصحيح ما تّم إثباته من باقي النسخ، وهو الموافق للمغني وشرحه، حيث جاء في المغني : </w:t>
      </w:r>
      <w:r>
        <w:rPr>
          <w:rFonts w:hint="eastAsia"/>
          <w:rtl/>
        </w:rPr>
        <w:t>«</w:t>
      </w:r>
      <w:r>
        <w:rPr>
          <w:rFonts w:hint="cs"/>
          <w:rtl/>
        </w:rPr>
        <w:t>ولهذا قال محمد -رحمه الله- : إذا أوصى بثُلُثِ ماله...</w:t>
      </w:r>
      <w:r>
        <w:rPr>
          <w:rFonts w:hint="eastAsia"/>
          <w:rtl/>
        </w:rPr>
        <w:t>»</w:t>
      </w:r>
      <w:r>
        <w:rPr>
          <w:rFonts w:hint="cs"/>
          <w:rtl/>
        </w:rPr>
        <w:t>.</w:t>
      </w:r>
    </w:p>
  </w:footnote>
  <w:footnote w:id="43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53/ب من (د) .</w:t>
      </w:r>
    </w:p>
  </w:footnote>
  <w:footnote w:id="434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أي : ضمير راجع إلى موالٍ</w:t>
      </w:r>
      <w:r>
        <w:rPr>
          <w:rFonts w:hint="eastAsia"/>
          <w:rtl/>
        </w:rPr>
        <w:t>»</w:t>
      </w:r>
      <w:r>
        <w:rPr>
          <w:rFonts w:hint="cs"/>
          <w:rtl/>
        </w:rPr>
        <w:t>.</w:t>
      </w:r>
    </w:p>
    <w:p w:rsidR="00035BE3" w:rsidRDefault="00035BE3" w:rsidP="00C10469">
      <w:pPr>
        <w:pStyle w:val="a6"/>
        <w:ind w:left="422" w:firstLine="0"/>
        <w:rPr>
          <w:spacing w:val="-2"/>
          <w:rtl/>
        </w:rPr>
      </w:pPr>
      <w:r>
        <w:rPr>
          <w:rFonts w:hint="cs"/>
          <w:spacing w:val="-2"/>
          <w:rtl/>
        </w:rPr>
        <w:t xml:space="preserve">والذي يظهر أن هذا مجانب للصواب؛ لأن الضمير مفردٌ يعود إلى الموصِي وليس مواليه </w:t>
      </w:r>
      <w:r>
        <w:rPr>
          <w:spacing w:val="-2"/>
          <w:rtl/>
        </w:rPr>
        <w:t>–</w:t>
      </w:r>
      <w:r>
        <w:rPr>
          <w:rFonts w:hint="cs"/>
          <w:spacing w:val="-2"/>
          <w:rtl/>
        </w:rPr>
        <w:t>والله أعلم -.</w:t>
      </w:r>
    </w:p>
  </w:footnote>
  <w:footnote w:id="43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مردود</w:t>
      </w:r>
      <w:r>
        <w:rPr>
          <w:rFonts w:hint="eastAsia"/>
          <w:rtl/>
        </w:rPr>
        <w:t>»</w:t>
      </w:r>
    </w:p>
    <w:p w:rsidR="00035BE3" w:rsidRDefault="00035BE3" w:rsidP="00C10469">
      <w:pPr>
        <w:pStyle w:val="a6"/>
        <w:ind w:left="422" w:firstLine="0"/>
        <w:rPr>
          <w:rtl/>
        </w:rPr>
      </w:pPr>
      <w:r>
        <w:rPr>
          <w:rFonts w:hint="cs"/>
          <w:rtl/>
        </w:rPr>
        <w:t xml:space="preserve">والعبارة الأخيرة جاءت في (المغني) : </w:t>
      </w:r>
      <w:r>
        <w:rPr>
          <w:rFonts w:hint="eastAsia"/>
          <w:rtl/>
        </w:rPr>
        <w:t>«</w:t>
      </w:r>
      <w:r>
        <w:rPr>
          <w:rFonts w:hint="cs"/>
          <w:rtl/>
        </w:rPr>
        <w:t>...وله معتَقٌ واحد حتى استحقّ النصف كان النصف الباقي مردودًا لورثته</w:t>
      </w:r>
      <w:r>
        <w:rPr>
          <w:rFonts w:hint="eastAsia"/>
          <w:rtl/>
        </w:rPr>
        <w:t>»</w:t>
      </w:r>
      <w:r>
        <w:rPr>
          <w:rFonts w:hint="cs"/>
          <w:rtl/>
        </w:rPr>
        <w:t>.</w:t>
      </w:r>
    </w:p>
  </w:footnote>
  <w:footnote w:id="434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65/ب من (جـ).</w:t>
      </w:r>
    </w:p>
  </w:footnote>
  <w:footnote w:id="43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المعتق</w:t>
      </w:r>
      <w:r>
        <w:rPr>
          <w:rFonts w:hint="eastAsia"/>
          <w:rtl/>
        </w:rPr>
        <w:t>»</w:t>
      </w:r>
      <w:r>
        <w:rPr>
          <w:rFonts w:hint="cs"/>
          <w:rtl/>
        </w:rPr>
        <w:t xml:space="preserve">. والمناسب ما تمَّ إثباته من (ب)، وهو الموافق للمغني، حيث جاء في المغني : </w:t>
      </w:r>
      <w:r>
        <w:rPr>
          <w:rFonts w:hint="eastAsia"/>
          <w:rtl/>
        </w:rPr>
        <w:t>«</w:t>
      </w:r>
      <w:r>
        <w:rPr>
          <w:rFonts w:hint="cs"/>
          <w:rtl/>
        </w:rPr>
        <w:t>بخلاف مالو كان له معتِقٌ ...</w:t>
      </w:r>
      <w:r>
        <w:rPr>
          <w:rFonts w:hint="eastAsia"/>
          <w:rtl/>
        </w:rPr>
        <w:t>»</w:t>
      </w:r>
      <w:r>
        <w:rPr>
          <w:rFonts w:hint="cs"/>
          <w:rtl/>
        </w:rPr>
        <w:t>.</w:t>
      </w:r>
    </w:p>
  </w:footnote>
  <w:footnote w:id="43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ص134 </w:t>
      </w:r>
      <w:r>
        <w:rPr>
          <w:rtl/>
        </w:rPr>
        <w:t>–</w:t>
      </w:r>
      <w:r>
        <w:rPr>
          <w:rFonts w:hint="cs"/>
          <w:rtl/>
        </w:rPr>
        <w:t xml:space="preserve"> مع الاختلاف الذي سبق بيانه-؛ وانظر: شرحه للقاءاني، ق1، جـ2، ص579-581؛ وانظر المسألة الثانية في : بدائع الصنائع، 7/343؛ الهداية والعناية ونتائج الأفكار، 10/482-484. علمًا بأن المؤلف سبق أن أشار إلى جزء من هذه المسألة، ص354 (ل15/أ).</w:t>
      </w:r>
    </w:p>
  </w:footnote>
  <w:footnote w:id="43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زيادة </w:t>
      </w:r>
      <w:r>
        <w:rPr>
          <w:rFonts w:hint="eastAsia"/>
          <w:rtl/>
        </w:rPr>
        <w:t>«</w:t>
      </w:r>
      <w:r>
        <w:rPr>
          <w:rFonts w:hint="cs"/>
          <w:rtl/>
        </w:rPr>
        <w:t>الموصي</w:t>
      </w:r>
      <w:r>
        <w:rPr>
          <w:rFonts w:hint="eastAsia"/>
          <w:rtl/>
        </w:rPr>
        <w:t>»</w:t>
      </w:r>
      <w:r>
        <w:rPr>
          <w:rFonts w:hint="cs"/>
          <w:rtl/>
        </w:rPr>
        <w:t>.</w:t>
      </w:r>
    </w:p>
    <w:p w:rsidR="00035BE3" w:rsidRDefault="00035BE3" w:rsidP="00C10469">
      <w:pPr>
        <w:pStyle w:val="a6"/>
        <w:spacing w:line="420" w:lineRule="exact"/>
        <w:ind w:left="422" w:firstLine="0"/>
        <w:rPr>
          <w:rtl/>
        </w:rPr>
      </w:pPr>
      <w:r>
        <w:rPr>
          <w:rFonts w:hint="cs"/>
          <w:rtl/>
        </w:rPr>
        <w:t>والمعنى : لا يمكن القول بتعيين مراد الموصي من (مواليه) بتأملّنا في مقصوده من هذه الكلمة ...</w:t>
      </w:r>
    </w:p>
  </w:footnote>
  <w:footnote w:id="43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مختلفة</w:t>
      </w:r>
      <w:r>
        <w:rPr>
          <w:rFonts w:hint="eastAsia"/>
          <w:rtl/>
        </w:rPr>
        <w:t>»</w:t>
      </w:r>
      <w:r>
        <w:rPr>
          <w:rFonts w:hint="cs"/>
          <w:rtl/>
        </w:rPr>
        <w:t>. وهذا الأولى.</w:t>
      </w:r>
    </w:p>
  </w:footnote>
  <w:footnote w:id="43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للإحسان.</w:t>
      </w:r>
    </w:p>
  </w:footnote>
  <w:footnote w:id="43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وانقطع بيان الموصي لمراده من كلمة (مواليه) بموته، فصار اللفظ مجملاً.</w:t>
      </w:r>
    </w:p>
  </w:footnote>
  <w:footnote w:id="43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w:t>
      </w:r>
      <w:r>
        <w:rPr>
          <w:rFonts w:hint="eastAsia"/>
          <w:rtl/>
        </w:rPr>
        <w:t>«</w:t>
      </w:r>
      <w:r>
        <w:rPr>
          <w:rFonts w:hint="cs"/>
          <w:rtl/>
        </w:rPr>
        <w:t>أحديهما</w:t>
      </w:r>
      <w:r>
        <w:rPr>
          <w:rFonts w:hint="eastAsia"/>
          <w:rtl/>
        </w:rPr>
        <w:t>»</w:t>
      </w:r>
      <w:r>
        <w:rPr>
          <w:rFonts w:hint="cs"/>
          <w:rtl/>
        </w:rPr>
        <w:t xml:space="preserve">. والصواب ما تمَّ إثباته من (هـ) و(و)، وهو الموافق لشرح المغني، حيث جاء فيه : </w:t>
      </w:r>
      <w:r>
        <w:rPr>
          <w:rFonts w:hint="eastAsia"/>
          <w:rtl/>
        </w:rPr>
        <w:t>«</w:t>
      </w:r>
      <w:r>
        <w:rPr>
          <w:rFonts w:hint="cs"/>
          <w:rtl/>
        </w:rPr>
        <w:t>فكان الموصى له أحدهما</w:t>
      </w:r>
      <w:r>
        <w:rPr>
          <w:rFonts w:hint="eastAsia"/>
          <w:rtl/>
        </w:rPr>
        <w:t>»</w:t>
      </w:r>
      <w:r>
        <w:rPr>
          <w:rFonts w:hint="cs"/>
          <w:rtl/>
        </w:rPr>
        <w:t>.</w:t>
      </w:r>
    </w:p>
  </w:footnote>
  <w:footnote w:id="43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يمنع</w:t>
      </w:r>
      <w:r>
        <w:rPr>
          <w:rFonts w:hint="eastAsia"/>
          <w:rtl/>
        </w:rPr>
        <w:t>»</w:t>
      </w:r>
      <w:r>
        <w:rPr>
          <w:rFonts w:hint="cs"/>
          <w:rtl/>
        </w:rPr>
        <w:t xml:space="preserve">. والصحيح ما تمَّ إثباته من (ب) و(د)، وهو الموافق لشرح المغني، حيث جاء فيه:  </w:t>
      </w:r>
      <w:r>
        <w:rPr>
          <w:rFonts w:hint="eastAsia"/>
          <w:rtl/>
        </w:rPr>
        <w:t>«وجهالة</w:t>
      </w:r>
      <w:r>
        <w:rPr>
          <w:rtl/>
        </w:rPr>
        <w:t xml:space="preserve"> الموص</w:t>
      </w:r>
      <w:r>
        <w:rPr>
          <w:rFonts w:hint="cs"/>
          <w:rtl/>
        </w:rPr>
        <w:t>ى</w:t>
      </w:r>
      <w:r>
        <w:rPr>
          <w:rtl/>
        </w:rPr>
        <w:t xml:space="preserve"> له تمنع صحة </w:t>
      </w:r>
      <w:r>
        <w:rPr>
          <w:rFonts w:hint="eastAsia"/>
          <w:rtl/>
        </w:rPr>
        <w:t>الوصية»</w:t>
      </w:r>
      <w:r>
        <w:rPr>
          <w:rtl/>
        </w:rPr>
        <w:t>.</w:t>
      </w:r>
    </w:p>
  </w:footnote>
  <w:footnote w:id="4358">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88/ب من (أ).</w:t>
      </w:r>
    </w:p>
  </w:footnote>
  <w:footnote w:id="435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تصح</w:t>
      </w:r>
      <w:r>
        <w:rPr>
          <w:rFonts w:hint="eastAsia"/>
          <w:rtl/>
        </w:rPr>
        <w:t>»</w:t>
      </w:r>
      <w:r>
        <w:rPr>
          <w:rFonts w:hint="cs"/>
          <w:rtl/>
        </w:rPr>
        <w:t>.</w:t>
      </w:r>
    </w:p>
  </w:footnote>
  <w:footnote w:id="4360">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ق1، جـ2، ص581- مع الاختلاف الذي سبق بيانه-؛ وانظر كون تمليك المجهول لا يصح في : بدائع الصنائع، 7/343.</w:t>
      </w:r>
    </w:p>
  </w:footnote>
  <w:footnote w:id="4361">
    <w:p w:rsidR="00035BE3" w:rsidRDefault="00035BE3" w:rsidP="00C10469">
      <w:pPr>
        <w:pStyle w:val="a8"/>
        <w:bidi/>
        <w:spacing w:line="436"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المغني : </w:t>
      </w:r>
      <w:r>
        <w:rPr>
          <w:rFonts w:hint="eastAsia"/>
          <w:rtl/>
        </w:rPr>
        <w:t>«</w:t>
      </w:r>
      <w:r>
        <w:rPr>
          <w:rFonts w:hint="cs"/>
          <w:rtl/>
        </w:rPr>
        <w:t>فتعم</w:t>
      </w:r>
      <w:r>
        <w:rPr>
          <w:rFonts w:hint="eastAsia"/>
          <w:rtl/>
        </w:rPr>
        <w:t>»</w:t>
      </w:r>
      <w:r>
        <w:rPr>
          <w:rFonts w:hint="cs"/>
          <w:rtl/>
        </w:rPr>
        <w:t>.</w:t>
      </w:r>
    </w:p>
    <w:p w:rsidR="00035BE3" w:rsidRDefault="00035BE3" w:rsidP="00C10469">
      <w:pPr>
        <w:pStyle w:val="a6"/>
        <w:spacing w:line="436" w:lineRule="exact"/>
        <w:ind w:left="422" w:firstLine="0"/>
        <w:rPr>
          <w:rtl/>
        </w:rPr>
      </w:pPr>
      <w:r>
        <w:rPr>
          <w:rFonts w:hint="cs"/>
          <w:rtl/>
        </w:rPr>
        <w:t xml:space="preserve">وعلى تذكير الفعل، فإن الفاعل ضمير مستتر تقديره (هو) يعود إلى لفظ مواليه؛ لهذا عندما ذكر المؤلف لفظ مواليه أعاد الضمير إليه بالتذكير فقال: </w:t>
      </w:r>
      <w:r>
        <w:rPr>
          <w:rFonts w:hint="eastAsia"/>
          <w:rtl/>
        </w:rPr>
        <w:t>«</w:t>
      </w:r>
      <w:r>
        <w:rPr>
          <w:rFonts w:hint="cs"/>
          <w:b/>
          <w:bCs/>
          <w:rtl/>
        </w:rPr>
        <w:t>لأنه</w:t>
      </w:r>
      <w:r>
        <w:rPr>
          <w:rFonts w:hint="cs"/>
          <w:rtl/>
        </w:rPr>
        <w:t xml:space="preserve"> نكرة ...</w:t>
      </w:r>
      <w:r>
        <w:rPr>
          <w:rFonts w:hint="eastAsia"/>
          <w:rtl/>
        </w:rPr>
        <w:t>»</w:t>
      </w:r>
      <w:r>
        <w:rPr>
          <w:rFonts w:hint="cs"/>
          <w:rtl/>
        </w:rPr>
        <w:t>، وكذلك الحال في كتاب المغني.</w:t>
      </w:r>
    </w:p>
  </w:footnote>
  <w:footnote w:id="4362">
    <w:p w:rsidR="00035BE3" w:rsidRDefault="00035BE3" w:rsidP="00C10469">
      <w:pPr>
        <w:pStyle w:val="a8"/>
        <w:bidi/>
        <w:spacing w:line="221" w:lineRule="auto"/>
        <w:ind w:left="420"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المغني، ص134- مع الاختلاف الذي سبق بيانه-؛ وانظر : شرح المغني للقاءاني، ق1، جـ2، ص581؛ الدرر شرح الغرر، 2/443، حيث ورد فيه المثال الأخير، وهو ما إذا أوصى لمواليه وله معتقٌ ومعتق معتقون، وكذلك إذا حلف لا يكلّم مواليه.</w:t>
      </w:r>
    </w:p>
  </w:footnote>
  <w:footnote w:id="4363">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استأمنوا</w:t>
      </w:r>
      <w:r>
        <w:rPr>
          <w:rFonts w:hint="cs"/>
          <w:rtl/>
        </w:rPr>
        <w:t xml:space="preserve"> : فعل ماضٍ مصدره </w:t>
      </w:r>
      <w:r>
        <w:rPr>
          <w:rFonts w:hint="eastAsia"/>
          <w:rtl/>
        </w:rPr>
        <w:t>«</w:t>
      </w:r>
      <w:r>
        <w:rPr>
          <w:rFonts w:hint="cs"/>
          <w:rtl/>
        </w:rPr>
        <w:t>الاستيمان [هكذا في المطبوع (بالياء وليس بالهمزة)!]، وهو طلب الأمان من العدو، حربيًّا كان أو مسلمًا</w:t>
      </w:r>
      <w:r>
        <w:rPr>
          <w:rFonts w:hint="eastAsia"/>
          <w:rtl/>
        </w:rPr>
        <w:t>»</w:t>
      </w:r>
      <w:r>
        <w:rPr>
          <w:rFonts w:hint="cs"/>
          <w:rtl/>
        </w:rPr>
        <w:t>- قاله صاحب أنيس الفقهاء، ص185-.</w:t>
      </w:r>
    </w:p>
    <w:p w:rsidR="00035BE3" w:rsidRDefault="00035BE3" w:rsidP="00C10469">
      <w:pPr>
        <w:pStyle w:val="a6"/>
        <w:spacing w:line="221" w:lineRule="auto"/>
        <w:ind w:left="420" w:firstLine="0"/>
        <w:rPr>
          <w:rtl/>
        </w:rPr>
      </w:pPr>
      <w:r>
        <w:rPr>
          <w:rFonts w:hint="cs"/>
          <w:b/>
          <w:bCs/>
          <w:rtl/>
        </w:rPr>
        <w:t>والأمان في اللغة</w:t>
      </w:r>
      <w:r>
        <w:rPr>
          <w:rFonts w:hint="cs"/>
          <w:rtl/>
        </w:rPr>
        <w:t xml:space="preserve"> : ضد الخوف.</w:t>
      </w:r>
    </w:p>
    <w:p w:rsidR="00035BE3" w:rsidRDefault="00035BE3" w:rsidP="00C10469">
      <w:pPr>
        <w:pStyle w:val="a6"/>
        <w:spacing w:line="221" w:lineRule="auto"/>
        <w:ind w:left="420" w:firstLine="0"/>
        <w:rPr>
          <w:rtl/>
        </w:rPr>
      </w:pPr>
      <w:r>
        <w:rPr>
          <w:rFonts w:hint="cs"/>
          <w:b/>
          <w:bCs/>
          <w:rtl/>
        </w:rPr>
        <w:t>وفي الاصطلاح</w:t>
      </w:r>
      <w:r>
        <w:rPr>
          <w:rFonts w:hint="cs"/>
          <w:rtl/>
        </w:rPr>
        <w:t xml:space="preserve"> : </w:t>
      </w:r>
      <w:r>
        <w:rPr>
          <w:rFonts w:hint="eastAsia"/>
          <w:rtl/>
        </w:rPr>
        <w:t>«</w:t>
      </w:r>
      <w:r>
        <w:rPr>
          <w:rFonts w:hint="cs"/>
          <w:rtl/>
        </w:rPr>
        <w:t>العهد للمحارب بعدم الاعتداء على نفسه بالقتل أو الاسترقاق، وماله وعرضه ودينه</w:t>
      </w:r>
      <w:r>
        <w:rPr>
          <w:rFonts w:hint="eastAsia"/>
          <w:rtl/>
        </w:rPr>
        <w:t>»</w:t>
      </w:r>
      <w:r>
        <w:rPr>
          <w:rFonts w:hint="cs"/>
          <w:rtl/>
        </w:rPr>
        <w:t>- قاله صاحب معجم لغة الفقهاء، ص69-.</w:t>
      </w:r>
    </w:p>
    <w:p w:rsidR="00035BE3" w:rsidRDefault="00035BE3" w:rsidP="00C10469">
      <w:pPr>
        <w:pStyle w:val="a6"/>
        <w:spacing w:line="221" w:lineRule="auto"/>
        <w:ind w:left="420" w:firstLine="0"/>
        <w:rPr>
          <w:rtl/>
        </w:rPr>
      </w:pPr>
      <w:r>
        <w:rPr>
          <w:rFonts w:hint="cs"/>
          <w:rtl/>
        </w:rPr>
        <w:t xml:space="preserve">وانظر : المقاييس في اللغة، مادة </w:t>
      </w:r>
      <w:r>
        <w:rPr>
          <w:rFonts w:hint="eastAsia"/>
          <w:rtl/>
        </w:rPr>
        <w:t>«</w:t>
      </w:r>
      <w:r>
        <w:rPr>
          <w:rFonts w:hint="cs"/>
          <w:rtl/>
        </w:rPr>
        <w:t>أمن</w:t>
      </w:r>
      <w:r>
        <w:rPr>
          <w:rFonts w:hint="eastAsia"/>
          <w:rtl/>
        </w:rPr>
        <w:t>»</w:t>
      </w:r>
      <w:r>
        <w:rPr>
          <w:rFonts w:hint="cs"/>
          <w:rtl/>
        </w:rPr>
        <w:t xml:space="preserve">، ص88؛ لسان العرب، مادة </w:t>
      </w:r>
      <w:r>
        <w:rPr>
          <w:rFonts w:hint="eastAsia"/>
          <w:rtl/>
        </w:rPr>
        <w:t>«</w:t>
      </w:r>
      <w:r>
        <w:rPr>
          <w:rFonts w:hint="cs"/>
          <w:rtl/>
        </w:rPr>
        <w:t>أمن</w:t>
      </w:r>
      <w:r>
        <w:rPr>
          <w:rFonts w:hint="eastAsia"/>
          <w:rtl/>
        </w:rPr>
        <w:t>»</w:t>
      </w:r>
      <w:r>
        <w:rPr>
          <w:rFonts w:hint="cs"/>
          <w:rtl/>
        </w:rPr>
        <w:t xml:space="preserve">، 13/21؛ القاموس المحيط، مادة </w:t>
      </w:r>
      <w:r>
        <w:rPr>
          <w:rFonts w:hint="eastAsia"/>
          <w:rtl/>
        </w:rPr>
        <w:t>«</w:t>
      </w:r>
      <w:r>
        <w:rPr>
          <w:rFonts w:hint="cs"/>
          <w:rtl/>
        </w:rPr>
        <w:t>أمن</w:t>
      </w:r>
      <w:r>
        <w:rPr>
          <w:rFonts w:hint="eastAsia"/>
          <w:rtl/>
        </w:rPr>
        <w:t>»</w:t>
      </w:r>
      <w:r>
        <w:rPr>
          <w:rFonts w:hint="cs"/>
          <w:rtl/>
        </w:rPr>
        <w:t>؛ معجم المصطلحات والألفاظ الفقهية، 1/283.</w:t>
      </w:r>
    </w:p>
  </w:footnote>
  <w:footnote w:id="4364">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فإن</w:t>
      </w:r>
      <w:r>
        <w:rPr>
          <w:rFonts w:hint="eastAsia"/>
          <w:rtl/>
        </w:rPr>
        <w:t>»</w:t>
      </w:r>
      <w:r>
        <w:rPr>
          <w:rFonts w:hint="cs"/>
          <w:rtl/>
        </w:rPr>
        <w:t>. وهذا الأولى.</w:t>
      </w:r>
    </w:p>
  </w:footnote>
  <w:footnote w:id="4365">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نسب</w:t>
      </w:r>
      <w:r>
        <w:rPr>
          <w:rFonts w:hint="eastAsia"/>
          <w:rtl/>
        </w:rPr>
        <w:t>»</w:t>
      </w:r>
      <w:r>
        <w:rPr>
          <w:rFonts w:hint="cs"/>
          <w:rtl/>
        </w:rPr>
        <w:t>.</w:t>
      </w:r>
    </w:p>
    <w:p w:rsidR="00035BE3" w:rsidRDefault="00035BE3" w:rsidP="00C10469">
      <w:pPr>
        <w:pStyle w:val="a6"/>
        <w:spacing w:line="221" w:lineRule="auto"/>
        <w:ind w:left="420" w:firstLine="0"/>
        <w:rPr>
          <w:rtl/>
        </w:rPr>
      </w:pPr>
      <w:r>
        <w:rPr>
          <w:rFonts w:hint="cs"/>
          <w:rtl/>
        </w:rPr>
        <w:t>وسيأتي التعليق على ذلك لاحقًا.</w:t>
      </w:r>
    </w:p>
  </w:footnote>
  <w:footnote w:id="4366">
    <w:p w:rsidR="00035BE3" w:rsidRDefault="00035BE3" w:rsidP="00C10469">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إلا ان</w:t>
      </w:r>
      <w:r>
        <w:rPr>
          <w:rFonts w:hint="eastAsia"/>
          <w:rtl/>
        </w:rPr>
        <w:t>»</w:t>
      </w:r>
      <w:r>
        <w:rPr>
          <w:rFonts w:hint="cs"/>
          <w:rtl/>
        </w:rPr>
        <w:t>.</w:t>
      </w:r>
    </w:p>
  </w:footnote>
  <w:footnote w:id="4367">
    <w:p w:rsidR="00035BE3" w:rsidRPr="00812FC9" w:rsidRDefault="00035BE3" w:rsidP="00C10469">
      <w:pPr>
        <w:pStyle w:val="a8"/>
        <w:bidi/>
        <w:spacing w:line="221" w:lineRule="auto"/>
        <w:ind w:left="420" w:right="0"/>
        <w:rPr>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rtl/>
        </w:rPr>
        <w:t xml:space="preserve"> </w:t>
      </w:r>
      <w:r w:rsidRPr="00812FC9">
        <w:rPr>
          <w:rFonts w:hint="cs"/>
          <w:rtl/>
        </w:rPr>
        <w:t xml:space="preserve">زيادة من (جـ) و(هـ) و(و). ولا يستقيم المعنى بدونها، وهي الموافقة لشرح المغني، حيث جاء في الشرح: </w:t>
      </w:r>
      <w:r w:rsidRPr="00812FC9">
        <w:rPr>
          <w:rFonts w:hint="eastAsia"/>
          <w:rtl/>
        </w:rPr>
        <w:t>«</w:t>
      </w:r>
      <w:r w:rsidRPr="00812FC9">
        <w:rPr>
          <w:rFonts w:hint="cs"/>
          <w:rtl/>
        </w:rPr>
        <w:t xml:space="preserve">فإنه </w:t>
      </w:r>
      <w:r w:rsidRPr="00812FC9">
        <w:rPr>
          <w:rFonts w:hint="cs"/>
          <w:b/>
          <w:bCs/>
          <w:rtl/>
        </w:rPr>
        <w:t>ثبت</w:t>
      </w:r>
      <w:r w:rsidRPr="00812FC9">
        <w:rPr>
          <w:rFonts w:hint="cs"/>
          <w:rtl/>
        </w:rPr>
        <w:t xml:space="preserve"> الأمان لأبناء الأبناء، وموالي الموالي استحسانًا، كما </w:t>
      </w:r>
      <w:r w:rsidRPr="00812FC9">
        <w:rPr>
          <w:rFonts w:hint="cs"/>
          <w:b/>
          <w:bCs/>
          <w:rtl/>
        </w:rPr>
        <w:t>يثبت</w:t>
      </w:r>
      <w:r w:rsidRPr="00812FC9">
        <w:rPr>
          <w:rFonts w:hint="cs"/>
          <w:rtl/>
        </w:rPr>
        <w:t xml:space="preserve"> للأبناء والموالي، وفيه جمع بين الحقيقة والمجاز</w:t>
      </w:r>
      <w:r w:rsidRPr="00812FC9">
        <w:rPr>
          <w:rFonts w:hint="eastAsia"/>
          <w:rtl/>
        </w:rPr>
        <w:t>»</w:t>
      </w:r>
      <w:r w:rsidRPr="00812FC9">
        <w:rPr>
          <w:rFonts w:hint="cs"/>
          <w:rtl/>
        </w:rPr>
        <w:t>.</w:t>
      </w:r>
    </w:p>
    <w:p w:rsidR="00035BE3" w:rsidRDefault="00035BE3" w:rsidP="00C10469">
      <w:pPr>
        <w:pStyle w:val="a6"/>
        <w:spacing w:line="221" w:lineRule="auto"/>
        <w:ind w:left="420" w:firstLine="0"/>
        <w:rPr>
          <w:rtl/>
        </w:rPr>
      </w:pPr>
      <w:r>
        <w:rPr>
          <w:rFonts w:hint="cs"/>
          <w:rtl/>
        </w:rPr>
        <w:t xml:space="preserve">وبالمقارنة بين عبارة المؤلف وشارح المغني يلحظ أن المؤلف عبّر في الجملة الأولى والثانية بالفعل : </w:t>
      </w:r>
      <w:r>
        <w:rPr>
          <w:rFonts w:hint="eastAsia"/>
          <w:rtl/>
        </w:rPr>
        <w:t>«</w:t>
      </w:r>
      <w:r>
        <w:rPr>
          <w:rFonts w:hint="cs"/>
          <w:rtl/>
        </w:rPr>
        <w:t>نسبت</w:t>
      </w:r>
      <w:r>
        <w:rPr>
          <w:rFonts w:hint="eastAsia"/>
          <w:rtl/>
        </w:rPr>
        <w:t>»</w:t>
      </w:r>
      <w:r>
        <w:rPr>
          <w:rFonts w:hint="cs"/>
          <w:rtl/>
        </w:rPr>
        <w:t xml:space="preserve">، بينما الشارح عبّر بِـ </w:t>
      </w:r>
      <w:r>
        <w:rPr>
          <w:rFonts w:hint="eastAsia"/>
          <w:rtl/>
        </w:rPr>
        <w:t>«</w:t>
      </w:r>
      <w:r>
        <w:rPr>
          <w:rFonts w:hint="cs"/>
          <w:rtl/>
        </w:rPr>
        <w:t>ثبت</w:t>
      </w:r>
      <w:r>
        <w:rPr>
          <w:rFonts w:hint="eastAsia"/>
          <w:rtl/>
        </w:rPr>
        <w:t>»</w:t>
      </w:r>
      <w:r>
        <w:rPr>
          <w:rFonts w:hint="cs"/>
          <w:rtl/>
        </w:rPr>
        <w:t xml:space="preserve"> و</w:t>
      </w:r>
      <w:r>
        <w:rPr>
          <w:rFonts w:hint="eastAsia"/>
          <w:rtl/>
        </w:rPr>
        <w:t>«</w:t>
      </w:r>
      <w:r>
        <w:rPr>
          <w:rFonts w:hint="cs"/>
          <w:rtl/>
        </w:rPr>
        <w:t>يثبت</w:t>
      </w:r>
      <w:r>
        <w:rPr>
          <w:rFonts w:hint="eastAsia"/>
          <w:rtl/>
        </w:rPr>
        <w:t>»</w:t>
      </w:r>
      <w:r>
        <w:rPr>
          <w:rFonts w:hint="cs"/>
          <w:rtl/>
        </w:rPr>
        <w:t xml:space="preserve">، ولعل هذا التعبير هو مراد المؤلف ولكن بسبب العجمة في النسّاخ كتبوا (الثاء) (سينًا) والمراد : (نُثبت) وليس </w:t>
      </w:r>
      <w:r>
        <w:rPr>
          <w:rFonts w:hint="eastAsia"/>
          <w:rtl/>
        </w:rPr>
        <w:t>«</w:t>
      </w:r>
      <w:r>
        <w:rPr>
          <w:rFonts w:hint="cs"/>
          <w:rtl/>
        </w:rPr>
        <w:t>نسبت</w:t>
      </w:r>
      <w:r>
        <w:rPr>
          <w:rFonts w:hint="eastAsia"/>
          <w:rtl/>
        </w:rPr>
        <w:t>»</w:t>
      </w:r>
      <w:r>
        <w:rPr>
          <w:rFonts w:hint="cs"/>
          <w:rtl/>
        </w:rPr>
        <w:t>- والله أعلم-.</w:t>
      </w:r>
    </w:p>
  </w:footnote>
  <w:footnote w:id="436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ص134؛ وشرحه للقاءاني، ق1، جـ2، ص582.</w:t>
      </w:r>
    </w:p>
  </w:footnote>
  <w:footnote w:id="4369">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يتناول</w:t>
      </w:r>
      <w:r>
        <w:rPr>
          <w:rFonts w:hint="eastAsia"/>
          <w:rtl/>
        </w:rPr>
        <w:t>»</w:t>
      </w:r>
      <w:r>
        <w:rPr>
          <w:rFonts w:hint="cs"/>
          <w:rtl/>
        </w:rPr>
        <w:t>. والذي يشهد له المعنى ما تمَّ إثباته من (د)؛ إذْ المعنى : لأن الأبناء والموالي من الألفاظ التي تتناول الفروع ....</w:t>
      </w:r>
    </w:p>
    <w:p w:rsidR="00035BE3" w:rsidRDefault="00035BE3" w:rsidP="00C10469">
      <w:pPr>
        <w:pStyle w:val="a6"/>
        <w:spacing w:line="480" w:lineRule="exact"/>
        <w:ind w:left="422" w:firstLine="0"/>
        <w:rPr>
          <w:rtl/>
        </w:rPr>
      </w:pPr>
      <w:r>
        <w:rPr>
          <w:rFonts w:hint="cs"/>
          <w:rtl/>
        </w:rPr>
        <w:t xml:space="preserve">وتعبير المغني : </w:t>
      </w:r>
      <w:r>
        <w:rPr>
          <w:rFonts w:hint="eastAsia"/>
          <w:rtl/>
        </w:rPr>
        <w:t>«</w:t>
      </w:r>
      <w:r>
        <w:rPr>
          <w:rFonts w:hint="cs"/>
          <w:rtl/>
        </w:rPr>
        <w:t xml:space="preserve">لأن </w:t>
      </w:r>
      <w:r>
        <w:rPr>
          <w:rFonts w:hint="cs"/>
          <w:b/>
          <w:bCs/>
          <w:rtl/>
        </w:rPr>
        <w:t>اسم</w:t>
      </w:r>
      <w:r>
        <w:rPr>
          <w:rFonts w:hint="cs"/>
          <w:rtl/>
        </w:rPr>
        <w:t xml:space="preserve"> الأبناء والموالي </w:t>
      </w:r>
      <w:r>
        <w:rPr>
          <w:rFonts w:hint="cs"/>
          <w:b/>
          <w:bCs/>
          <w:rtl/>
        </w:rPr>
        <w:t>ظاهرًا</w:t>
      </w:r>
      <w:r>
        <w:rPr>
          <w:rFonts w:hint="cs"/>
          <w:rtl/>
        </w:rPr>
        <w:t xml:space="preserve"> يتناول الفروع ...</w:t>
      </w:r>
      <w:r>
        <w:rPr>
          <w:rFonts w:hint="eastAsia"/>
          <w:rtl/>
        </w:rPr>
        <w:t>»</w:t>
      </w:r>
      <w:r>
        <w:rPr>
          <w:rFonts w:hint="cs"/>
          <w:rtl/>
        </w:rPr>
        <w:t>.</w:t>
      </w:r>
    </w:p>
  </w:footnote>
  <w:footnote w:id="4370">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لأن عصمة الدم.</w:t>
      </w:r>
    </w:p>
  </w:footnote>
  <w:footnote w:id="4371">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تثبت</w:t>
      </w:r>
      <w:r>
        <w:rPr>
          <w:rFonts w:hint="eastAsia"/>
          <w:rtl/>
        </w:rPr>
        <w:t>»</w:t>
      </w:r>
      <w:r>
        <w:rPr>
          <w:rFonts w:hint="cs"/>
          <w:rtl/>
        </w:rPr>
        <w:t>، وهو الموافق للمغني.</w:t>
      </w:r>
    </w:p>
  </w:footnote>
  <w:footnote w:id="4372">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ص135- مع الاختلاف الذي سبق بيانه-، وانظر : شرحه للقاءاني، ق1، جـ2، ص582.</w:t>
      </w:r>
    </w:p>
  </w:footnote>
  <w:footnote w:id="4373">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 xml:space="preserve">ألا يُرى أنّ المسلم إذا قال للكافر : انزلْ </w:t>
      </w:r>
      <w:r>
        <w:rPr>
          <w:rFonts w:hint="cs"/>
          <w:b/>
          <w:bCs/>
          <w:rtl/>
        </w:rPr>
        <w:t>لأقتلك</w:t>
      </w:r>
      <w:r>
        <w:rPr>
          <w:rFonts w:hint="cs"/>
          <w:rtl/>
        </w:rPr>
        <w:t>. أو ...</w:t>
      </w:r>
      <w:r>
        <w:rPr>
          <w:rFonts w:hint="eastAsia"/>
          <w:rtl/>
        </w:rPr>
        <w:t>»</w:t>
      </w:r>
    </w:p>
  </w:footnote>
  <w:footnote w:id="4374">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لتقتله</w:t>
      </w:r>
      <w:r>
        <w:rPr>
          <w:rFonts w:hint="eastAsia"/>
          <w:rtl/>
        </w:rPr>
        <w:t>»</w:t>
      </w:r>
      <w:r>
        <w:rPr>
          <w:rFonts w:hint="cs"/>
          <w:rtl/>
        </w:rPr>
        <w:t>.</w:t>
      </w:r>
    </w:p>
  </w:footnote>
  <w:footnote w:id="4375">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شرح المغني للقاءاني، ق1، جـ2، ص583؛ وانظر : المغني أيضًا، ص135، فقد ورد فيه هذا المعنى بعبارة مختصرة.</w:t>
      </w:r>
    </w:p>
  </w:footnote>
  <w:footnote w:id="4376">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تناولهم</w:t>
      </w:r>
      <w:r>
        <w:rPr>
          <w:rFonts w:hint="eastAsia"/>
          <w:rtl/>
        </w:rPr>
        <w:t>»</w:t>
      </w:r>
      <w:r>
        <w:rPr>
          <w:rFonts w:hint="cs"/>
          <w:rtl/>
        </w:rPr>
        <w:t>.</w:t>
      </w:r>
    </w:p>
  </w:footnote>
  <w:footnote w:id="4377">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ص135؛ شرحه للقاءاني، ق1، جـ2، ص584.</w:t>
      </w:r>
    </w:p>
  </w:footnote>
  <w:footnote w:id="4378">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و(هـ) و(و)، إلا أنه ورد في بدايتها من (جـ) و(و) : </w:t>
      </w:r>
      <w:r>
        <w:rPr>
          <w:rFonts w:hint="eastAsia"/>
          <w:rtl/>
        </w:rPr>
        <w:t>«</w:t>
      </w:r>
      <w:r>
        <w:rPr>
          <w:rFonts w:hint="cs"/>
          <w:rtl/>
        </w:rPr>
        <w:t>ثبوت</w:t>
      </w:r>
      <w:r>
        <w:rPr>
          <w:rFonts w:hint="eastAsia"/>
          <w:rtl/>
        </w:rPr>
        <w:t>»</w:t>
      </w:r>
      <w:r>
        <w:rPr>
          <w:rFonts w:hint="cs"/>
          <w:rtl/>
        </w:rPr>
        <w:t xml:space="preserve"> وليس </w:t>
      </w:r>
      <w:r>
        <w:rPr>
          <w:rFonts w:hint="eastAsia"/>
          <w:rtl/>
        </w:rPr>
        <w:t>«</w:t>
      </w:r>
      <w:r>
        <w:rPr>
          <w:rFonts w:hint="cs"/>
          <w:rtl/>
        </w:rPr>
        <w:t>بثبوت</w:t>
      </w:r>
      <w:r>
        <w:rPr>
          <w:rFonts w:hint="eastAsia"/>
          <w:rtl/>
        </w:rPr>
        <w:t>»</w:t>
      </w:r>
      <w:r>
        <w:rPr>
          <w:rFonts w:hint="cs"/>
          <w:rtl/>
        </w:rPr>
        <w:t xml:space="preserve">. وهذه الزيادة لا يستقيم المعنى بدونها؛ لهذا وردت في شرح المغني مع اختلاف في الكلمة الأولى، حيث جاء فيه : </w:t>
      </w:r>
      <w:r>
        <w:rPr>
          <w:rFonts w:hint="eastAsia"/>
          <w:rtl/>
        </w:rPr>
        <w:t>«</w:t>
      </w:r>
      <w:r>
        <w:rPr>
          <w:rFonts w:hint="cs"/>
          <w:rtl/>
        </w:rPr>
        <w:t>لثبوت</w:t>
      </w:r>
      <w:r>
        <w:rPr>
          <w:rFonts w:hint="eastAsia"/>
          <w:rtl/>
        </w:rPr>
        <w:t>»</w:t>
      </w:r>
      <w:r>
        <w:rPr>
          <w:rFonts w:hint="cs"/>
          <w:rtl/>
        </w:rPr>
        <w:t>.</w:t>
      </w:r>
    </w:p>
  </w:footnote>
  <w:footnote w:id="437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لأنه</w:t>
      </w:r>
      <w:r>
        <w:rPr>
          <w:rFonts w:hint="eastAsia"/>
          <w:rtl/>
        </w:rPr>
        <w:t>»</w:t>
      </w:r>
      <w:r>
        <w:rPr>
          <w:rFonts w:hint="cs"/>
          <w:rtl/>
        </w:rPr>
        <w:t>.</w:t>
      </w:r>
    </w:p>
  </w:footnote>
  <w:footnote w:id="43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b/>
          <w:bCs/>
          <w:rtl/>
        </w:rPr>
        <w:t>وهو</w:t>
      </w:r>
      <w:r>
        <w:rPr>
          <w:rFonts w:hint="cs"/>
          <w:rtl/>
        </w:rPr>
        <w:t xml:space="preserve"> أبناء الأبناء ...</w:t>
      </w:r>
      <w:r>
        <w:rPr>
          <w:rFonts w:hint="eastAsia"/>
          <w:rtl/>
        </w:rPr>
        <w:t>»</w:t>
      </w:r>
      <w:r>
        <w:rPr>
          <w:rFonts w:hint="cs"/>
          <w:rtl/>
        </w:rPr>
        <w:t>.</w:t>
      </w:r>
    </w:p>
  </w:footnote>
  <w:footnote w:id="43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56/ب من (ب).</w:t>
      </w:r>
    </w:p>
  </w:footnote>
  <w:footnote w:id="43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وهو</w:t>
      </w:r>
      <w:r>
        <w:rPr>
          <w:rFonts w:hint="eastAsia"/>
          <w:rtl/>
        </w:rPr>
        <w:t>»</w:t>
      </w:r>
      <w:r>
        <w:rPr>
          <w:rFonts w:hint="cs"/>
          <w:rtl/>
        </w:rPr>
        <w:t>.</w:t>
      </w:r>
    </w:p>
  </w:footnote>
  <w:footnote w:id="43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b/>
          <w:bCs/>
          <w:rtl/>
        </w:rPr>
        <w:t>وهو</w:t>
      </w:r>
      <w:r>
        <w:rPr>
          <w:rFonts w:hint="cs"/>
          <w:rtl/>
        </w:rPr>
        <w:t xml:space="preserve"> الأجداد والجدات</w:t>
      </w:r>
      <w:r>
        <w:rPr>
          <w:rFonts w:hint="eastAsia"/>
          <w:rtl/>
        </w:rPr>
        <w:t>»</w:t>
      </w:r>
      <w:r>
        <w:rPr>
          <w:rFonts w:hint="cs"/>
          <w:rtl/>
        </w:rPr>
        <w:t>.</w:t>
      </w:r>
    </w:p>
  </w:footnote>
  <w:footnote w:id="43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7F3E35">
        <w:rPr>
          <w:rFonts w:hint="cs"/>
          <w:spacing w:val="-2"/>
          <w:rtl/>
        </w:rPr>
        <w:t>شرح المغني، ق1، جـ2، ص584 -مع الاختلاف اليسير الذي سبق بيانه-؛ وانظر: المغني، ص135.</w:t>
      </w:r>
    </w:p>
  </w:footnote>
  <w:footnote w:id="43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المغني : </w:t>
      </w:r>
      <w:r>
        <w:rPr>
          <w:rFonts w:hint="eastAsia"/>
          <w:rtl/>
        </w:rPr>
        <w:t>«</w:t>
      </w:r>
      <w:r>
        <w:rPr>
          <w:rFonts w:hint="cs"/>
          <w:b/>
          <w:bCs/>
          <w:rtl/>
        </w:rPr>
        <w:t>إنما</w:t>
      </w:r>
      <w:r>
        <w:rPr>
          <w:rFonts w:hint="cs"/>
          <w:rtl/>
        </w:rPr>
        <w:t xml:space="preserve"> يحنث ...</w:t>
      </w:r>
      <w:r>
        <w:rPr>
          <w:rFonts w:hint="eastAsia"/>
          <w:rtl/>
        </w:rPr>
        <w:t>»</w:t>
      </w:r>
      <w:r>
        <w:rPr>
          <w:rFonts w:hint="cs"/>
          <w:rtl/>
        </w:rPr>
        <w:t>.</w:t>
      </w:r>
    </w:p>
  </w:footnote>
  <w:footnote w:id="43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في الملك</w:t>
      </w:r>
      <w:r>
        <w:rPr>
          <w:rFonts w:hint="eastAsia"/>
          <w:rtl/>
        </w:rPr>
        <w:t>»</w:t>
      </w:r>
      <w:r>
        <w:rPr>
          <w:rFonts w:hint="cs"/>
          <w:rtl/>
        </w:rPr>
        <w:t>.</w:t>
      </w:r>
    </w:p>
  </w:footnote>
  <w:footnote w:id="43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ص135 </w:t>
      </w:r>
      <w:r>
        <w:rPr>
          <w:rtl/>
        </w:rPr>
        <w:t>–</w:t>
      </w:r>
      <w:r>
        <w:rPr>
          <w:rFonts w:hint="cs"/>
          <w:rtl/>
        </w:rPr>
        <w:t xml:space="preserve"> مع الاختـلاف اليسـير الذي سبق بيانه-؛ وانظر : شرحه للقاءاني، ق1، جـ2، ص586؛ وانظر المسألة أيضًا في : المبسوط، 8/68؛ البحر الرائق، 4/349.</w:t>
      </w:r>
    </w:p>
  </w:footnote>
  <w:footnote w:id="43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89/أ من (أ).</w:t>
      </w:r>
    </w:p>
  </w:footnote>
  <w:footnote w:id="43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66/أ من (جـ)، مع تكرار (في) في بداية اللوحة التي تليها.</w:t>
      </w:r>
    </w:p>
  </w:footnote>
  <w:footnote w:id="43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والدار التي يسكنها بأجرة أو بعارية مجاز ...</w:t>
      </w:r>
      <w:r>
        <w:rPr>
          <w:rFonts w:hint="eastAsia"/>
          <w:rtl/>
        </w:rPr>
        <w:t>»</w:t>
      </w:r>
      <w:r>
        <w:rPr>
          <w:rFonts w:hint="cs"/>
          <w:rtl/>
        </w:rPr>
        <w:t>.</w:t>
      </w:r>
    </w:p>
  </w:footnote>
  <w:footnote w:id="43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54/أ من (د).</w:t>
      </w:r>
    </w:p>
  </w:footnote>
  <w:footnote w:id="43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حافا</w:t>
      </w:r>
      <w:r>
        <w:rPr>
          <w:rFonts w:hint="eastAsia"/>
          <w:rtl/>
        </w:rPr>
        <w:t>»</w:t>
      </w:r>
      <w:r>
        <w:rPr>
          <w:rFonts w:hint="cs"/>
          <w:rtl/>
        </w:rPr>
        <w:t>.</w:t>
      </w:r>
    </w:p>
  </w:footnote>
  <w:footnote w:id="4393">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(ب) و(د) : </w:t>
      </w:r>
      <w:r>
        <w:rPr>
          <w:rFonts w:hint="eastAsia"/>
          <w:spacing w:val="-4"/>
          <w:rtl/>
        </w:rPr>
        <w:t>«</w:t>
      </w:r>
      <w:r>
        <w:rPr>
          <w:rFonts w:hint="cs"/>
          <w:spacing w:val="-4"/>
          <w:rtl/>
        </w:rPr>
        <w:t>ومجازًا</w:t>
      </w:r>
      <w:r>
        <w:rPr>
          <w:rFonts w:hint="eastAsia"/>
          <w:spacing w:val="-4"/>
          <w:rtl/>
        </w:rPr>
        <w:t>»</w:t>
      </w:r>
      <w:r>
        <w:rPr>
          <w:rFonts w:hint="cs"/>
          <w:spacing w:val="-4"/>
          <w:rtl/>
        </w:rPr>
        <w:t xml:space="preserve">. والصـحيـح ما تمَّ إثباته من (أ) و(جـ)؛ لأن (مجاز) معطوف على (وضعُ القدم)، وهذا الموافق لشرح المغني، حيث جـاء فـيـه : </w:t>
      </w:r>
      <w:r>
        <w:rPr>
          <w:rFonts w:hint="eastAsia"/>
          <w:spacing w:val="-4"/>
          <w:rtl/>
        </w:rPr>
        <w:t>«</w:t>
      </w:r>
      <w:r>
        <w:rPr>
          <w:rFonts w:hint="cs"/>
          <w:spacing w:val="-4"/>
          <w:rtl/>
        </w:rPr>
        <w:t xml:space="preserve">ووضع القدم حقيقة فيما إذا كان </w:t>
      </w:r>
      <w:r>
        <w:rPr>
          <w:rFonts w:hint="cs"/>
          <w:b/>
          <w:bCs/>
          <w:spacing w:val="-4"/>
          <w:rtl/>
        </w:rPr>
        <w:t>حافيًا، ومجاز</w:t>
      </w:r>
      <w:r>
        <w:rPr>
          <w:rFonts w:hint="cs"/>
          <w:spacing w:val="-4"/>
          <w:rtl/>
        </w:rPr>
        <w:t xml:space="preserve"> فيما إذا ...</w:t>
      </w:r>
      <w:r>
        <w:rPr>
          <w:rFonts w:hint="eastAsia"/>
          <w:spacing w:val="-4"/>
          <w:rtl/>
        </w:rPr>
        <w:t>»</w:t>
      </w:r>
      <w:r>
        <w:rPr>
          <w:rFonts w:hint="cs"/>
          <w:spacing w:val="-4"/>
          <w:rtl/>
        </w:rPr>
        <w:t>.</w:t>
      </w:r>
    </w:p>
  </w:footnote>
  <w:footnote w:id="4394">
    <w:p w:rsidR="00035BE3" w:rsidRDefault="00035BE3" w:rsidP="00C10469">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شرح المغني، ق1، جـ2، ص586 </w:t>
      </w:r>
      <w:r>
        <w:rPr>
          <w:spacing w:val="-10"/>
          <w:rtl/>
        </w:rPr>
        <w:t>–</w:t>
      </w:r>
      <w:r>
        <w:rPr>
          <w:rFonts w:hint="cs"/>
          <w:spacing w:val="-10"/>
          <w:rtl/>
        </w:rPr>
        <w:t>مع الاختلاف اليسير الذي سبق بيانه-؛ وانظر : المغني، ص135-136.</w:t>
      </w:r>
    </w:p>
  </w:footnote>
  <w:footnote w:id="43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من قبيل الجمع؛ بل ...</w:t>
      </w:r>
      <w:r>
        <w:rPr>
          <w:rFonts w:hint="eastAsia"/>
          <w:rtl/>
        </w:rPr>
        <w:t>»</w:t>
      </w:r>
      <w:r>
        <w:rPr>
          <w:rFonts w:hint="cs"/>
          <w:rtl/>
        </w:rPr>
        <w:t>.</w:t>
      </w:r>
    </w:p>
  </w:footnote>
  <w:footnote w:id="43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b/>
          <w:bCs/>
          <w:rtl/>
        </w:rPr>
        <w:t>الملفوظ</w:t>
      </w:r>
      <w:r>
        <w:rPr>
          <w:rFonts w:hint="cs"/>
          <w:rtl/>
        </w:rPr>
        <w:t xml:space="preserve"> مجازًا عن شيء، </w:t>
      </w:r>
      <w:r>
        <w:rPr>
          <w:rFonts w:hint="cs"/>
          <w:b/>
          <w:bCs/>
          <w:rtl/>
        </w:rPr>
        <w:t>و</w:t>
      </w:r>
      <w:r>
        <w:rPr>
          <w:rFonts w:hint="cs"/>
          <w:rtl/>
        </w:rPr>
        <w:t>ذلك ...</w:t>
      </w:r>
      <w:r>
        <w:rPr>
          <w:rFonts w:hint="eastAsia"/>
          <w:rtl/>
        </w:rPr>
        <w:t>»</w:t>
      </w:r>
      <w:r>
        <w:rPr>
          <w:rFonts w:hint="cs"/>
          <w:rtl/>
        </w:rPr>
        <w:t>.</w:t>
      </w:r>
    </w:p>
  </w:footnote>
  <w:footnote w:id="43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ق1، جـ2، ص586 </w:t>
      </w:r>
      <w:r>
        <w:rPr>
          <w:rtl/>
        </w:rPr>
        <w:t>–</w:t>
      </w:r>
      <w:r>
        <w:rPr>
          <w:rFonts w:hint="cs"/>
          <w:rtl/>
        </w:rPr>
        <w:t xml:space="preserve"> مع الاختلاف الذي سبق بيانه-.</w:t>
      </w:r>
    </w:p>
  </w:footnote>
  <w:footnote w:id="43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الفاء زيادة من مصدري المؤلف (وهما المغني وشرحه) وبدونها يكون الأسلوب ركيكًا.</w:t>
      </w:r>
    </w:p>
  </w:footnote>
  <w:footnote w:id="43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المغني، ص136؛ شرحه للقاءاني، ق1، جـ2، ص588.</w:t>
      </w:r>
    </w:p>
  </w:footnote>
  <w:footnote w:id="4400">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أي الجواب السابق الذي قال فيه : </w:t>
      </w:r>
      <w:r>
        <w:rPr>
          <w:rFonts w:hint="eastAsia"/>
          <w:spacing w:val="4"/>
          <w:rtl/>
        </w:rPr>
        <w:t>«</w:t>
      </w:r>
      <w:r>
        <w:rPr>
          <w:rFonts w:hint="cs"/>
          <w:spacing w:val="4"/>
          <w:rtl/>
        </w:rPr>
        <w:t xml:space="preserve">أن هذا ليس من قبيل جمع الحقيقة والمجاز؛ </w:t>
      </w:r>
      <w:r>
        <w:rPr>
          <w:rFonts w:hint="cs"/>
          <w:b/>
          <w:bCs/>
          <w:spacing w:val="4"/>
          <w:rtl/>
        </w:rPr>
        <w:t>بل باعتبار عموم المجاز</w:t>
      </w:r>
      <w:r>
        <w:rPr>
          <w:rFonts w:hint="cs"/>
          <w:spacing w:val="4"/>
          <w:rtl/>
        </w:rPr>
        <w:t xml:space="preserve"> ...</w:t>
      </w:r>
      <w:r>
        <w:rPr>
          <w:rFonts w:hint="eastAsia"/>
          <w:spacing w:val="4"/>
          <w:rtl/>
        </w:rPr>
        <w:t>»</w:t>
      </w:r>
      <w:r>
        <w:rPr>
          <w:rFonts w:hint="cs"/>
          <w:spacing w:val="4"/>
          <w:rtl/>
        </w:rPr>
        <w:t xml:space="preserve"> يصلح جوابًا هنا أيضًا.</w:t>
      </w:r>
    </w:p>
  </w:footnote>
  <w:footnote w:id="4401">
    <w:p w:rsidR="00035BE3" w:rsidRDefault="00035BE3" w:rsidP="00C10469">
      <w:pPr>
        <w:pStyle w:val="a8"/>
        <w:bidi/>
        <w:spacing w:line="46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هذه القاعدة تتعلق بالدعوى المؤرّخة بغياب العين المدّعاة عن المدعي؛ إذ هذا التاريخ لا عبرة به؛ لأن الشأن في التاريخ أن يكون تاريخاً لملك العين لا لغيابها عن المدعي؛ لهذا قالوا في تمام القاعدة: </w:t>
      </w:r>
      <w:r>
        <w:rPr>
          <w:rFonts w:hint="eastAsia"/>
          <w:rtl/>
        </w:rPr>
        <w:t>«</w:t>
      </w:r>
      <w:r>
        <w:rPr>
          <w:rFonts w:hint="cs"/>
          <w:rtl/>
        </w:rPr>
        <w:t>لا عبرة لتاريخ الغيبة؛ بل العبرة لتاريخ الملك</w:t>
      </w:r>
      <w:r>
        <w:rPr>
          <w:rFonts w:hint="eastAsia"/>
          <w:rtl/>
        </w:rPr>
        <w:t>»</w:t>
      </w:r>
      <w:r>
        <w:rPr>
          <w:rFonts w:hint="cs"/>
          <w:rtl/>
        </w:rPr>
        <w:t>.</w:t>
      </w:r>
    </w:p>
    <w:p w:rsidR="00035BE3" w:rsidRDefault="00035BE3" w:rsidP="00C10469">
      <w:pPr>
        <w:pStyle w:val="a6"/>
        <w:spacing w:line="460" w:lineRule="exact"/>
        <w:ind w:left="422" w:firstLine="0"/>
        <w:rPr>
          <w:rtl/>
        </w:rPr>
      </w:pPr>
      <w:r>
        <w:rPr>
          <w:rFonts w:hint="cs"/>
          <w:rtl/>
        </w:rPr>
        <w:t>وممّا يوضّح ذلك : ما لو اختلف اثنان في دابة، وادّعى أحدهما أنها ملكه منذ سنة، وادّعى الآخر أنها غابت عنه منذ ستة أشهر:</w:t>
      </w:r>
    </w:p>
    <w:p w:rsidR="00035BE3" w:rsidRDefault="00035BE3" w:rsidP="00C10469">
      <w:pPr>
        <w:pStyle w:val="a6"/>
        <w:spacing w:line="460" w:lineRule="exact"/>
        <w:ind w:left="422" w:firstLine="0"/>
        <w:rPr>
          <w:rtl/>
        </w:rPr>
      </w:pPr>
      <w:r>
        <w:rPr>
          <w:rFonts w:hint="cs"/>
          <w:rtl/>
        </w:rPr>
        <w:t xml:space="preserve">فإن التاريخ عند الأول : تاريخ ملك، وعند الثاني : تاريخ غيبة، ولا عبرة بهما.إذْ الثاني لا عبرة به؛ لأنه تاريخ غيبة الدابة عنه، و </w:t>
      </w:r>
      <w:r>
        <w:rPr>
          <w:rFonts w:hint="eastAsia"/>
          <w:rtl/>
        </w:rPr>
        <w:t>«</w:t>
      </w:r>
      <w:r>
        <w:rPr>
          <w:rFonts w:hint="cs"/>
          <w:rtl/>
        </w:rPr>
        <w:t>لا عبرة لتاريخ الغيبة</w:t>
      </w:r>
      <w:r>
        <w:rPr>
          <w:rFonts w:hint="eastAsia"/>
          <w:rtl/>
        </w:rPr>
        <w:t>»</w:t>
      </w:r>
      <w:r>
        <w:rPr>
          <w:rFonts w:hint="cs"/>
          <w:rtl/>
        </w:rPr>
        <w:t>. أما الأول فهو وإن كان تاريخ ملك إلا أنه منفرد، لا يقابله تاريخ آخر فيقارن به، و</w:t>
      </w:r>
      <w:r>
        <w:rPr>
          <w:rFonts w:hint="eastAsia"/>
          <w:rtl/>
        </w:rPr>
        <w:t>«</w:t>
      </w:r>
      <w:r>
        <w:rPr>
          <w:rFonts w:hint="cs"/>
          <w:rtl/>
        </w:rPr>
        <w:t>التاريخ لا يعتبر حالة الانفراد</w:t>
      </w:r>
      <w:r>
        <w:rPr>
          <w:rFonts w:hint="eastAsia"/>
          <w:rtl/>
        </w:rPr>
        <w:t>»</w:t>
      </w:r>
      <w:r>
        <w:rPr>
          <w:rFonts w:hint="cs"/>
          <w:rtl/>
        </w:rPr>
        <w:t>، فتصير الدعوى من الطرفين دعوى ملك مطلق بلا تاريخ، ويجري فيها الخلاف في دعوى الملك المطلق عن التوقيت.</w:t>
      </w:r>
    </w:p>
    <w:p w:rsidR="00035BE3" w:rsidRDefault="00035BE3" w:rsidP="00C10469">
      <w:pPr>
        <w:pStyle w:val="a6"/>
        <w:spacing w:line="460" w:lineRule="exact"/>
        <w:ind w:left="422" w:firstLine="0"/>
        <w:rPr>
          <w:rtl/>
        </w:rPr>
      </w:pPr>
      <w:r>
        <w:rPr>
          <w:rFonts w:hint="cs"/>
          <w:rtl/>
        </w:rPr>
        <w:t>وصورة هذا المثال سيذكرها المؤلف ويعزوها إلى موضعين من (الدرر) :</w:t>
      </w:r>
    </w:p>
    <w:p w:rsidR="00035BE3" w:rsidRDefault="00035BE3" w:rsidP="00C10469">
      <w:pPr>
        <w:pStyle w:val="a6"/>
        <w:spacing w:line="460" w:lineRule="exact"/>
        <w:ind w:left="422" w:firstLine="0"/>
        <w:rPr>
          <w:spacing w:val="-8"/>
          <w:rtl/>
        </w:rPr>
      </w:pPr>
      <w:r>
        <w:rPr>
          <w:rFonts w:hint="cs"/>
          <w:b/>
          <w:bCs/>
          <w:spacing w:val="-8"/>
          <w:rtl/>
        </w:rPr>
        <w:t xml:space="preserve">أحدهما : </w:t>
      </w:r>
      <w:r>
        <w:rPr>
          <w:rFonts w:hint="cs"/>
          <w:spacing w:val="-8"/>
          <w:rtl/>
        </w:rPr>
        <w:t>في باب (الاستحقاق) -2/192- وقد جعله صاحب (الدرر) في هذا الموضع فرعًا لهذه القاعدة.</w:t>
      </w:r>
    </w:p>
    <w:p w:rsidR="00035BE3" w:rsidRDefault="00035BE3" w:rsidP="00C10469">
      <w:pPr>
        <w:pStyle w:val="a6"/>
        <w:spacing w:line="460" w:lineRule="exact"/>
        <w:ind w:left="422" w:firstLine="0"/>
        <w:rPr>
          <w:rtl/>
        </w:rPr>
      </w:pPr>
      <w:r>
        <w:rPr>
          <w:rFonts w:hint="cs"/>
          <w:b/>
          <w:bCs/>
          <w:rtl/>
        </w:rPr>
        <w:t>الثاني:</w:t>
      </w:r>
      <w:r>
        <w:rPr>
          <w:rFonts w:hint="cs"/>
          <w:rtl/>
        </w:rPr>
        <w:t xml:space="preserve"> في كتاب (الدعوى) -2/345- وقد فرَّعَهُ صاحبُ (الدرر) على قاعدة : </w:t>
      </w:r>
      <w:r>
        <w:rPr>
          <w:rFonts w:hint="eastAsia"/>
          <w:rtl/>
        </w:rPr>
        <w:t>«</w:t>
      </w:r>
      <w:r>
        <w:rPr>
          <w:rFonts w:hint="cs"/>
          <w:rtl/>
        </w:rPr>
        <w:t>التاريخ لا يعتبر حالة الانفراد</w:t>
      </w:r>
      <w:r>
        <w:rPr>
          <w:rFonts w:hint="eastAsia"/>
          <w:rtl/>
        </w:rPr>
        <w:t>»</w:t>
      </w:r>
      <w:r>
        <w:rPr>
          <w:rFonts w:hint="cs"/>
          <w:rtl/>
        </w:rPr>
        <w:t>.</w:t>
      </w:r>
    </w:p>
    <w:p w:rsidR="00035BE3" w:rsidRDefault="00035BE3" w:rsidP="00C10469">
      <w:pPr>
        <w:pStyle w:val="a6"/>
        <w:spacing w:line="460" w:lineRule="exact"/>
        <w:ind w:left="422" w:firstLine="0"/>
        <w:rPr>
          <w:rtl/>
        </w:rPr>
      </w:pPr>
      <w:r>
        <w:rPr>
          <w:rFonts w:hint="cs"/>
          <w:rtl/>
        </w:rPr>
        <w:t>وقد حكم صاحب (الدّرر) في هذين الموضعين بأنه يقضى للمستحِقّ، وهو الثاني (الخارج) الذي يدّعي أنه يستحق العين التي في يد الآخر.</w:t>
      </w:r>
    </w:p>
    <w:p w:rsidR="00035BE3" w:rsidRPr="000D3BAB" w:rsidRDefault="00035BE3" w:rsidP="00C10469">
      <w:pPr>
        <w:pStyle w:val="a6"/>
        <w:spacing w:line="460" w:lineRule="exact"/>
        <w:ind w:left="422" w:firstLine="0"/>
        <w:rPr>
          <w:spacing w:val="-4"/>
          <w:rtl/>
        </w:rPr>
      </w:pPr>
      <w:r>
        <w:rPr>
          <w:rFonts w:hint="cs"/>
          <w:rtl/>
        </w:rPr>
        <w:t xml:space="preserve">وهذا المثال ارتضى المؤلف تفريعه على القاعدة الثانية، لا الأولى. والذي يظهر -والله أعلم- أن المثال </w:t>
      </w:r>
      <w:r w:rsidRPr="000D3BAB">
        <w:rPr>
          <w:rFonts w:hint="cs"/>
          <w:spacing w:val="-4"/>
          <w:rtl/>
        </w:rPr>
        <w:t xml:space="preserve">أقرب إلى القاعدة الثانية منه إلى الأولى، لكن ليس هناك ما يمنع من كونه فرعًا لهما من جهتين مختلفتين : </w:t>
      </w:r>
    </w:p>
    <w:p w:rsidR="00035BE3" w:rsidRDefault="00035BE3" w:rsidP="00C10469">
      <w:pPr>
        <w:pStyle w:val="a6"/>
        <w:spacing w:line="460" w:lineRule="exact"/>
        <w:ind w:left="422" w:firstLine="0"/>
        <w:rPr>
          <w:rtl/>
        </w:rPr>
      </w:pPr>
      <w:r>
        <w:rPr>
          <w:rtl/>
        </w:rPr>
        <w:t>•</w:t>
      </w:r>
      <w:r>
        <w:rPr>
          <w:rFonts w:hint="cs"/>
          <w:rtl/>
        </w:rPr>
        <w:t xml:space="preserve"> فهو فرع للثانية؛ لأنه إنما قُضي للخارج (وهو المستحِقّ)؛ لأنه لا يلتفت إلى دعوى ذي اليد؛ لأن التاريخ فيها منفرد، و</w:t>
      </w:r>
      <w:r>
        <w:rPr>
          <w:rFonts w:hint="eastAsia"/>
          <w:rtl/>
        </w:rPr>
        <w:t>«</w:t>
      </w:r>
      <w:r>
        <w:rPr>
          <w:rFonts w:hint="cs"/>
          <w:rtl/>
        </w:rPr>
        <w:t>التاريخ لا يعتبر حالة الانفراد</w:t>
      </w:r>
      <w:r>
        <w:rPr>
          <w:rFonts w:hint="eastAsia"/>
          <w:rtl/>
        </w:rPr>
        <w:t>»</w:t>
      </w:r>
      <w:r>
        <w:rPr>
          <w:rFonts w:hint="cs"/>
          <w:rtl/>
        </w:rPr>
        <w:t>.</w:t>
      </w:r>
    </w:p>
    <w:p w:rsidR="00035BE3" w:rsidRDefault="00035BE3" w:rsidP="00C10469">
      <w:pPr>
        <w:pStyle w:val="a6"/>
        <w:spacing w:line="460" w:lineRule="exact"/>
        <w:ind w:left="422" w:firstLine="0"/>
        <w:rPr>
          <w:rtl/>
        </w:rPr>
      </w:pPr>
      <w:r>
        <w:rPr>
          <w:rFonts w:hint="cs"/>
          <w:rtl/>
        </w:rPr>
        <w:t>وإذا لم يُعتدّ بتاريخ ذي اليد فإن الخارج مقدّم عليه.</w:t>
      </w:r>
    </w:p>
    <w:p w:rsidR="00035BE3" w:rsidRDefault="00035BE3" w:rsidP="00C10469">
      <w:pPr>
        <w:pStyle w:val="a6"/>
        <w:spacing w:line="460" w:lineRule="exact"/>
        <w:ind w:left="422" w:firstLine="0"/>
        <w:rPr>
          <w:rtl/>
        </w:rPr>
      </w:pPr>
      <w:r>
        <w:rPr>
          <w:rtl/>
        </w:rPr>
        <w:t>•</w:t>
      </w:r>
      <w:r>
        <w:rPr>
          <w:rFonts w:hint="cs"/>
          <w:rtl/>
        </w:rPr>
        <w:t xml:space="preserve"> كما أنه فرعٌ للأولى من جهة كون تاريخ الملك الذي يدّعيه ذو اليد إنما كان تاريخًا منفردًا؛ لأنه لم يلتفت إلى تاريخ الخارج؛ لكونه تاريخ غيبة و</w:t>
      </w:r>
      <w:r>
        <w:rPr>
          <w:rFonts w:hint="eastAsia"/>
          <w:rtl/>
        </w:rPr>
        <w:t>«</w:t>
      </w:r>
      <w:r>
        <w:rPr>
          <w:rFonts w:hint="cs"/>
          <w:rtl/>
        </w:rPr>
        <w:t>لا عبرة لتاريخ الغيبة</w:t>
      </w:r>
      <w:r>
        <w:rPr>
          <w:rFonts w:hint="eastAsia"/>
          <w:rtl/>
        </w:rPr>
        <w:t>»</w:t>
      </w:r>
      <w:r>
        <w:rPr>
          <w:rFonts w:hint="cs"/>
          <w:rtl/>
        </w:rPr>
        <w:t>.</w:t>
      </w:r>
    </w:p>
    <w:p w:rsidR="00035BE3" w:rsidRDefault="00035BE3" w:rsidP="00C10469">
      <w:pPr>
        <w:pStyle w:val="a6"/>
        <w:spacing w:line="460" w:lineRule="exact"/>
        <w:ind w:left="422" w:firstLine="0"/>
        <w:rPr>
          <w:rtl/>
        </w:rPr>
      </w:pPr>
      <w:r>
        <w:rPr>
          <w:rFonts w:hint="cs"/>
          <w:rtl/>
        </w:rPr>
        <w:t>وممّا يعضد كونَ المثالِ يمكِن أن يكون فرعًا لهذه القاعدة أيضًا أنّ صاحب (التنوير) و(الدر المختار) و(رد المحتار) تابعوا صاحبَ (الدرر) على ذلك. فانظر هذه الكتب، 7/444- 445- والله أعلم-.</w:t>
      </w:r>
      <w:r>
        <w:t xml:space="preserve"> </w:t>
      </w:r>
      <w:r>
        <w:rPr>
          <w:rFonts w:hint="cs"/>
          <w:rtl/>
        </w:rPr>
        <w:t xml:space="preserve"> </w:t>
      </w:r>
    </w:p>
  </w:footnote>
  <w:footnote w:id="440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ما</w:t>
      </w:r>
      <w:r>
        <w:rPr>
          <w:rFonts w:hint="eastAsia"/>
          <w:rtl/>
        </w:rPr>
        <w:t>»</w:t>
      </w:r>
      <w:r>
        <w:rPr>
          <w:rFonts w:hint="cs"/>
          <w:rtl/>
        </w:rPr>
        <w:t xml:space="preserve"> : ساقطة من (جـ).</w:t>
      </w:r>
    </w:p>
  </w:footnote>
  <w:footnote w:id="440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بينته</w:t>
      </w:r>
      <w:r>
        <w:rPr>
          <w:rFonts w:hint="eastAsia"/>
          <w:rtl/>
        </w:rPr>
        <w:t>»</w:t>
      </w:r>
      <w:r>
        <w:rPr>
          <w:rFonts w:hint="cs"/>
          <w:rtl/>
        </w:rPr>
        <w:t>.</w:t>
      </w:r>
    </w:p>
  </w:footnote>
  <w:footnote w:id="440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ملكا للبائع الذي اشترى الخصمُ العينَ المتنازع عليها منه منذ...</w:t>
      </w:r>
    </w:p>
  </w:footnote>
  <w:footnote w:id="4405">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يندفع</w:t>
      </w:r>
      <w:r>
        <w:rPr>
          <w:rFonts w:hint="eastAsia"/>
          <w:rtl/>
        </w:rPr>
        <w:t>»</w:t>
      </w:r>
      <w:r>
        <w:rPr>
          <w:rFonts w:hint="cs"/>
          <w:rtl/>
        </w:rPr>
        <w:t>. والأفصح ما تّم إثباته من (ب) و(د)، وهو الموافق للدّرر.</w:t>
      </w:r>
    </w:p>
  </w:footnote>
  <w:footnote w:id="4406">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هذا حاصل ما ذكره صاحب الدرر، 2/192. ونص كلامه : </w:t>
      </w:r>
      <w:r>
        <w:rPr>
          <w:rFonts w:hint="eastAsia"/>
          <w:rtl/>
        </w:rPr>
        <w:t>«</w:t>
      </w:r>
      <w:r>
        <w:rPr>
          <w:rFonts w:hint="cs"/>
          <w:rtl/>
        </w:rPr>
        <w:t xml:space="preserve">لا عبرة لتاريخ الغيبة؛ بل العبرة لتاريخ الملك. فلو قال المستحِق عند الدعوى : غابت عني هذه الدابة منذ سنة، فقبْل أن يقضي القاضي بالدابة للمستحِقّ أخبر المستحَقُّ عليه البائعَ عن القصة، فقال البائع : لي بينة أنها كانت ملكًا لي منذ سنتين: لا تندفع الخصومة؛ بل يقضي القاضي بالدابة للمستحق؛ لأن المستحق ما ذَكر تاريخ الملك؛ بل ذكر تاريخ غيبة الدابة، فبقيت دعواه الملك بلا تاريخ. والبائع ذكر تاريخ الملك، ودعواه دعوى المشتري؛ لأن المشتري تلقى الملك منه، فصار كأن المشتري ادّعى ملك بائعه بتاريخ سنتين، إلا أن </w:t>
      </w:r>
      <w:r w:rsidRPr="00B33ADB">
        <w:rPr>
          <w:rFonts w:hint="cs"/>
          <w:spacing w:val="-2"/>
          <w:rtl/>
        </w:rPr>
        <w:t>التاريخ لا يعتبر حالة الانفراد... فسقط اعتبار ذكره، وبقيت الدعوى في الملك المطلق، فيقضى بالدابة</w:t>
      </w:r>
      <w:r w:rsidRPr="00B33ADB">
        <w:rPr>
          <w:rFonts w:hint="eastAsia"/>
          <w:spacing w:val="-2"/>
          <w:rtl/>
        </w:rPr>
        <w:t>»</w:t>
      </w:r>
      <w:r w:rsidRPr="00B33ADB">
        <w:rPr>
          <w:rFonts w:hint="cs"/>
          <w:spacing w:val="-2"/>
          <w:rtl/>
        </w:rPr>
        <w:t>.</w:t>
      </w:r>
    </w:p>
    <w:p w:rsidR="00035BE3" w:rsidRDefault="00035BE3" w:rsidP="00C10469">
      <w:pPr>
        <w:pStyle w:val="a6"/>
        <w:spacing w:line="420" w:lineRule="exact"/>
        <w:ind w:left="422" w:firstLine="0"/>
        <w:rPr>
          <w:rtl/>
        </w:rPr>
      </w:pPr>
      <w:r>
        <w:rPr>
          <w:rFonts w:hint="cs"/>
          <w:rtl/>
        </w:rPr>
        <w:t>وانظر : تنوير البصائر والدر ورد المحتار، 7/444-445.</w:t>
      </w:r>
    </w:p>
  </w:footnote>
  <w:footnote w:id="4407">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أي صاحب الدرر</w:t>
      </w:r>
      <w:r>
        <w:rPr>
          <w:rFonts w:hint="eastAsia"/>
          <w:rtl/>
        </w:rPr>
        <w:t>»</w:t>
      </w:r>
      <w:r>
        <w:rPr>
          <w:rFonts w:hint="cs"/>
          <w:rtl/>
        </w:rPr>
        <w:t>.</w:t>
      </w:r>
    </w:p>
  </w:footnote>
  <w:footnote w:id="4408">
    <w:p w:rsidR="00035BE3" w:rsidRDefault="00035BE3" w:rsidP="00C10469">
      <w:pPr>
        <w:pStyle w:val="a8"/>
        <w:bidi/>
        <w:spacing w:line="42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مذ</w:t>
      </w:r>
      <w:r>
        <w:rPr>
          <w:rFonts w:hint="eastAsia"/>
          <w:rtl/>
        </w:rPr>
        <w:t>»</w:t>
      </w:r>
      <w:r>
        <w:rPr>
          <w:rFonts w:hint="cs"/>
          <w:rtl/>
        </w:rPr>
        <w:t>.</w:t>
      </w:r>
    </w:p>
  </w:footnote>
  <w:footnote w:id="4409">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89/ب من (أ).</w:t>
      </w:r>
    </w:p>
  </w:footnote>
  <w:footnote w:id="441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حالة الانفراد</w:t>
      </w:r>
      <w:r>
        <w:rPr>
          <w:rFonts w:hint="eastAsia"/>
          <w:rtl/>
        </w:rPr>
        <w:t>»</w:t>
      </w:r>
      <w:r>
        <w:rPr>
          <w:rFonts w:hint="cs"/>
          <w:rtl/>
        </w:rPr>
        <w:t xml:space="preserve"> : ساقطة من (جـ).</w:t>
      </w:r>
    </w:p>
  </w:footnote>
  <w:footnote w:id="441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ولا</w:t>
      </w:r>
      <w:r>
        <w:rPr>
          <w:rFonts w:hint="eastAsia"/>
          <w:rtl/>
        </w:rPr>
        <w:t>»</w:t>
      </w:r>
      <w:r>
        <w:rPr>
          <w:rFonts w:hint="cs"/>
          <w:rtl/>
        </w:rPr>
        <w:t xml:space="preserve"> (بزيادة الواو). والمناسب عدم إثباتها كما في (جـ)، وهو الموافق للدرر.</w:t>
      </w:r>
    </w:p>
  </w:footnote>
  <w:footnote w:id="441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الدّرر، 2/345- من اختلاف يسير جدًّا- يضاف إلى ذلك أن صاحب الدرر قال في نهاية العبارة : </w:t>
      </w:r>
      <w:r>
        <w:rPr>
          <w:rFonts w:hint="eastAsia"/>
          <w:rtl/>
        </w:rPr>
        <w:t>«</w:t>
      </w:r>
      <w:r>
        <w:rPr>
          <w:rFonts w:hint="cs"/>
          <w:rtl/>
        </w:rPr>
        <w:t xml:space="preserve">لكن التاريخ حالة الانفراد لا يعتبر </w:t>
      </w:r>
      <w:r>
        <w:rPr>
          <w:rFonts w:hint="cs"/>
          <w:b/>
          <w:bCs/>
          <w:rtl/>
        </w:rPr>
        <w:t>عند أبي حنيفة</w:t>
      </w:r>
      <w:r>
        <w:rPr>
          <w:rFonts w:hint="cs"/>
          <w:rtl/>
        </w:rPr>
        <w:t>، فكان دعوى صاحب اليد دعوى مطلق الملك كدعوى الخارج، فيقضى ببينة الخارج</w:t>
      </w:r>
      <w:r>
        <w:rPr>
          <w:rFonts w:hint="eastAsia"/>
          <w:rtl/>
        </w:rPr>
        <w:t>»</w:t>
      </w:r>
      <w:r>
        <w:rPr>
          <w:rFonts w:hint="cs"/>
          <w:rtl/>
        </w:rPr>
        <w:t xml:space="preserve">. وقد خالف في ذلك أبو يوسف وقال بأنه يقضى فيها لذي اليد جاء في رد المحتار، 7/445 </w:t>
      </w:r>
      <w:r>
        <w:rPr>
          <w:rtl/>
        </w:rPr>
        <w:t>–</w:t>
      </w:r>
      <w:r>
        <w:rPr>
          <w:rFonts w:hint="cs"/>
          <w:rtl/>
        </w:rPr>
        <w:t xml:space="preserve"> نقلاً عن (جامع الفصولين)- : </w:t>
      </w:r>
      <w:r>
        <w:rPr>
          <w:rFonts w:hint="eastAsia"/>
          <w:rtl/>
        </w:rPr>
        <w:t>«</w:t>
      </w:r>
      <w:r>
        <w:rPr>
          <w:rFonts w:hint="cs"/>
          <w:rtl/>
        </w:rPr>
        <w:t xml:space="preserve">ويقضى بها للمؤرخ عند أبي يوسف؛ لأنه يرجح المؤرخ حالة الانفراد. وينبغي الافتاء به لأنه أرفق وأظهر </w:t>
      </w:r>
      <w:r>
        <w:rPr>
          <w:rtl/>
        </w:rPr>
        <w:t>–</w:t>
      </w:r>
      <w:r>
        <w:rPr>
          <w:rFonts w:hint="cs"/>
          <w:rtl/>
        </w:rPr>
        <w:t>والله أعلم-</w:t>
      </w:r>
      <w:r>
        <w:rPr>
          <w:rFonts w:hint="eastAsia"/>
          <w:rtl/>
        </w:rPr>
        <w:t>»</w:t>
      </w:r>
      <w:r>
        <w:rPr>
          <w:rFonts w:hint="cs"/>
          <w:rtl/>
        </w:rPr>
        <w:t>.</w:t>
      </w:r>
    </w:p>
  </w:footnote>
  <w:footnote w:id="441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سبق التعليق على ذلك عند توضيح القاعدة.</w:t>
      </w:r>
    </w:p>
  </w:footnote>
  <w:footnote w:id="4414">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متّحدة من جهة المعنى مع قاعدة أخرى سبق أن ذكرها المؤلف، وهي : </w:t>
      </w:r>
      <w:r>
        <w:rPr>
          <w:rFonts w:hint="eastAsia"/>
          <w:rtl/>
        </w:rPr>
        <w:t>«</w:t>
      </w:r>
      <w:r>
        <w:rPr>
          <w:rFonts w:hint="cs"/>
          <w:rtl/>
        </w:rPr>
        <w:t>تفريق الصفقة قبل القبض لا يجوز</w:t>
      </w:r>
      <w:r>
        <w:rPr>
          <w:rFonts w:hint="eastAsia"/>
          <w:rtl/>
        </w:rPr>
        <w:t>»</w:t>
      </w:r>
      <w:r>
        <w:rPr>
          <w:rFonts w:hint="cs"/>
          <w:rtl/>
        </w:rPr>
        <w:t>، وذلك ص538 (ل36/أ)، قاعدة 81.</w:t>
      </w:r>
    </w:p>
    <w:p w:rsidR="00035BE3" w:rsidRDefault="00035BE3" w:rsidP="00C10469">
      <w:pPr>
        <w:pStyle w:val="a6"/>
        <w:spacing w:line="420" w:lineRule="exact"/>
        <w:ind w:left="422" w:firstLine="0"/>
        <w:rPr>
          <w:rtl/>
        </w:rPr>
      </w:pPr>
      <w:r>
        <w:rPr>
          <w:rFonts w:hint="cs"/>
          <w:rtl/>
        </w:rPr>
        <w:t>فما قيل في توثيقها هناك يُقال هنا.</w:t>
      </w:r>
    </w:p>
  </w:footnote>
  <w:footnote w:id="441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لم أجد حديثًا مرويًّا عن أحد من الصحابة بهذا اللفظ.</w:t>
      </w:r>
    </w:p>
    <w:p w:rsidR="00035BE3" w:rsidRDefault="00035BE3" w:rsidP="00C10469">
      <w:pPr>
        <w:pStyle w:val="a6"/>
        <w:ind w:left="422" w:firstLine="0"/>
        <w:rPr>
          <w:rtl/>
        </w:rPr>
      </w:pPr>
      <w:r>
        <w:rPr>
          <w:rFonts w:hint="cs"/>
          <w:rtl/>
        </w:rPr>
        <w:t xml:space="preserve">إلاّ أن معناه </w:t>
      </w:r>
      <w:r>
        <w:rPr>
          <w:rtl/>
        </w:rPr>
        <w:t>–</w:t>
      </w:r>
      <w:r>
        <w:rPr>
          <w:rFonts w:hint="cs"/>
          <w:rtl/>
        </w:rPr>
        <w:t xml:space="preserve"> الذي سيذكره المؤلف عقبه مباشرة </w:t>
      </w:r>
      <w:r>
        <w:rPr>
          <w:rtl/>
        </w:rPr>
        <w:t>–</w:t>
      </w:r>
      <w:r>
        <w:rPr>
          <w:rFonts w:hint="cs"/>
          <w:rtl/>
        </w:rPr>
        <w:t xml:space="preserve"> تدخل فيه عدَّةُ أحاديث، منها :</w:t>
      </w:r>
    </w:p>
    <w:p w:rsidR="00035BE3" w:rsidRDefault="00035BE3" w:rsidP="00C10469">
      <w:pPr>
        <w:pStyle w:val="a6"/>
        <w:spacing w:line="500" w:lineRule="exact"/>
        <w:ind w:left="422" w:firstLine="0"/>
      </w:pPr>
      <w:r>
        <w:rPr>
          <w:rtl/>
        </w:rPr>
        <w:t>•</w:t>
      </w:r>
      <w:r>
        <w:rPr>
          <w:rFonts w:hint="cs"/>
          <w:rtl/>
        </w:rPr>
        <w:t xml:space="preserve"> ما جاء عن ابن عباس رضي الله عنهما قال : </w:t>
      </w:r>
      <w:r>
        <w:rPr>
          <w:rFonts w:hint="eastAsia"/>
          <w:rtl/>
        </w:rPr>
        <w:t>«</w:t>
      </w:r>
      <w:r>
        <w:rPr>
          <w:rFonts w:hint="cs"/>
          <w:rtl/>
        </w:rPr>
        <w:t xml:space="preserve"> </w:t>
      </w:r>
      <w:r>
        <w:rPr>
          <w:rFonts w:cs="DecoType Naskh" w:hint="cs"/>
          <w:sz w:val="26"/>
          <w:szCs w:val="26"/>
          <w:rtl/>
        </w:rPr>
        <w:t>أما الذي نهى عنه النبي</w:t>
      </w:r>
      <w:r>
        <w:rPr>
          <w:rFonts w:cs="Al-Kharashi 62" w:hint="cs"/>
          <w:sz w:val="28"/>
          <w:szCs w:val="28"/>
          <w:rtl/>
        </w:rPr>
        <w:t xml:space="preserve"> </w:t>
      </w:r>
      <w:r>
        <w:rPr>
          <w:rFonts w:ascii="AGA Arabesque" w:hAnsi="AGA Arabesque" w:cs="Al-Kharashi 62"/>
          <w:sz w:val="28"/>
          <w:szCs w:val="28"/>
        </w:rPr>
        <w:t></w:t>
      </w:r>
      <w:r>
        <w:rPr>
          <w:rFonts w:cs="Al-Kharashi 62" w:hint="cs"/>
          <w:sz w:val="28"/>
          <w:szCs w:val="28"/>
          <w:rtl/>
        </w:rPr>
        <w:t xml:space="preserve"> </w:t>
      </w:r>
      <w:r>
        <w:rPr>
          <w:rFonts w:cs="DecoType Naskh" w:hint="cs"/>
          <w:sz w:val="26"/>
          <w:szCs w:val="26"/>
          <w:rtl/>
        </w:rPr>
        <w:t>فهو الطعام أن يباع حتى يقبض</w:t>
      </w:r>
      <w:r>
        <w:rPr>
          <w:rFonts w:hint="cs"/>
          <w:rtl/>
        </w:rPr>
        <w:t>. قال ابن عباس : ولا أحسب كل شيء إلا مثله</w:t>
      </w:r>
      <w:r>
        <w:rPr>
          <w:rFonts w:hint="eastAsia"/>
          <w:rtl/>
        </w:rPr>
        <w:t>»</w:t>
      </w:r>
      <w:r>
        <w:rPr>
          <w:rFonts w:hint="cs"/>
          <w:rtl/>
        </w:rPr>
        <w:t>.</w:t>
      </w:r>
    </w:p>
    <w:p w:rsidR="00035BE3" w:rsidRDefault="00035BE3" w:rsidP="00C10469">
      <w:pPr>
        <w:pStyle w:val="a6"/>
        <w:ind w:left="422" w:firstLine="0"/>
        <w:rPr>
          <w:rtl/>
          <w:lang w:bidi="ar-AE"/>
        </w:rPr>
      </w:pPr>
      <w:r>
        <w:rPr>
          <w:rFonts w:hint="cs"/>
          <w:rtl/>
          <w:lang w:bidi="ar-AE"/>
        </w:rPr>
        <w:t>متفق عليه. وقد مرّ تخريجه مفصّلاً، ص921.</w:t>
      </w:r>
    </w:p>
    <w:p w:rsidR="00035BE3" w:rsidRDefault="00035BE3" w:rsidP="00C10469">
      <w:pPr>
        <w:pStyle w:val="a6"/>
        <w:spacing w:line="440" w:lineRule="exact"/>
        <w:ind w:left="422" w:firstLine="0"/>
        <w:rPr>
          <w:rtl/>
          <w:lang w:bidi="ar-AE"/>
        </w:rPr>
      </w:pPr>
      <w:r>
        <w:rPr>
          <w:rtl/>
          <w:lang w:bidi="ar-AE"/>
        </w:rPr>
        <w:t>•</w:t>
      </w:r>
      <w:r>
        <w:rPr>
          <w:rFonts w:hint="cs"/>
          <w:rtl/>
          <w:lang w:bidi="ar-AE"/>
        </w:rPr>
        <w:t xml:space="preserve"> ما جاء عن ابن عمر رضي الله عنهما قال : ابتعت زيتًا في السّوق، فلمّا استوجبته لنفسي، لقيني رجل، فأعطاني به ربحًا حسنًا، فأردتّ أن أضرب على يده، فأخذ رجل من خلفي بذراعي، فالتفتُّ فإذا زيد بن ثابت، فقال : لا تبعه حيث ابتعته حتى تحوزه إلى رحلك، </w:t>
      </w:r>
      <w:r>
        <w:rPr>
          <w:rFonts w:cs="DecoType Naskh" w:hint="cs"/>
          <w:sz w:val="26"/>
          <w:szCs w:val="26"/>
          <w:rtl/>
        </w:rPr>
        <w:t>فإن رسول الله</w:t>
      </w:r>
      <w:r>
        <w:rPr>
          <w:rFonts w:cs="Al-Kharashi 62" w:hint="cs"/>
          <w:sz w:val="28"/>
          <w:szCs w:val="28"/>
          <w:rtl/>
        </w:rPr>
        <w:t xml:space="preserve"> </w:t>
      </w:r>
      <w:r>
        <w:rPr>
          <w:rFonts w:ascii="AGA Arabesque" w:hAnsi="AGA Arabesque" w:cs="Al-Kharashi 62"/>
          <w:sz w:val="28"/>
          <w:szCs w:val="28"/>
        </w:rPr>
        <w:t></w:t>
      </w:r>
      <w:r>
        <w:rPr>
          <w:rFonts w:cs="Al-Kharashi 62" w:hint="cs"/>
          <w:sz w:val="28"/>
          <w:szCs w:val="28"/>
          <w:rtl/>
        </w:rPr>
        <w:t xml:space="preserve"> </w:t>
      </w:r>
      <w:r>
        <w:rPr>
          <w:rFonts w:cs="DecoType Naskh" w:hint="cs"/>
          <w:sz w:val="26"/>
          <w:szCs w:val="26"/>
          <w:rtl/>
        </w:rPr>
        <w:t>نهى أن تباع السلع حيث تبتاع حتى يحوزها التجّار إلى رحالهم</w:t>
      </w:r>
      <w:r>
        <w:rPr>
          <w:rFonts w:hint="cs"/>
          <w:rtl/>
          <w:lang w:bidi="ar-AE"/>
        </w:rPr>
        <w:t>.</w:t>
      </w:r>
    </w:p>
    <w:p w:rsidR="00035BE3" w:rsidRDefault="00035BE3" w:rsidP="00C10469">
      <w:pPr>
        <w:pStyle w:val="a6"/>
        <w:ind w:left="422" w:firstLine="0"/>
        <w:rPr>
          <w:rtl/>
          <w:lang w:bidi="ar-AE"/>
        </w:rPr>
      </w:pPr>
      <w:r>
        <w:rPr>
          <w:rFonts w:hint="cs"/>
          <w:rtl/>
          <w:lang w:bidi="ar-AE"/>
        </w:rPr>
        <w:t>أخرجه أبو داود بلفظه، كتاب البيوع، باب بيع الطعام قبل أن يستوفى، 3/282، ح3499؛ وأخرجه الطبراني في الكبير بنحوه، 5/113، ح4782؛ والد</w:t>
      </w:r>
      <w:r>
        <w:rPr>
          <w:rFonts w:hint="cs"/>
          <w:rtl/>
        </w:rPr>
        <w:t>ا</w:t>
      </w:r>
      <w:r>
        <w:rPr>
          <w:rFonts w:hint="cs"/>
          <w:rtl/>
          <w:lang w:bidi="ar-AE"/>
        </w:rPr>
        <w:t xml:space="preserve">رمي بنحوه، كتاب البيوع، 3/13؛ والحاكم بنحوه </w:t>
      </w:r>
      <w:r>
        <w:rPr>
          <w:rtl/>
          <w:lang w:bidi="ar-AE"/>
        </w:rPr>
        <w:t>–</w:t>
      </w:r>
      <w:r>
        <w:rPr>
          <w:rFonts w:hint="cs"/>
          <w:rtl/>
          <w:lang w:bidi="ar-AE"/>
        </w:rPr>
        <w:t xml:space="preserve"> كتاب البيوع، 2/46، وقال عقب أحد ألفاظ الحديث : </w:t>
      </w:r>
      <w:r>
        <w:rPr>
          <w:rFonts w:hint="eastAsia"/>
          <w:rtl/>
        </w:rPr>
        <w:t>«</w:t>
      </w:r>
      <w:r>
        <w:rPr>
          <w:rFonts w:hint="cs"/>
          <w:rtl/>
        </w:rPr>
        <w:t>هذا حديث صحيح على شرط مسلم، ولم يخرّجاه ...</w:t>
      </w:r>
      <w:r>
        <w:rPr>
          <w:rFonts w:hint="eastAsia"/>
          <w:rtl/>
        </w:rPr>
        <w:t>»</w:t>
      </w:r>
      <w:r>
        <w:rPr>
          <w:rFonts w:hint="cs"/>
          <w:rtl/>
        </w:rPr>
        <w:t>؛ والبيهقي بنحوه، كتاب البيوع، باب قبض ما ابتاعه جزافًا بالنقل والتحويل إذا كان مثله ينقل، 5/314.</w:t>
      </w:r>
    </w:p>
  </w:footnote>
  <w:footnote w:id="4416">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البيعة</w:t>
      </w:r>
      <w:r>
        <w:rPr>
          <w:rFonts w:hint="eastAsia"/>
          <w:rtl/>
        </w:rPr>
        <w:t>»</w:t>
      </w:r>
      <w:r>
        <w:rPr>
          <w:rFonts w:hint="cs"/>
          <w:rtl/>
        </w:rPr>
        <w:t xml:space="preserve"> : ساقطة من (ب) و(د).</w:t>
      </w:r>
    </w:p>
  </w:footnote>
  <w:footnote w:id="4417">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6/256.</w:t>
      </w:r>
    </w:p>
    <w:p w:rsidR="00035BE3" w:rsidRDefault="00035BE3" w:rsidP="00C10469">
      <w:pPr>
        <w:pStyle w:val="a6"/>
        <w:spacing w:line="420" w:lineRule="exact"/>
        <w:ind w:left="422" w:firstLine="0"/>
        <w:rPr>
          <w:rtl/>
        </w:rPr>
      </w:pPr>
      <w:r>
        <w:rPr>
          <w:rFonts w:hint="cs"/>
          <w:rtl/>
        </w:rPr>
        <w:t xml:space="preserve">وهذه العبارة تمثّل المعنى اللغوي والاصطلاحي للصفقة : </w:t>
      </w:r>
    </w:p>
    <w:p w:rsidR="00035BE3" w:rsidRDefault="00035BE3" w:rsidP="00C10469">
      <w:pPr>
        <w:pStyle w:val="a6"/>
        <w:spacing w:line="420" w:lineRule="exact"/>
        <w:ind w:left="422" w:firstLine="0"/>
        <w:rPr>
          <w:rtl/>
        </w:rPr>
      </w:pPr>
      <w:r>
        <w:rPr>
          <w:rFonts w:hint="cs"/>
          <w:rtl/>
        </w:rPr>
        <w:t xml:space="preserve">- فقد جاء في (المقاييس في اللغة)- مادة </w:t>
      </w:r>
      <w:r>
        <w:rPr>
          <w:rFonts w:hint="eastAsia"/>
          <w:rtl/>
        </w:rPr>
        <w:t>«</w:t>
      </w:r>
      <w:r>
        <w:rPr>
          <w:rFonts w:hint="cs"/>
          <w:rtl/>
        </w:rPr>
        <w:t>صفق</w:t>
      </w:r>
      <w:r>
        <w:rPr>
          <w:rFonts w:hint="eastAsia"/>
          <w:rtl/>
        </w:rPr>
        <w:t>»</w:t>
      </w:r>
      <w:r>
        <w:rPr>
          <w:rFonts w:hint="cs"/>
          <w:rtl/>
        </w:rPr>
        <w:t xml:space="preserve">، ص 568- : </w:t>
      </w:r>
      <w:r>
        <w:rPr>
          <w:rFonts w:hint="eastAsia"/>
          <w:rtl/>
        </w:rPr>
        <w:t>«</w:t>
      </w:r>
      <w:r>
        <w:rPr>
          <w:rFonts w:hint="cs"/>
          <w:rtl/>
        </w:rPr>
        <w:t>والصفقة : ضرب اليد على اليد في البيع والبيعة</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t xml:space="preserve">  </w:t>
      </w:r>
      <w:r>
        <w:rPr>
          <w:rFonts w:hint="cs"/>
          <w:rtl/>
        </w:rPr>
        <w:tab/>
      </w:r>
      <w:r>
        <w:rPr>
          <w:rFonts w:hint="cs"/>
          <w:rtl/>
        </w:rPr>
        <w:tab/>
      </w:r>
      <w:r>
        <w:rPr>
          <w:rFonts w:hint="cs"/>
          <w:rtl/>
        </w:rPr>
        <w:tab/>
        <w:t xml:space="preserve">           </w:t>
      </w:r>
    </w:p>
    <w:p w:rsidR="00035BE3" w:rsidRDefault="00035BE3" w:rsidP="00C10469">
      <w:pPr>
        <w:pStyle w:val="a6"/>
        <w:spacing w:line="480" w:lineRule="exact"/>
        <w:ind w:left="-32" w:firstLine="454"/>
      </w:pPr>
      <w:r>
        <w:rPr>
          <w:rFonts w:hint="cs"/>
          <w:rtl/>
        </w:rPr>
        <w:t xml:space="preserve">- وجاء في (التعريفات) - ص 175، فقرة 872- : </w:t>
      </w:r>
      <w:r>
        <w:rPr>
          <w:rFonts w:hint="eastAsia"/>
          <w:rtl/>
        </w:rPr>
        <w:t>«</w:t>
      </w:r>
      <w:r>
        <w:rPr>
          <w:rFonts w:hint="cs"/>
          <w:rtl/>
        </w:rPr>
        <w:t>وفي الشرع : عبارة عن العقد</w:t>
      </w:r>
      <w:r>
        <w:rPr>
          <w:rFonts w:hint="eastAsia"/>
          <w:rtl/>
        </w:rPr>
        <w:t>»</w:t>
      </w:r>
      <w:r>
        <w:rPr>
          <w:rFonts w:hint="cs"/>
          <w:rtl/>
        </w:rPr>
        <w:t>.</w:t>
      </w:r>
    </w:p>
    <w:p w:rsidR="00035BE3" w:rsidRDefault="00035BE3" w:rsidP="00C10469">
      <w:pPr>
        <w:pStyle w:val="a6"/>
        <w:spacing w:line="480" w:lineRule="exact"/>
        <w:ind w:left="422" w:firstLine="0"/>
        <w:rPr>
          <w:rtl/>
        </w:rPr>
      </w:pPr>
      <w:r>
        <w:rPr>
          <w:rFonts w:hint="cs"/>
          <w:rtl/>
        </w:rPr>
        <w:t xml:space="preserve">ومن التعريفات الاصطلاحية للصفقة : ما جاء في (مجلة الأحكام الشرعية) -ص 108،مادة 168- </w:t>
      </w:r>
      <w:r>
        <w:rPr>
          <w:rFonts w:hint="eastAsia"/>
          <w:rtl/>
        </w:rPr>
        <w:t>«</w:t>
      </w:r>
      <w:r>
        <w:rPr>
          <w:rFonts w:hint="cs"/>
          <w:rtl/>
        </w:rPr>
        <w:t>والصفقة : هي العقد الواحد بثمن واحد</w:t>
      </w:r>
      <w:r>
        <w:rPr>
          <w:rFonts w:hint="eastAsia"/>
          <w:rtl/>
        </w:rPr>
        <w:t>»</w:t>
      </w:r>
      <w:r>
        <w:rPr>
          <w:rFonts w:hint="cs"/>
          <w:rtl/>
        </w:rPr>
        <w:t>.</w:t>
      </w:r>
    </w:p>
    <w:p w:rsidR="00035BE3" w:rsidRPr="00382EDB" w:rsidRDefault="00035BE3" w:rsidP="00C10469">
      <w:pPr>
        <w:pStyle w:val="a6"/>
        <w:spacing w:line="480" w:lineRule="exact"/>
        <w:ind w:left="422" w:firstLine="0"/>
      </w:pPr>
      <w:r w:rsidRPr="00382EDB">
        <w:rPr>
          <w:rFonts w:hint="cs"/>
          <w:rtl/>
        </w:rPr>
        <w:t xml:space="preserve">- إذا عُلِم هذا فـَ </w:t>
      </w:r>
      <w:r w:rsidRPr="00382EDB">
        <w:rPr>
          <w:rFonts w:hint="eastAsia"/>
          <w:rtl/>
        </w:rPr>
        <w:t>«</w:t>
      </w:r>
      <w:r w:rsidRPr="00382EDB">
        <w:rPr>
          <w:rFonts w:hint="cs"/>
          <w:b/>
          <w:bCs/>
          <w:rtl/>
        </w:rPr>
        <w:t>معنى تفريق الصفقة</w:t>
      </w:r>
      <w:r w:rsidRPr="00382EDB">
        <w:rPr>
          <w:rFonts w:hint="cs"/>
          <w:rtl/>
        </w:rPr>
        <w:t xml:space="preserve">: أن لا يتناول حكم العقد جميع المعقود عليه، أو </w:t>
      </w:r>
      <w:r>
        <w:rPr>
          <w:rFonts w:hint="cs"/>
          <w:spacing w:val="8"/>
          <w:rtl/>
        </w:rPr>
        <w:t xml:space="preserve">يتناوله ثم </w:t>
      </w:r>
      <w:r w:rsidRPr="00382EDB">
        <w:rPr>
          <w:rFonts w:hint="cs"/>
          <w:rtl/>
        </w:rPr>
        <w:t>ينحسر عنـه</w:t>
      </w:r>
      <w:r w:rsidRPr="00382EDB">
        <w:rPr>
          <w:rFonts w:hint="eastAsia"/>
          <w:rtl/>
        </w:rPr>
        <w:t>»</w:t>
      </w:r>
      <w:r w:rsidRPr="00382EDB">
        <w:rPr>
          <w:rFonts w:hint="cs"/>
          <w:rtl/>
        </w:rPr>
        <w:t xml:space="preserve"> -قاله د. عبد الـستار أبو غدة في الخيار وأثره في العقود، ص 471-.</w:t>
      </w:r>
    </w:p>
    <w:p w:rsidR="00035BE3" w:rsidRDefault="00035BE3" w:rsidP="00C10469">
      <w:pPr>
        <w:pStyle w:val="a6"/>
        <w:spacing w:line="480" w:lineRule="exact"/>
        <w:ind w:left="422" w:firstLine="0"/>
        <w:rPr>
          <w:rtl/>
        </w:rPr>
      </w:pPr>
      <w:r>
        <w:rPr>
          <w:rFonts w:hint="cs"/>
          <w:rtl/>
        </w:rPr>
        <w:t>وللتوسع في ذلك انظر : قواعد الفقه للمجدّدي (الرسالة الرابعة : التعريفات الفقهية)، ص 351؛ معجم لغة الفقهاء للدكتور محمد قلعه جي، ص 245؛ أحكام العيب في الفقه الإسلامي للدكتور إسماعيل العيساوي، ص 429.</w:t>
      </w:r>
    </w:p>
  </w:footnote>
  <w:footnote w:id="4418">
    <w:p w:rsidR="00035BE3" w:rsidRPr="00D914D0" w:rsidRDefault="00035BE3" w:rsidP="00C10469">
      <w:pPr>
        <w:pStyle w:val="a8"/>
        <w:bidi/>
        <w:spacing w:line="420" w:lineRule="exact"/>
        <w:ind w:left="422" w:right="0"/>
        <w:rPr>
          <w:spacing w:val="-6"/>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D914D0">
        <w:rPr>
          <w:rFonts w:hint="eastAsia"/>
          <w:spacing w:val="-6"/>
          <w:rtl/>
        </w:rPr>
        <w:t>«</w:t>
      </w:r>
      <w:r w:rsidRPr="00D914D0">
        <w:rPr>
          <w:rFonts w:hint="cs"/>
          <w:spacing w:val="-6"/>
          <w:rtl/>
        </w:rPr>
        <w:t>بائع</w:t>
      </w:r>
      <w:r w:rsidRPr="00D914D0">
        <w:rPr>
          <w:rFonts w:hint="eastAsia"/>
          <w:spacing w:val="-6"/>
          <w:rtl/>
        </w:rPr>
        <w:t>»</w:t>
      </w:r>
      <w:r w:rsidRPr="00D914D0">
        <w:rPr>
          <w:rFonts w:hint="cs"/>
          <w:spacing w:val="-6"/>
          <w:rtl/>
        </w:rPr>
        <w:t>: زيادة من مصدر هذه العبارة (وهو العناية)، وهي زيادة لابدّ منها؛ لأنه لا يحصل عقد بيع بلا بائع.</w:t>
      </w:r>
    </w:p>
  </w:footnote>
  <w:footnote w:id="4419">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57/أ من (ب).</w:t>
      </w:r>
    </w:p>
  </w:footnote>
  <w:footnote w:id="4420">
    <w:p w:rsidR="00035BE3" w:rsidRDefault="00035BE3" w:rsidP="00C10469">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66/ب من (جـ).</w:t>
      </w:r>
    </w:p>
  </w:footnote>
  <w:footnote w:id="442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حرف الذال ساقط من (أ). والصحيح إثباته  كما في باقي النسخ.</w:t>
      </w:r>
    </w:p>
  </w:footnote>
  <w:footnote w:id="442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w:t>
      </w:r>
      <w:r>
        <w:rPr>
          <w:rFonts w:hint="eastAsia"/>
          <w:rtl/>
        </w:rPr>
        <w:t xml:space="preserve"> «</w:t>
      </w:r>
      <w:r>
        <w:rPr>
          <w:rFonts w:hint="cs"/>
          <w:rtl/>
        </w:rPr>
        <w:t>اتّحدت</w:t>
      </w:r>
      <w:r>
        <w:rPr>
          <w:rFonts w:hint="eastAsia"/>
          <w:rtl/>
        </w:rPr>
        <w:t>»</w:t>
      </w:r>
      <w:r>
        <w:rPr>
          <w:rFonts w:hint="cs"/>
          <w:rtl/>
        </w:rPr>
        <w:t>.وهذا الأفصح.</w:t>
      </w:r>
    </w:p>
  </w:footnote>
  <w:footnote w:id="442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الجميع</w:t>
      </w:r>
      <w:r>
        <w:rPr>
          <w:rFonts w:hint="eastAsia"/>
          <w:rtl/>
        </w:rPr>
        <w:t>»</w:t>
      </w:r>
      <w:r>
        <w:rPr>
          <w:rFonts w:hint="cs"/>
          <w:rtl/>
        </w:rPr>
        <w:t>.</w:t>
      </w:r>
    </w:p>
  </w:footnote>
  <w:footnote w:id="4424">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تثنية المبيع هنا علامة على تعدُّدِه وعدم اتحّاده.</w:t>
      </w:r>
    </w:p>
  </w:footnote>
  <w:footnote w:id="442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(د).</w:t>
      </w:r>
    </w:p>
  </w:footnote>
  <w:footnote w:id="4426">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بعتها</w:t>
      </w:r>
      <w:r>
        <w:rPr>
          <w:rFonts w:hint="eastAsia"/>
          <w:rtl/>
        </w:rPr>
        <w:t>»</w:t>
      </w:r>
      <w:r>
        <w:rPr>
          <w:rFonts w:hint="cs"/>
          <w:rtl/>
        </w:rPr>
        <w:t>.</w:t>
      </w:r>
    </w:p>
  </w:footnote>
  <w:footnote w:id="4427">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(نا) الفاعلين هنا علامة على تعدُّد البائع.</w:t>
      </w:r>
    </w:p>
  </w:footnote>
  <w:footnote w:id="4428">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إذا</w:t>
      </w:r>
      <w:r>
        <w:rPr>
          <w:rFonts w:hint="eastAsia"/>
          <w:rtl/>
        </w:rPr>
        <w:t>»</w:t>
      </w:r>
      <w:r>
        <w:rPr>
          <w:rFonts w:hint="cs"/>
          <w:rtl/>
        </w:rPr>
        <w:t xml:space="preserve"> : ساقطة من (د).</w:t>
      </w:r>
    </w:p>
  </w:footnote>
  <w:footnote w:id="442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54/ب من (د).</w:t>
      </w:r>
    </w:p>
  </w:footnote>
  <w:footnote w:id="443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تثنية المشتري هنا علامةٌ على تفرُّقِهِ وعدمِ اتِّحاده.</w:t>
      </w:r>
    </w:p>
  </w:footnote>
  <w:footnote w:id="443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فقال</w:t>
      </w:r>
      <w:r>
        <w:rPr>
          <w:rFonts w:hint="eastAsia"/>
          <w:rtl/>
        </w:rPr>
        <w:t>»</w:t>
      </w:r>
      <w:r>
        <w:rPr>
          <w:rFonts w:hint="cs"/>
          <w:rtl/>
        </w:rPr>
        <w:t>.</w:t>
      </w:r>
    </w:p>
  </w:footnote>
  <w:footnote w:id="443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يوجب ذلك الاتحاد.</w:t>
      </w:r>
    </w:p>
  </w:footnote>
  <w:footnote w:id="443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6/256 -مع اختلاف في بعض الألفاظ-.</w:t>
      </w:r>
    </w:p>
  </w:footnote>
  <w:footnote w:id="4434">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90/أ من (أ).</w:t>
      </w:r>
    </w:p>
  </w:footnote>
  <w:footnote w:id="4435">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العناية أيضًا) : </w:t>
      </w:r>
      <w:r>
        <w:rPr>
          <w:rFonts w:hint="eastAsia"/>
          <w:rtl/>
        </w:rPr>
        <w:t>«</w:t>
      </w:r>
      <w:r>
        <w:rPr>
          <w:rFonts w:hint="cs"/>
          <w:rtl/>
        </w:rPr>
        <w:t>المبيع !</w:t>
      </w:r>
      <w:r>
        <w:rPr>
          <w:rFonts w:hint="eastAsia"/>
          <w:rtl/>
        </w:rPr>
        <w:t>»</w:t>
      </w:r>
      <w:r>
        <w:rPr>
          <w:rFonts w:hint="cs"/>
          <w:rtl/>
        </w:rPr>
        <w:t>.</w:t>
      </w:r>
    </w:p>
  </w:footnote>
  <w:footnote w:id="4436">
    <w:p w:rsidR="00035BE3" w:rsidRDefault="00035BE3" w:rsidP="00C10469">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معنى</w:t>
      </w:r>
      <w:r>
        <w:rPr>
          <w:rFonts w:hint="eastAsia"/>
          <w:rtl/>
        </w:rPr>
        <w:t>»</w:t>
      </w:r>
      <w:r>
        <w:rPr>
          <w:rFonts w:hint="cs"/>
          <w:rtl/>
        </w:rPr>
        <w:t>.</w:t>
      </w:r>
    </w:p>
  </w:footnote>
  <w:footnote w:id="4437">
    <w:p w:rsidR="00035BE3" w:rsidRDefault="00035BE3" w:rsidP="00C10469">
      <w:pPr>
        <w:pStyle w:val="a8"/>
        <w:bidi/>
        <w:spacing w:line="44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مصدر هذه العبارة (وهو العناية): زيادةُ </w:t>
      </w:r>
      <w:r>
        <w:rPr>
          <w:rFonts w:hint="eastAsia"/>
          <w:spacing w:val="-8"/>
          <w:rtl/>
        </w:rPr>
        <w:t>«</w:t>
      </w:r>
      <w:r>
        <w:rPr>
          <w:rFonts w:hint="cs"/>
          <w:spacing w:val="-8"/>
          <w:rtl/>
        </w:rPr>
        <w:t>قياسًا لا</w:t>
      </w:r>
      <w:r>
        <w:rPr>
          <w:rFonts w:hint="eastAsia"/>
          <w:spacing w:val="-8"/>
          <w:rtl/>
        </w:rPr>
        <w:t>»</w:t>
      </w:r>
      <w:r>
        <w:rPr>
          <w:rFonts w:hint="cs"/>
          <w:spacing w:val="-8"/>
          <w:rtl/>
        </w:rPr>
        <w:t xml:space="preserve">، وتمام الجملة : </w:t>
      </w:r>
      <w:r>
        <w:rPr>
          <w:rFonts w:hint="eastAsia"/>
          <w:spacing w:val="-8"/>
          <w:rtl/>
        </w:rPr>
        <w:t>«</w:t>
      </w:r>
      <w:r>
        <w:rPr>
          <w:rFonts w:hint="cs"/>
          <w:spacing w:val="-8"/>
          <w:rtl/>
        </w:rPr>
        <w:t xml:space="preserve">فيوجب التفرق </w:t>
      </w:r>
      <w:r>
        <w:rPr>
          <w:rFonts w:hint="cs"/>
          <w:b/>
          <w:bCs/>
          <w:spacing w:val="-8"/>
          <w:rtl/>
        </w:rPr>
        <w:t>قياسًا</w:t>
      </w:r>
      <w:r>
        <w:rPr>
          <w:rFonts w:hint="cs"/>
          <w:spacing w:val="-8"/>
          <w:rtl/>
        </w:rPr>
        <w:t xml:space="preserve">، </w:t>
      </w:r>
      <w:r>
        <w:rPr>
          <w:rFonts w:hint="cs"/>
          <w:b/>
          <w:bCs/>
          <w:spacing w:val="-8"/>
          <w:rtl/>
        </w:rPr>
        <w:t>لا</w:t>
      </w:r>
      <w:r>
        <w:rPr>
          <w:rFonts w:hint="cs"/>
          <w:spacing w:val="-8"/>
          <w:rtl/>
        </w:rPr>
        <w:t xml:space="preserve"> استحسانًا</w:t>
      </w:r>
      <w:r>
        <w:rPr>
          <w:rFonts w:hint="eastAsia"/>
          <w:spacing w:val="-8"/>
          <w:rtl/>
        </w:rPr>
        <w:t>»</w:t>
      </w:r>
      <w:r>
        <w:rPr>
          <w:rFonts w:hint="cs"/>
          <w:spacing w:val="-8"/>
          <w:rtl/>
        </w:rPr>
        <w:t>.</w:t>
      </w:r>
    </w:p>
    <w:p w:rsidR="00035BE3" w:rsidRDefault="00035BE3" w:rsidP="00C10469">
      <w:pPr>
        <w:pStyle w:val="a6"/>
        <w:spacing w:line="440" w:lineRule="exact"/>
        <w:ind w:left="422" w:firstLine="0"/>
        <w:rPr>
          <w:spacing w:val="2"/>
          <w:rtl/>
        </w:rPr>
      </w:pPr>
      <w:r>
        <w:rPr>
          <w:rFonts w:hint="cs"/>
          <w:spacing w:val="2"/>
          <w:rtl/>
        </w:rPr>
        <w:t xml:space="preserve">والذي يظهر أن هذا الأولى؛ وممّا يرجحه : ما جاء في (البحر الرائق)، 5/289، وكذلك في (ردّ المحتار)، 7/45: </w:t>
      </w:r>
      <w:r>
        <w:rPr>
          <w:rFonts w:hint="eastAsia"/>
          <w:spacing w:val="2"/>
          <w:rtl/>
        </w:rPr>
        <w:t>«</w:t>
      </w:r>
      <w:r>
        <w:rPr>
          <w:rFonts w:hint="cs"/>
          <w:spacing w:val="2"/>
          <w:rtl/>
        </w:rPr>
        <w:t>وقيل : إن اشتراط تكراره لفظ البيع للتعدّد استحسان، وهو قول الإمام. وعدمه: قياس. وهو قولهما</w:t>
      </w:r>
      <w:r>
        <w:rPr>
          <w:rFonts w:hint="eastAsia"/>
          <w:spacing w:val="2"/>
          <w:rtl/>
        </w:rPr>
        <w:t>»</w:t>
      </w:r>
      <w:r>
        <w:rPr>
          <w:rFonts w:hint="cs"/>
          <w:spacing w:val="2"/>
          <w:rtl/>
        </w:rPr>
        <w:t>.</w:t>
      </w:r>
      <w:r>
        <w:rPr>
          <w:rFonts w:hint="cs"/>
          <w:spacing w:val="2"/>
          <w:rtl/>
        </w:rPr>
        <w:tab/>
      </w:r>
      <w:r>
        <w:rPr>
          <w:rFonts w:hint="cs"/>
          <w:spacing w:val="2"/>
          <w:rtl/>
        </w:rPr>
        <w:tab/>
      </w:r>
      <w:r>
        <w:rPr>
          <w:rFonts w:hint="cs"/>
          <w:spacing w:val="2"/>
          <w:rtl/>
        </w:rPr>
        <w:tab/>
      </w:r>
      <w:r>
        <w:rPr>
          <w:rFonts w:hint="cs"/>
          <w:spacing w:val="2"/>
          <w:rtl/>
        </w:rPr>
        <w:tab/>
      </w:r>
      <w:r>
        <w:rPr>
          <w:rFonts w:hint="cs"/>
          <w:spacing w:val="2"/>
          <w:rtl/>
        </w:rPr>
        <w:tab/>
      </w:r>
      <w:r>
        <w:rPr>
          <w:rFonts w:hint="cs"/>
          <w:spacing w:val="2"/>
          <w:rtl/>
        </w:rPr>
        <w:tab/>
      </w:r>
      <w:r>
        <w:rPr>
          <w:rFonts w:hint="cs"/>
          <w:spacing w:val="2"/>
          <w:rtl/>
        </w:rPr>
        <w:tab/>
      </w:r>
      <w:r>
        <w:rPr>
          <w:rFonts w:hint="cs"/>
          <w:spacing w:val="2"/>
          <w:rtl/>
        </w:rPr>
        <w:tab/>
        <w:t xml:space="preserve"> </w:t>
      </w:r>
    </w:p>
    <w:p w:rsidR="00035BE3" w:rsidRDefault="00035BE3" w:rsidP="00C10469">
      <w:pPr>
        <w:pStyle w:val="a6"/>
        <w:ind w:left="422" w:firstLine="0"/>
        <w:rPr>
          <w:rtl/>
        </w:rPr>
      </w:pPr>
      <w:r>
        <w:rPr>
          <w:rFonts w:hint="cs"/>
          <w:rtl/>
        </w:rPr>
        <w:t>ووجهه : أن المؤلف بيّن فيما بعد أن هذا القول - وهو عدم اشتراط تكرار لفظ البيع لحصول التفريق - بيَّن أنَّه قول الصاحبين.</w:t>
      </w:r>
    </w:p>
    <w:p w:rsidR="00035BE3" w:rsidRDefault="00035BE3" w:rsidP="00C10469">
      <w:pPr>
        <w:pStyle w:val="a6"/>
        <w:ind w:left="422" w:firstLine="0"/>
        <w:rPr>
          <w:spacing w:val="-6"/>
          <w:rtl/>
        </w:rPr>
      </w:pPr>
      <w:r>
        <w:rPr>
          <w:rFonts w:hint="cs"/>
          <w:spacing w:val="-6"/>
          <w:rtl/>
        </w:rPr>
        <w:t>وقد جاء في (البحر) و(ردّ المحتار) أن هذا القول هو القياس. كما ورد فيهما أن عكسه هو الاستحسان.</w:t>
      </w:r>
    </w:p>
    <w:p w:rsidR="00035BE3" w:rsidRDefault="00035BE3" w:rsidP="00C10469">
      <w:pPr>
        <w:pStyle w:val="a6"/>
        <w:ind w:left="422" w:firstLine="0"/>
        <w:rPr>
          <w:spacing w:val="8"/>
          <w:rtl/>
        </w:rPr>
      </w:pPr>
      <w:r>
        <w:rPr>
          <w:rFonts w:hint="cs"/>
          <w:spacing w:val="8"/>
          <w:rtl/>
        </w:rPr>
        <w:t xml:space="preserve">ولا يستقيم هذا المعنى إلا بالزِّيادة المذكورة في (العناية) : </w:t>
      </w:r>
      <w:r>
        <w:rPr>
          <w:rFonts w:hint="eastAsia"/>
          <w:spacing w:val="8"/>
          <w:rtl/>
        </w:rPr>
        <w:t>«</w:t>
      </w:r>
      <w:r>
        <w:rPr>
          <w:rFonts w:hint="cs"/>
          <w:spacing w:val="8"/>
          <w:rtl/>
        </w:rPr>
        <w:t xml:space="preserve">فيوجب التفرق </w:t>
      </w:r>
      <w:r>
        <w:rPr>
          <w:rFonts w:hint="cs"/>
          <w:b/>
          <w:bCs/>
          <w:spacing w:val="8"/>
          <w:rtl/>
        </w:rPr>
        <w:t>قياسًا، لا</w:t>
      </w:r>
      <w:r>
        <w:rPr>
          <w:rFonts w:hint="cs"/>
          <w:spacing w:val="8"/>
          <w:rtl/>
        </w:rPr>
        <w:t xml:space="preserve"> استحسانًا</w:t>
      </w:r>
      <w:r>
        <w:rPr>
          <w:rFonts w:hint="eastAsia"/>
          <w:spacing w:val="8"/>
          <w:rtl/>
        </w:rPr>
        <w:t>»</w:t>
      </w:r>
      <w:r>
        <w:rPr>
          <w:rFonts w:hint="cs"/>
          <w:spacing w:val="8"/>
          <w:rtl/>
        </w:rPr>
        <w:t>.</w:t>
      </w:r>
    </w:p>
  </w:footnote>
  <w:footnote w:id="44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أسفل هذه الكلمة من نسخة (أ) : </w:t>
      </w:r>
      <w:r>
        <w:rPr>
          <w:rFonts w:hint="eastAsia"/>
          <w:rtl/>
        </w:rPr>
        <w:t>«</w:t>
      </w:r>
      <w:r>
        <w:rPr>
          <w:rFonts w:hint="cs"/>
          <w:rtl/>
        </w:rPr>
        <w:t>إمامين</w:t>
      </w:r>
      <w:r>
        <w:rPr>
          <w:rFonts w:hint="eastAsia"/>
          <w:rtl/>
        </w:rPr>
        <w:t>»</w:t>
      </w:r>
      <w:r>
        <w:rPr>
          <w:rFonts w:hint="cs"/>
          <w:rtl/>
        </w:rPr>
        <w:t>.</w:t>
      </w:r>
    </w:p>
  </w:footnote>
  <w:footnote w:id="4439">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العناية، 6/256- مع اختلاف سبق بيان أهمه-؛ وانظر : فتح القدير، 6/257؛ الدّرر شرح الغرر، 2/143؛ البحر الرائق، 5/289؛ رد المحتار، 7/45.</w:t>
      </w:r>
    </w:p>
  </w:footnote>
  <w:footnote w:id="4440">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أحدها</w:t>
      </w:r>
      <w:r>
        <w:rPr>
          <w:rFonts w:hint="eastAsia"/>
          <w:rtl/>
        </w:rPr>
        <w:t>»</w:t>
      </w:r>
      <w:r>
        <w:rPr>
          <w:rFonts w:hint="cs"/>
          <w:rtl/>
        </w:rPr>
        <w:t>.</w:t>
      </w:r>
    </w:p>
  </w:footnote>
  <w:footnote w:id="444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كان</w:t>
      </w:r>
      <w:r>
        <w:rPr>
          <w:rFonts w:hint="eastAsia"/>
          <w:rtl/>
        </w:rPr>
        <w:t>»</w:t>
      </w:r>
      <w:r>
        <w:rPr>
          <w:rFonts w:hint="cs"/>
          <w:rtl/>
        </w:rPr>
        <w:t>. والأفصح ما تمَّ إثباته من (ب)، وهو الموافق للعناية.</w:t>
      </w:r>
    </w:p>
  </w:footnote>
  <w:footnote w:id="444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بداية شرح القاعدة 212، ص1005 (ل90/أ).</w:t>
      </w:r>
    </w:p>
  </w:footnote>
  <w:footnote w:id="444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العناية، 6/255 - مع اختلاف يسير- وانظر : الهداية وفتح القدير، 6/255-256.</w:t>
      </w:r>
    </w:p>
  </w:footnote>
  <w:footnote w:id="444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التفريد</w:t>
      </w:r>
      <w:r>
        <w:rPr>
          <w:rFonts w:hint="eastAsia"/>
          <w:rtl/>
        </w:rPr>
        <w:t>»</w:t>
      </w:r>
      <w:r>
        <w:rPr>
          <w:rFonts w:hint="cs"/>
          <w:rtl/>
        </w:rPr>
        <w:t>.</w:t>
      </w:r>
    </w:p>
  </w:footnote>
  <w:footnote w:id="444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في (أ) ما يدل على أن المراد : ترويجًا للرديء بالجيد.</w:t>
      </w:r>
    </w:p>
  </w:footnote>
  <w:footnote w:id="4446">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هذا التعليل - المصدَّر بقوله : </w:t>
      </w:r>
      <w:r>
        <w:rPr>
          <w:rFonts w:hint="eastAsia"/>
          <w:rtl/>
        </w:rPr>
        <w:t>«</w:t>
      </w:r>
      <w:r>
        <w:rPr>
          <w:rFonts w:hint="cs"/>
          <w:rtl/>
        </w:rPr>
        <w:t>لما فيه ...</w:t>
      </w:r>
      <w:r>
        <w:rPr>
          <w:rFonts w:hint="eastAsia"/>
          <w:rtl/>
        </w:rPr>
        <w:t>»</w:t>
      </w:r>
      <w:r>
        <w:rPr>
          <w:rFonts w:hint="cs"/>
          <w:rtl/>
        </w:rPr>
        <w:t>- في : العناية وفتح القدير، 6/255-256؛ الدّرر شرح الغرر، 2/143؛ وانظره أيضًا في: بدائع الصنائع، 5/287.</w:t>
      </w:r>
    </w:p>
  </w:footnote>
  <w:footnote w:id="4447">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67/أ من (جـ)، مع تكرار كلمة : </w:t>
      </w:r>
      <w:r>
        <w:rPr>
          <w:rFonts w:hint="eastAsia"/>
          <w:rtl/>
        </w:rPr>
        <w:t>«</w:t>
      </w:r>
      <w:r>
        <w:rPr>
          <w:rFonts w:hint="cs"/>
          <w:rtl/>
        </w:rPr>
        <w:t>كذا</w:t>
      </w:r>
      <w:r>
        <w:rPr>
          <w:rFonts w:hint="eastAsia"/>
          <w:rtl/>
        </w:rPr>
        <w:t>»</w:t>
      </w:r>
      <w:r>
        <w:rPr>
          <w:rFonts w:hint="cs"/>
          <w:rtl/>
        </w:rPr>
        <w:t xml:space="preserve"> في بداية 67/ب.</w:t>
      </w:r>
    </w:p>
  </w:footnote>
  <w:footnote w:id="4448">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نهاية 57/ب من (ب).</w:t>
      </w:r>
    </w:p>
  </w:footnote>
  <w:footnote w:id="4449">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لو قيل : (واحدة) لكان أولى؛ لأنه يصف لفظًا مؤنثًا (وهو عين)، ولا سيما أنه أعاد الضمير إليه مؤنثًا، وذلك في قوله : </w:t>
      </w:r>
      <w:r>
        <w:rPr>
          <w:rFonts w:hint="eastAsia"/>
          <w:rtl/>
        </w:rPr>
        <w:t>«</w:t>
      </w:r>
      <w:r>
        <w:rPr>
          <w:rFonts w:hint="cs"/>
          <w:rtl/>
        </w:rPr>
        <w:t>نصفها</w:t>
      </w:r>
      <w:r>
        <w:rPr>
          <w:rFonts w:hint="eastAsia"/>
          <w:rtl/>
        </w:rPr>
        <w:t>»</w:t>
      </w:r>
      <w:r>
        <w:rPr>
          <w:rFonts w:hint="cs"/>
          <w:rtl/>
        </w:rPr>
        <w:t>.</w:t>
      </w:r>
    </w:p>
  </w:footnote>
  <w:footnote w:id="4450">
    <w:p w:rsidR="00035BE3" w:rsidRDefault="00035BE3" w:rsidP="00C10469">
      <w:pPr>
        <w:pStyle w:val="a8"/>
        <w:bidi/>
        <w:spacing w:line="440" w:lineRule="exact"/>
        <w:ind w:left="422" w:right="0"/>
        <w:rPr>
          <w:rtl/>
        </w:rPr>
      </w:pPr>
      <w:r>
        <w:rPr>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ليتضرّر</w:t>
      </w:r>
      <w:r>
        <w:rPr>
          <w:rFonts w:hint="eastAsia"/>
          <w:rtl/>
        </w:rPr>
        <w:t>»</w:t>
      </w:r>
      <w:r>
        <w:rPr>
          <w:rFonts w:hint="cs"/>
          <w:rtl/>
        </w:rPr>
        <w:t>. والأسلوب (بزيادة الياء) ركيك ! لهذا ثم إثبات ما في (ب).</w:t>
      </w:r>
    </w:p>
    <w:p w:rsidR="00035BE3" w:rsidRDefault="00035BE3" w:rsidP="00C10469">
      <w:pPr>
        <w:pStyle w:val="a6"/>
        <w:spacing w:line="440" w:lineRule="exact"/>
        <w:ind w:left="422" w:firstLine="0"/>
        <w:rPr>
          <w:rtl/>
        </w:rPr>
      </w:pPr>
      <w:r>
        <w:rPr>
          <w:rFonts w:hint="cs"/>
          <w:rtl/>
        </w:rPr>
        <w:t>وهذه الكلمة نهاية 90/ب من (أ).</w:t>
      </w:r>
    </w:p>
  </w:footnote>
  <w:footnote w:id="4451">
    <w:p w:rsidR="00035BE3" w:rsidRDefault="00035BE3" w:rsidP="00C10469">
      <w:pPr>
        <w:pStyle w:val="a8"/>
        <w:bidi/>
        <w:ind w:left="422" w:right="0"/>
        <w:rPr>
          <w:spacing w:val="-8"/>
          <w:rtl/>
        </w:rPr>
      </w:pPr>
      <w:r>
        <w:rPr>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sidRPr="00B85B3E">
        <w:rPr>
          <w:rFonts w:hint="cs"/>
          <w:rtl/>
        </w:rPr>
        <w:t xml:space="preserve"> </w:t>
      </w:r>
      <w:r>
        <w:rPr>
          <w:rFonts w:hint="cs"/>
          <w:rtl/>
        </w:rPr>
        <w:t xml:space="preserve"> </w:t>
      </w:r>
      <w:r w:rsidRPr="00B85B3E">
        <w:rPr>
          <w:rFonts w:hint="cs"/>
          <w:rtl/>
        </w:rPr>
        <w:t>أي: أنَّ المشتري سيكون له نصف العين، والبائع له النصف الآخر، فيكونان شريكين، وفي هذا ضرر على البائع.</w:t>
      </w:r>
    </w:p>
  </w:footnote>
  <w:footnote w:id="445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انظر : بدائع الصنائع، 5/287؛ العناية، 6/255؛ الدُّرر شرح الغرر، 1/143.</w:t>
      </w:r>
    </w:p>
  </w:footnote>
  <w:footnote w:id="445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لمشتري</w:t>
      </w:r>
      <w:r>
        <w:rPr>
          <w:rFonts w:hint="eastAsia"/>
          <w:rtl/>
        </w:rPr>
        <w:t>»</w:t>
      </w:r>
      <w:r>
        <w:rPr>
          <w:rFonts w:hint="cs"/>
          <w:rtl/>
        </w:rPr>
        <w:t xml:space="preserve"> (بإسقاط الألف).</w:t>
      </w:r>
    </w:p>
  </w:footnote>
  <w:footnote w:id="4454">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إلا</w:t>
      </w:r>
      <w:r>
        <w:rPr>
          <w:rFonts w:hint="eastAsia"/>
          <w:rtl/>
        </w:rPr>
        <w:t>»</w:t>
      </w:r>
      <w:r>
        <w:rPr>
          <w:rFonts w:hint="cs"/>
          <w:rtl/>
        </w:rPr>
        <w:t>.</w:t>
      </w:r>
    </w:p>
  </w:footnote>
  <w:footnote w:id="44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rtl/>
        </w:rPr>
        <w:t>«</w:t>
      </w:r>
      <w:r>
        <w:rPr>
          <w:rFonts w:hint="cs"/>
          <w:rtl/>
        </w:rPr>
        <w:t>تستعمل</w:t>
      </w:r>
      <w:r>
        <w:rPr>
          <w:rFonts w:hint="eastAsia"/>
          <w:rtl/>
        </w:rPr>
        <w:t>»</w:t>
      </w:r>
      <w:r>
        <w:rPr>
          <w:rFonts w:hint="cs"/>
          <w:rtl/>
        </w:rPr>
        <w:t>. والصحيح ما تمَّ إثباته من (هـ) و(و).</w:t>
      </w:r>
    </w:p>
  </w:footnote>
  <w:footnote w:id="44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55/أ من (د).</w:t>
      </w:r>
    </w:p>
  </w:footnote>
  <w:footnote w:id="44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الأصولية التي حصل فيها خلاف بين الإمام أبي حنيفة وصاحبيه. وهذا الخلاف انطلق منه كثير من الأصوليين عند حديثهم عن هذه القاعدة، كما أن طائفة منهم قدّموا لها بمقدِّمات وتقسيمات تعين في تصويرها وتحرير محل النزاع فيها، ومن المقدمات  التي أحسبها وافية في تحرير محل النزاع وتصوير المسألة : مقدمة صاحب (البحر المحيط)- 2/227-، حيث قال ماحاصله :</w:t>
      </w:r>
    </w:p>
    <w:p w:rsidR="00035BE3" w:rsidRDefault="00035BE3" w:rsidP="00C10469">
      <w:pPr>
        <w:pStyle w:val="a6"/>
        <w:ind w:left="422" w:firstLine="0"/>
        <w:rPr>
          <w:rtl/>
        </w:rPr>
      </w:pPr>
      <w:r>
        <w:rPr>
          <w:rFonts w:hint="eastAsia"/>
          <w:rtl/>
        </w:rPr>
        <w:t>«</w:t>
      </w:r>
      <w:r>
        <w:rPr>
          <w:rFonts w:hint="cs"/>
        </w:rPr>
        <w:t xml:space="preserve"> </w:t>
      </w:r>
      <w:r>
        <w:rPr>
          <w:rtl/>
        </w:rPr>
        <w:t>•</w:t>
      </w:r>
      <w:r>
        <w:rPr>
          <w:rFonts w:hint="cs"/>
          <w:rtl/>
        </w:rPr>
        <w:t xml:space="preserve"> إذا كانت الحقيقة مستعملة والمجاز غير مستعمل، أو كانا مستعملين والحقيقة أغلب استعمالاً : فالعبرة بالحقيقة بالاتفاق ...</w:t>
      </w:r>
    </w:p>
    <w:p w:rsidR="00035BE3" w:rsidRDefault="00035BE3" w:rsidP="00C10469">
      <w:pPr>
        <w:pStyle w:val="a6"/>
        <w:ind w:left="422" w:firstLine="0"/>
        <w:rPr>
          <w:rtl/>
        </w:rPr>
      </w:pPr>
      <w:r>
        <w:rPr>
          <w:rtl/>
        </w:rPr>
        <w:t>•</w:t>
      </w:r>
      <w:r>
        <w:rPr>
          <w:rFonts w:hint="cs"/>
          <w:rtl/>
        </w:rPr>
        <w:t xml:space="preserve"> وإن كانا في الاستعمالين سواء : فالعبرة بالحقيقة أيضًا. ومنهم من نقل فيه الاتفاق، وليس كذلك؛ بل حكى الخلاف فيه جماعة ...</w:t>
      </w:r>
    </w:p>
    <w:p w:rsidR="00035BE3" w:rsidRDefault="00035BE3" w:rsidP="00C10469">
      <w:pPr>
        <w:pStyle w:val="a6"/>
        <w:ind w:left="422" w:firstLine="0"/>
        <w:rPr>
          <w:rtl/>
        </w:rPr>
      </w:pPr>
      <w:r>
        <w:rPr>
          <w:rtl/>
        </w:rPr>
        <w:t>•</w:t>
      </w:r>
      <w:r>
        <w:rPr>
          <w:rFonts w:hint="cs"/>
          <w:rtl/>
        </w:rPr>
        <w:t xml:space="preserve"> وإن هُجرت الحقيقة بالكلية، بحيث لا تراد في العرف : فالعبرة بالمجاز بالاتفاق...</w:t>
      </w:r>
    </w:p>
    <w:p w:rsidR="00035BE3" w:rsidRDefault="00035BE3" w:rsidP="00C10469">
      <w:pPr>
        <w:pStyle w:val="a6"/>
        <w:ind w:left="422" w:firstLine="0"/>
        <w:rPr>
          <w:rtl/>
        </w:rPr>
      </w:pPr>
      <w:r>
        <w:rPr>
          <w:rtl/>
        </w:rPr>
        <w:t>•</w:t>
      </w:r>
      <w:r>
        <w:rPr>
          <w:rFonts w:hint="cs"/>
          <w:rtl/>
        </w:rPr>
        <w:t xml:space="preserve"> وأما إذا غلب المجاز في الاستعمال، والحقيقة تتعاهد في بعض الأوقات : </w:t>
      </w:r>
    </w:p>
    <w:p w:rsidR="00035BE3" w:rsidRDefault="00035BE3" w:rsidP="00C10469">
      <w:pPr>
        <w:pStyle w:val="a6"/>
        <w:ind w:left="422" w:firstLine="0"/>
        <w:rPr>
          <w:rtl/>
        </w:rPr>
      </w:pPr>
      <w:r>
        <w:rPr>
          <w:rFonts w:hint="cs"/>
          <w:rtl/>
        </w:rPr>
        <w:t>- فقال أبو حنيفة : الحقيقة أولى...</w:t>
      </w:r>
    </w:p>
    <w:p w:rsidR="00035BE3" w:rsidRDefault="00035BE3" w:rsidP="00C10469">
      <w:pPr>
        <w:pStyle w:val="a6"/>
        <w:ind w:left="422" w:firstLine="0"/>
        <w:rPr>
          <w:rtl/>
        </w:rPr>
      </w:pPr>
      <w:r>
        <w:rPr>
          <w:rFonts w:hint="cs"/>
          <w:rtl/>
        </w:rPr>
        <w:t>- وقال صاحباه : المجاز أولى...</w:t>
      </w:r>
    </w:p>
    <w:p w:rsidR="00035BE3" w:rsidRDefault="00035BE3" w:rsidP="00C10469">
      <w:pPr>
        <w:pStyle w:val="a6"/>
        <w:ind w:left="422" w:firstLine="0"/>
        <w:rPr>
          <w:rtl/>
        </w:rPr>
      </w:pPr>
      <w:r>
        <w:rPr>
          <w:rFonts w:hint="cs"/>
          <w:rtl/>
        </w:rPr>
        <w:t>قال القرافي في (شرح التنقيح) : وهو الحق...</w:t>
      </w:r>
    </w:p>
    <w:p w:rsidR="00035BE3" w:rsidRDefault="00035BE3" w:rsidP="00C10469">
      <w:pPr>
        <w:pStyle w:val="a6"/>
        <w:ind w:left="422" w:firstLine="0"/>
        <w:rPr>
          <w:rtl/>
        </w:rPr>
      </w:pPr>
      <w:r>
        <w:rPr>
          <w:rFonts w:hint="cs"/>
          <w:rtl/>
        </w:rPr>
        <w:t>- واختار الإمام [الفخر الرازي] في (المعالم)، والبيضاوي في (المنهاج) استواءهما...</w:t>
      </w:r>
    </w:p>
    <w:p w:rsidR="00035BE3" w:rsidRDefault="00035BE3" w:rsidP="00C10469">
      <w:pPr>
        <w:pStyle w:val="a6"/>
        <w:ind w:left="422" w:firstLine="0"/>
        <w:rPr>
          <w:rtl/>
        </w:rPr>
      </w:pPr>
      <w:r>
        <w:rPr>
          <w:rFonts w:hint="cs"/>
          <w:rtl/>
        </w:rPr>
        <w:t>وقال الصفي الهندي وعُزِيَ ذلك إلى الشافعي...</w:t>
      </w:r>
    </w:p>
    <w:p w:rsidR="00035BE3" w:rsidRDefault="00035BE3" w:rsidP="00C10469">
      <w:pPr>
        <w:pStyle w:val="a6"/>
        <w:ind w:left="422" w:firstLine="0"/>
        <w:rPr>
          <w:spacing w:val="8"/>
          <w:rtl/>
        </w:rPr>
      </w:pPr>
      <w:r>
        <w:rPr>
          <w:rFonts w:hint="cs"/>
          <w:b/>
          <w:bCs/>
          <w:spacing w:val="8"/>
          <w:rtl/>
        </w:rPr>
        <w:t>قالوا</w:t>
      </w:r>
      <w:r>
        <w:rPr>
          <w:rFonts w:hint="cs"/>
          <w:spacing w:val="8"/>
          <w:rtl/>
        </w:rPr>
        <w:t xml:space="preserve"> : والخلاف في هذه المسألة يرجع إلى... أن المجاز هل هو خلف عن الحقيقة في حق المتكلم أو في الحكم؟</w:t>
      </w:r>
    </w:p>
    <w:p w:rsidR="00035BE3" w:rsidRDefault="00035BE3" w:rsidP="00C10469">
      <w:pPr>
        <w:pStyle w:val="a6"/>
        <w:ind w:left="422" w:firstLine="0"/>
        <w:rPr>
          <w:rtl/>
        </w:rPr>
      </w:pPr>
      <w:r>
        <w:rPr>
          <w:rFonts w:hint="cs"/>
          <w:rtl/>
        </w:rPr>
        <w:t>فإن كان المجاز خلفًا في حق المتكلم : لا تثبت المزاحمة بين الأصل والخلف، فيُجعل اللفظ عاملاً في حقيقته عند الإمكان.</w:t>
      </w:r>
    </w:p>
    <w:p w:rsidR="00035BE3" w:rsidRDefault="00035BE3" w:rsidP="00C10469">
      <w:pPr>
        <w:pStyle w:val="a6"/>
        <w:ind w:left="422" w:firstLine="0"/>
        <w:rPr>
          <w:rtl/>
        </w:rPr>
      </w:pPr>
      <w:r>
        <w:rPr>
          <w:rFonts w:hint="cs"/>
          <w:b/>
          <w:bCs/>
          <w:rtl/>
        </w:rPr>
        <w:t>هذا تحرير التصوير في هذه المسألة والنقل...، فاعتمده واطرح ماعداه</w:t>
      </w:r>
      <w:r>
        <w:rPr>
          <w:rFonts w:hint="eastAsia"/>
          <w:rtl/>
        </w:rPr>
        <w:t>»</w:t>
      </w:r>
      <w:r>
        <w:rPr>
          <w:rFonts w:hint="cs"/>
          <w:rtl/>
        </w:rPr>
        <w:t>.</w:t>
      </w:r>
      <w:r>
        <w:rPr>
          <w:rFonts w:hint="cs"/>
          <w:rtl/>
        </w:rPr>
        <w:tab/>
        <w:t xml:space="preserve">   </w:t>
      </w:r>
      <w:r>
        <w:rPr>
          <w:rFonts w:hint="cs"/>
          <w:rtl/>
        </w:rPr>
        <w:tab/>
        <w:t xml:space="preserve">           </w:t>
      </w:r>
    </w:p>
    <w:p w:rsidR="00035BE3" w:rsidRDefault="00035BE3" w:rsidP="00C10469">
      <w:pPr>
        <w:pStyle w:val="a6"/>
        <w:ind w:left="422" w:firstLine="0"/>
        <w:rPr>
          <w:rtl/>
        </w:rPr>
      </w:pPr>
      <w:r>
        <w:rPr>
          <w:rFonts w:hint="cs"/>
          <w:b/>
          <w:bCs/>
          <w:rtl/>
        </w:rPr>
        <w:t xml:space="preserve">ومن الكتب الأخرى التي قدّمت للقاعدة </w:t>
      </w:r>
      <w:r>
        <w:rPr>
          <w:rFonts w:hint="cs"/>
          <w:rtl/>
        </w:rPr>
        <w:t>:</w:t>
      </w:r>
    </w:p>
    <w:p w:rsidR="00035BE3" w:rsidRDefault="00035BE3" w:rsidP="00C10469">
      <w:pPr>
        <w:pStyle w:val="a6"/>
        <w:ind w:left="422" w:firstLine="0"/>
        <w:rPr>
          <w:rtl/>
        </w:rPr>
      </w:pPr>
      <w:r>
        <w:rPr>
          <w:rFonts w:hint="cs"/>
          <w:rtl/>
        </w:rPr>
        <w:t>أصول الشاشي، ص49؛ شرح تنقيح الفصول، ص119؛ التمهيد للإسنوي، ص200؛ شرح المغني للقاءاني، ق1، جـ2، ص605 ؛ القواعد لابن اللحام، ص168؛ شرح الكوكب المنير، 1/195</w:t>
      </w:r>
    </w:p>
    <w:p w:rsidR="00035BE3" w:rsidRDefault="00035BE3" w:rsidP="00C10469">
      <w:pPr>
        <w:pStyle w:val="a6"/>
        <w:ind w:left="422" w:firstLine="0"/>
        <w:rPr>
          <w:rtl/>
        </w:rPr>
      </w:pPr>
      <w:r>
        <w:rPr>
          <w:rFonts w:hint="cs"/>
          <w:b/>
          <w:bCs/>
          <w:rtl/>
        </w:rPr>
        <w:t>وللتوسع فيها انظر من كتب الأصولين</w:t>
      </w:r>
      <w:r>
        <w:rPr>
          <w:rFonts w:hint="cs"/>
          <w:rtl/>
        </w:rPr>
        <w:t xml:space="preserve"> : </w:t>
      </w:r>
    </w:p>
    <w:p w:rsidR="00035BE3" w:rsidRDefault="00035BE3" w:rsidP="00C10469">
      <w:pPr>
        <w:pStyle w:val="a6"/>
        <w:ind w:left="422" w:firstLine="0"/>
        <w:rPr>
          <w:rtl/>
        </w:rPr>
      </w:pPr>
      <w:r>
        <w:rPr>
          <w:rFonts w:hint="cs"/>
          <w:rtl/>
        </w:rPr>
        <w:t>أصول البزدوي وكشف الأسرار، 2/106؛ أصول السرخسي، 1/184؛ المحصول، 1/146؛ شرحه للأصفهاني، 2/339؛ روضة الناظر، 2/557؛ المغني، ص138؛ المنار وشروحه : كشف الأسرار وشرح نور الأنوار، 1/265؛ وجامع الأسرار، 2/387؛ التنقيح والتوضيح والتلويح، 1/95؛ مسلّم الثبوت وفواتح الرحموت، 1/220؛ مراقي السعود وشرحه : مراقي السعود، ص133؛ التعارض والترجيح للبرزنحي، 2/78.</w:t>
      </w:r>
    </w:p>
    <w:p w:rsidR="00035BE3" w:rsidRDefault="00035BE3" w:rsidP="00C10469">
      <w:pPr>
        <w:pStyle w:val="a6"/>
        <w:ind w:left="422" w:firstLine="0"/>
        <w:rPr>
          <w:rtl/>
        </w:rPr>
      </w:pPr>
      <w:r>
        <w:rPr>
          <w:rFonts w:hint="cs"/>
          <w:rtl/>
        </w:rPr>
        <w:t>ونظرًا لأهمية القاعدة وكثرة تطبيقاتها الفقهية لم تكن كتب الفقه وقواعده بمعزل عنها :</w:t>
      </w:r>
    </w:p>
    <w:p w:rsidR="00035BE3" w:rsidRDefault="00035BE3" w:rsidP="00C10469">
      <w:pPr>
        <w:pStyle w:val="a6"/>
        <w:ind w:left="422" w:firstLine="0"/>
        <w:rPr>
          <w:rtl/>
        </w:rPr>
      </w:pPr>
      <w:r>
        <w:rPr>
          <w:rFonts w:hint="cs"/>
          <w:b/>
          <w:bCs/>
          <w:rtl/>
        </w:rPr>
        <w:t>فمن كتب القواعد</w:t>
      </w:r>
      <w:r>
        <w:rPr>
          <w:rFonts w:hint="cs"/>
          <w:rtl/>
        </w:rPr>
        <w:t xml:space="preserve"> : </w:t>
      </w:r>
    </w:p>
    <w:p w:rsidR="00035BE3" w:rsidRDefault="00035BE3" w:rsidP="00C10469">
      <w:pPr>
        <w:pStyle w:val="a6"/>
        <w:ind w:left="422" w:firstLine="0"/>
        <w:rPr>
          <w:rtl/>
        </w:rPr>
      </w:pPr>
      <w:r>
        <w:rPr>
          <w:rFonts w:hint="cs"/>
          <w:rtl/>
        </w:rPr>
        <w:t>تأسيس النظر، ص152؛ الأشباه لابن الوكيل، 2/275؛ قواعد الفقه لابن نجيم، ص122، قاعدة 95؛ مختصر من قواعد العلائي، 1/396؛ قواعد الفقه للمجدّدي، ص144، قاعدة424؛ القواعد والضوابط المستخلصة من التحرير، ص142؛ موسوعة القواعد الفقهية، 2/201.</w:t>
      </w:r>
    </w:p>
    <w:p w:rsidR="00035BE3" w:rsidRDefault="00035BE3" w:rsidP="00C10469">
      <w:pPr>
        <w:pStyle w:val="a6"/>
        <w:ind w:left="422" w:firstLine="0"/>
        <w:rPr>
          <w:b/>
          <w:bCs/>
          <w:rtl/>
        </w:rPr>
      </w:pPr>
      <w:r>
        <w:rPr>
          <w:rFonts w:hint="cs"/>
          <w:b/>
          <w:bCs/>
          <w:rtl/>
        </w:rPr>
        <w:t xml:space="preserve">ومن كتب الفقه : </w:t>
      </w:r>
    </w:p>
    <w:p w:rsidR="00035BE3" w:rsidRDefault="00035BE3" w:rsidP="00C10469">
      <w:pPr>
        <w:pStyle w:val="a6"/>
        <w:ind w:left="422" w:firstLine="0"/>
        <w:rPr>
          <w:rtl/>
        </w:rPr>
      </w:pPr>
      <w:r>
        <w:rPr>
          <w:rFonts w:hint="cs"/>
          <w:rtl/>
        </w:rPr>
        <w:t>المبسوط، 8/181، 187؛ تحفة الفقهاء، 2/322؛ شرحها : بدائع الصنائع، 3/61؛ الهداية والعناية وفتح القدير أو نتائج الأفكار، 5/125، 126، 137، 8/108؛ الدرر شرح الغرر، 2/49؛ البحر الرائق، 4/349؛ النافع الكبير، ص257.</w:t>
      </w:r>
    </w:p>
    <w:p w:rsidR="00035BE3" w:rsidRDefault="00035BE3" w:rsidP="00C10469">
      <w:pPr>
        <w:pStyle w:val="a6"/>
        <w:ind w:left="266" w:firstLine="0"/>
        <w:rPr>
          <w:rtl/>
        </w:rPr>
      </w:pPr>
      <w:r>
        <w:rPr>
          <w:rFonts w:hint="cs"/>
          <w:rtl/>
        </w:rPr>
        <w:t xml:space="preserve">وقبل الانتهاء من التعليق على هذه القاعدة يحسن </w:t>
      </w:r>
      <w:r>
        <w:rPr>
          <w:rFonts w:hint="cs"/>
          <w:b/>
          <w:bCs/>
          <w:rtl/>
        </w:rPr>
        <w:t>التنبيه</w:t>
      </w:r>
      <w:r>
        <w:rPr>
          <w:rFonts w:hint="cs"/>
          <w:rtl/>
        </w:rPr>
        <w:t xml:space="preserve"> على أن المؤلف سبق أن تكلّم عن تعارض العادة مع الحقيقة اللغوية في قاعدتين، وعند التعليق على الأولى منهما تمَّت الإشارة إلى هذه القاعدة، وموضعهما هما : ص647 (ل46/ب)، قاعدة 114، وص858، (ل68/أ)، قاعدة 167. </w:t>
      </w:r>
    </w:p>
  </w:footnote>
  <w:footnote w:id="445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حلق</w:t>
      </w:r>
      <w:r>
        <w:rPr>
          <w:rFonts w:hint="eastAsia"/>
          <w:rtl/>
        </w:rPr>
        <w:t>»</w:t>
      </w:r>
      <w:r>
        <w:rPr>
          <w:rFonts w:hint="cs"/>
          <w:rtl/>
        </w:rPr>
        <w:t>.</w:t>
      </w:r>
    </w:p>
  </w:footnote>
  <w:footnote w:id="445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ساقطة من (جـ).</w:t>
      </w:r>
    </w:p>
  </w:footnote>
  <w:footnote w:id="446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منضما</w:t>
      </w:r>
      <w:r>
        <w:rPr>
          <w:rFonts w:hint="eastAsia"/>
          <w:rtl/>
        </w:rPr>
        <w:t>»</w:t>
      </w:r>
      <w:r>
        <w:rPr>
          <w:rFonts w:hint="cs"/>
          <w:rtl/>
        </w:rPr>
        <w:t xml:space="preserve">، وفي (جـ) : </w:t>
      </w:r>
      <w:r>
        <w:rPr>
          <w:rFonts w:hint="eastAsia"/>
          <w:rtl/>
        </w:rPr>
        <w:t>«</w:t>
      </w:r>
      <w:r>
        <w:rPr>
          <w:rFonts w:hint="cs"/>
          <w:rtl/>
        </w:rPr>
        <w:t>خصمًا</w:t>
      </w:r>
      <w:r>
        <w:rPr>
          <w:rFonts w:hint="eastAsia"/>
          <w:rtl/>
        </w:rPr>
        <w:t>»</w:t>
      </w:r>
      <w:r>
        <w:rPr>
          <w:rFonts w:hint="cs"/>
          <w:rtl/>
        </w:rPr>
        <w:t xml:space="preserve">. والصحيح ما تمَّ إثباته من (ب)، وهو الموافق لأكثر مصادر هذه المسألة </w:t>
      </w:r>
      <w:r>
        <w:rPr>
          <w:rtl/>
        </w:rPr>
        <w:t>–</w:t>
      </w:r>
      <w:r>
        <w:rPr>
          <w:rFonts w:hint="cs"/>
          <w:rtl/>
        </w:rPr>
        <w:t xml:space="preserve"> الآتي ذكرها-.</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C10469">
      <w:pPr>
        <w:pStyle w:val="a6"/>
        <w:ind w:left="422" w:firstLine="0"/>
        <w:rPr>
          <w:rtl/>
        </w:rPr>
      </w:pPr>
      <w:r>
        <w:rPr>
          <w:rFonts w:hint="cs"/>
          <w:b/>
          <w:bCs/>
          <w:rtl/>
        </w:rPr>
        <w:t>ومعنى القضم في اللغة</w:t>
      </w:r>
      <w:r>
        <w:rPr>
          <w:rFonts w:hint="cs"/>
          <w:rtl/>
        </w:rPr>
        <w:t xml:space="preserve"> : </w:t>
      </w:r>
      <w:r>
        <w:rPr>
          <w:rFonts w:hint="eastAsia"/>
          <w:rtl/>
        </w:rPr>
        <w:t>«</w:t>
      </w:r>
      <w:r>
        <w:rPr>
          <w:rFonts w:hint="cs"/>
          <w:rtl/>
        </w:rPr>
        <w:t>الأكل بأطراف الأسنان</w:t>
      </w:r>
      <w:r>
        <w:rPr>
          <w:rFonts w:hint="eastAsia"/>
          <w:rtl/>
        </w:rPr>
        <w:t>»</w:t>
      </w:r>
      <w:r>
        <w:rPr>
          <w:rFonts w:hint="cs"/>
          <w:rtl/>
        </w:rPr>
        <w:t>. كذا في (المقاييس) و(اللسان).</w:t>
      </w:r>
    </w:p>
    <w:p w:rsidR="00035BE3" w:rsidRDefault="00035BE3" w:rsidP="00C10469">
      <w:pPr>
        <w:pStyle w:val="a6"/>
        <w:spacing w:line="480" w:lineRule="exact"/>
        <w:ind w:left="422" w:firstLine="0"/>
        <w:rPr>
          <w:rtl/>
        </w:rPr>
      </w:pPr>
      <w:r>
        <w:rPr>
          <w:rFonts w:hint="cs"/>
          <w:rtl/>
        </w:rPr>
        <w:t xml:space="preserve">وقد بيّن صاحبُ (فتح القدير) وجهَ كون أكل الحنطة قضمًا له حقيقة مستعملة فقال: </w:t>
      </w:r>
      <w:r>
        <w:rPr>
          <w:rFonts w:hint="eastAsia"/>
          <w:rtl/>
        </w:rPr>
        <w:t>«</w:t>
      </w:r>
      <w:r>
        <w:rPr>
          <w:rFonts w:hint="cs"/>
          <w:rtl/>
        </w:rPr>
        <w:t xml:space="preserve">... وهو أن يأكل عين الحنطة، فإنه معنى ثابت، فإن الناس يغلون الحنطة ويأكلونها، وهي التي تسمى في عرف </w:t>
      </w:r>
      <w:r w:rsidRPr="009B2976">
        <w:rPr>
          <w:rFonts w:hint="cs"/>
          <w:spacing w:val="-2"/>
          <w:rtl/>
        </w:rPr>
        <w:t xml:space="preserve">بلادنا (بليلة)، وتُقلى: أي توضع جافة في القدر، ثم تؤكل قضمًا. وليس المراد حقيقة القضم </w:t>
      </w:r>
      <w:r>
        <w:rPr>
          <w:rFonts w:hint="cs"/>
          <w:rtl/>
        </w:rPr>
        <w:t xml:space="preserve">بخصوصها (وهو الأكل بأطراف الأسنان)؛ بل أن يأكل عينها بأطراف الأسنان أو بسطحها. فإذا ثبت للفظٍ </w:t>
      </w:r>
      <w:r w:rsidRPr="003957AE">
        <w:rPr>
          <w:rFonts w:hint="cs"/>
          <w:spacing w:val="-4"/>
          <w:rtl/>
        </w:rPr>
        <w:t>حقيقةٌ مستعملة فهي أولى عند أبي حنيفة من المجاز المتعارف (وهو أن يراد بأكل الحنطة أكل خبزها)</w:t>
      </w:r>
      <w:r w:rsidRPr="003957AE">
        <w:rPr>
          <w:rFonts w:hint="eastAsia"/>
          <w:spacing w:val="-4"/>
          <w:rtl/>
        </w:rPr>
        <w:t>»</w:t>
      </w:r>
      <w:r w:rsidRPr="003957AE">
        <w:rPr>
          <w:rFonts w:hint="cs"/>
          <w:spacing w:val="-4"/>
          <w:rtl/>
        </w:rPr>
        <w:t>.</w:t>
      </w:r>
    </w:p>
    <w:p w:rsidR="00035BE3" w:rsidRDefault="00035BE3" w:rsidP="00C10469">
      <w:pPr>
        <w:pStyle w:val="a6"/>
        <w:spacing w:line="480" w:lineRule="exact"/>
        <w:ind w:left="422" w:firstLine="0"/>
        <w:rPr>
          <w:spacing w:val="-6"/>
          <w:rtl/>
        </w:rPr>
      </w:pPr>
      <w:r>
        <w:rPr>
          <w:rFonts w:hint="cs"/>
          <w:spacing w:val="-6"/>
          <w:rtl/>
        </w:rPr>
        <w:t xml:space="preserve">المقاييس في اللغة، مادة </w:t>
      </w:r>
      <w:r>
        <w:rPr>
          <w:rFonts w:hint="eastAsia"/>
          <w:spacing w:val="-6"/>
          <w:rtl/>
        </w:rPr>
        <w:t>«</w:t>
      </w:r>
      <w:r>
        <w:rPr>
          <w:rFonts w:hint="cs"/>
          <w:spacing w:val="-6"/>
          <w:rtl/>
        </w:rPr>
        <w:t>قضم</w:t>
      </w:r>
      <w:r>
        <w:rPr>
          <w:rFonts w:hint="eastAsia"/>
          <w:spacing w:val="-6"/>
          <w:rtl/>
        </w:rPr>
        <w:t>»</w:t>
      </w:r>
      <w:r>
        <w:rPr>
          <w:rFonts w:hint="cs"/>
          <w:spacing w:val="-6"/>
          <w:rtl/>
        </w:rPr>
        <w:t xml:space="preserve">، ص892؛ لسان العرب، مادة </w:t>
      </w:r>
      <w:r>
        <w:rPr>
          <w:rFonts w:hint="eastAsia"/>
          <w:spacing w:val="-6"/>
          <w:rtl/>
        </w:rPr>
        <w:t>«</w:t>
      </w:r>
      <w:r>
        <w:rPr>
          <w:rFonts w:hint="cs"/>
          <w:spacing w:val="-6"/>
          <w:rtl/>
        </w:rPr>
        <w:t>قضم</w:t>
      </w:r>
      <w:r>
        <w:rPr>
          <w:rFonts w:hint="eastAsia"/>
          <w:spacing w:val="-6"/>
          <w:rtl/>
        </w:rPr>
        <w:t>»</w:t>
      </w:r>
      <w:r>
        <w:rPr>
          <w:rFonts w:hint="cs"/>
          <w:spacing w:val="-6"/>
          <w:rtl/>
        </w:rPr>
        <w:t>، 12/487؛ فتح القدير، 5/125.</w:t>
      </w:r>
    </w:p>
  </w:footnote>
  <w:footnote w:id="4461">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سفًّا</w:t>
      </w:r>
      <w:r>
        <w:rPr>
          <w:rFonts w:hint="eastAsia"/>
          <w:rtl/>
        </w:rPr>
        <w:t>»</w:t>
      </w:r>
      <w:r>
        <w:rPr>
          <w:rFonts w:hint="cs"/>
          <w:rtl/>
        </w:rPr>
        <w:t xml:space="preserve">، وفي (جـ) و(د) : </w:t>
      </w:r>
      <w:r>
        <w:rPr>
          <w:rFonts w:hint="eastAsia"/>
          <w:rtl/>
        </w:rPr>
        <w:t>«</w:t>
      </w:r>
      <w:r>
        <w:rPr>
          <w:rFonts w:hint="cs"/>
          <w:rtl/>
        </w:rPr>
        <w:t>سقوفًا</w:t>
      </w:r>
      <w:r>
        <w:rPr>
          <w:rFonts w:hint="eastAsia"/>
          <w:rtl/>
        </w:rPr>
        <w:t>»</w:t>
      </w:r>
      <w:r>
        <w:rPr>
          <w:rFonts w:hint="cs"/>
          <w:rtl/>
        </w:rPr>
        <w:t>.</w:t>
      </w:r>
    </w:p>
  </w:footnote>
  <w:footnote w:id="4462">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أي  متروك</w:t>
      </w:r>
      <w:r>
        <w:rPr>
          <w:rFonts w:hint="eastAsia"/>
          <w:rtl/>
        </w:rPr>
        <w:t>»</w:t>
      </w:r>
      <w:r>
        <w:rPr>
          <w:rFonts w:hint="cs"/>
          <w:rtl/>
        </w:rPr>
        <w:t>.</w:t>
      </w:r>
    </w:p>
  </w:footnote>
  <w:footnote w:id="4463">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بالاتفاق بين الإمام أبي حنيفة وصاحبيه.</w:t>
      </w:r>
    </w:p>
    <w:p w:rsidR="00035BE3" w:rsidRDefault="00035BE3" w:rsidP="00C10469">
      <w:pPr>
        <w:pStyle w:val="a6"/>
        <w:spacing w:line="480" w:lineRule="exact"/>
        <w:ind w:left="422" w:firstLine="0"/>
        <w:rPr>
          <w:rtl/>
        </w:rPr>
      </w:pPr>
      <w:r>
        <w:rPr>
          <w:rFonts w:hint="cs"/>
          <w:rtl/>
        </w:rPr>
        <w:t>وانظر مسألتي البرّ والدقيق في : الجامع الصغير والنافع الكبير، ص257؛ المبسوط، 8/181؛ تحفة الفقهاء، 2/321-322؛ شرحها : بدائع الصنائع، 3/61-62؛ الهداية والعناية وفتح القدير، 5/125-126؛ الدرر شرح الغرر، 2/49؛ البحر الرائق، 4/349.</w:t>
      </w:r>
    </w:p>
  </w:footnote>
  <w:footnote w:id="4464">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الإركاب</w:t>
      </w:r>
      <w:r>
        <w:rPr>
          <w:rFonts w:hint="eastAsia"/>
          <w:rtl/>
        </w:rPr>
        <w:t>»</w:t>
      </w:r>
      <w:r>
        <w:rPr>
          <w:rFonts w:hint="cs"/>
          <w:rtl/>
        </w:rPr>
        <w:t xml:space="preserve"> : زيادة من (جـ) و(هـ) و(و). ولا يستقيم المعنى بدونها.</w:t>
      </w:r>
    </w:p>
  </w:footnote>
  <w:footnote w:id="4465">
    <w:p w:rsidR="00035BE3" w:rsidRDefault="00035BE3" w:rsidP="00C10469">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أن قوله : </w:t>
      </w:r>
      <w:r>
        <w:rPr>
          <w:rFonts w:hint="eastAsia"/>
          <w:rtl/>
        </w:rPr>
        <w:t>«</w:t>
      </w:r>
      <w:r>
        <w:rPr>
          <w:rFonts w:hint="cs"/>
          <w:rtl/>
        </w:rPr>
        <w:t>حملتك على دابتي هذه</w:t>
      </w:r>
      <w:r>
        <w:rPr>
          <w:rFonts w:hint="eastAsia"/>
          <w:rtl/>
        </w:rPr>
        <w:t>»</w:t>
      </w:r>
      <w:r>
        <w:rPr>
          <w:rFonts w:hint="cs"/>
          <w:rtl/>
        </w:rPr>
        <w:t xml:space="preserve"> له معنيان : حقيقي (وهو الإركاب) فيكون عارية، ومجازي (وهو التمليك) فيكون هبة، وكان مقتضى قول أبي يوسف ومحمد ترجيح المجاز المتعارف وهو الهبة، إلا أنهما هنا رجحا الحقيقة، فخالفا أصلهما!.</w:t>
      </w:r>
    </w:p>
  </w:footnote>
  <w:footnote w:id="446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91/أ من (أ).</w:t>
      </w:r>
    </w:p>
  </w:footnote>
  <w:footnote w:id="4467">
    <w:p w:rsidR="00035BE3" w:rsidRPr="002F7BD8" w:rsidRDefault="00035BE3" w:rsidP="00C10469">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sidRPr="002F7BD8">
        <w:rPr>
          <w:rFonts w:hint="cs"/>
          <w:spacing w:val="-2"/>
          <w:rtl/>
        </w:rPr>
        <w:t xml:space="preserve">انظر هذه المسألة وجوابها في: الدرر شرح الغرر، 2/242؛ قرة عيون الأخيار، 12/571-572؛ </w:t>
      </w:r>
      <w:r>
        <w:rPr>
          <w:rFonts w:hint="cs"/>
          <w:rtl/>
        </w:rPr>
        <w:t xml:space="preserve">وانظر </w:t>
      </w:r>
      <w:r w:rsidRPr="002F7BD8">
        <w:rPr>
          <w:rFonts w:hint="cs"/>
          <w:spacing w:val="-2"/>
          <w:rtl/>
        </w:rPr>
        <w:t>أصل المسألة أيضًا في: المبسوط، 12/95؛ الهداية والعناية ونتائج الأفكار، 9/7؛ البحر الرائق، 7/280.</w:t>
      </w:r>
    </w:p>
  </w:footnote>
  <w:footnote w:id="4468">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تصدق</w:t>
      </w:r>
      <w:r>
        <w:rPr>
          <w:rFonts w:hint="eastAsia"/>
          <w:rtl/>
        </w:rPr>
        <w:t>»</w:t>
      </w:r>
      <w:r>
        <w:rPr>
          <w:rFonts w:hint="cs"/>
          <w:rtl/>
        </w:rPr>
        <w:t>. والصحيح ما تمَّ إثباته من (ب) و(د)، وهو الموافق للدرر.</w:t>
      </w:r>
    </w:p>
  </w:footnote>
  <w:footnote w:id="4469">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هذه القاعدة</w:t>
      </w:r>
      <w:r>
        <w:rPr>
          <w:rFonts w:hint="cs"/>
          <w:rtl/>
        </w:rPr>
        <w:t xml:space="preserve"> : لو أخبر الإنسان بأمر أنشأه في الماضي، وهذا الأمر لا يملك إنشاءه في الحال : لا يصدق خبره بلا بينة.</w:t>
      </w:r>
    </w:p>
    <w:p w:rsidR="00035BE3" w:rsidRDefault="00035BE3" w:rsidP="00C10469">
      <w:pPr>
        <w:pStyle w:val="a6"/>
        <w:ind w:left="422" w:firstLine="0"/>
        <w:rPr>
          <w:rtl/>
        </w:rPr>
      </w:pPr>
      <w:r>
        <w:rPr>
          <w:rFonts w:hint="cs"/>
          <w:b/>
          <w:bCs/>
          <w:rtl/>
        </w:rPr>
        <w:t>وقد وردت بلفظ المؤلف في</w:t>
      </w:r>
      <w:r>
        <w:rPr>
          <w:rFonts w:hint="cs"/>
          <w:rtl/>
        </w:rPr>
        <w:t xml:space="preserve"> : الدَّرر، 2/216 - إلا أنه قال في بدايتها : </w:t>
      </w:r>
      <w:r>
        <w:rPr>
          <w:rFonts w:hint="eastAsia"/>
          <w:rtl/>
        </w:rPr>
        <w:t>«</w:t>
      </w:r>
      <w:r>
        <w:rPr>
          <w:rFonts w:hint="cs"/>
          <w:rtl/>
        </w:rPr>
        <w:t>ومن حكى ...</w:t>
      </w:r>
      <w:r>
        <w:rPr>
          <w:rFonts w:hint="eastAsia"/>
          <w:rtl/>
        </w:rPr>
        <w:t>»</w:t>
      </w:r>
      <w:r>
        <w:rPr>
          <w:rFonts w:hint="cs"/>
          <w:rtl/>
        </w:rPr>
        <w:t>.</w:t>
      </w:r>
    </w:p>
    <w:p w:rsidR="00035BE3" w:rsidRDefault="00035BE3" w:rsidP="00C10469">
      <w:pPr>
        <w:pStyle w:val="a6"/>
        <w:ind w:left="422" w:firstLine="0"/>
        <w:rPr>
          <w:rtl/>
        </w:rPr>
      </w:pPr>
      <w:r>
        <w:rPr>
          <w:rFonts w:hint="cs"/>
          <w:rtl/>
        </w:rPr>
        <w:t xml:space="preserve">كما وردت في الدّر المختار ورد المحتار، 10/183- ولفظ الأخير : </w:t>
      </w:r>
      <w:r>
        <w:rPr>
          <w:rFonts w:hint="eastAsia"/>
          <w:rtl/>
        </w:rPr>
        <w:t>«</w:t>
      </w:r>
      <w:r>
        <w:rPr>
          <w:rFonts w:hint="cs"/>
          <w:rtl/>
        </w:rPr>
        <w:t>من حكى أمرًا : إن ملك استئنافه للحال صدّق، وإلا فلا</w:t>
      </w:r>
      <w:r>
        <w:rPr>
          <w:rFonts w:hint="eastAsia"/>
          <w:rtl/>
        </w:rPr>
        <w:t>»</w:t>
      </w:r>
      <w:r>
        <w:rPr>
          <w:rFonts w:hint="cs"/>
          <w:rtl/>
        </w:rPr>
        <w:t>-.</w:t>
      </w:r>
    </w:p>
  </w:footnote>
  <w:footnote w:id="4470">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ليس</w:t>
      </w:r>
      <w:r>
        <w:rPr>
          <w:rFonts w:hint="eastAsia"/>
          <w:rtl/>
        </w:rPr>
        <w:t>»</w:t>
      </w:r>
      <w:r>
        <w:rPr>
          <w:rFonts w:hint="cs"/>
          <w:rtl/>
        </w:rPr>
        <w:t>.</w:t>
      </w:r>
    </w:p>
  </w:footnote>
  <w:footnote w:id="4471">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67/ب من (جـ).</w:t>
      </w:r>
    </w:p>
  </w:footnote>
  <w:footnote w:id="4472">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 المواثبة</w:t>
      </w:r>
      <w:r>
        <w:rPr>
          <w:rFonts w:hint="cs"/>
          <w:rtl/>
        </w:rPr>
        <w:t xml:space="preserve">: هي أحد المطالب الثلاث التي تلزم الشفيع، وهي  : أن يقول الشفيع </w:t>
      </w:r>
      <w:r>
        <w:rPr>
          <w:rFonts w:hint="eastAsia"/>
          <w:rtl/>
        </w:rPr>
        <w:t>«</w:t>
      </w:r>
      <w:r>
        <w:rPr>
          <w:rFonts w:hint="cs"/>
          <w:rtl/>
        </w:rPr>
        <w:t>كلامًا يدل على طلب الشفعة في المجلس الذي سمع فيه عقد البيع في الحال، كقوله : أنا شفيع المبيع، أو أطلبه بالشفعة. ويقال لهذا الطلب طلب المواثبة</w:t>
      </w:r>
      <w:r>
        <w:rPr>
          <w:rFonts w:hint="eastAsia"/>
          <w:rtl/>
        </w:rPr>
        <w:t>»</w:t>
      </w:r>
      <w:r>
        <w:rPr>
          <w:rFonts w:hint="cs"/>
          <w:rtl/>
        </w:rPr>
        <w:t>. كذا في المجلة، مادة 1029؛ وانظر شرحها لسليم رستم، 1/577.</w:t>
      </w:r>
    </w:p>
  </w:footnote>
  <w:footnote w:id="4473">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2/216.</w:t>
      </w:r>
    </w:p>
  </w:footnote>
  <w:footnote w:id="4474">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لا مرأة</w:t>
      </w:r>
      <w:r>
        <w:rPr>
          <w:rFonts w:hint="eastAsia"/>
          <w:rtl/>
        </w:rPr>
        <w:t>»</w:t>
      </w:r>
      <w:r>
        <w:rPr>
          <w:rFonts w:hint="cs"/>
          <w:rtl/>
        </w:rPr>
        <w:t>. وهي نهاية 58/أ من (ب).</w:t>
      </w:r>
    </w:p>
  </w:footnote>
  <w:footnote w:id="4475">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الواو</w:t>
      </w:r>
      <w:r>
        <w:rPr>
          <w:rFonts w:hint="eastAsia"/>
          <w:rtl/>
        </w:rPr>
        <w:t>»</w:t>
      </w:r>
      <w:r>
        <w:rPr>
          <w:rFonts w:hint="cs"/>
          <w:rtl/>
        </w:rPr>
        <w:t xml:space="preserve"> : زيادة من (ب) و(جـ) و(د). ولا يستقيم المعنى بدونها.</w:t>
      </w:r>
    </w:p>
  </w:footnote>
  <w:footnote w:id="4476">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تمليك</w:t>
      </w:r>
      <w:r>
        <w:rPr>
          <w:rFonts w:hint="eastAsia"/>
          <w:rtl/>
        </w:rPr>
        <w:t>»</w:t>
      </w:r>
      <w:r>
        <w:rPr>
          <w:rFonts w:hint="cs"/>
          <w:rtl/>
        </w:rPr>
        <w:t>. والصواب ما تمَّ إثباته من (ب) و(جـ).</w:t>
      </w:r>
    </w:p>
  </w:footnote>
  <w:footnote w:id="4477">
    <w:p w:rsidR="00035BE3" w:rsidRDefault="00035BE3" w:rsidP="00C10469">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بالصادق</w:t>
      </w:r>
      <w:r>
        <w:rPr>
          <w:rFonts w:hint="eastAsia"/>
          <w:rtl/>
        </w:rPr>
        <w:t>»</w:t>
      </w:r>
      <w:r>
        <w:rPr>
          <w:rFonts w:hint="cs"/>
          <w:rtl/>
        </w:rPr>
        <w:t>.</w:t>
      </w:r>
    </w:p>
  </w:footnote>
  <w:footnote w:id="447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بمعنى قاعدة سبق الحديث عنها </w:t>
      </w:r>
      <w:r>
        <w:rPr>
          <w:rtl/>
        </w:rPr>
        <w:t>–</w:t>
      </w:r>
      <w:r>
        <w:rPr>
          <w:rFonts w:hint="cs"/>
          <w:rtl/>
        </w:rPr>
        <w:t xml:space="preserve"> ص414 (ل22/أ)، قاعدة 52 - وهي: </w:t>
      </w:r>
      <w:r>
        <w:rPr>
          <w:rFonts w:hint="eastAsia"/>
          <w:rtl/>
        </w:rPr>
        <w:t>«</w:t>
      </w:r>
      <w:r>
        <w:rPr>
          <w:rFonts w:hint="cs"/>
          <w:rtl/>
        </w:rPr>
        <w:t>البقاء على وفق الثبوت</w:t>
      </w:r>
      <w:r>
        <w:rPr>
          <w:rFonts w:hint="eastAsia"/>
          <w:rtl/>
        </w:rPr>
        <w:t>»</w:t>
      </w:r>
      <w:r>
        <w:rPr>
          <w:rFonts w:hint="cs"/>
          <w:rtl/>
        </w:rPr>
        <w:t>، إلا أنها خاصة بالتصرفات غير اللازمة.</w:t>
      </w:r>
    </w:p>
    <w:p w:rsidR="00035BE3" w:rsidRDefault="00035BE3" w:rsidP="00C10469">
      <w:pPr>
        <w:pStyle w:val="a6"/>
        <w:ind w:left="422" w:firstLine="0"/>
        <w:rPr>
          <w:rtl/>
        </w:rPr>
      </w:pPr>
      <w:r>
        <w:rPr>
          <w:rFonts w:hint="cs"/>
          <w:b/>
          <w:bCs/>
          <w:rtl/>
        </w:rPr>
        <w:t>إذْ معناها</w:t>
      </w:r>
      <w:r>
        <w:rPr>
          <w:rFonts w:hint="cs"/>
          <w:rtl/>
        </w:rPr>
        <w:t xml:space="preserve"> : </w:t>
      </w:r>
    </w:p>
    <w:p w:rsidR="00035BE3" w:rsidRDefault="00035BE3" w:rsidP="00C10469">
      <w:pPr>
        <w:pStyle w:val="a6"/>
        <w:ind w:left="422" w:firstLine="0"/>
        <w:rPr>
          <w:rtl/>
        </w:rPr>
      </w:pPr>
      <w:r>
        <w:rPr>
          <w:rFonts w:hint="cs"/>
          <w:rtl/>
        </w:rPr>
        <w:t>أن التصرفات غير اللازمة بين الطرفين تثبت ابتداء وهي غير ملزمة لهما، فيبقى حكمها هذا في الدوام؛ لأن البقاء على حسب الثبوت.</w:t>
      </w:r>
    </w:p>
    <w:p w:rsidR="00035BE3" w:rsidRDefault="00035BE3" w:rsidP="00C10469">
      <w:pPr>
        <w:pStyle w:val="a6"/>
        <w:ind w:left="422" w:firstLine="0"/>
        <w:rPr>
          <w:rtl/>
        </w:rPr>
      </w:pPr>
      <w:r>
        <w:rPr>
          <w:rFonts w:hint="cs"/>
          <w:rtl/>
        </w:rPr>
        <w:t xml:space="preserve">وقريبة منهما قاعدة سبق أن ذكرها المؤلف أيضًا </w:t>
      </w:r>
      <w:r>
        <w:rPr>
          <w:rtl/>
        </w:rPr>
        <w:t>–</w:t>
      </w:r>
      <w:r>
        <w:rPr>
          <w:rFonts w:hint="cs"/>
          <w:rtl/>
        </w:rPr>
        <w:t xml:space="preserve"> ص298 (ل9/ب)، قاعدة 21- وهي: </w:t>
      </w:r>
      <w:r>
        <w:rPr>
          <w:rFonts w:hint="eastAsia"/>
          <w:rtl/>
        </w:rPr>
        <w:t>«</w:t>
      </w:r>
      <w:r>
        <w:rPr>
          <w:rFonts w:hint="cs"/>
          <w:rtl/>
        </w:rPr>
        <w:t>استدامة الشيء تعتبر بأصله</w:t>
      </w:r>
      <w:r>
        <w:rPr>
          <w:rFonts w:hint="eastAsia"/>
          <w:rtl/>
        </w:rPr>
        <w:t>»</w:t>
      </w:r>
      <w:r>
        <w:rPr>
          <w:rFonts w:hint="cs"/>
          <w:rtl/>
        </w:rPr>
        <w:t>.</w:t>
      </w:r>
    </w:p>
    <w:p w:rsidR="00035BE3" w:rsidRDefault="00035BE3" w:rsidP="00C10469">
      <w:pPr>
        <w:pStyle w:val="a6"/>
        <w:ind w:left="422" w:firstLine="0"/>
        <w:rPr>
          <w:rtl/>
        </w:rPr>
      </w:pPr>
      <w:r>
        <w:rPr>
          <w:rFonts w:hint="cs"/>
          <w:b/>
          <w:bCs/>
          <w:rtl/>
        </w:rPr>
        <w:t>أما توثيقها</w:t>
      </w:r>
      <w:r>
        <w:rPr>
          <w:rFonts w:hint="cs"/>
          <w:rtl/>
        </w:rPr>
        <w:t xml:space="preserve"> : </w:t>
      </w:r>
    </w:p>
    <w:p w:rsidR="00035BE3" w:rsidRDefault="00035BE3" w:rsidP="00C10469">
      <w:pPr>
        <w:pStyle w:val="a6"/>
        <w:ind w:left="422" w:firstLine="0"/>
        <w:rPr>
          <w:rtl/>
        </w:rPr>
      </w:pPr>
      <w:r>
        <w:rPr>
          <w:rFonts w:hint="cs"/>
          <w:rtl/>
        </w:rPr>
        <w:t>فقد وردت بلفظها أو نحوه في بعض كتب الفقه الحنفي، منها :</w:t>
      </w:r>
    </w:p>
    <w:p w:rsidR="00035BE3" w:rsidRDefault="00035BE3" w:rsidP="00C10469">
      <w:pPr>
        <w:pStyle w:val="a6"/>
        <w:ind w:left="422" w:firstLine="0"/>
        <w:rPr>
          <w:spacing w:val="-6"/>
          <w:sz w:val="28"/>
          <w:szCs w:val="28"/>
          <w:rtl/>
        </w:rPr>
      </w:pPr>
      <w:r>
        <w:rPr>
          <w:rFonts w:hint="cs"/>
          <w:spacing w:val="-6"/>
          <w:sz w:val="28"/>
          <w:szCs w:val="28"/>
          <w:rtl/>
        </w:rPr>
        <w:t>الهداية، والعناية، وفتح القدير أو نتائج الأفكار، 6/156، 8/141، 9/296؛ الدّرر شرح الغرر، 2/278، 2/294، 295- ولفظ الدّرر الأول مطابق للفظ المؤلف-؛ البحر الرائق، 7/188؛ قرة عيون الأخيار، 11/522.</w:t>
      </w:r>
    </w:p>
  </w:footnote>
  <w:footnote w:id="447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بالشرط</w:t>
      </w:r>
      <w:r>
        <w:rPr>
          <w:rFonts w:hint="eastAsia"/>
          <w:rtl/>
        </w:rPr>
        <w:t>»</w:t>
      </w:r>
      <w:r>
        <w:rPr>
          <w:rFonts w:hint="cs"/>
          <w:rtl/>
        </w:rPr>
        <w:t xml:space="preserve"> وليس </w:t>
      </w:r>
      <w:r>
        <w:rPr>
          <w:rFonts w:hint="eastAsia"/>
          <w:rtl/>
        </w:rPr>
        <w:t>«</w:t>
      </w:r>
      <w:r>
        <w:rPr>
          <w:rFonts w:hint="cs"/>
          <w:rtl/>
        </w:rPr>
        <w:t>ما يشترط</w:t>
      </w:r>
      <w:r>
        <w:rPr>
          <w:rFonts w:hint="eastAsia"/>
          <w:rtl/>
        </w:rPr>
        <w:t>»</w:t>
      </w:r>
      <w:r>
        <w:rPr>
          <w:rFonts w:hint="cs"/>
          <w:rtl/>
        </w:rPr>
        <w:t>.</w:t>
      </w:r>
    </w:p>
  </w:footnote>
  <w:footnote w:id="448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2/278.</w:t>
      </w:r>
    </w:p>
  </w:footnote>
  <w:footnote w:id="448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يعزل</w:t>
      </w:r>
      <w:r>
        <w:rPr>
          <w:rFonts w:hint="eastAsia"/>
          <w:rtl/>
        </w:rPr>
        <w:t>»</w:t>
      </w:r>
      <w:r>
        <w:rPr>
          <w:rFonts w:hint="cs"/>
          <w:rtl/>
        </w:rPr>
        <w:t>. والصحيح ما تمَّ إثباته من باقي النسخ.</w:t>
      </w:r>
    </w:p>
  </w:footnote>
  <w:footnote w:id="44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ويجنون</w:t>
      </w:r>
      <w:r>
        <w:rPr>
          <w:rFonts w:hint="eastAsia"/>
          <w:rtl/>
        </w:rPr>
        <w:t>»</w:t>
      </w:r>
      <w:r>
        <w:rPr>
          <w:rFonts w:hint="cs"/>
          <w:rtl/>
        </w:rPr>
        <w:t>.</w:t>
      </w:r>
    </w:p>
  </w:footnote>
  <w:footnote w:id="44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ما</w:t>
      </w:r>
      <w:r>
        <w:rPr>
          <w:rFonts w:hint="eastAsia"/>
          <w:rtl/>
        </w:rPr>
        <w:t>»</w:t>
      </w:r>
      <w:r>
        <w:rPr>
          <w:rFonts w:hint="cs"/>
          <w:rtl/>
        </w:rPr>
        <w:t xml:space="preserve"> : ساقطة من (جـ).</w:t>
      </w:r>
    </w:p>
  </w:footnote>
  <w:footnote w:id="448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ينوب بنواته</w:t>
      </w:r>
      <w:r>
        <w:rPr>
          <w:rFonts w:hint="eastAsia"/>
          <w:rtl/>
        </w:rPr>
        <w:t>»</w:t>
      </w:r>
      <w:r>
        <w:rPr>
          <w:rFonts w:hint="cs"/>
          <w:rtl/>
        </w:rPr>
        <w:t>.</w:t>
      </w:r>
    </w:p>
  </w:footnote>
  <w:footnote w:id="448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ونتائج الأفكار، 8/140؛ كنز الدقائق وتكملة البحر الرائق، 7/188؛ الدرر شرح الغرر، 2/293-294؛ تنوير الأبصار والدر المختار وقرة عيون الأخيار، 11/522.</w:t>
      </w:r>
    </w:p>
  </w:footnote>
  <w:footnote w:id="448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ينحجر بإباقه</w:t>
      </w:r>
      <w:r>
        <w:rPr>
          <w:rFonts w:hint="eastAsia"/>
          <w:rtl/>
        </w:rPr>
        <w:t>»</w:t>
      </w:r>
      <w:r>
        <w:rPr>
          <w:rFonts w:hint="cs"/>
          <w:rtl/>
        </w:rPr>
        <w:t xml:space="preserve"> : ساقطة من (د)، ومكانها بياض.</w:t>
      </w:r>
    </w:p>
  </w:footnote>
  <w:footnote w:id="44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91/ب من (أ).</w:t>
      </w:r>
    </w:p>
  </w:footnote>
  <w:footnote w:id="44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55/ب من (د).</w:t>
      </w:r>
    </w:p>
  </w:footnote>
  <w:footnote w:id="44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بشرط</w:t>
      </w:r>
      <w:r>
        <w:rPr>
          <w:rFonts w:hint="eastAsia"/>
          <w:rtl/>
        </w:rPr>
        <w:t>»</w:t>
      </w:r>
      <w:r>
        <w:rPr>
          <w:rFonts w:hint="cs"/>
          <w:rtl/>
        </w:rPr>
        <w:t>.</w:t>
      </w:r>
    </w:p>
  </w:footnote>
  <w:footnote w:id="44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الدرر شرح الغرر، 2/278؛ وانظر : الهداية والعناية، 9/296؛ الكنز والبحر الرائق، 8/110.</w:t>
      </w:r>
    </w:p>
  </w:footnote>
  <w:footnote w:id="44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بجميع</w:t>
      </w:r>
      <w:r>
        <w:rPr>
          <w:rFonts w:hint="eastAsia"/>
          <w:rtl/>
        </w:rPr>
        <w:t>»</w:t>
      </w:r>
      <w:r>
        <w:rPr>
          <w:rFonts w:hint="cs"/>
          <w:rtl/>
        </w:rPr>
        <w:t>. والمناسب ما تمّ إثباته من (ب) و(د).</w:t>
      </w:r>
    </w:p>
  </w:footnote>
  <w:footnote w:id="44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المتولى</w:t>
      </w:r>
      <w:r>
        <w:rPr>
          <w:rFonts w:hint="eastAsia"/>
          <w:rtl/>
        </w:rPr>
        <w:t>»</w:t>
      </w:r>
      <w:r>
        <w:rPr>
          <w:rFonts w:hint="cs"/>
          <w:rtl/>
        </w:rPr>
        <w:t>.</w:t>
      </w:r>
    </w:p>
  </w:footnote>
  <w:footnote w:id="44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زيادة </w:t>
      </w:r>
      <w:r>
        <w:rPr>
          <w:rFonts w:hint="eastAsia"/>
          <w:rtl/>
        </w:rPr>
        <w:t>«</w:t>
      </w:r>
      <w:r>
        <w:rPr>
          <w:rFonts w:hint="cs"/>
          <w:rtl/>
        </w:rPr>
        <w:t>عادة</w:t>
      </w:r>
      <w:r>
        <w:rPr>
          <w:rFonts w:hint="eastAsia"/>
          <w:rtl/>
        </w:rPr>
        <w:t>»</w:t>
      </w:r>
      <w:r>
        <w:rPr>
          <w:rFonts w:hint="cs"/>
          <w:rtl/>
        </w:rPr>
        <w:t>.</w:t>
      </w:r>
    </w:p>
  </w:footnote>
  <w:footnote w:id="44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2/278- مع الزيادة السابقة -.   </w:t>
      </w:r>
    </w:p>
  </w:footnote>
  <w:footnote w:id="44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اللايق</w:t>
      </w:r>
      <w:r>
        <w:rPr>
          <w:rFonts w:hint="eastAsia"/>
          <w:rtl/>
        </w:rPr>
        <w:t>»</w:t>
      </w:r>
      <w:r>
        <w:rPr>
          <w:rFonts w:hint="cs"/>
          <w:rtl/>
        </w:rPr>
        <w:t>.</w:t>
      </w:r>
    </w:p>
  </w:footnote>
  <w:footnote w:id="44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والتصريح</w:t>
      </w:r>
      <w:r>
        <w:rPr>
          <w:rFonts w:hint="eastAsia"/>
          <w:rtl/>
        </w:rPr>
        <w:t>»</w:t>
      </w:r>
      <w:r>
        <w:rPr>
          <w:rFonts w:hint="cs"/>
          <w:rtl/>
        </w:rPr>
        <w:t>.</w:t>
      </w:r>
    </w:p>
  </w:footnote>
  <w:footnote w:id="44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ينوق</w:t>
      </w:r>
      <w:r>
        <w:rPr>
          <w:rFonts w:hint="eastAsia"/>
          <w:rtl/>
        </w:rPr>
        <w:t>»</w:t>
      </w:r>
      <w:r>
        <w:rPr>
          <w:rFonts w:hint="cs"/>
          <w:rtl/>
        </w:rPr>
        <w:t xml:space="preserve">، وفي (د) : </w:t>
      </w:r>
      <w:r>
        <w:rPr>
          <w:rFonts w:hint="eastAsia"/>
          <w:rtl/>
        </w:rPr>
        <w:t>«</w:t>
      </w:r>
      <w:r>
        <w:rPr>
          <w:rFonts w:hint="cs"/>
          <w:rtl/>
        </w:rPr>
        <w:t>بفوت</w:t>
      </w:r>
      <w:r>
        <w:rPr>
          <w:rFonts w:hint="eastAsia"/>
          <w:rtl/>
        </w:rPr>
        <w:t>»</w:t>
      </w:r>
      <w:r>
        <w:rPr>
          <w:rFonts w:hint="cs"/>
          <w:rtl/>
        </w:rPr>
        <w:t>.</w:t>
      </w:r>
    </w:p>
  </w:footnote>
  <w:footnote w:id="44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سبق الحديث عنها استقلالاً، ص787 (ل61/أ)، قاعدة 153.</w:t>
      </w:r>
    </w:p>
  </w:footnote>
  <w:footnote w:id="44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تعمل</w:t>
      </w:r>
      <w:r>
        <w:rPr>
          <w:rFonts w:hint="eastAsia"/>
          <w:rtl/>
        </w:rPr>
        <w:t>»</w:t>
      </w:r>
      <w:r>
        <w:rPr>
          <w:rFonts w:hint="cs"/>
          <w:rtl/>
        </w:rPr>
        <w:t>.</w:t>
      </w:r>
    </w:p>
  </w:footnote>
  <w:footnote w:id="45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الدلالة</w:t>
      </w:r>
      <w:r>
        <w:rPr>
          <w:rFonts w:hint="eastAsia"/>
          <w:rtl/>
        </w:rPr>
        <w:t>»</w:t>
      </w:r>
      <w:r>
        <w:rPr>
          <w:rFonts w:hint="cs"/>
          <w:rtl/>
        </w:rPr>
        <w:t>. والمناسب ما تم إثباته من (د).</w:t>
      </w:r>
    </w:p>
  </w:footnote>
  <w:footnote w:id="4501">
    <w:p w:rsidR="00035BE3" w:rsidRDefault="00035BE3" w:rsidP="00C10469">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تمام اسم الكتاب: </w:t>
      </w:r>
      <w:r>
        <w:rPr>
          <w:rFonts w:hint="eastAsia"/>
          <w:spacing w:val="-2"/>
          <w:rtl/>
        </w:rPr>
        <w:t>«</w:t>
      </w:r>
      <w:r>
        <w:rPr>
          <w:rFonts w:hint="cs"/>
          <w:spacing w:val="-2"/>
          <w:rtl/>
        </w:rPr>
        <w:t>كتاب القضاء والشهادة والدعاوى</w:t>
      </w:r>
      <w:r>
        <w:rPr>
          <w:rFonts w:hint="eastAsia"/>
          <w:spacing w:val="-2"/>
          <w:rtl/>
        </w:rPr>
        <w:t>»</w:t>
      </w:r>
      <w:r>
        <w:rPr>
          <w:rFonts w:hint="cs"/>
          <w:spacing w:val="-2"/>
          <w:rtl/>
        </w:rPr>
        <w:t>. وهو أحد كتب الفن الثاني من أشباه ابن نجيم.</w:t>
      </w:r>
    </w:p>
  </w:footnote>
  <w:footnote w:id="45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اللايق</w:t>
      </w:r>
      <w:r>
        <w:rPr>
          <w:rFonts w:hint="eastAsia"/>
          <w:rtl/>
        </w:rPr>
        <w:t>»</w:t>
      </w:r>
      <w:r>
        <w:rPr>
          <w:rFonts w:hint="cs"/>
          <w:rtl/>
        </w:rPr>
        <w:t>.</w:t>
      </w:r>
    </w:p>
  </w:footnote>
  <w:footnote w:id="45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اشباه ابن نجيم : </w:t>
      </w:r>
      <w:r>
        <w:rPr>
          <w:rFonts w:hint="eastAsia"/>
          <w:rtl/>
        </w:rPr>
        <w:t>«</w:t>
      </w:r>
      <w:r>
        <w:rPr>
          <w:rFonts w:hint="cs"/>
          <w:rtl/>
        </w:rPr>
        <w:t>وإذا</w:t>
      </w:r>
      <w:r>
        <w:rPr>
          <w:rFonts w:hint="eastAsia"/>
          <w:rtl/>
        </w:rPr>
        <w:t>»</w:t>
      </w:r>
      <w:r>
        <w:rPr>
          <w:rFonts w:hint="cs"/>
          <w:rtl/>
        </w:rPr>
        <w:t>.</w:t>
      </w:r>
    </w:p>
  </w:footnote>
  <w:footnote w:id="45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ص 255- مع الاختلاف السابق-؛ وانظر: تبيين الحقائق، 4/176، حيث جاء فيه: </w:t>
      </w:r>
      <w:r>
        <w:rPr>
          <w:rFonts w:hint="eastAsia"/>
          <w:rtl/>
        </w:rPr>
        <w:t>«</w:t>
      </w:r>
      <w:r>
        <w:rPr>
          <w:rFonts w:hint="cs"/>
          <w:rtl/>
        </w:rPr>
        <w:t>...كالعبد المأذون له في التجارة إذا أبق ينعزل، ولو أذن له وهو آبق جاز</w:t>
      </w:r>
      <w:r>
        <w:rPr>
          <w:rFonts w:hint="eastAsia"/>
          <w:rtl/>
        </w:rPr>
        <w:t>»</w:t>
      </w:r>
      <w:r>
        <w:rPr>
          <w:rFonts w:hint="cs"/>
          <w:rtl/>
        </w:rPr>
        <w:t>.</w:t>
      </w:r>
    </w:p>
  </w:footnote>
  <w:footnote w:id="45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صار محجورًا ... المأذون</w:t>
      </w:r>
      <w:r>
        <w:rPr>
          <w:rFonts w:hint="eastAsia"/>
          <w:rtl/>
        </w:rPr>
        <w:t>»</w:t>
      </w:r>
      <w:r>
        <w:rPr>
          <w:rFonts w:hint="cs"/>
          <w:rtl/>
        </w:rPr>
        <w:t xml:space="preserve"> : ساقطة من (جـ).</w:t>
      </w:r>
    </w:p>
  </w:footnote>
  <w:footnote w:id="450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ثم قال ابن نجيم في كتاب (المأذون) من أشباهه. وتمام اسم الكتاب : (كتاب الحجر والمأذون).</w:t>
      </w:r>
    </w:p>
  </w:footnote>
  <w:footnote w:id="4507">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(ب) و(د): </w:t>
      </w:r>
      <w:r>
        <w:rPr>
          <w:rFonts w:hint="eastAsia"/>
          <w:spacing w:val="-8"/>
          <w:rtl/>
        </w:rPr>
        <w:t>«</w:t>
      </w:r>
      <w:r>
        <w:rPr>
          <w:rFonts w:hint="cs"/>
          <w:spacing w:val="-8"/>
          <w:rtl/>
        </w:rPr>
        <w:t>المحجور</w:t>
      </w:r>
      <w:r>
        <w:rPr>
          <w:rFonts w:hint="eastAsia"/>
          <w:spacing w:val="-8"/>
          <w:rtl/>
        </w:rPr>
        <w:t>»</w:t>
      </w:r>
      <w:r>
        <w:rPr>
          <w:rFonts w:hint="cs"/>
          <w:spacing w:val="-8"/>
          <w:rtl/>
        </w:rPr>
        <w:t xml:space="preserve">. وهذا الموافق لثلاث طبعات من طبعات الأشباه. علمًا بأن صاحب الدر المختار نقل </w:t>
      </w:r>
      <w:r w:rsidRPr="00C56279">
        <w:rPr>
          <w:rFonts w:hint="cs"/>
          <w:spacing w:val="-10"/>
          <w:rtl/>
        </w:rPr>
        <w:t xml:space="preserve">هذه العبارة عن الأشباه وجاء فيها: </w:t>
      </w:r>
      <w:r w:rsidRPr="00C56279">
        <w:rPr>
          <w:rFonts w:hint="eastAsia"/>
          <w:spacing w:val="-10"/>
          <w:rtl/>
        </w:rPr>
        <w:t>«</w:t>
      </w:r>
      <w:r w:rsidRPr="00C56279">
        <w:rPr>
          <w:rFonts w:hint="cs"/>
          <w:spacing w:val="-10"/>
          <w:rtl/>
        </w:rPr>
        <w:t>المجحود</w:t>
      </w:r>
      <w:r w:rsidRPr="00C56279">
        <w:rPr>
          <w:rFonts w:hint="eastAsia"/>
          <w:spacing w:val="-10"/>
          <w:rtl/>
        </w:rPr>
        <w:t>»</w:t>
      </w:r>
      <w:r w:rsidRPr="00C56279">
        <w:rPr>
          <w:rFonts w:hint="cs"/>
          <w:spacing w:val="-10"/>
          <w:rtl/>
        </w:rPr>
        <w:t xml:space="preserve">، ووافقه على ذلك ابن عابدين في حاشيته (رد المحتار)، </w:t>
      </w:r>
      <w:r>
        <w:rPr>
          <w:rFonts w:hint="cs"/>
          <w:spacing w:val="-8"/>
          <w:rtl/>
        </w:rPr>
        <w:t>9/258.</w:t>
      </w:r>
    </w:p>
    <w:p w:rsidR="00035BE3" w:rsidRDefault="00035BE3" w:rsidP="00C10469">
      <w:pPr>
        <w:pStyle w:val="a6"/>
        <w:ind w:left="422" w:firstLine="0"/>
        <w:rPr>
          <w:rtl/>
        </w:rPr>
      </w:pPr>
      <w:r>
        <w:rPr>
          <w:rFonts w:hint="cs"/>
          <w:rtl/>
        </w:rPr>
        <w:t xml:space="preserve">ومعنى العبارة بهذا اللفظ (وهو المجحود) : </w:t>
      </w:r>
    </w:p>
    <w:p w:rsidR="00035BE3" w:rsidRDefault="00035BE3" w:rsidP="00C10469">
      <w:pPr>
        <w:pStyle w:val="a6"/>
        <w:ind w:left="422" w:firstLine="0"/>
        <w:rPr>
          <w:rtl/>
        </w:rPr>
      </w:pPr>
      <w:r>
        <w:rPr>
          <w:rFonts w:hint="cs"/>
          <w:rtl/>
        </w:rPr>
        <w:t xml:space="preserve">أي لا يصح الإذن من السيد للعبد الآبق، وللعبد المغصوب الذي يدعي غاصبه كونَهُ ملكه، ويجحد كونَه مغصوبًا، </w:t>
      </w:r>
      <w:r>
        <w:rPr>
          <w:rFonts w:hint="eastAsia"/>
          <w:rtl/>
        </w:rPr>
        <w:t>«</w:t>
      </w:r>
      <w:r>
        <w:rPr>
          <w:rFonts w:hint="cs"/>
          <w:rtl/>
        </w:rPr>
        <w:t>ولابينة : أي تشهد بالغصب</w:t>
      </w:r>
      <w:r>
        <w:rPr>
          <w:rFonts w:hint="eastAsia"/>
          <w:rtl/>
        </w:rPr>
        <w:t>»</w:t>
      </w:r>
      <w:r>
        <w:rPr>
          <w:rFonts w:hint="cs"/>
          <w:rtl/>
        </w:rPr>
        <w:t xml:space="preserve"> -كذا في الموضع السابق من ردّ المحتار-.</w:t>
      </w:r>
    </w:p>
    <w:p w:rsidR="00035BE3" w:rsidRDefault="00035BE3" w:rsidP="00C10469">
      <w:pPr>
        <w:pStyle w:val="a6"/>
        <w:ind w:left="422" w:firstLine="0"/>
        <w:rPr>
          <w:rtl/>
        </w:rPr>
      </w:pPr>
      <w:r>
        <w:rPr>
          <w:rFonts w:hint="cs"/>
          <w:rtl/>
        </w:rPr>
        <w:t xml:space="preserve">ويُفهم من هذا : أن الغاصب إذا أقَرّ بالغصب، أو كان للمغصوب منه بيّـنة تشهد بالغصب فإنه يصح الإذن. وقد جاء التصريح بذلك في الموضع السابق من رد المحتار، حيث جاء فيه عن (الخانية) : </w:t>
      </w:r>
      <w:r>
        <w:rPr>
          <w:rFonts w:hint="eastAsia"/>
          <w:rtl/>
        </w:rPr>
        <w:t>«</w:t>
      </w:r>
      <w:r>
        <w:rPr>
          <w:rFonts w:hint="cs"/>
          <w:rtl/>
        </w:rPr>
        <w:t>وإن أذن للمغصوب أن الغاصب مقرًّا، أو عليه بينة : صح. وإلاّ فلا</w:t>
      </w:r>
      <w:r>
        <w:rPr>
          <w:rFonts w:hint="eastAsia"/>
          <w:rtl/>
        </w:rPr>
        <w:t>»</w:t>
      </w:r>
      <w:r>
        <w:rPr>
          <w:rFonts w:hint="cs"/>
          <w:rtl/>
        </w:rPr>
        <w:t>.</w:t>
      </w:r>
    </w:p>
  </w:footnote>
  <w:footnote w:id="450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بنية</w:t>
      </w:r>
      <w:r>
        <w:rPr>
          <w:rFonts w:hint="eastAsia"/>
          <w:rtl/>
        </w:rPr>
        <w:t>»</w:t>
      </w:r>
      <w:r>
        <w:rPr>
          <w:rFonts w:hint="cs"/>
          <w:rtl/>
        </w:rPr>
        <w:t>.</w:t>
      </w:r>
    </w:p>
  </w:footnote>
  <w:footnote w:id="450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لا يصير العبدُ محجورًا عليه بمجرّد إباقه، أو كونه مغصوباً.</w:t>
      </w:r>
    </w:p>
  </w:footnote>
  <w:footnote w:id="451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ص310؛ وفي طبعة دار الفكر، ص332؛ ومع غمز عيون البصائر، 3/170.</w:t>
      </w:r>
    </w:p>
  </w:footnote>
  <w:footnote w:id="4511">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نهاية 68/أ من (جـ)، مع تكرار كلمة : </w:t>
      </w:r>
      <w:r>
        <w:rPr>
          <w:rFonts w:hint="eastAsia"/>
          <w:rtl/>
        </w:rPr>
        <w:t>«</w:t>
      </w:r>
      <w:r>
        <w:rPr>
          <w:rFonts w:hint="cs"/>
          <w:rtl/>
        </w:rPr>
        <w:t>ممكن</w:t>
      </w:r>
      <w:r>
        <w:rPr>
          <w:rFonts w:hint="eastAsia"/>
          <w:rtl/>
        </w:rPr>
        <w:t>»</w:t>
      </w:r>
      <w:r>
        <w:rPr>
          <w:rFonts w:hint="cs"/>
          <w:rtl/>
        </w:rPr>
        <w:t xml:space="preserve"> في بداية اللوحة التي تليها.</w:t>
      </w:r>
    </w:p>
  </w:footnote>
  <w:footnote w:id="4512">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التوفيق بين ما جاء في كتاب (الدعوى) من الأشباه، وما جاء في كتاب (المأذون) منه أيضًا.</w:t>
      </w:r>
    </w:p>
  </w:footnote>
  <w:footnote w:id="4513">
    <w:p w:rsidR="00035BE3" w:rsidRDefault="00035BE3" w:rsidP="00C10469">
      <w:pPr>
        <w:pStyle w:val="a8"/>
        <w:bidi/>
        <w:ind w:left="422" w:right="0"/>
        <w:rPr>
          <w:rtl/>
        </w:rPr>
      </w:pPr>
      <w:r>
        <w:rPr>
          <w:vertAlign w:val="superscript"/>
          <w:rtl/>
        </w:rPr>
        <w:t>(</w:t>
      </w:r>
      <w:r>
        <w:rPr>
          <w:rStyle w:val="a7"/>
        </w:rPr>
        <w:footnoteRef/>
      </w:r>
      <w:r>
        <w:rPr>
          <w:rFonts w:hint="cs"/>
          <w:vertAlign w:val="superscript"/>
          <w:rtl/>
        </w:rPr>
        <w:t>)</w:t>
      </w:r>
      <w:r>
        <w:rPr>
          <w:rFonts w:hint="cs"/>
          <w:rtl/>
        </w:rPr>
        <w:t xml:space="preserve">   أي : قول ابن نجيم في نهاية العبارة الثانية المنقولة عنه.</w:t>
      </w:r>
    </w:p>
  </w:footnote>
  <w:footnote w:id="451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الغير</w:t>
      </w:r>
      <w:r>
        <w:rPr>
          <w:rFonts w:hint="eastAsia"/>
          <w:rtl/>
        </w:rPr>
        <w:t>»</w:t>
      </w:r>
      <w:r>
        <w:rPr>
          <w:rFonts w:hint="cs"/>
          <w:rtl/>
        </w:rPr>
        <w:t>.</w:t>
      </w:r>
    </w:p>
  </w:footnote>
  <w:footnote w:id="451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58/ب من (ب).</w:t>
      </w:r>
    </w:p>
  </w:footnote>
  <w:footnote w:id="451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ونتائج الأفكار، 9/297؛ تبيين الحقائق، 4/176؛ البحر الرائق، 6/284؛ رد المحتار، 9/258.</w:t>
      </w:r>
    </w:p>
  </w:footnote>
  <w:footnote w:id="451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92/أ من (أ).</w:t>
      </w:r>
    </w:p>
  </w:footnote>
  <w:footnote w:id="451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متّحدة من جهة المعنى مع قاعدة سبق الحديث عنها، وهي : </w:t>
      </w:r>
      <w:r>
        <w:rPr>
          <w:rFonts w:hint="eastAsia"/>
          <w:rtl/>
        </w:rPr>
        <w:t>«</w:t>
      </w:r>
      <w:r>
        <w:rPr>
          <w:rFonts w:hint="cs"/>
          <w:rtl/>
        </w:rPr>
        <w:t>الأصل بقاء ما كان على ما كان</w:t>
      </w:r>
      <w:r>
        <w:rPr>
          <w:rFonts w:hint="eastAsia"/>
          <w:rtl/>
        </w:rPr>
        <w:t>»</w:t>
      </w:r>
      <w:r>
        <w:rPr>
          <w:rFonts w:hint="cs"/>
          <w:rtl/>
        </w:rPr>
        <w:t xml:space="preserve"> - وذلك ص315 (ل10/ب)، قاعدة 25 - كما صرّح بذلك كثير من شرّاح المجلة أو قواعدها -الآتي ذكر كتبهم-.</w:t>
      </w:r>
    </w:p>
    <w:p w:rsidR="00035BE3" w:rsidRDefault="00035BE3" w:rsidP="00C10469">
      <w:pPr>
        <w:pStyle w:val="a6"/>
        <w:ind w:left="422" w:firstLine="0"/>
        <w:rPr>
          <w:rtl/>
        </w:rPr>
      </w:pPr>
      <w:r>
        <w:rPr>
          <w:rFonts w:hint="cs"/>
          <w:rtl/>
        </w:rPr>
        <w:t>وقد وردت بهذا اللفظ أو نحوه في كثير من كتب الفقه وقواعده :</w:t>
      </w:r>
    </w:p>
    <w:p w:rsidR="00035BE3" w:rsidRDefault="00035BE3" w:rsidP="00C10469">
      <w:pPr>
        <w:pStyle w:val="a6"/>
        <w:ind w:left="422" w:firstLine="0"/>
        <w:rPr>
          <w:rtl/>
        </w:rPr>
      </w:pPr>
      <w:r>
        <w:rPr>
          <w:rFonts w:hint="cs"/>
          <w:b/>
          <w:bCs/>
          <w:rtl/>
        </w:rPr>
        <w:t>فمن كتب القواعد</w:t>
      </w:r>
      <w:r>
        <w:rPr>
          <w:rFonts w:hint="cs"/>
          <w:rtl/>
        </w:rPr>
        <w:t xml:space="preserve"> :</w:t>
      </w:r>
    </w:p>
    <w:p w:rsidR="00035BE3" w:rsidRDefault="00035BE3" w:rsidP="00C10469">
      <w:pPr>
        <w:pStyle w:val="a6"/>
        <w:ind w:left="422" w:firstLine="0"/>
        <w:rPr>
          <w:spacing w:val="6"/>
          <w:rtl/>
        </w:rPr>
      </w:pPr>
      <w:r>
        <w:rPr>
          <w:rFonts w:hint="cs"/>
          <w:spacing w:val="6"/>
          <w:rtl/>
        </w:rPr>
        <w:t xml:space="preserve">مجامع الحقائق (الخاتمة)، ص46؛ شرح العلائي لقواعد الخـادمي، ل35/ب؛ منافع الدقائق، ص330؛ -ولفظ المجامع : </w:t>
      </w:r>
      <w:r>
        <w:rPr>
          <w:rFonts w:hint="eastAsia"/>
          <w:spacing w:val="6"/>
          <w:rtl/>
        </w:rPr>
        <w:t>«</w:t>
      </w:r>
      <w:r>
        <w:rPr>
          <w:rFonts w:hint="cs"/>
          <w:spacing w:val="6"/>
          <w:rtl/>
        </w:rPr>
        <w:t>ما ثبت بزمان يحكم ببقائه</w:t>
      </w:r>
      <w:r>
        <w:rPr>
          <w:rFonts w:hint="eastAsia"/>
          <w:spacing w:val="6"/>
          <w:rtl/>
        </w:rPr>
        <w:t>»</w:t>
      </w:r>
      <w:r>
        <w:rPr>
          <w:rFonts w:hint="cs"/>
          <w:spacing w:val="6"/>
          <w:rtl/>
        </w:rPr>
        <w:t xml:space="preserve">-؛ مجلة الأحكام العدلية، مادة10- ولفظها : </w:t>
      </w:r>
      <w:r>
        <w:rPr>
          <w:rFonts w:hint="eastAsia"/>
          <w:spacing w:val="6"/>
          <w:rtl/>
        </w:rPr>
        <w:t>«</w:t>
      </w:r>
      <w:r>
        <w:rPr>
          <w:rFonts w:hint="cs"/>
          <w:spacing w:val="6"/>
          <w:rtl/>
        </w:rPr>
        <w:t>ما ثبت بزمان يحـكم ببقائه ما لم يقم الدليل على خلافه</w:t>
      </w:r>
      <w:r>
        <w:rPr>
          <w:rFonts w:hint="eastAsia"/>
          <w:spacing w:val="6"/>
          <w:rtl/>
        </w:rPr>
        <w:t>»</w:t>
      </w:r>
      <w:r>
        <w:rPr>
          <w:rFonts w:hint="cs"/>
          <w:spacing w:val="6"/>
          <w:rtl/>
        </w:rPr>
        <w:t xml:space="preserve">-؛ شـرحها لسليم رستم، 1/23؛ ولعلي حيدر، 1/24؛ وللأتاسي، 1/29؛ شرح قواعدها للزرقا، ص121؛ قواعد الفقه للمجدّدي، ص114، قاعدة 286؛ المدخل الفقهي العام، 2/968، </w:t>
      </w:r>
      <w:r>
        <w:rPr>
          <w:rFonts w:hint="cs"/>
          <w:spacing w:val="2"/>
          <w:rtl/>
        </w:rPr>
        <w:t xml:space="preserve">فقرة 576؛ الوجيز، ص108؛ </w:t>
      </w:r>
      <w:r>
        <w:rPr>
          <w:rFonts w:hint="cs"/>
          <w:spacing w:val="6"/>
          <w:rtl/>
        </w:rPr>
        <w:t>قاعدة اليقين لا يزول بالشك، ص106؛ القواعد الفقهية الكبرى لشيخنا أ.د. صـالح السدلان، ص113؛ المدخل إلى القواعد الفقهية الكلية، ص83؛ المبادئ الفقهية، ص13؛ القواعد الفقهية للدعاس، ص19، قاعدة 5؛ وللدكتور محمد الزحيلي، 51.</w:t>
      </w:r>
    </w:p>
    <w:p w:rsidR="00035BE3" w:rsidRDefault="00035BE3" w:rsidP="00C10469">
      <w:pPr>
        <w:pStyle w:val="a6"/>
        <w:ind w:left="422" w:firstLine="0"/>
        <w:rPr>
          <w:rtl/>
        </w:rPr>
      </w:pPr>
      <w:r>
        <w:rPr>
          <w:rFonts w:hint="cs"/>
          <w:b/>
          <w:bCs/>
          <w:rtl/>
        </w:rPr>
        <w:t>ومن كتب الفقه</w:t>
      </w:r>
      <w:r>
        <w:rPr>
          <w:rFonts w:hint="cs"/>
          <w:rtl/>
        </w:rPr>
        <w:t xml:space="preserve"> : </w:t>
      </w:r>
    </w:p>
    <w:p w:rsidR="00035BE3" w:rsidRDefault="00035BE3" w:rsidP="00C10469">
      <w:pPr>
        <w:pStyle w:val="a6"/>
        <w:ind w:left="422" w:firstLine="0"/>
        <w:rPr>
          <w:rtl/>
        </w:rPr>
      </w:pPr>
      <w:r>
        <w:rPr>
          <w:rFonts w:hint="cs"/>
          <w:rtl/>
        </w:rPr>
        <w:t>الدرر شرح الغرر، 2/349 -ولفظ المؤلف وجل ما جاء في شرح القاعدة مذكور في الدرر-؛ الدر المختار وحاشيته : قرة عيون الأخيار، 12/87.</w:t>
      </w:r>
    </w:p>
  </w:footnote>
  <w:footnote w:id="451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2/349 - مع اختلاف يسير-؛ وانظر : تنوير الأبصار والدر المختار وقرة عيون الأخيار، 12/87.</w:t>
      </w:r>
    </w:p>
  </w:footnote>
  <w:footnote w:id="452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سبب</w:t>
      </w:r>
      <w:r>
        <w:rPr>
          <w:rFonts w:hint="eastAsia"/>
          <w:rtl/>
        </w:rPr>
        <w:t>»</w:t>
      </w:r>
      <w:r>
        <w:rPr>
          <w:rFonts w:hint="cs"/>
          <w:rtl/>
        </w:rPr>
        <w:t>.</w:t>
      </w:r>
    </w:p>
  </w:footnote>
  <w:footnote w:id="452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بعض كتب الفقه وقواعده :</w:t>
      </w:r>
    </w:p>
    <w:p w:rsidR="00035BE3" w:rsidRDefault="00035BE3" w:rsidP="00C10469">
      <w:pPr>
        <w:pStyle w:val="a6"/>
        <w:ind w:left="422" w:firstLine="0"/>
        <w:rPr>
          <w:rtl/>
        </w:rPr>
      </w:pPr>
      <w:r>
        <w:rPr>
          <w:rFonts w:hint="cs"/>
          <w:b/>
          <w:bCs/>
          <w:rtl/>
        </w:rPr>
        <w:t>فمن كتب القواعد</w:t>
      </w:r>
      <w:r>
        <w:rPr>
          <w:rFonts w:hint="cs"/>
          <w:rtl/>
        </w:rPr>
        <w:t xml:space="preserve"> : </w:t>
      </w:r>
    </w:p>
    <w:p w:rsidR="00035BE3" w:rsidRDefault="00035BE3" w:rsidP="00C10469">
      <w:pPr>
        <w:pStyle w:val="a6"/>
        <w:ind w:left="422" w:firstLine="0"/>
        <w:rPr>
          <w:rtl/>
        </w:rPr>
      </w:pPr>
      <w:r>
        <w:rPr>
          <w:rFonts w:hint="cs"/>
          <w:rtl/>
        </w:rPr>
        <w:t xml:space="preserve">الأشباه والنظائر لابن السبكي، 1/282- ولفظه : </w:t>
      </w:r>
      <w:r>
        <w:rPr>
          <w:rFonts w:hint="eastAsia"/>
          <w:rtl/>
        </w:rPr>
        <w:t>«</w:t>
      </w:r>
      <w:r>
        <w:rPr>
          <w:rFonts w:hint="cs"/>
          <w:rtl/>
        </w:rPr>
        <w:t>ما في الذمة لا يتعيّن إلا بقبضٍ صحيح...</w:t>
      </w:r>
      <w:r>
        <w:rPr>
          <w:rFonts w:hint="eastAsia"/>
          <w:rtl/>
        </w:rPr>
        <w:t>»</w:t>
      </w:r>
      <w:r>
        <w:rPr>
          <w:rFonts w:hint="cs"/>
          <w:rtl/>
        </w:rPr>
        <w:t xml:space="preserve">-؛ وللسيوطي، 2/610- ولفظه : </w:t>
      </w:r>
      <w:r>
        <w:rPr>
          <w:rFonts w:hint="eastAsia"/>
          <w:rtl/>
        </w:rPr>
        <w:t>«</w:t>
      </w:r>
      <w:r>
        <w:rPr>
          <w:rFonts w:hint="cs"/>
          <w:rtl/>
        </w:rPr>
        <w:t>ما في الذمة لا يتعين إلا بقبضِ مكلّفٍ بصير...</w:t>
      </w:r>
      <w:r>
        <w:rPr>
          <w:rFonts w:hint="eastAsia"/>
          <w:rtl/>
        </w:rPr>
        <w:t>»</w:t>
      </w:r>
      <w:r>
        <w:rPr>
          <w:rFonts w:hint="cs"/>
          <w:rtl/>
        </w:rPr>
        <w:t xml:space="preserve">-؛ ولابن نجيم، ص392؛ قواعد الفقه للمجدّدي، ص116، قاعدة 295- ولفظ الأخيرين كلفظ المؤلف إلاّ أنهما قالا في نهاية العبارة : </w:t>
      </w:r>
      <w:r>
        <w:rPr>
          <w:rFonts w:hint="eastAsia"/>
          <w:rtl/>
        </w:rPr>
        <w:t>«</w:t>
      </w:r>
      <w:r>
        <w:rPr>
          <w:rFonts w:hint="cs"/>
          <w:rtl/>
        </w:rPr>
        <w:t>بقبض</w:t>
      </w:r>
      <w:r>
        <w:rPr>
          <w:rFonts w:hint="eastAsia"/>
          <w:rtl/>
        </w:rPr>
        <w:t>»</w:t>
      </w:r>
      <w:r>
        <w:rPr>
          <w:rFonts w:hint="cs"/>
          <w:rtl/>
        </w:rPr>
        <w:t xml:space="preserve"> (بإسقاط (أل) التعريف).</w:t>
      </w:r>
    </w:p>
    <w:p w:rsidR="00035BE3" w:rsidRDefault="00035BE3" w:rsidP="00C10469">
      <w:pPr>
        <w:pStyle w:val="a6"/>
        <w:ind w:left="422" w:firstLine="0"/>
        <w:rPr>
          <w:rtl/>
        </w:rPr>
      </w:pPr>
      <w:r>
        <w:rPr>
          <w:rFonts w:hint="cs"/>
          <w:b/>
          <w:bCs/>
          <w:rtl/>
        </w:rPr>
        <w:t>ومن كتب الفقه</w:t>
      </w:r>
      <w:r>
        <w:rPr>
          <w:rFonts w:hint="cs"/>
          <w:rtl/>
        </w:rPr>
        <w:t xml:space="preserve"> :</w:t>
      </w:r>
    </w:p>
    <w:p w:rsidR="00035BE3" w:rsidRDefault="00035BE3" w:rsidP="00C10469">
      <w:pPr>
        <w:pStyle w:val="a6"/>
        <w:ind w:left="422" w:firstLine="0"/>
        <w:rPr>
          <w:rtl/>
        </w:rPr>
      </w:pPr>
      <w:r>
        <w:rPr>
          <w:rFonts w:hint="cs"/>
          <w:rtl/>
        </w:rPr>
        <w:t xml:space="preserve">بدائع الصنائع، 5/235. </w:t>
      </w:r>
    </w:p>
  </w:footnote>
  <w:footnote w:id="452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ص392؛ قواعد المجدّدي، ص116 -مع اختلاف في نهاية العبارة، حيث جاء فيهما : </w:t>
      </w:r>
      <w:r>
        <w:rPr>
          <w:rFonts w:hint="eastAsia"/>
          <w:rtl/>
        </w:rPr>
        <w:t>«</w:t>
      </w:r>
      <w:r>
        <w:rPr>
          <w:rFonts w:hint="cs"/>
          <w:rtl/>
        </w:rPr>
        <w:t>...أن يشاركه. ويصح تفريعه على : إنّ ما في الذمة لا تصح قسمته</w:t>
      </w:r>
      <w:r>
        <w:rPr>
          <w:rFonts w:hint="eastAsia"/>
          <w:rtl/>
        </w:rPr>
        <w:t>»</w:t>
      </w:r>
      <w:r>
        <w:rPr>
          <w:rFonts w:hint="cs"/>
          <w:rtl/>
        </w:rPr>
        <w:t>.</w:t>
      </w:r>
    </w:p>
  </w:footnote>
  <w:footnote w:id="452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56/أ من (د).</w:t>
      </w:r>
    </w:p>
  </w:footnote>
  <w:footnote w:id="452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عطاؤه</w:t>
      </w:r>
      <w:r>
        <w:rPr>
          <w:rFonts w:hint="eastAsia"/>
          <w:rtl/>
        </w:rPr>
        <w:t>»</w:t>
      </w:r>
      <w:r>
        <w:rPr>
          <w:rFonts w:hint="cs"/>
          <w:rtl/>
        </w:rPr>
        <w:t>.</w:t>
      </w:r>
    </w:p>
  </w:footnote>
  <w:footnote w:id="452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وقواعده : </w:t>
      </w:r>
    </w:p>
    <w:p w:rsidR="00035BE3" w:rsidRDefault="00035BE3" w:rsidP="00C10469">
      <w:pPr>
        <w:pStyle w:val="a6"/>
        <w:ind w:left="422" w:firstLine="0"/>
        <w:rPr>
          <w:rtl/>
        </w:rPr>
      </w:pPr>
      <w:r>
        <w:rPr>
          <w:rFonts w:hint="cs"/>
          <w:b/>
          <w:bCs/>
          <w:rtl/>
        </w:rPr>
        <w:t>فمن كتب القواعد</w:t>
      </w:r>
      <w:r>
        <w:rPr>
          <w:rFonts w:hint="cs"/>
          <w:rtl/>
        </w:rPr>
        <w:t xml:space="preserve"> :</w:t>
      </w:r>
    </w:p>
    <w:p w:rsidR="00035BE3" w:rsidRDefault="00035BE3" w:rsidP="00C10469">
      <w:pPr>
        <w:pStyle w:val="a6"/>
        <w:ind w:left="422" w:firstLine="0"/>
        <w:rPr>
          <w:spacing w:val="4"/>
          <w:rtl/>
        </w:rPr>
      </w:pPr>
      <w:r>
        <w:rPr>
          <w:rFonts w:hint="cs"/>
          <w:spacing w:val="4"/>
          <w:rtl/>
        </w:rPr>
        <w:t xml:space="preserve">المنثور، 3/140 -ولفظه : </w:t>
      </w:r>
      <w:r>
        <w:rPr>
          <w:rFonts w:hint="eastAsia"/>
          <w:spacing w:val="4"/>
          <w:rtl/>
        </w:rPr>
        <w:t>«</w:t>
      </w:r>
      <w:r>
        <w:rPr>
          <w:rFonts w:hint="cs"/>
          <w:spacing w:val="4"/>
          <w:rtl/>
        </w:rPr>
        <w:t xml:space="preserve">ما حرم على الآخذ أخذه حرم على المعطي إعطائه [هكذا كُتبت الهمزة في المطبوع من المنثور!] </w:t>
      </w:r>
      <w:r>
        <w:rPr>
          <w:rFonts w:hint="eastAsia"/>
          <w:spacing w:val="4"/>
          <w:rtl/>
        </w:rPr>
        <w:t>»</w:t>
      </w:r>
      <w:r>
        <w:rPr>
          <w:rFonts w:hint="cs"/>
          <w:spacing w:val="4"/>
          <w:rtl/>
        </w:rPr>
        <w:t xml:space="preserve">-؛ الأشباه والنظائر للسيوطي، 1/333؛ ولابن نجيم، ص182؛ الفرائد البهية وشرحاها : الأقمار المضيئة، ص217، والمواهب السنية وحاشيتها : الفوائـد الجنية، 2/296 - ولفظ الفرائد: </w:t>
      </w:r>
    </w:p>
    <w:p w:rsidR="00035BE3" w:rsidRDefault="00035BE3" w:rsidP="00C10469">
      <w:pPr>
        <w:pStyle w:val="a6"/>
        <w:ind w:left="422" w:hanging="454"/>
        <w:jc w:val="center"/>
        <w:rPr>
          <w:b/>
          <w:bCs/>
          <w:rtl/>
        </w:rPr>
      </w:pPr>
      <w:r>
        <w:rPr>
          <w:rFonts w:hint="cs"/>
          <w:b/>
          <w:bCs/>
          <w:rtl/>
        </w:rPr>
        <w:t xml:space="preserve">    وكـل مــا حـرم أخـذه حُـظِـرْ        إعـطـاؤه أيـضـا كـمـا عـنهم شُهِرْ-؛</w:t>
      </w:r>
    </w:p>
    <w:p w:rsidR="00035BE3" w:rsidRDefault="00035BE3" w:rsidP="00C10469">
      <w:pPr>
        <w:pStyle w:val="a6"/>
        <w:ind w:left="422" w:firstLine="0"/>
        <w:rPr>
          <w:spacing w:val="8"/>
          <w:rtl/>
        </w:rPr>
      </w:pPr>
      <w:r>
        <w:rPr>
          <w:rFonts w:hint="cs"/>
          <w:spacing w:val="8"/>
          <w:rtl/>
        </w:rPr>
        <w:t>مجامع الحقائق (الخاتمة)، ص46؛ شرح العلائي لقواعد الخادمي، ل35/ب؛ منافع الدقائق، ص330؛ مجلة الأحكام العدلية، مادة 34؛ شرحها لسليم رستم، 1/33؛ ولعلي حيدر، 1/39؛ وللأتاسي، 1/77؛ وشرح قواعدها للزرقا، ص215؛ قواعد الفقه للمجدّدي، ص 115، قاعدة 291؛ المدخل الفقهي العام، 2/1013، مادة 628؛ القواعد والضوابط المستخلصة من التحرير، ص128؛ الوجيز، ص336- وقد ذكر لفظ المؤلف وألفاظًا أخر قريبة من معناه-؛ المدخل إلى القواعد الفقهية، ص123، 125؛ المبادئ الفقهية، ص28؛ القواعد الفقهية للدعاس، ص78؛ وللدكتور محمد الزحيلي، ص79.</w:t>
      </w:r>
    </w:p>
    <w:p w:rsidR="00035BE3" w:rsidRDefault="00035BE3" w:rsidP="00C10469">
      <w:pPr>
        <w:pStyle w:val="a6"/>
        <w:ind w:left="422" w:firstLine="0"/>
        <w:rPr>
          <w:rtl/>
        </w:rPr>
      </w:pPr>
      <w:r>
        <w:rPr>
          <w:rFonts w:hint="cs"/>
          <w:b/>
          <w:bCs/>
          <w:rtl/>
        </w:rPr>
        <w:t>ومن كتب الفقه</w:t>
      </w:r>
      <w:r>
        <w:rPr>
          <w:rFonts w:hint="cs"/>
          <w:rtl/>
        </w:rPr>
        <w:t xml:space="preserve"> :</w:t>
      </w:r>
    </w:p>
    <w:p w:rsidR="00035BE3" w:rsidRDefault="00035BE3" w:rsidP="00C10469">
      <w:pPr>
        <w:pStyle w:val="a6"/>
        <w:ind w:left="422" w:firstLine="0"/>
        <w:rPr>
          <w:rtl/>
        </w:rPr>
      </w:pPr>
      <w:r>
        <w:rPr>
          <w:rFonts w:hint="cs"/>
          <w:rtl/>
        </w:rPr>
        <w:t>رد المحتار، 3/280، 4/50.</w:t>
      </w:r>
    </w:p>
  </w:footnote>
  <w:footnote w:id="452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حرم أخذ القرض من الآخرين بفائدة، كما حرم على الآخرين إعطاء القرض بهذه الفائدة.</w:t>
      </w:r>
    </w:p>
  </w:footnote>
  <w:footnote w:id="452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كان</w:t>
      </w:r>
      <w:r>
        <w:rPr>
          <w:rFonts w:hint="eastAsia"/>
          <w:rtl/>
        </w:rPr>
        <w:t>»</w:t>
      </w:r>
      <w:r>
        <w:rPr>
          <w:rFonts w:hint="cs"/>
          <w:rtl/>
        </w:rPr>
        <w:t>.</w:t>
      </w:r>
    </w:p>
  </w:footnote>
  <w:footnote w:id="452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ص625 (ل44/ب)، ق108؛ وقد تم التعليق على هذه المسألة في ذلك الموضع.</w:t>
      </w:r>
    </w:p>
  </w:footnote>
  <w:footnote w:id="4529">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ص182.</w:t>
      </w:r>
    </w:p>
  </w:footnote>
  <w:footnote w:id="4530">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هجره</w:t>
      </w:r>
      <w:r>
        <w:rPr>
          <w:rFonts w:hint="eastAsia"/>
          <w:rtl/>
        </w:rPr>
        <w:t>»</w:t>
      </w:r>
      <w:r>
        <w:rPr>
          <w:rFonts w:hint="cs"/>
          <w:rtl/>
        </w:rPr>
        <w:t>.</w:t>
      </w:r>
    </w:p>
  </w:footnote>
  <w:footnote w:id="4531">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المنثور، 3/140؛ الأشباه للسيوطي، 1/333؛ ولابن نجيم، ص182؛ وانظر : شرح القواعد الفقهية للزرقا، ص16؛ المدخل الفقهي العام، 2/2013، فقرة 628.</w:t>
      </w:r>
    </w:p>
  </w:footnote>
  <w:footnote w:id="4532">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إذا</w:t>
      </w:r>
      <w:r>
        <w:rPr>
          <w:rFonts w:hint="eastAsia"/>
          <w:rtl/>
        </w:rPr>
        <w:t>»</w:t>
      </w:r>
      <w:r>
        <w:rPr>
          <w:rFonts w:hint="cs"/>
          <w:rtl/>
        </w:rPr>
        <w:t xml:space="preserve"> : ساقطة من (جـ).</w:t>
      </w:r>
    </w:p>
  </w:footnote>
  <w:footnote w:id="4533">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92/ب من (أ).</w:t>
      </w:r>
    </w:p>
  </w:footnote>
  <w:footnote w:id="4534">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مصدر هذه العبارة (وهو أشباه ابن نجيم) : </w:t>
      </w:r>
      <w:r>
        <w:rPr>
          <w:rFonts w:hint="eastAsia"/>
          <w:rtl/>
        </w:rPr>
        <w:t>«</w:t>
      </w:r>
      <w:r>
        <w:rPr>
          <w:rFonts w:hint="cs"/>
          <w:rtl/>
        </w:rPr>
        <w:t>ليخلّصه</w:t>
      </w:r>
      <w:r>
        <w:rPr>
          <w:rFonts w:hint="eastAsia"/>
          <w:rtl/>
        </w:rPr>
        <w:t>»</w:t>
      </w:r>
      <w:r>
        <w:rPr>
          <w:rFonts w:hint="cs"/>
          <w:rtl/>
        </w:rPr>
        <w:t>. وكلا اللفظين صحيح؛ لأنهما بمعنى واحد، وعلى هذا نصّت كتب اللغة، ومن ذلك :</w:t>
      </w:r>
    </w:p>
    <w:p w:rsidR="00035BE3" w:rsidRDefault="00035BE3" w:rsidP="00C10469">
      <w:pPr>
        <w:pStyle w:val="a6"/>
        <w:spacing w:line="540" w:lineRule="exact"/>
        <w:ind w:left="422" w:firstLine="0"/>
        <w:rPr>
          <w:rtl/>
        </w:rPr>
      </w:pPr>
      <w:r>
        <w:rPr>
          <w:rtl/>
        </w:rPr>
        <w:t>•</w:t>
      </w:r>
      <w:r>
        <w:rPr>
          <w:rFonts w:hint="cs"/>
          <w:rtl/>
        </w:rPr>
        <w:t xml:space="preserve"> ما جاء في (اللسان) : </w:t>
      </w:r>
      <w:r>
        <w:rPr>
          <w:rFonts w:hint="eastAsia"/>
          <w:rtl/>
        </w:rPr>
        <w:t>«</w:t>
      </w:r>
      <w:r>
        <w:rPr>
          <w:rFonts w:hint="cs"/>
          <w:rtl/>
        </w:rPr>
        <w:t>التخليص : التنجية من كل منشب، تقول : خلّصته من كذا تخليصًا أي : نجّيته تنجية فتخلّص، وتخلّصه تخلّصًا كما يُتخلّص الغزل إذا التبس</w:t>
      </w:r>
      <w:r>
        <w:rPr>
          <w:rFonts w:hint="eastAsia"/>
          <w:rtl/>
        </w:rPr>
        <w:t>»</w:t>
      </w:r>
      <w:r>
        <w:rPr>
          <w:rFonts w:hint="cs"/>
          <w:rtl/>
        </w:rPr>
        <w:t>.</w:t>
      </w:r>
    </w:p>
    <w:p w:rsidR="00035BE3" w:rsidRDefault="00035BE3" w:rsidP="00C10469">
      <w:pPr>
        <w:pStyle w:val="a6"/>
        <w:spacing w:line="540" w:lineRule="exact"/>
        <w:ind w:left="-32" w:firstLine="454"/>
        <w:rPr>
          <w:rtl/>
        </w:rPr>
      </w:pPr>
      <w:r>
        <w:rPr>
          <w:rtl/>
        </w:rPr>
        <w:t>•</w:t>
      </w:r>
      <w:r>
        <w:rPr>
          <w:rFonts w:hint="cs"/>
          <w:rtl/>
        </w:rPr>
        <w:t xml:space="preserve"> وجاء في (المعجم الوسيط) : </w:t>
      </w:r>
      <w:r>
        <w:rPr>
          <w:rFonts w:hint="eastAsia"/>
          <w:rtl/>
        </w:rPr>
        <w:t>«</w:t>
      </w:r>
      <w:r>
        <w:rPr>
          <w:rFonts w:hint="cs"/>
          <w:rtl/>
        </w:rPr>
        <w:t>تخلّص مُطاوع خلَّصَهُ</w:t>
      </w:r>
      <w:r>
        <w:rPr>
          <w:rFonts w:hint="eastAsia"/>
          <w:rtl/>
        </w:rPr>
        <w:t>»</w:t>
      </w:r>
      <w:r>
        <w:rPr>
          <w:rFonts w:hint="cs"/>
          <w:rtl/>
        </w:rPr>
        <w:t>.</w:t>
      </w:r>
    </w:p>
    <w:p w:rsidR="00035BE3" w:rsidRDefault="00035BE3" w:rsidP="00C10469">
      <w:pPr>
        <w:pStyle w:val="a6"/>
        <w:spacing w:line="540" w:lineRule="exact"/>
        <w:ind w:left="422" w:firstLine="0"/>
        <w:rPr>
          <w:rtl/>
        </w:rPr>
      </w:pPr>
      <w:r>
        <w:rPr>
          <w:rFonts w:hint="cs"/>
          <w:rtl/>
        </w:rPr>
        <w:t xml:space="preserve">لسان العرب، مادة </w:t>
      </w:r>
      <w:r>
        <w:rPr>
          <w:rFonts w:hint="eastAsia"/>
          <w:rtl/>
        </w:rPr>
        <w:t>«</w:t>
      </w:r>
      <w:r>
        <w:rPr>
          <w:rFonts w:hint="cs"/>
          <w:rtl/>
        </w:rPr>
        <w:t>خلص</w:t>
      </w:r>
      <w:r>
        <w:rPr>
          <w:rFonts w:hint="eastAsia"/>
          <w:rtl/>
        </w:rPr>
        <w:t>»</w:t>
      </w:r>
      <w:r>
        <w:rPr>
          <w:rFonts w:hint="cs"/>
          <w:rtl/>
        </w:rPr>
        <w:t xml:space="preserve">، 7/26؛ المعجم الوسيط، مادة </w:t>
      </w:r>
      <w:r>
        <w:rPr>
          <w:rFonts w:hint="eastAsia"/>
          <w:rtl/>
        </w:rPr>
        <w:t>«</w:t>
      </w:r>
      <w:r>
        <w:rPr>
          <w:rFonts w:hint="cs"/>
          <w:rtl/>
        </w:rPr>
        <w:t>خلص</w:t>
      </w:r>
      <w:r>
        <w:rPr>
          <w:rFonts w:hint="eastAsia"/>
          <w:rtl/>
        </w:rPr>
        <w:t>»</w:t>
      </w:r>
      <w:r>
        <w:rPr>
          <w:rFonts w:hint="cs"/>
          <w:rtl/>
        </w:rPr>
        <w:t>، 1/249.</w:t>
      </w:r>
    </w:p>
  </w:footnote>
  <w:footnote w:id="4535">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لابن نجيم، ص182، حيث جاء فيه : </w:t>
      </w:r>
      <w:r>
        <w:rPr>
          <w:rFonts w:hint="eastAsia"/>
          <w:rtl/>
        </w:rPr>
        <w:t>«</w:t>
      </w:r>
      <w:r>
        <w:rPr>
          <w:rFonts w:hint="cs"/>
          <w:rtl/>
        </w:rPr>
        <w:t>ولو خاف الوصيُّ أن يستولي غاصبٌ على المال : فله أداء شيء ليخلِّصه. كما في (الخلاصة)</w:t>
      </w:r>
      <w:r>
        <w:rPr>
          <w:rFonts w:hint="eastAsia"/>
          <w:rtl/>
        </w:rPr>
        <w:t>»</w:t>
      </w:r>
      <w:r>
        <w:rPr>
          <w:rFonts w:hint="cs"/>
          <w:rtl/>
        </w:rPr>
        <w:t>.</w:t>
      </w:r>
    </w:p>
    <w:p w:rsidR="00035BE3" w:rsidRDefault="00035BE3" w:rsidP="00C10469">
      <w:pPr>
        <w:pStyle w:val="a6"/>
        <w:spacing w:line="540" w:lineRule="exact"/>
        <w:ind w:left="422" w:firstLine="0"/>
        <w:rPr>
          <w:spacing w:val="4"/>
          <w:rtl/>
        </w:rPr>
      </w:pPr>
      <w:r>
        <w:rPr>
          <w:rFonts w:hint="cs"/>
          <w:spacing w:val="4"/>
          <w:rtl/>
        </w:rPr>
        <w:t>وانظر الخلاصة، 4/242؛ المنثور، 3/140؛ الأشباه للسيوطي، 1/333؛ شرح المجلة للأتاسي، 1/78؛ شرح القواعد الفقهية للزرقا، ص216؛ المدخل الفقهي العام، 1/1014.</w:t>
      </w:r>
    </w:p>
  </w:footnote>
  <w:footnote w:id="4536">
    <w:p w:rsidR="00035BE3" w:rsidRDefault="00035BE3" w:rsidP="00C10469">
      <w:pPr>
        <w:pStyle w:val="a8"/>
        <w:bidi/>
        <w:spacing w:line="5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سبق أن ذكرها المؤلف عَرَضًا، ص210 (ل2/ب)، وتم توثيقها مفصلة هناك.</w:t>
      </w:r>
    </w:p>
  </w:footnote>
  <w:footnote w:id="453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68/ب من (جـ).</w:t>
      </w:r>
    </w:p>
  </w:footnote>
  <w:footnote w:id="453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w:t>
      </w:r>
      <w:r>
        <w:rPr>
          <w:rFonts w:hint="eastAsia"/>
          <w:rtl/>
        </w:rPr>
        <w:t>«</w:t>
      </w:r>
      <w:r>
        <w:rPr>
          <w:rFonts w:hint="cs"/>
          <w:rtl/>
        </w:rPr>
        <w:t>سأل</w:t>
      </w:r>
      <w:r>
        <w:rPr>
          <w:rFonts w:hint="eastAsia"/>
          <w:rtl/>
        </w:rPr>
        <w:t>»</w:t>
      </w:r>
      <w:r>
        <w:rPr>
          <w:rFonts w:hint="cs"/>
          <w:rtl/>
        </w:rPr>
        <w:t xml:space="preserve">، وفي (د): </w:t>
      </w:r>
      <w:r>
        <w:rPr>
          <w:rFonts w:hint="eastAsia"/>
          <w:rtl/>
        </w:rPr>
        <w:t>«</w:t>
      </w:r>
      <w:r>
        <w:rPr>
          <w:rFonts w:hint="cs"/>
          <w:rtl/>
        </w:rPr>
        <w:t>سئل</w:t>
      </w:r>
      <w:r>
        <w:rPr>
          <w:rFonts w:hint="eastAsia"/>
          <w:rtl/>
        </w:rPr>
        <w:t>»</w:t>
      </w:r>
      <w:r>
        <w:rPr>
          <w:rFonts w:hint="cs"/>
          <w:rtl/>
        </w:rPr>
        <w:t>. وما جاء في (ب) و(جـ) هو الموافق لأشباه ابن نجيم.</w:t>
      </w:r>
    </w:p>
  </w:footnote>
  <w:footnote w:id="453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لابن نجيم، ص182-183.</w:t>
      </w:r>
    </w:p>
  </w:footnote>
  <w:footnote w:id="4540">
    <w:p w:rsidR="00035BE3" w:rsidRDefault="00035BE3" w:rsidP="00C10469">
      <w:pPr>
        <w:pStyle w:val="a8"/>
        <w:bidi/>
        <w:ind w:left="422" w:right="0"/>
        <w:rPr>
          <w:spacing w:val="-6"/>
          <w:rtl/>
        </w:rPr>
      </w:pPr>
      <w:r>
        <w:rPr>
          <w:rFonts w:hint="cs"/>
          <w:spacing w:val="-6"/>
          <w:vertAlign w:val="superscript"/>
          <w:rtl/>
        </w:rPr>
        <w:t xml:space="preserve">  (</w:t>
      </w:r>
      <w:r>
        <w:rPr>
          <w:rStyle w:val="a7"/>
          <w:spacing w:val="-6"/>
        </w:rPr>
        <w:footnoteRef/>
      </w:r>
      <w:r>
        <w:rPr>
          <w:rFonts w:hint="cs"/>
          <w:spacing w:val="-6"/>
          <w:vertAlign w:val="superscript"/>
          <w:rtl/>
        </w:rPr>
        <w:t>)</w:t>
      </w:r>
      <w:r>
        <w:rPr>
          <w:rFonts w:hint="cs"/>
          <w:spacing w:val="-6"/>
          <w:rtl/>
        </w:rPr>
        <w:t xml:space="preserve">  في (أ) و(ب) و(جـ): </w:t>
      </w:r>
      <w:r>
        <w:rPr>
          <w:rFonts w:hint="eastAsia"/>
          <w:spacing w:val="-6"/>
          <w:rtl/>
        </w:rPr>
        <w:t>«</w:t>
      </w:r>
      <w:r>
        <w:rPr>
          <w:rFonts w:hint="cs"/>
          <w:spacing w:val="-6"/>
          <w:rtl/>
        </w:rPr>
        <w:t>بجماعة</w:t>
      </w:r>
      <w:r>
        <w:rPr>
          <w:rFonts w:hint="eastAsia"/>
          <w:spacing w:val="-6"/>
          <w:rtl/>
        </w:rPr>
        <w:t>»</w:t>
      </w:r>
      <w:r>
        <w:rPr>
          <w:rFonts w:hint="cs"/>
          <w:spacing w:val="-6"/>
          <w:rtl/>
        </w:rPr>
        <w:t>. والصحيح ما تمَّ إثباته من (د)، وهو الموافق لمصدر القاعدة (وهو أشباه ابن نجيم).</w:t>
      </w:r>
    </w:p>
  </w:footnote>
  <w:footnote w:id="454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بلفظها في الأشباه لابن نجيم، ص202؛ وفي قواعد الفقه للمجدّدي، ص77.</w:t>
      </w:r>
    </w:p>
  </w:footnote>
  <w:footnote w:id="4542">
    <w:p w:rsidR="00035BE3" w:rsidRDefault="00035BE3" w:rsidP="00C10469">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 </w:t>
      </w:r>
      <w:r>
        <w:rPr>
          <w:rFonts w:hint="eastAsia"/>
          <w:spacing w:val="-8"/>
          <w:rtl/>
        </w:rPr>
        <w:t>«</w:t>
      </w:r>
      <w:r>
        <w:rPr>
          <w:rFonts w:hint="cs"/>
          <w:spacing w:val="-8"/>
          <w:rtl/>
        </w:rPr>
        <w:t>لإقضائه</w:t>
      </w:r>
      <w:r>
        <w:rPr>
          <w:rFonts w:hint="eastAsia"/>
          <w:spacing w:val="-8"/>
          <w:rtl/>
        </w:rPr>
        <w:t>»</w:t>
      </w:r>
      <w:r>
        <w:rPr>
          <w:rFonts w:hint="cs"/>
          <w:spacing w:val="-8"/>
          <w:rtl/>
        </w:rPr>
        <w:t xml:space="preserve">. والصحيح ما تمَّ إثباته من باقي النسخ. وكلمة : </w:t>
      </w:r>
      <w:r>
        <w:rPr>
          <w:rFonts w:hint="eastAsia"/>
          <w:spacing w:val="-8"/>
          <w:rtl/>
        </w:rPr>
        <w:t>«</w:t>
      </w:r>
      <w:r>
        <w:rPr>
          <w:rFonts w:hint="cs"/>
          <w:spacing w:val="-8"/>
          <w:rtl/>
        </w:rPr>
        <w:t>إفضائه</w:t>
      </w:r>
      <w:r>
        <w:rPr>
          <w:rFonts w:hint="eastAsia"/>
          <w:spacing w:val="-8"/>
          <w:rtl/>
        </w:rPr>
        <w:t>»</w:t>
      </w:r>
      <w:r>
        <w:rPr>
          <w:rFonts w:hint="cs"/>
          <w:spacing w:val="-8"/>
          <w:rtl/>
        </w:rPr>
        <w:t xml:space="preserve"> تمثّل نهاية 59/أ من (ب).</w:t>
      </w:r>
    </w:p>
  </w:footnote>
  <w:footnote w:id="4543">
    <w:p w:rsidR="00035BE3" w:rsidRDefault="00035BE3" w:rsidP="00C10469">
      <w:pPr>
        <w:pStyle w:val="a8"/>
        <w:bidi/>
        <w:ind w:left="422" w:right="0"/>
        <w:rPr>
          <w:spacing w:val="-12"/>
          <w:rtl/>
        </w:rPr>
      </w:pPr>
      <w:r>
        <w:rPr>
          <w:rFonts w:hint="cs"/>
          <w:spacing w:val="-12"/>
          <w:vertAlign w:val="superscript"/>
          <w:rtl/>
        </w:rPr>
        <w:t>(</w:t>
      </w:r>
      <w:r>
        <w:rPr>
          <w:rStyle w:val="a7"/>
          <w:spacing w:val="-12"/>
        </w:rPr>
        <w:footnoteRef/>
      </w:r>
      <w:r>
        <w:rPr>
          <w:rFonts w:hint="cs"/>
          <w:spacing w:val="-12"/>
          <w:vertAlign w:val="superscript"/>
          <w:rtl/>
        </w:rPr>
        <w:t>)</w:t>
      </w:r>
      <w:r>
        <w:rPr>
          <w:rFonts w:hint="cs"/>
          <w:spacing w:val="-12"/>
          <w:rtl/>
        </w:rPr>
        <w:t xml:space="preserve">   انظر : الهداية والعناية ونتائج الأفكار، 8/95-96؛ الدّرر شرح الغرر، 2/290؛ قرّة عيون الأخيار، 11/462.</w:t>
      </w:r>
    </w:p>
  </w:footnote>
  <w:footnote w:id="454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وطلاق وعتق لم يُعوَّضا</w:t>
      </w:r>
      <w:r>
        <w:rPr>
          <w:rFonts w:hint="eastAsia"/>
          <w:rtl/>
        </w:rPr>
        <w:t>»</w:t>
      </w:r>
      <w:r>
        <w:rPr>
          <w:rFonts w:hint="cs"/>
          <w:rtl/>
        </w:rPr>
        <w:t xml:space="preserve"> : ورد بيانه في (نتائج الأفكار) -8/97- على النحو الآتي: </w:t>
      </w:r>
      <w:r>
        <w:rPr>
          <w:rFonts w:hint="eastAsia"/>
          <w:rtl/>
        </w:rPr>
        <w:t>«</w:t>
      </w:r>
      <w:r>
        <w:rPr>
          <w:rFonts w:hint="cs"/>
          <w:rtl/>
        </w:rPr>
        <w:t>أي: أو أنْ يوكِّلهما بطلاق زوجته بغير عوض، فإن لأحدهما أن يطلقها بانفراده.</w:t>
      </w:r>
    </w:p>
    <w:p w:rsidR="00035BE3" w:rsidRDefault="00035BE3" w:rsidP="00C10469">
      <w:pPr>
        <w:pStyle w:val="a6"/>
        <w:ind w:left="422" w:right="170" w:firstLine="0"/>
        <w:rPr>
          <w:rtl/>
        </w:rPr>
      </w:pPr>
      <w:r>
        <w:rPr>
          <w:rFonts w:hint="cs"/>
          <w:rtl/>
        </w:rPr>
        <w:t>(أو بـعتق عبـده بغـير عوض) أي : أو أن يوكلهما بعتق عبده بغير عوض، فإن لأحدهما أن يعتقه وحده</w:t>
      </w:r>
      <w:r>
        <w:rPr>
          <w:rFonts w:hint="eastAsia"/>
          <w:rtl/>
        </w:rPr>
        <w:t>»</w:t>
      </w:r>
      <w:r>
        <w:rPr>
          <w:rFonts w:hint="cs"/>
          <w:rtl/>
        </w:rPr>
        <w:t>.</w:t>
      </w:r>
    </w:p>
  </w:footnote>
  <w:footnote w:id="4545">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معير</w:t>
      </w:r>
      <w:r>
        <w:rPr>
          <w:rFonts w:hint="eastAsia"/>
          <w:rtl/>
        </w:rPr>
        <w:t>»</w:t>
      </w:r>
      <w:r>
        <w:rPr>
          <w:rFonts w:hint="cs"/>
          <w:rtl/>
        </w:rPr>
        <w:t>.</w:t>
      </w:r>
    </w:p>
    <w:p w:rsidR="00035BE3" w:rsidRDefault="00035BE3" w:rsidP="00C10469">
      <w:pPr>
        <w:pStyle w:val="a6"/>
        <w:ind w:left="422" w:right="170" w:firstLine="0"/>
        <w:rPr>
          <w:rtl/>
        </w:rPr>
      </w:pPr>
      <w:r>
        <w:rPr>
          <w:rFonts w:hint="cs"/>
          <w:rtl/>
        </w:rPr>
        <w:t xml:space="preserve">وقد جاء في الدرر: </w:t>
      </w:r>
      <w:r>
        <w:rPr>
          <w:rFonts w:hint="eastAsia"/>
          <w:rtl/>
        </w:rPr>
        <w:t>«</w:t>
      </w:r>
      <w:r>
        <w:rPr>
          <w:rFonts w:hint="cs"/>
          <w:rtl/>
        </w:rPr>
        <w:t xml:space="preserve">... لم يعوّضا؛ إذ لا يحتاج في شيء منها إلى الرأي؛ بل هو </w:t>
      </w:r>
      <w:r>
        <w:rPr>
          <w:rFonts w:hint="cs"/>
          <w:b/>
          <w:bCs/>
          <w:rtl/>
        </w:rPr>
        <w:t>تعبير</w:t>
      </w:r>
      <w:r>
        <w:rPr>
          <w:rFonts w:hint="cs"/>
          <w:rtl/>
        </w:rPr>
        <w:t xml:space="preserve"> محض ...</w:t>
      </w:r>
      <w:r>
        <w:rPr>
          <w:rFonts w:hint="eastAsia"/>
          <w:rtl/>
        </w:rPr>
        <w:t>»</w:t>
      </w:r>
      <w:r>
        <w:rPr>
          <w:rFonts w:hint="cs"/>
          <w:rtl/>
        </w:rPr>
        <w:t>.</w:t>
      </w:r>
    </w:p>
  </w:footnote>
  <w:footnote w:id="454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ما إن</w:t>
      </w:r>
      <w:r>
        <w:rPr>
          <w:rFonts w:hint="eastAsia"/>
          <w:rtl/>
        </w:rPr>
        <w:t>»</w:t>
      </w:r>
      <w:r>
        <w:rPr>
          <w:rFonts w:hint="cs"/>
          <w:rtl/>
        </w:rPr>
        <w:t>.</w:t>
      </w:r>
    </w:p>
  </w:footnote>
  <w:footnote w:id="4547">
    <w:p w:rsidR="00035BE3" w:rsidRDefault="00035BE3" w:rsidP="00C10469">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في (أ) و(ب) و(جـ) : </w:t>
      </w:r>
      <w:r>
        <w:rPr>
          <w:rFonts w:hint="eastAsia"/>
          <w:spacing w:val="4"/>
          <w:rtl/>
        </w:rPr>
        <w:t>«</w:t>
      </w:r>
      <w:r>
        <w:rPr>
          <w:rFonts w:hint="cs"/>
          <w:spacing w:val="4"/>
          <w:rtl/>
        </w:rPr>
        <w:t>أمرهما</w:t>
      </w:r>
      <w:r>
        <w:rPr>
          <w:rFonts w:hint="eastAsia"/>
          <w:spacing w:val="4"/>
          <w:rtl/>
        </w:rPr>
        <w:t>»</w:t>
      </w:r>
      <w:r>
        <w:rPr>
          <w:rFonts w:hint="cs"/>
          <w:spacing w:val="4"/>
          <w:rtl/>
        </w:rPr>
        <w:t>. والصحيح ما تمَّ إثباته من (د)، وهو الموافق لمصدر هذه العبارة (وهو الدّرر).</w:t>
      </w:r>
    </w:p>
  </w:footnote>
  <w:footnote w:id="454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بيد كما</w:t>
      </w:r>
      <w:r>
        <w:rPr>
          <w:rFonts w:hint="eastAsia"/>
          <w:rtl/>
        </w:rPr>
        <w:t>»</w:t>
      </w:r>
      <w:r>
        <w:rPr>
          <w:rFonts w:hint="cs"/>
          <w:rtl/>
        </w:rPr>
        <w:t>.</w:t>
      </w:r>
    </w:p>
    <w:p w:rsidR="00035BE3" w:rsidRDefault="00035BE3" w:rsidP="00C10469">
      <w:pPr>
        <w:pStyle w:val="a6"/>
        <w:spacing w:line="420" w:lineRule="exact"/>
        <w:ind w:left="422" w:right="170" w:firstLine="0"/>
        <w:rPr>
          <w:spacing w:val="6"/>
          <w:rtl/>
        </w:rPr>
      </w:pPr>
      <w:r>
        <w:rPr>
          <w:rFonts w:hint="cs"/>
          <w:spacing w:val="6"/>
          <w:rtl/>
        </w:rPr>
        <w:t xml:space="preserve">وقد جاء في الدّرر : </w:t>
      </w:r>
      <w:r>
        <w:rPr>
          <w:rFonts w:hint="eastAsia"/>
          <w:spacing w:val="6"/>
          <w:rtl/>
        </w:rPr>
        <w:t>«</w:t>
      </w:r>
      <w:r>
        <w:rPr>
          <w:rFonts w:hint="cs"/>
          <w:spacing w:val="6"/>
          <w:rtl/>
        </w:rPr>
        <w:t>... أمرها بأيديكما؛ لأنه تفويض إلى مشيئتهما، فيقتصر على المجلس. أو كان الطلاق...</w:t>
      </w:r>
      <w:r>
        <w:rPr>
          <w:rFonts w:hint="eastAsia"/>
          <w:spacing w:val="6"/>
          <w:rtl/>
        </w:rPr>
        <w:t>»</w:t>
      </w:r>
      <w:r>
        <w:rPr>
          <w:rFonts w:hint="cs"/>
          <w:spacing w:val="6"/>
          <w:rtl/>
        </w:rPr>
        <w:t>.</w:t>
      </w:r>
    </w:p>
  </w:footnote>
  <w:footnote w:id="4549">
    <w:p w:rsidR="00035BE3" w:rsidRDefault="00035BE3" w:rsidP="00C10469">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2/290 - مع الاختلاف الذي سبق بيانه-؛ وانظر: الهداية والعناية ونتائج الأفكار، 8/97-98؛ قرة عيون الأخيار، 11/464.</w:t>
      </w:r>
    </w:p>
  </w:footnote>
  <w:footnote w:id="455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واحد</w:t>
      </w:r>
      <w:r>
        <w:rPr>
          <w:rFonts w:hint="eastAsia"/>
          <w:rtl/>
        </w:rPr>
        <w:t>»</w:t>
      </w:r>
      <w:r>
        <w:rPr>
          <w:rFonts w:hint="cs"/>
          <w:rtl/>
        </w:rPr>
        <w:t>.</w:t>
      </w:r>
    </w:p>
  </w:footnote>
  <w:footnote w:id="455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الأشباه والنظائر لابن نجيم، ص202، حيث جاء فيه : </w:t>
      </w:r>
      <w:r>
        <w:rPr>
          <w:rFonts w:hint="eastAsia"/>
          <w:rtl/>
        </w:rPr>
        <w:t>«</w:t>
      </w:r>
      <w:r>
        <w:rPr>
          <w:rFonts w:hint="cs"/>
          <w:rtl/>
        </w:rPr>
        <w:t>والضابط : أن الحق إذا كان ممّا يتجزأ: فإنه يثبت لكلٍّ على الكمال</w:t>
      </w:r>
      <w:r>
        <w:rPr>
          <w:rFonts w:hint="eastAsia"/>
          <w:rtl/>
        </w:rPr>
        <w:t>»</w:t>
      </w:r>
      <w:r>
        <w:rPr>
          <w:rFonts w:hint="cs"/>
          <w:rtl/>
        </w:rPr>
        <w:t>. وهذا الضابط جعله المجدّدي في قاعدة مستقلة، وهي القاعدة 115 من كتاب : قواعد الفقه، ص77.</w:t>
      </w:r>
    </w:p>
  </w:footnote>
  <w:footnote w:id="455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93/أ من (أ).</w:t>
      </w:r>
    </w:p>
  </w:footnote>
  <w:footnote w:id="455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اخطاطوا</w:t>
      </w:r>
      <w:r>
        <w:rPr>
          <w:rFonts w:hint="eastAsia"/>
          <w:rtl/>
        </w:rPr>
        <w:t>»</w:t>
      </w:r>
      <w:r>
        <w:rPr>
          <w:rFonts w:hint="cs"/>
          <w:rtl/>
        </w:rPr>
        <w:t xml:space="preserve">، وفي (ب) و(جـ) و(د) و(هـ) : </w:t>
      </w:r>
      <w:r>
        <w:rPr>
          <w:rFonts w:hint="eastAsia"/>
          <w:rtl/>
        </w:rPr>
        <w:t>«</w:t>
      </w:r>
      <w:r>
        <w:rPr>
          <w:rFonts w:hint="cs"/>
          <w:rtl/>
        </w:rPr>
        <w:t>احطاطوا</w:t>
      </w:r>
      <w:r>
        <w:rPr>
          <w:rFonts w:hint="eastAsia"/>
          <w:rtl/>
        </w:rPr>
        <w:t>»</w:t>
      </w:r>
      <w:r>
        <w:rPr>
          <w:rFonts w:hint="cs"/>
          <w:rtl/>
        </w:rPr>
        <w:t>. والصحيح ما تمَّ إثباته من (و)، وهو الموافق لمصدر هذه العبارة (وهو أشباه ابن نجيم).</w:t>
      </w:r>
    </w:p>
    <w:p w:rsidR="00035BE3" w:rsidRDefault="00035BE3" w:rsidP="00C10469">
      <w:pPr>
        <w:pStyle w:val="a6"/>
        <w:ind w:left="422" w:right="170" w:firstLine="0"/>
        <w:rPr>
          <w:rtl/>
        </w:rPr>
      </w:pPr>
      <w:r>
        <w:rPr>
          <w:rFonts w:hint="cs"/>
          <w:b/>
          <w:bCs/>
          <w:rtl/>
        </w:rPr>
        <w:t xml:space="preserve">ومعنى : </w:t>
      </w:r>
      <w:r>
        <w:rPr>
          <w:rFonts w:hint="eastAsia"/>
          <w:b/>
          <w:bCs/>
          <w:rtl/>
        </w:rPr>
        <w:t>«</w:t>
      </w:r>
      <w:r>
        <w:rPr>
          <w:rFonts w:hint="cs"/>
          <w:b/>
          <w:bCs/>
          <w:rtl/>
        </w:rPr>
        <w:t>احتاط</w:t>
      </w:r>
      <w:r>
        <w:rPr>
          <w:rFonts w:hint="cs"/>
          <w:rtl/>
        </w:rPr>
        <w:t xml:space="preserve"> : أخذ في أموره بأوثق الوجوه</w:t>
      </w:r>
      <w:r>
        <w:rPr>
          <w:rFonts w:hint="eastAsia"/>
          <w:rtl/>
        </w:rPr>
        <w:t>»</w:t>
      </w:r>
      <w:r>
        <w:rPr>
          <w:rFonts w:hint="cs"/>
          <w:rtl/>
        </w:rPr>
        <w:t>.</w:t>
      </w:r>
    </w:p>
    <w:p w:rsidR="00035BE3" w:rsidRDefault="00035BE3" w:rsidP="00C10469">
      <w:pPr>
        <w:pStyle w:val="a6"/>
        <w:ind w:left="422" w:right="170" w:firstLine="0"/>
        <w:rPr>
          <w:rtl/>
        </w:rPr>
      </w:pPr>
      <w:r>
        <w:rPr>
          <w:rFonts w:hint="cs"/>
          <w:rtl/>
        </w:rPr>
        <w:t xml:space="preserve">كذا في المعجم الوسيط، مادة </w:t>
      </w:r>
      <w:r>
        <w:rPr>
          <w:rFonts w:hint="eastAsia"/>
          <w:rtl/>
        </w:rPr>
        <w:t>«</w:t>
      </w:r>
      <w:r>
        <w:rPr>
          <w:rFonts w:hint="cs"/>
          <w:rtl/>
        </w:rPr>
        <w:t>حاط</w:t>
      </w:r>
      <w:r>
        <w:rPr>
          <w:rFonts w:hint="eastAsia"/>
          <w:rtl/>
        </w:rPr>
        <w:t>»</w:t>
      </w:r>
      <w:r>
        <w:rPr>
          <w:rFonts w:hint="cs"/>
          <w:rtl/>
        </w:rPr>
        <w:t xml:space="preserve">، 1/208؛ وانظر : لسان العرب، مادة </w:t>
      </w:r>
      <w:r>
        <w:rPr>
          <w:rFonts w:hint="eastAsia"/>
          <w:rtl/>
        </w:rPr>
        <w:t>«</w:t>
      </w:r>
      <w:r>
        <w:rPr>
          <w:rFonts w:hint="cs"/>
          <w:rtl/>
        </w:rPr>
        <w:t>حوط</w:t>
      </w:r>
      <w:r>
        <w:rPr>
          <w:rFonts w:hint="eastAsia"/>
          <w:rtl/>
        </w:rPr>
        <w:t>»</w:t>
      </w:r>
      <w:r>
        <w:rPr>
          <w:rFonts w:hint="cs"/>
          <w:rtl/>
        </w:rPr>
        <w:t>، 7/279.</w:t>
      </w:r>
    </w:p>
  </w:footnote>
  <w:footnote w:id="455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يكون</w:t>
      </w:r>
      <w:r>
        <w:rPr>
          <w:rFonts w:hint="eastAsia"/>
          <w:rtl/>
        </w:rPr>
        <w:t>»</w:t>
      </w:r>
      <w:r>
        <w:rPr>
          <w:rFonts w:hint="cs"/>
          <w:rtl/>
        </w:rPr>
        <w:t>.</w:t>
      </w:r>
    </w:p>
  </w:footnote>
  <w:footnote w:id="455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لابن نجيم، ص201.</w:t>
      </w:r>
    </w:p>
  </w:footnote>
  <w:footnote w:id="455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كل</w:t>
      </w:r>
      <w:r>
        <w:rPr>
          <w:rFonts w:hint="eastAsia"/>
          <w:rtl/>
        </w:rPr>
        <w:t>»</w:t>
      </w:r>
      <w:r>
        <w:rPr>
          <w:rFonts w:hint="cs"/>
          <w:rtl/>
        </w:rPr>
        <w:t>.</w:t>
      </w:r>
    </w:p>
  </w:footnote>
  <w:footnote w:id="455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لابن نجيم، ص202.</w:t>
      </w:r>
    </w:p>
  </w:footnote>
  <w:footnote w:id="4558">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56/ب من (د).</w:t>
      </w:r>
    </w:p>
  </w:footnote>
  <w:footnote w:id="4559">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3C47DE">
        <w:rPr>
          <w:rFonts w:hint="cs"/>
          <w:spacing w:val="-2"/>
          <w:rtl/>
        </w:rPr>
        <w:t>هذه القاعدة متّحدة من جهة المعنى مع قاعدة أخرى سبق أن تكلّم عنها المؤلف، وهي قاعدة</w:t>
      </w:r>
      <w:r>
        <w:rPr>
          <w:rFonts w:hint="cs"/>
          <w:rtl/>
        </w:rPr>
        <w:t xml:space="preserve">: </w:t>
      </w:r>
      <w:r>
        <w:rPr>
          <w:rFonts w:hint="eastAsia"/>
          <w:rtl/>
        </w:rPr>
        <w:t>«</w:t>
      </w:r>
      <w:r>
        <w:rPr>
          <w:rFonts w:hint="cs"/>
          <w:rtl/>
        </w:rPr>
        <w:t>الثابت بالضرورة يتقدر بقدر الضرورة</w:t>
      </w:r>
      <w:r>
        <w:rPr>
          <w:rFonts w:hint="eastAsia"/>
          <w:rtl/>
        </w:rPr>
        <w:t>»</w:t>
      </w:r>
      <w:r>
        <w:rPr>
          <w:rFonts w:hint="cs"/>
          <w:rtl/>
        </w:rPr>
        <w:t>، وذلك ص586 (ل41/أ)، قاعدة 97.</w:t>
      </w:r>
    </w:p>
    <w:p w:rsidR="00035BE3" w:rsidRDefault="00035BE3" w:rsidP="00C10469">
      <w:pPr>
        <w:pStyle w:val="a6"/>
        <w:spacing w:line="500" w:lineRule="exact"/>
        <w:ind w:left="422" w:firstLine="0"/>
        <w:rPr>
          <w:rtl/>
        </w:rPr>
      </w:pPr>
      <w:r>
        <w:rPr>
          <w:rFonts w:hint="cs"/>
          <w:rtl/>
        </w:rPr>
        <w:t>فما قيل في توثيقها هناك يُقال هنا. علمًا بأن المصدر الرئيس للمؤلف في هذه القاعدة وشرحها هو أشباه ابن نجيم، ص107.</w:t>
      </w:r>
    </w:p>
  </w:footnote>
  <w:footnote w:id="4560">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ص107.</w:t>
      </w:r>
    </w:p>
  </w:footnote>
  <w:footnote w:id="4561">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بالعقود</w:t>
      </w:r>
      <w:r>
        <w:rPr>
          <w:rFonts w:hint="eastAsia"/>
          <w:rtl/>
        </w:rPr>
        <w:t>»</w:t>
      </w:r>
      <w:r>
        <w:rPr>
          <w:rFonts w:hint="cs"/>
          <w:rtl/>
        </w:rPr>
        <w:t>.</w:t>
      </w:r>
    </w:p>
  </w:footnote>
  <w:footnote w:id="4562">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b/>
          <w:bCs/>
          <w:rtl/>
        </w:rPr>
        <w:t>السَّنُّور</w:t>
      </w:r>
      <w:r>
        <w:rPr>
          <w:rFonts w:hint="cs"/>
          <w:rtl/>
        </w:rPr>
        <w:t xml:space="preserve"> : الهِرُّ </w:t>
      </w:r>
      <w:r>
        <w:rPr>
          <w:rFonts w:hint="eastAsia"/>
          <w:rtl/>
        </w:rPr>
        <w:t>»</w:t>
      </w:r>
      <w:r>
        <w:rPr>
          <w:rFonts w:hint="cs"/>
          <w:rtl/>
        </w:rPr>
        <w:t>.</w:t>
      </w:r>
    </w:p>
    <w:p w:rsidR="00035BE3" w:rsidRDefault="00035BE3" w:rsidP="00C10469">
      <w:pPr>
        <w:pStyle w:val="a6"/>
        <w:spacing w:line="500" w:lineRule="exact"/>
        <w:ind w:left="422" w:firstLine="0"/>
        <w:rPr>
          <w:rtl/>
        </w:rPr>
      </w:pPr>
      <w:r>
        <w:rPr>
          <w:rFonts w:hint="cs"/>
          <w:rtl/>
        </w:rPr>
        <w:t xml:space="preserve">قاله صاحب اللسان، مادة </w:t>
      </w:r>
      <w:r>
        <w:rPr>
          <w:rFonts w:hint="eastAsia"/>
          <w:rtl/>
        </w:rPr>
        <w:t>«</w:t>
      </w:r>
      <w:r>
        <w:rPr>
          <w:rFonts w:hint="cs"/>
          <w:rtl/>
        </w:rPr>
        <w:t>سنر</w:t>
      </w:r>
      <w:r>
        <w:rPr>
          <w:rFonts w:hint="eastAsia"/>
          <w:rtl/>
        </w:rPr>
        <w:t>»</w:t>
      </w:r>
      <w:r>
        <w:rPr>
          <w:rFonts w:hint="cs"/>
          <w:rtl/>
        </w:rPr>
        <w:t xml:space="preserve">، 4/381، وانظر : المعجم الوسيط، مادة </w:t>
      </w:r>
      <w:r>
        <w:rPr>
          <w:rFonts w:hint="eastAsia"/>
          <w:rtl/>
        </w:rPr>
        <w:t>«</w:t>
      </w:r>
      <w:r>
        <w:rPr>
          <w:rFonts w:hint="cs"/>
          <w:rtl/>
        </w:rPr>
        <w:t>سنر</w:t>
      </w:r>
      <w:r>
        <w:rPr>
          <w:rFonts w:hint="eastAsia"/>
          <w:rtl/>
        </w:rPr>
        <w:t>»</w:t>
      </w:r>
      <w:r>
        <w:rPr>
          <w:rFonts w:hint="cs"/>
          <w:rtl/>
        </w:rPr>
        <w:t>، 1/455.</w:t>
      </w:r>
    </w:p>
  </w:footnote>
  <w:footnote w:id="4563">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و(د) : </w:t>
      </w:r>
      <w:r>
        <w:rPr>
          <w:rFonts w:hint="eastAsia"/>
          <w:rtl/>
        </w:rPr>
        <w:t>«</w:t>
      </w:r>
      <w:r>
        <w:rPr>
          <w:rFonts w:hint="cs"/>
          <w:rtl/>
        </w:rPr>
        <w:t>يتخمرها</w:t>
      </w:r>
      <w:r>
        <w:rPr>
          <w:rFonts w:hint="eastAsia"/>
          <w:rtl/>
        </w:rPr>
        <w:t>»</w:t>
      </w:r>
      <w:r>
        <w:rPr>
          <w:rFonts w:hint="cs"/>
          <w:rtl/>
        </w:rPr>
        <w:t>.</w:t>
      </w:r>
    </w:p>
  </w:footnote>
  <w:footnote w:id="4564">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5D69AE">
        <w:rPr>
          <w:rFonts w:hint="eastAsia"/>
          <w:spacing w:val="-2"/>
          <w:rtl/>
        </w:rPr>
        <w:t>«</w:t>
      </w:r>
      <w:r w:rsidRPr="005D69AE">
        <w:rPr>
          <w:rFonts w:hint="cs"/>
          <w:spacing w:val="-2"/>
          <w:rtl/>
        </w:rPr>
        <w:t>في</w:t>
      </w:r>
      <w:r w:rsidRPr="005D69AE">
        <w:rPr>
          <w:rFonts w:hint="eastAsia"/>
          <w:spacing w:val="-2"/>
          <w:rtl/>
        </w:rPr>
        <w:t>»</w:t>
      </w:r>
      <w:r w:rsidRPr="005D69AE">
        <w:rPr>
          <w:rFonts w:hint="cs"/>
          <w:spacing w:val="-2"/>
          <w:rtl/>
        </w:rPr>
        <w:t xml:space="preserve">: زيادة من مصدر هذه العبارة (وهو أشباه ابن نجيم). ولايستقيم الأسلوب بدونها؛ حيث جاء فيه: </w:t>
      </w:r>
      <w:r w:rsidRPr="005D69AE">
        <w:rPr>
          <w:rFonts w:hint="eastAsia"/>
          <w:spacing w:val="-4"/>
          <w:rtl/>
        </w:rPr>
        <w:t>«</w:t>
      </w:r>
      <w:r w:rsidRPr="005D69AE">
        <w:rPr>
          <w:rFonts w:hint="cs"/>
          <w:spacing w:val="-4"/>
          <w:rtl/>
        </w:rPr>
        <w:t>وفرَّق كثيرٌ من المشايخ في البعر بين آبار الفلوات فيعفى عن قليله للضرورة؛ لأنه ليس لها رؤوس ...</w:t>
      </w:r>
      <w:r w:rsidRPr="005D69AE">
        <w:rPr>
          <w:rFonts w:hint="eastAsia"/>
          <w:spacing w:val="-4"/>
          <w:rtl/>
        </w:rPr>
        <w:t>»</w:t>
      </w:r>
      <w:r w:rsidRPr="005D69AE">
        <w:rPr>
          <w:rFonts w:hint="cs"/>
          <w:spacing w:val="-4"/>
          <w:rtl/>
        </w:rPr>
        <w:t>.</w:t>
      </w:r>
    </w:p>
  </w:footnote>
  <w:footnote w:id="4565">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البعر</w:t>
      </w:r>
      <w:r>
        <w:rPr>
          <w:rFonts w:hint="eastAsia"/>
          <w:rtl/>
        </w:rPr>
        <w:t>»</w:t>
      </w:r>
      <w:r>
        <w:rPr>
          <w:rFonts w:hint="cs"/>
          <w:rtl/>
        </w:rPr>
        <w:t xml:space="preserve"> : ساقطة من (د).</w:t>
      </w:r>
    </w:p>
    <w:p w:rsidR="00035BE3" w:rsidRDefault="00035BE3" w:rsidP="00C10469">
      <w:pPr>
        <w:pStyle w:val="a6"/>
        <w:spacing w:line="500" w:lineRule="exact"/>
        <w:ind w:left="422" w:firstLine="0"/>
        <w:rPr>
          <w:rtl/>
        </w:rPr>
      </w:pPr>
      <w:r>
        <w:rPr>
          <w:rFonts w:hint="cs"/>
          <w:rtl/>
        </w:rPr>
        <w:t>و</w:t>
      </w:r>
      <w:r>
        <w:rPr>
          <w:rFonts w:hint="cs"/>
          <w:b/>
          <w:bCs/>
          <w:rtl/>
        </w:rPr>
        <w:t>البَعْرُ</w:t>
      </w:r>
      <w:r>
        <w:rPr>
          <w:rFonts w:hint="cs"/>
          <w:rtl/>
        </w:rPr>
        <w:t xml:space="preserve"> : </w:t>
      </w:r>
      <w:r>
        <w:rPr>
          <w:rFonts w:hint="eastAsia"/>
          <w:rtl/>
        </w:rPr>
        <w:t>«</w:t>
      </w:r>
      <w:r>
        <w:rPr>
          <w:rFonts w:hint="cs"/>
          <w:rtl/>
        </w:rPr>
        <w:t>رجيع ذوات الخفّ، وذوات الظّلف إلا البقر الأهلي</w:t>
      </w:r>
      <w:r>
        <w:rPr>
          <w:rFonts w:hint="eastAsia"/>
          <w:rtl/>
        </w:rPr>
        <w:t>»</w:t>
      </w:r>
      <w:r>
        <w:rPr>
          <w:rFonts w:hint="cs"/>
          <w:rtl/>
        </w:rPr>
        <w:t>.</w:t>
      </w:r>
    </w:p>
    <w:p w:rsidR="00035BE3" w:rsidRDefault="00035BE3" w:rsidP="00C10469">
      <w:pPr>
        <w:pStyle w:val="a6"/>
        <w:spacing w:line="500" w:lineRule="exact"/>
        <w:ind w:left="422" w:firstLine="0"/>
        <w:rPr>
          <w:rtl/>
        </w:rPr>
      </w:pPr>
      <w:r>
        <w:rPr>
          <w:rFonts w:hint="cs"/>
          <w:rtl/>
        </w:rPr>
        <w:t xml:space="preserve">كذا في المعجم الوسيط، مادة </w:t>
      </w:r>
      <w:r>
        <w:rPr>
          <w:rFonts w:hint="eastAsia"/>
          <w:rtl/>
        </w:rPr>
        <w:t>«</w:t>
      </w:r>
      <w:r>
        <w:rPr>
          <w:rFonts w:hint="cs"/>
          <w:rtl/>
        </w:rPr>
        <w:t>بعر</w:t>
      </w:r>
      <w:r>
        <w:rPr>
          <w:rFonts w:hint="eastAsia"/>
          <w:rtl/>
        </w:rPr>
        <w:t>»</w:t>
      </w:r>
      <w:r>
        <w:rPr>
          <w:rFonts w:hint="cs"/>
          <w:rtl/>
        </w:rPr>
        <w:t>، 1/63؛ وانظر : لسان العرب، 4/71.</w:t>
      </w:r>
    </w:p>
  </w:footnote>
  <w:footnote w:id="4566">
    <w:p w:rsidR="00035BE3" w:rsidRDefault="00035BE3" w:rsidP="00C10469">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69/أ من (جـ).</w:t>
      </w:r>
    </w:p>
  </w:footnote>
  <w:footnote w:id="456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تكرار (بين) هنا يحمل على أنّ (بين) الثانية تأكيد للأولى.</w:t>
      </w:r>
    </w:p>
    <w:p w:rsidR="00035BE3" w:rsidRDefault="00035BE3" w:rsidP="00C10469">
      <w:pPr>
        <w:pStyle w:val="a6"/>
        <w:ind w:left="422" w:firstLine="0"/>
        <w:rPr>
          <w:spacing w:val="-2"/>
          <w:rtl/>
        </w:rPr>
      </w:pPr>
      <w:r>
        <w:rPr>
          <w:rFonts w:hint="cs"/>
          <w:spacing w:val="-2"/>
          <w:rtl/>
        </w:rPr>
        <w:t xml:space="preserve">وكان الأولى عدم تكرارها؛ لأنه الأكثر استعمالاً، وخروجًا من خلاف من منع تكرارها بين المتعاطفين الظاهرين؛ لأن بين تفيد </w:t>
      </w:r>
      <w:r>
        <w:rPr>
          <w:rFonts w:hint="eastAsia"/>
          <w:spacing w:val="-2"/>
          <w:rtl/>
        </w:rPr>
        <w:t>«</w:t>
      </w:r>
      <w:r>
        <w:rPr>
          <w:rFonts w:hint="cs"/>
          <w:spacing w:val="-2"/>
          <w:rtl/>
        </w:rPr>
        <w:t>تخلّل شيئين، أو ما في تقدير شيئين أو أشياء</w:t>
      </w:r>
      <w:r>
        <w:rPr>
          <w:rFonts w:hint="eastAsia"/>
          <w:spacing w:val="-2"/>
          <w:rtl/>
        </w:rPr>
        <w:t>»</w:t>
      </w:r>
      <w:r>
        <w:rPr>
          <w:rFonts w:hint="cs"/>
          <w:spacing w:val="-2"/>
          <w:rtl/>
        </w:rPr>
        <w:t>، وآبار الفلوات وآبار الأمصار لفظان متعاطفان، ليسا ضميرين ولا أحدهما ضمير وفي تكرار (بين) معهما قد يتوهّم كون المعنى : أن بعض العلماء فرّق في البعر بين بعض آبار الفلوات، وبعضها الآخر، كما فرقوا بين بعض آبار الأمصار، وبعضها الآخر!. والواقع : أن المراد التفريق بين آبار الفلوات من جهة، وآبار الأمصار من جهة أخرى.</w:t>
      </w:r>
    </w:p>
    <w:p w:rsidR="00035BE3" w:rsidRDefault="00035BE3" w:rsidP="00C10469">
      <w:pPr>
        <w:pStyle w:val="a6"/>
        <w:ind w:left="422" w:firstLine="0"/>
        <w:rPr>
          <w:rtl/>
        </w:rPr>
      </w:pPr>
      <w:r>
        <w:rPr>
          <w:rFonts w:hint="cs"/>
          <w:rtl/>
        </w:rPr>
        <w:t>ولتوثيق ما تفيده (بين) فإنه مستفاد من النحو الوافي، 2/286، وانظر منه 2/287.</w:t>
      </w:r>
    </w:p>
  </w:footnote>
  <w:footnote w:id="4568">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بعض</w:t>
      </w:r>
      <w:r>
        <w:rPr>
          <w:rFonts w:hint="eastAsia"/>
          <w:rtl/>
        </w:rPr>
        <w:t>»</w:t>
      </w:r>
      <w:r>
        <w:rPr>
          <w:rFonts w:hint="cs"/>
          <w:rtl/>
        </w:rPr>
        <w:t>.</w:t>
      </w:r>
    </w:p>
  </w:footnote>
  <w:footnote w:id="456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ينقر</w:t>
      </w:r>
      <w:r>
        <w:rPr>
          <w:rFonts w:hint="eastAsia"/>
          <w:rtl/>
        </w:rPr>
        <w:t>»</w:t>
      </w:r>
      <w:r>
        <w:rPr>
          <w:rFonts w:hint="cs"/>
          <w:rtl/>
        </w:rPr>
        <w:t>. والصحيح ما تمَّ إثباته من (ب) و(د)، وهو الموافق لأشباه ابن نجيم.</w:t>
      </w:r>
    </w:p>
    <w:p w:rsidR="00035BE3" w:rsidRDefault="00035BE3" w:rsidP="00C10469">
      <w:pPr>
        <w:pStyle w:val="a6"/>
        <w:ind w:left="422" w:firstLine="0"/>
        <w:rPr>
          <w:rtl/>
        </w:rPr>
      </w:pPr>
      <w:r>
        <w:rPr>
          <w:rFonts w:hint="cs"/>
          <w:b/>
          <w:bCs/>
          <w:rtl/>
        </w:rPr>
        <w:t>ومعنى تبعر</w:t>
      </w:r>
      <w:r>
        <w:rPr>
          <w:rFonts w:hint="cs"/>
          <w:rtl/>
        </w:rPr>
        <w:t xml:space="preserve"> : أي تلقي البَعْرَ.</w:t>
      </w:r>
    </w:p>
    <w:p w:rsidR="00035BE3" w:rsidRDefault="00035BE3" w:rsidP="00C10469">
      <w:pPr>
        <w:pStyle w:val="a6"/>
        <w:ind w:left="422" w:firstLine="0"/>
        <w:rPr>
          <w:rtl/>
        </w:rPr>
      </w:pPr>
      <w:r>
        <w:rPr>
          <w:rFonts w:hint="cs"/>
          <w:rtl/>
        </w:rPr>
        <w:t xml:space="preserve">انظر : المعجم الوسيط، مادة </w:t>
      </w:r>
      <w:r>
        <w:rPr>
          <w:rFonts w:hint="eastAsia"/>
          <w:rtl/>
        </w:rPr>
        <w:t>«</w:t>
      </w:r>
      <w:r>
        <w:rPr>
          <w:rFonts w:hint="cs"/>
          <w:rtl/>
        </w:rPr>
        <w:t>بعر</w:t>
      </w:r>
      <w:r>
        <w:rPr>
          <w:rFonts w:hint="eastAsia"/>
          <w:rtl/>
        </w:rPr>
        <w:t>»</w:t>
      </w:r>
      <w:r>
        <w:rPr>
          <w:rFonts w:hint="cs"/>
          <w:rtl/>
        </w:rPr>
        <w:t>، 1/63.</w:t>
      </w:r>
    </w:p>
  </w:footnote>
  <w:footnote w:id="457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ص107-108، مع اختلاف في بعض الألفاظ والترتيب وقد سبق بيان أكثره.</w:t>
      </w:r>
    </w:p>
  </w:footnote>
  <w:footnote w:id="457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فغيره عليه لا يقاس</w:t>
      </w:r>
      <w:r>
        <w:rPr>
          <w:rFonts w:hint="eastAsia"/>
          <w:rtl/>
        </w:rPr>
        <w:t>»</w:t>
      </w:r>
      <w:r>
        <w:rPr>
          <w:rFonts w:hint="cs"/>
          <w:rtl/>
        </w:rPr>
        <w:t>.</w:t>
      </w:r>
    </w:p>
  </w:footnote>
  <w:footnote w:id="457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الأصولية الخلافية التي ترد في كثير من كتب الأصول، ولا سيما في معرض حديثهم عن شروط القياس.</w:t>
      </w:r>
    </w:p>
    <w:p w:rsidR="00035BE3" w:rsidRDefault="00035BE3" w:rsidP="00C10469">
      <w:pPr>
        <w:pStyle w:val="a6"/>
        <w:ind w:left="422" w:firstLine="0"/>
        <w:rPr>
          <w:rtl/>
        </w:rPr>
      </w:pPr>
      <w:r>
        <w:rPr>
          <w:rFonts w:hint="cs"/>
          <w:rtl/>
        </w:rPr>
        <w:t>كما ترد -في مقام التعليل- في كثير من كتب الفقه، ولاسيما الحنفية منها، وتبعًا لذلك تكلم عنها كثير من علماء القواعد الفقهية.</w:t>
      </w:r>
    </w:p>
    <w:p w:rsidR="00035BE3" w:rsidRDefault="00035BE3" w:rsidP="00C10469">
      <w:pPr>
        <w:pStyle w:val="a6"/>
        <w:ind w:left="422" w:firstLine="0"/>
        <w:rPr>
          <w:rtl/>
        </w:rPr>
      </w:pPr>
      <w:r>
        <w:rPr>
          <w:rFonts w:hint="cs"/>
          <w:rtl/>
        </w:rPr>
        <w:t xml:space="preserve">فهي بلفظها تمثل أحد أقوال العلماء في مسألة أصولية، </w:t>
      </w:r>
      <w:r>
        <w:rPr>
          <w:rFonts w:hint="cs"/>
          <w:b/>
          <w:bCs/>
          <w:rtl/>
        </w:rPr>
        <w:t>صورتها</w:t>
      </w:r>
      <w:r>
        <w:rPr>
          <w:rFonts w:hint="cs"/>
          <w:rtl/>
        </w:rPr>
        <w:t xml:space="preserve"> : إذا كان الأصل قد ثبت على خلاف سنن القياس وقواعد الشرع المستقرة فهل يجوز القياس عليه؟.</w:t>
      </w:r>
    </w:p>
    <w:p w:rsidR="00035BE3" w:rsidRDefault="00035BE3" w:rsidP="00C10469">
      <w:pPr>
        <w:pStyle w:val="a6"/>
        <w:ind w:left="422" w:firstLine="0"/>
        <w:rPr>
          <w:rtl/>
        </w:rPr>
      </w:pPr>
      <w:r>
        <w:rPr>
          <w:rFonts w:hint="cs"/>
          <w:rtl/>
        </w:rPr>
        <w:t>اختلف العلماء في ذلك على قولين في الجملة :</w:t>
      </w:r>
    </w:p>
    <w:p w:rsidR="00035BE3" w:rsidRDefault="00035BE3" w:rsidP="00C10469">
      <w:pPr>
        <w:pStyle w:val="a6"/>
        <w:ind w:left="422" w:firstLine="0"/>
        <w:rPr>
          <w:rtl/>
        </w:rPr>
      </w:pPr>
      <w:r>
        <w:rPr>
          <w:rFonts w:hint="cs"/>
          <w:b/>
          <w:bCs/>
          <w:rtl/>
        </w:rPr>
        <w:t>أحدهما</w:t>
      </w:r>
      <w:r>
        <w:rPr>
          <w:rFonts w:hint="cs"/>
          <w:rtl/>
        </w:rPr>
        <w:t xml:space="preserve"> : يجوز القياس عليه.</w:t>
      </w:r>
    </w:p>
    <w:p w:rsidR="00035BE3" w:rsidRDefault="00035BE3" w:rsidP="00C10469">
      <w:pPr>
        <w:pStyle w:val="a6"/>
        <w:ind w:left="422" w:firstLine="0"/>
        <w:rPr>
          <w:rtl/>
        </w:rPr>
      </w:pPr>
      <w:r>
        <w:rPr>
          <w:rFonts w:hint="cs"/>
          <w:b/>
          <w:bCs/>
          <w:rtl/>
        </w:rPr>
        <w:t>الثاني</w:t>
      </w:r>
      <w:r>
        <w:rPr>
          <w:rFonts w:hint="cs"/>
          <w:rtl/>
        </w:rPr>
        <w:t xml:space="preserve"> : لا يجوز القياس عليه (وهذا ما يمثّله لفظ القاعدة).</w:t>
      </w:r>
    </w:p>
    <w:p w:rsidR="00035BE3" w:rsidRDefault="00035BE3" w:rsidP="00C10469">
      <w:pPr>
        <w:pStyle w:val="a6"/>
        <w:ind w:left="422" w:firstLine="0"/>
        <w:rPr>
          <w:rtl/>
        </w:rPr>
      </w:pPr>
      <w:r>
        <w:rPr>
          <w:rFonts w:hint="cs"/>
          <w:rtl/>
        </w:rPr>
        <w:t>وليس هذا موضع بسط لهذه المسألة، إلا أنه تجدر الإشارة إلى أنه أُفرد للحديث عنها كتابٌ مستقل تربو صفحاته على مائتي صفحة، وهو (المعدول به عن القياس، حقيقته، وحكمه، وموقف شيخ الإسلام أحمد بن تيمية منه) لِـ أ.د. عمر بن عبد العزيز.</w:t>
      </w:r>
    </w:p>
    <w:p w:rsidR="00035BE3" w:rsidRDefault="00035BE3" w:rsidP="00C10469">
      <w:pPr>
        <w:pStyle w:val="a6"/>
        <w:ind w:left="422" w:firstLine="0"/>
        <w:rPr>
          <w:rtl/>
        </w:rPr>
      </w:pPr>
      <w:r>
        <w:rPr>
          <w:rFonts w:hint="cs"/>
          <w:rtl/>
        </w:rPr>
        <w:t>حيث جعل الفصل الثاني منه للحديث عن الخلاف في هذه المسألة، ورجّح فيه القول الأول القائل بالجواز- انظر منه ص66-.</w:t>
      </w:r>
    </w:p>
    <w:p w:rsidR="00035BE3" w:rsidRDefault="00035BE3" w:rsidP="00C10469">
      <w:pPr>
        <w:pStyle w:val="a6"/>
        <w:ind w:left="422" w:firstLine="0"/>
        <w:rPr>
          <w:rtl/>
        </w:rPr>
      </w:pPr>
      <w:r>
        <w:rPr>
          <w:rFonts w:hint="cs"/>
          <w:rtl/>
        </w:rPr>
        <w:t xml:space="preserve">كما تحدث قبل ذلك عن ما ثبت شرعًا على وجه مخصوص، هل يصح إطلاق (خلاف القياس) عليه؟ ونَصَرَ فيه رأي شيخ الإسلام ابن تيمية [وتلميذه ابن القيم] القائل بِـ </w:t>
      </w:r>
      <w:r>
        <w:rPr>
          <w:rFonts w:hint="eastAsia"/>
          <w:rtl/>
        </w:rPr>
        <w:t>«</w:t>
      </w:r>
      <w:r>
        <w:rPr>
          <w:rFonts w:hint="cs"/>
          <w:rtl/>
        </w:rPr>
        <w:t>المنع من إطلاق (خلاف القياس) على ما ثبت شرعًا على الوجه المخصوص</w:t>
      </w:r>
      <w:r>
        <w:rPr>
          <w:rFonts w:hint="eastAsia"/>
          <w:rtl/>
        </w:rPr>
        <w:t>»</w:t>
      </w:r>
      <w:r>
        <w:rPr>
          <w:rFonts w:hint="cs"/>
          <w:rtl/>
        </w:rPr>
        <w:t>. قال ذلك ص30 من كتابه المذكور.</w:t>
      </w:r>
    </w:p>
    <w:p w:rsidR="00035BE3" w:rsidRDefault="00035BE3" w:rsidP="00C10469">
      <w:pPr>
        <w:pStyle w:val="a6"/>
        <w:ind w:left="422" w:firstLine="0"/>
        <w:rPr>
          <w:rtl/>
        </w:rPr>
      </w:pPr>
      <w:r>
        <w:rPr>
          <w:rFonts w:hint="cs"/>
          <w:rtl/>
        </w:rPr>
        <w:t>وانظر : مجموع فتاوى شيخ الإسلام ابن تيمية، 20/504؛ إعلام الموقعين، 2/5.</w:t>
      </w:r>
    </w:p>
    <w:p w:rsidR="00035BE3" w:rsidRDefault="00035BE3" w:rsidP="00C10469">
      <w:pPr>
        <w:pStyle w:val="a6"/>
        <w:ind w:left="422" w:firstLine="0"/>
        <w:rPr>
          <w:rtl/>
        </w:rPr>
      </w:pPr>
      <w:r>
        <w:rPr>
          <w:rFonts w:hint="cs"/>
          <w:rtl/>
        </w:rPr>
        <w:t>ولتوثيق ما ذُكر ابتداء في هذا الهامش :</w:t>
      </w:r>
    </w:p>
    <w:p w:rsidR="00035BE3" w:rsidRDefault="00035BE3" w:rsidP="00C10469">
      <w:pPr>
        <w:pStyle w:val="a6"/>
        <w:ind w:left="422" w:firstLine="0"/>
        <w:rPr>
          <w:b/>
          <w:bCs/>
          <w:rtl/>
        </w:rPr>
      </w:pPr>
      <w:r>
        <w:rPr>
          <w:rFonts w:hint="cs"/>
          <w:b/>
          <w:bCs/>
          <w:rtl/>
        </w:rPr>
        <w:t>انظر من كتب الأصول :</w:t>
      </w:r>
    </w:p>
    <w:p w:rsidR="00035BE3" w:rsidRDefault="00035BE3" w:rsidP="00C10469">
      <w:pPr>
        <w:pStyle w:val="a6"/>
        <w:ind w:left="422" w:firstLine="0"/>
        <w:rPr>
          <w:spacing w:val="4"/>
          <w:rtl/>
        </w:rPr>
      </w:pPr>
      <w:r>
        <w:rPr>
          <w:rFonts w:hint="cs"/>
          <w:spacing w:val="4"/>
          <w:rtl/>
        </w:rPr>
        <w:t xml:space="preserve">المعتمد، 2/790؛ العدة، 4/1397؛ التبصرة، ص448؛ أصول البزدوي وشرحه : كشف الأسرار، 3/547؛ أصول السرخسي، 2/149؛ المستصفى، 2/326؛ روضة الناظر، 3/909؛ </w:t>
      </w:r>
      <w:r w:rsidRPr="00A77160">
        <w:rPr>
          <w:rFonts w:hint="cs"/>
          <w:rtl/>
        </w:rPr>
        <w:t>الإحكام للآمدي، 3/217؛ شرح تنقيح الفصول، ص415؛ المغني، ص291؛ نهاية الوصول إلى</w:t>
      </w:r>
      <w:r>
        <w:rPr>
          <w:rFonts w:hint="cs"/>
          <w:spacing w:val="4"/>
          <w:rtl/>
        </w:rPr>
        <w:t xml:space="preserve"> </w:t>
      </w:r>
      <w:r w:rsidRPr="00A77160">
        <w:rPr>
          <w:rFonts w:hint="cs"/>
          <w:rtl/>
        </w:rPr>
        <w:t xml:space="preserve">علم الأصول لابن الساعاتي، 2/583؛ بيان المختصر، 3/19؛ أصول الفقه لابن مفلح، 3/199؛ </w:t>
      </w:r>
      <w:r>
        <w:rPr>
          <w:rFonts w:hint="cs"/>
          <w:spacing w:val="4"/>
          <w:rtl/>
        </w:rPr>
        <w:t>نهاية السول، 3/165؛ شرح المغني للقاءاني، ق2، جـ2، ص100؛ البحر المحيط، 5/93؛ التحرير وتيسيره، 3/278؛ شرح الكوكب المنير، 4/20؛ نشر البنود، 2/112.</w:t>
      </w:r>
    </w:p>
    <w:p w:rsidR="00035BE3" w:rsidRDefault="00035BE3" w:rsidP="00C10469">
      <w:pPr>
        <w:pStyle w:val="a6"/>
        <w:spacing w:line="520" w:lineRule="exact"/>
        <w:ind w:left="422" w:firstLine="0"/>
        <w:rPr>
          <w:b/>
          <w:bCs/>
          <w:rtl/>
        </w:rPr>
      </w:pPr>
      <w:r>
        <w:rPr>
          <w:rFonts w:hint="cs"/>
          <w:b/>
          <w:bCs/>
          <w:rtl/>
        </w:rPr>
        <w:t>وانظر من كتب القواعد :</w:t>
      </w:r>
    </w:p>
    <w:p w:rsidR="00035BE3" w:rsidRDefault="00035BE3" w:rsidP="00C10469">
      <w:pPr>
        <w:pStyle w:val="a6"/>
        <w:spacing w:line="520" w:lineRule="exact"/>
        <w:ind w:left="422" w:firstLine="0"/>
        <w:rPr>
          <w:spacing w:val="8"/>
          <w:rtl/>
        </w:rPr>
      </w:pPr>
      <w:r>
        <w:rPr>
          <w:rFonts w:hint="cs"/>
          <w:spacing w:val="8"/>
          <w:rtl/>
        </w:rPr>
        <w:t xml:space="preserve">الأشباه والنظائر لابن السبكي، 2/179- ولفظه : </w:t>
      </w:r>
      <w:r>
        <w:rPr>
          <w:rFonts w:hint="eastAsia"/>
          <w:spacing w:val="8"/>
          <w:rtl/>
        </w:rPr>
        <w:t>«</w:t>
      </w:r>
      <w:r>
        <w:rPr>
          <w:rFonts w:hint="cs"/>
          <w:spacing w:val="8"/>
          <w:rtl/>
        </w:rPr>
        <w:t>مسألة : في القياس على الخارج من القياس لمعنى خلافٌ، ذكرتُهُ في شرح المختصر. والذي أراه الآن : جزم القول بالقياس عليه بشرط ...</w:t>
      </w:r>
      <w:r>
        <w:rPr>
          <w:rFonts w:hint="eastAsia"/>
          <w:spacing w:val="8"/>
          <w:rtl/>
        </w:rPr>
        <w:t>»</w:t>
      </w:r>
      <w:r>
        <w:rPr>
          <w:rFonts w:hint="cs"/>
          <w:spacing w:val="8"/>
          <w:rtl/>
        </w:rPr>
        <w:t xml:space="preserve">-؛ مجامع الحقائق (الخاتمة)، ص46؛ شرح العلائي لقواعد الخادمي، ل35/ب؛ منافع الدقائق، ص331- ولفظ المجامع ومن بعده : </w:t>
      </w:r>
      <w:r>
        <w:rPr>
          <w:rFonts w:hint="eastAsia"/>
          <w:spacing w:val="8"/>
          <w:rtl/>
        </w:rPr>
        <w:t>«</w:t>
      </w:r>
      <w:r>
        <w:rPr>
          <w:rFonts w:hint="cs"/>
          <w:spacing w:val="8"/>
          <w:rtl/>
        </w:rPr>
        <w:t>ما ثبت على غير القياس فغيره لا يقاس عليه</w:t>
      </w:r>
      <w:r>
        <w:rPr>
          <w:rFonts w:hint="eastAsia"/>
          <w:spacing w:val="8"/>
          <w:rtl/>
        </w:rPr>
        <w:t>»</w:t>
      </w:r>
      <w:r>
        <w:rPr>
          <w:rFonts w:hint="cs"/>
          <w:spacing w:val="8"/>
          <w:rtl/>
        </w:rPr>
        <w:t xml:space="preserve">-؛ مجلة الأحكام العدلية، مادة 15- ولفظها: </w:t>
      </w:r>
      <w:r>
        <w:rPr>
          <w:rFonts w:hint="eastAsia"/>
          <w:spacing w:val="8"/>
          <w:rtl/>
        </w:rPr>
        <w:t>«</w:t>
      </w:r>
      <w:r>
        <w:rPr>
          <w:rFonts w:hint="cs"/>
          <w:spacing w:val="8"/>
          <w:rtl/>
        </w:rPr>
        <w:t>ما ثبت على خلاف القياس لا يقاس عليه</w:t>
      </w:r>
      <w:r>
        <w:rPr>
          <w:rFonts w:hint="eastAsia"/>
          <w:spacing w:val="8"/>
          <w:rtl/>
        </w:rPr>
        <w:t>»</w:t>
      </w:r>
      <w:r>
        <w:rPr>
          <w:rFonts w:hint="cs"/>
          <w:spacing w:val="8"/>
          <w:rtl/>
        </w:rPr>
        <w:t xml:space="preserve">-؛ شرحها لسليم رستم، 1/26؛ ولـعلي حيدر، 1/29؛ وللأتاسي، 1/42؛ وشرح قواعدها للزرقا، ص151؛ قواعد الفقه للمجدّدي، ص114، قاعدة 288؛ المدخل الفقهي العام، 2/1011، فقرة 625؛ القواعد الفقهية للندوي، ص101، 178، (456)؛ القواعد والضوابط المستخلصة من التحرير، ص494- ولفظه : </w:t>
      </w:r>
      <w:r>
        <w:rPr>
          <w:rFonts w:hint="eastAsia"/>
          <w:spacing w:val="8"/>
          <w:rtl/>
        </w:rPr>
        <w:t>«</w:t>
      </w:r>
      <w:r>
        <w:rPr>
          <w:rFonts w:hint="cs"/>
          <w:spacing w:val="8"/>
          <w:rtl/>
        </w:rPr>
        <w:t>والمخصوص من القياس عندنا لا يقاس عليه غيره ...</w:t>
      </w:r>
      <w:r>
        <w:rPr>
          <w:rFonts w:hint="eastAsia"/>
          <w:spacing w:val="8"/>
          <w:rtl/>
        </w:rPr>
        <w:t>»</w:t>
      </w:r>
      <w:r>
        <w:rPr>
          <w:rFonts w:hint="cs"/>
          <w:spacing w:val="8"/>
          <w:rtl/>
        </w:rPr>
        <w:t>-؛ موسوعة القواعد الفقهية، 1/59؛ المدخل إلى القواعد الفقهية، ص182؛ المبادئ الفقهية، ص16؛ القواعد الفقهية للدعاس، ص74؛ وللزحيلي، ص78.</w:t>
      </w:r>
    </w:p>
    <w:p w:rsidR="00035BE3" w:rsidRDefault="00035BE3" w:rsidP="00C10469">
      <w:pPr>
        <w:pStyle w:val="a6"/>
        <w:spacing w:line="520" w:lineRule="exact"/>
        <w:ind w:left="422" w:firstLine="0"/>
        <w:rPr>
          <w:b/>
          <w:bCs/>
          <w:rtl/>
        </w:rPr>
      </w:pPr>
      <w:r>
        <w:rPr>
          <w:rFonts w:hint="cs"/>
          <w:b/>
          <w:bCs/>
          <w:rtl/>
        </w:rPr>
        <w:t>وانظر من كتب الفقه :</w:t>
      </w:r>
    </w:p>
    <w:p w:rsidR="00035BE3" w:rsidRDefault="00035BE3" w:rsidP="00C10469">
      <w:pPr>
        <w:pStyle w:val="a6"/>
        <w:spacing w:line="520" w:lineRule="exact"/>
        <w:ind w:left="422" w:firstLine="0"/>
        <w:rPr>
          <w:spacing w:val="4"/>
          <w:rtl/>
        </w:rPr>
      </w:pPr>
      <w:r>
        <w:rPr>
          <w:rFonts w:hint="cs"/>
          <w:spacing w:val="4"/>
          <w:rtl/>
        </w:rPr>
        <w:t>المصفى للنسفي، ل7/أ، 13/أ، 19/ب، 40/أ؛ العناية وفتح القدير أو نتائج الأفكار، 7/73، 74، 8/35، 9/46، 47؛ الدرر شرح الغرر، 2/152؛ رسائل ابن عابدين، 2/89.</w:t>
      </w:r>
    </w:p>
    <w:p w:rsidR="00035BE3" w:rsidRDefault="00035BE3" w:rsidP="00C10469">
      <w:pPr>
        <w:pStyle w:val="a6"/>
        <w:spacing w:line="520" w:lineRule="exact"/>
        <w:ind w:left="422" w:firstLine="0"/>
        <w:rPr>
          <w:spacing w:val="-6"/>
          <w:rtl/>
        </w:rPr>
      </w:pPr>
      <w:r>
        <w:rPr>
          <w:rFonts w:hint="cs"/>
          <w:spacing w:val="-6"/>
          <w:rtl/>
        </w:rPr>
        <w:t>يضاف إلى ما سبق : أن المؤلف سيذكر قاعدة أخرى بمعناها، في ص1117، (ل107/أ)، قاعدة 248.</w:t>
      </w:r>
    </w:p>
  </w:footnote>
  <w:footnote w:id="4573">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التعريس : النـزول آخر الليل</w:t>
      </w:r>
      <w:r>
        <w:rPr>
          <w:rFonts w:hint="eastAsia"/>
          <w:rtl/>
        </w:rPr>
        <w:t>»</w:t>
      </w:r>
      <w:r>
        <w:rPr>
          <w:rFonts w:hint="cs"/>
          <w:rtl/>
        </w:rPr>
        <w:t>.</w:t>
      </w:r>
    </w:p>
    <w:p w:rsidR="00035BE3" w:rsidRDefault="00035BE3" w:rsidP="00C10469">
      <w:pPr>
        <w:pStyle w:val="a6"/>
        <w:spacing w:line="520" w:lineRule="exact"/>
        <w:ind w:left="422" w:firstLine="0"/>
        <w:rPr>
          <w:rtl/>
        </w:rPr>
      </w:pPr>
      <w:r>
        <w:rPr>
          <w:rFonts w:hint="cs"/>
          <w:rtl/>
        </w:rPr>
        <w:t xml:space="preserve">كما جاء فيه أيضًا : </w:t>
      </w:r>
      <w:r>
        <w:rPr>
          <w:rFonts w:hint="eastAsia"/>
          <w:rtl/>
        </w:rPr>
        <w:t>«</w:t>
      </w:r>
      <w:r>
        <w:rPr>
          <w:rFonts w:hint="cs"/>
          <w:rtl/>
        </w:rPr>
        <w:t xml:space="preserve">ما روي أنه </w:t>
      </w:r>
      <w:r>
        <w:rPr>
          <w:rFonts w:ascii="AGA Arabesque" w:hAnsi="AGA Arabesque"/>
          <w:sz w:val="36"/>
          <w:szCs w:val="36"/>
        </w:rPr>
        <w:t></w:t>
      </w:r>
      <w:r>
        <w:rPr>
          <w:rFonts w:hint="cs"/>
          <w:rtl/>
        </w:rPr>
        <w:t xml:space="preserve"> قضاها مع الفرض غداة ليلة التعريس، بعد ارتفاع الشمس، فيبقى ما رواه على الأصل، أي سنة الفجر. وأما إذا فاتت بلا فرض فلا تقضى عندهما. درر</w:t>
      </w:r>
      <w:r>
        <w:rPr>
          <w:rFonts w:hint="eastAsia"/>
          <w:rtl/>
        </w:rPr>
        <w:t>»</w:t>
      </w:r>
      <w:r>
        <w:rPr>
          <w:rFonts w:hint="cs"/>
          <w:rtl/>
        </w:rPr>
        <w:t>.</w:t>
      </w:r>
    </w:p>
  </w:footnote>
  <w:footnote w:id="4574">
    <w:p w:rsidR="00035BE3" w:rsidRDefault="00035BE3" w:rsidP="00C10469">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ص781 (ل60/ب)، قاعدة 152. وقد سبق تخريج الحديث هناك.</w:t>
      </w:r>
    </w:p>
  </w:footnote>
  <w:footnote w:id="457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اشترى</w:t>
      </w:r>
      <w:r>
        <w:rPr>
          <w:rFonts w:hint="eastAsia"/>
          <w:rtl/>
        </w:rPr>
        <w:t>»</w:t>
      </w:r>
      <w:r>
        <w:rPr>
          <w:rFonts w:hint="cs"/>
          <w:rtl/>
        </w:rPr>
        <w:t>.</w:t>
      </w:r>
    </w:p>
  </w:footnote>
  <w:footnote w:id="4576">
    <w:p w:rsidR="00035BE3" w:rsidRPr="00457D07"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2/152؛ وانظر : الهداية والعناية وفتح القدير، 6/303؛ الوقاية وشرحها لصدر </w:t>
      </w:r>
      <w:r w:rsidRPr="00457D07">
        <w:rPr>
          <w:rFonts w:hint="cs"/>
          <w:rtl/>
        </w:rPr>
        <w:t>الشريعة، ومعهما : الكنـز وشرحه : كشف الحقائق، 2/7؛ تبيين الحقائق، 4/15.</w:t>
      </w:r>
    </w:p>
    <w:p w:rsidR="00035BE3" w:rsidRDefault="00035BE3" w:rsidP="00C10469">
      <w:pPr>
        <w:pStyle w:val="a6"/>
        <w:ind w:left="420" w:firstLine="0"/>
        <w:rPr>
          <w:spacing w:val="6"/>
          <w:rtl/>
        </w:rPr>
      </w:pPr>
      <w:r w:rsidRPr="00457D07">
        <w:rPr>
          <w:rFonts w:hint="cs"/>
          <w:rtl/>
        </w:rPr>
        <w:t xml:space="preserve">وقد ورد في أكثر هذه الكتب بيان الخلاف بين أبي حنيفة وأصحابه في هذا المثال، ومن ذلك ما جاء في الأخير:  </w:t>
      </w:r>
      <w:r w:rsidRPr="00457D07">
        <w:rPr>
          <w:rFonts w:hint="eastAsia"/>
          <w:rtl/>
        </w:rPr>
        <w:t>«</w:t>
      </w:r>
      <w:r w:rsidRPr="00457D07">
        <w:rPr>
          <w:rFonts w:hint="cs"/>
          <w:rtl/>
        </w:rPr>
        <w:t>ولو باع على أنه إن لم ينقد الثمن إلى ثلاثة أيام فلا بيع : صحّ. وإلى أربعة : لا. وهذا عند أبي حنيفة وأبي يوسف. وقال محمد : يجوز إلى أربعة أيام وأكثر. وقال زفر : لا يجوز هذا الشرط أصلاً، وهو القياس</w:t>
      </w:r>
      <w:r>
        <w:rPr>
          <w:rFonts w:hint="cs"/>
          <w:spacing w:val="6"/>
          <w:rtl/>
        </w:rPr>
        <w:t xml:space="preserve"> ...</w:t>
      </w:r>
      <w:r>
        <w:rPr>
          <w:rFonts w:hint="eastAsia"/>
          <w:spacing w:val="6"/>
          <w:rtl/>
        </w:rPr>
        <w:t>»</w:t>
      </w:r>
      <w:r>
        <w:rPr>
          <w:rFonts w:hint="cs"/>
          <w:spacing w:val="6"/>
          <w:rtl/>
        </w:rPr>
        <w:t>.</w:t>
      </w:r>
    </w:p>
  </w:footnote>
  <w:footnote w:id="4577">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93/أ من (أ).</w:t>
      </w:r>
    </w:p>
  </w:footnote>
  <w:footnote w:id="4578">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صرّح المؤلف بالنص المشار إليه، كما بيّن وجه مخالفته للقياس في ص1117 (ل107/أ).</w:t>
      </w:r>
    </w:p>
    <w:p w:rsidR="00035BE3" w:rsidRDefault="00035BE3" w:rsidP="00C10469">
      <w:pPr>
        <w:pStyle w:val="a6"/>
        <w:spacing w:line="264" w:lineRule="auto"/>
        <w:ind w:left="420" w:firstLine="0"/>
        <w:rPr>
          <w:rtl/>
        </w:rPr>
      </w:pPr>
      <w:r>
        <w:rPr>
          <w:rFonts w:hint="cs"/>
          <w:rtl/>
        </w:rPr>
        <w:t>ولبيان وجه خروج المثال المذكور عن القاعدة ظاهرًا يُقال :</w:t>
      </w:r>
    </w:p>
    <w:p w:rsidR="00035BE3" w:rsidRDefault="00035BE3" w:rsidP="00C10469">
      <w:pPr>
        <w:pStyle w:val="a6"/>
        <w:spacing w:line="264" w:lineRule="auto"/>
        <w:ind w:left="420" w:firstLine="0"/>
        <w:rPr>
          <w:rtl/>
        </w:rPr>
      </w:pPr>
      <w:r>
        <w:rPr>
          <w:rFonts w:hint="cs"/>
          <w:rtl/>
        </w:rPr>
        <w:t>بما أنّ شرط الخيار ثابت على خلاف القياس؛ لكون الخيار مخالفًا لمقتضى العقد وهو اللزوم، فإن النصّ الذي ورد به الخيار يقتصر على مورده ولا يقاس عليه.</w:t>
      </w:r>
    </w:p>
    <w:p w:rsidR="00035BE3" w:rsidRDefault="00035BE3" w:rsidP="00C10469">
      <w:pPr>
        <w:pStyle w:val="a6"/>
        <w:spacing w:line="264" w:lineRule="auto"/>
        <w:ind w:left="420" w:firstLine="0"/>
        <w:rPr>
          <w:rtl/>
        </w:rPr>
      </w:pPr>
      <w:r>
        <w:rPr>
          <w:rFonts w:hint="cs"/>
          <w:rtl/>
        </w:rPr>
        <w:t>وعلى الرغم من ذلك فإنهم قاسوا عليه ما لو اشترى على أنه إن لم يسلِّم الثمن نقدًا خلال ثلاثة أيام وقالوا: إن هذا البيع صحيح إلى ثلاثة أيام، وإلى أكثر : لا، كخيار الشرط!.</w:t>
      </w:r>
    </w:p>
  </w:footnote>
  <w:footnote w:id="4579">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59/ب من (ب).</w:t>
      </w:r>
    </w:p>
  </w:footnote>
  <w:footnote w:id="4580">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عن</w:t>
      </w:r>
      <w:r>
        <w:rPr>
          <w:rFonts w:hint="eastAsia"/>
          <w:rtl/>
        </w:rPr>
        <w:t>»</w:t>
      </w:r>
      <w:r>
        <w:rPr>
          <w:rFonts w:hint="cs"/>
          <w:rtl/>
        </w:rPr>
        <w:t xml:space="preserve">، وفي (جـ) : </w:t>
      </w:r>
      <w:r>
        <w:rPr>
          <w:rFonts w:hint="eastAsia"/>
          <w:rtl/>
        </w:rPr>
        <w:t>«</w:t>
      </w:r>
      <w:r>
        <w:rPr>
          <w:rFonts w:hint="cs"/>
          <w:rtl/>
        </w:rPr>
        <w:t>في</w:t>
      </w:r>
      <w:r>
        <w:rPr>
          <w:rFonts w:hint="eastAsia"/>
          <w:rtl/>
        </w:rPr>
        <w:t>»</w:t>
      </w:r>
      <w:r>
        <w:rPr>
          <w:rFonts w:hint="cs"/>
          <w:rtl/>
        </w:rPr>
        <w:t>.</w:t>
      </w:r>
    </w:p>
  </w:footnote>
  <w:footnote w:id="4581">
    <w:p w:rsidR="00035BE3" w:rsidRDefault="00035BE3" w:rsidP="00C10469">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وفتح القدير، 6/304؛ شرح الوقاية، 2/7؛ الدرر شرح الغرر، 2/152.</w:t>
      </w:r>
    </w:p>
  </w:footnote>
  <w:footnote w:id="458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به</w:t>
      </w:r>
      <w:r>
        <w:rPr>
          <w:rFonts w:hint="eastAsia"/>
          <w:rtl/>
        </w:rPr>
        <w:t>»</w:t>
      </w:r>
      <w:r>
        <w:rPr>
          <w:rFonts w:hint="cs"/>
          <w:rtl/>
        </w:rPr>
        <w:t xml:space="preserve"> : زيادة من (ب) و(جـ) و(د). ولا يستقيم المعنى بدونها.</w:t>
      </w:r>
    </w:p>
  </w:footnote>
  <w:footnote w:id="458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صدر الشريعة</w:t>
      </w:r>
      <w:r>
        <w:rPr>
          <w:rFonts w:hint="cs"/>
          <w:rtl/>
        </w:rPr>
        <w:t xml:space="preserve"> : هو عبيد الله بن مسعود بن محمود بن أحمد بن عبيد الله المحبوبي : </w:t>
      </w:r>
      <w:r>
        <w:rPr>
          <w:rFonts w:hint="eastAsia"/>
          <w:rtl/>
        </w:rPr>
        <w:t>«</w:t>
      </w:r>
      <w:r>
        <w:rPr>
          <w:rFonts w:hint="cs"/>
          <w:rtl/>
        </w:rPr>
        <w:t>المعروف بين الطلبة بصدر الشريعة</w:t>
      </w:r>
      <w:r>
        <w:rPr>
          <w:rFonts w:hint="eastAsia"/>
          <w:rtl/>
        </w:rPr>
        <w:t>»</w:t>
      </w:r>
      <w:r>
        <w:rPr>
          <w:rFonts w:hint="cs"/>
          <w:rtl/>
        </w:rPr>
        <w:t xml:space="preserve"> (ت 747هـ).</w:t>
      </w:r>
    </w:p>
    <w:p w:rsidR="00035BE3" w:rsidRDefault="00035BE3" w:rsidP="00C10469">
      <w:pPr>
        <w:pStyle w:val="a6"/>
        <w:ind w:left="422" w:firstLine="0"/>
        <w:rPr>
          <w:rtl/>
        </w:rPr>
      </w:pPr>
      <w:r>
        <w:rPr>
          <w:rFonts w:hint="cs"/>
          <w:rtl/>
        </w:rPr>
        <w:t>ويشاركه في هذا اللقب أبو جده المذكور (وهو أحمد بن عبيد الله)؛ لهذا يميّز بينهما بتلقيب الجد بصدر الشريعة الأكبر، والابن بالأصغر.</w:t>
      </w:r>
    </w:p>
    <w:p w:rsidR="00035BE3" w:rsidRDefault="00035BE3" w:rsidP="00C10469">
      <w:pPr>
        <w:pStyle w:val="a6"/>
        <w:ind w:left="422" w:firstLine="0"/>
        <w:rPr>
          <w:rtl/>
        </w:rPr>
      </w:pPr>
      <w:r>
        <w:rPr>
          <w:rFonts w:hint="cs"/>
          <w:rtl/>
        </w:rPr>
        <w:t xml:space="preserve">وقد برع عبيد الله في كثير من العلوم كان أهمها الفقه الحنفي وأصوله، إذْ له فيهما مؤلفات معتبرة، أشهرها: </w:t>
      </w:r>
      <w:r>
        <w:rPr>
          <w:rFonts w:hint="eastAsia"/>
          <w:rtl/>
        </w:rPr>
        <w:t>«</w:t>
      </w:r>
      <w:r>
        <w:rPr>
          <w:rFonts w:hint="cs"/>
          <w:rtl/>
        </w:rPr>
        <w:t>شرح (الوقاية) ... وهو أحسن شروحه، ثم اختصر (الوقاية) وسماه : (النقاية)، وألف في الأصول متنًا لطيفًا سماه التنقيح، ثم صنف شرحًا نفيسًا سماه التوضيح</w:t>
      </w:r>
      <w:r>
        <w:rPr>
          <w:rFonts w:hint="eastAsia"/>
          <w:rtl/>
        </w:rPr>
        <w:t>»</w:t>
      </w:r>
      <w:r>
        <w:rPr>
          <w:rFonts w:hint="cs"/>
          <w:rtl/>
        </w:rPr>
        <w:t>.</w:t>
      </w:r>
    </w:p>
    <w:p w:rsidR="00035BE3" w:rsidRDefault="00035BE3" w:rsidP="00C10469">
      <w:pPr>
        <w:pStyle w:val="a6"/>
        <w:ind w:left="422" w:firstLine="0"/>
        <w:rPr>
          <w:rtl/>
        </w:rPr>
      </w:pPr>
      <w:r>
        <w:rPr>
          <w:rFonts w:hint="cs"/>
          <w:rtl/>
        </w:rPr>
        <w:t>الفوائد البهية، ص109-110؛ وانظر : مفتاح السعادة، 2/170؛ هدية العارفين، 1/649.</w:t>
      </w:r>
    </w:p>
  </w:footnote>
  <w:footnote w:id="4584">
    <w:p w:rsidR="00035BE3" w:rsidRDefault="00035BE3" w:rsidP="00C10469">
      <w:pPr>
        <w:pStyle w:val="a8"/>
        <w:bidi/>
        <w:spacing w:line="50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الوقاية وشرحها، 2/7، حيث جاء فيهما : </w:t>
      </w:r>
      <w:r>
        <w:rPr>
          <w:rFonts w:hint="eastAsia"/>
          <w:rtl/>
        </w:rPr>
        <w:t>«</w:t>
      </w:r>
      <w:r>
        <w:rPr>
          <w:rFonts w:hint="cs"/>
          <w:spacing w:val="8"/>
          <w:rtl/>
        </w:rPr>
        <w:t xml:space="preserve">(فإن اشترى على أنه إن لم ينقد الثمن إلى ثلاثة أيام فلا بيع: صحّ، وإلى أربعة: لا، فإن نقد في الثلاث: جاز) وإنما أدخل لفظة الفاء في قوله: فإن اشترى؛ لأنه فرع مسألة خيار الشرط؛ لأن الخيار إنما شرع ليندفع بالفسخ الضررُ عن نفسه، سواء كان الضرر تأخير أداء الثمن، أو غيره، فإذا كان الخيار لضرر التأخير من صور خيار الشرط فالتصريح به يكون من فروع خيار الشرط. وهذا الذي ذُكر قول أبي </w:t>
      </w:r>
      <w:r w:rsidRPr="00BE0424">
        <w:rPr>
          <w:rFonts w:hint="cs"/>
          <w:rtl/>
        </w:rPr>
        <w:t xml:space="preserve">حنيفة -رحمه الله- وأبي يوسف -رحمه الله- خلافا لمحمد -رحمه الله- فإنه يجوّزه في الأكثر </w:t>
      </w:r>
      <w:r>
        <w:rPr>
          <w:rFonts w:hint="cs"/>
          <w:spacing w:val="8"/>
          <w:rtl/>
        </w:rPr>
        <w:t>...</w:t>
      </w:r>
      <w:r>
        <w:rPr>
          <w:rFonts w:hint="eastAsia"/>
          <w:spacing w:val="8"/>
          <w:rtl/>
        </w:rPr>
        <w:t xml:space="preserve"> »</w:t>
      </w:r>
      <w:r>
        <w:rPr>
          <w:rFonts w:hint="cs"/>
          <w:spacing w:val="8"/>
          <w:rtl/>
        </w:rPr>
        <w:t>.</w:t>
      </w:r>
    </w:p>
  </w:footnote>
  <w:footnote w:id="4585">
    <w:p w:rsidR="00035BE3" w:rsidRDefault="00035BE3" w:rsidP="00C10469">
      <w:pPr>
        <w:pStyle w:val="a8"/>
        <w:bidi/>
        <w:spacing w:line="50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تبيين الحقائق، 4/15، حيث جاء فيه:</w:t>
      </w:r>
      <w:r>
        <w:rPr>
          <w:rFonts w:hint="eastAsia"/>
          <w:spacing w:val="-8"/>
          <w:rtl/>
        </w:rPr>
        <w:t xml:space="preserve"> «</w:t>
      </w:r>
      <w:r>
        <w:rPr>
          <w:rFonts w:hint="cs"/>
          <w:spacing w:val="-8"/>
          <w:rtl/>
        </w:rPr>
        <w:t>...وجه الاستحسان أنه في معنى شرط الخيار؛ بل هو عينه ...</w:t>
      </w:r>
      <w:r>
        <w:rPr>
          <w:rFonts w:hint="eastAsia"/>
          <w:spacing w:val="-8"/>
          <w:rtl/>
        </w:rPr>
        <w:t>»</w:t>
      </w:r>
      <w:r>
        <w:rPr>
          <w:rFonts w:hint="cs"/>
          <w:spacing w:val="-8"/>
          <w:rtl/>
        </w:rPr>
        <w:t>.</w:t>
      </w:r>
    </w:p>
  </w:footnote>
  <w:footnote w:id="4586">
    <w:p w:rsidR="00035BE3" w:rsidRDefault="00035BE3" w:rsidP="00C10469">
      <w:pPr>
        <w:pStyle w:val="a8"/>
        <w:bidi/>
        <w:spacing w:line="500" w:lineRule="exact"/>
        <w:ind w:left="422" w:right="0"/>
        <w:rPr>
          <w:spacing w:val="8"/>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8"/>
          <w:rtl/>
        </w:rPr>
        <w:t>أي: أن خيار الشرط من أساسه ليس واردًا على خلاف القياس؛ لأن النص الذي دلّ على مشروعية خيار الشرط معلّل بدفع الضرر، ودفع الضرر من القواعد المقرّرة شرعًا، فيكون خيار الشرط وما ألحق به موافقًا للقياس. ولا يقال: إن من شرط ما ألحق بخيار الشرط أن يتساوى معه في جميع الوجوه؛ لأن التساوي في جميع الوجوه إنما يكون شرطًا للإلحاق إذا لم يكن في الحكم مناط، ومشـروعية خـيار الـشرط معلـلة بدفـع الضرر، فيلحق به كل ما اتفق معه في هذه العلة -والله أعلم-.</w:t>
      </w:r>
    </w:p>
  </w:footnote>
  <w:footnote w:id="458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 ساقطة من (ب).</w:t>
      </w:r>
    </w:p>
  </w:footnote>
  <w:footnote w:id="458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يشير إلى قاعدة سبق أن تحدث عنها اسقلالاً، ص780 (ل60/ب)، قاعدة 152. وقد تم توثيقها في ذلك الموضع.</w:t>
      </w:r>
    </w:p>
  </w:footnote>
  <w:footnote w:id="458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ما جاء بعد القاعدة المشار إليها سبق أن ذكره المؤلف في أثناء شرحه لها، ص784 (ل61/أ).</w:t>
      </w:r>
    </w:p>
  </w:footnote>
  <w:footnote w:id="459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تُعبّر عن سبب من أسباب التخفيف التي يذكرها كثير من علماء القواعد في معرض حديثهم عن قاعدة : </w:t>
      </w:r>
      <w:r>
        <w:rPr>
          <w:rFonts w:hint="eastAsia"/>
          <w:rtl/>
        </w:rPr>
        <w:t>«</w:t>
      </w:r>
      <w:r>
        <w:rPr>
          <w:rFonts w:hint="cs"/>
          <w:rtl/>
        </w:rPr>
        <w:t>المشقة تجلب التيسير</w:t>
      </w:r>
      <w:r>
        <w:rPr>
          <w:rFonts w:hint="eastAsia"/>
          <w:rtl/>
        </w:rPr>
        <w:t>»</w:t>
      </w:r>
      <w:r>
        <w:rPr>
          <w:rFonts w:hint="cs"/>
          <w:rtl/>
        </w:rPr>
        <w:t>.</w:t>
      </w:r>
    </w:p>
    <w:p w:rsidR="00035BE3" w:rsidRDefault="00035BE3" w:rsidP="00C10469">
      <w:pPr>
        <w:pStyle w:val="a6"/>
        <w:ind w:left="422" w:firstLine="0"/>
        <w:rPr>
          <w:rtl/>
        </w:rPr>
      </w:pPr>
      <w:r>
        <w:rPr>
          <w:rFonts w:hint="cs"/>
          <w:rtl/>
        </w:rPr>
        <w:t xml:space="preserve">إذْ المشقات </w:t>
      </w:r>
      <w:r>
        <w:rPr>
          <w:rFonts w:hint="eastAsia"/>
          <w:rtl/>
        </w:rPr>
        <w:t>«</w:t>
      </w:r>
      <w:r>
        <w:rPr>
          <w:rFonts w:hint="cs"/>
          <w:rtl/>
        </w:rPr>
        <w:t>التي ضبطها الشارع وربطها بأسباب معينة بحيث يدور حكم التخفيف معها وجودًا وعدمًا</w:t>
      </w:r>
      <w:r>
        <w:rPr>
          <w:rFonts w:hint="eastAsia"/>
          <w:rtl/>
        </w:rPr>
        <w:t>»</w:t>
      </w:r>
      <w:r>
        <w:rPr>
          <w:rFonts w:hint="cs"/>
          <w:rtl/>
        </w:rPr>
        <w:t xml:space="preserve"> حصرها كثير من العلماء في سبعة أسباب، منها : العسر وعموم البلوى.</w:t>
      </w:r>
    </w:p>
    <w:p w:rsidR="00035BE3" w:rsidRDefault="00035BE3" w:rsidP="00C10469">
      <w:pPr>
        <w:pStyle w:val="a6"/>
        <w:ind w:left="422" w:firstLine="0"/>
        <w:rPr>
          <w:rtl/>
        </w:rPr>
      </w:pPr>
      <w:r>
        <w:rPr>
          <w:rFonts w:hint="cs"/>
          <w:rtl/>
        </w:rPr>
        <w:t>و</w:t>
      </w:r>
      <w:r>
        <w:rPr>
          <w:rFonts w:hint="eastAsia"/>
          <w:rtl/>
        </w:rPr>
        <w:t xml:space="preserve"> «</w:t>
      </w:r>
      <w:r>
        <w:rPr>
          <w:rFonts w:hint="cs"/>
          <w:rtl/>
        </w:rPr>
        <w:t xml:space="preserve">ومعنى </w:t>
      </w:r>
      <w:r>
        <w:rPr>
          <w:rFonts w:hint="cs"/>
          <w:b/>
          <w:bCs/>
          <w:rtl/>
        </w:rPr>
        <w:t>العسر</w:t>
      </w:r>
      <w:r>
        <w:rPr>
          <w:rFonts w:hint="cs"/>
          <w:rtl/>
        </w:rPr>
        <w:t xml:space="preserve"> : أي مشقة تجنّب الشيء.</w:t>
      </w:r>
    </w:p>
    <w:p w:rsidR="00035BE3" w:rsidRDefault="00035BE3" w:rsidP="00C10469">
      <w:pPr>
        <w:pStyle w:val="a6"/>
        <w:ind w:left="422" w:firstLine="0"/>
        <w:rPr>
          <w:rtl/>
        </w:rPr>
      </w:pPr>
      <w:r>
        <w:rPr>
          <w:rFonts w:hint="cs"/>
          <w:b/>
          <w:bCs/>
          <w:rtl/>
        </w:rPr>
        <w:t>وعموم البلوى</w:t>
      </w:r>
      <w:r>
        <w:rPr>
          <w:rFonts w:hint="cs"/>
          <w:rtl/>
        </w:rPr>
        <w:t xml:space="preserve"> : شيوع البلاء بحيث يصعب على المرء التخلص أو الابتعاد عنه</w:t>
      </w:r>
      <w:r>
        <w:rPr>
          <w:rFonts w:hint="eastAsia"/>
          <w:rtl/>
        </w:rPr>
        <w:t>»</w:t>
      </w:r>
      <w:r>
        <w:rPr>
          <w:rFonts w:hint="cs"/>
          <w:rtl/>
        </w:rPr>
        <w:t xml:space="preserve">. </w:t>
      </w:r>
    </w:p>
    <w:p w:rsidR="00035BE3" w:rsidRDefault="00035BE3" w:rsidP="00C10469">
      <w:pPr>
        <w:pStyle w:val="a6"/>
        <w:ind w:left="422" w:firstLine="0"/>
        <w:rPr>
          <w:b/>
          <w:bCs/>
        </w:rPr>
      </w:pPr>
      <w:r>
        <w:rPr>
          <w:rFonts w:hint="cs"/>
          <w:b/>
          <w:bCs/>
          <w:rtl/>
        </w:rPr>
        <w:t>وهذه القاعدة تعبّر عن هذا السبب؛ إذ معناها :</w:t>
      </w:r>
    </w:p>
    <w:p w:rsidR="00035BE3" w:rsidRDefault="00035BE3" w:rsidP="00C10469">
      <w:pPr>
        <w:pStyle w:val="a6"/>
        <w:ind w:left="422" w:firstLine="0"/>
        <w:rPr>
          <w:rtl/>
        </w:rPr>
      </w:pPr>
      <w:r>
        <w:rPr>
          <w:rFonts w:hint="cs"/>
          <w:rtl/>
        </w:rPr>
        <w:t>أن المكلّف إذا أصابه بلاء، وكان هذا البلاء شائعًا عامًّا، بحيث يشق عليه التحرّز منه فإن هذا يكون سببًا لتخفيف الحكم عنه.</w:t>
      </w:r>
    </w:p>
    <w:p w:rsidR="00035BE3" w:rsidRDefault="00035BE3" w:rsidP="00C10469">
      <w:pPr>
        <w:pStyle w:val="a6"/>
        <w:ind w:left="422" w:firstLine="0"/>
        <w:rPr>
          <w:rtl/>
        </w:rPr>
      </w:pPr>
      <w:r>
        <w:rPr>
          <w:rFonts w:hint="cs"/>
          <w:b/>
          <w:bCs/>
          <w:rtl/>
        </w:rPr>
        <w:t>ولتوثيق ما سبق</w:t>
      </w:r>
      <w:r>
        <w:rPr>
          <w:rFonts w:hint="cs"/>
          <w:rtl/>
        </w:rPr>
        <w:t xml:space="preserve"> : فإن النص الأول منقول من رفع الحرج لشيخنا د. يعقوب الباحسين، والثاني من نظرية الضرورة الشرعية للدكتور وهبة الزحيلي، ص123.</w:t>
      </w:r>
    </w:p>
    <w:p w:rsidR="00035BE3" w:rsidRDefault="00035BE3" w:rsidP="00C10469">
      <w:pPr>
        <w:pStyle w:val="a6"/>
        <w:ind w:left="422" w:firstLine="0"/>
        <w:rPr>
          <w:rtl/>
        </w:rPr>
      </w:pPr>
      <w:r>
        <w:rPr>
          <w:rFonts w:hint="cs"/>
          <w:b/>
          <w:bCs/>
          <w:rtl/>
        </w:rPr>
        <w:t>أما توثيق القاعدة</w:t>
      </w:r>
      <w:r>
        <w:rPr>
          <w:rFonts w:hint="cs"/>
          <w:rtl/>
        </w:rPr>
        <w:t xml:space="preserve"> : </w:t>
      </w:r>
    </w:p>
    <w:p w:rsidR="00035BE3" w:rsidRDefault="00035BE3" w:rsidP="00C10469">
      <w:pPr>
        <w:pStyle w:val="a6"/>
        <w:ind w:left="422" w:firstLine="0"/>
        <w:rPr>
          <w:rtl/>
        </w:rPr>
      </w:pPr>
      <w:r>
        <w:rPr>
          <w:rFonts w:hint="cs"/>
          <w:rtl/>
        </w:rPr>
        <w:t>فقد وردت بلفظ المؤلف أو نحوه في بعض كتب القواعد والكثير من كتب الفقه الحنفي، كما ورد ذكرها كسببٍ من أسباب التخفيف في كثير من كتب القواعد :</w:t>
      </w:r>
    </w:p>
    <w:p w:rsidR="00035BE3" w:rsidRDefault="00035BE3" w:rsidP="00C10469">
      <w:pPr>
        <w:pStyle w:val="a6"/>
        <w:ind w:left="422" w:firstLine="0"/>
        <w:rPr>
          <w:b/>
          <w:bCs/>
          <w:rtl/>
        </w:rPr>
      </w:pPr>
      <w:r>
        <w:rPr>
          <w:rFonts w:hint="cs"/>
          <w:b/>
          <w:bCs/>
          <w:rtl/>
        </w:rPr>
        <w:t>فمن كتب القواعد التي ذكرتها بنصّها :</w:t>
      </w:r>
    </w:p>
    <w:p w:rsidR="00035BE3" w:rsidRDefault="00035BE3" w:rsidP="00C10469">
      <w:pPr>
        <w:pStyle w:val="a6"/>
        <w:ind w:left="422" w:firstLine="0"/>
        <w:rPr>
          <w:rtl/>
        </w:rPr>
      </w:pPr>
      <w:r>
        <w:rPr>
          <w:rFonts w:hint="cs"/>
          <w:rtl/>
        </w:rPr>
        <w:t>الأشباه والنظائر لابن نجيم، ص105؛ مجامع الحقائق (الخاتمة)، ص46؛ شرح العلائي لقواعد الخادمي، ل36/أ؛ منافع الدقائق، ص331.</w:t>
      </w:r>
    </w:p>
    <w:p w:rsidR="00035BE3" w:rsidRDefault="00035BE3" w:rsidP="00C10469">
      <w:pPr>
        <w:pStyle w:val="a6"/>
        <w:ind w:left="422" w:firstLine="0"/>
        <w:rPr>
          <w:b/>
          <w:bCs/>
          <w:rtl/>
        </w:rPr>
      </w:pPr>
      <w:r>
        <w:rPr>
          <w:rFonts w:hint="cs"/>
          <w:b/>
          <w:bCs/>
          <w:rtl/>
        </w:rPr>
        <w:t>ومن كتب القواعد التي تكلمت عن معناها :</w:t>
      </w:r>
    </w:p>
    <w:p w:rsidR="00035BE3" w:rsidRDefault="00035BE3" w:rsidP="00C10469">
      <w:pPr>
        <w:pStyle w:val="a6"/>
        <w:ind w:left="422" w:firstLine="0"/>
        <w:rPr>
          <w:rtl/>
        </w:rPr>
      </w:pPr>
      <w:r>
        <w:rPr>
          <w:rFonts w:hint="cs"/>
          <w:rtl/>
        </w:rPr>
        <w:t>المنثور، 3/169؛ تقرير القواعد لابن رجب، 3/162، 178؛ القواعد للحصني، 1/317؛ الأشباه والنظائر للسيوطي، 1/198؛ ولابن نجيم، ص97- وقد ذكر الأخيران أن أسباب التخفيف سبعة، منها عموم البلوى-؛ القواعد الفقهية الكبرى لشيخنا أ.د. صالح السدلان، ص243؛ القواعد الكبرى لِـ د. عبد الله العجلان، ص75؛ نظرية الضرورة الشرعية للدكتور وهبة الزحيلي، ص123؛ رفع الحرج لشيخنا د. يعقوب الباحسين، ص434؛ وللدكتور صالح بن حميد، ص259؛ المشقة تجلب التيسير للدكتور صالح اليوسف، ص232؛ التحرير في قاعدة المشقة تجلب التيسير، ص82؛ الرخص الشرعية في الأصول والقواعد الفقهية لِـ د. عمر كامل، ص146، 310.</w:t>
      </w:r>
      <w:r>
        <w:rPr>
          <w:rFonts w:hint="cs"/>
          <w:rtl/>
        </w:rPr>
        <w:tab/>
      </w:r>
      <w:r>
        <w:rPr>
          <w:rFonts w:hint="cs"/>
          <w:rtl/>
        </w:rPr>
        <w:tab/>
      </w:r>
      <w:r>
        <w:rPr>
          <w:rFonts w:hint="cs"/>
          <w:rtl/>
        </w:rPr>
        <w:tab/>
        <w:t xml:space="preserve">  </w:t>
      </w:r>
    </w:p>
    <w:p w:rsidR="00035BE3" w:rsidRDefault="00035BE3" w:rsidP="00C10469">
      <w:pPr>
        <w:pStyle w:val="a6"/>
        <w:ind w:left="422" w:firstLine="0"/>
        <w:rPr>
          <w:b/>
          <w:bCs/>
          <w:rtl/>
        </w:rPr>
      </w:pPr>
      <w:r>
        <w:rPr>
          <w:rFonts w:hint="cs"/>
          <w:b/>
          <w:bCs/>
          <w:rtl/>
        </w:rPr>
        <w:t>ومن كتب الفقه التي ورد فيها التعليل بنصّ القاعدة أو نحوه :</w:t>
      </w:r>
    </w:p>
    <w:p w:rsidR="00035BE3" w:rsidRDefault="00035BE3" w:rsidP="00C10469">
      <w:pPr>
        <w:pStyle w:val="a6"/>
        <w:ind w:left="422" w:firstLine="0"/>
        <w:rPr>
          <w:rtl/>
        </w:rPr>
      </w:pPr>
      <w:r>
        <w:rPr>
          <w:rFonts w:hint="cs"/>
          <w:rtl/>
        </w:rPr>
        <w:t>بدائع الصنائع، 1/81؛ الكافي للنسفي، القسم الأخير، ص1608؛ تبيين الحقائق، 1/74، 5/218؛ العناية، 1/205؛ نتائج الأفكار، 9/309؛ البحر الرائق، 1/241؛ تكملته، 8/120.</w:t>
      </w:r>
    </w:p>
    <w:p w:rsidR="00035BE3" w:rsidRDefault="00035BE3" w:rsidP="00C10469">
      <w:pPr>
        <w:pStyle w:val="a6"/>
        <w:ind w:left="422" w:firstLine="0"/>
        <w:rPr>
          <w:rtl/>
        </w:rPr>
      </w:pPr>
      <w:r>
        <w:rPr>
          <w:rFonts w:hint="cs"/>
          <w:rtl/>
        </w:rPr>
        <w:t>ويضاف إلى جميع ما سبق أن هناك رسالتين علميتين كُتبتا عن موضوع هذه القاعدة :</w:t>
      </w:r>
    </w:p>
    <w:p w:rsidR="00035BE3" w:rsidRDefault="00035BE3" w:rsidP="00C10469">
      <w:pPr>
        <w:pStyle w:val="a6"/>
        <w:ind w:left="422" w:firstLine="0"/>
        <w:rPr>
          <w:rtl/>
        </w:rPr>
      </w:pPr>
      <w:r>
        <w:rPr>
          <w:rFonts w:hint="cs"/>
          <w:b/>
          <w:bCs/>
          <w:rtl/>
        </w:rPr>
        <w:t>إحداهما</w:t>
      </w:r>
      <w:r>
        <w:rPr>
          <w:rFonts w:hint="cs"/>
          <w:rtl/>
        </w:rPr>
        <w:t xml:space="preserve"> : (عموم البلوي دراسة نظرية تطبيقية) للباحث : مسلم بن محمد الدوسري، وقد نال بها درجة الماجستير من كلية الشريعة بالرياض.</w:t>
      </w:r>
    </w:p>
    <w:p w:rsidR="00035BE3" w:rsidRDefault="00035BE3" w:rsidP="00C10469">
      <w:pPr>
        <w:pStyle w:val="a6"/>
        <w:ind w:left="422" w:firstLine="0"/>
        <w:rPr>
          <w:rtl/>
        </w:rPr>
      </w:pPr>
      <w:r>
        <w:rPr>
          <w:rFonts w:hint="cs"/>
          <w:b/>
          <w:bCs/>
          <w:rtl/>
        </w:rPr>
        <w:t>الثانية</w:t>
      </w:r>
      <w:r>
        <w:rPr>
          <w:rFonts w:hint="cs"/>
          <w:rtl/>
        </w:rPr>
        <w:t xml:space="preserve"> : (من أسباب التخفيف في الشريعة الإسلامية : العسر وعموم البلوى) للباحث : محمد فوزي، وقد نال بها درجة الدكتوراه من جامعة الأزهر.</w:t>
      </w:r>
    </w:p>
  </w:footnote>
  <w:footnote w:id="459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94/أ من (أ).</w:t>
      </w:r>
    </w:p>
  </w:footnote>
  <w:footnote w:id="459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الأشباه لابن نجيم، ص97؛ رد المحتار، 1/379؛ حيث جاء في الأخير بيان الخلاف بين الحنفية في حكم بول السنور (وهو الهر - كما مر ص1028-) وأن المفتى به ما ذكره المؤلف، فممّا جاء فيه: </w:t>
      </w:r>
      <w:r>
        <w:rPr>
          <w:rFonts w:hint="eastAsia"/>
          <w:rtl/>
        </w:rPr>
        <w:t>«</w:t>
      </w:r>
      <w:r>
        <w:rPr>
          <w:rFonts w:hint="cs"/>
          <w:rtl/>
        </w:rPr>
        <w:t>... وأن بول السنور عفو في غير أواني الماء وعليه الفتوى أ. هـ.</w:t>
      </w:r>
    </w:p>
    <w:p w:rsidR="00035BE3" w:rsidRDefault="00035BE3" w:rsidP="00C10469">
      <w:pPr>
        <w:pStyle w:val="a6"/>
        <w:ind w:left="422" w:firstLine="0"/>
        <w:rPr>
          <w:spacing w:val="-4"/>
          <w:rtl/>
        </w:rPr>
      </w:pPr>
      <w:r>
        <w:rPr>
          <w:rFonts w:hint="cs"/>
          <w:spacing w:val="-4"/>
          <w:rtl/>
        </w:rPr>
        <w:t>أقول : وفي (الخانية) أنّ بول الهرة والفأرة وخرأهما نجس في أظهر الروايات، يفسد الماء والثوب أ. هـ.</w:t>
      </w:r>
    </w:p>
    <w:p w:rsidR="00035BE3" w:rsidRDefault="00035BE3" w:rsidP="00C10469">
      <w:pPr>
        <w:pStyle w:val="a6"/>
        <w:ind w:left="422" w:firstLine="0"/>
        <w:rPr>
          <w:spacing w:val="-8"/>
          <w:rtl/>
        </w:rPr>
      </w:pPr>
      <w:r>
        <w:rPr>
          <w:rFonts w:hint="cs"/>
          <w:spacing w:val="-8"/>
          <w:rtl/>
        </w:rPr>
        <w:t>ولعلهم رجّحوا القول بالعفو؛ للضرورة</w:t>
      </w:r>
      <w:r>
        <w:rPr>
          <w:rFonts w:hint="eastAsia"/>
          <w:spacing w:val="-8"/>
          <w:rtl/>
        </w:rPr>
        <w:t>»</w:t>
      </w:r>
      <w:r>
        <w:rPr>
          <w:rFonts w:hint="cs"/>
          <w:spacing w:val="-8"/>
          <w:rtl/>
        </w:rPr>
        <w:t>. وسبب الترجيح هذا سيشير إليه المؤلف عقب هذا المثال مباشرة.</w:t>
      </w:r>
    </w:p>
  </w:footnote>
  <w:footnote w:id="459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69/ب من (جـ)، وأيضًا نهاية 57/أ من (د).</w:t>
      </w:r>
    </w:p>
  </w:footnote>
  <w:footnote w:id="459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لم يفتِ العلماء بالعفو عن بول السنور إذا كان في أواني الماء.</w:t>
      </w:r>
    </w:p>
    <w:p w:rsidR="00035BE3" w:rsidRDefault="00035BE3" w:rsidP="00C10469">
      <w:pPr>
        <w:pStyle w:val="a6"/>
        <w:ind w:left="422" w:firstLine="0"/>
        <w:rPr>
          <w:rtl/>
        </w:rPr>
      </w:pPr>
      <w:r>
        <w:rPr>
          <w:rFonts w:hint="cs"/>
          <w:rtl/>
        </w:rPr>
        <w:t>انظر : الأشباه لابن نجيم، ص97؛ ردّ المحتار، 1/379.</w:t>
      </w:r>
    </w:p>
  </w:footnote>
  <w:footnote w:id="459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ساقطة من (جـ).</w:t>
      </w:r>
    </w:p>
  </w:footnote>
  <w:footnote w:id="4596">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لجريانه</w:t>
      </w:r>
      <w:r>
        <w:rPr>
          <w:rFonts w:hint="eastAsia"/>
          <w:rtl/>
        </w:rPr>
        <w:t>»</w:t>
      </w:r>
      <w:r>
        <w:rPr>
          <w:rFonts w:hint="cs"/>
          <w:rtl/>
        </w:rPr>
        <w:t xml:space="preserve"> (بزيادة الهاء) وليس لهذه الزيادة مسوّغ.</w:t>
      </w:r>
    </w:p>
  </w:footnote>
  <w:footnote w:id="4597">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بتخميرها</w:t>
      </w:r>
      <w:r>
        <w:rPr>
          <w:rFonts w:hint="eastAsia"/>
          <w:rtl/>
        </w:rPr>
        <w:t>»</w:t>
      </w:r>
      <w:r>
        <w:rPr>
          <w:rFonts w:hint="cs"/>
          <w:rtl/>
        </w:rPr>
        <w:t>.</w:t>
      </w:r>
    </w:p>
  </w:footnote>
  <w:footnote w:id="4598">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تتقدر</w:t>
      </w:r>
      <w:r>
        <w:rPr>
          <w:rFonts w:hint="eastAsia"/>
          <w:rtl/>
        </w:rPr>
        <w:t>»</w:t>
      </w:r>
      <w:r>
        <w:rPr>
          <w:rFonts w:hint="cs"/>
          <w:rtl/>
        </w:rPr>
        <w:t>.</w:t>
      </w:r>
    </w:p>
  </w:footnote>
  <w:footnote w:id="4599">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ص1028 (ل93/ب)، قاعدة 220.</w:t>
      </w:r>
    </w:p>
  </w:footnote>
  <w:footnote w:id="4600">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العبارة مستفادة من الأشباه لابن نجيم - ص104- إلا أن ابن نجيم زاد المعنى وضوحًا بقوله في آخرها : </w:t>
      </w:r>
      <w:r>
        <w:rPr>
          <w:rFonts w:hint="eastAsia"/>
          <w:rtl/>
        </w:rPr>
        <w:t>«</w:t>
      </w:r>
      <w:r>
        <w:rPr>
          <w:rFonts w:hint="cs"/>
          <w:rtl/>
        </w:rPr>
        <w:t xml:space="preserve">... وأما ما مع النّص بخلافه : </w:t>
      </w:r>
      <w:r>
        <w:rPr>
          <w:rFonts w:hint="cs"/>
          <w:b/>
          <w:bCs/>
          <w:rtl/>
        </w:rPr>
        <w:t>فلا</w:t>
      </w:r>
      <w:r>
        <w:rPr>
          <w:rFonts w:hint="eastAsia"/>
          <w:rtl/>
        </w:rPr>
        <w:t>»</w:t>
      </w:r>
      <w:r>
        <w:rPr>
          <w:rFonts w:hint="cs"/>
          <w:rtl/>
        </w:rPr>
        <w:t>.</w:t>
      </w:r>
    </w:p>
    <w:p w:rsidR="00035BE3" w:rsidRDefault="00035BE3" w:rsidP="00C10469">
      <w:pPr>
        <w:pStyle w:val="a6"/>
        <w:ind w:left="422" w:firstLine="0"/>
        <w:rPr>
          <w:rtl/>
        </w:rPr>
      </w:pPr>
      <w:r>
        <w:rPr>
          <w:rFonts w:hint="cs"/>
          <w:rtl/>
        </w:rPr>
        <w:t>والعبارة المشار إليها أفردها البعض في قاعدة مستقلة.</w:t>
      </w:r>
    </w:p>
    <w:p w:rsidR="00035BE3" w:rsidRDefault="00035BE3" w:rsidP="00C10469">
      <w:pPr>
        <w:pStyle w:val="a6"/>
        <w:ind w:left="422" w:firstLine="0"/>
        <w:rPr>
          <w:spacing w:val="-4"/>
          <w:rtl/>
        </w:rPr>
      </w:pPr>
      <w:r>
        <w:rPr>
          <w:rFonts w:hint="cs"/>
          <w:b/>
          <w:bCs/>
          <w:spacing w:val="-4"/>
          <w:rtl/>
        </w:rPr>
        <w:t>ومعناها</w:t>
      </w:r>
      <w:r>
        <w:rPr>
          <w:rFonts w:hint="cs"/>
          <w:spacing w:val="-4"/>
          <w:rtl/>
        </w:rPr>
        <w:t xml:space="preserve"> : أن الحرج وعموم البلوى إنما ينتج عنهما التخفيف إذا كان موضعهما موضع اجتهاد ونظر، وأما إذا كان الموضع قد ورد فيه نصّ فإن الحكم يختلف حينئذٍ؛ إذْ يعمل بالنص ولا يُنظر فيما يخالفه.</w:t>
      </w:r>
    </w:p>
    <w:p w:rsidR="00035BE3" w:rsidRDefault="00035BE3" w:rsidP="00C10469">
      <w:pPr>
        <w:pStyle w:val="a6"/>
        <w:ind w:left="422" w:firstLine="0"/>
        <w:rPr>
          <w:rtl/>
        </w:rPr>
      </w:pPr>
      <w:r>
        <w:rPr>
          <w:rFonts w:hint="cs"/>
          <w:rtl/>
        </w:rPr>
        <w:t>والعبارة المشار إليها أفردها صاحب موسوعة القواعد الفقهية في موضعين من كتابه :</w:t>
      </w:r>
    </w:p>
    <w:p w:rsidR="00035BE3" w:rsidRDefault="00035BE3" w:rsidP="00C10469">
      <w:pPr>
        <w:pStyle w:val="a6"/>
        <w:ind w:left="422" w:firstLine="0"/>
        <w:rPr>
          <w:rtl/>
        </w:rPr>
      </w:pPr>
      <w:r>
        <w:rPr>
          <w:rFonts w:hint="cs"/>
          <w:b/>
          <w:bCs/>
          <w:rtl/>
        </w:rPr>
        <w:t>أحدهما</w:t>
      </w:r>
      <w:r>
        <w:rPr>
          <w:rFonts w:hint="cs"/>
          <w:rtl/>
        </w:rPr>
        <w:t xml:space="preserve"> : بلفظ : </w:t>
      </w:r>
      <w:r>
        <w:rPr>
          <w:rFonts w:hint="eastAsia"/>
          <w:rtl/>
        </w:rPr>
        <w:t>«</w:t>
      </w:r>
      <w:r>
        <w:rPr>
          <w:rFonts w:hint="cs"/>
          <w:rtl/>
        </w:rPr>
        <w:t>إنما تعتبر البلوى فيما ليس فيه نص بخلافه، فأما مع وجود النص فلا معتبر به</w:t>
      </w:r>
      <w:r>
        <w:rPr>
          <w:rFonts w:hint="eastAsia"/>
          <w:rtl/>
        </w:rPr>
        <w:t>»</w:t>
      </w:r>
      <w:r>
        <w:rPr>
          <w:rFonts w:hint="cs"/>
          <w:rtl/>
        </w:rPr>
        <w:t>، وذلك 2/317، وقد استفاده من المبسوط، 1/105.</w:t>
      </w:r>
    </w:p>
    <w:p w:rsidR="00035BE3" w:rsidRDefault="00035BE3" w:rsidP="00C10469">
      <w:pPr>
        <w:pStyle w:val="a6"/>
        <w:ind w:left="422" w:firstLine="0"/>
        <w:rPr>
          <w:spacing w:val="-6"/>
          <w:rtl/>
        </w:rPr>
      </w:pPr>
      <w:r>
        <w:rPr>
          <w:rFonts w:hint="cs"/>
          <w:b/>
          <w:bCs/>
          <w:spacing w:val="-6"/>
          <w:rtl/>
        </w:rPr>
        <w:t>والثاني</w:t>
      </w:r>
      <w:r>
        <w:rPr>
          <w:rFonts w:hint="cs"/>
          <w:spacing w:val="-6"/>
          <w:rtl/>
        </w:rPr>
        <w:t xml:space="preserve"> : بلفظ : </w:t>
      </w:r>
      <w:r>
        <w:rPr>
          <w:rFonts w:hint="eastAsia"/>
          <w:spacing w:val="-6"/>
          <w:rtl/>
        </w:rPr>
        <w:t>«</w:t>
      </w:r>
      <w:r>
        <w:rPr>
          <w:rFonts w:hint="cs"/>
          <w:spacing w:val="-6"/>
          <w:rtl/>
        </w:rPr>
        <w:t>البلوى لا تعتبر في موضع النص</w:t>
      </w:r>
      <w:r>
        <w:rPr>
          <w:rFonts w:hint="eastAsia"/>
          <w:spacing w:val="-6"/>
          <w:rtl/>
        </w:rPr>
        <w:t>»</w:t>
      </w:r>
      <w:r>
        <w:rPr>
          <w:rFonts w:hint="cs"/>
          <w:spacing w:val="-6"/>
          <w:rtl/>
        </w:rPr>
        <w:t>، وذلك 3/63، وقد استفاده من المبسوط، 1/61.</w:t>
      </w:r>
    </w:p>
    <w:p w:rsidR="00035BE3" w:rsidRDefault="00035BE3" w:rsidP="00C10469">
      <w:pPr>
        <w:pStyle w:val="a6"/>
        <w:ind w:left="422" w:firstLine="0"/>
        <w:rPr>
          <w:rtl/>
        </w:rPr>
      </w:pPr>
      <w:r>
        <w:rPr>
          <w:rFonts w:hint="cs"/>
          <w:rtl/>
        </w:rPr>
        <w:t>يضاف إلى ذلك أن المؤلف سينقل معناها عن الزيلعي - بعد بضعة سطور-.</w:t>
      </w:r>
    </w:p>
  </w:footnote>
  <w:footnote w:id="4601">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رجس</w:t>
      </w:r>
      <w:r>
        <w:rPr>
          <w:rFonts w:hint="eastAsia"/>
          <w:rtl/>
        </w:rPr>
        <w:t>»</w:t>
      </w:r>
      <w:r>
        <w:rPr>
          <w:rFonts w:hint="cs"/>
          <w:rtl/>
        </w:rPr>
        <w:t>.</w:t>
      </w:r>
    </w:p>
  </w:footnote>
  <w:footnote w:id="4602">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أخرجه الطيالسي بلفظه، 1/37، ح287، من حديث عبد الله بن مسعود.</w:t>
      </w:r>
    </w:p>
    <w:p w:rsidR="00035BE3" w:rsidRDefault="00035BE3" w:rsidP="00C10469">
      <w:pPr>
        <w:pStyle w:val="a6"/>
        <w:ind w:left="422" w:firstLine="0"/>
        <w:rPr>
          <w:spacing w:val="-4"/>
          <w:rtl/>
        </w:rPr>
      </w:pPr>
      <w:r>
        <w:rPr>
          <w:rFonts w:hint="cs"/>
          <w:spacing w:val="-4"/>
          <w:rtl/>
        </w:rPr>
        <w:t xml:space="preserve">وأخرجه البخاري بنحوه، كتاب الوضوء، باب لا يستنجى بروث، 1/70، ح155، فقد أخرجه بسنده عن </w:t>
      </w:r>
      <w:r>
        <w:rPr>
          <w:rFonts w:hint="eastAsia"/>
          <w:spacing w:val="-4"/>
          <w:rtl/>
        </w:rPr>
        <w:t>«</w:t>
      </w:r>
      <w:r>
        <w:rPr>
          <w:rFonts w:cs="DecoType Naskh" w:hint="cs"/>
          <w:spacing w:val="-4"/>
          <w:sz w:val="28"/>
          <w:szCs w:val="28"/>
          <w:rtl/>
        </w:rPr>
        <w:t>عبد الله يقول : أتى النبيُّ</w:t>
      </w:r>
      <w:r>
        <w:rPr>
          <w:rFonts w:hint="cs"/>
          <w:spacing w:val="-4"/>
          <w:rtl/>
        </w:rPr>
        <w:t xml:space="preserve">  </w:t>
      </w:r>
      <w:r>
        <w:rPr>
          <w:rFonts w:ascii="AGA Arabesque" w:hAnsi="AGA Arabesque"/>
          <w:spacing w:val="-4"/>
          <w:sz w:val="36"/>
          <w:szCs w:val="36"/>
        </w:rPr>
        <w:t></w:t>
      </w:r>
      <w:r>
        <w:rPr>
          <w:rFonts w:hint="cs"/>
          <w:spacing w:val="-4"/>
          <w:rtl/>
        </w:rPr>
        <w:t xml:space="preserve"> </w:t>
      </w:r>
      <w:r>
        <w:rPr>
          <w:rFonts w:cs="DecoType Naskh" w:hint="cs"/>
          <w:spacing w:val="-4"/>
          <w:sz w:val="28"/>
          <w:szCs w:val="28"/>
          <w:rtl/>
        </w:rPr>
        <w:t>الغائط فأمـرني أن آتيه بثلاثة أحجار، فوجدت حجـرين، والتمست الثالث فلم أجده، فأخذتُ  روثهً فأتيتُه بها، فأخذ الحجـرين وألقى الـروثة وقال: هذا ركس</w:t>
      </w:r>
      <w:r>
        <w:rPr>
          <w:rFonts w:hint="eastAsia"/>
          <w:spacing w:val="-4"/>
          <w:rtl/>
        </w:rPr>
        <w:t>»</w:t>
      </w:r>
      <w:r>
        <w:rPr>
          <w:rFonts w:hint="cs"/>
          <w:spacing w:val="-4"/>
          <w:rtl/>
        </w:rPr>
        <w:t>.</w:t>
      </w:r>
    </w:p>
  </w:footnote>
  <w:footnote w:id="4603">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فتح الباري، 1/310.</w:t>
      </w:r>
    </w:p>
  </w:footnote>
  <w:footnote w:id="4604">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زيادة : </w:t>
      </w:r>
      <w:r>
        <w:rPr>
          <w:rFonts w:hint="eastAsia"/>
          <w:rtl/>
        </w:rPr>
        <w:t>«</w:t>
      </w:r>
      <w:r>
        <w:rPr>
          <w:rFonts w:hint="cs"/>
          <w:rtl/>
        </w:rPr>
        <w:t>في موضع النص</w:t>
      </w:r>
      <w:r>
        <w:rPr>
          <w:rFonts w:hint="eastAsia"/>
          <w:rtl/>
        </w:rPr>
        <w:t>»</w:t>
      </w:r>
      <w:r>
        <w:rPr>
          <w:rFonts w:hint="cs"/>
          <w:rtl/>
        </w:rPr>
        <w:t>.</w:t>
      </w:r>
    </w:p>
  </w:footnote>
  <w:footnote w:id="4605">
    <w:p w:rsidR="00035BE3" w:rsidRDefault="00035BE3" w:rsidP="00C10469">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ص105، مع اختلاف في بعض الألفاظ، حيث قال في بداية العبارة: </w:t>
      </w:r>
      <w:r>
        <w:rPr>
          <w:rFonts w:hint="eastAsia"/>
          <w:rtl/>
        </w:rPr>
        <w:t>«</w:t>
      </w:r>
      <w:r>
        <w:rPr>
          <w:rFonts w:hint="cs"/>
          <w:rtl/>
        </w:rPr>
        <w:t>... وقال في الانجاس ...</w:t>
      </w:r>
      <w:r>
        <w:rPr>
          <w:rFonts w:hint="eastAsia"/>
          <w:rtl/>
        </w:rPr>
        <w:t>»</w:t>
      </w:r>
      <w:r>
        <w:rPr>
          <w:rFonts w:hint="cs"/>
          <w:rtl/>
        </w:rPr>
        <w:t xml:space="preserve">، كما قال عند ذكر الحديث : </w:t>
      </w:r>
      <w:r>
        <w:rPr>
          <w:rFonts w:hint="eastAsia"/>
          <w:rtl/>
        </w:rPr>
        <w:t>«</w:t>
      </w:r>
      <w:r>
        <w:rPr>
          <w:rFonts w:hint="cs"/>
          <w:rtl/>
        </w:rPr>
        <w:t xml:space="preserve">... إنها ركس أي نجس. ولا اعتبار </w:t>
      </w:r>
      <w:r>
        <w:rPr>
          <w:rFonts w:hint="cs"/>
          <w:b/>
          <w:bCs/>
          <w:rtl/>
        </w:rPr>
        <w:t>عنده</w:t>
      </w:r>
      <w:r>
        <w:rPr>
          <w:rFonts w:hint="cs"/>
          <w:rtl/>
        </w:rPr>
        <w:t xml:space="preserve"> بالبلوى...</w:t>
      </w:r>
      <w:r>
        <w:rPr>
          <w:rFonts w:hint="eastAsia"/>
          <w:rtl/>
        </w:rPr>
        <w:t>»</w:t>
      </w:r>
      <w:r>
        <w:rPr>
          <w:rFonts w:hint="cs"/>
          <w:rtl/>
        </w:rPr>
        <w:t>.</w:t>
      </w:r>
    </w:p>
    <w:p w:rsidR="00035BE3" w:rsidRDefault="00035BE3" w:rsidP="00C10469">
      <w:pPr>
        <w:pStyle w:val="a6"/>
        <w:ind w:left="422" w:firstLine="0"/>
        <w:rPr>
          <w:spacing w:val="-6"/>
          <w:rtl/>
        </w:rPr>
      </w:pPr>
      <w:r>
        <w:rPr>
          <w:rFonts w:hint="cs"/>
          <w:spacing w:val="-6"/>
          <w:rtl/>
        </w:rPr>
        <w:t>والعبارة المعزوّة إلى الزيلعي مذكورة بنحوها في تبيين الحقائق، 1/74؛ وانظر : بدائع الصنائع، 1/80.</w:t>
      </w:r>
    </w:p>
  </w:footnote>
  <w:footnote w:id="4606">
    <w:p w:rsidR="00035BE3" w:rsidRDefault="00035BE3" w:rsidP="003D5367">
      <w:pPr>
        <w:pStyle w:val="a8"/>
        <w:bidi/>
        <w:spacing w:line="221" w:lineRule="auto"/>
        <w:ind w:left="420" w:right="0"/>
        <w:rPr>
          <w:rtl/>
        </w:rPr>
      </w:pPr>
      <w:r w:rsidRPr="008E19BB">
        <w:rPr>
          <w:rFonts w:ascii="Univers" w:hAnsi="Univers" w:hint="cs"/>
          <w:sz w:val="30"/>
          <w:vertAlign w:val="superscript"/>
          <w:rtl/>
        </w:rPr>
        <w:t>(</w:t>
      </w:r>
      <w:r w:rsidRPr="008E19BB">
        <w:rPr>
          <w:rStyle w:val="a7"/>
          <w:rFonts w:ascii="Univers" w:hAnsi="Univers"/>
          <w:sz w:val="30"/>
          <w:szCs w:val="30"/>
        </w:rPr>
        <w:footnoteRef/>
      </w:r>
      <w:r w:rsidRPr="008E19BB">
        <w:rPr>
          <w:rFonts w:ascii="Univers" w:hAnsi="Univers" w:hint="cs"/>
          <w:sz w:val="30"/>
          <w:vertAlign w:val="superscript"/>
          <w:rtl/>
        </w:rPr>
        <w:t>)</w:t>
      </w:r>
      <w:r w:rsidRPr="008E19BB">
        <w:rPr>
          <w:rFonts w:ascii="Univers" w:hAnsi="Univers"/>
          <w:sz w:val="30"/>
          <w:rtl/>
        </w:rPr>
        <w:t xml:space="preserve">  وردت هذه القاعدة بلفظها أو نحوه أو معناه في كثير من كتب الفقه وقواعده، كما وردت الإشارة</w:t>
      </w:r>
      <w:r w:rsidRPr="008E19BB">
        <w:rPr>
          <w:rFonts w:hint="cs"/>
          <w:sz w:val="18"/>
          <w:rtl/>
        </w:rPr>
        <w:t xml:space="preserve"> </w:t>
      </w:r>
      <w:r>
        <w:rPr>
          <w:rFonts w:hint="cs"/>
          <w:rtl/>
        </w:rPr>
        <w:t>إليها عرضًا في بعض كتب الأصول :</w:t>
      </w:r>
    </w:p>
    <w:p w:rsidR="00035BE3" w:rsidRDefault="00035BE3" w:rsidP="003D5367">
      <w:pPr>
        <w:pStyle w:val="a6"/>
        <w:spacing w:line="221" w:lineRule="auto"/>
        <w:ind w:left="420" w:firstLine="0"/>
        <w:rPr>
          <w:b/>
          <w:bCs/>
          <w:rtl/>
        </w:rPr>
      </w:pPr>
      <w:r>
        <w:rPr>
          <w:rFonts w:hint="cs"/>
          <w:b/>
          <w:bCs/>
          <w:rtl/>
        </w:rPr>
        <w:t>فمن كتب القواعد :</w:t>
      </w:r>
    </w:p>
    <w:p w:rsidR="00035BE3" w:rsidRPr="00635153" w:rsidRDefault="00035BE3" w:rsidP="003D5367">
      <w:pPr>
        <w:pStyle w:val="a6"/>
        <w:spacing w:line="221" w:lineRule="auto"/>
        <w:ind w:left="420" w:firstLine="0"/>
        <w:rPr>
          <w:spacing w:val="-6"/>
          <w:rtl/>
        </w:rPr>
      </w:pPr>
      <w:r w:rsidRPr="00635153">
        <w:rPr>
          <w:rFonts w:hint="cs"/>
          <w:spacing w:val="-4"/>
          <w:rtl/>
        </w:rPr>
        <w:t xml:space="preserve">الـمنثور، 3/139- ولفظه: </w:t>
      </w:r>
      <w:r w:rsidRPr="00635153">
        <w:rPr>
          <w:rFonts w:hint="eastAsia"/>
          <w:spacing w:val="-4"/>
          <w:rtl/>
        </w:rPr>
        <w:t>«</w:t>
      </w:r>
      <w:r w:rsidRPr="00635153">
        <w:rPr>
          <w:rFonts w:hint="cs"/>
          <w:spacing w:val="-4"/>
          <w:rtl/>
        </w:rPr>
        <w:t>ما جاز بيعه جاز رهنه، وما لا فلا، إلا في صور</w:t>
      </w:r>
      <w:r w:rsidRPr="00635153">
        <w:rPr>
          <w:rFonts w:hint="eastAsia"/>
          <w:spacing w:val="-4"/>
          <w:rtl/>
        </w:rPr>
        <w:t>»</w:t>
      </w:r>
      <w:r w:rsidRPr="00635153">
        <w:rPr>
          <w:rFonts w:hint="cs"/>
          <w:spacing w:val="-4"/>
          <w:rtl/>
        </w:rPr>
        <w:t xml:space="preserve">-؛ القواعد للحصني، 4/157- ولفظه: </w:t>
      </w:r>
      <w:r w:rsidRPr="00635153">
        <w:rPr>
          <w:rFonts w:hint="eastAsia"/>
          <w:spacing w:val="-4"/>
          <w:rtl/>
        </w:rPr>
        <w:t>«</w:t>
      </w:r>
      <w:r w:rsidRPr="00635153">
        <w:rPr>
          <w:rFonts w:hint="cs"/>
          <w:spacing w:val="-4"/>
          <w:rtl/>
        </w:rPr>
        <w:t xml:space="preserve">كل ما جاز بيعه جاز رهنه، وما لا يجوز بيعه لا يجوز رهنه، ويستثنى من الطرفين </w:t>
      </w:r>
      <w:r>
        <w:rPr>
          <w:rFonts w:hint="cs"/>
          <w:spacing w:val="-2"/>
          <w:rtl/>
        </w:rPr>
        <w:t>مسائل...</w:t>
      </w:r>
      <w:r>
        <w:rPr>
          <w:rFonts w:hint="eastAsia"/>
          <w:spacing w:val="-2"/>
          <w:rtl/>
        </w:rPr>
        <w:t>»</w:t>
      </w:r>
      <w:r>
        <w:rPr>
          <w:rFonts w:hint="cs"/>
          <w:spacing w:val="-2"/>
          <w:rtl/>
        </w:rPr>
        <w:t xml:space="preserve">-؛ الأشباه للسيوطي، 2/788- ولفظه كلفظ المنثور - ولابن نجيم، ص322؛ غمز عيون البصائر، 3/242؛ القواعد للدكتور علي الندوي، ص242- ولفظه كلفظ الحصني-؛ موسوعة القواعد الفقهية، 1/64- ولفظه: </w:t>
      </w:r>
      <w:r>
        <w:rPr>
          <w:rFonts w:hint="eastAsia"/>
          <w:spacing w:val="-2"/>
          <w:rtl/>
        </w:rPr>
        <w:t>«</w:t>
      </w:r>
      <w:r>
        <w:rPr>
          <w:rFonts w:hint="cs"/>
          <w:spacing w:val="-2"/>
          <w:rtl/>
        </w:rPr>
        <w:t>كل ما جاز فيه البيع تجوز فيه الهبة والصدقة والرهن</w:t>
      </w:r>
      <w:r>
        <w:rPr>
          <w:rFonts w:hint="eastAsia"/>
          <w:spacing w:val="-2"/>
          <w:rtl/>
        </w:rPr>
        <w:t>»</w:t>
      </w:r>
      <w:r>
        <w:rPr>
          <w:rFonts w:hint="cs"/>
          <w:spacing w:val="-2"/>
          <w:rtl/>
        </w:rPr>
        <w:t xml:space="preserve">، وقد أحالها إلى </w:t>
      </w:r>
      <w:r w:rsidRPr="006D1240">
        <w:rPr>
          <w:rFonts w:hint="cs"/>
          <w:spacing w:val="-6"/>
          <w:rtl/>
        </w:rPr>
        <w:t>مسائل الإمام أحمد للسّجستاني، ص203-؛ القواعد الفقهية لشيخنا د. يعقوب الباحسين، ص310-</w:t>
      </w:r>
      <w:r w:rsidRPr="00BB5C50">
        <w:rPr>
          <w:rFonts w:hint="cs"/>
          <w:spacing w:val="-4"/>
          <w:rtl/>
        </w:rPr>
        <w:t xml:space="preserve"> </w:t>
      </w:r>
      <w:r w:rsidRPr="00635153">
        <w:rPr>
          <w:rFonts w:hint="cs"/>
          <w:spacing w:val="-6"/>
          <w:rtl/>
        </w:rPr>
        <w:t xml:space="preserve">ولفظه: </w:t>
      </w:r>
      <w:r w:rsidRPr="006D1240">
        <w:rPr>
          <w:rFonts w:hint="eastAsia"/>
          <w:spacing w:val="-4"/>
          <w:rtl/>
        </w:rPr>
        <w:t>«</w:t>
      </w:r>
      <w:r w:rsidRPr="006D1240">
        <w:rPr>
          <w:rFonts w:hint="cs"/>
          <w:spacing w:val="-4"/>
          <w:rtl/>
        </w:rPr>
        <w:t>كل ما جاز بيعه جاز رهنه، إلا في ثلاثة أشياء ...</w:t>
      </w:r>
      <w:r w:rsidRPr="006D1240">
        <w:rPr>
          <w:rFonts w:hint="eastAsia"/>
          <w:spacing w:val="-4"/>
          <w:rtl/>
        </w:rPr>
        <w:t>»</w:t>
      </w:r>
      <w:r w:rsidRPr="006D1240">
        <w:rPr>
          <w:rFonts w:hint="cs"/>
          <w:spacing w:val="-4"/>
          <w:rtl/>
        </w:rPr>
        <w:t>، وأحالها إلى التلخيص لابن القاص، ص337- .</w:t>
      </w:r>
    </w:p>
    <w:p w:rsidR="00035BE3" w:rsidRDefault="00035BE3" w:rsidP="003D5367">
      <w:pPr>
        <w:pStyle w:val="a6"/>
        <w:spacing w:line="221" w:lineRule="auto"/>
        <w:ind w:left="420" w:firstLine="0"/>
        <w:rPr>
          <w:b/>
          <w:bCs/>
          <w:rtl/>
        </w:rPr>
      </w:pPr>
      <w:r>
        <w:rPr>
          <w:rFonts w:hint="cs"/>
          <w:b/>
          <w:bCs/>
          <w:rtl/>
        </w:rPr>
        <w:t>ومن كتب الفقه :</w:t>
      </w:r>
    </w:p>
    <w:p w:rsidR="00035BE3" w:rsidRPr="006D1240" w:rsidRDefault="00035BE3" w:rsidP="003D5367">
      <w:pPr>
        <w:pStyle w:val="a6"/>
        <w:spacing w:line="221" w:lineRule="auto"/>
        <w:ind w:left="420" w:firstLine="0"/>
        <w:rPr>
          <w:rtl/>
        </w:rPr>
      </w:pPr>
      <w:r w:rsidRPr="006D1240">
        <w:rPr>
          <w:rFonts w:hint="cs"/>
          <w:rtl/>
        </w:rPr>
        <w:t>الأم، 3/181، 190؛ الـنّـتف في الفتاوى، 2/605، 894؛ المبـسوط، 21/69؛ بـدائع الصنائع، 5/137؛ العمدة وشرحها : العدة، ص246؛ 2/136؛ تحرير ألفاظ التنبيه، ص194؛ التوضيح في الجمع بين المقنع والتنقيح، 2/659؛ المبدع، 4/217؛ مواهب الجليل، 6/537؛ الدر المختار ورد المحتار، 10/100.</w:t>
      </w:r>
    </w:p>
    <w:p w:rsidR="00035BE3" w:rsidRDefault="00035BE3" w:rsidP="003D5367">
      <w:pPr>
        <w:pStyle w:val="a6"/>
        <w:spacing w:line="221" w:lineRule="auto"/>
        <w:ind w:left="420" w:firstLine="0"/>
        <w:rPr>
          <w:b/>
          <w:bCs/>
          <w:rtl/>
        </w:rPr>
      </w:pPr>
      <w:r>
        <w:rPr>
          <w:rFonts w:hint="cs"/>
          <w:b/>
          <w:bCs/>
          <w:rtl/>
        </w:rPr>
        <w:t>ومن كتب الأصول :</w:t>
      </w:r>
    </w:p>
    <w:p w:rsidR="00035BE3" w:rsidRDefault="00035BE3" w:rsidP="003D5367">
      <w:pPr>
        <w:pStyle w:val="a6"/>
        <w:spacing w:line="221" w:lineRule="auto"/>
        <w:ind w:left="420" w:firstLine="0"/>
        <w:rPr>
          <w:rtl/>
        </w:rPr>
      </w:pPr>
      <w:r>
        <w:rPr>
          <w:rFonts w:hint="cs"/>
          <w:rtl/>
        </w:rPr>
        <w:t>المنخول، ص555؛ روضة الناظر، 3/911؛ المدخل إلى مذهب الإمام أحمد بن حنبل، ص339.</w:t>
      </w:r>
    </w:p>
  </w:footnote>
  <w:footnote w:id="4607">
    <w:p w:rsidR="00035BE3" w:rsidRDefault="00035BE3" w:rsidP="003D5367">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المبسوط، 21/69؛ الهداية والعناية ونتائج الأفكار، 10/152؛ الدّرر شرح الغرر، 2/251؛ وانظر أيضًا : المبدع لابن مفلح، 4/216، حيث جاء فيه ما يخالف هذا الرأي حيث قال : </w:t>
      </w:r>
      <w:r>
        <w:rPr>
          <w:rFonts w:hint="eastAsia"/>
          <w:rtl/>
        </w:rPr>
        <w:t>«</w:t>
      </w:r>
      <w:r>
        <w:rPr>
          <w:rFonts w:hint="cs"/>
          <w:rtl/>
        </w:rPr>
        <w:t>ويصح رهن المشاع في قول الجماهير</w:t>
      </w:r>
      <w:r>
        <w:rPr>
          <w:rFonts w:hint="eastAsia"/>
          <w:rtl/>
        </w:rPr>
        <w:t>»</w:t>
      </w:r>
      <w:r>
        <w:rPr>
          <w:rFonts w:hint="cs"/>
          <w:rtl/>
        </w:rPr>
        <w:t>.</w:t>
      </w:r>
    </w:p>
  </w:footnote>
  <w:footnote w:id="4608">
    <w:p w:rsidR="00035BE3" w:rsidRDefault="00035BE3" w:rsidP="003D5367">
      <w:pPr>
        <w:pStyle w:val="a8"/>
        <w:bidi/>
        <w:spacing w:line="221" w:lineRule="auto"/>
        <w:ind w:left="420"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w:t>
      </w:r>
      <w:r w:rsidRPr="00CB3DEE">
        <w:rPr>
          <w:rFonts w:hint="cs"/>
          <w:spacing w:val="6"/>
          <w:rtl/>
        </w:rPr>
        <w:t xml:space="preserve">قوله: </w:t>
      </w:r>
      <w:r w:rsidRPr="00CB3DEE">
        <w:rPr>
          <w:rFonts w:hint="eastAsia"/>
          <w:spacing w:val="6"/>
          <w:rtl/>
        </w:rPr>
        <w:t>«</w:t>
      </w:r>
      <w:r w:rsidRPr="00CB3DEE">
        <w:rPr>
          <w:rFonts w:hint="cs"/>
          <w:spacing w:val="6"/>
          <w:rtl/>
        </w:rPr>
        <w:t>بيع المشغول جائز، لا رهنه</w:t>
      </w:r>
      <w:r w:rsidRPr="00CB3DEE">
        <w:rPr>
          <w:rFonts w:hint="eastAsia"/>
          <w:spacing w:val="6"/>
          <w:rtl/>
        </w:rPr>
        <w:t>»</w:t>
      </w:r>
      <w:r w:rsidRPr="00CB3DEE">
        <w:rPr>
          <w:rFonts w:hint="cs"/>
          <w:spacing w:val="6"/>
          <w:rtl/>
        </w:rPr>
        <w:t xml:space="preserve"> مستفاد من أشباه ابن نجيم - وسيأتي بيان ذلك - وقد علّق عليه صاحب غمز عيون البصائر- 3/242- فقال: </w:t>
      </w:r>
      <w:r w:rsidRPr="00CB3DEE">
        <w:rPr>
          <w:rFonts w:hint="eastAsia"/>
          <w:spacing w:val="6"/>
          <w:rtl/>
        </w:rPr>
        <w:t>«</w:t>
      </w:r>
      <w:r w:rsidRPr="00CB3DEE">
        <w:rPr>
          <w:rFonts w:hint="cs"/>
          <w:spacing w:val="6"/>
          <w:rtl/>
        </w:rPr>
        <w:t>أطلق عدم جواز رهن المشغول، فشمل ما إذا كان مشغولاً بملك الراهن، أو بملك غيره! والأمر ليس كذلك؛ بل المانع كون الشاغل ملك الراهن، أما لو كان مشغولاً بملك غيره فلا - كما في (العمادية)- واستُفيد منه</w:t>
      </w:r>
      <w:r>
        <w:rPr>
          <w:rFonts w:hint="cs"/>
          <w:spacing w:val="10"/>
          <w:rtl/>
        </w:rPr>
        <w:t xml:space="preserve"> أن رهن الشاغل جائز، وبه صرح في كثير من الكتب</w:t>
      </w:r>
      <w:r>
        <w:rPr>
          <w:rFonts w:hint="eastAsia"/>
          <w:spacing w:val="10"/>
          <w:rtl/>
        </w:rPr>
        <w:t>»</w:t>
      </w:r>
      <w:r>
        <w:rPr>
          <w:rFonts w:hint="cs"/>
          <w:spacing w:val="10"/>
          <w:rtl/>
        </w:rPr>
        <w:t>. وانظر : رد المحتار وحاشية المحققين، 10/100.</w:t>
      </w:r>
    </w:p>
  </w:footnote>
  <w:footnote w:id="4609">
    <w:p w:rsidR="00035BE3" w:rsidRDefault="00035BE3" w:rsidP="003D5367">
      <w:pPr>
        <w:pStyle w:val="a8"/>
        <w:bidi/>
        <w:spacing w:line="48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قوله : </w:t>
      </w:r>
      <w:r>
        <w:rPr>
          <w:rFonts w:hint="eastAsia"/>
          <w:spacing w:val="8"/>
          <w:rtl/>
        </w:rPr>
        <w:t>«</w:t>
      </w:r>
      <w:r>
        <w:rPr>
          <w:rFonts w:hint="cs"/>
          <w:spacing w:val="8"/>
          <w:rtl/>
        </w:rPr>
        <w:t>المتصل بغيره</w:t>
      </w:r>
      <w:r>
        <w:rPr>
          <w:rFonts w:hint="eastAsia"/>
          <w:spacing w:val="8"/>
          <w:rtl/>
        </w:rPr>
        <w:t>»</w:t>
      </w:r>
      <w:r>
        <w:rPr>
          <w:rFonts w:hint="cs"/>
          <w:spacing w:val="8"/>
          <w:rtl/>
        </w:rPr>
        <w:t xml:space="preserve"> مستفاد من أشباه ابن نجيم أيضًا، وقد نقله عنه صاحب الدر المختار، وعلق عليه صاحب رد المحتار- 10/100-101 فقال : </w:t>
      </w:r>
      <w:r>
        <w:rPr>
          <w:rFonts w:hint="eastAsia"/>
          <w:spacing w:val="8"/>
          <w:rtl/>
        </w:rPr>
        <w:t>«</w:t>
      </w:r>
      <w:r>
        <w:rPr>
          <w:rFonts w:hint="cs"/>
          <w:spacing w:val="8"/>
          <w:rtl/>
        </w:rPr>
        <w:t>قوله : (والمتصل بغيره) صفة لموصوف محذوف : أي والشاغل المتصل بغيره، كالبناء وحده أو النخل أو التمر بدون الأرض أو الشجر ... واحترز به عن الشاغل المنفصل؛ كما لو رهن ما في الدار، أو الوعاء بدونهما، وسلّم الكلّ: فإنه يجوز -كما في (الهداية) و(الخانية)-...</w:t>
      </w:r>
      <w:r>
        <w:rPr>
          <w:rFonts w:hint="eastAsia"/>
          <w:spacing w:val="8"/>
          <w:rtl/>
        </w:rPr>
        <w:t>»</w:t>
      </w:r>
      <w:r>
        <w:rPr>
          <w:rFonts w:hint="cs"/>
          <w:spacing w:val="8"/>
          <w:rtl/>
        </w:rPr>
        <w:t>.</w:t>
      </w:r>
    </w:p>
  </w:footnote>
  <w:footnote w:id="4610">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رخصة</w:t>
      </w:r>
      <w:r>
        <w:rPr>
          <w:rFonts w:hint="eastAsia"/>
          <w:rtl/>
        </w:rPr>
        <w:t>»</w:t>
      </w:r>
      <w:r>
        <w:rPr>
          <w:rFonts w:hint="cs"/>
          <w:rtl/>
        </w:rPr>
        <w:t xml:space="preserve">، وعُلّق عليها في الهامش : </w:t>
      </w:r>
      <w:r>
        <w:rPr>
          <w:rFonts w:hint="eastAsia"/>
          <w:rtl/>
        </w:rPr>
        <w:t>«</w:t>
      </w:r>
      <w:r>
        <w:rPr>
          <w:rFonts w:hint="cs"/>
          <w:rtl/>
        </w:rPr>
        <w:t>للرهن بيان</w:t>
      </w:r>
      <w:r>
        <w:rPr>
          <w:rFonts w:hint="eastAsia"/>
          <w:rtl/>
        </w:rPr>
        <w:t>»</w:t>
      </w:r>
      <w:r>
        <w:rPr>
          <w:rFonts w:hint="cs"/>
          <w:rtl/>
        </w:rPr>
        <w:t xml:space="preserve">. والصحيح ما تمّ إثباته من (ب) و(د)، وهو الموافق لمصدر هذه العبارة (وهو أشباه ابن نجيم). وقوله : </w:t>
      </w:r>
      <w:r>
        <w:rPr>
          <w:rFonts w:hint="eastAsia"/>
          <w:rtl/>
        </w:rPr>
        <w:t>«</w:t>
      </w:r>
      <w:r>
        <w:rPr>
          <w:rFonts w:hint="cs"/>
          <w:rtl/>
        </w:rPr>
        <w:t>لا رهنه</w:t>
      </w:r>
      <w:r>
        <w:rPr>
          <w:rFonts w:hint="eastAsia"/>
          <w:rtl/>
        </w:rPr>
        <w:t>»</w:t>
      </w:r>
      <w:r>
        <w:rPr>
          <w:rFonts w:hint="cs"/>
          <w:rtl/>
        </w:rPr>
        <w:t xml:space="preserve"> : ساقط من (جـ).</w:t>
      </w:r>
    </w:p>
  </w:footnote>
  <w:footnote w:id="4611">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ص322؛ وانظر : رد المحتار، 10/100، حيث نقل هذه العبارة عن الأشباه أيضًا.</w:t>
      </w:r>
    </w:p>
  </w:footnote>
  <w:footnote w:id="4612">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والرهن</w:t>
      </w:r>
      <w:r>
        <w:rPr>
          <w:rFonts w:hint="eastAsia"/>
          <w:rtl/>
        </w:rPr>
        <w:t>»</w:t>
      </w:r>
      <w:r>
        <w:rPr>
          <w:rFonts w:hint="cs"/>
          <w:rtl/>
        </w:rPr>
        <w:t>. والصحيح ما تمَّ إثباته من باقي النسخ.</w:t>
      </w:r>
    </w:p>
  </w:footnote>
  <w:footnote w:id="4613">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60/أ من (ب).</w:t>
      </w:r>
    </w:p>
  </w:footnote>
  <w:footnote w:id="4614">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العقد</w:t>
      </w:r>
      <w:r>
        <w:rPr>
          <w:rFonts w:hint="eastAsia"/>
          <w:rtl/>
        </w:rPr>
        <w:t>»</w:t>
      </w:r>
      <w:r>
        <w:rPr>
          <w:rFonts w:hint="cs"/>
          <w:rtl/>
        </w:rPr>
        <w:t>. والصحيح ما تمَّ إثباته من (ب) و(د).</w:t>
      </w:r>
    </w:p>
  </w:footnote>
  <w:footnote w:id="4615">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شرح الأقطع</w:t>
      </w:r>
      <w:r>
        <w:rPr>
          <w:rFonts w:hint="cs"/>
          <w:rtl/>
        </w:rPr>
        <w:t xml:space="preserve"> : يُقصد </w:t>
      </w:r>
      <w:r>
        <w:rPr>
          <w:rFonts w:hint="cs"/>
          <w:b/>
          <w:bCs/>
          <w:rtl/>
        </w:rPr>
        <w:t>بالشرح</w:t>
      </w:r>
      <w:r>
        <w:rPr>
          <w:rFonts w:hint="cs"/>
          <w:rtl/>
        </w:rPr>
        <w:t xml:space="preserve"> : شرح مختصر القُدُوري في فروع الحنفية للأقطع.</w:t>
      </w:r>
    </w:p>
    <w:p w:rsidR="00035BE3" w:rsidRDefault="00035BE3" w:rsidP="003D5367">
      <w:pPr>
        <w:pStyle w:val="a6"/>
        <w:spacing w:line="480" w:lineRule="exact"/>
        <w:ind w:left="422" w:firstLine="0"/>
        <w:rPr>
          <w:rtl/>
        </w:rPr>
      </w:pPr>
      <w:r>
        <w:rPr>
          <w:rFonts w:hint="cs"/>
          <w:rtl/>
        </w:rPr>
        <w:t>والأقطع تلميذ للقُدُوري؛ لذا فإن شرحه هذا يُعدّ من أوائل الشروح لمختصر القُدُوري، كما يُعدّ من الشروح المختصرة، وهذا ما التزم به المؤلف في مقدمة كتابه.</w:t>
      </w:r>
    </w:p>
    <w:p w:rsidR="00035BE3" w:rsidRDefault="00035BE3" w:rsidP="003D5367">
      <w:pPr>
        <w:pStyle w:val="a6"/>
        <w:spacing w:line="480" w:lineRule="exact"/>
        <w:ind w:left="422" w:firstLine="0"/>
        <w:rPr>
          <w:rtl/>
        </w:rPr>
      </w:pPr>
      <w:r>
        <w:rPr>
          <w:rFonts w:hint="cs"/>
          <w:rtl/>
        </w:rPr>
        <w:t>والكتاب له نسخ خطية كثيرة، منها النسخ الآتية :</w:t>
      </w:r>
    </w:p>
    <w:p w:rsidR="00035BE3" w:rsidRDefault="00035BE3" w:rsidP="003D5367">
      <w:pPr>
        <w:pStyle w:val="a6"/>
        <w:spacing w:line="480" w:lineRule="exact"/>
        <w:ind w:left="422" w:firstLine="0"/>
        <w:rPr>
          <w:rtl/>
        </w:rPr>
      </w:pPr>
      <w:r>
        <w:rPr>
          <w:rFonts w:hint="cs"/>
          <w:b/>
          <w:bCs/>
          <w:rtl/>
        </w:rPr>
        <w:t>1</w:t>
      </w:r>
      <w:r>
        <w:rPr>
          <w:rFonts w:hint="cs"/>
          <w:rtl/>
        </w:rPr>
        <w:t>- مكتبة الملك فهد الوطنية، وهي مصورة عن مكتبة جامعة برنستون، برقم 2614، والرقم العام 503313.</w:t>
      </w:r>
    </w:p>
    <w:p w:rsidR="00035BE3" w:rsidRDefault="00035BE3" w:rsidP="003D5367">
      <w:pPr>
        <w:pStyle w:val="a6"/>
        <w:ind w:left="422" w:firstLine="0"/>
        <w:rPr>
          <w:rtl/>
        </w:rPr>
      </w:pPr>
      <w:r>
        <w:rPr>
          <w:rFonts w:hint="cs"/>
          <w:b/>
          <w:bCs/>
          <w:rtl/>
        </w:rPr>
        <w:t>2</w:t>
      </w:r>
      <w:r>
        <w:rPr>
          <w:rFonts w:hint="cs"/>
          <w:rtl/>
        </w:rPr>
        <w:t>- المتحف البريطاني (مخطوطات شرقية، برقم 5962).</w:t>
      </w:r>
    </w:p>
    <w:p w:rsidR="00035BE3" w:rsidRDefault="00035BE3" w:rsidP="003D5367">
      <w:pPr>
        <w:pStyle w:val="a6"/>
        <w:ind w:left="422" w:firstLine="0"/>
        <w:rPr>
          <w:rtl/>
        </w:rPr>
      </w:pPr>
      <w:r>
        <w:rPr>
          <w:rFonts w:hint="cs"/>
          <w:b/>
          <w:bCs/>
          <w:rtl/>
        </w:rPr>
        <w:t>3</w:t>
      </w:r>
      <w:r>
        <w:rPr>
          <w:rFonts w:hint="cs"/>
          <w:rtl/>
        </w:rPr>
        <w:t>- المكتبة السليمانية باستانبول، برقم 493.</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3D5367">
      <w:pPr>
        <w:pStyle w:val="a6"/>
        <w:ind w:left="422" w:firstLine="0"/>
        <w:rPr>
          <w:rtl/>
        </w:rPr>
      </w:pPr>
      <w:r>
        <w:rPr>
          <w:rFonts w:hint="cs"/>
          <w:b/>
          <w:bCs/>
          <w:rtl/>
        </w:rPr>
        <w:t>4</w:t>
      </w:r>
      <w:r>
        <w:rPr>
          <w:rFonts w:hint="cs"/>
          <w:rtl/>
        </w:rPr>
        <w:t>- المكتبة السليمانية، فهرس الفاتح، برقم 1769.</w:t>
      </w:r>
    </w:p>
    <w:p w:rsidR="00035BE3" w:rsidRDefault="00035BE3" w:rsidP="003D5367">
      <w:pPr>
        <w:pStyle w:val="a6"/>
        <w:ind w:left="422" w:firstLine="0"/>
        <w:rPr>
          <w:rtl/>
        </w:rPr>
      </w:pPr>
      <w:r>
        <w:rPr>
          <w:rFonts w:hint="cs"/>
          <w:b/>
          <w:bCs/>
          <w:rtl/>
        </w:rPr>
        <w:t>5</w:t>
      </w:r>
      <w:r>
        <w:rPr>
          <w:rFonts w:hint="cs"/>
          <w:rtl/>
        </w:rPr>
        <w:t>- مكتبة أحمد الثالث باستانبول، برقم 983.</w:t>
      </w:r>
    </w:p>
    <w:p w:rsidR="00035BE3" w:rsidRDefault="00035BE3" w:rsidP="003D5367">
      <w:pPr>
        <w:pStyle w:val="a6"/>
        <w:ind w:left="422" w:firstLine="0"/>
        <w:rPr>
          <w:rtl/>
        </w:rPr>
      </w:pPr>
      <w:r>
        <w:rPr>
          <w:rFonts w:hint="cs"/>
          <w:b/>
          <w:bCs/>
          <w:rtl/>
        </w:rPr>
        <w:t>6</w:t>
      </w:r>
      <w:r>
        <w:rPr>
          <w:rFonts w:hint="cs"/>
          <w:rtl/>
        </w:rPr>
        <w:t>- مكتبة أياصوفيا باستانبول، برقم 84.</w:t>
      </w:r>
    </w:p>
    <w:p w:rsidR="00035BE3" w:rsidRDefault="00035BE3" w:rsidP="003D5367">
      <w:pPr>
        <w:pStyle w:val="a6"/>
        <w:ind w:left="422" w:firstLine="0"/>
        <w:rPr>
          <w:rtl/>
        </w:rPr>
      </w:pPr>
      <w:r>
        <w:rPr>
          <w:rFonts w:hint="cs"/>
          <w:b/>
          <w:bCs/>
          <w:rtl/>
        </w:rPr>
        <w:t>7</w:t>
      </w:r>
      <w:r>
        <w:rPr>
          <w:rFonts w:hint="cs"/>
          <w:rtl/>
        </w:rPr>
        <w:t>- مكتبة الأزهر (فقه حنفي رقم 98).</w:t>
      </w:r>
    </w:p>
    <w:p w:rsidR="00035BE3" w:rsidRDefault="00035BE3" w:rsidP="003D5367">
      <w:pPr>
        <w:pStyle w:val="a6"/>
        <w:ind w:left="422" w:firstLine="0"/>
        <w:rPr>
          <w:rtl/>
        </w:rPr>
      </w:pPr>
      <w:r>
        <w:rPr>
          <w:rFonts w:hint="cs"/>
          <w:b/>
          <w:bCs/>
          <w:rtl/>
        </w:rPr>
        <w:t>أما الأقطع</w:t>
      </w:r>
      <w:r>
        <w:rPr>
          <w:rFonts w:hint="cs"/>
          <w:rtl/>
        </w:rPr>
        <w:t xml:space="preserve"> : فاسمه أحمد بن محمد بن محمد، أبو نصر المعروف بالأقطع (ت474هـ).</w:t>
      </w:r>
    </w:p>
    <w:p w:rsidR="00035BE3" w:rsidRDefault="00035BE3" w:rsidP="003D5367">
      <w:pPr>
        <w:pStyle w:val="a6"/>
        <w:ind w:left="422" w:firstLine="0"/>
        <w:rPr>
          <w:rtl/>
        </w:rPr>
      </w:pPr>
      <w:r>
        <w:rPr>
          <w:rFonts w:hint="cs"/>
          <w:rtl/>
        </w:rPr>
        <w:t xml:space="preserve">وقد اختُلف في سبب تلقيبه بالأقطع، والذي رجّحه صاحب (مفتاح السعادة) هو : </w:t>
      </w:r>
      <w:r>
        <w:rPr>
          <w:rFonts w:hint="eastAsia"/>
          <w:rtl/>
        </w:rPr>
        <w:t>«</w:t>
      </w:r>
      <w:r>
        <w:rPr>
          <w:rFonts w:hint="cs"/>
          <w:rtl/>
        </w:rPr>
        <w:t>... أنّ يده قطعت في حرب كانت بين المسلمين والتتار...</w:t>
      </w:r>
      <w:r>
        <w:rPr>
          <w:rFonts w:hint="eastAsia"/>
          <w:rtl/>
        </w:rPr>
        <w:t>»</w:t>
      </w:r>
      <w:r>
        <w:rPr>
          <w:rFonts w:hint="cs"/>
          <w:rtl/>
        </w:rPr>
        <w:t>.</w:t>
      </w:r>
    </w:p>
    <w:p w:rsidR="00035BE3" w:rsidRDefault="00035BE3" w:rsidP="003D5367">
      <w:pPr>
        <w:pStyle w:val="a6"/>
        <w:ind w:left="422" w:firstLine="0"/>
        <w:rPr>
          <w:rtl/>
        </w:rPr>
      </w:pPr>
      <w:r>
        <w:rPr>
          <w:rFonts w:hint="cs"/>
          <w:rtl/>
        </w:rPr>
        <w:t>وقد برع في الفقه وأتقن الحساب.</w:t>
      </w:r>
    </w:p>
    <w:p w:rsidR="00035BE3" w:rsidRDefault="00035BE3" w:rsidP="003D5367">
      <w:pPr>
        <w:pStyle w:val="a6"/>
        <w:ind w:left="422" w:firstLine="0"/>
        <w:rPr>
          <w:rtl/>
        </w:rPr>
      </w:pPr>
      <w:r>
        <w:rPr>
          <w:rFonts w:hint="cs"/>
          <w:rtl/>
        </w:rPr>
        <w:t>من كتبه : شرح مختصر القُدُوري، وشرح مختصر الطحاوي</w:t>
      </w:r>
    </w:p>
    <w:p w:rsidR="00035BE3" w:rsidRDefault="00035BE3" w:rsidP="003D5367">
      <w:pPr>
        <w:pStyle w:val="a6"/>
        <w:ind w:left="422" w:firstLine="0"/>
        <w:rPr>
          <w:rtl/>
        </w:rPr>
      </w:pPr>
      <w:r>
        <w:rPr>
          <w:rFonts w:hint="cs"/>
          <w:rtl/>
        </w:rPr>
        <w:t>مفتاح السعادة، 2/254-255؛ وانظر : الجواهر المضية، 1/311-312، رقم 233؛ تاج التراجم، ص26، رقم 22؛ الطبقات السنية، 2/82، رقم 356؛ كشف الظنون، 2/1627، 1631؛ الفوائد البهية، ص40؛ هدية العارفين، 1/80؛ تاريخ التراث العربي، المجلد الأول، جـ3، ص117.</w:t>
      </w:r>
    </w:p>
  </w:footnote>
  <w:footnote w:id="461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94/ب من (أ).</w:t>
      </w:r>
    </w:p>
  </w:footnote>
  <w:footnote w:id="461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w:t>
      </w:r>
      <w:r>
        <w:rPr>
          <w:rFonts w:hint="eastAsia"/>
          <w:rtl/>
        </w:rPr>
        <w:t>«</w:t>
      </w:r>
      <w:r>
        <w:rPr>
          <w:rFonts w:hint="cs"/>
          <w:rtl/>
        </w:rPr>
        <w:t>مأخوذ من (الدّبر) وهو نهاية الإنسان، كما أن المدبر وهو نهاية موت الإنسان</w:t>
      </w:r>
      <w:r>
        <w:rPr>
          <w:rFonts w:hint="eastAsia"/>
          <w:rtl/>
        </w:rPr>
        <w:t>»</w:t>
      </w:r>
      <w:r>
        <w:rPr>
          <w:rFonts w:hint="cs"/>
          <w:rtl/>
        </w:rPr>
        <w:t>.</w:t>
      </w:r>
    </w:p>
  </w:footnote>
  <w:footnote w:id="461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ص322. وجميع ما ذكره المؤلف إلى هذا الموضع أورده ابن نجيم وقال عقبه: </w:t>
      </w:r>
      <w:r>
        <w:rPr>
          <w:rFonts w:hint="eastAsia"/>
          <w:rtl/>
        </w:rPr>
        <w:t>«</w:t>
      </w:r>
      <w:r>
        <w:rPr>
          <w:rFonts w:hint="cs"/>
          <w:rtl/>
        </w:rPr>
        <w:t>كذا في شرح الأقطع</w:t>
      </w:r>
      <w:r>
        <w:rPr>
          <w:rFonts w:hint="eastAsia"/>
          <w:rtl/>
        </w:rPr>
        <w:t>»</w:t>
      </w:r>
      <w:r>
        <w:rPr>
          <w:rFonts w:hint="cs"/>
          <w:rtl/>
        </w:rPr>
        <w:t>.</w:t>
      </w:r>
    </w:p>
    <w:p w:rsidR="00035BE3" w:rsidRDefault="00035BE3" w:rsidP="003D5367">
      <w:pPr>
        <w:pStyle w:val="a6"/>
        <w:ind w:left="422" w:firstLine="0"/>
        <w:rPr>
          <w:rtl/>
        </w:rPr>
      </w:pPr>
      <w:r>
        <w:rPr>
          <w:rFonts w:hint="cs"/>
          <w:rtl/>
        </w:rPr>
        <w:t>وقد بحثت في النسخة الخطية لشرح الأقطع (المحفوظة في مكتبة الملك فهد الوطنية) عن هذا النص ولم أهتدِ إليه.</w:t>
      </w:r>
    </w:p>
    <w:p w:rsidR="00035BE3" w:rsidRDefault="00035BE3" w:rsidP="003D5367">
      <w:pPr>
        <w:pStyle w:val="a6"/>
        <w:ind w:left="422" w:firstLine="0"/>
        <w:rPr>
          <w:rtl/>
        </w:rPr>
      </w:pPr>
      <w:r>
        <w:rPr>
          <w:rFonts w:hint="cs"/>
          <w:rtl/>
        </w:rPr>
        <w:t>وانظر أيضًا : الدر المختار وردّ المحتار، 10/101.</w:t>
      </w:r>
    </w:p>
  </w:footnote>
  <w:footnote w:id="461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ضعيف</w:t>
      </w:r>
      <w:r>
        <w:rPr>
          <w:rFonts w:hint="eastAsia"/>
          <w:rtl/>
        </w:rPr>
        <w:t>»</w:t>
      </w:r>
      <w:r>
        <w:rPr>
          <w:rFonts w:hint="cs"/>
          <w:rtl/>
        </w:rPr>
        <w:t>. والصحيح ما تمَّ إثباته من (ب).</w:t>
      </w:r>
    </w:p>
  </w:footnote>
  <w:footnote w:id="462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زوال</w:t>
      </w:r>
      <w:r>
        <w:rPr>
          <w:rFonts w:hint="eastAsia"/>
          <w:rtl/>
        </w:rPr>
        <w:t>»</w:t>
      </w:r>
      <w:r>
        <w:rPr>
          <w:rFonts w:hint="cs"/>
          <w:rtl/>
        </w:rPr>
        <w:t xml:space="preserve"> : زيادة من (جـ) و(هـ) و(و)؛ ولا يستقيم المعنى بدونها.</w:t>
      </w:r>
    </w:p>
  </w:footnote>
  <w:footnote w:id="462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زيادة </w:t>
      </w:r>
      <w:r>
        <w:rPr>
          <w:rFonts w:hint="eastAsia"/>
          <w:rtl/>
        </w:rPr>
        <w:t>«</w:t>
      </w:r>
      <w:r>
        <w:rPr>
          <w:rFonts w:hint="cs"/>
          <w:rtl/>
        </w:rPr>
        <w:t>به</w:t>
      </w:r>
      <w:r>
        <w:rPr>
          <w:rFonts w:hint="eastAsia"/>
          <w:rtl/>
        </w:rPr>
        <w:t>»</w:t>
      </w:r>
      <w:r>
        <w:rPr>
          <w:rFonts w:hint="cs"/>
          <w:rtl/>
        </w:rPr>
        <w:t>.</w:t>
      </w:r>
    </w:p>
  </w:footnote>
  <w:footnote w:id="462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70/أ من (جـ)، مع تكرار </w:t>
      </w:r>
      <w:r>
        <w:rPr>
          <w:rFonts w:hint="eastAsia"/>
          <w:rtl/>
        </w:rPr>
        <w:t>«</w:t>
      </w:r>
      <w:r>
        <w:rPr>
          <w:rFonts w:hint="cs"/>
          <w:rtl/>
        </w:rPr>
        <w:t>مقصود</w:t>
      </w:r>
      <w:r>
        <w:rPr>
          <w:rFonts w:hint="eastAsia"/>
          <w:rtl/>
        </w:rPr>
        <w:t>»</w:t>
      </w:r>
      <w:r>
        <w:rPr>
          <w:rFonts w:hint="cs"/>
          <w:rtl/>
        </w:rPr>
        <w:t xml:space="preserve"> في بداية اللوحة التي تليها.</w:t>
      </w:r>
    </w:p>
  </w:footnote>
  <w:footnote w:id="462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w:t>
      </w:r>
    </w:p>
  </w:footnote>
  <w:footnote w:id="462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زيادة </w:t>
      </w:r>
      <w:r>
        <w:rPr>
          <w:rFonts w:hint="eastAsia"/>
          <w:rtl/>
        </w:rPr>
        <w:t>«</w:t>
      </w:r>
      <w:r>
        <w:rPr>
          <w:rFonts w:hint="cs"/>
          <w:rtl/>
        </w:rPr>
        <w:t>كما</w:t>
      </w:r>
      <w:r>
        <w:rPr>
          <w:rFonts w:hint="eastAsia"/>
          <w:rtl/>
        </w:rPr>
        <w:t>»</w:t>
      </w:r>
      <w:r>
        <w:rPr>
          <w:rFonts w:hint="cs"/>
          <w:rtl/>
        </w:rPr>
        <w:t>.</w:t>
      </w:r>
    </w:p>
  </w:footnote>
  <w:footnote w:id="462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زيادة هاء الضمير (أَرَهُ). وهذه الزيادة في المبنى فيها زيادة في المعنى لأنها أظهرت المفعول به.</w:t>
      </w:r>
    </w:p>
  </w:footnote>
  <w:footnote w:id="4626">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إقراره</w:t>
      </w:r>
      <w:r>
        <w:rPr>
          <w:rFonts w:hint="eastAsia"/>
          <w:rtl/>
        </w:rPr>
        <w:t>»</w:t>
      </w:r>
      <w:r>
        <w:rPr>
          <w:rFonts w:hint="cs"/>
          <w:rtl/>
        </w:rPr>
        <w:t>.</w:t>
      </w:r>
    </w:p>
  </w:footnote>
  <w:footnote w:id="4627">
    <w:p w:rsidR="00035BE3" w:rsidRDefault="00035BE3" w:rsidP="003D5367">
      <w:pPr>
        <w:pStyle w:val="a8"/>
        <w:bidi/>
        <w:spacing w:line="22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الحنفي، كما تكلم عن مفهومها المخالف ابن نجيم بكلام مقتضب، حيث قال في أشباهه، ص239: </w:t>
      </w:r>
      <w:r>
        <w:rPr>
          <w:rFonts w:hint="eastAsia"/>
          <w:rtl/>
        </w:rPr>
        <w:t>«</w:t>
      </w:r>
      <w:r>
        <w:rPr>
          <w:rFonts w:hint="cs"/>
          <w:rtl/>
        </w:rPr>
        <w:t>ما جاز إيراد العقد عليه بانفراده: صحَّ استثناؤه، إلا الوصية بالخدمة : يصح إفرادها دون استثنائها</w:t>
      </w:r>
      <w:r>
        <w:rPr>
          <w:rFonts w:hint="eastAsia"/>
          <w:rtl/>
        </w:rPr>
        <w:t>»</w:t>
      </w:r>
      <w:r>
        <w:rPr>
          <w:rFonts w:hint="cs"/>
          <w:rtl/>
        </w:rPr>
        <w:t>.</w:t>
      </w:r>
    </w:p>
    <w:p w:rsidR="00035BE3" w:rsidRDefault="00035BE3" w:rsidP="003D5367">
      <w:pPr>
        <w:pStyle w:val="a6"/>
        <w:spacing w:line="226" w:lineRule="auto"/>
        <w:ind w:left="420" w:firstLine="0"/>
        <w:rPr>
          <w:b/>
          <w:bCs/>
          <w:rtl/>
        </w:rPr>
      </w:pPr>
      <w:r>
        <w:rPr>
          <w:rFonts w:hint="cs"/>
          <w:b/>
          <w:bCs/>
          <w:rtl/>
        </w:rPr>
        <w:t>أما كتب الفقه فمنها :</w:t>
      </w:r>
    </w:p>
    <w:p w:rsidR="00035BE3" w:rsidRDefault="00035BE3" w:rsidP="003D5367">
      <w:pPr>
        <w:pStyle w:val="a6"/>
        <w:spacing w:line="226" w:lineRule="auto"/>
        <w:ind w:left="420" w:firstLine="0"/>
        <w:rPr>
          <w:rtl/>
        </w:rPr>
      </w:pPr>
      <w:r>
        <w:rPr>
          <w:rFonts w:hint="cs"/>
          <w:rtl/>
        </w:rPr>
        <w:t>الخلاصة، 4/125؛ الهداية والعناية وفتح القدير، 6/292، 448، 450- علمًا بأن العناية هي المرجع الرئيس في شرح المؤلف للقاعدة-؛ الكافي للنسفي، القسم الأخير، ص3013-3014؛ تبيين الحقائق، 4/13؛ الدرر شرح الغرر، 2/170، 429؛ البحر الرائق، 6/94؛ الدّر المختار وردّ المحتار، 7/90، 251؛ اللباب في شرح الكتاب، 2/27.</w:t>
      </w:r>
    </w:p>
  </w:footnote>
  <w:footnote w:id="4628">
    <w:p w:rsidR="00035BE3" w:rsidRDefault="00035BE3" w:rsidP="003D5367">
      <w:pPr>
        <w:pStyle w:val="a8"/>
        <w:bidi/>
        <w:spacing w:line="22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والعناية، 6/448؛ وانظر : فتح القدير، 6/448؛ الدّرر شرح الغرر، 2/170.</w:t>
      </w:r>
    </w:p>
  </w:footnote>
  <w:footnote w:id="4629">
    <w:p w:rsidR="00035BE3" w:rsidRDefault="00035BE3" w:rsidP="003D5367">
      <w:pPr>
        <w:pStyle w:val="a8"/>
        <w:bidi/>
        <w:spacing w:line="22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و(د): </w:t>
      </w:r>
      <w:r>
        <w:rPr>
          <w:rFonts w:hint="eastAsia"/>
          <w:rtl/>
        </w:rPr>
        <w:t>«</w:t>
      </w:r>
      <w:r>
        <w:rPr>
          <w:rFonts w:hint="cs"/>
          <w:rtl/>
        </w:rPr>
        <w:t>من عقد</w:t>
      </w:r>
      <w:r>
        <w:rPr>
          <w:rFonts w:hint="eastAsia"/>
          <w:rtl/>
        </w:rPr>
        <w:t>»</w:t>
      </w:r>
      <w:r>
        <w:rPr>
          <w:rFonts w:hint="cs"/>
          <w:rtl/>
        </w:rPr>
        <w:t xml:space="preserve">، وفي (جـ) : </w:t>
      </w:r>
      <w:r>
        <w:rPr>
          <w:rFonts w:hint="eastAsia"/>
          <w:rtl/>
        </w:rPr>
        <w:t>«</w:t>
      </w:r>
      <w:r>
        <w:rPr>
          <w:rFonts w:hint="cs"/>
          <w:rtl/>
        </w:rPr>
        <w:t>من العقد</w:t>
      </w:r>
      <w:r>
        <w:rPr>
          <w:rFonts w:hint="eastAsia"/>
          <w:rtl/>
        </w:rPr>
        <w:t>»</w:t>
      </w:r>
      <w:r>
        <w:rPr>
          <w:rFonts w:hint="cs"/>
          <w:rtl/>
        </w:rPr>
        <w:t>. والصحيح ما تمَّ إثباته من (ب) و(هـ) و(و).</w:t>
      </w:r>
    </w:p>
  </w:footnote>
  <w:footnote w:id="4630">
    <w:p w:rsidR="00035BE3" w:rsidRDefault="00035BE3" w:rsidP="003D5367">
      <w:pPr>
        <w:pStyle w:val="a8"/>
        <w:bidi/>
        <w:spacing w:line="22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والفاسدة</w:t>
      </w:r>
      <w:r>
        <w:rPr>
          <w:rFonts w:hint="eastAsia"/>
          <w:rtl/>
        </w:rPr>
        <w:t>»</w:t>
      </w:r>
      <w:r>
        <w:rPr>
          <w:rFonts w:hint="cs"/>
          <w:rtl/>
        </w:rPr>
        <w:t xml:space="preserve"> (بزيادة الواو). وكلمة (الفاسدة) تمثّل نهاية 57/ب من (د).</w:t>
      </w:r>
    </w:p>
  </w:footnote>
  <w:footnote w:id="4631">
    <w:p w:rsidR="00035BE3" w:rsidRDefault="00035BE3" w:rsidP="003D5367">
      <w:pPr>
        <w:pStyle w:val="a8"/>
        <w:bidi/>
        <w:spacing w:line="22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بطلب</w:t>
      </w:r>
      <w:r>
        <w:rPr>
          <w:rFonts w:hint="eastAsia"/>
          <w:rtl/>
        </w:rPr>
        <w:t>»</w:t>
      </w:r>
      <w:r>
        <w:rPr>
          <w:rFonts w:hint="cs"/>
          <w:rtl/>
        </w:rPr>
        <w:t>.</w:t>
      </w:r>
    </w:p>
  </w:footnote>
  <w:footnote w:id="4632">
    <w:p w:rsidR="00035BE3" w:rsidRDefault="00035BE3" w:rsidP="003D5367">
      <w:pPr>
        <w:pStyle w:val="a8"/>
        <w:bidi/>
        <w:spacing w:line="22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95/أ من (أ).</w:t>
      </w:r>
    </w:p>
  </w:footnote>
  <w:footnote w:id="4633">
    <w:p w:rsidR="00035BE3" w:rsidRDefault="00035BE3" w:rsidP="003D5367">
      <w:pPr>
        <w:pStyle w:val="a8"/>
        <w:bidi/>
        <w:spacing w:line="226"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أي المذكور. ويعني : البيع والإجارة والكتابة والرهن</w:t>
      </w:r>
      <w:r>
        <w:rPr>
          <w:rFonts w:hint="eastAsia"/>
          <w:rtl/>
        </w:rPr>
        <w:t>»</w:t>
      </w:r>
      <w:r>
        <w:rPr>
          <w:rFonts w:hint="cs"/>
          <w:rtl/>
        </w:rPr>
        <w:t>.</w:t>
      </w:r>
    </w:p>
  </w:footnote>
  <w:footnote w:id="4634">
    <w:p w:rsidR="00035BE3" w:rsidRDefault="00035BE3" w:rsidP="003D5367">
      <w:pPr>
        <w:pStyle w:val="a8"/>
        <w:bidi/>
        <w:spacing w:line="226"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فتبطل</w:t>
      </w:r>
      <w:r>
        <w:rPr>
          <w:rFonts w:hint="eastAsia"/>
          <w:rtl/>
        </w:rPr>
        <w:t>»</w:t>
      </w:r>
      <w:r>
        <w:rPr>
          <w:rFonts w:hint="cs"/>
          <w:rtl/>
        </w:rPr>
        <w:t>.</w:t>
      </w:r>
    </w:p>
  </w:footnote>
  <w:footnote w:id="4635">
    <w:p w:rsidR="00035BE3" w:rsidRDefault="00035BE3" w:rsidP="003D5367">
      <w:pPr>
        <w:pStyle w:val="a8"/>
        <w:bidi/>
        <w:spacing w:line="226"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6/448؛ وانظر أيضًا : الهداية وفتح القدير، 6/448-449؛ تبيين الحقائق، 4/58؛ البحر الرائق، 6/95؛ رد المحتار، 7/251.</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3D5367">
      <w:pPr>
        <w:pStyle w:val="a6"/>
        <w:spacing w:line="460" w:lineRule="exact"/>
        <w:ind w:left="422" w:firstLine="0"/>
        <w:rPr>
          <w:rtl/>
        </w:rPr>
      </w:pPr>
      <w:r>
        <w:rPr>
          <w:rFonts w:hint="cs"/>
          <w:b/>
          <w:bCs/>
          <w:rtl/>
        </w:rPr>
        <w:t xml:space="preserve">وقوله : </w:t>
      </w:r>
      <w:r>
        <w:rPr>
          <w:rFonts w:hint="eastAsia"/>
          <w:b/>
          <w:bCs/>
          <w:rtl/>
        </w:rPr>
        <w:t>«</w:t>
      </w:r>
      <w:r>
        <w:rPr>
          <w:rFonts w:hint="cs"/>
          <w:b/>
          <w:bCs/>
          <w:rtl/>
        </w:rPr>
        <w:t>كما تقرر في المفصلات</w:t>
      </w:r>
      <w:r>
        <w:rPr>
          <w:rFonts w:hint="eastAsia"/>
          <w:b/>
          <w:bCs/>
          <w:rtl/>
        </w:rPr>
        <w:t>»</w:t>
      </w:r>
      <w:r>
        <w:rPr>
          <w:rFonts w:hint="cs"/>
          <w:rtl/>
        </w:rPr>
        <w:t xml:space="preserve"> </w:t>
      </w:r>
      <w:r>
        <w:rPr>
          <w:rFonts w:hint="cs"/>
          <w:b/>
          <w:bCs/>
          <w:rtl/>
        </w:rPr>
        <w:t>أي</w:t>
      </w:r>
      <w:r>
        <w:rPr>
          <w:rFonts w:hint="cs"/>
          <w:rtl/>
        </w:rPr>
        <w:t xml:space="preserve"> : ما تقرّر في الكتب المفصّلة عند الحنفية من أن عقود المعاوضات تفسد بالشروط الفاسدة.</w:t>
      </w:r>
    </w:p>
    <w:p w:rsidR="00035BE3" w:rsidRDefault="00035BE3" w:rsidP="003D5367">
      <w:pPr>
        <w:pStyle w:val="a6"/>
        <w:spacing w:line="460" w:lineRule="exact"/>
        <w:ind w:left="422" w:firstLine="0"/>
        <w:rPr>
          <w:rtl/>
        </w:rPr>
      </w:pPr>
      <w:r>
        <w:rPr>
          <w:rFonts w:hint="cs"/>
          <w:rtl/>
        </w:rPr>
        <w:t>ومن هذه الكتب : المبسوط، 13/13؛ الهداية والعناية وفتح القدير، 6/441؛ الدر المختار ورد المحتار، 7/281.</w:t>
      </w:r>
    </w:p>
  </w:footnote>
  <w:footnote w:id="4636">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من المذكورات</w:t>
      </w:r>
      <w:r>
        <w:rPr>
          <w:rFonts w:hint="eastAsia"/>
          <w:rtl/>
        </w:rPr>
        <w:t>»</w:t>
      </w:r>
      <w:r>
        <w:rPr>
          <w:rFonts w:hint="cs"/>
          <w:rtl/>
        </w:rPr>
        <w:t>.</w:t>
      </w:r>
    </w:p>
  </w:footnote>
  <w:footnote w:id="4637">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بالشرط</w:t>
      </w:r>
      <w:r>
        <w:rPr>
          <w:rFonts w:hint="eastAsia"/>
          <w:rtl/>
        </w:rPr>
        <w:t>»</w:t>
      </w:r>
      <w:r>
        <w:rPr>
          <w:rFonts w:hint="cs"/>
          <w:rtl/>
        </w:rPr>
        <w:t>. والصحيح ما تمّ إثباته من باقي النسخ.</w:t>
      </w:r>
    </w:p>
  </w:footnote>
  <w:footnote w:id="4638">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الفاسد</w:t>
      </w:r>
      <w:r>
        <w:rPr>
          <w:rFonts w:hint="eastAsia"/>
          <w:rtl/>
        </w:rPr>
        <w:t>»</w:t>
      </w:r>
      <w:r>
        <w:rPr>
          <w:rFonts w:hint="cs"/>
          <w:rtl/>
        </w:rPr>
        <w:t>.</w:t>
      </w:r>
    </w:p>
  </w:footnote>
  <w:footnote w:id="4639">
    <w:p w:rsidR="00035BE3" w:rsidRDefault="00035BE3" w:rsidP="003D5367">
      <w:pPr>
        <w:pStyle w:val="a8"/>
        <w:bidi/>
        <w:spacing w:line="460" w:lineRule="exact"/>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العناية، 6/449؛ وانظر: الهداية وفتح القدير، 6/450؛ تبيين الحقائق، 4/58؛ رد المحتار، 7/251.</w:t>
      </w:r>
    </w:p>
  </w:footnote>
  <w:footnote w:id="4640">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60/ب من (ب).</w:t>
      </w:r>
    </w:p>
  </w:footnote>
  <w:footnote w:id="4641">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70/ب من (جـ).</w:t>
      </w:r>
    </w:p>
  </w:footnote>
  <w:footnote w:id="4642">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95/ب من (أ).</w:t>
      </w:r>
    </w:p>
  </w:footnote>
  <w:footnote w:id="4643">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الاعتراض وجوابه في : العناية، 6/450؛ وانظر صحة استثناء الحمل من الوصية في: الدرر شرح الغرر، 2/429.</w:t>
      </w:r>
    </w:p>
  </w:footnote>
  <w:footnote w:id="464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يصح فعلها. والضمير في (بانفراده) يعود إلى هذا الفعل أيضًا.</w:t>
      </w:r>
    </w:p>
    <w:p w:rsidR="00035BE3" w:rsidRDefault="00035BE3" w:rsidP="003D5367">
      <w:pPr>
        <w:pStyle w:val="a6"/>
        <w:ind w:left="422" w:firstLine="0"/>
        <w:rPr>
          <w:rtl/>
        </w:rPr>
      </w:pPr>
      <w:r>
        <w:rPr>
          <w:rFonts w:hint="cs"/>
          <w:rtl/>
        </w:rPr>
        <w:t xml:space="preserve">علمًا بأنه جاء في (ب) : </w:t>
      </w:r>
      <w:r>
        <w:rPr>
          <w:rFonts w:hint="eastAsia"/>
          <w:rtl/>
        </w:rPr>
        <w:t>«</w:t>
      </w:r>
      <w:r>
        <w:rPr>
          <w:rFonts w:hint="cs"/>
          <w:rtl/>
        </w:rPr>
        <w:t>تصح</w:t>
      </w:r>
      <w:r>
        <w:rPr>
          <w:rFonts w:hint="eastAsia"/>
          <w:rtl/>
        </w:rPr>
        <w:t>»</w:t>
      </w:r>
      <w:r>
        <w:rPr>
          <w:rFonts w:hint="cs"/>
          <w:rtl/>
        </w:rPr>
        <w:t>. وتأنيث الفعل يتناسب مع الوصية، ولكن يشكل عليه كون الضمير المقترن بالكلمة التي تليها مذكرًا.</w:t>
      </w:r>
    </w:p>
    <w:p w:rsidR="00035BE3" w:rsidRDefault="00035BE3" w:rsidP="003D5367">
      <w:pPr>
        <w:pStyle w:val="a6"/>
        <w:ind w:left="422" w:firstLine="0"/>
        <w:rPr>
          <w:rtl/>
        </w:rPr>
      </w:pPr>
      <w:r>
        <w:rPr>
          <w:rFonts w:hint="cs"/>
          <w:rtl/>
        </w:rPr>
        <w:t xml:space="preserve">والمصدر الرئيسي لهذه العبارة هو العناية -6/450- وتمام ما جاء فيها : </w:t>
      </w:r>
      <w:r>
        <w:rPr>
          <w:rFonts w:hint="eastAsia"/>
          <w:rtl/>
        </w:rPr>
        <w:t>«</w:t>
      </w:r>
      <w:r>
        <w:rPr>
          <w:rFonts w:hint="cs"/>
          <w:rtl/>
        </w:rPr>
        <w:t xml:space="preserve">واعتُرض على قوله : </w:t>
      </w:r>
      <w:r>
        <w:rPr>
          <w:rFonts w:hint="eastAsia"/>
          <w:rtl/>
        </w:rPr>
        <w:t>«</w:t>
      </w:r>
      <w:r>
        <w:rPr>
          <w:rFonts w:hint="cs"/>
          <w:rtl/>
        </w:rPr>
        <w:t>الأصل فيه أن ما لا يصح إفراده بالعقد لا يصح استثناؤه من العقد</w:t>
      </w:r>
      <w:r>
        <w:rPr>
          <w:rFonts w:hint="eastAsia"/>
          <w:rtl/>
        </w:rPr>
        <w:t>»</w:t>
      </w:r>
      <w:r>
        <w:rPr>
          <w:rFonts w:hint="cs"/>
          <w:rtl/>
        </w:rPr>
        <w:t xml:space="preserve"> بأنه يلزم من ذلك أنّ ما يصح إفراده بالعقد يصح استثناؤه، والخدمة في الوصية ممّا يصح إفراده بالعقد؛ بأن قال : أوصيت بخدمة هذه الجارية لفلان، فوجب أن يصح استثناؤه.</w:t>
      </w:r>
    </w:p>
    <w:p w:rsidR="00035BE3" w:rsidRDefault="00035BE3" w:rsidP="003D5367">
      <w:pPr>
        <w:pStyle w:val="a6"/>
        <w:ind w:left="422" w:firstLine="0"/>
        <w:rPr>
          <w:rtl/>
        </w:rPr>
      </w:pPr>
      <w:r>
        <w:rPr>
          <w:rFonts w:hint="cs"/>
          <w:rtl/>
        </w:rPr>
        <w:t xml:space="preserve">وأجيب : بأن هذا العكس غير لازم، ولئن سلّمنا فلا نسلم أن الوصية عقد؛ ألا ترى أنه يصح... </w:t>
      </w:r>
      <w:r>
        <w:rPr>
          <w:rFonts w:hint="eastAsia"/>
          <w:rtl/>
        </w:rPr>
        <w:t>»</w:t>
      </w:r>
      <w:r>
        <w:rPr>
          <w:rFonts w:hint="cs"/>
          <w:rtl/>
        </w:rPr>
        <w:t>.</w:t>
      </w:r>
    </w:p>
  </w:footnote>
  <w:footnote w:id="464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w:t>
      </w:r>
      <w:r>
        <w:rPr>
          <w:rFonts w:hint="eastAsia"/>
          <w:rtl/>
        </w:rPr>
        <w:t>«</w:t>
      </w:r>
      <w:r>
        <w:rPr>
          <w:rFonts w:hint="cs"/>
          <w:rtl/>
        </w:rPr>
        <w:t>خذمتها</w:t>
      </w:r>
      <w:r>
        <w:rPr>
          <w:rFonts w:hint="eastAsia"/>
          <w:rtl/>
        </w:rPr>
        <w:t>»</w:t>
      </w:r>
      <w:r>
        <w:rPr>
          <w:rFonts w:hint="cs"/>
          <w:rtl/>
        </w:rPr>
        <w:t xml:space="preserve"> (بالذال المعجمة)، وفي (د): </w:t>
      </w:r>
      <w:r>
        <w:rPr>
          <w:rFonts w:hint="eastAsia"/>
          <w:rtl/>
        </w:rPr>
        <w:t>«</w:t>
      </w:r>
      <w:r>
        <w:rPr>
          <w:rFonts w:hint="cs"/>
          <w:rtl/>
        </w:rPr>
        <w:t>جزء منها</w:t>
      </w:r>
      <w:r>
        <w:rPr>
          <w:rFonts w:hint="eastAsia"/>
          <w:rtl/>
        </w:rPr>
        <w:t>»</w:t>
      </w:r>
      <w:r>
        <w:rPr>
          <w:rFonts w:hint="cs"/>
          <w:rtl/>
        </w:rPr>
        <w:t>. والصحيح ما تمَّ إثباته من (جـ) و(هـ) و(و).</w:t>
      </w:r>
    </w:p>
  </w:footnote>
  <w:footnote w:id="464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يصح</w:t>
      </w:r>
      <w:r>
        <w:rPr>
          <w:rFonts w:hint="eastAsia"/>
          <w:rtl/>
        </w:rPr>
        <w:t>»</w:t>
      </w:r>
      <w:r>
        <w:rPr>
          <w:rFonts w:hint="cs"/>
          <w:rtl/>
        </w:rPr>
        <w:t>. والأفصح ما تمَّ إثباته من (ب).</w:t>
      </w:r>
    </w:p>
  </w:footnote>
  <w:footnote w:id="464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وتبطل</w:t>
      </w:r>
      <w:r>
        <w:rPr>
          <w:rFonts w:hint="eastAsia"/>
          <w:rtl/>
        </w:rPr>
        <w:t>»</w:t>
      </w:r>
      <w:r>
        <w:rPr>
          <w:rFonts w:hint="cs"/>
          <w:rtl/>
        </w:rPr>
        <w:t>.</w:t>
      </w:r>
    </w:p>
  </w:footnote>
  <w:footnote w:id="464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6/450 - وقد سبق بيان ما جاء في العناية في هامش (1)-.</w:t>
      </w:r>
    </w:p>
  </w:footnote>
  <w:footnote w:id="464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ذات شقين، وقد ورد في نهاية الشق الثاني لفظ : </w:t>
      </w:r>
      <w:r>
        <w:rPr>
          <w:rFonts w:hint="eastAsia"/>
          <w:rtl/>
        </w:rPr>
        <w:t>«</w:t>
      </w:r>
      <w:r>
        <w:rPr>
          <w:rFonts w:hint="cs"/>
          <w:rtl/>
        </w:rPr>
        <w:t>متعمدًا</w:t>
      </w:r>
      <w:r>
        <w:rPr>
          <w:rFonts w:hint="eastAsia"/>
          <w:rtl/>
        </w:rPr>
        <w:t>»</w:t>
      </w:r>
      <w:r>
        <w:rPr>
          <w:rFonts w:hint="cs"/>
          <w:rtl/>
        </w:rPr>
        <w:t>، والتعبير بالتعمد في حق المتسبّب المراد تضمينه ورد في عدد من كتب القواعد، منها (مجلة الأحكام العدلية)، إلا أن هذا التعبير فيه إيهامٌ بأنه بمعنى القصد مطلقًا، سواء كان متعدّيًا أمْ لا ! والصواب أن المراد به المتعدي فحسب.</w:t>
      </w:r>
    </w:p>
    <w:p w:rsidR="00035BE3" w:rsidRDefault="00035BE3" w:rsidP="003D5367">
      <w:pPr>
        <w:pStyle w:val="a6"/>
        <w:ind w:left="422" w:firstLine="0"/>
        <w:rPr>
          <w:rtl/>
        </w:rPr>
      </w:pPr>
      <w:r>
        <w:rPr>
          <w:rFonts w:hint="cs"/>
          <w:rtl/>
        </w:rPr>
        <w:t xml:space="preserve">وقد نبّه إلى ذلك الأستاذ مصطفى الزرقا في مدخله - 2/1047، فقرة 658- فقال : </w:t>
      </w:r>
      <w:r>
        <w:rPr>
          <w:rFonts w:hint="eastAsia"/>
          <w:rtl/>
        </w:rPr>
        <w:t>«</w:t>
      </w:r>
      <w:r>
        <w:rPr>
          <w:rFonts w:hint="cs"/>
          <w:rtl/>
        </w:rPr>
        <w:t>... يتضح من ذلك أن التعبير بلفظ (التعّمد) الوارد في (قاعدة المتسبِّب) هذه إنما المراد به معنى التعدي لا معنى القصد، وهو تعبير غير سديد، لا سيما في قاعدةٍ؛ لأنه مُوهِمٌ. ولم أَرَ من نبّه على ذلك من الشراح</w:t>
      </w:r>
      <w:r>
        <w:rPr>
          <w:rFonts w:hint="eastAsia"/>
          <w:rtl/>
        </w:rPr>
        <w:t>»</w:t>
      </w:r>
      <w:r>
        <w:rPr>
          <w:rFonts w:hint="cs"/>
          <w:rtl/>
        </w:rPr>
        <w:t>- وله لمساتٌ أخرى على الشق الثاني من القاعدة، فراجعه إن شئت-.</w:t>
      </w:r>
    </w:p>
    <w:p w:rsidR="00035BE3" w:rsidRDefault="00035BE3" w:rsidP="003D5367">
      <w:pPr>
        <w:pStyle w:val="a6"/>
        <w:ind w:left="422" w:firstLine="0"/>
        <w:rPr>
          <w:rtl/>
        </w:rPr>
      </w:pPr>
      <w:r>
        <w:rPr>
          <w:rFonts w:hint="cs"/>
          <w:rtl/>
        </w:rPr>
        <w:t>لهذا يلحظ أن طائفة أخرى من كتب الفقه وقواعده عبَّرت بلفظ التَّعدي، ولبيان ذلك يقال :</w:t>
      </w:r>
    </w:p>
    <w:p w:rsidR="00035BE3" w:rsidRDefault="00035BE3" w:rsidP="003D5367">
      <w:pPr>
        <w:pStyle w:val="a6"/>
        <w:ind w:left="422" w:firstLine="0"/>
        <w:rPr>
          <w:rtl/>
        </w:rPr>
      </w:pPr>
      <w:r>
        <w:rPr>
          <w:rFonts w:hint="cs"/>
          <w:rtl/>
        </w:rPr>
        <w:t>وردت هذه القاعدة بشقيها أو أحدهما بنحو لفظها في بعض كتب الفقه وكثير من كتب القواعد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spacing w:val="6"/>
          <w:rtl/>
        </w:rPr>
      </w:pPr>
      <w:r>
        <w:rPr>
          <w:rFonts w:hint="cs"/>
          <w:spacing w:val="6"/>
          <w:rtl/>
        </w:rPr>
        <w:t xml:space="preserve">الأشباه لابن نجيم، ص317، 324- ولفظه الأول نحو لفظ المؤلف أما الثاني فهو: </w:t>
      </w:r>
      <w:r>
        <w:rPr>
          <w:rFonts w:hint="eastAsia"/>
          <w:spacing w:val="6"/>
          <w:rtl/>
        </w:rPr>
        <w:t>«</w:t>
      </w:r>
      <w:r>
        <w:rPr>
          <w:rFonts w:hint="cs"/>
          <w:spacing w:val="6"/>
          <w:rtl/>
        </w:rPr>
        <w:t>يضمن المباشر وإن لم يكن متعدِّيًا</w:t>
      </w:r>
      <w:r>
        <w:rPr>
          <w:rFonts w:hint="eastAsia"/>
          <w:spacing w:val="6"/>
          <w:rtl/>
        </w:rPr>
        <w:t>»</w:t>
      </w:r>
      <w:r>
        <w:rPr>
          <w:rFonts w:hint="cs"/>
          <w:spacing w:val="6"/>
          <w:rtl/>
        </w:rPr>
        <w:t xml:space="preserve">-؛ قواعد الفقه له أيضًا، ص261، قاعدة 354- ولفظه: </w:t>
      </w:r>
      <w:r>
        <w:rPr>
          <w:rFonts w:hint="eastAsia"/>
          <w:spacing w:val="6"/>
          <w:rtl/>
        </w:rPr>
        <w:t>«</w:t>
      </w:r>
      <w:r>
        <w:rPr>
          <w:rFonts w:hint="cs"/>
          <w:spacing w:val="6"/>
          <w:rtl/>
        </w:rPr>
        <w:t>المباشر ضامن وإن لم يكن متعدّيًا، والمتسبب لا يضمن إلا إذا كان متعدّيًا</w:t>
      </w:r>
      <w:r>
        <w:rPr>
          <w:rFonts w:hint="eastAsia"/>
          <w:spacing w:val="6"/>
          <w:rtl/>
        </w:rPr>
        <w:t>»</w:t>
      </w:r>
      <w:r>
        <w:rPr>
          <w:rFonts w:hint="cs"/>
          <w:spacing w:val="6"/>
          <w:rtl/>
        </w:rPr>
        <w:t xml:space="preserve">-؛ مجامع الحقائق (الخاتمة)، ص46، شرح العلائي لقواعد الخادمي، ل36/أ؛ منافع الدقائق، ص331- ولفظ المجامع ومن بعده: </w:t>
      </w:r>
      <w:r>
        <w:rPr>
          <w:rFonts w:hint="eastAsia"/>
          <w:spacing w:val="6"/>
          <w:rtl/>
        </w:rPr>
        <w:t>«</w:t>
      </w:r>
      <w:r>
        <w:rPr>
          <w:rFonts w:hint="cs"/>
          <w:spacing w:val="6"/>
          <w:rtl/>
        </w:rPr>
        <w:t>المباشر ضامن وإن لم يتعمّد، والمسبب لا إلا بالتعمد</w:t>
      </w:r>
      <w:r>
        <w:rPr>
          <w:rFonts w:hint="eastAsia"/>
          <w:spacing w:val="6"/>
          <w:rtl/>
        </w:rPr>
        <w:t>»</w:t>
      </w:r>
      <w:r>
        <w:rPr>
          <w:rFonts w:hint="cs"/>
          <w:spacing w:val="6"/>
          <w:rtl/>
        </w:rPr>
        <w:t xml:space="preserve">-؛ مجلة الأحكام العدلية، مادة 92 و93- ولفظهما : </w:t>
      </w:r>
      <w:r>
        <w:rPr>
          <w:rFonts w:hint="eastAsia"/>
          <w:spacing w:val="6"/>
          <w:rtl/>
        </w:rPr>
        <w:t>«</w:t>
      </w:r>
      <w:r>
        <w:rPr>
          <w:rFonts w:hint="cs"/>
          <w:spacing w:val="6"/>
          <w:rtl/>
        </w:rPr>
        <w:t>المباشر ضامن وإن لم يتعمد</w:t>
      </w:r>
      <w:r>
        <w:rPr>
          <w:rFonts w:hint="eastAsia"/>
          <w:spacing w:val="6"/>
          <w:rtl/>
        </w:rPr>
        <w:t>»</w:t>
      </w:r>
      <w:r>
        <w:rPr>
          <w:rFonts w:hint="cs"/>
          <w:spacing w:val="6"/>
          <w:rtl/>
        </w:rPr>
        <w:t xml:space="preserve"> و </w:t>
      </w:r>
      <w:r>
        <w:rPr>
          <w:rFonts w:hint="eastAsia"/>
          <w:spacing w:val="6"/>
          <w:rtl/>
        </w:rPr>
        <w:t>«</w:t>
      </w:r>
      <w:r>
        <w:rPr>
          <w:rFonts w:hint="cs"/>
          <w:spacing w:val="6"/>
          <w:rtl/>
        </w:rPr>
        <w:t>المتسبب لا يضمن إلا بالتعمد</w:t>
      </w:r>
      <w:r>
        <w:rPr>
          <w:rFonts w:hint="eastAsia"/>
          <w:spacing w:val="6"/>
          <w:rtl/>
        </w:rPr>
        <w:t>»</w:t>
      </w:r>
      <w:r>
        <w:rPr>
          <w:rFonts w:hint="cs"/>
          <w:spacing w:val="6"/>
          <w:rtl/>
        </w:rPr>
        <w:t xml:space="preserve">-؛ شرحها لسليم رستم، 1/60؛ ولعلي حيدر، 1/82-83؛ وللأتاسي، 1/255-258؛ وشرح قواعدها للزرقا، ص453-455؛ قواعد الفقه للمجدّدي، ص117، قاعدة 301، وص119، قاعدة 307- ولفظ القاعدتين عنده كلفظ مادّتي المجلة-؛ المدخل الفقهي العام، 2/1044-1047، </w:t>
      </w:r>
      <w:r>
        <w:rPr>
          <w:rFonts w:hint="cs"/>
          <w:spacing w:val="2"/>
          <w:rtl/>
        </w:rPr>
        <w:t>فقرة 657-658؛</w:t>
      </w:r>
      <w:r>
        <w:rPr>
          <w:rFonts w:hint="cs"/>
          <w:spacing w:val="6"/>
          <w:rtl/>
        </w:rPr>
        <w:t xml:space="preserve"> المبادئ الفقهية، ص52-53؛ القواعد الفقهية للدّعاس، ص103، قاعدة 86 و 87؛ وللدكتور محمد الزحيلي، ص87.</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rtl/>
        </w:rPr>
      </w:pPr>
      <w:r>
        <w:rPr>
          <w:rFonts w:hint="cs"/>
          <w:rtl/>
        </w:rPr>
        <w:t xml:space="preserve">ردّ المحتار، 10/272 - حيث قال : </w:t>
      </w:r>
      <w:r>
        <w:rPr>
          <w:rFonts w:hint="eastAsia"/>
          <w:rtl/>
        </w:rPr>
        <w:t>«</w:t>
      </w:r>
      <w:r>
        <w:rPr>
          <w:rFonts w:hint="cs"/>
          <w:rtl/>
        </w:rPr>
        <w:t>... وكذا الأصل أيضًا : أن المتسبّب ضامن إذا كان متعديًا، وإلاّ لا يضمن، والمباشر يضمن مطلقًا؛ كما يظهر من الفروع</w:t>
      </w:r>
      <w:r>
        <w:rPr>
          <w:rFonts w:hint="eastAsia"/>
          <w:rtl/>
        </w:rPr>
        <w:t>»</w:t>
      </w:r>
      <w:r>
        <w:rPr>
          <w:rFonts w:hint="cs"/>
          <w:rtl/>
        </w:rPr>
        <w:t xml:space="preserve">-؛ النافع الكبير، ص177- ولفظه : </w:t>
      </w:r>
      <w:r>
        <w:rPr>
          <w:rFonts w:hint="eastAsia"/>
          <w:rtl/>
        </w:rPr>
        <w:t>«</w:t>
      </w:r>
      <w:r>
        <w:rPr>
          <w:rFonts w:hint="cs"/>
          <w:rtl/>
        </w:rPr>
        <w:t>... لأنها مسببّة، وضمان التسبّب يبتني على التعدي، ولم يوجد</w:t>
      </w:r>
      <w:r>
        <w:rPr>
          <w:rFonts w:hint="eastAsia"/>
          <w:rtl/>
        </w:rPr>
        <w:t>»</w:t>
      </w:r>
      <w:r>
        <w:rPr>
          <w:rFonts w:hint="cs"/>
          <w:rtl/>
        </w:rPr>
        <w:t>-.</w:t>
      </w:r>
    </w:p>
  </w:footnote>
  <w:footnote w:id="4650">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أو</w:t>
      </w:r>
      <w:r>
        <w:rPr>
          <w:rFonts w:hint="eastAsia"/>
          <w:rtl/>
        </w:rPr>
        <w:t>»</w:t>
      </w:r>
      <w:r>
        <w:rPr>
          <w:rFonts w:hint="cs"/>
          <w:rtl/>
        </w:rPr>
        <w:t>.</w:t>
      </w:r>
    </w:p>
  </w:footnote>
  <w:footnote w:id="4651">
    <w:p w:rsidR="00035BE3" w:rsidRDefault="00035BE3" w:rsidP="003D5367">
      <w:pPr>
        <w:pStyle w:val="a8"/>
        <w:bidi/>
        <w:spacing w:line="50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و(جـ): </w:t>
      </w:r>
      <w:r>
        <w:rPr>
          <w:rFonts w:hint="eastAsia"/>
          <w:spacing w:val="-8"/>
          <w:rtl/>
        </w:rPr>
        <w:t>«</w:t>
      </w:r>
      <w:r>
        <w:rPr>
          <w:rFonts w:hint="cs"/>
          <w:spacing w:val="-8"/>
          <w:rtl/>
        </w:rPr>
        <w:t>يتعمد</w:t>
      </w:r>
      <w:r>
        <w:rPr>
          <w:rFonts w:hint="eastAsia"/>
          <w:spacing w:val="-8"/>
          <w:rtl/>
        </w:rPr>
        <w:t>»</w:t>
      </w:r>
      <w:r>
        <w:rPr>
          <w:rFonts w:hint="cs"/>
          <w:spacing w:val="-8"/>
          <w:rtl/>
        </w:rPr>
        <w:t>. والصحيح ما تمَّ إثباته من (ب) و(د)، وهو الموافق لمصدر هذه العبارة (وهو العناية).</w:t>
      </w:r>
    </w:p>
  </w:footnote>
  <w:footnote w:id="4652">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58/أ من (د).</w:t>
      </w:r>
    </w:p>
  </w:footnote>
  <w:footnote w:id="4653">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يتعمد</w:t>
      </w:r>
      <w:r>
        <w:rPr>
          <w:rFonts w:hint="eastAsia"/>
          <w:rtl/>
        </w:rPr>
        <w:t>»</w:t>
      </w:r>
      <w:r>
        <w:rPr>
          <w:rFonts w:hint="cs"/>
          <w:rtl/>
        </w:rPr>
        <w:t>. والصحيح ما تمَّ إثباته من (ب) و(د)، وهو الموافق للعناية.</w:t>
      </w:r>
    </w:p>
  </w:footnote>
  <w:footnote w:id="4654">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عملت</w:t>
      </w:r>
      <w:r>
        <w:rPr>
          <w:rFonts w:hint="eastAsia"/>
          <w:rtl/>
        </w:rPr>
        <w:t>»</w:t>
      </w:r>
      <w:r>
        <w:rPr>
          <w:rFonts w:hint="cs"/>
          <w:rtl/>
        </w:rPr>
        <w:t>.</w:t>
      </w:r>
    </w:p>
  </w:footnote>
  <w:footnote w:id="4655">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لزوجها</w:t>
      </w:r>
      <w:r>
        <w:rPr>
          <w:rFonts w:hint="eastAsia"/>
          <w:rtl/>
        </w:rPr>
        <w:t>»</w:t>
      </w:r>
      <w:r>
        <w:rPr>
          <w:rFonts w:hint="cs"/>
          <w:rtl/>
        </w:rPr>
        <w:t>.</w:t>
      </w:r>
    </w:p>
  </w:footnote>
  <w:footnote w:id="4656">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يكون</w:t>
      </w:r>
      <w:r>
        <w:rPr>
          <w:rFonts w:hint="eastAsia"/>
          <w:rtl/>
        </w:rPr>
        <w:t>»</w:t>
      </w:r>
      <w:r>
        <w:rPr>
          <w:rFonts w:hint="cs"/>
          <w:rtl/>
        </w:rPr>
        <w:t>. وفي (د): رُسم الحرف الأول بالياء والتاء معًا. والوجه الثاني (وهو التاء) هو الصحيح.</w:t>
      </w:r>
    </w:p>
  </w:footnote>
  <w:footnote w:id="4657">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التاء المربوطة زيادة من (ب) و(جـ). والأسلوب بدونها يكون ركيكًا.</w:t>
      </w:r>
    </w:p>
  </w:footnote>
  <w:footnote w:id="4658">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الحديث لم أجده بلفظه؛ إنما ورد بنحـوه أو معناه؛ فقد أخـرج الشهـاب في مسنده - 2/250، ح1293- بسنده عن زربي مؤذن مسجد هشام ابن حسان ثنا أنس بن مالك قال : قال رسول الله </w:t>
      </w:r>
      <w:r>
        <w:rPr>
          <w:rFonts w:ascii="AGA Arabesque" w:hAnsi="AGA Arabesque"/>
          <w:sz w:val="36"/>
          <w:szCs w:val="36"/>
        </w:rPr>
        <w:t></w:t>
      </w:r>
      <w:r>
        <w:rPr>
          <w:rFonts w:hint="cs"/>
          <w:rtl/>
        </w:rPr>
        <w:t xml:space="preserve">: </w:t>
      </w:r>
      <w:r>
        <w:rPr>
          <w:rFonts w:hint="eastAsia"/>
          <w:rtl/>
        </w:rPr>
        <w:t>«</w:t>
      </w:r>
      <w:r>
        <w:rPr>
          <w:rFonts w:cs="DecoType Naskh" w:hint="cs"/>
          <w:sz w:val="28"/>
          <w:rtl/>
        </w:rPr>
        <w:t>ما من عمل أفضل من إشباع كبد جائع</w:t>
      </w:r>
      <w:r>
        <w:rPr>
          <w:rFonts w:hint="eastAsia"/>
          <w:rtl/>
        </w:rPr>
        <w:t>»</w:t>
      </w:r>
      <w:r>
        <w:rPr>
          <w:rFonts w:hint="cs"/>
          <w:rtl/>
        </w:rPr>
        <w:t>.</w:t>
      </w:r>
    </w:p>
    <w:p w:rsidR="00035BE3" w:rsidRDefault="00035BE3" w:rsidP="003D5367">
      <w:pPr>
        <w:pStyle w:val="a6"/>
        <w:spacing w:line="500" w:lineRule="exact"/>
        <w:ind w:left="422" w:firstLine="0"/>
        <w:rPr>
          <w:rtl/>
        </w:rPr>
      </w:pPr>
      <w:r>
        <w:rPr>
          <w:rFonts w:hint="cs"/>
          <w:rtl/>
        </w:rPr>
        <w:t xml:space="preserve">كما أخرج البيهقي في شعب الإيمان، في فضل ما جـاء في إطـعام الطـعام وسقي الماء، 3/217، ح3367، بسنده عن زربي مـؤذن هـشام بن حسان قال : سمعت أنس بن مالك يقول : قال رسول الله </w:t>
      </w:r>
      <w:r>
        <w:rPr>
          <w:rFonts w:ascii="AGA Arabesque" w:hAnsi="AGA Arabesque"/>
          <w:sz w:val="36"/>
          <w:szCs w:val="36"/>
          <w:lang w:val="en-US"/>
        </w:rPr>
        <w:t></w:t>
      </w:r>
      <w:r>
        <w:rPr>
          <w:rFonts w:hint="cs"/>
          <w:rtl/>
        </w:rPr>
        <w:t xml:space="preserve"> </w:t>
      </w:r>
      <w:r>
        <w:rPr>
          <w:rFonts w:hint="eastAsia"/>
          <w:rtl/>
        </w:rPr>
        <w:t>«</w:t>
      </w:r>
      <w:r>
        <w:rPr>
          <w:rFonts w:cs="DecoType Naskh" w:hint="cs"/>
          <w:sz w:val="28"/>
          <w:szCs w:val="28"/>
          <w:rtl/>
          <w:lang w:val="en-US"/>
        </w:rPr>
        <w:t>أفضل الصدقة أن تشبع كبدًا جائعًا</w:t>
      </w:r>
      <w:r>
        <w:rPr>
          <w:rFonts w:hint="eastAsia"/>
          <w:rtl/>
        </w:rPr>
        <w:t>»</w:t>
      </w:r>
      <w:r>
        <w:rPr>
          <w:rFonts w:hint="cs"/>
          <w:rtl/>
        </w:rPr>
        <w:t>.</w:t>
      </w:r>
      <w:r>
        <w:rPr>
          <w:rFonts w:hint="cs"/>
          <w:rtl/>
        </w:rPr>
        <w:tab/>
      </w:r>
      <w:r>
        <w:rPr>
          <w:rFonts w:hint="cs"/>
          <w:rtl/>
        </w:rPr>
        <w:tab/>
      </w:r>
      <w:r>
        <w:rPr>
          <w:rFonts w:hint="cs"/>
          <w:rtl/>
        </w:rPr>
        <w:tab/>
      </w:r>
      <w:r>
        <w:rPr>
          <w:rFonts w:hint="cs"/>
          <w:rtl/>
        </w:rPr>
        <w:tab/>
        <w:t xml:space="preserve">         </w:t>
      </w:r>
    </w:p>
    <w:p w:rsidR="00035BE3" w:rsidRDefault="00035BE3" w:rsidP="003D5367">
      <w:pPr>
        <w:pStyle w:val="a6"/>
        <w:spacing w:line="440" w:lineRule="exact"/>
        <w:ind w:left="422" w:firstLine="0"/>
        <w:rPr>
          <w:rtl/>
        </w:rPr>
      </w:pPr>
      <w:r>
        <w:rPr>
          <w:rFonts w:hint="cs"/>
          <w:rtl/>
        </w:rPr>
        <w:t xml:space="preserve">ففي سنده زربي بن عبد الله، وقد قال عنه ابن حبان في كتاب المجروحين، 1/312 : </w:t>
      </w:r>
      <w:r>
        <w:rPr>
          <w:rFonts w:hint="eastAsia"/>
          <w:rtl/>
        </w:rPr>
        <w:t>«</w:t>
      </w:r>
      <w:r>
        <w:rPr>
          <w:rFonts w:hint="cs"/>
          <w:rtl/>
        </w:rPr>
        <w:t xml:space="preserve">منكر الحديث على قلّة روايته، يروي عن أنس ما لا أصل له؛ فلا يجوز الاحتجاج به، روى زربيُّ هذا عن أنس ابن مالك قال : قال رسول الله </w:t>
      </w:r>
      <w:r>
        <w:rPr>
          <w:rFonts w:ascii="AGA Arabesque" w:hAnsi="AGA Arabesque"/>
          <w:sz w:val="36"/>
          <w:szCs w:val="36"/>
          <w:lang w:val="en-US"/>
        </w:rPr>
        <w:t></w:t>
      </w:r>
      <w:r>
        <w:rPr>
          <w:rFonts w:hint="cs"/>
          <w:rtl/>
        </w:rPr>
        <w:t xml:space="preserve"> : </w:t>
      </w:r>
      <w:r>
        <w:rPr>
          <w:rFonts w:hint="eastAsia"/>
          <w:rtl/>
        </w:rPr>
        <w:t>«</w:t>
      </w:r>
      <w:r>
        <w:rPr>
          <w:rFonts w:hint="cs"/>
          <w:rtl/>
        </w:rPr>
        <w:t>ما من عمل أفضل من إشباع كبد جائع</w:t>
      </w:r>
      <w:r>
        <w:rPr>
          <w:rFonts w:hint="eastAsia"/>
          <w:rtl/>
        </w:rPr>
        <w:t>»</w:t>
      </w:r>
      <w:r>
        <w:rPr>
          <w:rFonts w:hint="cs"/>
          <w:rtl/>
        </w:rPr>
        <w:t>.</w:t>
      </w:r>
    </w:p>
    <w:p w:rsidR="00035BE3" w:rsidRDefault="00035BE3" w:rsidP="003D5367">
      <w:pPr>
        <w:pStyle w:val="a6"/>
        <w:spacing w:line="440" w:lineRule="exact"/>
        <w:ind w:left="422" w:firstLine="0"/>
        <w:rPr>
          <w:rtl/>
        </w:rPr>
      </w:pPr>
      <w:r>
        <w:rPr>
          <w:rFonts w:hint="cs"/>
          <w:rtl/>
        </w:rPr>
        <w:t xml:space="preserve">وما قاله ابن حبان نقله عنه الحافظ في (لسان الميزان)، 2/472، رقم 1901. </w:t>
      </w:r>
    </w:p>
    <w:p w:rsidR="00035BE3" w:rsidRDefault="00035BE3" w:rsidP="003D5367">
      <w:pPr>
        <w:pStyle w:val="a6"/>
        <w:spacing w:line="440" w:lineRule="exact"/>
        <w:ind w:left="422" w:firstLine="0"/>
        <w:rPr>
          <w:rtl/>
        </w:rPr>
      </w:pPr>
      <w:r>
        <w:rPr>
          <w:rFonts w:hint="cs"/>
          <w:rtl/>
        </w:rPr>
        <w:t xml:space="preserve">كما جاء في كشف الخفاء، 2/248، ح2227 : </w:t>
      </w:r>
      <w:r>
        <w:rPr>
          <w:rFonts w:hint="eastAsia"/>
          <w:rtl/>
        </w:rPr>
        <w:t>«</w:t>
      </w:r>
      <w:r>
        <w:rPr>
          <w:rFonts w:hint="cs"/>
          <w:rtl/>
        </w:rPr>
        <w:t>ما عمل أفضل من إشباع كبد جائعة : رواه الديلمي عن أنس رضي الله تعالى عنه مرفوعًا، وهو ضعيف</w:t>
      </w:r>
      <w:r>
        <w:rPr>
          <w:rFonts w:hint="eastAsia"/>
          <w:rtl/>
        </w:rPr>
        <w:t>»</w:t>
      </w:r>
      <w:r>
        <w:rPr>
          <w:rFonts w:hint="cs"/>
          <w:rtl/>
        </w:rPr>
        <w:t>.</w:t>
      </w:r>
    </w:p>
    <w:p w:rsidR="00035BE3" w:rsidRDefault="00035BE3" w:rsidP="003D5367">
      <w:pPr>
        <w:pStyle w:val="a6"/>
        <w:spacing w:line="440" w:lineRule="exact"/>
        <w:ind w:left="422" w:firstLine="0"/>
        <w:rPr>
          <w:rtl/>
        </w:rPr>
      </w:pPr>
      <w:r>
        <w:rPr>
          <w:rFonts w:hint="cs"/>
          <w:rtl/>
        </w:rPr>
        <w:t xml:space="preserve">وأيضا جاء في فيض القدير شرح الجامع الصغير -2/39- : </w:t>
      </w:r>
      <w:r>
        <w:rPr>
          <w:rFonts w:hint="eastAsia"/>
          <w:rtl/>
        </w:rPr>
        <w:t>«</w:t>
      </w:r>
      <w:r>
        <w:rPr>
          <w:rFonts w:hint="cs"/>
          <w:rtl/>
        </w:rPr>
        <w:t xml:space="preserve">رمز المصنِّف لحسنه، ولعله لاعتضاده، وإلا ففيه هشام بن حسان [لعل هنا سقط وهو </w:t>
      </w:r>
      <w:r>
        <w:rPr>
          <w:rFonts w:hint="cs"/>
          <w:b/>
          <w:bCs/>
          <w:rtl/>
        </w:rPr>
        <w:t>زربي</w:t>
      </w:r>
      <w:r>
        <w:rPr>
          <w:rFonts w:hint="cs"/>
          <w:rtl/>
        </w:rPr>
        <w:t xml:space="preserve"> </w:t>
      </w:r>
      <w:r>
        <w:rPr>
          <w:rFonts w:hint="cs"/>
          <w:b/>
          <w:bCs/>
          <w:rtl/>
        </w:rPr>
        <w:t>مؤذن</w:t>
      </w:r>
      <w:r>
        <w:rPr>
          <w:rFonts w:hint="cs"/>
          <w:rtl/>
        </w:rPr>
        <w:t xml:space="preserve"> هشام ...]. وأورده الذهبي في الضعفاء، وقال : قال شعيب عن شعبة : لم يكن يحفظ</w:t>
      </w:r>
      <w:r>
        <w:rPr>
          <w:rFonts w:hint="eastAsia"/>
          <w:rtl/>
        </w:rPr>
        <w:t>»</w:t>
      </w:r>
      <w:r>
        <w:rPr>
          <w:rFonts w:hint="cs"/>
          <w:rtl/>
        </w:rPr>
        <w:t>.</w:t>
      </w:r>
    </w:p>
    <w:p w:rsidR="00035BE3" w:rsidRDefault="00035BE3" w:rsidP="003D5367">
      <w:pPr>
        <w:pStyle w:val="a6"/>
        <w:spacing w:line="440" w:lineRule="exact"/>
        <w:ind w:left="422" w:firstLine="0"/>
        <w:rPr>
          <w:spacing w:val="-10"/>
          <w:rtl/>
        </w:rPr>
      </w:pPr>
      <w:r>
        <w:rPr>
          <w:rFonts w:hint="cs"/>
          <w:spacing w:val="-10"/>
          <w:rtl/>
        </w:rPr>
        <w:t>ولعلّ مراد المناوي من اعتضاده : اعتضاده بأحاديث تدل على عظم أجر سقي الماء وإطعام الطعام لمن احتاج إليه.</w:t>
      </w:r>
    </w:p>
    <w:p w:rsidR="00035BE3" w:rsidRDefault="00035BE3" w:rsidP="003D5367">
      <w:pPr>
        <w:pStyle w:val="a6"/>
        <w:spacing w:line="440" w:lineRule="exact"/>
        <w:ind w:left="422" w:firstLine="0"/>
        <w:rPr>
          <w:rtl/>
        </w:rPr>
      </w:pPr>
      <w:r>
        <w:rPr>
          <w:rFonts w:hint="cs"/>
          <w:rtl/>
        </w:rPr>
        <w:t xml:space="preserve">إذ ورد في ذلك أحاديث كثيرة في الصحيحين وغيرهما، منها ما جاء في صحيح البخاري، كتاب الشرب والمساقاة، باب فضل سقي الماء، 2/833، ح2234، بسنده عن أبي هريرة مرفوعًا : </w:t>
      </w:r>
      <w:r>
        <w:rPr>
          <w:rFonts w:hint="eastAsia"/>
          <w:rtl/>
        </w:rPr>
        <w:t>«</w:t>
      </w:r>
      <w:r>
        <w:rPr>
          <w:rFonts w:hint="cs"/>
          <w:rtl/>
        </w:rPr>
        <w:t>... في كلِّ كبدٍ رطبة أجر</w:t>
      </w:r>
      <w:r>
        <w:rPr>
          <w:rFonts w:hint="eastAsia"/>
          <w:rtl/>
        </w:rPr>
        <w:t>»</w:t>
      </w:r>
      <w:r>
        <w:rPr>
          <w:rFonts w:hint="cs"/>
          <w:rtl/>
        </w:rPr>
        <w:t>.</w:t>
      </w:r>
    </w:p>
  </w:footnote>
  <w:footnote w:id="4659">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الرأي منسوب إلى محمد في (الهداية) - 3/458-، وتابعه على ذلك صاحبا (العناية) و(فتح القدير)، وقد ذكر الأخير أنه مخرَّج على أصل لمحمد - وهو الأصل الذي سيذكره المؤلف -.</w:t>
      </w:r>
    </w:p>
    <w:p w:rsidR="00035BE3" w:rsidRDefault="00035BE3" w:rsidP="003D5367">
      <w:pPr>
        <w:pStyle w:val="a6"/>
        <w:spacing w:line="470" w:lineRule="exact"/>
        <w:ind w:left="422" w:firstLine="0"/>
        <w:rPr>
          <w:rtl/>
        </w:rPr>
      </w:pPr>
      <w:r>
        <w:rPr>
          <w:rFonts w:hint="cs"/>
          <w:rtl/>
        </w:rPr>
        <w:t xml:space="preserve">إلاّ أنه جاء في (الجامع الصغير) لمحمد -ص177- التصريح بما يخالف ذلك! وتمام ما جاء فيه : </w:t>
      </w:r>
      <w:r>
        <w:rPr>
          <w:rFonts w:hint="eastAsia"/>
          <w:rtl/>
        </w:rPr>
        <w:t>«</w:t>
      </w:r>
      <w:r>
        <w:rPr>
          <w:rFonts w:hint="cs"/>
          <w:rtl/>
        </w:rPr>
        <w:t xml:space="preserve">رجل تزوّج صغيرة وكبيرة، فأرضعت الكبيرة الصغيرة ولم يدخل بالكبيرة، وقد علمت الكبيرة أن الصغيرة امرأته : فعليه للصغيرة نصف المهر، </w:t>
      </w:r>
      <w:r>
        <w:rPr>
          <w:rFonts w:hint="cs"/>
          <w:b/>
          <w:bCs/>
          <w:rtl/>
        </w:rPr>
        <w:t>ولا يرجع به على الكبيرة إلا أن تكون تعمّدت الفساد</w:t>
      </w:r>
      <w:r>
        <w:rPr>
          <w:rFonts w:hint="cs"/>
          <w:rtl/>
        </w:rPr>
        <w:t>، ولا شيء للكبيرة في الوجهين</w:t>
      </w:r>
      <w:r>
        <w:rPr>
          <w:rFonts w:hint="eastAsia"/>
          <w:rtl/>
        </w:rPr>
        <w:t>»</w:t>
      </w:r>
      <w:r>
        <w:rPr>
          <w:rFonts w:hint="cs"/>
          <w:rtl/>
        </w:rPr>
        <w:t>.</w:t>
      </w:r>
    </w:p>
  </w:footnote>
  <w:footnote w:id="4660">
    <w:p w:rsidR="00035BE3" w:rsidRDefault="00035BE3" w:rsidP="003D5367">
      <w:pPr>
        <w:pStyle w:val="a8"/>
        <w:bidi/>
        <w:spacing w:line="47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96/أ من (أ).</w:t>
      </w:r>
    </w:p>
  </w:footnote>
  <w:footnote w:id="4661">
    <w:p w:rsidR="00035BE3" w:rsidRDefault="00035BE3" w:rsidP="003D5367">
      <w:pPr>
        <w:pStyle w:val="a8"/>
        <w:bidi/>
        <w:spacing w:line="47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w:t>
      </w:r>
      <w:r>
        <w:rPr>
          <w:rFonts w:hint="eastAsia"/>
          <w:rtl/>
        </w:rPr>
        <w:t xml:space="preserve"> «</w:t>
      </w:r>
      <w:r>
        <w:rPr>
          <w:rFonts w:hint="cs"/>
          <w:rtl/>
        </w:rPr>
        <w:t>رجل</w:t>
      </w:r>
      <w:r>
        <w:rPr>
          <w:rFonts w:hint="eastAsia"/>
          <w:rtl/>
        </w:rPr>
        <w:t>»</w:t>
      </w:r>
      <w:r>
        <w:rPr>
          <w:rFonts w:hint="cs"/>
          <w:rtl/>
        </w:rPr>
        <w:t xml:space="preserve">، وفي (ب) : </w:t>
      </w:r>
      <w:r>
        <w:rPr>
          <w:rFonts w:hint="eastAsia"/>
          <w:rtl/>
        </w:rPr>
        <w:t>«</w:t>
      </w:r>
      <w:r>
        <w:rPr>
          <w:rFonts w:hint="cs"/>
          <w:rtl/>
        </w:rPr>
        <w:t>وحلّ</w:t>
      </w:r>
      <w:r>
        <w:rPr>
          <w:rFonts w:hint="eastAsia"/>
          <w:rtl/>
        </w:rPr>
        <w:t>»</w:t>
      </w:r>
      <w:r>
        <w:rPr>
          <w:rFonts w:hint="cs"/>
          <w:rtl/>
        </w:rPr>
        <w:t xml:space="preserve">، وفي (جـ) : </w:t>
      </w:r>
      <w:r>
        <w:rPr>
          <w:rFonts w:hint="eastAsia"/>
          <w:rtl/>
        </w:rPr>
        <w:t>«</w:t>
      </w:r>
      <w:r>
        <w:rPr>
          <w:rFonts w:hint="cs"/>
          <w:rtl/>
        </w:rPr>
        <w:t>وفلّ</w:t>
      </w:r>
      <w:r>
        <w:rPr>
          <w:rFonts w:hint="eastAsia"/>
          <w:rtl/>
        </w:rPr>
        <w:t>»</w:t>
      </w:r>
      <w:r>
        <w:rPr>
          <w:rFonts w:hint="cs"/>
          <w:rtl/>
        </w:rPr>
        <w:t>. والصواب ما تمَّ إثباته من (ب).</w:t>
      </w:r>
    </w:p>
  </w:footnote>
  <w:footnote w:id="4662">
    <w:p w:rsidR="00035BE3" w:rsidRDefault="00035BE3" w:rsidP="003D5367">
      <w:pPr>
        <w:pStyle w:val="a8"/>
        <w:bidi/>
        <w:spacing w:line="47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فيه</w:t>
      </w:r>
      <w:r>
        <w:rPr>
          <w:rFonts w:hint="eastAsia"/>
          <w:rtl/>
        </w:rPr>
        <w:t>»</w:t>
      </w:r>
      <w:r>
        <w:rPr>
          <w:rFonts w:hint="cs"/>
          <w:rtl/>
        </w:rPr>
        <w:t>.</w:t>
      </w:r>
    </w:p>
  </w:footnote>
  <w:footnote w:id="4663">
    <w:p w:rsidR="00035BE3" w:rsidRDefault="00035BE3" w:rsidP="003D5367">
      <w:pPr>
        <w:pStyle w:val="a8"/>
        <w:bidi/>
        <w:spacing w:line="47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رأي محمد. وقد خالفه الإمام أبو حنيفة وأبو يوسف وقالا: </w:t>
      </w:r>
      <w:r>
        <w:rPr>
          <w:rFonts w:hint="eastAsia"/>
          <w:rtl/>
        </w:rPr>
        <w:t>«</w:t>
      </w:r>
      <w:r>
        <w:rPr>
          <w:rFonts w:hint="cs"/>
          <w:rtl/>
        </w:rPr>
        <w:t>إذا فتح باب القفص فطار الطير، أو فتح باب الاسطبل فندّت الدابة في فور ذلك : فإن الفاتح للباب لم يضمن شيئًا ...</w:t>
      </w:r>
      <w:r>
        <w:rPr>
          <w:rFonts w:hint="eastAsia"/>
          <w:rtl/>
        </w:rPr>
        <w:t>»</w:t>
      </w:r>
      <w:r>
        <w:rPr>
          <w:rFonts w:hint="cs"/>
          <w:rtl/>
        </w:rPr>
        <w:t>.</w:t>
      </w:r>
      <w:r>
        <w:rPr>
          <w:rFonts w:hint="cs"/>
          <w:rtl/>
        </w:rPr>
        <w:tab/>
      </w:r>
      <w:r>
        <w:rPr>
          <w:rFonts w:hint="cs"/>
          <w:rtl/>
        </w:rPr>
        <w:tab/>
        <w:t xml:space="preserve">  </w:t>
      </w:r>
    </w:p>
    <w:p w:rsidR="00035BE3" w:rsidRDefault="00035BE3" w:rsidP="003D5367">
      <w:pPr>
        <w:pStyle w:val="a6"/>
        <w:spacing w:line="420" w:lineRule="exact"/>
        <w:ind w:left="422" w:firstLine="0"/>
        <w:rPr>
          <w:rtl/>
        </w:rPr>
      </w:pPr>
      <w:r>
        <w:rPr>
          <w:rFonts w:hint="cs"/>
          <w:rtl/>
        </w:rPr>
        <w:t>كذا في أصول السرخسي، 2/326؛ وانظر منه : 2/307؛ التحرير والتقرير والتحبير، 3/218. فقد ورد فيها الخلاف بين الثلاثة.</w:t>
      </w:r>
    </w:p>
    <w:p w:rsidR="00035BE3" w:rsidRDefault="00035BE3" w:rsidP="003D5367">
      <w:pPr>
        <w:pStyle w:val="a6"/>
        <w:ind w:left="422" w:firstLine="0"/>
        <w:rPr>
          <w:rtl/>
        </w:rPr>
      </w:pPr>
      <w:r>
        <w:rPr>
          <w:rFonts w:hint="cs"/>
          <w:rtl/>
        </w:rPr>
        <w:t xml:space="preserve">وقول المؤلف : </w:t>
      </w:r>
      <w:r>
        <w:rPr>
          <w:rFonts w:hint="eastAsia"/>
          <w:rtl/>
        </w:rPr>
        <w:t>«</w:t>
      </w:r>
      <w:r>
        <w:rPr>
          <w:rFonts w:hint="cs"/>
          <w:rtl/>
        </w:rPr>
        <w:t>على ما عرف في الأصول</w:t>
      </w:r>
      <w:r>
        <w:rPr>
          <w:rFonts w:hint="eastAsia"/>
          <w:rtl/>
        </w:rPr>
        <w:t>»</w:t>
      </w:r>
      <w:r>
        <w:rPr>
          <w:rFonts w:hint="cs"/>
          <w:rtl/>
        </w:rPr>
        <w:t xml:space="preserve"> مستفاد من : العناية، 3/458.</w:t>
      </w:r>
    </w:p>
  </w:footnote>
  <w:footnote w:id="4664">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المباشر</w:t>
      </w:r>
      <w:r>
        <w:rPr>
          <w:rFonts w:hint="eastAsia"/>
          <w:rtl/>
        </w:rPr>
        <w:t>»</w:t>
      </w:r>
      <w:r>
        <w:rPr>
          <w:rFonts w:hint="cs"/>
          <w:rtl/>
        </w:rPr>
        <w:t>.</w:t>
      </w:r>
    </w:p>
  </w:footnote>
  <w:footnote w:id="4665">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w:t>
      </w:r>
      <w:r>
        <w:rPr>
          <w:rFonts w:hint="eastAsia"/>
          <w:rtl/>
        </w:rPr>
        <w:t>«</w:t>
      </w:r>
      <w:r>
        <w:rPr>
          <w:rFonts w:hint="cs"/>
          <w:rtl/>
        </w:rPr>
        <w:t>المتعدي وغير المتعدي</w:t>
      </w:r>
      <w:r>
        <w:rPr>
          <w:rFonts w:hint="eastAsia"/>
          <w:rtl/>
        </w:rPr>
        <w:t>»</w:t>
      </w:r>
      <w:r>
        <w:rPr>
          <w:rFonts w:hint="cs"/>
          <w:rtl/>
        </w:rPr>
        <w:t>.</w:t>
      </w:r>
    </w:p>
  </w:footnote>
  <w:footnote w:id="4666">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61/أ من (ب).</w:t>
      </w:r>
    </w:p>
  </w:footnote>
  <w:footnote w:id="4667">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71/أ من (جـ)، مع تكرار كلمة (السقوط) في بداية اللوحة التي تليها.</w:t>
      </w:r>
    </w:p>
  </w:footnote>
  <w:footnote w:id="4668">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ص454 (ل28/أ)، قاعدة 67.</w:t>
      </w:r>
    </w:p>
  </w:footnote>
  <w:footnote w:id="4669">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الإرضاع</w:t>
      </w:r>
      <w:r>
        <w:rPr>
          <w:rFonts w:hint="eastAsia"/>
          <w:rtl/>
        </w:rPr>
        <w:t>»</w:t>
      </w:r>
      <w:r>
        <w:rPr>
          <w:rFonts w:hint="cs"/>
          <w:rtl/>
        </w:rPr>
        <w:t>.</w:t>
      </w:r>
    </w:p>
  </w:footnote>
  <w:footnote w:id="4670">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(ب) و(د): </w:t>
      </w:r>
      <w:r>
        <w:rPr>
          <w:rFonts w:hint="eastAsia"/>
          <w:spacing w:val="6"/>
          <w:rtl/>
        </w:rPr>
        <w:t>«</w:t>
      </w:r>
      <w:r>
        <w:rPr>
          <w:rFonts w:hint="cs"/>
          <w:spacing w:val="6"/>
          <w:rtl/>
        </w:rPr>
        <w:t>وهو</w:t>
      </w:r>
      <w:r>
        <w:rPr>
          <w:rFonts w:hint="eastAsia"/>
          <w:spacing w:val="6"/>
          <w:rtl/>
        </w:rPr>
        <w:t>»</w:t>
      </w:r>
      <w:r>
        <w:rPr>
          <w:rFonts w:hint="cs"/>
          <w:spacing w:val="6"/>
          <w:rtl/>
        </w:rPr>
        <w:t>. وكلا التعبيرين صحيح؛ إذ (هي) ضمير يعود إلى العلة، و(هو) ضمير يعود إلى (المصّ).</w:t>
      </w:r>
    </w:p>
  </w:footnote>
  <w:footnote w:id="467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فلو</w:t>
      </w:r>
      <w:r>
        <w:rPr>
          <w:rFonts w:hint="eastAsia"/>
          <w:rtl/>
        </w:rPr>
        <w:t>»</w:t>
      </w:r>
      <w:r>
        <w:rPr>
          <w:rFonts w:hint="cs"/>
          <w:rtl/>
        </w:rPr>
        <w:t xml:space="preserve">، وفي (ب) : </w:t>
      </w:r>
      <w:r>
        <w:rPr>
          <w:rFonts w:hint="eastAsia"/>
          <w:rtl/>
        </w:rPr>
        <w:t>«</w:t>
      </w:r>
      <w:r>
        <w:rPr>
          <w:rFonts w:hint="cs"/>
          <w:rtl/>
        </w:rPr>
        <w:t>فيما</w:t>
      </w:r>
      <w:r>
        <w:rPr>
          <w:rFonts w:hint="eastAsia"/>
          <w:rtl/>
        </w:rPr>
        <w:t>»</w:t>
      </w:r>
      <w:r>
        <w:rPr>
          <w:rFonts w:hint="cs"/>
          <w:rtl/>
        </w:rPr>
        <w:t xml:space="preserve">. والصحيح ما تمَّ إثباته من (و)، وهو الموافق للعناية، حيث جاء فيها : </w:t>
      </w:r>
      <w:r>
        <w:rPr>
          <w:rFonts w:hint="eastAsia"/>
          <w:rtl/>
        </w:rPr>
        <w:t>«</w:t>
      </w:r>
      <w:r>
        <w:rPr>
          <w:rFonts w:hint="cs"/>
          <w:b/>
          <w:bCs/>
          <w:rtl/>
        </w:rPr>
        <w:t>فلِمَ لم تُضَف</w:t>
      </w:r>
      <w:r>
        <w:rPr>
          <w:rFonts w:hint="cs"/>
          <w:rtl/>
        </w:rPr>
        <w:t xml:space="preserve"> الفرقة إليها؟</w:t>
      </w:r>
      <w:r>
        <w:rPr>
          <w:rFonts w:hint="eastAsia"/>
          <w:rtl/>
        </w:rPr>
        <w:t>»</w:t>
      </w:r>
      <w:r>
        <w:rPr>
          <w:rFonts w:hint="cs"/>
          <w:rtl/>
        </w:rPr>
        <w:t>.</w:t>
      </w:r>
    </w:p>
  </w:footnote>
  <w:footnote w:id="467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فعليها</w:t>
      </w:r>
      <w:r>
        <w:rPr>
          <w:rFonts w:hint="eastAsia"/>
          <w:rtl/>
        </w:rPr>
        <w:t>»</w:t>
      </w:r>
      <w:r>
        <w:rPr>
          <w:rFonts w:hint="cs"/>
          <w:rtl/>
        </w:rPr>
        <w:t>.</w:t>
      </w:r>
    </w:p>
  </w:footnote>
  <w:footnote w:id="4673">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يرى</w:t>
      </w:r>
      <w:r>
        <w:rPr>
          <w:rFonts w:hint="eastAsia"/>
          <w:rtl/>
        </w:rPr>
        <w:t>»</w:t>
      </w:r>
      <w:r>
        <w:rPr>
          <w:rFonts w:hint="cs"/>
          <w:rtl/>
        </w:rPr>
        <w:t>.</w:t>
      </w:r>
    </w:p>
  </w:footnote>
  <w:footnote w:id="4674">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قبلت</w:t>
      </w:r>
      <w:r>
        <w:rPr>
          <w:rFonts w:hint="eastAsia"/>
          <w:rtl/>
        </w:rPr>
        <w:t>»</w:t>
      </w:r>
      <w:r>
        <w:rPr>
          <w:rFonts w:hint="cs"/>
          <w:rtl/>
        </w:rPr>
        <w:t>.</w:t>
      </w:r>
    </w:p>
  </w:footnote>
  <w:footnote w:id="4675">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w:t>
      </w:r>
      <w:r>
        <w:rPr>
          <w:rFonts w:hint="eastAsia"/>
          <w:rtl/>
        </w:rPr>
        <w:t>«</w:t>
      </w:r>
      <w:r>
        <w:rPr>
          <w:rFonts w:hint="cs"/>
          <w:rtl/>
        </w:rPr>
        <w:t>يحرم</w:t>
      </w:r>
      <w:r>
        <w:rPr>
          <w:rFonts w:hint="eastAsia"/>
          <w:rtl/>
        </w:rPr>
        <w:t>»</w:t>
      </w:r>
      <w:r>
        <w:rPr>
          <w:rFonts w:hint="cs"/>
          <w:rtl/>
        </w:rPr>
        <w:t xml:space="preserve">. والصحيح ما تمَّ إثباته من (ب)، وهو الموافق للعناية، حيث جاء فيها: </w:t>
      </w:r>
      <w:r>
        <w:rPr>
          <w:rFonts w:hint="eastAsia"/>
          <w:rtl/>
        </w:rPr>
        <w:t>«</w:t>
      </w:r>
      <w:r>
        <w:rPr>
          <w:rFonts w:hint="cs"/>
          <w:rtl/>
        </w:rPr>
        <w:t>لم تحرم من الميراث</w:t>
      </w:r>
      <w:r>
        <w:rPr>
          <w:rFonts w:hint="eastAsia"/>
          <w:rtl/>
        </w:rPr>
        <w:t>»</w:t>
      </w:r>
      <w:r>
        <w:rPr>
          <w:rFonts w:hint="cs"/>
          <w:rtl/>
        </w:rPr>
        <w:t>.</w:t>
      </w:r>
    </w:p>
  </w:footnote>
  <w:footnote w:id="4676">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بها</w:t>
      </w:r>
      <w:r>
        <w:rPr>
          <w:rFonts w:hint="eastAsia"/>
          <w:rtl/>
        </w:rPr>
        <w:t>»</w:t>
      </w:r>
      <w:r>
        <w:rPr>
          <w:rFonts w:hint="cs"/>
          <w:rtl/>
        </w:rPr>
        <w:t xml:space="preserve"> : ساقطة من (ب) و(د).</w:t>
      </w:r>
    </w:p>
    <w:p w:rsidR="00035BE3" w:rsidRDefault="00035BE3" w:rsidP="003D5367">
      <w:pPr>
        <w:pStyle w:val="a6"/>
        <w:spacing w:line="440" w:lineRule="exact"/>
        <w:ind w:left="422" w:firstLine="0"/>
        <w:rPr>
          <w:rtl/>
        </w:rPr>
      </w:pPr>
      <w:r>
        <w:rPr>
          <w:rFonts w:hint="cs"/>
          <w:rtl/>
        </w:rPr>
        <w:t>علمًا بأنها مثبتة في (العناية).</w:t>
      </w:r>
    </w:p>
  </w:footnote>
  <w:footnote w:id="4677">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زيادة </w:t>
      </w:r>
      <w:r>
        <w:rPr>
          <w:rFonts w:hint="eastAsia"/>
          <w:rtl/>
        </w:rPr>
        <w:t>«</w:t>
      </w:r>
      <w:r>
        <w:rPr>
          <w:rFonts w:hint="cs"/>
          <w:rtl/>
        </w:rPr>
        <w:t>من المهر</w:t>
      </w:r>
      <w:r>
        <w:rPr>
          <w:rFonts w:hint="eastAsia"/>
          <w:rtl/>
        </w:rPr>
        <w:t>»</w:t>
      </w:r>
      <w:r>
        <w:rPr>
          <w:rFonts w:hint="cs"/>
          <w:rtl/>
        </w:rPr>
        <w:t>.</w:t>
      </w:r>
    </w:p>
  </w:footnote>
  <w:footnote w:id="4678">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96/ب من (أ).</w:t>
      </w:r>
    </w:p>
  </w:footnote>
  <w:footnote w:id="4679">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w:t>
      </w:r>
      <w:r>
        <w:rPr>
          <w:rFonts w:hint="eastAsia"/>
          <w:rtl/>
        </w:rPr>
        <w:t>«</w:t>
      </w:r>
      <w:r>
        <w:rPr>
          <w:rFonts w:hint="cs"/>
          <w:rtl/>
        </w:rPr>
        <w:t>يلزم</w:t>
      </w:r>
      <w:r>
        <w:rPr>
          <w:rFonts w:hint="eastAsia"/>
          <w:rtl/>
        </w:rPr>
        <w:t>»</w:t>
      </w:r>
      <w:r>
        <w:rPr>
          <w:rFonts w:hint="cs"/>
          <w:rtl/>
        </w:rPr>
        <w:t>. وهذا المناسب.</w:t>
      </w:r>
    </w:p>
  </w:footnote>
  <w:footnote w:id="4680">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w:t>
      </w:r>
      <w:r>
        <w:rPr>
          <w:rFonts w:hint="eastAsia"/>
          <w:rtl/>
        </w:rPr>
        <w:t>«</w:t>
      </w:r>
      <w:r>
        <w:rPr>
          <w:rFonts w:hint="cs"/>
          <w:rtl/>
        </w:rPr>
        <w:t>تقع</w:t>
      </w:r>
      <w:r>
        <w:rPr>
          <w:rFonts w:hint="eastAsia"/>
          <w:rtl/>
        </w:rPr>
        <w:t>»</w:t>
      </w:r>
      <w:r>
        <w:rPr>
          <w:rFonts w:hint="cs"/>
          <w:rtl/>
        </w:rPr>
        <w:t>. وهذا الأفصح.</w:t>
      </w:r>
    </w:p>
  </w:footnote>
  <w:footnote w:id="4681">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و(هـ) و(و). ولا يستقيم المعنى بدونها، كما أنها مثبتة في (العناية).</w:t>
      </w:r>
    </w:p>
  </w:footnote>
  <w:footnote w:id="4682">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أنه</w:t>
      </w:r>
      <w:r>
        <w:rPr>
          <w:rFonts w:hint="eastAsia"/>
          <w:rtl/>
        </w:rPr>
        <w:t>»</w:t>
      </w:r>
      <w:r>
        <w:rPr>
          <w:rFonts w:hint="cs"/>
          <w:rtl/>
        </w:rPr>
        <w:t>. والمناسب ما تمَّ إثباته من باقي النسخ.</w:t>
      </w:r>
    </w:p>
  </w:footnote>
  <w:footnote w:id="4683">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النهاية</w:t>
      </w:r>
      <w:r>
        <w:rPr>
          <w:rFonts w:hint="eastAsia"/>
          <w:rtl/>
        </w:rPr>
        <w:t>»</w:t>
      </w:r>
      <w:r>
        <w:rPr>
          <w:rFonts w:hint="cs"/>
          <w:rtl/>
        </w:rPr>
        <w:t>.</w:t>
      </w:r>
    </w:p>
  </w:footnote>
  <w:footnote w:id="468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جميع ما جاء في شرح القاعدة مستفاد من العناية، 3/457-460. علمًا بأن مثال القاعدة سبق أن ذكره المؤلف، ص473 (ل28/أ)، قاعدة 67، وقد تمَّ توثيقه مفصّلاً هناك.</w:t>
      </w:r>
    </w:p>
  </w:footnote>
  <w:footnote w:id="4685">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الحنفي وقواعده : </w:t>
      </w:r>
    </w:p>
    <w:p w:rsidR="00035BE3" w:rsidRDefault="00035BE3" w:rsidP="003D5367">
      <w:pPr>
        <w:pStyle w:val="a6"/>
        <w:spacing w:line="500" w:lineRule="exact"/>
        <w:ind w:left="422" w:firstLine="0"/>
        <w:rPr>
          <w:b/>
          <w:bCs/>
          <w:rtl/>
        </w:rPr>
      </w:pPr>
      <w:r>
        <w:rPr>
          <w:rFonts w:hint="cs"/>
          <w:b/>
          <w:bCs/>
          <w:rtl/>
        </w:rPr>
        <w:t>فمن كتب القواعد :</w:t>
      </w:r>
    </w:p>
    <w:p w:rsidR="00035BE3" w:rsidRDefault="00035BE3" w:rsidP="003D5367">
      <w:pPr>
        <w:pStyle w:val="a6"/>
        <w:spacing w:line="500" w:lineRule="exact"/>
        <w:ind w:left="422" w:firstLine="0"/>
        <w:rPr>
          <w:rtl/>
        </w:rPr>
      </w:pPr>
      <w:r>
        <w:rPr>
          <w:rFonts w:hint="cs"/>
          <w:rtl/>
        </w:rPr>
        <w:t xml:space="preserve">مجامع الحقائق (الخاتمة)، ص47؛ شرح العلائي لقواعد الخادمي، ل37/أ؛ منافع الدقائق، ص332؛ مجلة الأحكام العدلية، مادة 921؛ شرحها لسليم رستم، 1/512؛ ولعلي حيدر، 8/544؛ وللأتاسي، 3/463؛- ولفظ المجلة وما بعدها : </w:t>
      </w:r>
      <w:r>
        <w:rPr>
          <w:rFonts w:hint="eastAsia"/>
          <w:rtl/>
        </w:rPr>
        <w:t>«</w:t>
      </w:r>
      <w:r>
        <w:rPr>
          <w:rFonts w:hint="cs"/>
          <w:rtl/>
        </w:rPr>
        <w:t>ليس للمظلوم أن يظلم آخر بما أنه ظُلم</w:t>
      </w:r>
      <w:r>
        <w:rPr>
          <w:rFonts w:hint="eastAsia"/>
          <w:rtl/>
        </w:rPr>
        <w:t>»</w:t>
      </w:r>
      <w:r>
        <w:rPr>
          <w:rFonts w:hint="cs"/>
          <w:rtl/>
        </w:rPr>
        <w:t xml:space="preserve">-؛ قواعد الفقه للمجدّدي، ص124، قاعدة 332، وأحالها إلى شرح السير، 4/222 - ولفظه: </w:t>
      </w:r>
      <w:r>
        <w:rPr>
          <w:rFonts w:hint="eastAsia"/>
          <w:rtl/>
        </w:rPr>
        <w:t>«</w:t>
      </w:r>
      <w:r>
        <w:rPr>
          <w:rFonts w:hint="cs"/>
          <w:rtl/>
        </w:rPr>
        <w:t>المظلوم له أن يدفع الظلم عن نفسه بما قدر عليه، لكن ليس له أن يظلم غيره</w:t>
      </w:r>
      <w:r>
        <w:rPr>
          <w:rFonts w:hint="eastAsia"/>
          <w:rtl/>
        </w:rPr>
        <w:t>»</w:t>
      </w:r>
      <w:r>
        <w:rPr>
          <w:rFonts w:hint="cs"/>
          <w:rtl/>
        </w:rPr>
        <w:t>-.</w:t>
      </w:r>
    </w:p>
    <w:p w:rsidR="00035BE3" w:rsidRDefault="00035BE3" w:rsidP="003D5367">
      <w:pPr>
        <w:pStyle w:val="a6"/>
        <w:spacing w:line="500" w:lineRule="exact"/>
        <w:ind w:left="422" w:firstLine="0"/>
        <w:rPr>
          <w:b/>
          <w:bCs/>
          <w:rtl/>
        </w:rPr>
      </w:pPr>
      <w:r>
        <w:rPr>
          <w:rFonts w:hint="cs"/>
          <w:b/>
          <w:bCs/>
          <w:rtl/>
        </w:rPr>
        <w:t>ومن كتب الفقه :</w:t>
      </w:r>
    </w:p>
    <w:p w:rsidR="00035BE3" w:rsidRDefault="00035BE3" w:rsidP="003D5367">
      <w:pPr>
        <w:pStyle w:val="a6"/>
        <w:spacing w:line="500" w:lineRule="exact"/>
        <w:ind w:left="422" w:firstLine="0"/>
        <w:rPr>
          <w:rtl/>
        </w:rPr>
      </w:pPr>
      <w:r>
        <w:rPr>
          <w:rFonts w:hint="cs"/>
          <w:rtl/>
        </w:rPr>
        <w:t>المبسوط، 20/115؛ الهداية والعناية وفتح القدير أو نتائج الأفكار، 6/131، 7/216، 8/126، 403؛ الدّرر شرح الغرر، 2/292؛ البحر الرائق، 7/183؛ قرة عيون الأخيار، 11/436، 497؛ الإمام زفر وآراؤه الفقهية، 2/189.</w:t>
      </w:r>
    </w:p>
  </w:footnote>
  <w:footnote w:id="4686">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وهو المديون.</w:t>
      </w:r>
    </w:p>
  </w:footnote>
  <w:footnote w:id="4687">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وكيل الدائن.</w:t>
      </w:r>
    </w:p>
    <w:p w:rsidR="00035BE3" w:rsidRDefault="00035BE3" w:rsidP="003D5367">
      <w:pPr>
        <w:pStyle w:val="a6"/>
        <w:spacing w:line="500" w:lineRule="exact"/>
        <w:ind w:left="422" w:firstLine="0"/>
        <w:rPr>
          <w:rtl/>
        </w:rPr>
      </w:pPr>
      <w:r>
        <w:rPr>
          <w:rFonts w:hint="cs"/>
          <w:rtl/>
        </w:rPr>
        <w:t>وهذه الكلمة تمثل نهاية 58/ب من (د).</w:t>
      </w:r>
    </w:p>
  </w:footnote>
  <w:footnote w:id="4688">
    <w:p w:rsidR="00035BE3" w:rsidRDefault="00035BE3" w:rsidP="003D5367">
      <w:pPr>
        <w:pStyle w:val="a8"/>
        <w:bidi/>
        <w:spacing w:line="50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و(د): </w:t>
      </w:r>
      <w:r>
        <w:rPr>
          <w:rFonts w:hint="eastAsia"/>
          <w:spacing w:val="6"/>
          <w:rtl/>
        </w:rPr>
        <w:t>«</w:t>
      </w:r>
      <w:r>
        <w:rPr>
          <w:rFonts w:hint="cs"/>
          <w:spacing w:val="6"/>
          <w:rtl/>
        </w:rPr>
        <w:t>إذا</w:t>
      </w:r>
      <w:r>
        <w:rPr>
          <w:rFonts w:hint="eastAsia"/>
          <w:spacing w:val="6"/>
          <w:rtl/>
        </w:rPr>
        <w:t>»</w:t>
      </w:r>
      <w:r>
        <w:rPr>
          <w:rFonts w:hint="cs"/>
          <w:spacing w:val="6"/>
          <w:rtl/>
        </w:rPr>
        <w:t xml:space="preserve">. والصحيح ما تمَّ إثباته من (ب)، وهو الموافق لأحد المصادر (وهو الدرر)، حيث جاء فيه وفي الغرر : </w:t>
      </w:r>
      <w:r>
        <w:rPr>
          <w:rFonts w:hint="eastAsia"/>
          <w:spacing w:val="6"/>
          <w:rtl/>
        </w:rPr>
        <w:t>«</w:t>
      </w:r>
      <w:r>
        <w:rPr>
          <w:rFonts w:hint="cs"/>
          <w:spacing w:val="6"/>
          <w:rtl/>
        </w:rPr>
        <w:t>وإن (كذبه الغائب دفع) أي المصدّق (إليه) أي الغائب (ثانيًا)؛ إذْ لم يثبت الاستيفاء ...</w:t>
      </w:r>
      <w:r>
        <w:rPr>
          <w:rFonts w:hint="eastAsia"/>
          <w:spacing w:val="6"/>
          <w:rtl/>
        </w:rPr>
        <w:t>»</w:t>
      </w:r>
      <w:r>
        <w:rPr>
          <w:rFonts w:hint="cs"/>
          <w:spacing w:val="6"/>
          <w:rtl/>
        </w:rPr>
        <w:t>.</w:t>
      </w:r>
    </w:p>
  </w:footnote>
  <w:footnote w:id="4689">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اعترض</w:t>
      </w:r>
      <w:r>
        <w:rPr>
          <w:rFonts w:hint="eastAsia"/>
          <w:rtl/>
        </w:rPr>
        <w:t>»</w:t>
      </w:r>
      <w:r>
        <w:rPr>
          <w:rFonts w:hint="cs"/>
          <w:rtl/>
        </w:rPr>
        <w:t>.</w:t>
      </w:r>
    </w:p>
  </w:footnote>
  <w:footnote w:id="469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عنه</w:t>
      </w:r>
      <w:r>
        <w:rPr>
          <w:rFonts w:hint="eastAsia"/>
          <w:rtl/>
        </w:rPr>
        <w:t>»</w:t>
      </w:r>
      <w:r>
        <w:rPr>
          <w:rFonts w:hint="cs"/>
          <w:rtl/>
        </w:rPr>
        <w:t>. والمناسب ما تمَّ إثباته من (ب).</w:t>
      </w:r>
    </w:p>
  </w:footnote>
  <w:footnote w:id="469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ظلم</w:t>
      </w:r>
      <w:r>
        <w:rPr>
          <w:rFonts w:hint="eastAsia"/>
          <w:rtl/>
        </w:rPr>
        <w:t>»</w:t>
      </w:r>
      <w:r>
        <w:rPr>
          <w:rFonts w:hint="cs"/>
          <w:rtl/>
        </w:rPr>
        <w:t xml:space="preserve"> : ساقطة من (ب).</w:t>
      </w:r>
    </w:p>
  </w:footnote>
  <w:footnote w:id="469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2/292؛ وانظر : الهداية والعناية ونتائج الأفكار، 8/125؛ الكنز والبحر الرائق، 7/183؛ الدر المختار وقرة عيون الأخيار، 11/496.</w:t>
      </w:r>
    </w:p>
  </w:footnote>
  <w:footnote w:id="469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الأصيل</w:t>
      </w:r>
      <w:r>
        <w:rPr>
          <w:rFonts w:hint="eastAsia"/>
          <w:rtl/>
        </w:rPr>
        <w:t>»</w:t>
      </w:r>
      <w:r>
        <w:rPr>
          <w:rFonts w:hint="cs"/>
          <w:rtl/>
        </w:rPr>
        <w:t>.</w:t>
      </w:r>
    </w:p>
  </w:footnote>
  <w:footnote w:id="469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71/ب من (د).</w:t>
      </w:r>
    </w:p>
  </w:footnote>
  <w:footnote w:id="4695">
    <w:p w:rsidR="00035BE3" w:rsidRDefault="00035BE3" w:rsidP="003D5367">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حيث سبق هذا الاعتراض وجوابه، ص577-578 (ل40/ب)، قـاعدة 94، فما قيل في توثيقهما هناك يُقال هنا.</w:t>
      </w:r>
    </w:p>
  </w:footnote>
  <w:footnote w:id="469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لا يدخل</w:t>
      </w:r>
      <w:r>
        <w:rPr>
          <w:rFonts w:hint="eastAsia"/>
          <w:rtl/>
        </w:rPr>
        <w:t>»</w:t>
      </w:r>
      <w:r>
        <w:rPr>
          <w:rFonts w:hint="cs"/>
          <w:rtl/>
        </w:rPr>
        <w:t>.</w:t>
      </w:r>
    </w:p>
  </w:footnote>
  <w:footnote w:id="469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97/أ من (أ).</w:t>
      </w:r>
    </w:p>
  </w:footnote>
  <w:footnote w:id="469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w:t>
      </w:r>
      <w:r>
        <w:rPr>
          <w:rFonts w:hint="eastAsia"/>
          <w:rtl/>
        </w:rPr>
        <w:t>»</w:t>
      </w:r>
      <w:r>
        <w:rPr>
          <w:rFonts w:hint="cs"/>
          <w:rtl/>
        </w:rPr>
        <w:t xml:space="preserve"> : ساقطة من (د).</w:t>
      </w:r>
    </w:p>
  </w:footnote>
  <w:footnote w:id="469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Default="00035BE3" w:rsidP="003D5367">
      <w:pPr>
        <w:pStyle w:val="a6"/>
        <w:ind w:left="422" w:hanging="454"/>
        <w:rPr>
          <w:rtl/>
        </w:rPr>
      </w:pPr>
      <w:r>
        <w:rPr>
          <w:rFonts w:hint="cs"/>
          <w:rtl/>
        </w:rPr>
        <w:tab/>
        <w:t>ممّا ورد في هذه القاعدة لفظا (المعرفة) و(النكرة)، وهما من المصطلحات النحوية المشهورة وقد بيّن ابن مالك معناهما نظمًا فقال :</w:t>
      </w:r>
    </w:p>
    <w:p w:rsidR="00035BE3" w:rsidRDefault="00035BE3" w:rsidP="003D5367">
      <w:pPr>
        <w:pStyle w:val="a6"/>
        <w:ind w:left="422" w:hanging="454"/>
        <w:jc w:val="center"/>
        <w:rPr>
          <w:b/>
          <w:bCs/>
          <w:rtl/>
        </w:rPr>
      </w:pPr>
      <w:r>
        <w:rPr>
          <w:rFonts w:hint="cs"/>
          <w:b/>
          <w:bCs/>
          <w:rtl/>
        </w:rPr>
        <w:t xml:space="preserve">      نـــكـــرة : قــابــلُ ألْ ، مؤثِّرًا      أوْ واقــــعٌ مـوقـعَ ما قـد ذُكـرا</w:t>
      </w:r>
    </w:p>
    <w:p w:rsidR="00035BE3" w:rsidRDefault="00035BE3" w:rsidP="003D5367">
      <w:pPr>
        <w:pStyle w:val="a6"/>
        <w:ind w:left="422" w:hanging="454"/>
        <w:jc w:val="center"/>
        <w:rPr>
          <w:rtl/>
        </w:rPr>
      </w:pPr>
      <w:r>
        <w:rPr>
          <w:rFonts w:hint="cs"/>
          <w:b/>
          <w:bCs/>
          <w:rtl/>
        </w:rPr>
        <w:t xml:space="preserve">     وغـيــرُهُ مــعـرفــةٌ : كَـهُمْ، وذي     وهنـد ، وابــني ، والغـلامِ ، والـذي</w:t>
      </w:r>
    </w:p>
    <w:p w:rsidR="00035BE3" w:rsidRDefault="00035BE3" w:rsidP="003D5367">
      <w:pPr>
        <w:pStyle w:val="a6"/>
        <w:spacing w:line="264" w:lineRule="auto"/>
        <w:ind w:left="422" w:firstLine="0"/>
        <w:rPr>
          <w:rtl/>
        </w:rPr>
      </w:pPr>
      <w:r>
        <w:rPr>
          <w:rFonts w:hint="cs"/>
          <w:rtl/>
        </w:rPr>
        <w:t>فيلحظ أنه بيّن معنى النكرة، ثم ذكر أنّ المعرفة ما سوى ما يصدق عليه حدّ النكرة، ثم أشار إلى أقسام المعرفة الستة بالتمثيل لكل قسم بمثال.</w:t>
      </w:r>
    </w:p>
    <w:p w:rsidR="00035BE3" w:rsidRDefault="00035BE3" w:rsidP="003D5367">
      <w:pPr>
        <w:pStyle w:val="a6"/>
        <w:spacing w:line="264" w:lineRule="auto"/>
        <w:ind w:left="422" w:firstLine="0"/>
        <w:rPr>
          <w:rtl/>
        </w:rPr>
      </w:pPr>
      <w:r>
        <w:rPr>
          <w:rFonts w:hint="cs"/>
          <w:rtl/>
        </w:rPr>
        <w:t>هذا معناهما عند النحاة، إلاّ أن هذا المعنى بهذا التفصيل والتقسيم ليس مرادًا في القاعدة، إنما المراد بهما معنى آخر أجمله الكاساني وفصّله ابن عابدين :</w:t>
      </w:r>
    </w:p>
    <w:p w:rsidR="00035BE3" w:rsidRDefault="00035BE3" w:rsidP="003D5367">
      <w:pPr>
        <w:pStyle w:val="a6"/>
        <w:spacing w:line="264" w:lineRule="auto"/>
        <w:ind w:left="-32" w:firstLine="454"/>
        <w:rPr>
          <w:rtl/>
        </w:rPr>
      </w:pPr>
      <w:r>
        <w:rPr>
          <w:rtl/>
        </w:rPr>
        <w:t>•</w:t>
      </w:r>
      <w:r>
        <w:rPr>
          <w:rFonts w:hint="cs"/>
          <w:rtl/>
        </w:rPr>
        <w:t xml:space="preserve"> إذْ يقول الكاساني :</w:t>
      </w:r>
    </w:p>
    <w:p w:rsidR="00035BE3" w:rsidRDefault="00035BE3" w:rsidP="003D5367">
      <w:pPr>
        <w:pStyle w:val="a6"/>
        <w:spacing w:line="264" w:lineRule="auto"/>
        <w:ind w:left="422" w:firstLine="0"/>
        <w:rPr>
          <w:rtl/>
        </w:rPr>
      </w:pPr>
      <w:r>
        <w:rPr>
          <w:rFonts w:hint="eastAsia"/>
          <w:rtl/>
        </w:rPr>
        <w:t>«</w:t>
      </w:r>
      <w:r>
        <w:rPr>
          <w:rFonts w:hint="cs"/>
          <w:b/>
          <w:bCs/>
          <w:rtl/>
        </w:rPr>
        <w:t>المعرفة</w:t>
      </w:r>
      <w:r>
        <w:rPr>
          <w:rFonts w:hint="cs"/>
          <w:rtl/>
        </w:rPr>
        <w:t xml:space="preserve"> : ما يكون متميّز الذات من بني جنسه.</w:t>
      </w:r>
    </w:p>
    <w:p w:rsidR="00035BE3" w:rsidRDefault="00035BE3" w:rsidP="003D5367">
      <w:pPr>
        <w:pStyle w:val="a6"/>
        <w:spacing w:line="264" w:lineRule="auto"/>
        <w:ind w:left="422" w:firstLine="0"/>
        <w:rPr>
          <w:spacing w:val="-6"/>
          <w:rtl/>
        </w:rPr>
      </w:pPr>
      <w:r>
        <w:rPr>
          <w:rFonts w:hint="cs"/>
          <w:b/>
          <w:bCs/>
          <w:spacing w:val="-6"/>
          <w:rtl/>
        </w:rPr>
        <w:t>والنكرة</w:t>
      </w:r>
      <w:r>
        <w:rPr>
          <w:rFonts w:hint="cs"/>
          <w:spacing w:val="-6"/>
          <w:rtl/>
        </w:rPr>
        <w:t xml:space="preserve"> : ما لا يكون متميّز الذات عن بني جنسه؛ بل يكون مسمّاه شائعًا في جنسه أو نوعه</w:t>
      </w:r>
      <w:r>
        <w:rPr>
          <w:rFonts w:hint="eastAsia"/>
          <w:spacing w:val="-6"/>
          <w:rtl/>
        </w:rPr>
        <w:t>»</w:t>
      </w:r>
      <w:r>
        <w:rPr>
          <w:rFonts w:hint="cs"/>
          <w:spacing w:val="-6"/>
          <w:rtl/>
        </w:rPr>
        <w:t>.</w:t>
      </w:r>
    </w:p>
    <w:p w:rsidR="00035BE3" w:rsidRDefault="00035BE3" w:rsidP="003D5367">
      <w:pPr>
        <w:pStyle w:val="a6"/>
        <w:spacing w:line="264" w:lineRule="auto"/>
        <w:ind w:left="-32" w:firstLine="454"/>
        <w:rPr>
          <w:rtl/>
        </w:rPr>
      </w:pPr>
      <w:r>
        <w:rPr>
          <w:rtl/>
        </w:rPr>
        <w:t>•</w:t>
      </w:r>
      <w:r>
        <w:rPr>
          <w:rFonts w:hint="cs"/>
          <w:rtl/>
        </w:rPr>
        <w:t xml:space="preserve"> ويقول ابن عابدين :</w:t>
      </w:r>
    </w:p>
    <w:p w:rsidR="00035BE3" w:rsidRDefault="00035BE3" w:rsidP="003D5367">
      <w:pPr>
        <w:pStyle w:val="a6"/>
        <w:spacing w:line="264" w:lineRule="auto"/>
        <w:ind w:left="422" w:firstLine="0"/>
        <w:rPr>
          <w:rtl/>
        </w:rPr>
      </w:pPr>
      <w:r>
        <w:rPr>
          <w:rFonts w:hint="eastAsia"/>
          <w:rtl/>
        </w:rPr>
        <w:t>«</w:t>
      </w:r>
      <w:r>
        <w:rPr>
          <w:rFonts w:hint="cs"/>
          <w:b/>
          <w:bCs/>
          <w:rtl/>
        </w:rPr>
        <w:t>المراد بالنكرة</w:t>
      </w:r>
      <w:r>
        <w:rPr>
          <w:rFonts w:hint="cs"/>
          <w:rtl/>
        </w:rPr>
        <w:t xml:space="preserve"> : ما يشمل المعرّف من وجه؛ كالعلم المشارك له غيره في الاسم، وكالمضاف إلى الضمير إذا كان تحته أفراد مثل : نسائي طوالق -كما يظهر-.</w:t>
      </w:r>
    </w:p>
    <w:p w:rsidR="00035BE3" w:rsidRDefault="00035BE3" w:rsidP="003D5367">
      <w:pPr>
        <w:pStyle w:val="a6"/>
        <w:spacing w:line="264" w:lineRule="auto"/>
        <w:ind w:left="422" w:firstLine="0"/>
        <w:rPr>
          <w:rtl/>
        </w:rPr>
      </w:pPr>
      <w:r>
        <w:rPr>
          <w:rFonts w:hint="cs"/>
          <w:b/>
          <w:bCs/>
          <w:rtl/>
        </w:rPr>
        <w:t>والمراد بالمعرفة</w:t>
      </w:r>
      <w:r>
        <w:rPr>
          <w:rFonts w:hint="cs"/>
          <w:rtl/>
        </w:rPr>
        <w:t xml:space="preserve"> - كما قال في (الذخيرة)-: ما كان معرَّفًا من كل وجه، وهو ما لا يشاركه غيره في ذلك؛ كالمشار إليه، كهذه الدار وهذا العبد، والمضاف إلى الضمير، كداري وعبدي. أما المعرف بالاسم كمحمد بن عبد الله، والمضاف إليه، كدار محمد بن عبد الله، فإنه يدخل تحت النكرة ...</w:t>
      </w:r>
      <w:r>
        <w:rPr>
          <w:rFonts w:hint="eastAsia"/>
          <w:rtl/>
        </w:rPr>
        <w:t>»</w:t>
      </w:r>
      <w:r>
        <w:rPr>
          <w:rFonts w:hint="cs"/>
          <w:rtl/>
        </w:rPr>
        <w:t>.</w:t>
      </w:r>
    </w:p>
    <w:p w:rsidR="00035BE3" w:rsidRDefault="00035BE3" w:rsidP="003D5367">
      <w:pPr>
        <w:pStyle w:val="a6"/>
        <w:spacing w:line="264" w:lineRule="auto"/>
        <w:ind w:left="422" w:firstLine="0"/>
        <w:rPr>
          <w:rtl/>
        </w:rPr>
      </w:pPr>
      <w:r>
        <w:rPr>
          <w:rFonts w:hint="cs"/>
          <w:rtl/>
        </w:rPr>
        <w:t>فيلحظ أنَّ معنى المعرفة هنا أضيق منه عند النحاة، بخلاف النكرة.</w:t>
      </w:r>
      <w:r>
        <w:rPr>
          <w:rFonts w:hint="cs"/>
          <w:rtl/>
        </w:rPr>
        <w:tab/>
      </w:r>
      <w:r>
        <w:rPr>
          <w:rFonts w:hint="cs"/>
          <w:rtl/>
        </w:rPr>
        <w:tab/>
      </w:r>
      <w:r>
        <w:rPr>
          <w:rFonts w:hint="cs"/>
          <w:rtl/>
        </w:rPr>
        <w:tab/>
      </w:r>
      <w:r>
        <w:rPr>
          <w:rFonts w:hint="cs"/>
          <w:rtl/>
        </w:rPr>
        <w:tab/>
        <w:t xml:space="preserve">  </w:t>
      </w:r>
    </w:p>
    <w:p w:rsidR="00035BE3" w:rsidRDefault="00035BE3" w:rsidP="003D5367">
      <w:pPr>
        <w:pStyle w:val="a6"/>
        <w:spacing w:line="500" w:lineRule="exact"/>
        <w:ind w:left="422" w:firstLine="0"/>
        <w:rPr>
          <w:rtl/>
        </w:rPr>
      </w:pPr>
      <w:r>
        <w:rPr>
          <w:rFonts w:hint="cs"/>
          <w:rtl/>
        </w:rPr>
        <w:t xml:space="preserve">وبناء على ما تقدم فإن </w:t>
      </w:r>
      <w:r>
        <w:rPr>
          <w:rFonts w:hint="cs"/>
          <w:b/>
          <w:bCs/>
          <w:rtl/>
        </w:rPr>
        <w:t>المعنى الإجمالي للقاعدة</w:t>
      </w:r>
      <w:r>
        <w:rPr>
          <w:rFonts w:hint="cs"/>
          <w:rtl/>
        </w:rPr>
        <w:t xml:space="preserve"> :</w:t>
      </w:r>
    </w:p>
    <w:p w:rsidR="00035BE3" w:rsidRDefault="00035BE3" w:rsidP="003D5367">
      <w:pPr>
        <w:pStyle w:val="a6"/>
        <w:spacing w:line="500" w:lineRule="exact"/>
        <w:ind w:left="422" w:firstLine="0"/>
        <w:rPr>
          <w:rtl/>
        </w:rPr>
      </w:pPr>
      <w:r>
        <w:rPr>
          <w:rFonts w:hint="cs"/>
          <w:rtl/>
        </w:rPr>
        <w:t>إذا ورد في جملةٍ معيّنةٍ لفظان، أحدهما : معرفة؛ بحيث تُميّز ذاته عن بني جنسه، والثاني : نكرة، بحيث لا يحصل فيه تمييز؛ بل مسمّاه شائع في جنسه أو نوعه، وكان الحكم في هذه الجملة قد تعلق بالنكرة : فإن اللفظ المعرّف المذكور في الجملة لا يدخل تحت هذه النكرة.</w:t>
      </w:r>
    </w:p>
    <w:p w:rsidR="00035BE3" w:rsidRDefault="00035BE3" w:rsidP="003D5367">
      <w:pPr>
        <w:pStyle w:val="a6"/>
        <w:spacing w:line="500" w:lineRule="exact"/>
        <w:ind w:left="422" w:firstLine="0"/>
        <w:rPr>
          <w:rtl/>
        </w:rPr>
      </w:pPr>
      <w:r>
        <w:rPr>
          <w:rFonts w:hint="cs"/>
          <w:rtl/>
        </w:rPr>
        <w:t>بخلاف ما إذا كانت المعرفة في جملة أخرى، بأن كانت في جملة الجزاء، والنكرة في جملة الشرط: فإن المعرفة حينئذ تدخل تحت النكرة.</w:t>
      </w:r>
    </w:p>
    <w:p w:rsidR="00035BE3" w:rsidRDefault="00035BE3" w:rsidP="003D5367">
      <w:pPr>
        <w:pStyle w:val="a6"/>
        <w:spacing w:line="500" w:lineRule="exact"/>
        <w:ind w:left="422" w:firstLine="0"/>
        <w:rPr>
          <w:rtl/>
        </w:rPr>
      </w:pPr>
      <w:r>
        <w:rPr>
          <w:rFonts w:hint="cs"/>
          <w:rtl/>
        </w:rPr>
        <w:t xml:space="preserve">وسبب التفريق بين الجملة الواحدة والجملتين؛ </w:t>
      </w:r>
      <w:r>
        <w:rPr>
          <w:rFonts w:hint="eastAsia"/>
          <w:rtl/>
        </w:rPr>
        <w:t>«</w:t>
      </w:r>
      <w:r>
        <w:rPr>
          <w:rFonts w:hint="cs"/>
          <w:rtl/>
        </w:rPr>
        <w:t>لأن الشيء لا يتصور أن يكون معرّفًا منكّرًا في جملة واحدة، بخلاف الجملتين؛ لأنهما كالكلامين</w:t>
      </w:r>
      <w:r>
        <w:rPr>
          <w:rFonts w:hint="eastAsia"/>
          <w:rtl/>
        </w:rPr>
        <w:t>»</w:t>
      </w:r>
      <w:r>
        <w:rPr>
          <w:rFonts w:hint="cs"/>
          <w:rtl/>
        </w:rPr>
        <w:t>- كذا في رد المحتار-.</w:t>
      </w:r>
    </w:p>
    <w:p w:rsidR="00035BE3" w:rsidRDefault="00035BE3" w:rsidP="003D5367">
      <w:pPr>
        <w:pStyle w:val="a6"/>
        <w:spacing w:line="500" w:lineRule="exact"/>
        <w:ind w:left="422" w:firstLine="0"/>
        <w:rPr>
          <w:rtl/>
        </w:rPr>
      </w:pPr>
      <w:r>
        <w:rPr>
          <w:rFonts w:hint="cs"/>
          <w:b/>
          <w:bCs/>
          <w:rtl/>
        </w:rPr>
        <w:t>ولتوثيق ما سبق</w:t>
      </w:r>
      <w:r>
        <w:rPr>
          <w:rFonts w:hint="cs"/>
          <w:rtl/>
        </w:rPr>
        <w:t xml:space="preserve"> : فإن معنى النكرة عند النحاة منقول من : ألفية ابن مالك المطبوعة مع شرحها لابن عقيل، 1/85، 86؛ وانظر : الشرح المذكور، ومعه منحة الجليل بتحقيق شرح ابن عقيل لمحمد محي الدين 1/85، 86؛ أوضح المسالك وضياء السالك، 1/95-96.</w:t>
      </w:r>
    </w:p>
    <w:p w:rsidR="00035BE3" w:rsidRDefault="00035BE3" w:rsidP="003D5367">
      <w:pPr>
        <w:pStyle w:val="a6"/>
        <w:spacing w:line="500" w:lineRule="exact"/>
        <w:ind w:left="422" w:firstLine="0"/>
        <w:rPr>
          <w:rtl/>
        </w:rPr>
      </w:pPr>
      <w:r>
        <w:rPr>
          <w:rFonts w:hint="cs"/>
          <w:rtl/>
        </w:rPr>
        <w:t>والنصّ المنقول عن الكاساني ذكره في البدائع، 3/80.</w:t>
      </w:r>
    </w:p>
    <w:p w:rsidR="00035BE3" w:rsidRDefault="00035BE3" w:rsidP="003D5367">
      <w:pPr>
        <w:pStyle w:val="a6"/>
        <w:spacing w:line="500" w:lineRule="exact"/>
        <w:ind w:left="422" w:firstLine="0"/>
        <w:rPr>
          <w:rtl/>
        </w:rPr>
      </w:pPr>
      <w:r>
        <w:rPr>
          <w:rFonts w:hint="cs"/>
          <w:rtl/>
        </w:rPr>
        <w:t>والنصّ الأول المنقول عن ابن عابدين ذكره في رد المحتار، 5/642.</w:t>
      </w:r>
    </w:p>
    <w:p w:rsidR="00035BE3" w:rsidRDefault="00035BE3" w:rsidP="003D5367">
      <w:pPr>
        <w:pStyle w:val="a6"/>
        <w:spacing w:line="500" w:lineRule="exact"/>
        <w:ind w:left="422" w:firstLine="0"/>
        <w:rPr>
          <w:rtl/>
        </w:rPr>
      </w:pPr>
      <w:r>
        <w:rPr>
          <w:rFonts w:hint="cs"/>
          <w:rtl/>
        </w:rPr>
        <w:t>والنصّ الثاني المنقول عنه في رد المحتار أيضًا، 5/644؛ وانظر معناه في : البدائع، 3/80؛ غمز عيون البصائر، 2/146، 147، 164.</w:t>
      </w:r>
    </w:p>
    <w:p w:rsidR="00035BE3" w:rsidRDefault="00035BE3" w:rsidP="003D5367">
      <w:pPr>
        <w:pStyle w:val="a6"/>
        <w:spacing w:line="500" w:lineRule="exact"/>
        <w:ind w:left="422" w:firstLine="0"/>
        <w:rPr>
          <w:b/>
          <w:bCs/>
          <w:rtl/>
        </w:rPr>
      </w:pPr>
      <w:r>
        <w:rPr>
          <w:rFonts w:hint="cs"/>
          <w:b/>
          <w:bCs/>
          <w:rtl/>
        </w:rPr>
        <w:t>أما توثيق القاعدة :</w:t>
      </w:r>
    </w:p>
    <w:p w:rsidR="00035BE3" w:rsidRDefault="00035BE3" w:rsidP="003D5367">
      <w:pPr>
        <w:pStyle w:val="a6"/>
        <w:spacing w:line="500" w:lineRule="exact"/>
        <w:ind w:left="422" w:firstLine="0"/>
        <w:rPr>
          <w:rtl/>
        </w:rPr>
      </w:pPr>
      <w:r>
        <w:rPr>
          <w:rFonts w:hint="cs"/>
          <w:rtl/>
        </w:rPr>
        <w:t>فقد وردت بنحو لفظ المؤلف أو جزء من لفظه في بعض كتب الفقه الحنفي وقواعده :</w:t>
      </w:r>
    </w:p>
    <w:p w:rsidR="00035BE3" w:rsidRDefault="00035BE3" w:rsidP="003D5367">
      <w:pPr>
        <w:pStyle w:val="a6"/>
        <w:spacing w:line="500" w:lineRule="exact"/>
        <w:ind w:left="422" w:firstLine="0"/>
        <w:rPr>
          <w:b/>
          <w:bCs/>
          <w:rtl/>
        </w:rPr>
      </w:pPr>
      <w:r>
        <w:rPr>
          <w:rFonts w:hint="cs"/>
          <w:b/>
          <w:bCs/>
          <w:rtl/>
        </w:rPr>
        <w:t>فمن كتب القواعد :</w:t>
      </w:r>
    </w:p>
    <w:p w:rsidR="00035BE3" w:rsidRDefault="00035BE3" w:rsidP="003D5367">
      <w:pPr>
        <w:pStyle w:val="a6"/>
        <w:spacing w:line="500" w:lineRule="exact"/>
        <w:ind w:left="422" w:firstLine="0"/>
        <w:rPr>
          <w:spacing w:val="8"/>
          <w:rtl/>
        </w:rPr>
      </w:pPr>
      <w:r>
        <w:rPr>
          <w:rFonts w:hint="cs"/>
          <w:spacing w:val="8"/>
          <w:rtl/>
        </w:rPr>
        <w:t xml:space="preserve">الأشباه لابن نجيم، ص211، 213؛ قواعد الفقه له أيضًا، ص157، قاعدة 187- ولفظه الأول في الأشباه ولفظ القواعد : </w:t>
      </w:r>
      <w:r>
        <w:rPr>
          <w:rFonts w:hint="eastAsia"/>
          <w:spacing w:val="8"/>
          <w:rtl/>
        </w:rPr>
        <w:t>«</w:t>
      </w:r>
      <w:r>
        <w:rPr>
          <w:rFonts w:hint="cs"/>
          <w:spacing w:val="8"/>
          <w:rtl/>
        </w:rPr>
        <w:t>المعرفة لا تدخل تحت النكرة، إلا المعرفة في الجزاء. كذا في أيمان (الظهيرية)</w:t>
      </w:r>
      <w:r>
        <w:rPr>
          <w:rFonts w:hint="eastAsia"/>
          <w:spacing w:val="8"/>
          <w:rtl/>
        </w:rPr>
        <w:t>»</w:t>
      </w:r>
      <w:r>
        <w:rPr>
          <w:rFonts w:hint="cs"/>
          <w:spacing w:val="8"/>
          <w:rtl/>
        </w:rPr>
        <w:t>-؛ غمز عيون البصائر، 2/146؛ قواعد الفقه للمجدّدي، ص125، قاعدة 333 -ولفظه كلفظ ابن نجيم-.</w:t>
      </w:r>
    </w:p>
    <w:p w:rsidR="00035BE3" w:rsidRDefault="00035BE3" w:rsidP="003D5367">
      <w:pPr>
        <w:pStyle w:val="a6"/>
        <w:spacing w:line="500" w:lineRule="exact"/>
        <w:ind w:left="422" w:firstLine="0"/>
        <w:rPr>
          <w:b/>
          <w:bCs/>
          <w:rtl/>
        </w:rPr>
      </w:pPr>
      <w:r>
        <w:rPr>
          <w:rFonts w:hint="cs"/>
          <w:b/>
          <w:bCs/>
          <w:rtl/>
        </w:rPr>
        <w:t>ومن كتب الفقه :</w:t>
      </w:r>
    </w:p>
    <w:p w:rsidR="00035BE3" w:rsidRDefault="00035BE3" w:rsidP="003D5367">
      <w:pPr>
        <w:pStyle w:val="a6"/>
        <w:spacing w:line="500" w:lineRule="exact"/>
        <w:ind w:left="422" w:firstLine="0"/>
        <w:rPr>
          <w:rtl/>
        </w:rPr>
      </w:pPr>
      <w:r>
        <w:rPr>
          <w:rFonts w:hint="cs"/>
          <w:rtl/>
        </w:rPr>
        <w:t>بدائع الصنائع، 3/80؛ الفتاوى الظهيرية، ل140/أ؛ البحر الرائق، 3/146؛ 4/331، 385؛ الدر المختار ورد المحتار، 5/642، 643.</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footnote>
  <w:footnote w:id="470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أدخل</w:t>
      </w:r>
      <w:r>
        <w:rPr>
          <w:rFonts w:hint="eastAsia"/>
          <w:rtl/>
        </w:rPr>
        <w:t>»</w:t>
      </w:r>
      <w:r>
        <w:rPr>
          <w:rFonts w:hint="cs"/>
          <w:rtl/>
        </w:rPr>
        <w:t>.</w:t>
      </w:r>
    </w:p>
  </w:footnote>
  <w:footnote w:id="470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w:t>
      </w:r>
      <w:r>
        <w:rPr>
          <w:rFonts w:hint="eastAsia"/>
          <w:rtl/>
        </w:rPr>
        <w:t>»</w:t>
      </w:r>
      <w:r>
        <w:rPr>
          <w:rFonts w:hint="cs"/>
          <w:rtl/>
        </w:rPr>
        <w:t xml:space="preserve"> (بإسقاط الهمزة).</w:t>
      </w:r>
    </w:p>
  </w:footnote>
  <w:footnote w:id="470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61/ب من (ب).</w:t>
      </w:r>
    </w:p>
  </w:footnote>
  <w:footnote w:id="470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w:t>
      </w:r>
      <w:r>
        <w:rPr>
          <w:rFonts w:hint="eastAsia"/>
          <w:rtl/>
        </w:rPr>
        <w:t>«</w:t>
      </w:r>
      <w:r>
        <w:rPr>
          <w:rFonts w:hint="cs"/>
          <w:rtl/>
        </w:rPr>
        <w:t>ابن</w:t>
      </w:r>
      <w:r>
        <w:rPr>
          <w:rFonts w:hint="eastAsia"/>
          <w:rtl/>
        </w:rPr>
        <w:t>»</w:t>
      </w:r>
      <w:r>
        <w:rPr>
          <w:rFonts w:hint="cs"/>
          <w:rtl/>
        </w:rPr>
        <w:t xml:space="preserve">. والصواب ما تمَّ إثباته من (ب) و(جـ)؛ لأنه قال عقب ذلك : </w:t>
      </w:r>
      <w:r>
        <w:rPr>
          <w:rFonts w:hint="eastAsia"/>
          <w:rtl/>
        </w:rPr>
        <w:t>«</w:t>
      </w:r>
      <w:r>
        <w:rPr>
          <w:rFonts w:hint="cs"/>
          <w:rtl/>
        </w:rPr>
        <w:t>أو أضاف إلى غيره</w:t>
      </w:r>
      <w:r>
        <w:rPr>
          <w:rFonts w:hint="eastAsia"/>
          <w:rtl/>
        </w:rPr>
        <w:t>»</w:t>
      </w:r>
      <w:r>
        <w:rPr>
          <w:rFonts w:hint="cs"/>
          <w:rtl/>
        </w:rPr>
        <w:t>، ممّا يعني أن ما قبله مضاف إلى نفسه.</w:t>
      </w:r>
    </w:p>
  </w:footnote>
  <w:footnote w:id="470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ص213.</w:t>
      </w:r>
    </w:p>
  </w:footnote>
  <w:footnote w:id="470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المصادر الفقهية للقاعدة، بالإضافة  إلى أشباه ابن نجيم، ص213.</w:t>
      </w:r>
    </w:p>
  </w:footnote>
  <w:footnote w:id="470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أوما</w:t>
      </w:r>
      <w:r>
        <w:rPr>
          <w:rFonts w:hint="eastAsia"/>
          <w:rtl/>
        </w:rPr>
        <w:t>»</w:t>
      </w:r>
      <w:r>
        <w:rPr>
          <w:rFonts w:hint="cs"/>
          <w:rtl/>
        </w:rPr>
        <w:t>.</w:t>
      </w:r>
    </w:p>
  </w:footnote>
  <w:footnote w:id="470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يدخل لفظ المعرفة.</w:t>
      </w:r>
    </w:p>
  </w:footnote>
  <w:footnote w:id="470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دخلت</w:t>
      </w:r>
      <w:r>
        <w:rPr>
          <w:rFonts w:hint="eastAsia"/>
          <w:rtl/>
        </w:rPr>
        <w:t>»</w:t>
      </w:r>
      <w:r>
        <w:rPr>
          <w:rFonts w:hint="cs"/>
          <w:rtl/>
        </w:rPr>
        <w:t>.</w:t>
      </w:r>
    </w:p>
  </w:footnote>
  <w:footnote w:id="470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تحته</w:t>
      </w:r>
      <w:r>
        <w:rPr>
          <w:rFonts w:hint="eastAsia"/>
          <w:rtl/>
        </w:rPr>
        <w:t>»</w:t>
      </w:r>
      <w:r>
        <w:rPr>
          <w:rFonts w:hint="cs"/>
          <w:rtl/>
        </w:rPr>
        <w:t>. والصحيح ما تمَّ إثباته من (د).</w:t>
      </w:r>
    </w:p>
  </w:footnote>
  <w:footnote w:id="471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لعلّ هذا المثال في صدره حذف، تقديره : إن دخل الدار </w:t>
      </w:r>
      <w:r>
        <w:rPr>
          <w:rFonts w:hint="cs"/>
          <w:b/>
          <w:bCs/>
          <w:rtl/>
        </w:rPr>
        <w:t>أحد</w:t>
      </w:r>
      <w:r>
        <w:rPr>
          <w:rFonts w:hint="cs"/>
          <w:rtl/>
        </w:rPr>
        <w:t xml:space="preserve"> ...</w:t>
      </w:r>
    </w:p>
    <w:p w:rsidR="00035BE3" w:rsidRDefault="00035BE3" w:rsidP="003D5367">
      <w:pPr>
        <w:pStyle w:val="a6"/>
        <w:ind w:left="422" w:firstLine="0"/>
        <w:rPr>
          <w:rtl/>
        </w:rPr>
      </w:pPr>
      <w:r>
        <w:rPr>
          <w:rFonts w:hint="cs"/>
          <w:rtl/>
        </w:rPr>
        <w:t xml:space="preserve">وذلك باعتبار أن هذا المثال كالمثال المتقدم عليه (وهو : إن دخل دار زيد </w:t>
      </w:r>
      <w:r>
        <w:rPr>
          <w:rFonts w:hint="cs"/>
          <w:b/>
          <w:bCs/>
          <w:rtl/>
        </w:rPr>
        <w:t>أحد</w:t>
      </w:r>
      <w:r>
        <w:rPr>
          <w:rFonts w:hint="cs"/>
          <w:rtl/>
        </w:rPr>
        <w:t>)، فاستغنى المؤلف بذكر لفظ (أحد) في المثال المتقدم عن إعادتها في المثال اللاحق.</w:t>
      </w:r>
    </w:p>
    <w:p w:rsidR="00035BE3" w:rsidRDefault="00035BE3" w:rsidP="003D5367">
      <w:pPr>
        <w:pStyle w:val="a6"/>
        <w:ind w:left="422" w:firstLine="0"/>
        <w:rPr>
          <w:rtl/>
        </w:rPr>
      </w:pPr>
      <w:r>
        <w:rPr>
          <w:rFonts w:hint="cs"/>
          <w:rtl/>
        </w:rPr>
        <w:t>فيكون المعنى : فإذا قال : إن دخل الدار أحد فعبيده أحرار. وليس له عبد سوى زيد، فدخل زيد الدار : فإنه يدخل تحت النكرة (وهي أحد) ويعتق.</w:t>
      </w:r>
    </w:p>
    <w:p w:rsidR="00035BE3" w:rsidRDefault="00035BE3" w:rsidP="003D5367">
      <w:pPr>
        <w:pStyle w:val="a6"/>
        <w:ind w:left="422" w:firstLine="0"/>
        <w:rPr>
          <w:rtl/>
        </w:rPr>
      </w:pPr>
      <w:r>
        <w:rPr>
          <w:rFonts w:hint="cs"/>
          <w:rtl/>
        </w:rPr>
        <w:t xml:space="preserve">لكن قد يشكل على هذا أن لفظ (عبيده) نكرة؛ لأنه مضاف إلى ضمير وتحته أفراد، وقـد سبق- ص1052- النقل عن ابن عابدين أنّه مثّل للنكرة بـ : </w:t>
      </w:r>
      <w:r>
        <w:rPr>
          <w:rFonts w:hint="eastAsia"/>
          <w:rtl/>
        </w:rPr>
        <w:t>«</w:t>
      </w:r>
      <w:r>
        <w:rPr>
          <w:rFonts w:hint="cs"/>
          <w:rtl/>
        </w:rPr>
        <w:t>المضاف إلى الضمير إذا كان تحته أفراد، مثل نسائي طوالق</w:t>
      </w:r>
      <w:r>
        <w:rPr>
          <w:rFonts w:hint="eastAsia"/>
          <w:rtl/>
        </w:rPr>
        <w:t>»</w:t>
      </w:r>
      <w:r>
        <w:rPr>
          <w:rFonts w:hint="cs"/>
          <w:rtl/>
        </w:rPr>
        <w:t>.</w:t>
      </w:r>
    </w:p>
    <w:p w:rsidR="00035BE3" w:rsidRDefault="00035BE3" w:rsidP="003D5367">
      <w:pPr>
        <w:pStyle w:val="a6"/>
        <w:ind w:left="422" w:firstLine="0"/>
        <w:rPr>
          <w:rtl/>
        </w:rPr>
      </w:pPr>
      <w:r>
        <w:rPr>
          <w:rFonts w:hint="cs"/>
          <w:rtl/>
        </w:rPr>
        <w:t>ويمكن أن يجاب عنه بأنَّ مراد المؤلف من المعرفة : معناها اللغوي وليس المعنى المذكور، فتكون (عبيده) معرفة لا نكرة.</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3D5367">
      <w:pPr>
        <w:pStyle w:val="a6"/>
        <w:ind w:left="422" w:firstLine="0"/>
        <w:rPr>
          <w:rtl/>
        </w:rPr>
      </w:pPr>
      <w:r>
        <w:rPr>
          <w:rFonts w:hint="cs"/>
          <w:rtl/>
        </w:rPr>
        <w:t>ويمكن تلافي هذا الإشكال لو كان المثال :</w:t>
      </w:r>
    </w:p>
    <w:p w:rsidR="00035BE3" w:rsidRDefault="00035BE3" w:rsidP="003D5367">
      <w:pPr>
        <w:pStyle w:val="a6"/>
        <w:spacing w:line="500" w:lineRule="exact"/>
        <w:ind w:left="422" w:firstLine="0"/>
        <w:rPr>
          <w:spacing w:val="4"/>
          <w:rtl/>
        </w:rPr>
      </w:pPr>
      <w:r>
        <w:rPr>
          <w:rFonts w:hint="cs"/>
          <w:spacing w:val="4"/>
          <w:rtl/>
        </w:rPr>
        <w:t>إن دخل الدار أحد فعبدي حرّ. فدخل العبدُ الدارَ : فإنه يعتق؛ لأن (عبدي) معرفة؛ لأنه مفرد مضاف إلى ضمير- كما سبق ص1052- وقد وقع في حيّز الجزاء، فيدخل تحت النكرة الواقعة في حيز الشرط، وهي (أحد).</w:t>
      </w:r>
    </w:p>
    <w:p w:rsidR="00035BE3" w:rsidRDefault="00035BE3" w:rsidP="003D5367">
      <w:pPr>
        <w:pStyle w:val="a6"/>
        <w:spacing w:line="500" w:lineRule="exact"/>
        <w:ind w:left="422" w:firstLine="0"/>
        <w:rPr>
          <w:spacing w:val="6"/>
          <w:rtl/>
        </w:rPr>
      </w:pPr>
      <w:r>
        <w:rPr>
          <w:rFonts w:hint="cs"/>
          <w:spacing w:val="6"/>
          <w:rtl/>
        </w:rPr>
        <w:t xml:space="preserve">وهذا المثال منسجم مع ما جاء في غمز عيون البصائر، 2/147، حيث قال : </w:t>
      </w:r>
      <w:r>
        <w:rPr>
          <w:rFonts w:hint="eastAsia"/>
          <w:spacing w:val="6"/>
          <w:rtl/>
        </w:rPr>
        <w:t>«</w:t>
      </w:r>
      <w:r>
        <w:rPr>
          <w:rFonts w:hint="cs"/>
          <w:spacing w:val="6"/>
          <w:rtl/>
        </w:rPr>
        <w:t>قوله : إلا المعرفة في الجزاء الخ. يعني : فإنها تدخل تحت النكرة؛ كما إذا قال : إن كلّم غلامي هذا أحد فأنت طالق. فإنها وإن كانت معرفة بتاء الخطاب، لكنها وقعت في الجزاء، فلم يمتنع دخولها تحت النكرة في الشرط</w:t>
      </w:r>
      <w:r>
        <w:rPr>
          <w:rFonts w:hint="eastAsia"/>
          <w:spacing w:val="6"/>
          <w:rtl/>
        </w:rPr>
        <w:t>»</w:t>
      </w:r>
      <w:r>
        <w:rPr>
          <w:rFonts w:hint="cs"/>
          <w:spacing w:val="6"/>
          <w:rtl/>
        </w:rPr>
        <w:t>.</w:t>
      </w:r>
    </w:p>
  </w:footnote>
  <w:footnote w:id="4711">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وكذا : إذا لم يضف</w:t>
      </w:r>
      <w:r>
        <w:rPr>
          <w:rFonts w:hint="eastAsia"/>
          <w:rtl/>
        </w:rPr>
        <w:t>»</w:t>
      </w:r>
      <w:r>
        <w:rPr>
          <w:rFonts w:hint="cs"/>
          <w:rtl/>
        </w:rPr>
        <w:t xml:space="preserve"> معناه : وكذا يدخل المالك ونحوه تحت النكرة إذا لم يضف المتكلم إلى نفسه ولا إلى غيره.</w:t>
      </w:r>
    </w:p>
    <w:p w:rsidR="00035BE3" w:rsidRDefault="00035BE3" w:rsidP="003D5367">
      <w:pPr>
        <w:pStyle w:val="a6"/>
        <w:spacing w:line="500" w:lineRule="exact"/>
        <w:ind w:left="422" w:firstLine="0"/>
        <w:rPr>
          <w:spacing w:val="6"/>
          <w:rtl/>
        </w:rPr>
      </w:pPr>
      <w:r>
        <w:rPr>
          <w:rFonts w:hint="cs"/>
          <w:spacing w:val="6"/>
          <w:rtl/>
        </w:rPr>
        <w:t xml:space="preserve">أفاد ذلك الحموي في (غمز عيون البصائر) -2/166-؛ حيث جاء في الأشباه : </w:t>
      </w:r>
      <w:r>
        <w:rPr>
          <w:rFonts w:hint="eastAsia"/>
          <w:spacing w:val="6"/>
          <w:rtl/>
        </w:rPr>
        <w:t>«</w:t>
      </w:r>
      <w:r>
        <w:rPr>
          <w:rFonts w:hint="cs"/>
          <w:spacing w:val="6"/>
          <w:rtl/>
        </w:rPr>
        <w:t>ولم يُضِفْ: يدخل؛ لتنكيره...</w:t>
      </w:r>
      <w:r>
        <w:rPr>
          <w:rFonts w:hint="eastAsia"/>
          <w:spacing w:val="6"/>
          <w:rtl/>
        </w:rPr>
        <w:t>»</w:t>
      </w:r>
      <w:r>
        <w:rPr>
          <w:rFonts w:hint="cs"/>
          <w:spacing w:val="6"/>
          <w:rtl/>
        </w:rPr>
        <w:t xml:space="preserve">، فعلّق على ذلك الحموي بقوله: </w:t>
      </w:r>
      <w:r>
        <w:rPr>
          <w:rFonts w:hint="eastAsia"/>
          <w:spacing w:val="6"/>
          <w:rtl/>
        </w:rPr>
        <w:t>«</w:t>
      </w:r>
      <w:r>
        <w:rPr>
          <w:rFonts w:hint="cs"/>
          <w:spacing w:val="6"/>
          <w:rtl/>
        </w:rPr>
        <w:t>أي : إلى نفسه، ولا إلى غيره؛ بأن قال: إن دخل هذه الدار أحد، أو كلّم هذا العبد أحد. والدار والعبد له أو لغيره، فدخل الحالف الدار، أو كلّم العبد : يحنث؛ لأن المانع من الدخول تحت عموم النكرة هو التعريف، ولم يوجد، فيدخل الحالف تحت عموم النكرة؛ لأنه نكرة</w:t>
      </w:r>
      <w:r>
        <w:rPr>
          <w:rFonts w:hint="eastAsia"/>
          <w:spacing w:val="6"/>
          <w:rtl/>
        </w:rPr>
        <w:t>»</w:t>
      </w:r>
      <w:r>
        <w:rPr>
          <w:rFonts w:hint="cs"/>
          <w:spacing w:val="6"/>
          <w:rtl/>
        </w:rPr>
        <w:t>.</w:t>
      </w:r>
    </w:p>
  </w:footnote>
  <w:footnote w:id="4712">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دار</w:t>
      </w:r>
      <w:r>
        <w:rPr>
          <w:rFonts w:hint="eastAsia"/>
          <w:rtl/>
        </w:rPr>
        <w:t>»</w:t>
      </w:r>
      <w:r>
        <w:rPr>
          <w:rFonts w:hint="cs"/>
          <w:rtl/>
        </w:rPr>
        <w:t>.</w:t>
      </w:r>
    </w:p>
  </w:footnote>
  <w:footnote w:id="4713">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الألف : زيادة من (ب) و(جـ) و(د)، ولا يستقيم المعنى بدونها.</w:t>
      </w:r>
    </w:p>
  </w:footnote>
  <w:footnote w:id="4714">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لأن النكرة تدخل ...</w:t>
      </w:r>
      <w:r>
        <w:rPr>
          <w:rFonts w:hint="eastAsia"/>
          <w:rtl/>
        </w:rPr>
        <w:t>»</w:t>
      </w:r>
      <w:r>
        <w:rPr>
          <w:rFonts w:hint="cs"/>
          <w:rtl/>
        </w:rPr>
        <w:t>.</w:t>
      </w:r>
    </w:p>
    <w:p w:rsidR="00035BE3" w:rsidRDefault="00035BE3" w:rsidP="003D5367">
      <w:pPr>
        <w:pStyle w:val="a6"/>
        <w:spacing w:line="500" w:lineRule="exact"/>
        <w:ind w:left="422" w:firstLine="0"/>
        <w:rPr>
          <w:rtl/>
        </w:rPr>
      </w:pPr>
      <w:r>
        <w:rPr>
          <w:rFonts w:hint="cs"/>
          <w:rtl/>
        </w:rPr>
        <w:t>ومعنى التعليل المذكور في الأصل : أن المالك لم يُصرَّح به، فيكون نكرة؛ فنظرًا لتنكيره فإنه يدخل تحت النكرة المذكورة (وهي : أحد)، فيحنث عند الدخول.</w:t>
      </w:r>
    </w:p>
    <w:p w:rsidR="00035BE3" w:rsidRDefault="00035BE3" w:rsidP="003D5367">
      <w:pPr>
        <w:pStyle w:val="a6"/>
        <w:spacing w:line="500" w:lineRule="exact"/>
        <w:ind w:left="422" w:firstLine="0"/>
        <w:rPr>
          <w:spacing w:val="6"/>
          <w:rtl/>
        </w:rPr>
      </w:pPr>
      <w:r>
        <w:rPr>
          <w:rFonts w:hint="cs"/>
          <w:spacing w:val="6"/>
          <w:rtl/>
        </w:rPr>
        <w:t>وفي هذا إشارة إلى مفهومٍ مخالف للقاعدة، وهو : (النكرة تدخل تحت النكرة). وهذا المفهوم هو ما ورد التصريح به في نسخة (ب)، كما ورد التصريح به في بعض مصادر القاعدة، كالدّر المحتار، 5/642.</w:t>
      </w:r>
    </w:p>
  </w:footnote>
  <w:footnote w:id="471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غلامي</w:t>
      </w:r>
      <w:r>
        <w:rPr>
          <w:rFonts w:hint="eastAsia"/>
          <w:rtl/>
        </w:rPr>
        <w:t>»</w:t>
      </w:r>
      <w:r>
        <w:rPr>
          <w:rFonts w:hint="cs"/>
          <w:rtl/>
        </w:rPr>
        <w:t>. والصحيح ما تمَّ إثباته من (جـ) و(هـ) و(و).</w:t>
      </w:r>
    </w:p>
  </w:footnote>
  <w:footnote w:id="471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والنظائر لابن نجيم، ص213؛ وانظر ما يتعلق بأجزاء الإنسان المتصلة به في : بدائع الصنائع، 3/80.</w:t>
      </w:r>
    </w:p>
  </w:footnote>
  <w:footnote w:id="4717">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بهذا اللفظ في: الأشباه والنـظائر لابن نجيم، ص312؛ قواعد الفقه له أيضًا، ص232، قاعدة 320.</w:t>
      </w:r>
    </w:p>
    <w:p w:rsidR="00035BE3" w:rsidRDefault="00035BE3" w:rsidP="003D5367">
      <w:pPr>
        <w:pStyle w:val="a6"/>
        <w:ind w:left="423" w:firstLine="0"/>
        <w:rPr>
          <w:rtl/>
        </w:rPr>
      </w:pPr>
      <w:r>
        <w:rPr>
          <w:rFonts w:hint="cs"/>
          <w:rtl/>
        </w:rPr>
        <w:t xml:space="preserve">وقد سبق أن ذكر المؤلف قاعدة أخرى بمعناها، وهي : </w:t>
      </w:r>
      <w:r>
        <w:rPr>
          <w:rFonts w:hint="eastAsia"/>
          <w:rtl/>
        </w:rPr>
        <w:t>«</w:t>
      </w:r>
      <w:r>
        <w:rPr>
          <w:rFonts w:hint="cs"/>
          <w:rtl/>
        </w:rPr>
        <w:t>الثابت قطعًا أو ظاهرًا لا يؤخر لموهوم</w:t>
      </w:r>
      <w:r>
        <w:rPr>
          <w:rFonts w:hint="eastAsia"/>
          <w:rtl/>
        </w:rPr>
        <w:t>»</w:t>
      </w:r>
      <w:r>
        <w:rPr>
          <w:rFonts w:hint="cs"/>
          <w:rtl/>
        </w:rPr>
        <w:t>، وذلك ص592 (ل41/أ)، قاعدة 98. وقد تمَّ توثيقها مفصَّلة في ذلك الموضع.</w:t>
      </w:r>
    </w:p>
  </w:footnote>
  <w:footnote w:id="4718">
    <w:p w:rsidR="00035BE3" w:rsidRDefault="00035BE3" w:rsidP="003D5367">
      <w:pPr>
        <w:pStyle w:val="a8"/>
        <w:bidi/>
        <w:ind w:left="423" w:right="0"/>
        <w:rPr>
          <w:rtl/>
        </w:rPr>
      </w:pPr>
      <w:r>
        <w:rPr>
          <w:rFonts w:hint="cs"/>
          <w:vertAlign w:val="superscript"/>
          <w:rtl/>
        </w:rPr>
        <w:t>(</w:t>
      </w:r>
      <w:r>
        <w:rPr>
          <w:rStyle w:val="a7"/>
          <w:spacing w:val="10"/>
        </w:rPr>
        <w:footnoteRef/>
      </w:r>
      <w:r>
        <w:rPr>
          <w:rFonts w:hint="cs"/>
          <w:vertAlign w:val="superscript"/>
          <w:rtl/>
        </w:rPr>
        <w:t>)</w:t>
      </w:r>
      <w:r>
        <w:rPr>
          <w:rFonts w:hint="cs"/>
          <w:rtl/>
        </w:rPr>
        <w:t xml:space="preserve">  هذه الكلمة وردت بلفظ: </w:t>
      </w:r>
      <w:r>
        <w:rPr>
          <w:rFonts w:hint="eastAsia"/>
          <w:rtl/>
        </w:rPr>
        <w:t>«</w:t>
      </w:r>
      <w:r>
        <w:rPr>
          <w:rFonts w:hint="cs"/>
          <w:rtl/>
        </w:rPr>
        <w:t>عيني</w:t>
      </w:r>
      <w:r>
        <w:rPr>
          <w:rFonts w:hint="eastAsia"/>
          <w:rtl/>
        </w:rPr>
        <w:t>»</w:t>
      </w:r>
      <w:r>
        <w:rPr>
          <w:rFonts w:hint="cs"/>
          <w:rtl/>
        </w:rPr>
        <w:t xml:space="preserve"> في أشباه ابن نجيم، وكذلك مع شرحـه: غمز عـيون البصـائر، 3/180، كما وردت في قواعد ابن نجيم باللفظ المثبت من جميع النسخ. وكلا اللفظين يؤديان المعنى المطلوب، إلا أن المثبت هو الأولى؛ لأن (اليمين) هي التي يناسبها فعل القطع وليست (العين).</w:t>
      </w:r>
    </w:p>
  </w:footnote>
  <w:footnote w:id="4719">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الرجلين</w:t>
      </w:r>
      <w:r>
        <w:rPr>
          <w:rFonts w:hint="eastAsia"/>
          <w:rtl/>
        </w:rPr>
        <w:t>»</w:t>
      </w:r>
      <w:r>
        <w:rPr>
          <w:rFonts w:hint="cs"/>
          <w:rtl/>
        </w:rPr>
        <w:t>.</w:t>
      </w:r>
    </w:p>
  </w:footnote>
  <w:footnote w:id="4720">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له</w:t>
      </w:r>
      <w:r>
        <w:rPr>
          <w:rFonts w:hint="eastAsia"/>
          <w:rtl/>
        </w:rPr>
        <w:t>»</w:t>
      </w:r>
      <w:r>
        <w:rPr>
          <w:rFonts w:hint="cs"/>
          <w:rtl/>
        </w:rPr>
        <w:t xml:space="preserve"> : ساقطة من (ب).</w:t>
      </w:r>
    </w:p>
  </w:footnote>
  <w:footnote w:id="4721">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(أ) و(ب): </w:t>
      </w:r>
      <w:r>
        <w:rPr>
          <w:rFonts w:hint="eastAsia"/>
          <w:rtl/>
        </w:rPr>
        <w:t>«</w:t>
      </w:r>
      <w:r>
        <w:rPr>
          <w:rFonts w:hint="cs"/>
          <w:rtl/>
        </w:rPr>
        <w:t>كلهما</w:t>
      </w:r>
      <w:r>
        <w:rPr>
          <w:rFonts w:hint="eastAsia"/>
          <w:rtl/>
        </w:rPr>
        <w:t>»</w:t>
      </w:r>
      <w:r>
        <w:rPr>
          <w:rFonts w:hint="cs"/>
          <w:rtl/>
        </w:rPr>
        <w:t xml:space="preserve">، وفي (د) : </w:t>
      </w:r>
      <w:r>
        <w:rPr>
          <w:rFonts w:hint="eastAsia"/>
          <w:rtl/>
        </w:rPr>
        <w:t>«</w:t>
      </w:r>
      <w:r>
        <w:rPr>
          <w:rFonts w:hint="cs"/>
          <w:rtl/>
        </w:rPr>
        <w:t>كلاهما</w:t>
      </w:r>
      <w:r>
        <w:rPr>
          <w:rFonts w:hint="eastAsia"/>
          <w:rtl/>
        </w:rPr>
        <w:t>»</w:t>
      </w:r>
      <w:r>
        <w:rPr>
          <w:rFonts w:hint="cs"/>
          <w:rtl/>
        </w:rPr>
        <w:t>. والصحيح ما تمَّ إثباته من (جـ) و(هـ) و(و)، وهو الموافق لأشباه ابن نجيم وقواعده.</w:t>
      </w:r>
    </w:p>
  </w:footnote>
  <w:footnote w:id="4722">
    <w:p w:rsidR="00035BE3" w:rsidRDefault="00035BE3" w:rsidP="003D5367">
      <w:pPr>
        <w:pStyle w:val="a8"/>
        <w:bidi/>
        <w:ind w:left="423" w:right="0"/>
        <w:rPr>
          <w:spacing w:val="12"/>
          <w:rtl/>
        </w:rPr>
      </w:pPr>
      <w:r>
        <w:rPr>
          <w:rFonts w:hint="cs"/>
          <w:spacing w:val="12"/>
          <w:vertAlign w:val="superscript"/>
          <w:rtl/>
        </w:rPr>
        <w:t>(</w:t>
      </w:r>
      <w:r>
        <w:rPr>
          <w:rStyle w:val="a7"/>
          <w:spacing w:val="12"/>
        </w:rPr>
        <w:footnoteRef/>
      </w:r>
      <w:r>
        <w:rPr>
          <w:rFonts w:hint="cs"/>
          <w:spacing w:val="12"/>
          <w:vertAlign w:val="superscript"/>
          <w:rtl/>
        </w:rPr>
        <w:t>)</w:t>
      </w:r>
      <w:r>
        <w:rPr>
          <w:rFonts w:hint="cs"/>
          <w:spacing w:val="12"/>
          <w:rtl/>
        </w:rPr>
        <w:t xml:space="preserve">  قواعد الفقه لابن نجيم، ص232؛ ويضاف إليه أشباهه، ص312- مع الاختلاف الذي سبق بيانه-. علمًا بأن ابن نجيم في كتابيه أحال المثال إلى : جنايات (شرح المجمع)، وقد عزاه محقّق القواعد إلى شرح مجمع البحرين وملتقى النهرين، ل214.</w:t>
      </w:r>
    </w:p>
  </w:footnote>
  <w:footnote w:id="4723">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أي : مُتوهّم حصولها.</w:t>
      </w:r>
    </w:p>
  </w:footnote>
  <w:footnote w:id="4724">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4"/>
          <w:sz w:val="28"/>
          <w:rtl/>
        </w:rPr>
        <w:t xml:space="preserve">في (أ) و(جـ) و(د) : </w:t>
      </w:r>
      <w:r>
        <w:rPr>
          <w:rFonts w:hint="eastAsia"/>
          <w:spacing w:val="-4"/>
          <w:sz w:val="28"/>
          <w:rtl/>
        </w:rPr>
        <w:t>«</w:t>
      </w:r>
      <w:r>
        <w:rPr>
          <w:rFonts w:hint="cs"/>
          <w:spacing w:val="-4"/>
          <w:sz w:val="28"/>
          <w:rtl/>
        </w:rPr>
        <w:t>بتوقع</w:t>
      </w:r>
      <w:r>
        <w:rPr>
          <w:rFonts w:hint="eastAsia"/>
          <w:spacing w:val="-4"/>
          <w:sz w:val="28"/>
          <w:rtl/>
        </w:rPr>
        <w:t>»</w:t>
      </w:r>
      <w:r>
        <w:rPr>
          <w:rFonts w:hint="cs"/>
          <w:spacing w:val="-4"/>
          <w:sz w:val="28"/>
          <w:rtl/>
        </w:rPr>
        <w:t>. والصحيح ما تمّ إثباته من (ب)؛ وفاقًا لنص هذه القاعدة التي سبق الحديث عنها.</w:t>
      </w:r>
    </w:p>
  </w:footnote>
  <w:footnote w:id="4725">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سبق الحديث عنها استقلالاً، ص597 (ل41/ب)، قاعدة 99.</w:t>
      </w:r>
    </w:p>
  </w:footnote>
  <w:footnote w:id="4726">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97/ب من (أ).</w:t>
      </w:r>
    </w:p>
  </w:footnote>
  <w:footnote w:id="4727">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59/أ من (د).</w:t>
      </w:r>
    </w:p>
  </w:footnote>
  <w:footnote w:id="4728">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ص599 (ل42/أ).</w:t>
      </w:r>
    </w:p>
  </w:footnote>
  <w:footnote w:id="4729">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بمنطوقها في بعض كتب القواعد والأصول، كما وردت بمفهومها المخالف في كثير من كتب القواعد، وأيضًا بهما أو أحدهما في كثير من كتب الفقه :</w:t>
      </w:r>
    </w:p>
    <w:p w:rsidR="00035BE3" w:rsidRDefault="00035BE3" w:rsidP="003D5367">
      <w:pPr>
        <w:pStyle w:val="a6"/>
        <w:spacing w:line="440" w:lineRule="exact"/>
        <w:ind w:left="422" w:firstLine="0"/>
        <w:rPr>
          <w:b/>
          <w:bCs/>
          <w:rtl/>
        </w:rPr>
      </w:pPr>
      <w:r>
        <w:rPr>
          <w:rFonts w:hint="cs"/>
          <w:b/>
          <w:bCs/>
          <w:rtl/>
        </w:rPr>
        <w:t>فمن كتب القواعد التي ورد فيها منطوق القاعدة :</w:t>
      </w:r>
    </w:p>
    <w:p w:rsidR="00035BE3" w:rsidRDefault="00035BE3" w:rsidP="003D5367">
      <w:pPr>
        <w:pStyle w:val="a6"/>
        <w:spacing w:line="440" w:lineRule="exact"/>
        <w:ind w:left="422" w:firstLine="0"/>
        <w:rPr>
          <w:rtl/>
        </w:rPr>
      </w:pPr>
      <w:r>
        <w:rPr>
          <w:rFonts w:hint="cs"/>
          <w:rtl/>
        </w:rPr>
        <w:t xml:space="preserve">ترتيب الفروق، 1/65- ولفظه : </w:t>
      </w:r>
      <w:r>
        <w:rPr>
          <w:rFonts w:hint="eastAsia"/>
          <w:rtl/>
        </w:rPr>
        <w:t>«</w:t>
      </w:r>
      <w:r>
        <w:rPr>
          <w:rFonts w:hint="cs"/>
          <w:rtl/>
        </w:rPr>
        <w:t>الشرط وجوابه لا يتعلّقان إلا بمعدوم</w:t>
      </w:r>
      <w:r>
        <w:rPr>
          <w:rFonts w:hint="eastAsia"/>
          <w:rtl/>
        </w:rPr>
        <w:t>»</w:t>
      </w:r>
      <w:r>
        <w:rPr>
          <w:rFonts w:hint="cs"/>
          <w:rtl/>
        </w:rPr>
        <w:t xml:space="preserve">-؛ مجامع الحقائق (الخاتمة)، ص47؛ شرح العلائي لقواعد الخادمي، ل37/ب؛ منافع الدقائق، ص332 -ولفظ المجامع وما بعده : </w:t>
      </w:r>
      <w:r>
        <w:rPr>
          <w:rFonts w:hint="eastAsia"/>
          <w:rtl/>
        </w:rPr>
        <w:t>«</w:t>
      </w:r>
      <w:r>
        <w:rPr>
          <w:rFonts w:hint="cs"/>
          <w:rtl/>
        </w:rPr>
        <w:t xml:space="preserve">المعلق بالشرط يجب ثبوته عند ثبوته، </w:t>
      </w:r>
      <w:r>
        <w:rPr>
          <w:rFonts w:hint="cs"/>
          <w:b/>
          <w:bCs/>
          <w:rtl/>
        </w:rPr>
        <w:t>ومعدوم قبل</w:t>
      </w:r>
      <w:r>
        <w:rPr>
          <w:rFonts w:hint="cs"/>
          <w:rtl/>
        </w:rPr>
        <w:t xml:space="preserve"> ثبوت شرطه</w:t>
      </w:r>
      <w:r>
        <w:rPr>
          <w:rFonts w:hint="eastAsia"/>
          <w:rtl/>
        </w:rPr>
        <w:t>»</w:t>
      </w:r>
      <w:r>
        <w:rPr>
          <w:rFonts w:hint="cs"/>
          <w:rtl/>
        </w:rPr>
        <w:t xml:space="preserve">-؛ قواعد الفقه للمجدّدي، ص126، قاعدة 338- ولفظه : </w:t>
      </w:r>
      <w:r>
        <w:rPr>
          <w:rFonts w:hint="eastAsia"/>
          <w:rtl/>
        </w:rPr>
        <w:t>«</w:t>
      </w:r>
      <w:r>
        <w:rPr>
          <w:rFonts w:hint="cs"/>
          <w:rtl/>
        </w:rPr>
        <w:t>المعلق بالشرط معدوم قبل الشرط</w:t>
      </w:r>
      <w:r>
        <w:rPr>
          <w:rFonts w:hint="eastAsia"/>
          <w:rtl/>
        </w:rPr>
        <w:t>»</w:t>
      </w:r>
      <w:r>
        <w:rPr>
          <w:rFonts w:hint="cs"/>
          <w:rtl/>
        </w:rPr>
        <w:t>-.</w:t>
      </w:r>
    </w:p>
    <w:p w:rsidR="00035BE3" w:rsidRDefault="00035BE3" w:rsidP="003D5367">
      <w:pPr>
        <w:pStyle w:val="a6"/>
        <w:spacing w:line="440" w:lineRule="exact"/>
        <w:ind w:left="422" w:firstLine="0"/>
        <w:rPr>
          <w:b/>
          <w:bCs/>
          <w:rtl/>
        </w:rPr>
      </w:pPr>
      <w:r>
        <w:rPr>
          <w:rFonts w:hint="cs"/>
          <w:b/>
          <w:bCs/>
          <w:rtl/>
        </w:rPr>
        <w:t>ومن كتب القواعد التي ورد فيها مفهومها :</w:t>
      </w:r>
    </w:p>
    <w:p w:rsidR="00035BE3" w:rsidRDefault="00035BE3" w:rsidP="003D5367">
      <w:pPr>
        <w:pStyle w:val="a6"/>
        <w:spacing w:line="440" w:lineRule="exact"/>
        <w:ind w:left="422" w:firstLine="0"/>
        <w:rPr>
          <w:rtl/>
        </w:rPr>
      </w:pPr>
      <w:r>
        <w:rPr>
          <w:rFonts w:hint="cs"/>
          <w:rtl/>
        </w:rPr>
        <w:t xml:space="preserve">مجلة الأحكام العدلية، مادة 82- ولفظها : </w:t>
      </w:r>
      <w:r>
        <w:rPr>
          <w:rFonts w:hint="eastAsia"/>
          <w:rtl/>
        </w:rPr>
        <w:t>«</w:t>
      </w:r>
      <w:r>
        <w:rPr>
          <w:rFonts w:hint="cs"/>
          <w:rtl/>
        </w:rPr>
        <w:t>المعلق بالشرط يجب ثبوته عند ثبوت الشرط</w:t>
      </w:r>
      <w:r>
        <w:rPr>
          <w:rFonts w:hint="eastAsia"/>
          <w:rtl/>
        </w:rPr>
        <w:t>»</w:t>
      </w:r>
      <w:r>
        <w:rPr>
          <w:rFonts w:hint="cs"/>
          <w:rtl/>
        </w:rPr>
        <w:t xml:space="preserve">-؛ شرحها لسليم رستم، 1/54؛ ولعلي حيدر، 1/72؛ 1/232؛ وشرح قواعدها للزرقا، ص415؛ قواعد الفقه للمجدّدي، ص126، قاعدة 336؛ المدخل الفقهي العام، 2/1028، فقرة 645؛ الوجيز، ص352؛ المدخل إلى القواعد، ص141؛ المبادئ الفقهية، ص48؛ القواعد الفقهية للدعّاس، ص91، </w:t>
      </w:r>
      <w:r w:rsidRPr="007C20C9">
        <w:rPr>
          <w:rFonts w:hint="cs"/>
          <w:spacing w:val="-2"/>
          <w:rtl/>
        </w:rPr>
        <w:t>قاعدة 74؛ وللدكتور محمد الزحيلي، ص84- وجميع الكتب المذكورة بعد المجلة لفظها كلفظ المجلة-</w:t>
      </w:r>
      <w:r>
        <w:rPr>
          <w:rFonts w:hint="cs"/>
          <w:rtl/>
        </w:rPr>
        <w:t>.</w:t>
      </w:r>
    </w:p>
    <w:p w:rsidR="00035BE3" w:rsidRDefault="00035BE3" w:rsidP="003D5367">
      <w:pPr>
        <w:pStyle w:val="a6"/>
        <w:spacing w:line="440" w:lineRule="exact"/>
        <w:ind w:left="422" w:firstLine="0"/>
        <w:rPr>
          <w:rtl/>
        </w:rPr>
      </w:pPr>
      <w:r>
        <w:rPr>
          <w:rFonts w:hint="cs"/>
          <w:rtl/>
        </w:rPr>
        <w:t xml:space="preserve">وقريب من ذلك ما جاء في الأشباه لابن نجيم، ص205؛ وفي الفوائد الزينية له أيضًا، ص138، فائدة 158، حيث جاء فيهما لفظان متقاربان، ثانيهما : </w:t>
      </w:r>
      <w:r>
        <w:rPr>
          <w:rFonts w:hint="eastAsia"/>
          <w:rtl/>
        </w:rPr>
        <w:t>«</w:t>
      </w:r>
      <w:r>
        <w:rPr>
          <w:rFonts w:hint="cs"/>
          <w:rtl/>
        </w:rPr>
        <w:t>المعلق بالشرط لا ينعقد سببًا للحال والمضاف إلى وقت ينعقد سببًا للحال في الطلاق والعتاق والنذر</w:t>
      </w:r>
      <w:r>
        <w:rPr>
          <w:rFonts w:hint="eastAsia"/>
          <w:rtl/>
        </w:rPr>
        <w:t>»</w:t>
      </w:r>
      <w:r>
        <w:rPr>
          <w:rFonts w:hint="cs"/>
          <w:rtl/>
        </w:rPr>
        <w:t>-.</w:t>
      </w:r>
    </w:p>
    <w:p w:rsidR="00035BE3" w:rsidRDefault="00035BE3" w:rsidP="003D5367">
      <w:pPr>
        <w:pStyle w:val="a6"/>
        <w:spacing w:line="440" w:lineRule="exact"/>
        <w:ind w:left="422" w:firstLine="0"/>
        <w:rPr>
          <w:b/>
          <w:bCs/>
          <w:rtl/>
        </w:rPr>
      </w:pPr>
      <w:r>
        <w:rPr>
          <w:rFonts w:hint="cs"/>
          <w:b/>
          <w:bCs/>
          <w:rtl/>
        </w:rPr>
        <w:t>ومن كتب الأصول :</w:t>
      </w:r>
    </w:p>
    <w:p w:rsidR="00035BE3" w:rsidRDefault="00035BE3" w:rsidP="003D5367">
      <w:pPr>
        <w:pStyle w:val="a6"/>
        <w:spacing w:line="440" w:lineRule="exact"/>
        <w:ind w:left="422" w:firstLine="0"/>
        <w:rPr>
          <w:rtl/>
        </w:rPr>
      </w:pPr>
      <w:r>
        <w:rPr>
          <w:rFonts w:hint="cs"/>
          <w:rtl/>
        </w:rPr>
        <w:t>أصول السرخسي، 2/331؛ المحصول للرازي، 2/68؛ إعلام الموقعين، 2/159-160.</w:t>
      </w:r>
    </w:p>
    <w:p w:rsidR="00035BE3" w:rsidRDefault="00035BE3" w:rsidP="003D5367">
      <w:pPr>
        <w:pStyle w:val="a6"/>
        <w:spacing w:line="440" w:lineRule="exact"/>
        <w:ind w:left="422" w:firstLine="0"/>
        <w:rPr>
          <w:b/>
          <w:bCs/>
          <w:rtl/>
        </w:rPr>
      </w:pPr>
      <w:r>
        <w:rPr>
          <w:rFonts w:hint="cs"/>
          <w:b/>
          <w:bCs/>
          <w:rtl/>
        </w:rPr>
        <w:t>ومن كتب الفقه :</w:t>
      </w:r>
    </w:p>
    <w:p w:rsidR="00035BE3" w:rsidRDefault="00035BE3" w:rsidP="003D5367">
      <w:pPr>
        <w:pStyle w:val="a6"/>
        <w:spacing w:line="440" w:lineRule="exact"/>
        <w:ind w:left="422" w:firstLine="0"/>
        <w:rPr>
          <w:spacing w:val="4"/>
          <w:rtl/>
        </w:rPr>
      </w:pPr>
      <w:r>
        <w:rPr>
          <w:rFonts w:hint="cs"/>
          <w:spacing w:val="4"/>
          <w:rtl/>
        </w:rPr>
        <w:t>المبسوط للسرخسي، 6/205؛ تحفة الفقهاء، 2/186؛ بدائع الصنائع، 1/113؛ 5/93؛ العناية، 7/59؛ فتح القدير، 6/338، 7/98، 501؛ البحر الرائق، 2/320؛ رد المحتار، 6/655.</w:t>
      </w:r>
    </w:p>
  </w:footnote>
  <w:footnote w:id="4730">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(ب) و(د). ولا يستقيم المعنى بدونها.</w:t>
      </w:r>
    </w:p>
  </w:footnote>
  <w:footnote w:id="473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فقدان</w:t>
      </w:r>
      <w:r>
        <w:rPr>
          <w:rFonts w:hint="eastAsia"/>
          <w:rtl/>
        </w:rPr>
        <w:t>»</w:t>
      </w:r>
      <w:r>
        <w:rPr>
          <w:rFonts w:hint="cs"/>
          <w:rtl/>
        </w:rPr>
        <w:t>.</w:t>
      </w:r>
    </w:p>
  </w:footnote>
  <w:footnote w:id="4732">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في المآل</w:t>
      </w:r>
      <w:r>
        <w:rPr>
          <w:rFonts w:hint="eastAsia"/>
          <w:rtl/>
        </w:rPr>
        <w:t>»</w:t>
      </w:r>
      <w:r>
        <w:rPr>
          <w:rFonts w:hint="cs"/>
          <w:rtl/>
        </w:rPr>
        <w:t xml:space="preserve"> معناه : أي فيما بعد، عند الإجازة من المالك. انظر : فتح القدير، 7/57.</w:t>
      </w:r>
    </w:p>
  </w:footnote>
  <w:footnote w:id="4733">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72/أ من (جـ)، مع تكرار (وهو) في بداية اللوحة التي تليها.</w:t>
      </w:r>
    </w:p>
  </w:footnote>
  <w:footnote w:id="4734">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أسفل هذه الكلمة في نسخة (أ) : </w:t>
      </w:r>
      <w:r>
        <w:rPr>
          <w:rFonts w:hint="eastAsia"/>
          <w:rtl/>
        </w:rPr>
        <w:t>«</w:t>
      </w:r>
      <w:r>
        <w:rPr>
          <w:rFonts w:hint="cs"/>
          <w:rtl/>
        </w:rPr>
        <w:t>يعني : بشرط الخيار</w:t>
      </w:r>
      <w:r>
        <w:rPr>
          <w:rFonts w:hint="eastAsia"/>
          <w:rtl/>
        </w:rPr>
        <w:t>»</w:t>
      </w:r>
      <w:r>
        <w:rPr>
          <w:rFonts w:hint="cs"/>
          <w:rtl/>
        </w:rPr>
        <w:t>.</w:t>
      </w:r>
    </w:p>
  </w:footnote>
  <w:footnote w:id="4735">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الصحيح</w:t>
      </w:r>
      <w:r>
        <w:rPr>
          <w:rFonts w:hint="eastAsia"/>
          <w:rtl/>
        </w:rPr>
        <w:t>»</w:t>
      </w:r>
      <w:r>
        <w:rPr>
          <w:rFonts w:hint="cs"/>
          <w:rtl/>
        </w:rPr>
        <w:t>. والصواب ما تمَّ إثباته من (جـ) و(هـ) و(و)، وهو الموافق لأكثر المصادر الآتي ذكرها.</w:t>
      </w:r>
    </w:p>
  </w:footnote>
  <w:footnote w:id="4736">
    <w:p w:rsidR="00035BE3" w:rsidRDefault="00035BE3" w:rsidP="003D5367">
      <w:pPr>
        <w:pStyle w:val="a8"/>
        <w:bidi/>
        <w:spacing w:line="48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الهداية والعناية وفتح القدير، 7/57، 59؛ وفتح القدير فقط، 7/98؛ الدّرر شرح الغرر، 2/193؛ البحر الرائق، 6/164.</w:t>
      </w:r>
    </w:p>
  </w:footnote>
  <w:footnote w:id="4737">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الحديث لم أجده بلفظه، إنما ورد بنحوه أو معناه :</w:t>
      </w:r>
    </w:p>
    <w:p w:rsidR="00035BE3" w:rsidRDefault="00035BE3" w:rsidP="003D5367">
      <w:pPr>
        <w:pStyle w:val="a6"/>
        <w:spacing w:line="480" w:lineRule="exact"/>
        <w:ind w:left="422" w:firstLine="0"/>
        <w:rPr>
          <w:rtl/>
        </w:rPr>
      </w:pPr>
      <w:r w:rsidRPr="00EA0E9A">
        <w:rPr>
          <w:rFonts w:hint="cs"/>
          <w:spacing w:val="-4"/>
          <w:rtl/>
        </w:rPr>
        <w:t>إذْ أخرج سعيد بن منصور في كتاب السنن، باب ما جاء فيمن طلق قبل أن يـمـلك، ص289،</w:t>
      </w:r>
      <w:r>
        <w:rPr>
          <w:rFonts w:hint="cs"/>
          <w:rtl/>
        </w:rPr>
        <w:t xml:space="preserve"> </w:t>
      </w:r>
      <w:r w:rsidRPr="00EA0E9A">
        <w:rPr>
          <w:rFonts w:hint="cs"/>
          <w:spacing w:val="-6"/>
          <w:rtl/>
        </w:rPr>
        <w:t xml:space="preserve">ح1020، بسنده مرفوعًا : </w:t>
      </w:r>
      <w:r w:rsidRPr="00EA0E9A">
        <w:rPr>
          <w:rFonts w:hint="eastAsia"/>
          <w:spacing w:val="-6"/>
          <w:rtl/>
        </w:rPr>
        <w:t>«</w:t>
      </w:r>
      <w:r w:rsidRPr="00EA0E9A">
        <w:rPr>
          <w:rFonts w:hint="cs"/>
          <w:spacing w:val="-6"/>
          <w:rtl/>
        </w:rPr>
        <w:t>لا نذر لابن آدم فيما لا يملك، ولا عتق له فيما لا يملك، ولا طلاق له</w:t>
      </w:r>
      <w:r>
        <w:rPr>
          <w:rFonts w:hint="cs"/>
          <w:rtl/>
        </w:rPr>
        <w:t xml:space="preserve"> فيما لا يملك</w:t>
      </w:r>
      <w:r>
        <w:rPr>
          <w:rFonts w:hint="eastAsia"/>
          <w:rtl/>
        </w:rPr>
        <w:t>»</w:t>
      </w:r>
      <w:r>
        <w:rPr>
          <w:rFonts w:hint="cs"/>
          <w:rtl/>
        </w:rPr>
        <w:t xml:space="preserve">؛ والإمام أحمد بنحو هذا اللفظ، 2/190، ح6741؛ وأخرجه أبو داود بنحوه، كتاب في الطلاق، باب في الطلاق قبل النكاح، 2/258، ح2190؛ والترمذي بنحوه، كتاب الطلاق واللعان عن رسول الله </w:t>
      </w:r>
      <w:r>
        <w:rPr>
          <w:rFonts w:ascii="AGA Arabesque" w:hAnsi="AGA Arabesque"/>
          <w:sz w:val="36"/>
          <w:szCs w:val="36"/>
        </w:rPr>
        <w:t></w:t>
      </w:r>
      <w:r>
        <w:rPr>
          <w:rFonts w:hint="cs"/>
          <w:rtl/>
        </w:rPr>
        <w:t>، باب ما جاء : لا طلاق قبل النكاح، 3/486، ح1181؛ والبزار في مسـنده، بمعناه، 6/439، ح2472؛ وابن الجارود في المنـتقى، بنحوه، كتاب الطلاق، 1/185، ح743.</w:t>
      </w:r>
    </w:p>
    <w:p w:rsidR="00035BE3" w:rsidRDefault="00035BE3" w:rsidP="003D5367">
      <w:pPr>
        <w:pStyle w:val="a6"/>
        <w:spacing w:line="480" w:lineRule="exact"/>
        <w:ind w:left="422" w:firstLine="0"/>
        <w:rPr>
          <w:rtl/>
        </w:rPr>
      </w:pPr>
      <w:r>
        <w:rPr>
          <w:rFonts w:hint="cs"/>
          <w:rtl/>
        </w:rPr>
        <w:t>جميعهم من حديث عمرو بن شعيب عن أبيه عن جدّه.</w:t>
      </w:r>
    </w:p>
    <w:p w:rsidR="00035BE3" w:rsidRDefault="00035BE3" w:rsidP="003D5367">
      <w:pPr>
        <w:pStyle w:val="a6"/>
        <w:spacing w:line="480" w:lineRule="exact"/>
        <w:ind w:left="422" w:firstLine="0"/>
        <w:rPr>
          <w:rtl/>
        </w:rPr>
      </w:pPr>
      <w:r>
        <w:rPr>
          <w:rFonts w:hint="cs"/>
          <w:rtl/>
        </w:rPr>
        <w:t xml:space="preserve">- وهذا الحديث بعد أن ذكره الترمذي قال : </w:t>
      </w:r>
      <w:r>
        <w:rPr>
          <w:rFonts w:hint="eastAsia"/>
          <w:rtl/>
        </w:rPr>
        <w:t>«</w:t>
      </w:r>
      <w:r>
        <w:rPr>
          <w:rFonts w:hint="cs"/>
          <w:rtl/>
        </w:rPr>
        <w:t>... حديث عبد الله بن عمرو حديث حسن صحيح، وهو أحسن شيء روي في هذا الباب ...</w:t>
      </w:r>
      <w:r>
        <w:rPr>
          <w:rFonts w:hint="eastAsia"/>
          <w:rtl/>
        </w:rPr>
        <w:t>»</w:t>
      </w:r>
      <w:r>
        <w:rPr>
          <w:rFonts w:hint="cs"/>
          <w:rtl/>
        </w:rPr>
        <w:t>.</w:t>
      </w:r>
    </w:p>
    <w:p w:rsidR="00035BE3" w:rsidRDefault="00035BE3" w:rsidP="003D5367">
      <w:pPr>
        <w:pStyle w:val="a6"/>
        <w:spacing w:line="480" w:lineRule="exact"/>
        <w:ind w:left="422" w:firstLine="0"/>
        <w:rPr>
          <w:rtl/>
        </w:rPr>
      </w:pPr>
      <w:r>
        <w:rPr>
          <w:rFonts w:hint="cs"/>
          <w:rtl/>
        </w:rPr>
        <w:t xml:space="preserve">- كما جاء في (علل الترمذي) -بترتيب القاضي أبي طالب، 1/173 - : </w:t>
      </w:r>
      <w:r>
        <w:rPr>
          <w:rFonts w:hint="eastAsia"/>
          <w:rtl/>
        </w:rPr>
        <w:t>«</w:t>
      </w:r>
      <w:r>
        <w:rPr>
          <w:rFonts w:hint="cs"/>
          <w:rtl/>
        </w:rPr>
        <w:t>سألت محمدًا [أي البخاري] عن هذا الحديث، فقلت : أيّ حديث في هذا الباب أصحّ في الطلاق قبل النكاح، فقال : حديث عمرو بن شعيب عن أبيه عن جدّه</w:t>
      </w:r>
      <w:r>
        <w:rPr>
          <w:rFonts w:hint="eastAsia"/>
          <w:rtl/>
        </w:rPr>
        <w:t>»</w:t>
      </w:r>
      <w:r>
        <w:rPr>
          <w:rFonts w:hint="cs"/>
          <w:rtl/>
        </w:rPr>
        <w:t>.</w:t>
      </w:r>
    </w:p>
    <w:p w:rsidR="00035BE3" w:rsidRDefault="00035BE3" w:rsidP="003D5367">
      <w:pPr>
        <w:pStyle w:val="a6"/>
        <w:spacing w:line="480" w:lineRule="exact"/>
        <w:ind w:left="422" w:firstLine="0"/>
        <w:rPr>
          <w:rtl/>
        </w:rPr>
      </w:pPr>
      <w:r>
        <w:rPr>
          <w:rFonts w:hint="cs"/>
          <w:rtl/>
        </w:rPr>
        <w:t xml:space="preserve">- وجـاء في (تـحفـة المحتاج إلى أدلة المنهاج)، 2/206، ح1184 : </w:t>
      </w:r>
      <w:r>
        <w:rPr>
          <w:rFonts w:hint="eastAsia"/>
          <w:rtl/>
        </w:rPr>
        <w:t>«</w:t>
      </w:r>
      <w:r>
        <w:rPr>
          <w:rFonts w:hint="cs"/>
          <w:rtl/>
        </w:rPr>
        <w:t>... رواه أبو داود بإسناد صحيح</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3D5367">
      <w:pPr>
        <w:pStyle w:val="a6"/>
        <w:ind w:left="422" w:firstLine="0"/>
        <w:rPr>
          <w:spacing w:val="2"/>
          <w:rtl/>
        </w:rPr>
      </w:pPr>
      <w:r>
        <w:rPr>
          <w:rFonts w:hint="cs"/>
          <w:spacing w:val="2"/>
          <w:rtl/>
        </w:rPr>
        <w:t xml:space="preserve">- وقد ذكره الحافظ في التلخيص، 3/211، وأطال تخريجه، وبيان شواهده، وما قاله العلماء فيه، فمّما جاء فيه : </w:t>
      </w:r>
      <w:r>
        <w:rPr>
          <w:rFonts w:hint="eastAsia"/>
          <w:spacing w:val="2"/>
          <w:rtl/>
        </w:rPr>
        <w:t>«</w:t>
      </w:r>
      <w:r>
        <w:rPr>
          <w:rFonts w:hint="cs"/>
          <w:spacing w:val="2"/>
          <w:rtl/>
        </w:rPr>
        <w:t>وفي الباب عن عمرو بن شعيب عن أبيه عن جده، قال الترمذي : هو أحسن شيء روي في هذا الباب ... وقال البيهقي في (الخلافيات) : قال البخاري : أصح شيء فيه وأشهره حديث عمرو بن شعيب</w:t>
      </w:r>
      <w:r>
        <w:rPr>
          <w:rFonts w:hint="eastAsia"/>
          <w:spacing w:val="2"/>
          <w:rtl/>
        </w:rPr>
        <w:t>»</w:t>
      </w:r>
      <w:r>
        <w:rPr>
          <w:rFonts w:hint="cs"/>
          <w:spacing w:val="2"/>
          <w:rtl/>
        </w:rPr>
        <w:t>.</w:t>
      </w:r>
    </w:p>
    <w:p w:rsidR="00035BE3" w:rsidRDefault="00035BE3" w:rsidP="003D5367">
      <w:pPr>
        <w:pStyle w:val="a6"/>
        <w:ind w:left="422" w:firstLine="0"/>
        <w:rPr>
          <w:rtl/>
        </w:rPr>
      </w:pPr>
      <w:r>
        <w:rPr>
          <w:rFonts w:hint="cs"/>
          <w:rtl/>
        </w:rPr>
        <w:t xml:space="preserve">إلى أن قال : </w:t>
      </w:r>
      <w:r>
        <w:rPr>
          <w:rFonts w:hint="eastAsia"/>
          <w:rtl/>
        </w:rPr>
        <w:t>«</w:t>
      </w:r>
      <w:r>
        <w:rPr>
          <w:rFonts w:hint="cs"/>
          <w:rtl/>
        </w:rPr>
        <w:t xml:space="preserve">ومقابلُ تصحيح الحاكم قولُ يحيى بن معين : لا يصح عن النبي </w:t>
      </w:r>
      <w:r>
        <w:rPr>
          <w:rFonts w:ascii="AGA Arabesque" w:hAnsi="AGA Arabesque"/>
          <w:sz w:val="36"/>
          <w:szCs w:val="36"/>
        </w:rPr>
        <w:t></w:t>
      </w:r>
      <w:r>
        <w:rPr>
          <w:rFonts w:hint="cs"/>
          <w:rtl/>
        </w:rPr>
        <w:t xml:space="preserve"> : لا طلاق قبل نكاح، وأصح شيء فيه حديث ابن المنكدر عمن سمع طاوسًا عن النبي </w:t>
      </w:r>
      <w:r>
        <w:rPr>
          <w:rFonts w:ascii="AGA Arabesque" w:hAnsi="AGA Arabesque"/>
          <w:sz w:val="36"/>
          <w:szCs w:val="36"/>
        </w:rPr>
        <w:t></w:t>
      </w:r>
      <w:r>
        <w:rPr>
          <w:rFonts w:hint="cs"/>
          <w:rtl/>
        </w:rPr>
        <w:t xml:space="preserve"> مرسلاً</w:t>
      </w:r>
      <w:r>
        <w:rPr>
          <w:rFonts w:hint="eastAsia"/>
          <w:rtl/>
        </w:rPr>
        <w:t>»</w:t>
      </w:r>
      <w:r>
        <w:rPr>
          <w:rFonts w:hint="cs"/>
          <w:rtl/>
        </w:rPr>
        <w:t>.</w:t>
      </w:r>
    </w:p>
    <w:p w:rsidR="00035BE3" w:rsidRDefault="00035BE3" w:rsidP="003D5367">
      <w:pPr>
        <w:pStyle w:val="a6"/>
        <w:ind w:left="422" w:firstLine="0"/>
        <w:rPr>
          <w:rtl/>
        </w:rPr>
      </w:pPr>
      <w:r>
        <w:rPr>
          <w:rFonts w:hint="cs"/>
          <w:rtl/>
        </w:rPr>
        <w:t xml:space="preserve">وللحديث عدّة شواهد؛ عن علي، وابن عباس، وعائشة، ومعاذ بن جبل، وجابر، وعمرو بن حزم </w:t>
      </w:r>
      <w:r>
        <w:rPr>
          <w:rFonts w:hint="cs"/>
          <w:spacing w:val="-2"/>
          <w:rtl/>
        </w:rPr>
        <w:t xml:space="preserve">عن أبيه عن جده، </w:t>
      </w:r>
      <w:r>
        <w:rPr>
          <w:rFonts w:ascii="AGA Arabesque" w:hAnsi="AGA Arabesque" w:cs="AGA Arabesque"/>
          <w:spacing w:val="-2"/>
          <w:sz w:val="36"/>
          <w:szCs w:val="36"/>
          <w:lang w:val="en-US"/>
        </w:rPr>
        <w:t></w:t>
      </w:r>
      <w:r>
        <w:rPr>
          <w:rFonts w:hint="cs"/>
          <w:spacing w:val="-2"/>
          <w:rtl/>
        </w:rPr>
        <w:t>. وهي مبسوطة في كتب الحديث؛ فمّمن أشار إليها : الترمذي في سننه، 3/486؛</w:t>
      </w:r>
      <w:r>
        <w:rPr>
          <w:rFonts w:hint="cs"/>
          <w:rtl/>
        </w:rPr>
        <w:t xml:space="preserve"> والزيلعي في نصب الراية، 3/230، 278؛ والحافظ في الدراية، 2/85- بالإضافة إلى ما سبق النقل عنه في التلخيص-.</w:t>
      </w:r>
    </w:p>
  </w:footnote>
  <w:footnote w:id="473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الملك</w:t>
      </w:r>
      <w:r>
        <w:rPr>
          <w:rFonts w:hint="eastAsia"/>
          <w:rtl/>
        </w:rPr>
        <w:t>»</w:t>
      </w:r>
      <w:r>
        <w:rPr>
          <w:rFonts w:hint="cs"/>
          <w:rtl/>
        </w:rPr>
        <w:t xml:space="preserve"> : ساقطة من (جـ).</w:t>
      </w:r>
    </w:p>
  </w:footnote>
  <w:footnote w:id="473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62/أ من (أ).</w:t>
      </w:r>
    </w:p>
  </w:footnote>
  <w:footnote w:id="474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w:t>
      </w:r>
      <w:r>
        <w:rPr>
          <w:rFonts w:hint="eastAsia"/>
          <w:rtl/>
        </w:rPr>
        <w:t>«</w:t>
      </w:r>
      <w:r>
        <w:rPr>
          <w:rFonts w:hint="cs"/>
          <w:rtl/>
        </w:rPr>
        <w:t>مستغرق</w:t>
      </w:r>
      <w:r>
        <w:rPr>
          <w:rFonts w:hint="eastAsia"/>
          <w:rtl/>
        </w:rPr>
        <w:t>»</w:t>
      </w:r>
      <w:r>
        <w:rPr>
          <w:rFonts w:hint="cs"/>
          <w:rtl/>
        </w:rPr>
        <w:t>. والصحيح ما تمّ إثباته من (ب)، وهو الموافق للهداية والعناية وفتح القدير.</w:t>
      </w:r>
    </w:p>
  </w:footnote>
  <w:footnote w:id="474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98/أ من (أ).</w:t>
      </w:r>
    </w:p>
  </w:footnote>
  <w:footnote w:id="474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بغير</w:t>
      </w:r>
      <w:r>
        <w:rPr>
          <w:rFonts w:hint="eastAsia"/>
          <w:rtl/>
        </w:rPr>
        <w:t>»</w:t>
      </w:r>
      <w:r>
        <w:rPr>
          <w:rFonts w:hint="cs"/>
          <w:rtl/>
        </w:rPr>
        <w:t>.</w:t>
      </w:r>
    </w:p>
  </w:footnote>
  <w:footnote w:id="474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الاعتراض وجوابه في : الهداية والعناية وفتح القدير، 7/57، 58.</w:t>
      </w:r>
    </w:p>
  </w:footnote>
  <w:footnote w:id="474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ما جاء في شرح هذه القاعدة مذكور في (العناية)، مع اختلاف كبير في الترتيب وكثير من الألفاظ. وقد سبق بيان ذلك مفصّلاً.</w:t>
      </w:r>
    </w:p>
  </w:footnote>
  <w:footnote w:id="4745">
    <w:p w:rsidR="00035BE3" w:rsidRDefault="00035BE3" w:rsidP="003D5367">
      <w:pPr>
        <w:pStyle w:val="a8"/>
        <w:bidi/>
        <w:spacing w:line="420" w:lineRule="exact"/>
        <w:ind w:left="423"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و(ب) و(جـ) : </w:t>
      </w:r>
      <w:r>
        <w:rPr>
          <w:rFonts w:hint="eastAsia"/>
          <w:spacing w:val="-6"/>
          <w:rtl/>
        </w:rPr>
        <w:t>«</w:t>
      </w:r>
      <w:r>
        <w:rPr>
          <w:rFonts w:hint="cs"/>
          <w:spacing w:val="-6"/>
          <w:rtl/>
        </w:rPr>
        <w:t>يقتضي</w:t>
      </w:r>
      <w:r>
        <w:rPr>
          <w:rFonts w:hint="eastAsia"/>
          <w:spacing w:val="-6"/>
          <w:rtl/>
        </w:rPr>
        <w:t>»</w:t>
      </w:r>
      <w:r>
        <w:rPr>
          <w:rFonts w:hint="cs"/>
          <w:spacing w:val="-6"/>
          <w:rtl/>
        </w:rPr>
        <w:t>. والصحيح ما تمَّ إثباته من (د)؛ وفاقًا لمصدر هذه القاعدة (وهو العناية).</w:t>
      </w:r>
    </w:p>
  </w:footnote>
  <w:footnote w:id="4746">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 زيادة الواو (وبقدر).</w:t>
      </w:r>
    </w:p>
  </w:footnote>
  <w:footnote w:id="4747">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العناية، 7/46 بلفظ : </w:t>
      </w:r>
      <w:r>
        <w:rPr>
          <w:rFonts w:hint="eastAsia"/>
          <w:rtl/>
        </w:rPr>
        <w:t>«</w:t>
      </w:r>
      <w:r>
        <w:rPr>
          <w:rFonts w:hint="cs"/>
          <w:b/>
          <w:bCs/>
          <w:rtl/>
        </w:rPr>
        <w:t>الغرور</w:t>
      </w:r>
      <w:r>
        <w:rPr>
          <w:rFonts w:hint="cs"/>
          <w:rtl/>
        </w:rPr>
        <w:t xml:space="preserve"> في المعاوضات التي </w:t>
      </w:r>
      <w:r>
        <w:rPr>
          <w:rFonts w:hint="cs"/>
          <w:b/>
          <w:bCs/>
          <w:rtl/>
        </w:rPr>
        <w:t>تقتضي</w:t>
      </w:r>
      <w:r>
        <w:rPr>
          <w:rFonts w:hint="cs"/>
          <w:rtl/>
        </w:rPr>
        <w:t xml:space="preserve"> سلامة العوض يجعل سببًا للضمان؛ دفعًا </w:t>
      </w:r>
      <w:r>
        <w:rPr>
          <w:rFonts w:hint="cs"/>
          <w:b/>
          <w:bCs/>
          <w:rtl/>
        </w:rPr>
        <w:t>للغرور</w:t>
      </w:r>
      <w:r>
        <w:rPr>
          <w:rFonts w:hint="cs"/>
          <w:rtl/>
        </w:rPr>
        <w:t xml:space="preserve"> بقدر الإمكان</w:t>
      </w:r>
      <w:r>
        <w:rPr>
          <w:rFonts w:hint="eastAsia"/>
          <w:rtl/>
        </w:rPr>
        <w:t>»</w:t>
      </w:r>
      <w:r>
        <w:rPr>
          <w:rFonts w:hint="cs"/>
          <w:rtl/>
        </w:rPr>
        <w:t>.</w:t>
      </w:r>
    </w:p>
    <w:p w:rsidR="00035BE3" w:rsidRDefault="00035BE3" w:rsidP="003D5367">
      <w:pPr>
        <w:pStyle w:val="a6"/>
        <w:spacing w:line="420" w:lineRule="exact"/>
        <w:ind w:left="423" w:firstLine="0"/>
        <w:rPr>
          <w:rtl/>
        </w:rPr>
      </w:pPr>
      <w:r>
        <w:rPr>
          <w:rFonts w:hint="cs"/>
          <w:rtl/>
        </w:rPr>
        <w:t xml:space="preserve">كما وردت في فتح القدير، 7/47 بلفظ : </w:t>
      </w:r>
      <w:r>
        <w:rPr>
          <w:rFonts w:hint="eastAsia"/>
          <w:rtl/>
        </w:rPr>
        <w:t>«</w:t>
      </w:r>
      <w:r>
        <w:rPr>
          <w:rFonts w:hint="cs"/>
          <w:b/>
          <w:bCs/>
          <w:rtl/>
        </w:rPr>
        <w:t>التغرير</w:t>
      </w:r>
      <w:r>
        <w:rPr>
          <w:rFonts w:hint="cs"/>
          <w:rtl/>
        </w:rPr>
        <w:t xml:space="preserve"> في المعاوضات التي </w:t>
      </w:r>
      <w:r>
        <w:rPr>
          <w:rFonts w:hint="cs"/>
          <w:b/>
          <w:bCs/>
          <w:rtl/>
        </w:rPr>
        <w:t>تقتضي</w:t>
      </w:r>
      <w:r>
        <w:rPr>
          <w:rFonts w:hint="cs"/>
          <w:rtl/>
        </w:rPr>
        <w:t xml:space="preserve"> سلامة العوض </w:t>
      </w:r>
      <w:r>
        <w:rPr>
          <w:rFonts w:hint="cs"/>
          <w:b/>
          <w:bCs/>
          <w:rtl/>
        </w:rPr>
        <w:t>تجعل</w:t>
      </w:r>
      <w:r>
        <w:rPr>
          <w:rFonts w:hint="cs"/>
          <w:rtl/>
        </w:rPr>
        <w:t xml:space="preserve"> سببًا للضمان؛ دفعًا للضرر بقدر الإمكان</w:t>
      </w:r>
      <w:r>
        <w:rPr>
          <w:rFonts w:hint="eastAsia"/>
          <w:rtl/>
        </w:rPr>
        <w:t>»</w:t>
      </w:r>
      <w:r>
        <w:rPr>
          <w:rFonts w:hint="cs"/>
          <w:rtl/>
        </w:rPr>
        <w:t>.</w:t>
      </w:r>
    </w:p>
    <w:p w:rsidR="00035BE3" w:rsidRDefault="00035BE3" w:rsidP="003D5367">
      <w:pPr>
        <w:pStyle w:val="a6"/>
        <w:spacing w:line="420" w:lineRule="exact"/>
        <w:ind w:left="423" w:firstLine="0"/>
        <w:rPr>
          <w:rtl/>
        </w:rPr>
      </w:pPr>
      <w:r>
        <w:rPr>
          <w:rFonts w:hint="cs"/>
          <w:rtl/>
        </w:rPr>
        <w:t xml:space="preserve">فيلحظ أن صاحب (العناية) صدّر القاعدة بقوله : </w:t>
      </w:r>
      <w:r>
        <w:rPr>
          <w:rFonts w:hint="eastAsia"/>
          <w:rtl/>
        </w:rPr>
        <w:t>«</w:t>
      </w:r>
      <w:r>
        <w:rPr>
          <w:rFonts w:hint="cs"/>
          <w:rtl/>
        </w:rPr>
        <w:t>الغرور</w:t>
      </w:r>
      <w:r>
        <w:rPr>
          <w:rFonts w:hint="eastAsia"/>
          <w:rtl/>
        </w:rPr>
        <w:t>»</w:t>
      </w:r>
      <w:r>
        <w:rPr>
          <w:rFonts w:hint="cs"/>
          <w:rtl/>
        </w:rPr>
        <w:t>.</w:t>
      </w:r>
    </w:p>
    <w:p w:rsidR="00035BE3" w:rsidRDefault="00035BE3" w:rsidP="003D5367">
      <w:pPr>
        <w:pStyle w:val="a6"/>
        <w:spacing w:line="420" w:lineRule="exact"/>
        <w:ind w:left="423" w:firstLine="0"/>
        <w:rPr>
          <w:rtl/>
        </w:rPr>
      </w:pPr>
      <w:r>
        <w:rPr>
          <w:rFonts w:hint="cs"/>
          <w:rtl/>
        </w:rPr>
        <w:t xml:space="preserve">كما أنّ صاحب (فتح القدير) صدرها بقوله : </w:t>
      </w:r>
      <w:r>
        <w:rPr>
          <w:rFonts w:hint="eastAsia"/>
          <w:rtl/>
        </w:rPr>
        <w:t>«</w:t>
      </w:r>
      <w:r>
        <w:rPr>
          <w:rFonts w:hint="cs"/>
          <w:rtl/>
        </w:rPr>
        <w:t>التغرير</w:t>
      </w:r>
      <w:r>
        <w:rPr>
          <w:rFonts w:hint="eastAsia"/>
          <w:rtl/>
        </w:rPr>
        <w:t>»</w:t>
      </w:r>
      <w:r>
        <w:rPr>
          <w:rFonts w:hint="cs"/>
          <w:rtl/>
        </w:rPr>
        <w:t>.</w:t>
      </w:r>
    </w:p>
    <w:p w:rsidR="00035BE3" w:rsidRDefault="00035BE3" w:rsidP="003D5367">
      <w:pPr>
        <w:pStyle w:val="a6"/>
        <w:spacing w:line="420" w:lineRule="exact"/>
        <w:ind w:left="423" w:firstLine="0"/>
        <w:rPr>
          <w:rtl/>
        </w:rPr>
      </w:pPr>
      <w:r>
        <w:rPr>
          <w:rFonts w:hint="cs"/>
          <w:rtl/>
        </w:rPr>
        <w:t xml:space="preserve">بينما قال المؤلف </w:t>
      </w:r>
      <w:r>
        <w:rPr>
          <w:rFonts w:hint="eastAsia"/>
          <w:rtl/>
        </w:rPr>
        <w:t>«</w:t>
      </w:r>
      <w:r>
        <w:rPr>
          <w:rFonts w:hint="cs"/>
          <w:rtl/>
        </w:rPr>
        <w:t>المغرور</w:t>
      </w:r>
      <w:r>
        <w:rPr>
          <w:rFonts w:hint="eastAsia"/>
          <w:rtl/>
        </w:rPr>
        <w:t>»</w:t>
      </w:r>
      <w:r>
        <w:rPr>
          <w:rFonts w:hint="cs"/>
          <w:rtl/>
        </w:rPr>
        <w:t>.</w:t>
      </w:r>
    </w:p>
    <w:p w:rsidR="00035BE3" w:rsidRDefault="00035BE3" w:rsidP="003D5367">
      <w:pPr>
        <w:pStyle w:val="a6"/>
        <w:spacing w:line="420" w:lineRule="exact"/>
        <w:ind w:left="423" w:firstLine="0"/>
        <w:rPr>
          <w:spacing w:val="-6"/>
          <w:sz w:val="29"/>
          <w:szCs w:val="29"/>
          <w:rtl/>
        </w:rPr>
      </w:pPr>
      <w:r>
        <w:rPr>
          <w:rFonts w:hint="cs"/>
          <w:spacing w:val="-6"/>
          <w:sz w:val="29"/>
          <w:szCs w:val="29"/>
          <w:rtl/>
        </w:rPr>
        <w:t>ولاشك أن فعلهما أولى من فعل المؤلف؛ لأن الذي يُجعل سببًا للضمان هو الغرور أو التغرير، وليس الشخص المغرور. ثم إن المؤلف نفسه قيد القاعدة بقيد، فأعادها بلفظ مختصر، وصرح فيها بلفظ (الغرور) وليس (المغرور) (وذلك في نهاية الصفحة الآتية).</w:t>
      </w:r>
    </w:p>
    <w:p w:rsidR="00035BE3" w:rsidRDefault="00035BE3" w:rsidP="003D5367">
      <w:pPr>
        <w:pStyle w:val="a6"/>
        <w:spacing w:line="420" w:lineRule="exact"/>
        <w:ind w:left="423" w:firstLine="0"/>
        <w:rPr>
          <w:spacing w:val="-2"/>
          <w:rtl/>
        </w:rPr>
      </w:pPr>
      <w:r>
        <w:rPr>
          <w:rFonts w:hint="cs"/>
          <w:spacing w:val="-2"/>
          <w:rtl/>
        </w:rPr>
        <w:t xml:space="preserve">وقبل الإنتهاء من هذه القاعدة يحسن التنبيه على أن المؤلف سبق أن ذكر قاعدة بمعناها، وهي: </w:t>
      </w:r>
      <w:r>
        <w:rPr>
          <w:rFonts w:hint="eastAsia"/>
          <w:spacing w:val="-2"/>
          <w:rtl/>
        </w:rPr>
        <w:t>«</w:t>
      </w:r>
      <w:r>
        <w:rPr>
          <w:rFonts w:hint="cs"/>
          <w:spacing w:val="-2"/>
          <w:rtl/>
        </w:rPr>
        <w:t>التغرير في المعاوضة سبب الضمان؛ دفعًا للضرر بقدر الإمكان</w:t>
      </w:r>
      <w:r>
        <w:rPr>
          <w:rFonts w:hint="eastAsia"/>
          <w:spacing w:val="-2"/>
          <w:rtl/>
        </w:rPr>
        <w:t>»</w:t>
      </w:r>
      <w:r>
        <w:rPr>
          <w:rFonts w:hint="cs"/>
          <w:spacing w:val="-2"/>
          <w:rtl/>
        </w:rPr>
        <w:t>، وذلك ص536 (ل35/ب)، قاعدة 80.</w:t>
      </w:r>
    </w:p>
    <w:p w:rsidR="00035BE3" w:rsidRDefault="00035BE3" w:rsidP="003D5367">
      <w:pPr>
        <w:pStyle w:val="a6"/>
        <w:spacing w:line="420" w:lineRule="exact"/>
        <w:ind w:left="423" w:firstLine="0"/>
        <w:rPr>
          <w:spacing w:val="-2"/>
          <w:rtl/>
        </w:rPr>
      </w:pPr>
      <w:r>
        <w:rPr>
          <w:rFonts w:hint="cs"/>
          <w:spacing w:val="-2"/>
          <w:rtl/>
        </w:rPr>
        <w:t xml:space="preserve">وقريب منهما قاعدة أخرى، وهي : </w:t>
      </w:r>
      <w:r>
        <w:rPr>
          <w:rFonts w:hint="eastAsia"/>
          <w:spacing w:val="-2"/>
          <w:rtl/>
        </w:rPr>
        <w:t>«</w:t>
      </w:r>
      <w:r>
        <w:rPr>
          <w:rFonts w:hint="cs"/>
          <w:spacing w:val="-2"/>
          <w:rtl/>
        </w:rPr>
        <w:t>الضمان بالتغرير مخصوص بالمعاوضات</w:t>
      </w:r>
      <w:r>
        <w:rPr>
          <w:rFonts w:hint="eastAsia"/>
          <w:spacing w:val="-2"/>
          <w:rtl/>
        </w:rPr>
        <w:t>»</w:t>
      </w:r>
      <w:r>
        <w:rPr>
          <w:rFonts w:hint="cs"/>
          <w:spacing w:val="-2"/>
          <w:rtl/>
        </w:rPr>
        <w:t>، فقد ذكرها، ص812 (ل64/أ)، قاعدة 159.</w:t>
      </w:r>
    </w:p>
  </w:footnote>
  <w:footnote w:id="4748">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هذا التعليل لقول الإمام أبي حنيفة ومحمد. كما صرح بذلك صاحب (العناية) بقوله: </w:t>
      </w:r>
      <w:r>
        <w:rPr>
          <w:rFonts w:hint="eastAsia"/>
          <w:rtl/>
        </w:rPr>
        <w:t>«</w:t>
      </w:r>
      <w:r>
        <w:rPr>
          <w:rFonts w:hint="cs"/>
          <w:b/>
          <w:bCs/>
          <w:rtl/>
        </w:rPr>
        <w:t>ولهما</w:t>
      </w:r>
      <w:r>
        <w:rPr>
          <w:rFonts w:hint="cs"/>
          <w:rtl/>
        </w:rPr>
        <w:t>: أن المشتري اعتمد ...</w:t>
      </w:r>
      <w:r>
        <w:rPr>
          <w:rFonts w:hint="eastAsia"/>
          <w:rtl/>
        </w:rPr>
        <w:t>»</w:t>
      </w:r>
      <w:r>
        <w:rPr>
          <w:rFonts w:hint="cs"/>
          <w:rtl/>
        </w:rPr>
        <w:t>.</w:t>
      </w:r>
    </w:p>
  </w:footnote>
  <w:footnote w:id="4749">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7/46. وانظر أيضًا : الهداية وفتح القدير، 7/46-47؛ الدّرر، 2/192. علمًا بأن المؤلف سبق أن ذكر هذا المثال إجمالاً، ص536 (ل35/ب-36/أ).</w:t>
      </w:r>
    </w:p>
  </w:footnote>
  <w:footnote w:id="4750">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فبايعوه</w:t>
      </w:r>
      <w:r>
        <w:rPr>
          <w:rFonts w:hint="eastAsia"/>
          <w:rtl/>
        </w:rPr>
        <w:t>»</w:t>
      </w:r>
      <w:r>
        <w:rPr>
          <w:rFonts w:hint="cs"/>
          <w:rtl/>
        </w:rPr>
        <w:t xml:space="preserve"> : ساقطة من (د).</w:t>
      </w:r>
    </w:p>
  </w:footnote>
  <w:footnote w:id="4751">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(و) : </w:t>
      </w:r>
      <w:r>
        <w:rPr>
          <w:rFonts w:hint="eastAsia"/>
          <w:rtl/>
        </w:rPr>
        <w:t>«</w:t>
      </w:r>
      <w:r>
        <w:rPr>
          <w:rFonts w:hint="cs"/>
          <w:rtl/>
        </w:rPr>
        <w:t>ديون</w:t>
      </w:r>
      <w:r>
        <w:rPr>
          <w:rFonts w:hint="eastAsia"/>
          <w:rtl/>
        </w:rPr>
        <w:t>»</w:t>
      </w:r>
      <w:r>
        <w:rPr>
          <w:rFonts w:hint="cs"/>
          <w:rtl/>
        </w:rPr>
        <w:t>. وكذلك في مصدر هذه العبارة (وهو العناية).</w:t>
      </w:r>
    </w:p>
  </w:footnote>
  <w:footnote w:id="4752">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59/ب من (د).</w:t>
      </w:r>
    </w:p>
  </w:footnote>
  <w:footnote w:id="4753">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72/ب من (جـ).</w:t>
      </w:r>
    </w:p>
  </w:footnote>
  <w:footnote w:id="4754">
    <w:p w:rsidR="00035BE3" w:rsidRDefault="00035BE3" w:rsidP="003D5367">
      <w:pPr>
        <w:pStyle w:val="a8"/>
        <w:bidi/>
        <w:spacing w:line="420" w:lineRule="exact"/>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يعذر</w:t>
      </w:r>
      <w:r>
        <w:rPr>
          <w:rFonts w:hint="eastAsia"/>
          <w:rtl/>
        </w:rPr>
        <w:t>»</w:t>
      </w:r>
      <w:r>
        <w:rPr>
          <w:rFonts w:hint="cs"/>
          <w:rtl/>
        </w:rPr>
        <w:t>.</w:t>
      </w:r>
    </w:p>
  </w:footnote>
  <w:footnote w:id="4755">
    <w:p w:rsidR="00035BE3" w:rsidRDefault="00035BE3" w:rsidP="003D5367">
      <w:pPr>
        <w:pStyle w:val="a8"/>
        <w:bidi/>
        <w:ind w:left="426"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7/46-47؛ وانظر : الهداية وفتح القدير، 7/47، 48.</w:t>
      </w:r>
    </w:p>
  </w:footnote>
  <w:footnote w:id="4756">
    <w:p w:rsidR="00035BE3" w:rsidRDefault="00035BE3" w:rsidP="003D5367">
      <w:pPr>
        <w:pStyle w:val="a8"/>
        <w:bidi/>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في (جـ) : مختص.</w:t>
      </w:r>
    </w:p>
  </w:footnote>
  <w:footnote w:id="4757">
    <w:p w:rsidR="00035BE3" w:rsidRDefault="00035BE3" w:rsidP="003D5367">
      <w:pPr>
        <w:pStyle w:val="a8"/>
        <w:bidi/>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نهاية 98/ب من (أ).</w:t>
      </w:r>
    </w:p>
  </w:footnote>
  <w:footnote w:id="4758">
    <w:p w:rsidR="00035BE3" w:rsidRDefault="00035BE3" w:rsidP="003D5367">
      <w:pPr>
        <w:pStyle w:val="a8"/>
        <w:bidi/>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هذا المعنى سبق أن أفرده المؤلف في قاعدة مستقلة، وهي : </w:t>
      </w:r>
      <w:r>
        <w:rPr>
          <w:rFonts w:hint="eastAsia"/>
          <w:rtl/>
        </w:rPr>
        <w:t>«</w:t>
      </w:r>
      <w:r>
        <w:rPr>
          <w:rFonts w:hint="cs"/>
          <w:rtl/>
        </w:rPr>
        <w:t>الضمان بالتغرير مخصوص بالمعاوضات</w:t>
      </w:r>
      <w:r>
        <w:rPr>
          <w:rFonts w:hint="eastAsia"/>
          <w:rtl/>
        </w:rPr>
        <w:t>»</w:t>
      </w:r>
      <w:r>
        <w:rPr>
          <w:rFonts w:hint="cs"/>
          <w:rtl/>
        </w:rPr>
        <w:t>، وذلك ص812 (ل64/أ)، قاعدة 159. وانظره في العناية، 7/47.</w:t>
      </w:r>
    </w:p>
  </w:footnote>
  <w:footnote w:id="4759">
    <w:p w:rsidR="00035BE3" w:rsidRDefault="00035BE3" w:rsidP="003D5367">
      <w:pPr>
        <w:pStyle w:val="a8"/>
        <w:bidi/>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هذا المثال سبق أن ذكره المؤلف، ص812 (ل64/أ)، وقد اتفقت جميع النسخ هناك على قوله : </w:t>
      </w:r>
      <w:r>
        <w:rPr>
          <w:rFonts w:hint="eastAsia"/>
          <w:rtl/>
        </w:rPr>
        <w:t>«</w:t>
      </w:r>
      <w:r>
        <w:rPr>
          <w:rFonts w:hint="cs"/>
          <w:rtl/>
        </w:rPr>
        <w:t xml:space="preserve">... إذا سأل غيره </w:t>
      </w:r>
      <w:r>
        <w:rPr>
          <w:rFonts w:hint="cs"/>
          <w:b/>
          <w:bCs/>
          <w:rtl/>
        </w:rPr>
        <w:t>عن أمن</w:t>
      </w:r>
      <w:r>
        <w:rPr>
          <w:rFonts w:hint="cs"/>
          <w:rtl/>
        </w:rPr>
        <w:t xml:space="preserve"> الطريق ...</w:t>
      </w:r>
      <w:r>
        <w:rPr>
          <w:rFonts w:hint="eastAsia"/>
          <w:rtl/>
        </w:rPr>
        <w:t>»</w:t>
      </w:r>
      <w:r>
        <w:rPr>
          <w:rFonts w:hint="cs"/>
          <w:rtl/>
        </w:rPr>
        <w:t>؛ وفاقًا لمصدر هذا المثال (وهو العناية).</w:t>
      </w:r>
    </w:p>
  </w:footnote>
  <w:footnote w:id="4760">
    <w:p w:rsidR="00035BE3" w:rsidRDefault="00035BE3" w:rsidP="003D5367">
      <w:pPr>
        <w:pStyle w:val="a8"/>
        <w:bidi/>
        <w:ind w:left="426" w:right="0"/>
        <w:rPr>
          <w:rtl/>
        </w:rPr>
      </w:pPr>
      <w:r>
        <w:rPr>
          <w:rFonts w:hint="cs"/>
          <w:vertAlign w:val="superscript"/>
          <w:rtl/>
        </w:rPr>
        <w:t>(</w:t>
      </w:r>
      <w:r>
        <w:rPr>
          <w:rStyle w:val="a7"/>
        </w:rPr>
        <w:footnoteRef/>
      </w:r>
      <w:r>
        <w:rPr>
          <w:rFonts w:hint="cs"/>
          <w:vertAlign w:val="superscript"/>
          <w:rtl/>
        </w:rPr>
        <w:t>)</w:t>
      </w:r>
      <w:r>
        <w:rPr>
          <w:rFonts w:hint="cs"/>
          <w:rtl/>
        </w:rPr>
        <w:t xml:space="preserve">  في (و) : </w:t>
      </w:r>
      <w:r>
        <w:rPr>
          <w:rFonts w:hint="eastAsia"/>
          <w:rtl/>
        </w:rPr>
        <w:t>«</w:t>
      </w:r>
      <w:r>
        <w:rPr>
          <w:rFonts w:hint="cs"/>
          <w:rtl/>
        </w:rPr>
        <w:t>فسلكه</w:t>
      </w:r>
      <w:r>
        <w:rPr>
          <w:rFonts w:hint="eastAsia"/>
          <w:rtl/>
        </w:rPr>
        <w:t>»</w:t>
      </w:r>
      <w:r>
        <w:rPr>
          <w:rFonts w:hint="cs"/>
          <w:rtl/>
        </w:rPr>
        <w:t>؛ وفاقًا للعناية. علمًا بأن جميع النسخ اتفقت على زيادة هاء الضمير في الموضع السابق (ص812 (ل64/أ)).</w:t>
      </w:r>
    </w:p>
  </w:footnote>
  <w:footnote w:id="4761">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فظهر</w:t>
      </w:r>
      <w:r>
        <w:rPr>
          <w:rFonts w:hint="eastAsia"/>
          <w:rtl/>
        </w:rPr>
        <w:t>»</w:t>
      </w:r>
      <w:r>
        <w:rPr>
          <w:rFonts w:hint="cs"/>
          <w:rtl/>
        </w:rPr>
        <w:t>؛ وفاقًا للعناية.</w:t>
      </w:r>
    </w:p>
  </w:footnote>
  <w:footnote w:id="4762">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7/47، مع الاختلاف الذي سبق بيانه. ومما يضاف إليه أنه قال في نهاية العبارة : </w:t>
      </w:r>
      <w:r>
        <w:rPr>
          <w:rFonts w:hint="eastAsia"/>
          <w:rtl/>
        </w:rPr>
        <w:t>«</w:t>
      </w:r>
      <w:r>
        <w:rPr>
          <w:rFonts w:hint="cs"/>
          <w:rtl/>
        </w:rPr>
        <w:t>... فأكل، فمات، فظهر بخلافه؛ لكونه تعزيرًا في غير معاوضة</w:t>
      </w:r>
      <w:r>
        <w:rPr>
          <w:rFonts w:hint="eastAsia"/>
          <w:rtl/>
        </w:rPr>
        <w:t>»</w:t>
      </w:r>
      <w:r>
        <w:rPr>
          <w:rFonts w:hint="cs"/>
          <w:rtl/>
        </w:rPr>
        <w:t>؛ وانظر : فتح القدير، 7/47-48- علمًا بأن المؤلف سبق أن ذكر هذين المثالين، ص812-813 (ل64/أ).</w:t>
      </w:r>
    </w:p>
  </w:footnote>
  <w:footnote w:id="4763">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7/47؛ وانظر : فتح القدير، 7/47.</w:t>
      </w:r>
    </w:p>
  </w:footnote>
  <w:footnote w:id="4764">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نهاية 62/ب من (ب).</w:t>
      </w:r>
    </w:p>
  </w:footnote>
  <w:footnote w:id="4765">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ارتهن</w:t>
      </w:r>
      <w:r>
        <w:rPr>
          <w:rFonts w:hint="eastAsia"/>
          <w:rtl/>
        </w:rPr>
        <w:t>»</w:t>
      </w:r>
      <w:r>
        <w:rPr>
          <w:rFonts w:hint="cs"/>
          <w:rtl/>
        </w:rPr>
        <w:t>.</w:t>
      </w:r>
    </w:p>
  </w:footnote>
  <w:footnote w:id="4766">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أي : على العبد.</w:t>
      </w:r>
    </w:p>
  </w:footnote>
  <w:footnote w:id="4767">
    <w:p w:rsidR="00035BE3" w:rsidRDefault="00035BE3" w:rsidP="003D5367">
      <w:pPr>
        <w:pStyle w:val="a8"/>
        <w:bidi/>
        <w:ind w:left="423"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وشرحيها : العناية وفتح القدير، 7/46، 47؛ الدرر شرح الغرر، 2/192.</w:t>
      </w:r>
    </w:p>
    <w:p w:rsidR="00035BE3" w:rsidRDefault="00035BE3" w:rsidP="003D5367">
      <w:pPr>
        <w:pStyle w:val="a6"/>
        <w:ind w:left="423" w:firstLine="0"/>
        <w:rPr>
          <w:rtl/>
        </w:rPr>
      </w:pPr>
      <w:r>
        <w:rPr>
          <w:rFonts w:hint="cs"/>
          <w:rtl/>
        </w:rPr>
        <w:t xml:space="preserve">ونص (الهداية) و(فتح القدير) : </w:t>
      </w:r>
      <w:r>
        <w:rPr>
          <w:rFonts w:hint="eastAsia"/>
          <w:rtl/>
        </w:rPr>
        <w:t>«</w:t>
      </w:r>
      <w:r>
        <w:rPr>
          <w:rFonts w:hint="cs"/>
          <w:rtl/>
        </w:rPr>
        <w:t>(ولو ارتهن عبدًا مقرًّا بالرِّق فظهر حرًّا)، وقد كان قال : ارتهني، فإني عبد الراهن (لم يرجع عليه) أي : على العبد (على كل حال) أي : سواء كان الراهن حاضرًا أو غائبًا، يُعرف مكانه أولا يعرف. وهذا ظاهر الرواية عنهم</w:t>
      </w:r>
      <w:r>
        <w:rPr>
          <w:rFonts w:hint="eastAsia"/>
          <w:rtl/>
        </w:rPr>
        <w:t>»</w:t>
      </w:r>
      <w:r>
        <w:rPr>
          <w:rFonts w:hint="cs"/>
          <w:rtl/>
        </w:rPr>
        <w:t>.</w:t>
      </w:r>
    </w:p>
  </w:footnote>
  <w:footnote w:id="476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ولعلّ المعنى: يتعلق حكم (أي حكم المقاصد) ولو قيل : (تتعلّق) لكان أوضح؛ وفاقًا لمصادر القاعدة الآتي ذكرها؛ إذ الفاعل ضمير مستتر تقديره (هي) يعود إلى (المقاصد).</w:t>
      </w:r>
    </w:p>
  </w:footnote>
  <w:footnote w:id="476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يذكرها كثير من الحنفية في معرض التفريق بين العرض والعقار من جهة، والنقود من جهة أخرى؛ إذْ كل من العرض والعقار مقصود لذاته، بينما النقود وسيلة لتملك غيرها. </w:t>
      </w:r>
      <w:r>
        <w:rPr>
          <w:rtl/>
        </w:rPr>
        <w:t>–</w:t>
      </w:r>
      <w:r>
        <w:rPr>
          <w:rFonts w:hint="cs"/>
          <w:rtl/>
        </w:rPr>
        <w:t>وقد سبق بيان معنى العرض، ص709-.</w:t>
      </w:r>
    </w:p>
    <w:p w:rsidR="00035BE3" w:rsidRDefault="00035BE3" w:rsidP="003D5367">
      <w:pPr>
        <w:pStyle w:val="a6"/>
        <w:ind w:left="422" w:firstLine="0"/>
        <w:rPr>
          <w:rtl/>
        </w:rPr>
      </w:pPr>
      <w:r>
        <w:rPr>
          <w:rFonts w:hint="cs"/>
          <w:rtl/>
        </w:rPr>
        <w:t xml:space="preserve">إذا علم هذا </w:t>
      </w:r>
      <w:r>
        <w:rPr>
          <w:rFonts w:hint="cs"/>
          <w:b/>
          <w:bCs/>
          <w:rtl/>
        </w:rPr>
        <w:t>فالمعنى الإجمالي للقاعدة</w:t>
      </w:r>
      <w:r>
        <w:rPr>
          <w:rFonts w:hint="cs"/>
          <w:rtl/>
        </w:rPr>
        <w:t xml:space="preserve"> :</w:t>
      </w:r>
    </w:p>
    <w:p w:rsidR="00035BE3" w:rsidRDefault="00035BE3" w:rsidP="003D5367">
      <w:pPr>
        <w:pStyle w:val="a6"/>
        <w:ind w:left="422" w:firstLine="0"/>
        <w:rPr>
          <w:rtl/>
        </w:rPr>
      </w:pPr>
      <w:r>
        <w:rPr>
          <w:rFonts w:hint="cs"/>
          <w:rtl/>
        </w:rPr>
        <w:t>إن الشأن في الإنسان إذا تملك عقارًا أو عروضًا أن يتعلق مقصوده منهما بذاتهما وحقيقتهما.</w:t>
      </w:r>
    </w:p>
    <w:p w:rsidR="00035BE3" w:rsidRDefault="00035BE3" w:rsidP="003D5367">
      <w:pPr>
        <w:pStyle w:val="a6"/>
        <w:ind w:left="422" w:firstLine="0"/>
        <w:rPr>
          <w:spacing w:val="-4"/>
          <w:rtl/>
        </w:rPr>
      </w:pPr>
      <w:r>
        <w:rPr>
          <w:rFonts w:hint="cs"/>
          <w:b/>
          <w:bCs/>
          <w:spacing w:val="-4"/>
          <w:rtl/>
        </w:rPr>
        <w:t>ويترتّب على هذا</w:t>
      </w:r>
      <w:r>
        <w:rPr>
          <w:rFonts w:hint="cs"/>
          <w:spacing w:val="-4"/>
          <w:rtl/>
        </w:rPr>
        <w:t xml:space="preserve"> : أنه لو تعلق بهما حقٌّ للآخرين فالمالك أولى من الآخرين؛ لكون مقصود المالك منهما متعلقًا بذاتهما، بخلاف مقصود الآخرين، فلا يبيعهما القاضي لقضاء الحقّ الماليّ للآخرين بدون إذن المالك.</w:t>
      </w:r>
    </w:p>
    <w:p w:rsidR="00035BE3" w:rsidRDefault="00035BE3" w:rsidP="003D5367">
      <w:pPr>
        <w:pStyle w:val="a6"/>
        <w:ind w:left="422" w:firstLine="0"/>
        <w:rPr>
          <w:rtl/>
        </w:rPr>
      </w:pPr>
      <w:r>
        <w:rPr>
          <w:rFonts w:hint="cs"/>
          <w:rtl/>
        </w:rPr>
        <w:t>والقول بعدم بيع القاضي لعرض المديون وعقاره للدين هو قول الإمام أبي حنيفة، وخالفه صاحباه وقالا : يبيعهما بالدين. وهذا هو المفتى به عند الحنفية، كما صرّح بذلك صاحب تكملة البحر الرائق -8/95-، وكذلك الحال في تنوير الأبصار والدر المختار ورد المحتار -9/221-.</w:t>
      </w:r>
    </w:p>
    <w:p w:rsidR="00035BE3" w:rsidRDefault="00035BE3" w:rsidP="003D5367">
      <w:pPr>
        <w:pStyle w:val="a6"/>
        <w:spacing w:line="420" w:lineRule="exact"/>
        <w:ind w:left="422" w:firstLine="0"/>
        <w:rPr>
          <w:rtl/>
        </w:rPr>
      </w:pPr>
      <w:r>
        <w:rPr>
          <w:rFonts w:hint="cs"/>
          <w:rtl/>
        </w:rPr>
        <w:t>وهذا الخلاف بين الثلاثة إذا كان الأمر في حياة المالك، أما بعد موته فإنهما يباعان باتفاق الثلاثة. وقد صرّح بذلك صاحب تكملة البحر الرائق -8/95-.</w:t>
      </w:r>
    </w:p>
    <w:p w:rsidR="00035BE3" w:rsidRDefault="00035BE3" w:rsidP="003D5367">
      <w:pPr>
        <w:pStyle w:val="a6"/>
        <w:spacing w:line="420" w:lineRule="exact"/>
        <w:ind w:left="422" w:firstLine="0"/>
        <w:rPr>
          <w:rtl/>
        </w:rPr>
      </w:pPr>
      <w:r>
        <w:rPr>
          <w:rFonts w:hint="cs"/>
          <w:rtl/>
        </w:rPr>
        <w:t>هذا ما يتعلق بمعنى القاعدة.</w:t>
      </w:r>
    </w:p>
    <w:p w:rsidR="00035BE3" w:rsidRDefault="00035BE3" w:rsidP="003D5367">
      <w:pPr>
        <w:pStyle w:val="a6"/>
        <w:spacing w:line="420" w:lineRule="exact"/>
        <w:ind w:left="422" w:firstLine="0"/>
        <w:rPr>
          <w:rtl/>
        </w:rPr>
      </w:pPr>
      <w:r>
        <w:rPr>
          <w:rFonts w:hint="cs"/>
          <w:b/>
          <w:bCs/>
          <w:rtl/>
        </w:rPr>
        <w:t>أما توثيقها</w:t>
      </w:r>
      <w:r>
        <w:rPr>
          <w:rFonts w:hint="cs"/>
          <w:rtl/>
        </w:rPr>
        <w:t xml:space="preserve"> : </w:t>
      </w:r>
    </w:p>
    <w:p w:rsidR="00035BE3" w:rsidRDefault="00035BE3" w:rsidP="003D5367">
      <w:pPr>
        <w:pStyle w:val="a6"/>
        <w:spacing w:line="420" w:lineRule="exact"/>
        <w:ind w:left="422" w:firstLine="0"/>
        <w:rPr>
          <w:rtl/>
        </w:rPr>
      </w:pPr>
      <w:r>
        <w:rPr>
          <w:rFonts w:hint="cs"/>
          <w:rtl/>
        </w:rPr>
        <w:t>فقد وردت بلفظها أو نحوه في بعض كتب الفقه الحنفي، منها :</w:t>
      </w:r>
    </w:p>
    <w:p w:rsidR="00035BE3" w:rsidRDefault="00035BE3" w:rsidP="003D5367">
      <w:pPr>
        <w:pStyle w:val="a6"/>
        <w:spacing w:line="420" w:lineRule="exact"/>
        <w:ind w:left="422" w:firstLine="0"/>
        <w:rPr>
          <w:rtl/>
        </w:rPr>
      </w:pPr>
      <w:r>
        <w:rPr>
          <w:rFonts w:hint="cs"/>
          <w:rtl/>
        </w:rPr>
        <w:t>الهداية، 9/276؛ الدرر شرح الغرر، 2/275؛ تبيين الحقائق، 5/199؛ رد المحتار، 9/221.</w:t>
      </w:r>
    </w:p>
  </w:footnote>
  <w:footnote w:id="477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بدراهم</w:t>
      </w:r>
      <w:r>
        <w:rPr>
          <w:rFonts w:hint="eastAsia"/>
          <w:rtl/>
        </w:rPr>
        <w:t>»</w:t>
      </w:r>
      <w:r>
        <w:rPr>
          <w:rFonts w:hint="cs"/>
          <w:rtl/>
        </w:rPr>
        <w:t>. وكلاهما صحيح. والمُثبتَ من (أ) و(د) هو الموافق لمصدر هذه العبارة (وهو الدّرر).</w:t>
      </w:r>
    </w:p>
  </w:footnote>
  <w:footnote w:id="477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أو</w:t>
      </w:r>
      <w:r>
        <w:rPr>
          <w:rFonts w:hint="eastAsia"/>
          <w:rtl/>
        </w:rPr>
        <w:t>»</w:t>
      </w:r>
      <w:r>
        <w:rPr>
          <w:rFonts w:hint="cs"/>
          <w:rtl/>
        </w:rPr>
        <w:t>.</w:t>
      </w:r>
    </w:p>
  </w:footnote>
  <w:footnote w:id="477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2/275 - مع اختلاف يسير-؛ وانظر: تبيين الحقائق، 5/199-200؛ تكملة </w:t>
      </w:r>
      <w:r w:rsidRPr="00020F1A">
        <w:rPr>
          <w:rFonts w:hint="cs"/>
          <w:spacing w:val="-2"/>
          <w:rtl/>
        </w:rPr>
        <w:t>البحر الرائق، 8/94-95؛ تنوير الأبصار والدر المختار ورد المحتار، 9/221؛ والأخير فقط، 8/69.</w:t>
      </w:r>
    </w:p>
    <w:p w:rsidR="00035BE3" w:rsidRDefault="00035BE3" w:rsidP="003D5367">
      <w:pPr>
        <w:pStyle w:val="a6"/>
        <w:ind w:left="422" w:firstLine="0"/>
        <w:rPr>
          <w:rtl/>
        </w:rPr>
      </w:pPr>
      <w:r>
        <w:rPr>
          <w:rFonts w:hint="cs"/>
          <w:rtl/>
        </w:rPr>
        <w:t>وعدم بيع عقار المديون وعروضه لدارهم دينه هو رأي الإمام أبي حنيفة، وخالفه صاحباه وقالا ببيعهما. وقد سبق بيان ذلك عند توضيح القاعدة.</w:t>
      </w:r>
    </w:p>
  </w:footnote>
  <w:footnote w:id="4773">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5C29E2">
        <w:rPr>
          <w:rFonts w:hint="cs"/>
          <w:spacing w:val="-4"/>
          <w:rtl/>
        </w:rPr>
        <w:t>انظر مسألة بيع الدنانير لدارهم دينه والعكس في: الهداية والعناية ونتائج الأفكار، 9/275-276؛</w:t>
      </w:r>
      <w:r>
        <w:rPr>
          <w:rFonts w:hint="cs"/>
          <w:rtl/>
        </w:rPr>
        <w:t xml:space="preserve"> </w:t>
      </w:r>
      <w:r w:rsidRPr="005C29E2">
        <w:rPr>
          <w:rFonts w:hint="cs"/>
          <w:spacing w:val="-4"/>
          <w:rtl/>
        </w:rPr>
        <w:t>كنز الدقائق وشرحاه: تبيين الحقائق، 5/199؛ وتكملة البحر الرائق، 8/94؛ الدرر شرح الغرر، 2/275.</w:t>
      </w:r>
    </w:p>
  </w:footnote>
  <w:footnote w:id="4774">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الديون</w:t>
      </w:r>
      <w:r>
        <w:rPr>
          <w:rFonts w:hint="eastAsia"/>
          <w:rtl/>
        </w:rPr>
        <w:t>»</w:t>
      </w:r>
      <w:r>
        <w:rPr>
          <w:rFonts w:hint="cs"/>
          <w:rtl/>
        </w:rPr>
        <w:t>.</w:t>
      </w:r>
    </w:p>
  </w:footnote>
  <w:footnote w:id="4775">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معمول</w:t>
      </w:r>
      <w:r>
        <w:rPr>
          <w:rFonts w:hint="eastAsia"/>
          <w:rtl/>
        </w:rPr>
        <w:t>»</w:t>
      </w:r>
      <w:r>
        <w:rPr>
          <w:rFonts w:hint="cs"/>
          <w:rtl/>
        </w:rPr>
        <w:t>.</w:t>
      </w:r>
    </w:p>
  </w:footnote>
  <w:footnote w:id="4776">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متموِّل في اللغة</w:t>
      </w:r>
      <w:r>
        <w:rPr>
          <w:rFonts w:hint="cs"/>
          <w:rtl/>
        </w:rPr>
        <w:t xml:space="preserve"> : اسم فاعل من (تَمَوَّلَ)، يُقال : </w:t>
      </w:r>
      <w:r>
        <w:rPr>
          <w:rFonts w:hint="eastAsia"/>
          <w:rtl/>
        </w:rPr>
        <w:t>«</w:t>
      </w:r>
      <w:r>
        <w:rPr>
          <w:rFonts w:hint="cs"/>
          <w:rtl/>
        </w:rPr>
        <w:t>مِلْتَ بعدنا، تَمال، ومُلْتَ، وتَموَّلت، كلّه : كَثُرَ مالكُ. ويُقال : تموَّل فلان مالاً إذا اتّخذ قينة...</w:t>
      </w:r>
      <w:r>
        <w:rPr>
          <w:rFonts w:hint="eastAsia"/>
          <w:rtl/>
        </w:rPr>
        <w:t>»</w:t>
      </w:r>
      <w:r>
        <w:rPr>
          <w:rFonts w:hint="cs"/>
          <w:rtl/>
        </w:rPr>
        <w:t>. قاله صاحب اللسان.</w:t>
      </w:r>
    </w:p>
    <w:p w:rsidR="00035BE3" w:rsidRDefault="00035BE3" w:rsidP="003D5367">
      <w:pPr>
        <w:pStyle w:val="a6"/>
        <w:ind w:left="422" w:firstLine="0"/>
        <w:rPr>
          <w:rtl/>
        </w:rPr>
      </w:pPr>
      <w:r>
        <w:rPr>
          <w:rFonts w:hint="cs"/>
          <w:rtl/>
        </w:rPr>
        <w:t>وبناء على هذا فإن المراد بالمتموِّل هنا : الكثير المال.</w:t>
      </w:r>
    </w:p>
    <w:p w:rsidR="00035BE3" w:rsidRDefault="00035BE3" w:rsidP="003D5367">
      <w:pPr>
        <w:pStyle w:val="a6"/>
        <w:ind w:left="422" w:firstLine="0"/>
        <w:rPr>
          <w:rtl/>
        </w:rPr>
      </w:pPr>
      <w:r>
        <w:rPr>
          <w:rFonts w:hint="cs"/>
          <w:rtl/>
        </w:rPr>
        <w:t xml:space="preserve">لسان العرب، مادة </w:t>
      </w:r>
      <w:r>
        <w:rPr>
          <w:rFonts w:hint="eastAsia"/>
          <w:rtl/>
        </w:rPr>
        <w:t>«</w:t>
      </w:r>
      <w:r>
        <w:rPr>
          <w:rFonts w:hint="cs"/>
          <w:rtl/>
        </w:rPr>
        <w:t>مول</w:t>
      </w:r>
      <w:r>
        <w:rPr>
          <w:rFonts w:hint="eastAsia"/>
          <w:rtl/>
        </w:rPr>
        <w:t>»</w:t>
      </w:r>
      <w:r>
        <w:rPr>
          <w:rFonts w:hint="cs"/>
          <w:rtl/>
        </w:rPr>
        <w:t xml:space="preserve">، 11/635؛ وانظر : المقاييس في اللغة، مادة </w:t>
      </w:r>
      <w:r>
        <w:rPr>
          <w:rFonts w:hint="eastAsia"/>
          <w:rtl/>
        </w:rPr>
        <w:t>«</w:t>
      </w:r>
      <w:r>
        <w:rPr>
          <w:rFonts w:hint="cs"/>
          <w:rtl/>
        </w:rPr>
        <w:t>مول</w:t>
      </w:r>
      <w:r>
        <w:rPr>
          <w:rFonts w:hint="eastAsia"/>
          <w:rtl/>
        </w:rPr>
        <w:t>»</w:t>
      </w:r>
      <w:r>
        <w:rPr>
          <w:rFonts w:hint="cs"/>
          <w:rtl/>
        </w:rPr>
        <w:t xml:space="preserve">، ص969؛ المعجم الوسيط، مادة </w:t>
      </w:r>
      <w:r>
        <w:rPr>
          <w:rFonts w:hint="eastAsia"/>
          <w:rtl/>
        </w:rPr>
        <w:t>«</w:t>
      </w:r>
      <w:r>
        <w:rPr>
          <w:rFonts w:hint="cs"/>
          <w:rtl/>
        </w:rPr>
        <w:t>مال</w:t>
      </w:r>
      <w:r>
        <w:rPr>
          <w:rFonts w:hint="eastAsia"/>
          <w:rtl/>
        </w:rPr>
        <w:t>»</w:t>
      </w:r>
      <w:r>
        <w:rPr>
          <w:rFonts w:hint="cs"/>
          <w:rtl/>
        </w:rPr>
        <w:t>، 2/892.</w:t>
      </w:r>
    </w:p>
  </w:footnote>
  <w:footnote w:id="477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99/أ من (أ).</w:t>
      </w:r>
    </w:p>
  </w:footnote>
  <w:footnote w:id="477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ببيع القاضي لنقود المديون.</w:t>
      </w:r>
    </w:p>
  </w:footnote>
  <w:footnote w:id="477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الكلمة حصل فيها اختلاف بين النسخ، ففي (أ) : </w:t>
      </w:r>
      <w:r>
        <w:rPr>
          <w:rFonts w:hint="eastAsia"/>
          <w:rtl/>
        </w:rPr>
        <w:t>«</w:t>
      </w:r>
      <w:r>
        <w:rPr>
          <w:rFonts w:hint="cs"/>
          <w:rtl/>
        </w:rPr>
        <w:t>ما وقع</w:t>
      </w:r>
      <w:r>
        <w:rPr>
          <w:rFonts w:hint="eastAsia"/>
          <w:rtl/>
        </w:rPr>
        <w:t>»</w:t>
      </w:r>
      <w:r>
        <w:rPr>
          <w:rFonts w:hint="cs"/>
          <w:rtl/>
        </w:rPr>
        <w:t xml:space="preserve">، وفي (ب) : </w:t>
      </w:r>
      <w:r>
        <w:rPr>
          <w:rFonts w:hint="eastAsia"/>
          <w:rtl/>
        </w:rPr>
        <w:t>«</w:t>
      </w:r>
      <w:r>
        <w:rPr>
          <w:rFonts w:hint="cs"/>
          <w:rtl/>
        </w:rPr>
        <w:t>مدفع</w:t>
      </w:r>
      <w:r>
        <w:rPr>
          <w:rFonts w:hint="eastAsia"/>
          <w:rtl/>
        </w:rPr>
        <w:t>»</w:t>
      </w:r>
      <w:r>
        <w:rPr>
          <w:rFonts w:hint="cs"/>
          <w:rtl/>
        </w:rPr>
        <w:t xml:space="preserve">، وفي (جـ) </w:t>
      </w:r>
      <w:r>
        <w:rPr>
          <w:rFonts w:hint="eastAsia"/>
          <w:rtl/>
        </w:rPr>
        <w:t>«</w:t>
      </w:r>
      <w:r>
        <w:rPr>
          <w:rFonts w:hint="cs"/>
          <w:rtl/>
        </w:rPr>
        <w:t>فاقع</w:t>
      </w:r>
      <w:r>
        <w:rPr>
          <w:rFonts w:hint="eastAsia"/>
          <w:rtl/>
        </w:rPr>
        <w:t>»</w:t>
      </w:r>
      <w:r>
        <w:rPr>
          <w:rFonts w:hint="cs"/>
          <w:rtl/>
        </w:rPr>
        <w:t xml:space="preserve">، وفي (د) : </w:t>
      </w:r>
      <w:r>
        <w:rPr>
          <w:rFonts w:hint="eastAsia"/>
          <w:rtl/>
        </w:rPr>
        <w:t>«</w:t>
      </w:r>
      <w:r>
        <w:rPr>
          <w:rFonts w:hint="cs"/>
          <w:rtl/>
        </w:rPr>
        <w:t>دفع</w:t>
      </w:r>
      <w:r>
        <w:rPr>
          <w:rFonts w:hint="eastAsia"/>
          <w:rtl/>
        </w:rPr>
        <w:t>»</w:t>
      </w:r>
      <w:r>
        <w:rPr>
          <w:rFonts w:hint="cs"/>
          <w:rtl/>
        </w:rPr>
        <w:t xml:space="preserve">، وفي (هـ) و(و) : </w:t>
      </w:r>
      <w:r>
        <w:rPr>
          <w:rFonts w:hint="eastAsia"/>
          <w:rtl/>
        </w:rPr>
        <w:t>«</w:t>
      </w:r>
      <w:r>
        <w:rPr>
          <w:rFonts w:hint="cs"/>
          <w:rtl/>
        </w:rPr>
        <w:t>مانع</w:t>
      </w:r>
      <w:r>
        <w:rPr>
          <w:rFonts w:hint="eastAsia"/>
          <w:rtl/>
        </w:rPr>
        <w:t>»</w:t>
      </w:r>
      <w:r>
        <w:rPr>
          <w:rFonts w:hint="cs"/>
          <w:rtl/>
        </w:rPr>
        <w:t>.</w:t>
      </w:r>
    </w:p>
    <w:p w:rsidR="00035BE3" w:rsidRDefault="00035BE3" w:rsidP="003D5367">
      <w:pPr>
        <w:pStyle w:val="a6"/>
        <w:ind w:left="422" w:firstLine="0"/>
        <w:rPr>
          <w:rtl/>
        </w:rPr>
      </w:pPr>
      <w:r>
        <w:rPr>
          <w:rFonts w:hint="cs"/>
          <w:rtl/>
        </w:rPr>
        <w:t>ولعل الصحيح -والله أعلم- : ما تم إثباته من (هـ) و(و)؛ لأنه باللفظ المثبت منهما يكون المعنى : لأن أداء الدين وبيع القاضي فيه مناعة وحماية للغريم وللمدين؛ إذْ الأول (وهو أداء الدين) فيه مناعة وحماية للغريم؛ لأنه بذلك تمَّ استيفاء دينه، كما أنَّ الثاني (وهو بيع القاضي لنقود المديون) فيه حماية له من مطالبة الغريم له؛ لأنه بذلك تمَّ أداء دينه - والله أعلم-.</w:t>
      </w:r>
    </w:p>
  </w:footnote>
  <w:footnote w:id="478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يقوى</w:t>
      </w:r>
      <w:r>
        <w:rPr>
          <w:rFonts w:hint="eastAsia"/>
          <w:rtl/>
        </w:rPr>
        <w:t>»</w:t>
      </w:r>
      <w:r>
        <w:rPr>
          <w:rFonts w:hint="cs"/>
          <w:rtl/>
        </w:rPr>
        <w:t xml:space="preserve">، وفي (ب) : </w:t>
      </w:r>
      <w:r>
        <w:rPr>
          <w:rFonts w:hint="eastAsia"/>
          <w:rtl/>
        </w:rPr>
        <w:t>«</w:t>
      </w:r>
      <w:r>
        <w:rPr>
          <w:rFonts w:hint="cs"/>
          <w:rtl/>
        </w:rPr>
        <w:t>يعتنى</w:t>
      </w:r>
      <w:r>
        <w:rPr>
          <w:rFonts w:hint="eastAsia"/>
          <w:rtl/>
        </w:rPr>
        <w:t>»</w:t>
      </w:r>
      <w:r>
        <w:rPr>
          <w:rFonts w:hint="cs"/>
          <w:rtl/>
        </w:rPr>
        <w:t>. والصواب ما تمَّ إثباته من (د).</w:t>
      </w:r>
    </w:p>
  </w:footnote>
  <w:footnote w:id="478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لنقود</w:t>
      </w:r>
      <w:r>
        <w:rPr>
          <w:rFonts w:hint="eastAsia"/>
          <w:rtl/>
        </w:rPr>
        <w:t>»</w:t>
      </w:r>
      <w:r>
        <w:rPr>
          <w:rFonts w:hint="cs"/>
          <w:rtl/>
        </w:rPr>
        <w:t>.</w:t>
      </w:r>
    </w:p>
  </w:footnote>
  <w:footnote w:id="478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إليه</w:t>
      </w:r>
      <w:r>
        <w:rPr>
          <w:rFonts w:hint="eastAsia"/>
          <w:rtl/>
        </w:rPr>
        <w:t>»</w:t>
      </w:r>
      <w:r>
        <w:rPr>
          <w:rFonts w:hint="cs"/>
          <w:rtl/>
        </w:rPr>
        <w:t>.</w:t>
      </w:r>
    </w:p>
  </w:footnote>
  <w:footnote w:id="478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بعض كتب الفقه الحنفي وقواعده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spacing w:val="6"/>
          <w:rtl/>
        </w:rPr>
      </w:pPr>
      <w:r>
        <w:rPr>
          <w:rFonts w:hint="cs"/>
          <w:spacing w:val="6"/>
          <w:rtl/>
        </w:rPr>
        <w:t xml:space="preserve">الأشباه لابن نجيم، ص250؛ قواعد الفقه له أيضًا، ص152، قاعدة 173 - ولفظه في أشباهه كلفظ المؤلف، وكذلك في قواعده، إلا أنه زاد في آخرها : </w:t>
      </w:r>
      <w:r>
        <w:rPr>
          <w:rFonts w:hint="eastAsia"/>
          <w:spacing w:val="6"/>
          <w:rtl/>
        </w:rPr>
        <w:t>«</w:t>
      </w:r>
      <w:r>
        <w:rPr>
          <w:rFonts w:hint="cs"/>
          <w:spacing w:val="6"/>
          <w:rtl/>
        </w:rPr>
        <w:t>... ولا تقبل بينته</w:t>
      </w:r>
      <w:r>
        <w:rPr>
          <w:rFonts w:hint="eastAsia"/>
          <w:spacing w:val="6"/>
          <w:rtl/>
        </w:rPr>
        <w:t>»</w:t>
      </w:r>
      <w:r>
        <w:rPr>
          <w:rFonts w:hint="cs"/>
          <w:spacing w:val="6"/>
          <w:rtl/>
        </w:rPr>
        <w:t xml:space="preserve">-؛ مجامع الحقائق (الخاتمة)، ص47؛ شرح العلائي لقواعد الخادمي، ل37/ب؛ منافع الدقائق، ص332؛ قواعد الفقه للمجدّدي، ص128، قاعدة 345- ولفظه كلفظ المؤلف إلا أنه جاء عنده في نهاية القاعدة : </w:t>
      </w:r>
      <w:r>
        <w:rPr>
          <w:rFonts w:hint="eastAsia"/>
          <w:spacing w:val="6"/>
          <w:rtl/>
        </w:rPr>
        <w:t>«</w:t>
      </w:r>
      <w:r>
        <w:rPr>
          <w:rFonts w:hint="cs"/>
          <w:spacing w:val="6"/>
          <w:rtl/>
        </w:rPr>
        <w:t>... ولا ببينه</w:t>
      </w:r>
      <w:r>
        <w:rPr>
          <w:rFonts w:hint="eastAsia"/>
          <w:spacing w:val="6"/>
          <w:rtl/>
        </w:rPr>
        <w:t>»</w:t>
      </w:r>
      <w:r>
        <w:rPr>
          <w:rFonts w:hint="cs"/>
          <w:spacing w:val="6"/>
          <w:rtl/>
        </w:rPr>
        <w:t>.</w:t>
      </w:r>
    </w:p>
    <w:p w:rsidR="00035BE3" w:rsidRDefault="00035BE3" w:rsidP="003D5367">
      <w:pPr>
        <w:pStyle w:val="a6"/>
        <w:ind w:left="422" w:firstLine="0"/>
        <w:rPr>
          <w:b/>
          <w:bCs/>
          <w:rtl/>
        </w:rPr>
      </w:pPr>
      <w:r>
        <w:rPr>
          <w:rFonts w:hint="cs"/>
          <w:b/>
          <w:bCs/>
          <w:rtl/>
        </w:rPr>
        <w:t xml:space="preserve">ومن كتب الفقه : </w:t>
      </w:r>
    </w:p>
    <w:p w:rsidR="00035BE3" w:rsidRDefault="00035BE3" w:rsidP="003D5367">
      <w:pPr>
        <w:pStyle w:val="a6"/>
        <w:ind w:left="422" w:firstLine="0"/>
        <w:rPr>
          <w:rtl/>
        </w:rPr>
      </w:pPr>
      <w:r>
        <w:rPr>
          <w:rFonts w:hint="cs"/>
          <w:rtl/>
        </w:rPr>
        <w:t>الفتاوى البزازية، 2/162؛ قرّة عيون الأخيار، 12/49.</w:t>
      </w:r>
    </w:p>
  </w:footnote>
  <w:footnote w:id="4784">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b/>
          <w:bCs/>
          <w:spacing w:val="-6"/>
          <w:rtl/>
        </w:rPr>
        <w:t xml:space="preserve"> النِّتاج في اللغة</w:t>
      </w:r>
      <w:r>
        <w:rPr>
          <w:rFonts w:hint="cs"/>
          <w:spacing w:val="-6"/>
          <w:rtl/>
        </w:rPr>
        <w:t xml:space="preserve">: </w:t>
      </w:r>
      <w:r>
        <w:rPr>
          <w:rFonts w:hint="eastAsia"/>
          <w:spacing w:val="-6"/>
          <w:rtl/>
        </w:rPr>
        <w:t>«</w:t>
      </w:r>
      <w:r>
        <w:rPr>
          <w:rFonts w:hint="cs"/>
          <w:spacing w:val="-6"/>
          <w:rtl/>
        </w:rPr>
        <w:t>اسم يَجْمعُ وَضْعَ جميعِ البهائم ...</w:t>
      </w:r>
      <w:r w:rsidRPr="00005C79">
        <w:rPr>
          <w:rFonts w:hint="cs"/>
          <w:spacing w:val="-6"/>
          <w:rtl/>
        </w:rPr>
        <w:t xml:space="preserve"> </w:t>
      </w:r>
      <w:r>
        <w:rPr>
          <w:rFonts w:hint="cs"/>
          <w:spacing w:val="-6"/>
          <w:rtl/>
        </w:rPr>
        <w:t>وقيل:</w:t>
      </w:r>
      <w:r w:rsidRPr="00005C79">
        <w:rPr>
          <w:rFonts w:hint="cs"/>
          <w:spacing w:val="-6"/>
          <w:sz w:val="16"/>
          <w:szCs w:val="26"/>
          <w:rtl/>
        </w:rPr>
        <w:t xml:space="preserve"> </w:t>
      </w:r>
      <w:r>
        <w:rPr>
          <w:rFonts w:hint="cs"/>
          <w:spacing w:val="-6"/>
          <w:rtl/>
        </w:rPr>
        <w:t>النِّتاج في جميع الدَّواب</w:t>
      </w:r>
      <w:r>
        <w:rPr>
          <w:rFonts w:hint="eastAsia"/>
          <w:spacing w:val="-6"/>
          <w:rtl/>
        </w:rPr>
        <w:t>»</w:t>
      </w:r>
      <w:r>
        <w:rPr>
          <w:rFonts w:hint="cs"/>
          <w:spacing w:val="-6"/>
          <w:rtl/>
        </w:rPr>
        <w:t>- قاله صاحب اللسان-.</w:t>
      </w:r>
    </w:p>
    <w:p w:rsidR="00035BE3" w:rsidRDefault="00035BE3" w:rsidP="003D5367">
      <w:pPr>
        <w:pStyle w:val="a6"/>
        <w:ind w:left="422" w:firstLine="0"/>
        <w:rPr>
          <w:rtl/>
        </w:rPr>
      </w:pPr>
      <w:r>
        <w:rPr>
          <w:rFonts w:hint="cs"/>
          <w:b/>
          <w:bCs/>
          <w:rtl/>
        </w:rPr>
        <w:t>ومعناه عند الفقهاء</w:t>
      </w:r>
      <w:r>
        <w:rPr>
          <w:rFonts w:hint="cs"/>
          <w:rtl/>
        </w:rPr>
        <w:t xml:space="preserve"> : هو ذاته معناه اللغوي؛ حيث عرّفه نجل ابن عابدين بقوله: </w:t>
      </w:r>
      <w:r>
        <w:rPr>
          <w:rFonts w:hint="eastAsia"/>
          <w:rtl/>
        </w:rPr>
        <w:t>«</w:t>
      </w:r>
      <w:r>
        <w:rPr>
          <w:rFonts w:hint="cs"/>
          <w:rtl/>
        </w:rPr>
        <w:t>هو ولادة الحيوان</w:t>
      </w:r>
      <w:r>
        <w:rPr>
          <w:rFonts w:hint="eastAsia"/>
          <w:rtl/>
        </w:rPr>
        <w:t>»</w:t>
      </w:r>
      <w:r>
        <w:rPr>
          <w:rFonts w:hint="cs"/>
          <w:rtl/>
        </w:rPr>
        <w:t xml:space="preserve">. كما عرفه المجدّدي بقوله: </w:t>
      </w:r>
      <w:r>
        <w:rPr>
          <w:rFonts w:hint="eastAsia"/>
          <w:rtl/>
        </w:rPr>
        <w:t>«</w:t>
      </w:r>
      <w:r>
        <w:rPr>
          <w:rFonts w:hint="cs"/>
          <w:rtl/>
        </w:rPr>
        <w:t>... اسم لما تضعه البهائم</w:t>
      </w:r>
      <w:r>
        <w:rPr>
          <w:rFonts w:hint="eastAsia"/>
          <w:rtl/>
        </w:rPr>
        <w:t>»</w:t>
      </w:r>
      <w:r>
        <w:rPr>
          <w:rFonts w:hint="cs"/>
          <w:rtl/>
        </w:rPr>
        <w:t>.</w:t>
      </w:r>
    </w:p>
    <w:p w:rsidR="00035BE3" w:rsidRDefault="00035BE3" w:rsidP="003D5367">
      <w:pPr>
        <w:pStyle w:val="a6"/>
        <w:ind w:left="422" w:firstLine="0"/>
        <w:rPr>
          <w:spacing w:val="-10"/>
          <w:sz w:val="29"/>
          <w:szCs w:val="29"/>
          <w:rtl/>
        </w:rPr>
      </w:pPr>
      <w:r>
        <w:rPr>
          <w:rFonts w:hint="cs"/>
          <w:b/>
          <w:bCs/>
          <w:spacing w:val="-10"/>
          <w:sz w:val="29"/>
          <w:szCs w:val="29"/>
          <w:rtl/>
        </w:rPr>
        <w:t>والمراد بالنِّتاج هنا</w:t>
      </w:r>
      <w:r>
        <w:rPr>
          <w:rFonts w:hint="cs"/>
          <w:spacing w:val="-10"/>
          <w:sz w:val="29"/>
          <w:szCs w:val="29"/>
          <w:rtl/>
        </w:rPr>
        <w:t xml:space="preserve"> : </w:t>
      </w:r>
      <w:r>
        <w:rPr>
          <w:rFonts w:hint="eastAsia"/>
          <w:spacing w:val="-10"/>
          <w:sz w:val="29"/>
          <w:szCs w:val="29"/>
          <w:rtl/>
        </w:rPr>
        <w:t>«</w:t>
      </w:r>
      <w:r>
        <w:rPr>
          <w:rFonts w:hint="cs"/>
          <w:spacing w:val="-10"/>
          <w:sz w:val="29"/>
          <w:szCs w:val="29"/>
          <w:rtl/>
        </w:rPr>
        <w:t>النتاج ونحوه، وهو كل سبب للملك لا يتكرّر، فإنه في معنى النتاج</w:t>
      </w:r>
      <w:r>
        <w:rPr>
          <w:rFonts w:hint="eastAsia"/>
          <w:spacing w:val="-10"/>
          <w:sz w:val="29"/>
          <w:szCs w:val="29"/>
          <w:rtl/>
        </w:rPr>
        <w:t>»</w:t>
      </w:r>
      <w:r>
        <w:rPr>
          <w:rFonts w:hint="cs"/>
          <w:spacing w:val="-10"/>
          <w:sz w:val="29"/>
          <w:szCs w:val="29"/>
          <w:rtl/>
        </w:rPr>
        <w:t>- قاله صاحب الدرر-.</w:t>
      </w:r>
    </w:p>
    <w:p w:rsidR="00035BE3" w:rsidRDefault="00035BE3" w:rsidP="003D5367">
      <w:pPr>
        <w:pStyle w:val="a6"/>
        <w:ind w:left="422" w:firstLine="0"/>
        <w:rPr>
          <w:rtl/>
        </w:rPr>
      </w:pPr>
      <w:r>
        <w:rPr>
          <w:rFonts w:hint="cs"/>
          <w:b/>
          <w:bCs/>
          <w:rtl/>
        </w:rPr>
        <w:t>ولتوثيق ما سبق</w:t>
      </w:r>
      <w:r>
        <w:rPr>
          <w:rFonts w:hint="cs"/>
          <w:rtl/>
        </w:rPr>
        <w:t xml:space="preserve"> : فإن المعنى اللغوي مستفاد من : لسان العرب، مادة </w:t>
      </w:r>
      <w:r>
        <w:rPr>
          <w:rFonts w:hint="eastAsia"/>
          <w:rtl/>
        </w:rPr>
        <w:t>«</w:t>
      </w:r>
      <w:r>
        <w:rPr>
          <w:rFonts w:hint="cs"/>
          <w:rtl/>
        </w:rPr>
        <w:t>نتج</w:t>
      </w:r>
      <w:r>
        <w:rPr>
          <w:rFonts w:hint="eastAsia"/>
          <w:rtl/>
        </w:rPr>
        <w:t>»</w:t>
      </w:r>
      <w:r>
        <w:rPr>
          <w:rFonts w:hint="cs"/>
          <w:rtl/>
        </w:rPr>
        <w:t xml:space="preserve">، 2/373؛ وانظر: المقاييس في اللغة، مادة </w:t>
      </w:r>
      <w:r>
        <w:rPr>
          <w:rFonts w:hint="eastAsia"/>
          <w:rtl/>
        </w:rPr>
        <w:t>«</w:t>
      </w:r>
      <w:r>
        <w:rPr>
          <w:rFonts w:hint="cs"/>
          <w:rtl/>
        </w:rPr>
        <w:t>نتج</w:t>
      </w:r>
      <w:r>
        <w:rPr>
          <w:rFonts w:hint="eastAsia"/>
          <w:rtl/>
        </w:rPr>
        <w:t>»</w:t>
      </w:r>
      <w:r>
        <w:rPr>
          <w:rFonts w:hint="cs"/>
          <w:rtl/>
        </w:rPr>
        <w:t xml:space="preserve">، ص1010؛ القاموس المحيط، مادة </w:t>
      </w:r>
      <w:r>
        <w:rPr>
          <w:rFonts w:hint="eastAsia"/>
          <w:rtl/>
        </w:rPr>
        <w:t>«</w:t>
      </w:r>
      <w:r>
        <w:rPr>
          <w:rFonts w:hint="cs"/>
          <w:rtl/>
        </w:rPr>
        <w:t>نتج</w:t>
      </w:r>
      <w:r>
        <w:rPr>
          <w:rFonts w:hint="eastAsia"/>
          <w:rtl/>
        </w:rPr>
        <w:t>»</w:t>
      </w:r>
      <w:r>
        <w:rPr>
          <w:rFonts w:hint="cs"/>
          <w:rtl/>
        </w:rPr>
        <w:t>، ص264.</w:t>
      </w:r>
    </w:p>
    <w:p w:rsidR="00035BE3" w:rsidRDefault="00035BE3" w:rsidP="003D5367">
      <w:pPr>
        <w:pStyle w:val="a6"/>
        <w:ind w:left="422" w:firstLine="0"/>
        <w:rPr>
          <w:rtl/>
        </w:rPr>
      </w:pPr>
      <w:r>
        <w:rPr>
          <w:rFonts w:hint="cs"/>
          <w:rtl/>
        </w:rPr>
        <w:t>ومعناه عند الفقهاء مستفاد من : قرّة عيون الأخيار، 12/44؛ وقواعد الفقه (الرسالة الرابعة: التعريفات الفقهية)، ص522؛ وانظر : معجم لغة الفقهاء، ص444؛ معجم المصطلحات الاقتصادية، ص335؛ معجم المصطلحات والألفاظ الفقهية، 3/397.</w:t>
      </w:r>
    </w:p>
    <w:p w:rsidR="00035BE3" w:rsidRDefault="00035BE3" w:rsidP="003D5367">
      <w:pPr>
        <w:pStyle w:val="a6"/>
        <w:ind w:left="422" w:firstLine="0"/>
        <w:rPr>
          <w:rtl/>
        </w:rPr>
      </w:pPr>
      <w:r>
        <w:rPr>
          <w:rFonts w:hint="cs"/>
          <w:rtl/>
        </w:rPr>
        <w:t>والمراد من النتاج مستفاد من : الدرر شرح الغرر، 2/347؛ وانظر : المبسوط، 17/65؛ بدائع الصنائع، 6/235؛ فتاوى قاضي خان، 2/388.</w:t>
      </w:r>
    </w:p>
    <w:p w:rsidR="00035BE3" w:rsidRDefault="00035BE3" w:rsidP="003D5367">
      <w:pPr>
        <w:pStyle w:val="a6"/>
        <w:ind w:left="422" w:firstLine="0"/>
        <w:rPr>
          <w:rtl/>
        </w:rPr>
      </w:pPr>
      <w:r>
        <w:rPr>
          <w:rFonts w:hint="cs"/>
          <w:rtl/>
        </w:rPr>
        <w:t>وانظر ما يتعلق بسماع دعوى النتاج من المقضي عليه في الكتب الفقهية السابقة.</w:t>
      </w:r>
    </w:p>
  </w:footnote>
  <w:footnote w:id="478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فيسمع</w:t>
      </w:r>
      <w:r>
        <w:rPr>
          <w:rFonts w:hint="eastAsia"/>
          <w:rtl/>
        </w:rPr>
        <w:t>»</w:t>
      </w:r>
      <w:r>
        <w:rPr>
          <w:rFonts w:hint="cs"/>
          <w:rtl/>
        </w:rPr>
        <w:t>. والأفصح ما تمَّ إثباته من (د).</w:t>
      </w:r>
    </w:p>
  </w:footnote>
  <w:footnote w:id="478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أي المدعي</w:t>
      </w:r>
      <w:r>
        <w:rPr>
          <w:rFonts w:hint="eastAsia"/>
          <w:rtl/>
        </w:rPr>
        <w:t>»</w:t>
      </w:r>
      <w:r>
        <w:rPr>
          <w:rFonts w:hint="cs"/>
          <w:rtl/>
        </w:rPr>
        <w:t>.</w:t>
      </w:r>
    </w:p>
    <w:p w:rsidR="00035BE3" w:rsidRDefault="00035BE3" w:rsidP="003D5367">
      <w:pPr>
        <w:pStyle w:val="a6"/>
        <w:spacing w:line="440" w:lineRule="exact"/>
        <w:ind w:left="422" w:firstLine="0"/>
        <w:rPr>
          <w:rtl/>
        </w:rPr>
      </w:pPr>
      <w:r>
        <w:rPr>
          <w:rFonts w:hint="cs"/>
          <w:rtl/>
        </w:rPr>
        <w:t>وكلمة : (له) تمثِّل نهاية 73/أ من (جـ)، مع تكرارها في بداية اللوحة التي تليها.</w:t>
      </w:r>
    </w:p>
  </w:footnote>
  <w:footnote w:id="4787">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مصادر القاعدة المذكورة. وأقربها إلى لفظ المؤلف : الأشباه لابن نجبم، ص250؛ حيث جاء فيه : </w:t>
      </w:r>
      <w:r>
        <w:rPr>
          <w:rFonts w:hint="eastAsia"/>
          <w:rtl/>
        </w:rPr>
        <w:t>«</w:t>
      </w:r>
      <w:r>
        <w:rPr>
          <w:rFonts w:hint="cs"/>
          <w:rtl/>
        </w:rPr>
        <w:t>المقضي عليه في حادثة لا تسمع دعواه ولا بيّنته، إلا إذا ادّعى تلقي الملك من المدّعي، أو النتاج، أو برهن على إبطال القضاء ...</w:t>
      </w:r>
      <w:r>
        <w:rPr>
          <w:rFonts w:hint="eastAsia"/>
          <w:rtl/>
        </w:rPr>
        <w:t>»</w:t>
      </w:r>
      <w:r>
        <w:rPr>
          <w:rFonts w:hint="cs"/>
          <w:rtl/>
        </w:rPr>
        <w:t>.</w:t>
      </w:r>
    </w:p>
  </w:footnote>
  <w:footnote w:id="4788">
    <w:p w:rsidR="00035BE3" w:rsidRDefault="00035BE3" w:rsidP="003D5367">
      <w:pPr>
        <w:pStyle w:val="a8"/>
        <w:bidi/>
        <w:ind w:left="422" w:right="0"/>
        <w:rPr>
          <w:rtl/>
        </w:rPr>
      </w:pPr>
      <w:r>
        <w:rPr>
          <w:rFonts w:hint="cs"/>
          <w:vertAlign w:val="superscript"/>
          <w:rtl/>
        </w:rPr>
        <w:t>(</w:t>
      </w:r>
      <w:r>
        <w:rPr>
          <w:rStyle w:val="a7"/>
          <w:spacing w:val="10"/>
        </w:rPr>
        <w:footnoteRef/>
      </w:r>
      <w:r>
        <w:rPr>
          <w:rFonts w:hint="cs"/>
          <w:vertAlign w:val="superscript"/>
          <w:rtl/>
        </w:rPr>
        <w:t>)</w:t>
      </w:r>
      <w:r>
        <w:rPr>
          <w:rFonts w:hint="cs"/>
          <w:rtl/>
        </w:rPr>
        <w:t xml:space="preserve">  لعلّ مراده: ما قرّره في قاعدة : </w:t>
      </w:r>
      <w:r>
        <w:rPr>
          <w:rFonts w:hint="eastAsia"/>
          <w:rtl/>
        </w:rPr>
        <w:t>«</w:t>
      </w:r>
      <w:r>
        <w:rPr>
          <w:rFonts w:hint="cs"/>
          <w:rtl/>
        </w:rPr>
        <w:t>الدفع بعد الحكم صحيح إلا في المـسألة المخمّسة</w:t>
      </w:r>
      <w:r>
        <w:rPr>
          <w:rFonts w:hint="eastAsia"/>
          <w:rtl/>
        </w:rPr>
        <w:t>»</w:t>
      </w:r>
      <w:r>
        <w:rPr>
          <w:rFonts w:hint="cs"/>
          <w:rtl/>
        </w:rPr>
        <w:t>، وذلك ص696 (ل52/أ)، قاعدة 123.</w:t>
      </w:r>
    </w:p>
  </w:footnote>
  <w:footnote w:id="478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60/أ من (د).</w:t>
      </w:r>
    </w:p>
  </w:footnote>
  <w:footnote w:id="479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لابن نجيم، ص250؛ قواعد الفقه له أيضًا، ص152.</w:t>
      </w:r>
    </w:p>
  </w:footnote>
  <w:footnote w:id="479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مقابل هذا التعليل : </w:t>
      </w:r>
      <w:r>
        <w:rPr>
          <w:rFonts w:hint="eastAsia"/>
          <w:rtl/>
        </w:rPr>
        <w:t>«</w:t>
      </w:r>
      <w:r>
        <w:rPr>
          <w:rFonts w:hint="cs"/>
          <w:rtl/>
        </w:rPr>
        <w:t>مطلب : استماع دعوى المقضي عليه</w:t>
      </w:r>
      <w:r>
        <w:rPr>
          <w:rFonts w:hint="eastAsia"/>
          <w:rtl/>
        </w:rPr>
        <w:t>»</w:t>
      </w:r>
      <w:r>
        <w:rPr>
          <w:rFonts w:hint="cs"/>
          <w:rtl/>
        </w:rPr>
        <w:t>.</w:t>
      </w:r>
    </w:p>
  </w:footnote>
  <w:footnote w:id="479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دعوى</w:t>
      </w:r>
      <w:r>
        <w:rPr>
          <w:rFonts w:hint="eastAsia"/>
          <w:rtl/>
        </w:rPr>
        <w:t>»</w:t>
      </w:r>
      <w:r>
        <w:rPr>
          <w:rFonts w:hint="cs"/>
          <w:rtl/>
        </w:rPr>
        <w:t>.</w:t>
      </w:r>
    </w:p>
  </w:footnote>
  <w:footnote w:id="479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(هـ) و(و). ولا يستقيم المعنى بدونها. ولو قال : </w:t>
      </w:r>
      <w:r>
        <w:rPr>
          <w:rFonts w:hint="eastAsia"/>
          <w:rtl/>
        </w:rPr>
        <w:t>«</w:t>
      </w:r>
      <w:r>
        <w:rPr>
          <w:rFonts w:hint="cs"/>
          <w:rtl/>
        </w:rPr>
        <w:t>التناقض</w:t>
      </w:r>
      <w:r>
        <w:rPr>
          <w:rFonts w:hint="eastAsia"/>
          <w:rtl/>
        </w:rPr>
        <w:t>»</w:t>
      </w:r>
      <w:r>
        <w:rPr>
          <w:rFonts w:hint="cs"/>
          <w:rtl/>
        </w:rPr>
        <w:t xml:space="preserve"> لكان أنسب.</w:t>
      </w:r>
    </w:p>
  </w:footnote>
  <w:footnote w:id="479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rtl/>
        </w:rPr>
        <w:t>«</w:t>
      </w:r>
      <w:r>
        <w:rPr>
          <w:rFonts w:hint="cs"/>
          <w:rtl/>
        </w:rPr>
        <w:t>ليست</w:t>
      </w:r>
      <w:r>
        <w:rPr>
          <w:rFonts w:hint="eastAsia"/>
          <w:rtl/>
        </w:rPr>
        <w:t>»</w:t>
      </w:r>
      <w:r>
        <w:rPr>
          <w:rFonts w:hint="cs"/>
          <w:rtl/>
        </w:rPr>
        <w:t>. والصحيح ما تمَّ إثباته من (هـ) و(و).</w:t>
      </w:r>
    </w:p>
  </w:footnote>
  <w:footnote w:id="479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يسمع</w:t>
      </w:r>
      <w:r>
        <w:rPr>
          <w:rFonts w:hint="eastAsia"/>
          <w:rtl/>
        </w:rPr>
        <w:t>»</w:t>
      </w:r>
      <w:r>
        <w:rPr>
          <w:rFonts w:hint="cs"/>
          <w:rtl/>
        </w:rPr>
        <w:t xml:space="preserve"> . والأفصح ما تمَّ إثباته من (د).</w:t>
      </w:r>
    </w:p>
  </w:footnote>
  <w:footnote w:id="479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الأشباه لابن نجيم، ص250.</w:t>
      </w:r>
    </w:p>
  </w:footnote>
  <w:footnote w:id="479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rtl/>
        </w:rPr>
        <w:t>«</w:t>
      </w:r>
      <w:r>
        <w:rPr>
          <w:rFonts w:hint="cs"/>
          <w:rtl/>
        </w:rPr>
        <w:t>بينة</w:t>
      </w:r>
      <w:r>
        <w:rPr>
          <w:rFonts w:hint="eastAsia"/>
          <w:rtl/>
        </w:rPr>
        <w:t>»</w:t>
      </w:r>
      <w:r>
        <w:rPr>
          <w:rFonts w:hint="cs"/>
          <w:rtl/>
        </w:rPr>
        <w:t>. والصواب ما تمَّ إثباته من (هـ) و(و).</w:t>
      </w:r>
    </w:p>
  </w:footnote>
  <w:footnote w:id="479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99/ب من (أ)، ونهاية 63/أ من (ب).</w:t>
      </w:r>
    </w:p>
  </w:footnote>
  <w:footnote w:id="479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بينة</w:t>
      </w:r>
      <w:r>
        <w:rPr>
          <w:rFonts w:hint="eastAsia"/>
          <w:rtl/>
        </w:rPr>
        <w:t>»</w:t>
      </w:r>
      <w:r>
        <w:rPr>
          <w:rFonts w:hint="cs"/>
          <w:rtl/>
        </w:rPr>
        <w:t>. والصحيح ما تمَّ إثباته من (ب) و(هـ) و(و).</w:t>
      </w:r>
    </w:p>
  </w:footnote>
  <w:footnote w:id="480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قوله : (لا) أي : يقدر العبد. قوله : (كذلك) : أي لا يقدر [...؟...]</w:t>
      </w:r>
      <w:r>
        <w:rPr>
          <w:rFonts w:hint="eastAsia"/>
          <w:rtl/>
        </w:rPr>
        <w:t>»</w:t>
      </w:r>
      <w:r>
        <w:rPr>
          <w:rFonts w:hint="cs"/>
          <w:rtl/>
        </w:rPr>
        <w:t>.</w:t>
      </w:r>
    </w:p>
  </w:footnote>
  <w:footnote w:id="480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الضابط</w:t>
      </w:r>
      <w:r>
        <w:rPr>
          <w:rFonts w:hint="cs"/>
          <w:rtl/>
        </w:rPr>
        <w:t xml:space="preserve"> :</w:t>
      </w:r>
    </w:p>
    <w:p w:rsidR="00035BE3" w:rsidRDefault="00035BE3" w:rsidP="003D5367">
      <w:pPr>
        <w:pStyle w:val="a6"/>
        <w:ind w:left="422" w:firstLine="0"/>
        <w:rPr>
          <w:spacing w:val="6"/>
          <w:rtl/>
        </w:rPr>
      </w:pPr>
      <w:r>
        <w:rPr>
          <w:rFonts w:hint="cs"/>
          <w:spacing w:val="6"/>
          <w:rtl/>
        </w:rPr>
        <w:t>إن المبيع إذا قبضه المشتري المساوِم، وهو راضٍ بالثمن المسمّى، ولكنّه أجلّ قرار الشراء وإتمام العقد إلى وقت لاحق، فهذا المبيع مقبوض على سوم الشراء، والحكم فيه عند الهلاك هو لزوم ضمان المشتري لبدله، وهو ما يستحقه من القيمة المعتادة، من غير زيادة أو نقصان إن كان قيميًّا، وما يماثله إن كان مثليًّا.</w:t>
      </w:r>
    </w:p>
    <w:p w:rsidR="00035BE3" w:rsidRDefault="00035BE3" w:rsidP="003D5367">
      <w:pPr>
        <w:pStyle w:val="a6"/>
        <w:ind w:left="422" w:firstLine="0"/>
        <w:rPr>
          <w:rtl/>
        </w:rPr>
      </w:pPr>
      <w:r>
        <w:rPr>
          <w:rFonts w:hint="cs"/>
          <w:rtl/>
        </w:rPr>
        <w:t>ويقاسم المقبوض على سوم الشراء : المقبوض على سوم النظر.</w:t>
      </w:r>
    </w:p>
    <w:p w:rsidR="00035BE3" w:rsidRDefault="00035BE3" w:rsidP="003D5367">
      <w:pPr>
        <w:pStyle w:val="a6"/>
        <w:ind w:left="422" w:firstLine="0"/>
        <w:rPr>
          <w:b/>
          <w:bCs/>
          <w:rtl/>
        </w:rPr>
      </w:pPr>
      <w:r>
        <w:rPr>
          <w:rFonts w:hint="cs"/>
          <w:b/>
          <w:bCs/>
          <w:rtl/>
        </w:rPr>
        <w:t>والفرق بين هذين الأمرين :</w:t>
      </w:r>
    </w:p>
    <w:p w:rsidR="00035BE3" w:rsidRDefault="00035BE3" w:rsidP="003D5367">
      <w:pPr>
        <w:pStyle w:val="a6"/>
        <w:ind w:left="422" w:firstLine="0"/>
        <w:rPr>
          <w:rtl/>
        </w:rPr>
      </w:pPr>
      <w:r>
        <w:rPr>
          <w:rFonts w:hint="cs"/>
          <w:b/>
          <w:bCs/>
          <w:rtl/>
        </w:rPr>
        <w:t>أن الأول</w:t>
      </w:r>
      <w:r>
        <w:rPr>
          <w:rFonts w:hint="cs"/>
          <w:rtl/>
        </w:rPr>
        <w:t xml:space="preserve"> : يكون المشتري فيه راضيًا بالثمن المسمَّى، ولكنه أراد أن يتريّث قبل إتمام العقد.</w:t>
      </w:r>
    </w:p>
    <w:p w:rsidR="00035BE3" w:rsidRDefault="00035BE3" w:rsidP="003D5367">
      <w:pPr>
        <w:pStyle w:val="a6"/>
        <w:ind w:left="422" w:firstLine="0"/>
        <w:rPr>
          <w:rtl/>
        </w:rPr>
      </w:pPr>
      <w:r>
        <w:rPr>
          <w:rFonts w:hint="cs"/>
          <w:b/>
          <w:bCs/>
          <w:rtl/>
        </w:rPr>
        <w:t>أما الثاني</w:t>
      </w:r>
      <w:r>
        <w:rPr>
          <w:rFonts w:hint="cs"/>
          <w:rtl/>
        </w:rPr>
        <w:t xml:space="preserve"> : فإن المشتري لم يصدر منه رضًا بالثمن أصلاً؛ إذْ إنه </w:t>
      </w:r>
      <w:r>
        <w:rPr>
          <w:rFonts w:hint="eastAsia"/>
          <w:rtl/>
        </w:rPr>
        <w:t>«</w:t>
      </w:r>
      <w:r>
        <w:rPr>
          <w:rFonts w:hint="cs"/>
          <w:rtl/>
        </w:rPr>
        <w:t>لم يوجد القبض على وجه الشراء؛ بل على وجه النظر منه، أو من غيره، فكان أمانة عنده، فلم يضمن</w:t>
      </w:r>
      <w:r>
        <w:rPr>
          <w:rFonts w:hint="eastAsia"/>
          <w:rtl/>
        </w:rPr>
        <w:t>»</w:t>
      </w:r>
      <w:r>
        <w:rPr>
          <w:rFonts w:hint="cs"/>
          <w:rtl/>
        </w:rPr>
        <w:t>- قاله ابن عابدين-.</w:t>
      </w:r>
    </w:p>
    <w:p w:rsidR="00035BE3" w:rsidRDefault="00035BE3" w:rsidP="003D5367">
      <w:pPr>
        <w:pStyle w:val="a6"/>
        <w:ind w:left="422" w:firstLine="0"/>
        <w:rPr>
          <w:rtl/>
        </w:rPr>
      </w:pPr>
      <w:r>
        <w:rPr>
          <w:rFonts w:hint="cs"/>
          <w:rtl/>
        </w:rPr>
        <w:t xml:space="preserve">وقد بيّن المؤلف صورة الأمر الأول في بداية شرحه للضابط، كما أشار إلى صورة الثاني. وما ذكره مستفاد من (العناية)، إلا أن صاحب العناية مهّد لذلك بقوله : </w:t>
      </w:r>
      <w:r>
        <w:rPr>
          <w:rFonts w:hint="eastAsia"/>
          <w:rtl/>
        </w:rPr>
        <w:t>«</w:t>
      </w:r>
      <w:r>
        <w:rPr>
          <w:rFonts w:hint="cs"/>
          <w:rtl/>
        </w:rPr>
        <w:t>والمقبوض على سوم الشراء هو أن يسمي الثمن فيقول : اذهب بهذا ...</w:t>
      </w:r>
      <w:r>
        <w:rPr>
          <w:rFonts w:hint="eastAsia"/>
          <w:rtl/>
        </w:rPr>
        <w:t>»</w:t>
      </w:r>
      <w:r>
        <w:rPr>
          <w:rFonts w:hint="cs"/>
          <w:rtl/>
        </w:rPr>
        <w:t>.</w:t>
      </w:r>
    </w:p>
    <w:p w:rsidR="00035BE3" w:rsidRDefault="00035BE3" w:rsidP="003D5367">
      <w:pPr>
        <w:pStyle w:val="a6"/>
        <w:ind w:left="422" w:firstLine="0"/>
        <w:rPr>
          <w:rtl/>
        </w:rPr>
      </w:pPr>
      <w:r>
        <w:rPr>
          <w:rFonts w:hint="cs"/>
          <w:rtl/>
        </w:rPr>
        <w:t xml:space="preserve">والصورتان اللتان سيذكرهما المؤلف وردتا في هامش (أ) بلفظ آخر؛ حيث جاء فيه : </w:t>
      </w:r>
      <w:r>
        <w:rPr>
          <w:rFonts w:hint="eastAsia"/>
          <w:rtl/>
        </w:rPr>
        <w:t>«</w:t>
      </w:r>
      <w:r>
        <w:rPr>
          <w:rFonts w:hint="cs"/>
          <w:rtl/>
        </w:rPr>
        <w:t>صورة المقبوض على سوم الشراء : أخذ ثوبًا وقال : اذهب به، فإن أرضيته [هكذا!] اشتريته. فضاع من يده: لم يلزم شيء.</w:t>
      </w:r>
    </w:p>
    <w:p w:rsidR="00035BE3" w:rsidRDefault="00035BE3" w:rsidP="003D5367">
      <w:pPr>
        <w:pStyle w:val="a6"/>
        <w:ind w:left="422" w:firstLine="0"/>
        <w:rPr>
          <w:rtl/>
        </w:rPr>
      </w:pPr>
      <w:r>
        <w:rPr>
          <w:rFonts w:hint="cs"/>
          <w:rtl/>
        </w:rPr>
        <w:t>ولو قال : رضيته اشتريته بعشرة : كان ضامنًا؛ لأن المقبوض على سوم الشراء إنما يكون مضمونًا بالقيمة إن بيّن الثمن به</w:t>
      </w:r>
      <w:r>
        <w:rPr>
          <w:rFonts w:hint="eastAsia"/>
          <w:rtl/>
        </w:rPr>
        <w:t>»</w:t>
      </w:r>
      <w:r>
        <w:rPr>
          <w:rFonts w:hint="cs"/>
          <w:rtl/>
        </w:rPr>
        <w:t xml:space="preserve">، ثم ورد عقب ذلك مباشرة : </w:t>
      </w:r>
      <w:r>
        <w:rPr>
          <w:rFonts w:hint="eastAsia"/>
          <w:rtl/>
        </w:rPr>
        <w:t>«</w:t>
      </w:r>
      <w:r>
        <w:rPr>
          <w:rFonts w:hint="cs"/>
          <w:rtl/>
        </w:rPr>
        <w:t>أخذ أبو الليث، فقه، فتوى</w:t>
      </w:r>
      <w:r>
        <w:rPr>
          <w:rFonts w:hint="eastAsia"/>
          <w:rtl/>
        </w:rPr>
        <w:t>»</w:t>
      </w:r>
      <w:r>
        <w:rPr>
          <w:rFonts w:hint="cs"/>
          <w:rtl/>
        </w:rPr>
        <w:t>.</w:t>
      </w:r>
    </w:p>
    <w:p w:rsidR="00035BE3" w:rsidRDefault="00035BE3" w:rsidP="003D5367">
      <w:pPr>
        <w:pStyle w:val="a6"/>
        <w:ind w:left="422" w:firstLine="0"/>
        <w:rPr>
          <w:rtl/>
        </w:rPr>
      </w:pPr>
      <w:r>
        <w:rPr>
          <w:rFonts w:hint="cs"/>
          <w:b/>
          <w:bCs/>
          <w:rtl/>
        </w:rPr>
        <w:t>ولتوثيق ما سبق</w:t>
      </w:r>
      <w:r>
        <w:rPr>
          <w:rFonts w:hint="cs"/>
          <w:rtl/>
        </w:rPr>
        <w:t xml:space="preserve"> : فإن النص المنسوب إلى ابن عابدين ذكره في حاشيته: رد المحتار، 7/119-120؛ وانظر الفرق بين سوم الشراء وسوم النظر ومعنى القيمة في : رد المحتار أيضًا، 7/119-122؛ البحر الرائق، 6/10-11.</w:t>
      </w:r>
    </w:p>
    <w:p w:rsidR="00035BE3" w:rsidRDefault="00035BE3" w:rsidP="003D5367">
      <w:pPr>
        <w:pStyle w:val="a6"/>
        <w:ind w:left="422" w:firstLine="0"/>
        <w:rPr>
          <w:rtl/>
        </w:rPr>
      </w:pPr>
      <w:r>
        <w:rPr>
          <w:rFonts w:hint="cs"/>
          <w:rtl/>
        </w:rPr>
        <w:t>هذا ما يتعلق بتوثيق معنى الضابط.</w:t>
      </w:r>
    </w:p>
    <w:p w:rsidR="00035BE3" w:rsidRDefault="00035BE3" w:rsidP="003D5367">
      <w:pPr>
        <w:pStyle w:val="a6"/>
        <w:ind w:left="422" w:firstLine="0"/>
        <w:rPr>
          <w:rtl/>
        </w:rPr>
      </w:pPr>
      <w:r>
        <w:rPr>
          <w:rFonts w:hint="cs"/>
          <w:b/>
          <w:bCs/>
          <w:rtl/>
        </w:rPr>
        <w:t>أما توثيق الضابط</w:t>
      </w:r>
      <w:r>
        <w:rPr>
          <w:rFonts w:hint="cs"/>
          <w:rtl/>
        </w:rPr>
        <w:t xml:space="preserve"> : </w:t>
      </w:r>
    </w:p>
    <w:p w:rsidR="00035BE3" w:rsidRDefault="00035BE3" w:rsidP="003D5367">
      <w:pPr>
        <w:pStyle w:val="a6"/>
        <w:ind w:left="422" w:firstLine="0"/>
        <w:rPr>
          <w:spacing w:val="4"/>
          <w:rtl/>
        </w:rPr>
      </w:pPr>
      <w:r>
        <w:rPr>
          <w:rFonts w:hint="cs"/>
          <w:spacing w:val="4"/>
          <w:rtl/>
        </w:rPr>
        <w:t>فقد ورد بلفظ المؤلف أو نحوه أو قريب من معناه في كثير من كتب الفقه الحنفي وبعض كتب القواعد :</w:t>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r>
      <w:r>
        <w:rPr>
          <w:rFonts w:hint="cs"/>
          <w:spacing w:val="4"/>
          <w:rtl/>
        </w:rPr>
        <w:tab/>
        <w:t xml:space="preserve">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rtl/>
        </w:rPr>
      </w:pPr>
      <w:r>
        <w:rPr>
          <w:rFonts w:hint="cs"/>
          <w:rtl/>
        </w:rPr>
        <w:t xml:space="preserve">الأشباه للسيوطي، 2/628- ففي معرض حديثه عن المواضع التي اعتُبرتْ فيها القيمة وهي ثمن المثل قال : </w:t>
      </w:r>
      <w:r>
        <w:rPr>
          <w:rFonts w:hint="eastAsia"/>
          <w:rtl/>
        </w:rPr>
        <w:t>«</w:t>
      </w:r>
      <w:r>
        <w:rPr>
          <w:rFonts w:hint="cs"/>
          <w:rtl/>
        </w:rPr>
        <w:t>الحادي عشر: المقبوض على جهة السوم إذا تلف ... قال الإمام: الأصّح فيه قيمة يوم القبض. وقال غيره: الأصح يوم التلف</w:t>
      </w:r>
      <w:r>
        <w:rPr>
          <w:rFonts w:hint="eastAsia"/>
          <w:rtl/>
        </w:rPr>
        <w:t>»</w:t>
      </w:r>
      <w:r>
        <w:rPr>
          <w:rFonts w:hint="cs"/>
          <w:rtl/>
        </w:rPr>
        <w:t xml:space="preserve">-؛ الأشباه لابن نجيم، ص236، 241- ولفظه الثاني: </w:t>
      </w:r>
      <w:r>
        <w:rPr>
          <w:rFonts w:hint="eastAsia"/>
          <w:rtl/>
        </w:rPr>
        <w:t>«</w:t>
      </w:r>
      <w:r>
        <w:rPr>
          <w:rFonts w:hint="cs"/>
          <w:rtl/>
        </w:rPr>
        <w:t>المقبوض على سوم الشراء مضمون عند بيان الثمن. وعلى وجه النظر ليس بمضمون مطلقًا...</w:t>
      </w:r>
      <w:r>
        <w:rPr>
          <w:rFonts w:hint="eastAsia"/>
          <w:rtl/>
        </w:rPr>
        <w:t>»</w:t>
      </w:r>
      <w:r>
        <w:rPr>
          <w:rFonts w:hint="cs"/>
          <w:rtl/>
        </w:rPr>
        <w:t xml:space="preserve">-؛ قواعد الفقه له أيضًا، ص167، قاعدة211- ولفظه : </w:t>
      </w:r>
      <w:r>
        <w:rPr>
          <w:rFonts w:hint="eastAsia"/>
          <w:rtl/>
        </w:rPr>
        <w:t>«</w:t>
      </w:r>
      <w:r>
        <w:rPr>
          <w:rFonts w:hint="cs"/>
          <w:rtl/>
        </w:rPr>
        <w:t>المقبوض على سوم الشراء مضمون، والمقبوض على وجه النظر أمانة</w:t>
      </w:r>
      <w:r>
        <w:rPr>
          <w:rFonts w:hint="eastAsia"/>
          <w:rtl/>
        </w:rPr>
        <w:t>»</w:t>
      </w:r>
      <w:r>
        <w:rPr>
          <w:rFonts w:hint="cs"/>
          <w:rtl/>
        </w:rPr>
        <w:t>، ولفظه هذا قريب من لفظه الأول في أشباهه-؛ غمز عيون البصائر، 2/272، 291.</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rtl/>
        </w:rPr>
      </w:pPr>
      <w:r>
        <w:rPr>
          <w:rFonts w:hint="cs"/>
          <w:rtl/>
        </w:rPr>
        <w:t>المبسوط، 11/136؛ بدائع الصنائع، 5/305، 7/175؛ الهداية والعناية وفتح القدير أو نتائج الأفكار، 6/185، 306، 329، 404، 9/8، 9؛ فتاوى قاضي خان، 2/264؛ جـامع الفـصولين، 2/58؛ الفتاوى البزازية، 1/366؛ البحر الرائق، 6/10، 11، 12؛ الدر المختار ورد المحتار، 7/119؛ أحكام المعاملات في المذهب الحنفي، ص442.</w:t>
      </w:r>
    </w:p>
  </w:footnote>
  <w:footnote w:id="480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المشتري للبائع</w:t>
      </w:r>
      <w:r>
        <w:rPr>
          <w:rFonts w:hint="eastAsia"/>
          <w:rtl/>
        </w:rPr>
        <w:t>»</w:t>
      </w:r>
      <w:r>
        <w:rPr>
          <w:rFonts w:hint="cs"/>
          <w:rtl/>
        </w:rPr>
        <w:t>.</w:t>
      </w:r>
    </w:p>
  </w:footnote>
  <w:footnote w:id="480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رضيت</w:t>
      </w:r>
      <w:r>
        <w:rPr>
          <w:rFonts w:hint="eastAsia"/>
          <w:rtl/>
        </w:rPr>
        <w:t>»</w:t>
      </w:r>
      <w:r>
        <w:rPr>
          <w:rFonts w:hint="cs"/>
          <w:rtl/>
        </w:rPr>
        <w:t>.</w:t>
      </w:r>
    </w:p>
  </w:footnote>
  <w:footnote w:id="480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المشتريته</w:t>
      </w:r>
      <w:r>
        <w:rPr>
          <w:rFonts w:hint="eastAsia"/>
          <w:rtl/>
        </w:rPr>
        <w:t>»</w:t>
      </w:r>
      <w:r>
        <w:rPr>
          <w:rFonts w:hint="cs"/>
          <w:rtl/>
        </w:rPr>
        <w:t>.</w:t>
      </w:r>
    </w:p>
  </w:footnote>
  <w:footnote w:id="480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6/404؛ الدّرر شرح الغرر، 2/169.</w:t>
      </w:r>
    </w:p>
  </w:footnote>
  <w:footnote w:id="4806">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w:t>
      </w:r>
      <w:r>
        <w:rPr>
          <w:rFonts w:hint="eastAsia"/>
          <w:spacing w:val="-6"/>
          <w:rtl/>
        </w:rPr>
        <w:t>«</w:t>
      </w:r>
      <w:r>
        <w:rPr>
          <w:rFonts w:hint="cs"/>
          <w:spacing w:val="-6"/>
          <w:rtl/>
        </w:rPr>
        <w:t>فقيه</w:t>
      </w:r>
      <w:r>
        <w:rPr>
          <w:rFonts w:hint="eastAsia"/>
          <w:spacing w:val="-6"/>
          <w:rtl/>
        </w:rPr>
        <w:t>»</w:t>
      </w:r>
      <w:r>
        <w:rPr>
          <w:rFonts w:hint="cs"/>
          <w:spacing w:val="-6"/>
          <w:rtl/>
        </w:rPr>
        <w:t>. والصحيح ما تمَّ إثباته من (ب) و(د)، وهو الموافق لمصدر هذه العبارة (وهو العناية).</w:t>
      </w:r>
    </w:p>
  </w:footnote>
  <w:footnote w:id="480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أبو الليث</w:t>
      </w:r>
      <w:r>
        <w:rPr>
          <w:rFonts w:hint="cs"/>
          <w:rtl/>
        </w:rPr>
        <w:t>: هو نصر بن محمد بن أحمد بن إبراهيم، أبو الليث الفقيه الحنفي السمرقندي (ت373هـ).</w:t>
      </w:r>
    </w:p>
    <w:p w:rsidR="00035BE3" w:rsidRDefault="00035BE3" w:rsidP="003D5367">
      <w:pPr>
        <w:pStyle w:val="a6"/>
        <w:ind w:left="422" w:firstLine="0"/>
        <w:rPr>
          <w:rtl/>
        </w:rPr>
      </w:pPr>
      <w:r>
        <w:rPr>
          <w:rFonts w:hint="cs"/>
          <w:rtl/>
        </w:rPr>
        <w:t>اشتهر بالفقه والتفسير، وله فيهما مصنفات كثيرة، منها : تفسير القرآن، شرح الجامع الصغير للشيباني، النوازل، عيون المسائل، مختلف الرواية في مسائل الخلاف ...</w:t>
      </w:r>
    </w:p>
    <w:p w:rsidR="00035BE3" w:rsidRDefault="00035BE3" w:rsidP="003D5367">
      <w:pPr>
        <w:pStyle w:val="a6"/>
        <w:ind w:left="422" w:firstLine="0"/>
        <w:rPr>
          <w:rtl/>
        </w:rPr>
      </w:pPr>
      <w:r>
        <w:rPr>
          <w:rFonts w:hint="cs"/>
          <w:b/>
          <w:bCs/>
          <w:rtl/>
        </w:rPr>
        <w:t>انظر</w:t>
      </w:r>
      <w:r>
        <w:rPr>
          <w:rFonts w:hint="cs"/>
          <w:rtl/>
        </w:rPr>
        <w:t xml:space="preserve"> : الجواهر المضية، 3/544، رقم 1743؛ تاج التراجم، ص275، رقم 308؛ مفتاح السعادة، 2/251؛ الفوائد البهية، ص220؛ هدية العارفين، 2/490.</w:t>
      </w:r>
    </w:p>
  </w:footnote>
  <w:footnote w:id="480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6/404 -مع زيادة اسم كتاب أبي الليث، حيث ذكر كتابه عقبه فقال : </w:t>
      </w:r>
      <w:r>
        <w:rPr>
          <w:rFonts w:hint="eastAsia"/>
          <w:rtl/>
        </w:rPr>
        <w:t>«</w:t>
      </w:r>
      <w:r>
        <w:rPr>
          <w:rFonts w:hint="cs"/>
          <w:rtl/>
        </w:rPr>
        <w:t>... في (العيون)</w:t>
      </w:r>
      <w:r>
        <w:rPr>
          <w:rFonts w:hint="eastAsia"/>
          <w:rtl/>
        </w:rPr>
        <w:t>»</w:t>
      </w:r>
      <w:r>
        <w:rPr>
          <w:rFonts w:hint="cs"/>
          <w:rtl/>
        </w:rPr>
        <w:t>. أي في كتاب (عيون المسائل).</w:t>
      </w:r>
    </w:p>
    <w:p w:rsidR="00035BE3" w:rsidRDefault="00035BE3" w:rsidP="003D5367">
      <w:pPr>
        <w:pStyle w:val="a6"/>
        <w:ind w:left="422" w:firstLine="0"/>
        <w:rPr>
          <w:rtl/>
        </w:rPr>
      </w:pPr>
      <w:r>
        <w:rPr>
          <w:rFonts w:hint="cs"/>
          <w:rtl/>
        </w:rPr>
        <w:t>وانـظـر أيـضًا : الـدرر شـرح الغـرر، 2/169، حـيـث صرّح بـإحـالة مـا جاء هنا إلى (العناية).</w:t>
      </w:r>
    </w:p>
  </w:footnote>
  <w:footnote w:id="480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73/ب من (جـ).</w:t>
      </w:r>
    </w:p>
  </w:footnote>
  <w:footnote w:id="481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ولم</w:t>
      </w:r>
      <w:r>
        <w:rPr>
          <w:rFonts w:hint="eastAsia"/>
          <w:rtl/>
        </w:rPr>
        <w:t>»</w:t>
      </w:r>
      <w:r>
        <w:rPr>
          <w:rFonts w:hint="cs"/>
          <w:rtl/>
        </w:rPr>
        <w:t xml:space="preserve"> (بزيادة الواو).</w:t>
      </w:r>
    </w:p>
  </w:footnote>
  <w:footnote w:id="4811">
    <w:p w:rsidR="00035BE3" w:rsidRDefault="00035BE3" w:rsidP="003D5367">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العناية، 6/325، 328، وقد صرّح صاحب (العناية) بالثمن في صدر المثال فقال : </w:t>
      </w:r>
      <w:r>
        <w:rPr>
          <w:rFonts w:hint="eastAsia"/>
          <w:spacing w:val="4"/>
          <w:rtl/>
        </w:rPr>
        <w:t>«</w:t>
      </w:r>
      <w:r>
        <w:rPr>
          <w:rFonts w:hint="cs"/>
          <w:spacing w:val="4"/>
          <w:rtl/>
        </w:rPr>
        <w:t xml:space="preserve">... ومن قال : اشتريت أحد هذين الثوبين على أنّ لي أن آخذ أيهما شئت </w:t>
      </w:r>
      <w:r>
        <w:rPr>
          <w:rFonts w:hint="cs"/>
          <w:b/>
          <w:bCs/>
          <w:spacing w:val="4"/>
          <w:rtl/>
        </w:rPr>
        <w:t>بعشرة دراهم</w:t>
      </w:r>
      <w:r>
        <w:rPr>
          <w:rFonts w:hint="cs"/>
          <w:spacing w:val="4"/>
          <w:rtl/>
        </w:rPr>
        <w:t xml:space="preserve"> إلى ثلاثة أيام فالبيع جائزٌ استحسانًا</w:t>
      </w:r>
      <w:r>
        <w:rPr>
          <w:rFonts w:hint="eastAsia"/>
          <w:spacing w:val="4"/>
          <w:rtl/>
        </w:rPr>
        <w:t>»</w:t>
      </w:r>
      <w:r>
        <w:rPr>
          <w:rFonts w:hint="cs"/>
          <w:spacing w:val="4"/>
          <w:rtl/>
        </w:rPr>
        <w:t>.</w:t>
      </w:r>
    </w:p>
  </w:footnote>
  <w:footnote w:id="4812">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 </w:t>
      </w:r>
      <w:r>
        <w:rPr>
          <w:rFonts w:hint="eastAsia"/>
          <w:spacing w:val="6"/>
          <w:rtl/>
        </w:rPr>
        <w:t>«</w:t>
      </w:r>
      <w:r>
        <w:rPr>
          <w:rFonts w:hint="cs"/>
          <w:spacing w:val="6"/>
          <w:rtl/>
        </w:rPr>
        <w:t>آخر لأن أشتريه</w:t>
      </w:r>
      <w:r>
        <w:rPr>
          <w:rFonts w:hint="eastAsia"/>
          <w:spacing w:val="6"/>
          <w:rtl/>
        </w:rPr>
        <w:t>»</w:t>
      </w:r>
      <w:r>
        <w:rPr>
          <w:rFonts w:hint="cs"/>
          <w:spacing w:val="6"/>
          <w:rtl/>
        </w:rPr>
        <w:t xml:space="preserve">، وفي (ب) و(د) : </w:t>
      </w:r>
      <w:r>
        <w:rPr>
          <w:rFonts w:hint="eastAsia"/>
          <w:spacing w:val="6"/>
          <w:rtl/>
        </w:rPr>
        <w:t>«</w:t>
      </w:r>
      <w:r>
        <w:rPr>
          <w:rFonts w:hint="cs"/>
          <w:spacing w:val="6"/>
          <w:rtl/>
        </w:rPr>
        <w:t>آخر لأن اشترايه</w:t>
      </w:r>
      <w:r>
        <w:rPr>
          <w:rFonts w:hint="eastAsia"/>
          <w:spacing w:val="6"/>
          <w:rtl/>
        </w:rPr>
        <w:t>»</w:t>
      </w:r>
      <w:r>
        <w:rPr>
          <w:rFonts w:hint="cs"/>
          <w:spacing w:val="6"/>
          <w:rtl/>
        </w:rPr>
        <w:t xml:space="preserve">. والصحيح ما تمَّ إثباته من (جـ) و(هـ) و(و)؛ وهو المتفق من جهة المعنى مع ما جاء في العناية؛ حيث جاء فيها : </w:t>
      </w:r>
      <w:r>
        <w:rPr>
          <w:rFonts w:hint="eastAsia"/>
          <w:spacing w:val="6"/>
          <w:rtl/>
        </w:rPr>
        <w:t>«</w:t>
      </w:r>
      <w:r>
        <w:rPr>
          <w:rFonts w:hint="cs"/>
          <w:spacing w:val="6"/>
          <w:rtl/>
        </w:rPr>
        <w:t>... الآخر ليشتريه ...</w:t>
      </w:r>
      <w:r>
        <w:rPr>
          <w:rFonts w:hint="eastAsia"/>
          <w:spacing w:val="6"/>
          <w:rtl/>
        </w:rPr>
        <w:t>»</w:t>
      </w:r>
      <w:r>
        <w:rPr>
          <w:rFonts w:hint="cs"/>
          <w:spacing w:val="6"/>
          <w:rtl/>
        </w:rPr>
        <w:t>.</w:t>
      </w:r>
    </w:p>
  </w:footnote>
  <w:footnote w:id="481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100/أ من (أ).</w:t>
      </w:r>
    </w:p>
  </w:footnote>
  <w:footnote w:id="481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6/328 -مع الاختلاف اليسير الذي سبق بيانه-.</w:t>
      </w:r>
    </w:p>
  </w:footnote>
  <w:footnote w:id="481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الضابط وما جاء في شرحه مستفاد من (العناية)، إلا أنه من مواضع متفرّقة من العناية، وقد سبق بيان هذه المواضع عند توثيق كل عبارة على حدة.</w:t>
      </w:r>
    </w:p>
  </w:footnote>
  <w:footnote w:id="481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جامع الفصولين، 2/59، ولفظه: </w:t>
      </w:r>
      <w:r>
        <w:rPr>
          <w:rFonts w:hint="eastAsia"/>
          <w:rtl/>
        </w:rPr>
        <w:t>«</w:t>
      </w:r>
      <w:r>
        <w:rPr>
          <w:rFonts w:hint="cs"/>
          <w:rtl/>
        </w:rPr>
        <w:t>وقيل في (فصط) [أي: فوائد صاحب (المحيط)]: ما قبض على سوم النكاح ضُمن</w:t>
      </w:r>
      <w:r>
        <w:rPr>
          <w:rFonts w:hint="eastAsia"/>
          <w:rtl/>
        </w:rPr>
        <w:t>»</w:t>
      </w:r>
      <w:r>
        <w:rPr>
          <w:rFonts w:hint="cs"/>
          <w:rtl/>
        </w:rPr>
        <w:t xml:space="preserve">، ثم فسّر ذلك بالمثال فقال : </w:t>
      </w:r>
      <w:r>
        <w:rPr>
          <w:rFonts w:hint="eastAsia"/>
          <w:rtl/>
        </w:rPr>
        <w:t>«</w:t>
      </w:r>
      <w:r>
        <w:rPr>
          <w:rFonts w:hint="cs"/>
          <w:rtl/>
        </w:rPr>
        <w:t xml:space="preserve">يعني: لو قبض أمةَ غيرهِ ليتزوجها بإذن </w:t>
      </w:r>
      <w:r w:rsidRPr="00A80FA1">
        <w:rPr>
          <w:rFonts w:hint="cs"/>
          <w:spacing w:val="-4"/>
          <w:rtl/>
        </w:rPr>
        <w:t>مولاها، فهلكت في يده ضمن قيمتها</w:t>
      </w:r>
      <w:r w:rsidRPr="00A80FA1">
        <w:rPr>
          <w:rFonts w:hint="eastAsia"/>
          <w:spacing w:val="-4"/>
          <w:rtl/>
        </w:rPr>
        <w:t>»</w:t>
      </w:r>
      <w:r w:rsidRPr="00A80FA1">
        <w:rPr>
          <w:rFonts w:hint="cs"/>
          <w:spacing w:val="-4"/>
          <w:rtl/>
        </w:rPr>
        <w:t>. والتفسير بهذا المثال مذكور أيضًا في رد المحتار، 7/122،</w:t>
      </w:r>
      <w:r>
        <w:rPr>
          <w:rFonts w:hint="cs"/>
          <w:rtl/>
        </w:rPr>
        <w:t xml:space="preserve"> وأحاله إلى (جامع الفصولين). كما أن تفسير مصطلح (فصط) مستفاد من مقدمة جامع الفصولين، 1/3.</w:t>
      </w:r>
    </w:p>
    <w:p w:rsidR="00035BE3" w:rsidRDefault="00035BE3" w:rsidP="003D5367">
      <w:pPr>
        <w:pStyle w:val="a6"/>
        <w:ind w:left="422" w:firstLine="0"/>
        <w:rPr>
          <w:rtl/>
        </w:rPr>
      </w:pPr>
      <w:r>
        <w:rPr>
          <w:rFonts w:hint="cs"/>
          <w:rtl/>
        </w:rPr>
        <w:t>وانظر : الأشباه لابن نجيم، ص201؛ قواعد الفقه له أيضًا، ص167، قاعدة 212، فالعبارة التي ذكرها المؤلف وردت في هذين الكتابين مع إحالتها إلى (جامع الفصولين).</w:t>
      </w:r>
    </w:p>
  </w:footnote>
  <w:footnote w:id="4817">
    <w:p w:rsidR="00035BE3" w:rsidRDefault="00035BE3" w:rsidP="003D5367">
      <w:pPr>
        <w:pStyle w:val="a8"/>
        <w:bidi/>
        <w:spacing w:line="48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وردت هذه الـقاعـدة بلفظها أو نحوه في كثير من كتب القواعد المتأخرة عن المؤلف، وبعض كتب الفقه :</w:t>
      </w:r>
    </w:p>
    <w:p w:rsidR="00035BE3" w:rsidRDefault="00035BE3" w:rsidP="003D5367">
      <w:pPr>
        <w:pStyle w:val="a6"/>
        <w:spacing w:line="480" w:lineRule="exact"/>
        <w:ind w:left="422" w:firstLine="0"/>
        <w:rPr>
          <w:b/>
          <w:bCs/>
          <w:rtl/>
        </w:rPr>
      </w:pPr>
      <w:r>
        <w:rPr>
          <w:rFonts w:hint="cs"/>
          <w:b/>
          <w:bCs/>
          <w:rtl/>
        </w:rPr>
        <w:t>فمن كتب القواعد :</w:t>
      </w:r>
    </w:p>
    <w:p w:rsidR="00035BE3" w:rsidRDefault="00035BE3" w:rsidP="003D5367">
      <w:pPr>
        <w:pStyle w:val="a6"/>
        <w:spacing w:line="480" w:lineRule="exact"/>
        <w:ind w:left="422" w:firstLine="0"/>
        <w:rPr>
          <w:spacing w:val="14"/>
          <w:rtl/>
        </w:rPr>
      </w:pPr>
      <w:r>
        <w:rPr>
          <w:rFonts w:hint="cs"/>
          <w:spacing w:val="14"/>
          <w:rtl/>
        </w:rPr>
        <w:t xml:space="preserve">مجامع الحقائق (الخاتمة)، ص47؛ شرح العلائي لقواعد الخادمي، ل37/ب؛ منافع الدقائق، ص332؛ مجلة الأحكام العدلية، مادة 38؛ شرحها لسليم رستم، 1/35؛ ولعلي حيدر، 1/42؛ وللأتاسي، 1/88؛ وشرح قواعدها للزرقا، ص325؛ قواعد الفقه للمجدّدي، ص129، قاعدة 349؛ المدخل الفقهي العام، 2/977، فقرة 585؛ القواعد والضوابط المستخلصة من التحرير، ص496- ولفظه : </w:t>
      </w:r>
      <w:r>
        <w:rPr>
          <w:rFonts w:hint="eastAsia"/>
          <w:spacing w:val="14"/>
          <w:rtl/>
        </w:rPr>
        <w:t>«</w:t>
      </w:r>
      <w:r>
        <w:rPr>
          <w:rFonts w:hint="cs"/>
          <w:spacing w:val="14"/>
          <w:rtl/>
        </w:rPr>
        <w:t>الممتنع عرفًا وعادة كالممتنع حقيقة</w:t>
      </w:r>
      <w:r>
        <w:rPr>
          <w:rFonts w:hint="eastAsia"/>
          <w:spacing w:val="14"/>
          <w:rtl/>
        </w:rPr>
        <w:t>»</w:t>
      </w:r>
      <w:r>
        <w:rPr>
          <w:rFonts w:hint="cs"/>
          <w:spacing w:val="14"/>
          <w:rtl/>
        </w:rPr>
        <w:t>؛ الوجيز، ص152؛ القواعد الكبرى للدكتور عبد الله العجلان، ص101؛ المدخل إلى القواعد الفقهية، ص112؛ المبادئ الفقهية، ص29؛ القواعد الفقهية للدّعاس، ص26، قاعدة 14؛ وللدكتور الزحيلي، ص55.</w:t>
      </w:r>
    </w:p>
    <w:p w:rsidR="00035BE3" w:rsidRDefault="00035BE3" w:rsidP="003D5367">
      <w:pPr>
        <w:pStyle w:val="a6"/>
        <w:spacing w:line="480" w:lineRule="exact"/>
        <w:ind w:left="422" w:firstLine="0"/>
        <w:rPr>
          <w:b/>
          <w:bCs/>
          <w:rtl/>
        </w:rPr>
      </w:pPr>
      <w:r>
        <w:rPr>
          <w:rFonts w:hint="cs"/>
          <w:b/>
          <w:bCs/>
          <w:rtl/>
        </w:rPr>
        <w:t>ومن كتب الفقه :</w:t>
      </w:r>
    </w:p>
    <w:p w:rsidR="00035BE3" w:rsidRDefault="00035BE3" w:rsidP="003D5367">
      <w:pPr>
        <w:pStyle w:val="a6"/>
        <w:spacing w:line="480" w:lineRule="exact"/>
        <w:ind w:left="422" w:firstLine="0"/>
        <w:rPr>
          <w:spacing w:val="6"/>
          <w:rtl/>
        </w:rPr>
      </w:pPr>
      <w:r>
        <w:rPr>
          <w:rFonts w:hint="cs"/>
          <w:spacing w:val="6"/>
          <w:rtl/>
        </w:rPr>
        <w:t>الدّرر شرح الغرر، 2/362 -وهو المصدر الرئيس للمؤلف كما صرح بذلك في نهاية شرح القاعدة-؛ تبيين الحقائق، 5/10؛ قرّة عيون الأخيار، 12/171.</w:t>
      </w:r>
    </w:p>
  </w:footnote>
  <w:footnote w:id="4818">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60/ب من (د).</w:t>
      </w:r>
    </w:p>
  </w:footnote>
  <w:footnote w:id="4819">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العبارة في شرح العلائي لقواعد الخادمي، ل37/ب؛ وفي منافع الدقائق، ص332.</w:t>
      </w:r>
    </w:p>
    <w:p w:rsidR="00035BE3" w:rsidRDefault="00035BE3" w:rsidP="003D5367">
      <w:pPr>
        <w:pStyle w:val="a6"/>
        <w:spacing w:line="480" w:lineRule="exact"/>
        <w:ind w:left="422" w:firstLine="0"/>
        <w:rPr>
          <w:rtl/>
        </w:rPr>
      </w:pPr>
      <w:r>
        <w:rPr>
          <w:rFonts w:hint="cs"/>
          <w:rtl/>
        </w:rPr>
        <w:t xml:space="preserve">علمًا بأنهما اكتفيا بالتعليق على القاعدة بهذه العبارة. كما أن الأول ختمها بقوله : </w:t>
      </w:r>
      <w:r>
        <w:rPr>
          <w:rFonts w:hint="eastAsia"/>
          <w:rtl/>
        </w:rPr>
        <w:t>«</w:t>
      </w:r>
      <w:r>
        <w:rPr>
          <w:rFonts w:hint="cs"/>
          <w:rtl/>
        </w:rPr>
        <w:t>انتهى</w:t>
      </w:r>
      <w:r>
        <w:rPr>
          <w:rFonts w:hint="eastAsia"/>
          <w:rtl/>
        </w:rPr>
        <w:t>»</w:t>
      </w:r>
      <w:r>
        <w:rPr>
          <w:rFonts w:hint="cs"/>
          <w:rtl/>
        </w:rPr>
        <w:t xml:space="preserve">، وكان قد صدّرها بقوله : </w:t>
      </w:r>
      <w:r>
        <w:rPr>
          <w:rFonts w:hint="eastAsia"/>
          <w:rtl/>
        </w:rPr>
        <w:t>«</w:t>
      </w:r>
      <w:r>
        <w:rPr>
          <w:rFonts w:hint="cs"/>
          <w:rtl/>
        </w:rPr>
        <w:t xml:space="preserve"> قوله ...</w:t>
      </w:r>
      <w:r>
        <w:rPr>
          <w:rFonts w:hint="eastAsia"/>
          <w:rtl/>
        </w:rPr>
        <w:t>»</w:t>
      </w:r>
      <w:r>
        <w:rPr>
          <w:rFonts w:hint="cs"/>
          <w:rtl/>
        </w:rPr>
        <w:t>، ممّا يعني أن هذا التعليق منقول عن الخادمي تبعًا للقاعدة.</w:t>
      </w:r>
    </w:p>
  </w:footnote>
  <w:footnote w:id="4820">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 ساقطة من (جـ).</w:t>
      </w:r>
    </w:p>
  </w:footnote>
  <w:footnote w:id="4821">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العادة</w:t>
      </w:r>
      <w:r>
        <w:rPr>
          <w:rFonts w:hint="eastAsia"/>
          <w:rtl/>
        </w:rPr>
        <w:t>»</w:t>
      </w:r>
      <w:r>
        <w:rPr>
          <w:rFonts w:hint="cs"/>
          <w:rtl/>
        </w:rPr>
        <w:t>.</w:t>
      </w:r>
    </w:p>
  </w:footnote>
  <w:footnote w:id="482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على حسب</w:t>
      </w:r>
      <w:r>
        <w:rPr>
          <w:rFonts w:hint="eastAsia"/>
          <w:rtl/>
        </w:rPr>
        <w:t>»</w:t>
      </w:r>
      <w:r>
        <w:rPr>
          <w:rFonts w:hint="cs"/>
          <w:rtl/>
        </w:rPr>
        <w:t>.</w:t>
      </w:r>
    </w:p>
  </w:footnote>
  <w:footnote w:id="482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الثوب</w:t>
      </w:r>
      <w:r>
        <w:rPr>
          <w:rFonts w:hint="eastAsia"/>
          <w:rtl/>
        </w:rPr>
        <w:t>»</w:t>
      </w:r>
      <w:r>
        <w:rPr>
          <w:rFonts w:hint="cs"/>
          <w:rtl/>
        </w:rPr>
        <w:t xml:space="preserve">، وفي (جـ) : </w:t>
      </w:r>
      <w:r>
        <w:rPr>
          <w:rFonts w:hint="eastAsia"/>
          <w:rtl/>
        </w:rPr>
        <w:t>«</w:t>
      </w:r>
      <w:r>
        <w:rPr>
          <w:rFonts w:hint="cs"/>
          <w:rtl/>
        </w:rPr>
        <w:t>بثوب</w:t>
      </w:r>
      <w:r>
        <w:rPr>
          <w:rFonts w:hint="eastAsia"/>
          <w:rtl/>
        </w:rPr>
        <w:t>»</w:t>
      </w:r>
      <w:r>
        <w:rPr>
          <w:rFonts w:hint="cs"/>
          <w:rtl/>
        </w:rPr>
        <w:t>.</w:t>
      </w:r>
    </w:p>
  </w:footnote>
  <w:footnote w:id="482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يكون</w:t>
      </w:r>
      <w:r>
        <w:rPr>
          <w:rFonts w:hint="eastAsia"/>
          <w:rtl/>
        </w:rPr>
        <w:t>»</w:t>
      </w:r>
      <w:r>
        <w:rPr>
          <w:rFonts w:hint="cs"/>
          <w:rtl/>
        </w:rPr>
        <w:t>. والصحيح ما تمَّ إثباته من (د).</w:t>
      </w:r>
    </w:p>
  </w:footnote>
  <w:footnote w:id="482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طرفا</w:t>
      </w:r>
      <w:r>
        <w:rPr>
          <w:rFonts w:hint="eastAsia"/>
          <w:rtl/>
        </w:rPr>
        <w:t>»</w:t>
      </w:r>
      <w:r>
        <w:rPr>
          <w:rFonts w:hint="cs"/>
          <w:rtl/>
        </w:rPr>
        <w:t xml:space="preserve"> (بالطاء المهملة). وكلمة (ظرفًا) تمثل نهاية 63/ب من (ب).</w:t>
      </w:r>
    </w:p>
  </w:footnote>
  <w:footnote w:id="482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ولا خلاف في هذا الأصل ... للواحد عادة أم لا؟</w:t>
      </w:r>
      <w:r>
        <w:rPr>
          <w:rFonts w:hint="eastAsia"/>
          <w:rtl/>
        </w:rPr>
        <w:t>»</w:t>
      </w:r>
      <w:r>
        <w:rPr>
          <w:rFonts w:hint="cs"/>
          <w:rtl/>
        </w:rPr>
        <w:t xml:space="preserve"> معناه -والله أعلم-: </w:t>
      </w:r>
    </w:p>
    <w:p w:rsidR="00035BE3" w:rsidRDefault="00035BE3" w:rsidP="003D5367">
      <w:pPr>
        <w:pStyle w:val="a6"/>
        <w:ind w:left="422" w:firstLine="0"/>
        <w:rPr>
          <w:rtl/>
        </w:rPr>
      </w:pPr>
      <w:r>
        <w:rPr>
          <w:rFonts w:hint="cs"/>
          <w:rtl/>
        </w:rPr>
        <w:t>لا خلاف بين الإمام أبي حنيفة وصاحبيه في أصل هذه القاعدة.</w:t>
      </w:r>
    </w:p>
    <w:p w:rsidR="00035BE3" w:rsidRDefault="00035BE3" w:rsidP="003D5367">
      <w:pPr>
        <w:pStyle w:val="a6"/>
        <w:ind w:left="422" w:firstLine="0"/>
        <w:rPr>
          <w:rtl/>
        </w:rPr>
      </w:pPr>
      <w:r>
        <w:rPr>
          <w:rFonts w:hint="cs"/>
          <w:rtl/>
        </w:rPr>
        <w:t>وما يحصل من خلاف بينهم إنما هو في التطبيق؛ لاختلاف نظرتهم في كون الشيء ممتنعًا عادة أم لا ؟.</w:t>
      </w:r>
    </w:p>
    <w:p w:rsidR="00035BE3" w:rsidRDefault="00035BE3" w:rsidP="003D5367">
      <w:pPr>
        <w:pStyle w:val="a6"/>
        <w:ind w:left="422" w:firstLine="0"/>
        <w:rPr>
          <w:spacing w:val="6"/>
          <w:rtl/>
        </w:rPr>
      </w:pPr>
      <w:r>
        <w:rPr>
          <w:rFonts w:hint="cs"/>
          <w:spacing w:val="6"/>
          <w:rtl/>
        </w:rPr>
        <w:t>ومثال ذلك : لو قال : عليّ ثوب في عشرة أثواب. فقد حصل في ذلك خلاف بين الثلاثة، وسبب الخلاف هو : هل جرت العادة بلفّ الثوب في عشرة أثواب فتكون العشرة ظرفًا للواحد عادة، فيلزمه أحد عشر ثوبًا، أو يقال : إن هذا ممتنع عادة، والممتنع عادة كالممتنع حقيقة، فلا يلزمه إلا ثوب واحد؟.</w:t>
      </w:r>
    </w:p>
    <w:p w:rsidR="00035BE3" w:rsidRDefault="00035BE3" w:rsidP="003D5367">
      <w:pPr>
        <w:pStyle w:val="a6"/>
        <w:ind w:left="422" w:firstLine="0"/>
        <w:rPr>
          <w:spacing w:val="10"/>
          <w:rtl/>
        </w:rPr>
      </w:pPr>
      <w:r>
        <w:rPr>
          <w:rFonts w:hint="cs"/>
          <w:spacing w:val="10"/>
          <w:rtl/>
        </w:rPr>
        <w:t xml:space="preserve">خلاف بين الثلاثة : فمذهب محمد هو الأول، ومذهب أبي يوسف الثاني، واختلف النقل عن الإمام أبي حنيفة، ففي (الكافي) أن الثاني </w:t>
      </w:r>
      <w:r>
        <w:rPr>
          <w:rFonts w:hint="eastAsia"/>
          <w:spacing w:val="10"/>
          <w:rtl/>
        </w:rPr>
        <w:t>«</w:t>
      </w:r>
      <w:r>
        <w:rPr>
          <w:rFonts w:hint="cs"/>
          <w:spacing w:val="10"/>
          <w:rtl/>
        </w:rPr>
        <w:t>هو قول أبي حنيفة. وفي (التبيين) : هو قول أبي حنيفة أوّلاً</w:t>
      </w:r>
      <w:r>
        <w:rPr>
          <w:rFonts w:hint="eastAsia"/>
          <w:spacing w:val="10"/>
          <w:rtl/>
        </w:rPr>
        <w:t>»</w:t>
      </w:r>
      <w:r>
        <w:rPr>
          <w:rFonts w:hint="cs"/>
          <w:spacing w:val="10"/>
          <w:rtl/>
        </w:rPr>
        <w:t>- قاله صاحب نتائج الأفكار، 8/342؛ وانظر : تبيين الحقائق، 5/10؛ وانظر أيضًا : الهداية والعناية، 8/342-343؛ الدّرر شـرح الـغرر، 2/362؛ قرة عيون الأخيار، 12/171.</w:t>
      </w:r>
    </w:p>
  </w:footnote>
  <w:footnote w:id="482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يكون</w:t>
      </w:r>
      <w:r>
        <w:rPr>
          <w:rFonts w:hint="eastAsia"/>
          <w:rtl/>
        </w:rPr>
        <w:t>»</w:t>
      </w:r>
      <w:r>
        <w:rPr>
          <w:rFonts w:hint="cs"/>
          <w:rtl/>
        </w:rPr>
        <w:t>.</w:t>
      </w:r>
    </w:p>
  </w:footnote>
  <w:footnote w:id="482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تلحق</w:t>
      </w:r>
      <w:r>
        <w:rPr>
          <w:rFonts w:hint="eastAsia"/>
          <w:rtl/>
        </w:rPr>
        <w:t>»</w:t>
      </w:r>
      <w:r>
        <w:rPr>
          <w:rFonts w:hint="cs"/>
          <w:rtl/>
        </w:rPr>
        <w:t>.</w:t>
      </w:r>
    </w:p>
  </w:footnote>
  <w:footnote w:id="482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عشرة</w:t>
      </w:r>
      <w:r>
        <w:rPr>
          <w:rFonts w:hint="eastAsia"/>
          <w:rtl/>
        </w:rPr>
        <w:t>»</w:t>
      </w:r>
      <w:r>
        <w:rPr>
          <w:rFonts w:hint="cs"/>
          <w:rtl/>
        </w:rPr>
        <w:t xml:space="preserve">. والصحيح ما تمَّ إثباته من (ب)، وهو الموافق في المعنى لما جاء في مصدر هذه العبارة (وهو الدرر)؛ حيث جاء فيه : </w:t>
      </w:r>
      <w:r>
        <w:rPr>
          <w:rFonts w:hint="eastAsia"/>
          <w:rtl/>
        </w:rPr>
        <w:t>«</w:t>
      </w:r>
      <w:r>
        <w:rPr>
          <w:rFonts w:hint="cs"/>
          <w:rtl/>
        </w:rPr>
        <w:t>في عشرة</w:t>
      </w:r>
      <w:r>
        <w:rPr>
          <w:rFonts w:hint="eastAsia"/>
          <w:rtl/>
        </w:rPr>
        <w:t>»</w:t>
      </w:r>
      <w:r>
        <w:rPr>
          <w:rFonts w:hint="cs"/>
          <w:rtl/>
        </w:rPr>
        <w:t>.</w:t>
      </w:r>
    </w:p>
  </w:footnote>
  <w:footnote w:id="483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اقناعًا</w:t>
      </w:r>
      <w:r>
        <w:rPr>
          <w:rFonts w:hint="eastAsia"/>
          <w:rtl/>
        </w:rPr>
        <w:t>»</w:t>
      </w:r>
      <w:r>
        <w:rPr>
          <w:rFonts w:hint="cs"/>
          <w:rtl/>
        </w:rPr>
        <w:t>.</w:t>
      </w:r>
    </w:p>
  </w:footnote>
  <w:footnote w:id="4831">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spacing w:val="-6"/>
          <w:sz w:val="29"/>
          <w:szCs w:val="29"/>
          <w:rtl/>
        </w:rPr>
        <w:t>أي : القاعدة وما جاء في شرحها مذكور في الدرر، 2/362، مع اختلاف بينهما في الترتيب وكثير من الألفاظ.</w:t>
      </w:r>
    </w:p>
  </w:footnote>
  <w:footnote w:id="4832">
    <w:p w:rsidR="00035BE3" w:rsidRDefault="00035BE3" w:rsidP="003D5367">
      <w:pPr>
        <w:pStyle w:val="a8"/>
        <w:bidi/>
        <w:spacing w:line="20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الحنفي والقواعد :</w:t>
      </w:r>
    </w:p>
    <w:p w:rsidR="00035BE3" w:rsidRDefault="00035BE3" w:rsidP="003D5367">
      <w:pPr>
        <w:pStyle w:val="a6"/>
        <w:spacing w:line="204" w:lineRule="auto"/>
        <w:ind w:left="420" w:firstLine="0"/>
        <w:rPr>
          <w:b/>
          <w:bCs/>
          <w:rtl/>
        </w:rPr>
      </w:pPr>
      <w:r>
        <w:rPr>
          <w:rFonts w:hint="cs"/>
          <w:b/>
          <w:bCs/>
          <w:rtl/>
        </w:rPr>
        <w:t>فمن كتب القواعد :</w:t>
      </w:r>
    </w:p>
    <w:p w:rsidR="00035BE3" w:rsidRPr="0065262C" w:rsidRDefault="00035BE3" w:rsidP="003D5367">
      <w:pPr>
        <w:pStyle w:val="a6"/>
        <w:spacing w:line="216" w:lineRule="auto"/>
        <w:ind w:left="420" w:firstLine="0"/>
        <w:rPr>
          <w:rtl/>
        </w:rPr>
      </w:pPr>
      <w:r w:rsidRPr="0065262C">
        <w:rPr>
          <w:rFonts w:hint="cs"/>
          <w:rtl/>
        </w:rPr>
        <w:t xml:space="preserve">الأشباه لابن نجيم، ص259؛ الفوائد الزينية له أيضًا، ص134، فائدة 147؛ مجلة الأحكام العدلية، مادة 100؛ شرحها لسليم رستم، 1/63؛ ولعلي حيدر، 1/87؛ وللأتاسي، 1/270؛ وشرح قواعدها للزرقا، ص475؛ الفرائد البهية للحمزاوي، ص19، قاعدة 17؛ قواعد الفقه للمجدّدي، ص129، قاعدة 353؛ المدخل الفقهي العام، 2/1015، فقرة 631؛ القواعد والضوابط المستخلصة، ص488- ولفظه: </w:t>
      </w:r>
      <w:r w:rsidRPr="0065262C">
        <w:rPr>
          <w:rFonts w:hint="eastAsia"/>
          <w:rtl/>
        </w:rPr>
        <w:t>«</w:t>
      </w:r>
      <w:r w:rsidRPr="0065262C">
        <w:rPr>
          <w:rFonts w:hint="cs"/>
          <w:rtl/>
        </w:rPr>
        <w:t>الشاهد متى سعى في نقض ما تمَّ به: لا تقبل شهادته</w:t>
      </w:r>
      <w:r w:rsidRPr="0065262C">
        <w:rPr>
          <w:rFonts w:hint="eastAsia"/>
          <w:rtl/>
        </w:rPr>
        <w:t>»</w:t>
      </w:r>
      <w:r w:rsidRPr="0065262C">
        <w:rPr>
          <w:rFonts w:hint="cs"/>
          <w:rtl/>
        </w:rPr>
        <w:t>-؛ الوجيز، ص306؛ المدخل إلى القواعد الفقهيةالكلية، ص158، 163؛ المبادئ الفقهية، ص55؛ القواعد الفقهية للدّعاس، ص80، قاعدة 60؛ وللدكتور محمد الزحيلي، ص80.</w:t>
      </w:r>
    </w:p>
    <w:p w:rsidR="00035BE3" w:rsidRDefault="00035BE3" w:rsidP="003D5367">
      <w:pPr>
        <w:pStyle w:val="a6"/>
        <w:spacing w:line="216" w:lineRule="auto"/>
        <w:ind w:left="420" w:firstLine="0"/>
        <w:rPr>
          <w:b/>
          <w:bCs/>
          <w:rtl/>
        </w:rPr>
      </w:pPr>
      <w:r>
        <w:rPr>
          <w:rFonts w:hint="cs"/>
          <w:b/>
          <w:bCs/>
          <w:rtl/>
        </w:rPr>
        <w:t>ومن كتب الفقه :</w:t>
      </w:r>
    </w:p>
    <w:p w:rsidR="00035BE3" w:rsidRPr="0065262C" w:rsidRDefault="00035BE3" w:rsidP="003D5367">
      <w:pPr>
        <w:pStyle w:val="a6"/>
        <w:spacing w:line="216" w:lineRule="auto"/>
        <w:ind w:left="420" w:firstLine="0"/>
        <w:rPr>
          <w:rtl/>
        </w:rPr>
      </w:pPr>
      <w:r w:rsidRPr="0065262C">
        <w:rPr>
          <w:rFonts w:hint="cs"/>
          <w:rtl/>
        </w:rPr>
        <w:t>المبسوط، 14/121، 15/61؛ شرح الزيادات لقاضي خان، ص1128، وانظر فهرس الكتاب ص2198؛ الهداية والعناية وفتح القدير، 7/207، 217، 9/418؛ جامع الفصولين، 2/145؛ الدّرر شرح الغرر، 2/214؛ البحر الرائق، 6/166، 167، 259؛ الدر المختار ورد المحتار، 6/643؛ قرَّة عيون الأخيار، 11/18.</w:t>
      </w:r>
    </w:p>
  </w:footnote>
  <w:footnote w:id="4833">
    <w:p w:rsidR="00035BE3" w:rsidRDefault="00035BE3" w:rsidP="003D5367">
      <w:pPr>
        <w:pStyle w:val="a8"/>
        <w:bidi/>
        <w:spacing w:line="216" w:lineRule="auto"/>
        <w:ind w:left="420"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B03D68">
        <w:rPr>
          <w:rFonts w:hint="cs"/>
          <w:spacing w:val="-6"/>
          <w:rtl/>
        </w:rPr>
        <w:t xml:space="preserve">في (أ) و(جـ): </w:t>
      </w:r>
      <w:r w:rsidRPr="00B03D68">
        <w:rPr>
          <w:rFonts w:hint="eastAsia"/>
          <w:spacing w:val="-6"/>
          <w:rtl/>
        </w:rPr>
        <w:t>«</w:t>
      </w:r>
      <w:r w:rsidRPr="00B03D68">
        <w:rPr>
          <w:rFonts w:hint="cs"/>
          <w:spacing w:val="-6"/>
          <w:rtl/>
        </w:rPr>
        <w:t>يثبت</w:t>
      </w:r>
      <w:r w:rsidRPr="00B03D68">
        <w:rPr>
          <w:rFonts w:hint="eastAsia"/>
          <w:spacing w:val="-6"/>
          <w:rtl/>
        </w:rPr>
        <w:t>»</w:t>
      </w:r>
      <w:r w:rsidRPr="00B03D68">
        <w:rPr>
          <w:rFonts w:hint="cs"/>
          <w:spacing w:val="-6"/>
          <w:rtl/>
        </w:rPr>
        <w:t>. والأفصح ما تمَّ إثباته من (ب) و(د)، وهو الموافق لمصدر هذه العبارة (وهو الدرر).</w:t>
      </w:r>
    </w:p>
  </w:footnote>
  <w:footnote w:id="4834">
    <w:p w:rsidR="00035BE3" w:rsidRDefault="00035BE3" w:rsidP="003D5367">
      <w:pPr>
        <w:pStyle w:val="a8"/>
        <w:bidi/>
        <w:spacing w:line="20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كان</w:t>
      </w:r>
      <w:r>
        <w:rPr>
          <w:rFonts w:hint="eastAsia"/>
          <w:rtl/>
        </w:rPr>
        <w:t>»</w:t>
      </w:r>
      <w:r>
        <w:rPr>
          <w:rFonts w:hint="cs"/>
          <w:rtl/>
        </w:rPr>
        <w:t xml:space="preserve"> : ساقطة من (ب) و(د).</w:t>
      </w:r>
    </w:p>
  </w:footnote>
  <w:footnote w:id="4835">
    <w:p w:rsidR="00035BE3" w:rsidRDefault="00035BE3" w:rsidP="003D5367">
      <w:pPr>
        <w:pStyle w:val="a8"/>
        <w:bidi/>
        <w:spacing w:line="20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أو أصلاً</w:t>
      </w:r>
      <w:r>
        <w:rPr>
          <w:rFonts w:hint="eastAsia"/>
          <w:rtl/>
        </w:rPr>
        <w:t>»</w:t>
      </w:r>
      <w:r>
        <w:rPr>
          <w:rFonts w:hint="cs"/>
          <w:rtl/>
        </w:rPr>
        <w:t>.</w:t>
      </w:r>
    </w:p>
  </w:footnote>
  <w:footnote w:id="4836">
    <w:p w:rsidR="00035BE3" w:rsidRDefault="00035BE3" w:rsidP="003D5367">
      <w:pPr>
        <w:pStyle w:val="a8"/>
        <w:bidi/>
        <w:spacing w:line="216" w:lineRule="auto"/>
        <w:ind w:left="420"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B03D68">
        <w:rPr>
          <w:rFonts w:hint="cs"/>
          <w:spacing w:val="-6"/>
          <w:rtl/>
        </w:rPr>
        <w:t>الألف زيادة من (ب) و(د)؛ وفاقًا للدرر. وهي زيادة في المبنى وفيها زيادة في المعنى؛ ولأنه قال عقب</w:t>
      </w:r>
      <w:r>
        <w:rPr>
          <w:rFonts w:hint="cs"/>
          <w:spacing w:val="-4"/>
          <w:rtl/>
        </w:rPr>
        <w:t xml:space="preserve"> </w:t>
      </w:r>
      <w:r w:rsidRPr="00B03D68">
        <w:rPr>
          <w:rFonts w:hint="cs"/>
          <w:spacing w:val="-6"/>
          <w:rtl/>
        </w:rPr>
        <w:t xml:space="preserve">ذلك: </w:t>
      </w:r>
      <w:r w:rsidRPr="00B03D68">
        <w:rPr>
          <w:rFonts w:hint="eastAsia"/>
          <w:spacing w:val="-6"/>
          <w:rtl/>
        </w:rPr>
        <w:t>«</w:t>
      </w:r>
      <w:r w:rsidRPr="00B03D68">
        <w:rPr>
          <w:rFonts w:hint="cs"/>
          <w:spacing w:val="-6"/>
          <w:rtl/>
        </w:rPr>
        <w:t>ففي هذه الصور</w:t>
      </w:r>
      <w:r w:rsidRPr="00B03D68">
        <w:rPr>
          <w:rFonts w:hint="eastAsia"/>
          <w:spacing w:val="-6"/>
          <w:rtl/>
        </w:rPr>
        <w:t>»</w:t>
      </w:r>
      <w:r w:rsidRPr="00B03D68">
        <w:rPr>
          <w:rFonts w:hint="cs"/>
          <w:spacing w:val="-6"/>
          <w:rtl/>
        </w:rPr>
        <w:t>، وبعدم زيادة الألف يكون ما تقدّم من الصور صورتين فقط، فلا يصدق عليها</w:t>
      </w:r>
      <w:r>
        <w:rPr>
          <w:rFonts w:hint="cs"/>
          <w:spacing w:val="-4"/>
          <w:rtl/>
        </w:rPr>
        <w:t xml:space="preserve"> </w:t>
      </w:r>
      <w:r w:rsidRPr="00B03D68">
        <w:rPr>
          <w:rFonts w:hint="cs"/>
          <w:spacing w:val="-6"/>
          <w:rtl/>
        </w:rPr>
        <w:t xml:space="preserve">مسمى الصور حينئذ؛ لأن (صور) جمع، وقد سبق أن قرّر المؤلف </w:t>
      </w:r>
      <w:r w:rsidRPr="00B03D68">
        <w:rPr>
          <w:spacing w:val="-6"/>
          <w:rtl/>
        </w:rPr>
        <w:t>–</w:t>
      </w:r>
      <w:r w:rsidRPr="00B03D68">
        <w:rPr>
          <w:rFonts w:hint="cs"/>
          <w:spacing w:val="-6"/>
          <w:rtl/>
        </w:rPr>
        <w:t>ص320 - أن أقل الجمع ثلاثة وليس اثنان.</w:t>
      </w:r>
    </w:p>
  </w:footnote>
  <w:footnote w:id="4837">
    <w:p w:rsidR="00035BE3" w:rsidRDefault="00035BE3" w:rsidP="003D5367">
      <w:pPr>
        <w:pStyle w:val="a8"/>
        <w:bidi/>
        <w:spacing w:line="20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100/ب من (أ).</w:t>
      </w:r>
    </w:p>
  </w:footnote>
  <w:footnote w:id="4838">
    <w:p w:rsidR="00035BE3" w:rsidRDefault="00035BE3" w:rsidP="003D5367">
      <w:pPr>
        <w:pStyle w:val="a8"/>
        <w:bidi/>
        <w:spacing w:line="204" w:lineRule="auto"/>
        <w:ind w:left="420"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الدرر شرح الغرر، 2/214؛ وانظر أيضًا : المبسوط، 14/121؛ الهداية والعناية، 9/417-418؛ شرح المجلة لسليم رستم، 1/63.</w:t>
      </w:r>
    </w:p>
  </w:footnote>
  <w:footnote w:id="4839">
    <w:p w:rsidR="00035BE3" w:rsidRDefault="00035BE3" w:rsidP="003D5367">
      <w:pPr>
        <w:pStyle w:val="a8"/>
        <w:bidi/>
        <w:spacing w:line="216" w:lineRule="auto"/>
        <w:ind w:left="420"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cs"/>
          <w:b/>
          <w:bCs/>
          <w:spacing w:val="-4"/>
          <w:rtl/>
        </w:rPr>
        <w:t>صورة المسألة</w:t>
      </w:r>
      <w:r>
        <w:rPr>
          <w:rFonts w:hint="cs"/>
          <w:spacing w:val="-4"/>
          <w:rtl/>
        </w:rPr>
        <w:t xml:space="preserve"> : لو اشترك اثنان في أرض، وكان الثاني منهما يملك الأرض المجاورة، فباعها أو بيعت له من قبل وكيله، ثم أراد أن ينقض هذا البيع بالشفعة : فإنها لا تثبت له. وكذلك إذا كانت الأرض المجاورة ملكًا لثالث، وكان الثاني وكيلاً عنه، فباعها : لا تثبت له الشفعة أيضًا.</w:t>
      </w:r>
      <w:r>
        <w:rPr>
          <w:rFonts w:hint="cs"/>
          <w:spacing w:val="-4"/>
          <w:rtl/>
        </w:rPr>
        <w:tab/>
      </w:r>
      <w:r>
        <w:rPr>
          <w:rFonts w:hint="cs"/>
          <w:spacing w:val="-4"/>
          <w:rtl/>
        </w:rPr>
        <w:tab/>
      </w:r>
      <w:r>
        <w:rPr>
          <w:rFonts w:hint="cs"/>
          <w:spacing w:val="-4"/>
          <w:rtl/>
        </w:rPr>
        <w:tab/>
      </w:r>
      <w:r>
        <w:rPr>
          <w:rFonts w:hint="cs"/>
          <w:spacing w:val="-4"/>
          <w:rtl/>
        </w:rPr>
        <w:tab/>
        <w:t xml:space="preserve">  </w:t>
      </w:r>
    </w:p>
    <w:p w:rsidR="00035BE3" w:rsidRDefault="00035BE3" w:rsidP="003D5367">
      <w:pPr>
        <w:pStyle w:val="a6"/>
        <w:ind w:left="422" w:hanging="2"/>
        <w:rPr>
          <w:spacing w:val="8"/>
          <w:rtl/>
        </w:rPr>
      </w:pPr>
      <w:r>
        <w:rPr>
          <w:rFonts w:hint="cs"/>
          <w:spacing w:val="8"/>
          <w:rtl/>
        </w:rPr>
        <w:t>والسبب في هذه الصور الثلاثة : هو كون عقد البيع حصل من جهة الشفيع، فلو نقض هذا العقد بالشفعة لكان قد نقض ما تمَّ من جهته، و</w:t>
      </w:r>
      <w:r>
        <w:rPr>
          <w:rFonts w:hint="eastAsia"/>
          <w:spacing w:val="8"/>
          <w:rtl/>
        </w:rPr>
        <w:t>«</w:t>
      </w:r>
      <w:r>
        <w:rPr>
          <w:rFonts w:hint="cs"/>
          <w:spacing w:val="8"/>
          <w:rtl/>
        </w:rPr>
        <w:t>من سعى في نقض ما تمَّ من جهته فسعيه مردود عليه</w:t>
      </w:r>
      <w:r>
        <w:rPr>
          <w:rFonts w:hint="eastAsia"/>
          <w:spacing w:val="8"/>
          <w:rtl/>
        </w:rPr>
        <w:t>»</w:t>
      </w:r>
      <w:r>
        <w:rPr>
          <w:rFonts w:hint="cs"/>
          <w:spacing w:val="8"/>
          <w:rtl/>
        </w:rPr>
        <w:t>.</w:t>
      </w:r>
    </w:p>
  </w:footnote>
  <w:footnote w:id="484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يثبت</w:t>
      </w:r>
      <w:r>
        <w:rPr>
          <w:rFonts w:hint="eastAsia"/>
          <w:rtl/>
        </w:rPr>
        <w:t>»</w:t>
      </w:r>
      <w:r>
        <w:rPr>
          <w:rFonts w:hint="cs"/>
          <w:rtl/>
        </w:rPr>
        <w:t>. والصحيح ما تمَّ إثباته من (ب) و(د).</w:t>
      </w:r>
    </w:p>
  </w:footnote>
  <w:footnote w:id="484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74/أ من (جـ)، مع تكرار </w:t>
      </w:r>
      <w:r>
        <w:rPr>
          <w:rFonts w:hint="eastAsia"/>
          <w:rtl/>
        </w:rPr>
        <w:t>«</w:t>
      </w:r>
      <w:r>
        <w:rPr>
          <w:rFonts w:hint="cs"/>
          <w:rtl/>
        </w:rPr>
        <w:t>لا بيع</w:t>
      </w:r>
      <w:r>
        <w:rPr>
          <w:rFonts w:hint="eastAsia"/>
          <w:rtl/>
        </w:rPr>
        <w:t>»</w:t>
      </w:r>
      <w:r>
        <w:rPr>
          <w:rFonts w:hint="cs"/>
          <w:rtl/>
        </w:rPr>
        <w:t xml:space="preserve"> في بداية اللوحة التي تليها.</w:t>
      </w:r>
    </w:p>
  </w:footnote>
  <w:footnote w:id="484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الدرر شرح الغرر، 2/214- علمًا بـأنه بيّن صـورة هـذه المسألة؛ وانظر أيضًا : المبسوط، 14/122؛ الهداية والعناية، 9/417-418.</w:t>
      </w:r>
    </w:p>
  </w:footnote>
  <w:footnote w:id="484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يثبت</w:t>
      </w:r>
      <w:r>
        <w:rPr>
          <w:rFonts w:hint="eastAsia"/>
          <w:rtl/>
        </w:rPr>
        <w:t>»</w:t>
      </w:r>
      <w:r>
        <w:rPr>
          <w:rFonts w:hint="cs"/>
          <w:rtl/>
        </w:rPr>
        <w:t>. والصحيح ما تمَّ إثباته من (د).</w:t>
      </w:r>
    </w:p>
  </w:footnote>
  <w:footnote w:id="4844">
    <w:p w:rsidR="00035BE3" w:rsidRDefault="00035BE3" w:rsidP="003D5367">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أي: </w:t>
      </w:r>
      <w:r>
        <w:rPr>
          <w:rFonts w:hint="eastAsia"/>
          <w:spacing w:val="8"/>
          <w:rtl/>
        </w:rPr>
        <w:t>«</w:t>
      </w:r>
      <w:r>
        <w:rPr>
          <w:rFonts w:hint="cs"/>
          <w:spacing w:val="8"/>
          <w:rtl/>
        </w:rPr>
        <w:t>ضمن الدرك لمشتري الدار، ثم ادعى شفعة فيها أو ملكًا لها : فإنه لا يُسمع منه ...</w:t>
      </w:r>
      <w:r>
        <w:rPr>
          <w:rFonts w:hint="eastAsia"/>
          <w:spacing w:val="8"/>
          <w:rtl/>
        </w:rPr>
        <w:t>»</w:t>
      </w:r>
      <w:r>
        <w:rPr>
          <w:rFonts w:hint="cs"/>
          <w:spacing w:val="8"/>
          <w:rtl/>
        </w:rPr>
        <w:t>- كذا في شرح القواعد الفقهية للزرقا؛ ص475؛ وانظر المراجع التي سيأتي ذكرها في نهاية هذه المسألة.</w:t>
      </w:r>
    </w:p>
  </w:footnote>
  <w:footnote w:id="484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تقرّر</w:t>
      </w:r>
      <w:r>
        <w:rPr>
          <w:rFonts w:hint="eastAsia"/>
          <w:rtl/>
        </w:rPr>
        <w:t>»</w:t>
      </w:r>
      <w:r>
        <w:rPr>
          <w:rFonts w:hint="cs"/>
          <w:rtl/>
        </w:rPr>
        <w:t>.</w:t>
      </w:r>
    </w:p>
  </w:footnote>
  <w:footnote w:id="484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9/418؛ الدرر شرح الغرر، 2/214؛ شرح المجلة لسليم رستم، 1/63.</w:t>
      </w:r>
    </w:p>
  </w:footnote>
  <w:footnote w:id="484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يقبل</w:t>
      </w:r>
      <w:r>
        <w:rPr>
          <w:rFonts w:hint="eastAsia"/>
          <w:rtl/>
        </w:rPr>
        <w:t>»</w:t>
      </w:r>
      <w:r>
        <w:rPr>
          <w:rFonts w:hint="cs"/>
          <w:rtl/>
        </w:rPr>
        <w:t>. والمناسب ما تمَّ إثباته من (د)، وهو الموافق لمصدر هذه العبارة (وهو أشباه ابن نجيم).</w:t>
      </w:r>
    </w:p>
  </w:footnote>
  <w:footnote w:id="484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ص259؛ وانظر : البحر الرائق، 6/167، 259؛ الفوائد الزينية، ص134، فائدة 147؛ رد المحتار، 6/643؛ تكملته : قرّة عيون الأخيار، 11/18؛ الوجيز للبورنو، ص307.</w:t>
      </w:r>
    </w:p>
  </w:footnote>
  <w:footnote w:id="484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ردّها</w:t>
      </w:r>
      <w:r>
        <w:rPr>
          <w:rFonts w:hint="eastAsia"/>
          <w:rtl/>
        </w:rPr>
        <w:t>»</w:t>
      </w:r>
      <w:r>
        <w:rPr>
          <w:rFonts w:hint="cs"/>
          <w:rtl/>
        </w:rPr>
        <w:t>.</w:t>
      </w:r>
    </w:p>
  </w:footnote>
  <w:footnote w:id="485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لا يستردها العقر</w:t>
      </w:r>
      <w:r>
        <w:rPr>
          <w:rFonts w:hint="eastAsia"/>
          <w:rtl/>
        </w:rPr>
        <w:t>»</w:t>
      </w:r>
      <w:r>
        <w:rPr>
          <w:rFonts w:hint="cs"/>
          <w:rtl/>
        </w:rPr>
        <w:t xml:space="preserve">، وفي (ب) و(د) : </w:t>
      </w:r>
      <w:r>
        <w:rPr>
          <w:rFonts w:hint="eastAsia"/>
          <w:rtl/>
        </w:rPr>
        <w:t>«</w:t>
      </w:r>
      <w:r>
        <w:rPr>
          <w:rFonts w:hint="cs"/>
          <w:rtl/>
        </w:rPr>
        <w:t>لا يسترد بها العقر</w:t>
      </w:r>
      <w:r>
        <w:rPr>
          <w:rFonts w:hint="eastAsia"/>
          <w:rtl/>
        </w:rPr>
        <w:t>»</w:t>
      </w:r>
      <w:r>
        <w:rPr>
          <w:rFonts w:hint="cs"/>
          <w:rtl/>
        </w:rPr>
        <w:t>. والصحيح ما تمَّ إثباته من (جـ)، وهو الموافق لأشباه ابن نجيم.</w:t>
      </w:r>
    </w:p>
  </w:footnote>
  <w:footnote w:id="485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ص259. وقد قال في نهاية العبارة : </w:t>
      </w:r>
      <w:r>
        <w:rPr>
          <w:rFonts w:hint="eastAsia"/>
          <w:rtl/>
        </w:rPr>
        <w:t>«</w:t>
      </w:r>
      <w:r>
        <w:rPr>
          <w:rFonts w:hint="cs"/>
          <w:rtl/>
        </w:rPr>
        <w:t>كذا في بيوع (الخلاصة) و(البزازية)</w:t>
      </w:r>
      <w:r>
        <w:rPr>
          <w:rFonts w:hint="eastAsia"/>
          <w:rtl/>
        </w:rPr>
        <w:t>»</w:t>
      </w:r>
      <w:r>
        <w:rPr>
          <w:rFonts w:hint="cs"/>
          <w:rtl/>
        </w:rPr>
        <w:t xml:space="preserve">. كما أورد هذا الفرع في فوائده، ص134، وأعقبه بقوله : </w:t>
      </w:r>
      <w:r>
        <w:rPr>
          <w:rFonts w:hint="eastAsia"/>
          <w:rtl/>
        </w:rPr>
        <w:t>«</w:t>
      </w:r>
      <w:r>
        <w:rPr>
          <w:rFonts w:hint="cs"/>
          <w:rtl/>
        </w:rPr>
        <w:t>كذا في بيوع (الخانية) و(البزازية)</w:t>
      </w:r>
      <w:r>
        <w:rPr>
          <w:rFonts w:hint="eastAsia"/>
          <w:rtl/>
        </w:rPr>
        <w:t>»</w:t>
      </w:r>
      <w:r>
        <w:rPr>
          <w:rFonts w:hint="cs"/>
          <w:rtl/>
        </w:rPr>
        <w:t>. وقد استعرضت كتاب البيوع من (الخلاصة) ولم أقف على هذا الفرع.</w:t>
      </w:r>
    </w:p>
    <w:p w:rsidR="00035BE3" w:rsidRDefault="00035BE3" w:rsidP="003D5367">
      <w:pPr>
        <w:pStyle w:val="a6"/>
        <w:ind w:left="422" w:firstLine="0"/>
        <w:rPr>
          <w:spacing w:val="-12"/>
          <w:sz w:val="29"/>
          <w:szCs w:val="29"/>
          <w:rtl/>
        </w:rPr>
      </w:pPr>
      <w:r>
        <w:rPr>
          <w:rFonts w:hint="cs"/>
          <w:spacing w:val="-12"/>
          <w:sz w:val="29"/>
          <w:szCs w:val="29"/>
          <w:rtl/>
        </w:rPr>
        <w:t>وانظره في : البحر الرائق، 6/167، 259؛ رد المحتار، 6/643؛ تكملته : قرة عيون الأخيار، 11/18.</w:t>
      </w:r>
    </w:p>
  </w:footnote>
  <w:footnote w:id="485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ص259؛ وانظر : فوائده، ص134؛ ردّ المحتار، 6/643.</w:t>
      </w:r>
    </w:p>
  </w:footnote>
  <w:footnote w:id="485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(ب): وهي لابدّ منها، لأنها الموافقة لاسم الكتاب، ولا يستقيم اختصار الاسم بحذفها، ولأن إثباتها هو الموافق لأشباه ابن نجيم.</w:t>
      </w:r>
    </w:p>
  </w:footnote>
  <w:footnote w:id="485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عن</w:t>
      </w:r>
      <w:r>
        <w:rPr>
          <w:rFonts w:hint="eastAsia"/>
          <w:rtl/>
        </w:rPr>
        <w:t>»</w:t>
      </w:r>
      <w:r>
        <w:rPr>
          <w:rFonts w:hint="cs"/>
          <w:rtl/>
        </w:rPr>
        <w:t>. وهو الموافق لأشباه ابن نجيم.</w:t>
      </w:r>
    </w:p>
  </w:footnote>
  <w:footnote w:id="485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أشباه ابن نجيم وفتح القدير، وهي زيادة لابّد منها.</w:t>
      </w:r>
    </w:p>
  </w:footnote>
  <w:footnote w:id="485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ص259 -مع الاختلاف اليـسـيـر الـذي سـبـق بيانه-؛ وانظر : فتح القدير، 7/48.</w:t>
      </w:r>
    </w:p>
  </w:footnote>
  <w:footnote w:id="485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61/أ من (د).</w:t>
      </w:r>
    </w:p>
  </w:footnote>
  <w:footnote w:id="485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وفتح القدير، 7/48؛ البحر الرائق، 6/167.</w:t>
      </w:r>
    </w:p>
  </w:footnote>
  <w:footnote w:id="485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101/أ من (أ).</w:t>
      </w:r>
    </w:p>
  </w:footnote>
  <w:footnote w:id="486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بعد المسائل الأربع التي تلي هذه المسألة.</w:t>
      </w:r>
    </w:p>
  </w:footnote>
  <w:footnote w:id="4861">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أنه</w:t>
      </w:r>
      <w:r>
        <w:rPr>
          <w:rFonts w:hint="eastAsia"/>
          <w:rtl/>
        </w:rPr>
        <w:t>»</w:t>
      </w:r>
      <w:r>
        <w:rPr>
          <w:rFonts w:hint="cs"/>
          <w:rtl/>
        </w:rPr>
        <w:t>. والصحيح ما تمَّ إثباته من (ب)، وهو الموافق لأشباه ابن نجيم.</w:t>
      </w:r>
    </w:p>
  </w:footnote>
  <w:footnote w:id="4862">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باعها</w:t>
      </w:r>
      <w:r>
        <w:rPr>
          <w:rFonts w:hint="eastAsia"/>
          <w:rtl/>
        </w:rPr>
        <w:t>»</w:t>
      </w:r>
      <w:r>
        <w:rPr>
          <w:rFonts w:hint="cs"/>
          <w:rtl/>
        </w:rPr>
        <w:t>.</w:t>
      </w:r>
    </w:p>
  </w:footnote>
  <w:footnote w:id="4863">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مكان </w:t>
      </w:r>
      <w:r>
        <w:rPr>
          <w:rFonts w:hint="eastAsia"/>
          <w:rtl/>
        </w:rPr>
        <w:t>«</w:t>
      </w:r>
      <w:r>
        <w:rPr>
          <w:rFonts w:hint="cs"/>
          <w:rtl/>
        </w:rPr>
        <w:t>كان</w:t>
      </w:r>
      <w:r>
        <w:rPr>
          <w:rFonts w:hint="eastAsia"/>
          <w:rtl/>
        </w:rPr>
        <w:t>»</w:t>
      </w:r>
      <w:r>
        <w:rPr>
          <w:rFonts w:hint="cs"/>
          <w:rtl/>
        </w:rPr>
        <w:t xml:space="preserve"> من (ب) : كلمة </w:t>
      </w:r>
      <w:r>
        <w:rPr>
          <w:rFonts w:hint="eastAsia"/>
          <w:rtl/>
        </w:rPr>
        <w:t>«</w:t>
      </w:r>
      <w:r>
        <w:rPr>
          <w:rFonts w:hint="cs"/>
          <w:rtl/>
        </w:rPr>
        <w:t>لأن</w:t>
      </w:r>
      <w:r>
        <w:rPr>
          <w:rFonts w:hint="eastAsia"/>
          <w:rtl/>
        </w:rPr>
        <w:t>»</w:t>
      </w:r>
      <w:r>
        <w:rPr>
          <w:rFonts w:hint="cs"/>
          <w:rtl/>
        </w:rPr>
        <w:t>، مع طمس هذه الكلمة.</w:t>
      </w:r>
    </w:p>
  </w:footnote>
  <w:footnote w:id="4864">
    <w:p w:rsidR="00035BE3" w:rsidRDefault="00035BE3" w:rsidP="003D5367">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ص260؛ وانظر : الفوائد الزينية، ص134؛ رد المحتار، 6/643؛ المدخل الفقهي العام، 2/1016، فقرة 631؛ الوجيز، ص307.</w:t>
      </w:r>
    </w:p>
  </w:footnote>
  <w:footnote w:id="4865">
    <w:p w:rsidR="00035BE3" w:rsidRDefault="00035BE3" w:rsidP="003D5367">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64/أ من (ب).</w:t>
      </w:r>
    </w:p>
  </w:footnote>
  <w:footnote w:id="4866">
    <w:p w:rsidR="00035BE3" w:rsidRDefault="00035BE3" w:rsidP="003D5367">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ص260؛ وانظر : المصادر الثلاثة السابقة.</w:t>
      </w:r>
    </w:p>
  </w:footnote>
  <w:footnote w:id="4867">
    <w:p w:rsidR="00035BE3" w:rsidRDefault="00035BE3" w:rsidP="003D5367">
      <w:pPr>
        <w:pStyle w:val="a8"/>
        <w:bidi/>
        <w:ind w:left="420"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 رد المحتار، 6/643؛ المدخل الفقهي العام، 2/1016، فقرة 631.</w:t>
      </w:r>
    </w:p>
  </w:footnote>
  <w:footnote w:id="4868">
    <w:p w:rsidR="00035BE3" w:rsidRDefault="00035BE3" w:rsidP="003D5367">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ص260؛ وانظر : رد الـمحتار، 6/643؛ الفرائد البهية للحمزاوي، ص19.</w:t>
      </w:r>
    </w:p>
  </w:footnote>
  <w:footnote w:id="4869">
    <w:p w:rsidR="00035BE3" w:rsidRDefault="00035BE3" w:rsidP="003D5367">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w:t>
      </w:r>
    </w:p>
    <w:p w:rsidR="00035BE3" w:rsidRDefault="00035BE3" w:rsidP="003D5367">
      <w:pPr>
        <w:pStyle w:val="a6"/>
        <w:ind w:left="420" w:firstLine="0"/>
        <w:rPr>
          <w:rtl/>
        </w:rPr>
      </w:pPr>
      <w:r>
        <w:rPr>
          <w:rFonts w:hint="cs"/>
          <w:rtl/>
        </w:rPr>
        <w:t xml:space="preserve">ولعل المعنى : ... عن كون العقود بشكل عام ... </w:t>
      </w:r>
    </w:p>
    <w:p w:rsidR="00035BE3" w:rsidRDefault="00035BE3" w:rsidP="003D5367">
      <w:pPr>
        <w:pStyle w:val="a6"/>
        <w:ind w:left="420" w:firstLine="0"/>
        <w:rPr>
          <w:rtl/>
        </w:rPr>
      </w:pPr>
      <w:r>
        <w:rPr>
          <w:rFonts w:hint="cs"/>
          <w:rtl/>
        </w:rPr>
        <w:t>وكان من المناسب أن يقال : (كونه)؛ لأن الظاهر أن الضمير يعود إلى العقد؛ لأنه أقرب مذكور.</w:t>
      </w:r>
    </w:p>
  </w:footnote>
  <w:footnote w:id="4870">
    <w:p w:rsidR="00035BE3" w:rsidRDefault="00035BE3" w:rsidP="003D5367">
      <w:pPr>
        <w:pStyle w:val="a8"/>
        <w:bidi/>
        <w:ind w:left="420"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و(د): </w:t>
      </w:r>
      <w:r>
        <w:rPr>
          <w:rFonts w:hint="eastAsia"/>
          <w:spacing w:val="-6"/>
          <w:rtl/>
        </w:rPr>
        <w:t>«</w:t>
      </w:r>
      <w:r>
        <w:rPr>
          <w:rFonts w:hint="cs"/>
          <w:spacing w:val="-6"/>
          <w:rtl/>
        </w:rPr>
        <w:t>تامًا</w:t>
      </w:r>
      <w:r>
        <w:rPr>
          <w:rFonts w:hint="eastAsia"/>
          <w:spacing w:val="-6"/>
          <w:rtl/>
        </w:rPr>
        <w:t>»</w:t>
      </w:r>
      <w:r>
        <w:rPr>
          <w:rFonts w:hint="cs"/>
          <w:spacing w:val="-6"/>
          <w:rtl/>
        </w:rPr>
        <w:t>. والصواب ما تمَّ إثباته من (ب)؛ لكي يتفق خبر (كون) مع اسمها في التأنيث.</w:t>
      </w:r>
    </w:p>
  </w:footnote>
  <w:footnote w:id="4871">
    <w:p w:rsidR="00035BE3" w:rsidRDefault="00035BE3" w:rsidP="003D5367">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الباب متعلق بالمشتري</w:t>
      </w:r>
      <w:r>
        <w:rPr>
          <w:rFonts w:hint="eastAsia"/>
          <w:rtl/>
        </w:rPr>
        <w:t>»</w:t>
      </w:r>
      <w:r>
        <w:rPr>
          <w:rFonts w:hint="cs"/>
          <w:rtl/>
        </w:rPr>
        <w:t>.</w:t>
      </w:r>
    </w:p>
  </w:footnote>
  <w:footnote w:id="4872">
    <w:p w:rsidR="00035BE3" w:rsidRDefault="00035BE3" w:rsidP="003D5367">
      <w:pPr>
        <w:pStyle w:val="a8"/>
        <w:bidi/>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هامش(أ) : </w:t>
      </w:r>
      <w:r>
        <w:rPr>
          <w:rFonts w:hint="eastAsia"/>
          <w:rtl/>
        </w:rPr>
        <w:t>«</w:t>
      </w:r>
      <w:r>
        <w:rPr>
          <w:rFonts w:hint="cs"/>
          <w:rtl/>
        </w:rPr>
        <w:t>الباب متعلق بباعه</w:t>
      </w:r>
      <w:r>
        <w:rPr>
          <w:rFonts w:hint="eastAsia"/>
          <w:rtl/>
        </w:rPr>
        <w:t>»</w:t>
      </w:r>
      <w:r>
        <w:rPr>
          <w:rFonts w:hint="cs"/>
          <w:rtl/>
        </w:rPr>
        <w:t>.</w:t>
      </w:r>
    </w:p>
  </w:footnote>
  <w:footnote w:id="4873">
    <w:p w:rsidR="00035BE3" w:rsidRDefault="00035BE3" w:rsidP="003D5367">
      <w:pPr>
        <w:pStyle w:val="a8"/>
        <w:bidi/>
        <w:ind w:left="420"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Pr>
          <w:rFonts w:hint="cs"/>
          <w:b/>
          <w:bCs/>
          <w:spacing w:val="-4"/>
          <w:rtl/>
        </w:rPr>
        <w:t xml:space="preserve"> معنى هذه المسألة</w:t>
      </w:r>
      <w:r>
        <w:rPr>
          <w:rFonts w:hint="cs"/>
          <w:spacing w:val="-4"/>
          <w:rtl/>
        </w:rPr>
        <w:t xml:space="preserve"> : إذا كان المشتري قد اشترى بعقد فاسد، وبعد قبضه للمشترى باعه بالعقد الصحيح على مشترٍ آخر : فإن المشتري الأول لا يملك استرداد ما باعه على المشتري الآخر.</w:t>
      </w:r>
    </w:p>
  </w:footnote>
  <w:footnote w:id="487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إذ</w:t>
      </w:r>
      <w:r>
        <w:rPr>
          <w:rFonts w:hint="eastAsia"/>
          <w:rtl/>
        </w:rPr>
        <w:t>»</w:t>
      </w:r>
      <w:r>
        <w:rPr>
          <w:rFonts w:hint="cs"/>
          <w:rtl/>
        </w:rPr>
        <w:t xml:space="preserve"> : ساقطة من (جـ)؛ حيث جاء فيها : </w:t>
      </w:r>
      <w:r>
        <w:rPr>
          <w:rFonts w:hint="eastAsia"/>
          <w:rtl/>
        </w:rPr>
        <w:t>«</w:t>
      </w:r>
      <w:r>
        <w:rPr>
          <w:rFonts w:hint="cs"/>
          <w:rtl/>
        </w:rPr>
        <w:t>أنه أباع</w:t>
      </w:r>
      <w:r>
        <w:rPr>
          <w:rFonts w:hint="eastAsia"/>
          <w:rtl/>
        </w:rPr>
        <w:t>»</w:t>
      </w:r>
      <w:r>
        <w:rPr>
          <w:rFonts w:hint="cs"/>
          <w:rtl/>
        </w:rPr>
        <w:t>.</w:t>
      </w:r>
    </w:p>
  </w:footnote>
  <w:footnote w:id="487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أي البائع الثاني</w:t>
      </w:r>
      <w:r>
        <w:rPr>
          <w:rFonts w:hint="eastAsia"/>
          <w:rtl/>
        </w:rPr>
        <w:t>»</w:t>
      </w:r>
      <w:r>
        <w:rPr>
          <w:rFonts w:hint="cs"/>
          <w:rtl/>
        </w:rPr>
        <w:t>.</w:t>
      </w:r>
    </w:p>
  </w:footnote>
  <w:footnote w:id="487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و(د) : </w:t>
      </w:r>
      <w:r>
        <w:rPr>
          <w:rFonts w:hint="eastAsia"/>
          <w:rtl/>
        </w:rPr>
        <w:t>«</w:t>
      </w:r>
      <w:r>
        <w:rPr>
          <w:rFonts w:hint="cs"/>
          <w:rtl/>
        </w:rPr>
        <w:t>مقرّر</w:t>
      </w:r>
      <w:r>
        <w:rPr>
          <w:rFonts w:hint="eastAsia"/>
          <w:rtl/>
        </w:rPr>
        <w:t>»</w:t>
      </w:r>
      <w:r>
        <w:rPr>
          <w:rFonts w:hint="cs"/>
          <w:rtl/>
        </w:rPr>
        <w:t>.</w:t>
      </w:r>
    </w:p>
  </w:footnote>
  <w:footnote w:id="487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يشير إلى قاعدة سيأتي إفرادها بالحديث، وهي </w:t>
      </w:r>
      <w:r>
        <w:rPr>
          <w:rFonts w:hint="eastAsia"/>
          <w:rtl/>
        </w:rPr>
        <w:t>«</w:t>
      </w:r>
      <w:r>
        <w:rPr>
          <w:rFonts w:hint="cs"/>
          <w:rtl/>
        </w:rPr>
        <w:t>النهي يقرّر المشروعية عندنا</w:t>
      </w:r>
      <w:r>
        <w:rPr>
          <w:rFonts w:hint="eastAsia"/>
          <w:rtl/>
        </w:rPr>
        <w:t>»</w:t>
      </w:r>
      <w:r>
        <w:rPr>
          <w:rFonts w:hint="cs"/>
          <w:rtl/>
        </w:rPr>
        <w:t>، ص1083 (ل107/أ)، ق249.</w:t>
      </w:r>
    </w:p>
  </w:footnote>
  <w:footnote w:id="487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74/ب من (جـ).</w:t>
      </w:r>
    </w:p>
  </w:footnote>
  <w:footnote w:id="487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بنحو لـفظها في الـدّرر شـرح الغرر، 2/291؛ كما نقلها عنه صاحب الدر المختار، 11/480. ولفظهما : </w:t>
      </w:r>
      <w:r>
        <w:rPr>
          <w:rFonts w:hint="eastAsia"/>
          <w:rtl/>
        </w:rPr>
        <w:t>«</w:t>
      </w:r>
      <w:r>
        <w:rPr>
          <w:rFonts w:hint="cs"/>
          <w:rtl/>
        </w:rPr>
        <w:t>من لا يلي غيره لم يجز تصرفه في حقه</w:t>
      </w:r>
      <w:r>
        <w:rPr>
          <w:rFonts w:hint="eastAsia"/>
          <w:rtl/>
        </w:rPr>
        <w:t>»</w:t>
      </w:r>
      <w:r>
        <w:rPr>
          <w:rFonts w:hint="cs"/>
          <w:rtl/>
        </w:rPr>
        <w:t>.</w:t>
      </w:r>
    </w:p>
  </w:footnote>
  <w:footnote w:id="488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عبدًا</w:t>
      </w:r>
      <w:r>
        <w:rPr>
          <w:rFonts w:hint="eastAsia"/>
          <w:rtl/>
        </w:rPr>
        <w:t>»</w:t>
      </w:r>
      <w:r>
        <w:rPr>
          <w:rFonts w:hint="cs"/>
          <w:rtl/>
        </w:rPr>
        <w:t>.</w:t>
      </w:r>
    </w:p>
  </w:footnote>
  <w:footnote w:id="488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و(هـ) و(و). ولا يتضح المعنى بدونها، ثم إن إثباتها هو الموافق لمصدر هذه العبارة (وهو الدّرر)؛ حيث جاء فيه : </w:t>
      </w:r>
      <w:r>
        <w:rPr>
          <w:rFonts w:hint="eastAsia"/>
          <w:rtl/>
        </w:rPr>
        <w:t>«</w:t>
      </w:r>
      <w:r>
        <w:rPr>
          <w:rFonts w:hint="cs"/>
          <w:rtl/>
        </w:rPr>
        <w:t>أو اشترى واحدٌ منهم به، أي : بذلك المال</w:t>
      </w:r>
      <w:r>
        <w:rPr>
          <w:rFonts w:hint="eastAsia"/>
          <w:rtl/>
        </w:rPr>
        <w:t>»</w:t>
      </w:r>
      <w:r>
        <w:rPr>
          <w:rFonts w:hint="cs"/>
          <w:rtl/>
        </w:rPr>
        <w:t>.</w:t>
      </w:r>
    </w:p>
  </w:footnote>
  <w:footnote w:id="4882">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 (بالهاء). والصحيح ما تمَّ إثباته من (ب) و(د)، وهو الموافق للدرر؛ حيث جاء فيه : </w:t>
      </w:r>
      <w:r>
        <w:rPr>
          <w:rFonts w:hint="eastAsia"/>
          <w:spacing w:val="6"/>
          <w:rtl/>
        </w:rPr>
        <w:t>«</w:t>
      </w:r>
      <w:r>
        <w:rPr>
          <w:rFonts w:hint="cs"/>
          <w:spacing w:val="6"/>
          <w:rtl/>
        </w:rPr>
        <w:t xml:space="preserve">كذا تزويج </w:t>
      </w:r>
      <w:r>
        <w:rPr>
          <w:rFonts w:hint="cs"/>
          <w:b/>
          <w:bCs/>
          <w:spacing w:val="6"/>
          <w:rtl/>
        </w:rPr>
        <w:t>صـغـيـرة</w:t>
      </w:r>
      <w:r>
        <w:rPr>
          <w:rFonts w:hint="cs"/>
          <w:spacing w:val="6"/>
          <w:rtl/>
        </w:rPr>
        <w:t xml:space="preserve"> كذلك، أي : حرّة مسلمة، حيث لم يجزْ لواحد منهم ذلك؛ لانتفاء الولاية</w:t>
      </w:r>
      <w:r>
        <w:rPr>
          <w:rFonts w:hint="eastAsia"/>
          <w:spacing w:val="6"/>
          <w:rtl/>
        </w:rPr>
        <w:t>»</w:t>
      </w:r>
      <w:r>
        <w:rPr>
          <w:rFonts w:hint="cs"/>
          <w:spacing w:val="6"/>
          <w:rtl/>
        </w:rPr>
        <w:t>.</w:t>
      </w:r>
    </w:p>
  </w:footnote>
  <w:footnote w:id="4883">
    <w:p w:rsidR="00035BE3" w:rsidRDefault="00035BE3" w:rsidP="003D5367">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الدرر شرح الغرر، 2/291- مع الاختلاف الذي سبق بيانه وتقديم وتأخير في بعض الألفاظ-؛ وانظر : الهداية والعناية ونتائج الأفكار، 8/140؛ الكنز وشرحيه : تبيين الحقائق، 4/277؛ والبحر الرائق، 7/177؛ الدر المختار وقرة عيون الأخيار، 11/480-481.</w:t>
      </w:r>
    </w:p>
  </w:footnote>
  <w:footnote w:id="488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 </w:t>
      </w:r>
      <w:r>
        <w:rPr>
          <w:rFonts w:hint="eastAsia"/>
          <w:rtl/>
        </w:rPr>
        <w:t>«</w:t>
      </w:r>
      <w:r>
        <w:rPr>
          <w:rFonts w:hint="cs"/>
          <w:rtl/>
        </w:rPr>
        <w:t>فإذا</w:t>
      </w:r>
      <w:r>
        <w:rPr>
          <w:rFonts w:hint="eastAsia"/>
          <w:rtl/>
        </w:rPr>
        <w:t>»</w:t>
      </w:r>
      <w:r>
        <w:rPr>
          <w:rFonts w:hint="cs"/>
          <w:rtl/>
        </w:rPr>
        <w:t>.</w:t>
      </w:r>
    </w:p>
  </w:footnote>
  <w:footnote w:id="4885">
    <w:p w:rsidR="00035BE3" w:rsidRDefault="00035BE3" w:rsidP="003D5367">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الدّرر شرح الغرر، 2/291 -مع الاختلاف اليسير الذي سبق بيانه-؛ وانظر : قرة عيون الأخيار، 11/480.</w:t>
      </w:r>
    </w:p>
  </w:footnote>
  <w:footnote w:id="488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101/ب من (أ).</w:t>
      </w:r>
    </w:p>
  </w:footnote>
  <w:footnote w:id="488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وهذا سهو ... الأولى</w:t>
      </w:r>
      <w:r>
        <w:rPr>
          <w:rFonts w:hint="eastAsia"/>
          <w:rtl/>
        </w:rPr>
        <w:t>»</w:t>
      </w:r>
      <w:r>
        <w:rPr>
          <w:rFonts w:hint="cs"/>
          <w:rtl/>
        </w:rPr>
        <w:t xml:space="preserve"> : ساقطة من (د)، مع زيادة الواو بعد هذه الجملة (</w:t>
      </w:r>
      <w:r>
        <w:rPr>
          <w:rFonts w:hint="cs"/>
          <w:b/>
          <w:bCs/>
          <w:rtl/>
        </w:rPr>
        <w:t>و</w:t>
      </w:r>
      <w:r>
        <w:rPr>
          <w:rFonts w:hint="cs"/>
          <w:rtl/>
        </w:rPr>
        <w:t>انتفت).</w:t>
      </w:r>
    </w:p>
  </w:footnote>
  <w:footnote w:id="488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ساقطة من (جـ).</w:t>
      </w:r>
    </w:p>
  </w:footnote>
  <w:footnote w:id="488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لا يستلزم</w:t>
      </w:r>
      <w:r>
        <w:rPr>
          <w:rFonts w:hint="eastAsia"/>
          <w:rtl/>
        </w:rPr>
        <w:t>»</w:t>
      </w:r>
      <w:r>
        <w:rPr>
          <w:rFonts w:hint="cs"/>
          <w:rtl/>
        </w:rPr>
        <w:t xml:space="preserve"> (بزيادة (لا)). وهي زيادة لا يستقيم بها المعنى.</w:t>
      </w:r>
    </w:p>
  </w:footnote>
  <w:footnote w:id="489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انتفاء</w:t>
      </w:r>
      <w:r>
        <w:rPr>
          <w:rFonts w:hint="eastAsia"/>
          <w:rtl/>
        </w:rPr>
        <w:t>»</w:t>
      </w:r>
      <w:r>
        <w:rPr>
          <w:rFonts w:hint="cs"/>
          <w:rtl/>
        </w:rPr>
        <w:t xml:space="preserve"> : ساقطة من (جـ).</w:t>
      </w:r>
    </w:p>
  </w:footnote>
  <w:footnote w:id="489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من خلال هذا التعليل لم يظهر لي السهو في كلام صاحب (الدرر)؛ لأن ما ذكره صاحب (الدرر) موافق للقاعدة؛ إذْ إن الثانية (وهي الولاية) تمثل فعل الشرط في القاعدة، والأولى (وهي صحة التصرف) تمثل جواب الشرط، ومن المسلّم أن الجواب يترتب على الشرط، فإذا انتفى الشرط انتفى ما ترتب عليه.</w:t>
      </w:r>
    </w:p>
    <w:p w:rsidR="00035BE3" w:rsidRDefault="00035BE3" w:rsidP="003D5367">
      <w:pPr>
        <w:pStyle w:val="a6"/>
        <w:ind w:left="422" w:firstLine="0"/>
        <w:rPr>
          <w:rtl/>
        </w:rPr>
      </w:pPr>
      <w:r>
        <w:rPr>
          <w:rFonts w:hint="cs"/>
          <w:rtl/>
        </w:rPr>
        <w:t xml:space="preserve">لكن لعلّ الذي دفع المؤلف إلى هذا الحكم هو أن صاحب (الدرر) عندما عبّر عن الأولى عمّم (التصرف) وقال : </w:t>
      </w:r>
      <w:r>
        <w:rPr>
          <w:rFonts w:hint="eastAsia"/>
          <w:rtl/>
        </w:rPr>
        <w:t>«</w:t>
      </w:r>
      <w:r>
        <w:rPr>
          <w:rFonts w:hint="cs"/>
          <w:rtl/>
        </w:rPr>
        <w:t xml:space="preserve">لأن صحة </w:t>
      </w:r>
      <w:r>
        <w:rPr>
          <w:rFonts w:hint="cs"/>
          <w:b/>
          <w:bCs/>
          <w:rtl/>
        </w:rPr>
        <w:t>التصرّف</w:t>
      </w:r>
      <w:r>
        <w:rPr>
          <w:rFonts w:hint="eastAsia"/>
          <w:rtl/>
        </w:rPr>
        <w:t>»</w:t>
      </w:r>
      <w:r>
        <w:rPr>
          <w:rFonts w:hint="cs"/>
          <w:rtl/>
        </w:rPr>
        <w:t>، ولم يخصصه بالتصرّف في حقِّ الآخرين.</w:t>
      </w:r>
    </w:p>
    <w:p w:rsidR="00035BE3" w:rsidRDefault="00035BE3" w:rsidP="003D5367">
      <w:pPr>
        <w:pStyle w:val="a6"/>
        <w:ind w:left="422" w:firstLine="0"/>
        <w:rPr>
          <w:rtl/>
        </w:rPr>
      </w:pPr>
      <w:r>
        <w:rPr>
          <w:rFonts w:hint="cs"/>
          <w:rtl/>
        </w:rPr>
        <w:t>والتصرّف بعمومه يشمل تصرّف الإنسان في حقِّ نفسه، وتصرّفه في حق غيره، ومن المعلوم أن عدم ولاية الإنسان على غيره وإن كانت تمنعه من التصرف في حق الآخرين إلا أنها لا تمنعه من التصرف في حقِّ نفسه. بخلاف منع الإنسان من التصرف أيًّا كان هذا التصرف، فإن هذا يلزم انتفاء ولايته على غيره؛ لأنها تدخل ضمن التصرفات المنهيّ عنها.</w:t>
      </w:r>
    </w:p>
    <w:p w:rsidR="00035BE3" w:rsidRDefault="00035BE3" w:rsidP="003D5367">
      <w:pPr>
        <w:pStyle w:val="a6"/>
        <w:ind w:left="422" w:firstLine="0"/>
        <w:rPr>
          <w:rtl/>
        </w:rPr>
      </w:pPr>
      <w:r>
        <w:rPr>
          <w:rFonts w:hint="cs"/>
          <w:rtl/>
        </w:rPr>
        <w:t>لهذا ارتضى المؤلف أنه إذا انتفت صحة التصرف انتفت الولاية وليس العكس -والله اعلم-.</w:t>
      </w:r>
    </w:p>
  </w:footnote>
  <w:footnote w:id="4892">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راجعت</w:t>
      </w:r>
      <w:r>
        <w:rPr>
          <w:rtl/>
        </w:rPr>
        <w:t xml:space="preserve"> (الأشباه) لابن نجيم كاملاً، كما بحثت </w:t>
      </w:r>
      <w:r>
        <w:rPr>
          <w:rFonts w:hint="eastAsia"/>
          <w:rtl/>
        </w:rPr>
        <w:t>عن</w:t>
      </w:r>
      <w:r>
        <w:rPr>
          <w:rtl/>
        </w:rPr>
        <w:t xml:space="preserve"> القاعدة في مظانّها من طبعة أخرى للأشباه، وثالثة مع غمز عيون البصائر، ومع ذلك </w:t>
      </w:r>
      <w:r>
        <w:rPr>
          <w:rFonts w:hint="eastAsia"/>
          <w:rtl/>
        </w:rPr>
        <w:t>كلِّه</w:t>
      </w:r>
      <w:r>
        <w:rPr>
          <w:rtl/>
        </w:rPr>
        <w:t xml:space="preserve"> لم أهتَدِ إليها.</w:t>
      </w:r>
    </w:p>
    <w:p w:rsidR="00035BE3" w:rsidRDefault="00035BE3" w:rsidP="003D5367">
      <w:pPr>
        <w:pStyle w:val="a6"/>
        <w:ind w:left="422" w:firstLine="0"/>
        <w:rPr>
          <w:spacing w:val="-4"/>
          <w:rtl/>
        </w:rPr>
      </w:pPr>
      <w:r>
        <w:rPr>
          <w:rFonts w:hint="eastAsia"/>
          <w:spacing w:val="-4"/>
          <w:rtl/>
        </w:rPr>
        <w:t>وغاية</w:t>
      </w:r>
      <w:r>
        <w:rPr>
          <w:spacing w:val="-4"/>
          <w:rtl/>
        </w:rPr>
        <w:t xml:space="preserve"> </w:t>
      </w:r>
      <w:r>
        <w:rPr>
          <w:rFonts w:hint="eastAsia"/>
          <w:spacing w:val="-4"/>
          <w:rtl/>
        </w:rPr>
        <w:t>ما</w:t>
      </w:r>
      <w:r>
        <w:rPr>
          <w:spacing w:val="-4"/>
          <w:rtl/>
        </w:rPr>
        <w:t xml:space="preserve"> تمَّ الوقوف عليه عبارة معناها قريب من معنى القاعدة، وهي : «كل من قبل قوله </w:t>
      </w:r>
      <w:r>
        <w:rPr>
          <w:rFonts w:hint="eastAsia"/>
          <w:spacing w:val="-4"/>
          <w:rtl/>
        </w:rPr>
        <w:t>فعليه</w:t>
      </w:r>
      <w:r>
        <w:rPr>
          <w:spacing w:val="-4"/>
          <w:rtl/>
        </w:rPr>
        <w:t xml:space="preserve"> اليمين».</w:t>
      </w:r>
    </w:p>
    <w:p w:rsidR="00035BE3" w:rsidRDefault="00035BE3" w:rsidP="003D5367">
      <w:pPr>
        <w:pStyle w:val="a6"/>
        <w:ind w:left="422" w:firstLine="0"/>
        <w:rPr>
          <w:spacing w:val="6"/>
          <w:rtl/>
        </w:rPr>
      </w:pPr>
      <w:r>
        <w:rPr>
          <w:rFonts w:hint="eastAsia"/>
          <w:spacing w:val="6"/>
          <w:rtl/>
        </w:rPr>
        <w:t>فهذه</w:t>
      </w:r>
      <w:r>
        <w:rPr>
          <w:spacing w:val="6"/>
          <w:rtl/>
        </w:rPr>
        <w:t xml:space="preserve"> </w:t>
      </w:r>
      <w:r>
        <w:rPr>
          <w:rFonts w:hint="eastAsia"/>
          <w:spacing w:val="6"/>
          <w:rtl/>
        </w:rPr>
        <w:t>العبارة</w:t>
      </w:r>
      <w:r>
        <w:rPr>
          <w:spacing w:val="6"/>
          <w:rtl/>
        </w:rPr>
        <w:t xml:space="preserve"> وردت في الأشباه (طبعة المكتبة العصرية)، ص250، وفي طبعة دار الـفـكر، </w:t>
      </w:r>
      <w:r>
        <w:rPr>
          <w:rFonts w:hint="eastAsia"/>
          <w:spacing w:val="6"/>
          <w:rtl/>
        </w:rPr>
        <w:t>ص</w:t>
      </w:r>
      <w:r>
        <w:rPr>
          <w:spacing w:val="6"/>
          <w:rtl/>
        </w:rPr>
        <w:t xml:space="preserve">261، ومع غمز عيون البصائر، 2/326؛ كما وردت في رد المحتار، 8/255؛ وتكملته : </w:t>
      </w:r>
      <w:r>
        <w:rPr>
          <w:rFonts w:hint="eastAsia"/>
          <w:spacing w:val="6"/>
          <w:rtl/>
        </w:rPr>
        <w:t>قرّة</w:t>
      </w:r>
      <w:r>
        <w:rPr>
          <w:spacing w:val="6"/>
          <w:rtl/>
        </w:rPr>
        <w:t xml:space="preserve"> عيون الأخيار، 12/551.</w:t>
      </w:r>
    </w:p>
    <w:p w:rsidR="00035BE3" w:rsidRDefault="00035BE3" w:rsidP="003D5367">
      <w:pPr>
        <w:pStyle w:val="a6"/>
        <w:ind w:left="422" w:firstLine="0"/>
        <w:rPr>
          <w:rtl/>
        </w:rPr>
      </w:pPr>
      <w:r>
        <w:rPr>
          <w:rFonts w:hint="eastAsia"/>
          <w:rtl/>
        </w:rPr>
        <w:t>يضاف</w:t>
      </w:r>
      <w:r>
        <w:rPr>
          <w:rtl/>
        </w:rPr>
        <w:t xml:space="preserve"> إلى ما سبق : </w:t>
      </w:r>
      <w:r>
        <w:rPr>
          <w:rFonts w:hint="eastAsia"/>
          <w:rtl/>
        </w:rPr>
        <w:t>كون</w:t>
      </w:r>
      <w:r>
        <w:rPr>
          <w:rtl/>
        </w:rPr>
        <w:t xml:space="preserve"> القاعدة تتمشى مع مذهب الإمام أبي حنيفة – كما سيذكر ذلك المؤلف في بداية شرحه </w:t>
      </w:r>
      <w:r>
        <w:rPr>
          <w:rFonts w:hint="eastAsia"/>
          <w:rtl/>
        </w:rPr>
        <w:t>لها</w:t>
      </w:r>
      <w:r>
        <w:rPr>
          <w:rtl/>
        </w:rPr>
        <w:t xml:space="preserve"> أيضًا-؛ لهذا فإنه وردت الإشارة إلى معناها في عدد من كتب الفقه الحنفي، في </w:t>
      </w:r>
      <w:r>
        <w:rPr>
          <w:rFonts w:hint="eastAsia"/>
          <w:rtl/>
        </w:rPr>
        <w:t>معرض</w:t>
      </w:r>
      <w:r>
        <w:rPr>
          <w:rtl/>
        </w:rPr>
        <w:t xml:space="preserve"> الاستدلال لرأي الإمام أبي حنيفة في مسألةٍ خالفه فيها صاحباه.</w:t>
      </w:r>
    </w:p>
    <w:p w:rsidR="00035BE3" w:rsidRDefault="00035BE3" w:rsidP="003D5367">
      <w:pPr>
        <w:pStyle w:val="a6"/>
        <w:ind w:left="422" w:firstLine="0"/>
        <w:rPr>
          <w:spacing w:val="-4"/>
          <w:rtl/>
        </w:rPr>
      </w:pPr>
      <w:r>
        <w:rPr>
          <w:rFonts w:hint="eastAsia"/>
          <w:spacing w:val="-4"/>
          <w:rtl/>
        </w:rPr>
        <w:t>ومن</w:t>
      </w:r>
      <w:r>
        <w:rPr>
          <w:spacing w:val="-4"/>
          <w:rtl/>
        </w:rPr>
        <w:t xml:space="preserve"> </w:t>
      </w:r>
      <w:r>
        <w:rPr>
          <w:rFonts w:hint="eastAsia"/>
          <w:spacing w:val="-4"/>
          <w:rtl/>
        </w:rPr>
        <w:t>هذه</w:t>
      </w:r>
      <w:r>
        <w:rPr>
          <w:spacing w:val="-4"/>
          <w:rtl/>
        </w:rPr>
        <w:t xml:space="preserve"> الكتب : المصدر الرئيس الذي استفاد منه المؤلف في شرحه للقاعدة (وهو الدرر </w:t>
      </w:r>
      <w:r>
        <w:rPr>
          <w:rFonts w:hint="eastAsia"/>
          <w:spacing w:val="-4"/>
          <w:rtl/>
        </w:rPr>
        <w:t>شرح</w:t>
      </w:r>
      <w:r>
        <w:rPr>
          <w:spacing w:val="-4"/>
          <w:rtl/>
        </w:rPr>
        <w:t xml:space="preserve"> الغرر).</w:t>
      </w:r>
    </w:p>
    <w:p w:rsidR="00035BE3" w:rsidRDefault="00035BE3" w:rsidP="003D5367">
      <w:pPr>
        <w:pStyle w:val="a6"/>
        <w:ind w:left="422" w:firstLine="0"/>
        <w:rPr>
          <w:spacing w:val="-4"/>
          <w:rtl/>
        </w:rPr>
      </w:pPr>
      <w:r>
        <w:rPr>
          <w:rFonts w:hint="eastAsia"/>
          <w:spacing w:val="-4"/>
          <w:rtl/>
        </w:rPr>
        <w:t>والمسألة</w:t>
      </w:r>
      <w:r>
        <w:rPr>
          <w:spacing w:val="-4"/>
          <w:rtl/>
        </w:rPr>
        <w:t xml:space="preserve"> </w:t>
      </w:r>
      <w:r>
        <w:rPr>
          <w:rFonts w:hint="eastAsia"/>
          <w:spacing w:val="-4"/>
          <w:rtl/>
        </w:rPr>
        <w:t>المشار</w:t>
      </w:r>
      <w:r>
        <w:rPr>
          <w:spacing w:val="-4"/>
          <w:rtl/>
        </w:rPr>
        <w:t xml:space="preserve"> إليها لها أهمية في توضيح ما جاء في شرح القاعدة، وهي مذكورة في مصدر </w:t>
      </w:r>
      <w:r>
        <w:rPr>
          <w:rFonts w:hint="eastAsia"/>
          <w:spacing w:val="-4"/>
          <w:rtl/>
        </w:rPr>
        <w:t>المؤلف</w:t>
      </w:r>
      <w:r>
        <w:rPr>
          <w:spacing w:val="-4"/>
          <w:rtl/>
        </w:rPr>
        <w:t xml:space="preserve"> وكثير من المصادر الأخرى، ومع ذلك لم يذكرها المؤلف؛ ممّا جعل شرحه للقاعدة </w:t>
      </w:r>
      <w:r>
        <w:rPr>
          <w:rFonts w:hint="eastAsia"/>
          <w:spacing w:val="-4"/>
          <w:rtl/>
        </w:rPr>
        <w:t>يعتريه</w:t>
      </w:r>
      <w:r>
        <w:rPr>
          <w:spacing w:val="-4"/>
          <w:rtl/>
        </w:rPr>
        <w:t xml:space="preserve"> شيء من الغموض.</w:t>
      </w:r>
    </w:p>
    <w:p w:rsidR="00035BE3" w:rsidRDefault="00035BE3" w:rsidP="003D5367">
      <w:pPr>
        <w:pStyle w:val="a6"/>
        <w:ind w:left="422" w:firstLine="0"/>
        <w:rPr>
          <w:rtl/>
        </w:rPr>
      </w:pPr>
      <w:r>
        <w:rPr>
          <w:rFonts w:hint="eastAsia"/>
          <w:rtl/>
        </w:rPr>
        <w:t>يضاف</w:t>
      </w:r>
      <w:r>
        <w:rPr>
          <w:rtl/>
        </w:rPr>
        <w:t xml:space="preserve"> إلى ذلك كون </w:t>
      </w:r>
      <w:r>
        <w:rPr>
          <w:rFonts w:hint="eastAsia"/>
          <w:rtl/>
        </w:rPr>
        <w:t>القاعدة</w:t>
      </w:r>
      <w:r>
        <w:rPr>
          <w:rtl/>
        </w:rPr>
        <w:t xml:space="preserve"> تتضمّن مصطلحًا يحتاج إلى إيضاح، وهو لفظ (البذل)؛ لهذا من المناسب إيضاح </w:t>
      </w:r>
      <w:r>
        <w:rPr>
          <w:rFonts w:hint="eastAsia"/>
          <w:rtl/>
        </w:rPr>
        <w:t>هذا</w:t>
      </w:r>
      <w:r>
        <w:rPr>
          <w:rtl/>
        </w:rPr>
        <w:t xml:space="preserve"> المصطلح والمسألة المشار إليها :</w:t>
      </w:r>
    </w:p>
    <w:p w:rsidR="00035BE3" w:rsidRDefault="00035BE3" w:rsidP="003D5367">
      <w:pPr>
        <w:pStyle w:val="a6"/>
        <w:ind w:left="422" w:firstLine="0"/>
        <w:rPr>
          <w:spacing w:val="-4"/>
          <w:rtl/>
        </w:rPr>
      </w:pPr>
      <w:r>
        <w:rPr>
          <w:rFonts w:hint="eastAsia"/>
          <w:b/>
          <w:bCs/>
          <w:spacing w:val="-4"/>
          <w:rtl/>
        </w:rPr>
        <w:t>أما</w:t>
      </w:r>
      <w:r>
        <w:rPr>
          <w:b/>
          <w:bCs/>
          <w:spacing w:val="-4"/>
          <w:rtl/>
        </w:rPr>
        <w:t xml:space="preserve"> المصطلح</w:t>
      </w:r>
      <w:r>
        <w:rPr>
          <w:spacing w:val="-4"/>
          <w:rtl/>
        </w:rPr>
        <w:t xml:space="preserve"> :</w:t>
      </w:r>
      <w:r>
        <w:rPr>
          <w:rFonts w:hint="cs"/>
          <w:spacing w:val="-4"/>
          <w:rtl/>
        </w:rPr>
        <w:t xml:space="preserve"> (وهو البذل)</w:t>
      </w:r>
      <w:r>
        <w:rPr>
          <w:spacing w:val="-4"/>
          <w:rtl/>
        </w:rPr>
        <w:t xml:space="preserve"> فهو في اللغة : مصدر بَذَلَ، يقال : «بَذَلَهُ يَبْذُلُهُ ويبذِلُه : أعطاه، </w:t>
      </w:r>
      <w:r>
        <w:rPr>
          <w:rFonts w:hint="eastAsia"/>
          <w:spacing w:val="-4"/>
          <w:rtl/>
        </w:rPr>
        <w:t>وجاد</w:t>
      </w:r>
      <w:r>
        <w:rPr>
          <w:spacing w:val="-4"/>
          <w:rtl/>
        </w:rPr>
        <w:t xml:space="preserve"> به».</w:t>
      </w:r>
    </w:p>
    <w:p w:rsidR="00035BE3" w:rsidRDefault="00035BE3" w:rsidP="003D5367">
      <w:pPr>
        <w:pStyle w:val="a6"/>
        <w:ind w:left="422" w:firstLine="0"/>
        <w:rPr>
          <w:rtl/>
        </w:rPr>
      </w:pPr>
      <w:r>
        <w:rPr>
          <w:rFonts w:hint="eastAsia"/>
          <w:rtl/>
        </w:rPr>
        <w:t>وفي</w:t>
      </w:r>
      <w:r>
        <w:rPr>
          <w:rtl/>
        </w:rPr>
        <w:t xml:space="preserve"> </w:t>
      </w:r>
      <w:r>
        <w:rPr>
          <w:rFonts w:hint="eastAsia"/>
          <w:rtl/>
        </w:rPr>
        <w:t>الاصطلاح</w:t>
      </w:r>
      <w:r>
        <w:rPr>
          <w:rtl/>
        </w:rPr>
        <w:t xml:space="preserve"> : عرف</w:t>
      </w:r>
      <w:r>
        <w:rPr>
          <w:rFonts w:hint="cs"/>
          <w:rtl/>
        </w:rPr>
        <w:t>ـ</w:t>
      </w:r>
      <w:r>
        <w:rPr>
          <w:rtl/>
        </w:rPr>
        <w:t>ه صاح</w:t>
      </w:r>
      <w:r>
        <w:rPr>
          <w:rFonts w:hint="cs"/>
          <w:rtl/>
        </w:rPr>
        <w:t>ـ</w:t>
      </w:r>
      <w:r>
        <w:rPr>
          <w:rtl/>
        </w:rPr>
        <w:t xml:space="preserve">ب (العناية) –8/183، 186- بأنه: «قطع الخصومة بدفع ما يدّعيه </w:t>
      </w:r>
      <w:r>
        <w:rPr>
          <w:rFonts w:hint="eastAsia"/>
          <w:rtl/>
        </w:rPr>
        <w:t>الخصم»</w:t>
      </w:r>
      <w:r>
        <w:rPr>
          <w:rtl/>
        </w:rPr>
        <w:t>.</w:t>
      </w:r>
    </w:p>
    <w:p w:rsidR="00035BE3" w:rsidRDefault="00035BE3" w:rsidP="003D5367">
      <w:pPr>
        <w:pStyle w:val="a6"/>
        <w:ind w:left="422" w:firstLine="0"/>
        <w:rPr>
          <w:spacing w:val="2"/>
          <w:rtl/>
        </w:rPr>
      </w:pPr>
      <w:r>
        <w:rPr>
          <w:rFonts w:hint="eastAsia"/>
          <w:spacing w:val="2"/>
          <w:rtl/>
        </w:rPr>
        <w:t>ومن</w:t>
      </w:r>
      <w:r>
        <w:rPr>
          <w:spacing w:val="2"/>
          <w:rtl/>
        </w:rPr>
        <w:t xml:space="preserve"> </w:t>
      </w:r>
      <w:r>
        <w:rPr>
          <w:rFonts w:hint="eastAsia"/>
          <w:spacing w:val="2"/>
          <w:rtl/>
        </w:rPr>
        <w:t>التعريفات</w:t>
      </w:r>
      <w:r>
        <w:rPr>
          <w:spacing w:val="2"/>
          <w:rtl/>
        </w:rPr>
        <w:t xml:space="preserve"> الأخرى له ما جاء في البحر الرائق –7/207- : «وفي (الظهيرية) تفسير </w:t>
      </w:r>
      <w:r>
        <w:rPr>
          <w:rFonts w:hint="eastAsia"/>
          <w:spacing w:val="2"/>
          <w:rtl/>
        </w:rPr>
        <w:t>البذل</w:t>
      </w:r>
      <w:r>
        <w:rPr>
          <w:spacing w:val="2"/>
          <w:rtl/>
        </w:rPr>
        <w:t xml:space="preserve"> عنده : ترك المنازعة والإعراض عنها».</w:t>
      </w:r>
    </w:p>
    <w:p w:rsidR="00035BE3" w:rsidRDefault="00035BE3" w:rsidP="003D5367">
      <w:pPr>
        <w:pStyle w:val="a6"/>
        <w:ind w:left="422" w:firstLine="0"/>
        <w:rPr>
          <w:rtl/>
        </w:rPr>
      </w:pPr>
      <w:r>
        <w:rPr>
          <w:rFonts w:hint="eastAsia"/>
          <w:rtl/>
        </w:rPr>
        <w:t>وانظر</w:t>
      </w:r>
      <w:r>
        <w:rPr>
          <w:rtl/>
        </w:rPr>
        <w:t xml:space="preserve"> : الهداية </w:t>
      </w:r>
      <w:r>
        <w:rPr>
          <w:rFonts w:hint="eastAsia"/>
          <w:rtl/>
        </w:rPr>
        <w:t>ونتائج</w:t>
      </w:r>
      <w:r>
        <w:rPr>
          <w:rtl/>
        </w:rPr>
        <w:t xml:space="preserve"> الأفكار، 8/186.</w:t>
      </w:r>
    </w:p>
    <w:p w:rsidR="00035BE3" w:rsidRDefault="00035BE3" w:rsidP="003D5367">
      <w:pPr>
        <w:pStyle w:val="a6"/>
        <w:ind w:left="422" w:firstLine="0"/>
        <w:rPr>
          <w:rtl/>
        </w:rPr>
      </w:pPr>
      <w:r>
        <w:rPr>
          <w:rFonts w:hint="eastAsia"/>
          <w:rtl/>
        </w:rPr>
        <w:t>والمعنى</w:t>
      </w:r>
      <w:r>
        <w:rPr>
          <w:rtl/>
        </w:rPr>
        <w:t xml:space="preserve"> اللغوي </w:t>
      </w:r>
      <w:r>
        <w:rPr>
          <w:rFonts w:hint="eastAsia"/>
          <w:rtl/>
        </w:rPr>
        <w:t>مستفاد</w:t>
      </w:r>
      <w:r>
        <w:rPr>
          <w:rtl/>
        </w:rPr>
        <w:t xml:space="preserve"> من القاموس المحيط، مادة «بذل»، ص1247؛ وانظر : المقاييس في اللغة، مادة «بذل»، </w:t>
      </w:r>
      <w:r>
        <w:rPr>
          <w:rFonts w:hint="eastAsia"/>
          <w:rtl/>
        </w:rPr>
        <w:t>ص</w:t>
      </w:r>
      <w:r>
        <w:rPr>
          <w:rtl/>
        </w:rPr>
        <w:t>122.</w:t>
      </w:r>
    </w:p>
    <w:p w:rsidR="00035BE3" w:rsidRDefault="00035BE3" w:rsidP="003D5367">
      <w:pPr>
        <w:pStyle w:val="a6"/>
        <w:ind w:left="422" w:firstLine="0"/>
        <w:rPr>
          <w:rtl/>
        </w:rPr>
      </w:pPr>
      <w:r>
        <w:rPr>
          <w:rFonts w:hint="eastAsia"/>
          <w:b/>
          <w:bCs/>
          <w:rtl/>
        </w:rPr>
        <w:t>أما</w:t>
      </w:r>
      <w:r>
        <w:rPr>
          <w:b/>
          <w:bCs/>
          <w:rtl/>
        </w:rPr>
        <w:t xml:space="preserve"> المسألة</w:t>
      </w:r>
      <w:r>
        <w:rPr>
          <w:rtl/>
        </w:rPr>
        <w:t xml:space="preserve"> : فبيانها في ضوء النقاط الآتية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3D5367">
      <w:pPr>
        <w:pStyle w:val="a6"/>
        <w:ind w:left="422" w:firstLine="0"/>
        <w:rPr>
          <w:rtl/>
        </w:rPr>
      </w:pPr>
      <w:r>
        <w:rPr>
          <w:rFonts w:hint="eastAsia"/>
          <w:b/>
          <w:bCs/>
          <w:rtl/>
        </w:rPr>
        <w:t>أ</w:t>
      </w:r>
      <w:r>
        <w:rPr>
          <w:rtl/>
        </w:rPr>
        <w:t xml:space="preserve">- </w:t>
      </w:r>
      <w:r>
        <w:rPr>
          <w:rFonts w:hint="eastAsia"/>
          <w:b/>
          <w:bCs/>
          <w:rtl/>
        </w:rPr>
        <w:t>عنوان</w:t>
      </w:r>
      <w:r>
        <w:rPr>
          <w:b/>
          <w:bCs/>
          <w:rtl/>
        </w:rPr>
        <w:t xml:space="preserve"> المسألة</w:t>
      </w:r>
      <w:r>
        <w:rPr>
          <w:rtl/>
        </w:rPr>
        <w:t xml:space="preserve"> : حكم تحليف المنكِرِ، في النكاح والرجعة والإيلاء </w:t>
      </w:r>
      <w:r>
        <w:rPr>
          <w:rFonts w:hint="eastAsia"/>
          <w:rtl/>
        </w:rPr>
        <w:t>والاستيلاد</w:t>
      </w:r>
      <w:r>
        <w:rPr>
          <w:rtl/>
        </w:rPr>
        <w:t xml:space="preserve"> والرّق والنسب والولاء والحدود واللعان.</w:t>
      </w:r>
    </w:p>
    <w:p w:rsidR="00035BE3" w:rsidRDefault="00035BE3" w:rsidP="003D5367">
      <w:pPr>
        <w:pStyle w:val="a6"/>
        <w:ind w:left="422" w:firstLine="0"/>
        <w:rPr>
          <w:rtl/>
        </w:rPr>
      </w:pPr>
      <w:r>
        <w:rPr>
          <w:rFonts w:hint="eastAsia"/>
          <w:b/>
          <w:bCs/>
          <w:rtl/>
        </w:rPr>
        <w:t>ب</w:t>
      </w:r>
      <w:r>
        <w:rPr>
          <w:rtl/>
        </w:rPr>
        <w:t xml:space="preserve">- </w:t>
      </w:r>
      <w:r>
        <w:rPr>
          <w:rFonts w:hint="eastAsia"/>
          <w:b/>
          <w:bCs/>
          <w:rtl/>
        </w:rPr>
        <w:t>تحرير</w:t>
      </w:r>
      <w:r>
        <w:rPr>
          <w:b/>
          <w:bCs/>
          <w:rtl/>
        </w:rPr>
        <w:t xml:space="preserve"> محل النزاع</w:t>
      </w:r>
      <w:r>
        <w:rPr>
          <w:rtl/>
        </w:rPr>
        <w:t xml:space="preserve"> </w:t>
      </w:r>
      <w:r>
        <w:rPr>
          <w:rFonts w:hint="eastAsia"/>
          <w:rtl/>
        </w:rPr>
        <w:t>فيها</w:t>
      </w:r>
      <w:r>
        <w:rPr>
          <w:rtl/>
        </w:rPr>
        <w:t xml:space="preserve"> بين الإمام أبي حنيفة وصاحبيه :</w:t>
      </w:r>
    </w:p>
    <w:p w:rsidR="00035BE3" w:rsidRDefault="00035BE3" w:rsidP="003D5367">
      <w:pPr>
        <w:pStyle w:val="a6"/>
        <w:ind w:left="422" w:firstLine="0"/>
        <w:rPr>
          <w:rtl/>
        </w:rPr>
      </w:pPr>
      <w:r>
        <w:rPr>
          <w:b/>
          <w:bCs/>
          <w:rtl/>
        </w:rPr>
        <w:t>1</w:t>
      </w:r>
      <w:r>
        <w:rPr>
          <w:rtl/>
        </w:rPr>
        <w:t xml:space="preserve">- </w:t>
      </w:r>
      <w:r>
        <w:rPr>
          <w:rFonts w:hint="eastAsia"/>
          <w:rtl/>
        </w:rPr>
        <w:t>الأمور</w:t>
      </w:r>
      <w:r>
        <w:rPr>
          <w:rtl/>
        </w:rPr>
        <w:t xml:space="preserve"> التسعة المذكورة إذا قُصد بها المال : يُحلَّفُ المنكِر فيها بالإجماع - </w:t>
      </w:r>
      <w:r>
        <w:rPr>
          <w:rFonts w:hint="eastAsia"/>
          <w:rtl/>
        </w:rPr>
        <w:t>كما</w:t>
      </w:r>
      <w:r>
        <w:rPr>
          <w:rtl/>
        </w:rPr>
        <w:t xml:space="preserve"> أفاد ذلك الشرنبلالي في حاشيته على الدرر، 2/334، وابن عابدين في رد المحتار، 8/299-.</w:t>
      </w:r>
    </w:p>
    <w:p w:rsidR="00035BE3" w:rsidRDefault="00035BE3" w:rsidP="003D5367">
      <w:pPr>
        <w:pStyle w:val="a6"/>
        <w:ind w:left="422" w:firstLine="0"/>
        <w:rPr>
          <w:rtl/>
        </w:rPr>
      </w:pPr>
      <w:r>
        <w:rPr>
          <w:b/>
          <w:bCs/>
          <w:rtl/>
        </w:rPr>
        <w:t>2</w:t>
      </w:r>
      <w:r>
        <w:rPr>
          <w:rtl/>
        </w:rPr>
        <w:t xml:space="preserve">- </w:t>
      </w:r>
      <w:r>
        <w:rPr>
          <w:rFonts w:hint="eastAsia"/>
          <w:rtl/>
        </w:rPr>
        <w:t>الحدود</w:t>
      </w:r>
      <w:r>
        <w:rPr>
          <w:rtl/>
        </w:rPr>
        <w:t xml:space="preserve"> واللعان إذا لم يقصد به</w:t>
      </w:r>
      <w:r>
        <w:rPr>
          <w:rFonts w:hint="cs"/>
          <w:rtl/>
        </w:rPr>
        <w:t>م</w:t>
      </w:r>
      <w:r>
        <w:rPr>
          <w:rtl/>
        </w:rPr>
        <w:t xml:space="preserve">ا المال : لا يحلف فيهما بالإجماع – وقد نقل ذلك </w:t>
      </w:r>
      <w:r>
        <w:rPr>
          <w:rFonts w:hint="eastAsia"/>
          <w:rtl/>
        </w:rPr>
        <w:t>صاحب</w:t>
      </w:r>
      <w:r>
        <w:rPr>
          <w:rtl/>
        </w:rPr>
        <w:t xml:space="preserve"> تبيين الحقائق، 4/298؛ والدرر، 2/334؛ والبحر الرائق، 7/208؛ وغيرهم-.</w:t>
      </w:r>
    </w:p>
    <w:p w:rsidR="00035BE3" w:rsidRDefault="00035BE3" w:rsidP="003D5367">
      <w:pPr>
        <w:pStyle w:val="a6"/>
        <w:ind w:left="422" w:firstLine="0"/>
        <w:rPr>
          <w:rtl/>
        </w:rPr>
      </w:pPr>
      <w:r>
        <w:rPr>
          <w:b/>
          <w:bCs/>
          <w:rtl/>
        </w:rPr>
        <w:t>3</w:t>
      </w:r>
      <w:r>
        <w:rPr>
          <w:rtl/>
        </w:rPr>
        <w:t xml:space="preserve">- </w:t>
      </w:r>
      <w:r>
        <w:rPr>
          <w:rFonts w:hint="eastAsia"/>
          <w:rtl/>
        </w:rPr>
        <w:t>الأمور</w:t>
      </w:r>
      <w:r>
        <w:rPr>
          <w:rtl/>
        </w:rPr>
        <w:t xml:space="preserve"> السبعة الأخرى إذا لم يقصد بها المال ففي التحليف فيها نزاع.</w:t>
      </w:r>
    </w:p>
    <w:p w:rsidR="00035BE3" w:rsidRDefault="00035BE3" w:rsidP="003D5367">
      <w:pPr>
        <w:pStyle w:val="a6"/>
        <w:ind w:left="422" w:firstLine="0"/>
        <w:rPr>
          <w:rtl/>
        </w:rPr>
      </w:pPr>
      <w:r>
        <w:rPr>
          <w:rFonts w:hint="eastAsia"/>
          <w:b/>
          <w:bCs/>
          <w:rtl/>
        </w:rPr>
        <w:t>جـ</w:t>
      </w:r>
      <w:r>
        <w:rPr>
          <w:rtl/>
        </w:rPr>
        <w:t xml:space="preserve">- </w:t>
      </w:r>
      <w:r>
        <w:rPr>
          <w:rFonts w:hint="eastAsia"/>
          <w:b/>
          <w:bCs/>
          <w:rtl/>
        </w:rPr>
        <w:t>بيان</w:t>
      </w:r>
      <w:r>
        <w:rPr>
          <w:b/>
          <w:bCs/>
          <w:rtl/>
        </w:rPr>
        <w:t xml:space="preserve"> الأقوال</w:t>
      </w:r>
      <w:r>
        <w:rPr>
          <w:rtl/>
        </w:rPr>
        <w:t xml:space="preserve"> :</w:t>
      </w:r>
    </w:p>
    <w:p w:rsidR="00035BE3" w:rsidRDefault="00035BE3" w:rsidP="003D5367">
      <w:pPr>
        <w:pStyle w:val="a6"/>
        <w:ind w:left="422" w:firstLine="0"/>
        <w:rPr>
          <w:rtl/>
        </w:rPr>
      </w:pPr>
      <w:r>
        <w:rPr>
          <w:rFonts w:hint="eastAsia"/>
          <w:b/>
          <w:bCs/>
          <w:rtl/>
        </w:rPr>
        <w:t>القول</w:t>
      </w:r>
      <w:r>
        <w:rPr>
          <w:b/>
          <w:bCs/>
          <w:rtl/>
        </w:rPr>
        <w:t xml:space="preserve"> الأول</w:t>
      </w:r>
      <w:r>
        <w:rPr>
          <w:rtl/>
        </w:rPr>
        <w:t xml:space="preserve"> : لا يحلَّف المنكِر فيها. وهذا قول الإمام أبي حنيفة.</w:t>
      </w:r>
    </w:p>
    <w:p w:rsidR="00035BE3" w:rsidRDefault="00035BE3" w:rsidP="003D5367">
      <w:pPr>
        <w:pStyle w:val="a6"/>
        <w:ind w:left="422" w:firstLine="0"/>
        <w:rPr>
          <w:rtl/>
        </w:rPr>
      </w:pPr>
      <w:r>
        <w:rPr>
          <w:rFonts w:hint="eastAsia"/>
          <w:b/>
          <w:bCs/>
          <w:rtl/>
        </w:rPr>
        <w:t>القول</w:t>
      </w:r>
      <w:r>
        <w:rPr>
          <w:b/>
          <w:bCs/>
          <w:rtl/>
        </w:rPr>
        <w:t xml:space="preserve"> الثاني</w:t>
      </w:r>
      <w:r>
        <w:rPr>
          <w:rtl/>
        </w:rPr>
        <w:t xml:space="preserve"> : يحلَّف المنكر فيها. وهذا قول صاحبيه.</w:t>
      </w:r>
    </w:p>
    <w:p w:rsidR="00035BE3" w:rsidRDefault="00035BE3" w:rsidP="003D5367">
      <w:pPr>
        <w:pStyle w:val="a6"/>
        <w:ind w:left="422" w:firstLine="0"/>
        <w:rPr>
          <w:rtl/>
        </w:rPr>
      </w:pPr>
      <w:r>
        <w:rPr>
          <w:rFonts w:hint="cs"/>
          <w:b/>
          <w:bCs/>
          <w:rtl/>
        </w:rPr>
        <w:t>د</w:t>
      </w:r>
      <w:r>
        <w:rPr>
          <w:rtl/>
        </w:rPr>
        <w:t xml:space="preserve">- </w:t>
      </w:r>
      <w:r>
        <w:rPr>
          <w:rFonts w:hint="eastAsia"/>
          <w:b/>
          <w:bCs/>
          <w:rtl/>
        </w:rPr>
        <w:t>الأدلة</w:t>
      </w:r>
      <w:r>
        <w:rPr>
          <w:b/>
          <w:bCs/>
          <w:rtl/>
        </w:rPr>
        <w:t xml:space="preserve"> :</w:t>
      </w:r>
    </w:p>
    <w:p w:rsidR="00035BE3" w:rsidRDefault="00035BE3" w:rsidP="003D5367">
      <w:pPr>
        <w:pStyle w:val="a6"/>
        <w:ind w:left="422" w:firstLine="0"/>
        <w:rPr>
          <w:rtl/>
        </w:rPr>
      </w:pPr>
      <w:r>
        <w:rPr>
          <w:b/>
          <w:bCs/>
          <w:rtl/>
        </w:rPr>
        <w:t>- دليل القول الأول</w:t>
      </w:r>
      <w:r>
        <w:rPr>
          <w:rtl/>
        </w:rPr>
        <w:t xml:space="preserve"> : «أن فائدة الحلف : ظهور الحق بالنكول، والنكولُ ... بذلٌ وإباحة، </w:t>
      </w:r>
      <w:r>
        <w:rPr>
          <w:rFonts w:hint="eastAsia"/>
          <w:b/>
          <w:bCs/>
          <w:rtl/>
        </w:rPr>
        <w:t>وهذه</w:t>
      </w:r>
      <w:r>
        <w:rPr>
          <w:b/>
          <w:bCs/>
          <w:rtl/>
        </w:rPr>
        <w:t xml:space="preserve"> الحقوق </w:t>
      </w:r>
      <w:r>
        <w:rPr>
          <w:rFonts w:hint="eastAsia"/>
          <w:b/>
          <w:bCs/>
          <w:rtl/>
        </w:rPr>
        <w:t>لا</w:t>
      </w:r>
      <w:r>
        <w:rPr>
          <w:b/>
          <w:bCs/>
          <w:rtl/>
        </w:rPr>
        <w:t xml:space="preserve"> يجرى فيها البذل والإباحة، فلا يقضى بها بالنكول</w:t>
      </w:r>
      <w:r>
        <w:rPr>
          <w:rFonts w:hint="eastAsia"/>
          <w:rtl/>
        </w:rPr>
        <w:t>،</w:t>
      </w:r>
      <w:r>
        <w:rPr>
          <w:rtl/>
        </w:rPr>
        <w:t xml:space="preserve"> كالقصاص في النفس، </w:t>
      </w:r>
      <w:r>
        <w:rPr>
          <w:rFonts w:hint="eastAsia"/>
          <w:rtl/>
        </w:rPr>
        <w:t>وكالحدود</w:t>
      </w:r>
      <w:r>
        <w:rPr>
          <w:rtl/>
        </w:rPr>
        <w:t xml:space="preserve"> واللعان، وفي حمله على البذل صيانة عرضه عن الكذب، فكان أولى ...» أي : </w:t>
      </w:r>
      <w:r>
        <w:rPr>
          <w:rFonts w:hint="eastAsia"/>
          <w:rtl/>
        </w:rPr>
        <w:t>أولى</w:t>
      </w:r>
      <w:r>
        <w:rPr>
          <w:rtl/>
        </w:rPr>
        <w:t xml:space="preserve"> من حمل النكول على الإقرار؛ «إذْ لو حمل على الإقرار لكذَبناه في الإنكار، </w:t>
      </w:r>
      <w:r>
        <w:rPr>
          <w:rFonts w:hint="eastAsia"/>
          <w:rtl/>
        </w:rPr>
        <w:t>ولو</w:t>
      </w:r>
      <w:r>
        <w:rPr>
          <w:rtl/>
        </w:rPr>
        <w:t xml:space="preserve"> جُعل بذلاً قطع الخصومة بلا تكذيب، فكان هذا أولى؛ صيانة للمسلم من أن يُظنّ </w:t>
      </w:r>
      <w:r>
        <w:rPr>
          <w:rFonts w:hint="eastAsia"/>
          <w:rtl/>
        </w:rPr>
        <w:t>به</w:t>
      </w:r>
      <w:r>
        <w:rPr>
          <w:rtl/>
        </w:rPr>
        <w:t xml:space="preserve"> الكذب»- تبيين الحقائق، 4/297؛ الدرر شـرح الغرر، 2/334؛ وانظر هذا الدليل الذي </w:t>
      </w:r>
      <w:r>
        <w:rPr>
          <w:rFonts w:hint="eastAsia"/>
          <w:rtl/>
        </w:rPr>
        <w:t>يشي</w:t>
      </w:r>
      <w:r>
        <w:rPr>
          <w:rFonts w:hint="cs"/>
          <w:rtl/>
        </w:rPr>
        <w:t>ر</w:t>
      </w:r>
      <w:r>
        <w:rPr>
          <w:rtl/>
        </w:rPr>
        <w:t xml:space="preserve"> إلى معنى القاعدة في : الهداية والعناية ونتائج الأفكار، 8/183-184؛ البحر </w:t>
      </w:r>
      <w:r>
        <w:rPr>
          <w:rFonts w:hint="eastAsia"/>
          <w:rtl/>
        </w:rPr>
        <w:t>الرائق،</w:t>
      </w:r>
      <w:r>
        <w:rPr>
          <w:rtl/>
        </w:rPr>
        <w:t xml:space="preserve"> 7/207-.</w:t>
      </w:r>
    </w:p>
    <w:p w:rsidR="00035BE3" w:rsidRDefault="00035BE3" w:rsidP="003D5367">
      <w:pPr>
        <w:pStyle w:val="a6"/>
        <w:ind w:left="422" w:firstLine="0"/>
        <w:rPr>
          <w:rtl/>
        </w:rPr>
      </w:pPr>
      <w:r>
        <w:rPr>
          <w:b/>
          <w:bCs/>
          <w:rtl/>
        </w:rPr>
        <w:t>- دليل القول الثاني</w:t>
      </w:r>
      <w:r>
        <w:rPr>
          <w:rtl/>
        </w:rPr>
        <w:t xml:space="preserve">: «أن هذه الحقوق تثبت بالشبهات، فيجري فيها الاستحلاف، كالأموال، بخلاف الحدود؛ </w:t>
      </w:r>
      <w:r>
        <w:rPr>
          <w:rFonts w:hint="eastAsia"/>
          <w:rtl/>
        </w:rPr>
        <w:t>وهذا</w:t>
      </w:r>
      <w:r>
        <w:rPr>
          <w:rtl/>
        </w:rPr>
        <w:t xml:space="preserve"> لأن فائدة الحلف ظهور الحق بالنكول، والنكول إقرار [وليس بذل]؛ لأن الحلف </w:t>
      </w:r>
      <w:r>
        <w:rPr>
          <w:rFonts w:hint="eastAsia"/>
          <w:rtl/>
        </w:rPr>
        <w:t>لمّا</w:t>
      </w:r>
      <w:r>
        <w:rPr>
          <w:rtl/>
        </w:rPr>
        <w:t xml:space="preserve"> وجب فتَرَكَهُ: دليلٌ على أنه باذلٌ أو مُقِرّ، ولا يمكن أن يجعل باذلاً؛ لأن </w:t>
      </w:r>
      <w:r>
        <w:rPr>
          <w:rFonts w:hint="eastAsia"/>
          <w:rtl/>
        </w:rPr>
        <w:t>النكول</w:t>
      </w:r>
      <w:r>
        <w:rPr>
          <w:rtl/>
        </w:rPr>
        <w:t xml:space="preserve"> يعتبر من المأذون والمكاتب، وهما لا يملكان البذل؛ فيُجعل مقرًّا ضرورة، </w:t>
      </w:r>
      <w:r>
        <w:rPr>
          <w:rFonts w:hint="eastAsia"/>
          <w:rtl/>
        </w:rPr>
        <w:t>والإقرار</w:t>
      </w:r>
      <w:r>
        <w:rPr>
          <w:rtl/>
        </w:rPr>
        <w:t xml:space="preserve"> يجري في هذه الأشياء [التسعة] لكنه إقرار فيه شبهة؛ لأنه سكوت في نفسه، </w:t>
      </w:r>
      <w:r>
        <w:rPr>
          <w:rFonts w:hint="eastAsia"/>
          <w:rtl/>
        </w:rPr>
        <w:t>والسكوت</w:t>
      </w:r>
      <w:r>
        <w:rPr>
          <w:rtl/>
        </w:rPr>
        <w:t xml:space="preserve"> محتمل، فلا يكون حجة فيما يسقط بالشبهات، واللعان حدّ الأزواج فأشبه حدّ </w:t>
      </w:r>
      <w:r>
        <w:rPr>
          <w:rFonts w:hint="eastAsia"/>
          <w:rtl/>
        </w:rPr>
        <w:t>القذف»</w:t>
      </w:r>
      <w:r>
        <w:rPr>
          <w:rtl/>
        </w:rPr>
        <w:t xml:space="preserve">- كذا في الدرر، 2/334- فنظرًا لهذه الشبهة </w:t>
      </w:r>
      <w:r w:rsidRPr="004A63C8">
        <w:rPr>
          <w:spacing w:val="-4"/>
          <w:rtl/>
        </w:rPr>
        <w:t xml:space="preserve">خرج الأمر الثامن (وهو الحدود)، </w:t>
      </w:r>
      <w:r w:rsidRPr="004A63C8">
        <w:rPr>
          <w:rFonts w:hint="eastAsia"/>
          <w:spacing w:val="-4"/>
          <w:rtl/>
        </w:rPr>
        <w:t>وما</w:t>
      </w:r>
      <w:r w:rsidRPr="004A63C8">
        <w:rPr>
          <w:spacing w:val="-4"/>
          <w:rtl/>
        </w:rPr>
        <w:t xml:space="preserve"> قيس عليه وهو الامر التاسع (وهو اللعان)، وبقيت الأمور </w:t>
      </w:r>
      <w:r>
        <w:rPr>
          <w:rtl/>
        </w:rPr>
        <w:t>السبعة.</w:t>
      </w:r>
    </w:p>
    <w:p w:rsidR="00035BE3" w:rsidRDefault="00035BE3" w:rsidP="003D5367">
      <w:pPr>
        <w:pStyle w:val="a6"/>
        <w:ind w:left="422" w:firstLine="0"/>
        <w:rPr>
          <w:rtl/>
        </w:rPr>
      </w:pPr>
      <w:r>
        <w:rPr>
          <w:rFonts w:hint="eastAsia"/>
          <w:b/>
          <w:bCs/>
          <w:rtl/>
        </w:rPr>
        <w:t>هـ</w:t>
      </w:r>
      <w:r>
        <w:rPr>
          <w:rtl/>
        </w:rPr>
        <w:t xml:space="preserve">-  </w:t>
      </w:r>
      <w:r>
        <w:rPr>
          <w:rFonts w:hint="eastAsia"/>
          <w:b/>
          <w:bCs/>
          <w:rtl/>
        </w:rPr>
        <w:t>منشأ</w:t>
      </w:r>
      <w:r>
        <w:rPr>
          <w:b/>
          <w:bCs/>
          <w:rtl/>
        </w:rPr>
        <w:t xml:space="preserve"> الخلاف :</w:t>
      </w:r>
    </w:p>
    <w:p w:rsidR="00035BE3" w:rsidRDefault="00035BE3" w:rsidP="003D5367">
      <w:pPr>
        <w:pStyle w:val="a6"/>
        <w:ind w:left="422" w:firstLine="0"/>
        <w:rPr>
          <w:rtl/>
        </w:rPr>
      </w:pPr>
      <w:r>
        <w:rPr>
          <w:rFonts w:hint="eastAsia"/>
          <w:rtl/>
        </w:rPr>
        <w:t>يتّضح</w:t>
      </w:r>
      <w:r>
        <w:rPr>
          <w:rtl/>
        </w:rPr>
        <w:t xml:space="preserve"> من الدليلين </w:t>
      </w:r>
      <w:r>
        <w:rPr>
          <w:rFonts w:hint="eastAsia"/>
          <w:rtl/>
        </w:rPr>
        <w:t>السابقين</w:t>
      </w:r>
      <w:r>
        <w:rPr>
          <w:rtl/>
        </w:rPr>
        <w:t xml:space="preserve"> أن الخلاف راجع إلى الاختلاف في تفسير نكول المدعى عليه :</w:t>
      </w:r>
      <w:r>
        <w:rPr>
          <w:rFonts w:hint="cs"/>
          <w:rtl/>
        </w:rPr>
        <w:tab/>
        <w:t xml:space="preserve"> </w:t>
      </w:r>
    </w:p>
    <w:p w:rsidR="00035BE3" w:rsidRDefault="00035BE3" w:rsidP="003D5367">
      <w:pPr>
        <w:pStyle w:val="a6"/>
        <w:ind w:left="422" w:firstLine="0"/>
        <w:rPr>
          <w:spacing w:val="-4"/>
          <w:rtl/>
        </w:rPr>
      </w:pPr>
      <w:r>
        <w:rPr>
          <w:spacing w:val="-4"/>
          <w:rtl/>
        </w:rPr>
        <w:t xml:space="preserve">- </w:t>
      </w:r>
      <w:r>
        <w:rPr>
          <w:rFonts w:hint="eastAsia"/>
          <w:spacing w:val="-4"/>
          <w:rtl/>
        </w:rPr>
        <w:t>فمن</w:t>
      </w:r>
      <w:r>
        <w:rPr>
          <w:spacing w:val="-4"/>
          <w:rtl/>
        </w:rPr>
        <w:t xml:space="preserve"> قال : إنَّ النكول بذلٌ، قال</w:t>
      </w:r>
      <w:r>
        <w:rPr>
          <w:rFonts w:hint="cs"/>
          <w:spacing w:val="-4"/>
          <w:rtl/>
        </w:rPr>
        <w:t xml:space="preserve"> </w:t>
      </w:r>
      <w:r>
        <w:rPr>
          <w:spacing w:val="-4"/>
          <w:rtl/>
        </w:rPr>
        <w:t>: إن التح</w:t>
      </w:r>
      <w:r>
        <w:rPr>
          <w:rFonts w:hint="cs"/>
          <w:spacing w:val="-4"/>
          <w:rtl/>
        </w:rPr>
        <w:t>ـ</w:t>
      </w:r>
      <w:r>
        <w:rPr>
          <w:spacing w:val="-4"/>
          <w:rtl/>
        </w:rPr>
        <w:t>ليف لا ي</w:t>
      </w:r>
      <w:r>
        <w:rPr>
          <w:rFonts w:hint="cs"/>
          <w:spacing w:val="-4"/>
          <w:rtl/>
        </w:rPr>
        <w:t>ـ</w:t>
      </w:r>
      <w:r>
        <w:rPr>
          <w:spacing w:val="-4"/>
          <w:rtl/>
        </w:rPr>
        <w:t>جري في السب</w:t>
      </w:r>
      <w:r>
        <w:rPr>
          <w:rFonts w:hint="cs"/>
          <w:spacing w:val="-4"/>
          <w:rtl/>
        </w:rPr>
        <w:t>ـ</w:t>
      </w:r>
      <w:r>
        <w:rPr>
          <w:spacing w:val="-4"/>
          <w:rtl/>
        </w:rPr>
        <w:t>ع</w:t>
      </w:r>
      <w:r>
        <w:rPr>
          <w:rFonts w:hint="cs"/>
          <w:spacing w:val="-4"/>
          <w:rtl/>
        </w:rPr>
        <w:t>ـ</w:t>
      </w:r>
      <w:r>
        <w:rPr>
          <w:spacing w:val="-4"/>
          <w:rtl/>
        </w:rPr>
        <w:t xml:space="preserve">ة المذكورة؛ لأنه </w:t>
      </w:r>
      <w:r>
        <w:rPr>
          <w:rFonts w:hint="eastAsia"/>
          <w:spacing w:val="-4"/>
          <w:rtl/>
        </w:rPr>
        <w:t>لا</w:t>
      </w:r>
      <w:r>
        <w:rPr>
          <w:spacing w:val="-4"/>
          <w:rtl/>
        </w:rPr>
        <w:t xml:space="preserve"> يجري فيها البذل.</w:t>
      </w:r>
    </w:p>
    <w:p w:rsidR="00035BE3" w:rsidRDefault="00035BE3" w:rsidP="003D5367">
      <w:pPr>
        <w:pStyle w:val="a6"/>
        <w:ind w:left="422" w:firstLine="0"/>
        <w:rPr>
          <w:rtl/>
        </w:rPr>
      </w:pPr>
      <w:r>
        <w:rPr>
          <w:rtl/>
        </w:rPr>
        <w:t xml:space="preserve">- ومن قال : إن </w:t>
      </w:r>
      <w:r>
        <w:rPr>
          <w:rFonts w:hint="eastAsia"/>
          <w:rtl/>
        </w:rPr>
        <w:t>النكول</w:t>
      </w:r>
      <w:r>
        <w:rPr>
          <w:rtl/>
        </w:rPr>
        <w:t xml:space="preserve"> إقرار : قال إن التحليف يجري فيها؛ لأن الإقرار يجري فيها.</w:t>
      </w:r>
    </w:p>
    <w:p w:rsidR="00035BE3" w:rsidRDefault="00035BE3" w:rsidP="003D5367">
      <w:pPr>
        <w:pStyle w:val="a6"/>
        <w:ind w:left="422" w:firstLine="0"/>
        <w:rPr>
          <w:rtl/>
        </w:rPr>
      </w:pPr>
      <w:r>
        <w:rPr>
          <w:rFonts w:hint="eastAsia"/>
          <w:b/>
          <w:bCs/>
          <w:rtl/>
        </w:rPr>
        <w:t>و</w:t>
      </w:r>
      <w:r>
        <w:rPr>
          <w:rtl/>
        </w:rPr>
        <w:t xml:space="preserve">- </w:t>
      </w:r>
      <w:r>
        <w:rPr>
          <w:rFonts w:hint="eastAsia"/>
          <w:b/>
          <w:bCs/>
          <w:rtl/>
        </w:rPr>
        <w:t>الراجح</w:t>
      </w:r>
      <w:r>
        <w:rPr>
          <w:b/>
          <w:bCs/>
          <w:rtl/>
        </w:rPr>
        <w:t xml:space="preserve"> عند الحنفية</w:t>
      </w:r>
      <w:r>
        <w:rPr>
          <w:rtl/>
        </w:rPr>
        <w:t xml:space="preserve"> :</w:t>
      </w:r>
    </w:p>
    <w:p w:rsidR="00035BE3" w:rsidRDefault="00035BE3" w:rsidP="003D5367">
      <w:pPr>
        <w:pStyle w:val="a6"/>
        <w:spacing w:line="500" w:lineRule="exact"/>
        <w:ind w:left="422" w:firstLine="0"/>
        <w:rPr>
          <w:rtl/>
        </w:rPr>
      </w:pPr>
      <w:r>
        <w:rPr>
          <w:rtl/>
        </w:rPr>
        <w:t>- ذكر كثير منهم : أن «الفتوى على قولهما»، أي : «أنه يحلَّف المنكر في الأشباه السبعة».</w:t>
      </w:r>
    </w:p>
    <w:p w:rsidR="00035BE3" w:rsidRDefault="00035BE3" w:rsidP="003D5367">
      <w:pPr>
        <w:pStyle w:val="a6"/>
        <w:spacing w:line="500" w:lineRule="exact"/>
        <w:ind w:left="422" w:firstLine="0"/>
        <w:rPr>
          <w:rtl/>
        </w:rPr>
      </w:pPr>
      <w:r>
        <w:rPr>
          <w:rFonts w:hint="eastAsia"/>
          <w:rtl/>
        </w:rPr>
        <w:t>وممّن</w:t>
      </w:r>
      <w:r>
        <w:rPr>
          <w:rtl/>
        </w:rPr>
        <w:t xml:space="preserve"> ذكر ذلك : الفقيه أبو الليث والفخر </w:t>
      </w:r>
      <w:r>
        <w:rPr>
          <w:rFonts w:hint="eastAsia"/>
          <w:rtl/>
        </w:rPr>
        <w:t>البزدوي</w:t>
      </w:r>
      <w:r>
        <w:rPr>
          <w:rtl/>
        </w:rPr>
        <w:t xml:space="preserve"> وقاضي خان والنسفي والولوالجي – وقد نقل ذلك عنهم صاحب البحر، 7/207، </w:t>
      </w:r>
      <w:r>
        <w:rPr>
          <w:rFonts w:hint="eastAsia"/>
          <w:rtl/>
        </w:rPr>
        <w:t>وغيره</w:t>
      </w:r>
      <w:r>
        <w:rPr>
          <w:rtl/>
        </w:rPr>
        <w:t xml:space="preserve"> – كما ذكره التمرتاشي في الدر المختار، 8/299.</w:t>
      </w:r>
    </w:p>
    <w:p w:rsidR="00035BE3" w:rsidRDefault="00035BE3" w:rsidP="003D5367">
      <w:pPr>
        <w:pStyle w:val="a6"/>
        <w:spacing w:line="500" w:lineRule="exact"/>
        <w:ind w:left="422" w:firstLine="0"/>
        <w:rPr>
          <w:rtl/>
        </w:rPr>
      </w:pPr>
      <w:r>
        <w:rPr>
          <w:rtl/>
        </w:rPr>
        <w:t xml:space="preserve">- وهناك اختيار متوسّط عبّر عنه صاحب (البحر) –7/208- </w:t>
      </w:r>
      <w:r>
        <w:rPr>
          <w:rFonts w:hint="eastAsia"/>
          <w:rtl/>
        </w:rPr>
        <w:t>بقوله</w:t>
      </w:r>
      <w:r>
        <w:rPr>
          <w:rtl/>
        </w:rPr>
        <w:t xml:space="preserve"> : «واختار المتأخرون من مشايخنا: على أن القاضي ينظر في حال المدعى عليه : </w:t>
      </w:r>
      <w:r>
        <w:rPr>
          <w:rFonts w:hint="eastAsia"/>
          <w:rtl/>
        </w:rPr>
        <w:t>فإن</w:t>
      </w:r>
      <w:r>
        <w:rPr>
          <w:rtl/>
        </w:rPr>
        <w:t xml:space="preserve"> رآه متعنتًا يحلّفه؛ أخذًا بقولهما. وإن رآه مظلومًا : لا يحلفه؛ أخذًا بقول </w:t>
      </w:r>
      <w:r>
        <w:rPr>
          <w:rFonts w:hint="eastAsia"/>
          <w:rtl/>
        </w:rPr>
        <w:t>أبي</w:t>
      </w:r>
      <w:r>
        <w:rPr>
          <w:rtl/>
        </w:rPr>
        <w:t xml:space="preserve"> حنيفة».</w:t>
      </w:r>
    </w:p>
    <w:p w:rsidR="00035BE3" w:rsidRDefault="00035BE3" w:rsidP="003D5367">
      <w:pPr>
        <w:pStyle w:val="a6"/>
        <w:spacing w:line="500" w:lineRule="exact"/>
        <w:ind w:left="422" w:firstLine="0"/>
        <w:rPr>
          <w:spacing w:val="-4"/>
          <w:rtl/>
        </w:rPr>
      </w:pPr>
      <w:r>
        <w:rPr>
          <w:rFonts w:hint="eastAsia"/>
          <w:spacing w:val="-4"/>
          <w:rtl/>
        </w:rPr>
        <w:t>وهذا</w:t>
      </w:r>
      <w:r>
        <w:rPr>
          <w:spacing w:val="-4"/>
          <w:rtl/>
        </w:rPr>
        <w:t xml:space="preserve"> الاختيار مذكور قبل </w:t>
      </w:r>
      <w:r>
        <w:rPr>
          <w:rFonts w:hint="eastAsia"/>
          <w:spacing w:val="-4"/>
          <w:rtl/>
        </w:rPr>
        <w:t>ذلك</w:t>
      </w:r>
      <w:r>
        <w:rPr>
          <w:spacing w:val="-4"/>
          <w:rtl/>
        </w:rPr>
        <w:t xml:space="preserve"> في (الدّرر) –2/334- بصيغة التمريض (وقيل)</w:t>
      </w:r>
      <w:r>
        <w:rPr>
          <w:rFonts w:hint="cs"/>
          <w:spacing w:val="-4"/>
          <w:rtl/>
        </w:rPr>
        <w:t>،</w:t>
      </w:r>
      <w:r>
        <w:rPr>
          <w:spacing w:val="-4"/>
          <w:rtl/>
        </w:rPr>
        <w:t xml:space="preserve"> وقد نقله عن (الكافي).</w:t>
      </w:r>
    </w:p>
  </w:footnote>
  <w:footnote w:id="4893">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قوله في المسألة المذكورة في الهامش </w:t>
      </w:r>
      <w:r>
        <w:rPr>
          <w:rFonts w:hint="eastAsia"/>
          <w:rtl/>
        </w:rPr>
        <w:t>السابق</w:t>
      </w:r>
      <w:r>
        <w:rPr>
          <w:rtl/>
        </w:rPr>
        <w:t>.</w:t>
      </w:r>
    </w:p>
  </w:footnote>
  <w:footnote w:id="4894">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يمكن</w:t>
      </w:r>
      <w:r>
        <w:rPr>
          <w:rtl/>
        </w:rPr>
        <w:t xml:space="preserve"> أن يُجاب عن هذا الاعتراض بأن يقال : لا </w:t>
      </w:r>
      <w:r>
        <w:rPr>
          <w:rFonts w:hint="eastAsia"/>
          <w:rtl/>
        </w:rPr>
        <w:t>تعارض</w:t>
      </w:r>
      <w:r>
        <w:rPr>
          <w:rtl/>
        </w:rPr>
        <w:t xml:space="preserve"> بينه وبين كون عدم الاستحلاف مخصوص</w:t>
      </w:r>
      <w:r>
        <w:rPr>
          <w:rFonts w:hint="cs"/>
          <w:rtl/>
        </w:rPr>
        <w:t>ًا</w:t>
      </w:r>
      <w:r>
        <w:rPr>
          <w:rtl/>
        </w:rPr>
        <w:t xml:space="preserve"> </w:t>
      </w:r>
      <w:r>
        <w:rPr>
          <w:rFonts w:hint="cs"/>
          <w:rtl/>
        </w:rPr>
        <w:t>-</w:t>
      </w:r>
      <w:r>
        <w:rPr>
          <w:rtl/>
        </w:rPr>
        <w:t xml:space="preserve"> عند الإمام أبي حنيفة- بما لا يصح فيه </w:t>
      </w:r>
      <w:r>
        <w:rPr>
          <w:rFonts w:hint="eastAsia"/>
          <w:rtl/>
        </w:rPr>
        <w:t>البذل؛</w:t>
      </w:r>
      <w:r>
        <w:rPr>
          <w:rtl/>
        </w:rPr>
        <w:t xml:space="preserve"> لأن الحدود من «الحقوق [التي] لا يجرى فيها البذل والإباح</w:t>
      </w:r>
      <w:r>
        <w:rPr>
          <w:rFonts w:hint="eastAsia"/>
          <w:rtl/>
        </w:rPr>
        <w:t>ة»</w:t>
      </w:r>
      <w:r>
        <w:rPr>
          <w:rtl/>
        </w:rPr>
        <w:t xml:space="preserve">- وقد سبق نقل </w:t>
      </w:r>
      <w:r>
        <w:rPr>
          <w:rFonts w:hint="eastAsia"/>
          <w:rtl/>
        </w:rPr>
        <w:t>هذا</w:t>
      </w:r>
      <w:r>
        <w:rPr>
          <w:rtl/>
        </w:rPr>
        <w:t xml:space="preserve"> عن الدرر، </w:t>
      </w:r>
      <w:r>
        <w:rPr>
          <w:rFonts w:hint="cs"/>
          <w:rtl/>
        </w:rPr>
        <w:t>في الصفحة السابقة</w:t>
      </w:r>
      <w:r>
        <w:rPr>
          <w:rtl/>
        </w:rPr>
        <w:t>-.</w:t>
      </w:r>
    </w:p>
    <w:p w:rsidR="00035BE3" w:rsidRDefault="00035BE3" w:rsidP="003D5367">
      <w:pPr>
        <w:pStyle w:val="a6"/>
        <w:ind w:left="422" w:firstLine="0"/>
        <w:rPr>
          <w:spacing w:val="-4"/>
          <w:rtl/>
        </w:rPr>
      </w:pPr>
      <w:r>
        <w:rPr>
          <w:rFonts w:hint="eastAsia"/>
          <w:spacing w:val="-4"/>
          <w:rtl/>
        </w:rPr>
        <w:t>لهذا</w:t>
      </w:r>
      <w:r>
        <w:rPr>
          <w:spacing w:val="-4"/>
          <w:rtl/>
        </w:rPr>
        <w:t xml:space="preserve"> </w:t>
      </w:r>
      <w:r>
        <w:rPr>
          <w:rFonts w:hint="eastAsia"/>
          <w:spacing w:val="-4"/>
          <w:rtl/>
        </w:rPr>
        <w:t>فإن</w:t>
      </w:r>
      <w:r>
        <w:rPr>
          <w:spacing w:val="-4"/>
          <w:rtl/>
        </w:rPr>
        <w:t xml:space="preserve"> صاحب الدرر – بعد بيانه لدليل الإمام أبي حنيفة على عدم تحليف المنكر في </w:t>
      </w:r>
      <w:r>
        <w:rPr>
          <w:rFonts w:hint="eastAsia"/>
          <w:spacing w:val="-4"/>
          <w:rtl/>
        </w:rPr>
        <w:t>الحدود</w:t>
      </w:r>
      <w:r>
        <w:rPr>
          <w:spacing w:val="-4"/>
          <w:rtl/>
        </w:rPr>
        <w:t xml:space="preserve"> وغيرها </w:t>
      </w:r>
      <w:r>
        <w:rPr>
          <w:rFonts w:hint="cs"/>
          <w:spacing w:val="-4"/>
          <w:rtl/>
        </w:rPr>
        <w:t>-</w:t>
      </w:r>
      <w:r>
        <w:rPr>
          <w:spacing w:val="-4"/>
          <w:rtl/>
        </w:rPr>
        <w:t xml:space="preserve"> قال : «فالحاصل : أن كلَّ محلّ يقبل الإباحة بالإذن ابتداء يقضى </w:t>
      </w:r>
      <w:r>
        <w:rPr>
          <w:rFonts w:hint="eastAsia"/>
          <w:spacing w:val="-4"/>
          <w:rtl/>
        </w:rPr>
        <w:t>عليه</w:t>
      </w:r>
      <w:r>
        <w:rPr>
          <w:spacing w:val="-4"/>
          <w:rtl/>
        </w:rPr>
        <w:t xml:space="preserve"> بنكوله، وما لا فلا».</w:t>
      </w:r>
    </w:p>
    <w:p w:rsidR="00035BE3" w:rsidRDefault="00035BE3" w:rsidP="003D5367">
      <w:pPr>
        <w:pStyle w:val="a6"/>
        <w:ind w:left="422" w:firstLine="0"/>
        <w:rPr>
          <w:rtl/>
        </w:rPr>
      </w:pPr>
      <w:r>
        <w:rPr>
          <w:rFonts w:hint="eastAsia"/>
          <w:rtl/>
        </w:rPr>
        <w:t>وفي</w:t>
      </w:r>
      <w:r>
        <w:rPr>
          <w:rtl/>
        </w:rPr>
        <w:t xml:space="preserve"> هذه تصريح </w:t>
      </w:r>
      <w:r>
        <w:rPr>
          <w:rFonts w:hint="eastAsia"/>
          <w:rtl/>
        </w:rPr>
        <w:t>بالمفهوم</w:t>
      </w:r>
      <w:r>
        <w:rPr>
          <w:rtl/>
        </w:rPr>
        <w:t xml:space="preserve"> المخالف للقاعدة الذي اعترض عليه المؤلف.</w:t>
      </w:r>
    </w:p>
  </w:footnote>
  <w:footnote w:id="4895">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«لا</w:t>
      </w:r>
      <w:r>
        <w:rPr>
          <w:rtl/>
        </w:rPr>
        <w:t xml:space="preserve"> يصح أيضًا ... الحدود» : ساقط من (جـ).</w:t>
      </w:r>
    </w:p>
  </w:footnote>
  <w:footnote w:id="4896">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جاء</w:t>
      </w:r>
      <w:r>
        <w:rPr>
          <w:rtl/>
        </w:rPr>
        <w:t xml:space="preserve"> في هامش (أ) : «مطلب : لا يستحلف في </w:t>
      </w:r>
      <w:r>
        <w:rPr>
          <w:rFonts w:hint="eastAsia"/>
          <w:rtl/>
        </w:rPr>
        <w:t>الحدود</w:t>
      </w:r>
      <w:r>
        <w:rPr>
          <w:rtl/>
        </w:rPr>
        <w:t xml:space="preserve"> بالإجماع إلا إذا </w:t>
      </w:r>
      <w:r>
        <w:rPr>
          <w:rFonts w:hint="cs"/>
          <w:rtl/>
        </w:rPr>
        <w:t>ت</w:t>
      </w:r>
      <w:r>
        <w:rPr>
          <w:rtl/>
        </w:rPr>
        <w:t>ضمّن حقًّا».</w:t>
      </w:r>
    </w:p>
  </w:footnote>
  <w:footnote w:id="4897">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«على».</w:t>
      </w:r>
    </w:p>
  </w:footnote>
  <w:footnote w:id="4898">
    <w:p w:rsidR="00035BE3" w:rsidRDefault="00035BE3" w:rsidP="003D5367">
      <w:pPr>
        <w:pStyle w:val="a8"/>
        <w:bidi/>
        <w:ind w:left="422" w:right="0"/>
        <w:rPr>
          <w:spacing w:val="-4"/>
          <w:rtl/>
        </w:rPr>
      </w:pPr>
      <w:r>
        <w:rPr>
          <w:spacing w:val="-4"/>
          <w:vertAlign w:val="superscript"/>
          <w:rtl/>
        </w:rPr>
        <w:t>(</w:t>
      </w:r>
      <w:r>
        <w:rPr>
          <w:rStyle w:val="a7"/>
          <w:spacing w:val="-4"/>
        </w:rPr>
        <w:footnoteRef/>
      </w:r>
      <w:r>
        <w:rPr>
          <w:spacing w:val="-4"/>
          <w:vertAlign w:val="superscript"/>
          <w:rtl/>
        </w:rPr>
        <w:t>)</w:t>
      </w:r>
      <w:r>
        <w:rPr>
          <w:spacing w:val="-4"/>
          <w:rtl/>
        </w:rPr>
        <w:t xml:space="preserve">   </w:t>
      </w:r>
      <w:r>
        <w:rPr>
          <w:rFonts w:hint="cs"/>
          <w:spacing w:val="-4"/>
          <w:rtl/>
        </w:rPr>
        <w:t>النهاية للسغناقي، ل305/ب؛ و</w:t>
      </w:r>
      <w:r>
        <w:rPr>
          <w:rFonts w:hint="eastAsia"/>
          <w:spacing w:val="-4"/>
          <w:rtl/>
        </w:rPr>
        <w:t>الدرر</w:t>
      </w:r>
      <w:r>
        <w:rPr>
          <w:spacing w:val="-4"/>
          <w:rtl/>
        </w:rPr>
        <w:t xml:space="preserve"> شرح الغرر، 2/334 – مع زيادة في</w:t>
      </w:r>
      <w:r>
        <w:rPr>
          <w:rFonts w:hint="cs"/>
          <w:spacing w:val="-4"/>
          <w:rtl/>
        </w:rPr>
        <w:t xml:space="preserve"> النهاية وفي</w:t>
      </w:r>
      <w:r>
        <w:rPr>
          <w:spacing w:val="-4"/>
          <w:rtl/>
        </w:rPr>
        <w:t xml:space="preserve"> </w:t>
      </w:r>
      <w:r>
        <w:rPr>
          <w:rFonts w:hint="cs"/>
          <w:spacing w:val="-4"/>
          <w:rtl/>
        </w:rPr>
        <w:t>(</w:t>
      </w:r>
      <w:r>
        <w:rPr>
          <w:spacing w:val="-4"/>
          <w:rtl/>
        </w:rPr>
        <w:t>الدّرر</w:t>
      </w:r>
      <w:r>
        <w:rPr>
          <w:rFonts w:hint="cs"/>
          <w:spacing w:val="-4"/>
          <w:rtl/>
        </w:rPr>
        <w:t>)</w:t>
      </w:r>
      <w:r>
        <w:rPr>
          <w:spacing w:val="-4"/>
          <w:rtl/>
        </w:rPr>
        <w:t xml:space="preserve"> </w:t>
      </w:r>
      <w:r>
        <w:rPr>
          <w:rFonts w:hint="eastAsia"/>
          <w:spacing w:val="-4"/>
          <w:rtl/>
        </w:rPr>
        <w:t>لعدد</w:t>
      </w:r>
      <w:r>
        <w:rPr>
          <w:spacing w:val="-4"/>
          <w:rtl/>
        </w:rPr>
        <w:t xml:space="preserve"> من الألفاظ التي فيها إيضاح للمعنى، حيث جاء في (النهاية) : </w:t>
      </w:r>
      <w:r>
        <w:rPr>
          <w:rFonts w:hint="eastAsia"/>
          <w:spacing w:val="-4"/>
          <w:rtl/>
        </w:rPr>
        <w:t>«</w:t>
      </w:r>
      <w:r>
        <w:rPr>
          <w:rFonts w:hint="cs"/>
          <w:spacing w:val="-4"/>
          <w:rtl/>
        </w:rPr>
        <w:t xml:space="preserve">وفي </w:t>
      </w:r>
      <w:r>
        <w:rPr>
          <w:spacing w:val="-4"/>
          <w:rtl/>
        </w:rPr>
        <w:t>الحدود</w:t>
      </w:r>
      <w:r>
        <w:rPr>
          <w:rFonts w:hint="cs"/>
          <w:spacing w:val="-4"/>
          <w:rtl/>
        </w:rPr>
        <w:t>:</w:t>
      </w:r>
      <w:r>
        <w:rPr>
          <w:spacing w:val="-4"/>
          <w:rtl/>
        </w:rPr>
        <w:t xml:space="preserve"> لا </w:t>
      </w:r>
      <w:r>
        <w:rPr>
          <w:rFonts w:hint="eastAsia"/>
          <w:spacing w:val="-4"/>
          <w:rtl/>
        </w:rPr>
        <w:t>يُستحلف</w:t>
      </w:r>
      <w:r>
        <w:rPr>
          <w:spacing w:val="-4"/>
          <w:rtl/>
        </w:rPr>
        <w:t xml:space="preserve"> بالإجماع، إلا إذا تضمن حقًّا؛ بأن علَّق عتق عبده </w:t>
      </w:r>
      <w:r>
        <w:rPr>
          <w:rFonts w:hint="cs"/>
          <w:spacing w:val="-4"/>
          <w:rtl/>
        </w:rPr>
        <w:t>ب</w:t>
      </w:r>
      <w:r>
        <w:rPr>
          <w:spacing w:val="-4"/>
          <w:rtl/>
        </w:rPr>
        <w:t xml:space="preserve">الزنا، </w:t>
      </w:r>
      <w:r>
        <w:rPr>
          <w:rFonts w:hint="eastAsia"/>
          <w:spacing w:val="-4"/>
          <w:rtl/>
        </w:rPr>
        <w:t>وقال</w:t>
      </w:r>
      <w:r>
        <w:rPr>
          <w:spacing w:val="-4"/>
          <w:rtl/>
        </w:rPr>
        <w:t xml:space="preserve"> : </w:t>
      </w:r>
      <w:r>
        <w:rPr>
          <w:rFonts w:hint="eastAsia"/>
          <w:b/>
          <w:bCs/>
          <w:spacing w:val="-4"/>
          <w:rtl/>
        </w:rPr>
        <w:t>إن</w:t>
      </w:r>
      <w:r>
        <w:rPr>
          <w:b/>
          <w:bCs/>
          <w:spacing w:val="-4"/>
          <w:rtl/>
        </w:rPr>
        <w:t xml:space="preserve"> زنيتُ فأنت حرّ</w:t>
      </w:r>
      <w:r>
        <w:rPr>
          <w:spacing w:val="-4"/>
          <w:rtl/>
        </w:rPr>
        <w:t xml:space="preserve">. فادعى العبد أنه [أي المولى] زنى، ولا بيّنة له </w:t>
      </w:r>
      <w:r>
        <w:rPr>
          <w:rFonts w:hint="eastAsia"/>
          <w:spacing w:val="-4"/>
          <w:rtl/>
        </w:rPr>
        <w:t>عليه</w:t>
      </w:r>
      <w:r>
        <w:rPr>
          <w:spacing w:val="-4"/>
          <w:rtl/>
        </w:rPr>
        <w:t xml:space="preserve"> : يستحلف </w:t>
      </w:r>
      <w:r>
        <w:rPr>
          <w:rFonts w:hint="eastAsia"/>
          <w:b/>
          <w:bCs/>
          <w:spacing w:val="-4"/>
          <w:rtl/>
        </w:rPr>
        <w:t>المولى</w:t>
      </w:r>
      <w:r>
        <w:rPr>
          <w:rFonts w:hint="eastAsia"/>
          <w:spacing w:val="-4"/>
          <w:rtl/>
        </w:rPr>
        <w:t>،</w:t>
      </w:r>
      <w:r>
        <w:rPr>
          <w:spacing w:val="-4"/>
          <w:rtl/>
        </w:rPr>
        <w:t xml:space="preserve"> حتى إذا نكل يثبت العتق </w:t>
      </w:r>
      <w:r>
        <w:rPr>
          <w:rFonts w:hint="cs"/>
          <w:spacing w:val="-4"/>
          <w:rtl/>
        </w:rPr>
        <w:t>دون</w:t>
      </w:r>
      <w:r>
        <w:rPr>
          <w:spacing w:val="-4"/>
          <w:rtl/>
        </w:rPr>
        <w:t xml:space="preserve"> الزنا».</w:t>
      </w:r>
      <w:r>
        <w:rPr>
          <w:rFonts w:hint="cs"/>
          <w:spacing w:val="-4"/>
          <w:rtl/>
        </w:rPr>
        <w:t xml:space="preserve"> وورد نحو هذا اللفظ في (الدرر).</w:t>
      </w:r>
    </w:p>
    <w:p w:rsidR="00035BE3" w:rsidRDefault="00035BE3" w:rsidP="003D5367">
      <w:pPr>
        <w:pStyle w:val="a6"/>
        <w:spacing w:line="420" w:lineRule="exact"/>
        <w:ind w:left="422" w:firstLine="0"/>
        <w:rPr>
          <w:rtl/>
        </w:rPr>
      </w:pPr>
      <w:r>
        <w:rPr>
          <w:rFonts w:hint="eastAsia"/>
          <w:rtl/>
        </w:rPr>
        <w:t>فيلحظ</w:t>
      </w:r>
      <w:r>
        <w:rPr>
          <w:rtl/>
        </w:rPr>
        <w:t xml:space="preserve"> في هذا المثال : أن العبد قذف مولاه </w:t>
      </w:r>
      <w:r>
        <w:rPr>
          <w:rFonts w:hint="eastAsia"/>
          <w:rtl/>
        </w:rPr>
        <w:t>بالزنا،</w:t>
      </w:r>
      <w:r>
        <w:rPr>
          <w:rtl/>
        </w:rPr>
        <w:t xml:space="preserve"> والقذف من الحدود، ومع ذلك جرى فيه تحليف المولى؛ والسبب هو أنه تعلق </w:t>
      </w:r>
      <w:r>
        <w:rPr>
          <w:rFonts w:hint="eastAsia"/>
          <w:rtl/>
        </w:rPr>
        <w:t>بالحدّ</w:t>
      </w:r>
      <w:r>
        <w:rPr>
          <w:rtl/>
        </w:rPr>
        <w:t xml:space="preserve"> حقٌّ آخر وهو العتق.</w:t>
      </w:r>
    </w:p>
    <w:p w:rsidR="00035BE3" w:rsidRDefault="00035BE3" w:rsidP="003D5367">
      <w:pPr>
        <w:pStyle w:val="a6"/>
        <w:spacing w:line="420" w:lineRule="exact"/>
        <w:ind w:left="422" w:firstLine="0"/>
        <w:rPr>
          <w:spacing w:val="-4"/>
          <w:rtl/>
        </w:rPr>
      </w:pPr>
      <w:r>
        <w:rPr>
          <w:rFonts w:hint="cs"/>
          <w:spacing w:val="-4"/>
          <w:rtl/>
        </w:rPr>
        <w:t>و</w:t>
      </w:r>
      <w:r>
        <w:rPr>
          <w:rFonts w:hint="eastAsia"/>
          <w:spacing w:val="-4"/>
          <w:rtl/>
        </w:rPr>
        <w:t>انظر</w:t>
      </w:r>
      <w:r>
        <w:rPr>
          <w:spacing w:val="-4"/>
          <w:rtl/>
        </w:rPr>
        <w:t xml:space="preserve"> : </w:t>
      </w:r>
      <w:r>
        <w:rPr>
          <w:rFonts w:hint="eastAsia"/>
          <w:spacing w:val="-4"/>
          <w:rtl/>
        </w:rPr>
        <w:t>تبيين</w:t>
      </w:r>
      <w:r>
        <w:rPr>
          <w:spacing w:val="-4"/>
          <w:rtl/>
        </w:rPr>
        <w:t xml:space="preserve"> الحقائق، 4/298؛ البحر الرائق، 7/208-209؛ الأشباه والنظائر، ص214.</w:t>
      </w:r>
    </w:p>
  </w:footnote>
  <w:footnote w:id="4899">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61/ب من (د).</w:t>
      </w:r>
    </w:p>
  </w:footnote>
  <w:footnote w:id="4900">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cs"/>
          <w:rtl/>
        </w:rPr>
        <w:t xml:space="preserve"> ومن الكتب التي ذكرت ذلك</w:t>
      </w:r>
      <w:r>
        <w:rPr>
          <w:rtl/>
        </w:rPr>
        <w:t xml:space="preserve"> :</w:t>
      </w:r>
      <w:r>
        <w:rPr>
          <w:rFonts w:hint="cs"/>
          <w:rtl/>
        </w:rPr>
        <w:t xml:space="preserve"> النهاية للسغناقي، ل308/ب؛</w:t>
      </w:r>
      <w:r>
        <w:rPr>
          <w:rtl/>
        </w:rPr>
        <w:t xml:space="preserve"> الدّرر شرح </w:t>
      </w:r>
      <w:r>
        <w:rPr>
          <w:rFonts w:hint="eastAsia"/>
          <w:rtl/>
        </w:rPr>
        <w:t>الغرر،</w:t>
      </w:r>
      <w:r>
        <w:rPr>
          <w:rtl/>
        </w:rPr>
        <w:t xml:space="preserve"> 2/334.</w:t>
      </w:r>
    </w:p>
  </w:footnote>
  <w:footnote w:id="4901">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64/ب من (ب).</w:t>
      </w:r>
    </w:p>
  </w:footnote>
  <w:footnote w:id="4902">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جاء</w:t>
      </w:r>
      <w:r>
        <w:rPr>
          <w:rtl/>
        </w:rPr>
        <w:t xml:space="preserve"> في (أ) أسفل هذه الكلمة : «القاضي» أي أن </w:t>
      </w:r>
      <w:r>
        <w:rPr>
          <w:rFonts w:hint="eastAsia"/>
          <w:rtl/>
        </w:rPr>
        <w:t>المحلِّف</w:t>
      </w:r>
      <w:r>
        <w:rPr>
          <w:rtl/>
        </w:rPr>
        <w:t xml:space="preserve"> هو القاضي.</w:t>
      </w:r>
    </w:p>
  </w:footnote>
  <w:footnote w:id="4903">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102/أ من (أ).</w:t>
      </w:r>
    </w:p>
  </w:footnote>
  <w:footnote w:id="4904">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الدّرر</w:t>
      </w:r>
      <w:r>
        <w:rPr>
          <w:rtl/>
        </w:rPr>
        <w:t xml:space="preserve"> شرح الغرر، 2/334.</w:t>
      </w:r>
    </w:p>
  </w:footnote>
  <w:footnote w:id="4905">
    <w:p w:rsidR="00035BE3" w:rsidRDefault="00035BE3" w:rsidP="003D5367">
      <w:pPr>
        <w:pStyle w:val="a8"/>
        <w:bidi/>
        <w:spacing w:line="420" w:lineRule="exact"/>
        <w:ind w:left="422" w:right="0"/>
        <w:rPr>
          <w:spacing w:val="-6"/>
          <w:rtl/>
        </w:rPr>
      </w:pPr>
      <w:r>
        <w:rPr>
          <w:spacing w:val="-6"/>
          <w:vertAlign w:val="superscript"/>
          <w:rtl/>
        </w:rPr>
        <w:t>(</w:t>
      </w:r>
      <w:r>
        <w:rPr>
          <w:rStyle w:val="a7"/>
          <w:spacing w:val="-6"/>
        </w:rPr>
        <w:footnoteRef/>
      </w:r>
      <w:r>
        <w:rPr>
          <w:spacing w:val="-6"/>
          <w:vertAlign w:val="superscript"/>
          <w:rtl/>
        </w:rPr>
        <w:t>)</w:t>
      </w:r>
      <w:r>
        <w:rPr>
          <w:spacing w:val="-6"/>
          <w:rtl/>
        </w:rPr>
        <w:t xml:space="preserve">  </w:t>
      </w:r>
      <w:r>
        <w:rPr>
          <w:rFonts w:hint="cs"/>
          <w:spacing w:val="-6"/>
          <w:rtl/>
        </w:rPr>
        <w:t xml:space="preserve"> </w:t>
      </w:r>
      <w:r>
        <w:rPr>
          <w:rFonts w:hint="eastAsia"/>
          <w:spacing w:val="-6"/>
          <w:rtl/>
        </w:rPr>
        <w:t>في</w:t>
      </w:r>
      <w:r>
        <w:rPr>
          <w:spacing w:val="-6"/>
          <w:rtl/>
        </w:rPr>
        <w:t xml:space="preserve"> (جـ) و(و): «الزوج». </w:t>
      </w:r>
      <w:r>
        <w:rPr>
          <w:rFonts w:hint="eastAsia"/>
          <w:spacing w:val="-6"/>
          <w:rtl/>
        </w:rPr>
        <w:t>وهذا</w:t>
      </w:r>
      <w:r>
        <w:rPr>
          <w:spacing w:val="-6"/>
          <w:rtl/>
        </w:rPr>
        <w:t xml:space="preserve"> الأولى؛ </w:t>
      </w:r>
      <w:r>
        <w:rPr>
          <w:rFonts w:hint="eastAsia"/>
          <w:spacing w:val="-6"/>
          <w:rtl/>
        </w:rPr>
        <w:t>لأن</w:t>
      </w:r>
      <w:r>
        <w:rPr>
          <w:spacing w:val="-6"/>
          <w:rtl/>
        </w:rPr>
        <w:t xml:space="preserve"> الزوج هو المدعى عليه الذي يحصل منه الحلف</w:t>
      </w:r>
      <w:r>
        <w:rPr>
          <w:rFonts w:hint="cs"/>
          <w:spacing w:val="-6"/>
          <w:rtl/>
        </w:rPr>
        <w:t>،</w:t>
      </w:r>
      <w:r>
        <w:rPr>
          <w:spacing w:val="-6"/>
          <w:rtl/>
        </w:rPr>
        <w:t xml:space="preserve"> ووفاقًا للدّرر.</w:t>
      </w:r>
    </w:p>
  </w:footnote>
  <w:footnote w:id="4906">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الدرر زيادة إيضاح، حيث جاء فيه : «يعني : </w:t>
      </w:r>
      <w:r>
        <w:rPr>
          <w:rFonts w:hint="eastAsia"/>
          <w:rtl/>
        </w:rPr>
        <w:t>إذا</w:t>
      </w:r>
      <w:r>
        <w:rPr>
          <w:rtl/>
        </w:rPr>
        <w:t xml:space="preserve"> ادّعت طلاقًا قبل الدخول واستحلف الزوج».</w:t>
      </w:r>
    </w:p>
  </w:footnote>
  <w:footnote w:id="4907">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الدرر</w:t>
      </w:r>
      <w:r>
        <w:rPr>
          <w:rtl/>
        </w:rPr>
        <w:t xml:space="preserve"> شرح الغرر، 2/334 –مع الاختلاف الذي </w:t>
      </w:r>
      <w:r>
        <w:rPr>
          <w:rFonts w:hint="eastAsia"/>
          <w:rtl/>
        </w:rPr>
        <w:t>سبق</w:t>
      </w:r>
      <w:r>
        <w:rPr>
          <w:rtl/>
        </w:rPr>
        <w:t xml:space="preserve"> بيانه-.</w:t>
      </w:r>
    </w:p>
  </w:footnote>
  <w:footnote w:id="4908">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«تفضيله» (بالضاد).</w:t>
      </w:r>
    </w:p>
  </w:footnote>
  <w:footnote w:id="4909">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ص</w:t>
      </w:r>
      <w:r>
        <w:rPr>
          <w:rFonts w:hint="cs"/>
          <w:rtl/>
        </w:rPr>
        <w:t>392</w:t>
      </w:r>
      <w:r>
        <w:rPr>
          <w:rtl/>
        </w:rPr>
        <w:t xml:space="preserve"> (ل15/ب – 16/أ).</w:t>
      </w:r>
    </w:p>
  </w:footnote>
  <w:footnote w:id="4910">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الدرر : زيادة «لا النسب».</w:t>
      </w:r>
    </w:p>
  </w:footnote>
  <w:footnote w:id="4911">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الواو</w:t>
      </w:r>
      <w:r>
        <w:rPr>
          <w:rtl/>
        </w:rPr>
        <w:t xml:space="preserve"> : ساقطة من (جـ).</w:t>
      </w:r>
    </w:p>
  </w:footnote>
  <w:footnote w:id="4912">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و(د) : «اللقط».</w:t>
      </w:r>
    </w:p>
  </w:footnote>
  <w:footnote w:id="4913">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 «اللقطة»، وفي (د) : «اللقط». </w:t>
      </w:r>
      <w:r>
        <w:rPr>
          <w:rFonts w:hint="eastAsia"/>
          <w:rtl/>
        </w:rPr>
        <w:t>والصحيح</w:t>
      </w:r>
      <w:r>
        <w:rPr>
          <w:rtl/>
        </w:rPr>
        <w:t xml:space="preserve"> ما تمَّ إثباته من (ب) و(جـ)</w:t>
      </w:r>
      <w:r>
        <w:rPr>
          <w:rFonts w:hint="cs"/>
          <w:rtl/>
        </w:rPr>
        <w:t>،</w:t>
      </w:r>
      <w:r>
        <w:rPr>
          <w:rtl/>
        </w:rPr>
        <w:t xml:space="preserve"> و</w:t>
      </w:r>
      <w:r>
        <w:rPr>
          <w:rFonts w:hint="cs"/>
          <w:rtl/>
        </w:rPr>
        <w:t>هو الموافق</w:t>
      </w:r>
      <w:r>
        <w:rPr>
          <w:rtl/>
        </w:rPr>
        <w:t xml:space="preserve"> للدّرر.</w:t>
      </w:r>
    </w:p>
  </w:footnote>
  <w:footnote w:id="4914">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«يعتبر».</w:t>
      </w:r>
    </w:p>
  </w:footnote>
  <w:footnote w:id="4915">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و(د) : «امرأته». والصحيح ما </w:t>
      </w:r>
      <w:r>
        <w:rPr>
          <w:rFonts w:hint="eastAsia"/>
          <w:rtl/>
        </w:rPr>
        <w:t>تمَّ</w:t>
      </w:r>
      <w:r>
        <w:rPr>
          <w:rtl/>
        </w:rPr>
        <w:t xml:space="preserve"> إثباته من (ب)</w:t>
      </w:r>
      <w:r>
        <w:rPr>
          <w:rFonts w:hint="cs"/>
          <w:rtl/>
        </w:rPr>
        <w:t>،</w:t>
      </w:r>
      <w:r>
        <w:rPr>
          <w:rtl/>
        </w:rPr>
        <w:t xml:space="preserve"> و</w:t>
      </w:r>
      <w:r>
        <w:rPr>
          <w:rFonts w:hint="cs"/>
          <w:rtl/>
        </w:rPr>
        <w:t>هو الموافق</w:t>
      </w:r>
      <w:r>
        <w:rPr>
          <w:rtl/>
        </w:rPr>
        <w:t xml:space="preserve"> للدّرر.</w:t>
      </w:r>
    </w:p>
  </w:footnote>
  <w:footnote w:id="4916">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و(جـ) و(د) : «يريد». والصحيح ما تمَّ </w:t>
      </w:r>
      <w:r>
        <w:rPr>
          <w:rFonts w:hint="eastAsia"/>
          <w:rtl/>
        </w:rPr>
        <w:t>إثباته</w:t>
      </w:r>
      <w:r>
        <w:rPr>
          <w:rtl/>
        </w:rPr>
        <w:t xml:space="preserve"> من (ب)</w:t>
      </w:r>
      <w:r>
        <w:rPr>
          <w:rFonts w:hint="cs"/>
          <w:rtl/>
        </w:rPr>
        <w:t>،</w:t>
      </w:r>
      <w:r>
        <w:rPr>
          <w:rtl/>
        </w:rPr>
        <w:t xml:space="preserve"> و</w:t>
      </w:r>
      <w:r>
        <w:rPr>
          <w:rFonts w:hint="cs"/>
          <w:rtl/>
        </w:rPr>
        <w:t>هو الموافق</w:t>
      </w:r>
      <w:r>
        <w:rPr>
          <w:rtl/>
        </w:rPr>
        <w:t xml:space="preserve"> للدّرر.</w:t>
      </w:r>
    </w:p>
  </w:footnote>
  <w:footnote w:id="4917">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(ب) : «ممّا».</w:t>
      </w:r>
    </w:p>
  </w:footnote>
  <w:footnote w:id="4918">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(الدرر) زيادة «من».</w:t>
      </w:r>
    </w:p>
  </w:footnote>
  <w:footnote w:id="4919">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(الدرر) : «يثبت به لها».</w:t>
      </w:r>
    </w:p>
  </w:footnote>
  <w:footnote w:id="4920">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هامش (أ) : «مطلب : بأن ادعى على مولاه </w:t>
      </w:r>
      <w:r>
        <w:rPr>
          <w:rFonts w:hint="eastAsia"/>
          <w:rtl/>
        </w:rPr>
        <w:t>أنه</w:t>
      </w:r>
      <w:r>
        <w:rPr>
          <w:rtl/>
        </w:rPr>
        <w:t xml:space="preserve"> معتق».</w:t>
      </w:r>
    </w:p>
  </w:footnote>
  <w:footnote w:id="4921">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(الدرر) : «فإن حلف : برئ وإن نكل ...».</w:t>
      </w:r>
    </w:p>
  </w:footnote>
  <w:footnote w:id="4922">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الدرر زيادة</w:t>
      </w:r>
      <w:r>
        <w:rPr>
          <w:rFonts w:hint="cs"/>
          <w:rtl/>
        </w:rPr>
        <w:t>،</w:t>
      </w:r>
      <w:r>
        <w:rPr>
          <w:rtl/>
        </w:rPr>
        <w:t xml:space="preserve"> وهي : «على ما يدَّعى من </w:t>
      </w:r>
      <w:r>
        <w:rPr>
          <w:rFonts w:hint="eastAsia"/>
          <w:rtl/>
        </w:rPr>
        <w:t>النسب</w:t>
      </w:r>
      <w:r>
        <w:rPr>
          <w:rtl/>
        </w:rPr>
        <w:t xml:space="preserve"> بالإجماع».</w:t>
      </w:r>
    </w:p>
  </w:footnote>
  <w:footnote w:id="4923">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الدرر،</w:t>
      </w:r>
      <w:r>
        <w:rPr>
          <w:rtl/>
        </w:rPr>
        <w:t xml:space="preserve"> 2/334-335 – مع اختلاف سبق بيان </w:t>
      </w:r>
      <w:r>
        <w:rPr>
          <w:rFonts w:hint="eastAsia"/>
          <w:rtl/>
        </w:rPr>
        <w:t>أكثره</w:t>
      </w:r>
      <w:r>
        <w:rPr>
          <w:rtl/>
        </w:rPr>
        <w:t>-</w:t>
      </w:r>
      <w:r>
        <w:rPr>
          <w:rFonts w:hint="cs"/>
          <w:rtl/>
        </w:rPr>
        <w:t>؛ وانظر : النهاية، ل309/أ-ب.</w:t>
      </w:r>
    </w:p>
  </w:footnote>
  <w:footnote w:id="4924">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الذي</w:t>
      </w:r>
      <w:r>
        <w:rPr>
          <w:rtl/>
        </w:rPr>
        <w:t xml:space="preserve"> يظهر أن المراد من هذه العبارة –والله </w:t>
      </w:r>
      <w:r>
        <w:rPr>
          <w:rFonts w:hint="eastAsia"/>
          <w:rtl/>
        </w:rPr>
        <w:t>أعلم</w:t>
      </w:r>
      <w:r>
        <w:rPr>
          <w:rtl/>
        </w:rPr>
        <w:t xml:space="preserve">- أن جميع الحقوق المذكورة ثبتت بالنكول </w:t>
      </w:r>
      <w:r>
        <w:rPr>
          <w:rFonts w:hint="cs"/>
          <w:rtl/>
        </w:rPr>
        <w:t xml:space="preserve">على </w:t>
      </w:r>
      <w:r>
        <w:rPr>
          <w:rtl/>
        </w:rPr>
        <w:t xml:space="preserve">الرغم من أنها ممّا لا يصح فيه </w:t>
      </w:r>
      <w:r>
        <w:rPr>
          <w:rFonts w:hint="eastAsia"/>
          <w:rtl/>
        </w:rPr>
        <w:t>البذل</w:t>
      </w:r>
      <w:r>
        <w:rPr>
          <w:rtl/>
        </w:rPr>
        <w:t>!.</w:t>
      </w:r>
    </w:p>
    <w:p w:rsidR="00035BE3" w:rsidRDefault="00035BE3" w:rsidP="003D5367">
      <w:pPr>
        <w:pStyle w:val="a6"/>
        <w:spacing w:line="420" w:lineRule="exact"/>
        <w:ind w:left="422" w:firstLine="0"/>
        <w:rPr>
          <w:rtl/>
        </w:rPr>
      </w:pPr>
      <w:r>
        <w:rPr>
          <w:rFonts w:hint="eastAsia"/>
          <w:rtl/>
        </w:rPr>
        <w:t>ممّا</w:t>
      </w:r>
      <w:r>
        <w:rPr>
          <w:rtl/>
        </w:rPr>
        <w:t xml:space="preserve"> يعني : أن حصر </w:t>
      </w:r>
      <w:r>
        <w:rPr>
          <w:rFonts w:hint="eastAsia"/>
          <w:rtl/>
        </w:rPr>
        <w:t>عدم</w:t>
      </w:r>
      <w:r>
        <w:rPr>
          <w:rtl/>
        </w:rPr>
        <w:t xml:space="preserve"> الاستحلاف فيما لا يصح فيه البذل غير صحيح.</w:t>
      </w:r>
    </w:p>
    <w:p w:rsidR="00035BE3" w:rsidRDefault="00035BE3" w:rsidP="003D5367">
      <w:pPr>
        <w:pStyle w:val="a6"/>
        <w:spacing w:line="420" w:lineRule="exact"/>
        <w:ind w:left="422" w:firstLine="0"/>
        <w:rPr>
          <w:rtl/>
        </w:rPr>
      </w:pPr>
      <w:r>
        <w:rPr>
          <w:rFonts w:hint="eastAsia"/>
          <w:rtl/>
        </w:rPr>
        <w:t>وهذا</w:t>
      </w:r>
      <w:r>
        <w:rPr>
          <w:rtl/>
        </w:rPr>
        <w:t xml:space="preserve"> غير مسلّم؛ لأن </w:t>
      </w:r>
      <w:r>
        <w:rPr>
          <w:rFonts w:hint="eastAsia"/>
          <w:rtl/>
        </w:rPr>
        <w:t>جميع</w:t>
      </w:r>
      <w:r>
        <w:rPr>
          <w:rtl/>
        </w:rPr>
        <w:t xml:space="preserve"> الحقوق المذكورة وإن كان لا يصح فيها البذل لذاتها، إلا أنها تضمنت حقًّا يصح </w:t>
      </w:r>
      <w:r>
        <w:rPr>
          <w:rFonts w:hint="eastAsia"/>
          <w:rtl/>
        </w:rPr>
        <w:t>فيه</w:t>
      </w:r>
      <w:r>
        <w:rPr>
          <w:rtl/>
        </w:rPr>
        <w:t xml:space="preserve"> البذل؛ لهذا جاز الاستحلاف فيها تبعًا لهذا الحق. وبيان ذلك على النحو الآتي :</w:t>
      </w:r>
    </w:p>
    <w:p w:rsidR="00035BE3" w:rsidRDefault="00035BE3" w:rsidP="003D5367">
      <w:pPr>
        <w:pStyle w:val="a6"/>
        <w:spacing w:line="420" w:lineRule="exact"/>
        <w:ind w:left="422" w:firstLine="0"/>
        <w:rPr>
          <w:rtl/>
        </w:rPr>
      </w:pPr>
      <w:r>
        <w:rPr>
          <w:rtl/>
        </w:rPr>
        <w:t>- أن حدّ ال</w:t>
      </w:r>
      <w:r>
        <w:rPr>
          <w:rFonts w:hint="cs"/>
          <w:rtl/>
        </w:rPr>
        <w:t>زنا</w:t>
      </w:r>
      <w:r>
        <w:rPr>
          <w:rtl/>
        </w:rPr>
        <w:t xml:space="preserve"> </w:t>
      </w:r>
      <w:r>
        <w:rPr>
          <w:rFonts w:hint="eastAsia"/>
          <w:rtl/>
        </w:rPr>
        <w:t>المذكور</w:t>
      </w:r>
      <w:r>
        <w:rPr>
          <w:rtl/>
        </w:rPr>
        <w:t xml:space="preserve"> يتضمّن حقًّا يصح فيه البذل، وهو العتق.</w:t>
      </w:r>
    </w:p>
    <w:p w:rsidR="00035BE3" w:rsidRDefault="00035BE3" w:rsidP="003D5367">
      <w:pPr>
        <w:pStyle w:val="a6"/>
        <w:spacing w:line="420" w:lineRule="exact"/>
        <w:ind w:left="422" w:firstLine="0"/>
        <w:rPr>
          <w:rtl/>
        </w:rPr>
      </w:pPr>
      <w:r>
        <w:rPr>
          <w:rtl/>
        </w:rPr>
        <w:t xml:space="preserve">- وحد السّرقة </w:t>
      </w:r>
      <w:r>
        <w:rPr>
          <w:rFonts w:hint="eastAsia"/>
          <w:rtl/>
        </w:rPr>
        <w:t>يتضمّن</w:t>
      </w:r>
      <w:r>
        <w:rPr>
          <w:rtl/>
        </w:rPr>
        <w:t xml:space="preserve"> حقًّا يصح فيه البذل، وهو المال المسروق.</w:t>
      </w:r>
    </w:p>
    <w:p w:rsidR="00035BE3" w:rsidRDefault="00035BE3" w:rsidP="003D5367">
      <w:pPr>
        <w:pStyle w:val="a6"/>
        <w:spacing w:line="420" w:lineRule="exact"/>
        <w:ind w:left="422" w:firstLine="0"/>
        <w:rPr>
          <w:rtl/>
        </w:rPr>
      </w:pPr>
      <w:r>
        <w:rPr>
          <w:rtl/>
        </w:rPr>
        <w:t xml:space="preserve">- والطلاق يتضمّن </w:t>
      </w:r>
      <w:r>
        <w:rPr>
          <w:rFonts w:hint="eastAsia"/>
          <w:rtl/>
        </w:rPr>
        <w:t>حقًّا</w:t>
      </w:r>
      <w:r>
        <w:rPr>
          <w:rtl/>
        </w:rPr>
        <w:t xml:space="preserve"> يصح فيه البذل، وهو نصف المهر.</w:t>
      </w:r>
    </w:p>
    <w:p w:rsidR="00035BE3" w:rsidRDefault="00035BE3" w:rsidP="003D5367">
      <w:pPr>
        <w:pStyle w:val="a6"/>
        <w:spacing w:line="420" w:lineRule="exact"/>
        <w:ind w:left="422" w:firstLine="0"/>
        <w:rPr>
          <w:rtl/>
        </w:rPr>
      </w:pPr>
      <w:r>
        <w:rPr>
          <w:rtl/>
        </w:rPr>
        <w:t xml:space="preserve">- والنسب يتضمّن </w:t>
      </w:r>
      <w:r>
        <w:rPr>
          <w:rFonts w:hint="eastAsia"/>
          <w:rtl/>
        </w:rPr>
        <w:t>حقًّا</w:t>
      </w:r>
      <w:r>
        <w:rPr>
          <w:rtl/>
        </w:rPr>
        <w:t xml:space="preserve"> يصح فيه البذل، وهو الإرث والنفقة.</w:t>
      </w:r>
    </w:p>
    <w:p w:rsidR="00035BE3" w:rsidRDefault="00035BE3" w:rsidP="003D5367">
      <w:pPr>
        <w:pStyle w:val="a6"/>
        <w:spacing w:line="420" w:lineRule="exact"/>
        <w:ind w:left="422" w:firstLine="0"/>
        <w:rPr>
          <w:rtl/>
        </w:rPr>
      </w:pPr>
      <w:r>
        <w:rPr>
          <w:rtl/>
        </w:rPr>
        <w:t xml:space="preserve">- وادّعاء الحرّة أن </w:t>
      </w:r>
      <w:r>
        <w:rPr>
          <w:rFonts w:hint="eastAsia"/>
          <w:rtl/>
        </w:rPr>
        <w:t>الملتقط</w:t>
      </w:r>
      <w:r>
        <w:rPr>
          <w:rtl/>
        </w:rPr>
        <w:t xml:space="preserve"> أخوها يتضمّن حقًّا يصح فيه الب</w:t>
      </w:r>
      <w:r>
        <w:rPr>
          <w:rFonts w:hint="cs"/>
          <w:rtl/>
        </w:rPr>
        <w:t>ذ</w:t>
      </w:r>
      <w:r>
        <w:rPr>
          <w:rtl/>
        </w:rPr>
        <w:t>ل، وهو الحضانة.</w:t>
      </w:r>
    </w:p>
    <w:p w:rsidR="00035BE3" w:rsidRDefault="00035BE3" w:rsidP="003D5367">
      <w:pPr>
        <w:pStyle w:val="a6"/>
        <w:spacing w:line="420" w:lineRule="exact"/>
        <w:ind w:left="422" w:firstLine="0"/>
        <w:rPr>
          <w:rtl/>
        </w:rPr>
      </w:pPr>
      <w:r>
        <w:rPr>
          <w:rtl/>
        </w:rPr>
        <w:t xml:space="preserve">- وادعاء العبد أنه </w:t>
      </w:r>
      <w:r>
        <w:rPr>
          <w:rFonts w:hint="eastAsia"/>
          <w:rtl/>
        </w:rPr>
        <w:t>معتق؛</w:t>
      </w:r>
      <w:r>
        <w:rPr>
          <w:rtl/>
        </w:rPr>
        <w:t xml:space="preserve"> لأنه أخو المولى يتضمّن حقًّا يصح فيه البذل، وهو العتق.</w:t>
      </w:r>
    </w:p>
    <w:p w:rsidR="00035BE3" w:rsidRDefault="00035BE3" w:rsidP="003D5367">
      <w:pPr>
        <w:pStyle w:val="a6"/>
        <w:spacing w:line="420" w:lineRule="exact"/>
        <w:ind w:left="422" w:firstLine="0"/>
        <w:rPr>
          <w:rtl/>
        </w:rPr>
      </w:pPr>
      <w:r>
        <w:rPr>
          <w:rtl/>
        </w:rPr>
        <w:t xml:space="preserve">- وادعاء الموهوب له </w:t>
      </w:r>
      <w:r>
        <w:rPr>
          <w:rFonts w:hint="eastAsia"/>
          <w:rtl/>
        </w:rPr>
        <w:t>أنه</w:t>
      </w:r>
      <w:r>
        <w:rPr>
          <w:rtl/>
        </w:rPr>
        <w:t xml:space="preserve"> أخ</w:t>
      </w:r>
      <w:r>
        <w:rPr>
          <w:rFonts w:hint="cs"/>
          <w:rtl/>
        </w:rPr>
        <w:t>و</w:t>
      </w:r>
      <w:r>
        <w:rPr>
          <w:rtl/>
        </w:rPr>
        <w:t xml:space="preserve"> الواهب يتضمّن حقًّا يصح فيه البذل، وهو عدم الرجوع في الهبة.</w:t>
      </w:r>
    </w:p>
    <w:p w:rsidR="00035BE3" w:rsidRDefault="00035BE3" w:rsidP="003D5367">
      <w:pPr>
        <w:pStyle w:val="a6"/>
        <w:spacing w:line="420" w:lineRule="exact"/>
        <w:ind w:left="422" w:firstLine="0"/>
        <w:rPr>
          <w:rtl/>
        </w:rPr>
      </w:pPr>
      <w:r>
        <w:rPr>
          <w:rFonts w:hint="eastAsia"/>
          <w:rtl/>
        </w:rPr>
        <w:t>بيد</w:t>
      </w:r>
      <w:r>
        <w:rPr>
          <w:rtl/>
        </w:rPr>
        <w:t xml:space="preserve"> أنَّ هناك أمورًا </w:t>
      </w:r>
      <w:r>
        <w:rPr>
          <w:rFonts w:hint="eastAsia"/>
          <w:rtl/>
        </w:rPr>
        <w:t>أخرى</w:t>
      </w:r>
      <w:r>
        <w:rPr>
          <w:rtl/>
        </w:rPr>
        <w:t xml:space="preserve"> جرى فيها الاستحلاف مع أنه لا يصح فيها البذل، وقد ذكر صاحبُ (تبيين الحقائق) </w:t>
      </w:r>
      <w:r>
        <w:rPr>
          <w:rFonts w:hint="eastAsia"/>
          <w:rtl/>
        </w:rPr>
        <w:t>–</w:t>
      </w:r>
      <w:r>
        <w:rPr>
          <w:rtl/>
        </w:rPr>
        <w:t xml:space="preserve"> 4/297- جملة منها وأجاب عنها.</w:t>
      </w:r>
    </w:p>
    <w:p w:rsidR="00035BE3" w:rsidRDefault="00035BE3" w:rsidP="003D5367">
      <w:pPr>
        <w:pStyle w:val="a6"/>
        <w:spacing w:line="420" w:lineRule="exact"/>
        <w:ind w:left="422" w:firstLine="0"/>
        <w:rPr>
          <w:rtl/>
        </w:rPr>
      </w:pPr>
      <w:r>
        <w:rPr>
          <w:rFonts w:hint="eastAsia"/>
          <w:rtl/>
        </w:rPr>
        <w:t>يضاف</w:t>
      </w:r>
      <w:r>
        <w:rPr>
          <w:rtl/>
        </w:rPr>
        <w:t xml:space="preserve"> إلى ذلك أن </w:t>
      </w:r>
      <w:r>
        <w:rPr>
          <w:rFonts w:hint="eastAsia"/>
          <w:rtl/>
        </w:rPr>
        <w:t>صاحب</w:t>
      </w:r>
      <w:r>
        <w:rPr>
          <w:rtl/>
        </w:rPr>
        <w:t xml:space="preserve"> (البحر الرائق) –7/209- ذكر نيِّفًا وثلاثين خصلة لا استحلاف فيها، بعضها </w:t>
      </w:r>
      <w:r>
        <w:rPr>
          <w:rFonts w:hint="eastAsia"/>
          <w:rtl/>
        </w:rPr>
        <w:t>متفق</w:t>
      </w:r>
      <w:r>
        <w:rPr>
          <w:rtl/>
        </w:rPr>
        <w:t xml:space="preserve"> عليها بين الإمام أبي حنيفة وصاحبيه، وبعضها حصل فيها خلاف. فراجعهما إن شئت.</w:t>
      </w:r>
    </w:p>
  </w:footnote>
  <w:footnote w:id="4925">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نهاية</w:t>
      </w:r>
      <w:r>
        <w:rPr>
          <w:rtl/>
        </w:rPr>
        <w:t xml:space="preserve"> 102/ب من (أ).</w:t>
      </w:r>
    </w:p>
  </w:footnote>
  <w:footnote w:id="4926">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«يلزمه». وقد جاء في الدرر : «تلزمه».</w:t>
      </w:r>
    </w:p>
  </w:footnote>
  <w:footnote w:id="4927">
    <w:p w:rsidR="00035BE3" w:rsidRDefault="00035BE3" w:rsidP="003D5367">
      <w:pPr>
        <w:pStyle w:val="a8"/>
        <w:bidi/>
        <w:spacing w:line="420" w:lineRule="exact"/>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«بالسكون».</w:t>
      </w:r>
    </w:p>
  </w:footnote>
  <w:footnote w:id="4928">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الدرر</w:t>
      </w:r>
      <w:r>
        <w:rPr>
          <w:rtl/>
        </w:rPr>
        <w:t xml:space="preserve"> شرح الغرر، 2/335 –مع اختلاف في </w:t>
      </w:r>
      <w:r>
        <w:rPr>
          <w:rFonts w:hint="eastAsia"/>
          <w:rtl/>
        </w:rPr>
        <w:t>الترتيب</w:t>
      </w:r>
      <w:r>
        <w:rPr>
          <w:rtl/>
        </w:rPr>
        <w:t xml:space="preserve"> وبعض الألفاظ، وما جاء في الدرر أكثر وضوحًا، حيث قال : «ادعى على غيره قصاصًا </w:t>
      </w:r>
      <w:r>
        <w:rPr>
          <w:rFonts w:hint="eastAsia"/>
          <w:rtl/>
        </w:rPr>
        <w:t>في</w:t>
      </w:r>
      <w:r>
        <w:rPr>
          <w:rtl/>
        </w:rPr>
        <w:t xml:space="preserve"> النفس، أو فيما دونها، فأنكر : استُحلف إجماعًا :</w:t>
      </w:r>
    </w:p>
    <w:p w:rsidR="00035BE3" w:rsidRDefault="00035BE3" w:rsidP="003D5367">
      <w:pPr>
        <w:pStyle w:val="a6"/>
        <w:ind w:left="-32" w:firstLine="454"/>
        <w:rPr>
          <w:rtl/>
        </w:rPr>
      </w:pPr>
      <w:r>
        <w:rPr>
          <w:rtl/>
        </w:rPr>
        <w:t>•</w:t>
      </w:r>
      <w:r>
        <w:rPr>
          <w:rFonts w:hint="cs"/>
          <w:rtl/>
        </w:rPr>
        <w:t xml:space="preserve"> </w:t>
      </w:r>
      <w:r>
        <w:rPr>
          <w:rFonts w:hint="eastAsia"/>
          <w:rtl/>
        </w:rPr>
        <w:t>فإن</w:t>
      </w:r>
      <w:r>
        <w:rPr>
          <w:rtl/>
        </w:rPr>
        <w:t xml:space="preserve"> نكل في النفس : لم يقض بقتلٍ </w:t>
      </w:r>
      <w:r>
        <w:rPr>
          <w:rFonts w:hint="eastAsia"/>
          <w:rtl/>
        </w:rPr>
        <w:t>ولا</w:t>
      </w:r>
      <w:r>
        <w:rPr>
          <w:rFonts w:hint="cs"/>
          <w:rtl/>
        </w:rPr>
        <w:t xml:space="preserve"> </w:t>
      </w:r>
      <w:r>
        <w:rPr>
          <w:rFonts w:hint="eastAsia"/>
          <w:rtl/>
        </w:rPr>
        <w:t>دية؛</w:t>
      </w:r>
      <w:r>
        <w:rPr>
          <w:rtl/>
        </w:rPr>
        <w:t xml:space="preserve"> بل حُبس حتى يقرّ أو يحلف.</w:t>
      </w:r>
    </w:p>
    <w:p w:rsidR="00035BE3" w:rsidRDefault="00035BE3" w:rsidP="003D5367">
      <w:pPr>
        <w:pStyle w:val="a6"/>
        <w:ind w:left="422" w:firstLine="0"/>
        <w:rPr>
          <w:rtl/>
        </w:rPr>
      </w:pPr>
      <w:r>
        <w:rPr>
          <w:rFonts w:hint="eastAsia"/>
          <w:rtl/>
        </w:rPr>
        <w:t>وفيما</w:t>
      </w:r>
      <w:r>
        <w:rPr>
          <w:rtl/>
        </w:rPr>
        <w:t xml:space="preserve"> </w:t>
      </w:r>
      <w:r>
        <w:rPr>
          <w:rFonts w:hint="eastAsia"/>
          <w:rtl/>
        </w:rPr>
        <w:t>دونها</w:t>
      </w:r>
      <w:r>
        <w:rPr>
          <w:rtl/>
        </w:rPr>
        <w:t xml:space="preserve"> : يقتص عند أبي حنيفة.</w:t>
      </w:r>
    </w:p>
    <w:p w:rsidR="00035BE3" w:rsidRDefault="00035BE3" w:rsidP="003D5367">
      <w:pPr>
        <w:pStyle w:val="a6"/>
        <w:ind w:left="422" w:firstLine="0"/>
      </w:pPr>
      <w:r>
        <w:rPr>
          <w:rtl/>
        </w:rPr>
        <w:t>•</w:t>
      </w:r>
      <w:r>
        <w:rPr>
          <w:rFonts w:hint="cs"/>
          <w:rtl/>
        </w:rPr>
        <w:t xml:space="preserve"> </w:t>
      </w:r>
      <w:r>
        <w:rPr>
          <w:rFonts w:hint="eastAsia"/>
          <w:rtl/>
        </w:rPr>
        <w:t>وعندهما</w:t>
      </w:r>
      <w:r>
        <w:rPr>
          <w:rtl/>
        </w:rPr>
        <w:t xml:space="preserve"> : تلزمه الدية فيهما، ولا يقضى </w:t>
      </w:r>
      <w:r>
        <w:rPr>
          <w:rFonts w:hint="eastAsia"/>
          <w:rtl/>
        </w:rPr>
        <w:t>بالقصاص؛</w:t>
      </w:r>
      <w:r>
        <w:rPr>
          <w:rtl/>
        </w:rPr>
        <w:t xml:space="preserve"> لأن القصاص فيما دون النفس عقوبة تندري بالشبهات، ولا يثبت بالنكول، </w:t>
      </w:r>
      <w:r>
        <w:rPr>
          <w:rFonts w:hint="eastAsia"/>
          <w:rtl/>
        </w:rPr>
        <w:t>كالقصاص</w:t>
      </w:r>
      <w:r>
        <w:rPr>
          <w:rtl/>
        </w:rPr>
        <w:t xml:space="preserve"> في النفس؛ لأن النكول وإن كان إقرارًا عندهما ففيه شبهة العمد؛ لأنه إن </w:t>
      </w:r>
      <w:r>
        <w:rPr>
          <w:rFonts w:hint="eastAsia"/>
          <w:rtl/>
        </w:rPr>
        <w:t>امتنع</w:t>
      </w:r>
      <w:r>
        <w:rPr>
          <w:rtl/>
        </w:rPr>
        <w:t xml:space="preserve"> عن اليمين تورّعًا عن اليمين الصادقة لا يكون إقرارًا؛ بل بذلاً، وإذا امتنع </w:t>
      </w:r>
      <w:r>
        <w:rPr>
          <w:rFonts w:hint="eastAsia"/>
          <w:rtl/>
        </w:rPr>
        <w:t>القود</w:t>
      </w:r>
      <w:r>
        <w:rPr>
          <w:rtl/>
        </w:rPr>
        <w:t xml:space="preserve"> تجب الدية».</w:t>
      </w:r>
    </w:p>
    <w:p w:rsidR="00035BE3" w:rsidRDefault="00035BE3" w:rsidP="003D5367">
      <w:pPr>
        <w:pStyle w:val="a6"/>
        <w:ind w:left="422" w:firstLine="0"/>
        <w:rPr>
          <w:rtl/>
        </w:rPr>
      </w:pPr>
      <w:r>
        <w:rPr>
          <w:rFonts w:hint="cs"/>
          <w:rtl/>
        </w:rPr>
        <w:t xml:space="preserve">وانظر  : النهاية، ل310/ب </w:t>
      </w:r>
      <w:r>
        <w:rPr>
          <w:rtl/>
        </w:rPr>
        <w:t>–</w:t>
      </w:r>
      <w:r>
        <w:rPr>
          <w:rFonts w:hint="cs"/>
          <w:rtl/>
        </w:rPr>
        <w:t xml:space="preserve"> 311/أ.</w:t>
      </w:r>
    </w:p>
  </w:footnote>
  <w:footnote w:id="4929">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 والجواب بناء على رأي الإمام أبي حنيفة.</w:t>
      </w:r>
    </w:p>
  </w:footnote>
  <w:footnote w:id="4930">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أي</w:t>
      </w:r>
      <w:r>
        <w:rPr>
          <w:rtl/>
        </w:rPr>
        <w:t xml:space="preserve"> مسائل القصاص السابقة.</w:t>
      </w:r>
    </w:p>
  </w:footnote>
  <w:footnote w:id="4931">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(جـ) : زيادة «لا».</w:t>
      </w:r>
    </w:p>
  </w:footnote>
  <w:footnote w:id="4932">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(أ) : «البدل». والصحيح ما تمَّ إثباته من </w:t>
      </w:r>
      <w:r>
        <w:rPr>
          <w:rFonts w:hint="eastAsia"/>
          <w:rtl/>
        </w:rPr>
        <w:t>باقي</w:t>
      </w:r>
      <w:r>
        <w:rPr>
          <w:rtl/>
        </w:rPr>
        <w:t xml:space="preserve"> النسخ</w:t>
      </w:r>
      <w:r>
        <w:rPr>
          <w:rFonts w:hint="cs"/>
          <w:rtl/>
        </w:rPr>
        <w:t>،</w:t>
      </w:r>
      <w:r>
        <w:rPr>
          <w:rtl/>
        </w:rPr>
        <w:t xml:space="preserve"> و</w:t>
      </w:r>
      <w:r>
        <w:rPr>
          <w:rFonts w:hint="cs"/>
          <w:rtl/>
        </w:rPr>
        <w:t>هو الموافق</w:t>
      </w:r>
      <w:r>
        <w:rPr>
          <w:rtl/>
        </w:rPr>
        <w:t xml:space="preserve"> للدّرر.</w:t>
      </w:r>
    </w:p>
  </w:footnote>
  <w:footnote w:id="4933">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في</w:t>
      </w:r>
      <w:r>
        <w:rPr>
          <w:rtl/>
        </w:rPr>
        <w:t xml:space="preserve"> (د) : «الأحوال».</w:t>
      </w:r>
    </w:p>
  </w:footnote>
  <w:footnote w:id="4934">
    <w:p w:rsidR="00035BE3" w:rsidRDefault="00035BE3" w:rsidP="003D5367">
      <w:pPr>
        <w:pStyle w:val="a8"/>
        <w:bidi/>
        <w:ind w:left="422" w:right="0"/>
        <w:rPr>
          <w:rtl/>
        </w:rPr>
      </w:pPr>
      <w:r>
        <w:rPr>
          <w:vertAlign w:val="superscript"/>
          <w:rtl/>
        </w:rPr>
        <w:t>(</w:t>
      </w:r>
      <w:r>
        <w:rPr>
          <w:rStyle w:val="a7"/>
        </w:rPr>
        <w:footnoteRef/>
      </w:r>
      <w:r>
        <w:rPr>
          <w:vertAlign w:val="superscript"/>
          <w:rtl/>
        </w:rPr>
        <w:t>)</w:t>
      </w:r>
      <w:r>
        <w:rPr>
          <w:rtl/>
        </w:rPr>
        <w:t xml:space="preserve">   </w:t>
      </w:r>
      <w:r>
        <w:rPr>
          <w:rFonts w:hint="eastAsia"/>
          <w:rtl/>
        </w:rPr>
        <w:t>انظر</w:t>
      </w:r>
      <w:r>
        <w:rPr>
          <w:rtl/>
        </w:rPr>
        <w:t xml:space="preserve"> : الدرر شرح الغرر، 2/335.</w:t>
      </w:r>
    </w:p>
  </w:footnote>
  <w:footnote w:id="493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75/ب من (جـ).</w:t>
      </w:r>
    </w:p>
  </w:footnote>
  <w:footnote w:id="493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هذه القاعدة</w:t>
      </w:r>
      <w:r>
        <w:rPr>
          <w:rFonts w:hint="cs"/>
          <w:rtl/>
        </w:rPr>
        <w:t xml:space="preserve"> :</w:t>
      </w:r>
    </w:p>
    <w:p w:rsidR="00035BE3" w:rsidRDefault="00035BE3" w:rsidP="003D5367">
      <w:pPr>
        <w:pStyle w:val="a6"/>
        <w:ind w:left="422" w:firstLine="0"/>
        <w:rPr>
          <w:spacing w:val="6"/>
          <w:rtl/>
        </w:rPr>
      </w:pPr>
      <w:r>
        <w:rPr>
          <w:rFonts w:hint="cs"/>
          <w:spacing w:val="6"/>
          <w:rtl/>
        </w:rPr>
        <w:t>أنَّ من ادعى على غيره دعوى، وأقام البينة عليها: فإنه ينـزّل المدعي منزلة المدعى عليه وينظر: فإن كان يُقبل إقراره بالمدعى به، فكذلك تُقبل بينته عليه إذا كان مدّعيًا. أما إذا كان لا يُعمل بإقراره فلا تُقبل بينته.</w:t>
      </w:r>
    </w:p>
    <w:p w:rsidR="00035BE3" w:rsidRDefault="00035BE3" w:rsidP="003D5367">
      <w:pPr>
        <w:pStyle w:val="a6"/>
        <w:ind w:left="422" w:firstLine="0"/>
        <w:rPr>
          <w:b/>
          <w:bCs/>
          <w:rtl/>
        </w:rPr>
      </w:pPr>
      <w:r>
        <w:rPr>
          <w:rFonts w:hint="cs"/>
          <w:b/>
          <w:bCs/>
          <w:rtl/>
        </w:rPr>
        <w:t>أما توثيقها :</w:t>
      </w:r>
    </w:p>
    <w:p w:rsidR="00035BE3" w:rsidRDefault="00035BE3" w:rsidP="003D5367">
      <w:pPr>
        <w:pStyle w:val="a6"/>
        <w:ind w:left="422" w:firstLine="0"/>
        <w:rPr>
          <w:spacing w:val="6"/>
          <w:rtl/>
        </w:rPr>
      </w:pPr>
      <w:r>
        <w:rPr>
          <w:rFonts w:hint="cs"/>
          <w:spacing w:val="6"/>
          <w:rtl/>
        </w:rPr>
        <w:t xml:space="preserve">فقد وردت هذه القاعدة بنحو لفظها في: الأشبـاه لابن نـجيم، ص255؛ قواعد الفقه له، ص194، قاعدة 260؛ غمز عيون البصائر، 2/355. ولفظ ابن نجيم في أشباهه: </w:t>
      </w:r>
      <w:r>
        <w:rPr>
          <w:rFonts w:hint="eastAsia"/>
          <w:spacing w:val="6"/>
          <w:rtl/>
        </w:rPr>
        <w:t>«</w:t>
      </w:r>
      <w:r>
        <w:rPr>
          <w:rFonts w:hint="cs"/>
          <w:spacing w:val="6"/>
          <w:rtl/>
        </w:rPr>
        <w:t xml:space="preserve">من عمل إقراره قبلت بينة، </w:t>
      </w:r>
      <w:r>
        <w:rPr>
          <w:rFonts w:hint="cs"/>
          <w:b/>
          <w:bCs/>
          <w:spacing w:val="6"/>
          <w:rtl/>
        </w:rPr>
        <w:t>ومن لا</w:t>
      </w:r>
      <w:r>
        <w:rPr>
          <w:rFonts w:hint="cs"/>
          <w:spacing w:val="6"/>
          <w:rtl/>
        </w:rPr>
        <w:t xml:space="preserve"> فلا</w:t>
      </w:r>
      <w:r>
        <w:rPr>
          <w:rFonts w:hint="eastAsia"/>
          <w:spacing w:val="6"/>
          <w:rtl/>
        </w:rPr>
        <w:t>»</w:t>
      </w:r>
      <w:r>
        <w:rPr>
          <w:rFonts w:hint="cs"/>
          <w:spacing w:val="6"/>
          <w:rtl/>
        </w:rPr>
        <w:t xml:space="preserve">، ولفظه في قواعده: </w:t>
      </w:r>
      <w:r>
        <w:rPr>
          <w:rFonts w:hint="eastAsia"/>
          <w:spacing w:val="6"/>
          <w:rtl/>
        </w:rPr>
        <w:t>«</w:t>
      </w:r>
      <w:r>
        <w:rPr>
          <w:rFonts w:hint="cs"/>
          <w:spacing w:val="6"/>
          <w:rtl/>
        </w:rPr>
        <w:t xml:space="preserve">من </w:t>
      </w:r>
      <w:r>
        <w:rPr>
          <w:rFonts w:hint="cs"/>
          <w:b/>
          <w:bCs/>
          <w:spacing w:val="6"/>
          <w:rtl/>
        </w:rPr>
        <w:t>يعمل</w:t>
      </w:r>
      <w:r>
        <w:rPr>
          <w:rFonts w:hint="cs"/>
          <w:spacing w:val="6"/>
          <w:rtl/>
        </w:rPr>
        <w:t xml:space="preserve"> إقراره </w:t>
      </w:r>
      <w:r>
        <w:rPr>
          <w:rFonts w:hint="cs"/>
          <w:b/>
          <w:bCs/>
          <w:spacing w:val="6"/>
          <w:rtl/>
        </w:rPr>
        <w:t>تقبل</w:t>
      </w:r>
      <w:r>
        <w:rPr>
          <w:rFonts w:hint="cs"/>
          <w:spacing w:val="6"/>
          <w:rtl/>
        </w:rPr>
        <w:t xml:space="preserve"> بينته، </w:t>
      </w:r>
      <w:r>
        <w:rPr>
          <w:rFonts w:hint="cs"/>
          <w:b/>
          <w:bCs/>
          <w:spacing w:val="6"/>
          <w:rtl/>
        </w:rPr>
        <w:t>ومن لا</w:t>
      </w:r>
      <w:r>
        <w:rPr>
          <w:rFonts w:hint="cs"/>
          <w:spacing w:val="6"/>
          <w:rtl/>
        </w:rPr>
        <w:t xml:space="preserve"> فلا</w:t>
      </w:r>
      <w:r>
        <w:rPr>
          <w:rFonts w:hint="eastAsia"/>
          <w:spacing w:val="6"/>
          <w:rtl/>
        </w:rPr>
        <w:t>»</w:t>
      </w:r>
      <w:r>
        <w:rPr>
          <w:rFonts w:hint="cs"/>
          <w:spacing w:val="6"/>
          <w:rtl/>
        </w:rPr>
        <w:t>.</w:t>
      </w:r>
    </w:p>
  </w:footnote>
  <w:footnote w:id="493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65/أ من (ب).</w:t>
      </w:r>
    </w:p>
  </w:footnote>
  <w:footnote w:id="493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62/أ من (د).</w:t>
      </w:r>
    </w:p>
  </w:footnote>
  <w:footnote w:id="493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ص255؛ قواعد الفقه له أيضًا، ص194؛ وانظر : الجامع الكبير، ص120؛ الفتاوى البزازية، 2/356.</w:t>
      </w:r>
    </w:p>
    <w:p w:rsidR="00035BE3" w:rsidRDefault="00035BE3" w:rsidP="003D5367">
      <w:pPr>
        <w:pStyle w:val="a6"/>
        <w:ind w:left="422" w:firstLine="0"/>
        <w:rPr>
          <w:rtl/>
        </w:rPr>
      </w:pPr>
      <w:r>
        <w:rPr>
          <w:rFonts w:hint="cs"/>
          <w:rtl/>
        </w:rPr>
        <w:t xml:space="preserve">وقد جاء في الأشباه زيادة لفظ : </w:t>
      </w:r>
      <w:r>
        <w:rPr>
          <w:rFonts w:hint="eastAsia"/>
          <w:rtl/>
        </w:rPr>
        <w:t>«</w:t>
      </w:r>
      <w:r>
        <w:rPr>
          <w:rFonts w:hint="cs"/>
          <w:rtl/>
        </w:rPr>
        <w:t>أو ابنه</w:t>
      </w:r>
      <w:r>
        <w:rPr>
          <w:rFonts w:hint="eastAsia"/>
          <w:rtl/>
        </w:rPr>
        <w:t>»</w:t>
      </w:r>
      <w:r>
        <w:rPr>
          <w:rFonts w:hint="cs"/>
          <w:rtl/>
        </w:rPr>
        <w:t>، وهذه الزيادة في طبعتين أخريتين للأشباه، وهما طبعة دار الفكر، ص268، ومع غمز عيون البصائر، 2/355.</w:t>
      </w:r>
    </w:p>
    <w:p w:rsidR="00035BE3" w:rsidRDefault="00035BE3" w:rsidP="003D5367">
      <w:pPr>
        <w:pStyle w:val="a6"/>
        <w:ind w:left="422" w:firstLine="0"/>
        <w:rPr>
          <w:rtl/>
        </w:rPr>
      </w:pPr>
      <w:r>
        <w:rPr>
          <w:rFonts w:hint="cs"/>
          <w:rtl/>
        </w:rPr>
        <w:t>والصحيح ما صنعه المؤلف (وهو عدم إثبات هذه الزيادة)؛ لأنها ذكرت هنا في معرض التمثيل للشقِّ الثاني من القاعدة، وسوف يأتي التمثيل للشق الأول منها، وقد اتفق ابن نجيم والمؤلف على التمثيل له بالبنوة، فيكون في التمثيل بها في الشقين المتعاكسين تناقض.</w:t>
      </w:r>
    </w:p>
    <w:p w:rsidR="00035BE3" w:rsidRPr="00F14037" w:rsidRDefault="00035BE3" w:rsidP="003D5367">
      <w:pPr>
        <w:pStyle w:val="a6"/>
        <w:ind w:left="422" w:firstLine="0"/>
        <w:rPr>
          <w:spacing w:val="-2"/>
          <w:rtl/>
        </w:rPr>
      </w:pPr>
      <w:r w:rsidRPr="00F14037">
        <w:rPr>
          <w:rFonts w:hint="cs"/>
          <w:spacing w:val="-2"/>
          <w:rtl/>
        </w:rPr>
        <w:t xml:space="preserve">والمناسب هو التمثيل بها للشق الأول من القاعدة؛ لأن دعوى البنوّة إقرار من المدّعي على نفسه بأنه أبٌ له، وهذا إقرار صحيح يعمل به، فتقبل في هذه الدعوى البيّنة؛ لأن </w:t>
      </w:r>
      <w:r w:rsidRPr="00F14037">
        <w:rPr>
          <w:rFonts w:hint="eastAsia"/>
          <w:spacing w:val="-2"/>
          <w:rtl/>
        </w:rPr>
        <w:t>«</w:t>
      </w:r>
      <w:r w:rsidRPr="00F14037">
        <w:rPr>
          <w:rFonts w:hint="cs"/>
          <w:spacing w:val="-2"/>
          <w:rtl/>
        </w:rPr>
        <w:t>من عمل إقراره قبلت بينته</w:t>
      </w:r>
      <w:r w:rsidRPr="00F14037">
        <w:rPr>
          <w:rFonts w:hint="eastAsia"/>
          <w:spacing w:val="-2"/>
          <w:rtl/>
        </w:rPr>
        <w:t>»</w:t>
      </w:r>
      <w:r w:rsidRPr="00F14037">
        <w:rPr>
          <w:rFonts w:hint="cs"/>
          <w:spacing w:val="-2"/>
          <w:rtl/>
        </w:rPr>
        <w:t>.</w:t>
      </w:r>
    </w:p>
  </w:footnote>
  <w:footnote w:id="4940">
    <w:p w:rsidR="00035BE3" w:rsidRDefault="00035BE3" w:rsidP="003D5367">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في (أ) و(ب) و(جـ): </w:t>
      </w:r>
      <w:r>
        <w:rPr>
          <w:rFonts w:hint="eastAsia"/>
          <w:spacing w:val="-10"/>
          <w:rtl/>
        </w:rPr>
        <w:t>«</w:t>
      </w:r>
      <w:r>
        <w:rPr>
          <w:rFonts w:hint="cs"/>
          <w:spacing w:val="-10"/>
          <w:rtl/>
        </w:rPr>
        <w:t>يسمع</w:t>
      </w:r>
      <w:r>
        <w:rPr>
          <w:rFonts w:hint="eastAsia"/>
          <w:spacing w:val="-10"/>
          <w:rtl/>
        </w:rPr>
        <w:t>»</w:t>
      </w:r>
      <w:r>
        <w:rPr>
          <w:rFonts w:hint="cs"/>
          <w:spacing w:val="-10"/>
          <w:rtl/>
        </w:rPr>
        <w:t xml:space="preserve"> (بالياء)، وفي (د): رُسم الحرف الأول بالياء والتاء معًا. والأفصح منهما هو المثبت.</w:t>
      </w:r>
    </w:p>
  </w:footnote>
  <w:footnote w:id="494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ص255؛ قواعد الفقه له أيضًا، ص194-195؛ وانظر : الجامع الكبير، ص120؛ الفتاوى البزازية، 2/356.</w:t>
      </w:r>
    </w:p>
  </w:footnote>
  <w:footnote w:id="494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فيسمع</w:t>
      </w:r>
      <w:r>
        <w:rPr>
          <w:rFonts w:hint="eastAsia"/>
          <w:rtl/>
        </w:rPr>
        <w:t>»</w:t>
      </w:r>
      <w:r>
        <w:rPr>
          <w:rFonts w:hint="cs"/>
          <w:rtl/>
        </w:rPr>
        <w:t>. والأفصح ما تمَّ إثباته من (ب).</w:t>
      </w:r>
    </w:p>
  </w:footnote>
  <w:footnote w:id="494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يسمع</w:t>
      </w:r>
      <w:r>
        <w:rPr>
          <w:rFonts w:hint="eastAsia"/>
          <w:rtl/>
        </w:rPr>
        <w:t>»</w:t>
      </w:r>
      <w:r>
        <w:rPr>
          <w:rFonts w:hint="cs"/>
          <w:rtl/>
        </w:rPr>
        <w:t>. والأفصح ما تمَّ إثباته من (د).</w:t>
      </w:r>
    </w:p>
  </w:footnote>
  <w:footnote w:id="494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103/أ من (أ).</w:t>
      </w:r>
    </w:p>
  </w:footnote>
  <w:footnote w:id="494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لأن</w:t>
      </w:r>
      <w:r>
        <w:rPr>
          <w:rFonts w:hint="eastAsia"/>
          <w:rtl/>
        </w:rPr>
        <w:t>»</w:t>
      </w:r>
      <w:r>
        <w:rPr>
          <w:rFonts w:hint="cs"/>
          <w:rtl/>
        </w:rPr>
        <w:t>.</w:t>
      </w:r>
    </w:p>
  </w:footnote>
  <w:footnote w:id="494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ص1088 (ل102/ب).</w:t>
      </w:r>
    </w:p>
  </w:footnote>
  <w:footnote w:id="4947">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ملك</w:t>
      </w:r>
      <w:r>
        <w:rPr>
          <w:rFonts w:hint="eastAsia"/>
          <w:rtl/>
        </w:rPr>
        <w:t>»</w:t>
      </w:r>
      <w:r>
        <w:rPr>
          <w:rFonts w:hint="cs"/>
          <w:rtl/>
        </w:rPr>
        <w:t>.</w:t>
      </w:r>
    </w:p>
  </w:footnote>
  <w:footnote w:id="4948">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الناجز : حاضر. يُقال : بعته ناجزًا بناجز : أي حاضرًا بحاضر، كقولك: يدًا بيدٍ، أي تعجيلاً بتعجيل</w:t>
      </w:r>
      <w:r>
        <w:rPr>
          <w:rFonts w:hint="eastAsia"/>
          <w:rtl/>
        </w:rPr>
        <w:t>»</w:t>
      </w:r>
      <w:r>
        <w:rPr>
          <w:rFonts w:hint="cs"/>
          <w:rtl/>
        </w:rPr>
        <w:t>. ثم جاء عقب ذلك عبارة باللغة العثمانية كتبت بالخط نفسه.</w:t>
      </w:r>
    </w:p>
  </w:footnote>
  <w:footnote w:id="4949">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وردت القاعدة بنحو هذا اللفظ في عدد من كتب القواعد وبعض الكتب الأخرى :</w:t>
      </w:r>
    </w:p>
    <w:p w:rsidR="00035BE3" w:rsidRDefault="00035BE3" w:rsidP="003D5367">
      <w:pPr>
        <w:pStyle w:val="a6"/>
        <w:spacing w:line="520" w:lineRule="exact"/>
        <w:ind w:left="422" w:firstLine="0"/>
        <w:rPr>
          <w:b/>
          <w:bCs/>
          <w:rtl/>
        </w:rPr>
      </w:pPr>
      <w:r>
        <w:rPr>
          <w:rFonts w:hint="cs"/>
          <w:b/>
          <w:bCs/>
          <w:rtl/>
        </w:rPr>
        <w:t>فمن كتب القواعد :</w:t>
      </w:r>
    </w:p>
    <w:p w:rsidR="00035BE3" w:rsidRDefault="00035BE3" w:rsidP="003D5367">
      <w:pPr>
        <w:pStyle w:val="a6"/>
        <w:spacing w:line="520" w:lineRule="exact"/>
        <w:ind w:left="422" w:firstLine="0"/>
        <w:rPr>
          <w:rtl/>
        </w:rPr>
      </w:pPr>
      <w:r>
        <w:rPr>
          <w:rFonts w:hint="cs"/>
          <w:rtl/>
        </w:rPr>
        <w:t xml:space="preserve">المنثور، 3/211 -ولفظه : </w:t>
      </w:r>
      <w:r>
        <w:rPr>
          <w:rFonts w:hint="eastAsia"/>
          <w:rtl/>
        </w:rPr>
        <w:t>«</w:t>
      </w:r>
      <w:r>
        <w:rPr>
          <w:rFonts w:hint="cs"/>
          <w:rtl/>
        </w:rPr>
        <w:t>من ملك التنجيز ملك التعليق</w:t>
      </w:r>
      <w:r>
        <w:rPr>
          <w:rFonts w:hint="eastAsia"/>
          <w:rtl/>
        </w:rPr>
        <w:t>»</w:t>
      </w:r>
      <w:r>
        <w:rPr>
          <w:rFonts w:hint="cs"/>
          <w:rtl/>
        </w:rPr>
        <w:t xml:space="preserve">-؛ الأشباه للسيوطي، 2/671؛ ولابن نجيم، ص405؛ غمز عيون البصائر، 4/45؛ قواعد الفقه للمجدّدي، ص130، قاعدة 358 </w:t>
      </w:r>
      <w:r>
        <w:rPr>
          <w:rtl/>
        </w:rPr>
        <w:t>–</w:t>
      </w:r>
      <w:r>
        <w:rPr>
          <w:rFonts w:hint="cs"/>
          <w:rtl/>
        </w:rPr>
        <w:t xml:space="preserve"> ولفظ أشباه السيوطي ومن بعده كلفظ الـمنـثور-.</w:t>
      </w:r>
    </w:p>
    <w:p w:rsidR="00035BE3" w:rsidRDefault="00035BE3" w:rsidP="003D5367">
      <w:pPr>
        <w:pStyle w:val="a6"/>
        <w:spacing w:line="520" w:lineRule="exact"/>
        <w:ind w:left="422" w:firstLine="0"/>
        <w:rPr>
          <w:b/>
          <w:bCs/>
          <w:rtl/>
        </w:rPr>
      </w:pPr>
      <w:r>
        <w:rPr>
          <w:rFonts w:hint="cs"/>
          <w:b/>
          <w:bCs/>
          <w:rtl/>
        </w:rPr>
        <w:t>ومن الكتب الأخرى :</w:t>
      </w:r>
    </w:p>
    <w:p w:rsidR="00035BE3" w:rsidRDefault="00035BE3" w:rsidP="003D5367">
      <w:pPr>
        <w:pStyle w:val="a6"/>
        <w:spacing w:line="520" w:lineRule="exact"/>
        <w:ind w:left="422" w:firstLine="0"/>
        <w:rPr>
          <w:rtl/>
        </w:rPr>
      </w:pPr>
      <w:r>
        <w:rPr>
          <w:rFonts w:hint="cs"/>
          <w:rtl/>
        </w:rPr>
        <w:t>إعلام الموقعين، 3/231؛ تحرير تنقيح اللباب وشرحه : تحفة الطلاب، 2/302.</w:t>
      </w:r>
    </w:p>
  </w:footnote>
  <w:footnote w:id="4950">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المصفى للنسفي، ل40/أ، فقد ورد فيه التمثيل بالعتق؛ كما ورد التمثيل بالطلاق في جميع كتب القواعد المذكورة عند توثيق القاعدة.</w:t>
      </w:r>
    </w:p>
  </w:footnote>
  <w:footnote w:id="4951">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كان</w:t>
      </w:r>
      <w:r>
        <w:rPr>
          <w:rFonts w:hint="eastAsia"/>
          <w:rtl/>
        </w:rPr>
        <w:t>»</w:t>
      </w:r>
      <w:r>
        <w:rPr>
          <w:rFonts w:hint="cs"/>
          <w:rtl/>
        </w:rPr>
        <w:t>.</w:t>
      </w:r>
    </w:p>
  </w:footnote>
  <w:footnote w:id="4952">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 ساقطة من (جـ).</w:t>
      </w:r>
    </w:p>
  </w:footnote>
  <w:footnote w:id="4953">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يعتبر</w:t>
      </w:r>
      <w:r>
        <w:rPr>
          <w:rFonts w:hint="eastAsia"/>
          <w:rtl/>
        </w:rPr>
        <w:t>»</w:t>
      </w:r>
      <w:r>
        <w:rPr>
          <w:rFonts w:hint="cs"/>
          <w:rtl/>
        </w:rPr>
        <w:t>. والصحيح ما تمَّ إثباته من (ب).</w:t>
      </w:r>
    </w:p>
  </w:footnote>
  <w:footnote w:id="4954">
    <w:p w:rsidR="00035BE3" w:rsidRDefault="00035BE3" w:rsidP="003D5367">
      <w:pPr>
        <w:pStyle w:val="a8"/>
        <w:bidi/>
        <w:spacing w:line="52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والعتاق</w:t>
      </w:r>
      <w:r>
        <w:rPr>
          <w:rFonts w:hint="eastAsia"/>
          <w:rtl/>
        </w:rPr>
        <w:t>»</w:t>
      </w:r>
      <w:r>
        <w:rPr>
          <w:rFonts w:hint="cs"/>
          <w:rtl/>
        </w:rPr>
        <w:t>.</w:t>
      </w:r>
    </w:p>
  </w:footnote>
  <w:footnote w:id="4955">
    <w:p w:rsidR="00035BE3" w:rsidRDefault="00035BE3" w:rsidP="003D5367">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ما قيل في هامش (7) من الصفحة السابقة يقال هنا.</w:t>
      </w:r>
    </w:p>
  </w:footnote>
  <w:footnote w:id="4956">
    <w:p w:rsidR="00035BE3" w:rsidRDefault="00035BE3" w:rsidP="003D5367">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إذا</w:t>
      </w:r>
      <w:r>
        <w:rPr>
          <w:rFonts w:hint="eastAsia"/>
          <w:rtl/>
        </w:rPr>
        <w:t>»</w:t>
      </w:r>
      <w:r>
        <w:rPr>
          <w:rFonts w:hint="cs"/>
          <w:rtl/>
        </w:rPr>
        <w:t xml:space="preserve"> : ساقطة من (جـ).</w:t>
      </w:r>
    </w:p>
  </w:footnote>
  <w:footnote w:id="4957">
    <w:p w:rsidR="00035BE3" w:rsidRDefault="00035BE3" w:rsidP="003D5367">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ص360 (ل15/أ)، قاعدة 34.</w:t>
      </w:r>
    </w:p>
  </w:footnote>
  <w:footnote w:id="4958">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تمثّل المفهوم المخالف للقاعدة السابقة؛ لهذا فإن جميع كتب القواعد التي أوردت تلك القاعدة ذكرت هذه القاعدة عقبها مباشرة؛ بل إن السيوطي جمع بينهما في لفظ واحد وقال في أشباهه -2/671- : </w:t>
      </w:r>
      <w:r>
        <w:rPr>
          <w:rFonts w:hint="eastAsia"/>
          <w:rtl/>
        </w:rPr>
        <w:t>«</w:t>
      </w:r>
      <w:r>
        <w:rPr>
          <w:rFonts w:hint="cs"/>
          <w:rtl/>
        </w:rPr>
        <w:t xml:space="preserve">من ملك التنجيز ملك التعليق، </w:t>
      </w:r>
      <w:r>
        <w:rPr>
          <w:rFonts w:hint="cs"/>
          <w:b/>
          <w:bCs/>
          <w:rtl/>
        </w:rPr>
        <w:t>ومن لا فلا</w:t>
      </w:r>
      <w:r>
        <w:rPr>
          <w:rFonts w:hint="eastAsia"/>
          <w:rtl/>
        </w:rPr>
        <w:t>»</w:t>
      </w:r>
      <w:r>
        <w:rPr>
          <w:rFonts w:hint="cs"/>
          <w:rtl/>
        </w:rPr>
        <w:t>.</w:t>
      </w:r>
    </w:p>
    <w:p w:rsidR="00035BE3" w:rsidRDefault="00035BE3" w:rsidP="003D5367">
      <w:pPr>
        <w:pStyle w:val="a6"/>
        <w:spacing w:line="460" w:lineRule="exact"/>
        <w:ind w:left="422" w:firstLine="0"/>
        <w:rPr>
          <w:rtl/>
        </w:rPr>
      </w:pPr>
      <w:r>
        <w:rPr>
          <w:rFonts w:hint="cs"/>
          <w:rtl/>
        </w:rPr>
        <w:t xml:space="preserve">انظر : </w:t>
      </w:r>
      <w:r>
        <w:rPr>
          <w:rFonts w:hint="cs"/>
          <w:b/>
          <w:bCs/>
          <w:rtl/>
        </w:rPr>
        <w:t>كتب القواعد</w:t>
      </w:r>
      <w:r>
        <w:rPr>
          <w:rFonts w:hint="cs"/>
          <w:rtl/>
        </w:rPr>
        <w:t xml:space="preserve"> المذكورة عند توثيق تلك القاعدة، ويضاف إليها :</w:t>
      </w:r>
    </w:p>
    <w:p w:rsidR="00035BE3" w:rsidRDefault="00035BE3" w:rsidP="003D5367">
      <w:pPr>
        <w:pStyle w:val="a6"/>
        <w:spacing w:line="460" w:lineRule="exact"/>
        <w:ind w:left="422" w:firstLine="0"/>
        <w:rPr>
          <w:rtl/>
        </w:rPr>
      </w:pPr>
      <w:r>
        <w:rPr>
          <w:rFonts w:hint="cs"/>
          <w:rtl/>
        </w:rPr>
        <w:t xml:space="preserve">قواعد الفقه لابن نجيم، ص120، قاعدة 90 </w:t>
      </w:r>
      <w:r>
        <w:rPr>
          <w:rtl/>
        </w:rPr>
        <w:t>–</w:t>
      </w:r>
      <w:r>
        <w:rPr>
          <w:rFonts w:hint="cs"/>
          <w:rtl/>
        </w:rPr>
        <w:t xml:space="preserve"> ولفظه : </w:t>
      </w:r>
      <w:r>
        <w:rPr>
          <w:rFonts w:hint="eastAsia"/>
          <w:rtl/>
        </w:rPr>
        <w:t>«</w:t>
      </w:r>
      <w:r>
        <w:rPr>
          <w:rFonts w:hint="cs"/>
          <w:rtl/>
        </w:rPr>
        <w:t>من لا يملك تنجيز العتق؛ لعدم أهليته: لا يملك تعليقه</w:t>
      </w:r>
      <w:r>
        <w:rPr>
          <w:rFonts w:hint="eastAsia"/>
          <w:rtl/>
        </w:rPr>
        <w:t>»</w:t>
      </w:r>
      <w:r>
        <w:rPr>
          <w:rFonts w:hint="cs"/>
          <w:rtl/>
        </w:rPr>
        <w:t>-؛ قواعد الفقه للمجدّدي، ص130، هامش (5)؛ تطبيقات القواعد والضوابط للدكتور سعود الغديان، ص1603.</w:t>
      </w:r>
    </w:p>
    <w:p w:rsidR="00035BE3" w:rsidRDefault="00035BE3" w:rsidP="003D5367">
      <w:pPr>
        <w:pStyle w:val="a6"/>
        <w:spacing w:line="460" w:lineRule="exact"/>
        <w:ind w:left="422" w:firstLine="0"/>
        <w:rPr>
          <w:b/>
          <w:bCs/>
          <w:rtl/>
        </w:rPr>
      </w:pPr>
      <w:r>
        <w:rPr>
          <w:rFonts w:hint="cs"/>
          <w:b/>
          <w:bCs/>
          <w:rtl/>
        </w:rPr>
        <w:t xml:space="preserve">ومن الكتب الأخرى : </w:t>
      </w:r>
    </w:p>
    <w:p w:rsidR="00035BE3" w:rsidRDefault="00035BE3" w:rsidP="003D5367">
      <w:pPr>
        <w:pStyle w:val="a6"/>
        <w:spacing w:line="460" w:lineRule="exact"/>
        <w:ind w:left="422" w:firstLine="0"/>
        <w:rPr>
          <w:spacing w:val="-6"/>
          <w:rtl/>
        </w:rPr>
      </w:pPr>
      <w:r>
        <w:rPr>
          <w:rFonts w:hint="cs"/>
          <w:spacing w:val="-6"/>
          <w:rtl/>
        </w:rPr>
        <w:t xml:space="preserve">المصفى للنسفي، ل40/أ- ولفظه : </w:t>
      </w:r>
      <w:r>
        <w:rPr>
          <w:rFonts w:hint="eastAsia"/>
          <w:spacing w:val="-6"/>
          <w:rtl/>
        </w:rPr>
        <w:t>«</w:t>
      </w:r>
      <w:r>
        <w:rPr>
          <w:rFonts w:hint="cs"/>
          <w:spacing w:val="-6"/>
          <w:rtl/>
        </w:rPr>
        <w:t>والأصل فيه : أن كلَّ من لا يؤهّل لتنجيز العتق لا يؤهّل لتعليقه</w:t>
      </w:r>
      <w:r>
        <w:rPr>
          <w:rFonts w:hint="eastAsia"/>
          <w:spacing w:val="-6"/>
          <w:rtl/>
        </w:rPr>
        <w:t>»</w:t>
      </w:r>
      <w:r>
        <w:rPr>
          <w:rFonts w:hint="cs"/>
          <w:spacing w:val="-6"/>
          <w:rtl/>
        </w:rPr>
        <w:t>-.</w:t>
      </w:r>
    </w:p>
  </w:footnote>
  <w:footnote w:id="4959">
    <w:p w:rsidR="00035BE3" w:rsidRDefault="00035BE3" w:rsidP="003D5367">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أجنبيته</w:t>
      </w:r>
      <w:r>
        <w:rPr>
          <w:rFonts w:hint="eastAsia"/>
          <w:rtl/>
        </w:rPr>
        <w:t>»</w:t>
      </w:r>
      <w:r>
        <w:rPr>
          <w:rFonts w:hint="cs"/>
          <w:rtl/>
        </w:rPr>
        <w:t>. والمناسب ما تمّ إثباته من (ب) و(د).</w:t>
      </w:r>
    </w:p>
  </w:footnote>
  <w:footnote w:id="496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أو</w:t>
      </w:r>
      <w:r>
        <w:rPr>
          <w:rFonts w:hint="eastAsia"/>
          <w:rtl/>
        </w:rPr>
        <w:t>»</w:t>
      </w:r>
      <w:r>
        <w:rPr>
          <w:rFonts w:hint="cs"/>
          <w:rtl/>
        </w:rPr>
        <w:t>.</w:t>
      </w:r>
    </w:p>
  </w:footnote>
  <w:footnote w:id="496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كذا</w:t>
      </w:r>
      <w:r>
        <w:rPr>
          <w:rFonts w:hint="eastAsia"/>
          <w:rtl/>
        </w:rPr>
        <w:t>»</w:t>
      </w:r>
      <w:r>
        <w:rPr>
          <w:rFonts w:hint="cs"/>
          <w:rtl/>
        </w:rPr>
        <w:t>.</w:t>
      </w:r>
    </w:p>
  </w:footnote>
  <w:footnote w:id="496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شرح المغني للقاءاني، ق1، جـ2، ص729.</w:t>
      </w:r>
    </w:p>
  </w:footnote>
  <w:footnote w:id="496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شرح المغني للقاءاني، ق2، جـ2، ص727؛ وانظر نحو هذا المثال في : تخريج الفروع على الأصول للزنجاني، ص148؛ المبدع، 7/247؛ مغني المحتاج، 3/292؛ رد المحتار، 5/528.</w:t>
      </w:r>
    </w:p>
  </w:footnote>
  <w:footnote w:id="496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لأجنبيته</w:t>
      </w:r>
      <w:r>
        <w:rPr>
          <w:rFonts w:hint="eastAsia"/>
          <w:rtl/>
        </w:rPr>
        <w:t>»</w:t>
      </w:r>
      <w:r>
        <w:rPr>
          <w:rFonts w:hint="cs"/>
          <w:rtl/>
        </w:rPr>
        <w:t>. والمناسب ما تمَّ إثباته من (ب) و(د).</w:t>
      </w:r>
    </w:p>
  </w:footnote>
  <w:footnote w:id="496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زوجتك</w:t>
      </w:r>
      <w:r>
        <w:rPr>
          <w:rFonts w:hint="eastAsia"/>
          <w:rtl/>
        </w:rPr>
        <w:t>»</w:t>
      </w:r>
      <w:r>
        <w:rPr>
          <w:rFonts w:hint="cs"/>
          <w:rtl/>
        </w:rPr>
        <w:t>. والصحيح ما تمَّ إثباته من (ب).</w:t>
      </w:r>
    </w:p>
  </w:footnote>
  <w:footnote w:id="496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فزوجها</w:t>
      </w:r>
      <w:r>
        <w:rPr>
          <w:rFonts w:hint="eastAsia"/>
          <w:rtl/>
        </w:rPr>
        <w:t>»</w:t>
      </w:r>
      <w:r>
        <w:rPr>
          <w:rFonts w:hint="cs"/>
          <w:rtl/>
        </w:rPr>
        <w:t>. والصحيح ما تمَّ إثباته من (ب)</w:t>
      </w:r>
    </w:p>
  </w:footnote>
  <w:footnote w:id="496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103/ب من (أ).</w:t>
      </w:r>
    </w:p>
  </w:footnote>
  <w:footnote w:id="4968">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cs"/>
          <w:spacing w:val="-8"/>
          <w:sz w:val="29"/>
          <w:szCs w:val="29"/>
          <w:rtl/>
        </w:rPr>
        <w:t>انظر هذا المثال في : بدائع الصنائع، 3/132؛ البحر الرائق، 3/320؛ حاشية الدسوقي على الشرح الكبير، 4/156.</w:t>
      </w:r>
    </w:p>
  </w:footnote>
  <w:footnote w:id="496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للتعليق</w:t>
      </w:r>
      <w:r>
        <w:rPr>
          <w:rFonts w:hint="eastAsia"/>
          <w:rtl/>
        </w:rPr>
        <w:t>»</w:t>
      </w:r>
      <w:r>
        <w:rPr>
          <w:rFonts w:hint="cs"/>
          <w:rtl/>
        </w:rPr>
        <w:t>.</w:t>
      </w:r>
    </w:p>
  </w:footnote>
  <w:footnote w:id="497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الجواب في : المغني، ص167؛ شرحه للقاءاني، ق1، جـ2، ص737.</w:t>
      </w:r>
    </w:p>
  </w:footnote>
  <w:footnote w:id="497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شرح المغني) : </w:t>
      </w:r>
      <w:r>
        <w:rPr>
          <w:rFonts w:hint="eastAsia"/>
          <w:rtl/>
        </w:rPr>
        <w:t>«</w:t>
      </w:r>
      <w:r>
        <w:rPr>
          <w:rFonts w:hint="cs"/>
          <w:rtl/>
        </w:rPr>
        <w:t>أن</w:t>
      </w:r>
      <w:r>
        <w:rPr>
          <w:rFonts w:hint="eastAsia"/>
          <w:rtl/>
        </w:rPr>
        <w:t>»</w:t>
      </w:r>
      <w:r>
        <w:rPr>
          <w:rFonts w:hint="cs"/>
          <w:rtl/>
        </w:rPr>
        <w:t>.</w:t>
      </w:r>
    </w:p>
  </w:footnote>
  <w:footnote w:id="497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w:t>
      </w:r>
      <w:r>
        <w:rPr>
          <w:rFonts w:hint="eastAsia"/>
          <w:rtl/>
        </w:rPr>
        <w:t>«</w:t>
      </w:r>
      <w:r>
        <w:rPr>
          <w:rFonts w:hint="cs"/>
          <w:rtl/>
        </w:rPr>
        <w:t>إيقاع</w:t>
      </w:r>
      <w:r>
        <w:rPr>
          <w:rFonts w:hint="eastAsia"/>
          <w:rtl/>
        </w:rPr>
        <w:t>»</w:t>
      </w:r>
      <w:r>
        <w:rPr>
          <w:rFonts w:hint="cs"/>
          <w:rtl/>
        </w:rPr>
        <w:t>. وهذا الأولى؛ لأنه أتى عقب ذلك بكلمة مرادفة لها، حيث قال:</w:t>
      </w:r>
      <w:r>
        <w:rPr>
          <w:rFonts w:hint="eastAsia"/>
          <w:rtl/>
        </w:rPr>
        <w:t>«</w:t>
      </w:r>
      <w:r>
        <w:rPr>
          <w:rFonts w:hint="cs"/>
          <w:rtl/>
        </w:rPr>
        <w:t xml:space="preserve">... </w:t>
      </w:r>
      <w:r>
        <w:rPr>
          <w:rFonts w:hint="cs"/>
          <w:b/>
          <w:bCs/>
          <w:rtl/>
        </w:rPr>
        <w:t>إنشاء</w:t>
      </w:r>
      <w:r>
        <w:rPr>
          <w:rFonts w:hint="cs"/>
          <w:rtl/>
        </w:rPr>
        <w:t xml:space="preserve"> الطلاق ...</w:t>
      </w:r>
      <w:r>
        <w:rPr>
          <w:rFonts w:hint="eastAsia"/>
          <w:rtl/>
        </w:rPr>
        <w:t>»</w:t>
      </w:r>
      <w:r>
        <w:rPr>
          <w:rFonts w:hint="cs"/>
          <w:rtl/>
        </w:rPr>
        <w:t>.</w:t>
      </w:r>
    </w:p>
  </w:footnote>
  <w:footnote w:id="497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76/أ من (جـ)، مع تكرار : </w:t>
      </w:r>
      <w:r>
        <w:rPr>
          <w:rFonts w:hint="eastAsia"/>
          <w:rtl/>
        </w:rPr>
        <w:t>«</w:t>
      </w:r>
      <w:r>
        <w:rPr>
          <w:rFonts w:hint="cs"/>
          <w:rtl/>
        </w:rPr>
        <w:t>فيكون</w:t>
      </w:r>
      <w:r>
        <w:rPr>
          <w:rFonts w:hint="eastAsia"/>
          <w:rtl/>
        </w:rPr>
        <w:t>»</w:t>
      </w:r>
      <w:r>
        <w:rPr>
          <w:rFonts w:hint="cs"/>
          <w:rtl/>
        </w:rPr>
        <w:t xml:space="preserve"> في بداية اللوحة التي تليها.</w:t>
      </w:r>
    </w:p>
  </w:footnote>
  <w:footnote w:id="497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شرح المغني : </w:t>
      </w:r>
      <w:r>
        <w:rPr>
          <w:rFonts w:hint="eastAsia"/>
          <w:rtl/>
        </w:rPr>
        <w:t>«</w:t>
      </w:r>
      <w:r>
        <w:rPr>
          <w:rFonts w:hint="cs"/>
          <w:rtl/>
        </w:rPr>
        <w:t>قصده</w:t>
      </w:r>
      <w:r>
        <w:rPr>
          <w:rFonts w:hint="eastAsia"/>
          <w:rtl/>
        </w:rPr>
        <w:t>»</w:t>
      </w:r>
      <w:r>
        <w:rPr>
          <w:rFonts w:hint="cs"/>
          <w:rtl/>
        </w:rPr>
        <w:t>. وهذا الذي يشهد له السّياق.</w:t>
      </w:r>
    </w:p>
  </w:footnote>
  <w:footnote w:id="497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65/ب من (ب).</w:t>
      </w:r>
    </w:p>
  </w:footnote>
  <w:footnote w:id="497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ترى</w:t>
      </w:r>
      <w:r>
        <w:rPr>
          <w:rFonts w:hint="eastAsia"/>
          <w:rtl/>
        </w:rPr>
        <w:t>»</w:t>
      </w:r>
      <w:r>
        <w:rPr>
          <w:rFonts w:hint="cs"/>
          <w:rtl/>
        </w:rPr>
        <w:t>.</w:t>
      </w:r>
    </w:p>
  </w:footnote>
  <w:footnote w:id="497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ص737- مع الاختلاف الذي سبق بيانه-. وانظر من كتب اللغة التي تفيد أن الجزاء متعلق بالشرط : أوضح المسالك (مع عدّة السالك)، 4/40؛ النحو الوافي، 4/422؛ المعجم المفصّل في النحو العربي، 1/567.</w:t>
      </w:r>
    </w:p>
  </w:footnote>
  <w:footnote w:id="497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ينعقد</w:t>
      </w:r>
      <w:r>
        <w:rPr>
          <w:rFonts w:hint="eastAsia"/>
          <w:rtl/>
        </w:rPr>
        <w:t>»</w:t>
      </w:r>
      <w:r>
        <w:rPr>
          <w:rFonts w:hint="cs"/>
          <w:rtl/>
        </w:rPr>
        <w:t>. والصحيح ما تم إثباته من (ب) و(د).</w:t>
      </w:r>
    </w:p>
  </w:footnote>
  <w:footnote w:id="497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يعتبر</w:t>
      </w:r>
      <w:r>
        <w:rPr>
          <w:rFonts w:hint="eastAsia"/>
          <w:rtl/>
        </w:rPr>
        <w:t>»</w:t>
      </w:r>
      <w:r>
        <w:rPr>
          <w:rFonts w:hint="cs"/>
          <w:rtl/>
        </w:rPr>
        <w:t>. والصحيح ماتم إثباته من (د).</w:t>
      </w:r>
    </w:p>
  </w:footnote>
  <w:footnote w:id="498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62/ب من (د).</w:t>
      </w:r>
    </w:p>
  </w:footnote>
  <w:footnote w:id="498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زوجتك</w:t>
      </w:r>
      <w:r>
        <w:rPr>
          <w:rFonts w:hint="eastAsia"/>
          <w:rtl/>
        </w:rPr>
        <w:t>»</w:t>
      </w:r>
      <w:r>
        <w:rPr>
          <w:rFonts w:hint="cs"/>
          <w:rtl/>
        </w:rPr>
        <w:t>. والصحيح ما تمَّ إثباته من (ب).</w:t>
      </w:r>
    </w:p>
  </w:footnote>
  <w:footnote w:id="498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طالق</w:t>
      </w:r>
      <w:r>
        <w:rPr>
          <w:rFonts w:hint="eastAsia"/>
          <w:rtl/>
        </w:rPr>
        <w:t>»</w:t>
      </w:r>
      <w:r>
        <w:rPr>
          <w:rFonts w:hint="cs"/>
          <w:rtl/>
        </w:rPr>
        <w:t xml:space="preserve"> : ساقطة من (جـ).</w:t>
      </w:r>
    </w:p>
  </w:footnote>
  <w:footnote w:id="498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ينعقد</w:t>
      </w:r>
      <w:r>
        <w:rPr>
          <w:rFonts w:hint="eastAsia"/>
          <w:rtl/>
        </w:rPr>
        <w:t>»</w:t>
      </w:r>
      <w:r>
        <w:rPr>
          <w:rFonts w:hint="cs"/>
          <w:rtl/>
        </w:rPr>
        <w:t>، وفي (د) بإهمال الحرف الأول. والأفصح أن يكون الحرف الأول هو التاء، كما تم إثباته.</w:t>
      </w:r>
    </w:p>
  </w:footnote>
  <w:footnote w:id="498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رسم الحرف الأخير بالباء والنون معًا.</w:t>
      </w:r>
    </w:p>
  </w:footnote>
  <w:footnote w:id="498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تحتاج</w:t>
      </w:r>
      <w:r>
        <w:rPr>
          <w:rFonts w:hint="eastAsia"/>
          <w:rtl/>
        </w:rPr>
        <w:t>»</w:t>
      </w:r>
      <w:r>
        <w:rPr>
          <w:rFonts w:hint="cs"/>
          <w:rtl/>
        </w:rPr>
        <w:t>.</w:t>
      </w:r>
    </w:p>
  </w:footnote>
  <w:footnote w:id="498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أنظر : شرح المغني للقاءاني، ق1، جـ2، ص729.</w:t>
      </w:r>
    </w:p>
  </w:footnote>
  <w:footnote w:id="498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زيادة : </w:t>
      </w:r>
      <w:r>
        <w:rPr>
          <w:rFonts w:hint="eastAsia"/>
          <w:rtl/>
        </w:rPr>
        <w:t>«</w:t>
      </w:r>
      <w:r>
        <w:rPr>
          <w:rFonts w:hint="cs"/>
          <w:rtl/>
        </w:rPr>
        <w:t>الطلاق</w:t>
      </w:r>
      <w:r>
        <w:rPr>
          <w:rFonts w:hint="eastAsia"/>
          <w:rtl/>
        </w:rPr>
        <w:t>»</w:t>
      </w:r>
      <w:r>
        <w:rPr>
          <w:rFonts w:hint="cs"/>
          <w:rtl/>
        </w:rPr>
        <w:t>.</w:t>
      </w:r>
    </w:p>
  </w:footnote>
  <w:footnote w:id="498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ينعقد</w:t>
      </w:r>
      <w:r>
        <w:rPr>
          <w:rFonts w:hint="eastAsia"/>
          <w:rtl/>
        </w:rPr>
        <w:t>»</w:t>
      </w:r>
      <w:r>
        <w:rPr>
          <w:rFonts w:hint="cs"/>
          <w:rtl/>
        </w:rPr>
        <w:t>. والصحيح ما تَّم إثباته من (د).</w:t>
      </w:r>
    </w:p>
  </w:footnote>
  <w:footnote w:id="4989">
    <w:p w:rsidR="00035BE3" w:rsidRDefault="00035BE3" w:rsidP="003D5367">
      <w:pPr>
        <w:pStyle w:val="a8"/>
        <w:bidi/>
        <w:spacing w:line="50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 : تخريج الفروع على الأصول للزنجاني، ص148، حيث جاء فيه : </w:t>
      </w:r>
      <w:r>
        <w:rPr>
          <w:rFonts w:hint="eastAsia"/>
          <w:spacing w:val="6"/>
          <w:rtl/>
        </w:rPr>
        <w:t>«</w:t>
      </w:r>
      <w:r>
        <w:rPr>
          <w:rFonts w:hint="cs"/>
          <w:spacing w:val="6"/>
          <w:rtl/>
        </w:rPr>
        <w:t xml:space="preserve">مسألة : الشرط إذا دخل على السبب ولم يكن مبطلاً : كان تأثيره في تأخير </w:t>
      </w:r>
      <w:r>
        <w:rPr>
          <w:rFonts w:hint="cs"/>
          <w:b/>
          <w:bCs/>
          <w:spacing w:val="6"/>
          <w:rtl/>
        </w:rPr>
        <w:t>حكم السبب</w:t>
      </w:r>
      <w:r>
        <w:rPr>
          <w:rFonts w:hint="cs"/>
          <w:spacing w:val="6"/>
          <w:rtl/>
        </w:rPr>
        <w:t xml:space="preserve"> إلى حين وجوده، لا في منع </w:t>
      </w:r>
      <w:r>
        <w:rPr>
          <w:rFonts w:hint="cs"/>
          <w:b/>
          <w:bCs/>
          <w:spacing w:val="6"/>
          <w:rtl/>
        </w:rPr>
        <w:t>السبب عند الشافعي</w:t>
      </w:r>
      <w:r>
        <w:rPr>
          <w:rFonts w:hint="cs"/>
          <w:spacing w:val="6"/>
          <w:rtl/>
        </w:rPr>
        <w:t xml:space="preserve"> </w:t>
      </w:r>
      <w:r>
        <w:rPr>
          <w:rFonts w:ascii="AGA Arabesque" w:hAnsi="AGA Arabesque"/>
          <w:spacing w:val="6"/>
          <w:sz w:val="36"/>
          <w:szCs w:val="36"/>
        </w:rPr>
        <w:t></w:t>
      </w:r>
      <w:r>
        <w:rPr>
          <w:rFonts w:hint="cs"/>
          <w:spacing w:val="6"/>
          <w:rtl/>
        </w:rPr>
        <w:t xml:space="preserve"> </w:t>
      </w:r>
      <w:r>
        <w:rPr>
          <w:rFonts w:hint="eastAsia"/>
          <w:spacing w:val="6"/>
          <w:rtl/>
        </w:rPr>
        <w:t>»</w:t>
      </w:r>
      <w:r>
        <w:rPr>
          <w:rFonts w:hint="cs"/>
          <w:spacing w:val="6"/>
          <w:rtl/>
        </w:rPr>
        <w:t>؛ وانظر : المغني للخبازي، ص167؛ شرحه للقاءاني، ق1، جـ2، ص727، 728؛ مسلّم الثبوت وفواتح الرحموت، 1/423.</w:t>
      </w:r>
    </w:p>
  </w:footnote>
  <w:footnote w:id="4990">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ينعقد</w:t>
      </w:r>
      <w:r>
        <w:rPr>
          <w:rFonts w:hint="eastAsia"/>
          <w:rtl/>
        </w:rPr>
        <w:t>»</w:t>
      </w:r>
      <w:r>
        <w:rPr>
          <w:rFonts w:hint="cs"/>
          <w:rtl/>
        </w:rPr>
        <w:t>. والصحيح ما تّم إثباته من (ب) و(د).</w:t>
      </w:r>
    </w:p>
  </w:footnote>
  <w:footnote w:id="4991">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104/أ من (أ).</w:t>
      </w:r>
    </w:p>
  </w:footnote>
  <w:footnote w:id="499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المقابل</w:t>
      </w:r>
      <w:r>
        <w:rPr>
          <w:rFonts w:hint="eastAsia"/>
          <w:rtl/>
        </w:rPr>
        <w:t>»</w:t>
      </w:r>
      <w:r>
        <w:rPr>
          <w:rFonts w:hint="cs"/>
          <w:rtl/>
        </w:rPr>
        <w:t>.</w:t>
      </w:r>
    </w:p>
  </w:footnote>
  <w:footnote w:id="499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أنظر : شرح المغني للقاءاني، ق1، جـ2، ص728، 729.</w:t>
      </w:r>
    </w:p>
  </w:footnote>
  <w:footnote w:id="499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الشافعي والحنفي (...؟...)</w:t>
      </w:r>
      <w:r>
        <w:rPr>
          <w:rFonts w:hint="eastAsia"/>
          <w:rtl/>
        </w:rPr>
        <w:t>»</w:t>
      </w:r>
      <w:r>
        <w:rPr>
          <w:rFonts w:hint="cs"/>
          <w:rtl/>
        </w:rPr>
        <w:t>، وما بين الهلالين كلمة لم تتضح كتابتها.</w:t>
      </w:r>
    </w:p>
  </w:footnote>
  <w:footnote w:id="499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العقولات</w:t>
      </w:r>
      <w:r>
        <w:rPr>
          <w:rFonts w:hint="eastAsia"/>
          <w:rtl/>
        </w:rPr>
        <w:t>»</w:t>
      </w:r>
      <w:r>
        <w:rPr>
          <w:rFonts w:hint="cs"/>
          <w:rtl/>
        </w:rPr>
        <w:t>.</w:t>
      </w:r>
    </w:p>
  </w:footnote>
  <w:footnote w:id="499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القوس</w:t>
      </w:r>
      <w:r>
        <w:rPr>
          <w:rFonts w:hint="eastAsia"/>
          <w:rtl/>
        </w:rPr>
        <w:t>»</w:t>
      </w:r>
      <w:r>
        <w:rPr>
          <w:rFonts w:hint="cs"/>
          <w:rtl/>
        </w:rPr>
        <w:t>. والصحيح ما تمَّ إثباته من (جـ)، وهو الموافق للمغني وشرحه.</w:t>
      </w:r>
    </w:p>
  </w:footnote>
  <w:footnote w:id="499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w:t>
      </w:r>
      <w:r>
        <w:rPr>
          <w:rFonts w:hint="eastAsia"/>
          <w:rtl/>
        </w:rPr>
        <w:t>«</w:t>
      </w:r>
      <w:r>
        <w:rPr>
          <w:rFonts w:hint="cs"/>
          <w:rtl/>
        </w:rPr>
        <w:t>سببية</w:t>
      </w:r>
      <w:r>
        <w:rPr>
          <w:rFonts w:hint="eastAsia"/>
          <w:rtl/>
        </w:rPr>
        <w:t>»</w:t>
      </w:r>
      <w:r>
        <w:rPr>
          <w:rFonts w:hint="cs"/>
          <w:rtl/>
        </w:rPr>
        <w:t>.</w:t>
      </w:r>
    </w:p>
  </w:footnote>
  <w:footnote w:id="499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ص169؛ وانظر : شرحه للقاءاني، ق1، جـ2، ص737.</w:t>
      </w:r>
    </w:p>
  </w:footnote>
  <w:footnote w:id="499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تعلق</w:t>
      </w:r>
      <w:r>
        <w:rPr>
          <w:rFonts w:hint="eastAsia"/>
          <w:rtl/>
        </w:rPr>
        <w:t>»</w:t>
      </w:r>
      <w:r>
        <w:rPr>
          <w:rFonts w:hint="cs"/>
          <w:rtl/>
        </w:rPr>
        <w:t>.</w:t>
      </w:r>
    </w:p>
  </w:footnote>
  <w:footnote w:id="500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نقلته</w:t>
      </w:r>
      <w:r>
        <w:rPr>
          <w:rFonts w:hint="eastAsia"/>
          <w:rtl/>
        </w:rPr>
        <w:t>»</w:t>
      </w:r>
      <w:r>
        <w:rPr>
          <w:rFonts w:hint="cs"/>
          <w:rtl/>
        </w:rPr>
        <w:t>.</w:t>
      </w:r>
    </w:p>
  </w:footnote>
  <w:footnote w:id="500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ص728.</w:t>
      </w:r>
    </w:p>
  </w:footnote>
  <w:footnote w:id="5002">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B671D8">
        <w:rPr>
          <w:rFonts w:hint="cs"/>
          <w:rtl/>
        </w:rPr>
        <w:t xml:space="preserve"> وقد سبق ذكر طائفة من هذه الكتب في الهوامش السابقة، كالمغني وشرحه والتخريج للزنجاني ومسلّم الثبوت.</w:t>
      </w:r>
    </w:p>
  </w:footnote>
  <w:footnote w:id="500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عن</w:t>
      </w:r>
      <w:r>
        <w:rPr>
          <w:rFonts w:hint="eastAsia"/>
          <w:rtl/>
        </w:rPr>
        <w:t>»</w:t>
      </w:r>
      <w:r>
        <w:rPr>
          <w:rFonts w:hint="cs"/>
          <w:rtl/>
        </w:rPr>
        <w:t>. والصحيح ما تمَّ إثباته من (ب)، وهو الموافق لمصادر القاعدة.</w:t>
      </w:r>
    </w:p>
  </w:footnote>
  <w:footnote w:id="500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Pr="00214BA1" w:rsidRDefault="00035BE3" w:rsidP="003D5367">
      <w:pPr>
        <w:pStyle w:val="a6"/>
        <w:ind w:left="422" w:firstLine="0"/>
        <w:rPr>
          <w:spacing w:val="-2"/>
          <w:rtl/>
        </w:rPr>
      </w:pPr>
      <w:r w:rsidRPr="00214BA1">
        <w:rPr>
          <w:rFonts w:hint="cs"/>
          <w:spacing w:val="-2"/>
          <w:rtl/>
        </w:rPr>
        <w:t xml:space="preserve">- ورد في نهاية هذه القاعدة كلمة : </w:t>
      </w:r>
      <w:r w:rsidRPr="00214BA1">
        <w:rPr>
          <w:rFonts w:hint="eastAsia"/>
          <w:spacing w:val="-2"/>
          <w:rtl/>
        </w:rPr>
        <w:t>«</w:t>
      </w:r>
      <w:r w:rsidRPr="00214BA1">
        <w:rPr>
          <w:rFonts w:hint="cs"/>
          <w:spacing w:val="-2"/>
          <w:rtl/>
        </w:rPr>
        <w:t>ضروراته</w:t>
      </w:r>
      <w:r w:rsidRPr="00214BA1">
        <w:rPr>
          <w:rFonts w:hint="eastAsia"/>
          <w:spacing w:val="-2"/>
          <w:rtl/>
        </w:rPr>
        <w:t>»</w:t>
      </w:r>
      <w:r w:rsidRPr="00214BA1">
        <w:rPr>
          <w:rFonts w:hint="cs"/>
          <w:spacing w:val="-2"/>
          <w:rtl/>
        </w:rPr>
        <w:t xml:space="preserve">، وقد وردت كلمات أخرى تفسِّرها في ألفاظ أخرى للقاعدة، كقول صاحب الهداية -9/174-: </w:t>
      </w:r>
      <w:r w:rsidRPr="00214BA1">
        <w:rPr>
          <w:rFonts w:hint="eastAsia"/>
          <w:spacing w:val="-2"/>
          <w:rtl/>
        </w:rPr>
        <w:t>«</w:t>
      </w:r>
      <w:r w:rsidRPr="00214BA1">
        <w:rPr>
          <w:rFonts w:hint="cs"/>
          <w:spacing w:val="-2"/>
          <w:rtl/>
        </w:rPr>
        <w:t xml:space="preserve">من ملك شيئًا ملك ما هو من ضروراته </w:t>
      </w:r>
      <w:r w:rsidRPr="00214BA1">
        <w:rPr>
          <w:rFonts w:hint="cs"/>
          <w:b/>
          <w:bCs/>
          <w:spacing w:val="-2"/>
          <w:rtl/>
        </w:rPr>
        <w:t>وتوابعه</w:t>
      </w:r>
      <w:r w:rsidRPr="00214BA1">
        <w:rPr>
          <w:rFonts w:hint="eastAsia"/>
          <w:spacing w:val="-2"/>
          <w:rtl/>
        </w:rPr>
        <w:t>»</w:t>
      </w:r>
      <w:r w:rsidRPr="00214BA1">
        <w:rPr>
          <w:rFonts w:hint="cs"/>
          <w:spacing w:val="-2"/>
          <w:rtl/>
        </w:rPr>
        <w:t xml:space="preserve">، وقول النسفي في المصفى -ل61/أ-: </w:t>
      </w:r>
      <w:r w:rsidRPr="00214BA1">
        <w:rPr>
          <w:rFonts w:hint="eastAsia"/>
          <w:spacing w:val="-2"/>
          <w:rtl/>
        </w:rPr>
        <w:t>«</w:t>
      </w:r>
      <w:r w:rsidRPr="00214BA1">
        <w:rPr>
          <w:rFonts w:hint="cs"/>
          <w:spacing w:val="-2"/>
          <w:rtl/>
        </w:rPr>
        <w:t xml:space="preserve">والأصل أنَّ من ملك شيئًا ملك ما هو من </w:t>
      </w:r>
      <w:r w:rsidRPr="00214BA1">
        <w:rPr>
          <w:rFonts w:hint="cs"/>
          <w:b/>
          <w:bCs/>
          <w:spacing w:val="-2"/>
          <w:rtl/>
        </w:rPr>
        <w:t>لوازمه</w:t>
      </w:r>
      <w:r w:rsidRPr="00214BA1">
        <w:rPr>
          <w:rFonts w:hint="eastAsia"/>
          <w:spacing w:val="-2"/>
          <w:rtl/>
        </w:rPr>
        <w:t>»</w:t>
      </w:r>
      <w:r w:rsidRPr="00214BA1">
        <w:rPr>
          <w:rFonts w:hint="cs"/>
          <w:spacing w:val="-2"/>
          <w:rtl/>
        </w:rPr>
        <w:t>.</w:t>
      </w:r>
    </w:p>
    <w:p w:rsidR="00035BE3" w:rsidRDefault="00035BE3" w:rsidP="003D5367">
      <w:pPr>
        <w:pStyle w:val="a6"/>
        <w:ind w:left="422" w:firstLine="0"/>
        <w:rPr>
          <w:rtl/>
        </w:rPr>
      </w:pPr>
      <w:r>
        <w:rPr>
          <w:rFonts w:hint="cs"/>
          <w:rtl/>
        </w:rPr>
        <w:t xml:space="preserve">وبهذا يُعلم أنه ليس المقصود من الضرورة : التي بمعنى الاضطرار، وإنما المقصود منها ما عبّر عنه الأتاسي - في شرحه للمجلة، 1/114- بقوله : </w:t>
      </w:r>
      <w:r>
        <w:rPr>
          <w:rFonts w:hint="eastAsia"/>
          <w:rtl/>
        </w:rPr>
        <w:t>«</w:t>
      </w:r>
      <w:r>
        <w:rPr>
          <w:rFonts w:hint="cs"/>
          <w:rtl/>
        </w:rPr>
        <w:t>... معنى الضرورة هنا : الضرورة العقلية التي تحرّك الفكر لإدراك الحكم للشيء بدون ذكره</w:t>
      </w:r>
      <w:r>
        <w:rPr>
          <w:rFonts w:hint="eastAsia"/>
          <w:rtl/>
        </w:rPr>
        <w:t>»</w:t>
      </w:r>
      <w:r>
        <w:rPr>
          <w:rFonts w:hint="cs"/>
          <w:rtl/>
        </w:rPr>
        <w:t>.</w:t>
      </w:r>
    </w:p>
    <w:p w:rsidR="00035BE3" w:rsidRDefault="00035BE3" w:rsidP="003D5367">
      <w:pPr>
        <w:pStyle w:val="a6"/>
        <w:ind w:left="422" w:firstLine="0"/>
        <w:rPr>
          <w:rtl/>
        </w:rPr>
      </w:pPr>
      <w:r>
        <w:rPr>
          <w:rFonts w:hint="cs"/>
          <w:rtl/>
        </w:rPr>
        <w:t xml:space="preserve">وأوضح من هذا : ما نقله الأتاسي نفسه </w:t>
      </w:r>
      <w:r>
        <w:rPr>
          <w:rtl/>
        </w:rPr>
        <w:t>–</w:t>
      </w:r>
      <w:r>
        <w:rPr>
          <w:rFonts w:hint="cs"/>
          <w:rtl/>
        </w:rPr>
        <w:t xml:space="preserve"> قبل هذا المعنى- عن (العناية) حيث قال : </w:t>
      </w:r>
      <w:r>
        <w:rPr>
          <w:rFonts w:hint="eastAsia"/>
          <w:rtl/>
        </w:rPr>
        <w:t>«</w:t>
      </w:r>
      <w:r>
        <w:rPr>
          <w:rFonts w:hint="cs"/>
          <w:rtl/>
        </w:rPr>
        <w:t>المراد بالضرورات هنا : الأشياء التي تتبع شيئًا هي مثله في الدّخول تحت الدلالة، لا من طريق اللفظ. كذا في (العناية). أي : بل بطريق ضرورة أن التناول لا يتردّد فيه، فكأنه ضروري</w:t>
      </w:r>
      <w:r>
        <w:rPr>
          <w:rFonts w:hint="eastAsia"/>
          <w:rtl/>
        </w:rPr>
        <w:t>»</w:t>
      </w:r>
      <w:r>
        <w:rPr>
          <w:rFonts w:hint="cs"/>
          <w:rtl/>
        </w:rPr>
        <w:t>.</w:t>
      </w:r>
    </w:p>
    <w:p w:rsidR="00035BE3" w:rsidRDefault="00035BE3" w:rsidP="003D5367">
      <w:pPr>
        <w:pStyle w:val="a6"/>
        <w:ind w:left="422" w:firstLine="0"/>
        <w:rPr>
          <w:rtl/>
        </w:rPr>
      </w:pPr>
      <w:r>
        <w:rPr>
          <w:rFonts w:hint="cs"/>
          <w:rtl/>
        </w:rPr>
        <w:t xml:space="preserve">- كما ورد في أثناء القاعدة كلمة : </w:t>
      </w:r>
      <w:r>
        <w:rPr>
          <w:rFonts w:hint="eastAsia"/>
          <w:rtl/>
        </w:rPr>
        <w:t>«</w:t>
      </w:r>
      <w:r>
        <w:rPr>
          <w:rFonts w:hint="cs"/>
          <w:rtl/>
        </w:rPr>
        <w:t>شيئًا</w:t>
      </w:r>
      <w:r>
        <w:rPr>
          <w:rFonts w:hint="eastAsia"/>
          <w:rtl/>
        </w:rPr>
        <w:t>»</w:t>
      </w:r>
      <w:r>
        <w:rPr>
          <w:rFonts w:hint="cs"/>
          <w:rtl/>
        </w:rPr>
        <w:t xml:space="preserve">، وهذا يعني أنه </w:t>
      </w:r>
      <w:r>
        <w:rPr>
          <w:rFonts w:hint="eastAsia"/>
          <w:rtl/>
        </w:rPr>
        <w:t>«</w:t>
      </w:r>
      <w:r>
        <w:rPr>
          <w:rFonts w:hint="cs"/>
          <w:rtl/>
        </w:rPr>
        <w:t>لا يقتصر حكم هذه القاعدة على ملك العين؛ بل يشمل ملك التصرّف أيضًا</w:t>
      </w:r>
      <w:r>
        <w:rPr>
          <w:rFonts w:hint="eastAsia"/>
          <w:rtl/>
        </w:rPr>
        <w:t>»</w:t>
      </w:r>
      <w:r>
        <w:rPr>
          <w:rFonts w:hint="cs"/>
          <w:rtl/>
        </w:rPr>
        <w:t xml:space="preserve"> - قاله الزرقا في مدخله، 2/1018، فقرة 635؛ وانظر: شرح القواعد لوالده، ص261-.</w:t>
      </w:r>
    </w:p>
    <w:p w:rsidR="00035BE3" w:rsidRDefault="00035BE3" w:rsidP="003D5367">
      <w:pPr>
        <w:pStyle w:val="a6"/>
        <w:ind w:left="422" w:firstLine="0"/>
        <w:rPr>
          <w:rtl/>
        </w:rPr>
      </w:pPr>
      <w:r>
        <w:rPr>
          <w:rFonts w:hint="cs"/>
          <w:rtl/>
        </w:rPr>
        <w:t xml:space="preserve">إذا علم هذا </w:t>
      </w:r>
      <w:r>
        <w:rPr>
          <w:rFonts w:hint="cs"/>
          <w:b/>
          <w:bCs/>
          <w:rtl/>
        </w:rPr>
        <w:t>فالمعنى الإجمالي للقاعدة</w:t>
      </w:r>
      <w:r>
        <w:rPr>
          <w:rFonts w:hint="cs"/>
          <w:rtl/>
        </w:rPr>
        <w:t xml:space="preserve"> :</w:t>
      </w:r>
    </w:p>
    <w:p w:rsidR="00035BE3" w:rsidRDefault="00035BE3" w:rsidP="003D5367">
      <w:pPr>
        <w:pStyle w:val="a6"/>
        <w:ind w:left="422" w:firstLine="0"/>
        <w:rPr>
          <w:rtl/>
        </w:rPr>
      </w:pPr>
      <w:r>
        <w:rPr>
          <w:rFonts w:hint="cs"/>
          <w:rtl/>
        </w:rPr>
        <w:t>كل من يملك عينًا أو تصرّفًا، وكان لما يملكه لوازم تتبعه ضرورة : فإن هذه اللوازم تدخل في الملك أيضًا وإن لم يُنص عليها.</w:t>
      </w:r>
    </w:p>
    <w:p w:rsidR="00035BE3" w:rsidRDefault="00035BE3" w:rsidP="003D5367">
      <w:pPr>
        <w:pStyle w:val="a6"/>
        <w:ind w:left="422" w:firstLine="0"/>
        <w:rPr>
          <w:rtl/>
        </w:rPr>
      </w:pPr>
      <w:r>
        <w:rPr>
          <w:rFonts w:hint="cs"/>
          <w:rtl/>
        </w:rPr>
        <w:t xml:space="preserve">أو بعبارة أخرى : </w:t>
      </w:r>
      <w:r>
        <w:rPr>
          <w:rFonts w:hint="eastAsia"/>
          <w:rtl/>
        </w:rPr>
        <w:t>«</w:t>
      </w:r>
      <w:r>
        <w:rPr>
          <w:rFonts w:hint="cs"/>
          <w:rtl/>
        </w:rPr>
        <w:t>من ملك ... [عينًا أو تصرّفًا] ملك ما هو من لوازمه عقلاً أو عرفًا، ولو لم يشترط في العقد</w:t>
      </w:r>
      <w:r>
        <w:rPr>
          <w:rFonts w:hint="eastAsia"/>
          <w:rtl/>
        </w:rPr>
        <w:t>»</w:t>
      </w:r>
      <w:r>
        <w:rPr>
          <w:rFonts w:hint="cs"/>
          <w:rtl/>
        </w:rPr>
        <w:t>- قاله صاحب الوجيز، ص279-.</w:t>
      </w:r>
    </w:p>
    <w:p w:rsidR="00035BE3" w:rsidRDefault="00035BE3" w:rsidP="003D5367">
      <w:pPr>
        <w:pStyle w:val="a6"/>
        <w:ind w:left="422" w:firstLine="0"/>
        <w:rPr>
          <w:rtl/>
        </w:rPr>
      </w:pPr>
      <w:r>
        <w:rPr>
          <w:rFonts w:hint="cs"/>
          <w:rtl/>
        </w:rPr>
        <w:t>هذا ما يتعلّق بمعنى القاعدة.</w:t>
      </w:r>
    </w:p>
    <w:p w:rsidR="00035BE3" w:rsidRDefault="00035BE3" w:rsidP="003D5367">
      <w:pPr>
        <w:pStyle w:val="a6"/>
        <w:ind w:left="422" w:firstLine="0"/>
        <w:rPr>
          <w:b/>
          <w:bCs/>
          <w:rtl/>
        </w:rPr>
      </w:pPr>
      <w:r>
        <w:rPr>
          <w:rFonts w:hint="cs"/>
          <w:b/>
          <w:bCs/>
          <w:rtl/>
        </w:rPr>
        <w:t>أما توثيقها :</w:t>
      </w:r>
    </w:p>
    <w:p w:rsidR="00035BE3" w:rsidRDefault="00035BE3" w:rsidP="003D5367">
      <w:pPr>
        <w:pStyle w:val="a6"/>
        <w:ind w:left="422" w:firstLine="0"/>
        <w:rPr>
          <w:rtl/>
        </w:rPr>
      </w:pPr>
      <w:r>
        <w:rPr>
          <w:rFonts w:hint="cs"/>
          <w:rtl/>
        </w:rPr>
        <w:t>فقد وردت بنحو لفظ المؤلف أو جزء من معناه في عدد من كتب الفقه الحنفي وقواعده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spacing w:val="-4"/>
          <w:rtl/>
        </w:rPr>
      </w:pPr>
      <w:r>
        <w:rPr>
          <w:rFonts w:hint="cs"/>
          <w:spacing w:val="-2"/>
          <w:rtl/>
        </w:rPr>
        <w:t xml:space="preserve">قواعد الفقه لابن نجيم، ص131، قاعدة 125- ولفظه : </w:t>
      </w:r>
      <w:r>
        <w:rPr>
          <w:rFonts w:hint="eastAsia"/>
          <w:spacing w:val="-2"/>
          <w:rtl/>
        </w:rPr>
        <w:t>«</w:t>
      </w:r>
      <w:r>
        <w:rPr>
          <w:rFonts w:hint="cs"/>
          <w:spacing w:val="-2"/>
          <w:rtl/>
        </w:rPr>
        <w:t xml:space="preserve">من ملك شيئًا ملك ما هو من لوازمه، لا </w:t>
      </w:r>
      <w:r w:rsidRPr="001747D0">
        <w:rPr>
          <w:rFonts w:hint="cs"/>
          <w:spacing w:val="-4"/>
          <w:rtl/>
        </w:rPr>
        <w:t>غيرها</w:t>
      </w:r>
      <w:r w:rsidRPr="001747D0">
        <w:rPr>
          <w:rFonts w:hint="eastAsia"/>
          <w:spacing w:val="-4"/>
          <w:rtl/>
        </w:rPr>
        <w:t>»</w:t>
      </w:r>
      <w:r w:rsidRPr="001747D0">
        <w:rPr>
          <w:rFonts w:hint="cs"/>
          <w:spacing w:val="-4"/>
          <w:rtl/>
        </w:rPr>
        <w:t xml:space="preserve">-؛ مجامع الحقائق (الخاتمة)، ص47- ولفظه كلفظ المؤلف إلا أنه قال: </w:t>
      </w:r>
      <w:r w:rsidRPr="001747D0">
        <w:rPr>
          <w:rFonts w:hint="eastAsia"/>
          <w:spacing w:val="-4"/>
          <w:rtl/>
        </w:rPr>
        <w:t>«</w:t>
      </w:r>
      <w:r w:rsidRPr="001747D0">
        <w:rPr>
          <w:rFonts w:hint="cs"/>
          <w:spacing w:val="-4"/>
          <w:rtl/>
        </w:rPr>
        <w:t>ملك</w:t>
      </w:r>
      <w:r w:rsidRPr="001747D0">
        <w:rPr>
          <w:rFonts w:hint="eastAsia"/>
          <w:spacing w:val="-4"/>
          <w:rtl/>
        </w:rPr>
        <w:t>»</w:t>
      </w:r>
      <w:r w:rsidRPr="001747D0">
        <w:rPr>
          <w:rFonts w:hint="cs"/>
          <w:spacing w:val="-4"/>
          <w:rtl/>
        </w:rPr>
        <w:t xml:space="preserve"> بدل: </w:t>
      </w:r>
      <w:r w:rsidRPr="001747D0">
        <w:rPr>
          <w:rFonts w:hint="eastAsia"/>
          <w:spacing w:val="-4"/>
          <w:rtl/>
        </w:rPr>
        <w:t>«</w:t>
      </w:r>
      <w:r w:rsidRPr="001747D0">
        <w:rPr>
          <w:rFonts w:hint="cs"/>
          <w:spacing w:val="-4"/>
          <w:rtl/>
        </w:rPr>
        <w:t>يملك</w:t>
      </w:r>
      <w:r w:rsidRPr="001747D0">
        <w:rPr>
          <w:rFonts w:hint="eastAsia"/>
          <w:spacing w:val="-4"/>
          <w:rtl/>
        </w:rPr>
        <w:t>»</w:t>
      </w:r>
      <w:r w:rsidRPr="001747D0">
        <w:rPr>
          <w:rFonts w:hint="cs"/>
          <w:spacing w:val="-4"/>
          <w:rtl/>
        </w:rPr>
        <w:t>-</w:t>
      </w:r>
      <w:r>
        <w:rPr>
          <w:rFonts w:hint="cs"/>
          <w:spacing w:val="-2"/>
          <w:rtl/>
        </w:rPr>
        <w:t>؛ شرح العلائي لقواعد الخادمي، ل37/أ؛ منافع الدقائق، ص332؛ مجلة الأحكام العدلية، مادة 49؛ شرحها لسليم رستم، 1</w:t>
      </w:r>
      <w:r>
        <w:rPr>
          <w:rFonts w:hint="cs"/>
          <w:spacing w:val="-4"/>
          <w:rtl/>
        </w:rPr>
        <w:t>/40؛ ولعلي حيدر، 1/48؛ وللأتاسي، 1/111؛ شرح قواعدها للزرقا، ص361؛</w:t>
      </w:r>
      <w:r>
        <w:rPr>
          <w:rFonts w:hint="cs"/>
          <w:spacing w:val="-2"/>
          <w:rtl/>
        </w:rPr>
        <w:t xml:space="preserve"> قواعد الفقه للمجدّدي، ص130، قاعدة 359؛ المدخل الفقهـي العام، 2/1018، فـقرة 635؛ الوجـيز، ص279؛ القواعد والضوابط المستخلصة، ص150؛ المدخل إلى القواعد الفقهية، ص129؛ المبادئ الفقهية، ص34؛ القواعد الفقهية للدعّاس، ص83، قاعدة 63؛ وللدكتور محمد الزحيلي، ص81- ولفظ الـجميع كلفظ المجامع </w:t>
      </w:r>
      <w:r>
        <w:rPr>
          <w:rFonts w:hint="cs"/>
          <w:spacing w:val="-4"/>
          <w:rtl/>
        </w:rPr>
        <w:t>سوى القواعد والضوابط المستخلصة، فلفظه هو لفظ (الهداية) الذي سبق ذكره قريبًا-.</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rtl/>
        </w:rPr>
      </w:pPr>
      <w:r>
        <w:rPr>
          <w:rFonts w:hint="cs"/>
          <w:rtl/>
        </w:rPr>
        <w:t>الهداية، 8/107، 9/174، 10/65؛ المصفى للنسفي، ل61/أ؛ تبيين الحقائق، 5/158؛ الدرر شرح الغرر، 1/320، 2/291؛ البحر الرائق، 7/178؛ تكملة البحر الرائق، 8/54.</w:t>
      </w:r>
    </w:p>
  </w:footnote>
  <w:footnote w:id="5005">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Pr>
          <w:rFonts w:hint="eastAsia"/>
          <w:spacing w:val="-6"/>
          <w:rtl/>
        </w:rPr>
        <w:t>«</w:t>
      </w:r>
      <w:r>
        <w:rPr>
          <w:rFonts w:hint="cs"/>
          <w:spacing w:val="-6"/>
          <w:rtl/>
        </w:rPr>
        <w:t>قبول</w:t>
      </w:r>
      <w:r>
        <w:rPr>
          <w:rFonts w:hint="eastAsia"/>
          <w:spacing w:val="-6"/>
          <w:rtl/>
        </w:rPr>
        <w:t>»</w:t>
      </w:r>
      <w:r>
        <w:rPr>
          <w:rFonts w:hint="cs"/>
          <w:spacing w:val="-6"/>
          <w:rtl/>
        </w:rPr>
        <w:t xml:space="preserve"> : زيادة من (جـ) و(هـ) و(و). وهي مثبتة في كثير من المصادر الآتي ذكرها، كالدّرر وغيرها.</w:t>
      </w:r>
    </w:p>
  </w:footnote>
  <w:footnote w:id="500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76/ب من (جـ).</w:t>
      </w:r>
    </w:p>
  </w:footnote>
  <w:footnote w:id="500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في</w:t>
      </w:r>
      <w:r>
        <w:rPr>
          <w:rFonts w:hint="eastAsia"/>
          <w:rtl/>
        </w:rPr>
        <w:t>»</w:t>
      </w:r>
      <w:r>
        <w:rPr>
          <w:rFonts w:hint="cs"/>
          <w:rtl/>
        </w:rPr>
        <w:t>. والصحيح ما تمَّ إثباته من (ب) و(جـ).</w:t>
      </w:r>
    </w:p>
  </w:footnote>
  <w:footnote w:id="500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66/أ من (ب).</w:t>
      </w:r>
    </w:p>
  </w:footnote>
  <w:footnote w:id="500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w:t>
      </w:r>
      <w:r>
        <w:rPr>
          <w:rFonts w:hint="eastAsia"/>
          <w:rtl/>
        </w:rPr>
        <w:t>«</w:t>
      </w:r>
      <w:r>
        <w:rPr>
          <w:rFonts w:hint="cs"/>
          <w:rtl/>
        </w:rPr>
        <w:t>بالعاملين</w:t>
      </w:r>
      <w:r>
        <w:rPr>
          <w:rFonts w:hint="eastAsia"/>
          <w:rtl/>
        </w:rPr>
        <w:t>»</w:t>
      </w:r>
      <w:r>
        <w:rPr>
          <w:rFonts w:hint="cs"/>
          <w:rtl/>
        </w:rPr>
        <w:t xml:space="preserve"> وفي(د): </w:t>
      </w:r>
      <w:r>
        <w:rPr>
          <w:rFonts w:hint="eastAsia"/>
          <w:rtl/>
        </w:rPr>
        <w:t>«</w:t>
      </w:r>
      <w:r>
        <w:rPr>
          <w:rFonts w:hint="cs"/>
          <w:rtl/>
        </w:rPr>
        <w:t>بالعالمين</w:t>
      </w:r>
      <w:r>
        <w:rPr>
          <w:rFonts w:hint="eastAsia"/>
          <w:rtl/>
        </w:rPr>
        <w:t>»</w:t>
      </w:r>
      <w:r>
        <w:rPr>
          <w:rFonts w:hint="cs"/>
          <w:rtl/>
        </w:rPr>
        <w:t>. والمناسب ما تمّ إثباته من (ب) و(جـ)، وهو الموافق للدّرر.</w:t>
      </w:r>
    </w:p>
  </w:footnote>
  <w:footnote w:id="501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الدرر، 1/320؛ وانظر أيضًا : الهداية، 9/174، 10/65؛ تبيين الحقائق، 5/158؛ تكملة البحر الرائق، 8/54؛ شرح العلائي لقواعد الخادمي، ل37/أ.</w:t>
      </w:r>
    </w:p>
  </w:footnote>
  <w:footnote w:id="501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بنحو لفظها أو معناه في بعض كتب الفقه وقواعده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rtl/>
        </w:rPr>
      </w:pPr>
      <w:r>
        <w:rPr>
          <w:rFonts w:hint="cs"/>
          <w:rtl/>
        </w:rPr>
        <w:t xml:space="preserve">المنثور، 3/217- ولفظه : </w:t>
      </w:r>
      <w:r>
        <w:rPr>
          <w:rFonts w:hint="eastAsia"/>
          <w:rtl/>
        </w:rPr>
        <w:t>«</w:t>
      </w:r>
      <w:r>
        <w:rPr>
          <w:rFonts w:hint="cs"/>
          <w:rtl/>
        </w:rPr>
        <w:t>من ملك الكل ملك البعض</w:t>
      </w:r>
      <w:r>
        <w:rPr>
          <w:rFonts w:hint="eastAsia"/>
          <w:rtl/>
        </w:rPr>
        <w:t>»</w:t>
      </w:r>
      <w:r>
        <w:rPr>
          <w:rFonts w:hint="cs"/>
          <w:rtl/>
        </w:rPr>
        <w:t>.</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spacing w:val="4"/>
          <w:rtl/>
        </w:rPr>
      </w:pPr>
      <w:r>
        <w:rPr>
          <w:rFonts w:hint="cs"/>
          <w:spacing w:val="4"/>
          <w:rtl/>
        </w:rPr>
        <w:t xml:space="preserve">الدرر شرح الغرر، 1/375 </w:t>
      </w:r>
      <w:r>
        <w:rPr>
          <w:spacing w:val="4"/>
          <w:rtl/>
        </w:rPr>
        <w:t>–</w:t>
      </w:r>
      <w:r>
        <w:rPr>
          <w:rFonts w:hint="cs"/>
          <w:spacing w:val="4"/>
          <w:rtl/>
        </w:rPr>
        <w:t xml:space="preserve"> ولفظه : </w:t>
      </w:r>
      <w:r>
        <w:rPr>
          <w:rFonts w:hint="eastAsia"/>
          <w:spacing w:val="4"/>
          <w:rtl/>
        </w:rPr>
        <w:t>«</w:t>
      </w:r>
      <w:r>
        <w:rPr>
          <w:rFonts w:hint="cs"/>
          <w:spacing w:val="4"/>
          <w:rtl/>
        </w:rPr>
        <w:t xml:space="preserve">من </w:t>
      </w:r>
      <w:r>
        <w:rPr>
          <w:rFonts w:hint="cs"/>
          <w:b/>
          <w:bCs/>
          <w:spacing w:val="4"/>
          <w:rtl/>
        </w:rPr>
        <w:t>ملك</w:t>
      </w:r>
      <w:r>
        <w:rPr>
          <w:rFonts w:hint="cs"/>
          <w:spacing w:val="4"/>
          <w:rtl/>
        </w:rPr>
        <w:t xml:space="preserve"> شيئًا </w:t>
      </w:r>
      <w:r>
        <w:rPr>
          <w:rFonts w:hint="cs"/>
          <w:b/>
          <w:bCs/>
          <w:spacing w:val="4"/>
          <w:rtl/>
        </w:rPr>
        <w:t>ملك</w:t>
      </w:r>
      <w:r>
        <w:rPr>
          <w:rFonts w:hint="cs"/>
          <w:spacing w:val="4"/>
          <w:rtl/>
        </w:rPr>
        <w:t xml:space="preserve"> كلَّ جزء من أجزائه</w:t>
      </w:r>
      <w:r>
        <w:rPr>
          <w:rFonts w:hint="eastAsia"/>
          <w:spacing w:val="4"/>
          <w:rtl/>
        </w:rPr>
        <w:t>»</w:t>
      </w:r>
      <w:r>
        <w:rPr>
          <w:rFonts w:hint="cs"/>
          <w:spacing w:val="4"/>
          <w:rtl/>
        </w:rPr>
        <w:t>-؛ الهداية، 4/101؛ فتح القدير، 4/112؛ البحر الرائق، 3/361؛ مغني المحتاج، 3/287، وقد علّل صاحب الهداية ومن بعده للمسألة التي سيذكرها المؤلف بتعليل معناه قريب من معنى القاعدة-.</w:t>
      </w:r>
    </w:p>
  </w:footnote>
  <w:footnote w:id="501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104/ب من (أ).</w:t>
      </w:r>
    </w:p>
    <w:p w:rsidR="00035BE3" w:rsidRDefault="00035BE3" w:rsidP="003D5367">
      <w:pPr>
        <w:pStyle w:val="a6"/>
        <w:ind w:left="422" w:firstLine="0"/>
        <w:rPr>
          <w:rtl/>
        </w:rPr>
      </w:pPr>
      <w:r>
        <w:rPr>
          <w:rFonts w:hint="cs"/>
          <w:rtl/>
        </w:rPr>
        <w:t xml:space="preserve">يضاف إلى ذلك أن قوله : </w:t>
      </w:r>
      <w:r>
        <w:rPr>
          <w:rFonts w:hint="eastAsia"/>
          <w:rtl/>
        </w:rPr>
        <w:t>«</w:t>
      </w:r>
      <w:r>
        <w:rPr>
          <w:rFonts w:hint="cs"/>
          <w:rtl/>
        </w:rPr>
        <w:t>تطلق واحدة</w:t>
      </w:r>
      <w:r>
        <w:rPr>
          <w:rFonts w:hint="eastAsia"/>
          <w:rtl/>
        </w:rPr>
        <w:t>»</w:t>
      </w:r>
      <w:r>
        <w:rPr>
          <w:rFonts w:hint="cs"/>
          <w:rtl/>
        </w:rPr>
        <w:t xml:space="preserve"> : ساقط من (جـ).</w:t>
      </w:r>
    </w:p>
  </w:footnote>
  <w:footnote w:id="501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لأن الزوج ملّك الزوجة الكلَّ (وهو الثلاث)، والواحدة جزء من أجزاء الكل، فتملك الزوجة هذه الطلقة الواحدة.</w:t>
      </w:r>
    </w:p>
    <w:p w:rsidR="00035BE3" w:rsidRDefault="00035BE3" w:rsidP="003D5367">
      <w:pPr>
        <w:pStyle w:val="a6"/>
        <w:ind w:left="422" w:firstLine="0"/>
        <w:rPr>
          <w:rtl/>
        </w:rPr>
      </w:pPr>
      <w:r>
        <w:rPr>
          <w:rFonts w:hint="cs"/>
          <w:rtl/>
        </w:rPr>
        <w:t xml:space="preserve">وأوضح من تعبير المؤلف تعبيرُ صاحب الدرر </w:t>
      </w:r>
      <w:r>
        <w:rPr>
          <w:rtl/>
        </w:rPr>
        <w:t>–</w:t>
      </w:r>
      <w:r>
        <w:rPr>
          <w:rFonts w:hint="cs"/>
          <w:rtl/>
        </w:rPr>
        <w:t xml:space="preserve">1/375- حيث قال : </w:t>
      </w:r>
      <w:r>
        <w:rPr>
          <w:rFonts w:hint="eastAsia"/>
          <w:rtl/>
        </w:rPr>
        <w:t>«</w:t>
      </w:r>
      <w:r>
        <w:rPr>
          <w:rFonts w:hint="cs"/>
          <w:rtl/>
        </w:rPr>
        <w:t>... لأنها ملكت إيقاع الثلاث، فتملك إيقاع الواحدة؛ ضرورة</w:t>
      </w:r>
      <w:r>
        <w:rPr>
          <w:rFonts w:hint="eastAsia"/>
          <w:rtl/>
        </w:rPr>
        <w:t>»</w:t>
      </w:r>
      <w:r>
        <w:rPr>
          <w:rFonts w:hint="cs"/>
          <w:rtl/>
        </w:rPr>
        <w:t>.</w:t>
      </w:r>
    </w:p>
  </w:footnote>
  <w:footnote w:id="501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فيملكها</w:t>
      </w:r>
      <w:r>
        <w:rPr>
          <w:rFonts w:hint="eastAsia"/>
          <w:rtl/>
        </w:rPr>
        <w:t>»</w:t>
      </w:r>
      <w:r>
        <w:rPr>
          <w:rFonts w:hint="cs"/>
          <w:rtl/>
        </w:rPr>
        <w:t>.</w:t>
      </w:r>
    </w:p>
  </w:footnote>
  <w:footnote w:id="501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الدرر شرح الغرر، 1/375؛ وانظر أيضًا : الجامع الصغير، ص210؛ المبسوط، 6/198- وقد حكى صاحبه الاتفاق على وقوع الطلقة بين الإمام أبي حنيفة وصاحبيه-؛ الهداية والعناية وفتح القدير، 4/101؛ فتح القدير، 4/112؛ البحر الرائق، 3/361؛ مغني المحتاج، 3/287.</w:t>
      </w:r>
    </w:p>
  </w:footnote>
  <w:footnote w:id="501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بنحو لفظها في بعض كتب الفقه الحنفي وقواعده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spacing w:val="4"/>
          <w:rtl/>
        </w:rPr>
      </w:pPr>
      <w:r>
        <w:rPr>
          <w:rFonts w:hint="cs"/>
          <w:spacing w:val="4"/>
          <w:rtl/>
        </w:rPr>
        <w:t xml:space="preserve">القواعد والضوابط المستخلصة، ص496- ولفظه : </w:t>
      </w:r>
      <w:r>
        <w:rPr>
          <w:rFonts w:hint="eastAsia"/>
          <w:spacing w:val="4"/>
          <w:rtl/>
        </w:rPr>
        <w:t>«</w:t>
      </w:r>
      <w:r>
        <w:rPr>
          <w:rFonts w:hint="cs"/>
          <w:spacing w:val="4"/>
          <w:rtl/>
        </w:rPr>
        <w:t>من عمل لغيره عملاً ولحقه ضمان : كان قرار الضمان على من عمل له</w:t>
      </w:r>
      <w:r>
        <w:rPr>
          <w:rFonts w:hint="eastAsia"/>
          <w:spacing w:val="4"/>
          <w:rtl/>
        </w:rPr>
        <w:t>»</w:t>
      </w:r>
      <w:r>
        <w:rPr>
          <w:rFonts w:hint="cs"/>
          <w:spacing w:val="4"/>
          <w:rtl/>
        </w:rPr>
        <w:t>.</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spacing w:val="8"/>
          <w:rtl/>
        </w:rPr>
      </w:pPr>
      <w:r>
        <w:rPr>
          <w:rFonts w:hint="cs"/>
          <w:spacing w:val="8"/>
          <w:rtl/>
        </w:rPr>
        <w:t xml:space="preserve">الدرر شرح الغرر، 2/419- ولفظه : </w:t>
      </w:r>
      <w:r>
        <w:rPr>
          <w:rFonts w:hint="eastAsia"/>
          <w:spacing w:val="8"/>
          <w:rtl/>
        </w:rPr>
        <w:t>«</w:t>
      </w:r>
      <w:r>
        <w:rPr>
          <w:rFonts w:hint="cs"/>
          <w:spacing w:val="8"/>
          <w:rtl/>
        </w:rPr>
        <w:t xml:space="preserve">من عمل لغيره عملاً، ولحقه </w:t>
      </w:r>
      <w:r>
        <w:rPr>
          <w:rFonts w:hint="cs"/>
          <w:b/>
          <w:bCs/>
          <w:spacing w:val="8"/>
          <w:rtl/>
        </w:rPr>
        <w:t>فيه</w:t>
      </w:r>
      <w:r>
        <w:rPr>
          <w:rFonts w:hint="cs"/>
          <w:spacing w:val="8"/>
          <w:rtl/>
        </w:rPr>
        <w:t xml:space="preserve"> ضمان : يرجع على من وقع له العمل</w:t>
      </w:r>
      <w:r>
        <w:rPr>
          <w:rFonts w:hint="eastAsia"/>
          <w:spacing w:val="8"/>
          <w:rtl/>
        </w:rPr>
        <w:t>»</w:t>
      </w:r>
      <w:r>
        <w:rPr>
          <w:rFonts w:hint="cs"/>
          <w:spacing w:val="8"/>
          <w:rtl/>
        </w:rPr>
        <w:t xml:space="preserve">-؛ قرّة عيون الأخيار، 11/66- ولفظه : </w:t>
      </w:r>
      <w:r>
        <w:rPr>
          <w:rFonts w:hint="eastAsia"/>
          <w:spacing w:val="8"/>
          <w:rtl/>
        </w:rPr>
        <w:t>«</w:t>
      </w:r>
      <w:r>
        <w:rPr>
          <w:rFonts w:hint="cs"/>
          <w:spacing w:val="8"/>
          <w:rtl/>
        </w:rPr>
        <w:t xml:space="preserve">من عمل لغيره عملاً، ولحقه </w:t>
      </w:r>
      <w:r>
        <w:rPr>
          <w:rFonts w:hint="cs"/>
          <w:b/>
          <w:bCs/>
          <w:spacing w:val="8"/>
          <w:rtl/>
        </w:rPr>
        <w:t>بسببه</w:t>
      </w:r>
      <w:r>
        <w:rPr>
          <w:rFonts w:hint="cs"/>
          <w:spacing w:val="8"/>
          <w:rtl/>
        </w:rPr>
        <w:t xml:space="preserve"> ضمان : يرجع </w:t>
      </w:r>
      <w:r>
        <w:rPr>
          <w:rFonts w:hint="cs"/>
          <w:b/>
          <w:bCs/>
          <w:spacing w:val="8"/>
          <w:rtl/>
        </w:rPr>
        <w:t>به</w:t>
      </w:r>
      <w:r>
        <w:rPr>
          <w:rFonts w:hint="cs"/>
          <w:spacing w:val="8"/>
          <w:rtl/>
        </w:rPr>
        <w:t xml:space="preserve"> على من يقع له العمل</w:t>
      </w:r>
      <w:r>
        <w:rPr>
          <w:rFonts w:hint="eastAsia"/>
          <w:spacing w:val="8"/>
          <w:rtl/>
        </w:rPr>
        <w:t>»</w:t>
      </w:r>
      <w:r>
        <w:rPr>
          <w:rFonts w:hint="cs"/>
          <w:spacing w:val="8"/>
          <w:rtl/>
        </w:rPr>
        <w:t>-. والكتاب الأول هو المرجع الرئيس للمؤلف في شرحه للقاعدة.</w:t>
      </w:r>
    </w:p>
  </w:footnote>
  <w:footnote w:id="501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 زيادة </w:t>
      </w:r>
      <w:r>
        <w:rPr>
          <w:rFonts w:hint="eastAsia"/>
          <w:rtl/>
        </w:rPr>
        <w:t>«</w:t>
      </w:r>
      <w:r>
        <w:rPr>
          <w:rFonts w:hint="cs"/>
          <w:rtl/>
        </w:rPr>
        <w:t>ثمنه</w:t>
      </w:r>
      <w:r>
        <w:rPr>
          <w:rFonts w:hint="eastAsia"/>
          <w:rtl/>
        </w:rPr>
        <w:t>»</w:t>
      </w:r>
      <w:r>
        <w:rPr>
          <w:rFonts w:hint="cs"/>
          <w:rtl/>
        </w:rPr>
        <w:t xml:space="preserve">. والضمير في هذه الكلمة من (الدّرر) يعود إلى العبد. </w:t>
      </w:r>
    </w:p>
  </w:footnote>
  <w:footnote w:id="501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معنى هذا المثال: لو باع الوصيُّ العبدَ للغرماء بأمر القاضي، وقبض الوصيُّ ثمنَ العبدِ، وضاعَ الثمن من يده، وأصبح العبد مستحقًا لغير الوصي، وهو في يد المشتري، أو مات العبد قبل قبضه من الوصي : رجع المشتري على الوصي.</w:t>
      </w:r>
    </w:p>
  </w:footnote>
  <w:footnote w:id="501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يرجع</w:t>
      </w:r>
      <w:r>
        <w:rPr>
          <w:rFonts w:hint="eastAsia"/>
          <w:rtl/>
        </w:rPr>
        <w:t>»</w:t>
      </w:r>
      <w:r>
        <w:rPr>
          <w:rFonts w:hint="cs"/>
          <w:rtl/>
        </w:rPr>
        <w:t>. والصحيح ما تمَّ إثباته من (د)، وهو الموافق للدرر.</w:t>
      </w:r>
    </w:p>
  </w:footnote>
  <w:footnote w:id="502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يرجع</w:t>
      </w:r>
      <w:r>
        <w:rPr>
          <w:rFonts w:hint="eastAsia"/>
          <w:rtl/>
        </w:rPr>
        <w:t>»</w:t>
      </w:r>
      <w:r>
        <w:rPr>
          <w:rFonts w:hint="cs"/>
          <w:rtl/>
        </w:rPr>
        <w:t>.</w:t>
      </w:r>
    </w:p>
  </w:footnote>
  <w:footnote w:id="502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2/419 </w:t>
      </w:r>
      <w:r>
        <w:rPr>
          <w:rtl/>
        </w:rPr>
        <w:t>–</w:t>
      </w:r>
      <w:r>
        <w:rPr>
          <w:rFonts w:hint="cs"/>
          <w:rtl/>
        </w:rPr>
        <w:t>مع اختلاف سبق بيان أهمه-؛ وانظر : الدر المختار وقرّة عيون الأخيار، 11/65-66.</w:t>
      </w:r>
    </w:p>
  </w:footnote>
  <w:footnote w:id="502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الحكم يمثّل المفهوم المخالف لما جاء في صدر المثال من تقييد تصرّف الوصي بكونه </w:t>
      </w:r>
      <w:r>
        <w:rPr>
          <w:rFonts w:hint="eastAsia"/>
          <w:rtl/>
        </w:rPr>
        <w:t>«</w:t>
      </w:r>
      <w:r>
        <w:rPr>
          <w:rFonts w:hint="cs"/>
          <w:rtl/>
        </w:rPr>
        <w:t>بأمر القاضي</w:t>
      </w:r>
      <w:r>
        <w:rPr>
          <w:rFonts w:hint="eastAsia"/>
          <w:rtl/>
        </w:rPr>
        <w:t>»</w:t>
      </w:r>
      <w:r>
        <w:rPr>
          <w:rFonts w:hint="cs"/>
          <w:rtl/>
        </w:rPr>
        <w:t xml:space="preserve">. وقد خالف صاحبُ (الدر المختار) </w:t>
      </w:r>
      <w:r>
        <w:rPr>
          <w:rtl/>
        </w:rPr>
        <w:t>–</w:t>
      </w:r>
      <w:r>
        <w:rPr>
          <w:rFonts w:hint="cs"/>
          <w:rtl/>
        </w:rPr>
        <w:t xml:space="preserve">11/65- المؤلفَ، حيث صرّح في صدر المثال بأن الحكم يشمل ما إذا كان </w:t>
      </w:r>
      <w:r>
        <w:rPr>
          <w:rFonts w:hint="eastAsia"/>
          <w:rtl/>
        </w:rPr>
        <w:t>«</w:t>
      </w:r>
      <w:r>
        <w:rPr>
          <w:rFonts w:hint="cs"/>
          <w:rtl/>
        </w:rPr>
        <w:t>بأمر القاضي أو بلا أمره</w:t>
      </w:r>
      <w:r>
        <w:rPr>
          <w:rFonts w:hint="eastAsia"/>
          <w:rtl/>
        </w:rPr>
        <w:t>»</w:t>
      </w:r>
      <w:r>
        <w:rPr>
          <w:rFonts w:hint="cs"/>
          <w:rtl/>
        </w:rPr>
        <w:t>.</w:t>
      </w:r>
    </w:p>
  </w:footnote>
  <w:footnote w:id="5023">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هل</w:t>
      </w:r>
      <w:r>
        <w:rPr>
          <w:rFonts w:hint="eastAsia"/>
          <w:rtl/>
        </w:rPr>
        <w:t>»</w:t>
      </w:r>
      <w:r>
        <w:rPr>
          <w:rFonts w:hint="cs"/>
          <w:rtl/>
        </w:rPr>
        <w:t xml:space="preserve"> : زيادة من (جـ) و(هـ) و(و).</w:t>
      </w:r>
    </w:p>
  </w:footnote>
  <w:footnote w:id="5024">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وأم</w:t>
      </w:r>
      <w:r>
        <w:rPr>
          <w:rFonts w:hint="eastAsia"/>
          <w:rtl/>
        </w:rPr>
        <w:t>»</w:t>
      </w:r>
      <w:r>
        <w:rPr>
          <w:rFonts w:hint="cs"/>
          <w:rtl/>
        </w:rPr>
        <w:t xml:space="preserve">، وفي (ب) و(د) : </w:t>
      </w:r>
      <w:r>
        <w:rPr>
          <w:rFonts w:hint="eastAsia"/>
          <w:rtl/>
        </w:rPr>
        <w:t>«</w:t>
      </w:r>
      <w:r>
        <w:rPr>
          <w:rFonts w:hint="cs"/>
          <w:rtl/>
        </w:rPr>
        <w:t>أم</w:t>
      </w:r>
      <w:r>
        <w:rPr>
          <w:rFonts w:hint="eastAsia"/>
          <w:rtl/>
        </w:rPr>
        <w:t>»</w:t>
      </w:r>
      <w:r>
        <w:rPr>
          <w:rFonts w:hint="cs"/>
          <w:rtl/>
        </w:rPr>
        <w:t>. والأصح ما تمَّ إثباته من (جـ).</w:t>
      </w:r>
    </w:p>
    <w:p w:rsidR="00035BE3" w:rsidRDefault="00035BE3" w:rsidP="003D5367">
      <w:pPr>
        <w:pStyle w:val="a6"/>
        <w:spacing w:line="500" w:lineRule="exact"/>
        <w:ind w:left="422" w:firstLine="0"/>
        <w:rPr>
          <w:rtl/>
        </w:rPr>
      </w:pPr>
      <w:r>
        <w:rPr>
          <w:rFonts w:hint="cs"/>
          <w:rtl/>
        </w:rPr>
        <w:t>ومسألة : حكم وقوع (أم) بعد (هل) سبق تفصيلها، ص376.</w:t>
      </w:r>
    </w:p>
  </w:footnote>
  <w:footnote w:id="5025">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w:t>
      </w:r>
      <w:r>
        <w:rPr>
          <w:rFonts w:hint="cs"/>
          <w:b/>
          <w:bCs/>
          <w:rtl/>
        </w:rPr>
        <w:t>كتب القواعد</w:t>
      </w:r>
      <w:r>
        <w:rPr>
          <w:rFonts w:hint="cs"/>
          <w:rtl/>
        </w:rPr>
        <w:t>، منها :</w:t>
      </w:r>
    </w:p>
    <w:p w:rsidR="00035BE3" w:rsidRDefault="00035BE3" w:rsidP="003D5367">
      <w:pPr>
        <w:pStyle w:val="a6"/>
        <w:spacing w:line="500" w:lineRule="exact"/>
        <w:ind w:left="422" w:firstLine="0"/>
        <w:rPr>
          <w:spacing w:val="8"/>
          <w:rtl/>
        </w:rPr>
      </w:pPr>
      <w:r>
        <w:rPr>
          <w:rFonts w:hint="cs"/>
          <w:spacing w:val="8"/>
          <w:rtl/>
        </w:rPr>
        <w:t xml:space="preserve">المجموع المذهب، 1/315 </w:t>
      </w:r>
      <w:r>
        <w:rPr>
          <w:spacing w:val="8"/>
          <w:rtl/>
        </w:rPr>
        <w:t>–</w:t>
      </w:r>
      <w:r>
        <w:rPr>
          <w:rFonts w:hint="cs"/>
          <w:spacing w:val="8"/>
          <w:rtl/>
        </w:rPr>
        <w:t xml:space="preserve"> فقد جاء فيه: </w:t>
      </w:r>
      <w:r>
        <w:rPr>
          <w:rFonts w:hint="eastAsia"/>
          <w:spacing w:val="8"/>
          <w:rtl/>
        </w:rPr>
        <w:t>«</w:t>
      </w:r>
      <w:r>
        <w:rPr>
          <w:rFonts w:hint="cs"/>
          <w:spacing w:val="8"/>
          <w:rtl/>
        </w:rPr>
        <w:t>قال أبو العباس بن القاصّ : كلّ من شكَّ في شيء، هل فعله أم لا؟ فهو غير فاعل في الحكم، ولا يُزال اليقين بالشك</w:t>
      </w:r>
      <w:r>
        <w:rPr>
          <w:rFonts w:hint="eastAsia"/>
          <w:spacing w:val="8"/>
          <w:rtl/>
        </w:rPr>
        <w:t>»</w:t>
      </w:r>
      <w:r>
        <w:rPr>
          <w:rFonts w:hint="cs"/>
          <w:spacing w:val="8"/>
          <w:rtl/>
        </w:rPr>
        <w:t xml:space="preserve">-؛ المنثور، 2/274 </w:t>
      </w:r>
      <w:r w:rsidRPr="00D50976">
        <w:rPr>
          <w:rtl/>
        </w:rPr>
        <w:t>–</w:t>
      </w:r>
      <w:r w:rsidRPr="00D50976">
        <w:rPr>
          <w:rFonts w:hint="cs"/>
          <w:rtl/>
        </w:rPr>
        <w:t xml:space="preserve">ولفظه: </w:t>
      </w:r>
      <w:r w:rsidRPr="00D50976">
        <w:rPr>
          <w:rFonts w:hint="eastAsia"/>
          <w:rtl/>
        </w:rPr>
        <w:t>«</w:t>
      </w:r>
      <w:r w:rsidRPr="00D50976">
        <w:rPr>
          <w:rFonts w:hint="cs"/>
          <w:rtl/>
        </w:rPr>
        <w:t>إذا شك هل فعل أم لا؟ فالأصل أنه لم يفعل</w:t>
      </w:r>
      <w:r w:rsidRPr="00D50976">
        <w:rPr>
          <w:rFonts w:hint="eastAsia"/>
          <w:rtl/>
        </w:rPr>
        <w:t>»</w:t>
      </w:r>
      <w:r w:rsidRPr="00D50976">
        <w:rPr>
          <w:rFonts w:hint="cs"/>
          <w:rtl/>
        </w:rPr>
        <w:t xml:space="preserve">؛ الاستغناء في الفرق </w:t>
      </w:r>
      <w:r>
        <w:rPr>
          <w:rFonts w:hint="cs"/>
          <w:spacing w:val="8"/>
          <w:rtl/>
        </w:rPr>
        <w:t xml:space="preserve">والاستـثـنـاء، 2/379 </w:t>
      </w:r>
      <w:r>
        <w:rPr>
          <w:spacing w:val="8"/>
          <w:rtl/>
        </w:rPr>
        <w:t>–</w:t>
      </w:r>
      <w:r>
        <w:rPr>
          <w:rFonts w:hint="cs"/>
          <w:spacing w:val="8"/>
          <w:rtl/>
        </w:rPr>
        <w:t xml:space="preserve">ولفظه : </w:t>
      </w:r>
      <w:r>
        <w:rPr>
          <w:rFonts w:hint="eastAsia"/>
          <w:spacing w:val="8"/>
          <w:rtl/>
        </w:rPr>
        <w:t>«</w:t>
      </w:r>
      <w:r>
        <w:rPr>
          <w:rFonts w:hint="cs"/>
          <w:spacing w:val="8"/>
          <w:rtl/>
        </w:rPr>
        <w:t>من شكّ في شيء هل فعله أو لا؟ بنى على الأصل، وهو عدم فعله إلا في مسائل ...</w:t>
      </w:r>
      <w:r>
        <w:rPr>
          <w:rFonts w:hint="eastAsia"/>
          <w:spacing w:val="8"/>
          <w:rtl/>
        </w:rPr>
        <w:t>»</w:t>
      </w:r>
      <w:r>
        <w:rPr>
          <w:rFonts w:hint="cs"/>
          <w:spacing w:val="8"/>
          <w:rtl/>
        </w:rPr>
        <w:t xml:space="preserve">-؛ الأشبـاه للسيوطي، 1/158 -ولفظه : </w:t>
      </w:r>
      <w:r>
        <w:rPr>
          <w:rFonts w:hint="eastAsia"/>
          <w:spacing w:val="8"/>
          <w:rtl/>
        </w:rPr>
        <w:t>«</w:t>
      </w:r>
      <w:r>
        <w:rPr>
          <w:rFonts w:hint="cs"/>
          <w:spacing w:val="8"/>
          <w:rtl/>
        </w:rPr>
        <w:t>من شكّ هل فعل شيئًا أو لا؟ فالأصل أنه لم يفعله</w:t>
      </w:r>
      <w:r>
        <w:rPr>
          <w:rFonts w:hint="eastAsia"/>
          <w:spacing w:val="8"/>
          <w:rtl/>
        </w:rPr>
        <w:t>»</w:t>
      </w:r>
      <w:r>
        <w:rPr>
          <w:rFonts w:hint="cs"/>
          <w:spacing w:val="8"/>
          <w:rtl/>
        </w:rPr>
        <w:t xml:space="preserve">-؛ ولابن نجيم، ص79؛ الفرائد البهيّة وشرحها : المواهب الجنية وحاشيتها : الفوائد الجنية، 1/11، 202؛ الأقمار المضيئة، ص83 </w:t>
      </w:r>
      <w:r>
        <w:rPr>
          <w:spacing w:val="8"/>
          <w:rtl/>
        </w:rPr>
        <w:t>–</w:t>
      </w:r>
      <w:r>
        <w:rPr>
          <w:rFonts w:hint="cs"/>
          <w:spacing w:val="8"/>
          <w:rtl/>
        </w:rPr>
        <w:t xml:space="preserve"> ولفظ الفرائد : </w:t>
      </w:r>
    </w:p>
    <w:p w:rsidR="00035BE3" w:rsidRDefault="00035BE3" w:rsidP="003D5367">
      <w:pPr>
        <w:pStyle w:val="a6"/>
        <w:ind w:left="422" w:hanging="454"/>
        <w:jc w:val="center"/>
        <w:rPr>
          <w:b/>
          <w:bCs/>
          <w:rtl/>
        </w:rPr>
      </w:pPr>
      <w:r>
        <w:rPr>
          <w:rFonts w:hint="cs"/>
          <w:b/>
          <w:bCs/>
          <w:rtl/>
        </w:rPr>
        <w:t xml:space="preserve">    وحيـثـما شـك امـرؤ هـل فـعـلا         أولا فـالأصـل أنـه لـم يـفـعـلا-؛</w:t>
      </w:r>
    </w:p>
    <w:p w:rsidR="00035BE3" w:rsidRDefault="00035BE3" w:rsidP="003D5367">
      <w:pPr>
        <w:pStyle w:val="a6"/>
        <w:spacing w:line="500" w:lineRule="exact"/>
        <w:ind w:left="422" w:firstLine="0"/>
        <w:rPr>
          <w:rtl/>
        </w:rPr>
      </w:pPr>
      <w:r>
        <w:rPr>
          <w:rFonts w:hint="cs"/>
          <w:rtl/>
        </w:rPr>
        <w:t xml:space="preserve">مجامع الحقائق (الخاتمة)، ص47؛ شرح العلائي لقواعد الخادمي، ل37/ب؛ منافع الدقائق، ص332؛ قواعد الفقه للمجدّدي، ص129، قاعدة 354؛ الوجيز، ص119 </w:t>
      </w:r>
      <w:r>
        <w:rPr>
          <w:rtl/>
        </w:rPr>
        <w:t>–</w:t>
      </w:r>
      <w:r>
        <w:rPr>
          <w:rFonts w:hint="cs"/>
          <w:rtl/>
        </w:rPr>
        <w:t xml:space="preserve">ولفظه كلفظ السيوطي-؛ القواعد الفقهية في بابي العبادات والمعاملات لشيخينا د. عبد الله العيسى، ص332 </w:t>
      </w:r>
      <w:r>
        <w:rPr>
          <w:rtl/>
        </w:rPr>
        <w:t>–</w:t>
      </w:r>
      <w:r>
        <w:rPr>
          <w:rFonts w:hint="cs"/>
          <w:rtl/>
        </w:rPr>
        <w:t xml:space="preserve">ولفظه : </w:t>
      </w:r>
      <w:r>
        <w:rPr>
          <w:rFonts w:hint="eastAsia"/>
          <w:rtl/>
        </w:rPr>
        <w:t>«</w:t>
      </w:r>
      <w:r>
        <w:rPr>
          <w:rFonts w:hint="cs"/>
          <w:rtl/>
        </w:rPr>
        <w:t>من شك هل فعل شيئًا أولا فالأصل عدم فعله</w:t>
      </w:r>
      <w:r>
        <w:rPr>
          <w:rFonts w:hint="eastAsia"/>
          <w:rtl/>
        </w:rPr>
        <w:t>»</w:t>
      </w:r>
      <w:r>
        <w:rPr>
          <w:rFonts w:hint="cs"/>
          <w:rtl/>
        </w:rPr>
        <w:t xml:space="preserve">-؛ قاعدة اليقين لا يزول بالشك، ص102 </w:t>
      </w:r>
      <w:r>
        <w:rPr>
          <w:rtl/>
        </w:rPr>
        <w:t>–</w:t>
      </w:r>
      <w:r>
        <w:rPr>
          <w:rFonts w:hint="cs"/>
          <w:rtl/>
        </w:rPr>
        <w:t>وفيه لفظ الأشباه للسيوطي والمجموع المذهب-.</w:t>
      </w:r>
    </w:p>
  </w:footnote>
  <w:footnote w:id="502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هـذا الـمـثال بـلـفـظـه فـي : شـرح قـواعد الـخادمي للـعلائي، ل37/ب؛ منافع الدقائق، ص332.</w:t>
      </w:r>
    </w:p>
  </w:footnote>
  <w:footnote w:id="502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الكثر</w:t>
      </w:r>
      <w:r>
        <w:rPr>
          <w:rFonts w:hint="eastAsia"/>
          <w:rtl/>
        </w:rPr>
        <w:t>»</w:t>
      </w:r>
      <w:r>
        <w:rPr>
          <w:rFonts w:hint="cs"/>
          <w:rtl/>
        </w:rPr>
        <w:t>.</w:t>
      </w:r>
    </w:p>
  </w:footnote>
  <w:footnote w:id="502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وردت بهذا اللفظ أو نحوه في كثير من الكتب السابقة، منها: المنثور، 2/275؛ الأشباه </w:t>
      </w:r>
      <w:r w:rsidRPr="00167533">
        <w:rPr>
          <w:rFonts w:hint="cs"/>
          <w:spacing w:val="-2"/>
          <w:rtl/>
        </w:rPr>
        <w:t>للسيوطي، 1/158؛ ولابن نجيم، ص79؛ الوجيز، ص119؛ قاعدة اليقين لا يزول بالشك، ص103.</w:t>
      </w:r>
    </w:p>
  </w:footnote>
  <w:footnote w:id="502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105/أ من (أ).</w:t>
      </w:r>
    </w:p>
  </w:footnote>
  <w:footnote w:id="503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ص79.</w:t>
      </w:r>
    </w:p>
  </w:footnote>
  <w:footnote w:id="5031">
    <w:p w:rsidR="00035BE3" w:rsidRDefault="00035BE3" w:rsidP="003D5367">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هذه القاعدة ذكرها السيوطي في أشباهه-1/158- ونسبها إلى الإمام الشافعي؛ كما وردت في: الأشباه لابن نجيم، ص79؛ الوجيز، ص119؛ قاعدة اليقين لا يزول بالشك، ص70؛ كما ورد معناها في إيضاح المسالك للونشريسي، ص76، قاعدة 27، ولفظه: </w:t>
      </w:r>
      <w:r>
        <w:rPr>
          <w:rFonts w:hint="eastAsia"/>
          <w:spacing w:val="-2"/>
          <w:rtl/>
        </w:rPr>
        <w:t>«</w:t>
      </w:r>
      <w:r>
        <w:rPr>
          <w:rFonts w:hint="cs"/>
          <w:spacing w:val="-2"/>
          <w:rtl/>
        </w:rPr>
        <w:t>الذّمة إذا عُمرت بيقين فلا تبرأ إلا بقين</w:t>
      </w:r>
      <w:r>
        <w:rPr>
          <w:rFonts w:hint="eastAsia"/>
          <w:spacing w:val="-2"/>
          <w:rtl/>
        </w:rPr>
        <w:t>»</w:t>
      </w:r>
      <w:r>
        <w:rPr>
          <w:rFonts w:hint="cs"/>
          <w:spacing w:val="-2"/>
          <w:rtl/>
        </w:rPr>
        <w:t>.</w:t>
      </w:r>
    </w:p>
  </w:footnote>
  <w:footnote w:id="503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من القواعد الكلية الخمس الكبرى؛ لهذا كثر ورودها في كتب الفقه وقواعده، </w:t>
      </w:r>
      <w:r>
        <w:rPr>
          <w:rFonts w:hint="eastAsia"/>
          <w:rtl/>
        </w:rPr>
        <w:t>«</w:t>
      </w:r>
      <w:r>
        <w:rPr>
          <w:rFonts w:hint="cs"/>
          <w:rtl/>
        </w:rPr>
        <w:t xml:space="preserve">ولصلتها المباشرة بالاستصحاب فقد ... [تطرّق الأصوليون] إليها من خلال الكلام عنه؛ بل إن الكثيرين من العلماء عدّوها الاستصحاب نفسه. وقد دخلت هذه القاعدة في مجال التقعيد منذ عهد مبكّر. ففي مختصر المزني (ت264هـ) ... قال الشافعي </w:t>
      </w:r>
      <w:r>
        <w:rPr>
          <w:rFonts w:ascii="AGA Arabesque" w:hAnsi="AGA Arabesque"/>
          <w:sz w:val="36"/>
          <w:szCs w:val="36"/>
        </w:rPr>
        <w:t></w:t>
      </w:r>
      <w:r>
        <w:rPr>
          <w:rFonts w:hint="cs"/>
          <w:rtl/>
        </w:rPr>
        <w:t xml:space="preserve"> : </w:t>
      </w:r>
      <w:r>
        <w:rPr>
          <w:rFonts w:hint="eastAsia"/>
          <w:rtl/>
        </w:rPr>
        <w:t>«</w:t>
      </w:r>
      <w:r>
        <w:rPr>
          <w:rFonts w:hint="cs"/>
          <w:rtl/>
        </w:rPr>
        <w:t>ومن استيقن</w:t>
      </w:r>
      <w:r>
        <w:t xml:space="preserve"> </w:t>
      </w:r>
      <w:r>
        <w:rPr>
          <w:rFonts w:hint="cs"/>
          <w:rtl/>
        </w:rPr>
        <w:t>الطهارة، ثم شك في الحدث، أو استيقن الحدث، ثم شك في الطهارة : فلا يزول اليقين بالشك</w:t>
      </w:r>
      <w:r>
        <w:rPr>
          <w:rFonts w:hint="eastAsia"/>
          <w:rtl/>
        </w:rPr>
        <w:t>»</w:t>
      </w:r>
      <w:r>
        <w:rPr>
          <w:rFonts w:hint="cs"/>
          <w:rtl/>
        </w:rPr>
        <w:t>- قاله شيخنا د. يعقوب الباحسين في كتابه : قاعدة اليقين لا يزول بالشك، ص20-.</w:t>
      </w:r>
    </w:p>
    <w:p w:rsidR="00035BE3" w:rsidRDefault="00035BE3" w:rsidP="003D5367">
      <w:pPr>
        <w:pStyle w:val="a6"/>
        <w:ind w:left="422" w:firstLine="0"/>
        <w:rPr>
          <w:rtl/>
        </w:rPr>
      </w:pPr>
      <w:r>
        <w:rPr>
          <w:rFonts w:hint="cs"/>
          <w:rtl/>
        </w:rPr>
        <w:t>وقد سبق أن ذكر المؤلف قاعدةً من قواعد الاستصحاب، وعند التعليق عليها تمَّ ذِكْرُ طائفةٍ من كتب الأصوليين، ص307 (ل10/أ)، قاعدة 22.</w:t>
      </w:r>
    </w:p>
    <w:p w:rsidR="00035BE3" w:rsidRDefault="00035BE3" w:rsidP="003D5367">
      <w:pPr>
        <w:pStyle w:val="a6"/>
        <w:ind w:left="422" w:firstLine="0"/>
        <w:rPr>
          <w:rtl/>
        </w:rPr>
      </w:pPr>
      <w:r>
        <w:rPr>
          <w:rFonts w:hint="cs"/>
          <w:rtl/>
        </w:rPr>
        <w:t xml:space="preserve">أما </w:t>
      </w:r>
      <w:r>
        <w:rPr>
          <w:rFonts w:hint="cs"/>
          <w:b/>
          <w:bCs/>
          <w:rtl/>
        </w:rPr>
        <w:t>كتب القواعد</w:t>
      </w:r>
      <w:r>
        <w:rPr>
          <w:rFonts w:hint="cs"/>
          <w:rtl/>
        </w:rPr>
        <w:t xml:space="preserve"> التي وردت فيها القاعدة فمنها :</w:t>
      </w:r>
    </w:p>
    <w:p w:rsidR="00035BE3" w:rsidRDefault="00035BE3" w:rsidP="003D5367">
      <w:pPr>
        <w:pStyle w:val="a6"/>
        <w:ind w:left="422" w:firstLine="0"/>
        <w:rPr>
          <w:spacing w:val="4"/>
          <w:rtl/>
        </w:rPr>
      </w:pPr>
      <w:r w:rsidRPr="00446B1D">
        <w:rPr>
          <w:rFonts w:hint="cs"/>
          <w:rtl/>
        </w:rPr>
        <w:t xml:space="preserve">الأصول للكرخي، ص161- حيث قال في أصله الأول: </w:t>
      </w:r>
      <w:r w:rsidRPr="00446B1D">
        <w:rPr>
          <w:rFonts w:hint="eastAsia"/>
          <w:rtl/>
        </w:rPr>
        <w:t>«</w:t>
      </w:r>
      <w:r w:rsidRPr="00446B1D">
        <w:rPr>
          <w:rFonts w:hint="cs"/>
          <w:rtl/>
        </w:rPr>
        <w:t>الأصل أن ما ثبت باليقين لا يزول بالشك</w:t>
      </w:r>
      <w:r w:rsidRPr="00446B1D">
        <w:rPr>
          <w:rFonts w:hint="eastAsia"/>
          <w:rtl/>
        </w:rPr>
        <w:t>»</w:t>
      </w:r>
      <w:r w:rsidRPr="00446B1D">
        <w:rPr>
          <w:rFonts w:hint="cs"/>
          <w:rtl/>
        </w:rPr>
        <w:t xml:space="preserve">-؛ المجموع المذهب، 1/303؛ الأشباه والنظائرلابن السبكي، 1/13؛ المنثور، 2/286؛ الأشباه لابن الملقِّن، 1/225، قاعدة 15 </w:t>
      </w:r>
      <w:r w:rsidRPr="00446B1D">
        <w:rPr>
          <w:rtl/>
        </w:rPr>
        <w:t>–</w:t>
      </w:r>
      <w:r w:rsidRPr="00446B1D">
        <w:rPr>
          <w:rFonts w:hint="cs"/>
          <w:rtl/>
        </w:rPr>
        <w:t xml:space="preserve"> ولفظه: </w:t>
      </w:r>
      <w:r w:rsidRPr="00446B1D">
        <w:rPr>
          <w:rFonts w:hint="eastAsia"/>
          <w:rtl/>
        </w:rPr>
        <w:t>«</w:t>
      </w:r>
      <w:r w:rsidRPr="00446B1D">
        <w:rPr>
          <w:rFonts w:hint="cs"/>
          <w:rtl/>
        </w:rPr>
        <w:t>لا يزول اليقين بالشك إلا في أحد عشر [هكذا في المطبوع!] مسألة...</w:t>
      </w:r>
      <w:r w:rsidRPr="00446B1D">
        <w:rPr>
          <w:rFonts w:hint="eastAsia"/>
          <w:rtl/>
        </w:rPr>
        <w:t>»</w:t>
      </w:r>
      <w:r w:rsidRPr="00446B1D">
        <w:rPr>
          <w:rFonts w:hint="cs"/>
          <w:rtl/>
        </w:rPr>
        <w:t xml:space="preserve">-؛ القواعد للحصني، 1/268؛ مختصر من قواعد العلائي، </w:t>
      </w:r>
      <w:r>
        <w:rPr>
          <w:rFonts w:hint="cs"/>
          <w:rtl/>
        </w:rPr>
        <w:t>1/176</w:t>
      </w:r>
      <w:r>
        <w:rPr>
          <w:rFonts w:hint="cs"/>
          <w:spacing w:val="4"/>
          <w:rtl/>
        </w:rPr>
        <w:t>؛ الأشباه للسيوطي، 1/151؛ ولابن نجيم، ص75، 270؛ غمز عيون البصائر، 1/193، 2/419؛ الفرائد البهية وشرحاها : الأقمار المضيئة، ص78؛ والمواهب السنية وحاشيتها : الفوائد الجنية، 1/195؛ مجلة الأحكام العدلية، مادة 4؛ شرحها لسليم رستم، 1/20؛ ولعلي حيدر، 1/20؛ وللأتاسي، 1/18؛ وشرح قواعدها للزرقا، ص79؛ رسالة في القواعد الفقهية للشيخ عبد الرحمن السعدي، ص25، البيت رقم 18- ولفظه :</w:t>
      </w:r>
    </w:p>
    <w:p w:rsidR="00035BE3" w:rsidRDefault="00035BE3" w:rsidP="003D5367">
      <w:pPr>
        <w:pStyle w:val="a6"/>
        <w:ind w:left="422" w:hanging="454"/>
        <w:jc w:val="center"/>
        <w:rPr>
          <w:b/>
          <w:bCs/>
          <w:rtl/>
        </w:rPr>
      </w:pPr>
      <w:r>
        <w:rPr>
          <w:rFonts w:hint="cs"/>
          <w:b/>
          <w:bCs/>
          <w:rtl/>
        </w:rPr>
        <w:t xml:space="preserve">    وتــرجــع الأحـكـام للـيـقـين        فـلا يـزيـل الـشـك للـيـقـيـن</w:t>
      </w:r>
      <w:r>
        <w:rPr>
          <w:rFonts w:hint="eastAsia"/>
          <w:b/>
          <w:bCs/>
          <w:rtl/>
        </w:rPr>
        <w:t>»</w:t>
      </w:r>
      <w:r>
        <w:rPr>
          <w:rFonts w:hint="cs"/>
          <w:b/>
          <w:bCs/>
          <w:rtl/>
        </w:rPr>
        <w:t>؛</w:t>
      </w:r>
    </w:p>
    <w:p w:rsidR="00035BE3" w:rsidRDefault="00035BE3" w:rsidP="003D5367">
      <w:pPr>
        <w:pStyle w:val="a6"/>
        <w:ind w:left="422" w:firstLine="0"/>
        <w:rPr>
          <w:spacing w:val="6"/>
          <w:rtl/>
        </w:rPr>
      </w:pPr>
      <w:r>
        <w:rPr>
          <w:rFonts w:hint="cs"/>
          <w:spacing w:val="6"/>
          <w:rtl/>
        </w:rPr>
        <w:t>قواعد الفقه للمجدّدي، ص143، قاعدة 421؛ المدخل الفقهي العام، 2/967، فقرة 574؛ القواعد الفقهية للدكتور علي الندوي، ص354؛ الوجيز، ص102؛ القواعد الفقهية في بابي العبادات والمعاملات، ص301؛ القواعد الفقهية لشيخنا أ.د. صالح السدلان، ص97؛ المدخل إلى القواعد الفقهية، ص78.</w:t>
      </w:r>
    </w:p>
    <w:p w:rsidR="00035BE3" w:rsidRDefault="00035BE3" w:rsidP="003D5367">
      <w:pPr>
        <w:pStyle w:val="a6"/>
        <w:ind w:left="422" w:firstLine="0"/>
        <w:rPr>
          <w:rtl/>
        </w:rPr>
      </w:pPr>
      <w:r>
        <w:rPr>
          <w:rFonts w:hint="cs"/>
          <w:rtl/>
        </w:rPr>
        <w:t>وممّا يجدر التنبيه عليه أن هناك كتاباً تزيد صفحاته على 280 صفحة أُفرد للحديث عن هذه القاعدة، وهو كتاب : قاعدة اليقين لا يزول بالشك لشيخنا د. يعقوب الباحسين.</w:t>
      </w:r>
    </w:p>
    <w:p w:rsidR="00035BE3" w:rsidRDefault="00035BE3" w:rsidP="003D5367">
      <w:pPr>
        <w:pStyle w:val="a6"/>
        <w:ind w:left="422" w:firstLine="0"/>
        <w:rPr>
          <w:rtl/>
        </w:rPr>
      </w:pPr>
      <w:r>
        <w:rPr>
          <w:rFonts w:hint="cs"/>
          <w:b/>
          <w:bCs/>
          <w:rtl/>
        </w:rPr>
        <w:t>أما كتب الفقه</w:t>
      </w:r>
      <w:r>
        <w:rPr>
          <w:rFonts w:hint="cs"/>
          <w:rtl/>
        </w:rPr>
        <w:t xml:space="preserve"> فمنها : المبسوط، 1/121، 8/121؛ بدائع الصنائع، 1/73؛ المغني، 1/44، 73، 85، 141، 244، 270، 426-427، 430، 2/512، 10/514، 12/103؛ الكافي لابن قدامة، 1/486، 3/220؛ إعانة الطالبين، 1/105، 1/53؛ فتح القدير، 1/54، 186؛ المبدع، 7/380، 10/176؛ البحر الرائق، 1/32، 34، 131، 227، 6/26، 7/43؛ مغني المحتاج، 1/39؛ كشاف القناع، 5/105. </w:t>
      </w:r>
    </w:p>
  </w:footnote>
  <w:footnote w:id="503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المراد باليقين في : الأشباه لابن نجيم، ص79؛ قاعدة : اليقين لا يزول بالشك، ص35.</w:t>
      </w:r>
    </w:p>
  </w:footnote>
  <w:footnote w:id="503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Default="00035BE3" w:rsidP="003D5367">
      <w:pPr>
        <w:pStyle w:val="a6"/>
        <w:ind w:left="422" w:firstLine="0"/>
        <w:rPr>
          <w:rtl/>
        </w:rPr>
      </w:pPr>
      <w:r>
        <w:rPr>
          <w:rFonts w:hint="cs"/>
          <w:rtl/>
        </w:rPr>
        <w:t>أن الأجناس المنصوصة كل واحد منها ينظر إليه باعتبار ذاته، لا باعتباره نائبًا عن غيره؛ لهذا فإن كل واحد منها لا يصح أن ينوب عنه ما يساويه من غيره.</w:t>
      </w:r>
    </w:p>
    <w:p w:rsidR="00035BE3" w:rsidRPr="00777CB7" w:rsidRDefault="00035BE3" w:rsidP="003D5367">
      <w:pPr>
        <w:pStyle w:val="a6"/>
        <w:ind w:left="422" w:firstLine="0"/>
        <w:rPr>
          <w:rtl/>
        </w:rPr>
      </w:pPr>
      <w:r w:rsidRPr="00777CB7">
        <w:rPr>
          <w:rFonts w:hint="cs"/>
          <w:rtl/>
        </w:rPr>
        <w:t xml:space="preserve">وقد ألمح صاحب (العناية) </w:t>
      </w:r>
      <w:r w:rsidRPr="00777CB7">
        <w:rPr>
          <w:rtl/>
        </w:rPr>
        <w:t>–</w:t>
      </w:r>
      <w:r w:rsidRPr="00777CB7">
        <w:rPr>
          <w:rFonts w:hint="cs"/>
          <w:rtl/>
        </w:rPr>
        <w:t xml:space="preserve">4/268- إلى شيء من هذا المعنى حينما علّل للفرع الذي سيذكره المؤلف بقوله: </w:t>
      </w:r>
      <w:r w:rsidRPr="00777CB7">
        <w:rPr>
          <w:rFonts w:hint="eastAsia"/>
          <w:rtl/>
        </w:rPr>
        <w:t>«</w:t>
      </w:r>
      <w:r w:rsidRPr="00777CB7">
        <w:rPr>
          <w:rFonts w:hint="cs"/>
          <w:rtl/>
        </w:rPr>
        <w:t>إذْ الأصل فيه أنَّ كلَّ جنس هو منصوص عليه من الطعام لا يكون بدلاً عن جنس آخر هو منصوص عليه، وإن كان في القيمة أكثر؛ لأنه لا اعتبار لمعنى النص في المنصوص عليه، وإنما الاعتبار له في غيره</w:t>
      </w:r>
      <w:r w:rsidRPr="00777CB7">
        <w:rPr>
          <w:rFonts w:hint="eastAsia"/>
          <w:rtl/>
        </w:rPr>
        <w:t>»</w:t>
      </w:r>
      <w:r w:rsidRPr="00777CB7">
        <w:rPr>
          <w:rFonts w:hint="cs"/>
          <w:rtl/>
        </w:rPr>
        <w:t>.</w:t>
      </w:r>
    </w:p>
    <w:p w:rsidR="00035BE3" w:rsidRDefault="00035BE3" w:rsidP="003D5367">
      <w:pPr>
        <w:pStyle w:val="a6"/>
        <w:ind w:left="422" w:firstLine="0"/>
        <w:rPr>
          <w:rtl/>
        </w:rPr>
      </w:pPr>
      <w:r>
        <w:rPr>
          <w:rFonts w:hint="cs"/>
          <w:rtl/>
        </w:rPr>
        <w:t>والجملة الأخيرة معناها : وإنما الاعتبار لمعنى النص وقيمته في غير المنصوص عليه.</w:t>
      </w:r>
    </w:p>
    <w:p w:rsidR="00035BE3" w:rsidRDefault="00035BE3" w:rsidP="003D5367">
      <w:pPr>
        <w:pStyle w:val="a6"/>
        <w:ind w:left="422" w:firstLine="0"/>
        <w:rPr>
          <w:rtl/>
        </w:rPr>
      </w:pPr>
      <w:r>
        <w:rPr>
          <w:rFonts w:hint="cs"/>
          <w:rtl/>
        </w:rPr>
        <w:t>انظر : حاشية سعدي أفندي على العناية، 4/268.</w:t>
      </w:r>
    </w:p>
    <w:p w:rsidR="00035BE3" w:rsidRDefault="00035BE3" w:rsidP="003D5367">
      <w:pPr>
        <w:pStyle w:val="a6"/>
        <w:ind w:left="422" w:firstLine="0"/>
        <w:rPr>
          <w:rtl/>
        </w:rPr>
      </w:pPr>
      <w:r>
        <w:rPr>
          <w:rFonts w:hint="cs"/>
          <w:rtl/>
        </w:rPr>
        <w:t>هذا ما يتعلق بمعنى القاعدة.</w:t>
      </w:r>
    </w:p>
    <w:p w:rsidR="00035BE3" w:rsidRDefault="00035BE3" w:rsidP="003D5367">
      <w:pPr>
        <w:pStyle w:val="a6"/>
        <w:spacing w:line="228" w:lineRule="auto"/>
        <w:ind w:left="420" w:firstLine="0"/>
        <w:rPr>
          <w:b/>
          <w:bCs/>
          <w:rtl/>
        </w:rPr>
      </w:pPr>
      <w:r>
        <w:rPr>
          <w:rFonts w:hint="cs"/>
          <w:b/>
          <w:bCs/>
          <w:rtl/>
        </w:rPr>
        <w:t>أما توثيقها :</w:t>
      </w:r>
    </w:p>
    <w:p w:rsidR="00035BE3" w:rsidRDefault="00035BE3" w:rsidP="003D5367">
      <w:pPr>
        <w:pStyle w:val="a6"/>
        <w:spacing w:line="228" w:lineRule="auto"/>
        <w:ind w:left="420" w:firstLine="0"/>
        <w:rPr>
          <w:rtl/>
        </w:rPr>
      </w:pPr>
      <w:r>
        <w:rPr>
          <w:rFonts w:hint="cs"/>
          <w:rtl/>
        </w:rPr>
        <w:t xml:space="preserve">فقد وردت بلفظ المؤلف في الدرر شرح الغرر، 1/395، كما أن جلَّ ما سيذكره المؤلف مستفاد من (الدرر)، حيث قال صاحب (الدّرر) </w:t>
      </w:r>
      <w:r>
        <w:rPr>
          <w:rtl/>
        </w:rPr>
        <w:t>–</w:t>
      </w:r>
      <w:r>
        <w:rPr>
          <w:rFonts w:hint="cs"/>
          <w:rtl/>
        </w:rPr>
        <w:t xml:space="preserve"> عقب بيانه لمضمون ما جاء في شرح المؤلف للقاعدة-: </w:t>
      </w:r>
      <w:r>
        <w:rPr>
          <w:rFonts w:hint="eastAsia"/>
          <w:rtl/>
        </w:rPr>
        <w:t>«</w:t>
      </w:r>
      <w:r>
        <w:rPr>
          <w:rFonts w:hint="cs"/>
          <w:rtl/>
        </w:rPr>
        <w:t xml:space="preserve">وهو مبني على أصلٍ مقرّرٍ في شروح (الجامع الكبير) أنَّ </w:t>
      </w:r>
      <w:r>
        <w:rPr>
          <w:rFonts w:hint="cs"/>
          <w:b/>
          <w:bCs/>
          <w:rtl/>
        </w:rPr>
        <w:t>المنصوص لا ينوب أخاه</w:t>
      </w:r>
      <w:r>
        <w:rPr>
          <w:rFonts w:hint="eastAsia"/>
          <w:rtl/>
        </w:rPr>
        <w:t>»</w:t>
      </w:r>
      <w:r>
        <w:rPr>
          <w:rFonts w:hint="cs"/>
          <w:rtl/>
        </w:rPr>
        <w:t>.</w:t>
      </w:r>
    </w:p>
    <w:p w:rsidR="00035BE3" w:rsidRDefault="00035BE3" w:rsidP="003D5367">
      <w:pPr>
        <w:pStyle w:val="a6"/>
        <w:spacing w:line="228" w:lineRule="auto"/>
        <w:ind w:left="420" w:firstLine="0"/>
        <w:rPr>
          <w:rtl/>
        </w:rPr>
      </w:pPr>
      <w:r>
        <w:rPr>
          <w:rFonts w:hint="cs"/>
          <w:rtl/>
        </w:rPr>
        <w:t xml:space="preserve">وإشارة صاحب (الدرر) إلى وجود القاعدة في شروح (الجامع الكبير) دفعتني إلى إعادة البحث عنها في كتاب القواعد والضوابط المستخلصة من التحرير </w:t>
      </w:r>
      <w:r>
        <w:rPr>
          <w:rFonts w:hint="cs"/>
          <w:b/>
          <w:bCs/>
          <w:rtl/>
        </w:rPr>
        <w:t>شرح الجامع الكبير</w:t>
      </w:r>
      <w:r>
        <w:rPr>
          <w:rFonts w:hint="cs"/>
          <w:rtl/>
        </w:rPr>
        <w:t>، إلا أنني لم أعثر عليها، وربما تكون موجودة في شروح أخرى له.</w:t>
      </w:r>
    </w:p>
  </w:footnote>
  <w:footnote w:id="5035">
    <w:p w:rsidR="00035BE3" w:rsidRDefault="00035BE3" w:rsidP="003D5367">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إلى</w:t>
      </w:r>
      <w:r>
        <w:rPr>
          <w:rFonts w:hint="eastAsia"/>
          <w:rtl/>
        </w:rPr>
        <w:t>»</w:t>
      </w:r>
      <w:r>
        <w:rPr>
          <w:rFonts w:hint="cs"/>
          <w:rtl/>
        </w:rPr>
        <w:t>.</w:t>
      </w:r>
    </w:p>
  </w:footnote>
  <w:footnote w:id="5036">
    <w:p w:rsidR="00035BE3" w:rsidRDefault="00035BE3" w:rsidP="003D5367">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منصوبًا</w:t>
      </w:r>
      <w:r>
        <w:rPr>
          <w:rFonts w:hint="eastAsia"/>
          <w:rtl/>
        </w:rPr>
        <w:t>»</w:t>
      </w:r>
      <w:r>
        <w:rPr>
          <w:rFonts w:hint="cs"/>
          <w:rtl/>
        </w:rPr>
        <w:t>.</w:t>
      </w:r>
    </w:p>
  </w:footnote>
  <w:footnote w:id="5037">
    <w:p w:rsidR="00035BE3" w:rsidRDefault="00035BE3" w:rsidP="003D5367">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هذه الجملة تفسير للفظ (أخاه)؛ إذْ معنى كون الثاني أخًا للأول أي : من جنسه من جهة كون الثاني منصوصًا عليه كالأول.</w:t>
      </w:r>
    </w:p>
  </w:footnote>
  <w:footnote w:id="5038">
    <w:p w:rsidR="00035BE3" w:rsidRDefault="00035BE3" w:rsidP="003D5367">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والأفصح : تعينت.</w:t>
      </w:r>
    </w:p>
  </w:footnote>
  <w:footnote w:id="503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77/أ من (جـ)، مع تكرار كلمة (بإطعام) في بداية اللوحة التي تليها.</w:t>
      </w:r>
    </w:p>
  </w:footnote>
  <w:footnote w:id="504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و(د) : </w:t>
      </w:r>
      <w:r>
        <w:rPr>
          <w:rFonts w:hint="eastAsia"/>
          <w:rtl/>
        </w:rPr>
        <w:t>«</w:t>
      </w:r>
      <w:r>
        <w:rPr>
          <w:rFonts w:hint="cs"/>
          <w:rtl/>
        </w:rPr>
        <w:t>كلما</w:t>
      </w:r>
      <w:r>
        <w:rPr>
          <w:rFonts w:hint="eastAsia"/>
          <w:rtl/>
        </w:rPr>
        <w:t>»</w:t>
      </w:r>
      <w:r>
        <w:rPr>
          <w:rFonts w:hint="cs"/>
          <w:rtl/>
        </w:rPr>
        <w:t xml:space="preserve">. والصحيح ما تمَّ إثباته من (جـ)؛ وفاقًا للدرر، والمعنى : ... بإطعام المساكين، </w:t>
      </w:r>
      <w:r>
        <w:rPr>
          <w:rFonts w:hint="cs"/>
          <w:b/>
          <w:bCs/>
          <w:rtl/>
        </w:rPr>
        <w:t>كلّ مسكين</w:t>
      </w:r>
      <w:r>
        <w:rPr>
          <w:rFonts w:hint="cs"/>
          <w:rtl/>
        </w:rPr>
        <w:t xml:space="preserve"> قدر الفطرة المنصوص عليها في زكاة الفطر.</w:t>
      </w:r>
    </w:p>
  </w:footnote>
  <w:footnote w:id="504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الكفر</w:t>
      </w:r>
      <w:r>
        <w:rPr>
          <w:rFonts w:hint="eastAsia"/>
          <w:rtl/>
        </w:rPr>
        <w:t>»</w:t>
      </w:r>
      <w:r>
        <w:rPr>
          <w:rFonts w:hint="cs"/>
          <w:rtl/>
        </w:rPr>
        <w:t>.</w:t>
      </w:r>
    </w:p>
  </w:footnote>
  <w:footnote w:id="504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ولا يستقيم المعنى بدونها.</w:t>
      </w:r>
    </w:p>
  </w:footnote>
  <w:footnote w:id="504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66/ب من (ب).</w:t>
      </w:r>
    </w:p>
  </w:footnote>
  <w:footnote w:id="504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الدبيب</w:t>
      </w:r>
      <w:r>
        <w:rPr>
          <w:rFonts w:hint="eastAsia"/>
          <w:rtl/>
        </w:rPr>
        <w:t>»</w:t>
      </w:r>
      <w:r>
        <w:rPr>
          <w:rFonts w:hint="cs"/>
          <w:rtl/>
        </w:rPr>
        <w:t>.</w:t>
      </w:r>
    </w:p>
  </w:footnote>
  <w:footnote w:id="504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يحزيه</w:t>
      </w:r>
      <w:r>
        <w:rPr>
          <w:rFonts w:hint="eastAsia"/>
          <w:rtl/>
        </w:rPr>
        <w:t>»</w:t>
      </w:r>
      <w:r>
        <w:rPr>
          <w:rFonts w:hint="cs"/>
          <w:rtl/>
        </w:rPr>
        <w:t xml:space="preserve">، وفي (د) : </w:t>
      </w:r>
      <w:r>
        <w:rPr>
          <w:rFonts w:hint="eastAsia"/>
          <w:rtl/>
        </w:rPr>
        <w:t>«</w:t>
      </w:r>
      <w:r>
        <w:rPr>
          <w:rFonts w:hint="cs"/>
          <w:rtl/>
        </w:rPr>
        <w:t>لجزيه</w:t>
      </w:r>
      <w:r>
        <w:rPr>
          <w:rFonts w:hint="eastAsia"/>
          <w:rtl/>
        </w:rPr>
        <w:t>»</w:t>
      </w:r>
      <w:r>
        <w:rPr>
          <w:rFonts w:hint="cs"/>
          <w:rtl/>
        </w:rPr>
        <w:t>.</w:t>
      </w:r>
    </w:p>
  </w:footnote>
  <w:footnote w:id="504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لنصف صاع من ...</w:t>
      </w:r>
      <w:r>
        <w:rPr>
          <w:rFonts w:hint="eastAsia"/>
          <w:rtl/>
        </w:rPr>
        <w:t>»</w:t>
      </w:r>
      <w:r>
        <w:rPr>
          <w:rFonts w:hint="cs"/>
          <w:rtl/>
        </w:rPr>
        <w:t>.</w:t>
      </w:r>
    </w:p>
  </w:footnote>
  <w:footnote w:id="504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الساع</w:t>
      </w:r>
      <w:r>
        <w:rPr>
          <w:rFonts w:hint="eastAsia"/>
          <w:rtl/>
        </w:rPr>
        <w:t>»</w:t>
      </w:r>
      <w:r>
        <w:rPr>
          <w:rFonts w:hint="cs"/>
          <w:rtl/>
        </w:rPr>
        <w:t>.</w:t>
      </w:r>
    </w:p>
  </w:footnote>
  <w:footnote w:id="504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ولا يستقيم المعنى بدونها.</w:t>
      </w:r>
    </w:p>
  </w:footnote>
  <w:footnote w:id="504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من المنصوبات</w:t>
      </w:r>
      <w:r>
        <w:rPr>
          <w:rFonts w:hint="eastAsia"/>
          <w:rtl/>
        </w:rPr>
        <w:t>»</w:t>
      </w:r>
      <w:r>
        <w:rPr>
          <w:rFonts w:hint="cs"/>
          <w:rtl/>
        </w:rPr>
        <w:t>.</w:t>
      </w:r>
    </w:p>
  </w:footnote>
  <w:footnote w:id="505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ما جاء في شرح القاعدة في : الدرر شرح الغرر، 1/395؛ وانظر أيضًا : الهداية والعناية وفتح القدير، 4/268؛ البحر الرائق، 4/116؛ الدر المختار ورد المحتار، 5/143.</w:t>
      </w:r>
    </w:p>
  </w:footnote>
  <w:footnote w:id="5051">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عدّة كتب من</w:t>
      </w:r>
      <w:r>
        <w:rPr>
          <w:rFonts w:hint="cs"/>
          <w:b/>
          <w:bCs/>
          <w:rtl/>
        </w:rPr>
        <w:t xml:space="preserve"> كتب الفقه الحنفي</w:t>
      </w:r>
      <w:r>
        <w:rPr>
          <w:rFonts w:hint="cs"/>
          <w:rtl/>
        </w:rPr>
        <w:t>، منها :</w:t>
      </w:r>
    </w:p>
    <w:p w:rsidR="00035BE3" w:rsidRDefault="00035BE3" w:rsidP="003D5367">
      <w:pPr>
        <w:pStyle w:val="a6"/>
        <w:spacing w:line="500" w:lineRule="exact"/>
        <w:ind w:left="422" w:firstLine="0"/>
        <w:rPr>
          <w:spacing w:val="10"/>
          <w:rtl/>
        </w:rPr>
      </w:pPr>
      <w:r>
        <w:rPr>
          <w:rFonts w:hint="cs"/>
          <w:spacing w:val="10"/>
          <w:rtl/>
        </w:rPr>
        <w:t xml:space="preserve">الهداية والعناية وفتح القدير، 4/141 -ولفظ الهداية : </w:t>
      </w:r>
      <w:r>
        <w:rPr>
          <w:rFonts w:hint="eastAsia"/>
          <w:spacing w:val="10"/>
          <w:rtl/>
        </w:rPr>
        <w:t>«</w:t>
      </w:r>
      <w:r>
        <w:rPr>
          <w:rFonts w:hint="cs"/>
          <w:spacing w:val="10"/>
          <w:rtl/>
        </w:rPr>
        <w:t xml:space="preserve">الموت ينافي الموجب </w:t>
      </w:r>
      <w:r>
        <w:rPr>
          <w:rFonts w:hint="cs"/>
          <w:b/>
          <w:bCs/>
          <w:spacing w:val="10"/>
          <w:rtl/>
        </w:rPr>
        <w:t>دون</w:t>
      </w:r>
      <w:r>
        <w:rPr>
          <w:rFonts w:hint="cs"/>
          <w:spacing w:val="10"/>
          <w:rtl/>
        </w:rPr>
        <w:t xml:space="preserve"> المبطل</w:t>
      </w:r>
      <w:r>
        <w:rPr>
          <w:rFonts w:hint="eastAsia"/>
          <w:spacing w:val="10"/>
          <w:rtl/>
        </w:rPr>
        <w:t>»</w:t>
      </w:r>
      <w:r>
        <w:rPr>
          <w:rFonts w:hint="cs"/>
          <w:spacing w:val="10"/>
          <w:rtl/>
        </w:rPr>
        <w:t>-؛ الدّرر شرح الغرر، 1/379 -ولفظه كلفظ المؤلف-؛ البحر الرائق، 4/246- ولفظه كلفظ الهداية-.</w:t>
      </w:r>
    </w:p>
    <w:p w:rsidR="00035BE3" w:rsidRDefault="00035BE3" w:rsidP="003D5367">
      <w:pPr>
        <w:pStyle w:val="a6"/>
        <w:spacing w:line="500" w:lineRule="exact"/>
        <w:ind w:left="422" w:firstLine="0"/>
        <w:rPr>
          <w:rtl/>
        </w:rPr>
      </w:pPr>
      <w:r>
        <w:rPr>
          <w:rFonts w:hint="cs"/>
          <w:rtl/>
        </w:rPr>
        <w:t>كما وردت الإشارة إلى معناها في : ردّ المحتار، 4/626.</w:t>
      </w:r>
    </w:p>
    <w:p w:rsidR="00035BE3" w:rsidRDefault="00035BE3" w:rsidP="003D5367">
      <w:pPr>
        <w:pStyle w:val="a6"/>
        <w:spacing w:line="500" w:lineRule="exact"/>
        <w:ind w:left="422" w:firstLine="0"/>
        <w:rPr>
          <w:rtl/>
        </w:rPr>
      </w:pPr>
      <w:r>
        <w:rPr>
          <w:rFonts w:hint="cs"/>
          <w:b/>
          <w:bCs/>
          <w:rtl/>
        </w:rPr>
        <w:t>أما معناها</w:t>
      </w:r>
      <w:r>
        <w:rPr>
          <w:rFonts w:hint="cs"/>
          <w:rtl/>
        </w:rPr>
        <w:t xml:space="preserve"> : فسوف يبيّنه المؤلف في نهاية تعليقه على القاعدة.</w:t>
      </w:r>
    </w:p>
  </w:footnote>
  <w:footnote w:id="5052">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و(د) : </w:t>
      </w:r>
      <w:r>
        <w:rPr>
          <w:rFonts w:hint="eastAsia"/>
          <w:rtl/>
        </w:rPr>
        <w:t>«</w:t>
      </w:r>
      <w:r>
        <w:rPr>
          <w:rFonts w:hint="cs"/>
          <w:rtl/>
        </w:rPr>
        <w:t>أو</w:t>
      </w:r>
      <w:r>
        <w:rPr>
          <w:rFonts w:hint="eastAsia"/>
          <w:rtl/>
        </w:rPr>
        <w:t>»</w:t>
      </w:r>
      <w:r>
        <w:rPr>
          <w:rFonts w:hint="cs"/>
          <w:rtl/>
        </w:rPr>
        <w:t xml:space="preserve"> (بزيادة الألف). والصحيح ما تمَّ إثباته من (هـ) و(و).</w:t>
      </w:r>
    </w:p>
  </w:footnote>
  <w:footnote w:id="5053">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63/ب من (د).</w:t>
      </w:r>
    </w:p>
  </w:footnote>
  <w:footnote w:id="5054">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105/ب من (أ).</w:t>
      </w:r>
    </w:p>
  </w:footnote>
  <w:footnote w:id="5055">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العناية) : زيادة </w:t>
      </w:r>
      <w:r>
        <w:rPr>
          <w:rFonts w:hint="eastAsia"/>
          <w:rtl/>
        </w:rPr>
        <w:t>«</w:t>
      </w:r>
      <w:r>
        <w:rPr>
          <w:rFonts w:hint="cs"/>
          <w:rtl/>
        </w:rPr>
        <w:t>من</w:t>
      </w:r>
      <w:r>
        <w:rPr>
          <w:rFonts w:hint="eastAsia"/>
          <w:rtl/>
        </w:rPr>
        <w:t>»</w:t>
      </w:r>
      <w:r>
        <w:rPr>
          <w:rFonts w:hint="cs"/>
          <w:rtl/>
        </w:rPr>
        <w:t>.</w:t>
      </w:r>
    </w:p>
  </w:footnote>
  <w:footnote w:id="5056">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4/141 -مع الاختلاف اليسير الذي سبق بيانه، ويضاف إليه أن صاحب العناية قال في بداية العبارة : </w:t>
      </w:r>
      <w:r>
        <w:rPr>
          <w:rFonts w:hint="eastAsia"/>
          <w:rtl/>
        </w:rPr>
        <w:t>«</w:t>
      </w:r>
      <w:r>
        <w:rPr>
          <w:rFonts w:hint="cs"/>
          <w:b/>
          <w:bCs/>
          <w:rtl/>
        </w:rPr>
        <w:t>لا</w:t>
      </w:r>
      <w:r>
        <w:rPr>
          <w:rFonts w:hint="cs"/>
          <w:rtl/>
        </w:rPr>
        <w:t xml:space="preserve"> يقع  ...</w:t>
      </w:r>
      <w:r>
        <w:rPr>
          <w:rFonts w:hint="eastAsia"/>
          <w:rtl/>
        </w:rPr>
        <w:t>»</w:t>
      </w:r>
      <w:r>
        <w:rPr>
          <w:rFonts w:hint="cs"/>
          <w:rtl/>
        </w:rPr>
        <w:t>-؛ وانظر مصادر القاعدة الأخرى.</w:t>
      </w:r>
    </w:p>
  </w:footnote>
  <w:footnote w:id="5057">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w:t>
      </w:r>
      <w:r>
        <w:rPr>
          <w:rFonts w:hint="eastAsia"/>
          <w:rtl/>
        </w:rPr>
        <w:t>«</w:t>
      </w:r>
      <w:r>
        <w:rPr>
          <w:rFonts w:hint="cs"/>
          <w:rtl/>
        </w:rPr>
        <w:t>وجد</w:t>
      </w:r>
      <w:r>
        <w:rPr>
          <w:rFonts w:hint="eastAsia"/>
          <w:rtl/>
        </w:rPr>
        <w:t>»</w:t>
      </w:r>
      <w:r>
        <w:rPr>
          <w:rFonts w:hint="cs"/>
          <w:rtl/>
        </w:rPr>
        <w:t>.</w:t>
      </w:r>
    </w:p>
  </w:footnote>
  <w:footnote w:id="5058">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4/141 -مع الاختلاف الذي سبق بيانه-.</w:t>
      </w:r>
    </w:p>
  </w:footnote>
  <w:footnote w:id="5059">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يموت</w:t>
      </w:r>
      <w:r>
        <w:rPr>
          <w:rFonts w:hint="eastAsia"/>
          <w:rtl/>
        </w:rPr>
        <w:t>»</w:t>
      </w:r>
      <w:r>
        <w:rPr>
          <w:rFonts w:hint="cs"/>
          <w:rtl/>
        </w:rPr>
        <w:t>.</w:t>
      </w:r>
    </w:p>
  </w:footnote>
  <w:footnote w:id="506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ما</w:t>
      </w:r>
      <w:r>
        <w:rPr>
          <w:rFonts w:hint="eastAsia"/>
          <w:rtl/>
        </w:rPr>
        <w:t>»</w:t>
      </w:r>
      <w:r>
        <w:rPr>
          <w:rFonts w:hint="cs"/>
          <w:rtl/>
        </w:rPr>
        <w:t xml:space="preserve"> : ساقطة من (د).</w:t>
      </w:r>
    </w:p>
  </w:footnote>
  <w:footnote w:id="506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4/141، مع اختلاف في نهاية العبارة، حيث جاء في العناية : </w:t>
      </w:r>
      <w:r>
        <w:rPr>
          <w:rFonts w:hint="eastAsia"/>
          <w:rtl/>
        </w:rPr>
        <w:t>«</w:t>
      </w:r>
      <w:r>
        <w:rPr>
          <w:rFonts w:hint="cs"/>
          <w:rtl/>
        </w:rPr>
        <w:t>... بخلاف الموجب، فإن المبطل ينافيه، فيرفعه</w:t>
      </w:r>
      <w:r>
        <w:rPr>
          <w:rFonts w:hint="eastAsia"/>
          <w:rtl/>
        </w:rPr>
        <w:t>»</w:t>
      </w:r>
      <w:r>
        <w:rPr>
          <w:rFonts w:hint="cs"/>
          <w:rtl/>
        </w:rPr>
        <w:t>.</w:t>
      </w:r>
    </w:p>
    <w:p w:rsidR="00035BE3" w:rsidRDefault="00035BE3" w:rsidP="003D5367">
      <w:pPr>
        <w:pStyle w:val="a6"/>
        <w:ind w:left="422" w:firstLine="0"/>
        <w:rPr>
          <w:rtl/>
        </w:rPr>
      </w:pPr>
      <w:r>
        <w:rPr>
          <w:rFonts w:hint="cs"/>
          <w:rtl/>
        </w:rPr>
        <w:t xml:space="preserve">كما أن الاعتراض المذكور أورده صاحب فتح القدير -4/141- بعبارة مختصرة وفيها إيضاح للقاعدة، حيث قال : </w:t>
      </w:r>
      <w:r>
        <w:rPr>
          <w:rFonts w:hint="eastAsia"/>
          <w:rtl/>
        </w:rPr>
        <w:t>«</w:t>
      </w:r>
      <w:r>
        <w:rPr>
          <w:rFonts w:hint="cs"/>
          <w:rtl/>
        </w:rPr>
        <w:t>وقَوْلُهُ : والموت ينافي ... إلى آخره : جوابٌ عن مقدّر، هو : أن الموت ينافي الواقع من الطلاق، حتى  لو قال لها : أنت طالق، أو طالق ثلاثًا. فماتت قبل الوصف أو العدد : لا يقع. فينبغي أن ينافي الاستثناء (وهو المبطل) فيقع الطلاق!.</w:t>
      </w:r>
    </w:p>
    <w:p w:rsidR="00035BE3" w:rsidRDefault="00035BE3" w:rsidP="003D5367">
      <w:pPr>
        <w:pStyle w:val="a6"/>
        <w:ind w:left="422" w:firstLine="0"/>
        <w:rPr>
          <w:rtl/>
        </w:rPr>
      </w:pPr>
      <w:r>
        <w:rPr>
          <w:rFonts w:hint="cs"/>
          <w:rtl/>
        </w:rPr>
        <w:t>أجاب : بأن الموت ينافي الموجب، فيبطل به، ويناسب الاستثناء فلا يبطل به</w:t>
      </w:r>
      <w:r>
        <w:rPr>
          <w:rFonts w:hint="eastAsia"/>
          <w:rtl/>
        </w:rPr>
        <w:t>»</w:t>
      </w:r>
      <w:r>
        <w:rPr>
          <w:rFonts w:hint="cs"/>
          <w:rtl/>
        </w:rPr>
        <w:t>.</w:t>
      </w:r>
    </w:p>
  </w:footnote>
  <w:footnote w:id="506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الحكم</w:t>
      </w:r>
      <w:r>
        <w:rPr>
          <w:rFonts w:hint="eastAsia"/>
          <w:rtl/>
        </w:rPr>
        <w:t>»</w:t>
      </w:r>
      <w:r>
        <w:rPr>
          <w:rFonts w:hint="cs"/>
          <w:rtl/>
        </w:rPr>
        <w:t>.</w:t>
      </w:r>
    </w:p>
  </w:footnote>
  <w:footnote w:id="5063">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أصولية تحكي منهج الحنفية في تقسيم اللفظ باعتبار الوضوح في الدلالة على معناه، وترتيب هذه الأقسام -وسوف يشير المؤلف إلى معاني هذه الأقسام- :</w:t>
      </w:r>
    </w:p>
    <w:p w:rsidR="00035BE3" w:rsidRDefault="00035BE3" w:rsidP="003D5367">
      <w:pPr>
        <w:pStyle w:val="a6"/>
        <w:spacing w:line="480" w:lineRule="exact"/>
        <w:ind w:left="422" w:firstLine="0"/>
        <w:rPr>
          <w:rtl/>
        </w:rPr>
      </w:pPr>
      <w:r>
        <w:rPr>
          <w:rFonts w:hint="cs"/>
          <w:b/>
          <w:bCs/>
          <w:rtl/>
        </w:rPr>
        <w:t>فأولها</w:t>
      </w:r>
      <w:r>
        <w:rPr>
          <w:rFonts w:hint="cs"/>
          <w:rtl/>
        </w:rPr>
        <w:t xml:space="preserve"> : الظاهر، وهو أقل الأقسام وضوحًا، ويعرفونه بأنه : </w:t>
      </w:r>
      <w:r>
        <w:rPr>
          <w:rFonts w:hint="eastAsia"/>
          <w:rtl/>
        </w:rPr>
        <w:t>«</w:t>
      </w:r>
      <w:r>
        <w:rPr>
          <w:rFonts w:hint="cs"/>
          <w:rtl/>
        </w:rPr>
        <w:t>ما ظهر المراد منه بنفس الصيغة</w:t>
      </w:r>
      <w:r>
        <w:rPr>
          <w:rFonts w:hint="eastAsia"/>
          <w:rtl/>
        </w:rPr>
        <w:t>»</w:t>
      </w:r>
      <w:r>
        <w:rPr>
          <w:rFonts w:hint="cs"/>
          <w:rtl/>
        </w:rPr>
        <w:t>.</w:t>
      </w:r>
    </w:p>
    <w:p w:rsidR="00035BE3" w:rsidRDefault="00035BE3" w:rsidP="003D5367">
      <w:pPr>
        <w:pStyle w:val="a6"/>
        <w:spacing w:line="480" w:lineRule="exact"/>
        <w:ind w:left="422" w:firstLine="0"/>
        <w:rPr>
          <w:rtl/>
        </w:rPr>
      </w:pPr>
      <w:r>
        <w:rPr>
          <w:rFonts w:hint="cs"/>
          <w:b/>
          <w:bCs/>
          <w:rtl/>
        </w:rPr>
        <w:t>وثانيها</w:t>
      </w:r>
      <w:r>
        <w:rPr>
          <w:rFonts w:hint="cs"/>
          <w:rtl/>
        </w:rPr>
        <w:t xml:space="preserve"> : النصّ، وهو عندهم : </w:t>
      </w:r>
      <w:r>
        <w:rPr>
          <w:rFonts w:hint="eastAsia"/>
          <w:rtl/>
        </w:rPr>
        <w:t>«</w:t>
      </w:r>
      <w:r>
        <w:rPr>
          <w:rFonts w:hint="cs"/>
          <w:rtl/>
        </w:rPr>
        <w:t>ما ازداد وضوحًا على الظاهر بمعنى في المتكلِّم</w:t>
      </w:r>
      <w:r>
        <w:rPr>
          <w:rFonts w:hint="eastAsia"/>
          <w:rtl/>
        </w:rPr>
        <w:t>»</w:t>
      </w:r>
      <w:r>
        <w:rPr>
          <w:rFonts w:hint="cs"/>
          <w:rtl/>
        </w:rPr>
        <w:t>.</w:t>
      </w:r>
    </w:p>
    <w:p w:rsidR="00035BE3" w:rsidRDefault="00035BE3" w:rsidP="003D5367">
      <w:pPr>
        <w:pStyle w:val="a6"/>
        <w:spacing w:line="480" w:lineRule="exact"/>
        <w:ind w:left="422" w:firstLine="0"/>
        <w:rPr>
          <w:rtl/>
        </w:rPr>
      </w:pPr>
      <w:r>
        <w:rPr>
          <w:rFonts w:hint="cs"/>
          <w:rtl/>
        </w:rPr>
        <w:t xml:space="preserve">ومثالهما : </w:t>
      </w:r>
      <w:r>
        <w:rPr>
          <w:rFonts w:hint="eastAsia"/>
          <w:rtl/>
        </w:rPr>
        <w:t>«</w:t>
      </w:r>
      <w:r>
        <w:rPr>
          <w:rFonts w:hint="cs"/>
          <w:rtl/>
        </w:rPr>
        <w:t xml:space="preserve">قوله تعالى : </w:t>
      </w:r>
      <w:r>
        <w:rPr>
          <w:color w:val="000000"/>
          <w:szCs w:val="20"/>
        </w:rPr>
        <w:sym w:font="HQPB2" w:char="F0E2"/>
      </w:r>
      <w:r>
        <w:rPr>
          <w:color w:val="000000"/>
          <w:szCs w:val="20"/>
          <w:rtl/>
        </w:rPr>
        <w:t xml:space="preserve"> </w:t>
      </w:r>
      <w:r>
        <w:rPr>
          <w:color w:val="000000"/>
          <w:szCs w:val="20"/>
        </w:rPr>
        <w:sym w:font="HQPB4" w:char="F0A8"/>
      </w:r>
      <w:r>
        <w:rPr>
          <w:color w:val="000000"/>
          <w:szCs w:val="20"/>
        </w:rPr>
        <w:sym w:font="HQPB2" w:char="F040"/>
      </w:r>
      <w:r>
        <w:rPr>
          <w:color w:val="000000"/>
          <w:szCs w:val="20"/>
        </w:rPr>
        <w:sym w:font="HQPB5" w:char="F079"/>
      </w:r>
      <w:r>
        <w:rPr>
          <w:color w:val="000000"/>
          <w:szCs w:val="20"/>
        </w:rPr>
        <w:sym w:font="HQPB1" w:char="F06D"/>
      </w:r>
      <w:r>
        <w:rPr>
          <w:color w:val="000000"/>
          <w:szCs w:val="20"/>
        </w:rPr>
        <w:sym w:font="HQPB5" w:char="F072"/>
      </w:r>
      <w:r>
        <w:rPr>
          <w:color w:val="000000"/>
          <w:szCs w:val="20"/>
        </w:rPr>
        <w:sym w:font="HQPB1" w:char="F026"/>
      </w:r>
      <w:r>
        <w:rPr>
          <w:color w:val="000000"/>
          <w:szCs w:val="20"/>
        </w:rPr>
        <w:sym w:font="HQPB5" w:char="F075"/>
      </w:r>
      <w:r>
        <w:rPr>
          <w:color w:val="000000"/>
          <w:szCs w:val="20"/>
        </w:rPr>
        <w:sym w:font="HQPB2" w:char="F072"/>
      </w:r>
      <w:r>
        <w:rPr>
          <w:color w:val="000000"/>
          <w:szCs w:val="20"/>
          <w:rtl/>
        </w:rPr>
        <w:t xml:space="preserve"> </w:t>
      </w:r>
      <w:r>
        <w:rPr>
          <w:color w:val="000000"/>
          <w:szCs w:val="20"/>
        </w:rPr>
        <w:sym w:font="HQPB5" w:char="F0AA"/>
      </w:r>
      <w:r>
        <w:rPr>
          <w:color w:val="000000"/>
          <w:szCs w:val="20"/>
        </w:rPr>
        <w:sym w:font="HQPB1" w:char="F021"/>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5" w:char="F079"/>
      </w:r>
      <w:r>
        <w:rPr>
          <w:color w:val="000000"/>
          <w:szCs w:val="20"/>
        </w:rPr>
        <w:sym w:font="HQPB1" w:char="F0EC"/>
      </w:r>
      <w:r>
        <w:rPr>
          <w:color w:val="000000"/>
          <w:szCs w:val="20"/>
        </w:rPr>
        <w:sym w:font="HQPB4" w:char="F0F8"/>
      </w:r>
      <w:r>
        <w:rPr>
          <w:color w:val="000000"/>
          <w:szCs w:val="20"/>
        </w:rPr>
        <w:sym w:font="HQPB2" w:char="F08B"/>
      </w:r>
      <w:r>
        <w:rPr>
          <w:color w:val="000000"/>
          <w:szCs w:val="20"/>
        </w:rPr>
        <w:sym w:font="HQPB5" w:char="F074"/>
      </w:r>
      <w:r>
        <w:rPr>
          <w:color w:val="000000"/>
          <w:szCs w:val="20"/>
        </w:rPr>
        <w:sym w:font="HQPB1" w:char="F037"/>
      </w:r>
      <w:r>
        <w:rPr>
          <w:color w:val="000000"/>
          <w:szCs w:val="20"/>
        </w:rPr>
        <w:sym w:font="HQPB4" w:char="F0F8"/>
      </w:r>
      <w:r>
        <w:rPr>
          <w:color w:val="000000"/>
          <w:szCs w:val="20"/>
        </w:rPr>
        <w:sym w:font="HQPB2" w:char="F039"/>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5" w:char="F074"/>
      </w:r>
      <w:r>
        <w:rPr>
          <w:color w:val="000000"/>
          <w:szCs w:val="20"/>
        </w:rPr>
        <w:sym w:font="HQPB2" w:char="F050"/>
      </w:r>
      <w:r>
        <w:rPr>
          <w:color w:val="000000"/>
          <w:szCs w:val="20"/>
        </w:rPr>
        <w:sym w:font="HQPB4" w:char="F0A7"/>
      </w:r>
      <w:r>
        <w:rPr>
          <w:color w:val="000000"/>
          <w:szCs w:val="20"/>
        </w:rPr>
        <w:sym w:font="HQPB1" w:char="F08D"/>
      </w:r>
      <w:r>
        <w:rPr>
          <w:color w:val="000000"/>
          <w:szCs w:val="20"/>
        </w:rPr>
        <w:sym w:font="HQPB5" w:char="F079"/>
      </w:r>
      <w:r>
        <w:rPr>
          <w:color w:val="000000"/>
          <w:szCs w:val="20"/>
        </w:rPr>
        <w:sym w:font="HQPB1" w:char="F06D"/>
      </w:r>
      <w:r>
        <w:rPr>
          <w:color w:val="000000"/>
          <w:szCs w:val="20"/>
        </w:rPr>
        <w:sym w:font="HQPB5" w:char="F075"/>
      </w:r>
      <w:r>
        <w:rPr>
          <w:color w:val="000000"/>
          <w:szCs w:val="20"/>
        </w:rPr>
        <w:sym w:font="HQPB2" w:char="F072"/>
      </w:r>
      <w:r>
        <w:rPr>
          <w:color w:val="000000"/>
          <w:szCs w:val="20"/>
          <w:rtl/>
        </w:rPr>
        <w:t xml:space="preserve"> </w:t>
      </w:r>
      <w:r>
        <w:rPr>
          <w:color w:val="000000"/>
          <w:szCs w:val="20"/>
        </w:rPr>
        <w:sym w:font="HQPB5" w:char="F028"/>
      </w:r>
      <w:r>
        <w:rPr>
          <w:color w:val="000000"/>
          <w:szCs w:val="20"/>
        </w:rPr>
        <w:sym w:font="HQPB1" w:char="F023"/>
      </w:r>
      <w:r>
        <w:rPr>
          <w:color w:val="000000"/>
          <w:szCs w:val="20"/>
        </w:rPr>
        <w:sym w:font="HQPB5" w:char="F034"/>
      </w:r>
      <w:r>
        <w:rPr>
          <w:color w:val="000000"/>
          <w:szCs w:val="20"/>
        </w:rPr>
        <w:sym w:font="HQPB2" w:char="F071"/>
      </w:r>
      <w:r>
        <w:rPr>
          <w:color w:val="000000"/>
          <w:szCs w:val="20"/>
        </w:rPr>
        <w:sym w:font="HQPB5" w:char="F074"/>
      </w:r>
      <w:r>
        <w:rPr>
          <w:color w:val="000000"/>
          <w:szCs w:val="20"/>
        </w:rPr>
        <w:sym w:font="HQPB1" w:char="F02F"/>
      </w:r>
      <w:r>
        <w:rPr>
          <w:color w:val="000000"/>
          <w:szCs w:val="20"/>
        </w:rPr>
        <w:sym w:font="HQPB4" w:char="F0CC"/>
      </w:r>
      <w:r>
        <w:rPr>
          <w:color w:val="000000"/>
          <w:szCs w:val="20"/>
        </w:rPr>
        <w:sym w:font="HQPB4" w:char="F068"/>
      </w:r>
      <w:r>
        <w:rPr>
          <w:color w:val="000000"/>
          <w:szCs w:val="20"/>
        </w:rPr>
        <w:sym w:font="HQPB1" w:char="F08D"/>
      </w:r>
      <w:r>
        <w:rPr>
          <w:color w:val="000000"/>
          <w:szCs w:val="20"/>
        </w:rPr>
        <w:sym w:font="HQPB2" w:char="F039"/>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4" w:char="F034"/>
      </w:r>
      <w:r>
        <w:rPr>
          <w:color w:val="000000"/>
          <w:szCs w:val="20"/>
          <w:rtl/>
        </w:rPr>
        <w:t xml:space="preserve"> </w:t>
      </w:r>
      <w:r>
        <w:rPr>
          <w:color w:val="000000"/>
          <w:szCs w:val="20"/>
        </w:rPr>
        <w:sym w:font="HQPB2" w:char="F0E1"/>
      </w:r>
      <w:r>
        <w:rPr>
          <w:rFonts w:hint="cs"/>
          <w:rtl/>
        </w:rPr>
        <w:t xml:space="preserve"> [من الآية رقم (275) من سورة (البقرة)]. ظاهر في التحليل والتحريم، نصٌّ في التفرقة بينهما؛ لأنه ورد ردًّا للقول بأنه : </w:t>
      </w:r>
      <w:r>
        <w:rPr>
          <w:rFonts w:hint="eastAsia"/>
          <w:rtl/>
        </w:rPr>
        <w:t>«</w:t>
      </w:r>
      <w:r>
        <w:rPr>
          <w:rFonts w:cs="DecoType Naskh" w:hint="cs"/>
          <w:rtl/>
        </w:rPr>
        <w:t>مثل الربا</w:t>
      </w:r>
      <w:r>
        <w:rPr>
          <w:rFonts w:hint="eastAsia"/>
          <w:rtl/>
        </w:rPr>
        <w:t>»»</w:t>
      </w:r>
      <w:r>
        <w:rPr>
          <w:rFonts w:hint="cs"/>
          <w:rtl/>
        </w:rPr>
        <w:t>.</w:t>
      </w:r>
    </w:p>
    <w:p w:rsidR="00035BE3" w:rsidRDefault="00035BE3" w:rsidP="003D5367">
      <w:pPr>
        <w:pStyle w:val="a6"/>
        <w:spacing w:line="480" w:lineRule="exact"/>
        <w:ind w:left="422" w:firstLine="0"/>
        <w:rPr>
          <w:rtl/>
        </w:rPr>
      </w:pPr>
      <w:r>
        <w:rPr>
          <w:rFonts w:hint="cs"/>
          <w:b/>
          <w:bCs/>
          <w:rtl/>
        </w:rPr>
        <w:t>وثالثها</w:t>
      </w:r>
      <w:r>
        <w:rPr>
          <w:rFonts w:hint="cs"/>
          <w:rtl/>
        </w:rPr>
        <w:t xml:space="preserve"> : المفسَّر، وهو </w:t>
      </w:r>
      <w:r>
        <w:rPr>
          <w:rFonts w:hint="eastAsia"/>
          <w:rtl/>
        </w:rPr>
        <w:t>«</w:t>
      </w:r>
      <w:r>
        <w:rPr>
          <w:rFonts w:hint="cs"/>
          <w:rtl/>
        </w:rPr>
        <w:t xml:space="preserve">ما ازداد وضوحًا على النص، بحيث لا يبقى فيه احتمال التخصيص والتأويل. نحو قوله تعالى </w:t>
      </w:r>
      <w:r>
        <w:rPr>
          <w:color w:val="000000"/>
          <w:szCs w:val="20"/>
        </w:rPr>
        <w:sym w:font="HQPB2" w:char="F0E2"/>
      </w:r>
      <w:r>
        <w:rPr>
          <w:color w:val="000000"/>
          <w:szCs w:val="20"/>
          <w:rtl/>
        </w:rPr>
        <w:t xml:space="preserve"> </w:t>
      </w:r>
      <w:r>
        <w:rPr>
          <w:color w:val="000000"/>
          <w:szCs w:val="20"/>
        </w:rPr>
        <w:sym w:font="HQPB5" w:char="F079"/>
      </w:r>
      <w:r>
        <w:rPr>
          <w:color w:val="000000"/>
          <w:szCs w:val="20"/>
        </w:rPr>
        <w:sym w:font="HQPB1" w:char="F089"/>
      </w:r>
      <w:r>
        <w:rPr>
          <w:color w:val="000000"/>
          <w:szCs w:val="20"/>
        </w:rPr>
        <w:sym w:font="HQPB5" w:char="F079"/>
      </w:r>
      <w:r>
        <w:rPr>
          <w:color w:val="000000"/>
          <w:szCs w:val="20"/>
        </w:rPr>
        <w:sym w:font="HQPB1" w:char="F066"/>
      </w:r>
      <w:r>
        <w:rPr>
          <w:color w:val="000000"/>
          <w:szCs w:val="20"/>
        </w:rPr>
        <w:sym w:font="HQPB5" w:char="F07C"/>
      </w:r>
      <w:r>
        <w:rPr>
          <w:color w:val="000000"/>
          <w:szCs w:val="20"/>
        </w:rPr>
        <w:sym w:font="HQPB1" w:char="F0A1"/>
      </w:r>
      <w:r>
        <w:rPr>
          <w:color w:val="000000"/>
          <w:szCs w:val="20"/>
        </w:rPr>
        <w:sym w:font="HQPB5" w:char="F073"/>
      </w:r>
      <w:r>
        <w:rPr>
          <w:color w:val="000000"/>
          <w:szCs w:val="20"/>
        </w:rPr>
        <w:sym w:font="HQPB1" w:char="F0F9"/>
      </w:r>
      <w:r>
        <w:rPr>
          <w:color w:val="000000"/>
          <w:szCs w:val="20"/>
          <w:rtl/>
        </w:rPr>
        <w:t xml:space="preserve"> </w:t>
      </w:r>
      <w:r>
        <w:rPr>
          <w:color w:val="000000"/>
          <w:szCs w:val="20"/>
        </w:rPr>
        <w:sym w:font="HQPB4" w:char="F0E8"/>
      </w:r>
      <w:r>
        <w:rPr>
          <w:color w:val="000000"/>
          <w:szCs w:val="20"/>
        </w:rPr>
        <w:sym w:font="HQPB2" w:char="F070"/>
      </w:r>
      <w:r>
        <w:rPr>
          <w:color w:val="000000"/>
          <w:szCs w:val="20"/>
        </w:rPr>
        <w:sym w:font="HQPB5" w:char="F073"/>
      </w:r>
      <w:r>
        <w:rPr>
          <w:color w:val="000000"/>
          <w:szCs w:val="20"/>
        </w:rPr>
        <w:sym w:font="HQPB2" w:char="F033"/>
      </w:r>
      <w:r>
        <w:rPr>
          <w:color w:val="000000"/>
          <w:szCs w:val="20"/>
        </w:rPr>
        <w:sym w:font="HQPB4" w:char="F0CD"/>
      </w:r>
      <w:r>
        <w:rPr>
          <w:color w:val="000000"/>
          <w:szCs w:val="20"/>
        </w:rPr>
        <w:sym w:font="HQPB2" w:char="F0B4"/>
      </w:r>
      <w:r>
        <w:rPr>
          <w:color w:val="000000"/>
          <w:szCs w:val="20"/>
        </w:rPr>
        <w:sym w:font="HQPB5" w:char="F0AF"/>
      </w:r>
      <w:r>
        <w:rPr>
          <w:color w:val="000000"/>
          <w:szCs w:val="20"/>
        </w:rPr>
        <w:sym w:font="HQPB2" w:char="F0BB"/>
      </w:r>
      <w:r>
        <w:rPr>
          <w:color w:val="000000"/>
          <w:szCs w:val="20"/>
        </w:rPr>
        <w:sym w:font="HQPB5" w:char="F06E"/>
      </w:r>
      <w:r>
        <w:rPr>
          <w:color w:val="000000"/>
          <w:szCs w:val="20"/>
        </w:rPr>
        <w:sym w:font="HQPB2" w:char="F03D"/>
      </w:r>
      <w:r>
        <w:rPr>
          <w:color w:val="000000"/>
          <w:szCs w:val="20"/>
        </w:rPr>
        <w:sym w:font="HQPB5" w:char="F079"/>
      </w:r>
      <w:r>
        <w:rPr>
          <w:color w:val="000000"/>
          <w:szCs w:val="20"/>
        </w:rPr>
        <w:sym w:font="HQPB2" w:char="F04A"/>
      </w:r>
      <w:r>
        <w:rPr>
          <w:color w:val="000000"/>
          <w:szCs w:val="20"/>
        </w:rPr>
        <w:sym w:font="HQPB4" w:char="F0F8"/>
      </w:r>
      <w:r>
        <w:rPr>
          <w:color w:val="000000"/>
          <w:szCs w:val="20"/>
        </w:rPr>
        <w:sym w:font="HQPB2" w:char="F039"/>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4" w:char="F0F6"/>
      </w:r>
      <w:r>
        <w:rPr>
          <w:color w:val="000000"/>
          <w:szCs w:val="20"/>
        </w:rPr>
        <w:sym w:font="HQPB2" w:char="F04E"/>
      </w:r>
      <w:r>
        <w:rPr>
          <w:color w:val="000000"/>
          <w:szCs w:val="20"/>
        </w:rPr>
        <w:sym w:font="HQPB4" w:char="F0DF"/>
      </w:r>
      <w:r>
        <w:rPr>
          <w:color w:val="000000"/>
          <w:szCs w:val="20"/>
        </w:rPr>
        <w:sym w:font="HQPB2" w:char="F067"/>
      </w:r>
      <w:r>
        <w:rPr>
          <w:color w:val="000000"/>
          <w:szCs w:val="20"/>
        </w:rPr>
        <w:sym w:font="HQPB4" w:char="F09D"/>
      </w:r>
      <w:r>
        <w:rPr>
          <w:color w:val="000000"/>
          <w:szCs w:val="20"/>
        </w:rPr>
        <w:sym w:font="HQPB2" w:char="F03D"/>
      </w:r>
      <w:r>
        <w:rPr>
          <w:color w:val="000000"/>
          <w:szCs w:val="20"/>
        </w:rPr>
        <w:sym w:font="HQPB4" w:char="F0E0"/>
      </w:r>
      <w:r>
        <w:rPr>
          <w:color w:val="000000"/>
          <w:szCs w:val="20"/>
        </w:rPr>
        <w:sym w:font="HQPB2" w:char="F032"/>
      </w:r>
      <w:r>
        <w:rPr>
          <w:color w:val="000000"/>
          <w:szCs w:val="20"/>
          <w:rtl/>
        </w:rPr>
        <w:t xml:space="preserve"> </w:t>
      </w:r>
      <w:r>
        <w:rPr>
          <w:color w:val="000000"/>
          <w:szCs w:val="20"/>
        </w:rPr>
        <w:sym w:font="HQPB5" w:char="F074"/>
      </w:r>
      <w:r>
        <w:rPr>
          <w:color w:val="000000"/>
          <w:szCs w:val="20"/>
        </w:rPr>
        <w:sym w:font="HQPB2" w:char="F062"/>
      </w:r>
      <w:r>
        <w:rPr>
          <w:color w:val="000000"/>
          <w:szCs w:val="20"/>
        </w:rPr>
        <w:sym w:font="HQPB2" w:char="F071"/>
      </w:r>
      <w:r>
        <w:rPr>
          <w:color w:val="000000"/>
          <w:szCs w:val="20"/>
        </w:rPr>
        <w:sym w:font="HQPB4" w:char="F0E3"/>
      </w:r>
      <w:r>
        <w:rPr>
          <w:color w:val="000000"/>
          <w:szCs w:val="20"/>
        </w:rPr>
        <w:sym w:font="HQPB1" w:char="F0E8"/>
      </w:r>
      <w:r>
        <w:rPr>
          <w:color w:val="000000"/>
          <w:szCs w:val="20"/>
        </w:rPr>
        <w:sym w:font="HQPB5" w:char="F075"/>
      </w:r>
      <w:r>
        <w:rPr>
          <w:color w:val="000000"/>
          <w:szCs w:val="20"/>
        </w:rPr>
        <w:sym w:font="HQPB2" w:char="F048"/>
      </w:r>
      <w:r>
        <w:rPr>
          <w:color w:val="000000"/>
          <w:szCs w:val="20"/>
        </w:rPr>
        <w:sym w:font="HQPB4" w:char="F0F8"/>
      </w:r>
      <w:r>
        <w:rPr>
          <w:color w:val="000000"/>
          <w:szCs w:val="20"/>
        </w:rPr>
        <w:sym w:font="HQPB1" w:char="F064"/>
      </w:r>
      <w:r>
        <w:rPr>
          <w:color w:val="000000"/>
          <w:szCs w:val="20"/>
        </w:rPr>
        <w:sym w:font="HQPB5" w:char="F072"/>
      </w:r>
      <w:r>
        <w:rPr>
          <w:color w:val="000000"/>
          <w:szCs w:val="20"/>
        </w:rPr>
        <w:sym w:font="HQPB1" w:char="F026"/>
      </w:r>
      <w:r>
        <w:rPr>
          <w:color w:val="000000"/>
          <w:szCs w:val="20"/>
          <w:rtl/>
        </w:rPr>
        <w:t xml:space="preserve">  </w:t>
      </w:r>
      <w:r>
        <w:rPr>
          <w:color w:val="000000"/>
          <w:szCs w:val="20"/>
        </w:rPr>
        <w:sym w:font="HQPB2" w:char="F0E1"/>
      </w:r>
      <w:r>
        <w:rPr>
          <w:rFonts w:hint="cs"/>
          <w:rtl/>
        </w:rPr>
        <w:t xml:space="preserve"> [من الآية رقم (30) من سورة (الحجر)]</w:t>
      </w:r>
      <w:r>
        <w:rPr>
          <w:rFonts w:hint="eastAsia"/>
          <w:rtl/>
        </w:rPr>
        <w:t>»</w:t>
      </w:r>
      <w:r>
        <w:rPr>
          <w:rFonts w:hint="cs"/>
          <w:rtl/>
        </w:rPr>
        <w:t>.</w:t>
      </w:r>
    </w:p>
    <w:p w:rsidR="00035BE3" w:rsidRDefault="00035BE3" w:rsidP="003D5367">
      <w:pPr>
        <w:pStyle w:val="a6"/>
        <w:spacing w:line="480" w:lineRule="exact"/>
        <w:ind w:left="422" w:firstLine="0"/>
        <w:rPr>
          <w:rtl/>
        </w:rPr>
      </w:pPr>
      <w:r>
        <w:rPr>
          <w:rFonts w:hint="cs"/>
          <w:b/>
          <w:bCs/>
          <w:rtl/>
        </w:rPr>
        <w:t>ورابعها</w:t>
      </w:r>
      <w:r>
        <w:rPr>
          <w:rFonts w:hint="cs"/>
          <w:rtl/>
        </w:rPr>
        <w:t xml:space="preserve"> : المحكم، وهو </w:t>
      </w:r>
      <w:r>
        <w:rPr>
          <w:rFonts w:hint="eastAsia"/>
          <w:rtl/>
        </w:rPr>
        <w:t>«</w:t>
      </w:r>
      <w:r>
        <w:rPr>
          <w:rFonts w:hint="cs"/>
          <w:rtl/>
        </w:rPr>
        <w:t>ما أحكم المراد به عن التبديل والتغيير.</w:t>
      </w:r>
    </w:p>
    <w:p w:rsidR="00035BE3" w:rsidRDefault="00035BE3" w:rsidP="003D5367">
      <w:pPr>
        <w:pStyle w:val="a6"/>
        <w:spacing w:line="480" w:lineRule="exact"/>
        <w:ind w:left="422" w:firstLine="0"/>
        <w:rPr>
          <w:rtl/>
        </w:rPr>
      </w:pPr>
      <w:r>
        <w:rPr>
          <w:rFonts w:hint="cs"/>
          <w:rtl/>
        </w:rPr>
        <w:t xml:space="preserve">كقوله تعالى : </w:t>
      </w:r>
      <w:r>
        <w:rPr>
          <w:color w:val="000000"/>
          <w:szCs w:val="20"/>
        </w:rPr>
        <w:sym w:font="HQPB2" w:char="F0E2"/>
      </w:r>
      <w:r>
        <w:rPr>
          <w:color w:val="000000"/>
          <w:szCs w:val="20"/>
          <w:rtl/>
        </w:rPr>
        <w:t xml:space="preserve"> </w:t>
      </w:r>
      <w:r>
        <w:rPr>
          <w:color w:val="000000"/>
          <w:szCs w:val="20"/>
        </w:rPr>
        <w:sym w:font="HQPB4" w:char="F0A8"/>
      </w:r>
      <w:r>
        <w:rPr>
          <w:color w:val="000000"/>
          <w:szCs w:val="20"/>
        </w:rPr>
        <w:sym w:font="HQPB2" w:char="F062"/>
      </w:r>
      <w:r>
        <w:rPr>
          <w:color w:val="000000"/>
          <w:szCs w:val="20"/>
        </w:rPr>
        <w:sym w:font="HQPB5" w:char="F072"/>
      </w:r>
      <w:r>
        <w:rPr>
          <w:color w:val="000000"/>
          <w:szCs w:val="20"/>
        </w:rPr>
        <w:sym w:font="HQPB1" w:char="F026"/>
      </w:r>
      <w:r>
        <w:rPr>
          <w:color w:val="000000"/>
          <w:szCs w:val="20"/>
          <w:rtl/>
        </w:rPr>
        <w:t xml:space="preserve"> </w:t>
      </w:r>
      <w:r>
        <w:rPr>
          <w:color w:val="000000"/>
          <w:szCs w:val="20"/>
        </w:rPr>
        <w:sym w:font="HQPB5" w:char="F0A9"/>
      </w:r>
      <w:r>
        <w:rPr>
          <w:color w:val="000000"/>
          <w:szCs w:val="20"/>
        </w:rPr>
        <w:sym w:font="HQPB1" w:char="F021"/>
      </w:r>
      <w:r>
        <w:rPr>
          <w:color w:val="000000"/>
          <w:szCs w:val="20"/>
        </w:rPr>
        <w:sym w:font="HQPB5" w:char="F024"/>
      </w:r>
      <w:r>
        <w:rPr>
          <w:color w:val="000000"/>
          <w:szCs w:val="20"/>
        </w:rPr>
        <w:sym w:font="HQPB1" w:char="F023"/>
      </w:r>
      <w:r>
        <w:rPr>
          <w:color w:val="000000"/>
          <w:szCs w:val="20"/>
          <w:rtl/>
        </w:rPr>
        <w:t xml:space="preserve"> </w:t>
      </w:r>
      <w:r>
        <w:rPr>
          <w:color w:val="000000"/>
          <w:szCs w:val="20"/>
        </w:rPr>
        <w:sym w:font="HQPB4" w:char="F0C8"/>
      </w:r>
      <w:r>
        <w:rPr>
          <w:color w:val="000000"/>
          <w:szCs w:val="20"/>
        </w:rPr>
        <w:sym w:font="HQPB4" w:char="F065"/>
      </w:r>
      <w:r>
        <w:rPr>
          <w:color w:val="000000"/>
          <w:szCs w:val="20"/>
        </w:rPr>
        <w:sym w:font="HQPB2" w:char="F040"/>
      </w:r>
      <w:r>
        <w:rPr>
          <w:color w:val="000000"/>
          <w:szCs w:val="20"/>
        </w:rPr>
        <w:sym w:font="HQPB4" w:char="F0E4"/>
      </w:r>
      <w:r>
        <w:rPr>
          <w:color w:val="000000"/>
          <w:szCs w:val="20"/>
        </w:rPr>
        <w:sym w:font="HQPB2" w:char="F033"/>
      </w:r>
      <w:r>
        <w:rPr>
          <w:color w:val="000000"/>
          <w:szCs w:val="20"/>
        </w:rPr>
        <w:sym w:font="HQPB4" w:char="F0CE"/>
      </w:r>
      <w:r>
        <w:rPr>
          <w:color w:val="000000"/>
          <w:szCs w:val="20"/>
        </w:rPr>
        <w:sym w:font="HQPB1" w:char="F02F"/>
      </w:r>
      <w:r>
        <w:rPr>
          <w:color w:val="000000"/>
          <w:szCs w:val="20"/>
          <w:rtl/>
        </w:rPr>
        <w:t xml:space="preserve"> </w:t>
      </w:r>
      <w:r>
        <w:rPr>
          <w:color w:val="000000"/>
          <w:szCs w:val="20"/>
        </w:rPr>
        <w:sym w:font="HQPB4" w:char="F03E"/>
      </w:r>
      <w:r>
        <w:rPr>
          <w:color w:val="000000"/>
          <w:szCs w:val="20"/>
        </w:rPr>
        <w:sym w:font="HQPB2" w:char="F0E4"/>
      </w:r>
      <w:r>
        <w:rPr>
          <w:color w:val="000000"/>
          <w:szCs w:val="20"/>
        </w:rPr>
        <w:sym w:font="HQPB4" w:char="F0F3"/>
      </w:r>
      <w:r>
        <w:rPr>
          <w:color w:val="000000"/>
          <w:szCs w:val="20"/>
        </w:rPr>
        <w:sym w:font="HQPB2" w:char="F0D3"/>
      </w:r>
      <w:r>
        <w:rPr>
          <w:color w:val="000000"/>
          <w:szCs w:val="20"/>
        </w:rPr>
        <w:sym w:font="HQPB5" w:char="F078"/>
      </w:r>
      <w:r>
        <w:rPr>
          <w:color w:val="000000"/>
          <w:szCs w:val="20"/>
        </w:rPr>
        <w:sym w:font="HQPB1" w:char="F0AB"/>
      </w:r>
      <w:r>
        <w:rPr>
          <w:color w:val="000000"/>
          <w:szCs w:val="20"/>
          <w:rtl/>
        </w:rPr>
        <w:t xml:space="preserve"> </w:t>
      </w:r>
      <w:r>
        <w:rPr>
          <w:color w:val="000000"/>
          <w:szCs w:val="20"/>
        </w:rPr>
        <w:sym w:font="HQPB4" w:char="F0D7"/>
      </w:r>
      <w:r>
        <w:rPr>
          <w:color w:val="000000"/>
          <w:szCs w:val="20"/>
        </w:rPr>
        <w:sym w:font="HQPB2" w:char="F04C"/>
      </w:r>
      <w:r>
        <w:rPr>
          <w:color w:val="000000"/>
          <w:szCs w:val="20"/>
        </w:rPr>
        <w:sym w:font="HQPB2" w:char="F0EC"/>
      </w:r>
      <w:r>
        <w:rPr>
          <w:color w:val="000000"/>
          <w:szCs w:val="20"/>
        </w:rPr>
        <w:sym w:font="HQPB4" w:char="F0CE"/>
      </w:r>
      <w:r>
        <w:rPr>
          <w:color w:val="000000"/>
          <w:szCs w:val="20"/>
        </w:rPr>
        <w:sym w:font="HQPB2" w:char="F03D"/>
      </w:r>
      <w:r>
        <w:rPr>
          <w:color w:val="000000"/>
          <w:szCs w:val="20"/>
        </w:rPr>
        <w:sym w:font="HQPB5" w:char="F074"/>
      </w:r>
      <w:r>
        <w:rPr>
          <w:color w:val="000000"/>
          <w:szCs w:val="20"/>
        </w:rPr>
        <w:sym w:font="HQPB1" w:char="F0E6"/>
      </w:r>
      <w:r>
        <w:rPr>
          <w:color w:val="000000"/>
          <w:szCs w:val="20"/>
          <w:rtl/>
        </w:rPr>
        <w:t xml:space="preserve">  </w:t>
      </w:r>
      <w:r>
        <w:rPr>
          <w:color w:val="000000"/>
          <w:szCs w:val="20"/>
        </w:rPr>
        <w:sym w:font="HQPB2" w:char="F0E1"/>
      </w:r>
      <w:r>
        <w:rPr>
          <w:rFonts w:hint="cs"/>
          <w:rtl/>
        </w:rPr>
        <w:t xml:space="preserve"> [من الآية رقم (231) من سورة (البقرة)]</w:t>
      </w:r>
      <w:r>
        <w:rPr>
          <w:rFonts w:hint="eastAsia"/>
          <w:rtl/>
        </w:rPr>
        <w:t>»</w:t>
      </w:r>
      <w:r>
        <w:rPr>
          <w:rFonts w:hint="cs"/>
          <w:rtl/>
        </w:rPr>
        <w:t>.</w:t>
      </w:r>
    </w:p>
    <w:p w:rsidR="00035BE3" w:rsidRPr="00DB6322" w:rsidRDefault="00035BE3" w:rsidP="003D5367">
      <w:pPr>
        <w:pStyle w:val="a6"/>
        <w:spacing w:line="480" w:lineRule="exact"/>
        <w:ind w:left="422" w:firstLine="0"/>
        <w:rPr>
          <w:spacing w:val="4"/>
          <w:rtl/>
        </w:rPr>
      </w:pPr>
      <w:r>
        <w:rPr>
          <w:rFonts w:hint="cs"/>
          <w:spacing w:val="8"/>
          <w:rtl/>
        </w:rPr>
        <w:t xml:space="preserve">ولتوثيق ما سبق فإن جميع النصوص المذكورة مستفادة من المغني، ص125-126؛ وشرحه للقاءاني، ق1، جـ2، ص 535 </w:t>
      </w:r>
      <w:r>
        <w:rPr>
          <w:spacing w:val="8"/>
          <w:rtl/>
        </w:rPr>
        <w:t>–</w:t>
      </w:r>
      <w:r>
        <w:rPr>
          <w:rFonts w:hint="cs"/>
          <w:spacing w:val="8"/>
          <w:rtl/>
        </w:rPr>
        <w:t xml:space="preserve"> ولفظ القاعدة مطابق لشرح القاءاني، كما أن هذا الشرح هو المصدر الرئيس للمؤلف في هذه القاعدة-؛ وانظر أيضًا : أصول الشاشي، ص80؛ أصول البزدوي وكشف الأسرار، 1/123؛ أصول البزدوي، 1/163؛ المنار وشروحه : كشف </w:t>
      </w:r>
      <w:r w:rsidRPr="00DB6322">
        <w:rPr>
          <w:rFonts w:hint="cs"/>
          <w:spacing w:val="4"/>
          <w:rtl/>
        </w:rPr>
        <w:t>الأسرار وشرح نور الأنوار، 1/205؛ وجامع الأسرار، 2/320؛ التنقـيح والتوضيح والـتلويح، 1/124؛ التحرير وشرحيه : التقرير والتحبير، 1/146؛ وتيـسيـر التـحريـر، 1/136؛ مرآة الأصول وحاشية الإزميري، 1/197، 2/380؛ مـسلّـم الثـبـوت وفواتح الرحموت، 2/19.</w:t>
      </w:r>
    </w:p>
  </w:footnote>
  <w:footnote w:id="5064">
    <w:p w:rsidR="00035BE3" w:rsidRDefault="00035BE3" w:rsidP="003D5367">
      <w:pPr>
        <w:pStyle w:val="a8"/>
        <w:bidi/>
        <w:spacing w:line="48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2/535؛ وانظر : المغني، ص126.</w:t>
      </w:r>
    </w:p>
  </w:footnote>
  <w:footnote w:id="5065">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مصدر هذه العبارة (وهو شرح المغني للقاءاني). وهي زيادة لابّد منها.</w:t>
      </w:r>
    </w:p>
  </w:footnote>
  <w:footnote w:id="5066">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77/ب من (جـ).</w:t>
      </w:r>
    </w:p>
  </w:footnote>
  <w:footnote w:id="5067">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106/أ من (أ).</w:t>
      </w:r>
    </w:p>
  </w:footnote>
  <w:footnote w:id="5068">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فيرجح</w:t>
      </w:r>
      <w:r>
        <w:rPr>
          <w:rFonts w:hint="eastAsia"/>
          <w:rtl/>
        </w:rPr>
        <w:t>»</w:t>
      </w:r>
      <w:r>
        <w:rPr>
          <w:rFonts w:hint="cs"/>
          <w:rtl/>
        </w:rPr>
        <w:t>.</w:t>
      </w:r>
    </w:p>
  </w:footnote>
  <w:footnote w:id="5069">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المتكل</w:t>
      </w:r>
      <w:r>
        <w:rPr>
          <w:rFonts w:hint="eastAsia"/>
          <w:rtl/>
        </w:rPr>
        <w:t>»</w:t>
      </w:r>
      <w:r>
        <w:rPr>
          <w:rFonts w:hint="cs"/>
          <w:rtl/>
        </w:rPr>
        <w:t>.</w:t>
      </w:r>
    </w:p>
  </w:footnote>
  <w:footnote w:id="5070">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67/أ من (ب).</w:t>
      </w:r>
    </w:p>
  </w:footnote>
  <w:footnote w:id="5071">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عند عدم ... أتت به</w:t>
      </w:r>
      <w:r>
        <w:rPr>
          <w:rFonts w:hint="eastAsia"/>
          <w:rtl/>
        </w:rPr>
        <w:t>»</w:t>
      </w:r>
      <w:r>
        <w:rPr>
          <w:rFonts w:hint="cs"/>
          <w:rtl/>
        </w:rPr>
        <w:t xml:space="preserve"> : ساقط من (جـ).</w:t>
      </w:r>
    </w:p>
  </w:footnote>
  <w:footnote w:id="5072">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تعجيل</w:t>
      </w:r>
      <w:r>
        <w:rPr>
          <w:rFonts w:hint="eastAsia"/>
          <w:rtl/>
        </w:rPr>
        <w:t>»</w:t>
      </w:r>
      <w:r>
        <w:rPr>
          <w:rFonts w:hint="cs"/>
          <w:rtl/>
        </w:rPr>
        <w:t>.</w:t>
      </w:r>
    </w:p>
  </w:footnote>
  <w:footnote w:id="5073">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شرح المغني للقاءاني، ق1، جـ2، ص538، إذْ جلّ ما ذكره المؤلف في هذا المثال مذكور في شرح المغني مع اختلاف في بعض الجمل.</w:t>
      </w:r>
    </w:p>
  </w:footnote>
  <w:footnote w:id="5074">
    <w:p w:rsidR="00035BE3" w:rsidRDefault="00035BE3" w:rsidP="003D5367">
      <w:pPr>
        <w:pStyle w:val="a8"/>
        <w:bidi/>
        <w:spacing w:line="50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و(د) : </w:t>
      </w:r>
      <w:r>
        <w:rPr>
          <w:rFonts w:hint="eastAsia"/>
          <w:spacing w:val="6"/>
          <w:rtl/>
        </w:rPr>
        <w:t>«</w:t>
      </w:r>
      <w:r>
        <w:rPr>
          <w:rFonts w:hint="cs"/>
          <w:spacing w:val="6"/>
          <w:rtl/>
        </w:rPr>
        <w:t>أشهر</w:t>
      </w:r>
      <w:r>
        <w:rPr>
          <w:rFonts w:hint="eastAsia"/>
          <w:spacing w:val="6"/>
          <w:rtl/>
        </w:rPr>
        <w:t>»</w:t>
      </w:r>
      <w:r>
        <w:rPr>
          <w:rFonts w:hint="cs"/>
          <w:spacing w:val="6"/>
          <w:rtl/>
        </w:rPr>
        <w:t xml:space="preserve">. والصواب ما تمَّ إثباته من (ب) و(هـ) و(و)؛ لأن المؤلف أعاد هذه الكلمة </w:t>
      </w:r>
      <w:r>
        <w:rPr>
          <w:spacing w:val="6"/>
          <w:rtl/>
        </w:rPr>
        <w:t>–</w:t>
      </w:r>
      <w:r>
        <w:rPr>
          <w:rFonts w:hint="cs"/>
          <w:spacing w:val="6"/>
          <w:rtl/>
        </w:rPr>
        <w:t xml:space="preserve"> بعد سطر-؛ وقد اتفقت جميع النسخ على إثبات كلمة (شهر) وليس (أشهر) إلا نسخة (د).</w:t>
      </w:r>
    </w:p>
  </w:footnote>
  <w:footnote w:id="5075">
    <w:p w:rsidR="00035BE3" w:rsidRDefault="00035BE3" w:rsidP="003D5367">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مقتد</w:t>
      </w:r>
      <w:r>
        <w:rPr>
          <w:rFonts w:hint="eastAsia"/>
          <w:rtl/>
        </w:rPr>
        <w:t>»</w:t>
      </w:r>
      <w:r>
        <w:rPr>
          <w:rFonts w:hint="cs"/>
          <w:rtl/>
        </w:rPr>
        <w:t>.</w:t>
      </w:r>
    </w:p>
  </w:footnote>
  <w:footnote w:id="507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إذ قوله</w:t>
      </w:r>
      <w:r>
        <w:rPr>
          <w:rFonts w:hint="eastAsia"/>
          <w:rtl/>
        </w:rPr>
        <w:t>»</w:t>
      </w:r>
      <w:r>
        <w:rPr>
          <w:rFonts w:hint="cs"/>
          <w:rtl/>
        </w:rPr>
        <w:t>.</w:t>
      </w:r>
    </w:p>
  </w:footnote>
  <w:footnote w:id="507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أشهر</w:t>
      </w:r>
      <w:r>
        <w:rPr>
          <w:rFonts w:hint="eastAsia"/>
          <w:rtl/>
        </w:rPr>
        <w:t>»</w:t>
      </w:r>
      <w:r>
        <w:rPr>
          <w:rFonts w:hint="cs"/>
          <w:rtl/>
        </w:rPr>
        <w:t>.</w:t>
      </w:r>
    </w:p>
  </w:footnote>
  <w:footnote w:id="507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الألفاظ الأخيرة وردت في شرح القاءاني على النحو الآتي : </w:t>
      </w:r>
      <w:r>
        <w:rPr>
          <w:rFonts w:hint="eastAsia"/>
          <w:rtl/>
        </w:rPr>
        <w:t>«</w:t>
      </w:r>
      <w:r>
        <w:rPr>
          <w:rFonts w:hint="cs"/>
          <w:rtl/>
        </w:rPr>
        <w:t>... مفسِّر في المتعة، ليس فيه احتمال النكاح، فإن النكاح لا يحتمل ...</w:t>
      </w:r>
      <w:r>
        <w:rPr>
          <w:rFonts w:hint="eastAsia"/>
          <w:rtl/>
        </w:rPr>
        <w:t>»</w:t>
      </w:r>
      <w:r>
        <w:rPr>
          <w:rFonts w:hint="cs"/>
          <w:rtl/>
        </w:rPr>
        <w:t>.</w:t>
      </w:r>
    </w:p>
  </w:footnote>
  <w:footnote w:id="507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اجتمعنا</w:t>
      </w:r>
      <w:r>
        <w:rPr>
          <w:rFonts w:hint="eastAsia"/>
          <w:rtl/>
        </w:rPr>
        <w:t>»</w:t>
      </w:r>
      <w:r>
        <w:rPr>
          <w:rFonts w:hint="cs"/>
          <w:rtl/>
        </w:rPr>
        <w:t xml:space="preserve">. والصواب ما تمَّ إثباته من (ب) و(د)، وهو الموافق في المعنى لما جاء في شرح المغني، حيث قال : </w:t>
      </w:r>
      <w:r>
        <w:rPr>
          <w:rFonts w:hint="eastAsia"/>
          <w:rtl/>
        </w:rPr>
        <w:t>«</w:t>
      </w:r>
      <w:r>
        <w:rPr>
          <w:rFonts w:hint="cs"/>
          <w:rtl/>
        </w:rPr>
        <w:t>اجتمعا</w:t>
      </w:r>
      <w:r>
        <w:rPr>
          <w:rFonts w:hint="eastAsia"/>
          <w:rtl/>
        </w:rPr>
        <w:t>»</w:t>
      </w:r>
      <w:r>
        <w:rPr>
          <w:rFonts w:hint="cs"/>
          <w:rtl/>
        </w:rPr>
        <w:t>.</w:t>
      </w:r>
    </w:p>
  </w:footnote>
  <w:footnote w:id="508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ص538-539.</w:t>
      </w:r>
    </w:p>
  </w:footnote>
  <w:footnote w:id="508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 </w:t>
      </w:r>
      <w:r>
        <w:rPr>
          <w:rFonts w:hint="eastAsia"/>
          <w:rtl/>
        </w:rPr>
        <w:t>«</w:t>
      </w:r>
      <w:r>
        <w:rPr>
          <w:rFonts w:hint="cs"/>
          <w:rtl/>
        </w:rPr>
        <w:t>بين</w:t>
      </w:r>
      <w:r>
        <w:rPr>
          <w:rFonts w:hint="eastAsia"/>
          <w:rtl/>
        </w:rPr>
        <w:t>»</w:t>
      </w:r>
      <w:r>
        <w:rPr>
          <w:rFonts w:hint="cs"/>
          <w:rtl/>
        </w:rPr>
        <w:t xml:space="preserve"> مكرّرة في (جـ).</w:t>
      </w:r>
    </w:p>
  </w:footnote>
  <w:footnote w:id="508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النفقة</w:t>
      </w:r>
      <w:r>
        <w:rPr>
          <w:rFonts w:hint="eastAsia"/>
          <w:rtl/>
        </w:rPr>
        <w:t>»</w:t>
      </w:r>
      <w:r>
        <w:rPr>
          <w:rFonts w:hint="cs"/>
          <w:rtl/>
        </w:rPr>
        <w:t>.</w:t>
      </w:r>
    </w:p>
  </w:footnote>
  <w:footnote w:id="508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ص539 </w:t>
      </w:r>
      <w:r>
        <w:rPr>
          <w:rtl/>
        </w:rPr>
        <w:t>–</w:t>
      </w:r>
      <w:r>
        <w:rPr>
          <w:rFonts w:hint="cs"/>
          <w:rtl/>
        </w:rPr>
        <w:t xml:space="preserve"> مع اختلاف يسير في بداية العبارة-.</w:t>
      </w:r>
    </w:p>
  </w:footnote>
  <w:footnote w:id="508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64/أ من (د).</w:t>
      </w:r>
    </w:p>
  </w:footnote>
  <w:footnote w:id="508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بمعنى أنه لا يحتمل ... فحينئذٍ</w:t>
      </w:r>
      <w:r>
        <w:rPr>
          <w:rFonts w:hint="eastAsia"/>
          <w:rtl/>
        </w:rPr>
        <w:t>»</w:t>
      </w:r>
      <w:r>
        <w:rPr>
          <w:rFonts w:hint="cs"/>
          <w:rtl/>
        </w:rPr>
        <w:t xml:space="preserve"> ليس في شرح المغني.</w:t>
      </w:r>
    </w:p>
  </w:footnote>
  <w:footnote w:id="508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106/ب من (أ).</w:t>
      </w:r>
    </w:p>
  </w:footnote>
  <w:footnote w:id="508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الرقية</w:t>
      </w:r>
      <w:r>
        <w:rPr>
          <w:rFonts w:hint="eastAsia"/>
          <w:rtl/>
        </w:rPr>
        <w:t>»</w:t>
      </w:r>
      <w:r>
        <w:rPr>
          <w:rFonts w:hint="cs"/>
          <w:rtl/>
        </w:rPr>
        <w:t>. والصحيح ما تمَّ إثباته من باقي النسخ، وهو الموافق لشرح المغني.</w:t>
      </w:r>
    </w:p>
  </w:footnote>
  <w:footnote w:id="508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تفسير أول</w:t>
      </w:r>
      <w:r>
        <w:rPr>
          <w:rFonts w:hint="eastAsia"/>
          <w:rtl/>
        </w:rPr>
        <w:t>»</w:t>
      </w:r>
      <w:r>
        <w:rPr>
          <w:rFonts w:hint="cs"/>
          <w:rtl/>
        </w:rPr>
        <w:t>.</w:t>
      </w:r>
    </w:p>
  </w:footnote>
  <w:footnote w:id="508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الألف في (تفسيرًا) بالإضافة إلى : </w:t>
      </w:r>
      <w:r>
        <w:rPr>
          <w:rFonts w:hint="eastAsia"/>
          <w:rtl/>
        </w:rPr>
        <w:t>«</w:t>
      </w:r>
      <w:r>
        <w:rPr>
          <w:rFonts w:hint="cs"/>
          <w:rtl/>
        </w:rPr>
        <w:t>لأول الكلام فيتغير</w:t>
      </w:r>
      <w:r>
        <w:rPr>
          <w:rFonts w:hint="eastAsia"/>
          <w:rtl/>
        </w:rPr>
        <w:t>»</w:t>
      </w:r>
      <w:r>
        <w:rPr>
          <w:rFonts w:hint="cs"/>
          <w:rtl/>
        </w:rPr>
        <w:t xml:space="preserve"> : ساقط من (ب).</w:t>
      </w:r>
    </w:p>
  </w:footnote>
  <w:footnote w:id="509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فيتغير أول الكلام</w:t>
      </w:r>
      <w:r>
        <w:rPr>
          <w:rFonts w:hint="eastAsia"/>
          <w:rtl/>
        </w:rPr>
        <w:t>»</w:t>
      </w:r>
      <w:r>
        <w:rPr>
          <w:rFonts w:hint="cs"/>
          <w:rtl/>
        </w:rPr>
        <w:t xml:space="preserve"> : ساقط من (جـ).</w:t>
      </w:r>
    </w:p>
  </w:footnote>
  <w:footnote w:id="509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ص539 -مع الاختلاف اليسير الذي سبق بيانه-</w:t>
      </w:r>
    </w:p>
  </w:footnote>
  <w:footnote w:id="509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متحدة من جهة المعنى مع قاعدة أخرى سبق أن تحدث عنها المؤلف، وهي : </w:t>
      </w:r>
      <w:r>
        <w:rPr>
          <w:rFonts w:hint="eastAsia"/>
          <w:rtl/>
        </w:rPr>
        <w:t>«</w:t>
      </w:r>
      <w:r>
        <w:rPr>
          <w:rFonts w:hint="cs"/>
          <w:rtl/>
        </w:rPr>
        <w:t>ما ثبت على خلاف القياس فغيره لا يقاس عليه</w:t>
      </w:r>
      <w:r>
        <w:rPr>
          <w:rFonts w:hint="eastAsia"/>
          <w:rtl/>
        </w:rPr>
        <w:t>»</w:t>
      </w:r>
      <w:r>
        <w:rPr>
          <w:rFonts w:hint="cs"/>
          <w:rtl/>
        </w:rPr>
        <w:t>، وذلك ص1030 (ل93/أ)، قاعدة 221.</w:t>
      </w:r>
    </w:p>
    <w:p w:rsidR="00035BE3" w:rsidRDefault="00035BE3" w:rsidP="003D5367">
      <w:pPr>
        <w:pStyle w:val="a6"/>
        <w:ind w:left="422" w:firstLine="0"/>
        <w:rPr>
          <w:rtl/>
        </w:rPr>
      </w:pPr>
      <w:r>
        <w:rPr>
          <w:rFonts w:hint="cs"/>
          <w:rtl/>
        </w:rPr>
        <w:t>فما قيل في توثيق تلك القاعدة هناك يقال هنا، ويضاف إليه أنها وردت باللفظ المذكور هنا أو نحوه في بعض كتب الفقه والقواعد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spacing w:val="4"/>
          <w:rtl/>
        </w:rPr>
      </w:pPr>
      <w:r>
        <w:rPr>
          <w:rFonts w:hint="cs"/>
          <w:spacing w:val="4"/>
          <w:rtl/>
        </w:rPr>
        <w:t xml:space="preserve">مجامع الحقائق (الخاتمة)، ص47 </w:t>
      </w:r>
      <w:r>
        <w:rPr>
          <w:spacing w:val="4"/>
          <w:rtl/>
        </w:rPr>
        <w:t>–</w:t>
      </w:r>
      <w:r>
        <w:rPr>
          <w:rFonts w:hint="cs"/>
          <w:spacing w:val="4"/>
          <w:rtl/>
        </w:rPr>
        <w:t xml:space="preserve">ولفظه مطابق للفظ المؤلف-؛ شرح العلائي لقواعد الخادمي، ل38/ب؛ منافع الدقائق، ص332؛ درر الحكام شرح مجلة الأحكام لعلي حيدر، 1/29 </w:t>
      </w:r>
      <w:r>
        <w:rPr>
          <w:spacing w:val="4"/>
          <w:rtl/>
        </w:rPr>
        <w:t>–</w:t>
      </w:r>
      <w:r>
        <w:rPr>
          <w:rFonts w:hint="cs"/>
          <w:spacing w:val="4"/>
          <w:rtl/>
        </w:rPr>
        <w:t xml:space="preserve"> فقد جاء فيه : </w:t>
      </w:r>
      <w:r>
        <w:rPr>
          <w:rFonts w:hint="eastAsia"/>
          <w:spacing w:val="4"/>
          <w:rtl/>
        </w:rPr>
        <w:t>«</w:t>
      </w:r>
      <w:r>
        <w:rPr>
          <w:rFonts w:hint="cs"/>
          <w:spacing w:val="4"/>
          <w:rtl/>
        </w:rPr>
        <w:t>المادة 15 : ما ثبت على خلاف القياس فغيره لا يقاس عليه : يُعبَّر عن هذه القاعدة بعبارة أخرى وهي : النص الوارد على خلاف القياس يقتصر على مورده</w:t>
      </w:r>
      <w:r>
        <w:rPr>
          <w:rFonts w:hint="eastAsia"/>
          <w:spacing w:val="4"/>
          <w:rtl/>
        </w:rPr>
        <w:t>»</w:t>
      </w:r>
      <w:r>
        <w:rPr>
          <w:rFonts w:hint="cs"/>
          <w:spacing w:val="4"/>
          <w:rtl/>
        </w:rPr>
        <w:t>-.</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rtl/>
        </w:rPr>
      </w:pPr>
      <w:r>
        <w:rPr>
          <w:rFonts w:hint="cs"/>
          <w:rtl/>
        </w:rPr>
        <w:t>تبيين الحقائق، 4/14؛ رد المحتار، 7/348.</w:t>
      </w:r>
    </w:p>
  </w:footnote>
  <w:footnote w:id="509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حبان</w:t>
      </w:r>
      <w:r>
        <w:rPr>
          <w:rFonts w:hint="cs"/>
          <w:rtl/>
        </w:rPr>
        <w:t xml:space="preserve"> : هو حَبَّان بن منقذ بن عمرو الخزرجي الأنصاري المازني، من بني مازن بن النجار. له ولأبيه (منقذ) صحبة. شهد أُحدًا وما بعدها، وتوفي في خلافة عثمان رضي الله عنهما.</w:t>
      </w:r>
    </w:p>
    <w:p w:rsidR="00035BE3" w:rsidRDefault="00035BE3" w:rsidP="003D5367">
      <w:pPr>
        <w:pStyle w:val="a6"/>
        <w:ind w:left="422" w:firstLine="0"/>
        <w:rPr>
          <w:rtl/>
        </w:rPr>
      </w:pPr>
      <w:r>
        <w:rPr>
          <w:rFonts w:hint="cs"/>
          <w:rtl/>
        </w:rPr>
        <w:t>انظر : الاستيعاب، 1/318، رقم 468، 4/1452؛ أسد الغابة، 1/432، رقم 1025.</w:t>
      </w:r>
    </w:p>
  </w:footnote>
  <w:footnote w:id="509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فقال : لا خلاية</w:t>
      </w:r>
      <w:r>
        <w:rPr>
          <w:rFonts w:hint="eastAsia"/>
          <w:rtl/>
        </w:rPr>
        <w:t>»</w:t>
      </w:r>
      <w:r>
        <w:rPr>
          <w:rFonts w:hint="cs"/>
          <w:rtl/>
        </w:rPr>
        <w:t>. والصحيح ما تمَّ إثباته من باقي النسخ؛ وفاقًا للفظ الحديث.</w:t>
      </w:r>
    </w:p>
  </w:footnote>
  <w:footnote w:id="509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 هذا الحديث في الصحيحين دون التصريح باسم الصحابي أو مدة الخيار، كما ورد بالتصريح بهما بنحو اللفظ الذي ذكره المؤلف في كثير من كتب الحديث المسندة، أما اللفظ المذكور فلم أجده إلاّ في بعض كتب الفقه. ولبيان ذلك يقال :</w:t>
      </w:r>
    </w:p>
    <w:p w:rsidR="00035BE3" w:rsidRDefault="00035BE3" w:rsidP="003D5367">
      <w:pPr>
        <w:pStyle w:val="a6"/>
        <w:ind w:left="422" w:firstLine="0"/>
        <w:rPr>
          <w:rtl/>
        </w:rPr>
      </w:pPr>
      <w:r>
        <w:rPr>
          <w:rFonts w:hint="cs"/>
          <w:rtl/>
        </w:rPr>
        <w:t>أخرجه ابن الجارود بنحوه في المنتقى، باب في التجارات، 1/146، ح567؛ والدارقطني بنحوه، كتاب البيوع، 3/54-56، والبيهقي بنحوه، كتاب البيوع، باب الدليل على أنه لا يجوز شرط الخيار في البيع أكثر من ثلاثة أيام، 5/273، والحاكم بنحوه، كتاب البيوع، 2/26.</w:t>
      </w:r>
    </w:p>
    <w:p w:rsidR="00035BE3" w:rsidRDefault="00035BE3" w:rsidP="003D5367">
      <w:pPr>
        <w:pStyle w:val="a6"/>
        <w:ind w:left="422" w:firstLine="0"/>
        <w:rPr>
          <w:spacing w:val="-6"/>
          <w:rtl/>
        </w:rPr>
      </w:pPr>
      <w:r>
        <w:rPr>
          <w:rFonts w:hint="cs"/>
          <w:spacing w:val="-6"/>
          <w:rtl/>
        </w:rPr>
        <w:t xml:space="preserve">جميعهم من حديث ابن عمر رضي الله عنهما. وقد قال عنه الذهبي في التلخيص -2/26- : </w:t>
      </w:r>
      <w:r>
        <w:rPr>
          <w:rFonts w:hint="eastAsia"/>
          <w:spacing w:val="-6"/>
          <w:rtl/>
        </w:rPr>
        <w:t>«</w:t>
      </w:r>
      <w:r>
        <w:rPr>
          <w:rFonts w:hint="cs"/>
          <w:spacing w:val="-6"/>
          <w:rtl/>
        </w:rPr>
        <w:t>صحيح</w:t>
      </w:r>
      <w:r>
        <w:rPr>
          <w:rFonts w:hint="eastAsia"/>
          <w:spacing w:val="-6"/>
          <w:rtl/>
        </w:rPr>
        <w:t>»</w:t>
      </w:r>
      <w:r>
        <w:rPr>
          <w:rFonts w:hint="cs"/>
          <w:spacing w:val="-6"/>
          <w:rtl/>
        </w:rPr>
        <w:t>.</w:t>
      </w:r>
    </w:p>
    <w:p w:rsidR="00035BE3" w:rsidRDefault="00035BE3" w:rsidP="003D5367">
      <w:pPr>
        <w:pStyle w:val="a6"/>
        <w:ind w:left="422" w:firstLine="0"/>
        <w:rPr>
          <w:spacing w:val="6"/>
          <w:rtl/>
        </w:rPr>
      </w:pPr>
      <w:r>
        <w:rPr>
          <w:rFonts w:hint="cs"/>
          <w:spacing w:val="6"/>
          <w:rtl/>
        </w:rPr>
        <w:t>كما أخرجه بمعناه : البخاري، كتاب البيوع، باب ما يكره من الخداع في البيع، 2/745، ح2011؛ ومسلم، كتاب البيع، باب من يخدع في البيع، 3/1165، ح 1533.</w:t>
      </w:r>
    </w:p>
    <w:p w:rsidR="00035BE3" w:rsidRDefault="00035BE3" w:rsidP="003D5367">
      <w:pPr>
        <w:pStyle w:val="a6"/>
        <w:ind w:left="422" w:firstLine="0"/>
        <w:rPr>
          <w:rtl/>
        </w:rPr>
      </w:pPr>
      <w:r>
        <w:rPr>
          <w:rFonts w:hint="cs"/>
          <w:rtl/>
        </w:rPr>
        <w:t>يضاف إلى ذلك أنه ورد بلفظه في بعض كتب الفقه منها : الهداية والعناية وفتح القدير، 6/299.</w:t>
      </w:r>
    </w:p>
    <w:p w:rsidR="00035BE3" w:rsidRDefault="00035BE3" w:rsidP="003D5367">
      <w:pPr>
        <w:pStyle w:val="a6"/>
        <w:ind w:left="422" w:firstLine="0"/>
        <w:rPr>
          <w:rtl/>
        </w:rPr>
      </w:pPr>
      <w:r>
        <w:rPr>
          <w:rFonts w:hint="cs"/>
          <w:rtl/>
        </w:rPr>
        <w:t>وللتوسع انظر : نصب الراية، 4/6؛ الدراية، 2/148، ح766؛ تلخيص الحبير، 3/21.</w:t>
      </w:r>
    </w:p>
  </w:footnote>
  <w:footnote w:id="5096">
    <w:p w:rsidR="00035BE3" w:rsidRDefault="00035BE3" w:rsidP="003D5367">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w:t>
      </w:r>
      <w:r>
        <w:rPr>
          <w:rFonts w:hint="eastAsia"/>
          <w:spacing w:val="6"/>
          <w:rtl/>
        </w:rPr>
        <w:t>«</w:t>
      </w:r>
      <w:r>
        <w:rPr>
          <w:rFonts w:hint="cs"/>
          <w:spacing w:val="6"/>
          <w:rtl/>
        </w:rPr>
        <w:t>يقتضي</w:t>
      </w:r>
      <w:r>
        <w:rPr>
          <w:rFonts w:hint="eastAsia"/>
          <w:spacing w:val="6"/>
          <w:rtl/>
        </w:rPr>
        <w:t>»</w:t>
      </w:r>
      <w:r>
        <w:rPr>
          <w:rFonts w:hint="cs"/>
          <w:spacing w:val="6"/>
          <w:rtl/>
        </w:rPr>
        <w:t>. والصحيح ما تمّ إثباته من باقي الـنسخ، وهو الموافق لمصدر هذه العبارة (وهو العناية).</w:t>
      </w:r>
    </w:p>
  </w:footnote>
  <w:footnote w:id="509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مفسّر</w:t>
      </w:r>
      <w:r>
        <w:rPr>
          <w:rFonts w:hint="eastAsia"/>
          <w:rtl/>
        </w:rPr>
        <w:t>»</w:t>
      </w:r>
      <w:r>
        <w:rPr>
          <w:rFonts w:hint="cs"/>
          <w:rtl/>
        </w:rPr>
        <w:t>.</w:t>
      </w:r>
    </w:p>
  </w:footnote>
  <w:footnote w:id="509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6/299 - مع اختلاف يسير-؛ وانظر : تبيين الحقائق، 4/14؛ الدّرر شرح الغرر، 2/152؛ كشف الحقائق، 2/7.</w:t>
      </w:r>
    </w:p>
  </w:footnote>
  <w:footnote w:id="509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في</w:t>
      </w:r>
      <w:r>
        <w:rPr>
          <w:rFonts w:hint="eastAsia"/>
          <w:rtl/>
        </w:rPr>
        <w:t>»</w:t>
      </w:r>
      <w:r>
        <w:rPr>
          <w:rFonts w:hint="cs"/>
          <w:rtl/>
        </w:rPr>
        <w:t xml:space="preserve"> : ساقطة من (ب).</w:t>
      </w:r>
    </w:p>
  </w:footnote>
  <w:footnote w:id="510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ومالا</w:t>
      </w:r>
      <w:r>
        <w:rPr>
          <w:rFonts w:hint="eastAsia"/>
          <w:rtl/>
        </w:rPr>
        <w:t>»</w:t>
      </w:r>
      <w:r>
        <w:rPr>
          <w:rFonts w:hint="cs"/>
          <w:rtl/>
        </w:rPr>
        <w:t>.</w:t>
      </w:r>
    </w:p>
  </w:footnote>
  <w:footnote w:id="510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أبو يوسف ومحمد بن الحسن. فقد خالفا الإمام أبا حنيفة وأجازا الخيار أكثر من ثلاثة أيام.</w:t>
      </w:r>
    </w:p>
    <w:p w:rsidR="00035BE3" w:rsidRDefault="00035BE3" w:rsidP="003D5367">
      <w:pPr>
        <w:pStyle w:val="a6"/>
        <w:ind w:left="422" w:firstLine="0"/>
        <w:rPr>
          <w:rtl/>
        </w:rPr>
      </w:pPr>
      <w:r>
        <w:rPr>
          <w:rFonts w:hint="cs"/>
          <w:b/>
          <w:bCs/>
          <w:rtl/>
        </w:rPr>
        <w:t>ومسألة : الحد الأقصى لمدة خيار الشرط</w:t>
      </w:r>
      <w:r>
        <w:rPr>
          <w:rFonts w:hint="cs"/>
          <w:rtl/>
        </w:rPr>
        <w:t xml:space="preserve"> : من المسائل التي حصل فيها خلاف طويل بين كافة المذاهب الفقهية :</w:t>
      </w:r>
    </w:p>
    <w:p w:rsidR="00035BE3" w:rsidRDefault="00035BE3" w:rsidP="003D5367">
      <w:pPr>
        <w:pStyle w:val="a6"/>
        <w:ind w:left="-32" w:firstLine="454"/>
        <w:rPr>
          <w:rtl/>
        </w:rPr>
      </w:pPr>
      <w:r>
        <w:rPr>
          <w:rtl/>
        </w:rPr>
        <w:t>•</w:t>
      </w:r>
      <w:r>
        <w:rPr>
          <w:rFonts w:hint="cs"/>
          <w:rtl/>
        </w:rPr>
        <w:t xml:space="preserve"> فذهب الإمام أبو حنيفة والإمام الشافعي وزفر إلى تحديد المدة بثلاثة أيام.</w:t>
      </w:r>
    </w:p>
    <w:p w:rsidR="00035BE3" w:rsidRDefault="00035BE3" w:rsidP="003D5367">
      <w:pPr>
        <w:pStyle w:val="a6"/>
        <w:ind w:left="422" w:firstLine="0"/>
        <w:rPr>
          <w:rtl/>
        </w:rPr>
      </w:pPr>
      <w:r>
        <w:rPr>
          <w:rtl/>
        </w:rPr>
        <w:t>•</w:t>
      </w:r>
      <w:r>
        <w:rPr>
          <w:rFonts w:hint="cs"/>
          <w:rtl/>
        </w:rPr>
        <w:t xml:space="preserve"> وذهب الإمام أحمد وأبو يوسف ومحمد بن الحسن إلى أنه يجوز اشتراط الخيار إلى ما يتفقان عليه من المدة المعلومة قلَّتْ أو كثرت.</w:t>
      </w:r>
    </w:p>
    <w:p w:rsidR="00035BE3" w:rsidRDefault="00035BE3" w:rsidP="003D5367">
      <w:pPr>
        <w:pStyle w:val="a6"/>
        <w:ind w:left="422" w:firstLine="0"/>
        <w:rPr>
          <w:rtl/>
        </w:rPr>
      </w:pPr>
      <w:r>
        <w:rPr>
          <w:rtl/>
        </w:rPr>
        <w:t>•</w:t>
      </w:r>
      <w:r>
        <w:rPr>
          <w:rFonts w:hint="cs"/>
          <w:rtl/>
        </w:rPr>
        <w:t xml:space="preserve"> وذهب الإمام مالك إلى جوازه فيما زاد على الثلاث على أن لا يتجاوز الحدّ المعتاد في كل نوع من أنواع المبيعات.</w:t>
      </w:r>
    </w:p>
    <w:p w:rsidR="00035BE3" w:rsidRDefault="00035BE3" w:rsidP="003D5367">
      <w:pPr>
        <w:pStyle w:val="a6"/>
        <w:ind w:left="422" w:firstLine="0"/>
        <w:rPr>
          <w:rtl/>
        </w:rPr>
      </w:pPr>
      <w:r>
        <w:rPr>
          <w:rFonts w:hint="cs"/>
          <w:rtl/>
        </w:rPr>
        <w:t>انظر -بالإضافة إلى المصادر السابقة- : المغني، 6/38؛ البحر الرائق، 6/5؛ نهاية المحتاج، 4/18؛ الشرح الكبير وحاشية الدسوقي عليه، 3/91؛ الخيار وأثره في العقود، ص220.</w:t>
      </w:r>
    </w:p>
  </w:footnote>
  <w:footnote w:id="510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أشهر</w:t>
      </w:r>
      <w:r>
        <w:rPr>
          <w:rFonts w:hint="eastAsia"/>
          <w:rtl/>
        </w:rPr>
        <w:t>»</w:t>
      </w:r>
      <w:r>
        <w:rPr>
          <w:rFonts w:hint="cs"/>
          <w:rtl/>
        </w:rPr>
        <w:t>.</w:t>
      </w:r>
    </w:p>
  </w:footnote>
  <w:footnote w:id="5103">
    <w:p w:rsidR="00035BE3" w:rsidRDefault="00035BE3" w:rsidP="003D5367">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ابن عمر</w:t>
      </w:r>
      <w:r>
        <w:rPr>
          <w:rFonts w:hint="cs"/>
          <w:rtl/>
        </w:rPr>
        <w:t xml:space="preserve"> : هو عبد الله بن عمر بن الخطاب بن نفيل، أبو عبد الرحمن القرشي العدوي. ولد بعد البعثة بثلاث سنين، ومات بمكة سنة 73هـ.</w:t>
      </w:r>
    </w:p>
    <w:p w:rsidR="00035BE3" w:rsidRDefault="00035BE3" w:rsidP="003D5367">
      <w:pPr>
        <w:pStyle w:val="a6"/>
        <w:spacing w:line="228" w:lineRule="auto"/>
        <w:ind w:left="422" w:firstLine="0"/>
        <w:rPr>
          <w:rtl/>
          <w:lang w:val="en-US"/>
        </w:rPr>
      </w:pPr>
      <w:r>
        <w:rPr>
          <w:rFonts w:hint="cs"/>
          <w:rtl/>
        </w:rPr>
        <w:t xml:space="preserve">أسلم وهو صغير، وهاجر قبل أبيه، وأول مشاهده الخندق على الصحيح، وكان من المكثرين من الرواية عن النبي </w:t>
      </w:r>
      <w:r>
        <w:rPr>
          <w:rFonts w:ascii="AGA Arabesque" w:hAnsi="AGA Arabesque"/>
          <w:sz w:val="36"/>
          <w:szCs w:val="36"/>
          <w:lang w:val="en-US"/>
        </w:rPr>
        <w:t></w:t>
      </w:r>
      <w:r>
        <w:rPr>
          <w:rFonts w:hint="cs"/>
          <w:rtl/>
          <w:lang w:val="en-US"/>
        </w:rPr>
        <w:t xml:space="preserve"> ، كثير الاتباع لآثاره، من أعلم الصحابة بمناسك الحج، شديد التحرِّي والاحتياط والتوقي في فتواه.</w:t>
      </w:r>
    </w:p>
    <w:p w:rsidR="00035BE3" w:rsidRDefault="00035BE3" w:rsidP="003D5367">
      <w:pPr>
        <w:pStyle w:val="a6"/>
        <w:spacing w:line="228" w:lineRule="auto"/>
        <w:ind w:left="422" w:firstLine="0"/>
        <w:rPr>
          <w:rtl/>
        </w:rPr>
      </w:pPr>
      <w:r>
        <w:rPr>
          <w:rFonts w:hint="cs"/>
          <w:rtl/>
          <w:lang w:val="en-US"/>
        </w:rPr>
        <w:t>ومن أقواله النفيسة التي تدل على توقّيه في الفتوى : أنه سئل عن شيء فقال : لا أدري. ثم قال : أتريدون أن تجعلوا ظهورنا جسورًا في جهنم؟، تقولون أفتانا بهذا ابن عمر</w:t>
      </w:r>
      <w:r>
        <w:rPr>
          <w:rFonts w:hint="eastAsia"/>
          <w:rtl/>
        </w:rPr>
        <w:t>»</w:t>
      </w:r>
      <w:r>
        <w:rPr>
          <w:rFonts w:hint="cs"/>
          <w:rtl/>
        </w:rPr>
        <w:t>.</w:t>
      </w:r>
    </w:p>
    <w:p w:rsidR="00035BE3" w:rsidRDefault="00035BE3" w:rsidP="003D5367">
      <w:pPr>
        <w:pStyle w:val="a6"/>
        <w:spacing w:line="228" w:lineRule="auto"/>
        <w:ind w:left="422" w:firstLine="0"/>
        <w:rPr>
          <w:spacing w:val="-6"/>
          <w:rtl/>
          <w:lang w:val="en-US"/>
        </w:rPr>
      </w:pPr>
      <w:r>
        <w:rPr>
          <w:rFonts w:hint="cs"/>
          <w:b/>
          <w:bCs/>
          <w:spacing w:val="-6"/>
          <w:rtl/>
        </w:rPr>
        <w:t>انظر</w:t>
      </w:r>
      <w:r>
        <w:rPr>
          <w:rFonts w:hint="cs"/>
          <w:spacing w:val="-6"/>
          <w:rtl/>
        </w:rPr>
        <w:t xml:space="preserve"> : طبقات ابن سعد، 2/373؛ الاستيعاب، 3/950، رقم 1612؛ الإصابة، 4/181، رقم 4837.</w:t>
      </w:r>
    </w:p>
  </w:footnote>
  <w:footnote w:id="5104">
    <w:p w:rsidR="00035BE3" w:rsidRDefault="00035BE3" w:rsidP="003D5367">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78/أ من (جـ)، مع تكرار </w:t>
      </w:r>
      <w:r>
        <w:rPr>
          <w:rFonts w:hint="eastAsia"/>
          <w:rtl/>
        </w:rPr>
        <w:t>«</w:t>
      </w:r>
      <w:r>
        <w:rPr>
          <w:rFonts w:hint="cs"/>
          <w:rtl/>
        </w:rPr>
        <w:t>تعالى</w:t>
      </w:r>
      <w:r>
        <w:rPr>
          <w:rFonts w:hint="eastAsia"/>
          <w:rtl/>
        </w:rPr>
        <w:t>»</w:t>
      </w:r>
      <w:r>
        <w:rPr>
          <w:rFonts w:hint="cs"/>
          <w:rtl/>
        </w:rPr>
        <w:t xml:space="preserve"> في بداية اللوحة التي تليها.</w:t>
      </w:r>
    </w:p>
  </w:footnote>
  <w:footnote w:id="5105">
    <w:p w:rsidR="00035BE3" w:rsidRDefault="00035BE3" w:rsidP="003D5367">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بحثت عن هذا الحديث فلم أجده في الكتب المسندة.</w:t>
      </w:r>
    </w:p>
    <w:p w:rsidR="00035BE3" w:rsidRDefault="00035BE3" w:rsidP="003D5367">
      <w:pPr>
        <w:pStyle w:val="a6"/>
        <w:spacing w:line="228" w:lineRule="auto"/>
        <w:ind w:left="422" w:firstLine="0"/>
        <w:rPr>
          <w:rtl/>
        </w:rPr>
      </w:pPr>
      <w:r>
        <w:rPr>
          <w:rFonts w:hint="cs"/>
          <w:rtl/>
        </w:rPr>
        <w:t xml:space="preserve">إلا أن بعض الفقهاء من الحنفية يتناقلونه على أنه أثر مروي عن ابن عمر </w:t>
      </w:r>
      <w:r>
        <w:rPr>
          <w:rtl/>
        </w:rPr>
        <w:t>–</w:t>
      </w:r>
      <w:r>
        <w:rPr>
          <w:rFonts w:hint="cs"/>
          <w:rtl/>
        </w:rPr>
        <w:t>رضي الله عنهما-، ويذكرونه في معرض الاستدلال لرأي أبي يوسف ومحمد (المذكور)، وعند جوابهم عن الاستدلال به ينفون معرفة هذا الأثر في كتب الحديث والآثار.</w:t>
      </w:r>
    </w:p>
    <w:p w:rsidR="00035BE3" w:rsidRDefault="00035BE3" w:rsidP="003D5367">
      <w:pPr>
        <w:pStyle w:val="a6"/>
        <w:spacing w:line="228" w:lineRule="auto"/>
        <w:ind w:left="422" w:firstLine="0"/>
        <w:rPr>
          <w:rtl/>
        </w:rPr>
      </w:pPr>
      <w:r>
        <w:rPr>
          <w:rtl/>
        </w:rPr>
        <w:t>•</w:t>
      </w:r>
      <w:r>
        <w:rPr>
          <w:rFonts w:hint="cs"/>
          <w:rtl/>
        </w:rPr>
        <w:t xml:space="preserve"> ومن ذلك ما جاء في (فتح القدير) </w:t>
      </w:r>
      <w:r>
        <w:rPr>
          <w:rtl/>
        </w:rPr>
        <w:t>–</w:t>
      </w:r>
      <w:r>
        <w:rPr>
          <w:rFonts w:hint="cs"/>
          <w:rtl/>
        </w:rPr>
        <w:t xml:space="preserve">6/302- : </w:t>
      </w:r>
      <w:r>
        <w:rPr>
          <w:rFonts w:hint="eastAsia"/>
          <w:rtl/>
        </w:rPr>
        <w:t>«</w:t>
      </w:r>
      <w:r>
        <w:rPr>
          <w:rFonts w:hint="cs"/>
          <w:rtl/>
        </w:rPr>
        <w:t>وأمَّا ما استدلوا من حديث ابن عمر المذكور في الكتاب فلا يعرف في شيء من كتب الحديث والآثار</w:t>
      </w:r>
      <w:r>
        <w:rPr>
          <w:rFonts w:hint="eastAsia"/>
          <w:rtl/>
        </w:rPr>
        <w:t>»</w:t>
      </w:r>
      <w:r>
        <w:rPr>
          <w:rFonts w:hint="cs"/>
          <w:rtl/>
        </w:rPr>
        <w:t>.</w:t>
      </w:r>
    </w:p>
    <w:p w:rsidR="00035BE3" w:rsidRDefault="00035BE3" w:rsidP="003D5367">
      <w:pPr>
        <w:pStyle w:val="a6"/>
        <w:spacing w:line="228" w:lineRule="auto"/>
        <w:ind w:left="-32" w:firstLine="454"/>
        <w:rPr>
          <w:rtl/>
        </w:rPr>
      </w:pPr>
      <w:r>
        <w:rPr>
          <w:rtl/>
        </w:rPr>
        <w:t>•</w:t>
      </w:r>
      <w:r>
        <w:rPr>
          <w:rFonts w:hint="cs"/>
          <w:rtl/>
        </w:rPr>
        <w:t xml:space="preserve"> وما جاء في (البحر الرائق) </w:t>
      </w:r>
      <w:r>
        <w:rPr>
          <w:rtl/>
        </w:rPr>
        <w:t>–</w:t>
      </w:r>
      <w:r>
        <w:rPr>
          <w:rFonts w:hint="cs"/>
          <w:rtl/>
        </w:rPr>
        <w:t xml:space="preserve">6/5- : </w:t>
      </w:r>
      <w:r>
        <w:rPr>
          <w:rFonts w:hint="eastAsia"/>
          <w:rtl/>
        </w:rPr>
        <w:t>«</w:t>
      </w:r>
      <w:r>
        <w:rPr>
          <w:rFonts w:hint="cs"/>
          <w:rtl/>
        </w:rPr>
        <w:t>وأما حديث ابن عمر فلم يُعرف</w:t>
      </w:r>
      <w:r>
        <w:rPr>
          <w:rFonts w:hint="eastAsia"/>
          <w:rtl/>
        </w:rPr>
        <w:t>»</w:t>
      </w:r>
      <w:r>
        <w:rPr>
          <w:rFonts w:hint="cs"/>
          <w:rtl/>
        </w:rPr>
        <w:t>.</w:t>
      </w:r>
    </w:p>
    <w:p w:rsidR="00035BE3" w:rsidRDefault="00035BE3" w:rsidP="003D5367">
      <w:pPr>
        <w:pStyle w:val="a6"/>
        <w:spacing w:line="228" w:lineRule="auto"/>
        <w:ind w:left="422" w:firstLine="0"/>
        <w:rPr>
          <w:rtl/>
        </w:rPr>
      </w:pPr>
      <w:r>
        <w:rPr>
          <w:rtl/>
        </w:rPr>
        <w:t>•</w:t>
      </w:r>
      <w:r>
        <w:rPr>
          <w:rFonts w:hint="cs"/>
          <w:rtl/>
        </w:rPr>
        <w:t xml:space="preserve"> وممّا يشهد لرأي الفقهاء هذا : أن صاحب (نصب الرّاية) </w:t>
      </w:r>
      <w:r>
        <w:rPr>
          <w:rtl/>
        </w:rPr>
        <w:t>–</w:t>
      </w:r>
      <w:r>
        <w:rPr>
          <w:rFonts w:hint="cs"/>
          <w:rtl/>
        </w:rPr>
        <w:t xml:space="preserve">4/8- عندما علّق على هذا الأثر قال : </w:t>
      </w:r>
      <w:r>
        <w:rPr>
          <w:rFonts w:hint="eastAsia"/>
          <w:rtl/>
        </w:rPr>
        <w:t>«</w:t>
      </w:r>
      <w:r>
        <w:rPr>
          <w:rFonts w:hint="cs"/>
          <w:rtl/>
        </w:rPr>
        <w:t>قوله : روي عن ابن عمر أنه أجاز الخيار إلى شهرين.</w:t>
      </w:r>
    </w:p>
    <w:p w:rsidR="00035BE3" w:rsidRDefault="00035BE3" w:rsidP="003D5367">
      <w:pPr>
        <w:pStyle w:val="a6"/>
        <w:spacing w:line="228" w:lineRule="auto"/>
        <w:ind w:left="422" w:firstLine="0"/>
        <w:rPr>
          <w:rtl/>
        </w:rPr>
      </w:pPr>
      <w:r>
        <w:rPr>
          <w:rFonts w:hint="cs"/>
          <w:rtl/>
        </w:rPr>
        <w:t>قلت : غريب جدًّا</w:t>
      </w:r>
      <w:r>
        <w:rPr>
          <w:rFonts w:hint="eastAsia"/>
          <w:rtl/>
        </w:rPr>
        <w:t>»</w:t>
      </w:r>
      <w:r>
        <w:rPr>
          <w:rFonts w:hint="cs"/>
          <w:rtl/>
        </w:rPr>
        <w:t>.</w:t>
      </w:r>
    </w:p>
  </w:footnote>
  <w:footnote w:id="5106">
    <w:p w:rsidR="00035BE3" w:rsidRDefault="00035BE3" w:rsidP="003D5367">
      <w:pPr>
        <w:pStyle w:val="a8"/>
        <w:bidi/>
        <w:spacing w:line="228" w:lineRule="auto"/>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sidRPr="00D96269">
        <w:rPr>
          <w:rFonts w:hint="cs"/>
          <w:spacing w:val="-6"/>
          <w:sz w:val="14"/>
          <w:szCs w:val="24"/>
          <w:rtl/>
        </w:rPr>
        <w:t xml:space="preserve">    </w:t>
      </w:r>
      <w:r>
        <w:rPr>
          <w:rFonts w:hint="cs"/>
          <w:spacing w:val="-6"/>
          <w:rtl/>
        </w:rPr>
        <w:t xml:space="preserve">في (أ) و(ب) و(جـ): </w:t>
      </w:r>
      <w:r>
        <w:rPr>
          <w:rFonts w:hint="eastAsia"/>
          <w:spacing w:val="-6"/>
          <w:rtl/>
        </w:rPr>
        <w:t>«</w:t>
      </w:r>
      <w:r>
        <w:rPr>
          <w:rFonts w:hint="cs"/>
          <w:spacing w:val="-6"/>
          <w:rtl/>
        </w:rPr>
        <w:t>يمس</w:t>
      </w:r>
      <w:r>
        <w:rPr>
          <w:rFonts w:hint="eastAsia"/>
          <w:spacing w:val="-6"/>
          <w:rtl/>
        </w:rPr>
        <w:t>»</w:t>
      </w:r>
      <w:r>
        <w:rPr>
          <w:rFonts w:hint="cs"/>
          <w:spacing w:val="-6"/>
          <w:rtl/>
        </w:rPr>
        <w:t>. والأفصح ما تمَّ إثباته من (د)، وهو الموافق لمصدر هذه العبارة (وهو العناية).</w:t>
      </w:r>
    </w:p>
  </w:footnote>
  <w:footnote w:id="5107">
    <w:p w:rsidR="00035BE3" w:rsidRDefault="00035BE3" w:rsidP="003D5367">
      <w:pPr>
        <w:pStyle w:val="a8"/>
        <w:bidi/>
        <w:spacing w:line="228"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زيادة </w:t>
      </w:r>
      <w:r>
        <w:rPr>
          <w:rFonts w:hint="eastAsia"/>
          <w:rtl/>
        </w:rPr>
        <w:t>«</w:t>
      </w:r>
      <w:r>
        <w:rPr>
          <w:rFonts w:hint="cs"/>
          <w:rtl/>
        </w:rPr>
        <w:t>عندنا</w:t>
      </w:r>
      <w:r>
        <w:rPr>
          <w:rFonts w:hint="eastAsia"/>
          <w:rtl/>
        </w:rPr>
        <w:t>»</w:t>
      </w:r>
      <w:r>
        <w:rPr>
          <w:rFonts w:hint="cs"/>
          <w:rtl/>
        </w:rPr>
        <w:t>.</w:t>
      </w:r>
    </w:p>
  </w:footnote>
  <w:footnote w:id="5108">
    <w:p w:rsidR="00035BE3" w:rsidRDefault="00035BE3" w:rsidP="003D5367">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0047C6">
        <w:rPr>
          <w:rFonts w:hint="cs"/>
          <w:sz w:val="16"/>
          <w:szCs w:val="26"/>
          <w:rtl/>
        </w:rPr>
        <w:t xml:space="preserve"> </w:t>
      </w:r>
      <w:r w:rsidRPr="000047C6">
        <w:rPr>
          <w:rFonts w:hint="cs"/>
          <w:spacing w:val="-2"/>
          <w:sz w:val="16"/>
          <w:szCs w:val="26"/>
          <w:rtl/>
        </w:rPr>
        <w:t xml:space="preserve"> </w:t>
      </w:r>
      <w:r w:rsidRPr="00147F55">
        <w:rPr>
          <w:rFonts w:hint="cs"/>
          <w:spacing w:val="-2"/>
          <w:rtl/>
        </w:rPr>
        <w:t xml:space="preserve">العناية، 6/299-300- مع اختلاف يسير، حيث جاء في العناية: </w:t>
      </w:r>
      <w:r w:rsidRPr="00147F55">
        <w:rPr>
          <w:rFonts w:hint="eastAsia"/>
          <w:spacing w:val="-2"/>
          <w:rtl/>
        </w:rPr>
        <w:t>«</w:t>
      </w:r>
      <w:r w:rsidRPr="00147F55">
        <w:rPr>
          <w:rFonts w:hint="cs"/>
          <w:spacing w:val="-2"/>
          <w:rtl/>
        </w:rPr>
        <w:t xml:space="preserve">ولأن خيار الشرط إنما </w:t>
      </w:r>
      <w:r w:rsidRPr="00147F55">
        <w:rPr>
          <w:rFonts w:hint="cs"/>
          <w:b/>
          <w:bCs/>
          <w:spacing w:val="-2"/>
          <w:rtl/>
        </w:rPr>
        <w:t>شرع</w:t>
      </w:r>
      <w:r w:rsidRPr="00147F55">
        <w:rPr>
          <w:rFonts w:hint="cs"/>
          <w:spacing w:val="-2"/>
          <w:rtl/>
        </w:rPr>
        <w:t xml:space="preserve"> </w:t>
      </w:r>
      <w:r>
        <w:rPr>
          <w:rFonts w:hint="cs"/>
          <w:rtl/>
        </w:rPr>
        <w:t>...</w:t>
      </w:r>
      <w:r>
        <w:rPr>
          <w:rFonts w:hint="eastAsia"/>
          <w:rtl/>
        </w:rPr>
        <w:t>»</w:t>
      </w:r>
      <w:r>
        <w:rPr>
          <w:rFonts w:hint="cs"/>
          <w:rtl/>
        </w:rPr>
        <w:t>؛ وانظر : الهداية وفتح القدير، 6/300؛ تبيين الحقائق، 4/14.</w:t>
      </w:r>
    </w:p>
  </w:footnote>
  <w:footnote w:id="510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يقر</w:t>
      </w:r>
      <w:r>
        <w:rPr>
          <w:rFonts w:hint="eastAsia"/>
          <w:rtl/>
        </w:rPr>
        <w:t>»</w:t>
      </w:r>
      <w:r>
        <w:rPr>
          <w:rFonts w:hint="cs"/>
          <w:rtl/>
        </w:rPr>
        <w:t>.</w:t>
      </w:r>
    </w:p>
  </w:footnote>
  <w:footnote w:id="511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عندنا</w:t>
      </w:r>
      <w:r>
        <w:rPr>
          <w:rFonts w:hint="eastAsia"/>
          <w:rtl/>
        </w:rPr>
        <w:t>»</w:t>
      </w:r>
      <w:r>
        <w:rPr>
          <w:rFonts w:hint="cs"/>
          <w:rtl/>
        </w:rPr>
        <w:t xml:space="preserve"> : ساقطة من (جـ).</w:t>
      </w:r>
    </w:p>
  </w:footnote>
  <w:footnote w:id="511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ختمها المؤلف بقوله : </w:t>
      </w:r>
      <w:r>
        <w:rPr>
          <w:rFonts w:hint="eastAsia"/>
          <w:rtl/>
        </w:rPr>
        <w:t>«</w:t>
      </w:r>
      <w:r>
        <w:rPr>
          <w:rFonts w:hint="cs"/>
          <w:rtl/>
        </w:rPr>
        <w:t>عندنا</w:t>
      </w:r>
      <w:r>
        <w:rPr>
          <w:rFonts w:hint="eastAsia"/>
          <w:rtl/>
        </w:rPr>
        <w:t>»</w:t>
      </w:r>
      <w:r>
        <w:rPr>
          <w:rFonts w:hint="cs"/>
          <w:rtl/>
        </w:rPr>
        <w:t xml:space="preserve">، أي : عند الحنفية؛ إذ هي تمثل رأيهم في قاعدة أصولية، وهي : هل يقتضي النهي الفساد؟، فهم يرون أن </w:t>
      </w:r>
      <w:r>
        <w:rPr>
          <w:rFonts w:hint="eastAsia"/>
          <w:rtl/>
        </w:rPr>
        <w:t>«</w:t>
      </w:r>
      <w:r>
        <w:rPr>
          <w:rFonts w:hint="cs"/>
          <w:rtl/>
        </w:rPr>
        <w:t xml:space="preserve">النهي المطلق عن التصرفات الشرعية ... يقتضي قبحًا لمعنى في غير المنهي عنه، لكن متّصل به؛ </w:t>
      </w:r>
      <w:r>
        <w:rPr>
          <w:rFonts w:hint="cs"/>
          <w:b/>
          <w:bCs/>
          <w:rtl/>
        </w:rPr>
        <w:t>حتى يبقى المنهي مشروعًا</w:t>
      </w:r>
      <w:r>
        <w:rPr>
          <w:rFonts w:hint="cs"/>
          <w:rtl/>
        </w:rPr>
        <w:t>، مع اطلاق النهي وحقيقته</w:t>
      </w:r>
      <w:r>
        <w:rPr>
          <w:rFonts w:hint="eastAsia"/>
          <w:rtl/>
        </w:rPr>
        <w:t>»</w:t>
      </w:r>
      <w:r>
        <w:rPr>
          <w:rFonts w:hint="cs"/>
          <w:rtl/>
        </w:rPr>
        <w:t>- قاله البزدوي في أصوله، 1/526-527-.</w:t>
      </w:r>
    </w:p>
    <w:p w:rsidR="00035BE3" w:rsidRDefault="00035BE3" w:rsidP="003D5367">
      <w:pPr>
        <w:pStyle w:val="a6"/>
        <w:ind w:left="422" w:firstLine="0"/>
        <w:rPr>
          <w:rtl/>
        </w:rPr>
      </w:pPr>
      <w:r>
        <w:rPr>
          <w:rFonts w:hint="cs"/>
          <w:rtl/>
        </w:rPr>
        <w:t xml:space="preserve">وهذه القاعدة أو المسألة </w:t>
      </w:r>
      <w:r>
        <w:rPr>
          <w:rFonts w:hint="eastAsia"/>
          <w:rtl/>
        </w:rPr>
        <w:t>«</w:t>
      </w:r>
      <w:r>
        <w:rPr>
          <w:rFonts w:hint="cs"/>
          <w:rtl/>
        </w:rPr>
        <w:t>من أمهات مسائل الخلاف، وقد اعتاصت على قوم من المحقّقين</w:t>
      </w:r>
      <w:r>
        <w:rPr>
          <w:rFonts w:hint="eastAsia"/>
          <w:rtl/>
        </w:rPr>
        <w:t>»</w:t>
      </w:r>
      <w:r>
        <w:rPr>
          <w:rFonts w:hint="cs"/>
          <w:rtl/>
        </w:rPr>
        <w:t>- على ما قاله ابن السبكي في أشباهه، 1/115-.</w:t>
      </w:r>
    </w:p>
    <w:p w:rsidR="00035BE3" w:rsidRDefault="00035BE3" w:rsidP="003D5367">
      <w:pPr>
        <w:pStyle w:val="a6"/>
        <w:ind w:left="422" w:firstLine="0"/>
        <w:rPr>
          <w:rtl/>
        </w:rPr>
      </w:pPr>
      <w:r>
        <w:rPr>
          <w:rFonts w:hint="cs"/>
          <w:rtl/>
        </w:rPr>
        <w:t xml:space="preserve">ونظرًا لأهميتها فإنه لا يكاد يخلو منها كتاب من كتب أصول الفقه، كما وردت في كثير من كتب الفقه وقواعده، وأيضًا أفردت لها عدة كتب قديمًا وحديثًا: </w:t>
      </w:r>
    </w:p>
    <w:p w:rsidR="00035BE3" w:rsidRDefault="00035BE3" w:rsidP="003D5367">
      <w:pPr>
        <w:pStyle w:val="a6"/>
        <w:ind w:left="422" w:firstLine="0"/>
        <w:rPr>
          <w:b/>
          <w:bCs/>
          <w:rtl/>
        </w:rPr>
      </w:pPr>
      <w:r>
        <w:rPr>
          <w:rFonts w:hint="cs"/>
          <w:b/>
          <w:bCs/>
          <w:rtl/>
        </w:rPr>
        <w:t>ومن هذه الكتب :</w:t>
      </w:r>
    </w:p>
    <w:p w:rsidR="00035BE3" w:rsidRDefault="00035BE3" w:rsidP="003D5367">
      <w:pPr>
        <w:pStyle w:val="a6"/>
        <w:ind w:left="422" w:firstLine="0"/>
        <w:rPr>
          <w:rtl/>
        </w:rPr>
      </w:pPr>
      <w:r>
        <w:rPr>
          <w:rFonts w:hint="cs"/>
          <w:b/>
          <w:bCs/>
          <w:rtl/>
        </w:rPr>
        <w:t>1</w:t>
      </w:r>
      <w:r>
        <w:rPr>
          <w:rFonts w:hint="cs"/>
          <w:rtl/>
        </w:rPr>
        <w:t>- تحقيق المراد في أن النهي يقتضي الفساد للعلائي (ت761هـ).</w:t>
      </w:r>
    </w:p>
    <w:p w:rsidR="00035BE3" w:rsidRDefault="00035BE3" w:rsidP="003D5367">
      <w:pPr>
        <w:pStyle w:val="a6"/>
        <w:ind w:left="422" w:firstLine="0"/>
        <w:rPr>
          <w:rtl/>
        </w:rPr>
      </w:pPr>
      <w:r>
        <w:rPr>
          <w:rFonts w:hint="cs"/>
          <w:b/>
          <w:bCs/>
          <w:rtl/>
        </w:rPr>
        <w:t>2</w:t>
      </w:r>
      <w:r>
        <w:rPr>
          <w:rFonts w:hint="cs"/>
          <w:rtl/>
        </w:rPr>
        <w:t>- تحقيق المراد في أن النهي يقتضي الفساد ومؤلفه : الحافظ العلائي، دراسة وتحقيقًا، للدكتور إبراهيم سلقيني.</w:t>
      </w:r>
    </w:p>
    <w:p w:rsidR="00035BE3" w:rsidRDefault="00035BE3" w:rsidP="003D5367">
      <w:pPr>
        <w:pStyle w:val="a6"/>
        <w:ind w:left="422" w:firstLine="0"/>
        <w:rPr>
          <w:spacing w:val="-4"/>
          <w:rtl/>
        </w:rPr>
      </w:pPr>
      <w:r>
        <w:rPr>
          <w:rFonts w:hint="cs"/>
          <w:b/>
          <w:bCs/>
          <w:spacing w:val="-4"/>
          <w:rtl/>
        </w:rPr>
        <w:t xml:space="preserve">3 </w:t>
      </w:r>
      <w:r>
        <w:rPr>
          <w:rFonts w:hint="cs"/>
          <w:spacing w:val="-4"/>
          <w:rtl/>
        </w:rPr>
        <w:t xml:space="preserve">- اقتضاء النهي الفساد لعبد العزيز الهويش </w:t>
      </w:r>
      <w:r>
        <w:rPr>
          <w:spacing w:val="-4"/>
          <w:rtl/>
        </w:rPr>
        <w:t>–</w:t>
      </w:r>
      <w:r>
        <w:rPr>
          <w:rFonts w:hint="cs"/>
          <w:spacing w:val="-4"/>
          <w:rtl/>
        </w:rPr>
        <w:t xml:space="preserve"> وهو بحث تكميلي للماجستير بالمعهد العالي للقضاء-.</w:t>
      </w:r>
    </w:p>
    <w:p w:rsidR="00035BE3" w:rsidRDefault="00035BE3" w:rsidP="003D5367">
      <w:pPr>
        <w:pStyle w:val="a6"/>
        <w:ind w:left="422" w:firstLine="0"/>
        <w:rPr>
          <w:rtl/>
        </w:rPr>
      </w:pPr>
      <w:r>
        <w:rPr>
          <w:rFonts w:hint="cs"/>
          <w:b/>
          <w:bCs/>
          <w:rtl/>
        </w:rPr>
        <w:t xml:space="preserve">4 </w:t>
      </w:r>
      <w:r>
        <w:rPr>
          <w:rFonts w:hint="cs"/>
          <w:rtl/>
        </w:rPr>
        <w:t>- النهي يقتضي الفساد بين العلائي وابن تيمية لأبي بكر بن عبد العزيز البغدادي.</w:t>
      </w:r>
    </w:p>
    <w:p w:rsidR="00035BE3" w:rsidRDefault="00035BE3" w:rsidP="003D5367">
      <w:pPr>
        <w:pStyle w:val="a6"/>
        <w:ind w:left="422" w:firstLine="0"/>
        <w:rPr>
          <w:rtl/>
        </w:rPr>
      </w:pPr>
      <w:r>
        <w:rPr>
          <w:rFonts w:hint="cs"/>
          <w:b/>
          <w:bCs/>
          <w:rtl/>
        </w:rPr>
        <w:t>وقد حرّر العلائي محل النـزاع</w:t>
      </w:r>
      <w:r>
        <w:rPr>
          <w:rFonts w:hint="cs"/>
          <w:rtl/>
        </w:rPr>
        <w:t xml:space="preserve"> في هذه المسألة فقال في كتابه </w:t>
      </w:r>
      <w:r>
        <w:rPr>
          <w:rtl/>
        </w:rPr>
        <w:t>–</w:t>
      </w:r>
      <w:r>
        <w:rPr>
          <w:rFonts w:hint="cs"/>
          <w:rtl/>
        </w:rPr>
        <w:t xml:space="preserve"> تحقيق المراد، ص312-:</w:t>
      </w:r>
    </w:p>
    <w:p w:rsidR="00035BE3" w:rsidRDefault="00035BE3" w:rsidP="003D5367">
      <w:pPr>
        <w:pStyle w:val="a6"/>
        <w:ind w:left="422" w:firstLine="0"/>
        <w:rPr>
          <w:rtl/>
        </w:rPr>
      </w:pPr>
      <w:r>
        <w:rPr>
          <w:rFonts w:hint="eastAsia"/>
          <w:rtl/>
        </w:rPr>
        <w:t>«</w:t>
      </w:r>
      <w:r>
        <w:rPr>
          <w:rFonts w:hint="cs"/>
          <w:rtl/>
        </w:rPr>
        <w:t>- والحق أنّ محل الخلاف إنما هو في مطلق النهي، كما قيّد به كلامه بعض المتأخرين من أهل التحقيق.</w:t>
      </w:r>
    </w:p>
    <w:p w:rsidR="00035BE3" w:rsidRDefault="00035BE3" w:rsidP="003D5367">
      <w:pPr>
        <w:pStyle w:val="a6"/>
        <w:ind w:left="422" w:firstLine="0"/>
        <w:rPr>
          <w:rtl/>
        </w:rPr>
      </w:pPr>
      <w:r>
        <w:rPr>
          <w:rFonts w:hint="cs"/>
          <w:rtl/>
        </w:rPr>
        <w:t>- فأمّا النهي الذي اقترن بقرينة تدّل على بطلانه، أو بقرينة تدل على صحته، فلا ينبغي أن يكون فيهما خلاف، وإن كانوا قد أطلقوا ذلك، لكن مرادهم ما قلناه</w:t>
      </w:r>
      <w:r>
        <w:rPr>
          <w:rFonts w:hint="eastAsia"/>
          <w:rtl/>
        </w:rPr>
        <w:t>»</w:t>
      </w:r>
      <w:r>
        <w:rPr>
          <w:rFonts w:hint="cs"/>
          <w:rtl/>
        </w:rPr>
        <w:t>.</w:t>
      </w:r>
    </w:p>
    <w:p w:rsidR="00035BE3" w:rsidRDefault="00035BE3" w:rsidP="003D5367">
      <w:pPr>
        <w:pStyle w:val="a6"/>
        <w:ind w:left="422" w:firstLine="0"/>
        <w:rPr>
          <w:rtl/>
        </w:rPr>
      </w:pPr>
      <w:r>
        <w:rPr>
          <w:rFonts w:hint="cs"/>
          <w:rtl/>
        </w:rPr>
        <w:t xml:space="preserve">وقد ذكر العلائي - في كتابه ص302- أنه </w:t>
      </w:r>
      <w:r>
        <w:rPr>
          <w:rFonts w:hint="eastAsia"/>
          <w:rtl/>
        </w:rPr>
        <w:t>«</w:t>
      </w:r>
      <w:r>
        <w:rPr>
          <w:rFonts w:hint="cs"/>
          <w:rtl/>
        </w:rPr>
        <w:t>ينتهي مجموع المذاهب [في هذه المسألة] إلى أكثر من ستة عشر قولاً</w:t>
      </w:r>
      <w:r>
        <w:rPr>
          <w:rFonts w:hint="eastAsia"/>
          <w:rtl/>
        </w:rPr>
        <w:t>»</w:t>
      </w:r>
      <w:r>
        <w:rPr>
          <w:rFonts w:hint="cs"/>
          <w:rtl/>
        </w:rPr>
        <w:t>.</w:t>
      </w:r>
    </w:p>
    <w:p w:rsidR="00035BE3" w:rsidRDefault="00035BE3" w:rsidP="003D5367">
      <w:pPr>
        <w:pStyle w:val="a6"/>
        <w:ind w:left="422" w:firstLine="0"/>
        <w:rPr>
          <w:b/>
          <w:bCs/>
          <w:rtl/>
        </w:rPr>
      </w:pPr>
      <w:r>
        <w:rPr>
          <w:rFonts w:hint="cs"/>
          <w:b/>
          <w:bCs/>
          <w:rtl/>
        </w:rPr>
        <w:t xml:space="preserve">وأشهرها ثلاثة أقوال : </w:t>
      </w:r>
    </w:p>
    <w:p w:rsidR="00035BE3" w:rsidRDefault="00035BE3" w:rsidP="003D5367">
      <w:pPr>
        <w:pStyle w:val="a6"/>
        <w:ind w:left="422" w:firstLine="0"/>
        <w:rPr>
          <w:rtl/>
        </w:rPr>
      </w:pPr>
      <w:r>
        <w:rPr>
          <w:rFonts w:hint="cs"/>
          <w:b/>
          <w:bCs/>
          <w:rtl/>
        </w:rPr>
        <w:t>الأول</w:t>
      </w:r>
      <w:r>
        <w:rPr>
          <w:rFonts w:hint="cs"/>
          <w:rtl/>
        </w:rPr>
        <w:t xml:space="preserve"> : النهي يقتضي الفساد مطلقًا.</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3D5367">
      <w:pPr>
        <w:pStyle w:val="a6"/>
        <w:ind w:left="422" w:firstLine="0"/>
        <w:rPr>
          <w:rtl/>
        </w:rPr>
      </w:pPr>
      <w:r>
        <w:rPr>
          <w:rFonts w:hint="cs"/>
          <w:rtl/>
        </w:rPr>
        <w:t xml:space="preserve">وهذا قول الحنابلة </w:t>
      </w:r>
      <w:r>
        <w:rPr>
          <w:rtl/>
        </w:rPr>
        <w:t>–</w:t>
      </w:r>
      <w:r>
        <w:rPr>
          <w:rFonts w:hint="cs"/>
          <w:rtl/>
        </w:rPr>
        <w:t xml:space="preserve"> كما في العدّة، 2/432؛ وأصول ابن مفلح، 2/730، 737؛ وغيرهما-.</w:t>
      </w:r>
    </w:p>
    <w:p w:rsidR="00035BE3" w:rsidRDefault="00035BE3" w:rsidP="003D5367">
      <w:pPr>
        <w:pStyle w:val="a6"/>
        <w:ind w:left="422" w:firstLine="0"/>
        <w:rPr>
          <w:rtl/>
        </w:rPr>
      </w:pPr>
      <w:r>
        <w:rPr>
          <w:rFonts w:hint="cs"/>
          <w:b/>
          <w:bCs/>
          <w:rtl/>
        </w:rPr>
        <w:t>الثاني</w:t>
      </w:r>
      <w:r>
        <w:rPr>
          <w:rFonts w:hint="cs"/>
          <w:rtl/>
        </w:rPr>
        <w:t xml:space="preserve"> : أنه يقتضي الصحة، إذا كان النهي عنه لوصفه، ولم يكن من الأفعال الحسية، وأما النهي عن الشيء لعينه فيقتضي الفساد، وهو مذهب أبي حنيفة ومحمد بن الحسن وجمهور أصحابهما. </w:t>
      </w:r>
      <w:r>
        <w:rPr>
          <w:rFonts w:hint="cs"/>
          <w:b/>
          <w:bCs/>
          <w:rtl/>
        </w:rPr>
        <w:t>وهو القول الذي تتمشّى معه صيغة القاعدة عند المؤلف</w:t>
      </w:r>
      <w:r>
        <w:rPr>
          <w:rFonts w:hint="cs"/>
          <w:rtl/>
        </w:rPr>
        <w:t>.</w:t>
      </w:r>
    </w:p>
    <w:p w:rsidR="00035BE3" w:rsidRDefault="00035BE3" w:rsidP="003D5367">
      <w:pPr>
        <w:pStyle w:val="a6"/>
        <w:ind w:left="422" w:firstLine="0"/>
        <w:rPr>
          <w:rtl/>
        </w:rPr>
      </w:pPr>
      <w:r>
        <w:rPr>
          <w:rFonts w:hint="cs"/>
          <w:b/>
          <w:bCs/>
          <w:rtl/>
        </w:rPr>
        <w:t>الثالث</w:t>
      </w:r>
      <w:r>
        <w:rPr>
          <w:rFonts w:hint="cs"/>
          <w:rtl/>
        </w:rPr>
        <w:t xml:space="preserve"> : أن النهي عن الشيء إن كان لعينه، أو لوصفه اللازم له فهو مقتضٍ للفساد، بخلاف ما إذا كان لغيره، وسواء في ذلك العبادات، أم العقود.</w:t>
      </w:r>
    </w:p>
    <w:p w:rsidR="00035BE3" w:rsidRDefault="00035BE3" w:rsidP="003D5367">
      <w:pPr>
        <w:pStyle w:val="a6"/>
        <w:ind w:left="422" w:firstLine="0"/>
        <w:rPr>
          <w:rtl/>
        </w:rPr>
      </w:pPr>
      <w:r>
        <w:rPr>
          <w:rFonts w:hint="cs"/>
          <w:rtl/>
        </w:rPr>
        <w:t xml:space="preserve">وقد رجّح العلائي هذا القول حيث قال </w:t>
      </w:r>
      <w:r>
        <w:rPr>
          <w:rtl/>
        </w:rPr>
        <w:t>–</w:t>
      </w:r>
      <w:r>
        <w:rPr>
          <w:rFonts w:hint="cs"/>
          <w:rtl/>
        </w:rPr>
        <w:t xml:space="preserve">ص300- : </w:t>
      </w:r>
      <w:r>
        <w:rPr>
          <w:rFonts w:hint="eastAsia"/>
          <w:rtl/>
        </w:rPr>
        <w:t>«</w:t>
      </w:r>
      <w:r>
        <w:rPr>
          <w:rFonts w:hint="cs"/>
          <w:rtl/>
        </w:rPr>
        <w:t>وهذا أرجح المذاهب وأصحّها دليلاً ... وهو الذي ينبغي أن يكون مذهب الشافعي وجمهور أصحابه ...</w:t>
      </w:r>
      <w:r>
        <w:rPr>
          <w:rFonts w:hint="eastAsia"/>
          <w:rtl/>
        </w:rPr>
        <w:t>»</w:t>
      </w:r>
      <w:r>
        <w:rPr>
          <w:rFonts w:hint="cs"/>
          <w:rtl/>
        </w:rPr>
        <w:t>.</w:t>
      </w:r>
    </w:p>
    <w:p w:rsidR="00035BE3" w:rsidRDefault="00035BE3" w:rsidP="003D5367">
      <w:pPr>
        <w:pStyle w:val="a6"/>
        <w:ind w:left="422" w:firstLine="0"/>
        <w:rPr>
          <w:rtl/>
        </w:rPr>
      </w:pPr>
      <w:r>
        <w:rPr>
          <w:rFonts w:hint="cs"/>
          <w:rtl/>
        </w:rPr>
        <w:t xml:space="preserve">كما نصره ابن العربي في محصوله، -ص71- والقرافي في فروقه </w:t>
      </w:r>
      <w:r>
        <w:rPr>
          <w:rtl/>
        </w:rPr>
        <w:t>–</w:t>
      </w:r>
      <w:r>
        <w:rPr>
          <w:rFonts w:hint="cs"/>
          <w:rtl/>
        </w:rPr>
        <w:t>2/83- وعدّاه مذهب الإمام مالك أيضًا.</w:t>
      </w:r>
    </w:p>
    <w:p w:rsidR="00035BE3" w:rsidRDefault="00035BE3" w:rsidP="003D5367">
      <w:pPr>
        <w:pStyle w:val="a6"/>
        <w:ind w:left="422" w:firstLine="0"/>
        <w:rPr>
          <w:b/>
          <w:bCs/>
          <w:rtl/>
        </w:rPr>
      </w:pPr>
      <w:r>
        <w:rPr>
          <w:rFonts w:hint="cs"/>
          <w:b/>
          <w:bCs/>
          <w:rtl/>
        </w:rPr>
        <w:t>وللتوسع في القاعدة انظر من كتب الأصول :</w:t>
      </w:r>
    </w:p>
    <w:p w:rsidR="00035BE3" w:rsidRPr="00A25095" w:rsidRDefault="00035BE3" w:rsidP="003D5367">
      <w:pPr>
        <w:pStyle w:val="a6"/>
        <w:ind w:left="422" w:firstLine="0"/>
        <w:rPr>
          <w:rtl/>
        </w:rPr>
      </w:pPr>
      <w:r w:rsidRPr="00A25095">
        <w:rPr>
          <w:rFonts w:hint="cs"/>
          <w:rtl/>
        </w:rPr>
        <w:t>المعتمد، 1/183؛ العدة، 2/432؛ إحكام الفصول، ص126؛ التبصرة، ص100؛ شرح اللمع، 1/297؛ البرهان، 1/199، فقرة 194؛ التلخيص، 1/481، فقرة 521؛ أصول البزدوي وكشف الأسرار، 1/524؛ أصول السرخسي، 1/80؛ قواطع الأدلة، 1/255؛ المستصفى، 2/24؛ الواضح، 3/242؛ الوصول إلى الأصول، 1/186؛ التنقيحات، ص127؛ المحصول والكاشف، 4/168؛ روضة الناظر، 2/652؛ الإحكام للآمدي، 2/209؛ مختصر ابن الحاجب وشرح العضد، 2/95؛ شرح تنقيح الفصول، ص173؛ المنهاج والإبهاج، 2/68؛ المغني، ص72؛ نهاية الوصول (بديع النظام)، 1/430؛ المنار وشرحه : جامع الأسرار، 1/250؛ الفائق، 2/152؛ المسوّدة، ص82؛ أصول الفقه لابن مفلح، 2/730؛ جمع الجوامع وشرح المحلي وحاشية البناني، 1/393؛ الموافقات، 2/242؛ البحر المحيط، 2/439؛ التحرير وتيسيره، 1/376؛ شرح الكوكب المنير، 3/84؛ مسلّم الثبوت وفواتح الرحموت، 1/69، 396؛ الصحة والفساد عند الأصوليين، ص329- وما بعدها-؛ القواعد الأصولية المتعلقة بالأمر والنهي، ص530-596؛ أثر الاختلاف في القواعد الأصولية للدكتور مصطفى الخنّ، ص341.</w:t>
      </w:r>
    </w:p>
    <w:p w:rsidR="00035BE3" w:rsidRDefault="00035BE3" w:rsidP="003D5367">
      <w:pPr>
        <w:pStyle w:val="a6"/>
        <w:ind w:left="422" w:firstLine="0"/>
        <w:rPr>
          <w:b/>
          <w:bCs/>
          <w:rtl/>
        </w:rPr>
      </w:pPr>
      <w:r>
        <w:rPr>
          <w:rFonts w:hint="cs"/>
          <w:b/>
          <w:bCs/>
          <w:rtl/>
        </w:rPr>
        <w:t>ومن كتب القواعد :</w:t>
      </w:r>
    </w:p>
    <w:p w:rsidR="00035BE3" w:rsidRDefault="00035BE3" w:rsidP="003D5367">
      <w:pPr>
        <w:pStyle w:val="a6"/>
        <w:ind w:left="422" w:firstLine="0"/>
        <w:rPr>
          <w:spacing w:val="8"/>
          <w:rtl/>
        </w:rPr>
      </w:pPr>
      <w:r>
        <w:rPr>
          <w:rFonts w:hint="cs"/>
          <w:spacing w:val="8"/>
          <w:rtl/>
        </w:rPr>
        <w:t>قواعد الأنام، 2/20؛ أنوار البروق للقرافي، 2/82، الفرق 70؛ وترتيبه، 2/160؛ وتهذيبه، 2/96؛ الأشباه لابن الوكيل، 1/119؛ ولابن السبكي، 2/115؛ المنثور، 3/313؛ تقرير القواعد، 1/51، قاعدة 9، و328، قاعدة 46؛ الأشباه لابن الملقن، 2/284، قاعدة 148؛ القواعد للحصني، 3/52؛ مختصر من قواعد العلائي، 1/271؛ إيضاح المسالك، ص134، قاعدة 106؛ المنهج وشرحه للمنجور، ص149؛ مجامع الحقائق (الخاتمة)، ص47؛ شرح العلائي لقواعد الخادمي، ل38/ب؛ منافع الدقائق، ص332؛ مجلة الأحكام الشرعية، ص78، مادة 9، وص84، مادة 46؛ قواعد الفقه للروكي، ص281. واللفظ المطابق للفظ المؤلف هو لفظ المجامع وشرحيها فقط.</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rtl/>
        </w:rPr>
      </w:pPr>
      <w:r>
        <w:rPr>
          <w:rFonts w:hint="cs"/>
          <w:rtl/>
        </w:rPr>
        <w:t xml:space="preserve">الهداية والعناية وفتح القدير، 2/316؛ 6/461؛ المغني، 1/215؛ الكافي لابن قدامة، 2/22؛ وللنسفي، ق1، ص1479؛ تبيين الحقائق، 4/63؛ المبدع، 2/87؛ البحر الرائق، 6/99؛ الشرح الكبير وحاشية الدسوقي، 3/54؛ كشاف القناع، 1/453، 3/183؛ حواشي الشرواني، 4/291. </w:t>
      </w:r>
    </w:p>
    <w:p w:rsidR="00035BE3" w:rsidRDefault="00035BE3" w:rsidP="003D5367">
      <w:pPr>
        <w:pStyle w:val="a6"/>
        <w:ind w:left="422" w:firstLine="0"/>
        <w:rPr>
          <w:rtl/>
        </w:rPr>
      </w:pPr>
      <w:r>
        <w:rPr>
          <w:rFonts w:hint="cs"/>
          <w:rtl/>
        </w:rPr>
        <w:t xml:space="preserve">وجميع كتب الفقه الحنفي لفظها مطابق للفظ المؤلف، إلا تبيين الحقائق، حيث زادها أيضاحًا فقال : </w:t>
      </w:r>
      <w:r>
        <w:rPr>
          <w:rFonts w:hint="eastAsia"/>
          <w:rtl/>
        </w:rPr>
        <w:t>«</w:t>
      </w:r>
      <w:r>
        <w:rPr>
          <w:rFonts w:hint="cs"/>
          <w:rtl/>
        </w:rPr>
        <w:t>النهي عن الأفعال الشرعية يقرّر المشروعية عندنا، بخلاف النهي عن الأفعال الحسية</w:t>
      </w:r>
      <w:r>
        <w:rPr>
          <w:rFonts w:hint="eastAsia"/>
          <w:rtl/>
        </w:rPr>
        <w:t>»</w:t>
      </w:r>
      <w:r>
        <w:rPr>
          <w:rFonts w:hint="cs"/>
          <w:rtl/>
        </w:rPr>
        <w:t>.</w:t>
      </w:r>
    </w:p>
  </w:footnote>
  <w:footnote w:id="511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67/ب من (ب).</w:t>
      </w:r>
    </w:p>
  </w:footnote>
  <w:footnote w:id="511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6/461، مع اختلاف في بداية العبارة، حيث جاء في العناية: </w:t>
      </w:r>
      <w:r>
        <w:rPr>
          <w:rFonts w:hint="eastAsia"/>
          <w:rtl/>
        </w:rPr>
        <w:t>«</w:t>
      </w:r>
      <w:r>
        <w:rPr>
          <w:rFonts w:hint="cs"/>
          <w:rtl/>
        </w:rPr>
        <w:t xml:space="preserve">النهي يقرّر المشروعية عندنا </w:t>
      </w:r>
      <w:r w:rsidRPr="00996FC4">
        <w:rPr>
          <w:rFonts w:hint="cs"/>
          <w:spacing w:val="-2"/>
          <w:rtl/>
        </w:rPr>
        <w:t>لاقتضائه التصوّر؛ ليكون النهي عمّا يتكوّن؛ ليكون العبد ...</w:t>
      </w:r>
      <w:r w:rsidRPr="00996FC4">
        <w:rPr>
          <w:rFonts w:hint="eastAsia"/>
          <w:spacing w:val="-2"/>
          <w:rtl/>
        </w:rPr>
        <w:t>»</w:t>
      </w:r>
      <w:r w:rsidRPr="00996FC4">
        <w:rPr>
          <w:rFonts w:hint="cs"/>
          <w:spacing w:val="-2"/>
          <w:rtl/>
        </w:rPr>
        <w:t>؛ وانظر: الهداية وفتح القدير، 6/461.</w:t>
      </w:r>
    </w:p>
  </w:footnote>
  <w:footnote w:id="511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وعوضان</w:t>
      </w:r>
      <w:r>
        <w:rPr>
          <w:rFonts w:hint="eastAsia"/>
          <w:rtl/>
        </w:rPr>
        <w:t>»</w:t>
      </w:r>
      <w:r>
        <w:rPr>
          <w:rFonts w:hint="cs"/>
          <w:rtl/>
        </w:rPr>
        <w:t>. والمناسب ما تمَّ إثباته من (ب).</w:t>
      </w:r>
    </w:p>
  </w:footnote>
  <w:footnote w:id="5115">
    <w:p w:rsidR="00035BE3" w:rsidRDefault="00035BE3" w:rsidP="003D5367">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انظر : الهداية والعناية وفتح القدير، 6/459؛ الكنز وشرحيه : تبيين الحقائق، 4/63؛ والبحر الرائق، 6/99؛ الدرر شرح الغرر، 2/174.</w:t>
      </w:r>
    </w:p>
  </w:footnote>
  <w:footnote w:id="511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زيادة (فيه). وهي زيادة لا وجه لها.</w:t>
      </w:r>
    </w:p>
  </w:footnote>
  <w:footnote w:id="511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107/أ من (أ).</w:t>
      </w:r>
    </w:p>
  </w:footnote>
  <w:footnote w:id="511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النقص</w:t>
      </w:r>
      <w:r>
        <w:rPr>
          <w:rFonts w:hint="eastAsia"/>
          <w:rtl/>
        </w:rPr>
        <w:t>»</w:t>
      </w:r>
      <w:r>
        <w:rPr>
          <w:rFonts w:hint="cs"/>
          <w:rtl/>
        </w:rPr>
        <w:t>.</w:t>
      </w:r>
    </w:p>
  </w:footnote>
  <w:footnote w:id="511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تحتمل</w:t>
      </w:r>
      <w:r>
        <w:rPr>
          <w:rFonts w:hint="eastAsia"/>
          <w:rtl/>
        </w:rPr>
        <w:t>»</w:t>
      </w:r>
      <w:r>
        <w:rPr>
          <w:rFonts w:hint="cs"/>
          <w:rtl/>
        </w:rPr>
        <w:t xml:space="preserve">، وفي (ب) و(د) : </w:t>
      </w:r>
      <w:r>
        <w:rPr>
          <w:rFonts w:hint="eastAsia"/>
          <w:rtl/>
        </w:rPr>
        <w:t>«</w:t>
      </w:r>
      <w:r>
        <w:rPr>
          <w:rFonts w:hint="cs"/>
          <w:rtl/>
        </w:rPr>
        <w:t>يحتمل</w:t>
      </w:r>
      <w:r>
        <w:rPr>
          <w:rFonts w:hint="eastAsia"/>
          <w:rtl/>
        </w:rPr>
        <w:t>»</w:t>
      </w:r>
      <w:r>
        <w:rPr>
          <w:rFonts w:hint="cs"/>
          <w:rtl/>
        </w:rPr>
        <w:t xml:space="preserve">، وفي (جـ) : </w:t>
      </w:r>
      <w:r>
        <w:rPr>
          <w:rFonts w:hint="eastAsia"/>
          <w:rtl/>
        </w:rPr>
        <w:t>«</w:t>
      </w:r>
      <w:r>
        <w:rPr>
          <w:rFonts w:hint="cs"/>
          <w:rtl/>
        </w:rPr>
        <w:t>يحتمله</w:t>
      </w:r>
      <w:r>
        <w:rPr>
          <w:rFonts w:hint="eastAsia"/>
          <w:rtl/>
        </w:rPr>
        <w:t>»</w:t>
      </w:r>
      <w:r>
        <w:rPr>
          <w:rFonts w:hint="cs"/>
          <w:rtl/>
        </w:rPr>
        <w:t>. وما في (أ) مجانب للصواب، وقد ثم إثبات ما في (ب) و(د)؛ لأنه أقل تصرفًا في الأصل.</w:t>
      </w:r>
    </w:p>
  </w:footnote>
  <w:footnote w:id="5120">
    <w:p w:rsidR="00035BE3" w:rsidRDefault="00035BE3" w:rsidP="003D5367">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شروعيته</w:t>
      </w:r>
      <w:r>
        <w:rPr>
          <w:rFonts w:hint="eastAsia"/>
          <w:rtl/>
        </w:rPr>
        <w:t>»</w:t>
      </w:r>
      <w:r>
        <w:rPr>
          <w:rFonts w:hint="cs"/>
          <w:rtl/>
        </w:rPr>
        <w:t>.</w:t>
      </w:r>
    </w:p>
  </w:footnote>
  <w:footnote w:id="5121">
    <w:p w:rsidR="00035BE3" w:rsidRDefault="00035BE3" w:rsidP="003D5367">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لحاجة</w:t>
      </w:r>
      <w:r>
        <w:rPr>
          <w:rFonts w:hint="eastAsia"/>
          <w:rtl/>
        </w:rPr>
        <w:t>»</w:t>
      </w:r>
      <w:r>
        <w:rPr>
          <w:rFonts w:hint="cs"/>
          <w:rtl/>
        </w:rPr>
        <w:t>.</w:t>
      </w:r>
    </w:p>
  </w:footnote>
  <w:footnote w:id="5122">
    <w:p w:rsidR="00035BE3" w:rsidRDefault="00035BE3" w:rsidP="003D5367">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دعى</w:t>
      </w:r>
      <w:r>
        <w:rPr>
          <w:rFonts w:hint="eastAsia"/>
          <w:rtl/>
        </w:rPr>
        <w:t>»</w:t>
      </w:r>
      <w:r>
        <w:rPr>
          <w:rFonts w:hint="cs"/>
          <w:rtl/>
        </w:rPr>
        <w:t>.</w:t>
      </w:r>
    </w:p>
  </w:footnote>
  <w:footnote w:id="5123">
    <w:p w:rsidR="00035BE3" w:rsidRDefault="00035BE3" w:rsidP="003D5367">
      <w:pPr>
        <w:pStyle w:val="a8"/>
        <w:bidi/>
        <w:spacing w:line="264"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2/175؛ وانظر أيضًا : العناية، 6/466.</w:t>
      </w:r>
    </w:p>
  </w:footnote>
  <w:footnote w:id="5124">
    <w:p w:rsidR="00035BE3" w:rsidRDefault="00035BE3" w:rsidP="003D5367">
      <w:pPr>
        <w:pStyle w:val="a8"/>
        <w:bidi/>
        <w:spacing w:line="264" w:lineRule="auto"/>
        <w:ind w:left="422" w:right="0"/>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العناية،</w:t>
      </w:r>
      <w:r>
        <w:rPr>
          <w:rtl/>
        </w:rPr>
        <w:t xml:space="preserve"> 6/466.</w:t>
      </w:r>
    </w:p>
    <w:p w:rsidR="00035BE3" w:rsidRDefault="00035BE3" w:rsidP="003D5367">
      <w:pPr>
        <w:pStyle w:val="a6"/>
        <w:spacing w:line="264" w:lineRule="auto"/>
        <w:ind w:left="422" w:firstLine="0"/>
        <w:rPr>
          <w:rtl/>
        </w:rPr>
      </w:pPr>
      <w:r>
        <w:rPr>
          <w:rFonts w:hint="eastAsia"/>
          <w:rtl/>
        </w:rPr>
        <w:t>والنص</w:t>
      </w:r>
      <w:r>
        <w:rPr>
          <w:rtl/>
        </w:rPr>
        <w:t xml:space="preserve"> المحال إلى شرح </w:t>
      </w:r>
      <w:r>
        <w:rPr>
          <w:rFonts w:hint="eastAsia"/>
          <w:rtl/>
        </w:rPr>
        <w:t>الطحاوي</w:t>
      </w:r>
      <w:r>
        <w:rPr>
          <w:rtl/>
        </w:rPr>
        <w:t xml:space="preserve"> مذكور في شرح مختصر الطحاوي للاسبيجابي، ل147/ب.</w:t>
      </w:r>
      <w:r>
        <w:rPr>
          <w:rFonts w:hint="cs"/>
          <w:rtl/>
        </w:rPr>
        <w:t xml:space="preserve"> </w:t>
      </w:r>
    </w:p>
  </w:footnote>
  <w:footnote w:id="5125">
    <w:p w:rsidR="00035BE3" w:rsidRDefault="00035BE3" w:rsidP="003D5367">
      <w:pPr>
        <w:pStyle w:val="a8"/>
        <w:bidi/>
        <w:spacing w:line="264" w:lineRule="auto"/>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w:t>
      </w:r>
      <w:r w:rsidRPr="00B434C1">
        <w:rPr>
          <w:rFonts w:hint="cs"/>
          <w:spacing w:val="-2"/>
          <w:sz w:val="14"/>
          <w:szCs w:val="24"/>
          <w:rtl/>
        </w:rPr>
        <w:t xml:space="preserve">   </w:t>
      </w:r>
      <w:r>
        <w:rPr>
          <w:rFonts w:hint="cs"/>
          <w:spacing w:val="-2"/>
          <w:rtl/>
        </w:rPr>
        <w:t xml:space="preserve">وقوله : </w:t>
      </w:r>
      <w:r>
        <w:rPr>
          <w:rFonts w:hint="eastAsia"/>
          <w:rtl/>
        </w:rPr>
        <w:t>«</w:t>
      </w:r>
      <w:r>
        <w:rPr>
          <w:rFonts w:hint="cs"/>
          <w:spacing w:val="-2"/>
          <w:rtl/>
        </w:rPr>
        <w:t xml:space="preserve"> </w:t>
      </w:r>
      <w:r>
        <w:rPr>
          <w:rFonts w:hint="cs"/>
          <w:b/>
          <w:bCs/>
          <w:spacing w:val="-2"/>
          <w:rtl/>
        </w:rPr>
        <w:t>شرح الطحاوي</w:t>
      </w:r>
      <w:r>
        <w:rPr>
          <w:rFonts w:hint="eastAsia"/>
          <w:rtl/>
        </w:rPr>
        <w:t>»</w:t>
      </w:r>
      <w:r>
        <w:rPr>
          <w:rFonts w:hint="cs"/>
          <w:spacing w:val="-2"/>
          <w:rtl/>
        </w:rPr>
        <w:t xml:space="preserve"> : هاتان الكلمتان تتضمّنان عَلَمًا وكتابًا وشرح هذا الكتاب.</w:t>
      </w:r>
    </w:p>
    <w:p w:rsidR="00035BE3" w:rsidRDefault="00035BE3" w:rsidP="003D5367">
      <w:pPr>
        <w:pStyle w:val="a6"/>
        <w:spacing w:line="264" w:lineRule="auto"/>
        <w:ind w:left="-32" w:firstLine="454"/>
        <w:rPr>
          <w:spacing w:val="-6"/>
          <w:rtl/>
        </w:rPr>
      </w:pPr>
      <w:r>
        <w:rPr>
          <w:b/>
          <w:bCs/>
          <w:spacing w:val="-6"/>
          <w:rtl/>
        </w:rPr>
        <w:t>•</w:t>
      </w:r>
      <w:r>
        <w:rPr>
          <w:rFonts w:hint="cs"/>
          <w:b/>
          <w:bCs/>
          <w:spacing w:val="-6"/>
          <w:rtl/>
        </w:rPr>
        <w:t xml:space="preserve"> أما العلم</w:t>
      </w:r>
      <w:r>
        <w:rPr>
          <w:rFonts w:hint="cs"/>
          <w:spacing w:val="-6"/>
          <w:rtl/>
        </w:rPr>
        <w:t xml:space="preserve"> : فهو الإمام أحمد بن محمد بن سلامة، أبو جعفر الطحاوي (239هـ-321هـ).</w:t>
      </w:r>
    </w:p>
    <w:p w:rsidR="00035BE3" w:rsidRDefault="00035BE3" w:rsidP="003D5367">
      <w:pPr>
        <w:pStyle w:val="a6"/>
        <w:spacing w:line="264" w:lineRule="auto"/>
        <w:ind w:left="422" w:firstLine="0"/>
        <w:rPr>
          <w:rtl/>
        </w:rPr>
      </w:pPr>
      <w:r>
        <w:rPr>
          <w:rFonts w:hint="cs"/>
          <w:rtl/>
        </w:rPr>
        <w:t>اشتهر بالفقه والحديث كما نبغ في العقيدة.</w:t>
      </w:r>
    </w:p>
    <w:p w:rsidR="00035BE3" w:rsidRDefault="00035BE3" w:rsidP="003D5367">
      <w:pPr>
        <w:pStyle w:val="a6"/>
        <w:spacing w:line="264" w:lineRule="auto"/>
        <w:ind w:left="422" w:firstLine="0"/>
        <w:rPr>
          <w:rtl/>
        </w:rPr>
      </w:pPr>
      <w:r>
        <w:rPr>
          <w:rFonts w:hint="cs"/>
          <w:rtl/>
        </w:rPr>
        <w:t>من مصنفاته : العقيدة الطحاوية، مختصره في الفقه الحنفي، شرح معاني الآثار، شرح مشكل الآثار.</w:t>
      </w:r>
    </w:p>
    <w:p w:rsidR="00035BE3" w:rsidRDefault="00035BE3" w:rsidP="003D5367">
      <w:pPr>
        <w:pStyle w:val="a6"/>
        <w:spacing w:line="264" w:lineRule="auto"/>
        <w:ind w:left="422" w:firstLine="0"/>
        <w:rPr>
          <w:rtl/>
        </w:rPr>
      </w:pPr>
      <w:r>
        <w:rPr>
          <w:rFonts w:hint="cs"/>
          <w:rtl/>
        </w:rPr>
        <w:t>انظر : الجواهر المضية، 1/271-277، رقم 204؛ تاج التراجم، ص21-24، رقم 19؛ مفتاح السعادة، 2/249-250؛ الطبقات السنية، 2/49-52، رقم 321؛ كشف الظنون، 1/32، 298، 562، 568، 274، 2/1046، 1147، 1250، 1326، 1609، 1627، 1728، 1837، 1980؛ الفوائد البهية، ص31-34؛ هدية العارفين، 1/58-59.</w:t>
      </w:r>
    </w:p>
    <w:p w:rsidR="00035BE3" w:rsidRDefault="00035BE3" w:rsidP="003D5367">
      <w:pPr>
        <w:pStyle w:val="a6"/>
        <w:spacing w:line="264" w:lineRule="auto"/>
        <w:ind w:left="422" w:firstLine="0"/>
        <w:rPr>
          <w:rtl/>
        </w:rPr>
      </w:pPr>
      <w:r>
        <w:rPr>
          <w:b/>
          <w:bCs/>
          <w:rtl/>
        </w:rPr>
        <w:t>•</w:t>
      </w:r>
      <w:r>
        <w:rPr>
          <w:rFonts w:hint="cs"/>
          <w:b/>
          <w:bCs/>
          <w:rtl/>
        </w:rPr>
        <w:t xml:space="preserve"> أما كتابه</w:t>
      </w:r>
      <w:r>
        <w:rPr>
          <w:rFonts w:hint="cs"/>
          <w:rtl/>
        </w:rPr>
        <w:t xml:space="preserve"> : فهو مختصر الطحاوي الأوسط. وقد حاز هذا الكتاب قصب السبق في التأليف في مختصرات الفقه الحنفي.</w:t>
      </w:r>
    </w:p>
    <w:p w:rsidR="00035BE3" w:rsidRDefault="00035BE3" w:rsidP="003D5367">
      <w:pPr>
        <w:pStyle w:val="a6"/>
        <w:spacing w:line="264" w:lineRule="auto"/>
        <w:ind w:left="422" w:firstLine="0"/>
        <w:rPr>
          <w:rtl/>
        </w:rPr>
      </w:pPr>
      <w:r>
        <w:rPr>
          <w:rFonts w:hint="cs"/>
          <w:rtl/>
        </w:rPr>
        <w:t>يقول عنه أبو الوفا الأفغاني -في مقدمة تحقيقه للكتاب، ص4 -:</w:t>
      </w:r>
      <w:r>
        <w:rPr>
          <w:rFonts w:hint="eastAsia"/>
          <w:rtl/>
        </w:rPr>
        <w:t>«</w:t>
      </w:r>
      <w:r>
        <w:rPr>
          <w:rFonts w:hint="cs"/>
          <w:rtl/>
        </w:rPr>
        <w:t xml:space="preserve">وهذا .. أوّل المختصرات في </w:t>
      </w:r>
      <w:r w:rsidRPr="0051199A">
        <w:rPr>
          <w:rFonts w:hint="cs"/>
          <w:spacing w:val="-2"/>
          <w:rtl/>
        </w:rPr>
        <w:t>مذهبنا، وأبدعها، وأحسنها تهذيبًا، وأصحّها رواية عن أصحابنا، وأقواها دراية، وأرجحها فتوى</w:t>
      </w:r>
      <w:r w:rsidRPr="0051199A">
        <w:rPr>
          <w:rFonts w:hint="eastAsia"/>
          <w:spacing w:val="-2"/>
          <w:rtl/>
        </w:rPr>
        <w:t>»</w:t>
      </w:r>
      <w:r w:rsidRPr="0051199A">
        <w:rPr>
          <w:rFonts w:hint="cs"/>
          <w:spacing w:val="-2"/>
          <w:rtl/>
        </w:rPr>
        <w:t>.</w:t>
      </w:r>
      <w:r>
        <w:rPr>
          <w:rFonts w:hint="cs"/>
          <w:rtl/>
        </w:rPr>
        <w:t xml:space="preserve">  </w:t>
      </w:r>
    </w:p>
    <w:p w:rsidR="00035BE3" w:rsidRDefault="00035BE3" w:rsidP="003D5367">
      <w:pPr>
        <w:pStyle w:val="a6"/>
        <w:spacing w:line="264" w:lineRule="auto"/>
        <w:ind w:left="422" w:firstLine="0"/>
        <w:rPr>
          <w:spacing w:val="6"/>
          <w:rtl/>
        </w:rPr>
      </w:pPr>
      <w:r>
        <w:rPr>
          <w:rFonts w:hint="cs"/>
          <w:spacing w:val="6"/>
          <w:rtl/>
        </w:rPr>
        <w:t xml:space="preserve">ونظرًا لأهميته </w:t>
      </w:r>
      <w:r>
        <w:rPr>
          <w:rFonts w:hint="eastAsia"/>
          <w:spacing w:val="6"/>
          <w:rtl/>
        </w:rPr>
        <w:t>«</w:t>
      </w:r>
      <w:r>
        <w:rPr>
          <w:rFonts w:hint="cs"/>
          <w:spacing w:val="6"/>
          <w:rtl/>
        </w:rPr>
        <w:t>ولع الناس بشرحه، وعليه عدة شروح</w:t>
      </w:r>
      <w:r>
        <w:rPr>
          <w:rFonts w:hint="eastAsia"/>
          <w:spacing w:val="6"/>
          <w:rtl/>
        </w:rPr>
        <w:t>»</w:t>
      </w:r>
      <w:r>
        <w:rPr>
          <w:rFonts w:hint="cs"/>
          <w:spacing w:val="6"/>
          <w:rtl/>
        </w:rPr>
        <w:t>- كما يقول ذلك صاحب (الجواهر)، 1/276-. وقد ذكر صاحب كشف الظنون طائفة من هذه الشروح.</w:t>
      </w:r>
    </w:p>
    <w:p w:rsidR="00035BE3" w:rsidRDefault="00035BE3" w:rsidP="003D5367">
      <w:pPr>
        <w:pStyle w:val="a6"/>
        <w:spacing w:line="440" w:lineRule="exact"/>
        <w:ind w:left="422" w:firstLine="0"/>
        <w:rPr>
          <w:spacing w:val="-8"/>
          <w:rtl/>
        </w:rPr>
      </w:pPr>
      <w:r>
        <w:rPr>
          <w:b/>
          <w:bCs/>
          <w:spacing w:val="-8"/>
          <w:rtl/>
        </w:rPr>
        <w:t>•</w:t>
      </w:r>
      <w:r>
        <w:rPr>
          <w:rFonts w:hint="cs"/>
          <w:b/>
          <w:bCs/>
          <w:spacing w:val="-8"/>
          <w:rtl/>
        </w:rPr>
        <w:t xml:space="preserve"> أما الشرح</w:t>
      </w:r>
      <w:r>
        <w:rPr>
          <w:b/>
          <w:bCs/>
          <w:spacing w:val="-8"/>
        </w:rPr>
        <w:t xml:space="preserve"> </w:t>
      </w:r>
      <w:r>
        <w:rPr>
          <w:rFonts w:hint="cs"/>
          <w:spacing w:val="-8"/>
          <w:rtl/>
        </w:rPr>
        <w:t>: فهو شرح مختصر الطحاوي لعلي بن محمد بن إسماعيل الأسْبيجابِي السمرقندي (454هـ-535هـ).</w:t>
      </w:r>
    </w:p>
    <w:p w:rsidR="00035BE3" w:rsidRDefault="00035BE3" w:rsidP="003D5367">
      <w:pPr>
        <w:pStyle w:val="a6"/>
        <w:ind w:left="422" w:firstLine="0"/>
        <w:rPr>
          <w:rtl/>
        </w:rPr>
      </w:pPr>
      <w:r>
        <w:rPr>
          <w:rFonts w:hint="cs"/>
          <w:rtl/>
        </w:rPr>
        <w:t>هذا الشرح من الشروح الفقهية المتوسطة التي تعنى بآراء الإمام أبي حنيفة وصاحبيه في أكثر مواطن الخلاف بينهم، مع ذكر الدليل، كما يتعرض أحيانًا لرأي الإمام الشافعي.</w:t>
      </w:r>
    </w:p>
    <w:p w:rsidR="00035BE3" w:rsidRDefault="00035BE3" w:rsidP="003D5367">
      <w:pPr>
        <w:pStyle w:val="a6"/>
        <w:spacing w:line="420" w:lineRule="exact"/>
        <w:ind w:left="422" w:firstLine="0"/>
        <w:rPr>
          <w:rtl/>
        </w:rPr>
      </w:pPr>
      <w:r>
        <w:rPr>
          <w:rFonts w:hint="cs"/>
          <w:rtl/>
        </w:rPr>
        <w:t>ولهذا الشرح عدة نسخ خطية منها نسخ المكتبات الآتية :</w:t>
      </w:r>
    </w:p>
    <w:p w:rsidR="00035BE3" w:rsidRDefault="00035BE3" w:rsidP="003D5367">
      <w:pPr>
        <w:pStyle w:val="a6"/>
        <w:spacing w:line="420" w:lineRule="exact"/>
        <w:ind w:left="422" w:firstLine="0"/>
        <w:rPr>
          <w:rtl/>
        </w:rPr>
      </w:pPr>
      <w:r>
        <w:rPr>
          <w:rFonts w:hint="cs"/>
          <w:b/>
          <w:bCs/>
          <w:rtl/>
        </w:rPr>
        <w:t>1</w:t>
      </w:r>
      <w:r>
        <w:rPr>
          <w:rFonts w:hint="cs"/>
          <w:rtl/>
        </w:rPr>
        <w:t xml:space="preserve">- </w:t>
      </w:r>
      <w:r>
        <w:rPr>
          <w:rFonts w:hint="cs"/>
          <w:b/>
          <w:bCs/>
          <w:rtl/>
        </w:rPr>
        <w:t>2</w:t>
      </w:r>
      <w:r>
        <w:rPr>
          <w:rFonts w:hint="cs"/>
          <w:rtl/>
        </w:rPr>
        <w:t>- معهد البحوث العلمية وإحياء التراث بجامعة أم القرى، برقم 22، ونسخة أخرى جـ1 برقم 486 وجـ2 برقم 485.</w:t>
      </w:r>
    </w:p>
    <w:p w:rsidR="00035BE3" w:rsidRDefault="00035BE3" w:rsidP="003D5367">
      <w:pPr>
        <w:pStyle w:val="a6"/>
        <w:spacing w:line="420" w:lineRule="exact"/>
        <w:ind w:left="422" w:firstLine="0"/>
        <w:rPr>
          <w:rtl/>
        </w:rPr>
      </w:pPr>
      <w:r>
        <w:rPr>
          <w:rFonts w:hint="cs"/>
          <w:b/>
          <w:bCs/>
          <w:rtl/>
        </w:rPr>
        <w:t>3</w:t>
      </w:r>
      <w:r>
        <w:rPr>
          <w:rFonts w:hint="cs"/>
          <w:rtl/>
        </w:rPr>
        <w:t>- الحرم المكي، برقم 125 حنفي.</w:t>
      </w:r>
    </w:p>
    <w:p w:rsidR="00035BE3" w:rsidRDefault="00035BE3" w:rsidP="003D5367">
      <w:pPr>
        <w:pStyle w:val="a6"/>
        <w:spacing w:line="420" w:lineRule="exact"/>
        <w:ind w:left="422" w:firstLine="0"/>
        <w:rPr>
          <w:rtl/>
        </w:rPr>
      </w:pPr>
      <w:r>
        <w:rPr>
          <w:rFonts w:hint="cs"/>
          <w:b/>
          <w:bCs/>
          <w:rtl/>
        </w:rPr>
        <w:t>4</w:t>
      </w:r>
      <w:r>
        <w:rPr>
          <w:rFonts w:hint="cs"/>
          <w:rtl/>
        </w:rPr>
        <w:t>- مكتبة الملك عبد العزيز بالمدينة المنورة (مجموعة عارف حكمت)، برقم 202/254. وتوجد صورة لهذه النسخة في الجامعة الإسلامية، برقم 6685.</w:t>
      </w:r>
    </w:p>
    <w:p w:rsidR="00035BE3" w:rsidRDefault="00035BE3" w:rsidP="003D5367">
      <w:pPr>
        <w:pStyle w:val="a6"/>
        <w:spacing w:line="420" w:lineRule="exact"/>
        <w:ind w:left="422" w:firstLine="0"/>
        <w:rPr>
          <w:rtl/>
        </w:rPr>
      </w:pPr>
      <w:r>
        <w:rPr>
          <w:rFonts w:hint="cs"/>
          <w:b/>
          <w:bCs/>
          <w:rtl/>
        </w:rPr>
        <w:t>5</w:t>
      </w:r>
      <w:r>
        <w:rPr>
          <w:rFonts w:hint="cs"/>
          <w:rtl/>
        </w:rPr>
        <w:t>- دار الكتب الظاهرية بدمشق (والتي ضُمّتْ إلى مكتبة الأسد)، برقم 7746.</w:t>
      </w:r>
    </w:p>
    <w:p w:rsidR="00035BE3" w:rsidRDefault="00035BE3" w:rsidP="003D5367">
      <w:pPr>
        <w:pStyle w:val="a6"/>
        <w:spacing w:line="420" w:lineRule="exact"/>
        <w:ind w:left="422" w:firstLine="0"/>
        <w:rPr>
          <w:rtl/>
        </w:rPr>
      </w:pPr>
      <w:r>
        <w:rPr>
          <w:rFonts w:hint="cs"/>
          <w:b/>
          <w:bCs/>
          <w:rtl/>
        </w:rPr>
        <w:t>6</w:t>
      </w:r>
      <w:r>
        <w:rPr>
          <w:rFonts w:hint="cs"/>
          <w:rtl/>
        </w:rPr>
        <w:t xml:space="preserve">- </w:t>
      </w:r>
      <w:r>
        <w:rPr>
          <w:rFonts w:hint="cs"/>
          <w:b/>
          <w:bCs/>
          <w:rtl/>
        </w:rPr>
        <w:t>7</w:t>
      </w:r>
      <w:r>
        <w:rPr>
          <w:rFonts w:hint="cs"/>
          <w:rtl/>
        </w:rPr>
        <w:t xml:space="preserve">- السليمانية باستانبول (فهرس داماد زادة قاضي عسكر محمد مراد)، برقم 865، و(فهرس يني جامع)، برقم 457. </w:t>
      </w:r>
    </w:p>
    <w:p w:rsidR="00035BE3" w:rsidRDefault="00035BE3" w:rsidP="003D5367">
      <w:pPr>
        <w:pStyle w:val="a6"/>
        <w:ind w:left="422" w:firstLine="0"/>
        <w:rPr>
          <w:rtl/>
        </w:rPr>
      </w:pPr>
      <w:r>
        <w:rPr>
          <w:rFonts w:hint="cs"/>
          <w:rtl/>
        </w:rPr>
        <w:t>انظر : تاج التراجم، ص156؛ مفتاح السعادة، 2/256؛ كشف الظنون، 2/1627-1628؛ الفوائد البهية، ص124؛ هدية العارفين، 1/697؛ الفقه الحنفي لأحمد النقيب، 2/424.</w:t>
      </w:r>
    </w:p>
  </w:footnote>
  <w:footnote w:id="5126">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الأصل لمحمد بن الحسن، كتاب الاستحسان، 3/99-100.</w:t>
      </w:r>
    </w:p>
    <w:p w:rsidR="00035BE3" w:rsidRDefault="00035BE3" w:rsidP="003D5367">
      <w:pPr>
        <w:pStyle w:val="a6"/>
        <w:ind w:left="422" w:firstLine="0"/>
        <w:rPr>
          <w:rtl/>
        </w:rPr>
      </w:pPr>
      <w:r>
        <w:rPr>
          <w:rFonts w:hint="cs"/>
          <w:b/>
          <w:bCs/>
          <w:rtl/>
        </w:rPr>
        <w:t>وكتاب الاستحسان</w:t>
      </w:r>
      <w:r>
        <w:rPr>
          <w:rFonts w:hint="cs"/>
          <w:rtl/>
        </w:rPr>
        <w:t xml:space="preserve"> - كما تلاحظ - : ليس كتابًا مستقلاًّ، وإنما هو ضمن كتاب (الأصل) لمحمد ابن الحسن الشيباني (ت189هـ) المعروف بِـ (المبسوط).</w:t>
      </w:r>
    </w:p>
    <w:p w:rsidR="00035BE3" w:rsidRDefault="00035BE3" w:rsidP="003D5367">
      <w:pPr>
        <w:pStyle w:val="a6"/>
        <w:ind w:left="422" w:firstLine="0"/>
        <w:rPr>
          <w:rtl/>
        </w:rPr>
      </w:pPr>
      <w:r>
        <w:rPr>
          <w:rFonts w:hint="cs"/>
          <w:rtl/>
        </w:rPr>
        <w:t xml:space="preserve">والسبب في عزو المؤلف إلى كتاب الاستحسان -والله أعلم- هو أنّ محمد بن الحسن في البداية ألف أبواب الأصل مفردة، </w:t>
      </w:r>
      <w:r>
        <w:rPr>
          <w:rFonts w:hint="eastAsia"/>
          <w:rtl/>
        </w:rPr>
        <w:t>«</w:t>
      </w:r>
      <w:r>
        <w:rPr>
          <w:rFonts w:hint="cs"/>
          <w:rtl/>
        </w:rPr>
        <w:t>فأولاً ألف مسائل الصلاة، وسماه : (كتاب الصلاة)، ومسائل البيوع، وسماه : (كتاب البيوع) ... وهكذا (الأيمان) و(الإكراه)...، ثم جُمعت فصارت مبسوطًا</w:t>
      </w:r>
      <w:r>
        <w:rPr>
          <w:rFonts w:hint="eastAsia"/>
          <w:rtl/>
        </w:rPr>
        <w:t>»</w:t>
      </w:r>
      <w:r>
        <w:rPr>
          <w:rFonts w:hint="cs"/>
          <w:rtl/>
        </w:rPr>
        <w:t xml:space="preserve"> - قاله صاحب كشف الظنون -.</w:t>
      </w:r>
    </w:p>
    <w:p w:rsidR="00035BE3" w:rsidRDefault="00035BE3" w:rsidP="003D5367">
      <w:pPr>
        <w:pStyle w:val="a6"/>
        <w:ind w:left="422" w:firstLine="0"/>
        <w:rPr>
          <w:spacing w:val="-6"/>
          <w:rtl/>
        </w:rPr>
      </w:pPr>
      <w:r>
        <w:rPr>
          <w:rFonts w:hint="cs"/>
          <w:spacing w:val="-6"/>
          <w:rtl/>
        </w:rPr>
        <w:t xml:space="preserve">وابن النديم (ت438هـ) عندما ذكر كتب ابن الحسن : جعل كل كتاب من كتب الأصل كتابًا مستقلاًّ وعدّ منها : (كتاب الاستحسان). وهذا المسلك الذي سلكه ابن النديم سلكه أخرون، منهم المؤلف.      </w:t>
      </w:r>
    </w:p>
    <w:p w:rsidR="00035BE3" w:rsidRDefault="00035BE3" w:rsidP="003D5367">
      <w:pPr>
        <w:pStyle w:val="a6"/>
        <w:ind w:left="422" w:firstLine="0"/>
        <w:rPr>
          <w:rtl/>
        </w:rPr>
      </w:pPr>
      <w:r>
        <w:rPr>
          <w:rFonts w:hint="cs"/>
          <w:rtl/>
        </w:rPr>
        <w:t>وكتاب الأصل أحد كتب ظاهر الرواية، وأولها تصنيفًا؛ لهذا سمّي بالأصل.</w:t>
      </w:r>
    </w:p>
    <w:p w:rsidR="00035BE3" w:rsidRDefault="00035BE3" w:rsidP="003D5367">
      <w:pPr>
        <w:pStyle w:val="a6"/>
        <w:ind w:left="422" w:firstLine="0"/>
        <w:rPr>
          <w:rtl/>
        </w:rPr>
      </w:pPr>
      <w:r>
        <w:rPr>
          <w:rFonts w:hint="eastAsia"/>
          <w:rtl/>
        </w:rPr>
        <w:t>«</w:t>
      </w:r>
      <w:r>
        <w:rPr>
          <w:rFonts w:hint="cs"/>
          <w:rtl/>
        </w:rPr>
        <w:t>وطريقته في الكتاب : سرد الفروع على مذهب أبي حنيفة وأبي يوسف، مع بيان رأيه في المسائل، ولا</w:t>
      </w:r>
      <w:r>
        <w:rPr>
          <w:rFonts w:hint="eastAsia"/>
          <w:rtl/>
        </w:rPr>
        <w:t> </w:t>
      </w:r>
      <w:r>
        <w:rPr>
          <w:rFonts w:hint="cs"/>
          <w:rtl/>
        </w:rPr>
        <w:t>يسرد الأدلة حيث تكون الأحاديث الدالة على المسائل بمتناول جمهور الفقهاء من أهل طبقته، وإنما يسردها في مسائل ربما تعزب أدلتها عن علمهم</w:t>
      </w:r>
      <w:r>
        <w:rPr>
          <w:rFonts w:hint="eastAsia"/>
          <w:rtl/>
        </w:rPr>
        <w:t>»</w:t>
      </w:r>
      <w:r>
        <w:rPr>
          <w:rFonts w:hint="cs"/>
          <w:rtl/>
        </w:rPr>
        <w:t>- قاله أبو الوفاء الأفغاني-.</w:t>
      </w:r>
    </w:p>
    <w:p w:rsidR="00035BE3" w:rsidRDefault="00035BE3" w:rsidP="003D5367">
      <w:pPr>
        <w:pStyle w:val="a6"/>
        <w:ind w:left="422" w:firstLine="0"/>
        <w:rPr>
          <w:rtl/>
        </w:rPr>
      </w:pPr>
      <w:r>
        <w:rPr>
          <w:rFonts w:hint="cs"/>
          <w:rtl/>
        </w:rPr>
        <w:t>كشف الظنون، 2/1581؛ مقدمة تعليق أبي الوفاء الأفغاني على كتاب الأصل، 1/8؛ وانظر : الفهرست لابن النديم، ص245؛ الفوائد البهية، ص163.</w:t>
      </w:r>
    </w:p>
  </w:footnote>
  <w:footnote w:id="5127">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64/ب من (د). وقد جاء في العناية : </w:t>
      </w:r>
      <w:r>
        <w:rPr>
          <w:rFonts w:hint="eastAsia"/>
          <w:rtl/>
        </w:rPr>
        <w:t>«</w:t>
      </w:r>
      <w:r>
        <w:rPr>
          <w:rFonts w:hint="cs"/>
          <w:b/>
          <w:bCs/>
          <w:rtl/>
        </w:rPr>
        <w:t>ولئن</w:t>
      </w:r>
      <w:r>
        <w:rPr>
          <w:rFonts w:hint="cs"/>
          <w:rtl/>
        </w:rPr>
        <w:t xml:space="preserve"> سلم فالوطء ...</w:t>
      </w:r>
      <w:r>
        <w:rPr>
          <w:rFonts w:hint="eastAsia"/>
          <w:rtl/>
        </w:rPr>
        <w:t>»</w:t>
      </w:r>
      <w:r>
        <w:rPr>
          <w:rFonts w:hint="cs"/>
          <w:rtl/>
        </w:rPr>
        <w:t>.</w:t>
      </w:r>
    </w:p>
  </w:footnote>
  <w:footnote w:id="5128">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6/466 -مع الاختلاف اليسير الذي سبق بيانه-.</w:t>
      </w:r>
    </w:p>
  </w:footnote>
  <w:footnote w:id="5129">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عليه</w:t>
      </w:r>
      <w:r>
        <w:rPr>
          <w:rFonts w:hint="eastAsia"/>
          <w:rtl/>
        </w:rPr>
        <w:t>»</w:t>
      </w:r>
      <w:r>
        <w:rPr>
          <w:rFonts w:hint="cs"/>
          <w:rtl/>
        </w:rPr>
        <w:t>.</w:t>
      </w:r>
    </w:p>
  </w:footnote>
  <w:footnote w:id="5130">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ورد اعتراض في كتاب العناية بوجه آخر، حيث قال صاحب العناية...</w:t>
      </w:r>
    </w:p>
  </w:footnote>
  <w:footnote w:id="5131">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أحد</w:t>
      </w:r>
      <w:r>
        <w:rPr>
          <w:rFonts w:hint="eastAsia"/>
          <w:rtl/>
        </w:rPr>
        <w:t>»</w:t>
      </w:r>
      <w:r>
        <w:rPr>
          <w:rFonts w:hint="cs"/>
          <w:rtl/>
        </w:rPr>
        <w:t>. والصحيح ما تمَّ إثباته من (ب) و(د)، وهو الموافق للعناية.</w:t>
      </w:r>
    </w:p>
    <w:p w:rsidR="00035BE3" w:rsidRDefault="00035BE3" w:rsidP="003D5367">
      <w:pPr>
        <w:pStyle w:val="a6"/>
        <w:ind w:left="422" w:firstLine="0"/>
        <w:rPr>
          <w:rtl/>
        </w:rPr>
      </w:pPr>
      <w:r>
        <w:rPr>
          <w:rFonts w:hint="cs"/>
          <w:rtl/>
        </w:rPr>
        <w:t>وهذه الكلمة تشكل نهاية 107/أ من (أ).</w:t>
      </w:r>
    </w:p>
  </w:footnote>
  <w:footnote w:id="513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78/ب من (جـ).</w:t>
      </w:r>
    </w:p>
  </w:footnote>
  <w:footnote w:id="5133">
    <w:p w:rsidR="00035BE3" w:rsidRDefault="00035BE3" w:rsidP="003D5367">
      <w:pPr>
        <w:pStyle w:val="a8"/>
        <w:bidi/>
        <w:spacing w:line="4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دار</w:t>
      </w:r>
      <w:r>
        <w:rPr>
          <w:rFonts w:hint="eastAsia"/>
          <w:rtl/>
        </w:rPr>
        <w:t>»</w:t>
      </w:r>
      <w:r>
        <w:rPr>
          <w:rFonts w:hint="cs"/>
          <w:rtl/>
        </w:rPr>
        <w:t>. والصحيح ما تمَّ إثباته من (ب)، وهو موافق لما جاء في العناية.</w:t>
      </w:r>
    </w:p>
  </w:footnote>
  <w:footnote w:id="5134">
    <w:p w:rsidR="00035BE3" w:rsidRDefault="00035BE3" w:rsidP="003D5367">
      <w:pPr>
        <w:pStyle w:val="a8"/>
        <w:bidi/>
        <w:spacing w:line="4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المشتري</w:t>
      </w:r>
      <w:r>
        <w:rPr>
          <w:rFonts w:hint="eastAsia"/>
          <w:rtl/>
        </w:rPr>
        <w:t>»</w:t>
      </w:r>
      <w:r>
        <w:rPr>
          <w:rFonts w:hint="cs"/>
          <w:rtl/>
        </w:rPr>
        <w:t xml:space="preserve">، وفي (د) : </w:t>
      </w:r>
      <w:r>
        <w:rPr>
          <w:rFonts w:hint="eastAsia"/>
          <w:rtl/>
        </w:rPr>
        <w:t>«</w:t>
      </w:r>
      <w:r>
        <w:rPr>
          <w:rFonts w:hint="cs"/>
          <w:rtl/>
        </w:rPr>
        <w:t>مشتراه</w:t>
      </w:r>
      <w:r>
        <w:rPr>
          <w:rFonts w:hint="eastAsia"/>
          <w:rtl/>
        </w:rPr>
        <w:t>»</w:t>
      </w:r>
      <w:r>
        <w:rPr>
          <w:rFonts w:hint="cs"/>
          <w:rtl/>
        </w:rPr>
        <w:t>.</w:t>
      </w:r>
    </w:p>
  </w:footnote>
  <w:footnote w:id="5135">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زيادة : </w:t>
      </w:r>
      <w:r>
        <w:rPr>
          <w:rFonts w:hint="eastAsia"/>
          <w:rtl/>
        </w:rPr>
        <w:t>«</w:t>
      </w:r>
      <w:r>
        <w:rPr>
          <w:rFonts w:hint="cs"/>
          <w:rtl/>
        </w:rPr>
        <w:t>لم تثبت الشفعة فيما ذكرت</w:t>
      </w:r>
      <w:r>
        <w:rPr>
          <w:rFonts w:hint="eastAsia"/>
          <w:rtl/>
        </w:rPr>
        <w:t>»</w:t>
      </w:r>
      <w:r>
        <w:rPr>
          <w:rFonts w:hint="cs"/>
          <w:rtl/>
        </w:rPr>
        <w:t xml:space="preserve"> (ولعله سقط من أولها واو العطف). </w:t>
      </w:r>
      <w:r>
        <w:rPr>
          <w:rFonts w:hint="cs"/>
          <w:b/>
          <w:bCs/>
          <w:rtl/>
        </w:rPr>
        <w:t>وهذه الزيادة يحتاج إليها؛</w:t>
      </w:r>
      <w:r>
        <w:rPr>
          <w:rFonts w:hint="cs"/>
          <w:rtl/>
        </w:rPr>
        <w:t xml:space="preserve"> لأن المؤلف ذكر الشّفعة في السّطر الثاني من الجواب في معرض التعليل لما جاء في صدر الجواب؛ فتعين ذكر الشفعة في صدر الجواب أيضًا.</w:t>
      </w:r>
    </w:p>
  </w:footnote>
  <w:footnote w:id="513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اليمين</w:t>
      </w:r>
      <w:r>
        <w:rPr>
          <w:rFonts w:hint="eastAsia"/>
          <w:rtl/>
        </w:rPr>
        <w:t>»</w:t>
      </w:r>
      <w:r>
        <w:rPr>
          <w:rFonts w:hint="cs"/>
          <w:rtl/>
        </w:rPr>
        <w:t>. والصحيح ما تمَّ إثباته من (ب)، وهو الموافق للعناية.</w:t>
      </w:r>
    </w:p>
  </w:footnote>
  <w:footnote w:id="513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68/أ من (ب).</w:t>
      </w:r>
    </w:p>
  </w:footnote>
  <w:footnote w:id="513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هلك</w:t>
      </w:r>
      <w:r>
        <w:rPr>
          <w:rFonts w:hint="eastAsia"/>
          <w:rtl/>
        </w:rPr>
        <w:t>»</w:t>
      </w:r>
      <w:r>
        <w:rPr>
          <w:rFonts w:hint="cs"/>
          <w:rtl/>
        </w:rPr>
        <w:t>.</w:t>
      </w:r>
    </w:p>
  </w:footnote>
  <w:footnote w:id="513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لملك</w:t>
      </w:r>
      <w:r>
        <w:rPr>
          <w:rFonts w:hint="eastAsia"/>
          <w:rtl/>
        </w:rPr>
        <w:t>»</w:t>
      </w:r>
      <w:r>
        <w:rPr>
          <w:rFonts w:hint="cs"/>
          <w:rtl/>
        </w:rPr>
        <w:t>. وهذا الموافق للعناية.</w:t>
      </w:r>
    </w:p>
  </w:footnote>
  <w:footnote w:id="514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بناء</w:t>
      </w:r>
      <w:r>
        <w:rPr>
          <w:rFonts w:hint="eastAsia"/>
          <w:rtl/>
        </w:rPr>
        <w:t>»</w:t>
      </w:r>
      <w:r>
        <w:rPr>
          <w:rFonts w:hint="cs"/>
          <w:rtl/>
        </w:rPr>
        <w:t xml:space="preserve"> : ساقطة من (ب).</w:t>
      </w:r>
    </w:p>
  </w:footnote>
  <w:footnote w:id="514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اليمين</w:t>
      </w:r>
      <w:r>
        <w:rPr>
          <w:rFonts w:hint="eastAsia"/>
          <w:rtl/>
        </w:rPr>
        <w:t>»</w:t>
      </w:r>
      <w:r>
        <w:rPr>
          <w:rFonts w:hint="cs"/>
          <w:rtl/>
        </w:rPr>
        <w:t>. والصحيح ما تمّ إثباته من (ب) و(جـ).</w:t>
      </w:r>
    </w:p>
  </w:footnote>
  <w:footnote w:id="5142">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جميع النسخ : </w:t>
      </w:r>
      <w:r>
        <w:rPr>
          <w:rFonts w:hint="eastAsia"/>
          <w:rtl/>
        </w:rPr>
        <w:t>«</w:t>
      </w:r>
      <w:r>
        <w:rPr>
          <w:rFonts w:hint="cs"/>
          <w:rtl/>
        </w:rPr>
        <w:t>فيبيع</w:t>
      </w:r>
      <w:r>
        <w:rPr>
          <w:rFonts w:hint="eastAsia"/>
          <w:rtl/>
        </w:rPr>
        <w:t>»</w:t>
      </w:r>
      <w:r>
        <w:rPr>
          <w:rFonts w:hint="cs"/>
          <w:rtl/>
        </w:rPr>
        <w:t>. والصحيح ما تمَّ إثباته من مصدر هذه العبارة (وهو العناية).</w:t>
      </w:r>
    </w:p>
  </w:footnote>
  <w:footnote w:id="5143">
    <w:p w:rsidR="00035BE3" w:rsidRDefault="00035BE3" w:rsidP="003D5367">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دارًا</w:t>
      </w:r>
      <w:r>
        <w:rPr>
          <w:rFonts w:hint="eastAsia"/>
          <w:rtl/>
        </w:rPr>
        <w:t>»</w:t>
      </w:r>
      <w:r>
        <w:rPr>
          <w:rFonts w:hint="cs"/>
          <w:rtl/>
        </w:rPr>
        <w:t xml:space="preserve">. والصحيح ما تمَّ إثباته من (ب)، وهو الموافق للعناية، حيث جاء فيها : </w:t>
      </w:r>
      <w:r>
        <w:rPr>
          <w:rFonts w:hint="eastAsia"/>
          <w:rtl/>
        </w:rPr>
        <w:t>«</w:t>
      </w:r>
      <w:r>
        <w:rPr>
          <w:rFonts w:hint="cs"/>
          <w:rtl/>
        </w:rPr>
        <w:t>فبيع بجنبها دارٌ أخرى</w:t>
      </w:r>
      <w:r>
        <w:rPr>
          <w:rFonts w:hint="eastAsia"/>
          <w:rtl/>
        </w:rPr>
        <w:t>»</w:t>
      </w:r>
      <w:r>
        <w:rPr>
          <w:rFonts w:hint="cs"/>
          <w:rtl/>
        </w:rPr>
        <w:t>.</w:t>
      </w:r>
    </w:p>
  </w:footnote>
  <w:footnote w:id="514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عبد منهم</w:t>
      </w:r>
      <w:r>
        <w:rPr>
          <w:rFonts w:hint="eastAsia"/>
          <w:rtl/>
        </w:rPr>
        <w:t>»</w:t>
      </w:r>
      <w:r>
        <w:rPr>
          <w:rFonts w:hint="cs"/>
          <w:rtl/>
        </w:rPr>
        <w:t>.</w:t>
      </w:r>
    </w:p>
  </w:footnote>
  <w:footnote w:id="514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إن</w:t>
      </w:r>
      <w:r>
        <w:rPr>
          <w:rFonts w:hint="eastAsia"/>
          <w:rtl/>
        </w:rPr>
        <w:t>»</w:t>
      </w:r>
      <w:r>
        <w:rPr>
          <w:rFonts w:hint="cs"/>
          <w:rtl/>
        </w:rPr>
        <w:t>. والذي يدلّ عليه المعنى هو ما تمّ إثباته من (ب)، وهو الموافق للعناية.</w:t>
      </w:r>
    </w:p>
  </w:footnote>
  <w:footnote w:id="514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لما</w:t>
      </w:r>
      <w:r>
        <w:rPr>
          <w:rFonts w:hint="eastAsia"/>
          <w:rtl/>
        </w:rPr>
        <w:t>»</w:t>
      </w:r>
      <w:r>
        <w:rPr>
          <w:rFonts w:hint="cs"/>
          <w:rtl/>
        </w:rPr>
        <w:t>.</w:t>
      </w:r>
    </w:p>
  </w:footnote>
  <w:footnote w:id="514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108/أ من (أ).</w:t>
      </w:r>
    </w:p>
  </w:footnote>
  <w:footnote w:id="514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6/405 -مع اختلاف سبق بيان أكثره-.</w:t>
      </w:r>
    </w:p>
  </w:footnote>
  <w:footnote w:id="514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النبردي</w:t>
      </w:r>
      <w:r>
        <w:rPr>
          <w:rFonts w:hint="eastAsia"/>
          <w:rtl/>
        </w:rPr>
        <w:t>»</w:t>
      </w:r>
      <w:r>
        <w:rPr>
          <w:rFonts w:hint="cs"/>
          <w:rtl/>
        </w:rPr>
        <w:t>.</w:t>
      </w:r>
    </w:p>
  </w:footnote>
  <w:footnote w:id="5150">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عناء الفقهاء</w:t>
      </w:r>
      <w:r>
        <w:rPr>
          <w:rFonts w:hint="cs"/>
          <w:rtl/>
        </w:rPr>
        <w:t xml:space="preserve"> :</w:t>
      </w:r>
    </w:p>
    <w:p w:rsidR="00035BE3" w:rsidRDefault="00035BE3" w:rsidP="003D5367">
      <w:pPr>
        <w:pStyle w:val="a6"/>
        <w:ind w:left="422" w:firstLine="0"/>
        <w:rPr>
          <w:rtl/>
        </w:rPr>
      </w:pPr>
      <w:r>
        <w:rPr>
          <w:rFonts w:hint="cs"/>
          <w:rtl/>
        </w:rPr>
        <w:t>هكذا ورد اسم الكتاب في جميع النسخ (بالعـين المهملة) وكـذلك ورد بالعـين المهملة في القنية، ل109/أ، إلا أنه ورد في مصدر المؤلف (وهو أشباه ابن نجيم) وفي كثير من كتب التراجم (بالغين المعجمة)، ولعل هذا الصحيح؛ لدلالة المعنى على ذلك.</w:t>
      </w:r>
    </w:p>
    <w:p w:rsidR="00035BE3" w:rsidRDefault="00035BE3" w:rsidP="003D5367">
      <w:pPr>
        <w:pStyle w:val="a6"/>
        <w:ind w:left="422" w:firstLine="0"/>
        <w:rPr>
          <w:rtl/>
        </w:rPr>
      </w:pPr>
      <w:r>
        <w:rPr>
          <w:rFonts w:hint="cs"/>
          <w:rtl/>
        </w:rPr>
        <w:t>وهذا الكتاب لعلي بن محمد بن الحسين بن عبد الكريم، أبي الحسن الفخر البزدوي (ت482هـ).</w:t>
      </w:r>
    </w:p>
    <w:p w:rsidR="00035BE3" w:rsidRDefault="00035BE3" w:rsidP="003D5367">
      <w:pPr>
        <w:pStyle w:val="a6"/>
        <w:ind w:left="422" w:firstLine="0"/>
        <w:rPr>
          <w:spacing w:val="8"/>
          <w:rtl/>
        </w:rPr>
      </w:pPr>
      <w:r>
        <w:rPr>
          <w:rFonts w:hint="cs"/>
          <w:spacing w:val="8"/>
          <w:rtl/>
        </w:rPr>
        <w:t>وكتابه هذا في الفقه، كما صرّح بذلك صاحب (الفوائد البهية) وصاحب (هدية العارفين)، وكما يوحي بذلك عنوان الكتاب، إلا أني بعد بحث طويل لم أجد هذا الكتاب لا مطبوعًا ولا مخطوطًا، فيظهر -والله أعلم- أنه مفقود، ويؤكد هذه النتيجة عدم ذكر هذا الكتاب في كثير من كتب التراجم.</w:t>
      </w:r>
    </w:p>
    <w:p w:rsidR="00035BE3" w:rsidRDefault="00035BE3" w:rsidP="003D5367">
      <w:pPr>
        <w:pStyle w:val="a6"/>
        <w:ind w:left="422" w:firstLine="0"/>
        <w:rPr>
          <w:spacing w:val="4"/>
          <w:rtl/>
        </w:rPr>
      </w:pPr>
      <w:r>
        <w:rPr>
          <w:rFonts w:hint="cs"/>
          <w:spacing w:val="4"/>
          <w:rtl/>
        </w:rPr>
        <w:t>انظر في نسبة الكتاب للمؤلف : الفوائد البهية، ص124، هدية العارفين، 1/693؛ الفتح المبين، 1/276؛ الأعلام، 4/228.</w:t>
      </w:r>
    </w:p>
    <w:p w:rsidR="00035BE3" w:rsidRDefault="00035BE3" w:rsidP="003D5367">
      <w:pPr>
        <w:pStyle w:val="a6"/>
        <w:ind w:left="422" w:firstLine="0"/>
        <w:rPr>
          <w:rtl/>
        </w:rPr>
      </w:pPr>
      <w:r>
        <w:rPr>
          <w:rFonts w:hint="cs"/>
          <w:rtl/>
        </w:rPr>
        <w:t>وانظر في بيان الكتب التي ترجمت للبزدوي ولم تذكر هذا الكتاب من بين كتبه : الجواهر المضية، 2/594-595؛ تاج التراجم، ص146؛ مفتاح السعادة، 2/164-165؛ كشف الظنون، 1/112، 467، 553، 563، 568، 2/1016، 1485؛ معجم المؤلفين، 2/501.</w:t>
      </w:r>
    </w:p>
  </w:footnote>
  <w:footnote w:id="515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القنية، ل109/أ؛ الأشباه لابن نجيم، ص267.</w:t>
      </w:r>
    </w:p>
  </w:footnote>
  <w:footnote w:id="515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الإرشاد</w:t>
      </w:r>
      <w:r>
        <w:rPr>
          <w:rFonts w:hint="cs"/>
          <w:rtl/>
        </w:rPr>
        <w:t xml:space="preserve"> : هذا الكتاب لم استطع الوقوف على مراد المؤلف منه؛ لكثرة الكتب التي تعرف بالإرشاد، ولأن الغالب من هذه الكتب مفقود.</w:t>
      </w:r>
    </w:p>
    <w:p w:rsidR="00035BE3" w:rsidRDefault="00035BE3" w:rsidP="003D5367">
      <w:pPr>
        <w:pStyle w:val="a6"/>
        <w:ind w:left="422" w:firstLine="0"/>
        <w:rPr>
          <w:b/>
          <w:bCs/>
          <w:rtl/>
        </w:rPr>
      </w:pPr>
      <w:r>
        <w:rPr>
          <w:rFonts w:hint="cs"/>
          <w:b/>
          <w:bCs/>
          <w:rtl/>
        </w:rPr>
        <w:t>ومن أبرز هذه الكتب :</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w:t>
      </w:r>
    </w:p>
    <w:p w:rsidR="00035BE3" w:rsidRDefault="00035BE3" w:rsidP="003D5367">
      <w:pPr>
        <w:pStyle w:val="a6"/>
        <w:ind w:left="422" w:firstLine="0"/>
        <w:rPr>
          <w:spacing w:val="6"/>
          <w:rtl/>
        </w:rPr>
      </w:pPr>
      <w:r>
        <w:rPr>
          <w:rFonts w:hint="cs"/>
          <w:b/>
          <w:bCs/>
          <w:spacing w:val="6"/>
          <w:rtl/>
        </w:rPr>
        <w:t>1</w:t>
      </w:r>
      <w:r>
        <w:rPr>
          <w:rFonts w:hint="cs"/>
          <w:spacing w:val="6"/>
          <w:rtl/>
        </w:rPr>
        <w:t xml:space="preserve">- </w:t>
      </w:r>
      <w:r>
        <w:rPr>
          <w:rFonts w:hint="eastAsia"/>
          <w:spacing w:val="6"/>
          <w:rtl/>
        </w:rPr>
        <w:t>«</w:t>
      </w:r>
      <w:r>
        <w:rPr>
          <w:rFonts w:hint="cs"/>
          <w:spacing w:val="6"/>
          <w:rtl/>
        </w:rPr>
        <w:t>إرشاد الدراية شرح الهداية، لمصلح الدين مصطفى بن زكريا بن أبي دوغمش القرماني (ت809هـ)</w:t>
      </w:r>
      <w:r>
        <w:rPr>
          <w:rFonts w:hint="eastAsia"/>
          <w:spacing w:val="6"/>
          <w:rtl/>
        </w:rPr>
        <w:t>»</w:t>
      </w:r>
      <w:r>
        <w:rPr>
          <w:rFonts w:hint="cs"/>
          <w:spacing w:val="6"/>
          <w:rtl/>
        </w:rPr>
        <w:t xml:space="preserve">. كذا جاء في (كشف الظنون)، وصرّح في (هدية العارفين) بأنه : </w:t>
      </w:r>
      <w:r>
        <w:rPr>
          <w:rFonts w:hint="eastAsia"/>
          <w:spacing w:val="6"/>
          <w:rtl/>
        </w:rPr>
        <w:t>«</w:t>
      </w:r>
      <w:r>
        <w:rPr>
          <w:rFonts w:hint="cs"/>
          <w:spacing w:val="6"/>
          <w:rtl/>
        </w:rPr>
        <w:t>في الفروع</w:t>
      </w:r>
      <w:r>
        <w:rPr>
          <w:rFonts w:hint="eastAsia"/>
          <w:spacing w:val="6"/>
          <w:rtl/>
        </w:rPr>
        <w:t>»</w:t>
      </w:r>
      <w:r>
        <w:rPr>
          <w:rFonts w:hint="cs"/>
          <w:spacing w:val="6"/>
          <w:rtl/>
        </w:rPr>
        <w:t>، كما أنَّ الغالب على الظن أن المراد بالمتن المشروح هو الهداية للمرغيناني وهي في الفقه، فيكون الشرح تبعًا لها.</w:t>
      </w:r>
    </w:p>
    <w:p w:rsidR="00035BE3" w:rsidRDefault="00035BE3" w:rsidP="003D5367">
      <w:pPr>
        <w:pStyle w:val="a6"/>
        <w:ind w:left="422" w:firstLine="0"/>
        <w:rPr>
          <w:rtl/>
        </w:rPr>
      </w:pPr>
      <w:r>
        <w:rPr>
          <w:rFonts w:hint="cs"/>
          <w:rtl/>
        </w:rPr>
        <w:t>(كشف الظنون، 2/433؛ هدية العارفين، 2/433؛ وانـظر : الأعـلام، 8/134؛ معجم المؤلفين، 3/865، رقم 16969).</w:t>
      </w:r>
    </w:p>
    <w:p w:rsidR="00035BE3" w:rsidRDefault="00035BE3" w:rsidP="003D5367">
      <w:pPr>
        <w:pStyle w:val="a6"/>
        <w:ind w:left="422" w:firstLine="0"/>
        <w:rPr>
          <w:rtl/>
        </w:rPr>
      </w:pPr>
      <w:r>
        <w:rPr>
          <w:rFonts w:hint="cs"/>
          <w:b/>
          <w:bCs/>
          <w:rtl/>
        </w:rPr>
        <w:t>2</w:t>
      </w:r>
      <w:r>
        <w:rPr>
          <w:rFonts w:hint="cs"/>
          <w:rtl/>
        </w:rPr>
        <w:t>- الإرشاد في الفقه لنوح بن منصور.</w:t>
      </w:r>
    </w:p>
    <w:p w:rsidR="00035BE3" w:rsidRDefault="00035BE3" w:rsidP="003D5367">
      <w:pPr>
        <w:pStyle w:val="a6"/>
        <w:ind w:left="422" w:firstLine="0"/>
        <w:rPr>
          <w:rtl/>
        </w:rPr>
      </w:pPr>
      <w:r>
        <w:rPr>
          <w:rFonts w:hint="cs"/>
          <w:rtl/>
        </w:rPr>
        <w:t>(انظر : الجواهر المضية، 3/563، رقم 1766؛ تاج التراجم، ص278، رقم 311).</w:t>
      </w:r>
    </w:p>
    <w:p w:rsidR="00035BE3" w:rsidRDefault="00035BE3" w:rsidP="003D5367">
      <w:pPr>
        <w:pStyle w:val="a6"/>
        <w:ind w:left="422" w:firstLine="0"/>
        <w:rPr>
          <w:rtl/>
        </w:rPr>
      </w:pPr>
      <w:r>
        <w:rPr>
          <w:rFonts w:hint="cs"/>
          <w:b/>
          <w:bCs/>
          <w:rtl/>
        </w:rPr>
        <w:t>3</w:t>
      </w:r>
      <w:r>
        <w:rPr>
          <w:rFonts w:hint="cs"/>
          <w:rtl/>
        </w:rPr>
        <w:t xml:space="preserve">- </w:t>
      </w:r>
      <w:r>
        <w:rPr>
          <w:rFonts w:hint="eastAsia"/>
          <w:rtl/>
        </w:rPr>
        <w:t>«</w:t>
      </w:r>
      <w:r>
        <w:rPr>
          <w:rFonts w:hint="cs"/>
          <w:rtl/>
        </w:rPr>
        <w:t>إرشاد المهتدى في الفروع، لأبي الحسن علي بن سعيد الرستغفني الحنفي</w:t>
      </w:r>
      <w:r>
        <w:rPr>
          <w:rFonts w:hint="eastAsia"/>
          <w:rtl/>
        </w:rPr>
        <w:t>»</w:t>
      </w:r>
      <w:r>
        <w:rPr>
          <w:rFonts w:hint="cs"/>
          <w:rtl/>
        </w:rPr>
        <w:t>. كذا في كشف الظنون، 1/67.</w:t>
      </w:r>
    </w:p>
    <w:p w:rsidR="00035BE3" w:rsidRDefault="00035BE3" w:rsidP="003D5367">
      <w:pPr>
        <w:pStyle w:val="a6"/>
        <w:ind w:left="422" w:firstLine="0"/>
        <w:rPr>
          <w:rtl/>
        </w:rPr>
      </w:pPr>
      <w:r>
        <w:rPr>
          <w:rFonts w:hint="cs"/>
          <w:rtl/>
        </w:rPr>
        <w:t xml:space="preserve">(وانظر : الجواهر المضية، 2/570، رقم 973؛ تاج التراجم، ص145، رقم 163؛ مفتاح السعادة،  2/256- وفيه : إرشاد المبتدى-؛ الفوائد البهية، ص65؛ معجم المؤلفين، 2/445، رقم 9521 </w:t>
      </w:r>
      <w:r>
        <w:rPr>
          <w:rtl/>
        </w:rPr>
        <w:t>–</w:t>
      </w:r>
      <w:r>
        <w:rPr>
          <w:rFonts w:hint="cs"/>
          <w:rtl/>
        </w:rPr>
        <w:t xml:space="preserve"> وفيه : أنه كان حيًّا قبل سنة 333هـ -).</w:t>
      </w:r>
    </w:p>
    <w:p w:rsidR="00035BE3" w:rsidRDefault="00035BE3" w:rsidP="003D5367">
      <w:pPr>
        <w:pStyle w:val="a6"/>
        <w:ind w:left="422" w:firstLine="0"/>
        <w:rPr>
          <w:rtl/>
        </w:rPr>
      </w:pPr>
      <w:r>
        <w:rPr>
          <w:rFonts w:hint="cs"/>
          <w:b/>
          <w:bCs/>
          <w:rtl/>
        </w:rPr>
        <w:t>4</w:t>
      </w:r>
      <w:r>
        <w:rPr>
          <w:rFonts w:hint="cs"/>
          <w:rtl/>
        </w:rPr>
        <w:t>- الإرشاد لمحمد بن محمد الأكمل البابرتي (ت786هـ).</w:t>
      </w:r>
    </w:p>
    <w:p w:rsidR="00035BE3" w:rsidRDefault="00035BE3" w:rsidP="003D5367">
      <w:pPr>
        <w:pStyle w:val="a6"/>
        <w:ind w:left="422" w:firstLine="0"/>
        <w:rPr>
          <w:rtl/>
        </w:rPr>
      </w:pPr>
      <w:r>
        <w:rPr>
          <w:rFonts w:hint="cs"/>
          <w:rtl/>
        </w:rPr>
        <w:t>وكان هذا الكتاب هو المتبادر للذهن؛ لأن صاحبه هو صاحب (العناية) التي تعد من أهم مصادر المؤلف، إلا أنه بعد وقوفي على نسخة خطية لهذا الكتاب وجدته مختصرًا لا يتجاوز تسعًا وعشرين ورقة، وقد بحثت فيه عن المسألة التي ذكرها المؤلف ولم أجدها.</w:t>
      </w:r>
    </w:p>
    <w:p w:rsidR="00035BE3" w:rsidRDefault="00035BE3" w:rsidP="003D5367">
      <w:pPr>
        <w:pStyle w:val="a6"/>
        <w:ind w:left="422" w:firstLine="0"/>
        <w:rPr>
          <w:rtl/>
        </w:rPr>
      </w:pPr>
      <w:r>
        <w:rPr>
          <w:rFonts w:hint="cs"/>
          <w:rtl/>
        </w:rPr>
        <w:t>- وهذه النسخة المشار إليها هي نسخة مكتبة الملك فهد الوطنية، وهي مصورة عن مكتبة (أور شليم) بالقدس، برقم 818-.</w:t>
      </w:r>
    </w:p>
    <w:p w:rsidR="00035BE3" w:rsidRDefault="00035BE3" w:rsidP="003D5367">
      <w:pPr>
        <w:pStyle w:val="a6"/>
        <w:ind w:left="422" w:firstLine="0"/>
        <w:rPr>
          <w:spacing w:val="8"/>
          <w:rtl/>
        </w:rPr>
      </w:pPr>
      <w:r>
        <w:rPr>
          <w:rFonts w:hint="cs"/>
          <w:spacing w:val="8"/>
          <w:rtl/>
        </w:rPr>
        <w:t xml:space="preserve">ونـظرًا لأنـه يـحتمل أن يـكون مـراد الـمؤلف من قـوله (صـاحب الإرشـاد) بيـان القـائـل فـحسب بغض النـظر عـن الكـتاب الـذي أورد فيه مقولته </w:t>
      </w:r>
      <w:r>
        <w:rPr>
          <w:spacing w:val="8"/>
          <w:rtl/>
        </w:rPr>
        <w:t>–</w:t>
      </w:r>
      <w:r>
        <w:rPr>
          <w:rFonts w:hint="cs"/>
          <w:spacing w:val="8"/>
          <w:rtl/>
        </w:rPr>
        <w:t xml:space="preserve"> نظرًا لهذا بحثت عن هذه المسألة في (العناية) باعتبار كون صاحبها له كتاب (الإرشاد) أيضًا، ولكن لم أظفر بها.</w:t>
      </w:r>
    </w:p>
  </w:footnote>
  <w:footnote w:id="515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درهم</w:t>
      </w:r>
      <w:r>
        <w:rPr>
          <w:rFonts w:hint="eastAsia"/>
          <w:rtl/>
        </w:rPr>
        <w:t>»</w:t>
      </w:r>
      <w:r>
        <w:rPr>
          <w:rFonts w:hint="cs"/>
          <w:rtl/>
        </w:rPr>
        <w:t>.</w:t>
      </w:r>
    </w:p>
  </w:footnote>
  <w:footnote w:id="515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و(هـ) و(و) : زيادة </w:t>
      </w:r>
      <w:r>
        <w:rPr>
          <w:rFonts w:hint="eastAsia"/>
          <w:rtl/>
        </w:rPr>
        <w:t>«</w:t>
      </w:r>
      <w:r>
        <w:rPr>
          <w:rFonts w:hint="cs"/>
          <w:rtl/>
        </w:rPr>
        <w:t>يُقَرِّر</w:t>
      </w:r>
      <w:r>
        <w:rPr>
          <w:rFonts w:hint="eastAsia"/>
          <w:rtl/>
        </w:rPr>
        <w:t>»</w:t>
      </w:r>
      <w:r>
        <w:rPr>
          <w:rFonts w:hint="cs"/>
          <w:rtl/>
        </w:rPr>
        <w:t>.</w:t>
      </w:r>
    </w:p>
  </w:footnote>
  <w:footnote w:id="515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خصه</w:t>
      </w:r>
      <w:r>
        <w:rPr>
          <w:rFonts w:hint="eastAsia"/>
          <w:rtl/>
        </w:rPr>
        <w:t>»</w:t>
      </w:r>
      <w:r>
        <w:rPr>
          <w:rFonts w:hint="cs"/>
          <w:rtl/>
        </w:rPr>
        <w:t>.</w:t>
      </w:r>
    </w:p>
  </w:footnote>
  <w:footnote w:id="5156">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ومن أفتى بالرّد ...</w:t>
      </w:r>
      <w:r>
        <w:rPr>
          <w:rFonts w:hint="eastAsia"/>
          <w:rtl/>
        </w:rPr>
        <w:t>»</w:t>
      </w:r>
      <w:r>
        <w:rPr>
          <w:rFonts w:hint="cs"/>
          <w:rtl/>
        </w:rPr>
        <w:t xml:space="preserve"> معناه : أن من أفتى بأن المقرِضْ يردّ الربحَ إلى المستقرض، فإن هذا مقَيَّدٌ بعدم التزام المستقرض بالربح، فعلى هذا التقدير فإن الربح من حق المستقرض، فيحسب من رأس </w:t>
      </w:r>
      <w:r w:rsidRPr="00965725">
        <w:rPr>
          <w:rFonts w:hint="cs"/>
          <w:spacing w:val="-4"/>
          <w:rtl/>
        </w:rPr>
        <w:t xml:space="preserve">المال، فإن زاد الربح على الأصل (وهو رأس المال) فإن المقترِض له الحق في استرداد الزيادة </w:t>
      </w:r>
      <w:r w:rsidRPr="00965725">
        <w:rPr>
          <w:spacing w:val="-4"/>
          <w:rtl/>
        </w:rPr>
        <w:t>–</w:t>
      </w:r>
      <w:r w:rsidRPr="00965725">
        <w:rPr>
          <w:rFonts w:hint="cs"/>
          <w:spacing w:val="-4"/>
          <w:rtl/>
        </w:rPr>
        <w:t>والله أعلم-.</w:t>
      </w:r>
    </w:p>
  </w:footnote>
  <w:footnote w:id="5157">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يـعمـل</w:t>
      </w:r>
      <w:r>
        <w:rPr>
          <w:rFonts w:hint="eastAsia"/>
          <w:rtl/>
        </w:rPr>
        <w:t>»</w:t>
      </w:r>
      <w:r>
        <w:rPr>
          <w:rFonts w:hint="cs"/>
          <w:rtl/>
        </w:rPr>
        <w:t>. والصحيح مـا تمَّ إثباته من (د)، وهو الموافق لمصدر القاعدة (وهو العناية).</w:t>
      </w:r>
    </w:p>
  </w:footnote>
  <w:footnote w:id="5158">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79/أ من (جـ)، ونهاية 65/أ من (د).</w:t>
      </w:r>
    </w:p>
  </w:footnote>
  <w:footnote w:id="5159">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المراد من هذه القاعدة</w:t>
      </w:r>
      <w:r>
        <w:rPr>
          <w:rFonts w:hint="cs"/>
          <w:rtl/>
        </w:rPr>
        <w:t xml:space="preserve"> : </w:t>
      </w:r>
    </w:p>
    <w:p w:rsidR="00035BE3" w:rsidRDefault="00035BE3" w:rsidP="003D5367">
      <w:pPr>
        <w:pStyle w:val="a6"/>
        <w:ind w:left="422" w:firstLine="0"/>
        <w:rPr>
          <w:rtl/>
        </w:rPr>
      </w:pPr>
      <w:r>
        <w:rPr>
          <w:rFonts w:hint="cs"/>
          <w:rtl/>
        </w:rPr>
        <w:t>أنه إذا تكلم المكلّف بلفظ من الألفاظ، وكان هذا اللفظ محتملاً : فإنه يُعمل بنيته في تحديد مراده من لفظه. وأما إذا كان اللفظ موضوعًا لمعنى معيّن لا يحتمل غيره، فلا يلتفت إلى غيره.</w:t>
      </w:r>
    </w:p>
    <w:p w:rsidR="00035BE3" w:rsidRDefault="00035BE3" w:rsidP="003D5367">
      <w:pPr>
        <w:pStyle w:val="a6"/>
        <w:ind w:left="422" w:firstLine="0"/>
        <w:rPr>
          <w:b/>
          <w:bCs/>
          <w:rtl/>
        </w:rPr>
      </w:pPr>
      <w:r>
        <w:rPr>
          <w:rFonts w:hint="cs"/>
          <w:b/>
          <w:bCs/>
          <w:rtl/>
        </w:rPr>
        <w:t xml:space="preserve">توثيق القاعدة : </w:t>
      </w:r>
    </w:p>
    <w:p w:rsidR="00035BE3" w:rsidRDefault="00035BE3" w:rsidP="003D5367">
      <w:pPr>
        <w:pStyle w:val="a6"/>
        <w:ind w:left="422" w:firstLine="0"/>
        <w:rPr>
          <w:rtl/>
        </w:rPr>
      </w:pPr>
      <w:r>
        <w:rPr>
          <w:rFonts w:hint="cs"/>
          <w:rtl/>
        </w:rPr>
        <w:t>وردت بنحو لفظها أو معناه في بعض كتب الفقه وقواعده :</w:t>
      </w:r>
    </w:p>
    <w:p w:rsidR="00035BE3" w:rsidRDefault="00035BE3" w:rsidP="003D5367">
      <w:pPr>
        <w:pStyle w:val="a6"/>
        <w:ind w:left="422" w:firstLine="0"/>
        <w:rPr>
          <w:b/>
          <w:bCs/>
          <w:rtl/>
        </w:rPr>
      </w:pPr>
      <w:r>
        <w:rPr>
          <w:rFonts w:hint="cs"/>
          <w:b/>
          <w:bCs/>
          <w:rtl/>
        </w:rPr>
        <w:t>فمن كتب القواعد :</w:t>
      </w:r>
    </w:p>
    <w:p w:rsidR="00035BE3" w:rsidRDefault="00035BE3" w:rsidP="003D5367">
      <w:pPr>
        <w:pStyle w:val="a6"/>
        <w:ind w:left="422" w:firstLine="0"/>
        <w:rPr>
          <w:rtl/>
        </w:rPr>
      </w:pPr>
      <w:r>
        <w:rPr>
          <w:rFonts w:hint="cs"/>
          <w:rtl/>
        </w:rPr>
        <w:t xml:space="preserve">تقرير القواعد لابن رجب، 2/587-588، ضمن قاعدة 125 -ولفظه : </w:t>
      </w:r>
      <w:r>
        <w:rPr>
          <w:rFonts w:hint="eastAsia"/>
          <w:rtl/>
        </w:rPr>
        <w:t>«</w:t>
      </w:r>
      <w:r>
        <w:rPr>
          <w:rFonts w:hint="cs"/>
          <w:rtl/>
        </w:rPr>
        <w:t>لأن النية إنما تصرف اللفظ إلى محتمل، ولا احتمال في النصّ الصريح، إنما الاحتمال في العموم...</w:t>
      </w:r>
      <w:r>
        <w:rPr>
          <w:rFonts w:hint="eastAsia"/>
          <w:rtl/>
        </w:rPr>
        <w:t>»</w:t>
      </w:r>
      <w:r>
        <w:rPr>
          <w:rFonts w:hint="cs"/>
          <w:rtl/>
        </w:rPr>
        <w:t xml:space="preserve">؛ قواعد الفقه لابن نجيم، ص112، قاعدة68 </w:t>
      </w:r>
      <w:r>
        <w:rPr>
          <w:rtl/>
        </w:rPr>
        <w:t>–</w:t>
      </w:r>
      <w:r>
        <w:rPr>
          <w:rFonts w:hint="cs"/>
          <w:rtl/>
        </w:rPr>
        <w:t xml:space="preserve">ولفظه : </w:t>
      </w:r>
      <w:r>
        <w:rPr>
          <w:rFonts w:hint="eastAsia"/>
          <w:rtl/>
        </w:rPr>
        <w:t>«</w:t>
      </w:r>
      <w:r>
        <w:rPr>
          <w:rFonts w:hint="cs"/>
          <w:rtl/>
        </w:rPr>
        <w:t>النية تعيّن بعض محتملات اللفظ، لا مالا يحتمله</w:t>
      </w:r>
      <w:r>
        <w:rPr>
          <w:rFonts w:hint="eastAsia"/>
          <w:rtl/>
        </w:rPr>
        <w:t>»</w:t>
      </w:r>
      <w:r>
        <w:rPr>
          <w:rFonts w:hint="cs"/>
          <w:rtl/>
        </w:rPr>
        <w:t>-.</w:t>
      </w:r>
    </w:p>
    <w:p w:rsidR="00035BE3" w:rsidRDefault="00035BE3" w:rsidP="003D5367">
      <w:pPr>
        <w:pStyle w:val="a6"/>
        <w:ind w:left="422" w:firstLine="0"/>
        <w:rPr>
          <w:b/>
          <w:bCs/>
          <w:rtl/>
        </w:rPr>
      </w:pPr>
      <w:r>
        <w:rPr>
          <w:rFonts w:hint="cs"/>
          <w:b/>
          <w:bCs/>
          <w:rtl/>
        </w:rPr>
        <w:t>ومن كتب الفقه :</w:t>
      </w:r>
    </w:p>
    <w:p w:rsidR="00035BE3" w:rsidRDefault="00035BE3" w:rsidP="003D5367">
      <w:pPr>
        <w:pStyle w:val="a6"/>
        <w:ind w:left="422" w:firstLine="0"/>
        <w:rPr>
          <w:rtl/>
        </w:rPr>
      </w:pPr>
      <w:r>
        <w:rPr>
          <w:rFonts w:hint="cs"/>
          <w:rtl/>
        </w:rPr>
        <w:t xml:space="preserve">المصفى، ل33/أ؛ العناية، 6/250 -ولفظ العناية أقرب الألفاظ إلى لفظ المؤلف، حيث جاء فيها: </w:t>
      </w:r>
      <w:r>
        <w:rPr>
          <w:rFonts w:hint="eastAsia"/>
          <w:rtl/>
        </w:rPr>
        <w:t>«</w:t>
      </w:r>
      <w:r>
        <w:rPr>
          <w:rFonts w:hint="cs"/>
          <w:rtl/>
        </w:rPr>
        <w:t>... وإن كان بالنية؛ لأنها إنما تعمل في المحتملات، لا في الموضوعات الأصلية</w:t>
      </w:r>
      <w:r>
        <w:rPr>
          <w:rFonts w:hint="eastAsia"/>
          <w:rtl/>
        </w:rPr>
        <w:t>»</w:t>
      </w:r>
      <w:r>
        <w:rPr>
          <w:rFonts w:hint="cs"/>
          <w:rtl/>
        </w:rPr>
        <w:t>-؛ فتح القدير، 4/257؛ البحر الرائق، 4/244.</w:t>
      </w:r>
    </w:p>
  </w:footnote>
  <w:footnote w:id="5160">
    <w:p w:rsidR="00035BE3" w:rsidRDefault="00035BE3" w:rsidP="003D5367">
      <w:pPr>
        <w:pStyle w:val="a8"/>
        <w:bidi/>
        <w:ind w:left="422" w:right="-142"/>
        <w:rPr>
          <w:spacing w:val="-8"/>
          <w:rtl/>
        </w:rPr>
      </w:pPr>
      <w:r>
        <w:rPr>
          <w:rFonts w:hint="cs"/>
          <w:spacing w:val="-8"/>
          <w:vertAlign w:val="superscript"/>
          <w:rtl/>
        </w:rPr>
        <w:t>(</w:t>
      </w:r>
      <w:r>
        <w:rPr>
          <w:rStyle w:val="a7"/>
          <w:spacing w:val="-8"/>
        </w:rPr>
        <w:footnoteRef/>
      </w:r>
      <w:r>
        <w:rPr>
          <w:rFonts w:hint="cs"/>
          <w:spacing w:val="-8"/>
          <w:vertAlign w:val="superscript"/>
          <w:rtl/>
        </w:rPr>
        <w:t>)</w:t>
      </w:r>
      <w:r w:rsidRPr="007738D5">
        <w:rPr>
          <w:rFonts w:hint="cs"/>
          <w:spacing w:val="-8"/>
          <w:sz w:val="10"/>
          <w:szCs w:val="20"/>
          <w:rtl/>
        </w:rPr>
        <w:t xml:space="preserve"> </w:t>
      </w:r>
      <w:r w:rsidRPr="007738D5">
        <w:rPr>
          <w:rFonts w:hint="cs"/>
          <w:spacing w:val="-8"/>
          <w:sz w:val="8"/>
          <w:szCs w:val="18"/>
          <w:rtl/>
        </w:rPr>
        <w:t xml:space="preserve">  </w:t>
      </w:r>
      <w:r w:rsidRPr="007738D5">
        <w:rPr>
          <w:rFonts w:hint="cs"/>
          <w:spacing w:val="-8"/>
          <w:sz w:val="18"/>
          <w:rtl/>
        </w:rPr>
        <w:t xml:space="preserve"> </w:t>
      </w:r>
      <w:r>
        <w:rPr>
          <w:rFonts w:hint="cs"/>
          <w:spacing w:val="-8"/>
          <w:sz w:val="18"/>
          <w:rtl/>
        </w:rPr>
        <w:t xml:space="preserve"> </w:t>
      </w:r>
      <w:r>
        <w:rPr>
          <w:rFonts w:hint="cs"/>
          <w:spacing w:val="-8"/>
          <w:rtl/>
        </w:rPr>
        <w:t>انظر:</w:t>
      </w:r>
      <w:r w:rsidRPr="007738D5">
        <w:rPr>
          <w:rFonts w:hint="cs"/>
          <w:spacing w:val="-8"/>
          <w:sz w:val="16"/>
          <w:szCs w:val="26"/>
          <w:rtl/>
        </w:rPr>
        <w:t xml:space="preserve"> </w:t>
      </w:r>
      <w:r>
        <w:rPr>
          <w:rFonts w:hint="cs"/>
          <w:spacing w:val="-8"/>
          <w:rtl/>
        </w:rPr>
        <w:t>كنز الدقائق</w:t>
      </w:r>
      <w:r w:rsidRPr="007738D5">
        <w:rPr>
          <w:rFonts w:hint="cs"/>
          <w:spacing w:val="-8"/>
          <w:sz w:val="18"/>
          <w:rtl/>
        </w:rPr>
        <w:t xml:space="preserve"> </w:t>
      </w:r>
      <w:r>
        <w:rPr>
          <w:rFonts w:hint="cs"/>
          <w:spacing w:val="-8"/>
          <w:rtl/>
        </w:rPr>
        <w:t>وشرحيه: تبيين</w:t>
      </w:r>
      <w:r w:rsidRPr="007738D5">
        <w:rPr>
          <w:rFonts w:hint="cs"/>
          <w:spacing w:val="-8"/>
          <w:sz w:val="18"/>
          <w:rtl/>
        </w:rPr>
        <w:t xml:space="preserve"> </w:t>
      </w:r>
      <w:r>
        <w:rPr>
          <w:rFonts w:hint="cs"/>
          <w:spacing w:val="-8"/>
          <w:rtl/>
        </w:rPr>
        <w:t>الحقائق، 2/214؛</w:t>
      </w:r>
      <w:r w:rsidRPr="007738D5">
        <w:rPr>
          <w:rFonts w:hint="cs"/>
          <w:spacing w:val="-8"/>
          <w:sz w:val="18"/>
          <w:rtl/>
        </w:rPr>
        <w:t xml:space="preserve"> </w:t>
      </w:r>
      <w:r>
        <w:rPr>
          <w:rFonts w:hint="cs"/>
          <w:spacing w:val="-8"/>
          <w:rtl/>
        </w:rPr>
        <w:t>والبحر</w:t>
      </w:r>
      <w:r w:rsidRPr="007738D5">
        <w:rPr>
          <w:rFonts w:hint="cs"/>
          <w:spacing w:val="-8"/>
          <w:sz w:val="18"/>
          <w:rtl/>
        </w:rPr>
        <w:t xml:space="preserve"> </w:t>
      </w:r>
      <w:r>
        <w:rPr>
          <w:rFonts w:hint="cs"/>
          <w:spacing w:val="-8"/>
          <w:rtl/>
        </w:rPr>
        <w:t>الرائق،</w:t>
      </w:r>
      <w:r w:rsidRPr="007738D5">
        <w:rPr>
          <w:rFonts w:hint="cs"/>
          <w:spacing w:val="-8"/>
          <w:sz w:val="18"/>
          <w:rtl/>
        </w:rPr>
        <w:t xml:space="preserve"> </w:t>
      </w:r>
      <w:r>
        <w:rPr>
          <w:rFonts w:hint="cs"/>
          <w:spacing w:val="-8"/>
          <w:rtl/>
        </w:rPr>
        <w:t>3/322؛ قواعد</w:t>
      </w:r>
      <w:r w:rsidRPr="007738D5">
        <w:rPr>
          <w:rFonts w:hint="cs"/>
          <w:spacing w:val="-8"/>
          <w:sz w:val="18"/>
          <w:rtl/>
        </w:rPr>
        <w:t xml:space="preserve"> </w:t>
      </w:r>
      <w:r>
        <w:rPr>
          <w:rFonts w:hint="cs"/>
          <w:spacing w:val="-8"/>
          <w:rtl/>
        </w:rPr>
        <w:t>الفقه لابن نجيم، ص112.</w:t>
      </w:r>
    </w:p>
  </w:footnote>
  <w:footnote w:id="5161">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2/30.</w:t>
      </w:r>
    </w:p>
    <w:p w:rsidR="00035BE3" w:rsidRDefault="00035BE3" w:rsidP="003D5367">
      <w:pPr>
        <w:pStyle w:val="a6"/>
        <w:ind w:left="422" w:firstLine="0"/>
        <w:rPr>
          <w:rtl/>
        </w:rPr>
      </w:pPr>
      <w:r>
        <w:rPr>
          <w:rFonts w:hint="cs"/>
          <w:b/>
          <w:bCs/>
          <w:rtl/>
        </w:rPr>
        <w:t>وتحفة الفقهاء</w:t>
      </w:r>
      <w:r>
        <w:rPr>
          <w:rFonts w:hint="cs"/>
          <w:rtl/>
        </w:rPr>
        <w:t xml:space="preserve"> : كتاب في الفقه الحنفي، ألّفه محمد بن أحمد بن أبي أحمد السمرقندي (ت 540هـ).</w:t>
      </w:r>
    </w:p>
    <w:p w:rsidR="00035BE3" w:rsidRDefault="00035BE3" w:rsidP="003D5367">
      <w:pPr>
        <w:pStyle w:val="a6"/>
        <w:ind w:left="422" w:firstLine="0"/>
        <w:rPr>
          <w:rtl/>
        </w:rPr>
      </w:pPr>
      <w:r>
        <w:rPr>
          <w:rFonts w:hint="cs"/>
          <w:rtl/>
        </w:rPr>
        <w:t>وهو كتاب وسط بين الإيجاز والإطالة، وكان الدافع لتصنيفه أنَّ مختصر القُدُوري فيه إيجاز في المسائل والدليل، فأراد السمرقندي أن يسدّ هذا النقص.</w:t>
      </w:r>
    </w:p>
    <w:p w:rsidR="00035BE3" w:rsidRDefault="00035BE3" w:rsidP="003D5367">
      <w:pPr>
        <w:pStyle w:val="a6"/>
        <w:ind w:left="422" w:firstLine="0"/>
        <w:rPr>
          <w:spacing w:val="-6"/>
          <w:rtl/>
        </w:rPr>
      </w:pPr>
      <w:r>
        <w:rPr>
          <w:rFonts w:hint="cs"/>
          <w:spacing w:val="-6"/>
          <w:rtl/>
        </w:rPr>
        <w:t xml:space="preserve">وقد شرحه تلميذه الكاساني (ت587هـ)  في (بدائع الصنائع)؛ فزوّجه ابنته، وجعل الشرح مهرًا لها.    </w:t>
      </w:r>
    </w:p>
    <w:p w:rsidR="00035BE3" w:rsidRDefault="00035BE3" w:rsidP="003D5367">
      <w:pPr>
        <w:pStyle w:val="a6"/>
        <w:spacing w:line="440" w:lineRule="exact"/>
        <w:ind w:left="422" w:firstLine="0"/>
        <w:rPr>
          <w:rtl/>
        </w:rPr>
      </w:pPr>
      <w:r>
        <w:rPr>
          <w:rFonts w:hint="cs"/>
          <w:rtl/>
        </w:rPr>
        <w:t>وللتحفة عدّة طبقات :</w:t>
      </w:r>
    </w:p>
    <w:p w:rsidR="00035BE3" w:rsidRDefault="00035BE3" w:rsidP="003D5367">
      <w:pPr>
        <w:pStyle w:val="a6"/>
        <w:spacing w:line="440" w:lineRule="exact"/>
        <w:ind w:left="422" w:firstLine="0"/>
        <w:rPr>
          <w:rtl/>
        </w:rPr>
      </w:pPr>
      <w:r>
        <w:rPr>
          <w:rtl/>
        </w:rPr>
        <w:t>•</w:t>
      </w:r>
      <w:r>
        <w:rPr>
          <w:rFonts w:hint="cs"/>
          <w:rtl/>
        </w:rPr>
        <w:t xml:space="preserve"> من أقدمها : طبعة جامعة دمشق؛ بتحقيق د. محمد زكي عبد البّر، وقد طبع الجزء الأول منها عام 1377هـ/1958م، والأخير عام 1379هـ/1959م.</w:t>
      </w:r>
    </w:p>
    <w:p w:rsidR="00035BE3" w:rsidRDefault="00035BE3" w:rsidP="003D5367">
      <w:pPr>
        <w:pStyle w:val="a6"/>
        <w:spacing w:line="440" w:lineRule="exact"/>
        <w:ind w:left="-32" w:firstLine="454"/>
        <w:rPr>
          <w:rtl/>
        </w:rPr>
      </w:pPr>
      <w:r>
        <w:rPr>
          <w:rtl/>
        </w:rPr>
        <w:t>•</w:t>
      </w:r>
      <w:r>
        <w:rPr>
          <w:rFonts w:hint="cs"/>
          <w:rtl/>
        </w:rPr>
        <w:t xml:space="preserve"> ومن أحدثها : طبعة دار الكتب العلمية الثانية عام 1414هـ.</w:t>
      </w:r>
    </w:p>
    <w:p w:rsidR="00035BE3" w:rsidRDefault="00035BE3" w:rsidP="003D5367">
      <w:pPr>
        <w:pStyle w:val="a6"/>
        <w:spacing w:line="440" w:lineRule="exact"/>
        <w:ind w:left="422" w:firstLine="0"/>
        <w:rPr>
          <w:spacing w:val="4"/>
          <w:rtl/>
        </w:rPr>
      </w:pPr>
      <w:r>
        <w:rPr>
          <w:rFonts w:hint="cs"/>
          <w:spacing w:val="4"/>
          <w:rtl/>
        </w:rPr>
        <w:t>انظر : الجواهر المضية، 3/18، رقم 1151؛ تاج التراجم، ص206، رقم 226؛ مفتاح السعادة، 2/248؛ كشف الظنون، 1/371؛ الفوائد البهية، ص158؛ هدية العارفين، 2/90.</w:t>
      </w:r>
    </w:p>
  </w:footnote>
  <w:footnote w:id="5162">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ل88/أ (نسخة جامعة الملك سعود، رقم ف1128/6).</w:t>
      </w:r>
    </w:p>
  </w:footnote>
  <w:footnote w:id="5163">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6/250، مع زيادة عند المؤلف لبعض الألـفـاظ، وهـي: </w:t>
      </w:r>
      <w:r>
        <w:rPr>
          <w:rFonts w:hint="eastAsia"/>
          <w:rtl/>
        </w:rPr>
        <w:t>«</w:t>
      </w:r>
      <w:r>
        <w:rPr>
          <w:rFonts w:hint="cs"/>
          <w:rtl/>
        </w:rPr>
        <w:t>من الإيجاب والقبول</w:t>
      </w:r>
      <w:r>
        <w:rPr>
          <w:rFonts w:hint="eastAsia"/>
          <w:rtl/>
        </w:rPr>
        <w:t>»</w:t>
      </w:r>
      <w:r>
        <w:rPr>
          <w:rFonts w:hint="cs"/>
          <w:rtl/>
        </w:rPr>
        <w:t xml:space="preserve"> و</w:t>
      </w:r>
      <w:r>
        <w:rPr>
          <w:rFonts w:hint="eastAsia"/>
          <w:rtl/>
        </w:rPr>
        <w:t>«</w:t>
      </w:r>
      <w:r>
        <w:rPr>
          <w:rFonts w:hint="cs"/>
          <w:rtl/>
        </w:rPr>
        <w:t>لا ينعقد البيع</w:t>
      </w:r>
      <w:r>
        <w:rPr>
          <w:rFonts w:hint="eastAsia"/>
          <w:rtl/>
        </w:rPr>
        <w:t>»</w:t>
      </w:r>
      <w:r>
        <w:rPr>
          <w:rFonts w:hint="cs"/>
          <w:rtl/>
        </w:rPr>
        <w:t>.</w:t>
      </w:r>
    </w:p>
  </w:footnote>
  <w:footnote w:id="5164">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6/249، وزاد صاحب الهداية : </w:t>
      </w:r>
      <w:r>
        <w:rPr>
          <w:rFonts w:hint="eastAsia"/>
          <w:rtl/>
        </w:rPr>
        <w:t>«</w:t>
      </w:r>
      <w:r>
        <w:rPr>
          <w:rFonts w:hint="cs"/>
          <w:rtl/>
        </w:rPr>
        <w:t>... والآخر لفظ الماضي</w:t>
      </w:r>
      <w:r>
        <w:rPr>
          <w:rFonts w:hint="eastAsia"/>
          <w:rtl/>
        </w:rPr>
        <w:t>»</w:t>
      </w:r>
      <w:r>
        <w:rPr>
          <w:rFonts w:hint="cs"/>
          <w:rtl/>
        </w:rPr>
        <w:t>.</w:t>
      </w:r>
    </w:p>
  </w:footnote>
  <w:footnote w:id="5165">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لسوف</w:t>
      </w:r>
      <w:r>
        <w:rPr>
          <w:rFonts w:hint="eastAsia"/>
          <w:rtl/>
        </w:rPr>
        <w:t>»</w:t>
      </w:r>
      <w:r>
        <w:rPr>
          <w:rFonts w:hint="cs"/>
          <w:rtl/>
        </w:rPr>
        <w:t>.</w:t>
      </w:r>
    </w:p>
  </w:footnote>
  <w:footnote w:id="5166">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108/ب من (أ).</w:t>
      </w:r>
    </w:p>
  </w:footnote>
  <w:footnote w:id="5167">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مصادفها</w:t>
      </w:r>
      <w:r>
        <w:rPr>
          <w:rFonts w:hint="eastAsia"/>
          <w:rtl/>
        </w:rPr>
        <w:t>»</w:t>
      </w:r>
      <w:r>
        <w:rPr>
          <w:rFonts w:hint="cs"/>
          <w:rtl/>
        </w:rPr>
        <w:t>. والصحيح ما تمَّ إثباته من (ب)، وهو الموافق للعناية.</w:t>
      </w:r>
    </w:p>
  </w:footnote>
  <w:footnote w:id="5168">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موضوع</w:t>
      </w:r>
      <w:r>
        <w:rPr>
          <w:rFonts w:hint="eastAsia"/>
          <w:rtl/>
        </w:rPr>
        <w:t>»</w:t>
      </w:r>
      <w:r>
        <w:rPr>
          <w:rFonts w:hint="cs"/>
          <w:rtl/>
        </w:rPr>
        <w:t>. والصحيح ما تم إثباته من (ب).</w:t>
      </w:r>
    </w:p>
  </w:footnote>
  <w:footnote w:id="5169">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68/ب من (ب).</w:t>
      </w:r>
    </w:p>
  </w:footnote>
  <w:footnote w:id="5170">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يعمل</w:t>
      </w:r>
      <w:r>
        <w:rPr>
          <w:rFonts w:hint="eastAsia"/>
          <w:rtl/>
        </w:rPr>
        <w:t>»</w:t>
      </w:r>
      <w:r>
        <w:rPr>
          <w:rFonts w:hint="cs"/>
          <w:rtl/>
        </w:rPr>
        <w:t>. والأفصح ما تمَّ إثباته من (ب).</w:t>
      </w:r>
    </w:p>
  </w:footnote>
  <w:footnote w:id="5171">
    <w:p w:rsidR="00035BE3" w:rsidRDefault="00035BE3" w:rsidP="003D5367">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العناية، 6/250. وقد عبّر صاحب العناية عن المعنى الأخير فقال : </w:t>
      </w:r>
      <w:r>
        <w:rPr>
          <w:rFonts w:hint="eastAsia"/>
          <w:rtl/>
        </w:rPr>
        <w:t>«</w:t>
      </w:r>
      <w:r>
        <w:rPr>
          <w:rFonts w:hint="cs"/>
          <w:rtl/>
        </w:rPr>
        <w:t>... والفعل المضارع عند الفقهاء حقيقة في الحال على ما عرف، فلا يحتاج إلى النية، ولا ينعقد به؛ لما مرّ من الأثر والمعقول</w:t>
      </w:r>
      <w:r>
        <w:rPr>
          <w:rFonts w:hint="eastAsia"/>
          <w:rtl/>
        </w:rPr>
        <w:t>»</w:t>
      </w:r>
      <w:r>
        <w:rPr>
          <w:rFonts w:hint="cs"/>
          <w:rtl/>
        </w:rPr>
        <w:t xml:space="preserve">.   </w:t>
      </w:r>
    </w:p>
  </w:footnote>
  <w:footnote w:id="5172">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6/250.</w:t>
      </w:r>
    </w:p>
  </w:footnote>
  <w:footnote w:id="5173">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القاعدة وما جاء في شرحها مختصر من (العناية)، وقد سبق توثيق ذلك مفصَّلاً.</w:t>
      </w:r>
    </w:p>
  </w:footnote>
  <w:footnote w:id="5174">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التسهيل</w:t>
      </w:r>
      <w:r>
        <w:rPr>
          <w:rFonts w:hint="eastAsia"/>
          <w:rtl/>
        </w:rPr>
        <w:t>»</w:t>
      </w:r>
      <w:r>
        <w:rPr>
          <w:rFonts w:hint="cs"/>
          <w:rtl/>
        </w:rPr>
        <w:t>.</w:t>
      </w:r>
    </w:p>
  </w:footnote>
  <w:footnote w:id="5175">
    <w:p w:rsidR="00035BE3" w:rsidRDefault="00035BE3" w:rsidP="003D5367">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فليراجع</w:t>
      </w:r>
      <w:r>
        <w:rPr>
          <w:rFonts w:hint="eastAsia"/>
          <w:rtl/>
        </w:rPr>
        <w:t>»</w:t>
      </w:r>
      <w:r>
        <w:rPr>
          <w:rFonts w:hint="cs"/>
          <w:rtl/>
        </w:rPr>
        <w:t>. والمناسب ما تمَّ إثباته من (ب).</w:t>
      </w:r>
    </w:p>
  </w:footnote>
  <w:footnote w:id="517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w:t>
      </w:r>
      <w:r>
        <w:rPr>
          <w:rFonts w:hint="eastAsia"/>
          <w:rtl/>
        </w:rPr>
        <w:t>«</w:t>
      </w:r>
      <w:r>
        <w:rPr>
          <w:rFonts w:hint="cs"/>
          <w:rtl/>
        </w:rPr>
        <w:t>يـعمـل</w:t>
      </w:r>
      <w:r>
        <w:rPr>
          <w:rFonts w:hint="eastAsia"/>
          <w:rtl/>
        </w:rPr>
        <w:t>»</w:t>
      </w:r>
      <w:r>
        <w:rPr>
          <w:rFonts w:hint="cs"/>
          <w:rtl/>
        </w:rPr>
        <w:t>. والصحيح مـا تمَّ إثباته من (د)، وهو الموافق لمصدر القاعدة (وهو العناية).</w:t>
      </w:r>
    </w:p>
  </w:footnote>
  <w:footnote w:id="517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79/أ من (جـ)، ونهاية 65/أ من (د).</w:t>
      </w:r>
    </w:p>
  </w:footnote>
  <w:footnote w:id="517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المراد من هذه القاعدة</w:t>
      </w:r>
      <w:r>
        <w:rPr>
          <w:rFonts w:hint="cs"/>
          <w:rtl/>
        </w:rPr>
        <w:t xml:space="preserve"> : </w:t>
      </w:r>
    </w:p>
    <w:p w:rsidR="00035BE3" w:rsidRDefault="00035BE3" w:rsidP="00F0471F">
      <w:pPr>
        <w:pStyle w:val="a6"/>
        <w:ind w:left="422" w:firstLine="0"/>
        <w:rPr>
          <w:rtl/>
        </w:rPr>
      </w:pPr>
      <w:r>
        <w:rPr>
          <w:rFonts w:hint="cs"/>
          <w:rtl/>
        </w:rPr>
        <w:t>أنه إذا تكلم المكلّف بلفظ من الألفاظ، وكان هذا اللفظ محتملاً : فإنه يُعمل بنيته في تحديد مراده من لفظه. وأما إذا كان اللفظ موضوعًا لمعنى معيّن لا يحتمل غيره، فلا يلتفت إلى غيره.</w:t>
      </w:r>
    </w:p>
    <w:p w:rsidR="00035BE3" w:rsidRDefault="00035BE3" w:rsidP="00F0471F">
      <w:pPr>
        <w:pStyle w:val="a6"/>
        <w:ind w:left="422" w:firstLine="0"/>
        <w:rPr>
          <w:b/>
          <w:bCs/>
          <w:rtl/>
        </w:rPr>
      </w:pPr>
      <w:r>
        <w:rPr>
          <w:rFonts w:hint="cs"/>
          <w:b/>
          <w:bCs/>
          <w:rtl/>
        </w:rPr>
        <w:t xml:space="preserve">توثيق القاعدة : </w:t>
      </w:r>
    </w:p>
    <w:p w:rsidR="00035BE3" w:rsidRDefault="00035BE3" w:rsidP="00F0471F">
      <w:pPr>
        <w:pStyle w:val="a6"/>
        <w:ind w:left="422" w:firstLine="0"/>
        <w:rPr>
          <w:rtl/>
        </w:rPr>
      </w:pPr>
      <w:r>
        <w:rPr>
          <w:rFonts w:hint="cs"/>
          <w:rtl/>
        </w:rPr>
        <w:t>وردت بنحو لفظها أو معناه في بعض كتب الفقه وقواعده :</w:t>
      </w:r>
    </w:p>
    <w:p w:rsidR="00035BE3" w:rsidRDefault="00035BE3" w:rsidP="00F0471F">
      <w:pPr>
        <w:pStyle w:val="a6"/>
        <w:ind w:left="422" w:firstLine="0"/>
        <w:rPr>
          <w:b/>
          <w:bCs/>
          <w:rtl/>
        </w:rPr>
      </w:pPr>
      <w:r>
        <w:rPr>
          <w:rFonts w:hint="cs"/>
          <w:b/>
          <w:bCs/>
          <w:rtl/>
        </w:rPr>
        <w:t>فمن كتب القواعد :</w:t>
      </w:r>
    </w:p>
    <w:p w:rsidR="00035BE3" w:rsidRDefault="00035BE3" w:rsidP="00F0471F">
      <w:pPr>
        <w:pStyle w:val="a6"/>
        <w:ind w:left="422" w:firstLine="0"/>
        <w:rPr>
          <w:rtl/>
        </w:rPr>
      </w:pPr>
      <w:r>
        <w:rPr>
          <w:rFonts w:hint="cs"/>
          <w:rtl/>
        </w:rPr>
        <w:t xml:space="preserve">تقرير القواعد لابن رجب، 2/587-588، ضمن قاعدة 125 -ولفظه : </w:t>
      </w:r>
      <w:r>
        <w:rPr>
          <w:rFonts w:hint="eastAsia"/>
          <w:rtl/>
        </w:rPr>
        <w:t>«</w:t>
      </w:r>
      <w:r>
        <w:rPr>
          <w:rFonts w:hint="cs"/>
          <w:rtl/>
        </w:rPr>
        <w:t>لأن النية إنما تصرف اللفظ إلى محتمل، ولا احتمال في النصّ الصريح، إنما الاحتمال في العموم...</w:t>
      </w:r>
      <w:r>
        <w:rPr>
          <w:rFonts w:hint="eastAsia"/>
          <w:rtl/>
        </w:rPr>
        <w:t>»</w:t>
      </w:r>
      <w:r>
        <w:rPr>
          <w:rFonts w:hint="cs"/>
          <w:rtl/>
        </w:rPr>
        <w:t xml:space="preserve">؛ قواعد الفقه لابن نجيم، ص112، قاعدة68 </w:t>
      </w:r>
      <w:r>
        <w:rPr>
          <w:rtl/>
        </w:rPr>
        <w:t>–</w:t>
      </w:r>
      <w:r>
        <w:rPr>
          <w:rFonts w:hint="cs"/>
          <w:rtl/>
        </w:rPr>
        <w:t xml:space="preserve">ولفظه : </w:t>
      </w:r>
      <w:r>
        <w:rPr>
          <w:rFonts w:hint="eastAsia"/>
          <w:rtl/>
        </w:rPr>
        <w:t>«</w:t>
      </w:r>
      <w:r>
        <w:rPr>
          <w:rFonts w:hint="cs"/>
          <w:rtl/>
        </w:rPr>
        <w:t>النية تعيّن بعض محتملات اللفظ، لا مالا يحتمله</w:t>
      </w:r>
      <w:r>
        <w:rPr>
          <w:rFonts w:hint="eastAsia"/>
          <w:rtl/>
        </w:rPr>
        <w:t>»</w:t>
      </w:r>
      <w:r>
        <w:rPr>
          <w:rFonts w:hint="cs"/>
          <w:rtl/>
        </w:rPr>
        <w:t>-.</w:t>
      </w:r>
    </w:p>
    <w:p w:rsidR="00035BE3" w:rsidRDefault="00035BE3" w:rsidP="00F0471F">
      <w:pPr>
        <w:pStyle w:val="a6"/>
        <w:ind w:left="422" w:firstLine="0"/>
        <w:rPr>
          <w:b/>
          <w:bCs/>
          <w:rtl/>
        </w:rPr>
      </w:pPr>
      <w:r>
        <w:rPr>
          <w:rFonts w:hint="cs"/>
          <w:b/>
          <w:bCs/>
          <w:rtl/>
        </w:rPr>
        <w:t>ومن كتب الفقه :</w:t>
      </w:r>
    </w:p>
    <w:p w:rsidR="00035BE3" w:rsidRDefault="00035BE3" w:rsidP="00F0471F">
      <w:pPr>
        <w:pStyle w:val="a6"/>
        <w:ind w:left="422" w:firstLine="0"/>
        <w:rPr>
          <w:rtl/>
        </w:rPr>
      </w:pPr>
      <w:r>
        <w:rPr>
          <w:rFonts w:hint="cs"/>
          <w:rtl/>
        </w:rPr>
        <w:t xml:space="preserve">المصفى، ل33/أ؛ العناية، 6/250 -ولفظ العناية أقرب الألفاظ إلى لفظ المؤلف، حيث جاء فيها: </w:t>
      </w:r>
      <w:r>
        <w:rPr>
          <w:rFonts w:hint="eastAsia"/>
          <w:rtl/>
        </w:rPr>
        <w:t>«</w:t>
      </w:r>
      <w:r>
        <w:rPr>
          <w:rFonts w:hint="cs"/>
          <w:rtl/>
        </w:rPr>
        <w:t>... وإن كان بالنية؛ لأنها إنما تعمل في المحتملات، لا في الموضوعات الأصلية</w:t>
      </w:r>
      <w:r>
        <w:rPr>
          <w:rFonts w:hint="eastAsia"/>
          <w:rtl/>
        </w:rPr>
        <w:t>»</w:t>
      </w:r>
      <w:r>
        <w:rPr>
          <w:rFonts w:hint="cs"/>
          <w:rtl/>
        </w:rPr>
        <w:t>-؛ فتح القدير، 4/257؛ البحر الرائق، 4/244.</w:t>
      </w:r>
    </w:p>
  </w:footnote>
  <w:footnote w:id="5179">
    <w:p w:rsidR="00035BE3" w:rsidRDefault="00035BE3" w:rsidP="00F0471F">
      <w:pPr>
        <w:pStyle w:val="a8"/>
        <w:bidi/>
        <w:ind w:left="422" w:right="-142"/>
        <w:rPr>
          <w:spacing w:val="-8"/>
          <w:rtl/>
        </w:rPr>
      </w:pPr>
      <w:r>
        <w:rPr>
          <w:rFonts w:hint="cs"/>
          <w:spacing w:val="-8"/>
          <w:vertAlign w:val="superscript"/>
          <w:rtl/>
        </w:rPr>
        <w:t>(</w:t>
      </w:r>
      <w:r>
        <w:rPr>
          <w:rStyle w:val="a7"/>
          <w:spacing w:val="-8"/>
        </w:rPr>
        <w:footnoteRef/>
      </w:r>
      <w:r>
        <w:rPr>
          <w:rFonts w:hint="cs"/>
          <w:spacing w:val="-8"/>
          <w:vertAlign w:val="superscript"/>
          <w:rtl/>
        </w:rPr>
        <w:t>)</w:t>
      </w:r>
      <w:r w:rsidRPr="007738D5">
        <w:rPr>
          <w:rFonts w:hint="cs"/>
          <w:spacing w:val="-8"/>
          <w:sz w:val="10"/>
          <w:szCs w:val="20"/>
          <w:rtl/>
        </w:rPr>
        <w:t xml:space="preserve"> </w:t>
      </w:r>
      <w:r w:rsidRPr="007738D5">
        <w:rPr>
          <w:rFonts w:hint="cs"/>
          <w:spacing w:val="-8"/>
          <w:sz w:val="8"/>
          <w:szCs w:val="18"/>
          <w:rtl/>
        </w:rPr>
        <w:t xml:space="preserve">  </w:t>
      </w:r>
      <w:r w:rsidRPr="007738D5">
        <w:rPr>
          <w:rFonts w:hint="cs"/>
          <w:spacing w:val="-8"/>
          <w:sz w:val="18"/>
          <w:rtl/>
        </w:rPr>
        <w:t xml:space="preserve"> </w:t>
      </w:r>
      <w:r>
        <w:rPr>
          <w:rFonts w:hint="cs"/>
          <w:spacing w:val="-8"/>
          <w:sz w:val="18"/>
          <w:rtl/>
        </w:rPr>
        <w:t xml:space="preserve"> </w:t>
      </w:r>
      <w:r>
        <w:rPr>
          <w:rFonts w:hint="cs"/>
          <w:spacing w:val="-8"/>
          <w:rtl/>
        </w:rPr>
        <w:t>انظر:</w:t>
      </w:r>
      <w:r w:rsidRPr="007738D5">
        <w:rPr>
          <w:rFonts w:hint="cs"/>
          <w:spacing w:val="-8"/>
          <w:sz w:val="16"/>
          <w:szCs w:val="26"/>
          <w:rtl/>
        </w:rPr>
        <w:t xml:space="preserve"> </w:t>
      </w:r>
      <w:r>
        <w:rPr>
          <w:rFonts w:hint="cs"/>
          <w:spacing w:val="-8"/>
          <w:rtl/>
        </w:rPr>
        <w:t>كنز الدقائق</w:t>
      </w:r>
      <w:r w:rsidRPr="007738D5">
        <w:rPr>
          <w:rFonts w:hint="cs"/>
          <w:spacing w:val="-8"/>
          <w:sz w:val="18"/>
          <w:rtl/>
        </w:rPr>
        <w:t xml:space="preserve"> </w:t>
      </w:r>
      <w:r>
        <w:rPr>
          <w:rFonts w:hint="cs"/>
          <w:spacing w:val="-8"/>
          <w:rtl/>
        </w:rPr>
        <w:t>وشرحيه: تبيين</w:t>
      </w:r>
      <w:r w:rsidRPr="007738D5">
        <w:rPr>
          <w:rFonts w:hint="cs"/>
          <w:spacing w:val="-8"/>
          <w:sz w:val="18"/>
          <w:rtl/>
        </w:rPr>
        <w:t xml:space="preserve"> </w:t>
      </w:r>
      <w:r>
        <w:rPr>
          <w:rFonts w:hint="cs"/>
          <w:spacing w:val="-8"/>
          <w:rtl/>
        </w:rPr>
        <w:t>الحقائق، 2/214؛</w:t>
      </w:r>
      <w:r w:rsidRPr="007738D5">
        <w:rPr>
          <w:rFonts w:hint="cs"/>
          <w:spacing w:val="-8"/>
          <w:sz w:val="18"/>
          <w:rtl/>
        </w:rPr>
        <w:t xml:space="preserve"> </w:t>
      </w:r>
      <w:r>
        <w:rPr>
          <w:rFonts w:hint="cs"/>
          <w:spacing w:val="-8"/>
          <w:rtl/>
        </w:rPr>
        <w:t>والبحر</w:t>
      </w:r>
      <w:r w:rsidRPr="007738D5">
        <w:rPr>
          <w:rFonts w:hint="cs"/>
          <w:spacing w:val="-8"/>
          <w:sz w:val="18"/>
          <w:rtl/>
        </w:rPr>
        <w:t xml:space="preserve"> </w:t>
      </w:r>
      <w:r>
        <w:rPr>
          <w:rFonts w:hint="cs"/>
          <w:spacing w:val="-8"/>
          <w:rtl/>
        </w:rPr>
        <w:t>الرائق،</w:t>
      </w:r>
      <w:r w:rsidRPr="007738D5">
        <w:rPr>
          <w:rFonts w:hint="cs"/>
          <w:spacing w:val="-8"/>
          <w:sz w:val="18"/>
          <w:rtl/>
        </w:rPr>
        <w:t xml:space="preserve"> </w:t>
      </w:r>
      <w:r>
        <w:rPr>
          <w:rFonts w:hint="cs"/>
          <w:spacing w:val="-8"/>
          <w:rtl/>
        </w:rPr>
        <w:t>3/322؛ قواعد</w:t>
      </w:r>
      <w:r w:rsidRPr="007738D5">
        <w:rPr>
          <w:rFonts w:hint="cs"/>
          <w:spacing w:val="-8"/>
          <w:sz w:val="18"/>
          <w:rtl/>
        </w:rPr>
        <w:t xml:space="preserve"> </w:t>
      </w:r>
      <w:r>
        <w:rPr>
          <w:rFonts w:hint="cs"/>
          <w:spacing w:val="-8"/>
          <w:rtl/>
        </w:rPr>
        <w:t>الفقه لابن نجيم، ص112.</w:t>
      </w:r>
    </w:p>
  </w:footnote>
  <w:footnote w:id="518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2/30.</w:t>
      </w:r>
    </w:p>
    <w:p w:rsidR="00035BE3" w:rsidRDefault="00035BE3" w:rsidP="00F0471F">
      <w:pPr>
        <w:pStyle w:val="a6"/>
        <w:ind w:left="422" w:firstLine="0"/>
        <w:rPr>
          <w:rtl/>
        </w:rPr>
      </w:pPr>
      <w:r>
        <w:rPr>
          <w:rFonts w:hint="cs"/>
          <w:b/>
          <w:bCs/>
          <w:rtl/>
        </w:rPr>
        <w:t>وتحفة الفقهاء</w:t>
      </w:r>
      <w:r>
        <w:rPr>
          <w:rFonts w:hint="cs"/>
          <w:rtl/>
        </w:rPr>
        <w:t xml:space="preserve"> : كتاب في الفقه الحنفي، ألّفه محمد بن أحمد بن أبي أحمد السمرقندي (ت 540هـ).</w:t>
      </w:r>
    </w:p>
    <w:p w:rsidR="00035BE3" w:rsidRDefault="00035BE3" w:rsidP="00F0471F">
      <w:pPr>
        <w:pStyle w:val="a6"/>
        <w:ind w:left="422" w:firstLine="0"/>
        <w:rPr>
          <w:rtl/>
        </w:rPr>
      </w:pPr>
      <w:r>
        <w:rPr>
          <w:rFonts w:hint="cs"/>
          <w:rtl/>
        </w:rPr>
        <w:t>وهو كتاب وسط بين الإيجاز والإطالة، وكان الدافع لتصنيفه أنَّ مختصر القُدُوري فيه إيجاز في المسائل والدليل، فأراد السمرقندي أن يسدّ هذا النقص.</w:t>
      </w:r>
    </w:p>
    <w:p w:rsidR="00035BE3" w:rsidRDefault="00035BE3" w:rsidP="00F0471F">
      <w:pPr>
        <w:pStyle w:val="a6"/>
        <w:ind w:left="422" w:firstLine="0"/>
        <w:rPr>
          <w:spacing w:val="-6"/>
          <w:rtl/>
        </w:rPr>
      </w:pPr>
      <w:r>
        <w:rPr>
          <w:rFonts w:hint="cs"/>
          <w:spacing w:val="-6"/>
          <w:rtl/>
        </w:rPr>
        <w:t xml:space="preserve">وقد شرحه تلميذه الكاساني (ت587هـ)  في (بدائع الصنائع)؛ فزوّجه ابنته، وجعل الشرح مهرًا لها.    </w:t>
      </w:r>
    </w:p>
    <w:p w:rsidR="00035BE3" w:rsidRDefault="00035BE3" w:rsidP="00F0471F">
      <w:pPr>
        <w:pStyle w:val="a6"/>
        <w:spacing w:line="440" w:lineRule="exact"/>
        <w:ind w:left="422" w:firstLine="0"/>
        <w:rPr>
          <w:rtl/>
        </w:rPr>
      </w:pPr>
      <w:r>
        <w:rPr>
          <w:rFonts w:hint="cs"/>
          <w:rtl/>
        </w:rPr>
        <w:t>وللتحفة عدّة طبقات :</w:t>
      </w:r>
    </w:p>
    <w:p w:rsidR="00035BE3" w:rsidRDefault="00035BE3" w:rsidP="00F0471F">
      <w:pPr>
        <w:pStyle w:val="a6"/>
        <w:spacing w:line="440" w:lineRule="exact"/>
        <w:ind w:left="422" w:firstLine="0"/>
        <w:rPr>
          <w:rtl/>
        </w:rPr>
      </w:pPr>
      <w:r>
        <w:rPr>
          <w:rtl/>
        </w:rPr>
        <w:t>•</w:t>
      </w:r>
      <w:r>
        <w:rPr>
          <w:rFonts w:hint="cs"/>
          <w:rtl/>
        </w:rPr>
        <w:t xml:space="preserve"> من أقدمها : طبعة جامعة دمشق؛ بتحقيق د. محمد زكي عبد البّر، وقد طبع الجزء الأول منها عام 1377هـ/1958م، والأخير عام 1379هـ/1959م.</w:t>
      </w:r>
    </w:p>
    <w:p w:rsidR="00035BE3" w:rsidRDefault="00035BE3" w:rsidP="00F0471F">
      <w:pPr>
        <w:pStyle w:val="a6"/>
        <w:spacing w:line="440" w:lineRule="exact"/>
        <w:ind w:left="-32" w:firstLine="454"/>
        <w:rPr>
          <w:rtl/>
        </w:rPr>
      </w:pPr>
      <w:r>
        <w:rPr>
          <w:rtl/>
        </w:rPr>
        <w:t>•</w:t>
      </w:r>
      <w:r>
        <w:rPr>
          <w:rFonts w:hint="cs"/>
          <w:rtl/>
        </w:rPr>
        <w:t xml:space="preserve"> ومن أحدثها : طبعة دار الكتب العلمية الثانية عام 1414هـ.</w:t>
      </w:r>
    </w:p>
    <w:p w:rsidR="00035BE3" w:rsidRDefault="00035BE3" w:rsidP="00F0471F">
      <w:pPr>
        <w:pStyle w:val="a6"/>
        <w:spacing w:line="440" w:lineRule="exact"/>
        <w:ind w:left="422" w:firstLine="0"/>
        <w:rPr>
          <w:spacing w:val="4"/>
          <w:rtl/>
        </w:rPr>
      </w:pPr>
      <w:r>
        <w:rPr>
          <w:rFonts w:hint="cs"/>
          <w:spacing w:val="4"/>
          <w:rtl/>
        </w:rPr>
        <w:t>انظر : الجواهر المضية، 3/18، رقم 1151؛ تاج التراجم، ص206، رقم 226؛ مفتاح السعادة، 2/248؛ كشف الظنون، 1/371؛ الفوائد البهية، ص158؛ هدية العارفين، 2/90.</w:t>
      </w:r>
    </w:p>
  </w:footnote>
  <w:footnote w:id="5181">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ل88/أ (نسخة جامعة الملك سعود، رقم ف1128/6).</w:t>
      </w:r>
    </w:p>
  </w:footnote>
  <w:footnote w:id="5182">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6/250، مع زيادة عند المؤلف لبعض الألـفـاظ، وهـي: </w:t>
      </w:r>
      <w:r>
        <w:rPr>
          <w:rFonts w:hint="eastAsia"/>
          <w:rtl/>
        </w:rPr>
        <w:t>«</w:t>
      </w:r>
      <w:r>
        <w:rPr>
          <w:rFonts w:hint="cs"/>
          <w:rtl/>
        </w:rPr>
        <w:t>من الإيجاب والقبول</w:t>
      </w:r>
      <w:r>
        <w:rPr>
          <w:rFonts w:hint="eastAsia"/>
          <w:rtl/>
        </w:rPr>
        <w:t>»</w:t>
      </w:r>
      <w:r>
        <w:rPr>
          <w:rFonts w:hint="cs"/>
          <w:rtl/>
        </w:rPr>
        <w:t xml:space="preserve"> و</w:t>
      </w:r>
      <w:r>
        <w:rPr>
          <w:rFonts w:hint="eastAsia"/>
          <w:rtl/>
        </w:rPr>
        <w:t>«</w:t>
      </w:r>
      <w:r>
        <w:rPr>
          <w:rFonts w:hint="cs"/>
          <w:rtl/>
        </w:rPr>
        <w:t>لا ينعقد البيع</w:t>
      </w:r>
      <w:r>
        <w:rPr>
          <w:rFonts w:hint="eastAsia"/>
          <w:rtl/>
        </w:rPr>
        <w:t>»</w:t>
      </w:r>
      <w:r>
        <w:rPr>
          <w:rFonts w:hint="cs"/>
          <w:rtl/>
        </w:rPr>
        <w:t>.</w:t>
      </w:r>
    </w:p>
  </w:footnote>
  <w:footnote w:id="5183">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6/249، وزاد صاحب الهداية : </w:t>
      </w:r>
      <w:r>
        <w:rPr>
          <w:rFonts w:hint="eastAsia"/>
          <w:rtl/>
        </w:rPr>
        <w:t>«</w:t>
      </w:r>
      <w:r>
        <w:rPr>
          <w:rFonts w:hint="cs"/>
          <w:rtl/>
        </w:rPr>
        <w:t>... والآخر لفظ الماضي</w:t>
      </w:r>
      <w:r>
        <w:rPr>
          <w:rFonts w:hint="eastAsia"/>
          <w:rtl/>
        </w:rPr>
        <w:t>»</w:t>
      </w:r>
      <w:r>
        <w:rPr>
          <w:rFonts w:hint="cs"/>
          <w:rtl/>
        </w:rPr>
        <w:t>.</w:t>
      </w:r>
    </w:p>
  </w:footnote>
  <w:footnote w:id="5184">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لسوف</w:t>
      </w:r>
      <w:r>
        <w:rPr>
          <w:rFonts w:hint="eastAsia"/>
          <w:rtl/>
        </w:rPr>
        <w:t>»</w:t>
      </w:r>
      <w:r>
        <w:rPr>
          <w:rFonts w:hint="cs"/>
          <w:rtl/>
        </w:rPr>
        <w:t>.</w:t>
      </w:r>
    </w:p>
  </w:footnote>
  <w:footnote w:id="5185">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108/ب من (أ).</w:t>
      </w:r>
    </w:p>
  </w:footnote>
  <w:footnote w:id="5186">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مصادفها</w:t>
      </w:r>
      <w:r>
        <w:rPr>
          <w:rFonts w:hint="eastAsia"/>
          <w:rtl/>
        </w:rPr>
        <w:t>»</w:t>
      </w:r>
      <w:r>
        <w:rPr>
          <w:rFonts w:hint="cs"/>
          <w:rtl/>
        </w:rPr>
        <w:t>. والصحيح ما تمَّ إثباته من (ب)، وهو الموافق للعناية.</w:t>
      </w:r>
    </w:p>
  </w:footnote>
  <w:footnote w:id="5187">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موضوع</w:t>
      </w:r>
      <w:r>
        <w:rPr>
          <w:rFonts w:hint="eastAsia"/>
          <w:rtl/>
        </w:rPr>
        <w:t>»</w:t>
      </w:r>
      <w:r>
        <w:rPr>
          <w:rFonts w:hint="cs"/>
          <w:rtl/>
        </w:rPr>
        <w:t>. والصحيح ما تم إثباته من (ب).</w:t>
      </w:r>
    </w:p>
  </w:footnote>
  <w:footnote w:id="5188">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68/ب من (ب).</w:t>
      </w:r>
    </w:p>
  </w:footnote>
  <w:footnote w:id="5189">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يعمل</w:t>
      </w:r>
      <w:r>
        <w:rPr>
          <w:rFonts w:hint="eastAsia"/>
          <w:rtl/>
        </w:rPr>
        <w:t>»</w:t>
      </w:r>
      <w:r>
        <w:rPr>
          <w:rFonts w:hint="cs"/>
          <w:rtl/>
        </w:rPr>
        <w:t>. والأفصح ما تمَّ إثباته من (ب).</w:t>
      </w:r>
    </w:p>
  </w:footnote>
  <w:footnote w:id="5190">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العناية، 6/250. وقد عبّر صاحب العناية عن المعنى الأخير فقال : </w:t>
      </w:r>
      <w:r>
        <w:rPr>
          <w:rFonts w:hint="eastAsia"/>
          <w:rtl/>
        </w:rPr>
        <w:t>«</w:t>
      </w:r>
      <w:r>
        <w:rPr>
          <w:rFonts w:hint="cs"/>
          <w:rtl/>
        </w:rPr>
        <w:t>... والفعل المضارع عند الفقهاء حقيقة في الحال على ما عرف، فلا يحتاج إلى النية، ولا ينعقد به؛ لما مرّ من الأثر والمعقول</w:t>
      </w:r>
      <w:r>
        <w:rPr>
          <w:rFonts w:hint="eastAsia"/>
          <w:rtl/>
        </w:rPr>
        <w:t>»</w:t>
      </w:r>
      <w:r>
        <w:rPr>
          <w:rFonts w:hint="cs"/>
          <w:rtl/>
        </w:rPr>
        <w:t xml:space="preserve">.   </w:t>
      </w:r>
    </w:p>
  </w:footnote>
  <w:footnote w:id="519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6/250.</w:t>
      </w:r>
    </w:p>
  </w:footnote>
  <w:footnote w:id="519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القاعدة وما جاء في شرحها مختصر من (العناية)، وقد سبق توثيق ذلك مفصَّلاً.</w:t>
      </w:r>
    </w:p>
  </w:footnote>
  <w:footnote w:id="519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التسهيل</w:t>
      </w:r>
      <w:r>
        <w:rPr>
          <w:rFonts w:hint="eastAsia"/>
          <w:rtl/>
        </w:rPr>
        <w:t>»</w:t>
      </w:r>
      <w:r>
        <w:rPr>
          <w:rFonts w:hint="cs"/>
          <w:rtl/>
        </w:rPr>
        <w:t>.</w:t>
      </w:r>
    </w:p>
  </w:footnote>
  <w:footnote w:id="519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فليراجع</w:t>
      </w:r>
      <w:r>
        <w:rPr>
          <w:rFonts w:hint="eastAsia"/>
          <w:rtl/>
        </w:rPr>
        <w:t>»</w:t>
      </w:r>
      <w:r>
        <w:rPr>
          <w:rFonts w:hint="cs"/>
          <w:rtl/>
        </w:rPr>
        <w:t>. والمناسب ما تمَّ إثباته من (ب).</w:t>
      </w:r>
    </w:p>
  </w:footnote>
  <w:footnote w:id="519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يجري</w:t>
      </w:r>
      <w:r>
        <w:rPr>
          <w:rFonts w:hint="eastAsia"/>
          <w:rtl/>
        </w:rPr>
        <w:t>»</w:t>
      </w:r>
      <w:r>
        <w:rPr>
          <w:rFonts w:hint="cs"/>
          <w:rtl/>
        </w:rPr>
        <w:t>.</w:t>
      </w:r>
    </w:p>
  </w:footnote>
  <w:footnote w:id="519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في الدّرر شرح الغرر </w:t>
      </w:r>
      <w:r>
        <w:rPr>
          <w:rtl/>
        </w:rPr>
        <w:t>–</w:t>
      </w:r>
      <w:r>
        <w:rPr>
          <w:rFonts w:hint="cs"/>
          <w:rtl/>
        </w:rPr>
        <w:t xml:space="preserve">2/337- </w:t>
      </w:r>
      <w:r>
        <w:rPr>
          <w:rFonts w:hint="cs"/>
          <w:b/>
          <w:bCs/>
          <w:rtl/>
        </w:rPr>
        <w:t>وقد بيّن معناها فقال</w:t>
      </w:r>
      <w:r>
        <w:rPr>
          <w:rFonts w:hint="cs"/>
          <w:rtl/>
        </w:rPr>
        <w:t xml:space="preserve"> : </w:t>
      </w:r>
      <w:r>
        <w:rPr>
          <w:rFonts w:hint="eastAsia"/>
          <w:rtl/>
        </w:rPr>
        <w:t>«</w:t>
      </w:r>
      <w:r>
        <w:rPr>
          <w:rFonts w:hint="cs"/>
          <w:rtl/>
        </w:rPr>
        <w:t>النيابة تجري في الاستحلاف : يعني يجوز أن يكون الشخص نائبًا عن آخر له حق على غيره في طلب اليمين من المدعى عليه إذا عجز عن إقامة البينة، لا الحلف : يعني : لا يجوز أن يكون شخص نائبًا عن شخص آخر توجه عليه اليمين ليحلف من قبله</w:t>
      </w:r>
      <w:r>
        <w:rPr>
          <w:rFonts w:hint="eastAsia"/>
          <w:rtl/>
        </w:rPr>
        <w:t>»</w:t>
      </w:r>
      <w:r>
        <w:rPr>
          <w:rFonts w:hint="cs"/>
          <w:rtl/>
        </w:rPr>
        <w:t>.</w:t>
      </w:r>
    </w:p>
    <w:p w:rsidR="00035BE3" w:rsidRDefault="00035BE3" w:rsidP="00F0471F">
      <w:pPr>
        <w:pStyle w:val="a6"/>
        <w:ind w:left="422" w:firstLine="0"/>
        <w:rPr>
          <w:rtl/>
        </w:rPr>
      </w:pPr>
      <w:r>
        <w:rPr>
          <w:rFonts w:hint="cs"/>
          <w:rtl/>
        </w:rPr>
        <w:t xml:space="preserve">كما وردت أيضًا في الفصول العمادية، ل90/ب بلفظ : </w:t>
      </w:r>
      <w:r>
        <w:rPr>
          <w:rFonts w:hint="eastAsia"/>
          <w:rtl/>
        </w:rPr>
        <w:t>«</w:t>
      </w:r>
      <w:r>
        <w:rPr>
          <w:rFonts w:hint="cs"/>
          <w:rtl/>
        </w:rPr>
        <w:t>والنيابة لا تجري في التحليف</w:t>
      </w:r>
      <w:r>
        <w:rPr>
          <w:rFonts w:hint="eastAsia"/>
          <w:rtl/>
        </w:rPr>
        <w:t>»</w:t>
      </w:r>
      <w:r>
        <w:rPr>
          <w:rFonts w:hint="cs"/>
          <w:rtl/>
        </w:rPr>
        <w:t xml:space="preserve">؛ وكذلك في جامع الفصولين، 1/140، بلفظ : </w:t>
      </w:r>
      <w:r>
        <w:rPr>
          <w:rFonts w:hint="eastAsia"/>
          <w:rtl/>
        </w:rPr>
        <w:t>«</w:t>
      </w:r>
      <w:r>
        <w:rPr>
          <w:rFonts w:hint="cs"/>
          <w:rtl/>
        </w:rPr>
        <w:t>... النيابة لا تجري في الحلف وتجري في الاستحلاف</w:t>
      </w:r>
      <w:r>
        <w:rPr>
          <w:rFonts w:hint="eastAsia"/>
          <w:rtl/>
        </w:rPr>
        <w:t>»</w:t>
      </w:r>
      <w:r>
        <w:rPr>
          <w:rFonts w:hint="cs"/>
          <w:rtl/>
        </w:rPr>
        <w:t>.</w:t>
      </w:r>
    </w:p>
  </w:footnote>
  <w:footnote w:id="519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برأيه</w:t>
      </w:r>
      <w:r>
        <w:rPr>
          <w:rFonts w:hint="eastAsia"/>
          <w:rtl/>
        </w:rPr>
        <w:t>»</w:t>
      </w:r>
      <w:r>
        <w:rPr>
          <w:rFonts w:hint="cs"/>
          <w:rtl/>
        </w:rPr>
        <w:t>.</w:t>
      </w:r>
    </w:p>
  </w:footnote>
  <w:footnote w:id="519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ص790 (ل62/أ)، قاعدة 154.</w:t>
      </w:r>
    </w:p>
    <w:p w:rsidR="00035BE3" w:rsidRDefault="00035BE3" w:rsidP="00F0471F">
      <w:pPr>
        <w:pStyle w:val="a6"/>
        <w:ind w:left="422" w:firstLine="0"/>
        <w:rPr>
          <w:rtl/>
        </w:rPr>
      </w:pPr>
      <w:r>
        <w:rPr>
          <w:rFonts w:hint="cs"/>
          <w:rtl/>
        </w:rPr>
        <w:t>والاعتراض الذي أورده على القاعدة هنا سبق أن أورده هناك ص797 (ل62/ب) وأجاب عنه؛ فانظره إن شئت.</w:t>
      </w:r>
    </w:p>
  </w:footnote>
  <w:footnote w:id="519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في بعض كتب الفقه الحنفي وقواعده :</w:t>
      </w:r>
    </w:p>
    <w:p w:rsidR="00035BE3" w:rsidRDefault="00035BE3" w:rsidP="00F0471F">
      <w:pPr>
        <w:pStyle w:val="a6"/>
        <w:ind w:left="422" w:firstLine="0"/>
        <w:rPr>
          <w:b/>
          <w:bCs/>
          <w:rtl/>
        </w:rPr>
      </w:pPr>
      <w:r>
        <w:rPr>
          <w:rFonts w:hint="cs"/>
          <w:b/>
          <w:bCs/>
          <w:rtl/>
        </w:rPr>
        <w:t>فمن كتب القواعد :</w:t>
      </w:r>
    </w:p>
    <w:p w:rsidR="00035BE3" w:rsidRDefault="00035BE3" w:rsidP="00F0471F">
      <w:pPr>
        <w:pStyle w:val="a6"/>
        <w:ind w:left="422" w:firstLine="0"/>
        <w:rPr>
          <w:rtl/>
        </w:rPr>
      </w:pPr>
      <w:r>
        <w:rPr>
          <w:rFonts w:hint="cs"/>
          <w:rtl/>
        </w:rPr>
        <w:t>مجامع الحقائق (الخاتمة)، ص47- وفي النسخة الخطية منها، ل36/ب-؛ شرح العلائي لقواعد الخادمي، ل38/ب؛ منافع الدقائق، ص333.</w:t>
      </w:r>
    </w:p>
    <w:p w:rsidR="00035BE3" w:rsidRDefault="00035BE3" w:rsidP="00F0471F">
      <w:pPr>
        <w:pStyle w:val="a6"/>
        <w:ind w:left="422" w:firstLine="0"/>
        <w:rPr>
          <w:b/>
          <w:bCs/>
          <w:rtl/>
        </w:rPr>
      </w:pPr>
      <w:r>
        <w:rPr>
          <w:rFonts w:hint="cs"/>
          <w:b/>
          <w:bCs/>
          <w:rtl/>
        </w:rPr>
        <w:t>ومن كتب الفقه :</w:t>
      </w:r>
    </w:p>
    <w:p w:rsidR="00035BE3" w:rsidRDefault="00035BE3" w:rsidP="00F0471F">
      <w:pPr>
        <w:pStyle w:val="a6"/>
        <w:ind w:left="422" w:firstLine="0"/>
        <w:rPr>
          <w:rtl/>
        </w:rPr>
      </w:pPr>
      <w:r>
        <w:rPr>
          <w:rFonts w:hint="cs"/>
          <w:rtl/>
        </w:rPr>
        <w:t>الدّرر شرح الغرر، 2/175.</w:t>
      </w:r>
    </w:p>
    <w:p w:rsidR="00035BE3" w:rsidRDefault="00035BE3" w:rsidP="00F0471F">
      <w:pPr>
        <w:pStyle w:val="a6"/>
        <w:ind w:left="422" w:firstLine="0"/>
        <w:rPr>
          <w:rtl/>
        </w:rPr>
      </w:pPr>
      <w:r>
        <w:rPr>
          <w:rFonts w:hint="cs"/>
          <w:rtl/>
        </w:rPr>
        <w:t>كما وردت الإشارة إلى معناها في رد المحتار، 4/190.</w:t>
      </w:r>
    </w:p>
  </w:footnote>
  <w:footnote w:id="520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2/175.</w:t>
      </w:r>
    </w:p>
  </w:footnote>
  <w:footnote w:id="520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خيار البلوغ</w:t>
      </w:r>
      <w:r>
        <w:rPr>
          <w:rFonts w:hint="cs"/>
          <w:rtl/>
        </w:rPr>
        <w:t xml:space="preserve"> : هو : </w:t>
      </w:r>
      <w:r>
        <w:rPr>
          <w:rFonts w:hint="eastAsia"/>
          <w:rtl/>
        </w:rPr>
        <w:t>«</w:t>
      </w:r>
      <w:r>
        <w:rPr>
          <w:rFonts w:hint="cs"/>
          <w:rtl/>
        </w:rPr>
        <w:t>أن يكون لمنْ زُوِّجَتْ صغيرة خيار الإبقاء على النكاح، أو فسخه عند بلوغها</w:t>
      </w:r>
      <w:r>
        <w:rPr>
          <w:rFonts w:hint="eastAsia"/>
          <w:rtl/>
        </w:rPr>
        <w:t>»</w:t>
      </w:r>
      <w:r>
        <w:rPr>
          <w:rFonts w:hint="cs"/>
          <w:rtl/>
        </w:rPr>
        <w:t>. قاله صاحب معجم لغة الفقهاء، ص180.</w:t>
      </w:r>
    </w:p>
    <w:p w:rsidR="00035BE3" w:rsidRDefault="00035BE3" w:rsidP="00F0471F">
      <w:pPr>
        <w:pStyle w:val="a6"/>
        <w:ind w:left="422" w:firstLine="0"/>
        <w:rPr>
          <w:rtl/>
        </w:rPr>
      </w:pPr>
      <w:r>
        <w:rPr>
          <w:rFonts w:hint="cs"/>
          <w:rtl/>
        </w:rPr>
        <w:t>وخيار البلوغ يذكره الحنفية عند حديثهم عن فُرُقِ النكاح، ويعدّونه من الفرق التي تحتاج إلى تفريق القاضي. وهو محلّ خلاف بينهم :</w:t>
      </w:r>
    </w:p>
    <w:p w:rsidR="00035BE3" w:rsidRPr="006D2736" w:rsidRDefault="00035BE3" w:rsidP="00F0471F">
      <w:pPr>
        <w:pStyle w:val="a6"/>
        <w:ind w:left="-32" w:firstLine="454"/>
        <w:rPr>
          <w:spacing w:val="-2"/>
          <w:sz w:val="27"/>
          <w:szCs w:val="27"/>
          <w:rtl/>
        </w:rPr>
      </w:pPr>
      <w:r w:rsidRPr="006D2736">
        <w:rPr>
          <w:spacing w:val="-2"/>
          <w:sz w:val="27"/>
          <w:szCs w:val="27"/>
          <w:rtl/>
        </w:rPr>
        <w:t>•</w:t>
      </w:r>
      <w:r w:rsidRPr="006D2736">
        <w:rPr>
          <w:rFonts w:hint="cs"/>
          <w:spacing w:val="-2"/>
          <w:sz w:val="27"/>
          <w:szCs w:val="27"/>
          <w:rtl/>
        </w:rPr>
        <w:t xml:space="preserve"> فقد أثبته الإمام أبو حنيفة ومحمد، وجعلاه حقًّا للزوجين الصغيرين عند بلوغهما إذا زوجهما غير الأب أو الجد.</w:t>
      </w:r>
    </w:p>
    <w:p w:rsidR="00035BE3" w:rsidRDefault="00035BE3" w:rsidP="00F0471F">
      <w:pPr>
        <w:pStyle w:val="a6"/>
        <w:ind w:left="-32" w:firstLine="454"/>
        <w:rPr>
          <w:rtl/>
        </w:rPr>
      </w:pPr>
      <w:r>
        <w:rPr>
          <w:rtl/>
        </w:rPr>
        <w:t>•</w:t>
      </w:r>
      <w:r>
        <w:rPr>
          <w:rFonts w:hint="cs"/>
          <w:rtl/>
        </w:rPr>
        <w:t xml:space="preserve"> وأنكره أبو يوسف، سواء كان المزوِّج هو الأب أم الجد أم منْ دونهما من الأولياء.</w:t>
      </w:r>
    </w:p>
    <w:p w:rsidR="00035BE3" w:rsidRDefault="00035BE3" w:rsidP="00F0471F">
      <w:pPr>
        <w:pStyle w:val="a6"/>
        <w:ind w:left="422" w:firstLine="0"/>
        <w:rPr>
          <w:rtl/>
        </w:rPr>
      </w:pPr>
      <w:r>
        <w:rPr>
          <w:rFonts w:hint="cs"/>
          <w:rtl/>
        </w:rPr>
        <w:t>وقد عبّر عن ذلك المرغيناني في (البداية) بعبارة مختصرة قال فيها :</w:t>
      </w:r>
    </w:p>
    <w:p w:rsidR="00035BE3" w:rsidRDefault="00035BE3" w:rsidP="00F0471F">
      <w:pPr>
        <w:pStyle w:val="a6"/>
        <w:ind w:left="422" w:firstLine="0"/>
        <w:rPr>
          <w:rtl/>
        </w:rPr>
      </w:pPr>
      <w:r>
        <w:rPr>
          <w:rFonts w:hint="eastAsia"/>
          <w:rtl/>
        </w:rPr>
        <w:t>«</w:t>
      </w:r>
      <w:r>
        <w:rPr>
          <w:rFonts w:hint="cs"/>
          <w:rtl/>
        </w:rPr>
        <w:t>فإن زوّجهما الأب والجد فلا خيار لهما بعد بلوغهما، وإن زوَّجهما غير الأب والجدِّ فلكلّ واحد منهما الخيار إذا بلغ، إن شاء أقام على النكاح، وإن شاء فسخ</w:t>
      </w:r>
      <w:r>
        <w:rPr>
          <w:rFonts w:hint="eastAsia"/>
          <w:rtl/>
        </w:rPr>
        <w:t>»</w:t>
      </w:r>
      <w:r>
        <w:rPr>
          <w:rFonts w:hint="cs"/>
          <w:rtl/>
        </w:rPr>
        <w:t xml:space="preserve">، ثم ذكر </w:t>
      </w:r>
      <w:r>
        <w:rPr>
          <w:rtl/>
        </w:rPr>
        <w:t>–</w:t>
      </w:r>
      <w:r>
        <w:rPr>
          <w:rFonts w:hint="cs"/>
          <w:rtl/>
        </w:rPr>
        <w:t xml:space="preserve">في شرحها (وهو الهداية)- الخلاف فيه فقال : </w:t>
      </w:r>
      <w:r>
        <w:rPr>
          <w:rFonts w:hint="eastAsia"/>
          <w:rtl/>
        </w:rPr>
        <w:t>«</w:t>
      </w:r>
      <w:r>
        <w:rPr>
          <w:rFonts w:hint="cs"/>
          <w:rtl/>
        </w:rPr>
        <w:t xml:space="preserve">وهذا عند أبي حنيفة ومحمد </w:t>
      </w:r>
      <w:r>
        <w:rPr>
          <w:rtl/>
        </w:rPr>
        <w:t>–</w:t>
      </w:r>
      <w:r>
        <w:rPr>
          <w:rFonts w:hint="cs"/>
          <w:rtl/>
        </w:rPr>
        <w:t xml:space="preserve">رحمهما الله-، وقال أبو يوسف </w:t>
      </w:r>
      <w:r>
        <w:rPr>
          <w:rtl/>
        </w:rPr>
        <w:t>–</w:t>
      </w:r>
      <w:r>
        <w:rPr>
          <w:rFonts w:hint="cs"/>
          <w:rtl/>
        </w:rPr>
        <w:t>رحمه الله-: لا خيار لهما ...</w:t>
      </w:r>
      <w:r>
        <w:rPr>
          <w:rFonts w:hint="eastAsia"/>
          <w:rtl/>
        </w:rPr>
        <w:t>»</w:t>
      </w:r>
      <w:r>
        <w:rPr>
          <w:rFonts w:hint="cs"/>
          <w:rtl/>
        </w:rPr>
        <w:t xml:space="preserve">، ثم قال في البداية : </w:t>
      </w:r>
      <w:r>
        <w:rPr>
          <w:rFonts w:hint="eastAsia"/>
          <w:rtl/>
        </w:rPr>
        <w:t>«</w:t>
      </w:r>
      <w:r>
        <w:rPr>
          <w:rFonts w:hint="cs"/>
          <w:rtl/>
        </w:rPr>
        <w:t>ويشترط فيه القضاء ...</w:t>
      </w:r>
      <w:r>
        <w:rPr>
          <w:rFonts w:hint="eastAsia"/>
          <w:rtl/>
        </w:rPr>
        <w:t>»</w:t>
      </w:r>
      <w:r>
        <w:rPr>
          <w:rFonts w:hint="cs"/>
          <w:rtl/>
        </w:rPr>
        <w:t>.</w:t>
      </w:r>
    </w:p>
    <w:p w:rsidR="00035BE3" w:rsidRDefault="00035BE3" w:rsidP="00F0471F">
      <w:pPr>
        <w:pStyle w:val="a6"/>
        <w:ind w:left="422" w:firstLine="0"/>
        <w:rPr>
          <w:rtl/>
        </w:rPr>
      </w:pPr>
      <w:r>
        <w:rPr>
          <w:rFonts w:hint="cs"/>
          <w:rtl/>
        </w:rPr>
        <w:t>البداية وشرحها : الهداية، 3/277-278؛ (وانظر : شرحيها : العناية وفتح القدير)؛ الدرر شرح الغرر، 1/337؛ الأشباه لابن نجيم، ص202؛ الدر المختار ورد المحتار، 4/173-175، 339.</w:t>
      </w:r>
    </w:p>
  </w:footnote>
  <w:footnote w:id="520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54079D">
        <w:rPr>
          <w:rFonts w:hint="cs"/>
          <w:spacing w:val="-4"/>
          <w:rtl/>
        </w:rPr>
        <w:t>مجامع الحقائق (الهامش)، ل36/ب؛ شرح العلائي لقواعد الخادمي، ل38/ب؛ منافع الدقائق، ص333.</w:t>
      </w:r>
    </w:p>
  </w:footnote>
  <w:footnote w:id="5203">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سبق توثيق كون خيار البلوغ يحتاج إلى القضاء في الهامش قبل السابق، أما كون الرجوع في الهبة يحتاج إلى القضاء فقد سبق توثيقه ص306.</w:t>
      </w:r>
    </w:p>
  </w:footnote>
  <w:footnote w:id="5204">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إلزام</w:t>
      </w:r>
      <w:r>
        <w:rPr>
          <w:rFonts w:hint="eastAsia"/>
          <w:rtl/>
        </w:rPr>
        <w:t>»</w:t>
      </w:r>
      <w:r>
        <w:rPr>
          <w:rFonts w:hint="cs"/>
          <w:rtl/>
        </w:rPr>
        <w:t>.</w:t>
      </w:r>
    </w:p>
  </w:footnote>
  <w:footnote w:id="5205">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عن</w:t>
      </w:r>
      <w:r>
        <w:rPr>
          <w:rFonts w:hint="eastAsia"/>
          <w:rtl/>
        </w:rPr>
        <w:t>»</w:t>
      </w:r>
      <w:r>
        <w:rPr>
          <w:rFonts w:hint="cs"/>
          <w:rtl/>
        </w:rPr>
        <w:t>.</w:t>
      </w:r>
    </w:p>
  </w:footnote>
  <w:footnote w:id="5206">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هذا التعليل في : الهداية والعناية، 3/278-279.</w:t>
      </w:r>
    </w:p>
  </w:footnote>
  <w:footnote w:id="5207">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لخيار</w:t>
      </w:r>
      <w:r>
        <w:rPr>
          <w:rFonts w:hint="eastAsia"/>
          <w:rtl/>
        </w:rPr>
        <w:t>»</w:t>
      </w:r>
      <w:r>
        <w:rPr>
          <w:rFonts w:hint="cs"/>
          <w:rtl/>
        </w:rPr>
        <w:t>.</w:t>
      </w:r>
    </w:p>
  </w:footnote>
  <w:footnote w:id="5208">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خيار العتق</w:t>
      </w:r>
      <w:r>
        <w:rPr>
          <w:rFonts w:hint="cs"/>
          <w:rtl/>
        </w:rPr>
        <w:t xml:space="preserve"> : هو : </w:t>
      </w:r>
      <w:r>
        <w:rPr>
          <w:rFonts w:hint="eastAsia"/>
          <w:rtl/>
        </w:rPr>
        <w:t>«</w:t>
      </w:r>
      <w:r>
        <w:rPr>
          <w:rFonts w:hint="cs"/>
          <w:rtl/>
        </w:rPr>
        <w:t>أن يكون للأمة المتزوجة عند إعتاقها الخيار، بين الإبقاء على النكاح أو فسخه</w:t>
      </w:r>
      <w:r>
        <w:rPr>
          <w:rFonts w:hint="eastAsia"/>
          <w:rtl/>
        </w:rPr>
        <w:t>»</w:t>
      </w:r>
      <w:r>
        <w:rPr>
          <w:rFonts w:hint="cs"/>
          <w:rtl/>
        </w:rPr>
        <w:t>. قاله صاحب معجم لغة الفقهاء، ص180؛ وانظر : رد المحتار، 4/190، 336.</w:t>
      </w:r>
    </w:p>
  </w:footnote>
  <w:footnote w:id="5209">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في كون خيار العتق لا يحتاج إلى القضاء إلى : الهداية والعناية وفتح القدير، 3/278-280؛ الدرر شرح الغرر، 1/337؛ الدر المختار ورد المحتار، 4/186، 190، 339.</w:t>
      </w:r>
    </w:p>
  </w:footnote>
  <w:footnote w:id="5210">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109/أ من (أ).</w:t>
      </w:r>
    </w:p>
  </w:footnote>
  <w:footnote w:id="5211">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79/ب من (جـ).</w:t>
      </w:r>
    </w:p>
  </w:footnote>
  <w:footnote w:id="5212">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لمنع</w:t>
      </w:r>
      <w:r>
        <w:rPr>
          <w:rFonts w:hint="eastAsia"/>
          <w:rtl/>
        </w:rPr>
        <w:t>»</w:t>
      </w:r>
      <w:r>
        <w:rPr>
          <w:rFonts w:hint="cs"/>
          <w:rtl/>
        </w:rPr>
        <w:t>.</w:t>
      </w:r>
    </w:p>
  </w:footnote>
  <w:footnote w:id="5213">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عند الحنفية : الطلاق معتبر </w:t>
      </w:r>
      <w:r>
        <w:rPr>
          <w:rtl/>
        </w:rPr>
        <w:t>–</w:t>
      </w:r>
      <w:r>
        <w:rPr>
          <w:rFonts w:hint="cs"/>
          <w:rtl/>
        </w:rPr>
        <w:t>من جهة عدد الطلقات - بحال النساء.</w:t>
      </w:r>
    </w:p>
    <w:p w:rsidR="00035BE3" w:rsidRDefault="00035BE3" w:rsidP="00F0471F">
      <w:pPr>
        <w:pStyle w:val="a6"/>
        <w:spacing w:line="450" w:lineRule="exact"/>
        <w:ind w:left="422" w:firstLine="0"/>
        <w:rPr>
          <w:rtl/>
        </w:rPr>
      </w:pPr>
      <w:r>
        <w:rPr>
          <w:rFonts w:hint="cs"/>
          <w:rtl/>
        </w:rPr>
        <w:t>وقد خالفهم الجمهور من المالكية والشافعية والحنابلة وذهبوا إلى أنَّ الطلاق معتبر بالرجال.</w:t>
      </w:r>
    </w:p>
    <w:p w:rsidR="00035BE3" w:rsidRDefault="00035BE3" w:rsidP="00F0471F">
      <w:pPr>
        <w:pStyle w:val="a6"/>
        <w:spacing w:line="450" w:lineRule="exact"/>
        <w:ind w:left="422" w:firstLine="0"/>
        <w:rPr>
          <w:rtl/>
        </w:rPr>
      </w:pPr>
      <w:r>
        <w:rPr>
          <w:rFonts w:hint="cs"/>
          <w:rtl/>
        </w:rPr>
        <w:t>انظر : الهداية والعناية وفتح القدير، 3/492؛ المغني لابن قدامة، 10/533؛ روضة الطالبين للنووي، 6/65؛ الشرح الصغير للدردير، 3/370.</w:t>
      </w:r>
    </w:p>
  </w:footnote>
  <w:footnote w:id="5214">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عتقت</w:t>
      </w:r>
      <w:r>
        <w:rPr>
          <w:rFonts w:hint="eastAsia"/>
          <w:rtl/>
        </w:rPr>
        <w:t>»</w:t>
      </w:r>
      <w:r>
        <w:rPr>
          <w:rFonts w:hint="cs"/>
          <w:rtl/>
        </w:rPr>
        <w:t>.</w:t>
      </w:r>
    </w:p>
  </w:footnote>
  <w:footnote w:id="5215">
    <w:p w:rsidR="00035BE3" w:rsidRDefault="00035BE3" w:rsidP="00F0471F">
      <w:pPr>
        <w:pStyle w:val="a8"/>
        <w:bidi/>
        <w:spacing w:line="45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65/ب من (د).</w:t>
      </w:r>
    </w:p>
  </w:footnote>
  <w:footnote w:id="521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3/280.</w:t>
      </w:r>
    </w:p>
  </w:footnote>
  <w:footnote w:id="521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المخيّرة</w:t>
      </w:r>
      <w:r>
        <w:rPr>
          <w:rFonts w:hint="cs"/>
          <w:rtl/>
        </w:rPr>
        <w:t xml:space="preserve"> : هي : </w:t>
      </w:r>
      <w:r>
        <w:rPr>
          <w:rFonts w:hint="eastAsia"/>
          <w:rtl/>
        </w:rPr>
        <w:t>«</w:t>
      </w:r>
      <w:r>
        <w:rPr>
          <w:rFonts w:hint="cs"/>
          <w:rtl/>
        </w:rPr>
        <w:t>التي خيّرها زوجها بين الطلاق والإمساك</w:t>
      </w:r>
      <w:r>
        <w:rPr>
          <w:rFonts w:hint="eastAsia"/>
          <w:rtl/>
        </w:rPr>
        <w:t>»</w:t>
      </w:r>
      <w:r>
        <w:rPr>
          <w:rFonts w:hint="cs"/>
          <w:rtl/>
        </w:rPr>
        <w:t>. قاله صاحب معجم لغة الفقهاء، ص386؛ وانظر : قواعد الفقه (الرسالة الرابعة : التعريفات الفقهية)، ص474.</w:t>
      </w:r>
    </w:p>
  </w:footnote>
  <w:footnote w:id="521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1/337.</w:t>
      </w:r>
    </w:p>
  </w:footnote>
  <w:footnote w:id="521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ويحصل</w:t>
      </w:r>
      <w:r>
        <w:rPr>
          <w:rFonts w:hint="eastAsia"/>
          <w:rtl/>
        </w:rPr>
        <w:t>»</w:t>
      </w:r>
      <w:r>
        <w:rPr>
          <w:rFonts w:hint="cs"/>
          <w:rtl/>
        </w:rPr>
        <w:t xml:space="preserve"> (بزيادة الواو)، وهي زيادة لا وجه لها.</w:t>
      </w:r>
    </w:p>
  </w:footnote>
  <w:footnote w:id="522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وقواعده :</w:t>
      </w:r>
    </w:p>
    <w:p w:rsidR="00035BE3" w:rsidRDefault="00035BE3" w:rsidP="00F0471F">
      <w:pPr>
        <w:pStyle w:val="a6"/>
        <w:ind w:left="422" w:firstLine="0"/>
        <w:rPr>
          <w:b/>
          <w:bCs/>
          <w:rtl/>
        </w:rPr>
      </w:pPr>
      <w:r>
        <w:rPr>
          <w:rFonts w:hint="cs"/>
          <w:b/>
          <w:bCs/>
          <w:rtl/>
        </w:rPr>
        <w:t>فمن كتب القواعد :</w:t>
      </w:r>
    </w:p>
    <w:p w:rsidR="00035BE3" w:rsidRDefault="00035BE3" w:rsidP="00F0471F">
      <w:pPr>
        <w:pStyle w:val="a6"/>
        <w:spacing w:line="228" w:lineRule="auto"/>
        <w:ind w:left="420" w:firstLine="0"/>
        <w:rPr>
          <w:spacing w:val="-4"/>
          <w:rtl/>
        </w:rPr>
      </w:pPr>
      <w:r>
        <w:rPr>
          <w:rFonts w:hint="cs"/>
          <w:spacing w:val="-4"/>
          <w:rtl/>
        </w:rPr>
        <w:t xml:space="preserve">الأشباه لابن نجيم، ص213؛ قواعد الفقه له أيضًا، ص192، قاعدة 254- ولفظه فيهما : </w:t>
      </w:r>
      <w:r>
        <w:rPr>
          <w:rFonts w:hint="eastAsia"/>
          <w:spacing w:val="-4"/>
          <w:rtl/>
        </w:rPr>
        <w:t>«</w:t>
      </w:r>
      <w:r>
        <w:rPr>
          <w:rFonts w:hint="cs"/>
          <w:spacing w:val="-4"/>
          <w:rtl/>
        </w:rPr>
        <w:t>الوصفُ في المعتاد معتبرٌ في الغائب لا في المعيّن</w:t>
      </w:r>
      <w:r>
        <w:rPr>
          <w:rFonts w:hint="eastAsia"/>
          <w:spacing w:val="-4"/>
          <w:rtl/>
        </w:rPr>
        <w:t>»</w:t>
      </w:r>
      <w:r>
        <w:rPr>
          <w:rFonts w:hint="cs"/>
          <w:spacing w:val="-4"/>
          <w:rtl/>
        </w:rPr>
        <w:t xml:space="preserve">-؛ مجامع الحقائق (الخاتمة)، ص47؛ شـرح العلائي لقواعد الـخادمي، ل34/ب؛ منافع الدقائق؛ ص333؛ مجلة الأحكام العدلية، مادة 65؛ شرحها لسليم رستم، 1/45؛ ولعلي حيدر، 1/57؛ وللأتاسي، 1/174؛ شرح قواعدها الفقهية للزرقا، ص331؛ قواعد الفقه للمجدّدي، ص137، قاعدة 389؛ المدخل الفقهي العام، 2/1007، فقرة 620- وأحال إلى فقرة 191/5-؛ القواعد والضوابط المستخلصة، ص489- وورد فيه لفظان هما : </w:t>
      </w:r>
      <w:r>
        <w:rPr>
          <w:rFonts w:hint="eastAsia"/>
          <w:spacing w:val="-4"/>
          <w:rtl/>
        </w:rPr>
        <w:t>«</w:t>
      </w:r>
      <w:r>
        <w:rPr>
          <w:rFonts w:hint="cs"/>
          <w:spacing w:val="-4"/>
          <w:rtl/>
        </w:rPr>
        <w:t>الصفة في الحاضر لغو</w:t>
      </w:r>
      <w:r>
        <w:rPr>
          <w:rFonts w:hint="eastAsia"/>
          <w:spacing w:val="-4"/>
          <w:rtl/>
        </w:rPr>
        <w:t>»</w:t>
      </w:r>
      <w:r>
        <w:rPr>
          <w:rFonts w:hint="cs"/>
          <w:spacing w:val="-4"/>
          <w:rtl/>
        </w:rPr>
        <w:t xml:space="preserve"> و</w:t>
      </w:r>
      <w:r>
        <w:rPr>
          <w:rFonts w:hint="eastAsia"/>
          <w:spacing w:val="-4"/>
          <w:rtl/>
        </w:rPr>
        <w:t>«</w:t>
      </w:r>
      <w:r>
        <w:rPr>
          <w:rFonts w:hint="cs"/>
          <w:spacing w:val="-4"/>
          <w:rtl/>
        </w:rPr>
        <w:t>الصفة في المعّرف لغو</w:t>
      </w:r>
      <w:r>
        <w:rPr>
          <w:rFonts w:hint="eastAsia"/>
          <w:spacing w:val="-4"/>
          <w:rtl/>
        </w:rPr>
        <w:t>»</w:t>
      </w:r>
      <w:r>
        <w:rPr>
          <w:rFonts w:hint="cs"/>
          <w:spacing w:val="-4"/>
          <w:rtl/>
        </w:rPr>
        <w:t>-؛ الوجيز، ص271؛ القواعد الكبرى لـ د. عبد الله العجلان، ص107؛ الـمدخل إلى القواعـد، ص138؛ القاعدة الكلية: إعمال الكلام أولى من إهماله، ص247؛ المبادئ الفقهية، ص40؛ القواعد الفقهية للدّعاس، ص68، قاعدة 49؛ ولِـ د. محمد الزحيلي، ص76.</w:t>
      </w:r>
    </w:p>
    <w:p w:rsidR="00035BE3" w:rsidRDefault="00035BE3" w:rsidP="00F0471F">
      <w:pPr>
        <w:pStyle w:val="a6"/>
        <w:spacing w:line="228" w:lineRule="auto"/>
        <w:ind w:left="420" w:firstLine="0"/>
        <w:rPr>
          <w:b/>
          <w:bCs/>
          <w:rtl/>
        </w:rPr>
      </w:pPr>
      <w:r>
        <w:rPr>
          <w:rFonts w:hint="cs"/>
          <w:b/>
          <w:bCs/>
          <w:rtl/>
        </w:rPr>
        <w:t xml:space="preserve">ومن كتب الفقه : </w:t>
      </w:r>
    </w:p>
    <w:p w:rsidR="00035BE3" w:rsidRDefault="00035BE3" w:rsidP="00F0471F">
      <w:pPr>
        <w:pStyle w:val="a6"/>
        <w:spacing w:line="228" w:lineRule="auto"/>
        <w:ind w:left="420" w:firstLine="0"/>
        <w:rPr>
          <w:rtl/>
        </w:rPr>
      </w:pPr>
      <w:r>
        <w:rPr>
          <w:rFonts w:hint="cs"/>
          <w:rtl/>
        </w:rPr>
        <w:t>بدائع الصنائع، 3/69؛ الهداية والعناية وفتح القدير، 5/98، 100، 153؛ الدّرر شرح الغرر، 2/45، 57؛ البحر الرائق، 4/325.</w:t>
      </w:r>
    </w:p>
  </w:footnote>
  <w:footnote w:id="5221">
    <w:p w:rsidR="00035BE3" w:rsidRPr="002745D7" w:rsidRDefault="00035BE3" w:rsidP="00F0471F">
      <w:pPr>
        <w:pStyle w:val="a8"/>
        <w:bidi/>
        <w:spacing w:line="228" w:lineRule="auto"/>
        <w:ind w:left="420" w:right="0"/>
        <w:rPr>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2745D7">
        <w:rPr>
          <w:rFonts w:hint="cs"/>
          <w:rtl/>
        </w:rPr>
        <w:t xml:space="preserve">الدرر شرح الغرر، 2/45- مع اختلاف في بداية العبارة، حيث جاء في الدّرر: </w:t>
      </w:r>
      <w:r w:rsidRPr="002745D7">
        <w:rPr>
          <w:rFonts w:hint="eastAsia"/>
          <w:rtl/>
        </w:rPr>
        <w:t>«</w:t>
      </w:r>
      <w:r w:rsidRPr="002745D7">
        <w:rPr>
          <w:rFonts w:hint="cs"/>
          <w:rtl/>
        </w:rPr>
        <w:t>مثل: لا يكلّم هذا الشاب، فكلمه شيـخًا: يحنث ...</w:t>
      </w:r>
      <w:r w:rsidRPr="002745D7">
        <w:rPr>
          <w:rFonts w:hint="eastAsia"/>
          <w:rtl/>
        </w:rPr>
        <w:t>»</w:t>
      </w:r>
      <w:r w:rsidRPr="002745D7">
        <w:rPr>
          <w:rFonts w:hint="cs"/>
          <w:rtl/>
        </w:rPr>
        <w:t>؛ وانظر منه 2/50، 57؛ وانظر أيضًا : الهداية والعناية وفتح القدير، 5/118، 153؛ مجامع الحقائق (الهامش)، ل36/ب؛ شرح العلائي لقواعد الخادمي، ل34/ب؛ منافع الدقائق، ص333.</w:t>
      </w:r>
    </w:p>
  </w:footnote>
  <w:footnote w:id="5222">
    <w:p w:rsidR="00035BE3" w:rsidRDefault="00035BE3" w:rsidP="00F0471F">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بعد أن صار الشَّاب شيخًا كبيرًا في السّن.</w:t>
      </w:r>
    </w:p>
  </w:footnote>
  <w:footnote w:id="5223">
    <w:p w:rsidR="00035BE3" w:rsidRDefault="00035BE3" w:rsidP="00F0471F">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مجامع الحقائق (الهامش)، ل36/ب؛ وانظر شرح العلائي لقواعد الخادمي، ل34/ب؛ منافع الدقائق، ص333.</w:t>
      </w:r>
    </w:p>
  </w:footnote>
  <w:footnote w:id="522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69/أ من (ب).</w:t>
      </w:r>
    </w:p>
  </w:footnote>
  <w:footnote w:id="522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فأكل</w:t>
      </w:r>
      <w:r>
        <w:rPr>
          <w:rFonts w:hint="eastAsia"/>
          <w:rtl/>
        </w:rPr>
        <w:t>»</w:t>
      </w:r>
      <w:r>
        <w:rPr>
          <w:rFonts w:hint="cs"/>
          <w:rtl/>
        </w:rPr>
        <w:t>. والصواب ما تمَّ إثباته من (ب).</w:t>
      </w:r>
    </w:p>
  </w:footnote>
  <w:footnote w:id="5226">
    <w:p w:rsidR="00035BE3" w:rsidRDefault="00035BE3" w:rsidP="00F0471F">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b/>
          <w:bCs/>
          <w:spacing w:val="8"/>
          <w:rtl/>
        </w:rPr>
        <w:t>الشيراز في اللغة</w:t>
      </w:r>
      <w:r>
        <w:rPr>
          <w:rFonts w:hint="cs"/>
          <w:spacing w:val="8"/>
          <w:rtl/>
        </w:rPr>
        <w:t xml:space="preserve"> : </w:t>
      </w:r>
      <w:r>
        <w:rPr>
          <w:rFonts w:hint="eastAsia"/>
          <w:spacing w:val="8"/>
          <w:rtl/>
        </w:rPr>
        <w:t>«</w:t>
      </w:r>
      <w:r>
        <w:rPr>
          <w:rFonts w:hint="cs"/>
          <w:spacing w:val="8"/>
          <w:rtl/>
        </w:rPr>
        <w:t>اللبن الرائب المستخرج ماؤه</w:t>
      </w:r>
      <w:r>
        <w:rPr>
          <w:rFonts w:hint="eastAsia"/>
          <w:spacing w:val="8"/>
          <w:rtl/>
        </w:rPr>
        <w:t>»</w:t>
      </w:r>
      <w:r>
        <w:rPr>
          <w:rFonts w:hint="cs"/>
          <w:spacing w:val="8"/>
          <w:rtl/>
        </w:rPr>
        <w:t xml:space="preserve">. قاله صاحب القاموس المحيط، مادة </w:t>
      </w:r>
      <w:r>
        <w:rPr>
          <w:rFonts w:hint="eastAsia"/>
          <w:spacing w:val="8"/>
          <w:rtl/>
        </w:rPr>
        <w:t>«</w:t>
      </w:r>
      <w:r>
        <w:rPr>
          <w:rFonts w:hint="cs"/>
          <w:spacing w:val="8"/>
          <w:rtl/>
        </w:rPr>
        <w:t>شرز</w:t>
      </w:r>
      <w:r>
        <w:rPr>
          <w:rFonts w:hint="eastAsia"/>
          <w:spacing w:val="8"/>
          <w:rtl/>
        </w:rPr>
        <w:t>»</w:t>
      </w:r>
      <w:r>
        <w:rPr>
          <w:rFonts w:hint="cs"/>
          <w:spacing w:val="8"/>
          <w:rtl/>
        </w:rPr>
        <w:t>، ص660؛ وانظر: العناية وفتح القدير، 5/118؛ البحر الرائق؛ 4/45؛ معجم المصطلحات والألفاظ الفقهية، 2/350.</w:t>
      </w:r>
    </w:p>
  </w:footnote>
  <w:footnote w:id="522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الجامع الصغير، ص258؛ الهداية والعناية وفتح القدير، 5/118؛ كنز الدقائق وشرحه : البحر الرائق، 4/345؛ الدرر شرح الغرر، 2/50.</w:t>
      </w:r>
    </w:p>
  </w:footnote>
  <w:footnote w:id="522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109/ب من (أ).</w:t>
      </w:r>
    </w:p>
  </w:footnote>
  <w:footnote w:id="522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غير معتبر</w:t>
      </w:r>
      <w:r>
        <w:rPr>
          <w:rFonts w:hint="eastAsia"/>
          <w:rtl/>
        </w:rPr>
        <w:t>»</w:t>
      </w:r>
      <w:r>
        <w:rPr>
          <w:rFonts w:hint="cs"/>
          <w:rtl/>
        </w:rPr>
        <w:t xml:space="preserve"> : ساقطة من (جـ).</w:t>
      </w:r>
    </w:p>
  </w:footnote>
  <w:footnote w:id="523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وممن أشارإلى النوعين المذكورين أصحاب الكتب الآتية : الهداية والعناية وفتح القدير، 5/118؛ الدّرر شرح الغرر، 2/50؛ البحر الرائق، 4/345؛ النافع الكبير، ص258. </w:t>
      </w:r>
    </w:p>
  </w:footnote>
  <w:footnote w:id="523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أن وصف الحاضر بأنه شـاب أو صـبي ، كل واحـد من هـذين الوصفـين وصـف داعٍ إلى اليمين ...</w:t>
      </w:r>
    </w:p>
  </w:footnote>
  <w:footnote w:id="523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وفتح القدير، 5/118، 119.</w:t>
      </w:r>
    </w:p>
  </w:footnote>
  <w:footnote w:id="5233">
    <w:p w:rsidR="00035BE3" w:rsidRDefault="00035BE3" w:rsidP="00F0471F">
      <w:pPr>
        <w:pStyle w:val="a8"/>
        <w:bidi/>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في (أ) و(ب) : </w:t>
      </w:r>
      <w:r>
        <w:rPr>
          <w:rFonts w:hint="eastAsia"/>
          <w:spacing w:val="10"/>
          <w:rtl/>
        </w:rPr>
        <w:t>«</w:t>
      </w:r>
      <w:r>
        <w:rPr>
          <w:rFonts w:hint="cs"/>
          <w:spacing w:val="10"/>
          <w:rtl/>
        </w:rPr>
        <w:t>لأن</w:t>
      </w:r>
      <w:r>
        <w:rPr>
          <w:rFonts w:hint="eastAsia"/>
          <w:spacing w:val="10"/>
          <w:rtl/>
        </w:rPr>
        <w:t>»</w:t>
      </w:r>
      <w:r>
        <w:rPr>
          <w:rFonts w:hint="cs"/>
          <w:spacing w:val="10"/>
          <w:rtl/>
        </w:rPr>
        <w:t xml:space="preserve">، وفي (د) : </w:t>
      </w:r>
      <w:r>
        <w:rPr>
          <w:rFonts w:hint="eastAsia"/>
          <w:spacing w:val="10"/>
          <w:rtl/>
        </w:rPr>
        <w:t>«</w:t>
      </w:r>
      <w:r>
        <w:rPr>
          <w:rFonts w:hint="cs"/>
          <w:spacing w:val="10"/>
          <w:rtl/>
        </w:rPr>
        <w:t>لاما</w:t>
      </w:r>
      <w:r>
        <w:rPr>
          <w:rFonts w:hint="eastAsia"/>
          <w:spacing w:val="10"/>
          <w:rtl/>
        </w:rPr>
        <w:t>»</w:t>
      </w:r>
      <w:r>
        <w:rPr>
          <w:rFonts w:hint="cs"/>
          <w:spacing w:val="10"/>
          <w:rtl/>
        </w:rPr>
        <w:t>. والصحيح ما تمَّ إثباته من (جـ) و(هـ) و(و)، وهو الموافق للدّرر.</w:t>
      </w:r>
    </w:p>
  </w:footnote>
  <w:footnote w:id="523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أمرتا</w:t>
      </w:r>
      <w:r>
        <w:rPr>
          <w:rFonts w:hint="eastAsia"/>
          <w:rtl/>
        </w:rPr>
        <w:t>»</w:t>
      </w:r>
      <w:r>
        <w:rPr>
          <w:rFonts w:hint="cs"/>
          <w:rtl/>
        </w:rPr>
        <w:t>.</w:t>
      </w:r>
    </w:p>
  </w:footnote>
  <w:footnote w:id="523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بأخلاف</w:t>
      </w:r>
      <w:r>
        <w:rPr>
          <w:rFonts w:hint="eastAsia"/>
          <w:rtl/>
        </w:rPr>
        <w:t>»</w:t>
      </w:r>
      <w:r>
        <w:rPr>
          <w:rFonts w:hint="cs"/>
          <w:rtl/>
        </w:rPr>
        <w:t>.</w:t>
      </w:r>
    </w:p>
  </w:footnote>
  <w:footnote w:id="523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2/50، إلا أنه جاء في آخر الدرر : </w:t>
      </w:r>
      <w:r>
        <w:rPr>
          <w:rFonts w:hint="eastAsia"/>
          <w:rtl/>
        </w:rPr>
        <w:t>«</w:t>
      </w:r>
      <w:r>
        <w:rPr>
          <w:rFonts w:hint="cs"/>
          <w:rtl/>
        </w:rPr>
        <w:t xml:space="preserve">... </w:t>
      </w:r>
      <w:r>
        <w:rPr>
          <w:rFonts w:hint="cs"/>
          <w:b/>
          <w:bCs/>
          <w:rtl/>
        </w:rPr>
        <w:t>ومداراة</w:t>
      </w:r>
      <w:r>
        <w:rPr>
          <w:rFonts w:hint="cs"/>
          <w:rtl/>
        </w:rPr>
        <w:t xml:space="preserve"> الصبيان</w:t>
      </w:r>
      <w:r>
        <w:rPr>
          <w:rFonts w:hint="eastAsia"/>
          <w:rtl/>
        </w:rPr>
        <w:t>»</w:t>
      </w:r>
      <w:r>
        <w:rPr>
          <w:rFonts w:hint="cs"/>
          <w:rtl/>
        </w:rPr>
        <w:t>.</w:t>
      </w:r>
    </w:p>
  </w:footnote>
  <w:footnote w:id="5237">
    <w:p w:rsidR="00035BE3" w:rsidRPr="008E19B7" w:rsidRDefault="00035BE3" w:rsidP="00F0471F">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sidRPr="008E19B7">
        <w:rPr>
          <w:rFonts w:hint="cs"/>
          <w:b/>
          <w:bCs/>
          <w:spacing w:val="-2"/>
          <w:rtl/>
        </w:rPr>
        <w:t>عرضية</w:t>
      </w:r>
      <w:r w:rsidRPr="008E19B7">
        <w:rPr>
          <w:rFonts w:hint="cs"/>
          <w:spacing w:val="-2"/>
          <w:rtl/>
        </w:rPr>
        <w:t xml:space="preserve">: مؤنث (عرضي)، والعرضي من مصطلحات المناطقة، </w:t>
      </w:r>
      <w:r w:rsidRPr="008E19B7">
        <w:rPr>
          <w:rFonts w:hint="eastAsia"/>
          <w:spacing w:val="-2"/>
          <w:rtl/>
        </w:rPr>
        <w:t>«</w:t>
      </w:r>
      <w:r w:rsidRPr="008E19B7">
        <w:rPr>
          <w:rFonts w:hint="cs"/>
          <w:spacing w:val="-2"/>
          <w:rtl/>
        </w:rPr>
        <w:t>ويعرِّفون العرضي بالخارج عن الماهية</w:t>
      </w:r>
      <w:r w:rsidRPr="008E19B7">
        <w:rPr>
          <w:rFonts w:hint="eastAsia"/>
          <w:spacing w:val="-2"/>
          <w:rtl/>
        </w:rPr>
        <w:t>»</w:t>
      </w:r>
      <w:r w:rsidRPr="008E19B7">
        <w:rPr>
          <w:rFonts w:hint="cs"/>
          <w:spacing w:val="-2"/>
          <w:rtl/>
        </w:rPr>
        <w:t>.</w:t>
      </w:r>
    </w:p>
    <w:p w:rsidR="00035BE3" w:rsidRDefault="00035BE3" w:rsidP="00F0471F">
      <w:pPr>
        <w:pStyle w:val="a6"/>
        <w:ind w:left="422" w:firstLine="0"/>
        <w:rPr>
          <w:rtl/>
        </w:rPr>
      </w:pPr>
      <w:r>
        <w:rPr>
          <w:rFonts w:hint="cs"/>
          <w:rtl/>
        </w:rPr>
        <w:t xml:space="preserve">أو </w:t>
      </w:r>
      <w:r>
        <w:rPr>
          <w:rFonts w:hint="eastAsia"/>
          <w:rtl/>
        </w:rPr>
        <w:t>«</w:t>
      </w:r>
      <w:r>
        <w:rPr>
          <w:rFonts w:hint="cs"/>
          <w:rtl/>
        </w:rPr>
        <w:t>الموجود الذي يُحتاج في وجوده إلى موضع (أي : محل) يقوم به</w:t>
      </w:r>
      <w:r>
        <w:rPr>
          <w:rFonts w:hint="eastAsia"/>
          <w:rtl/>
        </w:rPr>
        <w:t>»</w:t>
      </w:r>
      <w:r>
        <w:rPr>
          <w:rFonts w:hint="cs"/>
          <w:rtl/>
        </w:rPr>
        <w:t>.</w:t>
      </w:r>
    </w:p>
    <w:p w:rsidR="00035BE3" w:rsidRDefault="00035BE3" w:rsidP="00F0471F">
      <w:pPr>
        <w:pStyle w:val="a6"/>
        <w:ind w:left="422" w:firstLine="0"/>
        <w:rPr>
          <w:rtl/>
        </w:rPr>
      </w:pPr>
      <w:r>
        <w:rPr>
          <w:rFonts w:hint="cs"/>
          <w:rtl/>
        </w:rPr>
        <w:t xml:space="preserve">فالصفات أو </w:t>
      </w:r>
      <w:r>
        <w:rPr>
          <w:rFonts w:hint="eastAsia"/>
          <w:rtl/>
        </w:rPr>
        <w:t>«</w:t>
      </w:r>
      <w:r>
        <w:rPr>
          <w:rFonts w:hint="cs"/>
          <w:rtl/>
        </w:rPr>
        <w:t>العناصر العرضية هي : ما لا يدخل في حقيقة الشيء، ولكنه من صفاته العرضية، سواء كانت أعراضًا ملازمة أو مفارقة. كالمشي بالنسبة إلى الحيوان، فإنه من الصفات العرضية للحيوان، وكالضحك بالنسبة إلى الإنسان، فإنه من صفاته العرضية على ما يقولون</w:t>
      </w:r>
      <w:r>
        <w:rPr>
          <w:rFonts w:hint="eastAsia"/>
          <w:rtl/>
        </w:rPr>
        <w:t>»</w:t>
      </w:r>
      <w:r>
        <w:rPr>
          <w:rFonts w:hint="cs"/>
          <w:rtl/>
        </w:rPr>
        <w:t>.</w:t>
      </w:r>
    </w:p>
    <w:p w:rsidR="00035BE3" w:rsidRDefault="00035BE3" w:rsidP="00F0471F">
      <w:pPr>
        <w:pStyle w:val="a6"/>
        <w:ind w:left="422" w:firstLine="0"/>
        <w:rPr>
          <w:rtl/>
        </w:rPr>
      </w:pPr>
      <w:r>
        <w:rPr>
          <w:rFonts w:hint="cs"/>
          <w:rtl/>
        </w:rPr>
        <w:t xml:space="preserve">ولتوثيق ما سبق : فإن النصوص المذكورة منقولة </w:t>
      </w:r>
      <w:r>
        <w:rPr>
          <w:rtl/>
        </w:rPr>
        <w:t>–</w:t>
      </w:r>
      <w:r>
        <w:rPr>
          <w:rFonts w:hint="cs"/>
          <w:rtl/>
        </w:rPr>
        <w:t xml:space="preserve"> وفق ترتيبها </w:t>
      </w:r>
      <w:r>
        <w:rPr>
          <w:rtl/>
        </w:rPr>
        <w:t>–</w:t>
      </w:r>
      <w:r>
        <w:rPr>
          <w:rFonts w:hint="cs"/>
          <w:rtl/>
        </w:rPr>
        <w:t xml:space="preserve"> من المصادر الآتية :</w:t>
      </w:r>
    </w:p>
    <w:p w:rsidR="00035BE3" w:rsidRDefault="00035BE3" w:rsidP="00F0471F">
      <w:pPr>
        <w:pStyle w:val="a6"/>
        <w:ind w:left="422" w:firstLine="0"/>
        <w:rPr>
          <w:rtl/>
        </w:rPr>
      </w:pPr>
      <w:r>
        <w:rPr>
          <w:rFonts w:hint="cs"/>
          <w:rtl/>
        </w:rPr>
        <w:t>حاشية ابن سعيد على شرح الخبيصي للتهذيب (الموسومة بتشجير التذهيب لكتاب التهذيب)، ص112؛ التعريفات، ص192، فقرة 962؛ ضوابط المعرفة، ص40.</w:t>
      </w:r>
    </w:p>
    <w:p w:rsidR="00035BE3" w:rsidRDefault="00035BE3" w:rsidP="00F0471F">
      <w:pPr>
        <w:pStyle w:val="a6"/>
        <w:ind w:left="422" w:firstLine="0"/>
        <w:rPr>
          <w:rtl/>
        </w:rPr>
      </w:pPr>
      <w:r>
        <w:rPr>
          <w:rFonts w:hint="cs"/>
          <w:rtl/>
        </w:rPr>
        <w:t xml:space="preserve">وللتوسع انظر : كتاب الحدود لابن فورك، ص88؛  الرسالة الشمسية وشرحها : تحرير القواعد المنطقية للقطب وحاشية الشرح للجرجاني، ص56؛ وتسهيل الشرح المذكور المسمى بتيسير القواعد المنطقية لِـ أ. د. محمد سالم، ص65؛ التهذيب للتفتازاني وشرح الخبيصى له وحاشية العطار على الشرح، ص112-113؛ السّلم وشروحه: شرح الأخضري، ص7؛ وإيضاح المبهم، ص26-27؛ </w:t>
      </w:r>
      <w:r w:rsidRPr="00704BAE">
        <w:rPr>
          <w:rFonts w:hint="cs"/>
          <w:spacing w:val="-4"/>
          <w:rtl/>
        </w:rPr>
        <w:t>وشرح الملوي وحاشية هذا الشرح للصبان، ص65-66، 70؛ كشاف اصطلاحات الفنون، 3/249.</w:t>
      </w:r>
    </w:p>
  </w:footnote>
  <w:footnote w:id="523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الجوهر</w:t>
      </w:r>
      <w:r>
        <w:rPr>
          <w:rFonts w:hint="cs"/>
          <w:rtl/>
        </w:rPr>
        <w:t>: من مصطلحات المناطقة أيضًا، وممّا جاء في تعريفه :</w:t>
      </w:r>
    </w:p>
    <w:p w:rsidR="00035BE3" w:rsidRDefault="00035BE3" w:rsidP="00F0471F">
      <w:pPr>
        <w:pStyle w:val="a6"/>
        <w:ind w:left="422" w:firstLine="0"/>
        <w:rPr>
          <w:rtl/>
        </w:rPr>
      </w:pPr>
      <w:r>
        <w:rPr>
          <w:rtl/>
        </w:rPr>
        <w:t>•</w:t>
      </w:r>
      <w:r>
        <w:rPr>
          <w:rFonts w:hint="cs"/>
          <w:rtl/>
        </w:rPr>
        <w:t xml:space="preserve"> تعريف الصبّان له بأنه : </w:t>
      </w:r>
      <w:r>
        <w:rPr>
          <w:rFonts w:hint="eastAsia"/>
          <w:rtl/>
        </w:rPr>
        <w:t>«</w:t>
      </w:r>
      <w:r>
        <w:rPr>
          <w:rFonts w:hint="cs"/>
          <w:rtl/>
        </w:rPr>
        <w:t>ما قام بنفسه. سواء كان بسيطًا لا يتجزّأ أصلاً (وهو الجوهر الفرد)، أو مركبًا (وهو الجسم الطبيعي).</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32" w:firstLine="454"/>
        <w:rPr>
          <w:rtl/>
        </w:rPr>
      </w:pPr>
      <w:r>
        <w:rPr>
          <w:rtl/>
        </w:rPr>
        <w:t>•</w:t>
      </w:r>
      <w:r>
        <w:rPr>
          <w:rFonts w:hint="cs"/>
          <w:rtl/>
        </w:rPr>
        <w:t xml:space="preserve"> وتعريف التهانوي له بأنه : </w:t>
      </w:r>
      <w:r>
        <w:rPr>
          <w:rFonts w:hint="eastAsia"/>
          <w:rtl/>
        </w:rPr>
        <w:t>«</w:t>
      </w:r>
      <w:r>
        <w:rPr>
          <w:rFonts w:hint="cs"/>
          <w:rtl/>
        </w:rPr>
        <w:t>الموجود القائم بنفسه، حادثًا كان أو قديمًا</w:t>
      </w:r>
      <w:r>
        <w:rPr>
          <w:rFonts w:hint="eastAsia"/>
          <w:rtl/>
        </w:rPr>
        <w:t>»</w:t>
      </w:r>
      <w:r>
        <w:rPr>
          <w:rFonts w:hint="cs"/>
          <w:rtl/>
        </w:rPr>
        <w:t>.</w:t>
      </w:r>
    </w:p>
    <w:p w:rsidR="00035BE3" w:rsidRDefault="00035BE3" w:rsidP="00F0471F">
      <w:pPr>
        <w:pStyle w:val="a6"/>
        <w:spacing w:line="221" w:lineRule="auto"/>
        <w:ind w:left="420" w:firstLine="0"/>
        <w:rPr>
          <w:rtl/>
        </w:rPr>
      </w:pPr>
      <w:r>
        <w:rPr>
          <w:rFonts w:hint="cs"/>
          <w:rtl/>
        </w:rPr>
        <w:t>حاشية الصبان على شرح السلّم للملوي، ص71؛ كشّاف اصطلاحات الفنون، 1/275؛ وانظر : كتاب الحدود لابن فورك، ص86؛ مذّكرة المنطق لِـ أ.د. على فرغلي وصاحبه، ص17.</w:t>
      </w:r>
    </w:p>
  </w:footnote>
  <w:footnote w:id="5239">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و(د) : زيادة </w:t>
      </w:r>
      <w:r>
        <w:rPr>
          <w:rFonts w:hint="eastAsia"/>
          <w:rtl/>
        </w:rPr>
        <w:t>«</w:t>
      </w:r>
      <w:r>
        <w:rPr>
          <w:rFonts w:hint="cs"/>
          <w:rtl/>
        </w:rPr>
        <w:t>ما</w:t>
      </w:r>
      <w:r>
        <w:rPr>
          <w:rFonts w:hint="eastAsia"/>
          <w:rtl/>
        </w:rPr>
        <w:t>»</w:t>
      </w:r>
      <w:r>
        <w:rPr>
          <w:rFonts w:hint="cs"/>
          <w:rtl/>
        </w:rPr>
        <w:t>.</w:t>
      </w:r>
    </w:p>
  </w:footnote>
  <w:footnote w:id="5240">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أي : أنَّ معنى الوصف ليس منحصرًا في المعنى السابق؛ بل يتناوله ويتناول أيضًا جوهرًا قائمًا ...</w:t>
      </w:r>
    </w:p>
    <w:p w:rsidR="00035BE3" w:rsidRDefault="00035BE3" w:rsidP="00F0471F">
      <w:pPr>
        <w:pStyle w:val="a6"/>
        <w:spacing w:line="221" w:lineRule="auto"/>
        <w:ind w:left="420" w:firstLine="0"/>
        <w:rPr>
          <w:spacing w:val="-6"/>
          <w:rtl/>
        </w:rPr>
      </w:pPr>
      <w:r>
        <w:rPr>
          <w:rFonts w:hint="cs"/>
          <w:spacing w:val="-6"/>
          <w:rtl/>
        </w:rPr>
        <w:t xml:space="preserve">ويشهد لهذا كونه جاء في مصدر هذه العبارة (وهو الدرر) : </w:t>
      </w:r>
      <w:r>
        <w:rPr>
          <w:rFonts w:hint="eastAsia"/>
          <w:spacing w:val="-6"/>
          <w:rtl/>
        </w:rPr>
        <w:t>«</w:t>
      </w:r>
      <w:r>
        <w:rPr>
          <w:rFonts w:hint="cs"/>
          <w:spacing w:val="-6"/>
          <w:rtl/>
        </w:rPr>
        <w:t>... بل ما يتناولها ويتناول جوهرًا ...</w:t>
      </w:r>
      <w:r>
        <w:rPr>
          <w:rFonts w:hint="eastAsia"/>
          <w:spacing w:val="-6"/>
          <w:rtl/>
        </w:rPr>
        <w:t>»</w:t>
      </w:r>
      <w:r>
        <w:rPr>
          <w:rFonts w:hint="cs"/>
          <w:spacing w:val="-6"/>
          <w:rtl/>
        </w:rPr>
        <w:t>.</w:t>
      </w:r>
    </w:p>
  </w:footnote>
  <w:footnote w:id="5241">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80/أ من (جـ)، مع تكرار </w:t>
      </w:r>
      <w:r>
        <w:rPr>
          <w:rFonts w:hint="eastAsia"/>
          <w:rtl/>
        </w:rPr>
        <w:t>«</w:t>
      </w:r>
      <w:r>
        <w:rPr>
          <w:rFonts w:hint="cs"/>
          <w:rtl/>
        </w:rPr>
        <w:t>كما</w:t>
      </w:r>
      <w:r>
        <w:rPr>
          <w:rFonts w:hint="eastAsia"/>
          <w:rtl/>
        </w:rPr>
        <w:t>»</w:t>
      </w:r>
      <w:r>
        <w:rPr>
          <w:rFonts w:hint="cs"/>
          <w:rtl/>
        </w:rPr>
        <w:t xml:space="preserve"> في بداية اللوحة التي تليها.</w:t>
      </w:r>
    </w:p>
  </w:footnote>
  <w:footnote w:id="5242">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ويعدّ</w:t>
      </w:r>
      <w:r>
        <w:rPr>
          <w:rFonts w:hint="eastAsia"/>
          <w:rtl/>
        </w:rPr>
        <w:t>»</w:t>
      </w:r>
      <w:r>
        <w:rPr>
          <w:rFonts w:hint="cs"/>
          <w:rtl/>
        </w:rPr>
        <w:t>.</w:t>
      </w:r>
    </w:p>
  </w:footnote>
  <w:footnote w:id="5243">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(الدرر) : </w:t>
      </w:r>
      <w:r>
        <w:rPr>
          <w:rFonts w:hint="eastAsia"/>
          <w:rtl/>
        </w:rPr>
        <w:t>«</w:t>
      </w:r>
      <w:r>
        <w:rPr>
          <w:rFonts w:hint="cs"/>
          <w:rtl/>
        </w:rPr>
        <w:t>انتقاضه</w:t>
      </w:r>
      <w:r>
        <w:rPr>
          <w:rFonts w:hint="eastAsia"/>
          <w:rtl/>
        </w:rPr>
        <w:t>»</w:t>
      </w:r>
      <w:r>
        <w:rPr>
          <w:rFonts w:hint="cs"/>
          <w:rtl/>
        </w:rPr>
        <w:t>. وهذا المناسب.</w:t>
      </w:r>
    </w:p>
  </w:footnote>
  <w:footnote w:id="5244">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2/45، مع الاختلاف المذكور، ويضاف إليه أن صاحب (الدّرر) قال في بداية العبارة: </w:t>
      </w:r>
      <w:r>
        <w:rPr>
          <w:rFonts w:hint="eastAsia"/>
          <w:rtl/>
        </w:rPr>
        <w:t>«</w:t>
      </w:r>
      <w:r>
        <w:rPr>
          <w:rFonts w:hint="cs"/>
          <w:rtl/>
        </w:rPr>
        <w:t>وتحقيقها : أن مراده بالوصف ما ليس صفة ...</w:t>
      </w:r>
      <w:r>
        <w:rPr>
          <w:rFonts w:hint="eastAsia"/>
          <w:rtl/>
        </w:rPr>
        <w:t>»</w:t>
      </w:r>
      <w:r>
        <w:rPr>
          <w:rFonts w:hint="cs"/>
          <w:rtl/>
        </w:rPr>
        <w:t>.</w:t>
      </w:r>
    </w:p>
    <w:p w:rsidR="00035BE3" w:rsidRPr="00911392" w:rsidRDefault="00035BE3" w:rsidP="00F0471F">
      <w:pPr>
        <w:pStyle w:val="a6"/>
        <w:spacing w:line="221" w:lineRule="auto"/>
        <w:ind w:left="420" w:firstLine="0"/>
        <w:rPr>
          <w:rtl/>
        </w:rPr>
      </w:pPr>
      <w:r w:rsidRPr="00911392">
        <w:rPr>
          <w:rFonts w:hint="cs"/>
          <w:rtl/>
        </w:rPr>
        <w:t xml:space="preserve">كما أن صاحب (الدّرر) بيّن معنى الوصف في موضع آخر بعبارة تزيد المعنى وضوحًا، حيث قال -2/148- </w:t>
      </w:r>
      <w:r w:rsidRPr="00911392">
        <w:rPr>
          <w:rFonts w:hint="eastAsia"/>
          <w:rtl/>
        </w:rPr>
        <w:t>«</w:t>
      </w:r>
      <w:r w:rsidRPr="00911392">
        <w:rPr>
          <w:rFonts w:hint="cs"/>
          <w:rtl/>
        </w:rPr>
        <w:t>... لأن الذرع وصف في الثوب، لا بمعنى كونه صفة عرضية له؛ بل هو في اصطلاح الفقهاء : ما يكون تابعًا للشيء غير منفصل عنه، إذا حصل فيه يزيده حسنًا، وإن كان في نفسه جوهرًا كذراع من ثوب ...</w:t>
      </w:r>
      <w:r w:rsidRPr="00911392">
        <w:rPr>
          <w:rFonts w:hint="eastAsia"/>
          <w:rtl/>
        </w:rPr>
        <w:t>»</w:t>
      </w:r>
      <w:r w:rsidRPr="00911392">
        <w:rPr>
          <w:rFonts w:hint="cs"/>
          <w:rtl/>
        </w:rPr>
        <w:t>.</w:t>
      </w:r>
    </w:p>
  </w:footnote>
  <w:footnote w:id="5245">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لعل المراد بهذا الشرح هو العناية </w:t>
      </w:r>
      <w:r>
        <w:rPr>
          <w:rtl/>
        </w:rPr>
        <w:t>–</w:t>
      </w:r>
      <w:r>
        <w:rPr>
          <w:rFonts w:hint="cs"/>
          <w:rtl/>
        </w:rPr>
        <w:t xml:space="preserve">6/272-273-، حيث جاء فيه : </w:t>
      </w:r>
      <w:r>
        <w:rPr>
          <w:rFonts w:hint="eastAsia"/>
          <w:rtl/>
        </w:rPr>
        <w:t>«</w:t>
      </w:r>
      <w:r>
        <w:rPr>
          <w:rFonts w:hint="cs"/>
          <w:rtl/>
        </w:rPr>
        <w:t>وجوابه موقوف على معرفة اصطلاح القوم في الأصل والوصف، واختلفت عباراتهم في ذلك :</w:t>
      </w:r>
    </w:p>
    <w:p w:rsidR="00035BE3" w:rsidRDefault="00035BE3" w:rsidP="00F0471F">
      <w:pPr>
        <w:pStyle w:val="a6"/>
        <w:spacing w:line="221" w:lineRule="auto"/>
        <w:ind w:left="420" w:firstLine="0"/>
        <w:rPr>
          <w:spacing w:val="-6"/>
          <w:sz w:val="28"/>
          <w:szCs w:val="28"/>
          <w:rtl/>
          <w:lang w:val="en-US"/>
        </w:rPr>
      </w:pPr>
      <w:r>
        <w:rPr>
          <w:rFonts w:hint="cs"/>
          <w:spacing w:val="-6"/>
          <w:sz w:val="28"/>
          <w:szCs w:val="28"/>
          <w:rtl/>
          <w:lang w:val="en-US"/>
        </w:rPr>
        <w:t>فقال بعضهم : ما تعيب بالتنقيص فالزيادة والنقصان فيه وصف، وما ليس كذلك فالزيادة والنقصان فيه أصل ...</w:t>
      </w:r>
      <w:r>
        <w:rPr>
          <w:rFonts w:hint="eastAsia"/>
          <w:spacing w:val="-6"/>
          <w:sz w:val="28"/>
          <w:szCs w:val="28"/>
          <w:rtl/>
          <w:lang w:val="en-US"/>
        </w:rPr>
        <w:t>»</w:t>
      </w:r>
      <w:r>
        <w:rPr>
          <w:rFonts w:hint="cs"/>
          <w:spacing w:val="-6"/>
          <w:sz w:val="28"/>
          <w:szCs w:val="28"/>
          <w:rtl/>
          <w:lang w:val="en-US"/>
        </w:rPr>
        <w:t>.</w:t>
      </w:r>
    </w:p>
    <w:p w:rsidR="00035BE3" w:rsidRDefault="00035BE3" w:rsidP="00F0471F">
      <w:pPr>
        <w:pStyle w:val="a6"/>
        <w:spacing w:line="221" w:lineRule="auto"/>
        <w:ind w:left="420" w:firstLine="0"/>
        <w:rPr>
          <w:rtl/>
        </w:rPr>
      </w:pPr>
      <w:r>
        <w:rPr>
          <w:rFonts w:hint="cs"/>
          <w:rtl/>
        </w:rPr>
        <w:t>وانظر : البحر الرائق، 5/313.</w:t>
      </w:r>
    </w:p>
    <w:p w:rsidR="00035BE3" w:rsidRDefault="00035BE3" w:rsidP="00F0471F">
      <w:pPr>
        <w:pStyle w:val="a6"/>
        <w:spacing w:line="221" w:lineRule="auto"/>
        <w:ind w:left="420" w:firstLine="0"/>
        <w:rPr>
          <w:spacing w:val="-2"/>
          <w:rtl/>
        </w:rPr>
      </w:pPr>
      <w:r>
        <w:rPr>
          <w:rFonts w:hint="cs"/>
          <w:spacing w:val="-2"/>
          <w:rtl/>
        </w:rPr>
        <w:t xml:space="preserve">وممّا تجدر الإشارة إليه أن ما قبل العبارة المعزوّة إلى بعض شروح (الهداية) وما بعدها مستفاد من الدرر، وقد جاء في الدرر عبارة أخرى مكان هذه العبارة، حيث جاء فيه : </w:t>
      </w:r>
      <w:r>
        <w:rPr>
          <w:rFonts w:hint="eastAsia"/>
          <w:spacing w:val="-2"/>
          <w:rtl/>
        </w:rPr>
        <w:t>«</w:t>
      </w:r>
      <w:r>
        <w:rPr>
          <w:rFonts w:hint="cs"/>
          <w:spacing w:val="-2"/>
          <w:rtl/>
        </w:rPr>
        <w:t xml:space="preserve">... ويورث انتقاصه عنه قبحًا له ونقصانًا؛ حتى فرّقوا بين الوصف والقدر </w:t>
      </w:r>
      <w:r>
        <w:rPr>
          <w:spacing w:val="-2"/>
          <w:rtl/>
        </w:rPr>
        <w:t>–</w:t>
      </w:r>
      <w:r>
        <w:rPr>
          <w:rFonts w:hint="cs"/>
          <w:spacing w:val="-2"/>
          <w:rtl/>
        </w:rPr>
        <w:t xml:space="preserve"> كما سيأتي في أوائل البيوع إن شاء الله [2/148]- بأن الأول: ما يورث تشقيصه ضررًا لأصله، والثاني : ما لا يورث ذلك. وجعلوا ما يساوي الذرع ...</w:t>
      </w:r>
      <w:r>
        <w:rPr>
          <w:rFonts w:hint="eastAsia"/>
          <w:spacing w:val="-2"/>
          <w:rtl/>
        </w:rPr>
        <w:t>»</w:t>
      </w:r>
      <w:r>
        <w:rPr>
          <w:rFonts w:hint="cs"/>
          <w:spacing w:val="-2"/>
          <w:rtl/>
        </w:rPr>
        <w:t>.</w:t>
      </w:r>
    </w:p>
  </w:footnote>
  <w:footnote w:id="524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الموزونات</w:t>
      </w:r>
      <w:r>
        <w:rPr>
          <w:rFonts w:hint="eastAsia"/>
          <w:rtl/>
        </w:rPr>
        <w:t>»</w:t>
      </w:r>
      <w:r>
        <w:rPr>
          <w:rFonts w:hint="cs"/>
          <w:rtl/>
        </w:rPr>
        <w:t xml:space="preserve">، وفي (جـ) : </w:t>
      </w:r>
      <w:r>
        <w:rPr>
          <w:rFonts w:hint="eastAsia"/>
          <w:rtl/>
        </w:rPr>
        <w:t>«</w:t>
      </w:r>
      <w:r>
        <w:rPr>
          <w:rFonts w:hint="cs"/>
          <w:rtl/>
        </w:rPr>
        <w:t>الزرع في المزروعات</w:t>
      </w:r>
      <w:r>
        <w:rPr>
          <w:rFonts w:hint="eastAsia"/>
          <w:rtl/>
        </w:rPr>
        <w:t>»</w:t>
      </w:r>
      <w:r>
        <w:rPr>
          <w:rFonts w:hint="cs"/>
          <w:rtl/>
        </w:rPr>
        <w:t>.</w:t>
      </w:r>
    </w:p>
  </w:footnote>
  <w:footnote w:id="5247">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2/45 </w:t>
      </w:r>
      <w:r>
        <w:rPr>
          <w:rtl/>
        </w:rPr>
        <w:t>–</w:t>
      </w:r>
      <w:r>
        <w:rPr>
          <w:rFonts w:hint="cs"/>
          <w:rtl/>
        </w:rPr>
        <w:t>مع اختلاف يسير في بداية العبارة، وقد سبقت الإشارة إليه-.</w:t>
      </w:r>
    </w:p>
  </w:footnote>
  <w:footnote w:id="5248">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المزروعات</w:t>
      </w:r>
      <w:r>
        <w:rPr>
          <w:rFonts w:hint="eastAsia"/>
          <w:rtl/>
        </w:rPr>
        <w:t>»</w:t>
      </w:r>
      <w:r>
        <w:rPr>
          <w:rFonts w:hint="cs"/>
          <w:rtl/>
        </w:rPr>
        <w:t>. والصحيح ما تمَّ إثباته من (د).</w:t>
      </w:r>
    </w:p>
  </w:footnote>
  <w:footnote w:id="5249">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w:t>
      </w:r>
      <w:r>
        <w:rPr>
          <w:rFonts w:hint="eastAsia"/>
          <w:rtl/>
        </w:rPr>
        <w:t>»</w:t>
      </w:r>
      <w:r>
        <w:rPr>
          <w:rFonts w:hint="cs"/>
          <w:rtl/>
        </w:rPr>
        <w:t xml:space="preserve"> : ساقطة من (جـ).</w:t>
      </w:r>
    </w:p>
  </w:footnote>
  <w:footnote w:id="5250">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الهداية والعناية، 6/372. وفي هذه العبارة إشارة إلى قاعدة سيفردها المؤلف بالحديث، عقب هذه القاعدة مباشرة.</w:t>
      </w:r>
    </w:p>
  </w:footnote>
  <w:footnote w:id="5251">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110/أ من (أ).</w:t>
      </w:r>
    </w:p>
  </w:footnote>
  <w:footnote w:id="5252">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ذرع</w:t>
      </w:r>
      <w:r>
        <w:rPr>
          <w:rFonts w:hint="eastAsia"/>
          <w:rtl/>
        </w:rPr>
        <w:t>»</w:t>
      </w:r>
      <w:r>
        <w:rPr>
          <w:rFonts w:hint="cs"/>
          <w:rtl/>
        </w:rPr>
        <w:t>. والصحيح ما تمَّ إثباته من (ب) و(د).</w:t>
      </w:r>
    </w:p>
  </w:footnote>
  <w:footnote w:id="5253">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كذا</w:t>
      </w:r>
      <w:r>
        <w:rPr>
          <w:rFonts w:hint="eastAsia"/>
          <w:rtl/>
        </w:rPr>
        <w:t>»</w:t>
      </w:r>
      <w:r>
        <w:rPr>
          <w:rFonts w:hint="cs"/>
          <w:rtl/>
        </w:rPr>
        <w:t>. والصواب ما تمَّ إثباته من (ب).</w:t>
      </w:r>
    </w:p>
  </w:footnote>
  <w:footnote w:id="5254">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66/أ من (د).</w:t>
      </w:r>
    </w:p>
  </w:footnote>
  <w:footnote w:id="5255">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يزاد</w:t>
      </w:r>
      <w:r>
        <w:rPr>
          <w:rFonts w:hint="eastAsia"/>
          <w:rtl/>
        </w:rPr>
        <w:t>»</w:t>
      </w:r>
      <w:r>
        <w:rPr>
          <w:rFonts w:hint="cs"/>
          <w:rtl/>
        </w:rPr>
        <w:t>.</w:t>
      </w:r>
    </w:p>
  </w:footnote>
  <w:footnote w:id="5256">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مقابل</w:t>
      </w:r>
      <w:r>
        <w:rPr>
          <w:rFonts w:hint="eastAsia"/>
          <w:rtl/>
        </w:rPr>
        <w:t>»</w:t>
      </w:r>
      <w:r>
        <w:rPr>
          <w:rFonts w:hint="cs"/>
          <w:rtl/>
        </w:rPr>
        <w:t>.</w:t>
      </w:r>
    </w:p>
  </w:footnote>
  <w:footnote w:id="5257">
    <w:p w:rsidR="00035BE3" w:rsidRDefault="00035BE3" w:rsidP="00F0471F">
      <w:pPr>
        <w:pStyle w:val="a8"/>
        <w:bidi/>
        <w:spacing w:line="500" w:lineRule="exact"/>
        <w:ind w:left="422" w:right="0"/>
        <w:rPr>
          <w:spacing w:val="10"/>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انظر : الهداية والعناية وفتح القدير، 6/271-272؛ الدرر شرح الغرر، 2/147-148. وممّا تجدر الإشارة إليه : أن صاحب (العناية) وصَفَ </w:t>
      </w:r>
      <w:r>
        <w:rPr>
          <w:rFonts w:hint="eastAsia"/>
          <w:spacing w:val="10"/>
          <w:rtl/>
        </w:rPr>
        <w:t>«</w:t>
      </w:r>
      <w:r>
        <w:rPr>
          <w:rFonts w:hint="cs"/>
          <w:spacing w:val="10"/>
          <w:rtl/>
        </w:rPr>
        <w:t>هذه المسألة [بأنها] من أشكل مسائل الفقه</w:t>
      </w:r>
      <w:r>
        <w:rPr>
          <w:rFonts w:hint="eastAsia"/>
          <w:spacing w:val="10"/>
          <w:rtl/>
        </w:rPr>
        <w:t>»</w:t>
      </w:r>
      <w:r>
        <w:rPr>
          <w:rFonts w:hint="cs"/>
          <w:spacing w:val="10"/>
          <w:rtl/>
        </w:rPr>
        <w:t>. كما أن صورة المسألة في هذه المصادر هي : أنه باع عشرة أذرع بعشرة دراهم، وليس بمائة درهم.</w:t>
      </w:r>
    </w:p>
  </w:footnote>
  <w:footnote w:id="5258">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2/148.</w:t>
      </w:r>
    </w:p>
  </w:footnote>
  <w:footnote w:id="525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وشرح الوقاية لصدر الشريعة : </w:t>
      </w:r>
      <w:r>
        <w:rPr>
          <w:rFonts w:hint="eastAsia"/>
          <w:rtl/>
        </w:rPr>
        <w:t>«</w:t>
      </w:r>
      <w:r>
        <w:rPr>
          <w:rFonts w:hint="cs"/>
          <w:rtl/>
        </w:rPr>
        <w:t>أو</w:t>
      </w:r>
      <w:r>
        <w:rPr>
          <w:rFonts w:hint="eastAsia"/>
          <w:rtl/>
        </w:rPr>
        <w:t>»</w:t>
      </w:r>
      <w:r>
        <w:rPr>
          <w:rFonts w:hint="cs"/>
          <w:rtl/>
        </w:rPr>
        <w:t xml:space="preserve"> (بزيادة الألف).</w:t>
      </w:r>
    </w:p>
  </w:footnote>
  <w:footnote w:id="526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ابن</w:t>
      </w:r>
      <w:r>
        <w:rPr>
          <w:rFonts w:hint="eastAsia"/>
          <w:rtl/>
        </w:rPr>
        <w:t>»</w:t>
      </w:r>
      <w:r>
        <w:rPr>
          <w:rFonts w:hint="cs"/>
          <w:rtl/>
        </w:rPr>
        <w:t>.</w:t>
      </w:r>
    </w:p>
  </w:footnote>
  <w:footnote w:id="526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69/ب من (ب).</w:t>
      </w:r>
    </w:p>
  </w:footnote>
  <w:footnote w:id="526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الوقاية لصدر الشريعة، 1/260؛ الدرر شرح الغرر، 2/45 </w:t>
      </w:r>
      <w:r>
        <w:rPr>
          <w:rtl/>
        </w:rPr>
        <w:t>–</w:t>
      </w:r>
      <w:r>
        <w:rPr>
          <w:rFonts w:hint="cs"/>
          <w:rtl/>
        </w:rPr>
        <w:t>مع الاختلاف اليسير الذي سبق بيانه-؛ وانظر من الدرر 2/50.</w:t>
      </w:r>
    </w:p>
  </w:footnote>
  <w:footnote w:id="5263">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زيادة </w:t>
      </w:r>
      <w:r>
        <w:rPr>
          <w:rFonts w:hint="eastAsia"/>
          <w:rtl/>
        </w:rPr>
        <w:t>«</w:t>
      </w:r>
      <w:r>
        <w:rPr>
          <w:rFonts w:hint="cs"/>
          <w:rtl/>
        </w:rPr>
        <w:t>لا</w:t>
      </w:r>
      <w:r>
        <w:rPr>
          <w:rFonts w:hint="eastAsia"/>
          <w:rtl/>
        </w:rPr>
        <w:t>»</w:t>
      </w:r>
      <w:r>
        <w:rPr>
          <w:rFonts w:hint="cs"/>
          <w:rtl/>
        </w:rPr>
        <w:t>.</w:t>
      </w:r>
    </w:p>
  </w:footnote>
  <w:footnote w:id="5264">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زيادة </w:t>
      </w:r>
      <w:r>
        <w:rPr>
          <w:rFonts w:hint="eastAsia"/>
          <w:rtl/>
        </w:rPr>
        <w:t>«</w:t>
      </w:r>
      <w:r>
        <w:rPr>
          <w:rFonts w:hint="cs"/>
          <w:rtl/>
        </w:rPr>
        <w:t>إلا</w:t>
      </w:r>
      <w:r>
        <w:rPr>
          <w:rFonts w:hint="eastAsia"/>
          <w:rtl/>
        </w:rPr>
        <w:t>»</w:t>
      </w:r>
      <w:r>
        <w:rPr>
          <w:rFonts w:hint="cs"/>
          <w:rtl/>
        </w:rPr>
        <w:t>.</w:t>
      </w:r>
    </w:p>
  </w:footnote>
  <w:footnote w:id="5265">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هامش (أ) علامة تشير إلى أن اسم كان : ضمير مستتر، تقديره (هو) يعود إلى (الوصف).</w:t>
      </w:r>
    </w:p>
  </w:footnote>
  <w:footnote w:id="5266">
    <w:p w:rsidR="00035BE3" w:rsidRDefault="00035BE3" w:rsidP="00F0471F">
      <w:pPr>
        <w:pStyle w:val="a8"/>
        <w:bidi/>
        <w:spacing w:line="264" w:lineRule="auto"/>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معناها كالاستثناء من الحكم الكلي للقاعدة الثالثة والستين، وهي : </w:t>
      </w:r>
      <w:r>
        <w:rPr>
          <w:rFonts w:hint="eastAsia"/>
          <w:rtl/>
        </w:rPr>
        <w:t>«</w:t>
      </w:r>
      <w:r>
        <w:rPr>
          <w:rFonts w:hint="cs"/>
          <w:rtl/>
        </w:rPr>
        <w:t>التابع لا يفرد بالحكم</w:t>
      </w:r>
      <w:r>
        <w:rPr>
          <w:rFonts w:hint="eastAsia"/>
          <w:rtl/>
        </w:rPr>
        <w:t>»</w:t>
      </w:r>
      <w:r>
        <w:rPr>
          <w:rFonts w:hint="cs"/>
          <w:rtl/>
        </w:rPr>
        <w:t>، ومما يعضد هذا :</w:t>
      </w:r>
    </w:p>
    <w:p w:rsidR="00035BE3" w:rsidRDefault="00035BE3" w:rsidP="00F0471F">
      <w:pPr>
        <w:pStyle w:val="a6"/>
        <w:spacing w:line="264" w:lineRule="auto"/>
        <w:ind w:left="-3" w:firstLine="425"/>
        <w:rPr>
          <w:rtl/>
        </w:rPr>
      </w:pPr>
      <w:r>
        <w:rPr>
          <w:rtl/>
        </w:rPr>
        <w:t>•</w:t>
      </w:r>
      <w:r>
        <w:rPr>
          <w:rFonts w:hint="cs"/>
          <w:rtl/>
        </w:rPr>
        <w:t xml:space="preserve"> أن لفظ هذه القاعدة في (ب) : </w:t>
      </w:r>
      <w:r>
        <w:rPr>
          <w:rFonts w:hint="eastAsia"/>
          <w:rtl/>
        </w:rPr>
        <w:t>«</w:t>
      </w:r>
      <w:r>
        <w:rPr>
          <w:rFonts w:hint="cs"/>
          <w:rtl/>
        </w:rPr>
        <w:t xml:space="preserve">الوصف </w:t>
      </w:r>
      <w:r>
        <w:rPr>
          <w:rFonts w:hint="cs"/>
          <w:b/>
          <w:bCs/>
          <w:rtl/>
        </w:rPr>
        <w:t xml:space="preserve">لا </w:t>
      </w:r>
      <w:r>
        <w:rPr>
          <w:rFonts w:hint="cs"/>
          <w:rtl/>
        </w:rPr>
        <w:t xml:space="preserve">يقابله شيء من الثمن </w:t>
      </w:r>
      <w:r>
        <w:rPr>
          <w:rFonts w:hint="cs"/>
          <w:b/>
          <w:bCs/>
          <w:rtl/>
        </w:rPr>
        <w:t>إلا</w:t>
      </w:r>
      <w:r>
        <w:rPr>
          <w:rFonts w:hint="cs"/>
          <w:rtl/>
        </w:rPr>
        <w:t xml:space="preserve"> إذا كان مقصودًا بالتناول</w:t>
      </w:r>
      <w:r>
        <w:rPr>
          <w:rFonts w:hint="eastAsia"/>
          <w:rtl/>
        </w:rPr>
        <w:t>»</w:t>
      </w:r>
      <w:r>
        <w:rPr>
          <w:rFonts w:hint="cs"/>
          <w:rtl/>
        </w:rPr>
        <w:t>.</w:t>
      </w:r>
    </w:p>
    <w:p w:rsidR="00035BE3" w:rsidRDefault="00035BE3" w:rsidP="00F0471F">
      <w:pPr>
        <w:pStyle w:val="a6"/>
        <w:spacing w:line="264" w:lineRule="auto"/>
        <w:ind w:left="422" w:firstLine="0"/>
        <w:rPr>
          <w:rtl/>
        </w:rPr>
      </w:pPr>
      <w:r>
        <w:rPr>
          <w:rtl/>
        </w:rPr>
        <w:t>•</w:t>
      </w:r>
      <w:r>
        <w:rPr>
          <w:rFonts w:hint="cs"/>
          <w:rtl/>
        </w:rPr>
        <w:t xml:space="preserve"> وجاء في بعض ألفاظها : </w:t>
      </w:r>
      <w:r>
        <w:rPr>
          <w:rFonts w:hint="eastAsia"/>
          <w:rtl/>
        </w:rPr>
        <w:t>«</w:t>
      </w:r>
      <w:r>
        <w:rPr>
          <w:rFonts w:hint="cs"/>
          <w:rtl/>
        </w:rPr>
        <w:t xml:space="preserve">لأن الأوصاف لا يقابلها جزء من الثمن؛ </w:t>
      </w:r>
      <w:r>
        <w:rPr>
          <w:rFonts w:hint="cs"/>
          <w:b/>
          <w:bCs/>
          <w:rtl/>
        </w:rPr>
        <w:t>لأنها تابعة</w:t>
      </w:r>
      <w:r>
        <w:rPr>
          <w:rFonts w:hint="cs"/>
          <w:rtl/>
        </w:rPr>
        <w:t>، ما لم تكن مقصودة من الإتلاف</w:t>
      </w:r>
      <w:r>
        <w:rPr>
          <w:rFonts w:hint="eastAsia"/>
          <w:rtl/>
        </w:rPr>
        <w:t>»</w:t>
      </w:r>
      <w:r>
        <w:rPr>
          <w:rFonts w:hint="cs"/>
          <w:rtl/>
        </w:rPr>
        <w:t>- فتح القدير، 6/505-.</w:t>
      </w:r>
    </w:p>
    <w:p w:rsidR="00035BE3" w:rsidRDefault="00035BE3" w:rsidP="00F0471F">
      <w:pPr>
        <w:pStyle w:val="a6"/>
        <w:spacing w:line="264" w:lineRule="auto"/>
        <w:ind w:left="422" w:firstLine="0"/>
        <w:rPr>
          <w:spacing w:val="8"/>
          <w:rtl/>
        </w:rPr>
      </w:pPr>
      <w:r>
        <w:rPr>
          <w:spacing w:val="8"/>
          <w:rtl/>
        </w:rPr>
        <w:t>•</w:t>
      </w:r>
      <w:r>
        <w:rPr>
          <w:rFonts w:hint="cs"/>
          <w:spacing w:val="8"/>
          <w:rtl/>
        </w:rPr>
        <w:t xml:space="preserve"> كما جاء في بعض ألفاظ تلك القاعدة : </w:t>
      </w:r>
      <w:r>
        <w:rPr>
          <w:rFonts w:hint="eastAsia"/>
          <w:spacing w:val="8"/>
          <w:rtl/>
        </w:rPr>
        <w:t>«</w:t>
      </w:r>
      <w:r>
        <w:rPr>
          <w:rFonts w:hint="cs"/>
          <w:spacing w:val="8"/>
          <w:rtl/>
        </w:rPr>
        <w:t>التابع لا يفرد بالحكم ما لم يصرْ مقصودًا</w:t>
      </w:r>
      <w:r>
        <w:rPr>
          <w:rFonts w:hint="eastAsia"/>
          <w:spacing w:val="8"/>
          <w:rtl/>
        </w:rPr>
        <w:t>»</w:t>
      </w:r>
      <w:r>
        <w:rPr>
          <w:rFonts w:hint="cs"/>
          <w:spacing w:val="8"/>
          <w:rtl/>
        </w:rPr>
        <w:t>- شرح القواعد الفقهية للزرقا، ص257؛ القواعد الفقهية لِـ د. علي الندوي، ص402-.</w:t>
      </w:r>
    </w:p>
    <w:p w:rsidR="00035BE3" w:rsidRDefault="00035BE3" w:rsidP="00F0471F">
      <w:pPr>
        <w:pStyle w:val="a6"/>
        <w:spacing w:line="264" w:lineRule="auto"/>
        <w:ind w:left="422" w:firstLine="0"/>
        <w:rPr>
          <w:spacing w:val="6"/>
          <w:rtl/>
        </w:rPr>
      </w:pPr>
      <w:r>
        <w:rPr>
          <w:rFonts w:hint="cs"/>
          <w:spacing w:val="6"/>
          <w:rtl/>
        </w:rPr>
        <w:t>إذا علم هذا فإن هذه القاعدة وردت بلفظ المؤلف أو نحوه أو معناه أو بمفهومه المخالف في بعض كتب الفقه وقواعده :</w:t>
      </w:r>
    </w:p>
    <w:p w:rsidR="00035BE3" w:rsidRDefault="00035BE3" w:rsidP="00F0471F">
      <w:pPr>
        <w:pStyle w:val="a6"/>
        <w:spacing w:line="264" w:lineRule="auto"/>
        <w:ind w:left="422" w:firstLine="0"/>
        <w:rPr>
          <w:b/>
          <w:bCs/>
          <w:rtl/>
        </w:rPr>
      </w:pPr>
      <w:r>
        <w:rPr>
          <w:rFonts w:hint="cs"/>
          <w:b/>
          <w:bCs/>
          <w:rtl/>
        </w:rPr>
        <w:t>فمن كتب القواعد :</w:t>
      </w:r>
    </w:p>
    <w:p w:rsidR="00035BE3" w:rsidRDefault="00035BE3" w:rsidP="00F0471F">
      <w:pPr>
        <w:pStyle w:val="a6"/>
        <w:spacing w:line="264" w:lineRule="auto"/>
        <w:ind w:left="420" w:firstLine="0"/>
        <w:jc w:val="mediumKashida"/>
        <w:rPr>
          <w:rtl/>
        </w:rPr>
      </w:pPr>
      <w:r>
        <w:rPr>
          <w:rFonts w:hint="cs"/>
          <w:rtl/>
        </w:rPr>
        <w:t xml:space="preserve">الكليات الفقهية للمقري، ص299، رقم 285- ولفظه: </w:t>
      </w:r>
      <w:r>
        <w:rPr>
          <w:rFonts w:hint="eastAsia"/>
          <w:rtl/>
        </w:rPr>
        <w:t>«</w:t>
      </w:r>
      <w:r>
        <w:rPr>
          <w:rFonts w:hint="cs"/>
          <w:rtl/>
        </w:rPr>
        <w:t>كل صفة تختلف الأثمان باختلافها أو الأغراض لأجلها فواجب ذكرها، وإلا فلا عبرة بها</w:t>
      </w:r>
      <w:r>
        <w:rPr>
          <w:rFonts w:hint="eastAsia"/>
          <w:rtl/>
        </w:rPr>
        <w:t>»</w:t>
      </w:r>
      <w:r>
        <w:rPr>
          <w:rFonts w:hint="cs"/>
          <w:rtl/>
        </w:rPr>
        <w:t xml:space="preserve">-؛ الأشباه لابن نجيم، ص387- فقد وردت فيه عرضًا بلفظ: </w:t>
      </w:r>
      <w:r>
        <w:rPr>
          <w:rFonts w:hint="eastAsia"/>
          <w:rtl/>
        </w:rPr>
        <w:t>«</w:t>
      </w:r>
      <w:r>
        <w:rPr>
          <w:rFonts w:hint="cs"/>
          <w:rtl/>
        </w:rPr>
        <w:t>...لأن الفائت وصفٌ، وهو لا يقابله شيء</w:t>
      </w:r>
      <w:r>
        <w:rPr>
          <w:rFonts w:hint="eastAsia"/>
          <w:rtl/>
        </w:rPr>
        <w:t>»</w:t>
      </w:r>
      <w:r>
        <w:rPr>
          <w:rFonts w:hint="cs"/>
          <w:rtl/>
        </w:rPr>
        <w:t xml:space="preserve">-؛ إيضاح المسالك، ص91، قاعدة 56- ولفظه: </w:t>
      </w:r>
      <w:r>
        <w:rPr>
          <w:rFonts w:hint="eastAsia"/>
          <w:rtl/>
        </w:rPr>
        <w:t>«</w:t>
      </w:r>
      <w:r>
        <w:rPr>
          <w:rFonts w:hint="cs"/>
          <w:rtl/>
        </w:rPr>
        <w:t>الأتباع هل لها قسط من الأثمان أم لا؟</w:t>
      </w:r>
      <w:r>
        <w:rPr>
          <w:rFonts w:hint="eastAsia"/>
          <w:rtl/>
        </w:rPr>
        <w:t>»</w:t>
      </w:r>
      <w:r>
        <w:rPr>
          <w:rFonts w:hint="cs"/>
          <w:rtl/>
        </w:rPr>
        <w:t xml:space="preserve">-؛ المنهج وشرحه للمنجور، ص357-358 </w:t>
      </w:r>
      <w:r>
        <w:rPr>
          <w:rtl/>
        </w:rPr>
        <w:t>–</w:t>
      </w:r>
      <w:r>
        <w:rPr>
          <w:rFonts w:hint="cs"/>
          <w:rtl/>
        </w:rPr>
        <w:t xml:space="preserve"> ولفظ المنجور كلفظ إيضاح المسالك-؛ المجاز الواضح وشرحه: الدليل الماهر، ص142- ولفظ المجاز: </w:t>
      </w:r>
    </w:p>
    <w:p w:rsidR="00035BE3" w:rsidRDefault="00035BE3" w:rsidP="00F0471F">
      <w:pPr>
        <w:pStyle w:val="a6"/>
        <w:spacing w:line="264" w:lineRule="auto"/>
        <w:ind w:left="422" w:hanging="425"/>
        <w:jc w:val="center"/>
        <w:rPr>
          <w:b/>
          <w:bCs/>
          <w:rtl/>
        </w:rPr>
      </w:pPr>
      <w:r>
        <w:rPr>
          <w:rFonts w:hint="cs"/>
          <w:b/>
          <w:bCs/>
          <w:rtl/>
        </w:rPr>
        <w:t xml:space="preserve">    وهـل لـتـابـع نـصـيب فـي الثـمن     أو هـو لـغـو مـالـه حـظّ يـعَـن-؛</w:t>
      </w:r>
    </w:p>
    <w:p w:rsidR="00035BE3" w:rsidRDefault="00035BE3" w:rsidP="00F0471F">
      <w:pPr>
        <w:pStyle w:val="a6"/>
        <w:spacing w:line="264" w:lineRule="auto"/>
        <w:ind w:left="422" w:firstLine="0"/>
        <w:rPr>
          <w:rtl/>
        </w:rPr>
      </w:pPr>
      <w:r>
        <w:rPr>
          <w:rFonts w:hint="cs"/>
          <w:rtl/>
        </w:rPr>
        <w:t xml:space="preserve">القواعد والضوابط المستخلصة من التحرير، ص482- ولفظه : </w:t>
      </w:r>
      <w:r>
        <w:rPr>
          <w:rFonts w:hint="eastAsia"/>
          <w:rtl/>
        </w:rPr>
        <w:t>«</w:t>
      </w:r>
      <w:r>
        <w:rPr>
          <w:rFonts w:hint="cs"/>
          <w:rtl/>
        </w:rPr>
        <w:t>الأوصاف لا يقابلها الثمن إلا إذا صارت مقصودة</w:t>
      </w:r>
      <w:r>
        <w:rPr>
          <w:rFonts w:hint="eastAsia"/>
          <w:rtl/>
        </w:rPr>
        <w:t>»</w:t>
      </w:r>
      <w:r>
        <w:rPr>
          <w:rFonts w:hint="cs"/>
          <w:rtl/>
        </w:rPr>
        <w:t>-.</w:t>
      </w:r>
    </w:p>
    <w:p w:rsidR="00035BE3" w:rsidRDefault="00035BE3" w:rsidP="00F0471F">
      <w:pPr>
        <w:pStyle w:val="a6"/>
        <w:spacing w:line="520" w:lineRule="exact"/>
        <w:ind w:left="422" w:firstLine="0"/>
        <w:rPr>
          <w:b/>
          <w:bCs/>
          <w:rtl/>
        </w:rPr>
      </w:pPr>
      <w:r>
        <w:rPr>
          <w:rFonts w:hint="cs"/>
          <w:b/>
          <w:bCs/>
          <w:rtl/>
        </w:rPr>
        <w:t>ومن كتب الفقه :</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w:t>
      </w:r>
    </w:p>
    <w:p w:rsidR="00035BE3" w:rsidRDefault="00035BE3" w:rsidP="00F0471F">
      <w:pPr>
        <w:pStyle w:val="a6"/>
        <w:ind w:left="422" w:firstLine="0"/>
        <w:rPr>
          <w:rtl/>
        </w:rPr>
      </w:pPr>
      <w:r>
        <w:rPr>
          <w:rFonts w:hint="cs"/>
          <w:rtl/>
        </w:rPr>
        <w:t>المبسوط، 10/141، 13/171؛ بدائع الصنائع، 5/160-161؛ الهداية والعناية وفتح القـديـر، 6/272، 273-274، 334، 356، 505؛ شرح الزيادات لقاضي خان، ص1851؛ الكافي للنسفي، القسم الأخير، ص1783؛ جامع الفصولين، 1/159؛ الدرر شرح الغرر، 2/148، 160، 182؛ البـحر الرائق، 5/105، 314؛ ردّ المحتار، 7/81، 133.</w:t>
      </w:r>
    </w:p>
    <w:p w:rsidR="00035BE3" w:rsidRDefault="00035BE3" w:rsidP="00F0471F">
      <w:pPr>
        <w:pStyle w:val="a6"/>
        <w:ind w:left="422" w:firstLine="0"/>
        <w:rPr>
          <w:rtl/>
        </w:rPr>
      </w:pPr>
      <w:r>
        <w:rPr>
          <w:rFonts w:hint="cs"/>
          <w:rtl/>
        </w:rPr>
        <w:t>ولفظ المؤلف مطابق للّفظ الثاني من (العناية)، والأول من (الدّرر)، كما أن جل ما جاء في شرح المؤلف للقاعدة مستفاد من (العناية).</w:t>
      </w:r>
    </w:p>
  </w:footnote>
  <w:footnote w:id="5267">
    <w:p w:rsidR="00035BE3" w:rsidRDefault="00035BE3" w:rsidP="00F0471F">
      <w:pPr>
        <w:pStyle w:val="a8"/>
        <w:bidi/>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هكذا في جميع النسخ. وفي العناية: </w:t>
      </w:r>
      <w:r>
        <w:rPr>
          <w:rFonts w:hint="eastAsia"/>
          <w:spacing w:val="6"/>
          <w:rtl/>
        </w:rPr>
        <w:t>«</w:t>
      </w:r>
      <w:r>
        <w:rPr>
          <w:rFonts w:hint="cs"/>
          <w:spacing w:val="6"/>
          <w:rtl/>
        </w:rPr>
        <w:t>فإن</w:t>
      </w:r>
      <w:r>
        <w:rPr>
          <w:rFonts w:hint="eastAsia"/>
          <w:spacing w:val="6"/>
          <w:rtl/>
        </w:rPr>
        <w:t>»</w:t>
      </w:r>
      <w:r>
        <w:rPr>
          <w:rFonts w:hint="cs"/>
          <w:spacing w:val="6"/>
          <w:rtl/>
        </w:rPr>
        <w:t xml:space="preserve">، وهذا المناسب. فقد جاء في العناية: </w:t>
      </w:r>
      <w:r>
        <w:rPr>
          <w:rFonts w:hint="eastAsia"/>
          <w:spacing w:val="6"/>
          <w:rtl/>
        </w:rPr>
        <w:t>«</w:t>
      </w:r>
      <w:r>
        <w:rPr>
          <w:rFonts w:hint="cs"/>
          <w:spacing w:val="6"/>
          <w:rtl/>
        </w:rPr>
        <w:t>...(يعني الأرض) فإذا باعها على أنها مائة ذراع بمائة درهم، كل ذراع بدرهم، فإن وجدت ناقصة : أخذها المشتري بحصتها ...</w:t>
      </w:r>
      <w:r>
        <w:rPr>
          <w:rFonts w:hint="eastAsia"/>
          <w:spacing w:val="6"/>
          <w:rtl/>
        </w:rPr>
        <w:t>»</w:t>
      </w:r>
      <w:r>
        <w:rPr>
          <w:rFonts w:hint="cs"/>
          <w:spacing w:val="6"/>
          <w:rtl/>
        </w:rPr>
        <w:t>.</w:t>
      </w:r>
    </w:p>
  </w:footnote>
  <w:footnote w:id="5268">
    <w:p w:rsidR="00035BE3" w:rsidRDefault="00035BE3" w:rsidP="00F0471F">
      <w:pPr>
        <w:pStyle w:val="a8"/>
        <w:bidi/>
        <w:spacing w:line="50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بحصتها</w:t>
      </w:r>
      <w:r>
        <w:rPr>
          <w:rFonts w:hint="eastAsia"/>
          <w:rtl/>
        </w:rPr>
        <w:t>»</w:t>
      </w:r>
      <w:r>
        <w:rPr>
          <w:rFonts w:hint="cs"/>
          <w:rtl/>
        </w:rPr>
        <w:t>. والصحيح ما تمَّ إثباته من (ب)؛ لأن الضمير يعود إلى الثوب، فكان حقّه التذكير.</w:t>
      </w:r>
    </w:p>
  </w:footnote>
  <w:footnote w:id="5269">
    <w:p w:rsidR="00035BE3" w:rsidRDefault="00035BE3" w:rsidP="00F0471F">
      <w:pPr>
        <w:pStyle w:val="a8"/>
        <w:bidi/>
        <w:spacing w:line="50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بإقراره</w:t>
      </w:r>
      <w:r>
        <w:rPr>
          <w:rFonts w:hint="eastAsia"/>
          <w:rtl/>
        </w:rPr>
        <w:t>»</w:t>
      </w:r>
      <w:r>
        <w:rPr>
          <w:rFonts w:hint="cs"/>
          <w:rtl/>
        </w:rPr>
        <w:t>.</w:t>
      </w:r>
    </w:p>
  </w:footnote>
  <w:footnote w:id="5270">
    <w:p w:rsidR="00035BE3" w:rsidRDefault="00035BE3" w:rsidP="00F0471F">
      <w:pPr>
        <w:pStyle w:val="a8"/>
        <w:bidi/>
        <w:spacing w:line="500" w:lineRule="exact"/>
        <w:ind w:left="422" w:right="0" w:hanging="425"/>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قوله : </w:t>
      </w:r>
      <w:r>
        <w:rPr>
          <w:rFonts w:hint="eastAsia"/>
          <w:spacing w:val="6"/>
          <w:rtl/>
        </w:rPr>
        <w:t>«</w:t>
      </w:r>
      <w:r>
        <w:rPr>
          <w:rFonts w:hint="cs"/>
          <w:spacing w:val="6"/>
          <w:rtl/>
        </w:rPr>
        <w:t>... مـنـزلة ثـوب، وكـان مـقصودًا بالـتنـاول، فلو أخذ</w:t>
      </w:r>
      <w:r>
        <w:rPr>
          <w:rFonts w:hint="eastAsia"/>
          <w:spacing w:val="6"/>
          <w:rtl/>
        </w:rPr>
        <w:t>»</w:t>
      </w:r>
      <w:r>
        <w:rPr>
          <w:rFonts w:hint="cs"/>
          <w:spacing w:val="6"/>
          <w:rtl/>
        </w:rPr>
        <w:t xml:space="preserve"> جـاء مكـانـه من (العناية) : </w:t>
      </w:r>
      <w:r>
        <w:rPr>
          <w:rFonts w:hint="eastAsia"/>
          <w:spacing w:val="6"/>
          <w:rtl/>
        </w:rPr>
        <w:t>«</w:t>
      </w:r>
      <w:r>
        <w:rPr>
          <w:rFonts w:hint="cs"/>
          <w:spacing w:val="6"/>
          <w:rtl/>
        </w:rPr>
        <w:t>...بـمنـزلة ثـوب، وهـذا مـعـنى قـولهـم : إن الـوصف يقـابله شيء من الثمن إذا كان مقصودًا بالتناول. وهذا (أي أخذها بحصّتها من الثمن) إنما هو لأنه لو أخذها بجميع ...</w:t>
      </w:r>
      <w:r>
        <w:rPr>
          <w:rFonts w:hint="eastAsia"/>
          <w:spacing w:val="6"/>
          <w:rtl/>
        </w:rPr>
        <w:t>»</w:t>
      </w:r>
      <w:r>
        <w:rPr>
          <w:rFonts w:hint="cs"/>
          <w:spacing w:val="6"/>
          <w:rtl/>
        </w:rPr>
        <w:t>.</w:t>
      </w:r>
    </w:p>
  </w:footnote>
  <w:footnote w:id="5271">
    <w:p w:rsidR="00035BE3" w:rsidRDefault="00035BE3" w:rsidP="00F0471F">
      <w:pPr>
        <w:pStyle w:val="a8"/>
        <w:bidi/>
        <w:spacing w:line="50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و(ب) : </w:t>
      </w:r>
      <w:r>
        <w:rPr>
          <w:rFonts w:hint="eastAsia"/>
          <w:rtl/>
        </w:rPr>
        <w:t>«</w:t>
      </w:r>
      <w:r>
        <w:rPr>
          <w:rFonts w:hint="cs"/>
          <w:rtl/>
        </w:rPr>
        <w:t>للمشتري</w:t>
      </w:r>
      <w:r>
        <w:rPr>
          <w:rFonts w:hint="eastAsia"/>
          <w:rtl/>
        </w:rPr>
        <w:t>»</w:t>
      </w:r>
      <w:r>
        <w:rPr>
          <w:rFonts w:hint="cs"/>
          <w:rtl/>
        </w:rPr>
        <w:t>. والصحيح ما تمَّ إثباته من (جـ) و(د)، وهو الموافق للعناية.</w:t>
      </w:r>
    </w:p>
  </w:footnote>
  <w:footnote w:id="5272">
    <w:p w:rsidR="00035BE3" w:rsidRDefault="00035BE3" w:rsidP="00F0471F">
      <w:pPr>
        <w:pStyle w:val="a8"/>
        <w:bidi/>
        <w:spacing w:line="50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أخذ</w:t>
      </w:r>
      <w:r>
        <w:rPr>
          <w:rFonts w:hint="eastAsia"/>
          <w:rtl/>
        </w:rPr>
        <w:t>»</w:t>
      </w:r>
      <w:r>
        <w:rPr>
          <w:rFonts w:hint="cs"/>
          <w:rtl/>
        </w:rPr>
        <w:t>.</w:t>
      </w:r>
    </w:p>
  </w:footnote>
  <w:footnote w:id="5273">
    <w:p w:rsidR="00035BE3" w:rsidRDefault="00035BE3" w:rsidP="00F0471F">
      <w:pPr>
        <w:pStyle w:val="a8"/>
        <w:bidi/>
        <w:spacing w:line="50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110/ب من (أ).</w:t>
      </w:r>
    </w:p>
  </w:footnote>
  <w:footnote w:id="5274">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sidRPr="00C760AE">
        <w:rPr>
          <w:rFonts w:hint="cs"/>
          <w:sz w:val="14"/>
          <w:szCs w:val="24"/>
          <w:rtl/>
        </w:rPr>
        <w:t xml:space="preserve">  </w:t>
      </w:r>
      <w:r>
        <w:rPr>
          <w:rFonts w:hint="cs"/>
          <w:rtl/>
        </w:rPr>
        <w:t xml:space="preserve">قوله : </w:t>
      </w:r>
      <w:r>
        <w:rPr>
          <w:rFonts w:hint="eastAsia"/>
          <w:rtl/>
        </w:rPr>
        <w:t>«</w:t>
      </w:r>
      <w:r>
        <w:rPr>
          <w:rFonts w:hint="cs"/>
          <w:rtl/>
        </w:rPr>
        <w:t>كما عُرف في موضعه</w:t>
      </w:r>
      <w:r>
        <w:rPr>
          <w:rFonts w:hint="eastAsia"/>
          <w:rtl/>
        </w:rPr>
        <w:t>»</w:t>
      </w:r>
      <w:r>
        <w:rPr>
          <w:rFonts w:hint="cs"/>
          <w:rtl/>
        </w:rPr>
        <w:t xml:space="preserve"> لعل مراده : ما سبق ص240 (ل4/أ)، حيث قال : </w:t>
      </w:r>
      <w:r>
        <w:rPr>
          <w:rFonts w:hint="eastAsia"/>
          <w:rtl/>
        </w:rPr>
        <w:t>«</w:t>
      </w:r>
      <w:r>
        <w:rPr>
          <w:rFonts w:hint="cs"/>
          <w:rtl/>
        </w:rPr>
        <w:t>... وقعت رجعية مجّانًا عند أبي حنيفة؛ فإنه جعل كلمة (على) للشرط ...</w:t>
      </w:r>
      <w:r>
        <w:rPr>
          <w:rFonts w:hint="eastAsia"/>
          <w:rtl/>
        </w:rPr>
        <w:t>»</w:t>
      </w:r>
      <w:r>
        <w:rPr>
          <w:rFonts w:hint="cs"/>
          <w:rtl/>
        </w:rPr>
        <w:t>.</w:t>
      </w:r>
    </w:p>
    <w:p w:rsidR="00035BE3" w:rsidRDefault="00035BE3" w:rsidP="00F0471F">
      <w:pPr>
        <w:pStyle w:val="a6"/>
        <w:spacing w:line="460" w:lineRule="exact"/>
        <w:ind w:left="422" w:firstLine="0"/>
        <w:rPr>
          <w:rtl/>
        </w:rPr>
      </w:pPr>
      <w:r>
        <w:rPr>
          <w:rFonts w:hint="cs"/>
          <w:rtl/>
        </w:rPr>
        <w:t xml:space="preserve">ومما يعضد هذا أن قوله : </w:t>
      </w:r>
      <w:r>
        <w:rPr>
          <w:rFonts w:hint="eastAsia"/>
          <w:rtl/>
        </w:rPr>
        <w:t>«</w:t>
      </w:r>
      <w:r>
        <w:rPr>
          <w:rFonts w:hint="cs"/>
          <w:rtl/>
        </w:rPr>
        <w:t>كما عرف في موضعه</w:t>
      </w:r>
      <w:r>
        <w:rPr>
          <w:rFonts w:hint="eastAsia"/>
          <w:rtl/>
        </w:rPr>
        <w:t>»</w:t>
      </w:r>
      <w:r>
        <w:rPr>
          <w:rFonts w:hint="cs"/>
          <w:rtl/>
        </w:rPr>
        <w:t xml:space="preserve"> مستفاد من العناية، 6/273. وما نقله المؤلف </w:t>
      </w:r>
      <w:r>
        <w:rPr>
          <w:rtl/>
        </w:rPr>
        <w:t>–</w:t>
      </w:r>
      <w:r>
        <w:rPr>
          <w:rFonts w:hint="cs"/>
          <w:rtl/>
        </w:rPr>
        <w:t>آنفًا- عن الإمام أبي حنيفة مذكور أيضًا في موضع متقدم من العناية، وهو 4/226.</w:t>
      </w:r>
    </w:p>
    <w:p w:rsidR="00035BE3" w:rsidRDefault="00035BE3" w:rsidP="00F0471F">
      <w:pPr>
        <w:pStyle w:val="a6"/>
        <w:spacing w:line="460" w:lineRule="exact"/>
        <w:ind w:left="422" w:firstLine="0"/>
        <w:rPr>
          <w:rtl/>
        </w:rPr>
      </w:pPr>
      <w:r>
        <w:rPr>
          <w:rFonts w:hint="cs"/>
          <w:rtl/>
        </w:rPr>
        <w:t xml:space="preserve">كما يحتمل أن يكون مراد المؤلف وصاحب (العناية) من قولهما : </w:t>
      </w:r>
      <w:r>
        <w:rPr>
          <w:rFonts w:hint="eastAsia"/>
          <w:rtl/>
        </w:rPr>
        <w:t>«</w:t>
      </w:r>
      <w:r>
        <w:rPr>
          <w:rFonts w:hint="cs"/>
          <w:rtl/>
        </w:rPr>
        <w:t>كما عرف في موضعه</w:t>
      </w:r>
      <w:r>
        <w:rPr>
          <w:rFonts w:hint="eastAsia"/>
          <w:rtl/>
        </w:rPr>
        <w:t>»</w:t>
      </w:r>
      <w:r>
        <w:rPr>
          <w:rFonts w:hint="cs"/>
          <w:rtl/>
        </w:rPr>
        <w:t xml:space="preserve"> أي : كما عرف في موضعه من كتب الأصوليين، حيث تكلم كثير منهم عن معنى (على) وذكروا أنها تأتي بمعنى الشرط، فانظر من كتبهم : أصول البزدوي وكشف الأسرار، 2/325؛ المغني للخبازي، ص424؛ شرح الكوكب المنير، 1/247؛ مسلم الثبوت وفواتح الرحموت، 1/243.</w:t>
      </w:r>
    </w:p>
  </w:footnote>
  <w:footnote w:id="5275">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العناية، 6/273 </w:t>
      </w:r>
      <w:r>
        <w:rPr>
          <w:rtl/>
        </w:rPr>
        <w:t>–</w:t>
      </w:r>
      <w:r>
        <w:rPr>
          <w:rFonts w:hint="cs"/>
          <w:rtl/>
        </w:rPr>
        <w:t>مع الاختلاف الذي سبق بيانه-.</w:t>
      </w:r>
    </w:p>
    <w:p w:rsidR="00035BE3" w:rsidRDefault="00035BE3" w:rsidP="00F0471F">
      <w:pPr>
        <w:pStyle w:val="a6"/>
        <w:spacing w:line="460" w:lineRule="exact"/>
        <w:ind w:left="422" w:firstLine="0"/>
        <w:rPr>
          <w:rtl/>
        </w:rPr>
      </w:pPr>
      <w:r>
        <w:rPr>
          <w:rFonts w:hint="cs"/>
          <w:rtl/>
        </w:rPr>
        <w:t>وانظر أصل المسألة في الهداية وفتح القدير، 6/272-273؛ الكنز والبحر الرائق، 5/314؛ الدرر شرح الغرر، 2/148.</w:t>
      </w:r>
    </w:p>
  </w:footnote>
  <w:footnote w:id="5276">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نهاية 80/أ من (جـ).</w:t>
      </w:r>
    </w:p>
  </w:footnote>
  <w:footnote w:id="5277">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أصل</w:t>
      </w:r>
      <w:r>
        <w:rPr>
          <w:rFonts w:hint="eastAsia"/>
          <w:rtl/>
        </w:rPr>
        <w:t>»</w:t>
      </w:r>
      <w:r>
        <w:rPr>
          <w:rFonts w:hint="cs"/>
          <w:rtl/>
        </w:rPr>
        <w:t>. والصحيح ما تمَّ إثباته من (ب) و(هـ) و(و).</w:t>
      </w:r>
    </w:p>
  </w:footnote>
  <w:footnote w:id="5278">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ص1144 (ل110/أ-ب).</w:t>
      </w:r>
    </w:p>
  </w:footnote>
  <w:footnote w:id="5279">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6/273.</w:t>
      </w:r>
    </w:p>
  </w:footnote>
  <w:footnote w:id="5280">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المشتري</w:t>
      </w:r>
      <w:r>
        <w:rPr>
          <w:rFonts w:hint="eastAsia"/>
          <w:rtl/>
        </w:rPr>
        <w:t>»</w:t>
      </w:r>
      <w:r>
        <w:rPr>
          <w:rFonts w:hint="cs"/>
          <w:rtl/>
        </w:rPr>
        <w:t xml:space="preserve"> : ساقطة من (جـ).</w:t>
      </w:r>
    </w:p>
  </w:footnote>
  <w:footnote w:id="5281">
    <w:p w:rsidR="00035BE3" w:rsidRDefault="00035BE3" w:rsidP="00F0471F">
      <w:pPr>
        <w:pStyle w:val="a8"/>
        <w:bidi/>
        <w:spacing w:line="460" w:lineRule="exact"/>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بأن</w:t>
      </w:r>
      <w:r>
        <w:rPr>
          <w:rFonts w:hint="eastAsia"/>
          <w:rtl/>
        </w:rPr>
        <w:t>»</w:t>
      </w:r>
      <w:r>
        <w:rPr>
          <w:rFonts w:hint="cs"/>
          <w:rtl/>
        </w:rPr>
        <w:t>.</w:t>
      </w:r>
    </w:p>
    <w:p w:rsidR="00035BE3" w:rsidRDefault="00035BE3" w:rsidP="00F0471F">
      <w:pPr>
        <w:pStyle w:val="a6"/>
        <w:spacing w:line="460" w:lineRule="exact"/>
        <w:ind w:left="422" w:firstLine="0"/>
        <w:rPr>
          <w:rtl/>
        </w:rPr>
      </w:pPr>
      <w:r>
        <w:rPr>
          <w:rFonts w:hint="cs"/>
          <w:rtl/>
        </w:rPr>
        <w:t xml:space="preserve">وقوله : </w:t>
      </w:r>
      <w:r>
        <w:rPr>
          <w:rFonts w:hint="eastAsia"/>
          <w:rtl/>
        </w:rPr>
        <w:t>«</w:t>
      </w:r>
      <w:r>
        <w:rPr>
          <w:rFonts w:hint="cs"/>
          <w:rtl/>
        </w:rPr>
        <w:t>بأنه</w:t>
      </w:r>
      <w:r>
        <w:rPr>
          <w:rFonts w:hint="eastAsia"/>
          <w:rtl/>
        </w:rPr>
        <w:t>»</w:t>
      </w:r>
      <w:r>
        <w:rPr>
          <w:rFonts w:hint="cs"/>
          <w:rtl/>
        </w:rPr>
        <w:t xml:space="preserve"> معناه : أي وجه إمكانه أنه ذكر ...</w:t>
      </w:r>
    </w:p>
    <w:p w:rsidR="00035BE3" w:rsidRDefault="00035BE3" w:rsidP="00F0471F">
      <w:pPr>
        <w:pStyle w:val="a6"/>
        <w:spacing w:line="460" w:lineRule="exact"/>
        <w:ind w:left="422" w:firstLine="0"/>
        <w:rPr>
          <w:rtl/>
        </w:rPr>
      </w:pPr>
      <w:r>
        <w:rPr>
          <w:rFonts w:hint="cs"/>
          <w:rtl/>
        </w:rPr>
        <w:t xml:space="preserve">وممّا يؤكد هذا المعنى أنه جاء في (العناية) : </w:t>
      </w:r>
      <w:r>
        <w:rPr>
          <w:rFonts w:hint="eastAsia"/>
          <w:rtl/>
        </w:rPr>
        <w:t>«</w:t>
      </w:r>
      <w:r>
        <w:rPr>
          <w:rFonts w:hint="cs"/>
          <w:b/>
          <w:bCs/>
          <w:rtl/>
        </w:rPr>
        <w:t>لأنه</w:t>
      </w:r>
      <w:r>
        <w:rPr>
          <w:rFonts w:hint="cs"/>
          <w:rtl/>
        </w:rPr>
        <w:t xml:space="preserve"> ذكر عشرة دراهم في مقابلة عشرة أذرع ...</w:t>
      </w:r>
      <w:r>
        <w:rPr>
          <w:rFonts w:hint="eastAsia"/>
          <w:rtl/>
        </w:rPr>
        <w:t>»</w:t>
      </w:r>
      <w:r>
        <w:rPr>
          <w:rFonts w:hint="cs"/>
          <w:rtl/>
        </w:rPr>
        <w:t>.</w:t>
      </w:r>
    </w:p>
  </w:footnote>
  <w:footnote w:id="5282">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دراهم</w:t>
      </w:r>
      <w:r>
        <w:rPr>
          <w:rFonts w:hint="eastAsia"/>
          <w:rtl/>
        </w:rPr>
        <w:t>»</w:t>
      </w:r>
      <w:r>
        <w:rPr>
          <w:rFonts w:hint="cs"/>
          <w:rtl/>
        </w:rPr>
        <w:t>. والصحيح ما تمَّ إثباته من (ب) و(جـ).</w:t>
      </w:r>
    </w:p>
  </w:footnote>
  <w:footnote w:id="5283">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أي : جملتي المبيع والثمن. انظر : الدرر شرح الغرر، 2/147.</w:t>
      </w:r>
    </w:p>
  </w:footnote>
  <w:footnote w:id="5284">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يقتضي</w:t>
      </w:r>
      <w:r>
        <w:rPr>
          <w:rFonts w:hint="eastAsia"/>
          <w:rtl/>
        </w:rPr>
        <w:t>»</w:t>
      </w:r>
      <w:r>
        <w:rPr>
          <w:rFonts w:hint="cs"/>
          <w:rtl/>
        </w:rPr>
        <w:t>. والصحيح ما تمَّ إثباته من (د)، وهو الموافق للعناية.</w:t>
      </w:r>
    </w:p>
  </w:footnote>
  <w:footnote w:id="5285">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وعلى</w:t>
      </w:r>
      <w:r>
        <w:rPr>
          <w:rFonts w:hint="eastAsia"/>
          <w:rtl/>
        </w:rPr>
        <w:t>»</w:t>
      </w:r>
      <w:r>
        <w:rPr>
          <w:rFonts w:hint="cs"/>
          <w:rtl/>
        </w:rPr>
        <w:t>.</w:t>
      </w:r>
    </w:p>
  </w:footnote>
  <w:footnote w:id="5286">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rtl/>
        </w:rPr>
        <w:t>... انقسام الآحاد على الآحاد</w:t>
      </w:r>
      <w:r>
        <w:rPr>
          <w:rFonts w:hint="eastAsia"/>
          <w:rtl/>
        </w:rPr>
        <w:t>»</w:t>
      </w:r>
      <w:r>
        <w:rPr>
          <w:rFonts w:hint="cs"/>
          <w:rtl/>
        </w:rPr>
        <w:t xml:space="preserve"> : يستقيم به المعنى لو كانت صورة المسألة : باع عشرة أذرع </w:t>
      </w:r>
      <w:r>
        <w:rPr>
          <w:rFonts w:hint="cs"/>
          <w:b/>
          <w:bCs/>
          <w:rtl/>
        </w:rPr>
        <w:t>بعشرة دراهم</w:t>
      </w:r>
      <w:r>
        <w:rPr>
          <w:rFonts w:hint="cs"/>
          <w:rtl/>
        </w:rPr>
        <w:t xml:space="preserve"> </w:t>
      </w:r>
      <w:r>
        <w:rPr>
          <w:rtl/>
        </w:rPr>
        <w:t>–</w:t>
      </w:r>
      <w:r>
        <w:rPr>
          <w:rFonts w:hint="cs"/>
          <w:rtl/>
        </w:rPr>
        <w:t xml:space="preserve"> كما هو صنيع صاحب (العناية) وغيره </w:t>
      </w:r>
      <w:r>
        <w:rPr>
          <w:rtl/>
        </w:rPr>
        <w:t>–</w:t>
      </w:r>
      <w:r>
        <w:rPr>
          <w:rFonts w:hint="cs"/>
          <w:rtl/>
        </w:rPr>
        <w:t xml:space="preserve"> وليس بمائة درهم؛ لأن المعنى حينئذ: أن مقابلة عشرة أذرع بعشرة دراهم تقتضي انقسام الدراهم العشرة على الأذرع العشرة، بحيث يكون في مقابلة كل واحد من الدراهم ذراع واحد، فكأنه باع كل ذراع على انفراد </w:t>
      </w:r>
      <w:r>
        <w:rPr>
          <w:rtl/>
        </w:rPr>
        <w:t>–</w:t>
      </w:r>
      <w:r>
        <w:rPr>
          <w:rFonts w:hint="cs"/>
          <w:rtl/>
        </w:rPr>
        <w:t>والله أعلم-.</w:t>
      </w:r>
    </w:p>
    <w:p w:rsidR="00035BE3" w:rsidRDefault="00035BE3" w:rsidP="00F0471F">
      <w:pPr>
        <w:pStyle w:val="a6"/>
        <w:ind w:left="422" w:firstLine="0"/>
        <w:rPr>
          <w:rtl/>
        </w:rPr>
      </w:pPr>
      <w:r>
        <w:rPr>
          <w:rFonts w:hint="cs"/>
          <w:rtl/>
        </w:rPr>
        <w:t>وانظر : البحر الرائق، 5/314.</w:t>
      </w:r>
    </w:p>
  </w:footnote>
  <w:footnote w:id="5287">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ويقال</w:t>
      </w:r>
      <w:r>
        <w:rPr>
          <w:rFonts w:hint="eastAsia"/>
          <w:rtl/>
        </w:rPr>
        <w:t>»</w:t>
      </w:r>
      <w:r>
        <w:rPr>
          <w:rFonts w:hint="cs"/>
          <w:rtl/>
        </w:rPr>
        <w:t xml:space="preserve">، وفي (جـ) : </w:t>
      </w:r>
      <w:r>
        <w:rPr>
          <w:rFonts w:hint="eastAsia"/>
          <w:rtl/>
        </w:rPr>
        <w:t>«</w:t>
      </w:r>
      <w:r>
        <w:rPr>
          <w:rFonts w:hint="cs"/>
          <w:rtl/>
        </w:rPr>
        <w:t>قد يقال</w:t>
      </w:r>
      <w:r>
        <w:rPr>
          <w:rFonts w:hint="eastAsia"/>
          <w:rtl/>
        </w:rPr>
        <w:t>»</w:t>
      </w:r>
      <w:r>
        <w:rPr>
          <w:rFonts w:hint="cs"/>
          <w:rtl/>
        </w:rPr>
        <w:t>. والصحيح ما تمَّ إثباته من (ب) و(هـ) و(و).</w:t>
      </w:r>
    </w:p>
  </w:footnote>
  <w:footnote w:id="5288">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العناية : </w:t>
      </w:r>
      <w:r>
        <w:rPr>
          <w:rFonts w:hint="eastAsia"/>
          <w:rtl/>
        </w:rPr>
        <w:t>«</w:t>
      </w:r>
      <w:r>
        <w:rPr>
          <w:rFonts w:hint="cs"/>
          <w:rtl/>
        </w:rPr>
        <w:t>ضمنًا، ولا معتبر بذلك؛ لما ذكرنا : أن الوصف يصير ...</w:t>
      </w:r>
      <w:r>
        <w:rPr>
          <w:rFonts w:hint="eastAsia"/>
          <w:rtl/>
        </w:rPr>
        <w:t>»</w:t>
      </w:r>
      <w:r>
        <w:rPr>
          <w:rFonts w:hint="cs"/>
          <w:rtl/>
        </w:rPr>
        <w:t>.</w:t>
      </w:r>
    </w:p>
  </w:footnote>
  <w:footnote w:id="5289">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العناية، 6/274 </w:t>
      </w:r>
      <w:r>
        <w:rPr>
          <w:rtl/>
        </w:rPr>
        <w:t>–</w:t>
      </w:r>
      <w:r>
        <w:rPr>
          <w:rFonts w:hint="cs"/>
          <w:rtl/>
        </w:rPr>
        <w:t>مع الاختلاف الذي سبق بيانه-.</w:t>
      </w:r>
    </w:p>
  </w:footnote>
  <w:footnote w:id="5290">
    <w:p w:rsidR="00035BE3" w:rsidRDefault="00035BE3" w:rsidP="00F0471F">
      <w:pPr>
        <w:pStyle w:val="a8"/>
        <w:bidi/>
        <w:ind w:left="422" w:right="0" w:hanging="425"/>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تذكره</w:t>
      </w:r>
      <w:r>
        <w:rPr>
          <w:rFonts w:hint="eastAsia"/>
          <w:rtl/>
        </w:rPr>
        <w:t>»</w:t>
      </w:r>
      <w:r>
        <w:rPr>
          <w:rFonts w:hint="cs"/>
          <w:rtl/>
        </w:rPr>
        <w:t>.</w:t>
      </w:r>
    </w:p>
  </w:footnote>
  <w:footnote w:id="5291">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استحلاف</w:t>
      </w:r>
      <w:r>
        <w:rPr>
          <w:rFonts w:hint="eastAsia"/>
          <w:rtl/>
        </w:rPr>
        <w:t>»</w:t>
      </w:r>
      <w:r>
        <w:rPr>
          <w:rFonts w:hint="cs"/>
          <w:rtl/>
        </w:rPr>
        <w:t>.</w:t>
      </w:r>
    </w:p>
  </w:footnote>
  <w:footnote w:id="5292">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الضابط يحكي قولاً من الأقوال في مسألة حصل فيها خلاف بين الحنفية، وهي : هل الوصاية استخلاف (كالوراثة)، أو أنها إنابة (كالوكالة)؟ :</w:t>
      </w:r>
    </w:p>
    <w:p w:rsidR="00035BE3" w:rsidRDefault="00035BE3" w:rsidP="00F0471F">
      <w:pPr>
        <w:pStyle w:val="a6"/>
        <w:spacing w:line="440" w:lineRule="exact"/>
        <w:ind w:left="422" w:firstLine="0"/>
        <w:rPr>
          <w:rtl/>
        </w:rPr>
      </w:pPr>
      <w:r>
        <w:rPr>
          <w:rtl/>
        </w:rPr>
        <w:t>•</w:t>
      </w:r>
      <w:r>
        <w:rPr>
          <w:rFonts w:hint="cs"/>
          <w:rtl/>
        </w:rPr>
        <w:t xml:space="preserve"> فظاهر الرواية : أنها استخلاف؛ </w:t>
      </w:r>
      <w:r>
        <w:rPr>
          <w:rFonts w:hint="eastAsia"/>
          <w:rtl/>
        </w:rPr>
        <w:t>«</w:t>
      </w:r>
      <w:r>
        <w:rPr>
          <w:rFonts w:hint="cs"/>
          <w:rtl/>
        </w:rPr>
        <w:t>لإضافتها إلى زمان بطلان الإنابة، فلا تتوقف على العلم، كما في تصرّف الوارث</w:t>
      </w:r>
      <w:r>
        <w:rPr>
          <w:rFonts w:hint="eastAsia"/>
          <w:rtl/>
        </w:rPr>
        <w:t>»</w:t>
      </w:r>
      <w:r>
        <w:rPr>
          <w:rFonts w:hint="cs"/>
          <w:rtl/>
        </w:rPr>
        <w:t>.</w:t>
      </w:r>
    </w:p>
    <w:p w:rsidR="00035BE3" w:rsidRDefault="00035BE3" w:rsidP="00F0471F">
      <w:pPr>
        <w:pStyle w:val="a6"/>
        <w:spacing w:line="440" w:lineRule="exact"/>
        <w:ind w:left="422" w:firstLine="0"/>
        <w:rPr>
          <w:rtl/>
        </w:rPr>
      </w:pPr>
      <w:r>
        <w:rPr>
          <w:rtl/>
        </w:rPr>
        <w:t>•</w:t>
      </w:r>
      <w:r>
        <w:rPr>
          <w:rFonts w:hint="cs"/>
          <w:rtl/>
        </w:rPr>
        <w:t xml:space="preserve"> وعند أبي يوسف : </w:t>
      </w:r>
      <w:r>
        <w:rPr>
          <w:rFonts w:hint="eastAsia"/>
          <w:rtl/>
        </w:rPr>
        <w:t>«</w:t>
      </w:r>
      <w:r>
        <w:rPr>
          <w:rFonts w:hint="cs"/>
          <w:rtl/>
        </w:rPr>
        <w:t>أن الوصاية إنابة بعد الموت؛ فتعتبر بالإنابة قبله، وهي الوكالة</w:t>
      </w:r>
      <w:r>
        <w:rPr>
          <w:rFonts w:hint="eastAsia"/>
          <w:rtl/>
        </w:rPr>
        <w:t>»</w:t>
      </w:r>
      <w:r>
        <w:rPr>
          <w:rFonts w:hint="cs"/>
          <w:rtl/>
        </w:rPr>
        <w:t>- قال هذين النصين صاحب الهداية، 7/354-355-.</w:t>
      </w:r>
    </w:p>
    <w:p w:rsidR="00035BE3" w:rsidRDefault="00035BE3" w:rsidP="00F0471F">
      <w:pPr>
        <w:pStyle w:val="a6"/>
        <w:spacing w:line="440" w:lineRule="exact"/>
        <w:ind w:left="422" w:firstLine="0"/>
        <w:rPr>
          <w:b/>
          <w:bCs/>
          <w:rtl/>
        </w:rPr>
      </w:pPr>
      <w:r>
        <w:rPr>
          <w:rFonts w:hint="cs"/>
          <w:b/>
          <w:bCs/>
          <w:rtl/>
        </w:rPr>
        <w:t>ولتوثيق القاعدة :</w:t>
      </w:r>
    </w:p>
    <w:p w:rsidR="00035BE3" w:rsidRDefault="00035BE3" w:rsidP="00F0471F">
      <w:pPr>
        <w:pStyle w:val="a6"/>
        <w:spacing w:line="440" w:lineRule="exact"/>
        <w:ind w:left="422" w:firstLine="0"/>
        <w:rPr>
          <w:rtl/>
        </w:rPr>
      </w:pPr>
      <w:r>
        <w:rPr>
          <w:rFonts w:hint="cs"/>
          <w:rtl/>
        </w:rPr>
        <w:t xml:space="preserve">- فإنها جاءت بلفظ المؤلف أو نحوه في بعض </w:t>
      </w:r>
      <w:r>
        <w:rPr>
          <w:rFonts w:hint="cs"/>
          <w:b/>
          <w:bCs/>
          <w:rtl/>
        </w:rPr>
        <w:t>كتب الفقه الحنفي</w:t>
      </w:r>
      <w:r>
        <w:rPr>
          <w:rFonts w:hint="cs"/>
          <w:rtl/>
        </w:rPr>
        <w:t>، منها :</w:t>
      </w:r>
    </w:p>
    <w:p w:rsidR="00035BE3" w:rsidRDefault="00035BE3" w:rsidP="00F0471F">
      <w:pPr>
        <w:pStyle w:val="a6"/>
        <w:spacing w:line="440" w:lineRule="exact"/>
        <w:ind w:left="422" w:firstLine="0"/>
        <w:rPr>
          <w:rtl/>
        </w:rPr>
      </w:pPr>
      <w:r>
        <w:rPr>
          <w:rFonts w:hint="cs"/>
          <w:rtl/>
        </w:rPr>
        <w:t xml:space="preserve">المبسوط، 19/127- ولفظه : </w:t>
      </w:r>
      <w:r>
        <w:rPr>
          <w:rFonts w:hint="eastAsia"/>
          <w:rtl/>
        </w:rPr>
        <w:t>«</w:t>
      </w:r>
      <w:r>
        <w:rPr>
          <w:rFonts w:hint="cs"/>
          <w:rtl/>
        </w:rPr>
        <w:t>... لأن الوصاية خلافة ... أوَانُها بعد انقطاع ولاية الموصي</w:t>
      </w:r>
      <w:r>
        <w:rPr>
          <w:rFonts w:hint="eastAsia"/>
          <w:rtl/>
        </w:rPr>
        <w:t>»</w:t>
      </w:r>
      <w:r>
        <w:rPr>
          <w:rFonts w:hint="cs"/>
          <w:rtl/>
        </w:rPr>
        <w:t xml:space="preserve">-؛ تبيين الحقائق، 4/203- ولفظه : </w:t>
      </w:r>
      <w:r>
        <w:rPr>
          <w:rFonts w:hint="eastAsia"/>
          <w:rtl/>
        </w:rPr>
        <w:t>«</w:t>
      </w:r>
      <w:r>
        <w:rPr>
          <w:rFonts w:hint="cs"/>
          <w:rtl/>
        </w:rPr>
        <w:t>الوصية خلافة؛ لأنه يتصرّف بعد انقطاع ولاية الموصي</w:t>
      </w:r>
      <w:r>
        <w:rPr>
          <w:rFonts w:hint="eastAsia"/>
          <w:rtl/>
        </w:rPr>
        <w:t>»</w:t>
      </w:r>
      <w:r>
        <w:rPr>
          <w:rFonts w:hint="cs"/>
          <w:rtl/>
        </w:rPr>
        <w:t>-؛ الدّرر شرح الغرر، 2/419- ولفظه مطابق للفظ المؤلف-.</w:t>
      </w:r>
    </w:p>
    <w:p w:rsidR="00035BE3" w:rsidRDefault="00035BE3" w:rsidP="00F0471F">
      <w:pPr>
        <w:pStyle w:val="a6"/>
        <w:spacing w:line="440" w:lineRule="exact"/>
        <w:ind w:left="422" w:firstLine="0"/>
        <w:rPr>
          <w:spacing w:val="-8"/>
          <w:rtl/>
        </w:rPr>
      </w:pPr>
      <w:r>
        <w:rPr>
          <w:rFonts w:hint="cs"/>
          <w:spacing w:val="-8"/>
          <w:rtl/>
        </w:rPr>
        <w:t>كما جاءت بلفظ : الوصية خلافة، أو الوصاية خلافة، أو نحوهما في طائفة من كتب الفقه الحنفي أيضًا، منها :</w:t>
      </w:r>
    </w:p>
    <w:p w:rsidR="00035BE3" w:rsidRDefault="00035BE3" w:rsidP="00F0471F">
      <w:pPr>
        <w:pStyle w:val="a6"/>
        <w:spacing w:line="440" w:lineRule="exact"/>
        <w:ind w:left="422" w:firstLine="0"/>
        <w:rPr>
          <w:spacing w:val="-2"/>
          <w:rtl/>
        </w:rPr>
      </w:pPr>
      <w:r>
        <w:rPr>
          <w:rFonts w:hint="cs"/>
          <w:spacing w:val="-2"/>
          <w:rtl/>
        </w:rPr>
        <w:t>الهداية والعناية وفتح القدير أو نتائج الأفكار، 7/352، 354، 10/498؛ البحر الرائق، 7/49، 50؛ النافع الكبير، ص527.</w:t>
      </w:r>
    </w:p>
  </w:footnote>
  <w:footnote w:id="5293">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الموصي</w:t>
      </w:r>
      <w:r>
        <w:rPr>
          <w:rFonts w:hint="eastAsia"/>
          <w:rtl/>
        </w:rPr>
        <w:t>»</w:t>
      </w:r>
      <w:r>
        <w:rPr>
          <w:rFonts w:hint="cs"/>
          <w:rtl/>
        </w:rPr>
        <w:t xml:space="preserve">. والصحيح ما تم إثباته من (ب) و(جـ) و(و)؛ لدلالة السياق، ولأنّ المؤلف احتاج إلى إعادة هذه الكلمة </w:t>
      </w:r>
      <w:r>
        <w:rPr>
          <w:rtl/>
        </w:rPr>
        <w:t>–</w:t>
      </w:r>
      <w:r>
        <w:rPr>
          <w:rFonts w:hint="cs"/>
          <w:rtl/>
        </w:rPr>
        <w:t xml:space="preserve"> في السطر التالي- وقد اتّفقت جميع النسخ على أنها (الوصيّ).</w:t>
      </w:r>
    </w:p>
  </w:footnote>
  <w:footnote w:id="5294">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باع الوصيُّ (وكان فضوليًّا في هذا التصرف).</w:t>
      </w:r>
    </w:p>
  </w:footnote>
  <w:footnote w:id="5295">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فمبيعه</w:t>
      </w:r>
      <w:r>
        <w:rPr>
          <w:rFonts w:hint="eastAsia"/>
          <w:rtl/>
        </w:rPr>
        <w:t>»</w:t>
      </w:r>
      <w:r>
        <w:rPr>
          <w:rFonts w:hint="cs"/>
          <w:rtl/>
        </w:rPr>
        <w:t>.</w:t>
      </w:r>
    </w:p>
  </w:footnote>
  <w:footnote w:id="5296">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شرح الغرر، 2/419؛ وانظر أيضًا : المبسوط، 19/127؛ الهداية والعناية وفتـح القدير، 7/354-355؛ تبيين الحقائق، 4/203؛ البحر الرائق، 7/49، 50.</w:t>
      </w:r>
    </w:p>
  </w:footnote>
  <w:footnote w:id="529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111/أ من (أ).</w:t>
      </w:r>
    </w:p>
  </w:footnote>
  <w:footnote w:id="529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والوصي</w:t>
      </w:r>
      <w:r>
        <w:rPr>
          <w:rFonts w:hint="eastAsia"/>
          <w:rtl/>
        </w:rPr>
        <w:t>»</w:t>
      </w:r>
      <w:r>
        <w:rPr>
          <w:rFonts w:hint="cs"/>
          <w:rtl/>
        </w:rPr>
        <w:t>.</w:t>
      </w:r>
    </w:p>
  </w:footnote>
  <w:footnote w:id="529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66/ب من (د).</w:t>
      </w:r>
    </w:p>
  </w:footnote>
  <w:footnote w:id="530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الثابتة</w:t>
      </w:r>
      <w:r>
        <w:rPr>
          <w:rFonts w:hint="eastAsia"/>
          <w:rtl/>
        </w:rPr>
        <w:t>»</w:t>
      </w:r>
      <w:r>
        <w:rPr>
          <w:rFonts w:hint="cs"/>
          <w:rtl/>
        </w:rPr>
        <w:t xml:space="preserve">، وفي (جـ) و(د) : </w:t>
      </w:r>
      <w:r>
        <w:rPr>
          <w:rFonts w:hint="eastAsia"/>
          <w:rtl/>
        </w:rPr>
        <w:t>«</w:t>
      </w:r>
      <w:r>
        <w:rPr>
          <w:rFonts w:hint="cs"/>
          <w:rtl/>
        </w:rPr>
        <w:t>الثانية</w:t>
      </w:r>
      <w:r>
        <w:rPr>
          <w:rFonts w:hint="eastAsia"/>
          <w:rtl/>
        </w:rPr>
        <w:t>»</w:t>
      </w:r>
      <w:r>
        <w:rPr>
          <w:rFonts w:hint="cs"/>
          <w:rtl/>
        </w:rPr>
        <w:t>. والصحيح ما تمَّ إثباته من (ب).</w:t>
      </w:r>
    </w:p>
  </w:footnote>
  <w:footnote w:id="530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بالاستحلاف</w:t>
      </w:r>
      <w:r>
        <w:rPr>
          <w:rFonts w:hint="eastAsia"/>
          <w:rtl/>
        </w:rPr>
        <w:t>»</w:t>
      </w:r>
      <w:r>
        <w:rPr>
          <w:rFonts w:hint="cs"/>
          <w:rtl/>
        </w:rPr>
        <w:t>.</w:t>
      </w:r>
    </w:p>
  </w:footnote>
  <w:footnote w:id="530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70/أ من (ب).</w:t>
      </w:r>
    </w:p>
  </w:footnote>
  <w:footnote w:id="5303">
    <w:p w:rsidR="00035BE3" w:rsidRDefault="00035BE3" w:rsidP="00F0471F">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انظر: الهداية والعناية وفتح القدير، 7/354-355؛ تبيين الحقائق، 4/203؛ الدرر شرح الغرر، 2/419؛ البحر الرائق، 7/49.</w:t>
      </w:r>
    </w:p>
  </w:footnote>
  <w:footnote w:id="530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ولم أر الآن</w:t>
      </w:r>
      <w:r>
        <w:rPr>
          <w:rFonts w:hint="eastAsia"/>
          <w:rtl/>
        </w:rPr>
        <w:t>»</w:t>
      </w:r>
      <w:r>
        <w:rPr>
          <w:rFonts w:hint="cs"/>
          <w:rtl/>
        </w:rPr>
        <w:t xml:space="preserve"> : ساقطة من (ب).</w:t>
      </w:r>
    </w:p>
  </w:footnote>
  <w:footnote w:id="530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81/أ من (جـ).</w:t>
      </w:r>
    </w:p>
  </w:footnote>
  <w:footnote w:id="530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ولاية</w:t>
      </w:r>
      <w:r>
        <w:rPr>
          <w:rFonts w:hint="eastAsia"/>
          <w:rtl/>
        </w:rPr>
        <w:t>»</w:t>
      </w:r>
      <w:r>
        <w:rPr>
          <w:rFonts w:hint="cs"/>
          <w:rtl/>
        </w:rPr>
        <w:t>. والصحيح ما تمَّ إثباته من (ب) و(د).</w:t>
      </w:r>
    </w:p>
  </w:footnote>
  <w:footnote w:id="530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وقواعده :</w:t>
      </w:r>
    </w:p>
    <w:p w:rsidR="00035BE3" w:rsidRDefault="00035BE3" w:rsidP="00F0471F">
      <w:pPr>
        <w:pStyle w:val="a6"/>
        <w:ind w:left="422" w:firstLine="0"/>
        <w:rPr>
          <w:b/>
          <w:bCs/>
          <w:rtl/>
        </w:rPr>
      </w:pPr>
      <w:r>
        <w:rPr>
          <w:rFonts w:hint="cs"/>
          <w:b/>
          <w:bCs/>
          <w:rtl/>
        </w:rPr>
        <w:t>فمن كتب القواعد :</w:t>
      </w:r>
    </w:p>
    <w:p w:rsidR="00035BE3" w:rsidRDefault="00035BE3" w:rsidP="00F0471F">
      <w:pPr>
        <w:pStyle w:val="a6"/>
        <w:ind w:left="422" w:firstLine="0"/>
        <w:rPr>
          <w:rtl/>
        </w:rPr>
      </w:pPr>
      <w:r>
        <w:rPr>
          <w:rFonts w:hint="cs"/>
          <w:rtl/>
        </w:rPr>
        <w:t xml:space="preserve">المنثور، 3/345- ولفظه : </w:t>
      </w:r>
      <w:r>
        <w:rPr>
          <w:rFonts w:hint="eastAsia"/>
          <w:rtl/>
        </w:rPr>
        <w:t>«</w:t>
      </w:r>
      <w:r>
        <w:rPr>
          <w:rFonts w:hint="cs"/>
          <w:rtl/>
        </w:rPr>
        <w:t>الولاية الخاصة أقوى من العامة</w:t>
      </w:r>
      <w:r>
        <w:rPr>
          <w:rFonts w:hint="eastAsia"/>
          <w:rtl/>
        </w:rPr>
        <w:t>»</w:t>
      </w:r>
      <w:r>
        <w:rPr>
          <w:rFonts w:hint="cs"/>
          <w:rtl/>
        </w:rPr>
        <w:t xml:space="preserve">-؛ الأشباه للسيوطي، 1/339- </w:t>
      </w:r>
      <w:r w:rsidRPr="00A35BAC">
        <w:rPr>
          <w:rFonts w:hint="cs"/>
          <w:spacing w:val="2"/>
          <w:rtl/>
        </w:rPr>
        <w:t xml:space="preserve">ولفظه: </w:t>
      </w:r>
      <w:r w:rsidRPr="00A35BAC">
        <w:rPr>
          <w:rFonts w:hint="eastAsia"/>
          <w:spacing w:val="2"/>
          <w:rtl/>
        </w:rPr>
        <w:t>«</w:t>
      </w:r>
      <w:r w:rsidRPr="00A35BAC">
        <w:rPr>
          <w:rFonts w:hint="cs"/>
          <w:spacing w:val="2"/>
          <w:rtl/>
        </w:rPr>
        <w:t>الولاية الخاصة أقوى من الولاية العامة</w:t>
      </w:r>
      <w:r w:rsidRPr="00A35BAC">
        <w:rPr>
          <w:rFonts w:hint="eastAsia"/>
          <w:spacing w:val="2"/>
          <w:rtl/>
        </w:rPr>
        <w:t>»</w:t>
      </w:r>
      <w:r w:rsidRPr="00A35BAC">
        <w:rPr>
          <w:rFonts w:hint="cs"/>
          <w:spacing w:val="2"/>
          <w:rtl/>
        </w:rPr>
        <w:t>-؛ ولابن نجيم، ص184- ولفظه كلفظ السيوطي-</w:t>
      </w:r>
      <w:r>
        <w:rPr>
          <w:rFonts w:hint="cs"/>
          <w:rtl/>
        </w:rPr>
        <w:t>؛ الفرائد البهية وشرحاها: الأقمار المضيئة، ص226؛ والمواهب السنية وحاشيتها : الفوائد الجنية، 2/319- ولفظ الفرائد :</w:t>
      </w:r>
    </w:p>
    <w:p w:rsidR="00035BE3" w:rsidRDefault="00035BE3" w:rsidP="00F0471F">
      <w:pPr>
        <w:pStyle w:val="a6"/>
        <w:ind w:left="422" w:firstLine="0"/>
        <w:rPr>
          <w:b/>
          <w:bCs/>
          <w:rtl/>
        </w:rPr>
      </w:pPr>
      <w:r>
        <w:rPr>
          <w:rFonts w:hint="cs"/>
          <w:b/>
          <w:bCs/>
          <w:rtl/>
        </w:rPr>
        <w:t>ثـم الـولايـة الـتي تـخـتـص     مـن ضـدهـا أقـوى كـما قـد نـصّـوا-؛</w:t>
      </w:r>
    </w:p>
    <w:p w:rsidR="00035BE3" w:rsidRDefault="00035BE3" w:rsidP="00F0471F">
      <w:pPr>
        <w:pStyle w:val="a6"/>
        <w:ind w:left="422" w:firstLine="0"/>
        <w:rPr>
          <w:rtl/>
        </w:rPr>
      </w:pPr>
      <w:r>
        <w:rPr>
          <w:rFonts w:hint="cs"/>
          <w:rtl/>
        </w:rPr>
        <w:t xml:space="preserve">مجامع الحقائق (الخاتمة)، ص47؛ شرح العلائي </w:t>
      </w:r>
      <w:r>
        <w:rPr>
          <w:rFonts w:hint="cs"/>
          <w:spacing w:val="-2"/>
          <w:rtl/>
        </w:rPr>
        <w:t>لقواعد الخادمي، ل40/أ؛ منافع الدقائق، ص333-334؛</w:t>
      </w:r>
      <w:r>
        <w:rPr>
          <w:rFonts w:hint="cs"/>
          <w:rtl/>
        </w:rPr>
        <w:t xml:space="preserve"> مجلة الأحكام العدلية، مادة 59؛ شرحها لسليم رستم، 1/43؛ ولعـلي حيدر، 1/52؛ وللأتـاسـي، 1/147؛ وشرح قواعدها للزرقا، ص311؛ قواعد الفقه للمجدّدي، ص138، قاعدة 395؛ المدخل الفقهي العام، 2/1049، فقرة 661؛ القواعد الفقهية لِـ د. علي الندوي، ص421؛ المدخل إلى القواعد، 165؛ المبادئ الفقهية، ص38؛ القواعد الفقهية للدّعاس، ص106، قاعدة 90؛ ولِـ د. محمد الزحيلي، ص88؛ تطبيقات القواعد والضوابط لِـ د. سعود الغديان، ص1645- ولفظ المجلة وما بعدها كلفظ أشباه السيوطي-.</w:t>
      </w:r>
    </w:p>
    <w:p w:rsidR="00035BE3" w:rsidRDefault="00035BE3" w:rsidP="00F0471F">
      <w:pPr>
        <w:pStyle w:val="a6"/>
        <w:ind w:left="422" w:firstLine="0"/>
        <w:rPr>
          <w:b/>
          <w:bCs/>
          <w:rtl/>
        </w:rPr>
      </w:pPr>
      <w:r>
        <w:rPr>
          <w:rFonts w:hint="cs"/>
          <w:b/>
          <w:bCs/>
          <w:rtl/>
        </w:rPr>
        <w:t>ومن كتب الفقه :</w:t>
      </w:r>
    </w:p>
    <w:p w:rsidR="00035BE3" w:rsidRDefault="00035BE3" w:rsidP="00F0471F">
      <w:pPr>
        <w:pStyle w:val="a6"/>
        <w:ind w:left="422" w:firstLine="0"/>
        <w:rPr>
          <w:rtl/>
        </w:rPr>
      </w:pPr>
      <w:r>
        <w:rPr>
          <w:rFonts w:hint="cs"/>
          <w:rtl/>
        </w:rPr>
        <w:t>القوانين الفقهية لابن جزي، ص134؛ التاج والإكليل، 5/58؛ رد المحتار، 6/570، 582.</w:t>
      </w:r>
    </w:p>
  </w:footnote>
  <w:footnote w:id="5308">
    <w:p w:rsidR="00035BE3" w:rsidRDefault="00035BE3" w:rsidP="00F0471F">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w:t>
      </w:r>
      <w:r w:rsidRPr="00A35BAC">
        <w:rPr>
          <w:rFonts w:hint="cs"/>
          <w:spacing w:val="-8"/>
          <w:rtl/>
        </w:rPr>
        <w:t xml:space="preserve"> في (أ): </w:t>
      </w:r>
      <w:r w:rsidRPr="00A35BAC">
        <w:rPr>
          <w:rFonts w:hint="eastAsia"/>
          <w:spacing w:val="-8"/>
          <w:rtl/>
        </w:rPr>
        <w:t>«</w:t>
      </w:r>
      <w:r w:rsidRPr="00A35BAC">
        <w:rPr>
          <w:rFonts w:hint="cs"/>
          <w:spacing w:val="-8"/>
          <w:rtl/>
        </w:rPr>
        <w:t>لوزج</w:t>
      </w:r>
      <w:r w:rsidRPr="00A35BAC">
        <w:rPr>
          <w:rFonts w:hint="eastAsia"/>
          <w:spacing w:val="-8"/>
          <w:rtl/>
        </w:rPr>
        <w:t>»</w:t>
      </w:r>
      <w:r w:rsidRPr="00A35BAC">
        <w:rPr>
          <w:rFonts w:hint="cs"/>
          <w:spacing w:val="-8"/>
          <w:rtl/>
        </w:rPr>
        <w:t>. والصحيح ما تمَّ إثباته من باقي النسخ، وهو الموافق لمصدر هذه العبارة (وهو أشباه ابن نجيم).</w:t>
      </w:r>
    </w:p>
  </w:footnote>
  <w:footnote w:id="530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زيادة </w:t>
      </w:r>
      <w:r>
        <w:rPr>
          <w:rFonts w:hint="eastAsia"/>
          <w:rtl/>
        </w:rPr>
        <w:t>«</w:t>
      </w:r>
      <w:r>
        <w:rPr>
          <w:rFonts w:hint="cs"/>
          <w:rtl/>
        </w:rPr>
        <w:t>لا</w:t>
      </w:r>
      <w:r>
        <w:rPr>
          <w:rFonts w:hint="eastAsia"/>
          <w:rtl/>
        </w:rPr>
        <w:t>»</w:t>
      </w:r>
      <w:r>
        <w:rPr>
          <w:rFonts w:hint="cs"/>
          <w:rtl/>
        </w:rPr>
        <w:t xml:space="preserve"> (ولا اليتيمة).</w:t>
      </w:r>
    </w:p>
  </w:footnote>
  <w:footnote w:id="531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ولو ذا رحم ...</w:t>
      </w:r>
      <w:r>
        <w:rPr>
          <w:rFonts w:hint="eastAsia"/>
          <w:rtl/>
        </w:rPr>
        <w:t>»</w:t>
      </w:r>
      <w:r>
        <w:rPr>
          <w:rFonts w:hint="cs"/>
          <w:rtl/>
        </w:rPr>
        <w:t xml:space="preserve"> معناه : ولو كان الولي الخاص ذا رحمٍ محرم لليتيم أو اليتيمة، أو كان أمًّا لهما أو معتِقًا لهما.</w:t>
      </w:r>
    </w:p>
  </w:footnote>
  <w:footnote w:id="531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استيفاء والقصاص والصلح والعفو</w:t>
      </w:r>
      <w:r>
        <w:rPr>
          <w:rFonts w:hint="eastAsia"/>
          <w:rtl/>
        </w:rPr>
        <w:t>»</w:t>
      </w:r>
      <w:r>
        <w:rPr>
          <w:rFonts w:hint="cs"/>
          <w:rtl/>
        </w:rPr>
        <w:t>.</w:t>
      </w:r>
    </w:p>
    <w:p w:rsidR="00035BE3" w:rsidRDefault="00035BE3" w:rsidP="00F0471F">
      <w:pPr>
        <w:pStyle w:val="a6"/>
        <w:ind w:left="422" w:firstLine="0"/>
        <w:rPr>
          <w:rtl/>
        </w:rPr>
      </w:pPr>
      <w:r>
        <w:rPr>
          <w:rFonts w:hint="cs"/>
          <w:rtl/>
        </w:rPr>
        <w:t>أي : أن هذه الحقوق من حقوق الولي.</w:t>
      </w:r>
    </w:p>
  </w:footnote>
  <w:footnote w:id="531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لابن نجيم، ص184- سوى التعليل الأخير (وهو قوله: لأنها... إسقاطها) فإنه لم يرد في </w:t>
      </w:r>
      <w:r w:rsidRPr="00570615">
        <w:rPr>
          <w:rFonts w:hint="cs"/>
          <w:spacing w:val="-2"/>
          <w:rtl/>
        </w:rPr>
        <w:t>الأشباه-؛ وانظر الأشباه للسيوطي، 1/339؛ الأقمار المضيئة، ص226؛ غمز عيون البصائر، 1/455.</w:t>
      </w:r>
    </w:p>
  </w:footnote>
  <w:footnote w:id="531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(بالنقص) في جميع النسخ، ومثله في الأشباه لابن نجيم (في ثلاث طبعات من طبعاته). والنقص هو أحد اللغات في (أب) إلا أنه أقلها شيوعًا.</w:t>
      </w:r>
    </w:p>
    <w:p w:rsidR="00035BE3" w:rsidRDefault="00035BE3" w:rsidP="00F0471F">
      <w:pPr>
        <w:pStyle w:val="a6"/>
        <w:ind w:left="422" w:firstLine="0"/>
        <w:rPr>
          <w:rtl/>
        </w:rPr>
      </w:pPr>
      <w:r>
        <w:rPr>
          <w:rFonts w:hint="cs"/>
          <w:rtl/>
        </w:rPr>
        <w:t>وقد سبق بيان ذلك وتوثيقه، ص196، فراجعه إن شئت.</w:t>
      </w:r>
    </w:p>
  </w:footnote>
  <w:footnote w:id="531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المعتق</w:t>
      </w:r>
      <w:r>
        <w:rPr>
          <w:rFonts w:hint="eastAsia"/>
          <w:rtl/>
        </w:rPr>
        <w:t>»</w:t>
      </w:r>
      <w:r>
        <w:rPr>
          <w:rFonts w:hint="cs"/>
          <w:rtl/>
        </w:rPr>
        <w:t>.</w:t>
      </w:r>
    </w:p>
  </w:footnote>
  <w:footnote w:id="531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قبل</w:t>
      </w:r>
      <w:r>
        <w:rPr>
          <w:rFonts w:hint="eastAsia"/>
          <w:rtl/>
        </w:rPr>
        <w:t>»</w:t>
      </w:r>
      <w:r>
        <w:rPr>
          <w:rFonts w:hint="cs"/>
          <w:rtl/>
        </w:rPr>
        <w:t>.</w:t>
      </w:r>
    </w:p>
  </w:footnote>
  <w:footnote w:id="531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 xml:space="preserve"> المعتق </w:t>
      </w:r>
      <w:r>
        <w:rPr>
          <w:rFonts w:hint="eastAsia"/>
          <w:rtl/>
        </w:rPr>
        <w:t>»</w:t>
      </w:r>
      <w:r>
        <w:rPr>
          <w:rFonts w:hint="cs"/>
          <w:rtl/>
        </w:rPr>
        <w:t>.</w:t>
      </w:r>
    </w:p>
  </w:footnote>
  <w:footnote w:id="531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والعناية ونتائج الأفكار، 10/225؛ الكنز وشرحيه : تبيين الحقائق، 6/107؛ وتكملة البحر الرائق، 8/341؛ الدرر شرح الغرر، 2/94؛ الأشباه لابن نجيم، ص184؛ (وفي طبعة دار الفكر : ص186)؛ ومع غمز عيون البصائر، 1/455.</w:t>
      </w:r>
    </w:p>
  </w:footnote>
  <w:footnote w:id="531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111/ب من (أ).</w:t>
      </w:r>
    </w:p>
  </w:footnote>
  <w:footnote w:id="5319">
    <w:p w:rsidR="00035BE3" w:rsidRDefault="00035BE3" w:rsidP="00F0471F">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هامش (أ) : </w:t>
      </w:r>
      <w:r>
        <w:rPr>
          <w:rFonts w:hint="eastAsia"/>
          <w:rtl/>
        </w:rPr>
        <w:t>«</w:t>
      </w:r>
      <w:r>
        <w:rPr>
          <w:rFonts w:hint="cs"/>
          <w:rtl/>
        </w:rPr>
        <w:t>أي أب المعتوه</w:t>
      </w:r>
      <w:r>
        <w:rPr>
          <w:rFonts w:hint="eastAsia"/>
          <w:rtl/>
        </w:rPr>
        <w:t>»</w:t>
      </w:r>
      <w:r>
        <w:rPr>
          <w:rFonts w:hint="cs"/>
          <w:rtl/>
        </w:rPr>
        <w:t>.</w:t>
      </w:r>
    </w:p>
    <w:p w:rsidR="00035BE3" w:rsidRDefault="00035BE3" w:rsidP="00F0471F">
      <w:pPr>
        <w:pStyle w:val="a6"/>
        <w:spacing w:line="264" w:lineRule="auto"/>
        <w:ind w:left="420" w:firstLine="0"/>
        <w:rPr>
          <w:rtl/>
        </w:rPr>
      </w:pPr>
      <w:r>
        <w:rPr>
          <w:rFonts w:hint="cs"/>
          <w:rtl/>
        </w:rPr>
        <w:t>والمراد : لا يسقط حقَّ أبي المعتوه.</w:t>
      </w:r>
    </w:p>
  </w:footnote>
  <w:footnote w:id="5320">
    <w:p w:rsidR="00035BE3" w:rsidRDefault="00035BE3" w:rsidP="00F0471F">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صورة المسألة</w:t>
      </w:r>
      <w:r>
        <w:rPr>
          <w:rFonts w:hint="cs"/>
          <w:rtl/>
        </w:rPr>
        <w:t xml:space="preserve"> :</w:t>
      </w:r>
    </w:p>
    <w:p w:rsidR="00035BE3" w:rsidRDefault="00035BE3" w:rsidP="00F0471F">
      <w:pPr>
        <w:pStyle w:val="a6"/>
        <w:spacing w:line="264" w:lineRule="auto"/>
        <w:ind w:left="420" w:firstLine="0"/>
        <w:rPr>
          <w:rtl/>
        </w:rPr>
      </w:pPr>
      <w:r>
        <w:rPr>
          <w:rFonts w:hint="cs"/>
          <w:rtl/>
        </w:rPr>
        <w:t xml:space="preserve">إذا كان لزيد ابن  معتوه، وكان هذا الابن وليًّا لثالث (كأن يكون هذا الثالث ابنًا له)، وقُتل هذا الثالث: فإن جدّه لا يملك العفو عن قاتله؛ لأن الجدّ وإن كان له ولاية خاصة على الأب المعتوه، إلا </w:t>
      </w:r>
      <w:r w:rsidRPr="00322AF3">
        <w:rPr>
          <w:rFonts w:hint="cs"/>
          <w:spacing w:val="-4"/>
          <w:rtl/>
        </w:rPr>
        <w:t xml:space="preserve">أن الذي يهمنا هنا الولاية على المقتول، وهي ثابتة ابتداءً للأب المعتوه، وهو موجود، والجد إنما هو </w:t>
      </w:r>
      <w:r>
        <w:rPr>
          <w:rFonts w:hint="cs"/>
          <w:rtl/>
        </w:rPr>
        <w:t xml:space="preserve">قائم مقامه، ممّا يعني أنه لم تـثـبت الولاية للجدّ ابتداءً </w:t>
      </w:r>
      <w:r>
        <w:rPr>
          <w:rFonts w:hint="eastAsia"/>
          <w:rtl/>
        </w:rPr>
        <w:t>«</w:t>
      </w:r>
      <w:r>
        <w:rPr>
          <w:rFonts w:hint="cs"/>
          <w:rtl/>
        </w:rPr>
        <w:t>والكلام إنما هو في الولي الثابتة له الولاية ابتداء</w:t>
      </w:r>
      <w:r>
        <w:rPr>
          <w:rFonts w:hint="eastAsia"/>
          <w:rtl/>
        </w:rPr>
        <w:t>»</w:t>
      </w:r>
      <w:r>
        <w:rPr>
          <w:rFonts w:hint="cs"/>
          <w:rtl/>
        </w:rPr>
        <w:t>- قاله صاحب غمز عيون البصائر، 1/455-.</w:t>
      </w:r>
    </w:p>
    <w:p w:rsidR="00035BE3" w:rsidRDefault="00035BE3" w:rsidP="00F0471F">
      <w:pPr>
        <w:pStyle w:val="a6"/>
        <w:ind w:left="422" w:hanging="2"/>
        <w:rPr>
          <w:rtl/>
        </w:rPr>
      </w:pPr>
      <w:r>
        <w:rPr>
          <w:rFonts w:hint="cs"/>
          <w:rtl/>
        </w:rPr>
        <w:t>وإذا تقرّر هذا فإن حقَّ الأب المعتوه لا يسقط بإسقاط الجد له بالعفو.</w:t>
      </w:r>
    </w:p>
  </w:footnote>
  <w:footnote w:id="532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المصادر المذكورة في هامش (7) من الصفحة السابقة.</w:t>
      </w:r>
    </w:p>
  </w:footnote>
  <w:footnote w:id="532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ناظر</w:t>
      </w:r>
      <w:r>
        <w:rPr>
          <w:rFonts w:hint="eastAsia"/>
          <w:rtl/>
        </w:rPr>
        <w:t>»</w:t>
      </w:r>
      <w:r>
        <w:rPr>
          <w:rFonts w:hint="cs"/>
          <w:rtl/>
        </w:rPr>
        <w:t xml:space="preserve"> (بإسقاط الألف).</w:t>
      </w:r>
    </w:p>
  </w:footnote>
  <w:footnote w:id="532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الواو هنا استئنافية، وليست جزء من لفظ القاعدة؛ ولعلّ مبّرر وجود القاعدة في باب (الواو) كون المبتدأ المؤخر (وهو : وجود) يبدأ بحرف الواو.</w:t>
      </w:r>
    </w:p>
  </w:footnote>
  <w:footnote w:id="532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تمثّل رأي طائفة من الأصوليين في مسألة من المسائل الخلافية، وهي ما ترجم لها صاحب (الميزان) </w:t>
      </w:r>
      <w:r>
        <w:rPr>
          <w:rtl/>
        </w:rPr>
        <w:t>–</w:t>
      </w:r>
      <w:r>
        <w:rPr>
          <w:rFonts w:hint="cs"/>
          <w:rtl/>
        </w:rPr>
        <w:t xml:space="preserve">1/442- بقوله : </w:t>
      </w:r>
      <w:r>
        <w:rPr>
          <w:rFonts w:hint="eastAsia"/>
          <w:rtl/>
        </w:rPr>
        <w:t>«</w:t>
      </w:r>
      <w:r>
        <w:rPr>
          <w:rFonts w:hint="cs"/>
          <w:rtl/>
        </w:rPr>
        <w:t>اللفظ العام إذا استعمل بطريق المجاز هل يكون له عموم؟</w:t>
      </w:r>
      <w:r>
        <w:rPr>
          <w:rFonts w:hint="eastAsia"/>
          <w:rtl/>
        </w:rPr>
        <w:t>»</w:t>
      </w:r>
      <w:r>
        <w:rPr>
          <w:rFonts w:hint="cs"/>
          <w:rtl/>
        </w:rPr>
        <w:t>.</w:t>
      </w:r>
    </w:p>
    <w:p w:rsidR="00035BE3" w:rsidRDefault="00035BE3" w:rsidP="00F0471F">
      <w:pPr>
        <w:pStyle w:val="a6"/>
        <w:ind w:left="422" w:firstLine="0"/>
        <w:rPr>
          <w:rtl/>
        </w:rPr>
      </w:pPr>
      <w:r>
        <w:rPr>
          <w:rFonts w:hint="cs"/>
          <w:b/>
          <w:bCs/>
          <w:rtl/>
        </w:rPr>
        <w:t>إذْ المراد بالقاعدة</w:t>
      </w:r>
      <w:r>
        <w:rPr>
          <w:rFonts w:hint="cs"/>
          <w:rtl/>
        </w:rPr>
        <w:t xml:space="preserve"> : أن اللفظ إذا كان مجازًا فإنه يعمل بما استعير له، سواء كان خاصًّا أم عامًّا. وكونه يعمل به إذا كان خاصًّا لا إشكال فيه، أما كونه يعمل به إذا كان عامًّا أيضًا فهذا محل خلاف. وهو ما عقد له صاحب (الميزان) الترجمة المذكورة.</w:t>
      </w:r>
    </w:p>
    <w:p w:rsidR="00035BE3" w:rsidRDefault="00035BE3" w:rsidP="00F0471F">
      <w:pPr>
        <w:pStyle w:val="a6"/>
        <w:ind w:left="422" w:firstLine="0"/>
        <w:rPr>
          <w:rtl/>
        </w:rPr>
      </w:pPr>
      <w:r>
        <w:rPr>
          <w:rFonts w:hint="cs"/>
          <w:rtl/>
        </w:rPr>
        <w:t>- و</w:t>
      </w:r>
      <w:r>
        <w:rPr>
          <w:rFonts w:hint="eastAsia"/>
          <w:rtl/>
        </w:rPr>
        <w:t>«</w:t>
      </w:r>
      <w:r>
        <w:rPr>
          <w:rFonts w:hint="cs"/>
          <w:b/>
          <w:bCs/>
          <w:rtl/>
        </w:rPr>
        <w:t>صورة المسألة</w:t>
      </w:r>
      <w:r>
        <w:rPr>
          <w:rFonts w:hint="cs"/>
          <w:rtl/>
        </w:rPr>
        <w:t xml:space="preserve"> : أن يشتمل المجاز على السبب المقتضي للعموم، من الألف واللام وغيرها، والمحلّ قابلٌ للعموم، فهل يجب القول بعمومه؛ عملاً بالمقتضي السالم عن المعارض، كما يجب العمل به عند وجوده في الحقيقة أم لا؛ لأنه ثبت للضرورة؟</w:t>
      </w:r>
      <w:r>
        <w:rPr>
          <w:rFonts w:hint="eastAsia"/>
          <w:rtl/>
        </w:rPr>
        <w:t>»</w:t>
      </w:r>
      <w:r>
        <w:rPr>
          <w:rFonts w:hint="cs"/>
          <w:rtl/>
        </w:rPr>
        <w:t>- قاله الزركشي في التشنيف، 2/647-.</w:t>
      </w:r>
    </w:p>
    <w:p w:rsidR="00035BE3" w:rsidRDefault="00035BE3" w:rsidP="00F0471F">
      <w:pPr>
        <w:pStyle w:val="a6"/>
        <w:ind w:left="422" w:firstLine="0"/>
        <w:rPr>
          <w:rtl/>
        </w:rPr>
      </w:pPr>
      <w:r>
        <w:rPr>
          <w:rFonts w:hint="cs"/>
          <w:rtl/>
        </w:rPr>
        <w:t xml:space="preserve">- </w:t>
      </w:r>
      <w:r>
        <w:rPr>
          <w:rFonts w:hint="cs"/>
          <w:b/>
          <w:bCs/>
          <w:rtl/>
        </w:rPr>
        <w:t>ولتحرير محلّ النزاع</w:t>
      </w:r>
      <w:r>
        <w:rPr>
          <w:rFonts w:hint="cs"/>
          <w:rtl/>
        </w:rPr>
        <w:t xml:space="preserve"> فيها يُقال :</w:t>
      </w:r>
    </w:p>
    <w:p w:rsidR="00035BE3" w:rsidRDefault="00035BE3" w:rsidP="00F0471F">
      <w:pPr>
        <w:pStyle w:val="a6"/>
        <w:ind w:left="422" w:firstLine="0"/>
        <w:rPr>
          <w:rtl/>
        </w:rPr>
      </w:pPr>
      <w:r>
        <w:rPr>
          <w:rFonts w:hint="cs"/>
          <w:b/>
          <w:bCs/>
          <w:rtl/>
        </w:rPr>
        <w:t>1</w:t>
      </w:r>
      <w:r>
        <w:rPr>
          <w:rFonts w:hint="cs"/>
          <w:rtl/>
        </w:rPr>
        <w:t xml:space="preserve">- </w:t>
      </w:r>
      <w:r>
        <w:rPr>
          <w:rFonts w:hint="eastAsia"/>
          <w:rtl/>
        </w:rPr>
        <w:t>«</w:t>
      </w:r>
      <w:r>
        <w:rPr>
          <w:rFonts w:hint="cs"/>
          <w:rtl/>
        </w:rPr>
        <w:t>لا خلاف أن حكم الحقيقة : ثبوت ما وضع اللفظ له، خاصًّا كان أو عامًّا؟</w:t>
      </w:r>
      <w:r>
        <w:rPr>
          <w:rFonts w:hint="eastAsia"/>
          <w:rtl/>
        </w:rPr>
        <w:t>»</w:t>
      </w:r>
      <w:r>
        <w:rPr>
          <w:rFonts w:hint="cs"/>
          <w:rtl/>
        </w:rPr>
        <w:t xml:space="preserve"> -قاله صاحب التشنيف أيضًا، 2/645-.</w:t>
      </w:r>
    </w:p>
    <w:p w:rsidR="00035BE3" w:rsidRDefault="00035BE3" w:rsidP="00F0471F">
      <w:pPr>
        <w:pStyle w:val="a6"/>
        <w:ind w:left="422" w:firstLine="0"/>
        <w:rPr>
          <w:rtl/>
        </w:rPr>
      </w:pPr>
      <w:r>
        <w:rPr>
          <w:rFonts w:hint="cs"/>
          <w:b/>
          <w:bCs/>
          <w:rtl/>
        </w:rPr>
        <w:t>2</w:t>
      </w:r>
      <w:r>
        <w:rPr>
          <w:rFonts w:hint="cs"/>
          <w:rtl/>
        </w:rPr>
        <w:t xml:space="preserve">- كما أنَّ </w:t>
      </w:r>
      <w:r>
        <w:rPr>
          <w:rFonts w:hint="eastAsia"/>
          <w:rtl/>
        </w:rPr>
        <w:t>«</w:t>
      </w:r>
      <w:r>
        <w:rPr>
          <w:rFonts w:hint="cs"/>
          <w:rtl/>
        </w:rPr>
        <w:t>المجاز المقترن بشيء من أدلّة العموم؛ كالمعرف باللام ونحوه لا خلاف في أنّه لا يعمّ جميع ما يصلح له اللفظ من أنواع ...</w:t>
      </w:r>
      <w:r>
        <w:rPr>
          <w:rFonts w:hint="eastAsia"/>
          <w:rtl/>
        </w:rPr>
        <w:t>»</w:t>
      </w:r>
      <w:r>
        <w:rPr>
          <w:rFonts w:hint="cs"/>
          <w:rtl/>
        </w:rPr>
        <w:t>- قاله صاحب التلويح، 1/86، كما قال أيضًا :-</w:t>
      </w:r>
    </w:p>
    <w:p w:rsidR="00035BE3" w:rsidRDefault="00035BE3" w:rsidP="00F0471F">
      <w:pPr>
        <w:pStyle w:val="a6"/>
        <w:ind w:left="422" w:firstLine="0"/>
        <w:rPr>
          <w:rtl/>
        </w:rPr>
      </w:pPr>
      <w:r>
        <w:rPr>
          <w:rFonts w:hint="cs"/>
          <w:b/>
          <w:bCs/>
          <w:rtl/>
        </w:rPr>
        <w:t>3</w:t>
      </w:r>
      <w:r>
        <w:rPr>
          <w:rFonts w:hint="cs"/>
          <w:rtl/>
        </w:rPr>
        <w:t xml:space="preserve">- </w:t>
      </w:r>
      <w:r>
        <w:rPr>
          <w:rFonts w:hint="eastAsia"/>
          <w:rtl/>
        </w:rPr>
        <w:t>«</w:t>
      </w:r>
      <w:r>
        <w:rPr>
          <w:rFonts w:hint="cs"/>
          <w:rtl/>
        </w:rPr>
        <w:t>أما إذا استعمل باعتبار أحد الأنواع؛ كلفظ الصاع المستعمل فيما يحلّه ... [فهل] يعمّ جميع أفراد ذلك المعنى؟</w:t>
      </w:r>
      <w:r>
        <w:rPr>
          <w:rFonts w:hint="eastAsia"/>
          <w:rtl/>
        </w:rPr>
        <w:t>»</w:t>
      </w:r>
      <w:r>
        <w:rPr>
          <w:rFonts w:hint="cs"/>
          <w:rtl/>
        </w:rPr>
        <w:t>. هذا محل النزاع :</w:t>
      </w:r>
    </w:p>
    <w:p w:rsidR="00035BE3" w:rsidRDefault="00035BE3" w:rsidP="00F0471F">
      <w:pPr>
        <w:pStyle w:val="a6"/>
        <w:ind w:left="422" w:firstLine="0"/>
        <w:rPr>
          <w:rtl/>
        </w:rPr>
      </w:pPr>
      <w:r>
        <w:rPr>
          <w:rFonts w:hint="cs"/>
          <w:rtl/>
        </w:rPr>
        <w:t xml:space="preserve">- </w:t>
      </w:r>
      <w:r>
        <w:rPr>
          <w:rFonts w:hint="cs"/>
          <w:b/>
          <w:bCs/>
          <w:rtl/>
        </w:rPr>
        <w:t>فقد اختلف العلماء في ذلك على قولين</w:t>
      </w:r>
      <w:r>
        <w:rPr>
          <w:rFonts w:hint="cs"/>
          <w:rtl/>
        </w:rPr>
        <w:t xml:space="preserve"> :</w:t>
      </w:r>
    </w:p>
    <w:p w:rsidR="00035BE3" w:rsidRDefault="00035BE3" w:rsidP="00F0471F">
      <w:pPr>
        <w:pStyle w:val="a6"/>
        <w:spacing w:line="264" w:lineRule="auto"/>
        <w:ind w:left="420" w:firstLine="0"/>
        <w:rPr>
          <w:rtl/>
        </w:rPr>
      </w:pPr>
      <w:r>
        <w:rPr>
          <w:rFonts w:hint="cs"/>
          <w:b/>
          <w:bCs/>
          <w:rtl/>
        </w:rPr>
        <w:t>الأول</w:t>
      </w:r>
      <w:r>
        <w:rPr>
          <w:rFonts w:hint="cs"/>
          <w:rtl/>
        </w:rPr>
        <w:t xml:space="preserve"> : المجاز يكون عامًّا. وهذا قول الجمهور- كما أفاد ذلك صاحب (الميزان) و(التشنيف) وغيرهما-. وهذا القول هو ما تمثله قاعدة المؤلف.</w:t>
      </w:r>
    </w:p>
    <w:p w:rsidR="00035BE3" w:rsidRDefault="00035BE3" w:rsidP="00F0471F">
      <w:pPr>
        <w:pStyle w:val="a6"/>
        <w:spacing w:line="264" w:lineRule="auto"/>
        <w:ind w:left="420" w:firstLine="0"/>
        <w:rPr>
          <w:rtl/>
        </w:rPr>
      </w:pPr>
      <w:r>
        <w:rPr>
          <w:rFonts w:hint="cs"/>
          <w:b/>
          <w:bCs/>
          <w:rtl/>
        </w:rPr>
        <w:t>الثاني</w:t>
      </w:r>
      <w:r>
        <w:rPr>
          <w:rFonts w:hint="cs"/>
          <w:rtl/>
        </w:rPr>
        <w:t xml:space="preserve"> : المجاز لا يكون عامًّا. وهذا القول نقله بعض الشافعية </w:t>
      </w:r>
      <w:r>
        <w:rPr>
          <w:rFonts w:hint="eastAsia"/>
          <w:rtl/>
        </w:rPr>
        <w:t>«</w:t>
      </w:r>
      <w:r>
        <w:rPr>
          <w:rFonts w:hint="cs"/>
          <w:rtl/>
        </w:rPr>
        <w:t>عن بعض الحنفية (كالمقتضي)، وهم نقلوه عن بعض الشافعية</w:t>
      </w:r>
      <w:r>
        <w:rPr>
          <w:rFonts w:hint="eastAsia"/>
          <w:rtl/>
        </w:rPr>
        <w:t>»</w:t>
      </w:r>
      <w:r>
        <w:rPr>
          <w:rFonts w:hint="cs"/>
          <w:rtl/>
        </w:rPr>
        <w:t>- قاله المحلي في شرحه لجمع الجوامع، 1/401-402-.</w:t>
      </w:r>
    </w:p>
    <w:p w:rsidR="00035BE3" w:rsidRDefault="00035BE3" w:rsidP="00F0471F">
      <w:pPr>
        <w:pStyle w:val="a6"/>
        <w:spacing w:line="264" w:lineRule="auto"/>
        <w:ind w:left="420" w:firstLine="0"/>
        <w:rPr>
          <w:rtl/>
        </w:rPr>
      </w:pPr>
      <w:r>
        <w:rPr>
          <w:rFonts w:hint="cs"/>
          <w:rtl/>
        </w:rPr>
        <w:t xml:space="preserve">وممن نقله عن بعض الشافعية أيضًا : ابن السمعاني في القواطع -1/322- وتابعه الزركشي في البحر -3/15-، وفي التشنيف </w:t>
      </w:r>
      <w:r>
        <w:rPr>
          <w:rtl/>
        </w:rPr>
        <w:t>–</w:t>
      </w:r>
      <w:r>
        <w:rPr>
          <w:rFonts w:hint="cs"/>
          <w:rtl/>
        </w:rPr>
        <w:t>2/647-.</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422" w:hanging="2"/>
        <w:rPr>
          <w:rtl/>
        </w:rPr>
      </w:pPr>
      <w:r>
        <w:rPr>
          <w:rFonts w:hint="cs"/>
          <w:rtl/>
        </w:rPr>
        <w:t xml:space="preserve">وقول المحلي (لعله كالمقتضى) المراد منه : أن قول بعض الحنفية في هذه المسألة كقول عامتهم في مسألة أخرى مشابهة لها، وهي : هل المقـتضى يكون عامًّا؟. وقد عبّر عن رأيهم السـرخسي - في أصولـه، 1/248- بقوله : </w:t>
      </w:r>
      <w:r>
        <w:rPr>
          <w:rFonts w:hint="eastAsia"/>
          <w:rtl/>
        </w:rPr>
        <w:t>«</w:t>
      </w:r>
      <w:r>
        <w:rPr>
          <w:rFonts w:hint="cs"/>
          <w:rtl/>
        </w:rPr>
        <w:t>ولا عموم للمقتضي عندنا</w:t>
      </w:r>
      <w:r>
        <w:rPr>
          <w:rFonts w:hint="eastAsia"/>
          <w:rtl/>
        </w:rPr>
        <w:t>»</w:t>
      </w:r>
      <w:r>
        <w:rPr>
          <w:rFonts w:hint="cs"/>
          <w:rtl/>
        </w:rPr>
        <w:t>.</w:t>
      </w:r>
    </w:p>
    <w:p w:rsidR="00035BE3" w:rsidRDefault="00035BE3" w:rsidP="00F0471F">
      <w:pPr>
        <w:pStyle w:val="a6"/>
        <w:ind w:left="422" w:hanging="2"/>
        <w:rPr>
          <w:rtl/>
        </w:rPr>
      </w:pPr>
      <w:r>
        <w:rPr>
          <w:rFonts w:hint="cs"/>
          <w:rtl/>
        </w:rPr>
        <w:t>ومسألتا : عموم المقتضي وعموم المجاز من المسائل التي خلط بينهما بعض الأصوليين، فظنوهما مسألة واحدة، وقد نبّه على ذلك الزركشي في التشنيف -2/647-.</w:t>
      </w:r>
    </w:p>
    <w:p w:rsidR="00035BE3" w:rsidRDefault="00035BE3" w:rsidP="00F0471F">
      <w:pPr>
        <w:pStyle w:val="a6"/>
        <w:ind w:left="422" w:hanging="2"/>
        <w:rPr>
          <w:rtl/>
        </w:rPr>
      </w:pPr>
      <w:r>
        <w:rPr>
          <w:rFonts w:hint="cs"/>
          <w:rtl/>
        </w:rPr>
        <w:t>وللتوسّع في مسألة عموم المجاز انظر :</w:t>
      </w:r>
    </w:p>
    <w:p w:rsidR="00035BE3" w:rsidRDefault="00035BE3" w:rsidP="00F0471F">
      <w:pPr>
        <w:pStyle w:val="a6"/>
        <w:ind w:left="422" w:hanging="2"/>
        <w:rPr>
          <w:spacing w:val="4"/>
          <w:rtl/>
        </w:rPr>
      </w:pPr>
      <w:r>
        <w:rPr>
          <w:rFonts w:hint="cs"/>
          <w:spacing w:val="4"/>
          <w:rtl/>
        </w:rPr>
        <w:t>أصول البزدوي وكشف الأسرار، 2/75؛ أصول السرخسي، 1/171؛ قواطع الأدلة، 1/322؛ ميزان الأصول، 1/442، 545؛ المغني للخبازي، ص133؛ شرحه للقاءاني، ق1، جـ2، ص575؛ المنار وشرحيه : جامع الأسرار، 2/343؛ وفتح الغفار، 1/131؛ تنقيح الفصول والتوضيح والتلويح، 1/86؛ جمع الجوامع وشروحه : منع الموانع، ص506؛ وتشنيف المسامع، 2/645؛ وشرح المحلي وحاشية البناني، 1/401؛ البحر المحيط، 3/15؛ التحرير وتيسيره، 2/35؛ شرح الكوكب المنير، 3/103؛ مسلم الثبوت وفواتح الرحموت، 1/210.</w:t>
      </w:r>
    </w:p>
    <w:p w:rsidR="00035BE3" w:rsidRDefault="00035BE3" w:rsidP="00F0471F">
      <w:pPr>
        <w:pStyle w:val="a6"/>
        <w:ind w:left="422" w:hanging="2"/>
        <w:rPr>
          <w:b/>
          <w:bCs/>
          <w:rtl/>
        </w:rPr>
      </w:pPr>
      <w:r>
        <w:rPr>
          <w:rFonts w:hint="cs"/>
          <w:b/>
          <w:bCs/>
          <w:rtl/>
        </w:rPr>
        <w:t>ولو عدت إلى القاعدة :</w:t>
      </w:r>
    </w:p>
    <w:p w:rsidR="00035BE3" w:rsidRDefault="00035BE3" w:rsidP="00F0471F">
      <w:pPr>
        <w:pStyle w:val="a6"/>
        <w:ind w:left="422" w:hanging="2"/>
        <w:rPr>
          <w:rtl/>
        </w:rPr>
      </w:pPr>
      <w:r>
        <w:rPr>
          <w:rFonts w:hint="cs"/>
          <w:rtl/>
        </w:rPr>
        <w:t>فقد وردت بلفظها أو نحوه في أكثر كتب الحنفية المتقدمة؛ ومن أهم تلك الكتب : المغني وشرحه للقاءاني، إذ إنهما يمثلان المرجعين الرئيسين للقاعدة وما جاء في شرحها.</w:t>
      </w:r>
    </w:p>
    <w:p w:rsidR="00035BE3" w:rsidRDefault="00035BE3" w:rsidP="00F0471F">
      <w:pPr>
        <w:pStyle w:val="a6"/>
        <w:ind w:left="422" w:right="-142" w:hanging="2"/>
        <w:rPr>
          <w:spacing w:val="-6"/>
          <w:rtl/>
        </w:rPr>
      </w:pPr>
      <w:r>
        <w:rPr>
          <w:rFonts w:hint="cs"/>
          <w:spacing w:val="-6"/>
          <w:rtl/>
        </w:rPr>
        <w:t xml:space="preserve">كما وردت في قواعد الفقه للمجدّدي، ص119، قاعدة 309 بلفظ : </w:t>
      </w:r>
      <w:r>
        <w:rPr>
          <w:rFonts w:hint="eastAsia"/>
          <w:spacing w:val="-6"/>
          <w:rtl/>
        </w:rPr>
        <w:t>«</w:t>
      </w:r>
      <w:r>
        <w:rPr>
          <w:rFonts w:hint="cs"/>
          <w:spacing w:val="-6"/>
          <w:rtl/>
        </w:rPr>
        <w:t>المجاز يعمّ كما يعمّ الحقيقة</w:t>
      </w:r>
      <w:r>
        <w:rPr>
          <w:rFonts w:hint="eastAsia"/>
          <w:spacing w:val="-6"/>
          <w:rtl/>
        </w:rPr>
        <w:t>»</w:t>
      </w:r>
      <w:r>
        <w:rPr>
          <w:rFonts w:hint="cs"/>
          <w:spacing w:val="-6"/>
          <w:rtl/>
        </w:rPr>
        <w:t>.</w:t>
      </w:r>
    </w:p>
  </w:footnote>
  <w:footnote w:id="5325">
    <w:p w:rsidR="00035BE3" w:rsidRDefault="00035BE3" w:rsidP="00F0471F">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sidRPr="003B030C">
        <w:rPr>
          <w:rFonts w:hint="cs"/>
          <w:spacing w:val="-8"/>
          <w:sz w:val="18"/>
          <w:rtl/>
        </w:rPr>
        <w:t xml:space="preserve">   </w:t>
      </w:r>
      <w:r>
        <w:rPr>
          <w:rFonts w:hint="cs"/>
          <w:spacing w:val="-8"/>
          <w:rtl/>
        </w:rPr>
        <w:t xml:space="preserve">في (أ) و(جـ) و(د): </w:t>
      </w:r>
      <w:r>
        <w:rPr>
          <w:rFonts w:hint="eastAsia"/>
          <w:spacing w:val="-8"/>
          <w:rtl/>
        </w:rPr>
        <w:t>«</w:t>
      </w:r>
      <w:r>
        <w:rPr>
          <w:rFonts w:hint="cs"/>
          <w:spacing w:val="-8"/>
          <w:rtl/>
        </w:rPr>
        <w:t>درهمًا</w:t>
      </w:r>
      <w:r>
        <w:rPr>
          <w:rFonts w:hint="eastAsia"/>
          <w:spacing w:val="-8"/>
          <w:rtl/>
        </w:rPr>
        <w:t>»</w:t>
      </w:r>
      <w:r>
        <w:rPr>
          <w:rFonts w:hint="cs"/>
          <w:spacing w:val="-8"/>
          <w:rtl/>
        </w:rPr>
        <w:t>. والصحيح ما تمَّ إثباته من (ب)؛ وفاقًا لنص الحديث، وللمغني وشرحه للقاءاني.</w:t>
      </w:r>
    </w:p>
  </w:footnote>
  <w:footnote w:id="532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أخرجه الإمام أحمد، 10/124، ح5885 عن ابن عمر مرفوعًا بلفظ : </w:t>
      </w:r>
      <w:r>
        <w:rPr>
          <w:rFonts w:hint="eastAsia"/>
          <w:rtl/>
        </w:rPr>
        <w:t>«</w:t>
      </w:r>
      <w:r>
        <w:rPr>
          <w:rFonts w:hint="cs"/>
          <w:rtl/>
        </w:rPr>
        <w:t>لا تبيعوا الدينار بالدينارين، ولا الدرهم بالدرهمين، ولا الصاع بالصاعين ...</w:t>
      </w:r>
      <w:r>
        <w:rPr>
          <w:rFonts w:hint="eastAsia"/>
          <w:rtl/>
        </w:rPr>
        <w:t>»</w:t>
      </w:r>
      <w:r>
        <w:rPr>
          <w:rFonts w:hint="cs"/>
          <w:rtl/>
        </w:rPr>
        <w:t>.</w:t>
      </w:r>
    </w:p>
    <w:p w:rsidR="00035BE3" w:rsidRDefault="00035BE3" w:rsidP="00F0471F">
      <w:pPr>
        <w:pStyle w:val="a6"/>
        <w:ind w:left="422" w:firstLine="0"/>
        <w:rPr>
          <w:rtl/>
        </w:rPr>
      </w:pPr>
      <w:r>
        <w:rPr>
          <w:rFonts w:hint="cs"/>
          <w:rtl/>
        </w:rPr>
        <w:t>وأخرجه بهذا اللفظ أيضًا : ابن حزم في المحلى، 8/479.</w:t>
      </w:r>
    </w:p>
    <w:p w:rsidR="00035BE3" w:rsidRDefault="00035BE3" w:rsidP="00F0471F">
      <w:pPr>
        <w:pStyle w:val="a6"/>
        <w:ind w:left="422" w:firstLine="0"/>
        <w:rPr>
          <w:rtl/>
        </w:rPr>
      </w:pPr>
      <w:r>
        <w:rPr>
          <w:rFonts w:hint="cs"/>
          <w:rtl/>
        </w:rPr>
        <w:t xml:space="preserve">وأورده الهيثمي في مجمع الزوائد، 4/105 وقال : </w:t>
      </w:r>
      <w:r>
        <w:rPr>
          <w:rFonts w:hint="eastAsia"/>
          <w:rtl/>
        </w:rPr>
        <w:t>«</w:t>
      </w:r>
      <w:r>
        <w:rPr>
          <w:rFonts w:hint="cs"/>
          <w:rtl/>
        </w:rPr>
        <w:t>رواه أحمد والطبراني في الكبير. وفيه : أبو جَنَاب الكلبي، وهو مدلّس ثقة</w:t>
      </w:r>
      <w:r>
        <w:rPr>
          <w:rFonts w:hint="eastAsia"/>
          <w:rtl/>
        </w:rPr>
        <w:t>»</w:t>
      </w:r>
      <w:r>
        <w:rPr>
          <w:rFonts w:hint="cs"/>
          <w:rtl/>
        </w:rPr>
        <w:t>.</w:t>
      </w:r>
    </w:p>
    <w:p w:rsidR="00035BE3" w:rsidRDefault="00035BE3" w:rsidP="00F0471F">
      <w:pPr>
        <w:pStyle w:val="a6"/>
        <w:ind w:left="422" w:firstLine="0"/>
        <w:rPr>
          <w:rtl/>
        </w:rPr>
      </w:pPr>
      <w:r>
        <w:rPr>
          <w:rFonts w:hint="cs"/>
          <w:rtl/>
        </w:rPr>
        <w:t xml:space="preserve">ويُلحظ أنَّ أباجناب قد عنعن في هذا الحديث!، كما أن هناك من العلماء من ضعفه، كيحي بن القطان والدارمي، لهذا قال عنه الحافظ في التقريب -ص589، رقم 7537-: </w:t>
      </w:r>
      <w:r>
        <w:rPr>
          <w:rFonts w:hint="eastAsia"/>
          <w:rtl/>
        </w:rPr>
        <w:t>«</w:t>
      </w:r>
      <w:r>
        <w:rPr>
          <w:rFonts w:hint="cs"/>
          <w:rtl/>
        </w:rPr>
        <w:t>ضعفوه؛ لكثرة تدليسه</w:t>
      </w:r>
      <w:r>
        <w:rPr>
          <w:rFonts w:hint="eastAsia"/>
          <w:rtl/>
        </w:rPr>
        <w:t>»</w:t>
      </w:r>
      <w:r>
        <w:rPr>
          <w:rFonts w:hint="cs"/>
          <w:rtl/>
        </w:rPr>
        <w:t>؛ وانظر : تهذيب التهذيب، 11/177.</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422" w:firstLine="0"/>
        <w:rPr>
          <w:rtl/>
        </w:rPr>
      </w:pPr>
      <w:r>
        <w:rPr>
          <w:rFonts w:hint="cs"/>
          <w:rtl/>
        </w:rPr>
        <w:t xml:space="preserve">وكما ورد الحديث عند الإمام أحمد عن ابن عمر مرفوعًا ورد بلفظه أو جزء من لفظه عند غيره عنه عن أبي سعيد الخدري مرفوعًا، وعنه عن عمر موقوفًا : </w:t>
      </w:r>
    </w:p>
    <w:p w:rsidR="00035BE3" w:rsidRDefault="00035BE3" w:rsidP="00F0471F">
      <w:pPr>
        <w:pStyle w:val="a6"/>
        <w:ind w:left="422" w:firstLine="0"/>
        <w:rPr>
          <w:spacing w:val="6"/>
          <w:rtl/>
        </w:rPr>
      </w:pPr>
      <w:r>
        <w:rPr>
          <w:rFonts w:hint="cs"/>
          <w:spacing w:val="6"/>
          <w:rtl/>
        </w:rPr>
        <w:t xml:space="preserve">فقد أخرجه البيهقي </w:t>
      </w:r>
      <w:r>
        <w:rPr>
          <w:spacing w:val="6"/>
          <w:rtl/>
        </w:rPr>
        <w:t>–</w:t>
      </w:r>
      <w:r>
        <w:rPr>
          <w:rFonts w:hint="cs"/>
          <w:spacing w:val="6"/>
          <w:rtl/>
        </w:rPr>
        <w:t xml:space="preserve"> بشقه الأول-، كتاب البيوع، باب تحريم التفاضل في الجنس الواحد ممّا يجري فيه الربا مع تحريم النساء، 5/279، عن ابن عمر عن أبي سعيد مرفوعًا، وعن ابن عمر عن عمر موقوفًا عليه.</w:t>
      </w:r>
    </w:p>
    <w:p w:rsidR="00035BE3" w:rsidRDefault="00035BE3" w:rsidP="00F0471F">
      <w:pPr>
        <w:pStyle w:val="a6"/>
        <w:ind w:left="422" w:firstLine="0"/>
        <w:rPr>
          <w:rtl/>
          <w:lang w:val="en-US"/>
        </w:rPr>
      </w:pPr>
      <w:r>
        <w:rPr>
          <w:rFonts w:hint="cs"/>
          <w:rtl/>
        </w:rPr>
        <w:t xml:space="preserve">وأخرجه البيهقي -أيضًا - بمعناه، كتاب البيوع، باب اعتبار التماثل فيما كان موزونًا على عهد رسول الله </w:t>
      </w:r>
      <w:r>
        <w:rPr>
          <w:rFonts w:ascii="AGA Arabesque" w:hAnsi="AGA Arabesque"/>
          <w:sz w:val="36"/>
          <w:szCs w:val="36"/>
          <w:lang w:val="en-US"/>
        </w:rPr>
        <w:t></w:t>
      </w:r>
      <w:r>
        <w:rPr>
          <w:rFonts w:hint="cs"/>
          <w:rtl/>
          <w:lang w:val="en-US"/>
        </w:rPr>
        <w:t xml:space="preserve"> بالوزن ...، 5/291، عن ابن عمر عن أبي سعيد مرفوعًا؛ كما أخرج حديث أبي </w:t>
      </w:r>
      <w:r w:rsidRPr="007A0B35">
        <w:rPr>
          <w:rFonts w:hint="cs"/>
          <w:spacing w:val="-4"/>
          <w:rtl/>
          <w:lang w:val="en-US"/>
        </w:rPr>
        <w:t xml:space="preserve">سعيد هذا النسائيُّ في (المجتبى)، كتاب البيوع، باب بيع التـمر بالـتمر متفاضلاً، 7/272، </w:t>
      </w:r>
      <w:r>
        <w:rPr>
          <w:rFonts w:hint="cs"/>
          <w:rtl/>
          <w:lang w:val="en-US"/>
        </w:rPr>
        <w:t>ح4555.</w:t>
      </w:r>
    </w:p>
    <w:p w:rsidR="00035BE3" w:rsidRDefault="00035BE3" w:rsidP="00F0471F">
      <w:pPr>
        <w:pStyle w:val="a6"/>
        <w:ind w:left="422" w:firstLine="0"/>
        <w:rPr>
          <w:rtl/>
          <w:lang w:val="en-US"/>
        </w:rPr>
      </w:pPr>
      <w:r>
        <w:rPr>
          <w:rFonts w:hint="cs"/>
          <w:rtl/>
          <w:lang w:val="en-US"/>
        </w:rPr>
        <w:t xml:space="preserve">ولحديث ابن عمر شاهد من حديث عثمان بن عفان مرفوعًا عند مسلم، كتاب المساقاة، باب الربا، 3/1209، ح1585، بلفظ : </w:t>
      </w:r>
      <w:r>
        <w:rPr>
          <w:rFonts w:hint="eastAsia"/>
          <w:rtl/>
        </w:rPr>
        <w:t>«</w:t>
      </w:r>
      <w:r>
        <w:rPr>
          <w:rFonts w:hint="cs"/>
          <w:rtl/>
        </w:rPr>
        <w:t>لا تبيعوا الدينار بالدينارين ولا الدرهم بالدرهمين</w:t>
      </w:r>
      <w:r>
        <w:rPr>
          <w:rFonts w:hint="eastAsia"/>
          <w:rtl/>
        </w:rPr>
        <w:t>»</w:t>
      </w:r>
      <w:r>
        <w:rPr>
          <w:rFonts w:hint="cs"/>
          <w:rtl/>
        </w:rPr>
        <w:t>.</w:t>
      </w:r>
    </w:p>
  </w:footnote>
  <w:footnote w:id="532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المغني للخبازي، ص133؛ شرحه للقاءاني، ق1، جـ2، ص575.</w:t>
      </w:r>
    </w:p>
  </w:footnote>
  <w:footnote w:id="532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الذي يظهر أن (صاع) مفرد، وليس اسم جنس </w:t>
      </w:r>
      <w:r>
        <w:rPr>
          <w:rtl/>
        </w:rPr>
        <w:t>–</w:t>
      </w:r>
      <w:r>
        <w:rPr>
          <w:rFonts w:hint="cs"/>
          <w:rtl/>
        </w:rPr>
        <w:t>والله أعلم-.</w:t>
      </w:r>
    </w:p>
  </w:footnote>
  <w:footnote w:id="532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بالاستفراق</w:t>
      </w:r>
      <w:r>
        <w:rPr>
          <w:rFonts w:hint="eastAsia"/>
          <w:rtl/>
        </w:rPr>
        <w:t>»</w:t>
      </w:r>
      <w:r>
        <w:rPr>
          <w:rFonts w:hint="cs"/>
          <w:rtl/>
        </w:rPr>
        <w:t xml:space="preserve">. والصحيح ما تمَّ إثباته من (ب)، وهو الموافق - في المعنى- لشرح المغني للقاءاني، حيث جاء فيه : </w:t>
      </w:r>
      <w:r>
        <w:rPr>
          <w:rFonts w:hint="eastAsia"/>
          <w:rtl/>
        </w:rPr>
        <w:t>«</w:t>
      </w:r>
      <w:r>
        <w:rPr>
          <w:rFonts w:hint="cs"/>
          <w:rtl/>
        </w:rPr>
        <w:t>بلام الاستغراق لعدم العهد فيعم ...</w:t>
      </w:r>
      <w:r>
        <w:rPr>
          <w:rFonts w:hint="eastAsia"/>
          <w:rtl/>
        </w:rPr>
        <w:t>»</w:t>
      </w:r>
      <w:r>
        <w:rPr>
          <w:rFonts w:hint="cs"/>
          <w:rtl/>
        </w:rPr>
        <w:t>.</w:t>
      </w:r>
    </w:p>
  </w:footnote>
  <w:footnote w:id="533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شرح المغني للقاءاني، ق1، جـ2، ص576 -مع الاختلاف اليسير الذي سبق بيانه-.</w:t>
      </w:r>
    </w:p>
    <w:p w:rsidR="00035BE3" w:rsidRDefault="00035BE3" w:rsidP="00F0471F">
      <w:pPr>
        <w:pStyle w:val="a6"/>
        <w:ind w:left="422" w:firstLine="0"/>
        <w:rPr>
          <w:spacing w:val="6"/>
          <w:rtl/>
        </w:rPr>
      </w:pPr>
      <w:r>
        <w:rPr>
          <w:rFonts w:hint="cs"/>
          <w:spacing w:val="6"/>
          <w:rtl/>
        </w:rPr>
        <w:t xml:space="preserve">وفي شرح المغني زيادة فيها إيضاح للمعنى، وبيان لوجه مخالفة الإمام الشافعي، حيث جاء فيه : </w:t>
      </w:r>
      <w:r>
        <w:rPr>
          <w:rFonts w:hint="eastAsia"/>
          <w:spacing w:val="6"/>
          <w:rtl/>
        </w:rPr>
        <w:t>«</w:t>
      </w:r>
      <w:r>
        <w:rPr>
          <w:rFonts w:hint="cs"/>
          <w:spacing w:val="6"/>
          <w:rtl/>
        </w:rPr>
        <w:t>... أو غير مطعوم. فدلَّ بعبارته وبعمومه على جريان الربا في غير المطعوم، كالجصّ والنورة، كجريانه في المطعوم كالحنطة. وبإشارته على أن الكيل هو العلة؛ لأنه صار تقدير الكلام : ولا ما يكال بالصاع بما يكال بالصاعين.</w:t>
      </w:r>
    </w:p>
    <w:p w:rsidR="00035BE3" w:rsidRDefault="00035BE3" w:rsidP="00F0471F">
      <w:pPr>
        <w:pStyle w:val="a6"/>
        <w:ind w:left="422" w:firstLine="0"/>
        <w:rPr>
          <w:spacing w:val="8"/>
          <w:rtl/>
        </w:rPr>
      </w:pPr>
      <w:r>
        <w:rPr>
          <w:rFonts w:hint="cs"/>
          <w:spacing w:val="8"/>
          <w:rtl/>
        </w:rPr>
        <w:t>وأبى الشافعي -رحمه الله- عموم هذا الحديث، وقال : لمّا صار مجازًا لا يـمكن القول بعمومه؛ لأن العموم لا يجري إلا في الحقائق، وقد أريد المطعوم منه بالإجـماع، فلم يبق غيرُهُ مرادًا، وصار كأنه قيل : ولا الـمطعوم الـمقـدّر بالصـاع بالمـطـعـوم المقدر بالصاعين</w:t>
      </w:r>
      <w:r>
        <w:rPr>
          <w:rFonts w:hint="eastAsia"/>
          <w:spacing w:val="8"/>
          <w:rtl/>
        </w:rPr>
        <w:t>»</w:t>
      </w:r>
      <w:r>
        <w:rPr>
          <w:rFonts w:hint="cs"/>
          <w:spacing w:val="8"/>
          <w:rtl/>
        </w:rPr>
        <w:t>.</w:t>
      </w:r>
    </w:p>
  </w:footnote>
  <w:footnote w:id="533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القول المنسوب إلى الإمام الشافعي معزوٌّ إليه في عددٍ من كتب الحنفية؛ كما عُزِيَ إلى بعض الشافعية في عدد من كتبهم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422" w:firstLine="0"/>
        <w:rPr>
          <w:spacing w:val="8"/>
          <w:rtl/>
        </w:rPr>
      </w:pPr>
      <w:r>
        <w:rPr>
          <w:spacing w:val="8"/>
          <w:rtl/>
        </w:rPr>
        <w:t>•</w:t>
      </w:r>
      <w:r>
        <w:rPr>
          <w:rFonts w:hint="cs"/>
          <w:spacing w:val="8"/>
          <w:rtl/>
        </w:rPr>
        <w:t xml:space="preserve"> فمن كتب الحنفية التي عزته إلى الإمام الشافعي -بالإضافة إلى شرح القاءاني-: أصول البزدوي وكشف الأسرار، 2/75، 76؛ أصول السرخسي، 1/171؛ فتح الغفار، 1/133.</w:t>
      </w:r>
    </w:p>
    <w:p w:rsidR="00035BE3" w:rsidRDefault="00035BE3" w:rsidP="00F0471F">
      <w:pPr>
        <w:pStyle w:val="a6"/>
        <w:ind w:left="422" w:firstLine="0"/>
        <w:rPr>
          <w:rtl/>
        </w:rPr>
      </w:pPr>
      <w:r>
        <w:rPr>
          <w:rtl/>
        </w:rPr>
        <w:t>•</w:t>
      </w:r>
      <w:r>
        <w:rPr>
          <w:rFonts w:hint="cs"/>
          <w:rtl/>
        </w:rPr>
        <w:t xml:space="preserve"> ومن كتب الشافعية التي عزته إلى بعض الشافعية : شرح المحلي لجمع الجوامع، 1/402-403 (مع حاشية البناني)؛ البحر المحيط، 3/16.</w:t>
      </w:r>
    </w:p>
  </w:footnote>
  <w:footnote w:id="533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مر تفصيل (كون المحلّى بأداة الاستغراق يعم) في ص602 (ل42/أ)، قاعدة 101.</w:t>
      </w:r>
    </w:p>
  </w:footnote>
  <w:footnote w:id="533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أثناء شرح المؤلف لهذا الضابط قال : </w:t>
      </w:r>
      <w:r>
        <w:rPr>
          <w:rFonts w:hint="eastAsia"/>
          <w:rtl/>
        </w:rPr>
        <w:t>«</w:t>
      </w:r>
      <w:r>
        <w:rPr>
          <w:rFonts w:hint="cs"/>
          <w:rtl/>
        </w:rPr>
        <w:t xml:space="preserve">فإذا قبضه بإذن البائع لا يملكه المشتري، وكان في يده أمانة على </w:t>
      </w:r>
      <w:r>
        <w:rPr>
          <w:rFonts w:hint="cs"/>
          <w:b/>
          <w:bCs/>
          <w:rtl/>
        </w:rPr>
        <w:t>الأصح</w:t>
      </w:r>
      <w:r>
        <w:rPr>
          <w:rFonts w:hint="eastAsia"/>
          <w:rtl/>
        </w:rPr>
        <w:t>»</w:t>
      </w:r>
      <w:r>
        <w:rPr>
          <w:rFonts w:hint="cs"/>
          <w:rtl/>
        </w:rPr>
        <w:t>.</w:t>
      </w:r>
    </w:p>
    <w:p w:rsidR="00035BE3" w:rsidRDefault="00035BE3" w:rsidP="00F0471F">
      <w:pPr>
        <w:pStyle w:val="a6"/>
        <w:ind w:left="422" w:firstLine="0"/>
        <w:rPr>
          <w:rtl/>
        </w:rPr>
      </w:pPr>
      <w:r>
        <w:rPr>
          <w:rFonts w:hint="cs"/>
          <w:rtl/>
        </w:rPr>
        <w:t xml:space="preserve">وقوله : </w:t>
      </w:r>
      <w:r>
        <w:rPr>
          <w:rFonts w:hint="eastAsia"/>
          <w:rtl/>
        </w:rPr>
        <w:t>«</w:t>
      </w:r>
      <w:r>
        <w:rPr>
          <w:rFonts w:hint="cs"/>
          <w:rtl/>
        </w:rPr>
        <w:t>على الأصح</w:t>
      </w:r>
      <w:r>
        <w:rPr>
          <w:rFonts w:hint="eastAsia"/>
          <w:rtl/>
        </w:rPr>
        <w:t>»</w:t>
      </w:r>
      <w:r>
        <w:rPr>
          <w:rFonts w:hint="cs"/>
          <w:rtl/>
        </w:rPr>
        <w:t xml:space="preserve"> فيه إشارة إلى أن هذا الضابط محل خلاف بين الحنفية، وهو يتمشَّى مع القول الأصح في نظر المؤلف.</w:t>
      </w:r>
    </w:p>
    <w:p w:rsidR="00035BE3" w:rsidRDefault="00035BE3" w:rsidP="00F0471F">
      <w:pPr>
        <w:pStyle w:val="a6"/>
        <w:ind w:left="422" w:firstLine="0"/>
        <w:rPr>
          <w:rtl/>
        </w:rPr>
      </w:pPr>
      <w:r>
        <w:rPr>
          <w:rFonts w:hint="cs"/>
          <w:rtl/>
        </w:rPr>
        <w:t xml:space="preserve">وقد بيّن صاحب (الهداية) هذا الخلاف فقال : </w:t>
      </w:r>
      <w:r>
        <w:rPr>
          <w:rFonts w:hint="eastAsia"/>
          <w:rtl/>
        </w:rPr>
        <w:t>«</w:t>
      </w:r>
      <w:r>
        <w:rPr>
          <w:rFonts w:hint="cs"/>
          <w:rtl/>
        </w:rPr>
        <w:t xml:space="preserve">والباطل لا يفيد ملك التصرف، ولو هلك المبيع في يد المشتري فيه [أي في البيع الباطل </w:t>
      </w:r>
      <w:r>
        <w:rPr>
          <w:rtl/>
        </w:rPr>
        <w:t>–</w:t>
      </w:r>
      <w:r>
        <w:rPr>
          <w:rFonts w:hint="cs"/>
          <w:rtl/>
        </w:rPr>
        <w:t xml:space="preserve"> كما في (فتح القدير)-] يكون أمانة عند بعض المشايخ؛ لأن العقد غير معتبر، فبقي بإذن المالك.</w:t>
      </w:r>
    </w:p>
    <w:p w:rsidR="00035BE3" w:rsidRDefault="00035BE3" w:rsidP="00F0471F">
      <w:pPr>
        <w:pStyle w:val="a6"/>
        <w:ind w:left="422" w:firstLine="0"/>
        <w:rPr>
          <w:rtl/>
        </w:rPr>
      </w:pPr>
      <w:r>
        <w:rPr>
          <w:rFonts w:hint="cs"/>
          <w:rtl/>
        </w:rPr>
        <w:t>وعند البعض : يكون مضمونًا؛ لأنه لا يكون أدنى حالاً من المقبوض على سوم الشراء.</w:t>
      </w:r>
    </w:p>
    <w:p w:rsidR="00035BE3" w:rsidRDefault="00035BE3" w:rsidP="00F0471F">
      <w:pPr>
        <w:pStyle w:val="a6"/>
        <w:ind w:left="422" w:firstLine="0"/>
        <w:rPr>
          <w:rtl/>
        </w:rPr>
      </w:pPr>
      <w:r>
        <w:rPr>
          <w:rFonts w:hint="cs"/>
          <w:rtl/>
        </w:rPr>
        <w:t xml:space="preserve">وقيل : الأول قول أبي حنيفة </w:t>
      </w:r>
      <w:r>
        <w:rPr>
          <w:rtl/>
        </w:rPr>
        <w:t>–</w:t>
      </w:r>
      <w:r>
        <w:rPr>
          <w:rFonts w:hint="cs"/>
          <w:rtl/>
        </w:rPr>
        <w:t>رحمه الله- والثاني قولهما كما في بيع أم الولد والمدبّر ...</w:t>
      </w:r>
      <w:r>
        <w:rPr>
          <w:rFonts w:hint="eastAsia"/>
          <w:rtl/>
        </w:rPr>
        <w:t>»</w:t>
      </w:r>
      <w:r>
        <w:rPr>
          <w:rFonts w:hint="cs"/>
          <w:rtl/>
        </w:rPr>
        <w:t>.</w:t>
      </w:r>
    </w:p>
    <w:p w:rsidR="00035BE3" w:rsidRDefault="00035BE3" w:rsidP="00F0471F">
      <w:pPr>
        <w:pStyle w:val="a6"/>
        <w:ind w:left="422" w:firstLine="0"/>
        <w:rPr>
          <w:rtl/>
        </w:rPr>
      </w:pPr>
      <w:r>
        <w:rPr>
          <w:rFonts w:hint="cs"/>
          <w:rtl/>
        </w:rPr>
        <w:t xml:space="preserve">الهداية، 6/404؛ وانظر: شرحيها : العناية وفتح القدير، 6/404؛ الكنز وشرحيه: تبيين الحقائق، </w:t>
      </w:r>
      <w:r w:rsidRPr="00544752">
        <w:rPr>
          <w:rFonts w:hint="cs"/>
          <w:spacing w:val="-2"/>
          <w:rtl/>
        </w:rPr>
        <w:t xml:space="preserve">4/44؛ البحر الرائق، 6/78- ومما جاء في الكنز والبحر : </w:t>
      </w:r>
      <w:r w:rsidRPr="00544752">
        <w:rPr>
          <w:rFonts w:hint="eastAsia"/>
          <w:spacing w:val="-2"/>
          <w:rtl/>
        </w:rPr>
        <w:t>«</w:t>
      </w:r>
      <w:r w:rsidRPr="00544752">
        <w:rPr>
          <w:rFonts w:hint="cs"/>
          <w:spacing w:val="-2"/>
          <w:rtl/>
        </w:rPr>
        <w:t xml:space="preserve">قوله: (فلو هلكوا عند المشتري لم </w:t>
      </w:r>
      <w:r>
        <w:rPr>
          <w:rFonts w:hint="cs"/>
          <w:rtl/>
        </w:rPr>
        <w:t>يضمن)؛ لبطلان البيع فكان أمانة ...</w:t>
      </w:r>
      <w:r>
        <w:rPr>
          <w:rFonts w:hint="eastAsia"/>
          <w:rtl/>
        </w:rPr>
        <w:t>»</w:t>
      </w:r>
      <w:r>
        <w:rPr>
          <w:rFonts w:hint="cs"/>
          <w:rtl/>
        </w:rPr>
        <w:t xml:space="preserve">-؛ الدرر شرح الغرر، 2/169 </w:t>
      </w:r>
      <w:r>
        <w:rPr>
          <w:rtl/>
        </w:rPr>
        <w:t>–</w:t>
      </w:r>
      <w:r>
        <w:rPr>
          <w:rFonts w:hint="cs"/>
          <w:rtl/>
        </w:rPr>
        <w:t xml:space="preserve"> ومما جاء فيهما: </w:t>
      </w:r>
      <w:r>
        <w:rPr>
          <w:rFonts w:hint="eastAsia"/>
          <w:rtl/>
        </w:rPr>
        <w:t>«</w:t>
      </w:r>
      <w:r>
        <w:rPr>
          <w:rFonts w:hint="cs"/>
          <w:rtl/>
        </w:rPr>
        <w:t>(وحكمه) أي حكم البيع الباطل (أن المبيع به لا يُملك)... (فإن هلك) المبيع (عند المشتري لم يضمن) ...</w:t>
      </w:r>
      <w:r>
        <w:rPr>
          <w:rFonts w:hint="eastAsia"/>
          <w:rtl/>
        </w:rPr>
        <w:t>»</w:t>
      </w:r>
      <w:r>
        <w:rPr>
          <w:rFonts w:hint="cs"/>
          <w:rtl/>
        </w:rPr>
        <w:t>-.</w:t>
      </w:r>
    </w:p>
  </w:footnote>
  <w:footnote w:id="533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معنى الباطل عند الحنفية، ويقاسمه عندهم الصحيح، وهو ما كان مشروعًا بأصله ووصفه، والفاسد، وهو ما كان مشروعًا بأصله دون وصفه.</w:t>
      </w:r>
    </w:p>
    <w:p w:rsidR="00035BE3" w:rsidRDefault="00035BE3" w:rsidP="00F0471F">
      <w:pPr>
        <w:pStyle w:val="a6"/>
        <w:ind w:left="422" w:firstLine="0"/>
        <w:rPr>
          <w:rtl/>
        </w:rPr>
      </w:pPr>
      <w:r>
        <w:rPr>
          <w:rFonts w:hint="cs"/>
          <w:rtl/>
        </w:rPr>
        <w:t xml:space="preserve">وقد عبّر عن ذلك صاحب كشف الأسرار </w:t>
      </w:r>
      <w:r>
        <w:rPr>
          <w:rtl/>
        </w:rPr>
        <w:t>–</w:t>
      </w:r>
      <w:r>
        <w:rPr>
          <w:rFonts w:hint="cs"/>
          <w:rtl/>
        </w:rPr>
        <w:t xml:space="preserve">1/531- فقال : </w:t>
      </w:r>
      <w:r>
        <w:rPr>
          <w:rFonts w:hint="eastAsia"/>
          <w:rtl/>
        </w:rPr>
        <w:t>«</w:t>
      </w:r>
      <w:r>
        <w:rPr>
          <w:rFonts w:hint="cs"/>
          <w:rtl/>
        </w:rPr>
        <w:t>واعلم أن الصحة عندنا قد تطلق أيضًا على مقابلة الفاسد، كما تطلق على مقابلة الباطل. فإذا حكمنا على شيء بالصحة فمعناه : أنه مشروع بأصله ووصفه جميعًا، بخلاف الباطل فإنه ليس بمشروع أصلاً، وبخلاف الفاسد فإنه مشروع بأصله دون وصفه ...</w:t>
      </w:r>
      <w:r>
        <w:rPr>
          <w:rFonts w:hint="eastAsia"/>
          <w:rtl/>
        </w:rPr>
        <w:t>»</w:t>
      </w:r>
      <w:r>
        <w:rPr>
          <w:rFonts w:hint="cs"/>
          <w:rtl/>
        </w:rPr>
        <w:t>.</w:t>
      </w:r>
    </w:p>
    <w:p w:rsidR="00035BE3" w:rsidRDefault="00035BE3" w:rsidP="00F0471F">
      <w:pPr>
        <w:pStyle w:val="a6"/>
        <w:ind w:left="422" w:firstLine="0"/>
        <w:rPr>
          <w:rtl/>
        </w:rPr>
      </w:pPr>
      <w:r>
        <w:rPr>
          <w:rFonts w:hint="cs"/>
          <w:rtl/>
        </w:rPr>
        <w:t>وقد خالفهم الجمهور وقالوا : إن الباطل والفاسد مترادفان في الجملة، يقابلان الصحيح.</w:t>
      </w:r>
    </w:p>
    <w:p w:rsidR="00035BE3" w:rsidRDefault="00035BE3" w:rsidP="00F0471F">
      <w:pPr>
        <w:pStyle w:val="a6"/>
        <w:ind w:left="422" w:firstLine="0"/>
        <w:rPr>
          <w:spacing w:val="-4"/>
          <w:rtl/>
        </w:rPr>
      </w:pPr>
      <w:r>
        <w:rPr>
          <w:rFonts w:hint="cs"/>
          <w:spacing w:val="-4"/>
          <w:rtl/>
        </w:rPr>
        <w:t xml:space="preserve">انظر : المستصفى، 1/95؛ روضة الناظر، 1/252؛ مختصر ابن الحاجب وشرح العضد، 2/8؛ نهاية الوصول (بديع النظام)، 1/197؛ المسوّدة، ص80؛ جمع الجوامع وشرح المحلي وحاشية البناني، 1/105؛ التعريفات، ص211، فقرة 1062؛ التحرير وتيسيره، 2/236؛ الأشباه لابن نجيم، ص372- </w:t>
      </w:r>
      <w:r>
        <w:rPr>
          <w:rFonts w:hint="cs"/>
          <w:b/>
          <w:bCs/>
          <w:spacing w:val="-4"/>
          <w:rtl/>
        </w:rPr>
        <w:t xml:space="preserve">وقد بيّن </w:t>
      </w:r>
      <w:r w:rsidRPr="009157D9">
        <w:rPr>
          <w:rFonts w:hint="cs"/>
          <w:b/>
          <w:bCs/>
          <w:spacing w:val="-6"/>
          <w:rtl/>
        </w:rPr>
        <w:t xml:space="preserve">صاحب التحرير: أن الحنفية يقولون بأن الفاسد والباطل مترادفان في العبادات، وزاد ابن نجيم: </w:t>
      </w:r>
      <w:r>
        <w:rPr>
          <w:rFonts w:hint="cs"/>
          <w:b/>
          <w:bCs/>
          <w:spacing w:val="-4"/>
          <w:rtl/>
        </w:rPr>
        <w:t>النكاح أيضًا</w:t>
      </w:r>
      <w:r>
        <w:rPr>
          <w:rFonts w:hint="cs"/>
          <w:spacing w:val="-4"/>
          <w:rtl/>
        </w:rPr>
        <w:t>-؛ التمهيد للإسنوي، ص59؛ شرح الكوكب المنير، 1/473؛ الصحة والفساد عند الأصوليين لجبريل مينا، 324؛ وانظر أيضًا من كتب الفقه الحنفي : تبيين الحقائق، 4/44؛ العناية، 6/402؛ الدرر شرح الغرر، 2/168؛ البحر الرائق، 7/311.</w:t>
      </w:r>
    </w:p>
  </w:footnote>
  <w:footnote w:id="5335">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خلافًا</w:t>
      </w:r>
      <w:r>
        <w:rPr>
          <w:rFonts w:hint="eastAsia"/>
          <w:rtl/>
        </w:rPr>
        <w:t>»</w:t>
      </w:r>
      <w:r>
        <w:rPr>
          <w:rFonts w:hint="cs"/>
          <w:rtl/>
        </w:rPr>
        <w:t>. والصحيح ما تمَّ إثباته من (ب) و(هـ) و(و)؛ وفاقًا لمصدر هذه العبارة (وهو العناية).</w:t>
      </w:r>
    </w:p>
  </w:footnote>
  <w:footnote w:id="5336">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أنفه</w:t>
      </w:r>
      <w:r>
        <w:rPr>
          <w:rFonts w:hint="eastAsia"/>
          <w:rtl/>
        </w:rPr>
        <w:t>»</w:t>
      </w:r>
      <w:r>
        <w:rPr>
          <w:rFonts w:hint="cs"/>
          <w:rtl/>
        </w:rPr>
        <w:t xml:space="preserve">. والمناسب ما تم إثباته من (ب). ولفظ العناية : </w:t>
      </w:r>
      <w:r>
        <w:rPr>
          <w:rFonts w:hint="eastAsia"/>
          <w:rtl/>
        </w:rPr>
        <w:t>«</w:t>
      </w:r>
      <w:r>
        <w:rPr>
          <w:rFonts w:hint="cs"/>
          <w:rtl/>
        </w:rPr>
        <w:t>... فيقال : البيع بالميتة لغة -وهو الذي مات حتف أنفه - والدم ...</w:t>
      </w:r>
      <w:r>
        <w:rPr>
          <w:rFonts w:hint="eastAsia"/>
          <w:rtl/>
        </w:rPr>
        <w:t>»</w:t>
      </w:r>
      <w:r>
        <w:rPr>
          <w:rFonts w:hint="cs"/>
          <w:rtl/>
        </w:rPr>
        <w:t>.</w:t>
      </w:r>
    </w:p>
  </w:footnote>
  <w:footnote w:id="5337">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يعد</w:t>
      </w:r>
      <w:r>
        <w:rPr>
          <w:rFonts w:hint="eastAsia"/>
          <w:rtl/>
        </w:rPr>
        <w:t>»</w:t>
      </w:r>
      <w:r>
        <w:rPr>
          <w:rFonts w:hint="cs"/>
          <w:rtl/>
        </w:rPr>
        <w:t>. والصواب ما تمَّ إثباته من (د)، وهو الموافق للعناية.</w:t>
      </w:r>
    </w:p>
  </w:footnote>
  <w:footnote w:id="5338">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فمن</w:t>
      </w:r>
      <w:r>
        <w:rPr>
          <w:rFonts w:hint="eastAsia"/>
          <w:rtl/>
        </w:rPr>
        <w:t>»</w:t>
      </w:r>
      <w:r>
        <w:rPr>
          <w:rFonts w:hint="cs"/>
          <w:rtl/>
        </w:rPr>
        <w:t>.</w:t>
      </w:r>
    </w:p>
  </w:footnote>
  <w:footnote w:id="5339">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6/402 -مع اخـتـلاف فـي الـتـرتـيـب وبـعـض الألفاظ-؛ وانظر : تبيين الحقائق، 4/44.</w:t>
      </w:r>
    </w:p>
  </w:footnote>
  <w:footnote w:id="5340">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ليس بمضمون</w:t>
      </w:r>
      <w:r>
        <w:rPr>
          <w:rFonts w:hint="eastAsia"/>
          <w:rtl/>
        </w:rPr>
        <w:t>»</w:t>
      </w:r>
      <w:r>
        <w:rPr>
          <w:rFonts w:hint="cs"/>
          <w:rtl/>
        </w:rPr>
        <w:t>. والصواب ما تمَّ إثباته من (ب).</w:t>
      </w:r>
    </w:p>
  </w:footnote>
  <w:footnote w:id="5341">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67/أ من (د).</w:t>
      </w:r>
    </w:p>
  </w:footnote>
  <w:footnote w:id="5342">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112/أ من (أ).</w:t>
      </w:r>
    </w:p>
    <w:p w:rsidR="00035BE3" w:rsidRDefault="00035BE3" w:rsidP="00F0471F">
      <w:pPr>
        <w:pStyle w:val="a6"/>
        <w:spacing w:line="440" w:lineRule="exact"/>
        <w:ind w:left="422" w:firstLine="0"/>
        <w:rPr>
          <w:rtl/>
        </w:rPr>
      </w:pPr>
      <w:r>
        <w:rPr>
          <w:rFonts w:hint="cs"/>
          <w:rtl/>
        </w:rPr>
        <w:t>وانظر : الهداية والعناية وفتح القدير، 6/404.</w:t>
      </w:r>
    </w:p>
  </w:footnote>
  <w:footnote w:id="5343">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بيع</w:t>
      </w:r>
      <w:r>
        <w:rPr>
          <w:rFonts w:hint="eastAsia"/>
          <w:rtl/>
        </w:rPr>
        <w:t>»</w:t>
      </w:r>
      <w:r>
        <w:rPr>
          <w:rFonts w:hint="cs"/>
          <w:rtl/>
        </w:rPr>
        <w:t>.</w:t>
      </w:r>
    </w:p>
  </w:footnote>
  <w:footnote w:id="5344">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81/ب من (جـ).</w:t>
      </w:r>
    </w:p>
  </w:footnote>
  <w:footnote w:id="5345">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تبيين الحقائق، 4/44.</w:t>
      </w:r>
    </w:p>
  </w:footnote>
  <w:footnote w:id="5346">
    <w:p w:rsidR="00035BE3" w:rsidRDefault="00035BE3" w:rsidP="00F0471F">
      <w:pPr>
        <w:pStyle w:val="a8"/>
        <w:bidi/>
        <w:spacing w:line="44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70/ب من (ب).</w:t>
      </w:r>
    </w:p>
  </w:footnote>
  <w:footnote w:id="534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6/460 -مع اختلاف يسير، حيث جاء فيها : </w:t>
      </w:r>
      <w:r>
        <w:rPr>
          <w:rFonts w:hint="eastAsia"/>
          <w:rtl/>
        </w:rPr>
        <w:t>«</w:t>
      </w:r>
      <w:r>
        <w:rPr>
          <w:rFonts w:hint="cs"/>
          <w:rtl/>
        </w:rPr>
        <w:t>بالتراضي</w:t>
      </w:r>
      <w:r>
        <w:rPr>
          <w:rFonts w:hint="eastAsia"/>
          <w:rtl/>
        </w:rPr>
        <w:t>»</w:t>
      </w:r>
      <w:r>
        <w:rPr>
          <w:rFonts w:hint="cs"/>
          <w:rtl/>
        </w:rPr>
        <w:t xml:space="preserve"> وليس </w:t>
      </w:r>
      <w:r>
        <w:rPr>
          <w:rFonts w:hint="eastAsia"/>
          <w:rtl/>
        </w:rPr>
        <w:t>«</w:t>
      </w:r>
      <w:r>
        <w:rPr>
          <w:rFonts w:hint="cs"/>
          <w:rtl/>
        </w:rPr>
        <w:t>بالرضا</w:t>
      </w:r>
      <w:r>
        <w:rPr>
          <w:rFonts w:hint="eastAsia"/>
          <w:rtl/>
        </w:rPr>
        <w:t>»</w:t>
      </w:r>
      <w:r>
        <w:rPr>
          <w:rFonts w:hint="cs"/>
          <w:rtl/>
        </w:rPr>
        <w:t>- وانظر : الدّرر شرح الغرر، 2/174.</w:t>
      </w:r>
    </w:p>
  </w:footnote>
  <w:footnote w:id="534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مقيّدًا</w:t>
      </w:r>
      <w:r>
        <w:rPr>
          <w:rFonts w:hint="eastAsia"/>
          <w:rtl/>
        </w:rPr>
        <w:t>»</w:t>
      </w:r>
      <w:r>
        <w:rPr>
          <w:rFonts w:hint="cs"/>
          <w:rtl/>
        </w:rPr>
        <w:t>.</w:t>
      </w:r>
    </w:p>
  </w:footnote>
  <w:footnote w:id="534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البيع</w:t>
      </w:r>
      <w:r>
        <w:rPr>
          <w:rFonts w:hint="eastAsia"/>
          <w:rtl/>
        </w:rPr>
        <w:t>»</w:t>
      </w:r>
      <w:r>
        <w:rPr>
          <w:rFonts w:hint="cs"/>
          <w:rtl/>
        </w:rPr>
        <w:t>. والمناسب ما تمَّ إثباته من (ب)، وهو الموافق للهداية.</w:t>
      </w:r>
    </w:p>
  </w:footnote>
  <w:footnote w:id="535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بيع</w:t>
      </w:r>
      <w:r>
        <w:rPr>
          <w:rFonts w:hint="eastAsia"/>
          <w:rtl/>
        </w:rPr>
        <w:t>»</w:t>
      </w:r>
      <w:r>
        <w:rPr>
          <w:rFonts w:hint="cs"/>
          <w:rtl/>
        </w:rPr>
        <w:t>. والصحيح ما تمَّ إثباته من (ب).</w:t>
      </w:r>
    </w:p>
  </w:footnote>
  <w:footnote w:id="535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الهداية، 6/404.</w:t>
      </w:r>
    </w:p>
  </w:footnote>
  <w:footnote w:id="535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6/461.</w:t>
      </w:r>
    </w:p>
  </w:footnote>
  <w:footnote w:id="535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ص1120 (ل107/أ)، قاعدة 249.</w:t>
      </w:r>
    </w:p>
  </w:footnote>
  <w:footnote w:id="5354">
    <w:p w:rsidR="00035BE3" w:rsidRDefault="00035BE3" w:rsidP="00F0471F">
      <w:pPr>
        <w:pStyle w:val="a8"/>
        <w:bidi/>
        <w:spacing w:line="4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وردت هذه القاعدة بلفظها أو نحوه في كثير من كتب الفقه وقواعده :</w:t>
      </w:r>
    </w:p>
    <w:p w:rsidR="00035BE3" w:rsidRDefault="00035BE3" w:rsidP="00F0471F">
      <w:pPr>
        <w:pStyle w:val="a6"/>
        <w:spacing w:line="420" w:lineRule="exact"/>
        <w:ind w:left="422" w:firstLine="0"/>
        <w:rPr>
          <w:b/>
          <w:bCs/>
          <w:rtl/>
        </w:rPr>
      </w:pPr>
      <w:r>
        <w:rPr>
          <w:rFonts w:hint="cs"/>
          <w:b/>
          <w:bCs/>
          <w:rtl/>
        </w:rPr>
        <w:t>فمن كتب القواعد :</w:t>
      </w:r>
    </w:p>
    <w:p w:rsidR="00035BE3" w:rsidRPr="00E977FF" w:rsidRDefault="00035BE3" w:rsidP="00F0471F">
      <w:pPr>
        <w:pStyle w:val="a6"/>
        <w:spacing w:line="216" w:lineRule="auto"/>
        <w:ind w:left="420" w:firstLine="0"/>
        <w:rPr>
          <w:spacing w:val="-4"/>
          <w:rtl/>
        </w:rPr>
      </w:pPr>
      <w:r w:rsidRPr="00E977FF">
        <w:rPr>
          <w:rFonts w:hint="cs"/>
          <w:spacing w:val="-4"/>
          <w:rtl/>
        </w:rPr>
        <w:t>الأشباه والنظائر لابن نجيم، ص 109؛ شرحه : غمز عيون البـصائر، 1/280-283؛ مـجامع الحقائق (الخاتمة)، ص45؛ شرح العلائي لقواعد الخادمي، ل25/ب-26/أ؛ منافع الدقائق، ص323؛ مجلة الأحكام العدلية، مادة 26؛ شرحها لسليم رستم، 1/31؛ ولعلي حيدر، 1/36؛ وللأتاسي، 1/66-68؛ وشرح قواعدها للزرقا، ص197-198؛ القواعد الفقهية للمجدّدي، ص139، قاعدة 398؛ المدخل الفقهي العام، 2/984-985، فقرة 593؛ القواعد الفقهية لِـ د. علي الندوي، ص422-423؛ الوجيز، ص206-207؛ القواعد الفقهية الكبرى لشيخنا أ. د. صالح السدلان، ص534-536؛ القواعد الكبرى لِـ د. عبد الله العجلان، ص90-91؛ المدخل إلى القواعد الفقهية، ص96؛ المـبادئ الفقهية، ص23-24؛ القواعد الفقهية للدعاس، ص34، قاعدة 22؛ ولـ د. محمد الزحيلي، ص62.</w:t>
      </w:r>
    </w:p>
    <w:p w:rsidR="00035BE3" w:rsidRDefault="00035BE3" w:rsidP="00F0471F">
      <w:pPr>
        <w:pStyle w:val="a6"/>
        <w:spacing w:line="216" w:lineRule="auto"/>
        <w:ind w:left="420" w:firstLine="0"/>
        <w:rPr>
          <w:b/>
          <w:bCs/>
          <w:rtl/>
        </w:rPr>
      </w:pPr>
      <w:r>
        <w:rPr>
          <w:rFonts w:hint="cs"/>
          <w:b/>
          <w:bCs/>
          <w:rtl/>
        </w:rPr>
        <w:t>ومن كتب الفقه :</w:t>
      </w:r>
    </w:p>
    <w:p w:rsidR="00035BE3" w:rsidRDefault="00035BE3" w:rsidP="00F0471F">
      <w:pPr>
        <w:pStyle w:val="a6"/>
        <w:spacing w:line="216" w:lineRule="auto"/>
        <w:ind w:left="420" w:firstLine="0"/>
        <w:rPr>
          <w:rtl/>
        </w:rPr>
      </w:pPr>
      <w:r>
        <w:rPr>
          <w:rFonts w:hint="cs"/>
          <w:rtl/>
        </w:rPr>
        <w:t>المبسوط، 20/159؛ 23/192؛ الهداية والعناية وفتح القدير، 5/447-448، 449؛ البحر الرائق، 5/91؛ تكملة البحر، 8/230، 403؛ الدر المختار وردّ المحتار، 6/207.</w:t>
      </w:r>
    </w:p>
  </w:footnote>
  <w:footnote w:id="5355">
    <w:p w:rsidR="00035BE3" w:rsidRDefault="00035BE3" w:rsidP="00F0471F">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الواو ساقطة من (ب)، ومكانها بياض.</w:t>
      </w:r>
    </w:p>
  </w:footnote>
  <w:footnote w:id="5356">
    <w:p w:rsidR="00035BE3" w:rsidRDefault="00035BE3" w:rsidP="00F0471F">
      <w:pPr>
        <w:pStyle w:val="a8"/>
        <w:bidi/>
        <w:spacing w:line="216" w:lineRule="auto"/>
        <w:ind w:left="420" w:right="0"/>
        <w:rPr>
          <w:spacing w:val="-4"/>
          <w:rtl/>
        </w:rPr>
      </w:pPr>
      <w:r>
        <w:rPr>
          <w:rFonts w:hint="cs"/>
          <w:vertAlign w:val="superscript"/>
          <w:rtl/>
        </w:rPr>
        <w:t>(</w:t>
      </w:r>
      <w:r>
        <w:rPr>
          <w:rStyle w:val="a7"/>
          <w:spacing w:val="-4"/>
        </w:rPr>
        <w:footnoteRef/>
      </w:r>
      <w:r>
        <w:rPr>
          <w:rFonts w:hint="cs"/>
          <w:vertAlign w:val="superscript"/>
          <w:rtl/>
        </w:rPr>
        <w:t>)</w:t>
      </w:r>
      <w:r>
        <w:rPr>
          <w:rFonts w:hint="cs"/>
          <w:spacing w:val="-4"/>
          <w:rtl/>
        </w:rPr>
        <w:t xml:space="preserve">   جاء في هامش (أ): </w:t>
      </w:r>
      <w:r>
        <w:rPr>
          <w:rFonts w:hint="eastAsia"/>
          <w:spacing w:val="-4"/>
          <w:rtl/>
        </w:rPr>
        <w:t>«</w:t>
      </w:r>
      <w:r>
        <w:rPr>
          <w:rFonts w:hint="cs"/>
          <w:spacing w:val="-4"/>
          <w:rtl/>
        </w:rPr>
        <w:t>الحجر : منع اتملك [كذا!]، يقال : حجره القاضي : إذا منعه من التصرف في ماله</w:t>
      </w:r>
      <w:r>
        <w:rPr>
          <w:rFonts w:hint="eastAsia"/>
          <w:spacing w:val="-4"/>
          <w:rtl/>
        </w:rPr>
        <w:t>»</w:t>
      </w:r>
      <w:r>
        <w:rPr>
          <w:rFonts w:hint="cs"/>
          <w:spacing w:val="-4"/>
          <w:rtl/>
        </w:rPr>
        <w:t>.</w:t>
      </w:r>
    </w:p>
  </w:footnote>
  <w:footnote w:id="5357">
    <w:p w:rsidR="00035BE3" w:rsidRDefault="00035BE3" w:rsidP="00F0471F">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قوله: </w:t>
      </w:r>
      <w:r>
        <w:rPr>
          <w:rFonts w:hint="eastAsia"/>
          <w:rtl/>
        </w:rPr>
        <w:t>«</w:t>
      </w:r>
      <w:r>
        <w:rPr>
          <w:rFonts w:hint="cs"/>
          <w:b/>
          <w:bCs/>
          <w:rtl/>
        </w:rPr>
        <w:t>المكاري المفلس</w:t>
      </w:r>
      <w:r>
        <w:rPr>
          <w:rFonts w:hint="eastAsia"/>
          <w:rtl/>
        </w:rPr>
        <w:t>»</w:t>
      </w:r>
      <w:r>
        <w:rPr>
          <w:rFonts w:hint="cs"/>
          <w:rtl/>
        </w:rPr>
        <w:t xml:space="preserve"> : بيَّن معناه صاحب (غمز عيون البصائر) </w:t>
      </w:r>
      <w:r>
        <w:rPr>
          <w:rtl/>
        </w:rPr>
        <w:t>–</w:t>
      </w:r>
      <w:r>
        <w:rPr>
          <w:rFonts w:hint="cs"/>
          <w:rtl/>
        </w:rPr>
        <w:t>1/281- كما بيّن باقي الحالات الثلاث في النص الآتي :</w:t>
      </w:r>
    </w:p>
    <w:p w:rsidR="00035BE3" w:rsidRDefault="00035BE3" w:rsidP="00F0471F">
      <w:pPr>
        <w:pStyle w:val="a6"/>
        <w:spacing w:line="216" w:lineRule="auto"/>
        <w:ind w:left="420" w:firstLine="0"/>
        <w:rPr>
          <w:rtl/>
        </w:rPr>
      </w:pPr>
      <w:r>
        <w:rPr>
          <w:rFonts w:hint="cs"/>
          <w:rtl/>
        </w:rPr>
        <w:t xml:space="preserve">- </w:t>
      </w:r>
      <w:r>
        <w:rPr>
          <w:rFonts w:hint="eastAsia"/>
          <w:rtl/>
        </w:rPr>
        <w:t>«</w:t>
      </w:r>
      <w:r>
        <w:rPr>
          <w:rFonts w:hint="cs"/>
          <w:rtl/>
        </w:rPr>
        <w:t>والمفتي الماجن الذي يعلّم الناس الحيل.</w:t>
      </w:r>
    </w:p>
    <w:p w:rsidR="00035BE3" w:rsidRDefault="00035BE3" w:rsidP="00F0471F">
      <w:pPr>
        <w:pStyle w:val="a6"/>
        <w:spacing w:line="216" w:lineRule="auto"/>
        <w:ind w:left="420" w:firstLine="0"/>
        <w:rPr>
          <w:rtl/>
        </w:rPr>
      </w:pPr>
      <w:r>
        <w:rPr>
          <w:rFonts w:hint="cs"/>
          <w:rtl/>
        </w:rPr>
        <w:t>- والطبيب الجاهل : الذي يسقي الناس الدواء ويموت المريض.</w:t>
      </w:r>
    </w:p>
    <w:p w:rsidR="00035BE3" w:rsidRDefault="00035BE3" w:rsidP="00F0471F">
      <w:pPr>
        <w:pStyle w:val="a6"/>
        <w:spacing w:line="216" w:lineRule="auto"/>
        <w:ind w:left="420" w:firstLine="0"/>
        <w:rPr>
          <w:rtl/>
        </w:rPr>
      </w:pPr>
      <w:r>
        <w:rPr>
          <w:rFonts w:hint="cs"/>
          <w:rtl/>
        </w:rPr>
        <w:t>- والمكاري المفلس : الذي يكاري، ويأخذ الكراء [أي الأجرة]، فإذا جاء أوان السفر رأيته لا دابة له، فينقطع المكتري عن الرفقة</w:t>
      </w:r>
      <w:r>
        <w:rPr>
          <w:rFonts w:hint="eastAsia"/>
          <w:rtl/>
        </w:rPr>
        <w:t>»</w:t>
      </w:r>
      <w:r>
        <w:rPr>
          <w:rFonts w:hint="cs"/>
          <w:rtl/>
        </w:rPr>
        <w:t>.</w:t>
      </w:r>
    </w:p>
    <w:p w:rsidR="00035BE3" w:rsidRDefault="00035BE3" w:rsidP="00F0471F">
      <w:pPr>
        <w:pStyle w:val="a6"/>
        <w:spacing w:line="216" w:lineRule="auto"/>
        <w:ind w:left="420" w:firstLine="0"/>
        <w:rPr>
          <w:rtl/>
        </w:rPr>
      </w:pPr>
      <w:r>
        <w:rPr>
          <w:rFonts w:hint="cs"/>
          <w:rtl/>
        </w:rPr>
        <w:t>وانظر : الدرر شرح الغرر، 2/274.</w:t>
      </w:r>
    </w:p>
  </w:footnote>
  <w:footnote w:id="5358">
    <w:p w:rsidR="00035BE3" w:rsidRDefault="00035BE3" w:rsidP="00F0471F">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ص109، كما ورد هذا المثال في أغلب المراجع الأنف ذكرها عند توثيق القاعدة، يضاف إليها : الدّرر شرح الغرر، 2/274.</w:t>
      </w:r>
    </w:p>
  </w:footnote>
  <w:footnote w:id="535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 xml:space="preserve"> التسعير في اللغة</w:t>
      </w:r>
      <w:r>
        <w:rPr>
          <w:rFonts w:hint="cs"/>
          <w:rtl/>
        </w:rPr>
        <w:t xml:space="preserve"> : تقدير السعر وتحديده. والسعر : الذي يقوم عليه الثمن.</w:t>
      </w:r>
    </w:p>
    <w:p w:rsidR="00035BE3" w:rsidRDefault="00035BE3" w:rsidP="00F0471F">
      <w:pPr>
        <w:pStyle w:val="a6"/>
        <w:ind w:left="422" w:firstLine="0"/>
        <w:rPr>
          <w:rtl/>
        </w:rPr>
      </w:pPr>
      <w:r>
        <w:rPr>
          <w:rFonts w:hint="eastAsia"/>
          <w:rtl/>
        </w:rPr>
        <w:t>«</w:t>
      </w:r>
      <w:r>
        <w:rPr>
          <w:rFonts w:hint="cs"/>
          <w:b/>
          <w:bCs/>
          <w:rtl/>
        </w:rPr>
        <w:t>أما التسعير في اصطلاح الفقهاء فالمراد به</w:t>
      </w:r>
      <w:r>
        <w:rPr>
          <w:rFonts w:hint="cs"/>
          <w:rtl/>
        </w:rPr>
        <w:t xml:space="preserve"> : أن يقوم وليّ الأمر بتحديد أسعار الحاجيات، سواءً أكانت أعيانًا أم منافع، وإجبار أربابها على بيعها بالسعر المحدّد</w:t>
      </w:r>
      <w:r>
        <w:rPr>
          <w:rFonts w:hint="eastAsia"/>
          <w:rtl/>
        </w:rPr>
        <w:t>»</w:t>
      </w:r>
      <w:r>
        <w:rPr>
          <w:rFonts w:hint="cs"/>
          <w:rtl/>
        </w:rPr>
        <w:t>- قاله د. نزيه حماد-.</w:t>
      </w:r>
    </w:p>
    <w:p w:rsidR="00035BE3" w:rsidRDefault="00035BE3" w:rsidP="00F0471F">
      <w:pPr>
        <w:pStyle w:val="a6"/>
        <w:ind w:left="422" w:firstLine="0"/>
        <w:rPr>
          <w:rtl/>
        </w:rPr>
      </w:pPr>
      <w:r>
        <w:rPr>
          <w:rFonts w:hint="cs"/>
          <w:b/>
          <w:bCs/>
          <w:rtl/>
        </w:rPr>
        <w:t>ولتوثيق ما سبق</w:t>
      </w:r>
      <w:r>
        <w:rPr>
          <w:rFonts w:hint="cs"/>
          <w:rtl/>
        </w:rPr>
        <w:t xml:space="preserve"> : فإن المعنى اللغوي مستفاد من لسان العرب، مادة </w:t>
      </w:r>
      <w:r>
        <w:rPr>
          <w:rFonts w:hint="eastAsia"/>
          <w:rtl/>
        </w:rPr>
        <w:t>«</w:t>
      </w:r>
      <w:r>
        <w:rPr>
          <w:rFonts w:hint="cs"/>
          <w:rtl/>
        </w:rPr>
        <w:t>سعر</w:t>
      </w:r>
      <w:r>
        <w:rPr>
          <w:rFonts w:hint="eastAsia"/>
          <w:rtl/>
        </w:rPr>
        <w:t>»</w:t>
      </w:r>
      <w:r>
        <w:rPr>
          <w:rFonts w:hint="cs"/>
          <w:rtl/>
        </w:rPr>
        <w:t xml:space="preserve">، 4/365؛ وانظر : القاموس المحيط، مادة </w:t>
      </w:r>
      <w:r>
        <w:rPr>
          <w:rFonts w:hint="eastAsia"/>
          <w:rtl/>
        </w:rPr>
        <w:t>«</w:t>
      </w:r>
      <w:r>
        <w:rPr>
          <w:rFonts w:hint="cs"/>
          <w:rtl/>
        </w:rPr>
        <w:t>سعر</w:t>
      </w:r>
      <w:r>
        <w:rPr>
          <w:rFonts w:hint="eastAsia"/>
          <w:rtl/>
        </w:rPr>
        <w:t>»</w:t>
      </w:r>
      <w:r>
        <w:rPr>
          <w:rFonts w:hint="cs"/>
          <w:rtl/>
        </w:rPr>
        <w:t xml:space="preserve">، ص522؛ المعجم الوسيط، مادة </w:t>
      </w:r>
      <w:r>
        <w:rPr>
          <w:rFonts w:hint="eastAsia"/>
          <w:rtl/>
        </w:rPr>
        <w:t>«</w:t>
      </w:r>
      <w:r>
        <w:rPr>
          <w:rFonts w:hint="cs"/>
          <w:rtl/>
        </w:rPr>
        <w:t>سعر</w:t>
      </w:r>
      <w:r>
        <w:rPr>
          <w:rFonts w:hint="eastAsia"/>
          <w:rtl/>
        </w:rPr>
        <w:t>»</w:t>
      </w:r>
      <w:r>
        <w:rPr>
          <w:rFonts w:hint="cs"/>
          <w:rtl/>
        </w:rPr>
        <w:t>، 1/430.</w:t>
      </w:r>
    </w:p>
    <w:p w:rsidR="00035BE3" w:rsidRDefault="00035BE3" w:rsidP="00F0471F">
      <w:pPr>
        <w:pStyle w:val="a6"/>
        <w:ind w:left="422" w:firstLine="0"/>
        <w:rPr>
          <w:rtl/>
        </w:rPr>
      </w:pPr>
      <w:r>
        <w:rPr>
          <w:rFonts w:hint="cs"/>
          <w:rtl/>
        </w:rPr>
        <w:t>والمعنى الاصطلاحي منقول من : معجم المصطلحات الاقتصادية في لغة الفقهاء، ص115.</w:t>
      </w:r>
    </w:p>
  </w:footnote>
  <w:footnote w:id="536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ص109، كما ورد هذا المثال في جلّ كتب القواعد الآنف ذكرها عند توثيق القاعدة، يضاف إليها : الاختيار لتعليل المختار، 4/161؛ نتائج الأفكار، 10/59.</w:t>
      </w:r>
    </w:p>
  </w:footnote>
  <w:footnote w:id="536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15590A">
        <w:rPr>
          <w:rFonts w:hint="cs"/>
          <w:sz w:val="14"/>
          <w:szCs w:val="24"/>
          <w:rtl/>
        </w:rPr>
        <w:t xml:space="preserve">  </w:t>
      </w:r>
      <w:r>
        <w:rPr>
          <w:rFonts w:hint="eastAsia"/>
          <w:rtl/>
        </w:rPr>
        <w:t>«</w:t>
      </w:r>
      <w:r>
        <w:rPr>
          <w:rFonts w:hint="cs"/>
          <w:rtl/>
        </w:rPr>
        <w:t>بيع</w:t>
      </w:r>
      <w:r>
        <w:rPr>
          <w:rFonts w:hint="eastAsia"/>
          <w:rtl/>
        </w:rPr>
        <w:t>»</w:t>
      </w:r>
      <w:r>
        <w:rPr>
          <w:rFonts w:hint="cs"/>
          <w:rtl/>
        </w:rPr>
        <w:t xml:space="preserve"> ليست في (جـ)، وفي باقي النسخ: </w:t>
      </w:r>
      <w:r>
        <w:rPr>
          <w:rFonts w:hint="eastAsia"/>
          <w:rtl/>
        </w:rPr>
        <w:t>«</w:t>
      </w:r>
      <w:r>
        <w:rPr>
          <w:rFonts w:hint="cs"/>
          <w:rtl/>
        </w:rPr>
        <w:t>منع</w:t>
      </w:r>
      <w:r>
        <w:rPr>
          <w:rFonts w:hint="eastAsia"/>
          <w:rtl/>
        </w:rPr>
        <w:t>»</w:t>
      </w:r>
      <w:r>
        <w:rPr>
          <w:rFonts w:hint="cs"/>
          <w:rtl/>
        </w:rPr>
        <w:t>. والصحيح ما تمَّ إثباته من مصدر هذه العبارة (وهو أشباه ابن نجيم).</w:t>
      </w:r>
    </w:p>
  </w:footnote>
  <w:footnote w:id="536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يقال : حكر الطعام، واحتكر أي : جمع وحبس</w:t>
      </w:r>
      <w:r>
        <w:rPr>
          <w:rFonts w:hint="eastAsia"/>
          <w:rtl/>
        </w:rPr>
        <w:t>»</w:t>
      </w:r>
      <w:r>
        <w:rPr>
          <w:rFonts w:hint="cs"/>
          <w:rtl/>
        </w:rPr>
        <w:t>.</w:t>
      </w:r>
    </w:p>
  </w:footnote>
  <w:footnote w:id="536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جبر</w:t>
      </w:r>
      <w:r>
        <w:rPr>
          <w:rFonts w:hint="eastAsia"/>
          <w:rtl/>
        </w:rPr>
        <w:t>»</w:t>
      </w:r>
      <w:r>
        <w:rPr>
          <w:rFonts w:hint="cs"/>
          <w:rtl/>
        </w:rPr>
        <w:t>.</w:t>
      </w:r>
    </w:p>
  </w:footnote>
  <w:footnote w:id="536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وعند امتناعه من البيع.</w:t>
      </w:r>
    </w:p>
    <w:p w:rsidR="00035BE3" w:rsidRDefault="00035BE3" w:rsidP="00F0471F">
      <w:pPr>
        <w:pStyle w:val="a6"/>
        <w:ind w:left="422" w:firstLine="0"/>
        <w:rPr>
          <w:rtl/>
        </w:rPr>
      </w:pPr>
      <w:r>
        <w:rPr>
          <w:rFonts w:hint="cs"/>
          <w:rtl/>
        </w:rPr>
        <w:t xml:space="preserve">وقد جاء في (جـ) : </w:t>
      </w:r>
      <w:r>
        <w:rPr>
          <w:rFonts w:hint="eastAsia"/>
          <w:rtl/>
        </w:rPr>
        <w:t>«</w:t>
      </w:r>
      <w:r>
        <w:rPr>
          <w:rFonts w:hint="cs"/>
          <w:rtl/>
        </w:rPr>
        <w:t>وإشاعة</w:t>
      </w:r>
      <w:r>
        <w:rPr>
          <w:rFonts w:hint="eastAsia"/>
          <w:rtl/>
        </w:rPr>
        <w:t>»</w:t>
      </w:r>
      <w:r>
        <w:rPr>
          <w:rFonts w:hint="cs"/>
          <w:rtl/>
        </w:rPr>
        <w:t>، وليس : (وامتناعه).</w:t>
      </w:r>
    </w:p>
  </w:footnote>
  <w:footnote w:id="5365">
    <w:p w:rsidR="00035BE3" w:rsidRDefault="00035BE3" w:rsidP="00F0471F">
      <w:pPr>
        <w:pStyle w:val="a8"/>
        <w:bidi/>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الأشباه والنظائر لابن نجيم، ص109؛ وانظر : الاختيار لتعليل المختار، 4/161؛ نتائج الأفكار، 10/58-59؛ غمز عيون البصائر، 1/282؛ شرح العلائي لقواعد الخادمي، ل25/ب؛ شرح المجلة لسليم رستم، 1/31؛ وللأتاسي، 1/67؛ وشرح قواعدها للزرقا، ص198؛ الوجيز، ص207.</w:t>
      </w:r>
    </w:p>
  </w:footnote>
  <w:footnote w:id="536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الأشباه لابن نجيم. وهي زيادة لابّد منها، وقد أثبتت في جميع المصادر الآتي ذكرها </w:t>
      </w:r>
      <w:r>
        <w:rPr>
          <w:rtl/>
        </w:rPr>
        <w:t>–</w:t>
      </w:r>
      <w:r>
        <w:rPr>
          <w:rFonts w:hint="cs"/>
          <w:rtl/>
        </w:rPr>
        <w:t>عند توثيق هذا الفرع-.</w:t>
      </w:r>
    </w:p>
  </w:footnote>
  <w:footnote w:id="536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خانوته</w:t>
      </w:r>
      <w:r>
        <w:rPr>
          <w:rFonts w:hint="eastAsia"/>
          <w:rtl/>
        </w:rPr>
        <w:t>»</w:t>
      </w:r>
      <w:r>
        <w:rPr>
          <w:rFonts w:hint="cs"/>
          <w:rtl/>
        </w:rPr>
        <w:t xml:space="preserve"> (بالخاء المعجمة والهاء)، وفي (ب) و(جـ) و(د) : </w:t>
      </w:r>
      <w:r>
        <w:rPr>
          <w:rFonts w:hint="eastAsia"/>
          <w:rtl/>
        </w:rPr>
        <w:t>«</w:t>
      </w:r>
      <w:r>
        <w:rPr>
          <w:rFonts w:hint="cs"/>
          <w:rtl/>
        </w:rPr>
        <w:t>حانوته</w:t>
      </w:r>
      <w:r>
        <w:rPr>
          <w:rFonts w:hint="eastAsia"/>
          <w:rtl/>
        </w:rPr>
        <w:t>»</w:t>
      </w:r>
      <w:r>
        <w:rPr>
          <w:rFonts w:hint="cs"/>
          <w:rtl/>
        </w:rPr>
        <w:t xml:space="preserve"> (بالحاء المهملة والهاء). والصحيح ما تمَّ إثباته من (هـ) و(و)، وهو الموافق في المعنى لأشباه ابن نجيم حيث جاء فيه : </w:t>
      </w:r>
      <w:r>
        <w:rPr>
          <w:rFonts w:hint="eastAsia"/>
          <w:rtl/>
        </w:rPr>
        <w:t>«</w:t>
      </w:r>
      <w:r>
        <w:rPr>
          <w:rFonts w:hint="cs"/>
          <w:rtl/>
        </w:rPr>
        <w:t>حانوت</w:t>
      </w:r>
      <w:r>
        <w:rPr>
          <w:rFonts w:hint="eastAsia"/>
          <w:rtl/>
        </w:rPr>
        <w:t>»</w:t>
      </w:r>
      <w:r>
        <w:rPr>
          <w:rFonts w:hint="cs"/>
          <w:rtl/>
        </w:rPr>
        <w:t>.</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422" w:firstLine="0"/>
        <w:rPr>
          <w:rtl/>
        </w:rPr>
      </w:pPr>
      <w:r>
        <w:rPr>
          <w:rFonts w:hint="cs"/>
          <w:b/>
          <w:bCs/>
          <w:rtl/>
        </w:rPr>
        <w:t>والحانوتة في اللغة</w:t>
      </w:r>
      <w:r>
        <w:rPr>
          <w:rFonts w:hint="cs"/>
          <w:rtl/>
        </w:rPr>
        <w:t xml:space="preserve"> : مؤنث حانوت، وهو الدّكان ومحل التجارة، وقد غلب على حانوت الخمّار. والمراد به هنا : المحل الذي يباع فيه الطعام.</w:t>
      </w:r>
    </w:p>
    <w:p w:rsidR="00035BE3" w:rsidRDefault="00035BE3" w:rsidP="00F0471F">
      <w:pPr>
        <w:pStyle w:val="a6"/>
        <w:ind w:left="422" w:firstLine="0"/>
        <w:rPr>
          <w:rtl/>
        </w:rPr>
      </w:pPr>
      <w:r>
        <w:rPr>
          <w:rFonts w:hint="cs"/>
          <w:rtl/>
        </w:rPr>
        <w:t xml:space="preserve">انظر : لسان العرب، مادة </w:t>
      </w:r>
      <w:r>
        <w:rPr>
          <w:rFonts w:hint="eastAsia"/>
          <w:rtl/>
        </w:rPr>
        <w:t>«</w:t>
      </w:r>
      <w:r>
        <w:rPr>
          <w:rFonts w:hint="cs"/>
          <w:rtl/>
        </w:rPr>
        <w:t>حنت</w:t>
      </w:r>
      <w:r>
        <w:rPr>
          <w:rFonts w:hint="eastAsia"/>
          <w:rtl/>
        </w:rPr>
        <w:t>»</w:t>
      </w:r>
      <w:r>
        <w:rPr>
          <w:rFonts w:hint="cs"/>
          <w:rtl/>
        </w:rPr>
        <w:t xml:space="preserve">، 2/26؛ القاموس المحيط، مادة </w:t>
      </w:r>
      <w:r>
        <w:rPr>
          <w:rFonts w:hint="eastAsia"/>
          <w:rtl/>
        </w:rPr>
        <w:t>«</w:t>
      </w:r>
      <w:r>
        <w:rPr>
          <w:rFonts w:hint="cs"/>
          <w:rtl/>
        </w:rPr>
        <w:t>حنت</w:t>
      </w:r>
      <w:r>
        <w:rPr>
          <w:rFonts w:hint="eastAsia"/>
          <w:rtl/>
        </w:rPr>
        <w:t>»</w:t>
      </w:r>
      <w:r>
        <w:rPr>
          <w:rFonts w:hint="cs"/>
          <w:rtl/>
        </w:rPr>
        <w:t xml:space="preserve">، ص193؛ محيط المحيط، مادة </w:t>
      </w:r>
      <w:r>
        <w:rPr>
          <w:rFonts w:hint="eastAsia"/>
          <w:rtl/>
        </w:rPr>
        <w:t>«</w:t>
      </w:r>
      <w:r>
        <w:rPr>
          <w:rFonts w:hint="cs"/>
          <w:rtl/>
        </w:rPr>
        <w:t>حنت</w:t>
      </w:r>
      <w:r>
        <w:rPr>
          <w:rFonts w:hint="eastAsia"/>
          <w:rtl/>
        </w:rPr>
        <w:t>»</w:t>
      </w:r>
      <w:r>
        <w:rPr>
          <w:rFonts w:hint="cs"/>
          <w:rtl/>
        </w:rPr>
        <w:t xml:space="preserve">، ص199؛ المعجم الوسيط، مادة </w:t>
      </w:r>
      <w:r>
        <w:rPr>
          <w:rFonts w:hint="eastAsia"/>
          <w:rtl/>
        </w:rPr>
        <w:t>«</w:t>
      </w:r>
      <w:r>
        <w:rPr>
          <w:rFonts w:hint="cs"/>
          <w:rtl/>
        </w:rPr>
        <w:t>حنت</w:t>
      </w:r>
      <w:r>
        <w:rPr>
          <w:rFonts w:hint="eastAsia"/>
          <w:rtl/>
        </w:rPr>
        <w:t>»</w:t>
      </w:r>
      <w:r>
        <w:rPr>
          <w:rFonts w:hint="cs"/>
          <w:rtl/>
        </w:rPr>
        <w:t>، 1/201.</w:t>
      </w:r>
    </w:p>
  </w:footnote>
  <w:footnote w:id="536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البزَّازين في اللغة</w:t>
      </w:r>
      <w:r>
        <w:rPr>
          <w:rFonts w:hint="cs"/>
          <w:rtl/>
        </w:rPr>
        <w:t xml:space="preserve"> : جمع بزَّاز، وهو بائع الثياب. انظر : القاموس المحيط، مادة </w:t>
      </w:r>
      <w:r>
        <w:rPr>
          <w:rFonts w:hint="eastAsia"/>
          <w:rtl/>
        </w:rPr>
        <w:t>«</w:t>
      </w:r>
      <w:r>
        <w:rPr>
          <w:rFonts w:hint="cs"/>
          <w:rtl/>
        </w:rPr>
        <w:t>بزّ</w:t>
      </w:r>
      <w:r>
        <w:rPr>
          <w:rFonts w:hint="eastAsia"/>
          <w:rtl/>
        </w:rPr>
        <w:t>»</w:t>
      </w:r>
      <w:r>
        <w:rPr>
          <w:rFonts w:hint="cs"/>
          <w:rtl/>
        </w:rPr>
        <w:t xml:space="preserve">، ص647؛ المعجم الوسيط، مادة </w:t>
      </w:r>
      <w:r>
        <w:rPr>
          <w:rFonts w:hint="eastAsia"/>
          <w:rtl/>
        </w:rPr>
        <w:t>«</w:t>
      </w:r>
      <w:r>
        <w:rPr>
          <w:rFonts w:hint="cs"/>
          <w:rtl/>
        </w:rPr>
        <w:t>بزَّ</w:t>
      </w:r>
      <w:r>
        <w:rPr>
          <w:rFonts w:hint="eastAsia"/>
          <w:rtl/>
        </w:rPr>
        <w:t>»</w:t>
      </w:r>
      <w:r>
        <w:rPr>
          <w:rFonts w:hint="cs"/>
          <w:rtl/>
        </w:rPr>
        <w:t>، 1/54.</w:t>
      </w:r>
    </w:p>
  </w:footnote>
  <w:footnote w:id="5369">
    <w:p w:rsidR="00035BE3" w:rsidRDefault="00035BE3" w:rsidP="00F0471F">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الأشباه والنظائر لابن نجيم، ص109؛ وانظر : غمز عيون البصائر، 1/282؛ شرح المجلة لسليم رستم، 1/31؛ ولعلي حيدر، 1/36؛ وللأتاسي، 1/68؛ وشرح قواعدها الفقهية للزرقا، ص198؛ الوجيز، ص207.</w:t>
      </w:r>
    </w:p>
    <w:p w:rsidR="00035BE3" w:rsidRPr="00DE357B" w:rsidRDefault="00035BE3" w:rsidP="00F0471F">
      <w:pPr>
        <w:pStyle w:val="a6"/>
        <w:ind w:left="422" w:firstLine="0"/>
        <w:rPr>
          <w:spacing w:val="-6"/>
          <w:rtl/>
        </w:rPr>
      </w:pPr>
      <w:r>
        <w:rPr>
          <w:rFonts w:hint="cs"/>
          <w:spacing w:val="-2"/>
          <w:rtl/>
        </w:rPr>
        <w:t xml:space="preserve">وقد قال صاحب (الأشباه) عقب هذا المثال : </w:t>
      </w:r>
      <w:r>
        <w:rPr>
          <w:rFonts w:hint="eastAsia"/>
          <w:spacing w:val="-2"/>
          <w:rtl/>
        </w:rPr>
        <w:t>«</w:t>
      </w:r>
      <w:r>
        <w:rPr>
          <w:rFonts w:hint="cs"/>
          <w:spacing w:val="-2"/>
          <w:rtl/>
        </w:rPr>
        <w:t>وكذا كل ضرر عام ...</w:t>
      </w:r>
      <w:r>
        <w:rPr>
          <w:rFonts w:hint="eastAsia"/>
          <w:spacing w:val="-2"/>
          <w:rtl/>
        </w:rPr>
        <w:t>»</w:t>
      </w:r>
      <w:r>
        <w:rPr>
          <w:rFonts w:hint="cs"/>
          <w:spacing w:val="-2"/>
          <w:rtl/>
        </w:rPr>
        <w:t>، وقد علق عليه صاحب (غمز عيون البصائر) بأن هذا يتمشى مع رأي أكثر المتأخرين من الحنفية، خلافًا للإمام أبي حنيفة -</w:t>
      </w:r>
      <w:r>
        <w:rPr>
          <w:rFonts w:hint="cs"/>
          <w:spacing w:val="-6"/>
          <w:rtl/>
        </w:rPr>
        <w:t>رحمه الله-، وتمام كلامه</w:t>
      </w:r>
      <w:r w:rsidRPr="00DE357B">
        <w:rPr>
          <w:rFonts w:hint="cs"/>
          <w:spacing w:val="-6"/>
          <w:rtl/>
        </w:rPr>
        <w:t xml:space="preserve">: </w:t>
      </w:r>
      <w:r w:rsidRPr="00DE357B">
        <w:rPr>
          <w:rFonts w:hint="eastAsia"/>
          <w:spacing w:val="-6"/>
          <w:rtl/>
        </w:rPr>
        <w:t>«</w:t>
      </w:r>
      <w:r w:rsidRPr="00DE357B">
        <w:rPr>
          <w:rFonts w:hint="cs"/>
          <w:spacing w:val="-6"/>
          <w:rtl/>
        </w:rPr>
        <w:t>اعلم أن في جنس هذه المسائل اختلافًا حاصله: أنه لا يُمنع على أصل</w:t>
      </w:r>
      <w:r>
        <w:rPr>
          <w:rFonts w:hint="cs"/>
          <w:spacing w:val="-2"/>
          <w:rtl/>
        </w:rPr>
        <w:t xml:space="preserve"> الإمام، </w:t>
      </w:r>
      <w:r w:rsidRPr="00DE357B">
        <w:rPr>
          <w:rFonts w:hint="cs"/>
          <w:spacing w:val="-6"/>
          <w:rtl/>
        </w:rPr>
        <w:t>وهو أن كل تصرّف في خالص ملكه: لا يُمنع منه في الحكم، وإن لحق بالغير الضرر. وأفتى بهذه الطائفة.</w:t>
      </w:r>
    </w:p>
    <w:p w:rsidR="00035BE3" w:rsidRDefault="00035BE3" w:rsidP="00F0471F">
      <w:pPr>
        <w:pStyle w:val="a6"/>
        <w:ind w:left="422" w:firstLine="0"/>
        <w:rPr>
          <w:rtl/>
        </w:rPr>
      </w:pPr>
      <w:r>
        <w:rPr>
          <w:rFonts w:hint="cs"/>
          <w:rtl/>
        </w:rPr>
        <w:t xml:space="preserve">لكن تَرَكَ غالبُ المتأخرين ذلك في موضع يتعدى ضررُ تصَرُّفِهِ إلى غيره ضررًا بيِّنًا، وقالوا : بالمنع. وعليه الفتوى </w:t>
      </w:r>
      <w:r>
        <w:rPr>
          <w:rtl/>
        </w:rPr>
        <w:t>–</w:t>
      </w:r>
      <w:r>
        <w:rPr>
          <w:rFonts w:hint="cs"/>
          <w:rtl/>
        </w:rPr>
        <w:t xml:space="preserve"> كما في كثير من المعتبرات-</w:t>
      </w:r>
      <w:r>
        <w:rPr>
          <w:rFonts w:hint="eastAsia"/>
          <w:rtl/>
        </w:rPr>
        <w:t>»</w:t>
      </w:r>
      <w:r>
        <w:rPr>
          <w:rFonts w:hint="cs"/>
          <w:rtl/>
        </w:rPr>
        <w:t>.</w:t>
      </w:r>
    </w:p>
  </w:footnote>
  <w:footnote w:id="537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112/ب من (أ).</w:t>
      </w:r>
    </w:p>
  </w:footnote>
  <w:footnote w:id="537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القواعد الفقهية الكبرى لشيخنا أ. د. صالح السدلان، ص536، فقد جاء فيها : </w:t>
      </w:r>
      <w:r>
        <w:rPr>
          <w:rFonts w:hint="eastAsia"/>
          <w:rtl/>
        </w:rPr>
        <w:t>«</w:t>
      </w:r>
      <w:r>
        <w:rPr>
          <w:rFonts w:hint="cs"/>
          <w:rtl/>
        </w:rPr>
        <w:t>ومن ذلك قطع يد السارق، وقطع أعضاء الجناة، وقتلهم، وصلبهم، والتعزيرات، والعقوبات ... إلى غير ذلك مما ترجحت فيه المصلحة العامة، ودفع الضرر عن الجماعة</w:t>
      </w:r>
      <w:r>
        <w:rPr>
          <w:rFonts w:hint="eastAsia"/>
          <w:rtl/>
        </w:rPr>
        <w:t>»</w:t>
      </w:r>
      <w:r>
        <w:rPr>
          <w:rFonts w:hint="cs"/>
          <w:rtl/>
        </w:rPr>
        <w:t>.</w:t>
      </w:r>
    </w:p>
  </w:footnote>
  <w:footnote w:id="537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لم أجد له إلا تراجم مقتضبة في بعض كتب تراجم الحنفية، مفادها : أنه عطاء بن حمزة السُّغْدِي،- كان حيًّا عام 471هـ- وقد اشتهر بالفقه والأصول.</w:t>
      </w:r>
    </w:p>
    <w:p w:rsidR="00035BE3" w:rsidRDefault="00035BE3" w:rsidP="00F0471F">
      <w:pPr>
        <w:pStyle w:val="a6"/>
        <w:spacing w:line="216" w:lineRule="auto"/>
        <w:ind w:left="420" w:firstLine="0"/>
        <w:rPr>
          <w:rtl/>
        </w:rPr>
      </w:pPr>
      <w:r>
        <w:rPr>
          <w:rFonts w:hint="cs"/>
          <w:rtl/>
        </w:rPr>
        <w:t xml:space="preserve">هذا حاصل ما جاء في (الفوائد البهية) </w:t>
      </w:r>
      <w:r>
        <w:rPr>
          <w:rtl/>
        </w:rPr>
        <w:t>–</w:t>
      </w:r>
      <w:r>
        <w:rPr>
          <w:rFonts w:hint="cs"/>
          <w:rtl/>
        </w:rPr>
        <w:t>ص116-.</w:t>
      </w:r>
    </w:p>
    <w:p w:rsidR="00035BE3" w:rsidRDefault="00035BE3" w:rsidP="00F0471F">
      <w:pPr>
        <w:pStyle w:val="a6"/>
        <w:spacing w:line="216" w:lineRule="auto"/>
        <w:ind w:left="420" w:firstLine="0"/>
        <w:rPr>
          <w:rtl/>
        </w:rPr>
      </w:pPr>
      <w:r>
        <w:rPr>
          <w:rFonts w:hint="cs"/>
          <w:rtl/>
        </w:rPr>
        <w:t xml:space="preserve">أما صاحب (الجواهر) </w:t>
      </w:r>
      <w:r>
        <w:rPr>
          <w:rtl/>
        </w:rPr>
        <w:t>–</w:t>
      </w:r>
      <w:r>
        <w:rPr>
          <w:rFonts w:hint="cs"/>
          <w:rtl/>
        </w:rPr>
        <w:t>2/529-530- فقد ترجم له في موضعين متتالين : الأول : باسم عطاء بن حمزة، والثاني : باسم عطاء السُّغْدِي، ورقمهما : 937 و938.</w:t>
      </w:r>
      <w:r>
        <w:rPr>
          <w:rFonts w:hint="cs"/>
          <w:rtl/>
        </w:rPr>
        <w:tab/>
      </w:r>
      <w:r>
        <w:rPr>
          <w:rFonts w:hint="cs"/>
          <w:rtl/>
        </w:rPr>
        <w:tab/>
      </w:r>
      <w:r>
        <w:rPr>
          <w:rFonts w:hint="cs"/>
          <w:rtl/>
        </w:rPr>
        <w:tab/>
      </w:r>
      <w:r>
        <w:rPr>
          <w:rFonts w:hint="cs"/>
          <w:rtl/>
        </w:rPr>
        <w:tab/>
        <w:t xml:space="preserve">  </w:t>
      </w:r>
    </w:p>
    <w:p w:rsidR="00035BE3" w:rsidRDefault="00035BE3" w:rsidP="00F0471F">
      <w:pPr>
        <w:pStyle w:val="a6"/>
        <w:spacing w:line="216" w:lineRule="auto"/>
        <w:ind w:left="420" w:firstLine="0"/>
        <w:rPr>
          <w:rtl/>
        </w:rPr>
      </w:pPr>
      <w:r>
        <w:rPr>
          <w:rFonts w:hint="cs"/>
          <w:rtl/>
        </w:rPr>
        <w:t xml:space="preserve">وقد نقل في الترجمة الأولى فتوى له، وفي الثانية قال : </w:t>
      </w:r>
      <w:r>
        <w:rPr>
          <w:rFonts w:hint="eastAsia"/>
          <w:rtl/>
        </w:rPr>
        <w:t>«</w:t>
      </w:r>
      <w:r>
        <w:rPr>
          <w:rFonts w:hint="cs"/>
          <w:rtl/>
        </w:rPr>
        <w:t>مذكور هكذا في كتب الأصحاب، فلا أدري أهو الأول أم لا؟</w:t>
      </w:r>
      <w:r>
        <w:rPr>
          <w:rFonts w:hint="eastAsia"/>
          <w:rtl/>
        </w:rPr>
        <w:t>»</w:t>
      </w:r>
      <w:r>
        <w:rPr>
          <w:rFonts w:hint="cs"/>
          <w:rtl/>
        </w:rPr>
        <w:t>.</w:t>
      </w:r>
    </w:p>
    <w:p w:rsidR="00035BE3" w:rsidRDefault="00035BE3" w:rsidP="00F0471F">
      <w:pPr>
        <w:pStyle w:val="a6"/>
        <w:spacing w:line="216" w:lineRule="auto"/>
        <w:ind w:left="420" w:firstLine="0"/>
        <w:rPr>
          <w:rtl/>
        </w:rPr>
      </w:pPr>
      <w:r>
        <w:rPr>
          <w:rFonts w:hint="cs"/>
          <w:rtl/>
        </w:rPr>
        <w:t xml:space="preserve">وقد نقل المحقق </w:t>
      </w:r>
      <w:r>
        <w:rPr>
          <w:rtl/>
        </w:rPr>
        <w:t>–</w:t>
      </w:r>
      <w:r>
        <w:rPr>
          <w:rFonts w:hint="cs"/>
          <w:rtl/>
        </w:rPr>
        <w:t xml:space="preserve">في الهامش- عن صاحب الطبقات السنية </w:t>
      </w:r>
      <w:r>
        <w:rPr>
          <w:rtl/>
        </w:rPr>
        <w:t>–</w:t>
      </w:r>
      <w:r>
        <w:rPr>
          <w:rFonts w:hint="cs"/>
          <w:rtl/>
        </w:rPr>
        <w:t xml:space="preserve">رقم 1431- أنه قال : بعد إيراده لترجمة صاحب (الجواهر)- : </w:t>
      </w:r>
      <w:r>
        <w:rPr>
          <w:rFonts w:hint="eastAsia"/>
          <w:rtl/>
        </w:rPr>
        <w:t>«</w:t>
      </w:r>
      <w:r>
        <w:rPr>
          <w:rFonts w:hint="cs"/>
          <w:rtl/>
        </w:rPr>
        <w:t>ورأيت بخط مفتي الديار الرومية محمد بن الشيخ محمد بن إلياس في هامش نسخة من (الجواهر) : لاشك أنه هو، فإن عطاء بن حمزة السُّغْدي مذكور في كثير من كتب المذهب، وهو إمام مشهور</w:t>
      </w:r>
      <w:r>
        <w:rPr>
          <w:rFonts w:hint="eastAsia"/>
          <w:rtl/>
        </w:rPr>
        <w:t>»</w:t>
      </w:r>
      <w:r>
        <w:rPr>
          <w:rFonts w:hint="cs"/>
          <w:rtl/>
        </w:rPr>
        <w:t>.</w:t>
      </w:r>
    </w:p>
  </w:footnote>
  <w:footnote w:id="5373">
    <w:p w:rsidR="00035BE3" w:rsidRDefault="00035BE3" w:rsidP="00F0471F">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الأعونة : في اللغة</w:t>
      </w:r>
      <w:r>
        <w:rPr>
          <w:rFonts w:hint="cs"/>
          <w:rtl/>
        </w:rPr>
        <w:t>: جمعُ قلّةٍ للعون، و</w:t>
      </w:r>
      <w:r>
        <w:rPr>
          <w:rFonts w:hint="eastAsia"/>
          <w:rtl/>
        </w:rPr>
        <w:t>«</w:t>
      </w:r>
      <w:r>
        <w:rPr>
          <w:rFonts w:hint="cs"/>
          <w:rtl/>
        </w:rPr>
        <w:t>العون : الظهير على الأمر، الواحد والإثنان والجمع والمؤنث فيه سواء، وقد حُكي في تكسيره : أعوانًا</w:t>
      </w:r>
      <w:r>
        <w:rPr>
          <w:rFonts w:hint="eastAsia"/>
          <w:rtl/>
        </w:rPr>
        <w:t>»</w:t>
      </w:r>
      <w:r>
        <w:rPr>
          <w:rFonts w:hint="cs"/>
          <w:rtl/>
        </w:rPr>
        <w:t>.</w:t>
      </w:r>
    </w:p>
    <w:p w:rsidR="00035BE3" w:rsidRDefault="00035BE3" w:rsidP="00F0471F">
      <w:pPr>
        <w:pStyle w:val="a6"/>
        <w:spacing w:line="216" w:lineRule="auto"/>
        <w:ind w:left="420" w:firstLine="0"/>
        <w:rPr>
          <w:rtl/>
        </w:rPr>
      </w:pPr>
      <w:r>
        <w:rPr>
          <w:rFonts w:hint="eastAsia"/>
          <w:rtl/>
        </w:rPr>
        <w:t>«</w:t>
      </w:r>
      <w:r>
        <w:rPr>
          <w:rFonts w:hint="cs"/>
          <w:b/>
          <w:bCs/>
          <w:rtl/>
        </w:rPr>
        <w:t xml:space="preserve">والمراد به </w:t>
      </w:r>
      <w:r>
        <w:rPr>
          <w:rFonts w:hint="cs"/>
          <w:rtl/>
        </w:rPr>
        <w:t>[</w:t>
      </w:r>
      <w:r>
        <w:rPr>
          <w:rFonts w:hint="cs"/>
          <w:b/>
          <w:bCs/>
          <w:rtl/>
        </w:rPr>
        <w:t>هنا</w:t>
      </w:r>
      <w:r>
        <w:rPr>
          <w:rFonts w:hint="cs"/>
          <w:rtl/>
        </w:rPr>
        <w:t>] : السَّاعي إلى الحكّام بالإفساد. فَعَطْفُ السعاةِ عليه عطفُ تفسير</w:t>
      </w:r>
      <w:r>
        <w:rPr>
          <w:rFonts w:hint="eastAsia"/>
          <w:rtl/>
        </w:rPr>
        <w:t>»</w:t>
      </w:r>
      <w:r>
        <w:rPr>
          <w:rFonts w:hint="cs"/>
          <w:rtl/>
        </w:rPr>
        <w:t>.</w:t>
      </w:r>
    </w:p>
    <w:p w:rsidR="00035BE3" w:rsidRDefault="00035BE3" w:rsidP="00F0471F">
      <w:pPr>
        <w:pStyle w:val="a6"/>
        <w:spacing w:line="216" w:lineRule="auto"/>
        <w:ind w:left="420" w:firstLine="0"/>
        <w:rPr>
          <w:spacing w:val="-4"/>
          <w:rtl/>
        </w:rPr>
      </w:pPr>
      <w:r>
        <w:rPr>
          <w:rFonts w:hint="cs"/>
          <w:spacing w:val="-4"/>
          <w:rtl/>
        </w:rPr>
        <w:t xml:space="preserve">ولتوثيق ما سبق فالمعنى اللغوي منقول من : لسان العرب، مادة </w:t>
      </w:r>
      <w:r>
        <w:rPr>
          <w:rFonts w:hint="eastAsia"/>
          <w:spacing w:val="-4"/>
          <w:rtl/>
        </w:rPr>
        <w:t>«</w:t>
      </w:r>
      <w:r>
        <w:rPr>
          <w:rFonts w:hint="cs"/>
          <w:spacing w:val="-4"/>
          <w:rtl/>
        </w:rPr>
        <w:t>عون</w:t>
      </w:r>
      <w:r>
        <w:rPr>
          <w:rFonts w:hint="eastAsia"/>
          <w:spacing w:val="-4"/>
          <w:rtl/>
        </w:rPr>
        <w:t>»</w:t>
      </w:r>
      <w:r>
        <w:rPr>
          <w:rFonts w:hint="cs"/>
          <w:spacing w:val="-4"/>
          <w:rtl/>
        </w:rPr>
        <w:t xml:space="preserve">، 13/298؛ وانظر : القاموس المحيط، مادة </w:t>
      </w:r>
      <w:r>
        <w:rPr>
          <w:rFonts w:hint="eastAsia"/>
          <w:spacing w:val="-4"/>
          <w:rtl/>
        </w:rPr>
        <w:t>«</w:t>
      </w:r>
      <w:r>
        <w:rPr>
          <w:rFonts w:hint="cs"/>
          <w:spacing w:val="-4"/>
          <w:rtl/>
        </w:rPr>
        <w:t>عون</w:t>
      </w:r>
      <w:r>
        <w:rPr>
          <w:rFonts w:hint="eastAsia"/>
          <w:spacing w:val="-4"/>
          <w:rtl/>
        </w:rPr>
        <w:t>»</w:t>
      </w:r>
      <w:r>
        <w:rPr>
          <w:rFonts w:hint="cs"/>
          <w:spacing w:val="-4"/>
          <w:rtl/>
        </w:rPr>
        <w:t>، ص1571؛ والمراد منه مستفاد من : ردّ المحتار، 6/110؛ وانظر منه : 10/214؛ وانظر معنى الأعوان أيضًا في: معجم لغة الفقهاء، ص58؛ معجم المصطلحات والألفاظ الفقهية، 1/239.</w:t>
      </w:r>
    </w:p>
  </w:footnote>
  <w:footnote w:id="5374">
    <w:p w:rsidR="00035BE3" w:rsidRDefault="00035BE3" w:rsidP="00F0471F">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المسعاة</w:t>
      </w:r>
      <w:r>
        <w:rPr>
          <w:rFonts w:hint="eastAsia"/>
          <w:rtl/>
        </w:rPr>
        <w:t>»</w:t>
      </w:r>
      <w:r>
        <w:rPr>
          <w:rFonts w:hint="cs"/>
          <w:rtl/>
        </w:rPr>
        <w:t>.</w:t>
      </w:r>
    </w:p>
  </w:footnote>
  <w:footnote w:id="5375">
    <w:p w:rsidR="00035BE3" w:rsidRDefault="00035BE3" w:rsidP="00F0471F">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الأيام</w:t>
      </w:r>
      <w:r>
        <w:rPr>
          <w:rFonts w:hint="eastAsia"/>
          <w:rtl/>
        </w:rPr>
        <w:t>»</w:t>
      </w:r>
      <w:r>
        <w:rPr>
          <w:rFonts w:hint="cs"/>
          <w:rtl/>
        </w:rPr>
        <w:t xml:space="preserve">، وفي (د) : يظهر أن اللام أصابها طمس فتكون </w:t>
      </w:r>
      <w:r>
        <w:rPr>
          <w:rFonts w:hint="eastAsia"/>
          <w:rtl/>
        </w:rPr>
        <w:t>«</w:t>
      </w:r>
      <w:r>
        <w:rPr>
          <w:rFonts w:hint="cs"/>
          <w:rtl/>
        </w:rPr>
        <w:t>أيام</w:t>
      </w:r>
      <w:r>
        <w:rPr>
          <w:rFonts w:hint="eastAsia"/>
          <w:rtl/>
        </w:rPr>
        <w:t>»</w:t>
      </w:r>
      <w:r>
        <w:rPr>
          <w:rFonts w:hint="cs"/>
          <w:rtl/>
        </w:rPr>
        <w:t>. والصحيح ما تمَّ إثباته من (هـ) و(و)، وهو الموافق لمصدر هذه العبارة (وهو الفتاوي البزازية).</w:t>
      </w:r>
    </w:p>
  </w:footnote>
  <w:footnote w:id="5376">
    <w:p w:rsidR="00035BE3" w:rsidRDefault="00035BE3" w:rsidP="00F0471F">
      <w:pPr>
        <w:pStyle w:val="a8"/>
        <w:bidi/>
        <w:spacing w:line="216"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أيام الفترة</w:t>
      </w:r>
      <w:r>
        <w:rPr>
          <w:rFonts w:hint="cs"/>
          <w:rtl/>
        </w:rPr>
        <w:t xml:space="preserve"> : الفترة في اللغة : </w:t>
      </w:r>
      <w:r>
        <w:rPr>
          <w:rFonts w:hint="eastAsia"/>
          <w:rtl/>
        </w:rPr>
        <w:t>«</w:t>
      </w:r>
      <w:r>
        <w:rPr>
          <w:rFonts w:hint="cs"/>
          <w:rtl/>
        </w:rPr>
        <w:t>المدّة تقع بين زمانيين أو نبيَّين</w:t>
      </w:r>
      <w:r>
        <w:rPr>
          <w:rFonts w:hint="eastAsia"/>
          <w:rtl/>
        </w:rPr>
        <w:t>»</w:t>
      </w:r>
      <w:r>
        <w:rPr>
          <w:rFonts w:hint="cs"/>
          <w:rtl/>
        </w:rPr>
        <w:t>.</w:t>
      </w:r>
    </w:p>
    <w:p w:rsidR="00035BE3" w:rsidRDefault="00035BE3" w:rsidP="00F0471F">
      <w:pPr>
        <w:pStyle w:val="a6"/>
        <w:spacing w:line="216" w:lineRule="auto"/>
        <w:ind w:left="420" w:firstLine="0"/>
        <w:rPr>
          <w:spacing w:val="6"/>
          <w:rtl/>
        </w:rPr>
      </w:pPr>
      <w:r>
        <w:rPr>
          <w:rFonts w:hint="cs"/>
          <w:spacing w:val="6"/>
          <w:rtl/>
        </w:rPr>
        <w:t xml:space="preserve">وهي إذا أطلقت فالمراد بها : </w:t>
      </w:r>
      <w:r>
        <w:rPr>
          <w:rFonts w:hint="eastAsia"/>
          <w:spacing w:val="6"/>
          <w:rtl/>
        </w:rPr>
        <w:t>«</w:t>
      </w:r>
      <w:r>
        <w:rPr>
          <w:rFonts w:hint="cs"/>
          <w:spacing w:val="6"/>
          <w:rtl/>
        </w:rPr>
        <w:t>ما بين كلّ نبيين</w:t>
      </w:r>
      <w:r>
        <w:rPr>
          <w:rFonts w:hint="eastAsia"/>
          <w:spacing w:val="6"/>
          <w:rtl/>
        </w:rPr>
        <w:t>»</w:t>
      </w:r>
      <w:r>
        <w:rPr>
          <w:rFonts w:hint="cs"/>
          <w:spacing w:val="6"/>
          <w:rtl/>
        </w:rPr>
        <w:t xml:space="preserve">، إلا أن هذا المعنى ليس مرادًا هنا، إذْ يشهد السيَّاق </w:t>
      </w:r>
      <w:r>
        <w:rPr>
          <w:rFonts w:hint="cs"/>
          <w:b/>
          <w:bCs/>
          <w:spacing w:val="6"/>
          <w:rtl/>
        </w:rPr>
        <w:t>أن المراد بها</w:t>
      </w:r>
      <w:r>
        <w:rPr>
          <w:rFonts w:hint="cs"/>
          <w:spacing w:val="6"/>
          <w:rtl/>
        </w:rPr>
        <w:t xml:space="preserve"> : المدة التي تقع بين إمامين للمسلمين، وهي أيام الفتن التي لا يكون فيها من يلي أمر المسلمين في بلدٍ ما.</w:t>
      </w:r>
    </w:p>
    <w:p w:rsidR="00035BE3" w:rsidRDefault="00035BE3" w:rsidP="00F0471F">
      <w:pPr>
        <w:pStyle w:val="a6"/>
        <w:spacing w:line="216" w:lineRule="auto"/>
        <w:ind w:left="420" w:firstLine="0"/>
        <w:rPr>
          <w:spacing w:val="6"/>
          <w:rtl/>
        </w:rPr>
      </w:pPr>
      <w:r>
        <w:rPr>
          <w:rFonts w:hint="cs"/>
          <w:spacing w:val="6"/>
          <w:rtl/>
        </w:rPr>
        <w:t xml:space="preserve">ويعضد هذا أنَّ فتوى عطاء هذه نقلها ابن عابدين في موضعين من حاشيته، أحدهما بلفظ المؤلف (أيام الفترة)، والثاني بلفظ : </w:t>
      </w:r>
      <w:r>
        <w:rPr>
          <w:rFonts w:hint="eastAsia"/>
          <w:spacing w:val="6"/>
          <w:rtl/>
        </w:rPr>
        <w:t>«</w:t>
      </w:r>
      <w:r>
        <w:rPr>
          <w:rFonts w:hint="cs"/>
          <w:spacing w:val="6"/>
          <w:rtl/>
        </w:rPr>
        <w:t xml:space="preserve">أيام </w:t>
      </w:r>
      <w:r>
        <w:rPr>
          <w:rFonts w:hint="cs"/>
          <w:b/>
          <w:bCs/>
          <w:spacing w:val="6"/>
          <w:rtl/>
        </w:rPr>
        <w:t>الفتنة</w:t>
      </w:r>
      <w:r>
        <w:rPr>
          <w:rFonts w:hint="eastAsia"/>
          <w:spacing w:val="6"/>
          <w:rtl/>
        </w:rPr>
        <w:t>»</w:t>
      </w:r>
      <w:r>
        <w:rPr>
          <w:rFonts w:hint="cs"/>
          <w:spacing w:val="6"/>
          <w:rtl/>
        </w:rPr>
        <w:t xml:space="preserve">، فقوله : </w:t>
      </w:r>
      <w:r>
        <w:rPr>
          <w:rFonts w:hint="eastAsia"/>
          <w:spacing w:val="6"/>
          <w:rtl/>
        </w:rPr>
        <w:t>«</w:t>
      </w:r>
      <w:r>
        <w:rPr>
          <w:rFonts w:hint="cs"/>
          <w:spacing w:val="6"/>
          <w:rtl/>
        </w:rPr>
        <w:t>الفتنة</w:t>
      </w:r>
      <w:r>
        <w:rPr>
          <w:rFonts w:hint="eastAsia"/>
          <w:spacing w:val="6"/>
          <w:rtl/>
        </w:rPr>
        <w:t>»</w:t>
      </w:r>
      <w:r>
        <w:rPr>
          <w:rFonts w:hint="cs"/>
          <w:spacing w:val="6"/>
          <w:rtl/>
        </w:rPr>
        <w:t xml:space="preserve"> يعني أن هذه الكلمة مرادفة ومفسِّرة لِـ (الفترة).</w:t>
      </w:r>
    </w:p>
    <w:p w:rsidR="00035BE3" w:rsidRDefault="00035BE3" w:rsidP="00F0471F">
      <w:pPr>
        <w:pStyle w:val="a6"/>
        <w:spacing w:line="216" w:lineRule="auto"/>
        <w:ind w:left="422" w:firstLine="0"/>
        <w:rPr>
          <w:rtl/>
        </w:rPr>
      </w:pPr>
      <w:r>
        <w:rPr>
          <w:rFonts w:hint="cs"/>
          <w:rtl/>
        </w:rPr>
        <w:t xml:space="preserve">ولتوثيق ما سبق: فإن النص الأول منقول من المعجم الوسيط، مادة </w:t>
      </w:r>
      <w:r>
        <w:rPr>
          <w:rFonts w:hint="eastAsia"/>
          <w:rtl/>
        </w:rPr>
        <w:t>«</w:t>
      </w:r>
      <w:r>
        <w:rPr>
          <w:rFonts w:hint="cs"/>
          <w:rtl/>
        </w:rPr>
        <w:t>فتر</w:t>
      </w:r>
      <w:r>
        <w:rPr>
          <w:rFonts w:hint="eastAsia"/>
          <w:rtl/>
        </w:rPr>
        <w:t>»</w:t>
      </w:r>
      <w:r>
        <w:rPr>
          <w:rFonts w:hint="cs"/>
          <w:rtl/>
        </w:rPr>
        <w:t xml:space="preserve">، 2/672؛ والثاني من لسان العرب، مادة </w:t>
      </w:r>
      <w:r>
        <w:rPr>
          <w:rFonts w:hint="eastAsia"/>
          <w:rtl/>
        </w:rPr>
        <w:t>«</w:t>
      </w:r>
      <w:r>
        <w:rPr>
          <w:rFonts w:hint="cs"/>
          <w:rtl/>
        </w:rPr>
        <w:t>فتر</w:t>
      </w:r>
      <w:r>
        <w:rPr>
          <w:rFonts w:hint="eastAsia"/>
          <w:rtl/>
        </w:rPr>
        <w:t>»</w:t>
      </w:r>
      <w:r>
        <w:rPr>
          <w:rFonts w:hint="cs"/>
          <w:rtl/>
        </w:rPr>
        <w:t>، 5/44؛ والموضعين المشار إليهما من رد المحتار هما: 6/110 و10/214.</w:t>
      </w:r>
    </w:p>
    <w:p w:rsidR="00035BE3" w:rsidRDefault="00035BE3" w:rsidP="00F0471F">
      <w:pPr>
        <w:pStyle w:val="a6"/>
        <w:ind w:left="422" w:firstLine="0"/>
        <w:rPr>
          <w:rtl/>
        </w:rPr>
      </w:pPr>
      <w:r>
        <w:rPr>
          <w:rFonts w:hint="cs"/>
          <w:rtl/>
        </w:rPr>
        <w:t xml:space="preserve">وانظر في معنى الفترة أيضًا : القاموس المحيط، مادة </w:t>
      </w:r>
      <w:r>
        <w:rPr>
          <w:rFonts w:hint="eastAsia"/>
          <w:rtl/>
        </w:rPr>
        <w:t>«</w:t>
      </w:r>
      <w:r>
        <w:rPr>
          <w:rFonts w:hint="cs"/>
          <w:rtl/>
        </w:rPr>
        <w:t>فتر</w:t>
      </w:r>
      <w:r>
        <w:rPr>
          <w:rFonts w:hint="eastAsia"/>
          <w:rtl/>
        </w:rPr>
        <w:t>»</w:t>
      </w:r>
      <w:r>
        <w:rPr>
          <w:rFonts w:hint="cs"/>
          <w:rtl/>
        </w:rPr>
        <w:t xml:space="preserve">، ص584؛ معجم لغة الفقهاء، ص308. </w:t>
      </w:r>
    </w:p>
  </w:footnote>
  <w:footnote w:id="537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مصدر هذه العبارة وهو (الفتاوي البزازية) : </w:t>
      </w:r>
      <w:r>
        <w:rPr>
          <w:rFonts w:hint="eastAsia"/>
          <w:rtl/>
        </w:rPr>
        <w:t>«</w:t>
      </w:r>
      <w:r>
        <w:rPr>
          <w:rFonts w:hint="cs"/>
          <w:rtl/>
        </w:rPr>
        <w:t>يتوارون</w:t>
      </w:r>
      <w:r>
        <w:rPr>
          <w:rFonts w:hint="eastAsia"/>
          <w:rtl/>
        </w:rPr>
        <w:t>»</w:t>
      </w:r>
      <w:r>
        <w:rPr>
          <w:rFonts w:hint="cs"/>
          <w:rtl/>
        </w:rPr>
        <w:t xml:space="preserve"> (بالراء المهملة).</w:t>
      </w:r>
    </w:p>
  </w:footnote>
  <w:footnote w:id="537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sidRPr="006E4D3B">
        <w:rPr>
          <w:rFonts w:hint="cs"/>
          <w:sz w:val="18"/>
          <w:rtl/>
        </w:rPr>
        <w:t xml:space="preserve">  </w:t>
      </w:r>
      <w:r>
        <w:rPr>
          <w:rFonts w:hint="cs"/>
          <w:rtl/>
        </w:rPr>
        <w:t xml:space="preserve"> هذا اقتباس من الآية رقم (28) من سورة (الأنعام). علمًا بأنها جاءت في (أ) بزيادة الواو (ولما). وهذا خطأ بيّن.</w:t>
      </w:r>
    </w:p>
  </w:footnote>
  <w:footnote w:id="537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ابن</w:t>
      </w:r>
      <w:r>
        <w:rPr>
          <w:rFonts w:hint="eastAsia"/>
          <w:rtl/>
        </w:rPr>
        <w:t>»</w:t>
      </w:r>
      <w:r>
        <w:rPr>
          <w:rFonts w:hint="cs"/>
          <w:rtl/>
        </w:rPr>
        <w:t>.</w:t>
      </w:r>
    </w:p>
  </w:footnote>
  <w:footnote w:id="5380">
    <w:p w:rsidR="00035BE3" w:rsidRDefault="00035BE3" w:rsidP="00F0471F">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في (أ) و(د) : </w:t>
      </w:r>
      <w:r>
        <w:rPr>
          <w:rFonts w:hint="eastAsia"/>
          <w:spacing w:val="-8"/>
          <w:rtl/>
        </w:rPr>
        <w:t>«</w:t>
      </w:r>
      <w:r>
        <w:rPr>
          <w:rFonts w:hint="cs"/>
          <w:spacing w:val="-8"/>
          <w:rtl/>
        </w:rPr>
        <w:t>الشجاع</w:t>
      </w:r>
      <w:r>
        <w:rPr>
          <w:rFonts w:hint="eastAsia"/>
          <w:spacing w:val="-8"/>
          <w:rtl/>
        </w:rPr>
        <w:t>»</w:t>
      </w:r>
      <w:r>
        <w:rPr>
          <w:rFonts w:hint="cs"/>
          <w:spacing w:val="-8"/>
          <w:rtl/>
        </w:rPr>
        <w:t xml:space="preserve">، وفي (جـ) : </w:t>
      </w:r>
      <w:r>
        <w:rPr>
          <w:rFonts w:hint="eastAsia"/>
          <w:spacing w:val="-8"/>
          <w:rtl/>
        </w:rPr>
        <w:t>«</w:t>
      </w:r>
      <w:r>
        <w:rPr>
          <w:rFonts w:hint="cs"/>
          <w:spacing w:val="-8"/>
          <w:rtl/>
        </w:rPr>
        <w:t>اسجاع</w:t>
      </w:r>
      <w:r>
        <w:rPr>
          <w:rFonts w:hint="eastAsia"/>
          <w:spacing w:val="-8"/>
          <w:rtl/>
        </w:rPr>
        <w:t>»</w:t>
      </w:r>
      <w:r>
        <w:rPr>
          <w:rFonts w:hint="cs"/>
          <w:spacing w:val="-8"/>
          <w:rtl/>
        </w:rPr>
        <w:t>. والصحيح ما تم إثباته من (ب)، وهو الموافق للفتاوى البزازية.</w:t>
      </w:r>
    </w:p>
  </w:footnote>
  <w:footnote w:id="5381">
    <w:p w:rsidR="00035BE3" w:rsidRDefault="00035BE3" w:rsidP="00F0471F">
      <w:pPr>
        <w:pStyle w:val="a8"/>
        <w:bidi/>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w:t>
      </w:r>
      <w:r>
        <w:rPr>
          <w:rFonts w:hint="cs"/>
          <w:b/>
          <w:bCs/>
          <w:spacing w:val="8"/>
          <w:rtl/>
        </w:rPr>
        <w:t>أبو شجاع</w:t>
      </w:r>
      <w:r>
        <w:rPr>
          <w:rFonts w:hint="cs"/>
          <w:spacing w:val="8"/>
          <w:rtl/>
        </w:rPr>
        <w:t xml:space="preserve"> : جاء في مصدر هذه العبارة وهو (الفتاوى البزازية) : </w:t>
      </w:r>
      <w:r>
        <w:rPr>
          <w:rFonts w:hint="eastAsia"/>
          <w:spacing w:val="8"/>
          <w:rtl/>
        </w:rPr>
        <w:t>«</w:t>
      </w:r>
      <w:r>
        <w:rPr>
          <w:rFonts w:hint="cs"/>
          <w:spacing w:val="8"/>
          <w:rtl/>
        </w:rPr>
        <w:t>السيّد أبو شجاع</w:t>
      </w:r>
      <w:r>
        <w:rPr>
          <w:rFonts w:hint="eastAsia"/>
          <w:spacing w:val="8"/>
          <w:rtl/>
        </w:rPr>
        <w:t>»</w:t>
      </w:r>
      <w:r>
        <w:rPr>
          <w:rFonts w:hint="cs"/>
          <w:spacing w:val="8"/>
          <w:rtl/>
        </w:rPr>
        <w:t xml:space="preserve"> والمشهور بالسيد أبي شجاع هو محمد بن أحمد بن حمزة بن الحسين بن علي ... ابن العباس بن علي بن أبي طالب </w:t>
      </w:r>
      <w:r>
        <w:rPr>
          <w:rFonts w:ascii="AGA Arabesque" w:hAnsi="AGA Arabesque" w:cs="DecoType Naskh"/>
          <w:sz w:val="36"/>
          <w:szCs w:val="36"/>
        </w:rPr>
        <w:t></w:t>
      </w:r>
      <w:r>
        <w:rPr>
          <w:rFonts w:hint="cs"/>
          <w:spacing w:val="8"/>
          <w:rtl/>
        </w:rPr>
        <w:t>.</w:t>
      </w:r>
    </w:p>
    <w:p w:rsidR="00035BE3" w:rsidRDefault="00035BE3" w:rsidP="00F0471F">
      <w:pPr>
        <w:pStyle w:val="a6"/>
        <w:ind w:left="422" w:firstLine="0"/>
        <w:rPr>
          <w:rtl/>
        </w:rPr>
      </w:pPr>
      <w:r>
        <w:rPr>
          <w:rFonts w:hint="cs"/>
          <w:rtl/>
        </w:rPr>
        <w:t>كان في عصر : علي بن الحسين السُّغدي (ت461هـ)، والحسن القاضي الماتريدي، وكان المعتبر في زمانهم في الفتوى أن يجتمع خطّهم عليها.</w:t>
      </w:r>
    </w:p>
    <w:p w:rsidR="00035BE3" w:rsidRDefault="00035BE3" w:rsidP="00F0471F">
      <w:pPr>
        <w:pStyle w:val="a6"/>
        <w:spacing w:line="264" w:lineRule="auto"/>
        <w:ind w:left="420" w:firstLine="0"/>
        <w:rPr>
          <w:spacing w:val="-2"/>
          <w:rtl/>
        </w:rPr>
      </w:pPr>
      <w:r>
        <w:rPr>
          <w:rFonts w:hint="cs"/>
          <w:spacing w:val="-2"/>
          <w:rtl/>
        </w:rPr>
        <w:t>هذا جلّ ما وجدته في ترجمته؛ حيث لم أقف على ترجمة له إلا في كتابين هما : الجواهر المضية، 3/28، رقم 1160؛ الفوائد البهية، ص155، 65.</w:t>
      </w:r>
    </w:p>
    <w:p w:rsidR="00035BE3" w:rsidRDefault="00035BE3" w:rsidP="00F0471F">
      <w:pPr>
        <w:pStyle w:val="a6"/>
        <w:spacing w:line="264" w:lineRule="auto"/>
        <w:ind w:left="420" w:firstLine="0"/>
        <w:rPr>
          <w:rtl/>
        </w:rPr>
      </w:pPr>
      <w:r>
        <w:rPr>
          <w:rFonts w:hint="cs"/>
          <w:rtl/>
        </w:rPr>
        <w:t>والترجمة المذكورة مستفادة من الكتاب الثاني.</w:t>
      </w:r>
    </w:p>
    <w:p w:rsidR="00035BE3" w:rsidRDefault="00035BE3" w:rsidP="00F0471F">
      <w:pPr>
        <w:pStyle w:val="a6"/>
        <w:spacing w:line="264" w:lineRule="auto"/>
        <w:ind w:left="420" w:firstLine="0"/>
        <w:rPr>
          <w:rtl/>
        </w:rPr>
      </w:pPr>
      <w:r>
        <w:rPr>
          <w:rFonts w:hint="cs"/>
          <w:rtl/>
        </w:rPr>
        <w:t>أما الأول فقد ترجم لأبي شجاع في موضعين (على أنهما اثنان لا رجل واحد) :</w:t>
      </w:r>
    </w:p>
    <w:p w:rsidR="00035BE3" w:rsidRDefault="00035BE3" w:rsidP="00F0471F">
      <w:pPr>
        <w:pStyle w:val="a6"/>
        <w:spacing w:line="264" w:lineRule="auto"/>
        <w:ind w:left="420" w:firstLine="0"/>
        <w:rPr>
          <w:rtl/>
        </w:rPr>
      </w:pPr>
      <w:r>
        <w:rPr>
          <w:rFonts w:hint="cs"/>
          <w:b/>
          <w:bCs/>
          <w:rtl/>
        </w:rPr>
        <w:t>الموضع الأول</w:t>
      </w:r>
      <w:r>
        <w:rPr>
          <w:rFonts w:hint="cs"/>
          <w:rtl/>
        </w:rPr>
        <w:t xml:space="preserve"> : ذكر فيه الاسم الآنف الذكر، وأنَّ</w:t>
      </w:r>
      <w:r>
        <w:rPr>
          <w:rFonts w:hint="cs"/>
          <w:rtl/>
          <w:lang w:bidi="ar-AE"/>
        </w:rPr>
        <w:t>ه</w:t>
      </w:r>
      <w:r>
        <w:rPr>
          <w:rFonts w:hint="cs"/>
          <w:rtl/>
        </w:rPr>
        <w:t xml:space="preserve"> تفقَّه عليه ولده محمد فقط.</w:t>
      </w:r>
    </w:p>
    <w:p w:rsidR="00035BE3" w:rsidRDefault="00035BE3" w:rsidP="00F0471F">
      <w:pPr>
        <w:pStyle w:val="a6"/>
        <w:spacing w:line="264" w:lineRule="auto"/>
        <w:ind w:left="420" w:firstLine="0"/>
        <w:rPr>
          <w:rtl/>
        </w:rPr>
      </w:pPr>
      <w:r>
        <w:rPr>
          <w:rFonts w:hint="cs"/>
          <w:b/>
          <w:bCs/>
          <w:rtl/>
        </w:rPr>
        <w:t>الموضع الثاني</w:t>
      </w:r>
      <w:r>
        <w:rPr>
          <w:rFonts w:hint="cs"/>
          <w:rtl/>
        </w:rPr>
        <w:t xml:space="preserve"> : (وذلك جـ4، ص53، رقم1931) ذكر فيه الكنية </w:t>
      </w:r>
      <w:r>
        <w:rPr>
          <w:rtl/>
        </w:rPr>
        <w:t>–</w:t>
      </w:r>
      <w:r>
        <w:rPr>
          <w:rFonts w:hint="cs"/>
          <w:rtl/>
        </w:rPr>
        <w:t>دون الاسم- (السيّد أبو شجاع) وذكر ما سبق نقله عن (الفوائد) من معاصرته للسُّغدي والماتريدي، واجتماع خط الثلاثة لاعتماد الفتوى، مع نقل فتوى له والماتريدي.</w:t>
      </w:r>
    </w:p>
    <w:p w:rsidR="00035BE3" w:rsidRDefault="00035BE3" w:rsidP="00F0471F">
      <w:pPr>
        <w:pStyle w:val="a6"/>
        <w:spacing w:line="264" w:lineRule="auto"/>
        <w:ind w:left="420" w:firstLine="0"/>
        <w:rPr>
          <w:rtl/>
        </w:rPr>
      </w:pPr>
      <w:r>
        <w:rPr>
          <w:rFonts w:hint="cs"/>
          <w:rtl/>
        </w:rPr>
        <w:t>ثم أعقب الترجمة الثانية بثالثة (وذلك في جـ4، ص54، رقم1931) قال فيها :</w:t>
      </w:r>
    </w:p>
    <w:p w:rsidR="00035BE3" w:rsidRDefault="00035BE3" w:rsidP="00F0471F">
      <w:pPr>
        <w:pStyle w:val="a6"/>
        <w:spacing w:line="264" w:lineRule="auto"/>
        <w:ind w:left="420" w:firstLine="0"/>
        <w:rPr>
          <w:rtl/>
        </w:rPr>
      </w:pPr>
      <w:r>
        <w:rPr>
          <w:rFonts w:hint="eastAsia"/>
          <w:rtl/>
        </w:rPr>
        <w:t>«</w:t>
      </w:r>
      <w:r>
        <w:rPr>
          <w:rFonts w:hint="cs"/>
          <w:rtl/>
        </w:rPr>
        <w:t>أبو شجاع : يعرف بالبِسْطَامِيّ. كان موجودًا سنة ثلاثين وخمسمائة</w:t>
      </w:r>
      <w:r>
        <w:rPr>
          <w:rFonts w:hint="eastAsia"/>
          <w:rtl/>
        </w:rPr>
        <w:t>»</w:t>
      </w:r>
      <w:r>
        <w:rPr>
          <w:rFonts w:hint="cs"/>
          <w:rtl/>
        </w:rPr>
        <w:t>.</w:t>
      </w:r>
    </w:p>
  </w:footnote>
  <w:footnote w:id="538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وذلك 3/311.</w:t>
      </w:r>
    </w:p>
    <w:p w:rsidR="00035BE3" w:rsidRDefault="00035BE3" w:rsidP="00F0471F">
      <w:pPr>
        <w:pStyle w:val="a6"/>
        <w:ind w:left="422" w:firstLine="0"/>
        <w:rPr>
          <w:rtl/>
        </w:rPr>
      </w:pPr>
      <w:r>
        <w:rPr>
          <w:rFonts w:hint="cs"/>
          <w:rtl/>
        </w:rPr>
        <w:t xml:space="preserve">كما وردت فتوى عطاء بن حمزة في موضعين من رد المحتار </w:t>
      </w:r>
      <w:r>
        <w:rPr>
          <w:rtl/>
        </w:rPr>
        <w:t>–</w:t>
      </w:r>
      <w:r>
        <w:rPr>
          <w:rFonts w:hint="cs"/>
          <w:rtl/>
        </w:rPr>
        <w:t>هما: 6/110، 10/214- فقد ذكرها في الموضع الأول بطولها؛ كما ذكرها في الموضع الثاني عَرَضًا بلفظ مختصر، ومعزوّة إلى (البزّازية).</w:t>
      </w:r>
    </w:p>
    <w:p w:rsidR="00035BE3" w:rsidRDefault="00035BE3" w:rsidP="00F0471F">
      <w:pPr>
        <w:pStyle w:val="a6"/>
        <w:ind w:left="422" w:firstLine="0"/>
        <w:rPr>
          <w:rtl/>
        </w:rPr>
      </w:pPr>
      <w:r>
        <w:rPr>
          <w:rFonts w:hint="cs"/>
          <w:rtl/>
        </w:rPr>
        <w:t xml:space="preserve">وممّا قد يوضح أبعاد هذه الفتوى : بيانُ مناسبة ذكر ابن عابدين لهذه الفتوى بطولها، فقد ذكرها تعليقًا على عبارة لصاحب (الدرّ المختار) تتضمّن الإشارة إلى بعض الأحكام التي تناولتها الفتوى، حيث جاء في (الدر المختار) </w:t>
      </w:r>
      <w:r>
        <w:rPr>
          <w:rtl/>
        </w:rPr>
        <w:t>–</w:t>
      </w:r>
      <w:r>
        <w:rPr>
          <w:rFonts w:hint="cs"/>
          <w:rtl/>
        </w:rPr>
        <w:t xml:space="preserve"> 6/109-110- : </w:t>
      </w:r>
      <w:r>
        <w:rPr>
          <w:rFonts w:hint="eastAsia"/>
          <w:rtl/>
        </w:rPr>
        <w:t>«</w:t>
      </w:r>
      <w:r>
        <w:rPr>
          <w:rFonts w:hint="cs"/>
          <w:rtl/>
        </w:rPr>
        <w:t>وفي (المجتبى) : الأصل أن كل شخص رأى مسلمًا يزني يحلُّ له أن يقتله، وإنما يمتنع خوفًا من أن لا يصدَّق أنه زنى.</w:t>
      </w:r>
    </w:p>
    <w:p w:rsidR="00035BE3" w:rsidRDefault="00035BE3" w:rsidP="00F0471F">
      <w:pPr>
        <w:pStyle w:val="a6"/>
        <w:ind w:left="422" w:firstLine="0"/>
        <w:rPr>
          <w:rtl/>
        </w:rPr>
      </w:pPr>
      <w:r>
        <w:rPr>
          <w:rFonts w:hint="cs"/>
          <w:rtl/>
        </w:rPr>
        <w:t>وعلى هذا القياس : المكابر بالظلم، وقطاع الطريق ... وجميع الكبائر والأعونة والسعاة، يباح قتل الكل ويثاب قاتلهم. انتهى</w:t>
      </w:r>
      <w:r>
        <w:rPr>
          <w:rFonts w:hint="eastAsia"/>
          <w:rtl/>
        </w:rPr>
        <w:t>»</w:t>
      </w:r>
      <w:r>
        <w:rPr>
          <w:rFonts w:hint="cs"/>
          <w:rtl/>
        </w:rPr>
        <w:t>.</w:t>
      </w:r>
    </w:p>
    <w:p w:rsidR="00035BE3" w:rsidRDefault="00035BE3" w:rsidP="00F0471F">
      <w:pPr>
        <w:pStyle w:val="a6"/>
        <w:ind w:left="422" w:firstLine="0"/>
        <w:rPr>
          <w:rtl/>
        </w:rPr>
      </w:pPr>
      <w:r>
        <w:rPr>
          <w:rFonts w:hint="cs"/>
          <w:rtl/>
        </w:rPr>
        <w:t xml:space="preserve">وبناءً على ما تقدّم يقال: </w:t>
      </w:r>
      <w:r>
        <w:rPr>
          <w:rFonts w:hint="cs"/>
          <w:b/>
          <w:bCs/>
          <w:rtl/>
        </w:rPr>
        <w:t>لعلّ المقصود من هذه الفتوى</w:t>
      </w:r>
      <w:r>
        <w:rPr>
          <w:rFonts w:hint="cs"/>
          <w:rtl/>
        </w:rPr>
        <w:t xml:space="preserve"> : أن من يستحق القتل شرعًا (حدًّا أوتعزيرًا ...) فإنّ دمه هدرٌ، إلا أنه خوفًا من أن لا يُصدَّق في دعواه، ودرءًا للفتنة والفوضى، وبعدًا عن الافتيات على الإمام : فإنّ إقامة هذا الحكم الشرعي حقٌّ منحصر في الإمام أو من ينيـبه، ولكن في أيام الفترة والفتنة التي لا يكون فيها من يتولى أمر المسلمين، فإن دمه يكون هدرًا تجوز إراقته من كل مسلم يعلم أن هذا حكم الله فيه.</w:t>
      </w:r>
    </w:p>
    <w:p w:rsidR="00035BE3" w:rsidRDefault="00035BE3" w:rsidP="00F0471F">
      <w:pPr>
        <w:pStyle w:val="a6"/>
        <w:ind w:left="422" w:firstLine="0"/>
        <w:rPr>
          <w:rtl/>
        </w:rPr>
      </w:pPr>
      <w:r>
        <w:rPr>
          <w:rFonts w:hint="cs"/>
          <w:rtl/>
        </w:rPr>
        <w:t>هذا ما يظهر لي في المراد من هذه الفتوى وأبعادها، أما مدى صحّـتها فالله تعالى أعلم به.</w:t>
      </w:r>
    </w:p>
    <w:p w:rsidR="00035BE3" w:rsidRDefault="00035BE3" w:rsidP="00F0471F">
      <w:pPr>
        <w:pStyle w:val="a6"/>
        <w:ind w:left="422" w:firstLine="0"/>
        <w:rPr>
          <w:spacing w:val="-4"/>
          <w:rtl/>
        </w:rPr>
      </w:pPr>
      <w:r>
        <w:rPr>
          <w:rFonts w:hint="cs"/>
          <w:spacing w:val="-4"/>
          <w:rtl/>
        </w:rPr>
        <w:t>وانظر في كون استيفاء الحق منحصر في الإمام ومن ينيبه إلى : الأحكام السلطانية للماوردي، ص126.</w:t>
      </w:r>
    </w:p>
    <w:p w:rsidR="00035BE3" w:rsidRDefault="00035BE3" w:rsidP="00F0471F">
      <w:pPr>
        <w:pStyle w:val="a6"/>
        <w:ind w:left="422" w:hanging="454"/>
        <w:rPr>
          <w:rtl/>
        </w:rPr>
      </w:pPr>
    </w:p>
  </w:footnote>
  <w:footnote w:id="538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Default="00035BE3" w:rsidP="00F0471F">
      <w:pPr>
        <w:pStyle w:val="a6"/>
        <w:ind w:left="422" w:firstLine="0"/>
        <w:rPr>
          <w:rtl/>
        </w:rPr>
      </w:pPr>
      <w:r>
        <w:rPr>
          <w:rFonts w:hint="cs"/>
          <w:rtl/>
        </w:rPr>
        <w:t>ورد في نهاية هذه القاعدة مصطلحان هما : المشترك وغالب الرأي :</w:t>
      </w:r>
    </w:p>
    <w:p w:rsidR="00035BE3" w:rsidRDefault="00035BE3" w:rsidP="00F0471F">
      <w:pPr>
        <w:pStyle w:val="a6"/>
        <w:ind w:left="422" w:firstLine="0"/>
        <w:rPr>
          <w:rtl/>
        </w:rPr>
      </w:pPr>
      <w:r>
        <w:rPr>
          <w:b/>
          <w:bCs/>
          <w:rtl/>
        </w:rPr>
        <w:t>•</w:t>
      </w:r>
      <w:r>
        <w:rPr>
          <w:rFonts w:hint="cs"/>
          <w:b/>
          <w:bCs/>
          <w:rtl/>
        </w:rPr>
        <w:t xml:space="preserve"> ومعنى غالب الرأي</w:t>
      </w:r>
      <w:r>
        <w:rPr>
          <w:rFonts w:hint="cs"/>
          <w:rtl/>
        </w:rPr>
        <w:t xml:space="preserve"> : </w:t>
      </w:r>
      <w:r>
        <w:rPr>
          <w:rFonts w:hint="eastAsia"/>
          <w:rtl/>
        </w:rPr>
        <w:t>«</w:t>
      </w:r>
      <w:r>
        <w:rPr>
          <w:rFonts w:hint="cs"/>
          <w:rtl/>
        </w:rPr>
        <w:t>الظن الغالب، سواء حصل من خبر الواحد أو القياس أو التأمل في الصيغة</w:t>
      </w:r>
      <w:r>
        <w:rPr>
          <w:rFonts w:hint="eastAsia"/>
          <w:rtl/>
        </w:rPr>
        <w:t>»</w:t>
      </w:r>
      <w:r>
        <w:rPr>
          <w:rFonts w:hint="cs"/>
          <w:rtl/>
        </w:rPr>
        <w:t>- قاله صاحب التلويح-.</w:t>
      </w:r>
    </w:p>
    <w:p w:rsidR="00035BE3" w:rsidRDefault="00035BE3" w:rsidP="00F0471F">
      <w:pPr>
        <w:pStyle w:val="a6"/>
        <w:ind w:left="422" w:firstLine="0"/>
        <w:rPr>
          <w:rtl/>
        </w:rPr>
      </w:pPr>
      <w:r>
        <w:rPr>
          <w:b/>
          <w:bCs/>
          <w:rtl/>
        </w:rPr>
        <w:t>•</w:t>
      </w:r>
      <w:r>
        <w:rPr>
          <w:rFonts w:hint="cs"/>
          <w:b/>
          <w:bCs/>
          <w:rtl/>
        </w:rPr>
        <w:t xml:space="preserve"> أما المشترك</w:t>
      </w:r>
      <w:r>
        <w:rPr>
          <w:rFonts w:hint="cs"/>
          <w:rtl/>
        </w:rPr>
        <w:t xml:space="preserve"> : فقد سبق تعريفه -ص354-، وممّا ذُكر في تعريفه : </w:t>
      </w:r>
      <w:r>
        <w:rPr>
          <w:rFonts w:hint="eastAsia"/>
          <w:rtl/>
        </w:rPr>
        <w:t>«</w:t>
      </w:r>
      <w:r>
        <w:rPr>
          <w:rFonts w:hint="cs"/>
          <w:rtl/>
        </w:rPr>
        <w:t>ما اتَّحد فيه اللفظ، وتعدّد المعنى</w:t>
      </w:r>
      <w:r>
        <w:rPr>
          <w:rFonts w:hint="eastAsia"/>
          <w:rtl/>
        </w:rPr>
        <w:t>»</w:t>
      </w:r>
      <w:r>
        <w:rPr>
          <w:rFonts w:hint="cs"/>
          <w:rtl/>
        </w:rPr>
        <w:t>.</w:t>
      </w:r>
    </w:p>
    <w:p w:rsidR="00035BE3" w:rsidRDefault="00035BE3" w:rsidP="00F0471F">
      <w:pPr>
        <w:pStyle w:val="a6"/>
        <w:ind w:left="422" w:firstLine="0"/>
        <w:rPr>
          <w:rtl/>
        </w:rPr>
      </w:pPr>
      <w:r>
        <w:rPr>
          <w:rFonts w:hint="cs"/>
          <w:rtl/>
        </w:rPr>
        <w:t xml:space="preserve">إذا عُلم هذا </w:t>
      </w:r>
      <w:r>
        <w:rPr>
          <w:rFonts w:hint="cs"/>
          <w:b/>
          <w:bCs/>
          <w:rtl/>
        </w:rPr>
        <w:t>فمعنى القاعدة</w:t>
      </w:r>
      <w:r>
        <w:rPr>
          <w:rFonts w:hint="cs"/>
          <w:rtl/>
        </w:rPr>
        <w:t xml:space="preserve"> :</w:t>
      </w:r>
    </w:p>
    <w:p w:rsidR="00035BE3" w:rsidRDefault="00035BE3" w:rsidP="00F0471F">
      <w:pPr>
        <w:pStyle w:val="a6"/>
        <w:ind w:left="422" w:firstLine="0"/>
        <w:rPr>
          <w:rtl/>
        </w:rPr>
      </w:pPr>
      <w:r>
        <w:rPr>
          <w:rFonts w:hint="cs"/>
          <w:rtl/>
        </w:rPr>
        <w:t>اللفظ الذي له أكثر من معنى يمكن ترجيح أحد معانيه بالظن الغالب، سواء حصل من الأدلة الظنية أم القرائن الأُخَر في النصوص.</w:t>
      </w:r>
    </w:p>
    <w:p w:rsidR="00035BE3" w:rsidRDefault="00035BE3" w:rsidP="00F0471F">
      <w:pPr>
        <w:pStyle w:val="a6"/>
        <w:ind w:left="422" w:firstLine="0"/>
        <w:rPr>
          <w:rtl/>
        </w:rPr>
      </w:pPr>
      <w:r>
        <w:rPr>
          <w:rFonts w:hint="cs"/>
          <w:rtl/>
        </w:rPr>
        <w:t xml:space="preserve">وإذا ترجح أحد معانيه بالظن صار مؤولاً </w:t>
      </w:r>
      <w:r>
        <w:rPr>
          <w:rtl/>
        </w:rPr>
        <w:t>–</w:t>
      </w:r>
      <w:r>
        <w:rPr>
          <w:rFonts w:hint="cs"/>
          <w:rtl/>
        </w:rPr>
        <w:t>كما سيأتي بيانه عند توثيق القاعدة-.</w:t>
      </w:r>
    </w:p>
    <w:p w:rsidR="00035BE3" w:rsidRDefault="00035BE3" w:rsidP="00F0471F">
      <w:pPr>
        <w:pStyle w:val="a6"/>
        <w:ind w:left="422" w:firstLine="0"/>
        <w:rPr>
          <w:b/>
          <w:bCs/>
          <w:rtl/>
        </w:rPr>
      </w:pPr>
      <w:r>
        <w:rPr>
          <w:rFonts w:hint="cs"/>
          <w:b/>
          <w:bCs/>
          <w:rtl/>
        </w:rPr>
        <w:t>توثيق القاعدة :</w:t>
      </w:r>
    </w:p>
    <w:p w:rsidR="00035BE3" w:rsidRDefault="00035BE3" w:rsidP="00F0471F">
      <w:pPr>
        <w:pStyle w:val="a6"/>
        <w:ind w:left="422" w:firstLine="0"/>
        <w:rPr>
          <w:rtl/>
        </w:rPr>
      </w:pPr>
      <w:r>
        <w:rPr>
          <w:rFonts w:hint="cs"/>
          <w:rtl/>
        </w:rPr>
        <w:t>من خلال بيان معنى القاعدة يتضح أنها قاعدة أصولية؛ لكونها تتعلّق بمباحث دلالات الألفاظ؛ لهذا وردت بنحو لفظها في كثير من كتب الحنفية الأصولية، وذلك في معرض تعريفهم للمؤوَّل.</w:t>
      </w:r>
    </w:p>
    <w:p w:rsidR="00035BE3" w:rsidRDefault="00035BE3" w:rsidP="00F0471F">
      <w:pPr>
        <w:pStyle w:val="a6"/>
        <w:ind w:left="422" w:firstLine="0"/>
        <w:rPr>
          <w:rtl/>
        </w:rPr>
      </w:pPr>
      <w:r>
        <w:rPr>
          <w:rFonts w:hint="cs"/>
          <w:rtl/>
        </w:rPr>
        <w:t>ومع كونها أصولية إلا أنها وردت بلفظها في بعض كتب القواعد :</w:t>
      </w:r>
    </w:p>
    <w:p w:rsidR="00035BE3" w:rsidRDefault="00035BE3" w:rsidP="00F0471F">
      <w:pPr>
        <w:pStyle w:val="a6"/>
        <w:ind w:left="422" w:firstLine="0"/>
        <w:rPr>
          <w:b/>
          <w:bCs/>
          <w:rtl/>
        </w:rPr>
      </w:pPr>
      <w:r>
        <w:rPr>
          <w:rFonts w:hint="cs"/>
          <w:b/>
          <w:bCs/>
          <w:rtl/>
        </w:rPr>
        <w:t>فمن كتب الأصول :</w:t>
      </w:r>
    </w:p>
    <w:p w:rsidR="00035BE3" w:rsidRDefault="00035BE3" w:rsidP="00F0471F">
      <w:pPr>
        <w:pStyle w:val="a6"/>
        <w:ind w:left="422" w:firstLine="0"/>
        <w:rPr>
          <w:spacing w:val="-2"/>
          <w:rtl/>
        </w:rPr>
      </w:pPr>
      <w:r w:rsidRPr="002A200E">
        <w:rPr>
          <w:rFonts w:hint="cs"/>
          <w:spacing w:val="-6"/>
          <w:rtl/>
        </w:rPr>
        <w:t xml:space="preserve">أصول الشاشي وحاشيته : عمدة الحواشي للكنكوهي، ص39، 40 </w:t>
      </w:r>
      <w:r w:rsidRPr="002A200E">
        <w:rPr>
          <w:spacing w:val="-6"/>
          <w:rtl/>
        </w:rPr>
        <w:t>–</w:t>
      </w:r>
      <w:r w:rsidRPr="002A200E">
        <w:rPr>
          <w:rFonts w:hint="cs"/>
          <w:spacing w:val="-6"/>
          <w:rtl/>
        </w:rPr>
        <w:t xml:space="preserve">ولفظ الشاشي: </w:t>
      </w:r>
      <w:r w:rsidRPr="002A200E">
        <w:rPr>
          <w:rFonts w:hint="eastAsia"/>
          <w:spacing w:val="-6"/>
          <w:rtl/>
        </w:rPr>
        <w:t>«</w:t>
      </w:r>
      <w:r w:rsidRPr="002A200E">
        <w:rPr>
          <w:rFonts w:hint="cs"/>
          <w:spacing w:val="-6"/>
          <w:rtl/>
        </w:rPr>
        <w:t>ثم إذا ترجّح بعض وجوه المشترك بغالب الرأي يصير مؤوَّلاً</w:t>
      </w:r>
      <w:r w:rsidRPr="002A200E">
        <w:rPr>
          <w:rFonts w:hint="eastAsia"/>
          <w:spacing w:val="-6"/>
          <w:rtl/>
        </w:rPr>
        <w:t>»</w:t>
      </w:r>
      <w:r w:rsidRPr="002A200E">
        <w:rPr>
          <w:rFonts w:hint="cs"/>
          <w:spacing w:val="-6"/>
          <w:rtl/>
        </w:rPr>
        <w:t xml:space="preserve">-؛ أصول البزدوي وكشف الأسرار، 1/117- ولفظ البزدوي: </w:t>
      </w:r>
      <w:r w:rsidRPr="002A200E">
        <w:rPr>
          <w:rFonts w:hint="eastAsia"/>
          <w:spacing w:val="-6"/>
          <w:rtl/>
        </w:rPr>
        <w:t>«</w:t>
      </w:r>
      <w:r w:rsidRPr="002A200E">
        <w:rPr>
          <w:rFonts w:hint="cs"/>
          <w:spacing w:val="-6"/>
          <w:rtl/>
        </w:rPr>
        <w:t>وأما المؤوّل فما ترجّح من المشترك بَعضُ وجوهه بغالـب الرأي</w:t>
      </w:r>
      <w:r w:rsidRPr="002A200E">
        <w:rPr>
          <w:rFonts w:hint="eastAsia"/>
          <w:spacing w:val="-6"/>
          <w:rtl/>
        </w:rPr>
        <w:t>»</w:t>
      </w:r>
      <w:r w:rsidRPr="002A200E">
        <w:rPr>
          <w:rFonts w:hint="cs"/>
          <w:spacing w:val="-6"/>
          <w:rtl/>
        </w:rPr>
        <w:t xml:space="preserve">-؛ أصـول السـرخسي، 1/127- </w:t>
      </w:r>
      <w:r w:rsidRPr="002A200E">
        <w:rPr>
          <w:rFonts w:hint="cs"/>
          <w:rtl/>
        </w:rPr>
        <w:t xml:space="preserve">ولفظه: </w:t>
      </w:r>
      <w:r w:rsidRPr="002A200E">
        <w:rPr>
          <w:rFonts w:hint="eastAsia"/>
          <w:rtl/>
        </w:rPr>
        <w:t>«</w:t>
      </w:r>
      <w:r w:rsidRPr="002A200E">
        <w:rPr>
          <w:rFonts w:hint="cs"/>
          <w:rtl/>
        </w:rPr>
        <w:t>وأما المؤول فهو تبيّن بعض ما يحتمل المشترك بغالب الرأي والاجتهاد</w:t>
      </w:r>
      <w:r w:rsidRPr="002A200E">
        <w:rPr>
          <w:rFonts w:hint="eastAsia"/>
          <w:rtl/>
        </w:rPr>
        <w:t>»</w:t>
      </w:r>
      <w:r w:rsidRPr="002A200E">
        <w:rPr>
          <w:rFonts w:hint="cs"/>
          <w:rtl/>
        </w:rPr>
        <w:t>-؛ ميزان الأصول، 1/501</w:t>
      </w:r>
      <w:r w:rsidRPr="002A200E">
        <w:rPr>
          <w:rFonts w:hint="cs"/>
          <w:spacing w:val="-6"/>
          <w:rtl/>
        </w:rPr>
        <w:t xml:space="preserve"> </w:t>
      </w:r>
      <w:r w:rsidRPr="002A200E">
        <w:rPr>
          <w:spacing w:val="-6"/>
          <w:rtl/>
        </w:rPr>
        <w:t>–</w:t>
      </w:r>
      <w:r w:rsidRPr="002A200E">
        <w:rPr>
          <w:rFonts w:hint="cs"/>
          <w:spacing w:val="-6"/>
          <w:rtl/>
        </w:rPr>
        <w:t xml:space="preserve">ولفظه: </w:t>
      </w:r>
      <w:r w:rsidRPr="002A200E">
        <w:rPr>
          <w:rFonts w:hint="eastAsia"/>
          <w:spacing w:val="-6"/>
          <w:rtl/>
        </w:rPr>
        <w:t>«</w:t>
      </w:r>
      <w:r w:rsidRPr="002A200E">
        <w:rPr>
          <w:rFonts w:hint="cs"/>
          <w:spacing w:val="-6"/>
          <w:rtl/>
        </w:rPr>
        <w:t>وأما المؤول : فهو ما يتعيّن عند السامع بعض وجوه المشترك بدليل غير مقطوع به</w:t>
      </w:r>
      <w:r w:rsidRPr="002A200E">
        <w:rPr>
          <w:rFonts w:hint="eastAsia"/>
          <w:spacing w:val="-6"/>
          <w:rtl/>
        </w:rPr>
        <w:t>»</w:t>
      </w:r>
      <w:r w:rsidRPr="002A200E">
        <w:rPr>
          <w:rFonts w:hint="cs"/>
          <w:spacing w:val="-6"/>
          <w:rtl/>
        </w:rPr>
        <w:t xml:space="preserve">، ثم </w:t>
      </w:r>
      <w:r w:rsidRPr="002A200E">
        <w:rPr>
          <w:rFonts w:hint="cs"/>
          <w:rtl/>
        </w:rPr>
        <w:t xml:space="preserve">أضاف عبارة مهمة تبـيِّن أن المؤول ليس منحصرًا فيما كان مشتركًا فقط، فقال: </w:t>
      </w:r>
      <w:r w:rsidRPr="002A200E">
        <w:rPr>
          <w:rFonts w:hint="eastAsia"/>
          <w:rtl/>
        </w:rPr>
        <w:t>«</w:t>
      </w:r>
      <w:r w:rsidRPr="002A200E">
        <w:rPr>
          <w:rFonts w:hint="cs"/>
          <w:rtl/>
        </w:rPr>
        <w:t xml:space="preserve">وكذا </w:t>
      </w:r>
      <w:r w:rsidRPr="002A200E">
        <w:rPr>
          <w:rFonts w:hint="cs"/>
          <w:b/>
          <w:bCs/>
          <w:rtl/>
        </w:rPr>
        <w:t>المجمل والمشكل</w:t>
      </w:r>
      <w:r w:rsidRPr="002A200E">
        <w:rPr>
          <w:rFonts w:hint="cs"/>
          <w:spacing w:val="-6"/>
          <w:rtl/>
        </w:rPr>
        <w:t xml:space="preserve"> إذا صار المراد بهما معلومًا من حيث الظاهر بدليل غير مقطوع به</w:t>
      </w:r>
      <w:r w:rsidRPr="002A200E">
        <w:rPr>
          <w:rFonts w:hint="eastAsia"/>
          <w:spacing w:val="-6"/>
          <w:rtl/>
        </w:rPr>
        <w:t>»</w:t>
      </w:r>
      <w:r w:rsidRPr="002A200E">
        <w:rPr>
          <w:rFonts w:hint="cs"/>
          <w:spacing w:val="-6"/>
          <w:rtl/>
        </w:rPr>
        <w:t xml:space="preserve">-؛ المغني، ص122؛ شرحه للقاءاني، ق1، جـ2، ص522- والمغني وشرحه هما المصدران الرئيسان في شرح المؤلف للقاعدة، ولفظ المغني: </w:t>
      </w:r>
      <w:r w:rsidRPr="002A200E">
        <w:rPr>
          <w:rFonts w:hint="eastAsia"/>
          <w:spacing w:val="-6"/>
          <w:rtl/>
        </w:rPr>
        <w:t>«</w:t>
      </w:r>
      <w:r w:rsidRPr="002A200E">
        <w:rPr>
          <w:rFonts w:hint="cs"/>
          <w:spacing w:val="-6"/>
          <w:rtl/>
        </w:rPr>
        <w:t xml:space="preserve">والمؤول: ما </w:t>
      </w:r>
      <w:r w:rsidRPr="002A200E">
        <w:rPr>
          <w:rFonts w:hint="cs"/>
          <w:rtl/>
        </w:rPr>
        <w:t>يُرَجَّح من المشترك بعضُ وجوهه بغالب الرأي</w:t>
      </w:r>
      <w:r w:rsidRPr="002A200E">
        <w:rPr>
          <w:rFonts w:hint="eastAsia"/>
          <w:rtl/>
        </w:rPr>
        <w:t>»</w:t>
      </w:r>
      <w:r w:rsidRPr="002A200E">
        <w:rPr>
          <w:rFonts w:hint="cs"/>
          <w:rtl/>
        </w:rPr>
        <w:t>-؛ وانظر أيضًا: المنار وشروحه: كشف الأسرار وشرح نور</w:t>
      </w:r>
      <w:r w:rsidRPr="002A200E">
        <w:rPr>
          <w:rFonts w:hint="cs"/>
          <w:spacing w:val="-6"/>
          <w:rtl/>
        </w:rPr>
        <w:t xml:space="preserve"> الأنوار، </w:t>
      </w:r>
      <w:r w:rsidRPr="002A200E">
        <w:rPr>
          <w:rFonts w:hint="cs"/>
          <w:rtl/>
        </w:rPr>
        <w:t>1/204؛ وجـامع الأسـرار، 2/319؛ وفتح</w:t>
      </w:r>
      <w:r>
        <w:rPr>
          <w:rFonts w:hint="cs"/>
          <w:spacing w:val="-2"/>
          <w:rtl/>
        </w:rPr>
        <w:t xml:space="preserve"> الغفار، </w:t>
      </w:r>
      <w:r>
        <w:rPr>
          <w:spacing w:val="-2"/>
          <w:rtl/>
        </w:rPr>
        <w:br/>
      </w:r>
      <w:r>
        <w:rPr>
          <w:rFonts w:hint="cs"/>
          <w:spacing w:val="-2"/>
          <w:rtl/>
        </w:rPr>
        <w:t>1/123؛ وقمر الأقمار، 1/170؛ التنقيح والتوضيح والتلويح، 1/33؛ التحرير وتيسيره، 1/138؛ التعريفات، ص304، فقرة 1516؛ تسهيل الحصول على قواعد الأصول، ص137.</w:t>
      </w:r>
    </w:p>
    <w:p w:rsidR="00035BE3" w:rsidRDefault="00035BE3" w:rsidP="00F0471F">
      <w:pPr>
        <w:pStyle w:val="a6"/>
        <w:ind w:left="422" w:firstLine="0"/>
        <w:rPr>
          <w:b/>
          <w:bCs/>
          <w:rtl/>
        </w:rPr>
      </w:pPr>
      <w:r>
        <w:rPr>
          <w:rFonts w:hint="cs"/>
          <w:b/>
          <w:bCs/>
          <w:rtl/>
        </w:rPr>
        <w:t>ومن كتب القواعد :</w:t>
      </w:r>
    </w:p>
    <w:p w:rsidR="00035BE3" w:rsidRDefault="00035BE3" w:rsidP="00F0471F">
      <w:pPr>
        <w:pStyle w:val="a6"/>
        <w:ind w:left="422" w:firstLine="0"/>
        <w:rPr>
          <w:rtl/>
        </w:rPr>
      </w:pPr>
      <w:r>
        <w:rPr>
          <w:rFonts w:hint="cs"/>
          <w:rtl/>
        </w:rPr>
        <w:t>مجامع الحقائق، ص47؛ شرح العلائي لقواعد الخادمي، ل40/ب؛ منافع الدقائق، ص334.</w:t>
      </w:r>
    </w:p>
  </w:footnote>
  <w:footnote w:id="538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بتة أو بتلة</w:t>
      </w:r>
      <w:r>
        <w:rPr>
          <w:rFonts w:hint="cs"/>
          <w:rtl/>
        </w:rPr>
        <w:t xml:space="preserve"> : هذان اللفظان من ألفاظ الكناية في الطلاق، ومعناهما في اللغة : القطع والتفريق.</w:t>
      </w:r>
    </w:p>
    <w:p w:rsidR="00035BE3" w:rsidRDefault="00035BE3" w:rsidP="00F0471F">
      <w:pPr>
        <w:pStyle w:val="a6"/>
        <w:ind w:left="422" w:firstLine="0"/>
        <w:rPr>
          <w:rtl/>
        </w:rPr>
      </w:pPr>
      <w:r>
        <w:rPr>
          <w:rFonts w:hint="cs"/>
          <w:spacing w:val="-2"/>
          <w:rtl/>
        </w:rPr>
        <w:t xml:space="preserve">انظر : طلبة الطلبة، ص150؛ قواعد الفقه للمجدّدي (الرسالة الرابعة : التعريفات الفقهية)، ص203؛ وانظر أيضًا : القاموس المحيط، مادة </w:t>
      </w:r>
      <w:r>
        <w:rPr>
          <w:rFonts w:hint="eastAsia"/>
          <w:spacing w:val="-2"/>
          <w:rtl/>
        </w:rPr>
        <w:t>«</w:t>
      </w:r>
      <w:r>
        <w:rPr>
          <w:rFonts w:hint="cs"/>
          <w:spacing w:val="-2"/>
          <w:rtl/>
        </w:rPr>
        <w:t>بتّ</w:t>
      </w:r>
      <w:r>
        <w:rPr>
          <w:rFonts w:hint="eastAsia"/>
          <w:spacing w:val="-2"/>
          <w:rtl/>
        </w:rPr>
        <w:t>»</w:t>
      </w:r>
      <w:r>
        <w:rPr>
          <w:rFonts w:hint="cs"/>
          <w:spacing w:val="-2"/>
          <w:rtl/>
        </w:rPr>
        <w:t xml:space="preserve">، ص188، ومادة </w:t>
      </w:r>
      <w:r>
        <w:rPr>
          <w:rFonts w:hint="eastAsia"/>
          <w:spacing w:val="-2"/>
          <w:rtl/>
        </w:rPr>
        <w:t>«</w:t>
      </w:r>
      <w:r>
        <w:rPr>
          <w:rFonts w:hint="cs"/>
          <w:spacing w:val="-2"/>
          <w:rtl/>
        </w:rPr>
        <w:t>بتل</w:t>
      </w:r>
      <w:r>
        <w:rPr>
          <w:rFonts w:hint="eastAsia"/>
          <w:spacing w:val="-2"/>
          <w:rtl/>
        </w:rPr>
        <w:t>»</w:t>
      </w:r>
      <w:r>
        <w:rPr>
          <w:rFonts w:hint="cs"/>
          <w:spacing w:val="-2"/>
          <w:rtl/>
        </w:rPr>
        <w:t xml:space="preserve">، ص1246؛ المعجم الوسيط، مادة </w:t>
      </w:r>
      <w:r>
        <w:rPr>
          <w:rFonts w:hint="eastAsia"/>
          <w:spacing w:val="-2"/>
          <w:rtl/>
        </w:rPr>
        <w:t>«</w:t>
      </w:r>
      <w:r>
        <w:rPr>
          <w:rFonts w:hint="cs"/>
          <w:spacing w:val="-2"/>
          <w:rtl/>
        </w:rPr>
        <w:t>بتّ</w:t>
      </w:r>
      <w:r>
        <w:rPr>
          <w:rFonts w:hint="eastAsia"/>
          <w:spacing w:val="-2"/>
          <w:rtl/>
        </w:rPr>
        <w:t>»</w:t>
      </w:r>
      <w:r>
        <w:rPr>
          <w:rFonts w:hint="cs"/>
          <w:spacing w:val="-2"/>
          <w:rtl/>
        </w:rPr>
        <w:t xml:space="preserve">، 1/37، ومادة </w:t>
      </w:r>
      <w:r>
        <w:rPr>
          <w:rFonts w:hint="eastAsia"/>
          <w:spacing w:val="-2"/>
          <w:rtl/>
        </w:rPr>
        <w:t>«</w:t>
      </w:r>
      <w:r>
        <w:rPr>
          <w:rFonts w:hint="cs"/>
          <w:spacing w:val="-2"/>
          <w:rtl/>
        </w:rPr>
        <w:t>بتل</w:t>
      </w:r>
      <w:r>
        <w:rPr>
          <w:rFonts w:hint="eastAsia"/>
          <w:spacing w:val="-2"/>
          <w:rtl/>
        </w:rPr>
        <w:t>»</w:t>
      </w:r>
      <w:r>
        <w:rPr>
          <w:rFonts w:hint="cs"/>
          <w:spacing w:val="-2"/>
          <w:rtl/>
        </w:rPr>
        <w:t>، 1/37-38.</w:t>
      </w:r>
    </w:p>
  </w:footnote>
  <w:footnote w:id="5385">
    <w:p w:rsidR="00035BE3" w:rsidRDefault="00035BE3" w:rsidP="00F0471F">
      <w:pPr>
        <w:pStyle w:val="a8"/>
        <w:bidi/>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يوقف</w:t>
      </w:r>
      <w:r>
        <w:rPr>
          <w:rFonts w:hint="eastAsia"/>
          <w:rtl/>
        </w:rPr>
        <w:t>»</w:t>
      </w:r>
      <w:r>
        <w:rPr>
          <w:rFonts w:hint="cs"/>
          <w:rtl/>
        </w:rPr>
        <w:t>.</w:t>
      </w:r>
    </w:p>
  </w:footnote>
  <w:footnote w:id="538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82/أ من (جـ)، مع تكرار </w:t>
      </w:r>
      <w:r>
        <w:rPr>
          <w:rFonts w:hint="eastAsia"/>
          <w:rtl/>
        </w:rPr>
        <w:t>«</w:t>
      </w:r>
      <w:r>
        <w:rPr>
          <w:rFonts w:hint="cs"/>
          <w:rtl/>
        </w:rPr>
        <w:t>الطلاق</w:t>
      </w:r>
      <w:r>
        <w:rPr>
          <w:rFonts w:hint="eastAsia"/>
          <w:rtl/>
        </w:rPr>
        <w:t>»</w:t>
      </w:r>
      <w:r>
        <w:rPr>
          <w:rFonts w:hint="cs"/>
          <w:rtl/>
        </w:rPr>
        <w:t xml:space="preserve"> في بداية اللوحة التي تليها.</w:t>
      </w:r>
    </w:p>
  </w:footnote>
  <w:footnote w:id="538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هكذا في جميع النسخ. وفي مصدر هذه العبارة</w:t>
      </w:r>
      <w:r>
        <w:rPr>
          <w:rFonts w:hint="cs"/>
          <w:rtl/>
          <w:lang w:bidi="ar-AE"/>
        </w:rPr>
        <w:t xml:space="preserve"> وهو المغني وشرحه</w:t>
      </w:r>
      <w:r>
        <w:rPr>
          <w:rFonts w:hint="cs"/>
          <w:rtl/>
        </w:rPr>
        <w:t xml:space="preserve"> : </w:t>
      </w:r>
      <w:r>
        <w:rPr>
          <w:rFonts w:hint="eastAsia"/>
          <w:rtl/>
        </w:rPr>
        <w:t>«</w:t>
      </w:r>
      <w:r>
        <w:rPr>
          <w:rFonts w:hint="cs"/>
          <w:rtl/>
        </w:rPr>
        <w:t>الحسِّـيَّة</w:t>
      </w:r>
      <w:r>
        <w:rPr>
          <w:rFonts w:hint="eastAsia"/>
          <w:rtl/>
        </w:rPr>
        <w:t>»</w:t>
      </w:r>
      <w:r>
        <w:rPr>
          <w:rFonts w:hint="cs"/>
          <w:rtl/>
        </w:rPr>
        <w:t>. وهذا المناسب.</w:t>
      </w:r>
    </w:p>
  </w:footnote>
  <w:footnote w:id="538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71/أ من (ب).</w:t>
      </w:r>
    </w:p>
  </w:footnote>
  <w:footnote w:id="538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113/أ.</w:t>
      </w:r>
    </w:p>
  </w:footnote>
  <w:footnote w:id="539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67/ب من (د).</w:t>
      </w:r>
    </w:p>
  </w:footnote>
  <w:footnote w:id="5391">
    <w:p w:rsidR="00035BE3" w:rsidRDefault="00035BE3" w:rsidP="00F0471F">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49221C">
        <w:rPr>
          <w:rFonts w:hint="cs"/>
          <w:spacing w:val="-6"/>
          <w:rtl/>
        </w:rPr>
        <w:t xml:space="preserve">في (أ) و(ب) و(د): </w:t>
      </w:r>
      <w:r w:rsidRPr="0049221C">
        <w:rPr>
          <w:rFonts w:hint="eastAsia"/>
          <w:spacing w:val="-6"/>
          <w:rtl/>
        </w:rPr>
        <w:t>«</w:t>
      </w:r>
      <w:r w:rsidRPr="0049221C">
        <w:rPr>
          <w:rFonts w:hint="cs"/>
          <w:spacing w:val="-6"/>
          <w:rtl/>
        </w:rPr>
        <w:t>لوقوع</w:t>
      </w:r>
      <w:r w:rsidRPr="0049221C">
        <w:rPr>
          <w:rFonts w:hint="eastAsia"/>
          <w:spacing w:val="-6"/>
          <w:rtl/>
        </w:rPr>
        <w:t>»</w:t>
      </w:r>
      <w:r w:rsidRPr="0049221C">
        <w:rPr>
          <w:rFonts w:hint="cs"/>
          <w:spacing w:val="-6"/>
          <w:rtl/>
        </w:rPr>
        <w:t>. والصحيح ما تمَّ إثباته من (جـ) و(هـ) و(و)، وهو الموافق للمغني وشرحه.</w:t>
      </w:r>
    </w:p>
  </w:footnote>
  <w:footnote w:id="539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جميع النسخ : </w:t>
      </w:r>
      <w:r>
        <w:rPr>
          <w:rFonts w:hint="eastAsia"/>
          <w:rtl/>
        </w:rPr>
        <w:t>«</w:t>
      </w:r>
      <w:r>
        <w:rPr>
          <w:rFonts w:hint="cs"/>
          <w:rtl/>
        </w:rPr>
        <w:t>قال</w:t>
      </w:r>
      <w:r>
        <w:rPr>
          <w:rFonts w:hint="eastAsia"/>
          <w:rtl/>
        </w:rPr>
        <w:t>»</w:t>
      </w:r>
      <w:r>
        <w:rPr>
          <w:rFonts w:hint="cs"/>
          <w:rtl/>
        </w:rPr>
        <w:t>. والصحيح ما تمَّ إثباته من المغني وشرحه.</w:t>
      </w:r>
    </w:p>
  </w:footnote>
  <w:footnote w:id="539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ما جاء في شرح القاعدة في : المغني، ص122-123؛ وشرحه للقاءاني، ق1، جـ1، ص526.</w:t>
      </w:r>
    </w:p>
  </w:footnote>
  <w:footnote w:id="5394">
    <w:p w:rsidR="00035BE3" w:rsidRPr="007C0C8D" w:rsidRDefault="00035BE3" w:rsidP="00F0471F">
      <w:pPr>
        <w:pStyle w:val="a8"/>
        <w:bidi/>
        <w:spacing w:line="221" w:lineRule="auto"/>
        <w:ind w:left="422" w:right="0"/>
        <w:rPr>
          <w:rtl/>
        </w:rPr>
      </w:pPr>
      <w:r>
        <w:rPr>
          <w:rFonts w:hint="cs"/>
          <w:spacing w:val="-10"/>
          <w:vertAlign w:val="superscript"/>
          <w:rtl/>
        </w:rPr>
        <w:t>(</w:t>
      </w:r>
      <w:r>
        <w:rPr>
          <w:rStyle w:val="a7"/>
          <w:spacing w:val="-10"/>
        </w:rPr>
        <w:footnoteRef/>
      </w:r>
      <w:r>
        <w:rPr>
          <w:rFonts w:hint="cs"/>
          <w:spacing w:val="-10"/>
          <w:vertAlign w:val="superscript"/>
          <w:rtl/>
        </w:rPr>
        <w:t>)</w:t>
      </w:r>
      <w:r>
        <w:rPr>
          <w:rFonts w:hint="cs"/>
          <w:spacing w:val="-10"/>
          <w:rtl/>
        </w:rPr>
        <w:t xml:space="preserve">  هذه القاعدة متّحدة من جهة المعنى مع قاعدة سبق أن تحدث عنها المؤلف، وهي: </w:t>
      </w:r>
      <w:r>
        <w:rPr>
          <w:rFonts w:hint="eastAsia"/>
          <w:spacing w:val="-10"/>
          <w:rtl/>
        </w:rPr>
        <w:t>«</w:t>
      </w:r>
      <w:r>
        <w:rPr>
          <w:rFonts w:hint="cs"/>
          <w:spacing w:val="-10"/>
          <w:rtl/>
        </w:rPr>
        <w:t>قد يثبت ضمنًا مالا يثبت قصدًا</w:t>
      </w:r>
      <w:r>
        <w:rPr>
          <w:rFonts w:hint="eastAsia"/>
          <w:spacing w:val="-10"/>
          <w:rtl/>
        </w:rPr>
        <w:t>»</w:t>
      </w:r>
      <w:r>
        <w:rPr>
          <w:rFonts w:hint="cs"/>
          <w:spacing w:val="-10"/>
          <w:rtl/>
        </w:rPr>
        <w:t xml:space="preserve">، </w:t>
      </w:r>
      <w:r w:rsidRPr="007C0C8D">
        <w:rPr>
          <w:rFonts w:hint="cs"/>
          <w:rtl/>
        </w:rPr>
        <w:t>وذلك ص889 (ل71/ب)، قاعدة 178. فما قيل في توثيق تلك القاعدة هناك يقال في توثيق هذه هنا.</w:t>
      </w:r>
    </w:p>
    <w:p w:rsidR="00035BE3" w:rsidRDefault="00035BE3" w:rsidP="00F0471F">
      <w:pPr>
        <w:pStyle w:val="a6"/>
        <w:spacing w:line="221" w:lineRule="auto"/>
        <w:ind w:left="422" w:firstLine="0"/>
        <w:rPr>
          <w:rtl/>
        </w:rPr>
      </w:pPr>
      <w:r w:rsidRPr="007C0C8D">
        <w:rPr>
          <w:rFonts w:hint="cs"/>
          <w:rtl/>
        </w:rPr>
        <w:t>يضاف إلى ذلك أنها وردت بلفظ المؤلف هنا أو نحوه في بعض كتب الفقه وقواعده</w:t>
      </w:r>
      <w:r>
        <w:rPr>
          <w:rFonts w:hint="cs"/>
          <w:rtl/>
        </w:rPr>
        <w:t xml:space="preserve"> :</w:t>
      </w:r>
    </w:p>
    <w:p w:rsidR="00035BE3" w:rsidRDefault="00035BE3" w:rsidP="00F0471F">
      <w:pPr>
        <w:pStyle w:val="a6"/>
        <w:spacing w:line="221" w:lineRule="auto"/>
        <w:ind w:left="422" w:firstLine="0"/>
        <w:rPr>
          <w:b/>
          <w:bCs/>
          <w:rtl/>
        </w:rPr>
      </w:pPr>
      <w:r>
        <w:rPr>
          <w:rFonts w:hint="cs"/>
          <w:b/>
          <w:bCs/>
          <w:rtl/>
        </w:rPr>
        <w:t>فمن كتب القواعد :</w:t>
      </w:r>
    </w:p>
    <w:p w:rsidR="00035BE3" w:rsidRDefault="00035BE3" w:rsidP="00F0471F">
      <w:pPr>
        <w:pStyle w:val="a6"/>
        <w:spacing w:line="221" w:lineRule="auto"/>
        <w:ind w:left="422" w:firstLine="0"/>
        <w:rPr>
          <w:rtl/>
        </w:rPr>
      </w:pPr>
      <w:r>
        <w:rPr>
          <w:rFonts w:hint="cs"/>
          <w:rtl/>
        </w:rPr>
        <w:t>مجامع الحقائق (الخاتمة)، ص47؛ شرح العلائي لقواعد الخادمي، ل40/ب؛ منافع الدقائق، ص334.</w:t>
      </w:r>
    </w:p>
    <w:p w:rsidR="00035BE3" w:rsidRDefault="00035BE3" w:rsidP="00F0471F">
      <w:pPr>
        <w:pStyle w:val="a6"/>
        <w:spacing w:line="221" w:lineRule="auto"/>
        <w:ind w:left="422" w:firstLine="0"/>
        <w:rPr>
          <w:b/>
          <w:bCs/>
          <w:rtl/>
        </w:rPr>
      </w:pPr>
      <w:r>
        <w:rPr>
          <w:rFonts w:hint="cs"/>
          <w:b/>
          <w:bCs/>
          <w:rtl/>
        </w:rPr>
        <w:t>ومن كتب الفقه :</w:t>
      </w:r>
    </w:p>
    <w:p w:rsidR="00035BE3" w:rsidRDefault="00035BE3" w:rsidP="00F0471F">
      <w:pPr>
        <w:pStyle w:val="a6"/>
        <w:spacing w:line="221" w:lineRule="auto"/>
        <w:ind w:left="420" w:firstLine="0"/>
        <w:rPr>
          <w:rtl/>
        </w:rPr>
      </w:pPr>
      <w:r>
        <w:rPr>
          <w:rFonts w:hint="cs"/>
          <w:rtl/>
        </w:rPr>
        <w:t xml:space="preserve">المبسوط، 13/94 </w:t>
      </w:r>
      <w:r>
        <w:rPr>
          <w:rtl/>
        </w:rPr>
        <w:t>–</w:t>
      </w:r>
      <w:r>
        <w:rPr>
          <w:rFonts w:hint="cs"/>
          <w:rtl/>
        </w:rPr>
        <w:t xml:space="preserve"> ولفظه : </w:t>
      </w:r>
      <w:r>
        <w:rPr>
          <w:rFonts w:hint="eastAsia"/>
          <w:rtl/>
        </w:rPr>
        <w:t>«</w:t>
      </w:r>
      <w:r>
        <w:rPr>
          <w:rFonts w:hint="cs"/>
          <w:b/>
          <w:bCs/>
          <w:rtl/>
        </w:rPr>
        <w:t>قد</w:t>
      </w:r>
      <w:r>
        <w:rPr>
          <w:rFonts w:hint="cs"/>
          <w:rtl/>
        </w:rPr>
        <w:t xml:space="preserve"> يدخل في التصرف تبعًا مالا يجوز أن يكون مقصودًا بذلك التصرف</w:t>
      </w:r>
      <w:r>
        <w:rPr>
          <w:rFonts w:hint="eastAsia"/>
          <w:rtl/>
        </w:rPr>
        <w:t>»</w:t>
      </w:r>
      <w:r>
        <w:rPr>
          <w:rFonts w:hint="cs"/>
          <w:rtl/>
        </w:rPr>
        <w:t xml:space="preserve">-؛ العناية، 6/398- وقد أضاف إليها لفظ : </w:t>
      </w:r>
      <w:r>
        <w:rPr>
          <w:rFonts w:hint="eastAsia"/>
          <w:rtl/>
        </w:rPr>
        <w:t>«</w:t>
      </w:r>
      <w:r>
        <w:rPr>
          <w:rFonts w:hint="cs"/>
          <w:rtl/>
        </w:rPr>
        <w:t>قد</w:t>
      </w:r>
      <w:r>
        <w:rPr>
          <w:rFonts w:hint="eastAsia"/>
          <w:rtl/>
        </w:rPr>
        <w:t>»</w:t>
      </w:r>
      <w:r>
        <w:rPr>
          <w:rFonts w:hint="cs"/>
          <w:rtl/>
        </w:rPr>
        <w:t xml:space="preserve">، والعناية هي مصدر المؤلف الرئيس في هذه القاعدة-؛ رد المحتار، 3/361- ولفظه : </w:t>
      </w:r>
      <w:r>
        <w:rPr>
          <w:rFonts w:hint="eastAsia"/>
          <w:rtl/>
        </w:rPr>
        <w:t>«</w:t>
      </w:r>
      <w:r>
        <w:rPr>
          <w:rFonts w:hint="cs"/>
          <w:rtl/>
        </w:rPr>
        <w:t>يغتفر في الضمنيات مالا يغتفر في القصديات</w:t>
      </w:r>
      <w:r>
        <w:rPr>
          <w:rFonts w:hint="eastAsia"/>
          <w:rtl/>
        </w:rPr>
        <w:t>»</w:t>
      </w:r>
      <w:r>
        <w:rPr>
          <w:rFonts w:hint="cs"/>
          <w:rtl/>
        </w:rPr>
        <w:t>-.</w:t>
      </w:r>
    </w:p>
  </w:footnote>
  <w:footnote w:id="5395">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العناية، 6/398.</w:t>
      </w:r>
    </w:p>
  </w:footnote>
  <w:footnote w:id="5396">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يحدث لا يصح ... كل عيب</w:t>
      </w:r>
      <w:r>
        <w:rPr>
          <w:rFonts w:hint="eastAsia"/>
          <w:rtl/>
        </w:rPr>
        <w:t>»</w:t>
      </w:r>
      <w:r>
        <w:rPr>
          <w:rFonts w:hint="cs"/>
          <w:rtl/>
        </w:rPr>
        <w:t xml:space="preserve"> : ساقط من (جـ).</w:t>
      </w:r>
    </w:p>
  </w:footnote>
  <w:footnote w:id="5397">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ولو</w:t>
      </w:r>
      <w:r>
        <w:rPr>
          <w:rFonts w:hint="eastAsia"/>
          <w:rtl/>
        </w:rPr>
        <w:t>»</w:t>
      </w:r>
      <w:r>
        <w:rPr>
          <w:rFonts w:hint="cs"/>
          <w:rtl/>
        </w:rPr>
        <w:t xml:space="preserve"> فيه إشارة إلى الخلاف؛ حيث إن هذا يتمشى مع قول أبي يوسف، وخالفه محمد وقال : </w:t>
      </w:r>
      <w:r>
        <w:rPr>
          <w:rFonts w:hint="eastAsia"/>
          <w:rtl/>
        </w:rPr>
        <w:t>«</w:t>
      </w:r>
      <w:r>
        <w:rPr>
          <w:rFonts w:hint="cs"/>
          <w:rtl/>
        </w:rPr>
        <w:t>لا يدخل فيه الحادث بعد العقد، وهو قول زفر</w:t>
      </w:r>
      <w:r>
        <w:rPr>
          <w:rFonts w:hint="eastAsia"/>
          <w:rtl/>
        </w:rPr>
        <w:t>»</w:t>
      </w:r>
      <w:r>
        <w:rPr>
          <w:rFonts w:hint="cs"/>
          <w:rtl/>
        </w:rPr>
        <w:t>. قاله صاحب الدرر شرح الغرر، 2/167؛ وانظر الهداية والعناية وفتح القدير، 6/397، 399.</w:t>
      </w:r>
    </w:p>
  </w:footnote>
  <w:footnote w:id="5398">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عيوب</w:t>
      </w:r>
      <w:r>
        <w:rPr>
          <w:rFonts w:hint="eastAsia"/>
          <w:rtl/>
        </w:rPr>
        <w:t>»</w:t>
      </w:r>
      <w:r>
        <w:rPr>
          <w:rFonts w:hint="cs"/>
          <w:rtl/>
        </w:rPr>
        <w:t>. والصحيح ما تمَّ إثباته من (ب) و(جـ)؛ وفاقًا للعناية.</w:t>
      </w:r>
    </w:p>
  </w:footnote>
  <w:footnote w:id="5399">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انظر: العناية، 6/396-397، 398؛ وانظر أيضًا : الهداية وفتح القدير، 6/396-399؛ الدرر شرح الغرر، 2/167.</w:t>
      </w:r>
    </w:p>
  </w:footnote>
  <w:footnote w:id="5400">
    <w:p w:rsidR="00035BE3" w:rsidRDefault="00035BE3" w:rsidP="00F0471F">
      <w:pPr>
        <w:pStyle w:val="a8"/>
        <w:bidi/>
        <w:spacing w:line="221"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العقد</w:t>
      </w:r>
      <w:r>
        <w:rPr>
          <w:rFonts w:hint="eastAsia"/>
          <w:rtl/>
        </w:rPr>
        <w:t>»</w:t>
      </w:r>
      <w:r>
        <w:rPr>
          <w:rFonts w:hint="cs"/>
          <w:rtl/>
        </w:rPr>
        <w:t xml:space="preserve"> لعل فيه سبق لسان من المؤلف؛ لأن المناسب أن يقول : على مقتضى هذا الأصل.</w:t>
      </w:r>
    </w:p>
    <w:p w:rsidR="00035BE3" w:rsidRDefault="00035BE3" w:rsidP="00F0471F">
      <w:pPr>
        <w:pStyle w:val="a6"/>
        <w:ind w:left="422" w:firstLine="0"/>
        <w:rPr>
          <w:rtl/>
        </w:rPr>
      </w:pPr>
      <w:r>
        <w:rPr>
          <w:rFonts w:hint="cs"/>
          <w:rtl/>
        </w:rPr>
        <w:t xml:space="preserve">وممّا يؤكّد هذا أنه جاء في (العناية) : </w:t>
      </w:r>
      <w:r>
        <w:rPr>
          <w:rFonts w:hint="eastAsia"/>
          <w:rtl/>
        </w:rPr>
        <w:t>«</w:t>
      </w:r>
      <w:r>
        <w:rPr>
          <w:rFonts w:hint="cs"/>
          <w:rtl/>
        </w:rPr>
        <w:t xml:space="preserve">... ما يحدث قبل القبض تبعًا؛ </w:t>
      </w:r>
      <w:r>
        <w:rPr>
          <w:rFonts w:hint="cs"/>
          <w:b/>
          <w:bCs/>
          <w:rtl/>
        </w:rPr>
        <w:t>وقد يدخل في التصرّف تبعًا مالا يجوز أن يكون مقصودًا</w:t>
      </w:r>
      <w:r>
        <w:rPr>
          <w:rFonts w:hint="eastAsia"/>
          <w:rtl/>
        </w:rPr>
        <w:t>»</w:t>
      </w:r>
      <w:r>
        <w:rPr>
          <w:rFonts w:hint="cs"/>
          <w:rtl/>
        </w:rPr>
        <w:t>.</w:t>
      </w:r>
    </w:p>
  </w:footnote>
  <w:footnote w:id="5401">
    <w:p w:rsidR="00035BE3" w:rsidRDefault="00035BE3" w:rsidP="00F0471F">
      <w:pPr>
        <w:pStyle w:val="a8"/>
        <w:bidi/>
        <w:ind w:left="422" w:right="0"/>
        <w:rPr>
          <w:spacing w:val="-4"/>
          <w:rtl/>
        </w:rPr>
      </w:pPr>
      <w:r>
        <w:rPr>
          <w:rFonts w:hint="cs"/>
          <w:spacing w:val="-4"/>
          <w:vertAlign w:val="superscript"/>
          <w:rtl/>
        </w:rPr>
        <w:t>(</w:t>
      </w:r>
      <w:r>
        <w:rPr>
          <w:rStyle w:val="a7"/>
          <w:spacing w:val="-4"/>
        </w:rPr>
        <w:footnoteRef/>
      </w:r>
      <w:r>
        <w:rPr>
          <w:rFonts w:hint="cs"/>
          <w:spacing w:val="-4"/>
          <w:vertAlign w:val="superscript"/>
          <w:rtl/>
        </w:rPr>
        <w:t>)</w:t>
      </w:r>
      <w:r>
        <w:rPr>
          <w:rFonts w:hint="cs"/>
          <w:spacing w:val="-4"/>
          <w:rtl/>
        </w:rPr>
        <w:t xml:space="preserve">  </w:t>
      </w:r>
      <w:r w:rsidRPr="00803525">
        <w:rPr>
          <w:rFonts w:hint="cs"/>
          <w:spacing w:val="-6"/>
          <w:rtl/>
        </w:rPr>
        <w:t xml:space="preserve">هذه القاعدة مثَّل لها المؤلفُ بمثال واحد، ثم ذكر قاعدة أخرى، ومثل لها بعدة أمثلة، وهي: </w:t>
      </w:r>
      <w:r w:rsidRPr="00803525">
        <w:rPr>
          <w:rFonts w:hint="eastAsia"/>
          <w:spacing w:val="-6"/>
          <w:rtl/>
        </w:rPr>
        <w:t>«</w:t>
      </w:r>
      <w:r w:rsidRPr="00803525">
        <w:rPr>
          <w:rFonts w:hint="cs"/>
          <w:spacing w:val="-6"/>
          <w:rtl/>
        </w:rPr>
        <w:t>قد يثبت الفرع وإن لم يثبت الأصل</w:t>
      </w:r>
      <w:r w:rsidRPr="00803525">
        <w:rPr>
          <w:rFonts w:hint="eastAsia"/>
          <w:spacing w:val="-6"/>
          <w:rtl/>
        </w:rPr>
        <w:t>»</w:t>
      </w:r>
      <w:r w:rsidRPr="00803525">
        <w:rPr>
          <w:rFonts w:hint="cs"/>
          <w:spacing w:val="-6"/>
          <w:rtl/>
        </w:rPr>
        <w:t xml:space="preserve">. وقد تابع في ذلك ابن نجيم والسيوطي في أشباههما والزركشي في المنثور وغيرهم. وقد سبق بيان ذلك بالتفصيل عند توثيق قاعدة : </w:t>
      </w:r>
      <w:r w:rsidRPr="00803525">
        <w:rPr>
          <w:rFonts w:hint="eastAsia"/>
          <w:spacing w:val="-6"/>
          <w:rtl/>
        </w:rPr>
        <w:t>«</w:t>
      </w:r>
      <w:r w:rsidRPr="00803525">
        <w:rPr>
          <w:rFonts w:hint="cs"/>
          <w:spacing w:val="-6"/>
          <w:rtl/>
        </w:rPr>
        <w:t>قد يثبت الفرع ...</w:t>
      </w:r>
      <w:r w:rsidRPr="00803525">
        <w:rPr>
          <w:rFonts w:hint="eastAsia"/>
          <w:spacing w:val="-6"/>
          <w:rtl/>
        </w:rPr>
        <w:t>»</w:t>
      </w:r>
      <w:r w:rsidRPr="00803525">
        <w:rPr>
          <w:rFonts w:hint="cs"/>
          <w:spacing w:val="-6"/>
          <w:rtl/>
        </w:rPr>
        <w:t>، ص885 (ل71/أ)، قاعدة 177.</w:t>
      </w:r>
    </w:p>
    <w:p w:rsidR="00035BE3" w:rsidRDefault="00035BE3" w:rsidP="00F0471F">
      <w:pPr>
        <w:pStyle w:val="a6"/>
        <w:ind w:left="422" w:firstLine="0"/>
        <w:rPr>
          <w:rtl/>
        </w:rPr>
      </w:pPr>
      <w:r>
        <w:rPr>
          <w:rFonts w:hint="cs"/>
          <w:rtl/>
        </w:rPr>
        <w:t>يضاف إلى ذلك أن هناك مصادر أفردت هذه القاعدة بالحديث، منها :</w:t>
      </w:r>
    </w:p>
    <w:p w:rsidR="00035BE3" w:rsidRDefault="00035BE3" w:rsidP="00F0471F">
      <w:pPr>
        <w:pStyle w:val="a6"/>
        <w:ind w:left="422" w:firstLine="0"/>
        <w:rPr>
          <w:spacing w:val="-6"/>
          <w:rtl/>
        </w:rPr>
      </w:pPr>
      <w:r>
        <w:rPr>
          <w:rFonts w:hint="cs"/>
          <w:spacing w:val="-6"/>
          <w:rtl/>
        </w:rPr>
        <w:t xml:space="preserve">إيضاح المسالك، ص96، قاعدة 61 </w:t>
      </w:r>
      <w:r>
        <w:rPr>
          <w:spacing w:val="-6"/>
          <w:rtl/>
        </w:rPr>
        <w:t>–</w:t>
      </w:r>
      <w:r>
        <w:rPr>
          <w:rFonts w:hint="cs"/>
          <w:spacing w:val="-6"/>
          <w:rtl/>
        </w:rPr>
        <w:t xml:space="preserve"> ولفظه : </w:t>
      </w:r>
      <w:r>
        <w:rPr>
          <w:rFonts w:hint="eastAsia"/>
          <w:spacing w:val="-6"/>
          <w:rtl/>
        </w:rPr>
        <w:t>«</w:t>
      </w:r>
      <w:r>
        <w:rPr>
          <w:rFonts w:hint="cs"/>
          <w:spacing w:val="-6"/>
          <w:rtl/>
        </w:rPr>
        <w:t>لا يثبت الفرع والأصل باطل</w:t>
      </w:r>
      <w:r>
        <w:rPr>
          <w:rFonts w:hint="eastAsia"/>
          <w:spacing w:val="-6"/>
          <w:rtl/>
        </w:rPr>
        <w:t>»</w:t>
      </w:r>
      <w:r>
        <w:rPr>
          <w:rFonts w:hint="cs"/>
          <w:spacing w:val="-6"/>
          <w:rtl/>
        </w:rPr>
        <w:t xml:space="preserve">-؛ مجامع الحقائق (الخاتمة)، ص44؛ شرح العلائي لقواعد الخادمي، ل41/أ؛ منافع الدقائق، ص334 </w:t>
      </w:r>
      <w:r>
        <w:rPr>
          <w:spacing w:val="-6"/>
          <w:rtl/>
        </w:rPr>
        <w:t>–</w:t>
      </w:r>
      <w:r>
        <w:rPr>
          <w:rFonts w:hint="cs"/>
          <w:spacing w:val="-6"/>
          <w:rtl/>
        </w:rPr>
        <w:t xml:space="preserve"> وجميعهم بلفظ : </w:t>
      </w:r>
      <w:r>
        <w:rPr>
          <w:rFonts w:hint="eastAsia"/>
          <w:spacing w:val="-6"/>
          <w:rtl/>
        </w:rPr>
        <w:t>«</w:t>
      </w:r>
      <w:r>
        <w:rPr>
          <w:rFonts w:hint="cs"/>
          <w:spacing w:val="-6"/>
          <w:rtl/>
        </w:rPr>
        <w:t>يسقط الفرع بسقوط الأصل</w:t>
      </w:r>
      <w:r>
        <w:rPr>
          <w:rFonts w:hint="eastAsia"/>
          <w:spacing w:val="-6"/>
          <w:rtl/>
        </w:rPr>
        <w:t>»</w:t>
      </w:r>
      <w:r>
        <w:rPr>
          <w:rFonts w:hint="cs"/>
          <w:spacing w:val="-6"/>
          <w:rtl/>
        </w:rPr>
        <w:t xml:space="preserve">-؛ مجلة الأحكام العدلية، مادة 50 </w:t>
      </w:r>
      <w:r>
        <w:rPr>
          <w:spacing w:val="-6"/>
          <w:rtl/>
        </w:rPr>
        <w:t>–</w:t>
      </w:r>
      <w:r>
        <w:rPr>
          <w:rFonts w:hint="cs"/>
          <w:spacing w:val="-6"/>
          <w:rtl/>
        </w:rPr>
        <w:t xml:space="preserve"> ولفظها : </w:t>
      </w:r>
      <w:r>
        <w:rPr>
          <w:rFonts w:hint="eastAsia"/>
          <w:spacing w:val="-6"/>
          <w:rtl/>
        </w:rPr>
        <w:t>«</w:t>
      </w:r>
      <w:r>
        <w:rPr>
          <w:rFonts w:hint="cs"/>
          <w:spacing w:val="-6"/>
          <w:rtl/>
        </w:rPr>
        <w:t>إذا سقط الأصل سقط الفرع</w:t>
      </w:r>
      <w:r>
        <w:rPr>
          <w:rFonts w:hint="eastAsia"/>
          <w:spacing w:val="-6"/>
          <w:rtl/>
        </w:rPr>
        <w:t>»</w:t>
      </w:r>
      <w:r>
        <w:rPr>
          <w:rFonts w:hint="cs"/>
          <w:spacing w:val="-6"/>
          <w:rtl/>
        </w:rPr>
        <w:t xml:space="preserve">-؛ شرحها لسليم رستم، 1/40؛ ولعلي حيدر، 1/48؛ وللأتاسي، 1/115-118؛ وشرح قواعدها للـزرقا، ص263-264؛ قواعد الفقه للمجدّدي، ص57، قاعدة 23؛ المدخل الفقهي العام، 2/1021، فقرة 638؛ القواعد الفقهية، لِـ د. علي الندوي، ص391؛ الوجيز، ص281؛ موسوعة القواعد الفقهية، 1/271-272- وفيه ألفاظ متعددة للقاعدة-؛ القواعد الفقهية في بابي العبادات والمعاملات لشيخنا د. عبد الله العيسى، ص645- ولفظه : </w:t>
      </w:r>
      <w:r>
        <w:rPr>
          <w:rFonts w:hint="eastAsia"/>
          <w:spacing w:val="-6"/>
          <w:rtl/>
        </w:rPr>
        <w:t>«</w:t>
      </w:r>
      <w:r>
        <w:rPr>
          <w:rFonts w:hint="cs"/>
          <w:spacing w:val="-6"/>
          <w:rtl/>
        </w:rPr>
        <w:t>إذا سقط الأصل سقط التبع</w:t>
      </w:r>
      <w:r>
        <w:rPr>
          <w:rFonts w:hint="eastAsia"/>
          <w:spacing w:val="-6"/>
          <w:rtl/>
        </w:rPr>
        <w:t>»</w:t>
      </w:r>
      <w:r>
        <w:rPr>
          <w:rFonts w:hint="cs"/>
          <w:spacing w:val="-6"/>
          <w:rtl/>
        </w:rPr>
        <w:t>-؛ المبادئ الفقهية، ص34؛ القواعد الفقهية للدّعاس، ص86، قاعدة 68؛ ولِـ د. محمد الزحيلي، ص82.</w:t>
      </w:r>
    </w:p>
    <w:p w:rsidR="00035BE3" w:rsidRDefault="00035BE3" w:rsidP="00F0471F">
      <w:pPr>
        <w:pStyle w:val="a6"/>
        <w:ind w:left="422" w:firstLine="0"/>
        <w:rPr>
          <w:rtl/>
        </w:rPr>
      </w:pPr>
      <w:r>
        <w:rPr>
          <w:rFonts w:hint="cs"/>
          <w:rtl/>
        </w:rPr>
        <w:t xml:space="preserve">وهناك قاعدتان سبق أن أفردهما المؤلف بالحديث، ومعناهما قريب من معنى هذه القاعدة، وهما: </w:t>
      </w:r>
      <w:r>
        <w:rPr>
          <w:rFonts w:hint="eastAsia"/>
          <w:rtl/>
        </w:rPr>
        <w:t>«</w:t>
      </w:r>
      <w:r>
        <w:rPr>
          <w:rFonts w:hint="cs"/>
          <w:rtl/>
        </w:rPr>
        <w:t>التابع يسقط بسقوط المتبوع</w:t>
      </w:r>
      <w:r>
        <w:rPr>
          <w:rFonts w:hint="eastAsia"/>
          <w:rtl/>
        </w:rPr>
        <w:t>»</w:t>
      </w:r>
      <w:r>
        <w:rPr>
          <w:rFonts w:hint="cs"/>
          <w:rtl/>
        </w:rPr>
        <w:t xml:space="preserve"> و</w:t>
      </w:r>
      <w:r>
        <w:rPr>
          <w:rFonts w:hint="eastAsia"/>
          <w:rtl/>
        </w:rPr>
        <w:t>«</w:t>
      </w:r>
      <w:r>
        <w:rPr>
          <w:rFonts w:hint="cs"/>
          <w:rtl/>
        </w:rPr>
        <w:t>إذا بطل الشيء بطل ما في ضمنه</w:t>
      </w:r>
      <w:r>
        <w:rPr>
          <w:rFonts w:hint="eastAsia"/>
          <w:rtl/>
        </w:rPr>
        <w:t>»</w:t>
      </w:r>
      <w:r>
        <w:rPr>
          <w:rFonts w:hint="cs"/>
          <w:rtl/>
        </w:rPr>
        <w:t>، وذلك ص463 (ل27/أ)، قاعدة 64، وص267 (ل6/أ)، قاعدة 10.</w:t>
      </w:r>
    </w:p>
  </w:footnote>
  <w:footnote w:id="540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الأصل</w:t>
      </w:r>
      <w:r>
        <w:rPr>
          <w:rFonts w:hint="eastAsia"/>
          <w:rtl/>
        </w:rPr>
        <w:t>»</w:t>
      </w:r>
      <w:r>
        <w:rPr>
          <w:rFonts w:hint="cs"/>
          <w:rtl/>
        </w:rPr>
        <w:t>.</w:t>
      </w:r>
    </w:p>
  </w:footnote>
  <w:footnote w:id="5403">
    <w:p w:rsidR="00035BE3" w:rsidRDefault="00035BE3" w:rsidP="00F0471F">
      <w:pPr>
        <w:pStyle w:val="a8"/>
        <w:bidi/>
        <w:spacing w:line="264"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AF7ABD">
        <w:rPr>
          <w:rFonts w:hint="cs"/>
          <w:spacing w:val="-2"/>
          <w:rtl/>
        </w:rPr>
        <w:t xml:space="preserve">الأشباه والنظائر لابن نجيم، ص147، إلا أنه قال : </w:t>
      </w:r>
      <w:r w:rsidRPr="00AF7ABD">
        <w:rPr>
          <w:rFonts w:hint="eastAsia"/>
          <w:spacing w:val="-2"/>
          <w:rtl/>
        </w:rPr>
        <w:t>«</w:t>
      </w:r>
      <w:r w:rsidRPr="00AF7ABD">
        <w:rPr>
          <w:rFonts w:hint="cs"/>
          <w:spacing w:val="-2"/>
          <w:rtl/>
        </w:rPr>
        <w:t>بخلاف العكس</w:t>
      </w:r>
      <w:r w:rsidRPr="00AF7ABD">
        <w:rPr>
          <w:rFonts w:hint="eastAsia"/>
          <w:spacing w:val="-2"/>
          <w:rtl/>
        </w:rPr>
        <w:t>»</w:t>
      </w:r>
      <w:r w:rsidRPr="00AF7ABD">
        <w:rPr>
          <w:rFonts w:hint="cs"/>
          <w:spacing w:val="-2"/>
          <w:rtl/>
        </w:rPr>
        <w:t xml:space="preserve">؛ وانظر: الهداية والعناية وفتح القدير، 7/192-193؛ فتاوى قاضي خان، 3/146؛ مختصر خليل وشرحه: مواهب الجليل للحطَّاب، 7/43؛ الدر المختار وحاشيته : رد المحتار، 7/601؛ وانظر أيضًا: المنثور، 3/22؛ الأشباه والنظائر للسيوطي، 1/274؛ الفوائد الزينية، ص40، فائدة 9، وص113، فائدة 19؛ شرح العلائي لقواعد الخادمي، ل41/أ؛ منافع الدقائق، ص334؛ شروح المجلة وقواعدها الآنف ذكرها عند توثيق القاعدة؛ </w:t>
      </w:r>
      <w:r w:rsidRPr="00AF7ABD">
        <w:rPr>
          <w:rFonts w:hint="cs"/>
          <w:spacing w:val="-4"/>
          <w:rtl/>
        </w:rPr>
        <w:t>الأقمار المضيئة، ص164؛ المواهب السنية وحاشيتها: الفوائد الجنية، 2/112؛ قواعد الفقه</w:t>
      </w:r>
      <w:r>
        <w:rPr>
          <w:rFonts w:hint="cs"/>
          <w:rtl/>
        </w:rPr>
        <w:t xml:space="preserve"> للمجدّدي، ص57؛ القواعد الفقهية لِـ د. علي الندوي، ص391؛ القواعد والضوابط المستخلصة من التحرير، ص482، وأحال إلى التحرير، 4/805.</w:t>
      </w:r>
    </w:p>
  </w:footnote>
  <w:footnote w:id="540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الأصيل</w:t>
      </w:r>
      <w:r>
        <w:rPr>
          <w:rFonts w:hint="eastAsia"/>
          <w:rtl/>
        </w:rPr>
        <w:t>»</w:t>
      </w:r>
      <w:r>
        <w:rPr>
          <w:rFonts w:hint="cs"/>
          <w:rtl/>
        </w:rPr>
        <w:t>.</w:t>
      </w:r>
    </w:p>
  </w:footnote>
  <w:footnote w:id="540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تحدث عنها المؤلف استقلالا، ص885 (ل71/أ)، قاعدة 177. </w:t>
      </w:r>
    </w:p>
  </w:footnote>
  <w:footnote w:id="540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بحثت عن هذه المسألة في مظانها من كتاب : (فتاوى قاضي خان) ولم أجدها.</w:t>
      </w:r>
    </w:p>
  </w:footnote>
  <w:footnote w:id="540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ص147.</w:t>
      </w:r>
    </w:p>
    <w:p w:rsidR="00035BE3" w:rsidRDefault="00035BE3" w:rsidP="00F0471F">
      <w:pPr>
        <w:pStyle w:val="a6"/>
        <w:ind w:left="422" w:firstLine="0"/>
        <w:rPr>
          <w:rtl/>
        </w:rPr>
      </w:pPr>
      <w:r>
        <w:rPr>
          <w:rFonts w:hint="cs"/>
          <w:rtl/>
        </w:rPr>
        <w:t>وانظر : المنثور 3/22؛ الأشباه والنظائر للسيوطي، 1/274؛ الدر المختار، 10/331؛ الأقمار المضيئة، ص164؛ شرح العلائي لقواعد الخادمي، ل41/أ؛ منافع الدقائق، ص334.</w:t>
      </w:r>
    </w:p>
  </w:footnote>
  <w:footnote w:id="540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113/ب من (أ).</w:t>
      </w:r>
    </w:p>
  </w:footnote>
  <w:footnote w:id="5409">
    <w:p w:rsidR="00035BE3" w:rsidRDefault="00035BE3" w:rsidP="00F0471F">
      <w:pPr>
        <w:pStyle w:val="a8"/>
        <w:bidi/>
        <w:ind w:left="422" w:right="0"/>
        <w:rPr>
          <w:spacing w:val="6"/>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spacing w:val="6"/>
          <w:rtl/>
        </w:rPr>
        <w:t xml:space="preserve">في (أ): </w:t>
      </w:r>
      <w:r>
        <w:rPr>
          <w:rFonts w:hint="eastAsia"/>
          <w:spacing w:val="6"/>
          <w:rtl/>
        </w:rPr>
        <w:t>«</w:t>
      </w:r>
      <w:r>
        <w:rPr>
          <w:rFonts w:hint="cs"/>
          <w:spacing w:val="6"/>
          <w:rtl/>
        </w:rPr>
        <w:t>في</w:t>
      </w:r>
      <w:r>
        <w:rPr>
          <w:rFonts w:hint="eastAsia"/>
          <w:spacing w:val="6"/>
          <w:rtl/>
        </w:rPr>
        <w:t>»</w:t>
      </w:r>
      <w:r>
        <w:rPr>
          <w:rFonts w:hint="cs"/>
          <w:spacing w:val="6"/>
          <w:rtl/>
        </w:rPr>
        <w:t>. والصحيح ما تمَّ إثباته من باقي النسخ، وهو الموافق لأشباه ابن نجيم. كما أنَّ هذه العبارة سبق أن ذكرها المؤلف عند حديثه عن القاعدة المذكورة. وقد اتفقت جميع النسخ على اللفظ المثبت في الأصل.</w:t>
      </w:r>
    </w:p>
  </w:footnote>
  <w:footnote w:id="541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الأشباه والنظائر لابن نجيم، ص148 -مع اختلاف يسير جدًّا-.</w:t>
      </w:r>
    </w:p>
    <w:p w:rsidR="00035BE3" w:rsidRDefault="00035BE3" w:rsidP="00F0471F">
      <w:pPr>
        <w:pStyle w:val="a6"/>
        <w:spacing w:line="540" w:lineRule="exact"/>
        <w:ind w:left="422" w:firstLine="0"/>
        <w:rPr>
          <w:rtl/>
        </w:rPr>
      </w:pPr>
      <w:r>
        <w:rPr>
          <w:rFonts w:hint="cs"/>
          <w:rtl/>
        </w:rPr>
        <w:t>وانظر : المنثور، 3/23؛ الأشباه والنظائر للسيوطي، 1/275.</w:t>
      </w:r>
    </w:p>
  </w:footnote>
  <w:footnote w:id="541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A26001">
        <w:rPr>
          <w:rFonts w:hint="cs"/>
          <w:spacing w:val="-2"/>
          <w:rtl/>
        </w:rPr>
        <w:t xml:space="preserve">في (أ) و(د): </w:t>
      </w:r>
      <w:r w:rsidRPr="00A26001">
        <w:rPr>
          <w:rFonts w:hint="eastAsia"/>
          <w:spacing w:val="-2"/>
          <w:rtl/>
        </w:rPr>
        <w:t>«</w:t>
      </w:r>
      <w:r w:rsidRPr="00A26001">
        <w:rPr>
          <w:rFonts w:hint="cs"/>
          <w:spacing w:val="-2"/>
          <w:rtl/>
        </w:rPr>
        <w:t>يغتقر</w:t>
      </w:r>
      <w:r w:rsidRPr="00A26001">
        <w:rPr>
          <w:rFonts w:hint="eastAsia"/>
          <w:spacing w:val="-2"/>
          <w:rtl/>
        </w:rPr>
        <w:t>»</w:t>
      </w:r>
      <w:r w:rsidRPr="00A26001">
        <w:rPr>
          <w:rFonts w:hint="cs"/>
          <w:spacing w:val="-2"/>
          <w:rtl/>
        </w:rPr>
        <w:t xml:space="preserve"> (بالقاف). والصحيح ما تمَّ إثباته من (ب) و(جـ)، وهو الموافق لمصادر القاعدة.</w:t>
      </w:r>
    </w:p>
  </w:footnote>
  <w:footnote w:id="541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القاعدة متّحدة من جهة المعنى مع قاعدة سبق إفرادها بالحديث، وهي: </w:t>
      </w:r>
      <w:r>
        <w:rPr>
          <w:rFonts w:hint="eastAsia"/>
          <w:rtl/>
        </w:rPr>
        <w:t>«</w:t>
      </w:r>
      <w:r>
        <w:rPr>
          <w:rFonts w:hint="cs"/>
          <w:rtl/>
        </w:rPr>
        <w:t>البقاء أسهل من الابتداء</w:t>
      </w:r>
      <w:r>
        <w:rPr>
          <w:rFonts w:hint="eastAsia"/>
          <w:rtl/>
        </w:rPr>
        <w:t>»</w:t>
      </w:r>
      <w:r>
        <w:rPr>
          <w:rFonts w:hint="cs"/>
          <w:rtl/>
        </w:rPr>
        <w:t>، وذلك ص429 (ل23/ب)، قاعدة 54، فما قيل في توثيقها هناك يمكن أن يقال هنا.</w:t>
      </w:r>
    </w:p>
    <w:p w:rsidR="00035BE3" w:rsidRDefault="00035BE3" w:rsidP="00F0471F">
      <w:pPr>
        <w:pStyle w:val="a6"/>
        <w:ind w:left="422" w:firstLine="0"/>
        <w:rPr>
          <w:rtl/>
        </w:rPr>
      </w:pPr>
      <w:r>
        <w:rPr>
          <w:rFonts w:hint="cs"/>
          <w:rtl/>
        </w:rPr>
        <w:t>ويضاف إلى هذا كونها وردت بنحو لفظها هنا في كثير من كتب الفقه وقواعده :</w:t>
      </w:r>
    </w:p>
    <w:p w:rsidR="00035BE3" w:rsidRDefault="00035BE3" w:rsidP="00F0471F">
      <w:pPr>
        <w:pStyle w:val="a6"/>
        <w:ind w:left="422" w:firstLine="0"/>
        <w:rPr>
          <w:b/>
          <w:bCs/>
          <w:rtl/>
        </w:rPr>
      </w:pPr>
      <w:r>
        <w:rPr>
          <w:rFonts w:hint="cs"/>
          <w:b/>
          <w:bCs/>
          <w:rtl/>
        </w:rPr>
        <w:t>فمن كتب القواعد :</w:t>
      </w:r>
    </w:p>
    <w:p w:rsidR="00035BE3" w:rsidRDefault="00035BE3" w:rsidP="00F0471F">
      <w:pPr>
        <w:pStyle w:val="a6"/>
        <w:ind w:left="422" w:firstLine="0"/>
        <w:rPr>
          <w:spacing w:val="-4"/>
          <w:rtl/>
        </w:rPr>
      </w:pPr>
      <w:r>
        <w:rPr>
          <w:rFonts w:hint="cs"/>
          <w:spacing w:val="-2"/>
          <w:rtl/>
        </w:rPr>
        <w:t xml:space="preserve">الأشباه لابن السبكي، 1/127 </w:t>
      </w:r>
      <w:r>
        <w:rPr>
          <w:spacing w:val="-2"/>
          <w:rtl/>
        </w:rPr>
        <w:t>–</w:t>
      </w:r>
      <w:r>
        <w:rPr>
          <w:rFonts w:hint="cs"/>
          <w:spacing w:val="-2"/>
          <w:rtl/>
        </w:rPr>
        <w:t xml:space="preserve">ولفظه: </w:t>
      </w:r>
      <w:r>
        <w:rPr>
          <w:rFonts w:hint="eastAsia"/>
          <w:spacing w:val="-2"/>
          <w:rtl/>
        </w:rPr>
        <w:t>«</w:t>
      </w:r>
      <w:r>
        <w:rPr>
          <w:rFonts w:hint="cs"/>
          <w:spacing w:val="-2"/>
          <w:rtl/>
        </w:rPr>
        <w:t xml:space="preserve">... </w:t>
      </w:r>
      <w:r>
        <w:rPr>
          <w:rFonts w:hint="cs"/>
          <w:spacing w:val="2"/>
          <w:rtl/>
        </w:rPr>
        <w:t>المسائل التي يُغتفر فيها في الدوام مالا يغتفر في الابتداء ...</w:t>
      </w:r>
      <w:r>
        <w:rPr>
          <w:rFonts w:hint="eastAsia"/>
          <w:spacing w:val="2"/>
          <w:rtl/>
        </w:rPr>
        <w:t>»</w:t>
      </w:r>
      <w:r>
        <w:rPr>
          <w:rFonts w:hint="cs"/>
          <w:spacing w:val="2"/>
          <w:rtl/>
        </w:rPr>
        <w:t>-؛</w:t>
      </w:r>
      <w:r>
        <w:rPr>
          <w:rFonts w:hint="cs"/>
          <w:spacing w:val="-2"/>
          <w:rtl/>
        </w:rPr>
        <w:t xml:space="preserve"> المنثور، 3/274، 379 </w:t>
      </w:r>
      <w:r>
        <w:rPr>
          <w:spacing w:val="-2"/>
          <w:rtl/>
        </w:rPr>
        <w:t>–</w:t>
      </w:r>
      <w:r>
        <w:rPr>
          <w:rFonts w:hint="cs"/>
          <w:spacing w:val="-2"/>
          <w:rtl/>
        </w:rPr>
        <w:t xml:space="preserve"> ولفظه الأول : </w:t>
      </w:r>
      <w:r>
        <w:rPr>
          <w:rFonts w:hint="eastAsia"/>
          <w:spacing w:val="-2"/>
          <w:rtl/>
        </w:rPr>
        <w:t>«</w:t>
      </w:r>
      <w:r>
        <w:rPr>
          <w:rFonts w:hint="cs"/>
          <w:spacing w:val="-2"/>
          <w:rtl/>
        </w:rPr>
        <w:t>يغتفر في الدوام مالا يغتفر في الابتداء</w:t>
      </w:r>
      <w:r>
        <w:rPr>
          <w:rFonts w:hint="eastAsia"/>
          <w:spacing w:val="-2"/>
          <w:rtl/>
        </w:rPr>
        <w:t>»</w:t>
      </w:r>
      <w:r>
        <w:rPr>
          <w:rFonts w:hint="cs"/>
          <w:spacing w:val="-2"/>
          <w:rtl/>
        </w:rPr>
        <w:t xml:space="preserve">- الأشباه لابن الملقن، 2/296- ولفظه: </w:t>
      </w:r>
      <w:r>
        <w:rPr>
          <w:rFonts w:hint="eastAsia"/>
          <w:spacing w:val="-2"/>
          <w:rtl/>
        </w:rPr>
        <w:t>«</w:t>
      </w:r>
      <w:r>
        <w:rPr>
          <w:rFonts w:hint="cs"/>
          <w:spacing w:val="-2"/>
          <w:rtl/>
        </w:rPr>
        <w:t>... ما يغتفر في الدوام دون الابتداء</w:t>
      </w:r>
      <w:r>
        <w:rPr>
          <w:rFonts w:hint="eastAsia"/>
          <w:spacing w:val="-2"/>
          <w:rtl/>
        </w:rPr>
        <w:t>»</w:t>
      </w:r>
      <w:r>
        <w:rPr>
          <w:rFonts w:hint="cs"/>
          <w:spacing w:val="-2"/>
          <w:rtl/>
        </w:rPr>
        <w:t xml:space="preserve">-؛ القواعد للحصني، 2/199- ولفظه : </w:t>
      </w:r>
      <w:r>
        <w:rPr>
          <w:rFonts w:hint="eastAsia"/>
          <w:spacing w:val="-2"/>
          <w:rtl/>
        </w:rPr>
        <w:t>«</w:t>
      </w:r>
      <w:r>
        <w:rPr>
          <w:rFonts w:hint="cs"/>
          <w:spacing w:val="-2"/>
          <w:rtl/>
        </w:rPr>
        <w:t xml:space="preserve">القسم الثاني [من المانع]: </w:t>
      </w:r>
      <w:r>
        <w:rPr>
          <w:rFonts w:hint="cs"/>
          <w:spacing w:val="-4"/>
          <w:rtl/>
        </w:rPr>
        <w:t>ما قُطع فيه بأن الطارئ في الدوام ليس كالمقارن ابتداء</w:t>
      </w:r>
      <w:r>
        <w:rPr>
          <w:rFonts w:hint="eastAsia"/>
          <w:spacing w:val="-4"/>
          <w:rtl/>
        </w:rPr>
        <w:t>»</w:t>
      </w:r>
      <w:r>
        <w:rPr>
          <w:rFonts w:hint="cs"/>
          <w:spacing w:val="-4"/>
          <w:rtl/>
        </w:rPr>
        <w:t xml:space="preserve">-؛ الأشباه للسيوطي، 1/389؛ ولابن نجيم، ص105 </w:t>
      </w:r>
      <w:r>
        <w:rPr>
          <w:spacing w:val="-4"/>
          <w:rtl/>
        </w:rPr>
        <w:t>–</w:t>
      </w:r>
      <w:r>
        <w:rPr>
          <w:rFonts w:hint="cs"/>
          <w:spacing w:val="-4"/>
          <w:rtl/>
        </w:rPr>
        <w:t xml:space="preserve">ولفظ الأخيرين كلفظ المنثور-؛ الفرائد البهية وشرحاها: الأقمار المضيئة، ص285؛ والمواهب السنية وحاشيتها: الفوائد الجنية، 2/413 </w:t>
      </w:r>
      <w:r>
        <w:rPr>
          <w:spacing w:val="-4"/>
          <w:rtl/>
        </w:rPr>
        <w:t>–</w:t>
      </w:r>
      <w:r>
        <w:rPr>
          <w:rFonts w:hint="cs"/>
          <w:spacing w:val="-4"/>
          <w:rtl/>
        </w:rPr>
        <w:t xml:space="preserve"> ولفظ الفرائد :</w:t>
      </w:r>
    </w:p>
    <w:p w:rsidR="00035BE3" w:rsidRDefault="00035BE3" w:rsidP="00F0471F">
      <w:pPr>
        <w:pStyle w:val="a6"/>
        <w:ind w:left="422" w:hanging="454"/>
        <w:jc w:val="center"/>
        <w:rPr>
          <w:b/>
          <w:bCs/>
          <w:rtl/>
        </w:rPr>
      </w:pPr>
      <w:r>
        <w:rPr>
          <w:rFonts w:hint="cs"/>
          <w:b/>
          <w:bCs/>
          <w:rtl/>
        </w:rPr>
        <w:t xml:space="preserve">     قـولـهـم وفـي الـدوام اغـتـفـروا    مـالـم يـكـن فـي الابـتـداء مغتفرًا-؛</w:t>
      </w:r>
    </w:p>
    <w:p w:rsidR="00035BE3" w:rsidRPr="0048605B" w:rsidRDefault="00035BE3" w:rsidP="00F0471F">
      <w:pPr>
        <w:pStyle w:val="a6"/>
        <w:ind w:left="422" w:firstLine="0"/>
        <w:rPr>
          <w:rtl/>
        </w:rPr>
      </w:pPr>
      <w:r w:rsidRPr="0048605B">
        <w:rPr>
          <w:rFonts w:hint="cs"/>
          <w:rtl/>
        </w:rPr>
        <w:t xml:space="preserve">مجلة الأحكام العدلية، مادة 55- ولفظها : </w:t>
      </w:r>
      <w:r w:rsidRPr="0048605B">
        <w:rPr>
          <w:rFonts w:hint="eastAsia"/>
          <w:rtl/>
        </w:rPr>
        <w:t>«</w:t>
      </w:r>
      <w:r w:rsidRPr="0048605B">
        <w:rPr>
          <w:rFonts w:hint="cs"/>
          <w:rtl/>
        </w:rPr>
        <w:t>يغتفر في البقاء مالا يغتفر في الابتداء</w:t>
      </w:r>
      <w:r w:rsidRPr="0048605B">
        <w:rPr>
          <w:rFonts w:hint="eastAsia"/>
          <w:rtl/>
        </w:rPr>
        <w:t>»</w:t>
      </w:r>
      <w:r w:rsidRPr="0048605B">
        <w:rPr>
          <w:rFonts w:hint="cs"/>
          <w:rtl/>
        </w:rPr>
        <w:t xml:space="preserve">-؛ شرحها لسليم رستم، 1/42؛ ولعلي حيدر، 1/50؛ وللأتاسي، 1/135- وقد ذكر لفظ المجلة وعدّة ألفاظ أخرى-؛ وشرح قواعدها للزرقا، ص293؛ قواعد الفقه للمجدّدي، ص142، قاعدة 414؛ المدخل الفقهي العام، 2/1017، فقرة 633؛ القواعد الفقهية للدكتور علي الندوي، ص435 </w:t>
      </w:r>
      <w:r w:rsidRPr="0048605B">
        <w:rPr>
          <w:rtl/>
        </w:rPr>
        <w:t>–</w:t>
      </w:r>
      <w:r w:rsidRPr="0048605B">
        <w:rPr>
          <w:rFonts w:hint="cs"/>
          <w:rtl/>
        </w:rPr>
        <w:t>ولفظه كلفظ المجلة-؛ القواعد والضوابط الفقهية عند ابن تيمية، ص314؛ تطبيقات القواعد والضوابط الفقهية، ص1680؛ المدخل إلى القواعد، ص140؛ المبادئ الفقهية، ص35؛ القواعد الفقهية للدّعاس، ص82، قاعدة 62؛ وللدكتور محمد الزحيلي، ص81.</w:t>
      </w:r>
    </w:p>
    <w:p w:rsidR="00035BE3" w:rsidRDefault="00035BE3" w:rsidP="00F0471F">
      <w:pPr>
        <w:pStyle w:val="a6"/>
        <w:ind w:left="422" w:firstLine="0"/>
        <w:rPr>
          <w:b/>
          <w:bCs/>
          <w:rtl/>
        </w:rPr>
      </w:pPr>
      <w:r>
        <w:rPr>
          <w:rFonts w:hint="cs"/>
          <w:b/>
          <w:bCs/>
          <w:rtl/>
        </w:rPr>
        <w:t>ومن كتب الفقه :</w:t>
      </w:r>
    </w:p>
    <w:p w:rsidR="00035BE3" w:rsidRDefault="00035BE3" w:rsidP="00F0471F">
      <w:pPr>
        <w:pStyle w:val="a6"/>
        <w:ind w:left="422" w:firstLine="0"/>
        <w:rPr>
          <w:spacing w:val="-8"/>
          <w:rtl/>
        </w:rPr>
      </w:pPr>
      <w:r>
        <w:rPr>
          <w:rFonts w:hint="cs"/>
          <w:spacing w:val="-8"/>
          <w:rtl/>
        </w:rPr>
        <w:t>مغني المحتاج، 1/145، 250، 344، 2/12، 66، 3/186، 198، 336؛ 4/130؛ رد المحتار، 2/319.</w:t>
      </w:r>
    </w:p>
    <w:p w:rsidR="00035BE3" w:rsidRDefault="00035BE3" w:rsidP="00F0471F">
      <w:pPr>
        <w:pStyle w:val="a6"/>
        <w:ind w:left="422" w:firstLine="0"/>
        <w:rPr>
          <w:b/>
          <w:bCs/>
          <w:rtl/>
        </w:rPr>
      </w:pPr>
      <w:r>
        <w:rPr>
          <w:rFonts w:hint="cs"/>
          <w:b/>
          <w:bCs/>
          <w:rtl/>
        </w:rPr>
        <w:t>ومن الكتب الأخرى :</w:t>
      </w:r>
    </w:p>
    <w:p w:rsidR="00035BE3" w:rsidRDefault="00035BE3" w:rsidP="00F0471F">
      <w:pPr>
        <w:pStyle w:val="a6"/>
        <w:rPr>
          <w:rtl/>
        </w:rPr>
      </w:pPr>
      <w:r>
        <w:rPr>
          <w:rFonts w:hint="cs"/>
          <w:rtl/>
        </w:rPr>
        <w:t>الإبهاج، 3/153.</w:t>
      </w:r>
    </w:p>
  </w:footnote>
  <w:footnote w:id="541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لا يمنع</w:t>
      </w:r>
      <w:r>
        <w:rPr>
          <w:rFonts w:hint="eastAsia"/>
          <w:rtl/>
        </w:rPr>
        <w:t>»</w:t>
      </w:r>
      <w:r>
        <w:rPr>
          <w:rFonts w:hint="cs"/>
          <w:rtl/>
        </w:rPr>
        <w:t xml:space="preserve"> : ساقطة من (جـ).</w:t>
      </w:r>
    </w:p>
  </w:footnote>
  <w:footnote w:id="541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sidRPr="00B947C5">
        <w:rPr>
          <w:rFonts w:hint="cs"/>
          <w:spacing w:val="-2"/>
          <w:rtl/>
        </w:rPr>
        <w:t>هذا المثال سبق أن ذكره المؤلف بمعناه، ص727-728 (ل54/ب)، فما قيل في توثيقه هناك يقال هنا.</w:t>
      </w:r>
    </w:p>
  </w:footnote>
  <w:footnote w:id="541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من</w:t>
      </w:r>
      <w:r>
        <w:rPr>
          <w:rFonts w:hint="eastAsia"/>
          <w:rtl/>
        </w:rPr>
        <w:t>»</w:t>
      </w:r>
      <w:r>
        <w:rPr>
          <w:rFonts w:hint="cs"/>
          <w:rtl/>
        </w:rPr>
        <w:t>.</w:t>
      </w:r>
    </w:p>
  </w:footnote>
  <w:footnote w:id="541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رُسم الحرف الأول بالتاء والياء معًا.</w:t>
      </w:r>
    </w:p>
  </w:footnote>
  <w:footnote w:id="541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للفاسق</w:t>
      </w:r>
      <w:r>
        <w:rPr>
          <w:rFonts w:hint="eastAsia"/>
          <w:rtl/>
        </w:rPr>
        <w:t>»</w:t>
      </w:r>
      <w:r>
        <w:rPr>
          <w:rFonts w:hint="cs"/>
          <w:rtl/>
        </w:rPr>
        <w:t>.</w:t>
      </w:r>
    </w:p>
  </w:footnote>
  <w:footnote w:id="541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ويمنع</w:t>
      </w:r>
      <w:r>
        <w:rPr>
          <w:rFonts w:hint="eastAsia"/>
          <w:rtl/>
        </w:rPr>
        <w:t>»</w:t>
      </w:r>
      <w:r>
        <w:rPr>
          <w:rFonts w:hint="cs"/>
          <w:rtl/>
        </w:rPr>
        <w:t>.</w:t>
      </w:r>
    </w:p>
  </w:footnote>
  <w:footnote w:id="541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82/ب من (جـ).</w:t>
      </w:r>
    </w:p>
  </w:footnote>
  <w:footnote w:id="542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71/ب من (ب).</w:t>
      </w:r>
    </w:p>
  </w:footnote>
  <w:footnote w:id="5421">
    <w:p w:rsidR="00035BE3" w:rsidRDefault="00035BE3" w:rsidP="00F0471F">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انظر هاتين المسألتين في الأشباه لابن نجيم، ص149، فقد ذكرهما على أنهما فرعان لقاعدة أخرى، وهي: </w:t>
      </w:r>
      <w:r>
        <w:rPr>
          <w:rFonts w:hint="eastAsia"/>
          <w:spacing w:val="-2"/>
          <w:rtl/>
        </w:rPr>
        <w:t>«</w:t>
      </w:r>
      <w:r>
        <w:rPr>
          <w:rFonts w:hint="cs"/>
          <w:spacing w:val="-2"/>
          <w:rtl/>
        </w:rPr>
        <w:t>يغتفر في الابتداء مالا يغتفر في البقاء</w:t>
      </w:r>
      <w:r>
        <w:rPr>
          <w:rFonts w:hint="eastAsia"/>
          <w:spacing w:val="-2"/>
          <w:rtl/>
        </w:rPr>
        <w:t>»</w:t>
      </w:r>
      <w:r>
        <w:rPr>
          <w:rFonts w:hint="cs"/>
          <w:spacing w:val="-2"/>
          <w:rtl/>
        </w:rPr>
        <w:t>.</w:t>
      </w:r>
    </w:p>
  </w:footnote>
  <w:footnote w:id="542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يتضمتا</w:t>
      </w:r>
      <w:r>
        <w:rPr>
          <w:rFonts w:hint="eastAsia"/>
          <w:rtl/>
        </w:rPr>
        <w:t>»</w:t>
      </w:r>
      <w:r>
        <w:rPr>
          <w:rFonts w:hint="cs"/>
          <w:rtl/>
        </w:rPr>
        <w:t xml:space="preserve">، وفي (جـ) : </w:t>
      </w:r>
      <w:r>
        <w:rPr>
          <w:rFonts w:hint="eastAsia"/>
          <w:rtl/>
        </w:rPr>
        <w:t>«</w:t>
      </w:r>
      <w:r>
        <w:rPr>
          <w:rFonts w:hint="cs"/>
          <w:rtl/>
        </w:rPr>
        <w:t>يتضمنا</w:t>
      </w:r>
      <w:r>
        <w:rPr>
          <w:rFonts w:hint="eastAsia"/>
          <w:rtl/>
        </w:rPr>
        <w:t>»</w:t>
      </w:r>
      <w:r>
        <w:rPr>
          <w:rFonts w:hint="cs"/>
          <w:rtl/>
        </w:rPr>
        <w:t>. والصحيح ما تمَّ إثباته من (ب) و(د).</w:t>
      </w:r>
    </w:p>
  </w:footnote>
  <w:footnote w:id="542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فكان كان</w:t>
      </w:r>
      <w:r>
        <w:rPr>
          <w:rFonts w:hint="eastAsia"/>
          <w:rtl/>
        </w:rPr>
        <w:t>»</w:t>
      </w:r>
      <w:r>
        <w:rPr>
          <w:rFonts w:hint="cs"/>
          <w:rtl/>
        </w:rPr>
        <w:t>.</w:t>
      </w:r>
    </w:p>
  </w:footnote>
  <w:footnote w:id="542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114/أ من (أ).</w:t>
      </w:r>
    </w:p>
  </w:footnote>
  <w:footnote w:id="542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والمعلق بالشرط</w:t>
      </w:r>
      <w:r>
        <w:rPr>
          <w:rFonts w:hint="eastAsia"/>
          <w:rtl/>
        </w:rPr>
        <w:t>»</w:t>
      </w:r>
      <w:r>
        <w:rPr>
          <w:rFonts w:hint="cs"/>
          <w:rtl/>
        </w:rPr>
        <w:t xml:space="preserve"> : ساقطة من (جـ).</w:t>
      </w:r>
    </w:p>
  </w:footnote>
  <w:footnote w:id="542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Default="00035BE3" w:rsidP="00F0471F">
      <w:pPr>
        <w:pStyle w:val="a6"/>
        <w:ind w:left="422" w:firstLine="0"/>
        <w:rPr>
          <w:rtl/>
        </w:rPr>
      </w:pPr>
      <w:r>
        <w:rPr>
          <w:rFonts w:hint="cs"/>
          <w:rtl/>
        </w:rPr>
        <w:t xml:space="preserve">هذه القاعدة </w:t>
      </w:r>
      <w:r>
        <w:rPr>
          <w:rFonts w:hint="eastAsia"/>
          <w:rtl/>
        </w:rPr>
        <w:t>«</w:t>
      </w:r>
      <w:r>
        <w:rPr>
          <w:rFonts w:hint="cs"/>
          <w:rtl/>
        </w:rPr>
        <w:t xml:space="preserve">لبيان حكم الشرط الواقع قيدًا، وهو </w:t>
      </w:r>
      <w:r>
        <w:rPr>
          <w:rFonts w:hint="cs"/>
          <w:b/>
          <w:bCs/>
          <w:rtl/>
        </w:rPr>
        <w:t>الشرط التقييدي</w:t>
      </w:r>
      <w:r>
        <w:rPr>
          <w:rFonts w:hint="cs"/>
          <w:rtl/>
        </w:rPr>
        <w:t xml:space="preserve"> الذي يلزم مراعاته</w:t>
      </w:r>
      <w:r>
        <w:rPr>
          <w:rFonts w:hint="eastAsia"/>
          <w:rtl/>
        </w:rPr>
        <w:t>»</w:t>
      </w:r>
      <w:r>
        <w:rPr>
          <w:rFonts w:hint="cs"/>
          <w:rtl/>
        </w:rPr>
        <w:t xml:space="preserve"> </w:t>
      </w:r>
      <w:r>
        <w:rPr>
          <w:rFonts w:hint="eastAsia"/>
          <w:rtl/>
        </w:rPr>
        <w:t>«</w:t>
      </w:r>
      <w:r>
        <w:rPr>
          <w:rFonts w:hint="cs"/>
          <w:rtl/>
        </w:rPr>
        <w:t>المعرّف بأنه : التزام أمر لم يوجد في أمر وجد بصيغة مخصوصة</w:t>
      </w:r>
      <w:r>
        <w:rPr>
          <w:rFonts w:hint="eastAsia"/>
          <w:rtl/>
        </w:rPr>
        <w:t>»</w:t>
      </w:r>
      <w:r>
        <w:rPr>
          <w:rFonts w:hint="cs"/>
          <w:rtl/>
        </w:rPr>
        <w:t>.</w:t>
      </w:r>
    </w:p>
    <w:p w:rsidR="00035BE3" w:rsidRDefault="00035BE3" w:rsidP="00F0471F">
      <w:pPr>
        <w:pStyle w:val="a6"/>
        <w:ind w:left="422" w:firstLine="0"/>
        <w:rPr>
          <w:rtl/>
        </w:rPr>
      </w:pPr>
      <w:r>
        <w:rPr>
          <w:rFonts w:hint="cs"/>
          <w:rtl/>
        </w:rPr>
        <w:t>فخرج بذلك الشرط التعليقي و</w:t>
      </w:r>
      <w:r>
        <w:rPr>
          <w:rFonts w:hint="eastAsia"/>
          <w:rtl/>
        </w:rPr>
        <w:t>«</w:t>
      </w:r>
      <w:r>
        <w:rPr>
          <w:rFonts w:hint="cs"/>
          <w:rtl/>
        </w:rPr>
        <w:t>هو التزام أمر لم يوجد في أمر يمكن وجوده في المستقبل.</w:t>
      </w:r>
    </w:p>
    <w:p w:rsidR="00035BE3" w:rsidRDefault="00035BE3" w:rsidP="00F0471F">
      <w:pPr>
        <w:pStyle w:val="a6"/>
        <w:ind w:left="422" w:firstLine="0"/>
        <w:rPr>
          <w:rtl/>
        </w:rPr>
      </w:pPr>
      <w:r>
        <w:rPr>
          <w:rFonts w:hint="cs"/>
          <w:rtl/>
        </w:rPr>
        <w:t>أو هو : ربط حصول مضمون جملة بحصول مضمون جملة أخرى، سواء كان الربط بإحدى أدوات الشرط ... أو بما يقوم مقامها في إفادة الربط المذكور ...</w:t>
      </w:r>
      <w:r>
        <w:rPr>
          <w:rFonts w:hint="eastAsia"/>
          <w:rtl/>
        </w:rPr>
        <w:t>»</w:t>
      </w:r>
      <w:r>
        <w:rPr>
          <w:rFonts w:hint="cs"/>
          <w:rtl/>
        </w:rPr>
        <w:t>.</w:t>
      </w:r>
    </w:p>
    <w:p w:rsidR="00035BE3" w:rsidRDefault="00035BE3" w:rsidP="00F0471F">
      <w:pPr>
        <w:pStyle w:val="a6"/>
        <w:ind w:left="422" w:firstLine="0"/>
        <w:rPr>
          <w:rtl/>
        </w:rPr>
      </w:pPr>
      <w:r>
        <w:rPr>
          <w:rFonts w:hint="eastAsia"/>
          <w:rtl/>
        </w:rPr>
        <w:t>«</w:t>
      </w:r>
      <w:r>
        <w:rPr>
          <w:rFonts w:hint="cs"/>
          <w:b/>
          <w:bCs/>
          <w:rtl/>
        </w:rPr>
        <w:t>والمراد بقدر الإمكان</w:t>
      </w:r>
      <w:r>
        <w:rPr>
          <w:rFonts w:hint="cs"/>
          <w:rtl/>
        </w:rPr>
        <w:t xml:space="preserve"> : أن لا يخالف قواعد الشريعة في نظام العقود</w:t>
      </w:r>
      <w:r>
        <w:rPr>
          <w:rFonts w:hint="eastAsia"/>
          <w:rtl/>
        </w:rPr>
        <w:t>»</w:t>
      </w:r>
      <w:r>
        <w:rPr>
          <w:rFonts w:hint="cs"/>
          <w:rtl/>
        </w:rPr>
        <w:t>.</w:t>
      </w:r>
    </w:p>
    <w:p w:rsidR="00035BE3" w:rsidRDefault="00035BE3" w:rsidP="00F0471F">
      <w:pPr>
        <w:pStyle w:val="a6"/>
        <w:ind w:left="422" w:firstLine="0"/>
        <w:rPr>
          <w:rtl/>
        </w:rPr>
      </w:pPr>
      <w:r>
        <w:rPr>
          <w:rFonts w:hint="cs"/>
          <w:rtl/>
        </w:rPr>
        <w:t xml:space="preserve">إذا علم هذا </w:t>
      </w:r>
      <w:r>
        <w:rPr>
          <w:rFonts w:hint="cs"/>
          <w:b/>
          <w:bCs/>
          <w:rtl/>
        </w:rPr>
        <w:t>فالمعنى الإجمالي للقاعدة</w:t>
      </w:r>
      <w:r>
        <w:rPr>
          <w:rFonts w:hint="cs"/>
          <w:rtl/>
        </w:rPr>
        <w:t xml:space="preserve"> : يجب على العاقدين مراعاة ما اتفقا عليه من الشروط التي قيّدا بها العقد، بقدر استطاعتهما، بحيث لا تخالف قواعد الشريعة.</w:t>
      </w:r>
    </w:p>
    <w:p w:rsidR="00035BE3" w:rsidRDefault="00035BE3" w:rsidP="00F0471F">
      <w:pPr>
        <w:pStyle w:val="a6"/>
        <w:ind w:left="422" w:firstLine="0"/>
        <w:rPr>
          <w:rtl/>
        </w:rPr>
      </w:pPr>
      <w:r>
        <w:rPr>
          <w:rFonts w:hint="cs"/>
          <w:rtl/>
        </w:rPr>
        <w:t xml:space="preserve">وعندما ننظر في حدود مخالفة الشرط لقواعد الشريعة نجد أن </w:t>
      </w:r>
      <w:r>
        <w:rPr>
          <w:rFonts w:hint="eastAsia"/>
          <w:rtl/>
        </w:rPr>
        <w:t>«</w:t>
      </w:r>
      <w:r>
        <w:rPr>
          <w:rFonts w:hint="cs"/>
          <w:rtl/>
        </w:rPr>
        <w:t>الاجتهادات المذهبيّة مختلفة جدًّا - توسعًا وتضييقًا - في حدود هذه المخالفة والموافقة، وبالنتيجة فيما هو مقبول أو مرفوض من المشارطات العقدية، وإن أوسعها الاجتهاد الحنبلي</w:t>
      </w:r>
      <w:r>
        <w:rPr>
          <w:rFonts w:hint="eastAsia"/>
          <w:rtl/>
        </w:rPr>
        <w:t>»</w:t>
      </w:r>
      <w:r>
        <w:rPr>
          <w:rFonts w:hint="cs"/>
          <w:rtl/>
        </w:rPr>
        <w:t>.</w:t>
      </w:r>
    </w:p>
    <w:p w:rsidR="00035BE3" w:rsidRDefault="00035BE3" w:rsidP="00F0471F">
      <w:pPr>
        <w:pStyle w:val="a6"/>
        <w:ind w:left="422" w:firstLine="0"/>
        <w:rPr>
          <w:spacing w:val="-4"/>
          <w:rtl/>
        </w:rPr>
      </w:pPr>
      <w:r>
        <w:rPr>
          <w:rFonts w:hint="cs"/>
          <w:spacing w:val="-4"/>
          <w:rtl/>
        </w:rPr>
        <w:t>ولتوثيق ما جاء في معنى القاعدة : فإن النصوص المذكورة مستفادة -وفق ترتيبها- من الكتب الآتية :</w:t>
      </w:r>
    </w:p>
    <w:p w:rsidR="00035BE3" w:rsidRDefault="00035BE3" w:rsidP="00F0471F">
      <w:pPr>
        <w:pStyle w:val="a6"/>
        <w:ind w:left="422" w:firstLine="0"/>
        <w:rPr>
          <w:rtl/>
        </w:rPr>
      </w:pPr>
      <w:r>
        <w:rPr>
          <w:rFonts w:hint="cs"/>
          <w:rtl/>
        </w:rPr>
        <w:t>شرح المجلة للأتاسي، 1/236؛ شرح القواعد الفقهية للزرقا، ص419، 415؛ المدخل الفقهي العام، 2/1031، فقرة 647- والنّص الأخير مستفاد من الموضع السابق من المدخل أيضًا-.</w:t>
      </w:r>
    </w:p>
    <w:p w:rsidR="00035BE3" w:rsidRDefault="00035BE3" w:rsidP="00F0471F">
      <w:pPr>
        <w:pStyle w:val="a6"/>
        <w:ind w:left="422" w:firstLine="0"/>
        <w:rPr>
          <w:b/>
          <w:bCs/>
          <w:rtl/>
        </w:rPr>
      </w:pPr>
      <w:r>
        <w:rPr>
          <w:rFonts w:hint="cs"/>
          <w:b/>
          <w:bCs/>
          <w:rtl/>
        </w:rPr>
        <w:t>توثيق القاعدة :</w:t>
      </w:r>
    </w:p>
    <w:p w:rsidR="00035BE3" w:rsidRDefault="00035BE3" w:rsidP="00F0471F">
      <w:pPr>
        <w:pStyle w:val="a6"/>
        <w:ind w:left="422" w:firstLine="0"/>
        <w:rPr>
          <w:rtl/>
        </w:rPr>
      </w:pPr>
      <w:r>
        <w:rPr>
          <w:rFonts w:hint="cs"/>
          <w:rtl/>
        </w:rPr>
        <w:t>وردت هذه القاعدة بلفظها أو نحوه أو معناه في كثير من كتب القواعد وبعض كتب الفقه :</w:t>
      </w:r>
    </w:p>
    <w:p w:rsidR="00035BE3" w:rsidRDefault="00035BE3" w:rsidP="00F0471F">
      <w:pPr>
        <w:pStyle w:val="a6"/>
        <w:ind w:left="422" w:firstLine="0"/>
        <w:rPr>
          <w:b/>
          <w:bCs/>
          <w:rtl/>
        </w:rPr>
      </w:pPr>
      <w:r>
        <w:rPr>
          <w:rFonts w:hint="cs"/>
          <w:b/>
          <w:bCs/>
          <w:rtl/>
        </w:rPr>
        <w:t>فمن كتب القواعد :</w:t>
      </w:r>
    </w:p>
    <w:p w:rsidR="00035BE3" w:rsidRDefault="00035BE3" w:rsidP="00F0471F">
      <w:pPr>
        <w:pStyle w:val="a6"/>
        <w:ind w:left="422" w:firstLine="0"/>
        <w:rPr>
          <w:spacing w:val="-4"/>
          <w:rtl/>
        </w:rPr>
      </w:pPr>
      <w:r>
        <w:rPr>
          <w:rFonts w:hint="cs"/>
          <w:spacing w:val="-4"/>
          <w:rtl/>
        </w:rPr>
        <w:t xml:space="preserve">مجامع الحقائق (الخاتمة)، ص47؛ شرح العلائي لقواعد الخادمي، ل41/أ؛ منافع الدقائق، ص335؛ مجلة الأحكام العدلية، مادة 83؛ شرحها لسليم رستم، 1/54؛ ولعلي حيدر، 1/74؛ وللأتاسي، 1/235؛ وشرح قواعدها للزرقا، ص419؛ رسالة في القواعد الفقهية للشيخ عبد الرحمن السّعدي، ص51، بيت رقم 39 و40- وقد سبق ذكر البيتين، ص924-؛ قواعد الفقه للمجدّدي، ص143، قاعدة 422؛ المدخل الفقهي العام، 2/1031، فقرة 647؛ القواعد والضوابط المستخلصة، ص489 </w:t>
      </w:r>
      <w:r>
        <w:rPr>
          <w:spacing w:val="-4"/>
          <w:rtl/>
        </w:rPr>
        <w:t>–</w:t>
      </w:r>
      <w:r>
        <w:rPr>
          <w:rFonts w:hint="cs"/>
          <w:spacing w:val="-4"/>
          <w:rtl/>
        </w:rPr>
        <w:t xml:space="preserve"> ولفظه : </w:t>
      </w:r>
      <w:r>
        <w:rPr>
          <w:rFonts w:hint="eastAsia"/>
          <w:spacing w:val="-4"/>
          <w:rtl/>
        </w:rPr>
        <w:t>«</w:t>
      </w:r>
      <w:r>
        <w:rPr>
          <w:rFonts w:hint="cs"/>
          <w:spacing w:val="-4"/>
          <w:rtl/>
        </w:rPr>
        <w:t>الشروط إنما تعتبر بقدر الإمكان</w:t>
      </w:r>
      <w:r>
        <w:rPr>
          <w:rFonts w:hint="eastAsia"/>
          <w:spacing w:val="-4"/>
          <w:rtl/>
        </w:rPr>
        <w:t>»</w:t>
      </w:r>
      <w:r>
        <w:rPr>
          <w:rFonts w:hint="cs"/>
          <w:spacing w:val="-4"/>
          <w:rtl/>
        </w:rPr>
        <w:t>-؛ الوجيز، ص357؛ المدخل إلى القواعد، ص143؛ المبادئ الفقهية، ص48؛ القواعد الفقهية للدّعاس، ص92، قاعدة 86؛ ولِـ د. محمد الزحيلي، ص84.</w:t>
      </w:r>
      <w:r>
        <w:rPr>
          <w:rFonts w:hint="cs"/>
          <w:spacing w:val="-4"/>
          <w:rtl/>
        </w:rPr>
        <w:tab/>
      </w:r>
      <w:r>
        <w:rPr>
          <w:rFonts w:hint="cs"/>
          <w:spacing w:val="-4"/>
          <w:rtl/>
        </w:rPr>
        <w:tab/>
        <w:t xml:space="preserve">  </w:t>
      </w:r>
    </w:p>
    <w:p w:rsidR="00035BE3" w:rsidRDefault="00035BE3" w:rsidP="00F0471F">
      <w:pPr>
        <w:pStyle w:val="a6"/>
        <w:ind w:left="422" w:firstLine="0"/>
        <w:rPr>
          <w:spacing w:val="8"/>
          <w:rtl/>
        </w:rPr>
      </w:pPr>
      <w:r>
        <w:rPr>
          <w:rFonts w:hint="cs"/>
          <w:spacing w:val="8"/>
          <w:rtl/>
        </w:rPr>
        <w:t xml:space="preserve">يضاف إلى ذلك : كونه ورد في بعض كتب القواعد عند المالكية قاعدة يمكن أن تندرج تحت هذه القاعدة، وهي : </w:t>
      </w:r>
      <w:r>
        <w:rPr>
          <w:rFonts w:hint="eastAsia"/>
          <w:spacing w:val="8"/>
          <w:rtl/>
        </w:rPr>
        <w:t>«</w:t>
      </w:r>
      <w:r>
        <w:rPr>
          <w:rFonts w:hint="cs"/>
          <w:spacing w:val="8"/>
          <w:rtl/>
        </w:rPr>
        <w:t>اشتراط مالا يفيد هل يجب الوفاء به أم لا؟</w:t>
      </w:r>
      <w:r>
        <w:rPr>
          <w:rFonts w:hint="eastAsia"/>
          <w:spacing w:val="8"/>
          <w:rtl/>
        </w:rPr>
        <w:t>»</w:t>
      </w:r>
      <w:r>
        <w:rPr>
          <w:rFonts w:hint="cs"/>
          <w:spacing w:val="8"/>
          <w:rtl/>
        </w:rPr>
        <w:t>، فانظرها في : إيضاح المسالك، ص108، قاعدة 80؛ شرح المنهج للمنجور، ص419؛ المجاز الواضح وشرحه : الدليل الماهر، ص158.</w:t>
      </w:r>
    </w:p>
    <w:p w:rsidR="00035BE3" w:rsidRDefault="00035BE3" w:rsidP="00F0471F">
      <w:pPr>
        <w:pStyle w:val="a6"/>
        <w:ind w:left="422" w:firstLine="0"/>
        <w:rPr>
          <w:rtl/>
        </w:rPr>
      </w:pPr>
      <w:r>
        <w:rPr>
          <w:rFonts w:hint="cs"/>
          <w:rtl/>
        </w:rPr>
        <w:t xml:space="preserve">كما أنَّ المؤلف نفسَهُ سبق أن ذكر قاعدة تمثّل المفهوم المخالف لهذه القاعدة، وهي : </w:t>
      </w:r>
      <w:r>
        <w:rPr>
          <w:rFonts w:hint="eastAsia"/>
          <w:rtl/>
        </w:rPr>
        <w:t>«</w:t>
      </w:r>
      <w:r>
        <w:rPr>
          <w:rFonts w:hint="cs"/>
          <w:rtl/>
        </w:rPr>
        <w:t>كل شرط يغيّر حكم الشرع يكون باطلاً</w:t>
      </w:r>
      <w:r>
        <w:rPr>
          <w:rFonts w:hint="eastAsia"/>
          <w:rtl/>
        </w:rPr>
        <w:t>»</w:t>
      </w:r>
      <w:r>
        <w:rPr>
          <w:rFonts w:hint="cs"/>
          <w:rtl/>
        </w:rPr>
        <w:t>، وذلك ص924 (ل77/ب)، قاعدة 188.</w:t>
      </w:r>
    </w:p>
    <w:p w:rsidR="00035BE3" w:rsidRDefault="00035BE3" w:rsidP="00F0471F">
      <w:pPr>
        <w:pStyle w:val="a6"/>
        <w:ind w:left="422" w:firstLine="0"/>
        <w:rPr>
          <w:b/>
          <w:bCs/>
          <w:rtl/>
        </w:rPr>
      </w:pPr>
      <w:r>
        <w:rPr>
          <w:rFonts w:hint="cs"/>
          <w:b/>
          <w:bCs/>
          <w:rtl/>
        </w:rPr>
        <w:t>ومن كتب الفقه :</w:t>
      </w:r>
    </w:p>
    <w:p w:rsidR="00035BE3" w:rsidRDefault="00035BE3" w:rsidP="00F0471F">
      <w:pPr>
        <w:pStyle w:val="a6"/>
        <w:ind w:left="422" w:firstLine="0"/>
        <w:rPr>
          <w:rtl/>
        </w:rPr>
      </w:pPr>
      <w:r>
        <w:rPr>
          <w:rFonts w:hint="cs"/>
          <w:rtl/>
        </w:rPr>
        <w:t xml:space="preserve">بدائع الصنائع، 6/98؛ العناية، 8/494؛ الدّرر شرح الغرر، 2/247 </w:t>
      </w:r>
      <w:r>
        <w:rPr>
          <w:rtl/>
        </w:rPr>
        <w:t>–</w:t>
      </w:r>
      <w:r>
        <w:rPr>
          <w:rFonts w:hint="cs"/>
          <w:rtl/>
        </w:rPr>
        <w:t>وجل ما جاء في شرح القاعدة مذكور فيه-.</w:t>
      </w:r>
    </w:p>
    <w:p w:rsidR="00035BE3" w:rsidRDefault="00035BE3" w:rsidP="00F0471F">
      <w:pPr>
        <w:pStyle w:val="a6"/>
        <w:ind w:left="422" w:firstLine="0"/>
        <w:rPr>
          <w:spacing w:val="-4"/>
          <w:rtl/>
        </w:rPr>
      </w:pPr>
      <w:r>
        <w:rPr>
          <w:rFonts w:hint="cs"/>
          <w:spacing w:val="-4"/>
          <w:rtl/>
        </w:rPr>
        <w:t xml:space="preserve">وقبل الانتهاء من توثيق القاعدة يحسن </w:t>
      </w:r>
      <w:r>
        <w:rPr>
          <w:rFonts w:hint="cs"/>
          <w:b/>
          <w:bCs/>
          <w:spacing w:val="-4"/>
          <w:rtl/>
        </w:rPr>
        <w:t>التنبيه على أن مستندها حديثٌ نبويٌ شريفٌ</w:t>
      </w:r>
      <w:r>
        <w:rPr>
          <w:rFonts w:hint="cs"/>
          <w:spacing w:val="-4"/>
          <w:rtl/>
        </w:rPr>
        <w:t xml:space="preserve"> قال فيه النبي </w:t>
      </w:r>
      <w:r>
        <w:rPr>
          <w:rFonts w:ascii="AGA Arabesque" w:hAnsi="AGA Arabesque"/>
          <w:spacing w:val="-4"/>
          <w:sz w:val="36"/>
          <w:szCs w:val="36"/>
          <w:lang w:val="en-US"/>
        </w:rPr>
        <w:t></w:t>
      </w:r>
      <w:r>
        <w:rPr>
          <w:rFonts w:hint="cs"/>
          <w:spacing w:val="-4"/>
          <w:rtl/>
        </w:rPr>
        <w:t xml:space="preserve"> : </w:t>
      </w:r>
      <w:r>
        <w:rPr>
          <w:rFonts w:hint="eastAsia"/>
          <w:spacing w:val="-4"/>
          <w:rtl/>
        </w:rPr>
        <w:t>«</w:t>
      </w:r>
      <w:r>
        <w:rPr>
          <w:rFonts w:cs="DecoType Naskh" w:hint="cs"/>
          <w:spacing w:val="-4"/>
          <w:sz w:val="28"/>
          <w:szCs w:val="28"/>
          <w:rtl/>
        </w:rPr>
        <w:t>المسلمون  عند   شـروطهم</w:t>
      </w:r>
      <w:r>
        <w:rPr>
          <w:rFonts w:hint="eastAsia"/>
          <w:spacing w:val="-4"/>
          <w:rtl/>
        </w:rPr>
        <w:t>»</w:t>
      </w:r>
      <w:r>
        <w:rPr>
          <w:rFonts w:hint="cs"/>
          <w:spacing w:val="-4"/>
          <w:rtl/>
        </w:rPr>
        <w:t xml:space="preserve">. أخرجه البخاري معلقًا، كتاب الإجارة، باب أجر السمسرة، 2/794. </w:t>
      </w:r>
    </w:p>
    <w:p w:rsidR="00035BE3" w:rsidRDefault="00035BE3" w:rsidP="00F0471F">
      <w:pPr>
        <w:pStyle w:val="a6"/>
        <w:ind w:left="422" w:firstLine="0"/>
        <w:rPr>
          <w:rtl/>
        </w:rPr>
      </w:pPr>
      <w:r>
        <w:rPr>
          <w:rFonts w:hint="cs"/>
          <w:rtl/>
        </w:rPr>
        <w:t xml:space="preserve">وهذا الحديث قال عنه الحافظ : </w:t>
      </w:r>
      <w:r>
        <w:rPr>
          <w:rFonts w:hint="eastAsia"/>
          <w:rtl/>
        </w:rPr>
        <w:t>«</w:t>
      </w:r>
      <w:r>
        <w:rPr>
          <w:rFonts w:hint="cs"/>
          <w:rtl/>
        </w:rPr>
        <w:t>وأما حديث : المسلمون عند شروطهم فروي من حديث أبي هريرة وعمرو بن عوف وأنس بن مالك ورافع بن خديج وعبد الله بن عمر وغيرهم، وكلّها فيها مقال، لكن حديث أبي هريرة أمثلها</w:t>
      </w:r>
      <w:r>
        <w:rPr>
          <w:rFonts w:hint="eastAsia"/>
          <w:rtl/>
        </w:rPr>
        <w:t>»</w:t>
      </w:r>
      <w:r>
        <w:rPr>
          <w:rFonts w:hint="cs"/>
          <w:rtl/>
        </w:rPr>
        <w:t>.</w:t>
      </w:r>
    </w:p>
    <w:p w:rsidR="00035BE3" w:rsidRDefault="00035BE3" w:rsidP="00F0471F">
      <w:pPr>
        <w:pStyle w:val="a6"/>
        <w:ind w:left="422" w:firstLine="0"/>
        <w:rPr>
          <w:rtl/>
        </w:rPr>
      </w:pPr>
      <w:r>
        <w:rPr>
          <w:rFonts w:hint="cs"/>
          <w:rtl/>
        </w:rPr>
        <w:t>تغليق التعليق، 3/281؛ وانظر فتح الباري، 4/528.</w:t>
      </w:r>
    </w:p>
  </w:footnote>
  <w:footnote w:id="542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68/أ من (د).</w:t>
      </w:r>
    </w:p>
  </w:footnote>
  <w:footnote w:id="542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b/>
          <w:bCs/>
          <w:rtl/>
        </w:rPr>
        <w:t>في عياله</w:t>
      </w:r>
      <w:r>
        <w:rPr>
          <w:rFonts w:hint="cs"/>
          <w:rtl/>
        </w:rPr>
        <w:t xml:space="preserve"> : قالوا : المراد به : من يساكنه، لا الذي يكون في نفقة المودع فحسب</w:t>
      </w:r>
      <w:r>
        <w:rPr>
          <w:rFonts w:hint="eastAsia"/>
          <w:rtl/>
        </w:rPr>
        <w:t>»</w:t>
      </w:r>
      <w:r>
        <w:rPr>
          <w:rFonts w:hint="cs"/>
          <w:rtl/>
        </w:rPr>
        <w:t>. قاله صاحب (العناية)، 8/485.</w:t>
      </w:r>
    </w:p>
  </w:footnote>
  <w:footnote w:id="5429">
    <w:p w:rsidR="00035BE3" w:rsidRDefault="00035BE3" w:rsidP="00F0471F">
      <w:pPr>
        <w:pStyle w:val="a8"/>
        <w:bidi/>
        <w:ind w:left="422" w:right="0"/>
        <w:rPr>
          <w:spacing w:val="-2"/>
          <w:rtl/>
        </w:rPr>
      </w:pPr>
      <w:r>
        <w:rPr>
          <w:rFonts w:hint="cs"/>
          <w:spacing w:val="-2"/>
          <w:vertAlign w:val="superscript"/>
          <w:rtl/>
        </w:rPr>
        <w:t>(</w:t>
      </w:r>
      <w:r>
        <w:rPr>
          <w:rStyle w:val="a7"/>
          <w:spacing w:val="-2"/>
        </w:rPr>
        <w:footnoteRef/>
      </w:r>
      <w:r>
        <w:rPr>
          <w:rFonts w:hint="cs"/>
          <w:spacing w:val="-2"/>
          <w:vertAlign w:val="superscript"/>
          <w:rtl/>
        </w:rPr>
        <w:t>)</w:t>
      </w:r>
      <w:r>
        <w:rPr>
          <w:rFonts w:hint="cs"/>
          <w:spacing w:val="-2"/>
          <w:rtl/>
        </w:rPr>
        <w:t xml:space="preserve">   في (أ) و(جـ) : </w:t>
      </w:r>
      <w:r>
        <w:rPr>
          <w:rFonts w:hint="eastAsia"/>
          <w:spacing w:val="-2"/>
          <w:rtl/>
        </w:rPr>
        <w:t>«</w:t>
      </w:r>
      <w:r>
        <w:rPr>
          <w:rFonts w:hint="cs"/>
          <w:spacing w:val="-2"/>
          <w:rtl/>
        </w:rPr>
        <w:t>فادفعها</w:t>
      </w:r>
      <w:r>
        <w:rPr>
          <w:rFonts w:hint="eastAsia"/>
          <w:spacing w:val="-2"/>
          <w:rtl/>
        </w:rPr>
        <w:t>»</w:t>
      </w:r>
      <w:r>
        <w:rPr>
          <w:rFonts w:hint="cs"/>
          <w:spacing w:val="-2"/>
          <w:rtl/>
        </w:rPr>
        <w:t xml:space="preserve">. والصحيح ما تم إثباته من (ب) و(د)، وهو الموافق للدرر في المعنى، حيث جاء فيه : </w:t>
      </w:r>
      <w:r>
        <w:rPr>
          <w:rFonts w:hint="eastAsia"/>
          <w:spacing w:val="-2"/>
          <w:rtl/>
        </w:rPr>
        <w:t>«</w:t>
      </w:r>
      <w:r>
        <w:rPr>
          <w:rFonts w:hint="cs"/>
          <w:spacing w:val="-2"/>
          <w:rtl/>
        </w:rPr>
        <w:t>فإن دفعها</w:t>
      </w:r>
      <w:r>
        <w:rPr>
          <w:rFonts w:hint="eastAsia"/>
          <w:spacing w:val="-2"/>
          <w:rtl/>
        </w:rPr>
        <w:t>»</w:t>
      </w:r>
      <w:r>
        <w:rPr>
          <w:rFonts w:hint="cs"/>
          <w:spacing w:val="-2"/>
          <w:rtl/>
        </w:rPr>
        <w:t>.</w:t>
      </w:r>
    </w:p>
  </w:footnote>
  <w:footnote w:id="543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يدا</w:t>
      </w:r>
      <w:r>
        <w:rPr>
          <w:rFonts w:hint="eastAsia"/>
          <w:rtl/>
        </w:rPr>
        <w:t>»</w:t>
      </w:r>
      <w:r>
        <w:rPr>
          <w:rFonts w:hint="cs"/>
          <w:rtl/>
        </w:rPr>
        <w:t xml:space="preserve">، وفي (د) : </w:t>
      </w:r>
      <w:r>
        <w:rPr>
          <w:rFonts w:hint="eastAsia"/>
          <w:rtl/>
        </w:rPr>
        <w:t>«</w:t>
      </w:r>
      <w:r>
        <w:rPr>
          <w:rFonts w:hint="cs"/>
          <w:rtl/>
        </w:rPr>
        <w:t>يد</w:t>
      </w:r>
      <w:r>
        <w:rPr>
          <w:rFonts w:hint="eastAsia"/>
          <w:rtl/>
        </w:rPr>
        <w:t>»</w:t>
      </w:r>
      <w:r>
        <w:rPr>
          <w:rFonts w:hint="cs"/>
          <w:rtl/>
        </w:rPr>
        <w:t xml:space="preserve">. والصحيح ما تمَّ إثباته من (ب)، وهو الموافق للدرر، فقد جاء فيه : </w:t>
      </w:r>
      <w:r>
        <w:rPr>
          <w:rFonts w:hint="eastAsia"/>
          <w:rtl/>
        </w:rPr>
        <w:t>«</w:t>
      </w:r>
      <w:r>
        <w:rPr>
          <w:rFonts w:hint="cs"/>
          <w:rtl/>
        </w:rPr>
        <w:t>... إلى واحد منهم فهلكت : فإن كان يجد بدًّا ...</w:t>
      </w:r>
      <w:r>
        <w:rPr>
          <w:rFonts w:hint="eastAsia"/>
          <w:rtl/>
        </w:rPr>
        <w:t>»</w:t>
      </w:r>
      <w:r>
        <w:rPr>
          <w:rFonts w:hint="cs"/>
          <w:rtl/>
        </w:rPr>
        <w:t>.</w:t>
      </w:r>
    </w:p>
  </w:footnote>
  <w:footnote w:id="543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بدًّا</w:t>
      </w:r>
      <w:r>
        <w:rPr>
          <w:rFonts w:hint="cs"/>
          <w:rtl/>
        </w:rPr>
        <w:t xml:space="preserve">: </w:t>
      </w:r>
      <w:r>
        <w:rPr>
          <w:rFonts w:hint="eastAsia"/>
          <w:rtl/>
        </w:rPr>
        <w:t>«</w:t>
      </w:r>
      <w:r>
        <w:rPr>
          <w:rFonts w:hint="cs"/>
          <w:rtl/>
        </w:rPr>
        <w:t>أي : انفكاك</w:t>
      </w:r>
      <w:r>
        <w:rPr>
          <w:rFonts w:hint="eastAsia"/>
          <w:rtl/>
        </w:rPr>
        <w:t>»</w:t>
      </w:r>
      <w:r>
        <w:rPr>
          <w:rFonts w:hint="cs"/>
          <w:rtl/>
        </w:rPr>
        <w:t xml:space="preserve"> - قاله صاحب الدرر-، </w:t>
      </w:r>
      <w:r>
        <w:rPr>
          <w:rFonts w:hint="eastAsia"/>
          <w:rtl/>
        </w:rPr>
        <w:t>«</w:t>
      </w:r>
      <w:r>
        <w:rPr>
          <w:rFonts w:hint="cs"/>
          <w:rtl/>
        </w:rPr>
        <w:t>يقال : لابُدَّ منه : لا مفّر</w:t>
      </w:r>
      <w:r>
        <w:rPr>
          <w:rFonts w:hint="eastAsia"/>
          <w:rtl/>
        </w:rPr>
        <w:t>»</w:t>
      </w:r>
      <w:r>
        <w:rPr>
          <w:rFonts w:hint="cs"/>
          <w:rtl/>
        </w:rPr>
        <w:t xml:space="preserve">- كذا في المعجم الوسيط، مادة </w:t>
      </w:r>
      <w:r>
        <w:rPr>
          <w:rFonts w:hint="eastAsia"/>
          <w:rtl/>
        </w:rPr>
        <w:t>«</w:t>
      </w:r>
      <w:r>
        <w:rPr>
          <w:rFonts w:hint="cs"/>
          <w:rtl/>
        </w:rPr>
        <w:t>بدّ</w:t>
      </w:r>
      <w:r>
        <w:rPr>
          <w:rFonts w:hint="eastAsia"/>
          <w:rtl/>
        </w:rPr>
        <w:t>»</w:t>
      </w:r>
      <w:r>
        <w:rPr>
          <w:rFonts w:hint="cs"/>
          <w:rtl/>
        </w:rPr>
        <w:t>، 1/43-.</w:t>
      </w:r>
      <w:r>
        <w:rPr>
          <w:rFonts w:hint="cs"/>
          <w:rtl/>
        </w:rPr>
        <w:tab/>
      </w:r>
      <w:r>
        <w:rPr>
          <w:rFonts w:hint="cs"/>
          <w:rtl/>
        </w:rPr>
        <w:tab/>
      </w:r>
      <w:r>
        <w:rPr>
          <w:rFonts w:hint="cs"/>
          <w:rtl/>
        </w:rPr>
        <w:tab/>
      </w:r>
    </w:p>
  </w:footnote>
  <w:footnote w:id="543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سوى ذلك الواحد.</w:t>
      </w:r>
    </w:p>
  </w:footnote>
  <w:footnote w:id="543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فرد</w:t>
      </w:r>
      <w:r>
        <w:rPr>
          <w:rFonts w:hint="eastAsia"/>
          <w:rtl/>
        </w:rPr>
        <w:t>»</w:t>
      </w:r>
      <w:r>
        <w:rPr>
          <w:rFonts w:hint="cs"/>
          <w:rtl/>
        </w:rPr>
        <w:t>.</w:t>
      </w:r>
    </w:p>
  </w:footnote>
  <w:footnote w:id="543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و(جـ) : </w:t>
      </w:r>
      <w:r>
        <w:rPr>
          <w:rFonts w:hint="eastAsia"/>
          <w:rtl/>
        </w:rPr>
        <w:t>«</w:t>
      </w:r>
      <w:r>
        <w:rPr>
          <w:rFonts w:hint="cs"/>
          <w:rtl/>
        </w:rPr>
        <w:t>مفيد</w:t>
      </w:r>
      <w:r>
        <w:rPr>
          <w:rFonts w:hint="eastAsia"/>
          <w:rtl/>
        </w:rPr>
        <w:t>»</w:t>
      </w:r>
      <w:r>
        <w:rPr>
          <w:rFonts w:hint="cs"/>
          <w:rtl/>
        </w:rPr>
        <w:t>. وكلا اللفظين يستقيم بهما المعنى :</w:t>
      </w:r>
    </w:p>
    <w:p w:rsidR="00035BE3" w:rsidRDefault="00035BE3" w:rsidP="00F0471F">
      <w:pPr>
        <w:pStyle w:val="a6"/>
        <w:ind w:left="422" w:firstLine="0"/>
        <w:rPr>
          <w:rtl/>
        </w:rPr>
      </w:pPr>
      <w:r>
        <w:rPr>
          <w:rFonts w:hint="cs"/>
          <w:rtl/>
        </w:rPr>
        <w:t>فـ (مقيّد) معناه : لأن هذا الشرط الذي اشترطه المودِع مقيِّدٌ للمودَع، بحيث يجب عليه التقيد به.</w:t>
      </w:r>
    </w:p>
    <w:p w:rsidR="00035BE3" w:rsidRDefault="00035BE3" w:rsidP="00F0471F">
      <w:pPr>
        <w:pStyle w:val="a6"/>
        <w:ind w:left="422" w:firstLine="0"/>
        <w:rPr>
          <w:rtl/>
        </w:rPr>
      </w:pPr>
      <w:r>
        <w:rPr>
          <w:rFonts w:hint="cs"/>
          <w:rtl/>
        </w:rPr>
        <w:t xml:space="preserve">و(مفيد) معناه : أن هذا الشرط من الشروط المعتبرة، وهي الشروط الجائزة وفيها فائدة؛ لأن الحنفية يقسمون </w:t>
      </w:r>
      <w:r>
        <w:rPr>
          <w:rFonts w:hint="eastAsia"/>
          <w:rtl/>
        </w:rPr>
        <w:t>«</w:t>
      </w:r>
      <w:r>
        <w:rPr>
          <w:rFonts w:hint="cs"/>
          <w:rtl/>
        </w:rPr>
        <w:t>الشرط ثلاثة أقسام :</w:t>
      </w:r>
    </w:p>
    <w:p w:rsidR="00035BE3" w:rsidRDefault="00035BE3" w:rsidP="00F0471F">
      <w:pPr>
        <w:pStyle w:val="a6"/>
        <w:ind w:left="-32" w:firstLine="454"/>
        <w:rPr>
          <w:rtl/>
        </w:rPr>
      </w:pPr>
      <w:r>
        <w:rPr>
          <w:rtl/>
        </w:rPr>
        <w:t>•</w:t>
      </w:r>
      <w:r>
        <w:rPr>
          <w:rFonts w:hint="cs"/>
          <w:rtl/>
        </w:rPr>
        <w:t xml:space="preserve"> قسم يجوز شرعًا وفيه فائدة لمن اشترطه، فهذا يلزم مراعاته.</w:t>
      </w:r>
    </w:p>
    <w:p w:rsidR="00035BE3" w:rsidRDefault="00035BE3" w:rsidP="00F0471F">
      <w:pPr>
        <w:pStyle w:val="a6"/>
        <w:ind w:left="-32" w:firstLine="454"/>
        <w:rPr>
          <w:rtl/>
        </w:rPr>
      </w:pPr>
      <w:r>
        <w:rPr>
          <w:rtl/>
        </w:rPr>
        <w:t>•</w:t>
      </w:r>
      <w:r>
        <w:rPr>
          <w:rFonts w:hint="cs"/>
          <w:rtl/>
        </w:rPr>
        <w:t xml:space="preserve"> وقسم ممنوع شرعًا، ويقال له شرط فاسد.</w:t>
      </w:r>
    </w:p>
    <w:p w:rsidR="00035BE3" w:rsidRDefault="00035BE3" w:rsidP="00F0471F">
      <w:pPr>
        <w:pStyle w:val="a6"/>
        <w:ind w:left="-32" w:firstLine="454"/>
        <w:rPr>
          <w:rtl/>
        </w:rPr>
      </w:pPr>
      <w:r>
        <w:rPr>
          <w:rtl/>
        </w:rPr>
        <w:t>•</w:t>
      </w:r>
      <w:r>
        <w:rPr>
          <w:rFonts w:hint="cs"/>
          <w:rtl/>
        </w:rPr>
        <w:t xml:space="preserve"> وقسم ثالث غير ممنوع شرعًا، إلا أنه لا يلزم مراعاته، لعدم فائدته فيلغو </w:t>
      </w:r>
      <w:r>
        <w:rPr>
          <w:rFonts w:hint="eastAsia"/>
          <w:rtl/>
        </w:rPr>
        <w:t>»</w:t>
      </w:r>
      <w:r>
        <w:rPr>
          <w:rFonts w:hint="cs"/>
          <w:rtl/>
        </w:rPr>
        <w:t>.</w:t>
      </w:r>
    </w:p>
    <w:p w:rsidR="00035BE3" w:rsidRDefault="00035BE3" w:rsidP="00F0471F">
      <w:pPr>
        <w:pStyle w:val="a6"/>
        <w:ind w:left="422" w:firstLine="0"/>
        <w:rPr>
          <w:rtl/>
        </w:rPr>
      </w:pPr>
      <w:r>
        <w:rPr>
          <w:rFonts w:hint="cs"/>
          <w:rtl/>
        </w:rPr>
        <w:t>كذا في شرح المجلة للأتاسي، 1/236؛ وانظر : شرح القواعد الفقهية للزرقا، ص420.</w:t>
      </w:r>
    </w:p>
  </w:footnote>
  <w:footnote w:id="543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يأتمن</w:t>
      </w:r>
      <w:r>
        <w:rPr>
          <w:rFonts w:hint="eastAsia"/>
          <w:rtl/>
        </w:rPr>
        <w:t>»</w:t>
      </w:r>
      <w:r>
        <w:rPr>
          <w:rFonts w:hint="cs"/>
          <w:rtl/>
        </w:rPr>
        <w:t xml:space="preserve">. وقد جاء في الدرر : </w:t>
      </w:r>
      <w:r>
        <w:rPr>
          <w:rFonts w:hint="eastAsia"/>
          <w:rtl/>
        </w:rPr>
        <w:t>«</w:t>
      </w:r>
      <w:r>
        <w:rPr>
          <w:rFonts w:hint="cs"/>
          <w:rtl/>
        </w:rPr>
        <w:t xml:space="preserve">... وقد يأمن </w:t>
      </w:r>
      <w:r>
        <w:rPr>
          <w:rFonts w:hint="cs"/>
          <w:b/>
          <w:bCs/>
          <w:rtl/>
        </w:rPr>
        <w:t xml:space="preserve">الإنسانُ </w:t>
      </w:r>
      <w:r>
        <w:rPr>
          <w:rFonts w:hint="cs"/>
          <w:rtl/>
        </w:rPr>
        <w:t>الرجلَ ...</w:t>
      </w:r>
      <w:r>
        <w:rPr>
          <w:rFonts w:hint="eastAsia"/>
          <w:rtl/>
        </w:rPr>
        <w:t>»</w:t>
      </w:r>
      <w:r>
        <w:rPr>
          <w:rFonts w:hint="cs"/>
          <w:rtl/>
        </w:rPr>
        <w:t>.</w:t>
      </w:r>
    </w:p>
  </w:footnote>
  <w:footnote w:id="543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يأمن</w:t>
      </w:r>
      <w:r>
        <w:rPr>
          <w:rFonts w:hint="eastAsia"/>
          <w:rtl/>
        </w:rPr>
        <w:t>»</w:t>
      </w:r>
      <w:r>
        <w:rPr>
          <w:rFonts w:hint="cs"/>
          <w:rtl/>
        </w:rPr>
        <w:t>.</w:t>
      </w:r>
    </w:p>
  </w:footnote>
  <w:footnote w:id="543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يدًا</w:t>
      </w:r>
      <w:r>
        <w:rPr>
          <w:rFonts w:hint="eastAsia"/>
          <w:rtl/>
        </w:rPr>
        <w:t>»</w:t>
      </w:r>
      <w:r>
        <w:rPr>
          <w:rFonts w:hint="cs"/>
          <w:rtl/>
        </w:rPr>
        <w:t xml:space="preserve">. والصحيح ما تمَّ إثباته من (ب)، وهو الموافق للدرر، فقد جاء فيه : </w:t>
      </w:r>
      <w:r>
        <w:rPr>
          <w:rFonts w:hint="eastAsia"/>
          <w:rtl/>
        </w:rPr>
        <w:t>«</w:t>
      </w:r>
      <w:r>
        <w:rPr>
          <w:rFonts w:hint="cs"/>
          <w:rtl/>
        </w:rPr>
        <w:t>فإذا كان يجد بدًّا ...</w:t>
      </w:r>
      <w:r>
        <w:rPr>
          <w:rFonts w:hint="eastAsia"/>
          <w:rtl/>
        </w:rPr>
        <w:t>»</w:t>
      </w:r>
      <w:r>
        <w:rPr>
          <w:rFonts w:hint="cs"/>
          <w:rtl/>
        </w:rPr>
        <w:t>.</w:t>
      </w:r>
    </w:p>
  </w:footnote>
  <w:footnote w:id="543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 </w:t>
      </w:r>
      <w:r>
        <w:rPr>
          <w:rFonts w:hint="eastAsia"/>
          <w:rtl/>
        </w:rPr>
        <w:t>«</w:t>
      </w:r>
      <w:r>
        <w:rPr>
          <w:rFonts w:hint="cs"/>
          <w:rtl/>
        </w:rPr>
        <w:t>بحفظها</w:t>
      </w:r>
      <w:r>
        <w:rPr>
          <w:rFonts w:hint="eastAsia"/>
          <w:rtl/>
        </w:rPr>
        <w:t>»</w:t>
      </w:r>
      <w:r>
        <w:rPr>
          <w:rFonts w:hint="cs"/>
          <w:rtl/>
        </w:rPr>
        <w:t>. وهذا الأولى.</w:t>
      </w:r>
    </w:p>
  </w:footnote>
  <w:footnote w:id="5439">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النهي</w:t>
      </w:r>
      <w:r>
        <w:rPr>
          <w:rFonts w:hint="eastAsia"/>
          <w:rtl/>
        </w:rPr>
        <w:t>»</w:t>
      </w:r>
      <w:r>
        <w:rPr>
          <w:rFonts w:hint="cs"/>
          <w:rtl/>
        </w:rPr>
        <w:t>. والصحيح ما تمَّ إثباته من باقي النسخ، وهو الموافق للدرر.</w:t>
      </w:r>
    </w:p>
  </w:footnote>
  <w:footnote w:id="5440">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يدا</w:t>
      </w:r>
      <w:r>
        <w:rPr>
          <w:rFonts w:hint="eastAsia"/>
          <w:rtl/>
        </w:rPr>
        <w:t>»</w:t>
      </w:r>
      <w:r>
        <w:rPr>
          <w:rFonts w:hint="cs"/>
          <w:rtl/>
        </w:rPr>
        <w:t xml:space="preserve">. والصحيح ما تمَّ إثباته من (ب)، وهو الموافق للدرر؛ حيث جاء فيه : </w:t>
      </w:r>
      <w:r>
        <w:rPr>
          <w:rFonts w:hint="eastAsia"/>
          <w:rtl/>
        </w:rPr>
        <w:t>«</w:t>
      </w:r>
      <w:r>
        <w:rPr>
          <w:rFonts w:hint="cs"/>
          <w:rtl/>
        </w:rPr>
        <w:t>بدًّا منه : لم يضمن ...</w:t>
      </w:r>
      <w:r>
        <w:rPr>
          <w:rFonts w:hint="eastAsia"/>
          <w:rtl/>
        </w:rPr>
        <w:t>»</w:t>
      </w:r>
      <w:r>
        <w:rPr>
          <w:rFonts w:hint="cs"/>
          <w:rtl/>
        </w:rPr>
        <w:t>.</w:t>
      </w:r>
    </w:p>
  </w:footnote>
  <w:footnote w:id="5441">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 </w:t>
      </w:r>
      <w:r>
        <w:rPr>
          <w:rFonts w:hint="eastAsia"/>
          <w:rtl/>
        </w:rPr>
        <w:t>«</w:t>
      </w:r>
      <w:r>
        <w:rPr>
          <w:rFonts w:hint="cs"/>
          <w:rtl/>
        </w:rPr>
        <w:t>يمكنه</w:t>
      </w:r>
      <w:r>
        <w:rPr>
          <w:rFonts w:hint="eastAsia"/>
          <w:rtl/>
        </w:rPr>
        <w:t>»</w:t>
      </w:r>
      <w:r>
        <w:rPr>
          <w:rFonts w:hint="cs"/>
          <w:rtl/>
        </w:rPr>
        <w:t>.</w:t>
      </w:r>
    </w:p>
  </w:footnote>
  <w:footnote w:id="5442">
    <w:p w:rsidR="00035BE3" w:rsidRDefault="00035BE3" w:rsidP="00F0471F">
      <w:pPr>
        <w:pStyle w:val="a8"/>
        <w:bidi/>
        <w:spacing w:line="50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أي : قول المودِع</w:t>
      </w:r>
      <w:r>
        <w:rPr>
          <w:rFonts w:hint="eastAsia"/>
          <w:rtl/>
        </w:rPr>
        <w:t>»</w:t>
      </w:r>
      <w:r>
        <w:rPr>
          <w:rFonts w:hint="cs"/>
          <w:rtl/>
        </w:rPr>
        <w:t>.</w:t>
      </w:r>
    </w:p>
  </w:footnote>
  <w:footnote w:id="544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الدرر : </w:t>
      </w:r>
      <w:r>
        <w:rPr>
          <w:rFonts w:hint="eastAsia"/>
          <w:rtl/>
        </w:rPr>
        <w:t>«</w:t>
      </w:r>
      <w:r>
        <w:rPr>
          <w:rFonts w:hint="cs"/>
          <w:rtl/>
        </w:rPr>
        <w:t>تحفظ</w:t>
      </w:r>
      <w:r>
        <w:rPr>
          <w:rFonts w:hint="eastAsia"/>
          <w:rtl/>
        </w:rPr>
        <w:t>»</w:t>
      </w:r>
      <w:r>
        <w:rPr>
          <w:rFonts w:hint="cs"/>
          <w:rtl/>
        </w:rPr>
        <w:t>. وهذا الأولى.</w:t>
      </w:r>
    </w:p>
  </w:footnote>
  <w:footnote w:id="544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مناقضًا</w:t>
      </w:r>
      <w:r>
        <w:rPr>
          <w:rFonts w:hint="eastAsia"/>
          <w:rtl/>
        </w:rPr>
        <w:t>»</w:t>
      </w:r>
      <w:r>
        <w:rPr>
          <w:rFonts w:hint="cs"/>
          <w:rtl/>
        </w:rPr>
        <w:t xml:space="preserve"> : ساقطة من (جـ).</w:t>
      </w:r>
    </w:p>
  </w:footnote>
  <w:footnote w:id="544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2/247 -مع اختلاف سبق بيان أكثره-؛ وانظر أصل المثال في الهداية والعـنـاية، 8/494.</w:t>
      </w:r>
    </w:p>
  </w:footnote>
  <w:footnote w:id="544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(أ) فوق هذه الكلمة : </w:t>
      </w:r>
      <w:r>
        <w:rPr>
          <w:rFonts w:hint="eastAsia"/>
          <w:rtl/>
        </w:rPr>
        <w:t>«</w:t>
      </w:r>
      <w:r>
        <w:rPr>
          <w:rFonts w:hint="cs"/>
          <w:rtl/>
        </w:rPr>
        <w:t>مودع</w:t>
      </w:r>
      <w:r>
        <w:rPr>
          <w:rFonts w:hint="eastAsia"/>
          <w:rtl/>
        </w:rPr>
        <w:t>»</w:t>
      </w:r>
      <w:r>
        <w:rPr>
          <w:rFonts w:hint="cs"/>
          <w:rtl/>
        </w:rPr>
        <w:t>. أي : أن الفاعل للفعل (دفع) هو ضمير مستـتر يعود إلى (المودع).</w:t>
      </w:r>
    </w:p>
  </w:footnote>
  <w:footnote w:id="544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يحفظه</w:t>
      </w:r>
      <w:r>
        <w:rPr>
          <w:rFonts w:hint="eastAsia"/>
          <w:rtl/>
        </w:rPr>
        <w:t>»</w:t>
      </w:r>
      <w:r>
        <w:rPr>
          <w:rFonts w:hint="cs"/>
          <w:rtl/>
        </w:rPr>
        <w:t>.</w:t>
      </w:r>
    </w:p>
  </w:footnote>
  <w:footnote w:id="544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فُسِّرت هذه الكلمة في (أ) بالزوجة؛ وانظر : المقاييس في اللغة، مادة </w:t>
      </w:r>
      <w:r>
        <w:rPr>
          <w:rFonts w:hint="eastAsia"/>
          <w:rtl/>
        </w:rPr>
        <w:t>«</w:t>
      </w:r>
      <w:r>
        <w:rPr>
          <w:rFonts w:hint="cs"/>
          <w:rtl/>
        </w:rPr>
        <w:t>عرس</w:t>
      </w:r>
      <w:r>
        <w:rPr>
          <w:rFonts w:hint="eastAsia"/>
          <w:rtl/>
        </w:rPr>
        <w:t>»</w:t>
      </w:r>
      <w:r>
        <w:rPr>
          <w:rFonts w:hint="cs"/>
          <w:rtl/>
        </w:rPr>
        <w:t xml:space="preserve">، ص781؛ لسان العرب، مادة </w:t>
      </w:r>
      <w:r>
        <w:rPr>
          <w:rFonts w:hint="eastAsia"/>
          <w:rtl/>
        </w:rPr>
        <w:t>«</w:t>
      </w:r>
      <w:r>
        <w:rPr>
          <w:rFonts w:hint="cs"/>
          <w:rtl/>
        </w:rPr>
        <w:t>عرس</w:t>
      </w:r>
      <w:r>
        <w:rPr>
          <w:rFonts w:hint="eastAsia"/>
          <w:rtl/>
        </w:rPr>
        <w:t>»</w:t>
      </w:r>
      <w:r>
        <w:rPr>
          <w:rFonts w:hint="cs"/>
          <w:rtl/>
        </w:rPr>
        <w:t>، 6/135.</w:t>
      </w:r>
    </w:p>
    <w:p w:rsidR="00035BE3" w:rsidRDefault="00035BE3" w:rsidP="00F0471F">
      <w:pPr>
        <w:pStyle w:val="a6"/>
        <w:ind w:left="422" w:firstLine="0"/>
        <w:rPr>
          <w:spacing w:val="-4"/>
          <w:rtl/>
        </w:rPr>
      </w:pPr>
      <w:r>
        <w:rPr>
          <w:rFonts w:hint="cs"/>
          <w:spacing w:val="-4"/>
          <w:rtl/>
        </w:rPr>
        <w:t>وقد سبق أن ذكر المؤلف كلمة تشترك مع هذه الكلمة في المادة الأصلية، وذلك ص759 (ل60/ب).</w:t>
      </w:r>
    </w:p>
  </w:footnote>
  <w:footnote w:id="544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و(د) : </w:t>
      </w:r>
      <w:r>
        <w:rPr>
          <w:rFonts w:hint="eastAsia"/>
          <w:rtl/>
        </w:rPr>
        <w:t>«</w:t>
      </w:r>
      <w:r>
        <w:rPr>
          <w:rFonts w:hint="cs"/>
          <w:rtl/>
        </w:rPr>
        <w:t>يدا</w:t>
      </w:r>
      <w:r>
        <w:rPr>
          <w:rFonts w:hint="eastAsia"/>
          <w:rtl/>
        </w:rPr>
        <w:t>»</w:t>
      </w:r>
      <w:r>
        <w:rPr>
          <w:rFonts w:hint="cs"/>
          <w:rtl/>
        </w:rPr>
        <w:t>. والصحيح ما تمَّ إثباته من (ب)، وهو الموافق للدّرر وغيرها.</w:t>
      </w:r>
    </w:p>
  </w:footnote>
  <w:footnote w:id="545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2/247؛ وانظر أيضًا : الهداية والعناية، 8/494. ونصّ ما جاء في (الدّرر) : </w:t>
      </w:r>
      <w:r>
        <w:rPr>
          <w:rFonts w:hint="eastAsia"/>
          <w:rtl/>
        </w:rPr>
        <w:t>«</w:t>
      </w:r>
      <w:r>
        <w:rPr>
          <w:rFonts w:hint="cs"/>
          <w:rtl/>
        </w:rPr>
        <w:t>وهذا كما إذا أودع دابّة، وقال : لا تدفعها إلى غلامك. أو نهاه عن الدّفع إلى امرأته، والوديعة شيء يُحفظ على يد النساء، والرّجل لا يجد بدًّا منها : فهذا الشرط يناقض أصله، فصار باطلاً</w:t>
      </w:r>
      <w:r>
        <w:rPr>
          <w:rFonts w:hint="eastAsia"/>
          <w:rtl/>
        </w:rPr>
        <w:t>»</w:t>
      </w:r>
      <w:r>
        <w:rPr>
          <w:rFonts w:hint="cs"/>
          <w:rtl/>
        </w:rPr>
        <w:t>.</w:t>
      </w:r>
    </w:p>
  </w:footnote>
  <w:footnote w:id="545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معنى القاعدة</w:t>
      </w:r>
      <w:r>
        <w:rPr>
          <w:rFonts w:hint="cs"/>
          <w:rtl/>
        </w:rPr>
        <w:t xml:space="preserve"> :</w:t>
      </w:r>
    </w:p>
    <w:p w:rsidR="00035BE3" w:rsidRDefault="00035BE3" w:rsidP="00F0471F">
      <w:pPr>
        <w:pStyle w:val="a6"/>
        <w:ind w:left="422" w:firstLine="0"/>
        <w:rPr>
          <w:rtl/>
        </w:rPr>
      </w:pPr>
      <w:r>
        <w:rPr>
          <w:rFonts w:hint="cs"/>
          <w:rtl/>
        </w:rPr>
        <w:t>أن اليمين في الدعوى والخصومات يكون أداؤها من المدَّعى عليه دائمًا على النفي.</w:t>
      </w:r>
    </w:p>
    <w:p w:rsidR="00035BE3" w:rsidRDefault="00035BE3" w:rsidP="00F0471F">
      <w:pPr>
        <w:pStyle w:val="a6"/>
        <w:spacing w:line="420" w:lineRule="exact"/>
        <w:ind w:left="422" w:firstLine="0"/>
        <w:rPr>
          <w:rtl/>
        </w:rPr>
      </w:pPr>
      <w:r>
        <w:rPr>
          <w:rFonts w:hint="cs"/>
          <w:rtl/>
        </w:rPr>
        <w:t xml:space="preserve">وقد علّل لذلك العلائي فقال : </w:t>
      </w:r>
      <w:r>
        <w:rPr>
          <w:rFonts w:hint="eastAsia"/>
          <w:rtl/>
        </w:rPr>
        <w:t>«</w:t>
      </w:r>
      <w:r>
        <w:rPr>
          <w:rFonts w:hint="cs"/>
          <w:rtl/>
        </w:rPr>
        <w:t xml:space="preserve">لأنها تكون من جانب المدّعى عليه، وهو يكون منكرًا، فاليمين من جانب المنكر، وما تكون من جانبه تكون على النفي، فاليمين يكون على النفي. قال رسول الله </w:t>
      </w:r>
      <w:r>
        <w:rPr>
          <w:rFonts w:ascii="AGA Arabesque" w:hAnsi="AGA Arabesque"/>
          <w:sz w:val="36"/>
          <w:szCs w:val="36"/>
          <w:lang w:val="en-US"/>
        </w:rPr>
        <w:t></w:t>
      </w:r>
      <w:r>
        <w:rPr>
          <w:rFonts w:hint="cs"/>
          <w:rtl/>
        </w:rPr>
        <w:t xml:space="preserve"> : </w:t>
      </w:r>
      <w:r>
        <w:rPr>
          <w:rFonts w:hint="eastAsia"/>
          <w:rtl/>
        </w:rPr>
        <w:t>«</w:t>
      </w:r>
      <w:r>
        <w:rPr>
          <w:rFonts w:cs="DecoType Naskh" w:hint="cs"/>
          <w:sz w:val="28"/>
          <w:szCs w:val="28"/>
          <w:rtl/>
        </w:rPr>
        <w:t>البينة للمدعي، واليمين على من أنكـر</w:t>
      </w:r>
      <w:r>
        <w:rPr>
          <w:rFonts w:hint="eastAsia"/>
          <w:rtl/>
        </w:rPr>
        <w:t>»</w:t>
      </w:r>
      <w:r>
        <w:rPr>
          <w:rFonts w:hint="cs"/>
          <w:rtl/>
        </w:rPr>
        <w:t>، والإنكار نفي</w:t>
      </w:r>
      <w:r>
        <w:rPr>
          <w:rFonts w:hint="eastAsia"/>
          <w:rtl/>
        </w:rPr>
        <w:t>»</w:t>
      </w:r>
      <w:r>
        <w:rPr>
          <w:rFonts w:hint="cs"/>
          <w:rtl/>
        </w:rPr>
        <w:t>. شرح العلائي لقواعد الخادمي، ل41/أ-ب؛ وأنظر : منافع الدقائق، ص335.</w:t>
      </w:r>
    </w:p>
    <w:p w:rsidR="00035BE3" w:rsidRDefault="00035BE3" w:rsidP="00F0471F">
      <w:pPr>
        <w:pStyle w:val="a6"/>
        <w:ind w:left="422" w:firstLine="0"/>
        <w:rPr>
          <w:b/>
          <w:bCs/>
          <w:rtl/>
        </w:rPr>
      </w:pPr>
      <w:r>
        <w:rPr>
          <w:rFonts w:hint="cs"/>
          <w:b/>
          <w:bCs/>
          <w:rtl/>
        </w:rPr>
        <w:t>توثيق القاعدة :</w:t>
      </w:r>
    </w:p>
    <w:p w:rsidR="00035BE3" w:rsidRDefault="00035BE3" w:rsidP="00F0471F">
      <w:pPr>
        <w:pStyle w:val="a6"/>
        <w:ind w:left="422" w:firstLine="0"/>
        <w:rPr>
          <w:rtl/>
        </w:rPr>
      </w:pPr>
      <w:r>
        <w:rPr>
          <w:rFonts w:hint="cs"/>
          <w:rtl/>
        </w:rPr>
        <w:t>وردت القاعدة بلفظ المؤلف أو نحوه في بعض كتب الفقه وقواعده :</w:t>
      </w:r>
    </w:p>
    <w:p w:rsidR="00035BE3" w:rsidRDefault="00035BE3" w:rsidP="00F0471F">
      <w:pPr>
        <w:pStyle w:val="a6"/>
        <w:ind w:left="422" w:firstLine="0"/>
        <w:rPr>
          <w:b/>
          <w:bCs/>
          <w:rtl/>
        </w:rPr>
      </w:pPr>
      <w:r>
        <w:rPr>
          <w:rFonts w:hint="cs"/>
          <w:b/>
          <w:bCs/>
          <w:rtl/>
        </w:rPr>
        <w:t>فمن كتب القواعد :</w:t>
      </w:r>
    </w:p>
    <w:p w:rsidR="00035BE3" w:rsidRDefault="00035BE3" w:rsidP="00F0471F">
      <w:pPr>
        <w:pStyle w:val="a6"/>
        <w:ind w:left="422" w:firstLine="0"/>
        <w:rPr>
          <w:spacing w:val="-6"/>
          <w:rtl/>
        </w:rPr>
      </w:pPr>
      <w:r>
        <w:rPr>
          <w:rFonts w:hint="cs"/>
          <w:spacing w:val="-6"/>
          <w:rtl/>
        </w:rPr>
        <w:t>مجامع الحقائق (الخاتمة)، ص47؛ شرح العلائي لقواعد الخادمي، ل41/أ-ب؛ منافع الدقائق، ص335.</w:t>
      </w:r>
    </w:p>
    <w:p w:rsidR="00035BE3" w:rsidRDefault="00035BE3" w:rsidP="00F0471F">
      <w:pPr>
        <w:pStyle w:val="a6"/>
        <w:ind w:left="422" w:firstLine="0"/>
        <w:rPr>
          <w:b/>
          <w:bCs/>
          <w:rtl/>
        </w:rPr>
      </w:pPr>
      <w:r>
        <w:rPr>
          <w:rFonts w:hint="cs"/>
          <w:b/>
          <w:bCs/>
          <w:rtl/>
        </w:rPr>
        <w:t>ومن كتب الفقه :</w:t>
      </w:r>
    </w:p>
    <w:p w:rsidR="00035BE3" w:rsidRDefault="00035BE3" w:rsidP="00F0471F">
      <w:pPr>
        <w:pStyle w:val="a6"/>
        <w:ind w:left="422" w:firstLine="0"/>
        <w:rPr>
          <w:rtl/>
        </w:rPr>
      </w:pPr>
      <w:r>
        <w:rPr>
          <w:rFonts w:hint="cs"/>
          <w:rtl/>
        </w:rPr>
        <w:t xml:space="preserve">تبيين الحقائق، 4 /291 - ولفظه : </w:t>
      </w:r>
      <w:r>
        <w:rPr>
          <w:rFonts w:hint="eastAsia"/>
          <w:rtl/>
        </w:rPr>
        <w:t>«</w:t>
      </w:r>
      <w:r>
        <w:rPr>
          <w:rFonts w:hint="cs"/>
          <w:rtl/>
        </w:rPr>
        <w:t xml:space="preserve">اليمين </w:t>
      </w:r>
      <w:r>
        <w:rPr>
          <w:rFonts w:hint="cs"/>
          <w:b/>
          <w:bCs/>
          <w:rtl/>
        </w:rPr>
        <w:t>تكون</w:t>
      </w:r>
      <w:r>
        <w:rPr>
          <w:rFonts w:hint="cs"/>
          <w:rtl/>
        </w:rPr>
        <w:t xml:space="preserve"> على النفي ليتحقق الإنكار ...</w:t>
      </w:r>
      <w:r>
        <w:rPr>
          <w:rFonts w:hint="eastAsia"/>
          <w:rtl/>
        </w:rPr>
        <w:t>»</w:t>
      </w:r>
      <w:r>
        <w:rPr>
          <w:rFonts w:hint="cs"/>
          <w:rtl/>
        </w:rPr>
        <w:t xml:space="preserve">؛ الدرر شرح الغرر، 2/329- ولفظه : </w:t>
      </w:r>
      <w:r>
        <w:rPr>
          <w:rFonts w:hint="eastAsia"/>
          <w:rtl/>
        </w:rPr>
        <w:t>«</w:t>
      </w:r>
      <w:r>
        <w:rPr>
          <w:rFonts w:hint="cs"/>
          <w:rtl/>
        </w:rPr>
        <w:t xml:space="preserve">اليمين أبدًا </w:t>
      </w:r>
      <w:r>
        <w:rPr>
          <w:rFonts w:hint="cs"/>
          <w:b/>
          <w:bCs/>
          <w:rtl/>
        </w:rPr>
        <w:t>تكون</w:t>
      </w:r>
      <w:r>
        <w:rPr>
          <w:rFonts w:hint="cs"/>
          <w:rtl/>
        </w:rPr>
        <w:t xml:space="preserve"> على النفي</w:t>
      </w:r>
      <w:r>
        <w:rPr>
          <w:rFonts w:hint="eastAsia"/>
          <w:rtl/>
        </w:rPr>
        <w:t>»</w:t>
      </w:r>
      <w:r>
        <w:rPr>
          <w:rFonts w:hint="cs"/>
          <w:rtl/>
        </w:rPr>
        <w:t xml:space="preserve">-؛ رد المحتار، 8/79، 11/538 - ولفظه الثاني كلفظ الدرر، أما الأول فهو : </w:t>
      </w:r>
      <w:r>
        <w:rPr>
          <w:rFonts w:hint="eastAsia"/>
          <w:rtl/>
        </w:rPr>
        <w:t>«</w:t>
      </w:r>
      <w:r>
        <w:rPr>
          <w:rFonts w:hint="cs"/>
          <w:rtl/>
        </w:rPr>
        <w:t xml:space="preserve">... إذا كان يمينًا لأنها </w:t>
      </w:r>
      <w:r>
        <w:rPr>
          <w:rFonts w:hint="cs"/>
          <w:b/>
          <w:bCs/>
          <w:rtl/>
        </w:rPr>
        <w:t>تكون</w:t>
      </w:r>
      <w:r>
        <w:rPr>
          <w:rFonts w:hint="cs"/>
          <w:rtl/>
        </w:rPr>
        <w:t xml:space="preserve"> على النفي</w:t>
      </w:r>
      <w:r>
        <w:rPr>
          <w:rFonts w:hint="eastAsia"/>
          <w:rtl/>
        </w:rPr>
        <w:t>»</w:t>
      </w:r>
      <w:r>
        <w:rPr>
          <w:rFonts w:hint="cs"/>
          <w:rtl/>
        </w:rPr>
        <w:t>.</w:t>
      </w:r>
    </w:p>
  </w:footnote>
  <w:footnote w:id="545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114/ب من (أ).</w:t>
      </w:r>
    </w:p>
  </w:footnote>
  <w:footnote w:id="545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يحلف</w:t>
      </w:r>
      <w:r>
        <w:rPr>
          <w:rFonts w:hint="eastAsia"/>
          <w:rtl/>
        </w:rPr>
        <w:t>»</w:t>
      </w:r>
      <w:r>
        <w:rPr>
          <w:rFonts w:hint="cs"/>
          <w:rtl/>
        </w:rPr>
        <w:t>.</w:t>
      </w:r>
    </w:p>
  </w:footnote>
  <w:footnote w:id="545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لمعنى</w:t>
      </w:r>
      <w:r>
        <w:rPr>
          <w:rFonts w:hint="eastAsia"/>
          <w:rtl/>
        </w:rPr>
        <w:t>»</w:t>
      </w:r>
      <w:r>
        <w:rPr>
          <w:rFonts w:hint="cs"/>
          <w:rtl/>
        </w:rPr>
        <w:t>.</w:t>
      </w:r>
    </w:p>
  </w:footnote>
  <w:footnote w:id="545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انظر : الدرر، 2/329؛ وانظر : تبيين الحقائق، 4/291؛ العناية، 8/156؛ ردّ المحتار، 11/538.</w:t>
      </w:r>
    </w:p>
  </w:footnote>
  <w:footnote w:id="545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زيادة  من مصدر هذه العبارة (وهو العناية).</w:t>
      </w:r>
    </w:p>
    <w:p w:rsidR="00035BE3" w:rsidRDefault="00035BE3" w:rsidP="00F0471F">
      <w:pPr>
        <w:pStyle w:val="a6"/>
        <w:ind w:left="422" w:firstLine="0"/>
        <w:rPr>
          <w:rtl/>
        </w:rPr>
      </w:pPr>
      <w:r>
        <w:rPr>
          <w:rFonts w:hint="cs"/>
          <w:rtl/>
        </w:rPr>
        <w:t xml:space="preserve">ولعل سبب هذا السقط من الأصل : أن الناسخ الأول عندما كتب : </w:t>
      </w:r>
      <w:r>
        <w:rPr>
          <w:rFonts w:hint="eastAsia"/>
          <w:rtl/>
        </w:rPr>
        <w:t>«</w:t>
      </w:r>
      <w:r>
        <w:rPr>
          <w:rFonts w:hint="cs"/>
          <w:rtl/>
        </w:rPr>
        <w:t xml:space="preserve">اشتراه </w:t>
      </w:r>
      <w:r>
        <w:rPr>
          <w:rFonts w:hint="cs"/>
          <w:b/>
          <w:bCs/>
          <w:rtl/>
        </w:rPr>
        <w:t>بمائة</w:t>
      </w:r>
      <w:r>
        <w:rPr>
          <w:rFonts w:hint="eastAsia"/>
          <w:rtl/>
        </w:rPr>
        <w:t>»</w:t>
      </w:r>
      <w:r>
        <w:rPr>
          <w:rFonts w:hint="cs"/>
          <w:rtl/>
        </w:rPr>
        <w:t xml:space="preserve"> انتقل نظره إلى </w:t>
      </w:r>
      <w:r>
        <w:rPr>
          <w:rFonts w:hint="eastAsia"/>
          <w:rtl/>
        </w:rPr>
        <w:t>«</w:t>
      </w:r>
      <w:r>
        <w:rPr>
          <w:rFonts w:hint="cs"/>
          <w:rtl/>
        </w:rPr>
        <w:t xml:space="preserve">باعه </w:t>
      </w:r>
      <w:r>
        <w:rPr>
          <w:rFonts w:hint="cs"/>
          <w:b/>
          <w:bCs/>
          <w:rtl/>
        </w:rPr>
        <w:t>بمائة</w:t>
      </w:r>
      <w:r>
        <w:rPr>
          <w:rFonts w:hint="eastAsia"/>
          <w:rtl/>
        </w:rPr>
        <w:t>»</w:t>
      </w:r>
      <w:r>
        <w:rPr>
          <w:rFonts w:hint="cs"/>
          <w:rtl/>
        </w:rPr>
        <w:t>؛ فكتب ما بعد الثانية مباشرة، ثم تابعه على ذلك بقيّة النسّاخ -والله أعلم-.</w:t>
      </w:r>
    </w:p>
  </w:footnote>
  <w:footnote w:id="545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العناية : </w:t>
      </w:r>
      <w:r>
        <w:rPr>
          <w:rFonts w:hint="eastAsia"/>
          <w:rtl/>
        </w:rPr>
        <w:t>«</w:t>
      </w:r>
      <w:r>
        <w:rPr>
          <w:rFonts w:hint="cs"/>
          <w:rtl/>
        </w:rPr>
        <w:t>أقام</w:t>
      </w:r>
      <w:r>
        <w:rPr>
          <w:rFonts w:hint="eastAsia"/>
          <w:rtl/>
        </w:rPr>
        <w:t>»</w:t>
      </w:r>
      <w:r>
        <w:rPr>
          <w:rFonts w:hint="cs"/>
          <w:rtl/>
        </w:rPr>
        <w:t>. وهذا الأفصح.</w:t>
      </w:r>
    </w:p>
  </w:footnote>
  <w:footnote w:id="545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بينته</w:t>
      </w:r>
      <w:r>
        <w:rPr>
          <w:rFonts w:hint="eastAsia"/>
          <w:rtl/>
        </w:rPr>
        <w:t>»</w:t>
      </w:r>
      <w:r>
        <w:rPr>
          <w:rFonts w:hint="cs"/>
          <w:rtl/>
        </w:rPr>
        <w:t>.</w:t>
      </w:r>
    </w:p>
  </w:footnote>
  <w:footnote w:id="5459">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83/أ من (جـ)، مع تكرار </w:t>
      </w:r>
      <w:r>
        <w:rPr>
          <w:rFonts w:hint="eastAsia"/>
          <w:rtl/>
        </w:rPr>
        <w:t>«</w:t>
      </w:r>
      <w:r>
        <w:rPr>
          <w:rFonts w:hint="cs"/>
          <w:rtl/>
        </w:rPr>
        <w:t>أولى</w:t>
      </w:r>
      <w:r>
        <w:rPr>
          <w:rFonts w:hint="eastAsia"/>
          <w:rtl/>
        </w:rPr>
        <w:t>»</w:t>
      </w:r>
      <w:r>
        <w:rPr>
          <w:rFonts w:hint="cs"/>
          <w:rtl/>
        </w:rPr>
        <w:t xml:space="preserve"> في بداية اللوحة التي تليها.</w:t>
      </w:r>
    </w:p>
  </w:footnote>
  <w:footnote w:id="546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فيرادّا</w:t>
      </w:r>
      <w:r>
        <w:rPr>
          <w:rFonts w:hint="eastAsia"/>
          <w:rtl/>
        </w:rPr>
        <w:t>»</w:t>
      </w:r>
      <w:r>
        <w:rPr>
          <w:rFonts w:hint="cs"/>
          <w:rtl/>
        </w:rPr>
        <w:t>.</w:t>
      </w:r>
    </w:p>
  </w:footnote>
  <w:footnote w:id="546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72/أ من (ب).</w:t>
      </w:r>
    </w:p>
  </w:footnote>
  <w:footnote w:id="546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يحلف</w:t>
      </w:r>
      <w:r>
        <w:rPr>
          <w:rFonts w:hint="eastAsia"/>
          <w:rtl/>
        </w:rPr>
        <w:t>»</w:t>
      </w:r>
      <w:r>
        <w:rPr>
          <w:rFonts w:hint="cs"/>
          <w:rtl/>
        </w:rPr>
        <w:t xml:space="preserve">. والصحيح ما تمَّ إثباته من (ب) و(جـ)، وهو الموافق للعناية، حيث جاء فيها: </w:t>
      </w:r>
      <w:r>
        <w:rPr>
          <w:rFonts w:hint="eastAsia"/>
          <w:rtl/>
        </w:rPr>
        <w:t>«</w:t>
      </w:r>
      <w:r>
        <w:rPr>
          <w:rFonts w:hint="cs"/>
          <w:rtl/>
        </w:rPr>
        <w:t>بحلفه؛ لأن ...</w:t>
      </w:r>
      <w:r>
        <w:rPr>
          <w:rFonts w:hint="eastAsia"/>
          <w:rtl/>
        </w:rPr>
        <w:t>»</w:t>
      </w:r>
      <w:r>
        <w:rPr>
          <w:rFonts w:hint="cs"/>
          <w:rtl/>
        </w:rPr>
        <w:t>.</w:t>
      </w:r>
    </w:p>
  </w:footnote>
  <w:footnote w:id="546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115/أ من (أ).</w:t>
      </w:r>
    </w:p>
  </w:footnote>
  <w:footnote w:id="546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فهذا</w:t>
      </w:r>
      <w:r>
        <w:rPr>
          <w:rFonts w:hint="eastAsia"/>
          <w:rtl/>
        </w:rPr>
        <w:t>»</w:t>
      </w:r>
      <w:r>
        <w:rPr>
          <w:rFonts w:hint="cs"/>
          <w:rtl/>
        </w:rPr>
        <w:t>.</w:t>
      </w:r>
    </w:p>
  </w:footnote>
  <w:footnote w:id="546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بقوله</w:t>
      </w:r>
      <w:r>
        <w:rPr>
          <w:rFonts w:hint="eastAsia"/>
          <w:rtl/>
        </w:rPr>
        <w:t>»</w:t>
      </w:r>
      <w:r>
        <w:rPr>
          <w:rFonts w:hint="cs"/>
          <w:rtl/>
        </w:rPr>
        <w:t>.</w:t>
      </w:r>
    </w:p>
  </w:footnote>
  <w:footnote w:id="546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اختلفا</w:t>
      </w:r>
      <w:r>
        <w:rPr>
          <w:rFonts w:hint="eastAsia"/>
          <w:rtl/>
        </w:rPr>
        <w:t>»</w:t>
      </w:r>
      <w:r>
        <w:rPr>
          <w:rFonts w:hint="cs"/>
          <w:rtl/>
        </w:rPr>
        <w:t>.</w:t>
      </w:r>
    </w:p>
  </w:footnote>
  <w:footnote w:id="546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بعينها</w:t>
      </w:r>
      <w:r>
        <w:rPr>
          <w:rFonts w:hint="eastAsia"/>
          <w:rtl/>
        </w:rPr>
        <w:t>»</w:t>
      </w:r>
      <w:r>
        <w:rPr>
          <w:rFonts w:hint="cs"/>
          <w:rtl/>
        </w:rPr>
        <w:t xml:space="preserve"> : ساقطة من (جـ).</w:t>
      </w:r>
    </w:p>
  </w:footnote>
  <w:footnote w:id="5468">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هذا الحديث بهذا اللفظ : لم أقف عليه فيما اطلعت عليه من كتب الحديث المسندة، إلا أنه يرد بهذا اللفظ أو نحوه بكثرة في كتب الفقه، كالهداية </w:t>
      </w:r>
      <w:r>
        <w:rPr>
          <w:rtl/>
        </w:rPr>
        <w:t>–</w:t>
      </w:r>
      <w:r>
        <w:rPr>
          <w:rFonts w:hint="cs"/>
          <w:rtl/>
        </w:rPr>
        <w:t xml:space="preserve">8/208-؛ والمغني </w:t>
      </w:r>
      <w:r>
        <w:rPr>
          <w:rtl/>
        </w:rPr>
        <w:t>–</w:t>
      </w:r>
      <w:r>
        <w:rPr>
          <w:rFonts w:hint="cs"/>
          <w:rtl/>
        </w:rPr>
        <w:t>6/279- وغيرهما.</w:t>
      </w:r>
    </w:p>
    <w:p w:rsidR="00035BE3" w:rsidRDefault="00035BE3" w:rsidP="00F0471F">
      <w:pPr>
        <w:pStyle w:val="a6"/>
        <w:ind w:left="422" w:firstLine="0"/>
        <w:rPr>
          <w:rtl/>
        </w:rPr>
      </w:pPr>
      <w:r>
        <w:rPr>
          <w:rFonts w:hint="cs"/>
          <w:rtl/>
        </w:rPr>
        <w:t xml:space="preserve">وقد أشار إلى ذلك الحافظ في التلخيص -3/31- فقال : </w:t>
      </w:r>
      <w:r>
        <w:rPr>
          <w:rFonts w:hint="eastAsia"/>
          <w:rtl/>
        </w:rPr>
        <w:t>«</w:t>
      </w:r>
      <w:r>
        <w:rPr>
          <w:rFonts w:hint="cs"/>
          <w:rtl/>
        </w:rPr>
        <w:t>أما رواية التحالف فاعترف الرافعي في (التذنيب) أنه لا ذِكر لها في شيء من كتب الحديث، وإنما توجد في كتب الفقه ...</w:t>
      </w:r>
      <w:r>
        <w:rPr>
          <w:rFonts w:hint="eastAsia"/>
          <w:rtl/>
        </w:rPr>
        <w:t>»</w:t>
      </w:r>
      <w:r>
        <w:rPr>
          <w:rFonts w:hint="cs"/>
          <w:rtl/>
        </w:rPr>
        <w:t>.</w:t>
      </w:r>
    </w:p>
    <w:p w:rsidR="00035BE3" w:rsidRDefault="00035BE3" w:rsidP="00F0471F">
      <w:pPr>
        <w:pStyle w:val="a6"/>
        <w:ind w:left="422" w:firstLine="0"/>
        <w:rPr>
          <w:rtl/>
        </w:rPr>
      </w:pPr>
      <w:r>
        <w:rPr>
          <w:rFonts w:hint="cs"/>
          <w:rtl/>
        </w:rPr>
        <w:t xml:space="preserve">والرواية المتداولة في كتب الحديث بدون لفظ : </w:t>
      </w:r>
      <w:r>
        <w:rPr>
          <w:rFonts w:hint="eastAsia"/>
          <w:rtl/>
        </w:rPr>
        <w:t>«</w:t>
      </w:r>
      <w:r>
        <w:rPr>
          <w:rFonts w:hint="cs"/>
          <w:rtl/>
        </w:rPr>
        <w:t>تحالفا</w:t>
      </w:r>
      <w:r>
        <w:rPr>
          <w:rFonts w:hint="eastAsia"/>
          <w:rtl/>
        </w:rPr>
        <w:t>»</w:t>
      </w:r>
      <w:r>
        <w:rPr>
          <w:rFonts w:hint="cs"/>
          <w:rtl/>
        </w:rPr>
        <w:t>؛ بل بتحليف البائع فقط، أو كون القول للبائع أو يترادّان، أو نحو ذلك :</w:t>
      </w:r>
    </w:p>
    <w:p w:rsidR="00035BE3" w:rsidRDefault="00035BE3" w:rsidP="00F0471F">
      <w:pPr>
        <w:pStyle w:val="a6"/>
        <w:ind w:left="422" w:firstLine="0"/>
        <w:rPr>
          <w:spacing w:val="6"/>
          <w:rtl/>
        </w:rPr>
      </w:pPr>
      <w:r>
        <w:rPr>
          <w:rFonts w:hint="cs"/>
          <w:spacing w:val="6"/>
          <w:rtl/>
        </w:rPr>
        <w:t xml:space="preserve">فقد أخرجه الإمام مالك في الموطأ، كتاب البيوع، باب بيع الخيار، 2/671، ونص الموطأ : </w:t>
      </w:r>
      <w:r>
        <w:rPr>
          <w:rFonts w:hint="eastAsia"/>
          <w:spacing w:val="6"/>
          <w:rtl/>
        </w:rPr>
        <w:t>«</w:t>
      </w:r>
      <w:r>
        <w:rPr>
          <w:rFonts w:hint="cs"/>
          <w:spacing w:val="6"/>
          <w:rtl/>
        </w:rPr>
        <w:t xml:space="preserve">حدثني مالك أنه بلغه أنَّ عبد الله بن مسعود كان يحدّث أن رسول الله </w:t>
      </w:r>
      <w:r>
        <w:rPr>
          <w:rFonts w:ascii="AGA Arabesque" w:hAnsi="AGA Arabesque"/>
          <w:spacing w:val="6"/>
          <w:sz w:val="36"/>
          <w:szCs w:val="36"/>
        </w:rPr>
        <w:t></w:t>
      </w:r>
      <w:r>
        <w:rPr>
          <w:rFonts w:hint="cs"/>
          <w:spacing w:val="6"/>
          <w:rtl/>
        </w:rPr>
        <w:t xml:space="preserve"> قال : </w:t>
      </w:r>
      <w:r>
        <w:rPr>
          <w:rFonts w:hint="eastAsia"/>
          <w:spacing w:val="6"/>
          <w:rtl/>
        </w:rPr>
        <w:t>«</w:t>
      </w:r>
      <w:r>
        <w:rPr>
          <w:rFonts w:hint="cs"/>
          <w:spacing w:val="6"/>
          <w:rtl/>
        </w:rPr>
        <w:t>أيـّما بيّعين تبايعا : فالقول ما قال البائع، أو يترادّان</w:t>
      </w:r>
      <w:r>
        <w:rPr>
          <w:rFonts w:hint="eastAsia"/>
          <w:spacing w:val="6"/>
          <w:rtl/>
        </w:rPr>
        <w:t>»</w:t>
      </w:r>
      <w:r>
        <w:rPr>
          <w:rFonts w:hint="cs"/>
          <w:spacing w:val="6"/>
          <w:rtl/>
        </w:rPr>
        <w:t xml:space="preserve">؛ والإمام أحمد، 7/445، ح4445، بسنده مرفوعًا : </w:t>
      </w:r>
      <w:r>
        <w:rPr>
          <w:rFonts w:hint="eastAsia"/>
          <w:spacing w:val="6"/>
          <w:rtl/>
        </w:rPr>
        <w:t>«</w:t>
      </w:r>
      <w:r>
        <w:rPr>
          <w:rFonts w:hint="cs"/>
          <w:spacing w:val="6"/>
          <w:rtl/>
        </w:rPr>
        <w:t>إذا اختلف البيّعان وليس بينهما بينة : فالقول ما يقول صاحب السلعة، أو يترادان</w:t>
      </w:r>
      <w:r>
        <w:rPr>
          <w:rFonts w:hint="eastAsia"/>
          <w:spacing w:val="6"/>
          <w:rtl/>
        </w:rPr>
        <w:t>»</w:t>
      </w:r>
      <w:r>
        <w:rPr>
          <w:rFonts w:hint="cs"/>
          <w:spacing w:val="6"/>
          <w:rtl/>
        </w:rPr>
        <w:t xml:space="preserve">؛ وأخرجه بنحو لفظه عند الإمام أحمد : الدارمي، كتاب البيوع، باب إذا اختلف الـمتبايعان، 2/325، ح2549؛ والترمذي، كتاب البيوع، باب ما جاء إذا اختلف البيعان، 3/570، ح1270؛ والنسائي في (المجتبى) بمعناه، كتاب البيوع، باب اختلاف المتبايعان في الثمن، 7/303، ح4649؛ والطبراني في الكبير بنحوه، 10/174، ح10365، والدارقطني بنحوه، كتاب البيوع، 3/20-21؛ والحاكم بمعناه، كتـاب البـيوع، 2/52؛ والبيهقي بنحوه، كتاب البيوع، باب اختلاف المتبايعان، 5/333- ولفظ البيهقي: </w:t>
      </w:r>
      <w:r>
        <w:rPr>
          <w:rFonts w:hint="eastAsia"/>
          <w:spacing w:val="6"/>
          <w:rtl/>
        </w:rPr>
        <w:t>«</w:t>
      </w:r>
      <w:r>
        <w:rPr>
          <w:rFonts w:hint="cs"/>
          <w:spacing w:val="6"/>
          <w:rtl/>
        </w:rPr>
        <w:t>إذا اختلف المتبايعان وليس بينهما شاهد : استُحلف البائع، ثم كان المبتاع بالخيار : إن شاء أخذ وإن شاء ترك</w:t>
      </w:r>
      <w:r>
        <w:rPr>
          <w:rFonts w:hint="eastAsia"/>
          <w:spacing w:val="6"/>
          <w:rtl/>
        </w:rPr>
        <w:t>»</w:t>
      </w:r>
      <w:r>
        <w:rPr>
          <w:rFonts w:hint="cs"/>
          <w:spacing w:val="6"/>
          <w:rtl/>
        </w:rPr>
        <w:t>.</w:t>
      </w:r>
    </w:p>
    <w:p w:rsidR="00035BE3" w:rsidRDefault="00035BE3" w:rsidP="00F0471F">
      <w:pPr>
        <w:pStyle w:val="a6"/>
        <w:ind w:left="422" w:firstLine="0"/>
        <w:rPr>
          <w:rtl/>
        </w:rPr>
      </w:pPr>
      <w:r>
        <w:rPr>
          <w:rFonts w:hint="cs"/>
          <w:rtl/>
        </w:rPr>
        <w:t xml:space="preserve">جميعهم من حديث عبد الله بن مسعود </w:t>
      </w:r>
      <w:r>
        <w:rPr>
          <w:rFonts w:ascii="AGA Arabesque" w:hAnsi="AGA Arabesque"/>
          <w:sz w:val="36"/>
          <w:szCs w:val="36"/>
          <w:lang w:val="en-US"/>
        </w:rPr>
        <w:t></w:t>
      </w:r>
      <w:r>
        <w:rPr>
          <w:rFonts w:hint="cs"/>
          <w:rtl/>
        </w:rPr>
        <w:t>.</w:t>
      </w:r>
    </w:p>
    <w:p w:rsidR="00035BE3" w:rsidRDefault="00035BE3" w:rsidP="00F0471F">
      <w:pPr>
        <w:pStyle w:val="a6"/>
        <w:ind w:left="-32" w:firstLine="454"/>
        <w:rPr>
          <w:rtl/>
        </w:rPr>
      </w:pPr>
      <w:r>
        <w:rPr>
          <w:rtl/>
        </w:rPr>
        <w:t>•</w:t>
      </w:r>
      <w:r>
        <w:rPr>
          <w:rFonts w:hint="cs"/>
          <w:rtl/>
        </w:rPr>
        <w:t xml:space="preserve"> وهذا الحديث قال عنه الحاكم : </w:t>
      </w:r>
      <w:r>
        <w:rPr>
          <w:rFonts w:hint="eastAsia"/>
          <w:rtl/>
        </w:rPr>
        <w:t>«</w:t>
      </w:r>
      <w:r>
        <w:rPr>
          <w:rFonts w:hint="cs"/>
          <w:rtl/>
        </w:rPr>
        <w:t>هذا حديث صحيح الإسناد ولم يخرجاه</w:t>
      </w:r>
      <w:r>
        <w:rPr>
          <w:rFonts w:hint="eastAsia"/>
          <w:rtl/>
        </w:rPr>
        <w:t>»</w:t>
      </w:r>
      <w:r>
        <w:rPr>
          <w:rFonts w:hint="cs"/>
          <w:rtl/>
        </w:rPr>
        <w:t>، ووافقه الذهبي.</w:t>
      </w:r>
    </w:p>
    <w:p w:rsidR="00035BE3" w:rsidRDefault="00035BE3" w:rsidP="00F0471F">
      <w:pPr>
        <w:pStyle w:val="a6"/>
        <w:ind w:left="422" w:firstLine="0"/>
        <w:rPr>
          <w:rtl/>
        </w:rPr>
      </w:pPr>
      <w:r>
        <w:rPr>
          <w:rtl/>
        </w:rPr>
        <w:t>•</w:t>
      </w:r>
      <w:r>
        <w:rPr>
          <w:rFonts w:hint="cs"/>
          <w:rtl/>
        </w:rPr>
        <w:t xml:space="preserve"> وقال البيهقي </w:t>
      </w:r>
      <w:r>
        <w:rPr>
          <w:rtl/>
        </w:rPr>
        <w:t>–</w:t>
      </w:r>
      <w:r>
        <w:rPr>
          <w:rFonts w:hint="cs"/>
          <w:rtl/>
        </w:rPr>
        <w:t xml:space="preserve"> بعد أن أورد الحديث بسنده- : </w:t>
      </w:r>
      <w:r>
        <w:rPr>
          <w:rFonts w:hint="eastAsia"/>
          <w:rtl/>
        </w:rPr>
        <w:t>«</w:t>
      </w:r>
      <w:r>
        <w:rPr>
          <w:rFonts w:hint="cs"/>
          <w:rtl/>
        </w:rPr>
        <w:t>هذا إسناد حسن موصولاً، وقد رُوي من أوجه بأسانيد مراسيل، إذا جُمع بينها صار الحديث بذلك قويًّا</w:t>
      </w:r>
      <w:r>
        <w:rPr>
          <w:rFonts w:hint="eastAsia"/>
          <w:rtl/>
        </w:rPr>
        <w:t>»</w:t>
      </w:r>
      <w:r>
        <w:rPr>
          <w:rFonts w:hint="cs"/>
          <w:rtl/>
        </w:rPr>
        <w:t>.</w:t>
      </w:r>
    </w:p>
    <w:p w:rsidR="00035BE3" w:rsidRDefault="00035BE3" w:rsidP="00F0471F">
      <w:pPr>
        <w:pStyle w:val="a6"/>
        <w:ind w:left="422" w:firstLine="0"/>
        <w:rPr>
          <w:rtl/>
        </w:rPr>
      </w:pPr>
      <w:r>
        <w:rPr>
          <w:rtl/>
        </w:rPr>
        <w:t>•</w:t>
      </w:r>
      <w:r>
        <w:rPr>
          <w:rFonts w:hint="cs"/>
          <w:rtl/>
        </w:rPr>
        <w:t xml:space="preserve"> وقال الترمذي عن السند الذي أورد به الحديث : </w:t>
      </w:r>
      <w:r>
        <w:rPr>
          <w:rFonts w:hint="eastAsia"/>
          <w:rtl/>
        </w:rPr>
        <w:t>«</w:t>
      </w:r>
      <w:r>
        <w:rPr>
          <w:rFonts w:hint="cs"/>
          <w:rtl/>
        </w:rPr>
        <w:t>هذا حديث مرسل، فإن عون بن عبد الله لم يدرك ابن مسعود</w:t>
      </w:r>
      <w:r>
        <w:rPr>
          <w:rFonts w:hint="eastAsia"/>
          <w:rtl/>
        </w:rPr>
        <w:t>»</w:t>
      </w:r>
      <w:r>
        <w:rPr>
          <w:rFonts w:hint="cs"/>
          <w:rtl/>
        </w:rPr>
        <w:t>.</w:t>
      </w:r>
    </w:p>
    <w:p w:rsidR="00035BE3" w:rsidRDefault="00035BE3" w:rsidP="00F0471F">
      <w:pPr>
        <w:pStyle w:val="a6"/>
        <w:ind w:left="422" w:firstLine="0"/>
        <w:rPr>
          <w:rtl/>
        </w:rPr>
      </w:pPr>
      <w:r>
        <w:rPr>
          <w:rtl/>
        </w:rPr>
        <w:t>•</w:t>
      </w:r>
      <w:r>
        <w:rPr>
          <w:rFonts w:hint="cs"/>
          <w:rtl/>
        </w:rPr>
        <w:t xml:space="preserve"> وقد نقل صاحب (نصب الراية) عن (التنقيح) أنه قال : </w:t>
      </w:r>
      <w:r>
        <w:rPr>
          <w:rFonts w:hint="eastAsia"/>
          <w:rtl/>
        </w:rPr>
        <w:t>«</w:t>
      </w:r>
      <w:r>
        <w:rPr>
          <w:rFonts w:hint="cs"/>
          <w:rtl/>
        </w:rPr>
        <w:t>والذي يظهر أن حديث ابن مسعود بمجموع طرقه له أصل؛ بل هو حديث حسن يحتج به، لكن في لفظه اختلاف</w:t>
      </w:r>
      <w:r>
        <w:rPr>
          <w:rFonts w:hint="eastAsia"/>
          <w:rtl/>
        </w:rPr>
        <w:t>»</w:t>
      </w:r>
      <w:r>
        <w:rPr>
          <w:rFonts w:hint="cs"/>
          <w:rtl/>
        </w:rPr>
        <w:t xml:space="preserve">.                    </w:t>
      </w:r>
    </w:p>
    <w:p w:rsidR="00035BE3" w:rsidRDefault="00035BE3" w:rsidP="00F0471F">
      <w:pPr>
        <w:pStyle w:val="a6"/>
        <w:ind w:left="422" w:firstLine="0"/>
        <w:rPr>
          <w:rtl/>
        </w:rPr>
      </w:pPr>
      <w:r>
        <w:rPr>
          <w:rtl/>
        </w:rPr>
        <w:t>•</w:t>
      </w:r>
      <w:r>
        <w:rPr>
          <w:rFonts w:hint="cs"/>
          <w:rtl/>
        </w:rPr>
        <w:t xml:space="preserve"> وقال الألباني في نهاية كلامه عنه : </w:t>
      </w:r>
      <w:r>
        <w:rPr>
          <w:rFonts w:hint="eastAsia"/>
          <w:rtl/>
        </w:rPr>
        <w:t>«</w:t>
      </w:r>
      <w:r>
        <w:rPr>
          <w:rFonts w:hint="cs"/>
          <w:rtl/>
        </w:rPr>
        <w:t>وجملة القول : أن الحديث صحيح قطعًا، فإن بعض طرقه صحيحة، وبعضهما حسن، والأخرى مما يعتضد به</w:t>
      </w:r>
      <w:r>
        <w:rPr>
          <w:rFonts w:hint="eastAsia"/>
          <w:rtl/>
        </w:rPr>
        <w:t>»</w:t>
      </w:r>
      <w:r>
        <w:rPr>
          <w:rFonts w:hint="cs"/>
          <w:rtl/>
        </w:rPr>
        <w:t>.</w:t>
      </w:r>
    </w:p>
    <w:p w:rsidR="00035BE3" w:rsidRDefault="00035BE3" w:rsidP="00F0471F">
      <w:pPr>
        <w:pStyle w:val="a6"/>
        <w:ind w:left="422" w:firstLine="0"/>
        <w:rPr>
          <w:spacing w:val="4"/>
          <w:rtl/>
        </w:rPr>
      </w:pPr>
      <w:r>
        <w:rPr>
          <w:rFonts w:hint="cs"/>
          <w:spacing w:val="4"/>
          <w:rtl/>
        </w:rPr>
        <w:t>وللتوسع انظر : نصب الراية، 4/105-107؛ الدراية، 2/177؛ تلخيص الحبير، 3/32؛ إرواء الغليل، 5/166، ح1322؛ سلسلة الأحاديث الصحيحة، 2/448، ح798.</w:t>
      </w:r>
    </w:p>
  </w:footnote>
  <w:footnote w:id="5469">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68/ب من (د).</w:t>
      </w:r>
    </w:p>
  </w:footnote>
  <w:footnote w:id="5470">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موزده</w:t>
      </w:r>
      <w:r>
        <w:rPr>
          <w:rFonts w:hint="eastAsia"/>
          <w:rtl/>
        </w:rPr>
        <w:t>»</w:t>
      </w:r>
      <w:r>
        <w:rPr>
          <w:rFonts w:hint="cs"/>
          <w:rtl/>
        </w:rPr>
        <w:t>.</w:t>
      </w:r>
    </w:p>
  </w:footnote>
  <w:footnote w:id="5471">
    <w:p w:rsidR="00035BE3" w:rsidRDefault="00035BE3" w:rsidP="00F0471F">
      <w:pPr>
        <w:pStyle w:val="a8"/>
        <w:bidi/>
        <w:spacing w:line="520" w:lineRule="exact"/>
        <w:ind w:left="422" w:right="0"/>
        <w:rPr>
          <w:spacing w:val="8"/>
          <w:rtl/>
        </w:rPr>
      </w:pPr>
      <w:r>
        <w:rPr>
          <w:rFonts w:hint="cs"/>
          <w:spacing w:val="8"/>
          <w:vertAlign w:val="superscript"/>
          <w:rtl/>
        </w:rPr>
        <w:t>(</w:t>
      </w:r>
      <w:r>
        <w:rPr>
          <w:rStyle w:val="a7"/>
          <w:spacing w:val="8"/>
        </w:rPr>
        <w:footnoteRef/>
      </w:r>
      <w:r>
        <w:rPr>
          <w:rFonts w:hint="cs"/>
          <w:spacing w:val="8"/>
          <w:vertAlign w:val="superscript"/>
          <w:rtl/>
        </w:rPr>
        <w:t>)</w:t>
      </w:r>
      <w:r>
        <w:rPr>
          <w:rFonts w:hint="cs"/>
          <w:spacing w:val="8"/>
          <w:rtl/>
        </w:rPr>
        <w:t xml:space="preserve">  انظر ما جاء في اختلاف المتبايعان في : العناية، 8/205-208؛ وانظر أصل المثال في : الدرر شرح الغرر، 2/339.</w:t>
      </w:r>
    </w:p>
    <w:p w:rsidR="00035BE3" w:rsidRDefault="00035BE3" w:rsidP="00F0471F">
      <w:pPr>
        <w:pStyle w:val="a6"/>
        <w:spacing w:line="520" w:lineRule="exact"/>
        <w:ind w:left="422" w:firstLine="0"/>
        <w:rPr>
          <w:rtl/>
        </w:rPr>
      </w:pPr>
      <w:r>
        <w:rPr>
          <w:rFonts w:hint="cs"/>
          <w:rtl/>
        </w:rPr>
        <w:t xml:space="preserve">وما بني عليه هذا الجواب (وهو كون </w:t>
      </w:r>
      <w:r>
        <w:rPr>
          <w:rFonts w:hint="eastAsia"/>
          <w:rtl/>
        </w:rPr>
        <w:t>«</w:t>
      </w:r>
      <w:r>
        <w:rPr>
          <w:rFonts w:hint="cs"/>
          <w:rtl/>
        </w:rPr>
        <w:t>ما ثبت على خلاف القياس فغيره عليه لا ينقاس</w:t>
      </w:r>
      <w:r>
        <w:rPr>
          <w:rFonts w:hint="eastAsia"/>
          <w:rtl/>
        </w:rPr>
        <w:t>»</w:t>
      </w:r>
      <w:r>
        <w:rPr>
          <w:rFonts w:hint="cs"/>
          <w:rtl/>
        </w:rPr>
        <w:t>) ممّا تحدّث عنه المؤلف استقلالاً، وذلك ص1030 (ل93/ب)، قاعدة 221.</w:t>
      </w:r>
    </w:p>
  </w:footnote>
  <w:footnote w:id="5472">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وأورده</w:t>
      </w:r>
      <w:r>
        <w:rPr>
          <w:rFonts w:hint="eastAsia"/>
          <w:rtl/>
        </w:rPr>
        <w:t>»</w:t>
      </w:r>
      <w:r>
        <w:rPr>
          <w:rFonts w:hint="cs"/>
          <w:rtl/>
        </w:rPr>
        <w:t>.</w:t>
      </w:r>
    </w:p>
  </w:footnote>
  <w:footnote w:id="5473">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وهو حديث : </w:t>
      </w:r>
      <w:r>
        <w:rPr>
          <w:rFonts w:hint="eastAsia"/>
          <w:rtl/>
        </w:rPr>
        <w:t>«</w:t>
      </w:r>
      <w:r>
        <w:rPr>
          <w:rFonts w:hint="cs"/>
          <w:rtl/>
        </w:rPr>
        <w:t xml:space="preserve"> </w:t>
      </w:r>
      <w:r>
        <w:rPr>
          <w:rFonts w:cs="DecoType Naskh" w:hint="cs"/>
          <w:rtl/>
        </w:rPr>
        <w:t>البينة على المدعي، واليمين على من أنكـر</w:t>
      </w:r>
      <w:r>
        <w:rPr>
          <w:rFonts w:cs="Al-Kharashi 62" w:hint="cs"/>
          <w:rtl/>
        </w:rPr>
        <w:t xml:space="preserve"> </w:t>
      </w:r>
      <w:r>
        <w:rPr>
          <w:rFonts w:hint="eastAsia"/>
          <w:rtl/>
        </w:rPr>
        <w:t>»</w:t>
      </w:r>
      <w:r>
        <w:rPr>
          <w:rFonts w:hint="cs"/>
          <w:rtl/>
        </w:rPr>
        <w:t>.</w:t>
      </w:r>
    </w:p>
  </w:footnote>
  <w:footnote w:id="5474">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قوله : </w:t>
      </w:r>
      <w:r>
        <w:rPr>
          <w:rFonts w:hint="eastAsia"/>
          <w:rtl/>
        </w:rPr>
        <w:t>«</w:t>
      </w:r>
      <w:r>
        <w:rPr>
          <w:rFonts w:hint="cs"/>
          <w:rtl/>
        </w:rPr>
        <w:t>وإن كان فكذلك</w:t>
      </w:r>
      <w:r>
        <w:rPr>
          <w:rFonts w:hint="eastAsia"/>
          <w:rtl/>
        </w:rPr>
        <w:t>»</w:t>
      </w:r>
      <w:r>
        <w:rPr>
          <w:rFonts w:hint="cs"/>
          <w:rtl/>
        </w:rPr>
        <w:t xml:space="preserve"> معناه : وإن كان مشهورًا فكذلك هو مرجوح؛ لعموم ...</w:t>
      </w:r>
    </w:p>
  </w:footnote>
  <w:footnote w:id="5475">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العناية، 8/209؛ وقد نقله عنه صاحب نتائج الافكار، 8/208.</w:t>
      </w:r>
    </w:p>
  </w:footnote>
  <w:footnote w:id="5476">
    <w:p w:rsidR="00035BE3" w:rsidRDefault="00035BE3" w:rsidP="00F0471F">
      <w:pPr>
        <w:pStyle w:val="a8"/>
        <w:bidi/>
        <w:spacing w:line="52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 </w:t>
      </w:r>
      <w:r>
        <w:rPr>
          <w:rFonts w:hint="eastAsia"/>
          <w:spacing w:val="6"/>
          <w:rtl/>
        </w:rPr>
        <w:t>«</w:t>
      </w:r>
      <w:r>
        <w:rPr>
          <w:rFonts w:hint="cs"/>
          <w:spacing w:val="6"/>
          <w:rtl/>
        </w:rPr>
        <w:t>ولم نجيب</w:t>
      </w:r>
      <w:r>
        <w:rPr>
          <w:rFonts w:hint="eastAsia"/>
          <w:spacing w:val="6"/>
          <w:rtl/>
        </w:rPr>
        <w:t>»</w:t>
      </w:r>
      <w:r>
        <w:rPr>
          <w:rFonts w:hint="cs"/>
          <w:spacing w:val="6"/>
          <w:rtl/>
        </w:rPr>
        <w:t xml:space="preserve">، وفي (ب) : </w:t>
      </w:r>
      <w:r>
        <w:rPr>
          <w:rFonts w:hint="eastAsia"/>
          <w:spacing w:val="6"/>
          <w:rtl/>
        </w:rPr>
        <w:t>«</w:t>
      </w:r>
      <w:r>
        <w:rPr>
          <w:rFonts w:hint="cs"/>
          <w:spacing w:val="6"/>
          <w:rtl/>
        </w:rPr>
        <w:t>ولا يجب</w:t>
      </w:r>
      <w:r>
        <w:rPr>
          <w:rFonts w:hint="eastAsia"/>
          <w:spacing w:val="6"/>
          <w:rtl/>
        </w:rPr>
        <w:t>»</w:t>
      </w:r>
      <w:r>
        <w:rPr>
          <w:rFonts w:hint="cs"/>
          <w:spacing w:val="6"/>
          <w:rtl/>
        </w:rPr>
        <w:t xml:space="preserve">، وفي (د) : </w:t>
      </w:r>
      <w:r>
        <w:rPr>
          <w:rFonts w:hint="eastAsia"/>
          <w:spacing w:val="6"/>
          <w:rtl/>
        </w:rPr>
        <w:t>«</w:t>
      </w:r>
      <w:r>
        <w:rPr>
          <w:rFonts w:hint="cs"/>
          <w:spacing w:val="6"/>
          <w:rtl/>
        </w:rPr>
        <w:t>ولم يجيب</w:t>
      </w:r>
      <w:r>
        <w:rPr>
          <w:rFonts w:hint="eastAsia"/>
          <w:spacing w:val="6"/>
          <w:rtl/>
        </w:rPr>
        <w:t>»</w:t>
      </w:r>
      <w:r>
        <w:rPr>
          <w:rFonts w:hint="cs"/>
          <w:spacing w:val="6"/>
          <w:rtl/>
        </w:rPr>
        <w:t>. والـصحيـح ما تمَّ إثباته من (جـ).</w:t>
      </w:r>
    </w:p>
  </w:footnote>
  <w:footnote w:id="5477">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لم يجب صاحب (العناية) عن هذا الاعتراض.</w:t>
      </w:r>
    </w:p>
  </w:footnote>
  <w:footnote w:id="5478">
    <w:p w:rsidR="00035BE3" w:rsidRDefault="00035BE3" w:rsidP="00F0471F">
      <w:pPr>
        <w:pStyle w:val="a8"/>
        <w:bidi/>
        <w:spacing w:line="520" w:lineRule="exact"/>
        <w:ind w:left="422" w:right="0"/>
        <w:rPr>
          <w:spacing w:val="6"/>
          <w:rtl/>
        </w:rPr>
      </w:pPr>
      <w:r>
        <w:rPr>
          <w:rFonts w:hint="cs"/>
          <w:spacing w:val="6"/>
          <w:vertAlign w:val="superscript"/>
          <w:rtl/>
        </w:rPr>
        <w:t>(</w:t>
      </w:r>
      <w:r>
        <w:rPr>
          <w:rStyle w:val="a7"/>
          <w:spacing w:val="6"/>
        </w:rPr>
        <w:footnoteRef/>
      </w:r>
      <w:r>
        <w:rPr>
          <w:rFonts w:hint="cs"/>
          <w:spacing w:val="6"/>
          <w:vertAlign w:val="superscript"/>
          <w:rtl/>
        </w:rPr>
        <w:t>)</w:t>
      </w:r>
      <w:r>
        <w:rPr>
          <w:rFonts w:hint="cs"/>
          <w:spacing w:val="6"/>
          <w:rtl/>
        </w:rPr>
        <w:t xml:space="preserve">  في (أ) و(جـ) و(د): </w:t>
      </w:r>
      <w:r>
        <w:rPr>
          <w:rFonts w:hint="eastAsia"/>
          <w:spacing w:val="6"/>
          <w:rtl/>
        </w:rPr>
        <w:t>«</w:t>
      </w:r>
      <w:r>
        <w:rPr>
          <w:rFonts w:hint="cs"/>
          <w:spacing w:val="6"/>
          <w:rtl/>
        </w:rPr>
        <w:t>للمـدّعـى</w:t>
      </w:r>
      <w:r>
        <w:rPr>
          <w:rFonts w:hint="eastAsia"/>
          <w:spacing w:val="6"/>
          <w:rtl/>
        </w:rPr>
        <w:t>»</w:t>
      </w:r>
      <w:r>
        <w:rPr>
          <w:rFonts w:hint="cs"/>
          <w:spacing w:val="6"/>
          <w:rtl/>
        </w:rPr>
        <w:t>. والصـحيـح ما تـمَّ إثـبـاته من (ب)؛ وفاقًا للفظ الحديث.</w:t>
      </w:r>
    </w:p>
  </w:footnote>
  <w:footnote w:id="5479">
    <w:p w:rsidR="00035BE3" w:rsidRDefault="00035BE3" w:rsidP="00F0471F">
      <w:pPr>
        <w:pStyle w:val="a8"/>
        <w:bidi/>
        <w:spacing w:line="52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سبق تخريجه، ص367.</w:t>
      </w:r>
    </w:p>
  </w:footnote>
  <w:footnote w:id="548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يمين المشتري فقط أو يمين البائع فقط حجة للدفع والخصومة، ويمين المشتري والبائع جميعًا حجة للاستحقاق، والاستحقاق إذا وُجد وجد التحالف</w:t>
      </w:r>
      <w:r>
        <w:rPr>
          <w:rFonts w:hint="eastAsia"/>
          <w:rtl/>
        </w:rPr>
        <w:t>»</w:t>
      </w:r>
      <w:r>
        <w:rPr>
          <w:rFonts w:hint="cs"/>
          <w:rtl/>
        </w:rPr>
        <w:t>.</w:t>
      </w:r>
    </w:p>
  </w:footnote>
  <w:footnote w:id="5481">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زيادة من (جـ). ولا يستقيم المعنى بدونها، وهي مثبتة في (هـ) و(و)، إلا أنها مصدّرة بكلمة (وهي) وليس : (وفي).</w:t>
      </w:r>
    </w:p>
  </w:footnote>
  <w:footnote w:id="5482">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هامش (أ) : </w:t>
      </w:r>
      <w:r>
        <w:rPr>
          <w:rFonts w:hint="eastAsia"/>
          <w:rtl/>
        </w:rPr>
        <w:t>«</w:t>
      </w:r>
      <w:r>
        <w:rPr>
          <w:rFonts w:hint="cs"/>
          <w:rtl/>
        </w:rPr>
        <w:t>متعلق بالدفع</w:t>
      </w:r>
      <w:r>
        <w:rPr>
          <w:rFonts w:hint="eastAsia"/>
          <w:rtl/>
        </w:rPr>
        <w:t>»</w:t>
      </w:r>
      <w:r>
        <w:rPr>
          <w:rFonts w:hint="cs"/>
          <w:rtl/>
        </w:rPr>
        <w:t>.</w:t>
      </w:r>
    </w:p>
  </w:footnote>
  <w:footnote w:id="5483">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و(جـ) : </w:t>
      </w:r>
      <w:r>
        <w:rPr>
          <w:rFonts w:hint="eastAsia"/>
          <w:rtl/>
        </w:rPr>
        <w:t>«</w:t>
      </w:r>
      <w:r>
        <w:rPr>
          <w:rFonts w:hint="cs"/>
          <w:rtl/>
        </w:rPr>
        <w:t>التأمل</w:t>
      </w:r>
      <w:r>
        <w:rPr>
          <w:rFonts w:hint="eastAsia"/>
          <w:rtl/>
        </w:rPr>
        <w:t>»</w:t>
      </w:r>
      <w:r>
        <w:rPr>
          <w:rFonts w:hint="cs"/>
          <w:rtl/>
        </w:rPr>
        <w:t>. والصحيح ما تمَّ إثباته من (ب) و(د).</w:t>
      </w:r>
    </w:p>
  </w:footnote>
  <w:footnote w:id="5484">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الجواب</w:t>
      </w:r>
      <w:r>
        <w:rPr>
          <w:rFonts w:hint="eastAsia"/>
          <w:rtl/>
        </w:rPr>
        <w:t>»</w:t>
      </w:r>
      <w:r>
        <w:rPr>
          <w:rFonts w:hint="cs"/>
          <w:rtl/>
        </w:rPr>
        <w:t>.</w:t>
      </w:r>
    </w:p>
  </w:footnote>
  <w:footnote w:id="5485">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و(د) : </w:t>
      </w:r>
      <w:r>
        <w:rPr>
          <w:rFonts w:hint="eastAsia"/>
          <w:rtl/>
        </w:rPr>
        <w:t>«</w:t>
      </w:r>
      <w:r>
        <w:rPr>
          <w:rFonts w:hint="cs"/>
          <w:rtl/>
        </w:rPr>
        <w:t>رآه</w:t>
      </w:r>
      <w:r>
        <w:rPr>
          <w:rFonts w:hint="eastAsia"/>
          <w:rtl/>
        </w:rPr>
        <w:t>»</w:t>
      </w:r>
      <w:r>
        <w:rPr>
          <w:rFonts w:hint="cs"/>
          <w:rtl/>
        </w:rPr>
        <w:t>. والصحيح ما تمَّ إثباته من (ب) و(جـ).</w:t>
      </w:r>
    </w:p>
  </w:footnote>
  <w:footnote w:id="5486">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وهناك جواب آخر ذكره صاحب نتائج الأفكار، 8/208، فراجعه إن شئت.</w:t>
      </w:r>
    </w:p>
  </w:footnote>
  <w:footnote w:id="5487">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rtl/>
        </w:rPr>
        <w:t>توضيح القاعدة</w:t>
      </w:r>
      <w:r>
        <w:rPr>
          <w:rFonts w:hint="cs"/>
          <w:rtl/>
        </w:rPr>
        <w:t xml:space="preserve"> :</w:t>
      </w:r>
    </w:p>
    <w:p w:rsidR="00035BE3" w:rsidRDefault="00035BE3" w:rsidP="00F0471F">
      <w:pPr>
        <w:pStyle w:val="a6"/>
        <w:ind w:left="422" w:hanging="454"/>
        <w:rPr>
          <w:rtl/>
        </w:rPr>
      </w:pPr>
      <w:r>
        <w:rPr>
          <w:rFonts w:hint="cs"/>
          <w:rtl/>
        </w:rPr>
        <w:tab/>
        <w:t>هذه القاعدة فسَّرها المؤلف بالمثال، كما نقل تفسير صاحب (الدّرر) لها وأبدى وجهة نظره في ذلك.</w:t>
      </w:r>
    </w:p>
    <w:p w:rsidR="00035BE3" w:rsidRDefault="00035BE3" w:rsidP="00F0471F">
      <w:pPr>
        <w:pStyle w:val="a6"/>
        <w:ind w:left="422" w:hanging="454"/>
        <w:rPr>
          <w:spacing w:val="-4"/>
          <w:rtl/>
        </w:rPr>
      </w:pPr>
      <w:r>
        <w:rPr>
          <w:rFonts w:hint="cs"/>
          <w:spacing w:val="-4"/>
          <w:rtl/>
        </w:rPr>
        <w:tab/>
        <w:t xml:space="preserve">ويضاف إلى ذلك: أن صاحب (ردّ المحتار) -8/91- عقد لها مطلبًا مستقلاً، بدأه بتفسير الشّق الأول من القاعدة فقال: </w:t>
      </w:r>
      <w:r>
        <w:rPr>
          <w:rFonts w:hint="eastAsia"/>
          <w:spacing w:val="-4"/>
          <w:rtl/>
        </w:rPr>
        <w:t>«</w:t>
      </w:r>
      <w:r>
        <w:rPr>
          <w:rFonts w:hint="cs"/>
          <w:spacing w:val="-4"/>
          <w:rtl/>
        </w:rPr>
        <w:t>قوله : (يوم الموت لا يدخل تحت القضاء) أي : لا يُقضَى به قصدًا؛ بأن تنازع الخصمان في يوم موتِ آخرٍ أنه كان في يوم كذا. بخلاف ما إذا كان المقصود غَيْرَهُ؛ كتقديم ملك أحدهما</w:t>
      </w:r>
      <w:r>
        <w:rPr>
          <w:rFonts w:hint="eastAsia"/>
          <w:spacing w:val="-4"/>
          <w:rtl/>
        </w:rPr>
        <w:t>»</w:t>
      </w:r>
      <w:r>
        <w:rPr>
          <w:rFonts w:hint="cs"/>
          <w:spacing w:val="-4"/>
          <w:rtl/>
        </w:rPr>
        <w:t>.</w:t>
      </w:r>
    </w:p>
    <w:p w:rsidR="00035BE3" w:rsidRDefault="00035BE3" w:rsidP="00F0471F">
      <w:pPr>
        <w:pStyle w:val="a6"/>
        <w:ind w:left="422" w:hanging="454"/>
        <w:rPr>
          <w:rtl/>
        </w:rPr>
      </w:pPr>
      <w:r>
        <w:rPr>
          <w:rFonts w:hint="cs"/>
          <w:rtl/>
        </w:rPr>
        <w:tab/>
        <w:t xml:space="preserve">وقد بيّن صاحبُ (الدرر) -2/409- سرّ هذا الأصل فقال : </w:t>
      </w:r>
      <w:r>
        <w:rPr>
          <w:rFonts w:hint="eastAsia"/>
          <w:rtl/>
        </w:rPr>
        <w:t>«</w:t>
      </w:r>
      <w:r>
        <w:rPr>
          <w:rFonts w:hint="cs"/>
          <w:rtl/>
        </w:rPr>
        <w:t>وسرّه : أن القضاء بالبينة عبارة عن رفع النزاع، والموت من حيث إنه موت ليس محلاًّ للنزاع ليرتفع بإثباته. بخلاف القتل، فإنه من حيث هو هو محلٌّ للنزاع كما لا يخفى</w:t>
      </w:r>
      <w:r>
        <w:rPr>
          <w:rFonts w:hint="eastAsia"/>
          <w:rtl/>
        </w:rPr>
        <w:t>»</w:t>
      </w:r>
      <w:r>
        <w:rPr>
          <w:rFonts w:hint="cs"/>
          <w:rtl/>
        </w:rPr>
        <w:t>.</w:t>
      </w:r>
    </w:p>
    <w:p w:rsidR="00035BE3" w:rsidRDefault="00035BE3" w:rsidP="00F0471F">
      <w:pPr>
        <w:pStyle w:val="a6"/>
        <w:ind w:left="422" w:hanging="454"/>
        <w:rPr>
          <w:rtl/>
        </w:rPr>
      </w:pPr>
      <w:r>
        <w:rPr>
          <w:rFonts w:hint="cs"/>
          <w:rtl/>
        </w:rPr>
        <w:tab/>
        <w:t>وهذا السّر أورده أيضًا صاحب (غمز عيون البصائر)، 2/322، نقلاً عن (الدرر).</w:t>
      </w:r>
    </w:p>
    <w:p w:rsidR="00035BE3" w:rsidRDefault="00035BE3" w:rsidP="00F0471F">
      <w:pPr>
        <w:pStyle w:val="a6"/>
        <w:spacing w:line="228" w:lineRule="auto"/>
        <w:ind w:left="422" w:hanging="454"/>
        <w:rPr>
          <w:b/>
          <w:bCs/>
          <w:rtl/>
        </w:rPr>
      </w:pPr>
      <w:r>
        <w:rPr>
          <w:rFonts w:hint="cs"/>
          <w:b/>
          <w:bCs/>
          <w:rtl/>
        </w:rPr>
        <w:tab/>
        <w:t>توثيق القاعدة :</w:t>
      </w:r>
    </w:p>
    <w:p w:rsidR="00035BE3" w:rsidRDefault="00035BE3" w:rsidP="00F0471F">
      <w:pPr>
        <w:pStyle w:val="a6"/>
        <w:spacing w:line="228" w:lineRule="auto"/>
        <w:ind w:left="422" w:hanging="454"/>
        <w:rPr>
          <w:rtl/>
        </w:rPr>
      </w:pPr>
      <w:r>
        <w:rPr>
          <w:rFonts w:hint="cs"/>
          <w:rtl/>
        </w:rPr>
        <w:tab/>
        <w:t>وردت هذه القاعدة بلفظها أو بشقّها الأول في كثير من كتب الفقه الحنفي وقواعده :</w:t>
      </w:r>
    </w:p>
    <w:p w:rsidR="00035BE3" w:rsidRDefault="00035BE3" w:rsidP="00F0471F">
      <w:pPr>
        <w:pStyle w:val="a6"/>
        <w:spacing w:line="228" w:lineRule="auto"/>
        <w:ind w:left="422" w:hanging="454"/>
        <w:rPr>
          <w:b/>
          <w:bCs/>
          <w:rtl/>
        </w:rPr>
      </w:pPr>
      <w:r>
        <w:rPr>
          <w:rFonts w:hint="cs"/>
          <w:b/>
          <w:bCs/>
          <w:rtl/>
        </w:rPr>
        <w:tab/>
        <w:t>فمن كتب القواعد :</w:t>
      </w:r>
    </w:p>
    <w:p w:rsidR="00035BE3" w:rsidRDefault="00035BE3" w:rsidP="00F0471F">
      <w:pPr>
        <w:pStyle w:val="a6"/>
        <w:spacing w:line="228" w:lineRule="auto"/>
        <w:ind w:left="422" w:hanging="454"/>
        <w:rPr>
          <w:rtl/>
        </w:rPr>
      </w:pPr>
      <w:r>
        <w:rPr>
          <w:rFonts w:hint="cs"/>
          <w:rtl/>
        </w:rPr>
        <w:tab/>
        <w:t>الأشباه لابن نجيم، ص249؛ قواعد الفقه له أيضًا، ص163، قاعدة 200؛ الفوائد الزينية، ص45، فقرة23؛ غمز عيون البصائر، 2/322.</w:t>
      </w:r>
    </w:p>
    <w:p w:rsidR="00035BE3" w:rsidRDefault="00035BE3" w:rsidP="00F0471F">
      <w:pPr>
        <w:pStyle w:val="a6"/>
        <w:spacing w:line="228" w:lineRule="auto"/>
        <w:ind w:left="422" w:hanging="454"/>
        <w:rPr>
          <w:b/>
          <w:bCs/>
          <w:rtl/>
        </w:rPr>
      </w:pPr>
      <w:r>
        <w:rPr>
          <w:rFonts w:hint="cs"/>
          <w:b/>
          <w:bCs/>
          <w:rtl/>
        </w:rPr>
        <w:tab/>
        <w:t>ومن كتب الفقه :</w:t>
      </w:r>
    </w:p>
    <w:p w:rsidR="00035BE3" w:rsidRDefault="00035BE3" w:rsidP="00F0471F">
      <w:pPr>
        <w:pStyle w:val="a6"/>
        <w:spacing w:line="228" w:lineRule="auto"/>
        <w:ind w:left="420" w:hanging="454"/>
        <w:rPr>
          <w:spacing w:val="4"/>
          <w:rtl/>
        </w:rPr>
      </w:pPr>
      <w:r>
        <w:rPr>
          <w:rFonts w:hint="cs"/>
          <w:spacing w:val="4"/>
          <w:rtl/>
        </w:rPr>
        <w:tab/>
        <w:t>الفتاوى الظهيرية، ل333/ب؛ حاوي مسائل المنية، ل357/أ؛ الفصول العمادية، ل5/أ (نسخة الحرم المدني)؛ جامع الفصولين، 1/6؛ الفتاوي البزازية، 2/386؛ الدرر شرح الغرر،2/409؛ البحر الرائق، 4/157، 7/236؛ الدر المختار ورد المحتار، 8/91؛ قرّة عيون الأخيار، 12/11.</w:t>
      </w:r>
    </w:p>
  </w:footnote>
  <w:footnote w:id="5488">
    <w:p w:rsidR="00035BE3" w:rsidRDefault="00035BE3" w:rsidP="00F0471F">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نهاية 115/ب من (أ).</w:t>
      </w:r>
    </w:p>
  </w:footnote>
  <w:footnote w:id="5489">
    <w:p w:rsidR="00035BE3" w:rsidRDefault="00035BE3" w:rsidP="00F0471F">
      <w:pPr>
        <w:pStyle w:val="a8"/>
        <w:bidi/>
        <w:spacing w:line="228" w:lineRule="auto"/>
        <w:ind w:left="420" w:right="0"/>
        <w:rPr>
          <w:rtl/>
        </w:rPr>
      </w:pPr>
      <w:r>
        <w:rPr>
          <w:rFonts w:hint="cs"/>
          <w:vertAlign w:val="superscript"/>
          <w:rtl/>
        </w:rPr>
        <w:t>(</w:t>
      </w:r>
      <w:r>
        <w:rPr>
          <w:rStyle w:val="a7"/>
        </w:rPr>
        <w:footnoteRef/>
      </w:r>
      <w:r>
        <w:rPr>
          <w:rFonts w:hint="cs"/>
          <w:vertAlign w:val="superscript"/>
          <w:rtl/>
        </w:rPr>
        <w:t>)</w:t>
      </w:r>
      <w:r>
        <w:rPr>
          <w:rFonts w:hint="cs"/>
          <w:rtl/>
        </w:rPr>
        <w:t xml:space="preserve">   فيه : أي في ذلك اليوم.</w:t>
      </w:r>
    </w:p>
  </w:footnote>
  <w:footnote w:id="5490">
    <w:p w:rsidR="00035BE3" w:rsidRDefault="00035BE3" w:rsidP="00F0471F">
      <w:pPr>
        <w:pStyle w:val="a8"/>
        <w:bidi/>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الدرر شرح الغرر، 2/409 -مع اختلاف يسير، حيث جاء في بداية العبارة عنده: </w:t>
      </w:r>
      <w:r>
        <w:rPr>
          <w:rFonts w:hint="eastAsia"/>
          <w:rtl/>
        </w:rPr>
        <w:t>«</w:t>
      </w:r>
      <w:r>
        <w:rPr>
          <w:rFonts w:hint="cs"/>
          <w:b/>
          <w:bCs/>
          <w:rtl/>
        </w:rPr>
        <w:t>يعني : إذا ادّعى</w:t>
      </w:r>
      <w:r>
        <w:rPr>
          <w:rFonts w:hint="cs"/>
          <w:rtl/>
        </w:rPr>
        <w:t xml:space="preserve"> </w:t>
      </w:r>
      <w:r>
        <w:rPr>
          <w:rFonts w:hint="cs"/>
          <w:b/>
          <w:bCs/>
          <w:rtl/>
        </w:rPr>
        <w:t>رجل</w:t>
      </w:r>
      <w:r>
        <w:rPr>
          <w:rFonts w:hint="cs"/>
          <w:rtl/>
        </w:rPr>
        <w:t xml:space="preserve"> أنَّ أباه ...</w:t>
      </w:r>
      <w:r>
        <w:rPr>
          <w:rFonts w:hint="eastAsia"/>
          <w:rtl/>
        </w:rPr>
        <w:t>»</w:t>
      </w:r>
      <w:r>
        <w:rPr>
          <w:rFonts w:hint="cs"/>
          <w:rtl/>
        </w:rPr>
        <w:t>-.</w:t>
      </w:r>
    </w:p>
  </w:footnote>
  <w:footnote w:id="5491">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w:t>
      </w:r>
      <w:r>
        <w:rPr>
          <w:rFonts w:hint="eastAsia"/>
          <w:rtl/>
        </w:rPr>
        <w:t>«</w:t>
      </w:r>
      <w:r>
        <w:rPr>
          <w:rFonts w:hint="cs"/>
          <w:rtl/>
        </w:rPr>
        <w:t>أن</w:t>
      </w:r>
      <w:r>
        <w:rPr>
          <w:rFonts w:hint="eastAsia"/>
          <w:rtl/>
        </w:rPr>
        <w:t>»</w:t>
      </w:r>
      <w:r>
        <w:rPr>
          <w:rFonts w:hint="cs"/>
          <w:rtl/>
        </w:rPr>
        <w:t xml:space="preserve"> : ساقطة من (ب).</w:t>
      </w:r>
    </w:p>
  </w:footnote>
  <w:footnote w:id="5492">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لا يعتبر فعل الرجل لتلك الدعوى.</w:t>
      </w:r>
    </w:p>
  </w:footnote>
  <w:footnote w:id="5493">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83/ب من (جـ).</w:t>
      </w:r>
    </w:p>
  </w:footnote>
  <w:footnote w:id="5494">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(جـ) : </w:t>
      </w:r>
      <w:r>
        <w:rPr>
          <w:rFonts w:hint="eastAsia"/>
          <w:rtl/>
        </w:rPr>
        <w:t>«</w:t>
      </w:r>
      <w:r>
        <w:rPr>
          <w:rFonts w:hint="cs"/>
          <w:rtl/>
        </w:rPr>
        <w:t>بالتهوير</w:t>
      </w:r>
      <w:r>
        <w:rPr>
          <w:rFonts w:hint="eastAsia"/>
          <w:rtl/>
        </w:rPr>
        <w:t>»</w:t>
      </w:r>
      <w:r>
        <w:rPr>
          <w:rFonts w:hint="cs"/>
          <w:rtl/>
        </w:rPr>
        <w:t>.</w:t>
      </w:r>
    </w:p>
  </w:footnote>
  <w:footnote w:id="5495">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معًا</w:t>
      </w:r>
      <w:r>
        <w:rPr>
          <w:rFonts w:hint="eastAsia"/>
          <w:rtl/>
        </w:rPr>
        <w:t>»</w:t>
      </w:r>
      <w:r>
        <w:rPr>
          <w:rFonts w:hint="cs"/>
          <w:rtl/>
        </w:rPr>
        <w:t>.</w:t>
      </w:r>
    </w:p>
  </w:footnote>
  <w:footnote w:id="5496">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72/ب من (ب).</w:t>
      </w:r>
    </w:p>
  </w:footnote>
  <w:footnote w:id="5497">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الحديث عنها استقلالاً بلفظ : </w:t>
      </w:r>
      <w:r>
        <w:rPr>
          <w:rFonts w:hint="eastAsia"/>
          <w:rtl/>
        </w:rPr>
        <w:t>«</w:t>
      </w:r>
      <w:r>
        <w:rPr>
          <w:rFonts w:hint="cs"/>
          <w:rtl/>
        </w:rPr>
        <w:t>بينة النفي غير مقبولة</w:t>
      </w:r>
      <w:r>
        <w:rPr>
          <w:rFonts w:hint="eastAsia"/>
          <w:rtl/>
        </w:rPr>
        <w:t>»</w:t>
      </w:r>
      <w:r>
        <w:rPr>
          <w:rFonts w:hint="cs"/>
          <w:rtl/>
        </w:rPr>
        <w:t>، وذلك ص427 (ل24/أ)، قاعدة 58.</w:t>
      </w:r>
    </w:p>
  </w:footnote>
  <w:footnote w:id="5498">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إيقاع فعل الغير</w:t>
      </w:r>
      <w:r>
        <w:rPr>
          <w:rFonts w:hint="eastAsia"/>
          <w:rtl/>
        </w:rPr>
        <w:t>»</w:t>
      </w:r>
      <w:r>
        <w:rPr>
          <w:rFonts w:hint="cs"/>
          <w:rtl/>
        </w:rPr>
        <w:t>.</w:t>
      </w:r>
    </w:p>
  </w:footnote>
  <w:footnote w:id="5499">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ثبت</w:t>
      </w:r>
      <w:r>
        <w:rPr>
          <w:rFonts w:hint="eastAsia"/>
          <w:rtl/>
        </w:rPr>
        <w:t>»</w:t>
      </w:r>
      <w:r>
        <w:rPr>
          <w:rFonts w:hint="cs"/>
          <w:rtl/>
        </w:rPr>
        <w:t>.</w:t>
      </w:r>
    </w:p>
  </w:footnote>
  <w:footnote w:id="5500">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هذه قاعدة سبق أن أفردها المؤلف بالحديث، ص889  (ل71/ب)، قاعدة 178.</w:t>
      </w:r>
    </w:p>
  </w:footnote>
  <w:footnote w:id="5501">
    <w:p w:rsidR="00035BE3" w:rsidRDefault="00035BE3" w:rsidP="00F0471F">
      <w:pPr>
        <w:pStyle w:val="a8"/>
        <w:bidi/>
        <w:spacing w:line="460" w:lineRule="exact"/>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وبهذا يتصوّر ويظهر</w:t>
      </w:r>
      <w:r>
        <w:rPr>
          <w:rFonts w:hint="eastAsia"/>
          <w:rtl/>
        </w:rPr>
        <w:t>»</w:t>
      </w:r>
      <w:r>
        <w:rPr>
          <w:rFonts w:hint="cs"/>
          <w:rtl/>
        </w:rPr>
        <w:t>.</w:t>
      </w:r>
    </w:p>
  </w:footnote>
  <w:footnote w:id="5502">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وهذا الوجه سبق نقله عند توضيح القاعدة.</w:t>
      </w:r>
    </w:p>
  </w:footnote>
  <w:footnote w:id="5503">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 </w:t>
      </w:r>
      <w:r>
        <w:rPr>
          <w:rFonts w:hint="eastAsia"/>
          <w:rtl/>
        </w:rPr>
        <w:t>«</w:t>
      </w:r>
      <w:r>
        <w:rPr>
          <w:rFonts w:hint="cs"/>
          <w:rtl/>
        </w:rPr>
        <w:t>توجيهيه</w:t>
      </w:r>
      <w:r>
        <w:rPr>
          <w:rFonts w:hint="eastAsia"/>
          <w:rtl/>
        </w:rPr>
        <w:t>»</w:t>
      </w:r>
      <w:r>
        <w:rPr>
          <w:rFonts w:hint="cs"/>
          <w:rtl/>
        </w:rPr>
        <w:t>. والصحيح ما تمَّ إثباته من باقي النسخ.</w:t>
      </w:r>
    </w:p>
  </w:footnote>
  <w:footnote w:id="5504">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(د) : </w:t>
      </w:r>
      <w:r>
        <w:rPr>
          <w:rFonts w:hint="eastAsia"/>
          <w:rtl/>
        </w:rPr>
        <w:t>«</w:t>
      </w:r>
      <w:r>
        <w:rPr>
          <w:rFonts w:hint="cs"/>
          <w:rtl/>
        </w:rPr>
        <w:t>ههنا</w:t>
      </w:r>
      <w:r>
        <w:rPr>
          <w:rFonts w:hint="eastAsia"/>
          <w:rtl/>
        </w:rPr>
        <w:t>»</w:t>
      </w:r>
      <w:r>
        <w:rPr>
          <w:rFonts w:hint="cs"/>
          <w:rtl/>
        </w:rPr>
        <w:t>. وهي نهاية 69/أ من (د).</w:t>
      </w:r>
    </w:p>
  </w:footnote>
  <w:footnote w:id="5505">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 </w:t>
      </w:r>
      <w:r>
        <w:rPr>
          <w:rFonts w:hint="eastAsia"/>
          <w:rtl/>
        </w:rPr>
        <w:t>«</w:t>
      </w:r>
      <w:r>
        <w:rPr>
          <w:rFonts w:hint="cs"/>
          <w:rtl/>
        </w:rPr>
        <w:t>انجار</w:t>
      </w:r>
      <w:r>
        <w:rPr>
          <w:rFonts w:hint="eastAsia"/>
          <w:rtl/>
        </w:rPr>
        <w:t>»</w:t>
      </w:r>
      <w:r>
        <w:rPr>
          <w:rFonts w:hint="cs"/>
          <w:rtl/>
        </w:rPr>
        <w:t>.</w:t>
      </w:r>
    </w:p>
  </w:footnote>
  <w:footnote w:id="5506">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أي : مقدمة الكتاب، ص192 (ل1/ب).</w:t>
      </w:r>
    </w:p>
  </w:footnote>
  <w:footnote w:id="5507">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(أ) و(ب) و(جـ) : </w:t>
      </w:r>
      <w:r>
        <w:rPr>
          <w:rFonts w:hint="eastAsia"/>
          <w:rtl/>
        </w:rPr>
        <w:t>«</w:t>
      </w:r>
      <w:r>
        <w:rPr>
          <w:rFonts w:hint="cs"/>
          <w:rtl/>
        </w:rPr>
        <w:t>في</w:t>
      </w:r>
      <w:r>
        <w:rPr>
          <w:rFonts w:hint="eastAsia"/>
          <w:rtl/>
        </w:rPr>
        <w:t>»</w:t>
      </w:r>
      <w:r>
        <w:rPr>
          <w:rFonts w:hint="cs"/>
          <w:rtl/>
        </w:rPr>
        <w:t>. والصواب ما تمَّ إثباته من (د).</w:t>
      </w:r>
    </w:p>
  </w:footnote>
  <w:footnote w:id="5508">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نهاية 116/أ من (أ).</w:t>
      </w:r>
    </w:p>
  </w:footnote>
  <w:footnote w:id="5509">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في (ب) و(د) : </w:t>
      </w:r>
      <w:r>
        <w:rPr>
          <w:rFonts w:hint="eastAsia"/>
          <w:rtl/>
        </w:rPr>
        <w:t>«</w:t>
      </w:r>
      <w:r>
        <w:rPr>
          <w:rFonts w:hint="cs"/>
          <w:rtl/>
        </w:rPr>
        <w:t>من</w:t>
      </w:r>
      <w:r>
        <w:rPr>
          <w:rFonts w:hint="eastAsia"/>
          <w:rtl/>
        </w:rPr>
        <w:t>»</w:t>
      </w:r>
      <w:r>
        <w:rPr>
          <w:rFonts w:hint="cs"/>
          <w:rtl/>
        </w:rPr>
        <w:t>.</w:t>
      </w:r>
    </w:p>
    <w:p w:rsidR="00035BE3" w:rsidRDefault="00035BE3" w:rsidP="00F0471F">
      <w:pPr>
        <w:pStyle w:val="a8"/>
        <w:bidi/>
        <w:spacing w:line="233" w:lineRule="auto"/>
        <w:ind w:left="422" w:right="0"/>
        <w:rPr>
          <w:rtl/>
        </w:rPr>
      </w:pPr>
      <w:r>
        <w:rPr>
          <w:rFonts w:hint="cs"/>
          <w:rtl/>
        </w:rPr>
        <w:tab/>
        <w:t>ومعنى ما في الأصل : أي يسّر الله مرادي مع مرادات جميع المسلمين.</w:t>
      </w:r>
    </w:p>
  </w:footnote>
  <w:footnote w:id="5510">
    <w:p w:rsidR="00035BE3" w:rsidRDefault="00035BE3" w:rsidP="00F0471F">
      <w:pPr>
        <w:pStyle w:val="a8"/>
        <w:bidi/>
        <w:spacing w:line="233" w:lineRule="auto"/>
        <w:ind w:left="422" w:right="0"/>
        <w:rPr>
          <w:rtl/>
        </w:rPr>
      </w:pPr>
      <w:r>
        <w:rPr>
          <w:rFonts w:hint="cs"/>
          <w:vertAlign w:val="superscript"/>
          <w:rtl/>
        </w:rPr>
        <w:t>(</w:t>
      </w:r>
      <w:r>
        <w:rPr>
          <w:rStyle w:val="a7"/>
        </w:rPr>
        <w:footnoteRef/>
      </w:r>
      <w:r>
        <w:rPr>
          <w:rFonts w:hint="cs"/>
          <w:vertAlign w:val="superscript"/>
          <w:rtl/>
        </w:rPr>
        <w:t>)</w:t>
      </w:r>
      <w:r>
        <w:rPr>
          <w:rFonts w:hint="cs"/>
          <w:rtl/>
        </w:rPr>
        <w:t xml:space="preserve">   جاء في نسخة (ب) بعد هذه الكلمة : </w:t>
      </w:r>
      <w:r>
        <w:rPr>
          <w:rFonts w:hint="eastAsia"/>
          <w:rtl/>
        </w:rPr>
        <w:t>«</w:t>
      </w:r>
      <w:r>
        <w:rPr>
          <w:rFonts w:hint="cs"/>
          <w:rtl/>
        </w:rPr>
        <w:t xml:space="preserve">حرّره الفقير المذنب المحتاج إلى رحمة ربه العلي : الشيخ محمد بن الشيخ عبد الله بن الشيخ زكريا القدسي عن نسل تميم الدَّاري بن حبيب الأنصاري </w:t>
      </w:r>
      <w:r>
        <w:rPr>
          <w:rtl/>
        </w:rPr>
        <w:t>–</w:t>
      </w:r>
      <w:r>
        <w:rPr>
          <w:rFonts w:hint="cs"/>
          <w:rtl/>
        </w:rPr>
        <w:t>رضي الله تعالى عنهما- في اليوم الثاني من شهر رجب المرجّب، في سنة ثمان وستين ومائة وألف</w:t>
      </w:r>
      <w:r>
        <w:rPr>
          <w:rFonts w:hint="eastAsia"/>
          <w:rtl/>
        </w:rPr>
        <w:t>»</w:t>
      </w:r>
      <w:r>
        <w:rPr>
          <w:rFonts w:hint="cs"/>
          <w:rtl/>
        </w:rPr>
        <w:t xml:space="preserve">. </w:t>
      </w:r>
    </w:p>
    <w:p w:rsidR="00035BE3" w:rsidRDefault="00035BE3" w:rsidP="00F0471F">
      <w:pPr>
        <w:pStyle w:val="a6"/>
        <w:spacing w:line="233" w:lineRule="auto"/>
        <w:ind w:left="422" w:hanging="454"/>
        <w:rPr>
          <w:rtl/>
        </w:rPr>
      </w:pPr>
      <w:r>
        <w:rPr>
          <w:rFonts w:hint="cs"/>
          <w:rtl/>
        </w:rPr>
        <w:tab/>
        <w:t>وهذه العبارة نهاية ما جاء في 73/أ من (ب)، وهي اللوحة الأخيرة منها.</w:t>
      </w:r>
    </w:p>
  </w:footnote>
  <w:footnote w:id="5511">
    <w:p w:rsidR="00035BE3" w:rsidRPr="001A1540" w:rsidRDefault="00035BE3" w:rsidP="00F0471F">
      <w:pPr>
        <w:pStyle w:val="a8"/>
        <w:bidi/>
        <w:spacing w:line="233" w:lineRule="auto"/>
        <w:ind w:left="422" w:right="0"/>
        <w:rPr>
          <w:spacing w:val="-2"/>
          <w:rtl/>
        </w:rPr>
      </w:pPr>
      <w:r>
        <w:rPr>
          <w:rFonts w:hint="cs"/>
          <w:vertAlign w:val="superscript"/>
          <w:rtl/>
        </w:rPr>
        <w:t>(</w:t>
      </w:r>
      <w:r>
        <w:rPr>
          <w:rStyle w:val="a7"/>
        </w:rPr>
        <w:footnoteRef/>
      </w:r>
      <w:r>
        <w:rPr>
          <w:rFonts w:hint="cs"/>
          <w:vertAlign w:val="superscript"/>
          <w:rtl/>
        </w:rPr>
        <w:t>)</w:t>
      </w:r>
      <w:r>
        <w:rPr>
          <w:rFonts w:hint="cs"/>
          <w:rtl/>
        </w:rPr>
        <w:t xml:space="preserve"> </w:t>
      </w:r>
      <w:r>
        <w:rPr>
          <w:rFonts w:hint="cs"/>
          <w:b/>
          <w:bCs/>
          <w:spacing w:val="-2"/>
          <w:rtl/>
        </w:rPr>
        <w:t xml:space="preserve"> </w:t>
      </w:r>
      <w:r w:rsidRPr="001A1540">
        <w:rPr>
          <w:rFonts w:hint="cs"/>
          <w:b/>
          <w:bCs/>
          <w:spacing w:val="-2"/>
          <w:rtl/>
        </w:rPr>
        <w:t>نهاية 84/أ من (جـ)، وأيضًا نهاية 69/ب من (د).</w:t>
      </w:r>
      <w:r w:rsidRPr="001A1540">
        <w:rPr>
          <w:rFonts w:hint="cs"/>
          <w:spacing w:val="-2"/>
          <w:rtl/>
        </w:rPr>
        <w:t xml:space="preserve"> وبهذه الكلمة ينتهي ما جاء في هاتين النسختين.</w:t>
      </w:r>
    </w:p>
    <w:p w:rsidR="00035BE3" w:rsidRDefault="00035BE3" w:rsidP="00F0471F">
      <w:pPr>
        <w:pStyle w:val="a6"/>
        <w:spacing w:line="233" w:lineRule="auto"/>
        <w:ind w:left="420" w:hanging="454"/>
        <w:rPr>
          <w:rtl/>
        </w:rPr>
      </w:pPr>
      <w:r>
        <w:rPr>
          <w:rFonts w:hint="cs"/>
          <w:b/>
          <w:bCs/>
          <w:rtl/>
        </w:rPr>
        <w:tab/>
        <w:t>أما نسخة (أ)</w:t>
      </w:r>
      <w:r>
        <w:rPr>
          <w:rFonts w:hint="cs"/>
          <w:rtl/>
        </w:rPr>
        <w:t xml:space="preserve"> فقد جاء فيها عقب تلك الكلمة : ثلاثة أبيات شعرية باللغة الفارسية، ثم اسم الناسخ ومكان النسخ وتأريخه، ونص ذلك :</w:t>
      </w:r>
    </w:p>
    <w:p w:rsidR="00035BE3" w:rsidRDefault="00035BE3" w:rsidP="00F0471F">
      <w:pPr>
        <w:pStyle w:val="a6"/>
        <w:spacing w:line="233" w:lineRule="auto"/>
        <w:ind w:left="420" w:hanging="454"/>
        <w:jc w:val="left"/>
        <w:rPr>
          <w:b/>
          <w:bCs/>
          <w:rtl/>
        </w:rPr>
      </w:pPr>
      <w:r>
        <w:rPr>
          <w:rFonts w:hint="cs"/>
          <w:b/>
          <w:bCs/>
          <w:rtl/>
        </w:rPr>
        <w:t xml:space="preserve">      </w:t>
      </w:r>
      <w:r>
        <w:rPr>
          <w:rFonts w:hint="eastAsia"/>
          <w:b/>
          <w:bCs/>
          <w:rtl/>
        </w:rPr>
        <w:t>«</w:t>
      </w:r>
      <w:r>
        <w:rPr>
          <w:rFonts w:hint="cs"/>
          <w:b/>
          <w:bCs/>
          <w:rtl/>
        </w:rPr>
        <w:t>جنين ترتيب لولو مي شود اين بنده را بيشه          بأميدي كه تسبيحي شود در دست انديشه</w:t>
      </w:r>
    </w:p>
    <w:p w:rsidR="00035BE3" w:rsidRDefault="00035BE3" w:rsidP="00F0471F">
      <w:pPr>
        <w:pStyle w:val="a6"/>
        <w:spacing w:line="233" w:lineRule="auto"/>
        <w:ind w:left="420" w:hanging="454"/>
        <w:jc w:val="center"/>
        <w:rPr>
          <w:rtl/>
        </w:rPr>
      </w:pPr>
      <w:r>
        <w:rPr>
          <w:rFonts w:hint="cs"/>
          <w:rtl/>
        </w:rPr>
        <w:t>قطعة</w:t>
      </w:r>
    </w:p>
    <w:p w:rsidR="00035BE3" w:rsidRDefault="00035BE3" w:rsidP="00F0471F">
      <w:pPr>
        <w:pStyle w:val="a6"/>
        <w:spacing w:line="233" w:lineRule="auto"/>
        <w:ind w:left="420" w:hanging="454"/>
        <w:jc w:val="left"/>
        <w:rPr>
          <w:b/>
          <w:bCs/>
          <w:rtl/>
        </w:rPr>
      </w:pPr>
      <w:r>
        <w:rPr>
          <w:rFonts w:hint="cs"/>
          <w:b/>
          <w:bCs/>
          <w:rtl/>
        </w:rPr>
        <w:t xml:space="preserve">       كــر زدســت اجـل أمـان يـابـم      در زيــادت ولــم نــه أســـاس</w:t>
      </w:r>
    </w:p>
    <w:p w:rsidR="00035BE3" w:rsidRDefault="00035BE3" w:rsidP="00F0471F">
      <w:pPr>
        <w:pStyle w:val="a6"/>
        <w:spacing w:line="264" w:lineRule="auto"/>
        <w:ind w:left="420" w:hanging="454"/>
        <w:jc w:val="left"/>
        <w:rPr>
          <w:b/>
          <w:bCs/>
          <w:rtl/>
        </w:rPr>
      </w:pPr>
      <w:r>
        <w:rPr>
          <w:rFonts w:hint="cs"/>
          <w:b/>
          <w:bCs/>
          <w:rtl/>
        </w:rPr>
        <w:t xml:space="preserve">       ورزهـم ايـن قـدر كـه ثـبـت آمـد     تـحـفـه را بـهـردوسـتـان شـايد</w:t>
      </w:r>
    </w:p>
    <w:p w:rsidR="00035BE3" w:rsidRDefault="00035BE3" w:rsidP="00F0471F">
      <w:pPr>
        <w:pStyle w:val="a6"/>
        <w:ind w:left="422" w:hanging="454"/>
        <w:rPr>
          <w:spacing w:val="-2"/>
          <w:rtl/>
        </w:rPr>
      </w:pPr>
      <w:r>
        <w:rPr>
          <w:rFonts w:hint="cs"/>
          <w:spacing w:val="-2"/>
          <w:rtl/>
        </w:rPr>
        <w:tab/>
        <w:t>تم الكتاب بعون الله الملك الوهّاب عن يد عبدٍ، الضعيف المحتاج إلى رحمة ربّه اللطيف: عبد الكريم ابن عبد الرحيم اليكشهري الشهير بشيخ عجم زاده، غفر الله له ولوالديه، وأحسن في الدارين إليهما وإليه.</w:t>
      </w:r>
    </w:p>
    <w:p w:rsidR="00035BE3" w:rsidRDefault="00035BE3" w:rsidP="00F0471F">
      <w:pPr>
        <w:pStyle w:val="a6"/>
        <w:ind w:left="422" w:hanging="454"/>
        <w:rPr>
          <w:rtl/>
        </w:rPr>
      </w:pPr>
      <w:r>
        <w:rPr>
          <w:rFonts w:hint="cs"/>
          <w:rtl/>
        </w:rPr>
        <w:tab/>
        <w:t>وأتممت هذه النسخة الشريفة في وقت الضحى في يوم الثلاثاء، في بلدة قسطنطينة، في 21 من شهر محرم الحرام سنة 1065</w:t>
      </w:r>
      <w:r>
        <w:rPr>
          <w:rFonts w:hint="eastAsia"/>
          <w:rtl/>
        </w:rPr>
        <w:t>»</w:t>
      </w:r>
      <w:r>
        <w:rPr>
          <w:rFonts w:hint="cs"/>
          <w:rtl/>
        </w:rPr>
        <w:t>.</w:t>
      </w:r>
    </w:p>
    <w:p w:rsidR="00035BE3" w:rsidRDefault="00035BE3" w:rsidP="00F0471F">
      <w:pPr>
        <w:pStyle w:val="a6"/>
        <w:ind w:left="422" w:hanging="454"/>
        <w:rPr>
          <w:rtl/>
        </w:rPr>
      </w:pPr>
      <w:r>
        <w:rPr>
          <w:rFonts w:hint="cs"/>
          <w:rtl/>
        </w:rPr>
        <w:tab/>
        <w:t>وبنهاية هذه العبارة ينتهي ما جاء في 116/ ب من (أ) وهي اللوحة الأخيرة منها.</w:t>
      </w:r>
    </w:p>
    <w:p w:rsidR="00035BE3" w:rsidRDefault="00035BE3" w:rsidP="00F0471F">
      <w:pPr>
        <w:pStyle w:val="a6"/>
        <w:ind w:left="422" w:hanging="454"/>
        <w:rPr>
          <w:rtl/>
        </w:rPr>
      </w:pPr>
      <w:r>
        <w:rPr>
          <w:rFonts w:hint="cs"/>
          <w:rtl/>
        </w:rPr>
        <w:tab/>
        <w:t>وما جاء في النص السابق من ألفاظ فارسية ترجمته على النحو الآتي :</w:t>
      </w:r>
    </w:p>
    <w:p w:rsidR="00035BE3" w:rsidRDefault="00035BE3" w:rsidP="00F0471F">
      <w:pPr>
        <w:pStyle w:val="a6"/>
        <w:ind w:left="422" w:hanging="454"/>
        <w:rPr>
          <w:rtl/>
        </w:rPr>
      </w:pPr>
      <w:r>
        <w:rPr>
          <w:rFonts w:ascii="Wingdings" w:hAnsi="Wingdings" w:hint="cs"/>
          <w:rtl/>
        </w:rPr>
        <w:tab/>
      </w:r>
      <w:r>
        <w:rPr>
          <w:rFonts w:ascii="Wingdings" w:hAnsi="Wingdings"/>
        </w:rPr>
        <w:t></w:t>
      </w:r>
      <w:r>
        <w:rPr>
          <w:rFonts w:hint="cs"/>
          <w:rtl/>
        </w:rPr>
        <w:t xml:space="preserve"> </w:t>
      </w:r>
      <w:r>
        <w:rPr>
          <w:rFonts w:hint="cs"/>
          <w:b/>
          <w:bCs/>
          <w:rtl/>
        </w:rPr>
        <w:t>البيت الأول</w:t>
      </w:r>
      <w:r>
        <w:rPr>
          <w:rFonts w:hint="cs"/>
          <w:rtl/>
        </w:rPr>
        <w:t xml:space="preserve"> :</w:t>
      </w:r>
    </w:p>
    <w:p w:rsidR="00035BE3" w:rsidRDefault="00035BE3" w:rsidP="00F0471F">
      <w:pPr>
        <w:pStyle w:val="a6"/>
        <w:ind w:left="422" w:hanging="454"/>
        <w:rPr>
          <w:rtl/>
        </w:rPr>
      </w:pPr>
      <w:r>
        <w:rPr>
          <w:rFonts w:hint="cs"/>
          <w:b/>
          <w:bCs/>
          <w:rtl/>
        </w:rPr>
        <w:tab/>
        <w:t>أولاً</w:t>
      </w:r>
      <w:r>
        <w:rPr>
          <w:rFonts w:hint="cs"/>
          <w:rtl/>
        </w:rPr>
        <w:t xml:space="preserve"> : معاني مفرداته :</w:t>
      </w:r>
    </w:p>
    <w:p w:rsidR="00035BE3" w:rsidRDefault="00035BE3" w:rsidP="00F0471F">
      <w:pPr>
        <w:pStyle w:val="a6"/>
        <w:ind w:left="422" w:hanging="454"/>
        <w:rPr>
          <w:rtl/>
        </w:rPr>
      </w:pPr>
      <w:r>
        <w:rPr>
          <w:rFonts w:hint="cs"/>
          <w:rtl/>
        </w:rPr>
        <w:tab/>
        <w:t>جنين : هكذا.</w:t>
      </w:r>
    </w:p>
    <w:p w:rsidR="00035BE3" w:rsidRDefault="00035BE3" w:rsidP="00F0471F">
      <w:pPr>
        <w:pStyle w:val="a6"/>
        <w:ind w:left="422" w:hanging="454"/>
        <w:rPr>
          <w:rtl/>
        </w:rPr>
      </w:pPr>
      <w:r>
        <w:rPr>
          <w:rFonts w:hint="cs"/>
          <w:rtl/>
        </w:rPr>
        <w:tab/>
        <w:t>ترتيب لولو : ترتيب اللآلي.</w:t>
      </w:r>
    </w:p>
    <w:p w:rsidR="00035BE3" w:rsidRDefault="00035BE3" w:rsidP="00F0471F">
      <w:pPr>
        <w:pStyle w:val="a6"/>
        <w:ind w:left="422" w:hanging="454"/>
        <w:rPr>
          <w:rtl/>
        </w:rPr>
      </w:pPr>
      <w:r>
        <w:rPr>
          <w:rFonts w:hint="cs"/>
          <w:rtl/>
        </w:rPr>
        <w:tab/>
        <w:t>مي شود : يكون.</w:t>
      </w:r>
    </w:p>
    <w:p w:rsidR="00035BE3" w:rsidRDefault="00035BE3" w:rsidP="00F0471F">
      <w:pPr>
        <w:pStyle w:val="a6"/>
        <w:ind w:left="422" w:hanging="454"/>
        <w:rPr>
          <w:rtl/>
        </w:rPr>
      </w:pPr>
      <w:r>
        <w:rPr>
          <w:rFonts w:hint="cs"/>
          <w:rtl/>
        </w:rPr>
        <w:tab/>
        <w:t>أين بنده را : لهذا العبد.</w:t>
      </w:r>
    </w:p>
    <w:p w:rsidR="00035BE3" w:rsidRDefault="00035BE3" w:rsidP="00F0471F">
      <w:pPr>
        <w:pStyle w:val="a6"/>
        <w:ind w:left="422" w:hanging="454"/>
        <w:rPr>
          <w:rtl/>
        </w:rPr>
      </w:pPr>
      <w:r>
        <w:rPr>
          <w:rFonts w:hint="cs"/>
          <w:rtl/>
        </w:rPr>
        <w:tab/>
        <w:t>بيشه : مهنة.</w:t>
      </w:r>
    </w:p>
    <w:p w:rsidR="00035BE3" w:rsidRDefault="00035BE3" w:rsidP="00F0471F">
      <w:pPr>
        <w:pStyle w:val="a6"/>
        <w:ind w:left="422" w:hanging="454"/>
        <w:rPr>
          <w:rtl/>
        </w:rPr>
      </w:pPr>
      <w:r>
        <w:rPr>
          <w:rFonts w:hint="cs"/>
          <w:rtl/>
        </w:rPr>
        <w:tab/>
        <w:t>بأميدي كه : رجاء، أو راجيًا.</w:t>
      </w:r>
    </w:p>
    <w:p w:rsidR="00035BE3" w:rsidRDefault="00035BE3" w:rsidP="00F0471F">
      <w:pPr>
        <w:pStyle w:val="a6"/>
        <w:ind w:left="422" w:hanging="454"/>
        <w:rPr>
          <w:rtl/>
        </w:rPr>
      </w:pPr>
      <w:r>
        <w:rPr>
          <w:rFonts w:hint="cs"/>
          <w:rtl/>
        </w:rPr>
        <w:tab/>
        <w:t>تسبيح : المسبحة.</w:t>
      </w:r>
    </w:p>
    <w:p w:rsidR="00035BE3" w:rsidRDefault="00035BE3" w:rsidP="00F0471F">
      <w:pPr>
        <w:pStyle w:val="a6"/>
        <w:ind w:left="422" w:hanging="454"/>
        <w:rPr>
          <w:rtl/>
        </w:rPr>
      </w:pPr>
      <w:r>
        <w:rPr>
          <w:rFonts w:hint="cs"/>
          <w:rtl/>
        </w:rPr>
        <w:tab/>
        <w:t>شود : يكون.</w:t>
      </w:r>
    </w:p>
    <w:p w:rsidR="00035BE3" w:rsidRDefault="00035BE3" w:rsidP="00F0471F">
      <w:pPr>
        <w:pStyle w:val="a6"/>
        <w:ind w:left="422" w:hanging="454"/>
        <w:rPr>
          <w:rtl/>
        </w:rPr>
      </w:pPr>
      <w:r>
        <w:rPr>
          <w:rFonts w:hint="cs"/>
          <w:rtl/>
        </w:rPr>
        <w:tab/>
        <w:t>در : في.</w:t>
      </w:r>
    </w:p>
    <w:p w:rsidR="00035BE3" w:rsidRDefault="00035BE3" w:rsidP="00F0471F">
      <w:pPr>
        <w:pStyle w:val="a6"/>
        <w:ind w:left="422" w:hanging="454"/>
        <w:rPr>
          <w:rtl/>
        </w:rPr>
      </w:pPr>
      <w:r>
        <w:rPr>
          <w:rFonts w:hint="cs"/>
          <w:rtl/>
        </w:rPr>
        <w:tab/>
        <w:t>درست : يد.</w:t>
      </w:r>
    </w:p>
    <w:p w:rsidR="00035BE3" w:rsidRDefault="00035BE3" w:rsidP="00F0471F">
      <w:pPr>
        <w:pStyle w:val="a6"/>
        <w:ind w:left="422" w:hanging="454"/>
        <w:rPr>
          <w:rtl/>
        </w:rPr>
      </w:pPr>
      <w:r>
        <w:rPr>
          <w:rFonts w:hint="cs"/>
          <w:rtl/>
        </w:rPr>
        <w:tab/>
        <w:t>انديشه : الفكر أو التفكير أو الخاطرة.</w:t>
      </w:r>
    </w:p>
    <w:p w:rsidR="00035BE3" w:rsidRDefault="00035BE3" w:rsidP="00F0471F">
      <w:pPr>
        <w:pStyle w:val="a6"/>
        <w:ind w:left="422" w:hanging="454"/>
        <w:rPr>
          <w:rtl/>
        </w:rPr>
      </w:pPr>
      <w:r>
        <w:rPr>
          <w:rFonts w:hint="cs"/>
          <w:b/>
          <w:bCs/>
          <w:rtl/>
        </w:rPr>
        <w:tab/>
        <w:t xml:space="preserve">ثانيًا </w:t>
      </w:r>
      <w:r>
        <w:rPr>
          <w:rFonts w:hint="cs"/>
          <w:rtl/>
        </w:rPr>
        <w:t>: معناه الإجمالي :</w:t>
      </w:r>
    </w:p>
    <w:p w:rsidR="00035BE3" w:rsidRDefault="00035BE3" w:rsidP="00F0471F">
      <w:pPr>
        <w:pStyle w:val="a6"/>
        <w:ind w:left="422" w:hanging="454"/>
        <w:rPr>
          <w:rtl/>
        </w:rPr>
      </w:pPr>
      <w:r>
        <w:rPr>
          <w:rFonts w:hint="cs"/>
          <w:rtl/>
        </w:rPr>
        <w:tab/>
        <w:t>هكذا أصبح ترتيب اللآلي مهنة لهذا العبد.</w:t>
      </w:r>
    </w:p>
    <w:p w:rsidR="00035BE3" w:rsidRDefault="00035BE3" w:rsidP="00F0471F">
      <w:pPr>
        <w:pStyle w:val="a6"/>
        <w:ind w:left="422" w:hanging="454"/>
        <w:rPr>
          <w:rtl/>
        </w:rPr>
      </w:pPr>
      <w:r>
        <w:rPr>
          <w:rFonts w:hint="cs"/>
          <w:rtl/>
        </w:rPr>
        <w:tab/>
        <w:t>رجاء أن تكون مسبحة في يد التفكير.</w:t>
      </w:r>
    </w:p>
    <w:p w:rsidR="00035BE3" w:rsidRDefault="00035BE3" w:rsidP="00F0471F">
      <w:pPr>
        <w:pStyle w:val="a6"/>
        <w:ind w:left="422" w:hanging="454"/>
        <w:rPr>
          <w:rtl/>
        </w:rPr>
      </w:pPr>
      <w:r>
        <w:rPr>
          <w:rFonts w:hint="cs"/>
          <w:rtl/>
        </w:rPr>
        <w:tab/>
        <w:t>(أو رجاء أن يكون حمل المسبحة تفكيري).</w:t>
      </w:r>
    </w:p>
    <w:p w:rsidR="00035BE3" w:rsidRDefault="00035BE3" w:rsidP="00F0471F">
      <w:pPr>
        <w:pStyle w:val="a6"/>
        <w:ind w:left="422" w:hanging="454"/>
        <w:rPr>
          <w:rtl/>
        </w:rPr>
      </w:pPr>
      <w:r>
        <w:rPr>
          <w:rFonts w:ascii="Wingdings" w:hAnsi="Wingdings" w:hint="cs"/>
          <w:rtl/>
        </w:rPr>
        <w:tab/>
      </w:r>
      <w:r>
        <w:rPr>
          <w:rFonts w:ascii="Wingdings" w:hAnsi="Wingdings"/>
        </w:rPr>
        <w:t></w:t>
      </w:r>
      <w:r>
        <w:rPr>
          <w:rFonts w:hint="cs"/>
          <w:rtl/>
        </w:rPr>
        <w:t xml:space="preserve"> </w:t>
      </w:r>
      <w:r>
        <w:rPr>
          <w:rFonts w:hint="cs"/>
          <w:b/>
          <w:bCs/>
          <w:rtl/>
        </w:rPr>
        <w:t>البيتان الثاني والثالث</w:t>
      </w:r>
      <w:r>
        <w:rPr>
          <w:rFonts w:hint="cs"/>
          <w:rtl/>
        </w:rPr>
        <w:t xml:space="preserve"> :</w:t>
      </w:r>
    </w:p>
    <w:p w:rsidR="00035BE3" w:rsidRDefault="00035BE3" w:rsidP="00F0471F">
      <w:pPr>
        <w:pStyle w:val="a6"/>
        <w:ind w:left="422" w:hanging="454"/>
        <w:rPr>
          <w:rtl/>
        </w:rPr>
      </w:pPr>
      <w:r>
        <w:rPr>
          <w:rFonts w:hint="cs"/>
          <w:b/>
          <w:bCs/>
          <w:rtl/>
        </w:rPr>
        <w:tab/>
        <w:t xml:space="preserve">أولاً </w:t>
      </w:r>
      <w:r>
        <w:rPr>
          <w:rFonts w:hint="cs"/>
          <w:rtl/>
        </w:rPr>
        <w:t>: معاني مفرداتهما :</w:t>
      </w:r>
    </w:p>
    <w:p w:rsidR="00035BE3" w:rsidRDefault="00035BE3" w:rsidP="00F0471F">
      <w:pPr>
        <w:pStyle w:val="a6"/>
        <w:ind w:left="422" w:hanging="454"/>
        <w:rPr>
          <w:rtl/>
        </w:rPr>
      </w:pPr>
      <w:r>
        <w:rPr>
          <w:rFonts w:hint="cs"/>
          <w:rtl/>
        </w:rPr>
        <w:tab/>
        <w:t>كر : إن.</w:t>
      </w:r>
    </w:p>
    <w:p w:rsidR="00035BE3" w:rsidRDefault="00035BE3" w:rsidP="00F0471F">
      <w:pPr>
        <w:pStyle w:val="a6"/>
        <w:ind w:left="422" w:hanging="454"/>
        <w:rPr>
          <w:rtl/>
        </w:rPr>
      </w:pPr>
      <w:r>
        <w:rPr>
          <w:rFonts w:hint="cs"/>
          <w:rtl/>
        </w:rPr>
        <w:tab/>
        <w:t>زدست : من يد.</w:t>
      </w:r>
    </w:p>
    <w:p w:rsidR="00035BE3" w:rsidRDefault="00035BE3" w:rsidP="00F0471F">
      <w:pPr>
        <w:pStyle w:val="a6"/>
        <w:ind w:left="422" w:hanging="454"/>
        <w:rPr>
          <w:rtl/>
        </w:rPr>
      </w:pPr>
      <w:r>
        <w:rPr>
          <w:rFonts w:hint="cs"/>
          <w:rtl/>
        </w:rPr>
        <w:tab/>
        <w:t>أجل : الموت.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422" w:hanging="454"/>
        <w:rPr>
          <w:rtl/>
        </w:rPr>
      </w:pPr>
      <w:r>
        <w:rPr>
          <w:rFonts w:hint="cs"/>
          <w:rtl/>
        </w:rPr>
        <w:tab/>
        <w:t>أمان : نجاة.</w:t>
      </w:r>
    </w:p>
    <w:p w:rsidR="00035BE3" w:rsidRDefault="00035BE3" w:rsidP="00F0471F">
      <w:pPr>
        <w:pStyle w:val="a6"/>
        <w:ind w:left="422" w:hanging="454"/>
        <w:rPr>
          <w:rtl/>
        </w:rPr>
      </w:pPr>
      <w:r>
        <w:rPr>
          <w:rFonts w:hint="cs"/>
          <w:rtl/>
        </w:rPr>
        <w:tab/>
        <w:t>يابم : حصلت.</w:t>
      </w:r>
    </w:p>
    <w:p w:rsidR="00035BE3" w:rsidRDefault="00035BE3" w:rsidP="00F0471F">
      <w:pPr>
        <w:pStyle w:val="a6"/>
        <w:ind w:left="422" w:hanging="454"/>
        <w:rPr>
          <w:rtl/>
        </w:rPr>
      </w:pPr>
      <w:r>
        <w:rPr>
          <w:rFonts w:hint="cs"/>
          <w:rtl/>
        </w:rPr>
        <w:tab/>
        <w:t>اين قدر : هذا القدر.</w:t>
      </w:r>
    </w:p>
    <w:p w:rsidR="00035BE3" w:rsidRDefault="00035BE3" w:rsidP="00F0471F">
      <w:pPr>
        <w:pStyle w:val="a6"/>
        <w:ind w:left="422" w:hanging="454"/>
        <w:rPr>
          <w:rtl/>
        </w:rPr>
      </w:pPr>
      <w:r>
        <w:rPr>
          <w:rFonts w:hint="cs"/>
          <w:rtl/>
        </w:rPr>
        <w:tab/>
        <w:t>ثبت آمد : تمَّ تسجيله أو تمَّ إنجازه.</w:t>
      </w:r>
    </w:p>
    <w:p w:rsidR="00035BE3" w:rsidRDefault="00035BE3" w:rsidP="00F0471F">
      <w:pPr>
        <w:pStyle w:val="a6"/>
        <w:ind w:left="422" w:hanging="454"/>
        <w:rPr>
          <w:rtl/>
        </w:rPr>
      </w:pPr>
      <w:r>
        <w:rPr>
          <w:rFonts w:hint="cs"/>
          <w:rtl/>
        </w:rPr>
        <w:tab/>
        <w:t>تحفة : هدية.</w:t>
      </w:r>
    </w:p>
    <w:p w:rsidR="00035BE3" w:rsidRDefault="00035BE3" w:rsidP="00F0471F">
      <w:pPr>
        <w:pStyle w:val="a6"/>
        <w:ind w:left="422" w:hanging="454"/>
        <w:rPr>
          <w:rtl/>
        </w:rPr>
      </w:pPr>
      <w:r>
        <w:rPr>
          <w:rFonts w:hint="cs"/>
          <w:rtl/>
        </w:rPr>
        <w:tab/>
        <w:t>بهردوستان : للأحباب.</w:t>
      </w:r>
    </w:p>
    <w:p w:rsidR="00035BE3" w:rsidRDefault="00035BE3" w:rsidP="00F0471F">
      <w:pPr>
        <w:pStyle w:val="a6"/>
        <w:ind w:left="422" w:hanging="454"/>
        <w:rPr>
          <w:rtl/>
        </w:rPr>
      </w:pPr>
      <w:r>
        <w:rPr>
          <w:rFonts w:hint="cs"/>
          <w:rtl/>
        </w:rPr>
        <w:tab/>
        <w:t>شايد : يصلح.</w:t>
      </w:r>
    </w:p>
    <w:p w:rsidR="00035BE3" w:rsidRDefault="00035BE3" w:rsidP="00F0471F">
      <w:pPr>
        <w:pStyle w:val="a6"/>
        <w:ind w:left="422" w:hanging="454"/>
        <w:rPr>
          <w:rtl/>
        </w:rPr>
      </w:pPr>
      <w:r>
        <w:rPr>
          <w:rFonts w:hint="cs"/>
          <w:b/>
          <w:bCs/>
          <w:rtl/>
        </w:rPr>
        <w:tab/>
        <w:t>ثانياً</w:t>
      </w:r>
      <w:r>
        <w:rPr>
          <w:rFonts w:hint="cs"/>
          <w:rtl/>
        </w:rPr>
        <w:t xml:space="preserve"> : معناهما الإجمالي :</w:t>
      </w:r>
    </w:p>
    <w:p w:rsidR="00035BE3" w:rsidRDefault="00035BE3" w:rsidP="00F0471F">
      <w:pPr>
        <w:pStyle w:val="a6"/>
        <w:ind w:left="422" w:hanging="454"/>
        <w:rPr>
          <w:rtl/>
        </w:rPr>
      </w:pPr>
      <w:r>
        <w:rPr>
          <w:rFonts w:hint="cs"/>
          <w:rtl/>
        </w:rPr>
        <w:tab/>
        <w:t>يبدو أن معناهما: إن طال عمري فإن قلبي يحبّ أو يميل إلى المزيد، والآن أقدم ما تمَّ إنجازه هدية للأحباب.</w:t>
      </w:r>
    </w:p>
    <w:p w:rsidR="00035BE3" w:rsidRDefault="00035BE3" w:rsidP="00F0471F">
      <w:pPr>
        <w:pStyle w:val="a6"/>
        <w:ind w:left="422" w:hanging="454"/>
        <w:rPr>
          <w:rtl/>
          <w:lang w:bidi="ar-AE"/>
        </w:rPr>
      </w:pPr>
      <w:r>
        <w:rPr>
          <w:rFonts w:hint="cs"/>
          <w:rtl/>
        </w:rPr>
        <w:tab/>
        <w:t>(أفادني بهذه الترجمة الباحث : أحمد بن محمد النقيب (الأفغاني) -شكر الله له-).</w:t>
      </w:r>
    </w:p>
    <w:p w:rsidR="00035BE3" w:rsidRDefault="00035BE3" w:rsidP="00F0471F">
      <w:pPr>
        <w:pStyle w:val="a6"/>
        <w:ind w:left="422" w:hanging="454"/>
        <w:rPr>
          <w:rtl/>
          <w:lang w:bidi="ar-AE"/>
        </w:rPr>
      </w:pPr>
      <w:r>
        <w:rPr>
          <w:rFonts w:hint="cs"/>
          <w:b/>
          <w:bCs/>
          <w:rtl/>
        </w:rPr>
        <w:tab/>
      </w:r>
      <w:r>
        <w:rPr>
          <w:rFonts w:hint="cs"/>
          <w:b/>
          <w:bCs/>
          <w:rtl/>
          <w:lang w:bidi="ar-AE"/>
        </w:rPr>
        <w:t>وأما نسخة (هـ)</w:t>
      </w:r>
      <w:r>
        <w:rPr>
          <w:rFonts w:hint="cs"/>
          <w:rtl/>
          <w:lang w:bidi="ar-AE"/>
        </w:rPr>
        <w:t xml:space="preserve"> : فقد جاء فيها بعد تلك الكلمة سردٌ لعدد من القواعد والنصوص مع الرّمز لمصادر كثير منها، وقد كُتِبت بخط مغاير، وفي لوحتين مستقلتين، من غير تصديرلها بعنوان أو عزوها إلى جامعها.</w:t>
      </w:r>
    </w:p>
    <w:p w:rsidR="00035BE3" w:rsidRDefault="00035BE3" w:rsidP="00F0471F">
      <w:pPr>
        <w:pStyle w:val="a6"/>
        <w:ind w:left="422" w:hanging="454"/>
        <w:rPr>
          <w:rtl/>
          <w:lang w:bidi="ar-AE"/>
        </w:rPr>
      </w:pPr>
      <w:r>
        <w:rPr>
          <w:rFonts w:hint="cs"/>
          <w:rtl/>
        </w:rPr>
        <w:tab/>
      </w:r>
      <w:r>
        <w:rPr>
          <w:rFonts w:hint="cs"/>
          <w:rtl/>
          <w:lang w:bidi="ar-AE"/>
        </w:rPr>
        <w:t>ويضاف إليها قواعد أخر، ذُكرت متناثرة في هوامش الكتاب، وبالخط الذي كُتِبت به تلك القواعد.</w:t>
      </w:r>
    </w:p>
    <w:p w:rsidR="00035BE3" w:rsidRDefault="00035BE3" w:rsidP="00F0471F">
      <w:pPr>
        <w:pStyle w:val="a6"/>
        <w:ind w:left="422" w:hanging="454"/>
        <w:rPr>
          <w:b/>
          <w:bCs/>
          <w:rtl/>
          <w:lang w:bidi="ar-AE"/>
        </w:rPr>
      </w:pPr>
      <w:r>
        <w:rPr>
          <w:rFonts w:ascii="Wingdings" w:hAnsi="Wingdings" w:hint="cs"/>
          <w:rtl/>
        </w:rPr>
        <w:tab/>
      </w:r>
      <w:r>
        <w:rPr>
          <w:rFonts w:ascii="Wingdings" w:hAnsi="Wingdings"/>
        </w:rPr>
        <w:t></w:t>
      </w:r>
      <w:r>
        <w:rPr>
          <w:rFonts w:hint="cs"/>
          <w:b/>
          <w:bCs/>
          <w:rtl/>
          <w:lang w:bidi="ar-AE"/>
        </w:rPr>
        <w:t xml:space="preserve"> ونصّ ما كتب في نهاية هذه النسخة:</w:t>
      </w:r>
    </w:p>
    <w:p w:rsidR="00035BE3" w:rsidRDefault="00035BE3" w:rsidP="00F0471F">
      <w:pPr>
        <w:pStyle w:val="a6"/>
        <w:ind w:left="422" w:hanging="454"/>
        <w:rPr>
          <w:rtl/>
          <w:lang w:bidi="ar-AE"/>
        </w:rPr>
      </w:pPr>
      <w:r>
        <w:rPr>
          <w:rFonts w:hint="cs"/>
          <w:rtl/>
        </w:rPr>
        <w:tab/>
      </w:r>
      <w:r>
        <w:rPr>
          <w:rFonts w:hint="eastAsia"/>
          <w:rtl/>
        </w:rPr>
        <w:t>«</w:t>
      </w:r>
      <w:r>
        <w:rPr>
          <w:rFonts w:hint="cs"/>
          <w:rtl/>
          <w:lang w:bidi="ar-AE"/>
        </w:rPr>
        <w:t xml:space="preserve"> [1] إلحاق الضرر الأدنى لدفع الضرر الأعلى جائز لأرباب الولاية. (المؤرخ الحفيد).</w:t>
      </w:r>
    </w:p>
    <w:p w:rsidR="00035BE3" w:rsidRDefault="00035BE3" w:rsidP="00F0471F">
      <w:pPr>
        <w:pStyle w:val="a6"/>
        <w:ind w:left="422" w:hanging="454"/>
        <w:rPr>
          <w:rtl/>
          <w:lang w:bidi="ar-AE"/>
        </w:rPr>
      </w:pPr>
      <w:r>
        <w:rPr>
          <w:rFonts w:hint="cs"/>
          <w:rtl/>
        </w:rPr>
        <w:tab/>
      </w:r>
      <w:r>
        <w:rPr>
          <w:rFonts w:hint="cs"/>
          <w:rtl/>
          <w:lang w:bidi="ar-AE"/>
        </w:rPr>
        <w:t>[2] لا يوصف الصبي قبل البلوغ بالكراهة. (م المحيط).</w:t>
      </w:r>
    </w:p>
    <w:p w:rsidR="00035BE3" w:rsidRDefault="00035BE3" w:rsidP="00F0471F">
      <w:pPr>
        <w:pStyle w:val="a6"/>
        <w:ind w:left="422" w:hanging="454"/>
        <w:rPr>
          <w:rtl/>
          <w:lang w:bidi="ar-AE"/>
        </w:rPr>
      </w:pPr>
      <w:r>
        <w:rPr>
          <w:rFonts w:hint="cs"/>
          <w:rtl/>
        </w:rPr>
        <w:tab/>
      </w:r>
      <w:r>
        <w:rPr>
          <w:rFonts w:hint="cs"/>
          <w:rtl/>
          <w:lang w:bidi="ar-AE"/>
        </w:rPr>
        <w:t>[3] إذا ثبت الشيء ثبت بجميع لوازمه وشرائطه.</w:t>
      </w:r>
    </w:p>
    <w:p w:rsidR="00035BE3" w:rsidRDefault="00035BE3" w:rsidP="00F0471F">
      <w:pPr>
        <w:pStyle w:val="a6"/>
        <w:ind w:left="422" w:hanging="454"/>
        <w:rPr>
          <w:rtl/>
          <w:lang w:bidi="ar-AE"/>
        </w:rPr>
      </w:pPr>
      <w:r>
        <w:rPr>
          <w:rFonts w:hint="cs"/>
          <w:rtl/>
        </w:rPr>
        <w:tab/>
      </w:r>
      <w:r>
        <w:rPr>
          <w:rFonts w:hint="cs"/>
          <w:rtl/>
          <w:lang w:bidi="ar-AE"/>
        </w:rPr>
        <w:t>[4] إذا ذكر ثلاثة أقوال : فالراجح الأول والآخر لا الوسط. (حفيد عن المستصفى).</w:t>
      </w:r>
    </w:p>
    <w:p w:rsidR="00035BE3" w:rsidRDefault="00035BE3" w:rsidP="00F0471F">
      <w:pPr>
        <w:pStyle w:val="a6"/>
        <w:ind w:left="422" w:hanging="454"/>
        <w:rPr>
          <w:rtl/>
          <w:lang w:bidi="ar-AE"/>
        </w:rPr>
      </w:pPr>
      <w:r>
        <w:rPr>
          <w:rFonts w:hint="cs"/>
          <w:rtl/>
        </w:rPr>
        <w:tab/>
      </w:r>
      <w:r>
        <w:rPr>
          <w:rFonts w:hint="cs"/>
          <w:rtl/>
          <w:lang w:bidi="ar-AE"/>
        </w:rPr>
        <w:t>[5] إلحاق الضرر الأدنى لدفع الضرر الأعلى جائز. (حفيد عن العمادية).</w:t>
      </w:r>
    </w:p>
    <w:p w:rsidR="00035BE3" w:rsidRDefault="00035BE3" w:rsidP="00F0471F">
      <w:pPr>
        <w:pStyle w:val="a6"/>
        <w:ind w:left="422" w:hanging="454"/>
        <w:rPr>
          <w:rtl/>
          <w:lang w:bidi="ar-AE"/>
        </w:rPr>
      </w:pPr>
      <w:r>
        <w:rPr>
          <w:rFonts w:hint="cs"/>
          <w:rtl/>
        </w:rPr>
        <w:tab/>
      </w:r>
      <w:r>
        <w:rPr>
          <w:rFonts w:hint="cs"/>
          <w:rtl/>
          <w:lang w:bidi="ar-AE"/>
        </w:rPr>
        <w:t>[6] الاعتقاد يستعمل في الظن الغالب عند الشافعي. (حفيد).</w:t>
      </w:r>
      <w:r>
        <w:rPr>
          <w:rFonts w:hint="cs"/>
          <w:rtl/>
          <w:lang w:bidi="ar-AE"/>
        </w:rPr>
        <w:tab/>
      </w:r>
    </w:p>
    <w:p w:rsidR="00035BE3" w:rsidRDefault="00035BE3" w:rsidP="00F0471F">
      <w:pPr>
        <w:pStyle w:val="a6"/>
        <w:ind w:left="422" w:hanging="454"/>
        <w:rPr>
          <w:rtl/>
          <w:lang w:bidi="ar-AE"/>
        </w:rPr>
      </w:pPr>
      <w:r>
        <w:rPr>
          <w:rFonts w:hint="cs"/>
          <w:rtl/>
        </w:rPr>
        <w:tab/>
      </w:r>
      <w:r>
        <w:rPr>
          <w:rFonts w:hint="cs"/>
          <w:rtl/>
          <w:lang w:bidi="ar-AE"/>
        </w:rPr>
        <w:t>[7] ما يتردّد بين الفرض والبدعة : فإثباته أولى.</w:t>
      </w:r>
    </w:p>
    <w:p w:rsidR="00035BE3" w:rsidRDefault="00035BE3" w:rsidP="00F0471F">
      <w:pPr>
        <w:pStyle w:val="a6"/>
        <w:ind w:left="422" w:hanging="454"/>
        <w:rPr>
          <w:rtl/>
          <w:lang w:bidi="ar-AE"/>
        </w:rPr>
      </w:pPr>
      <w:r>
        <w:rPr>
          <w:rFonts w:hint="cs"/>
          <w:rtl/>
        </w:rPr>
        <w:tab/>
      </w:r>
      <w:r>
        <w:rPr>
          <w:rFonts w:hint="cs"/>
          <w:rtl/>
          <w:lang w:bidi="ar-AE"/>
        </w:rPr>
        <w:t>وبين السنة والبدعة : فتركه أولى على الأكثر المختار.</w:t>
      </w:r>
    </w:p>
    <w:p w:rsidR="00035BE3" w:rsidRDefault="00035BE3" w:rsidP="00F0471F">
      <w:pPr>
        <w:pStyle w:val="a6"/>
        <w:ind w:left="422" w:hanging="454"/>
        <w:rPr>
          <w:rtl/>
          <w:lang w:bidi="ar-AE"/>
        </w:rPr>
      </w:pPr>
      <w:r>
        <w:rPr>
          <w:rFonts w:hint="cs"/>
          <w:rtl/>
        </w:rPr>
        <w:tab/>
      </w:r>
      <w:r>
        <w:rPr>
          <w:rFonts w:hint="cs"/>
          <w:rtl/>
          <w:lang w:bidi="ar-AE"/>
        </w:rPr>
        <w:t>وبين الواجب والبدعة : فإثباته أولى عند الأكثر. (حفيد عن القاعدي).</w:t>
      </w:r>
    </w:p>
    <w:p w:rsidR="00035BE3" w:rsidRDefault="00035BE3" w:rsidP="00F0471F">
      <w:pPr>
        <w:pStyle w:val="a6"/>
        <w:ind w:left="422" w:hanging="454"/>
        <w:rPr>
          <w:rtl/>
          <w:lang w:bidi="ar-AE"/>
        </w:rPr>
      </w:pPr>
      <w:r>
        <w:rPr>
          <w:rFonts w:hint="cs"/>
          <w:rtl/>
        </w:rPr>
        <w:tab/>
      </w:r>
      <w:r>
        <w:rPr>
          <w:rFonts w:hint="cs"/>
          <w:rtl/>
          <w:lang w:bidi="ar-AE"/>
        </w:rPr>
        <w:t>[8] العبرة للغالب الشائع لا للنادر. (من الكفاية).</w:t>
      </w:r>
    </w:p>
    <w:p w:rsidR="00035BE3" w:rsidRDefault="00035BE3" w:rsidP="00F0471F">
      <w:pPr>
        <w:pStyle w:val="a6"/>
        <w:ind w:left="422" w:hanging="454"/>
        <w:rPr>
          <w:rtl/>
          <w:lang w:bidi="ar-AE"/>
        </w:rPr>
      </w:pPr>
      <w:r>
        <w:rPr>
          <w:rFonts w:hint="cs"/>
          <w:rtl/>
        </w:rPr>
        <w:tab/>
      </w:r>
      <w:r>
        <w:rPr>
          <w:rFonts w:hint="cs"/>
          <w:rtl/>
          <w:lang w:bidi="ar-AE"/>
        </w:rPr>
        <w:t>[9] من ملك شيئاً ملك ما هو من ضروراته. (درر في الكراهة).</w:t>
      </w:r>
    </w:p>
    <w:p w:rsidR="00035BE3" w:rsidRDefault="00035BE3" w:rsidP="00F0471F">
      <w:pPr>
        <w:pStyle w:val="a6"/>
        <w:ind w:left="422" w:hanging="454"/>
        <w:rPr>
          <w:rtl/>
          <w:lang w:bidi="ar-AE"/>
        </w:rPr>
      </w:pPr>
      <w:r>
        <w:rPr>
          <w:rFonts w:hint="cs"/>
          <w:rtl/>
        </w:rPr>
        <w:tab/>
      </w:r>
      <w:r>
        <w:rPr>
          <w:rFonts w:hint="cs"/>
          <w:rtl/>
          <w:lang w:bidi="ar-AE"/>
        </w:rPr>
        <w:t>[10] لا عبرة بالظّنّيات في باب الاعتقادات. (حفيد عن الغير مع بحثه عليه).</w:t>
      </w:r>
      <w:r>
        <w:rPr>
          <w:rFonts w:hint="cs"/>
          <w:rtl/>
          <w:lang w:bidi="ar-AE"/>
        </w:rPr>
        <w:tab/>
      </w:r>
      <w:r>
        <w:rPr>
          <w:rFonts w:hint="cs"/>
          <w:rtl/>
          <w:lang w:bidi="ar-AE"/>
        </w:rPr>
        <w:tab/>
      </w:r>
      <w:r>
        <w:rPr>
          <w:rFonts w:hint="cs"/>
          <w:rtl/>
          <w:lang w:bidi="ar-AE"/>
        </w:rPr>
        <w:tab/>
      </w:r>
    </w:p>
    <w:p w:rsidR="00035BE3" w:rsidRDefault="00035BE3" w:rsidP="00F0471F">
      <w:pPr>
        <w:pStyle w:val="a6"/>
        <w:ind w:left="422" w:hanging="454"/>
        <w:rPr>
          <w:rtl/>
          <w:lang w:bidi="ar-AE"/>
        </w:rPr>
      </w:pPr>
      <w:r>
        <w:rPr>
          <w:rFonts w:hint="cs"/>
          <w:rtl/>
        </w:rPr>
        <w:tab/>
      </w:r>
      <w:r>
        <w:rPr>
          <w:rFonts w:hint="cs"/>
          <w:rtl/>
          <w:lang w:bidi="ar-AE"/>
        </w:rPr>
        <w:t>[11] كل مباح يؤدّي إلى زعم الجهّال بسنّة أمر أو وجوبه فمكروه. (حفيد عن القنية).</w:t>
      </w:r>
    </w:p>
    <w:p w:rsidR="00035BE3" w:rsidRDefault="00035BE3" w:rsidP="00F0471F">
      <w:pPr>
        <w:pStyle w:val="a6"/>
        <w:ind w:left="422" w:hanging="454"/>
        <w:rPr>
          <w:rtl/>
          <w:lang w:bidi="ar-AE"/>
        </w:rPr>
      </w:pPr>
      <w:r>
        <w:rPr>
          <w:rFonts w:hint="cs"/>
          <w:rtl/>
        </w:rPr>
        <w:tab/>
      </w:r>
      <w:r>
        <w:rPr>
          <w:rFonts w:hint="cs"/>
          <w:rtl/>
          <w:lang w:bidi="ar-AE"/>
        </w:rPr>
        <w:t>[12] المطلق إنما يجري على إطلاقه إذا لم يقم دليل التقييد نصًّا أو دلالة. (حفيد).</w:t>
      </w:r>
    </w:p>
    <w:p w:rsidR="00035BE3" w:rsidRDefault="00035BE3" w:rsidP="00F0471F">
      <w:pPr>
        <w:pStyle w:val="a6"/>
        <w:ind w:left="422" w:hanging="454"/>
        <w:rPr>
          <w:rtl/>
          <w:lang w:bidi="ar-AE"/>
        </w:rPr>
      </w:pPr>
      <w:r>
        <w:rPr>
          <w:rFonts w:hint="cs"/>
          <w:rtl/>
        </w:rPr>
        <w:tab/>
      </w:r>
      <w:r>
        <w:rPr>
          <w:rFonts w:hint="cs"/>
          <w:rtl/>
          <w:lang w:bidi="ar-AE"/>
        </w:rPr>
        <w:t>[13] العبرة للغالب الشائع لا النادر. (حفيد عن الكفاية).</w:t>
      </w:r>
    </w:p>
    <w:p w:rsidR="00035BE3" w:rsidRDefault="00035BE3" w:rsidP="00F0471F">
      <w:pPr>
        <w:pStyle w:val="a6"/>
        <w:ind w:left="422" w:hanging="454"/>
        <w:rPr>
          <w:rtl/>
          <w:lang w:bidi="ar-AE"/>
        </w:rPr>
      </w:pPr>
      <w:r>
        <w:rPr>
          <w:rFonts w:hint="cs"/>
          <w:rtl/>
        </w:rPr>
        <w:tab/>
      </w:r>
      <w:r>
        <w:rPr>
          <w:rFonts w:hint="cs"/>
          <w:rtl/>
          <w:lang w:bidi="ar-AE"/>
        </w:rPr>
        <w:t>[14] إخبار المجتهد عن فعل يقتضي وجوبه : كإخبار الشرع. فإنه أوكد من الأمر به، كما في (الكافي).</w:t>
      </w:r>
    </w:p>
    <w:p w:rsidR="00035BE3" w:rsidRDefault="00035BE3" w:rsidP="00F0471F">
      <w:pPr>
        <w:pStyle w:val="a6"/>
        <w:ind w:left="422" w:hanging="454"/>
        <w:rPr>
          <w:rtl/>
          <w:lang w:bidi="ar-AE"/>
        </w:rPr>
      </w:pPr>
      <w:r>
        <w:rPr>
          <w:rFonts w:hint="cs"/>
          <w:rtl/>
        </w:rPr>
        <w:tab/>
      </w:r>
      <w:r>
        <w:rPr>
          <w:rFonts w:hint="cs"/>
          <w:rtl/>
          <w:lang w:bidi="ar-AE"/>
        </w:rPr>
        <w:t>وما في (الهداية) : الأولوية لا الوجوب. (حفيد).</w:t>
      </w:r>
    </w:p>
    <w:p w:rsidR="00035BE3" w:rsidRDefault="00035BE3" w:rsidP="00F0471F">
      <w:pPr>
        <w:pStyle w:val="a6"/>
        <w:ind w:left="422" w:hanging="454"/>
        <w:rPr>
          <w:rtl/>
          <w:lang w:bidi="ar-AE"/>
        </w:rPr>
      </w:pPr>
      <w:r>
        <w:rPr>
          <w:rFonts w:hint="cs"/>
          <w:rtl/>
        </w:rPr>
        <w:tab/>
      </w:r>
      <w:r>
        <w:rPr>
          <w:rFonts w:hint="cs"/>
          <w:rtl/>
          <w:lang w:bidi="ar-AE"/>
        </w:rPr>
        <w:t>[15] لفظ (قالوا) يستعمل فيما فيه اختلاف المشائخ على ما في (النهاية). وللضعف على ما [لعل هنا سقط وهو (في)] (شرح الكشاف) للسعد، لا أنه مختلف فيه. (حفيد).</w:t>
      </w:r>
    </w:p>
    <w:p w:rsidR="00035BE3" w:rsidRDefault="00035BE3" w:rsidP="00F0471F">
      <w:pPr>
        <w:pStyle w:val="a6"/>
        <w:ind w:left="422" w:hanging="454"/>
        <w:rPr>
          <w:rtl/>
          <w:lang w:bidi="ar-AE"/>
        </w:rPr>
      </w:pPr>
      <w:r>
        <w:rPr>
          <w:rFonts w:hint="cs"/>
          <w:rtl/>
        </w:rPr>
        <w:tab/>
      </w:r>
      <w:r>
        <w:rPr>
          <w:rFonts w:hint="cs"/>
          <w:rtl/>
          <w:lang w:bidi="ar-AE"/>
        </w:rPr>
        <w:t>[16] الجهل بالأحكام في دار الإسلام ليس بعذر، كما في نكاح (الفقهية) [هكذا. ولعله يرمز إلى اسم الكتاب]. لكن في (الذّخيرة) : الجهل إنما يكون عذرًا إذا لم يقع حاجة إليها. (حفيد).</w:t>
      </w:r>
    </w:p>
    <w:p w:rsidR="00035BE3" w:rsidRDefault="00035BE3" w:rsidP="00F0471F">
      <w:pPr>
        <w:pStyle w:val="a6"/>
        <w:ind w:left="422" w:hanging="454"/>
        <w:rPr>
          <w:rtl/>
          <w:lang w:bidi="ar-AE"/>
        </w:rPr>
      </w:pPr>
      <w:r>
        <w:rPr>
          <w:rFonts w:hint="cs"/>
          <w:rtl/>
        </w:rPr>
        <w:tab/>
      </w:r>
      <w:r>
        <w:rPr>
          <w:rFonts w:hint="cs"/>
          <w:rtl/>
          <w:lang w:bidi="ar-AE"/>
        </w:rPr>
        <w:t>[17] قد يطلق عدم الجواز على الكراهة، والكراهة على الجواز. (حفيد).</w:t>
      </w:r>
    </w:p>
    <w:p w:rsidR="00035BE3" w:rsidRDefault="00035BE3" w:rsidP="00F0471F">
      <w:pPr>
        <w:pStyle w:val="a6"/>
        <w:ind w:left="422" w:hanging="454"/>
        <w:rPr>
          <w:rtl/>
          <w:lang w:bidi="ar-AE"/>
        </w:rPr>
      </w:pPr>
      <w:r>
        <w:rPr>
          <w:rFonts w:hint="cs"/>
          <w:rtl/>
        </w:rPr>
        <w:tab/>
      </w:r>
      <w:r>
        <w:rPr>
          <w:rFonts w:hint="cs"/>
          <w:rtl/>
          <w:lang w:bidi="ar-AE"/>
        </w:rPr>
        <w:t>[18] إذا تعارض أصل وظاهر : فالعمل بالأصل. وحكم الأموال في زماننا : هذا؛ إذ الأصل فيها الحل، والظاهر عليه الحرام. (حفيد).</w:t>
      </w:r>
    </w:p>
    <w:p w:rsidR="00035BE3" w:rsidRDefault="00035BE3" w:rsidP="00F0471F">
      <w:pPr>
        <w:pStyle w:val="a6"/>
        <w:ind w:left="422" w:hanging="454"/>
        <w:rPr>
          <w:rtl/>
          <w:lang w:bidi="ar-AE"/>
        </w:rPr>
      </w:pPr>
      <w:r>
        <w:rPr>
          <w:rFonts w:hint="cs"/>
          <w:rtl/>
        </w:rPr>
        <w:tab/>
      </w:r>
      <w:r>
        <w:rPr>
          <w:rFonts w:hint="cs"/>
          <w:rtl/>
          <w:lang w:bidi="ar-AE"/>
        </w:rPr>
        <w:t>[19] ثواب النفل أكثر من ثواب الفرض بسبعين درجة والقيام بفرض الكفاية أفضل من فرض العين. (حفيد).</w:t>
      </w:r>
    </w:p>
    <w:p w:rsidR="00035BE3" w:rsidRDefault="00035BE3" w:rsidP="00F0471F">
      <w:pPr>
        <w:pStyle w:val="a6"/>
        <w:ind w:left="422" w:hanging="454"/>
        <w:rPr>
          <w:rtl/>
          <w:lang w:bidi="ar-AE"/>
        </w:rPr>
      </w:pPr>
      <w:r>
        <w:rPr>
          <w:rFonts w:hint="cs"/>
          <w:rtl/>
        </w:rPr>
        <w:tab/>
      </w:r>
      <w:r>
        <w:rPr>
          <w:rFonts w:hint="cs"/>
          <w:rtl/>
          <w:lang w:bidi="ar-AE"/>
        </w:rPr>
        <w:t>[20] إذا صحّ في تركيب لفظ يصح إقامة مرانه [لعلها مرادفه] مقامه قطعًا عند ابن الحاجب، ووجوبًا عند بعضٍ، وإن [لعله سقط هنا لفظ (كان)] من لغة واحدة عند البيضاوي. (حفيد).</w:t>
      </w:r>
    </w:p>
    <w:p w:rsidR="00035BE3" w:rsidRDefault="00035BE3" w:rsidP="00F0471F">
      <w:pPr>
        <w:pStyle w:val="a6"/>
        <w:ind w:left="422" w:hanging="454"/>
        <w:rPr>
          <w:rtl/>
        </w:rPr>
      </w:pPr>
      <w:r>
        <w:rPr>
          <w:rFonts w:hint="cs"/>
          <w:rtl/>
        </w:rPr>
        <w:tab/>
      </w:r>
      <w:r>
        <w:rPr>
          <w:rFonts w:hint="cs"/>
          <w:rtl/>
          <w:lang w:bidi="ar-AE"/>
        </w:rPr>
        <w:t xml:space="preserve">[21] النكرة في الإثبات إن كانت للامتنان عمت؛ كما في قوله تعالى : </w:t>
      </w:r>
      <w:r>
        <w:rPr>
          <w:rFonts w:hint="eastAsia"/>
          <w:rtl/>
        </w:rPr>
        <w:t>«</w:t>
      </w:r>
      <w:r>
        <w:rPr>
          <w:rFonts w:hint="cs"/>
          <w:rtl/>
        </w:rPr>
        <w:t>فيها فاكهة ونخل ورمان</w:t>
      </w:r>
      <w:r>
        <w:rPr>
          <w:rFonts w:hint="eastAsia"/>
          <w:rtl/>
        </w:rPr>
        <w:t>»</w:t>
      </w:r>
      <w:r>
        <w:rPr>
          <w:rFonts w:hint="cs"/>
          <w:rtl/>
        </w:rPr>
        <w:t xml:space="preserve"> [آية رقم (68) من سورة (الرحمن)]. (حفيد).</w:t>
      </w:r>
    </w:p>
    <w:p w:rsidR="00035BE3" w:rsidRDefault="00035BE3" w:rsidP="00F0471F">
      <w:pPr>
        <w:pStyle w:val="a6"/>
        <w:ind w:left="422" w:hanging="454"/>
        <w:rPr>
          <w:rtl/>
        </w:rPr>
      </w:pPr>
      <w:r>
        <w:rPr>
          <w:rFonts w:hint="cs"/>
          <w:rtl/>
        </w:rPr>
        <w:tab/>
        <w:t>[22] تخصيص العام وتقييد المطلق يجوز بالنية فقط. (حفيد)</w:t>
      </w:r>
    </w:p>
    <w:p w:rsidR="00035BE3" w:rsidRDefault="00035BE3" w:rsidP="00F0471F">
      <w:pPr>
        <w:pStyle w:val="a6"/>
        <w:ind w:left="422" w:hanging="454"/>
        <w:rPr>
          <w:rtl/>
        </w:rPr>
      </w:pPr>
      <w:r>
        <w:rPr>
          <w:rFonts w:hint="cs"/>
          <w:rtl/>
        </w:rPr>
        <w:tab/>
        <w:t>[23] لفظ (يجب) يجيء بمعنى يستحب؛ نحو : يجب إخفاء العذرة تحت التراب. (حفيد).</w:t>
      </w:r>
    </w:p>
    <w:p w:rsidR="00035BE3" w:rsidRDefault="00035BE3" w:rsidP="00F0471F">
      <w:pPr>
        <w:pStyle w:val="a6"/>
        <w:ind w:left="422" w:hanging="454"/>
        <w:rPr>
          <w:rtl/>
        </w:rPr>
      </w:pPr>
      <w:r>
        <w:rPr>
          <w:rFonts w:hint="cs"/>
          <w:rtl/>
        </w:rPr>
        <w:tab/>
        <w:t>[24] المكروه ما ورد فيه نهي مقصود، وخلاف الأولى : ما لم يرد فيه ذلك. (حفيد).</w:t>
      </w:r>
    </w:p>
    <w:p w:rsidR="00035BE3" w:rsidRDefault="00035BE3" w:rsidP="00F0471F">
      <w:pPr>
        <w:pStyle w:val="a6"/>
        <w:ind w:left="422" w:hanging="454"/>
        <w:rPr>
          <w:rtl/>
        </w:rPr>
      </w:pPr>
      <w:r>
        <w:rPr>
          <w:rFonts w:hint="cs"/>
          <w:rtl/>
        </w:rPr>
        <w:tab/>
        <w:t>[25] إذا ثبت أصل في الحل أو الحرمة أو الطهارة أو النجاسة فلا يزال إلا باليقين. (حفيد)</w:t>
      </w:r>
    </w:p>
    <w:p w:rsidR="00035BE3" w:rsidRDefault="00035BE3" w:rsidP="00F0471F">
      <w:pPr>
        <w:pStyle w:val="a6"/>
        <w:ind w:left="422" w:hanging="454"/>
        <w:rPr>
          <w:rtl/>
        </w:rPr>
      </w:pPr>
      <w:r>
        <w:rPr>
          <w:rFonts w:hint="cs"/>
          <w:rtl/>
        </w:rPr>
        <w:tab/>
        <w:t>[26] لا ننكر تغيّر الاحكام بتغيّر الأزمان؛ كغلق باب المسجد. (زيلعي).</w:t>
      </w:r>
    </w:p>
    <w:p w:rsidR="00035BE3" w:rsidRDefault="00035BE3" w:rsidP="00F0471F">
      <w:pPr>
        <w:pStyle w:val="a6"/>
        <w:ind w:left="422" w:hanging="454"/>
        <w:rPr>
          <w:rtl/>
        </w:rPr>
      </w:pPr>
      <w:r>
        <w:rPr>
          <w:rFonts w:hint="cs"/>
          <w:rtl/>
        </w:rPr>
        <w:tab/>
        <w:t>[27] المشترك لا يتعين أحد محتمليه إلا بمرجّح. (حفيد).</w:t>
      </w:r>
    </w:p>
    <w:p w:rsidR="00035BE3" w:rsidRDefault="00035BE3" w:rsidP="00F0471F">
      <w:pPr>
        <w:pStyle w:val="a6"/>
        <w:ind w:left="422" w:hanging="454"/>
        <w:rPr>
          <w:rtl/>
        </w:rPr>
      </w:pPr>
      <w:r>
        <w:rPr>
          <w:rFonts w:hint="cs"/>
          <w:rtl/>
        </w:rPr>
        <w:tab/>
        <w:t>[28] الأمر يستعمل في الكراهة والتحريم. (ح).</w:t>
      </w:r>
    </w:p>
    <w:p w:rsidR="00035BE3" w:rsidRDefault="00035BE3" w:rsidP="00F0471F">
      <w:pPr>
        <w:pStyle w:val="a6"/>
        <w:ind w:left="422" w:hanging="454"/>
        <w:rPr>
          <w:rtl/>
        </w:rPr>
      </w:pPr>
      <w:r>
        <w:rPr>
          <w:rFonts w:hint="cs"/>
          <w:rtl/>
        </w:rPr>
        <w:tab/>
        <w:t>[29] الحكم بِـ (مَن) الشرطية ونحوها لا يقتضي التكرار، وإنْ اقتضى العموم (حفيد).</w:t>
      </w:r>
    </w:p>
    <w:p w:rsidR="00035BE3" w:rsidRDefault="00035BE3" w:rsidP="00F0471F">
      <w:pPr>
        <w:pStyle w:val="a6"/>
        <w:ind w:left="422" w:hanging="454"/>
        <w:rPr>
          <w:rtl/>
        </w:rPr>
      </w:pPr>
      <w:r>
        <w:rPr>
          <w:rFonts w:hint="cs"/>
          <w:rtl/>
        </w:rPr>
        <w:tab/>
        <w:t>[30] المتكلم يدخل في متعلق خطابه عند الأكثرين. (حفيد).</w:t>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422" w:hanging="454"/>
        <w:rPr>
          <w:rtl/>
        </w:rPr>
      </w:pPr>
      <w:r>
        <w:rPr>
          <w:rFonts w:hint="cs"/>
          <w:rtl/>
        </w:rPr>
        <w:tab/>
        <w:t>[31] لفظ الذكور الذي يمتاز عن الإناث بعلامة؛ كـ(المسلمين) و(فعلوا) لا يدخل فيه الإناث تبعًا، خلافًا للحنابلة. (حفيد).</w:t>
      </w:r>
    </w:p>
    <w:p w:rsidR="00035BE3" w:rsidRDefault="00035BE3" w:rsidP="00F0471F">
      <w:pPr>
        <w:pStyle w:val="a6"/>
        <w:ind w:left="422" w:hanging="454"/>
        <w:rPr>
          <w:rtl/>
        </w:rPr>
      </w:pPr>
      <w:r>
        <w:rPr>
          <w:rFonts w:hint="cs"/>
          <w:rtl/>
        </w:rPr>
        <w:tab/>
        <w:t>[32] جمع المصدر ليس بقياسي؛ بل سماعي. (حفيد).</w:t>
      </w:r>
    </w:p>
    <w:p w:rsidR="00035BE3" w:rsidRDefault="00035BE3" w:rsidP="00F0471F">
      <w:pPr>
        <w:pStyle w:val="a6"/>
        <w:ind w:left="422" w:hanging="454"/>
        <w:rPr>
          <w:rtl/>
        </w:rPr>
      </w:pPr>
      <w:r>
        <w:rPr>
          <w:rFonts w:hint="cs"/>
          <w:rtl/>
        </w:rPr>
        <w:tab/>
        <w:t>[33] أداء لفظ المفرد بمعنى المثنى والمجموع غير عزيز في كلامهم. صرّح به الرّضي. (حفيد).</w:t>
      </w:r>
    </w:p>
    <w:p w:rsidR="00035BE3" w:rsidRDefault="00035BE3" w:rsidP="00F0471F">
      <w:pPr>
        <w:pStyle w:val="a6"/>
        <w:ind w:left="422" w:hanging="454"/>
        <w:rPr>
          <w:rtl/>
        </w:rPr>
      </w:pPr>
      <w:r>
        <w:rPr>
          <w:rFonts w:hint="cs"/>
          <w:rtl/>
        </w:rPr>
        <w:tab/>
        <w:t>[34] العبرة لعموم اللفظ لا لخصوص السبب، خلافًا للشافعية. ولا لخصوص الغرض، خلافًا لبعضهم في المدح والذم، وللخصّاف في نيّة الخصوص، وروي عن أبي يوسف في اليمين. (تلخيص تنقيح).</w:t>
      </w:r>
    </w:p>
    <w:p w:rsidR="00035BE3" w:rsidRDefault="00035BE3" w:rsidP="00F0471F">
      <w:pPr>
        <w:pStyle w:val="a6"/>
        <w:ind w:left="422" w:hanging="454"/>
        <w:rPr>
          <w:rtl/>
        </w:rPr>
      </w:pPr>
      <w:r>
        <w:rPr>
          <w:rFonts w:hint="cs"/>
          <w:rtl/>
        </w:rPr>
        <w:tab/>
        <w:t>[35] تعارفُ المجاز قرينةٌ مانعةٌ عن إرادة الحقيقة عندهما، خلافًا لأبي حنيفة. (تلويح).</w:t>
      </w:r>
    </w:p>
    <w:p w:rsidR="00035BE3" w:rsidRDefault="00035BE3" w:rsidP="00F0471F">
      <w:pPr>
        <w:pStyle w:val="a6"/>
        <w:ind w:left="422" w:hanging="454"/>
        <w:rPr>
          <w:rtl/>
        </w:rPr>
      </w:pPr>
      <w:r>
        <w:rPr>
          <w:rFonts w:hint="cs"/>
          <w:rtl/>
        </w:rPr>
        <w:tab/>
        <w:t>[36] دلالة اللفظ على جزئه ولازمه مجازًا : مطابقة. (تلويح).</w:t>
      </w:r>
    </w:p>
    <w:p w:rsidR="00035BE3" w:rsidRDefault="00035BE3" w:rsidP="00F0471F">
      <w:pPr>
        <w:pStyle w:val="a6"/>
        <w:ind w:left="422" w:hanging="454"/>
        <w:rPr>
          <w:rtl/>
        </w:rPr>
      </w:pPr>
      <w:r>
        <w:rPr>
          <w:rFonts w:hint="cs"/>
          <w:rtl/>
        </w:rPr>
        <w:tab/>
        <w:t>[37] المطلق يحمل على المقيّد في الروايات. (درر).</w:t>
      </w:r>
    </w:p>
    <w:p w:rsidR="00035BE3" w:rsidRDefault="00035BE3" w:rsidP="00F0471F">
      <w:pPr>
        <w:pStyle w:val="a6"/>
        <w:ind w:left="422" w:hanging="454"/>
        <w:rPr>
          <w:rtl/>
        </w:rPr>
      </w:pPr>
      <w:r>
        <w:rPr>
          <w:rFonts w:hint="cs"/>
          <w:rtl/>
        </w:rPr>
        <w:tab/>
        <w:t>[38] النصّ المحتمل يجب حمله على القطعي. (درر).</w:t>
      </w:r>
    </w:p>
    <w:p w:rsidR="00035BE3" w:rsidRDefault="00035BE3" w:rsidP="00F0471F">
      <w:pPr>
        <w:pStyle w:val="a6"/>
        <w:ind w:left="422" w:hanging="454"/>
        <w:rPr>
          <w:rtl/>
        </w:rPr>
      </w:pPr>
      <w:r>
        <w:rPr>
          <w:rFonts w:hint="cs"/>
          <w:rtl/>
        </w:rPr>
        <w:tab/>
        <w:t>[39] العبرة للملفوظ. (درر).</w:t>
      </w:r>
    </w:p>
    <w:p w:rsidR="00035BE3" w:rsidRDefault="00035BE3" w:rsidP="00F0471F">
      <w:pPr>
        <w:pStyle w:val="a6"/>
        <w:ind w:left="422" w:hanging="454"/>
        <w:rPr>
          <w:rtl/>
        </w:rPr>
      </w:pPr>
      <w:r>
        <w:rPr>
          <w:rFonts w:hint="cs"/>
          <w:rtl/>
        </w:rPr>
        <w:tab/>
        <w:t>[40] العبرة للمعاني. (درر).</w:t>
      </w:r>
    </w:p>
    <w:p w:rsidR="00035BE3" w:rsidRDefault="00035BE3" w:rsidP="00F0471F">
      <w:pPr>
        <w:pStyle w:val="a6"/>
        <w:ind w:left="422" w:hanging="454"/>
        <w:rPr>
          <w:rtl/>
        </w:rPr>
      </w:pPr>
      <w:r>
        <w:rPr>
          <w:rFonts w:hint="cs"/>
          <w:rtl/>
        </w:rPr>
        <w:tab/>
        <w:t>[41] سعي الإنسان في نقض ما تمَّ من جهته مردود. (درر).</w:t>
      </w:r>
    </w:p>
    <w:p w:rsidR="00035BE3" w:rsidRDefault="00035BE3" w:rsidP="00F0471F">
      <w:pPr>
        <w:pStyle w:val="a6"/>
        <w:ind w:left="422" w:hanging="454"/>
        <w:rPr>
          <w:rtl/>
        </w:rPr>
      </w:pPr>
      <w:r>
        <w:rPr>
          <w:rFonts w:hint="cs"/>
          <w:rtl/>
        </w:rPr>
        <w:tab/>
        <w:t>[42] لا عبرة لاختلاف السبب مع اتحاد الحكم. (درر).</w:t>
      </w:r>
    </w:p>
    <w:p w:rsidR="00035BE3" w:rsidRDefault="00035BE3" w:rsidP="00F0471F">
      <w:pPr>
        <w:pStyle w:val="a6"/>
        <w:ind w:left="422" w:hanging="454"/>
        <w:rPr>
          <w:rtl/>
        </w:rPr>
      </w:pPr>
      <w:r>
        <w:rPr>
          <w:rFonts w:hint="cs"/>
          <w:rtl/>
        </w:rPr>
        <w:tab/>
        <w:t>[43] حكم [لعلها (يُحكَّم)] الحال إن اختلفا.</w:t>
      </w:r>
    </w:p>
    <w:p w:rsidR="00035BE3" w:rsidRDefault="00035BE3" w:rsidP="00F0471F">
      <w:pPr>
        <w:pStyle w:val="a6"/>
        <w:ind w:left="422" w:hanging="454"/>
        <w:rPr>
          <w:rtl/>
        </w:rPr>
      </w:pPr>
      <w:r>
        <w:rPr>
          <w:rFonts w:hint="cs"/>
          <w:rtl/>
        </w:rPr>
        <w:tab/>
        <w:t>[44] للوسائل أحكام المقاصد.</w:t>
      </w:r>
    </w:p>
    <w:p w:rsidR="00035BE3" w:rsidRDefault="00035BE3" w:rsidP="00F0471F">
      <w:pPr>
        <w:pStyle w:val="a6"/>
        <w:ind w:left="422" w:hanging="454"/>
        <w:rPr>
          <w:rtl/>
          <w:lang w:val="en-US" w:bidi="ar-AE"/>
        </w:rPr>
      </w:pPr>
      <w:r>
        <w:rPr>
          <w:rFonts w:hint="cs"/>
          <w:rtl/>
        </w:rPr>
        <w:tab/>
        <w:t xml:space="preserve">[45] جواز صدور الكراهة التنـزيهي عنه </w:t>
      </w:r>
      <w:r>
        <w:rPr>
          <w:rFonts w:ascii="AGA Arabesque" w:hAnsi="AGA Arabesque"/>
          <w:sz w:val="36"/>
          <w:szCs w:val="36"/>
          <w:lang w:val="en-US"/>
        </w:rPr>
        <w:t></w:t>
      </w:r>
      <w:r>
        <w:rPr>
          <w:rFonts w:hint="cs"/>
          <w:rtl/>
          <w:lang w:val="en-US" w:bidi="ar-AE"/>
        </w:rPr>
        <w:t xml:space="preserve"> تعليمًا لأصل الجواز. (مبارق في حديث لا يشربن).</w:t>
      </w:r>
    </w:p>
    <w:p w:rsidR="00035BE3" w:rsidRDefault="00035BE3" w:rsidP="00F0471F">
      <w:pPr>
        <w:pStyle w:val="a6"/>
        <w:ind w:left="422" w:hanging="454"/>
        <w:rPr>
          <w:rtl/>
          <w:lang w:val="en-US" w:bidi="ar-AE"/>
        </w:rPr>
      </w:pPr>
      <w:r>
        <w:rPr>
          <w:rFonts w:hint="cs"/>
          <w:rtl/>
          <w:lang w:val="en-US"/>
        </w:rPr>
        <w:tab/>
      </w:r>
      <w:r>
        <w:rPr>
          <w:rFonts w:hint="cs"/>
          <w:rtl/>
          <w:lang w:val="en-US" w:bidi="ar-AE"/>
        </w:rPr>
        <w:t>[46] الزعم يستعمل في القول المحقق؛ كما في شرح البخاري للشيخ. (حفيد).</w:t>
      </w:r>
    </w:p>
    <w:p w:rsidR="00035BE3" w:rsidRDefault="00035BE3" w:rsidP="00F0471F">
      <w:pPr>
        <w:pStyle w:val="a6"/>
        <w:ind w:left="422" w:hanging="454"/>
        <w:rPr>
          <w:rtl/>
          <w:lang w:val="en-US" w:bidi="ar-AE"/>
        </w:rPr>
      </w:pPr>
      <w:r>
        <w:rPr>
          <w:rFonts w:hint="cs"/>
          <w:rtl/>
          <w:lang w:val="en-US"/>
        </w:rPr>
        <w:tab/>
      </w:r>
      <w:r>
        <w:rPr>
          <w:rFonts w:hint="cs"/>
          <w:rtl/>
          <w:lang w:val="en-US" w:bidi="ar-AE"/>
        </w:rPr>
        <w:t>[47] استعمال الناس حجة يجب العمل بها. (تلويح).</w:t>
      </w:r>
    </w:p>
    <w:p w:rsidR="00035BE3" w:rsidRDefault="00035BE3" w:rsidP="00F0471F">
      <w:pPr>
        <w:pStyle w:val="a6"/>
        <w:spacing w:line="264" w:lineRule="auto"/>
        <w:ind w:left="420" w:hanging="454"/>
        <w:rPr>
          <w:rtl/>
          <w:lang w:val="en-US" w:bidi="ar-AE"/>
        </w:rPr>
      </w:pPr>
      <w:r>
        <w:rPr>
          <w:rFonts w:hint="cs"/>
          <w:rtl/>
          <w:lang w:val="en-US"/>
        </w:rPr>
        <w:tab/>
      </w:r>
      <w:r>
        <w:rPr>
          <w:rFonts w:hint="cs"/>
          <w:rtl/>
          <w:lang w:val="en-US" w:bidi="ar-AE"/>
        </w:rPr>
        <w:t>[48] الواجب عند تعذّر الحقيقة العدول إلى أقرب المجاز. (تلويح).</w:t>
      </w:r>
      <w:r>
        <w:rPr>
          <w:rFonts w:hint="cs"/>
          <w:rtl/>
          <w:lang w:val="en-US" w:bidi="ar-AE"/>
        </w:rPr>
        <w:tab/>
      </w:r>
      <w:r>
        <w:rPr>
          <w:rFonts w:hint="cs"/>
          <w:rtl/>
          <w:lang w:val="en-US" w:bidi="ar-AE"/>
        </w:rPr>
        <w:tab/>
      </w:r>
      <w:r>
        <w:rPr>
          <w:rFonts w:hint="cs"/>
          <w:rtl/>
          <w:lang w:val="en-US" w:bidi="ar-AE"/>
        </w:rPr>
        <w:tab/>
      </w:r>
      <w:r>
        <w:rPr>
          <w:rFonts w:hint="cs"/>
          <w:rtl/>
          <w:lang w:val="en-US" w:bidi="ar-AE"/>
        </w:rPr>
        <w:tab/>
      </w:r>
    </w:p>
    <w:p w:rsidR="00035BE3" w:rsidRDefault="00035BE3" w:rsidP="00F0471F">
      <w:pPr>
        <w:pStyle w:val="a6"/>
        <w:spacing w:line="264" w:lineRule="auto"/>
        <w:ind w:left="420" w:hanging="454"/>
        <w:rPr>
          <w:rtl/>
          <w:lang w:val="en-US" w:bidi="ar-AE"/>
        </w:rPr>
      </w:pPr>
      <w:r>
        <w:rPr>
          <w:rFonts w:hint="cs"/>
          <w:rtl/>
          <w:lang w:val="en-US"/>
        </w:rPr>
        <w:tab/>
      </w:r>
      <w:r>
        <w:rPr>
          <w:rFonts w:hint="cs"/>
          <w:rtl/>
          <w:lang w:val="en-US" w:bidi="ar-AE"/>
        </w:rPr>
        <w:t>[49] العلة لا ترجّح بزيادة من جنسها. (تلويح).</w:t>
      </w:r>
    </w:p>
    <w:p w:rsidR="00035BE3" w:rsidRDefault="00035BE3" w:rsidP="00F0471F">
      <w:pPr>
        <w:pStyle w:val="a6"/>
        <w:spacing w:line="264" w:lineRule="auto"/>
        <w:ind w:left="420" w:hanging="454"/>
        <w:rPr>
          <w:rtl/>
          <w:lang w:val="en-US" w:bidi="ar-AE"/>
        </w:rPr>
      </w:pPr>
      <w:r>
        <w:rPr>
          <w:rFonts w:hint="cs"/>
          <w:rtl/>
          <w:lang w:val="en-US"/>
        </w:rPr>
        <w:tab/>
      </w:r>
      <w:r>
        <w:rPr>
          <w:rFonts w:hint="cs"/>
          <w:rtl/>
          <w:lang w:val="en-US" w:bidi="ar-AE"/>
        </w:rPr>
        <w:t>[50] المطلق لا يتعرّض الصفات. (درر).</w:t>
      </w:r>
    </w:p>
    <w:p w:rsidR="00035BE3" w:rsidRDefault="00035BE3" w:rsidP="00F0471F">
      <w:pPr>
        <w:pStyle w:val="a6"/>
        <w:spacing w:line="264" w:lineRule="auto"/>
        <w:ind w:left="420" w:hanging="454"/>
        <w:rPr>
          <w:rtl/>
          <w:lang w:val="en-US" w:bidi="ar-AE"/>
        </w:rPr>
      </w:pPr>
      <w:r>
        <w:rPr>
          <w:rFonts w:hint="cs"/>
          <w:rtl/>
          <w:lang w:val="en-US"/>
        </w:rPr>
        <w:tab/>
      </w:r>
      <w:r>
        <w:rPr>
          <w:rFonts w:hint="cs"/>
          <w:rtl/>
          <w:lang w:val="en-US" w:bidi="ar-AE"/>
        </w:rPr>
        <w:t>[51] لا عبرة للدلالة بمقابلة التصريح. (درر).</w:t>
      </w:r>
    </w:p>
    <w:p w:rsidR="00035BE3" w:rsidRDefault="00035BE3" w:rsidP="00F0471F">
      <w:pPr>
        <w:pStyle w:val="a6"/>
        <w:spacing w:line="264" w:lineRule="auto"/>
        <w:ind w:left="420" w:hanging="454"/>
        <w:rPr>
          <w:rtl/>
          <w:lang w:val="en-US" w:bidi="ar-AE"/>
        </w:rPr>
      </w:pPr>
      <w:r>
        <w:rPr>
          <w:rFonts w:hint="cs"/>
          <w:rtl/>
          <w:lang w:val="en-US"/>
        </w:rPr>
        <w:tab/>
      </w:r>
      <w:r>
        <w:rPr>
          <w:rFonts w:hint="cs"/>
          <w:rtl/>
          <w:lang w:val="en-US" w:bidi="ar-AE"/>
        </w:rPr>
        <w:t>[52] ليس كل ما فيه معنى الشيء حكمه حكم ذلك الشيء. (مختصر).</w:t>
      </w:r>
    </w:p>
    <w:p w:rsidR="00035BE3" w:rsidRDefault="00035BE3" w:rsidP="00F0471F">
      <w:pPr>
        <w:pStyle w:val="a6"/>
        <w:spacing w:line="264" w:lineRule="auto"/>
        <w:ind w:left="420" w:hanging="454"/>
        <w:rPr>
          <w:rtl/>
          <w:lang w:val="en-US" w:bidi="ar-AE"/>
        </w:rPr>
      </w:pPr>
      <w:r>
        <w:rPr>
          <w:rFonts w:hint="cs"/>
          <w:rtl/>
          <w:lang w:val="en-US"/>
        </w:rPr>
        <w:tab/>
      </w:r>
      <w:r>
        <w:rPr>
          <w:rFonts w:hint="cs"/>
          <w:rtl/>
          <w:lang w:val="en-US" w:bidi="ar-AE"/>
        </w:rPr>
        <w:t>[53] يوابك شكر سلطانِم يست [هكذا !]؛ لأن التماثل في الأسباب يقتضي التماثل في المسببات. (بيضاوي في نهود).</w:t>
      </w:r>
      <w:r>
        <w:rPr>
          <w:rFonts w:hint="cs"/>
          <w:rtl/>
          <w:lang w:val="en-US" w:bidi="ar-AE"/>
        </w:rPr>
        <w:tab/>
      </w:r>
      <w:r>
        <w:rPr>
          <w:rFonts w:hint="cs"/>
          <w:rtl/>
          <w:lang w:val="en-US" w:bidi="ar-AE"/>
        </w:rPr>
        <w:tab/>
      </w:r>
      <w:r>
        <w:rPr>
          <w:rFonts w:hint="cs"/>
          <w:rtl/>
          <w:lang w:val="en-US" w:bidi="ar-AE"/>
        </w:rPr>
        <w:tab/>
      </w:r>
      <w:r>
        <w:rPr>
          <w:rFonts w:hint="cs"/>
          <w:rtl/>
          <w:lang w:val="en-US" w:bidi="ar-AE"/>
        </w:rPr>
        <w:tab/>
      </w:r>
      <w:r>
        <w:rPr>
          <w:rFonts w:hint="cs"/>
          <w:rtl/>
          <w:lang w:val="en-US" w:bidi="ar-AE"/>
        </w:rPr>
        <w:tab/>
      </w:r>
      <w:r>
        <w:rPr>
          <w:rFonts w:hint="cs"/>
          <w:rtl/>
          <w:lang w:val="en-US" w:bidi="ar-AE"/>
        </w:rPr>
        <w:tab/>
      </w:r>
      <w:r>
        <w:rPr>
          <w:rFonts w:hint="cs"/>
          <w:rtl/>
          <w:lang w:val="en-US" w:bidi="ar-AE"/>
        </w:rPr>
        <w:tab/>
      </w:r>
      <w:r>
        <w:rPr>
          <w:rFonts w:hint="cs"/>
          <w:rtl/>
          <w:lang w:val="en-US" w:bidi="ar-AE"/>
        </w:rPr>
        <w:tab/>
      </w:r>
      <w:r>
        <w:rPr>
          <w:rFonts w:hint="cs"/>
          <w:rtl/>
          <w:lang w:val="en-US" w:bidi="ar-AE"/>
        </w:rPr>
        <w:tab/>
        <w:t xml:space="preserve">  </w:t>
      </w:r>
    </w:p>
    <w:p w:rsidR="00035BE3" w:rsidRDefault="00035BE3" w:rsidP="00F0471F">
      <w:pPr>
        <w:pStyle w:val="a6"/>
        <w:ind w:left="422" w:hanging="454"/>
        <w:rPr>
          <w:rtl/>
          <w:lang w:val="en-US"/>
        </w:rPr>
      </w:pPr>
      <w:r>
        <w:rPr>
          <w:rFonts w:hint="cs"/>
          <w:rtl/>
          <w:lang w:val="en-US"/>
        </w:rPr>
        <w:tab/>
      </w:r>
      <w:r>
        <w:rPr>
          <w:rFonts w:hint="cs"/>
          <w:rtl/>
          <w:lang w:val="en-US" w:bidi="ar-AE"/>
        </w:rPr>
        <w:t>[54] إنّ العلم اليقيني بالجزيئات النظرية لا يحصل إلا في الكليات. (تهذيب أبي الفتح).</w:t>
      </w:r>
    </w:p>
    <w:p w:rsidR="00035BE3" w:rsidRDefault="00035BE3" w:rsidP="00F0471F">
      <w:pPr>
        <w:pStyle w:val="a6"/>
        <w:ind w:left="422" w:hanging="454"/>
        <w:rPr>
          <w:rtl/>
          <w:lang w:val="en-US" w:bidi="ar-AE"/>
        </w:rPr>
      </w:pPr>
      <w:r>
        <w:rPr>
          <w:rFonts w:hint="cs"/>
          <w:rtl/>
          <w:lang w:val="en-US"/>
        </w:rPr>
        <w:tab/>
      </w:r>
      <w:r>
        <w:rPr>
          <w:rFonts w:hint="cs"/>
          <w:rtl/>
          <w:lang w:val="en-US" w:bidi="ar-AE"/>
        </w:rPr>
        <w:t xml:space="preserve">[55] </w:t>
      </w:r>
      <w:r>
        <w:rPr>
          <w:rFonts w:hint="eastAsia"/>
          <w:rtl/>
        </w:rPr>
        <w:t>«</w:t>
      </w:r>
      <w:r>
        <w:rPr>
          <w:rFonts w:hint="cs"/>
          <w:rtl/>
          <w:lang w:val="en-US" w:bidi="ar-AE"/>
        </w:rPr>
        <w:t>ليأتيّن على القاضي العدل يوم القيامة يتمنى أن لم يقضِ بين اثنين في تمرة قط</w:t>
      </w:r>
      <w:r>
        <w:rPr>
          <w:rFonts w:hint="eastAsia"/>
          <w:rtl/>
        </w:rPr>
        <w:t>»</w:t>
      </w:r>
      <w:r>
        <w:rPr>
          <w:rFonts w:hint="cs"/>
          <w:rtl/>
          <w:lang w:val="en-US" w:bidi="ar-AE"/>
        </w:rPr>
        <w:t>. (جامع الصغير).</w:t>
      </w:r>
    </w:p>
    <w:p w:rsidR="00035BE3" w:rsidRDefault="00035BE3" w:rsidP="00F0471F">
      <w:pPr>
        <w:pStyle w:val="a6"/>
        <w:ind w:left="422" w:hanging="454"/>
        <w:rPr>
          <w:rtl/>
          <w:lang w:val="en-US" w:bidi="ar-AE"/>
        </w:rPr>
      </w:pPr>
      <w:r>
        <w:rPr>
          <w:rFonts w:hint="cs"/>
          <w:rtl/>
          <w:lang w:val="en-US"/>
        </w:rPr>
        <w:tab/>
      </w:r>
      <w:r>
        <w:rPr>
          <w:rFonts w:hint="cs"/>
          <w:rtl/>
          <w:lang w:val="en-US" w:bidi="ar-AE"/>
        </w:rPr>
        <w:t xml:space="preserve">[56] </w:t>
      </w:r>
      <w:r>
        <w:rPr>
          <w:rFonts w:hint="eastAsia"/>
          <w:rtl/>
        </w:rPr>
        <w:t>«</w:t>
      </w:r>
      <w:r>
        <w:rPr>
          <w:rFonts w:hint="cs"/>
          <w:rtl/>
          <w:lang w:val="en-US" w:bidi="ar-AE"/>
        </w:rPr>
        <w:t>عرض عليَّ أول ثلاثة يدخلون الجنة، وأول ثلاثة يدخلون النار ... فمنهم أمير متسلّط. الحديث</w:t>
      </w:r>
      <w:r>
        <w:rPr>
          <w:rFonts w:hint="eastAsia"/>
          <w:rtl/>
        </w:rPr>
        <w:t>»</w:t>
      </w:r>
      <w:r>
        <w:rPr>
          <w:rFonts w:hint="cs"/>
          <w:rtl/>
          <w:lang w:val="en-US" w:bidi="ar-AE"/>
        </w:rPr>
        <w:t>. (في جامع الصغير).</w:t>
      </w:r>
    </w:p>
    <w:p w:rsidR="00035BE3" w:rsidRDefault="00035BE3" w:rsidP="00F0471F">
      <w:pPr>
        <w:pStyle w:val="a6"/>
        <w:ind w:left="422" w:hanging="454"/>
        <w:rPr>
          <w:rtl/>
          <w:lang w:val="en-US" w:bidi="ar-AE"/>
        </w:rPr>
      </w:pPr>
      <w:r>
        <w:rPr>
          <w:rFonts w:hint="cs"/>
          <w:rtl/>
          <w:lang w:val="en-US"/>
        </w:rPr>
        <w:tab/>
      </w:r>
      <w:r>
        <w:rPr>
          <w:rFonts w:hint="cs"/>
          <w:rtl/>
          <w:lang w:val="en-US" w:bidi="ar-AE"/>
        </w:rPr>
        <w:t xml:space="preserve">[57] </w:t>
      </w:r>
      <w:r>
        <w:rPr>
          <w:rFonts w:hint="eastAsia"/>
          <w:rtl/>
        </w:rPr>
        <w:t>«</w:t>
      </w:r>
      <w:r>
        <w:rPr>
          <w:rFonts w:hint="cs"/>
          <w:rtl/>
          <w:lang w:val="en-US" w:bidi="ar-AE"/>
        </w:rPr>
        <w:t>صنفان من أمتّي لا تنالهما شفاعتي، إمام ظلوم غشوم، وكل غال مارق</w:t>
      </w:r>
      <w:r>
        <w:rPr>
          <w:rFonts w:hint="eastAsia"/>
          <w:rtl/>
        </w:rPr>
        <w:t>»</w:t>
      </w:r>
      <w:r>
        <w:rPr>
          <w:rFonts w:hint="cs"/>
          <w:rtl/>
          <w:lang w:val="en-US" w:bidi="ar-AE"/>
        </w:rPr>
        <w:t>. (جامع).</w:t>
      </w:r>
    </w:p>
    <w:p w:rsidR="00035BE3" w:rsidRDefault="00035BE3" w:rsidP="00F0471F">
      <w:pPr>
        <w:pStyle w:val="a6"/>
        <w:ind w:left="422" w:hanging="454"/>
        <w:rPr>
          <w:rtl/>
          <w:lang w:val="en-US" w:bidi="ar-AE"/>
        </w:rPr>
      </w:pPr>
      <w:r>
        <w:rPr>
          <w:rFonts w:hint="cs"/>
          <w:rtl/>
          <w:lang w:val="en-US"/>
        </w:rPr>
        <w:tab/>
      </w:r>
      <w:r>
        <w:rPr>
          <w:rFonts w:hint="cs"/>
          <w:rtl/>
          <w:lang w:val="en-US" w:bidi="ar-AE"/>
        </w:rPr>
        <w:t xml:space="preserve">[58] </w:t>
      </w:r>
      <w:r>
        <w:rPr>
          <w:rFonts w:hint="eastAsia"/>
          <w:rtl/>
        </w:rPr>
        <w:t>«</w:t>
      </w:r>
      <w:r>
        <w:rPr>
          <w:rFonts w:hint="cs"/>
          <w:rtl/>
          <w:lang w:val="en-US" w:bidi="ar-AE"/>
        </w:rPr>
        <w:t>صنفان من الناس إذا صلحا صلح الناس، وإذا فسدا فسد الناس : العلماء والأمراء</w:t>
      </w:r>
      <w:r>
        <w:rPr>
          <w:rFonts w:hint="eastAsia"/>
          <w:rtl/>
        </w:rPr>
        <w:t>»</w:t>
      </w:r>
      <w:r>
        <w:rPr>
          <w:rFonts w:hint="cs"/>
          <w:rtl/>
          <w:lang w:val="en-US" w:bidi="ar-AE"/>
        </w:rPr>
        <w:t>. (الجامع).</w:t>
      </w:r>
    </w:p>
    <w:p w:rsidR="00035BE3" w:rsidRDefault="00035BE3" w:rsidP="00F0471F">
      <w:pPr>
        <w:pStyle w:val="a6"/>
        <w:ind w:left="422" w:hanging="454"/>
        <w:rPr>
          <w:rtl/>
        </w:rPr>
      </w:pPr>
      <w:r>
        <w:rPr>
          <w:rFonts w:hint="cs"/>
          <w:rtl/>
          <w:lang w:val="en-US"/>
        </w:rPr>
        <w:tab/>
      </w:r>
      <w:r>
        <w:rPr>
          <w:rFonts w:hint="cs"/>
          <w:rtl/>
          <w:lang w:val="en-US" w:bidi="ar-AE"/>
        </w:rPr>
        <w:t>الناصر رصلي سلطانم أعاي خليل</w:t>
      </w:r>
      <w:r>
        <w:rPr>
          <w:rFonts w:hint="eastAsia"/>
          <w:rtl/>
        </w:rPr>
        <w:t>»</w:t>
      </w:r>
      <w:r>
        <w:rPr>
          <w:rFonts w:hint="cs"/>
          <w:rtl/>
        </w:rPr>
        <w:t>.</w:t>
      </w:r>
    </w:p>
    <w:p w:rsidR="00035BE3" w:rsidRDefault="00035BE3" w:rsidP="00F0471F">
      <w:pPr>
        <w:pStyle w:val="a6"/>
        <w:ind w:left="422" w:hanging="454"/>
        <w:rPr>
          <w:rtl/>
        </w:rPr>
      </w:pPr>
      <w:r>
        <w:rPr>
          <w:rFonts w:ascii="Wingdings" w:hAnsi="Wingdings" w:hint="cs"/>
          <w:rtl/>
        </w:rPr>
        <w:tab/>
      </w:r>
      <w:r>
        <w:rPr>
          <w:rFonts w:ascii="Wingdings" w:hAnsi="Wingdings"/>
        </w:rPr>
        <w:t></w:t>
      </w:r>
      <w:r>
        <w:rPr>
          <w:rFonts w:hint="cs"/>
          <w:rtl/>
        </w:rPr>
        <w:t xml:space="preserve"> </w:t>
      </w:r>
      <w:r>
        <w:rPr>
          <w:rFonts w:hint="cs"/>
          <w:b/>
          <w:bCs/>
          <w:rtl/>
        </w:rPr>
        <w:t>ونص ما كتب في هوامش النسخة (هـ)، ومواضع وروده فيها :</w:t>
      </w:r>
    </w:p>
    <w:p w:rsidR="00035BE3" w:rsidRDefault="00035BE3" w:rsidP="00F0471F">
      <w:pPr>
        <w:pStyle w:val="a6"/>
        <w:ind w:left="422" w:hanging="454"/>
        <w:rPr>
          <w:rtl/>
        </w:rPr>
      </w:pPr>
      <w:r>
        <w:rPr>
          <w:rFonts w:hint="cs"/>
          <w:rtl/>
        </w:rPr>
        <w:tab/>
      </w:r>
      <w:r>
        <w:rPr>
          <w:rFonts w:hint="eastAsia"/>
          <w:rtl/>
        </w:rPr>
        <w:t>«</w:t>
      </w:r>
      <w:r>
        <w:rPr>
          <w:rFonts w:hint="cs"/>
          <w:rtl/>
        </w:rPr>
        <w:t>[59] استعمال الناس حجة. (م تلويح). [ل8/ب].</w:t>
      </w:r>
    </w:p>
    <w:p w:rsidR="00035BE3" w:rsidRDefault="00035BE3" w:rsidP="00F0471F">
      <w:pPr>
        <w:pStyle w:val="a6"/>
        <w:ind w:left="422" w:hanging="454"/>
        <w:rPr>
          <w:rtl/>
        </w:rPr>
      </w:pPr>
      <w:r>
        <w:rPr>
          <w:rFonts w:hint="cs"/>
          <w:rtl/>
        </w:rPr>
        <w:tab/>
        <w:t>[60] الإطلاق في المتعيّن تعيين. مرآة. [ل12/ب].</w:t>
      </w:r>
    </w:p>
    <w:p w:rsidR="00035BE3" w:rsidRDefault="00035BE3" w:rsidP="00F0471F">
      <w:pPr>
        <w:pStyle w:val="a6"/>
        <w:ind w:left="422" w:hanging="454"/>
        <w:rPr>
          <w:rtl/>
        </w:rPr>
      </w:pPr>
      <w:r>
        <w:rPr>
          <w:rFonts w:hint="cs"/>
          <w:rtl/>
        </w:rPr>
        <w:tab/>
        <w:t>[61] الشبهة تكفي لإثبات العبادات. (تلويح). [ل48/أ].</w:t>
      </w:r>
    </w:p>
    <w:p w:rsidR="00035BE3" w:rsidRDefault="00035BE3" w:rsidP="00F0471F">
      <w:pPr>
        <w:pStyle w:val="a6"/>
        <w:ind w:left="422" w:hanging="454"/>
        <w:rPr>
          <w:rtl/>
        </w:rPr>
      </w:pPr>
      <w:r>
        <w:rPr>
          <w:rFonts w:hint="cs"/>
          <w:rtl/>
        </w:rPr>
        <w:tab/>
        <w:t>[62] الضرر الأشد يزال بالأخف. [ل52/أ].</w:t>
      </w:r>
    </w:p>
    <w:p w:rsidR="00035BE3" w:rsidRDefault="00035BE3" w:rsidP="00F0471F">
      <w:pPr>
        <w:pStyle w:val="a6"/>
        <w:ind w:left="422" w:hanging="454"/>
        <w:rPr>
          <w:rtl/>
        </w:rPr>
      </w:pPr>
      <w:r>
        <w:rPr>
          <w:rFonts w:hint="cs"/>
          <w:rtl/>
        </w:rPr>
        <w:tab/>
        <w:t>[63] الضرر الخاص يتحمل لدفع ضرر عام. [ل52/أ].</w:t>
      </w:r>
    </w:p>
    <w:p w:rsidR="00035BE3" w:rsidRDefault="00035BE3" w:rsidP="00F0471F">
      <w:pPr>
        <w:pStyle w:val="a6"/>
        <w:ind w:left="422" w:hanging="454"/>
        <w:rPr>
          <w:rtl/>
        </w:rPr>
      </w:pPr>
      <w:r>
        <w:rPr>
          <w:rFonts w:hint="cs"/>
          <w:rtl/>
        </w:rPr>
        <w:tab/>
        <w:t>[64] العطاءُ لا يورث. (أشباه في الفرائض). [ل53/أ].</w:t>
      </w:r>
    </w:p>
    <w:p w:rsidR="00035BE3" w:rsidRDefault="00035BE3" w:rsidP="00F0471F">
      <w:pPr>
        <w:pStyle w:val="a6"/>
        <w:ind w:left="422" w:hanging="454"/>
        <w:rPr>
          <w:rtl/>
        </w:rPr>
      </w:pPr>
      <w:r>
        <w:rPr>
          <w:rFonts w:hint="cs"/>
          <w:rtl/>
        </w:rPr>
        <w:tab/>
        <w:t>[65] العبادات ثبت [هكذا !] بالشبهات. (تلويح) [ل55/ب].</w:t>
      </w:r>
    </w:p>
    <w:p w:rsidR="00035BE3" w:rsidRDefault="00035BE3" w:rsidP="00F0471F">
      <w:pPr>
        <w:pStyle w:val="a6"/>
        <w:ind w:left="422" w:hanging="454"/>
        <w:rPr>
          <w:rtl/>
        </w:rPr>
      </w:pPr>
      <w:r>
        <w:rPr>
          <w:rFonts w:hint="cs"/>
          <w:rtl/>
        </w:rPr>
        <w:tab/>
        <w:t>[66] عدم ثبوت حكم الشيء لعدم ثبوت شرائطه ليس رفعًا له. (م) [ل55/ب].</w:t>
      </w:r>
    </w:p>
    <w:p w:rsidR="00035BE3" w:rsidRDefault="00035BE3" w:rsidP="00F0471F">
      <w:pPr>
        <w:pStyle w:val="a6"/>
        <w:ind w:left="422" w:hanging="454"/>
        <w:rPr>
          <w:rtl/>
        </w:rPr>
      </w:pPr>
      <w:r>
        <w:rPr>
          <w:rFonts w:hint="cs"/>
          <w:rtl/>
        </w:rPr>
        <w:tab/>
        <w:t>[67] الغالب كالمتحقق. (استروشني). [ل57/ب].</w:t>
      </w:r>
    </w:p>
    <w:p w:rsidR="00035BE3" w:rsidRDefault="00035BE3" w:rsidP="00F0471F">
      <w:pPr>
        <w:pStyle w:val="a6"/>
        <w:ind w:left="422" w:hanging="454"/>
        <w:rPr>
          <w:rtl/>
        </w:rPr>
      </w:pPr>
      <w:r>
        <w:rPr>
          <w:rFonts w:hint="cs"/>
          <w:rtl/>
        </w:rPr>
        <w:tab/>
        <w:t>[68] والأصل في جنس هذه المسائل : أن ما كان قديمًا يترك على قدمه، ولا يغيّر إلا بحجة. (خلاصة). [ل58/ب].</w:t>
      </w:r>
    </w:p>
    <w:p w:rsidR="00035BE3" w:rsidRDefault="00035BE3" w:rsidP="00F0471F">
      <w:pPr>
        <w:pStyle w:val="a6"/>
        <w:ind w:left="422" w:hanging="454"/>
        <w:rPr>
          <w:rtl/>
        </w:rPr>
      </w:pPr>
      <w:r>
        <w:rPr>
          <w:rFonts w:hint="cs"/>
          <w:rtl/>
        </w:rPr>
        <w:tab/>
        <w:t>[69] لا إلزام إلا بمجمع، ما لم يثبت بدليل. (م) [ل65/ب].</w:t>
      </w:r>
      <w:r>
        <w:rPr>
          <w:rFonts w:hint="cs"/>
          <w:rtl/>
        </w:rPr>
        <w:tab/>
      </w:r>
      <w:r>
        <w:rPr>
          <w:rFonts w:hint="cs"/>
          <w:rtl/>
        </w:rPr>
        <w:tab/>
      </w:r>
      <w:r>
        <w:rPr>
          <w:rFonts w:hint="cs"/>
          <w:rtl/>
        </w:rPr>
        <w:tab/>
      </w:r>
      <w:r>
        <w:rPr>
          <w:rFonts w:hint="cs"/>
          <w:rtl/>
        </w:rPr>
        <w:tab/>
        <w:t xml:space="preserve"> </w:t>
      </w:r>
    </w:p>
    <w:p w:rsidR="00035BE3" w:rsidRDefault="00035BE3" w:rsidP="00F0471F">
      <w:pPr>
        <w:pStyle w:val="a6"/>
        <w:ind w:left="422" w:hanging="454"/>
        <w:rPr>
          <w:rtl/>
        </w:rPr>
      </w:pPr>
      <w:r>
        <w:rPr>
          <w:rFonts w:hint="cs"/>
          <w:rtl/>
        </w:rPr>
        <w:tab/>
        <w:t>[70] لا حجة مع الاحتمال. (تلويح). [ل71/ب].</w:t>
      </w:r>
    </w:p>
    <w:p w:rsidR="00035BE3" w:rsidRDefault="00035BE3" w:rsidP="00F0471F">
      <w:pPr>
        <w:pStyle w:val="a6"/>
        <w:ind w:left="422" w:hanging="454"/>
        <w:rPr>
          <w:rtl/>
          <w:lang w:bidi="ar-AE"/>
        </w:rPr>
      </w:pPr>
      <w:r>
        <w:rPr>
          <w:rFonts w:hint="cs"/>
          <w:rtl/>
        </w:rPr>
        <w:tab/>
        <w:t xml:space="preserve">[71] </w:t>
      </w:r>
      <w:r>
        <w:rPr>
          <w:rFonts w:hint="cs"/>
          <w:rtl/>
          <w:lang w:bidi="ar-AE"/>
        </w:rPr>
        <w:t>لا يترجح [هكذا بالياء] العلة بزيادة من جنسها. (ص) [ل71/ب].</w:t>
      </w:r>
    </w:p>
    <w:p w:rsidR="00035BE3" w:rsidRDefault="00035BE3" w:rsidP="00F0471F">
      <w:pPr>
        <w:pStyle w:val="a6"/>
        <w:ind w:left="422" w:hanging="454"/>
        <w:rPr>
          <w:rtl/>
          <w:lang w:bidi="ar-AE"/>
        </w:rPr>
      </w:pPr>
      <w:r>
        <w:rPr>
          <w:rFonts w:hint="cs"/>
          <w:rtl/>
        </w:rPr>
        <w:tab/>
      </w:r>
      <w:r>
        <w:rPr>
          <w:rFonts w:hint="cs"/>
          <w:rtl/>
          <w:lang w:bidi="ar-AE"/>
        </w:rPr>
        <w:t>[72] ما جاز لعذر بطل بزواله. (أشباه) [ل75/ب].</w:t>
      </w:r>
    </w:p>
    <w:p w:rsidR="00035BE3" w:rsidRDefault="00035BE3" w:rsidP="00F0471F">
      <w:pPr>
        <w:pStyle w:val="a6"/>
        <w:ind w:left="422" w:hanging="454"/>
        <w:rPr>
          <w:rtl/>
          <w:lang w:bidi="ar-AE"/>
        </w:rPr>
      </w:pPr>
      <w:r>
        <w:rPr>
          <w:rFonts w:hint="cs"/>
          <w:rtl/>
        </w:rPr>
        <w:tab/>
      </w:r>
      <w:r>
        <w:rPr>
          <w:rFonts w:hint="cs"/>
          <w:rtl/>
          <w:lang w:bidi="ar-AE"/>
        </w:rPr>
        <w:t>[73] ما ثبت حكمًا أصليًّا لا يسقط بالعوارض؛ كالنية لا تسقط بعارض تأخير الصلاة إلى آخر وقت لا يسع إلا الفرض. (مرآت) [ل75/ب].</w:t>
      </w:r>
    </w:p>
    <w:p w:rsidR="00035BE3" w:rsidRDefault="00035BE3" w:rsidP="00F0471F">
      <w:pPr>
        <w:pStyle w:val="a6"/>
        <w:ind w:left="422" w:hanging="454"/>
        <w:rPr>
          <w:rtl/>
          <w:lang w:bidi="ar-AE"/>
        </w:rPr>
      </w:pPr>
      <w:r>
        <w:rPr>
          <w:rFonts w:hint="cs"/>
          <w:rtl/>
        </w:rPr>
        <w:tab/>
      </w:r>
      <w:r>
        <w:rPr>
          <w:rFonts w:hint="cs"/>
          <w:rtl/>
          <w:lang w:bidi="ar-AE"/>
        </w:rPr>
        <w:t>[74] المرء مؤاخذ باقراره. (تاتارخانية). [ل78/ب].</w:t>
      </w:r>
      <w:r>
        <w:rPr>
          <w:rFonts w:hint="cs"/>
          <w:rtl/>
          <w:lang w:bidi="ar-AE"/>
        </w:rPr>
        <w:tab/>
      </w:r>
      <w:r>
        <w:rPr>
          <w:rFonts w:hint="cs"/>
          <w:rtl/>
          <w:lang w:bidi="ar-AE"/>
        </w:rPr>
        <w:tab/>
      </w:r>
      <w:r>
        <w:rPr>
          <w:rFonts w:hint="cs"/>
          <w:rtl/>
          <w:lang w:bidi="ar-AE"/>
        </w:rPr>
        <w:tab/>
      </w:r>
      <w:r>
        <w:rPr>
          <w:rFonts w:hint="cs"/>
          <w:rtl/>
          <w:lang w:bidi="ar-AE"/>
        </w:rPr>
        <w:tab/>
      </w:r>
      <w:r>
        <w:rPr>
          <w:rFonts w:hint="cs"/>
          <w:rtl/>
          <w:lang w:bidi="ar-AE"/>
        </w:rPr>
        <w:tab/>
        <w:t xml:space="preserve">  </w:t>
      </w:r>
    </w:p>
    <w:p w:rsidR="00035BE3" w:rsidRDefault="00035BE3" w:rsidP="00F0471F">
      <w:pPr>
        <w:pStyle w:val="a6"/>
        <w:ind w:left="422" w:hanging="454"/>
        <w:rPr>
          <w:rtl/>
        </w:rPr>
      </w:pPr>
      <w:r>
        <w:rPr>
          <w:rFonts w:hint="cs"/>
          <w:rtl/>
        </w:rPr>
        <w:tab/>
      </w:r>
      <w:r>
        <w:rPr>
          <w:rFonts w:hint="cs"/>
          <w:rtl/>
          <w:lang w:bidi="ar-AE"/>
        </w:rPr>
        <w:t>[75] المثال الجزئي لا يصحّح القاعدة الكلية. (تلويح) [ل79/ب].</w:t>
      </w:r>
    </w:p>
    <w:p w:rsidR="00035BE3" w:rsidRDefault="00035BE3" w:rsidP="00F0471F">
      <w:pPr>
        <w:pStyle w:val="a6"/>
        <w:ind w:left="422" w:hanging="454"/>
        <w:rPr>
          <w:rtl/>
          <w:lang w:bidi="ar-AE"/>
        </w:rPr>
      </w:pPr>
      <w:r>
        <w:rPr>
          <w:rFonts w:hint="cs"/>
          <w:rtl/>
        </w:rPr>
        <w:tab/>
      </w:r>
      <w:r>
        <w:rPr>
          <w:rFonts w:hint="cs"/>
          <w:rtl/>
          <w:lang w:bidi="ar-AE"/>
        </w:rPr>
        <w:t>[76] المعلّق بالشّرط يجب ثبوته عند ثبوته (تلويح) [ل79/ب].</w:t>
      </w:r>
    </w:p>
    <w:p w:rsidR="00035BE3" w:rsidRDefault="00035BE3" w:rsidP="00F0471F">
      <w:pPr>
        <w:pStyle w:val="a6"/>
        <w:ind w:left="422" w:hanging="454"/>
        <w:rPr>
          <w:rtl/>
          <w:lang w:bidi="ar-AE"/>
        </w:rPr>
      </w:pPr>
      <w:r>
        <w:rPr>
          <w:rFonts w:hint="cs"/>
          <w:rtl/>
        </w:rPr>
        <w:tab/>
      </w:r>
      <w:r>
        <w:rPr>
          <w:rFonts w:hint="cs"/>
          <w:rtl/>
          <w:lang w:bidi="ar-AE"/>
        </w:rPr>
        <w:t>[77] النهي عن الأفعال الشرعية يقتضي تقرّر المشروعيّة.</w:t>
      </w:r>
    </w:p>
    <w:p w:rsidR="00035BE3" w:rsidRDefault="00035BE3" w:rsidP="00F0471F">
      <w:pPr>
        <w:pStyle w:val="a6"/>
        <w:ind w:left="422" w:hanging="454"/>
        <w:rPr>
          <w:rtl/>
          <w:lang w:bidi="ar-AE"/>
        </w:rPr>
      </w:pPr>
      <w:r>
        <w:rPr>
          <w:rFonts w:hint="cs"/>
          <w:rtl/>
        </w:rPr>
        <w:tab/>
      </w:r>
      <w:r>
        <w:rPr>
          <w:rFonts w:hint="cs"/>
          <w:rtl/>
          <w:lang w:bidi="ar-AE"/>
        </w:rPr>
        <w:t>والنهي عن الأفعال الحسّية يقتضي كونها مقدورة حسًّا.</w:t>
      </w:r>
    </w:p>
    <w:p w:rsidR="00035BE3" w:rsidRDefault="00035BE3" w:rsidP="00F0471F">
      <w:pPr>
        <w:pStyle w:val="a6"/>
        <w:ind w:left="422" w:hanging="454"/>
        <w:rPr>
          <w:rtl/>
          <w:lang w:bidi="ar-AE"/>
        </w:rPr>
      </w:pPr>
      <w:r>
        <w:rPr>
          <w:rFonts w:hint="cs"/>
          <w:rtl/>
        </w:rPr>
        <w:tab/>
      </w:r>
      <w:r>
        <w:rPr>
          <w:rFonts w:hint="cs"/>
          <w:rtl/>
          <w:lang w:bidi="ar-AE"/>
        </w:rPr>
        <w:t>وعن الأمور العقلية يقتضي كونها مقدورة شرعًا، وإلا كان عبثًا، والنهيُ عن المحالِ محالٌ. (درر) [ل87/ب].</w:t>
      </w:r>
    </w:p>
    <w:p w:rsidR="00035BE3" w:rsidRDefault="00035BE3" w:rsidP="00F0471F">
      <w:pPr>
        <w:pStyle w:val="a6"/>
        <w:ind w:left="422" w:hanging="454"/>
        <w:rPr>
          <w:rtl/>
        </w:rPr>
      </w:pPr>
      <w:r>
        <w:rPr>
          <w:rFonts w:hint="cs"/>
          <w:rtl/>
        </w:rPr>
        <w:tab/>
      </w:r>
      <w:r>
        <w:rPr>
          <w:rFonts w:hint="cs"/>
          <w:rtl/>
          <w:lang w:bidi="ar-AE"/>
        </w:rPr>
        <w:t>[78] الواجب لا يتقيّد بوصف السلامة، والمباح يتقيد به. (أشباه في الجنايات) [ل89/ب]</w:t>
      </w:r>
      <w:r>
        <w:rPr>
          <w:rFonts w:hint="eastAsia"/>
          <w:rtl/>
        </w:rPr>
        <w:t>»</w:t>
      </w:r>
      <w:r>
        <w:rPr>
          <w:rFonts w:hint="cs"/>
          <w:rtl/>
        </w:rPr>
        <w:t>.</w:t>
      </w:r>
    </w:p>
    <w:p w:rsidR="00035BE3" w:rsidRDefault="00035BE3" w:rsidP="00F0471F">
      <w:pPr>
        <w:pStyle w:val="a6"/>
        <w:ind w:left="422" w:hanging="454"/>
        <w:rPr>
          <w:rtl/>
        </w:rPr>
      </w:pPr>
      <w:r>
        <w:rPr>
          <w:rFonts w:hint="cs"/>
          <w:rtl/>
        </w:rPr>
        <w:tab/>
        <w:t>هذا سرد للقواعد التي وردت في نهاية نسخة (هـ) وفي مواضع متناترة من هوامشها.</w:t>
      </w:r>
    </w:p>
    <w:p w:rsidR="00035BE3" w:rsidRDefault="00035BE3" w:rsidP="00F0471F">
      <w:pPr>
        <w:pStyle w:val="a6"/>
        <w:ind w:left="422" w:hanging="454"/>
        <w:rPr>
          <w:b/>
          <w:bCs/>
          <w:rtl/>
        </w:rPr>
      </w:pPr>
      <w:r>
        <w:rPr>
          <w:rFonts w:hint="cs"/>
          <w:b/>
          <w:bCs/>
          <w:rtl/>
        </w:rPr>
        <w:tab/>
        <w:t xml:space="preserve">وبالتأمل في هذه القواعد، وهيئة ورودها في هذه النسخة : يظهر </w:t>
      </w:r>
      <w:r>
        <w:rPr>
          <w:b/>
          <w:bCs/>
          <w:rtl/>
        </w:rPr>
        <w:t>–</w:t>
      </w:r>
      <w:r>
        <w:rPr>
          <w:rFonts w:hint="cs"/>
          <w:b/>
          <w:bCs/>
          <w:rtl/>
        </w:rPr>
        <w:t>والله أعلم- أنها ليست من قواعد ناظرزاده؛ للأسباب الآتية :</w:t>
      </w:r>
    </w:p>
    <w:p w:rsidR="00035BE3" w:rsidRDefault="00035BE3" w:rsidP="00A66747">
      <w:pPr>
        <w:pStyle w:val="a6"/>
        <w:numPr>
          <w:ilvl w:val="0"/>
          <w:numId w:val="22"/>
        </w:numPr>
        <w:tabs>
          <w:tab w:val="clear" w:pos="814"/>
        </w:tabs>
        <w:ind w:left="422" w:firstLine="0"/>
      </w:pPr>
      <w:r>
        <w:rPr>
          <w:rFonts w:hint="cs"/>
          <w:rtl/>
          <w:lang w:val="en-US"/>
        </w:rPr>
        <w:t>أن هذه القواعد كتبت بخط مغاير لما كتب به المخطوط، وجاء أكثرها في لوحتين مستقلّتين، بعد ختم المؤلف لكتابه، دون إشارة تدل على أنها من قواعد المؤلف؛ ممّا يدلّ على أنها شيء آخر غير الكتاب.</w:t>
      </w:r>
    </w:p>
    <w:p w:rsidR="00035BE3" w:rsidRDefault="00035BE3" w:rsidP="00A66747">
      <w:pPr>
        <w:pStyle w:val="a6"/>
        <w:numPr>
          <w:ilvl w:val="0"/>
          <w:numId w:val="22"/>
        </w:numPr>
        <w:tabs>
          <w:tab w:val="clear" w:pos="814"/>
        </w:tabs>
        <w:ind w:left="422" w:firstLine="0"/>
        <w:rPr>
          <w:rtl/>
        </w:rPr>
      </w:pPr>
      <w:r>
        <w:rPr>
          <w:rFonts w:hint="cs"/>
          <w:rtl/>
        </w:rPr>
        <w:t>أن جميع النسخ الثمان الأخر لم يرد فيها شيء من هذه القواعد إطلاقًا.</w:t>
      </w:r>
    </w:p>
    <w:p w:rsidR="00035BE3" w:rsidRDefault="00035BE3" w:rsidP="00A66747">
      <w:pPr>
        <w:pStyle w:val="a6"/>
        <w:numPr>
          <w:ilvl w:val="0"/>
          <w:numId w:val="22"/>
        </w:numPr>
        <w:tabs>
          <w:tab w:val="clear" w:pos="814"/>
        </w:tabs>
        <w:ind w:left="422" w:firstLine="0"/>
        <w:rPr>
          <w:lang w:val="en-US"/>
        </w:rPr>
      </w:pPr>
      <w:r>
        <w:rPr>
          <w:rFonts w:hint="cs"/>
          <w:rtl/>
        </w:rPr>
        <w:t>أن هذه النسخة (وهي هـ) أكثر النسخ الخطية أخطاء؛ إذ لا تكاد توجد فقرة بدون أخطاء، وكثير من هذه الأخطاء بدهيّة لا يمكن أن تصدر من شخص يفهم ما يكتب، كما أن هذه النسخة لم يُذكر فيها اسم الناسخ وتاريخ النسخ، كما لم ترد فيها تصحيحات أو تملكات أو أي دليل يدل على أنها معتنى بها.</w:t>
      </w:r>
    </w:p>
    <w:p w:rsidR="00035BE3" w:rsidRDefault="00035BE3" w:rsidP="00A66747">
      <w:pPr>
        <w:pStyle w:val="a6"/>
        <w:numPr>
          <w:ilvl w:val="0"/>
          <w:numId w:val="22"/>
        </w:numPr>
        <w:tabs>
          <w:tab w:val="clear" w:pos="814"/>
        </w:tabs>
        <w:ind w:left="422" w:firstLine="0"/>
        <w:rPr>
          <w:lang w:val="en-US"/>
        </w:rPr>
      </w:pPr>
      <w:r>
        <w:rPr>
          <w:rFonts w:hint="cs"/>
          <w:rtl/>
          <w:lang w:val="en-US"/>
        </w:rPr>
        <w:t>أن بعض هذه القواعد المضافة فيها تكرار، وأهم من هذا كون كثير منها سبق ذكر المؤلف له في صلب كتابه باللفظ نفسه أو معناه.</w:t>
      </w:r>
    </w:p>
    <w:p w:rsidR="00035BE3" w:rsidRDefault="00035BE3" w:rsidP="00F0471F">
      <w:pPr>
        <w:pStyle w:val="a6"/>
        <w:ind w:left="422" w:hanging="454"/>
        <w:rPr>
          <w:b/>
          <w:bCs/>
          <w:lang w:val="en-US"/>
        </w:rPr>
      </w:pPr>
      <w:r>
        <w:rPr>
          <w:rFonts w:hint="cs"/>
          <w:b/>
          <w:bCs/>
          <w:rtl/>
          <w:lang w:val="en-US"/>
        </w:rPr>
        <w:tab/>
        <w:t>ومن أمثلة التكرار في القواعد المضافة :</w:t>
      </w:r>
    </w:p>
    <w:p w:rsidR="00035BE3" w:rsidRDefault="00035BE3" w:rsidP="00F0471F">
      <w:pPr>
        <w:pStyle w:val="a6"/>
        <w:ind w:left="422" w:hanging="454"/>
        <w:rPr>
          <w:rtl/>
          <w:lang w:val="en-US" w:bidi="ar-AE"/>
        </w:rPr>
      </w:pPr>
      <w:r>
        <w:rPr>
          <w:rFonts w:hint="cs"/>
          <w:rtl/>
          <w:lang w:val="en-US"/>
        </w:rPr>
        <w:tab/>
      </w:r>
      <w:r>
        <w:rPr>
          <w:rFonts w:hint="cs"/>
          <w:rtl/>
          <w:lang w:val="en-US" w:bidi="ar-AE"/>
        </w:rPr>
        <w:t>قاعدة [1] و[5]، [8] و[13]، [47]  و[59]، [49] و[71]، [61] و[65].</w:t>
      </w:r>
      <w:r>
        <w:rPr>
          <w:rFonts w:hint="cs"/>
          <w:rtl/>
          <w:lang w:val="en-US" w:bidi="ar-AE"/>
        </w:rPr>
        <w:tab/>
      </w:r>
      <w:r>
        <w:rPr>
          <w:rFonts w:hint="cs"/>
          <w:rtl/>
          <w:lang w:val="en-US" w:bidi="ar-AE"/>
        </w:rPr>
        <w:tab/>
        <w:t xml:space="preserve">  </w:t>
      </w:r>
    </w:p>
    <w:p w:rsidR="00035BE3" w:rsidRDefault="00035BE3" w:rsidP="00F0471F">
      <w:pPr>
        <w:pStyle w:val="a6"/>
        <w:ind w:left="422" w:hanging="454"/>
        <w:rPr>
          <w:b/>
          <w:bCs/>
          <w:rtl/>
          <w:lang w:val="en-US" w:bidi="ar-AE"/>
        </w:rPr>
      </w:pPr>
      <w:r>
        <w:rPr>
          <w:rFonts w:hint="cs"/>
          <w:b/>
          <w:bCs/>
          <w:rtl/>
          <w:lang w:val="en-US"/>
        </w:rPr>
        <w:tab/>
      </w:r>
      <w:r>
        <w:rPr>
          <w:rFonts w:hint="cs"/>
          <w:b/>
          <w:bCs/>
          <w:rtl/>
          <w:lang w:val="en-US" w:bidi="ar-AE"/>
        </w:rPr>
        <w:t>ومن أمثلة التكرار بين القواعد المضافة وقواعد المؤلف :</w:t>
      </w:r>
    </w:p>
    <w:p w:rsidR="00035BE3" w:rsidRDefault="00035BE3" w:rsidP="00F0471F">
      <w:pPr>
        <w:pStyle w:val="a6"/>
        <w:ind w:left="422" w:hanging="454"/>
        <w:rPr>
          <w:rtl/>
          <w:lang w:val="en-US" w:bidi="ar-AE"/>
        </w:rPr>
      </w:pPr>
      <w:r>
        <w:rPr>
          <w:rFonts w:hint="cs"/>
          <w:rtl/>
          <w:lang w:val="en-US"/>
        </w:rPr>
        <w:tab/>
      </w:r>
      <w:r>
        <w:rPr>
          <w:rFonts w:hint="cs"/>
          <w:rtl/>
          <w:lang w:val="en-US" w:bidi="ar-AE"/>
        </w:rPr>
        <w:t>قاعدة [3] من القواعد المضافة وقاعدة 151 من قواعد المؤلف، [9] و241، [27] و35، [35] و213، [39] و166، [40] و34، [41] و235، [42] و207، [43] و110، [51] و153، [62] و24، [63] و259، [77] و249.</w:t>
      </w:r>
    </w:p>
    <w:p w:rsidR="00035BE3" w:rsidRDefault="00035BE3" w:rsidP="00F0471F">
      <w:pPr>
        <w:pStyle w:val="a6"/>
        <w:ind w:left="422" w:hanging="454"/>
        <w:rPr>
          <w:rtl/>
          <w:lang w:val="en-US" w:bidi="ar-AE"/>
        </w:rPr>
      </w:pPr>
      <w:r>
        <w:rPr>
          <w:rFonts w:hint="cs"/>
          <w:b/>
          <w:bCs/>
          <w:rtl/>
          <w:lang w:val="en-US"/>
        </w:rPr>
        <w:tab/>
      </w:r>
      <w:r>
        <w:rPr>
          <w:rFonts w:hint="cs"/>
          <w:b/>
          <w:bCs/>
          <w:rtl/>
          <w:lang w:val="en-US" w:bidi="ar-AE"/>
        </w:rPr>
        <w:t>5-</w:t>
      </w:r>
      <w:r>
        <w:rPr>
          <w:rFonts w:hint="cs"/>
          <w:rtl/>
          <w:lang w:val="en-US" w:bidi="ar-AE"/>
        </w:rPr>
        <w:t xml:space="preserve"> أن هذه القواعد والنصوص المضافة بمجموعها لا تتجاوز أربع صفحات، وهي مسرودة بلا شرح، ومع ذلك تضمّنت مخالفة للكتاب في المنهج والصياغة في عدة أمور، منها :</w:t>
      </w:r>
      <w:r>
        <w:rPr>
          <w:rFonts w:hint="cs"/>
          <w:rtl/>
          <w:lang w:val="en-US" w:bidi="ar-AE"/>
        </w:rPr>
        <w:tab/>
      </w:r>
      <w:r>
        <w:rPr>
          <w:rFonts w:hint="cs"/>
          <w:rtl/>
          <w:lang w:val="en-US" w:bidi="ar-AE"/>
        </w:rPr>
        <w:tab/>
        <w:t xml:space="preserve">  </w:t>
      </w:r>
    </w:p>
    <w:p w:rsidR="00035BE3" w:rsidRDefault="00035BE3" w:rsidP="00F0471F">
      <w:pPr>
        <w:pStyle w:val="a6"/>
        <w:ind w:left="422" w:hanging="454"/>
        <w:rPr>
          <w:rtl/>
          <w:lang w:val="en-US" w:bidi="ar-AE"/>
        </w:rPr>
      </w:pPr>
      <w:r>
        <w:rPr>
          <w:rFonts w:hint="cs"/>
          <w:rtl/>
          <w:lang w:val="en-US"/>
        </w:rPr>
        <w:tab/>
      </w:r>
      <w:r>
        <w:rPr>
          <w:rFonts w:hint="cs"/>
          <w:b/>
          <w:bCs/>
          <w:rtl/>
          <w:lang w:val="en-US" w:bidi="ar-AE"/>
        </w:rPr>
        <w:t>أ</w:t>
      </w:r>
      <w:r>
        <w:rPr>
          <w:rFonts w:hint="cs"/>
          <w:rtl/>
          <w:lang w:val="en-US" w:bidi="ar-AE"/>
        </w:rPr>
        <w:t xml:space="preserve"> </w:t>
      </w:r>
      <w:r>
        <w:rPr>
          <w:rFonts w:hint="cs"/>
          <w:b/>
          <w:bCs/>
          <w:rtl/>
          <w:lang w:val="en-US" w:bidi="ar-AE"/>
        </w:rPr>
        <w:t>-</w:t>
      </w:r>
      <w:r>
        <w:rPr>
          <w:rFonts w:hint="cs"/>
          <w:rtl/>
          <w:lang w:val="en-US" w:bidi="ar-AE"/>
        </w:rPr>
        <w:t xml:space="preserve"> أن القواعد المذكورة في نهاية النسخة لم تتفق مع منهج المؤلف في ترتيبها على حروف الهجاء.</w:t>
      </w:r>
    </w:p>
    <w:p w:rsidR="00035BE3" w:rsidRDefault="00035BE3" w:rsidP="00F0471F">
      <w:pPr>
        <w:pStyle w:val="a6"/>
        <w:ind w:left="422" w:hanging="454"/>
        <w:rPr>
          <w:lang w:val="en-US"/>
        </w:rPr>
      </w:pPr>
      <w:r>
        <w:rPr>
          <w:rFonts w:hint="cs"/>
          <w:b/>
          <w:bCs/>
          <w:rtl/>
          <w:lang w:val="en-US"/>
        </w:rPr>
        <w:tab/>
      </w:r>
      <w:r>
        <w:rPr>
          <w:rFonts w:hint="cs"/>
          <w:b/>
          <w:bCs/>
          <w:rtl/>
          <w:lang w:val="en-US" w:bidi="ar-AE"/>
        </w:rPr>
        <w:t>ب-</w:t>
      </w:r>
      <w:r>
        <w:rPr>
          <w:rFonts w:hint="cs"/>
          <w:rtl/>
          <w:lang w:val="en-US" w:bidi="ar-AE"/>
        </w:rPr>
        <w:t xml:space="preserve"> أن القواعد المضافة عبارة عن مجرّد نصوص بلا شرح، ومع ذلك تضمّنت أعلامًا ومصادر لم تُذكر في الكتاب جميعه، لا في ألفاظ القواعد ولا في شرحها، ومن أمثلة ذلك (مع بيان أرقام القواعد التي تضمّنتها) :</w:t>
      </w:r>
    </w:p>
    <w:p w:rsidR="00035BE3" w:rsidRDefault="00035BE3" w:rsidP="00A66747">
      <w:pPr>
        <w:pStyle w:val="a6"/>
        <w:numPr>
          <w:ilvl w:val="1"/>
          <w:numId w:val="23"/>
        </w:numPr>
        <w:tabs>
          <w:tab w:val="clear" w:pos="1534"/>
        </w:tabs>
        <w:ind w:left="564" w:hanging="142"/>
        <w:rPr>
          <w:rtl/>
          <w:lang w:val="en-US" w:bidi="ar-AE"/>
        </w:rPr>
      </w:pPr>
      <w:r>
        <w:rPr>
          <w:rFonts w:hint="cs"/>
          <w:rtl/>
          <w:lang w:val="en-US" w:bidi="ar-AE"/>
        </w:rPr>
        <w:t>حفيد : [1، 4-7، 10-19، 21-25، 27-33، 46].</w:t>
      </w:r>
    </w:p>
    <w:p w:rsidR="00035BE3" w:rsidRDefault="00035BE3" w:rsidP="00A66747">
      <w:pPr>
        <w:pStyle w:val="a6"/>
        <w:numPr>
          <w:ilvl w:val="1"/>
          <w:numId w:val="23"/>
        </w:numPr>
        <w:tabs>
          <w:tab w:val="clear" w:pos="1534"/>
        </w:tabs>
        <w:ind w:left="564" w:hanging="142"/>
        <w:rPr>
          <w:lang w:val="en-US"/>
        </w:rPr>
      </w:pPr>
      <w:r>
        <w:rPr>
          <w:rFonts w:hint="cs"/>
          <w:rtl/>
          <w:lang w:val="en-US" w:bidi="ar-AE"/>
        </w:rPr>
        <w:t>تلويح : [35-36، 47-49، 59، 61، 65، 70، 75-76].</w:t>
      </w:r>
    </w:p>
    <w:p w:rsidR="00035BE3" w:rsidRDefault="00035BE3" w:rsidP="00A66747">
      <w:pPr>
        <w:pStyle w:val="a6"/>
        <w:numPr>
          <w:ilvl w:val="1"/>
          <w:numId w:val="23"/>
        </w:numPr>
        <w:tabs>
          <w:tab w:val="clear" w:pos="1534"/>
        </w:tabs>
        <w:ind w:left="564" w:hanging="142"/>
        <w:rPr>
          <w:lang w:val="en-US"/>
        </w:rPr>
      </w:pPr>
      <w:r>
        <w:rPr>
          <w:rFonts w:hint="cs"/>
          <w:rtl/>
          <w:lang w:val="en-US" w:bidi="ar-AE"/>
        </w:rPr>
        <w:t>شرح الكشاف للسعد : [15].</w:t>
      </w:r>
    </w:p>
    <w:p w:rsidR="00035BE3" w:rsidRDefault="00035BE3" w:rsidP="00A66747">
      <w:pPr>
        <w:pStyle w:val="a6"/>
        <w:numPr>
          <w:ilvl w:val="1"/>
          <w:numId w:val="23"/>
        </w:numPr>
        <w:tabs>
          <w:tab w:val="clear" w:pos="1534"/>
        </w:tabs>
        <w:ind w:left="564" w:hanging="142"/>
        <w:rPr>
          <w:lang w:val="en-US"/>
        </w:rPr>
      </w:pPr>
      <w:r>
        <w:rPr>
          <w:rFonts w:hint="cs"/>
          <w:rtl/>
          <w:lang w:val="en-US" w:bidi="ar-AE"/>
        </w:rPr>
        <w:t>ابن الحاجب : [20].</w:t>
      </w:r>
    </w:p>
    <w:p w:rsidR="00035BE3" w:rsidRDefault="00035BE3" w:rsidP="00A66747">
      <w:pPr>
        <w:pStyle w:val="a6"/>
        <w:numPr>
          <w:ilvl w:val="1"/>
          <w:numId w:val="23"/>
        </w:numPr>
        <w:tabs>
          <w:tab w:val="clear" w:pos="1534"/>
        </w:tabs>
        <w:ind w:left="564" w:hanging="142"/>
        <w:rPr>
          <w:lang w:val="en-US"/>
        </w:rPr>
      </w:pPr>
      <w:r>
        <w:rPr>
          <w:rFonts w:hint="cs"/>
          <w:rtl/>
          <w:lang w:val="en-US" w:bidi="ar-AE"/>
        </w:rPr>
        <w:t>البيضاوي : [20، 53].</w:t>
      </w:r>
    </w:p>
    <w:p w:rsidR="00035BE3" w:rsidRDefault="00035BE3" w:rsidP="00A66747">
      <w:pPr>
        <w:pStyle w:val="a6"/>
        <w:numPr>
          <w:ilvl w:val="1"/>
          <w:numId w:val="23"/>
        </w:numPr>
        <w:tabs>
          <w:tab w:val="clear" w:pos="1534"/>
        </w:tabs>
        <w:ind w:left="564" w:hanging="142"/>
        <w:rPr>
          <w:lang w:val="en-US"/>
        </w:rPr>
      </w:pPr>
      <w:r>
        <w:rPr>
          <w:rFonts w:hint="cs"/>
          <w:rtl/>
          <w:lang w:val="en-US" w:bidi="ar-AE"/>
        </w:rPr>
        <w:t>الرضي : [33].</w:t>
      </w:r>
    </w:p>
    <w:p w:rsidR="00035BE3" w:rsidRDefault="00035BE3" w:rsidP="00A66747">
      <w:pPr>
        <w:pStyle w:val="a6"/>
        <w:numPr>
          <w:ilvl w:val="1"/>
          <w:numId w:val="23"/>
        </w:numPr>
        <w:tabs>
          <w:tab w:val="clear" w:pos="1534"/>
        </w:tabs>
        <w:ind w:left="564" w:hanging="142"/>
        <w:rPr>
          <w:lang w:val="en-US"/>
        </w:rPr>
      </w:pPr>
      <w:r>
        <w:rPr>
          <w:rFonts w:hint="cs"/>
          <w:rtl/>
          <w:lang w:val="en-US" w:bidi="ar-AE"/>
        </w:rPr>
        <w:t>الخصّاف : [34].</w:t>
      </w:r>
    </w:p>
    <w:p w:rsidR="00035BE3" w:rsidRDefault="00035BE3" w:rsidP="00A66747">
      <w:pPr>
        <w:pStyle w:val="a6"/>
        <w:numPr>
          <w:ilvl w:val="1"/>
          <w:numId w:val="23"/>
        </w:numPr>
        <w:tabs>
          <w:tab w:val="clear" w:pos="1534"/>
        </w:tabs>
        <w:ind w:left="564" w:hanging="142"/>
        <w:rPr>
          <w:lang w:val="en-US"/>
        </w:rPr>
      </w:pPr>
      <w:r>
        <w:rPr>
          <w:rFonts w:hint="cs"/>
          <w:rtl/>
          <w:lang w:val="en-US" w:bidi="ar-AE"/>
        </w:rPr>
        <w:t>تلخيص تنقي</w:t>
      </w:r>
      <w:r>
        <w:rPr>
          <w:rFonts w:hint="cs"/>
          <w:rtl/>
          <w:lang w:val="en-US"/>
        </w:rPr>
        <w:t>ح</w:t>
      </w:r>
      <w:r>
        <w:rPr>
          <w:rFonts w:hint="cs"/>
          <w:rtl/>
          <w:lang w:val="en-US" w:bidi="ar-AE"/>
        </w:rPr>
        <w:t xml:space="preserve"> : [34].</w:t>
      </w:r>
    </w:p>
    <w:p w:rsidR="00035BE3" w:rsidRDefault="00035BE3" w:rsidP="00A66747">
      <w:pPr>
        <w:pStyle w:val="a6"/>
        <w:numPr>
          <w:ilvl w:val="1"/>
          <w:numId w:val="23"/>
        </w:numPr>
        <w:tabs>
          <w:tab w:val="clear" w:pos="1534"/>
        </w:tabs>
        <w:ind w:left="564" w:hanging="142"/>
        <w:rPr>
          <w:lang w:val="en-US"/>
        </w:rPr>
      </w:pPr>
      <w:r>
        <w:rPr>
          <w:rFonts w:hint="cs"/>
          <w:rtl/>
          <w:lang w:val="en-US" w:bidi="ar-AE"/>
        </w:rPr>
        <w:t>شرح البخاري للشيخ : [46].</w:t>
      </w:r>
    </w:p>
    <w:p w:rsidR="00035BE3" w:rsidRDefault="00035BE3" w:rsidP="00A66747">
      <w:pPr>
        <w:pStyle w:val="a6"/>
        <w:numPr>
          <w:ilvl w:val="1"/>
          <w:numId w:val="23"/>
        </w:numPr>
        <w:tabs>
          <w:tab w:val="clear" w:pos="1534"/>
        </w:tabs>
        <w:ind w:left="564" w:hanging="142"/>
        <w:rPr>
          <w:lang w:val="en-US"/>
        </w:rPr>
      </w:pPr>
      <w:r>
        <w:rPr>
          <w:rFonts w:hint="cs"/>
          <w:rtl/>
          <w:lang w:val="en-US" w:bidi="ar-AE"/>
        </w:rPr>
        <w:t>مختصر : [52].</w:t>
      </w:r>
    </w:p>
    <w:p w:rsidR="00035BE3" w:rsidRDefault="00035BE3" w:rsidP="00A66747">
      <w:pPr>
        <w:pStyle w:val="a6"/>
        <w:numPr>
          <w:ilvl w:val="1"/>
          <w:numId w:val="23"/>
        </w:numPr>
        <w:tabs>
          <w:tab w:val="clear" w:pos="1534"/>
        </w:tabs>
        <w:ind w:left="564" w:hanging="142"/>
        <w:rPr>
          <w:lang w:val="en-US"/>
        </w:rPr>
      </w:pPr>
      <w:r>
        <w:rPr>
          <w:rFonts w:hint="cs"/>
          <w:rtl/>
          <w:lang w:val="en-US" w:bidi="ar-AE"/>
        </w:rPr>
        <w:t>تهذيب أبي الفتح : [54].</w:t>
      </w:r>
    </w:p>
    <w:p w:rsidR="00035BE3" w:rsidRDefault="00035BE3" w:rsidP="00A66747">
      <w:pPr>
        <w:pStyle w:val="a6"/>
        <w:numPr>
          <w:ilvl w:val="1"/>
          <w:numId w:val="23"/>
        </w:numPr>
        <w:tabs>
          <w:tab w:val="clear" w:pos="1534"/>
        </w:tabs>
        <w:ind w:left="564" w:hanging="142"/>
        <w:rPr>
          <w:lang w:val="en-US"/>
        </w:rPr>
      </w:pPr>
      <w:r>
        <w:rPr>
          <w:rFonts w:hint="cs"/>
          <w:rtl/>
          <w:lang w:val="en-US" w:bidi="ar-AE"/>
        </w:rPr>
        <w:t>جامع الصغير : [55-58].</w:t>
      </w:r>
    </w:p>
    <w:p w:rsidR="00035BE3" w:rsidRDefault="00035BE3" w:rsidP="00A66747">
      <w:pPr>
        <w:pStyle w:val="a6"/>
        <w:numPr>
          <w:ilvl w:val="1"/>
          <w:numId w:val="23"/>
        </w:numPr>
        <w:tabs>
          <w:tab w:val="clear" w:pos="1534"/>
        </w:tabs>
        <w:ind w:left="564" w:hanging="142"/>
        <w:rPr>
          <w:lang w:val="en-US"/>
        </w:rPr>
      </w:pPr>
      <w:r>
        <w:rPr>
          <w:rFonts w:hint="cs"/>
          <w:rtl/>
          <w:lang w:val="en-US" w:bidi="ar-AE"/>
        </w:rPr>
        <w:t>مرآة : [60، 73].</w:t>
      </w:r>
    </w:p>
    <w:p w:rsidR="00035BE3" w:rsidRDefault="00035BE3" w:rsidP="00A66747">
      <w:pPr>
        <w:pStyle w:val="a6"/>
        <w:numPr>
          <w:ilvl w:val="1"/>
          <w:numId w:val="23"/>
        </w:numPr>
        <w:tabs>
          <w:tab w:val="clear" w:pos="1534"/>
        </w:tabs>
        <w:ind w:left="564" w:hanging="142"/>
        <w:rPr>
          <w:lang w:val="en-US"/>
        </w:rPr>
      </w:pPr>
      <w:r>
        <w:rPr>
          <w:rFonts w:hint="cs"/>
          <w:rtl/>
          <w:lang w:val="en-US" w:bidi="ar-AE"/>
        </w:rPr>
        <w:t>استروشني : [67].</w:t>
      </w:r>
    </w:p>
    <w:p w:rsidR="00035BE3" w:rsidRDefault="00035BE3" w:rsidP="00A66747">
      <w:pPr>
        <w:pStyle w:val="a6"/>
        <w:numPr>
          <w:ilvl w:val="1"/>
          <w:numId w:val="23"/>
        </w:numPr>
        <w:tabs>
          <w:tab w:val="clear" w:pos="1534"/>
        </w:tabs>
        <w:ind w:left="564" w:hanging="142"/>
        <w:rPr>
          <w:lang w:val="en-US"/>
        </w:rPr>
      </w:pPr>
      <w:r>
        <w:rPr>
          <w:rFonts w:hint="cs"/>
          <w:rtl/>
          <w:lang w:val="en-US" w:bidi="ar-AE"/>
        </w:rPr>
        <w:t>تاتار خانية : [74].</w:t>
      </w:r>
    </w:p>
    <w:p w:rsidR="00035BE3" w:rsidRDefault="00035BE3" w:rsidP="00F0471F">
      <w:pPr>
        <w:pStyle w:val="a6"/>
        <w:spacing w:line="420" w:lineRule="exact"/>
        <w:ind w:left="422" w:hanging="454"/>
        <w:rPr>
          <w:rtl/>
          <w:lang w:val="en-US" w:bidi="ar-AE"/>
        </w:rPr>
      </w:pPr>
      <w:r>
        <w:rPr>
          <w:rFonts w:hint="cs"/>
          <w:b/>
          <w:bCs/>
          <w:rtl/>
          <w:lang w:val="en-US"/>
        </w:rPr>
        <w:tab/>
      </w:r>
      <w:r>
        <w:rPr>
          <w:rFonts w:hint="cs"/>
          <w:b/>
          <w:bCs/>
          <w:rtl/>
          <w:lang w:val="en-US" w:bidi="ar-AE"/>
        </w:rPr>
        <w:t>جـ</w:t>
      </w:r>
      <w:r>
        <w:rPr>
          <w:rFonts w:hint="cs"/>
          <w:rtl/>
          <w:lang w:val="en-US" w:bidi="ar-AE"/>
        </w:rPr>
        <w:t>- من منهج المؤلف -الذي صرح به في المقدمة وفي مواضع متفرقة من كتابه</w:t>
      </w:r>
      <w:r>
        <w:rPr>
          <w:rtl/>
          <w:lang w:val="en-US" w:bidi="ar-AE"/>
        </w:rPr>
        <w:t>–</w:t>
      </w:r>
      <w:r>
        <w:rPr>
          <w:rFonts w:hint="cs"/>
          <w:rtl/>
          <w:lang w:val="en-US" w:bidi="ar-AE"/>
        </w:rPr>
        <w:t xml:space="preserve"> توخِّي الاختصار، ومن مظاهر ذلك : أنه لم يخرج عن المذهب الحنفي في جميع القواعد التي ذكرها، ولم يكن يتوسع في ذكر الخلاف في الفروع الفقهية، إذْ إنّ الخلاف يحصل كثيرًا بين علماء المذهب الحـنفي  نـفسه، ومع ذلك لم يتطرق إليه، كما أنه لم يشر إلى علماء المذاهب الفقهية الأُخر إلا قليلاً، إذْ ذَكَرَ رأي الإمام الشافعي أربع عشرة مرة تقريبًا، وذكر رأي الإمام مالك مرّة واحدة فقط، أمّا الإمام أحمد فلم يذكر اسمه إلا مرة واحدة، وفي تخريج حديث نبوي. (انظر فهرس الأعلام).</w:t>
      </w:r>
    </w:p>
    <w:p w:rsidR="00035BE3" w:rsidRDefault="00035BE3" w:rsidP="00F0471F">
      <w:pPr>
        <w:pStyle w:val="a6"/>
        <w:ind w:left="422" w:hanging="454"/>
        <w:rPr>
          <w:rtl/>
          <w:lang w:val="en-US" w:bidi="ar-AE"/>
        </w:rPr>
      </w:pPr>
      <w:r>
        <w:rPr>
          <w:rFonts w:hint="cs"/>
          <w:rtl/>
          <w:lang w:val="en-US"/>
        </w:rPr>
        <w:tab/>
      </w:r>
      <w:r>
        <w:rPr>
          <w:rFonts w:hint="cs"/>
          <w:rtl/>
          <w:lang w:val="en-US" w:bidi="ar-AE"/>
        </w:rPr>
        <w:t>وفي هذه القواعد المضافة مخالفة واضحة لذلك :</w:t>
      </w:r>
    </w:p>
    <w:p w:rsidR="00035BE3" w:rsidRDefault="00035BE3" w:rsidP="00F0471F">
      <w:pPr>
        <w:pStyle w:val="a6"/>
        <w:spacing w:line="400" w:lineRule="exact"/>
        <w:ind w:left="422" w:hanging="454"/>
        <w:rPr>
          <w:rtl/>
          <w:lang w:val="en-US" w:bidi="ar-AE"/>
        </w:rPr>
      </w:pPr>
      <w:r>
        <w:rPr>
          <w:rFonts w:hint="cs"/>
          <w:rtl/>
          <w:lang w:val="en-US"/>
        </w:rPr>
        <w:tab/>
      </w:r>
      <w:r>
        <w:rPr>
          <w:rFonts w:hint="cs"/>
          <w:rtl/>
          <w:lang w:val="en-US" w:bidi="ar-AE"/>
        </w:rPr>
        <w:t>إذ القاعدة السادسة منها تمثّل رأي الإمام الشافعي فقط؛ كما أن القاعدة العشرين تضمّنت الخلاف بين ابن الحاجب (المالكي) والبيضاوي (الشافعي) وبعض العلماء، دون تصريح برأي الحنفية، وأيضا القاعدة الحادية والثلاثون تضمّن نصُّها لفظ (خلافًا للحنابلة).</w:t>
      </w:r>
      <w:r>
        <w:rPr>
          <w:rFonts w:hint="cs"/>
          <w:rtl/>
          <w:lang w:val="en-US" w:bidi="ar-AE"/>
        </w:rPr>
        <w:tab/>
      </w:r>
      <w:r>
        <w:rPr>
          <w:rFonts w:hint="cs"/>
          <w:rtl/>
          <w:lang w:val="en-US" w:bidi="ar-AE"/>
        </w:rPr>
        <w:tab/>
      </w:r>
      <w:r>
        <w:rPr>
          <w:rFonts w:hint="cs"/>
          <w:rtl/>
          <w:lang w:val="en-US" w:bidi="ar-AE"/>
        </w:rPr>
        <w:tab/>
      </w:r>
      <w:r>
        <w:rPr>
          <w:rFonts w:hint="cs"/>
          <w:rtl/>
          <w:lang w:val="en-US" w:bidi="ar-AE"/>
        </w:rPr>
        <w:tab/>
        <w:t xml:space="preserve">  </w:t>
      </w:r>
    </w:p>
    <w:p w:rsidR="00035BE3" w:rsidRDefault="00035BE3" w:rsidP="00F0471F">
      <w:pPr>
        <w:pStyle w:val="a6"/>
        <w:ind w:left="422" w:hanging="454"/>
        <w:rPr>
          <w:rtl/>
          <w:lang w:val="en-US" w:bidi="ar-AE"/>
        </w:rPr>
      </w:pPr>
      <w:r>
        <w:rPr>
          <w:rFonts w:hint="cs"/>
          <w:rtl/>
          <w:lang w:val="en-US"/>
        </w:rPr>
        <w:tab/>
      </w:r>
      <w:r>
        <w:rPr>
          <w:rFonts w:hint="cs"/>
          <w:b/>
          <w:bCs/>
          <w:rtl/>
          <w:lang w:val="en-US" w:bidi="ar-AE"/>
        </w:rPr>
        <w:t>د</w:t>
      </w:r>
      <w:r>
        <w:rPr>
          <w:rFonts w:hint="cs"/>
          <w:rtl/>
          <w:lang w:val="en-US" w:bidi="ar-AE"/>
        </w:rPr>
        <w:t>- أن بعض هذه القواعد والنصوص تمثّل أحاديث نبوية أو إيضاحًا وبيانًا لبعض المصطلحات فحسب، ولم يحصل شيء من هذا القبيل في جميع قواعد المؤلف.</w:t>
      </w:r>
    </w:p>
    <w:p w:rsidR="00035BE3" w:rsidRDefault="00035BE3" w:rsidP="00A66747">
      <w:pPr>
        <w:pStyle w:val="a6"/>
        <w:numPr>
          <w:ilvl w:val="1"/>
          <w:numId w:val="23"/>
        </w:numPr>
        <w:tabs>
          <w:tab w:val="clear" w:pos="1534"/>
        </w:tabs>
        <w:ind w:left="564" w:hanging="142"/>
        <w:rPr>
          <w:rtl/>
          <w:lang w:val="en-US" w:bidi="ar-AE"/>
        </w:rPr>
      </w:pPr>
      <w:r>
        <w:rPr>
          <w:rFonts w:hint="cs"/>
          <w:rtl/>
          <w:lang w:val="en-US" w:bidi="ar-AE"/>
        </w:rPr>
        <w:t>وممّا يمثل أحاديث نبوية فيها ترهيب وتخويف : الأرقام الآتية : [55-58].</w:t>
      </w:r>
    </w:p>
    <w:p w:rsidR="00035BE3" w:rsidRDefault="00035BE3" w:rsidP="00A66747">
      <w:pPr>
        <w:pStyle w:val="a6"/>
        <w:numPr>
          <w:ilvl w:val="1"/>
          <w:numId w:val="23"/>
        </w:numPr>
        <w:tabs>
          <w:tab w:val="clear" w:pos="1534"/>
        </w:tabs>
        <w:ind w:left="564" w:hanging="142"/>
        <w:rPr>
          <w:lang w:val="en-US"/>
        </w:rPr>
      </w:pPr>
      <w:r>
        <w:rPr>
          <w:rFonts w:hint="cs"/>
          <w:rtl/>
          <w:lang w:val="en-US" w:bidi="ar-AE"/>
        </w:rPr>
        <w:t>وممّا يمثل بيانًا لبعض المصطلحات : الأرقام الآتية : [4، 15، 23، 24، 32].</w:t>
      </w:r>
    </w:p>
    <w:p w:rsidR="00035BE3" w:rsidRDefault="00035BE3" w:rsidP="00F0471F">
      <w:pPr>
        <w:pStyle w:val="a6"/>
        <w:ind w:left="422" w:hanging="454"/>
        <w:rPr>
          <w:rtl/>
          <w:lang w:val="en-US" w:bidi="ar-AE"/>
        </w:rPr>
      </w:pPr>
      <w:r>
        <w:rPr>
          <w:rFonts w:hint="cs"/>
          <w:rtl/>
          <w:lang w:val="en-US"/>
        </w:rPr>
        <w:tab/>
      </w:r>
      <w:r>
        <w:rPr>
          <w:rFonts w:hint="cs"/>
          <w:rtl/>
          <w:lang w:val="en-US" w:bidi="ar-AE"/>
        </w:rPr>
        <w:t>هذا ما يتعلّق بالنسخة (هـ).</w:t>
      </w:r>
    </w:p>
    <w:p w:rsidR="00035BE3" w:rsidRDefault="00035BE3" w:rsidP="00F0471F">
      <w:pPr>
        <w:pStyle w:val="a6"/>
        <w:ind w:left="422" w:hanging="454"/>
        <w:rPr>
          <w:rtl/>
          <w:lang w:val="en-US" w:bidi="ar-AE"/>
        </w:rPr>
      </w:pPr>
      <w:r>
        <w:rPr>
          <w:rFonts w:hint="cs"/>
          <w:b/>
          <w:bCs/>
          <w:rtl/>
          <w:lang w:val="en-US"/>
        </w:rPr>
        <w:tab/>
      </w:r>
      <w:r>
        <w:rPr>
          <w:rFonts w:hint="cs"/>
          <w:b/>
          <w:bCs/>
          <w:rtl/>
          <w:lang w:val="en-US" w:bidi="ar-AE"/>
        </w:rPr>
        <w:t>أما النسخة (و) :</w:t>
      </w:r>
      <w:r>
        <w:rPr>
          <w:rFonts w:hint="cs"/>
          <w:rtl/>
          <w:lang w:val="en-US" w:bidi="ar-AE"/>
        </w:rPr>
        <w:t xml:space="preserve"> فقد جاء فيها عقب آخر كلمة في الصلب :</w:t>
      </w:r>
    </w:p>
    <w:p w:rsidR="00035BE3" w:rsidRDefault="00035BE3" w:rsidP="00F0471F">
      <w:pPr>
        <w:pStyle w:val="a6"/>
        <w:ind w:left="422" w:hanging="454"/>
        <w:rPr>
          <w:rtl/>
        </w:rPr>
      </w:pPr>
      <w:r>
        <w:rPr>
          <w:rFonts w:hint="cs"/>
          <w:rtl/>
        </w:rPr>
        <w:tab/>
      </w:r>
      <w:r>
        <w:rPr>
          <w:rFonts w:hint="eastAsia"/>
          <w:rtl/>
        </w:rPr>
        <w:t>«</w:t>
      </w:r>
      <w:r>
        <w:rPr>
          <w:rFonts w:hint="cs"/>
          <w:rtl/>
        </w:rPr>
        <w:t>تم تحريره في يوم الجمعة التاسع عشر في محرم الحرام لسنة تسع عشر ومائة وألف من هجرة من له الخاتميّة والعزّ والشّرف، بقلم الفقير : درويش يوسف نسيب المولوي. غُفر له</w:t>
      </w:r>
      <w:r>
        <w:rPr>
          <w:rFonts w:hint="eastAsia"/>
          <w:rtl/>
        </w:rPr>
        <w:t>»</w:t>
      </w:r>
      <w:r>
        <w:rPr>
          <w:rFonts w:hint="cs"/>
          <w:rtl/>
        </w:rPr>
        <w:t>.</w:t>
      </w:r>
    </w:p>
    <w:p w:rsidR="00035BE3" w:rsidRDefault="00035BE3" w:rsidP="00F0471F">
      <w:pPr>
        <w:pStyle w:val="a6"/>
        <w:ind w:left="422" w:hanging="454"/>
        <w:rPr>
          <w:rtl/>
        </w:rPr>
      </w:pPr>
      <w:r>
        <w:rPr>
          <w:rFonts w:hint="cs"/>
          <w:rtl/>
        </w:rPr>
        <w:tab/>
        <w:t>وبانتهاء هذه العبارة يكون قد انتهى ما جاء في النسخ السّتة. وصلى الله وسلم وبارك على نبيّنا محمد، وعلى آله وصحبه ومن تبعه بإحسان إلى يوم الدين، وآخر دعوانا أن الحمد لله ربّ العالمين.</w:t>
      </w:r>
    </w:p>
    <w:p w:rsidR="00035BE3" w:rsidRDefault="00035BE3" w:rsidP="00F0471F">
      <w:pPr>
        <w:pStyle w:val="a6"/>
        <w:ind w:left="422" w:hanging="454"/>
        <w:rPr>
          <w:rtl/>
        </w:rPr>
      </w:pPr>
    </w:p>
    <w:p w:rsidR="00035BE3" w:rsidRDefault="00035BE3" w:rsidP="00F0471F">
      <w:pPr>
        <w:pStyle w:val="a6"/>
        <w:ind w:left="422" w:hanging="454"/>
        <w:rPr>
          <w:rtl/>
        </w:rPr>
      </w:pPr>
    </w:p>
    <w:p w:rsidR="00035BE3" w:rsidRPr="00EF4A62" w:rsidRDefault="00035BE3" w:rsidP="00A86736">
      <w:pPr>
        <w:pStyle w:val="a6"/>
        <w:ind w:left="422" w:hanging="454"/>
        <w:jc w:val="center"/>
        <w:rPr>
          <w:rtl/>
        </w:rPr>
      </w:pPr>
      <w:r>
        <w:rPr>
          <w:rFonts w:ascii="AGA Arabesque" w:hAnsi="AGA Arabesque"/>
          <w:sz w:val="50"/>
          <w:szCs w:val="50"/>
        </w:rPr>
        <w:t></w:t>
      </w:r>
      <w:r>
        <w:rPr>
          <w:rFonts w:ascii="AGA Arabesque" w:hAnsi="AGA Arabesque"/>
          <w:sz w:val="50"/>
          <w:szCs w:val="50"/>
        </w:rPr>
        <w:t></w:t>
      </w:r>
      <w:r>
        <w:rPr>
          <w:rFonts w:ascii="AGA Arabesque" w:hAnsi="AGA Arabesque"/>
          <w:sz w:val="50"/>
          <w:szCs w:val="5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9C5DD2">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9C5DD2">
    <w:pPr>
      <w:pStyle w:val="a3"/>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553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2" type="#_x0000_t75" style="position:absolute;left:0;text-align:left;margin-left:-11.8pt;margin-top:-4.3pt;width:91.2pt;height:56.1pt;z-index:2514570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70" type="#_x0000_t202" style="position:absolute;left:0;text-align:left;margin-left:170.9pt;margin-top:7.4pt;width:151.15pt;height:34.2pt;z-index:251454976" filled="f" stroked="f">
          <v:textbox style="mso-next-textbox:#_x0000_s3270">
            <w:txbxContent>
              <w:p w:rsidR="00035BE3" w:rsidRPr="0031541B" w:rsidRDefault="00035BE3" w:rsidP="00C10469">
                <w:pPr>
                  <w:ind w:firstLine="0"/>
                  <w:rPr>
                    <w:rFonts w:cs="AL-Mateen"/>
                    <w:sz w:val="24"/>
                    <w:szCs w:val="24"/>
                    <w:rtl/>
                  </w:rPr>
                </w:pPr>
                <w:r w:rsidRPr="00AD2484">
                  <w:rPr>
                    <w:rFonts w:cs="AL-Mateen" w:hint="cs"/>
                    <w:sz w:val="24"/>
                    <w:szCs w:val="24"/>
                    <w:rtl/>
                  </w:rPr>
                  <w:t>ق82: التَّقسيمُ يَقتَضِي انتفاءَ مُشَارَكَةِ كُلِّ واحدٍ مِنْهُمَا عنْ قِسْمِ .</w:t>
                </w: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69" type="#_x0000_t202" style="position:absolute;left:0;text-align:left;margin-left:324.8pt;margin-top:3.4pt;width:99.75pt;height:31.35pt;z-index:251453952" filled="f" stroked="f">
          <v:textbox style="mso-next-textbox:#_x0000_s32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71" type="#_x0000_t75" style="position:absolute;left:0;text-align:left;margin-left:62.55pt;margin-top:.55pt;width:359.1pt;height:44.85pt;z-index:-251860480;mso-wrap-edited:f" wrapcoords="709 4393 473 10251 709 16108 709 16841 20851 16841 20891 16108 21088 10251 20851 4393 709 4393">
          <v:imagedata r:id="rId2" o:title="haut"/>
          <w10:wrap anchorx="page"/>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554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6" type="#_x0000_t75" style="position:absolute;left:0;text-align:left;margin-left:-11.8pt;margin-top:-4.3pt;width:91.2pt;height:56.1pt;z-index:2514611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74" type="#_x0000_t202" style="position:absolute;left:0;text-align:left;margin-left:170.9pt;margin-top:7.4pt;width:151.15pt;height:34.2pt;z-index:251459072" filled="f" stroked="f">
          <v:textbox style="mso-next-textbox:#_x0000_s3274">
            <w:txbxContent>
              <w:p w:rsidR="00035BE3" w:rsidRPr="001304A9" w:rsidRDefault="00035BE3" w:rsidP="00C10469">
                <w:pPr>
                  <w:ind w:firstLine="0"/>
                  <w:rPr>
                    <w:rFonts w:cs="AL-Mateen"/>
                    <w:sz w:val="24"/>
                    <w:szCs w:val="24"/>
                    <w:rtl/>
                  </w:rPr>
                </w:pPr>
                <w:r w:rsidRPr="001304A9">
                  <w:rPr>
                    <w:rFonts w:cs="AL-Mateen" w:hint="cs"/>
                    <w:sz w:val="24"/>
                    <w:szCs w:val="24"/>
                    <w:rtl/>
                  </w:rPr>
                  <w:t>ق83 :  التَّقريرُ أَحَدُ وُجُوهِ السُّنَّةِ.</w:t>
                </w:r>
              </w:p>
              <w:p w:rsidR="00035BE3" w:rsidRPr="0031541B" w:rsidRDefault="00035BE3" w:rsidP="00C10469">
                <w:pPr>
                  <w:ind w:firstLine="0"/>
                  <w:rPr>
                    <w:rFonts w:cs="AL-Mateen"/>
                    <w:sz w:val="24"/>
                    <w:szCs w:val="24"/>
                    <w:rtl/>
                  </w:rPr>
                </w:pP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73" type="#_x0000_t202" style="position:absolute;left:0;text-align:left;margin-left:324.8pt;margin-top:3.4pt;width:99.75pt;height:31.35pt;z-index:251458048" filled="f" stroked="f">
          <v:textbox style="mso-next-textbox:#_x0000_s32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75" type="#_x0000_t75" style="position:absolute;left:0;text-align:left;margin-left:62.55pt;margin-top:.55pt;width:359.1pt;height:44.85pt;z-index:-251856384;mso-wrap-edited:f" wrapcoords="709 4393 473 10251 709 16108 709 16841 20851 16841 20891 16108 21088 10251 20851 4393 709 4393">
          <v:imagedata r:id="rId2" o:title="haut"/>
          <w10:wrap anchorx="page"/>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557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80" type="#_x0000_t75" style="position:absolute;left:0;text-align:left;margin-left:-11.8pt;margin-top:-4.3pt;width:91.2pt;height:56.1pt;z-index:2514652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78" type="#_x0000_t202" style="position:absolute;left:0;text-align:left;margin-left:170.9pt;margin-top:7.4pt;width:151.15pt;height:34.2pt;z-index:251463168" filled="f" stroked="f">
          <v:textbox style="mso-next-textbox:#_x0000_s3278">
            <w:txbxContent>
              <w:p w:rsidR="00035BE3" w:rsidRPr="0031541B" w:rsidRDefault="00035BE3" w:rsidP="00C10469">
                <w:pPr>
                  <w:ind w:firstLine="0"/>
                  <w:rPr>
                    <w:rFonts w:cs="AL-Mateen"/>
                    <w:sz w:val="24"/>
                    <w:szCs w:val="24"/>
                    <w:rtl/>
                  </w:rPr>
                </w:pPr>
                <w:r w:rsidRPr="004E0AF3">
                  <w:rPr>
                    <w:rFonts w:cs="AL-Mateen" w:hint="cs"/>
                    <w:sz w:val="24"/>
                    <w:szCs w:val="24"/>
                    <w:rtl/>
                  </w:rPr>
                  <w:t>ق84 : تقدير الشرع أولى من تقدير القاضي، فلا يَجُوزُ الزِّيادة ..</w:t>
                </w: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77" type="#_x0000_t202" style="position:absolute;left:0;text-align:left;margin-left:324.8pt;margin-top:3.4pt;width:99.75pt;height:31.35pt;z-index:251462144" filled="f" stroked="f">
          <v:textbox style="mso-next-textbox:#_x0000_s32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79" type="#_x0000_t75" style="position:absolute;left:0;text-align:left;margin-left:62.55pt;margin-top:.55pt;width:359.1pt;height:44.85pt;z-index:-251852288;mso-wrap-edited:f" wrapcoords="709 4393 473 10251 709 16108 709 16841 20851 16841 20891 16108 21088 10251 20851 4393 709 4393">
          <v:imagedata r:id="rId2" o:title="haut"/>
          <w10:wrap anchorx="page"/>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560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84" type="#_x0000_t75" style="position:absolute;left:0;text-align:left;margin-left:-11.8pt;margin-top:-4.3pt;width:91.2pt;height:56.1pt;z-index:2514693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82" type="#_x0000_t202" style="position:absolute;left:0;text-align:left;margin-left:170.9pt;margin-top:7.4pt;width:151.15pt;height:34.2pt;z-index:251467264" filled="f" stroked="f">
          <v:textbox style="mso-next-textbox:#_x0000_s3282">
            <w:txbxContent>
              <w:p w:rsidR="00035BE3" w:rsidRPr="00D90ABF" w:rsidRDefault="00035BE3" w:rsidP="00C10469">
                <w:pPr>
                  <w:ind w:firstLine="0"/>
                  <w:rPr>
                    <w:rFonts w:cs="AL-Mateen"/>
                    <w:sz w:val="24"/>
                    <w:szCs w:val="24"/>
                    <w:rtl/>
                  </w:rPr>
                </w:pPr>
                <w:r w:rsidRPr="00D90ABF">
                  <w:rPr>
                    <w:rFonts w:cs="AL-Mateen" w:hint="cs"/>
                    <w:sz w:val="24"/>
                    <w:szCs w:val="24"/>
                    <w:rtl/>
                  </w:rPr>
                  <w:t>ق85 :  التَّكليفُ بِحسبِ الوُسْعِ.</w:t>
                </w:r>
              </w:p>
              <w:p w:rsidR="00035BE3" w:rsidRPr="0031541B" w:rsidRDefault="00035BE3" w:rsidP="00C10469">
                <w:pPr>
                  <w:ind w:firstLine="0"/>
                  <w:rPr>
                    <w:rFonts w:cs="AL-Mateen"/>
                    <w:sz w:val="24"/>
                    <w:szCs w:val="24"/>
                    <w:rtl/>
                  </w:rPr>
                </w:pPr>
                <w:r w:rsidRPr="004E0AF3">
                  <w:rPr>
                    <w:rFonts w:cs="AL-Mateen" w:hint="cs"/>
                    <w:sz w:val="24"/>
                    <w:szCs w:val="24"/>
                    <w:rtl/>
                  </w:rPr>
                  <w:t>.</w:t>
                </w: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81" type="#_x0000_t202" style="position:absolute;left:0;text-align:left;margin-left:324.8pt;margin-top:3.4pt;width:99.75pt;height:31.35pt;z-index:251466240" filled="f" stroked="f">
          <v:textbox style="mso-next-textbox:#_x0000_s32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83" type="#_x0000_t75" style="position:absolute;left:0;text-align:left;margin-left:62.55pt;margin-top:.55pt;width:359.1pt;height:44.85pt;z-index:-251848192;mso-wrap-edited:f" wrapcoords="709 4393 473 10251 709 16108 709 16841 20851 16841 20891 16108 21088 10251 20851 4393 709 4393">
          <v:imagedata r:id="rId2" o:title="haut"/>
          <w10:wrap anchorx="page"/>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562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88" type="#_x0000_t75" style="position:absolute;left:0;text-align:left;margin-left:-11.8pt;margin-top:-4.3pt;width:91.2pt;height:56.1pt;z-index:2514734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86" type="#_x0000_t202" style="position:absolute;left:0;text-align:left;margin-left:170.9pt;margin-top:7.4pt;width:151.15pt;height:34.2pt;z-index:251471360" filled="f" stroked="f">
          <v:textbox style="mso-next-textbox:#_x0000_s3286">
            <w:txbxContent>
              <w:p w:rsidR="00035BE3" w:rsidRPr="00D90ABF" w:rsidRDefault="00035BE3" w:rsidP="00C10469">
                <w:pPr>
                  <w:ind w:firstLine="0"/>
                  <w:rPr>
                    <w:rFonts w:cs="AL-Mateen"/>
                    <w:sz w:val="24"/>
                    <w:szCs w:val="24"/>
                    <w:rtl/>
                  </w:rPr>
                </w:pPr>
                <w:r w:rsidRPr="00BE119F">
                  <w:rPr>
                    <w:rFonts w:cs="AL-Mateen" w:hint="cs"/>
                    <w:sz w:val="24"/>
                    <w:szCs w:val="24"/>
                    <w:rtl/>
                  </w:rPr>
                  <w:t>ق86 :  تمليكُ الدَّينِ مِنْ غَيْرِ مَنْ عليهِ الدّينُ لا يجوزُ.</w:t>
                </w:r>
              </w:p>
              <w:p w:rsidR="00035BE3" w:rsidRPr="0031541B" w:rsidRDefault="00035BE3" w:rsidP="00C10469">
                <w:pPr>
                  <w:ind w:firstLine="0"/>
                  <w:rPr>
                    <w:rFonts w:cs="AL-Mateen"/>
                    <w:sz w:val="24"/>
                    <w:szCs w:val="24"/>
                    <w:rtl/>
                  </w:rPr>
                </w:pPr>
                <w:r w:rsidRPr="004E0AF3">
                  <w:rPr>
                    <w:rFonts w:cs="AL-Mateen" w:hint="cs"/>
                    <w:sz w:val="24"/>
                    <w:szCs w:val="24"/>
                    <w:rtl/>
                  </w:rPr>
                  <w:t>.</w:t>
                </w: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85" type="#_x0000_t202" style="position:absolute;left:0;text-align:left;margin-left:324.8pt;margin-top:3.4pt;width:99.75pt;height:31.35pt;z-index:251470336" filled="f" stroked="f">
          <v:textbox style="mso-next-textbox:#_x0000_s32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87" type="#_x0000_t75" style="position:absolute;left:0;text-align:left;margin-left:62.55pt;margin-top:.55pt;width:359.1pt;height:44.85pt;z-index:-251844096;mso-wrap-edited:f" wrapcoords="709 4393 473 10251 709 16108 709 16841 20851 16841 20891 16108 21088 10251 20851 4393 709 4393">
          <v:imagedata r:id="rId2" o:title="haut"/>
          <w10:wrap anchorx="page"/>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566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92" type="#_x0000_t75" style="position:absolute;left:0;text-align:left;margin-left:-11.8pt;margin-top:-4.3pt;width:91.2pt;height:56.1pt;z-index:25147750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90" type="#_x0000_t202" style="position:absolute;left:0;text-align:left;margin-left:170.9pt;margin-top:7.4pt;width:151.15pt;height:34.2pt;z-index:251475456" filled="f" stroked="f">
          <v:textbox style="mso-next-textbox:#_x0000_s3290">
            <w:txbxContent>
              <w:p w:rsidR="00035BE3" w:rsidRPr="00C9170E" w:rsidRDefault="00035BE3" w:rsidP="00C10469">
                <w:pPr>
                  <w:ind w:firstLine="0"/>
                  <w:rPr>
                    <w:rFonts w:cs="AL-Mateen"/>
                    <w:sz w:val="24"/>
                    <w:szCs w:val="24"/>
                    <w:rtl/>
                  </w:rPr>
                </w:pPr>
                <w:r w:rsidRPr="00C9170E">
                  <w:rPr>
                    <w:rFonts w:cs="AL-Mateen" w:hint="cs"/>
                    <w:sz w:val="24"/>
                    <w:szCs w:val="24"/>
                    <w:rtl/>
                  </w:rPr>
                  <w:t>ق87 :  التَّنَاقُضُ يُفسدُ الدّعوى.</w:t>
                </w:r>
              </w:p>
              <w:p w:rsidR="00035BE3" w:rsidRPr="00D90ABF" w:rsidRDefault="00035BE3" w:rsidP="00C10469">
                <w:pPr>
                  <w:ind w:firstLine="0"/>
                  <w:rPr>
                    <w:rFonts w:cs="AL-Mateen"/>
                    <w:sz w:val="24"/>
                    <w:szCs w:val="24"/>
                    <w:rtl/>
                  </w:rPr>
                </w:pPr>
              </w:p>
              <w:p w:rsidR="00035BE3" w:rsidRPr="0031541B" w:rsidRDefault="00035BE3" w:rsidP="00C10469">
                <w:pPr>
                  <w:ind w:firstLine="0"/>
                  <w:rPr>
                    <w:rFonts w:cs="AL-Mateen"/>
                    <w:sz w:val="24"/>
                    <w:szCs w:val="24"/>
                    <w:rtl/>
                  </w:rPr>
                </w:pPr>
                <w:r w:rsidRPr="004E0AF3">
                  <w:rPr>
                    <w:rFonts w:cs="AL-Mateen" w:hint="cs"/>
                    <w:sz w:val="24"/>
                    <w:szCs w:val="24"/>
                    <w:rtl/>
                  </w:rPr>
                  <w:t>.</w:t>
                </w: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89" type="#_x0000_t202" style="position:absolute;left:0;text-align:left;margin-left:324.8pt;margin-top:3.4pt;width:99.75pt;height:31.35pt;z-index:251474432" filled="f" stroked="f">
          <v:textbox style="mso-next-textbox:#_x0000_s32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91" type="#_x0000_t75" style="position:absolute;left:0;text-align:left;margin-left:62.55pt;margin-top:.55pt;width:359.1pt;height:44.85pt;z-index:-251840000;mso-wrap-edited:f" wrapcoords="709 4393 473 10251 709 16108 709 16841 20851 16841 20891 16108 21088 10251 20851 4393 709 4393">
          <v:imagedata r:id="rId2" o:title="haut"/>
          <w10:wrap anchorx="page"/>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568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96" type="#_x0000_t75" style="position:absolute;left:0;text-align:left;margin-left:-11.8pt;margin-top:-4.3pt;width:91.2pt;height:56.1pt;z-index:2514816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94" type="#_x0000_t202" style="position:absolute;left:0;text-align:left;margin-left:170.9pt;margin-top:7.4pt;width:151.15pt;height:34.2pt;z-index:251479552" filled="f" stroked="f">
          <v:textbox style="mso-next-textbox:#_x0000_s3294">
            <w:txbxContent>
              <w:p w:rsidR="00035BE3" w:rsidRPr="00C019AA" w:rsidRDefault="00035BE3" w:rsidP="00C10469">
                <w:pPr>
                  <w:ind w:firstLine="0"/>
                  <w:rPr>
                    <w:rFonts w:cs="AL-Mateen"/>
                    <w:sz w:val="24"/>
                    <w:szCs w:val="24"/>
                    <w:rtl/>
                  </w:rPr>
                </w:pPr>
                <w:r w:rsidRPr="00C0094B">
                  <w:rPr>
                    <w:rFonts w:cs="AL-Mateen" w:hint="cs"/>
                    <w:sz w:val="24"/>
                    <w:szCs w:val="24"/>
                    <w:rtl/>
                  </w:rPr>
                  <w:t>ق88 :  التَّناقضُ لا يمنعُ صحَّةَ الإقْرارِ عَلى نفسِهِ.</w:t>
                </w:r>
              </w:p>
            </w:txbxContent>
          </v:textbox>
          <w10:wrap anchorx="page"/>
        </v:shape>
      </w:pict>
    </w:r>
    <w:r>
      <w:rPr>
        <w:noProof/>
        <w:rtl/>
        <w:lang w:val="en-US"/>
      </w:rPr>
      <w:pict>
        <v:shape id="_x0000_s3293" type="#_x0000_t202" style="position:absolute;left:0;text-align:left;margin-left:324.8pt;margin-top:3.4pt;width:99.75pt;height:31.35pt;z-index:251478528" filled="f" stroked="f">
          <v:textbox style="mso-next-textbox:#_x0000_s32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95" type="#_x0000_t75" style="position:absolute;left:0;text-align:left;margin-left:62.55pt;margin-top:.55pt;width:359.1pt;height:44.85pt;z-index:-251835904;mso-wrap-edited:f" wrapcoords="709 4393 473 10251 709 16108 709 16841 20851 16841 20891 16108 21088 10251 20851 4393 709 4393">
          <v:imagedata r:id="rId2" o:title="haut"/>
          <w10:wrap anchorx="page"/>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570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00" type="#_x0000_t75" style="position:absolute;left:0;text-align:left;margin-left:-11.8pt;margin-top:-4.3pt;width:91.2pt;height:56.1pt;z-index:2514856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98" type="#_x0000_t202" style="position:absolute;left:0;text-align:left;margin-left:170.9pt;margin-top:7.4pt;width:151.15pt;height:34.2pt;z-index:251483648" filled="f" stroked="f">
          <v:textbox style="mso-next-textbox:#_x0000_s3298">
            <w:txbxContent>
              <w:p w:rsidR="00035BE3" w:rsidRPr="00C019AA" w:rsidRDefault="00035BE3" w:rsidP="00C10469">
                <w:pPr>
                  <w:ind w:firstLine="0"/>
                  <w:rPr>
                    <w:rFonts w:cs="AL-Mateen"/>
                    <w:sz w:val="24"/>
                    <w:szCs w:val="24"/>
                    <w:rtl/>
                  </w:rPr>
                </w:pPr>
                <w:r w:rsidRPr="00ED1E3B">
                  <w:rPr>
                    <w:rFonts w:cs="AL-Mateen" w:hint="cs"/>
                    <w:sz w:val="24"/>
                    <w:szCs w:val="24"/>
                    <w:rtl/>
                  </w:rPr>
                  <w:t>ق89 : التَّنصِيصُ عَلَى الموجَبِ عندَ حصولِ الموجِبِ ليسَ بِشَرْطٍ.</w:t>
                </w:r>
              </w:p>
            </w:txbxContent>
          </v:textbox>
          <w10:wrap anchorx="page"/>
        </v:shape>
      </w:pict>
    </w:r>
    <w:r>
      <w:rPr>
        <w:noProof/>
        <w:rtl/>
        <w:lang w:val="en-US"/>
      </w:rPr>
      <w:pict>
        <v:shape id="_x0000_s3297" type="#_x0000_t202" style="position:absolute;left:0;text-align:left;margin-left:324.8pt;margin-top:3.4pt;width:99.75pt;height:31.35pt;z-index:251482624" filled="f" stroked="f">
          <v:textbox style="mso-next-textbox:#_x0000_s32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99" type="#_x0000_t75" style="position:absolute;left:0;text-align:left;margin-left:62.55pt;margin-top:.55pt;width:359.1pt;height:44.85pt;z-index:-251831808;mso-wrap-edited:f" wrapcoords="709 4393 473 10251 709 16108 709 16841 20851 16841 20891 16108 21088 10251 20851 4393 709 4393">
          <v:imagedata r:id="rId2" o:title="haut"/>
          <w10:wrap anchorx="page"/>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579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04" type="#_x0000_t75" style="position:absolute;left:0;text-align:left;margin-left:-11.8pt;margin-top:-4.3pt;width:91.2pt;height:56.1pt;z-index:2514897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02" type="#_x0000_t202" style="position:absolute;left:0;text-align:left;margin-left:170.9pt;margin-top:7.4pt;width:151.15pt;height:34.2pt;z-index:251487744" filled="f" stroked="f">
          <v:textbox style="mso-next-textbox:#_x0000_s3302">
            <w:txbxContent>
              <w:p w:rsidR="00035BE3" w:rsidRPr="00A634B6" w:rsidRDefault="00035BE3" w:rsidP="00C10469">
                <w:pPr>
                  <w:ind w:firstLine="0"/>
                  <w:rPr>
                    <w:rFonts w:cs="AL-Mateen"/>
                    <w:sz w:val="24"/>
                    <w:szCs w:val="24"/>
                    <w:rtl/>
                  </w:rPr>
                </w:pPr>
                <w:r w:rsidRPr="00A634B6">
                  <w:rPr>
                    <w:rFonts w:cs="AL-Mateen" w:hint="cs"/>
                    <w:sz w:val="24"/>
                    <w:szCs w:val="24"/>
                    <w:rtl/>
                  </w:rPr>
                  <w:t>ق90 :  التَّنْصِيصُ لاَ يوجِبُ التَّخْصِيصَ.</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01" type="#_x0000_t202" style="position:absolute;left:0;text-align:left;margin-left:324.8pt;margin-top:3.4pt;width:99.75pt;height:31.35pt;z-index:251486720" filled="f" stroked="f">
          <v:textbox style="mso-next-textbox:#_x0000_s33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03" type="#_x0000_t75" style="position:absolute;left:0;text-align:left;margin-left:62.55pt;margin-top:.55pt;width:359.1pt;height:44.85pt;z-index:-251827712;mso-wrap-edited:f" wrapcoords="709 4393 473 10251 709 16108 709 16841 20851 16841 20891 16108 21088 10251 20851 4393 709 4393">
          <v:imagedata r:id="rId2" o:title="haut"/>
          <w10:wrap anchorx="page"/>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580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08" type="#_x0000_t75" style="position:absolute;left:0;text-align:left;margin-left:-11.8pt;margin-top:-4.3pt;width:91.2pt;height:56.1pt;z-index:2514938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06" type="#_x0000_t202" style="position:absolute;left:0;text-align:left;margin-left:170.9pt;margin-top:7.4pt;width:151.15pt;height:34.2pt;z-index:251491840" filled="f" stroked="f">
          <v:textbox style="mso-next-textbox:#_x0000_s3306">
            <w:txbxContent>
              <w:p w:rsidR="00035BE3" w:rsidRPr="00E50489" w:rsidRDefault="00035BE3" w:rsidP="00C10469">
                <w:pPr>
                  <w:ind w:firstLine="0"/>
                  <w:rPr>
                    <w:rFonts w:cs="AL-Mateen"/>
                    <w:sz w:val="24"/>
                    <w:szCs w:val="24"/>
                    <w:rtl/>
                  </w:rPr>
                </w:pPr>
                <w:r w:rsidRPr="00E50489">
                  <w:rPr>
                    <w:rFonts w:cs="AL-Mateen" w:hint="cs"/>
                    <w:sz w:val="24"/>
                    <w:szCs w:val="24"/>
                    <w:rtl/>
                  </w:rPr>
                  <w:t>ق91 :  التَّوْبَةُ علىَ حَسَبِ الجِنَايَةِ.</w:t>
                </w: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05" type="#_x0000_t202" style="position:absolute;left:0;text-align:left;margin-left:324.8pt;margin-top:3.4pt;width:99.75pt;height:31.35pt;z-index:251490816" filled="f" stroked="f">
          <v:textbox style="mso-next-textbox:#_x0000_s33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07" type="#_x0000_t75" style="position:absolute;left:0;text-align:left;margin-left:62.55pt;margin-top:.55pt;width:359.1pt;height:44.85pt;z-index:-251823616;mso-wrap-edited:f" wrapcoords="709 4393 473 10251 709 16108 709 16841 20851 16841 20891 16108 21088 10251 20851 4393 709 4393">
          <v:imagedata r:id="rId2" o:title="haut"/>
          <w10:wrap anchorx="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212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48" type="#_x0000_t75" style="position:absolute;left:0;text-align:left;margin-left:-9.5pt;margin-top:-4pt;width:91.2pt;height:56.1pt;z-index:2511293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2945" type="#_x0000_t202" style="position:absolute;left:0;text-align:left;margin-left:321.95pt;margin-top:4.55pt;width:99.75pt;height:31.35pt;z-index:251126272" filled="f" stroked="f">
          <v:textbox style="mso-next-textbox:#_x0000_s2945">
            <w:txbxContent>
              <w:p w:rsidR="00035BE3" w:rsidRPr="00062246" w:rsidRDefault="00035BE3">
                <w:pPr>
                  <w:ind w:firstLine="0"/>
                  <w:jc w:val="center"/>
                  <w:rPr>
                    <w:rFonts w:cs="AL-Mateen"/>
                    <w:sz w:val="28"/>
                    <w:szCs w:val="28"/>
                    <w:rtl/>
                  </w:rPr>
                </w:pPr>
                <w:r w:rsidRPr="00062246">
                  <w:rPr>
                    <w:rFonts w:cs="AL-Mateen" w:hint="cs"/>
                    <w:sz w:val="28"/>
                    <w:szCs w:val="28"/>
                    <w:rtl/>
                  </w:rPr>
                  <w:t>ترتيب اللآلي</w:t>
                </w:r>
              </w:p>
            </w:txbxContent>
          </v:textbox>
          <w10:wrap anchorx="page"/>
        </v:shape>
      </w:pict>
    </w:r>
    <w:r>
      <w:rPr>
        <w:noProof/>
        <w:rtl/>
        <w:lang w:val="en-US"/>
      </w:rPr>
      <w:pict>
        <v:shape id="_x0000_s2946" type="#_x0000_t202" style="position:absolute;left:0;text-align:left;margin-left:133.85pt;margin-top:5.4pt;width:188.1pt;height:34.2pt;z-index:251127296" filled="f" stroked="f">
          <v:textbox style="mso-next-textbox:#_x0000_s2946">
            <w:txbxContent>
              <w:p w:rsidR="00035BE3" w:rsidRPr="00062246" w:rsidRDefault="00035BE3">
                <w:pPr>
                  <w:ind w:firstLine="0"/>
                  <w:rPr>
                    <w:rFonts w:cs="AL-Mateen"/>
                    <w:sz w:val="28"/>
                    <w:szCs w:val="28"/>
                    <w:rtl/>
                  </w:rPr>
                </w:pPr>
                <w:r w:rsidRPr="00062246">
                  <w:rPr>
                    <w:rFonts w:cs="AL-Mateen" w:hint="cs"/>
                    <w:sz w:val="28"/>
                    <w:szCs w:val="28"/>
                    <w:rtl/>
                  </w:rPr>
                  <w:t>ق1 :  الآمـر لا يـضـمـن بـالأمــر.</w:t>
                </w:r>
              </w:p>
            </w:txbxContent>
          </v:textbox>
          <w10:wrap anchorx="page"/>
        </v:shape>
      </w:pict>
    </w:r>
    <w:r>
      <w:rPr>
        <w:noProof/>
        <w:rtl/>
        <w:lang w:val="en-US"/>
      </w:rPr>
      <w:pict>
        <v:shape id="_x0000_s2947" type="#_x0000_t75" style="position:absolute;left:0;text-align:left;margin-left:62.9pt;margin-top:.85pt;width:358.8pt;height:44.85pt;z-index:-252188160;mso-wrap-edited:f" wrapcoords="709 4393 473 10251 709 16108 709 16841 20851 16841 20891 16108 21088 10251 20851 4393 709 4393">
          <v:imagedata r:id="rId2" o:title="haut"/>
          <w10:wrap anchorx="page"/>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583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12" type="#_x0000_t75" style="position:absolute;left:0;text-align:left;margin-left:-11.8pt;margin-top:-4.3pt;width:91.2pt;height:56.1pt;z-index:2514979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10" type="#_x0000_t202" style="position:absolute;left:0;text-align:left;margin-left:170.9pt;margin-top:7.4pt;width:151.15pt;height:34.2pt;z-index:251495936" filled="f" stroked="f">
          <v:textbox style="mso-next-textbox:#_x0000_s3310">
            <w:txbxContent>
              <w:p w:rsidR="00035BE3" w:rsidRPr="008E4D0A" w:rsidRDefault="00035BE3" w:rsidP="00C10469">
                <w:pPr>
                  <w:ind w:firstLine="0"/>
                  <w:rPr>
                    <w:rFonts w:cs="AL-Mateen"/>
                    <w:sz w:val="24"/>
                    <w:szCs w:val="24"/>
                    <w:rtl/>
                  </w:rPr>
                </w:pPr>
                <w:r w:rsidRPr="008E4D0A">
                  <w:rPr>
                    <w:rFonts w:cs="AL-Mateen" w:hint="cs"/>
                    <w:sz w:val="24"/>
                    <w:szCs w:val="24"/>
                    <w:rtl/>
                  </w:rPr>
                  <w:t>ق92 :  الثَّابتُ اقتضاءً كالثابتِ نصًّا.</w:t>
                </w: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09" type="#_x0000_t202" style="position:absolute;left:0;text-align:left;margin-left:324.8pt;margin-top:3.4pt;width:99.75pt;height:31.35pt;z-index:251494912" filled="f" stroked="f">
          <v:textbox style="mso-next-textbox:#_x0000_s33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11" type="#_x0000_t75" style="position:absolute;left:0;text-align:left;margin-left:62.55pt;margin-top:.55pt;width:359.1pt;height:44.85pt;z-index:-251819520;mso-wrap-edited:f" wrapcoords="709 4393 473 10251 709 16108 709 16841 20851 16841 20891 16108 21088 10251 20851 4393 709 4393">
          <v:imagedata r:id="rId2" o:title="haut"/>
          <w10:wrap anchorx="page"/>
        </v:shape>
      </w:pic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585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16" type="#_x0000_t75" style="position:absolute;left:0;text-align:left;margin-left:-11.8pt;margin-top:-4.3pt;width:91.2pt;height:56.1pt;z-index:2515020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14" type="#_x0000_t202" style="position:absolute;left:0;text-align:left;margin-left:170.9pt;margin-top:7.4pt;width:151.15pt;height:34.2pt;z-index:251500032" filled="f" stroked="f">
          <v:textbox style="mso-next-textbox:#_x0000_s3314">
            <w:txbxContent>
              <w:p w:rsidR="00035BE3" w:rsidRPr="008E4D0A" w:rsidRDefault="00035BE3" w:rsidP="00C10469">
                <w:pPr>
                  <w:ind w:firstLine="0"/>
                  <w:rPr>
                    <w:rFonts w:cs="AL-Mateen"/>
                    <w:sz w:val="24"/>
                    <w:szCs w:val="24"/>
                    <w:rtl/>
                  </w:rPr>
                </w:pPr>
                <w:r w:rsidRPr="003E2E88">
                  <w:rPr>
                    <w:rFonts w:cs="AL-Mateen" w:hint="cs"/>
                    <w:sz w:val="24"/>
                    <w:szCs w:val="24"/>
                    <w:rtl/>
                  </w:rPr>
                  <w:t>ق93 :  الثَّابتُ بالبيِّنةِ كالثَّابتِ بإقرارِ الخصمِ.</w:t>
                </w: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13" type="#_x0000_t202" style="position:absolute;left:0;text-align:left;margin-left:324.8pt;margin-top:3.4pt;width:99.75pt;height:31.35pt;z-index:251499008" filled="f" stroked="f">
          <v:textbox style="mso-next-textbox:#_x0000_s33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15" type="#_x0000_t75" style="position:absolute;left:0;text-align:left;margin-left:62.55pt;margin-top:.55pt;width:359.1pt;height:44.85pt;z-index:-251815424;mso-wrap-edited:f" wrapcoords="709 4393 473 10251 709 16108 709 16841 20851 16841 20891 16108 21088 10251 20851 4393 709 4393">
          <v:imagedata r:id="rId2" o:title="haut"/>
          <w10:wrap anchorx="page"/>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588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20" type="#_x0000_t75" style="position:absolute;left:0;text-align:left;margin-left:-11.8pt;margin-top:-4.3pt;width:91.2pt;height:56.1pt;z-index:2515061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18" type="#_x0000_t202" style="position:absolute;left:0;text-align:left;margin-left:170.9pt;margin-top:7.4pt;width:151.15pt;height:34.2pt;z-index:251504128" filled="f" stroked="f">
          <v:textbox style="mso-next-textbox:#_x0000_s3318">
            <w:txbxContent>
              <w:p w:rsidR="00035BE3" w:rsidRPr="008E4D0A" w:rsidRDefault="00035BE3" w:rsidP="00C10469">
                <w:pPr>
                  <w:ind w:firstLine="0"/>
                  <w:rPr>
                    <w:rFonts w:cs="AL-Mateen"/>
                    <w:sz w:val="24"/>
                    <w:szCs w:val="24"/>
                    <w:rtl/>
                  </w:rPr>
                </w:pPr>
                <w:r w:rsidRPr="00B74148">
                  <w:rPr>
                    <w:rFonts w:cs="AL-Mateen" w:hint="cs"/>
                    <w:sz w:val="24"/>
                    <w:szCs w:val="24"/>
                    <w:rtl/>
                  </w:rPr>
                  <w:t>ق94 :  الثَّابتُ بالبرهانِ كالثَّابتِ بالعَيَانِ.</w:t>
                </w: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17" type="#_x0000_t202" style="position:absolute;left:0;text-align:left;margin-left:324.8pt;margin-top:3.4pt;width:99.75pt;height:31.35pt;z-index:251503104" filled="f" stroked="f">
          <v:textbox style="mso-next-textbox:#_x0000_s33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19" type="#_x0000_t75" style="position:absolute;left:0;text-align:left;margin-left:62.55pt;margin-top:.55pt;width:359.1pt;height:44.85pt;z-index:-251811328;mso-wrap-edited:f" wrapcoords="709 4393 473 10251 709 16108 709 16841 20851 16841 20891 16108 21088 10251 20851 4393 709 4393">
          <v:imagedata r:id="rId2" o:title="haut"/>
          <w10:wrap anchorx="page"/>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595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28" type="#_x0000_t75" style="position:absolute;left:0;text-align:left;margin-left:-11.8pt;margin-top:-4.3pt;width:91.2pt;height:56.1pt;z-index:2515143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26" type="#_x0000_t202" style="position:absolute;left:0;text-align:left;margin-left:170.9pt;margin-top:7.4pt;width:151.15pt;height:34.2pt;z-index:251512320" filled="f" stroked="f">
          <v:textbox style="mso-next-textbox:#_x0000_s3326">
            <w:txbxContent>
              <w:p w:rsidR="00035BE3" w:rsidRPr="00BD46DE" w:rsidRDefault="00035BE3" w:rsidP="00C10469">
                <w:pPr>
                  <w:ind w:firstLine="0"/>
                  <w:rPr>
                    <w:rFonts w:cs="AL-Mateen"/>
                    <w:sz w:val="24"/>
                    <w:szCs w:val="24"/>
                    <w:rtl/>
                  </w:rPr>
                </w:pPr>
                <w:r w:rsidRPr="0005549F">
                  <w:rPr>
                    <w:rFonts w:cs="AL-Mateen" w:hint="cs"/>
                    <w:sz w:val="24"/>
                    <w:szCs w:val="24"/>
                    <w:rtl/>
                  </w:rPr>
                  <w:t>ق96 :  الثَّابتُ بدلالةٍ إنَّمَا يُعْتَبَرُ إذَا لَمْ يُوجَدِ الصَّريحُ بخلافِهِ.</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25" type="#_x0000_t202" style="position:absolute;left:0;text-align:left;margin-left:324.8pt;margin-top:3.4pt;width:99.75pt;height:31.35pt;z-index:251511296" filled="f" stroked="f">
          <v:textbox style="mso-next-textbox:#_x0000_s33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27" type="#_x0000_t75" style="position:absolute;left:0;text-align:left;margin-left:62.55pt;margin-top:.55pt;width:359.1pt;height:44.85pt;z-index:-251803136;mso-wrap-edited:f" wrapcoords="709 4393 473 10251 709 16108 709 16841 20851 16841 20891 16108 21088 10251 20851 4393 709 4393">
          <v:imagedata r:id="rId2" o:title="haut"/>
          <w10:wrap anchorx="page"/>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602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32" type="#_x0000_t75" style="position:absolute;left:0;text-align:left;margin-left:-11.8pt;margin-top:-4.3pt;width:91.2pt;height:56.1pt;z-index:2515184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30" type="#_x0000_t202" style="position:absolute;left:0;text-align:left;margin-left:170.9pt;margin-top:7.4pt;width:151.15pt;height:34.2pt;z-index:251516416" filled="f" stroked="f">
          <v:textbox style="mso-next-textbox:#_x0000_s3330">
            <w:txbxContent>
              <w:p w:rsidR="00035BE3" w:rsidRPr="00BD46DE" w:rsidRDefault="00035BE3" w:rsidP="00C10469">
                <w:pPr>
                  <w:ind w:firstLine="0"/>
                  <w:rPr>
                    <w:rFonts w:cs="AL-Mateen"/>
                    <w:sz w:val="24"/>
                    <w:szCs w:val="24"/>
                    <w:rtl/>
                  </w:rPr>
                </w:pPr>
                <w:r w:rsidRPr="005F2BDB">
                  <w:rPr>
                    <w:rFonts w:cs="AL-Mateen" w:hint="cs"/>
                    <w:sz w:val="23"/>
                    <w:szCs w:val="23"/>
                    <w:rtl/>
                  </w:rPr>
                  <w:t>ق97 :  الثَّابتُ بالضَّرورةِ يتقدَّرُ بقدرِ الضَّرورَةِ.</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29" type="#_x0000_t202" style="position:absolute;left:0;text-align:left;margin-left:324.8pt;margin-top:3.4pt;width:99.75pt;height:31.35pt;z-index:251515392" filled="f" stroked="f">
          <v:textbox style="mso-next-textbox:#_x0000_s33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31" type="#_x0000_t75" style="position:absolute;left:0;text-align:left;margin-left:62.55pt;margin-top:.55pt;width:359.1pt;height:44.85pt;z-index:-251799040;mso-wrap-edited:f" wrapcoords="709 4393 473 10251 709 16108 709 16841 20851 16841 20891 16108 21088 10251 20851 4393 709 4393">
          <v:imagedata r:id="rId2" o:title="haut"/>
          <w10:wrap anchorx="page"/>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604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36" type="#_x0000_t75" style="position:absolute;left:0;text-align:left;margin-left:-11.8pt;margin-top:-4.3pt;width:91.2pt;height:56.1pt;z-index:2515225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34" type="#_x0000_t202" style="position:absolute;left:0;text-align:left;margin-left:170.9pt;margin-top:7.4pt;width:151.15pt;height:34.2pt;z-index:251520512" filled="f" stroked="f">
          <v:textbox style="mso-next-textbox:#_x0000_s3334">
            <w:txbxContent>
              <w:p w:rsidR="00035BE3" w:rsidRPr="00BD46DE" w:rsidRDefault="00035BE3" w:rsidP="00C10469">
                <w:pPr>
                  <w:ind w:firstLine="0"/>
                  <w:rPr>
                    <w:rFonts w:cs="AL-Mateen"/>
                    <w:sz w:val="24"/>
                    <w:szCs w:val="24"/>
                    <w:rtl/>
                  </w:rPr>
                </w:pPr>
                <w:r w:rsidRPr="000F123C">
                  <w:rPr>
                    <w:rFonts w:cs="AL-Mateen" w:hint="cs"/>
                    <w:sz w:val="24"/>
                    <w:szCs w:val="24"/>
                    <w:rtl/>
                  </w:rPr>
                  <w:t>ق98 : الثَّابِتُ قَطْعًا أو ظَاهِرًا لا يُؤَخَّرُ لموهومٍ.</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33" type="#_x0000_t202" style="position:absolute;left:0;text-align:left;margin-left:324.8pt;margin-top:3.4pt;width:99.75pt;height:31.35pt;z-index:251519488" filled="f" stroked="f">
          <v:textbox style="mso-next-textbox:#_x0000_s33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35" type="#_x0000_t75" style="position:absolute;left:0;text-align:left;margin-left:62.55pt;margin-top:.55pt;width:359.1pt;height:44.85pt;z-index:-251794944;mso-wrap-edited:f" wrapcoords="709 4393 473 10251 709 16108 709 16841 20851 16841 20891 16108 21088 10251 20851 4393 709 4393">
          <v:imagedata r:id="rId2" o:title="haut"/>
          <w10:wrap anchorx="page"/>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607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40" type="#_x0000_t75" style="position:absolute;left:0;text-align:left;margin-left:-11.8pt;margin-top:-4.3pt;width:91.2pt;height:56.1pt;z-index:2515266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38" type="#_x0000_t202" style="position:absolute;left:0;text-align:left;margin-left:170.9pt;margin-top:7.4pt;width:151.15pt;height:34.2pt;z-index:251524608" filled="f" stroked="f">
          <v:textbox style="mso-next-textbox:#_x0000_s3338">
            <w:txbxContent>
              <w:p w:rsidR="00035BE3" w:rsidRPr="00BD46DE" w:rsidRDefault="00035BE3" w:rsidP="00C10469">
                <w:pPr>
                  <w:ind w:firstLine="0"/>
                  <w:rPr>
                    <w:rFonts w:cs="AL-Mateen"/>
                    <w:sz w:val="24"/>
                    <w:szCs w:val="24"/>
                    <w:rtl/>
                  </w:rPr>
                </w:pPr>
                <w:r w:rsidRPr="00486398">
                  <w:rPr>
                    <w:rFonts w:cs="AL-Mateen" w:hint="cs"/>
                    <w:sz w:val="24"/>
                    <w:szCs w:val="24"/>
                    <w:rtl/>
                  </w:rPr>
                  <w:t>ق99 : جَازَ إقامةُ البَّيِنَةِ مَعَ الإقرارِ في كلِّ موضعٍ يُتوقَّعُ الضررُ .</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37" type="#_x0000_t202" style="position:absolute;left:0;text-align:left;margin-left:324.8pt;margin-top:3.4pt;width:99.75pt;height:31.35pt;z-index:251523584" filled="f" stroked="f">
          <v:textbox style="mso-next-textbox:#_x0000_s33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39" type="#_x0000_t75" style="position:absolute;left:0;text-align:left;margin-left:62.55pt;margin-top:.55pt;width:359.1pt;height:44.85pt;z-index:-251790848;mso-wrap-edited:f" wrapcoords="709 4393 473 10251 709 16108 709 16841 20851 16841 20891 16108 21088 10251 20851 4393 709 4393">
          <v:imagedata r:id="rId2" o:title="haut"/>
          <w10:wrap anchorx="page"/>
        </v:shape>
      </w:pic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609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44" type="#_x0000_t75" style="position:absolute;left:0;text-align:left;margin-left:-11.8pt;margin-top:-4.3pt;width:91.2pt;height:56.1pt;z-index:2515307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42" type="#_x0000_t202" style="position:absolute;left:0;text-align:left;margin-left:170.9pt;margin-top:7.4pt;width:151.15pt;height:34.2pt;z-index:251528704" filled="f" stroked="f">
          <v:textbox style="mso-next-textbox:#_x0000_s3342">
            <w:txbxContent>
              <w:p w:rsidR="00035BE3" w:rsidRPr="00D56436" w:rsidRDefault="00035BE3" w:rsidP="00C10469">
                <w:pPr>
                  <w:ind w:firstLine="0"/>
                  <w:rPr>
                    <w:rFonts w:cs="AL-Mateen"/>
                    <w:sz w:val="24"/>
                    <w:szCs w:val="24"/>
                    <w:rtl/>
                  </w:rPr>
                </w:pPr>
                <w:r w:rsidRPr="00D56436">
                  <w:rPr>
                    <w:rFonts w:cs="AL-Mateen" w:hint="cs"/>
                    <w:sz w:val="24"/>
                    <w:szCs w:val="24"/>
                    <w:rtl/>
                  </w:rPr>
                  <w:t>ق100 :  جُرْحُ الـعَجْماءِ جُبَارٌ.</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41" type="#_x0000_t202" style="position:absolute;left:0;text-align:left;margin-left:324.8pt;margin-top:3.4pt;width:99.75pt;height:31.35pt;z-index:251527680" filled="f" stroked="f">
          <v:textbox style="mso-next-textbox:#_x0000_s33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43" type="#_x0000_t75" style="position:absolute;left:0;text-align:left;margin-left:62.55pt;margin-top:.55pt;width:359.1pt;height:44.85pt;z-index:-251786752;mso-wrap-edited:f" wrapcoords="709 4393 473 10251 709 16108 709 16841 20851 16841 20891 16108 21088 10251 20851 4393 709 4393">
          <v:imagedata r:id="rId2" o:title="haut"/>
          <w10:wrap anchorx="page"/>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615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48" type="#_x0000_t75" style="position:absolute;left:0;text-align:left;margin-left:-11.8pt;margin-top:-4.3pt;width:91.2pt;height:56.1pt;z-index:2515348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46" type="#_x0000_t202" style="position:absolute;left:0;text-align:left;margin-left:170.9pt;margin-top:7.4pt;width:151.15pt;height:34.2pt;z-index:251532800" filled="f" stroked="f">
          <v:textbox style="mso-next-textbox:#_x0000_s3346">
            <w:txbxContent>
              <w:p w:rsidR="00035BE3" w:rsidRPr="00D56436" w:rsidRDefault="00035BE3" w:rsidP="00C10469">
                <w:pPr>
                  <w:ind w:firstLine="0"/>
                  <w:rPr>
                    <w:rFonts w:cs="AL-Mateen"/>
                    <w:sz w:val="24"/>
                    <w:szCs w:val="24"/>
                    <w:rtl/>
                  </w:rPr>
                </w:pPr>
                <w:r w:rsidRPr="00B411F9">
                  <w:rPr>
                    <w:rFonts w:cs="AL-Mateen" w:hint="cs"/>
                    <w:sz w:val="24"/>
                    <w:szCs w:val="24"/>
                    <w:rtl/>
                  </w:rPr>
                  <w:t>ق</w:t>
                </w:r>
                <w:r w:rsidRPr="00B411F9">
                  <w:rPr>
                    <w:rFonts w:cs="AL-Mateen"/>
                    <w:sz w:val="24"/>
                    <w:szCs w:val="24"/>
                  </w:rPr>
                  <w:t>101</w:t>
                </w:r>
                <w:r w:rsidRPr="00B411F9">
                  <w:rPr>
                    <w:rFonts w:cs="AL-Mateen" w:hint="cs"/>
                    <w:sz w:val="24"/>
                    <w:szCs w:val="24"/>
                    <w:rtl/>
                  </w:rPr>
                  <w:t xml:space="preserve"> :  الجمعُ المحلَّى باللاَّمِ يُرَادُ بِهِ الجِنْسُ، ويُبطِل</w:t>
                </w:r>
                <w:r w:rsidRPr="00B411F9">
                  <w:rPr>
                    <w:rFonts w:cs="AL-Mateen"/>
                    <w:sz w:val="24"/>
                    <w:szCs w:val="24"/>
                  </w:rPr>
                  <w:t xml:space="preserve"> </w:t>
                </w:r>
                <w:r w:rsidRPr="00B411F9">
                  <w:rPr>
                    <w:rFonts w:cs="AL-Mateen" w:hint="cs"/>
                    <w:sz w:val="24"/>
                    <w:szCs w:val="24"/>
                    <w:rtl/>
                    <w:lang w:bidi="ar-AE"/>
                  </w:rPr>
                  <w:t xml:space="preserve"> الجمعيَّة.</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45" type="#_x0000_t202" style="position:absolute;left:0;text-align:left;margin-left:324.8pt;margin-top:3.4pt;width:99.75pt;height:31.35pt;z-index:251531776" filled="f" stroked="f">
          <v:textbox style="mso-next-textbox:#_x0000_s33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47" type="#_x0000_t75" style="position:absolute;left:0;text-align:left;margin-left:62.55pt;margin-top:.55pt;width:359.1pt;height:44.85pt;z-index:-251782656;mso-wrap-edited:f" wrapcoords="709 4393 473 10251 709 16108 709 16841 20851 16841 20891 16108 21088 10251 20851 4393 709 4393">
          <v:imagedata r:id="rId2" o:title="haut"/>
          <w10:wrap anchorx="page"/>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616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52" type="#_x0000_t75" style="position:absolute;left:0;text-align:left;margin-left:-11.8pt;margin-top:-4.3pt;width:91.2pt;height:56.1pt;z-index:2515389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50" type="#_x0000_t202" style="position:absolute;left:0;text-align:left;margin-left:170.9pt;margin-top:7.4pt;width:151.15pt;height:34.2pt;z-index:251536896" filled="f" stroked="f">
          <v:textbox style="mso-next-textbox:#_x0000_s3350">
            <w:txbxContent>
              <w:p w:rsidR="00035BE3" w:rsidRPr="00D56436" w:rsidRDefault="00035BE3" w:rsidP="00C10469">
                <w:pPr>
                  <w:ind w:firstLine="0"/>
                  <w:rPr>
                    <w:rFonts w:cs="AL-Mateen"/>
                    <w:sz w:val="24"/>
                    <w:szCs w:val="24"/>
                    <w:rtl/>
                  </w:rPr>
                </w:pPr>
                <w:r w:rsidRPr="004741ED">
                  <w:rPr>
                    <w:rFonts w:cs="AL-Mateen" w:hint="cs"/>
                    <w:sz w:val="24"/>
                    <w:szCs w:val="24"/>
                    <w:rtl/>
                  </w:rPr>
                  <w:t>ق102 :  الجَمْعُ المذكورُ في المِيرَاثِ اثْنَانِ</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49" type="#_x0000_t202" style="position:absolute;left:0;text-align:left;margin-left:324.8pt;margin-top:3.4pt;width:99.75pt;height:31.35pt;z-index:251535872" filled="f" stroked="f">
          <v:textbox style="mso-next-textbox:#_x0000_s33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51" type="#_x0000_t75" style="position:absolute;left:0;text-align:left;margin-left:62.55pt;margin-top:.55pt;width:359.1pt;height:44.85pt;z-index:-251778560;mso-wrap-edited:f" wrapcoords="709 4393 473 10251 709 16108 709 16841 20851 16841 20891 16108 21088 10251 20851 4393 709 4393">
          <v:imagedata r:id="rId2" o:title="haut"/>
          <w10:wrap anchorx="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223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52" type="#_x0000_t75" style="position:absolute;left:0;text-align:left;margin-left:-9.5pt;margin-top:-4pt;width:91.2pt;height:56.1pt;z-index:2511334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2949" type="#_x0000_t202" style="position:absolute;left:0;text-align:left;margin-left:321.95pt;margin-top:4.55pt;width:99.75pt;height:31.35pt;z-index:251130368" filled="f" stroked="f">
          <v:textbox style="mso-next-textbox:#_x0000_s2949">
            <w:txbxContent>
              <w:p w:rsidR="00035BE3" w:rsidRPr="00062246" w:rsidRDefault="00035BE3">
                <w:pPr>
                  <w:ind w:firstLine="0"/>
                  <w:jc w:val="center"/>
                  <w:rPr>
                    <w:rFonts w:cs="AL-Mateen"/>
                    <w:sz w:val="28"/>
                    <w:szCs w:val="28"/>
                    <w:rtl/>
                  </w:rPr>
                </w:pPr>
                <w:r w:rsidRPr="00062246">
                  <w:rPr>
                    <w:rFonts w:cs="AL-Mateen" w:hint="cs"/>
                    <w:sz w:val="28"/>
                    <w:szCs w:val="28"/>
                    <w:rtl/>
                  </w:rPr>
                  <w:t>ترتيب اللآلي</w:t>
                </w:r>
              </w:p>
            </w:txbxContent>
          </v:textbox>
          <w10:wrap anchorx="page"/>
        </v:shape>
      </w:pict>
    </w:r>
    <w:r>
      <w:rPr>
        <w:noProof/>
        <w:rtl/>
        <w:lang w:val="en-US"/>
      </w:rPr>
      <w:pict>
        <v:shape id="_x0000_s2950" type="#_x0000_t202" style="position:absolute;left:0;text-align:left;margin-left:133.85pt;margin-top:5.4pt;width:188.1pt;height:34.2pt;z-index:251131392" filled="f" stroked="f">
          <v:textbox style="mso-next-textbox:#_x0000_s2950">
            <w:txbxContent>
              <w:p w:rsidR="00035BE3" w:rsidRPr="00062246" w:rsidRDefault="00035BE3">
                <w:pPr>
                  <w:ind w:firstLine="0"/>
                  <w:rPr>
                    <w:rFonts w:cs="AL-Mateen"/>
                    <w:sz w:val="28"/>
                    <w:szCs w:val="28"/>
                    <w:rtl/>
                  </w:rPr>
                </w:pPr>
                <w:r w:rsidRPr="009207DA">
                  <w:rPr>
                    <w:rFonts w:cs="AL-Mateen" w:hint="cs"/>
                    <w:sz w:val="24"/>
                    <w:szCs w:val="24"/>
                    <w:rtl/>
                  </w:rPr>
                  <w:t>ق2 :  الإِبْـرَاءُ عَـنِ الأَعْـيَـانِ لاَ يَـجُـوزُ، وعـنْ دعـوَاهَـا يجوز.</w:t>
                </w:r>
              </w:p>
            </w:txbxContent>
          </v:textbox>
          <w10:wrap anchorx="page"/>
        </v:shape>
      </w:pict>
    </w:r>
    <w:r>
      <w:rPr>
        <w:noProof/>
        <w:rtl/>
        <w:lang w:val="en-US"/>
      </w:rPr>
      <w:pict>
        <v:shape id="_x0000_s2951" type="#_x0000_t75" style="position:absolute;left:0;text-align:left;margin-left:62.9pt;margin-top:.85pt;width:358.8pt;height:44.85pt;z-index:-252184064;mso-wrap-edited:f" wrapcoords="709 4393 473 10251 709 16108 709 16841 20851 16841 20891 16108 21088 10251 20851 4393 709 4393">
          <v:imagedata r:id="rId2" o:title="haut"/>
          <w10:wrap anchorx="page"/>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619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56" type="#_x0000_t75" style="position:absolute;left:0;text-align:left;margin-left:-11.8pt;margin-top:-4.3pt;width:91.2pt;height:56.1pt;z-index:2515430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54" type="#_x0000_t202" style="position:absolute;left:0;text-align:left;margin-left:170.9pt;margin-top:7.4pt;width:151.15pt;height:34.2pt;z-index:251540992" filled="f" stroked="f">
          <v:textbox style="mso-next-textbox:#_x0000_s3354">
            <w:txbxContent>
              <w:p w:rsidR="00035BE3" w:rsidRPr="00D56436" w:rsidRDefault="00035BE3" w:rsidP="00C10469">
                <w:pPr>
                  <w:ind w:firstLine="0"/>
                  <w:rPr>
                    <w:rFonts w:cs="AL-Mateen"/>
                    <w:sz w:val="24"/>
                    <w:szCs w:val="24"/>
                    <w:rtl/>
                  </w:rPr>
                </w:pPr>
                <w:r w:rsidRPr="00B4461D">
                  <w:rPr>
                    <w:rFonts w:cs="AL-Mateen" w:hint="cs"/>
                    <w:sz w:val="24"/>
                    <w:szCs w:val="24"/>
                    <w:rtl/>
                  </w:rPr>
                  <w:t>ق103 :  جوازُ الشَّرعِ يُنَافِي الضَّمَانَ.</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53" type="#_x0000_t202" style="position:absolute;left:0;text-align:left;margin-left:324.8pt;margin-top:3.4pt;width:99.75pt;height:31.35pt;z-index:251539968" filled="f" stroked="f">
          <v:textbox style="mso-next-textbox:#_x0000_s33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55" type="#_x0000_t75" style="position:absolute;left:0;text-align:left;margin-left:62.55pt;margin-top:.55pt;width:359.1pt;height:44.85pt;z-index:-251774464;mso-wrap-edited:f" wrapcoords="709 4393 473 10251 709 16108 709 16841 20851 16841 20891 16108 21088 10251 20851 4393 709 4393">
          <v:imagedata r:id="rId2" o:title="haut"/>
          <w10:wrap anchorx="page"/>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622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60" type="#_x0000_t75" style="position:absolute;left:0;text-align:left;margin-left:-11.8pt;margin-top:-4.3pt;width:91.2pt;height:56.1pt;z-index:2515471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58" type="#_x0000_t202" style="position:absolute;left:0;text-align:left;margin-left:170.9pt;margin-top:7.4pt;width:151.15pt;height:34.2pt;z-index:251545088" filled="f" stroked="f">
          <v:textbox style="mso-next-textbox:#_x0000_s3358">
            <w:txbxContent>
              <w:p w:rsidR="00035BE3" w:rsidRPr="00D56436" w:rsidRDefault="00035BE3" w:rsidP="00C10469">
                <w:pPr>
                  <w:ind w:firstLine="0"/>
                  <w:rPr>
                    <w:rFonts w:cs="AL-Mateen"/>
                    <w:sz w:val="24"/>
                    <w:szCs w:val="24"/>
                    <w:rtl/>
                  </w:rPr>
                </w:pPr>
                <w:r w:rsidRPr="000E7154">
                  <w:rPr>
                    <w:rFonts w:cs="AL-Mateen" w:hint="cs"/>
                    <w:sz w:val="24"/>
                    <w:szCs w:val="24"/>
                    <w:rtl/>
                  </w:rPr>
                  <w:t>ق104 :  الجَهَالةُ المُفضِيةُ إلى النِّزاعِ مُفسِدَةٌ للعقْدِ.</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57" type="#_x0000_t202" style="position:absolute;left:0;text-align:left;margin-left:324.8pt;margin-top:3.4pt;width:99.75pt;height:31.35pt;z-index:251544064" filled="f" stroked="f">
          <v:textbox style="mso-next-textbox:#_x0000_s33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59" type="#_x0000_t75" style="position:absolute;left:0;text-align:left;margin-left:62.55pt;margin-top:.55pt;width:359.1pt;height:44.85pt;z-index:-251770368;mso-wrap-edited:f" wrapcoords="709 4393 473 10251 709 16108 709 16841 20851 16841 20891 16108 21088 10251 20851 4393 709 4393">
          <v:imagedata r:id="rId2" o:title="haut"/>
          <w10:wrap anchorx="page"/>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625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64" type="#_x0000_t75" style="position:absolute;left:0;text-align:left;margin-left:-11.8pt;margin-top:-4.3pt;width:91.2pt;height:56.1pt;z-index:2515512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62" type="#_x0000_t202" style="position:absolute;left:0;text-align:left;margin-left:170.9pt;margin-top:7.4pt;width:151.15pt;height:34.2pt;z-index:251549184" filled="f" stroked="f">
          <v:textbox style="mso-next-textbox:#_x0000_s3362">
            <w:txbxContent>
              <w:p w:rsidR="00035BE3" w:rsidRPr="00D56436" w:rsidRDefault="00035BE3" w:rsidP="00C10469">
                <w:pPr>
                  <w:ind w:firstLine="0"/>
                  <w:rPr>
                    <w:rFonts w:cs="AL-Mateen"/>
                    <w:sz w:val="24"/>
                    <w:szCs w:val="24"/>
                    <w:rtl/>
                  </w:rPr>
                </w:pPr>
                <w:r w:rsidRPr="0085690F">
                  <w:rPr>
                    <w:rFonts w:cs="AL-Mateen" w:hint="cs"/>
                    <w:sz w:val="24"/>
                    <w:szCs w:val="24"/>
                    <w:rtl/>
                  </w:rPr>
                  <w:t>ق105 :  جَهَالة السَّبَبِ لاَ يُعتبر عندَ تَيَقُّنِ مَنْ لَهُ الحَقُّ.</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61" type="#_x0000_t202" style="position:absolute;left:0;text-align:left;margin-left:324.8pt;margin-top:3.4pt;width:99.75pt;height:31.35pt;z-index:251548160" filled="f" stroked="f">
          <v:textbox style="mso-next-textbox:#_x0000_s33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63" type="#_x0000_t75" style="position:absolute;left:0;text-align:left;margin-left:62.55pt;margin-top:.55pt;width:359.1pt;height:44.85pt;z-index:-251766272;mso-wrap-edited:f" wrapcoords="709 4393 473 10251 709 16108 709 16841 20851 16841 20891 16108 21088 10251 20851 4393 709 4393">
          <v:imagedata r:id="rId2" o:title="haut"/>
          <w10:wrap anchorx="page"/>
        </v:shape>
      </w:pic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626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68" type="#_x0000_t75" style="position:absolute;left:0;text-align:left;margin-left:-11.8pt;margin-top:-4.3pt;width:91.2pt;height:56.1pt;z-index:2515553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66" type="#_x0000_t202" style="position:absolute;left:0;text-align:left;margin-left:170.9pt;margin-top:7.4pt;width:151.15pt;height:34.2pt;z-index:251553280" filled="f" stroked="f">
          <v:textbox style="mso-next-textbox:#_x0000_s3366">
            <w:txbxContent>
              <w:p w:rsidR="00035BE3" w:rsidRPr="00D56436" w:rsidRDefault="00035BE3" w:rsidP="00C10469">
                <w:pPr>
                  <w:ind w:firstLine="0"/>
                  <w:rPr>
                    <w:rFonts w:cs="AL-Mateen"/>
                    <w:sz w:val="24"/>
                    <w:szCs w:val="24"/>
                    <w:rtl/>
                  </w:rPr>
                </w:pPr>
                <w:r w:rsidRPr="00251D8D">
                  <w:rPr>
                    <w:rFonts w:cs="AL-Mateen" w:hint="cs"/>
                    <w:sz w:val="24"/>
                    <w:szCs w:val="24"/>
                    <w:rtl/>
                  </w:rPr>
                  <w:t>ق106 :  جهالةُ السّاقط لا تمنعُ صِحَّةَ العقدِ؛ لأنَّهَا لا تُفضِي .</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65" type="#_x0000_t202" style="position:absolute;left:0;text-align:left;margin-left:324.8pt;margin-top:3.4pt;width:99.75pt;height:31.35pt;z-index:251552256" filled="f" stroked="f">
          <v:textbox style="mso-next-textbox:#_x0000_s33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67" type="#_x0000_t75" style="position:absolute;left:0;text-align:left;margin-left:62.55pt;margin-top:.55pt;width:359.1pt;height:44.85pt;z-index:-251762176;mso-wrap-edited:f" wrapcoords="709 4393 473 10251 709 16108 709 16841 20851 16841 20891 16108 21088 10251 20851 4393 709 4393">
          <v:imagedata r:id="rId2" o:title="haut"/>
          <w10:wrap anchorx="page"/>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630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72" type="#_x0000_t75" style="position:absolute;left:0;text-align:left;margin-left:-11.8pt;margin-top:-4.3pt;width:91.2pt;height:56.1pt;z-index:2515594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70" type="#_x0000_t202" style="position:absolute;left:0;text-align:left;margin-left:170.9pt;margin-top:7.4pt;width:151.15pt;height:34.2pt;z-index:251557376" filled="f" stroked="f">
          <v:textbox style="mso-next-textbox:#_x0000_s3370">
            <w:txbxContent>
              <w:p w:rsidR="00035BE3" w:rsidRPr="00D56436" w:rsidRDefault="00035BE3" w:rsidP="00C10469">
                <w:pPr>
                  <w:ind w:firstLine="0"/>
                  <w:rPr>
                    <w:rFonts w:cs="AL-Mateen"/>
                    <w:sz w:val="24"/>
                    <w:szCs w:val="24"/>
                    <w:rtl/>
                  </w:rPr>
                </w:pPr>
                <w:r w:rsidRPr="00395942">
                  <w:rPr>
                    <w:rFonts w:cs="AL-Mateen" w:hint="cs"/>
                    <w:sz w:val="24"/>
                    <w:szCs w:val="24"/>
                    <w:rtl/>
                  </w:rPr>
                  <w:t>ق107 : جَهَالَةُ المَكْفُولِ لَهُ تُبطِلُ الكفالةَ، وكذا جهالةُ المكفولِ عنهُ.</w:t>
                </w:r>
                <w:r w:rsidRPr="00251D8D">
                  <w:rPr>
                    <w:rFonts w:cs="AL-Mateen" w:hint="cs"/>
                    <w:sz w:val="24"/>
                    <w:szCs w:val="24"/>
                    <w:rtl/>
                  </w:rPr>
                  <w:t>.</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69" type="#_x0000_t202" style="position:absolute;left:0;text-align:left;margin-left:324.8pt;margin-top:3.4pt;width:99.75pt;height:31.35pt;z-index:251556352" filled="f" stroked="f">
          <v:textbox style="mso-next-textbox:#_x0000_s33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71" type="#_x0000_t75" style="position:absolute;left:0;text-align:left;margin-left:62.55pt;margin-top:.55pt;width:359.1pt;height:44.85pt;z-index:-251758080;mso-wrap-edited:f" wrapcoords="709 4393 473 10251 709 16108 709 16841 20851 16841 20891 16108 21088 10251 20851 4393 709 4393">
          <v:imagedata r:id="rId2" o:title="haut"/>
          <w10:wrap anchorx="page"/>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636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76" type="#_x0000_t75" style="position:absolute;left:0;text-align:left;margin-left:-11.8pt;margin-top:-4.3pt;width:91.2pt;height:56.1pt;z-index:2515635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74" type="#_x0000_t202" style="position:absolute;left:0;text-align:left;margin-left:170.9pt;margin-top:7.4pt;width:151.15pt;height:34.2pt;z-index:251561472" filled="f" stroked="f">
          <v:textbox style="mso-next-textbox:#_x0000_s3374">
            <w:txbxContent>
              <w:p w:rsidR="00035BE3" w:rsidRPr="00D56436" w:rsidRDefault="00035BE3" w:rsidP="00C10469">
                <w:pPr>
                  <w:ind w:firstLine="0"/>
                  <w:rPr>
                    <w:rFonts w:cs="AL-Mateen"/>
                    <w:sz w:val="24"/>
                    <w:szCs w:val="24"/>
                    <w:rtl/>
                  </w:rPr>
                </w:pPr>
                <w:r w:rsidRPr="00AE1E84">
                  <w:rPr>
                    <w:rFonts w:cs="AL-Mateen" w:hint="cs"/>
                    <w:sz w:val="24"/>
                    <w:szCs w:val="24"/>
                    <w:rtl/>
                  </w:rPr>
                  <w:t>ق108 : الحاجةُ تُنَزَّلُ منزلةَ الضَّرورةِ، عامَّةً كانتْ أو خاصَّةً.</w:t>
                </w:r>
                <w:r w:rsidRPr="00251D8D">
                  <w:rPr>
                    <w:rFonts w:cs="AL-Mateen" w:hint="cs"/>
                    <w:sz w:val="24"/>
                    <w:szCs w:val="24"/>
                    <w:rtl/>
                  </w:rPr>
                  <w:t>.</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73" type="#_x0000_t202" style="position:absolute;left:0;text-align:left;margin-left:324.8pt;margin-top:3.4pt;width:99.75pt;height:31.35pt;z-index:251560448" filled="f" stroked="f">
          <v:textbox style="mso-next-textbox:#_x0000_s33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75" type="#_x0000_t75" style="position:absolute;left:0;text-align:left;margin-left:62.55pt;margin-top:.55pt;width:359.1pt;height:44.85pt;z-index:-251753984;mso-wrap-edited:f" wrapcoords="709 4393 473 10251 709 16108 709 16841 20851 16841 20891 16108 21088 10251 20851 4393 709 4393">
          <v:imagedata r:id="rId2" o:title="haut"/>
          <w10:wrap anchorx="page"/>
        </v:shape>
      </w:pic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637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80" type="#_x0000_t75" style="position:absolute;left:0;text-align:left;margin-left:-11.8pt;margin-top:-4.3pt;width:91.2pt;height:56.1pt;z-index:2515676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78" type="#_x0000_t202" style="position:absolute;left:0;text-align:left;margin-left:170.9pt;margin-top:7.4pt;width:151.15pt;height:34.2pt;z-index:251565568" filled="f" stroked="f">
          <v:textbox style="mso-next-textbox:#_x0000_s3378">
            <w:txbxContent>
              <w:p w:rsidR="00035BE3" w:rsidRPr="00D56436" w:rsidRDefault="00035BE3" w:rsidP="00C10469">
                <w:pPr>
                  <w:ind w:firstLine="0"/>
                  <w:rPr>
                    <w:rFonts w:cs="AL-Mateen"/>
                    <w:sz w:val="24"/>
                    <w:szCs w:val="24"/>
                    <w:rtl/>
                  </w:rPr>
                </w:pPr>
                <w:r w:rsidRPr="0008637E">
                  <w:rPr>
                    <w:rFonts w:cs="AL-Mateen" w:hint="cs"/>
                    <w:sz w:val="24"/>
                    <w:szCs w:val="24"/>
                    <w:rtl/>
                  </w:rPr>
                  <w:t>ق109 :  الحادثُ يُضَافُ إلى أقربِ الأوقَاتِ.</w:t>
                </w:r>
                <w:r w:rsidRPr="00251D8D">
                  <w:rPr>
                    <w:rFonts w:cs="AL-Mateen" w:hint="cs"/>
                    <w:sz w:val="24"/>
                    <w:szCs w:val="24"/>
                    <w:rtl/>
                  </w:rPr>
                  <w:t>.</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77" type="#_x0000_t202" style="position:absolute;left:0;text-align:left;margin-left:324.8pt;margin-top:3.4pt;width:99.75pt;height:31.35pt;z-index:251564544" filled="f" stroked="f">
          <v:textbox style="mso-next-textbox:#_x0000_s33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79" type="#_x0000_t75" style="position:absolute;left:0;text-align:left;margin-left:62.55pt;margin-top:.55pt;width:359.1pt;height:44.85pt;z-index:-251749888;mso-wrap-edited:f" wrapcoords="709 4393 473 10251 709 16108 709 16841 20851 16841 20891 16108 21088 10251 20851 4393 709 4393">
          <v:imagedata r:id="rId2" o:title="haut"/>
          <w10:wrap anchorx="page"/>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640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84" type="#_x0000_t75" style="position:absolute;left:0;text-align:left;margin-left:-11.8pt;margin-top:-4.3pt;width:91.2pt;height:56.1pt;z-index:2515717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82" type="#_x0000_t202" style="position:absolute;left:0;text-align:left;margin-left:170.9pt;margin-top:7.4pt;width:151.15pt;height:34.2pt;z-index:251569664" filled="f" stroked="f">
          <v:textbox style="mso-next-textbox:#_x0000_s3382">
            <w:txbxContent>
              <w:p w:rsidR="00035BE3" w:rsidRPr="00D56436" w:rsidRDefault="00035BE3" w:rsidP="00C10469">
                <w:pPr>
                  <w:ind w:firstLine="0"/>
                  <w:rPr>
                    <w:rFonts w:cs="AL-Mateen"/>
                    <w:sz w:val="24"/>
                    <w:szCs w:val="24"/>
                    <w:rtl/>
                  </w:rPr>
                </w:pPr>
                <w:r w:rsidRPr="003F6811">
                  <w:rPr>
                    <w:rFonts w:cs="AL-Mateen" w:hint="cs"/>
                    <w:sz w:val="24"/>
                    <w:szCs w:val="24"/>
                    <w:rtl/>
                  </w:rPr>
                  <w:t>ق110 :  الحالُ تَدُلُّ على ما قَبْلَهَا.</w:t>
                </w:r>
                <w:r w:rsidRPr="00251D8D">
                  <w:rPr>
                    <w:rFonts w:cs="AL-Mateen" w:hint="cs"/>
                    <w:sz w:val="24"/>
                    <w:szCs w:val="24"/>
                    <w:rtl/>
                  </w:rPr>
                  <w:t>.</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81" type="#_x0000_t202" style="position:absolute;left:0;text-align:left;margin-left:324.8pt;margin-top:3.4pt;width:99.75pt;height:31.35pt;z-index:251568640" filled="f" stroked="f">
          <v:textbox style="mso-next-textbox:#_x0000_s33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83" type="#_x0000_t75" style="position:absolute;left:0;text-align:left;margin-left:62.55pt;margin-top:.55pt;width:359.1pt;height:44.85pt;z-index:-251745792;mso-wrap-edited:f" wrapcoords="709 4393 473 10251 709 16108 709 16841 20851 16841 20891 16108 21088 10251 20851 4393 709 4393">
          <v:imagedata r:id="rId2" o:title="haut"/>
          <w10:wrap anchorx="page"/>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645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88" type="#_x0000_t75" style="position:absolute;left:0;text-align:left;margin-left:-11.8pt;margin-top:-4.3pt;width:91.2pt;height:56.1pt;z-index:2515758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86" type="#_x0000_t202" style="position:absolute;left:0;text-align:left;margin-left:170.9pt;margin-top:7.4pt;width:151.15pt;height:34.2pt;z-index:251573760" filled="f" stroked="f">
          <v:textbox style="mso-next-textbox:#_x0000_s3386">
            <w:txbxContent>
              <w:p w:rsidR="00035BE3" w:rsidRPr="00D56436" w:rsidRDefault="00035BE3" w:rsidP="00C10469">
                <w:pPr>
                  <w:ind w:firstLine="0"/>
                  <w:rPr>
                    <w:rFonts w:cs="AL-Mateen"/>
                    <w:sz w:val="24"/>
                    <w:szCs w:val="24"/>
                    <w:rtl/>
                  </w:rPr>
                </w:pPr>
                <w:r w:rsidRPr="00AF3598">
                  <w:rPr>
                    <w:rFonts w:cs="AL-Mateen" w:hint="cs"/>
                    <w:sz w:val="24"/>
                    <w:szCs w:val="24"/>
                    <w:rtl/>
                  </w:rPr>
                  <w:t xml:space="preserve">ق111 :  </w:t>
                </w:r>
                <w:r>
                  <w:rPr>
                    <w:rFonts w:cs="AL-Mateen" w:hint="cs"/>
                    <w:sz w:val="24"/>
                    <w:szCs w:val="24"/>
                    <w:rtl/>
                  </w:rPr>
                  <w:t>الحدودُ تَنْدَرِئ بالشُّبُهَاتِ</w:t>
                </w:r>
                <w:r w:rsidRPr="00251D8D">
                  <w:rPr>
                    <w:rFonts w:cs="AL-Mateen" w:hint="cs"/>
                    <w:sz w:val="24"/>
                    <w:szCs w:val="24"/>
                    <w:rtl/>
                  </w:rPr>
                  <w:t>.</w:t>
                </w:r>
              </w:p>
              <w:p w:rsidR="00035BE3" w:rsidRPr="00BD46DE" w:rsidRDefault="00035BE3" w:rsidP="00C10469">
                <w:pPr>
                  <w:ind w:firstLine="0"/>
                  <w:rPr>
                    <w:rFonts w:cs="AL-Mateen"/>
                    <w:sz w:val="24"/>
                    <w:szCs w:val="24"/>
                    <w:rtl/>
                  </w:rPr>
                </w:pPr>
                <w:r w:rsidRPr="00486398">
                  <w:rPr>
                    <w:rFonts w:cs="AL-Mateen" w:hint="cs"/>
                    <w:sz w:val="24"/>
                    <w:szCs w:val="24"/>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85" type="#_x0000_t202" style="position:absolute;left:0;text-align:left;margin-left:324.8pt;margin-top:3.4pt;width:99.75pt;height:31.35pt;z-index:251572736" filled="f" stroked="f">
          <v:textbox style="mso-next-textbox:#_x0000_s33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87" type="#_x0000_t75" style="position:absolute;left:0;text-align:left;margin-left:62.55pt;margin-top:.55pt;width:359.1pt;height:44.85pt;z-index:-251741696;mso-wrap-edited:f" wrapcoords="709 4393 473 10251 709 16108 709 16841 20851 16841 20891 16108 21088 10251 20851 4393 709 4393">
          <v:imagedata r:id="rId2" o:title="haut"/>
          <w10:wrap anchorx="page"/>
        </v:shape>
      </w:pic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649</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3390" type="#_x0000_t202" style="position:absolute;left:0;text-align:left;margin-left:71.6pt;margin-top:7.4pt;width:250.45pt;height:34.2pt;z-index:251577856" filled="f" stroked="f">
          <v:textbox style="mso-next-textbox:#_x0000_s3390">
            <w:txbxContent>
              <w:p w:rsidR="00035BE3" w:rsidRPr="00C9195A" w:rsidRDefault="00035BE3" w:rsidP="00C10469">
                <w:pPr>
                  <w:ind w:firstLine="0"/>
                  <w:rPr>
                    <w:rFonts w:cs="AL-Mateen"/>
                    <w:sz w:val="28"/>
                    <w:szCs w:val="28"/>
                    <w:rtl/>
                  </w:rPr>
                </w:pPr>
                <w:r>
                  <w:rPr>
                    <w:rFonts w:cs="Monotype Koufi" w:hint="cs"/>
                    <w:sz w:val="28"/>
                    <w:szCs w:val="28"/>
                    <w:rtl/>
                  </w:rPr>
                  <w:t xml:space="preserve">ق112: </w:t>
                </w:r>
                <w:r w:rsidRPr="00C9195A">
                  <w:rPr>
                    <w:rFonts w:cs="Monotype Koufi" w:hint="cs"/>
                    <w:sz w:val="28"/>
                    <w:szCs w:val="28"/>
                    <w:rtl/>
                  </w:rPr>
                  <w:t>الحرُّ لا يدخلُ تحتَ اليدِ</w:t>
                </w:r>
                <w:r w:rsidRPr="00C9195A">
                  <w:rPr>
                    <w:rFonts w:cs="AL-Mateen" w:hint="cs"/>
                    <w:sz w:val="28"/>
                    <w:szCs w:val="28"/>
                    <w:rtl/>
                  </w:rPr>
                  <w:t>.</w:t>
                </w:r>
              </w:p>
              <w:p w:rsidR="00035BE3" w:rsidRPr="008E4D0A" w:rsidRDefault="00035BE3" w:rsidP="00C10469">
                <w:pPr>
                  <w:ind w:firstLine="0"/>
                  <w:rPr>
                    <w:rFonts w:cs="AL-Mateen"/>
                    <w:sz w:val="24"/>
                    <w:szCs w:val="24"/>
                    <w:rtl/>
                  </w:rPr>
                </w:pP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92" type="#_x0000_t75" style="position:absolute;left:0;text-align:left;margin-left:-11.8pt;margin-top:-4.3pt;width:91.2pt;height:56.1pt;z-index:251579904">
          <v:imagedata r:id="rId1" o:title="hichemil1"/>
          <w10:wrap anchorx="page"/>
        </v:shape>
      </w:pict>
    </w:r>
    <w:r>
      <w:rPr>
        <w:noProof/>
        <w:rtl/>
        <w:lang w:val="en-US"/>
      </w:rPr>
      <w:pict>
        <v:shape id="_x0000_s3389" type="#_x0000_t202" style="position:absolute;left:0;text-align:left;margin-left:324.8pt;margin-top:3.4pt;width:99.75pt;height:31.35pt;z-index:251576832" filled="f" stroked="f">
          <v:textbox style="mso-next-textbox:#_x0000_s33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91" type="#_x0000_t75" style="position:absolute;left:0;text-align:left;margin-left:62.55pt;margin-top:.55pt;width:359.1pt;height:44.85pt;z-index:-251737600;mso-wrap-edited:f" wrapcoords="709 4393 473 10251 709 16108 709 16841 20851 16841 20891 16108 21088 10251 20851 4393 709 4393">
          <v:imagedata r:id="rId2" o:title="haut"/>
          <w10:wrap anchorx="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241</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2958" type="#_x0000_t202" style="position:absolute;left:0;text-align:left;margin-left:32.45pt;margin-top:5.4pt;width:289.5pt;height:34.2pt;z-index:251139584" filled="f" stroked="f">
          <v:textbox style="mso-next-textbox:#_x0000_s2958">
            <w:txbxContent>
              <w:p w:rsidR="00035BE3" w:rsidRPr="00062246" w:rsidRDefault="00035BE3">
                <w:pPr>
                  <w:ind w:firstLine="0"/>
                  <w:rPr>
                    <w:rFonts w:cs="AL-Mateen"/>
                    <w:sz w:val="28"/>
                    <w:szCs w:val="28"/>
                    <w:rtl/>
                  </w:rPr>
                </w:pPr>
                <w:r w:rsidRPr="00C33390">
                  <w:rPr>
                    <w:rFonts w:cs="AL-Mateen" w:hint="cs"/>
                    <w:sz w:val="24"/>
                    <w:szCs w:val="24"/>
                    <w:rtl/>
                  </w:rPr>
                  <w:t>ق4 :  أَجْزاءُ العِوَضِ تَنْقَسِمُ على أجزاءِ المعوَّضِ، وأجزاء</w:t>
                </w:r>
                <w:r>
                  <w:rPr>
                    <w:rFonts w:cs="AL-Mateen" w:hint="cs"/>
                    <w:sz w:val="24"/>
                    <w:szCs w:val="24"/>
                    <w:rtl/>
                  </w:rPr>
                  <w:t>...</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60" type="#_x0000_t75" style="position:absolute;left:0;text-align:left;margin-left:-9.5pt;margin-top:-4pt;width:91.2pt;height:56.1pt;z-index:251141632">
          <v:imagedata r:id="rId1" o:title="hichemil1"/>
          <w10:wrap anchorx="page"/>
        </v:shape>
      </w:pict>
    </w:r>
    <w:r>
      <w:rPr>
        <w:noProof/>
        <w:rtl/>
        <w:lang w:val="en-US"/>
      </w:rPr>
      <w:pict>
        <v:shape id="_x0000_s2957" type="#_x0000_t202" style="position:absolute;left:0;text-align:left;margin-left:321.95pt;margin-top:4.55pt;width:99.75pt;height:31.35pt;z-index:251138560" filled="f" stroked="f">
          <v:textbox style="mso-next-textbox:#_x0000_s2957">
            <w:txbxContent>
              <w:p w:rsidR="00035BE3" w:rsidRPr="00062246" w:rsidRDefault="00035BE3">
                <w:pPr>
                  <w:ind w:firstLine="0"/>
                  <w:jc w:val="center"/>
                  <w:rPr>
                    <w:rFonts w:cs="AL-Mateen"/>
                    <w:sz w:val="28"/>
                    <w:szCs w:val="28"/>
                    <w:rtl/>
                  </w:rPr>
                </w:pPr>
                <w:r w:rsidRPr="00062246">
                  <w:rPr>
                    <w:rFonts w:cs="AL-Mateen" w:hint="cs"/>
                    <w:sz w:val="28"/>
                    <w:szCs w:val="28"/>
                    <w:rtl/>
                  </w:rPr>
                  <w:t>ترتيب اللآلي</w:t>
                </w:r>
              </w:p>
            </w:txbxContent>
          </v:textbox>
          <w10:wrap anchorx="page"/>
        </v:shape>
      </w:pict>
    </w:r>
    <w:r>
      <w:rPr>
        <w:noProof/>
        <w:rtl/>
        <w:lang w:val="en-US"/>
      </w:rPr>
      <w:pict>
        <v:shape id="_x0000_s2959" type="#_x0000_t75" style="position:absolute;left:0;text-align:left;margin-left:62.9pt;margin-top:.85pt;width:358.8pt;height:44.85pt;z-index:-252175872;mso-wrap-edited:f" wrapcoords="709 4393 473 10251 709 16108 709 16841 20851 16841 20891 16108 21088 10251 20851 4393 709 4393">
          <v:imagedata r:id="rId2" o:title="haut"/>
          <w10:wrap anchorx="page"/>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653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96" type="#_x0000_t75" style="position:absolute;left:0;text-align:left;margin-left:-11.8pt;margin-top:-4.3pt;width:91.2pt;height:56.1pt;z-index:2515840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94" type="#_x0000_t202" style="position:absolute;left:0;text-align:left;margin-left:170.9pt;margin-top:7.4pt;width:151.15pt;height:34.2pt;z-index:251581952" filled="f" stroked="f">
          <v:textbox style="mso-next-textbox:#_x0000_s3394">
            <w:txbxContent>
              <w:p w:rsidR="00035BE3" w:rsidRPr="008E4D0A" w:rsidRDefault="00035BE3" w:rsidP="00C10469">
                <w:pPr>
                  <w:ind w:firstLine="0"/>
                  <w:rPr>
                    <w:rFonts w:cs="AL-Mateen"/>
                    <w:sz w:val="24"/>
                    <w:szCs w:val="24"/>
                    <w:rtl/>
                  </w:rPr>
                </w:pPr>
                <w:r w:rsidRPr="009972E1">
                  <w:rPr>
                    <w:rFonts w:cs="AL-Mateen" w:hint="cs"/>
                    <w:sz w:val="24"/>
                    <w:szCs w:val="24"/>
                    <w:rtl/>
                  </w:rPr>
                  <w:t>ق113 :  الحرمةُ تَتَعدَّى فِي الأموالِ مَعَ العلمِ بها إلا في حقِّ الوارِثِ.</w:t>
                </w: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93" type="#_x0000_t202" style="position:absolute;left:0;text-align:left;margin-left:324.8pt;margin-top:3.4pt;width:99.75pt;height:31.35pt;z-index:251580928" filled="f" stroked="f">
          <v:textbox style="mso-next-textbox:#_x0000_s33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95" type="#_x0000_t75" style="position:absolute;left:0;text-align:left;margin-left:62.55pt;margin-top:.55pt;width:359.1pt;height:44.85pt;z-index:-251733504;mso-wrap-edited:f" wrapcoords="709 4393 473 10251 709 16108 709 16841 20851 16841 20891 16108 21088 10251 20851 4393 709 4393">
          <v:imagedata r:id="rId2" o:title="haut"/>
          <w10:wrap anchorx="page"/>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658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00" type="#_x0000_t75" style="position:absolute;left:0;text-align:left;margin-left:-11.8pt;margin-top:-4.3pt;width:91.2pt;height:56.1pt;z-index:2515880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398" type="#_x0000_t202" style="position:absolute;left:0;text-align:left;margin-left:170.9pt;margin-top:7.4pt;width:151.15pt;height:34.2pt;z-index:251586048" filled="f" stroked="f">
          <v:textbox style="mso-next-textbox:#_x0000_s3398">
            <w:txbxContent>
              <w:p w:rsidR="00035BE3" w:rsidRPr="008E4D0A" w:rsidRDefault="00035BE3" w:rsidP="00C10469">
                <w:pPr>
                  <w:ind w:firstLine="0"/>
                  <w:rPr>
                    <w:rFonts w:cs="AL-Mateen"/>
                    <w:sz w:val="24"/>
                    <w:szCs w:val="24"/>
                    <w:rtl/>
                  </w:rPr>
                </w:pPr>
                <w:r w:rsidRPr="004A0F8D">
                  <w:rPr>
                    <w:rFonts w:cs="AL-Mateen" w:hint="cs"/>
                    <w:sz w:val="24"/>
                    <w:szCs w:val="24"/>
                    <w:rtl/>
                  </w:rPr>
                  <w:t>ق114 :  الحقيقةُ تُتركُ بدلالةِ العادةِ.</w:t>
                </w: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397" type="#_x0000_t202" style="position:absolute;left:0;text-align:left;margin-left:324.8pt;margin-top:3.4pt;width:99.75pt;height:31.35pt;z-index:251585024" filled="f" stroked="f">
          <v:textbox style="mso-next-textbox:#_x0000_s33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399" type="#_x0000_t75" style="position:absolute;left:0;text-align:left;margin-left:62.55pt;margin-top:.55pt;width:359.1pt;height:44.85pt;z-index:-251729408;mso-wrap-edited:f" wrapcoords="709 4393 473 10251 709 16108 709 16841 20851 16841 20891 16108 21088 10251 20851 4393 709 4393">
          <v:imagedata r:id="rId2" o:title="haut"/>
          <w10:wrap anchorx="page"/>
        </v:shape>
      </w:pic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664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04" type="#_x0000_t75" style="position:absolute;left:0;text-align:left;margin-left:-11.8pt;margin-top:-4.3pt;width:91.2pt;height:56.1pt;z-index:2515921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02" type="#_x0000_t202" style="position:absolute;left:0;text-align:left;margin-left:170.9pt;margin-top:7.4pt;width:151.15pt;height:34.2pt;z-index:251590144" filled="f" stroked="f">
          <v:textbox style="mso-next-textbox:#_x0000_s3402">
            <w:txbxContent>
              <w:p w:rsidR="00035BE3" w:rsidRPr="00A634B6" w:rsidRDefault="00035BE3" w:rsidP="00C10469">
                <w:pPr>
                  <w:ind w:firstLine="0"/>
                  <w:rPr>
                    <w:rFonts w:cs="AL-Mateen"/>
                    <w:sz w:val="24"/>
                    <w:szCs w:val="24"/>
                    <w:rtl/>
                  </w:rPr>
                </w:pPr>
                <w:r w:rsidRPr="00D45042">
                  <w:rPr>
                    <w:rFonts w:cs="AL-Mateen" w:hint="cs"/>
                    <w:sz w:val="24"/>
                    <w:szCs w:val="24"/>
                    <w:rtl/>
                  </w:rPr>
                  <w:t>ق115 :  الحكمُ يَنْتَهِي بانتهاءِ علَّتِهِ.</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01" type="#_x0000_t202" style="position:absolute;left:0;text-align:left;margin-left:324.8pt;margin-top:3.4pt;width:99.75pt;height:31.35pt;z-index:251589120" filled="f" stroked="f">
          <v:textbox style="mso-next-textbox:#_x0000_s34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03" type="#_x0000_t75" style="position:absolute;left:0;text-align:left;margin-left:62.55pt;margin-top:.55pt;width:359.1pt;height:44.85pt;z-index:-251725312;mso-wrap-edited:f" wrapcoords="709 4393 473 10251 709 16108 709 16841 20851 16841 20891 16108 21088 10251 20851 4393 709 4393">
          <v:imagedata r:id="rId2" o:title="haut"/>
          <w10:wrap anchorx="page"/>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666</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3406" type="#_x0000_t202" style="position:absolute;left:0;text-align:left;margin-left:98.9pt;margin-top:7.4pt;width:223.15pt;height:34.2pt;z-index:251594240" filled="f" stroked="f">
          <v:textbox style="mso-next-textbox:#_x0000_s3406">
            <w:txbxContent>
              <w:p w:rsidR="00035BE3" w:rsidRPr="00A634B6" w:rsidRDefault="00035BE3" w:rsidP="00C10469">
                <w:pPr>
                  <w:ind w:firstLine="0"/>
                  <w:rPr>
                    <w:rFonts w:cs="AL-Mateen"/>
                    <w:sz w:val="24"/>
                    <w:szCs w:val="24"/>
                    <w:rtl/>
                  </w:rPr>
                </w:pPr>
                <w:r w:rsidRPr="007B2B7A">
                  <w:rPr>
                    <w:rFonts w:cs="AL-Mateen" w:hint="cs"/>
                    <w:sz w:val="24"/>
                    <w:szCs w:val="24"/>
                    <w:rtl/>
                  </w:rPr>
                  <w:t>ق116 : الحكمةُ تُرَاعَى في الجِنْسِ لا في الأفْرَادِ.</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08" type="#_x0000_t75" style="position:absolute;left:0;text-align:left;margin-left:-11.8pt;margin-top:-4.3pt;width:91.2pt;height:56.1pt;z-index:251596288">
          <v:imagedata r:id="rId1" o:title="hichemil1"/>
          <w10:wrap anchorx="page"/>
        </v:shape>
      </w:pict>
    </w:r>
    <w:r>
      <w:rPr>
        <w:noProof/>
        <w:rtl/>
        <w:lang w:val="en-US"/>
      </w:rPr>
      <w:pict>
        <v:shape id="_x0000_s3405" type="#_x0000_t202" style="position:absolute;left:0;text-align:left;margin-left:324.8pt;margin-top:3.4pt;width:99.75pt;height:31.35pt;z-index:251593216" filled="f" stroked="f">
          <v:textbox style="mso-next-textbox:#_x0000_s34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07" type="#_x0000_t75" style="position:absolute;left:0;text-align:left;margin-left:62.55pt;margin-top:.55pt;width:359.1pt;height:44.85pt;z-index:-251721216;mso-wrap-edited:f" wrapcoords="709 4393 473 10251 709 16108 709 16841 20851 16841 20891 16108 21088 10251 20851 4393 709 4393">
          <v:imagedata r:id="rId2" o:title="haut"/>
          <w10:wrap anchorx="page"/>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671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12" type="#_x0000_t75" style="position:absolute;left:0;text-align:left;margin-left:-11.8pt;margin-top:-4.3pt;width:91.2pt;height:56.1pt;z-index:2516003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10" type="#_x0000_t202" style="position:absolute;left:0;text-align:left;margin-left:170.9pt;margin-top:7.4pt;width:151.15pt;height:34.2pt;z-index:251598336" filled="f" stroked="f">
          <v:textbox style="mso-next-textbox:#_x0000_s3410">
            <w:txbxContent>
              <w:p w:rsidR="00035BE3" w:rsidRPr="00A634B6" w:rsidRDefault="00035BE3" w:rsidP="00C10469">
                <w:pPr>
                  <w:ind w:firstLine="0"/>
                  <w:rPr>
                    <w:rFonts w:cs="AL-Mateen"/>
                    <w:sz w:val="24"/>
                    <w:szCs w:val="24"/>
                    <w:rtl/>
                  </w:rPr>
                </w:pPr>
                <w:r w:rsidRPr="00F24393">
                  <w:rPr>
                    <w:rFonts w:cs="AL-Mateen" w:hint="cs"/>
                    <w:sz w:val="24"/>
                    <w:szCs w:val="24"/>
                    <w:rtl/>
                  </w:rPr>
                  <w:t>ق117: حكمُ الخفيِّ : النَّظرُ فيه؛ ليُعلمَ أنَّ خفاهُ لزيادةٍ أو نُقصانٍ</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09" type="#_x0000_t202" style="position:absolute;left:0;text-align:left;margin-left:324.8pt;margin-top:3.4pt;width:99.75pt;height:31.35pt;z-index:251597312" filled="f" stroked="f">
          <v:textbox style="mso-next-textbox:#_x0000_s34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11" type="#_x0000_t75" style="position:absolute;left:0;text-align:left;margin-left:62.55pt;margin-top:.55pt;width:359.1pt;height:44.85pt;z-index:-251717120;mso-wrap-edited:f" wrapcoords="709 4393 473 10251 709 16108 709 16841 20851 16841 20891 16108 21088 10251 20851 4393 709 4393">
          <v:imagedata r:id="rId2" o:title="haut"/>
          <w10:wrap anchorx="page"/>
        </v:shape>
      </w:pic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674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16" type="#_x0000_t75" style="position:absolute;left:0;text-align:left;margin-left:-11.8pt;margin-top:-4.3pt;width:91.2pt;height:56.1pt;z-index:2516044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14" type="#_x0000_t202" style="position:absolute;left:0;text-align:left;margin-left:170.9pt;margin-top:7.4pt;width:151.15pt;height:34.2pt;z-index:251602432" filled="f" stroked="f">
          <v:textbox style="mso-next-textbox:#_x0000_s3414">
            <w:txbxContent>
              <w:p w:rsidR="00035BE3" w:rsidRPr="00A634B6" w:rsidRDefault="00035BE3" w:rsidP="00C10469">
                <w:pPr>
                  <w:ind w:firstLine="0"/>
                  <w:rPr>
                    <w:rFonts w:cs="AL-Mateen"/>
                    <w:sz w:val="24"/>
                    <w:szCs w:val="24"/>
                    <w:rtl/>
                  </w:rPr>
                </w:pPr>
                <w:r w:rsidRPr="009B7ECB">
                  <w:rPr>
                    <w:rFonts w:cs="AL-Mateen" w:hint="cs"/>
                    <w:sz w:val="24"/>
                    <w:szCs w:val="24"/>
                    <w:rtl/>
                  </w:rPr>
                  <w:t>ق118 :  الحيلةُ لدفعِ الضَّرَرِ عَنْ نفـسِهِ جائزةٌ، وإنْ تضَرَّر الغيرُ</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13" type="#_x0000_t202" style="position:absolute;left:0;text-align:left;margin-left:324.8pt;margin-top:3.4pt;width:99.75pt;height:31.35pt;z-index:251601408" filled="f" stroked="f">
          <v:textbox style="mso-next-textbox:#_x0000_s34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15" type="#_x0000_t75" style="position:absolute;left:0;text-align:left;margin-left:62.55pt;margin-top:.55pt;width:359.1pt;height:44.85pt;z-index:-251713024;mso-wrap-edited:f" wrapcoords="709 4393 473 10251 709 16108 709 16841 20851 16841 20891 16108 21088 10251 20851 4393 709 4393">
          <v:imagedata r:id="rId2" o:title="haut"/>
          <w10:wrap anchorx="page"/>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686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20" type="#_x0000_t75" style="position:absolute;left:0;text-align:left;margin-left:-11.8pt;margin-top:-4.3pt;width:91.2pt;height:56.1pt;z-index:2516085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18" type="#_x0000_t202" style="position:absolute;left:0;text-align:left;margin-left:170.9pt;margin-top:7.4pt;width:151.15pt;height:34.2pt;z-index:251606528" filled="f" stroked="f">
          <v:textbox style="mso-next-textbox:#_x0000_s3418">
            <w:txbxContent>
              <w:p w:rsidR="00035BE3" w:rsidRPr="00A634B6" w:rsidRDefault="00035BE3" w:rsidP="00C10469">
                <w:pPr>
                  <w:ind w:firstLine="0"/>
                  <w:rPr>
                    <w:rFonts w:cs="AL-Mateen"/>
                    <w:sz w:val="24"/>
                    <w:szCs w:val="24"/>
                    <w:rtl/>
                  </w:rPr>
                </w:pPr>
                <w:r w:rsidRPr="00C12FE6">
                  <w:rPr>
                    <w:rFonts w:cs="AL-Mateen" w:hint="cs"/>
                    <w:sz w:val="24"/>
                    <w:szCs w:val="24"/>
                    <w:rtl/>
                  </w:rPr>
                  <w:t>ق119 :  الخاصُّ يتناولُ المخصوصَ قطعًا.</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17" type="#_x0000_t202" style="position:absolute;left:0;text-align:left;margin-left:324.8pt;margin-top:3.4pt;width:99.75pt;height:31.35pt;z-index:251605504" filled="f" stroked="f">
          <v:textbox style="mso-next-textbox:#_x0000_s34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19" type="#_x0000_t75" style="position:absolute;left:0;text-align:left;margin-left:62.55pt;margin-top:.55pt;width:359.1pt;height:44.85pt;z-index:-251708928;mso-wrap-edited:f" wrapcoords="709 4393 473 10251 709 16108 709 16841 20851 16841 20891 16108 21088 10251 20851 4393 709 4393">
          <v:imagedata r:id="rId2" o:title="haut"/>
          <w10:wrap anchorx="page"/>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693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24" type="#_x0000_t75" style="position:absolute;left:0;text-align:left;margin-left:-11.8pt;margin-top:-4.3pt;width:91.2pt;height:56.1pt;z-index:2516126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22" type="#_x0000_t202" style="position:absolute;left:0;text-align:left;margin-left:170.9pt;margin-top:7.4pt;width:151.15pt;height:34.2pt;z-index:251610624" filled="f" stroked="f">
          <v:textbox style="mso-next-textbox:#_x0000_s3422">
            <w:txbxContent>
              <w:p w:rsidR="00035BE3" w:rsidRPr="00A634B6" w:rsidRDefault="00035BE3" w:rsidP="00C10469">
                <w:pPr>
                  <w:ind w:firstLine="0"/>
                  <w:rPr>
                    <w:rFonts w:cs="AL-Mateen"/>
                    <w:sz w:val="24"/>
                    <w:szCs w:val="24"/>
                    <w:rtl/>
                  </w:rPr>
                </w:pPr>
                <w:r w:rsidRPr="00AC4C62">
                  <w:rPr>
                    <w:rFonts w:cs="AL-Mateen" w:hint="cs"/>
                    <w:sz w:val="24"/>
                    <w:szCs w:val="24"/>
                    <w:rtl/>
                  </w:rPr>
                  <w:t>ق120 : الخراجُ بالضمَانِ.</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21" type="#_x0000_t202" style="position:absolute;left:0;text-align:left;margin-left:324.8pt;margin-top:3.4pt;width:99.75pt;height:31.35pt;z-index:251609600" filled="f" stroked="f">
          <v:textbox style="mso-next-textbox:#_x0000_s34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23" type="#_x0000_t75" style="position:absolute;left:0;text-align:left;margin-left:62.55pt;margin-top:.55pt;width:359.1pt;height:44.85pt;z-index:-251704832;mso-wrap-edited:f" wrapcoords="709 4393 473 10251 709 16108 709 16841 20851 16841 20891 16108 21088 10251 20851 4393 709 4393">
          <v:imagedata r:id="rId2" o:title="haut"/>
          <w10:wrap anchorx="page"/>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695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28" type="#_x0000_t75" style="position:absolute;left:0;text-align:left;margin-left:-11.8pt;margin-top:-4.3pt;width:91.2pt;height:56.1pt;z-index:2516167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26" type="#_x0000_t202" style="position:absolute;left:0;text-align:left;margin-left:170.9pt;margin-top:7.4pt;width:151.15pt;height:34.2pt;z-index:251614720" filled="f" stroked="f">
          <v:textbox style="mso-next-textbox:#_x0000_s3426">
            <w:txbxContent>
              <w:p w:rsidR="00035BE3" w:rsidRPr="00A634B6" w:rsidRDefault="00035BE3" w:rsidP="00C10469">
                <w:pPr>
                  <w:ind w:firstLine="0"/>
                  <w:rPr>
                    <w:rFonts w:cs="AL-Mateen"/>
                    <w:sz w:val="24"/>
                    <w:szCs w:val="24"/>
                    <w:rtl/>
                  </w:rPr>
                </w:pPr>
                <w:r w:rsidRPr="00285FF5">
                  <w:rPr>
                    <w:rFonts w:cs="AL-Mateen" w:hint="cs"/>
                    <w:sz w:val="23"/>
                    <w:szCs w:val="23"/>
                    <w:rtl/>
                  </w:rPr>
                  <w:t>ق121 :  الدَّاخلُ تَحْتَ العَقْدِ عملٌ سليمٌ، والمُفْسَدُ غيرُ داخلٍ.</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25" type="#_x0000_t202" style="position:absolute;left:0;text-align:left;margin-left:324.8pt;margin-top:3.4pt;width:99.75pt;height:31.35pt;z-index:251613696" filled="f" stroked="f">
          <v:textbox style="mso-next-textbox:#_x0000_s34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27" type="#_x0000_t75" style="position:absolute;left:0;text-align:left;margin-left:62.55pt;margin-top:.55pt;width:359.1pt;height:44.85pt;z-index:-251700736;mso-wrap-edited:f" wrapcoords="709 4393 473 10251 709 16108 709 16841 20851 16841 20891 16108 21088 10251 20851 4393 709 4393">
          <v:imagedata r:id="rId2" o:title="haut"/>
          <w10:wrap anchorx="page"/>
        </v:shape>
      </w:pic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700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32" type="#_x0000_t75" style="position:absolute;left:0;text-align:left;margin-left:-11.8pt;margin-top:-4.3pt;width:91.2pt;height:56.1pt;z-index:2516208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30" type="#_x0000_t202" style="position:absolute;left:0;text-align:left;margin-left:170.9pt;margin-top:7.4pt;width:151.15pt;height:34.2pt;z-index:251618816" filled="f" stroked="f">
          <v:textbox style="mso-next-textbox:#_x0000_s3430">
            <w:txbxContent>
              <w:p w:rsidR="00035BE3" w:rsidRPr="00A634B6" w:rsidRDefault="00035BE3" w:rsidP="00C10469">
                <w:pPr>
                  <w:ind w:firstLine="0"/>
                  <w:rPr>
                    <w:rFonts w:cs="AL-Mateen"/>
                    <w:sz w:val="24"/>
                    <w:szCs w:val="24"/>
                    <w:rtl/>
                  </w:rPr>
                </w:pPr>
                <w:r w:rsidRPr="009854AA">
                  <w:rPr>
                    <w:rFonts w:cs="AL-Mateen" w:hint="cs"/>
                    <w:sz w:val="23"/>
                    <w:szCs w:val="23"/>
                    <w:rtl/>
                  </w:rPr>
                  <w:t>ق122 :  دَرْءُ المفاسِدِ أولَى مِنْ جَلْبِ المَصَالِحِ.</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29" type="#_x0000_t202" style="position:absolute;left:0;text-align:left;margin-left:324.8pt;margin-top:3.4pt;width:99.75pt;height:31.35pt;z-index:251617792" filled="f" stroked="f">
          <v:textbox style="mso-next-textbox:#_x0000_s34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31" type="#_x0000_t75" style="position:absolute;left:0;text-align:left;margin-left:62.55pt;margin-top:.55pt;width:359.1pt;height:44.85pt;z-index:-251696640;mso-wrap-edited:f" wrapcoords="709 4393 473 10251 709 16108 709 16841 20851 16841 20891 16108 21088 10251 20851 4393 709 4393">
          <v:imagedata r:id="rId2" o:title="haut"/>
          <w10:wrap anchorx="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247</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2962" type="#_x0000_t202" style="position:absolute;left:0;text-align:left;margin-left:32.45pt;margin-top:5.4pt;width:289.5pt;height:34.2pt;z-index:251143680" filled="f" stroked="f">
          <v:textbox style="mso-next-textbox:#_x0000_s2962">
            <w:txbxContent>
              <w:p w:rsidR="00035BE3" w:rsidRPr="00062246" w:rsidRDefault="00035BE3">
                <w:pPr>
                  <w:ind w:firstLine="0"/>
                  <w:rPr>
                    <w:rFonts w:cs="AL-Mateen"/>
                    <w:sz w:val="28"/>
                    <w:szCs w:val="28"/>
                    <w:rtl/>
                  </w:rPr>
                </w:pPr>
                <w:r w:rsidRPr="00BB304C">
                  <w:rPr>
                    <w:rFonts w:cs="AL-Mateen" w:hint="cs"/>
                    <w:sz w:val="24"/>
                    <w:szCs w:val="24"/>
                    <w:rtl/>
                  </w:rPr>
                  <w:t>ق5 :  إجمَاعُ المسْلِمِينَ حجَّةٌ يُخَصُّ بِهَا الأَثَرُ ويُتْرَكُ القياس ...</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64" type="#_x0000_t75" style="position:absolute;left:0;text-align:left;margin-left:-9.5pt;margin-top:-4pt;width:91.2pt;height:56.1pt;z-index:251145728">
          <v:imagedata r:id="rId1" o:title="hichemil1"/>
          <w10:wrap anchorx="page"/>
        </v:shape>
      </w:pict>
    </w:r>
    <w:r>
      <w:rPr>
        <w:noProof/>
        <w:rtl/>
        <w:lang w:val="en-US"/>
      </w:rPr>
      <w:pict>
        <v:shape id="_x0000_s2961" type="#_x0000_t202" style="position:absolute;left:0;text-align:left;margin-left:321.95pt;margin-top:4.55pt;width:99.75pt;height:31.35pt;z-index:251142656" filled="f" stroked="f">
          <v:textbox style="mso-next-textbox:#_x0000_s2961">
            <w:txbxContent>
              <w:p w:rsidR="00035BE3" w:rsidRPr="00062246" w:rsidRDefault="00035BE3">
                <w:pPr>
                  <w:ind w:firstLine="0"/>
                  <w:jc w:val="center"/>
                  <w:rPr>
                    <w:rFonts w:cs="AL-Mateen"/>
                    <w:sz w:val="28"/>
                    <w:szCs w:val="28"/>
                    <w:rtl/>
                  </w:rPr>
                </w:pPr>
                <w:r w:rsidRPr="00062246">
                  <w:rPr>
                    <w:rFonts w:cs="AL-Mateen" w:hint="cs"/>
                    <w:sz w:val="28"/>
                    <w:szCs w:val="28"/>
                    <w:rtl/>
                  </w:rPr>
                  <w:t>ترتيب اللآلي</w:t>
                </w:r>
              </w:p>
            </w:txbxContent>
          </v:textbox>
          <w10:wrap anchorx="page"/>
        </v:shape>
      </w:pict>
    </w:r>
    <w:r>
      <w:rPr>
        <w:noProof/>
        <w:rtl/>
        <w:lang w:val="en-US"/>
      </w:rPr>
      <w:pict>
        <v:shape id="_x0000_s2963" type="#_x0000_t75" style="position:absolute;left:0;text-align:left;margin-left:62.9pt;margin-top:.85pt;width:358.8pt;height:44.85pt;z-index:-252171776;mso-wrap-edited:f" wrapcoords="709 4393 473 10251 709 16108 709 16841 20851 16841 20891 16108 21088 10251 20851 4393 709 4393">
          <v:imagedata r:id="rId2" o:title="haut"/>
          <w10:wrap anchorx="page"/>
        </v:shape>
      </w:pic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702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36" type="#_x0000_t75" style="position:absolute;left:0;text-align:left;margin-left:-11.8pt;margin-top:-4.3pt;width:91.2pt;height:56.1pt;z-index:2516249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34" type="#_x0000_t202" style="position:absolute;left:0;text-align:left;margin-left:170.9pt;margin-top:7.4pt;width:151.15pt;height:34.2pt;z-index:251622912" filled="f" stroked="f">
          <v:textbox style="mso-next-textbox:#_x0000_s3434">
            <w:txbxContent>
              <w:p w:rsidR="00035BE3" w:rsidRPr="00A634B6" w:rsidRDefault="00035BE3" w:rsidP="00C10469">
                <w:pPr>
                  <w:ind w:firstLine="0"/>
                  <w:rPr>
                    <w:rFonts w:cs="AL-Mateen"/>
                    <w:sz w:val="24"/>
                    <w:szCs w:val="24"/>
                    <w:rtl/>
                  </w:rPr>
                </w:pPr>
                <w:r w:rsidRPr="00CC4BF0">
                  <w:rPr>
                    <w:rFonts w:cs="AL-Mateen" w:hint="cs"/>
                    <w:sz w:val="23"/>
                    <w:szCs w:val="23"/>
                    <w:rtl/>
                  </w:rPr>
                  <w:t>ق123 :  الدَّفْعُ بَعْدَ الحُكْمِ صحيحٌ إلاّ فِي المسألةِ المُخَمَّسَةِ.</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33" type="#_x0000_t202" style="position:absolute;left:0;text-align:left;margin-left:324.8pt;margin-top:3.4pt;width:99.75pt;height:31.35pt;z-index:251621888" filled="f" stroked="f">
          <v:textbox style="mso-next-textbox:#_x0000_s34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35" type="#_x0000_t75" style="position:absolute;left:0;text-align:left;margin-left:62.55pt;margin-top:.55pt;width:359.1pt;height:44.85pt;z-index:-251692544;mso-wrap-edited:f" wrapcoords="709 4393 473 10251 709 16108 709 16841 20851 16841 20891 16108 21088 10251 20851 4393 709 4393">
          <v:imagedata r:id="rId2" o:title="haut"/>
          <w10:wrap anchorx="page"/>
        </v:shape>
      </w:pic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705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40" type="#_x0000_t75" style="position:absolute;left:0;text-align:left;margin-left:-11.8pt;margin-top:-4.3pt;width:91.2pt;height:56.1pt;z-index:2516290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38" type="#_x0000_t202" style="position:absolute;left:0;text-align:left;margin-left:170.9pt;margin-top:7.4pt;width:151.15pt;height:34.2pt;z-index:251627008" filled="f" stroked="f">
          <v:textbox style="mso-next-textbox:#_x0000_s3438">
            <w:txbxContent>
              <w:p w:rsidR="00035BE3" w:rsidRPr="00A634B6" w:rsidRDefault="00035BE3" w:rsidP="00C10469">
                <w:pPr>
                  <w:ind w:firstLine="0"/>
                  <w:rPr>
                    <w:rFonts w:cs="AL-Mateen"/>
                    <w:sz w:val="24"/>
                    <w:szCs w:val="24"/>
                    <w:rtl/>
                  </w:rPr>
                </w:pPr>
                <w:r w:rsidRPr="004508FF">
                  <w:rPr>
                    <w:rFonts w:cs="AL-Mateen" w:hint="cs"/>
                    <w:sz w:val="24"/>
                    <w:szCs w:val="24"/>
                    <w:rtl/>
                  </w:rPr>
                  <w:t>ق124 :  دَفْعُ ما ليسَ بواجبٍ عليهِ يَسْتَرِدُّهُ.</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37" type="#_x0000_t202" style="position:absolute;left:0;text-align:left;margin-left:324.8pt;margin-top:3.4pt;width:99.75pt;height:31.35pt;z-index:251625984" filled="f" stroked="f">
          <v:textbox style="mso-next-textbox:#_x0000_s34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39" type="#_x0000_t75" style="position:absolute;left:0;text-align:left;margin-left:62.55pt;margin-top:.55pt;width:359.1pt;height:44.85pt;z-index:-251688448;mso-wrap-edited:f" wrapcoords="709 4393 473 10251 709 16108 709 16841 20851 16841 20891 16108 21088 10251 20851 4393 709 4393">
          <v:imagedata r:id="rId2" o:title="haut"/>
          <w10:wrap anchorx="page"/>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707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44" type="#_x0000_t75" style="position:absolute;left:0;text-align:left;margin-left:-11.8pt;margin-top:-4.3pt;width:91.2pt;height:56.1pt;z-index:2516331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42" type="#_x0000_t202" style="position:absolute;left:0;text-align:left;margin-left:170.9pt;margin-top:7.4pt;width:151.15pt;height:34.2pt;z-index:251631104" filled="f" stroked="f">
          <v:textbox style="mso-next-textbox:#_x0000_s3442">
            <w:txbxContent>
              <w:p w:rsidR="00035BE3" w:rsidRPr="00A634B6" w:rsidRDefault="00035BE3" w:rsidP="00C10469">
                <w:pPr>
                  <w:ind w:firstLine="0"/>
                  <w:rPr>
                    <w:rFonts w:cs="AL-Mateen"/>
                    <w:sz w:val="24"/>
                    <w:szCs w:val="24"/>
                    <w:rtl/>
                  </w:rPr>
                </w:pPr>
                <w:r w:rsidRPr="00E722AD">
                  <w:rPr>
                    <w:rFonts w:cs="AL-Mateen" w:hint="cs"/>
                    <w:sz w:val="24"/>
                    <w:szCs w:val="24"/>
                    <w:rtl/>
                  </w:rPr>
                  <w:t>ق125 : الدَّفعُ إذا كان لغرضٍ : لايجوزُ الاسترادُ ما دامَ باقِيًا.</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41" type="#_x0000_t202" style="position:absolute;left:0;text-align:left;margin-left:324.8pt;margin-top:3.4pt;width:99.75pt;height:31.35pt;z-index:251630080" filled="f" stroked="f">
          <v:textbox style="mso-next-textbox:#_x0000_s34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43" type="#_x0000_t75" style="position:absolute;left:0;text-align:left;margin-left:62.55pt;margin-top:.55pt;width:359.1pt;height:44.85pt;z-index:-251684352;mso-wrap-edited:f" wrapcoords="709 4393 473 10251 709 16108 709 16841 20851 16841 20891 16108 21088 10251 20851 4393 709 4393">
          <v:imagedata r:id="rId2" o:title="haut"/>
          <w10:wrap anchorx="page"/>
        </v:shape>
      </w:pic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709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48" type="#_x0000_t75" style="position:absolute;left:0;text-align:left;margin-left:-11.8pt;margin-top:-4.3pt;width:91.2pt;height:56.1pt;z-index:2516372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46" type="#_x0000_t202" style="position:absolute;left:0;text-align:left;margin-left:170.9pt;margin-top:7.4pt;width:151.15pt;height:34.2pt;z-index:251635200" filled="f" stroked="f">
          <v:textbox style="mso-next-textbox:#_x0000_s3446">
            <w:txbxContent>
              <w:p w:rsidR="00035BE3" w:rsidRPr="00A634B6" w:rsidRDefault="00035BE3" w:rsidP="00C10469">
                <w:pPr>
                  <w:ind w:firstLine="0"/>
                  <w:rPr>
                    <w:rFonts w:cs="AL-Mateen"/>
                    <w:sz w:val="24"/>
                    <w:szCs w:val="24"/>
                    <w:rtl/>
                  </w:rPr>
                </w:pPr>
                <w:r w:rsidRPr="00667C06">
                  <w:rPr>
                    <w:rFonts w:cs="AL-Mateen" w:hint="cs"/>
                    <w:sz w:val="24"/>
                    <w:szCs w:val="24"/>
                    <w:rtl/>
                  </w:rPr>
                  <w:t>ق126 : الدَّلاَلَةُ تعملُ عَمَلَ الصَّرِيحِ إذَا لَمْ يُوجَدْ صَرِيحٌ يُعَارِضُهَا.</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45" type="#_x0000_t202" style="position:absolute;left:0;text-align:left;margin-left:324.8pt;margin-top:3.4pt;width:99.75pt;height:31.35pt;z-index:251634176" filled="f" stroked="f">
          <v:textbox style="mso-next-textbox:#_x0000_s34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47" type="#_x0000_t75" style="position:absolute;left:0;text-align:left;margin-left:62.55pt;margin-top:.55pt;width:359.1pt;height:44.85pt;z-index:-251680256;mso-wrap-edited:f" wrapcoords="709 4393 473 10251 709 16108 709 16841 20851 16841 20891 16108 21088 10251 20851 4393 709 4393">
          <v:imagedata r:id="rId2" o:title="haut"/>
          <w10:wrap anchorx="page"/>
        </v:shape>
      </w:pic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711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52" type="#_x0000_t75" style="position:absolute;left:0;text-align:left;margin-left:-11.8pt;margin-top:-4.3pt;width:91.2pt;height:56.1pt;z-index:2516413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50" type="#_x0000_t202" style="position:absolute;left:0;text-align:left;margin-left:170.9pt;margin-top:7.4pt;width:151.15pt;height:34.2pt;z-index:251639296" filled="f" stroked="f">
          <v:textbox style="mso-next-textbox:#_x0000_s3450">
            <w:txbxContent>
              <w:p w:rsidR="00035BE3" w:rsidRPr="00A634B6" w:rsidRDefault="00035BE3" w:rsidP="00C10469">
                <w:pPr>
                  <w:ind w:firstLine="0"/>
                  <w:rPr>
                    <w:rFonts w:cs="AL-Mateen"/>
                    <w:sz w:val="24"/>
                    <w:szCs w:val="24"/>
                    <w:rtl/>
                  </w:rPr>
                </w:pPr>
                <w:r w:rsidRPr="00A50679">
                  <w:rPr>
                    <w:rFonts w:cs="AL-Mateen" w:hint="cs"/>
                    <w:sz w:val="24"/>
                    <w:szCs w:val="24"/>
                    <w:rtl/>
                  </w:rPr>
                  <w:t>ق127 :  دليلُ الشَّيءِ فِي الأمورِ الباطنةِ يقومُ مقامَهُ.</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49" type="#_x0000_t202" style="position:absolute;left:0;text-align:left;margin-left:324.8pt;margin-top:3.4pt;width:99.75pt;height:31.35pt;z-index:251638272" filled="f" stroked="f">
          <v:textbox style="mso-next-textbox:#_x0000_s34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51" type="#_x0000_t75" style="position:absolute;left:0;text-align:left;margin-left:62.55pt;margin-top:.55pt;width:359.1pt;height:44.85pt;z-index:-251676160;mso-wrap-edited:f" wrapcoords="709 4393 473 10251 709 16108 709 16841 20851 16841 20891 16108 21088 10251 20851 4393 709 4393">
          <v:imagedata r:id="rId2" o:title="haut"/>
          <w10:wrap anchorx="page"/>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719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56" type="#_x0000_t75" style="position:absolute;left:0;text-align:left;margin-left:-11.8pt;margin-top:-4.3pt;width:91.2pt;height:56.1pt;z-index:2516454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54" type="#_x0000_t202" style="position:absolute;left:0;text-align:left;margin-left:170.9pt;margin-top:7.4pt;width:151.15pt;height:34.2pt;z-index:251643392" filled="f" stroked="f">
          <v:textbox style="mso-next-textbox:#_x0000_s3454">
            <w:txbxContent>
              <w:p w:rsidR="00035BE3" w:rsidRPr="00A634B6" w:rsidRDefault="00035BE3" w:rsidP="00C10469">
                <w:pPr>
                  <w:ind w:firstLine="0"/>
                  <w:rPr>
                    <w:rFonts w:cs="AL-Mateen"/>
                    <w:sz w:val="24"/>
                    <w:szCs w:val="24"/>
                    <w:rtl/>
                  </w:rPr>
                </w:pPr>
                <w:r w:rsidRPr="006D732C">
                  <w:rPr>
                    <w:rFonts w:cs="AL-Mateen" w:hint="cs"/>
                    <w:sz w:val="24"/>
                    <w:szCs w:val="24"/>
                    <w:rtl/>
                  </w:rPr>
                  <w:t>ق128 :  الدُّيُونُ تُقْضَى بأَمثَالِهَا.</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53" type="#_x0000_t202" style="position:absolute;left:0;text-align:left;margin-left:324.8pt;margin-top:3.4pt;width:99.75pt;height:31.35pt;z-index:251642368" filled="f" stroked="f">
          <v:textbox style="mso-next-textbox:#_x0000_s34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55" type="#_x0000_t75" style="position:absolute;left:0;text-align:left;margin-left:62.55pt;margin-top:.55pt;width:359.1pt;height:44.85pt;z-index:-251672064;mso-wrap-edited:f" wrapcoords="709 4393 473 10251 709 16108 709 16841 20851 16841 20891 16108 21088 10251 20851 4393 709 4393">
          <v:imagedata r:id="rId2" o:title="haut"/>
          <w10:wrap anchorx="page"/>
        </v:shape>
      </w:pic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721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60" type="#_x0000_t75" style="position:absolute;left:0;text-align:left;margin-left:-11.8pt;margin-top:-4.3pt;width:91.2pt;height:56.1pt;z-index:2516495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58" type="#_x0000_t202" style="position:absolute;left:0;text-align:left;margin-left:170.9pt;margin-top:7.4pt;width:151.15pt;height:34.2pt;z-index:251647488" filled="f" stroked="f">
          <v:textbox style="mso-next-textbox:#_x0000_s3458">
            <w:txbxContent>
              <w:p w:rsidR="00035BE3" w:rsidRPr="00A634B6" w:rsidRDefault="00035BE3" w:rsidP="00C10469">
                <w:pPr>
                  <w:ind w:firstLine="0"/>
                  <w:rPr>
                    <w:rFonts w:cs="AL-Mateen"/>
                    <w:sz w:val="24"/>
                    <w:szCs w:val="24"/>
                    <w:rtl/>
                  </w:rPr>
                </w:pPr>
                <w:r w:rsidRPr="00675FA5">
                  <w:rPr>
                    <w:rFonts w:cs="AL-Mateen" w:hint="cs"/>
                    <w:sz w:val="23"/>
                    <w:szCs w:val="23"/>
                    <w:rtl/>
                  </w:rPr>
                  <w:t>ق129 :  ذِكْرُ بَعْضِ مَا لاَ يَتَجَزَّأُ كَذِكْرِ كُلِّهِ.</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57" type="#_x0000_t202" style="position:absolute;left:0;text-align:left;margin-left:324.8pt;margin-top:3.4pt;width:99.75pt;height:31.35pt;z-index:251646464" filled="f" stroked="f">
          <v:textbox style="mso-next-textbox:#_x0000_s34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59" type="#_x0000_t75" style="position:absolute;left:0;text-align:left;margin-left:62.55pt;margin-top:.55pt;width:359.1pt;height:44.85pt;z-index:-251667968;mso-wrap-edited:f" wrapcoords="709 4393 473 10251 709 16108 709 16841 20851 16841 20891 16108 21088 10251 20851 4393 709 4393">
          <v:imagedata r:id="rId2" o:title="haut"/>
          <w10:wrap anchorx="page"/>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728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64" type="#_x0000_t75" style="position:absolute;left:0;text-align:left;margin-left:-11.8pt;margin-top:-4.3pt;width:91.2pt;height:56.1pt;z-index:2516536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62" type="#_x0000_t202" style="position:absolute;left:0;text-align:left;margin-left:170.9pt;margin-top:7.4pt;width:151.15pt;height:34.2pt;z-index:251651584" filled="f" stroked="f">
          <v:textbox style="mso-next-textbox:#_x0000_s3462">
            <w:txbxContent>
              <w:p w:rsidR="00035BE3" w:rsidRPr="00A634B6" w:rsidRDefault="00035BE3" w:rsidP="00C10469">
                <w:pPr>
                  <w:ind w:firstLine="0"/>
                  <w:rPr>
                    <w:rFonts w:cs="AL-Mateen"/>
                    <w:sz w:val="24"/>
                    <w:szCs w:val="24"/>
                    <w:rtl/>
                  </w:rPr>
                </w:pPr>
                <w:r w:rsidRPr="0098234C">
                  <w:rPr>
                    <w:rFonts w:cs="AL-Mateen" w:hint="cs"/>
                    <w:sz w:val="24"/>
                    <w:szCs w:val="24"/>
                    <w:rtl/>
                  </w:rPr>
                  <w:t>ق130 :  الرُّؤْيَةُ مِنَ الزُّجَاجِ رُؤْيَةٌ حقيقةً.</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61" type="#_x0000_t202" style="position:absolute;left:0;text-align:left;margin-left:324.8pt;margin-top:3.4pt;width:99.75pt;height:31.35pt;z-index:251650560" filled="f" stroked="f">
          <v:textbox style="mso-next-textbox:#_x0000_s34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63" type="#_x0000_t75" style="position:absolute;left:0;text-align:left;margin-left:62.55pt;margin-top:.55pt;width:359.1pt;height:44.85pt;z-index:-251663872;mso-wrap-edited:f" wrapcoords="709 4393 473 10251 709 16108 709 16841 20851 16841 20891 16108 21088 10251 20851 4393 709 4393">
          <v:imagedata r:id="rId2" o:title="haut"/>
          <w10:wrap anchorx="page"/>
        </v:shape>
      </w:pic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730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68" type="#_x0000_t75" style="position:absolute;left:0;text-align:left;margin-left:-11.8pt;margin-top:-4.3pt;width:91.2pt;height:56.1pt;z-index:2516577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66" type="#_x0000_t202" style="position:absolute;left:0;text-align:left;margin-left:170.9pt;margin-top:7.4pt;width:151.15pt;height:34.2pt;z-index:251655680" filled="f" stroked="f">
          <v:textbox style="mso-next-textbox:#_x0000_s3466">
            <w:txbxContent>
              <w:p w:rsidR="00035BE3" w:rsidRPr="00A634B6" w:rsidRDefault="00035BE3" w:rsidP="00C10469">
                <w:pPr>
                  <w:ind w:firstLine="0"/>
                  <w:rPr>
                    <w:rFonts w:cs="AL-Mateen"/>
                    <w:sz w:val="24"/>
                    <w:szCs w:val="24"/>
                    <w:rtl/>
                  </w:rPr>
                </w:pPr>
                <w:r w:rsidRPr="001739A0">
                  <w:rPr>
                    <w:rFonts w:cs="AL-Mateen" w:hint="cs"/>
                    <w:sz w:val="24"/>
                    <w:szCs w:val="24"/>
                    <w:rtl/>
                  </w:rPr>
                  <w:t>ق131 :  الرّجُوعُ مِنَ الإقْرَارِ بَاطِلٌ.</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465" type="#_x0000_t202" style="position:absolute;left:0;text-align:left;margin-left:324.8pt;margin-top:3.4pt;width:99.75pt;height:31.35pt;z-index:251654656" filled="f" stroked="f">
          <v:textbox style="mso-next-textbox:#_x0000_s34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67" type="#_x0000_t75" style="position:absolute;left:0;text-align:left;margin-left:62.55pt;margin-top:.55pt;width:359.1pt;height:44.85pt;z-index:-251659776;mso-wrap-edited:f" wrapcoords="709 4393 473 10251 709 16108 709 16841 20851 16841 20891 16108 21088 10251 20851 4393 709 4393">
          <v:imagedata r:id="rId2" o:title="haut"/>
          <w10:wrap anchorx="page"/>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732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72" type="#_x0000_t75" style="position:absolute;left:0;text-align:left;margin-left:-11.8pt;margin-top:-4.3pt;width:91.2pt;height:56.1pt;z-index:2516618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70" type="#_x0000_t202" style="position:absolute;left:0;text-align:left;margin-left:170.9pt;margin-top:7.4pt;width:151.15pt;height:34.2pt;z-index:251659776" filled="f" stroked="f">
          <v:textbox style="mso-next-textbox:#_x0000_s3470">
            <w:txbxContent>
              <w:p w:rsidR="00035BE3" w:rsidRPr="00C019AA" w:rsidRDefault="00035BE3" w:rsidP="00C10469">
                <w:pPr>
                  <w:ind w:firstLine="0"/>
                  <w:rPr>
                    <w:rFonts w:cs="AL-Mateen"/>
                    <w:sz w:val="24"/>
                    <w:szCs w:val="24"/>
                    <w:rtl/>
                  </w:rPr>
                </w:pPr>
                <w:r w:rsidRPr="00E61B75">
                  <w:rPr>
                    <w:rFonts w:cs="AL-Mateen" w:hint="cs"/>
                    <w:sz w:val="24"/>
                    <w:szCs w:val="24"/>
                    <w:rtl/>
                  </w:rPr>
                  <w:t xml:space="preserve">ق132 : الرُّجُوعُ فِي الهِبَةِ </w:t>
                </w:r>
                <w:r w:rsidRPr="00E61B75">
                  <w:rPr>
                    <w:rFonts w:cs="AL-Mateen"/>
                    <w:sz w:val="24"/>
                    <w:szCs w:val="24"/>
                    <w:rtl/>
                  </w:rPr>
                  <w:t>–</w:t>
                </w:r>
                <w:r w:rsidRPr="00E61B75">
                  <w:rPr>
                    <w:rFonts w:cs="AL-Mateen" w:hint="cs"/>
                    <w:sz w:val="24"/>
                    <w:szCs w:val="24"/>
                    <w:rtl/>
                  </w:rPr>
                  <w:t xml:space="preserve"> وَلَوْ بِالتَّرَاضِي </w:t>
                </w:r>
                <w:r w:rsidRPr="00E61B75">
                  <w:rPr>
                    <w:rFonts w:cs="AL-Mateen"/>
                    <w:sz w:val="24"/>
                    <w:szCs w:val="24"/>
                    <w:rtl/>
                  </w:rPr>
                  <w:t>–</w:t>
                </w:r>
                <w:r w:rsidRPr="00E61B75">
                  <w:rPr>
                    <w:rFonts w:cs="AL-Mateen" w:hint="cs"/>
                    <w:sz w:val="24"/>
                    <w:szCs w:val="24"/>
                    <w:rtl/>
                  </w:rPr>
                  <w:t xml:space="preserve"> فَسْخٌ لِعَقْدِ الهِبَةِ .</w:t>
                </w:r>
              </w:p>
            </w:txbxContent>
          </v:textbox>
          <w10:wrap anchorx="page"/>
        </v:shape>
      </w:pict>
    </w:r>
    <w:r>
      <w:rPr>
        <w:noProof/>
        <w:rtl/>
        <w:lang w:val="en-US"/>
      </w:rPr>
      <w:pict>
        <v:shape id="_x0000_s3469" type="#_x0000_t202" style="position:absolute;left:0;text-align:left;margin-left:324.8pt;margin-top:3.4pt;width:99.75pt;height:31.35pt;z-index:251658752" filled="f" stroked="f">
          <v:textbox style="mso-next-textbox:#_x0000_s34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71" type="#_x0000_t75" style="position:absolute;left:0;text-align:left;margin-left:62.55pt;margin-top:.55pt;width:359.1pt;height:44.85pt;z-index:-251655680;mso-wrap-edited:f" wrapcoords="709 4393 473 10251 709 16108 709 16841 20851 16841 20891 16108 21088 10251 20851 4393 709 4393">
          <v:imagedata r:id="rId2" o:title="haut"/>
          <w10:wrap anchorx="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253</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2966" type="#_x0000_t202" style="position:absolute;left:0;text-align:left;margin-left:32.45pt;margin-top:5.4pt;width:289.5pt;height:34.2pt;z-index:251147776" filled="f" stroked="f">
          <v:textbox style="mso-next-textbox:#_x0000_s2966">
            <w:txbxContent>
              <w:p w:rsidR="00035BE3" w:rsidRPr="00062246" w:rsidRDefault="00035BE3">
                <w:pPr>
                  <w:ind w:firstLine="0"/>
                  <w:rPr>
                    <w:rFonts w:cs="AL-Mateen"/>
                    <w:sz w:val="28"/>
                    <w:szCs w:val="28"/>
                    <w:rtl/>
                  </w:rPr>
                </w:pPr>
                <w:r w:rsidRPr="00A4208E">
                  <w:rPr>
                    <w:rFonts w:cs="AL-Mateen" w:hint="cs"/>
                    <w:sz w:val="24"/>
                    <w:szCs w:val="24"/>
                    <w:rtl/>
                  </w:rPr>
                  <w:t>ق6 :  الاجْتِهادُ لا يُنْقَضُ بمثلِهِ.</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68" type="#_x0000_t75" style="position:absolute;left:0;text-align:left;margin-left:-9.5pt;margin-top:-4pt;width:91.2pt;height:56.1pt;z-index:251149824">
          <v:imagedata r:id="rId1" o:title="hichemil1"/>
          <w10:wrap anchorx="page"/>
        </v:shape>
      </w:pict>
    </w:r>
    <w:r>
      <w:rPr>
        <w:noProof/>
        <w:rtl/>
        <w:lang w:val="en-US"/>
      </w:rPr>
      <w:pict>
        <v:shape id="_x0000_s2965" type="#_x0000_t202" style="position:absolute;left:0;text-align:left;margin-left:321.95pt;margin-top:4.55pt;width:99.75pt;height:31.35pt;z-index:251146752" filled="f" stroked="f">
          <v:textbox style="mso-next-textbox:#_x0000_s2965">
            <w:txbxContent>
              <w:p w:rsidR="00035BE3" w:rsidRPr="00062246" w:rsidRDefault="00035BE3">
                <w:pPr>
                  <w:ind w:firstLine="0"/>
                  <w:jc w:val="center"/>
                  <w:rPr>
                    <w:rFonts w:cs="AL-Mateen"/>
                    <w:sz w:val="28"/>
                    <w:szCs w:val="28"/>
                    <w:rtl/>
                  </w:rPr>
                </w:pPr>
                <w:r w:rsidRPr="00062246">
                  <w:rPr>
                    <w:rFonts w:cs="AL-Mateen" w:hint="cs"/>
                    <w:sz w:val="28"/>
                    <w:szCs w:val="28"/>
                    <w:rtl/>
                  </w:rPr>
                  <w:t>ترتيب اللآلي</w:t>
                </w:r>
              </w:p>
            </w:txbxContent>
          </v:textbox>
          <w10:wrap anchorx="page"/>
        </v:shape>
      </w:pict>
    </w:r>
    <w:r>
      <w:rPr>
        <w:noProof/>
        <w:rtl/>
        <w:lang w:val="en-US"/>
      </w:rPr>
      <w:pict>
        <v:shape id="_x0000_s2967" type="#_x0000_t75" style="position:absolute;left:0;text-align:left;margin-left:62.9pt;margin-top:.85pt;width:358.8pt;height:44.85pt;z-index:-252167680;mso-wrap-edited:f" wrapcoords="709 4393 473 10251 709 16108 709 16841 20851 16841 20891 16108 21088 10251 20851 4393 709 4393">
          <v:imagedata r:id="rId2" o:title="haut"/>
          <w10:wrap anchorx="page"/>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733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76" type="#_x0000_t75" style="position:absolute;left:0;text-align:left;margin-left:-11.8pt;margin-top:-4.3pt;width:91.2pt;height:56.1pt;z-index:2516659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74" type="#_x0000_t202" style="position:absolute;left:0;text-align:left;margin-left:170.9pt;margin-top:7.4pt;width:151.15pt;height:34.2pt;z-index:251663872" filled="f" stroked="f">
          <v:textbox style="mso-next-textbox:#_x0000_s3474">
            <w:txbxContent>
              <w:p w:rsidR="00035BE3" w:rsidRPr="00C019AA" w:rsidRDefault="00035BE3" w:rsidP="00C10469">
                <w:pPr>
                  <w:ind w:firstLine="0"/>
                  <w:rPr>
                    <w:rFonts w:cs="AL-Mateen"/>
                    <w:sz w:val="24"/>
                    <w:szCs w:val="24"/>
                    <w:rtl/>
                  </w:rPr>
                </w:pPr>
                <w:r w:rsidRPr="008C60BA">
                  <w:rPr>
                    <w:rFonts w:cs="AL-Mateen" w:hint="cs"/>
                    <w:sz w:val="24"/>
                    <w:szCs w:val="24"/>
                    <w:rtl/>
                  </w:rPr>
                  <w:t>ق133 :  الرُّجُوعُ إثباتٌ فِي المَاضِي ونفيٌ فِي الحَالِ، والجُحُودُ</w:t>
                </w:r>
                <w:r w:rsidRPr="00E61B75">
                  <w:rPr>
                    <w:rFonts w:cs="AL-Mateen" w:hint="cs"/>
                    <w:sz w:val="24"/>
                    <w:szCs w:val="24"/>
                    <w:rtl/>
                  </w:rPr>
                  <w:t>.</w:t>
                </w:r>
              </w:p>
            </w:txbxContent>
          </v:textbox>
          <w10:wrap anchorx="page"/>
        </v:shape>
      </w:pict>
    </w:r>
    <w:r>
      <w:rPr>
        <w:noProof/>
        <w:rtl/>
        <w:lang w:val="en-US"/>
      </w:rPr>
      <w:pict>
        <v:shape id="_x0000_s3473" type="#_x0000_t202" style="position:absolute;left:0;text-align:left;margin-left:324.8pt;margin-top:3.4pt;width:99.75pt;height:31.35pt;z-index:251662848" filled="f" stroked="f">
          <v:textbox style="mso-next-textbox:#_x0000_s34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75" type="#_x0000_t75" style="position:absolute;left:0;text-align:left;margin-left:62.55pt;margin-top:.55pt;width:359.1pt;height:44.85pt;z-index:-251651584;mso-wrap-edited:f" wrapcoords="709 4393 473 10251 709 16108 709 16841 20851 16841 20891 16108 21088 10251 20851 4393 709 4393">
          <v:imagedata r:id="rId2" o:title="haut"/>
          <w10:wrap anchorx="page"/>
        </v:shape>
      </w:pic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737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80" type="#_x0000_t75" style="position:absolute;left:0;text-align:left;margin-left:-11.8pt;margin-top:-4.3pt;width:91.2pt;height:56.1pt;z-index:2516700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78" type="#_x0000_t202" style="position:absolute;left:0;text-align:left;margin-left:170.9pt;margin-top:7.4pt;width:151.15pt;height:34.2pt;z-index:251667968" filled="f" stroked="f">
          <v:textbox style="mso-next-textbox:#_x0000_s3478">
            <w:txbxContent>
              <w:p w:rsidR="00035BE3" w:rsidRPr="00C019AA" w:rsidRDefault="00035BE3" w:rsidP="00C10469">
                <w:pPr>
                  <w:ind w:firstLine="0"/>
                  <w:rPr>
                    <w:rFonts w:cs="AL-Mateen"/>
                    <w:sz w:val="24"/>
                    <w:szCs w:val="24"/>
                    <w:rtl/>
                  </w:rPr>
                </w:pPr>
                <w:r w:rsidRPr="00DF57E8">
                  <w:rPr>
                    <w:rFonts w:cs="AL-Mateen" w:hint="cs"/>
                    <w:sz w:val="24"/>
                    <w:szCs w:val="24"/>
                    <w:rtl/>
                  </w:rPr>
                  <w:t>ق134 :  رَدُّ عَيْنِ المَغْصُوبِ هُوَ المُوجَبُ الأصْلِيُّ.</w:t>
                </w:r>
              </w:p>
            </w:txbxContent>
          </v:textbox>
          <w10:wrap anchorx="page"/>
        </v:shape>
      </w:pict>
    </w:r>
    <w:r>
      <w:rPr>
        <w:noProof/>
        <w:rtl/>
        <w:lang w:val="en-US"/>
      </w:rPr>
      <w:pict>
        <v:shape id="_x0000_s3477" type="#_x0000_t202" style="position:absolute;left:0;text-align:left;margin-left:324.8pt;margin-top:3.4pt;width:99.75pt;height:31.35pt;z-index:251666944" filled="f" stroked="f">
          <v:textbox style="mso-next-textbox:#_x0000_s34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79" type="#_x0000_t75" style="position:absolute;left:0;text-align:left;margin-left:62.55pt;margin-top:.55pt;width:359.1pt;height:44.85pt;z-index:-251647488;mso-wrap-edited:f" wrapcoords="709 4393 473 10251 709 16108 709 16841 20851 16841 20891 16108 21088 10251 20851 4393 709 4393">
          <v:imagedata r:id="rId2" o:title="haut"/>
          <w10:wrap anchorx="page"/>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738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84" type="#_x0000_t75" style="position:absolute;left:0;text-align:left;margin-left:-11.8pt;margin-top:-4.3pt;width:91.2pt;height:56.1pt;z-index:2516741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82" type="#_x0000_t202" style="position:absolute;left:0;text-align:left;margin-left:170.9pt;margin-top:7.4pt;width:151.15pt;height:34.2pt;z-index:251672064" filled="f" stroked="f">
          <v:textbox style="mso-next-textbox:#_x0000_s3482">
            <w:txbxContent>
              <w:p w:rsidR="00035BE3" w:rsidRPr="00C019AA" w:rsidRDefault="00035BE3" w:rsidP="00C10469">
                <w:pPr>
                  <w:ind w:firstLine="0"/>
                  <w:rPr>
                    <w:rFonts w:cs="AL-Mateen"/>
                    <w:sz w:val="24"/>
                    <w:szCs w:val="24"/>
                    <w:rtl/>
                  </w:rPr>
                </w:pPr>
                <w:r w:rsidRPr="00CE58FD">
                  <w:rPr>
                    <w:rFonts w:cs="AL-Mateen" w:hint="cs"/>
                    <w:sz w:val="24"/>
                    <w:szCs w:val="24"/>
                    <w:rtl/>
                  </w:rPr>
                  <w:t>ق135 :  الرَّسُولُ مُعبّرٌ وسَفيرٌ، فَكَلاَمُهُ كَكَلاَمِ المُرْسِلِ.</w:t>
                </w:r>
              </w:p>
            </w:txbxContent>
          </v:textbox>
          <w10:wrap anchorx="page"/>
        </v:shape>
      </w:pict>
    </w:r>
    <w:r>
      <w:rPr>
        <w:noProof/>
        <w:rtl/>
        <w:lang w:val="en-US"/>
      </w:rPr>
      <w:pict>
        <v:shape id="_x0000_s3481" type="#_x0000_t202" style="position:absolute;left:0;text-align:left;margin-left:324.8pt;margin-top:3.4pt;width:99.75pt;height:31.35pt;z-index:251671040" filled="f" stroked="f">
          <v:textbox style="mso-next-textbox:#_x0000_s34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83" type="#_x0000_t75" style="position:absolute;left:0;text-align:left;margin-left:62.55pt;margin-top:.55pt;width:359.1pt;height:44.85pt;z-index:-251643392;mso-wrap-edited:f" wrapcoords="709 4393 473 10251 709 16108 709 16841 20851 16841 20891 16108 21088 10251 20851 4393 709 4393">
          <v:imagedata r:id="rId2" o:title="haut"/>
          <w10:wrap anchorx="page"/>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740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88" type="#_x0000_t75" style="position:absolute;left:0;text-align:left;margin-left:-11.8pt;margin-top:-4.3pt;width:91.2pt;height:56.1pt;z-index:2516782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86" type="#_x0000_t202" style="position:absolute;left:0;text-align:left;margin-left:170.9pt;margin-top:7.4pt;width:151.15pt;height:34.2pt;z-index:251676160" filled="f" stroked="f">
          <v:textbox style="mso-next-textbox:#_x0000_s3486">
            <w:txbxContent>
              <w:p w:rsidR="00035BE3" w:rsidRPr="00C019AA" w:rsidRDefault="00035BE3" w:rsidP="00C10469">
                <w:pPr>
                  <w:ind w:firstLine="0"/>
                  <w:rPr>
                    <w:rFonts w:cs="AL-Mateen"/>
                    <w:sz w:val="24"/>
                    <w:szCs w:val="24"/>
                    <w:rtl/>
                  </w:rPr>
                </w:pPr>
                <w:r w:rsidRPr="00DA01B4">
                  <w:rPr>
                    <w:rFonts w:cs="AL-Mateen" w:hint="cs"/>
                    <w:sz w:val="24"/>
                    <w:szCs w:val="24"/>
                    <w:rtl/>
                  </w:rPr>
                  <w:t>ق136 :  الزِّيَادَةُ المُنفَصِلَةُ غَيْرُ المُتَوَلِّدَةِ مِ</w:t>
                </w:r>
                <w:r>
                  <w:rPr>
                    <w:rFonts w:cs="AL-Mateen" w:hint="cs"/>
                    <w:sz w:val="24"/>
                    <w:szCs w:val="24"/>
                    <w:rtl/>
                  </w:rPr>
                  <w:t>نَ الأصْلِ لاَ تَمْنَعُ الرَّدَّ</w:t>
                </w:r>
                <w:r w:rsidRPr="00DA01B4">
                  <w:rPr>
                    <w:rFonts w:cs="AL-Mateen" w:hint="cs"/>
                    <w:sz w:val="24"/>
                    <w:szCs w:val="24"/>
                    <w:rtl/>
                  </w:rPr>
                  <w:t xml:space="preserve"> .</w:t>
                </w:r>
              </w:p>
            </w:txbxContent>
          </v:textbox>
          <w10:wrap anchorx="page"/>
        </v:shape>
      </w:pict>
    </w:r>
    <w:r>
      <w:rPr>
        <w:noProof/>
        <w:rtl/>
        <w:lang w:val="en-US"/>
      </w:rPr>
      <w:pict>
        <v:shape id="_x0000_s3485" type="#_x0000_t202" style="position:absolute;left:0;text-align:left;margin-left:324.8pt;margin-top:3.4pt;width:99.75pt;height:31.35pt;z-index:251675136" filled="f" stroked="f">
          <v:textbox style="mso-next-textbox:#_x0000_s34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87" type="#_x0000_t75" style="position:absolute;left:0;text-align:left;margin-left:62.55pt;margin-top:.55pt;width:359.1pt;height:44.85pt;z-index:-251639296;mso-wrap-edited:f" wrapcoords="709 4393 473 10251 709 16108 709 16841 20851 16841 20891 16108 21088 10251 20851 4393 709 4393">
          <v:imagedata r:id="rId2" o:title="haut"/>
          <w10:wrap anchorx="page"/>
        </v:shape>
      </w:pic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742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1.8pt;margin-top:-4.3pt;width:91.2pt;height:56.1pt;z-index:25168230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90" type="#_x0000_t202" style="position:absolute;left:0;text-align:left;margin-left:170.9pt;margin-top:7.4pt;width:151.15pt;height:34.2pt;z-index:251680256" filled="f" stroked="f">
          <v:textbox style="mso-next-textbox:#_x0000_s3490">
            <w:txbxContent>
              <w:p w:rsidR="00035BE3" w:rsidRPr="00C019AA" w:rsidRDefault="00035BE3" w:rsidP="00C10469">
                <w:pPr>
                  <w:ind w:firstLine="0"/>
                  <w:rPr>
                    <w:rFonts w:cs="AL-Mateen"/>
                    <w:sz w:val="24"/>
                    <w:szCs w:val="24"/>
                    <w:rtl/>
                  </w:rPr>
                </w:pPr>
                <w:r w:rsidRPr="00A322CF">
                  <w:rPr>
                    <w:rFonts w:cs="AL-Mateen" w:hint="cs"/>
                    <w:sz w:val="24"/>
                    <w:szCs w:val="24"/>
                    <w:rtl/>
                  </w:rPr>
                  <w:t>ق137 :  السَّاقِطُ لاَ يَعُوْدُ.</w:t>
                </w:r>
                <w:r w:rsidRPr="00DA01B4">
                  <w:rPr>
                    <w:rFonts w:cs="AL-Mateen" w:hint="cs"/>
                    <w:sz w:val="24"/>
                    <w:szCs w:val="24"/>
                    <w:rtl/>
                  </w:rPr>
                  <w:t>.</w:t>
                </w:r>
              </w:p>
            </w:txbxContent>
          </v:textbox>
          <w10:wrap anchorx="page"/>
        </v:shape>
      </w:pict>
    </w:r>
    <w:r>
      <w:rPr>
        <w:noProof/>
        <w:rtl/>
        <w:lang w:val="en-US"/>
      </w:rPr>
      <w:pict>
        <v:shape id="_x0000_s3489" type="#_x0000_t202" style="position:absolute;left:0;text-align:left;margin-left:324.8pt;margin-top:3.4pt;width:99.75pt;height:31.35pt;z-index:251679232" filled="f" stroked="f">
          <v:textbox style="mso-next-textbox:#_x0000_s34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91" type="#_x0000_t75" style="position:absolute;left:0;text-align:left;margin-left:62.55pt;margin-top:.55pt;width:359.1pt;height:44.85pt;z-index:-251635200;mso-wrap-edited:f" wrapcoords="709 4393 473 10251 709 16108 709 16841 20851 16841 20891 16108 21088 10251 20851 4393 709 4393">
          <v:imagedata r:id="rId2" o:title="haut"/>
          <w10:wrap anchorx="page"/>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746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6" type="#_x0000_t75" style="position:absolute;left:0;text-align:left;margin-left:-11.8pt;margin-top:-4.3pt;width:91.2pt;height:56.1pt;z-index:2516864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94" type="#_x0000_t202" style="position:absolute;left:0;text-align:left;margin-left:170.9pt;margin-top:7.4pt;width:151.15pt;height:34.2pt;z-index:251684352" filled="f" stroked="f">
          <v:textbox style="mso-next-textbox:#_x0000_s3494">
            <w:txbxContent>
              <w:p w:rsidR="00035BE3" w:rsidRPr="00C019AA" w:rsidRDefault="00035BE3" w:rsidP="00C10469">
                <w:pPr>
                  <w:ind w:firstLine="0"/>
                  <w:rPr>
                    <w:rFonts w:cs="AL-Mateen"/>
                    <w:sz w:val="24"/>
                    <w:szCs w:val="24"/>
                    <w:rtl/>
                  </w:rPr>
                </w:pPr>
                <w:r w:rsidRPr="008C5765">
                  <w:rPr>
                    <w:rFonts w:cs="AL-Mateen" w:hint="cs"/>
                    <w:sz w:val="24"/>
                    <w:szCs w:val="24"/>
                    <w:rtl/>
                  </w:rPr>
                  <w:t>ق138 :  السَّبَبُ يُسْتَعَارُ للمُسَبَّبِ دُونَ عَكْسِهِ.</w:t>
                </w:r>
                <w:r w:rsidRPr="00DA01B4">
                  <w:rPr>
                    <w:rFonts w:cs="AL-Mateen" w:hint="cs"/>
                    <w:sz w:val="24"/>
                    <w:szCs w:val="24"/>
                    <w:rtl/>
                  </w:rPr>
                  <w:t>.</w:t>
                </w:r>
              </w:p>
            </w:txbxContent>
          </v:textbox>
          <w10:wrap anchorx="page"/>
        </v:shape>
      </w:pict>
    </w:r>
    <w:r>
      <w:rPr>
        <w:noProof/>
        <w:rtl/>
        <w:lang w:val="en-US"/>
      </w:rPr>
      <w:pict>
        <v:shape id="_x0000_s3493" type="#_x0000_t202" style="position:absolute;left:0;text-align:left;margin-left:324.8pt;margin-top:3.4pt;width:99.75pt;height:31.35pt;z-index:251683328" filled="f" stroked="f">
          <v:textbox style="mso-next-textbox:#_x0000_s34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95" type="#_x0000_t75" style="position:absolute;left:0;text-align:left;margin-left:62.55pt;margin-top:.55pt;width:359.1pt;height:44.85pt;z-index:-251631104;mso-wrap-edited:f" wrapcoords="709 4393 473 10251 709 16108 709 16841 20851 16841 20891 16108 21088 10251 20851 4393 709 4393">
          <v:imagedata r:id="rId2" o:title="haut"/>
          <w10:wrap anchorx="page"/>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749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00" type="#_x0000_t75" style="position:absolute;left:0;text-align:left;margin-left:-11.8pt;margin-top:-4.3pt;width:91.2pt;height:56.1pt;z-index:2516904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498" type="#_x0000_t202" style="position:absolute;left:0;text-align:left;margin-left:170.9pt;margin-top:7.4pt;width:151.15pt;height:34.2pt;z-index:251688448" filled="f" stroked="f">
          <v:textbox style="mso-next-textbox:#_x0000_s3498">
            <w:txbxContent>
              <w:p w:rsidR="00035BE3" w:rsidRPr="00C019AA" w:rsidRDefault="00035BE3" w:rsidP="00C10469">
                <w:pPr>
                  <w:ind w:firstLine="0"/>
                  <w:rPr>
                    <w:rFonts w:cs="AL-Mateen"/>
                    <w:sz w:val="24"/>
                    <w:szCs w:val="24"/>
                    <w:rtl/>
                  </w:rPr>
                </w:pPr>
                <w:r w:rsidRPr="001B7E6A">
                  <w:rPr>
                    <w:rFonts w:cs="AL-Mateen" w:hint="cs"/>
                    <w:sz w:val="24"/>
                    <w:szCs w:val="24"/>
                    <w:rtl/>
                  </w:rPr>
                  <w:t xml:space="preserve">ق139 :  </w:t>
                </w:r>
                <w:r>
                  <w:rPr>
                    <w:rFonts w:cs="AL-Mateen" w:hint="cs"/>
                    <w:sz w:val="24"/>
                    <w:szCs w:val="24"/>
                    <w:rtl/>
                  </w:rPr>
                  <w:t>السُّؤالُ مُعَادٌ فِي الجَوَابِ</w:t>
                </w:r>
                <w:r w:rsidRPr="00DA01B4">
                  <w:rPr>
                    <w:rFonts w:cs="AL-Mateen" w:hint="cs"/>
                    <w:sz w:val="24"/>
                    <w:szCs w:val="24"/>
                    <w:rtl/>
                  </w:rPr>
                  <w:t>.</w:t>
                </w:r>
              </w:p>
            </w:txbxContent>
          </v:textbox>
          <w10:wrap anchorx="page"/>
        </v:shape>
      </w:pict>
    </w:r>
    <w:r>
      <w:rPr>
        <w:noProof/>
        <w:rtl/>
        <w:lang w:val="en-US"/>
      </w:rPr>
      <w:pict>
        <v:shape id="_x0000_s3497" type="#_x0000_t202" style="position:absolute;left:0;text-align:left;margin-left:324.8pt;margin-top:3.4pt;width:99.75pt;height:31.35pt;z-index:251687424" filled="f" stroked="f">
          <v:textbox style="mso-next-textbox:#_x0000_s34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499" type="#_x0000_t75" style="position:absolute;left:0;text-align:left;margin-left:62.55pt;margin-top:.55pt;width:359.1pt;height:44.85pt;z-index:-251627008;mso-wrap-edited:f" wrapcoords="709 4393 473 10251 709 16108 709 16841 20851 16841 20891 16108 21088 10251 20851 4393 709 4393">
          <v:imagedata r:id="rId2" o:title="haut"/>
          <w10:wrap anchorx="page"/>
        </v:shape>
      </w:pic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752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04" type="#_x0000_t75" style="position:absolute;left:0;text-align:left;margin-left:-11.8pt;margin-top:-4.3pt;width:91.2pt;height:56.1pt;z-index:2516945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02" type="#_x0000_t202" style="position:absolute;left:0;text-align:left;margin-left:170.9pt;margin-top:7.4pt;width:151.15pt;height:34.2pt;z-index:251692544" filled="f" stroked="f">
          <v:textbox style="mso-next-textbox:#_x0000_s3502">
            <w:txbxContent>
              <w:p w:rsidR="00035BE3" w:rsidRPr="00C019AA" w:rsidRDefault="00035BE3" w:rsidP="00C10469">
                <w:pPr>
                  <w:ind w:firstLine="0"/>
                  <w:rPr>
                    <w:rFonts w:cs="AL-Mateen"/>
                    <w:sz w:val="24"/>
                    <w:szCs w:val="24"/>
                    <w:rtl/>
                  </w:rPr>
                </w:pPr>
                <w:r w:rsidRPr="006240EC">
                  <w:rPr>
                    <w:rFonts w:cs="AL-Mateen" w:hint="cs"/>
                    <w:sz w:val="24"/>
                    <w:szCs w:val="24"/>
                    <w:rtl/>
                  </w:rPr>
                  <w:t>ق140 : السِّرَايَةُ تَكُونُ فِي الأُمُورِ الشَّرْعِيَّةِ لاَ الحَقِيْقَةِ.</w:t>
                </w:r>
              </w:p>
            </w:txbxContent>
          </v:textbox>
          <w10:wrap anchorx="page"/>
        </v:shape>
      </w:pict>
    </w:r>
    <w:r>
      <w:rPr>
        <w:noProof/>
        <w:rtl/>
        <w:lang w:val="en-US"/>
      </w:rPr>
      <w:pict>
        <v:shape id="_x0000_s3501" type="#_x0000_t202" style="position:absolute;left:0;text-align:left;margin-left:324.8pt;margin-top:3.4pt;width:99.75pt;height:31.35pt;z-index:251691520" filled="f" stroked="f">
          <v:textbox style="mso-next-textbox:#_x0000_s35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03" type="#_x0000_t75" style="position:absolute;left:0;text-align:left;margin-left:62.55pt;margin-top:.55pt;width:359.1pt;height:44.85pt;z-index:-251622912;mso-wrap-edited:f" wrapcoords="709 4393 473 10251 709 16108 709 16841 20851 16841 20891 16108 21088 10251 20851 4393 709 4393">
          <v:imagedata r:id="rId2" o:title="haut"/>
          <w10:wrap anchorx="page"/>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753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08" type="#_x0000_t75" style="position:absolute;left:0;text-align:left;margin-left:-11.8pt;margin-top:-4.3pt;width:91.2pt;height:56.1pt;z-index:2516986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06" type="#_x0000_t202" style="position:absolute;left:0;text-align:left;margin-left:170.9pt;margin-top:7.4pt;width:151.15pt;height:34.2pt;z-index:251696640" filled="f" stroked="f">
          <v:textbox style="mso-next-textbox:#_x0000_s3506">
            <w:txbxContent>
              <w:p w:rsidR="00035BE3" w:rsidRPr="00C019AA" w:rsidRDefault="00035BE3" w:rsidP="00C10469">
                <w:pPr>
                  <w:ind w:firstLine="0"/>
                  <w:rPr>
                    <w:rFonts w:cs="AL-Mateen"/>
                    <w:sz w:val="24"/>
                    <w:szCs w:val="24"/>
                    <w:rtl/>
                  </w:rPr>
                </w:pPr>
                <w:r w:rsidRPr="006F72C9">
                  <w:rPr>
                    <w:rFonts w:cs="AL-Mateen" w:hint="cs"/>
                    <w:sz w:val="24"/>
                    <w:szCs w:val="24"/>
                    <w:rtl/>
                  </w:rPr>
                  <w:t>ق141 :  السَّلاَمَةُ لَيْسَتْ بِشَرْطٍ فِي التَّبَرُّعَاتِ.</w:t>
                </w:r>
              </w:p>
            </w:txbxContent>
          </v:textbox>
          <w10:wrap anchorx="page"/>
        </v:shape>
      </w:pict>
    </w:r>
    <w:r>
      <w:rPr>
        <w:noProof/>
        <w:rtl/>
        <w:lang w:val="en-US"/>
      </w:rPr>
      <w:pict>
        <v:shape id="_x0000_s3505" type="#_x0000_t202" style="position:absolute;left:0;text-align:left;margin-left:324.8pt;margin-top:3.4pt;width:99.75pt;height:31.35pt;z-index:251695616" filled="f" stroked="f">
          <v:textbox style="mso-next-textbox:#_x0000_s35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07" type="#_x0000_t75" style="position:absolute;left:0;text-align:left;margin-left:62.55pt;margin-top:.55pt;width:359.1pt;height:44.85pt;z-index:-251618816;mso-wrap-edited:f" wrapcoords="709 4393 473 10251 709 16108 709 16841 20851 16841 20891 16108 21088 10251 20851 4393 709 4393">
          <v:imagedata r:id="rId2" o:title="haut"/>
          <w10:wrap anchorx="page"/>
        </v:shape>
      </w:pic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754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12" type="#_x0000_t75" style="position:absolute;left:0;text-align:left;margin-left:-11.8pt;margin-top:-4.3pt;width:91.2pt;height:56.1pt;z-index:2517027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10" type="#_x0000_t202" style="position:absolute;left:0;text-align:left;margin-left:170.9pt;margin-top:7.4pt;width:151.15pt;height:34.2pt;z-index:251700736" filled="f" stroked="f">
          <v:textbox style="mso-next-textbox:#_x0000_s3510">
            <w:txbxContent>
              <w:p w:rsidR="00035BE3" w:rsidRPr="00C019AA" w:rsidRDefault="00035BE3" w:rsidP="00C10469">
                <w:pPr>
                  <w:ind w:firstLine="0"/>
                  <w:rPr>
                    <w:rFonts w:cs="AL-Mateen"/>
                    <w:sz w:val="24"/>
                    <w:szCs w:val="24"/>
                    <w:rtl/>
                  </w:rPr>
                </w:pPr>
                <w:r w:rsidRPr="00BE6B5F">
                  <w:rPr>
                    <w:rFonts w:cs="AL-Mateen" w:hint="cs"/>
                    <w:sz w:val="24"/>
                    <w:szCs w:val="24"/>
                    <w:rtl/>
                  </w:rPr>
                  <w:t>ق142 : السُّكُتُ عَنِ التَّبَعِ لاَ يُوجِبُ فَسَادَ العَقْدِ فِي الأَصْلِ.</w:t>
                </w:r>
              </w:p>
            </w:txbxContent>
          </v:textbox>
          <w10:wrap anchorx="page"/>
        </v:shape>
      </w:pict>
    </w:r>
    <w:r>
      <w:rPr>
        <w:noProof/>
        <w:rtl/>
        <w:lang w:val="en-US"/>
      </w:rPr>
      <w:pict>
        <v:shape id="_x0000_s3509" type="#_x0000_t202" style="position:absolute;left:0;text-align:left;margin-left:324.8pt;margin-top:3.4pt;width:99.75pt;height:31.35pt;z-index:251699712" filled="f" stroked="f">
          <v:textbox style="mso-next-textbox:#_x0000_s35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11" type="#_x0000_t75" style="position:absolute;left:0;text-align:left;margin-left:62.55pt;margin-top:.55pt;width:359.1pt;height:44.85pt;z-index:-251614720;mso-wrap-edited:f" wrapcoords="709 4393 473 10251 709 16108 709 16841 20851 16841 20891 16108 21088 10251 20851 4393 709 4393">
          <v:imagedata r:id="rId2" o:title="haut"/>
          <w10:wrap anchorx="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760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16" type="#_x0000_t75" style="position:absolute;left:0;text-align:left;margin-left:-11.8pt;margin-top:-4.3pt;width:91.2pt;height:56.1pt;z-index:2517068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14" type="#_x0000_t202" style="position:absolute;left:0;text-align:left;margin-left:170.9pt;margin-top:7.4pt;width:151.15pt;height:34.2pt;z-index:251704832" filled="f" stroked="f">
          <v:textbox style="mso-next-textbox:#_x0000_s3514">
            <w:txbxContent>
              <w:p w:rsidR="00035BE3" w:rsidRPr="00C019AA" w:rsidRDefault="00035BE3" w:rsidP="00C10469">
                <w:pPr>
                  <w:ind w:firstLine="0"/>
                  <w:rPr>
                    <w:rFonts w:cs="AL-Mateen"/>
                    <w:sz w:val="24"/>
                    <w:szCs w:val="24"/>
                    <w:rtl/>
                  </w:rPr>
                </w:pPr>
                <w:r w:rsidRPr="00F019C8">
                  <w:rPr>
                    <w:rFonts w:cs="AL-Mateen" w:hint="cs"/>
                    <w:sz w:val="24"/>
                    <w:szCs w:val="24"/>
                    <w:rtl/>
                    <w:lang w:bidi="ar-AE"/>
                  </w:rPr>
                  <w:t>ق143 : السُّكُوتُ فِي مَوْضِعِ الحَاجَةِ إلى البَيَانِ تَمَامُ البَيَانِ.</w:t>
                </w:r>
                <w:r w:rsidRPr="00BE6B5F">
                  <w:rPr>
                    <w:rFonts w:cs="AL-Mateen" w:hint="cs"/>
                    <w:sz w:val="24"/>
                    <w:szCs w:val="24"/>
                    <w:rtl/>
                  </w:rPr>
                  <w:t>.</w:t>
                </w:r>
              </w:p>
            </w:txbxContent>
          </v:textbox>
          <w10:wrap anchorx="page"/>
        </v:shape>
      </w:pict>
    </w:r>
    <w:r>
      <w:rPr>
        <w:noProof/>
        <w:rtl/>
        <w:lang w:val="en-US"/>
      </w:rPr>
      <w:pict>
        <v:shape id="_x0000_s3513" type="#_x0000_t202" style="position:absolute;left:0;text-align:left;margin-left:324.8pt;margin-top:3.4pt;width:99.75pt;height:31.35pt;z-index:251703808" filled="f" stroked="f">
          <v:textbox style="mso-next-textbox:#_x0000_s35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15" type="#_x0000_t75" style="position:absolute;left:0;text-align:left;margin-left:62.55pt;margin-top:.55pt;width:359.1pt;height:44.85pt;z-index:-251610624;mso-wrap-edited:f" wrapcoords="709 4393 473 10251 709 16108 709 16841 20851 16841 20891 16108 21088 10251 20851 4393 709 4393">
          <v:imagedata r:id="rId2" o:title="haut"/>
          <w10:wrap anchorx="page"/>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763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20" type="#_x0000_t75" style="position:absolute;left:0;text-align:left;margin-left:-11.8pt;margin-top:-4.3pt;width:91.2pt;height:56.1pt;z-index:2517109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18" type="#_x0000_t202" style="position:absolute;left:0;text-align:left;margin-left:170.9pt;margin-top:7.4pt;width:151.15pt;height:34.2pt;z-index:251708928" filled="f" stroked="f">
          <v:textbox style="mso-next-textbox:#_x0000_s3518">
            <w:txbxContent>
              <w:p w:rsidR="00035BE3" w:rsidRPr="00C019AA" w:rsidRDefault="00035BE3" w:rsidP="00C10469">
                <w:pPr>
                  <w:ind w:firstLine="0"/>
                  <w:rPr>
                    <w:rFonts w:cs="AL-Mateen"/>
                    <w:sz w:val="24"/>
                    <w:szCs w:val="24"/>
                    <w:rtl/>
                  </w:rPr>
                </w:pPr>
                <w:r w:rsidRPr="004C043B">
                  <w:rPr>
                    <w:rFonts w:cs="AL-Mateen" w:hint="cs"/>
                    <w:sz w:val="24"/>
                    <w:szCs w:val="24"/>
                    <w:rtl/>
                  </w:rPr>
                  <w:t>ق144 :  السُّلْطَانُ وَلِيُّ مَنْ لاَ وَلِيَّ لَهُ.</w:t>
                </w:r>
                <w:r w:rsidRPr="00BE6B5F">
                  <w:rPr>
                    <w:rFonts w:cs="AL-Mateen" w:hint="cs"/>
                    <w:sz w:val="24"/>
                    <w:szCs w:val="24"/>
                    <w:rtl/>
                  </w:rPr>
                  <w:t>.</w:t>
                </w:r>
              </w:p>
            </w:txbxContent>
          </v:textbox>
          <w10:wrap anchorx="page"/>
        </v:shape>
      </w:pict>
    </w:r>
    <w:r>
      <w:rPr>
        <w:noProof/>
        <w:rtl/>
        <w:lang w:val="en-US"/>
      </w:rPr>
      <w:pict>
        <v:shape id="_x0000_s3517" type="#_x0000_t202" style="position:absolute;left:0;text-align:left;margin-left:324.8pt;margin-top:3.4pt;width:99.75pt;height:31.35pt;z-index:251707904" filled="f" stroked="f">
          <v:textbox style="mso-next-textbox:#_x0000_s35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19" type="#_x0000_t75" style="position:absolute;left:0;text-align:left;margin-left:62.55pt;margin-top:.55pt;width:359.1pt;height:44.85pt;z-index:-251606528;mso-wrap-edited:f" wrapcoords="709 4393 473 10251 709 16108 709 16841 20851 16841 20891 16108 21088 10251 20851 4393 709 4393">
          <v:imagedata r:id="rId2" o:title="haut"/>
          <w10:wrap anchorx="page"/>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764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24" type="#_x0000_t75" style="position:absolute;left:0;text-align:left;margin-left:-11.8pt;margin-top:-4.3pt;width:91.2pt;height:56.1pt;z-index:2517150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22" type="#_x0000_t202" style="position:absolute;left:0;text-align:left;margin-left:170.9pt;margin-top:7.4pt;width:151.15pt;height:34.2pt;z-index:251713024" filled="f" stroked="f">
          <v:textbox style="mso-next-textbox:#_x0000_s3522">
            <w:txbxContent>
              <w:p w:rsidR="00035BE3" w:rsidRPr="00C019AA" w:rsidRDefault="00035BE3" w:rsidP="00C10469">
                <w:pPr>
                  <w:ind w:firstLine="0"/>
                  <w:rPr>
                    <w:rFonts w:cs="AL-Mateen"/>
                    <w:sz w:val="24"/>
                    <w:szCs w:val="24"/>
                    <w:rtl/>
                  </w:rPr>
                </w:pPr>
                <w:r w:rsidRPr="00C96B0A">
                  <w:rPr>
                    <w:rFonts w:cs="AL-Mateen" w:hint="cs"/>
                    <w:sz w:val="24"/>
                    <w:szCs w:val="24"/>
                    <w:rtl/>
                    <w:lang w:bidi="ar-AE"/>
                  </w:rPr>
                  <w:t>ق145 : الشَّرْطُ يُقَابِلُ المَشْرُوطَ جُمْلَةً وَ لاَ يُقَابِلُهُ أجْزَاءَ.</w:t>
                </w:r>
              </w:p>
            </w:txbxContent>
          </v:textbox>
          <w10:wrap anchorx="page"/>
        </v:shape>
      </w:pict>
    </w:r>
    <w:r>
      <w:rPr>
        <w:noProof/>
        <w:rtl/>
        <w:lang w:val="en-US"/>
      </w:rPr>
      <w:pict>
        <v:shape id="_x0000_s3521" type="#_x0000_t202" style="position:absolute;left:0;text-align:left;margin-left:324.8pt;margin-top:3.4pt;width:99.75pt;height:31.35pt;z-index:251712000" filled="f" stroked="f">
          <v:textbox style="mso-next-textbox:#_x0000_s35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23" type="#_x0000_t75" style="position:absolute;left:0;text-align:left;margin-left:62.55pt;margin-top:.55pt;width:359.1pt;height:44.85pt;z-index:-251602432;mso-wrap-edited:f" wrapcoords="709 4393 473 10251 709 16108 709 16841 20851 16841 20891 16108 21088 10251 20851 4393 709 4393">
          <v:imagedata r:id="rId2" o:title="haut"/>
          <w10:wrap anchorx="page"/>
        </v:shape>
      </w:pic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766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28" type="#_x0000_t75" style="position:absolute;left:0;text-align:left;margin-left:-11.8pt;margin-top:-4.3pt;width:91.2pt;height:56.1pt;z-index:2517191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26" type="#_x0000_t202" style="position:absolute;left:0;text-align:left;margin-left:170.9pt;margin-top:7.4pt;width:151.15pt;height:34.2pt;z-index:251717120" filled="f" stroked="f">
          <v:textbox style="mso-next-textbox:#_x0000_s3526">
            <w:txbxContent>
              <w:p w:rsidR="00035BE3" w:rsidRPr="00AD6D39" w:rsidRDefault="00035BE3" w:rsidP="00C10469">
                <w:pPr>
                  <w:ind w:firstLine="0"/>
                  <w:rPr>
                    <w:rFonts w:cs="AL-Mateen"/>
                    <w:sz w:val="24"/>
                    <w:szCs w:val="24"/>
                    <w:rtl/>
                  </w:rPr>
                </w:pPr>
                <w:r w:rsidRPr="00AD6D39">
                  <w:rPr>
                    <w:rFonts w:cs="AL-Mateen" w:hint="cs"/>
                    <w:sz w:val="24"/>
                    <w:szCs w:val="24"/>
                    <w:rtl/>
                  </w:rPr>
                  <w:t>ق146 :  شَرْطُ الوَاقِفِ كَنَصِّ الشَّارِعِ.</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25" type="#_x0000_t202" style="position:absolute;left:0;text-align:left;margin-left:324.8pt;margin-top:3.4pt;width:99.75pt;height:31.35pt;z-index:251716096" filled="f" stroked="f">
          <v:textbox style="mso-next-textbox:#_x0000_s35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27" type="#_x0000_t75" style="position:absolute;left:0;text-align:left;margin-left:62.55pt;margin-top:.55pt;width:359.1pt;height:44.85pt;z-index:-251598336;mso-wrap-edited:f" wrapcoords="709 4393 473 10251 709 16108 709 16841 20851 16841 20891 16108 21088 10251 20851 4393 709 4393">
          <v:imagedata r:id="rId2" o:title="haut"/>
          <w10:wrap anchorx="page"/>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769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32" type="#_x0000_t75" style="position:absolute;left:0;text-align:left;margin-left:-11.8pt;margin-top:-4.3pt;width:91.2pt;height:56.1pt;z-index:2517232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30" type="#_x0000_t202" style="position:absolute;left:0;text-align:left;margin-left:170.9pt;margin-top:7.4pt;width:151.15pt;height:34.2pt;z-index:251721216" filled="f" stroked="f">
          <v:textbox style="mso-next-textbox:#_x0000_s3530">
            <w:txbxContent>
              <w:p w:rsidR="00035BE3" w:rsidRPr="00AD6D39" w:rsidRDefault="00035BE3" w:rsidP="00C10469">
                <w:pPr>
                  <w:ind w:firstLine="0"/>
                  <w:rPr>
                    <w:rFonts w:cs="AL-Mateen"/>
                    <w:sz w:val="24"/>
                    <w:szCs w:val="24"/>
                    <w:rtl/>
                  </w:rPr>
                </w:pPr>
                <w:r w:rsidRPr="00DC4474">
                  <w:rPr>
                    <w:rFonts w:cs="AL-Mateen" w:hint="cs"/>
                    <w:sz w:val="24"/>
                    <w:szCs w:val="24"/>
                    <w:rtl/>
                  </w:rPr>
                  <w:t>ق147 : شَرْطُ وُجُودِ الشَّيءِ لاَ يَجِبُ أَنْ يَكُونَ بِجَميعِ أَجْزَائِهِ .</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29" type="#_x0000_t202" style="position:absolute;left:0;text-align:left;margin-left:324.8pt;margin-top:3.4pt;width:99.75pt;height:31.35pt;z-index:251720192" filled="f" stroked="f">
          <v:textbox style="mso-next-textbox:#_x0000_s35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31" type="#_x0000_t75" style="position:absolute;left:0;text-align:left;margin-left:62.55pt;margin-top:.55pt;width:359.1pt;height:44.85pt;z-index:-251594240;mso-wrap-edited:f" wrapcoords="709 4393 473 10251 709 16108 709 16841 20851 16841 20891 16108 21088 10251 20851 4393 709 4393">
          <v:imagedata r:id="rId2" o:title="haut"/>
          <w10:wrap anchorx="page"/>
        </v:shape>
      </w:pic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771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36" type="#_x0000_t75" style="position:absolute;left:0;text-align:left;margin-left:-11.8pt;margin-top:-4.3pt;width:91.2pt;height:56.1pt;z-index:2517273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34" type="#_x0000_t202" style="position:absolute;left:0;text-align:left;margin-left:170.9pt;margin-top:7.4pt;width:151.15pt;height:34.2pt;z-index:251725312" filled="f" stroked="f">
          <v:textbox style="mso-next-textbox:#_x0000_s3534">
            <w:txbxContent>
              <w:p w:rsidR="00035BE3" w:rsidRPr="00AD6D39" w:rsidRDefault="00035BE3" w:rsidP="00C10469">
                <w:pPr>
                  <w:ind w:firstLine="0"/>
                  <w:rPr>
                    <w:rFonts w:cs="AL-Mateen"/>
                    <w:sz w:val="24"/>
                    <w:szCs w:val="24"/>
                    <w:rtl/>
                  </w:rPr>
                </w:pPr>
                <w:r w:rsidRPr="00BB6B10">
                  <w:rPr>
                    <w:rFonts w:cs="AL-Mateen" w:hint="cs"/>
                    <w:sz w:val="24"/>
                    <w:szCs w:val="24"/>
                    <w:rtl/>
                  </w:rPr>
                  <w:t>ق148 :  الشَّهَادَةُ إذَا بَطَلَتْ فِي البَعْضِ بَطَلَتْ في الكُلِّ.</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33" type="#_x0000_t202" style="position:absolute;left:0;text-align:left;margin-left:324.8pt;margin-top:3.4pt;width:99.75pt;height:31.35pt;z-index:251724288" filled="f" stroked="f">
          <v:textbox style="mso-next-textbox:#_x0000_s35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35" type="#_x0000_t75" style="position:absolute;left:0;text-align:left;margin-left:62.55pt;margin-top:.55pt;width:359.1pt;height:44.85pt;z-index:-251590144;mso-wrap-edited:f" wrapcoords="709 4393 473 10251 709 16108 709 16841 20851 16841 20891 16108 21088 10251 20851 4393 709 4393">
          <v:imagedata r:id="rId2" o:title="haut"/>
          <w10:wrap anchorx="page"/>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773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 type="#_x0000_t75" style="position:absolute;left:0;text-align:left;margin-left:-11.8pt;margin-top:-4.3pt;width:91.2pt;height:56.1pt;z-index:2517314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38" type="#_x0000_t202" style="position:absolute;left:0;text-align:left;margin-left:170.9pt;margin-top:7.4pt;width:151.15pt;height:34.2pt;z-index:251729408" filled="f" stroked="f">
          <v:textbox style="mso-next-textbox:#_x0000_s3538">
            <w:txbxContent>
              <w:p w:rsidR="00035BE3" w:rsidRPr="00AD6D39" w:rsidRDefault="00035BE3" w:rsidP="00C10469">
                <w:pPr>
                  <w:ind w:firstLine="0"/>
                  <w:rPr>
                    <w:rFonts w:cs="AL-Mateen"/>
                    <w:sz w:val="24"/>
                    <w:szCs w:val="24"/>
                    <w:rtl/>
                  </w:rPr>
                </w:pPr>
                <w:r w:rsidRPr="0022468F">
                  <w:rPr>
                    <w:rFonts w:cs="AL-Mateen" w:hint="cs"/>
                    <w:sz w:val="24"/>
                    <w:szCs w:val="24"/>
                    <w:rtl/>
                  </w:rPr>
                  <w:t>ق149 :  الشَّهَادَةُ بِالمَجْهُولِ غَيْرُ صَحِيحَةٍ.</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37" type="#_x0000_t202" style="position:absolute;left:0;text-align:left;margin-left:324.8pt;margin-top:3.4pt;width:99.75pt;height:31.35pt;z-index:251728384" filled="f" stroked="f">
          <v:textbox style="mso-next-textbox:#_x0000_s35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39" type="#_x0000_t75" style="position:absolute;left:0;text-align:left;margin-left:62.55pt;margin-top:.55pt;width:359.1pt;height:44.85pt;z-index:-251586048;mso-wrap-edited:f" wrapcoords="709 4393 473 10251 709 16108 709 16841 20851 16841 20891 16108 21088 10251 20851 4393 709 4393">
          <v:imagedata r:id="rId2" o:title="haut"/>
          <w10:wrap anchorx="page"/>
        </v:shape>
      </w:pic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774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4" type="#_x0000_t75" style="position:absolute;left:0;text-align:left;margin-left:-11.8pt;margin-top:-4.3pt;width:91.2pt;height:56.1pt;z-index:2517355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42" type="#_x0000_t202" style="position:absolute;left:0;text-align:left;margin-left:170.9pt;margin-top:7.4pt;width:151.15pt;height:34.2pt;z-index:251733504" filled="f" stroked="f">
          <v:textbox style="mso-next-textbox:#_x0000_s3542">
            <w:txbxContent>
              <w:p w:rsidR="00035BE3" w:rsidRPr="008817C5" w:rsidRDefault="00035BE3" w:rsidP="00C10469">
                <w:pPr>
                  <w:ind w:firstLine="0"/>
                  <w:rPr>
                    <w:rFonts w:cs="AL-Mateen"/>
                    <w:sz w:val="23"/>
                    <w:szCs w:val="23"/>
                    <w:rtl/>
                  </w:rPr>
                </w:pPr>
                <w:r w:rsidRPr="008817C5">
                  <w:rPr>
                    <w:rFonts w:cs="AL-Mateen" w:hint="cs"/>
                    <w:sz w:val="23"/>
                    <w:szCs w:val="23"/>
                    <w:rtl/>
                  </w:rPr>
                  <w:t>ق150 :  شَهَادَةٌ قَاصِرَةٌ يُتمها غَيْرُهُمْ : تُقْبَلُ.</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41" type="#_x0000_t202" style="position:absolute;left:0;text-align:left;margin-left:324.8pt;margin-top:3.4pt;width:99.75pt;height:31.35pt;z-index:251732480" filled="f" stroked="f">
          <v:textbox style="mso-next-textbox:#_x0000_s35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43" type="#_x0000_t75" style="position:absolute;left:0;text-align:left;margin-left:62.55pt;margin-top:.55pt;width:359.1pt;height:44.85pt;z-index:-251581952;mso-wrap-edited:f" wrapcoords="709 4393 473 10251 709 16108 709 16841 20851 16841 20891 16108 21088 10251 20851 4393 709 4393">
          <v:imagedata r:id="rId2" o:title="haut"/>
          <w10:wrap anchorx="page"/>
        </v:shape>
      </w:pic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776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8" type="#_x0000_t75" style="position:absolute;left:0;text-align:left;margin-left:-11.8pt;margin-top:-4.3pt;width:91.2pt;height:56.1pt;z-index:2517396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46" type="#_x0000_t202" style="position:absolute;left:0;text-align:left;margin-left:170.9pt;margin-top:7.4pt;width:151.15pt;height:34.2pt;z-index:251737600" filled="f" stroked="f">
          <v:textbox style="mso-next-textbox:#_x0000_s3546">
            <w:txbxContent>
              <w:p w:rsidR="00035BE3" w:rsidRPr="002E7A9C" w:rsidRDefault="00035BE3" w:rsidP="00C10469">
                <w:pPr>
                  <w:ind w:firstLine="0"/>
                  <w:rPr>
                    <w:rFonts w:cs="AL-Mateen"/>
                    <w:sz w:val="24"/>
                    <w:szCs w:val="24"/>
                    <w:rtl/>
                  </w:rPr>
                </w:pPr>
                <w:r w:rsidRPr="002E7A9C">
                  <w:rPr>
                    <w:rFonts w:cs="AL-Mateen" w:hint="cs"/>
                    <w:sz w:val="24"/>
                    <w:szCs w:val="24"/>
                    <w:rtl/>
                  </w:rPr>
                  <w:t>ق151 :  الشَّيُء إِذَا ثَبَتَ ثَبَتَ بِجَميعِ لَوَازِمِهِ.</w:t>
                </w:r>
              </w:p>
              <w:p w:rsidR="00035BE3" w:rsidRPr="008817C5"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45" type="#_x0000_t202" style="position:absolute;left:0;text-align:left;margin-left:324.8pt;margin-top:3.4pt;width:99.75pt;height:31.35pt;z-index:251736576" filled="f" stroked="f">
          <v:textbox style="mso-next-textbox:#_x0000_s35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47" type="#_x0000_t75" style="position:absolute;left:0;text-align:left;margin-left:62.55pt;margin-top:.55pt;width:359.1pt;height:44.85pt;z-index:-251577856;mso-wrap-edited:f" wrapcoords="709 4393 473 10251 709 16108 709 16841 20851 16841 20891 16108 21088 10251 20851 4393 709 4393">
          <v:imagedata r:id="rId2" o:title="haut"/>
          <w10:wrap anchorx="page"/>
        </v:shape>
      </w:pict>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781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52" type="#_x0000_t75" style="position:absolute;left:0;text-align:left;margin-left:-11.8pt;margin-top:-4.3pt;width:91.2pt;height:56.1pt;z-index:2517437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50" type="#_x0000_t202" style="position:absolute;left:0;text-align:left;margin-left:170.9pt;margin-top:7.4pt;width:151.15pt;height:34.2pt;z-index:251741696" filled="f" stroked="f">
          <v:textbox style="mso-next-textbox:#_x0000_s3550">
            <w:txbxContent>
              <w:p w:rsidR="00035BE3" w:rsidRPr="002E7A9C" w:rsidRDefault="00035BE3" w:rsidP="00C10469">
                <w:pPr>
                  <w:ind w:firstLine="0"/>
                  <w:rPr>
                    <w:rFonts w:cs="AL-Mateen"/>
                    <w:sz w:val="24"/>
                    <w:szCs w:val="24"/>
                    <w:rtl/>
                  </w:rPr>
                </w:pPr>
                <w:r w:rsidRPr="006E5F39">
                  <w:rPr>
                    <w:rFonts w:cs="AL-Mateen" w:hint="cs"/>
                    <w:sz w:val="24"/>
                    <w:szCs w:val="24"/>
                    <w:rtl/>
                  </w:rPr>
                  <w:t>ق152 : الشَّيءُ إِنَّمَا يُلْحَقُ بِغَيْرِهِ إِذَا تَسَاوَيَا مِنْ جَمِيعِ الوُجُوهِ.</w:t>
                </w:r>
              </w:p>
              <w:p w:rsidR="00035BE3" w:rsidRPr="008817C5"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49" type="#_x0000_t202" style="position:absolute;left:0;text-align:left;margin-left:324.8pt;margin-top:3.4pt;width:99.75pt;height:31.35pt;z-index:251740672" filled="f" stroked="f">
          <v:textbox style="mso-next-textbox:#_x0000_s35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51" type="#_x0000_t75" style="position:absolute;left:0;text-align:left;margin-left:62.55pt;margin-top:.55pt;width:359.1pt;height:44.85pt;z-index:-251573760;mso-wrap-edited:f" wrapcoords="709 4393 473 10251 709 16108 709 16841 20851 16841 20891 16108 21088 10251 20851 4393 709 4393">
          <v:imagedata r:id="rId2" o:title="haut"/>
          <w10:wrap anchorx="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265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72" type="#_x0000_t75" style="position:absolute;left:0;text-align:left;margin-left:-10.95pt;margin-top:-3.85pt;width:91.2pt;height:56.1pt;z-index:2511539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2970" type="#_x0000_t202" style="position:absolute;left:0;text-align:left;margin-left:150.85pt;margin-top:8.25pt;width:168.25pt;height:34.2pt;z-index:251151872" filled="f" stroked="f">
          <v:textbox style="mso-next-textbox:#_x0000_s2970">
            <w:txbxContent>
              <w:p w:rsidR="00035BE3" w:rsidRPr="00DC1BA9" w:rsidRDefault="00035BE3">
                <w:pPr>
                  <w:ind w:firstLine="0"/>
                  <w:rPr>
                    <w:rFonts w:cs="AL-Mateen"/>
                    <w:sz w:val="24"/>
                    <w:szCs w:val="24"/>
                    <w:rtl/>
                  </w:rPr>
                </w:pPr>
                <w:r w:rsidRPr="00DC1BA9">
                  <w:rPr>
                    <w:rFonts w:cs="AL-Mateen" w:hint="cs"/>
                    <w:sz w:val="24"/>
                    <w:szCs w:val="24"/>
                    <w:rtl/>
                  </w:rPr>
                  <w:t>ق7 :  الأجرُ والضَّمَانُ لا يَجْتَمِعَانِ.</w:t>
                </w:r>
              </w:p>
            </w:txbxContent>
          </v:textbox>
          <w10:wrap anchorx="page"/>
        </v:shape>
      </w:pict>
    </w:r>
    <w:r>
      <w:rPr>
        <w:noProof/>
        <w:rtl/>
        <w:lang w:val="en-US"/>
      </w:rPr>
      <w:pict>
        <v:shape id="_x0000_s2969" type="#_x0000_t202" style="position:absolute;left:0;text-align:left;margin-left:317.1pt;margin-top:4.55pt;width:99.75pt;height:31.35pt;z-index:251150848" filled="f" stroked="f">
          <v:textbox style="mso-next-textbox:#_x0000_s2969">
            <w:txbxContent>
              <w:p w:rsidR="00035BE3" w:rsidRPr="00DC1BA9" w:rsidRDefault="00035BE3">
                <w:pPr>
                  <w:ind w:firstLine="0"/>
                  <w:jc w:val="center"/>
                  <w:rPr>
                    <w:rFonts w:cs="AL-Mateen"/>
                    <w:sz w:val="28"/>
                    <w:szCs w:val="28"/>
                    <w:rtl/>
                  </w:rPr>
                </w:pPr>
                <w:r w:rsidRPr="00DC1BA9">
                  <w:rPr>
                    <w:rFonts w:cs="AL-Mateen" w:hint="cs"/>
                    <w:sz w:val="28"/>
                    <w:szCs w:val="28"/>
                    <w:rtl/>
                  </w:rPr>
                  <w:t>ترتيب اللآلي</w:t>
                </w:r>
              </w:p>
            </w:txbxContent>
          </v:textbox>
          <w10:wrap anchorx="page"/>
        </v:shape>
      </w:pict>
    </w:r>
    <w:r>
      <w:rPr>
        <w:noProof/>
        <w:rtl/>
        <w:lang w:val="en-US"/>
      </w:rPr>
      <w:pict>
        <v:shape id="_x0000_s2971" type="#_x0000_t75" style="position:absolute;left:0;text-align:left;margin-left:63.4pt;margin-top:.85pt;width:359.1pt;height:44.85pt;z-index:-252163584;mso-wrap-edited:f" wrapcoords="709 4393 473 10251 709 16108 709 16841 20851 16841 20891 16108 21088 10251 20851 4393 709 4393">
          <v:imagedata r:id="rId2" o:title="haut"/>
          <w10:wrap anchorx="page"/>
        </v:shape>
      </w:pic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785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56" type="#_x0000_t75" style="position:absolute;left:0;text-align:left;margin-left:-11.8pt;margin-top:-4.3pt;width:91.2pt;height:56.1pt;z-index:2517478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54" type="#_x0000_t202" style="position:absolute;left:0;text-align:left;margin-left:170.9pt;margin-top:7.4pt;width:151.15pt;height:34.2pt;z-index:251745792" filled="f" stroked="f">
          <v:textbox style="mso-next-textbox:#_x0000_s3554">
            <w:txbxContent>
              <w:p w:rsidR="00035BE3" w:rsidRPr="008C48DC" w:rsidRDefault="00035BE3" w:rsidP="00C10469">
                <w:pPr>
                  <w:ind w:firstLine="0"/>
                  <w:rPr>
                    <w:rFonts w:cs="AL-Mateen"/>
                    <w:sz w:val="24"/>
                    <w:szCs w:val="24"/>
                    <w:rtl/>
                  </w:rPr>
                </w:pPr>
                <w:r w:rsidRPr="008C48DC">
                  <w:rPr>
                    <w:rFonts w:cs="AL-Mateen" w:hint="cs"/>
                    <w:sz w:val="24"/>
                    <w:szCs w:val="24"/>
                    <w:rtl/>
                  </w:rPr>
                  <w:t>ق153 :  الصَّرِيْحُ يُفَوِّتُ الدَّلاَلَةَ.</w:t>
                </w:r>
              </w:p>
              <w:p w:rsidR="00035BE3" w:rsidRPr="002E7A9C" w:rsidRDefault="00035BE3" w:rsidP="00C10469">
                <w:pPr>
                  <w:ind w:firstLine="0"/>
                  <w:rPr>
                    <w:rFonts w:cs="AL-Mateen"/>
                    <w:sz w:val="24"/>
                    <w:szCs w:val="24"/>
                    <w:rtl/>
                  </w:rPr>
                </w:pPr>
              </w:p>
              <w:p w:rsidR="00035BE3" w:rsidRPr="008817C5"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53" type="#_x0000_t202" style="position:absolute;left:0;text-align:left;margin-left:324.8pt;margin-top:3.4pt;width:99.75pt;height:31.35pt;z-index:251744768" filled="f" stroked="f">
          <v:textbox style="mso-next-textbox:#_x0000_s35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55" type="#_x0000_t75" style="position:absolute;left:0;text-align:left;margin-left:62.55pt;margin-top:.55pt;width:359.1pt;height:44.85pt;z-index:-251569664;mso-wrap-edited:f" wrapcoords="709 4393 473 10251 709 16108 709 16841 20851 16841 20891 16108 21088 10251 20851 4393 709 4393">
          <v:imagedata r:id="rId2" o:title="haut"/>
          <w10:wrap anchorx="page"/>
        </v:shape>
      </w:pic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794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60" type="#_x0000_t75" style="position:absolute;left:0;text-align:left;margin-left:-11.8pt;margin-top:-4.3pt;width:91.2pt;height:56.1pt;z-index:2517519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58" type="#_x0000_t202" style="position:absolute;left:0;text-align:left;margin-left:170.9pt;margin-top:7.4pt;width:151.15pt;height:34.2pt;z-index:251749888" filled="f" stroked="f">
          <v:textbox style="mso-next-textbox:#_x0000_s3558">
            <w:txbxContent>
              <w:p w:rsidR="00035BE3" w:rsidRPr="00C019AA" w:rsidRDefault="00035BE3" w:rsidP="00C10469">
                <w:pPr>
                  <w:ind w:firstLine="0"/>
                  <w:rPr>
                    <w:rFonts w:cs="AL-Mateen"/>
                    <w:sz w:val="24"/>
                    <w:szCs w:val="24"/>
                    <w:rtl/>
                  </w:rPr>
                </w:pPr>
                <w:r w:rsidRPr="009C57AA">
                  <w:rPr>
                    <w:rFonts w:cs="AL-Mateen" w:hint="cs"/>
                    <w:sz w:val="24"/>
                    <w:szCs w:val="24"/>
                    <w:rtl/>
                  </w:rPr>
                  <w:t>ق154 :  صِحَّةُ الحَلِفِ غَيْرُ مُفَارِقَةٍ عَنْ صِحَّةِ الإِقْرَارِ، وَعَدَمُهَا .</w:t>
                </w:r>
              </w:p>
            </w:txbxContent>
          </v:textbox>
          <w10:wrap anchorx="page"/>
        </v:shape>
      </w:pict>
    </w:r>
    <w:r>
      <w:rPr>
        <w:noProof/>
        <w:rtl/>
        <w:lang w:val="en-US"/>
      </w:rPr>
      <w:pict>
        <v:shape id="_x0000_s3557" type="#_x0000_t202" style="position:absolute;left:0;text-align:left;margin-left:324.8pt;margin-top:3.4pt;width:99.75pt;height:31.35pt;z-index:251748864" filled="f" stroked="f">
          <v:textbox style="mso-next-textbox:#_x0000_s35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59" type="#_x0000_t75" style="position:absolute;left:0;text-align:left;margin-left:62.55pt;margin-top:.55pt;width:359.1pt;height:44.85pt;z-index:-251565568;mso-wrap-edited:f" wrapcoords="709 4393 473 10251 709 16108 709 16841 20851 16841 20891 16108 21088 10251 20851 4393 709 4393">
          <v:imagedata r:id="rId2" o:title="haut"/>
          <w10:wrap anchorx="page"/>
        </v:shape>
      </w:pic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797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64" type="#_x0000_t75" style="position:absolute;left:0;text-align:left;margin-left:-11.8pt;margin-top:-4.3pt;width:91.2pt;height:56.1pt;z-index:2517560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62" type="#_x0000_t202" style="position:absolute;left:0;text-align:left;margin-left:170.9pt;margin-top:7.4pt;width:151.15pt;height:34.2pt;z-index:251753984" filled="f" stroked="f">
          <v:textbox style="mso-next-textbox:#_x0000_s3562">
            <w:txbxContent>
              <w:p w:rsidR="00035BE3" w:rsidRPr="00396D8C" w:rsidRDefault="00035BE3" w:rsidP="00C10469">
                <w:pPr>
                  <w:ind w:firstLine="0"/>
                  <w:rPr>
                    <w:rFonts w:cs="AL-Mateen"/>
                    <w:sz w:val="24"/>
                    <w:szCs w:val="24"/>
                    <w:rtl/>
                  </w:rPr>
                </w:pPr>
                <w:r w:rsidRPr="00396D8C">
                  <w:rPr>
                    <w:rFonts w:cs="AL-Mateen" w:hint="cs"/>
                    <w:sz w:val="24"/>
                    <w:szCs w:val="24"/>
                    <w:rtl/>
                  </w:rPr>
                  <w:t>ق155 :  الضَّرَرُ يُزَالُ.</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61" type="#_x0000_t202" style="position:absolute;left:0;text-align:left;margin-left:324.8pt;margin-top:3.4pt;width:99.75pt;height:31.35pt;z-index:251752960" filled="f" stroked="f">
          <v:textbox style="mso-next-textbox:#_x0000_s35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63" type="#_x0000_t75" style="position:absolute;left:0;text-align:left;margin-left:62.55pt;margin-top:.55pt;width:359.1pt;height:44.85pt;z-index:-251561472;mso-wrap-edited:f" wrapcoords="709 4393 473 10251 709 16108 709 16841 20851 16841 20891 16108 21088 10251 20851 4393 709 4393">
          <v:imagedata r:id="rId2" o:title="haut"/>
          <w10:wrap anchorx="page"/>
        </v:shape>
      </w:pic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800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68" type="#_x0000_t75" style="position:absolute;left:0;text-align:left;margin-left:-11.8pt;margin-top:-4.3pt;width:91.2pt;height:56.1pt;z-index:2517601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66" type="#_x0000_t202" style="position:absolute;left:0;text-align:left;margin-left:170.9pt;margin-top:7.4pt;width:151.15pt;height:34.2pt;z-index:251758080" filled="f" stroked="f">
          <v:textbox style="mso-next-textbox:#_x0000_s3566">
            <w:txbxContent>
              <w:p w:rsidR="00035BE3" w:rsidRPr="005B750F" w:rsidRDefault="00035BE3" w:rsidP="00C10469">
                <w:pPr>
                  <w:ind w:firstLine="0"/>
                  <w:rPr>
                    <w:rFonts w:cs="AL-Mateen"/>
                    <w:sz w:val="24"/>
                    <w:szCs w:val="24"/>
                    <w:rtl/>
                  </w:rPr>
                </w:pPr>
                <w:r w:rsidRPr="005B750F">
                  <w:rPr>
                    <w:rFonts w:cs="AL-Mateen" w:hint="cs"/>
                    <w:sz w:val="24"/>
                    <w:szCs w:val="24"/>
                    <w:rtl/>
                  </w:rPr>
                  <w:t>ق156 :  الضَّرُورَاتُ تُبِيحُ المَحْظُورَاتِ.</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65" type="#_x0000_t202" style="position:absolute;left:0;text-align:left;margin-left:324.8pt;margin-top:3.4pt;width:99.75pt;height:31.35pt;z-index:251757056" filled="f" stroked="f">
          <v:textbox style="mso-next-textbox:#_x0000_s35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67" type="#_x0000_t75" style="position:absolute;left:0;text-align:left;margin-left:62.55pt;margin-top:.55pt;width:359.1pt;height:44.85pt;z-index:-251557376;mso-wrap-edited:f" wrapcoords="709 4393 473 10251 709 16108 709 16841 20851 16841 20891 16108 21088 10251 20851 4393 709 4393">
          <v:imagedata r:id="rId2" o:title="haut"/>
          <w10:wrap anchorx="page"/>
        </v:shape>
      </w:pic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803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72" type="#_x0000_t75" style="position:absolute;left:0;text-align:left;margin-left:-11.8pt;margin-top:-4.3pt;width:91.2pt;height:56.1pt;z-index:2517642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70" type="#_x0000_t202" style="position:absolute;left:0;text-align:left;margin-left:170.9pt;margin-top:7.4pt;width:151.15pt;height:34.2pt;z-index:251762176" filled="f" stroked="f">
          <v:textbox style="mso-next-textbox:#_x0000_s3570">
            <w:txbxContent>
              <w:p w:rsidR="00035BE3" w:rsidRPr="005B750F" w:rsidRDefault="00035BE3" w:rsidP="00C10469">
                <w:pPr>
                  <w:ind w:firstLine="0"/>
                  <w:rPr>
                    <w:rFonts w:cs="AL-Mateen"/>
                    <w:sz w:val="24"/>
                    <w:szCs w:val="24"/>
                    <w:rtl/>
                  </w:rPr>
                </w:pPr>
                <w:r w:rsidRPr="005828D2">
                  <w:rPr>
                    <w:rFonts w:cs="AL-Mateen" w:hint="cs"/>
                    <w:sz w:val="24"/>
                    <w:szCs w:val="24"/>
                    <w:rtl/>
                  </w:rPr>
                  <w:t>ق157 :  الضَّرَرُ لا يُزالُ بالضَّرَرِ.</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69" type="#_x0000_t202" style="position:absolute;left:0;text-align:left;margin-left:324.8pt;margin-top:3.4pt;width:99.75pt;height:31.35pt;z-index:251761152" filled="f" stroked="f">
          <v:textbox style="mso-next-textbox:#_x0000_s35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71" type="#_x0000_t75" style="position:absolute;left:0;text-align:left;margin-left:62.55pt;margin-top:.55pt;width:359.1pt;height:44.85pt;z-index:-251553280;mso-wrap-edited:f" wrapcoords="709 4393 473 10251 709 16108 709 16841 20851 16841 20891 16108 21088 10251 20851 4393 709 4393">
          <v:imagedata r:id="rId2" o:title="haut"/>
          <w10:wrap anchorx="page"/>
        </v:shape>
      </w:pic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805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76" type="#_x0000_t75" style="position:absolute;left:0;text-align:left;margin-left:-11.8pt;margin-top:-4.3pt;width:91.2pt;height:56.1pt;z-index:2517683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74" type="#_x0000_t202" style="position:absolute;left:0;text-align:left;margin-left:170.9pt;margin-top:7.4pt;width:151.15pt;height:34.2pt;z-index:251766272" filled="f" stroked="f">
          <v:textbox style="mso-next-textbox:#_x0000_s3574">
            <w:txbxContent>
              <w:p w:rsidR="00035BE3" w:rsidRPr="00C019AA" w:rsidRDefault="00035BE3" w:rsidP="00C10469">
                <w:pPr>
                  <w:ind w:firstLine="0"/>
                  <w:rPr>
                    <w:rFonts w:cs="AL-Mateen"/>
                    <w:sz w:val="24"/>
                    <w:szCs w:val="24"/>
                    <w:rtl/>
                  </w:rPr>
                </w:pPr>
                <w:r w:rsidRPr="00025A21">
                  <w:rPr>
                    <w:rFonts w:cs="AL-Mateen" w:hint="cs"/>
                    <w:sz w:val="24"/>
                    <w:szCs w:val="24"/>
                    <w:rtl/>
                  </w:rPr>
                  <w:t>ق158 :  الضَّرَرُ مَدْفُوعٌ بِقَدْرِ الإمْكَان.</w:t>
                </w:r>
              </w:p>
            </w:txbxContent>
          </v:textbox>
          <w10:wrap anchorx="page"/>
        </v:shape>
      </w:pict>
    </w:r>
    <w:r>
      <w:rPr>
        <w:noProof/>
        <w:rtl/>
        <w:lang w:val="en-US"/>
      </w:rPr>
      <w:pict>
        <v:shape id="_x0000_s3573" type="#_x0000_t202" style="position:absolute;left:0;text-align:left;margin-left:324.8pt;margin-top:3.4pt;width:99.75pt;height:31.35pt;z-index:251765248" filled="f" stroked="f">
          <v:textbox style="mso-next-textbox:#_x0000_s35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75" type="#_x0000_t75" style="position:absolute;left:0;text-align:left;margin-left:62.55pt;margin-top:.55pt;width:359.1pt;height:44.85pt;z-index:-251549184;mso-wrap-edited:f" wrapcoords="709 4393 473 10251 709 16108 709 16841 20851 16841 20891 16108 21088 10251 20851 4393 709 4393">
          <v:imagedata r:id="rId2" o:title="haut"/>
          <w10:wrap anchorx="page"/>
        </v:shape>
      </w:pic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807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80" type="#_x0000_t75" style="position:absolute;left:0;text-align:left;margin-left:-11.8pt;margin-top:-4.3pt;width:91.2pt;height:56.1pt;z-index:2517724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78" type="#_x0000_t202" style="position:absolute;left:0;text-align:left;margin-left:170.9pt;margin-top:7.4pt;width:151.15pt;height:34.2pt;z-index:251770368" filled="f" stroked="f">
          <v:textbox style="mso-next-textbox:#_x0000_s3578">
            <w:txbxContent>
              <w:p w:rsidR="00035BE3" w:rsidRPr="00C019AA" w:rsidRDefault="00035BE3" w:rsidP="00C10469">
                <w:pPr>
                  <w:ind w:firstLine="0"/>
                  <w:rPr>
                    <w:rFonts w:cs="AL-Mateen"/>
                    <w:sz w:val="24"/>
                    <w:szCs w:val="24"/>
                    <w:rtl/>
                  </w:rPr>
                </w:pPr>
                <w:r w:rsidRPr="004E6C70">
                  <w:rPr>
                    <w:rFonts w:cs="AL-Mateen" w:hint="cs"/>
                    <w:sz w:val="24"/>
                    <w:szCs w:val="24"/>
                    <w:rtl/>
                    <w:lang w:bidi="ar-AE"/>
                  </w:rPr>
                  <w:t>ق159 : الضَّمَانُ بالتغْريرِ مَخْصُوصُ بِالمُعَاوَضَاتِ.</w:t>
                </w:r>
              </w:p>
            </w:txbxContent>
          </v:textbox>
          <w10:wrap anchorx="page"/>
        </v:shape>
      </w:pict>
    </w:r>
    <w:r>
      <w:rPr>
        <w:noProof/>
        <w:rtl/>
        <w:lang w:val="en-US"/>
      </w:rPr>
      <w:pict>
        <v:shape id="_x0000_s3577" type="#_x0000_t202" style="position:absolute;left:0;text-align:left;margin-left:324.8pt;margin-top:3.4pt;width:99.75pt;height:31.35pt;z-index:251769344" filled="f" stroked="f">
          <v:textbox style="mso-next-textbox:#_x0000_s35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79" type="#_x0000_t75" style="position:absolute;left:0;text-align:left;margin-left:62.55pt;margin-top:.55pt;width:359.1pt;height:44.85pt;z-index:-251545088;mso-wrap-edited:f" wrapcoords="709 4393 473 10251 709 16108 709 16841 20851 16841 20891 16108 21088 10251 20851 4393 709 4393">
          <v:imagedata r:id="rId2" o:title="haut"/>
          <w10:wrap anchorx="page"/>
        </v:shape>
      </w:pic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809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84" type="#_x0000_t75" style="position:absolute;left:0;text-align:left;margin-left:-11.8pt;margin-top:-4.3pt;width:91.2pt;height:56.1pt;z-index:2517765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82" type="#_x0000_t202" style="position:absolute;left:0;text-align:left;margin-left:170.9pt;margin-top:7.4pt;width:151.15pt;height:34.2pt;z-index:251774464" filled="f" stroked="f">
          <v:textbox style="mso-next-textbox:#_x0000_s3582">
            <w:txbxContent>
              <w:p w:rsidR="00035BE3" w:rsidRPr="00C019AA" w:rsidRDefault="00035BE3" w:rsidP="00C10469">
                <w:pPr>
                  <w:ind w:firstLine="0"/>
                  <w:rPr>
                    <w:rFonts w:cs="AL-Mateen"/>
                    <w:sz w:val="24"/>
                    <w:szCs w:val="24"/>
                    <w:rtl/>
                  </w:rPr>
                </w:pPr>
                <w:r w:rsidRPr="00DB2DC2">
                  <w:rPr>
                    <w:rFonts w:cs="AL-Mateen" w:hint="cs"/>
                    <w:sz w:val="24"/>
                    <w:szCs w:val="24"/>
                    <w:rtl/>
                  </w:rPr>
                  <w:t>ق160 : طَرَفي التَّرْجِيحِ إذا تَعَارَضَا كانَ الرُّجْحَانُ في الذَّاتِ .</w:t>
                </w:r>
              </w:p>
            </w:txbxContent>
          </v:textbox>
          <w10:wrap anchorx="page"/>
        </v:shape>
      </w:pict>
    </w:r>
    <w:r>
      <w:rPr>
        <w:noProof/>
        <w:rtl/>
        <w:lang w:val="en-US"/>
      </w:rPr>
      <w:pict>
        <v:shape id="_x0000_s3581" type="#_x0000_t202" style="position:absolute;left:0;text-align:left;margin-left:324.8pt;margin-top:3.4pt;width:99.75pt;height:31.35pt;z-index:251773440" filled="f" stroked="f">
          <v:textbox style="mso-next-textbox:#_x0000_s35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83" type="#_x0000_t75" style="position:absolute;left:0;text-align:left;margin-left:62.55pt;margin-top:.55pt;width:359.1pt;height:44.85pt;z-index:-251540992;mso-wrap-edited:f" wrapcoords="709 4393 473 10251 709 16108 709 16841 20851 16841 20891 16108 21088 10251 20851 4393 709 4393">
          <v:imagedata r:id="rId2" o:title="haut"/>
          <w10:wrap anchorx="page"/>
        </v:shape>
      </w:pic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815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88" type="#_x0000_t75" style="position:absolute;left:0;text-align:left;margin-left:-11.8pt;margin-top:-4.3pt;width:91.2pt;height:56.1pt;z-index:2517806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86" type="#_x0000_t202" style="position:absolute;left:0;text-align:left;margin-left:170.9pt;margin-top:7.4pt;width:151.15pt;height:34.2pt;z-index:251778560" filled="f" stroked="f">
          <v:textbox style="mso-next-textbox:#_x0000_s3586">
            <w:txbxContent>
              <w:p w:rsidR="00035BE3" w:rsidRPr="006E12A1" w:rsidRDefault="00035BE3" w:rsidP="00C10469">
                <w:pPr>
                  <w:ind w:firstLine="0"/>
                  <w:rPr>
                    <w:rFonts w:cs="AL-Mateen"/>
                    <w:sz w:val="24"/>
                    <w:szCs w:val="24"/>
                    <w:rtl/>
                  </w:rPr>
                </w:pPr>
                <w:r w:rsidRPr="006E12A1">
                  <w:rPr>
                    <w:rFonts w:cs="AL-Mateen" w:hint="cs"/>
                    <w:sz w:val="24"/>
                    <w:szCs w:val="24"/>
                    <w:rtl/>
                  </w:rPr>
                  <w:t>ق161 :  العَادَةُ مُحَكَّمَةٌ.</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85" type="#_x0000_t202" style="position:absolute;left:0;text-align:left;margin-left:324.8pt;margin-top:3.4pt;width:99.75pt;height:31.35pt;z-index:251777536" filled="f" stroked="f">
          <v:textbox style="mso-next-textbox:#_x0000_s35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87" type="#_x0000_t75" style="position:absolute;left:0;text-align:left;margin-left:62.55pt;margin-top:.55pt;width:359.1pt;height:44.85pt;z-index:-251536896;mso-wrap-edited:f" wrapcoords="709 4393 473 10251 709 16108 709 16841 20851 16841 20891 16108 21088 10251 20851 4393 709 4393">
          <v:imagedata r:id="rId2" o:title="haut"/>
          <w10:wrap anchorx="page"/>
        </v:shape>
      </w:pic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824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92" type="#_x0000_t75" style="position:absolute;left:0;text-align:left;margin-left:-11.8pt;margin-top:-4.3pt;width:91.2pt;height:56.1pt;z-index:25178470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90" type="#_x0000_t202" style="position:absolute;left:0;text-align:left;margin-left:170.9pt;margin-top:7.4pt;width:151.15pt;height:34.2pt;z-index:251782656" filled="f" stroked="f">
          <v:textbox style="mso-next-textbox:#_x0000_s3590">
            <w:txbxContent>
              <w:p w:rsidR="00035BE3" w:rsidRPr="00C6454D" w:rsidRDefault="00035BE3" w:rsidP="00C10469">
                <w:pPr>
                  <w:ind w:firstLine="0"/>
                  <w:rPr>
                    <w:rFonts w:cs="AL-Mateen"/>
                    <w:sz w:val="24"/>
                    <w:szCs w:val="24"/>
                    <w:rtl/>
                  </w:rPr>
                </w:pPr>
                <w:r w:rsidRPr="00C6454D">
                  <w:rPr>
                    <w:rFonts w:cs="AL-Mateen" w:hint="cs"/>
                    <w:sz w:val="24"/>
                    <w:szCs w:val="24"/>
                    <w:rtl/>
                  </w:rPr>
                  <w:t>ق162 :  العَامُّ يُوجِبُ الحُكْمَ فِيمَا يَتَنَاوَلُهُ يَقِينًا.</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89" type="#_x0000_t202" style="position:absolute;left:0;text-align:left;margin-left:324.8pt;margin-top:3.4pt;width:99.75pt;height:31.35pt;z-index:251781632" filled="f" stroked="f">
          <v:textbox style="mso-next-textbox:#_x0000_s35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91" type="#_x0000_t75" style="position:absolute;left:0;text-align:left;margin-left:62.55pt;margin-top:.55pt;width:359.1pt;height:44.85pt;z-index:-251532800;mso-wrap-edited:f" wrapcoords="709 4393 473 10251 709 16108 709 16841 20851 16841 20891 16108 21088 10251 20851 4393 709 4393">
          <v:imagedata r:id="rId2" o:title="haut"/>
          <w10:wrap anchorx="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830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96" type="#_x0000_t75" style="position:absolute;left:0;text-align:left;margin-left:-11.8pt;margin-top:-4.3pt;width:91.2pt;height:56.1pt;z-index:2517888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94" type="#_x0000_t202" style="position:absolute;left:0;text-align:left;margin-left:170.9pt;margin-top:7.4pt;width:151.15pt;height:34.2pt;z-index:251786752" filled="f" stroked="f">
          <v:textbox style="mso-next-textbox:#_x0000_s3594">
            <w:txbxContent>
              <w:p w:rsidR="00035BE3" w:rsidRPr="006123F5" w:rsidRDefault="00035BE3" w:rsidP="00C10469">
                <w:pPr>
                  <w:ind w:firstLine="0"/>
                  <w:rPr>
                    <w:rFonts w:cs="AL-Mateen"/>
                    <w:sz w:val="24"/>
                    <w:szCs w:val="24"/>
                    <w:rtl/>
                  </w:rPr>
                </w:pPr>
                <w:r w:rsidRPr="006123F5">
                  <w:rPr>
                    <w:rFonts w:cs="AL-Mateen" w:hint="cs"/>
                    <w:sz w:val="24"/>
                    <w:szCs w:val="24"/>
                    <w:rtl/>
                  </w:rPr>
                  <w:t>ق163 :  العَامُّ بَعْدَ التَّخْصيصِ يَبْقَى حُجَّةً لاَ عَلَى اليَقِينِ عِنْدَنَا.</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93" type="#_x0000_t202" style="position:absolute;left:0;text-align:left;margin-left:324.8pt;margin-top:3.4pt;width:99.75pt;height:31.35pt;z-index:251785728" filled="f" stroked="f">
          <v:textbox style="mso-next-textbox:#_x0000_s35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95" type="#_x0000_t75" style="position:absolute;left:0;text-align:left;margin-left:62.55pt;margin-top:.55pt;width:359.1pt;height:44.85pt;z-index:-251528704;mso-wrap-edited:f" wrapcoords="709 4393 473 10251 709 16108 709 16841 20851 16841 20891 16108 21088 10251 20851 4393 709 4393">
          <v:imagedata r:id="rId2" o:title="haut"/>
          <w10:wrap anchorx="page"/>
        </v:shape>
      </w:pic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842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00" type="#_x0000_t75" style="position:absolute;left:0;text-align:left;margin-left:-11.8pt;margin-top:-4.3pt;width:91.2pt;height:56.1pt;z-index:2517928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598" type="#_x0000_t202" style="position:absolute;left:0;text-align:left;margin-left:170.9pt;margin-top:7.4pt;width:151.15pt;height:34.2pt;z-index:251790848" filled="f" stroked="f">
          <v:textbox style="mso-next-textbox:#_x0000_s3598">
            <w:txbxContent>
              <w:p w:rsidR="00035BE3" w:rsidRPr="000470CF" w:rsidRDefault="00035BE3" w:rsidP="00C10469">
                <w:pPr>
                  <w:ind w:firstLine="0"/>
                  <w:rPr>
                    <w:rFonts w:cs="AL-Mateen"/>
                    <w:sz w:val="24"/>
                    <w:szCs w:val="24"/>
                    <w:rtl/>
                  </w:rPr>
                </w:pPr>
                <w:r w:rsidRPr="000470CF">
                  <w:rPr>
                    <w:rFonts w:cs="AL-Mateen" w:hint="cs"/>
                    <w:sz w:val="24"/>
                    <w:szCs w:val="24"/>
                    <w:rtl/>
                  </w:rPr>
                  <w:t>ق164 :  العادَةُ المُطَّرِدَةُ تُنَزَّلُ منزِلَةَ الشَّرْطِ.</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597" type="#_x0000_t202" style="position:absolute;left:0;text-align:left;margin-left:324.8pt;margin-top:3.4pt;width:99.75pt;height:31.35pt;z-index:251789824" filled="f" stroked="f">
          <v:textbox style="mso-next-textbox:#_x0000_s35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599" type="#_x0000_t75" style="position:absolute;left:0;text-align:left;margin-left:62.55pt;margin-top:.55pt;width:359.1pt;height:44.85pt;z-index:-251524608;mso-wrap-edited:f" wrapcoords="709 4393 473 10251 709 16108 709 16841 20851 16841 20891 16108 21088 10251 20851 4393 709 4393">
          <v:imagedata r:id="rId2" o:title="haut"/>
          <w10:wrap anchorx="page"/>
        </v:shape>
      </w:pic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845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04" type="#_x0000_t75" style="position:absolute;left:0;text-align:left;margin-left:-11.8pt;margin-top:-4.3pt;width:91.2pt;height:56.1pt;z-index:2517969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02" type="#_x0000_t202" style="position:absolute;left:0;text-align:left;margin-left:170.9pt;margin-top:7.4pt;width:151.15pt;height:34.2pt;z-index:251794944" filled="f" stroked="f">
          <v:textbox style="mso-next-textbox:#_x0000_s3602">
            <w:txbxContent>
              <w:p w:rsidR="00035BE3" w:rsidRPr="00B2023A" w:rsidRDefault="00035BE3" w:rsidP="00C10469">
                <w:pPr>
                  <w:ind w:firstLine="0"/>
                  <w:rPr>
                    <w:rFonts w:cs="AL-Mateen"/>
                    <w:sz w:val="24"/>
                    <w:szCs w:val="24"/>
                    <w:rtl/>
                  </w:rPr>
                </w:pPr>
                <w:r w:rsidRPr="00B2023A">
                  <w:rPr>
                    <w:rFonts w:cs="AL-Mateen" w:hint="cs"/>
                    <w:sz w:val="24"/>
                    <w:szCs w:val="24"/>
                    <w:rtl/>
                  </w:rPr>
                  <w:t>ق165 :  العِبْرَةُ لآخِرِ جُزْئَيِ العِلَّةِ.</w:t>
                </w:r>
              </w:p>
              <w:p w:rsidR="00035BE3" w:rsidRPr="000470CF"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01" type="#_x0000_t202" style="position:absolute;left:0;text-align:left;margin-left:324.8pt;margin-top:3.4pt;width:99.75pt;height:31.35pt;z-index:251793920" filled="f" stroked="f">
          <v:textbox style="mso-next-textbox:#_x0000_s36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03" type="#_x0000_t75" style="position:absolute;left:0;text-align:left;margin-left:62.55pt;margin-top:.55pt;width:359.1pt;height:44.85pt;z-index:-251520512;mso-wrap-edited:f" wrapcoords="709 4393 473 10251 709 16108 709 16841 20851 16841 20891 16108 21088 10251 20851 4393 709 4393">
          <v:imagedata r:id="rId2" o:title="haut"/>
          <w10:wrap anchorx="page"/>
        </v:shape>
      </w:pic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848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08" type="#_x0000_t75" style="position:absolute;left:0;text-align:left;margin-left:-11.8pt;margin-top:-4.3pt;width:91.2pt;height:56.1pt;z-index:2518010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06" type="#_x0000_t202" style="position:absolute;left:0;text-align:left;margin-left:170.9pt;margin-top:7.4pt;width:151.15pt;height:34.2pt;z-index:251799040" filled="f" stroked="f">
          <v:textbox style="mso-next-textbox:#_x0000_s3606">
            <w:txbxContent>
              <w:p w:rsidR="00035BE3" w:rsidRPr="000470CF" w:rsidRDefault="00035BE3" w:rsidP="00C10469">
                <w:pPr>
                  <w:ind w:firstLine="0"/>
                  <w:rPr>
                    <w:rFonts w:cs="AL-Mateen"/>
                    <w:sz w:val="24"/>
                    <w:szCs w:val="24"/>
                    <w:rtl/>
                  </w:rPr>
                </w:pPr>
                <w:r w:rsidRPr="00DA090D">
                  <w:rPr>
                    <w:rFonts w:cs="AL-Mateen" w:hint="cs"/>
                    <w:sz w:val="24"/>
                    <w:szCs w:val="24"/>
                    <w:rtl/>
                  </w:rPr>
                  <w:t>ق166 :  العِبْرَةُ للملفُوظِ نَصًّا دُونَ المَقْصُودِ.</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05" type="#_x0000_t202" style="position:absolute;left:0;text-align:left;margin-left:324.8pt;margin-top:3.4pt;width:99.75pt;height:31.35pt;z-index:251798016" filled="f" stroked="f">
          <v:textbox style="mso-next-textbox:#_x0000_s36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07" type="#_x0000_t75" style="position:absolute;left:0;text-align:left;margin-left:62.55pt;margin-top:.55pt;width:359.1pt;height:44.85pt;z-index:-251516416;mso-wrap-edited:f" wrapcoords="709 4393 473 10251 709 16108 709 16841 20851 16841 20891 16108 21088 10251 20851 4393 709 4393">
          <v:imagedata r:id="rId2" o:title="haut"/>
          <w10:wrap anchorx="page"/>
        </v:shape>
      </w:pic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849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12" type="#_x0000_t75" style="position:absolute;left:0;text-align:left;margin-left:-11.8pt;margin-top:-4.3pt;width:91.2pt;height:56.1pt;z-index:2518051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10" type="#_x0000_t202" style="position:absolute;left:0;text-align:left;margin-left:170.9pt;margin-top:7.4pt;width:151.15pt;height:34.2pt;z-index:251803136" filled="f" stroked="f">
          <v:textbox style="mso-next-textbox:#_x0000_s3610">
            <w:txbxContent>
              <w:p w:rsidR="00035BE3" w:rsidRPr="00093329" w:rsidRDefault="00035BE3" w:rsidP="00C10469">
                <w:pPr>
                  <w:ind w:firstLine="0"/>
                  <w:rPr>
                    <w:rFonts w:cs="AL-Mateen"/>
                    <w:sz w:val="24"/>
                    <w:szCs w:val="24"/>
                    <w:rtl/>
                  </w:rPr>
                </w:pPr>
                <w:r w:rsidRPr="00093329">
                  <w:rPr>
                    <w:rFonts w:cs="AL-Mateen" w:hint="cs"/>
                    <w:sz w:val="24"/>
                    <w:szCs w:val="24"/>
                    <w:rtl/>
                  </w:rPr>
                  <w:t>ق167 :  العُرْفُ قاضٍ على الوَضْعِ.</w:t>
                </w:r>
              </w:p>
              <w:p w:rsidR="00035BE3" w:rsidRPr="000470CF"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09" type="#_x0000_t202" style="position:absolute;left:0;text-align:left;margin-left:324.8pt;margin-top:3.4pt;width:99.75pt;height:31.35pt;z-index:251802112" filled="f" stroked="f">
          <v:textbox style="mso-next-textbox:#_x0000_s36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11" type="#_x0000_t75" style="position:absolute;left:0;text-align:left;margin-left:62.55pt;margin-top:.55pt;width:359.1pt;height:44.85pt;z-index:-251512320;mso-wrap-edited:f" wrapcoords="709 4393 473 10251 709 16108 709 16841 20851 16841 20891 16108 21088 10251 20851 4393 709 4393">
          <v:imagedata r:id="rId2" o:title="haut"/>
          <w10:wrap anchorx="page"/>
        </v:shape>
      </w:pic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851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16" type="#_x0000_t75" style="position:absolute;left:0;text-align:left;margin-left:-11.8pt;margin-top:-4.3pt;width:91.2pt;height:56.1pt;z-index:2518092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14" type="#_x0000_t202" style="position:absolute;left:0;text-align:left;margin-left:170.9pt;margin-top:7.4pt;width:151.15pt;height:34.2pt;z-index:251807232" filled="f" stroked="f">
          <v:textbox style="mso-next-textbox:#_x0000_s3614">
            <w:txbxContent>
              <w:p w:rsidR="00035BE3" w:rsidRPr="000470CF" w:rsidRDefault="00035BE3" w:rsidP="00C10469">
                <w:pPr>
                  <w:ind w:firstLine="0"/>
                  <w:rPr>
                    <w:rFonts w:cs="AL-Mateen"/>
                    <w:sz w:val="24"/>
                    <w:szCs w:val="24"/>
                    <w:rtl/>
                  </w:rPr>
                </w:pPr>
                <w:r w:rsidRPr="00A52AB8">
                  <w:rPr>
                    <w:rFonts w:cs="AL-Mateen" w:hint="cs"/>
                    <w:sz w:val="24"/>
                    <w:szCs w:val="24"/>
                    <w:rtl/>
                  </w:rPr>
                  <w:t>ق168 :  العَقْدُ مَتَى انْفَسَخَ بقضاءِ القاضِي لا يَعُودُ إلاَّ بِتَجْدِيدِهِ.</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13" type="#_x0000_t202" style="position:absolute;left:0;text-align:left;margin-left:324.8pt;margin-top:3.4pt;width:99.75pt;height:31.35pt;z-index:251806208" filled="f" stroked="f">
          <v:textbox style="mso-next-textbox:#_x0000_s36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15" type="#_x0000_t75" style="position:absolute;left:0;text-align:left;margin-left:62.55pt;margin-top:.55pt;width:359.1pt;height:44.85pt;z-index:-251508224;mso-wrap-edited:f" wrapcoords="709 4393 473 10251 709 16108 709 16841 20851 16841 20891 16108 21088 10251 20851 4393 709 4393">
          <v:imagedata r:id="rId2" o:title="haut"/>
          <w10:wrap anchorx="page"/>
        </v:shape>
      </w:pic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853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20" type="#_x0000_t75" style="position:absolute;left:0;text-align:left;margin-left:-11.8pt;margin-top:-4.3pt;width:91.2pt;height:56.1pt;z-index:2518133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18" type="#_x0000_t202" style="position:absolute;left:0;text-align:left;margin-left:170.9pt;margin-top:7.4pt;width:151.15pt;height:34.2pt;z-index:251811328" filled="f" stroked="f">
          <v:textbox style="mso-next-textbox:#_x0000_s3618">
            <w:txbxContent>
              <w:p w:rsidR="00035BE3" w:rsidRPr="00241285" w:rsidRDefault="00035BE3" w:rsidP="00C10469">
                <w:pPr>
                  <w:ind w:firstLine="0"/>
                  <w:rPr>
                    <w:rFonts w:cs="AL-Mateen"/>
                    <w:sz w:val="24"/>
                    <w:szCs w:val="24"/>
                    <w:rtl/>
                  </w:rPr>
                </w:pPr>
                <w:r w:rsidRPr="00241285">
                  <w:rPr>
                    <w:rFonts w:cs="AL-Mateen" w:hint="cs"/>
                    <w:sz w:val="24"/>
                    <w:szCs w:val="24"/>
                    <w:rtl/>
                  </w:rPr>
                  <w:t>ق169 :  عَقْدُ الرّهنِ تبرُّعٌ مِنْ جَانِبِ الرَّاهِنِ.</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17" type="#_x0000_t202" style="position:absolute;left:0;text-align:left;margin-left:324.8pt;margin-top:3.4pt;width:99.75pt;height:31.35pt;z-index:251810304" filled="f" stroked="f">
          <v:textbox style="mso-next-textbox:#_x0000_s36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19" type="#_x0000_t75" style="position:absolute;left:0;text-align:left;margin-left:62.55pt;margin-top:.55pt;width:359.1pt;height:44.85pt;z-index:-251504128;mso-wrap-edited:f" wrapcoords="709 4393 473 10251 709 16108 709 16841 20851 16841 20891 16108 21088 10251 20851 4393 709 4393">
          <v:imagedata r:id="rId2" o:title="haut"/>
          <w10:wrap anchorx="page"/>
        </v:shape>
      </w:pict>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856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24" type="#_x0000_t75" style="position:absolute;left:0;text-align:left;margin-left:-11.8pt;margin-top:-4.3pt;width:91.2pt;height:56.1pt;z-index:2518174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22" type="#_x0000_t202" style="position:absolute;left:0;text-align:left;margin-left:170.9pt;margin-top:7.4pt;width:151.15pt;height:34.2pt;z-index:251815424" filled="f" stroked="f">
          <v:textbox style="mso-next-textbox:#_x0000_s3622">
            <w:txbxContent>
              <w:p w:rsidR="00035BE3" w:rsidRPr="00241285" w:rsidRDefault="00035BE3" w:rsidP="00C10469">
                <w:pPr>
                  <w:ind w:firstLine="0"/>
                  <w:rPr>
                    <w:rFonts w:cs="AL-Mateen"/>
                    <w:sz w:val="24"/>
                    <w:szCs w:val="24"/>
                    <w:rtl/>
                  </w:rPr>
                </w:pPr>
                <w:r w:rsidRPr="00C8103C">
                  <w:rPr>
                    <w:rFonts w:cs="AL-Mateen" w:hint="cs"/>
                    <w:sz w:val="24"/>
                    <w:szCs w:val="24"/>
                    <w:rtl/>
                  </w:rPr>
                  <w:t>ق170 : العَمَلُ بالظَّاهِرِ هُوَ الأَصْلُ؛ لِدَفْعِ الضَّرَرِ عَنِ النَّاسِ.</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21" type="#_x0000_t202" style="position:absolute;left:0;text-align:left;margin-left:324.8pt;margin-top:3.4pt;width:99.75pt;height:31.35pt;z-index:251814400" filled="f" stroked="f">
          <v:textbox style="mso-next-textbox:#_x0000_s36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23" type="#_x0000_t75" style="position:absolute;left:0;text-align:left;margin-left:62.55pt;margin-top:.55pt;width:359.1pt;height:44.85pt;z-index:-251500032;mso-wrap-edited:f" wrapcoords="709 4393 473 10251 709 16108 709 16841 20851 16841 20891 16108 21088 10251 20851 4393 709 4393">
          <v:imagedata r:id="rId2" o:title="haut"/>
          <w10:wrap anchorx="page"/>
        </v:shape>
      </w:pic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861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32" type="#_x0000_t75" style="position:absolute;left:0;text-align:left;margin-left:-11.8pt;margin-top:-4.3pt;width:91.2pt;height:56.1pt;z-index:2518256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30" type="#_x0000_t202" style="position:absolute;left:0;text-align:left;margin-left:170.9pt;margin-top:7.4pt;width:151.15pt;height:34.2pt;z-index:251823616" filled="f" stroked="f">
          <v:textbox style="mso-next-textbox:#_x0000_s3630">
            <w:txbxContent>
              <w:p w:rsidR="00035BE3" w:rsidRPr="00664821" w:rsidRDefault="00035BE3" w:rsidP="00C10469">
                <w:pPr>
                  <w:ind w:firstLine="0"/>
                  <w:rPr>
                    <w:rFonts w:cs="AL-Mateen"/>
                    <w:sz w:val="24"/>
                    <w:szCs w:val="24"/>
                    <w:rtl/>
                  </w:rPr>
                </w:pPr>
                <w:r w:rsidRPr="00664821">
                  <w:rPr>
                    <w:rFonts w:cs="AL-Mateen" w:hint="cs"/>
                    <w:sz w:val="24"/>
                    <w:szCs w:val="24"/>
                    <w:rtl/>
                  </w:rPr>
                  <w:t>ق172 :  الغُرْمُ بِالغُنْمِ.</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29" type="#_x0000_t202" style="position:absolute;left:0;text-align:left;margin-left:324.8pt;margin-top:3.4pt;width:99.75pt;height:31.35pt;z-index:251822592" filled="f" stroked="f">
          <v:textbox style="mso-next-textbox:#_x0000_s36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31" type="#_x0000_t75" style="position:absolute;left:0;text-align:left;margin-left:62.55pt;margin-top:.55pt;width:359.1pt;height:44.85pt;z-index:-251491840;mso-wrap-edited:f" wrapcoords="709 4393 473 10251 709 16108 709 16841 20851 16841 20891 16108 21088 10251 20851 4393 709 4393">
          <v:imagedata r:id="rId2" o:title="haut"/>
          <w10:wrap anchorx="page"/>
        </v:shape>
      </w:pic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863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36" type="#_x0000_t75" style="position:absolute;left:0;text-align:left;margin-left:-11.8pt;margin-top:-4.3pt;width:91.2pt;height:56.1pt;z-index:2518297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34" type="#_x0000_t202" style="position:absolute;left:0;text-align:left;margin-left:170.9pt;margin-top:7.4pt;width:151.15pt;height:34.2pt;z-index:251827712" filled="f" stroked="f">
          <v:textbox style="mso-next-textbox:#_x0000_s3634">
            <w:txbxContent>
              <w:p w:rsidR="00035BE3" w:rsidRPr="00A95684" w:rsidRDefault="00035BE3" w:rsidP="00C10469">
                <w:pPr>
                  <w:ind w:firstLine="0"/>
                  <w:rPr>
                    <w:rFonts w:cs="AL-Mateen"/>
                    <w:sz w:val="24"/>
                    <w:szCs w:val="24"/>
                    <w:rtl/>
                  </w:rPr>
                </w:pPr>
                <w:r w:rsidRPr="00A95684">
                  <w:rPr>
                    <w:rFonts w:cs="AL-Mateen" w:hint="cs"/>
                    <w:sz w:val="24"/>
                    <w:szCs w:val="24"/>
                    <w:rtl/>
                  </w:rPr>
                  <w:t>ق173 :  الفَتْوَى فِي حَقِّ الجَاهِلِ كالاجتهادِ في حقِّ المُجْتَهِدِ.</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33" type="#_x0000_t202" style="position:absolute;left:0;text-align:left;margin-left:324.8pt;margin-top:3.4pt;width:99.75pt;height:31.35pt;z-index:251826688" filled="f" stroked="f">
          <v:textbox style="mso-next-textbox:#_x0000_s36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35" type="#_x0000_t75" style="position:absolute;left:0;text-align:left;margin-left:62.55pt;margin-top:.55pt;width:359.1pt;height:44.85pt;z-index:-251487744;mso-wrap-edited:f" wrapcoords="709 4393 473 10251 709 16108 709 16841 20851 16841 20891 16108 21088 10251 20851 4393 709 4393">
          <v:imagedata r:id="rId2" o:title="haut"/>
          <w10:wrap anchorx="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33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265</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2974" type="#_x0000_t202" style="position:absolute;left:0;text-align:left;margin-left:142.3pt;margin-top:7.5pt;width:182.5pt;height:34.2pt;z-index:251155968" filled="f" stroked="f">
          <v:textbox style="mso-next-textbox:#_x0000_s2974">
            <w:txbxContent>
              <w:p w:rsidR="00035BE3" w:rsidRPr="00303CF2" w:rsidRDefault="00035BE3">
                <w:pPr>
                  <w:ind w:firstLine="0"/>
                  <w:rPr>
                    <w:rFonts w:cs="AL-Mateen"/>
                    <w:sz w:val="24"/>
                    <w:szCs w:val="24"/>
                    <w:rtl/>
                  </w:rPr>
                </w:pPr>
                <w:r w:rsidRPr="00303CF2">
                  <w:rPr>
                    <w:rFonts w:cs="AL-Mateen" w:hint="cs"/>
                    <w:sz w:val="24"/>
                    <w:szCs w:val="24"/>
                    <w:rtl/>
                  </w:rPr>
                  <w:t>ق8 :  اخِْتـلافُ الأسْبـابِ بِـمَنْـزِلـَةِ اختـلافِ الأعْيـانِ.</w:t>
                </w:r>
              </w:p>
            </w:txbxContent>
          </v:textbox>
          <w10:wrap anchorx="page"/>
        </v:shape>
      </w:pict>
    </w:r>
    <w:r>
      <w:rPr>
        <w:noProof/>
        <w:rtl/>
        <w:lang w:val="en-US"/>
      </w:rPr>
      <w:pict>
        <v:shape id="_x0000_s2973" type="#_x0000_t202" style="position:absolute;left:0;text-align:left;margin-left:324.8pt;margin-top:5.4pt;width:99.75pt;height:31.35pt;z-index:251154944" filled="f" stroked="f">
          <v:textbox style="mso-next-textbox:#_x0000_s2973">
            <w:txbxContent>
              <w:p w:rsidR="00035BE3" w:rsidRPr="00303CF2" w:rsidRDefault="00035BE3">
                <w:pPr>
                  <w:ind w:firstLine="0"/>
                  <w:jc w:val="center"/>
                  <w:rPr>
                    <w:rFonts w:cs="AL-Mateen"/>
                    <w:sz w:val="28"/>
                    <w:szCs w:val="28"/>
                    <w:rtl/>
                  </w:rPr>
                </w:pPr>
                <w:r w:rsidRPr="00303CF2">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75" type="#_x0000_t75" style="position:absolute;left:0;text-align:left;margin-left:63.4pt;margin-top:.1pt;width:359.1pt;height:44.85pt;z-index:-252159488;mso-wrap-edited:f" wrapcoords="709 4393 473 10251 709 16108 709 16841 20851 16841 20891 16108 21088 10251 20851 4393 709 4393">
          <v:imagedata r:id="rId1" o:title="haut"/>
          <w10:wrap anchorx="page"/>
        </v:shape>
      </w:pict>
    </w:r>
    <w:r>
      <w:rPr>
        <w:noProof/>
        <w:rtl/>
        <w:lang w:val="en-US"/>
      </w:rPr>
      <w:pict>
        <v:shape id="_x0000_s2976" type="#_x0000_t75" style="position:absolute;left:0;text-align:left;margin-left:-10.95pt;margin-top:-4.6pt;width:91.2pt;height:56.1pt;z-index:251158016">
          <v:imagedata r:id="rId2" o:title="hichemil1"/>
          <w10:wrap anchorx="page"/>
        </v:shape>
      </w:pic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865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40" type="#_x0000_t75" style="position:absolute;left:0;text-align:left;margin-left:-11.8pt;margin-top:-4.3pt;width:91.2pt;height:56.1pt;z-index:2518338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38" type="#_x0000_t202" style="position:absolute;left:0;text-align:left;margin-left:170.9pt;margin-top:7.4pt;width:151.15pt;height:34.2pt;z-index:251831808" filled="f" stroked="f">
          <v:textbox style="mso-next-textbox:#_x0000_s3638">
            <w:txbxContent>
              <w:p w:rsidR="00035BE3" w:rsidRPr="00A95684" w:rsidRDefault="00035BE3" w:rsidP="00C10469">
                <w:pPr>
                  <w:ind w:firstLine="0"/>
                  <w:rPr>
                    <w:rFonts w:cs="AL-Mateen"/>
                    <w:sz w:val="24"/>
                    <w:szCs w:val="24"/>
                    <w:rtl/>
                  </w:rPr>
                </w:pPr>
                <w:r w:rsidRPr="00571D92">
                  <w:rPr>
                    <w:rFonts w:cs="AL-Mateen" w:hint="cs"/>
                    <w:sz w:val="24"/>
                    <w:szCs w:val="24"/>
                    <w:rtl/>
                  </w:rPr>
                  <w:t>ق174 :  فِي كُلِّ مَوْضِعٍ يملكُ المدفوعُ إليهِ المالَ .</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37" type="#_x0000_t202" style="position:absolute;left:0;text-align:left;margin-left:324.8pt;margin-top:3.4pt;width:99.75pt;height:31.35pt;z-index:251830784" filled="f" stroked="f">
          <v:textbox style="mso-next-textbox:#_x0000_s36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39" type="#_x0000_t75" style="position:absolute;left:0;text-align:left;margin-left:62.55pt;margin-top:.55pt;width:359.1pt;height:44.85pt;z-index:-251483648;mso-wrap-edited:f" wrapcoords="709 4393 473 10251 709 16108 709 16841 20851 16841 20891 16108 21088 10251 20851 4393 709 4393">
          <v:imagedata r:id="rId2" o:title="haut"/>
          <w10:wrap anchorx="page"/>
        </v:shape>
      </w:pic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867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44" type="#_x0000_t75" style="position:absolute;left:0;text-align:left;margin-left:-11.8pt;margin-top:-4.3pt;width:91.2pt;height:56.1pt;z-index:2518379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42" type="#_x0000_t202" style="position:absolute;left:0;text-align:left;margin-left:170.9pt;margin-top:7.4pt;width:151.15pt;height:34.2pt;z-index:251835904" filled="f" stroked="f">
          <v:textbox style="mso-next-textbox:#_x0000_s3642">
            <w:txbxContent>
              <w:p w:rsidR="00035BE3" w:rsidRPr="00A95684" w:rsidRDefault="00035BE3" w:rsidP="00C10469">
                <w:pPr>
                  <w:ind w:firstLine="0"/>
                  <w:rPr>
                    <w:rFonts w:cs="AL-Mateen"/>
                    <w:sz w:val="24"/>
                    <w:szCs w:val="24"/>
                    <w:rtl/>
                  </w:rPr>
                </w:pPr>
                <w:r w:rsidRPr="003A18B2">
                  <w:rPr>
                    <w:rFonts w:cs="AL-Mateen" w:hint="cs"/>
                    <w:sz w:val="24"/>
                    <w:szCs w:val="24"/>
                    <w:rtl/>
                  </w:rPr>
                  <w:t>ق175: الفَرْعُ المُخْتَصُّ بأصلِ وُجُودِهِ يَدُلَّ على وُجُودِ أصْلِهِ.</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41" type="#_x0000_t202" style="position:absolute;left:0;text-align:left;margin-left:324.8pt;margin-top:3.4pt;width:99.75pt;height:31.35pt;z-index:251834880" filled="f" stroked="f">
          <v:textbox style="mso-next-textbox:#_x0000_s36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43" type="#_x0000_t75" style="position:absolute;left:0;text-align:left;margin-left:62.55pt;margin-top:.55pt;width:359.1pt;height:44.85pt;z-index:-251479552;mso-wrap-edited:f" wrapcoords="709 4393 473 10251 709 16108 709 16841 20851 16841 20891 16108 21088 10251 20851 4393 709 4393">
          <v:imagedata r:id="rId2" o:title="haut"/>
          <w10:wrap anchorx="page"/>
        </v:shape>
      </w:pic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870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48" type="#_x0000_t75" style="position:absolute;left:0;text-align:left;margin-left:-11.8pt;margin-top:-4.3pt;width:91.2pt;height:56.1pt;z-index:2518420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46" type="#_x0000_t202" style="position:absolute;left:0;text-align:left;margin-left:170.9pt;margin-top:7.4pt;width:151.15pt;height:34.2pt;z-index:251840000" filled="f" stroked="f">
          <v:textbox style="mso-next-textbox:#_x0000_s3646">
            <w:txbxContent>
              <w:p w:rsidR="00035BE3" w:rsidRPr="00B16F6E" w:rsidRDefault="00035BE3" w:rsidP="00C10469">
                <w:pPr>
                  <w:ind w:firstLine="0"/>
                  <w:rPr>
                    <w:rFonts w:cs="AL-Mateen"/>
                    <w:sz w:val="24"/>
                    <w:szCs w:val="24"/>
                    <w:rtl/>
                  </w:rPr>
                </w:pPr>
                <w:r w:rsidRPr="00B16F6E">
                  <w:rPr>
                    <w:rFonts w:cs="AL-Mateen" w:hint="cs"/>
                    <w:sz w:val="24"/>
                    <w:szCs w:val="24"/>
                    <w:rtl/>
                  </w:rPr>
                  <w:t>ق176 :  القَدِيمُ يُتْرَكُ عَلَى قِدَمِهِ.</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45" type="#_x0000_t202" style="position:absolute;left:0;text-align:left;margin-left:324.8pt;margin-top:3.4pt;width:99.75pt;height:31.35pt;z-index:251838976" filled="f" stroked="f">
          <v:textbox style="mso-next-textbox:#_x0000_s36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47" type="#_x0000_t75" style="position:absolute;left:0;text-align:left;margin-left:62.55pt;margin-top:.55pt;width:359.1pt;height:44.85pt;z-index:-251475456;mso-wrap-edited:f" wrapcoords="709 4393 473 10251 709 16108 709 16841 20851 16841 20891 16108 21088 10251 20851 4393 709 4393">
          <v:imagedata r:id="rId2" o:title="haut"/>
          <w10:wrap anchorx="page"/>
        </v:shape>
      </w:pict>
    </w: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874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52" type="#_x0000_t75" style="position:absolute;left:0;text-align:left;margin-left:-11.8pt;margin-top:-4.3pt;width:91.2pt;height:56.1pt;z-index:2518461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50" type="#_x0000_t202" style="position:absolute;left:0;text-align:left;margin-left:170.9pt;margin-top:7.4pt;width:151.15pt;height:34.2pt;z-index:251844096" filled="f" stroked="f">
          <v:textbox style="mso-next-textbox:#_x0000_s3650">
            <w:txbxContent>
              <w:p w:rsidR="00035BE3" w:rsidRPr="00194F49" w:rsidRDefault="00035BE3" w:rsidP="00C10469">
                <w:pPr>
                  <w:ind w:firstLine="0"/>
                  <w:rPr>
                    <w:rFonts w:cs="AL-Mateen"/>
                    <w:sz w:val="24"/>
                    <w:szCs w:val="24"/>
                    <w:rtl/>
                  </w:rPr>
                </w:pPr>
                <w:r w:rsidRPr="00194F49">
                  <w:rPr>
                    <w:rFonts w:cs="AL-Mateen" w:hint="cs"/>
                    <w:sz w:val="24"/>
                    <w:szCs w:val="24"/>
                    <w:rtl/>
                  </w:rPr>
                  <w:t>ق177 : قَدْ يَثْبُتُ الفَرْعُ و إِنْ لَمْ يَثْبُتِ الأَصْلُ.</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49" type="#_x0000_t202" style="position:absolute;left:0;text-align:left;margin-left:324.8pt;margin-top:3.4pt;width:99.75pt;height:31.35pt;z-index:251843072" filled="f" stroked="f">
          <v:textbox style="mso-next-textbox:#_x0000_s36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51" type="#_x0000_t75" style="position:absolute;left:0;text-align:left;margin-left:62.55pt;margin-top:.55pt;width:359.1pt;height:44.85pt;z-index:-251471360;mso-wrap-edited:f" wrapcoords="709 4393 473 10251 709 16108 709 16841 20851 16841 20891 16108 21088 10251 20851 4393 709 4393">
          <v:imagedata r:id="rId2" o:title="haut"/>
          <w10:wrap anchorx="page"/>
        </v:shape>
      </w:pic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882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56" type="#_x0000_t75" style="position:absolute;left:0;text-align:left;margin-left:-11.8pt;margin-top:-4.3pt;width:91.2pt;height:56.1pt;z-index:2518502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54" type="#_x0000_t202" style="position:absolute;left:0;text-align:left;margin-left:170.9pt;margin-top:7.4pt;width:151.15pt;height:34.2pt;z-index:251848192" filled="f" stroked="f">
          <v:textbox style="mso-next-textbox:#_x0000_s3654">
            <w:txbxContent>
              <w:p w:rsidR="00035BE3" w:rsidRPr="00C17BB8" w:rsidRDefault="00035BE3" w:rsidP="00C10469">
                <w:pPr>
                  <w:ind w:firstLine="0"/>
                  <w:rPr>
                    <w:rFonts w:cs="AL-Mateen"/>
                    <w:sz w:val="24"/>
                    <w:szCs w:val="24"/>
                    <w:rtl/>
                  </w:rPr>
                </w:pPr>
                <w:r w:rsidRPr="00C17BB8">
                  <w:rPr>
                    <w:rFonts w:cs="AL-Mateen" w:hint="cs"/>
                    <w:sz w:val="24"/>
                    <w:szCs w:val="24"/>
                    <w:rtl/>
                  </w:rPr>
                  <w:t>ق178 :  قَدْ يثبُتُ ضِمْنًا ما لا يثبُتُ قَصْدًا.</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53" type="#_x0000_t202" style="position:absolute;left:0;text-align:left;margin-left:324.8pt;margin-top:3.4pt;width:99.75pt;height:31.35pt;z-index:251847168" filled="f" stroked="f">
          <v:textbox style="mso-next-textbox:#_x0000_s36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55" type="#_x0000_t75" style="position:absolute;left:0;text-align:left;margin-left:62.55pt;margin-top:.55pt;width:359.1pt;height:44.85pt;z-index:-251467264;mso-wrap-edited:f" wrapcoords="709 4393 473 10251 709 16108 709 16841 20851 16841 20891 16108 21088 10251 20851 4393 709 4393">
          <v:imagedata r:id="rId2" o:title="haut"/>
          <w10:wrap anchorx="page"/>
        </v:shape>
      </w:pic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883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60" type="#_x0000_t75" style="position:absolute;left:0;text-align:left;margin-left:-11.8pt;margin-top:-4.3pt;width:91.2pt;height:56.1pt;z-index:2518543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58" type="#_x0000_t202" style="position:absolute;left:0;text-align:left;margin-left:170.9pt;margin-top:7.4pt;width:151.15pt;height:34.2pt;z-index:251852288" filled="f" stroked="f">
          <v:textbox style="mso-next-textbox:#_x0000_s3658">
            <w:txbxContent>
              <w:p w:rsidR="00035BE3" w:rsidRPr="00241285" w:rsidRDefault="00035BE3" w:rsidP="00C10469">
                <w:pPr>
                  <w:ind w:firstLine="0"/>
                  <w:rPr>
                    <w:rFonts w:cs="AL-Mateen"/>
                    <w:sz w:val="24"/>
                    <w:szCs w:val="24"/>
                    <w:rtl/>
                  </w:rPr>
                </w:pPr>
                <w:r w:rsidRPr="00A335B2">
                  <w:rPr>
                    <w:rFonts w:cs="AL-Mateen" w:hint="cs"/>
                    <w:sz w:val="24"/>
                    <w:szCs w:val="24"/>
                    <w:rtl/>
                  </w:rPr>
                  <w:t>ق179 :  القَبْضُ إنَّمَا يُعْتَبَرُ فِي انتقالِ المِلْكِ لاَ فِي دَعْوَى المِلْكِ ..</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57" type="#_x0000_t202" style="position:absolute;left:0;text-align:left;margin-left:324.8pt;margin-top:3.4pt;width:99.75pt;height:31.35pt;z-index:251851264" filled="f" stroked="f">
          <v:textbox style="mso-next-textbox:#_x0000_s36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59" type="#_x0000_t75" style="position:absolute;left:0;text-align:left;margin-left:62.55pt;margin-top:.55pt;width:359.1pt;height:44.85pt;z-index:-251463168;mso-wrap-edited:f" wrapcoords="709 4393 473 10251 709 16108 709 16841 20851 16841 20891 16108 21088 10251 20851 4393 709 4393">
          <v:imagedata r:id="rId2" o:title="haut"/>
          <w10:wrap anchorx="page"/>
        </v:shape>
      </w:pict>
    </w: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886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64" type="#_x0000_t75" style="position:absolute;left:0;text-align:left;margin-left:-11.8pt;margin-top:-4.3pt;width:91.2pt;height:56.1pt;z-index:2518584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62" type="#_x0000_t202" style="position:absolute;left:0;text-align:left;margin-left:170.9pt;margin-top:7.4pt;width:151.15pt;height:34.2pt;z-index:251856384" filled="f" stroked="f">
          <v:textbox style="mso-next-textbox:#_x0000_s3662">
            <w:txbxContent>
              <w:p w:rsidR="00035BE3" w:rsidRPr="00241285" w:rsidRDefault="00035BE3" w:rsidP="00C10469">
                <w:pPr>
                  <w:ind w:firstLine="0"/>
                  <w:rPr>
                    <w:rFonts w:cs="AL-Mateen"/>
                    <w:sz w:val="24"/>
                    <w:szCs w:val="24"/>
                    <w:rtl/>
                  </w:rPr>
                </w:pPr>
                <w:r w:rsidRPr="00A66052">
                  <w:rPr>
                    <w:rFonts w:cs="AL-Mateen" w:hint="cs"/>
                    <w:sz w:val="24"/>
                    <w:szCs w:val="24"/>
                    <w:rtl/>
                  </w:rPr>
                  <w:t>ق180 :  القضاءُ مقتصرٌ على المقضيِّ عليهِ ولا يتعدَّى إلى غَيرِهِ.</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61" type="#_x0000_t202" style="position:absolute;left:0;text-align:left;margin-left:324.8pt;margin-top:3.4pt;width:99.75pt;height:31.35pt;z-index:251855360" filled="f" stroked="f">
          <v:textbox style="mso-next-textbox:#_x0000_s36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63" type="#_x0000_t75" style="position:absolute;left:0;text-align:left;margin-left:62.55pt;margin-top:.55pt;width:359.1pt;height:44.85pt;z-index:-251459072;mso-wrap-edited:f" wrapcoords="709 4393 473 10251 709 16108 709 16841 20851 16841 20891 16108 21088 10251 20851 4393 709 4393">
          <v:imagedata r:id="rId2" o:title="haut"/>
          <w10:wrap anchorx="page"/>
        </v:shape>
      </w:pic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890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68" type="#_x0000_t75" style="position:absolute;left:0;text-align:left;margin-left:-11.8pt;margin-top:-4.3pt;width:91.2pt;height:56.1pt;z-index:2518625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66" type="#_x0000_t202" style="position:absolute;left:0;text-align:left;margin-left:170.9pt;margin-top:7.4pt;width:151.15pt;height:34.2pt;z-index:251860480" filled="f" stroked="f">
          <v:textbox style="mso-next-textbox:#_x0000_s3666">
            <w:txbxContent>
              <w:p w:rsidR="00035BE3" w:rsidRPr="00241285" w:rsidRDefault="00035BE3" w:rsidP="00C10469">
                <w:pPr>
                  <w:ind w:firstLine="0"/>
                  <w:rPr>
                    <w:rFonts w:cs="AL-Mateen"/>
                    <w:sz w:val="24"/>
                    <w:szCs w:val="24"/>
                    <w:rtl/>
                  </w:rPr>
                </w:pPr>
                <w:r w:rsidRPr="00F83994">
                  <w:rPr>
                    <w:rFonts w:cs="AL-Mateen" w:hint="cs"/>
                    <w:sz w:val="24"/>
                    <w:szCs w:val="24"/>
                    <w:rtl/>
                  </w:rPr>
                  <w:t>ق181 :  القضاءُ على الغائِبِ لا يجوزُ، إلاّ أَنْ يَكُونَ مَا يُدّعَى بِهِ ..</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65" type="#_x0000_t202" style="position:absolute;left:0;text-align:left;margin-left:324.8pt;margin-top:3.4pt;width:99.75pt;height:31.35pt;z-index:251859456" filled="f" stroked="f">
          <v:textbox style="mso-next-textbox:#_x0000_s36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67" type="#_x0000_t75" style="position:absolute;left:0;text-align:left;margin-left:62.55pt;margin-top:.55pt;width:359.1pt;height:44.85pt;z-index:-251454976;mso-wrap-edited:f" wrapcoords="709 4393 473 10251 709 16108 709 16841 20851 16841 20891 16108 21088 10251 20851 4393 709 4393">
          <v:imagedata r:id="rId2" o:title="haut"/>
          <w10:wrap anchorx="page"/>
        </v:shape>
      </w:pic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898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72" type="#_x0000_t75" style="position:absolute;left:0;text-align:left;margin-left:-11.8pt;margin-top:-4.3pt;width:91.2pt;height:56.1pt;z-index:2518666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70" type="#_x0000_t202" style="position:absolute;left:0;text-align:left;margin-left:170.9pt;margin-top:7.4pt;width:151.15pt;height:34.2pt;z-index:251864576" filled="f" stroked="f">
          <v:textbox style="mso-next-textbox:#_x0000_s3670">
            <w:txbxContent>
              <w:p w:rsidR="00035BE3" w:rsidRPr="00DB66EF" w:rsidRDefault="00035BE3" w:rsidP="00C10469">
                <w:pPr>
                  <w:ind w:firstLine="0"/>
                  <w:rPr>
                    <w:rFonts w:cs="AL-Mateen"/>
                    <w:sz w:val="24"/>
                    <w:szCs w:val="24"/>
                    <w:rtl/>
                  </w:rPr>
                </w:pPr>
                <w:r w:rsidRPr="00DB66EF">
                  <w:rPr>
                    <w:rFonts w:cs="AL-Mateen" w:hint="cs"/>
                    <w:sz w:val="24"/>
                    <w:szCs w:val="24"/>
                    <w:rtl/>
                  </w:rPr>
                  <w:t>ق182 :  القَضَاءُ الضِّمْنِيُّ لا يُشتَرَطُ لَهُ الدّعْوَى والخُصُومَة.ُ</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69" type="#_x0000_t202" style="position:absolute;left:0;text-align:left;margin-left:324.8pt;margin-top:3.4pt;width:99.75pt;height:31.35pt;z-index:251863552" filled="f" stroked="f">
          <v:textbox style="mso-next-textbox:#_x0000_s36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71" type="#_x0000_t75" style="position:absolute;left:0;text-align:left;margin-left:62.55pt;margin-top:.55pt;width:359.1pt;height:44.85pt;z-index:-251450880;mso-wrap-edited:f" wrapcoords="709 4393 473 10251 709 16108 709 16841 20851 16841 20891 16108 21088 10251 20851 4393 709 4393">
          <v:imagedata r:id="rId2" o:title="haut"/>
          <w10:wrap anchorx="page"/>
        </v:shape>
      </w:pic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901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76" type="#_x0000_t75" style="position:absolute;left:0;text-align:left;margin-left:-11.8pt;margin-top:-4.3pt;width:91.2pt;height:56.1pt;z-index:2518707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74" type="#_x0000_t202" style="position:absolute;left:0;text-align:left;margin-left:170.9pt;margin-top:7.4pt;width:151.15pt;height:34.2pt;z-index:251868672" filled="f" stroked="f">
          <v:textbox style="mso-next-textbox:#_x0000_s3674">
            <w:txbxContent>
              <w:p w:rsidR="00035BE3" w:rsidRPr="00C776F3" w:rsidRDefault="00035BE3" w:rsidP="00C10469">
                <w:pPr>
                  <w:ind w:firstLine="0"/>
                  <w:rPr>
                    <w:rFonts w:cs="AL-Mateen"/>
                    <w:sz w:val="24"/>
                    <w:szCs w:val="24"/>
                    <w:rtl/>
                  </w:rPr>
                </w:pPr>
                <w:r w:rsidRPr="00C776F3">
                  <w:rPr>
                    <w:rFonts w:cs="AL-Mateen" w:hint="cs"/>
                    <w:sz w:val="24"/>
                    <w:szCs w:val="24"/>
                    <w:rtl/>
                  </w:rPr>
                  <w:t>ق183 :  القَوْلُ قَوْلُ القَابِضِ.</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73" type="#_x0000_t202" style="position:absolute;left:0;text-align:left;margin-left:324.8pt;margin-top:3.4pt;width:99.75pt;height:31.35pt;z-index:251867648" filled="f" stroked="f">
          <v:textbox style="mso-next-textbox:#_x0000_s36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75" type="#_x0000_t75" style="position:absolute;left:0;text-align:left;margin-left:62.55pt;margin-top:.55pt;width:359.1pt;height:44.85pt;z-index:-251446784;mso-wrap-edited:f" wrapcoords="709 4393 473 10251 709 16108 709 16841 20851 16841 20891 16108 21088 10251 20851 4393 709 4393">
          <v:imagedata r:id="rId2" o:title="haut"/>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pPr>
      <w:pStyle w:val="a3"/>
      <w:jc w:val="right"/>
    </w:pPr>
    <w:r>
      <w:rPr>
        <w:rFonts w:cs="Times New Roman"/>
        <w:noProof/>
        <w:sz w:val="24"/>
        <w:szCs w:val="24"/>
        <w:lang w:val="en-US"/>
      </w:rPr>
      <w:drawing>
        <wp:anchor distT="0" distB="0" distL="114300" distR="114300" simplePos="0" relativeHeight="251100672" behindDoc="1" locked="0" layoutInCell="1" allowOverlap="1">
          <wp:simplePos x="0" y="0"/>
          <wp:positionH relativeFrom="column">
            <wp:posOffset>-532765</wp:posOffset>
          </wp:positionH>
          <wp:positionV relativeFrom="paragraph">
            <wp:posOffset>-144307</wp:posOffset>
          </wp:positionV>
          <wp:extent cx="1158240" cy="712470"/>
          <wp:effectExtent l="0" t="0" r="0" b="0"/>
          <wp:wrapNone/>
          <wp:docPr id="1" name="صورة 1" descr="hiche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chemi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71247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46655">
      <w:rPr>
        <w:rFonts w:hint="eastAsia"/>
        <w:noProof/>
        <w:rtl/>
      </w:rPr>
      <w:t>ر‌</w:t>
    </w:r>
    <w:r>
      <w:rPr>
        <w:noProof/>
      </w:rPr>
      <w:fldChar w:fldCharType="end"/>
    </w:r>
  </w:p>
  <w:p w:rsidR="00035BE3" w:rsidRDefault="00035BE3" w:rsidP="009C5DD2">
    <w:pPr>
      <w:pStyle w:val="a3"/>
      <w:ind w:right="360"/>
      <w:rPr>
        <w:rtl/>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33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266</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2978" type="#_x0000_t202" style="position:absolute;left:0;text-align:left;margin-left:142.3pt;margin-top:7.5pt;width:182.5pt;height:34.2pt;z-index:251160064" filled="f" stroked="f">
          <v:textbox style="mso-next-textbox:#_x0000_s2978">
            <w:txbxContent>
              <w:p w:rsidR="00035BE3" w:rsidRPr="00CA7B53" w:rsidRDefault="00035BE3" w:rsidP="00C10469">
                <w:pPr>
                  <w:ind w:firstLine="0"/>
                  <w:rPr>
                    <w:rFonts w:cs="AL-Mateen"/>
                    <w:spacing w:val="4"/>
                    <w:sz w:val="24"/>
                    <w:szCs w:val="24"/>
                    <w:rtl/>
                  </w:rPr>
                </w:pPr>
                <w:r w:rsidRPr="00CA7B53">
                  <w:rPr>
                    <w:rFonts w:cs="AL-Mateen" w:hint="cs"/>
                    <w:spacing w:val="4"/>
                    <w:sz w:val="24"/>
                    <w:szCs w:val="24"/>
                    <w:rtl/>
                  </w:rPr>
                  <w:t>ق9 :  الإخبارُ إذَا رُدّ فِي حقِّ غيرِهِ باقٍ في حقِّ نفسِهِ.</w:t>
                </w:r>
              </w:p>
              <w:p w:rsidR="00035BE3" w:rsidRPr="00303CF2" w:rsidRDefault="00035BE3">
                <w:pPr>
                  <w:ind w:firstLine="0"/>
                  <w:rPr>
                    <w:rFonts w:cs="AL-Mateen"/>
                    <w:sz w:val="24"/>
                    <w:szCs w:val="24"/>
                    <w:rtl/>
                  </w:rPr>
                </w:pPr>
              </w:p>
            </w:txbxContent>
          </v:textbox>
          <w10:wrap anchorx="page"/>
        </v:shape>
      </w:pict>
    </w:r>
    <w:r>
      <w:rPr>
        <w:noProof/>
        <w:rtl/>
        <w:lang w:val="en-US"/>
      </w:rPr>
      <w:pict>
        <v:shape id="_x0000_s2977" type="#_x0000_t202" style="position:absolute;left:0;text-align:left;margin-left:324.8pt;margin-top:5.4pt;width:99.75pt;height:31.35pt;z-index:251159040" filled="f" stroked="f">
          <v:textbox style="mso-next-textbox:#_x0000_s2977">
            <w:txbxContent>
              <w:p w:rsidR="00035BE3" w:rsidRPr="00303CF2" w:rsidRDefault="00035BE3">
                <w:pPr>
                  <w:ind w:firstLine="0"/>
                  <w:jc w:val="center"/>
                  <w:rPr>
                    <w:rFonts w:cs="AL-Mateen"/>
                    <w:sz w:val="28"/>
                    <w:szCs w:val="28"/>
                    <w:rtl/>
                  </w:rPr>
                </w:pPr>
                <w:r w:rsidRPr="00303CF2">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79" type="#_x0000_t75" style="position:absolute;left:0;text-align:left;margin-left:63.4pt;margin-top:.1pt;width:359.1pt;height:44.85pt;z-index:-252155392;mso-wrap-edited:f" wrapcoords="709 4393 473 10251 709 16108 709 16841 20851 16841 20891 16108 21088 10251 20851 4393 709 4393">
          <v:imagedata r:id="rId1" o:title="haut"/>
          <w10:wrap anchorx="page"/>
        </v:shape>
      </w:pict>
    </w:r>
    <w:r>
      <w:rPr>
        <w:noProof/>
        <w:rtl/>
        <w:lang w:val="en-US"/>
      </w:rPr>
      <w:pict>
        <v:shape id="_x0000_s2980" type="#_x0000_t75" style="position:absolute;left:0;text-align:left;margin-left:-10.95pt;margin-top:-4.6pt;width:91.2pt;height:56.1pt;z-index:251162112">
          <v:imagedata r:id="rId2" o:title="hichemil1"/>
          <w10:wrap anchorx="page"/>
        </v:shape>
      </w:pic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903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0" type="#_x0000_t75" style="position:absolute;left:0;text-align:left;margin-left:-11.8pt;margin-top:-4.3pt;width:91.2pt;height:56.1pt;z-index:2518748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78" type="#_x0000_t202" style="position:absolute;left:0;text-align:left;margin-left:170.9pt;margin-top:7.4pt;width:151.15pt;height:34.2pt;z-index:251872768" filled="f" stroked="f">
          <v:textbox style="mso-next-textbox:#_x0000_s3678">
            <w:txbxContent>
              <w:p w:rsidR="00035BE3" w:rsidRPr="00241285" w:rsidRDefault="00035BE3" w:rsidP="00C10469">
                <w:pPr>
                  <w:ind w:firstLine="0"/>
                  <w:rPr>
                    <w:rFonts w:cs="AL-Mateen"/>
                    <w:sz w:val="24"/>
                    <w:szCs w:val="24"/>
                    <w:rtl/>
                  </w:rPr>
                </w:pPr>
                <w:r w:rsidRPr="00FF02F7">
                  <w:rPr>
                    <w:rFonts w:cs="AL-Mateen" w:hint="cs"/>
                    <w:sz w:val="24"/>
                    <w:szCs w:val="24"/>
                    <w:rtl/>
                  </w:rPr>
                  <w:t>ق184 :  الكِتَابُ مِنَ الغَائِبِ كَالخِطَابِ مِنَ الحَاضِرِ.</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77" type="#_x0000_t202" style="position:absolute;left:0;text-align:left;margin-left:324.8pt;margin-top:3.4pt;width:99.75pt;height:31.35pt;z-index:251871744" filled="f" stroked="f">
          <v:textbox style="mso-next-textbox:#_x0000_s36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79" type="#_x0000_t75" style="position:absolute;left:0;text-align:left;margin-left:62.55pt;margin-top:.55pt;width:359.1pt;height:44.85pt;z-index:-251442688;mso-wrap-edited:f" wrapcoords="709 4393 473 10251 709 16108 709 16841 20851 16841 20891 16108 21088 10251 20851 4393 709 4393">
          <v:imagedata r:id="rId2" o:title="haut"/>
          <w10:wrap anchorx="page"/>
        </v:shape>
      </w:pic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904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4" type="#_x0000_t75" style="position:absolute;left:0;text-align:left;margin-left:-11.8pt;margin-top:-4.3pt;width:91.2pt;height:56.1pt;z-index:2518789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82" type="#_x0000_t202" style="position:absolute;left:0;text-align:left;margin-left:170.9pt;margin-top:7.4pt;width:151.15pt;height:34.2pt;z-index:251876864" filled="f" stroked="f">
          <v:textbox style="mso-next-textbox:#_x0000_s3682">
            <w:txbxContent>
              <w:p w:rsidR="00035BE3" w:rsidRPr="00114004" w:rsidRDefault="00035BE3" w:rsidP="00C10469">
                <w:pPr>
                  <w:ind w:firstLine="0"/>
                  <w:rPr>
                    <w:rFonts w:cs="AL-Mateen"/>
                    <w:sz w:val="23"/>
                    <w:szCs w:val="23"/>
                    <w:rtl/>
                  </w:rPr>
                </w:pPr>
                <w:r w:rsidRPr="00114004">
                  <w:rPr>
                    <w:rFonts w:cs="AL-Mateen" w:hint="cs"/>
                    <w:sz w:val="23"/>
                    <w:szCs w:val="23"/>
                    <w:rtl/>
                  </w:rPr>
                  <w:t>ق185 :  كُلُّ كفالةٍ تَنْعَقِدُ غَيْرُ موجِبةٍ للرّدِ لا تَنْقَلِبُ مُوجِبَةً أبدًا.</w:t>
                </w:r>
              </w:p>
              <w:p w:rsidR="00035BE3" w:rsidRPr="00241285" w:rsidRDefault="00035BE3" w:rsidP="00C10469">
                <w:pPr>
                  <w:ind w:firstLine="0"/>
                  <w:rPr>
                    <w:rFonts w:cs="AL-Mateen"/>
                    <w:sz w:val="24"/>
                    <w:szCs w:val="24"/>
                    <w:rtl/>
                  </w:rPr>
                </w:pP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81" type="#_x0000_t202" style="position:absolute;left:0;text-align:left;margin-left:324.8pt;margin-top:3.4pt;width:99.75pt;height:31.35pt;z-index:251875840" filled="f" stroked="f">
          <v:textbox style="mso-next-textbox:#_x0000_s36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83" type="#_x0000_t75" style="position:absolute;left:0;text-align:left;margin-left:62.55pt;margin-top:.55pt;width:359.1pt;height:44.85pt;z-index:-251438592;mso-wrap-edited:f" wrapcoords="709 4393 473 10251 709 16108 709 16841 20851 16841 20891 16108 21088 10251 20851 4393 709 4393">
          <v:imagedata r:id="rId2" o:title="haut"/>
          <w10:wrap anchorx="page"/>
        </v:shape>
      </w:pict>
    </w: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906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8" type="#_x0000_t75" style="position:absolute;left:0;text-align:left;margin-left:-11.8pt;margin-top:-4.3pt;width:91.2pt;height:56.1pt;z-index:2518830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86" type="#_x0000_t202" style="position:absolute;left:0;text-align:left;margin-left:170.9pt;margin-top:7.4pt;width:151.15pt;height:34.2pt;z-index:251880960" filled="f" stroked="f">
          <v:textbox style="mso-next-textbox:#_x0000_s3686">
            <w:txbxContent>
              <w:p w:rsidR="00035BE3" w:rsidRPr="00241285" w:rsidRDefault="00035BE3" w:rsidP="00C10469">
                <w:pPr>
                  <w:ind w:firstLine="0"/>
                  <w:rPr>
                    <w:rFonts w:cs="AL-Mateen"/>
                    <w:sz w:val="24"/>
                    <w:szCs w:val="24"/>
                    <w:rtl/>
                  </w:rPr>
                </w:pPr>
                <w:r w:rsidRPr="00D65E09">
                  <w:rPr>
                    <w:rFonts w:cs="AL-Mateen" w:hint="cs"/>
                    <w:sz w:val="23"/>
                    <w:szCs w:val="23"/>
                    <w:rtl/>
                  </w:rPr>
                  <w:t>ق186 :  كَلِمَةُ كُلٍّ إِذَا دَخَلَتْ عَلَى النَّكِرَةِ أوجَبَتْ عُمُومَ أَفْرَادِهَا ..</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85" type="#_x0000_t202" style="position:absolute;left:0;text-align:left;margin-left:324.8pt;margin-top:3.4pt;width:99.75pt;height:31.35pt;z-index:251879936" filled="f" stroked="f">
          <v:textbox style="mso-next-textbox:#_x0000_s36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87" type="#_x0000_t75" style="position:absolute;left:0;text-align:left;margin-left:62.55pt;margin-top:.55pt;width:359.1pt;height:44.85pt;z-index:-251434496;mso-wrap-edited:f" wrapcoords="709 4393 473 10251 709 16108 709 16841 20851 16841 20891 16108 21088 10251 20851 4393 709 4393">
          <v:imagedata r:id="rId2" o:title="haut"/>
          <w10:wrap anchorx="page"/>
        </v:shape>
      </w:pic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908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2" type="#_x0000_t75" style="position:absolute;left:0;text-align:left;margin-left:-11.8pt;margin-top:-4.3pt;width:91.2pt;height:56.1pt;z-index:25188710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90" type="#_x0000_t202" style="position:absolute;left:0;text-align:left;margin-left:170.9pt;margin-top:7.4pt;width:151.15pt;height:34.2pt;z-index:251885056" filled="f" stroked="f">
          <v:textbox style="mso-next-textbox:#_x0000_s3690">
            <w:txbxContent>
              <w:p w:rsidR="00035BE3" w:rsidRPr="00241285" w:rsidRDefault="00035BE3" w:rsidP="00C10469">
                <w:pPr>
                  <w:ind w:firstLine="0"/>
                  <w:rPr>
                    <w:rFonts w:cs="AL-Mateen"/>
                    <w:sz w:val="24"/>
                    <w:szCs w:val="24"/>
                    <w:rtl/>
                  </w:rPr>
                </w:pPr>
                <w:r w:rsidRPr="00E27A16">
                  <w:rPr>
                    <w:rFonts w:cs="AL-Mateen" w:hint="cs"/>
                    <w:sz w:val="23"/>
                    <w:szCs w:val="23"/>
                    <w:rtl/>
                  </w:rPr>
                  <w:t>ق187 :  كَلِمَةُ كُلٍّ إِذَا دَخَلَتْ عَلَى المَعْرِفَةِ أوْجَبَتْ عُمُومَ أجْزَائِهِ.</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89" type="#_x0000_t202" style="position:absolute;left:0;text-align:left;margin-left:324.8pt;margin-top:3.4pt;width:99.75pt;height:31.35pt;z-index:251884032" filled="f" stroked="f">
          <v:textbox style="mso-next-textbox:#_x0000_s36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91" type="#_x0000_t75" style="position:absolute;left:0;text-align:left;margin-left:62.55pt;margin-top:.55pt;width:359.1pt;height:44.85pt;z-index:-251430400;mso-wrap-edited:f" wrapcoords="709 4393 473 10251 709 16108 709 16841 20851 16841 20891 16108 21088 10251 20851 4393 709 4393">
          <v:imagedata r:id="rId2" o:title="haut"/>
          <w10:wrap anchorx="page"/>
        </v:shape>
      </w:pic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910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6" type="#_x0000_t75" style="position:absolute;left:0;text-align:left;margin-left:-11.8pt;margin-top:-4.3pt;width:91.2pt;height:56.1pt;z-index:2518912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94" type="#_x0000_t202" style="position:absolute;left:0;text-align:left;margin-left:170.9pt;margin-top:7.4pt;width:151.15pt;height:34.2pt;z-index:251889152" filled="f" stroked="f">
          <v:textbox style="mso-next-textbox:#_x0000_s3694">
            <w:txbxContent>
              <w:p w:rsidR="00035BE3" w:rsidRPr="0019290C" w:rsidRDefault="00035BE3" w:rsidP="00C10469">
                <w:pPr>
                  <w:ind w:firstLine="0"/>
                  <w:rPr>
                    <w:rFonts w:cs="AL-Mateen"/>
                    <w:sz w:val="23"/>
                    <w:szCs w:val="23"/>
                    <w:rtl/>
                  </w:rPr>
                </w:pPr>
                <w:r w:rsidRPr="0019290C">
                  <w:rPr>
                    <w:rFonts w:cs="AL-Mateen" w:hint="cs"/>
                    <w:sz w:val="23"/>
                    <w:szCs w:val="23"/>
                    <w:rtl/>
                  </w:rPr>
                  <w:t>ق188 :  كُلُّ شرطٍ يغيِّرُ حكمَ الشَّرْعِ يَكُونُ باطِلاً.</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93" type="#_x0000_t202" style="position:absolute;left:0;text-align:left;margin-left:324.8pt;margin-top:3.4pt;width:99.75pt;height:31.35pt;z-index:251888128" filled="f" stroked="f">
          <v:textbox style="mso-next-textbox:#_x0000_s36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95" type="#_x0000_t75" style="position:absolute;left:0;text-align:left;margin-left:62.55pt;margin-top:.55pt;width:359.1pt;height:44.85pt;z-index:-251426304;mso-wrap-edited:f" wrapcoords="709 4393 473 10251 709 16108 709 16841 20851 16841 20891 16108 21088 10251 20851 4393 709 4393">
          <v:imagedata r:id="rId2" o:title="haut"/>
          <w10:wrap anchorx="page"/>
        </v:shape>
      </w:pic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912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00" type="#_x0000_t75" style="position:absolute;left:0;text-align:left;margin-left:-11.8pt;margin-top:-4.3pt;width:91.2pt;height:56.1pt;z-index:2518952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698" type="#_x0000_t202" style="position:absolute;left:0;text-align:left;margin-left:170.9pt;margin-top:7.4pt;width:151.15pt;height:34.2pt;z-index:251893248" filled="f" stroked="f">
          <v:textbox style="mso-next-textbox:#_x0000_s3698">
            <w:txbxContent>
              <w:p w:rsidR="00035BE3" w:rsidRPr="00761680" w:rsidRDefault="00035BE3" w:rsidP="00C10469">
                <w:pPr>
                  <w:ind w:firstLine="0"/>
                  <w:rPr>
                    <w:rFonts w:cs="AL-Mateen"/>
                    <w:sz w:val="23"/>
                    <w:szCs w:val="23"/>
                    <w:rtl/>
                  </w:rPr>
                </w:pPr>
                <w:r w:rsidRPr="00761680">
                  <w:rPr>
                    <w:rFonts w:cs="AL-Mateen" w:hint="cs"/>
                    <w:sz w:val="23"/>
                    <w:szCs w:val="23"/>
                    <w:rtl/>
                  </w:rPr>
                  <w:t>ق189 :  كُلُّ ما يَتَرَتَّبُ عليها البيِّنَةُ يترتَّبُ عَلَيْهَا التَّحْلِيفُ، سِوى ...</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697" type="#_x0000_t202" style="position:absolute;left:0;text-align:left;margin-left:324.8pt;margin-top:3.4pt;width:99.75pt;height:31.35pt;z-index:251892224" filled="f" stroked="f">
          <v:textbox style="mso-next-textbox:#_x0000_s36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699" type="#_x0000_t75" style="position:absolute;left:0;text-align:left;margin-left:62.55pt;margin-top:.55pt;width:359.1pt;height:44.85pt;z-index:-251422208;mso-wrap-edited:f" wrapcoords="709 4393 473 10251 709 16108 709 16841 20851 16841 20891 16108 21088 10251 20851 4393 709 4393">
          <v:imagedata r:id="rId2" o:title="haut"/>
          <w10:wrap anchorx="page"/>
        </v:shape>
      </w:pic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915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04" type="#_x0000_t75" style="position:absolute;left:0;text-align:left;margin-left:-11.8pt;margin-top:-4.3pt;width:91.2pt;height:56.1pt;z-index:2518993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02" type="#_x0000_t202" style="position:absolute;left:0;text-align:left;margin-left:170.9pt;margin-top:7.4pt;width:151.15pt;height:34.2pt;z-index:251897344" filled="f" stroked="f">
          <v:textbox style="mso-next-textbox:#_x0000_s3702">
            <w:txbxContent>
              <w:p w:rsidR="00035BE3" w:rsidRPr="00013628" w:rsidRDefault="00035BE3" w:rsidP="00C10469">
                <w:pPr>
                  <w:ind w:firstLine="0"/>
                  <w:rPr>
                    <w:rFonts w:cs="AL-Mateen"/>
                    <w:sz w:val="23"/>
                    <w:szCs w:val="23"/>
                    <w:rtl/>
                  </w:rPr>
                </w:pPr>
                <w:r w:rsidRPr="00013628">
                  <w:rPr>
                    <w:rFonts w:cs="AL-Mateen" w:hint="cs"/>
                    <w:sz w:val="23"/>
                    <w:szCs w:val="23"/>
                    <w:rtl/>
                  </w:rPr>
                  <w:t>ق190 :  كُلُّ مَا هُوَ وَاجِبُ الرَّفْعِ بِالاستِرْدَادِ لا يَجُوزُ تَقْرِيرُهُ.</w:t>
                </w: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01" type="#_x0000_t202" style="position:absolute;left:0;text-align:left;margin-left:324.8pt;margin-top:3.4pt;width:99.75pt;height:31.35pt;z-index:251896320" filled="f" stroked="f">
          <v:textbox style="mso-next-textbox:#_x0000_s37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03" type="#_x0000_t75" style="position:absolute;left:0;text-align:left;margin-left:62.55pt;margin-top:.55pt;width:359.1pt;height:44.85pt;z-index:-251418112;mso-wrap-edited:f" wrapcoords="709 4393 473 10251 709 16108 709 16841 20851 16841 20891 16108 21088 10251 20851 4393 709 4393">
          <v:imagedata r:id="rId2" o:title="haut"/>
          <w10:wrap anchorx="page"/>
        </v:shape>
      </w:pict>
    </w: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918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08" type="#_x0000_t75" style="position:absolute;left:0;text-align:left;margin-left:-11.8pt;margin-top:-4.3pt;width:91.2pt;height:56.1pt;z-index:2519034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06" type="#_x0000_t202" style="position:absolute;left:0;text-align:left;margin-left:170.9pt;margin-top:7.4pt;width:151.15pt;height:34.2pt;z-index:251901440" filled="f" stroked="f">
          <v:textbox style="mso-next-textbox:#_x0000_s3706">
            <w:txbxContent>
              <w:p w:rsidR="00035BE3" w:rsidRPr="0030015F" w:rsidRDefault="00035BE3" w:rsidP="00C10469">
                <w:pPr>
                  <w:ind w:firstLine="0"/>
                  <w:rPr>
                    <w:rFonts w:cs="AL-Mateen"/>
                    <w:sz w:val="23"/>
                    <w:szCs w:val="23"/>
                    <w:rtl/>
                  </w:rPr>
                </w:pPr>
                <w:r w:rsidRPr="0030015F">
                  <w:rPr>
                    <w:rFonts w:cs="AL-Mateen" w:hint="cs"/>
                    <w:sz w:val="23"/>
                    <w:szCs w:val="23"/>
                    <w:rtl/>
                  </w:rPr>
                  <w:t>ق191 :  كُلُّ مُخيّرٍ بينَ شَيئَينِ إذَا اختارَ أحدَهُمَا: تعيّنَ عليهِ، ولا ...</w:t>
                </w: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05" type="#_x0000_t202" style="position:absolute;left:0;text-align:left;margin-left:324.8pt;margin-top:3.4pt;width:99.75pt;height:31.35pt;z-index:251900416" filled="f" stroked="f">
          <v:textbox style="mso-next-textbox:#_x0000_s37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07" type="#_x0000_t75" style="position:absolute;left:0;text-align:left;margin-left:62.55pt;margin-top:.55pt;width:359.1pt;height:44.85pt;z-index:-251414016;mso-wrap-edited:f" wrapcoords="709 4393 473 10251 709 16108 709 16841 20851 16841 20891 16108 21088 10251 20851 4393 709 4393">
          <v:imagedata r:id="rId2" o:title="haut"/>
          <w10:wrap anchorx="page"/>
        </v:shape>
      </w:pic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921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12" type="#_x0000_t75" style="position:absolute;left:0;text-align:left;margin-left:-11.8pt;margin-top:-4.3pt;width:91.2pt;height:56.1pt;z-index:2519075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10" type="#_x0000_t202" style="position:absolute;left:0;text-align:left;margin-left:170.9pt;margin-top:7.4pt;width:151.15pt;height:34.2pt;z-index:251905536" filled="f" stroked="f">
          <v:textbox style="mso-next-textbox:#_x0000_s3710">
            <w:txbxContent>
              <w:p w:rsidR="00035BE3" w:rsidRPr="0030015F" w:rsidRDefault="00035BE3" w:rsidP="00C10469">
                <w:pPr>
                  <w:ind w:firstLine="0"/>
                  <w:rPr>
                    <w:rFonts w:cs="AL-Mateen"/>
                    <w:sz w:val="23"/>
                    <w:szCs w:val="23"/>
                    <w:rtl/>
                  </w:rPr>
                </w:pPr>
                <w:r w:rsidRPr="00712F29">
                  <w:rPr>
                    <w:rFonts w:cs="AL-Mateen" w:hint="cs"/>
                    <w:sz w:val="23"/>
                    <w:szCs w:val="23"/>
                    <w:rtl/>
                  </w:rPr>
                  <w:t>ق192 :  الكَيْلِيُّ و الوَزْنِيُّ مَبِيعٌ بِأعيَانِهِمَا، ثمنٌ بأَوْصَافِهِمَا.</w:t>
                </w:r>
                <w:r w:rsidRPr="0030015F">
                  <w:rPr>
                    <w:rFonts w:cs="AL-Mateen" w:hint="cs"/>
                    <w:sz w:val="23"/>
                    <w:szCs w:val="23"/>
                    <w:rtl/>
                  </w:rPr>
                  <w:t>.</w:t>
                </w: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09" type="#_x0000_t202" style="position:absolute;left:0;text-align:left;margin-left:324.8pt;margin-top:3.4pt;width:99.75pt;height:31.35pt;z-index:251904512" filled="f" stroked="f">
          <v:textbox style="mso-next-textbox:#_x0000_s37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11" type="#_x0000_t75" style="position:absolute;left:0;text-align:left;margin-left:62.55pt;margin-top:.55pt;width:359.1pt;height:44.85pt;z-index:-251409920;mso-wrap-edited:f" wrapcoords="709 4393 473 10251 709 16108 709 16841 20851 16841 20891 16108 21088 10251 20851 4393 709 4393">
          <v:imagedata r:id="rId2" o:title="haut"/>
          <w10:wrap anchorx="page"/>
        </v:shape>
      </w:pic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929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16" type="#_x0000_t75" style="position:absolute;left:0;text-align:left;margin-left:-11.8pt;margin-top:-4.3pt;width:91.2pt;height:56.1pt;z-index:2519116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14" type="#_x0000_t202" style="position:absolute;left:0;text-align:left;margin-left:170.9pt;margin-top:7.4pt;width:151.15pt;height:34.2pt;z-index:251909632" filled="f" stroked="f">
          <v:textbox style="mso-next-textbox:#_x0000_s3714">
            <w:txbxContent>
              <w:p w:rsidR="00035BE3" w:rsidRPr="0030015F" w:rsidRDefault="00035BE3" w:rsidP="00C10469">
                <w:pPr>
                  <w:ind w:firstLine="0"/>
                  <w:rPr>
                    <w:rFonts w:cs="AL-Mateen"/>
                    <w:sz w:val="23"/>
                    <w:szCs w:val="23"/>
                    <w:rtl/>
                  </w:rPr>
                </w:pPr>
                <w:r w:rsidRPr="00F06ED6">
                  <w:rPr>
                    <w:rFonts w:cs="AL-Mateen" w:hint="cs"/>
                    <w:sz w:val="23"/>
                    <w:szCs w:val="23"/>
                    <w:rtl/>
                  </w:rPr>
                  <w:t>ق193 : لايُبَالَى باختلافِ الأَسْبَابِ عندَ سَلاَمَةِ المَقْصُودِ.</w:t>
                </w: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13" type="#_x0000_t202" style="position:absolute;left:0;text-align:left;margin-left:324.8pt;margin-top:3.4pt;width:99.75pt;height:31.35pt;z-index:251908608" filled="f" stroked="f">
          <v:textbox style="mso-next-textbox:#_x0000_s37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15" type="#_x0000_t75" style="position:absolute;left:0;text-align:left;margin-left:62.55pt;margin-top:.55pt;width:359.1pt;height:44.85pt;z-index:-251405824;mso-wrap-edited:f" wrapcoords="709 4393 473 10251 709 16108 709 16841 20851 16841 20891 16108 21088 10251 20851 4393 709 4393">
          <v:imagedata r:id="rId2" o:title="haut"/>
          <w10:wrap anchorx="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33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278</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2982" type="#_x0000_t202" style="position:absolute;left:0;text-align:left;margin-left:142.3pt;margin-top:7.5pt;width:182.5pt;height:34.2pt;z-index:251164160" filled="f" stroked="f">
          <v:textbox style="mso-next-textbox:#_x0000_s2982">
            <w:txbxContent>
              <w:p w:rsidR="00035BE3" w:rsidRPr="00CA7B53" w:rsidRDefault="00035BE3" w:rsidP="00C10469">
                <w:pPr>
                  <w:ind w:firstLine="0"/>
                  <w:rPr>
                    <w:rFonts w:cs="AL-Mateen"/>
                    <w:spacing w:val="4"/>
                    <w:sz w:val="24"/>
                    <w:szCs w:val="24"/>
                    <w:rtl/>
                  </w:rPr>
                </w:pPr>
                <w:r w:rsidRPr="00F512C6">
                  <w:rPr>
                    <w:rFonts w:cs="AL-Mateen" w:hint="cs"/>
                    <w:spacing w:val="4"/>
                    <w:sz w:val="24"/>
                    <w:szCs w:val="24"/>
                    <w:rtl/>
                  </w:rPr>
                  <w:t>ق 10 : إذَا بَطَلَ الشَّيءُ بطلَ ما في ضِمنِهِ</w:t>
                </w:r>
                <w:r w:rsidRPr="00F512C6">
                  <w:rPr>
                    <w:rFonts w:cs="AL-Mateen"/>
                    <w:spacing w:val="4"/>
                    <w:sz w:val="24"/>
                    <w:szCs w:val="24"/>
                  </w:rPr>
                  <w:t>.</w:t>
                </w:r>
                <w:r w:rsidRPr="00CA7B53">
                  <w:rPr>
                    <w:rFonts w:cs="AL-Mateen" w:hint="cs"/>
                    <w:spacing w:val="4"/>
                    <w:sz w:val="24"/>
                    <w:szCs w:val="24"/>
                    <w:rtl/>
                  </w:rPr>
                  <w:t>نفسِهِ.</w:t>
                </w:r>
              </w:p>
              <w:p w:rsidR="00035BE3" w:rsidRPr="00303CF2" w:rsidRDefault="00035BE3">
                <w:pPr>
                  <w:ind w:firstLine="0"/>
                  <w:rPr>
                    <w:rFonts w:cs="AL-Mateen"/>
                    <w:sz w:val="24"/>
                    <w:szCs w:val="24"/>
                    <w:rtl/>
                  </w:rPr>
                </w:pPr>
              </w:p>
            </w:txbxContent>
          </v:textbox>
          <w10:wrap anchorx="page"/>
        </v:shape>
      </w:pict>
    </w:r>
    <w:r>
      <w:rPr>
        <w:noProof/>
        <w:rtl/>
        <w:lang w:val="en-US"/>
      </w:rPr>
      <w:pict>
        <v:shape id="_x0000_s2981" type="#_x0000_t202" style="position:absolute;left:0;text-align:left;margin-left:324.8pt;margin-top:5.4pt;width:99.75pt;height:31.35pt;z-index:251163136" filled="f" stroked="f">
          <v:textbox style="mso-next-textbox:#_x0000_s2981">
            <w:txbxContent>
              <w:p w:rsidR="00035BE3" w:rsidRPr="00303CF2" w:rsidRDefault="00035BE3">
                <w:pPr>
                  <w:ind w:firstLine="0"/>
                  <w:jc w:val="center"/>
                  <w:rPr>
                    <w:rFonts w:cs="AL-Mateen"/>
                    <w:sz w:val="28"/>
                    <w:szCs w:val="28"/>
                    <w:rtl/>
                  </w:rPr>
                </w:pPr>
                <w:r w:rsidRPr="00303CF2">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83" type="#_x0000_t75" style="position:absolute;left:0;text-align:left;margin-left:63.4pt;margin-top:.1pt;width:359.1pt;height:44.85pt;z-index:-252151296;mso-wrap-edited:f" wrapcoords="709 4393 473 10251 709 16108 709 16841 20851 16841 20891 16108 21088 10251 20851 4393 709 4393">
          <v:imagedata r:id="rId1" o:title="haut"/>
          <w10:wrap anchorx="page"/>
        </v:shape>
      </w:pict>
    </w:r>
    <w:r>
      <w:rPr>
        <w:noProof/>
        <w:rtl/>
        <w:lang w:val="en-US"/>
      </w:rPr>
      <w:pict>
        <v:shape id="_x0000_s2984" type="#_x0000_t75" style="position:absolute;left:0;text-align:left;margin-left:-10.95pt;margin-top:-4.6pt;width:91.2pt;height:56.1pt;z-index:251166208">
          <v:imagedata r:id="rId2" o:title="hichemil1"/>
          <w10:wrap anchorx="page"/>
        </v:shape>
      </w:pict>
    </w: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931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20" type="#_x0000_t75" style="position:absolute;left:0;text-align:left;margin-left:-11.8pt;margin-top:-4.3pt;width:91.2pt;height:56.1pt;z-index:2519157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18" type="#_x0000_t202" style="position:absolute;left:0;text-align:left;margin-left:170.9pt;margin-top:7.4pt;width:151.15pt;height:34.2pt;z-index:251913728" filled="f" stroked="f">
          <v:textbox style="mso-next-textbox:#_x0000_s3718">
            <w:txbxContent>
              <w:p w:rsidR="00035BE3" w:rsidRPr="009A4981" w:rsidRDefault="00035BE3" w:rsidP="00C10469">
                <w:pPr>
                  <w:ind w:firstLine="0"/>
                  <w:rPr>
                    <w:rFonts w:cs="AL-Mateen"/>
                    <w:sz w:val="23"/>
                    <w:szCs w:val="23"/>
                    <w:rtl/>
                  </w:rPr>
                </w:pPr>
                <w:r w:rsidRPr="009A4981">
                  <w:rPr>
                    <w:rFonts w:cs="AL-Mateen" w:hint="cs"/>
                    <w:sz w:val="23"/>
                    <w:szCs w:val="23"/>
                    <w:rtl/>
                  </w:rPr>
                  <w:t>ق194 :  لا يَجُوزُ للمدَّعَى عليهِ الإنكارُ إذا كَانَ عالمًا بالحَقِّ.</w:t>
                </w:r>
              </w:p>
              <w:p w:rsidR="00035BE3" w:rsidRPr="0030015F" w:rsidRDefault="00035BE3" w:rsidP="00C10469">
                <w:pPr>
                  <w:ind w:firstLine="0"/>
                  <w:rPr>
                    <w:rFonts w:cs="AL-Mateen"/>
                    <w:sz w:val="23"/>
                    <w:szCs w:val="23"/>
                    <w:rtl/>
                  </w:rPr>
                </w:pP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17" type="#_x0000_t202" style="position:absolute;left:0;text-align:left;margin-left:324.8pt;margin-top:3.4pt;width:99.75pt;height:31.35pt;z-index:251912704" filled="f" stroked="f">
          <v:textbox style="mso-next-textbox:#_x0000_s37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19" type="#_x0000_t75" style="position:absolute;left:0;text-align:left;margin-left:62.55pt;margin-top:.55pt;width:359.1pt;height:44.85pt;z-index:-251401728;mso-wrap-edited:f" wrapcoords="709 4393 473 10251 709 16108 709 16841 20851 16841 20891 16108 21088 10251 20851 4393 709 4393">
          <v:imagedata r:id="rId2" o:title="haut"/>
          <w10:wrap anchorx="page"/>
        </v:shape>
      </w:pic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935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24" type="#_x0000_t75" style="position:absolute;left:0;text-align:left;margin-left:-11.8pt;margin-top:-4.3pt;width:91.2pt;height:56.1pt;z-index:2519198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22" type="#_x0000_t202" style="position:absolute;left:0;text-align:left;margin-left:170.9pt;margin-top:7.4pt;width:151.15pt;height:34.2pt;z-index:251917824" filled="f" stroked="f">
          <v:textbox style="mso-next-textbox:#_x0000_s3722">
            <w:txbxContent>
              <w:p w:rsidR="00035BE3" w:rsidRPr="00153AF9" w:rsidRDefault="00035BE3" w:rsidP="00C10469">
                <w:pPr>
                  <w:ind w:firstLine="0"/>
                  <w:rPr>
                    <w:rFonts w:cs="AL-Mateen"/>
                    <w:sz w:val="23"/>
                    <w:szCs w:val="23"/>
                    <w:rtl/>
                  </w:rPr>
                </w:pPr>
                <w:r w:rsidRPr="00153AF9">
                  <w:rPr>
                    <w:rFonts w:cs="AL-Mateen" w:hint="cs"/>
                    <w:sz w:val="23"/>
                    <w:szCs w:val="23"/>
                    <w:rtl/>
                  </w:rPr>
                  <w:t>ق195 :  لاَ ثَوَابَ إلا بالنِّيَّةِ.</w:t>
                </w:r>
              </w:p>
              <w:p w:rsidR="00035BE3" w:rsidRPr="009A4981" w:rsidRDefault="00035BE3" w:rsidP="00C10469">
                <w:pPr>
                  <w:ind w:firstLine="0"/>
                  <w:rPr>
                    <w:rFonts w:cs="AL-Mateen"/>
                    <w:sz w:val="23"/>
                    <w:szCs w:val="23"/>
                    <w:rtl/>
                  </w:rPr>
                </w:pPr>
              </w:p>
              <w:p w:rsidR="00035BE3" w:rsidRPr="0030015F" w:rsidRDefault="00035BE3" w:rsidP="00C10469">
                <w:pPr>
                  <w:ind w:firstLine="0"/>
                  <w:rPr>
                    <w:rFonts w:cs="AL-Mateen"/>
                    <w:sz w:val="23"/>
                    <w:szCs w:val="23"/>
                    <w:rtl/>
                  </w:rPr>
                </w:pP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21" type="#_x0000_t202" style="position:absolute;left:0;text-align:left;margin-left:324.8pt;margin-top:3.4pt;width:99.75pt;height:31.35pt;z-index:251916800" filled="f" stroked="f">
          <v:textbox style="mso-next-textbox:#_x0000_s37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23" type="#_x0000_t75" style="position:absolute;left:0;text-align:left;margin-left:62.55pt;margin-top:.55pt;width:359.1pt;height:44.85pt;z-index:-251397632;mso-wrap-edited:f" wrapcoords="709 4393 473 10251 709 16108 709 16841 20851 16841 20891 16108 21088 10251 20851 4393 709 4393">
          <v:imagedata r:id="rId2" o:title="haut"/>
          <w10:wrap anchorx="page"/>
        </v:shape>
      </w:pic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939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28" type="#_x0000_t75" style="position:absolute;left:0;text-align:left;margin-left:-11.8pt;margin-top:-4.3pt;width:91.2pt;height:56.1pt;z-index:2519239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26" type="#_x0000_t202" style="position:absolute;left:0;text-align:left;margin-left:170.9pt;margin-top:7.4pt;width:151.15pt;height:34.2pt;z-index:251921920" filled="f" stroked="f">
          <v:textbox style="mso-next-textbox:#_x0000_s3726">
            <w:txbxContent>
              <w:p w:rsidR="00035BE3" w:rsidRPr="009A4981" w:rsidRDefault="00035BE3" w:rsidP="00C10469">
                <w:pPr>
                  <w:ind w:firstLine="0"/>
                  <w:rPr>
                    <w:rFonts w:cs="AL-Mateen"/>
                    <w:sz w:val="23"/>
                    <w:szCs w:val="23"/>
                    <w:rtl/>
                  </w:rPr>
                </w:pPr>
                <w:r w:rsidRPr="00D062C5">
                  <w:rPr>
                    <w:rFonts w:cs="AL-Mateen" w:hint="cs"/>
                    <w:sz w:val="23"/>
                    <w:szCs w:val="23"/>
                    <w:rtl/>
                  </w:rPr>
                  <w:t>ق196 : لا يَمْلِكُ أحدٌ إثباتَ ملكٍ لغيرِهِ بلا اخْتِيَارِهِ.</w:t>
                </w:r>
              </w:p>
              <w:p w:rsidR="00035BE3" w:rsidRPr="0030015F" w:rsidRDefault="00035BE3" w:rsidP="00C10469">
                <w:pPr>
                  <w:ind w:firstLine="0"/>
                  <w:rPr>
                    <w:rFonts w:cs="AL-Mateen"/>
                    <w:sz w:val="23"/>
                    <w:szCs w:val="23"/>
                    <w:rtl/>
                  </w:rPr>
                </w:pP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25" type="#_x0000_t202" style="position:absolute;left:0;text-align:left;margin-left:324.8pt;margin-top:3.4pt;width:99.75pt;height:31.35pt;z-index:251920896" filled="f" stroked="f">
          <v:textbox style="mso-next-textbox:#_x0000_s37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27" type="#_x0000_t75" style="position:absolute;left:0;text-align:left;margin-left:62.55pt;margin-top:.55pt;width:359.1pt;height:44.85pt;z-index:-251393536;mso-wrap-edited:f" wrapcoords="709 4393 473 10251 709 16108 709 16841 20851 16841 20891 16108 21088 10251 20851 4393 709 4393">
          <v:imagedata r:id="rId2" o:title="haut"/>
          <w10:wrap anchorx="page"/>
        </v:shape>
      </w:pic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942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32" type="#_x0000_t75" style="position:absolute;left:0;text-align:left;margin-left:-11.8pt;margin-top:-4.3pt;width:91.2pt;height:56.1pt;z-index:2519280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30" type="#_x0000_t202" style="position:absolute;left:0;text-align:left;margin-left:170.9pt;margin-top:7.4pt;width:151.15pt;height:34.2pt;z-index:251926016" filled="f" stroked="f">
          <v:textbox style="mso-next-textbox:#_x0000_s3730">
            <w:txbxContent>
              <w:p w:rsidR="00035BE3" w:rsidRPr="009A4981" w:rsidRDefault="00035BE3" w:rsidP="00C10469">
                <w:pPr>
                  <w:ind w:firstLine="0"/>
                  <w:rPr>
                    <w:rFonts w:cs="AL-Mateen"/>
                    <w:sz w:val="23"/>
                    <w:szCs w:val="23"/>
                    <w:rtl/>
                  </w:rPr>
                </w:pPr>
                <w:r w:rsidRPr="00B971F9">
                  <w:rPr>
                    <w:rFonts w:cs="AL-Mateen" w:hint="cs"/>
                    <w:sz w:val="23"/>
                    <w:szCs w:val="23"/>
                    <w:rtl/>
                  </w:rPr>
                  <w:t>ق197 :  لاَ تَأْثِيرَ للعَزِيمَةِ في تَغْييرِ الحَقِيقَةِ.</w:t>
                </w:r>
              </w:p>
              <w:p w:rsidR="00035BE3" w:rsidRPr="0030015F" w:rsidRDefault="00035BE3" w:rsidP="00C10469">
                <w:pPr>
                  <w:ind w:firstLine="0"/>
                  <w:rPr>
                    <w:rFonts w:cs="AL-Mateen"/>
                    <w:sz w:val="23"/>
                    <w:szCs w:val="23"/>
                    <w:rtl/>
                  </w:rPr>
                </w:pP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29" type="#_x0000_t202" style="position:absolute;left:0;text-align:left;margin-left:324.8pt;margin-top:3.4pt;width:99.75pt;height:31.35pt;z-index:251924992" filled="f" stroked="f">
          <v:textbox style="mso-next-textbox:#_x0000_s37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31" type="#_x0000_t75" style="position:absolute;left:0;text-align:left;margin-left:62.55pt;margin-top:.55pt;width:359.1pt;height:44.85pt;z-index:-251389440;mso-wrap-edited:f" wrapcoords="709 4393 473 10251 709 16108 709 16841 20851 16841 20891 16108 21088 10251 20851 4393 709 4393">
          <v:imagedata r:id="rId2" o:title="haut"/>
          <w10:wrap anchorx="page"/>
        </v:shape>
      </w:pic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946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36" type="#_x0000_t75" style="position:absolute;left:0;text-align:left;margin-left:-11.8pt;margin-top:-4.3pt;width:91.2pt;height:56.1pt;z-index:2519321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34" type="#_x0000_t202" style="position:absolute;left:0;text-align:left;margin-left:170.9pt;margin-top:7.4pt;width:151.15pt;height:34.2pt;z-index:251930112" filled="f" stroked="f">
          <v:textbox style="mso-next-textbox:#_x0000_s3734">
            <w:txbxContent>
              <w:p w:rsidR="00035BE3" w:rsidRPr="00217529" w:rsidRDefault="00035BE3" w:rsidP="00C10469">
                <w:pPr>
                  <w:ind w:firstLine="0"/>
                  <w:rPr>
                    <w:rFonts w:cs="AL-Mateen"/>
                    <w:sz w:val="23"/>
                    <w:szCs w:val="23"/>
                    <w:rtl/>
                  </w:rPr>
                </w:pPr>
                <w:r w:rsidRPr="00217529">
                  <w:rPr>
                    <w:rFonts w:cs="AL-Mateen" w:hint="cs"/>
                    <w:sz w:val="23"/>
                    <w:szCs w:val="23"/>
                    <w:rtl/>
                  </w:rPr>
                  <w:t>ق198 :  لا يصحُّ تَأْجِيلُ الأَعْيَانِ.</w:t>
                </w:r>
              </w:p>
              <w:p w:rsidR="00035BE3" w:rsidRPr="0030015F" w:rsidRDefault="00035BE3" w:rsidP="00C10469">
                <w:pPr>
                  <w:ind w:firstLine="0"/>
                  <w:rPr>
                    <w:rFonts w:cs="AL-Mateen"/>
                    <w:sz w:val="23"/>
                    <w:szCs w:val="23"/>
                    <w:rtl/>
                  </w:rPr>
                </w:pPr>
              </w:p>
              <w:p w:rsidR="00035BE3" w:rsidRPr="00761680" w:rsidRDefault="00035BE3" w:rsidP="00C10469">
                <w:pPr>
                  <w:ind w:firstLine="0"/>
                  <w:rPr>
                    <w:rFonts w:cs="AL-Mateen"/>
                    <w:sz w:val="23"/>
                    <w:szCs w:val="23"/>
                    <w:rtl/>
                  </w:rPr>
                </w:pPr>
                <w:r w:rsidRPr="00761680">
                  <w:rPr>
                    <w:rFonts w:cs="AL-Mateen" w:hint="cs"/>
                    <w:sz w:val="23"/>
                    <w:szCs w:val="23"/>
                    <w:rtl/>
                  </w:rPr>
                  <w:t>.</w:t>
                </w:r>
              </w:p>
              <w:p w:rsidR="00035BE3" w:rsidRPr="00C6454D"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33" type="#_x0000_t202" style="position:absolute;left:0;text-align:left;margin-left:324.8pt;margin-top:3.4pt;width:99.75pt;height:31.35pt;z-index:251929088" filled="f" stroked="f">
          <v:textbox style="mso-next-textbox:#_x0000_s37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35" type="#_x0000_t75" style="position:absolute;left:0;text-align:left;margin-left:62.55pt;margin-top:.55pt;width:359.1pt;height:44.85pt;z-index:-251385344;mso-wrap-edited:f" wrapcoords="709 4393 473 10251 709 16108 709 16841 20851 16841 20891 16108 21088 10251 20851 4393 709 4393">
          <v:imagedata r:id="rId2" o:title="haut"/>
          <w10:wrap anchorx="page"/>
        </v:shape>
      </w:pic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950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40" type="#_x0000_t75" style="position:absolute;left:0;text-align:left;margin-left:-11.8pt;margin-top:-4.3pt;width:91.2pt;height:56.1pt;z-index:2519362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38" type="#_x0000_t202" style="position:absolute;left:0;text-align:left;margin-left:170.9pt;margin-top:7.4pt;width:151.15pt;height:34.2pt;z-index:251934208" filled="f" stroked="f">
          <v:textbox style="mso-next-textbox:#_x0000_s3738">
            <w:txbxContent>
              <w:p w:rsidR="00035BE3" w:rsidRPr="006B21A9" w:rsidRDefault="00035BE3" w:rsidP="00C10469">
                <w:pPr>
                  <w:ind w:firstLine="0"/>
                  <w:rPr>
                    <w:rFonts w:cs="AL-Mateen"/>
                    <w:sz w:val="23"/>
                    <w:szCs w:val="23"/>
                    <w:rtl/>
                  </w:rPr>
                </w:pPr>
                <w:r w:rsidRPr="006B21A9">
                  <w:rPr>
                    <w:rFonts w:cs="AL-Mateen" w:hint="cs"/>
                    <w:sz w:val="23"/>
                    <w:szCs w:val="23"/>
                    <w:rtl/>
                  </w:rPr>
                  <w:t>ق199 :  لاَ يَصِحُّ تَمْلِيكُ الدَّيْنِ مِنْ غَيْرِ مَنْ عَلَيْهِ الدّينُ.</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37" type="#_x0000_t202" style="position:absolute;left:0;text-align:left;margin-left:324.8pt;margin-top:3.4pt;width:99.75pt;height:31.35pt;z-index:251933184" filled="f" stroked="f">
          <v:textbox style="mso-next-textbox:#_x0000_s37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39" type="#_x0000_t75" style="position:absolute;left:0;text-align:left;margin-left:62.55pt;margin-top:.55pt;width:359.1pt;height:44.85pt;z-index:-251381248;mso-wrap-edited:f" wrapcoords="709 4393 473 10251 709 16108 709 16841 20851 16841 20891 16108 21088 10251 20851 4393 709 4393">
          <v:imagedata r:id="rId2" o:title="haut"/>
          <w10:wrap anchorx="page"/>
        </v:shape>
      </w:pict>
    </w: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956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44" type="#_x0000_t75" style="position:absolute;left:0;text-align:left;margin-left:-11.8pt;margin-top:-4.3pt;width:91.2pt;height:56.1pt;z-index:2519403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42" type="#_x0000_t202" style="position:absolute;left:0;text-align:left;margin-left:170.9pt;margin-top:7.4pt;width:151.15pt;height:34.2pt;z-index:251938304" filled="f" stroked="f">
          <v:textbox style="mso-next-textbox:#_x0000_s3742">
            <w:txbxContent>
              <w:p w:rsidR="00035BE3" w:rsidRPr="006B2B13" w:rsidRDefault="00035BE3" w:rsidP="00C10469">
                <w:pPr>
                  <w:ind w:firstLine="0"/>
                  <w:rPr>
                    <w:rFonts w:cs="AL-Mateen"/>
                    <w:sz w:val="23"/>
                    <w:szCs w:val="23"/>
                    <w:rtl/>
                  </w:rPr>
                </w:pPr>
                <w:r w:rsidRPr="006B2B13">
                  <w:rPr>
                    <w:rFonts w:cs="AL-Mateen" w:hint="cs"/>
                    <w:sz w:val="23"/>
                    <w:szCs w:val="23"/>
                    <w:rtl/>
                  </w:rPr>
                  <w:t>ق200 :  لا عِبْرَةَ بالظَّنِّ البَيّنِ خطؤُهُ.</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41" type="#_x0000_t202" style="position:absolute;left:0;text-align:left;margin-left:324.8pt;margin-top:3.4pt;width:99.75pt;height:31.35pt;z-index:251937280" filled="f" stroked="f">
          <v:textbox style="mso-next-textbox:#_x0000_s37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43" type="#_x0000_t75" style="position:absolute;left:0;text-align:left;margin-left:62.55pt;margin-top:.55pt;width:359.1pt;height:44.85pt;z-index:-251377152;mso-wrap-edited:f" wrapcoords="709 4393 473 10251 709 16108 709 16841 20851 16841 20891 16108 21088 10251 20851 4393 709 4393">
          <v:imagedata r:id="rId2" o:title="haut"/>
          <w10:wrap anchorx="page"/>
        </v:shape>
      </w:pict>
    </w: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958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48" type="#_x0000_t75" style="position:absolute;left:0;text-align:left;margin-left:-11.8pt;margin-top:-4.3pt;width:91.2pt;height:56.1pt;z-index:2519444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46" type="#_x0000_t202" style="position:absolute;left:0;text-align:left;margin-left:170.9pt;margin-top:7.4pt;width:151.15pt;height:34.2pt;z-index:251942400" filled="f" stroked="f">
          <v:textbox style="mso-next-textbox:#_x0000_s3746">
            <w:txbxContent>
              <w:p w:rsidR="00035BE3" w:rsidRPr="0089415F" w:rsidRDefault="00035BE3" w:rsidP="00C10469">
                <w:pPr>
                  <w:ind w:firstLine="0"/>
                  <w:rPr>
                    <w:rFonts w:cs="AL-Mateen"/>
                    <w:sz w:val="23"/>
                    <w:szCs w:val="23"/>
                    <w:rtl/>
                  </w:rPr>
                </w:pPr>
                <w:r w:rsidRPr="0089415F">
                  <w:rPr>
                    <w:rFonts w:cs="AL-Mateen" w:hint="cs"/>
                    <w:sz w:val="23"/>
                    <w:szCs w:val="23"/>
                    <w:rtl/>
                  </w:rPr>
                  <w:t>ق201 :  لاَ تَصِحُّ الكفالةُ إلاّ بِدَيْنٍ صَحِيحٍ.</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45" type="#_x0000_t202" style="position:absolute;left:0;text-align:left;margin-left:324.8pt;margin-top:3.4pt;width:99.75pt;height:31.35pt;z-index:251941376" filled="f" stroked="f">
          <v:textbox style="mso-next-textbox:#_x0000_s37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47" type="#_x0000_t75" style="position:absolute;left:0;text-align:left;margin-left:62.55pt;margin-top:.55pt;width:359.1pt;height:44.85pt;z-index:-251373056;mso-wrap-edited:f" wrapcoords="709 4393 473 10251 709 16108 709 16841 20851 16841 20891 16108 21088 10251 20851 4393 709 4393">
          <v:imagedata r:id="rId2" o:title="haut"/>
          <w10:wrap anchorx="page"/>
        </v:shape>
      </w:pic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963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52" type="#_x0000_t75" style="position:absolute;left:0;text-align:left;margin-left:-11.8pt;margin-top:-4.3pt;width:91.2pt;height:56.1pt;z-index:2519485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50" type="#_x0000_t202" style="position:absolute;left:0;text-align:left;margin-left:170.9pt;margin-top:7.4pt;width:151.15pt;height:34.2pt;z-index:251946496" filled="f" stroked="f">
          <v:textbox style="mso-next-textbox:#_x0000_s3750">
            <w:txbxContent>
              <w:p w:rsidR="00035BE3" w:rsidRPr="00E220B0" w:rsidRDefault="00035BE3" w:rsidP="00C10469">
                <w:pPr>
                  <w:ind w:firstLine="0"/>
                  <w:rPr>
                    <w:rFonts w:cs="AL-Mateen"/>
                    <w:sz w:val="23"/>
                    <w:szCs w:val="23"/>
                    <w:rtl/>
                  </w:rPr>
                </w:pPr>
                <w:r w:rsidRPr="00E220B0">
                  <w:rPr>
                    <w:rFonts w:cs="AL-Mateen" w:hint="cs"/>
                    <w:sz w:val="23"/>
                    <w:szCs w:val="23"/>
                    <w:rtl/>
                  </w:rPr>
                  <w:t>ق202 :  لا يُعْتَمَدُ عَلَى الخَطِّ، ولا يُعْمَلُ بِهِ.</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49" type="#_x0000_t202" style="position:absolute;left:0;text-align:left;margin-left:324.8pt;margin-top:3.4pt;width:99.75pt;height:31.35pt;z-index:251945472" filled="f" stroked="f">
          <v:textbox style="mso-next-textbox:#_x0000_s37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51" type="#_x0000_t75" style="position:absolute;left:0;text-align:left;margin-left:62.55pt;margin-top:.55pt;width:359.1pt;height:44.85pt;z-index:-251368960;mso-wrap-edited:f" wrapcoords="709 4393 473 10251 709 16108 709 16841 20851 16841 20891 16108 21088 10251 20851 4393 709 4393">
          <v:imagedata r:id="rId2" o:title="haut"/>
          <w10:wrap anchorx="page"/>
        </v:shape>
      </w:pic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966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56" type="#_x0000_t75" style="position:absolute;left:0;text-align:left;margin-left:-11.8pt;margin-top:-4.3pt;width:91.2pt;height:56.1pt;z-index:2519526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54" type="#_x0000_t202" style="position:absolute;left:0;text-align:left;margin-left:170.9pt;margin-top:7.4pt;width:151.15pt;height:34.2pt;z-index:251950592" filled="f" stroked="f">
          <v:textbox style="mso-next-textbox:#_x0000_s3754">
            <w:txbxContent>
              <w:p w:rsidR="00035BE3" w:rsidRPr="006B21A9" w:rsidRDefault="00035BE3" w:rsidP="00C10469">
                <w:pPr>
                  <w:ind w:firstLine="0"/>
                  <w:rPr>
                    <w:rFonts w:cs="AL-Mateen"/>
                    <w:sz w:val="23"/>
                    <w:szCs w:val="23"/>
                    <w:rtl/>
                  </w:rPr>
                </w:pPr>
                <w:r w:rsidRPr="002D5E29">
                  <w:rPr>
                    <w:rFonts w:cs="AL-Mateen" w:hint="cs"/>
                    <w:sz w:val="23"/>
                    <w:szCs w:val="23"/>
                    <w:rtl/>
                  </w:rPr>
                  <w:t>ق203 :  لا يُحلِّفُ القَاضِي عَلَى حقٍّ مَجْهُولٍ.</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53" type="#_x0000_t202" style="position:absolute;left:0;text-align:left;margin-left:324.8pt;margin-top:3.4pt;width:99.75pt;height:31.35pt;z-index:251949568" filled="f" stroked="f">
          <v:textbox style="mso-next-textbox:#_x0000_s37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55" type="#_x0000_t75" style="position:absolute;left:0;text-align:left;margin-left:62.55pt;margin-top:.55pt;width:359.1pt;height:44.85pt;z-index:-251364864;mso-wrap-edited:f" wrapcoords="709 4393 473 10251 709 16108 709 16841 20851 16841 20891 16108 21088 10251 20851 4393 709 4393">
          <v:imagedata r:id="rId2" o:title="haut"/>
          <w10:wrap anchorx="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970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60" type="#_x0000_t75" style="position:absolute;left:0;text-align:left;margin-left:-11.8pt;margin-top:-4.3pt;width:91.2pt;height:56.1pt;z-index:2519567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58" type="#_x0000_t202" style="position:absolute;left:0;text-align:left;margin-left:170.9pt;margin-top:7.4pt;width:151.15pt;height:34.2pt;z-index:251954688" filled="f" stroked="f">
          <v:textbox style="mso-next-textbox:#_x0000_s3758">
            <w:txbxContent>
              <w:p w:rsidR="00035BE3" w:rsidRPr="00B2034F" w:rsidRDefault="00035BE3" w:rsidP="00C10469">
                <w:pPr>
                  <w:ind w:firstLine="0"/>
                  <w:rPr>
                    <w:rFonts w:cs="AL-Mateen"/>
                    <w:sz w:val="23"/>
                    <w:szCs w:val="23"/>
                    <w:rtl/>
                  </w:rPr>
                </w:pPr>
                <w:r w:rsidRPr="00B2034F">
                  <w:rPr>
                    <w:rFonts w:cs="AL-Mateen" w:hint="cs"/>
                    <w:sz w:val="23"/>
                    <w:szCs w:val="23"/>
                    <w:rtl/>
                  </w:rPr>
                  <w:t>ق204 :  لاَ تُسمَعُ الدَّعوَى بَعْدَ الإبْرَاءِ العِامِّ إلاّ بحقٍّ حادِثٍ بَعْدَهُ.</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57" type="#_x0000_t202" style="position:absolute;left:0;text-align:left;margin-left:324.8pt;margin-top:3.4pt;width:99.75pt;height:31.35pt;z-index:251953664" filled="f" stroked="f">
          <v:textbox style="mso-next-textbox:#_x0000_s37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59" type="#_x0000_t75" style="position:absolute;left:0;text-align:left;margin-left:62.55pt;margin-top:.55pt;width:359.1pt;height:44.85pt;z-index:-251360768;mso-wrap-edited:f" wrapcoords="709 4393 473 10251 709 16108 709 16841 20851 16841 20891 16108 21088 10251 20851 4393 709 4393">
          <v:imagedata r:id="rId2" o:title="haut"/>
          <w10:wrap anchorx="page"/>
        </v:shape>
      </w:pict>
    </w: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971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64" type="#_x0000_t75" style="position:absolute;left:0;text-align:left;margin-left:-11.8pt;margin-top:-4.3pt;width:91.2pt;height:56.1pt;z-index:2519608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62" type="#_x0000_t202" style="position:absolute;left:0;text-align:left;margin-left:170.9pt;margin-top:7.4pt;width:151.15pt;height:34.2pt;z-index:251958784" filled="f" stroked="f">
          <v:textbox style="mso-next-textbox:#_x0000_s3762">
            <w:txbxContent>
              <w:p w:rsidR="00035BE3" w:rsidRPr="00114BEA" w:rsidRDefault="00035BE3" w:rsidP="00C10469">
                <w:pPr>
                  <w:ind w:firstLine="0"/>
                  <w:rPr>
                    <w:rFonts w:cs="AL-Mateen"/>
                    <w:sz w:val="23"/>
                    <w:szCs w:val="23"/>
                    <w:rtl/>
                  </w:rPr>
                </w:pPr>
                <w:r w:rsidRPr="00114BEA">
                  <w:rPr>
                    <w:rFonts w:cs="AL-Mateen" w:hint="cs"/>
                    <w:sz w:val="23"/>
                    <w:szCs w:val="23"/>
                    <w:rtl/>
                  </w:rPr>
                  <w:t>ق205 :  لاَ تُسْمَعُ البيِّنَةُ عَلَى المُقِرِّ.</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61" type="#_x0000_t202" style="position:absolute;left:0;text-align:left;margin-left:324.8pt;margin-top:3.4pt;width:99.75pt;height:31.35pt;z-index:251957760" filled="f" stroked="f">
          <v:textbox style="mso-next-textbox:#_x0000_s37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63" type="#_x0000_t75" style="position:absolute;left:0;text-align:left;margin-left:62.55pt;margin-top:.55pt;width:359.1pt;height:44.85pt;z-index:-251356672;mso-wrap-edited:f" wrapcoords="709 4393 473 10251 709 16108 709 16841 20851 16841 20891 16108 21088 10251 20851 4393 709 4393">
          <v:imagedata r:id="rId2" o:title="haut"/>
          <w10:wrap anchorx="page"/>
        </v:shape>
      </w:pic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973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68" type="#_x0000_t75" style="position:absolute;left:0;text-align:left;margin-left:-11.8pt;margin-top:-4.3pt;width:91.2pt;height:56.1pt;z-index:2519649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66" type="#_x0000_t202" style="position:absolute;left:0;text-align:left;margin-left:170.9pt;margin-top:7.4pt;width:151.15pt;height:34.2pt;z-index:251962880" filled="f" stroked="f">
          <v:textbox style="mso-next-textbox:#_x0000_s3766">
            <w:txbxContent>
              <w:p w:rsidR="00035BE3" w:rsidRPr="006B21A9" w:rsidRDefault="00035BE3" w:rsidP="00C10469">
                <w:pPr>
                  <w:ind w:firstLine="0"/>
                  <w:rPr>
                    <w:rFonts w:cs="AL-Mateen"/>
                    <w:sz w:val="23"/>
                    <w:szCs w:val="23"/>
                    <w:rtl/>
                  </w:rPr>
                </w:pPr>
                <w:r w:rsidRPr="006768A5">
                  <w:rPr>
                    <w:rFonts w:cs="AL-Mateen" w:hint="cs"/>
                    <w:sz w:val="23"/>
                    <w:szCs w:val="23"/>
                    <w:rtl/>
                  </w:rPr>
                  <w:t>ق206 :  لاَ يَنْتَصِبُ أَحَدٌ خَصْمًا عَنْ أَحَدٍ بغيرِ إِذْنِهِ قَصْدًا، وَكَالَةً ..</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65" type="#_x0000_t202" style="position:absolute;left:0;text-align:left;margin-left:324.8pt;margin-top:3.4pt;width:99.75pt;height:31.35pt;z-index:251961856" filled="f" stroked="f">
          <v:textbox style="mso-next-textbox:#_x0000_s37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67" type="#_x0000_t75" style="position:absolute;left:0;text-align:left;margin-left:62.55pt;margin-top:.55pt;width:359.1pt;height:44.85pt;z-index:-251352576;mso-wrap-edited:f" wrapcoords="709 4393 473 10251 709 16108 709 16841 20851 16841 20891 16108 21088 10251 20851 4393 709 4393">
          <v:imagedata r:id="rId2" o:title="haut"/>
          <w10:wrap anchorx="page"/>
        </v:shape>
      </w:pict>
    </w: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975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72" type="#_x0000_t75" style="position:absolute;left:0;text-align:left;margin-left:-11.8pt;margin-top:-4.3pt;width:91.2pt;height:56.1pt;z-index:2519690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70" type="#_x0000_t202" style="position:absolute;left:0;text-align:left;margin-left:170.9pt;margin-top:7.4pt;width:151.15pt;height:34.2pt;z-index:251966976" filled="f" stroked="f">
          <v:textbox style="mso-next-textbox:#_x0000_s3770">
            <w:txbxContent>
              <w:p w:rsidR="00035BE3" w:rsidRPr="006B21A9" w:rsidRDefault="00035BE3" w:rsidP="00C10469">
                <w:pPr>
                  <w:ind w:firstLine="0"/>
                  <w:rPr>
                    <w:rFonts w:cs="AL-Mateen"/>
                    <w:sz w:val="23"/>
                    <w:szCs w:val="23"/>
                    <w:rtl/>
                  </w:rPr>
                </w:pPr>
                <w:r w:rsidRPr="00171DCE">
                  <w:rPr>
                    <w:rFonts w:cs="AL-Mateen" w:hint="cs"/>
                    <w:sz w:val="23"/>
                    <w:szCs w:val="23"/>
                    <w:rtl/>
                  </w:rPr>
                  <w:t>ق207 :  لاَ عِبْرَةَ لاختلافِ السَّبَبِ مع اتّحادِ الحُكْمِ.</w:t>
                </w:r>
                <w:r w:rsidRPr="006768A5">
                  <w:rPr>
                    <w:rFonts w:cs="AL-Mateen" w:hint="cs"/>
                    <w:sz w:val="23"/>
                    <w:szCs w:val="23"/>
                    <w:rtl/>
                  </w:rPr>
                  <w:t>.</w:t>
                </w: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69" type="#_x0000_t202" style="position:absolute;left:0;text-align:left;margin-left:324.8pt;margin-top:3.4pt;width:99.75pt;height:31.35pt;z-index:251965952" filled="f" stroked="f">
          <v:textbox style="mso-next-textbox:#_x0000_s37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71" type="#_x0000_t75" style="position:absolute;left:0;text-align:left;margin-left:62.55pt;margin-top:.55pt;width:359.1pt;height:44.85pt;z-index:-251348480;mso-wrap-edited:f" wrapcoords="709 4393 473 10251 709 16108 709 16841 20851 16841 20891 16108 21088 10251 20851 4393 709 4393">
          <v:imagedata r:id="rId2" o:title="haut"/>
          <w10:wrap anchorx="page"/>
        </v:shape>
      </w:pict>
    </w: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978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76" type="#_x0000_t75" style="position:absolute;left:0;text-align:left;margin-left:-11.8pt;margin-top:-4.3pt;width:91.2pt;height:56.1pt;z-index:2519731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74" type="#_x0000_t202" style="position:absolute;left:0;text-align:left;margin-left:170.9pt;margin-top:7.4pt;width:151.15pt;height:34.2pt;z-index:251971072" filled="f" stroked="f">
          <v:textbox style="mso-next-textbox:#_x0000_s3774">
            <w:txbxContent>
              <w:p w:rsidR="00035BE3" w:rsidRPr="002C1E19" w:rsidRDefault="00035BE3" w:rsidP="00C10469">
                <w:pPr>
                  <w:ind w:firstLine="0"/>
                  <w:rPr>
                    <w:rFonts w:cs="AL-Mateen"/>
                    <w:sz w:val="23"/>
                    <w:szCs w:val="23"/>
                    <w:rtl/>
                  </w:rPr>
                </w:pPr>
                <w:r w:rsidRPr="002C1E19">
                  <w:rPr>
                    <w:rFonts w:cs="AL-Mateen" w:hint="cs"/>
                    <w:sz w:val="23"/>
                    <w:szCs w:val="23"/>
                    <w:rtl/>
                  </w:rPr>
                  <w:t>ق208 :  لاَ تُقَوَّمُ المنافِعُ في أنفُسِهَا، وإنَّمَا تَتَقَوَّمُ ؛ لدَفْعِ ضرورةِ ...</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73" type="#_x0000_t202" style="position:absolute;left:0;text-align:left;margin-left:324.8pt;margin-top:3.4pt;width:99.75pt;height:31.35pt;z-index:251970048" filled="f" stroked="f">
          <v:textbox style="mso-next-textbox:#_x0000_s37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75" type="#_x0000_t75" style="position:absolute;left:0;text-align:left;margin-left:62.55pt;margin-top:.55pt;width:359.1pt;height:44.85pt;z-index:-251344384;mso-wrap-edited:f" wrapcoords="709 4393 473 10251 709 16108 709 16841 20851 16841 20891 16108 21088 10251 20851 4393 709 4393">
          <v:imagedata r:id="rId2" o:title="haut"/>
          <w10:wrap anchorx="page"/>
        </v:shape>
      </w:pic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986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80" type="#_x0000_t75" style="position:absolute;left:0;text-align:left;margin-left:-11.8pt;margin-top:-4.3pt;width:91.2pt;height:56.1pt;z-index:2519772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78" type="#_x0000_t202" style="position:absolute;left:0;text-align:left;margin-left:170.9pt;margin-top:7.4pt;width:151.15pt;height:34.2pt;z-index:251975168" filled="f" stroked="f">
          <v:textbox style="mso-next-textbox:#_x0000_s3778">
            <w:txbxContent>
              <w:p w:rsidR="00035BE3" w:rsidRPr="002C1E19" w:rsidRDefault="00035BE3" w:rsidP="00C10469">
                <w:pPr>
                  <w:ind w:firstLine="0"/>
                  <w:rPr>
                    <w:rFonts w:cs="AL-Mateen"/>
                    <w:sz w:val="23"/>
                    <w:szCs w:val="23"/>
                    <w:rtl/>
                  </w:rPr>
                </w:pPr>
                <w:r w:rsidRPr="008431D6">
                  <w:rPr>
                    <w:rFonts w:cs="AL-Mateen" w:hint="cs"/>
                    <w:sz w:val="23"/>
                    <w:szCs w:val="23"/>
                    <w:rtl/>
                  </w:rPr>
                  <w:t>ق209 :  لا مَسَاغَ لِلاجْتِهَادِ فِي مَوْرِدِ النَّصِّ.</w:t>
                </w:r>
                <w:r w:rsidRPr="002C1E19">
                  <w:rPr>
                    <w:rFonts w:cs="AL-Mateen" w:hint="cs"/>
                    <w:sz w:val="23"/>
                    <w:szCs w:val="23"/>
                    <w:rtl/>
                  </w:rPr>
                  <w:t>..</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77" type="#_x0000_t202" style="position:absolute;left:0;text-align:left;margin-left:324.8pt;margin-top:3.4pt;width:99.75pt;height:31.35pt;z-index:251974144" filled="f" stroked="f">
          <v:textbox style="mso-next-textbox:#_x0000_s37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79" type="#_x0000_t75" style="position:absolute;left:0;text-align:left;margin-left:62.55pt;margin-top:.55pt;width:359.1pt;height:44.85pt;z-index:-251340288;mso-wrap-edited:f" wrapcoords="709 4393 473 10251 709 16108 709 16841 20851 16841 20891 16108 21088 10251 20851 4393 709 4393">
          <v:imagedata r:id="rId2" o:title="haut"/>
          <w10:wrap anchorx="page"/>
        </v:shape>
      </w:pict>
    </w: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993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84" type="#_x0000_t75" style="position:absolute;left:0;text-align:left;margin-left:-11.8pt;margin-top:-4.3pt;width:91.2pt;height:56.1pt;z-index:2519813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82" type="#_x0000_t202" style="position:absolute;left:0;text-align:left;margin-left:170.9pt;margin-top:7.4pt;width:151.15pt;height:34.2pt;z-index:251979264" filled="f" stroked="f">
          <v:textbox style="mso-next-textbox:#_x0000_s3782">
            <w:txbxContent>
              <w:p w:rsidR="00035BE3" w:rsidRPr="002C1E19" w:rsidRDefault="00035BE3" w:rsidP="00C10469">
                <w:pPr>
                  <w:ind w:firstLine="0"/>
                  <w:rPr>
                    <w:rFonts w:cs="AL-Mateen"/>
                    <w:sz w:val="23"/>
                    <w:szCs w:val="23"/>
                    <w:rtl/>
                  </w:rPr>
                </w:pPr>
                <w:r w:rsidRPr="00526CA6">
                  <w:rPr>
                    <w:rFonts w:cs="AL-Mateen" w:hint="cs"/>
                    <w:sz w:val="23"/>
                    <w:szCs w:val="23"/>
                    <w:rtl/>
                  </w:rPr>
                  <w:t>ق210 : لاَ يَجُوزُ إِرَادَةُ المَعْنَى الحَقِيقِيِّ وَالمَجَازِيِّ مِنْ لَفْظٍ وَاحِدٍ.</w:t>
                </w:r>
                <w:r w:rsidRPr="002C1E19">
                  <w:rPr>
                    <w:rFonts w:cs="AL-Mateen" w:hint="cs"/>
                    <w:sz w:val="23"/>
                    <w:szCs w:val="23"/>
                    <w:rtl/>
                  </w:rPr>
                  <w:t>.</w:t>
                </w: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81" type="#_x0000_t202" style="position:absolute;left:0;text-align:left;margin-left:324.8pt;margin-top:3.4pt;width:99.75pt;height:31.35pt;z-index:251978240" filled="f" stroked="f">
          <v:textbox style="mso-next-textbox:#_x0000_s37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83" type="#_x0000_t75" style="position:absolute;left:0;text-align:left;margin-left:62.55pt;margin-top:.55pt;width:359.1pt;height:44.85pt;z-index:-251336192;mso-wrap-edited:f" wrapcoords="709 4393 473 10251 709 16108 709 16841 20851 16841 20891 16108 21088 10251 20851 4393 709 4393">
          <v:imagedata r:id="rId2" o:title="haut"/>
          <w10:wrap anchorx="page"/>
        </v:shape>
      </w:pict>
    </w: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996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88" type="#_x0000_t75" style="position:absolute;left:0;text-align:left;margin-left:-11.8pt;margin-top:-4.3pt;width:91.2pt;height:56.1pt;z-index:2519854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86" type="#_x0000_t202" style="position:absolute;left:0;text-align:left;margin-left:170.9pt;margin-top:7.4pt;width:151.15pt;height:34.2pt;z-index:251983360" filled="f" stroked="f">
          <v:textbox style="mso-next-textbox:#_x0000_s3786">
            <w:txbxContent>
              <w:p w:rsidR="00035BE3" w:rsidRPr="002F12DC" w:rsidRDefault="00035BE3" w:rsidP="00C10469">
                <w:pPr>
                  <w:ind w:firstLine="0"/>
                  <w:rPr>
                    <w:rFonts w:cs="AL-Mateen"/>
                    <w:sz w:val="23"/>
                    <w:szCs w:val="23"/>
                    <w:rtl/>
                  </w:rPr>
                </w:pPr>
                <w:r w:rsidRPr="002F12DC">
                  <w:rPr>
                    <w:rFonts w:cs="AL-Mateen" w:hint="cs"/>
                    <w:sz w:val="23"/>
                    <w:szCs w:val="23"/>
                    <w:rtl/>
                  </w:rPr>
                  <w:t>ق211 :  لاَ عِبْرَةَ لِتَارِيخِ الغَيْبَةِ.</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85" type="#_x0000_t202" style="position:absolute;left:0;text-align:left;margin-left:324.8pt;margin-top:3.4pt;width:99.75pt;height:31.35pt;z-index:251982336" filled="f" stroked="f">
          <v:textbox style="mso-next-textbox:#_x0000_s37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87" type="#_x0000_t75" style="position:absolute;left:0;text-align:left;margin-left:62.55pt;margin-top:.55pt;width:359.1pt;height:44.85pt;z-index:-251332096;mso-wrap-edited:f" wrapcoords="709 4393 473 10251 709 16108 709 16841 20851 16841 20891 16108 21088 10251 20851 4393 709 4393">
          <v:imagedata r:id="rId2" o:title="haut"/>
          <w10:wrap anchorx="page"/>
        </v:shape>
      </w:pic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1001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92" type="#_x0000_t75" style="position:absolute;left:0;text-align:left;margin-left:-11.8pt;margin-top:-4.3pt;width:91.2pt;height:56.1pt;z-index:25198950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90" type="#_x0000_t202" style="position:absolute;left:0;text-align:left;margin-left:170.9pt;margin-top:7.4pt;width:151.15pt;height:34.2pt;z-index:251987456" filled="f" stroked="f">
          <v:textbox style="mso-next-textbox:#_x0000_s3790">
            <w:txbxContent>
              <w:p w:rsidR="00035BE3" w:rsidRPr="001E0233" w:rsidRDefault="00035BE3" w:rsidP="00C10469">
                <w:pPr>
                  <w:ind w:firstLine="0"/>
                  <w:rPr>
                    <w:rFonts w:cs="AL-Mateen"/>
                    <w:sz w:val="23"/>
                    <w:szCs w:val="23"/>
                    <w:rtl/>
                  </w:rPr>
                </w:pPr>
                <w:r w:rsidRPr="001E0233">
                  <w:rPr>
                    <w:rFonts w:cs="AL-Mateen" w:hint="cs"/>
                    <w:sz w:val="23"/>
                    <w:szCs w:val="23"/>
                    <w:rtl/>
                  </w:rPr>
                  <w:t>ق212 :  لاَ يَجُوزُ تَفْرِيقُ الصَّفْقَةِ قَبْلَ التَّمَامِ.</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89" type="#_x0000_t202" style="position:absolute;left:0;text-align:left;margin-left:324.8pt;margin-top:3.4pt;width:99.75pt;height:31.35pt;z-index:251986432" filled="f" stroked="f">
          <v:textbox style="mso-next-textbox:#_x0000_s37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91" type="#_x0000_t75" style="position:absolute;left:0;text-align:left;margin-left:62.55pt;margin-top:.55pt;width:359.1pt;height:44.85pt;z-index:-251328000;mso-wrap-edited:f" wrapcoords="709 4393 473 10251 709 16108 709 16841 20851 16841 20891 16108 21088 10251 20851 4393 709 4393">
          <v:imagedata r:id="rId2" o:title="haut"/>
          <w10:wrap anchorx="page"/>
        </v:shape>
      </w:pict>
    </w: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1005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96" type="#_x0000_t75" style="position:absolute;left:0;text-align:left;margin-left:-11.8pt;margin-top:-4.3pt;width:91.2pt;height:56.1pt;z-index:2519936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94" type="#_x0000_t202" style="position:absolute;left:0;text-align:left;margin-left:170.9pt;margin-top:7.4pt;width:151.15pt;height:34.2pt;z-index:251991552" filled="f" stroked="f">
          <v:textbox style="mso-next-textbox:#_x0000_s3794">
            <w:txbxContent>
              <w:p w:rsidR="00035BE3" w:rsidRPr="001E0233" w:rsidRDefault="00035BE3" w:rsidP="00C10469">
                <w:pPr>
                  <w:ind w:firstLine="0"/>
                  <w:rPr>
                    <w:rFonts w:cs="AL-Mateen"/>
                    <w:sz w:val="23"/>
                    <w:szCs w:val="23"/>
                    <w:rtl/>
                  </w:rPr>
                </w:pPr>
                <w:r w:rsidRPr="007278DA">
                  <w:rPr>
                    <w:rFonts w:cs="AL-Mateen" w:hint="cs"/>
                    <w:sz w:val="23"/>
                    <w:szCs w:val="23"/>
                    <w:rtl/>
                  </w:rPr>
                  <w:t>ق213 :  اللَّفْظُ إِذَا كَانَ لَهُ مَعْنًى حَقِيقِيٌّ مُسْتَعْمَلٌ، وَمَعْنًى مَجَازِيٌّ ..</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93" type="#_x0000_t202" style="position:absolute;left:0;text-align:left;margin-left:324.8pt;margin-top:3.4pt;width:99.75pt;height:31.35pt;z-index:251990528" filled="f" stroked="f">
          <v:textbox style="mso-next-textbox:#_x0000_s37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95" type="#_x0000_t75" style="position:absolute;left:0;text-align:left;margin-left:62.55pt;margin-top:.55pt;width:359.1pt;height:44.85pt;z-index:-251323904;mso-wrap-edited:f" wrapcoords="709 4393 473 10251 709 16108 709 16841 20851 16841 20891 16108 21088 10251 20851 4393 709 4393">
          <v:imagedata r:id="rId2" o:title="haut"/>
          <w10:wrap anchorx="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281</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2990" type="#_x0000_t202" style="position:absolute;left:0;text-align:left;margin-left:122.45pt;margin-top:7.1pt;width:202.35pt;height:34.2pt;z-index:251168256" filled="f" stroked="f">
          <v:textbox style="mso-next-textbox:#_x0000_s2990">
            <w:txbxContent>
              <w:p w:rsidR="00035BE3" w:rsidRPr="00A80E8D" w:rsidRDefault="00035BE3">
                <w:pPr>
                  <w:ind w:firstLine="0"/>
                  <w:rPr>
                    <w:rFonts w:cs="AL-Mateen"/>
                    <w:spacing w:val="4"/>
                    <w:sz w:val="24"/>
                    <w:szCs w:val="24"/>
                    <w:rtl/>
                  </w:rPr>
                </w:pPr>
                <w:r w:rsidRPr="00A80E8D">
                  <w:rPr>
                    <w:rFonts w:cs="AL-Mateen" w:hint="cs"/>
                    <w:spacing w:val="4"/>
                    <w:sz w:val="24"/>
                    <w:szCs w:val="24"/>
                    <w:rtl/>
                  </w:rPr>
                  <w:t>ق12 :  إذَا تَعَارَضَ المانِعُ والمُقْتَضِي : يُقدَّمُ المانِعُ.</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92" type="#_x0000_t75" style="position:absolute;left:0;text-align:left;margin-left:-10.95pt;margin-top:-4.85pt;width:91.2pt;height:56.1pt;z-index:251170304">
          <v:imagedata r:id="rId1" o:title="hichemil1"/>
          <w10:wrap anchorx="page"/>
        </v:shape>
      </w:pict>
    </w:r>
    <w:r>
      <w:rPr>
        <w:noProof/>
        <w:rtl/>
        <w:lang w:val="en-US"/>
      </w:rPr>
      <w:pict>
        <v:shape id="_x0000_s2989" type="#_x0000_t202" style="position:absolute;left:0;text-align:left;margin-left:324.8pt;margin-top:5.4pt;width:99.75pt;height:31.35pt;z-index:251167232" filled="f" stroked="f">
          <v:textbox style="mso-next-textbox:#_x0000_s2989">
            <w:txbxContent>
              <w:p w:rsidR="00035BE3" w:rsidRPr="00A80E8D" w:rsidRDefault="00035BE3">
                <w:pPr>
                  <w:ind w:firstLine="0"/>
                  <w:jc w:val="center"/>
                  <w:rPr>
                    <w:rFonts w:cs="AL-Mateen"/>
                    <w:sz w:val="28"/>
                    <w:szCs w:val="28"/>
                    <w:rtl/>
                  </w:rPr>
                </w:pPr>
                <w:r w:rsidRPr="00A80E8D">
                  <w:rPr>
                    <w:rFonts w:cs="AL-Mateen" w:hint="cs"/>
                    <w:sz w:val="28"/>
                    <w:szCs w:val="28"/>
                    <w:rtl/>
                  </w:rPr>
                  <w:t>ترتيب اللآلي</w:t>
                </w:r>
              </w:p>
            </w:txbxContent>
          </v:textbox>
          <w10:wrap anchorx="page"/>
        </v:shape>
      </w:pict>
    </w:r>
    <w:r>
      <w:rPr>
        <w:noProof/>
        <w:rtl/>
        <w:lang w:val="en-US"/>
      </w:rPr>
      <w:pict>
        <v:shape id="_x0000_s2991" type="#_x0000_t75" style="position:absolute;left:0;text-align:left;margin-left:62.55pt;margin-top:.85pt;width:359.1pt;height:44.85pt;z-index:-252147200;mso-wrap-edited:f" wrapcoords="709 4393 473 10251 709 16108 709 16841 20851 16841 20891 16108 21088 10251 20851 4393 709 4393">
          <v:imagedata r:id="rId2" o:title="haut"/>
          <w10:wrap anchorx="page"/>
        </v:shape>
      </w:pict>
    </w: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1006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00" type="#_x0000_t75" style="position:absolute;left:0;text-align:left;margin-left:-11.8pt;margin-top:-4.3pt;width:91.2pt;height:56.1pt;z-index:2519976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798" type="#_x0000_t202" style="position:absolute;left:0;text-align:left;margin-left:170.9pt;margin-top:7.4pt;width:151.15pt;height:34.2pt;z-index:251995648" filled="f" stroked="f">
          <v:textbox style="mso-next-textbox:#_x0000_s3798">
            <w:txbxContent>
              <w:p w:rsidR="00035BE3" w:rsidRPr="001E0233" w:rsidRDefault="00035BE3" w:rsidP="00C10469">
                <w:pPr>
                  <w:ind w:firstLine="0"/>
                  <w:rPr>
                    <w:rFonts w:cs="AL-Mateen"/>
                    <w:sz w:val="23"/>
                    <w:szCs w:val="23"/>
                    <w:rtl/>
                  </w:rPr>
                </w:pPr>
                <w:r w:rsidRPr="00BF5953">
                  <w:rPr>
                    <w:rFonts w:cs="AL-Mateen" w:hint="cs"/>
                    <w:sz w:val="23"/>
                    <w:szCs w:val="23"/>
                    <w:rtl/>
                  </w:rPr>
                  <w:t>ق214 : لَوْ حَكَى مَا لاَ يَمْلِكُ استئنافَهُ للحالِ لا يصدَّقُ فيمَا حَكَى .</w:t>
                </w:r>
                <w:r w:rsidRPr="007278DA">
                  <w:rPr>
                    <w:rFonts w:cs="AL-Mateen" w:hint="cs"/>
                    <w:sz w:val="23"/>
                    <w:szCs w:val="23"/>
                    <w:rtl/>
                  </w:rPr>
                  <w:t>..</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797" type="#_x0000_t202" style="position:absolute;left:0;text-align:left;margin-left:324.8pt;margin-top:3.4pt;width:99.75pt;height:31.35pt;z-index:251994624" filled="f" stroked="f">
          <v:textbox style="mso-next-textbox:#_x0000_s37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799" type="#_x0000_t75" style="position:absolute;left:0;text-align:left;margin-left:62.55pt;margin-top:.55pt;width:359.1pt;height:44.85pt;z-index:-251319808;mso-wrap-edited:f" wrapcoords="709 4393 473 10251 709 16108 709 16841 20851 16841 20891 16108 21088 10251 20851 4393 709 4393">
          <v:imagedata r:id="rId2" o:title="haut"/>
          <w10:wrap anchorx="page"/>
        </v:shape>
      </w:pic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1011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04" type="#_x0000_t75" style="position:absolute;left:0;text-align:left;margin-left:-11.8pt;margin-top:-4.3pt;width:91.2pt;height:56.1pt;z-index:2520017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802" type="#_x0000_t202" style="position:absolute;left:0;text-align:left;margin-left:170.9pt;margin-top:7.4pt;width:151.15pt;height:34.2pt;z-index:251999744" filled="f" stroked="f">
          <v:textbox style="mso-next-textbox:#_x0000_s3802">
            <w:txbxContent>
              <w:p w:rsidR="00035BE3" w:rsidRPr="001E0233" w:rsidRDefault="00035BE3" w:rsidP="00C10469">
                <w:pPr>
                  <w:ind w:firstLine="0"/>
                  <w:rPr>
                    <w:rFonts w:cs="AL-Mateen"/>
                    <w:sz w:val="23"/>
                    <w:szCs w:val="23"/>
                    <w:rtl/>
                  </w:rPr>
                </w:pPr>
                <w:r w:rsidRPr="009A0034">
                  <w:rPr>
                    <w:rFonts w:cs="AL-Mateen" w:hint="cs"/>
                    <w:sz w:val="23"/>
                    <w:szCs w:val="23"/>
                    <w:rtl/>
                  </w:rPr>
                  <w:t>ق215 :  مَا لاَ يَكُونُ لاِزَمًا مِنَ التَّصَرُّفَاتِ يَكُونُ لِدَوَامِهِ حُكْمُ الابتدَاءِ</w:t>
                </w:r>
                <w:r w:rsidRPr="00BF5953">
                  <w:rPr>
                    <w:rFonts w:cs="AL-Mateen" w:hint="cs"/>
                    <w:sz w:val="23"/>
                    <w:szCs w:val="23"/>
                    <w:rtl/>
                  </w:rPr>
                  <w:t xml:space="preserve"> .</w:t>
                </w:r>
                <w:r w:rsidRPr="007278DA">
                  <w:rPr>
                    <w:rFonts w:cs="AL-Mateen" w:hint="cs"/>
                    <w:sz w:val="23"/>
                    <w:szCs w:val="23"/>
                    <w:rtl/>
                  </w:rPr>
                  <w:t>..</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801" type="#_x0000_t202" style="position:absolute;left:0;text-align:left;margin-left:324.8pt;margin-top:3.4pt;width:99.75pt;height:31.35pt;z-index:251998720" filled="f" stroked="f">
          <v:textbox style="mso-next-textbox:#_x0000_s38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03" type="#_x0000_t75" style="position:absolute;left:0;text-align:left;margin-left:62.55pt;margin-top:.55pt;width:359.1pt;height:44.85pt;z-index:-251315712;mso-wrap-edited:f" wrapcoords="709 4393 473 10251 709 16108 709 16841 20851 16841 20891 16108 21088 10251 20851 4393 709 4393">
          <v:imagedata r:id="rId2" o:title="haut"/>
          <w10:wrap anchorx="page"/>
        </v:shape>
      </w:pict>
    </w: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1012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08" type="#_x0000_t75" style="position:absolute;left:0;text-align:left;margin-left:-11.8pt;margin-top:-4.3pt;width:91.2pt;height:56.1pt;z-index:2520058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806" type="#_x0000_t202" style="position:absolute;left:0;text-align:left;margin-left:170.9pt;margin-top:7.4pt;width:151.15pt;height:34.2pt;z-index:252003840" filled="f" stroked="f">
          <v:textbox style="mso-next-textbox:#_x0000_s3806">
            <w:txbxContent>
              <w:p w:rsidR="00035BE3" w:rsidRPr="00492BEB" w:rsidRDefault="00035BE3" w:rsidP="00C10469">
                <w:pPr>
                  <w:ind w:firstLine="0"/>
                  <w:rPr>
                    <w:rFonts w:cs="AL-Mateen"/>
                    <w:sz w:val="23"/>
                    <w:szCs w:val="23"/>
                    <w:rtl/>
                  </w:rPr>
                </w:pPr>
                <w:r w:rsidRPr="00492BEB">
                  <w:rPr>
                    <w:rFonts w:cs="AL-Mateen" w:hint="cs"/>
                    <w:sz w:val="23"/>
                    <w:szCs w:val="23"/>
                    <w:rtl/>
                  </w:rPr>
                  <w:t>ق216: مَا ثَبَتَ في زمانٍ يُحْكَمُ بِبَقَائِهِ مَا لَمْ يُوجَدِ المُزِيلُ.</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805" type="#_x0000_t202" style="position:absolute;left:0;text-align:left;margin-left:324.8pt;margin-top:3.4pt;width:99.75pt;height:31.35pt;z-index:252002816" filled="f" stroked="f">
          <v:textbox style="mso-next-textbox:#_x0000_s38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07" type="#_x0000_t75" style="position:absolute;left:0;text-align:left;margin-left:62.55pt;margin-top:.55pt;width:359.1pt;height:44.85pt;z-index:-251311616;mso-wrap-edited:f" wrapcoords="709 4393 473 10251 709 16108 709 16841 20851 16841 20891 16108 21088 10251 20851 4393 709 4393">
          <v:imagedata r:id="rId2" o:title="haut"/>
          <w10:wrap anchorx="page"/>
        </v:shape>
      </w:pict>
    </w: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1013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12" type="#_x0000_t75" style="position:absolute;left:0;text-align:left;margin-left:-11.8pt;margin-top:-4.3pt;width:91.2pt;height:56.1pt;z-index:2520099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810" type="#_x0000_t202" style="position:absolute;left:0;text-align:left;margin-left:170.9pt;margin-top:7.4pt;width:151.15pt;height:34.2pt;z-index:252007936" filled="f" stroked="f">
          <v:textbox style="mso-next-textbox:#_x0000_s3810">
            <w:txbxContent>
              <w:p w:rsidR="00035BE3" w:rsidRPr="000F082C" w:rsidRDefault="00035BE3" w:rsidP="00C10469">
                <w:pPr>
                  <w:ind w:firstLine="0"/>
                  <w:rPr>
                    <w:rFonts w:cs="AL-Mateen"/>
                    <w:sz w:val="23"/>
                    <w:szCs w:val="23"/>
                    <w:rtl/>
                  </w:rPr>
                </w:pPr>
                <w:r w:rsidRPr="000F082C">
                  <w:rPr>
                    <w:rFonts w:cs="AL-Mateen" w:hint="cs"/>
                    <w:sz w:val="23"/>
                    <w:szCs w:val="23"/>
                    <w:rtl/>
                  </w:rPr>
                  <w:t>ق217 :  مَا فِي الذِّمَّةِ لاَ يَتَعَيَّنُ إلاَّ بِالقَبْضِ.</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809" type="#_x0000_t202" style="position:absolute;left:0;text-align:left;margin-left:324.8pt;margin-top:3.4pt;width:99.75pt;height:31.35pt;z-index:252006912" filled="f" stroked="f">
          <v:textbox style="mso-next-textbox:#_x0000_s38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11" type="#_x0000_t75" style="position:absolute;left:0;text-align:left;margin-left:62.55pt;margin-top:.55pt;width:359.1pt;height:44.85pt;z-index:-251307520;mso-wrap-edited:f" wrapcoords="709 4393 473 10251 709 16108 709 16841 20851 16841 20891 16108 21088 10251 20851 4393 709 4393">
          <v:imagedata r:id="rId2" o:title="haut"/>
          <w10:wrap anchorx="page"/>
        </v:shape>
      </w:pict>
    </w: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1016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16" type="#_x0000_t75" style="position:absolute;left:0;text-align:left;margin-left:-11.8pt;margin-top:-4.3pt;width:91.2pt;height:56.1pt;z-index:2520140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814" type="#_x0000_t202" style="position:absolute;left:0;text-align:left;margin-left:170.9pt;margin-top:7.4pt;width:151.15pt;height:34.2pt;z-index:252012032" filled="f" stroked="f">
          <v:textbox style="mso-next-textbox:#_x0000_s3814">
            <w:txbxContent>
              <w:p w:rsidR="00035BE3" w:rsidRPr="004B2A03" w:rsidRDefault="00035BE3" w:rsidP="00C10469">
                <w:pPr>
                  <w:ind w:firstLine="0"/>
                  <w:rPr>
                    <w:rFonts w:cs="AL-Mateen"/>
                    <w:sz w:val="23"/>
                    <w:szCs w:val="23"/>
                    <w:rtl/>
                  </w:rPr>
                </w:pPr>
                <w:r w:rsidRPr="004B2A03">
                  <w:rPr>
                    <w:rFonts w:cs="AL-Mateen" w:hint="cs"/>
                    <w:sz w:val="23"/>
                    <w:szCs w:val="23"/>
                    <w:rtl/>
                  </w:rPr>
                  <w:t>ق218 :  ما حَرُمَ أَخْذُهُ حَرُمَ إعْطَاؤُهُ.</w:t>
                </w:r>
              </w:p>
              <w:p w:rsidR="00035BE3" w:rsidRPr="000F082C" w:rsidRDefault="00035BE3" w:rsidP="00C10469">
                <w:pPr>
                  <w:ind w:firstLine="0"/>
                  <w:rPr>
                    <w:rFonts w:cs="AL-Mateen"/>
                    <w:sz w:val="23"/>
                    <w:szCs w:val="23"/>
                    <w:rtl/>
                  </w:rPr>
                </w:pP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813" type="#_x0000_t202" style="position:absolute;left:0;text-align:left;margin-left:324.8pt;margin-top:3.4pt;width:99.75pt;height:31.35pt;z-index:252011008" filled="f" stroked="f">
          <v:textbox style="mso-next-textbox:#_x0000_s38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15" type="#_x0000_t75" style="position:absolute;left:0;text-align:left;margin-left:62.55pt;margin-top:.55pt;width:359.1pt;height:44.85pt;z-index:-251303424;mso-wrap-edited:f" wrapcoords="709 4393 473 10251 709 16108 709 16841 20851 16841 20891 16108 21088 10251 20851 4393 709 4393">
          <v:imagedata r:id="rId2" o:title="haut"/>
          <w10:wrap anchorx="page"/>
        </v:shape>
      </w:pict>
    </w: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1018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20" type="#_x0000_t75" style="position:absolute;left:0;text-align:left;margin-left:-11.8pt;margin-top:-4.3pt;width:91.2pt;height:56.1pt;z-index:2520181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818" type="#_x0000_t202" style="position:absolute;left:0;text-align:left;margin-left:170.9pt;margin-top:7.4pt;width:151.15pt;height:34.2pt;z-index:252016128" filled="f" stroked="f">
          <v:textbox style="mso-next-textbox:#_x0000_s3818">
            <w:txbxContent>
              <w:p w:rsidR="00035BE3" w:rsidRPr="000F082C" w:rsidRDefault="00035BE3" w:rsidP="00C10469">
                <w:pPr>
                  <w:ind w:firstLine="0"/>
                  <w:rPr>
                    <w:rFonts w:cs="AL-Mateen"/>
                    <w:sz w:val="23"/>
                    <w:szCs w:val="23"/>
                    <w:rtl/>
                  </w:rPr>
                </w:pPr>
                <w:r w:rsidRPr="000015E4">
                  <w:rPr>
                    <w:rFonts w:cs="AL-Mateen" w:hint="cs"/>
                    <w:sz w:val="23"/>
                    <w:szCs w:val="23"/>
                    <w:rtl/>
                  </w:rPr>
                  <w:t>ق219 : مَا ثَبَتَ لِجَمَاعَةٍ فَهُوَ بَيْنَهُمْ عَلَى سَبِيلِ الاشتِراكِ.</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817" type="#_x0000_t202" style="position:absolute;left:0;text-align:left;margin-left:324.8pt;margin-top:3.4pt;width:99.75pt;height:31.35pt;z-index:252015104" filled="f" stroked="f">
          <v:textbox style="mso-next-textbox:#_x0000_s38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19" type="#_x0000_t75" style="position:absolute;left:0;text-align:left;margin-left:62.55pt;margin-top:.55pt;width:359.1pt;height:44.85pt;z-index:-251299328;mso-wrap-edited:f" wrapcoords="709 4393 473 10251 709 16108 709 16841 20851 16841 20891 16108 21088 10251 20851 4393 709 4393">
          <v:imagedata r:id="rId2" o:title="haut"/>
          <w10:wrap anchorx="page"/>
        </v:shape>
      </w:pict>
    </w: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1020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24" type="#_x0000_t75" style="position:absolute;left:0;text-align:left;margin-left:-11.8pt;margin-top:-4.3pt;width:91.2pt;height:56.1pt;z-index:2520222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822" type="#_x0000_t202" style="position:absolute;left:0;text-align:left;margin-left:170.9pt;margin-top:7.4pt;width:151.15pt;height:34.2pt;z-index:252020224" filled="f" stroked="f">
          <v:textbox style="mso-next-textbox:#_x0000_s3822">
            <w:txbxContent>
              <w:p w:rsidR="00035BE3" w:rsidRPr="00CD50BF" w:rsidRDefault="00035BE3" w:rsidP="00C10469">
                <w:pPr>
                  <w:ind w:firstLine="0"/>
                  <w:rPr>
                    <w:rFonts w:cs="AL-Mateen"/>
                    <w:sz w:val="23"/>
                    <w:szCs w:val="23"/>
                    <w:rtl/>
                  </w:rPr>
                </w:pPr>
                <w:r w:rsidRPr="00CD50BF">
                  <w:rPr>
                    <w:rFonts w:cs="AL-Mateen" w:hint="cs"/>
                    <w:sz w:val="23"/>
                    <w:szCs w:val="23"/>
                    <w:rtl/>
                  </w:rPr>
                  <w:t>ق220 :  مَا أُبِيحَ للضَّرُورَةِ يَتَقَدَّرُ بِقَدْرِهَا.</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821" type="#_x0000_t202" style="position:absolute;left:0;text-align:left;margin-left:324.8pt;margin-top:3.4pt;width:99.75pt;height:31.35pt;z-index:252019200" filled="f" stroked="f">
          <v:textbox style="mso-next-textbox:#_x0000_s38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23" type="#_x0000_t75" style="position:absolute;left:0;text-align:left;margin-left:62.55pt;margin-top:.55pt;width:359.1pt;height:44.85pt;z-index:-251295232;mso-wrap-edited:f" wrapcoords="709 4393 473 10251 709 16108 709 16841 20851 16841 20891 16108 21088 10251 20851 4393 709 4393">
          <v:imagedata r:id="rId2" o:title="haut"/>
          <w10:wrap anchorx="page"/>
        </v:shape>
      </w:pict>
    </w: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1025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28" type="#_x0000_t75" style="position:absolute;left:0;text-align:left;margin-left:-11.8pt;margin-top:-4.3pt;width:91.2pt;height:56.1pt;z-index:2520263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826" type="#_x0000_t202" style="position:absolute;left:0;text-align:left;margin-left:170.9pt;margin-top:7.4pt;width:151.15pt;height:34.2pt;z-index:252024320" filled="f" stroked="f">
          <v:textbox style="mso-next-textbox:#_x0000_s3826">
            <w:txbxContent>
              <w:p w:rsidR="00035BE3" w:rsidRPr="009D1976" w:rsidRDefault="00035BE3" w:rsidP="00C10469">
                <w:pPr>
                  <w:ind w:firstLine="0"/>
                  <w:rPr>
                    <w:rFonts w:cs="AL-Mateen"/>
                    <w:sz w:val="23"/>
                    <w:szCs w:val="23"/>
                    <w:rtl/>
                  </w:rPr>
                </w:pPr>
                <w:r w:rsidRPr="009D1976">
                  <w:rPr>
                    <w:rFonts w:cs="AL-Mateen" w:hint="cs"/>
                    <w:sz w:val="23"/>
                    <w:szCs w:val="23"/>
                    <w:rtl/>
                  </w:rPr>
                  <w:t>ق221 :  مَا ثَبَتَ عَلَى خِلاَفِ القِيَاسِ فَغَيْرُهُ لاَ يُقَاسُ عَلَيْهِ.</w:t>
                </w:r>
              </w:p>
              <w:p w:rsidR="00035BE3" w:rsidRPr="002C1E19" w:rsidRDefault="00035BE3" w:rsidP="00C10469">
                <w:pPr>
                  <w:ind w:firstLine="0"/>
                  <w:rPr>
                    <w:rFonts w:cs="AL-Mateen"/>
                    <w:sz w:val="23"/>
                    <w:szCs w:val="23"/>
                    <w:rtl/>
                  </w:rPr>
                </w:pPr>
              </w:p>
              <w:p w:rsidR="00035BE3" w:rsidRPr="006B21A9" w:rsidRDefault="00035BE3" w:rsidP="00C10469">
                <w:pPr>
                  <w:ind w:firstLine="0"/>
                  <w:rPr>
                    <w:rFonts w:cs="AL-Mateen"/>
                    <w:sz w:val="23"/>
                    <w:szCs w:val="23"/>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 id="_x0000_s3825" type="#_x0000_t202" style="position:absolute;left:0;text-align:left;margin-left:324.8pt;margin-top:3.4pt;width:99.75pt;height:31.35pt;z-index:252023296" filled="f" stroked="f">
          <v:textbox style="mso-next-textbox:#_x0000_s38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27" type="#_x0000_t75" style="position:absolute;left:0;text-align:left;margin-left:62.55pt;margin-top:.55pt;width:359.1pt;height:44.85pt;z-index:-251291136;mso-wrap-edited:f" wrapcoords="709 4393 473 10251 709 16108 709 16841 20851 16841 20891 16108 21088 10251 20851 4393 709 4393">
          <v:imagedata r:id="rId2" o:title="haut"/>
          <w10:wrap anchorx="page"/>
        </v:shape>
      </w:pict>
    </w: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1028</w:t>
    </w:r>
    <w:r>
      <w:rPr>
        <w:rStyle w:val="a5"/>
        <w:rtl/>
      </w:rPr>
      <w:fldChar w:fldCharType="end"/>
    </w:r>
  </w:p>
  <w:p w:rsidR="00035BE3" w:rsidRDefault="00035BE3" w:rsidP="00C10469">
    <w:pPr>
      <w:pStyle w:val="a3"/>
      <w:ind w:right="360"/>
      <w:rPr>
        <w:rtl/>
      </w:rPr>
    </w:pPr>
    <w:r>
      <w:rPr>
        <w:noProof/>
        <w:rtl/>
        <w:lang w:val="en-US"/>
      </w:rPr>
      <w:pict>
        <v:shapetype id="_x0000_t202" coordsize="21600,21600" o:spt="202" path="m,l,21600r21600,l21600,xe">
          <v:stroke joinstyle="miter"/>
          <v:path gradientshapeok="t" o:connecttype="rect"/>
        </v:shapetype>
        <v:shape id="_x0000_s3830" type="#_x0000_t202" style="position:absolute;left:0;text-align:left;margin-left:65.65pt;margin-top:7.4pt;width:256.4pt;height:34.2pt;z-index:251121152" filled="f" stroked="f">
          <v:textbox style="mso-next-textbox:#_x0000_s3830">
            <w:txbxContent>
              <w:p w:rsidR="00035BE3" w:rsidRPr="008E4D0A" w:rsidRDefault="00035BE3" w:rsidP="00C10469">
                <w:pPr>
                  <w:ind w:firstLine="0"/>
                  <w:rPr>
                    <w:rFonts w:cs="AL-Mateen"/>
                    <w:sz w:val="24"/>
                    <w:szCs w:val="24"/>
                    <w:rtl/>
                  </w:rPr>
                </w:pPr>
                <w:r w:rsidRPr="00DF2487">
                  <w:rPr>
                    <w:rFonts w:cs="AL-Mateen" w:hint="cs"/>
                    <w:sz w:val="23"/>
                    <w:szCs w:val="23"/>
                    <w:rtl/>
                  </w:rPr>
                  <w:t>ق222 :  مَا عَمَّتْ بَلِيَّتُهُ خَفَّتْ قَضِيَّتُهُ.</w:t>
                </w:r>
              </w:p>
              <w:p w:rsidR="00035BE3" w:rsidRPr="00A634B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32" type="#_x0000_t75" style="position:absolute;left:0;text-align:left;margin-left:-11.8pt;margin-top:-4.3pt;width:91.2pt;height:56.1pt;z-index:251125248">
          <v:imagedata r:id="rId1" o:title="hichemil1"/>
          <w10:wrap anchorx="page"/>
        </v:shape>
      </w:pict>
    </w:r>
    <w:r>
      <w:rPr>
        <w:noProof/>
        <w:rtl/>
        <w:lang w:val="en-US"/>
      </w:rPr>
      <w:pict>
        <v:shape id="_x0000_s3829" type="#_x0000_t202" style="position:absolute;left:0;text-align:left;margin-left:324.8pt;margin-top:3.4pt;width:99.75pt;height:31.35pt;z-index:251119104" filled="f" stroked="f">
          <v:textbox style="mso-next-textbox:#_x0000_s38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831" type="#_x0000_t75" style="position:absolute;left:0;text-align:left;margin-left:62.55pt;margin-top:.55pt;width:359.1pt;height:44.85pt;z-index:-252193280;mso-wrap-edited:f" wrapcoords="709 4393 473 10251 709 16108 709 16841 20851 16841 20891 16108 21088 10251 20851 4393 709 4393">
          <v:imagedata r:id="rId2" o:title="haut"/>
          <w10:wrap anchorx="page"/>
        </v:shape>
      </w:pict>
    </w: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3D5367">
    <w:pPr>
      <w:pStyle w:val="a3"/>
      <w:ind w:right="36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1032</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38" type="#_x0000_t202" style="position:absolute;left:0;text-align:left;margin-left:133.85pt;margin-top:11.95pt;width:188.2pt;height:34.2pt;z-index:252028416" filled="f" stroked="f">
          <v:textbox style="mso-next-textbox:#_x0000_s3838">
            <w:txbxContent>
              <w:p w:rsidR="00035BE3" w:rsidRPr="004E264A" w:rsidRDefault="00035BE3">
                <w:pPr>
                  <w:ind w:firstLine="0"/>
                  <w:rPr>
                    <w:rFonts w:cs="AL-Mateen"/>
                    <w:sz w:val="23"/>
                    <w:szCs w:val="23"/>
                    <w:rtl/>
                  </w:rPr>
                </w:pPr>
                <w:r w:rsidRPr="004E264A">
                  <w:rPr>
                    <w:rFonts w:cs="AL-Mateen" w:hint="cs"/>
                    <w:sz w:val="23"/>
                    <w:szCs w:val="23"/>
                    <w:rtl/>
                  </w:rPr>
                  <w:t>ق223 :  ما قَبِلَ البَيْعَ قَبِلَ الرّهنَ إلاَّ فِي أَرْبَعَةٍ.</w:t>
                </w:r>
              </w:p>
            </w:txbxContent>
          </v:textbox>
          <w10:wrap anchorx="page"/>
        </v:shape>
      </w:pict>
    </w:r>
    <w:r>
      <w:rPr>
        <w:noProof/>
        <w:rtl/>
        <w:lang w:val="en-US"/>
      </w:rPr>
      <w:pict>
        <v:shape id="_x0000_s3837" type="#_x0000_t202" style="position:absolute;left:0;text-align:left;margin-left:326.8pt;margin-top:7.4pt;width:99.75pt;height:31.35pt;z-index:252027392" filled="f" stroked="f">
          <v:textbox style="mso-next-textbox:#_x0000_s3837">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39" type="#_x0000_t75" style="position:absolute;left:0;text-align:left;margin-left:62.55pt;margin-top:3.95pt;width:359.1pt;height:44.85pt;z-index:-251287040;mso-wrap-edited:f" wrapcoords="709 4393 473 10251 709 16108 709 16841 20851 16841 20891 16108 21088 10251 20851 4393 709 4393">
          <v:imagedata r:id="rId1" o:title="haut"/>
          <w10:wrap anchorx="page"/>
        </v:shape>
      </w:pict>
    </w:r>
    <w:r>
      <w:rPr>
        <w:noProof/>
        <w:rtl/>
        <w:lang w:val="en-US"/>
      </w:rPr>
      <w:pict>
        <v:shape id="_x0000_s3840" type="#_x0000_t75" style="position:absolute;left:0;text-align:left;margin-left:-10.95pt;margin-top:-.3pt;width:91.2pt;height:56.1pt;z-index:252030464">
          <v:imagedata r:id="rId2" o:title="hichemil1"/>
          <w10:wrap anchorx="page"/>
        </v:shape>
      </w:pict>
    </w: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1035</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42" type="#_x0000_t202" style="position:absolute;left:0;text-align:left;margin-left:133.85pt;margin-top:11.95pt;width:188.2pt;height:34.2pt;z-index:252032512" filled="f" stroked="f">
          <v:textbox style="mso-next-textbox:#_x0000_s3842">
            <w:txbxContent>
              <w:p w:rsidR="00035BE3" w:rsidRPr="004E264A" w:rsidRDefault="00035BE3">
                <w:pPr>
                  <w:ind w:firstLine="0"/>
                  <w:rPr>
                    <w:rFonts w:cs="AL-Mateen"/>
                    <w:sz w:val="23"/>
                    <w:szCs w:val="23"/>
                    <w:rtl/>
                  </w:rPr>
                </w:pPr>
                <w:r w:rsidRPr="00977AF0">
                  <w:rPr>
                    <w:rFonts w:cs="AL-Mateen" w:hint="cs"/>
                    <w:sz w:val="23"/>
                    <w:szCs w:val="23"/>
                    <w:rtl/>
                  </w:rPr>
                  <w:t>ق224 :  مَا لاَ يَصِحُّ إفرادُهُ بالعَقْدِ لا يصّحُّ استِثْنَاؤُهُ مِنَ العَقْدِ.</w:t>
                </w:r>
              </w:p>
            </w:txbxContent>
          </v:textbox>
          <w10:wrap anchorx="page"/>
        </v:shape>
      </w:pict>
    </w:r>
    <w:r>
      <w:rPr>
        <w:noProof/>
        <w:rtl/>
        <w:lang w:val="en-US"/>
      </w:rPr>
      <w:pict>
        <v:shape id="_x0000_s3841" type="#_x0000_t202" style="position:absolute;left:0;text-align:left;margin-left:326.8pt;margin-top:7.4pt;width:99.75pt;height:31.35pt;z-index:252031488" filled="f" stroked="f">
          <v:textbox style="mso-next-textbox:#_x0000_s3841">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43" type="#_x0000_t75" style="position:absolute;left:0;text-align:left;margin-left:62.55pt;margin-top:3.95pt;width:359.1pt;height:44.85pt;z-index:-251282944;mso-wrap-edited:f" wrapcoords="709 4393 473 10251 709 16108 709 16841 20851 16841 20891 16108 21088 10251 20851 4393 709 4393">
          <v:imagedata r:id="rId1" o:title="haut"/>
          <w10:wrap anchorx="page"/>
        </v:shape>
      </w:pict>
    </w:r>
    <w:r>
      <w:rPr>
        <w:noProof/>
        <w:rtl/>
        <w:lang w:val="en-US"/>
      </w:rPr>
      <w:pict>
        <v:shape id="_x0000_s3844" type="#_x0000_t75" style="position:absolute;left:0;text-align:left;margin-left:-10.95pt;margin-top:-.3pt;width:91.2pt;height:56.1pt;z-index:252034560">
          <v:imagedata r:id="rId2" o:title="hichemil1"/>
          <w10:wrap anchorx="page"/>
        </v:shape>
      </w:pict>
    </w: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1041</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46" type="#_x0000_t202" style="position:absolute;left:0;text-align:left;margin-left:133.85pt;margin-top:11.95pt;width:188.2pt;height:34.2pt;z-index:252036608" filled="f" stroked="f">
          <v:textbox style="mso-next-textbox:#_x0000_s3846">
            <w:txbxContent>
              <w:p w:rsidR="00035BE3" w:rsidRPr="004E264A" w:rsidRDefault="00035BE3">
                <w:pPr>
                  <w:ind w:firstLine="0"/>
                  <w:rPr>
                    <w:rFonts w:cs="AL-Mateen"/>
                    <w:sz w:val="23"/>
                    <w:szCs w:val="23"/>
                    <w:rtl/>
                  </w:rPr>
                </w:pPr>
                <w:r w:rsidRPr="006C587C">
                  <w:rPr>
                    <w:rFonts w:cs="AL-Mateen" w:hint="cs"/>
                    <w:sz w:val="23"/>
                    <w:szCs w:val="23"/>
                    <w:rtl/>
                  </w:rPr>
                  <w:t>ق225 :  المُبَاشِرُ ضَامِنٌ وإِنْ لَمْ يَتَعَمَّدْ, والمُسَبِّبُ لا إلاّ إذَا كَانَ .</w:t>
                </w:r>
              </w:p>
            </w:txbxContent>
          </v:textbox>
          <w10:wrap anchorx="page"/>
        </v:shape>
      </w:pict>
    </w:r>
    <w:r>
      <w:rPr>
        <w:noProof/>
        <w:rtl/>
        <w:lang w:val="en-US"/>
      </w:rPr>
      <w:pict>
        <v:shape id="_x0000_s3845" type="#_x0000_t202" style="position:absolute;left:0;text-align:left;margin-left:326.8pt;margin-top:7.4pt;width:99.75pt;height:31.35pt;z-index:252035584" filled="f" stroked="f">
          <v:textbox style="mso-next-textbox:#_x0000_s3845">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47" type="#_x0000_t75" style="position:absolute;left:0;text-align:left;margin-left:62.55pt;margin-top:3.95pt;width:359.1pt;height:44.85pt;z-index:-251278848;mso-wrap-edited:f" wrapcoords="709 4393 473 10251 709 16108 709 16841 20851 16841 20891 16108 21088 10251 20851 4393 709 4393">
          <v:imagedata r:id="rId1" o:title="haut"/>
          <w10:wrap anchorx="page"/>
        </v:shape>
      </w:pict>
    </w:r>
    <w:r>
      <w:rPr>
        <w:noProof/>
        <w:rtl/>
        <w:lang w:val="en-US"/>
      </w:rPr>
      <w:pict>
        <v:shape id="_x0000_s3848" type="#_x0000_t75" style="position:absolute;left:0;text-align:left;margin-left:-10.95pt;margin-top:-.3pt;width:91.2pt;height:56.1pt;z-index:252038656">
          <v:imagedata r:id="rId2" o:title="hichemil1"/>
          <w10:wrap anchorx="page"/>
        </v:shape>
      </w:pict>
    </w: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1043</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50" type="#_x0000_t202" style="position:absolute;left:0;text-align:left;margin-left:133.85pt;margin-top:11.95pt;width:188.2pt;height:34.2pt;z-index:252040704" filled="f" stroked="f">
          <v:textbox style="mso-next-textbox:#_x0000_s3850">
            <w:txbxContent>
              <w:p w:rsidR="00035BE3" w:rsidRPr="008906C7" w:rsidRDefault="00035BE3" w:rsidP="003D5367">
                <w:pPr>
                  <w:ind w:firstLine="0"/>
                  <w:rPr>
                    <w:rFonts w:cs="AL-Mateen"/>
                    <w:sz w:val="23"/>
                    <w:szCs w:val="23"/>
                    <w:rtl/>
                  </w:rPr>
                </w:pPr>
                <w:r w:rsidRPr="008906C7">
                  <w:rPr>
                    <w:rFonts w:cs="AL-Mateen" w:hint="cs"/>
                    <w:sz w:val="23"/>
                    <w:szCs w:val="23"/>
                    <w:rtl/>
                  </w:rPr>
                  <w:t>ق226 :  المَظْلُومُ لاَ يَظْلِمُ غَيْرَهُ.</w:t>
                </w:r>
              </w:p>
              <w:p w:rsidR="00035BE3" w:rsidRPr="004E264A" w:rsidRDefault="00035BE3">
                <w:pPr>
                  <w:ind w:firstLine="0"/>
                  <w:rPr>
                    <w:rFonts w:cs="AL-Mateen"/>
                    <w:sz w:val="23"/>
                    <w:szCs w:val="23"/>
                    <w:rtl/>
                  </w:rPr>
                </w:pPr>
              </w:p>
            </w:txbxContent>
          </v:textbox>
          <w10:wrap anchorx="page"/>
        </v:shape>
      </w:pict>
    </w:r>
    <w:r>
      <w:rPr>
        <w:noProof/>
        <w:rtl/>
        <w:lang w:val="en-US"/>
      </w:rPr>
      <w:pict>
        <v:shape id="_x0000_s3849" type="#_x0000_t202" style="position:absolute;left:0;text-align:left;margin-left:326.8pt;margin-top:7.4pt;width:99.75pt;height:31.35pt;z-index:252039680" filled="f" stroked="f">
          <v:textbox style="mso-next-textbox:#_x0000_s3849">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51" type="#_x0000_t75" style="position:absolute;left:0;text-align:left;margin-left:62.55pt;margin-top:3.95pt;width:359.1pt;height:44.85pt;z-index:-251274752;mso-wrap-edited:f" wrapcoords="709 4393 473 10251 709 16108 709 16841 20851 16841 20891 16108 21088 10251 20851 4393 709 4393">
          <v:imagedata r:id="rId1" o:title="haut"/>
          <w10:wrap anchorx="page"/>
        </v:shape>
      </w:pict>
    </w:r>
    <w:r>
      <w:rPr>
        <w:noProof/>
        <w:rtl/>
        <w:lang w:val="en-US"/>
      </w:rPr>
      <w:pict>
        <v:shape id="_x0000_s3852" type="#_x0000_t75" style="position:absolute;left:0;text-align:left;margin-left:-10.95pt;margin-top:-.3pt;width:91.2pt;height:56.1pt;z-index:252042752">
          <v:imagedata r:id="rId2" o:title="hichemil1"/>
          <w10:wrap anchorx="page"/>
        </v:shape>
      </w:pict>
    </w: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1048</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54" type="#_x0000_t202" style="position:absolute;left:0;text-align:left;margin-left:133.85pt;margin-top:11.95pt;width:188.2pt;height:34.2pt;z-index:252044800" filled="f" stroked="f">
          <v:textbox style="mso-next-textbox:#_x0000_s3854">
            <w:txbxContent>
              <w:p w:rsidR="00035BE3" w:rsidRPr="004E264A" w:rsidRDefault="00035BE3">
                <w:pPr>
                  <w:ind w:firstLine="0"/>
                  <w:rPr>
                    <w:rFonts w:cs="AL-Mateen"/>
                    <w:sz w:val="23"/>
                    <w:szCs w:val="23"/>
                    <w:rtl/>
                  </w:rPr>
                </w:pPr>
                <w:r w:rsidRPr="008B7D9B">
                  <w:rPr>
                    <w:rFonts w:cs="AL-Mateen" w:hint="cs"/>
                    <w:sz w:val="23"/>
                    <w:szCs w:val="23"/>
                    <w:rtl/>
                  </w:rPr>
                  <w:t>ق227 :  المَعْرِفَةُ لاَ تَدْخُلُ تَحْتَ النَّكِرَةِ فِي الأَيْمَانِ إلاَّ مَعْرِفَةً فِي .</w:t>
                </w:r>
              </w:p>
            </w:txbxContent>
          </v:textbox>
          <w10:wrap anchorx="page"/>
        </v:shape>
      </w:pict>
    </w:r>
    <w:r>
      <w:rPr>
        <w:noProof/>
        <w:rtl/>
        <w:lang w:val="en-US"/>
      </w:rPr>
      <w:pict>
        <v:shape id="_x0000_s3853" type="#_x0000_t202" style="position:absolute;left:0;text-align:left;margin-left:326.8pt;margin-top:7.4pt;width:99.75pt;height:31.35pt;z-index:252043776" filled="f" stroked="f">
          <v:textbox style="mso-next-textbox:#_x0000_s3853">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55" type="#_x0000_t75" style="position:absolute;left:0;text-align:left;margin-left:62.55pt;margin-top:3.95pt;width:359.1pt;height:44.85pt;z-index:-251270656;mso-wrap-edited:f" wrapcoords="709 4393 473 10251 709 16108 709 16841 20851 16841 20891 16108 21088 10251 20851 4393 709 4393">
          <v:imagedata r:id="rId1" o:title="haut"/>
          <w10:wrap anchorx="page"/>
        </v:shape>
      </w:pict>
    </w:r>
    <w:r>
      <w:rPr>
        <w:noProof/>
        <w:rtl/>
        <w:lang w:val="en-US"/>
      </w:rPr>
      <w:pict>
        <v:shape id="_x0000_s3856" type="#_x0000_t75" style="position:absolute;left:0;text-align:left;margin-left:-10.95pt;margin-top:-.3pt;width:91.2pt;height:56.1pt;z-index:252046848">
          <v:imagedata r:id="rId2" o:title="hichemil1"/>
          <w10:wrap anchorx="page"/>
        </v:shape>
      </w:pict>
    </w: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1050</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58" type="#_x0000_t202" style="position:absolute;left:0;text-align:left;margin-left:133.85pt;margin-top:11.95pt;width:188.2pt;height:34.2pt;z-index:252048896" filled="f" stroked="f">
          <v:textbox style="mso-next-textbox:#_x0000_s3858">
            <w:txbxContent>
              <w:p w:rsidR="00035BE3" w:rsidRPr="00497932" w:rsidRDefault="00035BE3" w:rsidP="003D5367">
                <w:pPr>
                  <w:ind w:firstLine="0"/>
                  <w:rPr>
                    <w:rFonts w:cs="AL-Mateen"/>
                    <w:sz w:val="23"/>
                    <w:szCs w:val="23"/>
                    <w:rtl/>
                  </w:rPr>
                </w:pPr>
                <w:r w:rsidRPr="00497932">
                  <w:rPr>
                    <w:rFonts w:cs="AL-Mateen" w:hint="cs"/>
                    <w:sz w:val="23"/>
                    <w:szCs w:val="23"/>
                    <w:rtl/>
                  </w:rPr>
                  <w:t>ق228 :  المَعْلُومُ لاَ يُؤَخَّرُ للمَوْهُومِ.</w:t>
                </w:r>
              </w:p>
              <w:p w:rsidR="00035BE3" w:rsidRPr="004E264A" w:rsidRDefault="00035BE3">
                <w:pPr>
                  <w:ind w:firstLine="0"/>
                  <w:rPr>
                    <w:rFonts w:cs="AL-Mateen"/>
                    <w:sz w:val="23"/>
                    <w:szCs w:val="23"/>
                    <w:rtl/>
                  </w:rPr>
                </w:pPr>
                <w:r w:rsidRPr="008B7D9B">
                  <w:rPr>
                    <w:rFonts w:cs="AL-Mateen" w:hint="cs"/>
                    <w:sz w:val="23"/>
                    <w:szCs w:val="23"/>
                    <w:rtl/>
                  </w:rPr>
                  <w:t>.</w:t>
                </w:r>
              </w:p>
            </w:txbxContent>
          </v:textbox>
          <w10:wrap anchorx="page"/>
        </v:shape>
      </w:pict>
    </w:r>
    <w:r>
      <w:rPr>
        <w:noProof/>
        <w:rtl/>
        <w:lang w:val="en-US"/>
      </w:rPr>
      <w:pict>
        <v:shape id="_x0000_s3857" type="#_x0000_t202" style="position:absolute;left:0;text-align:left;margin-left:326.8pt;margin-top:7.4pt;width:99.75pt;height:31.35pt;z-index:252047872" filled="f" stroked="f">
          <v:textbox style="mso-next-textbox:#_x0000_s3857">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59" type="#_x0000_t75" style="position:absolute;left:0;text-align:left;margin-left:62.55pt;margin-top:3.95pt;width:359.1pt;height:44.85pt;z-index:-251266560;mso-wrap-edited:f" wrapcoords="709 4393 473 10251 709 16108 709 16841 20851 16841 20891 16108 21088 10251 20851 4393 709 4393">
          <v:imagedata r:id="rId1" o:title="haut"/>
          <w10:wrap anchorx="page"/>
        </v:shape>
      </w:pict>
    </w:r>
    <w:r>
      <w:rPr>
        <w:noProof/>
        <w:rtl/>
        <w:lang w:val="en-US"/>
      </w:rPr>
      <w:pict>
        <v:shape id="_x0000_s3860" type="#_x0000_t75" style="position:absolute;left:0;text-align:left;margin-left:-10.95pt;margin-top:-.3pt;width:91.2pt;height:56.1pt;z-index:252050944">
          <v:imagedata r:id="rId2" o:title="hichemil1"/>
          <w10:wrap anchorx="page"/>
        </v:shape>
      </w:pict>
    </w: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1053</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62" type="#_x0000_t202" style="position:absolute;left:0;text-align:left;margin-left:133.85pt;margin-top:11.95pt;width:188.2pt;height:34.2pt;z-index:252052992" filled="f" stroked="f">
          <v:textbox style="mso-next-textbox:#_x0000_s3862">
            <w:txbxContent>
              <w:p w:rsidR="00035BE3" w:rsidRPr="002F68D3" w:rsidRDefault="00035BE3" w:rsidP="003D5367">
                <w:pPr>
                  <w:ind w:firstLine="0"/>
                  <w:rPr>
                    <w:rFonts w:cs="AL-Mateen"/>
                    <w:sz w:val="23"/>
                    <w:szCs w:val="23"/>
                    <w:rtl/>
                  </w:rPr>
                </w:pPr>
                <w:r w:rsidRPr="002F68D3">
                  <w:rPr>
                    <w:rFonts w:cs="AL-Mateen" w:hint="cs"/>
                    <w:sz w:val="23"/>
                    <w:szCs w:val="23"/>
                    <w:rtl/>
                  </w:rPr>
                  <w:t>ق229 :  المُعَلَّقُ بالشَّرْط معدومٌ قَبْلَهُ.</w:t>
                </w:r>
              </w:p>
              <w:p w:rsidR="00035BE3" w:rsidRPr="004E264A" w:rsidRDefault="00035BE3">
                <w:pPr>
                  <w:ind w:firstLine="0"/>
                  <w:rPr>
                    <w:rFonts w:cs="AL-Mateen"/>
                    <w:sz w:val="23"/>
                    <w:szCs w:val="23"/>
                    <w:rtl/>
                  </w:rPr>
                </w:pPr>
                <w:r w:rsidRPr="008B7D9B">
                  <w:rPr>
                    <w:rFonts w:cs="AL-Mateen" w:hint="cs"/>
                    <w:sz w:val="23"/>
                    <w:szCs w:val="23"/>
                    <w:rtl/>
                  </w:rPr>
                  <w:t>.</w:t>
                </w:r>
              </w:p>
            </w:txbxContent>
          </v:textbox>
          <w10:wrap anchorx="page"/>
        </v:shape>
      </w:pict>
    </w:r>
    <w:r>
      <w:rPr>
        <w:noProof/>
        <w:rtl/>
        <w:lang w:val="en-US"/>
      </w:rPr>
      <w:pict>
        <v:shape id="_x0000_s3861" type="#_x0000_t202" style="position:absolute;left:0;text-align:left;margin-left:326.8pt;margin-top:7.4pt;width:99.75pt;height:31.35pt;z-index:252051968" filled="f" stroked="f">
          <v:textbox style="mso-next-textbox:#_x0000_s3861">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63" type="#_x0000_t75" style="position:absolute;left:0;text-align:left;margin-left:62.55pt;margin-top:3.95pt;width:359.1pt;height:44.85pt;z-index:-251262464;mso-wrap-edited:f" wrapcoords="709 4393 473 10251 709 16108 709 16841 20851 16841 20891 16108 21088 10251 20851 4393 709 4393">
          <v:imagedata r:id="rId1" o:title="haut"/>
          <w10:wrap anchorx="page"/>
        </v:shape>
      </w:pict>
    </w:r>
    <w:r>
      <w:rPr>
        <w:noProof/>
        <w:rtl/>
        <w:lang w:val="en-US"/>
      </w:rPr>
      <w:pict>
        <v:shape id="_x0000_s3864" type="#_x0000_t75" style="position:absolute;left:0;text-align:left;margin-left:-10.95pt;margin-top:-.3pt;width:91.2pt;height:56.1pt;z-index:252055040">
          <v:imagedata r:id="rId2" o:title="hichemil1"/>
          <w10:wrap anchorx="page"/>
        </v:shape>
      </w:pict>
    </w: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1056</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66" type="#_x0000_t202" style="position:absolute;left:0;text-align:left;margin-left:133.85pt;margin-top:11.95pt;width:188.2pt;height:34.2pt;z-index:252057088" filled="f" stroked="f">
          <v:textbox style="mso-next-textbox:#_x0000_s3866">
            <w:txbxContent>
              <w:p w:rsidR="00035BE3" w:rsidRPr="004E264A" w:rsidRDefault="00035BE3">
                <w:pPr>
                  <w:ind w:firstLine="0"/>
                  <w:rPr>
                    <w:rFonts w:cs="AL-Mateen"/>
                    <w:sz w:val="23"/>
                    <w:szCs w:val="23"/>
                    <w:rtl/>
                  </w:rPr>
                </w:pPr>
                <w:r w:rsidRPr="00565762">
                  <w:rPr>
                    <w:rFonts w:cs="AL-Mateen" w:hint="cs"/>
                    <w:sz w:val="23"/>
                    <w:szCs w:val="23"/>
                    <w:rtl/>
                  </w:rPr>
                  <w:t>ق230 :  المَغْرُورُ فِي المُعَاوَضَاتِ التي تَقْتَضِي سَلاَمَةَ العِوَضَ جُعِلَ .</w:t>
                </w:r>
                <w:r w:rsidRPr="008B7D9B">
                  <w:rPr>
                    <w:rFonts w:cs="AL-Mateen" w:hint="cs"/>
                    <w:sz w:val="23"/>
                    <w:szCs w:val="23"/>
                    <w:rtl/>
                  </w:rPr>
                  <w:t>.</w:t>
                </w:r>
              </w:p>
            </w:txbxContent>
          </v:textbox>
          <w10:wrap anchorx="page"/>
        </v:shape>
      </w:pict>
    </w:r>
    <w:r>
      <w:rPr>
        <w:noProof/>
        <w:rtl/>
        <w:lang w:val="en-US"/>
      </w:rPr>
      <w:pict>
        <v:shape id="_x0000_s3865" type="#_x0000_t202" style="position:absolute;left:0;text-align:left;margin-left:326.8pt;margin-top:7.4pt;width:99.75pt;height:31.35pt;z-index:252056064" filled="f" stroked="f">
          <v:textbox style="mso-next-textbox:#_x0000_s3865">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67" type="#_x0000_t75" style="position:absolute;left:0;text-align:left;margin-left:62.55pt;margin-top:3.95pt;width:359.1pt;height:44.85pt;z-index:-251258368;mso-wrap-edited:f" wrapcoords="709 4393 473 10251 709 16108 709 16841 20851 16841 20891 16108 21088 10251 20851 4393 709 4393">
          <v:imagedata r:id="rId1" o:title="haut"/>
          <w10:wrap anchorx="page"/>
        </v:shape>
      </w:pict>
    </w:r>
    <w:r>
      <w:rPr>
        <w:noProof/>
        <w:rtl/>
        <w:lang w:val="en-US"/>
      </w:rPr>
      <w:pict>
        <v:shape id="_x0000_s3868" type="#_x0000_t75" style="position:absolute;left:0;text-align:left;margin-left:-10.95pt;margin-top:-.3pt;width:91.2pt;height:56.1pt;z-index:252059136">
          <v:imagedata r:id="rId2" o:title="hichemil1"/>
          <w10:wrap anchorx="page"/>
        </v:shape>
      </w:pict>
    </w: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1059</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70" type="#_x0000_t202" style="position:absolute;left:0;text-align:left;margin-left:133.85pt;margin-top:11.95pt;width:188.2pt;height:34.2pt;z-index:252061184" filled="f" stroked="f">
          <v:textbox style="mso-next-textbox:#_x0000_s3870">
            <w:txbxContent>
              <w:p w:rsidR="00035BE3" w:rsidRPr="004E264A" w:rsidRDefault="00035BE3">
                <w:pPr>
                  <w:ind w:firstLine="0"/>
                  <w:rPr>
                    <w:rFonts w:cs="AL-Mateen"/>
                    <w:sz w:val="23"/>
                    <w:szCs w:val="23"/>
                    <w:rtl/>
                  </w:rPr>
                </w:pPr>
                <w:r w:rsidRPr="00403EA0">
                  <w:rPr>
                    <w:rFonts w:cs="AL-Mateen" w:hint="cs"/>
                    <w:sz w:val="23"/>
                    <w:szCs w:val="23"/>
                    <w:rtl/>
                  </w:rPr>
                  <w:t>ق231 :  المَقَاصِدُ فِي العَرْضِ والعقارِ يتعلّق بصورِهما وأعيانِهما.</w:t>
                </w:r>
                <w:r w:rsidRPr="00565762">
                  <w:rPr>
                    <w:rFonts w:cs="AL-Mateen" w:hint="cs"/>
                    <w:sz w:val="23"/>
                    <w:szCs w:val="23"/>
                    <w:rtl/>
                  </w:rPr>
                  <w:t>.</w:t>
                </w:r>
                <w:r w:rsidRPr="008B7D9B">
                  <w:rPr>
                    <w:rFonts w:cs="AL-Mateen" w:hint="cs"/>
                    <w:sz w:val="23"/>
                    <w:szCs w:val="23"/>
                    <w:rtl/>
                  </w:rPr>
                  <w:t>.</w:t>
                </w:r>
              </w:p>
            </w:txbxContent>
          </v:textbox>
          <w10:wrap anchorx="page"/>
        </v:shape>
      </w:pict>
    </w:r>
    <w:r>
      <w:rPr>
        <w:noProof/>
        <w:rtl/>
        <w:lang w:val="en-US"/>
      </w:rPr>
      <w:pict>
        <v:shape id="_x0000_s3869" type="#_x0000_t202" style="position:absolute;left:0;text-align:left;margin-left:326.8pt;margin-top:7.4pt;width:99.75pt;height:31.35pt;z-index:252060160" filled="f" stroked="f">
          <v:textbox style="mso-next-textbox:#_x0000_s3869">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71" type="#_x0000_t75" style="position:absolute;left:0;text-align:left;margin-left:62.55pt;margin-top:3.95pt;width:359.1pt;height:44.85pt;z-index:-251254272;mso-wrap-edited:f" wrapcoords="709 4393 473 10251 709 16108 709 16841 20851 16841 20891 16108 21088 10251 20851 4393 709 4393">
          <v:imagedata r:id="rId1" o:title="haut"/>
          <w10:wrap anchorx="page"/>
        </v:shape>
      </w:pict>
    </w:r>
    <w:r>
      <w:rPr>
        <w:noProof/>
        <w:rtl/>
        <w:lang w:val="en-US"/>
      </w:rPr>
      <w:pict>
        <v:shape id="_x0000_s3872" type="#_x0000_t75" style="position:absolute;left:0;text-align:left;margin-left:-10.95pt;margin-top:-.3pt;width:91.2pt;height:56.1pt;z-index:252063232">
          <v:imagedata r:id="rId2" o:title="hichemil1"/>
          <w10:wrap anchorx="page"/>
        </v:shape>
      </w:pict>
    </w: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1062</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74" type="#_x0000_t202" style="position:absolute;left:0;text-align:left;margin-left:133.85pt;margin-top:11.95pt;width:188.2pt;height:34.2pt;z-index:252065280" filled="f" stroked="f">
          <v:textbox style="mso-next-textbox:#_x0000_s3874">
            <w:txbxContent>
              <w:p w:rsidR="00035BE3" w:rsidRPr="00F42A7F" w:rsidRDefault="00035BE3" w:rsidP="003D5367">
                <w:pPr>
                  <w:ind w:firstLine="0"/>
                  <w:rPr>
                    <w:rFonts w:cs="AL-Mateen"/>
                    <w:sz w:val="23"/>
                    <w:szCs w:val="23"/>
                    <w:rtl/>
                  </w:rPr>
                </w:pPr>
                <w:r w:rsidRPr="00F42A7F">
                  <w:rPr>
                    <w:rFonts w:cs="AL-Mateen" w:hint="cs"/>
                    <w:sz w:val="23"/>
                    <w:szCs w:val="23"/>
                    <w:rtl/>
                  </w:rPr>
                  <w:t>ق232 :  المَقْضِيُّ عَلَيْهِ فِي حَادِثَةٍ : لاَ تُسْمَعُ دَعْوَاهُ ولا بَيِّنَتُهُ.</w:t>
                </w:r>
              </w:p>
              <w:p w:rsidR="00035BE3" w:rsidRPr="004E264A" w:rsidRDefault="00035BE3">
                <w:pPr>
                  <w:ind w:firstLine="0"/>
                  <w:rPr>
                    <w:rFonts w:cs="AL-Mateen"/>
                    <w:sz w:val="23"/>
                    <w:szCs w:val="23"/>
                    <w:rtl/>
                  </w:rPr>
                </w:pPr>
              </w:p>
            </w:txbxContent>
          </v:textbox>
          <w10:wrap anchorx="page"/>
        </v:shape>
      </w:pict>
    </w:r>
    <w:r>
      <w:rPr>
        <w:noProof/>
        <w:rtl/>
        <w:lang w:val="en-US"/>
      </w:rPr>
      <w:pict>
        <v:shape id="_x0000_s3873" type="#_x0000_t202" style="position:absolute;left:0;text-align:left;margin-left:326.8pt;margin-top:7.4pt;width:99.75pt;height:31.35pt;z-index:252064256" filled="f" stroked="f">
          <v:textbox style="mso-next-textbox:#_x0000_s3873">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75" type="#_x0000_t75" style="position:absolute;left:0;text-align:left;margin-left:62.55pt;margin-top:3.95pt;width:359.1pt;height:44.85pt;z-index:-251250176;mso-wrap-edited:f" wrapcoords="709 4393 473 10251 709 16108 709 16841 20851 16841 20891 16108 21088 10251 20851 4393 709 4393">
          <v:imagedata r:id="rId1" o:title="haut"/>
          <w10:wrap anchorx="page"/>
        </v:shape>
      </w:pict>
    </w:r>
    <w:r>
      <w:rPr>
        <w:noProof/>
        <w:rtl/>
        <w:lang w:val="en-US"/>
      </w:rPr>
      <w:pict>
        <v:shape id="_x0000_s3876" type="#_x0000_t75" style="position:absolute;left:0;text-align:left;margin-left:-10.95pt;margin-top:-.3pt;width:91.2pt;height:56.1pt;z-index:252067328">
          <v:imagedata r:id="rId2" o:title="hichemil1"/>
          <w10:wrap anchorx="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281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96" type="#_x0000_t75" style="position:absolute;left:0;text-align:left;margin-left:-10.95pt;margin-top:-3.4pt;width:91.2pt;height:56.1pt;z-index:2511744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2994" type="#_x0000_t202" style="position:absolute;left:0;text-align:left;margin-left:139.45pt;margin-top:8.25pt;width:182.5pt;height:34.2pt;z-index:251172352" filled="f" stroked="f">
          <v:textbox style="mso-next-textbox:#_x0000_s2994">
            <w:txbxContent>
              <w:p w:rsidR="00035BE3" w:rsidRPr="00140A72" w:rsidRDefault="00035BE3">
                <w:pPr>
                  <w:ind w:firstLine="0"/>
                  <w:rPr>
                    <w:rFonts w:cs="AL-Mateen"/>
                    <w:spacing w:val="4"/>
                    <w:sz w:val="24"/>
                    <w:szCs w:val="24"/>
                    <w:rtl/>
                  </w:rPr>
                </w:pPr>
                <w:r w:rsidRPr="00140A72">
                  <w:rPr>
                    <w:rFonts w:cs="AL-Mateen" w:hint="cs"/>
                    <w:spacing w:val="4"/>
                    <w:sz w:val="24"/>
                    <w:szCs w:val="24"/>
                    <w:rtl/>
                  </w:rPr>
                  <w:t>ق13 :  إذَا زالَ الـمانعُ عـادَ الـممنُوعُ.</w:t>
                </w:r>
              </w:p>
            </w:txbxContent>
          </v:textbox>
          <w10:wrap anchorx="page"/>
        </v:shape>
      </w:pict>
    </w:r>
    <w:r>
      <w:rPr>
        <w:noProof/>
        <w:rtl/>
        <w:lang w:val="en-US"/>
      </w:rPr>
      <w:pict>
        <v:shape id="_x0000_s2993" type="#_x0000_t202" style="position:absolute;left:0;text-align:left;margin-left:326.2pt;margin-top:6.25pt;width:99.75pt;height:31.35pt;z-index:251171328" filled="f" stroked="f">
          <v:textbox style="mso-next-textbox:#_x0000_s2993">
            <w:txbxContent>
              <w:p w:rsidR="00035BE3" w:rsidRPr="00140A72" w:rsidRDefault="00035BE3">
                <w:pPr>
                  <w:ind w:firstLine="0"/>
                  <w:jc w:val="center"/>
                  <w:rPr>
                    <w:rFonts w:cs="AL-Mateen"/>
                    <w:sz w:val="28"/>
                    <w:szCs w:val="28"/>
                    <w:rtl/>
                  </w:rPr>
                </w:pPr>
                <w:r w:rsidRPr="00140A72">
                  <w:rPr>
                    <w:rFonts w:cs="AL-Mateen" w:hint="cs"/>
                    <w:sz w:val="28"/>
                    <w:szCs w:val="28"/>
                    <w:rtl/>
                  </w:rPr>
                  <w:t>ترتيب اللآلي</w:t>
                </w:r>
              </w:p>
            </w:txbxContent>
          </v:textbox>
          <w10:wrap anchorx="page"/>
        </v:shape>
      </w:pict>
    </w:r>
    <w:r>
      <w:rPr>
        <w:noProof/>
        <w:rtl/>
        <w:lang w:val="en-US"/>
      </w:rPr>
      <w:pict>
        <v:shape id="_x0000_s2995" type="#_x0000_t75" style="position:absolute;left:0;text-align:left;margin-left:62.55pt;margin-top:2.55pt;width:359.1pt;height:44.85pt;z-index:-252143104;mso-wrap-edited:f" wrapcoords="709 4393 473 10251 709 16108 709 16841 20851 16841 20891 16108 21088 10251 20851 4393 709 4393">
          <v:imagedata r:id="rId2" o:title="haut"/>
          <w10:wrap anchorx="page"/>
        </v:shape>
      </w:pict>
    </w: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1066</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78" type="#_x0000_t202" style="position:absolute;left:0;text-align:left;margin-left:133.85pt;margin-top:11.95pt;width:188.2pt;height:34.2pt;z-index:252069376" filled="f" stroked="f">
          <v:textbox style="mso-next-textbox:#_x0000_s3878">
            <w:txbxContent>
              <w:p w:rsidR="00035BE3" w:rsidRPr="00F42A7F" w:rsidRDefault="00035BE3" w:rsidP="003D5367">
                <w:pPr>
                  <w:ind w:firstLine="0"/>
                  <w:rPr>
                    <w:rFonts w:cs="AL-Mateen"/>
                    <w:sz w:val="23"/>
                    <w:szCs w:val="23"/>
                    <w:rtl/>
                  </w:rPr>
                </w:pPr>
                <w:r w:rsidRPr="000C636C">
                  <w:rPr>
                    <w:rFonts w:cs="AL-Mateen" w:hint="cs"/>
                    <w:sz w:val="23"/>
                    <w:szCs w:val="23"/>
                    <w:rtl/>
                  </w:rPr>
                  <w:t>ق233 :  المَقْبُوضُ عَلَى سَوْمِ الشِّرَاءِ مَضْمُونٌ بِقِيمَتِهِ.</w:t>
                </w:r>
              </w:p>
              <w:p w:rsidR="00035BE3" w:rsidRPr="004E264A" w:rsidRDefault="00035BE3">
                <w:pPr>
                  <w:ind w:firstLine="0"/>
                  <w:rPr>
                    <w:rFonts w:cs="AL-Mateen"/>
                    <w:sz w:val="23"/>
                    <w:szCs w:val="23"/>
                    <w:rtl/>
                  </w:rPr>
                </w:pPr>
              </w:p>
            </w:txbxContent>
          </v:textbox>
          <w10:wrap anchorx="page"/>
        </v:shape>
      </w:pict>
    </w:r>
    <w:r>
      <w:rPr>
        <w:noProof/>
        <w:rtl/>
        <w:lang w:val="en-US"/>
      </w:rPr>
      <w:pict>
        <v:shape id="_x0000_s3877" type="#_x0000_t202" style="position:absolute;left:0;text-align:left;margin-left:326.8pt;margin-top:7.4pt;width:99.75pt;height:31.35pt;z-index:252068352" filled="f" stroked="f">
          <v:textbox style="mso-next-textbox:#_x0000_s3877">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79" type="#_x0000_t75" style="position:absolute;left:0;text-align:left;margin-left:62.55pt;margin-top:3.95pt;width:359.1pt;height:44.85pt;z-index:-251246080;mso-wrap-edited:f" wrapcoords="709 4393 473 10251 709 16108 709 16841 20851 16841 20891 16108 21088 10251 20851 4393 709 4393">
          <v:imagedata r:id="rId1" o:title="haut"/>
          <w10:wrap anchorx="page"/>
        </v:shape>
      </w:pict>
    </w:r>
    <w:r>
      <w:rPr>
        <w:noProof/>
        <w:rtl/>
        <w:lang w:val="en-US"/>
      </w:rPr>
      <w:pict>
        <v:shape id="_x0000_s3880" type="#_x0000_t75" style="position:absolute;left:0;text-align:left;margin-left:-10.95pt;margin-top:-.3pt;width:91.2pt;height:56.1pt;z-index:252071424">
          <v:imagedata r:id="rId2" o:title="hichemil1"/>
          <w10:wrap anchorx="page"/>
        </v:shape>
      </w:pict>
    </w: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1069</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82" type="#_x0000_t202" style="position:absolute;left:0;text-align:left;margin-left:133.85pt;margin-top:11.95pt;width:188.2pt;height:34.2pt;z-index:252073472" filled="f" stroked="f">
          <v:textbox style="mso-next-textbox:#_x0000_s3882">
            <w:txbxContent>
              <w:p w:rsidR="00035BE3" w:rsidRPr="001F7843" w:rsidRDefault="00035BE3" w:rsidP="003D5367">
                <w:pPr>
                  <w:ind w:firstLine="0"/>
                  <w:rPr>
                    <w:rFonts w:cs="AL-Mateen"/>
                    <w:sz w:val="23"/>
                    <w:szCs w:val="23"/>
                    <w:rtl/>
                  </w:rPr>
                </w:pPr>
                <w:r w:rsidRPr="001F7843">
                  <w:rPr>
                    <w:rFonts w:cs="AL-Mateen" w:hint="cs"/>
                    <w:sz w:val="23"/>
                    <w:szCs w:val="23"/>
                    <w:rtl/>
                  </w:rPr>
                  <w:t>ق234 :  المُمتَنِعُ عَادَةً كَالمُمْتَنِعِ حَقِيقَةً.</w:t>
                </w:r>
              </w:p>
              <w:p w:rsidR="00035BE3" w:rsidRPr="004E264A" w:rsidRDefault="00035BE3">
                <w:pPr>
                  <w:ind w:firstLine="0"/>
                  <w:rPr>
                    <w:rFonts w:cs="AL-Mateen"/>
                    <w:sz w:val="23"/>
                    <w:szCs w:val="23"/>
                    <w:rtl/>
                  </w:rPr>
                </w:pPr>
              </w:p>
            </w:txbxContent>
          </v:textbox>
          <w10:wrap anchorx="page"/>
        </v:shape>
      </w:pict>
    </w:r>
    <w:r>
      <w:rPr>
        <w:noProof/>
        <w:rtl/>
        <w:lang w:val="en-US"/>
      </w:rPr>
      <w:pict>
        <v:shape id="_x0000_s3881" type="#_x0000_t202" style="position:absolute;left:0;text-align:left;margin-left:326.8pt;margin-top:7.4pt;width:99.75pt;height:31.35pt;z-index:252072448" filled="f" stroked="f">
          <v:textbox style="mso-next-textbox:#_x0000_s3881">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83" type="#_x0000_t75" style="position:absolute;left:0;text-align:left;margin-left:62.55pt;margin-top:3.95pt;width:359.1pt;height:44.85pt;z-index:-251241984;mso-wrap-edited:f" wrapcoords="709 4393 473 10251 709 16108 709 16841 20851 16841 20891 16108 21088 10251 20851 4393 709 4393">
          <v:imagedata r:id="rId1" o:title="haut"/>
          <w10:wrap anchorx="page"/>
        </v:shape>
      </w:pict>
    </w:r>
    <w:r>
      <w:rPr>
        <w:noProof/>
        <w:rtl/>
        <w:lang w:val="en-US"/>
      </w:rPr>
      <w:pict>
        <v:shape id="_x0000_s3884" type="#_x0000_t75" style="position:absolute;left:0;text-align:left;margin-left:-10.95pt;margin-top:-.3pt;width:91.2pt;height:56.1pt;z-index:252075520">
          <v:imagedata r:id="rId2" o:title="hichemil1"/>
          <w10:wrap anchorx="page"/>
        </v:shape>
      </w:pict>
    </w: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1074</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86" type="#_x0000_t202" style="position:absolute;left:0;text-align:left;margin-left:133.85pt;margin-top:11.95pt;width:188.2pt;height:34.2pt;z-index:252077568" filled="f" stroked="f">
          <v:textbox style="mso-next-textbox:#_x0000_s3886">
            <w:txbxContent>
              <w:p w:rsidR="00035BE3" w:rsidRPr="00BD0B8E" w:rsidRDefault="00035BE3" w:rsidP="003D5367">
                <w:pPr>
                  <w:ind w:firstLine="0"/>
                  <w:rPr>
                    <w:rFonts w:cs="AL-Mateen"/>
                    <w:sz w:val="23"/>
                    <w:szCs w:val="23"/>
                    <w:rtl/>
                  </w:rPr>
                </w:pPr>
                <w:r w:rsidRPr="00BD0B8E">
                  <w:rPr>
                    <w:rFonts w:cs="AL-Mateen" w:hint="cs"/>
                    <w:sz w:val="23"/>
                    <w:szCs w:val="23"/>
                    <w:rtl/>
                  </w:rPr>
                  <w:t>ق235 :  مَنْ سَعَى فِي نَقْضِ مَا تمَّ مِنْ جِهَتِهِ فَسَعْيُهُ مَرْدُودٌ عَلَيْهِ.</w:t>
                </w:r>
              </w:p>
              <w:p w:rsidR="00035BE3" w:rsidRPr="004E264A" w:rsidRDefault="00035BE3">
                <w:pPr>
                  <w:ind w:firstLine="0"/>
                  <w:rPr>
                    <w:rFonts w:cs="AL-Mateen"/>
                    <w:sz w:val="23"/>
                    <w:szCs w:val="23"/>
                    <w:rtl/>
                  </w:rPr>
                </w:pPr>
              </w:p>
            </w:txbxContent>
          </v:textbox>
          <w10:wrap anchorx="page"/>
        </v:shape>
      </w:pict>
    </w:r>
    <w:r>
      <w:rPr>
        <w:noProof/>
        <w:rtl/>
        <w:lang w:val="en-US"/>
      </w:rPr>
      <w:pict>
        <v:shape id="_x0000_s3885" type="#_x0000_t202" style="position:absolute;left:0;text-align:left;margin-left:326.8pt;margin-top:7.4pt;width:99.75pt;height:31.35pt;z-index:252076544" filled="f" stroked="f">
          <v:textbox style="mso-next-textbox:#_x0000_s3885">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87" type="#_x0000_t75" style="position:absolute;left:0;text-align:left;margin-left:62.55pt;margin-top:3.95pt;width:359.1pt;height:44.85pt;z-index:-251237888;mso-wrap-edited:f" wrapcoords="709 4393 473 10251 709 16108 709 16841 20851 16841 20891 16108 21088 10251 20851 4393 709 4393">
          <v:imagedata r:id="rId1" o:title="haut"/>
          <w10:wrap anchorx="page"/>
        </v:shape>
      </w:pict>
    </w:r>
    <w:r>
      <w:rPr>
        <w:noProof/>
        <w:rtl/>
        <w:lang w:val="en-US"/>
      </w:rPr>
      <w:pict>
        <v:shape id="_x0000_s3888" type="#_x0000_t75" style="position:absolute;left:0;text-align:left;margin-left:-10.95pt;margin-top:-.3pt;width:91.2pt;height:56.1pt;z-index:252079616">
          <v:imagedata r:id="rId2" o:title="hichemil1"/>
          <w10:wrap anchorx="page"/>
        </v:shape>
      </w:pict>
    </w: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1076</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90" type="#_x0000_t202" style="position:absolute;left:0;text-align:left;margin-left:133.85pt;margin-top:11.95pt;width:188.2pt;height:34.2pt;z-index:252081664" filled="f" stroked="f">
          <v:textbox style="mso-next-textbox:#_x0000_s3890">
            <w:txbxContent>
              <w:p w:rsidR="00035BE3" w:rsidRPr="00BA2C79" w:rsidRDefault="00035BE3" w:rsidP="003D5367">
                <w:pPr>
                  <w:ind w:firstLine="0"/>
                  <w:rPr>
                    <w:rFonts w:cs="AL-Mateen"/>
                    <w:sz w:val="23"/>
                    <w:szCs w:val="23"/>
                    <w:rtl/>
                  </w:rPr>
                </w:pPr>
                <w:r w:rsidRPr="00BA2C79">
                  <w:rPr>
                    <w:rFonts w:cs="AL-Mateen" w:hint="cs"/>
                    <w:sz w:val="23"/>
                    <w:szCs w:val="23"/>
                    <w:rtl/>
                  </w:rPr>
                  <w:t>ق236 :  مَنْ لاَ يَلِي غَيْرَهُ لا يَجُوزُ تَصَرُّفُهُ في حَقِّهِ.</w:t>
                </w:r>
              </w:p>
              <w:p w:rsidR="00035BE3" w:rsidRPr="004E264A" w:rsidRDefault="00035BE3">
                <w:pPr>
                  <w:ind w:firstLine="0"/>
                  <w:rPr>
                    <w:rFonts w:cs="AL-Mateen"/>
                    <w:sz w:val="23"/>
                    <w:szCs w:val="23"/>
                    <w:rtl/>
                  </w:rPr>
                </w:pPr>
              </w:p>
            </w:txbxContent>
          </v:textbox>
          <w10:wrap anchorx="page"/>
        </v:shape>
      </w:pict>
    </w:r>
    <w:r>
      <w:rPr>
        <w:noProof/>
        <w:rtl/>
        <w:lang w:val="en-US"/>
      </w:rPr>
      <w:pict>
        <v:shape id="_x0000_s3889" type="#_x0000_t202" style="position:absolute;left:0;text-align:left;margin-left:326.8pt;margin-top:7.4pt;width:99.75pt;height:31.35pt;z-index:252080640" filled="f" stroked="f">
          <v:textbox style="mso-next-textbox:#_x0000_s3889">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1" type="#_x0000_t75" style="position:absolute;left:0;text-align:left;margin-left:62.55pt;margin-top:3.95pt;width:359.1pt;height:44.85pt;z-index:-251233792;mso-wrap-edited:f" wrapcoords="709 4393 473 10251 709 16108 709 16841 20851 16841 20891 16108 21088 10251 20851 4393 709 4393">
          <v:imagedata r:id="rId1" o:title="haut"/>
          <w10:wrap anchorx="page"/>
        </v:shape>
      </w:pict>
    </w:r>
    <w:r>
      <w:rPr>
        <w:noProof/>
        <w:rtl/>
        <w:lang w:val="en-US"/>
      </w:rPr>
      <w:pict>
        <v:shape id="_x0000_s3892" type="#_x0000_t75" style="position:absolute;left:0;text-align:left;margin-left:-10.95pt;margin-top:-.3pt;width:91.2pt;height:56.1pt;z-index:252083712">
          <v:imagedata r:id="rId2" o:title="hichemil1"/>
          <w10:wrap anchorx="page"/>
        </v:shape>
      </w:pict>
    </w: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1084</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94" type="#_x0000_t202" style="position:absolute;left:0;text-align:left;margin-left:133.85pt;margin-top:11.95pt;width:188.2pt;height:34.2pt;z-index:252085760" filled="f" stroked="f">
          <v:textbox style="mso-next-textbox:#_x0000_s3894">
            <w:txbxContent>
              <w:p w:rsidR="00035BE3" w:rsidRPr="004E264A" w:rsidRDefault="00035BE3">
                <w:pPr>
                  <w:ind w:firstLine="0"/>
                  <w:rPr>
                    <w:rFonts w:cs="AL-Mateen"/>
                    <w:sz w:val="23"/>
                    <w:szCs w:val="23"/>
                    <w:rtl/>
                  </w:rPr>
                </w:pPr>
                <w:r w:rsidRPr="009B3816">
                  <w:rPr>
                    <w:rFonts w:cs="AL-Mateen" w:hint="cs"/>
                    <w:sz w:val="23"/>
                    <w:szCs w:val="23"/>
                    <w:rtl/>
                  </w:rPr>
                  <w:t>ق237 :  مَنْ جُعِلَ القوْلُ قولَهُ، فِيمَا كَانَ هُوَ خَصْمًا فِيهِ، والشيءُ ..</w:t>
                </w:r>
              </w:p>
            </w:txbxContent>
          </v:textbox>
          <w10:wrap anchorx="page"/>
        </v:shape>
      </w:pict>
    </w:r>
    <w:r>
      <w:rPr>
        <w:noProof/>
        <w:rtl/>
        <w:lang w:val="en-US"/>
      </w:rPr>
      <w:pict>
        <v:shape id="_x0000_s3893" type="#_x0000_t202" style="position:absolute;left:0;text-align:left;margin-left:326.8pt;margin-top:7.4pt;width:99.75pt;height:31.35pt;z-index:252084736" filled="f" stroked="f">
          <v:textbox style="mso-next-textbox:#_x0000_s3893">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5" type="#_x0000_t75" style="position:absolute;left:0;text-align:left;margin-left:62.55pt;margin-top:3.95pt;width:359.1pt;height:44.85pt;z-index:-251229696;mso-wrap-edited:f" wrapcoords="709 4393 473 10251 709 16108 709 16841 20851 16841 20891 16108 21088 10251 20851 4393 709 4393">
          <v:imagedata r:id="rId1" o:title="haut"/>
          <w10:wrap anchorx="page"/>
        </v:shape>
      </w:pict>
    </w:r>
    <w:r>
      <w:rPr>
        <w:noProof/>
        <w:rtl/>
        <w:lang w:val="en-US"/>
      </w:rPr>
      <w:pict>
        <v:shape id="_x0000_s3896" type="#_x0000_t75" style="position:absolute;left:0;text-align:left;margin-left:-10.95pt;margin-top:-.3pt;width:91.2pt;height:56.1pt;z-index:252087808">
          <v:imagedata r:id="rId2" o:title="hichemil1"/>
          <w10:wrap anchorx="page"/>
        </v:shape>
      </w:pict>
    </w: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1086</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898" type="#_x0000_t202" style="position:absolute;left:0;text-align:left;margin-left:133.85pt;margin-top:11.95pt;width:188.2pt;height:34.2pt;z-index:252089856" filled="f" stroked="f">
          <v:textbox style="mso-next-textbox:#_x0000_s3898">
            <w:txbxContent>
              <w:p w:rsidR="00035BE3" w:rsidRPr="00792517" w:rsidRDefault="00035BE3" w:rsidP="003D5367">
                <w:pPr>
                  <w:ind w:firstLine="0"/>
                  <w:rPr>
                    <w:rFonts w:cs="AL-Mateen"/>
                    <w:sz w:val="23"/>
                    <w:szCs w:val="23"/>
                    <w:rtl/>
                  </w:rPr>
                </w:pPr>
                <w:r w:rsidRPr="00792517">
                  <w:rPr>
                    <w:rFonts w:cs="AL-Mateen" w:hint="cs"/>
                    <w:sz w:val="23"/>
                    <w:szCs w:val="23"/>
                    <w:rtl/>
                  </w:rPr>
                  <w:t>ق238 :  مَنْ عَمِلَ إِقْرَارُهُ قُبِلَتْ بَيِّنَتُهُ، وإلاّ فَلاَ.</w:t>
                </w:r>
              </w:p>
              <w:p w:rsidR="00035BE3" w:rsidRPr="004E264A" w:rsidRDefault="00035BE3">
                <w:pPr>
                  <w:ind w:firstLine="0"/>
                  <w:rPr>
                    <w:rFonts w:cs="AL-Mateen"/>
                    <w:sz w:val="23"/>
                    <w:szCs w:val="23"/>
                    <w:rtl/>
                  </w:rPr>
                </w:pPr>
              </w:p>
            </w:txbxContent>
          </v:textbox>
          <w10:wrap anchorx="page"/>
        </v:shape>
      </w:pict>
    </w:r>
    <w:r>
      <w:rPr>
        <w:noProof/>
        <w:rtl/>
        <w:lang w:val="en-US"/>
      </w:rPr>
      <w:pict>
        <v:shape id="_x0000_s3897" type="#_x0000_t202" style="position:absolute;left:0;text-align:left;margin-left:326.8pt;margin-top:7.4pt;width:99.75pt;height:31.35pt;z-index:252088832" filled="f" stroked="f">
          <v:textbox style="mso-next-textbox:#_x0000_s3897">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9" type="#_x0000_t75" style="position:absolute;left:0;text-align:left;margin-left:62.55pt;margin-top:3.95pt;width:359.1pt;height:44.85pt;z-index:-251225600;mso-wrap-edited:f" wrapcoords="709 4393 473 10251 709 16108 709 16841 20851 16841 20891 16108 21088 10251 20851 4393 709 4393">
          <v:imagedata r:id="rId1" o:title="haut"/>
          <w10:wrap anchorx="page"/>
        </v:shape>
      </w:pict>
    </w:r>
    <w:r>
      <w:rPr>
        <w:noProof/>
        <w:rtl/>
        <w:lang w:val="en-US"/>
      </w:rPr>
      <w:pict>
        <v:shape id="_x0000_s3900" type="#_x0000_t75" style="position:absolute;left:0;text-align:left;margin-left:-10.95pt;margin-top:-.3pt;width:91.2pt;height:56.1pt;z-index:252091904">
          <v:imagedata r:id="rId2" o:title="hichemil1"/>
          <w10:wrap anchorx="page"/>
        </v:shape>
      </w:pict>
    </w: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1088</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02" type="#_x0000_t202" style="position:absolute;left:0;text-align:left;margin-left:133.85pt;margin-top:11.95pt;width:188.2pt;height:34.2pt;z-index:252093952" filled="f" stroked="f">
          <v:textbox style="mso-next-textbox:#_x0000_s3902">
            <w:txbxContent>
              <w:p w:rsidR="00035BE3" w:rsidRPr="00686BE0" w:rsidRDefault="00035BE3" w:rsidP="003D5367">
                <w:pPr>
                  <w:ind w:firstLine="0"/>
                  <w:rPr>
                    <w:rFonts w:cs="AL-Mateen"/>
                    <w:sz w:val="23"/>
                    <w:szCs w:val="23"/>
                    <w:rtl/>
                  </w:rPr>
                </w:pPr>
                <w:r w:rsidRPr="00686BE0">
                  <w:rPr>
                    <w:rFonts w:cs="AL-Mateen" w:hint="cs"/>
                    <w:sz w:val="23"/>
                    <w:szCs w:val="23"/>
                    <w:rtl/>
                  </w:rPr>
                  <w:t>ق239 :  مَنْ يَمْلِكُ التَّـنْجيزَ يَمْلِكُ التَّـعْلِيْقَ.</w:t>
                </w:r>
              </w:p>
              <w:p w:rsidR="00035BE3" w:rsidRPr="004E264A" w:rsidRDefault="00035BE3">
                <w:pPr>
                  <w:ind w:firstLine="0"/>
                  <w:rPr>
                    <w:rFonts w:cs="AL-Mateen"/>
                    <w:sz w:val="23"/>
                    <w:szCs w:val="23"/>
                    <w:rtl/>
                  </w:rPr>
                </w:pPr>
              </w:p>
            </w:txbxContent>
          </v:textbox>
          <w10:wrap anchorx="page"/>
        </v:shape>
      </w:pict>
    </w:r>
    <w:r>
      <w:rPr>
        <w:noProof/>
        <w:rtl/>
        <w:lang w:val="en-US"/>
      </w:rPr>
      <w:pict>
        <v:shape id="_x0000_s3901" type="#_x0000_t202" style="position:absolute;left:0;text-align:left;margin-left:326.8pt;margin-top:7.4pt;width:99.75pt;height:31.35pt;z-index:252092928" filled="f" stroked="f">
          <v:textbox style="mso-next-textbox:#_x0000_s3901">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03" type="#_x0000_t75" style="position:absolute;left:0;text-align:left;margin-left:62.55pt;margin-top:3.95pt;width:359.1pt;height:44.85pt;z-index:-251221504;mso-wrap-edited:f" wrapcoords="709 4393 473 10251 709 16108 709 16841 20851 16841 20891 16108 21088 10251 20851 4393 709 4393">
          <v:imagedata r:id="rId1" o:title="haut"/>
          <w10:wrap anchorx="page"/>
        </v:shape>
      </w:pict>
    </w:r>
    <w:r>
      <w:rPr>
        <w:noProof/>
        <w:rtl/>
        <w:lang w:val="en-US"/>
      </w:rPr>
      <w:pict>
        <v:shape id="_x0000_s3904" type="#_x0000_t75" style="position:absolute;left:0;text-align:left;margin-left:-10.95pt;margin-top:-.3pt;width:91.2pt;height:56.1pt;z-index:252096000">
          <v:imagedata r:id="rId2" o:title="hichemil1"/>
          <w10:wrap anchorx="page"/>
        </v:shape>
      </w:pict>
    </w: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1093</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06" type="#_x0000_t202" style="position:absolute;left:0;text-align:left;margin-left:133.85pt;margin-top:11.95pt;width:188.2pt;height:34.2pt;z-index:252098048" filled="f" stroked="f">
          <v:textbox style="mso-next-textbox:#_x0000_s3906">
            <w:txbxContent>
              <w:p w:rsidR="00035BE3" w:rsidRPr="00837B94" w:rsidRDefault="00035BE3" w:rsidP="003D5367">
                <w:pPr>
                  <w:ind w:firstLine="0"/>
                  <w:rPr>
                    <w:rFonts w:cs="AL-Mateen"/>
                    <w:sz w:val="23"/>
                    <w:szCs w:val="23"/>
                    <w:rtl/>
                  </w:rPr>
                </w:pPr>
                <w:r w:rsidRPr="00837B94">
                  <w:rPr>
                    <w:rFonts w:cs="AL-Mateen" w:hint="cs"/>
                    <w:sz w:val="23"/>
                    <w:szCs w:val="23"/>
                    <w:rtl/>
                  </w:rPr>
                  <w:t>ق240 :  مَنْ لاَ يَمْلِكُ التَّنْجِيزَ لاَ يَمْلِكُ التَّعْلِيقَ.</w:t>
                </w:r>
              </w:p>
              <w:p w:rsidR="00035BE3" w:rsidRPr="004E264A" w:rsidRDefault="00035BE3">
                <w:pPr>
                  <w:ind w:firstLine="0"/>
                  <w:rPr>
                    <w:rFonts w:cs="AL-Mateen"/>
                    <w:sz w:val="23"/>
                    <w:szCs w:val="23"/>
                    <w:rtl/>
                  </w:rPr>
                </w:pPr>
              </w:p>
            </w:txbxContent>
          </v:textbox>
          <w10:wrap anchorx="page"/>
        </v:shape>
      </w:pict>
    </w:r>
    <w:r>
      <w:rPr>
        <w:noProof/>
        <w:rtl/>
        <w:lang w:val="en-US"/>
      </w:rPr>
      <w:pict>
        <v:shape id="_x0000_s3905" type="#_x0000_t202" style="position:absolute;left:0;text-align:left;margin-left:326.8pt;margin-top:7.4pt;width:99.75pt;height:31.35pt;z-index:252097024" filled="f" stroked="f">
          <v:textbox style="mso-next-textbox:#_x0000_s3905">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07" type="#_x0000_t75" style="position:absolute;left:0;text-align:left;margin-left:62.55pt;margin-top:3.95pt;width:359.1pt;height:44.85pt;z-index:-251217408;mso-wrap-edited:f" wrapcoords="709 4393 473 10251 709 16108 709 16841 20851 16841 20891 16108 21088 10251 20851 4393 709 4393">
          <v:imagedata r:id="rId1" o:title="haut"/>
          <w10:wrap anchorx="page"/>
        </v:shape>
      </w:pict>
    </w:r>
    <w:r>
      <w:rPr>
        <w:noProof/>
        <w:rtl/>
        <w:lang w:val="en-US"/>
      </w:rPr>
      <w:pict>
        <v:shape id="_x0000_s3908" type="#_x0000_t75" style="position:absolute;left:0;text-align:left;margin-left:-10.95pt;margin-top:-.3pt;width:91.2pt;height:56.1pt;z-index:252100096">
          <v:imagedata r:id="rId2" o:title="hichemil1"/>
          <w10:wrap anchorx="page"/>
        </v:shape>
      </w:pict>
    </w: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1095</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10" type="#_x0000_t202" style="position:absolute;left:0;text-align:left;margin-left:133.85pt;margin-top:11.95pt;width:188.2pt;height:34.2pt;z-index:252102144" filled="f" stroked="f">
          <v:textbox style="mso-next-textbox:#_x0000_s3910">
            <w:txbxContent>
              <w:p w:rsidR="00035BE3" w:rsidRPr="004E264A" w:rsidRDefault="00035BE3">
                <w:pPr>
                  <w:ind w:firstLine="0"/>
                  <w:rPr>
                    <w:rFonts w:cs="AL-Mateen"/>
                    <w:sz w:val="23"/>
                    <w:szCs w:val="23"/>
                    <w:rtl/>
                  </w:rPr>
                </w:pPr>
                <w:r w:rsidRPr="00357D0B">
                  <w:rPr>
                    <w:rFonts w:cs="AL-Mateen" w:hint="cs"/>
                    <w:sz w:val="23"/>
                    <w:szCs w:val="23"/>
                    <w:rtl/>
                  </w:rPr>
                  <w:t>ق241 :  مَنْ مَلَكَ شَيْئًا يَمْلِكُ مَا هُوَ مِنْ ضَرُورَاتِهِ.</w:t>
                </w:r>
              </w:p>
            </w:txbxContent>
          </v:textbox>
          <w10:wrap anchorx="page"/>
        </v:shape>
      </w:pict>
    </w:r>
    <w:r>
      <w:rPr>
        <w:noProof/>
        <w:rtl/>
        <w:lang w:val="en-US"/>
      </w:rPr>
      <w:pict>
        <v:shape id="_x0000_s3909" type="#_x0000_t202" style="position:absolute;left:0;text-align:left;margin-left:326.8pt;margin-top:7.4pt;width:99.75pt;height:31.35pt;z-index:252101120" filled="f" stroked="f">
          <v:textbox style="mso-next-textbox:#_x0000_s3909">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11" type="#_x0000_t75" style="position:absolute;left:0;text-align:left;margin-left:62.55pt;margin-top:3.95pt;width:359.1pt;height:44.85pt;z-index:-251213312;mso-wrap-edited:f" wrapcoords="709 4393 473 10251 709 16108 709 16841 20851 16841 20891 16108 21088 10251 20851 4393 709 4393">
          <v:imagedata r:id="rId1" o:title="haut"/>
          <w10:wrap anchorx="page"/>
        </v:shape>
      </w:pict>
    </w:r>
    <w:r>
      <w:rPr>
        <w:noProof/>
        <w:rtl/>
        <w:lang w:val="en-US"/>
      </w:rPr>
      <w:pict>
        <v:shape id="_x0000_s3912" type="#_x0000_t75" style="position:absolute;left:0;text-align:left;margin-left:-10.95pt;margin-top:-.3pt;width:91.2pt;height:56.1pt;z-index:252104192">
          <v:imagedata r:id="rId2" o:title="hichemil1"/>
          <w10:wrap anchorx="page"/>
        </v:shape>
      </w:pict>
    </w: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1096</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14" type="#_x0000_t202" style="position:absolute;left:0;text-align:left;margin-left:133.85pt;margin-top:11.95pt;width:188.2pt;height:34.2pt;z-index:252106240" filled="f" stroked="f">
          <v:textbox style="mso-next-textbox:#_x0000_s3914">
            <w:txbxContent>
              <w:p w:rsidR="00035BE3" w:rsidRPr="004E3105" w:rsidRDefault="00035BE3" w:rsidP="003D5367">
                <w:pPr>
                  <w:ind w:firstLine="0"/>
                  <w:rPr>
                    <w:rFonts w:cs="AL-Mateen"/>
                    <w:sz w:val="23"/>
                    <w:szCs w:val="23"/>
                    <w:rtl/>
                  </w:rPr>
                </w:pPr>
                <w:r w:rsidRPr="004E3105">
                  <w:rPr>
                    <w:rFonts w:cs="AL-Mateen" w:hint="cs"/>
                    <w:sz w:val="23"/>
                    <w:szCs w:val="23"/>
                    <w:rtl/>
                  </w:rPr>
                  <w:t>ق242 :  مَنْ مَلَكَ شَيْئًا يَمْلِكُ كُلَّ جُزْءٍ مِنْ أجْزَائِهِ.</w:t>
                </w:r>
              </w:p>
              <w:p w:rsidR="00035BE3" w:rsidRPr="004E264A" w:rsidRDefault="00035BE3">
                <w:pPr>
                  <w:ind w:firstLine="0"/>
                  <w:rPr>
                    <w:rFonts w:cs="AL-Mateen"/>
                    <w:sz w:val="23"/>
                    <w:szCs w:val="23"/>
                    <w:rtl/>
                  </w:rPr>
                </w:pPr>
              </w:p>
            </w:txbxContent>
          </v:textbox>
          <w10:wrap anchorx="page"/>
        </v:shape>
      </w:pict>
    </w:r>
    <w:r>
      <w:rPr>
        <w:noProof/>
        <w:rtl/>
        <w:lang w:val="en-US"/>
      </w:rPr>
      <w:pict>
        <v:shape id="_x0000_s3913" type="#_x0000_t202" style="position:absolute;left:0;text-align:left;margin-left:326.8pt;margin-top:7.4pt;width:99.75pt;height:31.35pt;z-index:252105216" filled="f" stroked="f">
          <v:textbox style="mso-next-textbox:#_x0000_s3913">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15" type="#_x0000_t75" style="position:absolute;left:0;text-align:left;margin-left:62.55pt;margin-top:3.95pt;width:359.1pt;height:44.85pt;z-index:-251209216;mso-wrap-edited:f" wrapcoords="709 4393 473 10251 709 16108 709 16841 20851 16841 20891 16108 21088 10251 20851 4393 709 4393">
          <v:imagedata r:id="rId1" o:title="haut"/>
          <w10:wrap anchorx="page"/>
        </v:shape>
      </w:pict>
    </w:r>
    <w:r>
      <w:rPr>
        <w:noProof/>
        <w:rtl/>
        <w:lang w:val="en-US"/>
      </w:rPr>
      <w:pict>
        <v:shape id="_x0000_s3916" type="#_x0000_t75" style="position:absolute;left:0;text-align:left;margin-left:-10.95pt;margin-top:-.3pt;width:91.2pt;height:56.1pt;z-index:252108288">
          <v:imagedata r:id="rId2" o:title="hichemil1"/>
          <w10:wrap anchorx="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1098</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18" type="#_x0000_t202" style="position:absolute;left:0;text-align:left;margin-left:133.85pt;margin-top:11.95pt;width:188.2pt;height:34.2pt;z-index:252110336" filled="f" stroked="f">
          <v:textbox style="mso-next-textbox:#_x0000_s3918">
            <w:txbxContent>
              <w:p w:rsidR="00035BE3" w:rsidRPr="004E264A" w:rsidRDefault="00035BE3">
                <w:pPr>
                  <w:ind w:firstLine="0"/>
                  <w:rPr>
                    <w:rFonts w:cs="AL-Mateen"/>
                    <w:sz w:val="23"/>
                    <w:szCs w:val="23"/>
                    <w:rtl/>
                  </w:rPr>
                </w:pPr>
                <w:r w:rsidRPr="00C750AE">
                  <w:rPr>
                    <w:rFonts w:cs="AL-Mateen" w:hint="cs"/>
                    <w:sz w:val="23"/>
                    <w:szCs w:val="23"/>
                    <w:rtl/>
                  </w:rPr>
                  <w:t>ق243 : مَنْ عَمِلَ لِغَيْرِهِ عَمَلاً، وَلَحِقَهُ ضَمَانٌ : يَرْجِعُ على مَنْ ..</w:t>
                </w:r>
              </w:p>
            </w:txbxContent>
          </v:textbox>
          <w10:wrap anchorx="page"/>
        </v:shape>
      </w:pict>
    </w:r>
    <w:r>
      <w:rPr>
        <w:noProof/>
        <w:rtl/>
        <w:lang w:val="en-US"/>
      </w:rPr>
      <w:pict>
        <v:shape id="_x0000_s3917" type="#_x0000_t202" style="position:absolute;left:0;text-align:left;margin-left:326.8pt;margin-top:7.4pt;width:99.75pt;height:31.35pt;z-index:252109312" filled="f" stroked="f">
          <v:textbox style="mso-next-textbox:#_x0000_s3917">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19" type="#_x0000_t75" style="position:absolute;left:0;text-align:left;margin-left:62.55pt;margin-top:3.95pt;width:359.1pt;height:44.85pt;z-index:-251205120;mso-wrap-edited:f" wrapcoords="709 4393 473 10251 709 16108 709 16841 20851 16841 20891 16108 21088 10251 20851 4393 709 4393">
          <v:imagedata r:id="rId1" o:title="haut"/>
          <w10:wrap anchorx="page"/>
        </v:shape>
      </w:pict>
    </w:r>
    <w:r>
      <w:rPr>
        <w:noProof/>
        <w:rtl/>
        <w:lang w:val="en-US"/>
      </w:rPr>
      <w:pict>
        <v:shape id="_x0000_s3920" type="#_x0000_t75" style="position:absolute;left:0;text-align:left;margin-left:-10.95pt;margin-top:-.3pt;width:91.2pt;height:56.1pt;z-index:252112384">
          <v:imagedata r:id="rId2" o:title="hichemil1"/>
          <w10:wrap anchorx="page"/>
        </v:shape>
      </w:pict>
    </w: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1101</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22" type="#_x0000_t202" style="position:absolute;left:0;text-align:left;margin-left:133.85pt;margin-top:11.95pt;width:188.2pt;height:34.2pt;z-index:252114432" filled="f" stroked="f">
          <v:textbox style="mso-next-textbox:#_x0000_s3922">
            <w:txbxContent>
              <w:p w:rsidR="00035BE3" w:rsidRPr="00F610CB" w:rsidRDefault="00035BE3" w:rsidP="003D5367">
                <w:pPr>
                  <w:ind w:firstLine="0"/>
                  <w:rPr>
                    <w:rFonts w:cs="AL-Mateen"/>
                    <w:sz w:val="23"/>
                    <w:szCs w:val="23"/>
                    <w:rtl/>
                  </w:rPr>
                </w:pPr>
                <w:r w:rsidRPr="00F610CB">
                  <w:rPr>
                    <w:rFonts w:cs="AL-Mateen" w:hint="cs"/>
                    <w:sz w:val="23"/>
                    <w:szCs w:val="23"/>
                    <w:rtl/>
                  </w:rPr>
                  <w:t>ق244 :  مَنْ شَكّ هَلْ فَعَلَ شيئًا أوْ لا ؟:  فالأصلُ أنَّهُ لَمْ يَفْعَلْ.</w:t>
                </w:r>
              </w:p>
              <w:p w:rsidR="00035BE3" w:rsidRPr="004E264A" w:rsidRDefault="00035BE3">
                <w:pPr>
                  <w:ind w:firstLine="0"/>
                  <w:rPr>
                    <w:rFonts w:cs="AL-Mateen"/>
                    <w:sz w:val="23"/>
                    <w:szCs w:val="23"/>
                    <w:rtl/>
                  </w:rPr>
                </w:pPr>
              </w:p>
            </w:txbxContent>
          </v:textbox>
          <w10:wrap anchorx="page"/>
        </v:shape>
      </w:pict>
    </w:r>
    <w:r>
      <w:rPr>
        <w:noProof/>
        <w:rtl/>
        <w:lang w:val="en-US"/>
      </w:rPr>
      <w:pict>
        <v:shape id="_x0000_s3921" type="#_x0000_t202" style="position:absolute;left:0;text-align:left;margin-left:326.8pt;margin-top:7.4pt;width:99.75pt;height:31.35pt;z-index:252113408" filled="f" stroked="f">
          <v:textbox style="mso-next-textbox:#_x0000_s3921">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23" type="#_x0000_t75" style="position:absolute;left:0;text-align:left;margin-left:62.55pt;margin-top:3.95pt;width:359.1pt;height:44.85pt;z-index:-251201024;mso-wrap-edited:f" wrapcoords="709 4393 473 10251 709 16108 709 16841 20851 16841 20891 16108 21088 10251 20851 4393 709 4393">
          <v:imagedata r:id="rId1" o:title="haut"/>
          <w10:wrap anchorx="page"/>
        </v:shape>
      </w:pict>
    </w:r>
    <w:r>
      <w:rPr>
        <w:noProof/>
        <w:rtl/>
        <w:lang w:val="en-US"/>
      </w:rPr>
      <w:pict>
        <v:shape id="_x0000_s3924" type="#_x0000_t75" style="position:absolute;left:0;text-align:left;margin-left:-10.95pt;margin-top:-.3pt;width:91.2pt;height:56.1pt;z-index:252116480">
          <v:imagedata r:id="rId2" o:title="hichemil1"/>
          <w10:wrap anchorx="page"/>
        </v:shape>
      </w:pic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1104</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26" type="#_x0000_t202" style="position:absolute;left:0;text-align:left;margin-left:133.85pt;margin-top:11.95pt;width:188.2pt;height:34.2pt;z-index:252118528" filled="f" stroked="f">
          <v:textbox style="mso-next-textbox:#_x0000_s3926">
            <w:txbxContent>
              <w:p w:rsidR="00035BE3" w:rsidRPr="007F3875" w:rsidRDefault="00035BE3" w:rsidP="003D5367">
                <w:pPr>
                  <w:ind w:firstLine="0"/>
                  <w:rPr>
                    <w:rFonts w:cs="AL-Mateen"/>
                    <w:sz w:val="23"/>
                    <w:szCs w:val="23"/>
                    <w:rtl/>
                  </w:rPr>
                </w:pPr>
                <w:r w:rsidRPr="007F3875">
                  <w:rPr>
                    <w:rFonts w:cs="AL-Mateen" w:hint="cs"/>
                    <w:sz w:val="23"/>
                    <w:szCs w:val="23"/>
                    <w:rtl/>
                  </w:rPr>
                  <w:t>ق245 :  المَنْصُوصُ لاَ يَنُوْبُ أَخَاهُ.</w:t>
                </w:r>
              </w:p>
              <w:p w:rsidR="00035BE3" w:rsidRPr="004E264A" w:rsidRDefault="00035BE3">
                <w:pPr>
                  <w:ind w:firstLine="0"/>
                  <w:rPr>
                    <w:rFonts w:cs="AL-Mateen"/>
                    <w:sz w:val="23"/>
                    <w:szCs w:val="23"/>
                    <w:rtl/>
                  </w:rPr>
                </w:pPr>
              </w:p>
            </w:txbxContent>
          </v:textbox>
          <w10:wrap anchorx="page"/>
        </v:shape>
      </w:pict>
    </w:r>
    <w:r>
      <w:rPr>
        <w:noProof/>
        <w:rtl/>
        <w:lang w:val="en-US"/>
      </w:rPr>
      <w:pict>
        <v:shape id="_x0000_s3925" type="#_x0000_t202" style="position:absolute;left:0;text-align:left;margin-left:326.8pt;margin-top:7.4pt;width:99.75pt;height:31.35pt;z-index:252117504" filled="f" stroked="f">
          <v:textbox style="mso-next-textbox:#_x0000_s3925">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27" type="#_x0000_t75" style="position:absolute;left:0;text-align:left;margin-left:62.55pt;margin-top:3.95pt;width:359.1pt;height:44.85pt;z-index:-251196928;mso-wrap-edited:f" wrapcoords="709 4393 473 10251 709 16108 709 16841 20851 16841 20891 16108 21088 10251 20851 4393 709 4393">
          <v:imagedata r:id="rId1" o:title="haut"/>
          <w10:wrap anchorx="page"/>
        </v:shape>
      </w:pict>
    </w:r>
    <w:r>
      <w:rPr>
        <w:noProof/>
        <w:rtl/>
        <w:lang w:val="en-US"/>
      </w:rPr>
      <w:pict>
        <v:shape id="_x0000_s3928" type="#_x0000_t75" style="position:absolute;left:0;text-align:left;margin-left:-10.95pt;margin-top:-.3pt;width:91.2pt;height:56.1pt;z-index:252120576">
          <v:imagedata r:id="rId2" o:title="hichemil1"/>
          <w10:wrap anchorx="page"/>
        </v:shape>
      </w:pict>
    </w: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1106</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30" type="#_x0000_t202" style="position:absolute;left:0;text-align:left;margin-left:133.85pt;margin-top:11.95pt;width:188.2pt;height:34.2pt;z-index:252122624" filled="f" stroked="f">
          <v:textbox style="mso-next-textbox:#_x0000_s3930">
            <w:txbxContent>
              <w:p w:rsidR="00035BE3" w:rsidRPr="003D25AE" w:rsidRDefault="00035BE3" w:rsidP="003D5367">
                <w:pPr>
                  <w:ind w:firstLine="0"/>
                  <w:rPr>
                    <w:rFonts w:cs="AL-Mateen"/>
                    <w:sz w:val="23"/>
                    <w:szCs w:val="23"/>
                    <w:rtl/>
                  </w:rPr>
                </w:pPr>
                <w:r w:rsidRPr="003D25AE">
                  <w:rPr>
                    <w:rFonts w:cs="AL-Mateen" w:hint="cs"/>
                    <w:sz w:val="23"/>
                    <w:szCs w:val="23"/>
                    <w:rtl/>
                  </w:rPr>
                  <w:t>ق246 :  الموتُ يُنَافِي المُوجِبِ لاَ المُبْطِلِ.</w:t>
                </w:r>
              </w:p>
              <w:p w:rsidR="00035BE3" w:rsidRPr="004E264A" w:rsidRDefault="00035BE3">
                <w:pPr>
                  <w:ind w:firstLine="0"/>
                  <w:rPr>
                    <w:rFonts w:cs="AL-Mateen"/>
                    <w:sz w:val="23"/>
                    <w:szCs w:val="23"/>
                    <w:rtl/>
                  </w:rPr>
                </w:pPr>
              </w:p>
            </w:txbxContent>
          </v:textbox>
          <w10:wrap anchorx="page"/>
        </v:shape>
      </w:pict>
    </w:r>
    <w:r>
      <w:rPr>
        <w:noProof/>
        <w:rtl/>
        <w:lang w:val="en-US"/>
      </w:rPr>
      <w:pict>
        <v:shape id="_x0000_s3929" type="#_x0000_t202" style="position:absolute;left:0;text-align:left;margin-left:326.8pt;margin-top:7.4pt;width:99.75pt;height:31.35pt;z-index:252121600" filled="f" stroked="f">
          <v:textbox style="mso-next-textbox:#_x0000_s3929">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31" type="#_x0000_t75" style="position:absolute;left:0;text-align:left;margin-left:62.55pt;margin-top:3.95pt;width:359.1pt;height:44.85pt;z-index:-251192832;mso-wrap-edited:f" wrapcoords="709 4393 473 10251 709 16108 709 16841 20851 16841 20891 16108 21088 10251 20851 4393 709 4393">
          <v:imagedata r:id="rId1" o:title="haut"/>
          <w10:wrap anchorx="page"/>
        </v:shape>
      </w:pict>
    </w:r>
    <w:r>
      <w:rPr>
        <w:noProof/>
        <w:rtl/>
        <w:lang w:val="en-US"/>
      </w:rPr>
      <w:pict>
        <v:shape id="_x0000_s3932" type="#_x0000_t75" style="position:absolute;left:0;text-align:left;margin-left:-10.95pt;margin-top:-.3pt;width:91.2pt;height:56.1pt;z-index:252124672">
          <v:imagedata r:id="rId2" o:title="hichemil1"/>
          <w10:wrap anchorx="page"/>
        </v:shape>
      </w:pict>
    </w: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1110</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34" type="#_x0000_t202" style="position:absolute;left:0;text-align:left;margin-left:133.85pt;margin-top:11.95pt;width:188.2pt;height:34.2pt;z-index:252126720" filled="f" stroked="f">
          <v:textbox style="mso-next-textbox:#_x0000_s3934">
            <w:txbxContent>
              <w:p w:rsidR="00035BE3" w:rsidRPr="004E264A" w:rsidRDefault="00035BE3">
                <w:pPr>
                  <w:ind w:firstLine="0"/>
                  <w:rPr>
                    <w:rFonts w:cs="AL-Mateen"/>
                    <w:sz w:val="23"/>
                    <w:szCs w:val="23"/>
                    <w:rtl/>
                  </w:rPr>
                </w:pPr>
                <w:r w:rsidRPr="00050322">
                  <w:rPr>
                    <w:rFonts w:cs="AL-Mateen" w:hint="cs"/>
                    <w:sz w:val="23"/>
                    <w:szCs w:val="23"/>
                    <w:rtl/>
                  </w:rPr>
                  <w:t>ق247 : النَصُّ : مِنْ وُجُوهِ البَيَانِ، يَتَرَجَّحُ عَلَى الظَّاهِرِ، والمفسَّرُ ..</w:t>
                </w:r>
              </w:p>
            </w:txbxContent>
          </v:textbox>
          <w10:wrap anchorx="page"/>
        </v:shape>
      </w:pict>
    </w:r>
    <w:r>
      <w:rPr>
        <w:noProof/>
        <w:rtl/>
        <w:lang w:val="en-US"/>
      </w:rPr>
      <w:pict>
        <v:shape id="_x0000_s3933" type="#_x0000_t202" style="position:absolute;left:0;text-align:left;margin-left:326.8pt;margin-top:7.4pt;width:99.75pt;height:31.35pt;z-index:252125696" filled="f" stroked="f">
          <v:textbox style="mso-next-textbox:#_x0000_s3933">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35" type="#_x0000_t75" style="position:absolute;left:0;text-align:left;margin-left:62.55pt;margin-top:3.95pt;width:359.1pt;height:44.85pt;z-index:-251188736;mso-wrap-edited:f" wrapcoords="709 4393 473 10251 709 16108 709 16841 20851 16841 20891 16108 21088 10251 20851 4393 709 4393">
          <v:imagedata r:id="rId1" o:title="haut"/>
          <w10:wrap anchorx="page"/>
        </v:shape>
      </w:pict>
    </w:r>
    <w:r>
      <w:rPr>
        <w:noProof/>
        <w:rtl/>
        <w:lang w:val="en-US"/>
      </w:rPr>
      <w:pict>
        <v:shape id="_x0000_s3936" type="#_x0000_t75" style="position:absolute;left:0;text-align:left;margin-left:-10.95pt;margin-top:-.3pt;width:91.2pt;height:56.1pt;z-index:252128768">
          <v:imagedata r:id="rId2" o:title="hichemil1"/>
          <w10:wrap anchorx="page"/>
        </v:shape>
      </w:pict>
    </w: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1113</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38" type="#_x0000_t202" style="position:absolute;left:0;text-align:left;margin-left:133.85pt;margin-top:11.95pt;width:188.2pt;height:34.2pt;z-index:252130816" filled="f" stroked="f">
          <v:textbox style="mso-next-textbox:#_x0000_s3938">
            <w:txbxContent>
              <w:p w:rsidR="00035BE3" w:rsidRPr="00F5747A" w:rsidRDefault="00035BE3" w:rsidP="003D5367">
                <w:pPr>
                  <w:ind w:firstLine="0"/>
                  <w:rPr>
                    <w:rFonts w:cs="AL-Mateen"/>
                    <w:sz w:val="23"/>
                    <w:szCs w:val="23"/>
                    <w:rtl/>
                    <w:lang w:bidi="ar-AE"/>
                  </w:rPr>
                </w:pPr>
                <w:r w:rsidRPr="00F5747A">
                  <w:rPr>
                    <w:rFonts w:cs="AL-Mateen" w:hint="cs"/>
                    <w:sz w:val="23"/>
                    <w:szCs w:val="23"/>
                    <w:rtl/>
                    <w:lang w:bidi="ar-AE"/>
                  </w:rPr>
                  <w:t xml:space="preserve">ق248 : </w:t>
                </w:r>
                <w:r w:rsidRPr="00F5747A">
                  <w:rPr>
                    <w:rFonts w:cs="AL-Mateen" w:hint="cs"/>
                    <w:sz w:val="23"/>
                    <w:szCs w:val="23"/>
                    <w:rtl/>
                  </w:rPr>
                  <w:t>النَصُّ على خلافِ القياسِ يَقْتَصِرُ عَلَى مَوْرِدِهِ.</w:t>
                </w:r>
              </w:p>
              <w:p w:rsidR="00035BE3" w:rsidRPr="004E264A" w:rsidRDefault="00035BE3">
                <w:pPr>
                  <w:ind w:firstLine="0"/>
                  <w:rPr>
                    <w:rFonts w:cs="AL-Mateen"/>
                    <w:sz w:val="23"/>
                    <w:szCs w:val="23"/>
                    <w:rtl/>
                  </w:rPr>
                </w:pPr>
                <w:r w:rsidRPr="00050322">
                  <w:rPr>
                    <w:rFonts w:cs="AL-Mateen" w:hint="cs"/>
                    <w:sz w:val="23"/>
                    <w:szCs w:val="23"/>
                    <w:rtl/>
                  </w:rPr>
                  <w:t>.</w:t>
                </w:r>
              </w:p>
            </w:txbxContent>
          </v:textbox>
          <w10:wrap anchorx="page"/>
        </v:shape>
      </w:pict>
    </w:r>
    <w:r>
      <w:rPr>
        <w:noProof/>
        <w:rtl/>
        <w:lang w:val="en-US"/>
      </w:rPr>
      <w:pict>
        <v:shape id="_x0000_s3937" type="#_x0000_t202" style="position:absolute;left:0;text-align:left;margin-left:326.8pt;margin-top:7.4pt;width:99.75pt;height:31.35pt;z-index:252129792" filled="f" stroked="f">
          <v:textbox style="mso-next-textbox:#_x0000_s3937">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39" type="#_x0000_t75" style="position:absolute;left:0;text-align:left;margin-left:62.55pt;margin-top:3.95pt;width:359.1pt;height:44.85pt;z-index:-251184640;mso-wrap-edited:f" wrapcoords="709 4393 473 10251 709 16108 709 16841 20851 16841 20891 16108 21088 10251 20851 4393 709 4393">
          <v:imagedata r:id="rId1" o:title="haut"/>
          <w10:wrap anchorx="page"/>
        </v:shape>
      </w:pict>
    </w:r>
    <w:r>
      <w:rPr>
        <w:noProof/>
        <w:rtl/>
        <w:lang w:val="en-US"/>
      </w:rPr>
      <w:pict>
        <v:shape id="_x0000_s3940" type="#_x0000_t75" style="position:absolute;left:0;text-align:left;margin-left:-10.95pt;margin-top:-.3pt;width:91.2pt;height:56.1pt;z-index:252132864">
          <v:imagedata r:id="rId2" o:title="hichemil1"/>
          <w10:wrap anchorx="page"/>
        </v:shape>
      </w:pict>
    </w: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1123</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3942" type="#_x0000_t202" style="position:absolute;left:0;text-align:left;margin-left:133.85pt;margin-top:11.95pt;width:188.2pt;height:34.2pt;z-index:252134912" filled="f" stroked="f">
          <v:textbox style="mso-next-textbox:#_x0000_s3942">
            <w:txbxContent>
              <w:p w:rsidR="00035BE3" w:rsidRPr="00DA1F31" w:rsidRDefault="00035BE3" w:rsidP="003D5367">
                <w:pPr>
                  <w:ind w:firstLine="0"/>
                  <w:rPr>
                    <w:rFonts w:cs="AL-Mateen"/>
                    <w:sz w:val="23"/>
                    <w:szCs w:val="23"/>
                    <w:rtl/>
                  </w:rPr>
                </w:pPr>
                <w:r w:rsidRPr="00DA1F31">
                  <w:rPr>
                    <w:rFonts w:cs="AL-Mateen" w:hint="cs"/>
                    <w:sz w:val="23"/>
                    <w:szCs w:val="23"/>
                    <w:rtl/>
                  </w:rPr>
                  <w:t>ق249 :  النَّهْيُ يُقرِّرُ المَشْرُوعِيَّةَ عِنْدَنَا.</w:t>
                </w:r>
              </w:p>
              <w:p w:rsidR="00035BE3" w:rsidRPr="004E264A" w:rsidRDefault="00035BE3">
                <w:pPr>
                  <w:ind w:firstLine="0"/>
                  <w:rPr>
                    <w:rFonts w:cs="AL-Mateen"/>
                    <w:sz w:val="23"/>
                    <w:szCs w:val="23"/>
                    <w:rtl/>
                  </w:rPr>
                </w:pPr>
                <w:r w:rsidRPr="00050322">
                  <w:rPr>
                    <w:rFonts w:cs="AL-Mateen" w:hint="cs"/>
                    <w:sz w:val="23"/>
                    <w:szCs w:val="23"/>
                    <w:rtl/>
                  </w:rPr>
                  <w:t>.</w:t>
                </w:r>
              </w:p>
            </w:txbxContent>
          </v:textbox>
          <w10:wrap anchorx="page"/>
        </v:shape>
      </w:pict>
    </w:r>
    <w:r>
      <w:rPr>
        <w:noProof/>
        <w:rtl/>
        <w:lang w:val="en-US"/>
      </w:rPr>
      <w:pict>
        <v:shape id="_x0000_s3941" type="#_x0000_t202" style="position:absolute;left:0;text-align:left;margin-left:326.8pt;margin-top:7.4pt;width:99.75pt;height:31.35pt;z-index:252133888" filled="f" stroked="f">
          <v:textbox style="mso-next-textbox:#_x0000_s3941">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43" type="#_x0000_t75" style="position:absolute;left:0;text-align:left;margin-left:62.55pt;margin-top:3.95pt;width:359.1pt;height:44.85pt;z-index:-251180544;mso-wrap-edited:f" wrapcoords="709 4393 473 10251 709 16108 709 16841 20851 16841 20891 16108 21088 10251 20851 4393 709 4393">
          <v:imagedata r:id="rId1" o:title="haut"/>
          <w10:wrap anchorx="page"/>
        </v:shape>
      </w:pict>
    </w:r>
    <w:r>
      <w:rPr>
        <w:noProof/>
        <w:rtl/>
        <w:lang w:val="en-US"/>
      </w:rPr>
      <w:pict>
        <v:shape id="_x0000_s3944" type="#_x0000_t75" style="position:absolute;left:0;text-align:left;margin-left:-10.95pt;margin-top:-.3pt;width:91.2pt;height:56.1pt;z-index:252136960">
          <v:imagedata r:id="rId2" o:title="hichemil1"/>
          <w10:wrap anchorx="page"/>
        </v:shape>
      </w:pict>
    </w: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3D5367">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1126</w:t>
    </w:r>
    <w:r>
      <w:rPr>
        <w:rStyle w:val="a5"/>
        <w:rtl/>
      </w:rPr>
      <w:fldChar w:fldCharType="end"/>
    </w:r>
  </w:p>
  <w:p w:rsidR="00035BE3" w:rsidRDefault="00035BE3" w:rsidP="003D5367">
    <w:pPr>
      <w:pStyle w:val="a3"/>
      <w:ind w:right="360"/>
      <w:rPr>
        <w:rtl/>
      </w:rPr>
    </w:pPr>
    <w:r>
      <w:rPr>
        <w:noProof/>
        <w:rtl/>
        <w:lang w:val="en-US"/>
      </w:rPr>
      <w:pict>
        <v:shapetype id="_x0000_t202" coordsize="21600,21600" o:spt="202" path="m,l,21600r21600,l21600,xe">
          <v:stroke joinstyle="miter"/>
          <v:path gradientshapeok="t" o:connecttype="rect"/>
        </v:shapetype>
        <v:shape id="_x0000_s4002" type="#_x0000_t202" style="position:absolute;left:0;text-align:left;margin-left:133.85pt;margin-top:11.95pt;width:188.2pt;height:34.2pt;z-index:252184064" filled="f" stroked="f">
          <v:textbox style="mso-next-textbox:#_x0000_s4002">
            <w:txbxContent>
              <w:p w:rsidR="00035BE3" w:rsidRPr="00DA1F31" w:rsidRDefault="00035BE3" w:rsidP="003D5367">
                <w:pPr>
                  <w:ind w:firstLine="0"/>
                  <w:rPr>
                    <w:rFonts w:cs="AL-Mateen"/>
                    <w:sz w:val="23"/>
                    <w:szCs w:val="23"/>
                    <w:rtl/>
                  </w:rPr>
                </w:pPr>
                <w:r w:rsidRPr="00EC48D0">
                  <w:rPr>
                    <w:rFonts w:cs="AL-Mateen" w:hint="cs"/>
                    <w:sz w:val="23"/>
                    <w:szCs w:val="23"/>
                    <w:rtl/>
                    <w:lang w:bidi="ar-AE"/>
                  </w:rPr>
                  <w:t>ق250 : النِيّةُ تعملُ في المُحْتمِلاتِ، لاَ فِي المَوْضُوعَاتِ.</w:t>
                </w:r>
              </w:p>
              <w:p w:rsidR="00035BE3" w:rsidRPr="004E264A" w:rsidRDefault="00035BE3">
                <w:pPr>
                  <w:ind w:firstLine="0"/>
                  <w:rPr>
                    <w:rFonts w:cs="AL-Mateen"/>
                    <w:sz w:val="23"/>
                    <w:szCs w:val="23"/>
                    <w:rtl/>
                  </w:rPr>
                </w:pPr>
                <w:r w:rsidRPr="00050322">
                  <w:rPr>
                    <w:rFonts w:cs="AL-Mateen" w:hint="cs"/>
                    <w:sz w:val="23"/>
                    <w:szCs w:val="23"/>
                    <w:rtl/>
                  </w:rPr>
                  <w:t>.</w:t>
                </w:r>
              </w:p>
            </w:txbxContent>
          </v:textbox>
          <w10:wrap anchorx="page"/>
        </v:shape>
      </w:pict>
    </w:r>
    <w:r>
      <w:rPr>
        <w:noProof/>
        <w:rtl/>
        <w:lang w:val="en-US"/>
      </w:rPr>
      <w:pict>
        <v:shape id="_x0000_s4001" type="#_x0000_t202" style="position:absolute;left:0;text-align:left;margin-left:326.8pt;margin-top:7.4pt;width:99.75pt;height:31.35pt;z-index:252183040" filled="f" stroked="f">
          <v:textbox style="mso-next-textbox:#_x0000_s4001">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03" type="#_x0000_t75" style="position:absolute;left:0;text-align:left;margin-left:62.55pt;margin-top:3.95pt;width:359.1pt;height:44.85pt;z-index:-251131392;mso-wrap-edited:f" wrapcoords="709 4393 473 10251 709 16108 709 16841 20851 16841 20891 16108 21088 10251 20851 4393 709 4393">
          <v:imagedata r:id="rId1" o:title="haut"/>
          <w10:wrap anchorx="page"/>
        </v:shape>
      </w:pict>
    </w:r>
    <w:r>
      <w:rPr>
        <w:noProof/>
        <w:rtl/>
        <w:lang w:val="en-US"/>
      </w:rPr>
      <w:pict>
        <v:shape id="_x0000_s4004" type="#_x0000_t75" style="position:absolute;left:0;text-align:left;margin-left:-10.95pt;margin-top:-.3pt;width:91.2pt;height:56.1pt;z-index:252186112">
          <v:imagedata r:id="rId2" o:title="hichemil1"/>
          <w10:wrap anchorx="page"/>
        </v:shape>
      </w:pict>
    </w: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1129</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58" type="#_x0000_t202" style="position:absolute;left:0;text-align:left;margin-left:133.85pt;margin-top:11.95pt;width:188.2pt;height:34.2pt;z-index:252143104" filled="f" stroked="f">
          <v:textbox style="mso-next-textbox:#_x0000_s3958">
            <w:txbxContent>
              <w:p w:rsidR="00035BE3" w:rsidRPr="00DA1F31" w:rsidRDefault="00035BE3" w:rsidP="00F0471F">
                <w:pPr>
                  <w:ind w:firstLine="0"/>
                  <w:rPr>
                    <w:rFonts w:cs="AL-Mateen"/>
                    <w:sz w:val="23"/>
                    <w:szCs w:val="23"/>
                    <w:rtl/>
                  </w:rPr>
                </w:pPr>
                <w:r w:rsidRPr="00EC48D0">
                  <w:rPr>
                    <w:rFonts w:cs="AL-Mateen" w:hint="cs"/>
                    <w:sz w:val="23"/>
                    <w:szCs w:val="23"/>
                    <w:rtl/>
                    <w:lang w:bidi="ar-AE"/>
                  </w:rPr>
                  <w:t>ق250 : النِيّةُ تعملُ في المُحْتمِلاتِ، لاَ فِي المَوْضُوعَاتِ.</w:t>
                </w:r>
              </w:p>
              <w:p w:rsidR="00035BE3" w:rsidRPr="004E264A" w:rsidRDefault="00035BE3">
                <w:pPr>
                  <w:ind w:firstLine="0"/>
                  <w:rPr>
                    <w:rFonts w:cs="AL-Mateen"/>
                    <w:sz w:val="23"/>
                    <w:szCs w:val="23"/>
                    <w:rtl/>
                  </w:rPr>
                </w:pPr>
                <w:r w:rsidRPr="00050322">
                  <w:rPr>
                    <w:rFonts w:cs="AL-Mateen" w:hint="cs"/>
                    <w:sz w:val="23"/>
                    <w:szCs w:val="23"/>
                    <w:rtl/>
                  </w:rPr>
                  <w:t>.</w:t>
                </w:r>
              </w:p>
            </w:txbxContent>
          </v:textbox>
          <w10:wrap anchorx="page"/>
        </v:shape>
      </w:pict>
    </w:r>
    <w:r>
      <w:rPr>
        <w:noProof/>
        <w:rtl/>
        <w:lang w:val="en-US"/>
      </w:rPr>
      <w:pict>
        <v:shape id="_x0000_s3957" type="#_x0000_t202" style="position:absolute;left:0;text-align:left;margin-left:326.8pt;margin-top:7.4pt;width:99.75pt;height:31.35pt;z-index:252142080" filled="f" stroked="f">
          <v:textbox style="mso-next-textbox:#_x0000_s3957">
            <w:txbxContent>
              <w:p w:rsidR="00035BE3" w:rsidRPr="004E264A" w:rsidRDefault="00035BE3">
                <w:pPr>
                  <w:ind w:firstLine="0"/>
                  <w:jc w:val="center"/>
                  <w:rPr>
                    <w:rFonts w:cs="AL-Mateen"/>
                    <w:sz w:val="28"/>
                    <w:szCs w:val="28"/>
                    <w:rtl/>
                  </w:rPr>
                </w:pPr>
                <w:r w:rsidRPr="004E264A">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59" type="#_x0000_t75" style="position:absolute;left:0;text-align:left;margin-left:62.55pt;margin-top:3.95pt;width:359.1pt;height:44.85pt;z-index:-251172352;mso-wrap-edited:f" wrapcoords="709 4393 473 10251 709 16108 709 16841 20851 16841 20891 16108 21088 10251 20851 4393 709 4393">
          <v:imagedata r:id="rId1" o:title="haut"/>
          <w10:wrap anchorx="page"/>
        </v:shape>
      </w:pict>
    </w:r>
    <w:r>
      <w:rPr>
        <w:noProof/>
        <w:rtl/>
        <w:lang w:val="en-US"/>
      </w:rPr>
      <w:pict>
        <v:shape id="_x0000_s3960" type="#_x0000_t75" style="position:absolute;left:0;text-align:left;margin-left:-10.95pt;margin-top:-.3pt;width:91.2pt;height:56.1pt;z-index:252145152">
          <v:imagedata r:id="rId2" o:title="hichemil1"/>
          <w10:wrap anchorx="page"/>
        </v:shape>
      </w:pict>
    </w: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F0471F">
    <w:pPr>
      <w:pStyle w:val="a3"/>
      <w:ind w:right="36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286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00" type="#_x0000_t75" style="position:absolute;left:0;text-align:left;margin-left:-13.75pt;margin-top:-1.1pt;width:91.2pt;height:56.1pt;z-index:2511784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2998" type="#_x0000_t202" style="position:absolute;left:0;text-align:left;margin-left:90.3pt;margin-top:8.25pt;width:228.05pt;height:34.2pt;z-index:251176448" filled="f" stroked="f">
          <v:textbox style="mso-next-textbox:#_x0000_s2998">
            <w:txbxContent>
              <w:p w:rsidR="00035BE3" w:rsidRPr="00830B1C" w:rsidRDefault="00035BE3">
                <w:pPr>
                  <w:ind w:firstLine="0"/>
                  <w:rPr>
                    <w:rFonts w:cs="AL-Mateen"/>
                    <w:spacing w:val="2"/>
                    <w:sz w:val="24"/>
                    <w:szCs w:val="24"/>
                    <w:rtl/>
                  </w:rPr>
                </w:pPr>
                <w:r w:rsidRPr="00830B1C">
                  <w:rPr>
                    <w:rFonts w:cs="AL-Mateen" w:hint="cs"/>
                    <w:spacing w:val="2"/>
                    <w:sz w:val="24"/>
                    <w:szCs w:val="24"/>
                    <w:rtl/>
                  </w:rPr>
                  <w:t>ق14 :  إذَا اجتمعَ الـمباشرُ والـمتسبِّبُ : أُضيفَ الحكم إلى المباشر.</w:t>
                </w:r>
              </w:p>
            </w:txbxContent>
          </v:textbox>
          <w10:wrap anchorx="page"/>
        </v:shape>
      </w:pict>
    </w:r>
    <w:r>
      <w:rPr>
        <w:noProof/>
        <w:rtl/>
        <w:lang w:val="en-US"/>
      </w:rPr>
      <w:pict>
        <v:shape id="_x0000_s2997" type="#_x0000_t202" style="position:absolute;left:0;text-align:left;margin-left:322pt;margin-top:5.4pt;width:99.75pt;height:31.35pt;z-index:251175424" filled="f" stroked="f">
          <v:textbox style="mso-next-textbox:#_x0000_s2997">
            <w:txbxContent>
              <w:p w:rsidR="00035BE3" w:rsidRPr="00830B1C" w:rsidRDefault="00035BE3">
                <w:pPr>
                  <w:ind w:firstLine="0"/>
                  <w:jc w:val="center"/>
                  <w:rPr>
                    <w:rFonts w:cs="AL-Mateen"/>
                    <w:sz w:val="28"/>
                    <w:szCs w:val="28"/>
                    <w:rtl/>
                  </w:rPr>
                </w:pPr>
                <w:r w:rsidRPr="00830B1C">
                  <w:rPr>
                    <w:rFonts w:cs="AL-Mateen" w:hint="cs"/>
                    <w:sz w:val="28"/>
                    <w:szCs w:val="28"/>
                    <w:rtl/>
                  </w:rPr>
                  <w:t>ترتيب اللآلي</w:t>
                </w:r>
              </w:p>
            </w:txbxContent>
          </v:textbox>
          <w10:wrap anchorx="page"/>
        </v:shape>
      </w:pict>
    </w:r>
    <w:r>
      <w:rPr>
        <w:noProof/>
        <w:rtl/>
        <w:lang w:val="en-US"/>
      </w:rPr>
      <w:pict>
        <v:shape id="_x0000_s2999" type="#_x0000_t75" style="position:absolute;left:0;text-align:left;margin-left:59.75pt;margin-top:2.6pt;width:359.1pt;height:44.85pt;z-index:-252139008;mso-wrap-edited:f" wrapcoords="709 4393 473 10251 709 16108 709 16841 20851 16841 20891 16108 21088 10251 20851 4393 709 4393">
          <v:imagedata r:id="rId2" o:title="haut"/>
          <w10:wrap anchorx="page"/>
        </v:shape>
      </w:pict>
    </w: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1130</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54" type="#_x0000_t202" style="position:absolute;left:0;text-align:left;margin-left:148pt;margin-top:11.1pt;width:173.95pt;height:34.2pt;z-index:252139008" filled="f" stroked="f">
          <v:textbox style="mso-next-textbox:#_x0000_s3954">
            <w:txbxContent>
              <w:p w:rsidR="00035BE3" w:rsidRPr="00E96EF5" w:rsidRDefault="00035BE3">
                <w:pPr>
                  <w:ind w:firstLine="0"/>
                  <w:rPr>
                    <w:rFonts w:cs="AL-Mateen"/>
                    <w:sz w:val="23"/>
                    <w:szCs w:val="23"/>
                    <w:rtl/>
                  </w:rPr>
                </w:pPr>
                <w:r w:rsidRPr="00E96EF5">
                  <w:rPr>
                    <w:rFonts w:cs="AL-Mateen" w:hint="cs"/>
                    <w:sz w:val="23"/>
                    <w:szCs w:val="23"/>
                    <w:rtl/>
                  </w:rPr>
                  <w:t>ق251 :  النِّيَابَةُ تَجْرِي فِي الاستِحْلاَفِ، لاَ الحَلِفِ.</w:t>
                </w:r>
              </w:p>
            </w:txbxContent>
          </v:textbox>
          <w10:wrap anchorx="page"/>
        </v:shape>
      </w:pict>
    </w:r>
    <w:r>
      <w:rPr>
        <w:noProof/>
        <w:rtl/>
        <w:lang w:val="en-US"/>
      </w:rPr>
      <w:pict>
        <v:shape id="_x0000_s3953" type="#_x0000_t202" style="position:absolute;left:0;text-align:left;margin-left:324.8pt;margin-top:7.4pt;width:99.75pt;height:31.35pt;z-index:252137984" filled="f" stroked="f">
          <v:textbox style="mso-next-textbox:#_x0000_s3953">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55" type="#_x0000_t75" style="position:absolute;left:0;text-align:left;margin-left:62.55pt;margin-top:3.1pt;width:359.1pt;height:44.85pt;z-index:-251176448;mso-wrap-edited:f" wrapcoords="709 4393 473 10251 709 16108 709 16841 20851 16841 20891 16108 21088 10251 20851 4393 709 4393">
          <v:imagedata r:id="rId1" o:title="haut"/>
          <w10:wrap anchorx="page"/>
        </v:shape>
      </w:pict>
    </w:r>
    <w:r>
      <w:rPr>
        <w:noProof/>
        <w:rtl/>
        <w:lang w:val="en-US"/>
      </w:rPr>
      <w:pict>
        <v:shape id="_x0000_s3956" type="#_x0000_t75" style="position:absolute;left:0;text-align:left;margin-left:-10.95pt;margin-top:-1.15pt;width:91.2pt;height:56.1pt;z-index:252141056">
          <v:imagedata r:id="rId2" o:title="hichemil1"/>
          <w10:wrap anchorx="page"/>
        </v:shape>
      </w:pict>
    </w: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1133</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62" type="#_x0000_t202" style="position:absolute;left:0;text-align:left;margin-left:104.25pt;margin-top:11.1pt;width:217.7pt;height:34.2pt;z-index:252147200" filled="f" stroked="f">
          <v:textbox style="mso-next-textbox:#_x0000_s3962">
            <w:txbxContent>
              <w:p w:rsidR="00035BE3" w:rsidRPr="00E96EF5" w:rsidRDefault="00035BE3">
                <w:pPr>
                  <w:ind w:firstLine="0"/>
                  <w:rPr>
                    <w:rFonts w:cs="AL-Mateen"/>
                    <w:sz w:val="23"/>
                    <w:szCs w:val="23"/>
                    <w:rtl/>
                  </w:rPr>
                </w:pPr>
                <w:r w:rsidRPr="00404B75">
                  <w:rPr>
                    <w:rFonts w:cs="AL-Mateen" w:hint="cs"/>
                    <w:sz w:val="23"/>
                    <w:szCs w:val="23"/>
                    <w:rtl/>
                  </w:rPr>
                  <w:t>ق252 :  الوَاجِبُ شَرْعًا لا يَحْتَاجُ إلى قَضَاءٍ.</w:t>
                </w:r>
              </w:p>
            </w:txbxContent>
          </v:textbox>
          <w10:wrap anchorx="page"/>
        </v:shape>
      </w:pict>
    </w:r>
    <w:r>
      <w:rPr>
        <w:noProof/>
        <w:rtl/>
        <w:lang w:val="en-US"/>
      </w:rPr>
      <w:pict>
        <v:shape id="_x0000_s3961" type="#_x0000_t202" style="position:absolute;left:0;text-align:left;margin-left:324.8pt;margin-top:7.4pt;width:99.75pt;height:31.35pt;z-index:252146176" filled="f" stroked="f">
          <v:textbox style="mso-next-textbox:#_x0000_s3961">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63" type="#_x0000_t75" style="position:absolute;left:0;text-align:left;margin-left:62.55pt;margin-top:3.1pt;width:359.1pt;height:44.85pt;z-index:-251168256;mso-wrap-edited:f" wrapcoords="709 4393 473 10251 709 16108 709 16841 20851 16841 20891 16108 21088 10251 20851 4393 709 4393">
          <v:imagedata r:id="rId1" o:title="haut"/>
          <w10:wrap anchorx="page"/>
        </v:shape>
      </w:pict>
    </w:r>
    <w:r>
      <w:rPr>
        <w:noProof/>
        <w:rtl/>
        <w:lang w:val="en-US"/>
      </w:rPr>
      <w:pict>
        <v:shape id="_x0000_s3964" type="#_x0000_t75" style="position:absolute;left:0;text-align:left;margin-left:-10.95pt;margin-top:-1.15pt;width:91.2pt;height:56.1pt;z-index:252149248">
          <v:imagedata r:id="rId2" o:title="hichemil1"/>
          <w10:wrap anchorx="page"/>
        </v:shape>
      </w:pict>
    </w: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1139</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4006" type="#_x0000_t202" style="position:absolute;left:0;text-align:left;margin-left:104.25pt;margin-top:11.1pt;width:217.7pt;height:34.2pt;z-index:252188160" filled="f" stroked="f">
          <v:textbox style="mso-next-textbox:#_x0000_s4006">
            <w:txbxContent>
              <w:p w:rsidR="00035BE3" w:rsidRPr="00E96EF5" w:rsidRDefault="00035BE3">
                <w:pPr>
                  <w:ind w:firstLine="0"/>
                  <w:rPr>
                    <w:rFonts w:cs="AL-Mateen"/>
                    <w:sz w:val="23"/>
                    <w:szCs w:val="23"/>
                    <w:rtl/>
                  </w:rPr>
                </w:pPr>
                <w:r w:rsidRPr="00FA2777">
                  <w:rPr>
                    <w:rFonts w:cs="AL-Mateen" w:hint="cs"/>
                    <w:sz w:val="23"/>
                    <w:szCs w:val="23"/>
                    <w:rtl/>
                  </w:rPr>
                  <w:t>ق253 :  الوَصْفُ فِي الحَاضِرِ لَغُوٌ، وَفِي الغَائِبِ مُعْتَبَرٌ.</w:t>
                </w:r>
              </w:p>
            </w:txbxContent>
          </v:textbox>
          <w10:wrap anchorx="page"/>
        </v:shape>
      </w:pict>
    </w:r>
    <w:r>
      <w:rPr>
        <w:noProof/>
        <w:rtl/>
        <w:lang w:val="en-US"/>
      </w:rPr>
      <w:pict>
        <v:shape id="_x0000_s4005" type="#_x0000_t202" style="position:absolute;left:0;text-align:left;margin-left:324.8pt;margin-top:7.4pt;width:99.75pt;height:31.35pt;z-index:252187136" filled="f" stroked="f">
          <v:textbox style="mso-next-textbox:#_x0000_s4005">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07" type="#_x0000_t75" style="position:absolute;left:0;text-align:left;margin-left:62.55pt;margin-top:3.1pt;width:359.1pt;height:44.85pt;z-index:-251127296;mso-wrap-edited:f" wrapcoords="709 4393 473 10251 709 16108 709 16841 20851 16841 20891 16108 21088 10251 20851 4393 709 4393">
          <v:imagedata r:id="rId1" o:title="haut"/>
          <w10:wrap anchorx="page"/>
        </v:shape>
      </w:pict>
    </w:r>
    <w:r>
      <w:rPr>
        <w:noProof/>
        <w:rtl/>
        <w:lang w:val="en-US"/>
      </w:rPr>
      <w:pict>
        <v:shape id="_x0000_s4008" type="#_x0000_t75" style="position:absolute;left:0;text-align:left;margin-left:-10.95pt;margin-top:-1.15pt;width:91.2pt;height:56.1pt;z-index:252190208">
          <v:imagedata r:id="rId2" o:title="hichemil1"/>
          <w10:wrap anchorx="page"/>
        </v:shape>
      </w:pict>
    </w: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1143</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4022" type="#_x0000_t202" style="position:absolute;left:0;text-align:left;margin-left:104.25pt;margin-top:11.1pt;width:217.7pt;height:34.2pt;z-index:252204544" filled="f" stroked="f">
          <v:textbox style="mso-next-textbox:#_x0000_s4022">
            <w:txbxContent>
              <w:p w:rsidR="00035BE3" w:rsidRPr="00E96EF5" w:rsidRDefault="00035BE3">
                <w:pPr>
                  <w:ind w:firstLine="0"/>
                  <w:rPr>
                    <w:rFonts w:cs="AL-Mateen"/>
                    <w:sz w:val="23"/>
                    <w:szCs w:val="23"/>
                    <w:rtl/>
                  </w:rPr>
                </w:pPr>
                <w:r w:rsidRPr="00FD2BE3">
                  <w:rPr>
                    <w:rFonts w:cs="AL-Mateen" w:hint="cs"/>
                    <w:sz w:val="23"/>
                    <w:szCs w:val="23"/>
                    <w:rtl/>
                  </w:rPr>
                  <w:t>ق254 :  الوَصْفُ يُقَابِلُهُ شَيْءٌ مِنَ الثَّمَنِ إذا كانَ مَقْصُودًا بالتَّنَاوُلِ.</w:t>
                </w:r>
              </w:p>
            </w:txbxContent>
          </v:textbox>
          <w10:wrap anchorx="page"/>
        </v:shape>
      </w:pict>
    </w:r>
    <w:r>
      <w:rPr>
        <w:noProof/>
        <w:rtl/>
        <w:lang w:val="en-US"/>
      </w:rPr>
      <w:pict>
        <v:shape id="_x0000_s4021" type="#_x0000_t202" style="position:absolute;left:0;text-align:left;margin-left:324.8pt;margin-top:7.4pt;width:99.75pt;height:31.35pt;z-index:252203520" filled="f" stroked="f">
          <v:textbox style="mso-next-textbox:#_x0000_s4021">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23" type="#_x0000_t75" style="position:absolute;left:0;text-align:left;margin-left:62.55pt;margin-top:3.1pt;width:359.1pt;height:44.85pt;z-index:-251110912;mso-wrap-edited:f" wrapcoords="709 4393 473 10251 709 16108 709 16841 20851 16841 20891 16108 21088 10251 20851 4393 709 4393">
          <v:imagedata r:id="rId1" o:title="haut"/>
          <w10:wrap anchorx="page"/>
        </v:shape>
      </w:pict>
    </w:r>
    <w:r>
      <w:rPr>
        <w:noProof/>
        <w:rtl/>
        <w:lang w:val="en-US"/>
      </w:rPr>
      <w:pict>
        <v:shape id="_x0000_s4024" type="#_x0000_t75" style="position:absolute;left:0;text-align:left;margin-left:-10.95pt;margin-top:-1.15pt;width:91.2pt;height:56.1pt;z-index:252206592">
          <v:imagedata r:id="rId2" o:title="hichemil1"/>
          <w10:wrap anchorx="page"/>
        </v:shape>
      </w:pict>
    </w: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1145</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4010" type="#_x0000_t202" style="position:absolute;left:0;text-align:left;margin-left:104.25pt;margin-top:11.1pt;width:217.7pt;height:34.2pt;z-index:252192256" filled="f" stroked="f">
          <v:textbox style="mso-next-textbox:#_x0000_s4010">
            <w:txbxContent>
              <w:p w:rsidR="00035BE3" w:rsidRPr="00E96EF5" w:rsidRDefault="00035BE3">
                <w:pPr>
                  <w:ind w:firstLine="0"/>
                  <w:rPr>
                    <w:rFonts w:cs="AL-Mateen"/>
                    <w:sz w:val="23"/>
                    <w:szCs w:val="23"/>
                    <w:rtl/>
                  </w:rPr>
                </w:pPr>
                <w:r w:rsidRPr="00F5184F">
                  <w:rPr>
                    <w:rFonts w:cs="AL-Mateen" w:hint="cs"/>
                    <w:sz w:val="23"/>
                    <w:szCs w:val="23"/>
                    <w:rtl/>
                  </w:rPr>
                  <w:t>ق255 :  الوَصِيَّةُ اسْتخْلاَفٌ بَعْدَ انقطَاعِ ولايةِ المُوصِي.</w:t>
                </w:r>
              </w:p>
            </w:txbxContent>
          </v:textbox>
          <w10:wrap anchorx="page"/>
        </v:shape>
      </w:pict>
    </w:r>
    <w:r>
      <w:rPr>
        <w:noProof/>
        <w:rtl/>
        <w:lang w:val="en-US"/>
      </w:rPr>
      <w:pict>
        <v:shape id="_x0000_s4009" type="#_x0000_t202" style="position:absolute;left:0;text-align:left;margin-left:324.8pt;margin-top:7.4pt;width:99.75pt;height:31.35pt;z-index:252191232" filled="f" stroked="f">
          <v:textbox style="mso-next-textbox:#_x0000_s4009">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11" type="#_x0000_t75" style="position:absolute;left:0;text-align:left;margin-left:62.55pt;margin-top:3.1pt;width:359.1pt;height:44.85pt;z-index:-251123200;mso-wrap-edited:f" wrapcoords="709 4393 473 10251 709 16108 709 16841 20851 16841 20891 16108 21088 10251 20851 4393 709 4393">
          <v:imagedata r:id="rId1" o:title="haut"/>
          <w10:wrap anchorx="page"/>
        </v:shape>
      </w:pict>
    </w:r>
    <w:r>
      <w:rPr>
        <w:noProof/>
        <w:rtl/>
        <w:lang w:val="en-US"/>
      </w:rPr>
      <w:pict>
        <v:shape id="_x0000_s4012" type="#_x0000_t75" style="position:absolute;left:0;text-align:left;margin-left:-10.95pt;margin-top:-1.15pt;width:91.2pt;height:56.1pt;z-index:252194304">
          <v:imagedata r:id="rId2" o:title="hichemil1"/>
          <w10:wrap anchorx="page"/>
        </v:shape>
      </w:pict>
    </w: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1148</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4026" type="#_x0000_t202" style="position:absolute;left:0;text-align:left;margin-left:104.25pt;margin-top:11.1pt;width:217.7pt;height:34.2pt;z-index:252208640" filled="f" stroked="f">
          <v:textbox style="mso-next-textbox:#_x0000_s4026">
            <w:txbxContent>
              <w:p w:rsidR="00035BE3" w:rsidRPr="00E96EF5" w:rsidRDefault="00035BE3">
                <w:pPr>
                  <w:ind w:firstLine="0"/>
                  <w:rPr>
                    <w:rFonts w:cs="AL-Mateen"/>
                    <w:sz w:val="23"/>
                    <w:szCs w:val="23"/>
                    <w:rtl/>
                  </w:rPr>
                </w:pPr>
                <w:r w:rsidRPr="00192233">
                  <w:rPr>
                    <w:rFonts w:cs="AL-Mateen" w:hint="cs"/>
                    <w:sz w:val="23"/>
                    <w:szCs w:val="23"/>
                    <w:rtl/>
                  </w:rPr>
                  <w:t>ق256 :  الولايةُ الخاصَّةُ أَوْلَى مِنَ الولايةِ العامَّةِ.</w:t>
                </w:r>
              </w:p>
            </w:txbxContent>
          </v:textbox>
          <w10:wrap anchorx="page"/>
        </v:shape>
      </w:pict>
    </w:r>
    <w:r>
      <w:rPr>
        <w:noProof/>
        <w:rtl/>
        <w:lang w:val="en-US"/>
      </w:rPr>
      <w:pict>
        <v:shape id="_x0000_s4025" type="#_x0000_t202" style="position:absolute;left:0;text-align:left;margin-left:324.8pt;margin-top:7.4pt;width:99.75pt;height:31.35pt;z-index:252207616" filled="f" stroked="f">
          <v:textbox style="mso-next-textbox:#_x0000_s4025">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27" type="#_x0000_t75" style="position:absolute;left:0;text-align:left;margin-left:62.55pt;margin-top:3.1pt;width:359.1pt;height:44.85pt;z-index:-251106816;mso-wrap-edited:f" wrapcoords="709 4393 473 10251 709 16108 709 16841 20851 16841 20891 16108 21088 10251 20851 4393 709 4393">
          <v:imagedata r:id="rId1" o:title="haut"/>
          <w10:wrap anchorx="page"/>
        </v:shape>
      </w:pict>
    </w:r>
    <w:r>
      <w:rPr>
        <w:noProof/>
        <w:rtl/>
        <w:lang w:val="en-US"/>
      </w:rPr>
      <w:pict>
        <v:shape id="_x0000_s4028" type="#_x0000_t75" style="position:absolute;left:0;text-align:left;margin-left:-10.95pt;margin-top:-1.15pt;width:91.2pt;height:56.1pt;z-index:252210688">
          <v:imagedata r:id="rId2" o:title="hichemil1"/>
          <w10:wrap anchorx="page"/>
        </v:shape>
      </w:pict>
    </w: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1152</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66" type="#_x0000_t202" style="position:absolute;left:0;text-align:left;margin-left:78.6pt;margin-top:11.1pt;width:243.35pt;height:34.2pt;z-index:252151296" filled="f" stroked="f">
          <v:textbox style="mso-next-textbox:#_x0000_s3966">
            <w:txbxContent>
              <w:p w:rsidR="00035BE3" w:rsidRPr="00E96EF5" w:rsidRDefault="00035BE3">
                <w:pPr>
                  <w:ind w:firstLine="0"/>
                  <w:rPr>
                    <w:rFonts w:cs="AL-Mateen"/>
                    <w:sz w:val="23"/>
                    <w:szCs w:val="23"/>
                    <w:rtl/>
                  </w:rPr>
                </w:pPr>
                <w:r w:rsidRPr="00603DB8">
                  <w:rPr>
                    <w:rFonts w:cs="AL-Mateen" w:hint="cs"/>
                    <w:sz w:val="23"/>
                    <w:szCs w:val="23"/>
                    <w:rtl/>
                  </w:rPr>
                  <w:t>ق257 :  ومن أحكام المجاز : وُجودُ ما أُرِيدَ به، خاصًّا كان أو عامًّا.</w:t>
                </w:r>
              </w:p>
            </w:txbxContent>
          </v:textbox>
          <w10:wrap anchorx="page"/>
        </v:shape>
      </w:pict>
    </w:r>
    <w:r>
      <w:rPr>
        <w:noProof/>
        <w:rtl/>
        <w:lang w:val="en-US"/>
      </w:rPr>
      <w:pict>
        <v:shape id="_x0000_s3965" type="#_x0000_t202" style="position:absolute;left:0;text-align:left;margin-left:324.8pt;margin-top:7.4pt;width:99.75pt;height:31.35pt;z-index:252150272" filled="f" stroked="f">
          <v:textbox style="mso-next-textbox:#_x0000_s3965">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67" type="#_x0000_t75" style="position:absolute;left:0;text-align:left;margin-left:62.55pt;margin-top:3.1pt;width:359.1pt;height:44.85pt;z-index:-251164160;mso-wrap-edited:f" wrapcoords="709 4393 473 10251 709 16108 709 16841 20851 16841 20891 16108 21088 10251 20851 4393 709 4393">
          <v:imagedata r:id="rId1" o:title="haut"/>
          <w10:wrap anchorx="page"/>
        </v:shape>
      </w:pict>
    </w:r>
    <w:r>
      <w:rPr>
        <w:noProof/>
        <w:rtl/>
        <w:lang w:val="en-US"/>
      </w:rPr>
      <w:pict>
        <v:shape id="_x0000_s3968" type="#_x0000_t75" style="position:absolute;left:0;text-align:left;margin-left:-10.95pt;margin-top:-1.15pt;width:91.2pt;height:56.1pt;z-index:252153344">
          <v:imagedata r:id="rId2" o:title="hichemil1"/>
          <w10:wrap anchorx="page"/>
        </v:shape>
      </w:pict>
    </w: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1155</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70" type="#_x0000_t202" style="position:absolute;left:0;text-align:left;margin-left:104.25pt;margin-top:11.1pt;width:217.7pt;height:34.2pt;z-index:252155392" filled="f" stroked="f">
          <v:textbox style="mso-next-textbox:#_x0000_s3970">
            <w:txbxContent>
              <w:p w:rsidR="00035BE3" w:rsidRPr="00E96EF5" w:rsidRDefault="00035BE3">
                <w:pPr>
                  <w:ind w:firstLine="0"/>
                  <w:rPr>
                    <w:rFonts w:cs="AL-Mateen"/>
                    <w:sz w:val="23"/>
                    <w:szCs w:val="23"/>
                    <w:rtl/>
                  </w:rPr>
                </w:pPr>
                <w:r w:rsidRPr="009F73CA">
                  <w:rPr>
                    <w:rFonts w:cs="AL-Mateen" w:hint="cs"/>
                    <w:sz w:val="23"/>
                    <w:szCs w:val="23"/>
                    <w:rtl/>
                  </w:rPr>
                  <w:t>ق258 :  هَلاَكُ المَبِيعِ فِي يَدِ المُشْتَرِي بِشِرَاءٍ بَاطِلٍ لَيْسَ بِمَضْمُونٍ.</w:t>
                </w:r>
              </w:p>
            </w:txbxContent>
          </v:textbox>
          <w10:wrap anchorx="page"/>
        </v:shape>
      </w:pict>
    </w:r>
    <w:r>
      <w:rPr>
        <w:noProof/>
        <w:rtl/>
        <w:lang w:val="en-US"/>
      </w:rPr>
      <w:pict>
        <v:shape id="_x0000_s3969" type="#_x0000_t202" style="position:absolute;left:0;text-align:left;margin-left:324.8pt;margin-top:7.4pt;width:99.75pt;height:31.35pt;z-index:252154368" filled="f" stroked="f">
          <v:textbox style="mso-next-textbox:#_x0000_s3969">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71" type="#_x0000_t75" style="position:absolute;left:0;text-align:left;margin-left:62.55pt;margin-top:3.1pt;width:359.1pt;height:44.85pt;z-index:-251160064;mso-wrap-edited:f" wrapcoords="709 4393 473 10251 709 16108 709 16841 20851 16841 20891 16108 21088 10251 20851 4393 709 4393">
          <v:imagedata r:id="rId1" o:title="haut"/>
          <w10:wrap anchorx="page"/>
        </v:shape>
      </w:pict>
    </w:r>
    <w:r>
      <w:rPr>
        <w:noProof/>
        <w:rtl/>
        <w:lang w:val="en-US"/>
      </w:rPr>
      <w:pict>
        <v:shape id="_x0000_s3972" type="#_x0000_t75" style="position:absolute;left:0;text-align:left;margin-left:-10.95pt;margin-top:-1.15pt;width:91.2pt;height:56.1pt;z-index:252157440">
          <v:imagedata r:id="rId2" o:title="hichemil1"/>
          <w10:wrap anchorx="page"/>
        </v:shape>
      </w:pict>
    </w: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1162</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74" type="#_x0000_t202" style="position:absolute;left:0;text-align:left;margin-left:104.25pt;margin-top:11.1pt;width:217.7pt;height:34.2pt;z-index:252159488" filled="f" stroked="f">
          <v:textbox style="mso-next-textbox:#_x0000_s3974">
            <w:txbxContent>
              <w:p w:rsidR="00035BE3" w:rsidRPr="00E96EF5" w:rsidRDefault="00035BE3">
                <w:pPr>
                  <w:ind w:firstLine="0"/>
                  <w:rPr>
                    <w:rFonts w:cs="AL-Mateen"/>
                    <w:sz w:val="23"/>
                    <w:szCs w:val="23"/>
                    <w:rtl/>
                  </w:rPr>
                </w:pPr>
                <w:r w:rsidRPr="00DD3F28">
                  <w:rPr>
                    <w:rFonts w:cs="AL-Mateen" w:hint="cs"/>
                    <w:sz w:val="23"/>
                    <w:szCs w:val="23"/>
                    <w:rtl/>
                  </w:rPr>
                  <w:t>ق259 :  يُتحمَّلُ الضَّرَرُ الخَاصُّ لأجلِ دَفْعِ ضَرَرٍ عَامٍّ.</w:t>
                </w:r>
              </w:p>
            </w:txbxContent>
          </v:textbox>
          <w10:wrap anchorx="page"/>
        </v:shape>
      </w:pict>
    </w:r>
    <w:r>
      <w:rPr>
        <w:noProof/>
        <w:rtl/>
        <w:lang w:val="en-US"/>
      </w:rPr>
      <w:pict>
        <v:shape id="_x0000_s3973" type="#_x0000_t202" style="position:absolute;left:0;text-align:left;margin-left:324.8pt;margin-top:7.4pt;width:99.75pt;height:31.35pt;z-index:252158464" filled="f" stroked="f">
          <v:textbox style="mso-next-textbox:#_x0000_s3973">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75" type="#_x0000_t75" style="position:absolute;left:0;text-align:left;margin-left:62.55pt;margin-top:3.1pt;width:359.1pt;height:44.85pt;z-index:-251155968;mso-wrap-edited:f" wrapcoords="709 4393 473 10251 709 16108 709 16841 20851 16841 20891 16108 21088 10251 20851 4393 709 4393">
          <v:imagedata r:id="rId1" o:title="haut"/>
          <w10:wrap anchorx="page"/>
        </v:shape>
      </w:pict>
    </w:r>
    <w:r>
      <w:rPr>
        <w:noProof/>
        <w:rtl/>
        <w:lang w:val="en-US"/>
      </w:rPr>
      <w:pict>
        <v:shape id="_x0000_s3976" type="#_x0000_t75" style="position:absolute;left:0;text-align:left;margin-left:-10.95pt;margin-top:-1.15pt;width:91.2pt;height:56.1pt;z-index:252161536">
          <v:imagedata r:id="rId2" o:title="hichemil1"/>
          <w10:wrap anchorx="page"/>
        </v:shape>
      </w:pict>
    </w: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1164</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78" type="#_x0000_t202" style="position:absolute;left:0;text-align:left;margin-left:104.25pt;margin-top:11.1pt;width:217.7pt;height:34.2pt;z-index:252163584" filled="f" stroked="f">
          <v:textbox style="mso-next-textbox:#_x0000_s3978">
            <w:txbxContent>
              <w:p w:rsidR="00035BE3" w:rsidRPr="00E96EF5" w:rsidRDefault="00035BE3">
                <w:pPr>
                  <w:ind w:firstLine="0"/>
                  <w:rPr>
                    <w:rFonts w:cs="AL-Mateen"/>
                    <w:sz w:val="23"/>
                    <w:szCs w:val="23"/>
                    <w:rtl/>
                  </w:rPr>
                </w:pPr>
                <w:r w:rsidRPr="00825274">
                  <w:rPr>
                    <w:rFonts w:cs="AL-Mateen" w:hint="cs"/>
                    <w:sz w:val="23"/>
                    <w:szCs w:val="23"/>
                    <w:rtl/>
                  </w:rPr>
                  <w:t>ق260 :  يُرَجَّحُ بَعْضُ وُجُوهِ المُشْتَرَكِ بِغَالِبِ الرَّأْيِ.</w:t>
                </w:r>
              </w:p>
            </w:txbxContent>
          </v:textbox>
          <w10:wrap anchorx="page"/>
        </v:shape>
      </w:pict>
    </w:r>
    <w:r>
      <w:rPr>
        <w:noProof/>
        <w:rtl/>
        <w:lang w:val="en-US"/>
      </w:rPr>
      <w:pict>
        <v:shape id="_x0000_s3977" type="#_x0000_t202" style="position:absolute;left:0;text-align:left;margin-left:324.8pt;margin-top:7.4pt;width:99.75pt;height:31.35pt;z-index:252162560" filled="f" stroked="f">
          <v:textbox style="mso-next-textbox:#_x0000_s3977">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79" type="#_x0000_t75" style="position:absolute;left:0;text-align:left;margin-left:62.55pt;margin-top:3.1pt;width:359.1pt;height:44.85pt;z-index:-251151872;mso-wrap-edited:f" wrapcoords="709 4393 473 10251 709 16108 709 16841 20851 16841 20891 16108 21088 10251 20851 4393 709 4393">
          <v:imagedata r:id="rId1" o:title="haut"/>
          <w10:wrap anchorx="page"/>
        </v:shape>
      </w:pict>
    </w:r>
    <w:r>
      <w:rPr>
        <w:noProof/>
        <w:rtl/>
        <w:lang w:val="en-US"/>
      </w:rPr>
      <w:pict>
        <v:shape id="_x0000_s3980" type="#_x0000_t75" style="position:absolute;left:0;text-align:left;margin-left:-10.95pt;margin-top:-1.15pt;width:91.2pt;height:56.1pt;z-index:252165632">
          <v:imagedata r:id="rId2" o:title="hichemil1"/>
          <w10:wrap anchorx="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1165</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4014" type="#_x0000_t202" style="position:absolute;left:0;text-align:left;margin-left:104.25pt;margin-top:11.1pt;width:217.7pt;height:34.2pt;z-index:252196352" filled="f" stroked="f">
          <v:textbox style="mso-next-textbox:#_x0000_s4014">
            <w:txbxContent>
              <w:p w:rsidR="00035BE3" w:rsidRPr="00E96EF5" w:rsidRDefault="00035BE3">
                <w:pPr>
                  <w:ind w:firstLine="0"/>
                  <w:rPr>
                    <w:rFonts w:cs="AL-Mateen"/>
                    <w:sz w:val="23"/>
                    <w:szCs w:val="23"/>
                    <w:rtl/>
                  </w:rPr>
                </w:pPr>
                <w:r w:rsidRPr="006F76A2">
                  <w:rPr>
                    <w:rFonts w:cs="AL-Mateen" w:hint="cs"/>
                    <w:sz w:val="23"/>
                    <w:szCs w:val="23"/>
                    <w:rtl/>
                  </w:rPr>
                  <w:t>ق261 :  يَدْخُلُ فِي التَّصَرُّفِ تَبَعًا مَا لاَ يَجُوْزُ أَنْ يَكُونَ مَقْصُودًا.</w:t>
                </w:r>
              </w:p>
            </w:txbxContent>
          </v:textbox>
          <w10:wrap anchorx="page"/>
        </v:shape>
      </w:pict>
    </w:r>
    <w:r>
      <w:rPr>
        <w:noProof/>
        <w:rtl/>
        <w:lang w:val="en-US"/>
      </w:rPr>
      <w:pict>
        <v:shape id="_x0000_s4013" type="#_x0000_t202" style="position:absolute;left:0;text-align:left;margin-left:324.8pt;margin-top:7.4pt;width:99.75pt;height:31.35pt;z-index:252195328" filled="f" stroked="f">
          <v:textbox style="mso-next-textbox:#_x0000_s4013">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15" type="#_x0000_t75" style="position:absolute;left:0;text-align:left;margin-left:62.55pt;margin-top:3.1pt;width:359.1pt;height:44.85pt;z-index:-251119104;mso-wrap-edited:f" wrapcoords="709 4393 473 10251 709 16108 709 16841 20851 16841 20891 16108 21088 10251 20851 4393 709 4393">
          <v:imagedata r:id="rId1" o:title="haut"/>
          <w10:wrap anchorx="page"/>
        </v:shape>
      </w:pict>
    </w:r>
    <w:r>
      <w:rPr>
        <w:noProof/>
        <w:rtl/>
        <w:lang w:val="en-US"/>
      </w:rPr>
      <w:pict>
        <v:shape id="_x0000_s4016" type="#_x0000_t75" style="position:absolute;left:0;text-align:left;margin-left:-10.95pt;margin-top:-1.15pt;width:91.2pt;height:56.1pt;z-index:252198400">
          <v:imagedata r:id="rId2" o:title="hichemil1"/>
          <w10:wrap anchorx="page"/>
        </v:shape>
      </w:pict>
    </w: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1167</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82" type="#_x0000_t202" style="position:absolute;left:0;text-align:left;margin-left:104.25pt;margin-top:11.1pt;width:217.7pt;height:34.2pt;z-index:252167680" filled="f" stroked="f">
          <v:textbox style="mso-next-textbox:#_x0000_s3982">
            <w:txbxContent>
              <w:p w:rsidR="00035BE3" w:rsidRPr="00E96EF5" w:rsidRDefault="00035BE3">
                <w:pPr>
                  <w:ind w:firstLine="0"/>
                  <w:rPr>
                    <w:rFonts w:cs="AL-Mateen"/>
                    <w:sz w:val="23"/>
                    <w:szCs w:val="23"/>
                    <w:rtl/>
                  </w:rPr>
                </w:pPr>
                <w:r w:rsidRPr="00EB338C">
                  <w:rPr>
                    <w:rFonts w:cs="AL-Mateen" w:hint="cs"/>
                    <w:sz w:val="23"/>
                    <w:szCs w:val="23"/>
                    <w:rtl/>
                  </w:rPr>
                  <w:t>ق262 :  يَسْقُطُ الفَرْعُ إذا سَقَطَ الأَصْلُ.</w:t>
                </w:r>
              </w:p>
            </w:txbxContent>
          </v:textbox>
          <w10:wrap anchorx="page"/>
        </v:shape>
      </w:pict>
    </w:r>
    <w:r>
      <w:rPr>
        <w:noProof/>
        <w:rtl/>
        <w:lang w:val="en-US"/>
      </w:rPr>
      <w:pict>
        <v:shape id="_x0000_s3981" type="#_x0000_t202" style="position:absolute;left:0;text-align:left;margin-left:324.8pt;margin-top:7.4pt;width:99.75pt;height:31.35pt;z-index:252166656" filled="f" stroked="f">
          <v:textbox style="mso-next-textbox:#_x0000_s3981">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83" type="#_x0000_t75" style="position:absolute;left:0;text-align:left;margin-left:62.55pt;margin-top:3.1pt;width:359.1pt;height:44.85pt;z-index:-251147776;mso-wrap-edited:f" wrapcoords="709 4393 473 10251 709 16108 709 16841 20851 16841 20891 16108 21088 10251 20851 4393 709 4393">
          <v:imagedata r:id="rId1" o:title="haut"/>
          <w10:wrap anchorx="page"/>
        </v:shape>
      </w:pict>
    </w:r>
    <w:r>
      <w:rPr>
        <w:noProof/>
        <w:rtl/>
        <w:lang w:val="en-US"/>
      </w:rPr>
      <w:pict>
        <v:shape id="_x0000_s3984" type="#_x0000_t75" style="position:absolute;left:0;text-align:left;margin-left:-10.95pt;margin-top:-1.15pt;width:91.2pt;height:56.1pt;z-index:252169728">
          <v:imagedata r:id="rId2" o:title="hichemil1"/>
          <w10:wrap anchorx="page"/>
        </v:shape>
      </w:pict>
    </w: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1170</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86" type="#_x0000_t202" style="position:absolute;left:0;text-align:left;margin-left:104.25pt;margin-top:11.1pt;width:217.7pt;height:34.2pt;z-index:252171776" filled="f" stroked="f">
          <v:textbox style="mso-next-textbox:#_x0000_s3986">
            <w:txbxContent>
              <w:p w:rsidR="00035BE3" w:rsidRPr="00E96EF5" w:rsidRDefault="00035BE3">
                <w:pPr>
                  <w:ind w:firstLine="0"/>
                  <w:rPr>
                    <w:rFonts w:cs="AL-Mateen"/>
                    <w:sz w:val="23"/>
                    <w:szCs w:val="23"/>
                    <w:rtl/>
                  </w:rPr>
                </w:pPr>
                <w:r w:rsidRPr="005A56CD">
                  <w:rPr>
                    <w:rFonts w:cs="AL-Mateen" w:hint="cs"/>
                    <w:sz w:val="23"/>
                    <w:szCs w:val="23"/>
                    <w:rtl/>
                  </w:rPr>
                  <w:t>ق263 :  يُغْتَفَرُ فِي الانْتِهَاءِ مَا لاَ يُغْتَفَرُ فِي الابتداءِ.</w:t>
                </w:r>
              </w:p>
            </w:txbxContent>
          </v:textbox>
          <w10:wrap anchorx="page"/>
        </v:shape>
      </w:pict>
    </w:r>
    <w:r>
      <w:rPr>
        <w:noProof/>
        <w:rtl/>
        <w:lang w:val="en-US"/>
      </w:rPr>
      <w:pict>
        <v:shape id="_x0000_s3985" type="#_x0000_t202" style="position:absolute;left:0;text-align:left;margin-left:324.8pt;margin-top:7.4pt;width:99.75pt;height:31.35pt;z-index:252170752" filled="f" stroked="f">
          <v:textbox style="mso-next-textbox:#_x0000_s3985">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87" type="#_x0000_t75" style="position:absolute;left:0;text-align:left;margin-left:62.55pt;margin-top:3.1pt;width:359.1pt;height:44.85pt;z-index:-251143680;mso-wrap-edited:f" wrapcoords="709 4393 473 10251 709 16108 709 16841 20851 16841 20891 16108 21088 10251 20851 4393 709 4393">
          <v:imagedata r:id="rId1" o:title="haut"/>
          <w10:wrap anchorx="page"/>
        </v:shape>
      </w:pict>
    </w:r>
    <w:r>
      <w:rPr>
        <w:noProof/>
        <w:rtl/>
        <w:lang w:val="en-US"/>
      </w:rPr>
      <w:pict>
        <v:shape id="_x0000_s3988" type="#_x0000_t75" style="position:absolute;left:0;text-align:left;margin-left:-10.95pt;margin-top:-1.15pt;width:91.2pt;height:56.1pt;z-index:252173824">
          <v:imagedata r:id="rId2" o:title="hichemil1"/>
          <w10:wrap anchorx="page"/>
        </v:shape>
      </w:pict>
    </w: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1174</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90" type="#_x0000_t202" style="position:absolute;left:0;text-align:left;margin-left:104.25pt;margin-top:11.1pt;width:217.7pt;height:34.2pt;z-index:252175872" filled="f" stroked="f">
          <v:textbox style="mso-next-textbox:#_x0000_s3990">
            <w:txbxContent>
              <w:p w:rsidR="00035BE3" w:rsidRPr="00E96EF5" w:rsidRDefault="00035BE3">
                <w:pPr>
                  <w:ind w:firstLine="0"/>
                  <w:rPr>
                    <w:rFonts w:cs="AL-Mateen"/>
                    <w:sz w:val="23"/>
                    <w:szCs w:val="23"/>
                    <w:rtl/>
                  </w:rPr>
                </w:pPr>
                <w:r w:rsidRPr="00A32717">
                  <w:rPr>
                    <w:rFonts w:cs="AL-Mateen" w:hint="cs"/>
                    <w:sz w:val="23"/>
                    <w:szCs w:val="23"/>
                    <w:rtl/>
                  </w:rPr>
                  <w:t>ق264 :  يَلْزَمُ مُرَاعَاةُ الشَّرْطِ بِقَدْرِ الإمْكَانِ.</w:t>
                </w:r>
              </w:p>
            </w:txbxContent>
          </v:textbox>
          <w10:wrap anchorx="page"/>
        </v:shape>
      </w:pict>
    </w:r>
    <w:r>
      <w:rPr>
        <w:noProof/>
        <w:rtl/>
        <w:lang w:val="en-US"/>
      </w:rPr>
      <w:pict>
        <v:shape id="_x0000_s3989" type="#_x0000_t202" style="position:absolute;left:0;text-align:left;margin-left:324.8pt;margin-top:7.4pt;width:99.75pt;height:31.35pt;z-index:252174848" filled="f" stroked="f">
          <v:textbox style="mso-next-textbox:#_x0000_s3989">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91" type="#_x0000_t75" style="position:absolute;left:0;text-align:left;margin-left:62.55pt;margin-top:3.1pt;width:359.1pt;height:44.85pt;z-index:-251139584;mso-wrap-edited:f" wrapcoords="709 4393 473 10251 709 16108 709 16841 20851 16841 20891 16108 21088 10251 20851 4393 709 4393">
          <v:imagedata r:id="rId1" o:title="haut"/>
          <w10:wrap anchorx="page"/>
        </v:shape>
      </w:pict>
    </w:r>
    <w:r>
      <w:rPr>
        <w:noProof/>
        <w:rtl/>
        <w:lang w:val="en-US"/>
      </w:rPr>
      <w:pict>
        <v:shape id="_x0000_s3992" type="#_x0000_t75" style="position:absolute;left:0;text-align:left;margin-left:-10.95pt;margin-top:-1.15pt;width:91.2pt;height:56.1pt;z-index:252177920">
          <v:imagedata r:id="rId2" o:title="hichemil1"/>
          <w10:wrap anchorx="page"/>
        </v:shape>
      </w:pict>
    </w: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1179</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3994" type="#_x0000_t202" style="position:absolute;left:0;text-align:left;margin-left:104.25pt;margin-top:11.1pt;width:217.7pt;height:34.2pt;z-index:252179968" filled="f" stroked="f">
          <v:textbox style="mso-next-textbox:#_x0000_s3994">
            <w:txbxContent>
              <w:p w:rsidR="00035BE3" w:rsidRPr="00E96EF5" w:rsidRDefault="00035BE3">
                <w:pPr>
                  <w:ind w:firstLine="0"/>
                  <w:rPr>
                    <w:rFonts w:cs="AL-Mateen"/>
                    <w:sz w:val="23"/>
                    <w:szCs w:val="23"/>
                    <w:rtl/>
                  </w:rPr>
                </w:pPr>
                <w:r w:rsidRPr="00BE39AA">
                  <w:rPr>
                    <w:rFonts w:cs="AL-Mateen" w:hint="cs"/>
                    <w:sz w:val="23"/>
                    <w:szCs w:val="23"/>
                    <w:rtl/>
                  </w:rPr>
                  <w:t>ق265 :  اليَمِينُ أَبَدًا يَكُونُ عَلَى النَّفْيِ.</w:t>
                </w:r>
              </w:p>
            </w:txbxContent>
          </v:textbox>
          <w10:wrap anchorx="page"/>
        </v:shape>
      </w:pict>
    </w:r>
    <w:r>
      <w:rPr>
        <w:noProof/>
        <w:rtl/>
        <w:lang w:val="en-US"/>
      </w:rPr>
      <w:pict>
        <v:shape id="_x0000_s3993" type="#_x0000_t202" style="position:absolute;left:0;text-align:left;margin-left:324.8pt;margin-top:7.4pt;width:99.75pt;height:31.35pt;z-index:252178944" filled="f" stroked="f">
          <v:textbox style="mso-next-textbox:#_x0000_s3993">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95" type="#_x0000_t75" style="position:absolute;left:0;text-align:left;margin-left:62.55pt;margin-top:3.1pt;width:359.1pt;height:44.85pt;z-index:-251135488;mso-wrap-edited:f" wrapcoords="709 4393 473 10251 709 16108 709 16841 20851 16841 20891 16108 21088 10251 20851 4393 709 4393">
          <v:imagedata r:id="rId1" o:title="haut"/>
          <w10:wrap anchorx="page"/>
        </v:shape>
      </w:pict>
    </w:r>
    <w:r>
      <w:rPr>
        <w:noProof/>
        <w:rtl/>
        <w:lang w:val="en-US"/>
      </w:rPr>
      <w:pict>
        <v:shape id="_x0000_s3996" type="#_x0000_t75" style="position:absolute;left:0;text-align:left;margin-left:-10.95pt;margin-top:-1.15pt;width:91.2pt;height:56.1pt;z-index:252182016">
          <v:imagedata r:id="rId2" o:title="hichemil1"/>
          <w10:wrap anchorx="page"/>
        </v:shape>
      </w:pict>
    </w: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1190</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4018" type="#_x0000_t202" style="position:absolute;left:0;text-align:left;margin-left:104.25pt;margin-top:11.1pt;width:217.7pt;height:34.2pt;z-index:252200448" filled="f" stroked="f">
          <v:textbox style="mso-next-textbox:#_x0000_s4018">
            <w:txbxContent>
              <w:p w:rsidR="00035BE3" w:rsidRPr="00E96EF5" w:rsidRDefault="00035BE3">
                <w:pPr>
                  <w:ind w:firstLine="0"/>
                  <w:rPr>
                    <w:rFonts w:cs="AL-Mateen"/>
                    <w:sz w:val="23"/>
                    <w:szCs w:val="23"/>
                    <w:rtl/>
                  </w:rPr>
                </w:pPr>
                <w:r w:rsidRPr="007F782A">
                  <w:rPr>
                    <w:rFonts w:cs="AL-Mateen" w:hint="cs"/>
                    <w:sz w:val="24"/>
                    <w:szCs w:val="24"/>
                    <w:rtl/>
                  </w:rPr>
                  <w:t xml:space="preserve">  ق266 :  يَوْمُ المَوْتِ لاَ يَدْخُلُ تَحْتَ القَضَاءِ، بِخِلاَفِ يَوْمِ القَتْلِ.</w:t>
                </w:r>
              </w:p>
            </w:txbxContent>
          </v:textbox>
          <w10:wrap anchorx="page"/>
        </v:shape>
      </w:pict>
    </w:r>
    <w:r>
      <w:rPr>
        <w:noProof/>
        <w:rtl/>
        <w:lang w:val="en-US"/>
      </w:rPr>
      <w:pict>
        <v:shape id="_x0000_s4017" type="#_x0000_t202" style="position:absolute;left:0;text-align:left;margin-left:324.8pt;margin-top:7.4pt;width:99.75pt;height:31.35pt;z-index:252199424" filled="f" stroked="f">
          <v:textbox style="mso-next-textbox:#_x0000_s4017">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19" type="#_x0000_t75" style="position:absolute;left:0;text-align:left;margin-left:62.55pt;margin-top:3.1pt;width:359.1pt;height:44.85pt;z-index:-251115008;mso-wrap-edited:f" wrapcoords="709 4393 473 10251 709 16108 709 16841 20851 16841 20891 16108 21088 10251 20851 4393 709 4393">
          <v:imagedata r:id="rId1" o:title="haut"/>
          <w10:wrap anchorx="page"/>
        </v:shape>
      </w:pict>
    </w:r>
    <w:r>
      <w:rPr>
        <w:noProof/>
        <w:rtl/>
        <w:lang w:val="en-US"/>
      </w:rPr>
      <w:pict>
        <v:shape id="_x0000_s4020" type="#_x0000_t75" style="position:absolute;left:0;text-align:left;margin-left:-10.95pt;margin-top:-1.15pt;width:91.2pt;height:56.1pt;z-index:252202496">
          <v:imagedata r:id="rId2" o:title="hichemil1"/>
          <w10:wrap anchorx="page"/>
        </v:shape>
      </w:pict>
    </w: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F0471F">
    <w:pPr>
      <w:pStyle w:val="a3"/>
      <w:framePr w:wrap="around" w:vAnchor="text" w:hAnchor="page" w:x="1816" w:y="342"/>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1222</w:t>
    </w:r>
    <w:r>
      <w:rPr>
        <w:rStyle w:val="a5"/>
        <w:rtl/>
      </w:rPr>
      <w:fldChar w:fldCharType="end"/>
    </w:r>
  </w:p>
  <w:p w:rsidR="00035BE3" w:rsidRDefault="00035BE3" w:rsidP="00F0471F">
    <w:pPr>
      <w:pStyle w:val="a3"/>
      <w:ind w:right="360"/>
      <w:rPr>
        <w:rtl/>
      </w:rPr>
    </w:pPr>
    <w:r>
      <w:rPr>
        <w:noProof/>
        <w:rtl/>
        <w:lang w:val="en-US"/>
      </w:rPr>
      <w:pict>
        <v:shapetype id="_x0000_t202" coordsize="21600,21600" o:spt="202" path="m,l,21600r21600,l21600,xe">
          <v:stroke joinstyle="miter"/>
          <v:path gradientshapeok="t" o:connecttype="rect"/>
        </v:shapetype>
        <v:shape id="_x0000_s4034" type="#_x0000_t202" style="position:absolute;left:0;text-align:left;margin-left:104.25pt;margin-top:11.1pt;width:217.7pt;height:34.2pt;z-index:252212736" filled="f" stroked="f">
          <v:textbox style="mso-next-textbox:#_x0000_s4034">
            <w:txbxContent>
              <w:p w:rsidR="00035BE3" w:rsidRPr="00E96EF5" w:rsidRDefault="00035BE3" w:rsidP="00A86736">
                <w:pPr>
                  <w:ind w:firstLine="0"/>
                  <w:rPr>
                    <w:rFonts w:cs="AL-Mateen"/>
                    <w:sz w:val="23"/>
                    <w:szCs w:val="23"/>
                    <w:rtl/>
                  </w:rPr>
                </w:pPr>
                <w:r w:rsidRPr="00A86736">
                  <w:rPr>
                    <w:rFonts w:cs="AL-Mateen" w:hint="cs"/>
                    <w:sz w:val="24"/>
                    <w:szCs w:val="24"/>
                    <w:rtl/>
                    <w:lang w:bidi="ar-AE"/>
                  </w:rPr>
                  <w:t>فهرس القواعد التي درسها المؤلف</w:t>
                </w:r>
              </w:p>
            </w:txbxContent>
          </v:textbox>
          <w10:wrap anchorx="page"/>
        </v:shape>
      </w:pict>
    </w:r>
    <w:r>
      <w:rPr>
        <w:noProof/>
        <w:rtl/>
        <w:lang w:val="en-US"/>
      </w:rPr>
      <w:pict>
        <v:shape id="_x0000_s4033" type="#_x0000_t202" style="position:absolute;left:0;text-align:left;margin-left:324.8pt;margin-top:7.4pt;width:99.75pt;height:31.35pt;z-index:252211712" filled="f" stroked="f">
          <v:textbox style="mso-next-textbox:#_x0000_s4033">
            <w:txbxContent>
              <w:p w:rsidR="00035BE3" w:rsidRPr="00E96EF5" w:rsidRDefault="00035BE3">
                <w:pPr>
                  <w:ind w:firstLine="0"/>
                  <w:jc w:val="center"/>
                  <w:rPr>
                    <w:rFonts w:cs="AL-Mateen"/>
                    <w:sz w:val="28"/>
                    <w:szCs w:val="28"/>
                    <w:rtl/>
                  </w:rPr>
                </w:pPr>
                <w:r w:rsidRPr="00E96EF5">
                  <w:rPr>
                    <w:rFonts w:cs="AL-Mateen" w:hint="cs"/>
                    <w:sz w:val="28"/>
                    <w:szCs w:val="28"/>
                    <w:rtl/>
                  </w:rPr>
                  <w:t>ترتيب اللآلي</w:t>
                </w:r>
              </w:p>
            </w:txbxContent>
          </v:textbox>
          <w10:wrap anchorx="page"/>
        </v:shape>
      </w:pict>
    </w: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35" type="#_x0000_t75" style="position:absolute;left:0;text-align:left;margin-left:62.55pt;margin-top:3.1pt;width:359.1pt;height:44.85pt;z-index:-251102720;mso-wrap-edited:f" wrapcoords="709 4393 473 10251 709 16108 709 16841 20851 16841 20891 16108 21088 10251 20851 4393 709 4393">
          <v:imagedata r:id="rId1" o:title="haut"/>
          <w10:wrap anchorx="page"/>
        </v:shape>
      </w:pict>
    </w:r>
    <w:r>
      <w:rPr>
        <w:noProof/>
        <w:rtl/>
        <w:lang w:val="en-US"/>
      </w:rPr>
      <w:pict>
        <v:shape id="_x0000_s4036" type="#_x0000_t75" style="position:absolute;left:0;text-align:left;margin-left:-10.95pt;margin-top:-1.15pt;width:91.2pt;height:56.1pt;z-index:252214784">
          <v:imagedata r:id="rId2" o:title="hichemil1"/>
          <w10:wrap anchorx="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291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04" type="#_x0000_t75" style="position:absolute;left:0;text-align:left;margin-left:-10.95pt;margin-top:-4pt;width:91.2pt;height:56.1pt;z-index:2511825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02" type="#_x0000_t202" style="position:absolute;left:0;text-align:left;margin-left:93.95pt;margin-top:9.1pt;width:228pt;height:34.2pt;z-index:251180544" filled="f" stroked="f">
          <v:textbox style="mso-next-textbox:#_x0000_s3002">
            <w:txbxContent>
              <w:p w:rsidR="00035BE3" w:rsidRPr="00BD653D" w:rsidRDefault="00035BE3">
                <w:pPr>
                  <w:ind w:firstLine="0"/>
                  <w:rPr>
                    <w:rFonts w:cs="AL-Mateen"/>
                    <w:sz w:val="24"/>
                    <w:szCs w:val="24"/>
                    <w:rtl/>
                  </w:rPr>
                </w:pPr>
                <w:r w:rsidRPr="00BD653D">
                  <w:rPr>
                    <w:rFonts w:cs="AL-Mateen" w:hint="cs"/>
                    <w:sz w:val="24"/>
                    <w:szCs w:val="24"/>
                    <w:rtl/>
                  </w:rPr>
                  <w:t>ق15 :  إذَا تَعَارَضَ المَفَسَدَتَانِ : رُوعِي أعظَمُهُما ضررًا بارتكاب ...</w:t>
                </w:r>
              </w:p>
            </w:txbxContent>
          </v:textbox>
          <w10:wrap anchorx="page"/>
        </v:shape>
      </w:pict>
    </w:r>
    <w:r>
      <w:rPr>
        <w:noProof/>
        <w:rtl/>
        <w:lang w:val="en-US"/>
      </w:rPr>
      <w:pict>
        <v:shape id="_x0000_s3001" type="#_x0000_t202" style="position:absolute;left:0;text-align:left;margin-left:324.8pt;margin-top:3.7pt;width:99.75pt;height:31.35pt;z-index:251179520" filled="f" stroked="f">
          <v:textbox style="mso-next-textbox:#_x0000_s3001">
            <w:txbxContent>
              <w:p w:rsidR="00035BE3" w:rsidRPr="00BD653D" w:rsidRDefault="00035BE3">
                <w:pPr>
                  <w:ind w:firstLine="0"/>
                  <w:jc w:val="center"/>
                  <w:rPr>
                    <w:rFonts w:cs="AL-Mateen"/>
                    <w:sz w:val="28"/>
                    <w:szCs w:val="28"/>
                    <w:rtl/>
                  </w:rPr>
                </w:pPr>
                <w:r w:rsidRPr="00BD653D">
                  <w:rPr>
                    <w:rFonts w:cs="AL-Mateen" w:hint="cs"/>
                    <w:sz w:val="28"/>
                    <w:szCs w:val="28"/>
                    <w:rtl/>
                  </w:rPr>
                  <w:t>ترتيب اللآلي</w:t>
                </w:r>
              </w:p>
            </w:txbxContent>
          </v:textbox>
          <w10:wrap anchorx="page"/>
        </v:shape>
      </w:pict>
    </w:r>
    <w:r>
      <w:rPr>
        <w:noProof/>
        <w:rtl/>
        <w:lang w:val="en-US"/>
      </w:rPr>
      <w:pict>
        <v:shape id="_x0000_s3003" type="#_x0000_t75" style="position:absolute;left:0;text-align:left;margin-left:62.55pt;margin-top:.55pt;width:359.1pt;height:44.85pt;z-index:-252134912;mso-wrap-edited:f" wrapcoords="709 4393 473 10251 709 16108 709 16841 20851 16841 20891 16108 21088 10251 20851 4393 709 4393">
          <v:imagedata r:id="rId2" o:title="haut"/>
          <w10:wrap anchorx="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DB59CC">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DB59CC">
    <w:pPr>
      <w:pStyle w:val="a3"/>
      <w:ind w:right="36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930"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296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08" type="#_x0000_t75" style="position:absolute;left:0;text-align:left;margin-left:-11.8pt;margin-top:-2pt;width:91.2pt;height:56.1pt;z-index:2511866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06" type="#_x0000_t202" style="position:absolute;left:0;text-align:left;margin-left:144.4pt;margin-top:10.25pt;width:176.8pt;height:34.2pt;z-index:251184640" filled="f" stroked="f">
          <v:textbox style="mso-next-textbox:#_x0000_s3006">
            <w:txbxContent>
              <w:p w:rsidR="00035BE3" w:rsidRPr="007073D0" w:rsidRDefault="00035BE3">
                <w:pPr>
                  <w:ind w:firstLine="0"/>
                  <w:rPr>
                    <w:rFonts w:cs="AL-Mateen"/>
                    <w:sz w:val="24"/>
                    <w:szCs w:val="24"/>
                    <w:rtl/>
                  </w:rPr>
                </w:pPr>
                <w:r w:rsidRPr="007073D0">
                  <w:rPr>
                    <w:rFonts w:cs="AL-Mateen" w:hint="cs"/>
                    <w:sz w:val="24"/>
                    <w:szCs w:val="24"/>
                    <w:rtl/>
                  </w:rPr>
                  <w:t>ق16 :  إذا اجتَمَعَ الحلالُ والحَرَامُ غُلِّبَ الحَرَامُ.</w:t>
                </w:r>
              </w:p>
            </w:txbxContent>
          </v:textbox>
          <w10:wrap anchorx="page"/>
        </v:shape>
      </w:pict>
    </w:r>
    <w:r>
      <w:rPr>
        <w:noProof/>
        <w:rtl/>
        <w:lang w:val="en-US"/>
      </w:rPr>
      <w:pict>
        <v:shape id="_x0000_s3005" type="#_x0000_t202" style="position:absolute;left:0;text-align:left;margin-left:326.8pt;margin-top:6.25pt;width:99.75pt;height:31.35pt;z-index:251183616" filled="f" stroked="f">
          <v:textbox style="mso-next-textbox:#_x0000_s3005">
            <w:txbxContent>
              <w:p w:rsidR="00035BE3" w:rsidRPr="007073D0" w:rsidRDefault="00035BE3">
                <w:pPr>
                  <w:ind w:firstLine="0"/>
                  <w:jc w:val="center"/>
                  <w:rPr>
                    <w:rFonts w:cs="AL-Mateen"/>
                    <w:sz w:val="28"/>
                    <w:szCs w:val="28"/>
                    <w:rtl/>
                  </w:rPr>
                </w:pPr>
                <w:r w:rsidRPr="007073D0">
                  <w:rPr>
                    <w:rFonts w:cs="AL-Mateen" w:hint="cs"/>
                    <w:sz w:val="28"/>
                    <w:szCs w:val="28"/>
                    <w:rtl/>
                  </w:rPr>
                  <w:t>ترتيب اللآلي</w:t>
                </w:r>
              </w:p>
            </w:txbxContent>
          </v:textbox>
          <w10:wrap anchorx="page"/>
        </v:shape>
      </w:pict>
    </w:r>
    <w:r>
      <w:rPr>
        <w:noProof/>
        <w:rtl/>
        <w:lang w:val="en-US"/>
      </w:rPr>
      <w:pict>
        <v:shape id="_x0000_s3007" type="#_x0000_t75" style="position:absolute;left:0;text-align:left;margin-left:61.7pt;margin-top:2.3pt;width:359.1pt;height:44.85pt;z-index:-252130816;mso-wrap-edited:f" wrapcoords="709 4393 473 10251 709 16108 709 16841 20851 16841 20891 16108 21088 10251 20851 4393 709 4393">
          <v:imagedata r:id="rId2" o:title="haut"/>
          <w10:wrap anchorx="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298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12" type="#_x0000_t75" style="position:absolute;left:0;text-align:left;margin-left:-11.8pt;margin-top:-3.15pt;width:91.2pt;height:56.1pt;z-index:2511907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10" type="#_x0000_t202" style="position:absolute;left:0;text-align:left;margin-left:150pt;margin-top:8.25pt;width:171.1pt;height:34.2pt;z-index:251188736" filled="f" stroked="f">
          <v:textbox style="mso-next-textbox:#_x0000_s3010">
            <w:txbxContent>
              <w:p w:rsidR="00035BE3" w:rsidRPr="006938B7" w:rsidRDefault="00035BE3">
                <w:pPr>
                  <w:ind w:firstLine="0"/>
                  <w:rPr>
                    <w:rFonts w:cs="AL-Mateen"/>
                    <w:sz w:val="24"/>
                    <w:szCs w:val="24"/>
                    <w:rtl/>
                  </w:rPr>
                </w:pPr>
                <w:r w:rsidRPr="006938B7">
                  <w:rPr>
                    <w:rFonts w:cs="AL-Mateen" w:hint="cs"/>
                    <w:sz w:val="24"/>
                    <w:szCs w:val="24"/>
                    <w:rtl/>
                  </w:rPr>
                  <w:t>ق17 :  الأَسْبَابُ مطلوبةٌ للأحكامِ، لا لأعيَانِها.</w:t>
                </w:r>
              </w:p>
            </w:txbxContent>
          </v:textbox>
          <w10:wrap anchorx="page"/>
        </v:shape>
      </w:pict>
    </w:r>
    <w:r>
      <w:rPr>
        <w:noProof/>
        <w:rtl/>
        <w:lang w:val="en-US"/>
      </w:rPr>
      <w:pict>
        <v:shape id="_x0000_s3009" type="#_x0000_t202" style="position:absolute;left:0;text-align:left;margin-left:323.65pt;margin-top:5.4pt;width:99.75pt;height:31.35pt;z-index:251187712" filled="f" stroked="f">
          <v:textbox style="mso-next-textbox:#_x0000_s3009">
            <w:txbxContent>
              <w:p w:rsidR="00035BE3" w:rsidRPr="006938B7" w:rsidRDefault="00035BE3">
                <w:pPr>
                  <w:ind w:firstLine="0"/>
                  <w:jc w:val="center"/>
                  <w:rPr>
                    <w:rFonts w:cs="AL-Mateen"/>
                    <w:sz w:val="28"/>
                    <w:szCs w:val="28"/>
                    <w:rtl/>
                  </w:rPr>
                </w:pPr>
                <w:r w:rsidRPr="006938B7">
                  <w:rPr>
                    <w:rFonts w:cs="AL-Mateen" w:hint="cs"/>
                    <w:sz w:val="28"/>
                    <w:szCs w:val="28"/>
                    <w:rtl/>
                  </w:rPr>
                  <w:t>ترتيب اللآلي</w:t>
                </w:r>
              </w:p>
            </w:txbxContent>
          </v:textbox>
          <w10:wrap anchorx="page"/>
        </v:shape>
      </w:pict>
    </w:r>
    <w:r>
      <w:rPr>
        <w:noProof/>
        <w:rtl/>
        <w:lang w:val="en-US"/>
      </w:rPr>
      <w:pict>
        <v:shape id="_x0000_s3011" type="#_x0000_t75" style="position:absolute;left:0;text-align:left;margin-left:62.55pt;margin-top:1.4pt;width:359.1pt;height:44.85pt;z-index:-252126720;mso-wrap-edited:f" wrapcoords="709 4393 473 10251 709 16108 709 16841 20851 16841 20891 16108 21088 10251 20851 4393 709 4393">
          <v:imagedata r:id="rId2" o:title="haut"/>
          <w10:wrap anchorx="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297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16" type="#_x0000_t75" style="position:absolute;left:0;text-align:left;margin-left:-11.8pt;margin-top:-4.3pt;width:91.2pt;height:56.1pt;z-index:2511948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14" type="#_x0000_t202" style="position:absolute;left:0;text-align:left;margin-left:170.9pt;margin-top:7.4pt;width:151.15pt;height:34.2pt;z-index:251192832" filled="f" stroked="f">
          <v:textbox style="mso-next-textbox:#_x0000_s3014">
            <w:txbxContent>
              <w:p w:rsidR="00035BE3" w:rsidRPr="00C019AA" w:rsidRDefault="00035BE3">
                <w:pPr>
                  <w:ind w:firstLine="0"/>
                  <w:rPr>
                    <w:rFonts w:cs="AL-Mateen"/>
                    <w:sz w:val="24"/>
                    <w:szCs w:val="24"/>
                    <w:rtl/>
                  </w:rPr>
                </w:pPr>
                <w:r w:rsidRPr="00C019AA">
                  <w:rPr>
                    <w:rFonts w:cs="AL-Mateen" w:hint="cs"/>
                    <w:sz w:val="24"/>
                    <w:szCs w:val="24"/>
                    <w:rtl/>
                  </w:rPr>
                  <w:t>ق18 :  الاسْتِثْنَاُء فِي المَقْصودِ لا التَّابِعِ.</w:t>
                </w:r>
              </w:p>
            </w:txbxContent>
          </v:textbox>
          <w10:wrap anchorx="page"/>
        </v:shape>
      </w:pict>
    </w:r>
    <w:r>
      <w:rPr>
        <w:noProof/>
        <w:rtl/>
        <w:lang w:val="en-US"/>
      </w:rPr>
      <w:pict>
        <v:shape id="_x0000_s3013" type="#_x0000_t202" style="position:absolute;left:0;text-align:left;margin-left:324.8pt;margin-top:3.4pt;width:99.75pt;height:31.35pt;z-index:251191808" filled="f" stroked="f">
          <v:textbox style="mso-next-textbox:#_x0000_s30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15" type="#_x0000_t75" style="position:absolute;left:0;text-align:left;margin-left:62.55pt;margin-top:.55pt;width:359.1pt;height:44.85pt;z-index:-252122624;mso-wrap-edited:f" wrapcoords="709 4393 473 10251 709 16108 709 16841 20851 16841 20891 16108 21088 10251 20851 4393 709 4393">
          <v:imagedata r:id="rId2" o:title="haut"/>
          <w10:wrap anchorx="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298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20" type="#_x0000_t75" style="position:absolute;left:0;text-align:left;margin-left:-11.8pt;margin-top:-4.3pt;width:91.2pt;height:56.1pt;z-index:2511989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18" type="#_x0000_t202" style="position:absolute;left:0;text-align:left;margin-left:170.9pt;margin-top:7.4pt;width:151.15pt;height:34.2pt;z-index:251196928" filled="f" stroked="f">
          <v:textbox style="mso-next-textbox:#_x0000_s3018">
            <w:txbxContent>
              <w:p w:rsidR="00035BE3" w:rsidRDefault="00035BE3" w:rsidP="00C10469">
                <w:pPr>
                  <w:ind w:firstLine="0"/>
                  <w:rPr>
                    <w:rFonts w:cs="Thick Naskh"/>
                    <w:sz w:val="24"/>
                    <w:szCs w:val="24"/>
                    <w:rtl/>
                  </w:rPr>
                </w:pPr>
                <w:r w:rsidRPr="00A95608">
                  <w:rPr>
                    <w:rFonts w:cs="AL-Mateen" w:hint="cs"/>
                    <w:sz w:val="24"/>
                    <w:szCs w:val="24"/>
                    <w:rtl/>
                  </w:rPr>
                  <w:t>ق19 :  الاسْتِـثْـنَاءُ المَعْلومُ بِدَلاَلَةِ الحَالِ كالاسْتِـثْـنَاءِ</w:t>
                </w:r>
                <w:r>
                  <w:rPr>
                    <w:rFonts w:cs="Thick Naskh" w:hint="cs"/>
                    <w:sz w:val="24"/>
                    <w:szCs w:val="24"/>
                    <w:rtl/>
                  </w:rPr>
                  <w:t xml:space="preserve"> ...</w:t>
                </w:r>
              </w:p>
              <w:p w:rsidR="00035BE3" w:rsidRPr="00C019AA" w:rsidRDefault="00035BE3">
                <w:pPr>
                  <w:ind w:firstLine="0"/>
                  <w:rPr>
                    <w:rFonts w:cs="AL-Mateen"/>
                    <w:sz w:val="24"/>
                    <w:szCs w:val="24"/>
                    <w:rtl/>
                  </w:rPr>
                </w:pPr>
              </w:p>
            </w:txbxContent>
          </v:textbox>
          <w10:wrap anchorx="page"/>
        </v:shape>
      </w:pict>
    </w:r>
    <w:r>
      <w:rPr>
        <w:noProof/>
        <w:rtl/>
        <w:lang w:val="en-US"/>
      </w:rPr>
      <w:pict>
        <v:shape id="_x0000_s3017" type="#_x0000_t202" style="position:absolute;left:0;text-align:left;margin-left:324.8pt;margin-top:3.4pt;width:99.75pt;height:31.35pt;z-index:251195904" filled="f" stroked="f">
          <v:textbox style="mso-next-textbox:#_x0000_s30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19" type="#_x0000_t75" style="position:absolute;left:0;text-align:left;margin-left:62.55pt;margin-top:.55pt;width:359.1pt;height:44.85pt;z-index:-252118528;mso-wrap-edited:f" wrapcoords="709 4393 473 10251 709 16108 709 16841 20851 16841 20891 16108 21088 10251 20851 4393 709 4393">
          <v:imagedata r:id="rId2" o:title="haut"/>
          <w10:wrap anchorx="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303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24" type="#_x0000_t75" style="position:absolute;left:0;text-align:left;margin-left:-11.8pt;margin-top:-4.3pt;width:91.2pt;height:56.1pt;z-index:2512030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22" type="#_x0000_t202" style="position:absolute;left:0;text-align:left;margin-left:170.9pt;margin-top:7.4pt;width:151.15pt;height:34.2pt;z-index:251201024" filled="f" stroked="f">
          <v:textbox style="mso-next-textbox:#_x0000_s3022">
            <w:txbxContent>
              <w:p w:rsidR="00035BE3" w:rsidRPr="00C019AA" w:rsidRDefault="00035BE3">
                <w:pPr>
                  <w:ind w:firstLine="0"/>
                  <w:rPr>
                    <w:rFonts w:cs="AL-Mateen"/>
                    <w:sz w:val="24"/>
                    <w:szCs w:val="24"/>
                    <w:rtl/>
                  </w:rPr>
                </w:pPr>
                <w:r w:rsidRPr="00612DE7">
                  <w:rPr>
                    <w:rFonts w:cs="AL-Mateen" w:hint="cs"/>
                    <w:sz w:val="24"/>
                    <w:szCs w:val="24"/>
                    <w:rtl/>
                  </w:rPr>
                  <w:t>ق20 :  الاستثناءُ تكلُّمٌ بالبَاقِي.</w:t>
                </w:r>
              </w:p>
            </w:txbxContent>
          </v:textbox>
          <w10:wrap anchorx="page"/>
        </v:shape>
      </w:pict>
    </w:r>
    <w:r>
      <w:rPr>
        <w:noProof/>
        <w:rtl/>
        <w:lang w:val="en-US"/>
      </w:rPr>
      <w:pict>
        <v:shape id="_x0000_s3021" type="#_x0000_t202" style="position:absolute;left:0;text-align:left;margin-left:324.8pt;margin-top:3.4pt;width:99.75pt;height:31.35pt;z-index:251200000" filled="f" stroked="f">
          <v:textbox style="mso-next-textbox:#_x0000_s30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23" type="#_x0000_t75" style="position:absolute;left:0;text-align:left;margin-left:62.55pt;margin-top:.55pt;width:359.1pt;height:44.85pt;z-index:-252114432;mso-wrap-edited:f" wrapcoords="709 4393 473 10251 709 16108 709 16841 20851 16841 20891 16108 21088 10251 20851 4393 709 4393">
          <v:imagedata r:id="rId2" o:title="haut"/>
          <w10:wrap anchorx="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305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28" type="#_x0000_t75" style="position:absolute;left:0;text-align:left;margin-left:-11.8pt;margin-top:-4.3pt;width:91.2pt;height:56.1pt;z-index:2512071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26" type="#_x0000_t202" style="position:absolute;left:0;text-align:left;margin-left:170.9pt;margin-top:7.4pt;width:151.15pt;height:34.2pt;z-index:251205120" filled="f" stroked="f">
          <v:textbox style="mso-next-textbox:#_x0000_s3026">
            <w:txbxContent>
              <w:p w:rsidR="00035BE3" w:rsidRPr="00C019AA" w:rsidRDefault="00035BE3" w:rsidP="00C10469">
                <w:pPr>
                  <w:ind w:firstLine="0"/>
                  <w:rPr>
                    <w:rFonts w:cs="AL-Mateen"/>
                    <w:sz w:val="24"/>
                    <w:szCs w:val="24"/>
                    <w:rtl/>
                  </w:rPr>
                </w:pPr>
                <w:r w:rsidRPr="001502AF">
                  <w:rPr>
                    <w:rFonts w:cs="AL-Mateen" w:hint="cs"/>
                    <w:sz w:val="23"/>
                    <w:szCs w:val="23"/>
                    <w:rtl/>
                  </w:rPr>
                  <w:t>ق21 :  اسْتِدَامَةُ الشَّيءِ تُعْتَبَرُ بِأَصْلِه.</w:t>
                </w:r>
              </w:p>
            </w:txbxContent>
          </v:textbox>
          <w10:wrap anchorx="page"/>
        </v:shape>
      </w:pict>
    </w:r>
    <w:r>
      <w:rPr>
        <w:noProof/>
        <w:rtl/>
        <w:lang w:val="en-US"/>
      </w:rPr>
      <w:pict>
        <v:shape id="_x0000_s3025" type="#_x0000_t202" style="position:absolute;left:0;text-align:left;margin-left:324.8pt;margin-top:3.4pt;width:99.75pt;height:31.35pt;z-index:251204096" filled="f" stroked="f">
          <v:textbox style="mso-next-textbox:#_x0000_s30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27" type="#_x0000_t75" style="position:absolute;left:0;text-align:left;margin-left:62.55pt;margin-top:.55pt;width:359.1pt;height:44.85pt;z-index:-252110336;mso-wrap-edited:f" wrapcoords="709 4393 473 10251 709 16108 709 16841 20851 16841 20891 16108 21088 10251 20851 4393 709 4393">
          <v:imagedata r:id="rId2" o:title="haut"/>
          <w10:wrap anchorx="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DB59CC">
    <w:pPr>
      <w:pStyle w:val="a3"/>
      <w:framePr w:wrap="around" w:vAnchor="text" w:hAnchor="page" w:x="2158"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14</w:t>
    </w:r>
    <w:r>
      <w:rPr>
        <w:rStyle w:val="a5"/>
        <w:rtl/>
      </w:rPr>
      <w:fldChar w:fldCharType="end"/>
    </w:r>
  </w:p>
  <w:p w:rsidR="00035BE3" w:rsidRDefault="00035BE3" w:rsidP="00DB59CC">
    <w:pPr>
      <w:pStyle w:val="a3"/>
      <w:ind w:right="360"/>
      <w:rPr>
        <w:rtl/>
      </w:rPr>
    </w:pPr>
    <w:r>
      <w:rPr>
        <w:noProof/>
        <w:rtl/>
        <w:lang w:val="en-US"/>
      </w:rPr>
      <w:drawing>
        <wp:anchor distT="0" distB="0" distL="114300" distR="114300" simplePos="0" relativeHeight="251102720" behindDoc="0" locked="0" layoutInCell="1" allowOverlap="1">
          <wp:simplePos x="0" y="0"/>
          <wp:positionH relativeFrom="column">
            <wp:posOffset>-127000</wp:posOffset>
          </wp:positionH>
          <wp:positionV relativeFrom="paragraph">
            <wp:posOffset>-54610</wp:posOffset>
          </wp:positionV>
          <wp:extent cx="1158240" cy="712470"/>
          <wp:effectExtent l="0" t="0" r="0" b="0"/>
          <wp:wrapNone/>
          <wp:docPr id="98" name="صورة 98" descr="hiche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hemi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en-US"/>
      </w:rPr>
      <mc:AlternateContent>
        <mc:Choice Requires="wps">
          <w:drawing>
            <wp:anchor distT="0" distB="0" distL="114300" distR="114300" simplePos="0" relativeHeight="251103744" behindDoc="0" locked="0" layoutInCell="1" allowOverlap="1">
              <wp:simplePos x="0" y="0"/>
              <wp:positionH relativeFrom="column">
                <wp:posOffset>2449830</wp:posOffset>
              </wp:positionH>
              <wp:positionV relativeFrom="paragraph">
                <wp:posOffset>68580</wp:posOffset>
              </wp:positionV>
              <wp:extent cx="1719580" cy="43434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pPr>
                            <w:ind w:firstLine="0"/>
                            <w:rPr>
                              <w:rFonts w:cs="AL-Mateen"/>
                              <w:sz w:val="28"/>
                              <w:szCs w:val="28"/>
                              <w:rtl/>
                              <w:lang w:bidi="ar-AE"/>
                            </w:rPr>
                          </w:pPr>
                          <w:r w:rsidRPr="00502EBE">
                            <w:rPr>
                              <w:rFonts w:cs="AL-Mateen" w:hint="cs"/>
                              <w:sz w:val="28"/>
                              <w:szCs w:val="28"/>
                              <w:rtl/>
                              <w:lang w:bidi="ar-AE"/>
                            </w:rPr>
                            <w:t>الـــمــــقــــدمــــة.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 o:spid="_x0000_s1026" type="#_x0000_t202" style="position:absolute;left:0;text-align:left;margin-left:192.9pt;margin-top:5.4pt;width:135.4pt;height:34.2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" filled="f" stroked="f">
              <v:textbox>
                <w:txbxContent>
                  <w:p w:rsidR="00035BE3" w:rsidRPr="00502EBE" w:rsidRDefault="00035BE3">
                    <w:pPr>
                      <w:ind w:firstLine="0"/>
                      <w:rPr>
                        <w:rFonts w:cs="AL-Mateen"/>
                        <w:sz w:val="28"/>
                        <w:szCs w:val="28"/>
                        <w:rtl/>
                        <w:lang w:bidi="ar-AE"/>
                      </w:rPr>
                    </w:pPr>
                    <w:r w:rsidRPr="00502EBE">
                      <w:rPr>
                        <w:rFonts w:cs="AL-Mateen" w:hint="cs"/>
                        <w:sz w:val="28"/>
                        <w:szCs w:val="28"/>
                        <w:rtl/>
                        <w:lang w:bidi="ar-AE"/>
                      </w:rPr>
                      <w:t>الـــمــــقــــدمــــة.</w:t>
                    </w:r>
                  </w:p>
                </w:txbxContent>
              </v:textbox>
            </v:shape>
          </w:pict>
        </mc:Fallback>
      </mc:AlternateContent>
    </w:r>
    <w:r>
      <w:rPr>
        <w:noProof/>
        <w:rtl/>
        <w:lang w:val="en-US"/>
      </w:rPr>
      <mc:AlternateContent>
        <mc:Choice Requires="wps">
          <w:drawing>
            <wp:anchor distT="0" distB="0" distL="114300" distR="114300" simplePos="0" relativeHeight="251101696" behindDoc="0" locked="0" layoutInCell="1" allowOverlap="1">
              <wp:simplePos x="0" y="0"/>
              <wp:positionH relativeFrom="column">
                <wp:posOffset>4216400</wp:posOffset>
              </wp:positionH>
              <wp:positionV relativeFrom="paragraph">
                <wp:posOffset>68580</wp:posOffset>
              </wp:positionV>
              <wp:extent cx="1266825" cy="398145"/>
              <wp:effectExtent l="0" t="0"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pPr>
                            <w:ind w:firstLine="0"/>
                            <w:jc w:val="center"/>
                            <w:rPr>
                              <w:rFonts w:cs="AL-Mateen"/>
                              <w:sz w:val="28"/>
                              <w:szCs w:val="28"/>
                              <w:rtl/>
                              <w:lang w:bidi="ar-AE"/>
                            </w:rPr>
                          </w:pPr>
                          <w:r w:rsidRPr="00502EBE">
                            <w:rPr>
                              <w:rFonts w:cs="AL-Mateen" w:hint="cs"/>
                              <w:sz w:val="28"/>
                              <w:szCs w:val="28"/>
                              <w:rtl/>
                              <w:lang w:bidi="ar-AE"/>
                            </w:rPr>
                            <w:t>القسم الدراسي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 o:spid="_x0000_s1027" type="#_x0000_t202" style="position:absolute;left:0;text-align:left;margin-left:332pt;margin-top:5.4pt;width:99.75pt;height:31.3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" filled="f" stroked="f">
              <v:textbox>
                <w:txbxContent>
                  <w:p w:rsidR="00035BE3" w:rsidRPr="00502EBE" w:rsidRDefault="00035BE3">
                    <w:pPr>
                      <w:ind w:firstLine="0"/>
                      <w:jc w:val="center"/>
                      <w:rPr>
                        <w:rFonts w:cs="AL-Mateen"/>
                        <w:sz w:val="28"/>
                        <w:szCs w:val="28"/>
                        <w:rtl/>
                        <w:lang w:bidi="ar-AE"/>
                      </w:rPr>
                    </w:pPr>
                    <w:r w:rsidRPr="00502EBE">
                      <w:rPr>
                        <w:rFonts w:cs="AL-Mateen" w:hint="cs"/>
                        <w:sz w:val="28"/>
                        <w:szCs w:val="28"/>
                        <w:rtl/>
                        <w:lang w:bidi="ar-AE"/>
                      </w:rPr>
                      <w:t>القسم الدراسي</w:t>
                    </w:r>
                  </w:p>
                </w:txbxContent>
              </v:textbox>
            </v:shape>
          </w:pict>
        </mc:Fallback>
      </mc:AlternateContent>
    </w:r>
    <w:r>
      <w:rPr>
        <w:noProof/>
        <w:rtl/>
        <w:lang w:val="en-US"/>
      </w:rPr>
      <w:drawing>
        <wp:anchor distT="0" distB="0" distL="114300" distR="114300" simplePos="0" relativeHeight="251104768" behindDoc="1" locked="0" layoutInCell="1" allowOverlap="1">
          <wp:simplePos x="0" y="0"/>
          <wp:positionH relativeFrom="column">
            <wp:posOffset>792480</wp:posOffset>
          </wp:positionH>
          <wp:positionV relativeFrom="paragraph">
            <wp:posOffset>-3175</wp:posOffset>
          </wp:positionV>
          <wp:extent cx="4679950" cy="569595"/>
          <wp:effectExtent l="0" t="0" r="0" b="0"/>
          <wp:wrapNone/>
          <wp:docPr id="99" name="صورة 99" descr="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u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0" cy="569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308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32" type="#_x0000_t75" style="position:absolute;left:0;text-align:left;margin-left:-11.8pt;margin-top:-4.3pt;width:91.2pt;height:56.1pt;z-index:2512112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30" type="#_x0000_t202" style="position:absolute;left:0;text-align:left;margin-left:170.9pt;margin-top:7.4pt;width:151.15pt;height:34.2pt;z-index:251209216" filled="f" stroked="f">
          <v:textbox style="mso-next-textbox:#_x0000_s3030">
            <w:txbxContent>
              <w:p w:rsidR="00035BE3" w:rsidRPr="00C019AA" w:rsidRDefault="00035BE3" w:rsidP="00C10469">
                <w:pPr>
                  <w:ind w:firstLine="0"/>
                  <w:rPr>
                    <w:rFonts w:cs="AL-Mateen"/>
                    <w:sz w:val="24"/>
                    <w:szCs w:val="24"/>
                    <w:rtl/>
                  </w:rPr>
                </w:pPr>
                <w:r w:rsidRPr="005A01F4">
                  <w:rPr>
                    <w:rFonts w:cs="AL-Mateen" w:hint="cs"/>
                    <w:sz w:val="23"/>
                    <w:szCs w:val="23"/>
                    <w:rtl/>
                  </w:rPr>
                  <w:t>ق22 :  الاسْتِصْحَابُ حُجَّةٌ دَافِعَةٌ لامُثْبِتَةٌ.</w:t>
                </w:r>
              </w:p>
            </w:txbxContent>
          </v:textbox>
          <w10:wrap anchorx="page"/>
        </v:shape>
      </w:pict>
    </w:r>
    <w:r>
      <w:rPr>
        <w:noProof/>
        <w:rtl/>
        <w:lang w:val="en-US"/>
      </w:rPr>
      <w:pict>
        <v:shape id="_x0000_s3029" type="#_x0000_t202" style="position:absolute;left:0;text-align:left;margin-left:324.8pt;margin-top:3.4pt;width:99.75pt;height:31.35pt;z-index:251208192" filled="f" stroked="f">
          <v:textbox style="mso-next-textbox:#_x0000_s30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31" type="#_x0000_t75" style="position:absolute;left:0;text-align:left;margin-left:62.55pt;margin-top:.55pt;width:359.1pt;height:44.85pt;z-index:-252106240;mso-wrap-edited:f" wrapcoords="709 4393 473 10251 709 16108 709 16841 20851 16841 20891 16108 21088 10251 20851 4393 709 4393">
          <v:imagedata r:id="rId2" o:title="haut"/>
          <w10:wrap anchorx="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310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36" type="#_x0000_t75" style="position:absolute;left:0;text-align:left;margin-left:-11.8pt;margin-top:-4.3pt;width:91.2pt;height:56.1pt;z-index:2512153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34" type="#_x0000_t202" style="position:absolute;left:0;text-align:left;margin-left:170.9pt;margin-top:7.4pt;width:151.15pt;height:34.2pt;z-index:251213312" filled="f" stroked="f">
          <v:textbox style="mso-next-textbox:#_x0000_s3034">
            <w:txbxContent>
              <w:p w:rsidR="00035BE3" w:rsidRPr="00C019AA" w:rsidRDefault="00035BE3" w:rsidP="00C10469">
                <w:pPr>
                  <w:ind w:firstLine="0"/>
                  <w:rPr>
                    <w:rFonts w:cs="AL-Mateen"/>
                    <w:sz w:val="24"/>
                    <w:szCs w:val="24"/>
                    <w:rtl/>
                  </w:rPr>
                </w:pPr>
                <w:r w:rsidRPr="001355AE">
                  <w:rPr>
                    <w:rFonts w:cs="AL-Mateen" w:hint="cs"/>
                    <w:sz w:val="23"/>
                    <w:szCs w:val="23"/>
                    <w:rtl/>
                  </w:rPr>
                  <w:t>ق23 : الإِشَارَةُ إِنَّما تَقُومُ مَقَامَ العَبَارَةِ إِذَا كانَتْ مَعْهُودَةً</w:t>
                </w:r>
              </w:p>
            </w:txbxContent>
          </v:textbox>
          <w10:wrap anchorx="page"/>
        </v:shape>
      </w:pict>
    </w:r>
    <w:r>
      <w:rPr>
        <w:noProof/>
        <w:rtl/>
        <w:lang w:val="en-US"/>
      </w:rPr>
      <w:pict>
        <v:shape id="_x0000_s3033" type="#_x0000_t202" style="position:absolute;left:0;text-align:left;margin-left:324.8pt;margin-top:3.4pt;width:99.75pt;height:31.35pt;z-index:251212288" filled="f" stroked="f">
          <v:textbox style="mso-next-textbox:#_x0000_s30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35" type="#_x0000_t75" style="position:absolute;left:0;text-align:left;margin-left:62.55pt;margin-top:.55pt;width:359.1pt;height:44.85pt;z-index:-252102144;mso-wrap-edited:f" wrapcoords="709 4393 473 10251 709 16108 709 16841 20851 16841 20891 16108 21088 10251 20851 4393 709 4393">
          <v:imagedata r:id="rId2" o:title="haut"/>
          <w10:wrap anchorx="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313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44" type="#_x0000_t75" style="position:absolute;left:0;text-align:left;margin-left:-11.8pt;margin-top:-4.3pt;width:91.2pt;height:56.1pt;z-index:2512235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42" type="#_x0000_t202" style="position:absolute;left:0;text-align:left;margin-left:170.9pt;margin-top:7.4pt;width:151.15pt;height:34.2pt;z-index:251221504" filled="f" stroked="f">
          <v:textbox style="mso-next-textbox:#_x0000_s3042">
            <w:txbxContent>
              <w:p w:rsidR="00035BE3" w:rsidRPr="00C019AA" w:rsidRDefault="00035BE3" w:rsidP="00C10469">
                <w:pPr>
                  <w:ind w:firstLine="0"/>
                  <w:rPr>
                    <w:rFonts w:cs="AL-Mateen"/>
                    <w:sz w:val="24"/>
                    <w:szCs w:val="24"/>
                    <w:rtl/>
                  </w:rPr>
                </w:pPr>
                <w:r w:rsidRPr="00F62417">
                  <w:rPr>
                    <w:rFonts w:cs="AL-Mateen" w:hint="cs"/>
                    <w:sz w:val="24"/>
                    <w:szCs w:val="24"/>
                    <w:rtl/>
                  </w:rPr>
                  <w:t>ق24 :  الأشـدُّ يُزالُ بالأخف.</w:t>
                </w:r>
              </w:p>
            </w:txbxContent>
          </v:textbox>
          <w10:wrap anchorx="page"/>
        </v:shape>
      </w:pict>
    </w:r>
    <w:r>
      <w:rPr>
        <w:noProof/>
        <w:rtl/>
        <w:lang w:val="en-US"/>
      </w:rPr>
      <w:pict>
        <v:shape id="_x0000_s3041" type="#_x0000_t202" style="position:absolute;left:0;text-align:left;margin-left:324.8pt;margin-top:3.4pt;width:99.75pt;height:31.35pt;z-index:251220480" filled="f" stroked="f">
          <v:textbox style="mso-next-textbox:#_x0000_s30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43" type="#_x0000_t75" style="position:absolute;left:0;text-align:left;margin-left:62.55pt;margin-top:.55pt;width:359.1pt;height:44.85pt;z-index:-252093952;mso-wrap-edited:f" wrapcoords="709 4393 473 10251 709 16108 709 16841 20851 16841 20891 16108 21088 10251 20851 4393 709 4393">
          <v:imagedata r:id="rId2" o:title="haut"/>
          <w10:wrap anchorx="page"/>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316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40" type="#_x0000_t75" style="position:absolute;left:0;text-align:left;margin-left:-11.8pt;margin-top:-4.3pt;width:91.2pt;height:56.1pt;z-index:2512194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38" type="#_x0000_t202" style="position:absolute;left:0;text-align:left;margin-left:170.9pt;margin-top:7.4pt;width:151.15pt;height:34.2pt;z-index:251217408" filled="f" stroked="f">
          <v:textbox style="mso-next-textbox:#_x0000_s3038">
            <w:txbxContent>
              <w:p w:rsidR="00035BE3" w:rsidRPr="00C019AA" w:rsidRDefault="00035BE3" w:rsidP="00C10469">
                <w:pPr>
                  <w:ind w:firstLine="0"/>
                  <w:rPr>
                    <w:rFonts w:cs="AL-Mateen"/>
                    <w:sz w:val="24"/>
                    <w:szCs w:val="24"/>
                    <w:rtl/>
                  </w:rPr>
                </w:pPr>
                <w:r w:rsidRPr="00E14C73">
                  <w:rPr>
                    <w:rFonts w:cs="AL-Mateen" w:hint="cs"/>
                    <w:sz w:val="24"/>
                    <w:szCs w:val="24"/>
                    <w:rtl/>
                  </w:rPr>
                  <w:t>ق25 :  الأَصْلُ بَقَاءُ مَا كَانَ عَلَى مَا كَانَ.</w:t>
                </w:r>
              </w:p>
            </w:txbxContent>
          </v:textbox>
          <w10:wrap anchorx="page"/>
        </v:shape>
      </w:pict>
    </w:r>
    <w:r>
      <w:rPr>
        <w:noProof/>
        <w:rtl/>
        <w:lang w:val="en-US"/>
      </w:rPr>
      <w:pict>
        <v:shape id="_x0000_s3037" type="#_x0000_t202" style="position:absolute;left:0;text-align:left;margin-left:324.8pt;margin-top:3.4pt;width:99.75pt;height:31.35pt;z-index:251216384" filled="f" stroked="f">
          <v:textbox style="mso-next-textbox:#_x0000_s30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39" type="#_x0000_t75" style="position:absolute;left:0;text-align:left;margin-left:62.55pt;margin-top:.55pt;width:359.1pt;height:44.85pt;z-index:-252098048;mso-wrap-edited:f" wrapcoords="709 4393 473 10251 709 16108 709 16841 20851 16841 20891 16108 21088 10251 20851 4393 709 4393">
          <v:imagedata r:id="rId2" o:title="haut"/>
          <w10:wrap anchorx="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320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48" type="#_x0000_t75" style="position:absolute;left:0;text-align:left;margin-left:-11.8pt;margin-top:-4.3pt;width:91.2pt;height:56.1pt;z-index:2512276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46" type="#_x0000_t202" style="position:absolute;left:0;text-align:left;margin-left:170.9pt;margin-top:7.4pt;width:151.15pt;height:34.2pt;z-index:251225600" filled="f" stroked="f">
          <v:textbox style="mso-next-textbox:#_x0000_s3046">
            <w:txbxContent>
              <w:p w:rsidR="00035BE3" w:rsidRPr="00C019AA" w:rsidRDefault="00035BE3" w:rsidP="00C10469">
                <w:pPr>
                  <w:ind w:firstLine="0"/>
                  <w:rPr>
                    <w:rFonts w:cs="AL-Mateen"/>
                    <w:sz w:val="24"/>
                    <w:szCs w:val="24"/>
                    <w:rtl/>
                  </w:rPr>
                </w:pPr>
                <w:r w:rsidRPr="00C06F31">
                  <w:rPr>
                    <w:rFonts w:cs="AL-Mateen" w:hint="cs"/>
                    <w:sz w:val="24"/>
                    <w:szCs w:val="24"/>
                    <w:rtl/>
                  </w:rPr>
                  <w:t>ق26 :  الأَصْلُ بَرَاءَةُ الذِّمَّةِ.</w:t>
                </w:r>
              </w:p>
            </w:txbxContent>
          </v:textbox>
          <w10:wrap anchorx="page"/>
        </v:shape>
      </w:pict>
    </w:r>
    <w:r>
      <w:rPr>
        <w:noProof/>
        <w:rtl/>
        <w:lang w:val="en-US"/>
      </w:rPr>
      <w:pict>
        <v:shape id="_x0000_s3045" type="#_x0000_t202" style="position:absolute;left:0;text-align:left;margin-left:324.8pt;margin-top:3.4pt;width:99.75pt;height:31.35pt;z-index:251224576" filled="f" stroked="f">
          <v:textbox style="mso-next-textbox:#_x0000_s30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47" type="#_x0000_t75" style="position:absolute;left:0;text-align:left;margin-left:62.55pt;margin-top:.55pt;width:359.1pt;height:44.85pt;z-index:-252089856;mso-wrap-edited:f" wrapcoords="709 4393 473 10251 709 16108 709 16841 20851 16841 20891 16108 21088 10251 20851 4393 709 4393">
          <v:imagedata r:id="rId2" o:title="haut"/>
          <w10:wrap anchorx="page"/>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325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52" type="#_x0000_t75" style="position:absolute;left:0;text-align:left;margin-left:-11.8pt;margin-top:-4.3pt;width:91.2pt;height:56.1pt;z-index:2512317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50" type="#_x0000_t202" style="position:absolute;left:0;text-align:left;margin-left:170.9pt;margin-top:7.4pt;width:151.15pt;height:34.2pt;z-index:251229696" filled="f" stroked="f">
          <v:textbox style="mso-next-textbox:#_x0000_s3050">
            <w:txbxContent>
              <w:p w:rsidR="00035BE3" w:rsidRPr="00C019AA" w:rsidRDefault="00035BE3" w:rsidP="00C10469">
                <w:pPr>
                  <w:ind w:firstLine="0"/>
                  <w:rPr>
                    <w:rFonts w:cs="AL-Mateen"/>
                    <w:sz w:val="24"/>
                    <w:szCs w:val="24"/>
                    <w:rtl/>
                  </w:rPr>
                </w:pPr>
                <w:r w:rsidRPr="00031310">
                  <w:rPr>
                    <w:rFonts w:cs="AL-Mateen" w:hint="cs"/>
                    <w:sz w:val="24"/>
                    <w:szCs w:val="24"/>
                    <w:rtl/>
                  </w:rPr>
                  <w:t>ق27 :  الأَصْلُ العَدَمُ فِي الصِّفَاتِ العَارِضَةِ.</w:t>
                </w:r>
              </w:p>
            </w:txbxContent>
          </v:textbox>
          <w10:wrap anchorx="page"/>
        </v:shape>
      </w:pict>
    </w:r>
    <w:r>
      <w:rPr>
        <w:noProof/>
        <w:rtl/>
        <w:lang w:val="en-US"/>
      </w:rPr>
      <w:pict>
        <v:shape id="_x0000_s3049" type="#_x0000_t202" style="position:absolute;left:0;text-align:left;margin-left:324.8pt;margin-top:3.4pt;width:99.75pt;height:31.35pt;z-index:251228672" filled="f" stroked="f">
          <v:textbox style="mso-next-textbox:#_x0000_s30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51" type="#_x0000_t75" style="position:absolute;left:0;text-align:left;margin-left:62.55pt;margin-top:.55pt;width:359.1pt;height:44.85pt;z-index:-252085760;mso-wrap-edited:f" wrapcoords="709 4393 473 10251 709 16108 709 16841 20851 16841 20891 16108 21088 10251 20851 4393 709 4393">
          <v:imagedata r:id="rId2" o:title="haut"/>
          <w10:wrap anchorx="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328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56" type="#_x0000_t75" style="position:absolute;left:0;text-align:left;margin-left:-11.8pt;margin-top:-4.3pt;width:91.2pt;height:56.1pt;z-index:2512358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54" type="#_x0000_t202" style="position:absolute;left:0;text-align:left;margin-left:170.9pt;margin-top:7.4pt;width:151.15pt;height:34.2pt;z-index:251233792" filled="f" stroked="f">
          <v:textbox style="mso-next-textbox:#_x0000_s3054">
            <w:txbxContent>
              <w:p w:rsidR="00035BE3" w:rsidRPr="00C019AA" w:rsidRDefault="00035BE3" w:rsidP="00C10469">
                <w:pPr>
                  <w:ind w:firstLine="0"/>
                  <w:rPr>
                    <w:rFonts w:cs="AL-Mateen"/>
                    <w:sz w:val="24"/>
                    <w:szCs w:val="24"/>
                    <w:rtl/>
                  </w:rPr>
                </w:pPr>
                <w:r>
                  <w:rPr>
                    <w:rFonts w:cs="AL-Mateen" w:hint="cs"/>
                    <w:sz w:val="24"/>
                    <w:szCs w:val="24"/>
                    <w:rtl/>
                  </w:rPr>
                  <w:t xml:space="preserve">ق28 : </w:t>
                </w:r>
                <w:r w:rsidRPr="00A943E3">
                  <w:rPr>
                    <w:rFonts w:cs="AL-Mateen" w:hint="cs"/>
                    <w:sz w:val="24"/>
                    <w:szCs w:val="24"/>
                    <w:rtl/>
                  </w:rPr>
                  <w:t xml:space="preserve"> الأَصْلَ فِي الصِّفَاتِ الأَصْلِيَّةِ الوُجُودُ.</w:t>
                </w:r>
              </w:p>
            </w:txbxContent>
          </v:textbox>
          <w10:wrap anchorx="page"/>
        </v:shape>
      </w:pict>
    </w:r>
    <w:r>
      <w:rPr>
        <w:noProof/>
        <w:rtl/>
        <w:lang w:val="en-US"/>
      </w:rPr>
      <w:pict>
        <v:shape id="_x0000_s3053" type="#_x0000_t202" style="position:absolute;left:0;text-align:left;margin-left:324.8pt;margin-top:3.4pt;width:99.75pt;height:31.35pt;z-index:251232768" filled="f" stroked="f">
          <v:textbox style="mso-next-textbox:#_x0000_s30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55" type="#_x0000_t75" style="position:absolute;left:0;text-align:left;margin-left:62.55pt;margin-top:.55pt;width:359.1pt;height:44.85pt;z-index:-252081664;mso-wrap-edited:f" wrapcoords="709 4393 473 10251 709 16108 709 16841 20851 16841 20891 16108 21088 10251 20851 4393 709 4393">
          <v:imagedata r:id="rId2" o:title="haut"/>
          <w10:wrap anchorx="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338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60" type="#_x0000_t75" style="position:absolute;left:0;text-align:left;margin-left:-11.8pt;margin-top:-4.3pt;width:91.2pt;height:56.1pt;z-index:2512399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58" type="#_x0000_t202" style="position:absolute;left:0;text-align:left;margin-left:170.9pt;margin-top:7.4pt;width:151.15pt;height:34.2pt;z-index:251237888" filled="f" stroked="f">
          <v:textbox style="mso-next-textbox:#_x0000_s3058">
            <w:txbxContent>
              <w:p w:rsidR="00035BE3" w:rsidRPr="00C019AA" w:rsidRDefault="00035BE3" w:rsidP="00C10469">
                <w:pPr>
                  <w:ind w:firstLine="0"/>
                  <w:rPr>
                    <w:rFonts w:cs="AL-Mateen"/>
                    <w:sz w:val="24"/>
                    <w:szCs w:val="24"/>
                    <w:rtl/>
                  </w:rPr>
                </w:pPr>
                <w:r w:rsidRPr="006E42DD">
                  <w:rPr>
                    <w:rFonts w:cs="AL-Mateen" w:hint="cs"/>
                    <w:sz w:val="24"/>
                    <w:szCs w:val="24"/>
                    <w:rtl/>
                  </w:rPr>
                  <w:t>ق29 :  الأَصْلُ إِضَافَةُ الحَادِثِ إلى أقرَبِ أوْقَاتِهِ.</w:t>
                </w:r>
              </w:p>
            </w:txbxContent>
          </v:textbox>
          <w10:wrap anchorx="page"/>
        </v:shape>
      </w:pict>
    </w:r>
    <w:r>
      <w:rPr>
        <w:noProof/>
        <w:rtl/>
        <w:lang w:val="en-US"/>
      </w:rPr>
      <w:pict>
        <v:shape id="_x0000_s3057" type="#_x0000_t202" style="position:absolute;left:0;text-align:left;margin-left:324.8pt;margin-top:3.4pt;width:99.75pt;height:31.35pt;z-index:251236864" filled="f" stroked="f">
          <v:textbox style="mso-next-textbox:#_x0000_s30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59" type="#_x0000_t75" style="position:absolute;left:0;text-align:left;margin-left:62.55pt;margin-top:.55pt;width:359.1pt;height:44.85pt;z-index:-252077568;mso-wrap-edited:f" wrapcoords="709 4393 473 10251 709 16108 709 16841 20851 16841 20891 16108 21088 10251 20851 4393 709 4393">
          <v:imagedata r:id="rId2" o:title="haut"/>
          <w10:wrap anchorx="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340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64" type="#_x0000_t75" style="position:absolute;left:0;text-align:left;margin-left:-11.8pt;margin-top:-4.3pt;width:91.2pt;height:56.1pt;z-index:2512440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62" type="#_x0000_t202" style="position:absolute;left:0;text-align:left;margin-left:170.9pt;margin-top:7.4pt;width:151.15pt;height:34.2pt;z-index:251241984" filled="f" stroked="f">
          <v:textbox style="mso-next-textbox:#_x0000_s3062">
            <w:txbxContent>
              <w:p w:rsidR="00035BE3" w:rsidRPr="00C019AA" w:rsidRDefault="00035BE3" w:rsidP="00C10469">
                <w:pPr>
                  <w:ind w:firstLine="0"/>
                  <w:rPr>
                    <w:rFonts w:cs="AL-Mateen"/>
                    <w:sz w:val="24"/>
                    <w:szCs w:val="24"/>
                    <w:rtl/>
                  </w:rPr>
                </w:pPr>
                <w:r w:rsidRPr="00EA5E00">
                  <w:rPr>
                    <w:rFonts w:cs="AL-Mateen" w:hint="cs"/>
                    <w:sz w:val="24"/>
                    <w:szCs w:val="24"/>
                    <w:rtl/>
                  </w:rPr>
                  <w:t>ق30 :  الأَصْلُ فِي الوَكَالَةِ الخُصُوصُ، وفِي المُضَارَبَةِ العُمُومُ.</w:t>
                </w:r>
              </w:p>
            </w:txbxContent>
          </v:textbox>
          <w10:wrap anchorx="page"/>
        </v:shape>
      </w:pict>
    </w:r>
    <w:r>
      <w:rPr>
        <w:noProof/>
        <w:rtl/>
        <w:lang w:val="en-US"/>
      </w:rPr>
      <w:pict>
        <v:shape id="_x0000_s3061" type="#_x0000_t202" style="position:absolute;left:0;text-align:left;margin-left:324.8pt;margin-top:3.4pt;width:99.75pt;height:31.35pt;z-index:251240960" filled="f" stroked="f">
          <v:textbox style="mso-next-textbox:#_x0000_s30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63" type="#_x0000_t75" style="position:absolute;left:0;text-align:left;margin-left:62.55pt;margin-top:.55pt;width:359.1pt;height:44.85pt;z-index:-252073472;mso-wrap-edited:f" wrapcoords="709 4393 473 10251 709 16108 709 16841 20851 16841 20891 16108 21088 10251 20851 4393 709 4393">
          <v:imagedata r:id="rId2" o:title="haut"/>
          <w10:wrap anchorx="page"/>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345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68" type="#_x0000_t75" style="position:absolute;left:0;text-align:left;margin-left:-11.8pt;margin-top:-4.3pt;width:91.2pt;height:56.1pt;z-index:2512481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66" type="#_x0000_t202" style="position:absolute;left:0;text-align:left;margin-left:170.9pt;margin-top:7.4pt;width:151.15pt;height:34.2pt;z-index:251246080" filled="f" stroked="f">
          <v:textbox style="mso-next-textbox:#_x0000_s3066">
            <w:txbxContent>
              <w:p w:rsidR="00035BE3" w:rsidRPr="00C019AA" w:rsidRDefault="00035BE3" w:rsidP="00C10469">
                <w:pPr>
                  <w:ind w:firstLine="0"/>
                  <w:rPr>
                    <w:rFonts w:cs="AL-Mateen"/>
                    <w:sz w:val="24"/>
                    <w:szCs w:val="24"/>
                    <w:rtl/>
                  </w:rPr>
                </w:pPr>
                <w:r w:rsidRPr="000B2915">
                  <w:rPr>
                    <w:rFonts w:cs="AL-Mateen" w:hint="cs"/>
                    <w:sz w:val="24"/>
                    <w:szCs w:val="24"/>
                    <w:rtl/>
                  </w:rPr>
                  <w:t>ق31 : الأصلُ: أَنَّ كُلَّ تصرُّفٍ يُوقَفُ حُكْمُهُ على شيءٍ أنْ يُجْعَلَ</w:t>
                </w:r>
              </w:p>
            </w:txbxContent>
          </v:textbox>
          <w10:wrap anchorx="page"/>
        </v:shape>
      </w:pict>
    </w:r>
    <w:r>
      <w:rPr>
        <w:noProof/>
        <w:rtl/>
        <w:lang w:val="en-US"/>
      </w:rPr>
      <w:pict>
        <v:shape id="_x0000_s3065" type="#_x0000_t202" style="position:absolute;left:0;text-align:left;margin-left:324.8pt;margin-top:3.4pt;width:99.75pt;height:31.35pt;z-index:251245056" filled="f" stroked="f">
          <v:textbox style="mso-next-textbox:#_x0000_s30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67" type="#_x0000_t75" style="position:absolute;left:0;text-align:left;margin-left:62.55pt;margin-top:.55pt;width:359.1pt;height:44.85pt;z-index:-252069376;mso-wrap-edited:f" wrapcoords="709 4393 473 10251 709 16108 709 16841 20851 16841 20891 16108 21088 10251 20851 4393 709 4393">
          <v:imagedata r:id="rId2" o:title="haut"/>
          <w10:wrap anchorx="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DB59CC">
    <w:pPr>
      <w:pStyle w:val="a3"/>
      <w:framePr w:wrap="around" w:vAnchor="text" w:hAnchor="page" w:x="2158"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53</w:t>
    </w:r>
    <w:r>
      <w:rPr>
        <w:rStyle w:val="a5"/>
        <w:rtl/>
      </w:rPr>
      <w:fldChar w:fldCharType="end"/>
    </w:r>
  </w:p>
  <w:p w:rsidR="00035BE3" w:rsidRDefault="00035BE3" w:rsidP="00DB59CC">
    <w:pPr>
      <w:pStyle w:val="a3"/>
      <w:ind w:right="360"/>
      <w:rPr>
        <w:rtl/>
      </w:rPr>
    </w:pPr>
    <w:r>
      <w:rPr>
        <w:noProof/>
        <w:rtl/>
        <w:lang w:val="en-US"/>
      </w:rPr>
      <w:drawing>
        <wp:anchor distT="0" distB="0" distL="114300" distR="114300" simplePos="0" relativeHeight="251106816" behindDoc="0" locked="0" layoutInCell="1" allowOverlap="1" wp14:anchorId="6D4BB603" wp14:editId="0C928A7A">
          <wp:simplePos x="0" y="0"/>
          <wp:positionH relativeFrom="column">
            <wp:posOffset>-127000</wp:posOffset>
          </wp:positionH>
          <wp:positionV relativeFrom="paragraph">
            <wp:posOffset>-54610</wp:posOffset>
          </wp:positionV>
          <wp:extent cx="1158240" cy="712470"/>
          <wp:effectExtent l="0" t="0" r="0" b="0"/>
          <wp:wrapNone/>
          <wp:docPr id="104" name="صورة 104" descr="hiche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hemi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en-US"/>
      </w:rPr>
      <mc:AlternateContent>
        <mc:Choice Requires="wps">
          <w:drawing>
            <wp:anchor distT="0" distB="0" distL="114300" distR="114300" simplePos="0" relativeHeight="251107840" behindDoc="0" locked="0" layoutInCell="1" allowOverlap="1" wp14:anchorId="6CD727AF" wp14:editId="151A5BB7">
              <wp:simplePos x="0" y="0"/>
              <wp:positionH relativeFrom="column">
                <wp:posOffset>2449830</wp:posOffset>
              </wp:positionH>
              <wp:positionV relativeFrom="paragraph">
                <wp:posOffset>68580</wp:posOffset>
              </wp:positionV>
              <wp:extent cx="1719580" cy="434340"/>
              <wp:effectExtent l="0" t="0" r="0" b="0"/>
              <wp:wrapNone/>
              <wp:docPr id="102" name="مربع ن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pPr>
                            <w:ind w:firstLine="0"/>
                            <w:rPr>
                              <w:rFonts w:cs="AL-Mateen"/>
                              <w:sz w:val="28"/>
                              <w:szCs w:val="28"/>
                              <w:rtl/>
                              <w:lang w:bidi="ar-AE"/>
                            </w:rPr>
                          </w:pPr>
                          <w:r>
                            <w:rPr>
                              <w:rFonts w:cs="AL-Mateen" w:hint="cs"/>
                              <w:sz w:val="28"/>
                              <w:szCs w:val="28"/>
                              <w:rtl/>
                              <w:lang w:bidi="ar-AE"/>
                            </w:rPr>
                            <w:t>الفصل الأول: المؤلف</w:t>
                          </w:r>
                          <w:r w:rsidRPr="00502EBE">
                            <w:rPr>
                              <w:rFonts w:cs="AL-Mateen" w:hint="cs"/>
                              <w:sz w:val="28"/>
                              <w:szCs w:val="28"/>
                              <w:rtl/>
                              <w:lang w:bidi="ar-A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727AF" id="_x0000_t202" coordsize="21600,21600" o:spt="202" path="m,l,21600r21600,l21600,xe">
              <v:stroke joinstyle="miter"/>
              <v:path gradientshapeok="t" o:connecttype="rect"/>
            </v:shapetype>
            <v:shape id="مربع نص 102" o:spid="_x0000_s1028" type="#_x0000_t202" style="position:absolute;left:0;text-align:left;margin-left:192.9pt;margin-top:5.4pt;width:135.4pt;height:34.2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" filled="f" stroked="f">
              <v:textbox>
                <w:txbxContent>
                  <w:p w:rsidR="00035BE3" w:rsidRPr="00502EBE" w:rsidRDefault="00035BE3">
                    <w:pPr>
                      <w:ind w:firstLine="0"/>
                      <w:rPr>
                        <w:rFonts w:cs="AL-Mateen"/>
                        <w:sz w:val="28"/>
                        <w:szCs w:val="28"/>
                        <w:rtl/>
                        <w:lang w:bidi="ar-AE"/>
                      </w:rPr>
                    </w:pPr>
                    <w:r>
                      <w:rPr>
                        <w:rFonts w:cs="AL-Mateen" w:hint="cs"/>
                        <w:sz w:val="28"/>
                        <w:szCs w:val="28"/>
                        <w:rtl/>
                        <w:lang w:bidi="ar-AE"/>
                      </w:rPr>
                      <w:t>الفصل الأول: المؤلف</w:t>
                    </w:r>
                    <w:r w:rsidRPr="00502EBE">
                      <w:rPr>
                        <w:rFonts w:cs="AL-Mateen" w:hint="cs"/>
                        <w:sz w:val="28"/>
                        <w:szCs w:val="28"/>
                        <w:rtl/>
                        <w:lang w:bidi="ar-AE"/>
                      </w:rPr>
                      <w:t>.</w:t>
                    </w:r>
                  </w:p>
                </w:txbxContent>
              </v:textbox>
            </v:shape>
          </w:pict>
        </mc:Fallback>
      </mc:AlternateContent>
    </w:r>
    <w:r>
      <w:rPr>
        <w:noProof/>
        <w:rtl/>
        <w:lang w:val="en-US"/>
      </w:rPr>
      <mc:AlternateContent>
        <mc:Choice Requires="wps">
          <w:drawing>
            <wp:anchor distT="0" distB="0" distL="114300" distR="114300" simplePos="0" relativeHeight="251105792" behindDoc="0" locked="0" layoutInCell="1" allowOverlap="1" wp14:anchorId="2F3D27C4" wp14:editId="582B4B17">
              <wp:simplePos x="0" y="0"/>
              <wp:positionH relativeFrom="column">
                <wp:posOffset>4216400</wp:posOffset>
              </wp:positionH>
              <wp:positionV relativeFrom="paragraph">
                <wp:posOffset>68580</wp:posOffset>
              </wp:positionV>
              <wp:extent cx="1266825" cy="398145"/>
              <wp:effectExtent l="0" t="0" r="0" b="0"/>
              <wp:wrapNone/>
              <wp:docPr id="103" name="مربع ن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pPr>
                            <w:ind w:firstLine="0"/>
                            <w:jc w:val="center"/>
                            <w:rPr>
                              <w:rFonts w:cs="AL-Mateen"/>
                              <w:sz w:val="28"/>
                              <w:szCs w:val="28"/>
                              <w:rtl/>
                              <w:lang w:bidi="ar-AE"/>
                            </w:rPr>
                          </w:pPr>
                          <w:r w:rsidRPr="00502EBE">
                            <w:rPr>
                              <w:rFonts w:cs="AL-Mateen" w:hint="cs"/>
                              <w:sz w:val="28"/>
                              <w:szCs w:val="28"/>
                              <w:rtl/>
                              <w:lang w:bidi="ar-AE"/>
                            </w:rPr>
                            <w:t>القسم الدراسي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D27C4" id="مربع نص 103" o:spid="_x0000_s1029" type="#_x0000_t202" style="position:absolute;left:0;text-align:left;margin-left:332pt;margin-top:5.4pt;width:99.75pt;height:31.35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" filled="f" stroked="f">
              <v:textbox>
                <w:txbxContent>
                  <w:p w:rsidR="00035BE3" w:rsidRPr="00502EBE" w:rsidRDefault="00035BE3">
                    <w:pPr>
                      <w:ind w:firstLine="0"/>
                      <w:jc w:val="center"/>
                      <w:rPr>
                        <w:rFonts w:cs="AL-Mateen"/>
                        <w:sz w:val="28"/>
                        <w:szCs w:val="28"/>
                        <w:rtl/>
                        <w:lang w:bidi="ar-AE"/>
                      </w:rPr>
                    </w:pPr>
                    <w:r w:rsidRPr="00502EBE">
                      <w:rPr>
                        <w:rFonts w:cs="AL-Mateen" w:hint="cs"/>
                        <w:sz w:val="28"/>
                        <w:szCs w:val="28"/>
                        <w:rtl/>
                        <w:lang w:bidi="ar-AE"/>
                      </w:rPr>
                      <w:t>القسم الدراسي</w:t>
                    </w:r>
                  </w:p>
                </w:txbxContent>
              </v:textbox>
            </v:shape>
          </w:pict>
        </mc:Fallback>
      </mc:AlternateContent>
    </w:r>
    <w:r>
      <w:rPr>
        <w:noProof/>
        <w:rtl/>
        <w:lang w:val="en-US"/>
      </w:rPr>
      <w:drawing>
        <wp:anchor distT="0" distB="0" distL="114300" distR="114300" simplePos="0" relativeHeight="251108864" behindDoc="1" locked="0" layoutInCell="1" allowOverlap="1" wp14:anchorId="0FEC96BD" wp14:editId="025F7AEC">
          <wp:simplePos x="0" y="0"/>
          <wp:positionH relativeFrom="column">
            <wp:posOffset>792480</wp:posOffset>
          </wp:positionH>
          <wp:positionV relativeFrom="paragraph">
            <wp:posOffset>-3175</wp:posOffset>
          </wp:positionV>
          <wp:extent cx="4679950" cy="569595"/>
          <wp:effectExtent l="0" t="0" r="0" b="0"/>
          <wp:wrapNone/>
          <wp:docPr id="105" name="صورة 105" descr="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u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0" cy="569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348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2" type="#_x0000_t75" style="position:absolute;left:0;text-align:left;margin-left:-11.8pt;margin-top:-4.3pt;width:91.2pt;height:56.1pt;z-index:2512522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70" type="#_x0000_t202" style="position:absolute;left:0;text-align:left;margin-left:170.9pt;margin-top:7.4pt;width:151.15pt;height:34.2pt;z-index:251250176" filled="f" stroked="f">
          <v:textbox style="mso-next-textbox:#_x0000_s3070">
            <w:txbxContent>
              <w:p w:rsidR="00035BE3" w:rsidRPr="00C019AA" w:rsidRDefault="00035BE3" w:rsidP="00C10469">
                <w:pPr>
                  <w:ind w:firstLine="0"/>
                  <w:rPr>
                    <w:rFonts w:cs="AL-Mateen"/>
                    <w:sz w:val="24"/>
                    <w:szCs w:val="24"/>
                    <w:rtl/>
                  </w:rPr>
                </w:pPr>
                <w:r w:rsidRPr="00597CBD">
                  <w:rPr>
                    <w:rFonts w:cs="AL-Mateen" w:hint="cs"/>
                    <w:sz w:val="24"/>
                    <w:szCs w:val="24"/>
                    <w:rtl/>
                  </w:rPr>
                  <w:t>ق32 :  الاضطِرارُ لا يُـبْطِلُ حَقَّ غَيْرِهِ.</w:t>
                </w:r>
              </w:p>
            </w:txbxContent>
          </v:textbox>
          <w10:wrap anchorx="page"/>
        </v:shape>
      </w:pict>
    </w:r>
    <w:r>
      <w:rPr>
        <w:noProof/>
        <w:rtl/>
        <w:lang w:val="en-US"/>
      </w:rPr>
      <w:pict>
        <v:shape id="_x0000_s3069" type="#_x0000_t202" style="position:absolute;left:0;text-align:left;margin-left:324.8pt;margin-top:3.4pt;width:99.75pt;height:31.35pt;z-index:251249152" filled="f" stroked="f">
          <v:textbox style="mso-next-textbox:#_x0000_s30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71" type="#_x0000_t75" style="position:absolute;left:0;text-align:left;margin-left:62.55pt;margin-top:.55pt;width:359.1pt;height:44.85pt;z-index:-252065280;mso-wrap-edited:f" wrapcoords="709 4393 473 10251 709 16108 709 16841 20851 16841 20891 16108 21088 10251 20851 4393 709 4393">
          <v:imagedata r:id="rId2" o:title="haut"/>
          <w10:wrap anchorx="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356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6" type="#_x0000_t75" style="position:absolute;left:0;text-align:left;margin-left:-11.8pt;margin-top:-4.3pt;width:91.2pt;height:56.1pt;z-index:2512563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74" type="#_x0000_t202" style="position:absolute;left:0;text-align:left;margin-left:170.9pt;margin-top:7.4pt;width:151.15pt;height:34.2pt;z-index:251254272" filled="f" stroked="f">
          <v:textbox style="mso-next-textbox:#_x0000_s3074">
            <w:txbxContent>
              <w:p w:rsidR="00035BE3" w:rsidRPr="00C019AA" w:rsidRDefault="00035BE3" w:rsidP="00C10469">
                <w:pPr>
                  <w:ind w:firstLine="0"/>
                  <w:rPr>
                    <w:rFonts w:cs="AL-Mateen"/>
                    <w:sz w:val="24"/>
                    <w:szCs w:val="24"/>
                    <w:rtl/>
                  </w:rPr>
                </w:pPr>
                <w:r w:rsidRPr="003C7BF7">
                  <w:rPr>
                    <w:rFonts w:cs="AL-Mateen" w:hint="cs"/>
                    <w:sz w:val="24"/>
                    <w:szCs w:val="24"/>
                    <w:rtl/>
                  </w:rPr>
                  <w:t>ق33 :  إِعْمَالُ الكَلاَمِ أَوْلَى مِنْ إهمالِهِ متَى أَمْكَنَ، وإذَا لمْ يمكِنْ</w:t>
                </w:r>
                <w:r w:rsidRPr="00597CBD">
                  <w:rPr>
                    <w:rFonts w:cs="AL-Mateen" w:hint="cs"/>
                    <w:sz w:val="24"/>
                    <w:szCs w:val="24"/>
                    <w:rtl/>
                  </w:rPr>
                  <w:t>.</w:t>
                </w:r>
              </w:p>
            </w:txbxContent>
          </v:textbox>
          <w10:wrap anchorx="page"/>
        </v:shape>
      </w:pict>
    </w:r>
    <w:r>
      <w:rPr>
        <w:noProof/>
        <w:rtl/>
        <w:lang w:val="en-US"/>
      </w:rPr>
      <w:pict>
        <v:shape id="_x0000_s3073" type="#_x0000_t202" style="position:absolute;left:0;text-align:left;margin-left:324.8pt;margin-top:3.4pt;width:99.75pt;height:31.35pt;z-index:251253248" filled="f" stroked="f">
          <v:textbox style="mso-next-textbox:#_x0000_s30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75" type="#_x0000_t75" style="position:absolute;left:0;text-align:left;margin-left:62.55pt;margin-top:.55pt;width:359.1pt;height:44.85pt;z-index:-252061184;mso-wrap-edited:f" wrapcoords="709 4393 473 10251 709 16108 709 16841 20851 16841 20891 16108 21088 10251 20851 4393 709 4393">
          <v:imagedata r:id="rId2" o:title="haut"/>
          <w10:wrap anchorx="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370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80" type="#_x0000_t75" style="position:absolute;left:0;text-align:left;margin-left:-11.8pt;margin-top:-4.3pt;width:91.2pt;height:56.1pt;z-index:2512604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78" type="#_x0000_t202" style="position:absolute;left:0;text-align:left;margin-left:170.9pt;margin-top:7.4pt;width:151.15pt;height:34.2pt;z-index:251258368" filled="f" stroked="f">
          <v:textbox style="mso-next-textbox:#_x0000_s3078">
            <w:txbxContent>
              <w:p w:rsidR="00035BE3" w:rsidRPr="00C019AA" w:rsidRDefault="00035BE3" w:rsidP="00C10469">
                <w:pPr>
                  <w:ind w:firstLine="0"/>
                  <w:rPr>
                    <w:rFonts w:cs="AL-Mateen"/>
                    <w:sz w:val="24"/>
                    <w:szCs w:val="24"/>
                    <w:rtl/>
                  </w:rPr>
                </w:pPr>
                <w:r w:rsidRPr="00923E3F">
                  <w:rPr>
                    <w:rFonts w:cs="AL-Mateen" w:hint="cs"/>
                    <w:sz w:val="26"/>
                    <w:szCs w:val="26"/>
                    <w:rtl/>
                  </w:rPr>
                  <w:t>ق34 :  الاعْتِبَارُ لِلْمَقَاصِدِ والمَعَانِيْ لا للأَلْفاظِ والمَبَانِيْ.</w:t>
                </w:r>
                <w:r w:rsidRPr="00597CBD">
                  <w:rPr>
                    <w:rFonts w:cs="AL-Mateen" w:hint="cs"/>
                    <w:sz w:val="24"/>
                    <w:szCs w:val="24"/>
                    <w:rtl/>
                  </w:rPr>
                  <w:t>.</w:t>
                </w:r>
              </w:p>
            </w:txbxContent>
          </v:textbox>
          <w10:wrap anchorx="page"/>
        </v:shape>
      </w:pict>
    </w:r>
    <w:r>
      <w:rPr>
        <w:noProof/>
        <w:rtl/>
        <w:lang w:val="en-US"/>
      </w:rPr>
      <w:pict>
        <v:shape id="_x0000_s3077" type="#_x0000_t202" style="position:absolute;left:0;text-align:left;margin-left:324.8pt;margin-top:3.4pt;width:99.75pt;height:31.35pt;z-index:251257344" filled="f" stroked="f">
          <v:textbox style="mso-next-textbox:#_x0000_s30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79" type="#_x0000_t75" style="position:absolute;left:0;text-align:left;margin-left:62.55pt;margin-top:.55pt;width:359.1pt;height:44.85pt;z-index:-252057088;mso-wrap-edited:f" wrapcoords="709 4393 473 10251 709 16108 709 16841 20851 16841 20891 16108 21088 10251 20851 4393 709 4393">
          <v:imagedata r:id="rId2" o:title="haut"/>
          <w10:wrap anchorx="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372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84" type="#_x0000_t75" style="position:absolute;left:0;text-align:left;margin-left:-11.8pt;margin-top:-4.3pt;width:91.2pt;height:56.1pt;z-index:2512645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82" type="#_x0000_t202" style="position:absolute;left:0;text-align:left;margin-left:170.9pt;margin-top:7.4pt;width:151.15pt;height:34.2pt;z-index:251262464" filled="f" stroked="f">
          <v:textbox style="mso-next-textbox:#_x0000_s3082">
            <w:txbxContent>
              <w:p w:rsidR="00035BE3" w:rsidRPr="00C019AA" w:rsidRDefault="00035BE3" w:rsidP="00C10469">
                <w:pPr>
                  <w:ind w:firstLine="0"/>
                  <w:rPr>
                    <w:rFonts w:cs="AL-Mateen"/>
                    <w:sz w:val="24"/>
                    <w:szCs w:val="24"/>
                    <w:rtl/>
                  </w:rPr>
                </w:pPr>
                <w:r w:rsidRPr="00CD2BC1">
                  <w:rPr>
                    <w:rFonts w:cs="AL-Mateen" w:hint="cs"/>
                    <w:sz w:val="24"/>
                    <w:szCs w:val="24"/>
                    <w:rtl/>
                  </w:rPr>
                  <w:t>ق35 :  اعْتِبَارُ المعنَيَيْنِ مِنْ لَفْظٍ وَاحِدٍ لا يَجُوزُ بِلاَ مُرَجِّحٍ في</w:t>
                </w:r>
              </w:p>
            </w:txbxContent>
          </v:textbox>
          <w10:wrap anchorx="page"/>
        </v:shape>
      </w:pict>
    </w:r>
    <w:r>
      <w:rPr>
        <w:noProof/>
        <w:rtl/>
        <w:lang w:val="en-US"/>
      </w:rPr>
      <w:pict>
        <v:shape id="_x0000_s3081" type="#_x0000_t202" style="position:absolute;left:0;text-align:left;margin-left:324.8pt;margin-top:3.4pt;width:99.75pt;height:31.35pt;z-index:251261440" filled="f" stroked="f">
          <v:textbox style="mso-next-textbox:#_x0000_s30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83" type="#_x0000_t75" style="position:absolute;left:0;text-align:left;margin-left:62.55pt;margin-top:.55pt;width:359.1pt;height:44.85pt;z-index:-252052992;mso-wrap-edited:f" wrapcoords="709 4393 473 10251 709 16108 709 16841 20851 16841 20891 16108 21088 10251 20851 4393 709 4393">
          <v:imagedata r:id="rId2" o:title="haut"/>
          <w10:wrap anchorx="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375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88" type="#_x0000_t75" style="position:absolute;left:0;text-align:left;margin-left:-11.8pt;margin-top:-4.3pt;width:91.2pt;height:56.1pt;z-index:2512686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86" type="#_x0000_t202" style="position:absolute;left:0;text-align:left;margin-left:170.9pt;margin-top:7.4pt;width:151.15pt;height:34.2pt;z-index:251266560" filled="f" stroked="f">
          <v:textbox style="mso-next-textbox:#_x0000_s3086">
            <w:txbxContent>
              <w:p w:rsidR="00035BE3" w:rsidRPr="00C019AA" w:rsidRDefault="00035BE3" w:rsidP="00C10469">
                <w:pPr>
                  <w:ind w:firstLine="0"/>
                  <w:rPr>
                    <w:rFonts w:cs="AL-Mateen"/>
                    <w:sz w:val="24"/>
                    <w:szCs w:val="24"/>
                    <w:rtl/>
                  </w:rPr>
                </w:pPr>
                <w:r w:rsidRPr="008D4E14">
                  <w:rPr>
                    <w:rFonts w:cs="AL-Mateen" w:hint="cs"/>
                    <w:sz w:val="24"/>
                    <w:szCs w:val="24"/>
                    <w:rtl/>
                  </w:rPr>
                  <w:t>ق36 :  الأَعْيَانُ المَضْمُونَةُ بِنَفْسِهَا.</w:t>
                </w:r>
              </w:p>
            </w:txbxContent>
          </v:textbox>
          <w10:wrap anchorx="page"/>
        </v:shape>
      </w:pict>
    </w:r>
    <w:r>
      <w:rPr>
        <w:noProof/>
        <w:rtl/>
        <w:lang w:val="en-US"/>
      </w:rPr>
      <w:pict>
        <v:shape id="_x0000_s3085" type="#_x0000_t202" style="position:absolute;left:0;text-align:left;margin-left:324.8pt;margin-top:3.4pt;width:99.75pt;height:31.35pt;z-index:251265536" filled="f" stroked="f">
          <v:textbox style="mso-next-textbox:#_x0000_s30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87" type="#_x0000_t75" style="position:absolute;left:0;text-align:left;margin-left:62.55pt;margin-top:.55pt;width:359.1pt;height:44.85pt;z-index:-252048896;mso-wrap-edited:f" wrapcoords="709 4393 473 10251 709 16108 709 16841 20851 16841 20891 16108 21088 10251 20851 4393 709 4393">
          <v:imagedata r:id="rId2" o:title="haut"/>
          <w10:wrap anchorx="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377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92" type="#_x0000_t75" style="position:absolute;left:0;text-align:left;margin-left:-11.8pt;margin-top:-4.3pt;width:91.2pt;height:56.1pt;z-index:25127270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90" type="#_x0000_t202" style="position:absolute;left:0;text-align:left;margin-left:170.9pt;margin-top:7.4pt;width:151.15pt;height:34.2pt;z-index:251270656" filled="f" stroked="f">
          <v:textbox style="mso-next-textbox:#_x0000_s3090">
            <w:txbxContent>
              <w:p w:rsidR="00035BE3" w:rsidRPr="00C019AA" w:rsidRDefault="00035BE3" w:rsidP="00C10469">
                <w:pPr>
                  <w:ind w:firstLine="0"/>
                  <w:rPr>
                    <w:rFonts w:cs="AL-Mateen"/>
                    <w:sz w:val="24"/>
                    <w:szCs w:val="24"/>
                    <w:rtl/>
                  </w:rPr>
                </w:pPr>
                <w:r w:rsidRPr="00196CDB">
                  <w:rPr>
                    <w:rFonts w:cs="AL-Mateen" w:hint="cs"/>
                    <w:spacing w:val="-2"/>
                    <w:sz w:val="24"/>
                    <w:szCs w:val="24"/>
                    <w:rtl/>
                  </w:rPr>
                  <w:t>ق 37  :  الأفعال المباحة لا يجوز مباشرتها إلا بشرط أنْ لاَ</w:t>
                </w:r>
              </w:p>
            </w:txbxContent>
          </v:textbox>
          <w10:wrap anchorx="page"/>
        </v:shape>
      </w:pict>
    </w:r>
    <w:r>
      <w:rPr>
        <w:noProof/>
        <w:rtl/>
        <w:lang w:val="en-US"/>
      </w:rPr>
      <w:pict>
        <v:shape id="_x0000_s3089" type="#_x0000_t202" style="position:absolute;left:0;text-align:left;margin-left:324.8pt;margin-top:3.4pt;width:99.75pt;height:31.35pt;z-index:251269632" filled="f" stroked="f">
          <v:textbox style="mso-next-textbox:#_x0000_s30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91" type="#_x0000_t75" style="position:absolute;left:0;text-align:left;margin-left:62.55pt;margin-top:.55pt;width:359.1pt;height:44.85pt;z-index:-252044800;mso-wrap-edited:f" wrapcoords="709 4393 473 10251 709 16108 709 16841 20851 16841 20891 16108 21088 10251 20851 4393 709 4393">
          <v:imagedata r:id="rId2" o:title="haut"/>
          <w10:wrap anchorx="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381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96" type="#_x0000_t75" style="position:absolute;left:0;text-align:left;margin-left:-11.8pt;margin-top:-4.3pt;width:91.2pt;height:56.1pt;z-index:2512768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94" type="#_x0000_t202" style="position:absolute;left:0;text-align:left;margin-left:170.9pt;margin-top:7.4pt;width:151.15pt;height:34.2pt;z-index:251274752" filled="f" stroked="f">
          <v:textbox style="mso-next-textbox:#_x0000_s3094">
            <w:txbxContent>
              <w:p w:rsidR="00035BE3" w:rsidRPr="00C019AA" w:rsidRDefault="00035BE3" w:rsidP="00C10469">
                <w:pPr>
                  <w:ind w:firstLine="0"/>
                  <w:rPr>
                    <w:rFonts w:cs="AL-Mateen"/>
                    <w:sz w:val="24"/>
                    <w:szCs w:val="24"/>
                    <w:rtl/>
                  </w:rPr>
                </w:pPr>
                <w:r w:rsidRPr="00046258">
                  <w:rPr>
                    <w:rFonts w:cs="AL-Mateen" w:hint="cs"/>
                    <w:sz w:val="24"/>
                    <w:szCs w:val="24"/>
                    <w:rtl/>
                  </w:rPr>
                  <w:t>ق38 :  الإقرارُ ملزمٌ شرعًا كالبيِّنة؛ بَلْ أَوْلى</w:t>
                </w:r>
              </w:p>
            </w:txbxContent>
          </v:textbox>
          <w10:wrap anchorx="page"/>
        </v:shape>
      </w:pict>
    </w:r>
    <w:r>
      <w:rPr>
        <w:noProof/>
        <w:rtl/>
        <w:lang w:val="en-US"/>
      </w:rPr>
      <w:pict>
        <v:shape id="_x0000_s3093" type="#_x0000_t202" style="position:absolute;left:0;text-align:left;margin-left:324.8pt;margin-top:3.4pt;width:99.75pt;height:31.35pt;z-index:251273728" filled="f" stroked="f">
          <v:textbox style="mso-next-textbox:#_x0000_s30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95" type="#_x0000_t75" style="position:absolute;left:0;text-align:left;margin-left:62.55pt;margin-top:.55pt;width:359.1pt;height:44.85pt;z-index:-252040704;mso-wrap-edited:f" wrapcoords="709 4393 473 10251 709 16108 709 16841 20851 16841 20891 16108 21088 10251 20851 4393 709 4393">
          <v:imagedata r:id="rId2" o:title="haut"/>
          <w10:wrap anchorx="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382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0" type="#_x0000_t75" style="position:absolute;left:0;text-align:left;margin-left:-11.8pt;margin-top:-4.3pt;width:91.2pt;height:56.1pt;z-index:2512808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098" type="#_x0000_t202" style="position:absolute;left:0;text-align:left;margin-left:170.9pt;margin-top:7.4pt;width:151.15pt;height:34.2pt;z-index:251278848" filled="f" stroked="f">
          <v:textbox style="mso-next-textbox:#_x0000_s3098">
            <w:txbxContent>
              <w:p w:rsidR="00035BE3" w:rsidRPr="00C019AA" w:rsidRDefault="00035BE3" w:rsidP="00C10469">
                <w:pPr>
                  <w:ind w:firstLine="0"/>
                  <w:rPr>
                    <w:rFonts w:cs="AL-Mateen"/>
                    <w:sz w:val="24"/>
                    <w:szCs w:val="24"/>
                    <w:rtl/>
                  </w:rPr>
                </w:pPr>
                <w:r w:rsidRPr="00A9464A">
                  <w:rPr>
                    <w:rFonts w:cs="AL-Mateen" w:hint="cs"/>
                    <w:sz w:val="24"/>
                    <w:szCs w:val="24"/>
                    <w:rtl/>
                  </w:rPr>
                  <w:t>ق39 :  الإقْرارُ لا يحتملُ التَّعليقَ.</w:t>
                </w:r>
              </w:p>
            </w:txbxContent>
          </v:textbox>
          <w10:wrap anchorx="page"/>
        </v:shape>
      </w:pict>
    </w:r>
    <w:r>
      <w:rPr>
        <w:noProof/>
        <w:rtl/>
        <w:lang w:val="en-US"/>
      </w:rPr>
      <w:pict>
        <v:shape id="_x0000_s3097" type="#_x0000_t202" style="position:absolute;left:0;text-align:left;margin-left:324.8pt;margin-top:3.4pt;width:99.75pt;height:31.35pt;z-index:251277824" filled="f" stroked="f">
          <v:textbox style="mso-next-textbox:#_x0000_s30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099" type="#_x0000_t75" style="position:absolute;left:0;text-align:left;margin-left:62.55pt;margin-top:.55pt;width:359.1pt;height:44.85pt;z-index:-252036608;mso-wrap-edited:f" wrapcoords="709 4393 473 10251 709 16108 709 16841 20851 16841 20891 16108 21088 10251 20851 4393 709 4393">
          <v:imagedata r:id="rId2" o:title="haut"/>
          <w10:wrap anchorx="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383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4" type="#_x0000_t75" style="position:absolute;left:0;text-align:left;margin-left:-11.8pt;margin-top:-4.3pt;width:91.2pt;height:56.1pt;z-index:2512849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02" type="#_x0000_t202" style="position:absolute;left:0;text-align:left;margin-left:170.9pt;margin-top:7.4pt;width:151.15pt;height:34.2pt;z-index:251282944" filled="f" stroked="f">
          <v:textbox style="mso-next-textbox:#_x0000_s3102">
            <w:txbxContent>
              <w:p w:rsidR="00035BE3" w:rsidRPr="00C019AA" w:rsidRDefault="00035BE3" w:rsidP="00C10469">
                <w:pPr>
                  <w:ind w:firstLine="0"/>
                  <w:rPr>
                    <w:rFonts w:cs="AL-Mateen"/>
                    <w:sz w:val="24"/>
                    <w:szCs w:val="24"/>
                    <w:rtl/>
                  </w:rPr>
                </w:pPr>
                <w:r w:rsidRPr="00B210C4">
                  <w:rPr>
                    <w:rFonts w:cs="AL-Mateen" w:hint="cs"/>
                    <w:sz w:val="24"/>
                    <w:szCs w:val="24"/>
                    <w:rtl/>
                  </w:rPr>
                  <w:t>ق40 :  الإِقْرَارُ بَعْدَ الدَّعوَى صَحِيحٌ دُونَ العَكْسِ</w:t>
                </w:r>
              </w:p>
            </w:txbxContent>
          </v:textbox>
          <w10:wrap anchorx="page"/>
        </v:shape>
      </w:pict>
    </w:r>
    <w:r>
      <w:rPr>
        <w:noProof/>
        <w:rtl/>
        <w:lang w:val="en-US"/>
      </w:rPr>
      <w:pict>
        <v:shape id="_x0000_s3101" type="#_x0000_t202" style="position:absolute;left:0;text-align:left;margin-left:324.8pt;margin-top:3.4pt;width:99.75pt;height:31.35pt;z-index:251281920" filled="f" stroked="f">
          <v:textbox style="mso-next-textbox:#_x0000_s31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03" type="#_x0000_t75" style="position:absolute;left:0;text-align:left;margin-left:62.55pt;margin-top:.55pt;width:359.1pt;height:44.85pt;z-index:-252032512;mso-wrap-edited:f" wrapcoords="709 4393 473 10251 709 16108 709 16841 20851 16841 20891 16108 21088 10251 20851 4393 709 4393">
          <v:imagedata r:id="rId2" o:title="haut"/>
          <w10:wrap anchorx="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385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8" type="#_x0000_t75" style="position:absolute;left:0;text-align:left;margin-left:-11.8pt;margin-top:-4.3pt;width:91.2pt;height:56.1pt;z-index:2512890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06" type="#_x0000_t202" style="position:absolute;left:0;text-align:left;margin-left:170.9pt;margin-top:7.4pt;width:151.15pt;height:34.2pt;z-index:251287040" filled="f" stroked="f">
          <v:textbox style="mso-next-textbox:#_x0000_s3106">
            <w:txbxContent>
              <w:p w:rsidR="00035BE3" w:rsidRPr="00C019AA" w:rsidRDefault="00035BE3" w:rsidP="00C10469">
                <w:pPr>
                  <w:ind w:firstLine="0"/>
                  <w:rPr>
                    <w:rFonts w:cs="AL-Mateen"/>
                    <w:sz w:val="24"/>
                    <w:szCs w:val="24"/>
                    <w:rtl/>
                  </w:rPr>
                </w:pPr>
                <w:r w:rsidRPr="00AF78DA">
                  <w:rPr>
                    <w:rFonts w:cs="AL-Mateen" w:hint="cs"/>
                    <w:sz w:val="24"/>
                    <w:szCs w:val="24"/>
                    <w:rtl/>
                  </w:rPr>
                  <w:t>ق41 :  إِقْرَارُ الإِنْسَانِ لَيْسَ بِحُجَّةٍ عَلَى غَيْرِهِ.</w:t>
                </w:r>
              </w:p>
            </w:txbxContent>
          </v:textbox>
          <w10:wrap anchorx="page"/>
        </v:shape>
      </w:pict>
    </w:r>
    <w:r>
      <w:rPr>
        <w:noProof/>
        <w:rtl/>
        <w:lang w:val="en-US"/>
      </w:rPr>
      <w:pict>
        <v:shape id="_x0000_s3105" type="#_x0000_t202" style="position:absolute;left:0;text-align:left;margin-left:324.8pt;margin-top:3.4pt;width:99.75pt;height:31.35pt;z-index:251286016" filled="f" stroked="f">
          <v:textbox style="mso-next-textbox:#_x0000_s31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07" type="#_x0000_t75" style="position:absolute;left:0;text-align:left;margin-left:62.55pt;margin-top:.55pt;width:359.1pt;height:44.85pt;z-index:-252028416;mso-wrap-edited:f" wrapcoords="709 4393 473 10251 709 16108 709 16841 20851 16841 20891 16108 21088 10251 20851 4393 709 4393">
          <v:imagedata r:id="rId2" o:title="haut"/>
          <w10:wrap anchorx="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DB59CC">
    <w:pPr>
      <w:pStyle w:val="a3"/>
      <w:framePr w:wrap="around" w:vAnchor="text" w:hAnchor="page" w:x="2158"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186</w:t>
    </w:r>
    <w:r>
      <w:rPr>
        <w:rStyle w:val="a5"/>
        <w:rtl/>
      </w:rPr>
      <w:fldChar w:fldCharType="end"/>
    </w:r>
  </w:p>
  <w:p w:rsidR="00035BE3" w:rsidRDefault="00035BE3" w:rsidP="00DB59CC">
    <w:pPr>
      <w:pStyle w:val="a3"/>
      <w:ind w:right="360"/>
      <w:rPr>
        <w:rtl/>
      </w:rPr>
    </w:pPr>
    <w:r>
      <w:rPr>
        <w:noProof/>
        <w:rtl/>
        <w:lang w:val="en-US"/>
      </w:rPr>
      <w:drawing>
        <wp:anchor distT="0" distB="0" distL="114300" distR="114300" simplePos="0" relativeHeight="251110912" behindDoc="0" locked="0" layoutInCell="1" allowOverlap="1" wp14:anchorId="2BA94806" wp14:editId="183CE327">
          <wp:simplePos x="0" y="0"/>
          <wp:positionH relativeFrom="column">
            <wp:posOffset>-127000</wp:posOffset>
          </wp:positionH>
          <wp:positionV relativeFrom="paragraph">
            <wp:posOffset>-54610</wp:posOffset>
          </wp:positionV>
          <wp:extent cx="1158240" cy="712470"/>
          <wp:effectExtent l="0" t="0" r="0" b="0"/>
          <wp:wrapNone/>
          <wp:docPr id="108" name="صورة 108" descr="hiche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hemi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en-US"/>
      </w:rPr>
      <mc:AlternateContent>
        <mc:Choice Requires="wps">
          <w:drawing>
            <wp:anchor distT="0" distB="0" distL="114300" distR="114300" simplePos="0" relativeHeight="251111936" behindDoc="0" locked="0" layoutInCell="1" allowOverlap="1" wp14:anchorId="72E301E4" wp14:editId="09CC86E9">
              <wp:simplePos x="0" y="0"/>
              <wp:positionH relativeFrom="column">
                <wp:posOffset>2449830</wp:posOffset>
              </wp:positionH>
              <wp:positionV relativeFrom="paragraph">
                <wp:posOffset>68580</wp:posOffset>
              </wp:positionV>
              <wp:extent cx="1719580" cy="434340"/>
              <wp:effectExtent l="0" t="0" r="0" b="0"/>
              <wp:wrapNone/>
              <wp:docPr id="106" name="مربع ن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rsidP="00EB5FFB">
                          <w:pPr>
                            <w:ind w:firstLine="0"/>
                            <w:rPr>
                              <w:rFonts w:cs="AL-Mateen"/>
                              <w:sz w:val="28"/>
                              <w:szCs w:val="28"/>
                              <w:rtl/>
                              <w:lang w:bidi="ar-AE"/>
                            </w:rPr>
                          </w:pPr>
                          <w:r>
                            <w:rPr>
                              <w:rFonts w:cs="AL-Mateen" w:hint="cs"/>
                              <w:sz w:val="28"/>
                              <w:szCs w:val="28"/>
                              <w:rtl/>
                              <w:lang w:bidi="ar-AE"/>
                            </w:rPr>
                            <w:t>الفصل الثاني: الكتاب</w:t>
                          </w:r>
                          <w:r w:rsidRPr="00502EBE">
                            <w:rPr>
                              <w:rFonts w:cs="AL-Mateen" w:hint="cs"/>
                              <w:sz w:val="28"/>
                              <w:szCs w:val="28"/>
                              <w:rtl/>
                              <w:lang w:bidi="ar-A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301E4" id="_x0000_t202" coordsize="21600,21600" o:spt="202" path="m,l,21600r21600,l21600,xe">
              <v:stroke joinstyle="miter"/>
              <v:path gradientshapeok="t" o:connecttype="rect"/>
            </v:shapetype>
            <v:shape id="مربع نص 106" o:spid="_x0000_s1030" type="#_x0000_t202" style="position:absolute;left:0;text-align:left;margin-left:192.9pt;margin-top:5.4pt;width:135.4pt;height:34.2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" filled="f" stroked="f">
              <v:textbox>
                <w:txbxContent>
                  <w:p w:rsidR="00035BE3" w:rsidRPr="00502EBE" w:rsidRDefault="00035BE3" w:rsidP="00EB5FFB">
                    <w:pPr>
                      <w:ind w:firstLine="0"/>
                      <w:rPr>
                        <w:rFonts w:cs="AL-Mateen"/>
                        <w:sz w:val="28"/>
                        <w:szCs w:val="28"/>
                        <w:rtl/>
                        <w:lang w:bidi="ar-AE"/>
                      </w:rPr>
                    </w:pPr>
                    <w:r>
                      <w:rPr>
                        <w:rFonts w:cs="AL-Mateen" w:hint="cs"/>
                        <w:sz w:val="28"/>
                        <w:szCs w:val="28"/>
                        <w:rtl/>
                        <w:lang w:bidi="ar-AE"/>
                      </w:rPr>
                      <w:t>الفصل الثاني: الكتاب</w:t>
                    </w:r>
                    <w:r w:rsidRPr="00502EBE">
                      <w:rPr>
                        <w:rFonts w:cs="AL-Mateen" w:hint="cs"/>
                        <w:sz w:val="28"/>
                        <w:szCs w:val="28"/>
                        <w:rtl/>
                        <w:lang w:bidi="ar-AE"/>
                      </w:rPr>
                      <w:t>.</w:t>
                    </w:r>
                  </w:p>
                </w:txbxContent>
              </v:textbox>
            </v:shape>
          </w:pict>
        </mc:Fallback>
      </mc:AlternateContent>
    </w:r>
    <w:r>
      <w:rPr>
        <w:noProof/>
        <w:rtl/>
        <w:lang w:val="en-US"/>
      </w:rPr>
      <mc:AlternateContent>
        <mc:Choice Requires="wps">
          <w:drawing>
            <wp:anchor distT="0" distB="0" distL="114300" distR="114300" simplePos="0" relativeHeight="251109888" behindDoc="0" locked="0" layoutInCell="1" allowOverlap="1" wp14:anchorId="06604E86" wp14:editId="37B10ECC">
              <wp:simplePos x="0" y="0"/>
              <wp:positionH relativeFrom="column">
                <wp:posOffset>4216400</wp:posOffset>
              </wp:positionH>
              <wp:positionV relativeFrom="paragraph">
                <wp:posOffset>68580</wp:posOffset>
              </wp:positionV>
              <wp:extent cx="1266825" cy="398145"/>
              <wp:effectExtent l="0" t="0" r="0" b="0"/>
              <wp:wrapNone/>
              <wp:docPr id="107" name="مربع ن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pPr>
                            <w:ind w:firstLine="0"/>
                            <w:jc w:val="center"/>
                            <w:rPr>
                              <w:rFonts w:cs="AL-Mateen"/>
                              <w:sz w:val="28"/>
                              <w:szCs w:val="28"/>
                              <w:rtl/>
                              <w:lang w:bidi="ar-AE"/>
                            </w:rPr>
                          </w:pPr>
                          <w:r w:rsidRPr="00502EBE">
                            <w:rPr>
                              <w:rFonts w:cs="AL-Mateen" w:hint="cs"/>
                              <w:sz w:val="28"/>
                              <w:szCs w:val="28"/>
                              <w:rtl/>
                              <w:lang w:bidi="ar-AE"/>
                            </w:rPr>
                            <w:t>القسم الدراسي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4E86" id="مربع نص 107" o:spid="_x0000_s1031" type="#_x0000_t202" style="position:absolute;left:0;text-align:left;margin-left:332pt;margin-top:5.4pt;width:99.75pt;height:31.35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" filled="f" stroked="f">
              <v:textbox>
                <w:txbxContent>
                  <w:p w:rsidR="00035BE3" w:rsidRPr="00502EBE" w:rsidRDefault="00035BE3">
                    <w:pPr>
                      <w:ind w:firstLine="0"/>
                      <w:jc w:val="center"/>
                      <w:rPr>
                        <w:rFonts w:cs="AL-Mateen"/>
                        <w:sz w:val="28"/>
                        <w:szCs w:val="28"/>
                        <w:rtl/>
                        <w:lang w:bidi="ar-AE"/>
                      </w:rPr>
                    </w:pPr>
                    <w:r w:rsidRPr="00502EBE">
                      <w:rPr>
                        <w:rFonts w:cs="AL-Mateen" w:hint="cs"/>
                        <w:sz w:val="28"/>
                        <w:szCs w:val="28"/>
                        <w:rtl/>
                        <w:lang w:bidi="ar-AE"/>
                      </w:rPr>
                      <w:t>القسم الدراسي</w:t>
                    </w:r>
                  </w:p>
                </w:txbxContent>
              </v:textbox>
            </v:shape>
          </w:pict>
        </mc:Fallback>
      </mc:AlternateContent>
    </w:r>
    <w:r>
      <w:rPr>
        <w:noProof/>
        <w:rtl/>
        <w:lang w:val="en-US"/>
      </w:rPr>
      <w:drawing>
        <wp:anchor distT="0" distB="0" distL="114300" distR="114300" simplePos="0" relativeHeight="251112960" behindDoc="1" locked="0" layoutInCell="1" allowOverlap="1" wp14:anchorId="1E9170B8" wp14:editId="4C9DF6B2">
          <wp:simplePos x="0" y="0"/>
          <wp:positionH relativeFrom="column">
            <wp:posOffset>792480</wp:posOffset>
          </wp:positionH>
          <wp:positionV relativeFrom="paragraph">
            <wp:posOffset>-3175</wp:posOffset>
          </wp:positionV>
          <wp:extent cx="4679950" cy="569595"/>
          <wp:effectExtent l="0" t="0" r="0" b="0"/>
          <wp:wrapNone/>
          <wp:docPr id="109" name="صورة 109" descr="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u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0" cy="569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394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12" type="#_x0000_t75" style="position:absolute;left:0;text-align:left;margin-left:-11.8pt;margin-top:-4.3pt;width:91.2pt;height:56.1pt;z-index:2512931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10" type="#_x0000_t202" style="position:absolute;left:0;text-align:left;margin-left:170.9pt;margin-top:7.4pt;width:151.15pt;height:34.2pt;z-index:251291136" filled="f" stroked="f">
          <v:textbox style="mso-next-textbox:#_x0000_s3110">
            <w:txbxContent>
              <w:p w:rsidR="00035BE3" w:rsidRPr="00C019AA" w:rsidRDefault="00035BE3" w:rsidP="00C10469">
                <w:pPr>
                  <w:ind w:firstLine="0"/>
                  <w:rPr>
                    <w:rFonts w:cs="AL-Mateen"/>
                    <w:sz w:val="24"/>
                    <w:szCs w:val="24"/>
                    <w:rtl/>
                  </w:rPr>
                </w:pPr>
                <w:r w:rsidRPr="00233006">
                  <w:rPr>
                    <w:rFonts w:cs="AL-Mateen" w:hint="cs"/>
                    <w:sz w:val="24"/>
                    <w:szCs w:val="24"/>
                    <w:rtl/>
                  </w:rPr>
                  <w:t>ق42 :  الإقرار لا يكون سبـبًا للاستحقاق.</w:t>
                </w:r>
              </w:p>
            </w:txbxContent>
          </v:textbox>
          <w10:wrap anchorx="page"/>
        </v:shape>
      </w:pict>
    </w:r>
    <w:r>
      <w:rPr>
        <w:noProof/>
        <w:rtl/>
        <w:lang w:val="en-US"/>
      </w:rPr>
      <w:pict>
        <v:shape id="_x0000_s3109" type="#_x0000_t202" style="position:absolute;left:0;text-align:left;margin-left:324.8pt;margin-top:3.4pt;width:99.75pt;height:31.35pt;z-index:251290112" filled="f" stroked="f">
          <v:textbox style="mso-next-textbox:#_x0000_s31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11" type="#_x0000_t75" style="position:absolute;left:0;text-align:left;margin-left:62.55pt;margin-top:.55pt;width:359.1pt;height:44.85pt;z-index:-252024320;mso-wrap-edited:f" wrapcoords="709 4393 473 10251 709 16108 709 16841 20851 16841 20891 16108 21088 10251 20851 4393 709 4393">
          <v:imagedata r:id="rId2" o:title="haut"/>
          <w10:wrap anchorx="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395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16" type="#_x0000_t75" style="position:absolute;left:0;text-align:left;margin-left:-11.8pt;margin-top:-4.3pt;width:91.2pt;height:56.1pt;z-index:2512972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14" type="#_x0000_t202" style="position:absolute;left:0;text-align:left;margin-left:170.9pt;margin-top:7.4pt;width:151.15pt;height:34.2pt;z-index:251295232" filled="f" stroked="f">
          <v:textbox style="mso-next-textbox:#_x0000_s3114">
            <w:txbxContent>
              <w:p w:rsidR="00035BE3" w:rsidRPr="00C019AA" w:rsidRDefault="00035BE3" w:rsidP="00C10469">
                <w:pPr>
                  <w:ind w:firstLine="0"/>
                  <w:rPr>
                    <w:rFonts w:cs="AL-Mateen"/>
                    <w:sz w:val="24"/>
                    <w:szCs w:val="24"/>
                    <w:rtl/>
                  </w:rPr>
                </w:pPr>
                <w:r w:rsidRPr="00303EF0">
                  <w:rPr>
                    <w:rFonts w:cs="AL-Mateen" w:hint="cs"/>
                    <w:sz w:val="24"/>
                    <w:szCs w:val="24"/>
                    <w:rtl/>
                  </w:rPr>
                  <w:t>ق43 :  الإِقْرَارُ لِشَيءٍ لاَ يَبْطُلُ بِالإِنْكَارِ اللاَّحِقِ.</w:t>
                </w:r>
              </w:p>
            </w:txbxContent>
          </v:textbox>
          <w10:wrap anchorx="page"/>
        </v:shape>
      </w:pict>
    </w:r>
    <w:r>
      <w:rPr>
        <w:noProof/>
        <w:rtl/>
        <w:lang w:val="en-US"/>
      </w:rPr>
      <w:pict>
        <v:shape id="_x0000_s3113" type="#_x0000_t202" style="position:absolute;left:0;text-align:left;margin-left:324.8pt;margin-top:3.4pt;width:99.75pt;height:31.35pt;z-index:251294208" filled="f" stroked="f">
          <v:textbox style="mso-next-textbox:#_x0000_s31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15" type="#_x0000_t75" style="position:absolute;left:0;text-align:left;margin-left:62.55pt;margin-top:.55pt;width:359.1pt;height:44.85pt;z-index:-252020224;mso-wrap-edited:f" wrapcoords="709 4393 473 10251 709 16108 709 16841 20851 16841 20891 16108 21088 10251 20851 4393 709 4393">
          <v:imagedata r:id="rId2" o:title="haut"/>
          <w10:wrap anchorx="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398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20" type="#_x0000_t75" style="position:absolute;left:0;text-align:left;margin-left:-11.8pt;margin-top:-4.3pt;width:91.2pt;height:56.1pt;z-index:2513013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18" type="#_x0000_t202" style="position:absolute;left:0;text-align:left;margin-left:170.9pt;margin-top:7.4pt;width:151.15pt;height:34.2pt;z-index:251299328" filled="f" stroked="f">
          <v:textbox style="mso-next-textbox:#_x0000_s3118">
            <w:txbxContent>
              <w:p w:rsidR="00035BE3" w:rsidRPr="00C019AA" w:rsidRDefault="00035BE3" w:rsidP="00C10469">
                <w:pPr>
                  <w:ind w:firstLine="0"/>
                  <w:rPr>
                    <w:rFonts w:cs="AL-Mateen"/>
                    <w:sz w:val="24"/>
                    <w:szCs w:val="24"/>
                    <w:rtl/>
                  </w:rPr>
                </w:pPr>
                <w:r w:rsidRPr="003C0DFC">
                  <w:rPr>
                    <w:rFonts w:cs="AL-Mateen" w:hint="cs"/>
                    <w:sz w:val="24"/>
                    <w:szCs w:val="24"/>
                    <w:rtl/>
                  </w:rPr>
                  <w:t>ق44 :  الإِقْرَارُ لاَ يَرْتَدُّ بِالرَّدِّ.</w:t>
                </w:r>
              </w:p>
            </w:txbxContent>
          </v:textbox>
          <w10:wrap anchorx="page"/>
        </v:shape>
      </w:pict>
    </w:r>
    <w:r>
      <w:rPr>
        <w:noProof/>
        <w:rtl/>
        <w:lang w:val="en-US"/>
      </w:rPr>
      <w:pict>
        <v:shape id="_x0000_s3117" type="#_x0000_t202" style="position:absolute;left:0;text-align:left;margin-left:324.8pt;margin-top:3.4pt;width:99.75pt;height:31.35pt;z-index:251298304" filled="f" stroked="f">
          <v:textbox style="mso-next-textbox:#_x0000_s31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19" type="#_x0000_t75" style="position:absolute;left:0;text-align:left;margin-left:62.55pt;margin-top:.55pt;width:359.1pt;height:44.85pt;z-index:-252016128;mso-wrap-edited:f" wrapcoords="709 4393 473 10251 709 16108 709 16841 20851 16841 20891 16108 21088 10251 20851 4393 709 4393">
          <v:imagedata r:id="rId2" o:title="haut"/>
          <w10:wrap anchorx="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400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24" type="#_x0000_t75" style="position:absolute;left:0;text-align:left;margin-left:-11.8pt;margin-top:-4.3pt;width:91.2pt;height:56.1pt;z-index:2513054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22" type="#_x0000_t202" style="position:absolute;left:0;text-align:left;margin-left:170.9pt;margin-top:7.4pt;width:151.15pt;height:34.2pt;z-index:251303424" filled="f" stroked="f">
          <v:textbox style="mso-next-textbox:#_x0000_s3122">
            <w:txbxContent>
              <w:p w:rsidR="00035BE3" w:rsidRPr="00C019AA" w:rsidRDefault="00035BE3" w:rsidP="00C10469">
                <w:pPr>
                  <w:ind w:firstLine="0"/>
                  <w:rPr>
                    <w:rFonts w:cs="AL-Mateen"/>
                    <w:sz w:val="24"/>
                    <w:szCs w:val="24"/>
                    <w:rtl/>
                  </w:rPr>
                </w:pPr>
                <w:r w:rsidRPr="001622CD">
                  <w:rPr>
                    <w:rFonts w:cs="AL-Mateen" w:hint="cs"/>
                    <w:sz w:val="24"/>
                    <w:szCs w:val="24"/>
                    <w:rtl/>
                  </w:rPr>
                  <w:t>ق45 :  الإِقْرَارُ غيرُ معتبرٍ إذا تَضَمَّنَ إبْطَالَ حَقِّ الغَيْرِ.</w:t>
                </w:r>
              </w:p>
            </w:txbxContent>
          </v:textbox>
          <w10:wrap anchorx="page"/>
        </v:shape>
      </w:pict>
    </w:r>
    <w:r>
      <w:rPr>
        <w:noProof/>
        <w:rtl/>
        <w:lang w:val="en-US"/>
      </w:rPr>
      <w:pict>
        <v:shape id="_x0000_s3121" type="#_x0000_t202" style="position:absolute;left:0;text-align:left;margin-left:324.8pt;margin-top:3.4pt;width:99.75pt;height:31.35pt;z-index:251302400" filled="f" stroked="f">
          <v:textbox style="mso-next-textbox:#_x0000_s31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23" type="#_x0000_t75" style="position:absolute;left:0;text-align:left;margin-left:62.55pt;margin-top:.55pt;width:359.1pt;height:44.85pt;z-index:-252012032;mso-wrap-edited:f" wrapcoords="709 4393 473 10251 709 16108 709 16841 20851 16841 20891 16108 21088 10251 20851 4393 709 4393">
          <v:imagedata r:id="rId2" o:title="haut"/>
          <w10:wrap anchorx="page"/>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403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28" type="#_x0000_t75" style="position:absolute;left:0;text-align:left;margin-left:-11.8pt;margin-top:-4.3pt;width:91.2pt;height:56.1pt;z-index:2513095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26" type="#_x0000_t202" style="position:absolute;left:0;text-align:left;margin-left:170.9pt;margin-top:7.4pt;width:151.15pt;height:34.2pt;z-index:251307520" filled="f" stroked="f">
          <v:textbox style="mso-next-textbox:#_x0000_s3126">
            <w:txbxContent>
              <w:p w:rsidR="00035BE3" w:rsidRPr="00C019AA" w:rsidRDefault="00035BE3" w:rsidP="00C10469">
                <w:pPr>
                  <w:ind w:firstLine="0"/>
                  <w:rPr>
                    <w:rFonts w:cs="AL-Mateen"/>
                    <w:sz w:val="24"/>
                    <w:szCs w:val="24"/>
                    <w:rtl/>
                  </w:rPr>
                </w:pPr>
                <w:r w:rsidRPr="00E71B4B">
                  <w:rPr>
                    <w:rFonts w:cs="AL-Mateen" w:hint="cs"/>
                    <w:sz w:val="24"/>
                    <w:szCs w:val="24"/>
                    <w:rtl/>
                  </w:rPr>
                  <w:t>ق46 :  الأَمْرُ بالتَّصَرُّفِ فِي مِلْكِ الغَيْرِ بَاطِلٌ.</w:t>
                </w:r>
                <w:r w:rsidRPr="001622CD">
                  <w:rPr>
                    <w:rFonts w:cs="AL-Mateen" w:hint="cs"/>
                    <w:sz w:val="24"/>
                    <w:szCs w:val="24"/>
                    <w:rtl/>
                  </w:rPr>
                  <w:t>.</w:t>
                </w:r>
              </w:p>
            </w:txbxContent>
          </v:textbox>
          <w10:wrap anchorx="page"/>
        </v:shape>
      </w:pict>
    </w:r>
    <w:r>
      <w:rPr>
        <w:noProof/>
        <w:rtl/>
        <w:lang w:val="en-US"/>
      </w:rPr>
      <w:pict>
        <v:shape id="_x0000_s3125" type="#_x0000_t202" style="position:absolute;left:0;text-align:left;margin-left:324.8pt;margin-top:3.4pt;width:99.75pt;height:31.35pt;z-index:251306496" filled="f" stroked="f">
          <v:textbox style="mso-next-textbox:#_x0000_s31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27" type="#_x0000_t75" style="position:absolute;left:0;text-align:left;margin-left:62.55pt;margin-top:.55pt;width:359.1pt;height:44.85pt;z-index:-252007936;mso-wrap-edited:f" wrapcoords="709 4393 473 10251 709 16108 709 16841 20851 16841 20891 16108 21088 10251 20851 4393 709 4393">
          <v:imagedata r:id="rId2" o:title="haut"/>
          <w10:wrap anchorx="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414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32" type="#_x0000_t75" style="position:absolute;left:0;text-align:left;margin-left:-11.8pt;margin-top:-4.3pt;width:91.2pt;height:56.1pt;z-index:2513136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30" type="#_x0000_t202" style="position:absolute;left:0;text-align:left;margin-left:170.9pt;margin-top:7.4pt;width:151.15pt;height:34.2pt;z-index:251311616" filled="f" stroked="f">
          <v:textbox style="mso-next-textbox:#_x0000_s3130">
            <w:txbxContent>
              <w:p w:rsidR="00035BE3" w:rsidRPr="00C019AA" w:rsidRDefault="00035BE3" w:rsidP="00C10469">
                <w:pPr>
                  <w:ind w:firstLine="0"/>
                  <w:rPr>
                    <w:rFonts w:cs="AL-Mateen"/>
                    <w:sz w:val="24"/>
                    <w:szCs w:val="24"/>
                    <w:rtl/>
                  </w:rPr>
                </w:pPr>
                <w:r w:rsidRPr="001F67F8">
                  <w:rPr>
                    <w:rFonts w:cs="AL-Mateen" w:hint="cs"/>
                    <w:sz w:val="24"/>
                    <w:szCs w:val="24"/>
                    <w:rtl/>
                  </w:rPr>
                  <w:t>ق47 :  الأَمْرُ يُفِيدُ وُجُوبَ إِيْقَاعِ الفِعْلِ مَرَّةً.</w:t>
                </w:r>
                <w:r w:rsidRPr="001622CD">
                  <w:rPr>
                    <w:rFonts w:cs="AL-Mateen" w:hint="cs"/>
                    <w:sz w:val="24"/>
                    <w:szCs w:val="24"/>
                    <w:rtl/>
                  </w:rPr>
                  <w:t>.</w:t>
                </w:r>
              </w:p>
            </w:txbxContent>
          </v:textbox>
          <w10:wrap anchorx="page"/>
        </v:shape>
      </w:pict>
    </w:r>
    <w:r>
      <w:rPr>
        <w:noProof/>
        <w:rtl/>
        <w:lang w:val="en-US"/>
      </w:rPr>
      <w:pict>
        <v:shape id="_x0000_s3129" type="#_x0000_t202" style="position:absolute;left:0;text-align:left;margin-left:324.8pt;margin-top:3.4pt;width:99.75pt;height:31.35pt;z-index:251310592" filled="f" stroked="f">
          <v:textbox style="mso-next-textbox:#_x0000_s31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31" type="#_x0000_t75" style="position:absolute;left:0;text-align:left;margin-left:62.55pt;margin-top:.55pt;width:359.1pt;height:44.85pt;z-index:-252003840;mso-wrap-edited:f" wrapcoords="709 4393 473 10251 709 16108 709 16841 20851 16841 20891 16108 21088 10251 20851 4393 709 4393">
          <v:imagedata r:id="rId2" o:title="haut"/>
          <w10:wrap anchorx="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417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36" type="#_x0000_t75" style="position:absolute;left:0;text-align:left;margin-left:-11.8pt;margin-top:-4.3pt;width:91.2pt;height:56.1pt;z-index:2513177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34" type="#_x0000_t202" style="position:absolute;left:0;text-align:left;margin-left:170.9pt;margin-top:7.4pt;width:151.15pt;height:34.2pt;z-index:251315712" filled="f" stroked="f">
          <v:textbox style="mso-next-textbox:#_x0000_s3134">
            <w:txbxContent>
              <w:p w:rsidR="00035BE3" w:rsidRPr="00C91E56" w:rsidRDefault="00035BE3" w:rsidP="00C10469">
                <w:pPr>
                  <w:ind w:firstLine="0"/>
                  <w:rPr>
                    <w:rFonts w:cs="AL-Mateen"/>
                    <w:sz w:val="24"/>
                    <w:szCs w:val="24"/>
                    <w:rtl/>
                  </w:rPr>
                </w:pPr>
                <w:r w:rsidRPr="00C91E56">
                  <w:rPr>
                    <w:rFonts w:cs="AL-Mateen" w:hint="cs"/>
                    <w:sz w:val="24"/>
                    <w:szCs w:val="24"/>
                    <w:rtl/>
                  </w:rPr>
                  <w:t>ق48 :  الأُمُورُ بمقاصِدِهَا.</w:t>
                </w: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33" type="#_x0000_t202" style="position:absolute;left:0;text-align:left;margin-left:324.8pt;margin-top:3.4pt;width:99.75pt;height:31.35pt;z-index:251314688" filled="f" stroked="f">
          <v:textbox style="mso-next-textbox:#_x0000_s31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35" type="#_x0000_t75" style="position:absolute;left:0;text-align:left;margin-left:62.55pt;margin-top:.55pt;width:359.1pt;height:44.85pt;z-index:-251999744;mso-wrap-edited:f" wrapcoords="709 4393 473 10251 709 16108 709 16841 20851 16841 20891 16108 21088 10251 20851 4393 709 4393">
          <v:imagedata r:id="rId2" o:title="haut"/>
          <w10:wrap anchorx="page"/>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421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40" type="#_x0000_t75" style="position:absolute;left:0;text-align:left;margin-left:-11.8pt;margin-top:-4.3pt;width:91.2pt;height:56.1pt;z-index:2513218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38" type="#_x0000_t202" style="position:absolute;left:0;text-align:left;margin-left:170.9pt;margin-top:7.4pt;width:151.15pt;height:34.2pt;z-index:251319808" filled="f" stroked="f">
          <v:textbox style="mso-next-textbox:#_x0000_s3138">
            <w:txbxContent>
              <w:p w:rsidR="00035BE3" w:rsidRPr="00C91E56" w:rsidRDefault="00035BE3" w:rsidP="00C10469">
                <w:pPr>
                  <w:ind w:firstLine="0"/>
                  <w:rPr>
                    <w:rFonts w:cs="AL-Mateen"/>
                    <w:sz w:val="24"/>
                    <w:szCs w:val="24"/>
                    <w:rtl/>
                  </w:rPr>
                </w:pPr>
                <w:r w:rsidRPr="0018266C">
                  <w:rPr>
                    <w:rFonts w:cs="AL-Mateen" w:hint="cs"/>
                    <w:sz w:val="24"/>
                    <w:szCs w:val="24"/>
                    <w:rtl/>
                  </w:rPr>
                  <w:t>ق49 :  الأَيْمَانُ مَبْنِيَّةٌ عَلَى الأَلْفَاظِ والعُرْفِ، لاَ عَلَى الأغْرَاضِ</w:t>
                </w: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37" type="#_x0000_t202" style="position:absolute;left:0;text-align:left;margin-left:324.8pt;margin-top:3.4pt;width:99.75pt;height:31.35pt;z-index:251318784" filled="f" stroked="f">
          <v:textbox style="mso-next-textbox:#_x0000_s31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39" type="#_x0000_t75" style="position:absolute;left:0;text-align:left;margin-left:62.55pt;margin-top:.55pt;width:359.1pt;height:44.85pt;z-index:-251995648;mso-wrap-edited:f" wrapcoords="709 4393 473 10251 709 16108 709 16841 20851 16841 20891 16108 21088 10251 20851 4393 709 4393">
          <v:imagedata r:id="rId2" o:title="haut"/>
          <w10:wrap anchorx="page"/>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423</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44" type="#_x0000_t75" style="position:absolute;left:0;text-align:left;margin-left:-11.8pt;margin-top:-4.3pt;width:91.2pt;height:56.1pt;z-index:2513259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42" type="#_x0000_t202" style="position:absolute;left:0;text-align:left;margin-left:170.9pt;margin-top:7.4pt;width:151.15pt;height:34.2pt;z-index:251323904" filled="f" stroked="f">
          <v:textbox style="mso-next-textbox:#_x0000_s3142">
            <w:txbxContent>
              <w:p w:rsidR="00035BE3" w:rsidRPr="00977FC4" w:rsidRDefault="00035BE3" w:rsidP="00C10469">
                <w:pPr>
                  <w:ind w:firstLine="0"/>
                  <w:rPr>
                    <w:rFonts w:cs="AL-Mateen"/>
                    <w:sz w:val="23"/>
                    <w:szCs w:val="23"/>
                    <w:rtl/>
                  </w:rPr>
                </w:pPr>
                <w:r w:rsidRPr="00977FC4">
                  <w:rPr>
                    <w:rFonts w:cs="AL-Mateen" w:hint="cs"/>
                    <w:sz w:val="23"/>
                    <w:szCs w:val="23"/>
                    <w:rtl/>
                  </w:rPr>
                  <w:t>ق50 :  إِيجَابُ العَبْدِ مُعْتَبَرٌ بِإِيجَابِ اللَّهِ تَعَالَى.</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41" type="#_x0000_t202" style="position:absolute;left:0;text-align:left;margin-left:324.8pt;margin-top:3.4pt;width:99.75pt;height:31.35pt;z-index:251322880" filled="f" stroked="f">
          <v:textbox style="mso-next-textbox:#_x0000_s31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43" type="#_x0000_t75" style="position:absolute;left:0;text-align:left;margin-left:62.55pt;margin-top:.55pt;width:359.1pt;height:44.85pt;z-index:-251991552;mso-wrap-edited:f" wrapcoords="709 4393 473 10251 709 16108 709 16841 20851 16841 20891 16108 21088 10251 20851 4393 709 4393">
          <v:imagedata r:id="rId2" o:title="haut"/>
          <w10:wrap anchorx="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424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48" type="#_x0000_t75" style="position:absolute;left:0;text-align:left;margin-left:-11.8pt;margin-top:-4.3pt;width:91.2pt;height:56.1pt;z-index:2513300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46" type="#_x0000_t202" style="position:absolute;left:0;text-align:left;margin-left:170.9pt;margin-top:7.4pt;width:151.15pt;height:34.2pt;z-index:251328000" filled="f" stroked="f">
          <v:textbox style="mso-next-textbox:#_x0000_s3146">
            <w:txbxContent>
              <w:p w:rsidR="00035BE3" w:rsidRPr="00977FC4" w:rsidRDefault="00035BE3" w:rsidP="00C10469">
                <w:pPr>
                  <w:ind w:firstLine="0"/>
                  <w:rPr>
                    <w:rFonts w:cs="AL-Mateen"/>
                    <w:sz w:val="23"/>
                    <w:szCs w:val="23"/>
                    <w:rtl/>
                  </w:rPr>
                </w:pPr>
                <w:r w:rsidRPr="0059686A">
                  <w:rPr>
                    <w:rFonts w:cs="AL-Mateen" w:hint="cs"/>
                    <w:spacing w:val="-4"/>
                    <w:sz w:val="24"/>
                    <w:szCs w:val="24"/>
                    <w:rtl/>
                    <w:lang w:bidi="ar-AE"/>
                  </w:rPr>
                  <w:t>ق 51  :  البَعْضُ لاَ يَزِيْدُ عَلَى الكُلِّ إلاَّ فِي مسْـأَلةٍ وَاحِدَةٍ، وهي .</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45" type="#_x0000_t202" style="position:absolute;left:0;text-align:left;margin-left:324.8pt;margin-top:3.4pt;width:99.75pt;height:31.35pt;z-index:251326976" filled="f" stroked="f">
          <v:textbox style="mso-next-textbox:#_x0000_s31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47" type="#_x0000_t75" style="position:absolute;left:0;text-align:left;margin-left:62.55pt;margin-top:.55pt;width:359.1pt;height:44.85pt;z-index:-251987456;mso-wrap-edited:f" wrapcoords="709 4393 473 10251 709 16108 709 16841 20851 16841 20891 16108 21088 10251 20851 4393 709 4393">
          <v:imagedata r:id="rId2" o:title="haut"/>
          <w10:wrap anchorx="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DB59CC">
    <w:pPr>
      <w:pStyle w:val="a3"/>
      <w:framePr w:wrap="around" w:vAnchor="text" w:hAnchor="page" w:x="2158" w:y="27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228</w:t>
    </w:r>
    <w:r>
      <w:rPr>
        <w:rStyle w:val="a5"/>
        <w:rtl/>
      </w:rPr>
      <w:fldChar w:fldCharType="end"/>
    </w:r>
  </w:p>
  <w:p w:rsidR="00035BE3" w:rsidRDefault="00035BE3" w:rsidP="00DB59CC">
    <w:pPr>
      <w:pStyle w:val="a3"/>
      <w:ind w:right="360"/>
      <w:rPr>
        <w:rtl/>
      </w:rPr>
    </w:pPr>
    <w:r>
      <w:rPr>
        <w:noProof/>
        <w:rtl/>
        <w:lang w:val="en-US"/>
      </w:rPr>
      <w:drawing>
        <wp:anchor distT="0" distB="0" distL="114300" distR="114300" simplePos="0" relativeHeight="251115008" behindDoc="0" locked="0" layoutInCell="1" allowOverlap="1" wp14:anchorId="44E5298C" wp14:editId="2677C2D7">
          <wp:simplePos x="0" y="0"/>
          <wp:positionH relativeFrom="column">
            <wp:posOffset>-127000</wp:posOffset>
          </wp:positionH>
          <wp:positionV relativeFrom="paragraph">
            <wp:posOffset>-54610</wp:posOffset>
          </wp:positionV>
          <wp:extent cx="1158240" cy="712470"/>
          <wp:effectExtent l="0" t="0" r="0" b="0"/>
          <wp:wrapNone/>
          <wp:docPr id="163" name="صورة 163" descr="hiche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hemi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en-US"/>
      </w:rPr>
      <mc:AlternateContent>
        <mc:Choice Requires="wps">
          <w:drawing>
            <wp:anchor distT="0" distB="0" distL="114300" distR="114300" simplePos="0" relativeHeight="251116032" behindDoc="0" locked="0" layoutInCell="1" allowOverlap="1" wp14:anchorId="5B7A89EC" wp14:editId="0709F815">
              <wp:simplePos x="0" y="0"/>
              <wp:positionH relativeFrom="column">
                <wp:posOffset>2449830</wp:posOffset>
              </wp:positionH>
              <wp:positionV relativeFrom="paragraph">
                <wp:posOffset>68580</wp:posOffset>
              </wp:positionV>
              <wp:extent cx="1719580" cy="434340"/>
              <wp:effectExtent l="0" t="0" r="0" b="0"/>
              <wp:wrapNone/>
              <wp:docPr id="112" name="مربع ن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rsidP="000F31FE">
                          <w:pPr>
                            <w:ind w:firstLine="0"/>
                            <w:rPr>
                              <w:rFonts w:cs="AL-Mateen"/>
                              <w:sz w:val="28"/>
                              <w:szCs w:val="28"/>
                              <w:rtl/>
                              <w:lang w:bidi="ar-AE"/>
                            </w:rPr>
                          </w:pPr>
                          <w:r>
                            <w:rPr>
                              <w:rFonts w:cs="AL-Mateen" w:hint="cs"/>
                              <w:sz w:val="28"/>
                              <w:szCs w:val="28"/>
                              <w:rtl/>
                              <w:lang w:bidi="ar-AE"/>
                            </w:rPr>
                            <w:t>مقدمة التحقيق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A89EC" id="_x0000_t202" coordsize="21600,21600" o:spt="202" path="m,l,21600r21600,l21600,xe">
              <v:stroke joinstyle="miter"/>
              <v:path gradientshapeok="t" o:connecttype="rect"/>
            </v:shapetype>
            <v:shape id="مربع نص 112" o:spid="_x0000_s1032" type="#_x0000_t202" style="position:absolute;left:0;text-align:left;margin-left:192.9pt;margin-top:5.4pt;width:135.4pt;height:34.2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" filled="f" stroked="f">
              <v:textbox>
                <w:txbxContent>
                  <w:p w:rsidR="00035BE3" w:rsidRPr="00502EBE" w:rsidRDefault="00035BE3" w:rsidP="000F31FE">
                    <w:pPr>
                      <w:ind w:firstLine="0"/>
                      <w:rPr>
                        <w:rFonts w:cs="AL-Mateen"/>
                        <w:sz w:val="28"/>
                        <w:szCs w:val="28"/>
                        <w:rtl/>
                        <w:lang w:bidi="ar-AE"/>
                      </w:rPr>
                    </w:pPr>
                    <w:r>
                      <w:rPr>
                        <w:rFonts w:cs="AL-Mateen" w:hint="cs"/>
                        <w:sz w:val="28"/>
                        <w:szCs w:val="28"/>
                        <w:rtl/>
                        <w:lang w:bidi="ar-AE"/>
                      </w:rPr>
                      <w:t>مقدمة التحقيق</w:t>
                    </w:r>
                  </w:p>
                </w:txbxContent>
              </v:textbox>
            </v:shape>
          </w:pict>
        </mc:Fallback>
      </mc:AlternateContent>
    </w:r>
    <w:r>
      <w:rPr>
        <w:noProof/>
        <w:rtl/>
        <w:lang w:val="en-US"/>
      </w:rPr>
      <mc:AlternateContent>
        <mc:Choice Requires="wps">
          <w:drawing>
            <wp:anchor distT="0" distB="0" distL="114300" distR="114300" simplePos="0" relativeHeight="251113984" behindDoc="0" locked="0" layoutInCell="1" allowOverlap="1" wp14:anchorId="247EECD6" wp14:editId="345091DA">
              <wp:simplePos x="0" y="0"/>
              <wp:positionH relativeFrom="column">
                <wp:posOffset>4216400</wp:posOffset>
              </wp:positionH>
              <wp:positionV relativeFrom="paragraph">
                <wp:posOffset>68580</wp:posOffset>
              </wp:positionV>
              <wp:extent cx="1266825" cy="398145"/>
              <wp:effectExtent l="0" t="0" r="0" b="0"/>
              <wp:wrapNone/>
              <wp:docPr id="113"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BE3" w:rsidRPr="00502EBE" w:rsidRDefault="00035BE3">
                          <w:pPr>
                            <w:ind w:firstLine="0"/>
                            <w:jc w:val="center"/>
                            <w:rPr>
                              <w:rFonts w:cs="AL-Mateen"/>
                              <w:sz w:val="28"/>
                              <w:szCs w:val="28"/>
                              <w:rtl/>
                              <w:lang w:bidi="ar-AE"/>
                            </w:rPr>
                          </w:pPr>
                          <w:r>
                            <w:rPr>
                              <w:rFonts w:cs="AL-Mateen" w:hint="cs"/>
                              <w:sz w:val="28"/>
                              <w:szCs w:val="28"/>
                              <w:rtl/>
                              <w:lang w:bidi="ar-AE"/>
                            </w:rPr>
                            <w:t>القسم التحقيقي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ECD6" id="مربع نص 113" o:spid="_x0000_s1033" type="#_x0000_t202" style="position:absolute;left:0;text-align:left;margin-left:332pt;margin-top:5.4pt;width:99.75pt;height:31.3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" filled="f" stroked="f">
              <v:textbox>
                <w:txbxContent>
                  <w:p w:rsidR="00035BE3" w:rsidRPr="00502EBE" w:rsidRDefault="00035BE3">
                    <w:pPr>
                      <w:ind w:firstLine="0"/>
                      <w:jc w:val="center"/>
                      <w:rPr>
                        <w:rFonts w:cs="AL-Mateen"/>
                        <w:sz w:val="28"/>
                        <w:szCs w:val="28"/>
                        <w:rtl/>
                        <w:lang w:bidi="ar-AE"/>
                      </w:rPr>
                    </w:pPr>
                    <w:r>
                      <w:rPr>
                        <w:rFonts w:cs="AL-Mateen" w:hint="cs"/>
                        <w:sz w:val="28"/>
                        <w:szCs w:val="28"/>
                        <w:rtl/>
                        <w:lang w:bidi="ar-AE"/>
                      </w:rPr>
                      <w:t>القسم التحقيقي</w:t>
                    </w:r>
                  </w:p>
                </w:txbxContent>
              </v:textbox>
            </v:shape>
          </w:pict>
        </mc:Fallback>
      </mc:AlternateContent>
    </w:r>
    <w:r>
      <w:rPr>
        <w:noProof/>
        <w:rtl/>
        <w:lang w:val="en-US"/>
      </w:rPr>
      <w:drawing>
        <wp:anchor distT="0" distB="0" distL="114300" distR="114300" simplePos="0" relativeHeight="251117056" behindDoc="1" locked="0" layoutInCell="1" allowOverlap="1" wp14:anchorId="11F8364F" wp14:editId="7A482D91">
          <wp:simplePos x="0" y="0"/>
          <wp:positionH relativeFrom="column">
            <wp:posOffset>792480</wp:posOffset>
          </wp:positionH>
          <wp:positionV relativeFrom="paragraph">
            <wp:posOffset>-3175</wp:posOffset>
          </wp:positionV>
          <wp:extent cx="4679950" cy="569595"/>
          <wp:effectExtent l="0" t="0" r="0" b="0"/>
          <wp:wrapNone/>
          <wp:docPr id="164" name="صورة 164" descr="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u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0" cy="569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428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52" type="#_x0000_t75" style="position:absolute;left:0;text-align:left;margin-left:-11.8pt;margin-top:-4.3pt;width:91.2pt;height:56.1pt;z-index:2513341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50" type="#_x0000_t202" style="position:absolute;left:0;text-align:left;margin-left:170.9pt;margin-top:7.4pt;width:151.15pt;height:34.2pt;z-index:251332096" filled="f" stroked="f">
          <v:textbox style="mso-next-textbox:#_x0000_s3150">
            <w:txbxContent>
              <w:p w:rsidR="00035BE3" w:rsidRPr="00EE7867" w:rsidRDefault="00035BE3" w:rsidP="00C10469">
                <w:pPr>
                  <w:ind w:firstLine="0"/>
                  <w:rPr>
                    <w:rFonts w:cs="AL-Mateen"/>
                    <w:sz w:val="24"/>
                    <w:szCs w:val="24"/>
                    <w:rtl/>
                  </w:rPr>
                </w:pPr>
                <w:r w:rsidRPr="00EE7867">
                  <w:rPr>
                    <w:rFonts w:cs="AL-Mateen" w:hint="cs"/>
                    <w:sz w:val="24"/>
                    <w:szCs w:val="24"/>
                    <w:rtl/>
                  </w:rPr>
                  <w:t xml:space="preserve">ق52 :  </w:t>
                </w:r>
                <w:r w:rsidRPr="00EE7867">
                  <w:rPr>
                    <w:rFonts w:cs="AL-Mateen" w:hint="eastAsia"/>
                    <w:sz w:val="24"/>
                    <w:szCs w:val="24"/>
                    <w:rtl/>
                  </w:rPr>
                  <w:t>الب</w:t>
                </w:r>
                <w:r w:rsidRPr="00EE7867">
                  <w:rPr>
                    <w:rFonts w:cs="AL-Mateen" w:hint="cs"/>
                    <w:sz w:val="24"/>
                    <w:szCs w:val="24"/>
                    <w:rtl/>
                  </w:rPr>
                  <w:t>َ</w:t>
                </w:r>
                <w:r w:rsidRPr="00EE7867">
                  <w:rPr>
                    <w:rFonts w:cs="AL-Mateen" w:hint="eastAsia"/>
                    <w:sz w:val="24"/>
                    <w:szCs w:val="24"/>
                    <w:rtl/>
                  </w:rPr>
                  <w:t>ق</w:t>
                </w:r>
                <w:r w:rsidRPr="00EE7867">
                  <w:rPr>
                    <w:rFonts w:cs="AL-Mateen" w:hint="cs"/>
                    <w:sz w:val="24"/>
                    <w:szCs w:val="24"/>
                    <w:rtl/>
                  </w:rPr>
                  <w:t>َ</w:t>
                </w:r>
                <w:r w:rsidRPr="00EE7867">
                  <w:rPr>
                    <w:rFonts w:cs="AL-Mateen" w:hint="eastAsia"/>
                    <w:sz w:val="24"/>
                    <w:szCs w:val="24"/>
                    <w:rtl/>
                  </w:rPr>
                  <w:t>اء</w:t>
                </w:r>
                <w:r w:rsidRPr="00EE7867">
                  <w:rPr>
                    <w:rFonts w:cs="AL-Mateen" w:hint="cs"/>
                    <w:sz w:val="24"/>
                    <w:szCs w:val="24"/>
                    <w:rtl/>
                  </w:rPr>
                  <w:t>ُ</w:t>
                </w:r>
                <w:r w:rsidRPr="00EE7867">
                  <w:rPr>
                    <w:rFonts w:cs="AL-Mateen"/>
                    <w:sz w:val="24"/>
                    <w:szCs w:val="24"/>
                    <w:rtl/>
                  </w:rPr>
                  <w:t xml:space="preserve"> ع</w:t>
                </w:r>
                <w:r w:rsidRPr="00EE7867">
                  <w:rPr>
                    <w:rFonts w:cs="AL-Mateen" w:hint="cs"/>
                    <w:sz w:val="24"/>
                    <w:szCs w:val="24"/>
                    <w:rtl/>
                  </w:rPr>
                  <w:t>َ</w:t>
                </w:r>
                <w:r w:rsidRPr="00EE7867">
                  <w:rPr>
                    <w:rFonts w:cs="AL-Mateen"/>
                    <w:sz w:val="24"/>
                    <w:szCs w:val="24"/>
                    <w:rtl/>
                  </w:rPr>
                  <w:t>ل</w:t>
                </w:r>
                <w:r w:rsidRPr="00EE7867">
                  <w:rPr>
                    <w:rFonts w:cs="AL-Mateen" w:hint="cs"/>
                    <w:sz w:val="24"/>
                    <w:szCs w:val="24"/>
                    <w:rtl/>
                  </w:rPr>
                  <w:t>َ</w:t>
                </w:r>
                <w:r w:rsidRPr="00EE7867">
                  <w:rPr>
                    <w:rFonts w:cs="AL-Mateen"/>
                    <w:sz w:val="24"/>
                    <w:szCs w:val="24"/>
                    <w:rtl/>
                  </w:rPr>
                  <w:t>ى و</w:t>
                </w:r>
                <w:r w:rsidRPr="00EE7867">
                  <w:rPr>
                    <w:rFonts w:cs="AL-Mateen" w:hint="cs"/>
                    <w:sz w:val="24"/>
                    <w:szCs w:val="24"/>
                    <w:rtl/>
                  </w:rPr>
                  <w:t>ِ</w:t>
                </w:r>
                <w:r w:rsidRPr="00EE7867">
                  <w:rPr>
                    <w:rFonts w:cs="AL-Mateen"/>
                    <w:sz w:val="24"/>
                    <w:szCs w:val="24"/>
                    <w:rtl/>
                  </w:rPr>
                  <w:t>ف</w:t>
                </w:r>
                <w:r w:rsidRPr="00EE7867">
                  <w:rPr>
                    <w:rFonts w:cs="AL-Mateen" w:hint="cs"/>
                    <w:sz w:val="24"/>
                    <w:szCs w:val="24"/>
                    <w:rtl/>
                  </w:rPr>
                  <w:t>ْ</w:t>
                </w:r>
                <w:r w:rsidRPr="00EE7867">
                  <w:rPr>
                    <w:rFonts w:cs="AL-Mateen"/>
                    <w:sz w:val="24"/>
                    <w:szCs w:val="24"/>
                    <w:rtl/>
                  </w:rPr>
                  <w:t>ق</w:t>
                </w:r>
                <w:r w:rsidRPr="00EE7867">
                  <w:rPr>
                    <w:rFonts w:cs="AL-Mateen" w:hint="cs"/>
                    <w:sz w:val="24"/>
                    <w:szCs w:val="24"/>
                    <w:rtl/>
                  </w:rPr>
                  <w:t>ِ</w:t>
                </w:r>
                <w:r w:rsidRPr="00EE7867">
                  <w:rPr>
                    <w:rFonts w:cs="AL-Mateen"/>
                    <w:sz w:val="24"/>
                    <w:szCs w:val="24"/>
                    <w:rtl/>
                  </w:rPr>
                  <w:t xml:space="preserve"> </w:t>
                </w:r>
                <w:r w:rsidRPr="00EE7867">
                  <w:rPr>
                    <w:rFonts w:cs="AL-Mateen" w:hint="eastAsia"/>
                    <w:sz w:val="24"/>
                    <w:szCs w:val="24"/>
                    <w:rtl/>
                  </w:rPr>
                  <w:t>الث</w:t>
                </w:r>
                <w:r w:rsidRPr="00EE7867">
                  <w:rPr>
                    <w:rFonts w:cs="AL-Mateen" w:hint="cs"/>
                    <w:sz w:val="24"/>
                    <w:szCs w:val="24"/>
                    <w:rtl/>
                  </w:rPr>
                  <w:t>ُّ</w:t>
                </w:r>
                <w:r w:rsidRPr="00EE7867">
                  <w:rPr>
                    <w:rFonts w:cs="AL-Mateen" w:hint="eastAsia"/>
                    <w:sz w:val="24"/>
                    <w:szCs w:val="24"/>
                    <w:rtl/>
                  </w:rPr>
                  <w:t>ب</w:t>
                </w:r>
                <w:r w:rsidRPr="00EE7867">
                  <w:rPr>
                    <w:rFonts w:cs="AL-Mateen" w:hint="cs"/>
                    <w:sz w:val="24"/>
                    <w:szCs w:val="24"/>
                    <w:rtl/>
                  </w:rPr>
                  <w:t>ُ</w:t>
                </w:r>
                <w:r w:rsidRPr="00EE7867">
                  <w:rPr>
                    <w:rFonts w:cs="AL-Mateen" w:hint="eastAsia"/>
                    <w:sz w:val="24"/>
                    <w:szCs w:val="24"/>
                    <w:rtl/>
                  </w:rPr>
                  <w:t>وت</w:t>
                </w:r>
                <w:r w:rsidRPr="00EE7867">
                  <w:rPr>
                    <w:rFonts w:cs="AL-Mateen" w:hint="cs"/>
                    <w:sz w:val="24"/>
                    <w:szCs w:val="24"/>
                    <w:rtl/>
                  </w:rPr>
                  <w:t>.ِ</w:t>
                </w: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49" type="#_x0000_t202" style="position:absolute;left:0;text-align:left;margin-left:324.8pt;margin-top:3.4pt;width:99.75pt;height:31.35pt;z-index:251331072" filled="f" stroked="f">
          <v:textbox style="mso-next-textbox:#_x0000_s31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51" type="#_x0000_t75" style="position:absolute;left:0;text-align:left;margin-left:62.55pt;margin-top:.55pt;width:359.1pt;height:44.85pt;z-index:-251983360;mso-wrap-edited:f" wrapcoords="709 4393 473 10251 709 16108 709 16841 20851 16841 20891 16108 21088 10251 20851 4393 709 4393">
          <v:imagedata r:id="rId2" o:title="haut"/>
          <w10:wrap anchorx="page"/>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431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56" type="#_x0000_t75" style="position:absolute;left:0;text-align:left;margin-left:-11.8pt;margin-top:-4.3pt;width:91.2pt;height:56.1pt;z-index:2513382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54" type="#_x0000_t202" style="position:absolute;left:0;text-align:left;margin-left:170.9pt;margin-top:7.4pt;width:151.15pt;height:34.2pt;z-index:251336192" filled="f" stroked="f">
          <v:textbox style="mso-next-textbox:#_x0000_s3154">
            <w:txbxContent>
              <w:p w:rsidR="00035BE3" w:rsidRPr="00EE7867" w:rsidRDefault="00035BE3" w:rsidP="00C10469">
                <w:pPr>
                  <w:ind w:firstLine="0"/>
                  <w:rPr>
                    <w:rFonts w:cs="AL-Mateen"/>
                    <w:sz w:val="24"/>
                    <w:szCs w:val="24"/>
                    <w:rtl/>
                  </w:rPr>
                </w:pPr>
                <w:r w:rsidRPr="00563ADF">
                  <w:rPr>
                    <w:rFonts w:cs="AL-Mateen" w:hint="cs"/>
                    <w:sz w:val="24"/>
                    <w:szCs w:val="24"/>
                    <w:rtl/>
                  </w:rPr>
                  <w:t xml:space="preserve">ق53 :  </w:t>
                </w:r>
                <w:r w:rsidRPr="00563ADF">
                  <w:rPr>
                    <w:rFonts w:cs="AL-Mateen" w:hint="eastAsia"/>
                    <w:sz w:val="24"/>
                    <w:szCs w:val="24"/>
                    <w:rtl/>
                  </w:rPr>
                  <w:t>ب</w:t>
                </w:r>
                <w:r w:rsidRPr="00563ADF">
                  <w:rPr>
                    <w:rFonts w:cs="AL-Mateen" w:hint="cs"/>
                    <w:sz w:val="24"/>
                    <w:szCs w:val="24"/>
                    <w:rtl/>
                  </w:rPr>
                  <w:t>َ</w:t>
                </w:r>
                <w:r w:rsidRPr="00563ADF">
                  <w:rPr>
                    <w:rFonts w:cs="AL-Mateen" w:hint="eastAsia"/>
                    <w:sz w:val="24"/>
                    <w:szCs w:val="24"/>
                    <w:rtl/>
                  </w:rPr>
                  <w:t>ق</w:t>
                </w:r>
                <w:r w:rsidRPr="00563ADF">
                  <w:rPr>
                    <w:rFonts w:cs="AL-Mateen" w:hint="cs"/>
                    <w:sz w:val="24"/>
                    <w:szCs w:val="24"/>
                    <w:rtl/>
                  </w:rPr>
                  <w:t>َ</w:t>
                </w:r>
                <w:r w:rsidRPr="00563ADF">
                  <w:rPr>
                    <w:rFonts w:cs="AL-Mateen" w:hint="eastAsia"/>
                    <w:sz w:val="24"/>
                    <w:szCs w:val="24"/>
                    <w:rtl/>
                  </w:rPr>
                  <w:t>اء</w:t>
                </w:r>
                <w:r w:rsidRPr="00563ADF">
                  <w:rPr>
                    <w:rFonts w:cs="AL-Mateen" w:hint="cs"/>
                    <w:sz w:val="24"/>
                    <w:szCs w:val="24"/>
                    <w:rtl/>
                  </w:rPr>
                  <w:t>ُ</w:t>
                </w:r>
                <w:r w:rsidRPr="00563ADF">
                  <w:rPr>
                    <w:rFonts w:cs="AL-Mateen"/>
                    <w:sz w:val="24"/>
                    <w:szCs w:val="24"/>
                    <w:rtl/>
                  </w:rPr>
                  <w:t xml:space="preserve"> الح</w:t>
                </w:r>
                <w:r w:rsidRPr="00563ADF">
                  <w:rPr>
                    <w:rFonts w:cs="AL-Mateen" w:hint="cs"/>
                    <w:sz w:val="24"/>
                    <w:szCs w:val="24"/>
                    <w:rtl/>
                  </w:rPr>
                  <w:t>ُ</w:t>
                </w:r>
                <w:r w:rsidRPr="00563ADF">
                  <w:rPr>
                    <w:rFonts w:cs="AL-Mateen"/>
                    <w:sz w:val="24"/>
                    <w:szCs w:val="24"/>
                    <w:rtl/>
                  </w:rPr>
                  <w:t>ك</w:t>
                </w:r>
                <w:r w:rsidRPr="00563ADF">
                  <w:rPr>
                    <w:rFonts w:cs="AL-Mateen" w:hint="cs"/>
                    <w:sz w:val="24"/>
                    <w:szCs w:val="24"/>
                    <w:rtl/>
                  </w:rPr>
                  <w:t>ْ</w:t>
                </w:r>
                <w:r w:rsidRPr="00563ADF">
                  <w:rPr>
                    <w:rFonts w:cs="AL-Mateen"/>
                    <w:sz w:val="24"/>
                    <w:szCs w:val="24"/>
                    <w:rtl/>
                  </w:rPr>
                  <w:t>م</w:t>
                </w:r>
                <w:r w:rsidRPr="00563ADF">
                  <w:rPr>
                    <w:rFonts w:cs="AL-Mateen" w:hint="cs"/>
                    <w:sz w:val="24"/>
                    <w:szCs w:val="24"/>
                    <w:rtl/>
                  </w:rPr>
                  <w:t>ِ</w:t>
                </w:r>
                <w:r w:rsidRPr="00563ADF">
                  <w:rPr>
                    <w:rFonts w:cs="AL-Mateen"/>
                    <w:sz w:val="24"/>
                    <w:szCs w:val="24"/>
                    <w:rtl/>
                  </w:rPr>
                  <w:t xml:space="preserve"> ي</w:t>
                </w:r>
                <w:r w:rsidRPr="00563ADF">
                  <w:rPr>
                    <w:rFonts w:cs="AL-Mateen" w:hint="cs"/>
                    <w:sz w:val="24"/>
                    <w:szCs w:val="24"/>
                    <w:rtl/>
                  </w:rPr>
                  <w:t>َ</w:t>
                </w:r>
                <w:r w:rsidRPr="00563ADF">
                  <w:rPr>
                    <w:rFonts w:cs="AL-Mateen"/>
                    <w:sz w:val="24"/>
                    <w:szCs w:val="24"/>
                    <w:rtl/>
                  </w:rPr>
                  <w:t>س</w:t>
                </w:r>
                <w:r w:rsidRPr="00563ADF">
                  <w:rPr>
                    <w:rFonts w:cs="AL-Mateen" w:hint="cs"/>
                    <w:sz w:val="24"/>
                    <w:szCs w:val="24"/>
                    <w:rtl/>
                  </w:rPr>
                  <w:t>ْ</w:t>
                </w:r>
                <w:r w:rsidRPr="00563ADF">
                  <w:rPr>
                    <w:rFonts w:cs="AL-Mateen"/>
                    <w:sz w:val="24"/>
                    <w:szCs w:val="24"/>
                    <w:rtl/>
                  </w:rPr>
                  <w:t>ت</w:t>
                </w:r>
                <w:r w:rsidRPr="00563ADF">
                  <w:rPr>
                    <w:rFonts w:cs="AL-Mateen" w:hint="cs"/>
                    <w:sz w:val="24"/>
                    <w:szCs w:val="24"/>
                    <w:rtl/>
                  </w:rPr>
                  <w:t>َغْ</w:t>
                </w:r>
                <w:r w:rsidRPr="00563ADF">
                  <w:rPr>
                    <w:rFonts w:cs="AL-Mateen"/>
                    <w:sz w:val="24"/>
                    <w:szCs w:val="24"/>
                    <w:rtl/>
                  </w:rPr>
                  <w:t>ن</w:t>
                </w:r>
                <w:r w:rsidRPr="00563ADF">
                  <w:rPr>
                    <w:rFonts w:cs="AL-Mateen" w:hint="cs"/>
                    <w:sz w:val="24"/>
                    <w:szCs w:val="24"/>
                    <w:rtl/>
                  </w:rPr>
                  <w:t>ِ</w:t>
                </w:r>
                <w:r w:rsidRPr="00563ADF">
                  <w:rPr>
                    <w:rFonts w:cs="AL-Mateen"/>
                    <w:sz w:val="24"/>
                    <w:szCs w:val="24"/>
                    <w:rtl/>
                  </w:rPr>
                  <w:t xml:space="preserve">ي </w:t>
                </w:r>
                <w:r w:rsidRPr="00563ADF">
                  <w:rPr>
                    <w:rFonts w:cs="AL-Mateen" w:hint="eastAsia"/>
                    <w:sz w:val="24"/>
                    <w:szCs w:val="24"/>
                    <w:rtl/>
                  </w:rPr>
                  <w:t>ع</w:t>
                </w:r>
                <w:r w:rsidRPr="00563ADF">
                  <w:rPr>
                    <w:rFonts w:cs="AL-Mateen" w:hint="cs"/>
                    <w:sz w:val="24"/>
                    <w:szCs w:val="24"/>
                    <w:rtl/>
                  </w:rPr>
                  <w:t>َ</w:t>
                </w:r>
                <w:r w:rsidRPr="00563ADF">
                  <w:rPr>
                    <w:rFonts w:cs="AL-Mateen" w:hint="eastAsia"/>
                    <w:sz w:val="24"/>
                    <w:szCs w:val="24"/>
                    <w:rtl/>
                  </w:rPr>
                  <w:t>ن</w:t>
                </w:r>
                <w:r w:rsidRPr="00563ADF">
                  <w:rPr>
                    <w:rFonts w:cs="AL-Mateen" w:hint="cs"/>
                    <w:sz w:val="24"/>
                    <w:szCs w:val="24"/>
                    <w:rtl/>
                  </w:rPr>
                  <w:t>ْ</w:t>
                </w:r>
                <w:r w:rsidRPr="00563ADF">
                  <w:rPr>
                    <w:rFonts w:cs="AL-Mateen"/>
                    <w:sz w:val="24"/>
                    <w:szCs w:val="24"/>
                    <w:rtl/>
                  </w:rPr>
                  <w:t xml:space="preserve"> ب</w:t>
                </w:r>
                <w:r w:rsidRPr="00563ADF">
                  <w:rPr>
                    <w:rFonts w:cs="AL-Mateen" w:hint="cs"/>
                    <w:sz w:val="24"/>
                    <w:szCs w:val="24"/>
                    <w:rtl/>
                  </w:rPr>
                  <w:t>َ</w:t>
                </w:r>
                <w:r w:rsidRPr="00563ADF">
                  <w:rPr>
                    <w:rFonts w:cs="AL-Mateen"/>
                    <w:sz w:val="24"/>
                    <w:szCs w:val="24"/>
                    <w:rtl/>
                  </w:rPr>
                  <w:t>ق</w:t>
                </w:r>
                <w:r w:rsidRPr="00563ADF">
                  <w:rPr>
                    <w:rFonts w:cs="AL-Mateen" w:hint="cs"/>
                    <w:sz w:val="24"/>
                    <w:szCs w:val="24"/>
                    <w:rtl/>
                  </w:rPr>
                  <w:t>َ</w:t>
                </w:r>
                <w:r w:rsidRPr="00563ADF">
                  <w:rPr>
                    <w:rFonts w:cs="AL-Mateen"/>
                    <w:sz w:val="24"/>
                    <w:szCs w:val="24"/>
                    <w:rtl/>
                  </w:rPr>
                  <w:t>اء</w:t>
                </w:r>
                <w:r w:rsidRPr="00563ADF">
                  <w:rPr>
                    <w:rFonts w:cs="AL-Mateen" w:hint="cs"/>
                    <w:sz w:val="24"/>
                    <w:szCs w:val="24"/>
                    <w:rtl/>
                  </w:rPr>
                  <w:t>ِ</w:t>
                </w:r>
                <w:r w:rsidRPr="00563ADF">
                  <w:rPr>
                    <w:rFonts w:cs="AL-Mateen"/>
                    <w:sz w:val="24"/>
                    <w:szCs w:val="24"/>
                    <w:rtl/>
                  </w:rPr>
                  <w:t xml:space="preserve"> الس</w:t>
                </w:r>
                <w:r w:rsidRPr="00563ADF">
                  <w:rPr>
                    <w:rFonts w:cs="AL-Mateen" w:hint="cs"/>
                    <w:sz w:val="24"/>
                    <w:szCs w:val="24"/>
                    <w:rtl/>
                  </w:rPr>
                  <w:t>َّ</w:t>
                </w:r>
                <w:r w:rsidRPr="00563ADF">
                  <w:rPr>
                    <w:rFonts w:cs="AL-Mateen"/>
                    <w:sz w:val="24"/>
                    <w:szCs w:val="24"/>
                    <w:rtl/>
                  </w:rPr>
                  <w:t>ب</w:t>
                </w:r>
                <w:r w:rsidRPr="00563ADF">
                  <w:rPr>
                    <w:rFonts w:cs="AL-Mateen" w:hint="cs"/>
                    <w:sz w:val="24"/>
                    <w:szCs w:val="24"/>
                    <w:rtl/>
                  </w:rPr>
                  <w:t>َ</w:t>
                </w:r>
                <w:r w:rsidRPr="00563ADF">
                  <w:rPr>
                    <w:rFonts w:cs="AL-Mateen"/>
                    <w:sz w:val="24"/>
                    <w:szCs w:val="24"/>
                    <w:rtl/>
                  </w:rPr>
                  <w:t>ب</w:t>
                </w:r>
                <w:r w:rsidRPr="00563ADF">
                  <w:rPr>
                    <w:rFonts w:cs="AL-Mateen" w:hint="cs"/>
                    <w:sz w:val="24"/>
                    <w:szCs w:val="24"/>
                    <w:rtl/>
                  </w:rPr>
                  <w:t>ِ.</w:t>
                </w: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53" type="#_x0000_t202" style="position:absolute;left:0;text-align:left;margin-left:324.8pt;margin-top:3.4pt;width:99.75pt;height:31.35pt;z-index:251335168" filled="f" stroked="f">
          <v:textbox style="mso-next-textbox:#_x0000_s31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55" type="#_x0000_t75" style="position:absolute;left:0;text-align:left;margin-left:62.55pt;margin-top:.55pt;width:359.1pt;height:44.85pt;z-index:-251979264;mso-wrap-edited:f" wrapcoords="709 4393 473 10251 709 16108 709 16841 20851 16841 20891 16108 21088 10251 20851 4393 709 4393">
          <v:imagedata r:id="rId2" o:title="haut"/>
          <w10:wrap anchorx="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435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0" type="#_x0000_t75" style="position:absolute;left:0;text-align:left;margin-left:-11.8pt;margin-top:-4.3pt;width:91.2pt;height:56.1pt;z-index:2513423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58" type="#_x0000_t202" style="position:absolute;left:0;text-align:left;margin-left:170.9pt;margin-top:7.4pt;width:151.15pt;height:34.2pt;z-index:251340288" filled="f" stroked="f">
          <v:textbox style="mso-next-textbox:#_x0000_s3158">
            <w:txbxContent>
              <w:p w:rsidR="00035BE3" w:rsidRPr="00EE7867" w:rsidRDefault="00035BE3" w:rsidP="00C10469">
                <w:pPr>
                  <w:ind w:firstLine="0"/>
                  <w:rPr>
                    <w:rFonts w:cs="AL-Mateen"/>
                    <w:sz w:val="24"/>
                    <w:szCs w:val="24"/>
                    <w:rtl/>
                  </w:rPr>
                </w:pPr>
                <w:r w:rsidRPr="00DD0CB4">
                  <w:rPr>
                    <w:rFonts w:cs="AL-Mateen" w:hint="cs"/>
                    <w:sz w:val="24"/>
                    <w:szCs w:val="24"/>
                    <w:rtl/>
                  </w:rPr>
                  <w:t xml:space="preserve">ق54 :  </w:t>
                </w:r>
                <w:r w:rsidRPr="00DD0CB4">
                  <w:rPr>
                    <w:rFonts w:cs="AL-Mateen" w:hint="eastAsia"/>
                    <w:sz w:val="24"/>
                    <w:szCs w:val="24"/>
                    <w:rtl/>
                  </w:rPr>
                  <w:t>الب</w:t>
                </w:r>
                <w:r w:rsidRPr="00DD0CB4">
                  <w:rPr>
                    <w:rFonts w:cs="AL-Mateen" w:hint="cs"/>
                    <w:sz w:val="24"/>
                    <w:szCs w:val="24"/>
                    <w:rtl/>
                  </w:rPr>
                  <w:t>َ</w:t>
                </w:r>
                <w:r w:rsidRPr="00DD0CB4">
                  <w:rPr>
                    <w:rFonts w:cs="AL-Mateen" w:hint="eastAsia"/>
                    <w:sz w:val="24"/>
                    <w:szCs w:val="24"/>
                    <w:rtl/>
                  </w:rPr>
                  <w:t>ق</w:t>
                </w:r>
                <w:r w:rsidRPr="00DD0CB4">
                  <w:rPr>
                    <w:rFonts w:cs="AL-Mateen" w:hint="cs"/>
                    <w:sz w:val="24"/>
                    <w:szCs w:val="24"/>
                    <w:rtl/>
                  </w:rPr>
                  <w:t>َ</w:t>
                </w:r>
                <w:r w:rsidRPr="00DD0CB4">
                  <w:rPr>
                    <w:rFonts w:cs="AL-Mateen" w:hint="eastAsia"/>
                    <w:sz w:val="24"/>
                    <w:szCs w:val="24"/>
                    <w:rtl/>
                  </w:rPr>
                  <w:t>اء</w:t>
                </w:r>
                <w:r w:rsidRPr="00DD0CB4">
                  <w:rPr>
                    <w:rFonts w:cs="AL-Mateen" w:hint="cs"/>
                    <w:sz w:val="24"/>
                    <w:szCs w:val="24"/>
                    <w:rtl/>
                  </w:rPr>
                  <w:t>ُ</w:t>
                </w:r>
                <w:r w:rsidRPr="00DD0CB4">
                  <w:rPr>
                    <w:rFonts w:cs="AL-Mateen"/>
                    <w:sz w:val="24"/>
                    <w:szCs w:val="24"/>
                    <w:rtl/>
                  </w:rPr>
                  <w:t xml:space="preserve"> أ</w:t>
                </w:r>
                <w:r w:rsidRPr="00DD0CB4">
                  <w:rPr>
                    <w:rFonts w:cs="AL-Mateen" w:hint="cs"/>
                    <w:sz w:val="24"/>
                    <w:szCs w:val="24"/>
                    <w:rtl/>
                  </w:rPr>
                  <w:t>َ</w:t>
                </w:r>
                <w:r w:rsidRPr="00DD0CB4">
                  <w:rPr>
                    <w:rFonts w:cs="AL-Mateen"/>
                    <w:sz w:val="24"/>
                    <w:szCs w:val="24"/>
                    <w:rtl/>
                  </w:rPr>
                  <w:t>س</w:t>
                </w:r>
                <w:r w:rsidRPr="00DD0CB4">
                  <w:rPr>
                    <w:rFonts w:cs="AL-Mateen" w:hint="cs"/>
                    <w:sz w:val="24"/>
                    <w:szCs w:val="24"/>
                    <w:rtl/>
                  </w:rPr>
                  <w:t>ْ</w:t>
                </w:r>
                <w:r w:rsidRPr="00DD0CB4">
                  <w:rPr>
                    <w:rFonts w:cs="AL-Mateen"/>
                    <w:sz w:val="24"/>
                    <w:szCs w:val="24"/>
                    <w:rtl/>
                  </w:rPr>
                  <w:t>ه</w:t>
                </w:r>
                <w:r w:rsidRPr="00DD0CB4">
                  <w:rPr>
                    <w:rFonts w:cs="AL-Mateen" w:hint="cs"/>
                    <w:sz w:val="24"/>
                    <w:szCs w:val="24"/>
                    <w:rtl/>
                  </w:rPr>
                  <w:t>َ</w:t>
                </w:r>
                <w:r w:rsidRPr="00DD0CB4">
                  <w:rPr>
                    <w:rFonts w:cs="AL-Mateen"/>
                    <w:sz w:val="24"/>
                    <w:szCs w:val="24"/>
                    <w:rtl/>
                  </w:rPr>
                  <w:t>ل</w:t>
                </w:r>
                <w:r w:rsidRPr="00DD0CB4">
                  <w:rPr>
                    <w:rFonts w:cs="AL-Mateen" w:hint="cs"/>
                    <w:sz w:val="24"/>
                    <w:szCs w:val="24"/>
                    <w:rtl/>
                  </w:rPr>
                  <w:t>ُ</w:t>
                </w:r>
                <w:r w:rsidRPr="00DD0CB4">
                  <w:rPr>
                    <w:rFonts w:cs="AL-Mateen"/>
                    <w:sz w:val="24"/>
                    <w:szCs w:val="24"/>
                    <w:rtl/>
                  </w:rPr>
                  <w:t xml:space="preserve"> م</w:t>
                </w:r>
                <w:r w:rsidRPr="00DD0CB4">
                  <w:rPr>
                    <w:rFonts w:cs="AL-Mateen" w:hint="cs"/>
                    <w:sz w:val="24"/>
                    <w:szCs w:val="24"/>
                    <w:rtl/>
                  </w:rPr>
                  <w:t>ِ</w:t>
                </w:r>
                <w:r w:rsidRPr="00DD0CB4">
                  <w:rPr>
                    <w:rFonts w:cs="AL-Mateen"/>
                    <w:sz w:val="24"/>
                    <w:szCs w:val="24"/>
                    <w:rtl/>
                  </w:rPr>
                  <w:t>ن</w:t>
                </w:r>
                <w:r w:rsidRPr="00DD0CB4">
                  <w:rPr>
                    <w:rFonts w:cs="AL-Mateen" w:hint="cs"/>
                    <w:sz w:val="24"/>
                    <w:szCs w:val="24"/>
                    <w:rtl/>
                  </w:rPr>
                  <w:t>َ</w:t>
                </w:r>
                <w:r w:rsidRPr="00DD0CB4">
                  <w:rPr>
                    <w:rFonts w:cs="AL-Mateen"/>
                    <w:sz w:val="24"/>
                    <w:szCs w:val="24"/>
                    <w:rtl/>
                  </w:rPr>
                  <w:t xml:space="preserve"> </w:t>
                </w:r>
                <w:r w:rsidRPr="00DD0CB4">
                  <w:rPr>
                    <w:rFonts w:cs="AL-Mateen" w:hint="eastAsia"/>
                    <w:sz w:val="24"/>
                    <w:szCs w:val="24"/>
                    <w:rtl/>
                  </w:rPr>
                  <w:t>الاب</w:t>
                </w:r>
                <w:r w:rsidRPr="00DD0CB4">
                  <w:rPr>
                    <w:rFonts w:cs="AL-Mateen" w:hint="cs"/>
                    <w:sz w:val="24"/>
                    <w:szCs w:val="24"/>
                    <w:rtl/>
                  </w:rPr>
                  <w:t>ْ</w:t>
                </w:r>
                <w:r w:rsidRPr="00DD0CB4">
                  <w:rPr>
                    <w:rFonts w:cs="AL-Mateen" w:hint="eastAsia"/>
                    <w:sz w:val="24"/>
                    <w:szCs w:val="24"/>
                    <w:rtl/>
                  </w:rPr>
                  <w:t>ت</w:t>
                </w:r>
                <w:r w:rsidRPr="00DD0CB4">
                  <w:rPr>
                    <w:rFonts w:cs="AL-Mateen" w:hint="cs"/>
                    <w:sz w:val="24"/>
                    <w:szCs w:val="24"/>
                    <w:rtl/>
                  </w:rPr>
                  <w:t>ِ</w:t>
                </w:r>
                <w:r w:rsidRPr="00DD0CB4">
                  <w:rPr>
                    <w:rFonts w:cs="AL-Mateen" w:hint="eastAsia"/>
                    <w:sz w:val="24"/>
                    <w:szCs w:val="24"/>
                    <w:rtl/>
                  </w:rPr>
                  <w:t>د</w:t>
                </w:r>
                <w:r w:rsidRPr="00DD0CB4">
                  <w:rPr>
                    <w:rFonts w:cs="AL-Mateen" w:hint="cs"/>
                    <w:sz w:val="24"/>
                    <w:szCs w:val="24"/>
                    <w:rtl/>
                  </w:rPr>
                  <w:t>َ</w:t>
                </w:r>
                <w:r w:rsidRPr="00DD0CB4">
                  <w:rPr>
                    <w:rFonts w:cs="AL-Mateen" w:hint="eastAsia"/>
                    <w:sz w:val="24"/>
                    <w:szCs w:val="24"/>
                    <w:rtl/>
                  </w:rPr>
                  <w:t>اء</w:t>
                </w:r>
                <w:r w:rsidRPr="00DD0CB4">
                  <w:rPr>
                    <w:rFonts w:cs="AL-Mateen" w:hint="cs"/>
                    <w:sz w:val="24"/>
                    <w:szCs w:val="24"/>
                    <w:rtl/>
                  </w:rPr>
                  <w:t>ِ.</w:t>
                </w: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57" type="#_x0000_t202" style="position:absolute;left:0;text-align:left;margin-left:324.8pt;margin-top:3.4pt;width:99.75pt;height:31.35pt;z-index:251339264" filled="f" stroked="f">
          <v:textbox style="mso-next-textbox:#_x0000_s31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59" type="#_x0000_t75" style="position:absolute;left:0;text-align:left;margin-left:62.55pt;margin-top:.55pt;width:359.1pt;height:44.85pt;z-index:-251975168;mso-wrap-edited:f" wrapcoords="709 4393 473 10251 709 16108 709 16841 20851 16841 20891 16108 21088 10251 20851 4393 709 4393">
          <v:imagedata r:id="rId2" o:title="haut"/>
          <w10:wrap anchorx="page"/>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436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4" type="#_x0000_t75" style="position:absolute;left:0;text-align:left;margin-left:-11.8pt;margin-top:-4.3pt;width:91.2pt;height:56.1pt;z-index:2513464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62" type="#_x0000_t202" style="position:absolute;left:0;text-align:left;margin-left:170.9pt;margin-top:7.4pt;width:151.15pt;height:34.2pt;z-index:251344384" filled="f" stroked="f">
          <v:textbox style="mso-next-textbox:#_x0000_s3162">
            <w:txbxContent>
              <w:p w:rsidR="00035BE3" w:rsidRPr="00EE7867" w:rsidRDefault="00035BE3" w:rsidP="00C10469">
                <w:pPr>
                  <w:ind w:firstLine="0"/>
                  <w:rPr>
                    <w:rFonts w:cs="AL-Mateen"/>
                    <w:sz w:val="24"/>
                    <w:szCs w:val="24"/>
                    <w:rtl/>
                  </w:rPr>
                </w:pPr>
                <w:r w:rsidRPr="00280292">
                  <w:rPr>
                    <w:rFonts w:cs="AL-Mateen" w:hint="cs"/>
                    <w:sz w:val="24"/>
                    <w:szCs w:val="24"/>
                    <w:rtl/>
                  </w:rPr>
                  <w:t xml:space="preserve">ق55 :  </w:t>
                </w:r>
                <w:r w:rsidRPr="00280292">
                  <w:rPr>
                    <w:rFonts w:cs="AL-Mateen" w:hint="eastAsia"/>
                    <w:sz w:val="24"/>
                    <w:szCs w:val="24"/>
                    <w:rtl/>
                  </w:rPr>
                  <w:t>بقاء</w:t>
                </w:r>
                <w:r w:rsidRPr="00280292">
                  <w:rPr>
                    <w:rFonts w:cs="AL-Mateen" w:hint="cs"/>
                    <w:sz w:val="24"/>
                    <w:szCs w:val="24"/>
                    <w:rtl/>
                  </w:rPr>
                  <w:t>ُ</w:t>
                </w:r>
                <w:r w:rsidRPr="00280292">
                  <w:rPr>
                    <w:rFonts w:cs="AL-Mateen"/>
                    <w:sz w:val="24"/>
                    <w:szCs w:val="24"/>
                    <w:rtl/>
                  </w:rPr>
                  <w:t xml:space="preserve"> الش</w:t>
                </w:r>
                <w:r w:rsidRPr="00280292">
                  <w:rPr>
                    <w:rFonts w:cs="AL-Mateen" w:hint="cs"/>
                    <w:sz w:val="24"/>
                    <w:szCs w:val="24"/>
                    <w:rtl/>
                  </w:rPr>
                  <w:t>َّ</w:t>
                </w:r>
                <w:r w:rsidRPr="00280292">
                  <w:rPr>
                    <w:rFonts w:cs="AL-Mateen"/>
                    <w:sz w:val="24"/>
                    <w:szCs w:val="24"/>
                    <w:rtl/>
                  </w:rPr>
                  <w:t>ي</w:t>
                </w:r>
                <w:r w:rsidRPr="00280292">
                  <w:rPr>
                    <w:rFonts w:cs="AL-Mateen" w:hint="cs"/>
                    <w:sz w:val="24"/>
                    <w:szCs w:val="24"/>
                    <w:rtl/>
                  </w:rPr>
                  <w:t>ْ</w:t>
                </w:r>
                <w:r w:rsidRPr="00280292">
                  <w:rPr>
                    <w:rFonts w:cs="AL-Mateen"/>
                    <w:sz w:val="24"/>
                    <w:szCs w:val="24"/>
                    <w:rtl/>
                  </w:rPr>
                  <w:t>ء</w:t>
                </w:r>
                <w:r w:rsidRPr="00280292">
                  <w:rPr>
                    <w:rFonts w:cs="AL-Mateen" w:hint="cs"/>
                    <w:sz w:val="24"/>
                    <w:szCs w:val="24"/>
                    <w:rtl/>
                  </w:rPr>
                  <w:t>ِ</w:t>
                </w:r>
                <w:r w:rsidRPr="00280292">
                  <w:rPr>
                    <w:rFonts w:cs="AL-Mateen"/>
                    <w:sz w:val="24"/>
                    <w:szCs w:val="24"/>
                    <w:rtl/>
                  </w:rPr>
                  <w:t xml:space="preserve"> الواحد</w:t>
                </w:r>
                <w:r w:rsidRPr="00280292">
                  <w:rPr>
                    <w:rFonts w:cs="AL-Mateen" w:hint="cs"/>
                    <w:sz w:val="24"/>
                    <w:szCs w:val="24"/>
                    <w:rtl/>
                  </w:rPr>
                  <w:t>ِ</w:t>
                </w:r>
                <w:r w:rsidRPr="00280292">
                  <w:rPr>
                    <w:rFonts w:cs="AL-Mateen"/>
                    <w:sz w:val="24"/>
                    <w:szCs w:val="24"/>
                    <w:rtl/>
                  </w:rPr>
                  <w:t xml:space="preserve"> ف</w:t>
                </w:r>
                <w:r w:rsidRPr="00280292">
                  <w:rPr>
                    <w:rFonts w:cs="AL-Mateen" w:hint="cs"/>
                    <w:sz w:val="24"/>
                    <w:szCs w:val="24"/>
                    <w:rtl/>
                  </w:rPr>
                  <w:t>ِ</w:t>
                </w:r>
                <w:r w:rsidRPr="00280292">
                  <w:rPr>
                    <w:rFonts w:cs="AL-Mateen"/>
                    <w:sz w:val="24"/>
                    <w:szCs w:val="24"/>
                    <w:rtl/>
                  </w:rPr>
                  <w:t xml:space="preserve">ي </w:t>
                </w:r>
                <w:r w:rsidRPr="00280292">
                  <w:rPr>
                    <w:rFonts w:cs="AL-Mateen" w:hint="eastAsia"/>
                    <w:sz w:val="24"/>
                    <w:szCs w:val="24"/>
                    <w:rtl/>
                  </w:rPr>
                  <w:t>المحل</w:t>
                </w:r>
                <w:r w:rsidRPr="00280292">
                  <w:rPr>
                    <w:rFonts w:cs="AL-Mateen" w:hint="cs"/>
                    <w:sz w:val="24"/>
                    <w:szCs w:val="24"/>
                    <w:rtl/>
                  </w:rPr>
                  <w:t>َّ</w:t>
                </w:r>
                <w:r w:rsidRPr="00280292">
                  <w:rPr>
                    <w:rFonts w:cs="AL-Mateen" w:hint="eastAsia"/>
                    <w:sz w:val="24"/>
                    <w:szCs w:val="24"/>
                    <w:rtl/>
                  </w:rPr>
                  <w:t>ي</w:t>
                </w:r>
                <w:r w:rsidRPr="00280292">
                  <w:rPr>
                    <w:rFonts w:cs="AL-Mateen" w:hint="cs"/>
                    <w:sz w:val="24"/>
                    <w:szCs w:val="24"/>
                    <w:rtl/>
                  </w:rPr>
                  <w:t>ْ</w:t>
                </w:r>
                <w:r w:rsidRPr="00280292">
                  <w:rPr>
                    <w:rFonts w:cs="AL-Mateen" w:hint="eastAsia"/>
                    <w:sz w:val="24"/>
                    <w:szCs w:val="24"/>
                    <w:rtl/>
                  </w:rPr>
                  <w:t>ن</w:t>
                </w:r>
                <w:r w:rsidRPr="00280292">
                  <w:rPr>
                    <w:rFonts w:cs="AL-Mateen" w:hint="cs"/>
                    <w:sz w:val="24"/>
                    <w:szCs w:val="24"/>
                    <w:rtl/>
                  </w:rPr>
                  <w:t>ِ فِي زَمَانٍ واحدٍ مُحَالٌ.</w:t>
                </w: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61" type="#_x0000_t202" style="position:absolute;left:0;text-align:left;margin-left:324.8pt;margin-top:3.4pt;width:99.75pt;height:31.35pt;z-index:251343360" filled="f" stroked="f">
          <v:textbox style="mso-next-textbox:#_x0000_s31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63" type="#_x0000_t75" style="position:absolute;left:0;text-align:left;margin-left:62.55pt;margin-top:.55pt;width:359.1pt;height:44.85pt;z-index:-251971072;mso-wrap-edited:f" wrapcoords="709 4393 473 10251 709 16108 709 16841 20851 16841 20891 16108 21088 10251 20851 4393 709 4393">
          <v:imagedata r:id="rId2" o:title="haut"/>
          <w10:wrap anchorx="page"/>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438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8" type="#_x0000_t75" style="position:absolute;left:0;text-align:left;margin-left:-11.8pt;margin-top:-4.3pt;width:91.2pt;height:56.1pt;z-index:2513505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66" type="#_x0000_t202" style="position:absolute;left:0;text-align:left;margin-left:170.9pt;margin-top:7.4pt;width:151.15pt;height:34.2pt;z-index:251348480" filled="f" stroked="f">
          <v:textbox style="mso-next-textbox:#_x0000_s3166">
            <w:txbxContent>
              <w:p w:rsidR="00035BE3" w:rsidRPr="00FB27B5" w:rsidRDefault="00035BE3" w:rsidP="00C10469">
                <w:pPr>
                  <w:ind w:firstLine="0"/>
                  <w:rPr>
                    <w:rFonts w:cs="AL-Mateen"/>
                    <w:sz w:val="24"/>
                    <w:szCs w:val="24"/>
                    <w:rtl/>
                  </w:rPr>
                </w:pPr>
                <w:r w:rsidRPr="00FB27B5">
                  <w:rPr>
                    <w:rFonts w:cs="AL-Mateen" w:hint="cs"/>
                    <w:sz w:val="24"/>
                    <w:szCs w:val="24"/>
                    <w:rtl/>
                  </w:rPr>
                  <w:t xml:space="preserve">ق56 :  </w:t>
                </w:r>
                <w:r w:rsidRPr="00FB27B5">
                  <w:rPr>
                    <w:rFonts w:cs="AL-Mateen" w:hint="eastAsia"/>
                    <w:sz w:val="24"/>
                    <w:szCs w:val="24"/>
                    <w:rtl/>
                  </w:rPr>
                  <w:t>ب</w:t>
                </w:r>
                <w:r w:rsidRPr="00FB27B5">
                  <w:rPr>
                    <w:rFonts w:cs="AL-Mateen" w:hint="cs"/>
                    <w:sz w:val="24"/>
                    <w:szCs w:val="24"/>
                    <w:rtl/>
                  </w:rPr>
                  <w:t>ِ</w:t>
                </w:r>
                <w:r w:rsidRPr="00FB27B5">
                  <w:rPr>
                    <w:rFonts w:cs="AL-Mateen" w:hint="eastAsia"/>
                    <w:sz w:val="24"/>
                    <w:szCs w:val="24"/>
                    <w:rtl/>
                  </w:rPr>
                  <w:t>ن</w:t>
                </w:r>
                <w:r w:rsidRPr="00FB27B5">
                  <w:rPr>
                    <w:rFonts w:cs="AL-Mateen" w:hint="cs"/>
                    <w:sz w:val="24"/>
                    <w:szCs w:val="24"/>
                    <w:rtl/>
                  </w:rPr>
                  <w:t>َ</w:t>
                </w:r>
                <w:r w:rsidRPr="00FB27B5">
                  <w:rPr>
                    <w:rFonts w:cs="AL-Mateen" w:hint="eastAsia"/>
                    <w:sz w:val="24"/>
                    <w:szCs w:val="24"/>
                    <w:rtl/>
                  </w:rPr>
                  <w:t>اء</w:t>
                </w:r>
                <w:r w:rsidRPr="00FB27B5">
                  <w:rPr>
                    <w:rFonts w:cs="AL-Mateen" w:hint="cs"/>
                    <w:sz w:val="24"/>
                    <w:szCs w:val="24"/>
                    <w:rtl/>
                  </w:rPr>
                  <w:t>ُ</w:t>
                </w:r>
                <w:r w:rsidRPr="00FB27B5">
                  <w:rPr>
                    <w:rFonts w:cs="AL-Mateen"/>
                    <w:sz w:val="24"/>
                    <w:szCs w:val="24"/>
                    <w:rtl/>
                  </w:rPr>
                  <w:t xml:space="preserve"> الق</w:t>
                </w:r>
                <w:r w:rsidRPr="00FB27B5">
                  <w:rPr>
                    <w:rFonts w:cs="AL-Mateen" w:hint="cs"/>
                    <w:sz w:val="24"/>
                    <w:szCs w:val="24"/>
                    <w:rtl/>
                  </w:rPr>
                  <w:t>َ</w:t>
                </w:r>
                <w:r w:rsidRPr="00FB27B5">
                  <w:rPr>
                    <w:rFonts w:cs="AL-Mateen"/>
                    <w:sz w:val="24"/>
                    <w:szCs w:val="24"/>
                    <w:rtl/>
                  </w:rPr>
                  <w:t>و</w:t>
                </w:r>
                <w:r w:rsidRPr="00FB27B5">
                  <w:rPr>
                    <w:rFonts w:cs="AL-Mateen" w:hint="cs"/>
                    <w:sz w:val="24"/>
                    <w:szCs w:val="24"/>
                    <w:rtl/>
                  </w:rPr>
                  <w:t>ِ</w:t>
                </w:r>
                <w:r w:rsidRPr="00FB27B5">
                  <w:rPr>
                    <w:rFonts w:cs="AL-Mateen"/>
                    <w:sz w:val="24"/>
                    <w:szCs w:val="24"/>
                    <w:rtl/>
                  </w:rPr>
                  <w:t>يّ</w:t>
                </w:r>
                <w:r w:rsidRPr="00FB27B5">
                  <w:rPr>
                    <w:rFonts w:cs="AL-Mateen" w:hint="cs"/>
                    <w:sz w:val="24"/>
                    <w:szCs w:val="24"/>
                    <w:rtl/>
                  </w:rPr>
                  <w:t>ِ</w:t>
                </w:r>
                <w:r w:rsidRPr="00FB27B5">
                  <w:rPr>
                    <w:rFonts w:cs="AL-Mateen"/>
                    <w:sz w:val="24"/>
                    <w:szCs w:val="24"/>
                    <w:rtl/>
                  </w:rPr>
                  <w:t xml:space="preserve"> على </w:t>
                </w:r>
                <w:r w:rsidRPr="00FB27B5">
                  <w:rPr>
                    <w:rFonts w:cs="AL-Mateen" w:hint="eastAsia"/>
                    <w:sz w:val="24"/>
                    <w:szCs w:val="24"/>
                    <w:rtl/>
                  </w:rPr>
                  <w:t>الض</w:t>
                </w:r>
                <w:r w:rsidRPr="00FB27B5">
                  <w:rPr>
                    <w:rFonts w:cs="AL-Mateen" w:hint="cs"/>
                    <w:sz w:val="24"/>
                    <w:szCs w:val="24"/>
                    <w:rtl/>
                  </w:rPr>
                  <w:t>َّ</w:t>
                </w:r>
                <w:r w:rsidRPr="00FB27B5">
                  <w:rPr>
                    <w:rFonts w:cs="AL-Mateen" w:hint="eastAsia"/>
                    <w:sz w:val="24"/>
                    <w:szCs w:val="24"/>
                    <w:rtl/>
                  </w:rPr>
                  <w:t>ع</w:t>
                </w:r>
                <w:r w:rsidRPr="00FB27B5">
                  <w:rPr>
                    <w:rFonts w:cs="AL-Mateen" w:hint="cs"/>
                    <w:sz w:val="24"/>
                    <w:szCs w:val="24"/>
                    <w:rtl/>
                  </w:rPr>
                  <w:t>ِ</w:t>
                </w:r>
                <w:r w:rsidRPr="00FB27B5">
                  <w:rPr>
                    <w:rFonts w:cs="AL-Mateen" w:hint="eastAsia"/>
                    <w:sz w:val="24"/>
                    <w:szCs w:val="24"/>
                    <w:rtl/>
                  </w:rPr>
                  <w:t>ي</w:t>
                </w:r>
                <w:r w:rsidRPr="00FB27B5">
                  <w:rPr>
                    <w:rFonts w:cs="AL-Mateen" w:hint="cs"/>
                    <w:sz w:val="24"/>
                    <w:szCs w:val="24"/>
                    <w:rtl/>
                  </w:rPr>
                  <w:t>ْ</w:t>
                </w:r>
                <w:r w:rsidRPr="00FB27B5">
                  <w:rPr>
                    <w:rFonts w:cs="AL-Mateen" w:hint="eastAsia"/>
                    <w:sz w:val="24"/>
                    <w:szCs w:val="24"/>
                    <w:rtl/>
                  </w:rPr>
                  <w:t>ف</w:t>
                </w:r>
                <w:r w:rsidRPr="00FB27B5">
                  <w:rPr>
                    <w:rFonts w:cs="AL-Mateen" w:hint="cs"/>
                    <w:sz w:val="24"/>
                    <w:szCs w:val="24"/>
                    <w:rtl/>
                  </w:rPr>
                  <w:t>ِ</w:t>
                </w:r>
                <w:r w:rsidRPr="00FB27B5">
                  <w:rPr>
                    <w:rFonts w:cs="AL-Mateen"/>
                    <w:sz w:val="24"/>
                    <w:szCs w:val="24"/>
                    <w:rtl/>
                  </w:rPr>
                  <w:t xml:space="preserve"> ف</w:t>
                </w:r>
                <w:r w:rsidRPr="00FB27B5">
                  <w:rPr>
                    <w:rFonts w:cs="AL-Mateen" w:hint="cs"/>
                    <w:sz w:val="24"/>
                    <w:szCs w:val="24"/>
                    <w:rtl/>
                  </w:rPr>
                  <w:t>َ</w:t>
                </w:r>
                <w:r w:rsidRPr="00FB27B5">
                  <w:rPr>
                    <w:rFonts w:cs="AL-Mateen"/>
                    <w:sz w:val="24"/>
                    <w:szCs w:val="24"/>
                    <w:rtl/>
                  </w:rPr>
                  <w:t>اس</w:t>
                </w:r>
                <w:r w:rsidRPr="00FB27B5">
                  <w:rPr>
                    <w:rFonts w:cs="AL-Mateen" w:hint="cs"/>
                    <w:sz w:val="24"/>
                    <w:szCs w:val="24"/>
                    <w:rtl/>
                  </w:rPr>
                  <w:t>ِ</w:t>
                </w:r>
                <w:r w:rsidRPr="00FB27B5">
                  <w:rPr>
                    <w:rFonts w:cs="AL-Mateen"/>
                    <w:sz w:val="24"/>
                    <w:szCs w:val="24"/>
                    <w:rtl/>
                  </w:rPr>
                  <w:t>د</w:t>
                </w:r>
                <w:r w:rsidRPr="00FB27B5">
                  <w:rPr>
                    <w:rFonts w:cs="AL-Mateen" w:hint="cs"/>
                    <w:sz w:val="24"/>
                    <w:szCs w:val="24"/>
                    <w:rtl/>
                  </w:rPr>
                  <w:t>ٌ.</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65" type="#_x0000_t202" style="position:absolute;left:0;text-align:left;margin-left:324.8pt;margin-top:3.4pt;width:99.75pt;height:31.35pt;z-index:251347456" filled="f" stroked="f">
          <v:textbox style="mso-next-textbox:#_x0000_s31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67" type="#_x0000_t75" style="position:absolute;left:0;text-align:left;margin-left:62.55pt;margin-top:.55pt;width:359.1pt;height:44.85pt;z-index:-251966976;mso-wrap-edited:f" wrapcoords="709 4393 473 10251 709 16108 709 16841 20851 16841 20891 16108 21088 10251 20851 4393 709 4393">
          <v:imagedata r:id="rId2" o:title="haut"/>
          <w10:wrap anchorx="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439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72" type="#_x0000_t75" style="position:absolute;left:0;text-align:left;margin-left:-11.8pt;margin-top:-4.3pt;width:91.2pt;height:56.1pt;z-index:2513546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70" type="#_x0000_t202" style="position:absolute;left:0;text-align:left;margin-left:170.9pt;margin-top:7.4pt;width:151.15pt;height:34.2pt;z-index:251352576" filled="f" stroked="f">
          <v:textbox style="mso-next-textbox:#_x0000_s3170">
            <w:txbxContent>
              <w:p w:rsidR="00035BE3" w:rsidRPr="00FB27B5" w:rsidRDefault="00035BE3" w:rsidP="00C10469">
                <w:pPr>
                  <w:ind w:firstLine="0"/>
                  <w:rPr>
                    <w:rFonts w:cs="AL-Mateen"/>
                    <w:sz w:val="24"/>
                    <w:szCs w:val="24"/>
                    <w:rtl/>
                  </w:rPr>
                </w:pPr>
                <w:r w:rsidRPr="004E55B5">
                  <w:rPr>
                    <w:rFonts w:cs="AL-Mateen" w:hint="cs"/>
                    <w:sz w:val="24"/>
                    <w:szCs w:val="24"/>
                    <w:rtl/>
                  </w:rPr>
                  <w:t xml:space="preserve">ق57 :  </w:t>
                </w:r>
                <w:r w:rsidRPr="004E55B5">
                  <w:rPr>
                    <w:rFonts w:cs="AL-Mateen" w:hint="eastAsia"/>
                    <w:sz w:val="24"/>
                    <w:szCs w:val="24"/>
                    <w:rtl/>
                  </w:rPr>
                  <w:t>البيع</w:t>
                </w:r>
                <w:r w:rsidRPr="004E55B5">
                  <w:rPr>
                    <w:rFonts w:cs="AL-Mateen" w:hint="cs"/>
                    <w:sz w:val="24"/>
                    <w:szCs w:val="24"/>
                    <w:rtl/>
                  </w:rPr>
                  <w:t>ُ</w:t>
                </w:r>
                <w:r w:rsidRPr="004E55B5">
                  <w:rPr>
                    <w:rFonts w:cs="AL-Mateen"/>
                    <w:sz w:val="24"/>
                    <w:szCs w:val="24"/>
                    <w:rtl/>
                  </w:rPr>
                  <w:t xml:space="preserve"> س</w:t>
                </w:r>
                <w:r w:rsidRPr="004E55B5">
                  <w:rPr>
                    <w:rFonts w:cs="AL-Mateen" w:hint="cs"/>
                    <w:sz w:val="24"/>
                    <w:szCs w:val="24"/>
                    <w:rtl/>
                  </w:rPr>
                  <w:t>َ</w:t>
                </w:r>
                <w:r w:rsidRPr="004E55B5">
                  <w:rPr>
                    <w:rFonts w:cs="AL-Mateen"/>
                    <w:sz w:val="24"/>
                    <w:szCs w:val="24"/>
                    <w:rtl/>
                  </w:rPr>
                  <w:t>ال</w:t>
                </w:r>
                <w:r w:rsidRPr="004E55B5">
                  <w:rPr>
                    <w:rFonts w:cs="AL-Mateen" w:hint="cs"/>
                    <w:sz w:val="24"/>
                    <w:szCs w:val="24"/>
                    <w:rtl/>
                  </w:rPr>
                  <w:t>ِ</w:t>
                </w:r>
                <w:r w:rsidRPr="004E55B5">
                  <w:rPr>
                    <w:rFonts w:cs="AL-Mateen"/>
                    <w:sz w:val="24"/>
                    <w:szCs w:val="24"/>
                    <w:rtl/>
                  </w:rPr>
                  <w:t>بٌ للم</w:t>
                </w:r>
                <w:r w:rsidRPr="004E55B5">
                  <w:rPr>
                    <w:rFonts w:cs="AL-Mateen" w:hint="cs"/>
                    <w:sz w:val="24"/>
                    <w:szCs w:val="24"/>
                    <w:rtl/>
                  </w:rPr>
                  <w:t>ِ</w:t>
                </w:r>
                <w:r w:rsidRPr="004E55B5">
                  <w:rPr>
                    <w:rFonts w:cs="AL-Mateen"/>
                    <w:sz w:val="24"/>
                    <w:szCs w:val="24"/>
                    <w:rtl/>
                  </w:rPr>
                  <w:t>ل</w:t>
                </w:r>
                <w:r w:rsidRPr="004E55B5">
                  <w:rPr>
                    <w:rFonts w:cs="AL-Mateen" w:hint="cs"/>
                    <w:sz w:val="24"/>
                    <w:szCs w:val="24"/>
                    <w:rtl/>
                  </w:rPr>
                  <w:t>ْ</w:t>
                </w:r>
                <w:r w:rsidRPr="004E55B5">
                  <w:rPr>
                    <w:rFonts w:cs="AL-Mateen"/>
                    <w:sz w:val="24"/>
                    <w:szCs w:val="24"/>
                    <w:rtl/>
                  </w:rPr>
                  <w:t>ك</w:t>
                </w:r>
                <w:r w:rsidRPr="004E55B5">
                  <w:rPr>
                    <w:rFonts w:cs="AL-Mateen" w:hint="cs"/>
                    <w:sz w:val="24"/>
                    <w:szCs w:val="24"/>
                    <w:rtl/>
                  </w:rPr>
                  <w:t>ِ</w:t>
                </w:r>
                <w:r w:rsidRPr="004E55B5">
                  <w:rPr>
                    <w:rFonts w:cs="AL-Mateen"/>
                    <w:sz w:val="24"/>
                    <w:szCs w:val="24"/>
                    <w:rtl/>
                  </w:rPr>
                  <w:t xml:space="preserve">، </w:t>
                </w:r>
                <w:r w:rsidRPr="004E55B5">
                  <w:rPr>
                    <w:rFonts w:cs="AL-Mateen" w:hint="eastAsia"/>
                    <w:sz w:val="24"/>
                    <w:szCs w:val="24"/>
                    <w:rtl/>
                  </w:rPr>
                  <w:t>والش</w:t>
                </w:r>
                <w:r w:rsidRPr="004E55B5">
                  <w:rPr>
                    <w:rFonts w:cs="AL-Mateen" w:hint="cs"/>
                    <w:sz w:val="24"/>
                    <w:szCs w:val="24"/>
                    <w:rtl/>
                  </w:rPr>
                  <w:t>ِّ</w:t>
                </w:r>
                <w:r w:rsidRPr="004E55B5">
                  <w:rPr>
                    <w:rFonts w:cs="AL-Mateen" w:hint="eastAsia"/>
                    <w:sz w:val="24"/>
                    <w:szCs w:val="24"/>
                    <w:rtl/>
                  </w:rPr>
                  <w:t>ر</w:t>
                </w:r>
                <w:r w:rsidRPr="004E55B5">
                  <w:rPr>
                    <w:rFonts w:cs="AL-Mateen" w:hint="cs"/>
                    <w:sz w:val="24"/>
                    <w:szCs w:val="24"/>
                    <w:rtl/>
                  </w:rPr>
                  <w:t>َ</w:t>
                </w:r>
                <w:r w:rsidRPr="004E55B5">
                  <w:rPr>
                    <w:rFonts w:cs="AL-Mateen" w:hint="eastAsia"/>
                    <w:sz w:val="24"/>
                    <w:szCs w:val="24"/>
                    <w:rtl/>
                  </w:rPr>
                  <w:t>اء</w:t>
                </w:r>
                <w:r w:rsidRPr="004E55B5">
                  <w:rPr>
                    <w:rFonts w:cs="AL-Mateen" w:hint="cs"/>
                    <w:sz w:val="24"/>
                    <w:szCs w:val="24"/>
                    <w:rtl/>
                  </w:rPr>
                  <w:t>ُ</w:t>
                </w:r>
                <w:r w:rsidRPr="004E55B5">
                  <w:rPr>
                    <w:rFonts w:cs="AL-Mateen"/>
                    <w:sz w:val="24"/>
                    <w:szCs w:val="24"/>
                    <w:rtl/>
                  </w:rPr>
                  <w:t xml:space="preserve"> ج</w:t>
                </w:r>
                <w:r w:rsidRPr="004E55B5">
                  <w:rPr>
                    <w:rFonts w:cs="AL-Mateen" w:hint="cs"/>
                    <w:sz w:val="24"/>
                    <w:szCs w:val="24"/>
                    <w:rtl/>
                  </w:rPr>
                  <w:t>َ</w:t>
                </w:r>
                <w:r w:rsidRPr="004E55B5">
                  <w:rPr>
                    <w:rFonts w:cs="AL-Mateen"/>
                    <w:sz w:val="24"/>
                    <w:szCs w:val="24"/>
                    <w:rtl/>
                  </w:rPr>
                  <w:t>ال</w:t>
                </w:r>
                <w:r w:rsidRPr="004E55B5">
                  <w:rPr>
                    <w:rFonts w:cs="AL-Mateen" w:hint="cs"/>
                    <w:sz w:val="24"/>
                    <w:szCs w:val="24"/>
                    <w:rtl/>
                  </w:rPr>
                  <w:t>ِ</w:t>
                </w:r>
                <w:r w:rsidRPr="004E55B5">
                  <w:rPr>
                    <w:rFonts w:cs="AL-Mateen"/>
                    <w:sz w:val="24"/>
                    <w:szCs w:val="24"/>
                    <w:rtl/>
                  </w:rPr>
                  <w:t>ب</w:t>
                </w:r>
                <w:r w:rsidRPr="004E55B5">
                  <w:rPr>
                    <w:rFonts w:cs="AL-Mateen" w:hint="cs"/>
                    <w:sz w:val="24"/>
                    <w:szCs w:val="24"/>
                    <w:rtl/>
                  </w:rPr>
                  <w:t>ٌ.</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69" type="#_x0000_t202" style="position:absolute;left:0;text-align:left;margin-left:324.8pt;margin-top:3.4pt;width:99.75pt;height:31.35pt;z-index:251351552" filled="f" stroked="f">
          <v:textbox style="mso-next-textbox:#_x0000_s316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71" type="#_x0000_t75" style="position:absolute;left:0;text-align:left;margin-left:62.55pt;margin-top:.55pt;width:359.1pt;height:44.85pt;z-index:-251962880;mso-wrap-edited:f" wrapcoords="709 4393 473 10251 709 16108 709 16841 20851 16841 20891 16108 21088 10251 20851 4393 709 4393">
          <v:imagedata r:id="rId2" o:title="haut"/>
          <w10:wrap anchorx="page"/>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452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76" type="#_x0000_t75" style="position:absolute;left:0;text-align:left;margin-left:-11.8pt;margin-top:-4.3pt;width:91.2pt;height:56.1pt;z-index:25135872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74" type="#_x0000_t202" style="position:absolute;left:0;text-align:left;margin-left:170.9pt;margin-top:7.4pt;width:151.15pt;height:34.2pt;z-index:251356672" filled="f" stroked="f">
          <v:textbox style="mso-next-textbox:#_x0000_s3174">
            <w:txbxContent>
              <w:p w:rsidR="00035BE3" w:rsidRPr="00FB27B5" w:rsidRDefault="00035BE3" w:rsidP="00C10469">
                <w:pPr>
                  <w:ind w:firstLine="0"/>
                  <w:rPr>
                    <w:rFonts w:cs="AL-Mateen"/>
                    <w:sz w:val="24"/>
                    <w:szCs w:val="24"/>
                    <w:rtl/>
                  </w:rPr>
                </w:pPr>
                <w:r w:rsidRPr="00B70D78">
                  <w:rPr>
                    <w:rFonts w:cs="AL-Mateen" w:hint="cs"/>
                    <w:sz w:val="24"/>
                    <w:szCs w:val="24"/>
                    <w:rtl/>
                  </w:rPr>
                  <w:t xml:space="preserve">ق58 :  </w:t>
                </w:r>
                <w:r w:rsidRPr="00B70D78">
                  <w:rPr>
                    <w:rFonts w:cs="AL-Mateen" w:hint="eastAsia"/>
                    <w:sz w:val="24"/>
                    <w:szCs w:val="24"/>
                    <w:rtl/>
                  </w:rPr>
                  <w:t>بَـيِّـنةُ</w:t>
                </w:r>
                <w:r w:rsidRPr="00B70D78">
                  <w:rPr>
                    <w:rFonts w:cs="AL-Mateen"/>
                    <w:sz w:val="24"/>
                    <w:szCs w:val="24"/>
                    <w:rtl/>
                  </w:rPr>
                  <w:t xml:space="preserve"> الن</w:t>
                </w:r>
                <w:r w:rsidRPr="00B70D78">
                  <w:rPr>
                    <w:rFonts w:cs="AL-Mateen" w:hint="cs"/>
                    <w:sz w:val="24"/>
                    <w:szCs w:val="24"/>
                    <w:rtl/>
                  </w:rPr>
                  <w:t>َّ</w:t>
                </w:r>
                <w:r w:rsidRPr="00B70D78">
                  <w:rPr>
                    <w:rFonts w:cs="AL-Mateen"/>
                    <w:sz w:val="24"/>
                    <w:szCs w:val="24"/>
                    <w:rtl/>
                  </w:rPr>
                  <w:t>ف</w:t>
                </w:r>
                <w:r w:rsidRPr="00B70D78">
                  <w:rPr>
                    <w:rFonts w:cs="AL-Mateen" w:hint="cs"/>
                    <w:sz w:val="24"/>
                    <w:szCs w:val="24"/>
                    <w:rtl/>
                  </w:rPr>
                  <w:t>ْ</w:t>
                </w:r>
                <w:r w:rsidRPr="00B70D78">
                  <w:rPr>
                    <w:rFonts w:cs="AL-Mateen"/>
                    <w:sz w:val="24"/>
                    <w:szCs w:val="24"/>
                    <w:rtl/>
                  </w:rPr>
                  <w:t>ي</w:t>
                </w:r>
                <w:r w:rsidRPr="00B70D78">
                  <w:rPr>
                    <w:rFonts w:cs="AL-Mateen" w:hint="cs"/>
                    <w:sz w:val="24"/>
                    <w:szCs w:val="24"/>
                    <w:rtl/>
                  </w:rPr>
                  <w:t>ِ</w:t>
                </w:r>
                <w:r w:rsidRPr="00B70D78">
                  <w:rPr>
                    <w:rFonts w:cs="AL-Mateen"/>
                    <w:sz w:val="24"/>
                    <w:szCs w:val="24"/>
                    <w:rtl/>
                  </w:rPr>
                  <w:t xml:space="preserve"> </w:t>
                </w:r>
                <w:r w:rsidRPr="00B70D78">
                  <w:rPr>
                    <w:rFonts w:cs="AL-Mateen" w:hint="eastAsia"/>
                    <w:sz w:val="24"/>
                    <w:szCs w:val="24"/>
                    <w:rtl/>
                  </w:rPr>
                  <w:t>غ</w:t>
                </w:r>
                <w:r w:rsidRPr="00B70D78">
                  <w:rPr>
                    <w:rFonts w:cs="AL-Mateen" w:hint="cs"/>
                    <w:sz w:val="24"/>
                    <w:szCs w:val="24"/>
                    <w:rtl/>
                  </w:rPr>
                  <w:t>َ</w:t>
                </w:r>
                <w:r w:rsidRPr="00B70D78">
                  <w:rPr>
                    <w:rFonts w:cs="AL-Mateen" w:hint="eastAsia"/>
                    <w:sz w:val="24"/>
                    <w:szCs w:val="24"/>
                    <w:rtl/>
                  </w:rPr>
                  <w:t>ي</w:t>
                </w:r>
                <w:r w:rsidRPr="00B70D78">
                  <w:rPr>
                    <w:rFonts w:cs="AL-Mateen" w:hint="cs"/>
                    <w:sz w:val="24"/>
                    <w:szCs w:val="24"/>
                    <w:rtl/>
                  </w:rPr>
                  <w:t>ْ</w:t>
                </w:r>
                <w:r w:rsidRPr="00B70D78">
                  <w:rPr>
                    <w:rFonts w:cs="AL-Mateen" w:hint="eastAsia"/>
                    <w:sz w:val="24"/>
                    <w:szCs w:val="24"/>
                    <w:rtl/>
                  </w:rPr>
                  <w:t>ر</w:t>
                </w:r>
                <w:r w:rsidRPr="00B70D78">
                  <w:rPr>
                    <w:rFonts w:cs="AL-Mateen" w:hint="cs"/>
                    <w:sz w:val="24"/>
                    <w:szCs w:val="24"/>
                    <w:rtl/>
                  </w:rPr>
                  <w:t>ُ</w:t>
                </w:r>
                <w:r w:rsidRPr="00B70D78">
                  <w:rPr>
                    <w:rFonts w:cs="AL-Mateen"/>
                    <w:sz w:val="24"/>
                    <w:szCs w:val="24"/>
                    <w:rtl/>
                  </w:rPr>
                  <w:t xml:space="preserve"> م</w:t>
                </w:r>
                <w:r w:rsidRPr="00B70D78">
                  <w:rPr>
                    <w:rFonts w:cs="AL-Mateen" w:hint="cs"/>
                    <w:sz w:val="24"/>
                    <w:szCs w:val="24"/>
                    <w:rtl/>
                  </w:rPr>
                  <w:t>َ</w:t>
                </w:r>
                <w:r w:rsidRPr="00B70D78">
                  <w:rPr>
                    <w:rFonts w:cs="AL-Mateen"/>
                    <w:sz w:val="24"/>
                    <w:szCs w:val="24"/>
                    <w:rtl/>
                  </w:rPr>
                  <w:t>ق</w:t>
                </w:r>
                <w:r w:rsidRPr="00B70D78">
                  <w:rPr>
                    <w:rFonts w:cs="AL-Mateen" w:hint="cs"/>
                    <w:sz w:val="24"/>
                    <w:szCs w:val="24"/>
                    <w:rtl/>
                  </w:rPr>
                  <w:t>ْ</w:t>
                </w:r>
                <w:r w:rsidRPr="00B70D78">
                  <w:rPr>
                    <w:rFonts w:cs="AL-Mateen"/>
                    <w:sz w:val="24"/>
                    <w:szCs w:val="24"/>
                    <w:rtl/>
                  </w:rPr>
                  <w:t>ب</w:t>
                </w:r>
                <w:r w:rsidRPr="00B70D78">
                  <w:rPr>
                    <w:rFonts w:cs="AL-Mateen" w:hint="cs"/>
                    <w:sz w:val="24"/>
                    <w:szCs w:val="24"/>
                    <w:rtl/>
                  </w:rPr>
                  <w:t>ُ</w:t>
                </w:r>
                <w:r w:rsidRPr="00B70D78">
                  <w:rPr>
                    <w:rFonts w:cs="AL-Mateen"/>
                    <w:sz w:val="24"/>
                    <w:szCs w:val="24"/>
                    <w:rtl/>
                  </w:rPr>
                  <w:t>ول</w:t>
                </w:r>
                <w:r w:rsidRPr="00B70D78">
                  <w:rPr>
                    <w:rFonts w:cs="AL-Mateen" w:hint="cs"/>
                    <w:sz w:val="24"/>
                    <w:szCs w:val="24"/>
                    <w:rtl/>
                  </w:rPr>
                  <w:t>َـ</w:t>
                </w:r>
                <w:r w:rsidRPr="00B70D78">
                  <w:rPr>
                    <w:rFonts w:cs="AL-Mateen"/>
                    <w:sz w:val="24"/>
                    <w:szCs w:val="24"/>
                    <w:rtl/>
                  </w:rPr>
                  <w:t>ةٍ</w:t>
                </w:r>
                <w:r w:rsidRPr="00B70D78">
                  <w:rPr>
                    <w:rFonts w:cs="AL-Mateen" w:hint="cs"/>
                    <w:sz w:val="24"/>
                    <w:szCs w:val="24"/>
                    <w:rtl/>
                  </w:rPr>
                  <w:t>.</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73" type="#_x0000_t202" style="position:absolute;left:0;text-align:left;margin-left:324.8pt;margin-top:3.4pt;width:99.75pt;height:31.35pt;z-index:251355648" filled="f" stroked="f">
          <v:textbox style="mso-next-textbox:#_x0000_s317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75" type="#_x0000_t75" style="position:absolute;left:0;text-align:left;margin-left:62.55pt;margin-top:.55pt;width:359.1pt;height:44.85pt;z-index:-251958784;mso-wrap-edited:f" wrapcoords="709 4393 473 10251 709 16108 709 16841 20851 16841 20891 16108 21088 10251 20851 4393 709 4393">
          <v:imagedata r:id="rId2" o:title="haut"/>
          <w10:wrap anchorx="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454</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0" type="#_x0000_t75" style="position:absolute;left:0;text-align:left;margin-left:-11.8pt;margin-top:-4.3pt;width:91.2pt;height:56.1pt;z-index:25136281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78" type="#_x0000_t202" style="position:absolute;left:0;text-align:left;margin-left:170.9pt;margin-top:7.4pt;width:151.15pt;height:34.2pt;z-index:251360768" filled="f" stroked="f">
          <v:textbox style="mso-next-textbox:#_x0000_s3178">
            <w:txbxContent>
              <w:p w:rsidR="00035BE3" w:rsidRPr="00FB27B5" w:rsidRDefault="00035BE3" w:rsidP="00C10469">
                <w:pPr>
                  <w:ind w:firstLine="0"/>
                  <w:rPr>
                    <w:rFonts w:cs="AL-Mateen"/>
                    <w:sz w:val="24"/>
                    <w:szCs w:val="24"/>
                    <w:rtl/>
                  </w:rPr>
                </w:pPr>
                <w:r w:rsidRPr="00F85184">
                  <w:rPr>
                    <w:rFonts w:cs="AL-Mateen" w:hint="cs"/>
                    <w:sz w:val="24"/>
                    <w:szCs w:val="24"/>
                    <w:rtl/>
                  </w:rPr>
                  <w:t xml:space="preserve">ق59 :  </w:t>
                </w:r>
                <w:r w:rsidRPr="00F85184">
                  <w:rPr>
                    <w:rFonts w:cs="AL-Mateen" w:hint="eastAsia"/>
                    <w:sz w:val="24"/>
                    <w:szCs w:val="24"/>
                    <w:rtl/>
                  </w:rPr>
                  <w:t>ب</w:t>
                </w:r>
                <w:r w:rsidRPr="00F85184">
                  <w:rPr>
                    <w:rFonts w:cs="AL-Mateen" w:hint="cs"/>
                    <w:sz w:val="24"/>
                    <w:szCs w:val="24"/>
                    <w:rtl/>
                  </w:rPr>
                  <w:t>َ</w:t>
                </w:r>
                <w:r w:rsidRPr="00F85184">
                  <w:rPr>
                    <w:rFonts w:cs="AL-Mateen" w:hint="eastAsia"/>
                    <w:sz w:val="24"/>
                    <w:szCs w:val="24"/>
                    <w:rtl/>
                  </w:rPr>
                  <w:t>ي</w:t>
                </w:r>
                <w:r w:rsidRPr="00F85184">
                  <w:rPr>
                    <w:rFonts w:cs="AL-Mateen" w:hint="cs"/>
                    <w:sz w:val="24"/>
                    <w:szCs w:val="24"/>
                    <w:rtl/>
                  </w:rPr>
                  <w:t>ْ</w:t>
                </w:r>
                <w:r w:rsidRPr="00F85184">
                  <w:rPr>
                    <w:rFonts w:cs="AL-Mateen" w:hint="eastAsia"/>
                    <w:sz w:val="24"/>
                    <w:szCs w:val="24"/>
                    <w:rtl/>
                  </w:rPr>
                  <w:t>ع</w:t>
                </w:r>
                <w:r w:rsidRPr="00F85184">
                  <w:rPr>
                    <w:rFonts w:cs="AL-Mateen" w:hint="cs"/>
                    <w:sz w:val="24"/>
                    <w:szCs w:val="24"/>
                    <w:rtl/>
                  </w:rPr>
                  <w:t>ُ</w:t>
                </w:r>
                <w:r w:rsidRPr="00F85184">
                  <w:rPr>
                    <w:rFonts w:cs="AL-Mateen"/>
                    <w:sz w:val="24"/>
                    <w:szCs w:val="24"/>
                    <w:rtl/>
                  </w:rPr>
                  <w:t xml:space="preserve"> الح</w:t>
                </w:r>
                <w:r w:rsidRPr="00F85184">
                  <w:rPr>
                    <w:rFonts w:cs="AL-Mateen" w:hint="cs"/>
                    <w:sz w:val="24"/>
                    <w:szCs w:val="24"/>
                    <w:rtl/>
                  </w:rPr>
                  <w:t>ُ</w:t>
                </w:r>
                <w:r w:rsidRPr="00F85184">
                  <w:rPr>
                    <w:rFonts w:cs="AL-Mateen"/>
                    <w:sz w:val="24"/>
                    <w:szCs w:val="24"/>
                    <w:rtl/>
                  </w:rPr>
                  <w:t>ق</w:t>
                </w:r>
                <w:r w:rsidRPr="00F85184">
                  <w:rPr>
                    <w:rFonts w:cs="AL-Mateen" w:hint="cs"/>
                    <w:sz w:val="24"/>
                    <w:szCs w:val="24"/>
                    <w:rtl/>
                  </w:rPr>
                  <w:t>ُ</w:t>
                </w:r>
                <w:r w:rsidRPr="00F85184">
                  <w:rPr>
                    <w:rFonts w:cs="AL-Mateen"/>
                    <w:sz w:val="24"/>
                    <w:szCs w:val="24"/>
                    <w:rtl/>
                  </w:rPr>
                  <w:t>وق</w:t>
                </w:r>
                <w:r w:rsidRPr="00F85184">
                  <w:rPr>
                    <w:rFonts w:cs="AL-Mateen" w:hint="cs"/>
                    <w:sz w:val="24"/>
                    <w:szCs w:val="24"/>
                    <w:rtl/>
                  </w:rPr>
                  <w:t>ِ</w:t>
                </w:r>
                <w:r w:rsidRPr="00F85184">
                  <w:rPr>
                    <w:rFonts w:cs="AL-Mateen"/>
                    <w:sz w:val="24"/>
                    <w:szCs w:val="24"/>
                    <w:rtl/>
                  </w:rPr>
                  <w:t xml:space="preserve"> لا يجوز</w:t>
                </w:r>
                <w:r w:rsidRPr="00F85184">
                  <w:rPr>
                    <w:rFonts w:cs="AL-Mateen" w:hint="cs"/>
                    <w:sz w:val="24"/>
                    <w:szCs w:val="24"/>
                    <w:rtl/>
                  </w:rPr>
                  <w:t>ُ</w:t>
                </w:r>
                <w:r w:rsidRPr="00F85184">
                  <w:rPr>
                    <w:rFonts w:cs="AL-Mateen"/>
                    <w:sz w:val="24"/>
                    <w:szCs w:val="24"/>
                    <w:rtl/>
                  </w:rPr>
                  <w:t xml:space="preserve"> بالان</w:t>
                </w:r>
                <w:r w:rsidRPr="00F85184">
                  <w:rPr>
                    <w:rFonts w:cs="AL-Mateen" w:hint="cs"/>
                    <w:sz w:val="24"/>
                    <w:szCs w:val="24"/>
                    <w:rtl/>
                  </w:rPr>
                  <w:t>ْ</w:t>
                </w:r>
                <w:r w:rsidRPr="00F85184">
                  <w:rPr>
                    <w:rFonts w:cs="AL-Mateen"/>
                    <w:sz w:val="24"/>
                    <w:szCs w:val="24"/>
                    <w:rtl/>
                  </w:rPr>
                  <w:t>ف</w:t>
                </w:r>
                <w:r w:rsidRPr="00F85184">
                  <w:rPr>
                    <w:rFonts w:cs="AL-Mateen" w:hint="cs"/>
                    <w:sz w:val="24"/>
                    <w:szCs w:val="24"/>
                    <w:rtl/>
                  </w:rPr>
                  <w:t>ِ</w:t>
                </w:r>
                <w:r w:rsidRPr="00F85184">
                  <w:rPr>
                    <w:rFonts w:cs="AL-Mateen"/>
                    <w:sz w:val="24"/>
                    <w:szCs w:val="24"/>
                    <w:rtl/>
                  </w:rPr>
                  <w:t>ر</w:t>
                </w:r>
                <w:r w:rsidRPr="00F85184">
                  <w:rPr>
                    <w:rFonts w:cs="AL-Mateen" w:hint="cs"/>
                    <w:sz w:val="24"/>
                    <w:szCs w:val="24"/>
                    <w:rtl/>
                  </w:rPr>
                  <w:t>َ</w:t>
                </w:r>
                <w:r w:rsidRPr="00F85184">
                  <w:rPr>
                    <w:rFonts w:cs="AL-Mateen"/>
                    <w:sz w:val="24"/>
                    <w:szCs w:val="24"/>
                    <w:rtl/>
                  </w:rPr>
                  <w:t>اد</w:t>
                </w:r>
                <w:r w:rsidRPr="00F85184">
                  <w:rPr>
                    <w:rFonts w:cs="AL-Mateen" w:hint="cs"/>
                    <w:sz w:val="24"/>
                    <w:szCs w:val="24"/>
                    <w:rtl/>
                  </w:rPr>
                  <w:t>ِ.</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77" type="#_x0000_t202" style="position:absolute;left:0;text-align:left;margin-left:324.8pt;margin-top:3.4pt;width:99.75pt;height:31.35pt;z-index:251359744" filled="f" stroked="f">
          <v:textbox style="mso-next-textbox:#_x0000_s317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79" type="#_x0000_t75" style="position:absolute;left:0;text-align:left;margin-left:62.55pt;margin-top:.55pt;width:359.1pt;height:44.85pt;z-index:-251954688;mso-wrap-edited:f" wrapcoords="709 4393 473 10251 709 16108 709 16841 20851 16841 20891 16108 21088 10251 20851 4393 709 4393">
          <v:imagedata r:id="rId2" o:title="haut"/>
          <w10:wrap anchorx="page"/>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457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4" type="#_x0000_t75" style="position:absolute;left:0;text-align:left;margin-left:-11.8pt;margin-top:-4.3pt;width:91.2pt;height:56.1pt;z-index:25136691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82" type="#_x0000_t202" style="position:absolute;left:0;text-align:left;margin-left:170.9pt;margin-top:7.4pt;width:151.15pt;height:34.2pt;z-index:251364864" filled="f" stroked="f">
          <v:textbox style="mso-next-textbox:#_x0000_s3182">
            <w:txbxContent>
              <w:p w:rsidR="00035BE3" w:rsidRPr="00FB27B5" w:rsidRDefault="00035BE3" w:rsidP="00C10469">
                <w:pPr>
                  <w:ind w:firstLine="0"/>
                  <w:rPr>
                    <w:rFonts w:cs="AL-Mateen"/>
                    <w:sz w:val="24"/>
                    <w:szCs w:val="24"/>
                    <w:rtl/>
                  </w:rPr>
                </w:pPr>
                <w:r w:rsidRPr="00F86B53">
                  <w:rPr>
                    <w:rFonts w:cs="AL-Mateen" w:hint="cs"/>
                    <w:sz w:val="24"/>
                    <w:szCs w:val="24"/>
                    <w:rtl/>
                  </w:rPr>
                  <w:t xml:space="preserve">ق60 :  </w:t>
                </w:r>
                <w:r w:rsidRPr="00F86B53">
                  <w:rPr>
                    <w:rFonts w:cs="AL-Mateen" w:hint="eastAsia"/>
                    <w:sz w:val="24"/>
                    <w:szCs w:val="24"/>
                    <w:rtl/>
                  </w:rPr>
                  <w:t>بيع</w:t>
                </w:r>
                <w:r w:rsidRPr="00F86B53">
                  <w:rPr>
                    <w:rFonts w:cs="AL-Mateen" w:hint="cs"/>
                    <w:sz w:val="24"/>
                    <w:szCs w:val="24"/>
                    <w:rtl/>
                  </w:rPr>
                  <w:t>ُ</w:t>
                </w:r>
                <w:r w:rsidRPr="00F86B53">
                  <w:rPr>
                    <w:rFonts w:cs="AL-Mateen"/>
                    <w:sz w:val="24"/>
                    <w:szCs w:val="24"/>
                    <w:rtl/>
                  </w:rPr>
                  <w:t xml:space="preserve"> الد</w:t>
                </w:r>
                <w:r w:rsidRPr="00F86B53">
                  <w:rPr>
                    <w:rFonts w:cs="AL-Mateen" w:hint="cs"/>
                    <w:sz w:val="24"/>
                    <w:szCs w:val="24"/>
                    <w:rtl/>
                  </w:rPr>
                  <w:t>َّ</w:t>
                </w:r>
                <w:r w:rsidRPr="00F86B53">
                  <w:rPr>
                    <w:rFonts w:cs="AL-Mateen"/>
                    <w:sz w:val="24"/>
                    <w:szCs w:val="24"/>
                    <w:rtl/>
                  </w:rPr>
                  <w:t>ي</w:t>
                </w:r>
                <w:r w:rsidRPr="00F86B53">
                  <w:rPr>
                    <w:rFonts w:cs="AL-Mateen" w:hint="cs"/>
                    <w:sz w:val="24"/>
                    <w:szCs w:val="24"/>
                    <w:rtl/>
                  </w:rPr>
                  <w:t>ْ</w:t>
                </w:r>
                <w:r w:rsidRPr="00F86B53">
                  <w:rPr>
                    <w:rFonts w:cs="AL-Mateen"/>
                    <w:sz w:val="24"/>
                    <w:szCs w:val="24"/>
                    <w:rtl/>
                  </w:rPr>
                  <w:t>ن</w:t>
                </w:r>
                <w:r w:rsidRPr="00F86B53">
                  <w:rPr>
                    <w:rFonts w:cs="AL-Mateen" w:hint="cs"/>
                    <w:sz w:val="24"/>
                    <w:szCs w:val="24"/>
                    <w:rtl/>
                  </w:rPr>
                  <w:t>ِ</w:t>
                </w:r>
                <w:r w:rsidRPr="00F86B53">
                  <w:rPr>
                    <w:rFonts w:cs="AL-Mateen"/>
                    <w:sz w:val="24"/>
                    <w:szCs w:val="24"/>
                    <w:rtl/>
                  </w:rPr>
                  <w:t xml:space="preserve"> بالد</w:t>
                </w:r>
                <w:r w:rsidRPr="00F86B53">
                  <w:rPr>
                    <w:rFonts w:cs="AL-Mateen" w:hint="cs"/>
                    <w:sz w:val="24"/>
                    <w:szCs w:val="24"/>
                    <w:rtl/>
                  </w:rPr>
                  <w:t>َّ</w:t>
                </w:r>
                <w:r w:rsidRPr="00F86B53">
                  <w:rPr>
                    <w:rFonts w:cs="AL-Mateen"/>
                    <w:sz w:val="24"/>
                    <w:szCs w:val="24"/>
                    <w:rtl/>
                  </w:rPr>
                  <w:t>ين</w:t>
                </w:r>
                <w:r w:rsidRPr="00F86B53">
                  <w:rPr>
                    <w:rFonts w:cs="AL-Mateen" w:hint="cs"/>
                    <w:sz w:val="24"/>
                    <w:szCs w:val="24"/>
                    <w:rtl/>
                  </w:rPr>
                  <w:t>ِ</w:t>
                </w:r>
                <w:r w:rsidRPr="00F86B53">
                  <w:rPr>
                    <w:rFonts w:cs="AL-Mateen"/>
                    <w:sz w:val="24"/>
                    <w:szCs w:val="24"/>
                    <w:rtl/>
                  </w:rPr>
                  <w:t xml:space="preserve"> باطل</w:t>
                </w:r>
                <w:r w:rsidRPr="00F86B53">
                  <w:rPr>
                    <w:rFonts w:cs="AL-Mateen" w:hint="cs"/>
                    <w:sz w:val="24"/>
                    <w:szCs w:val="24"/>
                    <w:rtl/>
                  </w:rPr>
                  <w:t>ٌ.</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81" type="#_x0000_t202" style="position:absolute;left:0;text-align:left;margin-left:324.8pt;margin-top:3.4pt;width:99.75pt;height:31.35pt;z-index:251363840" filled="f" stroked="f">
          <v:textbox style="mso-next-textbox:#_x0000_s318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83" type="#_x0000_t75" style="position:absolute;left:0;text-align:left;margin-left:62.55pt;margin-top:.55pt;width:359.1pt;height:44.85pt;z-index:-251950592;mso-wrap-edited:f" wrapcoords="709 4393 473 10251 709 16108 709 16841 20851 16841 20891 16108 21088 10251 20851 4393 709 4393">
          <v:imagedata r:id="rId2" o:title="haut"/>
          <w10:wrap anchorx="page"/>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459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8" type="#_x0000_t75" style="position:absolute;left:0;text-align:left;margin-left:-11.8pt;margin-top:-4.3pt;width:91.2pt;height:56.1pt;z-index:25137100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86" type="#_x0000_t202" style="position:absolute;left:0;text-align:left;margin-left:170.9pt;margin-top:7.4pt;width:151.15pt;height:34.2pt;z-index:251368960" filled="f" stroked="f">
          <v:textbox style="mso-next-textbox:#_x0000_s3186">
            <w:txbxContent>
              <w:p w:rsidR="00035BE3" w:rsidRPr="00FB27B5" w:rsidRDefault="00035BE3" w:rsidP="00C10469">
                <w:pPr>
                  <w:ind w:firstLine="0"/>
                  <w:rPr>
                    <w:rFonts w:cs="AL-Mateen"/>
                    <w:sz w:val="24"/>
                    <w:szCs w:val="24"/>
                    <w:rtl/>
                  </w:rPr>
                </w:pPr>
                <w:r w:rsidRPr="002C3405">
                  <w:rPr>
                    <w:rFonts w:cs="AL-Mateen" w:hint="cs"/>
                    <w:sz w:val="23"/>
                    <w:szCs w:val="23"/>
                    <w:rtl/>
                  </w:rPr>
                  <w:t xml:space="preserve">ق61 : </w:t>
                </w:r>
                <w:r w:rsidRPr="002C3405">
                  <w:rPr>
                    <w:rFonts w:cs="AL-Mateen" w:hint="eastAsia"/>
                    <w:sz w:val="23"/>
                    <w:szCs w:val="23"/>
                    <w:rtl/>
                  </w:rPr>
                  <w:t>الب</w:t>
                </w:r>
                <w:r w:rsidRPr="002C3405">
                  <w:rPr>
                    <w:rFonts w:cs="AL-Mateen" w:hint="cs"/>
                    <w:sz w:val="23"/>
                    <w:szCs w:val="23"/>
                    <w:rtl/>
                  </w:rPr>
                  <w:t>َ</w:t>
                </w:r>
                <w:r w:rsidRPr="002C3405">
                  <w:rPr>
                    <w:rFonts w:cs="AL-Mateen" w:hint="eastAsia"/>
                    <w:sz w:val="23"/>
                    <w:szCs w:val="23"/>
                    <w:rtl/>
                  </w:rPr>
                  <w:t>ي</w:t>
                </w:r>
                <w:r w:rsidRPr="002C3405">
                  <w:rPr>
                    <w:rFonts w:cs="AL-Mateen" w:hint="cs"/>
                    <w:sz w:val="23"/>
                    <w:szCs w:val="23"/>
                    <w:rtl/>
                  </w:rPr>
                  <w:t>ِّ</w:t>
                </w:r>
                <w:r w:rsidRPr="002C3405">
                  <w:rPr>
                    <w:rFonts w:cs="AL-Mateen" w:hint="eastAsia"/>
                    <w:sz w:val="23"/>
                    <w:szCs w:val="23"/>
                    <w:rtl/>
                  </w:rPr>
                  <w:t>ن</w:t>
                </w:r>
                <w:r w:rsidRPr="002C3405">
                  <w:rPr>
                    <w:rFonts w:cs="AL-Mateen" w:hint="cs"/>
                    <w:sz w:val="23"/>
                    <w:szCs w:val="23"/>
                    <w:rtl/>
                  </w:rPr>
                  <w:t>َ</w:t>
                </w:r>
                <w:r w:rsidRPr="002C3405">
                  <w:rPr>
                    <w:rFonts w:cs="AL-Mateen" w:hint="eastAsia"/>
                    <w:sz w:val="23"/>
                    <w:szCs w:val="23"/>
                    <w:rtl/>
                  </w:rPr>
                  <w:t>ات</w:t>
                </w:r>
                <w:r w:rsidRPr="002C3405">
                  <w:rPr>
                    <w:rFonts w:cs="AL-Mateen" w:hint="cs"/>
                    <w:sz w:val="23"/>
                    <w:szCs w:val="23"/>
                    <w:rtl/>
                  </w:rPr>
                  <w:t>ُ</w:t>
                </w:r>
                <w:r w:rsidRPr="002C3405">
                  <w:rPr>
                    <w:rFonts w:cs="AL-Mateen"/>
                    <w:sz w:val="23"/>
                    <w:szCs w:val="23"/>
                    <w:rtl/>
                  </w:rPr>
                  <w:t xml:space="preserve"> ش</w:t>
                </w:r>
                <w:r w:rsidRPr="002C3405">
                  <w:rPr>
                    <w:rFonts w:cs="AL-Mateen" w:hint="cs"/>
                    <w:sz w:val="23"/>
                    <w:szCs w:val="23"/>
                    <w:rtl/>
                  </w:rPr>
                  <w:t>ُ</w:t>
                </w:r>
                <w:r w:rsidRPr="002C3405">
                  <w:rPr>
                    <w:rFonts w:cs="AL-Mateen"/>
                    <w:sz w:val="23"/>
                    <w:szCs w:val="23"/>
                    <w:rtl/>
                  </w:rPr>
                  <w:t>ر</w:t>
                </w:r>
                <w:r w:rsidRPr="002C3405">
                  <w:rPr>
                    <w:rFonts w:cs="AL-Mateen" w:hint="cs"/>
                    <w:sz w:val="23"/>
                    <w:szCs w:val="23"/>
                    <w:rtl/>
                  </w:rPr>
                  <w:t>ِ</w:t>
                </w:r>
                <w:r w:rsidRPr="002C3405">
                  <w:rPr>
                    <w:rFonts w:cs="AL-Mateen"/>
                    <w:sz w:val="23"/>
                    <w:szCs w:val="23"/>
                    <w:rtl/>
                  </w:rPr>
                  <w:t>ع</w:t>
                </w:r>
                <w:r w:rsidRPr="002C3405">
                  <w:rPr>
                    <w:rFonts w:cs="AL-Mateen" w:hint="cs"/>
                    <w:sz w:val="23"/>
                    <w:szCs w:val="23"/>
                    <w:rtl/>
                  </w:rPr>
                  <w:t>َ</w:t>
                </w:r>
                <w:r w:rsidRPr="002C3405">
                  <w:rPr>
                    <w:rFonts w:cs="AL-Mateen"/>
                    <w:sz w:val="23"/>
                    <w:szCs w:val="23"/>
                    <w:rtl/>
                  </w:rPr>
                  <w:t>ت</w:t>
                </w:r>
                <w:r w:rsidRPr="002C3405">
                  <w:rPr>
                    <w:rFonts w:cs="AL-Mateen" w:hint="cs"/>
                    <w:sz w:val="23"/>
                    <w:szCs w:val="23"/>
                    <w:rtl/>
                  </w:rPr>
                  <w:t>ْ</w:t>
                </w:r>
                <w:r w:rsidRPr="002C3405">
                  <w:rPr>
                    <w:rFonts w:cs="AL-Mateen"/>
                    <w:sz w:val="23"/>
                    <w:szCs w:val="23"/>
                    <w:rtl/>
                  </w:rPr>
                  <w:t xml:space="preserve"> ل</w:t>
                </w:r>
                <w:r w:rsidRPr="002C3405">
                  <w:rPr>
                    <w:rFonts w:cs="AL-Mateen" w:hint="cs"/>
                    <w:sz w:val="23"/>
                    <w:szCs w:val="23"/>
                    <w:rtl/>
                  </w:rPr>
                  <w:t>إ</w:t>
                </w:r>
                <w:r w:rsidRPr="002C3405">
                  <w:rPr>
                    <w:rFonts w:cs="AL-Mateen"/>
                    <w:sz w:val="23"/>
                    <w:szCs w:val="23"/>
                    <w:rtl/>
                  </w:rPr>
                  <w:t>ث</w:t>
                </w:r>
                <w:r w:rsidRPr="002C3405">
                  <w:rPr>
                    <w:rFonts w:cs="AL-Mateen" w:hint="cs"/>
                    <w:sz w:val="23"/>
                    <w:szCs w:val="23"/>
                    <w:rtl/>
                  </w:rPr>
                  <w:t>ْ</w:t>
                </w:r>
                <w:r w:rsidRPr="002C3405">
                  <w:rPr>
                    <w:rFonts w:cs="AL-Mateen"/>
                    <w:sz w:val="23"/>
                    <w:szCs w:val="23"/>
                    <w:rtl/>
                  </w:rPr>
                  <w:t>ب</w:t>
                </w:r>
                <w:r w:rsidRPr="002C3405">
                  <w:rPr>
                    <w:rFonts w:cs="AL-Mateen" w:hint="cs"/>
                    <w:sz w:val="23"/>
                    <w:szCs w:val="23"/>
                    <w:rtl/>
                  </w:rPr>
                  <w:t>َ</w:t>
                </w:r>
                <w:r w:rsidRPr="002C3405">
                  <w:rPr>
                    <w:rFonts w:cs="AL-Mateen"/>
                    <w:sz w:val="23"/>
                    <w:szCs w:val="23"/>
                    <w:rtl/>
                  </w:rPr>
                  <w:t>ات</w:t>
                </w:r>
                <w:r w:rsidRPr="002C3405">
                  <w:rPr>
                    <w:rFonts w:cs="AL-Mateen" w:hint="cs"/>
                    <w:sz w:val="23"/>
                    <w:szCs w:val="23"/>
                    <w:rtl/>
                  </w:rPr>
                  <w:t>ِ</w:t>
                </w:r>
                <w:r w:rsidRPr="002C3405">
                  <w:rPr>
                    <w:rFonts w:cs="AL-Mateen"/>
                    <w:sz w:val="23"/>
                    <w:szCs w:val="23"/>
                    <w:rtl/>
                  </w:rPr>
                  <w:t xml:space="preserve"> خ</w:t>
                </w:r>
                <w:r w:rsidRPr="002C3405">
                  <w:rPr>
                    <w:rFonts w:cs="AL-Mateen" w:hint="cs"/>
                    <w:sz w:val="23"/>
                    <w:szCs w:val="23"/>
                    <w:rtl/>
                  </w:rPr>
                  <w:t>ِ</w:t>
                </w:r>
                <w:r w:rsidRPr="002C3405">
                  <w:rPr>
                    <w:rFonts w:cs="AL-Mateen"/>
                    <w:sz w:val="23"/>
                    <w:szCs w:val="23"/>
                    <w:rtl/>
                  </w:rPr>
                  <w:t>لا</w:t>
                </w:r>
                <w:r w:rsidRPr="002C3405">
                  <w:rPr>
                    <w:rFonts w:cs="AL-Mateen" w:hint="cs"/>
                    <w:sz w:val="23"/>
                    <w:szCs w:val="23"/>
                    <w:rtl/>
                  </w:rPr>
                  <w:t>َ</w:t>
                </w:r>
                <w:r w:rsidRPr="002C3405">
                  <w:rPr>
                    <w:rFonts w:cs="AL-Mateen"/>
                    <w:sz w:val="23"/>
                    <w:szCs w:val="23"/>
                    <w:rtl/>
                  </w:rPr>
                  <w:t>ف</w:t>
                </w:r>
                <w:r w:rsidRPr="002C3405">
                  <w:rPr>
                    <w:rFonts w:cs="AL-Mateen" w:hint="cs"/>
                    <w:sz w:val="23"/>
                    <w:szCs w:val="23"/>
                    <w:rtl/>
                  </w:rPr>
                  <w:t>ِ</w:t>
                </w:r>
                <w:r w:rsidRPr="002C3405">
                  <w:rPr>
                    <w:rFonts w:cs="AL-Mateen"/>
                    <w:sz w:val="23"/>
                    <w:szCs w:val="23"/>
                    <w:rtl/>
                  </w:rPr>
                  <w:t xml:space="preserve"> الظ</w:t>
                </w:r>
                <w:r w:rsidRPr="002C3405">
                  <w:rPr>
                    <w:rFonts w:cs="AL-Mateen" w:hint="cs"/>
                    <w:sz w:val="23"/>
                    <w:szCs w:val="23"/>
                    <w:rtl/>
                  </w:rPr>
                  <w:t>َّ</w:t>
                </w:r>
                <w:r w:rsidRPr="002C3405">
                  <w:rPr>
                    <w:rFonts w:cs="AL-Mateen"/>
                    <w:sz w:val="23"/>
                    <w:szCs w:val="23"/>
                    <w:rtl/>
                  </w:rPr>
                  <w:t>اه</w:t>
                </w:r>
                <w:r w:rsidRPr="002C3405">
                  <w:rPr>
                    <w:rFonts w:cs="AL-Mateen" w:hint="cs"/>
                    <w:sz w:val="23"/>
                    <w:szCs w:val="23"/>
                    <w:rtl/>
                  </w:rPr>
                  <w:t>ِ</w:t>
                </w:r>
                <w:r w:rsidRPr="002C3405">
                  <w:rPr>
                    <w:rFonts w:cs="AL-Mateen"/>
                    <w:sz w:val="23"/>
                    <w:szCs w:val="23"/>
                    <w:rtl/>
                  </w:rPr>
                  <w:t>ر</w:t>
                </w:r>
                <w:r w:rsidRPr="002C3405">
                  <w:rPr>
                    <w:rFonts w:cs="AL-Mateen" w:hint="cs"/>
                    <w:sz w:val="23"/>
                    <w:szCs w:val="23"/>
                    <w:rtl/>
                  </w:rPr>
                  <w:t>ِ</w:t>
                </w:r>
                <w:r w:rsidRPr="002C3405">
                  <w:rPr>
                    <w:rFonts w:cs="AL-Mateen"/>
                    <w:sz w:val="23"/>
                    <w:szCs w:val="23"/>
                    <w:rtl/>
                  </w:rPr>
                  <w:t>،</w:t>
                </w:r>
                <w:r w:rsidRPr="002C3405">
                  <w:rPr>
                    <w:rFonts w:cs="AL-Mateen" w:hint="cs"/>
                    <w:sz w:val="23"/>
                    <w:szCs w:val="23"/>
                    <w:rtl/>
                  </w:rPr>
                  <w:t xml:space="preserve"> واليَمِيْنُ لإبقاء الأَصْلِ.</w:t>
                </w: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85" type="#_x0000_t202" style="position:absolute;left:0;text-align:left;margin-left:324.8pt;margin-top:3.4pt;width:99.75pt;height:31.35pt;z-index:251367936" filled="f" stroked="f">
          <v:textbox style="mso-next-textbox:#_x0000_s318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87" type="#_x0000_t75" style="position:absolute;left:0;text-align:left;margin-left:62.55pt;margin-top:.55pt;width:359.1pt;height:44.85pt;z-index:-251946496;mso-wrap-edited:f" wrapcoords="709 4393 473 10251 709 16108 709 16841 20851 16841 20891 16108 21088 10251 20851 4393 709 4393">
          <v:imagedata r:id="rId2" o:title="haut"/>
          <w10:wrap anchorx="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035BE3" w:rsidRDefault="00035BE3" w:rsidP="00C10469">
    <w:pPr>
      <w:pStyle w:val="a3"/>
      <w:ind w:right="360"/>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461</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92" type="#_x0000_t75" style="position:absolute;left:0;text-align:left;margin-left:-11.8pt;margin-top:-4.3pt;width:91.2pt;height:56.1pt;z-index:25137510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90" type="#_x0000_t202" style="position:absolute;left:0;text-align:left;margin-left:170.9pt;margin-top:7.4pt;width:151.15pt;height:34.2pt;z-index:251373056" filled="f" stroked="f">
          <v:textbox style="mso-next-textbox:#_x0000_s3190">
            <w:txbxContent>
              <w:p w:rsidR="00035BE3" w:rsidRPr="00FB27B5" w:rsidRDefault="00035BE3" w:rsidP="00C10469">
                <w:pPr>
                  <w:ind w:firstLine="0"/>
                  <w:rPr>
                    <w:rFonts w:cs="AL-Mateen"/>
                    <w:sz w:val="24"/>
                    <w:szCs w:val="24"/>
                    <w:rtl/>
                  </w:rPr>
                </w:pPr>
                <w:r w:rsidRPr="00A85D06">
                  <w:rPr>
                    <w:rFonts w:cs="AL-Mateen" w:hint="cs"/>
                    <w:sz w:val="24"/>
                    <w:szCs w:val="24"/>
                    <w:rtl/>
                  </w:rPr>
                  <w:t xml:space="preserve">ق62 :  </w:t>
                </w:r>
                <w:r w:rsidRPr="00A85D06">
                  <w:rPr>
                    <w:rFonts w:cs="AL-Mateen" w:hint="eastAsia"/>
                    <w:sz w:val="24"/>
                    <w:szCs w:val="24"/>
                    <w:rtl/>
                  </w:rPr>
                  <w:t>البيع</w:t>
                </w:r>
                <w:r w:rsidRPr="00A85D06">
                  <w:rPr>
                    <w:rFonts w:cs="AL-Mateen" w:hint="cs"/>
                    <w:sz w:val="24"/>
                    <w:szCs w:val="24"/>
                    <w:rtl/>
                  </w:rPr>
                  <w:t>ُ</w:t>
                </w:r>
                <w:r w:rsidRPr="00A85D06">
                  <w:rPr>
                    <w:rFonts w:cs="AL-Mateen"/>
                    <w:sz w:val="24"/>
                    <w:szCs w:val="24"/>
                    <w:rtl/>
                  </w:rPr>
                  <w:t xml:space="preserve"> لا ي</w:t>
                </w:r>
                <w:r w:rsidRPr="00A85D06">
                  <w:rPr>
                    <w:rFonts w:cs="AL-Mateen" w:hint="cs"/>
                    <w:sz w:val="24"/>
                    <w:szCs w:val="24"/>
                    <w:rtl/>
                  </w:rPr>
                  <w:t>ُ</w:t>
                </w:r>
                <w:r w:rsidRPr="00A85D06">
                  <w:rPr>
                    <w:rFonts w:cs="AL-Mateen"/>
                    <w:sz w:val="24"/>
                    <w:szCs w:val="24"/>
                    <w:rtl/>
                  </w:rPr>
                  <w:t>ز</w:t>
                </w:r>
                <w:r w:rsidRPr="00A85D06">
                  <w:rPr>
                    <w:rFonts w:cs="AL-Mateen" w:hint="cs"/>
                    <w:sz w:val="24"/>
                    <w:szCs w:val="24"/>
                    <w:rtl/>
                  </w:rPr>
                  <w:t>ِ</w:t>
                </w:r>
                <w:r w:rsidRPr="00A85D06">
                  <w:rPr>
                    <w:rFonts w:cs="AL-Mateen"/>
                    <w:sz w:val="24"/>
                    <w:szCs w:val="24"/>
                    <w:rtl/>
                  </w:rPr>
                  <w:t>يل</w:t>
                </w:r>
                <w:r w:rsidRPr="00A85D06">
                  <w:rPr>
                    <w:rFonts w:cs="AL-Mateen" w:hint="cs"/>
                    <w:sz w:val="24"/>
                    <w:szCs w:val="24"/>
                    <w:rtl/>
                  </w:rPr>
                  <w:t>ُ</w:t>
                </w:r>
                <w:r w:rsidRPr="00A85D06">
                  <w:rPr>
                    <w:rFonts w:cs="AL-Mateen"/>
                    <w:sz w:val="24"/>
                    <w:szCs w:val="24"/>
                    <w:rtl/>
                  </w:rPr>
                  <w:t xml:space="preserve"> م</w:t>
                </w:r>
                <w:r w:rsidRPr="00A85D06">
                  <w:rPr>
                    <w:rFonts w:cs="AL-Mateen" w:hint="cs"/>
                    <w:sz w:val="24"/>
                    <w:szCs w:val="24"/>
                    <w:rtl/>
                  </w:rPr>
                  <w:t>ِ</w:t>
                </w:r>
                <w:r w:rsidRPr="00A85D06">
                  <w:rPr>
                    <w:rFonts w:cs="AL-Mateen"/>
                    <w:sz w:val="24"/>
                    <w:szCs w:val="24"/>
                    <w:rtl/>
                  </w:rPr>
                  <w:t>ل</w:t>
                </w:r>
                <w:r w:rsidRPr="00A85D06">
                  <w:rPr>
                    <w:rFonts w:cs="AL-Mateen" w:hint="cs"/>
                    <w:sz w:val="24"/>
                    <w:szCs w:val="24"/>
                    <w:rtl/>
                  </w:rPr>
                  <w:t>ْ</w:t>
                </w:r>
                <w:r w:rsidRPr="00A85D06">
                  <w:rPr>
                    <w:rFonts w:cs="AL-Mateen"/>
                    <w:sz w:val="24"/>
                    <w:szCs w:val="24"/>
                    <w:rtl/>
                  </w:rPr>
                  <w:t>ك</w:t>
                </w:r>
                <w:r w:rsidRPr="00A85D06">
                  <w:rPr>
                    <w:rFonts w:cs="AL-Mateen" w:hint="cs"/>
                    <w:sz w:val="24"/>
                    <w:szCs w:val="24"/>
                    <w:rtl/>
                  </w:rPr>
                  <w:t>َ</w:t>
                </w:r>
                <w:r w:rsidRPr="00A85D06">
                  <w:rPr>
                    <w:rFonts w:cs="AL-Mateen"/>
                    <w:sz w:val="24"/>
                    <w:szCs w:val="24"/>
                    <w:rtl/>
                  </w:rPr>
                  <w:t xml:space="preserve"> </w:t>
                </w:r>
                <w:r w:rsidRPr="00A85D06">
                  <w:rPr>
                    <w:rFonts w:cs="AL-Mateen" w:hint="eastAsia"/>
                    <w:sz w:val="24"/>
                    <w:szCs w:val="24"/>
                    <w:rtl/>
                  </w:rPr>
                  <w:t>اليد</w:t>
                </w:r>
                <w:r w:rsidRPr="00A85D06">
                  <w:rPr>
                    <w:rFonts w:cs="AL-Mateen" w:hint="cs"/>
                    <w:sz w:val="24"/>
                    <w:szCs w:val="24"/>
                    <w:rtl/>
                  </w:rPr>
                  <w:t>ِ</w:t>
                </w:r>
                <w:r w:rsidRPr="00A85D06">
                  <w:rPr>
                    <w:rFonts w:cs="AL-Mateen"/>
                    <w:sz w:val="24"/>
                    <w:szCs w:val="24"/>
                    <w:rtl/>
                  </w:rPr>
                  <w:t xml:space="preserve"> م</w:t>
                </w:r>
                <w:r w:rsidRPr="00A85D06">
                  <w:rPr>
                    <w:rFonts w:cs="AL-Mateen" w:hint="cs"/>
                    <w:sz w:val="24"/>
                    <w:szCs w:val="24"/>
                    <w:rtl/>
                  </w:rPr>
                  <w:t>َ</w:t>
                </w:r>
                <w:r w:rsidRPr="00A85D06">
                  <w:rPr>
                    <w:rFonts w:cs="AL-Mateen"/>
                    <w:sz w:val="24"/>
                    <w:szCs w:val="24"/>
                    <w:rtl/>
                  </w:rPr>
                  <w:t>ا ل</w:t>
                </w:r>
                <w:r w:rsidRPr="00A85D06">
                  <w:rPr>
                    <w:rFonts w:cs="AL-Mateen" w:hint="cs"/>
                    <w:sz w:val="24"/>
                    <w:szCs w:val="24"/>
                    <w:rtl/>
                  </w:rPr>
                  <w:t>َ</w:t>
                </w:r>
                <w:r w:rsidRPr="00A85D06">
                  <w:rPr>
                    <w:rFonts w:cs="AL-Mateen"/>
                    <w:sz w:val="24"/>
                    <w:szCs w:val="24"/>
                    <w:rtl/>
                  </w:rPr>
                  <w:t>م</w:t>
                </w:r>
                <w:r w:rsidRPr="00A85D06">
                  <w:rPr>
                    <w:rFonts w:cs="AL-Mateen" w:hint="cs"/>
                    <w:sz w:val="24"/>
                    <w:szCs w:val="24"/>
                    <w:rtl/>
                  </w:rPr>
                  <w:t>ْ</w:t>
                </w:r>
                <w:r w:rsidRPr="00A85D06">
                  <w:rPr>
                    <w:rFonts w:cs="AL-Mateen"/>
                    <w:sz w:val="24"/>
                    <w:szCs w:val="24"/>
                    <w:rtl/>
                  </w:rPr>
                  <w:t xml:space="preserve"> يت</w:t>
                </w:r>
                <w:r w:rsidRPr="00A85D06">
                  <w:rPr>
                    <w:rFonts w:cs="AL-Mateen" w:hint="cs"/>
                    <w:sz w:val="24"/>
                    <w:szCs w:val="24"/>
                    <w:rtl/>
                  </w:rPr>
                  <w:t>َّ</w:t>
                </w:r>
                <w:r w:rsidRPr="00A85D06">
                  <w:rPr>
                    <w:rFonts w:cs="AL-Mateen"/>
                    <w:sz w:val="24"/>
                    <w:szCs w:val="24"/>
                    <w:rtl/>
                  </w:rPr>
                  <w:t>صل</w:t>
                </w:r>
                <w:r w:rsidRPr="00A85D06">
                  <w:rPr>
                    <w:rFonts w:cs="AL-Mateen" w:hint="cs"/>
                    <w:sz w:val="24"/>
                    <w:szCs w:val="24"/>
                    <w:rtl/>
                  </w:rPr>
                  <w:t>ْ إليه الثَّمَنُ.</w:t>
                </w: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89" type="#_x0000_t202" style="position:absolute;left:0;text-align:left;margin-left:324.8pt;margin-top:3.4pt;width:99.75pt;height:31.35pt;z-index:251372032" filled="f" stroked="f">
          <v:textbox style="mso-next-textbox:#_x0000_s318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91" type="#_x0000_t75" style="position:absolute;left:0;text-align:left;margin-left:62.55pt;margin-top:.55pt;width:359.1pt;height:44.85pt;z-index:-251942400;mso-wrap-edited:f" wrapcoords="709 4393 473 10251 709 16108 709 16841 20851 16841 20891 16108 21088 10251 20851 4393 709 4393">
          <v:imagedata r:id="rId2" o:title="haut"/>
          <w10:wrap anchorx="page"/>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465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96" type="#_x0000_t75" style="position:absolute;left:0;text-align:left;margin-left:-11.8pt;margin-top:-4.3pt;width:91.2pt;height:56.1pt;z-index:25137920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94" type="#_x0000_t202" style="position:absolute;left:0;text-align:left;margin-left:170.9pt;margin-top:7.4pt;width:151.15pt;height:34.2pt;z-index:251377152" filled="f" stroked="f">
          <v:textbox style="mso-next-textbox:#_x0000_s3194">
            <w:txbxContent>
              <w:p w:rsidR="00035BE3" w:rsidRPr="006B70D8" w:rsidRDefault="00035BE3" w:rsidP="00C10469">
                <w:pPr>
                  <w:ind w:firstLine="0"/>
                  <w:rPr>
                    <w:rFonts w:cs="AL-Mateen"/>
                    <w:sz w:val="24"/>
                    <w:szCs w:val="24"/>
                    <w:rtl/>
                  </w:rPr>
                </w:pPr>
                <w:r w:rsidRPr="006B70D8">
                  <w:rPr>
                    <w:rFonts w:cs="AL-Mateen" w:hint="cs"/>
                    <w:sz w:val="24"/>
                    <w:szCs w:val="24"/>
                    <w:rtl/>
                  </w:rPr>
                  <w:t>ق63 :  التَّابعُ لا يُفْرَدُ بالحُكْمِ.</w:t>
                </w: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93" type="#_x0000_t202" style="position:absolute;left:0;text-align:left;margin-left:324.8pt;margin-top:3.4pt;width:99.75pt;height:31.35pt;z-index:251376128" filled="f" stroked="f">
          <v:textbox style="mso-next-textbox:#_x0000_s319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95" type="#_x0000_t75" style="position:absolute;left:0;text-align:left;margin-left:62.55pt;margin-top:.55pt;width:359.1pt;height:44.85pt;z-index:-251938304;mso-wrap-edited:f" wrapcoords="709 4393 473 10251 709 16108 709 16841 20851 16841 20891 16108 21088 10251 20851 4393 709 4393">
          <v:imagedata r:id="rId2" o:title="haut"/>
          <w10:wrap anchorx="page"/>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469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00" type="#_x0000_t75" style="position:absolute;left:0;text-align:left;margin-left:-11.8pt;margin-top:-4.3pt;width:91.2pt;height:56.1pt;z-index:25138329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198" type="#_x0000_t202" style="position:absolute;left:0;text-align:left;margin-left:170.9pt;margin-top:7.4pt;width:151.15pt;height:34.2pt;z-index:251381248" filled="f" stroked="f">
          <v:textbox style="mso-next-textbox:#_x0000_s3198">
            <w:txbxContent>
              <w:p w:rsidR="00035BE3" w:rsidRPr="006B70D8" w:rsidRDefault="00035BE3" w:rsidP="00C10469">
                <w:pPr>
                  <w:ind w:firstLine="0"/>
                  <w:rPr>
                    <w:rFonts w:cs="AL-Mateen"/>
                    <w:sz w:val="24"/>
                    <w:szCs w:val="24"/>
                    <w:rtl/>
                  </w:rPr>
                </w:pPr>
                <w:r w:rsidRPr="001816DD">
                  <w:rPr>
                    <w:rFonts w:cs="AL-Mateen" w:hint="cs"/>
                    <w:sz w:val="24"/>
                    <w:szCs w:val="24"/>
                    <w:rtl/>
                  </w:rPr>
                  <w:t>ق64 :  التَّابعُ يَسْقُطُ بسقوطِ المتبُوعِ.</w:t>
                </w: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197" type="#_x0000_t202" style="position:absolute;left:0;text-align:left;margin-left:324.8pt;margin-top:3.4pt;width:99.75pt;height:31.35pt;z-index:251380224" filled="f" stroked="f">
          <v:textbox style="mso-next-textbox:#_x0000_s319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199" type="#_x0000_t75" style="position:absolute;left:0;text-align:left;margin-left:62.55pt;margin-top:.55pt;width:359.1pt;height:44.85pt;z-index:-251934208;mso-wrap-edited:f" wrapcoords="709 4393 473 10251 709 16108 709 16841 20851 16841 20891 16108 21088 10251 20851 4393 709 4393">
          <v:imagedata r:id="rId2" o:title="haut"/>
          <w10:wrap anchorx="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470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04" type="#_x0000_t75" style="position:absolute;left:0;text-align:left;margin-left:-11.8pt;margin-top:-4.3pt;width:91.2pt;height:56.1pt;z-index:25138739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02" type="#_x0000_t202" style="position:absolute;left:0;text-align:left;margin-left:170.9pt;margin-top:7.4pt;width:151.15pt;height:34.2pt;z-index:251385344" filled="f" stroked="f">
          <v:textbox style="mso-next-textbox:#_x0000_s3202">
            <w:txbxContent>
              <w:p w:rsidR="00035BE3" w:rsidRPr="001460FE" w:rsidRDefault="00035BE3" w:rsidP="00C10469">
                <w:pPr>
                  <w:ind w:firstLine="0"/>
                  <w:rPr>
                    <w:rFonts w:cs="AL-Mateen"/>
                    <w:sz w:val="24"/>
                    <w:szCs w:val="24"/>
                    <w:rtl/>
                  </w:rPr>
                </w:pPr>
                <w:r w:rsidRPr="001460FE">
                  <w:rPr>
                    <w:rFonts w:cs="AL-Mateen" w:hint="cs"/>
                    <w:sz w:val="24"/>
                    <w:szCs w:val="24"/>
                    <w:rtl/>
                  </w:rPr>
                  <w:t>ق65 :  التَّابِعُ لا يَتَقَدَّمُ على المَتْبُوعِ.</w:t>
                </w: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01" type="#_x0000_t202" style="position:absolute;left:0;text-align:left;margin-left:324.8pt;margin-top:3.4pt;width:99.75pt;height:31.35pt;z-index:251384320" filled="f" stroked="f">
          <v:textbox style="mso-next-textbox:#_x0000_s320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03" type="#_x0000_t75" style="position:absolute;left:0;text-align:left;margin-left:62.55pt;margin-top:.55pt;width:359.1pt;height:44.85pt;z-index:-251930112;mso-wrap-edited:f" wrapcoords="709 4393 473 10251 709 16108 709 16841 20851 16841 20891 16108 21088 10251 20851 4393 709 4393">
          <v:imagedata r:id="rId2" o:title="haut"/>
          <w10:wrap anchorx="page"/>
        </v:shape>
      </w:pic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476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08" type="#_x0000_t75" style="position:absolute;left:0;text-align:left;margin-left:-11.8pt;margin-top:-4.3pt;width:91.2pt;height:56.1pt;z-index:25139148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06" type="#_x0000_t202" style="position:absolute;left:0;text-align:left;margin-left:170.9pt;margin-top:7.4pt;width:151.15pt;height:34.2pt;z-index:251389440" filled="f" stroked="f">
          <v:textbox style="mso-next-textbox:#_x0000_s3206">
            <w:txbxContent>
              <w:p w:rsidR="00035BE3" w:rsidRPr="009134CB" w:rsidRDefault="00035BE3" w:rsidP="00C10469">
                <w:pPr>
                  <w:ind w:firstLine="0"/>
                  <w:rPr>
                    <w:rFonts w:cs="AL-Mateen"/>
                    <w:sz w:val="24"/>
                    <w:szCs w:val="24"/>
                    <w:rtl/>
                  </w:rPr>
                </w:pPr>
                <w:r w:rsidRPr="009134CB">
                  <w:rPr>
                    <w:rFonts w:cs="AL-Mateen" w:hint="cs"/>
                    <w:sz w:val="24"/>
                    <w:szCs w:val="24"/>
                    <w:rtl/>
                  </w:rPr>
                  <w:t>ق66 :  التَّأسيسُ خيرٌ مِنَ التَّأْكيدِ.</w:t>
                </w: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05" type="#_x0000_t202" style="position:absolute;left:0;text-align:left;margin-left:324.8pt;margin-top:3.4pt;width:99.75pt;height:31.35pt;z-index:251388416" filled="f" stroked="f">
          <v:textbox style="mso-next-textbox:#_x0000_s320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07" type="#_x0000_t75" style="position:absolute;left:0;text-align:left;margin-left:62.55pt;margin-top:.55pt;width:359.1pt;height:44.85pt;z-index:-251926016;mso-wrap-edited:f" wrapcoords="709 4393 473 10251 709 16108 709 16841 20851 16841 20891 16108 21088 10251 20851 4393 709 4393">
          <v:imagedata r:id="rId2" o:title="haut"/>
          <w10:wrap anchorx="page"/>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479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12" type="#_x0000_t75" style="position:absolute;left:0;text-align:left;margin-left:-11.8pt;margin-top:-4.3pt;width:91.2pt;height:56.1pt;z-index:25139558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10" type="#_x0000_t202" style="position:absolute;left:0;text-align:left;margin-left:170.9pt;margin-top:7.4pt;width:151.15pt;height:34.2pt;z-index:251393536" filled="f" stroked="f">
          <v:textbox style="mso-next-textbox:#_x0000_s3210">
            <w:txbxContent>
              <w:p w:rsidR="00035BE3" w:rsidRPr="009134CB" w:rsidRDefault="00035BE3" w:rsidP="00C10469">
                <w:pPr>
                  <w:ind w:firstLine="0"/>
                  <w:rPr>
                    <w:rFonts w:cs="AL-Mateen"/>
                    <w:sz w:val="24"/>
                    <w:szCs w:val="24"/>
                    <w:rtl/>
                  </w:rPr>
                </w:pPr>
                <w:r w:rsidRPr="00E91495">
                  <w:rPr>
                    <w:rFonts w:cs="AL-Mateen" w:hint="cs"/>
                    <w:sz w:val="24"/>
                    <w:szCs w:val="24"/>
                    <w:rtl/>
                  </w:rPr>
                  <w:t>ق67 :  تَأكيدُ مَا كانَ على شَرَفِ السُّقُوطِ يجرِي مجرَى الإتْلاَفِ .</w:t>
                </w: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09" type="#_x0000_t202" style="position:absolute;left:0;text-align:left;margin-left:324.8pt;margin-top:3.4pt;width:99.75pt;height:31.35pt;z-index:251392512" filled="f" stroked="f">
          <v:textbox style="mso-next-textbox:#_x0000_s320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11" type="#_x0000_t75" style="position:absolute;left:0;text-align:left;margin-left:62.55pt;margin-top:.55pt;width:359.1pt;height:44.85pt;z-index:-251921920;mso-wrap-edited:f" wrapcoords="709 4393 473 10251 709 16108 709 16841 20851 16841 20891 16108 21088 10251 20851 4393 709 4393">
          <v:imagedata r:id="rId2" o:title="haut"/>
          <w10:wrap anchorx="page"/>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485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16" type="#_x0000_t75" style="position:absolute;left:0;text-align:left;margin-left:-11.8pt;margin-top:-4.3pt;width:91.2pt;height:56.1pt;z-index:25139968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14" type="#_x0000_t202" style="position:absolute;left:0;text-align:left;margin-left:170.9pt;margin-top:7.4pt;width:151.15pt;height:34.2pt;z-index:251397632" filled="f" stroked="f">
          <v:textbox style="mso-next-textbox:#_x0000_s3214">
            <w:txbxContent>
              <w:p w:rsidR="00035BE3" w:rsidRPr="009134CB" w:rsidRDefault="00035BE3" w:rsidP="00C10469">
                <w:pPr>
                  <w:ind w:firstLine="0"/>
                  <w:rPr>
                    <w:rFonts w:cs="AL-Mateen"/>
                    <w:sz w:val="24"/>
                    <w:szCs w:val="24"/>
                    <w:rtl/>
                  </w:rPr>
                </w:pPr>
                <w:r w:rsidRPr="00343583">
                  <w:rPr>
                    <w:rFonts w:cs="AL-Mateen" w:hint="cs"/>
                    <w:spacing w:val="4"/>
                    <w:sz w:val="24"/>
                    <w:szCs w:val="24"/>
                    <w:rtl/>
                  </w:rPr>
                  <w:t>ق68: تَبَدُّلُ سببِ المِلْكِ قائمٌ مقامَ تبدُّلِ الذَّاتِ.</w:t>
                </w: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13" type="#_x0000_t202" style="position:absolute;left:0;text-align:left;margin-left:324.8pt;margin-top:3.4pt;width:99.75pt;height:31.35pt;z-index:251396608" filled="f" stroked="f">
          <v:textbox style="mso-next-textbox:#_x0000_s321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15" type="#_x0000_t75" style="position:absolute;left:0;text-align:left;margin-left:62.55pt;margin-top:.55pt;width:359.1pt;height:44.85pt;z-index:-251917824;mso-wrap-edited:f" wrapcoords="709 4393 473 10251 709 16108 709 16841 20851 16841 20891 16108 21088 10251 20851 4393 709 4393">
          <v:imagedata r:id="rId2" o:title="haut"/>
          <w10:wrap anchorx="page"/>
        </v:shape>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488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0" type="#_x0000_t75" style="position:absolute;left:0;text-align:left;margin-left:-11.8pt;margin-top:-4.3pt;width:91.2pt;height:56.1pt;z-index:25140377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18" type="#_x0000_t202" style="position:absolute;left:0;text-align:left;margin-left:170.9pt;margin-top:7.4pt;width:151.15pt;height:34.2pt;z-index:251401728" filled="f" stroked="f">
          <v:textbox style="mso-next-textbox:#_x0000_s3218">
            <w:txbxContent>
              <w:p w:rsidR="00035BE3" w:rsidRPr="0031541B" w:rsidRDefault="00035BE3" w:rsidP="00C10469">
                <w:pPr>
                  <w:ind w:firstLine="0"/>
                  <w:rPr>
                    <w:rFonts w:cs="AL-Mateen"/>
                    <w:sz w:val="24"/>
                    <w:szCs w:val="24"/>
                    <w:rtl/>
                  </w:rPr>
                </w:pPr>
                <w:r w:rsidRPr="0031541B">
                  <w:rPr>
                    <w:rFonts w:cs="AL-Mateen" w:hint="cs"/>
                    <w:sz w:val="24"/>
                    <w:szCs w:val="24"/>
                    <w:rtl/>
                  </w:rPr>
                  <w:t>ق69 :  التَّبَرُّعُ لا يتمُّ إلا بالقبضِ.</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17" type="#_x0000_t202" style="position:absolute;left:0;text-align:left;margin-left:324.8pt;margin-top:3.4pt;width:99.75pt;height:31.35pt;z-index:251400704" filled="f" stroked="f">
          <v:textbox style="mso-next-textbox:#_x0000_s321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19" type="#_x0000_t75" style="position:absolute;left:0;text-align:left;margin-left:62.55pt;margin-top:.55pt;width:359.1pt;height:44.85pt;z-index:-251913728;mso-wrap-edited:f" wrapcoords="709 4393 473 10251 709 16108 709 16841 20851 16841 20891 16108 21088 10251 20851 4393 709 4393">
          <v:imagedata r:id="rId2" o:title="haut"/>
          <w10:wrap anchorx="page"/>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495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4" type="#_x0000_t75" style="position:absolute;left:0;text-align:left;margin-left:-11.8pt;margin-top:-4.3pt;width:91.2pt;height:56.1pt;z-index:25140787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22" type="#_x0000_t202" style="position:absolute;left:0;text-align:left;margin-left:170.9pt;margin-top:7.4pt;width:151.15pt;height:34.2pt;z-index:251405824" filled="f" stroked="f">
          <v:textbox style="mso-next-textbox:#_x0000_s3222">
            <w:txbxContent>
              <w:p w:rsidR="00035BE3" w:rsidRPr="0031541B" w:rsidRDefault="00035BE3" w:rsidP="00C10469">
                <w:pPr>
                  <w:ind w:firstLine="0"/>
                  <w:rPr>
                    <w:rFonts w:cs="AL-Mateen"/>
                    <w:sz w:val="24"/>
                    <w:szCs w:val="24"/>
                    <w:rtl/>
                  </w:rPr>
                </w:pPr>
                <w:r w:rsidRPr="00AA4B09">
                  <w:rPr>
                    <w:rFonts w:cs="AL-Mateen" w:hint="cs"/>
                    <w:sz w:val="23"/>
                    <w:szCs w:val="23"/>
                    <w:rtl/>
                  </w:rPr>
                  <w:t>ق70</w:t>
                </w:r>
                <w:r w:rsidRPr="00AA4B09">
                  <w:rPr>
                    <w:rFonts w:cs="AL-Mateen"/>
                    <w:sz w:val="23"/>
                    <w:szCs w:val="23"/>
                  </w:rPr>
                  <w:t xml:space="preserve"> </w:t>
                </w:r>
                <w:r w:rsidRPr="00AA4B09">
                  <w:rPr>
                    <w:rFonts w:cs="AL-Mateen" w:hint="cs"/>
                    <w:sz w:val="23"/>
                    <w:szCs w:val="23"/>
                    <w:rtl/>
                  </w:rPr>
                  <w:t>: التَّحليفُ على فعلِ نفسِهِ عَلَى البَتَاتِ، وعلَى فعلِ غيرِهِ</w:t>
                </w:r>
                <w:r w:rsidRPr="00AA4B09">
                  <w:rPr>
                    <w:rFonts w:cs="AL-Mateen"/>
                    <w:sz w:val="23"/>
                    <w:szCs w:val="23"/>
                  </w:rPr>
                  <w:t xml:space="preserve"> </w:t>
                </w:r>
                <w:r w:rsidRPr="00AA4B09">
                  <w:rPr>
                    <w:rFonts w:cs="AL-Mateen" w:hint="cs"/>
                    <w:sz w:val="23"/>
                    <w:szCs w:val="23"/>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21" type="#_x0000_t202" style="position:absolute;left:0;text-align:left;margin-left:324.8pt;margin-top:3.4pt;width:99.75pt;height:31.35pt;z-index:251404800" filled="f" stroked="f">
          <v:textbox style="mso-next-textbox:#_x0000_s322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23" type="#_x0000_t75" style="position:absolute;left:0;text-align:left;margin-left:62.55pt;margin-top:.55pt;width:359.1pt;height:44.85pt;z-index:-251909632;mso-wrap-edited:f" wrapcoords="709 4393 473 10251 709 16108 709 16841 20851 16841 20891 16108 21088 10251 20851 4393 709 4393">
          <v:imagedata r:id="rId2" o:title="haut"/>
          <w10:wrap anchorx="page"/>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500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8" type="#_x0000_t75" style="position:absolute;left:0;text-align:left;margin-left:-11.8pt;margin-top:-4.3pt;width:91.2pt;height:56.1pt;z-index:25141196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26" type="#_x0000_t202" style="position:absolute;left:0;text-align:left;margin-left:170.9pt;margin-top:7.4pt;width:151.15pt;height:34.2pt;z-index:251409920" filled="f" stroked="f">
          <v:textbox style="mso-next-textbox:#_x0000_s3226">
            <w:txbxContent>
              <w:p w:rsidR="00035BE3" w:rsidRPr="0031541B" w:rsidRDefault="00035BE3" w:rsidP="00C10469">
                <w:pPr>
                  <w:ind w:firstLine="0"/>
                  <w:rPr>
                    <w:rFonts w:cs="AL-Mateen"/>
                    <w:sz w:val="24"/>
                    <w:szCs w:val="24"/>
                    <w:rtl/>
                  </w:rPr>
                </w:pPr>
                <w:r w:rsidRPr="00B326A6">
                  <w:rPr>
                    <w:rFonts w:cs="AL-Mateen" w:hint="cs"/>
                    <w:sz w:val="24"/>
                    <w:szCs w:val="24"/>
                    <w:rtl/>
                  </w:rPr>
                  <w:t>ق71 :  التَّخصيصُ بالذِّكْرِ لا يدلُّ علَى الحَصْرِ.</w:t>
                </w:r>
                <w:r w:rsidRPr="00AA4B09">
                  <w:rPr>
                    <w:rFonts w:cs="AL-Mateen" w:hint="cs"/>
                    <w:sz w:val="23"/>
                    <w:szCs w:val="23"/>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25" type="#_x0000_t202" style="position:absolute;left:0;text-align:left;margin-left:324.8pt;margin-top:3.4pt;width:99.75pt;height:31.35pt;z-index:251408896" filled="f" stroked="f">
          <v:textbox style="mso-next-textbox:#_x0000_s322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27" type="#_x0000_t75" style="position:absolute;left:0;text-align:left;margin-left:62.55pt;margin-top:.55pt;width:359.1pt;height:44.85pt;z-index:-251905536;mso-wrap-edited:f" wrapcoords="709 4393 473 10251 709 16108 709 16841 20851 16841 20891 16108 21088 10251 20851 4393 709 4393">
          <v:imagedata r:id="rId2" o:title="haut"/>
          <w10:wrap anchorx="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2044" w:y="501"/>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202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44" type="#_x0000_t75" style="position:absolute;left:0;text-align:left;margin-left:-10pt;margin-top:6pt;width:91.2pt;height:56.1pt;z-index:25112422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2941" type="#_x0000_t202" style="position:absolute;left:0;text-align:left;margin-left:149.15pt;margin-top:19.65pt;width:180pt;height:27pt;z-index:251118080" filled="f" stroked="f">
          <v:textbox style="mso-next-textbox:#_x0000_s2941">
            <w:txbxContent>
              <w:p w:rsidR="00035BE3" w:rsidRPr="00AB6D9C" w:rsidRDefault="00035BE3">
                <w:pPr>
                  <w:spacing w:line="340" w:lineRule="exact"/>
                  <w:ind w:firstLine="0"/>
                  <w:rPr>
                    <w:rFonts w:cs="AL-Mateen"/>
                    <w:sz w:val="30"/>
                    <w:szCs w:val="30"/>
                    <w:rtl/>
                  </w:rPr>
                </w:pPr>
                <w:r w:rsidRPr="00AB6D9C">
                  <w:rPr>
                    <w:rFonts w:cs="AL-Mateen" w:hint="cs"/>
                    <w:sz w:val="30"/>
                    <w:szCs w:val="30"/>
                    <w:rtl/>
                  </w:rPr>
                  <w:t>مــقـــدمـــة الـــمـــؤلــــــــــف</w:t>
                </w:r>
              </w:p>
            </w:txbxContent>
          </v:textbox>
          <w10:wrap anchorx="page"/>
        </v:shape>
      </w:pict>
    </w:r>
    <w:r>
      <w:rPr>
        <w:noProof/>
        <w:rtl/>
        <w:lang w:val="en-US"/>
      </w:rPr>
      <w:pict>
        <v:shape id="_x0000_s2942" type="#_x0000_t202" style="position:absolute;left:0;text-align:left;margin-left:316.4pt;margin-top:18.7pt;width:126pt;height:27pt;z-index:251120128" filled="f" stroked="f">
          <v:shadow offset="6pt,6pt"/>
          <o:extrusion v:ext="view" render="wireFrame"/>
          <v:textbox style="mso-next-textbox:#_x0000_s2942">
            <w:txbxContent>
              <w:p w:rsidR="00035BE3" w:rsidRPr="00AB6D9C" w:rsidRDefault="00035BE3">
                <w:pPr>
                  <w:spacing w:line="340" w:lineRule="exact"/>
                  <w:rPr>
                    <w:rFonts w:cs="AL-Mateen"/>
                    <w:sz w:val="32"/>
                    <w:szCs w:val="32"/>
                    <w:rtl/>
                  </w:rPr>
                </w:pPr>
                <w:r w:rsidRPr="00AB6D9C">
                  <w:rPr>
                    <w:rFonts w:cs="AL-Mateen" w:hint="cs"/>
                    <w:sz w:val="32"/>
                    <w:szCs w:val="32"/>
                    <w:rtl/>
                  </w:rPr>
                  <w:t>ترتيب اللآلي</w:t>
                </w:r>
              </w:p>
            </w:txbxContent>
          </v:textbox>
          <w10:wrap anchorx="page"/>
        </v:shape>
      </w:pict>
    </w:r>
    <w:r>
      <w:rPr>
        <w:noProof/>
        <w:rtl/>
        <w:lang w:val="en-US"/>
      </w:rPr>
      <w:pict>
        <v:shape id="_x0000_s2943" type="#_x0000_t75" style="position:absolute;left:0;text-align:left;margin-left:62.4pt;margin-top:10.25pt;width:368.5pt;height:44.85pt;z-index:-252194304;mso-wrap-edited:f" wrapcoords="709 4393 473 10251 709 16108 709 16841 20851 16841 20891 16108 21088 10251 20851 4393 709 4393">
          <v:imagedata r:id="rId2" o:title="haut"/>
          <w10:wrap anchorx="page"/>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519</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32" type="#_x0000_t75" style="position:absolute;left:0;text-align:left;margin-left:-11.8pt;margin-top:-4.3pt;width:91.2pt;height:56.1pt;z-index:25141606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30" type="#_x0000_t202" style="position:absolute;left:0;text-align:left;margin-left:170.9pt;margin-top:7.4pt;width:151.15pt;height:34.2pt;z-index:251414016" filled="f" stroked="f">
          <v:textbox style="mso-next-textbox:#_x0000_s3230">
            <w:txbxContent>
              <w:p w:rsidR="00035BE3" w:rsidRPr="0031541B" w:rsidRDefault="00035BE3" w:rsidP="00C10469">
                <w:pPr>
                  <w:ind w:firstLine="0"/>
                  <w:rPr>
                    <w:rFonts w:cs="AL-Mateen"/>
                    <w:sz w:val="24"/>
                    <w:szCs w:val="24"/>
                    <w:rtl/>
                  </w:rPr>
                </w:pPr>
                <w:r w:rsidRPr="00B2202D">
                  <w:rPr>
                    <w:rFonts w:cs="AL-Mateen" w:hint="cs"/>
                    <w:sz w:val="23"/>
                    <w:szCs w:val="23"/>
                    <w:rtl/>
                  </w:rPr>
                  <w:t>ق72</w:t>
                </w:r>
                <w:r w:rsidRPr="00B2202D">
                  <w:rPr>
                    <w:rFonts w:cs="AL-Mateen"/>
                    <w:sz w:val="23"/>
                    <w:szCs w:val="23"/>
                  </w:rPr>
                  <w:t xml:space="preserve"> </w:t>
                </w:r>
                <w:r w:rsidRPr="00B2202D">
                  <w:rPr>
                    <w:rFonts w:cs="AL-Mateen" w:hint="cs"/>
                    <w:sz w:val="23"/>
                    <w:szCs w:val="23"/>
                    <w:rtl/>
                  </w:rPr>
                  <w:t>: التَّخصِيصُ فِي الرِّوايَاتِ يُوجِبُ نَفْيَ الحكمِ عمَّا عدا</w:t>
                </w:r>
                <w:r w:rsidRPr="00B326A6">
                  <w:rPr>
                    <w:rFonts w:cs="AL-Mateen" w:hint="cs"/>
                    <w:sz w:val="24"/>
                    <w:szCs w:val="24"/>
                    <w:rtl/>
                  </w:rPr>
                  <w:t>.</w:t>
                </w:r>
                <w:r w:rsidRPr="00AA4B09">
                  <w:rPr>
                    <w:rFonts w:cs="AL-Mateen" w:hint="cs"/>
                    <w:sz w:val="23"/>
                    <w:szCs w:val="23"/>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29" type="#_x0000_t202" style="position:absolute;left:0;text-align:left;margin-left:324.8pt;margin-top:3.4pt;width:99.75pt;height:31.35pt;z-index:251412992" filled="f" stroked="f">
          <v:textbox style="mso-next-textbox:#_x0000_s322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31" type="#_x0000_t75" style="position:absolute;left:0;text-align:left;margin-left:62.55pt;margin-top:.55pt;width:359.1pt;height:44.85pt;z-index:-251901440;mso-wrap-edited:f" wrapcoords="709 4393 473 10251 709 16108 709 16841 20851 16841 20891 16108 21088 10251 20851 4393 709 4393">
          <v:imagedata r:id="rId2" o:title="haut"/>
          <w10:wrap anchorx="page"/>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522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36" type="#_x0000_t75" style="position:absolute;left:0;text-align:left;margin-left:-11.8pt;margin-top:-4.3pt;width:91.2pt;height:56.1pt;z-index:25142016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34" type="#_x0000_t202" style="position:absolute;left:0;text-align:left;margin-left:170.9pt;margin-top:7.4pt;width:151.15pt;height:34.2pt;z-index:251418112" filled="f" stroked="f">
          <v:textbox style="mso-next-textbox:#_x0000_s3234">
            <w:txbxContent>
              <w:p w:rsidR="00035BE3" w:rsidRPr="0031541B" w:rsidRDefault="00035BE3" w:rsidP="00C10469">
                <w:pPr>
                  <w:ind w:firstLine="0"/>
                  <w:rPr>
                    <w:rFonts w:cs="AL-Mateen"/>
                    <w:sz w:val="24"/>
                    <w:szCs w:val="24"/>
                    <w:rtl/>
                  </w:rPr>
                </w:pPr>
                <w:r w:rsidRPr="00C57EFD">
                  <w:rPr>
                    <w:rFonts w:cs="AL-Mateen" w:hint="cs"/>
                    <w:sz w:val="24"/>
                    <w:szCs w:val="24"/>
                    <w:rtl/>
                  </w:rPr>
                  <w:t>ق73 :  التَّرجِيحُ لا يقعُ بِكَثْرةِ العِلَلِ.</w:t>
                </w:r>
                <w:r w:rsidRPr="00AA4B09">
                  <w:rPr>
                    <w:rFonts w:cs="AL-Mateen" w:hint="cs"/>
                    <w:sz w:val="23"/>
                    <w:szCs w:val="23"/>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33" type="#_x0000_t202" style="position:absolute;left:0;text-align:left;margin-left:324.8pt;margin-top:3.4pt;width:99.75pt;height:31.35pt;z-index:251417088" filled="f" stroked="f">
          <v:textbox style="mso-next-textbox:#_x0000_s323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35" type="#_x0000_t75" style="position:absolute;left:0;text-align:left;margin-left:62.55pt;margin-top:.55pt;width:359.1pt;height:44.85pt;z-index:-251897344;mso-wrap-edited:f" wrapcoords="709 4393 473 10251 709 16108 709 16841 20851 16841 20891 16108 21088 10251 20851 4393 709 4393">
          <v:imagedata r:id="rId2" o:title="haut"/>
          <w10:wrap anchorx="page"/>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526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40" type="#_x0000_t75" style="position:absolute;left:0;text-align:left;margin-left:-11.8pt;margin-top:-4.3pt;width:91.2pt;height:56.1pt;z-index:25142425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38" type="#_x0000_t202" style="position:absolute;left:0;text-align:left;margin-left:170.9pt;margin-top:7.4pt;width:151.15pt;height:34.2pt;z-index:251422208" filled="f" stroked="f">
          <v:textbox style="mso-next-textbox:#_x0000_s3238">
            <w:txbxContent>
              <w:p w:rsidR="00035BE3" w:rsidRPr="0031541B" w:rsidRDefault="00035BE3" w:rsidP="00C10469">
                <w:pPr>
                  <w:ind w:firstLine="0"/>
                  <w:rPr>
                    <w:rFonts w:cs="AL-Mateen"/>
                    <w:sz w:val="24"/>
                    <w:szCs w:val="24"/>
                    <w:rtl/>
                  </w:rPr>
                </w:pPr>
                <w:r w:rsidRPr="00606C96">
                  <w:rPr>
                    <w:rFonts w:cs="AL-Mateen" w:hint="cs"/>
                    <w:sz w:val="24"/>
                    <w:szCs w:val="24"/>
                    <w:rtl/>
                  </w:rPr>
                  <w:t>ق74 :  التَّرِكَةُ قبلَ القسمةِ مُبْقاةٌ على مِلْكِ المَيِّتِ.</w:t>
                </w:r>
                <w:r w:rsidRPr="00AA4B09">
                  <w:rPr>
                    <w:rFonts w:cs="AL-Mateen" w:hint="cs"/>
                    <w:sz w:val="23"/>
                    <w:szCs w:val="23"/>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37" type="#_x0000_t202" style="position:absolute;left:0;text-align:left;margin-left:324.8pt;margin-top:3.4pt;width:99.75pt;height:31.35pt;z-index:251421184" filled="f" stroked="f">
          <v:textbox style="mso-next-textbox:#_x0000_s323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39" type="#_x0000_t75" style="position:absolute;left:0;text-align:left;margin-left:62.55pt;margin-top:.55pt;width:359.1pt;height:44.85pt;z-index:-251893248;mso-wrap-edited:f" wrapcoords="709 4393 473 10251 709 16108 709 16841 20851 16841 20891 16108 21088 10251 20851 4393 709 4393">
          <v:imagedata r:id="rId2" o:title="haut"/>
          <w10:wrap anchorx="page"/>
        </v:shape>
      </w:pic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530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44" type="#_x0000_t75" style="position:absolute;left:0;text-align:left;margin-left:-11.8pt;margin-top:-4.3pt;width:91.2pt;height:56.1pt;z-index:25142835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42" type="#_x0000_t202" style="position:absolute;left:0;text-align:left;margin-left:170.9pt;margin-top:7.4pt;width:151.15pt;height:34.2pt;z-index:251426304" filled="f" stroked="f">
          <v:textbox style="mso-next-textbox:#_x0000_s3242">
            <w:txbxContent>
              <w:p w:rsidR="00035BE3" w:rsidRPr="0031541B" w:rsidRDefault="00035BE3" w:rsidP="00C10469">
                <w:pPr>
                  <w:ind w:firstLine="0"/>
                  <w:rPr>
                    <w:rFonts w:cs="AL-Mateen"/>
                    <w:sz w:val="24"/>
                    <w:szCs w:val="24"/>
                    <w:rtl/>
                  </w:rPr>
                </w:pPr>
                <w:r w:rsidRPr="001065C8">
                  <w:rPr>
                    <w:rFonts w:cs="AL-Mateen" w:hint="cs"/>
                    <w:sz w:val="24"/>
                    <w:szCs w:val="24"/>
                    <w:rtl/>
                  </w:rPr>
                  <w:t>ق75 :  تصَرُّفُ الإمامِ على الرَّعيَّةِ منوط بالمصلحة.</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41" type="#_x0000_t202" style="position:absolute;left:0;text-align:left;margin-left:324.8pt;margin-top:3.4pt;width:99.75pt;height:31.35pt;z-index:251425280" filled="f" stroked="f">
          <v:textbox style="mso-next-textbox:#_x0000_s324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43" type="#_x0000_t75" style="position:absolute;left:0;text-align:left;margin-left:62.55pt;margin-top:.55pt;width:359.1pt;height:44.85pt;z-index:-251889152;mso-wrap-edited:f" wrapcoords="709 4393 473 10251 709 16108 709 16841 20851 16841 20891 16108 21088 10251 20851 4393 709 4393">
          <v:imagedata r:id="rId2" o:title="haut"/>
          <w10:wrap anchorx="page"/>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532</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48" type="#_x0000_t75" style="position:absolute;left:0;text-align:left;margin-left:-11.8pt;margin-top:-4.3pt;width:91.2pt;height:56.1pt;z-index:25143244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46" type="#_x0000_t202" style="position:absolute;left:0;text-align:left;margin-left:170.9pt;margin-top:7.4pt;width:151.15pt;height:34.2pt;z-index:251430400" filled="f" stroked="f">
          <v:textbox style="mso-next-textbox:#_x0000_s3246">
            <w:txbxContent>
              <w:p w:rsidR="00035BE3" w:rsidRPr="0031541B" w:rsidRDefault="00035BE3" w:rsidP="00C10469">
                <w:pPr>
                  <w:ind w:firstLine="0"/>
                  <w:rPr>
                    <w:rFonts w:cs="AL-Mateen"/>
                    <w:sz w:val="24"/>
                    <w:szCs w:val="24"/>
                    <w:rtl/>
                  </w:rPr>
                </w:pPr>
                <w:r w:rsidRPr="003D396A">
                  <w:rPr>
                    <w:rFonts w:cs="AL-Mateen" w:hint="cs"/>
                    <w:sz w:val="24"/>
                    <w:szCs w:val="24"/>
                    <w:rtl/>
                  </w:rPr>
                  <w:t>ق76 :  تصُّرفُ الإنسَانِ في خالِصِ حقِّه إنَّما يصحُّ إذا لَمْ يُتضرَّرْ به.</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45" type="#_x0000_t202" style="position:absolute;left:0;text-align:left;margin-left:324.8pt;margin-top:3.4pt;width:99.75pt;height:31.35pt;z-index:251429376" filled="f" stroked="f">
          <v:textbox style="mso-next-textbox:#_x0000_s324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47" type="#_x0000_t75" style="position:absolute;left:0;text-align:left;margin-left:62.55pt;margin-top:.55pt;width:359.1pt;height:44.85pt;z-index:-251885056;mso-wrap-edited:f" wrapcoords="709 4393 473 10251 709 16108 709 16841 20851 16841 20891 16108 21088 10251 20851 4393 709 4393">
          <v:imagedata r:id="rId2" o:title="haut"/>
          <w10:wrap anchorx="page"/>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537</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2" type="#_x0000_t75" style="position:absolute;left:0;text-align:left;margin-left:-11.8pt;margin-top:-4.3pt;width:91.2pt;height:56.1pt;z-index:251436544">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50" type="#_x0000_t202" style="position:absolute;left:0;text-align:left;margin-left:170.9pt;margin-top:7.4pt;width:151.15pt;height:34.2pt;z-index:251434496" filled="f" stroked="f">
          <v:textbox style="mso-next-textbox:#_x0000_s3250">
            <w:txbxContent>
              <w:p w:rsidR="00035BE3" w:rsidRPr="0031541B" w:rsidRDefault="00035BE3" w:rsidP="00C10469">
                <w:pPr>
                  <w:ind w:firstLine="0"/>
                  <w:rPr>
                    <w:rFonts w:cs="AL-Mateen"/>
                    <w:sz w:val="24"/>
                    <w:szCs w:val="24"/>
                    <w:rtl/>
                  </w:rPr>
                </w:pPr>
                <w:r w:rsidRPr="00813B22">
                  <w:rPr>
                    <w:rFonts w:cs="AL-Mateen" w:hint="cs"/>
                    <w:sz w:val="23"/>
                    <w:szCs w:val="23"/>
                    <w:rtl/>
                  </w:rPr>
                  <w:t>ق77 :  تُعتَبَرُ صفةُ الوقتِ في نُقْصَانِ الوَاجِبِ وَكَمَالِهِ.</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49" type="#_x0000_t202" style="position:absolute;left:0;text-align:left;margin-left:324.8pt;margin-top:3.4pt;width:99.75pt;height:31.35pt;z-index:251433472" filled="f" stroked="f">
          <v:textbox style="mso-next-textbox:#_x0000_s3249">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51" type="#_x0000_t75" style="position:absolute;left:0;text-align:left;margin-left:62.55pt;margin-top:.55pt;width:359.1pt;height:44.85pt;z-index:-251880960;mso-wrap-edited:f" wrapcoords="709 4393 473 10251 709 16108 709 16841 20851 16841 20891 16108 21088 10251 20851 4393 709 4393">
          <v:imagedata r:id="rId2" o:title="haut"/>
          <w10:wrap anchorx="page"/>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545</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6" type="#_x0000_t75" style="position:absolute;left:0;text-align:left;margin-left:-11.8pt;margin-top:-4.3pt;width:91.2pt;height:56.1pt;z-index:251440640">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54" type="#_x0000_t202" style="position:absolute;left:0;text-align:left;margin-left:170.9pt;margin-top:7.4pt;width:151.15pt;height:34.2pt;z-index:251438592" filled="f" stroked="f">
          <v:textbox style="mso-next-textbox:#_x0000_s3254">
            <w:txbxContent>
              <w:p w:rsidR="00035BE3" w:rsidRPr="00D6675F" w:rsidRDefault="00035BE3" w:rsidP="00C10469">
                <w:pPr>
                  <w:ind w:firstLine="0"/>
                  <w:rPr>
                    <w:rFonts w:cs="AL-Mateen"/>
                    <w:sz w:val="24"/>
                    <w:szCs w:val="24"/>
                    <w:rtl/>
                  </w:rPr>
                </w:pPr>
                <w:r w:rsidRPr="00D6675F">
                  <w:rPr>
                    <w:rFonts w:cs="AL-Mateen" w:hint="cs"/>
                    <w:sz w:val="24"/>
                    <w:szCs w:val="24"/>
                    <w:rtl/>
                  </w:rPr>
                  <w:t>ق78 :  تَغْيِيرُ المشرُوعِ بَاطِلٌ.</w:t>
                </w:r>
              </w:p>
              <w:p w:rsidR="00035BE3" w:rsidRPr="0031541B" w:rsidRDefault="00035BE3" w:rsidP="00C10469">
                <w:pPr>
                  <w:ind w:firstLine="0"/>
                  <w:rPr>
                    <w:rFonts w:cs="AL-Mateen"/>
                    <w:sz w:val="24"/>
                    <w:szCs w:val="24"/>
                    <w:rtl/>
                  </w:rPr>
                </w:pP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53" type="#_x0000_t202" style="position:absolute;left:0;text-align:left;margin-left:324.8pt;margin-top:3.4pt;width:99.75pt;height:31.35pt;z-index:251437568" filled="f" stroked="f">
          <v:textbox style="mso-next-textbox:#_x0000_s3253">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55" type="#_x0000_t75" style="position:absolute;left:0;text-align:left;margin-left:62.55pt;margin-top:.55pt;width:359.1pt;height:44.85pt;z-index:-251876864;mso-wrap-edited:f" wrapcoords="709 4393 473 10251 709 16108 709 16841 20851 16841 20891 16108 21088 10251 20851 4393 709 4393">
          <v:imagedata r:id="rId2" o:title="haut"/>
          <w10:wrap anchorx="page"/>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546</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0" type="#_x0000_t75" style="position:absolute;left:0;text-align:left;margin-left:-11.8pt;margin-top:-4.3pt;width:91.2pt;height:56.1pt;z-index:251444736">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58" type="#_x0000_t202" style="position:absolute;left:0;text-align:left;margin-left:170.9pt;margin-top:7.4pt;width:151.15pt;height:34.2pt;z-index:251442688" filled="f" stroked="f">
          <v:textbox style="mso-next-textbox:#_x0000_s3258">
            <w:txbxContent>
              <w:p w:rsidR="00035BE3" w:rsidRPr="0031541B" w:rsidRDefault="00035BE3" w:rsidP="00C10469">
                <w:pPr>
                  <w:ind w:firstLine="0"/>
                  <w:rPr>
                    <w:rFonts w:cs="AL-Mateen"/>
                    <w:sz w:val="24"/>
                    <w:szCs w:val="24"/>
                    <w:rtl/>
                  </w:rPr>
                </w:pPr>
                <w:r w:rsidRPr="002650B3">
                  <w:rPr>
                    <w:rFonts w:cs="AL-Mateen" w:hint="cs"/>
                    <w:sz w:val="24"/>
                    <w:szCs w:val="24"/>
                    <w:rtl/>
                  </w:rPr>
                  <w:t>ق79 :  تفويضُ التَّصرُّفِ فِي مِلْكِ الغَيرِ لاَ يَجُوزُ.</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57" type="#_x0000_t202" style="position:absolute;left:0;text-align:left;margin-left:324.8pt;margin-top:3.4pt;width:99.75pt;height:31.35pt;z-index:251441664" filled="f" stroked="f">
          <v:textbox style="mso-next-textbox:#_x0000_s3257">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59" type="#_x0000_t75" style="position:absolute;left:0;text-align:left;margin-left:62.55pt;margin-top:.55pt;width:359.1pt;height:44.85pt;z-index:-251872768;mso-wrap-edited:f" wrapcoords="709 4393 473 10251 709 16108 709 16841 20851 16841 20891 16108 21088 10251 20851 4393 709 4393">
          <v:imagedata r:id="rId2" o:title="haut"/>
          <w10:wrap anchorx="page"/>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548</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4" type="#_x0000_t75" style="position:absolute;left:0;text-align:left;margin-left:-11.8pt;margin-top:-4.3pt;width:91.2pt;height:56.1pt;z-index:251448832">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62" type="#_x0000_t202" style="position:absolute;left:0;text-align:left;margin-left:170.9pt;margin-top:7.4pt;width:151.15pt;height:34.2pt;z-index:251446784" filled="f" stroked="f">
          <v:textbox style="mso-next-textbox:#_x0000_s3262">
            <w:txbxContent>
              <w:p w:rsidR="00035BE3" w:rsidRPr="0031541B" w:rsidRDefault="00035BE3" w:rsidP="00C10469">
                <w:pPr>
                  <w:ind w:firstLine="0"/>
                  <w:rPr>
                    <w:rFonts w:cs="AL-Mateen"/>
                    <w:sz w:val="24"/>
                    <w:szCs w:val="24"/>
                    <w:rtl/>
                  </w:rPr>
                </w:pPr>
                <w:r w:rsidRPr="004D393B">
                  <w:rPr>
                    <w:rFonts w:cs="AL-Mateen" w:hint="cs"/>
                    <w:sz w:val="23"/>
                    <w:szCs w:val="23"/>
                    <w:rtl/>
                  </w:rPr>
                  <w:t>ق80 :  التَّغرِيرُ فِي المعاوَضَةِ سَبَبُ الضَّمَانِ؛ دفعًا للضّرَرِ بِقَدْرِ .</w:t>
                </w: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61" type="#_x0000_t202" style="position:absolute;left:0;text-align:left;margin-left:324.8pt;margin-top:3.4pt;width:99.75pt;height:31.35pt;z-index:251445760" filled="f" stroked="f">
          <v:textbox style="mso-next-textbox:#_x0000_s3261">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63" type="#_x0000_t75" style="position:absolute;left:0;text-align:left;margin-left:62.55pt;margin-top:.55pt;width:359.1pt;height:44.85pt;z-index:-251868672;mso-wrap-edited:f" wrapcoords="709 4393 473 10251 709 16108 709 16841 20851 16841 20891 16108 21088 10251 20851 4393 709 4393">
          <v:imagedata r:id="rId2" o:title="haut"/>
          <w10:wrap anchorx="page"/>
        </v:shape>
      </w:pic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E3" w:rsidRDefault="00035BE3" w:rsidP="00C10469">
    <w:pPr>
      <w:pStyle w:val="a3"/>
      <w:framePr w:wrap="around" w:vAnchor="text" w:hAnchor="page" w:x="1873" w:y="225"/>
      <w:rPr>
        <w:rStyle w:val="a5"/>
      </w:rPr>
    </w:pPr>
    <w:r>
      <w:rPr>
        <w:rStyle w:val="a5"/>
        <w:rtl/>
      </w:rPr>
      <w:fldChar w:fldCharType="begin"/>
    </w:r>
    <w:r>
      <w:rPr>
        <w:rStyle w:val="a5"/>
      </w:rPr>
      <w:instrText xml:space="preserve">PAGE  </w:instrText>
    </w:r>
    <w:r>
      <w:rPr>
        <w:rStyle w:val="a5"/>
        <w:rtl/>
      </w:rPr>
      <w:fldChar w:fldCharType="separate"/>
    </w:r>
    <w:r w:rsidR="00F46655">
      <w:rPr>
        <w:rStyle w:val="a5"/>
        <w:noProof/>
        <w:rtl/>
      </w:rPr>
      <w:t>550</w:t>
    </w:r>
    <w:r>
      <w:rPr>
        <w:rStyle w:val="a5"/>
        <w:rtl/>
      </w:rPr>
      <w:fldChar w:fldCharType="end"/>
    </w:r>
  </w:p>
  <w:p w:rsidR="00035BE3" w:rsidRDefault="00035BE3" w:rsidP="00C10469">
    <w:pPr>
      <w:pStyle w:val="a3"/>
      <w:ind w:right="360"/>
      <w:rPr>
        <w:rtl/>
      </w:rPr>
    </w:pPr>
    <w:r>
      <w:rPr>
        <w:noProof/>
        <w:rt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8" type="#_x0000_t75" style="position:absolute;left:0;text-align:left;margin-left:-11.8pt;margin-top:-4.3pt;width:91.2pt;height:56.1pt;z-index:251452928">
          <v:imagedata r:id="rId1" o:title="hichemil1"/>
          <w10:wrap anchorx="page"/>
        </v:shape>
      </w:pict>
    </w:r>
    <w:r>
      <w:rPr>
        <w:noProof/>
        <w:rtl/>
        <w:lang w:val="en-US"/>
      </w:rPr>
      <w:pict>
        <v:shapetype id="_x0000_t202" coordsize="21600,21600" o:spt="202" path="m,l,21600r21600,l21600,xe">
          <v:stroke joinstyle="miter"/>
          <v:path gradientshapeok="t" o:connecttype="rect"/>
        </v:shapetype>
        <v:shape id="_x0000_s3266" type="#_x0000_t202" style="position:absolute;left:0;text-align:left;margin-left:170.9pt;margin-top:7.4pt;width:151.15pt;height:34.2pt;z-index:251450880" filled="f" stroked="f">
          <v:textbox style="mso-next-textbox:#_x0000_s3266">
            <w:txbxContent>
              <w:p w:rsidR="00035BE3" w:rsidRPr="0031541B" w:rsidRDefault="00035BE3" w:rsidP="00C10469">
                <w:pPr>
                  <w:ind w:firstLine="0"/>
                  <w:rPr>
                    <w:rFonts w:cs="AL-Mateen"/>
                    <w:sz w:val="24"/>
                    <w:szCs w:val="24"/>
                    <w:rtl/>
                  </w:rPr>
                </w:pPr>
                <w:r w:rsidRPr="007D49F8">
                  <w:rPr>
                    <w:rFonts w:cs="AL-Mateen" w:hint="cs"/>
                    <w:sz w:val="24"/>
                    <w:szCs w:val="24"/>
                    <w:rtl/>
                  </w:rPr>
                  <w:t>ق81 :  تَفريقُ الصَّفقَة قبلَ القبْض لاَ يجُوزُ.</w:t>
                </w:r>
                <w:r w:rsidRPr="004D393B">
                  <w:rPr>
                    <w:rFonts w:cs="AL-Mateen" w:hint="cs"/>
                    <w:sz w:val="23"/>
                    <w:szCs w:val="23"/>
                    <w:rtl/>
                  </w:rPr>
                  <w:t>.</w:t>
                </w:r>
                <w:r w:rsidRPr="002650B3">
                  <w:rPr>
                    <w:rFonts w:cs="AL-Mateen" w:hint="cs"/>
                    <w:sz w:val="24"/>
                    <w:szCs w:val="24"/>
                    <w:rtl/>
                  </w:rPr>
                  <w:t>.</w:t>
                </w:r>
              </w:p>
              <w:p w:rsidR="00035BE3" w:rsidRPr="009134CB" w:rsidRDefault="00035BE3" w:rsidP="00C10469">
                <w:pPr>
                  <w:ind w:firstLine="0"/>
                  <w:rPr>
                    <w:rFonts w:cs="AL-Mateen"/>
                    <w:sz w:val="24"/>
                    <w:szCs w:val="24"/>
                    <w:rtl/>
                  </w:rPr>
                </w:pPr>
              </w:p>
              <w:p w:rsidR="00035BE3" w:rsidRPr="00FB27B5" w:rsidRDefault="00035BE3" w:rsidP="00C10469">
                <w:pPr>
                  <w:ind w:firstLine="0"/>
                  <w:rPr>
                    <w:rFonts w:cs="AL-Mateen"/>
                    <w:sz w:val="24"/>
                    <w:szCs w:val="24"/>
                    <w:rtl/>
                  </w:rPr>
                </w:pPr>
                <w:r>
                  <w:rPr>
                    <w:rFonts w:cs="AL-Mateen" w:hint="cs"/>
                    <w:sz w:val="23"/>
                    <w:szCs w:val="23"/>
                    <w:rtl/>
                  </w:rPr>
                  <w:t xml:space="preserve"> </w:t>
                </w:r>
              </w:p>
              <w:p w:rsidR="00035BE3" w:rsidRPr="00EE7867" w:rsidRDefault="00035BE3" w:rsidP="00C10469">
                <w:pPr>
                  <w:ind w:firstLine="0"/>
                  <w:rPr>
                    <w:rFonts w:cs="AL-Mateen"/>
                    <w:sz w:val="24"/>
                    <w:szCs w:val="24"/>
                    <w:rtl/>
                  </w:rPr>
                </w:pPr>
              </w:p>
              <w:p w:rsidR="00035BE3" w:rsidRPr="00977FC4" w:rsidRDefault="00035BE3" w:rsidP="00C10469">
                <w:pPr>
                  <w:ind w:firstLine="0"/>
                  <w:rPr>
                    <w:rFonts w:cs="AL-Mateen"/>
                    <w:sz w:val="23"/>
                    <w:szCs w:val="23"/>
                    <w:rtl/>
                  </w:rPr>
                </w:pPr>
                <w:r w:rsidRPr="0059686A">
                  <w:rPr>
                    <w:rFonts w:cs="AL-Mateen" w:hint="cs"/>
                    <w:spacing w:val="-4"/>
                    <w:sz w:val="24"/>
                    <w:szCs w:val="24"/>
                    <w:rtl/>
                    <w:lang w:bidi="ar-AE"/>
                  </w:rPr>
                  <w:t>.</w:t>
                </w:r>
              </w:p>
              <w:p w:rsidR="00035BE3" w:rsidRPr="00C91E56" w:rsidRDefault="00035BE3" w:rsidP="00C10469">
                <w:pPr>
                  <w:ind w:firstLine="0"/>
                  <w:rPr>
                    <w:rFonts w:cs="AL-Mateen"/>
                    <w:sz w:val="24"/>
                    <w:szCs w:val="24"/>
                    <w:rtl/>
                  </w:rPr>
                </w:pPr>
              </w:p>
              <w:p w:rsidR="00035BE3" w:rsidRPr="00C019AA" w:rsidRDefault="00035BE3" w:rsidP="00C10469">
                <w:pPr>
                  <w:ind w:firstLine="0"/>
                  <w:rPr>
                    <w:rFonts w:cs="AL-Mateen"/>
                    <w:sz w:val="24"/>
                    <w:szCs w:val="24"/>
                    <w:rtl/>
                  </w:rPr>
                </w:pPr>
                <w:r w:rsidRPr="001622CD">
                  <w:rPr>
                    <w:rFonts w:cs="AL-Mateen" w:hint="cs"/>
                    <w:sz w:val="24"/>
                    <w:szCs w:val="24"/>
                    <w:rtl/>
                  </w:rPr>
                  <w:t>.</w:t>
                </w:r>
              </w:p>
            </w:txbxContent>
          </v:textbox>
          <w10:wrap anchorx="page"/>
        </v:shape>
      </w:pict>
    </w:r>
    <w:r>
      <w:rPr>
        <w:noProof/>
        <w:rtl/>
        <w:lang w:val="en-US"/>
      </w:rPr>
      <w:pict>
        <v:shape id="_x0000_s3265" type="#_x0000_t202" style="position:absolute;left:0;text-align:left;margin-left:324.8pt;margin-top:3.4pt;width:99.75pt;height:31.35pt;z-index:251449856" filled="f" stroked="f">
          <v:textbox style="mso-next-textbox:#_x0000_s3265">
            <w:txbxContent>
              <w:p w:rsidR="00035BE3" w:rsidRPr="00C019AA" w:rsidRDefault="00035BE3">
                <w:pPr>
                  <w:ind w:firstLine="0"/>
                  <w:jc w:val="center"/>
                  <w:rPr>
                    <w:rFonts w:cs="AL-Mateen"/>
                    <w:sz w:val="28"/>
                    <w:szCs w:val="28"/>
                    <w:rtl/>
                  </w:rPr>
                </w:pPr>
                <w:r w:rsidRPr="00C019AA">
                  <w:rPr>
                    <w:rFonts w:cs="AL-Mateen" w:hint="cs"/>
                    <w:sz w:val="28"/>
                    <w:szCs w:val="28"/>
                    <w:rtl/>
                  </w:rPr>
                  <w:t>ترتيب اللآلي</w:t>
                </w:r>
              </w:p>
            </w:txbxContent>
          </v:textbox>
          <w10:wrap anchorx="page"/>
        </v:shape>
      </w:pict>
    </w:r>
    <w:r>
      <w:rPr>
        <w:noProof/>
        <w:rtl/>
        <w:lang w:val="en-US"/>
      </w:rPr>
      <w:pict>
        <v:shape id="_x0000_s3267" type="#_x0000_t75" style="position:absolute;left:0;text-align:left;margin-left:62.55pt;margin-top:.55pt;width:359.1pt;height:44.85pt;z-index:-251864576;mso-wrap-edited:f" wrapcoords="709 4393 473 10251 709 16108 709 16841 20851 16841 20891 16108 21088 10251 20851 4393 709 4393">
          <v:imagedata r:id="rId2" o:title="haut"/>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04B3"/>
    <w:multiLevelType w:val="hybridMultilevel"/>
    <w:tmpl w:val="E7240F22"/>
    <w:lvl w:ilvl="0" w:tplc="2D14B5C6">
      <w:numFmt w:val="bullet"/>
      <w:lvlText w:val="-"/>
      <w:lvlJc w:val="left"/>
      <w:pPr>
        <w:tabs>
          <w:tab w:val="num" w:pos="927"/>
        </w:tabs>
        <w:ind w:left="927" w:hanging="360"/>
      </w:pPr>
      <w:rPr>
        <w:rFonts w:ascii="Times New Roman" w:eastAsia="Times New Roman" w:hAnsi="Times New Roman" w:cs="Traditional Arabic"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 w15:restartNumberingAfterBreak="0">
    <w:nsid w:val="06BC08B9"/>
    <w:multiLevelType w:val="hybridMultilevel"/>
    <w:tmpl w:val="CA4C83EA"/>
    <w:lvl w:ilvl="0" w:tplc="22FA379E">
      <w:start w:val="1"/>
      <w:numFmt w:val="arabicAlpha"/>
      <w:lvlText w:val="%1-"/>
      <w:lvlJc w:val="left"/>
      <w:pPr>
        <w:tabs>
          <w:tab w:val="num" w:pos="814"/>
        </w:tabs>
        <w:ind w:left="814" w:hanging="360"/>
      </w:pPr>
      <w:rPr>
        <w:rFonts w:hint="cs"/>
      </w:rPr>
    </w:lvl>
    <w:lvl w:ilvl="1" w:tplc="125E0134">
      <w:start w:val="1"/>
      <w:numFmt w:val="bullet"/>
      <w:lvlText w:val="-"/>
      <w:lvlJc w:val="left"/>
      <w:pPr>
        <w:tabs>
          <w:tab w:val="num" w:pos="1534"/>
        </w:tabs>
        <w:ind w:left="1534" w:hanging="360"/>
      </w:pPr>
      <w:rPr>
        <w:rFonts w:ascii="Times New Roman" w:eastAsia="Times New Roman" w:hAnsi="Times New Roman" w:cs="Traditional Arabic" w:hint="default"/>
      </w:r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 w15:restartNumberingAfterBreak="0">
    <w:nsid w:val="07E92C51"/>
    <w:multiLevelType w:val="hybridMultilevel"/>
    <w:tmpl w:val="5C14C32C"/>
    <w:lvl w:ilvl="0" w:tplc="49FA7F8A">
      <w:start w:val="9"/>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158BC"/>
    <w:multiLevelType w:val="hybridMultilevel"/>
    <w:tmpl w:val="D3282F5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12CE0E6B"/>
    <w:multiLevelType w:val="hybridMultilevel"/>
    <w:tmpl w:val="921CCA62"/>
    <w:lvl w:ilvl="0" w:tplc="81ECDEE6">
      <w:start w:val="1"/>
      <w:numFmt w:val="bullet"/>
      <w:lvlText w:val=""/>
      <w:lvlJc w:val="left"/>
      <w:pPr>
        <w:tabs>
          <w:tab w:val="num" w:pos="1854"/>
        </w:tabs>
        <w:ind w:left="1854" w:hanging="360"/>
      </w:pPr>
      <w:rPr>
        <w:rFonts w:ascii="Symbol" w:hAnsi="Symbol" w:hint="default"/>
        <w:color w:val="auto"/>
        <w:sz w:val="24"/>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98B2B22"/>
    <w:multiLevelType w:val="hybridMultilevel"/>
    <w:tmpl w:val="1E388CD2"/>
    <w:lvl w:ilvl="0" w:tplc="954E4922">
      <w:start w:val="1"/>
      <w:numFmt w:val="decimal"/>
      <w:lvlText w:val="%1-"/>
      <w:lvlJc w:val="left"/>
      <w:pPr>
        <w:tabs>
          <w:tab w:val="num" w:pos="814"/>
        </w:tabs>
        <w:ind w:left="814" w:hanging="360"/>
      </w:pPr>
      <w:rPr>
        <w:rFonts w:hint="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6" w15:restartNumberingAfterBreak="0">
    <w:nsid w:val="1E8A440E"/>
    <w:multiLevelType w:val="hybridMultilevel"/>
    <w:tmpl w:val="F6CA31C6"/>
    <w:lvl w:ilvl="0" w:tplc="DE38B136">
      <w:start w:val="1"/>
      <w:numFmt w:val="decimal"/>
      <w:lvlText w:val="%1-"/>
      <w:lvlJc w:val="left"/>
      <w:pPr>
        <w:tabs>
          <w:tab w:val="num" w:pos="720"/>
        </w:tabs>
        <w:ind w:left="720" w:hanging="360"/>
      </w:pPr>
      <w:rPr>
        <w:rFonts w:hint="cs"/>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7" w15:restartNumberingAfterBreak="0">
    <w:nsid w:val="20214608"/>
    <w:multiLevelType w:val="hybridMultilevel"/>
    <w:tmpl w:val="2D34A3B4"/>
    <w:lvl w:ilvl="0" w:tplc="26866392">
      <w:start w:val="7"/>
      <w:numFmt w:val="bullet"/>
      <w:lvlText w:val="-"/>
      <w:lvlJc w:val="left"/>
      <w:pPr>
        <w:tabs>
          <w:tab w:val="num" w:pos="720"/>
        </w:tabs>
        <w:ind w:lef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hanging="360"/>
      </w:pPr>
      <w:rPr>
        <w:rFonts w:ascii="Courier New" w:hAnsi="Courier New"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882338"/>
    <w:multiLevelType w:val="hybridMultilevel"/>
    <w:tmpl w:val="F0C68D32"/>
    <w:lvl w:ilvl="0" w:tplc="04090001">
      <w:start w:val="1"/>
      <w:numFmt w:val="bullet"/>
      <w:lvlText w:val=""/>
      <w:lvlJc w:val="left"/>
      <w:pPr>
        <w:tabs>
          <w:tab w:val="num" w:pos="1551"/>
        </w:tabs>
        <w:ind w:left="1551" w:hanging="360"/>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9" w15:restartNumberingAfterBreak="0">
    <w:nsid w:val="3D291614"/>
    <w:multiLevelType w:val="hybridMultilevel"/>
    <w:tmpl w:val="3DE61378"/>
    <w:lvl w:ilvl="0" w:tplc="1D94FA9E">
      <w:numFmt w:val="bullet"/>
      <w:lvlText w:val="-"/>
      <w:lvlJc w:val="left"/>
      <w:pPr>
        <w:tabs>
          <w:tab w:val="num" w:pos="927"/>
        </w:tabs>
        <w:ind w:left="927" w:hanging="360"/>
      </w:pPr>
      <w:rPr>
        <w:rFonts w:ascii="Times New Roman" w:eastAsia="Times New Roman" w:hAnsi="Times New Roman" w:cs="Traditional Arabic"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4346194B"/>
    <w:multiLevelType w:val="hybridMultilevel"/>
    <w:tmpl w:val="E8D28110"/>
    <w:lvl w:ilvl="0" w:tplc="841E1C60">
      <w:numFmt w:val="bullet"/>
      <w:lvlText w:val="-"/>
      <w:lvlJc w:val="left"/>
      <w:pPr>
        <w:tabs>
          <w:tab w:val="num" w:pos="927"/>
        </w:tabs>
        <w:ind w:left="927" w:hanging="360"/>
      </w:pPr>
      <w:rPr>
        <w:rFonts w:ascii="Times New Roman" w:eastAsia="Times New Roman" w:hAnsi="Times New Roman" w:cs="Traditional Arabic"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436116B4"/>
    <w:multiLevelType w:val="hybridMultilevel"/>
    <w:tmpl w:val="76FC0C2E"/>
    <w:lvl w:ilvl="0" w:tplc="0EFE8BFA">
      <w:start w:val="1"/>
      <w:numFmt w:val="bullet"/>
      <w:lvlText w:val=""/>
      <w:lvlJc w:val="left"/>
      <w:pPr>
        <w:tabs>
          <w:tab w:val="num" w:pos="765"/>
        </w:tabs>
        <w:ind w:left="765" w:hanging="360"/>
      </w:pPr>
      <w:rPr>
        <w:rFonts w:ascii="Symbol" w:eastAsia="Times New Roman" w:hAnsi="Symbol" w:cs="Traditional Arabic" w:hint="default"/>
      </w:rPr>
    </w:lvl>
    <w:lvl w:ilvl="1" w:tplc="04010003" w:tentative="1">
      <w:start w:val="1"/>
      <w:numFmt w:val="bullet"/>
      <w:lvlText w:val="o"/>
      <w:lvlJc w:val="left"/>
      <w:pPr>
        <w:tabs>
          <w:tab w:val="num" w:pos="1485"/>
        </w:tabs>
        <w:ind w:left="1485" w:hanging="360"/>
      </w:pPr>
      <w:rPr>
        <w:rFonts w:ascii="Courier New" w:hAnsi="Courier New" w:hint="default"/>
      </w:rPr>
    </w:lvl>
    <w:lvl w:ilvl="2" w:tplc="04010005" w:tentative="1">
      <w:start w:val="1"/>
      <w:numFmt w:val="bullet"/>
      <w:lvlText w:val=""/>
      <w:lvlJc w:val="left"/>
      <w:pPr>
        <w:tabs>
          <w:tab w:val="num" w:pos="2205"/>
        </w:tabs>
        <w:ind w:left="2205" w:hanging="360"/>
      </w:pPr>
      <w:rPr>
        <w:rFonts w:ascii="Wingdings" w:hAnsi="Wingdings" w:hint="default"/>
      </w:rPr>
    </w:lvl>
    <w:lvl w:ilvl="3" w:tplc="04010001" w:tentative="1">
      <w:start w:val="1"/>
      <w:numFmt w:val="bullet"/>
      <w:lvlText w:val=""/>
      <w:lvlJc w:val="left"/>
      <w:pPr>
        <w:tabs>
          <w:tab w:val="num" w:pos="2925"/>
        </w:tabs>
        <w:ind w:left="2925" w:hanging="360"/>
      </w:pPr>
      <w:rPr>
        <w:rFonts w:ascii="Symbol" w:hAnsi="Symbol" w:hint="default"/>
      </w:rPr>
    </w:lvl>
    <w:lvl w:ilvl="4" w:tplc="04010003" w:tentative="1">
      <w:start w:val="1"/>
      <w:numFmt w:val="bullet"/>
      <w:lvlText w:val="o"/>
      <w:lvlJc w:val="left"/>
      <w:pPr>
        <w:tabs>
          <w:tab w:val="num" w:pos="3645"/>
        </w:tabs>
        <w:ind w:left="3645" w:hanging="360"/>
      </w:pPr>
      <w:rPr>
        <w:rFonts w:ascii="Courier New" w:hAnsi="Courier New" w:hint="default"/>
      </w:rPr>
    </w:lvl>
    <w:lvl w:ilvl="5" w:tplc="04010005" w:tentative="1">
      <w:start w:val="1"/>
      <w:numFmt w:val="bullet"/>
      <w:lvlText w:val=""/>
      <w:lvlJc w:val="left"/>
      <w:pPr>
        <w:tabs>
          <w:tab w:val="num" w:pos="4365"/>
        </w:tabs>
        <w:ind w:left="4365" w:hanging="360"/>
      </w:pPr>
      <w:rPr>
        <w:rFonts w:ascii="Wingdings" w:hAnsi="Wingdings" w:hint="default"/>
      </w:rPr>
    </w:lvl>
    <w:lvl w:ilvl="6" w:tplc="04010001" w:tentative="1">
      <w:start w:val="1"/>
      <w:numFmt w:val="bullet"/>
      <w:lvlText w:val=""/>
      <w:lvlJc w:val="left"/>
      <w:pPr>
        <w:tabs>
          <w:tab w:val="num" w:pos="5085"/>
        </w:tabs>
        <w:ind w:left="5085" w:hanging="360"/>
      </w:pPr>
      <w:rPr>
        <w:rFonts w:ascii="Symbol" w:hAnsi="Symbol" w:hint="default"/>
      </w:rPr>
    </w:lvl>
    <w:lvl w:ilvl="7" w:tplc="04010003" w:tentative="1">
      <w:start w:val="1"/>
      <w:numFmt w:val="bullet"/>
      <w:lvlText w:val="o"/>
      <w:lvlJc w:val="left"/>
      <w:pPr>
        <w:tabs>
          <w:tab w:val="num" w:pos="5805"/>
        </w:tabs>
        <w:ind w:left="5805" w:hanging="360"/>
      </w:pPr>
      <w:rPr>
        <w:rFonts w:ascii="Courier New" w:hAnsi="Courier New" w:hint="default"/>
      </w:rPr>
    </w:lvl>
    <w:lvl w:ilvl="8" w:tplc="04010005" w:tentative="1">
      <w:start w:val="1"/>
      <w:numFmt w:val="bullet"/>
      <w:lvlText w:val=""/>
      <w:lvlJc w:val="left"/>
      <w:pPr>
        <w:tabs>
          <w:tab w:val="num" w:pos="6525"/>
        </w:tabs>
        <w:ind w:left="6525" w:hanging="360"/>
      </w:pPr>
      <w:rPr>
        <w:rFonts w:ascii="Wingdings" w:hAnsi="Wingdings" w:hint="default"/>
      </w:rPr>
    </w:lvl>
  </w:abstractNum>
  <w:abstractNum w:abstractNumId="12" w15:restartNumberingAfterBreak="0">
    <w:nsid w:val="47346A74"/>
    <w:multiLevelType w:val="hybridMultilevel"/>
    <w:tmpl w:val="28105D2E"/>
    <w:lvl w:ilvl="0" w:tplc="3FFC37E8">
      <w:start w:val="1"/>
      <w:numFmt w:val="decimal"/>
      <w:lvlText w:val="%1-"/>
      <w:lvlJc w:val="left"/>
      <w:pPr>
        <w:tabs>
          <w:tab w:val="num" w:pos="814"/>
        </w:tabs>
        <w:ind w:left="814" w:hanging="360"/>
      </w:pPr>
      <w:rPr>
        <w:rFonts w:hint="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3" w15:restartNumberingAfterBreak="0">
    <w:nsid w:val="47BF3A63"/>
    <w:multiLevelType w:val="hybridMultilevel"/>
    <w:tmpl w:val="6BC85EAC"/>
    <w:lvl w:ilvl="0" w:tplc="0E622F0C">
      <w:numFmt w:val="bullet"/>
      <w:lvlText w:val="-"/>
      <w:lvlJc w:val="left"/>
      <w:pPr>
        <w:tabs>
          <w:tab w:val="num" w:pos="779"/>
        </w:tabs>
        <w:ind w:left="779" w:hanging="495"/>
      </w:pPr>
      <w:rPr>
        <w:rFonts w:ascii="Times New Roman" w:eastAsia="Times New Roman" w:hAnsi="Times New Roman" w:cs="Traditional Arabic" w:hint="default"/>
      </w:rPr>
    </w:lvl>
    <w:lvl w:ilvl="1" w:tplc="04090001">
      <w:start w:val="1"/>
      <w:numFmt w:val="bullet"/>
      <w:lvlText w:val=""/>
      <w:lvlJc w:val="left"/>
      <w:pPr>
        <w:tabs>
          <w:tab w:val="num" w:pos="1364"/>
        </w:tabs>
        <w:ind w:left="1364" w:hanging="360"/>
      </w:pPr>
      <w:rPr>
        <w:rFonts w:ascii="Symbol" w:hAnsi="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4A9D35FA"/>
    <w:multiLevelType w:val="hybridMultilevel"/>
    <w:tmpl w:val="9E0CD1F8"/>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4EA02315"/>
    <w:multiLevelType w:val="hybridMultilevel"/>
    <w:tmpl w:val="24BE16E6"/>
    <w:lvl w:ilvl="0" w:tplc="81ECDEE6">
      <w:start w:val="1"/>
      <w:numFmt w:val="bullet"/>
      <w:lvlText w:val=""/>
      <w:lvlJc w:val="left"/>
      <w:pPr>
        <w:tabs>
          <w:tab w:val="num" w:pos="1575"/>
        </w:tabs>
        <w:ind w:left="1575" w:hanging="360"/>
      </w:pPr>
      <w:rPr>
        <w:rFonts w:ascii="Symbol" w:hAnsi="Symbol" w:hint="default"/>
        <w:color w:val="auto"/>
        <w:sz w:val="24"/>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53CB517F"/>
    <w:multiLevelType w:val="hybridMultilevel"/>
    <w:tmpl w:val="933CD690"/>
    <w:lvl w:ilvl="0" w:tplc="2D14B5C6">
      <w:numFmt w:val="bullet"/>
      <w:lvlText w:val="-"/>
      <w:lvlJc w:val="left"/>
      <w:pPr>
        <w:tabs>
          <w:tab w:val="num" w:pos="927"/>
        </w:tabs>
        <w:ind w:left="927" w:hanging="360"/>
      </w:pPr>
      <w:rPr>
        <w:rFonts w:ascii="Times New Roman" w:eastAsia="Times New Roman" w:hAnsi="Times New Roman" w:cs="Traditional Arabic"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56525BCA"/>
    <w:multiLevelType w:val="hybridMultilevel"/>
    <w:tmpl w:val="A5D08ECA"/>
    <w:lvl w:ilvl="0" w:tplc="8DDCDB60">
      <w:start w:val="1"/>
      <w:numFmt w:val="decimal"/>
      <w:lvlText w:val="%1-"/>
      <w:lvlJc w:val="left"/>
      <w:pPr>
        <w:tabs>
          <w:tab w:val="num" w:pos="720"/>
        </w:tabs>
        <w:ind w:left="720" w:hanging="360"/>
      </w:pPr>
      <w:rPr>
        <w:rFonts w:hint="cs"/>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18" w15:restartNumberingAfterBreak="0">
    <w:nsid w:val="58C25BDF"/>
    <w:multiLevelType w:val="hybridMultilevel"/>
    <w:tmpl w:val="8B92F5F2"/>
    <w:lvl w:ilvl="0" w:tplc="81ECDEE6">
      <w:start w:val="1"/>
      <w:numFmt w:val="bullet"/>
      <w:lvlText w:val=""/>
      <w:lvlJc w:val="left"/>
      <w:pPr>
        <w:tabs>
          <w:tab w:val="num" w:pos="1854"/>
        </w:tabs>
        <w:ind w:left="1854" w:hanging="360"/>
      </w:pPr>
      <w:rPr>
        <w:rFonts w:ascii="Symbol" w:hAnsi="Symbol" w:hint="default"/>
        <w:color w:val="auto"/>
        <w:sz w:val="24"/>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594B595D"/>
    <w:multiLevelType w:val="hybridMultilevel"/>
    <w:tmpl w:val="576E8BB0"/>
    <w:lvl w:ilvl="0" w:tplc="07F80424">
      <w:numFmt w:val="bullet"/>
      <w:lvlText w:val="-"/>
      <w:lvlJc w:val="left"/>
      <w:pPr>
        <w:tabs>
          <w:tab w:val="num" w:pos="644"/>
        </w:tabs>
        <w:ind w:left="644" w:hanging="360"/>
      </w:pPr>
      <w:rPr>
        <w:rFonts w:ascii="Times New Roman" w:eastAsia="Times New Roman" w:hAnsi="Times New Roman" w:cs="Traditional Arabic"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61F23A80"/>
    <w:multiLevelType w:val="hybridMultilevel"/>
    <w:tmpl w:val="40324F78"/>
    <w:lvl w:ilvl="0" w:tplc="C20A7812">
      <w:start w:val="1"/>
      <w:numFmt w:val="decimal"/>
      <w:lvlText w:val="%1-"/>
      <w:lvlJc w:val="left"/>
      <w:pPr>
        <w:tabs>
          <w:tab w:val="num" w:pos="720"/>
        </w:tabs>
        <w:ind w:left="720" w:hanging="360"/>
      </w:pPr>
      <w:rPr>
        <w:rFonts w:hint="cs"/>
      </w:rPr>
    </w:lvl>
    <w:lvl w:ilvl="1" w:tplc="3C9208DC">
      <w:numFmt w:val="bullet"/>
      <w:lvlText w:val=""/>
      <w:lvlJc w:val="left"/>
      <w:pPr>
        <w:tabs>
          <w:tab w:val="num" w:pos="1440"/>
        </w:tabs>
        <w:ind w:left="1440" w:hanging="360"/>
      </w:pPr>
      <w:rPr>
        <w:rFonts w:ascii="Symbol" w:eastAsia="Times New Roman" w:hAnsi="Symbol" w:cs="Traditional Arabic" w:hint="default"/>
        <w:sz w:val="28"/>
      </w:r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21" w15:restartNumberingAfterBreak="0">
    <w:nsid w:val="62935B76"/>
    <w:multiLevelType w:val="hybridMultilevel"/>
    <w:tmpl w:val="EF58C2E6"/>
    <w:lvl w:ilvl="0" w:tplc="1B04DD0C">
      <w:start w:val="1"/>
      <w:numFmt w:val="decimal"/>
      <w:lvlText w:val="%1-"/>
      <w:lvlJc w:val="left"/>
      <w:pPr>
        <w:tabs>
          <w:tab w:val="num" w:pos="1287"/>
        </w:tabs>
        <w:ind w:left="1287" w:hanging="720"/>
      </w:pPr>
      <w:rPr>
        <w:rFonts w:hint="cs"/>
      </w:rPr>
    </w:lvl>
    <w:lvl w:ilvl="1" w:tplc="86502BEA">
      <w:start w:val="1"/>
      <w:numFmt w:val="bullet"/>
      <w:lvlText w:val="-"/>
      <w:lvlJc w:val="left"/>
      <w:pPr>
        <w:tabs>
          <w:tab w:val="num" w:pos="1647"/>
        </w:tabs>
        <w:ind w:left="1647" w:hanging="360"/>
      </w:pPr>
      <w:rPr>
        <w:rFonts w:ascii="Times New Roman" w:eastAsia="Times New Roman" w:hAnsi="Times New Roman" w:cs="Traditional Arabic"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15:restartNumberingAfterBreak="0">
    <w:nsid w:val="6A144F91"/>
    <w:multiLevelType w:val="hybridMultilevel"/>
    <w:tmpl w:val="4C24662C"/>
    <w:lvl w:ilvl="0" w:tplc="07F80424">
      <w:start w:val="9"/>
      <w:numFmt w:val="bullet"/>
      <w:lvlText w:val="-"/>
      <w:lvlJc w:val="left"/>
      <w:pPr>
        <w:tabs>
          <w:tab w:val="num" w:pos="644"/>
        </w:tabs>
        <w:ind w:left="644" w:hanging="360"/>
      </w:pPr>
      <w:rPr>
        <w:rFonts w:ascii="Times New Roman" w:eastAsia="Times New Roman" w:hAnsi="Times New Roman" w:cs="Traditional Arabic"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77971C18"/>
    <w:multiLevelType w:val="hybridMultilevel"/>
    <w:tmpl w:val="E5E4107C"/>
    <w:lvl w:ilvl="0" w:tplc="04090001">
      <w:start w:val="1"/>
      <w:numFmt w:val="bullet"/>
      <w:lvlText w:val=""/>
      <w:lvlJc w:val="left"/>
      <w:pPr>
        <w:tabs>
          <w:tab w:val="num" w:pos="1287"/>
        </w:tabs>
        <w:ind w:left="1287" w:hanging="360"/>
      </w:pPr>
      <w:rPr>
        <w:rFonts w:ascii="Symbol" w:hAnsi="Symbol" w:hint="default"/>
      </w:rPr>
    </w:lvl>
    <w:lvl w:ilvl="1" w:tplc="81ECDEE6">
      <w:start w:val="1"/>
      <w:numFmt w:val="bullet"/>
      <w:lvlText w:val=""/>
      <w:lvlJc w:val="left"/>
      <w:pPr>
        <w:tabs>
          <w:tab w:val="num" w:pos="2007"/>
        </w:tabs>
        <w:ind w:left="2007" w:hanging="360"/>
      </w:pPr>
      <w:rPr>
        <w:rFonts w:ascii="Symbol" w:hAnsi="Symbol" w:hint="default"/>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3"/>
  </w:num>
  <w:num w:numId="2">
    <w:abstractNumId w:val="7"/>
  </w:num>
  <w:num w:numId="3">
    <w:abstractNumId w:val="6"/>
  </w:num>
  <w:num w:numId="4">
    <w:abstractNumId w:val="20"/>
  </w:num>
  <w:num w:numId="5">
    <w:abstractNumId w:val="17"/>
  </w:num>
  <w:num w:numId="6">
    <w:abstractNumId w:val="11"/>
  </w:num>
  <w:num w:numId="7">
    <w:abstractNumId w:val="15"/>
  </w:num>
  <w:num w:numId="8">
    <w:abstractNumId w:val="0"/>
  </w:num>
  <w:num w:numId="9">
    <w:abstractNumId w:val="23"/>
  </w:num>
  <w:num w:numId="10">
    <w:abstractNumId w:val="4"/>
  </w:num>
  <w:num w:numId="11">
    <w:abstractNumId w:val="16"/>
  </w:num>
  <w:num w:numId="12">
    <w:abstractNumId w:val="18"/>
  </w:num>
  <w:num w:numId="13">
    <w:abstractNumId w:val="22"/>
  </w:num>
  <w:num w:numId="14">
    <w:abstractNumId w:val="10"/>
  </w:num>
  <w:num w:numId="15">
    <w:abstractNumId w:val="19"/>
  </w:num>
  <w:num w:numId="16">
    <w:abstractNumId w:val="2"/>
  </w:num>
  <w:num w:numId="17">
    <w:abstractNumId w:val="13"/>
  </w:num>
  <w:num w:numId="18">
    <w:abstractNumId w:val="8"/>
  </w:num>
  <w:num w:numId="19">
    <w:abstractNumId w:val="14"/>
  </w:num>
  <w:num w:numId="20">
    <w:abstractNumId w:val="9"/>
  </w:num>
  <w:num w:numId="21">
    <w:abstractNumId w:val="5"/>
  </w:num>
  <w:num w:numId="22">
    <w:abstractNumId w:val="12"/>
  </w:num>
  <w:num w:numId="23">
    <w:abstractNumId w:val="1"/>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hideGrammaticalErrors/>
  <w:defaultTabStop w:val="720"/>
  <w:characterSpacingControl w:val="doNotCompress"/>
  <w:hdrShapeDefaults>
    <o:shapedefaults v:ext="edit" spidmax="403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D78"/>
    <w:rsid w:val="000041FB"/>
    <w:rsid w:val="0002023B"/>
    <w:rsid w:val="00035BE3"/>
    <w:rsid w:val="000417BC"/>
    <w:rsid w:val="000A00F1"/>
    <w:rsid w:val="000A6343"/>
    <w:rsid w:val="000C5E55"/>
    <w:rsid w:val="000F31FE"/>
    <w:rsid w:val="000F35C3"/>
    <w:rsid w:val="00111C09"/>
    <w:rsid w:val="001425B7"/>
    <w:rsid w:val="00154F65"/>
    <w:rsid w:val="00171049"/>
    <w:rsid w:val="001A26B6"/>
    <w:rsid w:val="001C01FA"/>
    <w:rsid w:val="001C1D4A"/>
    <w:rsid w:val="001F6A9E"/>
    <w:rsid w:val="0022714B"/>
    <w:rsid w:val="00261DC8"/>
    <w:rsid w:val="00270F58"/>
    <w:rsid w:val="00282FF3"/>
    <w:rsid w:val="00284270"/>
    <w:rsid w:val="002B2EA2"/>
    <w:rsid w:val="002C118C"/>
    <w:rsid w:val="003D5367"/>
    <w:rsid w:val="003E4D78"/>
    <w:rsid w:val="004067BA"/>
    <w:rsid w:val="00413215"/>
    <w:rsid w:val="0048366D"/>
    <w:rsid w:val="00490363"/>
    <w:rsid w:val="004F3516"/>
    <w:rsid w:val="005226A8"/>
    <w:rsid w:val="005457A0"/>
    <w:rsid w:val="005E232F"/>
    <w:rsid w:val="00657FA0"/>
    <w:rsid w:val="006835AD"/>
    <w:rsid w:val="006A6AEE"/>
    <w:rsid w:val="006D01F3"/>
    <w:rsid w:val="006F37C9"/>
    <w:rsid w:val="0070732C"/>
    <w:rsid w:val="00735E88"/>
    <w:rsid w:val="0075621D"/>
    <w:rsid w:val="00761744"/>
    <w:rsid w:val="00783D87"/>
    <w:rsid w:val="007A484A"/>
    <w:rsid w:val="007C5A2D"/>
    <w:rsid w:val="007C7F13"/>
    <w:rsid w:val="00803EA0"/>
    <w:rsid w:val="00852242"/>
    <w:rsid w:val="00852BAC"/>
    <w:rsid w:val="00855198"/>
    <w:rsid w:val="008749CB"/>
    <w:rsid w:val="0089068D"/>
    <w:rsid w:val="00930149"/>
    <w:rsid w:val="00972B5B"/>
    <w:rsid w:val="00992F62"/>
    <w:rsid w:val="009A68A5"/>
    <w:rsid w:val="009A6E4B"/>
    <w:rsid w:val="009C5DD2"/>
    <w:rsid w:val="009C63D1"/>
    <w:rsid w:val="009D3712"/>
    <w:rsid w:val="00A11971"/>
    <w:rsid w:val="00A149AF"/>
    <w:rsid w:val="00A34B2A"/>
    <w:rsid w:val="00A66747"/>
    <w:rsid w:val="00A83070"/>
    <w:rsid w:val="00A86736"/>
    <w:rsid w:val="00AC19C8"/>
    <w:rsid w:val="00AD6954"/>
    <w:rsid w:val="00B15AF9"/>
    <w:rsid w:val="00B37E61"/>
    <w:rsid w:val="00BF08C1"/>
    <w:rsid w:val="00C01149"/>
    <w:rsid w:val="00C10469"/>
    <w:rsid w:val="00C417F2"/>
    <w:rsid w:val="00C74A2F"/>
    <w:rsid w:val="00D91C38"/>
    <w:rsid w:val="00D9740C"/>
    <w:rsid w:val="00DB07AF"/>
    <w:rsid w:val="00DB59CC"/>
    <w:rsid w:val="00E10909"/>
    <w:rsid w:val="00E95206"/>
    <w:rsid w:val="00EA65AC"/>
    <w:rsid w:val="00EB181A"/>
    <w:rsid w:val="00EB5FFB"/>
    <w:rsid w:val="00F0471F"/>
    <w:rsid w:val="00F46655"/>
    <w:rsid w:val="00F6051F"/>
    <w:rsid w:val="00F70EE6"/>
    <w:rsid w:val="00FB00A9"/>
    <w:rsid w:val="00FB2448"/>
    <w:rsid w:val="00FC19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37"/>
    <o:shapelayout v:ext="edit">
      <o:idmap v:ext="edit" data="1"/>
    </o:shapelayout>
  </w:shapeDefaults>
  <w:decimalSymbol w:val="."/>
  <w:listSeparator w:val=";"/>
  <w14:docId w14:val="56097599"/>
  <w15:chartTrackingRefBased/>
  <w15:docId w15:val="{CB2BFA04-7702-4AE5-B7BA-CCBFFC6A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eastAsia="Times New Roman" w:hAnsi="Traditional Arabic" w:cs="Traditional Arabic"/>
        <w:sz w:val="36"/>
        <w:szCs w:val="3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1F3"/>
    <w:pPr>
      <w:widowControl w:val="0"/>
      <w:bidi/>
      <w:spacing w:after="0" w:line="240" w:lineRule="auto"/>
      <w:ind w:firstLine="284"/>
    </w:pPr>
    <w:rPr>
      <w:rFonts w:ascii="Times New Roman" w:hAnsi="Times New Roman"/>
      <w:sz w:val="40"/>
      <w:szCs w:val="40"/>
      <w:lang w:eastAsia="ar-SA"/>
    </w:rPr>
  </w:style>
  <w:style w:type="paragraph" w:styleId="1">
    <w:name w:val="heading 1"/>
    <w:basedOn w:val="a"/>
    <w:next w:val="a"/>
    <w:link w:val="1Char"/>
    <w:qFormat/>
    <w:rsid w:val="00855198"/>
    <w:pPr>
      <w:keepNext/>
      <w:spacing w:before="240" w:after="60"/>
      <w:jc w:val="center"/>
      <w:outlineLvl w:val="0"/>
    </w:pPr>
    <w:rPr>
      <w:rFonts w:ascii="AL-Hotham" w:eastAsia="MS Mincho" w:hAnsi="AL-Hotham" w:cs="AL-Hotham"/>
      <w:bCs/>
      <w:color w:val="424456"/>
      <w:kern w:val="32"/>
      <w:lang w:eastAsia="ja-JP"/>
    </w:rPr>
  </w:style>
  <w:style w:type="paragraph" w:styleId="2">
    <w:name w:val="heading 2"/>
    <w:next w:val="a"/>
    <w:link w:val="2Char"/>
    <w:autoRedefine/>
    <w:qFormat/>
    <w:rsid w:val="00EB181A"/>
    <w:pPr>
      <w:keepNext/>
      <w:widowControl w:val="0"/>
      <w:tabs>
        <w:tab w:val="right" w:pos="608"/>
      </w:tabs>
      <w:bidi/>
      <w:spacing w:before="240" w:after="60" w:line="540" w:lineRule="exact"/>
      <w:ind w:left="-58"/>
      <w:contextualSpacing/>
      <w:jc w:val="both"/>
      <w:outlineLvl w:val="1"/>
    </w:pPr>
    <w:rPr>
      <w:rFonts w:ascii="AL-Mohanad" w:eastAsia="AL-Mohanad" w:hAnsi="AL-Mohanad" w:cs="AL-Mohanad"/>
      <w:b/>
      <w:bCs/>
      <w:color w:val="1F3864" w:themeColor="accent5" w:themeShade="80"/>
      <w:sz w:val="34"/>
      <w:szCs w:val="34"/>
    </w:rPr>
  </w:style>
  <w:style w:type="paragraph" w:styleId="3">
    <w:name w:val="heading 3"/>
    <w:next w:val="a"/>
    <w:link w:val="3Char"/>
    <w:autoRedefine/>
    <w:qFormat/>
    <w:rsid w:val="004F3516"/>
    <w:pPr>
      <w:keepNext/>
      <w:bidi/>
      <w:spacing w:after="0" w:line="288" w:lineRule="auto"/>
      <w:jc w:val="both"/>
      <w:outlineLvl w:val="2"/>
    </w:pPr>
    <w:rPr>
      <w:b/>
      <w:bCs/>
      <w:noProof/>
      <w:color w:val="2F5496" w:themeColor="accent5" w:themeShade="BF"/>
      <w:lang w:eastAsia="ar-SA"/>
    </w:rPr>
  </w:style>
  <w:style w:type="paragraph" w:styleId="4">
    <w:name w:val="heading 4"/>
    <w:basedOn w:val="a"/>
    <w:next w:val="a"/>
    <w:link w:val="4Char"/>
    <w:uiPriority w:val="9"/>
    <w:semiHidden/>
    <w:unhideWhenUsed/>
    <w:qFormat/>
    <w:rsid w:val="006A6AEE"/>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261DC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855198"/>
    <w:rPr>
      <w:rFonts w:ascii="AL-Hotham" w:eastAsia="MS Mincho" w:hAnsi="AL-Hotham" w:cs="AL-Hotham"/>
      <w:bCs/>
      <w:color w:val="424456"/>
      <w:kern w:val="32"/>
      <w:sz w:val="40"/>
      <w:szCs w:val="40"/>
      <w:lang w:eastAsia="ja-JP"/>
    </w:rPr>
  </w:style>
  <w:style w:type="character" w:customStyle="1" w:styleId="2Char">
    <w:name w:val="عنوان 2 Char"/>
    <w:basedOn w:val="a0"/>
    <w:link w:val="2"/>
    <w:rsid w:val="00EB181A"/>
    <w:rPr>
      <w:rFonts w:ascii="AL-Mohanad" w:eastAsia="AL-Mohanad" w:hAnsi="AL-Mohanad" w:cs="AL-Mohanad"/>
      <w:b/>
      <w:bCs/>
      <w:color w:val="1F3864" w:themeColor="accent5" w:themeShade="80"/>
      <w:sz w:val="34"/>
      <w:szCs w:val="34"/>
    </w:rPr>
  </w:style>
  <w:style w:type="character" w:customStyle="1" w:styleId="3Char">
    <w:name w:val="عنوان 3 Char"/>
    <w:basedOn w:val="a0"/>
    <w:link w:val="3"/>
    <w:rsid w:val="004F3516"/>
    <w:rPr>
      <w:b/>
      <w:bCs/>
      <w:noProof/>
      <w:color w:val="2F5496" w:themeColor="accent5" w:themeShade="BF"/>
      <w:lang w:eastAsia="ar-SA"/>
    </w:rPr>
  </w:style>
  <w:style w:type="paragraph" w:styleId="a3">
    <w:name w:val="header"/>
    <w:basedOn w:val="a"/>
    <w:link w:val="Char"/>
    <w:rsid w:val="00C74A2F"/>
    <w:pPr>
      <w:widowControl/>
      <w:tabs>
        <w:tab w:val="center" w:pos="4153"/>
        <w:tab w:val="right" w:pos="8306"/>
      </w:tabs>
      <w:ind w:firstLine="567"/>
      <w:jc w:val="both"/>
    </w:pPr>
    <w:rPr>
      <w:sz w:val="20"/>
      <w:szCs w:val="36"/>
      <w:lang w:val="en-GB" w:eastAsia="en-US"/>
    </w:rPr>
  </w:style>
  <w:style w:type="character" w:customStyle="1" w:styleId="Char">
    <w:name w:val="رأس الصفحة Char"/>
    <w:basedOn w:val="a0"/>
    <w:link w:val="a3"/>
    <w:rsid w:val="00C74A2F"/>
    <w:rPr>
      <w:rFonts w:ascii="Times New Roman" w:hAnsi="Times New Roman"/>
      <w:sz w:val="20"/>
      <w:lang w:val="en-GB"/>
    </w:rPr>
  </w:style>
  <w:style w:type="paragraph" w:styleId="a4">
    <w:name w:val="footer"/>
    <w:basedOn w:val="a"/>
    <w:link w:val="Char0"/>
    <w:rsid w:val="00C74A2F"/>
    <w:pPr>
      <w:widowControl/>
      <w:tabs>
        <w:tab w:val="center" w:pos="4153"/>
        <w:tab w:val="right" w:pos="8306"/>
      </w:tabs>
      <w:ind w:firstLine="567"/>
      <w:jc w:val="both"/>
    </w:pPr>
    <w:rPr>
      <w:sz w:val="20"/>
      <w:szCs w:val="36"/>
      <w:lang w:val="en-GB" w:eastAsia="en-US"/>
    </w:rPr>
  </w:style>
  <w:style w:type="character" w:customStyle="1" w:styleId="Char0">
    <w:name w:val="تذييل الصفحة Char"/>
    <w:basedOn w:val="a0"/>
    <w:link w:val="a4"/>
    <w:rsid w:val="00C74A2F"/>
    <w:rPr>
      <w:rFonts w:ascii="Times New Roman" w:hAnsi="Times New Roman"/>
      <w:sz w:val="20"/>
      <w:lang w:val="en-GB"/>
    </w:rPr>
  </w:style>
  <w:style w:type="character" w:styleId="a5">
    <w:name w:val="page number"/>
    <w:rsid w:val="00C74A2F"/>
    <w:rPr>
      <w:rFonts w:cs="Traditional Arabic"/>
      <w:bCs/>
      <w:szCs w:val="28"/>
    </w:rPr>
  </w:style>
  <w:style w:type="paragraph" w:styleId="a6">
    <w:name w:val="footnote text"/>
    <w:basedOn w:val="a"/>
    <w:link w:val="Char1"/>
    <w:semiHidden/>
    <w:rsid w:val="00261DC8"/>
    <w:pPr>
      <w:widowControl/>
      <w:ind w:left="170"/>
      <w:jc w:val="both"/>
    </w:pPr>
    <w:rPr>
      <w:sz w:val="20"/>
      <w:szCs w:val="30"/>
      <w:lang w:val="en-GB" w:eastAsia="en-US"/>
    </w:rPr>
  </w:style>
  <w:style w:type="character" w:customStyle="1" w:styleId="Char1">
    <w:name w:val="نص حاشية سفلية Char"/>
    <w:basedOn w:val="a0"/>
    <w:link w:val="a6"/>
    <w:semiHidden/>
    <w:rsid w:val="00261DC8"/>
    <w:rPr>
      <w:rFonts w:ascii="Times New Roman" w:hAnsi="Times New Roman"/>
      <w:sz w:val="20"/>
      <w:szCs w:val="30"/>
      <w:lang w:val="en-GB"/>
    </w:rPr>
  </w:style>
  <w:style w:type="character" w:styleId="a7">
    <w:name w:val="footnote reference"/>
    <w:basedOn w:val="a0"/>
    <w:semiHidden/>
    <w:rsid w:val="00261DC8"/>
    <w:rPr>
      <w:rFonts w:cs="Traditional Arabic"/>
      <w:bCs/>
      <w:szCs w:val="32"/>
      <w:vertAlign w:val="superscript"/>
    </w:rPr>
  </w:style>
  <w:style w:type="paragraph" w:customStyle="1" w:styleId="a8">
    <w:name w:val="هشام"/>
    <w:rsid w:val="00261DC8"/>
    <w:pPr>
      <w:spacing w:after="0" w:line="240" w:lineRule="auto"/>
      <w:ind w:left="170" w:right="170" w:hanging="454"/>
      <w:jc w:val="both"/>
    </w:pPr>
    <w:rPr>
      <w:rFonts w:ascii="Times New Roman" w:hAnsi="Times New Roman"/>
      <w:sz w:val="20"/>
      <w:szCs w:val="28"/>
    </w:rPr>
  </w:style>
  <w:style w:type="paragraph" w:customStyle="1" w:styleId="a9">
    <w:name w:val="قاعدة"/>
    <w:basedOn w:val="a"/>
    <w:link w:val="Char2"/>
    <w:rsid w:val="00261DC8"/>
    <w:pPr>
      <w:widowControl/>
      <w:ind w:firstLine="567"/>
      <w:jc w:val="center"/>
    </w:pPr>
    <w:rPr>
      <w:rFonts w:cs="Al-Kharashi 62"/>
      <w:sz w:val="48"/>
      <w:szCs w:val="36"/>
      <w:lang w:val="en-GB" w:eastAsia="en-US"/>
    </w:rPr>
  </w:style>
  <w:style w:type="paragraph" w:customStyle="1" w:styleId="aa">
    <w:name w:val="نص القاعدة"/>
    <w:basedOn w:val="a"/>
    <w:rsid w:val="00261DC8"/>
    <w:pPr>
      <w:widowControl/>
      <w:ind w:firstLine="567"/>
      <w:jc w:val="both"/>
    </w:pPr>
    <w:rPr>
      <w:rFonts w:cs="Monotype Koufi"/>
      <w:bCs/>
      <w:sz w:val="20"/>
      <w:szCs w:val="36"/>
      <w:lang w:eastAsia="en-US"/>
    </w:rPr>
  </w:style>
  <w:style w:type="paragraph" w:styleId="ab">
    <w:name w:val="Body Text Indent"/>
    <w:basedOn w:val="a"/>
    <w:link w:val="Char3"/>
    <w:rsid w:val="00261DC8"/>
    <w:pPr>
      <w:widowControl/>
      <w:ind w:firstLine="567"/>
      <w:jc w:val="both"/>
    </w:pPr>
    <w:rPr>
      <w:sz w:val="20"/>
      <w:szCs w:val="36"/>
      <w:lang w:eastAsia="en-US" w:bidi="ar-AE"/>
    </w:rPr>
  </w:style>
  <w:style w:type="character" w:customStyle="1" w:styleId="Char3">
    <w:name w:val="نص أساسي بمسافة بادئة Char"/>
    <w:basedOn w:val="a0"/>
    <w:link w:val="ab"/>
    <w:rsid w:val="00261DC8"/>
    <w:rPr>
      <w:rFonts w:ascii="Times New Roman" w:hAnsi="Times New Roman"/>
      <w:sz w:val="20"/>
      <w:lang w:bidi="ar-AE"/>
    </w:rPr>
  </w:style>
  <w:style w:type="paragraph" w:styleId="20">
    <w:name w:val="Body Text 2"/>
    <w:basedOn w:val="a"/>
    <w:link w:val="2Char0"/>
    <w:rsid w:val="00261DC8"/>
    <w:pPr>
      <w:widowControl/>
      <w:ind w:firstLine="0"/>
      <w:jc w:val="lowKashida"/>
    </w:pPr>
    <w:rPr>
      <w:b/>
      <w:bCs/>
      <w:sz w:val="36"/>
      <w:szCs w:val="36"/>
    </w:rPr>
  </w:style>
  <w:style w:type="character" w:customStyle="1" w:styleId="2Char0">
    <w:name w:val="نص أساسي 2 Char"/>
    <w:basedOn w:val="a0"/>
    <w:link w:val="20"/>
    <w:rsid w:val="00261DC8"/>
    <w:rPr>
      <w:rFonts w:ascii="Times New Roman" w:hAnsi="Times New Roman"/>
      <w:b/>
      <w:bCs/>
      <w:lang w:eastAsia="ar-SA"/>
    </w:rPr>
  </w:style>
  <w:style w:type="character" w:styleId="Hyperlink">
    <w:name w:val="Hyperlink"/>
    <w:basedOn w:val="a0"/>
    <w:rsid w:val="00261DC8"/>
    <w:rPr>
      <w:color w:val="0000FF"/>
      <w:u w:val="single"/>
    </w:rPr>
  </w:style>
  <w:style w:type="character" w:customStyle="1" w:styleId="5Char">
    <w:name w:val="عنوان 5 Char"/>
    <w:basedOn w:val="a0"/>
    <w:link w:val="5"/>
    <w:uiPriority w:val="9"/>
    <w:rsid w:val="00261DC8"/>
    <w:rPr>
      <w:rFonts w:asciiTheme="majorHAnsi" w:eastAsiaTheme="majorEastAsia" w:hAnsiTheme="majorHAnsi" w:cstheme="majorBidi"/>
      <w:color w:val="2E74B5" w:themeColor="accent1" w:themeShade="BF"/>
      <w:sz w:val="40"/>
      <w:szCs w:val="40"/>
      <w:lang w:eastAsia="ar-SA"/>
    </w:rPr>
  </w:style>
  <w:style w:type="character" w:customStyle="1" w:styleId="4Char">
    <w:name w:val="عنوان 4 Char"/>
    <w:basedOn w:val="a0"/>
    <w:link w:val="4"/>
    <w:uiPriority w:val="9"/>
    <w:semiHidden/>
    <w:rsid w:val="006A6AEE"/>
    <w:rPr>
      <w:rFonts w:asciiTheme="majorHAnsi" w:eastAsiaTheme="majorEastAsia" w:hAnsiTheme="majorHAnsi" w:cstheme="majorBidi"/>
      <w:i/>
      <w:iCs/>
      <w:color w:val="2E74B5" w:themeColor="accent1" w:themeShade="BF"/>
      <w:sz w:val="40"/>
      <w:szCs w:val="40"/>
      <w:lang w:eastAsia="ar-SA"/>
    </w:rPr>
  </w:style>
  <w:style w:type="paragraph" w:styleId="ac">
    <w:name w:val="Body Text"/>
    <w:basedOn w:val="a"/>
    <w:link w:val="Char4"/>
    <w:unhideWhenUsed/>
    <w:rsid w:val="006A6AEE"/>
    <w:pPr>
      <w:spacing w:after="120"/>
    </w:pPr>
  </w:style>
  <w:style w:type="character" w:customStyle="1" w:styleId="Char4">
    <w:name w:val="نص أساسي Char"/>
    <w:basedOn w:val="a0"/>
    <w:link w:val="ac"/>
    <w:rsid w:val="006A6AEE"/>
    <w:rPr>
      <w:rFonts w:ascii="Times New Roman" w:hAnsi="Times New Roman"/>
      <w:sz w:val="40"/>
      <w:szCs w:val="40"/>
      <w:lang w:eastAsia="ar-SA"/>
    </w:rPr>
  </w:style>
  <w:style w:type="numbering" w:customStyle="1" w:styleId="10">
    <w:name w:val="بلا قائمة1"/>
    <w:next w:val="a2"/>
    <w:semiHidden/>
    <w:unhideWhenUsed/>
    <w:rsid w:val="00EB5FFB"/>
  </w:style>
  <w:style w:type="paragraph" w:customStyle="1" w:styleId="ad">
    <w:name w:val="العنوان الأول"/>
    <w:basedOn w:val="a"/>
    <w:rsid w:val="00EB5FFB"/>
    <w:pPr>
      <w:widowControl/>
      <w:ind w:firstLine="567"/>
      <w:jc w:val="both"/>
    </w:pPr>
    <w:rPr>
      <w:rFonts w:cs="Al-Kharashi 66 Koufi"/>
      <w:sz w:val="20"/>
      <w:lang w:val="en-GB" w:eastAsia="en-US"/>
    </w:rPr>
  </w:style>
  <w:style w:type="paragraph" w:customStyle="1" w:styleId="ae">
    <w:name w:val="العنوان الثاني"/>
    <w:basedOn w:val="ad"/>
    <w:rsid w:val="00EB5FFB"/>
    <w:rPr>
      <w:rFonts w:cs="Andalus"/>
      <w:szCs w:val="36"/>
    </w:rPr>
  </w:style>
  <w:style w:type="paragraph" w:customStyle="1" w:styleId="af">
    <w:name w:val="العنوان الثالث"/>
    <w:basedOn w:val="ae"/>
    <w:rsid w:val="00EB5FFB"/>
    <w:rPr>
      <w:rFonts w:cs="Traditional Arabic"/>
      <w:b/>
      <w:bCs/>
      <w:color w:val="000080"/>
    </w:rPr>
  </w:style>
  <w:style w:type="paragraph" w:customStyle="1" w:styleId="af0">
    <w:name w:val="النص العادي"/>
    <w:basedOn w:val="a"/>
    <w:rsid w:val="00EB5FFB"/>
    <w:pPr>
      <w:widowControl/>
      <w:ind w:firstLine="567"/>
      <w:jc w:val="both"/>
    </w:pPr>
    <w:rPr>
      <w:rFonts w:cs="Arabic11 BT"/>
      <w:sz w:val="20"/>
      <w:szCs w:val="32"/>
      <w:lang w:val="en-GB" w:eastAsia="en-US"/>
    </w:rPr>
  </w:style>
  <w:style w:type="paragraph" w:styleId="af1">
    <w:name w:val="endnote text"/>
    <w:basedOn w:val="a"/>
    <w:link w:val="Char5"/>
    <w:semiHidden/>
    <w:rsid w:val="00EB5FFB"/>
    <w:pPr>
      <w:widowControl/>
      <w:ind w:firstLine="567"/>
      <w:jc w:val="both"/>
    </w:pPr>
    <w:rPr>
      <w:sz w:val="20"/>
      <w:szCs w:val="20"/>
      <w:lang w:val="en-GB" w:eastAsia="en-US"/>
    </w:rPr>
  </w:style>
  <w:style w:type="character" w:customStyle="1" w:styleId="Char5">
    <w:name w:val="نص تعليق ختامي Char"/>
    <w:basedOn w:val="a0"/>
    <w:link w:val="af1"/>
    <w:semiHidden/>
    <w:rsid w:val="00EB5FFB"/>
    <w:rPr>
      <w:rFonts w:ascii="Times New Roman" w:hAnsi="Times New Roman"/>
      <w:sz w:val="20"/>
      <w:szCs w:val="20"/>
      <w:lang w:val="en-GB"/>
    </w:rPr>
  </w:style>
  <w:style w:type="character" w:styleId="af2">
    <w:name w:val="endnote reference"/>
    <w:basedOn w:val="a0"/>
    <w:semiHidden/>
    <w:rsid w:val="00EB5FFB"/>
    <w:rPr>
      <w:vertAlign w:val="superscript"/>
    </w:rPr>
  </w:style>
  <w:style w:type="paragraph" w:customStyle="1" w:styleId="Normal1">
    <w:name w:val="Normal1"/>
    <w:basedOn w:val="a"/>
    <w:rsid w:val="00EB5FFB"/>
    <w:pPr>
      <w:widowControl/>
      <w:ind w:left="567" w:firstLine="0"/>
      <w:jc w:val="both"/>
    </w:pPr>
    <w:rPr>
      <w:sz w:val="20"/>
      <w:szCs w:val="36"/>
      <w:lang w:eastAsia="en-US"/>
    </w:rPr>
  </w:style>
  <w:style w:type="paragraph" w:customStyle="1" w:styleId="af3">
    <w:name w:val="القاعدة"/>
    <w:basedOn w:val="ae"/>
    <w:rsid w:val="00EB5FFB"/>
    <w:pPr>
      <w:jc w:val="center"/>
    </w:pPr>
    <w:rPr>
      <w:rFonts w:cs="Jaridah"/>
      <w:szCs w:val="40"/>
      <w:lang w:val="en-US"/>
    </w:rPr>
  </w:style>
  <w:style w:type="paragraph" w:customStyle="1" w:styleId="hichem">
    <w:name w:val="hichem"/>
    <w:basedOn w:val="a6"/>
    <w:rsid w:val="00EB5FFB"/>
    <w:pPr>
      <w:ind w:hanging="567"/>
    </w:pPr>
  </w:style>
  <w:style w:type="paragraph" w:customStyle="1" w:styleId="Hichem0">
    <w:name w:val="Hichem"/>
    <w:rsid w:val="00EB5FFB"/>
    <w:pPr>
      <w:spacing w:after="0" w:line="240" w:lineRule="auto"/>
      <w:ind w:hanging="284"/>
      <w:jc w:val="both"/>
    </w:pPr>
    <w:rPr>
      <w:rFonts w:ascii="Times New Roman" w:hAnsi="Times New Roman"/>
      <w:sz w:val="20"/>
      <w:szCs w:val="30"/>
    </w:rPr>
  </w:style>
  <w:style w:type="paragraph" w:styleId="21">
    <w:name w:val="Body Text Indent 2"/>
    <w:basedOn w:val="a"/>
    <w:link w:val="2Char1"/>
    <w:rsid w:val="00EB5FFB"/>
    <w:pPr>
      <w:widowControl/>
      <w:ind w:firstLine="567"/>
      <w:jc w:val="both"/>
    </w:pPr>
    <w:rPr>
      <w:b/>
      <w:bCs/>
      <w:sz w:val="20"/>
      <w:szCs w:val="36"/>
      <w:lang w:val="en-GB" w:eastAsia="en-US"/>
    </w:rPr>
  </w:style>
  <w:style w:type="character" w:customStyle="1" w:styleId="2Char1">
    <w:name w:val="نص أساسي بمسافة بادئة 2 Char"/>
    <w:basedOn w:val="a0"/>
    <w:link w:val="21"/>
    <w:rsid w:val="00EB5FFB"/>
    <w:rPr>
      <w:rFonts w:ascii="Times New Roman" w:hAnsi="Times New Roman"/>
      <w:b/>
      <w:bCs/>
      <w:sz w:val="20"/>
      <w:lang w:val="en-GB"/>
    </w:rPr>
  </w:style>
  <w:style w:type="paragraph" w:styleId="30">
    <w:name w:val="Body Text Indent 3"/>
    <w:basedOn w:val="a"/>
    <w:link w:val="3Char0"/>
    <w:rsid w:val="00EB5FFB"/>
    <w:pPr>
      <w:widowControl/>
      <w:ind w:left="567" w:firstLine="0"/>
      <w:jc w:val="both"/>
    </w:pPr>
    <w:rPr>
      <w:sz w:val="20"/>
      <w:szCs w:val="36"/>
      <w:lang w:val="en-GB" w:eastAsia="en-US"/>
    </w:rPr>
  </w:style>
  <w:style w:type="character" w:customStyle="1" w:styleId="3Char0">
    <w:name w:val="نص أساسي بمسافة بادئة 3 Char"/>
    <w:basedOn w:val="a0"/>
    <w:link w:val="30"/>
    <w:rsid w:val="00EB5FFB"/>
    <w:rPr>
      <w:rFonts w:ascii="Times New Roman" w:hAnsi="Times New Roman"/>
      <w:sz w:val="20"/>
      <w:lang w:val="en-GB"/>
    </w:rPr>
  </w:style>
  <w:style w:type="character" w:customStyle="1" w:styleId="Char2">
    <w:name w:val="قاعدة Char"/>
    <w:link w:val="a9"/>
    <w:rsid w:val="00783D87"/>
    <w:rPr>
      <w:rFonts w:ascii="Times New Roman" w:hAnsi="Times New Roman" w:cs="Al-Kharashi 62"/>
      <w:sz w:val="48"/>
      <w:lang w:val="en-GB"/>
    </w:rPr>
  </w:style>
  <w:style w:type="paragraph" w:styleId="af4">
    <w:name w:val="Title"/>
    <w:basedOn w:val="a"/>
    <w:link w:val="Char6"/>
    <w:qFormat/>
    <w:rsid w:val="00284270"/>
    <w:pPr>
      <w:widowControl/>
      <w:ind w:firstLine="567"/>
      <w:jc w:val="center"/>
    </w:pPr>
    <w:rPr>
      <w:rFonts w:cs="Al-Kharashi 63"/>
      <w:sz w:val="48"/>
      <w:szCs w:val="48"/>
      <w:lang w:val="en-GB" w:eastAsia="en-US" w:bidi="ar-AE"/>
    </w:rPr>
  </w:style>
  <w:style w:type="character" w:customStyle="1" w:styleId="Char6">
    <w:name w:val="العنوان Char"/>
    <w:basedOn w:val="a0"/>
    <w:link w:val="af4"/>
    <w:rsid w:val="00284270"/>
    <w:rPr>
      <w:rFonts w:ascii="Times New Roman" w:hAnsi="Times New Roman" w:cs="Al-Kharashi 63"/>
      <w:sz w:val="48"/>
      <w:szCs w:val="48"/>
      <w:lang w:val="en-GB" w:bidi="ar-AE"/>
    </w:rPr>
  </w:style>
  <w:style w:type="paragraph" w:customStyle="1" w:styleId="hhhhhh">
    <w:name w:val="hhhhhh"/>
    <w:basedOn w:val="a"/>
    <w:rsid w:val="00284270"/>
    <w:pPr>
      <w:widowControl/>
      <w:ind w:right="-170" w:firstLine="567"/>
      <w:jc w:val="both"/>
    </w:pPr>
    <w:rPr>
      <w:sz w:val="20"/>
      <w:szCs w:val="38"/>
      <w:lang w:val="en-GB" w:eastAsia="en-US" w:bidi="ar-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8.xml"/><Relationship Id="rId299" Type="http://schemas.openxmlformats.org/officeDocument/2006/relationships/header" Target="header258.xml"/><Relationship Id="rId21" Type="http://schemas.openxmlformats.org/officeDocument/2006/relationships/header" Target="header7.xml"/><Relationship Id="rId63" Type="http://schemas.openxmlformats.org/officeDocument/2006/relationships/footer" Target="footer22.xml"/><Relationship Id="rId159" Type="http://schemas.openxmlformats.org/officeDocument/2006/relationships/header" Target="header120.xml"/><Relationship Id="rId324" Type="http://schemas.openxmlformats.org/officeDocument/2006/relationships/header" Target="header281.xml"/><Relationship Id="rId170" Type="http://schemas.openxmlformats.org/officeDocument/2006/relationships/header" Target="header131.xml"/><Relationship Id="rId226" Type="http://schemas.openxmlformats.org/officeDocument/2006/relationships/header" Target="header187.xml"/><Relationship Id="rId268" Type="http://schemas.openxmlformats.org/officeDocument/2006/relationships/header" Target="header229.xml"/><Relationship Id="rId32" Type="http://schemas.openxmlformats.org/officeDocument/2006/relationships/header" Target="header14.xml"/><Relationship Id="rId74" Type="http://schemas.openxmlformats.org/officeDocument/2006/relationships/footer" Target="footer27.xml"/><Relationship Id="rId128" Type="http://schemas.openxmlformats.org/officeDocument/2006/relationships/header" Target="header89.xml"/><Relationship Id="rId5" Type="http://schemas.openxmlformats.org/officeDocument/2006/relationships/webSettings" Target="webSettings.xml"/><Relationship Id="rId181" Type="http://schemas.openxmlformats.org/officeDocument/2006/relationships/header" Target="header142.xml"/><Relationship Id="rId237" Type="http://schemas.openxmlformats.org/officeDocument/2006/relationships/header" Target="header198.xml"/><Relationship Id="rId279" Type="http://schemas.openxmlformats.org/officeDocument/2006/relationships/header" Target="header240.xml"/><Relationship Id="rId43" Type="http://schemas.openxmlformats.org/officeDocument/2006/relationships/header" Target="header21.xml"/><Relationship Id="rId139" Type="http://schemas.openxmlformats.org/officeDocument/2006/relationships/header" Target="header100.xml"/><Relationship Id="rId290" Type="http://schemas.openxmlformats.org/officeDocument/2006/relationships/header" Target="header249.xml"/><Relationship Id="rId304" Type="http://schemas.openxmlformats.org/officeDocument/2006/relationships/header" Target="header263.xml"/><Relationship Id="rId85" Type="http://schemas.openxmlformats.org/officeDocument/2006/relationships/header" Target="header46.xml"/><Relationship Id="rId150" Type="http://schemas.openxmlformats.org/officeDocument/2006/relationships/header" Target="header111.xml"/><Relationship Id="rId192" Type="http://schemas.openxmlformats.org/officeDocument/2006/relationships/header" Target="header153.xml"/><Relationship Id="rId206" Type="http://schemas.openxmlformats.org/officeDocument/2006/relationships/header" Target="header167.xml"/><Relationship Id="rId248" Type="http://schemas.openxmlformats.org/officeDocument/2006/relationships/header" Target="header209.xml"/><Relationship Id="rId12" Type="http://schemas.openxmlformats.org/officeDocument/2006/relationships/footer" Target="footer2.xml"/><Relationship Id="rId108" Type="http://schemas.openxmlformats.org/officeDocument/2006/relationships/header" Target="header69.xml"/><Relationship Id="rId315" Type="http://schemas.openxmlformats.org/officeDocument/2006/relationships/header" Target="header272.xml"/><Relationship Id="rId54" Type="http://schemas.openxmlformats.org/officeDocument/2006/relationships/footer" Target="footer17.xml"/><Relationship Id="rId96" Type="http://schemas.openxmlformats.org/officeDocument/2006/relationships/header" Target="header57.xml"/><Relationship Id="rId161" Type="http://schemas.openxmlformats.org/officeDocument/2006/relationships/header" Target="header122.xml"/><Relationship Id="rId217" Type="http://schemas.openxmlformats.org/officeDocument/2006/relationships/header" Target="header178.xml"/><Relationship Id="rId259" Type="http://schemas.openxmlformats.org/officeDocument/2006/relationships/header" Target="header220.xml"/><Relationship Id="rId23" Type="http://schemas.openxmlformats.org/officeDocument/2006/relationships/header" Target="header9.xml"/><Relationship Id="rId119" Type="http://schemas.openxmlformats.org/officeDocument/2006/relationships/header" Target="header80.xml"/><Relationship Id="rId270" Type="http://schemas.openxmlformats.org/officeDocument/2006/relationships/header" Target="header231.xml"/><Relationship Id="rId326" Type="http://schemas.openxmlformats.org/officeDocument/2006/relationships/header" Target="header283.xml"/><Relationship Id="rId65" Type="http://schemas.openxmlformats.org/officeDocument/2006/relationships/header" Target="header33.xml"/><Relationship Id="rId130" Type="http://schemas.openxmlformats.org/officeDocument/2006/relationships/header" Target="header91.xml"/><Relationship Id="rId172" Type="http://schemas.openxmlformats.org/officeDocument/2006/relationships/header" Target="header133.xml"/><Relationship Id="rId228" Type="http://schemas.openxmlformats.org/officeDocument/2006/relationships/header" Target="header189.xml"/><Relationship Id="rId281" Type="http://schemas.openxmlformats.org/officeDocument/2006/relationships/footer" Target="footer31.xml"/><Relationship Id="rId34" Type="http://schemas.openxmlformats.org/officeDocument/2006/relationships/header" Target="header16.xml"/><Relationship Id="rId76" Type="http://schemas.openxmlformats.org/officeDocument/2006/relationships/header" Target="header38.xml"/><Relationship Id="rId141" Type="http://schemas.openxmlformats.org/officeDocument/2006/relationships/header" Target="header102.xml"/><Relationship Id="rId7" Type="http://schemas.openxmlformats.org/officeDocument/2006/relationships/endnotes" Target="endnotes.xml"/><Relationship Id="rId183" Type="http://schemas.openxmlformats.org/officeDocument/2006/relationships/header" Target="header144.xml"/><Relationship Id="rId239" Type="http://schemas.openxmlformats.org/officeDocument/2006/relationships/header" Target="header200.xml"/><Relationship Id="rId250" Type="http://schemas.openxmlformats.org/officeDocument/2006/relationships/header" Target="header211.xml"/><Relationship Id="rId271" Type="http://schemas.openxmlformats.org/officeDocument/2006/relationships/header" Target="header232.xml"/><Relationship Id="rId292" Type="http://schemas.openxmlformats.org/officeDocument/2006/relationships/header" Target="header251.xml"/><Relationship Id="rId306" Type="http://schemas.openxmlformats.org/officeDocument/2006/relationships/header" Target="header265.xml"/><Relationship Id="rId24" Type="http://schemas.openxmlformats.org/officeDocument/2006/relationships/footer" Target="footer5.xml"/><Relationship Id="rId45" Type="http://schemas.openxmlformats.org/officeDocument/2006/relationships/header" Target="header23.xml"/><Relationship Id="rId66" Type="http://schemas.openxmlformats.org/officeDocument/2006/relationships/footer" Target="footer23.xml"/><Relationship Id="rId87" Type="http://schemas.openxmlformats.org/officeDocument/2006/relationships/header" Target="header48.xml"/><Relationship Id="rId110" Type="http://schemas.openxmlformats.org/officeDocument/2006/relationships/header" Target="header71.xml"/><Relationship Id="rId131" Type="http://schemas.openxmlformats.org/officeDocument/2006/relationships/header" Target="header92.xml"/><Relationship Id="rId327" Type="http://schemas.openxmlformats.org/officeDocument/2006/relationships/header" Target="header284.xml"/><Relationship Id="rId152" Type="http://schemas.openxmlformats.org/officeDocument/2006/relationships/header" Target="header113.xml"/><Relationship Id="rId173" Type="http://schemas.openxmlformats.org/officeDocument/2006/relationships/header" Target="header134.xml"/><Relationship Id="rId194" Type="http://schemas.openxmlformats.org/officeDocument/2006/relationships/header" Target="header155.xml"/><Relationship Id="rId208" Type="http://schemas.openxmlformats.org/officeDocument/2006/relationships/header" Target="header169.xml"/><Relationship Id="rId229" Type="http://schemas.openxmlformats.org/officeDocument/2006/relationships/header" Target="header190.xml"/><Relationship Id="rId240" Type="http://schemas.openxmlformats.org/officeDocument/2006/relationships/header" Target="header201.xml"/><Relationship Id="rId261" Type="http://schemas.openxmlformats.org/officeDocument/2006/relationships/header" Target="header222.xml"/><Relationship Id="rId14" Type="http://schemas.openxmlformats.org/officeDocument/2006/relationships/header" Target="header4.xml"/><Relationship Id="rId35" Type="http://schemas.openxmlformats.org/officeDocument/2006/relationships/header" Target="header17.xml"/><Relationship Id="rId56" Type="http://schemas.openxmlformats.org/officeDocument/2006/relationships/header" Target="header28.xml"/><Relationship Id="rId77" Type="http://schemas.openxmlformats.org/officeDocument/2006/relationships/header" Target="header39.xml"/><Relationship Id="rId100" Type="http://schemas.openxmlformats.org/officeDocument/2006/relationships/header" Target="header61.xml"/><Relationship Id="rId282" Type="http://schemas.openxmlformats.org/officeDocument/2006/relationships/header" Target="header241.xml"/><Relationship Id="rId317" Type="http://schemas.openxmlformats.org/officeDocument/2006/relationships/header" Target="header274.xml"/><Relationship Id="rId8" Type="http://schemas.openxmlformats.org/officeDocument/2006/relationships/image" Target="media/image1.png"/><Relationship Id="rId98" Type="http://schemas.openxmlformats.org/officeDocument/2006/relationships/header" Target="header59.xml"/><Relationship Id="rId121" Type="http://schemas.openxmlformats.org/officeDocument/2006/relationships/header" Target="header82.xml"/><Relationship Id="rId142" Type="http://schemas.openxmlformats.org/officeDocument/2006/relationships/header" Target="header103.xml"/><Relationship Id="rId163" Type="http://schemas.openxmlformats.org/officeDocument/2006/relationships/header" Target="header124.xml"/><Relationship Id="rId184" Type="http://schemas.openxmlformats.org/officeDocument/2006/relationships/header" Target="header145.xml"/><Relationship Id="rId219" Type="http://schemas.openxmlformats.org/officeDocument/2006/relationships/header" Target="header180.xml"/><Relationship Id="rId230" Type="http://schemas.openxmlformats.org/officeDocument/2006/relationships/header" Target="header191.xml"/><Relationship Id="rId251" Type="http://schemas.openxmlformats.org/officeDocument/2006/relationships/header" Target="header212.xml"/><Relationship Id="rId25" Type="http://schemas.openxmlformats.org/officeDocument/2006/relationships/footer" Target="footer6.xml"/><Relationship Id="rId46" Type="http://schemas.openxmlformats.org/officeDocument/2006/relationships/footer" Target="footer13.xml"/><Relationship Id="rId67" Type="http://schemas.openxmlformats.org/officeDocument/2006/relationships/footer" Target="footer24.xml"/><Relationship Id="rId272" Type="http://schemas.openxmlformats.org/officeDocument/2006/relationships/header" Target="header233.xml"/><Relationship Id="rId293" Type="http://schemas.openxmlformats.org/officeDocument/2006/relationships/header" Target="header252.xml"/><Relationship Id="rId307" Type="http://schemas.openxmlformats.org/officeDocument/2006/relationships/header" Target="header266.xml"/><Relationship Id="rId328" Type="http://schemas.openxmlformats.org/officeDocument/2006/relationships/header" Target="header285.xml"/><Relationship Id="rId88" Type="http://schemas.openxmlformats.org/officeDocument/2006/relationships/header" Target="header49.xml"/><Relationship Id="rId111" Type="http://schemas.openxmlformats.org/officeDocument/2006/relationships/header" Target="header72.xml"/><Relationship Id="rId132" Type="http://schemas.openxmlformats.org/officeDocument/2006/relationships/header" Target="header93.xml"/><Relationship Id="rId153" Type="http://schemas.openxmlformats.org/officeDocument/2006/relationships/header" Target="header114.xml"/><Relationship Id="rId174" Type="http://schemas.openxmlformats.org/officeDocument/2006/relationships/header" Target="header135.xml"/><Relationship Id="rId195" Type="http://schemas.openxmlformats.org/officeDocument/2006/relationships/header" Target="header156.xml"/><Relationship Id="rId209" Type="http://schemas.openxmlformats.org/officeDocument/2006/relationships/header" Target="header170.xml"/><Relationship Id="rId220" Type="http://schemas.openxmlformats.org/officeDocument/2006/relationships/header" Target="header181.xml"/><Relationship Id="rId241" Type="http://schemas.openxmlformats.org/officeDocument/2006/relationships/header" Target="header202.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header" Target="header29.xml"/><Relationship Id="rId262" Type="http://schemas.openxmlformats.org/officeDocument/2006/relationships/header" Target="header223.xml"/><Relationship Id="rId283" Type="http://schemas.openxmlformats.org/officeDocument/2006/relationships/header" Target="header242.xml"/><Relationship Id="rId318" Type="http://schemas.openxmlformats.org/officeDocument/2006/relationships/header" Target="header275.xml"/><Relationship Id="rId78" Type="http://schemas.openxmlformats.org/officeDocument/2006/relationships/header" Target="header40.xml"/><Relationship Id="rId99" Type="http://schemas.openxmlformats.org/officeDocument/2006/relationships/header" Target="header60.xml"/><Relationship Id="rId101" Type="http://schemas.openxmlformats.org/officeDocument/2006/relationships/header" Target="header62.xml"/><Relationship Id="rId122" Type="http://schemas.openxmlformats.org/officeDocument/2006/relationships/header" Target="header83.xml"/><Relationship Id="rId143" Type="http://schemas.openxmlformats.org/officeDocument/2006/relationships/header" Target="header104.xml"/><Relationship Id="rId164" Type="http://schemas.openxmlformats.org/officeDocument/2006/relationships/header" Target="header125.xml"/><Relationship Id="rId185" Type="http://schemas.openxmlformats.org/officeDocument/2006/relationships/header" Target="header146.xml"/><Relationship Id="rId9" Type="http://schemas.openxmlformats.org/officeDocument/2006/relationships/header" Target="header1.xml"/><Relationship Id="rId210" Type="http://schemas.openxmlformats.org/officeDocument/2006/relationships/header" Target="header171.xml"/><Relationship Id="rId26" Type="http://schemas.openxmlformats.org/officeDocument/2006/relationships/header" Target="header10.xml"/><Relationship Id="rId231" Type="http://schemas.openxmlformats.org/officeDocument/2006/relationships/header" Target="header192.xml"/><Relationship Id="rId252" Type="http://schemas.openxmlformats.org/officeDocument/2006/relationships/header" Target="header213.xml"/><Relationship Id="rId273" Type="http://schemas.openxmlformats.org/officeDocument/2006/relationships/header" Target="header234.xml"/><Relationship Id="rId294" Type="http://schemas.openxmlformats.org/officeDocument/2006/relationships/header" Target="header253.xml"/><Relationship Id="rId308" Type="http://schemas.openxmlformats.org/officeDocument/2006/relationships/header" Target="header267.xml"/><Relationship Id="rId329" Type="http://schemas.openxmlformats.org/officeDocument/2006/relationships/header" Target="header286.xml"/><Relationship Id="rId47" Type="http://schemas.openxmlformats.org/officeDocument/2006/relationships/footer" Target="footer14.xml"/><Relationship Id="rId68" Type="http://schemas.openxmlformats.org/officeDocument/2006/relationships/header" Target="header34.xml"/><Relationship Id="rId89" Type="http://schemas.openxmlformats.org/officeDocument/2006/relationships/header" Target="header50.xml"/><Relationship Id="rId112" Type="http://schemas.openxmlformats.org/officeDocument/2006/relationships/header" Target="header73.xml"/><Relationship Id="rId133" Type="http://schemas.openxmlformats.org/officeDocument/2006/relationships/header" Target="header94.xml"/><Relationship Id="rId154" Type="http://schemas.openxmlformats.org/officeDocument/2006/relationships/header" Target="header115.xml"/><Relationship Id="rId175" Type="http://schemas.openxmlformats.org/officeDocument/2006/relationships/header" Target="header136.xml"/><Relationship Id="rId196" Type="http://schemas.openxmlformats.org/officeDocument/2006/relationships/header" Target="header157.xml"/><Relationship Id="rId200" Type="http://schemas.openxmlformats.org/officeDocument/2006/relationships/header" Target="header161.xml"/><Relationship Id="rId16" Type="http://schemas.openxmlformats.org/officeDocument/2006/relationships/footer" Target="footer4.xml"/><Relationship Id="rId221" Type="http://schemas.openxmlformats.org/officeDocument/2006/relationships/header" Target="header182.xml"/><Relationship Id="rId242" Type="http://schemas.openxmlformats.org/officeDocument/2006/relationships/header" Target="header203.xml"/><Relationship Id="rId263" Type="http://schemas.openxmlformats.org/officeDocument/2006/relationships/header" Target="header224.xml"/><Relationship Id="rId284" Type="http://schemas.openxmlformats.org/officeDocument/2006/relationships/header" Target="header243.xml"/><Relationship Id="rId319" Type="http://schemas.openxmlformats.org/officeDocument/2006/relationships/header" Target="header276.xml"/><Relationship Id="rId37" Type="http://schemas.openxmlformats.org/officeDocument/2006/relationships/footer" Target="footer10.xml"/><Relationship Id="rId58" Type="http://schemas.openxmlformats.org/officeDocument/2006/relationships/footer" Target="footer19.xml"/><Relationship Id="rId79" Type="http://schemas.openxmlformats.org/officeDocument/2006/relationships/header" Target="header41.xml"/><Relationship Id="rId102" Type="http://schemas.openxmlformats.org/officeDocument/2006/relationships/header" Target="header63.xml"/><Relationship Id="rId123" Type="http://schemas.openxmlformats.org/officeDocument/2006/relationships/header" Target="header84.xml"/><Relationship Id="rId144" Type="http://schemas.openxmlformats.org/officeDocument/2006/relationships/header" Target="header105.xml"/><Relationship Id="rId330" Type="http://schemas.openxmlformats.org/officeDocument/2006/relationships/fontTable" Target="fontTable.xml"/><Relationship Id="rId90" Type="http://schemas.openxmlformats.org/officeDocument/2006/relationships/header" Target="header51.xml"/><Relationship Id="rId165" Type="http://schemas.openxmlformats.org/officeDocument/2006/relationships/header" Target="header126.xml"/><Relationship Id="rId186" Type="http://schemas.openxmlformats.org/officeDocument/2006/relationships/header" Target="header147.xml"/><Relationship Id="rId211" Type="http://schemas.openxmlformats.org/officeDocument/2006/relationships/header" Target="header172.xml"/><Relationship Id="rId232" Type="http://schemas.openxmlformats.org/officeDocument/2006/relationships/header" Target="header193.xml"/><Relationship Id="rId253" Type="http://schemas.openxmlformats.org/officeDocument/2006/relationships/header" Target="header214.xml"/><Relationship Id="rId274" Type="http://schemas.openxmlformats.org/officeDocument/2006/relationships/header" Target="header235.xml"/><Relationship Id="rId295" Type="http://schemas.openxmlformats.org/officeDocument/2006/relationships/header" Target="header254.xml"/><Relationship Id="rId309" Type="http://schemas.openxmlformats.org/officeDocument/2006/relationships/header" Target="header268.xml"/><Relationship Id="rId27" Type="http://schemas.openxmlformats.org/officeDocument/2006/relationships/header" Target="header11.xml"/><Relationship Id="rId48" Type="http://schemas.openxmlformats.org/officeDocument/2006/relationships/header" Target="header24.xml"/><Relationship Id="rId69" Type="http://schemas.openxmlformats.org/officeDocument/2006/relationships/header" Target="header35.xml"/><Relationship Id="rId113" Type="http://schemas.openxmlformats.org/officeDocument/2006/relationships/header" Target="header74.xml"/><Relationship Id="rId134" Type="http://schemas.openxmlformats.org/officeDocument/2006/relationships/header" Target="header95.xml"/><Relationship Id="rId320" Type="http://schemas.openxmlformats.org/officeDocument/2006/relationships/header" Target="header277.xml"/><Relationship Id="rId80" Type="http://schemas.openxmlformats.org/officeDocument/2006/relationships/header" Target="header42.xml"/><Relationship Id="rId155" Type="http://schemas.openxmlformats.org/officeDocument/2006/relationships/header" Target="header116.xml"/><Relationship Id="rId176" Type="http://schemas.openxmlformats.org/officeDocument/2006/relationships/header" Target="header137.xml"/><Relationship Id="rId197" Type="http://schemas.openxmlformats.org/officeDocument/2006/relationships/header" Target="header158.xml"/><Relationship Id="rId201" Type="http://schemas.openxmlformats.org/officeDocument/2006/relationships/header" Target="header162.xml"/><Relationship Id="rId222" Type="http://schemas.openxmlformats.org/officeDocument/2006/relationships/header" Target="header183.xml"/><Relationship Id="rId243" Type="http://schemas.openxmlformats.org/officeDocument/2006/relationships/header" Target="header204.xml"/><Relationship Id="rId264" Type="http://schemas.openxmlformats.org/officeDocument/2006/relationships/header" Target="header225.xml"/><Relationship Id="rId285" Type="http://schemas.openxmlformats.org/officeDocument/2006/relationships/header" Target="header244.xml"/><Relationship Id="rId17" Type="http://schemas.openxmlformats.org/officeDocument/2006/relationships/hyperlink" Target="mailto:k44haled@hotmail.com" TargetMode="External"/><Relationship Id="rId38" Type="http://schemas.openxmlformats.org/officeDocument/2006/relationships/header" Target="header18.xml"/><Relationship Id="rId59" Type="http://schemas.openxmlformats.org/officeDocument/2006/relationships/footer" Target="footer20.xml"/><Relationship Id="rId103" Type="http://schemas.openxmlformats.org/officeDocument/2006/relationships/header" Target="header64.xml"/><Relationship Id="rId124" Type="http://schemas.openxmlformats.org/officeDocument/2006/relationships/header" Target="header85.xml"/><Relationship Id="rId310" Type="http://schemas.openxmlformats.org/officeDocument/2006/relationships/header" Target="header269.xml"/><Relationship Id="rId70" Type="http://schemas.openxmlformats.org/officeDocument/2006/relationships/footer" Target="footer25.xml"/><Relationship Id="rId91" Type="http://schemas.openxmlformats.org/officeDocument/2006/relationships/header" Target="header52.xml"/><Relationship Id="rId145" Type="http://schemas.openxmlformats.org/officeDocument/2006/relationships/header" Target="header106.xml"/><Relationship Id="rId166" Type="http://schemas.openxmlformats.org/officeDocument/2006/relationships/header" Target="header127.xml"/><Relationship Id="rId187" Type="http://schemas.openxmlformats.org/officeDocument/2006/relationships/header" Target="header148.xm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eader" Target="header173.xml"/><Relationship Id="rId233" Type="http://schemas.openxmlformats.org/officeDocument/2006/relationships/header" Target="header194.xml"/><Relationship Id="rId254" Type="http://schemas.openxmlformats.org/officeDocument/2006/relationships/header" Target="header215.xml"/><Relationship Id="rId28" Type="http://schemas.openxmlformats.org/officeDocument/2006/relationships/footer" Target="footer7.xml"/><Relationship Id="rId49" Type="http://schemas.openxmlformats.org/officeDocument/2006/relationships/header" Target="header25.xml"/><Relationship Id="rId114" Type="http://schemas.openxmlformats.org/officeDocument/2006/relationships/header" Target="header75.xml"/><Relationship Id="rId275" Type="http://schemas.openxmlformats.org/officeDocument/2006/relationships/header" Target="header236.xml"/><Relationship Id="rId296" Type="http://schemas.openxmlformats.org/officeDocument/2006/relationships/header" Target="header255.xml"/><Relationship Id="rId300" Type="http://schemas.openxmlformats.org/officeDocument/2006/relationships/header" Target="header259.xml"/><Relationship Id="rId60" Type="http://schemas.openxmlformats.org/officeDocument/2006/relationships/header" Target="header30.xml"/><Relationship Id="rId81" Type="http://schemas.openxmlformats.org/officeDocument/2006/relationships/header" Target="header43.xml"/><Relationship Id="rId135" Type="http://schemas.openxmlformats.org/officeDocument/2006/relationships/header" Target="header96.xml"/><Relationship Id="rId156" Type="http://schemas.openxmlformats.org/officeDocument/2006/relationships/header" Target="header117.xml"/><Relationship Id="rId177" Type="http://schemas.openxmlformats.org/officeDocument/2006/relationships/header" Target="header138.xml"/><Relationship Id="rId198" Type="http://schemas.openxmlformats.org/officeDocument/2006/relationships/header" Target="header159.xml"/><Relationship Id="rId321" Type="http://schemas.openxmlformats.org/officeDocument/2006/relationships/header" Target="header278.xml"/><Relationship Id="rId202" Type="http://schemas.openxmlformats.org/officeDocument/2006/relationships/header" Target="header163.xml"/><Relationship Id="rId223" Type="http://schemas.openxmlformats.org/officeDocument/2006/relationships/header" Target="header184.xml"/><Relationship Id="rId244" Type="http://schemas.openxmlformats.org/officeDocument/2006/relationships/header" Target="header205.xml"/><Relationship Id="rId18" Type="http://schemas.openxmlformats.org/officeDocument/2006/relationships/header" Target="header5.xml"/><Relationship Id="rId39" Type="http://schemas.openxmlformats.org/officeDocument/2006/relationships/header" Target="header19.xml"/><Relationship Id="rId265" Type="http://schemas.openxmlformats.org/officeDocument/2006/relationships/header" Target="header226.xml"/><Relationship Id="rId286" Type="http://schemas.openxmlformats.org/officeDocument/2006/relationships/header" Target="header245.xml"/><Relationship Id="rId50" Type="http://schemas.openxmlformats.org/officeDocument/2006/relationships/footer" Target="footer15.xml"/><Relationship Id="rId104" Type="http://schemas.openxmlformats.org/officeDocument/2006/relationships/header" Target="header65.xml"/><Relationship Id="rId125" Type="http://schemas.openxmlformats.org/officeDocument/2006/relationships/header" Target="header86.xml"/><Relationship Id="rId146" Type="http://schemas.openxmlformats.org/officeDocument/2006/relationships/header" Target="header107.xml"/><Relationship Id="rId167" Type="http://schemas.openxmlformats.org/officeDocument/2006/relationships/header" Target="header128.xml"/><Relationship Id="rId188" Type="http://schemas.openxmlformats.org/officeDocument/2006/relationships/header" Target="header149.xml"/><Relationship Id="rId311" Type="http://schemas.openxmlformats.org/officeDocument/2006/relationships/header" Target="header270.xml"/><Relationship Id="rId71" Type="http://schemas.openxmlformats.org/officeDocument/2006/relationships/footer" Target="footer26.xml"/><Relationship Id="rId92" Type="http://schemas.openxmlformats.org/officeDocument/2006/relationships/header" Target="header53.xml"/><Relationship Id="rId213" Type="http://schemas.openxmlformats.org/officeDocument/2006/relationships/header" Target="header174.xml"/><Relationship Id="rId234" Type="http://schemas.openxmlformats.org/officeDocument/2006/relationships/header" Target="header195.xm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header" Target="header216.xml"/><Relationship Id="rId276" Type="http://schemas.openxmlformats.org/officeDocument/2006/relationships/header" Target="header237.xml"/><Relationship Id="rId297" Type="http://schemas.openxmlformats.org/officeDocument/2006/relationships/header" Target="header256.xml"/><Relationship Id="rId40" Type="http://schemas.openxmlformats.org/officeDocument/2006/relationships/footer" Target="footer11.xml"/><Relationship Id="rId115" Type="http://schemas.openxmlformats.org/officeDocument/2006/relationships/header" Target="header76.xml"/><Relationship Id="rId136" Type="http://schemas.openxmlformats.org/officeDocument/2006/relationships/header" Target="header97.xml"/><Relationship Id="rId157" Type="http://schemas.openxmlformats.org/officeDocument/2006/relationships/header" Target="header118.xml"/><Relationship Id="rId178" Type="http://schemas.openxmlformats.org/officeDocument/2006/relationships/header" Target="header139.xml"/><Relationship Id="rId301" Type="http://schemas.openxmlformats.org/officeDocument/2006/relationships/header" Target="header260.xml"/><Relationship Id="rId322" Type="http://schemas.openxmlformats.org/officeDocument/2006/relationships/header" Target="header279.xml"/><Relationship Id="rId61" Type="http://schemas.openxmlformats.org/officeDocument/2006/relationships/header" Target="header31.xml"/><Relationship Id="rId82" Type="http://schemas.openxmlformats.org/officeDocument/2006/relationships/header" Target="header44.xml"/><Relationship Id="rId199" Type="http://schemas.openxmlformats.org/officeDocument/2006/relationships/header" Target="header160.xml"/><Relationship Id="rId203" Type="http://schemas.openxmlformats.org/officeDocument/2006/relationships/header" Target="header164.xml"/><Relationship Id="rId19" Type="http://schemas.openxmlformats.org/officeDocument/2006/relationships/header" Target="header6.xml"/><Relationship Id="rId224" Type="http://schemas.openxmlformats.org/officeDocument/2006/relationships/header" Target="header185.xml"/><Relationship Id="rId245" Type="http://schemas.openxmlformats.org/officeDocument/2006/relationships/header" Target="header206.xml"/><Relationship Id="rId266" Type="http://schemas.openxmlformats.org/officeDocument/2006/relationships/header" Target="header227.xml"/><Relationship Id="rId287" Type="http://schemas.openxmlformats.org/officeDocument/2006/relationships/header" Target="header246.xml"/><Relationship Id="rId30" Type="http://schemas.openxmlformats.org/officeDocument/2006/relationships/header" Target="header12.xml"/><Relationship Id="rId105" Type="http://schemas.openxmlformats.org/officeDocument/2006/relationships/header" Target="header66.xml"/><Relationship Id="rId126" Type="http://schemas.openxmlformats.org/officeDocument/2006/relationships/header" Target="header87.xml"/><Relationship Id="rId147" Type="http://schemas.openxmlformats.org/officeDocument/2006/relationships/header" Target="header108.xml"/><Relationship Id="rId168" Type="http://schemas.openxmlformats.org/officeDocument/2006/relationships/header" Target="header129.xml"/><Relationship Id="rId312" Type="http://schemas.openxmlformats.org/officeDocument/2006/relationships/footer" Target="footer32.xml"/><Relationship Id="rId51" Type="http://schemas.openxmlformats.org/officeDocument/2006/relationships/footer" Target="footer16.xml"/><Relationship Id="rId72" Type="http://schemas.openxmlformats.org/officeDocument/2006/relationships/header" Target="header36.xml"/><Relationship Id="rId93" Type="http://schemas.openxmlformats.org/officeDocument/2006/relationships/header" Target="header54.xml"/><Relationship Id="rId189" Type="http://schemas.openxmlformats.org/officeDocument/2006/relationships/header" Target="header150.xml"/><Relationship Id="rId3" Type="http://schemas.openxmlformats.org/officeDocument/2006/relationships/styles" Target="styles.xml"/><Relationship Id="rId214" Type="http://schemas.openxmlformats.org/officeDocument/2006/relationships/header" Target="header175.xml"/><Relationship Id="rId235" Type="http://schemas.openxmlformats.org/officeDocument/2006/relationships/header" Target="header196.xml"/><Relationship Id="rId256" Type="http://schemas.openxmlformats.org/officeDocument/2006/relationships/header" Target="header217.xml"/><Relationship Id="rId277" Type="http://schemas.openxmlformats.org/officeDocument/2006/relationships/header" Target="header238.xml"/><Relationship Id="rId298" Type="http://schemas.openxmlformats.org/officeDocument/2006/relationships/header" Target="header257.xml"/><Relationship Id="rId116" Type="http://schemas.openxmlformats.org/officeDocument/2006/relationships/header" Target="header77.xml"/><Relationship Id="rId137" Type="http://schemas.openxmlformats.org/officeDocument/2006/relationships/header" Target="header98.xml"/><Relationship Id="rId158" Type="http://schemas.openxmlformats.org/officeDocument/2006/relationships/header" Target="header119.xml"/><Relationship Id="rId302" Type="http://schemas.openxmlformats.org/officeDocument/2006/relationships/header" Target="header261.xml"/><Relationship Id="rId323" Type="http://schemas.openxmlformats.org/officeDocument/2006/relationships/header" Target="header280.xml"/><Relationship Id="rId20" Type="http://schemas.openxmlformats.org/officeDocument/2006/relationships/image" Target="media/image4.png"/><Relationship Id="rId41" Type="http://schemas.openxmlformats.org/officeDocument/2006/relationships/footer" Target="footer12.xml"/><Relationship Id="rId62" Type="http://schemas.openxmlformats.org/officeDocument/2006/relationships/footer" Target="footer21.xml"/><Relationship Id="rId83" Type="http://schemas.openxmlformats.org/officeDocument/2006/relationships/footer" Target="footer29.xml"/><Relationship Id="rId179" Type="http://schemas.openxmlformats.org/officeDocument/2006/relationships/header" Target="header140.xml"/><Relationship Id="rId190" Type="http://schemas.openxmlformats.org/officeDocument/2006/relationships/header" Target="header151.xml"/><Relationship Id="rId204" Type="http://schemas.openxmlformats.org/officeDocument/2006/relationships/header" Target="header165.xml"/><Relationship Id="rId225" Type="http://schemas.openxmlformats.org/officeDocument/2006/relationships/header" Target="header186.xml"/><Relationship Id="rId246" Type="http://schemas.openxmlformats.org/officeDocument/2006/relationships/header" Target="header207.xml"/><Relationship Id="rId267" Type="http://schemas.openxmlformats.org/officeDocument/2006/relationships/header" Target="header228.xml"/><Relationship Id="rId288" Type="http://schemas.openxmlformats.org/officeDocument/2006/relationships/header" Target="header247.xml"/><Relationship Id="rId106" Type="http://schemas.openxmlformats.org/officeDocument/2006/relationships/header" Target="header67.xml"/><Relationship Id="rId127" Type="http://schemas.openxmlformats.org/officeDocument/2006/relationships/header" Target="header88.xml"/><Relationship Id="rId313" Type="http://schemas.openxmlformats.org/officeDocument/2006/relationships/footer" Target="footer33.xm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eader" Target="header26.xml"/><Relationship Id="rId73" Type="http://schemas.openxmlformats.org/officeDocument/2006/relationships/header" Target="header37.xml"/><Relationship Id="rId94" Type="http://schemas.openxmlformats.org/officeDocument/2006/relationships/header" Target="header55.xml"/><Relationship Id="rId148" Type="http://schemas.openxmlformats.org/officeDocument/2006/relationships/header" Target="header109.xml"/><Relationship Id="rId169" Type="http://schemas.openxmlformats.org/officeDocument/2006/relationships/header" Target="header130.xml"/><Relationship Id="rId4" Type="http://schemas.openxmlformats.org/officeDocument/2006/relationships/settings" Target="settings.xml"/><Relationship Id="rId180" Type="http://schemas.openxmlformats.org/officeDocument/2006/relationships/header" Target="header141.xml"/><Relationship Id="rId215" Type="http://schemas.openxmlformats.org/officeDocument/2006/relationships/header" Target="header176.xml"/><Relationship Id="rId236" Type="http://schemas.openxmlformats.org/officeDocument/2006/relationships/header" Target="header197.xml"/><Relationship Id="rId257" Type="http://schemas.openxmlformats.org/officeDocument/2006/relationships/header" Target="header218.xml"/><Relationship Id="rId278" Type="http://schemas.openxmlformats.org/officeDocument/2006/relationships/header" Target="header239.xml"/><Relationship Id="rId303" Type="http://schemas.openxmlformats.org/officeDocument/2006/relationships/header" Target="header262.xml"/><Relationship Id="rId42" Type="http://schemas.openxmlformats.org/officeDocument/2006/relationships/header" Target="header20.xml"/><Relationship Id="rId84" Type="http://schemas.openxmlformats.org/officeDocument/2006/relationships/header" Target="header45.xml"/><Relationship Id="rId138" Type="http://schemas.openxmlformats.org/officeDocument/2006/relationships/header" Target="header99.xml"/><Relationship Id="rId191" Type="http://schemas.openxmlformats.org/officeDocument/2006/relationships/header" Target="header152.xml"/><Relationship Id="rId205" Type="http://schemas.openxmlformats.org/officeDocument/2006/relationships/header" Target="header166.xml"/><Relationship Id="rId247" Type="http://schemas.openxmlformats.org/officeDocument/2006/relationships/header" Target="header208.xml"/><Relationship Id="rId107" Type="http://schemas.openxmlformats.org/officeDocument/2006/relationships/header" Target="header68.xml"/><Relationship Id="rId289" Type="http://schemas.openxmlformats.org/officeDocument/2006/relationships/header" Target="header248.xml"/><Relationship Id="rId11" Type="http://schemas.openxmlformats.org/officeDocument/2006/relationships/footer" Target="footer1.xml"/><Relationship Id="rId53" Type="http://schemas.openxmlformats.org/officeDocument/2006/relationships/header" Target="header27.xml"/><Relationship Id="rId149" Type="http://schemas.openxmlformats.org/officeDocument/2006/relationships/header" Target="header110.xml"/><Relationship Id="rId314" Type="http://schemas.openxmlformats.org/officeDocument/2006/relationships/header" Target="header271.xml"/><Relationship Id="rId95" Type="http://schemas.openxmlformats.org/officeDocument/2006/relationships/header" Target="header56.xml"/><Relationship Id="rId160" Type="http://schemas.openxmlformats.org/officeDocument/2006/relationships/header" Target="header121.xml"/><Relationship Id="rId216" Type="http://schemas.openxmlformats.org/officeDocument/2006/relationships/header" Target="header177.xml"/><Relationship Id="rId258" Type="http://schemas.openxmlformats.org/officeDocument/2006/relationships/header" Target="header219.xml"/><Relationship Id="rId22" Type="http://schemas.openxmlformats.org/officeDocument/2006/relationships/header" Target="header8.xml"/><Relationship Id="rId64" Type="http://schemas.openxmlformats.org/officeDocument/2006/relationships/header" Target="header32.xml"/><Relationship Id="rId118" Type="http://schemas.openxmlformats.org/officeDocument/2006/relationships/header" Target="header79.xml"/><Relationship Id="rId325" Type="http://schemas.openxmlformats.org/officeDocument/2006/relationships/header" Target="header282.xml"/><Relationship Id="rId171" Type="http://schemas.openxmlformats.org/officeDocument/2006/relationships/header" Target="header132.xml"/><Relationship Id="rId227" Type="http://schemas.openxmlformats.org/officeDocument/2006/relationships/header" Target="header188.xml"/><Relationship Id="rId269" Type="http://schemas.openxmlformats.org/officeDocument/2006/relationships/header" Target="header230.xml"/><Relationship Id="rId33" Type="http://schemas.openxmlformats.org/officeDocument/2006/relationships/header" Target="header15.xml"/><Relationship Id="rId129" Type="http://schemas.openxmlformats.org/officeDocument/2006/relationships/header" Target="header90.xml"/><Relationship Id="rId280" Type="http://schemas.openxmlformats.org/officeDocument/2006/relationships/footer" Target="footer30.xml"/><Relationship Id="rId75" Type="http://schemas.openxmlformats.org/officeDocument/2006/relationships/footer" Target="footer28.xml"/><Relationship Id="rId140" Type="http://schemas.openxmlformats.org/officeDocument/2006/relationships/header" Target="header101.xml"/><Relationship Id="rId182" Type="http://schemas.openxmlformats.org/officeDocument/2006/relationships/header" Target="header143.xml"/><Relationship Id="rId6" Type="http://schemas.openxmlformats.org/officeDocument/2006/relationships/footnotes" Target="footnotes.xml"/><Relationship Id="rId238" Type="http://schemas.openxmlformats.org/officeDocument/2006/relationships/header" Target="header199.xml"/><Relationship Id="rId291" Type="http://schemas.openxmlformats.org/officeDocument/2006/relationships/header" Target="header250.xml"/><Relationship Id="rId305" Type="http://schemas.openxmlformats.org/officeDocument/2006/relationships/header" Target="header264.xml"/><Relationship Id="rId44" Type="http://schemas.openxmlformats.org/officeDocument/2006/relationships/header" Target="header22.xml"/><Relationship Id="rId86" Type="http://schemas.openxmlformats.org/officeDocument/2006/relationships/header" Target="header47.xml"/><Relationship Id="rId151" Type="http://schemas.openxmlformats.org/officeDocument/2006/relationships/header" Target="header112.xml"/><Relationship Id="rId193" Type="http://schemas.openxmlformats.org/officeDocument/2006/relationships/header" Target="header154.xml"/><Relationship Id="rId207" Type="http://schemas.openxmlformats.org/officeDocument/2006/relationships/header" Target="header168.xml"/><Relationship Id="rId249" Type="http://schemas.openxmlformats.org/officeDocument/2006/relationships/header" Target="header210.xml"/><Relationship Id="rId13" Type="http://schemas.openxmlformats.org/officeDocument/2006/relationships/header" Target="header3.xml"/><Relationship Id="rId109" Type="http://schemas.openxmlformats.org/officeDocument/2006/relationships/header" Target="header70.xml"/><Relationship Id="rId260" Type="http://schemas.openxmlformats.org/officeDocument/2006/relationships/header" Target="header221.xml"/><Relationship Id="rId316" Type="http://schemas.openxmlformats.org/officeDocument/2006/relationships/header" Target="header273.xml"/><Relationship Id="rId55" Type="http://schemas.openxmlformats.org/officeDocument/2006/relationships/footer" Target="footer18.xml"/><Relationship Id="rId97" Type="http://schemas.openxmlformats.org/officeDocument/2006/relationships/header" Target="header58.xml"/><Relationship Id="rId120" Type="http://schemas.openxmlformats.org/officeDocument/2006/relationships/header" Target="header81.xml"/><Relationship Id="rId162" Type="http://schemas.openxmlformats.org/officeDocument/2006/relationships/header" Target="header123.xml"/><Relationship Id="rId218" Type="http://schemas.openxmlformats.org/officeDocument/2006/relationships/header" Target="header179.xml"/></Relationships>
</file>

<file path=word/_rels/header10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0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1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2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3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4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5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6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7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8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19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9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20.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0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0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1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1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2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3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40.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7.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8.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49.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50.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7.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8.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59.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0.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7.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68.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70.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7.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8.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79.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80.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8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8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8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8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8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8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header2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3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3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3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3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3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3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4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4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5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5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6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6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7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7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8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9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335FC-03A5-484F-84D5-A9D1EC72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3066</TotalTime>
  <Pages>1234</Pages>
  <Words>72506</Words>
  <Characters>413287</Characters>
  <Application>Microsoft Office Word</Application>
  <DocSecurity>0</DocSecurity>
  <Lines>3444</Lines>
  <Paragraphs>969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484824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k</cp:lastModifiedBy>
  <cp:revision>9</cp:revision>
  <dcterms:created xsi:type="dcterms:W3CDTF">2021-07-21T14:26:00Z</dcterms:created>
  <dcterms:modified xsi:type="dcterms:W3CDTF">2021-09-22T10:59:00Z</dcterms:modified>
</cp:coreProperties>
</file>